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00.xml" ContentType="application/vnd.openxmlformats-officedocument.wordprocessingml.footer+xml"/>
  <Override PartName="/word/footer101.xml" ContentType="application/vnd.openxmlformats-officedocument.wordprocessingml.footer+xml"/>
  <Override PartName="/word/footer102.xml" ContentType="application/vnd.openxmlformats-officedocument.wordprocessingml.footer+xml"/>
  <Override PartName="/word/footer103.xml" ContentType="application/vnd.openxmlformats-officedocument.wordprocessingml.footer+xml"/>
  <Override PartName="/word/footer104.xml" ContentType="application/vnd.openxmlformats-officedocument.wordprocessingml.footer+xml"/>
  <Override PartName="/word/footer105.xml" ContentType="application/vnd.openxmlformats-officedocument.wordprocessingml.footer+xml"/>
  <Override PartName="/word/footer106.xml" ContentType="application/vnd.openxmlformats-officedocument.wordprocessingml.footer+xml"/>
  <Override PartName="/word/footer107.xml" ContentType="application/vnd.openxmlformats-officedocument.wordprocessingml.footer+xml"/>
  <Override PartName="/word/footer108.xml" ContentType="application/vnd.openxmlformats-officedocument.wordprocessingml.footer+xml"/>
  <Override PartName="/word/footer109.xml" ContentType="application/vnd.openxmlformats-officedocument.wordprocessingml.footer+xml"/>
  <Override PartName="/word/footer11.xml" ContentType="application/vnd.openxmlformats-officedocument.wordprocessingml.footer+xml"/>
  <Override PartName="/word/footer110.xml" ContentType="application/vnd.openxmlformats-officedocument.wordprocessingml.footer+xml"/>
  <Override PartName="/word/footer111.xml" ContentType="application/vnd.openxmlformats-officedocument.wordprocessingml.footer+xml"/>
  <Override PartName="/word/footer112.xml" ContentType="application/vnd.openxmlformats-officedocument.wordprocessingml.footer+xml"/>
  <Override PartName="/word/footer113.xml" ContentType="application/vnd.openxmlformats-officedocument.wordprocessingml.footer+xml"/>
  <Override PartName="/word/footer114.xml" ContentType="application/vnd.openxmlformats-officedocument.wordprocessingml.footer+xml"/>
  <Override PartName="/word/footer115.xml" ContentType="application/vnd.openxmlformats-officedocument.wordprocessingml.footer+xml"/>
  <Override PartName="/word/footer116.xml" ContentType="application/vnd.openxmlformats-officedocument.wordprocessingml.footer+xml"/>
  <Override PartName="/word/footer117.xml" ContentType="application/vnd.openxmlformats-officedocument.wordprocessingml.footer+xml"/>
  <Override PartName="/word/footer118.xml" ContentType="application/vnd.openxmlformats-officedocument.wordprocessingml.footer+xml"/>
  <Override PartName="/word/footer119.xml" ContentType="application/vnd.openxmlformats-officedocument.wordprocessingml.footer+xml"/>
  <Override PartName="/word/footer12.xml" ContentType="application/vnd.openxmlformats-officedocument.wordprocessingml.footer+xml"/>
  <Override PartName="/word/footer120.xml" ContentType="application/vnd.openxmlformats-officedocument.wordprocessingml.footer+xml"/>
  <Override PartName="/word/footer121.xml" ContentType="application/vnd.openxmlformats-officedocument.wordprocessingml.footer+xml"/>
  <Override PartName="/word/footer122.xml" ContentType="application/vnd.openxmlformats-officedocument.wordprocessingml.footer+xml"/>
  <Override PartName="/word/footer123.xml" ContentType="application/vnd.openxmlformats-officedocument.wordprocessingml.footer+xml"/>
  <Override PartName="/word/footer124.xml" ContentType="application/vnd.openxmlformats-officedocument.wordprocessingml.footer+xml"/>
  <Override PartName="/word/footer125.xml" ContentType="application/vnd.openxmlformats-officedocument.wordprocessingml.footer+xml"/>
  <Override PartName="/word/footer126.xml" ContentType="application/vnd.openxmlformats-officedocument.wordprocessingml.footer+xml"/>
  <Override PartName="/word/footer127.xml" ContentType="application/vnd.openxmlformats-officedocument.wordprocessingml.footer+xml"/>
  <Override PartName="/word/footer128.xml" ContentType="application/vnd.openxmlformats-officedocument.wordprocessingml.footer+xml"/>
  <Override PartName="/word/footer129.xml" ContentType="application/vnd.openxmlformats-officedocument.wordprocessingml.footer+xml"/>
  <Override PartName="/word/footer13.xml" ContentType="application/vnd.openxmlformats-officedocument.wordprocessingml.footer+xml"/>
  <Override PartName="/word/footer130.xml" ContentType="application/vnd.openxmlformats-officedocument.wordprocessingml.footer+xml"/>
  <Override PartName="/word/footer131.xml" ContentType="application/vnd.openxmlformats-officedocument.wordprocessingml.footer+xml"/>
  <Override PartName="/word/footer132.xml" ContentType="application/vnd.openxmlformats-officedocument.wordprocessingml.footer+xml"/>
  <Override PartName="/word/footer133.xml" ContentType="application/vnd.openxmlformats-officedocument.wordprocessingml.footer+xml"/>
  <Override PartName="/word/footer134.xml" ContentType="application/vnd.openxmlformats-officedocument.wordprocessingml.footer+xml"/>
  <Override PartName="/word/footer135.xml" ContentType="application/vnd.openxmlformats-officedocument.wordprocessingml.footer+xml"/>
  <Override PartName="/word/footer136.xml" ContentType="application/vnd.openxmlformats-officedocument.wordprocessingml.footer+xml"/>
  <Override PartName="/word/footer137.xml" ContentType="application/vnd.openxmlformats-officedocument.wordprocessingml.footer+xml"/>
  <Override PartName="/word/footer138.xml" ContentType="application/vnd.openxmlformats-officedocument.wordprocessingml.footer+xml"/>
  <Override PartName="/word/footer139.xml" ContentType="application/vnd.openxmlformats-officedocument.wordprocessingml.footer+xml"/>
  <Override PartName="/word/footer14.xml" ContentType="application/vnd.openxmlformats-officedocument.wordprocessingml.footer+xml"/>
  <Override PartName="/word/footer140.xml" ContentType="application/vnd.openxmlformats-officedocument.wordprocessingml.footer+xml"/>
  <Override PartName="/word/footer141.xml" ContentType="application/vnd.openxmlformats-officedocument.wordprocessingml.footer+xml"/>
  <Override PartName="/word/footer142.xml" ContentType="application/vnd.openxmlformats-officedocument.wordprocessingml.footer+xml"/>
  <Override PartName="/word/footer143.xml" ContentType="application/vnd.openxmlformats-officedocument.wordprocessingml.footer+xml"/>
  <Override PartName="/word/footer144.xml" ContentType="application/vnd.openxmlformats-officedocument.wordprocessingml.footer+xml"/>
  <Override PartName="/word/footer145.xml" ContentType="application/vnd.openxmlformats-officedocument.wordprocessingml.footer+xml"/>
  <Override PartName="/word/footer146.xml" ContentType="application/vnd.openxmlformats-officedocument.wordprocessingml.footer+xml"/>
  <Override PartName="/word/footer147.xml" ContentType="application/vnd.openxmlformats-officedocument.wordprocessingml.footer+xml"/>
  <Override PartName="/word/footer148.xml" ContentType="application/vnd.openxmlformats-officedocument.wordprocessingml.footer+xml"/>
  <Override PartName="/word/footer149.xml" ContentType="application/vnd.openxmlformats-officedocument.wordprocessingml.footer+xml"/>
  <Override PartName="/word/footer15.xml" ContentType="application/vnd.openxmlformats-officedocument.wordprocessingml.footer+xml"/>
  <Override PartName="/word/footer150.xml" ContentType="application/vnd.openxmlformats-officedocument.wordprocessingml.footer+xml"/>
  <Override PartName="/word/footer151.xml" ContentType="application/vnd.openxmlformats-officedocument.wordprocessingml.footer+xml"/>
  <Override PartName="/word/footer152.xml" ContentType="application/vnd.openxmlformats-officedocument.wordprocessingml.footer+xml"/>
  <Override PartName="/word/footer153.xml" ContentType="application/vnd.openxmlformats-officedocument.wordprocessingml.footer+xml"/>
  <Override PartName="/word/footer154.xml" ContentType="application/vnd.openxmlformats-officedocument.wordprocessingml.footer+xml"/>
  <Override PartName="/word/footer155.xml" ContentType="application/vnd.openxmlformats-officedocument.wordprocessingml.footer+xml"/>
  <Override PartName="/word/footer156.xml" ContentType="application/vnd.openxmlformats-officedocument.wordprocessingml.footer+xml"/>
  <Override PartName="/word/footer157.xml" ContentType="application/vnd.openxmlformats-officedocument.wordprocessingml.footer+xml"/>
  <Override PartName="/word/footer158.xml" ContentType="application/vnd.openxmlformats-officedocument.wordprocessingml.footer+xml"/>
  <Override PartName="/word/footer159.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footer4.xml" ContentType="application/vnd.openxmlformats-officedocument.wordprocessingml.footer+xml"/>
  <Override PartName="/word/footer40.xml" ContentType="application/vnd.openxmlformats-officedocument.wordprocessingml.footer+xml"/>
  <Override PartName="/word/footer41.xml" ContentType="application/vnd.openxmlformats-officedocument.wordprocessingml.footer+xml"/>
  <Override PartName="/word/footer42.xml" ContentType="application/vnd.openxmlformats-officedocument.wordprocessingml.footer+xml"/>
  <Override PartName="/word/footer43.xml" ContentType="application/vnd.openxmlformats-officedocument.wordprocessingml.footer+xml"/>
  <Override PartName="/word/footer44.xml" ContentType="application/vnd.openxmlformats-officedocument.wordprocessingml.footer+xml"/>
  <Override PartName="/word/footer45.xml" ContentType="application/vnd.openxmlformats-officedocument.wordprocessingml.footer+xml"/>
  <Override PartName="/word/footer46.xml" ContentType="application/vnd.openxmlformats-officedocument.wordprocessingml.footer+xml"/>
  <Override PartName="/word/footer47.xml" ContentType="application/vnd.openxmlformats-officedocument.wordprocessingml.footer+xml"/>
  <Override PartName="/word/footer48.xml" ContentType="application/vnd.openxmlformats-officedocument.wordprocessingml.footer+xml"/>
  <Override PartName="/word/footer49.xml" ContentType="application/vnd.openxmlformats-officedocument.wordprocessingml.footer+xml"/>
  <Override PartName="/word/footer5.xml" ContentType="application/vnd.openxmlformats-officedocument.wordprocessingml.footer+xml"/>
  <Override PartName="/word/footer50.xml" ContentType="application/vnd.openxmlformats-officedocument.wordprocessingml.footer+xml"/>
  <Override PartName="/word/footer51.xml" ContentType="application/vnd.openxmlformats-officedocument.wordprocessingml.footer+xml"/>
  <Override PartName="/word/footer52.xml" ContentType="application/vnd.openxmlformats-officedocument.wordprocessingml.footer+xml"/>
  <Override PartName="/word/footer53.xml" ContentType="application/vnd.openxmlformats-officedocument.wordprocessingml.footer+xml"/>
  <Override PartName="/word/footer54.xml" ContentType="application/vnd.openxmlformats-officedocument.wordprocessingml.footer+xml"/>
  <Override PartName="/word/footer55.xml" ContentType="application/vnd.openxmlformats-officedocument.wordprocessingml.footer+xml"/>
  <Override PartName="/word/footer56.xml" ContentType="application/vnd.openxmlformats-officedocument.wordprocessingml.footer+xml"/>
  <Override PartName="/word/footer57.xml" ContentType="application/vnd.openxmlformats-officedocument.wordprocessingml.footer+xml"/>
  <Override PartName="/word/footer58.xml" ContentType="application/vnd.openxmlformats-officedocument.wordprocessingml.footer+xml"/>
  <Override PartName="/word/footer59.xml" ContentType="application/vnd.openxmlformats-officedocument.wordprocessingml.footer+xml"/>
  <Override PartName="/word/footer6.xml" ContentType="application/vnd.openxmlformats-officedocument.wordprocessingml.footer+xml"/>
  <Override PartName="/word/footer60.xml" ContentType="application/vnd.openxmlformats-officedocument.wordprocessingml.footer+xml"/>
  <Override PartName="/word/footer61.xml" ContentType="application/vnd.openxmlformats-officedocument.wordprocessingml.footer+xml"/>
  <Override PartName="/word/footer62.xml" ContentType="application/vnd.openxmlformats-officedocument.wordprocessingml.footer+xml"/>
  <Override PartName="/word/footer63.xml" ContentType="application/vnd.openxmlformats-officedocument.wordprocessingml.footer+xml"/>
  <Override PartName="/word/footer64.xml" ContentType="application/vnd.openxmlformats-officedocument.wordprocessingml.footer+xml"/>
  <Override PartName="/word/footer65.xml" ContentType="application/vnd.openxmlformats-officedocument.wordprocessingml.footer+xml"/>
  <Override PartName="/word/footer66.xml" ContentType="application/vnd.openxmlformats-officedocument.wordprocessingml.footer+xml"/>
  <Override PartName="/word/footer67.xml" ContentType="application/vnd.openxmlformats-officedocument.wordprocessingml.footer+xml"/>
  <Override PartName="/word/footer68.xml" ContentType="application/vnd.openxmlformats-officedocument.wordprocessingml.footer+xml"/>
  <Override PartName="/word/footer69.xml" ContentType="application/vnd.openxmlformats-officedocument.wordprocessingml.footer+xml"/>
  <Override PartName="/word/footer7.xml" ContentType="application/vnd.openxmlformats-officedocument.wordprocessingml.footer+xml"/>
  <Override PartName="/word/footer70.xml" ContentType="application/vnd.openxmlformats-officedocument.wordprocessingml.footer+xml"/>
  <Override PartName="/word/footer71.xml" ContentType="application/vnd.openxmlformats-officedocument.wordprocessingml.footer+xml"/>
  <Override PartName="/word/footer72.xml" ContentType="application/vnd.openxmlformats-officedocument.wordprocessingml.footer+xml"/>
  <Override PartName="/word/footer73.xml" ContentType="application/vnd.openxmlformats-officedocument.wordprocessingml.footer+xml"/>
  <Override PartName="/word/footer74.xml" ContentType="application/vnd.openxmlformats-officedocument.wordprocessingml.footer+xml"/>
  <Override PartName="/word/footer75.xml" ContentType="application/vnd.openxmlformats-officedocument.wordprocessingml.footer+xml"/>
  <Override PartName="/word/footer76.xml" ContentType="application/vnd.openxmlformats-officedocument.wordprocessingml.footer+xml"/>
  <Override PartName="/word/footer77.xml" ContentType="application/vnd.openxmlformats-officedocument.wordprocessingml.footer+xml"/>
  <Override PartName="/word/footer78.xml" ContentType="application/vnd.openxmlformats-officedocument.wordprocessingml.footer+xml"/>
  <Override PartName="/word/footer79.xml" ContentType="application/vnd.openxmlformats-officedocument.wordprocessingml.footer+xml"/>
  <Override PartName="/word/footer8.xml" ContentType="application/vnd.openxmlformats-officedocument.wordprocessingml.footer+xml"/>
  <Override PartName="/word/footer80.xml" ContentType="application/vnd.openxmlformats-officedocument.wordprocessingml.footer+xml"/>
  <Override PartName="/word/footer81.xml" ContentType="application/vnd.openxmlformats-officedocument.wordprocessingml.footer+xml"/>
  <Override PartName="/word/footer82.xml" ContentType="application/vnd.openxmlformats-officedocument.wordprocessingml.footer+xml"/>
  <Override PartName="/word/footer83.xml" ContentType="application/vnd.openxmlformats-officedocument.wordprocessingml.footer+xml"/>
  <Override PartName="/word/footer84.xml" ContentType="application/vnd.openxmlformats-officedocument.wordprocessingml.footer+xml"/>
  <Override PartName="/word/footer85.xml" ContentType="application/vnd.openxmlformats-officedocument.wordprocessingml.footer+xml"/>
  <Override PartName="/word/footer86.xml" ContentType="application/vnd.openxmlformats-officedocument.wordprocessingml.footer+xml"/>
  <Override PartName="/word/footer87.xml" ContentType="application/vnd.openxmlformats-officedocument.wordprocessingml.footer+xml"/>
  <Override PartName="/word/footer88.xml" ContentType="application/vnd.openxmlformats-officedocument.wordprocessingml.footer+xml"/>
  <Override PartName="/word/footer89.xml" ContentType="application/vnd.openxmlformats-officedocument.wordprocessingml.footer+xml"/>
  <Override PartName="/word/footer9.xml" ContentType="application/vnd.openxmlformats-officedocument.wordprocessingml.footer+xml"/>
  <Override PartName="/word/footer90.xml" ContentType="application/vnd.openxmlformats-officedocument.wordprocessingml.footer+xml"/>
  <Override PartName="/word/footer91.xml" ContentType="application/vnd.openxmlformats-officedocument.wordprocessingml.footer+xml"/>
  <Override PartName="/word/footer92.xml" ContentType="application/vnd.openxmlformats-officedocument.wordprocessingml.footer+xml"/>
  <Override PartName="/word/footer93.xml" ContentType="application/vnd.openxmlformats-officedocument.wordprocessingml.footer+xml"/>
  <Override PartName="/word/footer94.xml" ContentType="application/vnd.openxmlformats-officedocument.wordprocessingml.footer+xml"/>
  <Override PartName="/word/footer95.xml" ContentType="application/vnd.openxmlformats-officedocument.wordprocessingml.footer+xml"/>
  <Override PartName="/word/footer96.xml" ContentType="application/vnd.openxmlformats-officedocument.wordprocessingml.footer+xml"/>
  <Override PartName="/word/footer97.xml" ContentType="application/vnd.openxmlformats-officedocument.wordprocessingml.footer+xml"/>
  <Override PartName="/word/footer98.xml" ContentType="application/vnd.openxmlformats-officedocument.wordprocessingml.footer+xml"/>
  <Override PartName="/word/footer9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7CB3B67">
      <w:pPr>
        <w:pStyle w:val="2"/>
        <w:spacing w:line="284" w:lineRule="auto"/>
      </w:pPr>
      <w:bookmarkStart w:id="75" w:name="_GoBack"/>
      <w:bookmarkEnd w:id="75"/>
    </w:p>
    <w:p w14:paraId="09A9D508">
      <w:pPr>
        <w:pStyle w:val="2"/>
        <w:spacing w:line="284" w:lineRule="auto"/>
      </w:pPr>
    </w:p>
    <w:p w14:paraId="3BD1EDC2">
      <w:pPr>
        <w:pStyle w:val="2"/>
        <w:spacing w:line="284" w:lineRule="auto"/>
      </w:pPr>
    </w:p>
    <w:p w14:paraId="45D1E7AC">
      <w:pPr>
        <w:pStyle w:val="2"/>
        <w:spacing w:line="284" w:lineRule="auto"/>
      </w:pPr>
    </w:p>
    <w:p w14:paraId="0FE70C8D">
      <w:pPr>
        <w:pStyle w:val="2"/>
        <w:spacing w:line="285" w:lineRule="auto"/>
      </w:pPr>
    </w:p>
    <w:p w14:paraId="7353BC70">
      <w:pPr>
        <w:spacing w:before="172" w:line="219" w:lineRule="auto"/>
        <w:ind w:left="758"/>
        <w:outlineLvl w:val="0"/>
        <w:rPr>
          <w:rFonts w:ascii="宋体" w:hAnsi="宋体" w:eastAsia="宋体" w:cs="宋体"/>
          <w:sz w:val="53"/>
          <w:szCs w:val="53"/>
        </w:rPr>
      </w:pPr>
      <w:r>
        <w:rPr>
          <w:rFonts w:ascii="宋体" w:hAnsi="宋体" w:eastAsia="宋体" w:cs="宋体"/>
          <w:b/>
          <w:bCs/>
          <w:spacing w:val="2"/>
          <w:sz w:val="53"/>
          <w:szCs w:val="53"/>
        </w:rPr>
        <w:t>安徽省普通高校对口招生</w:t>
      </w:r>
    </w:p>
    <w:p w14:paraId="46599B34">
      <w:pPr>
        <w:spacing w:before="261" w:line="219" w:lineRule="auto"/>
        <w:ind w:left="228"/>
        <w:rPr>
          <w:rFonts w:ascii="宋体" w:hAnsi="宋体" w:eastAsia="宋体" w:cs="宋体"/>
          <w:sz w:val="53"/>
          <w:szCs w:val="53"/>
        </w:rPr>
      </w:pPr>
      <w:r>
        <w:rPr>
          <w:rFonts w:ascii="宋体" w:hAnsi="宋体" w:eastAsia="宋体" w:cs="宋体"/>
          <w:b/>
          <w:bCs/>
          <w:spacing w:val="3"/>
          <w:sz w:val="53"/>
          <w:szCs w:val="53"/>
        </w:rPr>
        <w:t>专</w:t>
      </w:r>
      <w:r>
        <w:rPr>
          <w:rFonts w:ascii="宋体" w:hAnsi="宋体" w:eastAsia="宋体" w:cs="宋体"/>
          <w:b/>
          <w:bCs/>
          <w:spacing w:val="3"/>
          <w:sz w:val="53"/>
          <w:szCs w:val="53"/>
          <w:u w:val="single" w:color="auto"/>
        </w:rPr>
        <w:t>业</w:t>
      </w:r>
      <w:r>
        <w:rPr>
          <w:rFonts w:ascii="宋体" w:hAnsi="宋体" w:eastAsia="宋体" w:cs="宋体"/>
          <w:b/>
          <w:bCs/>
          <w:spacing w:val="3"/>
          <w:sz w:val="53"/>
          <w:szCs w:val="53"/>
        </w:rPr>
        <w:t>理论和技能测试考试纲要</w:t>
      </w:r>
    </w:p>
    <w:p w14:paraId="31EB0952">
      <w:pPr>
        <w:spacing w:before="261" w:line="219" w:lineRule="auto"/>
        <w:ind w:left="2238"/>
        <w:rPr>
          <w:rFonts w:ascii="宋体" w:hAnsi="宋体" w:eastAsia="宋体" w:cs="宋体"/>
          <w:sz w:val="53"/>
          <w:szCs w:val="53"/>
        </w:rPr>
      </w:pPr>
      <w:r>
        <w:rPr>
          <w:rFonts w:ascii="宋体" w:hAnsi="宋体" w:eastAsia="宋体" w:cs="宋体"/>
          <w:b/>
          <w:bCs/>
          <w:spacing w:val="45"/>
          <w:sz w:val="53"/>
          <w:szCs w:val="53"/>
        </w:rPr>
        <w:t>(2025年版)</w:t>
      </w:r>
    </w:p>
    <w:p w14:paraId="00CC6C05">
      <w:pPr>
        <w:pStyle w:val="2"/>
        <w:spacing w:line="245" w:lineRule="auto"/>
      </w:pPr>
    </w:p>
    <w:p w14:paraId="4EA48F65">
      <w:pPr>
        <w:pStyle w:val="2"/>
        <w:spacing w:line="245" w:lineRule="auto"/>
      </w:pPr>
    </w:p>
    <w:p w14:paraId="1B8D7F76">
      <w:pPr>
        <w:pStyle w:val="2"/>
        <w:spacing w:line="245" w:lineRule="auto"/>
      </w:pPr>
    </w:p>
    <w:p w14:paraId="1D143DFF">
      <w:pPr>
        <w:pStyle w:val="2"/>
        <w:spacing w:line="245" w:lineRule="auto"/>
      </w:pPr>
    </w:p>
    <w:p w14:paraId="1899745B">
      <w:pPr>
        <w:pStyle w:val="2"/>
        <w:spacing w:line="245" w:lineRule="auto"/>
      </w:pPr>
    </w:p>
    <w:p w14:paraId="10F243DC">
      <w:pPr>
        <w:pStyle w:val="2"/>
        <w:spacing w:line="245" w:lineRule="auto"/>
      </w:pPr>
    </w:p>
    <w:p w14:paraId="31C0919B">
      <w:pPr>
        <w:pStyle w:val="2"/>
        <w:spacing w:line="245" w:lineRule="auto"/>
      </w:pPr>
    </w:p>
    <w:p w14:paraId="7A92FE0E">
      <w:pPr>
        <w:pStyle w:val="2"/>
        <w:spacing w:line="245" w:lineRule="auto"/>
      </w:pPr>
    </w:p>
    <w:p w14:paraId="43FE4909">
      <w:pPr>
        <w:pStyle w:val="2"/>
        <w:spacing w:line="245" w:lineRule="auto"/>
      </w:pPr>
    </w:p>
    <w:p w14:paraId="02C48DB9">
      <w:pPr>
        <w:pStyle w:val="2"/>
        <w:spacing w:line="245" w:lineRule="auto"/>
      </w:pPr>
    </w:p>
    <w:p w14:paraId="768D4112">
      <w:pPr>
        <w:pStyle w:val="2"/>
        <w:spacing w:line="245" w:lineRule="auto"/>
      </w:pPr>
    </w:p>
    <w:p w14:paraId="4CD2D8B8">
      <w:pPr>
        <w:pStyle w:val="2"/>
        <w:spacing w:line="245" w:lineRule="auto"/>
      </w:pPr>
    </w:p>
    <w:p w14:paraId="698BF2AF">
      <w:pPr>
        <w:pStyle w:val="2"/>
        <w:spacing w:line="245" w:lineRule="auto"/>
      </w:pPr>
    </w:p>
    <w:p w14:paraId="2FB83614">
      <w:pPr>
        <w:pStyle w:val="2"/>
        <w:spacing w:line="245" w:lineRule="auto"/>
      </w:pPr>
    </w:p>
    <w:p w14:paraId="2D8FB485">
      <w:pPr>
        <w:pStyle w:val="2"/>
        <w:spacing w:line="245" w:lineRule="auto"/>
      </w:pPr>
    </w:p>
    <w:p w14:paraId="6D56C371">
      <w:pPr>
        <w:pStyle w:val="2"/>
        <w:spacing w:line="245" w:lineRule="auto"/>
      </w:pPr>
    </w:p>
    <w:p w14:paraId="0E2C6A4B">
      <w:pPr>
        <w:pStyle w:val="2"/>
        <w:spacing w:line="245" w:lineRule="auto"/>
      </w:pPr>
    </w:p>
    <w:p w14:paraId="6784DDE8">
      <w:pPr>
        <w:pStyle w:val="2"/>
        <w:spacing w:line="246" w:lineRule="auto"/>
      </w:pPr>
    </w:p>
    <w:p w14:paraId="0653124B">
      <w:pPr>
        <w:pStyle w:val="2"/>
        <w:spacing w:line="246" w:lineRule="auto"/>
      </w:pPr>
    </w:p>
    <w:p w14:paraId="62631017">
      <w:pPr>
        <w:pStyle w:val="2"/>
        <w:spacing w:line="246" w:lineRule="auto"/>
      </w:pPr>
    </w:p>
    <w:p w14:paraId="04DCD95F">
      <w:pPr>
        <w:pStyle w:val="2"/>
        <w:spacing w:line="246" w:lineRule="auto"/>
      </w:pPr>
    </w:p>
    <w:p w14:paraId="0CBB4396">
      <w:pPr>
        <w:pStyle w:val="2"/>
        <w:spacing w:line="246" w:lineRule="auto"/>
      </w:pPr>
    </w:p>
    <w:p w14:paraId="2B36379F">
      <w:pPr>
        <w:pStyle w:val="2"/>
        <w:spacing w:line="246" w:lineRule="auto"/>
      </w:pPr>
    </w:p>
    <w:p w14:paraId="282AC958">
      <w:pPr>
        <w:pStyle w:val="2"/>
        <w:spacing w:line="246" w:lineRule="auto"/>
      </w:pPr>
    </w:p>
    <w:p w14:paraId="3C3DB3E3">
      <w:pPr>
        <w:pStyle w:val="2"/>
        <w:spacing w:line="246" w:lineRule="auto"/>
      </w:pPr>
    </w:p>
    <w:p w14:paraId="30D80B7A">
      <w:pPr>
        <w:pStyle w:val="2"/>
        <w:spacing w:line="246" w:lineRule="auto"/>
      </w:pPr>
    </w:p>
    <w:p w14:paraId="3B72D32B">
      <w:pPr>
        <w:pStyle w:val="2"/>
        <w:spacing w:line="246" w:lineRule="auto"/>
      </w:pPr>
    </w:p>
    <w:p w14:paraId="6A22AC21">
      <w:pPr>
        <w:pStyle w:val="2"/>
        <w:spacing w:line="246" w:lineRule="auto"/>
      </w:pPr>
    </w:p>
    <w:p w14:paraId="3542F71D">
      <w:pPr>
        <w:spacing w:before="88" w:line="221" w:lineRule="auto"/>
        <w:ind w:left="1944"/>
        <w:rPr>
          <w:rFonts w:ascii="黑体" w:hAnsi="黑体" w:eastAsia="黑体" w:cs="黑体"/>
          <w:sz w:val="27"/>
          <w:szCs w:val="27"/>
        </w:rPr>
      </w:pPr>
      <w:r>
        <w:rPr>
          <w:rFonts w:ascii="黑体" w:hAnsi="黑体" w:eastAsia="黑体" w:cs="黑体"/>
          <w:b/>
          <w:bCs/>
          <w:spacing w:val="1"/>
          <w:sz w:val="27"/>
          <w:szCs w:val="27"/>
        </w:rPr>
        <w:t>安徽省教育科学研究院</w:t>
      </w:r>
      <w:r>
        <w:rPr>
          <w:rFonts w:ascii="黑体" w:hAnsi="黑体" w:eastAsia="黑体" w:cs="黑体"/>
          <w:spacing w:val="1"/>
          <w:sz w:val="27"/>
          <w:szCs w:val="27"/>
        </w:rPr>
        <w:t xml:space="preserve">  </w:t>
      </w:r>
      <w:r>
        <w:rPr>
          <w:rFonts w:ascii="黑体" w:hAnsi="黑体" w:eastAsia="黑体" w:cs="黑体"/>
          <w:b/>
          <w:bCs/>
          <w:spacing w:val="1"/>
          <w:sz w:val="27"/>
          <w:szCs w:val="27"/>
        </w:rPr>
        <w:t>编制</w:t>
      </w:r>
    </w:p>
    <w:p w14:paraId="18C0354B">
      <w:pPr>
        <w:spacing w:line="221" w:lineRule="auto"/>
        <w:rPr>
          <w:rFonts w:ascii="黑体" w:hAnsi="黑体" w:eastAsia="黑体" w:cs="黑体"/>
          <w:sz w:val="27"/>
          <w:szCs w:val="27"/>
        </w:rPr>
        <w:sectPr>
          <w:pgSz w:w="10660" w:h="15080"/>
          <w:pgMar w:top="1281" w:right="1599" w:bottom="0" w:left="1599" w:header="0" w:footer="0" w:gutter="0"/>
          <w:cols w:space="720" w:num="1"/>
        </w:sectPr>
      </w:pPr>
    </w:p>
    <w:p w14:paraId="1EF3BE35">
      <w:pPr>
        <w:pStyle w:val="2"/>
      </w:pPr>
    </w:p>
    <w:p w14:paraId="48DC07F4">
      <w:pPr>
        <w:sectPr>
          <w:headerReference r:id="rId5" w:type="default"/>
          <w:footerReference r:id="rId6" w:type="default"/>
          <w:pgSz w:w="10660" w:h="15080"/>
          <w:pgMar w:top="0" w:right="0" w:bottom="0" w:left="0" w:header="0" w:footer="0" w:gutter="0"/>
          <w:cols w:space="720" w:num="1"/>
        </w:sectPr>
      </w:pPr>
    </w:p>
    <w:p w14:paraId="2E6E4345">
      <w:pPr>
        <w:pStyle w:val="2"/>
        <w:spacing w:line="254" w:lineRule="auto"/>
      </w:pPr>
    </w:p>
    <w:p w14:paraId="25D3D3D5">
      <w:pPr>
        <w:pStyle w:val="2"/>
        <w:spacing w:line="254" w:lineRule="auto"/>
      </w:pPr>
    </w:p>
    <w:p w14:paraId="691BB846">
      <w:pPr>
        <w:pStyle w:val="2"/>
        <w:spacing w:line="254" w:lineRule="auto"/>
      </w:pPr>
    </w:p>
    <w:p w14:paraId="6E04C884">
      <w:pPr>
        <w:pStyle w:val="2"/>
        <w:spacing w:line="255" w:lineRule="auto"/>
      </w:pPr>
    </w:p>
    <w:p w14:paraId="23E49B7A">
      <w:pPr>
        <w:pStyle w:val="2"/>
        <w:spacing w:line="255" w:lineRule="auto"/>
      </w:pPr>
    </w:p>
    <w:p w14:paraId="55CC1315">
      <w:pPr>
        <w:pStyle w:val="2"/>
        <w:spacing w:line="255" w:lineRule="auto"/>
      </w:pPr>
    </w:p>
    <w:p w14:paraId="549DE6A8">
      <w:pPr>
        <w:pStyle w:val="2"/>
        <w:spacing w:line="255" w:lineRule="auto"/>
      </w:pPr>
    </w:p>
    <w:p w14:paraId="00B499C7">
      <w:pPr>
        <w:pStyle w:val="2"/>
        <w:spacing w:line="255" w:lineRule="auto"/>
      </w:pPr>
    </w:p>
    <w:p w14:paraId="1F99D31D">
      <w:pPr>
        <w:spacing w:before="127" w:line="221" w:lineRule="auto"/>
        <w:ind w:left="3415"/>
        <w:rPr>
          <w:rFonts w:ascii="黑体" w:hAnsi="黑体" w:eastAsia="黑体" w:cs="黑体"/>
          <w:sz w:val="39"/>
          <w:szCs w:val="39"/>
        </w:rPr>
      </w:pPr>
      <w:r>
        <w:rPr>
          <w:rFonts w:ascii="黑体" w:hAnsi="黑体" w:eastAsia="黑体" w:cs="黑体"/>
          <w:b/>
          <w:bCs/>
          <w:spacing w:val="-17"/>
          <w:sz w:val="39"/>
          <w:szCs w:val="39"/>
        </w:rPr>
        <w:t>修</w:t>
      </w:r>
      <w:r>
        <w:rPr>
          <w:rFonts w:ascii="黑体" w:hAnsi="黑体" w:eastAsia="黑体" w:cs="黑体"/>
          <w:spacing w:val="-30"/>
          <w:sz w:val="39"/>
          <w:szCs w:val="39"/>
        </w:rPr>
        <w:t xml:space="preserve"> </w:t>
      </w:r>
      <w:r>
        <w:rPr>
          <w:rFonts w:ascii="黑体" w:hAnsi="黑体" w:eastAsia="黑体" w:cs="黑体"/>
          <w:b/>
          <w:bCs/>
          <w:spacing w:val="-17"/>
          <w:sz w:val="39"/>
          <w:szCs w:val="39"/>
        </w:rPr>
        <w:t>订</w:t>
      </w:r>
      <w:r>
        <w:rPr>
          <w:rFonts w:ascii="黑体" w:hAnsi="黑体" w:eastAsia="黑体" w:cs="黑体"/>
          <w:spacing w:val="-27"/>
          <w:sz w:val="39"/>
          <w:szCs w:val="39"/>
        </w:rPr>
        <w:t xml:space="preserve"> </w:t>
      </w:r>
      <w:r>
        <w:rPr>
          <w:rFonts w:ascii="黑体" w:hAnsi="黑体" w:eastAsia="黑体" w:cs="黑体"/>
          <w:b/>
          <w:bCs/>
          <w:spacing w:val="-17"/>
          <w:sz w:val="39"/>
          <w:szCs w:val="39"/>
        </w:rPr>
        <w:t>说</w:t>
      </w:r>
      <w:r>
        <w:rPr>
          <w:rFonts w:ascii="黑体" w:hAnsi="黑体" w:eastAsia="黑体" w:cs="黑体"/>
          <w:spacing w:val="-17"/>
          <w:sz w:val="39"/>
          <w:szCs w:val="39"/>
        </w:rPr>
        <w:t xml:space="preserve"> </w:t>
      </w:r>
      <w:r>
        <w:rPr>
          <w:rFonts w:ascii="黑体" w:hAnsi="黑体" w:eastAsia="黑体" w:cs="黑体"/>
          <w:b/>
          <w:bCs/>
          <w:spacing w:val="-17"/>
          <w:sz w:val="39"/>
          <w:szCs w:val="39"/>
        </w:rPr>
        <w:t>明</w:t>
      </w:r>
    </w:p>
    <w:p w14:paraId="6EF574E3">
      <w:pPr>
        <w:pStyle w:val="2"/>
        <w:spacing w:line="286" w:lineRule="auto"/>
      </w:pPr>
    </w:p>
    <w:p w14:paraId="305C268D">
      <w:pPr>
        <w:pStyle w:val="2"/>
        <w:spacing w:line="286" w:lineRule="auto"/>
      </w:pPr>
    </w:p>
    <w:p w14:paraId="760952B3">
      <w:pPr>
        <w:pStyle w:val="2"/>
        <w:spacing w:line="286" w:lineRule="auto"/>
      </w:pPr>
    </w:p>
    <w:p w14:paraId="56514DC1">
      <w:pPr>
        <w:spacing w:before="81" w:line="328" w:lineRule="auto"/>
        <w:ind w:firstLine="500"/>
        <w:jc w:val="both"/>
        <w:rPr>
          <w:rFonts w:ascii="宋体" w:hAnsi="宋体" w:eastAsia="宋体" w:cs="宋体"/>
          <w:sz w:val="25"/>
          <w:szCs w:val="25"/>
        </w:rPr>
      </w:pPr>
      <w:r>
        <w:rPr>
          <w:rFonts w:ascii="宋体" w:hAnsi="宋体" w:eastAsia="宋体" w:cs="宋体"/>
          <w:spacing w:val="12"/>
          <w:sz w:val="25"/>
          <w:szCs w:val="25"/>
        </w:rPr>
        <w:t>为进一步深化安徽省职业院校对口升学考试改</w:t>
      </w:r>
      <w:r>
        <w:rPr>
          <w:rFonts w:ascii="宋体" w:hAnsi="宋体" w:eastAsia="宋体" w:cs="宋体"/>
          <w:spacing w:val="11"/>
          <w:sz w:val="25"/>
          <w:szCs w:val="25"/>
        </w:rPr>
        <w:t>革，完善“文化素质+职业</w:t>
      </w:r>
      <w:r>
        <w:rPr>
          <w:rFonts w:ascii="宋体" w:hAnsi="宋体" w:eastAsia="宋体" w:cs="宋体"/>
          <w:sz w:val="25"/>
          <w:szCs w:val="25"/>
        </w:rPr>
        <w:t xml:space="preserve"> </w:t>
      </w:r>
      <w:r>
        <w:rPr>
          <w:rFonts w:ascii="宋体" w:hAnsi="宋体" w:eastAsia="宋体" w:cs="宋体"/>
          <w:spacing w:val="8"/>
          <w:sz w:val="25"/>
          <w:szCs w:val="25"/>
        </w:rPr>
        <w:t>技能”评价方式，有序推进中职、高职到应用型本科人才培养体系构</w:t>
      </w:r>
      <w:r>
        <w:rPr>
          <w:rFonts w:ascii="宋体" w:hAnsi="宋体" w:eastAsia="宋体" w:cs="宋体"/>
          <w:spacing w:val="7"/>
          <w:sz w:val="25"/>
          <w:szCs w:val="25"/>
        </w:rPr>
        <w:t>建，促进</w:t>
      </w:r>
      <w:r>
        <w:rPr>
          <w:rFonts w:ascii="宋体" w:hAnsi="宋体" w:eastAsia="宋体" w:cs="宋体"/>
          <w:sz w:val="25"/>
          <w:szCs w:val="25"/>
        </w:rPr>
        <w:t xml:space="preserve"> </w:t>
      </w:r>
      <w:r>
        <w:rPr>
          <w:rFonts w:ascii="宋体" w:hAnsi="宋体" w:eastAsia="宋体" w:cs="宋体"/>
          <w:spacing w:val="8"/>
          <w:sz w:val="25"/>
          <w:szCs w:val="25"/>
        </w:rPr>
        <w:t>职业院校教育教学改革，省教科院通过发函征求修订意见等方式，收集全</w:t>
      </w:r>
      <w:r>
        <w:rPr>
          <w:rFonts w:ascii="宋体" w:hAnsi="宋体" w:eastAsia="宋体" w:cs="宋体"/>
          <w:spacing w:val="7"/>
          <w:sz w:val="25"/>
          <w:szCs w:val="25"/>
        </w:rPr>
        <w:t>省参</w:t>
      </w:r>
      <w:r>
        <w:rPr>
          <w:rFonts w:ascii="宋体" w:hAnsi="宋体" w:eastAsia="宋体" w:cs="宋体"/>
          <w:sz w:val="25"/>
          <w:szCs w:val="25"/>
        </w:rPr>
        <w:t xml:space="preserve"> </w:t>
      </w:r>
      <w:r>
        <w:rPr>
          <w:rFonts w:ascii="宋体" w:hAnsi="宋体" w:eastAsia="宋体" w:cs="宋体"/>
          <w:spacing w:val="7"/>
          <w:sz w:val="25"/>
          <w:szCs w:val="25"/>
        </w:rPr>
        <w:t>与招生的普通高等院校和广大中职学校反馈意见，组织修订编制《安徽省普通</w:t>
      </w:r>
      <w:r>
        <w:rPr>
          <w:rFonts w:ascii="宋体" w:hAnsi="宋体" w:eastAsia="宋体" w:cs="宋体"/>
          <w:spacing w:val="10"/>
          <w:sz w:val="25"/>
          <w:szCs w:val="25"/>
        </w:rPr>
        <w:t xml:space="preserve"> </w:t>
      </w:r>
      <w:r>
        <w:rPr>
          <w:rFonts w:ascii="宋体" w:hAnsi="宋体" w:eastAsia="宋体" w:cs="宋体"/>
          <w:spacing w:val="18"/>
          <w:sz w:val="25"/>
          <w:szCs w:val="25"/>
        </w:rPr>
        <w:t>高校对口招生专业理论和技能测试考试纲要(2025年版)》(以下简</w:t>
      </w:r>
      <w:r>
        <w:rPr>
          <w:rFonts w:ascii="宋体" w:hAnsi="宋体" w:eastAsia="宋体" w:cs="宋体"/>
          <w:spacing w:val="17"/>
          <w:sz w:val="25"/>
          <w:szCs w:val="25"/>
        </w:rPr>
        <w:t>称《考试</w:t>
      </w:r>
      <w:r>
        <w:rPr>
          <w:rFonts w:ascii="宋体" w:hAnsi="宋体" w:eastAsia="宋体" w:cs="宋体"/>
          <w:sz w:val="25"/>
          <w:szCs w:val="25"/>
        </w:rPr>
        <w:t xml:space="preserve"> </w:t>
      </w:r>
      <w:r>
        <w:rPr>
          <w:rFonts w:ascii="宋体" w:hAnsi="宋体" w:eastAsia="宋体" w:cs="宋体"/>
          <w:spacing w:val="28"/>
          <w:sz w:val="25"/>
          <w:szCs w:val="25"/>
        </w:rPr>
        <w:t>纲要(2025年版)》)</w:t>
      </w:r>
    </w:p>
    <w:p w14:paraId="057EE3BD">
      <w:pPr>
        <w:spacing w:before="34" w:line="219" w:lineRule="auto"/>
        <w:ind w:left="500"/>
        <w:rPr>
          <w:rFonts w:ascii="宋体" w:hAnsi="宋体" w:eastAsia="宋体" w:cs="宋体"/>
          <w:sz w:val="25"/>
          <w:szCs w:val="25"/>
        </w:rPr>
      </w:pPr>
      <w:r>
        <w:rPr>
          <w:rFonts w:ascii="宋体" w:hAnsi="宋体" w:eastAsia="宋体" w:cs="宋体"/>
          <w:spacing w:val="-10"/>
          <w:sz w:val="25"/>
          <w:szCs w:val="25"/>
        </w:rPr>
        <w:t>本次修订按照循序渐进、有机衔接、平稳过渡的原则，做了如下调整和修订：</w:t>
      </w:r>
    </w:p>
    <w:p w14:paraId="2FBB50E6">
      <w:pPr>
        <w:spacing w:before="153" w:line="325" w:lineRule="auto"/>
        <w:ind w:firstLine="500"/>
        <w:rPr>
          <w:rFonts w:ascii="宋体" w:hAnsi="宋体" w:eastAsia="宋体" w:cs="宋体"/>
          <w:sz w:val="25"/>
          <w:szCs w:val="25"/>
        </w:rPr>
      </w:pPr>
      <w:r>
        <w:rPr>
          <w:rFonts w:ascii="宋体" w:hAnsi="宋体" w:eastAsia="宋体" w:cs="宋体"/>
          <w:spacing w:val="13"/>
          <w:sz w:val="25"/>
          <w:szCs w:val="25"/>
        </w:rPr>
        <w:t>1.</w:t>
      </w:r>
      <w:r>
        <w:rPr>
          <w:rFonts w:ascii="宋体" w:hAnsi="宋体" w:eastAsia="宋体" w:cs="宋体"/>
          <w:spacing w:val="-37"/>
          <w:sz w:val="25"/>
          <w:szCs w:val="25"/>
        </w:rPr>
        <w:t xml:space="preserve"> </w:t>
      </w:r>
      <w:r>
        <w:rPr>
          <w:rFonts w:ascii="宋体" w:hAnsi="宋体" w:eastAsia="宋体" w:cs="宋体"/>
          <w:spacing w:val="13"/>
          <w:sz w:val="25"/>
          <w:szCs w:val="25"/>
        </w:rPr>
        <w:t>结合应用型本科招生计划实际，对应新增的应用化学专</w:t>
      </w:r>
      <w:r>
        <w:rPr>
          <w:rFonts w:ascii="宋体" w:hAnsi="宋体" w:eastAsia="宋体" w:cs="宋体"/>
          <w:spacing w:val="12"/>
          <w:sz w:val="25"/>
          <w:szCs w:val="25"/>
        </w:rPr>
        <w:t>业进行补充修</w:t>
      </w:r>
      <w:r>
        <w:rPr>
          <w:rFonts w:ascii="宋体" w:hAnsi="宋体" w:eastAsia="宋体" w:cs="宋体"/>
          <w:sz w:val="25"/>
          <w:szCs w:val="25"/>
        </w:rPr>
        <w:t xml:space="preserve"> </w:t>
      </w:r>
      <w:r>
        <w:rPr>
          <w:rFonts w:ascii="宋体" w:hAnsi="宋体" w:eastAsia="宋体" w:cs="宋体"/>
          <w:spacing w:val="8"/>
          <w:sz w:val="25"/>
          <w:szCs w:val="25"/>
        </w:rPr>
        <w:t>订，新增了《生物与化工大类专业理论考试纲要》和《生物与化工大类专</w:t>
      </w:r>
      <w:r>
        <w:rPr>
          <w:rFonts w:ascii="宋体" w:hAnsi="宋体" w:eastAsia="宋体" w:cs="宋体"/>
          <w:spacing w:val="7"/>
          <w:sz w:val="25"/>
          <w:szCs w:val="25"/>
        </w:rPr>
        <w:t>业技</w:t>
      </w:r>
      <w:r>
        <w:rPr>
          <w:rFonts w:ascii="宋体" w:hAnsi="宋体" w:eastAsia="宋体" w:cs="宋体"/>
          <w:sz w:val="25"/>
          <w:szCs w:val="25"/>
        </w:rPr>
        <w:t xml:space="preserve"> </w:t>
      </w:r>
      <w:r>
        <w:rPr>
          <w:rFonts w:ascii="宋体" w:hAnsi="宋体" w:eastAsia="宋体" w:cs="宋体"/>
          <w:spacing w:val="2"/>
          <w:sz w:val="25"/>
          <w:szCs w:val="25"/>
        </w:rPr>
        <w:t>能测试纲要》。</w:t>
      </w:r>
    </w:p>
    <w:p w14:paraId="2F299567">
      <w:pPr>
        <w:spacing w:before="31" w:line="323" w:lineRule="auto"/>
        <w:ind w:right="1" w:firstLine="500"/>
        <w:rPr>
          <w:rFonts w:ascii="宋体" w:hAnsi="宋体" w:eastAsia="宋体" w:cs="宋体"/>
          <w:sz w:val="25"/>
          <w:szCs w:val="25"/>
        </w:rPr>
      </w:pPr>
      <w:r>
        <w:rPr>
          <w:rFonts w:ascii="宋体" w:hAnsi="宋体" w:eastAsia="宋体" w:cs="宋体"/>
          <w:spacing w:val="8"/>
          <w:sz w:val="25"/>
          <w:szCs w:val="25"/>
        </w:rPr>
        <w:t>2.按照《安徽省职业院校教材管理实施细则》要求，对农林牧渔大类、财</w:t>
      </w:r>
      <w:r>
        <w:rPr>
          <w:rFonts w:ascii="宋体" w:hAnsi="宋体" w:eastAsia="宋体" w:cs="宋体"/>
          <w:spacing w:val="4"/>
          <w:sz w:val="25"/>
          <w:szCs w:val="25"/>
        </w:rPr>
        <w:t xml:space="preserve"> </w:t>
      </w:r>
      <w:r>
        <w:rPr>
          <w:rFonts w:ascii="宋体" w:hAnsi="宋体" w:eastAsia="宋体" w:cs="宋体"/>
          <w:spacing w:val="8"/>
          <w:sz w:val="25"/>
          <w:szCs w:val="25"/>
        </w:rPr>
        <w:t>经商贸大类、土木建筑大类、轻工纺织大类、教育与体育大类所依据的</w:t>
      </w:r>
      <w:r>
        <w:rPr>
          <w:rFonts w:ascii="宋体" w:hAnsi="宋体" w:eastAsia="宋体" w:cs="宋体"/>
          <w:spacing w:val="7"/>
          <w:sz w:val="25"/>
          <w:szCs w:val="25"/>
        </w:rPr>
        <w:t>教材版</w:t>
      </w:r>
      <w:r>
        <w:rPr>
          <w:rFonts w:ascii="宋体" w:hAnsi="宋体" w:eastAsia="宋体" w:cs="宋体"/>
          <w:sz w:val="25"/>
          <w:szCs w:val="25"/>
        </w:rPr>
        <w:t xml:space="preserve"> 本进行更新。</w:t>
      </w:r>
    </w:p>
    <w:p w14:paraId="3039FBCF">
      <w:pPr>
        <w:spacing w:before="38" w:line="219" w:lineRule="auto"/>
        <w:ind w:left="500"/>
        <w:rPr>
          <w:rFonts w:ascii="宋体" w:hAnsi="宋体" w:eastAsia="宋体" w:cs="宋体"/>
          <w:sz w:val="25"/>
          <w:szCs w:val="25"/>
        </w:rPr>
      </w:pPr>
      <w:r>
        <w:rPr>
          <w:rFonts w:ascii="宋体" w:hAnsi="宋体" w:eastAsia="宋体" w:cs="宋体"/>
          <w:spacing w:val="6"/>
          <w:sz w:val="25"/>
          <w:szCs w:val="25"/>
        </w:rPr>
        <w:t>未尽事宜以省教育厅2025年度对口招生有关文件规定为准。</w:t>
      </w:r>
    </w:p>
    <w:p w14:paraId="37DC448A">
      <w:pPr>
        <w:spacing w:before="153" w:line="318" w:lineRule="auto"/>
        <w:ind w:firstLine="500"/>
        <w:rPr>
          <w:rFonts w:ascii="宋体" w:hAnsi="宋体" w:eastAsia="宋体" w:cs="宋体"/>
          <w:sz w:val="25"/>
          <w:szCs w:val="25"/>
        </w:rPr>
      </w:pPr>
      <w:r>
        <w:rPr>
          <w:rFonts w:ascii="宋体" w:hAnsi="宋体" w:eastAsia="宋体" w:cs="宋体"/>
          <w:spacing w:val="15"/>
          <w:sz w:val="25"/>
          <w:szCs w:val="25"/>
        </w:rPr>
        <w:t>各地各校在使用《考试纲要(2025年版)》的过程中有何意见和建议，请</w:t>
      </w:r>
      <w:r>
        <w:rPr>
          <w:rFonts w:ascii="宋体" w:hAnsi="宋体" w:eastAsia="宋体" w:cs="宋体"/>
          <w:spacing w:val="10"/>
          <w:sz w:val="25"/>
          <w:szCs w:val="25"/>
        </w:rPr>
        <w:t xml:space="preserve"> </w:t>
      </w:r>
      <w:r>
        <w:rPr>
          <w:rFonts w:ascii="宋体" w:hAnsi="宋体" w:eastAsia="宋体" w:cs="宋体"/>
          <w:spacing w:val="6"/>
          <w:sz w:val="25"/>
          <w:szCs w:val="25"/>
        </w:rPr>
        <w:t>及时反馈给安徽省教育科学研究院职教研究所。</w:t>
      </w:r>
    </w:p>
    <w:p w14:paraId="6FA8062F">
      <w:pPr>
        <w:spacing w:before="41" w:line="325" w:lineRule="auto"/>
        <w:ind w:left="500" w:right="2626"/>
        <w:rPr>
          <w:rFonts w:ascii="宋体" w:hAnsi="宋体" w:eastAsia="宋体" w:cs="宋体"/>
          <w:sz w:val="25"/>
          <w:szCs w:val="25"/>
        </w:rPr>
      </w:pPr>
      <w:r>
        <w:rPr>
          <w:rFonts w:ascii="宋体" w:hAnsi="宋体" w:eastAsia="宋体" w:cs="宋体"/>
          <w:spacing w:val="9"/>
          <w:sz w:val="25"/>
          <w:szCs w:val="25"/>
        </w:rPr>
        <w:t>联系人：段红、倪朦；联系电话：0551-62634913</w:t>
      </w:r>
      <w:r>
        <w:rPr>
          <w:rFonts w:ascii="宋体" w:hAnsi="宋体" w:eastAsia="宋体" w:cs="宋体"/>
          <w:spacing w:val="17"/>
          <w:sz w:val="25"/>
          <w:szCs w:val="25"/>
        </w:rPr>
        <w:t xml:space="preserve"> </w:t>
      </w:r>
      <w:r>
        <w:rPr>
          <w:rFonts w:ascii="宋体" w:hAnsi="宋体" w:eastAsia="宋体" w:cs="宋体"/>
          <w:spacing w:val="10"/>
          <w:sz w:val="25"/>
          <w:szCs w:val="25"/>
        </w:rPr>
        <w:t>电子邮箱：45847944@</w:t>
      </w:r>
      <w:r>
        <w:rPr>
          <w:rFonts w:ascii="宋体" w:hAnsi="宋体" w:eastAsia="宋体" w:cs="宋体"/>
          <w:sz w:val="25"/>
          <w:szCs w:val="25"/>
        </w:rPr>
        <w:t>qq</w:t>
      </w:r>
      <w:r>
        <w:rPr>
          <w:rFonts w:ascii="宋体" w:hAnsi="宋体" w:eastAsia="宋体" w:cs="宋体"/>
          <w:spacing w:val="10"/>
          <w:sz w:val="25"/>
          <w:szCs w:val="25"/>
        </w:rPr>
        <w:t>.</w:t>
      </w:r>
      <w:r>
        <w:rPr>
          <w:rFonts w:ascii="宋体" w:hAnsi="宋体" w:eastAsia="宋体" w:cs="宋体"/>
          <w:sz w:val="25"/>
          <w:szCs w:val="25"/>
        </w:rPr>
        <w:t>com</w:t>
      </w:r>
      <w:r>
        <w:rPr>
          <w:rFonts w:ascii="宋体" w:hAnsi="宋体" w:eastAsia="宋体" w:cs="宋体"/>
          <w:spacing w:val="10"/>
          <w:sz w:val="25"/>
          <w:szCs w:val="25"/>
        </w:rPr>
        <w:t>。</w:t>
      </w:r>
    </w:p>
    <w:p w14:paraId="48FFA8AB">
      <w:pPr>
        <w:spacing w:before="16" w:line="320" w:lineRule="auto"/>
        <w:ind w:left="5839" w:right="557" w:hanging="200"/>
        <w:rPr>
          <w:rFonts w:ascii="宋体" w:hAnsi="宋体" w:eastAsia="宋体" w:cs="宋体"/>
          <w:sz w:val="25"/>
          <w:szCs w:val="25"/>
        </w:rPr>
      </w:pPr>
      <w:r>
        <w:rPr>
          <w:rFonts w:ascii="宋体" w:hAnsi="宋体" w:eastAsia="宋体" w:cs="宋体"/>
          <w:spacing w:val="7"/>
          <w:sz w:val="25"/>
          <w:szCs w:val="25"/>
        </w:rPr>
        <w:t>安徽省教育科学研究院</w:t>
      </w:r>
      <w:r>
        <w:rPr>
          <w:rFonts w:ascii="宋体" w:hAnsi="宋体" w:eastAsia="宋体" w:cs="宋体"/>
          <w:spacing w:val="3"/>
          <w:sz w:val="25"/>
          <w:szCs w:val="25"/>
        </w:rPr>
        <w:t xml:space="preserve"> </w:t>
      </w:r>
      <w:r>
        <w:rPr>
          <w:rFonts w:ascii="宋体" w:hAnsi="宋体" w:eastAsia="宋体" w:cs="宋体"/>
          <w:spacing w:val="37"/>
          <w:sz w:val="25"/>
          <w:szCs w:val="25"/>
        </w:rPr>
        <w:t>2024年11月18日</w:t>
      </w:r>
    </w:p>
    <w:p w14:paraId="53DA6C6C">
      <w:pPr>
        <w:spacing w:line="320" w:lineRule="auto"/>
        <w:rPr>
          <w:rFonts w:ascii="宋体" w:hAnsi="宋体" w:eastAsia="宋体" w:cs="宋体"/>
          <w:sz w:val="25"/>
          <w:szCs w:val="25"/>
        </w:rPr>
        <w:sectPr>
          <w:footerReference r:id="rId7" w:type="default"/>
          <w:pgSz w:w="10660" w:h="15080"/>
          <w:pgMar w:top="400" w:right="858" w:bottom="927" w:left="1029" w:header="0" w:footer="718" w:gutter="0"/>
          <w:cols w:space="720" w:num="1"/>
        </w:sectPr>
      </w:pPr>
    </w:p>
    <w:p w14:paraId="58525435">
      <w:pPr>
        <w:pStyle w:val="2"/>
      </w:pPr>
    </w:p>
    <w:p w14:paraId="2BCE4FD5">
      <w:pPr>
        <w:sectPr>
          <w:footerReference r:id="rId8" w:type="default"/>
          <w:pgSz w:w="10660" w:h="15080"/>
          <w:pgMar w:top="0" w:right="0" w:bottom="0" w:left="0" w:header="0" w:footer="0" w:gutter="0"/>
          <w:cols w:space="720" w:num="1"/>
        </w:sectPr>
      </w:pPr>
    </w:p>
    <w:p w14:paraId="2BC6BCA0">
      <w:pPr>
        <w:pStyle w:val="2"/>
        <w:spacing w:line="282" w:lineRule="auto"/>
      </w:pPr>
    </w:p>
    <w:p w14:paraId="290E3789">
      <w:pPr>
        <w:pStyle w:val="2"/>
        <w:spacing w:line="282" w:lineRule="auto"/>
      </w:pPr>
    </w:p>
    <w:p w14:paraId="314CE3FC">
      <w:pPr>
        <w:pStyle w:val="2"/>
        <w:spacing w:line="282" w:lineRule="auto"/>
      </w:pPr>
    </w:p>
    <w:p w14:paraId="5E7D3DD0">
      <w:pPr>
        <w:pStyle w:val="2"/>
        <w:spacing w:line="282" w:lineRule="auto"/>
      </w:pPr>
    </w:p>
    <w:p w14:paraId="664EA13D">
      <w:pPr>
        <w:pStyle w:val="2"/>
        <w:spacing w:line="282" w:lineRule="auto"/>
      </w:pPr>
    </w:p>
    <w:sdt>
      <w:sdtPr>
        <w:rPr>
          <w:rFonts w:ascii="楷体" w:hAnsi="楷体" w:eastAsia="楷体" w:cs="楷体"/>
          <w:sz w:val="33"/>
          <w:szCs w:val="33"/>
        </w:rPr>
        <w:id w:val="147451504"/>
        <w:docPartObj>
          <w:docPartGallery w:val="Table of Contents"/>
          <w:docPartUnique/>
        </w:docPartObj>
      </w:sdtPr>
      <w:sdtEndPr>
        <w:rPr>
          <w:rFonts w:ascii="Times New Roman" w:hAnsi="Times New Roman" w:eastAsia="Times New Roman" w:cs="Times New Roman"/>
          <w:sz w:val="24"/>
          <w:szCs w:val="24"/>
        </w:rPr>
      </w:sdtEndPr>
      <w:sdtContent>
        <w:p w14:paraId="328383B0">
          <w:pPr>
            <w:spacing w:before="107" w:line="227" w:lineRule="auto"/>
            <w:ind w:left="3664"/>
            <w:rPr>
              <w:rFonts w:ascii="楷体" w:hAnsi="楷体" w:eastAsia="楷体" w:cs="楷体"/>
              <w:sz w:val="33"/>
              <w:szCs w:val="33"/>
            </w:rPr>
          </w:pPr>
          <w:r>
            <w:rPr>
              <w:rFonts w:ascii="楷体" w:hAnsi="楷体" w:eastAsia="楷体" w:cs="楷体"/>
              <w:b/>
              <w:bCs/>
              <w:spacing w:val="-47"/>
              <w:sz w:val="33"/>
              <w:szCs w:val="33"/>
            </w:rPr>
            <w:t>目</w:t>
          </w:r>
          <w:r>
            <w:rPr>
              <w:rFonts w:ascii="楷体" w:hAnsi="楷体" w:eastAsia="楷体" w:cs="楷体"/>
              <w:spacing w:val="30"/>
              <w:sz w:val="33"/>
              <w:szCs w:val="33"/>
            </w:rPr>
            <w:t xml:space="preserve">     </w:t>
          </w:r>
          <w:r>
            <w:rPr>
              <w:rFonts w:ascii="楷体" w:hAnsi="楷体" w:eastAsia="楷体" w:cs="楷体"/>
              <w:b/>
              <w:bCs/>
              <w:spacing w:val="-47"/>
              <w:sz w:val="33"/>
              <w:szCs w:val="33"/>
            </w:rPr>
            <w:t>录</w:t>
          </w:r>
        </w:p>
        <w:p w14:paraId="2945ACAB">
          <w:pPr>
            <w:pStyle w:val="2"/>
            <w:spacing w:line="305" w:lineRule="auto"/>
          </w:pPr>
        </w:p>
        <w:p w14:paraId="60B3927C">
          <w:pPr>
            <w:pStyle w:val="2"/>
            <w:spacing w:line="305" w:lineRule="auto"/>
          </w:pPr>
        </w:p>
        <w:p w14:paraId="0183DF30">
          <w:pPr>
            <w:pStyle w:val="2"/>
            <w:spacing w:line="305" w:lineRule="auto"/>
          </w:pPr>
        </w:p>
        <w:p w14:paraId="2A1A5666">
          <w:pPr>
            <w:spacing w:before="101" w:line="224" w:lineRule="auto"/>
            <w:ind w:left="34"/>
            <w:rPr>
              <w:rFonts w:ascii="楷体" w:hAnsi="楷体" w:eastAsia="楷体" w:cs="楷体"/>
              <w:sz w:val="31"/>
              <w:szCs w:val="31"/>
            </w:rPr>
          </w:pPr>
          <w:bookmarkStart w:id="0" w:name="bookmark1"/>
          <w:bookmarkEnd w:id="0"/>
          <w:r>
            <w:fldChar w:fldCharType="begin"/>
          </w:r>
          <w:r>
            <w:instrText xml:space="preserve"> HYPERLINK \l "bookmark1" </w:instrText>
          </w:r>
          <w:r>
            <w:fldChar w:fldCharType="separate"/>
          </w:r>
          <w:r>
            <w:rPr>
              <w:rFonts w:ascii="楷体" w:hAnsi="楷体" w:eastAsia="楷体" w:cs="楷体"/>
              <w:b/>
              <w:bCs/>
              <w:spacing w:val="10"/>
              <w:sz w:val="31"/>
              <w:szCs w:val="31"/>
            </w:rPr>
            <w:t>第一部分：专业理论考试纲要</w:t>
          </w:r>
          <w:r>
            <w:rPr>
              <w:rFonts w:ascii="楷体" w:hAnsi="楷体" w:eastAsia="楷体" w:cs="楷体"/>
              <w:b/>
              <w:bCs/>
              <w:spacing w:val="10"/>
              <w:sz w:val="31"/>
              <w:szCs w:val="31"/>
            </w:rPr>
            <w:fldChar w:fldCharType="end"/>
          </w:r>
        </w:p>
        <w:p w14:paraId="66EF87DC">
          <w:pPr>
            <w:tabs>
              <w:tab w:val="right" w:leader="dot" w:pos="8680"/>
            </w:tabs>
            <w:spacing w:before="106" w:line="225" w:lineRule="auto"/>
            <w:rPr>
              <w:rFonts w:ascii="Times New Roman" w:hAnsi="Times New Roman" w:eastAsia="Times New Roman" w:cs="Times New Roman"/>
              <w:sz w:val="24"/>
              <w:szCs w:val="24"/>
            </w:rPr>
          </w:pPr>
          <w:bookmarkStart w:id="1" w:name="bookmark2"/>
          <w:bookmarkEnd w:id="1"/>
          <w:r>
            <w:fldChar w:fldCharType="begin"/>
          </w:r>
          <w:r>
            <w:instrText xml:space="preserve"> HYPERLINK \l "bookmark2" </w:instrText>
          </w:r>
          <w:r>
            <w:fldChar w:fldCharType="separate"/>
          </w:r>
          <w:r>
            <w:rPr>
              <w:rFonts w:ascii="Times New Roman" w:hAnsi="Times New Roman" w:eastAsia="Times New Roman" w:cs="Times New Roman"/>
              <w:spacing w:val="11"/>
              <w:sz w:val="24"/>
              <w:szCs w:val="24"/>
            </w:rPr>
            <w:t>1.</w:t>
          </w:r>
          <w:r>
            <w:rPr>
              <w:rFonts w:ascii="楷体" w:hAnsi="楷体" w:eastAsia="楷体" w:cs="楷体"/>
              <w:spacing w:val="11"/>
              <w:sz w:val="24"/>
              <w:szCs w:val="24"/>
            </w:rPr>
            <w:t>农林牧渔大类专业理论考试纲要</w:t>
          </w:r>
          <w:r>
            <w:rPr>
              <w:rFonts w:ascii="楷体" w:hAnsi="楷体" w:eastAsia="楷体" w:cs="楷体"/>
              <w:spacing w:val="-98"/>
              <w:sz w:val="24"/>
              <w:szCs w:val="24"/>
            </w:rPr>
            <w:t xml:space="preserve"> </w:t>
          </w:r>
          <w:r>
            <w:rPr>
              <w:rFonts w:ascii="楷体" w:hAnsi="楷体" w:eastAsia="楷体" w:cs="楷体"/>
              <w:sz w:val="24"/>
              <w:szCs w:val="24"/>
            </w:rPr>
            <w:tab/>
          </w:r>
          <w:r>
            <w:rPr>
              <w:rFonts w:ascii="楷体" w:hAnsi="楷体" w:eastAsia="楷体" w:cs="楷体"/>
              <w:spacing w:val="-44"/>
              <w:sz w:val="24"/>
              <w:szCs w:val="24"/>
            </w:rPr>
            <w:t xml:space="preserve"> </w:t>
          </w:r>
          <w:r>
            <w:rPr>
              <w:rFonts w:ascii="Times New Roman" w:hAnsi="Times New Roman" w:eastAsia="Times New Roman" w:cs="Times New Roman"/>
              <w:sz w:val="24"/>
              <w:szCs w:val="24"/>
            </w:rPr>
            <w:t>1</w:t>
          </w:r>
          <w:r>
            <w:rPr>
              <w:rFonts w:ascii="Times New Roman" w:hAnsi="Times New Roman" w:eastAsia="Times New Roman" w:cs="Times New Roman"/>
              <w:sz w:val="24"/>
              <w:szCs w:val="24"/>
            </w:rPr>
            <w:fldChar w:fldCharType="end"/>
          </w:r>
        </w:p>
        <w:p w14:paraId="37BA23DA">
          <w:pPr>
            <w:tabs>
              <w:tab w:val="right" w:leader="dot" w:pos="8730"/>
            </w:tabs>
            <w:spacing w:before="157" w:line="225" w:lineRule="auto"/>
            <w:rPr>
              <w:rFonts w:ascii="Times New Roman" w:hAnsi="Times New Roman" w:eastAsia="Times New Roman" w:cs="Times New Roman"/>
              <w:sz w:val="24"/>
              <w:szCs w:val="24"/>
            </w:rPr>
          </w:pPr>
          <w:bookmarkStart w:id="2" w:name="bookmark3"/>
          <w:bookmarkEnd w:id="2"/>
          <w:r>
            <w:fldChar w:fldCharType="begin"/>
          </w:r>
          <w:r>
            <w:instrText xml:space="preserve"> HYPERLINK \l "bookmark3" </w:instrText>
          </w:r>
          <w:r>
            <w:fldChar w:fldCharType="separate"/>
          </w:r>
          <w:r>
            <w:rPr>
              <w:rFonts w:ascii="Times New Roman" w:hAnsi="Times New Roman" w:eastAsia="Times New Roman" w:cs="Times New Roman"/>
              <w:spacing w:val="8"/>
              <w:sz w:val="24"/>
              <w:szCs w:val="24"/>
            </w:rPr>
            <w:t>2.</w:t>
          </w:r>
          <w:r>
            <w:rPr>
              <w:rFonts w:ascii="Times New Roman" w:hAnsi="Times New Roman" w:eastAsia="Times New Roman" w:cs="Times New Roman"/>
              <w:spacing w:val="-12"/>
              <w:sz w:val="24"/>
              <w:szCs w:val="24"/>
            </w:rPr>
            <w:t xml:space="preserve"> </w:t>
          </w:r>
          <w:r>
            <w:rPr>
              <w:rFonts w:ascii="楷体" w:hAnsi="楷体" w:eastAsia="楷体" w:cs="楷体"/>
              <w:spacing w:val="8"/>
              <w:sz w:val="24"/>
              <w:szCs w:val="24"/>
            </w:rPr>
            <w:t>装备制造大类专业理论考试纲要</w:t>
          </w:r>
          <w:r>
            <w:rPr>
              <w:rFonts w:ascii="楷体" w:hAnsi="楷体" w:eastAsia="楷体" w:cs="楷体"/>
              <w:spacing w:val="-98"/>
              <w:sz w:val="24"/>
              <w:szCs w:val="24"/>
            </w:rPr>
            <w:t xml:space="preserve"> </w:t>
          </w:r>
          <w:r>
            <w:rPr>
              <w:rFonts w:ascii="楷体" w:hAnsi="楷体" w:eastAsia="楷体" w:cs="楷体"/>
              <w:sz w:val="24"/>
              <w:szCs w:val="24"/>
            </w:rPr>
            <w:tab/>
          </w:r>
          <w:r>
            <w:rPr>
              <w:rFonts w:ascii="Times New Roman" w:hAnsi="Times New Roman" w:eastAsia="Times New Roman" w:cs="Times New Roman"/>
              <w:spacing w:val="-11"/>
              <w:sz w:val="24"/>
              <w:szCs w:val="24"/>
            </w:rPr>
            <w:t>11</w:t>
          </w:r>
          <w:r>
            <w:rPr>
              <w:rFonts w:ascii="Times New Roman" w:hAnsi="Times New Roman" w:eastAsia="Times New Roman" w:cs="Times New Roman"/>
              <w:spacing w:val="-11"/>
              <w:sz w:val="24"/>
              <w:szCs w:val="24"/>
            </w:rPr>
            <w:fldChar w:fldCharType="end"/>
          </w:r>
        </w:p>
        <w:p w14:paraId="1C62E56D">
          <w:pPr>
            <w:tabs>
              <w:tab w:val="right" w:leader="dot" w:pos="8690"/>
            </w:tabs>
            <w:spacing w:before="157" w:line="224" w:lineRule="auto"/>
            <w:rPr>
              <w:rFonts w:ascii="Times New Roman" w:hAnsi="Times New Roman" w:eastAsia="Times New Roman" w:cs="Times New Roman"/>
              <w:sz w:val="24"/>
              <w:szCs w:val="24"/>
            </w:rPr>
          </w:pPr>
          <w:bookmarkStart w:id="3" w:name="bookmark4"/>
          <w:bookmarkEnd w:id="3"/>
          <w:r>
            <w:fldChar w:fldCharType="begin"/>
          </w:r>
          <w:r>
            <w:instrText xml:space="preserve"> HYPERLINK \l "bookmark4" </w:instrText>
          </w:r>
          <w:r>
            <w:fldChar w:fldCharType="separate"/>
          </w:r>
          <w:r>
            <w:rPr>
              <w:rFonts w:ascii="Times New Roman" w:hAnsi="Times New Roman" w:eastAsia="Times New Roman" w:cs="Times New Roman"/>
              <w:spacing w:val="11"/>
              <w:sz w:val="24"/>
              <w:szCs w:val="24"/>
            </w:rPr>
            <w:t>3.</w:t>
          </w:r>
          <w:r>
            <w:rPr>
              <w:rFonts w:ascii="楷体" w:hAnsi="楷体" w:eastAsia="楷体" w:cs="楷体"/>
              <w:spacing w:val="11"/>
              <w:sz w:val="24"/>
              <w:szCs w:val="24"/>
            </w:rPr>
            <w:t>财经商贸大类专业理论考试纲要</w:t>
          </w:r>
          <w:r>
            <w:rPr>
              <w:rFonts w:ascii="楷体" w:hAnsi="楷体" w:eastAsia="楷体" w:cs="楷体"/>
              <w:spacing w:val="-98"/>
              <w:sz w:val="24"/>
              <w:szCs w:val="24"/>
            </w:rPr>
            <w:t xml:space="preserve"> </w:t>
          </w:r>
          <w:r>
            <w:rPr>
              <w:rFonts w:ascii="楷体" w:hAnsi="楷体" w:eastAsia="楷体" w:cs="楷体"/>
              <w:sz w:val="24"/>
              <w:szCs w:val="24"/>
            </w:rPr>
            <w:tab/>
          </w:r>
          <w:r>
            <w:rPr>
              <w:rFonts w:ascii="Times New Roman" w:hAnsi="Times New Roman" w:eastAsia="Times New Roman" w:cs="Times New Roman"/>
              <w:spacing w:val="-7"/>
              <w:sz w:val="24"/>
              <w:szCs w:val="24"/>
            </w:rPr>
            <w:t>16</w:t>
          </w:r>
          <w:r>
            <w:rPr>
              <w:rFonts w:ascii="Times New Roman" w:hAnsi="Times New Roman" w:eastAsia="Times New Roman" w:cs="Times New Roman"/>
              <w:spacing w:val="-7"/>
              <w:sz w:val="24"/>
              <w:szCs w:val="24"/>
            </w:rPr>
            <w:fldChar w:fldCharType="end"/>
          </w:r>
        </w:p>
        <w:p w14:paraId="124FE2E5">
          <w:pPr>
            <w:tabs>
              <w:tab w:val="right" w:leader="dot" w:pos="8704"/>
            </w:tabs>
            <w:spacing w:before="159" w:line="225" w:lineRule="auto"/>
            <w:rPr>
              <w:rFonts w:ascii="Times New Roman" w:hAnsi="Times New Roman" w:eastAsia="Times New Roman" w:cs="Times New Roman"/>
              <w:sz w:val="24"/>
              <w:szCs w:val="24"/>
            </w:rPr>
          </w:pPr>
          <w:bookmarkStart w:id="4" w:name="bookmark5"/>
          <w:bookmarkEnd w:id="4"/>
          <w:r>
            <w:fldChar w:fldCharType="begin"/>
          </w:r>
          <w:r>
            <w:instrText xml:space="preserve"> HYPERLINK \l "bookmark5" </w:instrText>
          </w:r>
          <w:r>
            <w:fldChar w:fldCharType="separate"/>
          </w:r>
          <w:r>
            <w:rPr>
              <w:rFonts w:ascii="Times New Roman" w:hAnsi="Times New Roman" w:eastAsia="Times New Roman" w:cs="Times New Roman"/>
              <w:spacing w:val="11"/>
              <w:sz w:val="24"/>
              <w:szCs w:val="24"/>
            </w:rPr>
            <w:t>4.</w:t>
          </w:r>
          <w:r>
            <w:rPr>
              <w:rFonts w:ascii="楷体" w:hAnsi="楷体" w:eastAsia="楷体" w:cs="楷体"/>
              <w:spacing w:val="11"/>
              <w:sz w:val="24"/>
              <w:szCs w:val="24"/>
            </w:rPr>
            <w:t>电子与信息大类专业理论考试纲要</w:t>
          </w:r>
          <w:r>
            <w:rPr>
              <w:rFonts w:ascii="楷体" w:hAnsi="楷体" w:eastAsia="楷体" w:cs="楷体"/>
              <w:spacing w:val="-89"/>
              <w:sz w:val="24"/>
              <w:szCs w:val="24"/>
            </w:rPr>
            <w:t xml:space="preserve"> </w:t>
          </w:r>
          <w:r>
            <w:rPr>
              <w:rFonts w:ascii="楷体" w:hAnsi="楷体" w:eastAsia="楷体" w:cs="楷体"/>
              <w:sz w:val="24"/>
              <w:szCs w:val="24"/>
            </w:rPr>
            <w:tab/>
          </w:r>
          <w:r>
            <w:rPr>
              <w:rFonts w:ascii="Times New Roman" w:hAnsi="Times New Roman" w:eastAsia="Times New Roman" w:cs="Times New Roman"/>
              <w:spacing w:val="-1"/>
              <w:sz w:val="24"/>
              <w:szCs w:val="24"/>
            </w:rPr>
            <w:t>28</w:t>
          </w:r>
          <w:r>
            <w:rPr>
              <w:rFonts w:ascii="Times New Roman" w:hAnsi="Times New Roman" w:eastAsia="Times New Roman" w:cs="Times New Roman"/>
              <w:spacing w:val="-1"/>
              <w:sz w:val="24"/>
              <w:szCs w:val="24"/>
            </w:rPr>
            <w:fldChar w:fldCharType="end"/>
          </w:r>
        </w:p>
        <w:p w14:paraId="63F6E8CB">
          <w:pPr>
            <w:tabs>
              <w:tab w:val="right" w:leader="dot" w:pos="8710"/>
            </w:tabs>
            <w:spacing w:before="158" w:line="225" w:lineRule="auto"/>
            <w:rPr>
              <w:rFonts w:ascii="Times New Roman" w:hAnsi="Times New Roman" w:eastAsia="Times New Roman" w:cs="Times New Roman"/>
              <w:sz w:val="24"/>
              <w:szCs w:val="24"/>
            </w:rPr>
          </w:pPr>
          <w:bookmarkStart w:id="5" w:name="bookmark6"/>
          <w:bookmarkEnd w:id="5"/>
          <w:r>
            <w:fldChar w:fldCharType="begin"/>
          </w:r>
          <w:r>
            <w:instrText xml:space="preserve"> HYPERLINK \l "bookmark6" </w:instrText>
          </w:r>
          <w:r>
            <w:fldChar w:fldCharType="separate"/>
          </w:r>
          <w:r>
            <w:rPr>
              <w:rFonts w:ascii="Times New Roman" w:hAnsi="Times New Roman" w:eastAsia="Times New Roman" w:cs="Times New Roman"/>
              <w:spacing w:val="12"/>
              <w:sz w:val="24"/>
              <w:szCs w:val="24"/>
            </w:rPr>
            <w:t>5.</w:t>
          </w:r>
          <w:r>
            <w:rPr>
              <w:rFonts w:ascii="楷体" w:hAnsi="楷体" w:eastAsia="楷体" w:cs="楷体"/>
              <w:spacing w:val="12"/>
              <w:sz w:val="24"/>
              <w:szCs w:val="24"/>
            </w:rPr>
            <w:t>土木建筑大类专业理论考试纲要</w:t>
          </w:r>
          <w:r>
            <w:rPr>
              <w:rFonts w:ascii="楷体" w:hAnsi="楷体" w:eastAsia="楷体" w:cs="楷体"/>
              <w:spacing w:val="-94"/>
              <w:sz w:val="24"/>
              <w:szCs w:val="24"/>
            </w:rPr>
            <w:t xml:space="preserve"> </w:t>
          </w:r>
          <w:r>
            <w:rPr>
              <w:rFonts w:ascii="楷体" w:hAnsi="楷体" w:eastAsia="楷体" w:cs="楷体"/>
              <w:sz w:val="24"/>
              <w:szCs w:val="24"/>
            </w:rPr>
            <w:tab/>
          </w:r>
          <w:r>
            <w:rPr>
              <w:rFonts w:ascii="Times New Roman" w:hAnsi="Times New Roman" w:eastAsia="Times New Roman" w:cs="Times New Roman"/>
              <w:spacing w:val="-2"/>
              <w:sz w:val="24"/>
              <w:szCs w:val="24"/>
            </w:rPr>
            <w:t>34</w:t>
          </w:r>
          <w:r>
            <w:rPr>
              <w:rFonts w:ascii="Times New Roman" w:hAnsi="Times New Roman" w:eastAsia="Times New Roman" w:cs="Times New Roman"/>
              <w:spacing w:val="-2"/>
              <w:sz w:val="24"/>
              <w:szCs w:val="24"/>
            </w:rPr>
            <w:fldChar w:fldCharType="end"/>
          </w:r>
        </w:p>
        <w:p w14:paraId="6D567C2E">
          <w:pPr>
            <w:tabs>
              <w:tab w:val="right" w:leader="dot" w:pos="8697"/>
            </w:tabs>
            <w:spacing w:before="157" w:line="225" w:lineRule="auto"/>
            <w:rPr>
              <w:rFonts w:ascii="Times New Roman" w:hAnsi="Times New Roman" w:eastAsia="Times New Roman" w:cs="Times New Roman"/>
              <w:sz w:val="24"/>
              <w:szCs w:val="24"/>
            </w:rPr>
          </w:pPr>
          <w:bookmarkStart w:id="6" w:name="bookmark7"/>
          <w:bookmarkEnd w:id="6"/>
          <w:r>
            <w:fldChar w:fldCharType="begin"/>
          </w:r>
          <w:r>
            <w:instrText xml:space="preserve"> HYPERLINK \l "bookmark7" </w:instrText>
          </w:r>
          <w:r>
            <w:fldChar w:fldCharType="separate"/>
          </w:r>
          <w:r>
            <w:rPr>
              <w:rFonts w:ascii="Times New Roman" w:hAnsi="Times New Roman" w:eastAsia="Times New Roman" w:cs="Times New Roman"/>
              <w:spacing w:val="11"/>
              <w:sz w:val="24"/>
              <w:szCs w:val="24"/>
            </w:rPr>
            <w:t>6.</w:t>
          </w:r>
          <w:r>
            <w:rPr>
              <w:rFonts w:ascii="楷体" w:hAnsi="楷体" w:eastAsia="楷体" w:cs="楷体"/>
              <w:spacing w:val="11"/>
              <w:sz w:val="24"/>
              <w:szCs w:val="24"/>
            </w:rPr>
            <w:t>旅游大类专业理论考试纲要</w:t>
          </w:r>
          <w:r>
            <w:rPr>
              <w:rFonts w:ascii="楷体" w:hAnsi="楷体" w:eastAsia="楷体" w:cs="楷体"/>
              <w:spacing w:val="-86"/>
              <w:sz w:val="24"/>
              <w:szCs w:val="24"/>
            </w:rPr>
            <w:t xml:space="preserve"> </w:t>
          </w:r>
          <w:r>
            <w:rPr>
              <w:rFonts w:ascii="楷体" w:hAnsi="楷体" w:eastAsia="楷体" w:cs="楷体"/>
              <w:sz w:val="24"/>
              <w:szCs w:val="24"/>
            </w:rPr>
            <w:tab/>
          </w:r>
          <w:r>
            <w:rPr>
              <w:rFonts w:ascii="Times New Roman" w:hAnsi="Times New Roman" w:eastAsia="Times New Roman" w:cs="Times New Roman"/>
              <w:spacing w:val="-8"/>
              <w:w w:val="97"/>
              <w:sz w:val="24"/>
              <w:szCs w:val="24"/>
            </w:rPr>
            <w:t>42</w:t>
          </w:r>
          <w:r>
            <w:rPr>
              <w:rFonts w:ascii="Times New Roman" w:hAnsi="Times New Roman" w:eastAsia="Times New Roman" w:cs="Times New Roman"/>
              <w:spacing w:val="-8"/>
              <w:w w:val="97"/>
              <w:sz w:val="24"/>
              <w:szCs w:val="24"/>
            </w:rPr>
            <w:fldChar w:fldCharType="end"/>
          </w:r>
        </w:p>
        <w:p w14:paraId="34110B65">
          <w:pPr>
            <w:tabs>
              <w:tab w:val="right" w:leader="dot" w:pos="8715"/>
            </w:tabs>
            <w:spacing w:before="155" w:line="223" w:lineRule="auto"/>
            <w:rPr>
              <w:rFonts w:ascii="Times New Roman" w:hAnsi="Times New Roman" w:eastAsia="Times New Roman" w:cs="Times New Roman"/>
              <w:sz w:val="24"/>
              <w:szCs w:val="24"/>
            </w:rPr>
          </w:pPr>
          <w:bookmarkStart w:id="7" w:name="bookmark8"/>
          <w:bookmarkEnd w:id="7"/>
          <w:r>
            <w:fldChar w:fldCharType="begin"/>
          </w:r>
          <w:r>
            <w:instrText xml:space="preserve"> HYPERLINK \l "bookmark8" </w:instrText>
          </w:r>
          <w:r>
            <w:fldChar w:fldCharType="separate"/>
          </w:r>
          <w:r>
            <w:rPr>
              <w:rFonts w:ascii="Times New Roman" w:hAnsi="Times New Roman" w:eastAsia="Times New Roman" w:cs="Times New Roman"/>
              <w:spacing w:val="10"/>
              <w:sz w:val="24"/>
              <w:szCs w:val="24"/>
            </w:rPr>
            <w:t>7.</w:t>
          </w:r>
          <w:r>
            <w:rPr>
              <w:rFonts w:ascii="Times New Roman" w:hAnsi="Times New Roman" w:eastAsia="Times New Roman" w:cs="Times New Roman"/>
              <w:spacing w:val="-14"/>
              <w:sz w:val="24"/>
              <w:szCs w:val="24"/>
            </w:rPr>
            <w:t xml:space="preserve"> </w:t>
          </w:r>
          <w:r>
            <w:rPr>
              <w:rFonts w:ascii="楷体" w:hAnsi="楷体" w:eastAsia="楷体" w:cs="楷体"/>
              <w:spacing w:val="10"/>
              <w:sz w:val="24"/>
              <w:szCs w:val="24"/>
            </w:rPr>
            <w:t>公共管理与服务大类专业理论考试纲要</w:t>
          </w:r>
          <w:r>
            <w:rPr>
              <w:rFonts w:ascii="楷体" w:hAnsi="楷体" w:eastAsia="楷体" w:cs="楷体"/>
              <w:spacing w:val="-98"/>
              <w:sz w:val="24"/>
              <w:szCs w:val="24"/>
            </w:rPr>
            <w:t xml:space="preserve"> </w:t>
          </w:r>
          <w:r>
            <w:rPr>
              <w:rFonts w:ascii="楷体" w:hAnsi="楷体" w:eastAsia="楷体" w:cs="楷体"/>
              <w:sz w:val="24"/>
              <w:szCs w:val="24"/>
            </w:rPr>
            <w:tab/>
          </w:r>
          <w:r>
            <w:rPr>
              <w:rFonts w:ascii="Times New Roman" w:hAnsi="Times New Roman" w:eastAsia="Times New Roman" w:cs="Times New Roman"/>
              <w:sz w:val="24"/>
              <w:szCs w:val="24"/>
            </w:rPr>
            <w:t>48</w:t>
          </w:r>
          <w:r>
            <w:rPr>
              <w:rFonts w:ascii="Times New Roman" w:hAnsi="Times New Roman" w:eastAsia="Times New Roman" w:cs="Times New Roman"/>
              <w:sz w:val="24"/>
              <w:szCs w:val="24"/>
            </w:rPr>
            <w:fldChar w:fldCharType="end"/>
          </w:r>
        </w:p>
        <w:p w14:paraId="1D69B86C">
          <w:pPr>
            <w:tabs>
              <w:tab w:val="right" w:leader="dot" w:pos="8707"/>
            </w:tabs>
            <w:spacing w:before="153" w:line="225" w:lineRule="auto"/>
            <w:rPr>
              <w:rFonts w:ascii="Times New Roman" w:hAnsi="Times New Roman" w:eastAsia="Times New Roman" w:cs="Times New Roman"/>
              <w:sz w:val="24"/>
              <w:szCs w:val="24"/>
            </w:rPr>
          </w:pPr>
          <w:bookmarkStart w:id="8" w:name="bookmark9"/>
          <w:bookmarkEnd w:id="8"/>
          <w:r>
            <w:fldChar w:fldCharType="begin"/>
          </w:r>
          <w:r>
            <w:instrText xml:space="preserve"> HYPERLINK \l "bookmark9" </w:instrText>
          </w:r>
          <w:r>
            <w:fldChar w:fldCharType="separate"/>
          </w:r>
          <w:r>
            <w:rPr>
              <w:rFonts w:ascii="Times New Roman" w:hAnsi="Times New Roman" w:eastAsia="Times New Roman" w:cs="Times New Roman"/>
              <w:spacing w:val="12"/>
              <w:sz w:val="24"/>
              <w:szCs w:val="24"/>
            </w:rPr>
            <w:t>8.</w:t>
          </w:r>
          <w:r>
            <w:rPr>
              <w:rFonts w:ascii="楷体" w:hAnsi="楷体" w:eastAsia="楷体" w:cs="楷体"/>
              <w:spacing w:val="12"/>
              <w:sz w:val="24"/>
              <w:szCs w:val="24"/>
            </w:rPr>
            <w:t>医药卫生大类专业理论考试纲要</w:t>
          </w:r>
          <w:r>
            <w:rPr>
              <w:rFonts w:ascii="楷体" w:hAnsi="楷体" w:eastAsia="楷体" w:cs="楷体"/>
              <w:spacing w:val="-83"/>
              <w:sz w:val="24"/>
              <w:szCs w:val="24"/>
            </w:rPr>
            <w:t xml:space="preserve"> </w:t>
          </w:r>
          <w:r>
            <w:rPr>
              <w:rFonts w:ascii="楷体" w:hAnsi="楷体" w:eastAsia="楷体" w:cs="楷体"/>
              <w:sz w:val="24"/>
              <w:szCs w:val="24"/>
            </w:rPr>
            <w:tab/>
          </w:r>
          <w:r>
            <w:rPr>
              <w:rFonts w:ascii="Times New Roman" w:hAnsi="Times New Roman" w:eastAsia="Times New Roman" w:cs="Times New Roman"/>
              <w:spacing w:val="-2"/>
              <w:sz w:val="24"/>
              <w:szCs w:val="24"/>
            </w:rPr>
            <w:t>56</w:t>
          </w:r>
          <w:r>
            <w:rPr>
              <w:rFonts w:ascii="Times New Roman" w:hAnsi="Times New Roman" w:eastAsia="Times New Roman" w:cs="Times New Roman"/>
              <w:spacing w:val="-2"/>
              <w:sz w:val="24"/>
              <w:szCs w:val="24"/>
            </w:rPr>
            <w:fldChar w:fldCharType="end"/>
          </w:r>
        </w:p>
        <w:p w14:paraId="4505F25F">
          <w:pPr>
            <w:tabs>
              <w:tab w:val="right" w:leader="dot" w:pos="8689"/>
            </w:tabs>
            <w:spacing w:before="157" w:line="225" w:lineRule="auto"/>
            <w:rPr>
              <w:rFonts w:ascii="Times New Roman" w:hAnsi="Times New Roman" w:eastAsia="Times New Roman" w:cs="Times New Roman"/>
              <w:sz w:val="24"/>
              <w:szCs w:val="24"/>
            </w:rPr>
          </w:pPr>
          <w:bookmarkStart w:id="9" w:name="bookmark10"/>
          <w:bookmarkEnd w:id="9"/>
          <w:r>
            <w:fldChar w:fldCharType="begin"/>
          </w:r>
          <w:r>
            <w:instrText xml:space="preserve"> HYPERLINK \l "bookmark10" </w:instrText>
          </w:r>
          <w:r>
            <w:fldChar w:fldCharType="separate"/>
          </w:r>
          <w:r>
            <w:rPr>
              <w:rFonts w:ascii="Times New Roman" w:hAnsi="Times New Roman" w:eastAsia="Times New Roman" w:cs="Times New Roman"/>
              <w:spacing w:val="12"/>
              <w:sz w:val="24"/>
              <w:szCs w:val="24"/>
            </w:rPr>
            <w:t>9.</w:t>
          </w:r>
          <w:r>
            <w:rPr>
              <w:rFonts w:ascii="楷体" w:hAnsi="楷体" w:eastAsia="楷体" w:cs="楷体"/>
              <w:spacing w:val="12"/>
              <w:sz w:val="24"/>
              <w:szCs w:val="24"/>
            </w:rPr>
            <w:t>轻工纺织大类专业综合考试纲要</w:t>
          </w:r>
          <w:r>
            <w:rPr>
              <w:rFonts w:ascii="楷体" w:hAnsi="楷体" w:eastAsia="楷体" w:cs="楷体"/>
              <w:spacing w:val="-83"/>
              <w:sz w:val="24"/>
              <w:szCs w:val="24"/>
            </w:rPr>
            <w:t xml:space="preserve"> </w:t>
          </w:r>
          <w:r>
            <w:rPr>
              <w:rFonts w:ascii="楷体" w:hAnsi="楷体" w:eastAsia="楷体" w:cs="楷体"/>
              <w:sz w:val="24"/>
              <w:szCs w:val="24"/>
            </w:rPr>
            <w:tab/>
          </w:r>
          <w:r>
            <w:rPr>
              <w:rFonts w:ascii="Times New Roman" w:hAnsi="Times New Roman" w:eastAsia="Times New Roman" w:cs="Times New Roman"/>
              <w:spacing w:val="-2"/>
              <w:sz w:val="24"/>
              <w:szCs w:val="24"/>
            </w:rPr>
            <w:t>65</w:t>
          </w:r>
          <w:r>
            <w:rPr>
              <w:rFonts w:ascii="Times New Roman" w:hAnsi="Times New Roman" w:eastAsia="Times New Roman" w:cs="Times New Roman"/>
              <w:spacing w:val="-2"/>
              <w:sz w:val="24"/>
              <w:szCs w:val="24"/>
            </w:rPr>
            <w:fldChar w:fldCharType="end"/>
          </w:r>
        </w:p>
        <w:p w14:paraId="348EEF2C">
          <w:pPr>
            <w:tabs>
              <w:tab w:val="right" w:leader="dot" w:pos="8699"/>
            </w:tabs>
            <w:spacing w:before="158" w:line="225" w:lineRule="auto"/>
            <w:rPr>
              <w:rFonts w:ascii="Times New Roman" w:hAnsi="Times New Roman" w:eastAsia="Times New Roman" w:cs="Times New Roman"/>
              <w:sz w:val="24"/>
              <w:szCs w:val="24"/>
            </w:rPr>
          </w:pPr>
          <w:bookmarkStart w:id="10" w:name="bookmark11"/>
          <w:bookmarkEnd w:id="10"/>
          <w:r>
            <w:fldChar w:fldCharType="begin"/>
          </w:r>
          <w:r>
            <w:instrText xml:space="preserve"> HYPERLINK \l "bookmark11" </w:instrText>
          </w:r>
          <w:r>
            <w:fldChar w:fldCharType="separate"/>
          </w:r>
          <w:r>
            <w:rPr>
              <w:rFonts w:ascii="Times New Roman" w:hAnsi="Times New Roman" w:eastAsia="Times New Roman" w:cs="Times New Roman"/>
              <w:spacing w:val="11"/>
              <w:sz w:val="24"/>
              <w:szCs w:val="24"/>
            </w:rPr>
            <w:t>10.</w:t>
          </w:r>
          <w:r>
            <w:rPr>
              <w:rFonts w:ascii="楷体" w:hAnsi="楷体" w:eastAsia="楷体" w:cs="楷体"/>
              <w:spacing w:val="11"/>
              <w:sz w:val="24"/>
              <w:szCs w:val="24"/>
            </w:rPr>
            <w:t>文化艺术大类专业理论考试纲要</w:t>
          </w:r>
          <w:r>
            <w:rPr>
              <w:rFonts w:ascii="楷体" w:hAnsi="楷体" w:eastAsia="楷体" w:cs="楷体"/>
              <w:spacing w:val="-89"/>
              <w:sz w:val="24"/>
              <w:szCs w:val="24"/>
            </w:rPr>
            <w:t xml:space="preserve"> </w:t>
          </w:r>
          <w:r>
            <w:rPr>
              <w:rFonts w:ascii="楷体" w:hAnsi="楷体" w:eastAsia="楷体" w:cs="楷体"/>
              <w:sz w:val="24"/>
              <w:szCs w:val="24"/>
            </w:rPr>
            <w:tab/>
          </w:r>
          <w:r>
            <w:rPr>
              <w:rFonts w:ascii="楷体" w:hAnsi="楷体" w:eastAsia="楷体" w:cs="楷体"/>
              <w:spacing w:val="-63"/>
              <w:sz w:val="24"/>
              <w:szCs w:val="24"/>
            </w:rPr>
            <w:t xml:space="preserve"> </w:t>
          </w:r>
          <w:r>
            <w:rPr>
              <w:rFonts w:ascii="Times New Roman" w:hAnsi="Times New Roman" w:eastAsia="Times New Roman" w:cs="Times New Roman"/>
              <w:spacing w:val="-3"/>
              <w:sz w:val="24"/>
              <w:szCs w:val="24"/>
            </w:rPr>
            <w:t>67</w:t>
          </w:r>
          <w:r>
            <w:rPr>
              <w:rFonts w:ascii="Times New Roman" w:hAnsi="Times New Roman" w:eastAsia="Times New Roman" w:cs="Times New Roman"/>
              <w:spacing w:val="-3"/>
              <w:sz w:val="24"/>
              <w:szCs w:val="24"/>
            </w:rPr>
            <w:fldChar w:fldCharType="end"/>
          </w:r>
        </w:p>
        <w:p w14:paraId="68005A8D">
          <w:pPr>
            <w:tabs>
              <w:tab w:val="right" w:leader="dot" w:pos="8720"/>
            </w:tabs>
            <w:spacing w:before="154" w:line="223" w:lineRule="auto"/>
            <w:rPr>
              <w:rFonts w:ascii="Times New Roman" w:hAnsi="Times New Roman" w:eastAsia="Times New Roman" w:cs="Times New Roman"/>
              <w:sz w:val="24"/>
              <w:szCs w:val="24"/>
            </w:rPr>
          </w:pPr>
          <w:bookmarkStart w:id="11" w:name="bookmark12"/>
          <w:bookmarkEnd w:id="11"/>
          <w:r>
            <w:fldChar w:fldCharType="begin"/>
          </w:r>
          <w:r>
            <w:instrText xml:space="preserve"> HYPERLINK \l "bookmark12" </w:instrText>
          </w:r>
          <w:r>
            <w:fldChar w:fldCharType="separate"/>
          </w:r>
          <w:r>
            <w:rPr>
              <w:rFonts w:ascii="Times New Roman" w:hAnsi="Times New Roman" w:eastAsia="Times New Roman" w:cs="Times New Roman"/>
              <w:spacing w:val="7"/>
              <w:sz w:val="24"/>
              <w:szCs w:val="24"/>
            </w:rPr>
            <w:t xml:space="preserve">11. </w:t>
          </w:r>
          <w:r>
            <w:rPr>
              <w:rFonts w:ascii="楷体" w:hAnsi="楷体" w:eastAsia="楷体" w:cs="楷体"/>
              <w:spacing w:val="7"/>
              <w:sz w:val="24"/>
              <w:szCs w:val="24"/>
            </w:rPr>
            <w:t>教育与体育大类专业理论考试纲要</w:t>
          </w:r>
          <w:r>
            <w:rPr>
              <w:rFonts w:ascii="楷体" w:hAnsi="楷体" w:eastAsia="楷体" w:cs="楷体"/>
              <w:spacing w:val="-84"/>
              <w:sz w:val="24"/>
              <w:szCs w:val="24"/>
            </w:rPr>
            <w:t xml:space="preserve"> </w:t>
          </w:r>
          <w:r>
            <w:rPr>
              <w:rFonts w:ascii="楷体" w:hAnsi="楷体" w:eastAsia="楷体" w:cs="楷体"/>
              <w:sz w:val="24"/>
              <w:szCs w:val="24"/>
            </w:rPr>
            <w:tab/>
          </w:r>
          <w:r>
            <w:rPr>
              <w:rFonts w:ascii="楷体" w:hAnsi="楷体" w:eastAsia="楷体" w:cs="楷体"/>
              <w:spacing w:val="-53"/>
              <w:sz w:val="24"/>
              <w:szCs w:val="24"/>
            </w:rPr>
            <w:t xml:space="preserve"> </w:t>
          </w:r>
          <w:r>
            <w:rPr>
              <w:rFonts w:ascii="Times New Roman" w:hAnsi="Times New Roman" w:eastAsia="Times New Roman" w:cs="Times New Roman"/>
              <w:spacing w:val="-3"/>
              <w:sz w:val="24"/>
              <w:szCs w:val="24"/>
            </w:rPr>
            <w:t>71</w:t>
          </w:r>
          <w:r>
            <w:rPr>
              <w:rFonts w:ascii="Times New Roman" w:hAnsi="Times New Roman" w:eastAsia="Times New Roman" w:cs="Times New Roman"/>
              <w:spacing w:val="-3"/>
              <w:sz w:val="24"/>
              <w:szCs w:val="24"/>
            </w:rPr>
            <w:fldChar w:fldCharType="end"/>
          </w:r>
        </w:p>
        <w:p w14:paraId="57A01930">
          <w:pPr>
            <w:tabs>
              <w:tab w:val="right" w:leader="dot" w:pos="8700"/>
            </w:tabs>
            <w:spacing w:before="163" w:line="225" w:lineRule="auto"/>
            <w:rPr>
              <w:rFonts w:ascii="Times New Roman" w:hAnsi="Times New Roman" w:eastAsia="Times New Roman" w:cs="Times New Roman"/>
              <w:sz w:val="24"/>
              <w:szCs w:val="24"/>
            </w:rPr>
          </w:pPr>
          <w:bookmarkStart w:id="12" w:name="bookmark13"/>
          <w:bookmarkEnd w:id="12"/>
          <w:r>
            <w:fldChar w:fldCharType="begin"/>
          </w:r>
          <w:r>
            <w:instrText xml:space="preserve"> HYPERLINK \l "bookmark13" </w:instrText>
          </w:r>
          <w:r>
            <w:fldChar w:fldCharType="separate"/>
          </w:r>
          <w:r>
            <w:rPr>
              <w:rFonts w:ascii="Times New Roman" w:hAnsi="Times New Roman" w:eastAsia="Times New Roman" w:cs="Times New Roman"/>
              <w:spacing w:val="4"/>
              <w:sz w:val="24"/>
              <w:szCs w:val="24"/>
            </w:rPr>
            <w:t>12.</w:t>
          </w:r>
          <w:r>
            <w:rPr>
              <w:rFonts w:ascii="Times New Roman" w:hAnsi="Times New Roman" w:eastAsia="Times New Roman" w:cs="Times New Roman"/>
              <w:spacing w:val="1"/>
              <w:sz w:val="24"/>
              <w:szCs w:val="24"/>
            </w:rPr>
            <w:t xml:space="preserve"> </w:t>
          </w:r>
          <w:r>
            <w:rPr>
              <w:rFonts w:ascii="楷体" w:hAnsi="楷体" w:eastAsia="楷体" w:cs="楷体"/>
              <w:spacing w:val="4"/>
              <w:sz w:val="24"/>
              <w:szCs w:val="24"/>
            </w:rPr>
            <w:t>交通运输大类专业理论考试纲要</w:t>
          </w:r>
          <w:r>
            <w:rPr>
              <w:rFonts w:ascii="楷体" w:hAnsi="楷体" w:eastAsia="楷体" w:cs="楷体"/>
              <w:spacing w:val="39"/>
              <w:sz w:val="24"/>
              <w:szCs w:val="24"/>
            </w:rPr>
            <w:t xml:space="preserve"> </w:t>
          </w:r>
          <w:r>
            <w:rPr>
              <w:rFonts w:ascii="楷体" w:hAnsi="楷体" w:eastAsia="楷体" w:cs="楷体"/>
              <w:sz w:val="24"/>
              <w:szCs w:val="24"/>
            </w:rPr>
            <w:tab/>
          </w:r>
          <w:r>
            <w:rPr>
              <w:rFonts w:ascii="Times New Roman" w:hAnsi="Times New Roman" w:eastAsia="Times New Roman" w:cs="Times New Roman"/>
              <w:spacing w:val="-6"/>
              <w:sz w:val="24"/>
              <w:szCs w:val="24"/>
            </w:rPr>
            <w:t>75</w:t>
          </w:r>
          <w:r>
            <w:rPr>
              <w:rFonts w:ascii="Times New Roman" w:hAnsi="Times New Roman" w:eastAsia="Times New Roman" w:cs="Times New Roman"/>
              <w:spacing w:val="-6"/>
              <w:sz w:val="24"/>
              <w:szCs w:val="24"/>
            </w:rPr>
            <w:fldChar w:fldCharType="end"/>
          </w:r>
        </w:p>
        <w:p w14:paraId="16596B7F">
          <w:pPr>
            <w:tabs>
              <w:tab w:val="right" w:leader="dot" w:pos="8705"/>
            </w:tabs>
            <w:spacing w:before="148" w:line="225" w:lineRule="auto"/>
            <w:rPr>
              <w:rFonts w:ascii="Times New Roman" w:hAnsi="Times New Roman" w:eastAsia="Times New Roman" w:cs="Times New Roman"/>
              <w:sz w:val="24"/>
              <w:szCs w:val="24"/>
            </w:rPr>
          </w:pPr>
          <w:bookmarkStart w:id="13" w:name="bookmark14"/>
          <w:bookmarkEnd w:id="13"/>
          <w:r>
            <w:fldChar w:fldCharType="begin"/>
          </w:r>
          <w:r>
            <w:instrText xml:space="preserve"> HYPERLINK \l "bookmark14" </w:instrText>
          </w:r>
          <w:r>
            <w:fldChar w:fldCharType="separate"/>
          </w:r>
          <w:r>
            <w:rPr>
              <w:rFonts w:ascii="Times New Roman" w:hAnsi="Times New Roman" w:eastAsia="Times New Roman" w:cs="Times New Roman"/>
              <w:spacing w:val="8"/>
              <w:sz w:val="24"/>
              <w:szCs w:val="24"/>
            </w:rPr>
            <w:t>13.</w:t>
          </w:r>
          <w:r>
            <w:rPr>
              <w:rFonts w:ascii="Times New Roman" w:hAnsi="Times New Roman" w:eastAsia="Times New Roman" w:cs="Times New Roman"/>
              <w:spacing w:val="2"/>
              <w:sz w:val="24"/>
              <w:szCs w:val="24"/>
            </w:rPr>
            <w:t xml:space="preserve"> </w:t>
          </w:r>
          <w:r>
            <w:rPr>
              <w:rFonts w:ascii="楷体" w:hAnsi="楷体" w:eastAsia="楷体" w:cs="楷体"/>
              <w:spacing w:val="8"/>
              <w:sz w:val="24"/>
              <w:szCs w:val="24"/>
            </w:rPr>
            <w:t>生物与化工大类专业理论考试纲要</w:t>
          </w:r>
          <w:r>
            <w:rPr>
              <w:rFonts w:ascii="楷体" w:hAnsi="楷体" w:eastAsia="楷体" w:cs="楷体"/>
              <w:spacing w:val="-97"/>
              <w:sz w:val="24"/>
              <w:szCs w:val="24"/>
            </w:rPr>
            <w:t xml:space="preserve"> </w:t>
          </w:r>
          <w:r>
            <w:rPr>
              <w:rFonts w:ascii="楷体" w:hAnsi="楷体" w:eastAsia="楷体" w:cs="楷体"/>
              <w:sz w:val="24"/>
              <w:szCs w:val="24"/>
            </w:rPr>
            <w:tab/>
          </w:r>
          <w:r>
            <w:rPr>
              <w:rFonts w:ascii="楷体" w:hAnsi="楷体" w:eastAsia="楷体" w:cs="楷体"/>
              <w:spacing w:val="-64"/>
              <w:sz w:val="24"/>
              <w:szCs w:val="24"/>
            </w:rPr>
            <w:t xml:space="preserve"> </w:t>
          </w:r>
          <w:r>
            <w:rPr>
              <w:rFonts w:ascii="Times New Roman" w:hAnsi="Times New Roman" w:eastAsia="Times New Roman" w:cs="Times New Roman"/>
              <w:spacing w:val="-4"/>
              <w:sz w:val="24"/>
              <w:szCs w:val="24"/>
            </w:rPr>
            <w:t>82</w:t>
          </w:r>
          <w:r>
            <w:rPr>
              <w:rFonts w:ascii="Times New Roman" w:hAnsi="Times New Roman" w:eastAsia="Times New Roman" w:cs="Times New Roman"/>
              <w:spacing w:val="-4"/>
              <w:sz w:val="24"/>
              <w:szCs w:val="24"/>
            </w:rPr>
            <w:fldChar w:fldCharType="end"/>
          </w:r>
        </w:p>
        <w:p w14:paraId="7CF1BA63">
          <w:pPr>
            <w:pStyle w:val="2"/>
            <w:spacing w:line="290" w:lineRule="auto"/>
          </w:pPr>
        </w:p>
        <w:p w14:paraId="0A9B9304">
          <w:pPr>
            <w:pStyle w:val="2"/>
            <w:spacing w:line="290" w:lineRule="auto"/>
          </w:pPr>
        </w:p>
        <w:p w14:paraId="2BB9D500">
          <w:pPr>
            <w:spacing w:before="101" w:line="224" w:lineRule="auto"/>
            <w:ind w:left="44"/>
            <w:rPr>
              <w:rFonts w:ascii="楷体" w:hAnsi="楷体" w:eastAsia="楷体" w:cs="楷体"/>
              <w:sz w:val="31"/>
              <w:szCs w:val="31"/>
            </w:rPr>
          </w:pPr>
          <w:bookmarkStart w:id="14" w:name="bookmark15"/>
          <w:bookmarkEnd w:id="14"/>
          <w:r>
            <w:fldChar w:fldCharType="begin"/>
          </w:r>
          <w:r>
            <w:instrText xml:space="preserve"> HYPERLINK \l "bookmark15" </w:instrText>
          </w:r>
          <w:r>
            <w:fldChar w:fldCharType="separate"/>
          </w:r>
          <w:r>
            <w:rPr>
              <w:rFonts w:ascii="楷体" w:hAnsi="楷体" w:eastAsia="楷体" w:cs="楷体"/>
              <w:b/>
              <w:bCs/>
              <w:spacing w:val="9"/>
              <w:sz w:val="31"/>
              <w:szCs w:val="31"/>
            </w:rPr>
            <w:t>第二部分：专业技能测试纲要</w:t>
          </w:r>
          <w:r>
            <w:rPr>
              <w:rFonts w:ascii="楷体" w:hAnsi="楷体" w:eastAsia="楷体" w:cs="楷体"/>
              <w:b/>
              <w:bCs/>
              <w:spacing w:val="9"/>
              <w:sz w:val="31"/>
              <w:szCs w:val="31"/>
            </w:rPr>
            <w:fldChar w:fldCharType="end"/>
          </w:r>
        </w:p>
        <w:p w14:paraId="01B24A32">
          <w:pPr>
            <w:tabs>
              <w:tab w:val="right" w:leader="dot" w:pos="8715"/>
            </w:tabs>
            <w:spacing w:before="117" w:line="225" w:lineRule="auto"/>
            <w:rPr>
              <w:rFonts w:ascii="Times New Roman" w:hAnsi="Times New Roman" w:eastAsia="Times New Roman" w:cs="Times New Roman"/>
              <w:sz w:val="24"/>
              <w:szCs w:val="24"/>
            </w:rPr>
          </w:pPr>
          <w:bookmarkStart w:id="15" w:name="bookmark16"/>
          <w:bookmarkEnd w:id="15"/>
          <w:r>
            <w:fldChar w:fldCharType="begin"/>
          </w:r>
          <w:r>
            <w:instrText xml:space="preserve"> HYPERLINK \l "bookmark16" </w:instrText>
          </w:r>
          <w:r>
            <w:fldChar w:fldCharType="separate"/>
          </w:r>
          <w:r>
            <w:rPr>
              <w:rFonts w:ascii="Times New Roman" w:hAnsi="Times New Roman" w:eastAsia="Times New Roman" w:cs="Times New Roman"/>
              <w:spacing w:val="9"/>
              <w:sz w:val="24"/>
              <w:szCs w:val="24"/>
            </w:rPr>
            <w:t>1.</w:t>
          </w:r>
          <w:r>
            <w:rPr>
              <w:rFonts w:ascii="楷体" w:hAnsi="楷体" w:eastAsia="楷体" w:cs="楷体"/>
              <w:spacing w:val="9"/>
              <w:sz w:val="24"/>
              <w:szCs w:val="24"/>
            </w:rPr>
            <w:t>农林牧渔大类专业技能测试纲要</w:t>
          </w:r>
          <w:r>
            <w:rPr>
              <w:rFonts w:ascii="楷体" w:hAnsi="楷体" w:eastAsia="楷体" w:cs="楷体"/>
              <w:spacing w:val="-86"/>
              <w:sz w:val="24"/>
              <w:szCs w:val="24"/>
            </w:rPr>
            <w:t xml:space="preserve"> </w:t>
          </w:r>
          <w:r>
            <w:rPr>
              <w:rFonts w:ascii="楷体" w:hAnsi="楷体" w:eastAsia="楷体" w:cs="楷体"/>
              <w:sz w:val="24"/>
              <w:szCs w:val="24"/>
            </w:rPr>
            <w:tab/>
          </w:r>
          <w:r>
            <w:rPr>
              <w:rFonts w:ascii="Times New Roman" w:hAnsi="Times New Roman" w:eastAsia="Times New Roman" w:cs="Times New Roman"/>
              <w:spacing w:val="-5"/>
              <w:sz w:val="24"/>
              <w:szCs w:val="24"/>
            </w:rPr>
            <w:t>87</w:t>
          </w:r>
          <w:r>
            <w:rPr>
              <w:rFonts w:ascii="Times New Roman" w:hAnsi="Times New Roman" w:eastAsia="Times New Roman" w:cs="Times New Roman"/>
              <w:spacing w:val="-5"/>
              <w:sz w:val="24"/>
              <w:szCs w:val="24"/>
            </w:rPr>
            <w:fldChar w:fldCharType="end"/>
          </w:r>
        </w:p>
        <w:p w14:paraId="17E573E8">
          <w:pPr>
            <w:tabs>
              <w:tab w:val="right" w:leader="dot" w:pos="8710"/>
            </w:tabs>
            <w:spacing w:before="157" w:line="225" w:lineRule="auto"/>
            <w:rPr>
              <w:rFonts w:ascii="Times New Roman" w:hAnsi="Times New Roman" w:eastAsia="Times New Roman" w:cs="Times New Roman"/>
              <w:sz w:val="24"/>
              <w:szCs w:val="24"/>
            </w:rPr>
          </w:pPr>
          <w:bookmarkStart w:id="16" w:name="bookmark17"/>
          <w:bookmarkEnd w:id="16"/>
          <w:r>
            <w:fldChar w:fldCharType="begin"/>
          </w:r>
          <w:r>
            <w:instrText xml:space="preserve"> HYPERLINK \l "bookmark17" </w:instrText>
          </w:r>
          <w:r>
            <w:fldChar w:fldCharType="separate"/>
          </w:r>
          <w:r>
            <w:rPr>
              <w:rFonts w:ascii="Times New Roman" w:hAnsi="Times New Roman" w:eastAsia="Times New Roman" w:cs="Times New Roman"/>
              <w:spacing w:val="11"/>
              <w:sz w:val="24"/>
              <w:szCs w:val="24"/>
            </w:rPr>
            <w:t>2.</w:t>
          </w:r>
          <w:r>
            <w:rPr>
              <w:rFonts w:ascii="楷体" w:hAnsi="楷体" w:eastAsia="楷体" w:cs="楷体"/>
              <w:spacing w:val="11"/>
              <w:sz w:val="24"/>
              <w:szCs w:val="24"/>
            </w:rPr>
            <w:t>装备制造大类专业技能测试纲要</w:t>
          </w:r>
          <w:r>
            <w:rPr>
              <w:rFonts w:ascii="楷体" w:hAnsi="楷体" w:eastAsia="楷体" w:cs="楷体"/>
              <w:spacing w:val="-88"/>
              <w:sz w:val="24"/>
              <w:szCs w:val="24"/>
            </w:rPr>
            <w:t xml:space="preserve"> </w:t>
          </w:r>
          <w:r>
            <w:rPr>
              <w:rFonts w:ascii="楷体" w:hAnsi="楷体" w:eastAsia="楷体" w:cs="楷体"/>
              <w:sz w:val="24"/>
              <w:szCs w:val="24"/>
            </w:rPr>
            <w:tab/>
          </w:r>
          <w:r>
            <w:rPr>
              <w:rFonts w:ascii="Times New Roman" w:hAnsi="Times New Roman" w:eastAsia="Times New Roman" w:cs="Times New Roman"/>
              <w:spacing w:val="-2"/>
              <w:sz w:val="24"/>
              <w:szCs w:val="24"/>
            </w:rPr>
            <w:t>94</w:t>
          </w:r>
          <w:r>
            <w:rPr>
              <w:rFonts w:ascii="Times New Roman" w:hAnsi="Times New Roman" w:eastAsia="Times New Roman" w:cs="Times New Roman"/>
              <w:spacing w:val="-2"/>
              <w:sz w:val="24"/>
              <w:szCs w:val="24"/>
            </w:rPr>
            <w:fldChar w:fldCharType="end"/>
          </w:r>
        </w:p>
        <w:p w14:paraId="52596AA5">
          <w:pPr>
            <w:tabs>
              <w:tab w:val="right" w:leader="dot" w:pos="8680"/>
            </w:tabs>
            <w:spacing w:before="167" w:line="224" w:lineRule="auto"/>
            <w:rPr>
              <w:rFonts w:ascii="Times New Roman" w:hAnsi="Times New Roman" w:eastAsia="Times New Roman" w:cs="Times New Roman"/>
              <w:sz w:val="24"/>
              <w:szCs w:val="24"/>
            </w:rPr>
          </w:pPr>
          <w:bookmarkStart w:id="17" w:name="bookmark18"/>
          <w:bookmarkEnd w:id="17"/>
          <w:r>
            <w:fldChar w:fldCharType="begin"/>
          </w:r>
          <w:r>
            <w:instrText xml:space="preserve"> HYPERLINK \l "bookmark18" </w:instrText>
          </w:r>
          <w:r>
            <w:fldChar w:fldCharType="separate"/>
          </w:r>
          <w:r>
            <w:rPr>
              <w:rFonts w:ascii="Times New Roman" w:hAnsi="Times New Roman" w:eastAsia="Times New Roman" w:cs="Times New Roman"/>
              <w:spacing w:val="12"/>
              <w:sz w:val="24"/>
              <w:szCs w:val="24"/>
            </w:rPr>
            <w:t>3.</w:t>
          </w:r>
          <w:r>
            <w:rPr>
              <w:rFonts w:ascii="楷体" w:hAnsi="楷体" w:eastAsia="楷体" w:cs="楷体"/>
              <w:spacing w:val="12"/>
              <w:sz w:val="24"/>
              <w:szCs w:val="24"/>
            </w:rPr>
            <w:t>财经商贸大类专业技能测试纲要</w:t>
          </w:r>
          <w:r>
            <w:rPr>
              <w:rFonts w:ascii="楷体" w:hAnsi="楷体" w:eastAsia="楷体" w:cs="楷体"/>
              <w:spacing w:val="-94"/>
              <w:sz w:val="24"/>
              <w:szCs w:val="24"/>
            </w:rPr>
            <w:t xml:space="preserve"> </w:t>
          </w:r>
          <w:r>
            <w:rPr>
              <w:rFonts w:ascii="楷体" w:hAnsi="楷体" w:eastAsia="楷体" w:cs="楷体"/>
              <w:sz w:val="24"/>
              <w:szCs w:val="24"/>
            </w:rPr>
            <w:tab/>
          </w:r>
          <w:r>
            <w:rPr>
              <w:rFonts w:ascii="楷体" w:hAnsi="楷体" w:eastAsia="楷体" w:cs="楷体"/>
              <w:spacing w:val="-62"/>
              <w:sz w:val="24"/>
              <w:szCs w:val="24"/>
            </w:rPr>
            <w:t xml:space="preserve"> </w:t>
          </w:r>
          <w:r>
            <w:rPr>
              <w:rFonts w:ascii="Times New Roman" w:hAnsi="Times New Roman" w:eastAsia="Times New Roman" w:cs="Times New Roman"/>
              <w:spacing w:val="-7"/>
              <w:sz w:val="24"/>
              <w:szCs w:val="24"/>
            </w:rPr>
            <w:t>100</w:t>
          </w:r>
          <w:r>
            <w:rPr>
              <w:rFonts w:ascii="Times New Roman" w:hAnsi="Times New Roman" w:eastAsia="Times New Roman" w:cs="Times New Roman"/>
              <w:spacing w:val="-7"/>
              <w:sz w:val="24"/>
              <w:szCs w:val="24"/>
            </w:rPr>
            <w:fldChar w:fldCharType="end"/>
          </w:r>
        </w:p>
      </w:sdtContent>
    </w:sdt>
    <w:p w14:paraId="4619B5EC">
      <w:pPr>
        <w:spacing w:line="224" w:lineRule="auto"/>
        <w:rPr>
          <w:rFonts w:ascii="Times New Roman" w:hAnsi="Times New Roman" w:eastAsia="Times New Roman" w:cs="Times New Roman"/>
          <w:sz w:val="24"/>
          <w:szCs w:val="24"/>
        </w:rPr>
        <w:sectPr>
          <w:footerReference r:id="rId9" w:type="default"/>
          <w:pgSz w:w="10660" w:h="15080"/>
          <w:pgMar w:top="400" w:right="918" w:bottom="954" w:left="1010" w:header="0" w:footer="738" w:gutter="0"/>
          <w:cols w:space="720" w:num="1"/>
        </w:sectPr>
      </w:pPr>
    </w:p>
    <w:p w14:paraId="1666ACC5">
      <w:pPr>
        <w:pStyle w:val="2"/>
        <w:spacing w:line="314" w:lineRule="auto"/>
      </w:pPr>
    </w:p>
    <w:p w14:paraId="0F69D07F">
      <w:pPr>
        <w:pStyle w:val="2"/>
        <w:spacing w:line="314" w:lineRule="auto"/>
      </w:pPr>
    </w:p>
    <w:p w14:paraId="4784FA46">
      <w:pPr>
        <w:pStyle w:val="2"/>
        <w:spacing w:line="315" w:lineRule="auto"/>
      </w:pPr>
    </w:p>
    <w:sdt>
      <w:sdtPr>
        <w:rPr>
          <w:rFonts w:ascii="Times New Roman" w:hAnsi="Times New Roman" w:eastAsia="Times New Roman" w:cs="Times New Roman"/>
          <w:sz w:val="24"/>
          <w:szCs w:val="24"/>
        </w:rPr>
        <w:id w:val="147458960"/>
        <w:docPartObj>
          <w:docPartGallery w:val="Table of Contents"/>
          <w:docPartUnique/>
        </w:docPartObj>
      </w:sdtPr>
      <w:sdtEndPr>
        <w:rPr>
          <w:rFonts w:ascii="Times New Roman" w:hAnsi="Times New Roman" w:eastAsia="Times New Roman" w:cs="Times New Roman"/>
          <w:sz w:val="24"/>
          <w:szCs w:val="24"/>
        </w:rPr>
      </w:sdtEndPr>
      <w:sdtContent>
        <w:p w14:paraId="3F11F3D2">
          <w:pPr>
            <w:tabs>
              <w:tab w:val="right" w:leader="dot" w:pos="8770"/>
            </w:tabs>
            <w:spacing w:before="78" w:line="225" w:lineRule="auto"/>
            <w:ind w:left="70"/>
            <w:rPr>
              <w:rFonts w:ascii="Times New Roman" w:hAnsi="Times New Roman" w:eastAsia="Times New Roman" w:cs="Times New Roman"/>
              <w:sz w:val="24"/>
              <w:szCs w:val="24"/>
            </w:rPr>
          </w:pPr>
          <w:bookmarkStart w:id="18" w:name="bookmark19"/>
          <w:bookmarkEnd w:id="18"/>
          <w:r>
            <w:fldChar w:fldCharType="begin"/>
          </w:r>
          <w:r>
            <w:instrText xml:space="preserve"> HYPERLINK \l "bookmark19" </w:instrText>
          </w:r>
          <w:r>
            <w:fldChar w:fldCharType="separate"/>
          </w:r>
          <w:r>
            <w:rPr>
              <w:rFonts w:ascii="Times New Roman" w:hAnsi="Times New Roman" w:eastAsia="Times New Roman" w:cs="Times New Roman"/>
              <w:spacing w:val="11"/>
              <w:sz w:val="24"/>
              <w:szCs w:val="24"/>
            </w:rPr>
            <w:t>4.</w:t>
          </w:r>
          <w:r>
            <w:rPr>
              <w:rFonts w:ascii="楷体" w:hAnsi="楷体" w:eastAsia="楷体" w:cs="楷体"/>
              <w:spacing w:val="11"/>
              <w:sz w:val="24"/>
              <w:szCs w:val="24"/>
            </w:rPr>
            <w:t>电子与信息大类专业技能测试纲要</w:t>
          </w:r>
          <w:r>
            <w:rPr>
              <w:rFonts w:ascii="楷体" w:hAnsi="楷体" w:eastAsia="楷体" w:cs="楷体"/>
              <w:spacing w:val="-89"/>
              <w:sz w:val="24"/>
              <w:szCs w:val="24"/>
            </w:rPr>
            <w:t xml:space="preserve"> </w:t>
          </w:r>
          <w:r>
            <w:rPr>
              <w:rFonts w:ascii="楷体" w:hAnsi="楷体" w:eastAsia="楷体" w:cs="楷体"/>
              <w:sz w:val="24"/>
              <w:szCs w:val="24"/>
            </w:rPr>
            <w:tab/>
          </w:r>
          <w:r>
            <w:rPr>
              <w:rFonts w:ascii="楷体" w:hAnsi="楷体" w:eastAsia="楷体" w:cs="楷体"/>
              <w:spacing w:val="-42"/>
              <w:sz w:val="24"/>
              <w:szCs w:val="24"/>
            </w:rPr>
            <w:t xml:space="preserve"> </w:t>
          </w:r>
          <w:r>
            <w:rPr>
              <w:rFonts w:ascii="Times New Roman" w:hAnsi="Times New Roman" w:eastAsia="Times New Roman" w:cs="Times New Roman"/>
              <w:spacing w:val="-7"/>
              <w:sz w:val="24"/>
              <w:szCs w:val="24"/>
            </w:rPr>
            <w:t>102</w:t>
          </w:r>
          <w:r>
            <w:rPr>
              <w:rFonts w:ascii="Times New Roman" w:hAnsi="Times New Roman" w:eastAsia="Times New Roman" w:cs="Times New Roman"/>
              <w:spacing w:val="-7"/>
              <w:sz w:val="24"/>
              <w:szCs w:val="24"/>
            </w:rPr>
            <w:fldChar w:fldCharType="end"/>
          </w:r>
        </w:p>
        <w:p w14:paraId="437A608D">
          <w:pPr>
            <w:tabs>
              <w:tab w:val="right" w:leader="dot" w:pos="8780"/>
            </w:tabs>
            <w:spacing w:before="157" w:line="225" w:lineRule="auto"/>
            <w:ind w:left="70"/>
            <w:rPr>
              <w:rFonts w:ascii="Times New Roman" w:hAnsi="Times New Roman" w:eastAsia="Times New Roman" w:cs="Times New Roman"/>
              <w:sz w:val="24"/>
              <w:szCs w:val="24"/>
            </w:rPr>
          </w:pPr>
          <w:bookmarkStart w:id="19" w:name="bookmark20"/>
          <w:bookmarkEnd w:id="19"/>
          <w:r>
            <w:fldChar w:fldCharType="begin"/>
          </w:r>
          <w:r>
            <w:instrText xml:space="preserve"> HYPERLINK \l "bookmark20" </w:instrText>
          </w:r>
          <w:r>
            <w:fldChar w:fldCharType="separate"/>
          </w:r>
          <w:r>
            <w:rPr>
              <w:rFonts w:ascii="Times New Roman" w:hAnsi="Times New Roman" w:eastAsia="Times New Roman" w:cs="Times New Roman"/>
              <w:spacing w:val="11"/>
              <w:sz w:val="24"/>
              <w:szCs w:val="24"/>
            </w:rPr>
            <w:t>5.</w:t>
          </w:r>
          <w:r>
            <w:rPr>
              <w:rFonts w:ascii="楷体" w:hAnsi="楷体" w:eastAsia="楷体" w:cs="楷体"/>
              <w:spacing w:val="11"/>
              <w:sz w:val="24"/>
              <w:szCs w:val="24"/>
            </w:rPr>
            <w:t>土木建筑大类专业技能测试纲要</w:t>
          </w:r>
          <w:r>
            <w:rPr>
              <w:rFonts w:ascii="楷体" w:hAnsi="楷体" w:eastAsia="楷体" w:cs="楷体"/>
              <w:spacing w:val="-88"/>
              <w:sz w:val="24"/>
              <w:szCs w:val="24"/>
            </w:rPr>
            <w:t xml:space="preserve"> </w:t>
          </w:r>
          <w:r>
            <w:rPr>
              <w:rFonts w:ascii="楷体" w:hAnsi="楷体" w:eastAsia="楷体" w:cs="楷体"/>
              <w:sz w:val="24"/>
              <w:szCs w:val="24"/>
            </w:rPr>
            <w:tab/>
          </w:r>
          <w:r>
            <w:rPr>
              <w:rFonts w:ascii="楷体" w:hAnsi="楷体" w:eastAsia="楷体" w:cs="楷体"/>
              <w:spacing w:val="-23"/>
              <w:sz w:val="24"/>
              <w:szCs w:val="24"/>
            </w:rPr>
            <w:t xml:space="preserve"> </w:t>
          </w:r>
          <w:r>
            <w:rPr>
              <w:rFonts w:ascii="Times New Roman" w:hAnsi="Times New Roman" w:eastAsia="Times New Roman" w:cs="Times New Roman"/>
              <w:spacing w:val="-10"/>
              <w:sz w:val="24"/>
              <w:szCs w:val="24"/>
            </w:rPr>
            <w:t>113</w:t>
          </w:r>
          <w:r>
            <w:rPr>
              <w:rFonts w:ascii="Times New Roman" w:hAnsi="Times New Roman" w:eastAsia="Times New Roman" w:cs="Times New Roman"/>
              <w:spacing w:val="-10"/>
              <w:sz w:val="24"/>
              <w:szCs w:val="24"/>
            </w:rPr>
            <w:fldChar w:fldCharType="end"/>
          </w:r>
        </w:p>
        <w:p w14:paraId="140BAB02">
          <w:pPr>
            <w:tabs>
              <w:tab w:val="right" w:leader="dot" w:pos="8780"/>
            </w:tabs>
            <w:spacing w:before="137" w:line="225" w:lineRule="auto"/>
            <w:ind w:left="70"/>
            <w:rPr>
              <w:rFonts w:ascii="Times New Roman" w:hAnsi="Times New Roman" w:eastAsia="Times New Roman" w:cs="Times New Roman"/>
              <w:sz w:val="24"/>
              <w:szCs w:val="24"/>
            </w:rPr>
          </w:pPr>
          <w:bookmarkStart w:id="20" w:name="bookmark21"/>
          <w:bookmarkEnd w:id="20"/>
          <w:r>
            <w:fldChar w:fldCharType="begin"/>
          </w:r>
          <w:r>
            <w:instrText xml:space="preserve"> HYPERLINK \l "bookmark21" </w:instrText>
          </w:r>
          <w:r>
            <w:fldChar w:fldCharType="separate"/>
          </w:r>
          <w:r>
            <w:rPr>
              <w:rFonts w:ascii="Times New Roman" w:hAnsi="Times New Roman" w:eastAsia="Times New Roman" w:cs="Times New Roman"/>
              <w:spacing w:val="11"/>
              <w:sz w:val="24"/>
              <w:szCs w:val="24"/>
            </w:rPr>
            <w:t>6.</w:t>
          </w:r>
          <w:r>
            <w:rPr>
              <w:rFonts w:ascii="楷体" w:hAnsi="楷体" w:eastAsia="楷体" w:cs="楷体"/>
              <w:spacing w:val="11"/>
              <w:sz w:val="24"/>
              <w:szCs w:val="24"/>
            </w:rPr>
            <w:t>旅游大类专业技能测试纲要</w:t>
          </w:r>
          <w:r>
            <w:rPr>
              <w:rFonts w:ascii="楷体" w:hAnsi="楷体" w:eastAsia="楷体" w:cs="楷体"/>
              <w:spacing w:val="-85"/>
              <w:sz w:val="24"/>
              <w:szCs w:val="24"/>
            </w:rPr>
            <w:t xml:space="preserve"> </w:t>
          </w:r>
          <w:r>
            <w:rPr>
              <w:rFonts w:ascii="楷体" w:hAnsi="楷体" w:eastAsia="楷体" w:cs="楷体"/>
              <w:sz w:val="24"/>
              <w:szCs w:val="24"/>
            </w:rPr>
            <w:tab/>
          </w:r>
          <w:r>
            <w:rPr>
              <w:rFonts w:ascii="Times New Roman" w:hAnsi="Times New Roman" w:eastAsia="Times New Roman" w:cs="Times New Roman"/>
              <w:spacing w:val="-9"/>
              <w:sz w:val="24"/>
              <w:szCs w:val="24"/>
            </w:rPr>
            <w:t>115</w:t>
          </w:r>
          <w:r>
            <w:rPr>
              <w:rFonts w:ascii="Times New Roman" w:hAnsi="Times New Roman" w:eastAsia="Times New Roman" w:cs="Times New Roman"/>
              <w:spacing w:val="-9"/>
              <w:sz w:val="24"/>
              <w:szCs w:val="24"/>
            </w:rPr>
            <w:fldChar w:fldCharType="end"/>
          </w:r>
        </w:p>
        <w:p w14:paraId="6E173EFB">
          <w:pPr>
            <w:tabs>
              <w:tab w:val="right" w:leader="dot" w:pos="8770"/>
            </w:tabs>
            <w:spacing w:before="164" w:line="223" w:lineRule="auto"/>
            <w:ind w:left="70"/>
            <w:rPr>
              <w:rFonts w:ascii="Times New Roman" w:hAnsi="Times New Roman" w:eastAsia="Times New Roman" w:cs="Times New Roman"/>
              <w:sz w:val="24"/>
              <w:szCs w:val="24"/>
            </w:rPr>
          </w:pPr>
          <w:bookmarkStart w:id="21" w:name="bookmark22"/>
          <w:bookmarkEnd w:id="21"/>
          <w:r>
            <w:fldChar w:fldCharType="begin"/>
          </w:r>
          <w:r>
            <w:instrText xml:space="preserve"> HYPERLINK \l "bookmark22" </w:instrText>
          </w:r>
          <w:r>
            <w:fldChar w:fldCharType="separate"/>
          </w:r>
          <w:r>
            <w:rPr>
              <w:rFonts w:ascii="Times New Roman" w:hAnsi="Times New Roman" w:eastAsia="Times New Roman" w:cs="Times New Roman"/>
              <w:spacing w:val="11"/>
              <w:sz w:val="24"/>
              <w:szCs w:val="24"/>
            </w:rPr>
            <w:t>7.</w:t>
          </w:r>
          <w:r>
            <w:rPr>
              <w:rFonts w:ascii="楷体" w:hAnsi="楷体" w:eastAsia="楷体" w:cs="楷体"/>
              <w:spacing w:val="11"/>
              <w:sz w:val="24"/>
              <w:szCs w:val="24"/>
            </w:rPr>
            <w:t>公共管理与服务大类专业技能测试纲要</w:t>
          </w:r>
          <w:r>
            <w:rPr>
              <w:rFonts w:ascii="楷体" w:hAnsi="楷体" w:eastAsia="楷体" w:cs="楷体"/>
              <w:spacing w:val="-80"/>
              <w:sz w:val="24"/>
              <w:szCs w:val="24"/>
            </w:rPr>
            <w:t xml:space="preserve"> </w:t>
          </w:r>
          <w:r>
            <w:rPr>
              <w:rFonts w:ascii="楷体" w:hAnsi="楷体" w:eastAsia="楷体" w:cs="楷体"/>
              <w:sz w:val="24"/>
              <w:szCs w:val="24"/>
            </w:rPr>
            <w:tab/>
          </w:r>
          <w:r>
            <w:rPr>
              <w:rFonts w:ascii="楷体" w:hAnsi="楷体" w:eastAsia="楷体" w:cs="楷体"/>
              <w:spacing w:val="-72"/>
              <w:sz w:val="24"/>
              <w:szCs w:val="24"/>
            </w:rPr>
            <w:t xml:space="preserve"> </w:t>
          </w:r>
          <w:r>
            <w:rPr>
              <w:rFonts w:ascii="Times New Roman" w:hAnsi="Times New Roman" w:eastAsia="Times New Roman" w:cs="Times New Roman"/>
              <w:spacing w:val="-7"/>
              <w:sz w:val="24"/>
              <w:szCs w:val="24"/>
            </w:rPr>
            <w:t>121</w:t>
          </w:r>
          <w:r>
            <w:rPr>
              <w:rFonts w:ascii="Times New Roman" w:hAnsi="Times New Roman" w:eastAsia="Times New Roman" w:cs="Times New Roman"/>
              <w:spacing w:val="-7"/>
              <w:sz w:val="24"/>
              <w:szCs w:val="24"/>
            </w:rPr>
            <w:fldChar w:fldCharType="end"/>
          </w:r>
        </w:p>
        <w:p w14:paraId="33C3682E">
          <w:pPr>
            <w:tabs>
              <w:tab w:val="right" w:leader="dot" w:pos="8760"/>
            </w:tabs>
            <w:spacing w:before="163" w:line="225" w:lineRule="auto"/>
            <w:ind w:left="70"/>
            <w:rPr>
              <w:rFonts w:ascii="Times New Roman" w:hAnsi="Times New Roman" w:eastAsia="Times New Roman" w:cs="Times New Roman"/>
              <w:sz w:val="24"/>
              <w:szCs w:val="24"/>
            </w:rPr>
          </w:pPr>
          <w:bookmarkStart w:id="22" w:name="bookmark23"/>
          <w:bookmarkEnd w:id="22"/>
          <w:r>
            <w:fldChar w:fldCharType="begin"/>
          </w:r>
          <w:r>
            <w:instrText xml:space="preserve"> HYPERLINK \l "bookmark23" </w:instrText>
          </w:r>
          <w:r>
            <w:fldChar w:fldCharType="separate"/>
          </w:r>
          <w:r>
            <w:rPr>
              <w:rFonts w:ascii="Times New Roman" w:hAnsi="Times New Roman" w:eastAsia="Times New Roman" w:cs="Times New Roman"/>
              <w:spacing w:val="12"/>
              <w:sz w:val="24"/>
              <w:szCs w:val="24"/>
            </w:rPr>
            <w:t>8.</w:t>
          </w:r>
          <w:r>
            <w:rPr>
              <w:rFonts w:ascii="楷体" w:hAnsi="楷体" w:eastAsia="楷体" w:cs="楷体"/>
              <w:spacing w:val="12"/>
              <w:sz w:val="24"/>
              <w:szCs w:val="24"/>
            </w:rPr>
            <w:t>医药卫生大类专业技能测试纲要</w:t>
          </w:r>
          <w:r>
            <w:rPr>
              <w:rFonts w:ascii="楷体" w:hAnsi="楷体" w:eastAsia="楷体" w:cs="楷体"/>
              <w:spacing w:val="-94"/>
              <w:sz w:val="24"/>
              <w:szCs w:val="24"/>
            </w:rPr>
            <w:t xml:space="preserve"> </w:t>
          </w:r>
          <w:r>
            <w:rPr>
              <w:rFonts w:ascii="楷体" w:hAnsi="楷体" w:eastAsia="楷体" w:cs="楷体"/>
              <w:sz w:val="24"/>
              <w:szCs w:val="24"/>
            </w:rPr>
            <w:tab/>
          </w:r>
          <w:r>
            <w:rPr>
              <w:rFonts w:ascii="楷体" w:hAnsi="楷体" w:eastAsia="楷体" w:cs="楷体"/>
              <w:spacing w:val="-52"/>
              <w:sz w:val="24"/>
              <w:szCs w:val="24"/>
            </w:rPr>
            <w:t xml:space="preserve"> </w:t>
          </w:r>
          <w:r>
            <w:rPr>
              <w:rFonts w:ascii="Times New Roman" w:hAnsi="Times New Roman" w:eastAsia="Times New Roman" w:cs="Times New Roman"/>
              <w:spacing w:val="-7"/>
              <w:sz w:val="24"/>
              <w:szCs w:val="24"/>
            </w:rPr>
            <w:t>124</w:t>
          </w:r>
          <w:r>
            <w:rPr>
              <w:rFonts w:ascii="Times New Roman" w:hAnsi="Times New Roman" w:eastAsia="Times New Roman" w:cs="Times New Roman"/>
              <w:spacing w:val="-7"/>
              <w:sz w:val="24"/>
              <w:szCs w:val="24"/>
            </w:rPr>
            <w:fldChar w:fldCharType="end"/>
          </w:r>
        </w:p>
        <w:p w14:paraId="5B4ECFB7">
          <w:pPr>
            <w:tabs>
              <w:tab w:val="right" w:leader="dot" w:pos="8750"/>
            </w:tabs>
            <w:spacing w:before="137" w:line="225" w:lineRule="auto"/>
            <w:ind w:left="70"/>
            <w:rPr>
              <w:rFonts w:ascii="Times New Roman" w:hAnsi="Times New Roman" w:eastAsia="Times New Roman" w:cs="Times New Roman"/>
              <w:sz w:val="24"/>
              <w:szCs w:val="24"/>
            </w:rPr>
          </w:pPr>
          <w:bookmarkStart w:id="23" w:name="bookmark24"/>
          <w:bookmarkEnd w:id="23"/>
          <w:r>
            <w:fldChar w:fldCharType="begin"/>
          </w:r>
          <w:r>
            <w:instrText xml:space="preserve"> HYPERLINK \l "bookmark24" </w:instrText>
          </w:r>
          <w:r>
            <w:fldChar w:fldCharType="separate"/>
          </w:r>
          <w:r>
            <w:rPr>
              <w:rFonts w:ascii="Times New Roman" w:hAnsi="Times New Roman" w:eastAsia="Times New Roman" w:cs="Times New Roman"/>
              <w:spacing w:val="12"/>
              <w:sz w:val="24"/>
              <w:szCs w:val="24"/>
            </w:rPr>
            <w:t>9.</w:t>
          </w:r>
          <w:r>
            <w:rPr>
              <w:rFonts w:ascii="楷体" w:hAnsi="楷体" w:eastAsia="楷体" w:cs="楷体"/>
              <w:spacing w:val="12"/>
              <w:sz w:val="24"/>
              <w:szCs w:val="24"/>
            </w:rPr>
            <w:t>文化艺术大类专业技能测试纲要</w:t>
          </w:r>
          <w:r>
            <w:rPr>
              <w:rFonts w:ascii="楷体" w:hAnsi="楷体" w:eastAsia="楷体" w:cs="楷体"/>
              <w:spacing w:val="-94"/>
              <w:sz w:val="24"/>
              <w:szCs w:val="24"/>
            </w:rPr>
            <w:t xml:space="preserve"> </w:t>
          </w:r>
          <w:r>
            <w:rPr>
              <w:rFonts w:ascii="楷体" w:hAnsi="楷体" w:eastAsia="楷体" w:cs="楷体"/>
              <w:sz w:val="24"/>
              <w:szCs w:val="24"/>
            </w:rPr>
            <w:tab/>
          </w:r>
          <w:r>
            <w:rPr>
              <w:rFonts w:ascii="楷体" w:hAnsi="楷体" w:eastAsia="楷体" w:cs="楷体"/>
              <w:spacing w:val="-62"/>
              <w:sz w:val="24"/>
              <w:szCs w:val="24"/>
            </w:rPr>
            <w:t xml:space="preserve"> </w:t>
          </w:r>
          <w:r>
            <w:rPr>
              <w:rFonts w:ascii="Times New Roman" w:hAnsi="Times New Roman" w:eastAsia="Times New Roman" w:cs="Times New Roman"/>
              <w:spacing w:val="-7"/>
              <w:sz w:val="24"/>
              <w:szCs w:val="24"/>
            </w:rPr>
            <w:t>134</w:t>
          </w:r>
          <w:r>
            <w:rPr>
              <w:rFonts w:ascii="Times New Roman" w:hAnsi="Times New Roman" w:eastAsia="Times New Roman" w:cs="Times New Roman"/>
              <w:spacing w:val="-7"/>
              <w:sz w:val="24"/>
              <w:szCs w:val="24"/>
            </w:rPr>
            <w:fldChar w:fldCharType="end"/>
          </w:r>
        </w:p>
        <w:p w14:paraId="4F259326">
          <w:pPr>
            <w:tabs>
              <w:tab w:val="right" w:leader="dot" w:pos="8760"/>
            </w:tabs>
            <w:spacing w:before="174" w:line="223" w:lineRule="auto"/>
            <w:ind w:left="70"/>
            <w:rPr>
              <w:rFonts w:ascii="Times New Roman" w:hAnsi="Times New Roman" w:eastAsia="Times New Roman" w:cs="Times New Roman"/>
              <w:sz w:val="24"/>
              <w:szCs w:val="24"/>
            </w:rPr>
          </w:pPr>
          <w:bookmarkStart w:id="24" w:name="bookmark25"/>
          <w:bookmarkEnd w:id="24"/>
          <w:r>
            <w:fldChar w:fldCharType="begin"/>
          </w:r>
          <w:r>
            <w:instrText xml:space="preserve"> HYPERLINK \l "bookmark25" </w:instrText>
          </w:r>
          <w:r>
            <w:fldChar w:fldCharType="separate"/>
          </w:r>
          <w:r>
            <w:rPr>
              <w:rFonts w:ascii="Times New Roman" w:hAnsi="Times New Roman" w:eastAsia="Times New Roman" w:cs="Times New Roman"/>
              <w:spacing w:val="10"/>
              <w:sz w:val="24"/>
              <w:szCs w:val="24"/>
            </w:rPr>
            <w:t>10.</w:t>
          </w:r>
          <w:r>
            <w:rPr>
              <w:rFonts w:ascii="楷体" w:hAnsi="楷体" w:eastAsia="楷体" w:cs="楷体"/>
              <w:spacing w:val="10"/>
              <w:sz w:val="24"/>
              <w:szCs w:val="24"/>
            </w:rPr>
            <w:t>教育与体育大类专业技能测试纲要</w:t>
          </w:r>
          <w:r>
            <w:rPr>
              <w:rFonts w:ascii="楷体" w:hAnsi="楷体" w:eastAsia="楷体" w:cs="楷体"/>
              <w:spacing w:val="-82"/>
              <w:sz w:val="24"/>
              <w:szCs w:val="24"/>
            </w:rPr>
            <w:t xml:space="preserve"> </w:t>
          </w:r>
          <w:r>
            <w:rPr>
              <w:rFonts w:ascii="楷体" w:hAnsi="楷体" w:eastAsia="楷体" w:cs="楷体"/>
              <w:sz w:val="24"/>
              <w:szCs w:val="24"/>
            </w:rPr>
            <w:tab/>
          </w:r>
          <w:r>
            <w:rPr>
              <w:rFonts w:ascii="Times New Roman" w:hAnsi="Times New Roman" w:eastAsia="Times New Roman" w:cs="Times New Roman"/>
              <w:spacing w:val="-6"/>
              <w:sz w:val="24"/>
              <w:szCs w:val="24"/>
            </w:rPr>
            <w:t>137</w:t>
          </w:r>
          <w:r>
            <w:rPr>
              <w:rFonts w:ascii="Times New Roman" w:hAnsi="Times New Roman" w:eastAsia="Times New Roman" w:cs="Times New Roman"/>
              <w:spacing w:val="-6"/>
              <w:sz w:val="24"/>
              <w:szCs w:val="24"/>
            </w:rPr>
            <w:fldChar w:fldCharType="end"/>
          </w:r>
        </w:p>
        <w:p w14:paraId="30348C58">
          <w:pPr>
            <w:tabs>
              <w:tab w:val="right" w:leader="dot" w:pos="8650"/>
            </w:tabs>
            <w:spacing w:before="144" w:line="225" w:lineRule="auto"/>
            <w:ind w:left="70"/>
            <w:rPr>
              <w:rFonts w:ascii="Times New Roman" w:hAnsi="Times New Roman" w:eastAsia="Times New Roman" w:cs="Times New Roman"/>
              <w:sz w:val="24"/>
              <w:szCs w:val="24"/>
            </w:rPr>
          </w:pPr>
          <w:bookmarkStart w:id="25" w:name="bookmark26"/>
          <w:bookmarkEnd w:id="25"/>
          <w:r>
            <w:fldChar w:fldCharType="begin"/>
          </w:r>
          <w:r>
            <w:instrText xml:space="preserve"> HYPERLINK \l "bookmark26" </w:instrText>
          </w:r>
          <w:r>
            <w:fldChar w:fldCharType="separate"/>
          </w:r>
          <w:r>
            <w:rPr>
              <w:rFonts w:ascii="Times New Roman" w:hAnsi="Times New Roman" w:eastAsia="Times New Roman" w:cs="Times New Roman"/>
              <w:spacing w:val="11"/>
              <w:sz w:val="24"/>
              <w:szCs w:val="24"/>
            </w:rPr>
            <w:t>11.</w:t>
          </w:r>
          <w:r>
            <w:rPr>
              <w:rFonts w:ascii="楷体" w:hAnsi="楷体" w:eastAsia="楷体" w:cs="楷体"/>
              <w:spacing w:val="11"/>
              <w:sz w:val="24"/>
              <w:szCs w:val="24"/>
            </w:rPr>
            <w:t>交通运输大类专业技能测试纲要</w:t>
          </w:r>
          <w:r>
            <w:rPr>
              <w:rFonts w:ascii="楷体" w:hAnsi="楷体" w:eastAsia="楷体" w:cs="楷体"/>
              <w:spacing w:val="-98"/>
              <w:sz w:val="24"/>
              <w:szCs w:val="24"/>
            </w:rPr>
            <w:t xml:space="preserve"> </w:t>
          </w:r>
          <w:r>
            <w:rPr>
              <w:rFonts w:ascii="楷体" w:hAnsi="楷体" w:eastAsia="楷体" w:cs="楷体"/>
              <w:sz w:val="24"/>
              <w:szCs w:val="24"/>
            </w:rPr>
            <w:tab/>
          </w:r>
          <w:r>
            <w:rPr>
              <w:rFonts w:ascii="楷体" w:hAnsi="楷体" w:eastAsia="楷体" w:cs="楷体"/>
              <w:spacing w:val="-32"/>
              <w:sz w:val="24"/>
              <w:szCs w:val="24"/>
            </w:rPr>
            <w:t xml:space="preserve"> </w:t>
          </w:r>
          <w:r>
            <w:rPr>
              <w:rFonts w:ascii="Times New Roman" w:hAnsi="Times New Roman" w:eastAsia="Times New Roman" w:cs="Times New Roman"/>
              <w:spacing w:val="-7"/>
              <w:sz w:val="24"/>
              <w:szCs w:val="24"/>
            </w:rPr>
            <w:t>146</w:t>
          </w:r>
          <w:r>
            <w:rPr>
              <w:rFonts w:ascii="Times New Roman" w:hAnsi="Times New Roman" w:eastAsia="Times New Roman" w:cs="Times New Roman"/>
              <w:spacing w:val="-7"/>
              <w:sz w:val="24"/>
              <w:szCs w:val="24"/>
            </w:rPr>
            <w:fldChar w:fldCharType="end"/>
          </w:r>
        </w:p>
        <w:p w14:paraId="7CF30F06">
          <w:pPr>
            <w:tabs>
              <w:tab w:val="right" w:leader="dot" w:pos="8682"/>
            </w:tabs>
            <w:spacing w:before="167" w:line="225" w:lineRule="auto"/>
            <w:ind w:left="70"/>
            <w:rPr>
              <w:rFonts w:ascii="Times New Roman" w:hAnsi="Times New Roman" w:eastAsia="Times New Roman" w:cs="Times New Roman"/>
              <w:sz w:val="24"/>
              <w:szCs w:val="24"/>
            </w:rPr>
          </w:pPr>
          <w:bookmarkStart w:id="26" w:name="bookmark27"/>
          <w:bookmarkEnd w:id="26"/>
          <w:r>
            <w:fldChar w:fldCharType="begin"/>
          </w:r>
          <w:r>
            <w:instrText xml:space="preserve"> HYPERLINK \l "bookmark27" </w:instrText>
          </w:r>
          <w:r>
            <w:fldChar w:fldCharType="separate"/>
          </w:r>
          <w:r>
            <w:rPr>
              <w:rFonts w:ascii="Times New Roman" w:hAnsi="Times New Roman" w:eastAsia="Times New Roman" w:cs="Times New Roman"/>
              <w:spacing w:val="9"/>
              <w:sz w:val="24"/>
              <w:szCs w:val="24"/>
            </w:rPr>
            <w:t>12.</w:t>
          </w:r>
          <w:r>
            <w:rPr>
              <w:rFonts w:ascii="楷体" w:hAnsi="楷体" w:eastAsia="楷体" w:cs="楷体"/>
              <w:spacing w:val="9"/>
              <w:sz w:val="24"/>
              <w:szCs w:val="24"/>
            </w:rPr>
            <w:t>生物与化工大类专业技能测试纲要</w:t>
          </w:r>
          <w:r>
            <w:rPr>
              <w:rFonts w:ascii="楷体" w:hAnsi="楷体" w:eastAsia="楷体" w:cs="楷体"/>
              <w:spacing w:val="-83"/>
              <w:sz w:val="24"/>
              <w:szCs w:val="24"/>
            </w:rPr>
            <w:t xml:space="preserve"> </w:t>
          </w:r>
          <w:r>
            <w:rPr>
              <w:rFonts w:ascii="楷体" w:hAnsi="楷体" w:eastAsia="楷体" w:cs="楷体"/>
              <w:sz w:val="24"/>
              <w:szCs w:val="24"/>
            </w:rPr>
            <w:tab/>
          </w:r>
          <w:r>
            <w:rPr>
              <w:rFonts w:ascii="Times New Roman" w:hAnsi="Times New Roman" w:eastAsia="Times New Roman" w:cs="Times New Roman"/>
              <w:spacing w:val="-6"/>
              <w:sz w:val="24"/>
              <w:szCs w:val="24"/>
            </w:rPr>
            <w:t>150</w:t>
          </w:r>
          <w:r>
            <w:rPr>
              <w:rFonts w:ascii="Times New Roman" w:hAnsi="Times New Roman" w:eastAsia="Times New Roman" w:cs="Times New Roman"/>
              <w:spacing w:val="-6"/>
              <w:sz w:val="24"/>
              <w:szCs w:val="24"/>
            </w:rPr>
            <w:fldChar w:fldCharType="end"/>
          </w:r>
        </w:p>
      </w:sdtContent>
    </w:sdt>
    <w:p w14:paraId="7E684EEA">
      <w:pPr>
        <w:spacing w:line="225" w:lineRule="auto"/>
        <w:rPr>
          <w:rFonts w:ascii="Times New Roman" w:hAnsi="Times New Roman" w:eastAsia="Times New Roman" w:cs="Times New Roman"/>
          <w:sz w:val="24"/>
          <w:szCs w:val="24"/>
        </w:rPr>
        <w:sectPr>
          <w:footerReference r:id="rId10" w:type="default"/>
          <w:pgSz w:w="10660" w:h="15080"/>
          <w:pgMar w:top="400" w:right="1058" w:bottom="954" w:left="819" w:header="0" w:footer="738" w:gutter="0"/>
          <w:cols w:space="720" w:num="1"/>
        </w:sectPr>
      </w:pPr>
    </w:p>
    <w:p w14:paraId="7492F320">
      <w:pPr>
        <w:spacing w:before="47"/>
      </w:pPr>
    </w:p>
    <w:p w14:paraId="4E1F5C26">
      <w:pPr>
        <w:spacing w:before="47"/>
      </w:pPr>
    </w:p>
    <w:p w14:paraId="31389DF0">
      <w:pPr>
        <w:spacing w:before="46"/>
      </w:pPr>
    </w:p>
    <w:p w14:paraId="522BACB3">
      <w:pPr>
        <w:spacing w:before="46"/>
      </w:pPr>
    </w:p>
    <w:p w14:paraId="1513F77B">
      <w:pPr>
        <w:sectPr>
          <w:footerReference r:id="rId11" w:type="default"/>
          <w:pgSz w:w="10660" w:h="15080"/>
          <w:pgMar w:top="400" w:right="840" w:bottom="936" w:left="954" w:header="0" w:footer="714" w:gutter="0"/>
          <w:cols w:equalWidth="0" w:num="1">
            <w:col w:w="8865"/>
          </w:cols>
        </w:sectPr>
      </w:pPr>
    </w:p>
    <w:p w14:paraId="608A4171">
      <w:pPr>
        <w:spacing w:before="315" w:line="219" w:lineRule="auto"/>
        <w:ind w:left="188"/>
        <w:outlineLvl w:val="0"/>
        <w:rPr>
          <w:rFonts w:ascii="宋体" w:hAnsi="宋体" w:eastAsia="宋体" w:cs="宋体"/>
          <w:sz w:val="27"/>
          <w:szCs w:val="27"/>
        </w:rPr>
      </w:pPr>
      <w:bookmarkStart w:id="27" w:name="bookmark2"/>
      <w:bookmarkEnd w:id="27"/>
      <w:r>
        <w:rPr>
          <w:rFonts w:ascii="宋体" w:hAnsi="宋体" w:eastAsia="宋体" w:cs="宋体"/>
          <w:b/>
          <w:bCs/>
          <w:spacing w:val="-6"/>
          <w:sz w:val="27"/>
          <w:szCs w:val="27"/>
        </w:rPr>
        <w:t>农林牧渔类大类专业理论考试纲要</w:t>
      </w:r>
    </w:p>
    <w:p w14:paraId="67BF3342">
      <w:pPr>
        <w:pStyle w:val="2"/>
        <w:spacing w:line="438" w:lineRule="auto"/>
      </w:pPr>
    </w:p>
    <w:p w14:paraId="6F89274E">
      <w:pPr>
        <w:spacing w:before="56" w:line="219" w:lineRule="auto"/>
        <w:ind w:left="87"/>
        <w:rPr>
          <w:rFonts w:ascii="宋体" w:hAnsi="宋体" w:eastAsia="宋体" w:cs="宋体"/>
          <w:sz w:val="17"/>
          <w:szCs w:val="17"/>
        </w:rPr>
      </w:pPr>
      <w:r>
        <w:rPr>
          <w:rFonts w:ascii="宋体" w:hAnsi="宋体" w:eastAsia="宋体" w:cs="宋体"/>
          <w:b/>
          <w:bCs/>
          <w:spacing w:val="-12"/>
          <w:sz w:val="17"/>
          <w:szCs w:val="17"/>
        </w:rPr>
        <w:t>一</w:t>
      </w:r>
      <w:r>
        <w:rPr>
          <w:rFonts w:ascii="宋体" w:hAnsi="宋体" w:eastAsia="宋体" w:cs="宋体"/>
          <w:spacing w:val="47"/>
          <w:sz w:val="17"/>
          <w:szCs w:val="17"/>
        </w:rPr>
        <w:t xml:space="preserve"> </w:t>
      </w:r>
      <w:r>
        <w:rPr>
          <w:rFonts w:ascii="宋体" w:hAnsi="宋体" w:eastAsia="宋体" w:cs="宋体"/>
          <w:b/>
          <w:bCs/>
          <w:spacing w:val="-12"/>
          <w:sz w:val="17"/>
          <w:szCs w:val="17"/>
        </w:rPr>
        <w:t>、考</w:t>
      </w:r>
      <w:r>
        <w:rPr>
          <w:rFonts w:ascii="宋体" w:hAnsi="宋体" w:eastAsia="宋体" w:cs="宋体"/>
          <w:spacing w:val="-12"/>
          <w:sz w:val="17"/>
          <w:szCs w:val="17"/>
        </w:rPr>
        <w:t xml:space="preserve"> </w:t>
      </w:r>
      <w:r>
        <w:rPr>
          <w:rFonts w:ascii="宋体" w:hAnsi="宋体" w:eastAsia="宋体" w:cs="宋体"/>
          <w:b/>
          <w:bCs/>
          <w:spacing w:val="-12"/>
          <w:sz w:val="17"/>
          <w:szCs w:val="17"/>
        </w:rPr>
        <w:t>试</w:t>
      </w:r>
      <w:r>
        <w:rPr>
          <w:rFonts w:ascii="宋体" w:hAnsi="宋体" w:eastAsia="宋体" w:cs="宋体"/>
          <w:spacing w:val="-12"/>
          <w:sz w:val="17"/>
          <w:szCs w:val="17"/>
        </w:rPr>
        <w:t xml:space="preserve"> </w:t>
      </w:r>
      <w:r>
        <w:rPr>
          <w:rFonts w:ascii="宋体" w:hAnsi="宋体" w:eastAsia="宋体" w:cs="宋体"/>
          <w:b/>
          <w:bCs/>
          <w:spacing w:val="-12"/>
          <w:sz w:val="17"/>
          <w:szCs w:val="17"/>
        </w:rPr>
        <w:t>范</w:t>
      </w:r>
      <w:r>
        <w:rPr>
          <w:rFonts w:ascii="宋体" w:hAnsi="宋体" w:eastAsia="宋体" w:cs="宋体"/>
          <w:spacing w:val="-12"/>
          <w:sz w:val="17"/>
          <w:szCs w:val="17"/>
        </w:rPr>
        <w:t xml:space="preserve"> </w:t>
      </w:r>
      <w:r>
        <w:rPr>
          <w:rFonts w:ascii="宋体" w:hAnsi="宋体" w:eastAsia="宋体" w:cs="宋体"/>
          <w:b/>
          <w:bCs/>
          <w:spacing w:val="-12"/>
          <w:sz w:val="17"/>
          <w:szCs w:val="17"/>
        </w:rPr>
        <w:t>围</w:t>
      </w:r>
      <w:r>
        <w:rPr>
          <w:rFonts w:ascii="宋体" w:hAnsi="宋体" w:eastAsia="宋体" w:cs="宋体"/>
          <w:spacing w:val="-12"/>
          <w:sz w:val="17"/>
          <w:szCs w:val="17"/>
        </w:rPr>
        <w:t xml:space="preserve"> </w:t>
      </w:r>
      <w:r>
        <w:rPr>
          <w:rFonts w:ascii="宋体" w:hAnsi="宋体" w:eastAsia="宋体" w:cs="宋体"/>
          <w:b/>
          <w:bCs/>
          <w:spacing w:val="-12"/>
          <w:sz w:val="17"/>
          <w:szCs w:val="17"/>
        </w:rPr>
        <w:t>和</w:t>
      </w:r>
      <w:r>
        <w:rPr>
          <w:rFonts w:ascii="宋体" w:hAnsi="宋体" w:eastAsia="宋体" w:cs="宋体"/>
          <w:spacing w:val="11"/>
          <w:sz w:val="17"/>
          <w:szCs w:val="17"/>
        </w:rPr>
        <w:t xml:space="preserve"> </w:t>
      </w:r>
      <w:r>
        <w:rPr>
          <w:rFonts w:ascii="宋体" w:hAnsi="宋体" w:eastAsia="宋体" w:cs="宋体"/>
          <w:b/>
          <w:bCs/>
          <w:spacing w:val="-12"/>
          <w:sz w:val="17"/>
          <w:szCs w:val="17"/>
        </w:rPr>
        <w:t>内</w:t>
      </w:r>
      <w:r>
        <w:rPr>
          <w:rFonts w:ascii="宋体" w:hAnsi="宋体" w:eastAsia="宋体" w:cs="宋体"/>
          <w:spacing w:val="-12"/>
          <w:sz w:val="17"/>
          <w:szCs w:val="17"/>
        </w:rPr>
        <w:t xml:space="preserve"> </w:t>
      </w:r>
      <w:r>
        <w:rPr>
          <w:rFonts w:ascii="宋体" w:hAnsi="宋体" w:eastAsia="宋体" w:cs="宋体"/>
          <w:b/>
          <w:bCs/>
          <w:spacing w:val="-12"/>
          <w:sz w:val="17"/>
          <w:szCs w:val="17"/>
        </w:rPr>
        <w:t>容</w:t>
      </w:r>
    </w:p>
    <w:p w14:paraId="182AF8DC">
      <w:pPr>
        <w:spacing w:before="118" w:line="304" w:lineRule="auto"/>
        <w:ind w:right="189" w:firstLine="455"/>
        <w:jc w:val="both"/>
        <w:rPr>
          <w:rFonts w:ascii="宋体" w:hAnsi="宋体" w:eastAsia="宋体" w:cs="宋体"/>
          <w:sz w:val="17"/>
          <w:szCs w:val="17"/>
        </w:rPr>
      </w:pPr>
      <w:r>
        <w:rPr>
          <w:rFonts w:ascii="宋体" w:hAnsi="宋体" w:eastAsia="宋体" w:cs="宋体"/>
          <w:spacing w:val="-1"/>
          <w:sz w:val="17"/>
          <w:szCs w:val="17"/>
        </w:rPr>
        <w:t>本纲要以教育部颁发的中等职业学校《种植专业教</w:t>
      </w:r>
      <w:r>
        <w:rPr>
          <w:rFonts w:ascii="宋体" w:hAnsi="宋体" w:eastAsia="宋体" w:cs="宋体"/>
          <w:spacing w:val="4"/>
          <w:sz w:val="17"/>
          <w:szCs w:val="17"/>
        </w:rPr>
        <w:t xml:space="preserve">   </w:t>
      </w:r>
      <w:r>
        <w:rPr>
          <w:rFonts w:ascii="宋体" w:hAnsi="宋体" w:eastAsia="宋体" w:cs="宋体"/>
          <w:spacing w:val="5"/>
          <w:sz w:val="17"/>
          <w:szCs w:val="17"/>
        </w:rPr>
        <w:t>学指导方案》、《养殖专业教学指导方案》为依据，以</w:t>
      </w:r>
      <w:r>
        <w:rPr>
          <w:rFonts w:ascii="宋体" w:hAnsi="宋体" w:eastAsia="宋体" w:cs="宋体"/>
          <w:sz w:val="17"/>
          <w:szCs w:val="17"/>
        </w:rPr>
        <w:t xml:space="preserve">  </w:t>
      </w:r>
      <w:r>
        <w:rPr>
          <w:rFonts w:ascii="宋体" w:hAnsi="宋体" w:eastAsia="宋体" w:cs="宋体"/>
          <w:spacing w:val="8"/>
          <w:sz w:val="17"/>
          <w:szCs w:val="17"/>
        </w:rPr>
        <w:t>高等教育出版社出版的中职国家规划教材《化学》(农</w:t>
      </w:r>
      <w:r>
        <w:rPr>
          <w:rFonts w:ascii="宋体" w:hAnsi="宋体" w:eastAsia="宋体" w:cs="宋体"/>
          <w:spacing w:val="3"/>
          <w:sz w:val="17"/>
          <w:szCs w:val="17"/>
        </w:rPr>
        <w:t xml:space="preserve">  </w:t>
      </w:r>
      <w:r>
        <w:rPr>
          <w:rFonts w:ascii="宋体" w:hAnsi="宋体" w:eastAsia="宋体" w:cs="宋体"/>
          <w:spacing w:val="15"/>
          <w:sz w:val="17"/>
          <w:szCs w:val="17"/>
        </w:rPr>
        <w:t>林牧渔类)及《植物生产与环境》(第四版)、《植物</w:t>
      </w:r>
      <w:r>
        <w:rPr>
          <w:rFonts w:ascii="宋体" w:hAnsi="宋体" w:eastAsia="宋体" w:cs="宋体"/>
          <w:spacing w:val="3"/>
          <w:sz w:val="17"/>
          <w:szCs w:val="17"/>
        </w:rPr>
        <w:t xml:space="preserve">  </w:t>
      </w:r>
      <w:r>
        <w:rPr>
          <w:rFonts w:ascii="宋体" w:hAnsi="宋体" w:eastAsia="宋体" w:cs="宋体"/>
          <w:spacing w:val="11"/>
          <w:sz w:val="17"/>
          <w:szCs w:val="17"/>
        </w:rPr>
        <w:t>保护技术》(第三版)、《农业生物技术》(第三版)和</w:t>
      </w:r>
      <w:r>
        <w:rPr>
          <w:rFonts w:ascii="宋体" w:hAnsi="宋体" w:eastAsia="宋体" w:cs="宋体"/>
          <w:spacing w:val="6"/>
          <w:sz w:val="17"/>
          <w:szCs w:val="17"/>
        </w:rPr>
        <w:t xml:space="preserve">  </w:t>
      </w:r>
      <w:r>
        <w:rPr>
          <w:rFonts w:ascii="宋体" w:hAnsi="宋体" w:eastAsia="宋体" w:cs="宋体"/>
          <w:spacing w:val="8"/>
          <w:sz w:val="17"/>
          <w:szCs w:val="17"/>
        </w:rPr>
        <w:t>《畜禽解剖生理》(第四版)、《畜禽营养与饲料》(第</w:t>
      </w:r>
      <w:r>
        <w:rPr>
          <w:rFonts w:ascii="宋体" w:hAnsi="宋体" w:eastAsia="宋体" w:cs="宋体"/>
          <w:spacing w:val="4"/>
          <w:sz w:val="17"/>
          <w:szCs w:val="17"/>
        </w:rPr>
        <w:t xml:space="preserve">  </w:t>
      </w:r>
      <w:r>
        <w:rPr>
          <w:rFonts w:ascii="宋体" w:hAnsi="宋体" w:eastAsia="宋体" w:cs="宋体"/>
          <w:spacing w:val="8"/>
          <w:sz w:val="17"/>
          <w:szCs w:val="17"/>
        </w:rPr>
        <w:t>三版)、《畜禽繁殖与改良》(第三版)为蓝本</w:t>
      </w:r>
      <w:r>
        <w:rPr>
          <w:rFonts w:ascii="宋体" w:hAnsi="宋体" w:eastAsia="宋体" w:cs="宋体"/>
          <w:spacing w:val="7"/>
          <w:sz w:val="17"/>
          <w:szCs w:val="17"/>
        </w:rPr>
        <w:t>，同时参</w:t>
      </w:r>
      <w:r>
        <w:rPr>
          <w:rFonts w:ascii="宋体" w:hAnsi="宋体" w:eastAsia="宋体" w:cs="宋体"/>
          <w:sz w:val="17"/>
          <w:szCs w:val="17"/>
        </w:rPr>
        <w:t xml:space="preserve">  </w:t>
      </w:r>
      <w:r>
        <w:rPr>
          <w:rFonts w:ascii="宋体" w:hAnsi="宋体" w:eastAsia="宋体" w:cs="宋体"/>
          <w:spacing w:val="3"/>
          <w:sz w:val="17"/>
          <w:szCs w:val="17"/>
        </w:rPr>
        <w:t>考其他中等职业教育同类教材，对部分知识点作了微调。</w:t>
      </w:r>
    </w:p>
    <w:p w14:paraId="4EC57F31">
      <w:pPr>
        <w:spacing w:before="53" w:line="308" w:lineRule="auto"/>
        <w:ind w:left="85" w:right="331" w:firstLine="370"/>
        <w:jc w:val="both"/>
        <w:rPr>
          <w:rFonts w:ascii="宋体" w:hAnsi="宋体" w:eastAsia="宋体" w:cs="宋体"/>
          <w:sz w:val="17"/>
          <w:szCs w:val="17"/>
        </w:rPr>
      </w:pPr>
      <w:r>
        <w:rPr>
          <w:rFonts w:ascii="宋体" w:hAnsi="宋体" w:eastAsia="宋体" w:cs="宋体"/>
          <w:spacing w:val="16"/>
          <w:sz w:val="17"/>
          <w:szCs w:val="17"/>
        </w:rPr>
        <w:t xml:space="preserve">农林牧渔大类专业理论考试，侧重考查考生对 </w:t>
      </w:r>
      <w:r>
        <w:rPr>
          <w:rFonts w:ascii="宋体" w:hAnsi="宋体" w:eastAsia="宋体" w:cs="宋体"/>
          <w:spacing w:val="12"/>
          <w:sz w:val="17"/>
          <w:szCs w:val="17"/>
        </w:rPr>
        <w:t>综合基础知识、基本技能和实践能力的掌握程度(占</w:t>
      </w:r>
      <w:r>
        <w:rPr>
          <w:rFonts w:ascii="宋体" w:hAnsi="宋体" w:eastAsia="宋体" w:cs="宋体"/>
          <w:spacing w:val="11"/>
          <w:sz w:val="17"/>
          <w:szCs w:val="17"/>
        </w:rPr>
        <w:t xml:space="preserve"> 70%),同时注意考查考生综合运用所学知识分析、解</w:t>
      </w:r>
      <w:r>
        <w:rPr>
          <w:rFonts w:ascii="宋体" w:hAnsi="宋体" w:eastAsia="宋体" w:cs="宋体"/>
          <w:spacing w:val="5"/>
          <w:sz w:val="17"/>
          <w:szCs w:val="17"/>
        </w:rPr>
        <w:t xml:space="preserve"> </w:t>
      </w:r>
      <w:r>
        <w:rPr>
          <w:rFonts w:ascii="宋体" w:hAnsi="宋体" w:eastAsia="宋体" w:cs="宋体"/>
          <w:spacing w:val="19"/>
          <w:sz w:val="17"/>
          <w:szCs w:val="17"/>
        </w:rPr>
        <w:t>决问题的能力(占30%)。</w:t>
      </w:r>
    </w:p>
    <w:p w14:paraId="4A5C781B">
      <w:pPr>
        <w:spacing w:before="72" w:line="219" w:lineRule="auto"/>
        <w:ind w:left="87"/>
        <w:rPr>
          <w:rFonts w:ascii="宋体" w:hAnsi="宋体" w:eastAsia="宋体" w:cs="宋体"/>
          <w:sz w:val="17"/>
          <w:szCs w:val="17"/>
        </w:rPr>
      </w:pPr>
      <w:r>
        <w:rPr>
          <w:rFonts w:ascii="宋体" w:hAnsi="宋体" w:eastAsia="宋体" w:cs="宋体"/>
          <w:b/>
          <w:bCs/>
          <w:spacing w:val="-13"/>
          <w:sz w:val="17"/>
          <w:szCs w:val="17"/>
        </w:rPr>
        <w:t>二</w:t>
      </w:r>
      <w:r>
        <w:rPr>
          <w:rFonts w:ascii="宋体" w:hAnsi="宋体" w:eastAsia="宋体" w:cs="宋体"/>
          <w:spacing w:val="48"/>
          <w:sz w:val="17"/>
          <w:szCs w:val="17"/>
        </w:rPr>
        <w:t xml:space="preserve"> </w:t>
      </w:r>
      <w:r>
        <w:rPr>
          <w:rFonts w:ascii="宋体" w:hAnsi="宋体" w:eastAsia="宋体" w:cs="宋体"/>
          <w:b/>
          <w:bCs/>
          <w:spacing w:val="-13"/>
          <w:sz w:val="17"/>
          <w:szCs w:val="17"/>
        </w:rPr>
        <w:t>、考</w:t>
      </w:r>
      <w:r>
        <w:rPr>
          <w:rFonts w:ascii="宋体" w:hAnsi="宋体" w:eastAsia="宋体" w:cs="宋体"/>
          <w:spacing w:val="-13"/>
          <w:sz w:val="17"/>
          <w:szCs w:val="17"/>
        </w:rPr>
        <w:t xml:space="preserve"> </w:t>
      </w:r>
      <w:r>
        <w:rPr>
          <w:rFonts w:ascii="宋体" w:hAnsi="宋体" w:eastAsia="宋体" w:cs="宋体"/>
          <w:b/>
          <w:bCs/>
          <w:spacing w:val="-13"/>
          <w:sz w:val="17"/>
          <w:szCs w:val="17"/>
        </w:rPr>
        <w:t>试</w:t>
      </w:r>
      <w:r>
        <w:rPr>
          <w:rFonts w:ascii="宋体" w:hAnsi="宋体" w:eastAsia="宋体" w:cs="宋体"/>
          <w:spacing w:val="19"/>
          <w:sz w:val="17"/>
          <w:szCs w:val="17"/>
        </w:rPr>
        <w:t xml:space="preserve"> </w:t>
      </w:r>
      <w:r>
        <w:rPr>
          <w:rFonts w:ascii="宋体" w:hAnsi="宋体" w:eastAsia="宋体" w:cs="宋体"/>
          <w:b/>
          <w:bCs/>
          <w:spacing w:val="-13"/>
          <w:sz w:val="17"/>
          <w:szCs w:val="17"/>
        </w:rPr>
        <w:t>目</w:t>
      </w:r>
      <w:r>
        <w:rPr>
          <w:rFonts w:ascii="宋体" w:hAnsi="宋体" w:eastAsia="宋体" w:cs="宋体"/>
          <w:spacing w:val="-13"/>
          <w:sz w:val="17"/>
          <w:szCs w:val="17"/>
        </w:rPr>
        <w:t xml:space="preserve"> </w:t>
      </w:r>
      <w:r>
        <w:rPr>
          <w:rFonts w:ascii="宋体" w:hAnsi="宋体" w:eastAsia="宋体" w:cs="宋体"/>
          <w:b/>
          <w:bCs/>
          <w:spacing w:val="-13"/>
          <w:sz w:val="17"/>
          <w:szCs w:val="17"/>
        </w:rPr>
        <w:t>标</w:t>
      </w:r>
      <w:r>
        <w:rPr>
          <w:rFonts w:ascii="宋体" w:hAnsi="宋体" w:eastAsia="宋体" w:cs="宋体"/>
          <w:spacing w:val="-13"/>
          <w:sz w:val="17"/>
          <w:szCs w:val="17"/>
        </w:rPr>
        <w:t xml:space="preserve"> </w:t>
      </w:r>
      <w:r>
        <w:rPr>
          <w:rFonts w:ascii="宋体" w:hAnsi="宋体" w:eastAsia="宋体" w:cs="宋体"/>
          <w:b/>
          <w:bCs/>
          <w:spacing w:val="-13"/>
          <w:sz w:val="17"/>
          <w:szCs w:val="17"/>
        </w:rPr>
        <w:t>和</w:t>
      </w:r>
      <w:r>
        <w:rPr>
          <w:rFonts w:ascii="宋体" w:hAnsi="宋体" w:eastAsia="宋体" w:cs="宋体"/>
          <w:spacing w:val="-11"/>
          <w:sz w:val="17"/>
          <w:szCs w:val="17"/>
        </w:rPr>
        <w:t xml:space="preserve"> </w:t>
      </w:r>
      <w:r>
        <w:rPr>
          <w:rFonts w:ascii="宋体" w:hAnsi="宋体" w:eastAsia="宋体" w:cs="宋体"/>
          <w:b/>
          <w:bCs/>
          <w:spacing w:val="-13"/>
          <w:sz w:val="17"/>
          <w:szCs w:val="17"/>
        </w:rPr>
        <w:t>水</w:t>
      </w:r>
      <w:r>
        <w:rPr>
          <w:rFonts w:ascii="宋体" w:hAnsi="宋体" w:eastAsia="宋体" w:cs="宋体"/>
          <w:spacing w:val="-15"/>
          <w:sz w:val="17"/>
          <w:szCs w:val="17"/>
        </w:rPr>
        <w:t xml:space="preserve"> </w:t>
      </w:r>
      <w:r>
        <w:rPr>
          <w:rFonts w:ascii="宋体" w:hAnsi="宋体" w:eastAsia="宋体" w:cs="宋体"/>
          <w:b/>
          <w:bCs/>
          <w:spacing w:val="-13"/>
          <w:sz w:val="17"/>
          <w:szCs w:val="17"/>
        </w:rPr>
        <w:t>平</w:t>
      </w:r>
      <w:r>
        <w:rPr>
          <w:rFonts w:ascii="宋体" w:hAnsi="宋体" w:eastAsia="宋体" w:cs="宋体"/>
          <w:spacing w:val="-13"/>
          <w:sz w:val="17"/>
          <w:szCs w:val="17"/>
        </w:rPr>
        <w:t xml:space="preserve"> </w:t>
      </w:r>
      <w:r>
        <w:rPr>
          <w:rFonts w:ascii="宋体" w:hAnsi="宋体" w:eastAsia="宋体" w:cs="宋体"/>
          <w:b/>
          <w:bCs/>
          <w:spacing w:val="-13"/>
          <w:sz w:val="17"/>
          <w:szCs w:val="17"/>
        </w:rPr>
        <w:t>层</w:t>
      </w:r>
      <w:r>
        <w:rPr>
          <w:rFonts w:ascii="宋体" w:hAnsi="宋体" w:eastAsia="宋体" w:cs="宋体"/>
          <w:spacing w:val="-9"/>
          <w:sz w:val="17"/>
          <w:szCs w:val="17"/>
        </w:rPr>
        <w:t xml:space="preserve"> </w:t>
      </w:r>
      <w:r>
        <w:rPr>
          <w:rFonts w:ascii="宋体" w:hAnsi="宋体" w:eastAsia="宋体" w:cs="宋体"/>
          <w:b/>
          <w:bCs/>
          <w:spacing w:val="-13"/>
          <w:sz w:val="17"/>
          <w:szCs w:val="17"/>
        </w:rPr>
        <w:t>次</w:t>
      </w:r>
    </w:p>
    <w:p w14:paraId="2649C5DC">
      <w:pPr>
        <w:spacing w:before="101" w:line="311" w:lineRule="auto"/>
        <w:ind w:left="85" w:right="309" w:firstLine="370"/>
        <w:jc w:val="both"/>
        <w:rPr>
          <w:rFonts w:ascii="宋体" w:hAnsi="宋体" w:eastAsia="宋体" w:cs="宋体"/>
          <w:sz w:val="17"/>
          <w:szCs w:val="17"/>
        </w:rPr>
      </w:pPr>
      <w:r>
        <w:rPr>
          <w:rFonts w:ascii="宋体" w:hAnsi="宋体" w:eastAsia="宋体" w:cs="宋体"/>
          <w:spacing w:val="-1"/>
          <w:sz w:val="17"/>
          <w:szCs w:val="17"/>
        </w:rPr>
        <w:t>考试目标包括知识与技能要点、考试条目和考试水</w:t>
      </w:r>
      <w:r>
        <w:rPr>
          <w:rFonts w:ascii="宋体" w:hAnsi="宋体" w:eastAsia="宋体" w:cs="宋体"/>
          <w:spacing w:val="14"/>
          <w:sz w:val="17"/>
          <w:szCs w:val="17"/>
        </w:rPr>
        <w:t xml:space="preserve"> </w:t>
      </w:r>
      <w:r>
        <w:rPr>
          <w:rFonts w:ascii="宋体" w:hAnsi="宋体" w:eastAsia="宋体" w:cs="宋体"/>
          <w:spacing w:val="1"/>
          <w:sz w:val="17"/>
          <w:szCs w:val="17"/>
        </w:rPr>
        <w:t>平三个方面。“知识与技能要点”是本学科学生应知应</w:t>
      </w:r>
      <w:r>
        <w:rPr>
          <w:rFonts w:ascii="宋体" w:hAnsi="宋体" w:eastAsia="宋体" w:cs="宋体"/>
          <w:spacing w:val="2"/>
          <w:sz w:val="17"/>
          <w:szCs w:val="17"/>
        </w:rPr>
        <w:t xml:space="preserve"> </w:t>
      </w:r>
      <w:r>
        <w:rPr>
          <w:rFonts w:ascii="宋体" w:hAnsi="宋体" w:eastAsia="宋体" w:cs="宋体"/>
          <w:spacing w:val="1"/>
          <w:sz w:val="17"/>
          <w:szCs w:val="17"/>
        </w:rPr>
        <w:t>会的基本知识和基本技能，“考试条目”是“知识与技</w:t>
      </w:r>
      <w:r>
        <w:rPr>
          <w:rFonts w:ascii="宋体" w:hAnsi="宋体" w:eastAsia="宋体" w:cs="宋体"/>
          <w:spacing w:val="2"/>
          <w:sz w:val="17"/>
          <w:szCs w:val="17"/>
        </w:rPr>
        <w:t xml:space="preserve"> </w:t>
      </w:r>
      <w:r>
        <w:rPr>
          <w:rFonts w:ascii="宋体" w:hAnsi="宋体" w:eastAsia="宋体" w:cs="宋体"/>
          <w:spacing w:val="1"/>
          <w:sz w:val="17"/>
          <w:szCs w:val="17"/>
        </w:rPr>
        <w:t>能要点”的细化内容和具体项目，“考试水平”是具体</w:t>
      </w:r>
      <w:r>
        <w:rPr>
          <w:rFonts w:ascii="宋体" w:hAnsi="宋体" w:eastAsia="宋体" w:cs="宋体"/>
          <w:spacing w:val="2"/>
          <w:sz w:val="17"/>
          <w:szCs w:val="17"/>
        </w:rPr>
        <w:t xml:space="preserve"> </w:t>
      </w:r>
      <w:r>
        <w:rPr>
          <w:rFonts w:ascii="宋体" w:hAnsi="宋体" w:eastAsia="宋体" w:cs="宋体"/>
          <w:spacing w:val="-1"/>
          <w:sz w:val="17"/>
          <w:szCs w:val="17"/>
        </w:rPr>
        <w:t>确定考查知识和技能的层次。农林牧渔类专业综合课考</w:t>
      </w:r>
      <w:r>
        <w:rPr>
          <w:rFonts w:ascii="宋体" w:hAnsi="宋体" w:eastAsia="宋体" w:cs="宋体"/>
          <w:spacing w:val="16"/>
          <w:sz w:val="17"/>
          <w:szCs w:val="17"/>
        </w:rPr>
        <w:t xml:space="preserve"> </w:t>
      </w:r>
      <w:r>
        <w:rPr>
          <w:rFonts w:ascii="宋体" w:hAnsi="宋体" w:eastAsia="宋体" w:cs="宋体"/>
          <w:spacing w:val="-6"/>
          <w:sz w:val="17"/>
          <w:szCs w:val="17"/>
        </w:rPr>
        <w:t>试水平由低到高分为四个层次，即：</w:t>
      </w:r>
      <w:r>
        <w:rPr>
          <w:rFonts w:ascii="Times New Roman" w:hAnsi="Times New Roman" w:eastAsia="Times New Roman" w:cs="Times New Roman"/>
          <w:spacing w:val="-6"/>
          <w:sz w:val="17"/>
          <w:szCs w:val="17"/>
        </w:rPr>
        <w:t>A</w:t>
      </w:r>
      <w:r>
        <w:rPr>
          <w:rFonts w:ascii="Times New Roman" w:hAnsi="Times New Roman" w:eastAsia="Times New Roman" w:cs="Times New Roman"/>
          <w:spacing w:val="34"/>
          <w:w w:val="101"/>
          <w:sz w:val="17"/>
          <w:szCs w:val="17"/>
        </w:rPr>
        <w:t xml:space="preserve"> </w:t>
      </w:r>
      <w:r>
        <w:rPr>
          <w:rFonts w:ascii="宋体" w:hAnsi="宋体" w:eastAsia="宋体" w:cs="宋体"/>
          <w:spacing w:val="-6"/>
          <w:sz w:val="17"/>
          <w:szCs w:val="17"/>
        </w:rPr>
        <w:t>(</w:t>
      </w:r>
      <w:r>
        <w:rPr>
          <w:rFonts w:ascii="宋体" w:hAnsi="宋体" w:eastAsia="宋体" w:cs="宋体"/>
          <w:spacing w:val="-31"/>
          <w:sz w:val="17"/>
          <w:szCs w:val="17"/>
        </w:rPr>
        <w:t xml:space="preserve"> </w:t>
      </w:r>
      <w:r>
        <w:rPr>
          <w:rFonts w:ascii="宋体" w:hAnsi="宋体" w:eastAsia="宋体" w:cs="宋体"/>
          <w:spacing w:val="-6"/>
          <w:sz w:val="17"/>
          <w:szCs w:val="17"/>
        </w:rPr>
        <w:t>识</w:t>
      </w:r>
      <w:r>
        <w:rPr>
          <w:rFonts w:ascii="宋体" w:hAnsi="宋体" w:eastAsia="宋体" w:cs="宋体"/>
          <w:spacing w:val="-32"/>
          <w:sz w:val="17"/>
          <w:szCs w:val="17"/>
        </w:rPr>
        <w:t xml:space="preserve"> </w:t>
      </w:r>
      <w:r>
        <w:rPr>
          <w:rFonts w:ascii="宋体" w:hAnsi="宋体" w:eastAsia="宋体" w:cs="宋体"/>
          <w:spacing w:val="-6"/>
          <w:sz w:val="17"/>
          <w:szCs w:val="17"/>
        </w:rPr>
        <w:t>记</w:t>
      </w:r>
      <w:r>
        <w:rPr>
          <w:rFonts w:ascii="宋体" w:hAnsi="宋体" w:eastAsia="宋体" w:cs="宋体"/>
          <w:spacing w:val="-31"/>
          <w:sz w:val="17"/>
          <w:szCs w:val="17"/>
        </w:rPr>
        <w:t xml:space="preserve"> </w:t>
      </w:r>
      <w:r>
        <w:rPr>
          <w:rFonts w:ascii="宋体" w:hAnsi="宋体" w:eastAsia="宋体" w:cs="宋体"/>
          <w:spacing w:val="-6"/>
          <w:sz w:val="17"/>
          <w:szCs w:val="17"/>
        </w:rPr>
        <w:t>)</w:t>
      </w:r>
      <w:r>
        <w:rPr>
          <w:rFonts w:ascii="宋体" w:hAnsi="宋体" w:eastAsia="宋体" w:cs="宋体"/>
          <w:spacing w:val="-39"/>
          <w:sz w:val="17"/>
          <w:szCs w:val="17"/>
        </w:rPr>
        <w:t xml:space="preserve"> </w:t>
      </w:r>
      <w:r>
        <w:rPr>
          <w:rFonts w:ascii="宋体" w:hAnsi="宋体" w:eastAsia="宋体" w:cs="宋体"/>
          <w:spacing w:val="-6"/>
          <w:sz w:val="17"/>
          <w:szCs w:val="17"/>
        </w:rPr>
        <w:t>、</w:t>
      </w:r>
      <w:r>
        <w:rPr>
          <w:rFonts w:ascii="Times New Roman" w:hAnsi="Times New Roman" w:eastAsia="Times New Roman" w:cs="Times New Roman"/>
          <w:spacing w:val="-6"/>
          <w:sz w:val="17"/>
          <w:szCs w:val="17"/>
        </w:rPr>
        <w:t>B</w:t>
      </w:r>
      <w:r>
        <w:rPr>
          <w:rFonts w:ascii="宋体" w:hAnsi="宋体" w:eastAsia="宋体" w:cs="宋体"/>
          <w:spacing w:val="-6"/>
          <w:sz w:val="17"/>
          <w:szCs w:val="17"/>
        </w:rPr>
        <w:t>( 理</w:t>
      </w:r>
      <w:r>
        <w:rPr>
          <w:rFonts w:ascii="宋体" w:hAnsi="宋体" w:eastAsia="宋体" w:cs="宋体"/>
          <w:sz w:val="17"/>
          <w:szCs w:val="17"/>
        </w:rPr>
        <w:t xml:space="preserve"> </w:t>
      </w:r>
      <w:r>
        <w:rPr>
          <w:rFonts w:ascii="宋体" w:hAnsi="宋体" w:eastAsia="宋体" w:cs="宋体"/>
          <w:spacing w:val="-3"/>
          <w:sz w:val="17"/>
          <w:szCs w:val="17"/>
        </w:rPr>
        <w:t>解</w:t>
      </w:r>
      <w:r>
        <w:rPr>
          <w:rFonts w:ascii="宋体" w:hAnsi="宋体" w:eastAsia="宋体" w:cs="宋体"/>
          <w:spacing w:val="-21"/>
          <w:sz w:val="17"/>
          <w:szCs w:val="17"/>
        </w:rPr>
        <w:t xml:space="preserve"> </w:t>
      </w:r>
      <w:r>
        <w:rPr>
          <w:rFonts w:ascii="宋体" w:hAnsi="宋体" w:eastAsia="宋体" w:cs="宋体"/>
          <w:spacing w:val="-3"/>
          <w:sz w:val="17"/>
          <w:szCs w:val="17"/>
        </w:rPr>
        <w:t>)</w:t>
      </w:r>
      <w:r>
        <w:rPr>
          <w:rFonts w:ascii="宋体" w:hAnsi="宋体" w:eastAsia="宋体" w:cs="宋体"/>
          <w:spacing w:val="-30"/>
          <w:sz w:val="17"/>
          <w:szCs w:val="17"/>
        </w:rPr>
        <w:t xml:space="preserve"> </w:t>
      </w:r>
      <w:r>
        <w:rPr>
          <w:rFonts w:ascii="宋体" w:hAnsi="宋体" w:eastAsia="宋体" w:cs="宋体"/>
          <w:spacing w:val="-3"/>
          <w:sz w:val="17"/>
          <w:szCs w:val="17"/>
        </w:rPr>
        <w:t>、</w:t>
      </w:r>
      <w:r>
        <w:rPr>
          <w:rFonts w:ascii="Times New Roman" w:hAnsi="Times New Roman" w:eastAsia="Times New Roman" w:cs="Times New Roman"/>
          <w:spacing w:val="-3"/>
          <w:sz w:val="17"/>
          <w:szCs w:val="17"/>
        </w:rPr>
        <w:t>C</w:t>
      </w:r>
      <w:r>
        <w:rPr>
          <w:rFonts w:ascii="宋体" w:hAnsi="宋体" w:eastAsia="宋体" w:cs="宋体"/>
          <w:spacing w:val="-3"/>
          <w:sz w:val="17"/>
          <w:szCs w:val="17"/>
        </w:rPr>
        <w:t>(</w:t>
      </w:r>
      <w:r>
        <w:rPr>
          <w:rFonts w:ascii="宋体" w:hAnsi="宋体" w:eastAsia="宋体" w:cs="宋体"/>
          <w:spacing w:val="-30"/>
          <w:sz w:val="17"/>
          <w:szCs w:val="17"/>
        </w:rPr>
        <w:t xml:space="preserve"> </w:t>
      </w:r>
      <w:r>
        <w:rPr>
          <w:rFonts w:ascii="宋体" w:hAnsi="宋体" w:eastAsia="宋体" w:cs="宋体"/>
          <w:spacing w:val="-3"/>
          <w:sz w:val="17"/>
          <w:szCs w:val="17"/>
        </w:rPr>
        <w:t>掌</w:t>
      </w:r>
      <w:r>
        <w:rPr>
          <w:rFonts w:ascii="宋体" w:hAnsi="宋体" w:eastAsia="宋体" w:cs="宋体"/>
          <w:spacing w:val="-34"/>
          <w:sz w:val="17"/>
          <w:szCs w:val="17"/>
        </w:rPr>
        <w:t xml:space="preserve"> </w:t>
      </w:r>
      <w:r>
        <w:rPr>
          <w:rFonts w:ascii="宋体" w:hAnsi="宋体" w:eastAsia="宋体" w:cs="宋体"/>
          <w:spacing w:val="-3"/>
          <w:sz w:val="17"/>
          <w:szCs w:val="17"/>
        </w:rPr>
        <w:t>握</w:t>
      </w:r>
      <w:r>
        <w:rPr>
          <w:rFonts w:ascii="宋体" w:hAnsi="宋体" w:eastAsia="宋体" w:cs="宋体"/>
          <w:spacing w:val="-34"/>
          <w:sz w:val="17"/>
          <w:szCs w:val="17"/>
        </w:rPr>
        <w:t xml:space="preserve"> </w:t>
      </w:r>
      <w:r>
        <w:rPr>
          <w:rFonts w:ascii="宋体" w:hAnsi="宋体" w:eastAsia="宋体" w:cs="宋体"/>
          <w:spacing w:val="-3"/>
          <w:sz w:val="17"/>
          <w:szCs w:val="17"/>
        </w:rPr>
        <w:t>)</w:t>
      </w:r>
      <w:r>
        <w:rPr>
          <w:rFonts w:ascii="宋体" w:hAnsi="宋体" w:eastAsia="宋体" w:cs="宋体"/>
          <w:spacing w:val="-41"/>
          <w:sz w:val="17"/>
          <w:szCs w:val="17"/>
        </w:rPr>
        <w:t xml:space="preserve"> </w:t>
      </w:r>
      <w:r>
        <w:rPr>
          <w:rFonts w:ascii="宋体" w:hAnsi="宋体" w:eastAsia="宋体" w:cs="宋体"/>
          <w:spacing w:val="-3"/>
          <w:sz w:val="17"/>
          <w:szCs w:val="17"/>
        </w:rPr>
        <w:t>、</w:t>
      </w:r>
      <w:r>
        <w:rPr>
          <w:rFonts w:ascii="Times New Roman" w:hAnsi="Times New Roman" w:eastAsia="Times New Roman" w:cs="Times New Roman"/>
          <w:spacing w:val="-3"/>
          <w:sz w:val="17"/>
          <w:szCs w:val="17"/>
        </w:rPr>
        <w:t>D</w:t>
      </w:r>
      <w:r>
        <w:rPr>
          <w:rFonts w:ascii="宋体" w:hAnsi="宋体" w:eastAsia="宋体" w:cs="宋体"/>
          <w:spacing w:val="-3"/>
          <w:sz w:val="17"/>
          <w:szCs w:val="17"/>
        </w:rPr>
        <w:t>(综合运用)。其具体含义分别是：</w:t>
      </w:r>
    </w:p>
    <w:p w14:paraId="383A08E4">
      <w:pPr>
        <w:spacing w:before="3" w:line="310" w:lineRule="auto"/>
        <w:ind w:left="85" w:right="239" w:firstLine="370"/>
        <w:jc w:val="both"/>
        <w:rPr>
          <w:rFonts w:ascii="宋体" w:hAnsi="宋体" w:eastAsia="宋体" w:cs="宋体"/>
          <w:sz w:val="17"/>
          <w:szCs w:val="17"/>
        </w:rPr>
      </w:pPr>
      <w:r>
        <w:rPr>
          <w:rFonts w:ascii="Times New Roman" w:hAnsi="Times New Roman" w:eastAsia="Times New Roman" w:cs="Times New Roman"/>
          <w:spacing w:val="13"/>
          <w:sz w:val="17"/>
          <w:szCs w:val="17"/>
        </w:rPr>
        <w:t>A</w:t>
      </w:r>
      <w:r>
        <w:rPr>
          <w:rFonts w:ascii="宋体" w:hAnsi="宋体" w:eastAsia="宋体" w:cs="宋体"/>
          <w:spacing w:val="13"/>
          <w:sz w:val="17"/>
          <w:szCs w:val="17"/>
        </w:rPr>
        <w:t>(识记):对所学学科知识有初步认识，能够正</w:t>
      </w:r>
      <w:r>
        <w:rPr>
          <w:rFonts w:ascii="宋体" w:hAnsi="宋体" w:eastAsia="宋体" w:cs="宋体"/>
          <w:spacing w:val="7"/>
          <w:sz w:val="17"/>
          <w:szCs w:val="17"/>
        </w:rPr>
        <w:t xml:space="preserve">  </w:t>
      </w:r>
      <w:r>
        <w:rPr>
          <w:rFonts w:ascii="宋体" w:hAnsi="宋体" w:eastAsia="宋体" w:cs="宋体"/>
          <w:spacing w:val="1"/>
          <w:sz w:val="17"/>
          <w:szCs w:val="17"/>
        </w:rPr>
        <w:t>确复述、再现、辨认或直接使用。即在记忆水平上考核</w:t>
      </w:r>
      <w:r>
        <w:rPr>
          <w:rFonts w:ascii="宋体" w:hAnsi="宋体" w:eastAsia="宋体" w:cs="宋体"/>
          <w:spacing w:val="2"/>
          <w:sz w:val="17"/>
          <w:szCs w:val="17"/>
        </w:rPr>
        <w:t xml:space="preserve">  </w:t>
      </w:r>
      <w:r>
        <w:rPr>
          <w:rFonts w:ascii="宋体" w:hAnsi="宋体" w:eastAsia="宋体" w:cs="宋体"/>
          <w:spacing w:val="1"/>
          <w:sz w:val="17"/>
          <w:szCs w:val="17"/>
        </w:rPr>
        <w:t>学生学习结果。例如：能复述《化学》中氯气的物理性</w:t>
      </w:r>
      <w:r>
        <w:rPr>
          <w:rFonts w:ascii="宋体" w:hAnsi="宋体" w:eastAsia="宋体" w:cs="宋体"/>
          <w:sz w:val="17"/>
          <w:szCs w:val="17"/>
        </w:rPr>
        <w:t xml:space="preserve">  </w:t>
      </w:r>
      <w:r>
        <w:rPr>
          <w:rFonts w:ascii="宋体" w:hAnsi="宋体" w:eastAsia="宋体" w:cs="宋体"/>
          <w:spacing w:val="-9"/>
          <w:sz w:val="17"/>
          <w:szCs w:val="17"/>
        </w:rPr>
        <w:t>质；《植物生产与环境》中土壤的概念；《畜禽解剖生理》</w:t>
      </w:r>
      <w:r>
        <w:rPr>
          <w:rFonts w:ascii="宋体" w:hAnsi="宋体" w:eastAsia="宋体" w:cs="宋体"/>
          <w:spacing w:val="18"/>
          <w:sz w:val="17"/>
          <w:szCs w:val="17"/>
        </w:rPr>
        <w:t xml:space="preserve"> </w:t>
      </w:r>
      <w:r>
        <w:rPr>
          <w:rFonts w:ascii="宋体" w:hAnsi="宋体" w:eastAsia="宋体" w:cs="宋体"/>
          <w:spacing w:val="-5"/>
          <w:sz w:val="17"/>
          <w:szCs w:val="17"/>
        </w:rPr>
        <w:t>中消化系统的组成等。</w:t>
      </w:r>
    </w:p>
    <w:p w14:paraId="35A80C10">
      <w:pPr>
        <w:spacing w:before="32" w:line="300" w:lineRule="auto"/>
        <w:ind w:left="70" w:right="309" w:firstLine="384"/>
        <w:jc w:val="both"/>
        <w:rPr>
          <w:rFonts w:ascii="宋体" w:hAnsi="宋体" w:eastAsia="宋体" w:cs="宋体"/>
          <w:sz w:val="17"/>
          <w:szCs w:val="17"/>
        </w:rPr>
      </w:pPr>
      <w:r>
        <w:rPr>
          <w:rFonts w:ascii="Times New Roman" w:hAnsi="Times New Roman" w:eastAsia="Times New Roman" w:cs="Times New Roman"/>
          <w:spacing w:val="14"/>
          <w:sz w:val="17"/>
          <w:szCs w:val="17"/>
        </w:rPr>
        <w:t>B</w:t>
      </w:r>
      <w:r>
        <w:rPr>
          <w:rFonts w:ascii="宋体" w:hAnsi="宋体" w:eastAsia="宋体" w:cs="宋体"/>
          <w:spacing w:val="14"/>
          <w:sz w:val="17"/>
          <w:szCs w:val="17"/>
        </w:rPr>
        <w:t>(理解):正确领会所学学科知识的含义及其适</w:t>
      </w:r>
      <w:r>
        <w:rPr>
          <w:rFonts w:ascii="宋体" w:hAnsi="宋体" w:eastAsia="宋体" w:cs="宋体"/>
          <w:sz w:val="17"/>
          <w:szCs w:val="17"/>
        </w:rPr>
        <w:t xml:space="preserve"> </w:t>
      </w:r>
      <w:r>
        <w:rPr>
          <w:rFonts w:ascii="宋体" w:hAnsi="宋体" w:eastAsia="宋体" w:cs="宋体"/>
          <w:spacing w:val="1"/>
          <w:sz w:val="17"/>
          <w:szCs w:val="17"/>
        </w:rPr>
        <w:t>用条件，能够正确判断、解释和说明有关化学、种植基</w:t>
      </w:r>
      <w:r>
        <w:rPr>
          <w:rFonts w:ascii="宋体" w:hAnsi="宋体" w:eastAsia="宋体" w:cs="宋体"/>
          <w:spacing w:val="17"/>
          <w:sz w:val="17"/>
          <w:szCs w:val="17"/>
        </w:rPr>
        <w:t xml:space="preserve"> </w:t>
      </w:r>
      <w:r>
        <w:rPr>
          <w:rFonts w:ascii="宋体" w:hAnsi="宋体" w:eastAsia="宋体" w:cs="宋体"/>
          <w:spacing w:val="2"/>
          <w:sz w:val="17"/>
          <w:szCs w:val="17"/>
        </w:rPr>
        <w:t>础课程、养殖基础课程中出现的现象和问题，即不仅知</w:t>
      </w:r>
      <w:r>
        <w:rPr>
          <w:rFonts w:ascii="宋体" w:hAnsi="宋体" w:eastAsia="宋体" w:cs="宋体"/>
          <w:sz w:val="17"/>
          <w:szCs w:val="17"/>
        </w:rPr>
        <w:t xml:space="preserve"> </w:t>
      </w:r>
      <w:r>
        <w:rPr>
          <w:rFonts w:ascii="宋体" w:hAnsi="宋体" w:eastAsia="宋体" w:cs="宋体"/>
          <w:spacing w:val="-4"/>
          <w:sz w:val="17"/>
          <w:szCs w:val="17"/>
        </w:rPr>
        <w:t>其然，还能知其所以然。例如：《化学》中元素周期律；</w:t>
      </w:r>
      <w:r>
        <w:rPr>
          <w:rFonts w:ascii="宋体" w:hAnsi="宋体" w:eastAsia="宋体" w:cs="宋体"/>
          <w:sz w:val="17"/>
          <w:szCs w:val="17"/>
        </w:rPr>
        <w:t xml:space="preserve"> </w:t>
      </w:r>
      <w:r>
        <w:rPr>
          <w:rFonts w:ascii="宋体" w:hAnsi="宋体" w:eastAsia="宋体" w:cs="宋体"/>
          <w:spacing w:val="-4"/>
          <w:sz w:val="17"/>
          <w:szCs w:val="17"/>
        </w:rPr>
        <w:t>《植物保护技术》中植物病害的症状；《畜禽解剖生理》</w:t>
      </w:r>
      <w:r>
        <w:rPr>
          <w:rFonts w:ascii="宋体" w:hAnsi="宋体" w:eastAsia="宋体" w:cs="宋体"/>
          <w:sz w:val="17"/>
          <w:szCs w:val="17"/>
        </w:rPr>
        <w:t xml:space="preserve"> </w:t>
      </w:r>
      <w:r>
        <w:rPr>
          <w:rFonts w:ascii="宋体" w:hAnsi="宋体" w:eastAsia="宋体" w:cs="宋体"/>
          <w:spacing w:val="-3"/>
          <w:sz w:val="17"/>
          <w:szCs w:val="17"/>
        </w:rPr>
        <w:t>中家畜肝的结构与功能等。</w:t>
      </w:r>
    </w:p>
    <w:p w14:paraId="4346722F">
      <w:pPr>
        <w:spacing w:before="52" w:line="310" w:lineRule="auto"/>
        <w:ind w:left="84" w:right="259" w:firstLine="370"/>
        <w:jc w:val="both"/>
        <w:rPr>
          <w:rFonts w:ascii="宋体" w:hAnsi="宋体" w:eastAsia="宋体" w:cs="宋体"/>
          <w:sz w:val="17"/>
          <w:szCs w:val="17"/>
        </w:rPr>
      </w:pPr>
      <w:r>
        <w:rPr>
          <w:rFonts w:ascii="Times New Roman" w:hAnsi="Times New Roman" w:eastAsia="Times New Roman" w:cs="Times New Roman"/>
          <w:spacing w:val="15"/>
          <w:sz w:val="17"/>
          <w:szCs w:val="17"/>
        </w:rPr>
        <w:t>C</w:t>
      </w:r>
      <w:r>
        <w:rPr>
          <w:rFonts w:ascii="宋体" w:hAnsi="宋体" w:eastAsia="宋体" w:cs="宋体"/>
          <w:spacing w:val="15"/>
          <w:sz w:val="17"/>
          <w:szCs w:val="17"/>
        </w:rPr>
        <w:t>(掌握):在理解的基础上，用所学的学科知识</w:t>
      </w:r>
      <w:r>
        <w:rPr>
          <w:rFonts w:ascii="宋体" w:hAnsi="宋体" w:eastAsia="宋体" w:cs="宋体"/>
          <w:sz w:val="17"/>
          <w:szCs w:val="17"/>
        </w:rPr>
        <w:t xml:space="preserve"> </w:t>
      </w:r>
      <w:r>
        <w:rPr>
          <w:rFonts w:ascii="宋体" w:hAnsi="宋体" w:eastAsia="宋体" w:cs="宋体"/>
          <w:spacing w:val="1"/>
          <w:sz w:val="17"/>
          <w:szCs w:val="17"/>
        </w:rPr>
        <w:t>及基本研究方法解决新情况下出现的简单问题，即考核</w:t>
      </w:r>
      <w:r>
        <w:rPr>
          <w:rFonts w:ascii="宋体" w:hAnsi="宋体" w:eastAsia="宋体" w:cs="宋体"/>
          <w:spacing w:val="2"/>
          <w:sz w:val="17"/>
          <w:szCs w:val="17"/>
        </w:rPr>
        <w:t xml:space="preserve">  </w:t>
      </w:r>
      <w:r>
        <w:rPr>
          <w:rFonts w:ascii="宋体" w:hAnsi="宋体" w:eastAsia="宋体" w:cs="宋体"/>
          <w:spacing w:val="1"/>
          <w:sz w:val="17"/>
          <w:szCs w:val="17"/>
        </w:rPr>
        <w:t>考生在新的情况下解决问题的能力。例如：《化学》中</w:t>
      </w:r>
      <w:r>
        <w:rPr>
          <w:rFonts w:ascii="宋体" w:hAnsi="宋体" w:eastAsia="宋体" w:cs="宋体"/>
          <w:spacing w:val="6"/>
          <w:sz w:val="17"/>
          <w:szCs w:val="17"/>
        </w:rPr>
        <w:t xml:space="preserve">  </w:t>
      </w:r>
      <w:r>
        <w:rPr>
          <w:rFonts w:ascii="宋体" w:hAnsi="宋体" w:eastAsia="宋体" w:cs="宋体"/>
          <w:spacing w:val="1"/>
          <w:sz w:val="17"/>
          <w:szCs w:val="17"/>
        </w:rPr>
        <w:t xml:space="preserve">硝酸的化学性质；《植物生产与环境》中有机肥料及其  </w:t>
      </w:r>
      <w:r>
        <w:rPr>
          <w:rFonts w:ascii="宋体" w:hAnsi="宋体" w:eastAsia="宋体" w:cs="宋体"/>
          <w:spacing w:val="-9"/>
          <w:sz w:val="17"/>
          <w:szCs w:val="17"/>
        </w:rPr>
        <w:t>科学施用；《畜禽饲料与营养》中青贮饲料的加工调制</w:t>
      </w:r>
      <w:r>
        <w:rPr>
          <w:rFonts w:ascii="宋体" w:hAnsi="宋体" w:eastAsia="宋体" w:cs="宋体"/>
          <w:spacing w:val="-10"/>
          <w:sz w:val="17"/>
          <w:szCs w:val="17"/>
        </w:rPr>
        <w:t>等。</w:t>
      </w:r>
    </w:p>
    <w:p w14:paraId="225F16DB">
      <w:pPr>
        <w:spacing w:before="25" w:line="250" w:lineRule="auto"/>
        <w:ind w:left="85" w:right="321" w:firstLine="370"/>
        <w:rPr>
          <w:rFonts w:ascii="宋体" w:hAnsi="宋体" w:eastAsia="宋体" w:cs="宋体"/>
          <w:sz w:val="17"/>
          <w:szCs w:val="17"/>
        </w:rPr>
      </w:pPr>
      <w:r>
        <w:rPr>
          <w:rFonts w:ascii="Times New Roman" w:hAnsi="Times New Roman" w:eastAsia="Times New Roman" w:cs="Times New Roman"/>
          <w:spacing w:val="14"/>
          <w:sz w:val="17"/>
          <w:szCs w:val="17"/>
        </w:rPr>
        <w:t>D</w:t>
      </w:r>
      <w:r>
        <w:rPr>
          <w:rFonts w:ascii="宋体" w:hAnsi="宋体" w:eastAsia="宋体" w:cs="宋体"/>
          <w:spacing w:val="14"/>
          <w:sz w:val="17"/>
          <w:szCs w:val="17"/>
        </w:rPr>
        <w:t>(综合运用):在理解所学知识的本质区别与内</w:t>
      </w:r>
      <w:r>
        <w:rPr>
          <w:rFonts w:ascii="宋体" w:hAnsi="宋体" w:eastAsia="宋体" w:cs="宋体"/>
          <w:spacing w:val="6"/>
          <w:sz w:val="17"/>
          <w:szCs w:val="17"/>
        </w:rPr>
        <w:t xml:space="preserve"> </w:t>
      </w:r>
      <w:r>
        <w:rPr>
          <w:rFonts w:ascii="宋体" w:hAnsi="宋体" w:eastAsia="宋体" w:cs="宋体"/>
          <w:spacing w:val="1"/>
          <w:sz w:val="17"/>
          <w:szCs w:val="17"/>
        </w:rPr>
        <w:t>在联系的基础上，运用所掌握的知识进行必要的分析、</w:t>
      </w:r>
    </w:p>
    <w:p w14:paraId="766FA224">
      <w:pPr>
        <w:pStyle w:val="2"/>
        <w:spacing w:line="14" w:lineRule="auto"/>
        <w:rPr>
          <w:sz w:val="2"/>
        </w:rPr>
      </w:pPr>
      <w:r>
        <w:rPr>
          <w:sz w:val="2"/>
          <w:szCs w:val="2"/>
        </w:rPr>
        <w:br w:type="column"/>
      </w:r>
    </w:p>
    <w:p w14:paraId="05EE4531">
      <w:pPr>
        <w:spacing w:before="50" w:line="299" w:lineRule="auto"/>
        <w:ind w:right="75" w:firstLine="25"/>
        <w:rPr>
          <w:rFonts w:ascii="宋体" w:hAnsi="宋体" w:eastAsia="宋体" w:cs="宋体"/>
          <w:sz w:val="17"/>
          <w:szCs w:val="17"/>
        </w:rPr>
      </w:pPr>
      <w:r>
        <w:rPr>
          <w:rFonts w:ascii="宋体" w:hAnsi="宋体" w:eastAsia="宋体" w:cs="宋体"/>
          <w:spacing w:val="1"/>
          <w:sz w:val="17"/>
          <w:szCs w:val="17"/>
        </w:rPr>
        <w:t>类推或计算，解释论证一些具体的问题，并能采用恰当 的试验方法验证一些生活和生产中的基本问题。例如：</w:t>
      </w:r>
      <w:r>
        <w:rPr>
          <w:rFonts w:ascii="宋体" w:hAnsi="宋体" w:eastAsia="宋体" w:cs="宋体"/>
          <w:spacing w:val="4"/>
          <w:sz w:val="17"/>
          <w:szCs w:val="17"/>
        </w:rPr>
        <w:t xml:space="preserve"> </w:t>
      </w:r>
      <w:r>
        <w:rPr>
          <w:rFonts w:ascii="宋体" w:hAnsi="宋体" w:eastAsia="宋体" w:cs="宋体"/>
          <w:spacing w:val="3"/>
          <w:sz w:val="17"/>
          <w:szCs w:val="17"/>
        </w:rPr>
        <w:t>《化学》中物质的量浓度及其计算；《农业生物技术》</w:t>
      </w:r>
      <w:r>
        <w:rPr>
          <w:rFonts w:ascii="宋体" w:hAnsi="宋体" w:eastAsia="宋体" w:cs="宋体"/>
          <w:spacing w:val="6"/>
          <w:sz w:val="17"/>
          <w:szCs w:val="17"/>
        </w:rPr>
        <w:t xml:space="preserve"> </w:t>
      </w:r>
      <w:r>
        <w:rPr>
          <w:rFonts w:ascii="宋体" w:hAnsi="宋体" w:eastAsia="宋体" w:cs="宋体"/>
          <w:spacing w:val="2"/>
          <w:sz w:val="17"/>
          <w:szCs w:val="17"/>
        </w:rPr>
        <w:t>中杂交制种技术；《畜禽繁殖与改良》中牛、羊、猪的</w:t>
      </w:r>
      <w:r>
        <w:rPr>
          <w:rFonts w:ascii="宋体" w:hAnsi="宋体" w:eastAsia="宋体" w:cs="宋体"/>
          <w:sz w:val="17"/>
          <w:szCs w:val="17"/>
        </w:rPr>
        <w:t xml:space="preserve"> </w:t>
      </w:r>
      <w:r>
        <w:rPr>
          <w:rFonts w:ascii="宋体" w:hAnsi="宋体" w:eastAsia="宋体" w:cs="宋体"/>
          <w:spacing w:val="-1"/>
          <w:sz w:val="17"/>
          <w:szCs w:val="17"/>
        </w:rPr>
        <w:t>输精方法等。</w:t>
      </w:r>
    </w:p>
    <w:p w14:paraId="41E15D31">
      <w:pPr>
        <w:spacing w:before="123" w:line="219" w:lineRule="auto"/>
        <w:ind w:left="27"/>
        <w:rPr>
          <w:rFonts w:ascii="宋体" w:hAnsi="宋体" w:eastAsia="宋体" w:cs="宋体"/>
          <w:sz w:val="17"/>
          <w:szCs w:val="17"/>
        </w:rPr>
      </w:pPr>
      <w:r>
        <w:rPr>
          <w:rFonts w:ascii="宋体" w:hAnsi="宋体" w:eastAsia="宋体" w:cs="宋体"/>
          <w:b/>
          <w:bCs/>
          <w:spacing w:val="-12"/>
          <w:sz w:val="17"/>
          <w:szCs w:val="17"/>
        </w:rPr>
        <w:t>三</w:t>
      </w:r>
      <w:r>
        <w:rPr>
          <w:rFonts w:ascii="宋体" w:hAnsi="宋体" w:eastAsia="宋体" w:cs="宋体"/>
          <w:spacing w:val="35"/>
          <w:w w:val="101"/>
          <w:sz w:val="17"/>
          <w:szCs w:val="17"/>
        </w:rPr>
        <w:t xml:space="preserve"> </w:t>
      </w:r>
      <w:r>
        <w:rPr>
          <w:rFonts w:ascii="宋体" w:hAnsi="宋体" w:eastAsia="宋体" w:cs="宋体"/>
          <w:b/>
          <w:bCs/>
          <w:spacing w:val="-12"/>
          <w:sz w:val="17"/>
          <w:szCs w:val="17"/>
        </w:rPr>
        <w:t>、考</w:t>
      </w:r>
      <w:r>
        <w:rPr>
          <w:rFonts w:ascii="宋体" w:hAnsi="宋体" w:eastAsia="宋体" w:cs="宋体"/>
          <w:spacing w:val="-12"/>
          <w:sz w:val="17"/>
          <w:szCs w:val="17"/>
        </w:rPr>
        <w:t xml:space="preserve"> </w:t>
      </w:r>
      <w:r>
        <w:rPr>
          <w:rFonts w:ascii="宋体" w:hAnsi="宋体" w:eastAsia="宋体" w:cs="宋体"/>
          <w:b/>
          <w:bCs/>
          <w:spacing w:val="-12"/>
          <w:sz w:val="17"/>
          <w:szCs w:val="17"/>
        </w:rPr>
        <w:t>试</w:t>
      </w:r>
      <w:r>
        <w:rPr>
          <w:rFonts w:ascii="宋体" w:hAnsi="宋体" w:eastAsia="宋体" w:cs="宋体"/>
          <w:spacing w:val="33"/>
          <w:sz w:val="17"/>
          <w:szCs w:val="17"/>
        </w:rPr>
        <w:t xml:space="preserve"> </w:t>
      </w:r>
      <w:r>
        <w:rPr>
          <w:rFonts w:ascii="宋体" w:hAnsi="宋体" w:eastAsia="宋体" w:cs="宋体"/>
          <w:b/>
          <w:bCs/>
          <w:spacing w:val="-12"/>
          <w:sz w:val="17"/>
          <w:szCs w:val="17"/>
        </w:rPr>
        <w:t>目</w:t>
      </w:r>
      <w:r>
        <w:rPr>
          <w:rFonts w:ascii="宋体" w:hAnsi="宋体" w:eastAsia="宋体" w:cs="宋体"/>
          <w:spacing w:val="2"/>
          <w:sz w:val="17"/>
          <w:szCs w:val="17"/>
        </w:rPr>
        <w:t xml:space="preserve"> </w:t>
      </w:r>
      <w:r>
        <w:rPr>
          <w:rFonts w:ascii="宋体" w:hAnsi="宋体" w:eastAsia="宋体" w:cs="宋体"/>
          <w:b/>
          <w:bCs/>
          <w:spacing w:val="-12"/>
          <w:sz w:val="17"/>
          <w:szCs w:val="17"/>
        </w:rPr>
        <w:t>标</w:t>
      </w:r>
    </w:p>
    <w:p w14:paraId="1A03FE05">
      <w:pPr>
        <w:pStyle w:val="2"/>
        <w:spacing w:line="304" w:lineRule="auto"/>
      </w:pPr>
    </w:p>
    <w:p w14:paraId="3DA5CAFB">
      <w:pPr>
        <w:pStyle w:val="2"/>
        <w:spacing w:line="305" w:lineRule="auto"/>
      </w:pPr>
    </w:p>
    <w:p w14:paraId="11C32A78">
      <w:pPr>
        <w:spacing w:before="55" w:line="219" w:lineRule="auto"/>
        <w:ind w:left="1387"/>
        <w:rPr>
          <w:rFonts w:ascii="宋体" w:hAnsi="宋体" w:eastAsia="宋体" w:cs="宋体"/>
          <w:sz w:val="17"/>
          <w:szCs w:val="17"/>
        </w:rPr>
      </w:pPr>
      <w:r>
        <w:rPr>
          <w:rFonts w:ascii="宋体" w:hAnsi="宋体" w:eastAsia="宋体" w:cs="宋体"/>
          <w:b/>
          <w:bCs/>
          <w:spacing w:val="-9"/>
          <w:sz w:val="17"/>
          <w:szCs w:val="17"/>
        </w:rPr>
        <w:t>第</w:t>
      </w:r>
      <w:r>
        <w:rPr>
          <w:rFonts w:ascii="宋体" w:hAnsi="宋体" w:eastAsia="宋体" w:cs="宋体"/>
          <w:spacing w:val="-25"/>
          <w:sz w:val="17"/>
          <w:szCs w:val="17"/>
        </w:rPr>
        <w:t xml:space="preserve"> </w:t>
      </w:r>
      <w:r>
        <w:rPr>
          <w:rFonts w:ascii="宋体" w:hAnsi="宋体" w:eastAsia="宋体" w:cs="宋体"/>
          <w:b/>
          <w:bCs/>
          <w:spacing w:val="-9"/>
          <w:sz w:val="17"/>
          <w:szCs w:val="17"/>
        </w:rPr>
        <w:t>一</w:t>
      </w:r>
      <w:r>
        <w:rPr>
          <w:rFonts w:ascii="宋体" w:hAnsi="宋体" w:eastAsia="宋体" w:cs="宋体"/>
          <w:spacing w:val="-27"/>
          <w:sz w:val="17"/>
          <w:szCs w:val="17"/>
        </w:rPr>
        <w:t xml:space="preserve"> </w:t>
      </w:r>
      <w:r>
        <w:rPr>
          <w:rFonts w:ascii="宋体" w:hAnsi="宋体" w:eastAsia="宋体" w:cs="宋体"/>
          <w:b/>
          <w:bCs/>
          <w:spacing w:val="-9"/>
          <w:sz w:val="17"/>
          <w:szCs w:val="17"/>
        </w:rPr>
        <w:t>部</w:t>
      </w:r>
      <w:r>
        <w:rPr>
          <w:rFonts w:ascii="宋体" w:hAnsi="宋体" w:eastAsia="宋体" w:cs="宋体"/>
          <w:spacing w:val="-27"/>
          <w:sz w:val="17"/>
          <w:szCs w:val="17"/>
        </w:rPr>
        <w:t xml:space="preserve"> </w:t>
      </w:r>
      <w:r>
        <w:rPr>
          <w:rFonts w:ascii="宋体" w:hAnsi="宋体" w:eastAsia="宋体" w:cs="宋体"/>
          <w:b/>
          <w:bCs/>
          <w:spacing w:val="-9"/>
          <w:sz w:val="17"/>
          <w:szCs w:val="17"/>
        </w:rPr>
        <w:t>分</w:t>
      </w:r>
      <w:r>
        <w:rPr>
          <w:rFonts w:ascii="宋体" w:hAnsi="宋体" w:eastAsia="宋体" w:cs="宋体"/>
          <w:spacing w:val="10"/>
          <w:sz w:val="17"/>
          <w:szCs w:val="17"/>
        </w:rPr>
        <w:t xml:space="preserve">  </w:t>
      </w:r>
      <w:r>
        <w:rPr>
          <w:rFonts w:ascii="宋体" w:hAnsi="宋体" w:eastAsia="宋体" w:cs="宋体"/>
          <w:b/>
          <w:bCs/>
          <w:spacing w:val="-9"/>
          <w:sz w:val="17"/>
          <w:szCs w:val="17"/>
        </w:rPr>
        <w:t>化</w:t>
      </w:r>
      <w:r>
        <w:rPr>
          <w:rFonts w:ascii="宋体" w:hAnsi="宋体" w:eastAsia="宋体" w:cs="宋体"/>
          <w:spacing w:val="-25"/>
          <w:sz w:val="17"/>
          <w:szCs w:val="17"/>
        </w:rPr>
        <w:t xml:space="preserve"> </w:t>
      </w:r>
      <w:r>
        <w:rPr>
          <w:rFonts w:ascii="宋体" w:hAnsi="宋体" w:eastAsia="宋体" w:cs="宋体"/>
          <w:b/>
          <w:bCs/>
          <w:spacing w:val="-9"/>
          <w:sz w:val="17"/>
          <w:szCs w:val="17"/>
        </w:rPr>
        <w:t>学</w:t>
      </w:r>
    </w:p>
    <w:p w14:paraId="4482B68C">
      <w:pPr>
        <w:pStyle w:val="2"/>
        <w:spacing w:line="339" w:lineRule="auto"/>
      </w:pPr>
    </w:p>
    <w:p w14:paraId="2F5098A9">
      <w:pPr>
        <w:spacing w:before="56" w:line="219" w:lineRule="auto"/>
        <w:ind w:left="997"/>
        <w:rPr>
          <w:rFonts w:ascii="宋体" w:hAnsi="宋体" w:eastAsia="宋体" w:cs="宋体"/>
          <w:sz w:val="17"/>
          <w:szCs w:val="17"/>
        </w:rPr>
      </w:pPr>
      <w:r>
        <w:rPr>
          <w:rFonts w:ascii="宋体" w:hAnsi="宋体" w:eastAsia="宋体" w:cs="宋体"/>
          <w:b/>
          <w:bCs/>
          <w:spacing w:val="19"/>
          <w:sz w:val="17"/>
          <w:szCs w:val="17"/>
        </w:rPr>
        <w:t>一</w:t>
      </w:r>
      <w:r>
        <w:rPr>
          <w:rFonts w:ascii="宋体" w:hAnsi="宋体" w:eastAsia="宋体" w:cs="宋体"/>
          <w:spacing w:val="-21"/>
          <w:sz w:val="17"/>
          <w:szCs w:val="17"/>
        </w:rPr>
        <w:t xml:space="preserve"> </w:t>
      </w:r>
      <w:r>
        <w:rPr>
          <w:rFonts w:ascii="宋体" w:hAnsi="宋体" w:eastAsia="宋体" w:cs="宋体"/>
          <w:b/>
          <w:bCs/>
          <w:spacing w:val="19"/>
          <w:sz w:val="17"/>
          <w:szCs w:val="17"/>
        </w:rPr>
        <w:t>、化学基本概念和理论</w:t>
      </w:r>
    </w:p>
    <w:p w14:paraId="0EBCE402">
      <w:pPr>
        <w:spacing w:line="160" w:lineRule="exact"/>
      </w:pPr>
    </w:p>
    <w:tbl>
      <w:tblPr>
        <w:tblStyle w:val="5"/>
        <w:tblW w:w="4100" w:type="dxa"/>
        <w:tblInd w:w="4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54"/>
        <w:gridCol w:w="2624"/>
        <w:gridCol w:w="230"/>
        <w:gridCol w:w="229"/>
        <w:gridCol w:w="219"/>
        <w:gridCol w:w="244"/>
      </w:tblGrid>
      <w:tr w14:paraId="228D85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3" w:hRule="atLeast"/>
        </w:trPr>
        <w:tc>
          <w:tcPr>
            <w:tcW w:w="554" w:type="dxa"/>
            <w:vMerge w:val="restart"/>
            <w:tcBorders>
              <w:bottom w:val="nil"/>
            </w:tcBorders>
            <w:vAlign w:val="top"/>
          </w:tcPr>
          <w:p w14:paraId="04A5A0E3">
            <w:pPr>
              <w:pStyle w:val="6"/>
              <w:spacing w:before="92" w:line="226" w:lineRule="auto"/>
              <w:ind w:left="17" w:right="26" w:firstLine="79"/>
            </w:pPr>
            <w:r>
              <w:rPr>
                <w:b/>
                <w:bCs/>
                <w:spacing w:val="-7"/>
              </w:rPr>
              <w:t>知识</w:t>
            </w:r>
            <w:r>
              <w:t xml:space="preserve">  </w:t>
            </w:r>
            <w:r>
              <w:rPr>
                <w:b/>
                <w:bCs/>
                <w:spacing w:val="-6"/>
              </w:rPr>
              <w:t>与技能</w:t>
            </w:r>
            <w:r>
              <w:rPr>
                <w:spacing w:val="1"/>
              </w:rPr>
              <w:t xml:space="preserve"> </w:t>
            </w:r>
            <w:r>
              <w:rPr>
                <w:b/>
                <w:bCs/>
                <w:spacing w:val="34"/>
              </w:rPr>
              <w:t>要点</w:t>
            </w:r>
          </w:p>
        </w:tc>
        <w:tc>
          <w:tcPr>
            <w:tcW w:w="2624" w:type="dxa"/>
            <w:vMerge w:val="restart"/>
            <w:tcBorders>
              <w:bottom w:val="nil"/>
            </w:tcBorders>
            <w:vAlign w:val="top"/>
          </w:tcPr>
          <w:p w14:paraId="6BDD9B09">
            <w:pPr>
              <w:spacing w:line="242" w:lineRule="auto"/>
              <w:rPr>
                <w:rFonts w:ascii="Arial"/>
                <w:sz w:val="21"/>
              </w:rPr>
            </w:pPr>
          </w:p>
          <w:p w14:paraId="615EAC50">
            <w:pPr>
              <w:pStyle w:val="6"/>
              <w:spacing w:before="56" w:line="219" w:lineRule="auto"/>
              <w:ind w:left="983"/>
            </w:pPr>
            <w:r>
              <w:rPr>
                <w:b/>
                <w:bCs/>
                <w:spacing w:val="5"/>
              </w:rPr>
              <w:t>考试条目</w:t>
            </w:r>
          </w:p>
        </w:tc>
        <w:tc>
          <w:tcPr>
            <w:tcW w:w="922" w:type="dxa"/>
            <w:gridSpan w:val="4"/>
            <w:vAlign w:val="top"/>
          </w:tcPr>
          <w:p w14:paraId="281692FA">
            <w:pPr>
              <w:pStyle w:val="6"/>
              <w:spacing w:before="109" w:line="219" w:lineRule="auto"/>
              <w:ind w:left="129"/>
            </w:pPr>
            <w:r>
              <w:rPr>
                <w:b/>
                <w:bCs/>
                <w:spacing w:val="-4"/>
              </w:rPr>
              <w:t>考试水平</w:t>
            </w:r>
          </w:p>
        </w:tc>
      </w:tr>
      <w:tr w14:paraId="3019E3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554" w:type="dxa"/>
            <w:vMerge w:val="continue"/>
            <w:tcBorders>
              <w:top w:val="nil"/>
            </w:tcBorders>
            <w:vAlign w:val="top"/>
          </w:tcPr>
          <w:p w14:paraId="5FE5C805">
            <w:pPr>
              <w:rPr>
                <w:rFonts w:ascii="Arial"/>
                <w:sz w:val="21"/>
              </w:rPr>
            </w:pPr>
          </w:p>
        </w:tc>
        <w:tc>
          <w:tcPr>
            <w:tcW w:w="2624" w:type="dxa"/>
            <w:vMerge w:val="continue"/>
            <w:tcBorders>
              <w:top w:val="nil"/>
            </w:tcBorders>
            <w:vAlign w:val="top"/>
          </w:tcPr>
          <w:p w14:paraId="22DC560D">
            <w:pPr>
              <w:rPr>
                <w:rFonts w:ascii="Arial"/>
                <w:sz w:val="21"/>
              </w:rPr>
            </w:pPr>
          </w:p>
        </w:tc>
        <w:tc>
          <w:tcPr>
            <w:tcW w:w="230" w:type="dxa"/>
            <w:vAlign w:val="top"/>
          </w:tcPr>
          <w:p w14:paraId="3E69973B">
            <w:pPr>
              <w:pStyle w:val="6"/>
              <w:spacing w:before="141" w:line="184" w:lineRule="auto"/>
              <w:ind w:left="17"/>
            </w:pPr>
            <w:r>
              <w:t>A</w:t>
            </w:r>
          </w:p>
        </w:tc>
        <w:tc>
          <w:tcPr>
            <w:tcW w:w="229" w:type="dxa"/>
            <w:vAlign w:val="top"/>
          </w:tcPr>
          <w:p w14:paraId="0CD7A473">
            <w:pPr>
              <w:pStyle w:val="6"/>
              <w:spacing w:before="143" w:line="182" w:lineRule="auto"/>
              <w:ind w:left="17"/>
            </w:pPr>
            <w:r>
              <w:t>B</w:t>
            </w:r>
          </w:p>
        </w:tc>
        <w:tc>
          <w:tcPr>
            <w:tcW w:w="219" w:type="dxa"/>
            <w:vAlign w:val="top"/>
          </w:tcPr>
          <w:p w14:paraId="6E3CD303">
            <w:pPr>
              <w:pStyle w:val="6"/>
              <w:spacing w:before="142" w:line="183" w:lineRule="auto"/>
              <w:ind w:left="48"/>
            </w:pPr>
            <w:r>
              <w:t>C</w:t>
            </w:r>
          </w:p>
        </w:tc>
        <w:tc>
          <w:tcPr>
            <w:tcW w:w="244" w:type="dxa"/>
            <w:vAlign w:val="top"/>
          </w:tcPr>
          <w:p w14:paraId="7ACBB677">
            <w:pPr>
              <w:pStyle w:val="6"/>
              <w:spacing w:before="143" w:line="182" w:lineRule="auto"/>
              <w:ind w:left="29"/>
            </w:pPr>
            <w:r>
              <w:t>D</w:t>
            </w:r>
          </w:p>
        </w:tc>
      </w:tr>
      <w:tr w14:paraId="37F537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45" w:hRule="atLeast"/>
        </w:trPr>
        <w:tc>
          <w:tcPr>
            <w:tcW w:w="554" w:type="dxa"/>
            <w:vAlign w:val="top"/>
          </w:tcPr>
          <w:p w14:paraId="2341111A">
            <w:pPr>
              <w:spacing w:line="373" w:lineRule="auto"/>
              <w:rPr>
                <w:rFonts w:ascii="Arial"/>
                <w:sz w:val="21"/>
              </w:rPr>
            </w:pPr>
          </w:p>
          <w:p w14:paraId="6A896CF2">
            <w:pPr>
              <w:pStyle w:val="6"/>
              <w:spacing w:before="55" w:line="229" w:lineRule="auto"/>
              <w:ind w:left="94" w:right="97"/>
              <w:jc w:val="both"/>
            </w:pPr>
            <w:r>
              <w:rPr>
                <w:spacing w:val="-6"/>
              </w:rPr>
              <w:t>原子</w:t>
            </w:r>
            <w:r>
              <w:t xml:space="preserve"> </w:t>
            </w:r>
            <w:r>
              <w:rPr>
                <w:spacing w:val="5"/>
              </w:rPr>
              <w:t>结构</w:t>
            </w:r>
            <w:r>
              <w:t xml:space="preserve"> </w:t>
            </w:r>
            <w:r>
              <w:rPr>
                <w:spacing w:val="-4"/>
              </w:rPr>
              <w:t>和化</w:t>
            </w:r>
            <w:r>
              <w:t xml:space="preserve"> </w:t>
            </w:r>
            <w:r>
              <w:rPr>
                <w:spacing w:val="-3"/>
              </w:rPr>
              <w:t>学键</w:t>
            </w:r>
          </w:p>
        </w:tc>
        <w:tc>
          <w:tcPr>
            <w:tcW w:w="2624" w:type="dxa"/>
            <w:vAlign w:val="top"/>
          </w:tcPr>
          <w:p w14:paraId="31DD493C">
            <w:pPr>
              <w:pStyle w:val="6"/>
              <w:spacing w:before="110" w:line="220" w:lineRule="auto"/>
              <w:ind w:left="60"/>
            </w:pPr>
            <w:r>
              <w:rPr>
                <w:spacing w:val="1"/>
              </w:rPr>
              <w:t>1.原子组成</w:t>
            </w:r>
          </w:p>
          <w:p w14:paraId="07EB66BE">
            <w:pPr>
              <w:pStyle w:val="6"/>
              <w:spacing w:before="17" w:line="219" w:lineRule="auto"/>
              <w:ind w:left="60"/>
            </w:pPr>
            <w:r>
              <w:rPr>
                <w:spacing w:val="-1"/>
              </w:rPr>
              <w:t>2.同位素的概念</w:t>
            </w:r>
          </w:p>
          <w:p w14:paraId="163BD3EE">
            <w:pPr>
              <w:pStyle w:val="6"/>
              <w:spacing w:before="8" w:line="229" w:lineRule="auto"/>
              <w:ind w:left="60" w:right="863"/>
            </w:pPr>
            <w:r>
              <w:rPr>
                <w:spacing w:val="-1"/>
              </w:rPr>
              <w:t>3.核外电子的排布规律</w:t>
            </w:r>
            <w:r>
              <w:t xml:space="preserve"> </w:t>
            </w:r>
            <w:r>
              <w:rPr>
                <w:spacing w:val="-1"/>
              </w:rPr>
              <w:t>4.元素周期律</w:t>
            </w:r>
          </w:p>
          <w:p w14:paraId="13E4475F">
            <w:pPr>
              <w:pStyle w:val="6"/>
              <w:spacing w:before="8" w:line="233" w:lineRule="auto"/>
              <w:ind w:left="60" w:right="861"/>
            </w:pPr>
            <w:r>
              <w:rPr>
                <w:spacing w:val="1"/>
              </w:rPr>
              <w:t>5.元素周期表的结构</w:t>
            </w:r>
            <w:r>
              <w:t xml:space="preserve">   </w:t>
            </w:r>
            <w:r>
              <w:rPr>
                <w:spacing w:val="-1"/>
              </w:rPr>
              <w:t>6.元素性质的递变规律</w:t>
            </w:r>
            <w:r>
              <w:rPr>
                <w:spacing w:val="2"/>
              </w:rPr>
              <w:t xml:space="preserve"> </w:t>
            </w:r>
            <w:r>
              <w:rPr>
                <w:spacing w:val="-2"/>
              </w:rPr>
              <w:t>7.化学键</w:t>
            </w:r>
          </w:p>
        </w:tc>
        <w:tc>
          <w:tcPr>
            <w:tcW w:w="230" w:type="dxa"/>
            <w:vAlign w:val="top"/>
          </w:tcPr>
          <w:p w14:paraId="473E93D4">
            <w:pPr>
              <w:rPr>
                <w:rFonts w:ascii="Arial"/>
                <w:sz w:val="21"/>
              </w:rPr>
            </w:pPr>
          </w:p>
        </w:tc>
        <w:tc>
          <w:tcPr>
            <w:tcW w:w="229" w:type="dxa"/>
            <w:vAlign w:val="top"/>
          </w:tcPr>
          <w:p w14:paraId="0C2CD558">
            <w:pPr>
              <w:rPr>
                <w:rFonts w:ascii="Arial"/>
                <w:sz w:val="21"/>
              </w:rPr>
            </w:pPr>
          </w:p>
        </w:tc>
        <w:tc>
          <w:tcPr>
            <w:tcW w:w="219" w:type="dxa"/>
            <w:vAlign w:val="top"/>
          </w:tcPr>
          <w:p w14:paraId="59C1B151">
            <w:pPr>
              <w:rPr>
                <w:rFonts w:ascii="Arial"/>
                <w:sz w:val="21"/>
              </w:rPr>
            </w:pPr>
          </w:p>
        </w:tc>
        <w:tc>
          <w:tcPr>
            <w:tcW w:w="244" w:type="dxa"/>
            <w:vAlign w:val="top"/>
          </w:tcPr>
          <w:p w14:paraId="0481CC45">
            <w:pPr>
              <w:rPr>
                <w:rFonts w:ascii="Arial"/>
                <w:sz w:val="21"/>
              </w:rPr>
            </w:pPr>
          </w:p>
        </w:tc>
      </w:tr>
      <w:tr w14:paraId="6F5490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62" w:hRule="atLeast"/>
        </w:trPr>
        <w:tc>
          <w:tcPr>
            <w:tcW w:w="554" w:type="dxa"/>
            <w:vAlign w:val="top"/>
          </w:tcPr>
          <w:p w14:paraId="1855FE7E">
            <w:pPr>
              <w:spacing w:line="348" w:lineRule="auto"/>
              <w:rPr>
                <w:rFonts w:ascii="Arial"/>
                <w:sz w:val="21"/>
              </w:rPr>
            </w:pPr>
          </w:p>
          <w:p w14:paraId="522E8D5E">
            <w:pPr>
              <w:pStyle w:val="6"/>
              <w:spacing w:before="55" w:line="220" w:lineRule="auto"/>
              <w:ind w:left="94"/>
            </w:pPr>
            <w:r>
              <w:rPr>
                <w:spacing w:val="7"/>
              </w:rPr>
              <w:t>摩尔</w:t>
            </w:r>
          </w:p>
        </w:tc>
        <w:tc>
          <w:tcPr>
            <w:tcW w:w="2624" w:type="dxa"/>
            <w:vAlign w:val="top"/>
          </w:tcPr>
          <w:p w14:paraId="5AC45AD3">
            <w:pPr>
              <w:pStyle w:val="6"/>
              <w:spacing w:before="86" w:line="236" w:lineRule="auto"/>
              <w:ind w:left="60" w:right="1016"/>
              <w:jc w:val="both"/>
            </w:pPr>
            <w:r>
              <w:t>1.物质的量及其单位</w:t>
            </w:r>
            <w:r>
              <w:rPr>
                <w:spacing w:val="5"/>
              </w:rPr>
              <w:t xml:space="preserve"> </w:t>
            </w:r>
            <w:r>
              <w:rPr>
                <w:spacing w:val="-1"/>
              </w:rPr>
              <w:t>2.摩尔质量及其计算</w:t>
            </w:r>
            <w:r>
              <w:t xml:space="preserve"> </w:t>
            </w:r>
            <w:r>
              <w:rPr>
                <w:spacing w:val="1"/>
              </w:rPr>
              <w:t>3.气体摩尔体积</w:t>
            </w:r>
          </w:p>
          <w:p w14:paraId="6897B651">
            <w:pPr>
              <w:pStyle w:val="6"/>
              <w:spacing w:before="17" w:line="213" w:lineRule="auto"/>
              <w:ind w:left="60"/>
            </w:pPr>
            <w:r>
              <w:rPr>
                <w:spacing w:val="-1"/>
              </w:rPr>
              <w:t>4.物质的量浓度</w:t>
            </w:r>
          </w:p>
        </w:tc>
        <w:tc>
          <w:tcPr>
            <w:tcW w:w="230" w:type="dxa"/>
            <w:vAlign w:val="top"/>
          </w:tcPr>
          <w:p w14:paraId="1CFB5345">
            <w:pPr>
              <w:rPr>
                <w:rFonts w:ascii="Arial"/>
                <w:sz w:val="21"/>
              </w:rPr>
            </w:pPr>
          </w:p>
        </w:tc>
        <w:tc>
          <w:tcPr>
            <w:tcW w:w="229" w:type="dxa"/>
            <w:vAlign w:val="top"/>
          </w:tcPr>
          <w:p w14:paraId="1AEE9723">
            <w:pPr>
              <w:rPr>
                <w:rFonts w:ascii="Arial"/>
                <w:sz w:val="21"/>
              </w:rPr>
            </w:pPr>
          </w:p>
        </w:tc>
        <w:tc>
          <w:tcPr>
            <w:tcW w:w="219" w:type="dxa"/>
            <w:vAlign w:val="top"/>
          </w:tcPr>
          <w:p w14:paraId="343F11E2">
            <w:pPr>
              <w:rPr>
                <w:rFonts w:ascii="Arial"/>
                <w:sz w:val="21"/>
              </w:rPr>
            </w:pPr>
          </w:p>
        </w:tc>
        <w:tc>
          <w:tcPr>
            <w:tcW w:w="244" w:type="dxa"/>
            <w:vAlign w:val="top"/>
          </w:tcPr>
          <w:p w14:paraId="542948D2">
            <w:pPr>
              <w:rPr>
                <w:rFonts w:ascii="Arial"/>
                <w:sz w:val="21"/>
              </w:rPr>
            </w:pPr>
          </w:p>
        </w:tc>
      </w:tr>
    </w:tbl>
    <w:p w14:paraId="6F1F3130">
      <w:pPr>
        <w:spacing w:before="150" w:line="220" w:lineRule="auto"/>
        <w:ind w:left="1697"/>
        <w:rPr>
          <w:rFonts w:ascii="宋体" w:hAnsi="宋体" w:eastAsia="宋体" w:cs="宋体"/>
          <w:sz w:val="17"/>
          <w:szCs w:val="17"/>
        </w:rPr>
      </w:pPr>
      <w:r>
        <w:rPr>
          <w:rFonts w:ascii="宋体" w:hAnsi="宋体" w:eastAsia="宋体" w:cs="宋体"/>
          <w:b/>
          <w:bCs/>
          <w:spacing w:val="-13"/>
          <w:sz w:val="17"/>
          <w:szCs w:val="17"/>
        </w:rPr>
        <w:t>二</w:t>
      </w:r>
      <w:r>
        <w:rPr>
          <w:rFonts w:ascii="宋体" w:hAnsi="宋体" w:eastAsia="宋体" w:cs="宋体"/>
          <w:spacing w:val="10"/>
          <w:sz w:val="17"/>
          <w:szCs w:val="17"/>
        </w:rPr>
        <w:t xml:space="preserve"> </w:t>
      </w:r>
      <w:r>
        <w:rPr>
          <w:rFonts w:ascii="宋体" w:hAnsi="宋体" w:eastAsia="宋体" w:cs="宋体"/>
          <w:b/>
          <w:bCs/>
          <w:spacing w:val="-13"/>
          <w:sz w:val="17"/>
          <w:szCs w:val="17"/>
        </w:rPr>
        <w:t>、溶</w:t>
      </w:r>
      <w:r>
        <w:rPr>
          <w:rFonts w:ascii="宋体" w:hAnsi="宋体" w:eastAsia="宋体" w:cs="宋体"/>
          <w:spacing w:val="-26"/>
          <w:sz w:val="17"/>
          <w:szCs w:val="17"/>
        </w:rPr>
        <w:t xml:space="preserve"> </w:t>
      </w:r>
      <w:r>
        <w:rPr>
          <w:rFonts w:ascii="宋体" w:hAnsi="宋体" w:eastAsia="宋体" w:cs="宋体"/>
          <w:b/>
          <w:bCs/>
          <w:spacing w:val="-13"/>
          <w:sz w:val="17"/>
          <w:szCs w:val="17"/>
        </w:rPr>
        <w:t>液</w:t>
      </w:r>
    </w:p>
    <w:p w14:paraId="22992D31">
      <w:pPr>
        <w:spacing w:line="167" w:lineRule="exact"/>
      </w:pPr>
    </w:p>
    <w:tbl>
      <w:tblPr>
        <w:tblStyle w:val="5"/>
        <w:tblW w:w="4100" w:type="dxa"/>
        <w:tblInd w:w="4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54"/>
        <w:gridCol w:w="2624"/>
        <w:gridCol w:w="230"/>
        <w:gridCol w:w="229"/>
        <w:gridCol w:w="229"/>
        <w:gridCol w:w="234"/>
      </w:tblGrid>
      <w:tr w14:paraId="03C5D9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4" w:hRule="atLeast"/>
        </w:trPr>
        <w:tc>
          <w:tcPr>
            <w:tcW w:w="554" w:type="dxa"/>
            <w:vMerge w:val="restart"/>
            <w:tcBorders>
              <w:bottom w:val="nil"/>
            </w:tcBorders>
            <w:vAlign w:val="top"/>
          </w:tcPr>
          <w:p w14:paraId="31D986C7">
            <w:pPr>
              <w:pStyle w:val="6"/>
              <w:spacing w:before="70" w:line="234" w:lineRule="auto"/>
              <w:ind w:left="17" w:right="26" w:firstLine="79"/>
            </w:pPr>
            <w:r>
              <w:rPr>
                <w:b/>
                <w:bCs/>
                <w:spacing w:val="-7"/>
              </w:rPr>
              <w:t>知识</w:t>
            </w:r>
            <w:r>
              <w:t xml:space="preserve">  </w:t>
            </w:r>
            <w:r>
              <w:rPr>
                <w:b/>
                <w:bCs/>
                <w:spacing w:val="-6"/>
              </w:rPr>
              <w:t>与技能</w:t>
            </w:r>
            <w:r>
              <w:rPr>
                <w:spacing w:val="1"/>
              </w:rPr>
              <w:t xml:space="preserve"> </w:t>
            </w:r>
            <w:r>
              <w:rPr>
                <w:b/>
                <w:bCs/>
                <w:spacing w:val="34"/>
              </w:rPr>
              <w:t>要点</w:t>
            </w:r>
          </w:p>
        </w:tc>
        <w:tc>
          <w:tcPr>
            <w:tcW w:w="2624" w:type="dxa"/>
            <w:vMerge w:val="restart"/>
            <w:tcBorders>
              <w:bottom w:val="nil"/>
            </w:tcBorders>
            <w:vAlign w:val="top"/>
          </w:tcPr>
          <w:p w14:paraId="24521BA2">
            <w:pPr>
              <w:spacing w:line="242" w:lineRule="auto"/>
              <w:rPr>
                <w:rFonts w:ascii="Arial"/>
                <w:sz w:val="21"/>
              </w:rPr>
            </w:pPr>
          </w:p>
          <w:p w14:paraId="1CD6BF43">
            <w:pPr>
              <w:pStyle w:val="6"/>
              <w:spacing w:before="56" w:line="219" w:lineRule="auto"/>
              <w:ind w:left="983"/>
            </w:pPr>
            <w:r>
              <w:rPr>
                <w:b/>
                <w:bCs/>
                <w:spacing w:val="5"/>
              </w:rPr>
              <w:t>考试条目</w:t>
            </w:r>
          </w:p>
        </w:tc>
        <w:tc>
          <w:tcPr>
            <w:tcW w:w="922" w:type="dxa"/>
            <w:gridSpan w:val="4"/>
            <w:vAlign w:val="top"/>
          </w:tcPr>
          <w:p w14:paraId="0984B37D">
            <w:pPr>
              <w:pStyle w:val="6"/>
              <w:spacing w:before="109" w:line="219" w:lineRule="auto"/>
              <w:ind w:left="129"/>
            </w:pPr>
            <w:r>
              <w:rPr>
                <w:b/>
                <w:bCs/>
                <w:spacing w:val="-4"/>
              </w:rPr>
              <w:t>考试水平</w:t>
            </w:r>
          </w:p>
        </w:tc>
      </w:tr>
      <w:tr w14:paraId="05E038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554" w:type="dxa"/>
            <w:vMerge w:val="continue"/>
            <w:tcBorders>
              <w:top w:val="nil"/>
            </w:tcBorders>
            <w:vAlign w:val="top"/>
          </w:tcPr>
          <w:p w14:paraId="183750CC">
            <w:pPr>
              <w:rPr>
                <w:rFonts w:ascii="Arial"/>
                <w:sz w:val="21"/>
              </w:rPr>
            </w:pPr>
          </w:p>
        </w:tc>
        <w:tc>
          <w:tcPr>
            <w:tcW w:w="2624" w:type="dxa"/>
            <w:vMerge w:val="continue"/>
            <w:tcBorders>
              <w:top w:val="nil"/>
            </w:tcBorders>
            <w:vAlign w:val="top"/>
          </w:tcPr>
          <w:p w14:paraId="0D2547F4">
            <w:pPr>
              <w:rPr>
                <w:rFonts w:ascii="Arial"/>
                <w:sz w:val="21"/>
              </w:rPr>
            </w:pPr>
          </w:p>
        </w:tc>
        <w:tc>
          <w:tcPr>
            <w:tcW w:w="230" w:type="dxa"/>
            <w:vAlign w:val="top"/>
          </w:tcPr>
          <w:p w14:paraId="7CF55BB6">
            <w:pPr>
              <w:pStyle w:val="6"/>
              <w:spacing w:before="140" w:line="184" w:lineRule="auto"/>
              <w:ind w:left="67"/>
            </w:pPr>
            <w:r>
              <w:t>A</w:t>
            </w:r>
          </w:p>
        </w:tc>
        <w:tc>
          <w:tcPr>
            <w:tcW w:w="229" w:type="dxa"/>
            <w:vAlign w:val="top"/>
          </w:tcPr>
          <w:p w14:paraId="31E09287">
            <w:pPr>
              <w:pStyle w:val="6"/>
              <w:spacing w:before="142" w:line="182" w:lineRule="auto"/>
              <w:ind w:left="67"/>
            </w:pPr>
            <w:r>
              <w:t>B</w:t>
            </w:r>
          </w:p>
        </w:tc>
        <w:tc>
          <w:tcPr>
            <w:tcW w:w="229" w:type="dxa"/>
            <w:vAlign w:val="top"/>
          </w:tcPr>
          <w:p w14:paraId="40AF39F4">
            <w:pPr>
              <w:pStyle w:val="6"/>
              <w:spacing w:before="89" w:line="215" w:lineRule="auto"/>
              <w:jc w:val="right"/>
            </w:pPr>
            <w:r>
              <w:rPr>
                <w:spacing w:val="-5"/>
              </w:rPr>
              <w:t>C|</w:t>
            </w:r>
          </w:p>
        </w:tc>
        <w:tc>
          <w:tcPr>
            <w:tcW w:w="234" w:type="dxa"/>
            <w:vAlign w:val="top"/>
          </w:tcPr>
          <w:p w14:paraId="25731D75">
            <w:pPr>
              <w:pStyle w:val="6"/>
              <w:spacing w:before="142" w:line="182" w:lineRule="auto"/>
              <w:ind w:left="38"/>
            </w:pPr>
            <w:r>
              <w:t>D</w:t>
            </w:r>
          </w:p>
        </w:tc>
      </w:tr>
      <w:tr w14:paraId="4A59B5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9" w:hRule="atLeast"/>
        </w:trPr>
        <w:tc>
          <w:tcPr>
            <w:tcW w:w="554" w:type="dxa"/>
            <w:vAlign w:val="top"/>
          </w:tcPr>
          <w:p w14:paraId="25B4461F">
            <w:pPr>
              <w:pStyle w:val="6"/>
              <w:spacing w:before="89" w:line="224" w:lineRule="auto"/>
              <w:ind w:left="94" w:right="114"/>
            </w:pPr>
            <w:r>
              <w:rPr>
                <w:spacing w:val="-3"/>
              </w:rPr>
              <w:t>解离</w:t>
            </w:r>
            <w:r>
              <w:t xml:space="preserve"> </w:t>
            </w:r>
            <w:r>
              <w:rPr>
                <w:spacing w:val="-3"/>
              </w:rPr>
              <w:t>平衡</w:t>
            </w:r>
          </w:p>
        </w:tc>
        <w:tc>
          <w:tcPr>
            <w:tcW w:w="2624" w:type="dxa"/>
            <w:vAlign w:val="top"/>
          </w:tcPr>
          <w:p w14:paraId="0AA8300B">
            <w:pPr>
              <w:pStyle w:val="6"/>
              <w:spacing w:before="89" w:line="237" w:lineRule="auto"/>
              <w:ind w:left="60" w:right="833"/>
            </w:pPr>
            <w:r>
              <w:rPr>
                <w:spacing w:val="1"/>
              </w:rPr>
              <w:t>1.强电解质和弱电解质</w:t>
            </w:r>
            <w:r>
              <w:rPr>
                <w:spacing w:val="7"/>
              </w:rPr>
              <w:t xml:space="preserve"> </w:t>
            </w:r>
            <w:r>
              <w:rPr>
                <w:spacing w:val="-1"/>
              </w:rPr>
              <w:t>2.弱电解质的电离平衡</w:t>
            </w:r>
          </w:p>
        </w:tc>
        <w:tc>
          <w:tcPr>
            <w:tcW w:w="230" w:type="dxa"/>
            <w:vAlign w:val="top"/>
          </w:tcPr>
          <w:p w14:paraId="3CEE69FC">
            <w:pPr>
              <w:pStyle w:val="6"/>
              <w:spacing w:before="78" w:line="238" w:lineRule="auto"/>
              <w:ind w:left="46"/>
              <w:rPr>
                <w:sz w:val="12"/>
                <w:szCs w:val="12"/>
              </w:rPr>
            </w:pPr>
            <w:r>
              <w:rPr>
                <w:sz w:val="12"/>
                <w:szCs w:val="12"/>
              </w:rPr>
              <w:t>√</w:t>
            </w:r>
          </w:p>
        </w:tc>
        <w:tc>
          <w:tcPr>
            <w:tcW w:w="229" w:type="dxa"/>
            <w:vAlign w:val="top"/>
          </w:tcPr>
          <w:p w14:paraId="3A3EB4C8">
            <w:pPr>
              <w:pStyle w:val="6"/>
              <w:spacing w:before="268" w:line="238" w:lineRule="auto"/>
              <w:ind w:left="47"/>
              <w:rPr>
                <w:sz w:val="12"/>
                <w:szCs w:val="12"/>
              </w:rPr>
            </w:pPr>
            <w:r>
              <w:rPr>
                <w:sz w:val="12"/>
                <w:szCs w:val="12"/>
              </w:rPr>
              <w:t>√</w:t>
            </w:r>
          </w:p>
        </w:tc>
        <w:tc>
          <w:tcPr>
            <w:tcW w:w="229" w:type="dxa"/>
            <w:vAlign w:val="top"/>
          </w:tcPr>
          <w:p w14:paraId="329FC9EF">
            <w:pPr>
              <w:rPr>
                <w:rFonts w:ascii="Arial"/>
                <w:sz w:val="21"/>
              </w:rPr>
            </w:pPr>
          </w:p>
        </w:tc>
        <w:tc>
          <w:tcPr>
            <w:tcW w:w="234" w:type="dxa"/>
            <w:vAlign w:val="top"/>
          </w:tcPr>
          <w:p w14:paraId="20F2296E">
            <w:pPr>
              <w:rPr>
                <w:rFonts w:ascii="Arial"/>
                <w:sz w:val="21"/>
              </w:rPr>
            </w:pPr>
          </w:p>
        </w:tc>
      </w:tr>
      <w:tr w14:paraId="250F92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8" w:hRule="atLeast"/>
        </w:trPr>
        <w:tc>
          <w:tcPr>
            <w:tcW w:w="554" w:type="dxa"/>
            <w:vAlign w:val="top"/>
          </w:tcPr>
          <w:p w14:paraId="21C2B58F">
            <w:pPr>
              <w:pStyle w:val="6"/>
              <w:spacing w:before="61" w:line="234" w:lineRule="auto"/>
              <w:ind w:left="94" w:right="95"/>
              <w:jc w:val="both"/>
            </w:pPr>
            <w:r>
              <w:rPr>
                <w:spacing w:val="6"/>
              </w:rPr>
              <w:t>水的</w:t>
            </w:r>
            <w:r>
              <w:t xml:space="preserve"> </w:t>
            </w:r>
            <w:r>
              <w:rPr>
                <w:spacing w:val="-5"/>
              </w:rPr>
              <w:t>离子</w:t>
            </w:r>
            <w:r>
              <w:t xml:space="preserve"> </w:t>
            </w:r>
            <w:r>
              <w:rPr>
                <w:spacing w:val="6"/>
              </w:rPr>
              <w:t>积和</w:t>
            </w:r>
            <w:r>
              <w:t xml:space="preserve"> </w:t>
            </w:r>
            <w:r>
              <w:rPr>
                <w:spacing w:val="-3"/>
              </w:rPr>
              <w:t>溶液</w:t>
            </w:r>
          </w:p>
          <w:p w14:paraId="2DF60DA1">
            <w:pPr>
              <w:pStyle w:val="6"/>
              <w:spacing w:before="12" w:line="209" w:lineRule="auto"/>
              <w:ind w:left="5"/>
            </w:pPr>
            <w:r>
              <w:rPr>
                <w:spacing w:val="-9"/>
              </w:rPr>
              <w:t>的</w:t>
            </w:r>
            <w:r>
              <w:rPr>
                <w:spacing w:val="22"/>
              </w:rPr>
              <w:t xml:space="preserve"> </w:t>
            </w:r>
            <w:r>
              <w:rPr>
                <w:spacing w:val="-9"/>
              </w:rPr>
              <w:t>p</w:t>
            </w:r>
            <w:r>
              <w:rPr>
                <w:spacing w:val="20"/>
              </w:rPr>
              <w:t xml:space="preserve"> </w:t>
            </w:r>
            <w:r>
              <w:rPr>
                <w:spacing w:val="-9"/>
              </w:rPr>
              <w:t>H</w:t>
            </w:r>
          </w:p>
        </w:tc>
        <w:tc>
          <w:tcPr>
            <w:tcW w:w="2624" w:type="dxa"/>
            <w:vAlign w:val="top"/>
          </w:tcPr>
          <w:p w14:paraId="7E968594">
            <w:pPr>
              <w:spacing w:line="342" w:lineRule="auto"/>
              <w:rPr>
                <w:rFonts w:ascii="Arial"/>
                <w:sz w:val="21"/>
              </w:rPr>
            </w:pPr>
          </w:p>
          <w:p w14:paraId="531437B5">
            <w:pPr>
              <w:pStyle w:val="6"/>
              <w:spacing w:before="55" w:line="224" w:lineRule="auto"/>
              <w:ind w:left="60" w:right="671"/>
            </w:pPr>
            <w:r>
              <w:t>1.水的解离和水的离子积</w:t>
            </w:r>
            <w:r>
              <w:rPr>
                <w:spacing w:val="10"/>
              </w:rPr>
              <w:t xml:space="preserve"> </w:t>
            </w:r>
            <w:r>
              <w:rPr>
                <w:spacing w:val="21"/>
              </w:rPr>
              <w:t>2</w:t>
            </w:r>
            <w:r>
              <w:rPr>
                <w:spacing w:val="-40"/>
              </w:rPr>
              <w:t xml:space="preserve"> </w:t>
            </w:r>
            <w:r>
              <w:rPr>
                <w:spacing w:val="21"/>
              </w:rPr>
              <w:t>.</w:t>
            </w:r>
            <w:r>
              <w:rPr>
                <w:spacing w:val="-43"/>
              </w:rPr>
              <w:t xml:space="preserve"> </w:t>
            </w:r>
            <w:r>
              <w:rPr>
                <w:spacing w:val="21"/>
              </w:rPr>
              <w:t>溶液的</w:t>
            </w:r>
            <w:r>
              <w:t>pH</w:t>
            </w:r>
          </w:p>
        </w:tc>
        <w:tc>
          <w:tcPr>
            <w:tcW w:w="230" w:type="dxa"/>
            <w:vAlign w:val="top"/>
          </w:tcPr>
          <w:p w14:paraId="66A86DAB">
            <w:pPr>
              <w:rPr>
                <w:rFonts w:ascii="Arial"/>
                <w:sz w:val="21"/>
              </w:rPr>
            </w:pPr>
          </w:p>
        </w:tc>
        <w:tc>
          <w:tcPr>
            <w:tcW w:w="229" w:type="dxa"/>
            <w:vAlign w:val="top"/>
          </w:tcPr>
          <w:p w14:paraId="09C0B200">
            <w:pPr>
              <w:pStyle w:val="6"/>
              <w:spacing w:before="256" w:line="238" w:lineRule="auto"/>
              <w:ind w:left="26"/>
            </w:pPr>
            <w:r>
              <w:t>√</w:t>
            </w:r>
          </w:p>
        </w:tc>
        <w:tc>
          <w:tcPr>
            <w:tcW w:w="229" w:type="dxa"/>
            <w:vAlign w:val="top"/>
          </w:tcPr>
          <w:p w14:paraId="4E67548B">
            <w:pPr>
              <w:rPr>
                <w:rFonts w:ascii="Arial"/>
                <w:sz w:val="21"/>
              </w:rPr>
            </w:pPr>
          </w:p>
        </w:tc>
        <w:tc>
          <w:tcPr>
            <w:tcW w:w="234" w:type="dxa"/>
            <w:vAlign w:val="top"/>
          </w:tcPr>
          <w:p w14:paraId="79C0DB3F">
            <w:pPr>
              <w:rPr>
                <w:rFonts w:ascii="Arial"/>
                <w:sz w:val="21"/>
              </w:rPr>
            </w:pPr>
          </w:p>
        </w:tc>
      </w:tr>
      <w:tr w14:paraId="004A53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88" w:hRule="atLeast"/>
        </w:trPr>
        <w:tc>
          <w:tcPr>
            <w:tcW w:w="554" w:type="dxa"/>
            <w:vAlign w:val="top"/>
          </w:tcPr>
          <w:p w14:paraId="6DD466F2">
            <w:pPr>
              <w:pStyle w:val="6"/>
              <w:spacing w:before="32" w:line="227" w:lineRule="auto"/>
              <w:ind w:left="94" w:right="115"/>
              <w:jc w:val="both"/>
            </w:pPr>
            <w:r>
              <w:rPr>
                <w:spacing w:val="-5"/>
              </w:rPr>
              <w:t>离子</w:t>
            </w:r>
            <w:r>
              <w:t xml:space="preserve"> </w:t>
            </w:r>
            <w:r>
              <w:rPr>
                <w:spacing w:val="-4"/>
              </w:rPr>
              <w:t>反应</w:t>
            </w:r>
            <w:r>
              <w:t xml:space="preserve"> </w:t>
            </w:r>
            <w:r>
              <w:rPr>
                <w:spacing w:val="-4"/>
              </w:rPr>
              <w:t>和盐</w:t>
            </w:r>
            <w:r>
              <w:t xml:space="preserve"> </w:t>
            </w:r>
            <w:r>
              <w:rPr>
                <w:spacing w:val="-4"/>
              </w:rPr>
              <w:t>类的</w:t>
            </w:r>
            <w:r>
              <w:t xml:space="preserve"> </w:t>
            </w:r>
            <w:r>
              <w:rPr>
                <w:spacing w:val="-5"/>
              </w:rPr>
              <w:t>水解</w:t>
            </w:r>
          </w:p>
        </w:tc>
        <w:tc>
          <w:tcPr>
            <w:tcW w:w="2624" w:type="dxa"/>
            <w:vAlign w:val="top"/>
          </w:tcPr>
          <w:p w14:paraId="56AC6140">
            <w:pPr>
              <w:pStyle w:val="6"/>
              <w:spacing w:before="273" w:line="223" w:lineRule="auto"/>
              <w:ind w:left="60" w:right="676"/>
            </w:pPr>
            <w:r>
              <w:t>1.离子反应和离子方程式</w:t>
            </w:r>
            <w:r>
              <w:rPr>
                <w:spacing w:val="5"/>
              </w:rPr>
              <w:t xml:space="preserve"> </w:t>
            </w:r>
            <w:r>
              <w:rPr>
                <w:spacing w:val="-1"/>
              </w:rPr>
              <w:t>2.离子反应发生的条件</w:t>
            </w:r>
          </w:p>
          <w:p w14:paraId="15B16D4A">
            <w:pPr>
              <w:pStyle w:val="6"/>
              <w:spacing w:before="8" w:line="219" w:lineRule="auto"/>
              <w:ind w:left="60"/>
            </w:pPr>
            <w:r>
              <w:rPr>
                <w:spacing w:val="-2"/>
              </w:rPr>
              <w:t>3.盐类的水解</w:t>
            </w:r>
          </w:p>
        </w:tc>
        <w:tc>
          <w:tcPr>
            <w:tcW w:w="230" w:type="dxa"/>
            <w:vAlign w:val="top"/>
          </w:tcPr>
          <w:p w14:paraId="3EE15717">
            <w:pPr>
              <w:rPr>
                <w:rFonts w:ascii="Arial"/>
                <w:sz w:val="21"/>
              </w:rPr>
            </w:pPr>
          </w:p>
        </w:tc>
        <w:tc>
          <w:tcPr>
            <w:tcW w:w="229" w:type="dxa"/>
            <w:vAlign w:val="top"/>
          </w:tcPr>
          <w:p w14:paraId="70FB01FC">
            <w:pPr>
              <w:rPr>
                <w:rFonts w:ascii="Arial"/>
                <w:sz w:val="21"/>
              </w:rPr>
            </w:pPr>
          </w:p>
        </w:tc>
        <w:tc>
          <w:tcPr>
            <w:tcW w:w="229" w:type="dxa"/>
            <w:vAlign w:val="top"/>
          </w:tcPr>
          <w:p w14:paraId="4CB705D3">
            <w:pPr>
              <w:rPr>
                <w:rFonts w:ascii="Arial"/>
                <w:sz w:val="21"/>
              </w:rPr>
            </w:pPr>
          </w:p>
        </w:tc>
        <w:tc>
          <w:tcPr>
            <w:tcW w:w="234" w:type="dxa"/>
            <w:vAlign w:val="top"/>
          </w:tcPr>
          <w:p w14:paraId="49DA6BB4">
            <w:pPr>
              <w:rPr>
                <w:rFonts w:ascii="Arial"/>
                <w:sz w:val="21"/>
              </w:rPr>
            </w:pPr>
          </w:p>
        </w:tc>
      </w:tr>
      <w:tr w14:paraId="4F3E43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49" w:hRule="atLeast"/>
        </w:trPr>
        <w:tc>
          <w:tcPr>
            <w:tcW w:w="554" w:type="dxa"/>
            <w:vAlign w:val="top"/>
          </w:tcPr>
          <w:p w14:paraId="77577F13">
            <w:pPr>
              <w:pStyle w:val="6"/>
              <w:spacing w:before="93" w:line="230" w:lineRule="auto"/>
              <w:ind w:left="94" w:right="117"/>
            </w:pPr>
            <w:r>
              <w:rPr>
                <w:spacing w:val="-5"/>
              </w:rPr>
              <w:t>缓冲</w:t>
            </w:r>
            <w:r>
              <w:t xml:space="preserve"> </w:t>
            </w:r>
            <w:r>
              <w:rPr>
                <w:spacing w:val="-5"/>
              </w:rPr>
              <w:t>溶液</w:t>
            </w:r>
          </w:p>
        </w:tc>
        <w:tc>
          <w:tcPr>
            <w:tcW w:w="2624" w:type="dxa"/>
            <w:vAlign w:val="top"/>
          </w:tcPr>
          <w:p w14:paraId="7EA5F590">
            <w:pPr>
              <w:pStyle w:val="6"/>
              <w:spacing w:before="94" w:line="229" w:lineRule="auto"/>
              <w:ind w:left="60" w:right="1172"/>
            </w:pPr>
            <w:r>
              <w:t>1.缓冲溶液的组成</w:t>
            </w:r>
            <w:r>
              <w:rPr>
                <w:spacing w:val="6"/>
              </w:rPr>
              <w:t xml:space="preserve"> </w:t>
            </w:r>
            <w:r>
              <w:rPr>
                <w:spacing w:val="2"/>
              </w:rPr>
              <w:t>2.缓冲溶液的应用</w:t>
            </w:r>
          </w:p>
        </w:tc>
        <w:tc>
          <w:tcPr>
            <w:tcW w:w="230" w:type="dxa"/>
            <w:vAlign w:val="top"/>
          </w:tcPr>
          <w:p w14:paraId="7D5C9E2D">
            <w:pPr>
              <w:rPr>
                <w:rFonts w:ascii="Arial"/>
                <w:sz w:val="21"/>
              </w:rPr>
            </w:pPr>
          </w:p>
        </w:tc>
        <w:tc>
          <w:tcPr>
            <w:tcW w:w="229" w:type="dxa"/>
            <w:vAlign w:val="top"/>
          </w:tcPr>
          <w:p w14:paraId="1C79D51C">
            <w:pPr>
              <w:rPr>
                <w:rFonts w:ascii="Arial"/>
                <w:sz w:val="21"/>
              </w:rPr>
            </w:pPr>
          </w:p>
        </w:tc>
        <w:tc>
          <w:tcPr>
            <w:tcW w:w="229" w:type="dxa"/>
            <w:vAlign w:val="top"/>
          </w:tcPr>
          <w:p w14:paraId="7BBA21F0">
            <w:pPr>
              <w:rPr>
                <w:rFonts w:ascii="Arial"/>
                <w:sz w:val="21"/>
              </w:rPr>
            </w:pPr>
          </w:p>
        </w:tc>
        <w:tc>
          <w:tcPr>
            <w:tcW w:w="234" w:type="dxa"/>
            <w:vAlign w:val="top"/>
          </w:tcPr>
          <w:p w14:paraId="32DA9B51">
            <w:pPr>
              <w:rPr>
                <w:rFonts w:ascii="Arial"/>
                <w:sz w:val="21"/>
              </w:rPr>
            </w:pPr>
          </w:p>
        </w:tc>
      </w:tr>
      <w:tr w14:paraId="51A445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63" w:hRule="atLeast"/>
        </w:trPr>
        <w:tc>
          <w:tcPr>
            <w:tcW w:w="554" w:type="dxa"/>
            <w:vAlign w:val="top"/>
          </w:tcPr>
          <w:p w14:paraId="19B010DF">
            <w:pPr>
              <w:pStyle w:val="6"/>
              <w:spacing w:before="255" w:line="224" w:lineRule="auto"/>
              <w:ind w:left="94" w:right="114"/>
            </w:pPr>
            <w:r>
              <w:rPr>
                <w:spacing w:val="-3"/>
              </w:rPr>
              <w:t>胶体</w:t>
            </w:r>
            <w:r>
              <w:t xml:space="preserve"> </w:t>
            </w:r>
            <w:r>
              <w:rPr>
                <w:spacing w:val="-5"/>
              </w:rPr>
              <w:t>溶液</w:t>
            </w:r>
          </w:p>
        </w:tc>
        <w:tc>
          <w:tcPr>
            <w:tcW w:w="2624" w:type="dxa"/>
            <w:vAlign w:val="top"/>
          </w:tcPr>
          <w:p w14:paraId="54704119">
            <w:pPr>
              <w:pStyle w:val="6"/>
              <w:spacing w:before="34" w:line="217" w:lineRule="auto"/>
              <w:ind w:left="60"/>
            </w:pPr>
            <w:r>
              <w:t>1.胶体溶液的组成</w:t>
            </w:r>
          </w:p>
          <w:p w14:paraId="6AFAB71C">
            <w:pPr>
              <w:pStyle w:val="6"/>
              <w:spacing w:line="239" w:lineRule="auto"/>
              <w:ind w:left="60" w:right="329"/>
            </w:pPr>
            <w:r>
              <w:t>2.胶体的吸附作用、稳定性和</w:t>
            </w:r>
            <w:r>
              <w:rPr>
                <w:spacing w:val="12"/>
              </w:rPr>
              <w:t xml:space="preserve"> </w:t>
            </w:r>
            <w:r>
              <w:rPr>
                <w:spacing w:val="5"/>
              </w:rPr>
              <w:t>凝聚作用</w:t>
            </w:r>
          </w:p>
          <w:p w14:paraId="345924AA">
            <w:pPr>
              <w:pStyle w:val="6"/>
              <w:spacing w:line="193" w:lineRule="auto"/>
              <w:ind w:left="60"/>
            </w:pPr>
            <w:r>
              <w:rPr>
                <w:spacing w:val="1"/>
              </w:rPr>
              <w:t>3.胶体溶液在农业生产中的应用</w:t>
            </w:r>
          </w:p>
        </w:tc>
        <w:tc>
          <w:tcPr>
            <w:tcW w:w="230" w:type="dxa"/>
            <w:vAlign w:val="top"/>
          </w:tcPr>
          <w:p w14:paraId="41E83C8D">
            <w:pPr>
              <w:rPr>
                <w:rFonts w:ascii="Arial"/>
                <w:sz w:val="21"/>
              </w:rPr>
            </w:pPr>
          </w:p>
        </w:tc>
        <w:tc>
          <w:tcPr>
            <w:tcW w:w="229" w:type="dxa"/>
            <w:vAlign w:val="top"/>
          </w:tcPr>
          <w:p w14:paraId="5B626E7E">
            <w:pPr>
              <w:rPr>
                <w:rFonts w:ascii="Arial"/>
                <w:sz w:val="21"/>
              </w:rPr>
            </w:pPr>
          </w:p>
        </w:tc>
        <w:tc>
          <w:tcPr>
            <w:tcW w:w="229" w:type="dxa"/>
            <w:vAlign w:val="top"/>
          </w:tcPr>
          <w:p w14:paraId="1DEBDE27">
            <w:pPr>
              <w:rPr>
                <w:rFonts w:ascii="Arial"/>
                <w:sz w:val="21"/>
              </w:rPr>
            </w:pPr>
          </w:p>
        </w:tc>
        <w:tc>
          <w:tcPr>
            <w:tcW w:w="234" w:type="dxa"/>
            <w:vAlign w:val="top"/>
          </w:tcPr>
          <w:p w14:paraId="28256349">
            <w:pPr>
              <w:rPr>
                <w:rFonts w:ascii="Arial"/>
                <w:sz w:val="21"/>
              </w:rPr>
            </w:pPr>
          </w:p>
        </w:tc>
      </w:tr>
    </w:tbl>
    <w:p w14:paraId="14F3FC71">
      <w:pPr>
        <w:pStyle w:val="2"/>
        <w:spacing w:line="17" w:lineRule="auto"/>
        <w:rPr>
          <w:sz w:val="2"/>
        </w:rPr>
      </w:pPr>
    </w:p>
    <w:p w14:paraId="23CDD2FE">
      <w:pPr>
        <w:spacing w:line="17" w:lineRule="auto"/>
        <w:rPr>
          <w:sz w:val="2"/>
          <w:szCs w:val="2"/>
        </w:rPr>
        <w:sectPr>
          <w:type w:val="continuous"/>
          <w:pgSz w:w="10660" w:h="15080"/>
          <w:pgMar w:top="400" w:right="840" w:bottom="936" w:left="954" w:header="0" w:footer="714" w:gutter="0"/>
          <w:cols w:equalWidth="0" w:num="2">
            <w:col w:w="4530" w:space="100"/>
            <w:col w:w="4235"/>
          </w:cols>
        </w:sectPr>
      </w:pPr>
    </w:p>
    <w:p w14:paraId="73BA8D7C">
      <w:pPr>
        <w:spacing w:before="2"/>
      </w:pPr>
    </w:p>
    <w:p w14:paraId="1DACC92C">
      <w:pPr>
        <w:spacing w:before="2"/>
      </w:pPr>
    </w:p>
    <w:p w14:paraId="4BBB63A2">
      <w:pPr>
        <w:spacing w:before="2"/>
      </w:pPr>
    </w:p>
    <w:p w14:paraId="194CE85F">
      <w:pPr>
        <w:spacing w:before="1"/>
      </w:pPr>
    </w:p>
    <w:p w14:paraId="789AC0E1">
      <w:pPr>
        <w:sectPr>
          <w:footerReference r:id="rId12" w:type="default"/>
          <w:pgSz w:w="10660" w:h="15080"/>
          <w:pgMar w:top="400" w:right="1034" w:bottom="908" w:left="819" w:header="0" w:footer="713" w:gutter="0"/>
          <w:cols w:equalWidth="0" w:num="1">
            <w:col w:w="8806"/>
          </w:cols>
        </w:sectPr>
      </w:pPr>
    </w:p>
    <w:p w14:paraId="23002A20">
      <w:pPr>
        <w:spacing w:before="40" w:line="222" w:lineRule="auto"/>
        <w:ind w:left="1442"/>
        <w:rPr>
          <w:rFonts w:ascii="黑体" w:hAnsi="黑体" w:eastAsia="黑体" w:cs="黑体"/>
          <w:sz w:val="20"/>
          <w:szCs w:val="20"/>
        </w:rPr>
      </w:pPr>
      <w:r>
        <w:rPr>
          <w:rFonts w:ascii="黑体" w:hAnsi="黑体" w:eastAsia="黑体" w:cs="黑体"/>
          <w:b/>
          <w:bCs/>
          <w:spacing w:val="-6"/>
          <w:sz w:val="20"/>
          <w:szCs w:val="20"/>
        </w:rPr>
        <w:t>三、滴定分析法</w:t>
      </w:r>
    </w:p>
    <w:p w14:paraId="55A8ED43">
      <w:pPr>
        <w:spacing w:line="150" w:lineRule="exact"/>
      </w:pPr>
    </w:p>
    <w:tbl>
      <w:tblPr>
        <w:tblStyle w:val="5"/>
        <w:tblW w:w="4130"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54"/>
        <w:gridCol w:w="2644"/>
        <w:gridCol w:w="229"/>
        <w:gridCol w:w="230"/>
        <w:gridCol w:w="229"/>
        <w:gridCol w:w="244"/>
      </w:tblGrid>
      <w:tr w14:paraId="3999D2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3" w:hRule="atLeast"/>
        </w:trPr>
        <w:tc>
          <w:tcPr>
            <w:tcW w:w="554" w:type="dxa"/>
            <w:vMerge w:val="restart"/>
            <w:tcBorders>
              <w:bottom w:val="nil"/>
            </w:tcBorders>
            <w:vAlign w:val="top"/>
          </w:tcPr>
          <w:p w14:paraId="583DF80C">
            <w:pPr>
              <w:pStyle w:val="6"/>
              <w:spacing w:before="91" w:line="221" w:lineRule="auto"/>
              <w:ind w:left="107"/>
              <w:rPr>
                <w:sz w:val="16"/>
                <w:szCs w:val="16"/>
              </w:rPr>
            </w:pPr>
            <w:r>
              <w:rPr>
                <w:b/>
                <w:bCs/>
                <w:spacing w:val="-5"/>
                <w:sz w:val="16"/>
                <w:szCs w:val="16"/>
              </w:rPr>
              <w:t>知识</w:t>
            </w:r>
          </w:p>
          <w:p w14:paraId="05482056">
            <w:pPr>
              <w:pStyle w:val="6"/>
              <w:spacing w:before="27" w:line="221" w:lineRule="auto"/>
              <w:ind w:left="27"/>
              <w:rPr>
                <w:sz w:val="16"/>
                <w:szCs w:val="16"/>
              </w:rPr>
            </w:pPr>
            <w:r>
              <w:rPr>
                <w:b/>
                <w:bCs/>
                <w:spacing w:val="-4"/>
                <w:sz w:val="16"/>
                <w:szCs w:val="16"/>
              </w:rPr>
              <w:t>与技能</w:t>
            </w:r>
          </w:p>
          <w:p w14:paraId="38BA4CDB">
            <w:pPr>
              <w:pStyle w:val="6"/>
              <w:spacing w:before="10" w:line="222" w:lineRule="auto"/>
              <w:ind w:left="107"/>
              <w:rPr>
                <w:sz w:val="16"/>
                <w:szCs w:val="16"/>
              </w:rPr>
            </w:pPr>
            <w:r>
              <w:rPr>
                <w:b/>
                <w:bCs/>
                <w:spacing w:val="-4"/>
                <w:sz w:val="16"/>
                <w:szCs w:val="16"/>
              </w:rPr>
              <w:t>要点</w:t>
            </w:r>
          </w:p>
        </w:tc>
        <w:tc>
          <w:tcPr>
            <w:tcW w:w="2644" w:type="dxa"/>
            <w:vMerge w:val="restart"/>
            <w:tcBorders>
              <w:bottom w:val="nil"/>
            </w:tcBorders>
            <w:vAlign w:val="top"/>
          </w:tcPr>
          <w:p w14:paraId="17910772">
            <w:pPr>
              <w:spacing w:line="255" w:lineRule="auto"/>
              <w:rPr>
                <w:rFonts w:ascii="Arial"/>
                <w:sz w:val="21"/>
              </w:rPr>
            </w:pPr>
          </w:p>
          <w:p w14:paraId="6C6ED28E">
            <w:pPr>
              <w:pStyle w:val="6"/>
              <w:spacing w:before="52" w:line="219" w:lineRule="auto"/>
              <w:ind w:left="1013"/>
              <w:rPr>
                <w:sz w:val="16"/>
                <w:szCs w:val="16"/>
              </w:rPr>
            </w:pPr>
            <w:r>
              <w:rPr>
                <w:b/>
                <w:bCs/>
                <w:spacing w:val="4"/>
                <w:sz w:val="16"/>
                <w:szCs w:val="16"/>
              </w:rPr>
              <w:t>考试条目</w:t>
            </w:r>
          </w:p>
        </w:tc>
        <w:tc>
          <w:tcPr>
            <w:tcW w:w="932" w:type="dxa"/>
            <w:gridSpan w:val="4"/>
            <w:vAlign w:val="top"/>
          </w:tcPr>
          <w:p w14:paraId="68FD94F9">
            <w:pPr>
              <w:pStyle w:val="6"/>
              <w:spacing w:before="119" w:line="219" w:lineRule="auto"/>
              <w:ind w:left="119"/>
              <w:rPr>
                <w:sz w:val="16"/>
                <w:szCs w:val="16"/>
              </w:rPr>
            </w:pPr>
            <w:r>
              <w:rPr>
                <w:b/>
                <w:bCs/>
                <w:spacing w:val="-3"/>
                <w:sz w:val="16"/>
                <w:szCs w:val="16"/>
              </w:rPr>
              <w:t>考试水平</w:t>
            </w:r>
          </w:p>
        </w:tc>
      </w:tr>
      <w:tr w14:paraId="7E8D02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9" w:hRule="atLeast"/>
        </w:trPr>
        <w:tc>
          <w:tcPr>
            <w:tcW w:w="554" w:type="dxa"/>
            <w:vMerge w:val="continue"/>
            <w:tcBorders>
              <w:top w:val="nil"/>
            </w:tcBorders>
            <w:vAlign w:val="top"/>
          </w:tcPr>
          <w:p w14:paraId="636B079D">
            <w:pPr>
              <w:rPr>
                <w:rFonts w:ascii="Arial"/>
                <w:sz w:val="21"/>
              </w:rPr>
            </w:pPr>
          </w:p>
        </w:tc>
        <w:tc>
          <w:tcPr>
            <w:tcW w:w="2644" w:type="dxa"/>
            <w:vMerge w:val="continue"/>
            <w:tcBorders>
              <w:top w:val="nil"/>
            </w:tcBorders>
            <w:vAlign w:val="top"/>
          </w:tcPr>
          <w:p w14:paraId="0A3E9695">
            <w:pPr>
              <w:rPr>
                <w:rFonts w:ascii="Arial"/>
                <w:sz w:val="21"/>
              </w:rPr>
            </w:pPr>
          </w:p>
        </w:tc>
        <w:tc>
          <w:tcPr>
            <w:tcW w:w="229" w:type="dxa"/>
            <w:vAlign w:val="top"/>
          </w:tcPr>
          <w:p w14:paraId="1F19ADED">
            <w:pPr>
              <w:pStyle w:val="6"/>
              <w:spacing w:before="148" w:line="184" w:lineRule="auto"/>
              <w:ind w:left="16"/>
              <w:rPr>
                <w:sz w:val="16"/>
                <w:szCs w:val="16"/>
              </w:rPr>
            </w:pPr>
            <w:r>
              <w:rPr>
                <w:sz w:val="16"/>
                <w:szCs w:val="16"/>
              </w:rPr>
              <w:t>A</w:t>
            </w:r>
          </w:p>
        </w:tc>
        <w:tc>
          <w:tcPr>
            <w:tcW w:w="230" w:type="dxa"/>
            <w:vAlign w:val="top"/>
          </w:tcPr>
          <w:p w14:paraId="73B0A3B3">
            <w:pPr>
              <w:pStyle w:val="6"/>
              <w:spacing w:before="150" w:line="182" w:lineRule="auto"/>
              <w:ind w:left="57"/>
              <w:rPr>
                <w:sz w:val="16"/>
                <w:szCs w:val="16"/>
              </w:rPr>
            </w:pPr>
            <w:r>
              <w:rPr>
                <w:sz w:val="16"/>
                <w:szCs w:val="16"/>
              </w:rPr>
              <w:t>B</w:t>
            </w:r>
          </w:p>
        </w:tc>
        <w:tc>
          <w:tcPr>
            <w:tcW w:w="229" w:type="dxa"/>
            <w:vAlign w:val="top"/>
          </w:tcPr>
          <w:p w14:paraId="77F66CD1">
            <w:pPr>
              <w:pStyle w:val="6"/>
              <w:spacing w:before="149" w:line="183" w:lineRule="auto"/>
              <w:ind w:left="48"/>
              <w:rPr>
                <w:sz w:val="16"/>
                <w:szCs w:val="16"/>
              </w:rPr>
            </w:pPr>
            <w:r>
              <w:rPr>
                <w:sz w:val="16"/>
                <w:szCs w:val="16"/>
              </w:rPr>
              <w:t>C</w:t>
            </w:r>
          </w:p>
        </w:tc>
        <w:tc>
          <w:tcPr>
            <w:tcW w:w="244" w:type="dxa"/>
            <w:vAlign w:val="top"/>
          </w:tcPr>
          <w:p w14:paraId="62F95107">
            <w:pPr>
              <w:pStyle w:val="6"/>
              <w:spacing w:before="150" w:line="182" w:lineRule="auto"/>
              <w:ind w:left="18"/>
              <w:rPr>
                <w:sz w:val="16"/>
                <w:szCs w:val="16"/>
              </w:rPr>
            </w:pPr>
            <w:r>
              <w:rPr>
                <w:sz w:val="16"/>
                <w:szCs w:val="16"/>
              </w:rPr>
              <w:t>D</w:t>
            </w:r>
          </w:p>
        </w:tc>
      </w:tr>
      <w:tr w14:paraId="442657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47" w:hRule="atLeast"/>
        </w:trPr>
        <w:tc>
          <w:tcPr>
            <w:tcW w:w="554" w:type="dxa"/>
            <w:vAlign w:val="top"/>
          </w:tcPr>
          <w:p w14:paraId="361D667C">
            <w:pPr>
              <w:pStyle w:val="6"/>
              <w:spacing w:before="40" w:line="221" w:lineRule="auto"/>
              <w:ind w:left="105"/>
              <w:rPr>
                <w:sz w:val="16"/>
                <w:szCs w:val="16"/>
              </w:rPr>
            </w:pPr>
            <w:r>
              <w:rPr>
                <w:spacing w:val="-2"/>
                <w:sz w:val="16"/>
                <w:szCs w:val="16"/>
              </w:rPr>
              <w:t>酸碱</w:t>
            </w:r>
          </w:p>
          <w:p w14:paraId="7A40ACA5">
            <w:pPr>
              <w:pStyle w:val="6"/>
              <w:spacing w:before="17" w:line="220" w:lineRule="auto"/>
              <w:ind w:left="105"/>
              <w:rPr>
                <w:sz w:val="16"/>
                <w:szCs w:val="16"/>
              </w:rPr>
            </w:pPr>
            <w:r>
              <w:rPr>
                <w:spacing w:val="-2"/>
                <w:sz w:val="16"/>
                <w:szCs w:val="16"/>
              </w:rPr>
              <w:t>滴定</w:t>
            </w:r>
          </w:p>
          <w:p w14:paraId="3DB82CE8">
            <w:pPr>
              <w:pStyle w:val="6"/>
              <w:spacing w:before="23" w:line="199" w:lineRule="auto"/>
              <w:ind w:left="184"/>
              <w:rPr>
                <w:sz w:val="16"/>
                <w:szCs w:val="16"/>
              </w:rPr>
            </w:pPr>
            <w:r>
              <w:rPr>
                <w:sz w:val="16"/>
                <w:szCs w:val="16"/>
              </w:rPr>
              <w:t>法</w:t>
            </w:r>
          </w:p>
        </w:tc>
        <w:tc>
          <w:tcPr>
            <w:tcW w:w="2644" w:type="dxa"/>
            <w:vAlign w:val="top"/>
          </w:tcPr>
          <w:p w14:paraId="29D4C06E">
            <w:pPr>
              <w:pStyle w:val="6"/>
              <w:spacing w:before="149" w:line="239" w:lineRule="auto"/>
              <w:ind w:left="81" w:right="1267"/>
              <w:rPr>
                <w:sz w:val="16"/>
                <w:szCs w:val="16"/>
              </w:rPr>
            </w:pPr>
            <w:r>
              <w:rPr>
                <w:sz w:val="16"/>
                <w:szCs w:val="16"/>
              </w:rPr>
              <w:t>1.酸碱滴定的原理</w:t>
            </w:r>
            <w:r>
              <w:rPr>
                <w:spacing w:val="4"/>
                <w:sz w:val="16"/>
                <w:szCs w:val="16"/>
              </w:rPr>
              <w:t xml:space="preserve"> </w:t>
            </w:r>
            <w:r>
              <w:rPr>
                <w:spacing w:val="-1"/>
                <w:sz w:val="16"/>
                <w:szCs w:val="16"/>
              </w:rPr>
              <w:t>2.指示剂的选择</w:t>
            </w:r>
          </w:p>
        </w:tc>
        <w:tc>
          <w:tcPr>
            <w:tcW w:w="229" w:type="dxa"/>
            <w:vAlign w:val="top"/>
          </w:tcPr>
          <w:p w14:paraId="40A0422F">
            <w:pPr>
              <w:rPr>
                <w:rFonts w:ascii="Arial"/>
                <w:sz w:val="21"/>
              </w:rPr>
            </w:pPr>
          </w:p>
        </w:tc>
        <w:tc>
          <w:tcPr>
            <w:tcW w:w="230" w:type="dxa"/>
            <w:vAlign w:val="top"/>
          </w:tcPr>
          <w:p w14:paraId="24BBFCD5">
            <w:pPr>
              <w:spacing w:before="170" w:line="314" w:lineRule="exact"/>
              <w:ind w:firstLine="50"/>
            </w:pPr>
            <w:r>
              <w:rPr>
                <w:position w:val="-6"/>
              </w:rPr>
              <w:drawing>
                <wp:inline distT="0" distB="0" distL="0" distR="0">
                  <wp:extent cx="91440" cy="198755"/>
                  <wp:effectExtent l="0" t="0" r="0" b="0"/>
                  <wp:docPr id="2" name="IM 2"/>
                  <wp:cNvGraphicFramePr/>
                  <a:graphic xmlns:a="http://schemas.openxmlformats.org/drawingml/2006/main">
                    <a:graphicData uri="http://schemas.openxmlformats.org/drawingml/2006/picture">
                      <pic:pic xmlns:pic="http://schemas.openxmlformats.org/drawingml/2006/picture">
                        <pic:nvPicPr>
                          <pic:cNvPr id="2" name="IM 2"/>
                          <pic:cNvPicPr/>
                        </pic:nvPicPr>
                        <pic:blipFill>
                          <a:blip r:embed="rId166"/>
                          <a:stretch>
                            <a:fillRect/>
                          </a:stretch>
                        </pic:blipFill>
                        <pic:spPr>
                          <a:xfrm>
                            <a:off x="0" y="0"/>
                            <a:ext cx="92059" cy="199294"/>
                          </a:xfrm>
                          <a:prstGeom prst="rect">
                            <a:avLst/>
                          </a:prstGeom>
                        </pic:spPr>
                      </pic:pic>
                    </a:graphicData>
                  </a:graphic>
                </wp:inline>
              </w:drawing>
            </w:r>
          </w:p>
        </w:tc>
        <w:tc>
          <w:tcPr>
            <w:tcW w:w="229" w:type="dxa"/>
            <w:vAlign w:val="top"/>
          </w:tcPr>
          <w:p w14:paraId="35DFDA9B">
            <w:pPr>
              <w:rPr>
                <w:rFonts w:ascii="Arial"/>
                <w:sz w:val="21"/>
              </w:rPr>
            </w:pPr>
          </w:p>
        </w:tc>
        <w:tc>
          <w:tcPr>
            <w:tcW w:w="244" w:type="dxa"/>
            <w:vAlign w:val="top"/>
          </w:tcPr>
          <w:p w14:paraId="772A8764">
            <w:pPr>
              <w:rPr>
                <w:rFonts w:ascii="Arial"/>
                <w:sz w:val="21"/>
              </w:rPr>
            </w:pPr>
          </w:p>
        </w:tc>
      </w:tr>
      <w:tr w14:paraId="64D177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71" w:hRule="atLeast"/>
        </w:trPr>
        <w:tc>
          <w:tcPr>
            <w:tcW w:w="554" w:type="dxa"/>
            <w:vAlign w:val="top"/>
          </w:tcPr>
          <w:p w14:paraId="3F1A8466">
            <w:pPr>
              <w:pStyle w:val="6"/>
              <w:spacing w:before="140" w:line="247" w:lineRule="auto"/>
              <w:ind w:left="105" w:right="124"/>
              <w:jc w:val="both"/>
              <w:rPr>
                <w:sz w:val="16"/>
                <w:szCs w:val="16"/>
              </w:rPr>
            </w:pPr>
            <w:r>
              <w:rPr>
                <w:spacing w:val="-4"/>
                <w:sz w:val="16"/>
                <w:szCs w:val="16"/>
              </w:rPr>
              <w:t>氧化</w:t>
            </w:r>
            <w:r>
              <w:rPr>
                <w:sz w:val="16"/>
                <w:szCs w:val="16"/>
              </w:rPr>
              <w:t xml:space="preserve"> </w:t>
            </w:r>
            <w:r>
              <w:rPr>
                <w:spacing w:val="-3"/>
                <w:sz w:val="16"/>
                <w:szCs w:val="16"/>
              </w:rPr>
              <w:t>还原</w:t>
            </w:r>
            <w:r>
              <w:rPr>
                <w:sz w:val="16"/>
                <w:szCs w:val="16"/>
              </w:rPr>
              <w:t xml:space="preserve"> </w:t>
            </w:r>
            <w:r>
              <w:rPr>
                <w:spacing w:val="-4"/>
                <w:sz w:val="16"/>
                <w:szCs w:val="16"/>
              </w:rPr>
              <w:t>反应</w:t>
            </w:r>
          </w:p>
        </w:tc>
        <w:tc>
          <w:tcPr>
            <w:tcW w:w="2644" w:type="dxa"/>
            <w:vAlign w:val="top"/>
          </w:tcPr>
          <w:p w14:paraId="08438035">
            <w:pPr>
              <w:pStyle w:val="6"/>
              <w:spacing w:before="171" w:line="219" w:lineRule="auto"/>
              <w:ind w:left="81"/>
              <w:rPr>
                <w:sz w:val="16"/>
                <w:szCs w:val="16"/>
              </w:rPr>
            </w:pPr>
            <w:r>
              <w:rPr>
                <w:sz w:val="16"/>
                <w:szCs w:val="16"/>
              </w:rPr>
              <w:t>1.氧化还原反应概念</w:t>
            </w:r>
          </w:p>
          <w:p w14:paraId="76D83F1D">
            <w:pPr>
              <w:pStyle w:val="6"/>
              <w:spacing w:before="10" w:line="219" w:lineRule="auto"/>
              <w:ind w:left="81"/>
              <w:rPr>
                <w:sz w:val="16"/>
                <w:szCs w:val="16"/>
              </w:rPr>
            </w:pPr>
            <w:r>
              <w:rPr>
                <w:spacing w:val="-1"/>
                <w:sz w:val="16"/>
                <w:szCs w:val="16"/>
              </w:rPr>
              <w:t>2.常见氧化剂和还原剂</w:t>
            </w:r>
          </w:p>
          <w:p w14:paraId="58ECFCAA">
            <w:pPr>
              <w:pStyle w:val="6"/>
              <w:spacing w:before="50" w:line="219" w:lineRule="auto"/>
              <w:ind w:left="81"/>
              <w:rPr>
                <w:sz w:val="16"/>
                <w:szCs w:val="16"/>
              </w:rPr>
            </w:pPr>
            <w:r>
              <w:rPr>
                <w:spacing w:val="-1"/>
                <w:sz w:val="16"/>
                <w:szCs w:val="16"/>
              </w:rPr>
              <w:t>3.氧化还原反应的表示方法</w:t>
            </w:r>
          </w:p>
        </w:tc>
        <w:tc>
          <w:tcPr>
            <w:tcW w:w="229" w:type="dxa"/>
            <w:vAlign w:val="top"/>
          </w:tcPr>
          <w:p w14:paraId="7CC9839E">
            <w:pPr>
              <w:spacing w:before="193" w:line="294" w:lineRule="exact"/>
              <w:ind w:firstLine="45"/>
            </w:pPr>
            <w:r>
              <w:rPr>
                <w:position w:val="-5"/>
              </w:rPr>
              <w:drawing>
                <wp:inline distT="0" distB="0" distL="0" distR="0">
                  <wp:extent cx="89535" cy="186055"/>
                  <wp:effectExtent l="0" t="0" r="0" b="0"/>
                  <wp:docPr id="4" name="IM 4"/>
                  <wp:cNvGraphicFramePr/>
                  <a:graphic xmlns:a="http://schemas.openxmlformats.org/drawingml/2006/main">
                    <a:graphicData uri="http://schemas.openxmlformats.org/drawingml/2006/picture">
                      <pic:pic xmlns:pic="http://schemas.openxmlformats.org/drawingml/2006/picture">
                        <pic:nvPicPr>
                          <pic:cNvPr id="4" name="IM 4"/>
                          <pic:cNvPicPr/>
                        </pic:nvPicPr>
                        <pic:blipFill>
                          <a:blip r:embed="rId167"/>
                          <a:stretch>
                            <a:fillRect/>
                          </a:stretch>
                        </pic:blipFill>
                        <pic:spPr>
                          <a:xfrm>
                            <a:off x="0" y="0"/>
                            <a:ext cx="89670" cy="186670"/>
                          </a:xfrm>
                          <a:prstGeom prst="rect">
                            <a:avLst/>
                          </a:prstGeom>
                        </pic:spPr>
                      </pic:pic>
                    </a:graphicData>
                  </a:graphic>
                </wp:inline>
              </w:drawing>
            </w:r>
          </w:p>
        </w:tc>
        <w:tc>
          <w:tcPr>
            <w:tcW w:w="230" w:type="dxa"/>
            <w:vAlign w:val="top"/>
          </w:tcPr>
          <w:p w14:paraId="311D3EB5">
            <w:pPr>
              <w:rPr>
                <w:rFonts w:ascii="Arial"/>
                <w:sz w:val="21"/>
              </w:rPr>
            </w:pPr>
          </w:p>
        </w:tc>
        <w:tc>
          <w:tcPr>
            <w:tcW w:w="229" w:type="dxa"/>
            <w:vAlign w:val="top"/>
          </w:tcPr>
          <w:p w14:paraId="6A399E8E">
            <w:pPr>
              <w:rPr>
                <w:rFonts w:ascii="Arial"/>
                <w:sz w:val="21"/>
              </w:rPr>
            </w:pPr>
          </w:p>
        </w:tc>
        <w:tc>
          <w:tcPr>
            <w:tcW w:w="244" w:type="dxa"/>
            <w:vAlign w:val="top"/>
          </w:tcPr>
          <w:p w14:paraId="26AD9748">
            <w:pPr>
              <w:rPr>
                <w:rFonts w:ascii="Arial"/>
                <w:sz w:val="21"/>
              </w:rPr>
            </w:pPr>
          </w:p>
        </w:tc>
      </w:tr>
    </w:tbl>
    <w:p w14:paraId="7DABF0B0">
      <w:pPr>
        <w:spacing w:before="128" w:line="221" w:lineRule="auto"/>
        <w:ind w:left="1072"/>
        <w:rPr>
          <w:rFonts w:ascii="黑体" w:hAnsi="黑体" w:eastAsia="黑体" w:cs="黑体"/>
          <w:sz w:val="20"/>
          <w:szCs w:val="20"/>
        </w:rPr>
      </w:pPr>
      <w:r>
        <w:drawing>
          <wp:anchor distT="0" distB="0" distL="0" distR="0" simplePos="0" relativeHeight="251659264" behindDoc="0" locked="0" layoutInCell="1" allowOverlap="1">
            <wp:simplePos x="0" y="0"/>
            <wp:positionH relativeFrom="column">
              <wp:posOffset>2235200</wp:posOffset>
            </wp:positionH>
            <wp:positionV relativeFrom="paragraph">
              <wp:posOffset>4479290</wp:posOffset>
            </wp:positionV>
            <wp:extent cx="107950" cy="615950"/>
            <wp:effectExtent l="0" t="0" r="0" b="0"/>
            <wp:wrapNone/>
            <wp:docPr id="6" name="IM 6"/>
            <wp:cNvGraphicFramePr/>
            <a:graphic xmlns:a="http://schemas.openxmlformats.org/drawingml/2006/main">
              <a:graphicData uri="http://schemas.openxmlformats.org/drawingml/2006/picture">
                <pic:pic xmlns:pic="http://schemas.openxmlformats.org/drawingml/2006/picture">
                  <pic:nvPicPr>
                    <pic:cNvPr id="6" name="IM 6"/>
                    <pic:cNvPicPr/>
                  </pic:nvPicPr>
                  <pic:blipFill>
                    <a:blip r:embed="rId168"/>
                    <a:stretch>
                      <a:fillRect/>
                    </a:stretch>
                  </pic:blipFill>
                  <pic:spPr>
                    <a:xfrm>
                      <a:off x="0" y="0"/>
                      <a:ext cx="107967" cy="615915"/>
                    </a:xfrm>
                    <a:prstGeom prst="rect">
                      <a:avLst/>
                    </a:prstGeom>
                  </pic:spPr>
                </pic:pic>
              </a:graphicData>
            </a:graphic>
          </wp:anchor>
        </w:drawing>
      </w:r>
      <w:r>
        <w:rPr>
          <w:rFonts w:ascii="黑体" w:hAnsi="黑体" w:eastAsia="黑体" w:cs="黑体"/>
          <w:b/>
          <w:bCs/>
          <w:spacing w:val="-7"/>
          <w:sz w:val="20"/>
          <w:szCs w:val="20"/>
        </w:rPr>
        <w:t>四、常见单质及其化合物</w:t>
      </w:r>
    </w:p>
    <w:p w14:paraId="792A1C88">
      <w:pPr>
        <w:spacing w:line="152" w:lineRule="exact"/>
      </w:pPr>
    </w:p>
    <w:tbl>
      <w:tblPr>
        <w:tblStyle w:val="5"/>
        <w:tblW w:w="4109" w:type="dxa"/>
        <w:tblInd w:w="7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54"/>
        <w:gridCol w:w="2644"/>
        <w:gridCol w:w="229"/>
        <w:gridCol w:w="219"/>
        <w:gridCol w:w="239"/>
        <w:gridCol w:w="224"/>
      </w:tblGrid>
      <w:tr w14:paraId="655D58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10" w:hRule="atLeast"/>
        </w:trPr>
        <w:tc>
          <w:tcPr>
            <w:tcW w:w="554" w:type="dxa"/>
            <w:vMerge w:val="restart"/>
            <w:tcBorders>
              <w:top w:val="single" w:color="000000" w:sz="2" w:space="0"/>
              <w:bottom w:val="nil"/>
            </w:tcBorders>
            <w:vAlign w:val="top"/>
          </w:tcPr>
          <w:p w14:paraId="2C8C9E6B">
            <w:pPr>
              <w:pStyle w:val="6"/>
              <w:spacing w:before="97" w:line="221" w:lineRule="auto"/>
              <w:ind w:left="17" w:firstLine="69"/>
              <w:rPr>
                <w:sz w:val="18"/>
                <w:szCs w:val="18"/>
              </w:rPr>
            </w:pPr>
            <w:r>
              <w:rPr>
                <w:b/>
                <w:bCs/>
                <w:spacing w:val="-9"/>
                <w:sz w:val="18"/>
                <w:szCs w:val="18"/>
              </w:rPr>
              <w:t>知识</w:t>
            </w:r>
            <w:r>
              <w:rPr>
                <w:sz w:val="18"/>
                <w:szCs w:val="18"/>
              </w:rPr>
              <w:t xml:space="preserve">  </w:t>
            </w:r>
            <w:r>
              <w:rPr>
                <w:b/>
                <w:bCs/>
                <w:spacing w:val="-7"/>
                <w:sz w:val="18"/>
                <w:szCs w:val="18"/>
              </w:rPr>
              <w:t>与技能</w:t>
            </w:r>
            <w:r>
              <w:rPr>
                <w:sz w:val="18"/>
                <w:szCs w:val="18"/>
              </w:rPr>
              <w:t xml:space="preserve"> </w:t>
            </w:r>
            <w:r>
              <w:rPr>
                <w:b/>
                <w:bCs/>
                <w:spacing w:val="28"/>
                <w:sz w:val="18"/>
                <w:szCs w:val="18"/>
              </w:rPr>
              <w:t>要点</w:t>
            </w:r>
          </w:p>
        </w:tc>
        <w:tc>
          <w:tcPr>
            <w:tcW w:w="2644" w:type="dxa"/>
            <w:vMerge w:val="restart"/>
            <w:tcBorders>
              <w:top w:val="single" w:color="000000" w:sz="2" w:space="0"/>
              <w:bottom w:val="nil"/>
            </w:tcBorders>
            <w:vAlign w:val="top"/>
          </w:tcPr>
          <w:p w14:paraId="5AC8AA8E">
            <w:pPr>
              <w:spacing w:line="244" w:lineRule="auto"/>
              <w:rPr>
                <w:rFonts w:ascii="Arial"/>
                <w:sz w:val="21"/>
              </w:rPr>
            </w:pPr>
          </w:p>
          <w:p w14:paraId="4CE25A52">
            <w:pPr>
              <w:pStyle w:val="6"/>
              <w:spacing w:before="59" w:line="219" w:lineRule="auto"/>
              <w:ind w:left="993"/>
              <w:rPr>
                <w:sz w:val="18"/>
                <w:szCs w:val="18"/>
              </w:rPr>
            </w:pPr>
            <w:r>
              <w:rPr>
                <w:b/>
                <w:bCs/>
                <w:spacing w:val="5"/>
                <w:sz w:val="18"/>
                <w:szCs w:val="18"/>
              </w:rPr>
              <w:t>考试条目</w:t>
            </w:r>
          </w:p>
        </w:tc>
        <w:tc>
          <w:tcPr>
            <w:tcW w:w="911" w:type="dxa"/>
            <w:gridSpan w:val="4"/>
            <w:tcBorders>
              <w:top w:val="single" w:color="000000" w:sz="2" w:space="0"/>
              <w:bottom w:val="single" w:color="000000" w:sz="2" w:space="0"/>
            </w:tcBorders>
            <w:vAlign w:val="top"/>
          </w:tcPr>
          <w:p w14:paraId="2EEA000C">
            <w:pPr>
              <w:pStyle w:val="6"/>
              <w:spacing w:before="114" w:line="219" w:lineRule="auto"/>
              <w:ind w:left="119"/>
              <w:rPr>
                <w:sz w:val="18"/>
                <w:szCs w:val="18"/>
              </w:rPr>
            </w:pPr>
            <w:r>
              <w:rPr>
                <w:b/>
                <w:bCs/>
                <w:spacing w:val="-4"/>
                <w:sz w:val="18"/>
                <w:szCs w:val="18"/>
              </w:rPr>
              <w:t>考试水平</w:t>
            </w:r>
          </w:p>
        </w:tc>
      </w:tr>
      <w:tr w14:paraId="4C1EC5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5" w:hRule="atLeast"/>
        </w:trPr>
        <w:tc>
          <w:tcPr>
            <w:tcW w:w="554" w:type="dxa"/>
            <w:vMerge w:val="continue"/>
            <w:tcBorders>
              <w:top w:val="nil"/>
              <w:bottom w:val="single" w:color="000000" w:sz="2" w:space="0"/>
            </w:tcBorders>
            <w:vAlign w:val="top"/>
          </w:tcPr>
          <w:p w14:paraId="37460E61">
            <w:pPr>
              <w:rPr>
                <w:rFonts w:ascii="Arial"/>
                <w:sz w:val="21"/>
              </w:rPr>
            </w:pPr>
          </w:p>
        </w:tc>
        <w:tc>
          <w:tcPr>
            <w:tcW w:w="2644" w:type="dxa"/>
            <w:vMerge w:val="continue"/>
            <w:tcBorders>
              <w:top w:val="nil"/>
              <w:bottom w:val="single" w:color="000000" w:sz="2" w:space="0"/>
            </w:tcBorders>
            <w:vAlign w:val="top"/>
          </w:tcPr>
          <w:p w14:paraId="40190A52">
            <w:pPr>
              <w:rPr>
                <w:rFonts w:ascii="Arial"/>
                <w:sz w:val="21"/>
              </w:rPr>
            </w:pPr>
          </w:p>
        </w:tc>
        <w:tc>
          <w:tcPr>
            <w:tcW w:w="229" w:type="dxa"/>
            <w:tcBorders>
              <w:top w:val="single" w:color="000000" w:sz="2" w:space="0"/>
              <w:bottom w:val="single" w:color="000000" w:sz="2" w:space="0"/>
            </w:tcBorders>
            <w:vAlign w:val="top"/>
          </w:tcPr>
          <w:p w14:paraId="355F4655">
            <w:pPr>
              <w:pStyle w:val="6"/>
              <w:spacing w:before="137" w:line="184" w:lineRule="auto"/>
              <w:jc w:val="right"/>
              <w:rPr>
                <w:sz w:val="18"/>
                <w:szCs w:val="18"/>
              </w:rPr>
            </w:pPr>
            <w:r>
              <w:rPr>
                <w:spacing w:val="-2"/>
                <w:w w:val="93"/>
                <w:sz w:val="18"/>
                <w:szCs w:val="18"/>
              </w:rPr>
              <w:t>A</w:t>
            </w:r>
          </w:p>
        </w:tc>
        <w:tc>
          <w:tcPr>
            <w:tcW w:w="219" w:type="dxa"/>
            <w:tcBorders>
              <w:top w:val="single" w:color="000000" w:sz="2" w:space="0"/>
              <w:bottom w:val="single" w:color="000000" w:sz="2" w:space="0"/>
            </w:tcBorders>
            <w:vAlign w:val="top"/>
          </w:tcPr>
          <w:p w14:paraId="1D75C37E">
            <w:pPr>
              <w:pStyle w:val="6"/>
              <w:spacing w:before="139" w:line="182" w:lineRule="auto"/>
              <w:ind w:left="47"/>
              <w:rPr>
                <w:sz w:val="18"/>
                <w:szCs w:val="18"/>
              </w:rPr>
            </w:pPr>
            <w:r>
              <w:rPr>
                <w:sz w:val="18"/>
                <w:szCs w:val="18"/>
              </w:rPr>
              <w:t>B</w:t>
            </w:r>
          </w:p>
        </w:tc>
        <w:tc>
          <w:tcPr>
            <w:tcW w:w="239" w:type="dxa"/>
            <w:tcBorders>
              <w:top w:val="single" w:color="000000" w:sz="2" w:space="0"/>
              <w:bottom w:val="single" w:color="000000" w:sz="2" w:space="0"/>
            </w:tcBorders>
            <w:vAlign w:val="top"/>
          </w:tcPr>
          <w:p w14:paraId="4E6F8CAD">
            <w:pPr>
              <w:pStyle w:val="6"/>
              <w:spacing w:before="138" w:line="183" w:lineRule="auto"/>
              <w:ind w:left="58"/>
              <w:rPr>
                <w:sz w:val="18"/>
                <w:szCs w:val="18"/>
              </w:rPr>
            </w:pPr>
            <w:r>
              <w:rPr>
                <w:sz w:val="18"/>
                <w:szCs w:val="18"/>
              </w:rPr>
              <w:t>C</w:t>
            </w:r>
          </w:p>
        </w:tc>
        <w:tc>
          <w:tcPr>
            <w:tcW w:w="224" w:type="dxa"/>
            <w:tcBorders>
              <w:top w:val="single" w:color="000000" w:sz="2" w:space="0"/>
              <w:bottom w:val="single" w:color="000000" w:sz="2" w:space="0"/>
            </w:tcBorders>
            <w:vAlign w:val="top"/>
          </w:tcPr>
          <w:p w14:paraId="78BEE98C">
            <w:pPr>
              <w:pStyle w:val="6"/>
              <w:spacing w:before="139" w:line="182" w:lineRule="auto"/>
              <w:ind w:left="19"/>
              <w:rPr>
                <w:sz w:val="18"/>
                <w:szCs w:val="18"/>
              </w:rPr>
            </w:pPr>
            <w:r>
              <w:rPr>
                <w:sz w:val="18"/>
                <w:szCs w:val="18"/>
              </w:rPr>
              <w:t>D</w:t>
            </w:r>
          </w:p>
        </w:tc>
      </w:tr>
      <w:tr w14:paraId="18CA3C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833" w:hRule="atLeast"/>
        </w:trPr>
        <w:tc>
          <w:tcPr>
            <w:tcW w:w="554" w:type="dxa"/>
            <w:tcBorders>
              <w:top w:val="single" w:color="000000" w:sz="2" w:space="0"/>
              <w:bottom w:val="single" w:color="000000" w:sz="2" w:space="0"/>
            </w:tcBorders>
            <w:vAlign w:val="top"/>
          </w:tcPr>
          <w:p w14:paraId="4B352E04">
            <w:pPr>
              <w:spacing w:line="470" w:lineRule="auto"/>
              <w:rPr>
                <w:rFonts w:ascii="Arial"/>
                <w:sz w:val="21"/>
              </w:rPr>
            </w:pPr>
          </w:p>
          <w:p w14:paraId="18F742F6">
            <w:pPr>
              <w:pStyle w:val="6"/>
              <w:spacing w:before="59" w:line="216" w:lineRule="auto"/>
              <w:ind w:left="84"/>
              <w:rPr>
                <w:sz w:val="18"/>
                <w:szCs w:val="18"/>
              </w:rPr>
            </w:pPr>
            <w:r>
              <w:rPr>
                <w:spacing w:val="4"/>
                <w:sz w:val="18"/>
                <w:szCs w:val="18"/>
              </w:rPr>
              <w:t>常见</w:t>
            </w:r>
          </w:p>
          <w:p w14:paraId="3A927861">
            <w:pPr>
              <w:pStyle w:val="6"/>
              <w:spacing w:line="215" w:lineRule="auto"/>
              <w:ind w:left="84"/>
              <w:rPr>
                <w:sz w:val="18"/>
                <w:szCs w:val="18"/>
              </w:rPr>
            </w:pPr>
            <w:r>
              <w:rPr>
                <w:spacing w:val="-3"/>
                <w:sz w:val="18"/>
                <w:szCs w:val="18"/>
              </w:rPr>
              <w:t>非金</w:t>
            </w:r>
          </w:p>
          <w:p w14:paraId="31BA0DCC">
            <w:pPr>
              <w:pStyle w:val="6"/>
              <w:spacing w:line="220" w:lineRule="auto"/>
              <w:ind w:left="84"/>
              <w:rPr>
                <w:sz w:val="18"/>
                <w:szCs w:val="18"/>
              </w:rPr>
            </w:pPr>
            <w:r>
              <w:rPr>
                <w:spacing w:val="-3"/>
                <w:sz w:val="18"/>
                <w:szCs w:val="18"/>
              </w:rPr>
              <w:t>属单</w:t>
            </w:r>
          </w:p>
          <w:p w14:paraId="4014D9D2">
            <w:pPr>
              <w:pStyle w:val="6"/>
              <w:spacing w:before="5" w:line="220" w:lineRule="auto"/>
              <w:ind w:left="175"/>
              <w:rPr>
                <w:sz w:val="18"/>
                <w:szCs w:val="18"/>
              </w:rPr>
            </w:pPr>
            <w:r>
              <w:rPr>
                <w:sz w:val="18"/>
                <w:szCs w:val="18"/>
              </w:rPr>
              <w:t>质</w:t>
            </w:r>
          </w:p>
        </w:tc>
        <w:tc>
          <w:tcPr>
            <w:tcW w:w="2644" w:type="dxa"/>
            <w:tcBorders>
              <w:top w:val="single" w:color="000000" w:sz="2" w:space="0"/>
              <w:bottom w:val="single" w:color="000000" w:sz="2" w:space="0"/>
            </w:tcBorders>
            <w:vAlign w:val="top"/>
          </w:tcPr>
          <w:p w14:paraId="262EE682">
            <w:pPr>
              <w:pStyle w:val="6"/>
              <w:spacing w:before="202" w:line="220" w:lineRule="auto"/>
              <w:ind w:left="60" w:right="572"/>
              <w:jc w:val="both"/>
              <w:rPr>
                <w:sz w:val="18"/>
                <w:szCs w:val="18"/>
              </w:rPr>
            </w:pPr>
            <w:r>
              <w:rPr>
                <w:spacing w:val="1"/>
                <w:sz w:val="18"/>
                <w:szCs w:val="18"/>
              </w:rPr>
              <w:t>1.氯气的存在和物理性质</w:t>
            </w:r>
            <w:r>
              <w:rPr>
                <w:spacing w:val="7"/>
                <w:sz w:val="18"/>
                <w:szCs w:val="18"/>
              </w:rPr>
              <w:t xml:space="preserve"> </w:t>
            </w:r>
            <w:r>
              <w:rPr>
                <w:spacing w:val="-1"/>
                <w:sz w:val="18"/>
                <w:szCs w:val="18"/>
              </w:rPr>
              <w:t>2.氯气的化学性质及用途</w:t>
            </w:r>
            <w:r>
              <w:rPr>
                <w:spacing w:val="1"/>
                <w:sz w:val="18"/>
                <w:szCs w:val="18"/>
              </w:rPr>
              <w:t xml:space="preserve"> </w:t>
            </w:r>
            <w:r>
              <w:rPr>
                <w:spacing w:val="-1"/>
                <w:sz w:val="18"/>
                <w:szCs w:val="18"/>
              </w:rPr>
              <w:t>3.卤族元素</w:t>
            </w:r>
          </w:p>
          <w:p w14:paraId="6135F77D">
            <w:pPr>
              <w:pStyle w:val="6"/>
              <w:spacing w:before="16" w:line="220" w:lineRule="auto"/>
              <w:ind w:left="60"/>
              <w:rPr>
                <w:sz w:val="18"/>
                <w:szCs w:val="18"/>
              </w:rPr>
            </w:pPr>
            <w:r>
              <w:rPr>
                <w:spacing w:val="2"/>
                <w:sz w:val="18"/>
                <w:szCs w:val="18"/>
              </w:rPr>
              <w:t>4.硫的物理性质</w:t>
            </w:r>
          </w:p>
          <w:p w14:paraId="219FA2B1">
            <w:pPr>
              <w:pStyle w:val="6"/>
              <w:spacing w:before="15" w:line="204" w:lineRule="auto"/>
              <w:ind w:left="60"/>
              <w:rPr>
                <w:sz w:val="18"/>
                <w:szCs w:val="18"/>
              </w:rPr>
            </w:pPr>
            <w:r>
              <w:rPr>
                <w:spacing w:val="2"/>
                <w:sz w:val="18"/>
                <w:szCs w:val="18"/>
              </w:rPr>
              <w:t>5.硫的化学性质</w:t>
            </w:r>
          </w:p>
          <w:p w14:paraId="2FF276FC">
            <w:pPr>
              <w:pStyle w:val="6"/>
              <w:spacing w:line="227" w:lineRule="auto"/>
              <w:ind w:left="60" w:right="1112"/>
              <w:rPr>
                <w:sz w:val="18"/>
                <w:szCs w:val="18"/>
              </w:rPr>
            </w:pPr>
            <w:r>
              <w:rPr>
                <w:spacing w:val="2"/>
                <w:sz w:val="18"/>
                <w:szCs w:val="18"/>
              </w:rPr>
              <w:t>6.氮气的物理性质</w:t>
            </w:r>
            <w:r>
              <w:rPr>
                <w:spacing w:val="1"/>
                <w:sz w:val="18"/>
                <w:szCs w:val="18"/>
              </w:rPr>
              <w:t xml:space="preserve"> </w:t>
            </w:r>
            <w:r>
              <w:rPr>
                <w:spacing w:val="2"/>
                <w:sz w:val="18"/>
                <w:szCs w:val="18"/>
              </w:rPr>
              <w:t>7.氮气的化学性质</w:t>
            </w:r>
          </w:p>
        </w:tc>
        <w:tc>
          <w:tcPr>
            <w:tcW w:w="229" w:type="dxa"/>
            <w:tcBorders>
              <w:top w:val="single" w:color="000000" w:sz="2" w:space="0"/>
              <w:bottom w:val="single" w:color="000000" w:sz="2" w:space="0"/>
            </w:tcBorders>
            <w:vAlign w:val="top"/>
          </w:tcPr>
          <w:p w14:paraId="02D6979B">
            <w:pPr>
              <w:pStyle w:val="6"/>
              <w:spacing w:before="181" w:line="238" w:lineRule="auto"/>
              <w:jc w:val="right"/>
              <w:rPr>
                <w:sz w:val="12"/>
                <w:szCs w:val="12"/>
              </w:rPr>
            </w:pPr>
            <w:r>
              <w:rPr>
                <w:spacing w:val="-35"/>
                <w:sz w:val="12"/>
                <w:szCs w:val="12"/>
              </w:rPr>
              <w:t>√</w:t>
            </w:r>
          </w:p>
        </w:tc>
        <w:tc>
          <w:tcPr>
            <w:tcW w:w="219" w:type="dxa"/>
            <w:tcBorders>
              <w:top w:val="single" w:color="000000" w:sz="2" w:space="0"/>
              <w:bottom w:val="single" w:color="000000" w:sz="2" w:space="0"/>
            </w:tcBorders>
            <w:vAlign w:val="top"/>
          </w:tcPr>
          <w:p w14:paraId="2C37A690">
            <w:pPr>
              <w:rPr>
                <w:rFonts w:ascii="Arial"/>
                <w:sz w:val="21"/>
              </w:rPr>
            </w:pPr>
          </w:p>
        </w:tc>
        <w:tc>
          <w:tcPr>
            <w:tcW w:w="239" w:type="dxa"/>
            <w:tcBorders>
              <w:top w:val="single" w:color="000000" w:sz="2" w:space="0"/>
              <w:bottom w:val="single" w:color="000000" w:sz="2" w:space="0"/>
            </w:tcBorders>
            <w:vAlign w:val="top"/>
          </w:tcPr>
          <w:p w14:paraId="511AF1ED">
            <w:pPr>
              <w:rPr>
                <w:rFonts w:ascii="Arial"/>
                <w:sz w:val="21"/>
              </w:rPr>
            </w:pPr>
          </w:p>
        </w:tc>
        <w:tc>
          <w:tcPr>
            <w:tcW w:w="224" w:type="dxa"/>
            <w:tcBorders>
              <w:top w:val="single" w:color="000000" w:sz="2" w:space="0"/>
              <w:bottom w:val="single" w:color="000000" w:sz="2" w:space="0"/>
            </w:tcBorders>
            <w:vAlign w:val="top"/>
          </w:tcPr>
          <w:p w14:paraId="4D4AF811">
            <w:pPr>
              <w:rPr>
                <w:rFonts w:ascii="Arial"/>
                <w:sz w:val="21"/>
              </w:rPr>
            </w:pPr>
          </w:p>
        </w:tc>
      </w:tr>
      <w:tr w14:paraId="11BB08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43" w:hRule="atLeast"/>
        </w:trPr>
        <w:tc>
          <w:tcPr>
            <w:tcW w:w="554" w:type="dxa"/>
            <w:tcBorders>
              <w:top w:val="single" w:color="000000" w:sz="2" w:space="0"/>
              <w:bottom w:val="single" w:color="000000" w:sz="2" w:space="0"/>
            </w:tcBorders>
            <w:vAlign w:val="top"/>
          </w:tcPr>
          <w:p w14:paraId="2CCFCFDA">
            <w:pPr>
              <w:spacing w:line="280" w:lineRule="auto"/>
              <w:rPr>
                <w:rFonts w:ascii="Arial"/>
                <w:sz w:val="21"/>
              </w:rPr>
            </w:pPr>
          </w:p>
          <w:p w14:paraId="4639930D">
            <w:pPr>
              <w:spacing w:line="280" w:lineRule="auto"/>
              <w:rPr>
                <w:rFonts w:ascii="Arial"/>
                <w:sz w:val="21"/>
              </w:rPr>
            </w:pPr>
          </w:p>
          <w:p w14:paraId="61F70C1B">
            <w:pPr>
              <w:pStyle w:val="6"/>
              <w:spacing w:before="59" w:line="225" w:lineRule="auto"/>
              <w:ind w:left="84" w:right="89"/>
              <w:jc w:val="both"/>
              <w:rPr>
                <w:sz w:val="18"/>
                <w:szCs w:val="18"/>
              </w:rPr>
            </w:pPr>
            <w:r>
              <w:rPr>
                <w:spacing w:val="4"/>
                <w:sz w:val="18"/>
                <w:szCs w:val="18"/>
              </w:rPr>
              <w:t>常见</w:t>
            </w:r>
            <w:r>
              <w:rPr>
                <w:sz w:val="18"/>
                <w:szCs w:val="18"/>
              </w:rPr>
              <w:t xml:space="preserve"> </w:t>
            </w:r>
            <w:r>
              <w:rPr>
                <w:spacing w:val="-5"/>
                <w:sz w:val="18"/>
                <w:szCs w:val="18"/>
              </w:rPr>
              <w:t>非金</w:t>
            </w:r>
            <w:r>
              <w:rPr>
                <w:sz w:val="18"/>
                <w:szCs w:val="18"/>
              </w:rPr>
              <w:t xml:space="preserve"> </w:t>
            </w:r>
            <w:r>
              <w:rPr>
                <w:spacing w:val="-5"/>
                <w:sz w:val="18"/>
                <w:szCs w:val="18"/>
              </w:rPr>
              <w:t>属化</w:t>
            </w:r>
            <w:r>
              <w:rPr>
                <w:sz w:val="18"/>
                <w:szCs w:val="18"/>
              </w:rPr>
              <w:t xml:space="preserve"> </w:t>
            </w:r>
            <w:r>
              <w:rPr>
                <w:spacing w:val="-2"/>
                <w:sz w:val="18"/>
                <w:szCs w:val="18"/>
              </w:rPr>
              <w:t>合物</w:t>
            </w:r>
          </w:p>
        </w:tc>
        <w:tc>
          <w:tcPr>
            <w:tcW w:w="2644" w:type="dxa"/>
            <w:tcBorders>
              <w:top w:val="single" w:color="000000" w:sz="2" w:space="0"/>
              <w:bottom w:val="single" w:color="000000" w:sz="2" w:space="0"/>
            </w:tcBorders>
            <w:vAlign w:val="top"/>
          </w:tcPr>
          <w:p w14:paraId="287118D0">
            <w:pPr>
              <w:pStyle w:val="6"/>
              <w:spacing w:before="203" w:line="218" w:lineRule="auto"/>
              <w:ind w:left="60" w:right="1292"/>
              <w:rPr>
                <w:sz w:val="18"/>
                <w:szCs w:val="18"/>
              </w:rPr>
            </w:pPr>
            <w:r>
              <w:rPr>
                <w:spacing w:val="2"/>
                <w:sz w:val="18"/>
                <w:szCs w:val="18"/>
              </w:rPr>
              <w:t>1.氯化氢的性质</w:t>
            </w:r>
            <w:r>
              <w:rPr>
                <w:spacing w:val="3"/>
                <w:sz w:val="18"/>
                <w:szCs w:val="18"/>
              </w:rPr>
              <w:t xml:space="preserve"> </w:t>
            </w:r>
            <w:r>
              <w:rPr>
                <w:spacing w:val="2"/>
                <w:sz w:val="18"/>
                <w:szCs w:val="18"/>
              </w:rPr>
              <w:t>2.硫化氢的性质</w:t>
            </w:r>
          </w:p>
          <w:p w14:paraId="1C7D6249">
            <w:pPr>
              <w:pStyle w:val="6"/>
              <w:spacing w:before="6" w:line="215" w:lineRule="auto"/>
              <w:ind w:left="60" w:right="572"/>
              <w:rPr>
                <w:sz w:val="18"/>
                <w:szCs w:val="18"/>
              </w:rPr>
            </w:pPr>
            <w:r>
              <w:rPr>
                <w:spacing w:val="1"/>
                <w:sz w:val="18"/>
                <w:szCs w:val="18"/>
              </w:rPr>
              <w:t>3.氨气、铵盐的化学性质</w:t>
            </w:r>
            <w:r>
              <w:rPr>
                <w:spacing w:val="7"/>
                <w:sz w:val="18"/>
                <w:szCs w:val="18"/>
              </w:rPr>
              <w:t xml:space="preserve"> </w:t>
            </w:r>
            <w:r>
              <w:rPr>
                <w:spacing w:val="-1"/>
                <w:sz w:val="18"/>
                <w:szCs w:val="18"/>
              </w:rPr>
              <w:t>4.二氧化硫和三氧化硫</w:t>
            </w:r>
          </w:p>
          <w:p w14:paraId="7B57B4FD">
            <w:pPr>
              <w:pStyle w:val="6"/>
              <w:spacing w:line="220" w:lineRule="auto"/>
              <w:ind w:left="60"/>
              <w:rPr>
                <w:sz w:val="18"/>
                <w:szCs w:val="18"/>
              </w:rPr>
            </w:pPr>
            <w:r>
              <w:rPr>
                <w:spacing w:val="2"/>
                <w:sz w:val="18"/>
                <w:szCs w:val="18"/>
              </w:rPr>
              <w:t>5.硫酸的性质</w:t>
            </w:r>
          </w:p>
          <w:p w14:paraId="4926B85D">
            <w:pPr>
              <w:pStyle w:val="6"/>
              <w:spacing w:before="14" w:line="226" w:lineRule="auto"/>
              <w:ind w:left="60" w:right="781"/>
              <w:rPr>
                <w:sz w:val="18"/>
                <w:szCs w:val="18"/>
              </w:rPr>
            </w:pPr>
            <w:r>
              <w:rPr>
                <w:spacing w:val="-1"/>
                <w:sz w:val="18"/>
                <w:szCs w:val="18"/>
              </w:rPr>
              <w:t>6.一氧化氮和二氧化氮</w:t>
            </w:r>
            <w:r>
              <w:rPr>
                <w:spacing w:val="1"/>
                <w:sz w:val="18"/>
                <w:szCs w:val="18"/>
              </w:rPr>
              <w:t xml:space="preserve"> </w:t>
            </w:r>
            <w:r>
              <w:rPr>
                <w:spacing w:val="-2"/>
                <w:sz w:val="18"/>
                <w:szCs w:val="18"/>
              </w:rPr>
              <w:t>7.硝酸的性质和用途</w:t>
            </w:r>
          </w:p>
          <w:p w14:paraId="458CC416">
            <w:pPr>
              <w:pStyle w:val="6"/>
              <w:spacing w:line="220" w:lineRule="auto"/>
              <w:ind w:left="60"/>
              <w:rPr>
                <w:sz w:val="18"/>
                <w:szCs w:val="18"/>
              </w:rPr>
            </w:pPr>
            <w:r>
              <w:rPr>
                <w:spacing w:val="1"/>
                <w:sz w:val="18"/>
                <w:szCs w:val="18"/>
              </w:rPr>
              <w:t>8.大气污染与环境保护</w:t>
            </w:r>
          </w:p>
        </w:tc>
        <w:tc>
          <w:tcPr>
            <w:tcW w:w="229" w:type="dxa"/>
            <w:tcBorders>
              <w:top w:val="single" w:color="000000" w:sz="2" w:space="0"/>
              <w:bottom w:val="single" w:color="000000" w:sz="2" w:space="0"/>
            </w:tcBorders>
            <w:vAlign w:val="top"/>
          </w:tcPr>
          <w:p w14:paraId="27D8BE5A">
            <w:pPr>
              <w:rPr>
                <w:rFonts w:ascii="Arial"/>
                <w:sz w:val="21"/>
              </w:rPr>
            </w:pPr>
          </w:p>
        </w:tc>
        <w:tc>
          <w:tcPr>
            <w:tcW w:w="219" w:type="dxa"/>
            <w:tcBorders>
              <w:top w:val="single" w:color="000000" w:sz="2" w:space="0"/>
              <w:bottom w:val="single" w:color="000000" w:sz="2" w:space="0"/>
            </w:tcBorders>
            <w:vAlign w:val="top"/>
          </w:tcPr>
          <w:p w14:paraId="5CA8DA59">
            <w:pPr>
              <w:rPr>
                <w:rFonts w:ascii="Arial"/>
                <w:sz w:val="21"/>
              </w:rPr>
            </w:pPr>
          </w:p>
        </w:tc>
        <w:tc>
          <w:tcPr>
            <w:tcW w:w="239" w:type="dxa"/>
            <w:tcBorders>
              <w:top w:val="single" w:color="000000" w:sz="2" w:space="0"/>
              <w:bottom w:val="single" w:color="000000" w:sz="2" w:space="0"/>
            </w:tcBorders>
            <w:vAlign w:val="top"/>
          </w:tcPr>
          <w:p w14:paraId="7B435320">
            <w:pPr>
              <w:rPr>
                <w:rFonts w:ascii="Arial"/>
                <w:sz w:val="21"/>
              </w:rPr>
            </w:pPr>
          </w:p>
        </w:tc>
        <w:tc>
          <w:tcPr>
            <w:tcW w:w="224" w:type="dxa"/>
            <w:tcBorders>
              <w:top w:val="single" w:color="000000" w:sz="2" w:space="0"/>
              <w:bottom w:val="single" w:color="000000" w:sz="2" w:space="0"/>
            </w:tcBorders>
            <w:vAlign w:val="top"/>
          </w:tcPr>
          <w:p w14:paraId="628CB05C">
            <w:pPr>
              <w:rPr>
                <w:rFonts w:ascii="Arial"/>
                <w:sz w:val="21"/>
              </w:rPr>
            </w:pPr>
          </w:p>
        </w:tc>
      </w:tr>
      <w:tr w14:paraId="3F16BA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94" w:hRule="atLeast"/>
        </w:trPr>
        <w:tc>
          <w:tcPr>
            <w:tcW w:w="554" w:type="dxa"/>
            <w:tcBorders>
              <w:top w:val="single" w:color="000000" w:sz="2" w:space="0"/>
              <w:bottom w:val="single" w:color="000000" w:sz="2" w:space="0"/>
            </w:tcBorders>
            <w:vAlign w:val="top"/>
          </w:tcPr>
          <w:p w14:paraId="4E0AA26A">
            <w:pPr>
              <w:spacing w:line="246" w:lineRule="auto"/>
              <w:rPr>
                <w:rFonts w:ascii="Arial"/>
                <w:sz w:val="21"/>
              </w:rPr>
            </w:pPr>
          </w:p>
          <w:p w14:paraId="5771E347">
            <w:pPr>
              <w:spacing w:line="247" w:lineRule="auto"/>
              <w:rPr>
                <w:rFonts w:ascii="Arial"/>
                <w:sz w:val="21"/>
              </w:rPr>
            </w:pPr>
          </w:p>
          <w:p w14:paraId="6586CA9D">
            <w:pPr>
              <w:pStyle w:val="6"/>
              <w:spacing w:before="59" w:line="224" w:lineRule="auto"/>
              <w:ind w:left="84" w:right="78"/>
              <w:jc w:val="both"/>
              <w:rPr>
                <w:sz w:val="18"/>
                <w:szCs w:val="18"/>
              </w:rPr>
            </w:pPr>
            <w:r>
              <w:rPr>
                <w:spacing w:val="4"/>
                <w:sz w:val="18"/>
                <w:szCs w:val="18"/>
              </w:rPr>
              <w:t>常见</w:t>
            </w:r>
            <w:r>
              <w:rPr>
                <w:sz w:val="18"/>
                <w:szCs w:val="18"/>
              </w:rPr>
              <w:t xml:space="preserve"> </w:t>
            </w:r>
            <w:r>
              <w:rPr>
                <w:spacing w:val="7"/>
                <w:sz w:val="18"/>
                <w:szCs w:val="18"/>
              </w:rPr>
              <w:t>金属</w:t>
            </w:r>
            <w:r>
              <w:rPr>
                <w:sz w:val="18"/>
                <w:szCs w:val="18"/>
              </w:rPr>
              <w:t xml:space="preserve"> </w:t>
            </w:r>
            <w:r>
              <w:rPr>
                <w:spacing w:val="10"/>
                <w:sz w:val="18"/>
                <w:szCs w:val="18"/>
              </w:rPr>
              <w:t>单质</w:t>
            </w:r>
          </w:p>
        </w:tc>
        <w:tc>
          <w:tcPr>
            <w:tcW w:w="2644" w:type="dxa"/>
            <w:tcBorders>
              <w:top w:val="single" w:color="000000" w:sz="2" w:space="0"/>
              <w:bottom w:val="single" w:color="000000" w:sz="2" w:space="0"/>
            </w:tcBorders>
            <w:vAlign w:val="top"/>
          </w:tcPr>
          <w:p w14:paraId="4748DB43">
            <w:pPr>
              <w:pStyle w:val="6"/>
              <w:spacing w:before="224" w:line="231" w:lineRule="auto"/>
              <w:ind w:left="60" w:right="765"/>
              <w:jc w:val="both"/>
              <w:rPr>
                <w:sz w:val="18"/>
                <w:szCs w:val="18"/>
              </w:rPr>
            </w:pPr>
            <w:r>
              <w:rPr>
                <w:sz w:val="18"/>
                <w:szCs w:val="18"/>
              </w:rPr>
              <w:t>1.金属晶体及金属共性</w:t>
            </w:r>
            <w:r>
              <w:rPr>
                <w:spacing w:val="6"/>
                <w:sz w:val="18"/>
                <w:szCs w:val="18"/>
              </w:rPr>
              <w:t xml:space="preserve"> </w:t>
            </w:r>
            <w:r>
              <w:rPr>
                <w:spacing w:val="-1"/>
                <w:sz w:val="18"/>
                <w:szCs w:val="18"/>
              </w:rPr>
              <w:t>2.钠的物理性质和用途</w:t>
            </w:r>
            <w:r>
              <w:rPr>
                <w:sz w:val="18"/>
                <w:szCs w:val="18"/>
              </w:rPr>
              <w:t xml:space="preserve"> </w:t>
            </w:r>
            <w:r>
              <w:rPr>
                <w:spacing w:val="2"/>
                <w:sz w:val="18"/>
                <w:szCs w:val="18"/>
              </w:rPr>
              <w:t>3.钠的化学性质</w:t>
            </w:r>
          </w:p>
          <w:p w14:paraId="5F6EA502">
            <w:pPr>
              <w:pStyle w:val="6"/>
              <w:spacing w:before="6" w:line="215" w:lineRule="auto"/>
              <w:ind w:left="60" w:right="599"/>
              <w:rPr>
                <w:sz w:val="18"/>
                <w:szCs w:val="18"/>
              </w:rPr>
            </w:pPr>
            <w:r>
              <w:rPr>
                <w:spacing w:val="-1"/>
                <w:sz w:val="18"/>
                <w:szCs w:val="18"/>
              </w:rPr>
              <w:t>4.铝的物理性质及其用途</w:t>
            </w:r>
            <w:r>
              <w:rPr>
                <w:spacing w:val="4"/>
                <w:sz w:val="18"/>
                <w:szCs w:val="18"/>
              </w:rPr>
              <w:t xml:space="preserve"> </w:t>
            </w:r>
            <w:r>
              <w:rPr>
                <w:spacing w:val="2"/>
                <w:sz w:val="18"/>
                <w:szCs w:val="18"/>
              </w:rPr>
              <w:t>5.铝的化学性质</w:t>
            </w:r>
          </w:p>
          <w:p w14:paraId="3BE97D74">
            <w:pPr>
              <w:pStyle w:val="6"/>
              <w:spacing w:line="220" w:lineRule="auto"/>
              <w:ind w:left="60"/>
              <w:rPr>
                <w:sz w:val="18"/>
                <w:szCs w:val="18"/>
              </w:rPr>
            </w:pPr>
            <w:r>
              <w:rPr>
                <w:spacing w:val="3"/>
                <w:sz w:val="18"/>
                <w:szCs w:val="18"/>
              </w:rPr>
              <w:t>6.铁的性质</w:t>
            </w:r>
          </w:p>
        </w:tc>
        <w:tc>
          <w:tcPr>
            <w:tcW w:w="229" w:type="dxa"/>
            <w:tcBorders>
              <w:top w:val="single" w:color="000000" w:sz="2" w:space="0"/>
              <w:bottom w:val="single" w:color="000000" w:sz="2" w:space="0"/>
            </w:tcBorders>
            <w:vAlign w:val="top"/>
          </w:tcPr>
          <w:p w14:paraId="75072DDB">
            <w:pPr>
              <w:rPr>
                <w:rFonts w:ascii="Arial"/>
                <w:sz w:val="21"/>
              </w:rPr>
            </w:pPr>
          </w:p>
        </w:tc>
        <w:tc>
          <w:tcPr>
            <w:tcW w:w="219" w:type="dxa"/>
            <w:tcBorders>
              <w:top w:val="single" w:color="000000" w:sz="2" w:space="0"/>
              <w:bottom w:val="single" w:color="000000" w:sz="2" w:space="0"/>
            </w:tcBorders>
            <w:vAlign w:val="top"/>
          </w:tcPr>
          <w:p w14:paraId="70C24A24">
            <w:pPr>
              <w:rPr>
                <w:rFonts w:ascii="Arial"/>
                <w:sz w:val="21"/>
              </w:rPr>
            </w:pPr>
          </w:p>
        </w:tc>
        <w:tc>
          <w:tcPr>
            <w:tcW w:w="239" w:type="dxa"/>
            <w:tcBorders>
              <w:top w:val="single" w:color="000000" w:sz="2" w:space="0"/>
              <w:bottom w:val="single" w:color="000000" w:sz="2" w:space="0"/>
            </w:tcBorders>
            <w:vAlign w:val="top"/>
          </w:tcPr>
          <w:p w14:paraId="3F8E94A7">
            <w:pPr>
              <w:rPr>
                <w:rFonts w:ascii="Arial"/>
                <w:sz w:val="21"/>
              </w:rPr>
            </w:pPr>
          </w:p>
        </w:tc>
        <w:tc>
          <w:tcPr>
            <w:tcW w:w="224" w:type="dxa"/>
            <w:tcBorders>
              <w:top w:val="single" w:color="000000" w:sz="2" w:space="0"/>
              <w:bottom w:val="single" w:color="000000" w:sz="2" w:space="0"/>
            </w:tcBorders>
            <w:vAlign w:val="top"/>
          </w:tcPr>
          <w:p w14:paraId="797F2192">
            <w:pPr>
              <w:rPr>
                <w:rFonts w:ascii="Arial"/>
                <w:sz w:val="21"/>
              </w:rPr>
            </w:pPr>
          </w:p>
        </w:tc>
      </w:tr>
      <w:tr w14:paraId="408D83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0" w:hRule="atLeast"/>
        </w:trPr>
        <w:tc>
          <w:tcPr>
            <w:tcW w:w="554" w:type="dxa"/>
            <w:vMerge w:val="restart"/>
            <w:tcBorders>
              <w:top w:val="single" w:color="000000" w:sz="2" w:space="0"/>
              <w:bottom w:val="nil"/>
            </w:tcBorders>
            <w:vAlign w:val="top"/>
          </w:tcPr>
          <w:p w14:paraId="127A8D20">
            <w:pPr>
              <w:pStyle w:val="6"/>
              <w:spacing w:before="266" w:line="219" w:lineRule="auto"/>
              <w:ind w:left="84"/>
              <w:rPr>
                <w:sz w:val="18"/>
                <w:szCs w:val="18"/>
              </w:rPr>
            </w:pPr>
            <w:r>
              <w:rPr>
                <w:spacing w:val="4"/>
                <w:sz w:val="18"/>
                <w:szCs w:val="18"/>
              </w:rPr>
              <w:t>常见</w:t>
            </w:r>
          </w:p>
          <w:p w14:paraId="0353F2CC">
            <w:pPr>
              <w:pStyle w:val="6"/>
              <w:spacing w:before="7" w:line="221" w:lineRule="auto"/>
              <w:ind w:left="84"/>
              <w:rPr>
                <w:sz w:val="18"/>
                <w:szCs w:val="18"/>
              </w:rPr>
            </w:pPr>
            <w:r>
              <w:rPr>
                <w:spacing w:val="7"/>
                <w:sz w:val="18"/>
                <w:szCs w:val="18"/>
              </w:rPr>
              <w:t>金属</w:t>
            </w:r>
          </w:p>
          <w:p w14:paraId="310BDF13">
            <w:pPr>
              <w:pStyle w:val="6"/>
              <w:spacing w:before="4" w:line="221" w:lineRule="auto"/>
              <w:ind w:left="84"/>
              <w:rPr>
                <w:sz w:val="18"/>
                <w:szCs w:val="18"/>
              </w:rPr>
            </w:pPr>
            <w:r>
              <w:rPr>
                <w:spacing w:val="-2"/>
                <w:sz w:val="18"/>
                <w:szCs w:val="18"/>
              </w:rPr>
              <w:t>化合</w:t>
            </w:r>
          </w:p>
          <w:p w14:paraId="387BE425">
            <w:pPr>
              <w:pStyle w:val="6"/>
              <w:spacing w:before="4" w:line="221" w:lineRule="auto"/>
              <w:ind w:left="175"/>
              <w:rPr>
                <w:sz w:val="18"/>
                <w:szCs w:val="18"/>
              </w:rPr>
            </w:pPr>
            <w:r>
              <w:rPr>
                <w:sz w:val="18"/>
                <w:szCs w:val="18"/>
              </w:rPr>
              <w:t>物</w:t>
            </w:r>
          </w:p>
        </w:tc>
        <w:tc>
          <w:tcPr>
            <w:tcW w:w="2644" w:type="dxa"/>
            <w:tcBorders>
              <w:top w:val="single" w:color="000000" w:sz="2" w:space="0"/>
              <w:bottom w:val="nil"/>
            </w:tcBorders>
            <w:vAlign w:val="top"/>
          </w:tcPr>
          <w:p w14:paraId="5F6CC075">
            <w:pPr>
              <w:pStyle w:val="6"/>
              <w:spacing w:before="276" w:line="188" w:lineRule="auto"/>
              <w:ind w:left="60"/>
              <w:rPr>
                <w:sz w:val="18"/>
                <w:szCs w:val="18"/>
              </w:rPr>
            </w:pPr>
            <w:r>
              <w:rPr>
                <w:sz w:val="18"/>
                <w:szCs w:val="18"/>
              </w:rPr>
              <w:t>1.碳酸钠和碳酸氢钠</w:t>
            </w:r>
          </w:p>
        </w:tc>
        <w:tc>
          <w:tcPr>
            <w:tcW w:w="229" w:type="dxa"/>
            <w:tcBorders>
              <w:top w:val="single" w:color="000000" w:sz="2" w:space="0"/>
              <w:bottom w:val="nil"/>
            </w:tcBorders>
            <w:vAlign w:val="top"/>
          </w:tcPr>
          <w:p w14:paraId="157CE111">
            <w:pPr>
              <w:rPr>
                <w:rFonts w:ascii="Arial"/>
                <w:sz w:val="21"/>
              </w:rPr>
            </w:pPr>
          </w:p>
        </w:tc>
        <w:tc>
          <w:tcPr>
            <w:tcW w:w="219" w:type="dxa"/>
            <w:tcBorders>
              <w:top w:val="single" w:color="000000" w:sz="2" w:space="0"/>
              <w:bottom w:val="nil"/>
            </w:tcBorders>
            <w:vAlign w:val="top"/>
          </w:tcPr>
          <w:p w14:paraId="05434B15">
            <w:pPr>
              <w:rPr>
                <w:rFonts w:ascii="Arial"/>
                <w:sz w:val="21"/>
              </w:rPr>
            </w:pPr>
          </w:p>
        </w:tc>
        <w:tc>
          <w:tcPr>
            <w:tcW w:w="239" w:type="dxa"/>
            <w:vMerge w:val="restart"/>
            <w:tcBorders>
              <w:top w:val="single" w:color="000000" w:sz="2" w:space="0"/>
              <w:bottom w:val="nil"/>
            </w:tcBorders>
            <w:vAlign w:val="top"/>
          </w:tcPr>
          <w:p w14:paraId="6758E914">
            <w:pPr>
              <w:spacing w:before="159" w:line="969" w:lineRule="exact"/>
              <w:ind w:firstLine="29"/>
            </w:pPr>
            <w:r>
              <w:rPr>
                <w:position w:val="-19"/>
              </w:rPr>
              <w:drawing>
                <wp:inline distT="0" distB="0" distL="0" distR="0">
                  <wp:extent cx="113665" cy="615315"/>
                  <wp:effectExtent l="0" t="0" r="0" b="0"/>
                  <wp:docPr id="8" name="IM 8"/>
                  <wp:cNvGraphicFramePr/>
                  <a:graphic xmlns:a="http://schemas.openxmlformats.org/drawingml/2006/main">
                    <a:graphicData uri="http://schemas.openxmlformats.org/drawingml/2006/picture">
                      <pic:pic xmlns:pic="http://schemas.openxmlformats.org/drawingml/2006/picture">
                        <pic:nvPicPr>
                          <pic:cNvPr id="8" name="IM 8"/>
                          <pic:cNvPicPr/>
                        </pic:nvPicPr>
                        <pic:blipFill>
                          <a:blip r:embed="rId169"/>
                          <a:stretch>
                            <a:fillRect/>
                          </a:stretch>
                        </pic:blipFill>
                        <pic:spPr>
                          <a:xfrm>
                            <a:off x="0" y="0"/>
                            <a:ext cx="114262" cy="615823"/>
                          </a:xfrm>
                          <a:prstGeom prst="rect">
                            <a:avLst/>
                          </a:prstGeom>
                        </pic:spPr>
                      </pic:pic>
                    </a:graphicData>
                  </a:graphic>
                </wp:inline>
              </w:drawing>
            </w:r>
          </w:p>
        </w:tc>
        <w:tc>
          <w:tcPr>
            <w:tcW w:w="224" w:type="dxa"/>
            <w:vMerge w:val="restart"/>
            <w:tcBorders>
              <w:top w:val="single" w:color="000000" w:sz="2" w:space="0"/>
              <w:bottom w:val="nil"/>
            </w:tcBorders>
            <w:vAlign w:val="top"/>
          </w:tcPr>
          <w:p w14:paraId="5985ED9D">
            <w:pPr>
              <w:rPr>
                <w:rFonts w:ascii="Arial"/>
                <w:sz w:val="21"/>
              </w:rPr>
            </w:pPr>
          </w:p>
        </w:tc>
      </w:tr>
      <w:tr w14:paraId="25931A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5" w:hRule="atLeast"/>
        </w:trPr>
        <w:tc>
          <w:tcPr>
            <w:tcW w:w="554" w:type="dxa"/>
            <w:vMerge w:val="continue"/>
            <w:tcBorders>
              <w:top w:val="nil"/>
              <w:bottom w:val="nil"/>
            </w:tcBorders>
            <w:vAlign w:val="top"/>
          </w:tcPr>
          <w:p w14:paraId="41F88199">
            <w:pPr>
              <w:rPr>
                <w:rFonts w:ascii="Arial"/>
                <w:sz w:val="21"/>
              </w:rPr>
            </w:pPr>
          </w:p>
        </w:tc>
        <w:tc>
          <w:tcPr>
            <w:tcW w:w="2644" w:type="dxa"/>
            <w:tcBorders>
              <w:top w:val="nil"/>
              <w:bottom w:val="nil"/>
            </w:tcBorders>
            <w:vAlign w:val="top"/>
          </w:tcPr>
          <w:p w14:paraId="3BBD4012">
            <w:pPr>
              <w:pStyle w:val="6"/>
              <w:spacing w:before="25" w:line="194" w:lineRule="auto"/>
              <w:ind w:left="60"/>
              <w:rPr>
                <w:sz w:val="18"/>
                <w:szCs w:val="18"/>
              </w:rPr>
            </w:pPr>
            <w:r>
              <w:rPr>
                <w:spacing w:val="1"/>
                <w:sz w:val="18"/>
                <w:szCs w:val="18"/>
              </w:rPr>
              <w:t>2.氧化铝和氢氧化铝</w:t>
            </w:r>
          </w:p>
        </w:tc>
        <w:tc>
          <w:tcPr>
            <w:tcW w:w="229" w:type="dxa"/>
            <w:tcBorders>
              <w:top w:val="nil"/>
              <w:bottom w:val="nil"/>
            </w:tcBorders>
            <w:vAlign w:val="top"/>
          </w:tcPr>
          <w:p w14:paraId="5CDAF5C4">
            <w:pPr>
              <w:spacing w:line="215" w:lineRule="exact"/>
              <w:rPr>
                <w:rFonts w:ascii="Arial"/>
                <w:sz w:val="18"/>
              </w:rPr>
            </w:pPr>
          </w:p>
        </w:tc>
        <w:tc>
          <w:tcPr>
            <w:tcW w:w="219" w:type="dxa"/>
            <w:tcBorders>
              <w:top w:val="nil"/>
              <w:bottom w:val="nil"/>
            </w:tcBorders>
            <w:vAlign w:val="top"/>
          </w:tcPr>
          <w:p w14:paraId="720132B7">
            <w:pPr>
              <w:spacing w:line="215" w:lineRule="exact"/>
              <w:rPr>
                <w:rFonts w:ascii="Arial"/>
                <w:sz w:val="18"/>
              </w:rPr>
            </w:pPr>
          </w:p>
        </w:tc>
        <w:tc>
          <w:tcPr>
            <w:tcW w:w="239" w:type="dxa"/>
            <w:vMerge w:val="continue"/>
            <w:tcBorders>
              <w:top w:val="nil"/>
              <w:bottom w:val="nil"/>
            </w:tcBorders>
            <w:vAlign w:val="top"/>
          </w:tcPr>
          <w:p w14:paraId="23285883">
            <w:pPr>
              <w:rPr>
                <w:rFonts w:ascii="Arial"/>
                <w:sz w:val="21"/>
              </w:rPr>
            </w:pPr>
          </w:p>
        </w:tc>
        <w:tc>
          <w:tcPr>
            <w:tcW w:w="224" w:type="dxa"/>
            <w:vMerge w:val="continue"/>
            <w:tcBorders>
              <w:top w:val="nil"/>
              <w:bottom w:val="nil"/>
            </w:tcBorders>
            <w:vAlign w:val="top"/>
          </w:tcPr>
          <w:p w14:paraId="64B86396">
            <w:pPr>
              <w:rPr>
                <w:rFonts w:ascii="Arial"/>
                <w:sz w:val="21"/>
              </w:rPr>
            </w:pPr>
          </w:p>
        </w:tc>
      </w:tr>
      <w:tr w14:paraId="174D03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6" w:hRule="atLeast"/>
        </w:trPr>
        <w:tc>
          <w:tcPr>
            <w:tcW w:w="554" w:type="dxa"/>
            <w:vMerge w:val="continue"/>
            <w:tcBorders>
              <w:top w:val="nil"/>
              <w:bottom w:val="nil"/>
            </w:tcBorders>
            <w:vAlign w:val="top"/>
          </w:tcPr>
          <w:p w14:paraId="4054340B">
            <w:pPr>
              <w:rPr>
                <w:rFonts w:ascii="Arial"/>
                <w:sz w:val="21"/>
              </w:rPr>
            </w:pPr>
          </w:p>
        </w:tc>
        <w:tc>
          <w:tcPr>
            <w:tcW w:w="2644" w:type="dxa"/>
            <w:tcBorders>
              <w:top w:val="nil"/>
              <w:bottom w:val="nil"/>
            </w:tcBorders>
            <w:vAlign w:val="top"/>
          </w:tcPr>
          <w:p w14:paraId="38D827A7">
            <w:pPr>
              <w:pStyle w:val="6"/>
              <w:spacing w:before="30" w:line="190" w:lineRule="auto"/>
              <w:ind w:left="60"/>
              <w:rPr>
                <w:sz w:val="18"/>
                <w:szCs w:val="18"/>
              </w:rPr>
            </w:pPr>
            <w:r>
              <w:rPr>
                <w:spacing w:val="-1"/>
                <w:sz w:val="18"/>
                <w:szCs w:val="18"/>
              </w:rPr>
              <w:t>3.铁的氧化物和氢氧化物</w:t>
            </w:r>
          </w:p>
        </w:tc>
        <w:tc>
          <w:tcPr>
            <w:tcW w:w="229" w:type="dxa"/>
            <w:tcBorders>
              <w:top w:val="nil"/>
              <w:bottom w:val="nil"/>
            </w:tcBorders>
            <w:vAlign w:val="top"/>
          </w:tcPr>
          <w:p w14:paraId="4A352990">
            <w:pPr>
              <w:spacing w:line="216" w:lineRule="exact"/>
              <w:rPr>
                <w:rFonts w:ascii="Arial"/>
                <w:sz w:val="18"/>
              </w:rPr>
            </w:pPr>
          </w:p>
        </w:tc>
        <w:tc>
          <w:tcPr>
            <w:tcW w:w="219" w:type="dxa"/>
            <w:tcBorders>
              <w:top w:val="nil"/>
              <w:bottom w:val="nil"/>
            </w:tcBorders>
            <w:vAlign w:val="top"/>
          </w:tcPr>
          <w:p w14:paraId="481B1486">
            <w:pPr>
              <w:spacing w:line="216" w:lineRule="exact"/>
              <w:rPr>
                <w:rFonts w:ascii="Arial"/>
                <w:sz w:val="18"/>
              </w:rPr>
            </w:pPr>
          </w:p>
        </w:tc>
        <w:tc>
          <w:tcPr>
            <w:tcW w:w="239" w:type="dxa"/>
            <w:vMerge w:val="continue"/>
            <w:tcBorders>
              <w:top w:val="nil"/>
              <w:bottom w:val="nil"/>
            </w:tcBorders>
            <w:vAlign w:val="top"/>
          </w:tcPr>
          <w:p w14:paraId="4315B877">
            <w:pPr>
              <w:rPr>
                <w:rFonts w:ascii="Arial"/>
                <w:sz w:val="21"/>
              </w:rPr>
            </w:pPr>
          </w:p>
        </w:tc>
        <w:tc>
          <w:tcPr>
            <w:tcW w:w="224" w:type="dxa"/>
            <w:vMerge w:val="continue"/>
            <w:tcBorders>
              <w:top w:val="nil"/>
              <w:bottom w:val="nil"/>
            </w:tcBorders>
            <w:vAlign w:val="top"/>
          </w:tcPr>
          <w:p w14:paraId="0558FB6D">
            <w:pPr>
              <w:rPr>
                <w:rFonts w:ascii="Arial"/>
                <w:sz w:val="21"/>
              </w:rPr>
            </w:pPr>
          </w:p>
        </w:tc>
      </w:tr>
      <w:tr w14:paraId="551352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3" w:hRule="atLeast"/>
        </w:trPr>
        <w:tc>
          <w:tcPr>
            <w:tcW w:w="554" w:type="dxa"/>
            <w:vMerge w:val="continue"/>
            <w:tcBorders>
              <w:top w:val="nil"/>
              <w:bottom w:val="single" w:color="000000" w:sz="2" w:space="0"/>
            </w:tcBorders>
            <w:vAlign w:val="top"/>
          </w:tcPr>
          <w:p w14:paraId="542191C3">
            <w:pPr>
              <w:rPr>
                <w:rFonts w:ascii="Arial"/>
                <w:sz w:val="21"/>
              </w:rPr>
            </w:pPr>
          </w:p>
        </w:tc>
        <w:tc>
          <w:tcPr>
            <w:tcW w:w="2644" w:type="dxa"/>
            <w:tcBorders>
              <w:top w:val="nil"/>
              <w:bottom w:val="single" w:color="000000" w:sz="2" w:space="0"/>
            </w:tcBorders>
            <w:vAlign w:val="top"/>
          </w:tcPr>
          <w:p w14:paraId="1BF6B663">
            <w:pPr>
              <w:pStyle w:val="6"/>
              <w:spacing w:before="26" w:line="221" w:lineRule="auto"/>
              <w:ind w:left="60"/>
              <w:rPr>
                <w:sz w:val="18"/>
                <w:szCs w:val="18"/>
              </w:rPr>
            </w:pPr>
            <w:r>
              <w:rPr>
                <w:spacing w:val="-1"/>
                <w:sz w:val="18"/>
                <w:szCs w:val="18"/>
              </w:rPr>
              <w:t>4.铁盐和亚铁盐</w:t>
            </w:r>
          </w:p>
        </w:tc>
        <w:tc>
          <w:tcPr>
            <w:tcW w:w="229" w:type="dxa"/>
            <w:tcBorders>
              <w:top w:val="nil"/>
              <w:bottom w:val="single" w:color="000000" w:sz="2" w:space="0"/>
            </w:tcBorders>
            <w:vAlign w:val="top"/>
          </w:tcPr>
          <w:p w14:paraId="417833AB">
            <w:pPr>
              <w:rPr>
                <w:rFonts w:ascii="Arial"/>
                <w:sz w:val="21"/>
              </w:rPr>
            </w:pPr>
          </w:p>
        </w:tc>
        <w:tc>
          <w:tcPr>
            <w:tcW w:w="219" w:type="dxa"/>
            <w:tcBorders>
              <w:top w:val="nil"/>
              <w:bottom w:val="single" w:color="000000" w:sz="2" w:space="0"/>
            </w:tcBorders>
            <w:vAlign w:val="top"/>
          </w:tcPr>
          <w:p w14:paraId="3DCB01B5">
            <w:pPr>
              <w:rPr>
                <w:rFonts w:ascii="Arial"/>
                <w:sz w:val="21"/>
              </w:rPr>
            </w:pPr>
          </w:p>
        </w:tc>
        <w:tc>
          <w:tcPr>
            <w:tcW w:w="239" w:type="dxa"/>
            <w:vMerge w:val="continue"/>
            <w:tcBorders>
              <w:top w:val="nil"/>
              <w:bottom w:val="single" w:color="000000" w:sz="2" w:space="0"/>
            </w:tcBorders>
            <w:vAlign w:val="top"/>
          </w:tcPr>
          <w:p w14:paraId="4F7D0C69">
            <w:pPr>
              <w:rPr>
                <w:rFonts w:ascii="Arial"/>
                <w:sz w:val="21"/>
              </w:rPr>
            </w:pPr>
          </w:p>
        </w:tc>
        <w:tc>
          <w:tcPr>
            <w:tcW w:w="224" w:type="dxa"/>
            <w:vMerge w:val="continue"/>
            <w:tcBorders>
              <w:top w:val="nil"/>
              <w:bottom w:val="single" w:color="000000" w:sz="2" w:space="0"/>
            </w:tcBorders>
            <w:vAlign w:val="top"/>
          </w:tcPr>
          <w:p w14:paraId="089E645C">
            <w:pPr>
              <w:rPr>
                <w:rFonts w:ascii="Arial"/>
                <w:sz w:val="21"/>
              </w:rPr>
            </w:pPr>
          </w:p>
        </w:tc>
      </w:tr>
      <w:tr w14:paraId="4F0A85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19" w:hRule="atLeast"/>
        </w:trPr>
        <w:tc>
          <w:tcPr>
            <w:tcW w:w="554" w:type="dxa"/>
            <w:tcBorders>
              <w:top w:val="single" w:color="000000" w:sz="2" w:space="0"/>
              <w:bottom w:val="single" w:color="000000" w:sz="2" w:space="0"/>
            </w:tcBorders>
            <w:vAlign w:val="top"/>
          </w:tcPr>
          <w:p w14:paraId="020A38A0">
            <w:pPr>
              <w:pStyle w:val="6"/>
              <w:spacing w:before="258" w:line="224" w:lineRule="auto"/>
              <w:ind w:left="84" w:right="9"/>
              <w:jc w:val="both"/>
              <w:rPr>
                <w:sz w:val="18"/>
                <w:szCs w:val="18"/>
              </w:rPr>
            </w:pPr>
            <w:r>
              <w:rPr>
                <w:spacing w:val="4"/>
                <w:sz w:val="18"/>
                <w:szCs w:val="18"/>
              </w:rPr>
              <w:t>常见</w:t>
            </w:r>
            <w:r>
              <w:rPr>
                <w:sz w:val="18"/>
                <w:szCs w:val="18"/>
              </w:rPr>
              <w:t xml:space="preserve">  </w:t>
            </w:r>
            <w:r>
              <w:rPr>
                <w:spacing w:val="-24"/>
                <w:sz w:val="18"/>
                <w:szCs w:val="18"/>
              </w:rPr>
              <w:t>阴</w:t>
            </w:r>
            <w:r>
              <w:rPr>
                <w:spacing w:val="47"/>
                <w:sz w:val="18"/>
                <w:szCs w:val="18"/>
              </w:rPr>
              <w:t xml:space="preserve"> </w:t>
            </w:r>
            <w:r>
              <w:rPr>
                <w:spacing w:val="-24"/>
                <w:sz w:val="18"/>
                <w:szCs w:val="18"/>
              </w:rPr>
              <w:t>、</w:t>
            </w:r>
            <w:r>
              <w:rPr>
                <w:sz w:val="18"/>
                <w:szCs w:val="18"/>
              </w:rPr>
              <w:t xml:space="preserve"> </w:t>
            </w:r>
            <w:r>
              <w:rPr>
                <w:spacing w:val="5"/>
                <w:sz w:val="18"/>
                <w:szCs w:val="18"/>
              </w:rPr>
              <w:t>阳离</w:t>
            </w:r>
            <w:r>
              <w:rPr>
                <w:sz w:val="18"/>
                <w:szCs w:val="18"/>
              </w:rPr>
              <w:t xml:space="preserve">  </w:t>
            </w:r>
            <w:r>
              <w:rPr>
                <w:spacing w:val="7"/>
                <w:sz w:val="18"/>
                <w:szCs w:val="18"/>
              </w:rPr>
              <w:t>子的</w:t>
            </w:r>
            <w:r>
              <w:rPr>
                <w:sz w:val="18"/>
                <w:szCs w:val="18"/>
              </w:rPr>
              <w:t xml:space="preserve">  </w:t>
            </w:r>
            <w:r>
              <w:rPr>
                <w:spacing w:val="-2"/>
                <w:sz w:val="18"/>
                <w:szCs w:val="18"/>
              </w:rPr>
              <w:t>检验</w:t>
            </w:r>
          </w:p>
        </w:tc>
        <w:tc>
          <w:tcPr>
            <w:tcW w:w="2644" w:type="dxa"/>
            <w:tcBorders>
              <w:top w:val="single" w:color="000000" w:sz="2" w:space="0"/>
              <w:bottom w:val="single" w:color="000000" w:sz="2" w:space="0"/>
            </w:tcBorders>
            <w:vAlign w:val="top"/>
          </w:tcPr>
          <w:p w14:paraId="1891AC1B">
            <w:pPr>
              <w:pStyle w:val="6"/>
              <w:spacing w:before="257" w:line="219" w:lineRule="auto"/>
              <w:ind w:left="60"/>
              <w:rPr>
                <w:sz w:val="18"/>
                <w:szCs w:val="18"/>
              </w:rPr>
            </w:pPr>
            <w:r>
              <w:rPr>
                <w:sz w:val="18"/>
                <w:szCs w:val="18"/>
              </w:rPr>
              <w:t>1.氯、溴、碘离子的检验</w:t>
            </w:r>
          </w:p>
          <w:p w14:paraId="138D5FB1">
            <w:pPr>
              <w:pStyle w:val="6"/>
              <w:spacing w:before="16" w:line="215" w:lineRule="auto"/>
              <w:ind w:left="60" w:right="962"/>
              <w:rPr>
                <w:sz w:val="18"/>
                <w:szCs w:val="18"/>
              </w:rPr>
            </w:pPr>
            <w:r>
              <w:rPr>
                <w:spacing w:val="-1"/>
                <w:sz w:val="18"/>
                <w:szCs w:val="18"/>
              </w:rPr>
              <w:t>2.硫酸根离子的检验</w:t>
            </w:r>
            <w:r>
              <w:rPr>
                <w:sz w:val="18"/>
                <w:szCs w:val="18"/>
              </w:rPr>
              <w:t xml:space="preserve"> </w:t>
            </w:r>
            <w:r>
              <w:rPr>
                <w:spacing w:val="-2"/>
                <w:sz w:val="18"/>
                <w:szCs w:val="18"/>
              </w:rPr>
              <w:t>3.铵根离子的检验</w:t>
            </w:r>
          </w:p>
          <w:p w14:paraId="60DD9371">
            <w:pPr>
              <w:pStyle w:val="6"/>
              <w:spacing w:line="219" w:lineRule="auto"/>
              <w:ind w:left="60"/>
              <w:rPr>
                <w:sz w:val="18"/>
                <w:szCs w:val="18"/>
              </w:rPr>
            </w:pPr>
            <w:r>
              <w:rPr>
                <w:spacing w:val="-1"/>
                <w:sz w:val="18"/>
                <w:szCs w:val="18"/>
              </w:rPr>
              <w:t>4.金属的焰色反应</w:t>
            </w:r>
          </w:p>
          <w:p w14:paraId="13B7DEC8">
            <w:pPr>
              <w:pStyle w:val="6"/>
              <w:spacing w:before="16" w:line="219" w:lineRule="auto"/>
              <w:ind w:left="60"/>
              <w:rPr>
                <w:sz w:val="18"/>
                <w:szCs w:val="18"/>
              </w:rPr>
            </w:pPr>
            <w:r>
              <w:rPr>
                <w:spacing w:val="-1"/>
                <w:sz w:val="18"/>
                <w:szCs w:val="18"/>
              </w:rPr>
              <w:t>5.Fe2+、Fe3+的检验</w:t>
            </w:r>
          </w:p>
        </w:tc>
        <w:tc>
          <w:tcPr>
            <w:tcW w:w="229" w:type="dxa"/>
            <w:tcBorders>
              <w:top w:val="single" w:color="000000" w:sz="2" w:space="0"/>
              <w:bottom w:val="single" w:color="000000" w:sz="2" w:space="0"/>
            </w:tcBorders>
            <w:vAlign w:val="top"/>
          </w:tcPr>
          <w:p w14:paraId="3D8C123E">
            <w:pPr>
              <w:rPr>
                <w:rFonts w:ascii="Arial"/>
                <w:sz w:val="21"/>
              </w:rPr>
            </w:pPr>
          </w:p>
        </w:tc>
        <w:tc>
          <w:tcPr>
            <w:tcW w:w="219" w:type="dxa"/>
            <w:tcBorders>
              <w:top w:val="single" w:color="000000" w:sz="2" w:space="0"/>
              <w:bottom w:val="single" w:color="000000" w:sz="2" w:space="0"/>
            </w:tcBorders>
            <w:vAlign w:val="top"/>
          </w:tcPr>
          <w:p w14:paraId="52F58ABF">
            <w:pPr>
              <w:rPr>
                <w:rFonts w:ascii="Arial"/>
                <w:sz w:val="21"/>
              </w:rPr>
            </w:pPr>
          </w:p>
        </w:tc>
        <w:tc>
          <w:tcPr>
            <w:tcW w:w="239" w:type="dxa"/>
            <w:tcBorders>
              <w:top w:val="single" w:color="000000" w:sz="2" w:space="0"/>
              <w:bottom w:val="single" w:color="000000" w:sz="2" w:space="0"/>
            </w:tcBorders>
            <w:vAlign w:val="top"/>
          </w:tcPr>
          <w:p w14:paraId="49D91C2A">
            <w:pPr>
              <w:rPr>
                <w:rFonts w:ascii="Arial"/>
                <w:sz w:val="21"/>
              </w:rPr>
            </w:pPr>
          </w:p>
        </w:tc>
        <w:tc>
          <w:tcPr>
            <w:tcW w:w="224" w:type="dxa"/>
            <w:tcBorders>
              <w:top w:val="single" w:color="000000" w:sz="2" w:space="0"/>
              <w:bottom w:val="single" w:color="000000" w:sz="2" w:space="0"/>
            </w:tcBorders>
            <w:vAlign w:val="top"/>
          </w:tcPr>
          <w:p w14:paraId="47B40284">
            <w:pPr>
              <w:rPr>
                <w:rFonts w:ascii="Arial"/>
                <w:sz w:val="21"/>
              </w:rPr>
            </w:pPr>
          </w:p>
        </w:tc>
      </w:tr>
    </w:tbl>
    <w:p w14:paraId="2C2C1FCC">
      <w:pPr>
        <w:pStyle w:val="2"/>
        <w:spacing w:line="14" w:lineRule="auto"/>
        <w:rPr>
          <w:sz w:val="2"/>
        </w:rPr>
      </w:pPr>
    </w:p>
    <w:p w14:paraId="407D8615">
      <w:pPr>
        <w:pStyle w:val="2"/>
        <w:spacing w:line="14" w:lineRule="auto"/>
        <w:rPr>
          <w:sz w:val="2"/>
        </w:rPr>
      </w:pPr>
      <w:r>
        <w:rPr>
          <w:sz w:val="2"/>
          <w:szCs w:val="2"/>
        </w:rPr>
        <w:br w:type="column"/>
      </w:r>
    </w:p>
    <w:p w14:paraId="2D4E42F0">
      <w:pPr>
        <w:spacing w:before="40" w:line="223" w:lineRule="auto"/>
        <w:ind w:left="1177"/>
        <w:rPr>
          <w:rFonts w:ascii="黑体" w:hAnsi="黑体" w:eastAsia="黑体" w:cs="黑体"/>
          <w:sz w:val="20"/>
          <w:szCs w:val="20"/>
        </w:rPr>
      </w:pPr>
      <w:r>
        <w:rPr>
          <w:rFonts w:ascii="黑体" w:hAnsi="黑体" w:eastAsia="黑体" w:cs="黑体"/>
          <w:b/>
          <w:bCs/>
          <w:spacing w:val="-7"/>
          <w:sz w:val="20"/>
          <w:szCs w:val="20"/>
        </w:rPr>
        <w:t>五、烃和烃的衍生物</w:t>
      </w:r>
    </w:p>
    <w:p w14:paraId="272FA6A2">
      <w:pPr>
        <w:spacing w:line="147" w:lineRule="exact"/>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64"/>
        <w:gridCol w:w="2624"/>
        <w:gridCol w:w="229"/>
        <w:gridCol w:w="229"/>
        <w:gridCol w:w="239"/>
        <w:gridCol w:w="234"/>
      </w:tblGrid>
      <w:tr w14:paraId="58D6BF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4" w:hRule="atLeast"/>
        </w:trPr>
        <w:tc>
          <w:tcPr>
            <w:tcW w:w="564" w:type="dxa"/>
            <w:vMerge w:val="restart"/>
            <w:tcBorders>
              <w:bottom w:val="nil"/>
            </w:tcBorders>
            <w:vAlign w:val="top"/>
          </w:tcPr>
          <w:p w14:paraId="6AF18C5D">
            <w:pPr>
              <w:pStyle w:val="6"/>
              <w:spacing w:before="92" w:line="226" w:lineRule="auto"/>
              <w:ind w:left="17" w:right="36" w:firstLine="90"/>
              <w:jc w:val="right"/>
            </w:pPr>
            <w:r>
              <w:rPr>
                <w:b/>
                <w:bCs/>
                <w:spacing w:val="-7"/>
              </w:rPr>
              <w:t>知识</w:t>
            </w:r>
            <w:r>
              <w:t xml:space="preserve">  </w:t>
            </w:r>
            <w:r>
              <w:rPr>
                <w:b/>
                <w:bCs/>
                <w:spacing w:val="-6"/>
              </w:rPr>
              <w:t>与技能</w:t>
            </w:r>
            <w:r>
              <w:rPr>
                <w:spacing w:val="1"/>
              </w:rPr>
              <w:t xml:space="preserve"> </w:t>
            </w:r>
            <w:r>
              <w:rPr>
                <w:b/>
                <w:bCs/>
                <w:spacing w:val="-4"/>
              </w:rPr>
              <w:t>要点</w:t>
            </w:r>
          </w:p>
        </w:tc>
        <w:tc>
          <w:tcPr>
            <w:tcW w:w="2624" w:type="dxa"/>
            <w:vMerge w:val="restart"/>
            <w:tcBorders>
              <w:bottom w:val="nil"/>
            </w:tcBorders>
            <w:vAlign w:val="top"/>
          </w:tcPr>
          <w:p w14:paraId="0D43923D">
            <w:pPr>
              <w:spacing w:line="252" w:lineRule="auto"/>
              <w:rPr>
                <w:rFonts w:ascii="Arial"/>
                <w:sz w:val="21"/>
              </w:rPr>
            </w:pPr>
          </w:p>
          <w:p w14:paraId="5EAF86A3">
            <w:pPr>
              <w:pStyle w:val="6"/>
              <w:spacing w:before="56" w:line="219" w:lineRule="auto"/>
              <w:ind w:left="993"/>
            </w:pPr>
            <w:r>
              <w:rPr>
                <w:b/>
                <w:bCs/>
                <w:spacing w:val="5"/>
              </w:rPr>
              <w:t>考试条目</w:t>
            </w:r>
          </w:p>
        </w:tc>
        <w:tc>
          <w:tcPr>
            <w:tcW w:w="931" w:type="dxa"/>
            <w:gridSpan w:val="4"/>
            <w:vAlign w:val="top"/>
          </w:tcPr>
          <w:p w14:paraId="2B876832">
            <w:pPr>
              <w:pStyle w:val="6"/>
              <w:spacing w:before="109" w:line="219" w:lineRule="auto"/>
              <w:ind w:left="139"/>
            </w:pPr>
            <w:r>
              <w:rPr>
                <w:b/>
                <w:bCs/>
                <w:spacing w:val="-4"/>
              </w:rPr>
              <w:t>考试水平</w:t>
            </w:r>
          </w:p>
        </w:tc>
      </w:tr>
      <w:tr w14:paraId="514B59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9" w:hRule="atLeast"/>
        </w:trPr>
        <w:tc>
          <w:tcPr>
            <w:tcW w:w="564" w:type="dxa"/>
            <w:vMerge w:val="continue"/>
            <w:tcBorders>
              <w:top w:val="nil"/>
            </w:tcBorders>
            <w:vAlign w:val="top"/>
          </w:tcPr>
          <w:p w14:paraId="5F27CA11">
            <w:pPr>
              <w:rPr>
                <w:rFonts w:ascii="Arial"/>
                <w:sz w:val="21"/>
              </w:rPr>
            </w:pPr>
          </w:p>
        </w:tc>
        <w:tc>
          <w:tcPr>
            <w:tcW w:w="2624" w:type="dxa"/>
            <w:vMerge w:val="continue"/>
            <w:tcBorders>
              <w:top w:val="nil"/>
            </w:tcBorders>
            <w:vAlign w:val="top"/>
          </w:tcPr>
          <w:p w14:paraId="7AAC9E43">
            <w:pPr>
              <w:rPr>
                <w:rFonts w:ascii="Arial"/>
                <w:sz w:val="21"/>
              </w:rPr>
            </w:pPr>
          </w:p>
        </w:tc>
        <w:tc>
          <w:tcPr>
            <w:tcW w:w="229" w:type="dxa"/>
            <w:vAlign w:val="top"/>
          </w:tcPr>
          <w:p w14:paraId="0425483A">
            <w:pPr>
              <w:pStyle w:val="6"/>
              <w:spacing w:before="150" w:line="184" w:lineRule="auto"/>
              <w:ind w:left="36"/>
            </w:pPr>
            <w:r>
              <w:t>A</w:t>
            </w:r>
          </w:p>
        </w:tc>
        <w:tc>
          <w:tcPr>
            <w:tcW w:w="229" w:type="dxa"/>
            <w:vAlign w:val="top"/>
          </w:tcPr>
          <w:p w14:paraId="0D242946">
            <w:pPr>
              <w:pStyle w:val="6"/>
              <w:spacing w:before="152" w:line="182" w:lineRule="auto"/>
              <w:ind w:left="57"/>
            </w:pPr>
            <w:r>
              <w:t>B</w:t>
            </w:r>
          </w:p>
        </w:tc>
        <w:tc>
          <w:tcPr>
            <w:tcW w:w="239" w:type="dxa"/>
            <w:vAlign w:val="top"/>
          </w:tcPr>
          <w:p w14:paraId="7343A706">
            <w:pPr>
              <w:pStyle w:val="6"/>
              <w:spacing w:before="151" w:line="183" w:lineRule="auto"/>
              <w:ind w:left="48"/>
            </w:pPr>
            <w:r>
              <w:t>C</w:t>
            </w:r>
          </w:p>
        </w:tc>
        <w:tc>
          <w:tcPr>
            <w:tcW w:w="234" w:type="dxa"/>
            <w:vAlign w:val="top"/>
          </w:tcPr>
          <w:p w14:paraId="3C2803F8">
            <w:pPr>
              <w:pStyle w:val="6"/>
              <w:spacing w:before="152" w:line="182" w:lineRule="auto"/>
              <w:ind w:left="19"/>
            </w:pPr>
            <w:r>
              <w:t>D</w:t>
            </w:r>
          </w:p>
        </w:tc>
      </w:tr>
      <w:tr w14:paraId="7C97D6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98" w:hRule="atLeast"/>
        </w:trPr>
        <w:tc>
          <w:tcPr>
            <w:tcW w:w="564" w:type="dxa"/>
            <w:vAlign w:val="top"/>
          </w:tcPr>
          <w:p w14:paraId="64A3C631">
            <w:pPr>
              <w:spacing w:line="351" w:lineRule="auto"/>
              <w:rPr>
                <w:rFonts w:ascii="Arial"/>
                <w:sz w:val="21"/>
              </w:rPr>
            </w:pPr>
          </w:p>
          <w:p w14:paraId="32C45F71">
            <w:pPr>
              <w:pStyle w:val="6"/>
              <w:spacing w:before="56" w:line="231" w:lineRule="auto"/>
              <w:ind w:left="105" w:right="115"/>
              <w:jc w:val="both"/>
            </w:pPr>
            <w:r>
              <w:rPr>
                <w:spacing w:val="-4"/>
              </w:rPr>
              <w:t>有机</w:t>
            </w:r>
            <w:r>
              <w:t xml:space="preserve"> </w:t>
            </w:r>
            <w:r>
              <w:rPr>
                <w:spacing w:val="-4"/>
              </w:rPr>
              <w:t>化合</w:t>
            </w:r>
            <w:r>
              <w:t xml:space="preserve"> </w:t>
            </w:r>
            <w:r>
              <w:rPr>
                <w:spacing w:val="-4"/>
              </w:rPr>
              <w:t>物概</w:t>
            </w:r>
            <w:r>
              <w:t xml:space="preserve"> </w:t>
            </w:r>
            <w:r>
              <w:rPr>
                <w:spacing w:val="27"/>
                <w:w w:val="127"/>
              </w:rPr>
              <w:t>述</w:t>
            </w:r>
          </w:p>
        </w:tc>
        <w:tc>
          <w:tcPr>
            <w:tcW w:w="2624" w:type="dxa"/>
            <w:vAlign w:val="top"/>
          </w:tcPr>
          <w:p w14:paraId="56C584DF">
            <w:pPr>
              <w:spacing w:line="351" w:lineRule="auto"/>
              <w:rPr>
                <w:rFonts w:ascii="Arial"/>
                <w:sz w:val="21"/>
              </w:rPr>
            </w:pPr>
          </w:p>
          <w:p w14:paraId="7864928B">
            <w:pPr>
              <w:pStyle w:val="6"/>
              <w:spacing w:before="55" w:line="223" w:lineRule="auto"/>
              <w:ind w:left="61" w:right="137" w:firstLine="19"/>
            </w:pPr>
            <w:r>
              <w:rPr>
                <w:spacing w:val="1"/>
              </w:rPr>
              <w:t>1.有机化合物的概念及性质特点</w:t>
            </w:r>
            <w:r>
              <w:t xml:space="preserve"> </w:t>
            </w:r>
            <w:r>
              <w:rPr>
                <w:spacing w:val="1"/>
              </w:rPr>
              <w:t>2.有机化合物的结构特点</w:t>
            </w:r>
          </w:p>
          <w:p w14:paraId="15A622D2">
            <w:pPr>
              <w:pStyle w:val="6"/>
              <w:spacing w:before="28" w:line="219" w:lineRule="auto"/>
              <w:ind w:left="61"/>
            </w:pPr>
            <w:r>
              <w:rPr>
                <w:spacing w:val="-2"/>
              </w:rPr>
              <w:t>3.有机化合物的分类</w:t>
            </w:r>
          </w:p>
          <w:p w14:paraId="4009755A">
            <w:pPr>
              <w:pStyle w:val="6"/>
              <w:spacing w:before="8" w:line="219" w:lineRule="auto"/>
              <w:ind w:left="61"/>
            </w:pPr>
            <w:r>
              <w:rPr>
                <w:spacing w:val="1"/>
              </w:rPr>
              <w:t>4.有机化合物与农业的关系</w:t>
            </w:r>
          </w:p>
        </w:tc>
        <w:tc>
          <w:tcPr>
            <w:tcW w:w="229" w:type="dxa"/>
            <w:vAlign w:val="top"/>
          </w:tcPr>
          <w:p w14:paraId="7C19FFA9">
            <w:pPr>
              <w:rPr>
                <w:rFonts w:ascii="Arial"/>
                <w:sz w:val="21"/>
              </w:rPr>
            </w:pPr>
          </w:p>
        </w:tc>
        <w:tc>
          <w:tcPr>
            <w:tcW w:w="229" w:type="dxa"/>
            <w:vAlign w:val="top"/>
          </w:tcPr>
          <w:p w14:paraId="044A2D03">
            <w:pPr>
              <w:rPr>
                <w:rFonts w:ascii="Arial"/>
                <w:sz w:val="21"/>
              </w:rPr>
            </w:pPr>
          </w:p>
        </w:tc>
        <w:tc>
          <w:tcPr>
            <w:tcW w:w="239" w:type="dxa"/>
            <w:vAlign w:val="top"/>
          </w:tcPr>
          <w:p w14:paraId="115DB8E4">
            <w:pPr>
              <w:rPr>
                <w:rFonts w:ascii="Arial"/>
                <w:sz w:val="21"/>
              </w:rPr>
            </w:pPr>
          </w:p>
        </w:tc>
        <w:tc>
          <w:tcPr>
            <w:tcW w:w="234" w:type="dxa"/>
            <w:vAlign w:val="top"/>
          </w:tcPr>
          <w:p w14:paraId="4B9CA8CB">
            <w:pPr>
              <w:rPr>
                <w:rFonts w:ascii="Arial"/>
                <w:sz w:val="21"/>
              </w:rPr>
            </w:pPr>
          </w:p>
        </w:tc>
      </w:tr>
      <w:tr w14:paraId="223679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76" w:hRule="atLeast"/>
        </w:trPr>
        <w:tc>
          <w:tcPr>
            <w:tcW w:w="564" w:type="dxa"/>
            <w:vAlign w:val="top"/>
          </w:tcPr>
          <w:p w14:paraId="77A97702">
            <w:pPr>
              <w:spacing w:line="299" w:lineRule="auto"/>
              <w:rPr>
                <w:rFonts w:ascii="Arial"/>
                <w:sz w:val="21"/>
              </w:rPr>
            </w:pPr>
          </w:p>
          <w:p w14:paraId="4993B76D">
            <w:pPr>
              <w:spacing w:line="299" w:lineRule="auto"/>
              <w:rPr>
                <w:rFonts w:ascii="Arial"/>
                <w:sz w:val="21"/>
              </w:rPr>
            </w:pPr>
          </w:p>
          <w:p w14:paraId="084B298A">
            <w:pPr>
              <w:spacing w:line="300" w:lineRule="auto"/>
              <w:rPr>
                <w:rFonts w:ascii="Arial"/>
                <w:sz w:val="21"/>
              </w:rPr>
            </w:pPr>
          </w:p>
          <w:p w14:paraId="63DC1572">
            <w:pPr>
              <w:spacing w:line="300" w:lineRule="auto"/>
              <w:rPr>
                <w:rFonts w:ascii="Arial"/>
                <w:sz w:val="21"/>
              </w:rPr>
            </w:pPr>
          </w:p>
          <w:p w14:paraId="0EA68A6A">
            <w:pPr>
              <w:pStyle w:val="6"/>
              <w:spacing w:before="56" w:line="220" w:lineRule="auto"/>
              <w:ind w:left="184"/>
            </w:pPr>
            <w:r>
              <w:t>烃</w:t>
            </w:r>
          </w:p>
        </w:tc>
        <w:tc>
          <w:tcPr>
            <w:tcW w:w="2624" w:type="dxa"/>
            <w:vAlign w:val="top"/>
          </w:tcPr>
          <w:p w14:paraId="741328DC">
            <w:pPr>
              <w:spacing w:line="343" w:lineRule="auto"/>
              <w:rPr>
                <w:rFonts w:ascii="Arial"/>
                <w:sz w:val="21"/>
              </w:rPr>
            </w:pPr>
          </w:p>
          <w:p w14:paraId="3F36C5C1">
            <w:pPr>
              <w:pStyle w:val="6"/>
              <w:spacing w:before="56" w:line="219" w:lineRule="auto"/>
              <w:ind w:left="61"/>
            </w:pPr>
            <w:r>
              <w:t>1.烃的概念和分类</w:t>
            </w:r>
          </w:p>
          <w:p w14:paraId="14CD5E4E">
            <w:pPr>
              <w:pStyle w:val="6"/>
              <w:spacing w:before="8" w:line="220" w:lineRule="auto"/>
              <w:ind w:left="61"/>
            </w:pPr>
            <w:r>
              <w:rPr>
                <w:spacing w:val="1"/>
              </w:rPr>
              <w:t>2.甲烷的分子结构、性质</w:t>
            </w:r>
          </w:p>
          <w:p w14:paraId="5C928357">
            <w:pPr>
              <w:pStyle w:val="6"/>
              <w:spacing w:before="27" w:line="220" w:lineRule="auto"/>
              <w:ind w:left="61"/>
            </w:pPr>
            <w:r>
              <w:rPr>
                <w:spacing w:val="1"/>
              </w:rPr>
              <w:t>3.烷烃的结构、性质和命名</w:t>
            </w:r>
          </w:p>
          <w:p w14:paraId="37BBD255">
            <w:pPr>
              <w:pStyle w:val="6"/>
              <w:spacing w:before="6" w:line="229" w:lineRule="auto"/>
              <w:ind w:left="61" w:right="323"/>
            </w:pPr>
            <w:r>
              <w:rPr>
                <w:spacing w:val="1"/>
              </w:rPr>
              <w:t>4.乙烯的分子结构和化学性质</w:t>
            </w:r>
            <w:r>
              <w:rPr>
                <w:spacing w:val="4"/>
              </w:rPr>
              <w:t xml:space="preserve"> </w:t>
            </w:r>
            <w:r>
              <w:rPr>
                <w:spacing w:val="-2"/>
              </w:rPr>
              <w:t>5.烯烃和炔烃的通式</w:t>
            </w:r>
          </w:p>
          <w:p w14:paraId="0873A0C8">
            <w:pPr>
              <w:pStyle w:val="6"/>
              <w:spacing w:before="37" w:line="225" w:lineRule="auto"/>
              <w:ind w:left="61" w:right="523"/>
            </w:pPr>
            <w:r>
              <w:rPr>
                <w:spacing w:val="1"/>
              </w:rPr>
              <w:t>6.乙炔的分子结构和性质</w:t>
            </w:r>
            <w:r>
              <w:rPr>
                <w:spacing w:val="3"/>
              </w:rPr>
              <w:t xml:space="preserve">  </w:t>
            </w:r>
            <w:r>
              <w:rPr>
                <w:spacing w:val="-1"/>
              </w:rPr>
              <w:t>7.甲烷、乙烯、乙炔的用途</w:t>
            </w:r>
            <w:r>
              <w:rPr>
                <w:spacing w:val="1"/>
              </w:rPr>
              <w:t xml:space="preserve"> </w:t>
            </w:r>
            <w:r>
              <w:rPr>
                <w:spacing w:val="-1"/>
              </w:rPr>
              <w:t>8.苯的分子结构</w:t>
            </w:r>
          </w:p>
          <w:p w14:paraId="13A19991">
            <w:pPr>
              <w:pStyle w:val="6"/>
              <w:spacing w:before="28" w:line="219" w:lineRule="auto"/>
              <w:ind w:left="61"/>
            </w:pPr>
            <w:r>
              <w:rPr>
                <w:spacing w:val="3"/>
              </w:rPr>
              <w:t>9.苯的性质</w:t>
            </w:r>
          </w:p>
        </w:tc>
        <w:tc>
          <w:tcPr>
            <w:tcW w:w="229" w:type="dxa"/>
            <w:vAlign w:val="top"/>
          </w:tcPr>
          <w:p w14:paraId="68B59F6B">
            <w:pPr>
              <w:rPr>
                <w:rFonts w:ascii="Arial"/>
                <w:sz w:val="21"/>
              </w:rPr>
            </w:pPr>
          </w:p>
        </w:tc>
        <w:tc>
          <w:tcPr>
            <w:tcW w:w="229" w:type="dxa"/>
            <w:vAlign w:val="top"/>
          </w:tcPr>
          <w:p w14:paraId="4FCBBB8E">
            <w:pPr>
              <w:rPr>
                <w:rFonts w:ascii="Arial"/>
                <w:sz w:val="21"/>
              </w:rPr>
            </w:pPr>
          </w:p>
        </w:tc>
        <w:tc>
          <w:tcPr>
            <w:tcW w:w="239" w:type="dxa"/>
            <w:vAlign w:val="top"/>
          </w:tcPr>
          <w:p w14:paraId="0B14024D">
            <w:pPr>
              <w:rPr>
                <w:rFonts w:ascii="Arial"/>
                <w:sz w:val="21"/>
              </w:rPr>
            </w:pPr>
          </w:p>
        </w:tc>
        <w:tc>
          <w:tcPr>
            <w:tcW w:w="234" w:type="dxa"/>
            <w:vAlign w:val="top"/>
          </w:tcPr>
          <w:p w14:paraId="19BEBE2E">
            <w:pPr>
              <w:rPr>
                <w:rFonts w:ascii="Arial"/>
                <w:sz w:val="21"/>
              </w:rPr>
            </w:pPr>
          </w:p>
        </w:tc>
      </w:tr>
      <w:tr w14:paraId="699606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42" w:hRule="atLeast"/>
        </w:trPr>
        <w:tc>
          <w:tcPr>
            <w:tcW w:w="564" w:type="dxa"/>
            <w:vAlign w:val="top"/>
          </w:tcPr>
          <w:p w14:paraId="314F65D2">
            <w:pPr>
              <w:spacing w:line="417" w:lineRule="auto"/>
              <w:rPr>
                <w:rFonts w:ascii="Arial"/>
                <w:sz w:val="21"/>
              </w:rPr>
            </w:pPr>
          </w:p>
          <w:p w14:paraId="00F72E7E">
            <w:pPr>
              <w:pStyle w:val="6"/>
              <w:spacing w:before="56" w:line="233" w:lineRule="auto"/>
              <w:ind w:left="105" w:right="95"/>
              <w:jc w:val="both"/>
            </w:pPr>
            <w:r>
              <w:rPr>
                <w:spacing w:val="6"/>
              </w:rPr>
              <w:t>烃的</w:t>
            </w:r>
            <w:r>
              <w:t xml:space="preserve"> </w:t>
            </w:r>
            <w:r>
              <w:rPr>
                <w:spacing w:val="-4"/>
              </w:rPr>
              <w:t>衍生</w:t>
            </w:r>
            <w:r>
              <w:t xml:space="preserve"> </w:t>
            </w:r>
            <w:r>
              <w:rPr>
                <w:spacing w:val="27"/>
                <w:w w:val="127"/>
              </w:rPr>
              <w:t>物</w:t>
            </w:r>
          </w:p>
        </w:tc>
        <w:tc>
          <w:tcPr>
            <w:tcW w:w="2624" w:type="dxa"/>
            <w:vAlign w:val="top"/>
          </w:tcPr>
          <w:p w14:paraId="037C1E73">
            <w:pPr>
              <w:pStyle w:val="6"/>
              <w:spacing w:before="264" w:line="223" w:lineRule="auto"/>
              <w:ind w:left="61" w:right="1015"/>
            </w:pPr>
            <w:r>
              <w:t>1.乙醇的性质和用途</w:t>
            </w:r>
            <w:r>
              <w:rPr>
                <w:spacing w:val="6"/>
              </w:rPr>
              <w:t xml:space="preserve"> </w:t>
            </w:r>
            <w:r>
              <w:rPr>
                <w:spacing w:val="-1"/>
              </w:rPr>
              <w:t>2.苯酚的性质和用途</w:t>
            </w:r>
          </w:p>
          <w:p w14:paraId="00B8AD86">
            <w:pPr>
              <w:pStyle w:val="6"/>
              <w:spacing w:before="39" w:line="219" w:lineRule="auto"/>
              <w:ind w:left="61" w:right="671"/>
            </w:pPr>
            <w:r>
              <w:t>3.乙醇和苯酚的分子结构</w:t>
            </w:r>
            <w:r>
              <w:rPr>
                <w:spacing w:val="10"/>
              </w:rPr>
              <w:t xml:space="preserve"> </w:t>
            </w:r>
            <w:r>
              <w:rPr>
                <w:spacing w:val="-1"/>
              </w:rPr>
              <w:t>4.乙醛的性质和用途</w:t>
            </w:r>
          </w:p>
          <w:p w14:paraId="775F8417">
            <w:pPr>
              <w:pStyle w:val="6"/>
              <w:spacing w:before="37" w:line="220" w:lineRule="auto"/>
              <w:ind w:left="61"/>
            </w:pPr>
            <w:r>
              <w:rPr>
                <w:spacing w:val="-1"/>
              </w:rPr>
              <w:t>5.乙酸的性质和用途</w:t>
            </w:r>
          </w:p>
        </w:tc>
        <w:tc>
          <w:tcPr>
            <w:tcW w:w="229" w:type="dxa"/>
            <w:vAlign w:val="top"/>
          </w:tcPr>
          <w:p w14:paraId="07F14F1C">
            <w:pPr>
              <w:rPr>
                <w:rFonts w:ascii="Arial"/>
                <w:sz w:val="21"/>
              </w:rPr>
            </w:pPr>
          </w:p>
        </w:tc>
        <w:tc>
          <w:tcPr>
            <w:tcW w:w="229" w:type="dxa"/>
            <w:vAlign w:val="top"/>
          </w:tcPr>
          <w:p w14:paraId="0498C06B">
            <w:pPr>
              <w:rPr>
                <w:rFonts w:ascii="Arial"/>
                <w:sz w:val="21"/>
              </w:rPr>
            </w:pPr>
          </w:p>
        </w:tc>
        <w:tc>
          <w:tcPr>
            <w:tcW w:w="239" w:type="dxa"/>
            <w:vAlign w:val="top"/>
          </w:tcPr>
          <w:p w14:paraId="307F3160">
            <w:pPr>
              <w:rPr>
                <w:rFonts w:ascii="Arial"/>
                <w:sz w:val="21"/>
              </w:rPr>
            </w:pPr>
          </w:p>
        </w:tc>
        <w:tc>
          <w:tcPr>
            <w:tcW w:w="234" w:type="dxa"/>
            <w:vAlign w:val="top"/>
          </w:tcPr>
          <w:p w14:paraId="1AED2B3F">
            <w:pPr>
              <w:rPr>
                <w:rFonts w:ascii="Arial"/>
                <w:sz w:val="21"/>
              </w:rPr>
            </w:pPr>
          </w:p>
        </w:tc>
      </w:tr>
    </w:tbl>
    <w:p w14:paraId="4D6740D0">
      <w:pPr>
        <w:spacing w:before="120" w:line="222" w:lineRule="auto"/>
        <w:ind w:left="757"/>
        <w:rPr>
          <w:rFonts w:ascii="黑体" w:hAnsi="黑体" w:eastAsia="黑体" w:cs="黑体"/>
          <w:sz w:val="20"/>
          <w:szCs w:val="20"/>
        </w:rPr>
      </w:pPr>
      <w:r>
        <w:rPr>
          <w:rFonts w:ascii="黑体" w:hAnsi="黑体" w:eastAsia="黑体" w:cs="黑体"/>
          <w:b/>
          <w:bCs/>
          <w:spacing w:val="-5"/>
          <w:sz w:val="20"/>
          <w:szCs w:val="20"/>
        </w:rPr>
        <w:t>六、生活中的重要有机化合物</w:t>
      </w:r>
    </w:p>
    <w:p w14:paraId="62C8F76E">
      <w:pPr>
        <w:spacing w:line="159" w:lineRule="exact"/>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54"/>
        <w:gridCol w:w="2634"/>
        <w:gridCol w:w="229"/>
        <w:gridCol w:w="229"/>
        <w:gridCol w:w="239"/>
        <w:gridCol w:w="234"/>
      </w:tblGrid>
      <w:tr w14:paraId="1AECEC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0" w:hRule="atLeast"/>
        </w:trPr>
        <w:tc>
          <w:tcPr>
            <w:tcW w:w="554" w:type="dxa"/>
            <w:vMerge w:val="restart"/>
            <w:tcBorders>
              <w:top w:val="single" w:color="000000" w:sz="2" w:space="0"/>
              <w:bottom w:val="nil"/>
            </w:tcBorders>
            <w:vAlign w:val="top"/>
          </w:tcPr>
          <w:p w14:paraId="21D72F41">
            <w:pPr>
              <w:pStyle w:val="6"/>
              <w:spacing w:before="65" w:line="234" w:lineRule="auto"/>
              <w:ind w:left="17" w:right="26" w:firstLine="80"/>
            </w:pPr>
            <w:r>
              <w:rPr>
                <w:b/>
                <w:bCs/>
                <w:spacing w:val="-7"/>
              </w:rPr>
              <w:t>知识</w:t>
            </w:r>
            <w:r>
              <w:t xml:space="preserve">  </w:t>
            </w:r>
            <w:r>
              <w:rPr>
                <w:b/>
                <w:bCs/>
                <w:spacing w:val="-6"/>
              </w:rPr>
              <w:t>与技能</w:t>
            </w:r>
            <w:r>
              <w:rPr>
                <w:spacing w:val="1"/>
              </w:rPr>
              <w:t xml:space="preserve"> </w:t>
            </w:r>
            <w:r>
              <w:rPr>
                <w:b/>
                <w:bCs/>
                <w:spacing w:val="34"/>
              </w:rPr>
              <w:t>要点</w:t>
            </w:r>
          </w:p>
        </w:tc>
        <w:tc>
          <w:tcPr>
            <w:tcW w:w="2634" w:type="dxa"/>
            <w:vMerge w:val="restart"/>
            <w:tcBorders>
              <w:top w:val="single" w:color="000000" w:sz="2" w:space="0"/>
              <w:bottom w:val="nil"/>
            </w:tcBorders>
            <w:vAlign w:val="top"/>
          </w:tcPr>
          <w:p w14:paraId="3BC562C1">
            <w:pPr>
              <w:spacing w:line="247" w:lineRule="auto"/>
              <w:rPr>
                <w:rFonts w:ascii="Arial"/>
                <w:sz w:val="21"/>
              </w:rPr>
            </w:pPr>
          </w:p>
          <w:p w14:paraId="5FFE0768">
            <w:pPr>
              <w:pStyle w:val="6"/>
              <w:spacing w:before="56" w:line="219" w:lineRule="auto"/>
              <w:ind w:left="1003"/>
            </w:pPr>
            <w:r>
              <w:rPr>
                <w:b/>
                <w:bCs/>
                <w:spacing w:val="5"/>
              </w:rPr>
              <w:t>考试条目</w:t>
            </w:r>
          </w:p>
        </w:tc>
        <w:tc>
          <w:tcPr>
            <w:tcW w:w="931" w:type="dxa"/>
            <w:gridSpan w:val="4"/>
            <w:tcBorders>
              <w:top w:val="single" w:color="000000" w:sz="2" w:space="0"/>
              <w:bottom w:val="single" w:color="000000" w:sz="2" w:space="0"/>
            </w:tcBorders>
            <w:vAlign w:val="top"/>
          </w:tcPr>
          <w:p w14:paraId="716830FD">
            <w:pPr>
              <w:pStyle w:val="6"/>
              <w:spacing w:before="114" w:line="219" w:lineRule="auto"/>
              <w:ind w:left="139"/>
            </w:pPr>
            <w:r>
              <w:rPr>
                <w:b/>
                <w:bCs/>
                <w:spacing w:val="-4"/>
              </w:rPr>
              <w:t>考试水平</w:t>
            </w:r>
          </w:p>
        </w:tc>
      </w:tr>
      <w:tr w14:paraId="24A16A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4" w:hRule="atLeast"/>
        </w:trPr>
        <w:tc>
          <w:tcPr>
            <w:tcW w:w="554" w:type="dxa"/>
            <w:vMerge w:val="continue"/>
            <w:tcBorders>
              <w:top w:val="nil"/>
              <w:bottom w:val="single" w:color="000000" w:sz="2" w:space="0"/>
            </w:tcBorders>
            <w:vAlign w:val="top"/>
          </w:tcPr>
          <w:p w14:paraId="4A08BB7C">
            <w:pPr>
              <w:rPr>
                <w:rFonts w:ascii="Arial"/>
                <w:sz w:val="21"/>
              </w:rPr>
            </w:pPr>
          </w:p>
        </w:tc>
        <w:tc>
          <w:tcPr>
            <w:tcW w:w="2634" w:type="dxa"/>
            <w:vMerge w:val="continue"/>
            <w:tcBorders>
              <w:top w:val="nil"/>
              <w:bottom w:val="single" w:color="000000" w:sz="2" w:space="0"/>
            </w:tcBorders>
            <w:vAlign w:val="top"/>
          </w:tcPr>
          <w:p w14:paraId="3F951217">
            <w:pPr>
              <w:rPr>
                <w:rFonts w:ascii="Arial"/>
                <w:sz w:val="21"/>
              </w:rPr>
            </w:pPr>
          </w:p>
        </w:tc>
        <w:tc>
          <w:tcPr>
            <w:tcW w:w="229" w:type="dxa"/>
            <w:tcBorders>
              <w:top w:val="single" w:color="000000" w:sz="2" w:space="0"/>
              <w:bottom w:val="single" w:color="000000" w:sz="2" w:space="0"/>
            </w:tcBorders>
            <w:vAlign w:val="top"/>
          </w:tcPr>
          <w:p w14:paraId="6C290137">
            <w:pPr>
              <w:pStyle w:val="6"/>
              <w:spacing w:before="144" w:line="184" w:lineRule="auto"/>
              <w:ind w:left="26"/>
            </w:pPr>
            <w:r>
              <w:t>A</w:t>
            </w:r>
          </w:p>
        </w:tc>
        <w:tc>
          <w:tcPr>
            <w:tcW w:w="229" w:type="dxa"/>
            <w:tcBorders>
              <w:top w:val="single" w:color="000000" w:sz="2" w:space="0"/>
              <w:bottom w:val="single" w:color="000000" w:sz="2" w:space="0"/>
            </w:tcBorders>
            <w:vAlign w:val="top"/>
          </w:tcPr>
          <w:p w14:paraId="789BECB1">
            <w:pPr>
              <w:pStyle w:val="6"/>
              <w:spacing w:before="146" w:line="182" w:lineRule="auto"/>
              <w:ind w:left="47"/>
            </w:pPr>
            <w:r>
              <w:t>B</w:t>
            </w:r>
          </w:p>
        </w:tc>
        <w:tc>
          <w:tcPr>
            <w:tcW w:w="239" w:type="dxa"/>
            <w:tcBorders>
              <w:top w:val="single" w:color="000000" w:sz="2" w:space="0"/>
              <w:bottom w:val="single" w:color="000000" w:sz="2" w:space="0"/>
            </w:tcBorders>
            <w:vAlign w:val="top"/>
          </w:tcPr>
          <w:p w14:paraId="6646CE3E">
            <w:pPr>
              <w:pStyle w:val="6"/>
              <w:spacing w:before="145" w:line="183" w:lineRule="auto"/>
              <w:ind w:left="48"/>
            </w:pPr>
            <w:r>
              <w:t>C</w:t>
            </w:r>
          </w:p>
        </w:tc>
        <w:tc>
          <w:tcPr>
            <w:tcW w:w="234" w:type="dxa"/>
            <w:tcBorders>
              <w:top w:val="single" w:color="000000" w:sz="2" w:space="0"/>
              <w:bottom w:val="single" w:color="000000" w:sz="2" w:space="0"/>
            </w:tcBorders>
            <w:vAlign w:val="top"/>
          </w:tcPr>
          <w:p w14:paraId="62B7B930">
            <w:pPr>
              <w:pStyle w:val="6"/>
              <w:spacing w:before="146" w:line="182" w:lineRule="auto"/>
              <w:ind w:left="49"/>
            </w:pPr>
            <w:r>
              <w:t>D</w:t>
            </w:r>
          </w:p>
        </w:tc>
      </w:tr>
      <w:tr w14:paraId="514BC5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63" w:hRule="atLeast"/>
        </w:trPr>
        <w:tc>
          <w:tcPr>
            <w:tcW w:w="554" w:type="dxa"/>
            <w:tcBorders>
              <w:top w:val="single" w:color="000000" w:sz="2" w:space="0"/>
              <w:bottom w:val="single" w:color="000000" w:sz="2" w:space="0"/>
            </w:tcBorders>
            <w:vAlign w:val="top"/>
          </w:tcPr>
          <w:p w14:paraId="4E9FD046">
            <w:pPr>
              <w:spacing w:line="321" w:lineRule="auto"/>
              <w:rPr>
                <w:rFonts w:ascii="Arial"/>
                <w:sz w:val="21"/>
              </w:rPr>
            </w:pPr>
          </w:p>
          <w:p w14:paraId="2C891A0D">
            <w:pPr>
              <w:spacing w:line="322" w:lineRule="auto"/>
              <w:rPr>
                <w:rFonts w:ascii="Arial"/>
                <w:sz w:val="21"/>
              </w:rPr>
            </w:pPr>
          </w:p>
          <w:p w14:paraId="31192AE5">
            <w:pPr>
              <w:pStyle w:val="6"/>
              <w:spacing w:before="55" w:line="219" w:lineRule="auto"/>
              <w:ind w:left="94"/>
            </w:pPr>
            <w:r>
              <w:rPr>
                <w:spacing w:val="-2"/>
              </w:rPr>
              <w:t>糖类</w:t>
            </w:r>
          </w:p>
        </w:tc>
        <w:tc>
          <w:tcPr>
            <w:tcW w:w="2634" w:type="dxa"/>
            <w:tcBorders>
              <w:top w:val="single" w:color="000000" w:sz="2" w:space="0"/>
              <w:bottom w:val="single" w:color="000000" w:sz="2" w:space="0"/>
            </w:tcBorders>
            <w:vAlign w:val="top"/>
          </w:tcPr>
          <w:p w14:paraId="1771B76A">
            <w:pPr>
              <w:spacing w:line="324" w:lineRule="auto"/>
              <w:rPr>
                <w:rFonts w:ascii="Arial"/>
                <w:sz w:val="21"/>
              </w:rPr>
            </w:pPr>
          </w:p>
          <w:p w14:paraId="2734C9B2">
            <w:pPr>
              <w:pStyle w:val="6"/>
              <w:spacing w:before="56" w:line="230" w:lineRule="auto"/>
              <w:ind w:left="60" w:right="684"/>
            </w:pPr>
            <w:r>
              <w:t>1.糖的组成、分类与功能</w:t>
            </w:r>
            <w:r>
              <w:rPr>
                <w:spacing w:val="7"/>
              </w:rPr>
              <w:t xml:space="preserve"> </w:t>
            </w:r>
            <w:r>
              <w:rPr>
                <w:spacing w:val="1"/>
              </w:rPr>
              <w:t>2.单糖的结构和性质</w:t>
            </w:r>
          </w:p>
          <w:p w14:paraId="285D8223">
            <w:pPr>
              <w:pStyle w:val="6"/>
              <w:spacing w:before="26" w:line="218" w:lineRule="auto"/>
              <w:ind w:left="60" w:right="1378"/>
            </w:pPr>
            <w:r>
              <w:rPr>
                <w:spacing w:val="-2"/>
              </w:rPr>
              <w:t>3.蔗糖、麦芽糖</w:t>
            </w:r>
            <w:r>
              <w:rPr>
                <w:spacing w:val="4"/>
              </w:rPr>
              <w:t xml:space="preserve"> </w:t>
            </w:r>
            <w:r>
              <w:rPr>
                <w:spacing w:val="-1"/>
              </w:rPr>
              <w:t>4.淀粉、纤维素</w:t>
            </w:r>
          </w:p>
        </w:tc>
        <w:tc>
          <w:tcPr>
            <w:tcW w:w="229" w:type="dxa"/>
            <w:tcBorders>
              <w:top w:val="single" w:color="000000" w:sz="2" w:space="0"/>
              <w:bottom w:val="single" w:color="000000" w:sz="2" w:space="0"/>
            </w:tcBorders>
            <w:vAlign w:val="top"/>
          </w:tcPr>
          <w:p w14:paraId="5A365C5D">
            <w:pPr>
              <w:rPr>
                <w:rFonts w:ascii="Arial"/>
                <w:sz w:val="21"/>
              </w:rPr>
            </w:pPr>
          </w:p>
        </w:tc>
        <w:tc>
          <w:tcPr>
            <w:tcW w:w="229" w:type="dxa"/>
            <w:tcBorders>
              <w:top w:val="single" w:color="000000" w:sz="2" w:space="0"/>
              <w:bottom w:val="single" w:color="000000" w:sz="2" w:space="0"/>
            </w:tcBorders>
            <w:vAlign w:val="top"/>
          </w:tcPr>
          <w:p w14:paraId="088723A3">
            <w:pPr>
              <w:rPr>
                <w:rFonts w:ascii="Arial"/>
                <w:sz w:val="21"/>
              </w:rPr>
            </w:pPr>
          </w:p>
        </w:tc>
        <w:tc>
          <w:tcPr>
            <w:tcW w:w="239" w:type="dxa"/>
            <w:tcBorders>
              <w:top w:val="single" w:color="000000" w:sz="2" w:space="0"/>
              <w:bottom w:val="single" w:color="000000" w:sz="2" w:space="0"/>
            </w:tcBorders>
            <w:vAlign w:val="top"/>
          </w:tcPr>
          <w:p w14:paraId="2FE8AA1B">
            <w:pPr>
              <w:rPr>
                <w:rFonts w:ascii="Arial"/>
                <w:sz w:val="21"/>
              </w:rPr>
            </w:pPr>
          </w:p>
        </w:tc>
        <w:tc>
          <w:tcPr>
            <w:tcW w:w="234" w:type="dxa"/>
            <w:tcBorders>
              <w:top w:val="single" w:color="000000" w:sz="2" w:space="0"/>
              <w:bottom w:val="single" w:color="000000" w:sz="2" w:space="0"/>
            </w:tcBorders>
            <w:vAlign w:val="top"/>
          </w:tcPr>
          <w:p w14:paraId="648F7200">
            <w:pPr>
              <w:rPr>
                <w:rFonts w:ascii="Arial"/>
                <w:sz w:val="21"/>
              </w:rPr>
            </w:pPr>
          </w:p>
        </w:tc>
      </w:tr>
      <w:tr w14:paraId="43F623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53" w:hRule="atLeast"/>
        </w:trPr>
        <w:tc>
          <w:tcPr>
            <w:tcW w:w="554" w:type="dxa"/>
            <w:tcBorders>
              <w:top w:val="single" w:color="000000" w:sz="2" w:space="0"/>
              <w:bottom w:val="single" w:color="000000" w:sz="2" w:space="0"/>
            </w:tcBorders>
            <w:vAlign w:val="top"/>
          </w:tcPr>
          <w:p w14:paraId="060394A8">
            <w:pPr>
              <w:spacing w:line="436" w:lineRule="auto"/>
              <w:rPr>
                <w:rFonts w:ascii="Arial"/>
                <w:sz w:val="21"/>
              </w:rPr>
            </w:pPr>
          </w:p>
          <w:p w14:paraId="7728F282">
            <w:pPr>
              <w:pStyle w:val="6"/>
              <w:spacing w:before="55" w:line="219" w:lineRule="auto"/>
              <w:ind w:left="94"/>
            </w:pPr>
            <w:r>
              <w:rPr>
                <w:spacing w:val="-2"/>
              </w:rPr>
              <w:t>脂类</w:t>
            </w:r>
          </w:p>
        </w:tc>
        <w:tc>
          <w:tcPr>
            <w:tcW w:w="2634" w:type="dxa"/>
            <w:tcBorders>
              <w:top w:val="single" w:color="000000" w:sz="2" w:space="0"/>
              <w:bottom w:val="single" w:color="000000" w:sz="2" w:space="0"/>
            </w:tcBorders>
            <w:vAlign w:val="top"/>
          </w:tcPr>
          <w:p w14:paraId="7E66C19B">
            <w:pPr>
              <w:spacing w:line="358" w:lineRule="auto"/>
              <w:rPr>
                <w:rFonts w:ascii="Arial"/>
                <w:sz w:val="21"/>
              </w:rPr>
            </w:pPr>
          </w:p>
          <w:p w14:paraId="5813C2B9">
            <w:pPr>
              <w:pStyle w:val="6"/>
              <w:spacing w:before="55" w:line="229" w:lineRule="auto"/>
              <w:ind w:left="60" w:right="1021"/>
            </w:pPr>
            <w:r>
              <w:rPr>
                <w:spacing w:val="1"/>
              </w:rPr>
              <w:t>1.油脂的组成和结构</w:t>
            </w:r>
            <w:r>
              <w:t xml:space="preserve"> </w:t>
            </w:r>
            <w:r>
              <w:rPr>
                <w:spacing w:val="2"/>
              </w:rPr>
              <w:t>2.油脂的性质</w:t>
            </w:r>
          </w:p>
        </w:tc>
        <w:tc>
          <w:tcPr>
            <w:tcW w:w="229" w:type="dxa"/>
            <w:tcBorders>
              <w:top w:val="single" w:color="000000" w:sz="2" w:space="0"/>
              <w:bottom w:val="single" w:color="000000" w:sz="2" w:space="0"/>
            </w:tcBorders>
            <w:vAlign w:val="top"/>
          </w:tcPr>
          <w:p w14:paraId="6F0DCD38">
            <w:pPr>
              <w:rPr>
                <w:rFonts w:ascii="Arial"/>
                <w:sz w:val="21"/>
              </w:rPr>
            </w:pPr>
          </w:p>
        </w:tc>
        <w:tc>
          <w:tcPr>
            <w:tcW w:w="229" w:type="dxa"/>
            <w:tcBorders>
              <w:top w:val="single" w:color="000000" w:sz="2" w:space="0"/>
              <w:bottom w:val="single" w:color="000000" w:sz="2" w:space="0"/>
            </w:tcBorders>
            <w:vAlign w:val="top"/>
          </w:tcPr>
          <w:p w14:paraId="4DF93057">
            <w:pPr>
              <w:rPr>
                <w:rFonts w:ascii="Arial"/>
                <w:sz w:val="21"/>
              </w:rPr>
            </w:pPr>
          </w:p>
        </w:tc>
        <w:tc>
          <w:tcPr>
            <w:tcW w:w="239" w:type="dxa"/>
            <w:tcBorders>
              <w:top w:val="single" w:color="000000" w:sz="2" w:space="0"/>
              <w:bottom w:val="single" w:color="000000" w:sz="2" w:space="0"/>
            </w:tcBorders>
            <w:vAlign w:val="top"/>
          </w:tcPr>
          <w:p w14:paraId="6ADE6067">
            <w:pPr>
              <w:rPr>
                <w:rFonts w:ascii="Arial"/>
                <w:sz w:val="21"/>
              </w:rPr>
            </w:pPr>
          </w:p>
        </w:tc>
        <w:tc>
          <w:tcPr>
            <w:tcW w:w="234" w:type="dxa"/>
            <w:tcBorders>
              <w:top w:val="single" w:color="000000" w:sz="2" w:space="0"/>
              <w:bottom w:val="single" w:color="000000" w:sz="2" w:space="0"/>
            </w:tcBorders>
            <w:vAlign w:val="top"/>
          </w:tcPr>
          <w:p w14:paraId="5EC5084F">
            <w:pPr>
              <w:rPr>
                <w:rFonts w:ascii="Arial"/>
                <w:sz w:val="21"/>
              </w:rPr>
            </w:pPr>
          </w:p>
        </w:tc>
      </w:tr>
      <w:tr w14:paraId="6B8BFC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408" w:hRule="atLeast"/>
        </w:trPr>
        <w:tc>
          <w:tcPr>
            <w:tcW w:w="554" w:type="dxa"/>
            <w:tcBorders>
              <w:top w:val="single" w:color="000000" w:sz="2" w:space="0"/>
              <w:bottom w:val="single" w:color="000000" w:sz="2" w:space="0"/>
            </w:tcBorders>
            <w:vAlign w:val="top"/>
          </w:tcPr>
          <w:p w14:paraId="50EB090E">
            <w:pPr>
              <w:spacing w:line="478" w:lineRule="auto"/>
              <w:rPr>
                <w:rFonts w:ascii="Arial"/>
                <w:sz w:val="21"/>
              </w:rPr>
            </w:pPr>
          </w:p>
          <w:p w14:paraId="41EF5647">
            <w:pPr>
              <w:pStyle w:val="6"/>
              <w:spacing w:before="55" w:line="217" w:lineRule="auto"/>
              <w:ind w:left="94"/>
            </w:pPr>
            <w:r>
              <w:rPr>
                <w:spacing w:val="10"/>
              </w:rPr>
              <w:t>蛋白</w:t>
            </w:r>
          </w:p>
          <w:p w14:paraId="129281ED">
            <w:pPr>
              <w:pStyle w:val="6"/>
              <w:spacing w:line="220" w:lineRule="auto"/>
              <w:ind w:left="184"/>
            </w:pPr>
            <w:r>
              <w:t>质</w:t>
            </w:r>
          </w:p>
        </w:tc>
        <w:tc>
          <w:tcPr>
            <w:tcW w:w="2634" w:type="dxa"/>
            <w:tcBorders>
              <w:top w:val="single" w:color="000000" w:sz="2" w:space="0"/>
              <w:bottom w:val="single" w:color="000000" w:sz="2" w:space="0"/>
            </w:tcBorders>
            <w:vAlign w:val="top"/>
          </w:tcPr>
          <w:p w14:paraId="7CE7BCCC">
            <w:pPr>
              <w:spacing w:line="379" w:lineRule="auto"/>
              <w:rPr>
                <w:rFonts w:ascii="Arial"/>
                <w:sz w:val="21"/>
              </w:rPr>
            </w:pPr>
          </w:p>
          <w:p w14:paraId="77B18078">
            <w:pPr>
              <w:pStyle w:val="6"/>
              <w:spacing w:before="55" w:line="216" w:lineRule="auto"/>
              <w:ind w:left="60"/>
            </w:pPr>
            <w:r>
              <w:rPr>
                <w:spacing w:val="2"/>
              </w:rPr>
              <w:t>1.氨基酸的性质</w:t>
            </w:r>
          </w:p>
          <w:p w14:paraId="6FE8D95A">
            <w:pPr>
              <w:pStyle w:val="6"/>
              <w:spacing w:line="248" w:lineRule="auto"/>
              <w:ind w:left="60" w:right="531"/>
            </w:pPr>
            <w:r>
              <w:rPr>
                <w:spacing w:val="-1"/>
              </w:rPr>
              <w:t>2.蛋白质的元素组成和结构</w:t>
            </w:r>
            <w:r>
              <w:rPr>
                <w:spacing w:val="3"/>
              </w:rPr>
              <w:t xml:space="preserve"> </w:t>
            </w:r>
            <w:r>
              <w:rPr>
                <w:spacing w:val="2"/>
              </w:rPr>
              <w:t>3.蛋白质的性质</w:t>
            </w:r>
          </w:p>
        </w:tc>
        <w:tc>
          <w:tcPr>
            <w:tcW w:w="229" w:type="dxa"/>
            <w:tcBorders>
              <w:top w:val="single" w:color="000000" w:sz="2" w:space="0"/>
              <w:bottom w:val="single" w:color="000000" w:sz="2" w:space="0"/>
            </w:tcBorders>
            <w:vAlign w:val="top"/>
          </w:tcPr>
          <w:p w14:paraId="5A4BA0B1">
            <w:pPr>
              <w:rPr>
                <w:rFonts w:ascii="Arial"/>
                <w:sz w:val="21"/>
              </w:rPr>
            </w:pPr>
          </w:p>
        </w:tc>
        <w:tc>
          <w:tcPr>
            <w:tcW w:w="229" w:type="dxa"/>
            <w:tcBorders>
              <w:top w:val="single" w:color="000000" w:sz="2" w:space="0"/>
              <w:bottom w:val="single" w:color="000000" w:sz="2" w:space="0"/>
            </w:tcBorders>
            <w:vAlign w:val="top"/>
          </w:tcPr>
          <w:p w14:paraId="3B171BB9">
            <w:pPr>
              <w:rPr>
                <w:rFonts w:ascii="Arial"/>
                <w:sz w:val="21"/>
              </w:rPr>
            </w:pPr>
          </w:p>
        </w:tc>
        <w:tc>
          <w:tcPr>
            <w:tcW w:w="239" w:type="dxa"/>
            <w:tcBorders>
              <w:top w:val="single" w:color="000000" w:sz="2" w:space="0"/>
              <w:bottom w:val="single" w:color="000000" w:sz="2" w:space="0"/>
            </w:tcBorders>
            <w:vAlign w:val="top"/>
          </w:tcPr>
          <w:p w14:paraId="47B3CA9D">
            <w:pPr>
              <w:rPr>
                <w:rFonts w:ascii="Arial"/>
                <w:sz w:val="21"/>
              </w:rPr>
            </w:pPr>
          </w:p>
        </w:tc>
        <w:tc>
          <w:tcPr>
            <w:tcW w:w="234" w:type="dxa"/>
            <w:tcBorders>
              <w:top w:val="single" w:color="000000" w:sz="2" w:space="0"/>
              <w:bottom w:val="single" w:color="000000" w:sz="2" w:space="0"/>
            </w:tcBorders>
            <w:vAlign w:val="top"/>
          </w:tcPr>
          <w:p w14:paraId="62F1467E">
            <w:pPr>
              <w:rPr>
                <w:rFonts w:ascii="Arial"/>
                <w:sz w:val="21"/>
              </w:rPr>
            </w:pPr>
          </w:p>
        </w:tc>
      </w:tr>
    </w:tbl>
    <w:p w14:paraId="035156CE">
      <w:pPr>
        <w:pStyle w:val="2"/>
        <w:spacing w:line="14" w:lineRule="auto"/>
        <w:rPr>
          <w:sz w:val="2"/>
        </w:rPr>
      </w:pPr>
    </w:p>
    <w:p w14:paraId="56131AD1">
      <w:pPr>
        <w:spacing w:line="14" w:lineRule="auto"/>
        <w:rPr>
          <w:sz w:val="2"/>
          <w:szCs w:val="2"/>
        </w:rPr>
        <w:sectPr>
          <w:type w:val="continuous"/>
          <w:pgSz w:w="10660" w:h="15080"/>
          <w:pgMar w:top="400" w:right="1034" w:bottom="908" w:left="819" w:header="0" w:footer="713" w:gutter="0"/>
          <w:cols w:equalWidth="0" w:num="2">
            <w:col w:w="4576" w:space="100"/>
            <w:col w:w="4130"/>
          </w:cols>
        </w:sectPr>
      </w:pPr>
    </w:p>
    <w:p w14:paraId="118745A9">
      <w:pPr>
        <w:spacing w:before="80"/>
      </w:pPr>
    </w:p>
    <w:p w14:paraId="30FFF056">
      <w:pPr>
        <w:spacing w:before="79"/>
      </w:pPr>
    </w:p>
    <w:p w14:paraId="7F67E27F">
      <w:pPr>
        <w:spacing w:before="79"/>
      </w:pPr>
    </w:p>
    <w:p w14:paraId="43CF7E4E">
      <w:pPr>
        <w:sectPr>
          <w:footerReference r:id="rId13" w:type="default"/>
          <w:pgSz w:w="10660" w:h="15080"/>
          <w:pgMar w:top="400" w:right="871" w:bottom="927" w:left="1034" w:header="0" w:footer="719" w:gutter="0"/>
          <w:cols w:equalWidth="0" w:num="1">
            <w:col w:w="8754"/>
          </w:cols>
        </w:sectPr>
      </w:pPr>
    </w:p>
    <w:p w14:paraId="73AA5C0E">
      <w:pPr>
        <w:spacing w:before="40" w:line="221" w:lineRule="auto"/>
        <w:ind w:left="567"/>
        <w:rPr>
          <w:rFonts w:ascii="黑体" w:hAnsi="黑体" w:eastAsia="黑体" w:cs="黑体"/>
          <w:sz w:val="20"/>
          <w:szCs w:val="20"/>
        </w:rPr>
      </w:pPr>
      <w:r>
        <w:rPr>
          <w:rFonts w:ascii="黑体" w:hAnsi="黑体" w:eastAsia="黑体" w:cs="黑体"/>
          <w:b/>
          <w:bCs/>
          <w:spacing w:val="8"/>
          <w:sz w:val="20"/>
          <w:szCs w:val="20"/>
        </w:rPr>
        <w:t>第二部分之一种植方向专业</w:t>
      </w:r>
    </w:p>
    <w:p w14:paraId="1B3A02FC">
      <w:pPr>
        <w:pStyle w:val="2"/>
        <w:spacing w:line="295" w:lineRule="auto"/>
      </w:pPr>
    </w:p>
    <w:p w14:paraId="07E36CF0">
      <w:pPr>
        <w:spacing w:before="65" w:line="457" w:lineRule="auto"/>
        <w:ind w:left="967" w:right="1328"/>
        <w:rPr>
          <w:rFonts w:ascii="黑体" w:hAnsi="黑体" w:eastAsia="黑体" w:cs="黑体"/>
          <w:sz w:val="20"/>
          <w:szCs w:val="20"/>
        </w:rPr>
      </w:pPr>
      <w:r>
        <w:rPr>
          <w:rFonts w:ascii="黑体" w:hAnsi="黑体" w:eastAsia="黑体" w:cs="黑体"/>
          <w:b/>
          <w:bCs/>
          <w:spacing w:val="-7"/>
          <w:sz w:val="20"/>
          <w:szCs w:val="20"/>
        </w:rPr>
        <w:t>第一篇</w:t>
      </w:r>
      <w:r>
        <w:rPr>
          <w:rFonts w:ascii="黑体" w:hAnsi="黑体" w:eastAsia="黑体" w:cs="黑体"/>
          <w:spacing w:val="10"/>
          <w:sz w:val="20"/>
          <w:szCs w:val="20"/>
        </w:rPr>
        <w:t xml:space="preserve">  </w:t>
      </w:r>
      <w:r>
        <w:rPr>
          <w:rFonts w:ascii="黑体" w:hAnsi="黑体" w:eastAsia="黑体" w:cs="黑体"/>
          <w:b/>
          <w:bCs/>
          <w:spacing w:val="-7"/>
          <w:sz w:val="20"/>
          <w:szCs w:val="20"/>
        </w:rPr>
        <w:t>植物生产与环境</w:t>
      </w:r>
      <w:r>
        <w:rPr>
          <w:rFonts w:ascii="黑体" w:hAnsi="黑体" w:eastAsia="黑体" w:cs="黑体"/>
          <w:spacing w:val="1"/>
          <w:sz w:val="20"/>
          <w:szCs w:val="20"/>
        </w:rPr>
        <w:t xml:space="preserve"> </w:t>
      </w:r>
      <w:r>
        <w:rPr>
          <w:rFonts w:ascii="黑体" w:hAnsi="黑体" w:eastAsia="黑体" w:cs="黑体"/>
          <w:b/>
          <w:bCs/>
          <w:spacing w:val="-4"/>
          <w:sz w:val="20"/>
          <w:szCs w:val="20"/>
        </w:rPr>
        <w:t>一、植物生产与环境概述</w:t>
      </w: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54"/>
        <w:gridCol w:w="2644"/>
        <w:gridCol w:w="229"/>
        <w:gridCol w:w="229"/>
        <w:gridCol w:w="229"/>
        <w:gridCol w:w="234"/>
      </w:tblGrid>
      <w:tr w14:paraId="503E44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4" w:hRule="atLeast"/>
        </w:trPr>
        <w:tc>
          <w:tcPr>
            <w:tcW w:w="554" w:type="dxa"/>
            <w:vMerge w:val="restart"/>
            <w:tcBorders>
              <w:bottom w:val="nil"/>
            </w:tcBorders>
            <w:vAlign w:val="top"/>
          </w:tcPr>
          <w:p w14:paraId="01A11230">
            <w:pPr>
              <w:pStyle w:val="6"/>
              <w:spacing w:before="91" w:line="225" w:lineRule="auto"/>
              <w:ind w:left="17" w:firstLine="69"/>
              <w:rPr>
                <w:sz w:val="18"/>
                <w:szCs w:val="18"/>
              </w:rPr>
            </w:pPr>
            <w:r>
              <w:rPr>
                <w:b/>
                <w:bCs/>
                <w:spacing w:val="-9"/>
                <w:sz w:val="18"/>
                <w:szCs w:val="18"/>
              </w:rPr>
              <w:t>知识</w:t>
            </w:r>
            <w:r>
              <w:rPr>
                <w:sz w:val="18"/>
                <w:szCs w:val="18"/>
              </w:rPr>
              <w:t xml:space="preserve">  </w:t>
            </w:r>
            <w:r>
              <w:rPr>
                <w:b/>
                <w:bCs/>
                <w:spacing w:val="-7"/>
                <w:sz w:val="18"/>
                <w:szCs w:val="18"/>
              </w:rPr>
              <w:t>与技能</w:t>
            </w:r>
            <w:r>
              <w:rPr>
                <w:sz w:val="18"/>
                <w:szCs w:val="18"/>
              </w:rPr>
              <w:t xml:space="preserve"> </w:t>
            </w:r>
            <w:r>
              <w:rPr>
                <w:b/>
                <w:bCs/>
                <w:spacing w:val="28"/>
                <w:sz w:val="18"/>
                <w:szCs w:val="18"/>
              </w:rPr>
              <w:t>要点</w:t>
            </w:r>
          </w:p>
        </w:tc>
        <w:tc>
          <w:tcPr>
            <w:tcW w:w="2644" w:type="dxa"/>
            <w:vMerge w:val="restart"/>
            <w:tcBorders>
              <w:bottom w:val="nil"/>
            </w:tcBorders>
            <w:vAlign w:val="top"/>
          </w:tcPr>
          <w:p w14:paraId="1B1308A3">
            <w:pPr>
              <w:pStyle w:val="6"/>
              <w:spacing w:before="299" w:line="219" w:lineRule="auto"/>
              <w:ind w:left="1003"/>
              <w:rPr>
                <w:sz w:val="18"/>
                <w:szCs w:val="18"/>
              </w:rPr>
            </w:pPr>
            <w:r>
              <w:rPr>
                <w:b/>
                <w:bCs/>
                <w:spacing w:val="5"/>
                <w:sz w:val="18"/>
                <w:szCs w:val="18"/>
              </w:rPr>
              <w:t>考试条目</w:t>
            </w:r>
          </w:p>
        </w:tc>
        <w:tc>
          <w:tcPr>
            <w:tcW w:w="921" w:type="dxa"/>
            <w:gridSpan w:val="4"/>
            <w:vAlign w:val="top"/>
          </w:tcPr>
          <w:p w14:paraId="124CF876">
            <w:pPr>
              <w:pStyle w:val="6"/>
              <w:spacing w:before="109" w:line="219" w:lineRule="auto"/>
              <w:ind w:left="129"/>
              <w:rPr>
                <w:sz w:val="18"/>
                <w:szCs w:val="18"/>
              </w:rPr>
            </w:pPr>
            <w:r>
              <w:rPr>
                <w:b/>
                <w:bCs/>
                <w:spacing w:val="-4"/>
                <w:sz w:val="18"/>
                <w:szCs w:val="18"/>
              </w:rPr>
              <w:t>考试水平</w:t>
            </w:r>
          </w:p>
        </w:tc>
      </w:tr>
      <w:tr w14:paraId="5E136E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554" w:type="dxa"/>
            <w:vMerge w:val="continue"/>
            <w:tcBorders>
              <w:top w:val="nil"/>
            </w:tcBorders>
            <w:vAlign w:val="top"/>
          </w:tcPr>
          <w:p w14:paraId="5A015BF3">
            <w:pPr>
              <w:rPr>
                <w:rFonts w:ascii="Arial"/>
                <w:sz w:val="21"/>
              </w:rPr>
            </w:pPr>
          </w:p>
        </w:tc>
        <w:tc>
          <w:tcPr>
            <w:tcW w:w="2644" w:type="dxa"/>
            <w:vMerge w:val="continue"/>
            <w:tcBorders>
              <w:top w:val="nil"/>
            </w:tcBorders>
            <w:vAlign w:val="top"/>
          </w:tcPr>
          <w:p w14:paraId="2DD78671">
            <w:pPr>
              <w:rPr>
                <w:rFonts w:ascii="Arial"/>
                <w:sz w:val="21"/>
              </w:rPr>
            </w:pPr>
          </w:p>
        </w:tc>
        <w:tc>
          <w:tcPr>
            <w:tcW w:w="229" w:type="dxa"/>
            <w:vAlign w:val="top"/>
          </w:tcPr>
          <w:p w14:paraId="178592E8">
            <w:pPr>
              <w:pStyle w:val="6"/>
              <w:spacing w:before="143" w:line="184" w:lineRule="auto"/>
              <w:ind w:left="16"/>
              <w:rPr>
                <w:sz w:val="18"/>
                <w:szCs w:val="18"/>
              </w:rPr>
            </w:pPr>
            <w:r>
              <w:rPr>
                <w:sz w:val="18"/>
                <w:szCs w:val="18"/>
              </w:rPr>
              <w:t>A</w:t>
            </w:r>
          </w:p>
        </w:tc>
        <w:tc>
          <w:tcPr>
            <w:tcW w:w="229" w:type="dxa"/>
            <w:vAlign w:val="top"/>
          </w:tcPr>
          <w:p w14:paraId="3A2D0270">
            <w:pPr>
              <w:pStyle w:val="6"/>
              <w:spacing w:before="145" w:line="182" w:lineRule="auto"/>
              <w:ind w:left="18"/>
              <w:rPr>
                <w:sz w:val="18"/>
                <w:szCs w:val="18"/>
              </w:rPr>
            </w:pPr>
            <w:r>
              <w:rPr>
                <w:sz w:val="18"/>
                <w:szCs w:val="18"/>
              </w:rPr>
              <w:t>B</w:t>
            </w:r>
          </w:p>
        </w:tc>
        <w:tc>
          <w:tcPr>
            <w:tcW w:w="229" w:type="dxa"/>
            <w:vAlign w:val="top"/>
          </w:tcPr>
          <w:p w14:paraId="59559882">
            <w:pPr>
              <w:pStyle w:val="6"/>
              <w:spacing w:before="144" w:line="183" w:lineRule="auto"/>
              <w:ind w:left="19"/>
              <w:rPr>
                <w:sz w:val="18"/>
                <w:szCs w:val="18"/>
              </w:rPr>
            </w:pPr>
            <w:r>
              <w:rPr>
                <w:sz w:val="18"/>
                <w:szCs w:val="18"/>
              </w:rPr>
              <w:t>C</w:t>
            </w:r>
          </w:p>
        </w:tc>
        <w:tc>
          <w:tcPr>
            <w:tcW w:w="234" w:type="dxa"/>
            <w:vAlign w:val="top"/>
          </w:tcPr>
          <w:p w14:paraId="121D3105">
            <w:pPr>
              <w:pStyle w:val="6"/>
              <w:spacing w:before="145" w:line="182" w:lineRule="auto"/>
              <w:ind w:left="50"/>
              <w:rPr>
                <w:sz w:val="18"/>
                <w:szCs w:val="18"/>
              </w:rPr>
            </w:pPr>
            <w:r>
              <w:rPr>
                <w:sz w:val="18"/>
                <w:szCs w:val="18"/>
              </w:rPr>
              <w:t>D</w:t>
            </w:r>
          </w:p>
        </w:tc>
      </w:tr>
      <w:tr w14:paraId="53DD17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915" w:hRule="atLeast"/>
        </w:trPr>
        <w:tc>
          <w:tcPr>
            <w:tcW w:w="554" w:type="dxa"/>
            <w:vAlign w:val="top"/>
          </w:tcPr>
          <w:p w14:paraId="0CA5A6C7">
            <w:pPr>
              <w:spacing w:line="388" w:lineRule="auto"/>
              <w:rPr>
                <w:rFonts w:ascii="Arial"/>
                <w:sz w:val="21"/>
              </w:rPr>
            </w:pPr>
          </w:p>
          <w:p w14:paraId="08F8FA73">
            <w:pPr>
              <w:pStyle w:val="6"/>
              <w:spacing w:before="58" w:line="219" w:lineRule="auto"/>
              <w:ind w:left="84"/>
              <w:rPr>
                <w:sz w:val="18"/>
                <w:szCs w:val="18"/>
              </w:rPr>
            </w:pPr>
            <w:r>
              <w:rPr>
                <w:spacing w:val="-2"/>
                <w:sz w:val="18"/>
                <w:szCs w:val="18"/>
              </w:rPr>
              <w:t>植物</w:t>
            </w:r>
          </w:p>
          <w:p w14:paraId="5F90F57A">
            <w:pPr>
              <w:pStyle w:val="6"/>
              <w:spacing w:line="221" w:lineRule="auto"/>
              <w:ind w:left="84"/>
              <w:rPr>
                <w:sz w:val="18"/>
                <w:szCs w:val="18"/>
              </w:rPr>
            </w:pPr>
            <w:r>
              <w:rPr>
                <w:spacing w:val="-3"/>
                <w:sz w:val="18"/>
                <w:szCs w:val="18"/>
              </w:rPr>
              <w:t>生长</w:t>
            </w:r>
          </w:p>
          <w:p w14:paraId="25001129">
            <w:pPr>
              <w:pStyle w:val="6"/>
              <w:spacing w:line="219" w:lineRule="auto"/>
              <w:ind w:left="84"/>
              <w:rPr>
                <w:sz w:val="18"/>
                <w:szCs w:val="18"/>
              </w:rPr>
            </w:pPr>
            <w:r>
              <w:rPr>
                <w:spacing w:val="-3"/>
                <w:sz w:val="18"/>
                <w:szCs w:val="18"/>
              </w:rPr>
              <w:t>与植</w:t>
            </w:r>
          </w:p>
          <w:p w14:paraId="250E418D">
            <w:pPr>
              <w:pStyle w:val="6"/>
              <w:spacing w:before="7" w:line="221" w:lineRule="auto"/>
              <w:ind w:left="84"/>
              <w:rPr>
                <w:sz w:val="18"/>
                <w:szCs w:val="18"/>
              </w:rPr>
            </w:pPr>
            <w:r>
              <w:rPr>
                <w:spacing w:val="-2"/>
                <w:sz w:val="18"/>
                <w:szCs w:val="18"/>
              </w:rPr>
              <w:t>物生</w:t>
            </w:r>
          </w:p>
          <w:p w14:paraId="77EB944D">
            <w:pPr>
              <w:pStyle w:val="6"/>
              <w:spacing w:before="4" w:line="219" w:lineRule="auto"/>
              <w:ind w:left="175"/>
              <w:rPr>
                <w:sz w:val="18"/>
                <w:szCs w:val="18"/>
              </w:rPr>
            </w:pPr>
            <w:r>
              <w:rPr>
                <w:sz w:val="18"/>
                <w:szCs w:val="18"/>
              </w:rPr>
              <w:t>产</w:t>
            </w:r>
          </w:p>
        </w:tc>
        <w:tc>
          <w:tcPr>
            <w:tcW w:w="2644" w:type="dxa"/>
            <w:vAlign w:val="top"/>
          </w:tcPr>
          <w:p w14:paraId="63F9D863">
            <w:pPr>
              <w:pStyle w:val="6"/>
              <w:spacing w:before="239" w:line="215" w:lineRule="auto"/>
              <w:ind w:left="60"/>
              <w:rPr>
                <w:sz w:val="18"/>
                <w:szCs w:val="18"/>
              </w:rPr>
            </w:pPr>
            <w:r>
              <w:rPr>
                <w:spacing w:val="1"/>
                <w:sz w:val="18"/>
                <w:szCs w:val="18"/>
              </w:rPr>
              <w:t>1.植物的生长</w:t>
            </w:r>
          </w:p>
          <w:p w14:paraId="30505D26">
            <w:pPr>
              <w:pStyle w:val="6"/>
              <w:spacing w:line="224" w:lineRule="auto"/>
              <w:ind w:left="60" w:right="959"/>
              <w:rPr>
                <w:sz w:val="18"/>
                <w:szCs w:val="18"/>
              </w:rPr>
            </w:pPr>
            <w:r>
              <w:rPr>
                <w:spacing w:val="-1"/>
                <w:sz w:val="18"/>
                <w:szCs w:val="18"/>
              </w:rPr>
              <w:t>2.植物生长的周期性</w:t>
            </w:r>
            <w:r>
              <w:rPr>
                <w:sz w:val="18"/>
                <w:szCs w:val="18"/>
              </w:rPr>
              <w:t xml:space="preserve"> </w:t>
            </w:r>
            <w:r>
              <w:rPr>
                <w:spacing w:val="-2"/>
                <w:sz w:val="18"/>
                <w:szCs w:val="18"/>
              </w:rPr>
              <w:t>3.植物生长的相关性</w:t>
            </w:r>
            <w:r>
              <w:rPr>
                <w:spacing w:val="8"/>
                <w:sz w:val="18"/>
                <w:szCs w:val="18"/>
              </w:rPr>
              <w:t xml:space="preserve"> </w:t>
            </w:r>
            <w:r>
              <w:rPr>
                <w:spacing w:val="-1"/>
                <w:sz w:val="18"/>
                <w:szCs w:val="18"/>
              </w:rPr>
              <w:t>4.植物的极性与再生</w:t>
            </w:r>
            <w:r>
              <w:rPr>
                <w:spacing w:val="2"/>
                <w:sz w:val="18"/>
                <w:szCs w:val="18"/>
              </w:rPr>
              <w:t xml:space="preserve"> </w:t>
            </w:r>
            <w:r>
              <w:rPr>
                <w:spacing w:val="-2"/>
                <w:sz w:val="18"/>
                <w:szCs w:val="18"/>
              </w:rPr>
              <w:t>5.植物的休眠与衰老</w:t>
            </w:r>
          </w:p>
          <w:p w14:paraId="1DC08F15">
            <w:pPr>
              <w:pStyle w:val="6"/>
              <w:spacing w:before="6" w:line="217" w:lineRule="auto"/>
              <w:ind w:left="60" w:right="241"/>
              <w:rPr>
                <w:sz w:val="18"/>
                <w:szCs w:val="18"/>
              </w:rPr>
            </w:pPr>
            <w:r>
              <w:rPr>
                <w:spacing w:val="-1"/>
                <w:sz w:val="18"/>
                <w:szCs w:val="18"/>
              </w:rPr>
              <w:t>6.植物的成花过程及影响因素</w:t>
            </w:r>
            <w:r>
              <w:rPr>
                <w:spacing w:val="4"/>
                <w:sz w:val="18"/>
                <w:szCs w:val="18"/>
              </w:rPr>
              <w:t xml:space="preserve"> </w:t>
            </w:r>
            <w:r>
              <w:rPr>
                <w:spacing w:val="1"/>
                <w:sz w:val="18"/>
                <w:szCs w:val="18"/>
              </w:rPr>
              <w:t>7.植物生产</w:t>
            </w:r>
          </w:p>
        </w:tc>
        <w:tc>
          <w:tcPr>
            <w:tcW w:w="229" w:type="dxa"/>
            <w:vAlign w:val="top"/>
          </w:tcPr>
          <w:p w14:paraId="43BFF244">
            <w:pPr>
              <w:rPr>
                <w:rFonts w:ascii="Arial"/>
                <w:sz w:val="21"/>
              </w:rPr>
            </w:pPr>
          </w:p>
        </w:tc>
        <w:tc>
          <w:tcPr>
            <w:tcW w:w="229" w:type="dxa"/>
            <w:vAlign w:val="top"/>
          </w:tcPr>
          <w:p w14:paraId="722DB9B6">
            <w:pPr>
              <w:rPr>
                <w:rFonts w:ascii="Arial"/>
                <w:sz w:val="21"/>
              </w:rPr>
            </w:pPr>
          </w:p>
        </w:tc>
        <w:tc>
          <w:tcPr>
            <w:tcW w:w="229" w:type="dxa"/>
            <w:vAlign w:val="top"/>
          </w:tcPr>
          <w:p w14:paraId="58569E0F">
            <w:pPr>
              <w:rPr>
                <w:rFonts w:ascii="Arial"/>
                <w:sz w:val="21"/>
              </w:rPr>
            </w:pPr>
          </w:p>
        </w:tc>
        <w:tc>
          <w:tcPr>
            <w:tcW w:w="234" w:type="dxa"/>
            <w:vAlign w:val="top"/>
          </w:tcPr>
          <w:p w14:paraId="60082A19">
            <w:pPr>
              <w:rPr>
                <w:rFonts w:ascii="Arial"/>
                <w:sz w:val="21"/>
              </w:rPr>
            </w:pPr>
          </w:p>
        </w:tc>
      </w:tr>
      <w:tr w14:paraId="6F346C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72" w:hRule="atLeast"/>
        </w:trPr>
        <w:tc>
          <w:tcPr>
            <w:tcW w:w="554" w:type="dxa"/>
            <w:vAlign w:val="top"/>
          </w:tcPr>
          <w:p w14:paraId="6D6F8AD3">
            <w:pPr>
              <w:pStyle w:val="6"/>
              <w:spacing w:before="124" w:line="215" w:lineRule="auto"/>
              <w:ind w:left="84"/>
              <w:rPr>
                <w:sz w:val="18"/>
                <w:szCs w:val="18"/>
              </w:rPr>
            </w:pPr>
            <w:r>
              <w:rPr>
                <w:spacing w:val="-2"/>
                <w:sz w:val="18"/>
                <w:szCs w:val="18"/>
              </w:rPr>
              <w:t>植物</w:t>
            </w:r>
          </w:p>
          <w:p w14:paraId="5AE3E578">
            <w:pPr>
              <w:pStyle w:val="6"/>
              <w:spacing w:line="219" w:lineRule="auto"/>
              <w:ind w:left="84"/>
              <w:rPr>
                <w:sz w:val="18"/>
                <w:szCs w:val="18"/>
              </w:rPr>
            </w:pPr>
            <w:r>
              <w:rPr>
                <w:spacing w:val="-3"/>
                <w:sz w:val="18"/>
                <w:szCs w:val="18"/>
              </w:rPr>
              <w:t>生产</w:t>
            </w:r>
          </w:p>
          <w:p w14:paraId="6E5FD194">
            <w:pPr>
              <w:pStyle w:val="6"/>
              <w:spacing w:before="16" w:line="220" w:lineRule="auto"/>
              <w:ind w:left="84"/>
              <w:rPr>
                <w:sz w:val="18"/>
                <w:szCs w:val="18"/>
              </w:rPr>
            </w:pPr>
            <w:r>
              <w:rPr>
                <w:spacing w:val="4"/>
                <w:sz w:val="18"/>
                <w:szCs w:val="18"/>
              </w:rPr>
              <w:t>的两</w:t>
            </w:r>
          </w:p>
          <w:p w14:paraId="117BAE3E">
            <w:pPr>
              <w:pStyle w:val="6"/>
              <w:spacing w:before="15" w:line="204" w:lineRule="auto"/>
              <w:ind w:left="84"/>
              <w:rPr>
                <w:sz w:val="18"/>
                <w:szCs w:val="18"/>
              </w:rPr>
            </w:pPr>
            <w:r>
              <w:rPr>
                <w:spacing w:val="-3"/>
                <w:sz w:val="18"/>
                <w:szCs w:val="18"/>
              </w:rPr>
              <w:t>大要</w:t>
            </w:r>
          </w:p>
          <w:p w14:paraId="1EDC4383">
            <w:pPr>
              <w:pStyle w:val="6"/>
              <w:spacing w:line="219" w:lineRule="auto"/>
              <w:ind w:left="175"/>
              <w:rPr>
                <w:sz w:val="18"/>
                <w:szCs w:val="18"/>
              </w:rPr>
            </w:pPr>
            <w:r>
              <w:rPr>
                <w:sz w:val="18"/>
                <w:szCs w:val="18"/>
              </w:rPr>
              <w:t>素</w:t>
            </w:r>
          </w:p>
        </w:tc>
        <w:tc>
          <w:tcPr>
            <w:tcW w:w="2644" w:type="dxa"/>
            <w:vAlign w:val="top"/>
          </w:tcPr>
          <w:p w14:paraId="3787B73A">
            <w:pPr>
              <w:spacing w:line="403" w:lineRule="auto"/>
              <w:rPr>
                <w:rFonts w:ascii="Arial"/>
                <w:sz w:val="21"/>
              </w:rPr>
            </w:pPr>
          </w:p>
          <w:p w14:paraId="7AE5DC79">
            <w:pPr>
              <w:pStyle w:val="6"/>
              <w:spacing w:before="59" w:line="215" w:lineRule="auto"/>
              <w:ind w:left="60"/>
              <w:rPr>
                <w:sz w:val="18"/>
                <w:szCs w:val="18"/>
              </w:rPr>
            </w:pPr>
            <w:r>
              <w:rPr>
                <w:sz w:val="18"/>
                <w:szCs w:val="18"/>
              </w:rPr>
              <w:t>1.植物生产的自然要素</w:t>
            </w:r>
          </w:p>
          <w:p w14:paraId="42D96831">
            <w:pPr>
              <w:pStyle w:val="6"/>
              <w:spacing w:line="219" w:lineRule="auto"/>
              <w:ind w:left="60"/>
              <w:rPr>
                <w:sz w:val="18"/>
                <w:szCs w:val="18"/>
              </w:rPr>
            </w:pPr>
            <w:r>
              <w:rPr>
                <w:spacing w:val="-1"/>
                <w:sz w:val="18"/>
                <w:szCs w:val="18"/>
              </w:rPr>
              <w:t>2.植物生产的农业生产要素</w:t>
            </w:r>
          </w:p>
        </w:tc>
        <w:tc>
          <w:tcPr>
            <w:tcW w:w="229" w:type="dxa"/>
            <w:vAlign w:val="top"/>
          </w:tcPr>
          <w:p w14:paraId="0D3196C0">
            <w:pPr>
              <w:spacing w:line="253" w:lineRule="auto"/>
              <w:rPr>
                <w:rFonts w:ascii="Arial"/>
                <w:sz w:val="21"/>
              </w:rPr>
            </w:pPr>
          </w:p>
          <w:p w14:paraId="0498D8D9">
            <w:pPr>
              <w:spacing w:line="253" w:lineRule="auto"/>
              <w:rPr>
                <w:rFonts w:ascii="Arial"/>
                <w:sz w:val="21"/>
              </w:rPr>
            </w:pPr>
          </w:p>
          <w:p w14:paraId="69500344">
            <w:pPr>
              <w:spacing w:line="302" w:lineRule="exact"/>
              <w:ind w:firstLine="37"/>
            </w:pPr>
            <w:r>
              <w:rPr>
                <w:position w:val="-6"/>
              </w:rPr>
              <w:drawing>
                <wp:inline distT="0" distB="0" distL="0" distR="0">
                  <wp:extent cx="88265" cy="191135"/>
                  <wp:effectExtent l="0" t="0" r="0" b="0"/>
                  <wp:docPr id="10" name="IM 10"/>
                  <wp:cNvGraphicFramePr/>
                  <a:graphic xmlns:a="http://schemas.openxmlformats.org/drawingml/2006/main">
                    <a:graphicData uri="http://schemas.openxmlformats.org/drawingml/2006/picture">
                      <pic:pic xmlns:pic="http://schemas.openxmlformats.org/drawingml/2006/picture">
                        <pic:nvPicPr>
                          <pic:cNvPr id="10" name="IM 10"/>
                          <pic:cNvPicPr/>
                        </pic:nvPicPr>
                        <pic:blipFill>
                          <a:blip r:embed="rId170"/>
                          <a:stretch>
                            <a:fillRect/>
                          </a:stretch>
                        </pic:blipFill>
                        <pic:spPr>
                          <a:xfrm>
                            <a:off x="0" y="0"/>
                            <a:ext cx="88878" cy="191516"/>
                          </a:xfrm>
                          <a:prstGeom prst="rect">
                            <a:avLst/>
                          </a:prstGeom>
                        </pic:spPr>
                      </pic:pic>
                    </a:graphicData>
                  </a:graphic>
                </wp:inline>
              </w:drawing>
            </w:r>
          </w:p>
        </w:tc>
        <w:tc>
          <w:tcPr>
            <w:tcW w:w="229" w:type="dxa"/>
            <w:vAlign w:val="top"/>
          </w:tcPr>
          <w:p w14:paraId="072F2C69">
            <w:pPr>
              <w:rPr>
                <w:rFonts w:ascii="Arial"/>
                <w:sz w:val="21"/>
              </w:rPr>
            </w:pPr>
          </w:p>
        </w:tc>
        <w:tc>
          <w:tcPr>
            <w:tcW w:w="229" w:type="dxa"/>
            <w:vAlign w:val="top"/>
          </w:tcPr>
          <w:p w14:paraId="6A4FC3E4">
            <w:pPr>
              <w:rPr>
                <w:rFonts w:ascii="Arial"/>
                <w:sz w:val="21"/>
              </w:rPr>
            </w:pPr>
          </w:p>
        </w:tc>
        <w:tc>
          <w:tcPr>
            <w:tcW w:w="234" w:type="dxa"/>
            <w:vAlign w:val="top"/>
          </w:tcPr>
          <w:p w14:paraId="4AC4F4E1">
            <w:pPr>
              <w:rPr>
                <w:rFonts w:ascii="Arial"/>
                <w:sz w:val="21"/>
              </w:rPr>
            </w:pPr>
          </w:p>
        </w:tc>
      </w:tr>
    </w:tbl>
    <w:p w14:paraId="5F84C035">
      <w:pPr>
        <w:spacing w:before="128" w:line="221" w:lineRule="auto"/>
        <w:ind w:left="1157"/>
        <w:rPr>
          <w:rFonts w:ascii="黑体" w:hAnsi="黑体" w:eastAsia="黑体" w:cs="黑体"/>
          <w:sz w:val="20"/>
          <w:szCs w:val="20"/>
        </w:rPr>
      </w:pPr>
      <w:r>
        <w:rPr>
          <w:rFonts w:ascii="黑体" w:hAnsi="黑体" w:eastAsia="黑体" w:cs="黑体"/>
          <w:b/>
          <w:bCs/>
          <w:spacing w:val="-4"/>
          <w:sz w:val="20"/>
          <w:szCs w:val="20"/>
        </w:rPr>
        <w:t>二、植物的生长发育</w:t>
      </w:r>
    </w:p>
    <w:p w14:paraId="30BBCB7A">
      <w:pPr>
        <w:spacing w:line="162" w:lineRule="exact"/>
      </w:pPr>
    </w:p>
    <w:tbl>
      <w:tblPr>
        <w:tblStyle w:val="5"/>
        <w:tblW w:w="410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44"/>
        <w:gridCol w:w="2654"/>
        <w:gridCol w:w="229"/>
        <w:gridCol w:w="219"/>
        <w:gridCol w:w="239"/>
        <w:gridCol w:w="224"/>
      </w:tblGrid>
      <w:tr w14:paraId="7EFCA9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9" w:hRule="atLeast"/>
        </w:trPr>
        <w:tc>
          <w:tcPr>
            <w:tcW w:w="544" w:type="dxa"/>
            <w:vMerge w:val="restart"/>
            <w:tcBorders>
              <w:top w:val="single" w:color="000000" w:sz="2" w:space="0"/>
              <w:bottom w:val="nil"/>
            </w:tcBorders>
            <w:vAlign w:val="top"/>
          </w:tcPr>
          <w:p w14:paraId="26285389">
            <w:pPr>
              <w:pStyle w:val="6"/>
              <w:spacing w:before="97" w:line="226" w:lineRule="auto"/>
              <w:ind w:left="7" w:right="26" w:firstLine="89"/>
              <w:jc w:val="right"/>
            </w:pPr>
            <w:r>
              <w:rPr>
                <w:b/>
                <w:bCs/>
                <w:spacing w:val="-7"/>
              </w:rPr>
              <w:t>知识</w:t>
            </w:r>
            <w:r>
              <w:t xml:space="preserve">  </w:t>
            </w:r>
            <w:r>
              <w:rPr>
                <w:b/>
                <w:bCs/>
                <w:spacing w:val="-6"/>
              </w:rPr>
              <w:t>与技能</w:t>
            </w:r>
            <w:r>
              <w:rPr>
                <w:spacing w:val="1"/>
              </w:rPr>
              <w:t xml:space="preserve"> </w:t>
            </w:r>
            <w:r>
              <w:rPr>
                <w:b/>
                <w:bCs/>
                <w:spacing w:val="-4"/>
              </w:rPr>
              <w:t>要点</w:t>
            </w:r>
          </w:p>
        </w:tc>
        <w:tc>
          <w:tcPr>
            <w:tcW w:w="2654" w:type="dxa"/>
            <w:vMerge w:val="restart"/>
            <w:tcBorders>
              <w:top w:val="single" w:color="000000" w:sz="2" w:space="0"/>
              <w:bottom w:val="nil"/>
            </w:tcBorders>
            <w:vAlign w:val="top"/>
          </w:tcPr>
          <w:p w14:paraId="5071E734">
            <w:pPr>
              <w:spacing w:line="257" w:lineRule="auto"/>
              <w:rPr>
                <w:rFonts w:ascii="Arial"/>
                <w:sz w:val="21"/>
              </w:rPr>
            </w:pPr>
          </w:p>
          <w:p w14:paraId="23E7C461">
            <w:pPr>
              <w:pStyle w:val="6"/>
              <w:spacing w:before="55" w:line="219" w:lineRule="auto"/>
              <w:ind w:left="1013"/>
            </w:pPr>
            <w:r>
              <w:rPr>
                <w:b/>
                <w:bCs/>
                <w:spacing w:val="5"/>
              </w:rPr>
              <w:t>考试条目</w:t>
            </w:r>
          </w:p>
        </w:tc>
        <w:tc>
          <w:tcPr>
            <w:tcW w:w="911" w:type="dxa"/>
            <w:gridSpan w:val="4"/>
            <w:tcBorders>
              <w:top w:val="single" w:color="000000" w:sz="2" w:space="0"/>
              <w:bottom w:val="single" w:color="000000" w:sz="2" w:space="0"/>
            </w:tcBorders>
            <w:vAlign w:val="top"/>
          </w:tcPr>
          <w:p w14:paraId="79738FD2">
            <w:pPr>
              <w:pStyle w:val="6"/>
              <w:spacing w:before="114" w:line="219" w:lineRule="auto"/>
              <w:ind w:left="129"/>
            </w:pPr>
            <w:r>
              <w:rPr>
                <w:b/>
                <w:bCs/>
                <w:spacing w:val="-4"/>
              </w:rPr>
              <w:t>考试水平</w:t>
            </w:r>
          </w:p>
        </w:tc>
      </w:tr>
      <w:tr w14:paraId="1241EB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4" w:hRule="atLeast"/>
        </w:trPr>
        <w:tc>
          <w:tcPr>
            <w:tcW w:w="544" w:type="dxa"/>
            <w:vMerge w:val="continue"/>
            <w:tcBorders>
              <w:top w:val="nil"/>
              <w:bottom w:val="single" w:color="000000" w:sz="2" w:space="0"/>
            </w:tcBorders>
            <w:vAlign w:val="top"/>
          </w:tcPr>
          <w:p w14:paraId="26BFCEBA">
            <w:pPr>
              <w:rPr>
                <w:rFonts w:ascii="Arial"/>
                <w:sz w:val="21"/>
              </w:rPr>
            </w:pPr>
          </w:p>
        </w:tc>
        <w:tc>
          <w:tcPr>
            <w:tcW w:w="2654" w:type="dxa"/>
            <w:vMerge w:val="continue"/>
            <w:tcBorders>
              <w:top w:val="nil"/>
              <w:bottom w:val="single" w:color="000000" w:sz="2" w:space="0"/>
            </w:tcBorders>
            <w:vAlign w:val="top"/>
          </w:tcPr>
          <w:p w14:paraId="1BBB6BEB">
            <w:pPr>
              <w:rPr>
                <w:rFonts w:ascii="Arial"/>
                <w:sz w:val="21"/>
              </w:rPr>
            </w:pPr>
          </w:p>
        </w:tc>
        <w:tc>
          <w:tcPr>
            <w:tcW w:w="229" w:type="dxa"/>
            <w:tcBorders>
              <w:top w:val="single" w:color="000000" w:sz="2" w:space="0"/>
              <w:bottom w:val="single" w:color="000000" w:sz="2" w:space="0"/>
            </w:tcBorders>
            <w:vAlign w:val="top"/>
          </w:tcPr>
          <w:p w14:paraId="3D25343B">
            <w:pPr>
              <w:pStyle w:val="6"/>
              <w:spacing w:before="155" w:line="184" w:lineRule="auto"/>
              <w:ind w:left="16"/>
            </w:pPr>
            <w:r>
              <w:t>A</w:t>
            </w:r>
          </w:p>
        </w:tc>
        <w:tc>
          <w:tcPr>
            <w:tcW w:w="219" w:type="dxa"/>
            <w:tcBorders>
              <w:top w:val="single" w:color="000000" w:sz="2" w:space="0"/>
              <w:bottom w:val="single" w:color="000000" w:sz="2" w:space="0"/>
            </w:tcBorders>
            <w:vAlign w:val="top"/>
          </w:tcPr>
          <w:p w14:paraId="79236A35">
            <w:pPr>
              <w:pStyle w:val="6"/>
              <w:spacing w:before="157" w:line="182" w:lineRule="auto"/>
              <w:ind w:left="18"/>
            </w:pPr>
            <w:r>
              <w:t>B</w:t>
            </w:r>
          </w:p>
        </w:tc>
        <w:tc>
          <w:tcPr>
            <w:tcW w:w="239" w:type="dxa"/>
            <w:tcBorders>
              <w:top w:val="single" w:color="000000" w:sz="2" w:space="0"/>
              <w:bottom w:val="single" w:color="000000" w:sz="2" w:space="0"/>
            </w:tcBorders>
            <w:vAlign w:val="top"/>
          </w:tcPr>
          <w:p w14:paraId="77555074">
            <w:pPr>
              <w:pStyle w:val="6"/>
              <w:spacing w:before="156" w:line="183" w:lineRule="auto"/>
              <w:ind w:left="19"/>
            </w:pPr>
            <w:r>
              <w:t>C</w:t>
            </w:r>
          </w:p>
        </w:tc>
        <w:tc>
          <w:tcPr>
            <w:tcW w:w="224" w:type="dxa"/>
            <w:tcBorders>
              <w:top w:val="single" w:color="000000" w:sz="2" w:space="0"/>
              <w:bottom w:val="single" w:color="000000" w:sz="2" w:space="0"/>
            </w:tcBorders>
            <w:vAlign w:val="top"/>
          </w:tcPr>
          <w:p w14:paraId="58F98811">
            <w:pPr>
              <w:pStyle w:val="6"/>
              <w:spacing w:before="157" w:line="182" w:lineRule="auto"/>
              <w:ind w:left="19"/>
            </w:pPr>
            <w:r>
              <w:t>D</w:t>
            </w:r>
          </w:p>
        </w:tc>
      </w:tr>
      <w:tr w14:paraId="4E536A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44" w:hRule="atLeast"/>
        </w:trPr>
        <w:tc>
          <w:tcPr>
            <w:tcW w:w="544" w:type="dxa"/>
            <w:tcBorders>
              <w:top w:val="single" w:color="000000" w:sz="2" w:space="0"/>
              <w:bottom w:val="single" w:color="000000" w:sz="2" w:space="0"/>
            </w:tcBorders>
            <w:vAlign w:val="top"/>
          </w:tcPr>
          <w:p w14:paraId="34B9BE10">
            <w:pPr>
              <w:pStyle w:val="6"/>
              <w:spacing w:before="174" w:line="229" w:lineRule="auto"/>
              <w:ind w:left="94" w:right="88"/>
              <w:jc w:val="both"/>
            </w:pPr>
            <w:r>
              <w:rPr>
                <w:spacing w:val="-4"/>
              </w:rPr>
              <w:t>植物</w:t>
            </w:r>
            <w:r>
              <w:t xml:space="preserve"> </w:t>
            </w:r>
            <w:r>
              <w:rPr>
                <w:spacing w:val="5"/>
              </w:rPr>
              <w:t>的细</w:t>
            </w:r>
            <w:r>
              <w:t xml:space="preserve"> </w:t>
            </w:r>
            <w:r>
              <w:rPr>
                <w:spacing w:val="26"/>
                <w:w w:val="127"/>
              </w:rPr>
              <w:t>胞</w:t>
            </w:r>
          </w:p>
        </w:tc>
        <w:tc>
          <w:tcPr>
            <w:tcW w:w="2654" w:type="dxa"/>
            <w:tcBorders>
              <w:top w:val="single" w:color="000000" w:sz="2" w:space="0"/>
              <w:bottom w:val="single" w:color="000000" w:sz="2" w:space="0"/>
            </w:tcBorders>
            <w:vAlign w:val="top"/>
          </w:tcPr>
          <w:p w14:paraId="75903CC5">
            <w:pPr>
              <w:pStyle w:val="6"/>
              <w:spacing w:before="183" w:line="219" w:lineRule="auto"/>
              <w:ind w:left="81"/>
            </w:pPr>
            <w:r>
              <w:t>1.植物细胞概述</w:t>
            </w:r>
          </w:p>
          <w:p w14:paraId="7D1CF16C">
            <w:pPr>
              <w:pStyle w:val="6"/>
              <w:spacing w:before="17" w:line="238" w:lineRule="auto"/>
              <w:ind w:left="81" w:right="871"/>
            </w:pPr>
            <w:r>
              <w:rPr>
                <w:spacing w:val="-1"/>
              </w:rPr>
              <w:t>2.植物细胞的基本结构</w:t>
            </w:r>
            <w:r>
              <w:rPr>
                <w:spacing w:val="1"/>
              </w:rPr>
              <w:t xml:space="preserve"> </w:t>
            </w:r>
            <w:r>
              <w:rPr>
                <w:spacing w:val="-2"/>
              </w:rPr>
              <w:t>3.无丝分裂</w:t>
            </w:r>
          </w:p>
        </w:tc>
        <w:tc>
          <w:tcPr>
            <w:tcW w:w="229" w:type="dxa"/>
            <w:tcBorders>
              <w:top w:val="single" w:color="000000" w:sz="2" w:space="0"/>
              <w:bottom w:val="single" w:color="000000" w:sz="2" w:space="0"/>
            </w:tcBorders>
            <w:vAlign w:val="top"/>
          </w:tcPr>
          <w:p w14:paraId="15C19FA3">
            <w:pPr>
              <w:rPr>
                <w:rFonts w:ascii="Arial"/>
                <w:sz w:val="21"/>
              </w:rPr>
            </w:pPr>
          </w:p>
        </w:tc>
        <w:tc>
          <w:tcPr>
            <w:tcW w:w="219" w:type="dxa"/>
            <w:tcBorders>
              <w:top w:val="single" w:color="000000" w:sz="2" w:space="0"/>
              <w:bottom w:val="single" w:color="000000" w:sz="2" w:space="0"/>
            </w:tcBorders>
            <w:vAlign w:val="top"/>
          </w:tcPr>
          <w:p w14:paraId="7D15116F">
            <w:pPr>
              <w:rPr>
                <w:rFonts w:ascii="Arial"/>
                <w:sz w:val="21"/>
              </w:rPr>
            </w:pPr>
          </w:p>
        </w:tc>
        <w:tc>
          <w:tcPr>
            <w:tcW w:w="239" w:type="dxa"/>
            <w:tcBorders>
              <w:top w:val="single" w:color="000000" w:sz="2" w:space="0"/>
              <w:bottom w:val="single" w:color="000000" w:sz="2" w:space="0"/>
            </w:tcBorders>
            <w:vAlign w:val="top"/>
          </w:tcPr>
          <w:p w14:paraId="6C79CEC4">
            <w:pPr>
              <w:rPr>
                <w:rFonts w:ascii="Arial"/>
                <w:sz w:val="21"/>
              </w:rPr>
            </w:pPr>
          </w:p>
        </w:tc>
        <w:tc>
          <w:tcPr>
            <w:tcW w:w="224" w:type="dxa"/>
            <w:tcBorders>
              <w:top w:val="single" w:color="000000" w:sz="2" w:space="0"/>
              <w:bottom w:val="single" w:color="000000" w:sz="2" w:space="0"/>
            </w:tcBorders>
            <w:vAlign w:val="top"/>
          </w:tcPr>
          <w:p w14:paraId="520D0D1A">
            <w:pPr>
              <w:rPr>
                <w:rFonts w:ascii="Arial"/>
                <w:sz w:val="21"/>
              </w:rPr>
            </w:pPr>
          </w:p>
        </w:tc>
      </w:tr>
      <w:tr w14:paraId="271DAB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2" w:hRule="atLeast"/>
        </w:trPr>
        <w:tc>
          <w:tcPr>
            <w:tcW w:w="544" w:type="dxa"/>
            <w:tcBorders>
              <w:top w:val="single" w:color="000000" w:sz="2" w:space="0"/>
              <w:bottom w:val="nil"/>
            </w:tcBorders>
            <w:vAlign w:val="top"/>
          </w:tcPr>
          <w:p w14:paraId="135C1584">
            <w:pPr>
              <w:pStyle w:val="6"/>
              <w:spacing w:before="154" w:line="204" w:lineRule="auto"/>
              <w:ind w:left="94"/>
            </w:pPr>
            <w:r>
              <w:rPr>
                <w:spacing w:val="-2"/>
              </w:rPr>
              <w:t>植物</w:t>
            </w:r>
          </w:p>
        </w:tc>
        <w:tc>
          <w:tcPr>
            <w:tcW w:w="2654" w:type="dxa"/>
            <w:tcBorders>
              <w:top w:val="single" w:color="000000" w:sz="2" w:space="0"/>
              <w:bottom w:val="nil"/>
            </w:tcBorders>
            <w:vAlign w:val="top"/>
          </w:tcPr>
          <w:p w14:paraId="6C596656">
            <w:pPr>
              <w:pStyle w:val="6"/>
              <w:spacing w:before="165" w:line="192" w:lineRule="auto"/>
              <w:ind w:left="81"/>
            </w:pPr>
            <w:r>
              <w:rPr>
                <w:spacing w:val="1"/>
              </w:rPr>
              <w:t>1.分生组织</w:t>
            </w:r>
          </w:p>
        </w:tc>
        <w:tc>
          <w:tcPr>
            <w:tcW w:w="229" w:type="dxa"/>
            <w:tcBorders>
              <w:top w:val="single" w:color="000000" w:sz="2" w:space="0"/>
              <w:bottom w:val="nil"/>
            </w:tcBorders>
            <w:vAlign w:val="top"/>
          </w:tcPr>
          <w:p w14:paraId="7726B354">
            <w:pPr>
              <w:rPr>
                <w:rFonts w:ascii="Arial"/>
                <w:sz w:val="21"/>
              </w:rPr>
            </w:pPr>
          </w:p>
        </w:tc>
        <w:tc>
          <w:tcPr>
            <w:tcW w:w="219" w:type="dxa"/>
            <w:tcBorders>
              <w:top w:val="single" w:color="000000" w:sz="2" w:space="0"/>
              <w:bottom w:val="nil"/>
            </w:tcBorders>
            <w:vAlign w:val="top"/>
          </w:tcPr>
          <w:p w14:paraId="7B2097AD">
            <w:pPr>
              <w:rPr>
                <w:rFonts w:ascii="Arial"/>
                <w:sz w:val="21"/>
              </w:rPr>
            </w:pPr>
          </w:p>
        </w:tc>
        <w:tc>
          <w:tcPr>
            <w:tcW w:w="239" w:type="dxa"/>
            <w:tcBorders>
              <w:top w:val="single" w:color="000000" w:sz="2" w:space="0"/>
              <w:bottom w:val="nil"/>
            </w:tcBorders>
            <w:vAlign w:val="top"/>
          </w:tcPr>
          <w:p w14:paraId="79C8695E">
            <w:pPr>
              <w:rPr>
                <w:rFonts w:ascii="Arial"/>
                <w:sz w:val="21"/>
              </w:rPr>
            </w:pPr>
          </w:p>
        </w:tc>
        <w:tc>
          <w:tcPr>
            <w:tcW w:w="224" w:type="dxa"/>
            <w:tcBorders>
              <w:top w:val="single" w:color="000000" w:sz="2" w:space="0"/>
              <w:bottom w:val="nil"/>
            </w:tcBorders>
            <w:vAlign w:val="top"/>
          </w:tcPr>
          <w:p w14:paraId="70A55EBC">
            <w:pPr>
              <w:rPr>
                <w:rFonts w:ascii="Arial"/>
                <w:sz w:val="21"/>
              </w:rPr>
            </w:pPr>
          </w:p>
        </w:tc>
      </w:tr>
      <w:tr w14:paraId="4411E6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1" w:hRule="atLeast"/>
        </w:trPr>
        <w:tc>
          <w:tcPr>
            <w:tcW w:w="544" w:type="dxa"/>
            <w:tcBorders>
              <w:top w:val="nil"/>
              <w:bottom w:val="nil"/>
            </w:tcBorders>
            <w:vAlign w:val="top"/>
          </w:tcPr>
          <w:p w14:paraId="0B297456">
            <w:pPr>
              <w:pStyle w:val="6"/>
              <w:spacing w:before="24" w:line="202" w:lineRule="auto"/>
              <w:ind w:left="94"/>
            </w:pPr>
            <w:r>
              <w:rPr>
                <w:spacing w:val="3"/>
              </w:rPr>
              <w:t>的组</w:t>
            </w:r>
          </w:p>
        </w:tc>
        <w:tc>
          <w:tcPr>
            <w:tcW w:w="2654" w:type="dxa"/>
            <w:tcBorders>
              <w:top w:val="nil"/>
              <w:bottom w:val="nil"/>
            </w:tcBorders>
            <w:vAlign w:val="top"/>
          </w:tcPr>
          <w:p w14:paraId="17151600">
            <w:pPr>
              <w:pStyle w:val="6"/>
              <w:spacing w:before="33" w:line="193" w:lineRule="auto"/>
              <w:ind w:left="81"/>
            </w:pPr>
            <w:r>
              <w:rPr>
                <w:spacing w:val="-2"/>
              </w:rPr>
              <w:t>2.成熟组织</w:t>
            </w:r>
          </w:p>
        </w:tc>
        <w:tc>
          <w:tcPr>
            <w:tcW w:w="229" w:type="dxa"/>
            <w:tcBorders>
              <w:top w:val="nil"/>
              <w:bottom w:val="nil"/>
            </w:tcBorders>
            <w:vAlign w:val="top"/>
          </w:tcPr>
          <w:p w14:paraId="14E5EE6A">
            <w:pPr>
              <w:spacing w:line="210" w:lineRule="exact"/>
              <w:rPr>
                <w:rFonts w:ascii="Arial"/>
                <w:sz w:val="18"/>
              </w:rPr>
            </w:pPr>
          </w:p>
        </w:tc>
        <w:tc>
          <w:tcPr>
            <w:tcW w:w="219" w:type="dxa"/>
            <w:tcBorders>
              <w:top w:val="nil"/>
              <w:bottom w:val="nil"/>
            </w:tcBorders>
            <w:vAlign w:val="top"/>
          </w:tcPr>
          <w:p w14:paraId="7278A0E5">
            <w:pPr>
              <w:spacing w:line="210" w:lineRule="exact"/>
              <w:rPr>
                <w:rFonts w:ascii="Arial"/>
                <w:sz w:val="18"/>
              </w:rPr>
            </w:pPr>
            <w:r>
              <w:drawing>
                <wp:anchor distT="0" distB="0" distL="0" distR="0" simplePos="0" relativeHeight="251660288" behindDoc="1" locked="0" layoutInCell="1" allowOverlap="1">
                  <wp:simplePos x="0" y="0"/>
                  <wp:positionH relativeFrom="rightMargin">
                    <wp:posOffset>-159385</wp:posOffset>
                  </wp:positionH>
                  <wp:positionV relativeFrom="topMargin">
                    <wp:posOffset>-31750</wp:posOffset>
                  </wp:positionV>
                  <wp:extent cx="149860" cy="208280"/>
                  <wp:effectExtent l="0" t="0" r="0" b="0"/>
                  <wp:wrapNone/>
                  <wp:docPr id="12" name="IM 12"/>
                  <wp:cNvGraphicFramePr/>
                  <a:graphic xmlns:a="http://schemas.openxmlformats.org/drawingml/2006/main">
                    <a:graphicData uri="http://schemas.openxmlformats.org/drawingml/2006/picture">
                      <pic:pic xmlns:pic="http://schemas.openxmlformats.org/drawingml/2006/picture">
                        <pic:nvPicPr>
                          <pic:cNvPr id="12" name="IM 12"/>
                          <pic:cNvPicPr/>
                        </pic:nvPicPr>
                        <pic:blipFill>
                          <a:blip r:embed="rId171"/>
                          <a:stretch>
                            <a:fillRect/>
                          </a:stretch>
                        </pic:blipFill>
                        <pic:spPr>
                          <a:xfrm>
                            <a:off x="0" y="0"/>
                            <a:ext cx="149652" cy="208150"/>
                          </a:xfrm>
                          <a:prstGeom prst="rect">
                            <a:avLst/>
                          </a:prstGeom>
                        </pic:spPr>
                      </pic:pic>
                    </a:graphicData>
                  </a:graphic>
                </wp:anchor>
              </w:drawing>
            </w:r>
          </w:p>
        </w:tc>
        <w:tc>
          <w:tcPr>
            <w:tcW w:w="239" w:type="dxa"/>
            <w:tcBorders>
              <w:top w:val="nil"/>
              <w:bottom w:val="nil"/>
            </w:tcBorders>
            <w:vAlign w:val="top"/>
          </w:tcPr>
          <w:p w14:paraId="0420E82B">
            <w:pPr>
              <w:spacing w:line="210" w:lineRule="exact"/>
              <w:rPr>
                <w:rFonts w:ascii="Arial"/>
                <w:sz w:val="18"/>
              </w:rPr>
            </w:pPr>
          </w:p>
        </w:tc>
        <w:tc>
          <w:tcPr>
            <w:tcW w:w="224" w:type="dxa"/>
            <w:tcBorders>
              <w:top w:val="nil"/>
              <w:bottom w:val="nil"/>
            </w:tcBorders>
            <w:vAlign w:val="top"/>
          </w:tcPr>
          <w:p w14:paraId="199C415A">
            <w:pPr>
              <w:spacing w:line="210" w:lineRule="exact"/>
              <w:rPr>
                <w:rFonts w:ascii="Arial"/>
                <w:sz w:val="18"/>
              </w:rPr>
            </w:pPr>
          </w:p>
        </w:tc>
      </w:tr>
      <w:tr w14:paraId="28B309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1" w:hRule="atLeast"/>
        </w:trPr>
        <w:tc>
          <w:tcPr>
            <w:tcW w:w="544" w:type="dxa"/>
            <w:tcBorders>
              <w:top w:val="nil"/>
              <w:bottom w:val="single" w:color="000000" w:sz="2" w:space="0"/>
            </w:tcBorders>
            <w:vAlign w:val="top"/>
          </w:tcPr>
          <w:p w14:paraId="7F981608">
            <w:pPr>
              <w:pStyle w:val="6"/>
              <w:spacing w:before="24" w:line="224" w:lineRule="auto"/>
              <w:ind w:left="175"/>
            </w:pPr>
            <w:r>
              <w:t>织</w:t>
            </w:r>
          </w:p>
        </w:tc>
        <w:tc>
          <w:tcPr>
            <w:tcW w:w="2654" w:type="dxa"/>
            <w:tcBorders>
              <w:top w:val="nil"/>
              <w:bottom w:val="single" w:color="000000" w:sz="2" w:space="0"/>
            </w:tcBorders>
            <w:vAlign w:val="top"/>
          </w:tcPr>
          <w:p w14:paraId="6A677468">
            <w:pPr>
              <w:pStyle w:val="6"/>
              <w:spacing w:before="32" w:line="221" w:lineRule="auto"/>
              <w:ind w:left="81"/>
            </w:pPr>
            <w:r>
              <w:rPr>
                <w:spacing w:val="-2"/>
              </w:rPr>
              <w:t>3.组织系统</w:t>
            </w:r>
          </w:p>
        </w:tc>
        <w:tc>
          <w:tcPr>
            <w:tcW w:w="229" w:type="dxa"/>
            <w:tcBorders>
              <w:top w:val="nil"/>
              <w:bottom w:val="single" w:color="000000" w:sz="2" w:space="0"/>
            </w:tcBorders>
            <w:vAlign w:val="top"/>
          </w:tcPr>
          <w:p w14:paraId="384AF68E">
            <w:pPr>
              <w:rPr>
                <w:rFonts w:ascii="Arial"/>
                <w:sz w:val="21"/>
              </w:rPr>
            </w:pPr>
          </w:p>
        </w:tc>
        <w:tc>
          <w:tcPr>
            <w:tcW w:w="219" w:type="dxa"/>
            <w:tcBorders>
              <w:top w:val="nil"/>
              <w:bottom w:val="single" w:color="000000" w:sz="2" w:space="0"/>
            </w:tcBorders>
            <w:vAlign w:val="top"/>
          </w:tcPr>
          <w:p w14:paraId="5458962D">
            <w:pPr>
              <w:rPr>
                <w:rFonts w:ascii="Arial"/>
                <w:sz w:val="21"/>
              </w:rPr>
            </w:pPr>
          </w:p>
        </w:tc>
        <w:tc>
          <w:tcPr>
            <w:tcW w:w="239" w:type="dxa"/>
            <w:tcBorders>
              <w:top w:val="nil"/>
              <w:bottom w:val="single" w:color="000000" w:sz="2" w:space="0"/>
            </w:tcBorders>
            <w:vAlign w:val="top"/>
          </w:tcPr>
          <w:p w14:paraId="046E89EE">
            <w:pPr>
              <w:rPr>
                <w:rFonts w:ascii="Arial"/>
                <w:sz w:val="21"/>
              </w:rPr>
            </w:pPr>
          </w:p>
        </w:tc>
        <w:tc>
          <w:tcPr>
            <w:tcW w:w="224" w:type="dxa"/>
            <w:tcBorders>
              <w:top w:val="nil"/>
              <w:bottom w:val="single" w:color="000000" w:sz="2" w:space="0"/>
            </w:tcBorders>
            <w:vAlign w:val="top"/>
          </w:tcPr>
          <w:p w14:paraId="42F27F67">
            <w:pPr>
              <w:rPr>
                <w:rFonts w:ascii="Arial"/>
                <w:sz w:val="21"/>
              </w:rPr>
            </w:pPr>
          </w:p>
        </w:tc>
      </w:tr>
      <w:tr w14:paraId="481D0D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74" w:hRule="atLeast"/>
        </w:trPr>
        <w:tc>
          <w:tcPr>
            <w:tcW w:w="544" w:type="dxa"/>
            <w:tcBorders>
              <w:top w:val="single" w:color="000000" w:sz="2" w:space="0"/>
              <w:bottom w:val="single" w:color="000000" w:sz="2" w:space="0"/>
            </w:tcBorders>
            <w:vAlign w:val="top"/>
          </w:tcPr>
          <w:p w14:paraId="6F4FE448">
            <w:pPr>
              <w:pStyle w:val="6"/>
              <w:spacing w:before="293" w:line="227" w:lineRule="auto"/>
              <w:ind w:left="94" w:right="87"/>
              <w:jc w:val="both"/>
            </w:pPr>
            <w:r>
              <w:rPr>
                <w:spacing w:val="-4"/>
              </w:rPr>
              <w:t>植物</w:t>
            </w:r>
            <w:r>
              <w:t xml:space="preserve"> </w:t>
            </w:r>
            <w:r>
              <w:rPr>
                <w:spacing w:val="5"/>
              </w:rPr>
              <w:t>的营</w:t>
            </w:r>
            <w:r>
              <w:t xml:space="preserve"> </w:t>
            </w:r>
            <w:r>
              <w:rPr>
                <w:spacing w:val="-4"/>
              </w:rPr>
              <w:t>养器</w:t>
            </w:r>
            <w:r>
              <w:t xml:space="preserve"> </w:t>
            </w:r>
            <w:r>
              <w:rPr>
                <w:spacing w:val="24"/>
                <w:w w:val="125"/>
              </w:rPr>
              <w:t>官</w:t>
            </w:r>
          </w:p>
        </w:tc>
        <w:tc>
          <w:tcPr>
            <w:tcW w:w="2654" w:type="dxa"/>
            <w:tcBorders>
              <w:top w:val="single" w:color="000000" w:sz="2" w:space="0"/>
              <w:bottom w:val="single" w:color="000000" w:sz="2" w:space="0"/>
            </w:tcBorders>
            <w:vAlign w:val="top"/>
          </w:tcPr>
          <w:p w14:paraId="4E50DFA1">
            <w:pPr>
              <w:pStyle w:val="6"/>
              <w:spacing w:before="195" w:line="219" w:lineRule="auto"/>
              <w:ind w:left="81"/>
            </w:pPr>
            <w:r>
              <w:t>1.植物器官的概念</w:t>
            </w:r>
          </w:p>
          <w:p w14:paraId="72D5D8BB">
            <w:pPr>
              <w:pStyle w:val="6"/>
              <w:spacing w:before="28" w:line="232" w:lineRule="auto"/>
              <w:ind w:left="81" w:right="1718"/>
              <w:jc w:val="both"/>
            </w:pPr>
            <w:r>
              <w:rPr>
                <w:spacing w:val="-2"/>
              </w:rPr>
              <w:t>2.植物的根</w:t>
            </w:r>
            <w:r>
              <w:rPr>
                <w:spacing w:val="2"/>
              </w:rPr>
              <w:t xml:space="preserve"> </w:t>
            </w:r>
            <w:r>
              <w:rPr>
                <w:spacing w:val="-2"/>
              </w:rPr>
              <w:t>3.植物的茎</w:t>
            </w:r>
            <w:r>
              <w:t xml:space="preserve"> </w:t>
            </w:r>
            <w:r>
              <w:rPr>
                <w:spacing w:val="-1"/>
              </w:rPr>
              <w:t>4.植物的叶</w:t>
            </w:r>
          </w:p>
          <w:p w14:paraId="253D4229">
            <w:pPr>
              <w:pStyle w:val="6"/>
              <w:spacing w:before="18" w:line="219" w:lineRule="auto"/>
              <w:ind w:left="81"/>
            </w:pPr>
            <w:r>
              <w:rPr>
                <w:spacing w:val="-1"/>
              </w:rPr>
              <w:t>5.植物营养器官的变态</w:t>
            </w:r>
          </w:p>
        </w:tc>
        <w:tc>
          <w:tcPr>
            <w:tcW w:w="229" w:type="dxa"/>
            <w:tcBorders>
              <w:top w:val="single" w:color="000000" w:sz="2" w:space="0"/>
              <w:bottom w:val="single" w:color="000000" w:sz="2" w:space="0"/>
            </w:tcBorders>
            <w:vAlign w:val="top"/>
          </w:tcPr>
          <w:p w14:paraId="39BDC15D">
            <w:pPr>
              <w:rPr>
                <w:rFonts w:ascii="Arial"/>
                <w:sz w:val="21"/>
              </w:rPr>
            </w:pPr>
          </w:p>
        </w:tc>
        <w:tc>
          <w:tcPr>
            <w:tcW w:w="219" w:type="dxa"/>
            <w:tcBorders>
              <w:top w:val="single" w:color="000000" w:sz="2" w:space="0"/>
              <w:bottom w:val="single" w:color="000000" w:sz="2" w:space="0"/>
            </w:tcBorders>
            <w:vAlign w:val="top"/>
          </w:tcPr>
          <w:p w14:paraId="3F2FBE37">
            <w:pPr>
              <w:spacing w:line="411" w:lineRule="auto"/>
              <w:rPr>
                <w:rFonts w:ascii="Arial"/>
                <w:sz w:val="21"/>
              </w:rPr>
            </w:pPr>
          </w:p>
          <w:p w14:paraId="51ADC7ED">
            <w:pPr>
              <w:spacing w:line="557" w:lineRule="exact"/>
              <w:ind w:firstLine="38"/>
            </w:pPr>
            <w:r>
              <w:rPr>
                <w:position w:val="-11"/>
              </w:rPr>
              <w:drawing>
                <wp:inline distT="0" distB="0" distL="0" distR="0">
                  <wp:extent cx="99695" cy="353060"/>
                  <wp:effectExtent l="0" t="0" r="0" b="0"/>
                  <wp:docPr id="14" name="IM 14"/>
                  <wp:cNvGraphicFramePr/>
                  <a:graphic xmlns:a="http://schemas.openxmlformats.org/drawingml/2006/main">
                    <a:graphicData uri="http://schemas.openxmlformats.org/drawingml/2006/picture">
                      <pic:pic xmlns:pic="http://schemas.openxmlformats.org/drawingml/2006/picture">
                        <pic:nvPicPr>
                          <pic:cNvPr id="14" name="IM 14"/>
                          <pic:cNvPicPr/>
                        </pic:nvPicPr>
                        <pic:blipFill>
                          <a:blip r:embed="rId172"/>
                          <a:stretch>
                            <a:fillRect/>
                          </a:stretch>
                        </pic:blipFill>
                        <pic:spPr>
                          <a:xfrm>
                            <a:off x="0" y="0"/>
                            <a:ext cx="100026" cy="353351"/>
                          </a:xfrm>
                          <a:prstGeom prst="rect">
                            <a:avLst/>
                          </a:prstGeom>
                        </pic:spPr>
                      </pic:pic>
                    </a:graphicData>
                  </a:graphic>
                </wp:inline>
              </w:drawing>
            </w:r>
          </w:p>
        </w:tc>
        <w:tc>
          <w:tcPr>
            <w:tcW w:w="239" w:type="dxa"/>
            <w:tcBorders>
              <w:top w:val="single" w:color="000000" w:sz="2" w:space="0"/>
              <w:bottom w:val="single" w:color="000000" w:sz="2" w:space="0"/>
            </w:tcBorders>
            <w:vAlign w:val="top"/>
          </w:tcPr>
          <w:p w14:paraId="53C0C70F">
            <w:pPr>
              <w:rPr>
                <w:rFonts w:ascii="Arial"/>
                <w:sz w:val="21"/>
              </w:rPr>
            </w:pPr>
          </w:p>
        </w:tc>
        <w:tc>
          <w:tcPr>
            <w:tcW w:w="224" w:type="dxa"/>
            <w:tcBorders>
              <w:top w:val="single" w:color="000000" w:sz="2" w:space="0"/>
              <w:bottom w:val="single" w:color="000000" w:sz="2" w:space="0"/>
            </w:tcBorders>
            <w:vAlign w:val="top"/>
          </w:tcPr>
          <w:p w14:paraId="35F5B0C5">
            <w:pPr>
              <w:rPr>
                <w:rFonts w:ascii="Arial"/>
                <w:sz w:val="21"/>
              </w:rPr>
            </w:pPr>
          </w:p>
        </w:tc>
      </w:tr>
      <w:tr w14:paraId="0C3668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34" w:hRule="atLeast"/>
        </w:trPr>
        <w:tc>
          <w:tcPr>
            <w:tcW w:w="544" w:type="dxa"/>
            <w:tcBorders>
              <w:top w:val="single" w:color="000000" w:sz="2" w:space="0"/>
              <w:bottom w:val="single" w:color="000000" w:sz="2" w:space="0"/>
            </w:tcBorders>
            <w:vAlign w:val="top"/>
          </w:tcPr>
          <w:p w14:paraId="7181D091">
            <w:pPr>
              <w:pStyle w:val="6"/>
              <w:spacing w:before="274" w:line="227" w:lineRule="auto"/>
              <w:ind w:left="94" w:right="90"/>
            </w:pPr>
            <w:r>
              <w:rPr>
                <w:spacing w:val="-4"/>
              </w:rPr>
              <w:t>植物</w:t>
            </w:r>
            <w:r>
              <w:t xml:space="preserve"> </w:t>
            </w:r>
            <w:r>
              <w:rPr>
                <w:spacing w:val="4"/>
              </w:rPr>
              <w:t>的生</w:t>
            </w:r>
            <w:r>
              <w:t xml:space="preserve"> </w:t>
            </w:r>
            <w:r>
              <w:rPr>
                <w:spacing w:val="26"/>
                <w:w w:val="127"/>
              </w:rPr>
              <w:t>殖</w:t>
            </w:r>
            <w:r>
              <w:t xml:space="preserve">  </w:t>
            </w:r>
            <w:r>
              <w:rPr>
                <w:spacing w:val="-2"/>
              </w:rPr>
              <w:t>器官</w:t>
            </w:r>
          </w:p>
        </w:tc>
        <w:tc>
          <w:tcPr>
            <w:tcW w:w="2654" w:type="dxa"/>
            <w:tcBorders>
              <w:top w:val="single" w:color="000000" w:sz="2" w:space="0"/>
              <w:bottom w:val="single" w:color="000000" w:sz="2" w:space="0"/>
            </w:tcBorders>
            <w:vAlign w:val="top"/>
          </w:tcPr>
          <w:p w14:paraId="754863D7">
            <w:pPr>
              <w:pStyle w:val="6"/>
              <w:spacing w:before="146" w:line="219" w:lineRule="auto"/>
              <w:ind w:left="81"/>
            </w:pPr>
            <w:r>
              <w:rPr>
                <w:spacing w:val="1"/>
              </w:rPr>
              <w:t>1.植物的花</w:t>
            </w:r>
          </w:p>
          <w:p w14:paraId="269F6D87">
            <w:pPr>
              <w:pStyle w:val="6"/>
              <w:spacing w:before="38" w:line="219" w:lineRule="auto"/>
              <w:ind w:left="81"/>
            </w:pPr>
            <w:r>
              <w:rPr>
                <w:spacing w:val="-1"/>
              </w:rPr>
              <w:t>2.种子的发育、结构和类型</w:t>
            </w:r>
          </w:p>
          <w:p w14:paraId="09234BB4">
            <w:pPr>
              <w:pStyle w:val="6"/>
              <w:spacing w:before="18" w:line="236" w:lineRule="auto"/>
              <w:ind w:left="81" w:right="1548"/>
            </w:pPr>
            <w:r>
              <w:rPr>
                <w:spacing w:val="-2"/>
              </w:rPr>
              <w:t>3.种子的萌发</w:t>
            </w:r>
            <w:r>
              <w:rPr>
                <w:spacing w:val="2"/>
              </w:rPr>
              <w:t xml:space="preserve"> </w:t>
            </w:r>
            <w:r>
              <w:rPr>
                <w:spacing w:val="-1"/>
              </w:rPr>
              <w:t>4.植物的果实</w:t>
            </w:r>
          </w:p>
          <w:p w14:paraId="345520C4">
            <w:pPr>
              <w:pStyle w:val="6"/>
              <w:spacing w:before="23" w:line="219" w:lineRule="auto"/>
              <w:ind w:left="81"/>
            </w:pPr>
            <w:r>
              <w:rPr>
                <w:spacing w:val="-2"/>
              </w:rPr>
              <w:t>5.种子和果实的传播</w:t>
            </w:r>
          </w:p>
        </w:tc>
        <w:tc>
          <w:tcPr>
            <w:tcW w:w="229" w:type="dxa"/>
            <w:tcBorders>
              <w:top w:val="single" w:color="000000" w:sz="2" w:space="0"/>
              <w:bottom w:val="single" w:color="000000" w:sz="2" w:space="0"/>
            </w:tcBorders>
            <w:vAlign w:val="top"/>
          </w:tcPr>
          <w:p w14:paraId="7D58C9FC">
            <w:pPr>
              <w:rPr>
                <w:rFonts w:ascii="Arial"/>
                <w:sz w:val="21"/>
              </w:rPr>
            </w:pPr>
          </w:p>
        </w:tc>
        <w:tc>
          <w:tcPr>
            <w:tcW w:w="219" w:type="dxa"/>
            <w:tcBorders>
              <w:top w:val="single" w:color="000000" w:sz="2" w:space="0"/>
              <w:bottom w:val="single" w:color="000000" w:sz="2" w:space="0"/>
            </w:tcBorders>
            <w:vAlign w:val="top"/>
          </w:tcPr>
          <w:p w14:paraId="67C896EC">
            <w:pPr>
              <w:rPr>
                <w:rFonts w:ascii="Arial"/>
                <w:sz w:val="21"/>
              </w:rPr>
            </w:pPr>
          </w:p>
        </w:tc>
        <w:tc>
          <w:tcPr>
            <w:tcW w:w="239" w:type="dxa"/>
            <w:tcBorders>
              <w:top w:val="single" w:color="000000" w:sz="2" w:space="0"/>
              <w:bottom w:val="single" w:color="000000" w:sz="2" w:space="0"/>
            </w:tcBorders>
            <w:vAlign w:val="top"/>
          </w:tcPr>
          <w:p w14:paraId="54ECB6B8">
            <w:pPr>
              <w:rPr>
                <w:rFonts w:ascii="Arial"/>
                <w:sz w:val="21"/>
              </w:rPr>
            </w:pPr>
          </w:p>
        </w:tc>
        <w:tc>
          <w:tcPr>
            <w:tcW w:w="224" w:type="dxa"/>
            <w:tcBorders>
              <w:top w:val="single" w:color="000000" w:sz="2" w:space="0"/>
              <w:bottom w:val="single" w:color="000000" w:sz="2" w:space="0"/>
            </w:tcBorders>
            <w:vAlign w:val="top"/>
          </w:tcPr>
          <w:p w14:paraId="320201B0">
            <w:pPr>
              <w:rPr>
                <w:rFonts w:ascii="Arial"/>
                <w:sz w:val="21"/>
              </w:rPr>
            </w:pPr>
          </w:p>
        </w:tc>
      </w:tr>
      <w:tr w14:paraId="1452D1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79" w:hRule="atLeast"/>
        </w:trPr>
        <w:tc>
          <w:tcPr>
            <w:tcW w:w="544" w:type="dxa"/>
            <w:tcBorders>
              <w:top w:val="single" w:color="000000" w:sz="2" w:space="0"/>
              <w:bottom w:val="single" w:color="000000" w:sz="2" w:space="0"/>
            </w:tcBorders>
            <w:vAlign w:val="top"/>
          </w:tcPr>
          <w:p w14:paraId="38F861E6">
            <w:pPr>
              <w:pStyle w:val="6"/>
              <w:spacing w:before="135" w:line="232" w:lineRule="auto"/>
              <w:ind w:left="94" w:right="90"/>
              <w:jc w:val="both"/>
            </w:pPr>
            <w:r>
              <w:rPr>
                <w:spacing w:val="-4"/>
              </w:rPr>
              <w:t>植物</w:t>
            </w:r>
            <w:r>
              <w:t xml:space="preserve"> </w:t>
            </w:r>
            <w:r>
              <w:rPr>
                <w:spacing w:val="4"/>
              </w:rPr>
              <w:t>的生</w:t>
            </w:r>
            <w:r>
              <w:t xml:space="preserve"> </w:t>
            </w:r>
            <w:r>
              <w:rPr>
                <w:spacing w:val="-4"/>
              </w:rPr>
              <w:t>长物</w:t>
            </w:r>
            <w:r>
              <w:t xml:space="preserve"> </w:t>
            </w:r>
            <w:r>
              <w:rPr>
                <w:spacing w:val="28"/>
                <w:w w:val="126"/>
              </w:rPr>
              <w:t>质</w:t>
            </w:r>
          </w:p>
        </w:tc>
        <w:tc>
          <w:tcPr>
            <w:tcW w:w="2654" w:type="dxa"/>
            <w:tcBorders>
              <w:top w:val="single" w:color="000000" w:sz="2" w:space="0"/>
              <w:bottom w:val="single" w:color="000000" w:sz="2" w:space="0"/>
            </w:tcBorders>
            <w:vAlign w:val="top"/>
          </w:tcPr>
          <w:p w14:paraId="35148967">
            <w:pPr>
              <w:spacing w:line="309" w:lineRule="auto"/>
              <w:rPr>
                <w:rFonts w:ascii="Arial"/>
                <w:sz w:val="21"/>
              </w:rPr>
            </w:pPr>
          </w:p>
          <w:p w14:paraId="72940E1B">
            <w:pPr>
              <w:pStyle w:val="6"/>
              <w:spacing w:before="55" w:line="223" w:lineRule="auto"/>
              <w:ind w:left="81" w:right="162"/>
            </w:pPr>
            <w:r>
              <w:rPr>
                <w:spacing w:val="1"/>
              </w:rPr>
              <w:t>1.常见植物激素的主要生理作用</w:t>
            </w:r>
            <w:r>
              <w:rPr>
                <w:spacing w:val="4"/>
              </w:rPr>
              <w:t xml:space="preserve"> </w:t>
            </w:r>
            <w:r>
              <w:rPr>
                <w:spacing w:val="-1"/>
              </w:rPr>
              <w:t>2.植物生长调节剂</w:t>
            </w:r>
          </w:p>
        </w:tc>
        <w:tc>
          <w:tcPr>
            <w:tcW w:w="229" w:type="dxa"/>
            <w:tcBorders>
              <w:top w:val="single" w:color="000000" w:sz="2" w:space="0"/>
              <w:bottom w:val="single" w:color="000000" w:sz="2" w:space="0"/>
            </w:tcBorders>
            <w:vAlign w:val="top"/>
          </w:tcPr>
          <w:p w14:paraId="4F42CD30">
            <w:pPr>
              <w:rPr>
                <w:rFonts w:ascii="Arial"/>
                <w:sz w:val="21"/>
              </w:rPr>
            </w:pPr>
          </w:p>
        </w:tc>
        <w:tc>
          <w:tcPr>
            <w:tcW w:w="219" w:type="dxa"/>
            <w:tcBorders>
              <w:top w:val="single" w:color="000000" w:sz="2" w:space="0"/>
              <w:bottom w:val="single" w:color="000000" w:sz="2" w:space="0"/>
            </w:tcBorders>
            <w:vAlign w:val="top"/>
          </w:tcPr>
          <w:p w14:paraId="2E5701BE">
            <w:pPr>
              <w:rPr>
                <w:rFonts w:ascii="Arial"/>
                <w:sz w:val="21"/>
              </w:rPr>
            </w:pPr>
          </w:p>
        </w:tc>
        <w:tc>
          <w:tcPr>
            <w:tcW w:w="239" w:type="dxa"/>
            <w:tcBorders>
              <w:top w:val="single" w:color="000000" w:sz="2" w:space="0"/>
              <w:bottom w:val="single" w:color="000000" w:sz="2" w:space="0"/>
            </w:tcBorders>
            <w:vAlign w:val="top"/>
          </w:tcPr>
          <w:p w14:paraId="0C6A0832">
            <w:pPr>
              <w:rPr>
                <w:rFonts w:ascii="Arial"/>
                <w:sz w:val="21"/>
              </w:rPr>
            </w:pPr>
          </w:p>
        </w:tc>
        <w:tc>
          <w:tcPr>
            <w:tcW w:w="224" w:type="dxa"/>
            <w:tcBorders>
              <w:top w:val="single" w:color="000000" w:sz="2" w:space="0"/>
              <w:bottom w:val="single" w:color="000000" w:sz="2" w:space="0"/>
            </w:tcBorders>
            <w:vAlign w:val="top"/>
          </w:tcPr>
          <w:p w14:paraId="2D9987E5">
            <w:pPr>
              <w:rPr>
                <w:rFonts w:ascii="Arial"/>
                <w:sz w:val="21"/>
              </w:rPr>
            </w:pPr>
          </w:p>
        </w:tc>
      </w:tr>
    </w:tbl>
    <w:p w14:paraId="7ABAF1D9">
      <w:pPr>
        <w:pStyle w:val="2"/>
        <w:spacing w:line="14" w:lineRule="auto"/>
        <w:rPr>
          <w:sz w:val="2"/>
        </w:rPr>
      </w:pPr>
    </w:p>
    <w:p w14:paraId="42B9A7E4">
      <w:pPr>
        <w:pStyle w:val="2"/>
        <w:spacing w:line="14" w:lineRule="auto"/>
        <w:rPr>
          <w:sz w:val="2"/>
        </w:rPr>
      </w:pPr>
      <w:r>
        <w:rPr>
          <w:sz w:val="2"/>
          <w:szCs w:val="2"/>
        </w:rPr>
        <w:br w:type="column"/>
      </w:r>
    </w:p>
    <w:p w14:paraId="6F6D6D9B">
      <w:pPr>
        <w:spacing w:before="50" w:line="222" w:lineRule="auto"/>
        <w:ind w:left="977"/>
        <w:rPr>
          <w:rFonts w:ascii="黑体" w:hAnsi="黑体" w:eastAsia="黑体" w:cs="黑体"/>
          <w:sz w:val="20"/>
          <w:szCs w:val="20"/>
        </w:rPr>
      </w:pPr>
      <w:r>
        <w:rPr>
          <w:rFonts w:ascii="黑体" w:hAnsi="黑体" w:eastAsia="黑体" w:cs="黑体"/>
          <w:b/>
          <w:bCs/>
          <w:spacing w:val="-6"/>
          <w:sz w:val="20"/>
          <w:szCs w:val="20"/>
        </w:rPr>
        <w:t>三、植物生产与土壤培肥</w:t>
      </w:r>
    </w:p>
    <w:p w14:paraId="589ED812">
      <w:pPr>
        <w:spacing w:line="159" w:lineRule="exact"/>
      </w:pPr>
    </w:p>
    <w:tbl>
      <w:tblPr>
        <w:tblStyle w:val="5"/>
        <w:tblW w:w="413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64"/>
        <w:gridCol w:w="2644"/>
        <w:gridCol w:w="229"/>
        <w:gridCol w:w="229"/>
        <w:gridCol w:w="230"/>
        <w:gridCol w:w="234"/>
      </w:tblGrid>
      <w:tr w14:paraId="50E58A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4" w:hRule="atLeast"/>
        </w:trPr>
        <w:tc>
          <w:tcPr>
            <w:tcW w:w="564" w:type="dxa"/>
            <w:vMerge w:val="restart"/>
            <w:tcBorders>
              <w:bottom w:val="nil"/>
            </w:tcBorders>
            <w:vAlign w:val="top"/>
          </w:tcPr>
          <w:p w14:paraId="68F3F431">
            <w:pPr>
              <w:pStyle w:val="6"/>
              <w:spacing w:before="93" w:line="214" w:lineRule="auto"/>
              <w:ind w:left="17" w:right="7" w:firstLine="80"/>
              <w:rPr>
                <w:sz w:val="18"/>
                <w:szCs w:val="18"/>
              </w:rPr>
            </w:pPr>
            <w:r>
              <w:rPr>
                <w:b/>
                <w:bCs/>
                <w:spacing w:val="-8"/>
                <w:sz w:val="18"/>
                <w:szCs w:val="18"/>
              </w:rPr>
              <w:t>知识</w:t>
            </w:r>
            <w:r>
              <w:rPr>
                <w:sz w:val="18"/>
                <w:szCs w:val="18"/>
              </w:rPr>
              <w:t xml:space="preserve">  </w:t>
            </w:r>
            <w:r>
              <w:rPr>
                <w:b/>
                <w:bCs/>
                <w:spacing w:val="-6"/>
                <w:sz w:val="18"/>
                <w:szCs w:val="18"/>
              </w:rPr>
              <w:t>与技能</w:t>
            </w:r>
            <w:r>
              <w:rPr>
                <w:sz w:val="18"/>
                <w:szCs w:val="18"/>
              </w:rPr>
              <w:t xml:space="preserve"> </w:t>
            </w:r>
            <w:r>
              <w:rPr>
                <w:b/>
                <w:bCs/>
                <w:spacing w:val="34"/>
                <w:sz w:val="18"/>
                <w:szCs w:val="18"/>
              </w:rPr>
              <w:t>要点</w:t>
            </w:r>
          </w:p>
        </w:tc>
        <w:tc>
          <w:tcPr>
            <w:tcW w:w="2644" w:type="dxa"/>
            <w:vMerge w:val="restart"/>
            <w:tcBorders>
              <w:bottom w:val="nil"/>
            </w:tcBorders>
            <w:vAlign w:val="top"/>
          </w:tcPr>
          <w:p w14:paraId="39E507FB">
            <w:pPr>
              <w:pStyle w:val="6"/>
              <w:spacing w:before="299" w:line="219" w:lineRule="auto"/>
              <w:ind w:left="1033"/>
              <w:rPr>
                <w:sz w:val="18"/>
                <w:szCs w:val="18"/>
              </w:rPr>
            </w:pPr>
            <w:r>
              <w:rPr>
                <w:b/>
                <w:bCs/>
                <w:spacing w:val="5"/>
                <w:sz w:val="18"/>
                <w:szCs w:val="18"/>
              </w:rPr>
              <w:t>考试条目</w:t>
            </w:r>
          </w:p>
        </w:tc>
        <w:tc>
          <w:tcPr>
            <w:tcW w:w="922" w:type="dxa"/>
            <w:gridSpan w:val="4"/>
            <w:vAlign w:val="top"/>
          </w:tcPr>
          <w:p w14:paraId="1E042DCB">
            <w:pPr>
              <w:pStyle w:val="6"/>
              <w:spacing w:before="99" w:line="219" w:lineRule="auto"/>
              <w:ind w:left="119"/>
              <w:rPr>
                <w:sz w:val="18"/>
                <w:szCs w:val="18"/>
              </w:rPr>
            </w:pPr>
            <w:r>
              <w:rPr>
                <w:b/>
                <w:bCs/>
                <w:spacing w:val="-4"/>
                <w:sz w:val="18"/>
                <w:szCs w:val="18"/>
              </w:rPr>
              <w:t>考试水平</w:t>
            </w:r>
          </w:p>
        </w:tc>
      </w:tr>
      <w:tr w14:paraId="71BFE9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9" w:hRule="atLeast"/>
        </w:trPr>
        <w:tc>
          <w:tcPr>
            <w:tcW w:w="564" w:type="dxa"/>
            <w:vMerge w:val="continue"/>
            <w:tcBorders>
              <w:top w:val="nil"/>
            </w:tcBorders>
            <w:vAlign w:val="top"/>
          </w:tcPr>
          <w:p w14:paraId="047C6F8D">
            <w:pPr>
              <w:rPr>
                <w:rFonts w:ascii="Arial"/>
                <w:sz w:val="21"/>
              </w:rPr>
            </w:pPr>
          </w:p>
        </w:tc>
        <w:tc>
          <w:tcPr>
            <w:tcW w:w="2644" w:type="dxa"/>
            <w:vMerge w:val="continue"/>
            <w:tcBorders>
              <w:top w:val="nil"/>
            </w:tcBorders>
            <w:vAlign w:val="top"/>
          </w:tcPr>
          <w:p w14:paraId="14C929C9">
            <w:pPr>
              <w:rPr>
                <w:rFonts w:ascii="Arial"/>
                <w:sz w:val="21"/>
              </w:rPr>
            </w:pPr>
          </w:p>
        </w:tc>
        <w:tc>
          <w:tcPr>
            <w:tcW w:w="229" w:type="dxa"/>
            <w:vAlign w:val="top"/>
          </w:tcPr>
          <w:p w14:paraId="3EA8E4A2">
            <w:pPr>
              <w:pStyle w:val="6"/>
              <w:spacing w:before="143" w:line="184" w:lineRule="auto"/>
              <w:ind w:left="17"/>
              <w:rPr>
                <w:sz w:val="18"/>
                <w:szCs w:val="18"/>
              </w:rPr>
            </w:pPr>
            <w:r>
              <w:rPr>
                <w:sz w:val="18"/>
                <w:szCs w:val="18"/>
              </w:rPr>
              <w:t>A</w:t>
            </w:r>
          </w:p>
        </w:tc>
        <w:tc>
          <w:tcPr>
            <w:tcW w:w="229" w:type="dxa"/>
            <w:vAlign w:val="top"/>
          </w:tcPr>
          <w:p w14:paraId="4A462F40">
            <w:pPr>
              <w:pStyle w:val="6"/>
              <w:spacing w:before="145" w:line="182" w:lineRule="auto"/>
              <w:ind w:left="38"/>
              <w:rPr>
                <w:sz w:val="18"/>
                <w:szCs w:val="18"/>
              </w:rPr>
            </w:pPr>
            <w:r>
              <w:rPr>
                <w:sz w:val="18"/>
                <w:szCs w:val="18"/>
              </w:rPr>
              <w:t>B</w:t>
            </w:r>
          </w:p>
        </w:tc>
        <w:tc>
          <w:tcPr>
            <w:tcW w:w="230" w:type="dxa"/>
            <w:vAlign w:val="top"/>
          </w:tcPr>
          <w:p w14:paraId="2B1752CB">
            <w:pPr>
              <w:pStyle w:val="6"/>
              <w:spacing w:before="144" w:line="183" w:lineRule="auto"/>
              <w:ind w:left="49"/>
              <w:rPr>
                <w:sz w:val="18"/>
                <w:szCs w:val="18"/>
              </w:rPr>
            </w:pPr>
            <w:r>
              <w:rPr>
                <w:sz w:val="18"/>
                <w:szCs w:val="18"/>
              </w:rPr>
              <w:t>C</w:t>
            </w:r>
          </w:p>
        </w:tc>
        <w:tc>
          <w:tcPr>
            <w:tcW w:w="234" w:type="dxa"/>
            <w:vAlign w:val="top"/>
          </w:tcPr>
          <w:p w14:paraId="0014E43C">
            <w:pPr>
              <w:pStyle w:val="6"/>
              <w:spacing w:before="145" w:line="182" w:lineRule="auto"/>
              <w:ind w:left="29"/>
              <w:rPr>
                <w:sz w:val="18"/>
                <w:szCs w:val="18"/>
              </w:rPr>
            </w:pPr>
            <w:r>
              <w:rPr>
                <w:sz w:val="18"/>
                <w:szCs w:val="18"/>
              </w:rPr>
              <w:t>D</w:t>
            </w:r>
          </w:p>
        </w:tc>
      </w:tr>
      <w:tr w14:paraId="58756C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98" w:hRule="atLeast"/>
        </w:trPr>
        <w:tc>
          <w:tcPr>
            <w:tcW w:w="564" w:type="dxa"/>
            <w:vAlign w:val="top"/>
          </w:tcPr>
          <w:p w14:paraId="5BED2D77">
            <w:pPr>
              <w:pStyle w:val="6"/>
              <w:spacing w:before="140" w:line="217" w:lineRule="auto"/>
              <w:ind w:left="95"/>
              <w:rPr>
                <w:sz w:val="18"/>
                <w:szCs w:val="18"/>
              </w:rPr>
            </w:pPr>
            <w:r>
              <w:rPr>
                <w:spacing w:val="-2"/>
                <w:sz w:val="18"/>
                <w:szCs w:val="18"/>
              </w:rPr>
              <w:t>土壤</w:t>
            </w:r>
          </w:p>
          <w:p w14:paraId="45E83269">
            <w:pPr>
              <w:pStyle w:val="6"/>
              <w:spacing w:line="222" w:lineRule="auto"/>
              <w:ind w:left="95"/>
              <w:rPr>
                <w:sz w:val="18"/>
                <w:szCs w:val="18"/>
              </w:rPr>
            </w:pPr>
            <w:r>
              <w:rPr>
                <w:spacing w:val="3"/>
                <w:sz w:val="18"/>
                <w:szCs w:val="18"/>
              </w:rPr>
              <w:t>的基</w:t>
            </w:r>
          </w:p>
          <w:p w14:paraId="762ED479">
            <w:pPr>
              <w:pStyle w:val="6"/>
              <w:spacing w:before="20" w:line="207" w:lineRule="auto"/>
              <w:ind w:left="95"/>
              <w:rPr>
                <w:sz w:val="18"/>
                <w:szCs w:val="18"/>
              </w:rPr>
            </w:pPr>
            <w:r>
              <w:rPr>
                <w:spacing w:val="-2"/>
                <w:sz w:val="18"/>
                <w:szCs w:val="18"/>
              </w:rPr>
              <w:t>本组</w:t>
            </w:r>
          </w:p>
          <w:p w14:paraId="65A63A09">
            <w:pPr>
              <w:pStyle w:val="6"/>
              <w:spacing w:line="220" w:lineRule="auto"/>
              <w:ind w:left="185"/>
              <w:rPr>
                <w:sz w:val="18"/>
                <w:szCs w:val="18"/>
              </w:rPr>
            </w:pPr>
            <w:r>
              <w:rPr>
                <w:sz w:val="18"/>
                <w:szCs w:val="18"/>
              </w:rPr>
              <w:t>成</w:t>
            </w:r>
          </w:p>
        </w:tc>
        <w:tc>
          <w:tcPr>
            <w:tcW w:w="2644" w:type="dxa"/>
            <w:vAlign w:val="top"/>
          </w:tcPr>
          <w:p w14:paraId="26F24FDB">
            <w:pPr>
              <w:pStyle w:val="6"/>
              <w:spacing w:before="158" w:line="219" w:lineRule="auto"/>
              <w:ind w:left="271"/>
              <w:rPr>
                <w:sz w:val="18"/>
                <w:szCs w:val="18"/>
              </w:rPr>
            </w:pPr>
            <w:r>
              <w:rPr>
                <w:sz w:val="18"/>
                <w:szCs w:val="18"/>
              </w:rPr>
              <w:t>1.土壤和土壤肥力的概念</w:t>
            </w:r>
          </w:p>
          <w:p w14:paraId="4DECDA83">
            <w:pPr>
              <w:pStyle w:val="6"/>
              <w:spacing w:before="8" w:line="224" w:lineRule="auto"/>
              <w:ind w:left="271" w:right="1109"/>
              <w:jc w:val="both"/>
              <w:rPr>
                <w:sz w:val="18"/>
                <w:szCs w:val="18"/>
              </w:rPr>
            </w:pPr>
            <w:r>
              <w:rPr>
                <w:spacing w:val="-2"/>
                <w:sz w:val="18"/>
                <w:szCs w:val="18"/>
              </w:rPr>
              <w:t>2.土壤固相组成</w:t>
            </w:r>
            <w:r>
              <w:rPr>
                <w:spacing w:val="5"/>
                <w:sz w:val="18"/>
                <w:szCs w:val="18"/>
              </w:rPr>
              <w:t xml:space="preserve"> </w:t>
            </w:r>
            <w:r>
              <w:rPr>
                <w:spacing w:val="-2"/>
                <w:sz w:val="18"/>
                <w:szCs w:val="18"/>
              </w:rPr>
              <w:t>3.土壤液相组成</w:t>
            </w:r>
            <w:r>
              <w:rPr>
                <w:spacing w:val="4"/>
                <w:sz w:val="18"/>
                <w:szCs w:val="18"/>
              </w:rPr>
              <w:t xml:space="preserve"> </w:t>
            </w:r>
            <w:r>
              <w:rPr>
                <w:spacing w:val="-1"/>
                <w:sz w:val="18"/>
                <w:szCs w:val="18"/>
              </w:rPr>
              <w:t>4.土壤气相组成</w:t>
            </w:r>
          </w:p>
        </w:tc>
        <w:tc>
          <w:tcPr>
            <w:tcW w:w="229" w:type="dxa"/>
            <w:vAlign w:val="top"/>
          </w:tcPr>
          <w:p w14:paraId="75109EFF">
            <w:pPr>
              <w:pStyle w:val="6"/>
              <w:spacing w:before="59" w:line="238" w:lineRule="auto"/>
              <w:ind w:left="17"/>
              <w:rPr>
                <w:sz w:val="12"/>
                <w:szCs w:val="12"/>
              </w:rPr>
            </w:pPr>
            <w:r>
              <w:rPr>
                <w:sz w:val="12"/>
                <w:szCs w:val="12"/>
              </w:rPr>
              <w:t>√</w:t>
            </w:r>
          </w:p>
        </w:tc>
        <w:tc>
          <w:tcPr>
            <w:tcW w:w="229" w:type="dxa"/>
            <w:vAlign w:val="top"/>
          </w:tcPr>
          <w:p w14:paraId="420DAF48">
            <w:pPr>
              <w:rPr>
                <w:rFonts w:ascii="Arial"/>
                <w:sz w:val="21"/>
              </w:rPr>
            </w:pPr>
          </w:p>
        </w:tc>
        <w:tc>
          <w:tcPr>
            <w:tcW w:w="230" w:type="dxa"/>
            <w:vAlign w:val="top"/>
          </w:tcPr>
          <w:p w14:paraId="561499B1">
            <w:pPr>
              <w:rPr>
                <w:rFonts w:ascii="Arial"/>
                <w:sz w:val="21"/>
              </w:rPr>
            </w:pPr>
          </w:p>
        </w:tc>
        <w:tc>
          <w:tcPr>
            <w:tcW w:w="234" w:type="dxa"/>
            <w:vAlign w:val="top"/>
          </w:tcPr>
          <w:p w14:paraId="2B9B6DB5">
            <w:pPr>
              <w:rPr>
                <w:rFonts w:ascii="Arial"/>
                <w:sz w:val="21"/>
              </w:rPr>
            </w:pPr>
          </w:p>
        </w:tc>
      </w:tr>
      <w:tr w14:paraId="6E8F3E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786" w:hRule="atLeast"/>
        </w:trPr>
        <w:tc>
          <w:tcPr>
            <w:tcW w:w="564" w:type="dxa"/>
            <w:vAlign w:val="top"/>
          </w:tcPr>
          <w:p w14:paraId="7DDAD0A2">
            <w:pPr>
              <w:spacing w:line="411" w:lineRule="auto"/>
              <w:rPr>
                <w:rFonts w:ascii="Arial"/>
                <w:sz w:val="21"/>
              </w:rPr>
            </w:pPr>
          </w:p>
          <w:p w14:paraId="04DE5BFA">
            <w:pPr>
              <w:pStyle w:val="6"/>
              <w:spacing w:before="58" w:line="221" w:lineRule="auto"/>
              <w:ind w:left="95"/>
              <w:rPr>
                <w:sz w:val="18"/>
                <w:szCs w:val="18"/>
              </w:rPr>
            </w:pPr>
            <w:r>
              <w:rPr>
                <w:spacing w:val="-2"/>
                <w:sz w:val="18"/>
                <w:szCs w:val="18"/>
              </w:rPr>
              <w:t>土壤</w:t>
            </w:r>
          </w:p>
          <w:p w14:paraId="28B8B7FA">
            <w:pPr>
              <w:pStyle w:val="6"/>
              <w:spacing w:before="26" w:line="212" w:lineRule="auto"/>
              <w:ind w:left="95"/>
              <w:rPr>
                <w:sz w:val="18"/>
                <w:szCs w:val="18"/>
              </w:rPr>
            </w:pPr>
            <w:r>
              <w:rPr>
                <w:spacing w:val="3"/>
                <w:sz w:val="18"/>
                <w:szCs w:val="18"/>
              </w:rPr>
              <w:t>的基</w:t>
            </w:r>
          </w:p>
          <w:p w14:paraId="784F85B0">
            <w:pPr>
              <w:pStyle w:val="6"/>
              <w:spacing w:line="218" w:lineRule="auto"/>
              <w:ind w:left="95"/>
              <w:rPr>
                <w:sz w:val="18"/>
                <w:szCs w:val="18"/>
              </w:rPr>
            </w:pPr>
            <w:r>
              <w:rPr>
                <w:spacing w:val="-2"/>
                <w:sz w:val="18"/>
                <w:szCs w:val="18"/>
              </w:rPr>
              <w:t>本性</w:t>
            </w:r>
          </w:p>
          <w:p w14:paraId="3F220985">
            <w:pPr>
              <w:pStyle w:val="6"/>
              <w:spacing w:before="8" w:line="220" w:lineRule="auto"/>
              <w:ind w:left="185"/>
              <w:rPr>
                <w:sz w:val="18"/>
                <w:szCs w:val="18"/>
              </w:rPr>
            </w:pPr>
            <w:r>
              <w:rPr>
                <w:sz w:val="18"/>
                <w:szCs w:val="18"/>
              </w:rPr>
              <w:t>质</w:t>
            </w:r>
          </w:p>
        </w:tc>
        <w:tc>
          <w:tcPr>
            <w:tcW w:w="2644" w:type="dxa"/>
            <w:vAlign w:val="top"/>
          </w:tcPr>
          <w:p w14:paraId="47520112">
            <w:pPr>
              <w:pStyle w:val="6"/>
              <w:spacing w:before="151" w:line="225" w:lineRule="auto"/>
              <w:ind w:left="91" w:right="1262" w:hanging="10"/>
              <w:rPr>
                <w:sz w:val="18"/>
                <w:szCs w:val="18"/>
              </w:rPr>
            </w:pPr>
            <w:r>
              <w:rPr>
                <w:spacing w:val="2"/>
                <w:sz w:val="18"/>
                <w:szCs w:val="18"/>
              </w:rPr>
              <w:t>1.土壤物理性质</w:t>
            </w:r>
            <w:r>
              <w:rPr>
                <w:spacing w:val="3"/>
                <w:sz w:val="18"/>
                <w:szCs w:val="18"/>
              </w:rPr>
              <w:t xml:space="preserve"> </w:t>
            </w:r>
            <w:r>
              <w:rPr>
                <w:spacing w:val="2"/>
                <w:sz w:val="18"/>
                <w:szCs w:val="18"/>
              </w:rPr>
              <w:t>2.土壤化学性质</w:t>
            </w:r>
          </w:p>
          <w:p w14:paraId="34B64606">
            <w:pPr>
              <w:pStyle w:val="6"/>
              <w:spacing w:before="1" w:line="225" w:lineRule="auto"/>
              <w:ind w:left="270" w:right="233" w:hanging="199"/>
              <w:rPr>
                <w:sz w:val="18"/>
                <w:szCs w:val="18"/>
              </w:rPr>
            </w:pPr>
            <w:r>
              <w:rPr>
                <w:spacing w:val="-1"/>
                <w:sz w:val="18"/>
                <w:szCs w:val="18"/>
              </w:rPr>
              <w:t>3.土壤性质对土壤肥力和植物</w:t>
            </w:r>
            <w:r>
              <w:rPr>
                <w:spacing w:val="2"/>
                <w:sz w:val="18"/>
                <w:szCs w:val="18"/>
              </w:rPr>
              <w:t xml:space="preserve"> 生长的影响</w:t>
            </w:r>
          </w:p>
          <w:p w14:paraId="3F2DBD68">
            <w:pPr>
              <w:pStyle w:val="6"/>
              <w:spacing w:before="1" w:line="226" w:lineRule="auto"/>
              <w:ind w:left="71" w:right="589"/>
              <w:jc w:val="both"/>
              <w:rPr>
                <w:sz w:val="18"/>
                <w:szCs w:val="18"/>
              </w:rPr>
            </w:pPr>
            <w:r>
              <w:rPr>
                <w:spacing w:val="-1"/>
                <w:sz w:val="18"/>
                <w:szCs w:val="18"/>
              </w:rPr>
              <w:t>4.旱地土壤的特性与管理</w:t>
            </w:r>
            <w:r>
              <w:rPr>
                <w:spacing w:val="4"/>
                <w:sz w:val="18"/>
                <w:szCs w:val="18"/>
              </w:rPr>
              <w:t xml:space="preserve"> </w:t>
            </w:r>
            <w:r>
              <w:rPr>
                <w:spacing w:val="-1"/>
                <w:sz w:val="18"/>
                <w:szCs w:val="18"/>
              </w:rPr>
              <w:t>5.水田土壤的特性与管理</w:t>
            </w:r>
            <w:r>
              <w:rPr>
                <w:sz w:val="18"/>
                <w:szCs w:val="18"/>
              </w:rPr>
              <w:t xml:space="preserve"> </w:t>
            </w:r>
            <w:r>
              <w:rPr>
                <w:spacing w:val="-1"/>
                <w:sz w:val="18"/>
                <w:szCs w:val="18"/>
              </w:rPr>
              <w:t>6.土壤样品采集与保存</w:t>
            </w:r>
          </w:p>
        </w:tc>
        <w:tc>
          <w:tcPr>
            <w:tcW w:w="229" w:type="dxa"/>
            <w:vAlign w:val="top"/>
          </w:tcPr>
          <w:p w14:paraId="7BE2CA7E">
            <w:pPr>
              <w:rPr>
                <w:rFonts w:ascii="Arial"/>
                <w:sz w:val="21"/>
              </w:rPr>
            </w:pPr>
          </w:p>
        </w:tc>
        <w:tc>
          <w:tcPr>
            <w:tcW w:w="229" w:type="dxa"/>
            <w:vAlign w:val="top"/>
          </w:tcPr>
          <w:p w14:paraId="2EF8C55A">
            <w:pPr>
              <w:rPr>
                <w:rFonts w:ascii="Arial"/>
                <w:sz w:val="21"/>
              </w:rPr>
            </w:pPr>
          </w:p>
        </w:tc>
        <w:tc>
          <w:tcPr>
            <w:tcW w:w="230" w:type="dxa"/>
            <w:vAlign w:val="top"/>
          </w:tcPr>
          <w:p w14:paraId="590FD7E9">
            <w:pPr>
              <w:spacing w:line="262" w:lineRule="auto"/>
              <w:rPr>
                <w:rFonts w:ascii="Arial"/>
                <w:sz w:val="21"/>
              </w:rPr>
            </w:pPr>
          </w:p>
          <w:p w14:paraId="2365447E">
            <w:pPr>
              <w:spacing w:line="262" w:lineRule="auto"/>
              <w:rPr>
                <w:rFonts w:ascii="Arial"/>
                <w:sz w:val="21"/>
              </w:rPr>
            </w:pPr>
          </w:p>
          <w:p w14:paraId="2C4D1EE2">
            <w:pPr>
              <w:spacing w:line="262" w:lineRule="auto"/>
              <w:rPr>
                <w:rFonts w:ascii="Arial"/>
                <w:sz w:val="21"/>
              </w:rPr>
            </w:pPr>
          </w:p>
          <w:p w14:paraId="76F8C558">
            <w:pPr>
              <w:spacing w:line="262" w:lineRule="auto"/>
              <w:rPr>
                <w:rFonts w:ascii="Arial"/>
                <w:sz w:val="21"/>
              </w:rPr>
            </w:pPr>
          </w:p>
          <w:p w14:paraId="6FD9E380">
            <w:pPr>
              <w:spacing w:line="262" w:lineRule="auto"/>
              <w:rPr>
                <w:rFonts w:ascii="Arial"/>
                <w:sz w:val="21"/>
              </w:rPr>
            </w:pPr>
          </w:p>
          <w:p w14:paraId="3CF5A6B1">
            <w:pPr>
              <w:spacing w:line="308" w:lineRule="exact"/>
              <w:ind w:firstLine="46"/>
            </w:pPr>
            <w:r>
              <w:rPr>
                <w:position w:val="-6"/>
              </w:rPr>
              <w:drawing>
                <wp:inline distT="0" distB="0" distL="0" distR="0">
                  <wp:extent cx="85725" cy="194945"/>
                  <wp:effectExtent l="0" t="0" r="0" b="0"/>
                  <wp:docPr id="16" name="IM 16"/>
                  <wp:cNvGraphicFramePr/>
                  <a:graphic xmlns:a="http://schemas.openxmlformats.org/drawingml/2006/main">
                    <a:graphicData uri="http://schemas.openxmlformats.org/drawingml/2006/picture">
                      <pic:pic xmlns:pic="http://schemas.openxmlformats.org/drawingml/2006/picture">
                        <pic:nvPicPr>
                          <pic:cNvPr id="16" name="IM 16"/>
                          <pic:cNvPicPr/>
                        </pic:nvPicPr>
                        <pic:blipFill>
                          <a:blip r:embed="rId173"/>
                          <a:stretch>
                            <a:fillRect/>
                          </a:stretch>
                        </pic:blipFill>
                        <pic:spPr>
                          <a:xfrm>
                            <a:off x="0" y="0"/>
                            <a:ext cx="85922" cy="195405"/>
                          </a:xfrm>
                          <a:prstGeom prst="rect">
                            <a:avLst/>
                          </a:prstGeom>
                        </pic:spPr>
                      </pic:pic>
                    </a:graphicData>
                  </a:graphic>
                </wp:inline>
              </w:drawing>
            </w:r>
          </w:p>
        </w:tc>
        <w:tc>
          <w:tcPr>
            <w:tcW w:w="234" w:type="dxa"/>
            <w:vAlign w:val="top"/>
          </w:tcPr>
          <w:p w14:paraId="0A3B1F9B">
            <w:pPr>
              <w:rPr>
                <w:rFonts w:ascii="Arial"/>
                <w:sz w:val="21"/>
              </w:rPr>
            </w:pPr>
          </w:p>
        </w:tc>
      </w:tr>
      <w:tr w14:paraId="796E6F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0" w:hRule="atLeast"/>
        </w:trPr>
        <w:tc>
          <w:tcPr>
            <w:tcW w:w="564" w:type="dxa"/>
            <w:vMerge w:val="restart"/>
            <w:tcBorders>
              <w:bottom w:val="nil"/>
            </w:tcBorders>
            <w:vAlign w:val="top"/>
          </w:tcPr>
          <w:p w14:paraId="754B2CC1">
            <w:pPr>
              <w:pStyle w:val="6"/>
              <w:spacing w:before="265" w:line="215" w:lineRule="auto"/>
              <w:ind w:left="95"/>
              <w:rPr>
                <w:sz w:val="18"/>
                <w:szCs w:val="18"/>
              </w:rPr>
            </w:pPr>
            <w:r>
              <w:rPr>
                <w:spacing w:val="-2"/>
                <w:sz w:val="18"/>
                <w:szCs w:val="18"/>
              </w:rPr>
              <w:t>植物</w:t>
            </w:r>
          </w:p>
          <w:p w14:paraId="41A797E4">
            <w:pPr>
              <w:pStyle w:val="6"/>
              <w:spacing w:line="219" w:lineRule="auto"/>
              <w:ind w:left="95"/>
              <w:rPr>
                <w:sz w:val="18"/>
                <w:szCs w:val="18"/>
              </w:rPr>
            </w:pPr>
            <w:r>
              <w:rPr>
                <w:spacing w:val="4"/>
                <w:sz w:val="18"/>
                <w:szCs w:val="18"/>
              </w:rPr>
              <w:t>营养</w:t>
            </w:r>
          </w:p>
          <w:p w14:paraId="45A4DB11">
            <w:pPr>
              <w:pStyle w:val="6"/>
              <w:spacing w:before="5" w:line="219" w:lineRule="auto"/>
              <w:ind w:left="95"/>
              <w:rPr>
                <w:sz w:val="18"/>
                <w:szCs w:val="18"/>
              </w:rPr>
            </w:pPr>
            <w:r>
              <w:rPr>
                <w:spacing w:val="-3"/>
                <w:sz w:val="18"/>
                <w:szCs w:val="18"/>
              </w:rPr>
              <w:t>与科</w:t>
            </w:r>
          </w:p>
          <w:p w14:paraId="054F2565">
            <w:pPr>
              <w:pStyle w:val="6"/>
              <w:spacing w:before="8" w:line="221" w:lineRule="auto"/>
              <w:ind w:left="95"/>
              <w:rPr>
                <w:sz w:val="18"/>
                <w:szCs w:val="18"/>
              </w:rPr>
            </w:pPr>
            <w:r>
              <w:rPr>
                <w:spacing w:val="-3"/>
                <w:sz w:val="18"/>
                <w:szCs w:val="18"/>
              </w:rPr>
              <w:t>学施</w:t>
            </w:r>
          </w:p>
          <w:p w14:paraId="6F52AAFE">
            <w:pPr>
              <w:pStyle w:val="6"/>
              <w:spacing w:before="2" w:line="219" w:lineRule="auto"/>
              <w:ind w:left="185"/>
              <w:rPr>
                <w:sz w:val="18"/>
                <w:szCs w:val="18"/>
              </w:rPr>
            </w:pPr>
            <w:r>
              <w:rPr>
                <w:sz w:val="18"/>
                <w:szCs w:val="18"/>
              </w:rPr>
              <w:t>肥</w:t>
            </w:r>
          </w:p>
        </w:tc>
        <w:tc>
          <w:tcPr>
            <w:tcW w:w="2644" w:type="dxa"/>
            <w:tcBorders>
              <w:bottom w:val="nil"/>
            </w:tcBorders>
            <w:vAlign w:val="top"/>
          </w:tcPr>
          <w:p w14:paraId="221374D4">
            <w:pPr>
              <w:pStyle w:val="6"/>
              <w:spacing w:before="154" w:line="190" w:lineRule="auto"/>
              <w:ind w:left="71"/>
              <w:rPr>
                <w:sz w:val="18"/>
                <w:szCs w:val="18"/>
              </w:rPr>
            </w:pPr>
            <w:r>
              <w:rPr>
                <w:spacing w:val="1"/>
                <w:sz w:val="18"/>
                <w:szCs w:val="18"/>
              </w:rPr>
              <w:t>1.植物营养</w:t>
            </w:r>
          </w:p>
        </w:tc>
        <w:tc>
          <w:tcPr>
            <w:tcW w:w="229" w:type="dxa"/>
            <w:tcBorders>
              <w:bottom w:val="nil"/>
            </w:tcBorders>
            <w:vAlign w:val="top"/>
          </w:tcPr>
          <w:p w14:paraId="5378A80A">
            <w:pPr>
              <w:rPr>
                <w:rFonts w:ascii="Arial"/>
                <w:sz w:val="21"/>
              </w:rPr>
            </w:pPr>
          </w:p>
        </w:tc>
        <w:tc>
          <w:tcPr>
            <w:tcW w:w="229" w:type="dxa"/>
            <w:tcBorders>
              <w:bottom w:val="nil"/>
            </w:tcBorders>
            <w:vAlign w:val="top"/>
          </w:tcPr>
          <w:p w14:paraId="4FA5BADA">
            <w:pPr>
              <w:rPr>
                <w:rFonts w:ascii="Arial"/>
                <w:sz w:val="21"/>
              </w:rPr>
            </w:pPr>
          </w:p>
        </w:tc>
        <w:tc>
          <w:tcPr>
            <w:tcW w:w="230" w:type="dxa"/>
            <w:tcBorders>
              <w:bottom w:val="nil"/>
            </w:tcBorders>
            <w:vAlign w:val="top"/>
          </w:tcPr>
          <w:p w14:paraId="4A855D9D">
            <w:pPr>
              <w:rPr>
                <w:rFonts w:ascii="Arial"/>
                <w:sz w:val="21"/>
              </w:rPr>
            </w:pPr>
          </w:p>
        </w:tc>
        <w:tc>
          <w:tcPr>
            <w:tcW w:w="234" w:type="dxa"/>
            <w:tcBorders>
              <w:bottom w:val="nil"/>
            </w:tcBorders>
            <w:vAlign w:val="top"/>
          </w:tcPr>
          <w:p w14:paraId="7BE03BD5">
            <w:pPr>
              <w:rPr>
                <w:rFonts w:ascii="Arial"/>
                <w:sz w:val="21"/>
              </w:rPr>
            </w:pPr>
          </w:p>
        </w:tc>
      </w:tr>
      <w:tr w14:paraId="07734B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0" w:hRule="atLeast"/>
        </w:trPr>
        <w:tc>
          <w:tcPr>
            <w:tcW w:w="564" w:type="dxa"/>
            <w:vMerge w:val="continue"/>
            <w:tcBorders>
              <w:top w:val="nil"/>
              <w:bottom w:val="nil"/>
            </w:tcBorders>
            <w:vAlign w:val="top"/>
          </w:tcPr>
          <w:p w14:paraId="230D04CE">
            <w:pPr>
              <w:rPr>
                <w:rFonts w:ascii="Arial"/>
                <w:sz w:val="21"/>
              </w:rPr>
            </w:pPr>
          </w:p>
        </w:tc>
        <w:tc>
          <w:tcPr>
            <w:tcW w:w="2644" w:type="dxa"/>
            <w:tcBorders>
              <w:top w:val="nil"/>
              <w:bottom w:val="nil"/>
            </w:tcBorders>
            <w:vAlign w:val="top"/>
          </w:tcPr>
          <w:p w14:paraId="08369910">
            <w:pPr>
              <w:pStyle w:val="6"/>
              <w:spacing w:before="34" w:line="180" w:lineRule="auto"/>
              <w:ind w:left="71"/>
              <w:rPr>
                <w:sz w:val="18"/>
                <w:szCs w:val="18"/>
              </w:rPr>
            </w:pPr>
            <w:r>
              <w:rPr>
                <w:spacing w:val="1"/>
                <w:sz w:val="18"/>
                <w:szCs w:val="18"/>
              </w:rPr>
              <w:t>2.氮、磷、钾肥的科学施用</w:t>
            </w:r>
          </w:p>
        </w:tc>
        <w:tc>
          <w:tcPr>
            <w:tcW w:w="229" w:type="dxa"/>
            <w:tcBorders>
              <w:top w:val="nil"/>
              <w:bottom w:val="nil"/>
            </w:tcBorders>
            <w:vAlign w:val="top"/>
          </w:tcPr>
          <w:p w14:paraId="12698003">
            <w:pPr>
              <w:spacing w:line="210" w:lineRule="exact"/>
              <w:rPr>
                <w:rFonts w:ascii="Arial"/>
                <w:sz w:val="18"/>
              </w:rPr>
            </w:pPr>
          </w:p>
        </w:tc>
        <w:tc>
          <w:tcPr>
            <w:tcW w:w="229" w:type="dxa"/>
            <w:tcBorders>
              <w:top w:val="nil"/>
              <w:bottom w:val="nil"/>
            </w:tcBorders>
            <w:vAlign w:val="top"/>
          </w:tcPr>
          <w:p w14:paraId="1DC0782E">
            <w:pPr>
              <w:spacing w:line="210" w:lineRule="exact"/>
              <w:rPr>
                <w:rFonts w:ascii="Arial"/>
                <w:sz w:val="18"/>
              </w:rPr>
            </w:pPr>
          </w:p>
        </w:tc>
        <w:tc>
          <w:tcPr>
            <w:tcW w:w="230" w:type="dxa"/>
            <w:tcBorders>
              <w:top w:val="nil"/>
              <w:bottom w:val="nil"/>
            </w:tcBorders>
            <w:vAlign w:val="top"/>
          </w:tcPr>
          <w:p w14:paraId="7E0A1F57">
            <w:pPr>
              <w:spacing w:line="210" w:lineRule="exact"/>
              <w:rPr>
                <w:rFonts w:ascii="Arial"/>
                <w:sz w:val="18"/>
              </w:rPr>
            </w:pPr>
          </w:p>
        </w:tc>
        <w:tc>
          <w:tcPr>
            <w:tcW w:w="234" w:type="dxa"/>
            <w:tcBorders>
              <w:top w:val="nil"/>
              <w:bottom w:val="nil"/>
            </w:tcBorders>
            <w:vAlign w:val="top"/>
          </w:tcPr>
          <w:p w14:paraId="3500F0FD">
            <w:pPr>
              <w:spacing w:line="210" w:lineRule="exact"/>
              <w:rPr>
                <w:rFonts w:ascii="Arial"/>
                <w:sz w:val="18"/>
              </w:rPr>
            </w:pPr>
          </w:p>
        </w:tc>
      </w:tr>
      <w:tr w14:paraId="16BB60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0" w:hRule="atLeast"/>
        </w:trPr>
        <w:tc>
          <w:tcPr>
            <w:tcW w:w="564" w:type="dxa"/>
            <w:vMerge w:val="continue"/>
            <w:tcBorders>
              <w:top w:val="nil"/>
              <w:bottom w:val="nil"/>
            </w:tcBorders>
            <w:vAlign w:val="top"/>
          </w:tcPr>
          <w:p w14:paraId="6ECA359C">
            <w:pPr>
              <w:rPr>
                <w:rFonts w:ascii="Arial"/>
                <w:sz w:val="21"/>
              </w:rPr>
            </w:pPr>
          </w:p>
        </w:tc>
        <w:tc>
          <w:tcPr>
            <w:tcW w:w="2644" w:type="dxa"/>
            <w:tcBorders>
              <w:top w:val="nil"/>
              <w:bottom w:val="nil"/>
            </w:tcBorders>
            <w:vAlign w:val="top"/>
          </w:tcPr>
          <w:p w14:paraId="4A3BFF33">
            <w:pPr>
              <w:pStyle w:val="6"/>
              <w:spacing w:before="24" w:line="190" w:lineRule="auto"/>
              <w:ind w:right="1"/>
              <w:jc w:val="right"/>
              <w:rPr>
                <w:sz w:val="18"/>
                <w:szCs w:val="18"/>
              </w:rPr>
            </w:pPr>
            <w:r>
              <w:rPr>
                <w:spacing w:val="1"/>
                <w:sz w:val="18"/>
                <w:szCs w:val="18"/>
              </w:rPr>
              <w:t>3.常见微量元素肥料的科学施用</w:t>
            </w:r>
          </w:p>
        </w:tc>
        <w:tc>
          <w:tcPr>
            <w:tcW w:w="229" w:type="dxa"/>
            <w:tcBorders>
              <w:top w:val="nil"/>
              <w:bottom w:val="nil"/>
            </w:tcBorders>
            <w:vAlign w:val="top"/>
          </w:tcPr>
          <w:p w14:paraId="5955B88A">
            <w:pPr>
              <w:spacing w:line="210" w:lineRule="exact"/>
              <w:rPr>
                <w:rFonts w:ascii="Arial"/>
                <w:sz w:val="18"/>
              </w:rPr>
            </w:pPr>
          </w:p>
        </w:tc>
        <w:tc>
          <w:tcPr>
            <w:tcW w:w="229" w:type="dxa"/>
            <w:tcBorders>
              <w:top w:val="nil"/>
              <w:bottom w:val="nil"/>
            </w:tcBorders>
            <w:vAlign w:val="top"/>
          </w:tcPr>
          <w:p w14:paraId="5163A4F6">
            <w:pPr>
              <w:spacing w:line="210" w:lineRule="exact"/>
              <w:rPr>
                <w:rFonts w:ascii="Arial"/>
                <w:sz w:val="18"/>
              </w:rPr>
            </w:pPr>
          </w:p>
        </w:tc>
        <w:tc>
          <w:tcPr>
            <w:tcW w:w="230" w:type="dxa"/>
            <w:tcBorders>
              <w:top w:val="nil"/>
              <w:bottom w:val="nil"/>
            </w:tcBorders>
            <w:vAlign w:val="top"/>
          </w:tcPr>
          <w:p w14:paraId="7E7BF4C3">
            <w:pPr>
              <w:spacing w:line="210" w:lineRule="exact"/>
              <w:rPr>
                <w:rFonts w:ascii="Arial"/>
                <w:sz w:val="18"/>
              </w:rPr>
            </w:pPr>
          </w:p>
        </w:tc>
        <w:tc>
          <w:tcPr>
            <w:tcW w:w="234" w:type="dxa"/>
            <w:tcBorders>
              <w:top w:val="nil"/>
              <w:bottom w:val="nil"/>
            </w:tcBorders>
            <w:vAlign w:val="top"/>
          </w:tcPr>
          <w:p w14:paraId="0095377D">
            <w:pPr>
              <w:spacing w:line="210" w:lineRule="exact"/>
              <w:rPr>
                <w:rFonts w:ascii="Arial"/>
                <w:sz w:val="18"/>
              </w:rPr>
            </w:pPr>
          </w:p>
        </w:tc>
      </w:tr>
      <w:tr w14:paraId="396267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9" w:hRule="atLeast"/>
        </w:trPr>
        <w:tc>
          <w:tcPr>
            <w:tcW w:w="564" w:type="dxa"/>
            <w:vMerge w:val="continue"/>
            <w:tcBorders>
              <w:top w:val="nil"/>
              <w:bottom w:val="nil"/>
            </w:tcBorders>
            <w:vAlign w:val="top"/>
          </w:tcPr>
          <w:p w14:paraId="2D227954">
            <w:pPr>
              <w:rPr>
                <w:rFonts w:ascii="Arial"/>
                <w:sz w:val="21"/>
              </w:rPr>
            </w:pPr>
          </w:p>
        </w:tc>
        <w:tc>
          <w:tcPr>
            <w:tcW w:w="2644" w:type="dxa"/>
            <w:tcBorders>
              <w:top w:val="nil"/>
              <w:bottom w:val="nil"/>
            </w:tcBorders>
            <w:vAlign w:val="top"/>
          </w:tcPr>
          <w:p w14:paraId="41D3C4E8">
            <w:pPr>
              <w:pStyle w:val="6"/>
              <w:spacing w:before="34" w:line="179" w:lineRule="auto"/>
              <w:ind w:left="71"/>
              <w:rPr>
                <w:sz w:val="18"/>
                <w:szCs w:val="18"/>
              </w:rPr>
            </w:pPr>
            <w:r>
              <w:rPr>
                <w:spacing w:val="1"/>
                <w:sz w:val="18"/>
                <w:szCs w:val="18"/>
              </w:rPr>
              <w:t>4.复、混肥料的科学施用</w:t>
            </w:r>
          </w:p>
        </w:tc>
        <w:tc>
          <w:tcPr>
            <w:tcW w:w="229" w:type="dxa"/>
            <w:tcBorders>
              <w:top w:val="nil"/>
              <w:bottom w:val="nil"/>
            </w:tcBorders>
            <w:vAlign w:val="top"/>
          </w:tcPr>
          <w:p w14:paraId="3D68E057">
            <w:pPr>
              <w:spacing w:line="209" w:lineRule="exact"/>
              <w:rPr>
                <w:rFonts w:ascii="Arial"/>
                <w:sz w:val="18"/>
              </w:rPr>
            </w:pPr>
          </w:p>
        </w:tc>
        <w:tc>
          <w:tcPr>
            <w:tcW w:w="229" w:type="dxa"/>
            <w:tcBorders>
              <w:top w:val="nil"/>
              <w:bottom w:val="nil"/>
            </w:tcBorders>
            <w:vAlign w:val="top"/>
          </w:tcPr>
          <w:p w14:paraId="2A05917E">
            <w:pPr>
              <w:spacing w:line="209" w:lineRule="exact"/>
              <w:rPr>
                <w:rFonts w:ascii="Arial"/>
                <w:sz w:val="18"/>
              </w:rPr>
            </w:pPr>
          </w:p>
        </w:tc>
        <w:tc>
          <w:tcPr>
            <w:tcW w:w="230" w:type="dxa"/>
            <w:tcBorders>
              <w:top w:val="nil"/>
              <w:bottom w:val="nil"/>
            </w:tcBorders>
            <w:vAlign w:val="top"/>
          </w:tcPr>
          <w:p w14:paraId="0D31555D">
            <w:pPr>
              <w:spacing w:line="209" w:lineRule="exact"/>
              <w:rPr>
                <w:rFonts w:ascii="Arial"/>
                <w:sz w:val="18"/>
              </w:rPr>
            </w:pPr>
          </w:p>
        </w:tc>
        <w:tc>
          <w:tcPr>
            <w:tcW w:w="234" w:type="dxa"/>
            <w:tcBorders>
              <w:top w:val="nil"/>
              <w:bottom w:val="nil"/>
            </w:tcBorders>
            <w:vAlign w:val="top"/>
          </w:tcPr>
          <w:p w14:paraId="6925BD28">
            <w:pPr>
              <w:spacing w:line="209" w:lineRule="exact"/>
              <w:rPr>
                <w:rFonts w:ascii="Arial"/>
                <w:sz w:val="18"/>
              </w:rPr>
            </w:pPr>
          </w:p>
        </w:tc>
      </w:tr>
      <w:tr w14:paraId="10D21C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0" w:hRule="atLeast"/>
        </w:trPr>
        <w:tc>
          <w:tcPr>
            <w:tcW w:w="564" w:type="dxa"/>
            <w:vMerge w:val="continue"/>
            <w:tcBorders>
              <w:top w:val="nil"/>
              <w:bottom w:val="nil"/>
            </w:tcBorders>
            <w:vAlign w:val="top"/>
          </w:tcPr>
          <w:p w14:paraId="401BC7A7">
            <w:pPr>
              <w:rPr>
                <w:rFonts w:ascii="Arial"/>
                <w:sz w:val="21"/>
              </w:rPr>
            </w:pPr>
          </w:p>
        </w:tc>
        <w:tc>
          <w:tcPr>
            <w:tcW w:w="2644" w:type="dxa"/>
            <w:tcBorders>
              <w:top w:val="nil"/>
              <w:bottom w:val="nil"/>
            </w:tcBorders>
            <w:vAlign w:val="top"/>
          </w:tcPr>
          <w:p w14:paraId="075FB688">
            <w:pPr>
              <w:pStyle w:val="6"/>
              <w:spacing w:before="25" w:line="189" w:lineRule="auto"/>
              <w:ind w:left="71"/>
              <w:rPr>
                <w:sz w:val="18"/>
                <w:szCs w:val="18"/>
              </w:rPr>
            </w:pPr>
            <w:r>
              <w:rPr>
                <w:spacing w:val="1"/>
                <w:sz w:val="18"/>
                <w:szCs w:val="18"/>
              </w:rPr>
              <w:t>5.有机肥料及其科学施用</w:t>
            </w:r>
          </w:p>
        </w:tc>
        <w:tc>
          <w:tcPr>
            <w:tcW w:w="229" w:type="dxa"/>
            <w:tcBorders>
              <w:top w:val="nil"/>
              <w:bottom w:val="nil"/>
            </w:tcBorders>
            <w:vAlign w:val="top"/>
          </w:tcPr>
          <w:p w14:paraId="5FCCAB6D">
            <w:pPr>
              <w:spacing w:line="210" w:lineRule="exact"/>
              <w:rPr>
                <w:rFonts w:ascii="Arial"/>
                <w:sz w:val="18"/>
              </w:rPr>
            </w:pPr>
          </w:p>
        </w:tc>
        <w:tc>
          <w:tcPr>
            <w:tcW w:w="229" w:type="dxa"/>
            <w:tcBorders>
              <w:top w:val="nil"/>
              <w:bottom w:val="nil"/>
            </w:tcBorders>
            <w:vAlign w:val="top"/>
          </w:tcPr>
          <w:p w14:paraId="0C07C85B">
            <w:pPr>
              <w:spacing w:line="210" w:lineRule="exact"/>
              <w:rPr>
                <w:rFonts w:ascii="Arial"/>
                <w:sz w:val="18"/>
              </w:rPr>
            </w:pPr>
          </w:p>
        </w:tc>
        <w:tc>
          <w:tcPr>
            <w:tcW w:w="230" w:type="dxa"/>
            <w:tcBorders>
              <w:top w:val="nil"/>
              <w:bottom w:val="nil"/>
            </w:tcBorders>
            <w:vAlign w:val="top"/>
          </w:tcPr>
          <w:p w14:paraId="7A688646">
            <w:pPr>
              <w:spacing w:line="210" w:lineRule="exact"/>
              <w:rPr>
                <w:rFonts w:ascii="Arial"/>
                <w:sz w:val="18"/>
              </w:rPr>
            </w:pPr>
          </w:p>
        </w:tc>
        <w:tc>
          <w:tcPr>
            <w:tcW w:w="234" w:type="dxa"/>
            <w:tcBorders>
              <w:top w:val="nil"/>
              <w:bottom w:val="nil"/>
            </w:tcBorders>
            <w:vAlign w:val="top"/>
          </w:tcPr>
          <w:p w14:paraId="0CB18871">
            <w:pPr>
              <w:spacing w:line="210" w:lineRule="exact"/>
              <w:rPr>
                <w:rFonts w:ascii="Arial"/>
                <w:sz w:val="18"/>
              </w:rPr>
            </w:pPr>
          </w:p>
        </w:tc>
      </w:tr>
      <w:tr w14:paraId="7DC3E7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3" w:hRule="atLeast"/>
        </w:trPr>
        <w:tc>
          <w:tcPr>
            <w:tcW w:w="564" w:type="dxa"/>
            <w:vMerge w:val="continue"/>
            <w:tcBorders>
              <w:top w:val="nil"/>
            </w:tcBorders>
            <w:vAlign w:val="top"/>
          </w:tcPr>
          <w:p w14:paraId="71012BA5">
            <w:pPr>
              <w:rPr>
                <w:rFonts w:ascii="Arial"/>
                <w:sz w:val="21"/>
              </w:rPr>
            </w:pPr>
          </w:p>
        </w:tc>
        <w:tc>
          <w:tcPr>
            <w:tcW w:w="2644" w:type="dxa"/>
            <w:tcBorders>
              <w:top w:val="nil"/>
            </w:tcBorders>
            <w:vAlign w:val="top"/>
          </w:tcPr>
          <w:p w14:paraId="711F0D56">
            <w:pPr>
              <w:pStyle w:val="6"/>
              <w:spacing w:before="35" w:line="219" w:lineRule="auto"/>
              <w:ind w:left="71"/>
              <w:rPr>
                <w:sz w:val="18"/>
                <w:szCs w:val="18"/>
              </w:rPr>
            </w:pPr>
            <w:r>
              <w:rPr>
                <w:spacing w:val="1"/>
                <w:sz w:val="18"/>
                <w:szCs w:val="18"/>
              </w:rPr>
              <w:t>6.常规微生物肥料及其科学施用</w:t>
            </w:r>
          </w:p>
        </w:tc>
        <w:tc>
          <w:tcPr>
            <w:tcW w:w="229" w:type="dxa"/>
            <w:tcBorders>
              <w:top w:val="nil"/>
            </w:tcBorders>
            <w:vAlign w:val="top"/>
          </w:tcPr>
          <w:p w14:paraId="35C43EC7">
            <w:pPr>
              <w:rPr>
                <w:rFonts w:ascii="Arial"/>
                <w:sz w:val="21"/>
              </w:rPr>
            </w:pPr>
          </w:p>
        </w:tc>
        <w:tc>
          <w:tcPr>
            <w:tcW w:w="229" w:type="dxa"/>
            <w:tcBorders>
              <w:top w:val="nil"/>
            </w:tcBorders>
            <w:vAlign w:val="top"/>
          </w:tcPr>
          <w:p w14:paraId="5D4AB3DF">
            <w:pPr>
              <w:rPr>
                <w:rFonts w:ascii="Arial"/>
                <w:sz w:val="21"/>
              </w:rPr>
            </w:pPr>
          </w:p>
        </w:tc>
        <w:tc>
          <w:tcPr>
            <w:tcW w:w="230" w:type="dxa"/>
            <w:tcBorders>
              <w:top w:val="nil"/>
            </w:tcBorders>
            <w:vAlign w:val="top"/>
          </w:tcPr>
          <w:p w14:paraId="0AF162B7">
            <w:pPr>
              <w:rPr>
                <w:rFonts w:ascii="Arial"/>
                <w:sz w:val="21"/>
              </w:rPr>
            </w:pPr>
          </w:p>
        </w:tc>
        <w:tc>
          <w:tcPr>
            <w:tcW w:w="234" w:type="dxa"/>
            <w:tcBorders>
              <w:top w:val="nil"/>
            </w:tcBorders>
            <w:vAlign w:val="top"/>
          </w:tcPr>
          <w:p w14:paraId="075431C0">
            <w:pPr>
              <w:rPr>
                <w:rFonts w:ascii="Arial"/>
                <w:sz w:val="21"/>
              </w:rPr>
            </w:pPr>
          </w:p>
        </w:tc>
      </w:tr>
    </w:tbl>
    <w:p w14:paraId="727F18F4">
      <w:pPr>
        <w:spacing w:before="118" w:line="221" w:lineRule="auto"/>
        <w:ind w:left="977"/>
        <w:rPr>
          <w:rFonts w:ascii="黑体" w:hAnsi="黑体" w:eastAsia="黑体" w:cs="黑体"/>
          <w:sz w:val="20"/>
          <w:szCs w:val="20"/>
        </w:rPr>
      </w:pPr>
      <w:r>
        <w:rPr>
          <w:rFonts w:ascii="黑体" w:hAnsi="黑体" w:eastAsia="黑体" w:cs="黑体"/>
          <w:b/>
          <w:bCs/>
          <w:spacing w:val="-6"/>
          <w:sz w:val="20"/>
          <w:szCs w:val="20"/>
        </w:rPr>
        <w:t>四、植物生产与科学用水</w:t>
      </w:r>
    </w:p>
    <w:p w14:paraId="7344D630">
      <w:pPr>
        <w:spacing w:line="162" w:lineRule="exact"/>
      </w:pPr>
    </w:p>
    <w:tbl>
      <w:tblPr>
        <w:tblStyle w:val="5"/>
        <w:tblW w:w="4130" w:type="dxa"/>
        <w:tblInd w:w="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54"/>
        <w:gridCol w:w="2644"/>
        <w:gridCol w:w="229"/>
        <w:gridCol w:w="229"/>
        <w:gridCol w:w="230"/>
        <w:gridCol w:w="244"/>
      </w:tblGrid>
      <w:tr w14:paraId="6D1584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3" w:hRule="atLeast"/>
        </w:trPr>
        <w:tc>
          <w:tcPr>
            <w:tcW w:w="554" w:type="dxa"/>
            <w:vMerge w:val="restart"/>
            <w:tcBorders>
              <w:bottom w:val="nil"/>
            </w:tcBorders>
            <w:vAlign w:val="top"/>
          </w:tcPr>
          <w:p w14:paraId="4CC2E41B">
            <w:pPr>
              <w:pStyle w:val="6"/>
              <w:spacing w:before="80" w:line="234" w:lineRule="auto"/>
              <w:ind w:left="17" w:right="26" w:firstLine="79"/>
            </w:pPr>
            <w:r>
              <w:rPr>
                <w:b/>
                <w:bCs/>
                <w:spacing w:val="-7"/>
              </w:rPr>
              <w:t>知识</w:t>
            </w:r>
            <w:r>
              <w:t xml:space="preserve">  </w:t>
            </w:r>
            <w:r>
              <w:rPr>
                <w:b/>
                <w:bCs/>
                <w:spacing w:val="-6"/>
              </w:rPr>
              <w:t>与技能</w:t>
            </w:r>
            <w:r>
              <w:rPr>
                <w:spacing w:val="1"/>
              </w:rPr>
              <w:t xml:space="preserve"> </w:t>
            </w:r>
            <w:r>
              <w:rPr>
                <w:b/>
                <w:bCs/>
                <w:spacing w:val="34"/>
              </w:rPr>
              <w:t>要点</w:t>
            </w:r>
          </w:p>
        </w:tc>
        <w:tc>
          <w:tcPr>
            <w:tcW w:w="2644" w:type="dxa"/>
            <w:vMerge w:val="restart"/>
            <w:tcBorders>
              <w:bottom w:val="nil"/>
            </w:tcBorders>
            <w:vAlign w:val="top"/>
          </w:tcPr>
          <w:p w14:paraId="3F091B54">
            <w:pPr>
              <w:spacing w:line="242" w:lineRule="auto"/>
              <w:rPr>
                <w:rFonts w:ascii="Arial"/>
                <w:sz w:val="21"/>
              </w:rPr>
            </w:pPr>
          </w:p>
          <w:p w14:paraId="35341B3B">
            <w:pPr>
              <w:pStyle w:val="6"/>
              <w:spacing w:before="56" w:line="219" w:lineRule="auto"/>
              <w:ind w:left="993"/>
            </w:pPr>
            <w:r>
              <w:rPr>
                <w:b/>
                <w:bCs/>
                <w:spacing w:val="5"/>
              </w:rPr>
              <w:t>考试条目</w:t>
            </w:r>
          </w:p>
        </w:tc>
        <w:tc>
          <w:tcPr>
            <w:tcW w:w="932" w:type="dxa"/>
            <w:gridSpan w:val="4"/>
            <w:vAlign w:val="top"/>
          </w:tcPr>
          <w:p w14:paraId="41CFD15F">
            <w:pPr>
              <w:pStyle w:val="6"/>
              <w:spacing w:before="109" w:line="219" w:lineRule="auto"/>
              <w:ind w:left="119"/>
            </w:pPr>
            <w:r>
              <w:rPr>
                <w:b/>
                <w:bCs/>
                <w:spacing w:val="-4"/>
              </w:rPr>
              <w:t>考试水平</w:t>
            </w:r>
          </w:p>
        </w:tc>
      </w:tr>
      <w:tr w14:paraId="295E21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9" w:hRule="atLeast"/>
        </w:trPr>
        <w:tc>
          <w:tcPr>
            <w:tcW w:w="554" w:type="dxa"/>
            <w:vMerge w:val="continue"/>
            <w:tcBorders>
              <w:top w:val="nil"/>
            </w:tcBorders>
            <w:vAlign w:val="top"/>
          </w:tcPr>
          <w:p w14:paraId="538DD214">
            <w:pPr>
              <w:rPr>
                <w:rFonts w:ascii="Arial"/>
                <w:sz w:val="21"/>
              </w:rPr>
            </w:pPr>
          </w:p>
        </w:tc>
        <w:tc>
          <w:tcPr>
            <w:tcW w:w="2644" w:type="dxa"/>
            <w:vMerge w:val="continue"/>
            <w:tcBorders>
              <w:top w:val="nil"/>
            </w:tcBorders>
            <w:vAlign w:val="top"/>
          </w:tcPr>
          <w:p w14:paraId="3F065A4B">
            <w:pPr>
              <w:rPr>
                <w:rFonts w:ascii="Arial"/>
                <w:sz w:val="21"/>
              </w:rPr>
            </w:pPr>
          </w:p>
        </w:tc>
        <w:tc>
          <w:tcPr>
            <w:tcW w:w="229" w:type="dxa"/>
            <w:vAlign w:val="top"/>
          </w:tcPr>
          <w:p w14:paraId="46B268CF">
            <w:pPr>
              <w:pStyle w:val="6"/>
              <w:spacing w:before="151" w:line="184" w:lineRule="auto"/>
              <w:ind w:left="17"/>
            </w:pPr>
            <w:r>
              <w:t>A</w:t>
            </w:r>
          </w:p>
        </w:tc>
        <w:tc>
          <w:tcPr>
            <w:tcW w:w="229" w:type="dxa"/>
            <w:vAlign w:val="top"/>
          </w:tcPr>
          <w:p w14:paraId="3D77CFAE">
            <w:pPr>
              <w:pStyle w:val="6"/>
              <w:spacing w:before="153" w:line="182" w:lineRule="auto"/>
              <w:ind w:left="38"/>
            </w:pPr>
            <w:r>
              <w:t>B</w:t>
            </w:r>
          </w:p>
        </w:tc>
        <w:tc>
          <w:tcPr>
            <w:tcW w:w="230" w:type="dxa"/>
            <w:vAlign w:val="top"/>
          </w:tcPr>
          <w:p w14:paraId="1796BDCD">
            <w:pPr>
              <w:pStyle w:val="6"/>
              <w:spacing w:before="152" w:line="183" w:lineRule="auto"/>
              <w:ind w:left="19"/>
            </w:pPr>
            <w:r>
              <w:t>C</w:t>
            </w:r>
          </w:p>
        </w:tc>
        <w:tc>
          <w:tcPr>
            <w:tcW w:w="244" w:type="dxa"/>
            <w:vAlign w:val="top"/>
          </w:tcPr>
          <w:p w14:paraId="13C6B42D">
            <w:pPr>
              <w:pStyle w:val="6"/>
              <w:spacing w:before="153" w:line="182" w:lineRule="auto"/>
              <w:ind w:left="29"/>
            </w:pPr>
            <w:r>
              <w:t>D</w:t>
            </w:r>
          </w:p>
        </w:tc>
      </w:tr>
      <w:tr w14:paraId="4DF0CD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97" w:hRule="atLeast"/>
        </w:trPr>
        <w:tc>
          <w:tcPr>
            <w:tcW w:w="554" w:type="dxa"/>
            <w:vAlign w:val="top"/>
          </w:tcPr>
          <w:p w14:paraId="2AD9D2AF">
            <w:pPr>
              <w:pStyle w:val="6"/>
              <w:spacing w:before="30" w:line="219" w:lineRule="auto"/>
              <w:ind w:left="94"/>
            </w:pPr>
            <w:r>
              <w:rPr>
                <w:spacing w:val="-2"/>
              </w:rPr>
              <w:t>植物</w:t>
            </w:r>
          </w:p>
          <w:p w14:paraId="20F13345">
            <w:pPr>
              <w:pStyle w:val="6"/>
              <w:spacing w:before="18" w:line="219" w:lineRule="auto"/>
              <w:ind w:left="94"/>
            </w:pPr>
            <w:r>
              <w:rPr>
                <w:spacing w:val="-2"/>
              </w:rPr>
              <w:t>生产</w:t>
            </w:r>
          </w:p>
          <w:p w14:paraId="78F0D0BA">
            <w:pPr>
              <w:pStyle w:val="6"/>
              <w:spacing w:before="18" w:line="219" w:lineRule="auto"/>
              <w:ind w:left="94"/>
            </w:pPr>
            <w:r>
              <w:rPr>
                <w:spacing w:val="4"/>
              </w:rPr>
              <w:t>的水</w:t>
            </w:r>
          </w:p>
          <w:p w14:paraId="74826C4E">
            <w:pPr>
              <w:pStyle w:val="6"/>
              <w:spacing w:before="38" w:line="206" w:lineRule="auto"/>
              <w:ind w:left="94"/>
            </w:pPr>
            <w:r>
              <w:rPr>
                <w:spacing w:val="-3"/>
              </w:rPr>
              <w:t>分条</w:t>
            </w:r>
          </w:p>
          <w:p w14:paraId="24ABEC09">
            <w:pPr>
              <w:pStyle w:val="6"/>
              <w:spacing w:line="203" w:lineRule="auto"/>
              <w:ind w:left="185"/>
            </w:pPr>
            <w:r>
              <w:t>件</w:t>
            </w:r>
          </w:p>
        </w:tc>
        <w:tc>
          <w:tcPr>
            <w:tcW w:w="2644" w:type="dxa"/>
            <w:vAlign w:val="top"/>
          </w:tcPr>
          <w:p w14:paraId="6D0E0430">
            <w:pPr>
              <w:pStyle w:val="6"/>
              <w:spacing w:before="270" w:line="218" w:lineRule="auto"/>
              <w:ind w:left="60" w:right="1715"/>
            </w:pPr>
            <w:r>
              <w:rPr>
                <w:spacing w:val="1"/>
              </w:rPr>
              <w:t>1.大气水分</w:t>
            </w:r>
            <w:r>
              <w:t xml:space="preserve"> 2.降水</w:t>
            </w:r>
          </w:p>
          <w:p w14:paraId="41A39723">
            <w:pPr>
              <w:pStyle w:val="6"/>
              <w:spacing w:before="38" w:line="219" w:lineRule="auto"/>
              <w:ind w:left="60"/>
            </w:pPr>
            <w:r>
              <w:rPr>
                <w:spacing w:val="-2"/>
              </w:rPr>
              <w:t>3.土壤水分蒸发</w:t>
            </w:r>
          </w:p>
        </w:tc>
        <w:tc>
          <w:tcPr>
            <w:tcW w:w="229" w:type="dxa"/>
            <w:vAlign w:val="top"/>
          </w:tcPr>
          <w:p w14:paraId="290BE333">
            <w:pPr>
              <w:rPr>
                <w:rFonts w:ascii="Arial"/>
                <w:sz w:val="21"/>
              </w:rPr>
            </w:pPr>
          </w:p>
        </w:tc>
        <w:tc>
          <w:tcPr>
            <w:tcW w:w="229" w:type="dxa"/>
            <w:vAlign w:val="top"/>
          </w:tcPr>
          <w:p w14:paraId="1E255C32">
            <w:pPr>
              <w:rPr>
                <w:rFonts w:ascii="Arial"/>
                <w:sz w:val="21"/>
              </w:rPr>
            </w:pPr>
          </w:p>
        </w:tc>
        <w:tc>
          <w:tcPr>
            <w:tcW w:w="230" w:type="dxa"/>
            <w:vAlign w:val="top"/>
          </w:tcPr>
          <w:p w14:paraId="6E59FA5E">
            <w:pPr>
              <w:rPr>
                <w:rFonts w:ascii="Arial"/>
                <w:sz w:val="21"/>
              </w:rPr>
            </w:pPr>
          </w:p>
        </w:tc>
        <w:tc>
          <w:tcPr>
            <w:tcW w:w="244" w:type="dxa"/>
            <w:vAlign w:val="top"/>
          </w:tcPr>
          <w:p w14:paraId="7AEBA05D">
            <w:pPr>
              <w:rPr>
                <w:rFonts w:ascii="Arial"/>
                <w:sz w:val="21"/>
              </w:rPr>
            </w:pPr>
          </w:p>
        </w:tc>
      </w:tr>
      <w:tr w14:paraId="6E9E8B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00" w:hRule="atLeast"/>
        </w:trPr>
        <w:tc>
          <w:tcPr>
            <w:tcW w:w="554" w:type="dxa"/>
            <w:vAlign w:val="top"/>
          </w:tcPr>
          <w:p w14:paraId="3DD67839">
            <w:pPr>
              <w:pStyle w:val="6"/>
              <w:spacing w:before="293" w:line="206" w:lineRule="auto"/>
              <w:ind w:left="94"/>
            </w:pPr>
            <w:r>
              <w:rPr>
                <w:spacing w:val="-2"/>
              </w:rPr>
              <w:t>植物</w:t>
            </w:r>
          </w:p>
          <w:p w14:paraId="69509E35">
            <w:pPr>
              <w:pStyle w:val="6"/>
              <w:spacing w:line="219" w:lineRule="auto"/>
              <w:ind w:left="94"/>
            </w:pPr>
            <w:r>
              <w:rPr>
                <w:spacing w:val="-2"/>
              </w:rPr>
              <w:t>生产</w:t>
            </w:r>
          </w:p>
          <w:p w14:paraId="3D1F472B">
            <w:pPr>
              <w:pStyle w:val="6"/>
              <w:spacing w:before="38" w:line="219" w:lineRule="auto"/>
              <w:ind w:left="94"/>
            </w:pPr>
            <w:r>
              <w:rPr>
                <w:spacing w:val="4"/>
              </w:rPr>
              <w:t>的水</w:t>
            </w:r>
          </w:p>
          <w:p w14:paraId="2862BAE6">
            <w:pPr>
              <w:pStyle w:val="6"/>
              <w:spacing w:before="18" w:line="220" w:lineRule="auto"/>
              <w:ind w:left="94"/>
            </w:pPr>
            <w:r>
              <w:rPr>
                <w:spacing w:val="6"/>
              </w:rPr>
              <w:t>分调</w:t>
            </w:r>
          </w:p>
          <w:p w14:paraId="1225B6A5">
            <w:pPr>
              <w:pStyle w:val="6"/>
              <w:spacing w:before="17" w:line="220" w:lineRule="auto"/>
              <w:ind w:left="185"/>
            </w:pPr>
            <w:r>
              <w:t>控</w:t>
            </w:r>
          </w:p>
        </w:tc>
        <w:tc>
          <w:tcPr>
            <w:tcW w:w="2644" w:type="dxa"/>
            <w:vAlign w:val="top"/>
          </w:tcPr>
          <w:p w14:paraId="355FA8AF">
            <w:pPr>
              <w:pStyle w:val="6"/>
              <w:spacing w:before="183" w:line="219" w:lineRule="auto"/>
              <w:ind w:left="60"/>
            </w:pPr>
            <w:r>
              <w:rPr>
                <w:spacing w:val="1"/>
              </w:rPr>
              <w:t>1.水分对植物生长的作用</w:t>
            </w:r>
          </w:p>
          <w:p w14:paraId="5BC62CD7">
            <w:pPr>
              <w:pStyle w:val="6"/>
              <w:spacing w:before="18" w:line="219" w:lineRule="auto"/>
              <w:ind w:left="60"/>
            </w:pPr>
            <w:r>
              <w:rPr>
                <w:spacing w:val="-2"/>
              </w:rPr>
              <w:t>2.植物细胞吸水</w:t>
            </w:r>
          </w:p>
          <w:p w14:paraId="6535D40F">
            <w:pPr>
              <w:pStyle w:val="6"/>
              <w:spacing w:before="28" w:line="219" w:lineRule="auto"/>
              <w:ind w:left="60"/>
            </w:pPr>
            <w:r>
              <w:rPr>
                <w:spacing w:val="-2"/>
              </w:rPr>
              <w:t>3.植物根系吸水</w:t>
            </w:r>
          </w:p>
          <w:p w14:paraId="2B869160">
            <w:pPr>
              <w:pStyle w:val="6"/>
              <w:spacing w:before="8" w:line="229" w:lineRule="auto"/>
              <w:ind w:left="60" w:right="1192"/>
            </w:pPr>
            <w:r>
              <w:rPr>
                <w:spacing w:val="2"/>
              </w:rPr>
              <w:t>4.植物的蒸腾作用</w:t>
            </w:r>
            <w:r>
              <w:rPr>
                <w:spacing w:val="1"/>
              </w:rPr>
              <w:t xml:space="preserve"> </w:t>
            </w:r>
            <w:r>
              <w:rPr>
                <w:spacing w:val="-2"/>
              </w:rPr>
              <w:t>5.植物的需水规律</w:t>
            </w:r>
          </w:p>
          <w:p w14:paraId="28992091">
            <w:pPr>
              <w:pStyle w:val="6"/>
              <w:spacing w:before="8" w:line="219" w:lineRule="auto"/>
              <w:ind w:left="60"/>
            </w:pPr>
            <w:r>
              <w:rPr>
                <w:spacing w:val="-1"/>
              </w:rPr>
              <w:t>6.植物水分环境的调控技术</w:t>
            </w:r>
          </w:p>
        </w:tc>
        <w:tc>
          <w:tcPr>
            <w:tcW w:w="229" w:type="dxa"/>
            <w:vAlign w:val="top"/>
          </w:tcPr>
          <w:p w14:paraId="07CF3DC4">
            <w:pPr>
              <w:rPr>
                <w:rFonts w:ascii="Arial"/>
                <w:sz w:val="21"/>
              </w:rPr>
            </w:pPr>
          </w:p>
        </w:tc>
        <w:tc>
          <w:tcPr>
            <w:tcW w:w="229" w:type="dxa"/>
            <w:vAlign w:val="top"/>
          </w:tcPr>
          <w:p w14:paraId="11D232D4">
            <w:pPr>
              <w:rPr>
                <w:rFonts w:ascii="Arial"/>
                <w:sz w:val="21"/>
              </w:rPr>
            </w:pPr>
          </w:p>
        </w:tc>
        <w:tc>
          <w:tcPr>
            <w:tcW w:w="230" w:type="dxa"/>
            <w:vAlign w:val="top"/>
          </w:tcPr>
          <w:p w14:paraId="07E926AE">
            <w:pPr>
              <w:rPr>
                <w:rFonts w:ascii="Arial"/>
                <w:sz w:val="21"/>
              </w:rPr>
            </w:pPr>
          </w:p>
        </w:tc>
        <w:tc>
          <w:tcPr>
            <w:tcW w:w="244" w:type="dxa"/>
            <w:vAlign w:val="top"/>
          </w:tcPr>
          <w:p w14:paraId="4F5E4289">
            <w:pPr>
              <w:rPr>
                <w:rFonts w:ascii="Arial"/>
                <w:sz w:val="21"/>
              </w:rPr>
            </w:pPr>
          </w:p>
        </w:tc>
      </w:tr>
    </w:tbl>
    <w:p w14:paraId="2BF0C4A1">
      <w:pPr>
        <w:spacing w:before="129" w:line="222" w:lineRule="auto"/>
        <w:ind w:left="977"/>
        <w:rPr>
          <w:rFonts w:ascii="黑体" w:hAnsi="黑体" w:eastAsia="黑体" w:cs="黑体"/>
          <w:sz w:val="20"/>
          <w:szCs w:val="20"/>
        </w:rPr>
      </w:pPr>
      <w:r>
        <w:rPr>
          <w:rFonts w:ascii="黑体" w:hAnsi="黑体" w:eastAsia="黑体" w:cs="黑体"/>
          <w:b/>
          <w:bCs/>
          <w:spacing w:val="-5"/>
          <w:sz w:val="20"/>
          <w:szCs w:val="20"/>
        </w:rPr>
        <w:t>五、植物生产与光能利用</w:t>
      </w:r>
    </w:p>
    <w:p w14:paraId="16DD4899">
      <w:pPr>
        <w:spacing w:line="150" w:lineRule="exact"/>
      </w:pPr>
    </w:p>
    <w:tbl>
      <w:tblPr>
        <w:tblStyle w:val="5"/>
        <w:tblW w:w="4130" w:type="dxa"/>
        <w:tblInd w:w="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54"/>
        <w:gridCol w:w="2644"/>
        <w:gridCol w:w="229"/>
        <w:gridCol w:w="229"/>
        <w:gridCol w:w="230"/>
        <w:gridCol w:w="244"/>
      </w:tblGrid>
      <w:tr w14:paraId="6435E7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3" w:hRule="atLeast"/>
        </w:trPr>
        <w:tc>
          <w:tcPr>
            <w:tcW w:w="554" w:type="dxa"/>
            <w:vMerge w:val="restart"/>
            <w:tcBorders>
              <w:bottom w:val="nil"/>
            </w:tcBorders>
            <w:vAlign w:val="top"/>
          </w:tcPr>
          <w:p w14:paraId="225DF0A5">
            <w:pPr>
              <w:pStyle w:val="6"/>
              <w:spacing w:before="90" w:line="234" w:lineRule="auto"/>
              <w:ind w:left="17" w:right="26" w:firstLine="79"/>
            </w:pPr>
            <w:r>
              <w:rPr>
                <w:b/>
                <w:bCs/>
                <w:spacing w:val="-7"/>
              </w:rPr>
              <w:t>知识</w:t>
            </w:r>
            <w:r>
              <w:t xml:space="preserve">  </w:t>
            </w:r>
            <w:r>
              <w:rPr>
                <w:b/>
                <w:bCs/>
                <w:spacing w:val="-6"/>
              </w:rPr>
              <w:t>与技能</w:t>
            </w:r>
            <w:r>
              <w:rPr>
                <w:spacing w:val="1"/>
              </w:rPr>
              <w:t xml:space="preserve"> </w:t>
            </w:r>
            <w:r>
              <w:rPr>
                <w:b/>
                <w:bCs/>
                <w:spacing w:val="34"/>
              </w:rPr>
              <w:t>要点</w:t>
            </w:r>
          </w:p>
        </w:tc>
        <w:tc>
          <w:tcPr>
            <w:tcW w:w="2644" w:type="dxa"/>
            <w:vMerge w:val="restart"/>
            <w:tcBorders>
              <w:bottom w:val="nil"/>
            </w:tcBorders>
            <w:vAlign w:val="top"/>
          </w:tcPr>
          <w:p w14:paraId="076C677B">
            <w:pPr>
              <w:spacing w:line="252" w:lineRule="auto"/>
              <w:rPr>
                <w:rFonts w:ascii="Arial"/>
                <w:sz w:val="21"/>
              </w:rPr>
            </w:pPr>
          </w:p>
          <w:p w14:paraId="6972AA3B">
            <w:pPr>
              <w:pStyle w:val="6"/>
              <w:spacing w:before="56" w:line="219" w:lineRule="auto"/>
              <w:ind w:left="993"/>
            </w:pPr>
            <w:r>
              <w:rPr>
                <w:b/>
                <w:bCs/>
                <w:spacing w:val="5"/>
              </w:rPr>
              <w:t>考试条目</w:t>
            </w:r>
          </w:p>
        </w:tc>
        <w:tc>
          <w:tcPr>
            <w:tcW w:w="932" w:type="dxa"/>
            <w:gridSpan w:val="4"/>
            <w:vAlign w:val="top"/>
          </w:tcPr>
          <w:p w14:paraId="2052E13E">
            <w:pPr>
              <w:pStyle w:val="6"/>
              <w:spacing w:before="109" w:line="219" w:lineRule="auto"/>
              <w:ind w:left="119"/>
            </w:pPr>
            <w:r>
              <w:rPr>
                <w:b/>
                <w:bCs/>
                <w:spacing w:val="-4"/>
              </w:rPr>
              <w:t>考试水平</w:t>
            </w:r>
          </w:p>
        </w:tc>
      </w:tr>
      <w:tr w14:paraId="6C934F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8" w:hRule="atLeast"/>
        </w:trPr>
        <w:tc>
          <w:tcPr>
            <w:tcW w:w="554" w:type="dxa"/>
            <w:vMerge w:val="continue"/>
            <w:tcBorders>
              <w:top w:val="nil"/>
            </w:tcBorders>
            <w:vAlign w:val="top"/>
          </w:tcPr>
          <w:p w14:paraId="7C562635">
            <w:pPr>
              <w:rPr>
                <w:rFonts w:ascii="Arial"/>
                <w:sz w:val="21"/>
              </w:rPr>
            </w:pPr>
          </w:p>
        </w:tc>
        <w:tc>
          <w:tcPr>
            <w:tcW w:w="2644" w:type="dxa"/>
            <w:vMerge w:val="continue"/>
            <w:tcBorders>
              <w:top w:val="nil"/>
            </w:tcBorders>
            <w:vAlign w:val="top"/>
          </w:tcPr>
          <w:p w14:paraId="337A05AA">
            <w:pPr>
              <w:rPr>
                <w:rFonts w:ascii="Arial"/>
                <w:sz w:val="21"/>
              </w:rPr>
            </w:pPr>
          </w:p>
        </w:tc>
        <w:tc>
          <w:tcPr>
            <w:tcW w:w="229" w:type="dxa"/>
            <w:vAlign w:val="top"/>
          </w:tcPr>
          <w:p w14:paraId="3FB5395C">
            <w:pPr>
              <w:pStyle w:val="6"/>
              <w:spacing w:before="151" w:line="184" w:lineRule="auto"/>
              <w:jc w:val="right"/>
            </w:pPr>
            <w:r>
              <w:rPr>
                <w:spacing w:val="-2"/>
                <w:w w:val="98"/>
              </w:rPr>
              <w:t>A</w:t>
            </w:r>
          </w:p>
        </w:tc>
        <w:tc>
          <w:tcPr>
            <w:tcW w:w="229" w:type="dxa"/>
            <w:vAlign w:val="top"/>
          </w:tcPr>
          <w:p w14:paraId="3EEAD945">
            <w:pPr>
              <w:pStyle w:val="6"/>
              <w:spacing w:before="153" w:line="182" w:lineRule="auto"/>
              <w:ind w:left="38"/>
            </w:pPr>
            <w:r>
              <w:t>B</w:t>
            </w:r>
          </w:p>
        </w:tc>
        <w:tc>
          <w:tcPr>
            <w:tcW w:w="230" w:type="dxa"/>
            <w:vAlign w:val="top"/>
          </w:tcPr>
          <w:p w14:paraId="2855E22E">
            <w:pPr>
              <w:pStyle w:val="6"/>
              <w:spacing w:before="152" w:line="183" w:lineRule="auto"/>
              <w:ind w:left="38"/>
            </w:pPr>
            <w:r>
              <w:t>C</w:t>
            </w:r>
          </w:p>
        </w:tc>
        <w:tc>
          <w:tcPr>
            <w:tcW w:w="244" w:type="dxa"/>
            <w:vAlign w:val="top"/>
          </w:tcPr>
          <w:p w14:paraId="0F2CCD52">
            <w:pPr>
              <w:pStyle w:val="6"/>
              <w:spacing w:before="153" w:line="182" w:lineRule="auto"/>
              <w:ind w:left="68"/>
            </w:pPr>
            <w:r>
              <w:t>D</w:t>
            </w:r>
          </w:p>
        </w:tc>
      </w:tr>
      <w:tr w14:paraId="18C7D9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99" w:hRule="atLeast"/>
        </w:trPr>
        <w:tc>
          <w:tcPr>
            <w:tcW w:w="554" w:type="dxa"/>
            <w:vAlign w:val="top"/>
          </w:tcPr>
          <w:p w14:paraId="53ED188F">
            <w:pPr>
              <w:spacing w:line="303" w:lineRule="auto"/>
              <w:rPr>
                <w:rFonts w:ascii="Arial"/>
                <w:sz w:val="21"/>
              </w:rPr>
            </w:pPr>
          </w:p>
          <w:p w14:paraId="764D5035">
            <w:pPr>
              <w:pStyle w:val="6"/>
              <w:spacing w:before="55" w:line="218" w:lineRule="auto"/>
              <w:ind w:left="94"/>
            </w:pPr>
            <w:r>
              <w:rPr>
                <w:spacing w:val="-2"/>
              </w:rPr>
              <w:t>植物</w:t>
            </w:r>
          </w:p>
          <w:p w14:paraId="7C25B9E2">
            <w:pPr>
              <w:pStyle w:val="6"/>
              <w:spacing w:line="220" w:lineRule="auto"/>
              <w:ind w:left="94"/>
            </w:pPr>
            <w:r>
              <w:rPr>
                <w:spacing w:val="3"/>
              </w:rPr>
              <w:t>的新</w:t>
            </w:r>
          </w:p>
          <w:p w14:paraId="42EEACB7">
            <w:pPr>
              <w:pStyle w:val="6"/>
              <w:spacing w:before="15" w:line="219" w:lineRule="auto"/>
              <w:ind w:left="94"/>
            </w:pPr>
            <w:r>
              <w:rPr>
                <w:spacing w:val="4"/>
              </w:rPr>
              <w:t>陈代</w:t>
            </w:r>
          </w:p>
          <w:p w14:paraId="28FFA15C">
            <w:pPr>
              <w:pStyle w:val="6"/>
              <w:spacing w:before="20" w:line="221" w:lineRule="auto"/>
              <w:ind w:left="185"/>
            </w:pPr>
            <w:r>
              <w:t>谢</w:t>
            </w:r>
          </w:p>
        </w:tc>
        <w:tc>
          <w:tcPr>
            <w:tcW w:w="2644" w:type="dxa"/>
            <w:vAlign w:val="top"/>
          </w:tcPr>
          <w:p w14:paraId="2EEDEBA5">
            <w:pPr>
              <w:pStyle w:val="6"/>
              <w:spacing w:before="121" w:line="236" w:lineRule="auto"/>
              <w:ind w:left="71" w:right="684"/>
            </w:pPr>
            <w:r>
              <w:t>1.光合作用的概念和意义</w:t>
            </w:r>
            <w:r>
              <w:rPr>
                <w:spacing w:val="7"/>
              </w:rPr>
              <w:t xml:space="preserve"> </w:t>
            </w:r>
            <w:r>
              <w:rPr>
                <w:spacing w:val="-1"/>
              </w:rPr>
              <w:t>2.光合作用的调控</w:t>
            </w:r>
          </w:p>
          <w:p w14:paraId="28335D4A">
            <w:pPr>
              <w:pStyle w:val="6"/>
              <w:spacing w:before="4" w:line="233" w:lineRule="auto"/>
              <w:ind w:left="71" w:right="162"/>
              <w:jc w:val="both"/>
            </w:pPr>
            <w:r>
              <w:rPr>
                <w:spacing w:val="1"/>
              </w:rPr>
              <w:t>3.光合作用在农业生产中的应用</w:t>
            </w:r>
            <w:r>
              <w:rPr>
                <w:spacing w:val="4"/>
              </w:rPr>
              <w:t xml:space="preserve"> </w:t>
            </w:r>
            <w:r>
              <w:rPr>
                <w:spacing w:val="-1"/>
              </w:rPr>
              <w:t>4.呼吸作用的概念、意义和类型</w:t>
            </w:r>
            <w:r>
              <w:rPr>
                <w:spacing w:val="8"/>
              </w:rPr>
              <w:t xml:space="preserve"> </w:t>
            </w:r>
            <w:r>
              <w:rPr>
                <w:spacing w:val="-1"/>
              </w:rPr>
              <w:t>5.呼吸作用的调控</w:t>
            </w:r>
          </w:p>
          <w:p w14:paraId="30908B2A">
            <w:pPr>
              <w:pStyle w:val="6"/>
              <w:spacing w:before="27" w:line="219" w:lineRule="auto"/>
              <w:ind w:left="71"/>
            </w:pPr>
            <w:r>
              <w:rPr>
                <w:spacing w:val="1"/>
              </w:rPr>
              <w:t>6.呼吸作用在生产中的应用</w:t>
            </w:r>
          </w:p>
        </w:tc>
        <w:tc>
          <w:tcPr>
            <w:tcW w:w="229" w:type="dxa"/>
            <w:vAlign w:val="top"/>
          </w:tcPr>
          <w:p w14:paraId="0E91BFE1">
            <w:pPr>
              <w:pStyle w:val="6"/>
              <w:spacing w:before="112" w:line="238" w:lineRule="auto"/>
              <w:ind w:left="17"/>
              <w:rPr>
                <w:sz w:val="13"/>
                <w:szCs w:val="13"/>
              </w:rPr>
            </w:pPr>
            <w:r>
              <w:rPr>
                <w:sz w:val="13"/>
                <w:szCs w:val="13"/>
              </w:rPr>
              <w:t>√</w:t>
            </w:r>
          </w:p>
        </w:tc>
        <w:tc>
          <w:tcPr>
            <w:tcW w:w="229" w:type="dxa"/>
            <w:vAlign w:val="top"/>
          </w:tcPr>
          <w:p w14:paraId="7A90DD58">
            <w:pPr>
              <w:rPr>
                <w:rFonts w:ascii="Arial"/>
                <w:sz w:val="21"/>
              </w:rPr>
            </w:pPr>
          </w:p>
        </w:tc>
        <w:tc>
          <w:tcPr>
            <w:tcW w:w="230" w:type="dxa"/>
            <w:vAlign w:val="top"/>
          </w:tcPr>
          <w:p w14:paraId="0AD7A055">
            <w:pPr>
              <w:rPr>
                <w:rFonts w:ascii="Arial"/>
                <w:sz w:val="21"/>
              </w:rPr>
            </w:pPr>
          </w:p>
        </w:tc>
        <w:tc>
          <w:tcPr>
            <w:tcW w:w="244" w:type="dxa"/>
            <w:vAlign w:val="top"/>
          </w:tcPr>
          <w:p w14:paraId="6ACD6402">
            <w:pPr>
              <w:spacing w:line="248" w:lineRule="auto"/>
              <w:rPr>
                <w:rFonts w:ascii="Arial"/>
                <w:sz w:val="21"/>
              </w:rPr>
            </w:pPr>
          </w:p>
          <w:p w14:paraId="0A14C6D8">
            <w:pPr>
              <w:spacing w:line="249" w:lineRule="auto"/>
              <w:rPr>
                <w:rFonts w:ascii="Arial"/>
                <w:sz w:val="21"/>
              </w:rPr>
            </w:pPr>
          </w:p>
          <w:p w14:paraId="0BB33D6D">
            <w:pPr>
              <w:pStyle w:val="6"/>
              <w:spacing w:before="42" w:line="238" w:lineRule="auto"/>
              <w:ind w:left="49"/>
              <w:rPr>
                <w:sz w:val="13"/>
                <w:szCs w:val="13"/>
              </w:rPr>
            </w:pPr>
            <w:r>
              <w:rPr>
                <w:sz w:val="13"/>
                <w:szCs w:val="13"/>
              </w:rPr>
              <w:t>√</w:t>
            </w:r>
          </w:p>
          <w:p w14:paraId="6F031231">
            <w:pPr>
              <w:spacing w:line="417" w:lineRule="auto"/>
              <w:rPr>
                <w:rFonts w:ascii="Arial"/>
                <w:sz w:val="21"/>
              </w:rPr>
            </w:pPr>
          </w:p>
          <w:p w14:paraId="03456679">
            <w:pPr>
              <w:pStyle w:val="6"/>
              <w:spacing w:before="42" w:line="238" w:lineRule="auto"/>
              <w:ind w:left="49"/>
              <w:rPr>
                <w:sz w:val="13"/>
                <w:szCs w:val="13"/>
              </w:rPr>
            </w:pPr>
            <w:r>
              <w:rPr>
                <w:sz w:val="13"/>
                <w:szCs w:val="13"/>
              </w:rPr>
              <w:t>√</w:t>
            </w:r>
          </w:p>
        </w:tc>
      </w:tr>
    </w:tbl>
    <w:p w14:paraId="06C55B53">
      <w:pPr>
        <w:pStyle w:val="2"/>
        <w:spacing w:line="104" w:lineRule="auto"/>
        <w:rPr>
          <w:sz w:val="2"/>
        </w:rPr>
      </w:pPr>
    </w:p>
    <w:p w14:paraId="29103126">
      <w:pPr>
        <w:spacing w:line="104" w:lineRule="auto"/>
        <w:rPr>
          <w:sz w:val="2"/>
          <w:szCs w:val="2"/>
        </w:rPr>
        <w:sectPr>
          <w:type w:val="continuous"/>
          <w:pgSz w:w="10660" w:h="15080"/>
          <w:pgMar w:top="400" w:right="871" w:bottom="927" w:left="1034" w:header="0" w:footer="719" w:gutter="0"/>
          <w:cols w:equalWidth="0" w:num="2">
            <w:col w:w="4480" w:space="100"/>
            <w:col w:w="4174"/>
          </w:cols>
        </w:sectPr>
      </w:pPr>
    </w:p>
    <w:p w14:paraId="27CBF50A">
      <w:pPr>
        <w:spacing w:before="10"/>
      </w:pPr>
    </w:p>
    <w:p w14:paraId="3DBA30F5">
      <w:pPr>
        <w:spacing w:before="10"/>
      </w:pPr>
    </w:p>
    <w:p w14:paraId="0AF08496">
      <w:pPr>
        <w:spacing w:before="10"/>
      </w:pPr>
    </w:p>
    <w:p w14:paraId="6A847149">
      <w:pPr>
        <w:spacing w:before="9"/>
      </w:pPr>
    </w:p>
    <w:p w14:paraId="4EEFA3A4">
      <w:pPr>
        <w:sectPr>
          <w:footerReference r:id="rId14" w:type="default"/>
          <w:pgSz w:w="10660" w:h="15080"/>
          <w:pgMar w:top="400" w:right="1034" w:bottom="908" w:left="819" w:header="0" w:footer="713" w:gutter="0"/>
          <w:cols w:equalWidth="0" w:num="1">
            <w:col w:w="8806"/>
          </w:cols>
        </w:sectPr>
      </w:pPr>
    </w:p>
    <w:tbl>
      <w:tblPr>
        <w:tblStyle w:val="5"/>
        <w:tblW w:w="4130"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54"/>
        <w:gridCol w:w="2644"/>
        <w:gridCol w:w="229"/>
        <w:gridCol w:w="230"/>
        <w:gridCol w:w="229"/>
        <w:gridCol w:w="244"/>
      </w:tblGrid>
      <w:tr w14:paraId="2B8B7C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3" w:hRule="atLeast"/>
        </w:trPr>
        <w:tc>
          <w:tcPr>
            <w:tcW w:w="554" w:type="dxa"/>
            <w:vMerge w:val="restart"/>
            <w:tcBorders>
              <w:bottom w:val="nil"/>
            </w:tcBorders>
            <w:vAlign w:val="top"/>
          </w:tcPr>
          <w:p w14:paraId="671F983E">
            <w:pPr>
              <w:pStyle w:val="6"/>
              <w:spacing w:before="90" w:line="234" w:lineRule="auto"/>
              <w:ind w:left="17" w:right="26" w:firstLine="80"/>
            </w:pPr>
            <w:r>
              <w:rPr>
                <w:b/>
                <w:bCs/>
                <w:spacing w:val="-7"/>
              </w:rPr>
              <w:t>知识</w:t>
            </w:r>
            <w:r>
              <w:t xml:space="preserve">  </w:t>
            </w:r>
            <w:r>
              <w:rPr>
                <w:b/>
                <w:bCs/>
                <w:spacing w:val="-6"/>
              </w:rPr>
              <w:t>与技能</w:t>
            </w:r>
            <w:r>
              <w:rPr>
                <w:spacing w:val="1"/>
              </w:rPr>
              <w:t xml:space="preserve"> </w:t>
            </w:r>
            <w:r>
              <w:rPr>
                <w:b/>
                <w:bCs/>
                <w:spacing w:val="34"/>
              </w:rPr>
              <w:t>要点</w:t>
            </w:r>
          </w:p>
        </w:tc>
        <w:tc>
          <w:tcPr>
            <w:tcW w:w="2644" w:type="dxa"/>
            <w:vMerge w:val="restart"/>
            <w:tcBorders>
              <w:bottom w:val="nil"/>
            </w:tcBorders>
            <w:vAlign w:val="top"/>
          </w:tcPr>
          <w:p w14:paraId="4F8F0947">
            <w:pPr>
              <w:spacing w:line="252" w:lineRule="auto"/>
              <w:rPr>
                <w:rFonts w:ascii="Arial"/>
                <w:sz w:val="21"/>
              </w:rPr>
            </w:pPr>
          </w:p>
          <w:p w14:paraId="6F36EAEB">
            <w:pPr>
              <w:pStyle w:val="6"/>
              <w:spacing w:before="56" w:line="219" w:lineRule="auto"/>
              <w:ind w:left="993"/>
            </w:pPr>
            <w:r>
              <w:rPr>
                <w:b/>
                <w:bCs/>
                <w:spacing w:val="5"/>
              </w:rPr>
              <w:t>考试条目</w:t>
            </w:r>
          </w:p>
        </w:tc>
        <w:tc>
          <w:tcPr>
            <w:tcW w:w="932" w:type="dxa"/>
            <w:gridSpan w:val="4"/>
            <w:vAlign w:val="top"/>
          </w:tcPr>
          <w:p w14:paraId="5342D075">
            <w:pPr>
              <w:pStyle w:val="6"/>
              <w:spacing w:before="109" w:line="219" w:lineRule="auto"/>
              <w:ind w:left="129"/>
            </w:pPr>
            <w:r>
              <w:rPr>
                <w:b/>
                <w:bCs/>
                <w:spacing w:val="-4"/>
              </w:rPr>
              <w:t>考试水平</w:t>
            </w:r>
          </w:p>
        </w:tc>
      </w:tr>
      <w:tr w14:paraId="3868C5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8" w:hRule="atLeast"/>
        </w:trPr>
        <w:tc>
          <w:tcPr>
            <w:tcW w:w="554" w:type="dxa"/>
            <w:vMerge w:val="continue"/>
            <w:tcBorders>
              <w:top w:val="nil"/>
            </w:tcBorders>
            <w:vAlign w:val="top"/>
          </w:tcPr>
          <w:p w14:paraId="4A9B2264">
            <w:pPr>
              <w:rPr>
                <w:rFonts w:ascii="Arial"/>
                <w:sz w:val="21"/>
              </w:rPr>
            </w:pPr>
          </w:p>
        </w:tc>
        <w:tc>
          <w:tcPr>
            <w:tcW w:w="2644" w:type="dxa"/>
            <w:vMerge w:val="continue"/>
            <w:tcBorders>
              <w:top w:val="nil"/>
            </w:tcBorders>
            <w:vAlign w:val="top"/>
          </w:tcPr>
          <w:p w14:paraId="4E48FE0D">
            <w:pPr>
              <w:rPr>
                <w:rFonts w:ascii="Arial"/>
                <w:sz w:val="21"/>
              </w:rPr>
            </w:pPr>
          </w:p>
        </w:tc>
        <w:tc>
          <w:tcPr>
            <w:tcW w:w="229" w:type="dxa"/>
            <w:vAlign w:val="top"/>
          </w:tcPr>
          <w:p w14:paraId="7B6297CA">
            <w:pPr>
              <w:pStyle w:val="6"/>
              <w:spacing w:before="151" w:line="184" w:lineRule="auto"/>
              <w:ind w:left="37"/>
            </w:pPr>
            <w:r>
              <w:t>A</w:t>
            </w:r>
          </w:p>
        </w:tc>
        <w:tc>
          <w:tcPr>
            <w:tcW w:w="230" w:type="dxa"/>
            <w:vAlign w:val="top"/>
          </w:tcPr>
          <w:p w14:paraId="0460E7A9">
            <w:pPr>
              <w:pStyle w:val="6"/>
              <w:spacing w:before="153" w:line="182" w:lineRule="auto"/>
              <w:ind w:left="18"/>
            </w:pPr>
            <w:r>
              <w:t>B</w:t>
            </w:r>
          </w:p>
        </w:tc>
        <w:tc>
          <w:tcPr>
            <w:tcW w:w="229" w:type="dxa"/>
            <w:vAlign w:val="top"/>
          </w:tcPr>
          <w:p w14:paraId="052518A6">
            <w:pPr>
              <w:pStyle w:val="6"/>
              <w:spacing w:before="152" w:line="183" w:lineRule="auto"/>
              <w:ind w:left="47"/>
            </w:pPr>
            <w:r>
              <w:t>C</w:t>
            </w:r>
          </w:p>
        </w:tc>
        <w:tc>
          <w:tcPr>
            <w:tcW w:w="244" w:type="dxa"/>
            <w:vAlign w:val="top"/>
          </w:tcPr>
          <w:p w14:paraId="00617880">
            <w:pPr>
              <w:pStyle w:val="6"/>
              <w:spacing w:before="153" w:line="182" w:lineRule="auto"/>
              <w:ind w:left="58"/>
            </w:pPr>
            <w:r>
              <w:t>D</w:t>
            </w:r>
          </w:p>
        </w:tc>
      </w:tr>
      <w:tr w14:paraId="0B9D8D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77" w:hRule="atLeast"/>
        </w:trPr>
        <w:tc>
          <w:tcPr>
            <w:tcW w:w="554" w:type="dxa"/>
            <w:vAlign w:val="top"/>
          </w:tcPr>
          <w:p w14:paraId="366D9133">
            <w:pPr>
              <w:pStyle w:val="6"/>
              <w:spacing w:before="101" w:line="232" w:lineRule="auto"/>
              <w:ind w:left="14" w:right="25"/>
              <w:jc w:val="both"/>
            </w:pPr>
            <w:r>
              <w:rPr>
                <w:spacing w:val="-3"/>
              </w:rPr>
              <w:t>植物生</w:t>
            </w:r>
            <w:r>
              <w:t xml:space="preserve"> </w:t>
            </w:r>
            <w:r>
              <w:rPr>
                <w:spacing w:val="-3"/>
              </w:rPr>
              <w:t>产的光</w:t>
            </w:r>
            <w:r>
              <w:rPr>
                <w:spacing w:val="1"/>
              </w:rPr>
              <w:t xml:space="preserve"> </w:t>
            </w:r>
            <w:r>
              <w:rPr>
                <w:spacing w:val="-3"/>
              </w:rPr>
              <w:t>照条件</w:t>
            </w:r>
          </w:p>
        </w:tc>
        <w:tc>
          <w:tcPr>
            <w:tcW w:w="2644" w:type="dxa"/>
            <w:vAlign w:val="top"/>
          </w:tcPr>
          <w:p w14:paraId="23AFC4C8">
            <w:pPr>
              <w:pStyle w:val="6"/>
              <w:spacing w:before="231" w:line="218" w:lineRule="auto"/>
              <w:ind w:left="60" w:right="1029"/>
            </w:pPr>
            <w:r>
              <w:rPr>
                <w:spacing w:val="-3"/>
              </w:rPr>
              <w:t>1.</w:t>
            </w:r>
            <w:r>
              <w:rPr>
                <w:spacing w:val="-46"/>
              </w:rPr>
              <w:t xml:space="preserve"> </w:t>
            </w:r>
            <w:r>
              <w:rPr>
                <w:spacing w:val="-3"/>
              </w:rPr>
              <w:t>日照长短与光照度</w:t>
            </w:r>
            <w:r>
              <w:t xml:space="preserve"> </w:t>
            </w:r>
            <w:r>
              <w:rPr>
                <w:spacing w:val="1"/>
              </w:rPr>
              <w:t>2.光与植物生长发育</w:t>
            </w:r>
          </w:p>
        </w:tc>
        <w:tc>
          <w:tcPr>
            <w:tcW w:w="229" w:type="dxa"/>
            <w:vAlign w:val="top"/>
          </w:tcPr>
          <w:p w14:paraId="38C7467B">
            <w:pPr>
              <w:spacing w:before="239" w:line="307" w:lineRule="exact"/>
              <w:ind w:firstLine="45"/>
            </w:pPr>
            <w:r>
              <w:rPr>
                <w:position w:val="-6"/>
              </w:rPr>
              <w:drawing>
                <wp:inline distT="0" distB="0" distL="0" distR="0">
                  <wp:extent cx="89535" cy="194945"/>
                  <wp:effectExtent l="0" t="0" r="0" b="0"/>
                  <wp:docPr id="18" name="IM 18"/>
                  <wp:cNvGraphicFramePr/>
                  <a:graphic xmlns:a="http://schemas.openxmlformats.org/drawingml/2006/main">
                    <a:graphicData uri="http://schemas.openxmlformats.org/drawingml/2006/picture">
                      <pic:pic xmlns:pic="http://schemas.openxmlformats.org/drawingml/2006/picture">
                        <pic:nvPicPr>
                          <pic:cNvPr id="18" name="IM 18"/>
                          <pic:cNvPicPr/>
                        </pic:nvPicPr>
                        <pic:blipFill>
                          <a:blip r:embed="rId174"/>
                          <a:stretch>
                            <a:fillRect/>
                          </a:stretch>
                        </pic:blipFill>
                        <pic:spPr>
                          <a:xfrm>
                            <a:off x="0" y="0"/>
                            <a:ext cx="89670" cy="195070"/>
                          </a:xfrm>
                          <a:prstGeom prst="rect">
                            <a:avLst/>
                          </a:prstGeom>
                        </pic:spPr>
                      </pic:pic>
                    </a:graphicData>
                  </a:graphic>
                </wp:inline>
              </w:drawing>
            </w:r>
          </w:p>
        </w:tc>
        <w:tc>
          <w:tcPr>
            <w:tcW w:w="230" w:type="dxa"/>
            <w:vAlign w:val="top"/>
          </w:tcPr>
          <w:p w14:paraId="04EDFBA8">
            <w:pPr>
              <w:rPr>
                <w:rFonts w:ascii="Arial"/>
                <w:sz w:val="21"/>
              </w:rPr>
            </w:pPr>
          </w:p>
        </w:tc>
        <w:tc>
          <w:tcPr>
            <w:tcW w:w="229" w:type="dxa"/>
            <w:vAlign w:val="top"/>
          </w:tcPr>
          <w:p w14:paraId="2A3E9430">
            <w:pPr>
              <w:rPr>
                <w:rFonts w:ascii="Arial"/>
                <w:sz w:val="21"/>
              </w:rPr>
            </w:pPr>
          </w:p>
        </w:tc>
        <w:tc>
          <w:tcPr>
            <w:tcW w:w="244" w:type="dxa"/>
            <w:vAlign w:val="top"/>
          </w:tcPr>
          <w:p w14:paraId="5599DCCE">
            <w:pPr>
              <w:rPr>
                <w:rFonts w:ascii="Arial"/>
                <w:sz w:val="21"/>
              </w:rPr>
            </w:pPr>
          </w:p>
        </w:tc>
      </w:tr>
      <w:tr w14:paraId="688C10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01" w:hRule="atLeast"/>
        </w:trPr>
        <w:tc>
          <w:tcPr>
            <w:tcW w:w="554" w:type="dxa"/>
            <w:vAlign w:val="top"/>
          </w:tcPr>
          <w:p w14:paraId="7E0EA360">
            <w:pPr>
              <w:pStyle w:val="6"/>
              <w:spacing w:before="22" w:line="232" w:lineRule="auto"/>
              <w:ind w:left="94" w:right="101"/>
              <w:jc w:val="both"/>
            </w:pPr>
            <w:r>
              <w:rPr>
                <w:spacing w:val="-4"/>
              </w:rPr>
              <w:t>植物</w:t>
            </w:r>
            <w:r>
              <w:t xml:space="preserve"> </w:t>
            </w:r>
            <w:r>
              <w:rPr>
                <w:spacing w:val="-4"/>
              </w:rPr>
              <w:t>生产</w:t>
            </w:r>
            <w:r>
              <w:t xml:space="preserve"> </w:t>
            </w:r>
            <w:r>
              <w:rPr>
                <w:spacing w:val="3"/>
              </w:rPr>
              <w:t>的光</w:t>
            </w:r>
            <w:r>
              <w:t xml:space="preserve"> </w:t>
            </w:r>
            <w:r>
              <w:rPr>
                <w:spacing w:val="-4"/>
              </w:rPr>
              <w:t>环境</w:t>
            </w:r>
            <w:r>
              <w:t xml:space="preserve"> </w:t>
            </w:r>
            <w:r>
              <w:rPr>
                <w:spacing w:val="-2"/>
              </w:rPr>
              <w:t>调控</w:t>
            </w:r>
          </w:p>
        </w:tc>
        <w:tc>
          <w:tcPr>
            <w:tcW w:w="2644" w:type="dxa"/>
            <w:vAlign w:val="top"/>
          </w:tcPr>
          <w:p w14:paraId="79014BEE">
            <w:pPr>
              <w:pStyle w:val="6"/>
              <w:spacing w:before="264" w:line="219" w:lineRule="auto"/>
              <w:ind w:left="90"/>
            </w:pPr>
            <w:r>
              <w:t>1.植物的光合性能与光能利用率</w:t>
            </w:r>
          </w:p>
          <w:p w14:paraId="521D3135">
            <w:pPr>
              <w:pStyle w:val="6"/>
              <w:spacing w:before="38" w:line="218" w:lineRule="auto"/>
              <w:ind w:left="60" w:right="541"/>
            </w:pPr>
            <w:r>
              <w:rPr>
                <w:spacing w:val="-1"/>
              </w:rPr>
              <w:t>2.植物对光适应的不同类型</w:t>
            </w:r>
            <w:r>
              <w:rPr>
                <w:spacing w:val="3"/>
              </w:rPr>
              <w:t xml:space="preserve"> </w:t>
            </w:r>
            <w:r>
              <w:rPr>
                <w:spacing w:val="-1"/>
              </w:rPr>
              <w:t>3.植物光照环境的调控技术</w:t>
            </w:r>
          </w:p>
        </w:tc>
        <w:tc>
          <w:tcPr>
            <w:tcW w:w="229" w:type="dxa"/>
            <w:vAlign w:val="top"/>
          </w:tcPr>
          <w:p w14:paraId="02F5A8DC">
            <w:pPr>
              <w:rPr>
                <w:rFonts w:ascii="Arial"/>
                <w:sz w:val="21"/>
              </w:rPr>
            </w:pPr>
          </w:p>
        </w:tc>
        <w:tc>
          <w:tcPr>
            <w:tcW w:w="230" w:type="dxa"/>
            <w:vAlign w:val="top"/>
          </w:tcPr>
          <w:p w14:paraId="130D9230">
            <w:pPr>
              <w:rPr>
                <w:rFonts w:ascii="Arial"/>
                <w:sz w:val="21"/>
              </w:rPr>
            </w:pPr>
          </w:p>
        </w:tc>
        <w:tc>
          <w:tcPr>
            <w:tcW w:w="229" w:type="dxa"/>
            <w:vAlign w:val="top"/>
          </w:tcPr>
          <w:p w14:paraId="6C9832C5">
            <w:pPr>
              <w:rPr>
                <w:rFonts w:ascii="Arial"/>
                <w:sz w:val="21"/>
              </w:rPr>
            </w:pPr>
          </w:p>
        </w:tc>
        <w:tc>
          <w:tcPr>
            <w:tcW w:w="244" w:type="dxa"/>
            <w:vAlign w:val="top"/>
          </w:tcPr>
          <w:p w14:paraId="28C3EEDA">
            <w:pPr>
              <w:rPr>
                <w:rFonts w:ascii="Arial"/>
                <w:sz w:val="21"/>
              </w:rPr>
            </w:pPr>
          </w:p>
        </w:tc>
      </w:tr>
    </w:tbl>
    <w:p w14:paraId="099F2721">
      <w:pPr>
        <w:spacing w:before="119" w:line="222" w:lineRule="auto"/>
        <w:ind w:left="1062"/>
        <w:rPr>
          <w:rFonts w:ascii="黑体" w:hAnsi="黑体" w:eastAsia="黑体" w:cs="黑体"/>
          <w:sz w:val="20"/>
          <w:szCs w:val="20"/>
        </w:rPr>
      </w:pPr>
      <w:r>
        <w:rPr>
          <w:rFonts w:ascii="黑体" w:hAnsi="黑体" w:eastAsia="黑体" w:cs="黑体"/>
          <w:b/>
          <w:bCs/>
          <w:spacing w:val="-5"/>
          <w:sz w:val="20"/>
          <w:szCs w:val="20"/>
        </w:rPr>
        <w:t>六、植物生产与温度调控</w:t>
      </w:r>
    </w:p>
    <w:p w14:paraId="04DA75E3">
      <w:pPr>
        <w:spacing w:line="170" w:lineRule="exact"/>
      </w:pPr>
    </w:p>
    <w:tbl>
      <w:tblPr>
        <w:tblStyle w:val="5"/>
        <w:tblW w:w="4130"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54"/>
        <w:gridCol w:w="2644"/>
        <w:gridCol w:w="229"/>
        <w:gridCol w:w="230"/>
        <w:gridCol w:w="229"/>
        <w:gridCol w:w="244"/>
      </w:tblGrid>
      <w:tr w14:paraId="3B9DA6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3" w:hRule="atLeast"/>
        </w:trPr>
        <w:tc>
          <w:tcPr>
            <w:tcW w:w="554" w:type="dxa"/>
            <w:vMerge w:val="restart"/>
            <w:tcBorders>
              <w:bottom w:val="nil"/>
            </w:tcBorders>
            <w:vAlign w:val="top"/>
          </w:tcPr>
          <w:p w14:paraId="5E275E0E">
            <w:pPr>
              <w:pStyle w:val="6"/>
              <w:spacing w:before="80" w:line="234" w:lineRule="auto"/>
              <w:ind w:left="17" w:right="26" w:firstLine="80"/>
            </w:pPr>
            <w:r>
              <w:rPr>
                <w:b/>
                <w:bCs/>
                <w:spacing w:val="-7"/>
              </w:rPr>
              <w:t>知识</w:t>
            </w:r>
            <w:r>
              <w:t xml:space="preserve">  </w:t>
            </w:r>
            <w:r>
              <w:rPr>
                <w:b/>
                <w:bCs/>
                <w:spacing w:val="-6"/>
              </w:rPr>
              <w:t>与技能</w:t>
            </w:r>
            <w:r>
              <w:rPr>
                <w:spacing w:val="1"/>
              </w:rPr>
              <w:t xml:space="preserve"> </w:t>
            </w:r>
            <w:r>
              <w:rPr>
                <w:b/>
                <w:bCs/>
                <w:spacing w:val="34"/>
              </w:rPr>
              <w:t>要点</w:t>
            </w:r>
          </w:p>
        </w:tc>
        <w:tc>
          <w:tcPr>
            <w:tcW w:w="2644" w:type="dxa"/>
            <w:vMerge w:val="restart"/>
            <w:tcBorders>
              <w:bottom w:val="nil"/>
            </w:tcBorders>
            <w:vAlign w:val="top"/>
          </w:tcPr>
          <w:p w14:paraId="04194201">
            <w:pPr>
              <w:spacing w:line="242" w:lineRule="auto"/>
              <w:rPr>
                <w:rFonts w:ascii="Arial"/>
                <w:sz w:val="21"/>
              </w:rPr>
            </w:pPr>
          </w:p>
          <w:p w14:paraId="0C95A54E">
            <w:pPr>
              <w:pStyle w:val="6"/>
              <w:spacing w:before="56" w:line="219" w:lineRule="auto"/>
              <w:ind w:left="1033"/>
            </w:pPr>
            <w:r>
              <w:rPr>
                <w:b/>
                <w:bCs/>
                <w:spacing w:val="5"/>
              </w:rPr>
              <w:t>考试条目</w:t>
            </w:r>
          </w:p>
        </w:tc>
        <w:tc>
          <w:tcPr>
            <w:tcW w:w="932" w:type="dxa"/>
            <w:gridSpan w:val="4"/>
            <w:vAlign w:val="top"/>
          </w:tcPr>
          <w:p w14:paraId="233B0B84">
            <w:pPr>
              <w:pStyle w:val="6"/>
              <w:spacing w:before="109" w:line="219" w:lineRule="auto"/>
              <w:ind w:left="129"/>
            </w:pPr>
            <w:r>
              <w:rPr>
                <w:b/>
                <w:bCs/>
                <w:spacing w:val="-4"/>
              </w:rPr>
              <w:t>考试水平</w:t>
            </w:r>
          </w:p>
        </w:tc>
      </w:tr>
      <w:tr w14:paraId="6BE2BF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554" w:type="dxa"/>
            <w:vMerge w:val="continue"/>
            <w:tcBorders>
              <w:top w:val="nil"/>
            </w:tcBorders>
            <w:vAlign w:val="top"/>
          </w:tcPr>
          <w:p w14:paraId="47475863">
            <w:pPr>
              <w:rPr>
                <w:rFonts w:ascii="Arial"/>
                <w:sz w:val="21"/>
              </w:rPr>
            </w:pPr>
          </w:p>
        </w:tc>
        <w:tc>
          <w:tcPr>
            <w:tcW w:w="2644" w:type="dxa"/>
            <w:vMerge w:val="continue"/>
            <w:tcBorders>
              <w:top w:val="nil"/>
            </w:tcBorders>
            <w:vAlign w:val="top"/>
          </w:tcPr>
          <w:p w14:paraId="553A2DAA">
            <w:pPr>
              <w:rPr>
                <w:rFonts w:ascii="Arial"/>
                <w:sz w:val="21"/>
              </w:rPr>
            </w:pPr>
          </w:p>
        </w:tc>
        <w:tc>
          <w:tcPr>
            <w:tcW w:w="229" w:type="dxa"/>
            <w:vAlign w:val="top"/>
          </w:tcPr>
          <w:p w14:paraId="1A64FBE2">
            <w:pPr>
              <w:pStyle w:val="6"/>
              <w:spacing w:before="141" w:line="184" w:lineRule="auto"/>
              <w:ind w:left="37"/>
            </w:pPr>
            <w:r>
              <w:t>A</w:t>
            </w:r>
          </w:p>
        </w:tc>
        <w:tc>
          <w:tcPr>
            <w:tcW w:w="230" w:type="dxa"/>
            <w:vAlign w:val="top"/>
          </w:tcPr>
          <w:p w14:paraId="6336DB22">
            <w:pPr>
              <w:pStyle w:val="6"/>
              <w:spacing w:before="143" w:line="182" w:lineRule="auto"/>
              <w:ind w:left="18"/>
            </w:pPr>
            <w:r>
              <w:t>B</w:t>
            </w:r>
          </w:p>
        </w:tc>
        <w:tc>
          <w:tcPr>
            <w:tcW w:w="229" w:type="dxa"/>
            <w:vAlign w:val="top"/>
          </w:tcPr>
          <w:p w14:paraId="62F413F0">
            <w:pPr>
              <w:pStyle w:val="6"/>
              <w:spacing w:before="142" w:line="183" w:lineRule="auto"/>
              <w:ind w:left="47"/>
            </w:pPr>
            <w:r>
              <w:t>C</w:t>
            </w:r>
          </w:p>
        </w:tc>
        <w:tc>
          <w:tcPr>
            <w:tcW w:w="244" w:type="dxa"/>
            <w:vAlign w:val="top"/>
          </w:tcPr>
          <w:p w14:paraId="38CD310D">
            <w:pPr>
              <w:pStyle w:val="6"/>
              <w:spacing w:before="143" w:line="182" w:lineRule="auto"/>
              <w:ind w:left="68"/>
            </w:pPr>
            <w:r>
              <w:t>D</w:t>
            </w:r>
          </w:p>
        </w:tc>
      </w:tr>
      <w:tr w14:paraId="297887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96" w:hRule="atLeast"/>
        </w:trPr>
        <w:tc>
          <w:tcPr>
            <w:tcW w:w="554" w:type="dxa"/>
            <w:vAlign w:val="top"/>
          </w:tcPr>
          <w:p w14:paraId="49F96199">
            <w:pPr>
              <w:pStyle w:val="6"/>
              <w:spacing w:before="20" w:line="219" w:lineRule="auto"/>
              <w:ind w:left="94"/>
            </w:pPr>
            <w:r>
              <w:rPr>
                <w:spacing w:val="-2"/>
              </w:rPr>
              <w:t>植物</w:t>
            </w:r>
          </w:p>
          <w:p w14:paraId="0A33A296">
            <w:pPr>
              <w:pStyle w:val="6"/>
              <w:spacing w:before="18" w:line="219" w:lineRule="auto"/>
              <w:ind w:left="94"/>
            </w:pPr>
            <w:r>
              <w:rPr>
                <w:spacing w:val="-2"/>
              </w:rPr>
              <w:t>生产</w:t>
            </w:r>
          </w:p>
          <w:p w14:paraId="74E9A0F4">
            <w:pPr>
              <w:pStyle w:val="6"/>
              <w:spacing w:before="20" w:line="222" w:lineRule="auto"/>
              <w:ind w:left="184"/>
            </w:pPr>
            <w:r>
              <w:t>的</w:t>
            </w:r>
          </w:p>
          <w:p w14:paraId="11727E50">
            <w:pPr>
              <w:pStyle w:val="6"/>
              <w:spacing w:before="33" w:line="220" w:lineRule="auto"/>
              <w:ind w:left="94"/>
            </w:pPr>
            <w:r>
              <w:rPr>
                <w:spacing w:val="-2"/>
              </w:rPr>
              <w:t>温度</w:t>
            </w:r>
          </w:p>
          <w:p w14:paraId="7ADF5399">
            <w:pPr>
              <w:pStyle w:val="6"/>
              <w:spacing w:before="17" w:line="180" w:lineRule="auto"/>
              <w:ind w:left="94"/>
            </w:pPr>
            <w:r>
              <w:rPr>
                <w:spacing w:val="-2"/>
              </w:rPr>
              <w:t>条件</w:t>
            </w:r>
          </w:p>
        </w:tc>
        <w:tc>
          <w:tcPr>
            <w:tcW w:w="2644" w:type="dxa"/>
            <w:vAlign w:val="top"/>
          </w:tcPr>
          <w:p w14:paraId="027B03E0">
            <w:pPr>
              <w:pStyle w:val="6"/>
              <w:spacing w:before="161" w:line="229" w:lineRule="auto"/>
              <w:ind w:left="90" w:right="1503"/>
            </w:pPr>
            <w:r>
              <w:rPr>
                <w:spacing w:val="2"/>
              </w:rPr>
              <w:t>1.土壤热性质</w:t>
            </w:r>
            <w:r>
              <w:rPr>
                <w:spacing w:val="4"/>
              </w:rPr>
              <w:t xml:space="preserve"> </w:t>
            </w:r>
            <w:r>
              <w:rPr>
                <w:spacing w:val="-2"/>
              </w:rPr>
              <w:t>2.土壤温度</w:t>
            </w:r>
          </w:p>
          <w:p w14:paraId="2855DC54">
            <w:pPr>
              <w:pStyle w:val="6"/>
              <w:spacing w:before="17" w:line="220" w:lineRule="auto"/>
              <w:ind w:left="90"/>
            </w:pPr>
            <w:r>
              <w:rPr>
                <w:spacing w:val="1"/>
              </w:rPr>
              <w:t>3.空气温度</w:t>
            </w:r>
          </w:p>
          <w:p w14:paraId="12F831EB">
            <w:pPr>
              <w:pStyle w:val="6"/>
              <w:spacing w:before="26" w:line="219" w:lineRule="auto"/>
              <w:ind w:left="90"/>
            </w:pPr>
            <w:r>
              <w:rPr>
                <w:spacing w:val="-1"/>
              </w:rPr>
              <w:t>4.植物生长的温度指标</w:t>
            </w:r>
          </w:p>
        </w:tc>
        <w:tc>
          <w:tcPr>
            <w:tcW w:w="229" w:type="dxa"/>
            <w:vAlign w:val="top"/>
          </w:tcPr>
          <w:p w14:paraId="6A5F5C0D">
            <w:pPr>
              <w:rPr>
                <w:rFonts w:ascii="Arial"/>
                <w:sz w:val="21"/>
              </w:rPr>
            </w:pPr>
          </w:p>
        </w:tc>
        <w:tc>
          <w:tcPr>
            <w:tcW w:w="230" w:type="dxa"/>
            <w:vAlign w:val="top"/>
          </w:tcPr>
          <w:p w14:paraId="319B973D">
            <w:pPr>
              <w:rPr>
                <w:rFonts w:ascii="Arial"/>
                <w:sz w:val="21"/>
              </w:rPr>
            </w:pPr>
          </w:p>
        </w:tc>
        <w:tc>
          <w:tcPr>
            <w:tcW w:w="229" w:type="dxa"/>
            <w:vAlign w:val="top"/>
          </w:tcPr>
          <w:p w14:paraId="3056E4B8">
            <w:pPr>
              <w:rPr>
                <w:rFonts w:ascii="Arial"/>
                <w:sz w:val="21"/>
              </w:rPr>
            </w:pPr>
          </w:p>
        </w:tc>
        <w:tc>
          <w:tcPr>
            <w:tcW w:w="244" w:type="dxa"/>
            <w:vAlign w:val="top"/>
          </w:tcPr>
          <w:p w14:paraId="03D57EF5">
            <w:pPr>
              <w:rPr>
                <w:rFonts w:ascii="Arial"/>
                <w:sz w:val="21"/>
              </w:rPr>
            </w:pPr>
          </w:p>
        </w:tc>
      </w:tr>
      <w:tr w14:paraId="31F93E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02" w:hRule="atLeast"/>
        </w:trPr>
        <w:tc>
          <w:tcPr>
            <w:tcW w:w="554" w:type="dxa"/>
            <w:vAlign w:val="top"/>
          </w:tcPr>
          <w:p w14:paraId="389ACD06">
            <w:pPr>
              <w:pStyle w:val="6"/>
              <w:spacing w:before="113" w:line="233" w:lineRule="auto"/>
              <w:ind w:left="14" w:right="25"/>
              <w:jc w:val="both"/>
            </w:pPr>
            <w:r>
              <w:rPr>
                <w:spacing w:val="-3"/>
              </w:rPr>
              <w:t>植物生</w:t>
            </w:r>
            <w:r>
              <w:t xml:space="preserve"> </w:t>
            </w:r>
            <w:r>
              <w:rPr>
                <w:spacing w:val="-3"/>
              </w:rPr>
              <w:t>产的温</w:t>
            </w:r>
            <w:r>
              <w:rPr>
                <w:spacing w:val="1"/>
              </w:rPr>
              <w:t xml:space="preserve"> </w:t>
            </w:r>
            <w:r>
              <w:rPr>
                <w:spacing w:val="-2"/>
              </w:rPr>
              <w:t>度调控</w:t>
            </w:r>
          </w:p>
        </w:tc>
        <w:tc>
          <w:tcPr>
            <w:tcW w:w="2644" w:type="dxa"/>
            <w:vAlign w:val="top"/>
          </w:tcPr>
          <w:p w14:paraId="13345CED">
            <w:pPr>
              <w:pStyle w:val="6"/>
              <w:spacing w:before="224" w:line="219" w:lineRule="auto"/>
              <w:ind w:left="90"/>
            </w:pPr>
            <w:r>
              <w:rPr>
                <w:spacing w:val="1"/>
              </w:rPr>
              <w:t>1.温度与植物生长发育</w:t>
            </w:r>
          </w:p>
          <w:p w14:paraId="7897874F">
            <w:pPr>
              <w:pStyle w:val="6"/>
              <w:spacing w:before="18" w:line="219" w:lineRule="auto"/>
              <w:ind w:left="90"/>
            </w:pPr>
            <w:r>
              <w:rPr>
                <w:spacing w:val="-1"/>
              </w:rPr>
              <w:t>2.植物温度环境的调控技术</w:t>
            </w:r>
          </w:p>
        </w:tc>
        <w:tc>
          <w:tcPr>
            <w:tcW w:w="229" w:type="dxa"/>
            <w:vAlign w:val="top"/>
          </w:tcPr>
          <w:p w14:paraId="468B7E9B">
            <w:pPr>
              <w:rPr>
                <w:rFonts w:ascii="Arial"/>
                <w:sz w:val="21"/>
              </w:rPr>
            </w:pPr>
          </w:p>
        </w:tc>
        <w:tc>
          <w:tcPr>
            <w:tcW w:w="230" w:type="dxa"/>
            <w:vAlign w:val="top"/>
          </w:tcPr>
          <w:p w14:paraId="0BF525E0">
            <w:pPr>
              <w:rPr>
                <w:rFonts w:ascii="Arial"/>
                <w:sz w:val="21"/>
              </w:rPr>
            </w:pPr>
          </w:p>
        </w:tc>
        <w:tc>
          <w:tcPr>
            <w:tcW w:w="229" w:type="dxa"/>
            <w:vAlign w:val="top"/>
          </w:tcPr>
          <w:p w14:paraId="69136C5B">
            <w:pPr>
              <w:rPr>
                <w:rFonts w:ascii="Arial"/>
                <w:sz w:val="21"/>
              </w:rPr>
            </w:pPr>
          </w:p>
        </w:tc>
        <w:tc>
          <w:tcPr>
            <w:tcW w:w="244" w:type="dxa"/>
            <w:vAlign w:val="top"/>
          </w:tcPr>
          <w:p w14:paraId="4253C844">
            <w:pPr>
              <w:spacing w:line="353" w:lineRule="auto"/>
              <w:rPr>
                <w:rFonts w:ascii="Arial"/>
                <w:sz w:val="21"/>
              </w:rPr>
            </w:pPr>
          </w:p>
          <w:p w14:paraId="0D5BE04F">
            <w:pPr>
              <w:pStyle w:val="6"/>
              <w:spacing w:before="55" w:line="238" w:lineRule="auto"/>
              <w:ind w:left="29"/>
            </w:pPr>
            <w:r>
              <w:t>√</w:t>
            </w:r>
          </w:p>
        </w:tc>
      </w:tr>
    </w:tbl>
    <w:p w14:paraId="3786C177">
      <w:pPr>
        <w:spacing w:before="130" w:line="222" w:lineRule="auto"/>
        <w:ind w:left="1062"/>
        <w:rPr>
          <w:rFonts w:ascii="黑体" w:hAnsi="黑体" w:eastAsia="黑体" w:cs="黑体"/>
          <w:sz w:val="20"/>
          <w:szCs w:val="20"/>
        </w:rPr>
      </w:pPr>
      <w:r>
        <w:rPr>
          <w:rFonts w:ascii="黑体" w:hAnsi="黑体" w:eastAsia="黑体" w:cs="黑体"/>
          <w:b/>
          <w:bCs/>
          <w:spacing w:val="-5"/>
          <w:sz w:val="20"/>
          <w:szCs w:val="20"/>
        </w:rPr>
        <w:t>七、植物生产与农业气象</w:t>
      </w:r>
    </w:p>
    <w:p w14:paraId="2491EE13">
      <w:pPr>
        <w:spacing w:line="159" w:lineRule="exact"/>
      </w:pPr>
    </w:p>
    <w:tbl>
      <w:tblPr>
        <w:tblStyle w:val="5"/>
        <w:tblW w:w="4130"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54"/>
        <w:gridCol w:w="2644"/>
        <w:gridCol w:w="229"/>
        <w:gridCol w:w="230"/>
        <w:gridCol w:w="229"/>
        <w:gridCol w:w="244"/>
      </w:tblGrid>
      <w:tr w14:paraId="558FB5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3" w:hRule="atLeast"/>
        </w:trPr>
        <w:tc>
          <w:tcPr>
            <w:tcW w:w="554" w:type="dxa"/>
            <w:vMerge w:val="restart"/>
            <w:tcBorders>
              <w:bottom w:val="nil"/>
            </w:tcBorders>
            <w:vAlign w:val="top"/>
          </w:tcPr>
          <w:p w14:paraId="376CC4AF">
            <w:pPr>
              <w:pStyle w:val="6"/>
              <w:spacing w:before="71" w:line="237" w:lineRule="auto"/>
              <w:ind w:left="17" w:right="26" w:firstLine="80"/>
            </w:pPr>
            <w:r>
              <w:rPr>
                <w:b/>
                <w:bCs/>
                <w:spacing w:val="-7"/>
              </w:rPr>
              <w:t>知识</w:t>
            </w:r>
            <w:r>
              <w:t xml:space="preserve">  </w:t>
            </w:r>
            <w:r>
              <w:rPr>
                <w:b/>
                <w:bCs/>
                <w:spacing w:val="-6"/>
              </w:rPr>
              <w:t>与技能</w:t>
            </w:r>
            <w:r>
              <w:rPr>
                <w:spacing w:val="1"/>
              </w:rPr>
              <w:t xml:space="preserve"> </w:t>
            </w:r>
            <w:r>
              <w:rPr>
                <w:b/>
                <w:bCs/>
                <w:spacing w:val="34"/>
              </w:rPr>
              <w:t>要点</w:t>
            </w:r>
          </w:p>
        </w:tc>
        <w:tc>
          <w:tcPr>
            <w:tcW w:w="2644" w:type="dxa"/>
            <w:vMerge w:val="restart"/>
            <w:tcBorders>
              <w:bottom w:val="nil"/>
            </w:tcBorders>
            <w:vAlign w:val="top"/>
          </w:tcPr>
          <w:p w14:paraId="2FAF882C">
            <w:pPr>
              <w:spacing w:line="242" w:lineRule="auto"/>
              <w:rPr>
                <w:rFonts w:ascii="Arial"/>
                <w:sz w:val="21"/>
              </w:rPr>
            </w:pPr>
          </w:p>
          <w:p w14:paraId="11AE2B0E">
            <w:pPr>
              <w:pStyle w:val="6"/>
              <w:spacing w:before="56" w:line="219" w:lineRule="auto"/>
              <w:ind w:left="1003"/>
            </w:pPr>
            <w:r>
              <w:rPr>
                <w:b/>
                <w:bCs/>
                <w:spacing w:val="5"/>
              </w:rPr>
              <w:t>考试条目</w:t>
            </w:r>
          </w:p>
        </w:tc>
        <w:tc>
          <w:tcPr>
            <w:tcW w:w="932" w:type="dxa"/>
            <w:gridSpan w:val="4"/>
            <w:vAlign w:val="top"/>
          </w:tcPr>
          <w:p w14:paraId="79218BCF">
            <w:pPr>
              <w:pStyle w:val="6"/>
              <w:spacing w:before="109" w:line="219" w:lineRule="auto"/>
              <w:ind w:left="139"/>
            </w:pPr>
            <w:r>
              <w:rPr>
                <w:b/>
                <w:bCs/>
                <w:spacing w:val="-4"/>
              </w:rPr>
              <w:t>考试水平</w:t>
            </w:r>
          </w:p>
        </w:tc>
      </w:tr>
      <w:tr w14:paraId="6E7CDC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8" w:hRule="atLeast"/>
        </w:trPr>
        <w:tc>
          <w:tcPr>
            <w:tcW w:w="554" w:type="dxa"/>
            <w:vMerge w:val="continue"/>
            <w:tcBorders>
              <w:top w:val="nil"/>
            </w:tcBorders>
            <w:vAlign w:val="top"/>
          </w:tcPr>
          <w:p w14:paraId="72474977">
            <w:pPr>
              <w:rPr>
                <w:rFonts w:ascii="Arial"/>
                <w:sz w:val="21"/>
              </w:rPr>
            </w:pPr>
          </w:p>
        </w:tc>
        <w:tc>
          <w:tcPr>
            <w:tcW w:w="2644" w:type="dxa"/>
            <w:vMerge w:val="continue"/>
            <w:tcBorders>
              <w:top w:val="nil"/>
            </w:tcBorders>
            <w:vAlign w:val="top"/>
          </w:tcPr>
          <w:p w14:paraId="57C00B5A">
            <w:pPr>
              <w:rPr>
                <w:rFonts w:ascii="Arial"/>
                <w:sz w:val="21"/>
              </w:rPr>
            </w:pPr>
          </w:p>
        </w:tc>
        <w:tc>
          <w:tcPr>
            <w:tcW w:w="229" w:type="dxa"/>
            <w:vAlign w:val="top"/>
          </w:tcPr>
          <w:p w14:paraId="12D1C680">
            <w:pPr>
              <w:pStyle w:val="6"/>
              <w:spacing w:before="141" w:line="184" w:lineRule="auto"/>
              <w:ind w:left="66"/>
            </w:pPr>
            <w:r>
              <w:t>A</w:t>
            </w:r>
          </w:p>
        </w:tc>
        <w:tc>
          <w:tcPr>
            <w:tcW w:w="230" w:type="dxa"/>
            <w:vAlign w:val="top"/>
          </w:tcPr>
          <w:p w14:paraId="721EC457">
            <w:pPr>
              <w:pStyle w:val="6"/>
              <w:spacing w:before="143" w:line="182" w:lineRule="auto"/>
              <w:ind w:left="18"/>
            </w:pPr>
            <w:r>
              <w:t>B</w:t>
            </w:r>
          </w:p>
        </w:tc>
        <w:tc>
          <w:tcPr>
            <w:tcW w:w="229" w:type="dxa"/>
            <w:vAlign w:val="top"/>
          </w:tcPr>
          <w:p w14:paraId="609BC227">
            <w:pPr>
              <w:pStyle w:val="6"/>
              <w:spacing w:before="142" w:line="183" w:lineRule="auto"/>
              <w:ind w:left="37"/>
            </w:pPr>
            <w:r>
              <w:t>C</w:t>
            </w:r>
          </w:p>
        </w:tc>
        <w:tc>
          <w:tcPr>
            <w:tcW w:w="244" w:type="dxa"/>
            <w:vAlign w:val="top"/>
          </w:tcPr>
          <w:p w14:paraId="2444D86C">
            <w:pPr>
              <w:pStyle w:val="6"/>
              <w:spacing w:before="143" w:line="182" w:lineRule="auto"/>
              <w:ind w:left="18"/>
            </w:pPr>
            <w:r>
              <w:t>D</w:t>
            </w:r>
          </w:p>
        </w:tc>
      </w:tr>
      <w:tr w14:paraId="232B25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96" w:hRule="atLeast"/>
        </w:trPr>
        <w:tc>
          <w:tcPr>
            <w:tcW w:w="554" w:type="dxa"/>
            <w:vAlign w:val="top"/>
          </w:tcPr>
          <w:p w14:paraId="4825E87D">
            <w:pPr>
              <w:pStyle w:val="6"/>
              <w:spacing w:before="41" w:line="206" w:lineRule="auto"/>
              <w:ind w:left="94"/>
            </w:pPr>
            <w:r>
              <w:rPr>
                <w:spacing w:val="-2"/>
              </w:rPr>
              <w:t>植物</w:t>
            </w:r>
          </w:p>
          <w:p w14:paraId="545897CE">
            <w:pPr>
              <w:pStyle w:val="6"/>
              <w:spacing w:line="219" w:lineRule="auto"/>
              <w:ind w:left="94"/>
            </w:pPr>
            <w:r>
              <w:rPr>
                <w:spacing w:val="-2"/>
              </w:rPr>
              <w:t>生产</w:t>
            </w:r>
          </w:p>
          <w:p w14:paraId="008D1379">
            <w:pPr>
              <w:pStyle w:val="6"/>
              <w:spacing w:before="29" w:line="221" w:lineRule="auto"/>
              <w:ind w:left="94"/>
            </w:pPr>
            <w:r>
              <w:rPr>
                <w:spacing w:val="5"/>
              </w:rPr>
              <w:t>的气</w:t>
            </w:r>
          </w:p>
          <w:p w14:paraId="088588FA">
            <w:pPr>
              <w:pStyle w:val="6"/>
              <w:spacing w:before="25" w:line="219" w:lineRule="auto"/>
              <w:ind w:left="94"/>
            </w:pPr>
            <w:r>
              <w:rPr>
                <w:spacing w:val="-4"/>
              </w:rPr>
              <w:t>象条</w:t>
            </w:r>
          </w:p>
          <w:p w14:paraId="6D3243A7">
            <w:pPr>
              <w:pStyle w:val="6"/>
              <w:spacing w:before="8" w:line="201" w:lineRule="auto"/>
              <w:ind w:left="184"/>
            </w:pPr>
            <w:r>
              <w:t>件</w:t>
            </w:r>
          </w:p>
        </w:tc>
        <w:tc>
          <w:tcPr>
            <w:tcW w:w="2644" w:type="dxa"/>
            <w:vAlign w:val="top"/>
          </w:tcPr>
          <w:p w14:paraId="06C3E998">
            <w:pPr>
              <w:pStyle w:val="6"/>
              <w:spacing w:before="141" w:line="219" w:lineRule="auto"/>
              <w:ind w:left="81"/>
            </w:pPr>
            <w:r>
              <w:t>1.主要农业气象要素</w:t>
            </w:r>
          </w:p>
          <w:p w14:paraId="6C3E9239">
            <w:pPr>
              <w:pStyle w:val="6"/>
              <w:spacing w:before="27" w:line="238" w:lineRule="auto"/>
              <w:ind w:left="81" w:right="691"/>
            </w:pPr>
            <w:r>
              <w:rPr>
                <w:spacing w:val="-1"/>
              </w:rPr>
              <w:t>2.极端温度灾害及其防御</w:t>
            </w:r>
            <w:r>
              <w:rPr>
                <w:spacing w:val="2"/>
              </w:rPr>
              <w:t xml:space="preserve"> </w:t>
            </w:r>
            <w:r>
              <w:rPr>
                <w:spacing w:val="1"/>
              </w:rPr>
              <w:t>3.旱灾及其防御</w:t>
            </w:r>
          </w:p>
          <w:p w14:paraId="23798538">
            <w:pPr>
              <w:pStyle w:val="6"/>
              <w:spacing w:before="13" w:line="220" w:lineRule="auto"/>
              <w:ind w:left="81"/>
            </w:pPr>
            <w:r>
              <w:rPr>
                <w:spacing w:val="-1"/>
              </w:rPr>
              <w:t>4.雨灾及其防御</w:t>
            </w:r>
          </w:p>
        </w:tc>
        <w:tc>
          <w:tcPr>
            <w:tcW w:w="229" w:type="dxa"/>
            <w:vAlign w:val="top"/>
          </w:tcPr>
          <w:p w14:paraId="13B29A29">
            <w:pPr>
              <w:pStyle w:val="6"/>
              <w:spacing w:before="147" w:line="238" w:lineRule="auto"/>
              <w:ind w:left="26"/>
            </w:pPr>
            <w:r>
              <w:t>√</w:t>
            </w:r>
          </w:p>
        </w:tc>
        <w:tc>
          <w:tcPr>
            <w:tcW w:w="230" w:type="dxa"/>
            <w:vAlign w:val="top"/>
          </w:tcPr>
          <w:p w14:paraId="7D38DC93">
            <w:pPr>
              <w:rPr>
                <w:rFonts w:ascii="Arial"/>
                <w:sz w:val="21"/>
              </w:rPr>
            </w:pPr>
          </w:p>
        </w:tc>
        <w:tc>
          <w:tcPr>
            <w:tcW w:w="229" w:type="dxa"/>
            <w:vAlign w:val="top"/>
          </w:tcPr>
          <w:p w14:paraId="349FB9E9">
            <w:pPr>
              <w:rPr>
                <w:rFonts w:ascii="Arial"/>
                <w:sz w:val="21"/>
              </w:rPr>
            </w:pPr>
          </w:p>
        </w:tc>
        <w:tc>
          <w:tcPr>
            <w:tcW w:w="244" w:type="dxa"/>
            <w:vAlign w:val="top"/>
          </w:tcPr>
          <w:p w14:paraId="251CEE2D">
            <w:pPr>
              <w:rPr>
                <w:rFonts w:ascii="Arial"/>
                <w:sz w:val="21"/>
              </w:rPr>
            </w:pPr>
          </w:p>
        </w:tc>
      </w:tr>
      <w:tr w14:paraId="76A815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72" w:hRule="atLeast"/>
        </w:trPr>
        <w:tc>
          <w:tcPr>
            <w:tcW w:w="554" w:type="dxa"/>
            <w:vAlign w:val="top"/>
          </w:tcPr>
          <w:p w14:paraId="39AAB37D">
            <w:pPr>
              <w:pStyle w:val="6"/>
              <w:spacing w:before="44" w:line="222" w:lineRule="auto"/>
              <w:ind w:left="94" w:right="99"/>
              <w:jc w:val="both"/>
            </w:pPr>
            <w:r>
              <w:rPr>
                <w:spacing w:val="-4"/>
              </w:rPr>
              <w:t>气候</w:t>
            </w:r>
            <w:r>
              <w:t xml:space="preserve"> </w:t>
            </w:r>
            <w:r>
              <w:rPr>
                <w:spacing w:val="4"/>
              </w:rPr>
              <w:t>与农</w:t>
            </w:r>
            <w:r>
              <w:t xml:space="preserve"> </w:t>
            </w:r>
            <w:r>
              <w:rPr>
                <w:spacing w:val="-3"/>
              </w:rPr>
              <w:t>业小</w:t>
            </w:r>
            <w:r>
              <w:t xml:space="preserve"> </w:t>
            </w:r>
            <w:r>
              <w:rPr>
                <w:spacing w:val="-2"/>
              </w:rPr>
              <w:t>气候</w:t>
            </w:r>
          </w:p>
        </w:tc>
        <w:tc>
          <w:tcPr>
            <w:tcW w:w="2644" w:type="dxa"/>
            <w:vAlign w:val="top"/>
          </w:tcPr>
          <w:p w14:paraId="4150BBC2">
            <w:pPr>
              <w:pStyle w:val="6"/>
              <w:spacing w:before="164" w:line="223" w:lineRule="auto"/>
              <w:ind w:left="81" w:right="1355"/>
            </w:pPr>
            <w:r>
              <w:t>1.中国气候特征</w:t>
            </w:r>
            <w:r>
              <w:rPr>
                <w:spacing w:val="6"/>
              </w:rPr>
              <w:t xml:space="preserve"> </w:t>
            </w:r>
            <w:r>
              <w:rPr>
                <w:spacing w:val="-2"/>
              </w:rPr>
              <w:t>2.农业小气候</w:t>
            </w:r>
          </w:p>
          <w:p w14:paraId="1D5BD6CF">
            <w:pPr>
              <w:pStyle w:val="6"/>
              <w:spacing w:line="220" w:lineRule="auto"/>
              <w:ind w:left="81"/>
            </w:pPr>
            <w:r>
              <w:rPr>
                <w:spacing w:val="1"/>
              </w:rPr>
              <w:t>3.二十四节气</w:t>
            </w:r>
          </w:p>
        </w:tc>
        <w:tc>
          <w:tcPr>
            <w:tcW w:w="229" w:type="dxa"/>
            <w:vAlign w:val="top"/>
          </w:tcPr>
          <w:p w14:paraId="18922D8D">
            <w:pPr>
              <w:rPr>
                <w:rFonts w:ascii="Arial"/>
                <w:sz w:val="21"/>
              </w:rPr>
            </w:pPr>
          </w:p>
        </w:tc>
        <w:tc>
          <w:tcPr>
            <w:tcW w:w="230" w:type="dxa"/>
            <w:vAlign w:val="top"/>
          </w:tcPr>
          <w:p w14:paraId="6DD57782">
            <w:pPr>
              <w:rPr>
                <w:rFonts w:ascii="Arial"/>
                <w:sz w:val="21"/>
              </w:rPr>
            </w:pPr>
          </w:p>
        </w:tc>
        <w:tc>
          <w:tcPr>
            <w:tcW w:w="229" w:type="dxa"/>
            <w:vAlign w:val="top"/>
          </w:tcPr>
          <w:p w14:paraId="4899BC42">
            <w:pPr>
              <w:rPr>
                <w:rFonts w:ascii="Arial"/>
                <w:sz w:val="21"/>
              </w:rPr>
            </w:pPr>
          </w:p>
        </w:tc>
        <w:tc>
          <w:tcPr>
            <w:tcW w:w="244" w:type="dxa"/>
            <w:vAlign w:val="top"/>
          </w:tcPr>
          <w:p w14:paraId="2C7758CE">
            <w:pPr>
              <w:rPr>
                <w:rFonts w:ascii="Arial"/>
                <w:sz w:val="21"/>
              </w:rPr>
            </w:pPr>
          </w:p>
        </w:tc>
      </w:tr>
    </w:tbl>
    <w:p w14:paraId="5E9D4C1D">
      <w:pPr>
        <w:pStyle w:val="2"/>
        <w:spacing w:line="351" w:lineRule="auto"/>
      </w:pPr>
    </w:p>
    <w:p w14:paraId="15037AB1">
      <w:pPr>
        <w:spacing w:before="65" w:line="222" w:lineRule="auto"/>
        <w:ind w:left="1162"/>
        <w:rPr>
          <w:rFonts w:ascii="黑体" w:hAnsi="黑体" w:eastAsia="黑体" w:cs="黑体"/>
          <w:sz w:val="20"/>
          <w:szCs w:val="20"/>
        </w:rPr>
      </w:pPr>
      <w:r>
        <w:rPr>
          <w:rFonts w:ascii="黑体" w:hAnsi="黑体" w:eastAsia="黑体" w:cs="黑体"/>
          <w:b/>
          <w:bCs/>
          <w:spacing w:val="-7"/>
          <w:sz w:val="20"/>
          <w:szCs w:val="20"/>
        </w:rPr>
        <w:t>第二篇</w:t>
      </w:r>
      <w:r>
        <w:rPr>
          <w:rFonts w:ascii="黑体" w:hAnsi="黑体" w:eastAsia="黑体" w:cs="黑体"/>
          <w:spacing w:val="9"/>
          <w:sz w:val="20"/>
          <w:szCs w:val="20"/>
        </w:rPr>
        <w:t xml:space="preserve">  </w:t>
      </w:r>
      <w:r>
        <w:rPr>
          <w:rFonts w:ascii="黑体" w:hAnsi="黑体" w:eastAsia="黑体" w:cs="黑体"/>
          <w:b/>
          <w:bCs/>
          <w:spacing w:val="-7"/>
          <w:sz w:val="20"/>
          <w:szCs w:val="20"/>
        </w:rPr>
        <w:t>植物保护技术</w:t>
      </w:r>
    </w:p>
    <w:p w14:paraId="220CA5D8">
      <w:pPr>
        <w:pStyle w:val="2"/>
        <w:spacing w:line="292" w:lineRule="auto"/>
      </w:pPr>
    </w:p>
    <w:p w14:paraId="15D8BB9D">
      <w:pPr>
        <w:spacing w:before="65" w:line="221" w:lineRule="auto"/>
        <w:ind w:left="1342"/>
        <w:rPr>
          <w:rFonts w:ascii="黑体" w:hAnsi="黑体" w:eastAsia="黑体" w:cs="黑体"/>
          <w:sz w:val="20"/>
          <w:szCs w:val="20"/>
        </w:rPr>
      </w:pPr>
      <w:r>
        <w:rPr>
          <w:rFonts w:ascii="黑体" w:hAnsi="黑体" w:eastAsia="黑体" w:cs="黑体"/>
          <w:b/>
          <w:bCs/>
          <w:spacing w:val="-5"/>
          <w:sz w:val="20"/>
          <w:szCs w:val="20"/>
        </w:rPr>
        <w:t>一、农业昆虫基础</w:t>
      </w:r>
    </w:p>
    <w:p w14:paraId="19BB5DF6">
      <w:pPr>
        <w:spacing w:line="162" w:lineRule="exact"/>
      </w:pPr>
    </w:p>
    <w:tbl>
      <w:tblPr>
        <w:tblStyle w:val="5"/>
        <w:tblW w:w="4130"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54"/>
        <w:gridCol w:w="2644"/>
        <w:gridCol w:w="229"/>
        <w:gridCol w:w="230"/>
        <w:gridCol w:w="229"/>
        <w:gridCol w:w="244"/>
      </w:tblGrid>
      <w:tr w14:paraId="5D0108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8" w:hRule="atLeast"/>
        </w:trPr>
        <w:tc>
          <w:tcPr>
            <w:tcW w:w="554" w:type="dxa"/>
            <w:vMerge w:val="restart"/>
            <w:tcBorders>
              <w:top w:val="single" w:color="000000" w:sz="2" w:space="0"/>
              <w:bottom w:val="nil"/>
            </w:tcBorders>
            <w:vAlign w:val="top"/>
          </w:tcPr>
          <w:p w14:paraId="770BD2BA">
            <w:pPr>
              <w:pStyle w:val="6"/>
              <w:spacing w:before="76" w:line="226" w:lineRule="auto"/>
              <w:ind w:left="17" w:right="26" w:firstLine="80"/>
            </w:pPr>
            <w:r>
              <w:rPr>
                <w:b/>
                <w:bCs/>
                <w:spacing w:val="-7"/>
              </w:rPr>
              <w:t>知识</w:t>
            </w:r>
            <w:r>
              <w:t xml:space="preserve">  </w:t>
            </w:r>
            <w:r>
              <w:rPr>
                <w:b/>
                <w:bCs/>
                <w:spacing w:val="-6"/>
              </w:rPr>
              <w:t>与技能</w:t>
            </w:r>
            <w:r>
              <w:rPr>
                <w:spacing w:val="1"/>
              </w:rPr>
              <w:t xml:space="preserve"> </w:t>
            </w:r>
            <w:r>
              <w:rPr>
                <w:b/>
                <w:bCs/>
                <w:spacing w:val="34"/>
              </w:rPr>
              <w:t>要点</w:t>
            </w:r>
          </w:p>
        </w:tc>
        <w:tc>
          <w:tcPr>
            <w:tcW w:w="2644" w:type="dxa"/>
            <w:vMerge w:val="restart"/>
            <w:tcBorders>
              <w:top w:val="single" w:color="000000" w:sz="2" w:space="0"/>
              <w:bottom w:val="nil"/>
            </w:tcBorders>
            <w:vAlign w:val="top"/>
          </w:tcPr>
          <w:p w14:paraId="5B4AA287">
            <w:pPr>
              <w:spacing w:line="247" w:lineRule="auto"/>
              <w:rPr>
                <w:rFonts w:ascii="Arial"/>
                <w:sz w:val="21"/>
              </w:rPr>
            </w:pPr>
          </w:p>
          <w:p w14:paraId="3EDAF927">
            <w:pPr>
              <w:pStyle w:val="6"/>
              <w:spacing w:before="55" w:line="219" w:lineRule="auto"/>
              <w:ind w:left="993"/>
            </w:pPr>
            <w:r>
              <w:rPr>
                <w:b/>
                <w:bCs/>
                <w:spacing w:val="5"/>
              </w:rPr>
              <w:t>考试条目</w:t>
            </w:r>
          </w:p>
        </w:tc>
        <w:tc>
          <w:tcPr>
            <w:tcW w:w="932" w:type="dxa"/>
            <w:gridSpan w:val="4"/>
            <w:tcBorders>
              <w:top w:val="single" w:color="000000" w:sz="2" w:space="0"/>
              <w:bottom w:val="single" w:color="000000" w:sz="2" w:space="0"/>
            </w:tcBorders>
            <w:vAlign w:val="top"/>
          </w:tcPr>
          <w:p w14:paraId="5CACB962">
            <w:pPr>
              <w:pStyle w:val="6"/>
              <w:spacing w:before="114" w:line="219" w:lineRule="auto"/>
              <w:ind w:left="139"/>
            </w:pPr>
            <w:r>
              <w:rPr>
                <w:b/>
                <w:bCs/>
                <w:spacing w:val="-4"/>
              </w:rPr>
              <w:t>考试水平</w:t>
            </w:r>
          </w:p>
        </w:tc>
      </w:tr>
      <w:tr w14:paraId="5A7A2D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4" w:hRule="atLeast"/>
        </w:trPr>
        <w:tc>
          <w:tcPr>
            <w:tcW w:w="554" w:type="dxa"/>
            <w:vMerge w:val="continue"/>
            <w:tcBorders>
              <w:top w:val="nil"/>
              <w:bottom w:val="single" w:color="000000" w:sz="2" w:space="0"/>
            </w:tcBorders>
            <w:vAlign w:val="top"/>
          </w:tcPr>
          <w:p w14:paraId="5DD01B36">
            <w:pPr>
              <w:rPr>
                <w:rFonts w:ascii="Arial"/>
                <w:sz w:val="21"/>
              </w:rPr>
            </w:pPr>
          </w:p>
        </w:tc>
        <w:tc>
          <w:tcPr>
            <w:tcW w:w="2644" w:type="dxa"/>
            <w:vMerge w:val="continue"/>
            <w:tcBorders>
              <w:top w:val="nil"/>
              <w:bottom w:val="single" w:color="000000" w:sz="2" w:space="0"/>
            </w:tcBorders>
            <w:vAlign w:val="top"/>
          </w:tcPr>
          <w:p w14:paraId="2C8FBA36">
            <w:pPr>
              <w:rPr>
                <w:rFonts w:ascii="Arial"/>
                <w:sz w:val="21"/>
              </w:rPr>
            </w:pPr>
          </w:p>
        </w:tc>
        <w:tc>
          <w:tcPr>
            <w:tcW w:w="229" w:type="dxa"/>
            <w:tcBorders>
              <w:top w:val="single" w:color="000000" w:sz="2" w:space="0"/>
              <w:bottom w:val="single" w:color="000000" w:sz="2" w:space="0"/>
            </w:tcBorders>
            <w:vAlign w:val="top"/>
          </w:tcPr>
          <w:p w14:paraId="31701BDB">
            <w:pPr>
              <w:pStyle w:val="6"/>
              <w:spacing w:before="146" w:line="184" w:lineRule="auto"/>
              <w:ind w:left="16"/>
            </w:pPr>
            <w:r>
              <w:t>A</w:t>
            </w:r>
          </w:p>
        </w:tc>
        <w:tc>
          <w:tcPr>
            <w:tcW w:w="230" w:type="dxa"/>
            <w:tcBorders>
              <w:top w:val="single" w:color="000000" w:sz="2" w:space="0"/>
              <w:bottom w:val="single" w:color="000000" w:sz="2" w:space="0"/>
            </w:tcBorders>
            <w:vAlign w:val="top"/>
          </w:tcPr>
          <w:p w14:paraId="6A860E9E">
            <w:pPr>
              <w:pStyle w:val="6"/>
              <w:spacing w:before="148" w:line="182" w:lineRule="auto"/>
              <w:ind w:left="18"/>
            </w:pPr>
            <w:r>
              <w:t>B</w:t>
            </w:r>
          </w:p>
        </w:tc>
        <w:tc>
          <w:tcPr>
            <w:tcW w:w="229" w:type="dxa"/>
            <w:tcBorders>
              <w:top w:val="single" w:color="000000" w:sz="2" w:space="0"/>
              <w:bottom w:val="single" w:color="000000" w:sz="2" w:space="0"/>
            </w:tcBorders>
            <w:vAlign w:val="top"/>
          </w:tcPr>
          <w:p w14:paraId="10F61263">
            <w:pPr>
              <w:pStyle w:val="6"/>
              <w:spacing w:before="147" w:line="183" w:lineRule="auto"/>
              <w:ind w:left="17"/>
            </w:pPr>
            <w:r>
              <w:t>C</w:t>
            </w:r>
          </w:p>
        </w:tc>
        <w:tc>
          <w:tcPr>
            <w:tcW w:w="244" w:type="dxa"/>
            <w:tcBorders>
              <w:top w:val="single" w:color="000000" w:sz="2" w:space="0"/>
              <w:bottom w:val="single" w:color="000000" w:sz="2" w:space="0"/>
            </w:tcBorders>
            <w:vAlign w:val="top"/>
          </w:tcPr>
          <w:p w14:paraId="61E60AEE">
            <w:pPr>
              <w:pStyle w:val="6"/>
              <w:spacing w:before="148" w:line="182" w:lineRule="auto"/>
              <w:ind w:left="58"/>
            </w:pPr>
            <w:r>
              <w:t>D</w:t>
            </w:r>
          </w:p>
        </w:tc>
      </w:tr>
      <w:tr w14:paraId="3ABDC8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06" w:hRule="atLeast"/>
        </w:trPr>
        <w:tc>
          <w:tcPr>
            <w:tcW w:w="554" w:type="dxa"/>
            <w:tcBorders>
              <w:top w:val="single" w:color="000000" w:sz="2" w:space="0"/>
              <w:bottom w:val="single" w:color="000000" w:sz="2" w:space="0"/>
            </w:tcBorders>
            <w:vAlign w:val="top"/>
          </w:tcPr>
          <w:p w14:paraId="3436C959">
            <w:pPr>
              <w:pStyle w:val="6"/>
              <w:spacing w:before="37" w:line="230" w:lineRule="auto"/>
              <w:ind w:left="94" w:right="95"/>
              <w:jc w:val="both"/>
            </w:pPr>
            <w:r>
              <w:rPr>
                <w:spacing w:val="5"/>
              </w:rPr>
              <w:t>昆虫</w:t>
            </w:r>
            <w:r>
              <w:t xml:space="preserve"> </w:t>
            </w:r>
            <w:r>
              <w:rPr>
                <w:spacing w:val="-6"/>
              </w:rPr>
              <w:t>外部</w:t>
            </w:r>
            <w:r>
              <w:t xml:space="preserve"> </w:t>
            </w:r>
            <w:r>
              <w:rPr>
                <w:spacing w:val="-5"/>
              </w:rPr>
              <w:t>形态</w:t>
            </w:r>
            <w:r>
              <w:t xml:space="preserve"> </w:t>
            </w:r>
            <w:r>
              <w:rPr>
                <w:spacing w:val="-4"/>
              </w:rPr>
              <w:t>特征</w:t>
            </w:r>
            <w:r>
              <w:t xml:space="preserve"> </w:t>
            </w:r>
            <w:r>
              <w:rPr>
                <w:spacing w:val="6"/>
              </w:rPr>
              <w:t>识别</w:t>
            </w:r>
          </w:p>
        </w:tc>
        <w:tc>
          <w:tcPr>
            <w:tcW w:w="2644" w:type="dxa"/>
            <w:tcBorders>
              <w:top w:val="single" w:color="000000" w:sz="2" w:space="0"/>
              <w:bottom w:val="single" w:color="000000" w:sz="2" w:space="0"/>
            </w:tcBorders>
            <w:vAlign w:val="top"/>
          </w:tcPr>
          <w:p w14:paraId="42A43CB4">
            <w:pPr>
              <w:pStyle w:val="6"/>
              <w:spacing w:before="152" w:line="235" w:lineRule="auto"/>
              <w:ind w:left="81" w:right="1523"/>
              <w:jc w:val="both"/>
            </w:pPr>
            <w:r>
              <w:rPr>
                <w:spacing w:val="1"/>
              </w:rPr>
              <w:t xml:space="preserve">1.昆虫的头部 </w:t>
            </w:r>
            <w:r>
              <w:rPr>
                <w:spacing w:val="-2"/>
              </w:rPr>
              <w:t>2.昆虫的胸部</w:t>
            </w:r>
            <w:r>
              <w:rPr>
                <w:spacing w:val="4"/>
              </w:rPr>
              <w:t xml:space="preserve"> </w:t>
            </w:r>
            <w:r>
              <w:rPr>
                <w:spacing w:val="-2"/>
              </w:rPr>
              <w:t>3.昆虫的腹部</w:t>
            </w:r>
            <w:r>
              <w:rPr>
                <w:spacing w:val="2"/>
              </w:rPr>
              <w:t xml:space="preserve"> </w:t>
            </w:r>
            <w:r>
              <w:rPr>
                <w:spacing w:val="-1"/>
              </w:rPr>
              <w:t>4.昆虫的体壁</w:t>
            </w:r>
          </w:p>
        </w:tc>
        <w:tc>
          <w:tcPr>
            <w:tcW w:w="229" w:type="dxa"/>
            <w:tcBorders>
              <w:top w:val="single" w:color="000000" w:sz="2" w:space="0"/>
              <w:bottom w:val="single" w:color="000000" w:sz="2" w:space="0"/>
            </w:tcBorders>
            <w:vAlign w:val="top"/>
          </w:tcPr>
          <w:p w14:paraId="7283007A">
            <w:pPr>
              <w:spacing w:before="154" w:line="775" w:lineRule="exact"/>
              <w:ind w:firstLine="41"/>
            </w:pPr>
            <w:r>
              <w:rPr>
                <w:position w:val="-15"/>
              </w:rPr>
              <w:drawing>
                <wp:inline distT="0" distB="0" distL="0" distR="0">
                  <wp:extent cx="94615" cy="491490"/>
                  <wp:effectExtent l="0" t="0" r="0" b="0"/>
                  <wp:docPr id="20" name="IM 20"/>
                  <wp:cNvGraphicFramePr/>
                  <a:graphic xmlns:a="http://schemas.openxmlformats.org/drawingml/2006/main">
                    <a:graphicData uri="http://schemas.openxmlformats.org/drawingml/2006/picture">
                      <pic:pic xmlns:pic="http://schemas.openxmlformats.org/drawingml/2006/picture">
                        <pic:nvPicPr>
                          <pic:cNvPr id="20" name="IM 20"/>
                          <pic:cNvPicPr/>
                        </pic:nvPicPr>
                        <pic:blipFill>
                          <a:blip r:embed="rId175"/>
                          <a:stretch>
                            <a:fillRect/>
                          </a:stretch>
                        </pic:blipFill>
                        <pic:spPr>
                          <a:xfrm>
                            <a:off x="0" y="0"/>
                            <a:ext cx="94839" cy="491758"/>
                          </a:xfrm>
                          <a:prstGeom prst="rect">
                            <a:avLst/>
                          </a:prstGeom>
                        </pic:spPr>
                      </pic:pic>
                    </a:graphicData>
                  </a:graphic>
                </wp:inline>
              </w:drawing>
            </w:r>
          </w:p>
        </w:tc>
        <w:tc>
          <w:tcPr>
            <w:tcW w:w="230" w:type="dxa"/>
            <w:tcBorders>
              <w:top w:val="single" w:color="000000" w:sz="2" w:space="0"/>
              <w:bottom w:val="single" w:color="000000" w:sz="2" w:space="0"/>
            </w:tcBorders>
            <w:vAlign w:val="top"/>
          </w:tcPr>
          <w:p w14:paraId="3AF2301A">
            <w:pPr>
              <w:rPr>
                <w:rFonts w:ascii="Arial"/>
                <w:sz w:val="21"/>
              </w:rPr>
            </w:pPr>
          </w:p>
        </w:tc>
        <w:tc>
          <w:tcPr>
            <w:tcW w:w="229" w:type="dxa"/>
            <w:tcBorders>
              <w:top w:val="single" w:color="000000" w:sz="2" w:space="0"/>
              <w:bottom w:val="single" w:color="000000" w:sz="2" w:space="0"/>
            </w:tcBorders>
            <w:vAlign w:val="top"/>
          </w:tcPr>
          <w:p w14:paraId="013A954E">
            <w:pPr>
              <w:rPr>
                <w:rFonts w:ascii="Arial"/>
                <w:sz w:val="21"/>
              </w:rPr>
            </w:pPr>
          </w:p>
        </w:tc>
        <w:tc>
          <w:tcPr>
            <w:tcW w:w="244" w:type="dxa"/>
            <w:tcBorders>
              <w:top w:val="single" w:color="000000" w:sz="2" w:space="0"/>
              <w:bottom w:val="single" w:color="000000" w:sz="2" w:space="0"/>
            </w:tcBorders>
            <w:vAlign w:val="top"/>
          </w:tcPr>
          <w:p w14:paraId="05BAD8B7">
            <w:pPr>
              <w:rPr>
                <w:rFonts w:ascii="Arial"/>
                <w:sz w:val="21"/>
              </w:rPr>
            </w:pPr>
          </w:p>
        </w:tc>
      </w:tr>
    </w:tbl>
    <w:p w14:paraId="1363E52D">
      <w:pPr>
        <w:pStyle w:val="2"/>
        <w:spacing w:line="14" w:lineRule="auto"/>
        <w:rPr>
          <w:sz w:val="2"/>
        </w:rPr>
      </w:pPr>
    </w:p>
    <w:p w14:paraId="3A142C04">
      <w:pPr>
        <w:pStyle w:val="2"/>
        <w:spacing w:line="14" w:lineRule="auto"/>
        <w:rPr>
          <w:sz w:val="2"/>
        </w:rPr>
      </w:pPr>
      <w:r>
        <w:rPr>
          <w:sz w:val="2"/>
          <w:szCs w:val="2"/>
        </w:rPr>
        <w:br w:type="column"/>
      </w:r>
    </w:p>
    <w:p w14:paraId="231E162C">
      <w:pPr>
        <w:spacing w:line="89" w:lineRule="auto"/>
        <w:rPr>
          <w:rFonts w:ascii="Arial"/>
          <w:sz w:val="2"/>
        </w:rPr>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54"/>
        <w:gridCol w:w="2634"/>
        <w:gridCol w:w="229"/>
        <w:gridCol w:w="229"/>
        <w:gridCol w:w="239"/>
        <w:gridCol w:w="234"/>
      </w:tblGrid>
      <w:tr w14:paraId="65EC5E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4" w:hRule="atLeast"/>
        </w:trPr>
        <w:tc>
          <w:tcPr>
            <w:tcW w:w="554" w:type="dxa"/>
            <w:vMerge w:val="restart"/>
            <w:tcBorders>
              <w:bottom w:val="nil"/>
            </w:tcBorders>
            <w:vAlign w:val="top"/>
          </w:tcPr>
          <w:p w14:paraId="7069C6B6">
            <w:pPr>
              <w:pStyle w:val="6"/>
              <w:spacing w:before="91" w:line="230" w:lineRule="auto"/>
              <w:ind w:left="17" w:right="26" w:firstLine="80"/>
            </w:pPr>
            <w:r>
              <w:rPr>
                <w:b/>
                <w:bCs/>
                <w:spacing w:val="-7"/>
              </w:rPr>
              <w:t>知识</w:t>
            </w:r>
            <w:r>
              <w:t xml:space="preserve">  </w:t>
            </w:r>
            <w:r>
              <w:rPr>
                <w:b/>
                <w:bCs/>
                <w:spacing w:val="-6"/>
              </w:rPr>
              <w:t>与技能</w:t>
            </w:r>
            <w:r>
              <w:rPr>
                <w:spacing w:val="1"/>
              </w:rPr>
              <w:t xml:space="preserve"> </w:t>
            </w:r>
            <w:r>
              <w:rPr>
                <w:b/>
                <w:bCs/>
                <w:spacing w:val="34"/>
              </w:rPr>
              <w:t>要点</w:t>
            </w:r>
          </w:p>
        </w:tc>
        <w:tc>
          <w:tcPr>
            <w:tcW w:w="2634" w:type="dxa"/>
            <w:vMerge w:val="restart"/>
            <w:tcBorders>
              <w:bottom w:val="nil"/>
            </w:tcBorders>
            <w:vAlign w:val="top"/>
          </w:tcPr>
          <w:p w14:paraId="52EE59DE">
            <w:pPr>
              <w:spacing w:line="252" w:lineRule="auto"/>
              <w:rPr>
                <w:rFonts w:ascii="Arial"/>
                <w:sz w:val="21"/>
              </w:rPr>
            </w:pPr>
          </w:p>
          <w:p w14:paraId="7446DE0C">
            <w:pPr>
              <w:pStyle w:val="6"/>
              <w:spacing w:before="56" w:line="219" w:lineRule="auto"/>
              <w:ind w:left="993"/>
            </w:pPr>
            <w:r>
              <w:rPr>
                <w:b/>
                <w:bCs/>
                <w:spacing w:val="5"/>
              </w:rPr>
              <w:t>考试条目</w:t>
            </w:r>
          </w:p>
        </w:tc>
        <w:tc>
          <w:tcPr>
            <w:tcW w:w="931" w:type="dxa"/>
            <w:gridSpan w:val="4"/>
            <w:vAlign w:val="top"/>
          </w:tcPr>
          <w:p w14:paraId="7A0E3E53">
            <w:pPr>
              <w:pStyle w:val="6"/>
              <w:spacing w:before="109" w:line="219" w:lineRule="auto"/>
              <w:ind w:left="119"/>
            </w:pPr>
            <w:r>
              <w:rPr>
                <w:b/>
                <w:bCs/>
                <w:spacing w:val="-4"/>
              </w:rPr>
              <w:t>考试水平</w:t>
            </w:r>
          </w:p>
        </w:tc>
      </w:tr>
      <w:tr w14:paraId="1455B6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9" w:hRule="atLeast"/>
        </w:trPr>
        <w:tc>
          <w:tcPr>
            <w:tcW w:w="554" w:type="dxa"/>
            <w:vMerge w:val="continue"/>
            <w:tcBorders>
              <w:top w:val="nil"/>
            </w:tcBorders>
            <w:vAlign w:val="top"/>
          </w:tcPr>
          <w:p w14:paraId="23F51351">
            <w:pPr>
              <w:rPr>
                <w:rFonts w:ascii="Arial"/>
                <w:sz w:val="21"/>
              </w:rPr>
            </w:pPr>
          </w:p>
        </w:tc>
        <w:tc>
          <w:tcPr>
            <w:tcW w:w="2634" w:type="dxa"/>
            <w:vMerge w:val="continue"/>
            <w:tcBorders>
              <w:top w:val="nil"/>
            </w:tcBorders>
            <w:vAlign w:val="top"/>
          </w:tcPr>
          <w:p w14:paraId="5DCAC943">
            <w:pPr>
              <w:rPr>
                <w:rFonts w:ascii="Arial"/>
                <w:sz w:val="21"/>
              </w:rPr>
            </w:pPr>
          </w:p>
        </w:tc>
        <w:tc>
          <w:tcPr>
            <w:tcW w:w="229" w:type="dxa"/>
            <w:vAlign w:val="top"/>
          </w:tcPr>
          <w:p w14:paraId="027C3E54">
            <w:pPr>
              <w:pStyle w:val="6"/>
              <w:spacing w:before="151" w:line="184" w:lineRule="auto"/>
              <w:ind w:left="26"/>
            </w:pPr>
            <w:r>
              <w:t>A</w:t>
            </w:r>
          </w:p>
        </w:tc>
        <w:tc>
          <w:tcPr>
            <w:tcW w:w="229" w:type="dxa"/>
            <w:vAlign w:val="top"/>
          </w:tcPr>
          <w:p w14:paraId="1ABDACAA">
            <w:pPr>
              <w:pStyle w:val="6"/>
              <w:spacing w:before="152" w:line="182" w:lineRule="auto"/>
              <w:ind w:left="38"/>
            </w:pPr>
            <w:r>
              <w:t>B</w:t>
            </w:r>
          </w:p>
        </w:tc>
        <w:tc>
          <w:tcPr>
            <w:tcW w:w="239" w:type="dxa"/>
            <w:vAlign w:val="top"/>
          </w:tcPr>
          <w:p w14:paraId="2BE2925C">
            <w:pPr>
              <w:pStyle w:val="6"/>
              <w:spacing w:before="151" w:line="183" w:lineRule="auto"/>
              <w:ind w:left="48"/>
            </w:pPr>
            <w:r>
              <w:t>C</w:t>
            </w:r>
          </w:p>
        </w:tc>
        <w:tc>
          <w:tcPr>
            <w:tcW w:w="234" w:type="dxa"/>
            <w:vAlign w:val="top"/>
          </w:tcPr>
          <w:p w14:paraId="18DB79F5">
            <w:pPr>
              <w:pStyle w:val="6"/>
              <w:spacing w:before="152" w:line="182" w:lineRule="auto"/>
              <w:ind w:left="19"/>
            </w:pPr>
            <w:r>
              <w:t>D</w:t>
            </w:r>
          </w:p>
        </w:tc>
      </w:tr>
      <w:tr w14:paraId="3B4AAB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06" w:hRule="atLeast"/>
        </w:trPr>
        <w:tc>
          <w:tcPr>
            <w:tcW w:w="554" w:type="dxa"/>
            <w:vAlign w:val="top"/>
          </w:tcPr>
          <w:p w14:paraId="07C59A7F">
            <w:pPr>
              <w:pStyle w:val="6"/>
              <w:spacing w:before="31" w:line="221" w:lineRule="auto"/>
              <w:ind w:left="94"/>
            </w:pPr>
            <w:r>
              <w:rPr>
                <w:spacing w:val="5"/>
              </w:rPr>
              <w:t>昆虫</w:t>
            </w:r>
          </w:p>
          <w:p w14:paraId="043EB6CD">
            <w:pPr>
              <w:pStyle w:val="6"/>
              <w:spacing w:before="15" w:line="221" w:lineRule="auto"/>
              <w:ind w:left="94"/>
            </w:pPr>
            <w:r>
              <w:rPr>
                <w:spacing w:val="3"/>
              </w:rPr>
              <w:t>的变</w:t>
            </w:r>
          </w:p>
          <w:p w14:paraId="34E95261">
            <w:pPr>
              <w:pStyle w:val="6"/>
              <w:spacing w:before="20" w:line="224" w:lineRule="auto"/>
              <w:jc w:val="right"/>
            </w:pPr>
            <w:r>
              <w:rPr>
                <w:spacing w:val="-16"/>
              </w:rPr>
              <w:t>态</w:t>
            </w:r>
            <w:r>
              <w:rPr>
                <w:spacing w:val="31"/>
              </w:rPr>
              <w:t xml:space="preserve"> </w:t>
            </w:r>
            <w:r>
              <w:rPr>
                <w:spacing w:val="-16"/>
              </w:rPr>
              <w:t>、</w:t>
            </w:r>
          </w:p>
          <w:p w14:paraId="1889E52B">
            <w:pPr>
              <w:pStyle w:val="6"/>
              <w:spacing w:before="8" w:line="219" w:lineRule="auto"/>
              <w:ind w:left="94"/>
            </w:pPr>
            <w:r>
              <w:rPr>
                <w:spacing w:val="6"/>
              </w:rPr>
              <w:t>发育</w:t>
            </w:r>
          </w:p>
          <w:p w14:paraId="3BB0528F">
            <w:pPr>
              <w:pStyle w:val="6"/>
              <w:spacing w:before="29" w:line="206" w:lineRule="auto"/>
              <w:ind w:left="94"/>
            </w:pPr>
            <w:r>
              <w:rPr>
                <w:spacing w:val="11"/>
              </w:rPr>
              <w:t>与习</w:t>
            </w:r>
          </w:p>
          <w:p w14:paraId="3A0E471D">
            <w:pPr>
              <w:pStyle w:val="6"/>
              <w:spacing w:before="1" w:line="201" w:lineRule="auto"/>
              <w:ind w:left="184"/>
            </w:pPr>
            <w:r>
              <w:t>性</w:t>
            </w:r>
          </w:p>
        </w:tc>
        <w:tc>
          <w:tcPr>
            <w:tcW w:w="2634" w:type="dxa"/>
            <w:vAlign w:val="top"/>
          </w:tcPr>
          <w:p w14:paraId="776528C5">
            <w:pPr>
              <w:pStyle w:val="6"/>
              <w:spacing w:before="250" w:line="246" w:lineRule="auto"/>
              <w:ind w:left="60" w:right="1529"/>
            </w:pPr>
            <w:r>
              <w:rPr>
                <w:spacing w:val="1"/>
              </w:rPr>
              <w:t>1.昆虫的变态</w:t>
            </w:r>
            <w:r>
              <w:t xml:space="preserve"> </w:t>
            </w:r>
            <w:r>
              <w:rPr>
                <w:spacing w:val="1"/>
              </w:rPr>
              <w:t>2.昆虫的发育</w:t>
            </w:r>
          </w:p>
          <w:p w14:paraId="2A4F4249">
            <w:pPr>
              <w:pStyle w:val="6"/>
              <w:spacing w:before="5" w:line="231" w:lineRule="auto"/>
              <w:ind w:left="60" w:right="703"/>
            </w:pPr>
            <w:r>
              <w:rPr>
                <w:spacing w:val="-1"/>
              </w:rPr>
              <w:t>3.昆虫的世代和生活年史</w:t>
            </w:r>
            <w:r>
              <w:t xml:space="preserve"> </w:t>
            </w:r>
            <w:r>
              <w:rPr>
                <w:spacing w:val="-1"/>
              </w:rPr>
              <w:t>4.昆虫的习性</w:t>
            </w:r>
          </w:p>
        </w:tc>
        <w:tc>
          <w:tcPr>
            <w:tcW w:w="229" w:type="dxa"/>
            <w:vAlign w:val="top"/>
          </w:tcPr>
          <w:p w14:paraId="682F5390">
            <w:pPr>
              <w:rPr>
                <w:rFonts w:ascii="Arial"/>
                <w:sz w:val="21"/>
              </w:rPr>
            </w:pPr>
          </w:p>
        </w:tc>
        <w:tc>
          <w:tcPr>
            <w:tcW w:w="229" w:type="dxa"/>
            <w:vAlign w:val="top"/>
          </w:tcPr>
          <w:p w14:paraId="3FF96B4B">
            <w:pPr>
              <w:rPr>
                <w:rFonts w:ascii="Arial"/>
                <w:sz w:val="21"/>
              </w:rPr>
            </w:pPr>
          </w:p>
        </w:tc>
        <w:tc>
          <w:tcPr>
            <w:tcW w:w="239" w:type="dxa"/>
            <w:vAlign w:val="top"/>
          </w:tcPr>
          <w:p w14:paraId="06A5161D">
            <w:pPr>
              <w:rPr>
                <w:rFonts w:ascii="Arial"/>
                <w:sz w:val="21"/>
              </w:rPr>
            </w:pPr>
          </w:p>
        </w:tc>
        <w:tc>
          <w:tcPr>
            <w:tcW w:w="234" w:type="dxa"/>
            <w:vAlign w:val="top"/>
          </w:tcPr>
          <w:p w14:paraId="233B15E0">
            <w:pPr>
              <w:rPr>
                <w:rFonts w:ascii="Arial"/>
                <w:sz w:val="21"/>
              </w:rPr>
            </w:pPr>
          </w:p>
        </w:tc>
      </w:tr>
      <w:tr w14:paraId="0B35FA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81" w:hRule="atLeast"/>
        </w:trPr>
        <w:tc>
          <w:tcPr>
            <w:tcW w:w="554" w:type="dxa"/>
            <w:vAlign w:val="top"/>
          </w:tcPr>
          <w:p w14:paraId="5B2F4668">
            <w:pPr>
              <w:pStyle w:val="6"/>
              <w:spacing w:before="72" w:line="235" w:lineRule="auto"/>
              <w:ind w:left="94" w:right="93"/>
              <w:jc w:val="both"/>
            </w:pPr>
            <w:r>
              <w:rPr>
                <w:spacing w:val="5"/>
              </w:rPr>
              <w:t>昆虫</w:t>
            </w:r>
            <w:r>
              <w:t xml:space="preserve"> </w:t>
            </w:r>
            <w:r>
              <w:rPr>
                <w:spacing w:val="-4"/>
              </w:rPr>
              <w:t>生长</w:t>
            </w:r>
            <w:r>
              <w:t xml:space="preserve"> </w:t>
            </w:r>
            <w:r>
              <w:rPr>
                <w:spacing w:val="6"/>
              </w:rPr>
              <w:t>发育</w:t>
            </w:r>
            <w:r>
              <w:t xml:space="preserve"> </w:t>
            </w:r>
            <w:r>
              <w:rPr>
                <w:spacing w:val="-6"/>
              </w:rPr>
              <w:t>与环</w:t>
            </w:r>
            <w:r>
              <w:t xml:space="preserve"> </w:t>
            </w:r>
            <w:r>
              <w:rPr>
                <w:spacing w:val="6"/>
              </w:rPr>
              <w:t>境的</w:t>
            </w:r>
            <w:r>
              <w:t xml:space="preserve"> </w:t>
            </w:r>
            <w:r>
              <w:rPr>
                <w:spacing w:val="7"/>
              </w:rPr>
              <w:t>关系</w:t>
            </w:r>
          </w:p>
        </w:tc>
        <w:tc>
          <w:tcPr>
            <w:tcW w:w="2634" w:type="dxa"/>
            <w:vAlign w:val="top"/>
          </w:tcPr>
          <w:p w14:paraId="0F494C59">
            <w:pPr>
              <w:spacing w:line="335" w:lineRule="auto"/>
              <w:rPr>
                <w:rFonts w:ascii="Arial"/>
                <w:sz w:val="21"/>
              </w:rPr>
            </w:pPr>
          </w:p>
          <w:p w14:paraId="2860A283">
            <w:pPr>
              <w:pStyle w:val="6"/>
              <w:spacing w:before="55" w:line="241" w:lineRule="auto"/>
              <w:ind w:left="60" w:right="1705"/>
              <w:jc w:val="both"/>
            </w:pPr>
            <w:r>
              <w:rPr>
                <w:spacing w:val="1"/>
              </w:rPr>
              <w:t>1.气象因素</w:t>
            </w:r>
            <w:r>
              <w:t xml:space="preserve"> </w:t>
            </w:r>
            <w:r>
              <w:rPr>
                <w:spacing w:val="-2"/>
              </w:rPr>
              <w:t>2.土壤因素</w:t>
            </w:r>
            <w:r>
              <w:rPr>
                <w:spacing w:val="2"/>
              </w:rPr>
              <w:t xml:space="preserve"> </w:t>
            </w:r>
            <w:r>
              <w:rPr>
                <w:spacing w:val="-2"/>
              </w:rPr>
              <w:t>3.生物因素</w:t>
            </w:r>
          </w:p>
        </w:tc>
        <w:tc>
          <w:tcPr>
            <w:tcW w:w="229" w:type="dxa"/>
            <w:vAlign w:val="top"/>
          </w:tcPr>
          <w:p w14:paraId="17AC4CE7">
            <w:pPr>
              <w:rPr>
                <w:rFonts w:ascii="Arial"/>
                <w:sz w:val="21"/>
              </w:rPr>
            </w:pPr>
          </w:p>
        </w:tc>
        <w:tc>
          <w:tcPr>
            <w:tcW w:w="229" w:type="dxa"/>
            <w:vAlign w:val="top"/>
          </w:tcPr>
          <w:p w14:paraId="2BBB1397">
            <w:pPr>
              <w:rPr>
                <w:rFonts w:ascii="Arial"/>
                <w:sz w:val="21"/>
              </w:rPr>
            </w:pPr>
          </w:p>
        </w:tc>
        <w:tc>
          <w:tcPr>
            <w:tcW w:w="239" w:type="dxa"/>
            <w:vAlign w:val="top"/>
          </w:tcPr>
          <w:p w14:paraId="7C864A01">
            <w:pPr>
              <w:rPr>
                <w:rFonts w:ascii="Arial"/>
                <w:sz w:val="21"/>
              </w:rPr>
            </w:pPr>
          </w:p>
        </w:tc>
        <w:tc>
          <w:tcPr>
            <w:tcW w:w="234" w:type="dxa"/>
            <w:vAlign w:val="top"/>
          </w:tcPr>
          <w:p w14:paraId="5B6E52E4">
            <w:pPr>
              <w:rPr>
                <w:rFonts w:ascii="Arial"/>
                <w:sz w:val="21"/>
              </w:rPr>
            </w:pPr>
          </w:p>
        </w:tc>
      </w:tr>
    </w:tbl>
    <w:p w14:paraId="01942E01">
      <w:pPr>
        <w:spacing w:before="118" w:line="221" w:lineRule="auto"/>
        <w:ind w:left="1257"/>
        <w:rPr>
          <w:rFonts w:ascii="黑体" w:hAnsi="黑体" w:eastAsia="黑体" w:cs="黑体"/>
          <w:sz w:val="20"/>
          <w:szCs w:val="20"/>
        </w:rPr>
      </w:pPr>
      <w:r>
        <w:rPr>
          <w:rFonts w:ascii="黑体" w:hAnsi="黑体" w:eastAsia="黑体" w:cs="黑体"/>
          <w:b/>
          <w:bCs/>
          <w:spacing w:val="-6"/>
          <w:sz w:val="20"/>
          <w:szCs w:val="20"/>
        </w:rPr>
        <w:t>二、植物病害基础</w:t>
      </w:r>
    </w:p>
    <w:p w14:paraId="703CF534">
      <w:pPr>
        <w:spacing w:line="151" w:lineRule="exact"/>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54"/>
        <w:gridCol w:w="2634"/>
        <w:gridCol w:w="229"/>
        <w:gridCol w:w="229"/>
        <w:gridCol w:w="239"/>
        <w:gridCol w:w="234"/>
      </w:tblGrid>
      <w:tr w14:paraId="3EAC96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4" w:hRule="atLeast"/>
        </w:trPr>
        <w:tc>
          <w:tcPr>
            <w:tcW w:w="554" w:type="dxa"/>
            <w:vMerge w:val="restart"/>
            <w:tcBorders>
              <w:bottom w:val="nil"/>
            </w:tcBorders>
            <w:vAlign w:val="top"/>
          </w:tcPr>
          <w:p w14:paraId="68E9AF4F">
            <w:pPr>
              <w:pStyle w:val="6"/>
              <w:spacing w:before="80" w:line="234" w:lineRule="auto"/>
              <w:ind w:left="17" w:right="26" w:firstLine="80"/>
            </w:pPr>
            <w:r>
              <w:rPr>
                <w:b/>
                <w:bCs/>
                <w:spacing w:val="-7"/>
              </w:rPr>
              <w:t>知识</w:t>
            </w:r>
            <w:r>
              <w:t xml:space="preserve">  </w:t>
            </w:r>
            <w:r>
              <w:rPr>
                <w:b/>
                <w:bCs/>
                <w:spacing w:val="-6"/>
              </w:rPr>
              <w:t>与技能</w:t>
            </w:r>
            <w:r>
              <w:rPr>
                <w:spacing w:val="1"/>
              </w:rPr>
              <w:t xml:space="preserve"> </w:t>
            </w:r>
            <w:r>
              <w:rPr>
                <w:b/>
                <w:bCs/>
                <w:spacing w:val="34"/>
              </w:rPr>
              <w:t>要点</w:t>
            </w:r>
          </w:p>
        </w:tc>
        <w:tc>
          <w:tcPr>
            <w:tcW w:w="2634" w:type="dxa"/>
            <w:vMerge w:val="restart"/>
            <w:tcBorders>
              <w:bottom w:val="nil"/>
            </w:tcBorders>
            <w:vAlign w:val="top"/>
          </w:tcPr>
          <w:p w14:paraId="18C19FF4">
            <w:pPr>
              <w:spacing w:line="242" w:lineRule="auto"/>
              <w:rPr>
                <w:rFonts w:ascii="Arial"/>
                <w:sz w:val="21"/>
              </w:rPr>
            </w:pPr>
          </w:p>
          <w:p w14:paraId="74E1D902">
            <w:pPr>
              <w:pStyle w:val="6"/>
              <w:spacing w:before="56" w:line="219" w:lineRule="auto"/>
              <w:ind w:left="993"/>
            </w:pPr>
            <w:r>
              <w:rPr>
                <w:b/>
                <w:bCs/>
                <w:spacing w:val="5"/>
              </w:rPr>
              <w:t>考试条目</w:t>
            </w:r>
          </w:p>
        </w:tc>
        <w:tc>
          <w:tcPr>
            <w:tcW w:w="931" w:type="dxa"/>
            <w:gridSpan w:val="4"/>
            <w:vAlign w:val="top"/>
          </w:tcPr>
          <w:p w14:paraId="6EF28EA4">
            <w:pPr>
              <w:pStyle w:val="6"/>
              <w:spacing w:before="109" w:line="219" w:lineRule="auto"/>
              <w:ind w:left="139"/>
            </w:pPr>
            <w:r>
              <w:rPr>
                <w:b/>
                <w:bCs/>
                <w:spacing w:val="-4"/>
              </w:rPr>
              <w:t>考试水平</w:t>
            </w:r>
          </w:p>
        </w:tc>
      </w:tr>
      <w:tr w14:paraId="1D3BED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554" w:type="dxa"/>
            <w:vMerge w:val="continue"/>
            <w:tcBorders>
              <w:top w:val="nil"/>
            </w:tcBorders>
            <w:vAlign w:val="top"/>
          </w:tcPr>
          <w:p w14:paraId="2FDD1094">
            <w:pPr>
              <w:rPr>
                <w:rFonts w:ascii="Arial"/>
                <w:sz w:val="21"/>
              </w:rPr>
            </w:pPr>
          </w:p>
        </w:tc>
        <w:tc>
          <w:tcPr>
            <w:tcW w:w="2634" w:type="dxa"/>
            <w:vMerge w:val="continue"/>
            <w:tcBorders>
              <w:top w:val="nil"/>
            </w:tcBorders>
            <w:vAlign w:val="top"/>
          </w:tcPr>
          <w:p w14:paraId="16EBCF0E">
            <w:pPr>
              <w:rPr>
                <w:rFonts w:ascii="Arial"/>
                <w:sz w:val="21"/>
              </w:rPr>
            </w:pPr>
          </w:p>
        </w:tc>
        <w:tc>
          <w:tcPr>
            <w:tcW w:w="229" w:type="dxa"/>
            <w:vAlign w:val="top"/>
          </w:tcPr>
          <w:p w14:paraId="50634AA9">
            <w:pPr>
              <w:pStyle w:val="6"/>
              <w:spacing w:before="140" w:line="184" w:lineRule="auto"/>
              <w:ind w:left="26"/>
            </w:pPr>
            <w:r>
              <w:t>A</w:t>
            </w:r>
          </w:p>
        </w:tc>
        <w:tc>
          <w:tcPr>
            <w:tcW w:w="229" w:type="dxa"/>
            <w:vAlign w:val="top"/>
          </w:tcPr>
          <w:p w14:paraId="5EB72DC8">
            <w:pPr>
              <w:pStyle w:val="6"/>
              <w:spacing w:before="142" w:line="182" w:lineRule="auto"/>
              <w:ind w:left="17"/>
            </w:pPr>
            <w:r>
              <w:t>B</w:t>
            </w:r>
          </w:p>
        </w:tc>
        <w:tc>
          <w:tcPr>
            <w:tcW w:w="239" w:type="dxa"/>
            <w:vAlign w:val="top"/>
          </w:tcPr>
          <w:p w14:paraId="2C92D9BE">
            <w:pPr>
              <w:pStyle w:val="6"/>
              <w:spacing w:before="141" w:line="183" w:lineRule="auto"/>
              <w:ind w:left="59"/>
            </w:pPr>
            <w:r>
              <w:t>C</w:t>
            </w:r>
          </w:p>
        </w:tc>
        <w:tc>
          <w:tcPr>
            <w:tcW w:w="234" w:type="dxa"/>
            <w:vAlign w:val="top"/>
          </w:tcPr>
          <w:p w14:paraId="694B4109">
            <w:pPr>
              <w:pStyle w:val="6"/>
              <w:spacing w:before="142" w:line="182" w:lineRule="auto"/>
              <w:ind w:left="19"/>
            </w:pPr>
            <w:r>
              <w:t>D</w:t>
            </w:r>
          </w:p>
        </w:tc>
      </w:tr>
      <w:tr w14:paraId="68F4CB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47" w:hRule="atLeast"/>
        </w:trPr>
        <w:tc>
          <w:tcPr>
            <w:tcW w:w="554" w:type="dxa"/>
            <w:vAlign w:val="top"/>
          </w:tcPr>
          <w:p w14:paraId="3A0541AF">
            <w:pPr>
              <w:spacing w:line="332" w:lineRule="auto"/>
              <w:rPr>
                <w:rFonts w:ascii="Arial"/>
                <w:sz w:val="21"/>
              </w:rPr>
            </w:pPr>
          </w:p>
          <w:p w14:paraId="499BBACC">
            <w:pPr>
              <w:pStyle w:val="6"/>
              <w:spacing w:before="55" w:line="232" w:lineRule="auto"/>
              <w:ind w:left="94" w:right="114"/>
              <w:jc w:val="both"/>
            </w:pPr>
            <w:r>
              <w:rPr>
                <w:spacing w:val="-4"/>
              </w:rPr>
              <w:t>植物</w:t>
            </w:r>
            <w:r>
              <w:t xml:space="preserve"> </w:t>
            </w:r>
            <w:r>
              <w:rPr>
                <w:spacing w:val="-3"/>
              </w:rPr>
              <w:t>病害</w:t>
            </w:r>
            <w:r>
              <w:t xml:space="preserve"> </w:t>
            </w:r>
            <w:r>
              <w:rPr>
                <w:spacing w:val="-4"/>
              </w:rPr>
              <w:t>概述</w:t>
            </w:r>
          </w:p>
        </w:tc>
        <w:tc>
          <w:tcPr>
            <w:tcW w:w="2634" w:type="dxa"/>
            <w:vAlign w:val="top"/>
          </w:tcPr>
          <w:p w14:paraId="6884EBCC">
            <w:pPr>
              <w:pStyle w:val="6"/>
              <w:spacing w:before="168" w:line="229" w:lineRule="auto"/>
              <w:ind w:left="50" w:right="1199"/>
              <w:jc w:val="both"/>
            </w:pPr>
            <w:r>
              <w:t>1.植物病害的定义</w:t>
            </w:r>
            <w:r>
              <w:rPr>
                <w:spacing w:val="7"/>
              </w:rPr>
              <w:t xml:space="preserve"> </w:t>
            </w:r>
            <w:r>
              <w:rPr>
                <w:spacing w:val="-1"/>
              </w:rPr>
              <w:t>2.植物病害的症状</w:t>
            </w:r>
            <w:r>
              <w:t xml:space="preserve"> </w:t>
            </w:r>
            <w:r>
              <w:rPr>
                <w:spacing w:val="1"/>
              </w:rPr>
              <w:t>3.植物病害的病原</w:t>
            </w:r>
          </w:p>
          <w:p w14:paraId="74ECEAD6">
            <w:pPr>
              <w:pStyle w:val="6"/>
              <w:spacing w:before="28" w:line="229" w:lineRule="auto"/>
              <w:ind w:left="50" w:right="368"/>
            </w:pPr>
            <w:r>
              <w:rPr>
                <w:spacing w:val="-1"/>
              </w:rPr>
              <w:t>4.病原物的致病性和寄主植物</w:t>
            </w:r>
            <w:r>
              <w:rPr>
                <w:spacing w:val="7"/>
              </w:rPr>
              <w:t xml:space="preserve"> </w:t>
            </w:r>
            <w:r>
              <w:rPr>
                <w:spacing w:val="1"/>
              </w:rPr>
              <w:t>的抗病性</w:t>
            </w:r>
          </w:p>
        </w:tc>
        <w:tc>
          <w:tcPr>
            <w:tcW w:w="229" w:type="dxa"/>
            <w:vAlign w:val="top"/>
          </w:tcPr>
          <w:p w14:paraId="59A8A32C">
            <w:pPr>
              <w:rPr>
                <w:rFonts w:ascii="Arial"/>
                <w:sz w:val="21"/>
              </w:rPr>
            </w:pPr>
          </w:p>
        </w:tc>
        <w:tc>
          <w:tcPr>
            <w:tcW w:w="229" w:type="dxa"/>
            <w:vAlign w:val="top"/>
          </w:tcPr>
          <w:p w14:paraId="7D2069E2">
            <w:pPr>
              <w:rPr>
                <w:rFonts w:ascii="Arial"/>
                <w:sz w:val="21"/>
              </w:rPr>
            </w:pPr>
          </w:p>
        </w:tc>
        <w:tc>
          <w:tcPr>
            <w:tcW w:w="239" w:type="dxa"/>
            <w:vAlign w:val="top"/>
          </w:tcPr>
          <w:p w14:paraId="74297AF4">
            <w:pPr>
              <w:rPr>
                <w:rFonts w:ascii="Arial"/>
                <w:sz w:val="21"/>
              </w:rPr>
            </w:pPr>
          </w:p>
        </w:tc>
        <w:tc>
          <w:tcPr>
            <w:tcW w:w="234" w:type="dxa"/>
            <w:vAlign w:val="top"/>
          </w:tcPr>
          <w:p w14:paraId="7904BA91">
            <w:pPr>
              <w:rPr>
                <w:rFonts w:ascii="Arial"/>
                <w:sz w:val="21"/>
              </w:rPr>
            </w:pPr>
          </w:p>
        </w:tc>
      </w:tr>
      <w:tr w14:paraId="6E42EE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68" w:hRule="atLeast"/>
        </w:trPr>
        <w:tc>
          <w:tcPr>
            <w:tcW w:w="554" w:type="dxa"/>
            <w:vAlign w:val="top"/>
          </w:tcPr>
          <w:p w14:paraId="315A3903">
            <w:pPr>
              <w:pStyle w:val="6"/>
              <w:spacing w:before="82" w:line="219" w:lineRule="auto"/>
              <w:ind w:left="94"/>
            </w:pPr>
            <w:r>
              <w:rPr>
                <w:spacing w:val="-2"/>
              </w:rPr>
              <w:t>植物</w:t>
            </w:r>
          </w:p>
          <w:p w14:paraId="61A8D9FA">
            <w:pPr>
              <w:pStyle w:val="6"/>
              <w:spacing w:before="18" w:line="220" w:lineRule="auto"/>
              <w:ind w:left="94"/>
            </w:pPr>
            <w:r>
              <w:rPr>
                <w:spacing w:val="-2"/>
              </w:rPr>
              <w:t>病害</w:t>
            </w:r>
          </w:p>
          <w:p w14:paraId="38DC0D5D">
            <w:pPr>
              <w:pStyle w:val="6"/>
              <w:spacing w:before="9" w:line="222" w:lineRule="auto"/>
              <w:ind w:left="184"/>
            </w:pPr>
            <w:r>
              <w:t>的</w:t>
            </w:r>
          </w:p>
          <w:p w14:paraId="4B7551F1">
            <w:pPr>
              <w:pStyle w:val="6"/>
              <w:spacing w:before="12" w:line="219" w:lineRule="auto"/>
              <w:ind w:left="94"/>
            </w:pPr>
            <w:r>
              <w:rPr>
                <w:spacing w:val="-2"/>
              </w:rPr>
              <w:t>诊断</w:t>
            </w:r>
          </w:p>
        </w:tc>
        <w:tc>
          <w:tcPr>
            <w:tcW w:w="2634" w:type="dxa"/>
            <w:vAlign w:val="top"/>
          </w:tcPr>
          <w:p w14:paraId="7F8C8F8A">
            <w:pPr>
              <w:spacing w:line="245" w:lineRule="auto"/>
              <w:rPr>
                <w:rFonts w:ascii="Arial"/>
                <w:sz w:val="21"/>
              </w:rPr>
            </w:pPr>
          </w:p>
          <w:p w14:paraId="5EF5FBD3">
            <w:pPr>
              <w:pStyle w:val="6"/>
              <w:spacing w:before="55" w:line="229" w:lineRule="auto"/>
              <w:ind w:left="50" w:right="865"/>
            </w:pPr>
            <w:r>
              <w:t>1.植物病害的田间诊断</w:t>
            </w:r>
            <w:r>
              <w:rPr>
                <w:spacing w:val="6"/>
              </w:rPr>
              <w:t xml:space="preserve"> </w:t>
            </w:r>
            <w:r>
              <w:rPr>
                <w:spacing w:val="-1"/>
              </w:rPr>
              <w:t>2.植物病害的室内诊断</w:t>
            </w:r>
          </w:p>
        </w:tc>
        <w:tc>
          <w:tcPr>
            <w:tcW w:w="229" w:type="dxa"/>
            <w:vAlign w:val="top"/>
          </w:tcPr>
          <w:p w14:paraId="3B983A16">
            <w:pPr>
              <w:rPr>
                <w:rFonts w:ascii="Arial"/>
                <w:sz w:val="21"/>
              </w:rPr>
            </w:pPr>
          </w:p>
        </w:tc>
        <w:tc>
          <w:tcPr>
            <w:tcW w:w="229" w:type="dxa"/>
            <w:vAlign w:val="top"/>
          </w:tcPr>
          <w:p w14:paraId="21027A42">
            <w:pPr>
              <w:rPr>
                <w:rFonts w:ascii="Arial"/>
                <w:sz w:val="21"/>
              </w:rPr>
            </w:pPr>
          </w:p>
        </w:tc>
        <w:tc>
          <w:tcPr>
            <w:tcW w:w="239" w:type="dxa"/>
            <w:vAlign w:val="top"/>
          </w:tcPr>
          <w:p w14:paraId="00137122">
            <w:pPr>
              <w:rPr>
                <w:rFonts w:ascii="Arial"/>
                <w:sz w:val="21"/>
              </w:rPr>
            </w:pPr>
          </w:p>
        </w:tc>
        <w:tc>
          <w:tcPr>
            <w:tcW w:w="234" w:type="dxa"/>
            <w:vAlign w:val="top"/>
          </w:tcPr>
          <w:p w14:paraId="32EA016A">
            <w:pPr>
              <w:rPr>
                <w:rFonts w:ascii="Arial"/>
                <w:sz w:val="21"/>
              </w:rPr>
            </w:pPr>
          </w:p>
        </w:tc>
      </w:tr>
      <w:tr w14:paraId="7CFEE1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32" w:hRule="atLeast"/>
        </w:trPr>
        <w:tc>
          <w:tcPr>
            <w:tcW w:w="554" w:type="dxa"/>
            <w:vAlign w:val="top"/>
          </w:tcPr>
          <w:p w14:paraId="779E3A1B">
            <w:pPr>
              <w:pStyle w:val="6"/>
              <w:spacing w:before="93" w:line="236" w:lineRule="auto"/>
              <w:ind w:left="94" w:right="95"/>
              <w:jc w:val="both"/>
            </w:pPr>
            <w:r>
              <w:rPr>
                <w:spacing w:val="-4"/>
              </w:rPr>
              <w:t>植物</w:t>
            </w:r>
            <w:r>
              <w:t xml:space="preserve"> </w:t>
            </w:r>
            <w:r>
              <w:rPr>
                <w:spacing w:val="-4"/>
              </w:rPr>
              <w:t>侵染</w:t>
            </w:r>
            <w:r>
              <w:t xml:space="preserve"> </w:t>
            </w:r>
            <w:r>
              <w:rPr>
                <w:spacing w:val="5"/>
              </w:rPr>
              <w:t>性病</w:t>
            </w:r>
            <w:r>
              <w:t xml:space="preserve"> </w:t>
            </w:r>
            <w:r>
              <w:rPr>
                <w:spacing w:val="6"/>
              </w:rPr>
              <w:t>害的</w:t>
            </w:r>
            <w:r>
              <w:t xml:space="preserve"> </w:t>
            </w:r>
            <w:r>
              <w:rPr>
                <w:spacing w:val="-5"/>
              </w:rPr>
              <w:t>发生</w:t>
            </w:r>
            <w:r>
              <w:t xml:space="preserve"> </w:t>
            </w:r>
            <w:r>
              <w:rPr>
                <w:spacing w:val="-3"/>
              </w:rPr>
              <w:t>发展</w:t>
            </w:r>
          </w:p>
        </w:tc>
        <w:tc>
          <w:tcPr>
            <w:tcW w:w="2634" w:type="dxa"/>
            <w:vAlign w:val="top"/>
          </w:tcPr>
          <w:p w14:paraId="547A2546">
            <w:pPr>
              <w:spacing w:line="365" w:lineRule="auto"/>
              <w:rPr>
                <w:rFonts w:ascii="Arial"/>
                <w:sz w:val="21"/>
              </w:rPr>
            </w:pPr>
          </w:p>
          <w:p w14:paraId="28891112">
            <w:pPr>
              <w:pStyle w:val="6"/>
              <w:spacing w:before="55" w:line="237" w:lineRule="auto"/>
              <w:ind w:left="50" w:right="357"/>
            </w:pPr>
            <w:r>
              <w:t>1.植物侵染性病害的侵染过程</w:t>
            </w:r>
            <w:r>
              <w:rPr>
                <w:spacing w:val="5"/>
              </w:rPr>
              <w:t xml:space="preserve"> </w:t>
            </w:r>
            <w:r>
              <w:rPr>
                <w:spacing w:val="-1"/>
              </w:rPr>
              <w:t>2.植物病害的侵染循环</w:t>
            </w:r>
          </w:p>
          <w:p w14:paraId="7C0292B7">
            <w:pPr>
              <w:pStyle w:val="6"/>
              <w:spacing w:before="4" w:line="219" w:lineRule="auto"/>
              <w:ind w:left="50"/>
            </w:pPr>
            <w:r>
              <w:rPr>
                <w:spacing w:val="-2"/>
              </w:rPr>
              <w:t>3.植物病害的流行</w:t>
            </w:r>
          </w:p>
        </w:tc>
        <w:tc>
          <w:tcPr>
            <w:tcW w:w="229" w:type="dxa"/>
            <w:vAlign w:val="top"/>
          </w:tcPr>
          <w:p w14:paraId="0C96BC76">
            <w:pPr>
              <w:rPr>
                <w:rFonts w:ascii="Arial"/>
                <w:sz w:val="21"/>
              </w:rPr>
            </w:pPr>
          </w:p>
        </w:tc>
        <w:tc>
          <w:tcPr>
            <w:tcW w:w="229" w:type="dxa"/>
            <w:vAlign w:val="top"/>
          </w:tcPr>
          <w:p w14:paraId="73CE0C14">
            <w:pPr>
              <w:rPr>
                <w:rFonts w:ascii="Arial"/>
                <w:sz w:val="21"/>
              </w:rPr>
            </w:pPr>
          </w:p>
        </w:tc>
        <w:tc>
          <w:tcPr>
            <w:tcW w:w="239" w:type="dxa"/>
            <w:vAlign w:val="top"/>
          </w:tcPr>
          <w:p w14:paraId="40CFD8E0">
            <w:pPr>
              <w:rPr>
                <w:rFonts w:ascii="Arial"/>
                <w:sz w:val="21"/>
              </w:rPr>
            </w:pPr>
          </w:p>
        </w:tc>
        <w:tc>
          <w:tcPr>
            <w:tcW w:w="234" w:type="dxa"/>
            <w:vAlign w:val="top"/>
          </w:tcPr>
          <w:p w14:paraId="7EED5AB5">
            <w:pPr>
              <w:rPr>
                <w:rFonts w:ascii="Arial"/>
                <w:sz w:val="21"/>
              </w:rPr>
            </w:pPr>
          </w:p>
        </w:tc>
      </w:tr>
    </w:tbl>
    <w:p w14:paraId="5348B094">
      <w:pPr>
        <w:spacing w:before="128" w:line="221" w:lineRule="auto"/>
        <w:ind w:left="357"/>
        <w:rPr>
          <w:rFonts w:ascii="黑体" w:hAnsi="黑体" w:eastAsia="黑体" w:cs="黑体"/>
          <w:sz w:val="20"/>
          <w:szCs w:val="20"/>
        </w:rPr>
      </w:pPr>
      <w:r>
        <w:rPr>
          <w:rFonts w:ascii="黑体" w:hAnsi="黑体" w:eastAsia="黑体" w:cs="黑体"/>
          <w:b/>
          <w:bCs/>
          <w:spacing w:val="-4"/>
          <w:sz w:val="20"/>
          <w:szCs w:val="20"/>
        </w:rPr>
        <w:t>三、植物有害生物调查及综合防治技术</w:t>
      </w:r>
    </w:p>
    <w:p w14:paraId="696E8399">
      <w:pPr>
        <w:spacing w:line="172" w:lineRule="exact"/>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54"/>
        <w:gridCol w:w="2634"/>
        <w:gridCol w:w="229"/>
        <w:gridCol w:w="229"/>
        <w:gridCol w:w="239"/>
        <w:gridCol w:w="234"/>
      </w:tblGrid>
      <w:tr w14:paraId="4C3B58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4" w:hRule="atLeast"/>
        </w:trPr>
        <w:tc>
          <w:tcPr>
            <w:tcW w:w="554" w:type="dxa"/>
            <w:vMerge w:val="restart"/>
            <w:tcBorders>
              <w:bottom w:val="nil"/>
            </w:tcBorders>
            <w:vAlign w:val="top"/>
          </w:tcPr>
          <w:p w14:paraId="5CD8DAD2">
            <w:pPr>
              <w:pStyle w:val="6"/>
              <w:spacing w:before="80" w:line="234" w:lineRule="auto"/>
              <w:ind w:left="17" w:right="26" w:firstLine="80"/>
            </w:pPr>
            <w:r>
              <w:rPr>
                <w:b/>
                <w:bCs/>
                <w:spacing w:val="-7"/>
              </w:rPr>
              <w:t>知识</w:t>
            </w:r>
            <w:r>
              <w:t xml:space="preserve">  </w:t>
            </w:r>
            <w:r>
              <w:rPr>
                <w:b/>
                <w:bCs/>
                <w:spacing w:val="-6"/>
              </w:rPr>
              <w:t>与技能</w:t>
            </w:r>
            <w:r>
              <w:rPr>
                <w:spacing w:val="1"/>
              </w:rPr>
              <w:t xml:space="preserve"> </w:t>
            </w:r>
            <w:r>
              <w:rPr>
                <w:b/>
                <w:bCs/>
                <w:spacing w:val="34"/>
              </w:rPr>
              <w:t>要点</w:t>
            </w:r>
          </w:p>
        </w:tc>
        <w:tc>
          <w:tcPr>
            <w:tcW w:w="2634" w:type="dxa"/>
            <w:vMerge w:val="restart"/>
            <w:tcBorders>
              <w:bottom w:val="nil"/>
            </w:tcBorders>
            <w:vAlign w:val="top"/>
          </w:tcPr>
          <w:p w14:paraId="0001AD19">
            <w:pPr>
              <w:spacing w:line="242" w:lineRule="auto"/>
              <w:rPr>
                <w:rFonts w:ascii="Arial"/>
                <w:sz w:val="21"/>
              </w:rPr>
            </w:pPr>
          </w:p>
          <w:p w14:paraId="083C1191">
            <w:pPr>
              <w:pStyle w:val="6"/>
              <w:spacing w:before="56" w:line="219" w:lineRule="auto"/>
              <w:ind w:left="993"/>
            </w:pPr>
            <w:r>
              <w:rPr>
                <w:b/>
                <w:bCs/>
                <w:spacing w:val="5"/>
              </w:rPr>
              <w:t>考试条目</w:t>
            </w:r>
          </w:p>
        </w:tc>
        <w:tc>
          <w:tcPr>
            <w:tcW w:w="931" w:type="dxa"/>
            <w:gridSpan w:val="4"/>
            <w:vAlign w:val="top"/>
          </w:tcPr>
          <w:p w14:paraId="0C2212D5">
            <w:pPr>
              <w:pStyle w:val="6"/>
              <w:spacing w:before="109" w:line="219" w:lineRule="auto"/>
              <w:ind w:left="139"/>
            </w:pPr>
            <w:r>
              <w:rPr>
                <w:b/>
                <w:bCs/>
                <w:spacing w:val="-4"/>
              </w:rPr>
              <w:t>考试水平</w:t>
            </w:r>
          </w:p>
        </w:tc>
      </w:tr>
      <w:tr w14:paraId="331D1D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9" w:hRule="atLeast"/>
        </w:trPr>
        <w:tc>
          <w:tcPr>
            <w:tcW w:w="554" w:type="dxa"/>
            <w:vMerge w:val="continue"/>
            <w:tcBorders>
              <w:top w:val="nil"/>
            </w:tcBorders>
            <w:vAlign w:val="top"/>
          </w:tcPr>
          <w:p w14:paraId="18BB8708">
            <w:pPr>
              <w:rPr>
                <w:rFonts w:ascii="Arial"/>
                <w:sz w:val="21"/>
              </w:rPr>
            </w:pPr>
          </w:p>
        </w:tc>
        <w:tc>
          <w:tcPr>
            <w:tcW w:w="2634" w:type="dxa"/>
            <w:vMerge w:val="continue"/>
            <w:tcBorders>
              <w:top w:val="nil"/>
            </w:tcBorders>
            <w:vAlign w:val="top"/>
          </w:tcPr>
          <w:p w14:paraId="6D7281E4">
            <w:pPr>
              <w:rPr>
                <w:rFonts w:ascii="Arial"/>
                <w:sz w:val="21"/>
              </w:rPr>
            </w:pPr>
          </w:p>
        </w:tc>
        <w:tc>
          <w:tcPr>
            <w:tcW w:w="229" w:type="dxa"/>
            <w:vAlign w:val="top"/>
          </w:tcPr>
          <w:p w14:paraId="077F8446">
            <w:pPr>
              <w:pStyle w:val="6"/>
              <w:spacing w:before="150" w:line="184" w:lineRule="auto"/>
              <w:ind w:left="16"/>
            </w:pPr>
            <w:r>
              <w:t>A</w:t>
            </w:r>
          </w:p>
        </w:tc>
        <w:tc>
          <w:tcPr>
            <w:tcW w:w="229" w:type="dxa"/>
            <w:vAlign w:val="top"/>
          </w:tcPr>
          <w:p w14:paraId="17C70E71">
            <w:pPr>
              <w:pStyle w:val="6"/>
              <w:spacing w:before="152" w:line="182" w:lineRule="auto"/>
              <w:ind w:left="17"/>
            </w:pPr>
            <w:r>
              <w:t>B</w:t>
            </w:r>
          </w:p>
        </w:tc>
        <w:tc>
          <w:tcPr>
            <w:tcW w:w="239" w:type="dxa"/>
            <w:vAlign w:val="top"/>
          </w:tcPr>
          <w:p w14:paraId="755FA86C">
            <w:pPr>
              <w:pStyle w:val="6"/>
              <w:spacing w:before="151" w:line="183" w:lineRule="auto"/>
              <w:ind w:left="28"/>
            </w:pPr>
            <w:r>
              <w:t>C</w:t>
            </w:r>
          </w:p>
        </w:tc>
        <w:tc>
          <w:tcPr>
            <w:tcW w:w="234" w:type="dxa"/>
            <w:vAlign w:val="top"/>
          </w:tcPr>
          <w:p w14:paraId="691614A2">
            <w:pPr>
              <w:pStyle w:val="6"/>
              <w:spacing w:before="152" w:line="182" w:lineRule="auto"/>
              <w:jc w:val="right"/>
            </w:pPr>
            <w:r>
              <w:rPr>
                <w:spacing w:val="-4"/>
              </w:rPr>
              <w:t>D</w:t>
            </w:r>
          </w:p>
        </w:tc>
      </w:tr>
      <w:tr w14:paraId="692547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16" w:hRule="atLeast"/>
        </w:trPr>
        <w:tc>
          <w:tcPr>
            <w:tcW w:w="554" w:type="dxa"/>
            <w:vAlign w:val="top"/>
          </w:tcPr>
          <w:p w14:paraId="71F47D40">
            <w:pPr>
              <w:pStyle w:val="6"/>
              <w:spacing w:before="160" w:line="232" w:lineRule="auto"/>
              <w:ind w:left="94" w:right="116"/>
              <w:jc w:val="both"/>
            </w:pPr>
            <w:r>
              <w:rPr>
                <w:spacing w:val="-4"/>
              </w:rPr>
              <w:t>植物</w:t>
            </w:r>
            <w:r>
              <w:t xml:space="preserve"> </w:t>
            </w:r>
            <w:r>
              <w:rPr>
                <w:spacing w:val="-4"/>
              </w:rPr>
              <w:t>有害</w:t>
            </w:r>
            <w:r>
              <w:t xml:space="preserve"> </w:t>
            </w:r>
            <w:r>
              <w:rPr>
                <w:spacing w:val="-4"/>
              </w:rPr>
              <w:t>生物</w:t>
            </w:r>
            <w:r>
              <w:t xml:space="preserve"> </w:t>
            </w:r>
            <w:r>
              <w:rPr>
                <w:spacing w:val="-4"/>
              </w:rPr>
              <w:t>调查</w:t>
            </w:r>
          </w:p>
        </w:tc>
        <w:tc>
          <w:tcPr>
            <w:tcW w:w="2634" w:type="dxa"/>
            <w:vAlign w:val="top"/>
          </w:tcPr>
          <w:p w14:paraId="01B8AB31">
            <w:pPr>
              <w:pStyle w:val="6"/>
              <w:spacing w:before="269" w:line="219" w:lineRule="auto"/>
              <w:ind w:left="60"/>
            </w:pPr>
            <w:r>
              <w:t>1.植物有害生物调查的内容</w:t>
            </w:r>
          </w:p>
          <w:p w14:paraId="647CB38B">
            <w:pPr>
              <w:pStyle w:val="6"/>
              <w:spacing w:before="18" w:line="229" w:lineRule="auto"/>
              <w:ind w:left="60" w:right="191"/>
            </w:pPr>
            <w:r>
              <w:rPr>
                <w:spacing w:val="-1"/>
              </w:rPr>
              <w:t>2.植物有害生物调查的取样方法</w:t>
            </w:r>
            <w:r>
              <w:rPr>
                <w:spacing w:val="5"/>
              </w:rPr>
              <w:t xml:space="preserve"> </w:t>
            </w:r>
            <w:r>
              <w:rPr>
                <w:spacing w:val="-1"/>
              </w:rPr>
              <w:t>3.植物有害生物调查数据统计</w:t>
            </w:r>
          </w:p>
        </w:tc>
        <w:tc>
          <w:tcPr>
            <w:tcW w:w="229" w:type="dxa"/>
            <w:vAlign w:val="top"/>
          </w:tcPr>
          <w:p w14:paraId="758322F6">
            <w:pPr>
              <w:spacing w:line="304" w:lineRule="auto"/>
              <w:rPr>
                <w:rFonts w:ascii="Arial"/>
                <w:sz w:val="21"/>
              </w:rPr>
            </w:pPr>
          </w:p>
          <w:p w14:paraId="162C61DF">
            <w:pPr>
              <w:spacing w:line="309" w:lineRule="exact"/>
              <w:ind w:firstLine="38"/>
            </w:pPr>
            <w:r>
              <w:rPr>
                <w:position w:val="-6"/>
              </w:rPr>
              <w:drawing>
                <wp:inline distT="0" distB="0" distL="0" distR="0">
                  <wp:extent cx="91440" cy="195580"/>
                  <wp:effectExtent l="0" t="0" r="0" b="0"/>
                  <wp:docPr id="22" name="IM 22"/>
                  <wp:cNvGraphicFramePr/>
                  <a:graphic xmlns:a="http://schemas.openxmlformats.org/drawingml/2006/main">
                    <a:graphicData uri="http://schemas.openxmlformats.org/drawingml/2006/picture">
                      <pic:pic xmlns:pic="http://schemas.openxmlformats.org/drawingml/2006/picture">
                        <pic:nvPicPr>
                          <pic:cNvPr id="22" name="IM 22"/>
                          <pic:cNvPicPr/>
                        </pic:nvPicPr>
                        <pic:blipFill>
                          <a:blip r:embed="rId176"/>
                          <a:stretch>
                            <a:fillRect/>
                          </a:stretch>
                        </pic:blipFill>
                        <pic:spPr>
                          <a:xfrm>
                            <a:off x="0" y="0"/>
                            <a:ext cx="91445" cy="195714"/>
                          </a:xfrm>
                          <a:prstGeom prst="rect">
                            <a:avLst/>
                          </a:prstGeom>
                        </pic:spPr>
                      </pic:pic>
                    </a:graphicData>
                  </a:graphic>
                </wp:inline>
              </w:drawing>
            </w:r>
          </w:p>
        </w:tc>
        <w:tc>
          <w:tcPr>
            <w:tcW w:w="229" w:type="dxa"/>
            <w:vAlign w:val="top"/>
          </w:tcPr>
          <w:p w14:paraId="69A3AE90">
            <w:pPr>
              <w:rPr>
                <w:rFonts w:ascii="Arial"/>
                <w:sz w:val="21"/>
              </w:rPr>
            </w:pPr>
          </w:p>
        </w:tc>
        <w:tc>
          <w:tcPr>
            <w:tcW w:w="239" w:type="dxa"/>
            <w:vAlign w:val="top"/>
          </w:tcPr>
          <w:p w14:paraId="56FCBAAD">
            <w:pPr>
              <w:rPr>
                <w:rFonts w:ascii="Arial"/>
                <w:sz w:val="21"/>
              </w:rPr>
            </w:pPr>
          </w:p>
        </w:tc>
        <w:tc>
          <w:tcPr>
            <w:tcW w:w="234" w:type="dxa"/>
            <w:vAlign w:val="top"/>
          </w:tcPr>
          <w:p w14:paraId="6FA13886">
            <w:pPr>
              <w:rPr>
                <w:rFonts w:ascii="Arial"/>
                <w:sz w:val="21"/>
              </w:rPr>
            </w:pPr>
          </w:p>
        </w:tc>
      </w:tr>
      <w:tr w14:paraId="1D087B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61" w:hRule="atLeast"/>
        </w:trPr>
        <w:tc>
          <w:tcPr>
            <w:tcW w:w="554" w:type="dxa"/>
            <w:vAlign w:val="top"/>
          </w:tcPr>
          <w:p w14:paraId="46C94716">
            <w:pPr>
              <w:pStyle w:val="6"/>
              <w:spacing w:before="110" w:line="236" w:lineRule="auto"/>
              <w:ind w:left="94" w:right="94"/>
              <w:jc w:val="both"/>
            </w:pPr>
            <w:r>
              <w:rPr>
                <w:spacing w:val="-4"/>
              </w:rPr>
              <w:t>植物</w:t>
            </w:r>
            <w:r>
              <w:t xml:space="preserve"> </w:t>
            </w:r>
            <w:r>
              <w:rPr>
                <w:spacing w:val="-4"/>
              </w:rPr>
              <w:t>有害</w:t>
            </w:r>
            <w:r>
              <w:t xml:space="preserve"> </w:t>
            </w:r>
            <w:r>
              <w:rPr>
                <w:spacing w:val="-4"/>
              </w:rPr>
              <w:t>生物</w:t>
            </w:r>
            <w:r>
              <w:t xml:space="preserve"> </w:t>
            </w:r>
            <w:r>
              <w:rPr>
                <w:spacing w:val="-5"/>
              </w:rPr>
              <w:t>综合</w:t>
            </w:r>
            <w:r>
              <w:t xml:space="preserve"> </w:t>
            </w:r>
            <w:r>
              <w:rPr>
                <w:spacing w:val="7"/>
              </w:rPr>
              <w:t>防治</w:t>
            </w:r>
            <w:r>
              <w:t xml:space="preserve"> </w:t>
            </w:r>
            <w:r>
              <w:rPr>
                <w:spacing w:val="-2"/>
              </w:rPr>
              <w:t>技术</w:t>
            </w:r>
          </w:p>
        </w:tc>
        <w:tc>
          <w:tcPr>
            <w:tcW w:w="2634" w:type="dxa"/>
            <w:vAlign w:val="top"/>
          </w:tcPr>
          <w:p w14:paraId="0F98D751">
            <w:pPr>
              <w:spacing w:line="247" w:lineRule="auto"/>
              <w:rPr>
                <w:rFonts w:ascii="Arial"/>
                <w:sz w:val="21"/>
              </w:rPr>
            </w:pPr>
          </w:p>
          <w:p w14:paraId="5B67BD25">
            <w:pPr>
              <w:spacing w:line="247" w:lineRule="auto"/>
              <w:rPr>
                <w:rFonts w:ascii="Arial"/>
                <w:sz w:val="21"/>
              </w:rPr>
            </w:pPr>
          </w:p>
          <w:p w14:paraId="3B953B77">
            <w:pPr>
              <w:pStyle w:val="6"/>
              <w:spacing w:before="55" w:line="229" w:lineRule="auto"/>
              <w:ind w:left="60" w:right="155" w:firstLine="19"/>
            </w:pPr>
            <w:r>
              <w:t>1.植物有害生物综合防治的概念</w:t>
            </w:r>
            <w:r>
              <w:rPr>
                <w:spacing w:val="6"/>
              </w:rPr>
              <w:t xml:space="preserve"> </w:t>
            </w:r>
            <w:r>
              <w:rPr>
                <w:spacing w:val="-1"/>
              </w:rPr>
              <w:t>2.植物有害生物综合防治技术</w:t>
            </w:r>
          </w:p>
        </w:tc>
        <w:tc>
          <w:tcPr>
            <w:tcW w:w="229" w:type="dxa"/>
            <w:vAlign w:val="top"/>
          </w:tcPr>
          <w:p w14:paraId="0EB27C25">
            <w:pPr>
              <w:rPr>
                <w:rFonts w:ascii="Arial"/>
                <w:sz w:val="21"/>
              </w:rPr>
            </w:pPr>
          </w:p>
        </w:tc>
        <w:tc>
          <w:tcPr>
            <w:tcW w:w="229" w:type="dxa"/>
            <w:vAlign w:val="top"/>
          </w:tcPr>
          <w:p w14:paraId="7B0FC070">
            <w:pPr>
              <w:rPr>
                <w:rFonts w:ascii="Arial"/>
                <w:sz w:val="21"/>
              </w:rPr>
            </w:pPr>
          </w:p>
        </w:tc>
        <w:tc>
          <w:tcPr>
            <w:tcW w:w="239" w:type="dxa"/>
            <w:vAlign w:val="top"/>
          </w:tcPr>
          <w:p w14:paraId="4DB5F077">
            <w:pPr>
              <w:rPr>
                <w:rFonts w:ascii="Arial"/>
                <w:sz w:val="21"/>
              </w:rPr>
            </w:pPr>
          </w:p>
        </w:tc>
        <w:tc>
          <w:tcPr>
            <w:tcW w:w="234" w:type="dxa"/>
            <w:vAlign w:val="top"/>
          </w:tcPr>
          <w:p w14:paraId="0E03246E">
            <w:pPr>
              <w:spacing w:line="359" w:lineRule="auto"/>
              <w:rPr>
                <w:rFonts w:ascii="Arial"/>
                <w:sz w:val="21"/>
              </w:rPr>
            </w:pPr>
          </w:p>
          <w:p w14:paraId="1E6080B3">
            <w:pPr>
              <w:spacing w:line="360" w:lineRule="auto"/>
              <w:rPr>
                <w:rFonts w:ascii="Arial"/>
                <w:sz w:val="21"/>
              </w:rPr>
            </w:pPr>
          </w:p>
          <w:p w14:paraId="28D0E404">
            <w:pPr>
              <w:pStyle w:val="6"/>
              <w:spacing w:before="39" w:line="238" w:lineRule="auto"/>
              <w:ind w:left="19"/>
              <w:rPr>
                <w:sz w:val="12"/>
                <w:szCs w:val="12"/>
              </w:rPr>
            </w:pPr>
            <w:r>
              <w:rPr>
                <w:sz w:val="12"/>
                <w:szCs w:val="12"/>
              </w:rPr>
              <w:t>√</w:t>
            </w:r>
          </w:p>
        </w:tc>
      </w:tr>
    </w:tbl>
    <w:p w14:paraId="0B7EDA2D">
      <w:pPr>
        <w:pStyle w:val="2"/>
        <w:spacing w:line="40" w:lineRule="exact"/>
        <w:rPr>
          <w:sz w:val="3"/>
        </w:rPr>
      </w:pPr>
    </w:p>
    <w:p w14:paraId="59D8A652">
      <w:pPr>
        <w:spacing w:line="40" w:lineRule="exact"/>
        <w:rPr>
          <w:sz w:val="3"/>
          <w:szCs w:val="3"/>
        </w:rPr>
        <w:sectPr>
          <w:type w:val="continuous"/>
          <w:pgSz w:w="10660" w:h="15080"/>
          <w:pgMar w:top="400" w:right="1034" w:bottom="908" w:left="819" w:header="0" w:footer="713" w:gutter="0"/>
          <w:cols w:equalWidth="0" w:num="2">
            <w:col w:w="4576" w:space="100"/>
            <w:col w:w="4130"/>
          </w:cols>
        </w:sectPr>
      </w:pPr>
    </w:p>
    <w:p w14:paraId="008CA9F2">
      <w:pPr>
        <w:spacing w:before="80"/>
      </w:pPr>
    </w:p>
    <w:p w14:paraId="592A9BE8">
      <w:pPr>
        <w:spacing w:before="79"/>
      </w:pPr>
    </w:p>
    <w:p w14:paraId="18E90491">
      <w:pPr>
        <w:spacing w:before="79"/>
      </w:pPr>
    </w:p>
    <w:p w14:paraId="64B38E48">
      <w:pPr>
        <w:sectPr>
          <w:footerReference r:id="rId15" w:type="default"/>
          <w:pgSz w:w="10660" w:h="15080"/>
          <w:pgMar w:top="400" w:right="871" w:bottom="927" w:left="1034" w:header="0" w:footer="719" w:gutter="0"/>
          <w:cols w:equalWidth="0" w:num="1">
            <w:col w:w="8754"/>
          </w:cols>
        </w:sectPr>
      </w:pPr>
    </w:p>
    <w:p w14:paraId="1FBEF980">
      <w:pPr>
        <w:spacing w:before="42" w:line="222" w:lineRule="auto"/>
        <w:ind w:left="1377"/>
        <w:rPr>
          <w:rFonts w:ascii="黑体" w:hAnsi="黑体" w:eastAsia="黑体" w:cs="黑体"/>
          <w:sz w:val="20"/>
          <w:szCs w:val="20"/>
        </w:rPr>
      </w:pPr>
      <w:bookmarkStart w:id="28" w:name="bookmark28"/>
      <w:bookmarkEnd w:id="28"/>
      <w:r>
        <w:rPr>
          <w:rFonts w:ascii="黑体" w:hAnsi="黑体" w:eastAsia="黑体" w:cs="黑体"/>
          <w:b/>
          <w:bCs/>
          <w:spacing w:val="-4"/>
          <w:sz w:val="20"/>
          <w:szCs w:val="20"/>
        </w:rPr>
        <w:t>四、农药的应用</w:t>
      </w:r>
    </w:p>
    <w:p w14:paraId="344E1965">
      <w:pPr>
        <w:spacing w:line="159" w:lineRule="exact"/>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54"/>
        <w:gridCol w:w="2644"/>
        <w:gridCol w:w="229"/>
        <w:gridCol w:w="229"/>
        <w:gridCol w:w="229"/>
        <w:gridCol w:w="234"/>
      </w:tblGrid>
      <w:tr w14:paraId="0F008D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4" w:hRule="atLeast"/>
        </w:trPr>
        <w:tc>
          <w:tcPr>
            <w:tcW w:w="554" w:type="dxa"/>
            <w:vMerge w:val="restart"/>
            <w:tcBorders>
              <w:bottom w:val="nil"/>
            </w:tcBorders>
            <w:shd w:val="clear" w:color="auto" w:fill="231F20"/>
            <w:vAlign w:val="top"/>
          </w:tcPr>
          <w:p w14:paraId="47184E1F">
            <w:pPr>
              <w:pStyle w:val="6"/>
              <w:spacing w:before="70" w:line="234" w:lineRule="auto"/>
              <w:ind w:left="17" w:right="26" w:firstLine="79"/>
            </w:pPr>
            <w:r>
              <w:rPr>
                <w:b/>
                <w:bCs/>
                <w:color w:val="FFFFFF"/>
                <w:spacing w:val="-7"/>
              </w:rPr>
              <w:t>知识</w:t>
            </w:r>
            <w:r>
              <w:rPr>
                <w:color w:val="FFFFFF"/>
              </w:rPr>
              <w:t xml:space="preserve">  </w:t>
            </w:r>
            <w:r>
              <w:rPr>
                <w:b/>
                <w:bCs/>
                <w:color w:val="FFFFFF"/>
                <w:spacing w:val="-6"/>
              </w:rPr>
              <w:t>与技能</w:t>
            </w:r>
            <w:r>
              <w:rPr>
                <w:color w:val="FFFFFF"/>
                <w:spacing w:val="1"/>
              </w:rPr>
              <w:t xml:space="preserve"> </w:t>
            </w:r>
            <w:r>
              <w:rPr>
                <w:b/>
                <w:bCs/>
                <w:color w:val="FFFFFF"/>
                <w:spacing w:val="34"/>
              </w:rPr>
              <w:t>要点</w:t>
            </w:r>
          </w:p>
        </w:tc>
        <w:tc>
          <w:tcPr>
            <w:tcW w:w="2644" w:type="dxa"/>
            <w:vMerge w:val="restart"/>
            <w:tcBorders>
              <w:bottom w:val="nil"/>
            </w:tcBorders>
            <w:vAlign w:val="top"/>
          </w:tcPr>
          <w:p w14:paraId="14485980">
            <w:pPr>
              <w:spacing w:line="252" w:lineRule="auto"/>
              <w:rPr>
                <w:rFonts w:ascii="Arial"/>
                <w:sz w:val="21"/>
              </w:rPr>
            </w:pPr>
          </w:p>
          <w:p w14:paraId="1372866B">
            <w:pPr>
              <w:pStyle w:val="6"/>
              <w:spacing w:before="56" w:line="219" w:lineRule="auto"/>
              <w:ind w:left="1003"/>
            </w:pPr>
            <w:r>
              <w:rPr>
                <w:b/>
                <w:bCs/>
                <w:spacing w:val="5"/>
              </w:rPr>
              <w:t>考试条目</w:t>
            </w:r>
          </w:p>
        </w:tc>
        <w:tc>
          <w:tcPr>
            <w:tcW w:w="921" w:type="dxa"/>
            <w:gridSpan w:val="4"/>
            <w:vAlign w:val="top"/>
          </w:tcPr>
          <w:p w14:paraId="6B26607B">
            <w:pPr>
              <w:pStyle w:val="6"/>
              <w:spacing w:before="109" w:line="219" w:lineRule="auto"/>
              <w:ind w:left="109"/>
            </w:pPr>
            <w:r>
              <w:rPr>
                <w:b/>
                <w:bCs/>
                <w:spacing w:val="-4"/>
              </w:rPr>
              <w:t>考试水平</w:t>
            </w:r>
          </w:p>
        </w:tc>
      </w:tr>
      <w:tr w14:paraId="37ABD6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9" w:hRule="atLeast"/>
        </w:trPr>
        <w:tc>
          <w:tcPr>
            <w:tcW w:w="554" w:type="dxa"/>
            <w:vMerge w:val="continue"/>
            <w:tcBorders>
              <w:top w:val="nil"/>
            </w:tcBorders>
            <w:vAlign w:val="top"/>
          </w:tcPr>
          <w:p w14:paraId="02EEEB47">
            <w:pPr>
              <w:rPr>
                <w:rFonts w:ascii="Arial"/>
                <w:sz w:val="21"/>
              </w:rPr>
            </w:pPr>
          </w:p>
        </w:tc>
        <w:tc>
          <w:tcPr>
            <w:tcW w:w="2644" w:type="dxa"/>
            <w:vMerge w:val="continue"/>
            <w:tcBorders>
              <w:top w:val="nil"/>
            </w:tcBorders>
            <w:vAlign w:val="top"/>
          </w:tcPr>
          <w:p w14:paraId="2BB24A96">
            <w:pPr>
              <w:rPr>
                <w:rFonts w:ascii="Arial"/>
                <w:sz w:val="21"/>
              </w:rPr>
            </w:pPr>
          </w:p>
        </w:tc>
        <w:tc>
          <w:tcPr>
            <w:tcW w:w="229" w:type="dxa"/>
            <w:vAlign w:val="top"/>
          </w:tcPr>
          <w:p w14:paraId="773740E1">
            <w:pPr>
              <w:pStyle w:val="6"/>
              <w:spacing w:before="150" w:line="184" w:lineRule="auto"/>
              <w:ind w:left="16"/>
            </w:pPr>
            <w:r>
              <w:t>A</w:t>
            </w:r>
          </w:p>
        </w:tc>
        <w:tc>
          <w:tcPr>
            <w:tcW w:w="229" w:type="dxa"/>
            <w:vAlign w:val="top"/>
          </w:tcPr>
          <w:p w14:paraId="2244CD27">
            <w:pPr>
              <w:pStyle w:val="6"/>
              <w:spacing w:before="152" w:line="182" w:lineRule="auto"/>
              <w:ind w:left="18"/>
            </w:pPr>
            <w:r>
              <w:t>B</w:t>
            </w:r>
          </w:p>
        </w:tc>
        <w:tc>
          <w:tcPr>
            <w:tcW w:w="229" w:type="dxa"/>
            <w:vAlign w:val="top"/>
          </w:tcPr>
          <w:p w14:paraId="2FCF1F48">
            <w:pPr>
              <w:pStyle w:val="6"/>
              <w:spacing w:before="151" w:line="183" w:lineRule="auto"/>
              <w:ind w:left="19"/>
            </w:pPr>
            <w:r>
              <w:t>C</w:t>
            </w:r>
          </w:p>
        </w:tc>
        <w:tc>
          <w:tcPr>
            <w:tcW w:w="234" w:type="dxa"/>
            <w:vAlign w:val="top"/>
          </w:tcPr>
          <w:p w14:paraId="65F031BD">
            <w:pPr>
              <w:pStyle w:val="6"/>
              <w:spacing w:before="152" w:line="182" w:lineRule="auto"/>
              <w:ind w:left="19"/>
            </w:pPr>
            <w:r>
              <w:t>D</w:t>
            </w:r>
          </w:p>
        </w:tc>
      </w:tr>
      <w:tr w14:paraId="577DA9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37" w:hRule="atLeast"/>
        </w:trPr>
        <w:tc>
          <w:tcPr>
            <w:tcW w:w="554" w:type="dxa"/>
            <w:vAlign w:val="top"/>
          </w:tcPr>
          <w:p w14:paraId="7B755908">
            <w:pPr>
              <w:pStyle w:val="6"/>
              <w:spacing w:before="99" w:line="220" w:lineRule="auto"/>
              <w:ind w:left="94"/>
            </w:pPr>
            <w:r>
              <w:rPr>
                <w:spacing w:val="-2"/>
              </w:rPr>
              <w:t>农药</w:t>
            </w:r>
          </w:p>
          <w:p w14:paraId="5ABF9BD2">
            <w:pPr>
              <w:pStyle w:val="6"/>
              <w:spacing w:before="29" w:line="222" w:lineRule="auto"/>
              <w:ind w:left="94"/>
            </w:pPr>
            <w:r>
              <w:rPr>
                <w:spacing w:val="3"/>
              </w:rPr>
              <w:t>的基</w:t>
            </w:r>
          </w:p>
          <w:p w14:paraId="79A68179">
            <w:pPr>
              <w:pStyle w:val="6"/>
              <w:spacing w:before="1" w:line="219" w:lineRule="auto"/>
              <w:ind w:left="94"/>
            </w:pPr>
            <w:r>
              <w:rPr>
                <w:spacing w:val="6"/>
              </w:rPr>
              <w:t>本知</w:t>
            </w:r>
          </w:p>
          <w:p w14:paraId="74DE762A">
            <w:pPr>
              <w:pStyle w:val="6"/>
              <w:spacing w:before="22" w:line="224" w:lineRule="auto"/>
              <w:ind w:left="184"/>
            </w:pPr>
            <w:r>
              <w:t>识</w:t>
            </w:r>
          </w:p>
        </w:tc>
        <w:tc>
          <w:tcPr>
            <w:tcW w:w="2644" w:type="dxa"/>
            <w:vAlign w:val="top"/>
          </w:tcPr>
          <w:p w14:paraId="0F62FB0F">
            <w:pPr>
              <w:spacing w:line="270" w:lineRule="auto"/>
              <w:rPr>
                <w:rFonts w:ascii="Arial"/>
                <w:sz w:val="21"/>
              </w:rPr>
            </w:pPr>
          </w:p>
          <w:p w14:paraId="2D9B101C">
            <w:pPr>
              <w:pStyle w:val="6"/>
              <w:spacing w:before="56" w:line="247" w:lineRule="auto"/>
              <w:ind w:left="71" w:right="1025"/>
            </w:pPr>
            <w:r>
              <w:t>1.农药的概念和分类</w:t>
            </w:r>
            <w:r>
              <w:rPr>
                <w:spacing w:val="6"/>
              </w:rPr>
              <w:t xml:space="preserve"> </w:t>
            </w:r>
            <w:r>
              <w:rPr>
                <w:spacing w:val="-2"/>
              </w:rPr>
              <w:t>2.农药的剂型</w:t>
            </w:r>
          </w:p>
        </w:tc>
        <w:tc>
          <w:tcPr>
            <w:tcW w:w="229" w:type="dxa"/>
            <w:vAlign w:val="top"/>
          </w:tcPr>
          <w:p w14:paraId="73E04303">
            <w:pPr>
              <w:spacing w:line="374" w:lineRule="auto"/>
              <w:rPr>
                <w:rFonts w:ascii="Arial"/>
                <w:sz w:val="21"/>
              </w:rPr>
            </w:pPr>
          </w:p>
          <w:p w14:paraId="3009B963">
            <w:pPr>
              <w:spacing w:line="307" w:lineRule="exact"/>
              <w:ind w:firstLine="40"/>
            </w:pPr>
            <w:r>
              <w:rPr>
                <w:position w:val="-6"/>
              </w:rPr>
              <w:drawing>
                <wp:inline distT="0" distB="0" distL="0" distR="0">
                  <wp:extent cx="94615" cy="194945"/>
                  <wp:effectExtent l="0" t="0" r="0" b="0"/>
                  <wp:docPr id="24" name="IM 24"/>
                  <wp:cNvGraphicFramePr/>
                  <a:graphic xmlns:a="http://schemas.openxmlformats.org/drawingml/2006/main">
                    <a:graphicData uri="http://schemas.openxmlformats.org/drawingml/2006/picture">
                      <pic:pic xmlns:pic="http://schemas.openxmlformats.org/drawingml/2006/picture">
                        <pic:nvPicPr>
                          <pic:cNvPr id="24" name="IM 24"/>
                          <pic:cNvPicPr/>
                        </pic:nvPicPr>
                        <pic:blipFill>
                          <a:blip r:embed="rId177"/>
                          <a:stretch>
                            <a:fillRect/>
                          </a:stretch>
                        </pic:blipFill>
                        <pic:spPr>
                          <a:xfrm>
                            <a:off x="0" y="0"/>
                            <a:ext cx="95241" cy="195405"/>
                          </a:xfrm>
                          <a:prstGeom prst="rect">
                            <a:avLst/>
                          </a:prstGeom>
                        </pic:spPr>
                      </pic:pic>
                    </a:graphicData>
                  </a:graphic>
                </wp:inline>
              </w:drawing>
            </w:r>
          </w:p>
        </w:tc>
        <w:tc>
          <w:tcPr>
            <w:tcW w:w="229" w:type="dxa"/>
            <w:vAlign w:val="top"/>
          </w:tcPr>
          <w:p w14:paraId="0961FB09">
            <w:pPr>
              <w:rPr>
                <w:rFonts w:ascii="Arial"/>
                <w:sz w:val="21"/>
              </w:rPr>
            </w:pPr>
          </w:p>
        </w:tc>
        <w:tc>
          <w:tcPr>
            <w:tcW w:w="229" w:type="dxa"/>
            <w:vAlign w:val="top"/>
          </w:tcPr>
          <w:p w14:paraId="2B900E3E">
            <w:pPr>
              <w:rPr>
                <w:rFonts w:ascii="Arial"/>
                <w:sz w:val="21"/>
              </w:rPr>
            </w:pPr>
          </w:p>
        </w:tc>
        <w:tc>
          <w:tcPr>
            <w:tcW w:w="234" w:type="dxa"/>
            <w:vAlign w:val="top"/>
          </w:tcPr>
          <w:p w14:paraId="47753CC2">
            <w:pPr>
              <w:rPr>
                <w:rFonts w:ascii="Arial"/>
                <w:sz w:val="21"/>
              </w:rPr>
            </w:pPr>
          </w:p>
        </w:tc>
      </w:tr>
      <w:tr w14:paraId="373821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17" w:hRule="atLeast"/>
        </w:trPr>
        <w:tc>
          <w:tcPr>
            <w:tcW w:w="554" w:type="dxa"/>
            <w:vAlign w:val="top"/>
          </w:tcPr>
          <w:p w14:paraId="76365D87">
            <w:pPr>
              <w:pStyle w:val="6"/>
              <w:spacing w:before="162" w:line="220" w:lineRule="auto"/>
              <w:ind w:left="94"/>
            </w:pPr>
            <w:r>
              <w:rPr>
                <w:spacing w:val="-2"/>
              </w:rPr>
              <w:t>农药</w:t>
            </w:r>
          </w:p>
          <w:p w14:paraId="2B597D53">
            <w:pPr>
              <w:pStyle w:val="6"/>
              <w:spacing w:before="6" w:line="219" w:lineRule="auto"/>
              <w:ind w:left="94"/>
            </w:pPr>
            <w:r>
              <w:rPr>
                <w:spacing w:val="4"/>
              </w:rPr>
              <w:t>的使</w:t>
            </w:r>
          </w:p>
          <w:p w14:paraId="71A52B49">
            <w:pPr>
              <w:pStyle w:val="6"/>
              <w:spacing w:before="39" w:line="211" w:lineRule="auto"/>
              <w:ind w:left="94"/>
            </w:pPr>
            <w:r>
              <w:rPr>
                <w:spacing w:val="-2"/>
              </w:rPr>
              <w:t>用方</w:t>
            </w:r>
          </w:p>
          <w:p w14:paraId="7DE1686C">
            <w:pPr>
              <w:pStyle w:val="6"/>
              <w:spacing w:line="225" w:lineRule="auto"/>
              <w:ind w:left="184"/>
            </w:pPr>
            <w:r>
              <w:t>法</w:t>
            </w:r>
          </w:p>
        </w:tc>
        <w:tc>
          <w:tcPr>
            <w:tcW w:w="2644" w:type="dxa"/>
            <w:vAlign w:val="top"/>
          </w:tcPr>
          <w:p w14:paraId="473BA6BF">
            <w:pPr>
              <w:spacing w:line="315" w:lineRule="auto"/>
              <w:rPr>
                <w:rFonts w:ascii="Arial"/>
                <w:sz w:val="21"/>
              </w:rPr>
            </w:pPr>
          </w:p>
          <w:p w14:paraId="0E5616B0">
            <w:pPr>
              <w:pStyle w:val="6"/>
              <w:spacing w:before="55" w:line="220" w:lineRule="auto"/>
              <w:ind w:left="71"/>
            </w:pPr>
            <w:r>
              <w:t>1.农药的施用方法</w:t>
            </w:r>
          </w:p>
          <w:p w14:paraId="09FB0F76">
            <w:pPr>
              <w:pStyle w:val="6"/>
              <w:spacing w:before="26" w:line="219" w:lineRule="auto"/>
              <w:ind w:left="71"/>
            </w:pPr>
            <w:r>
              <w:rPr>
                <w:spacing w:val="-1"/>
              </w:rPr>
              <w:t>2.农药的稀释和计算</w:t>
            </w:r>
          </w:p>
        </w:tc>
        <w:tc>
          <w:tcPr>
            <w:tcW w:w="229" w:type="dxa"/>
            <w:vAlign w:val="top"/>
          </w:tcPr>
          <w:p w14:paraId="217B74F3">
            <w:pPr>
              <w:rPr>
                <w:rFonts w:ascii="Arial"/>
                <w:sz w:val="21"/>
              </w:rPr>
            </w:pPr>
          </w:p>
        </w:tc>
        <w:tc>
          <w:tcPr>
            <w:tcW w:w="229" w:type="dxa"/>
            <w:vAlign w:val="top"/>
          </w:tcPr>
          <w:p w14:paraId="65619EAE">
            <w:pPr>
              <w:rPr>
                <w:rFonts w:ascii="Arial"/>
                <w:sz w:val="21"/>
              </w:rPr>
            </w:pPr>
          </w:p>
        </w:tc>
        <w:tc>
          <w:tcPr>
            <w:tcW w:w="229" w:type="dxa"/>
            <w:vAlign w:val="top"/>
          </w:tcPr>
          <w:p w14:paraId="56F3EA7E">
            <w:pPr>
              <w:rPr>
                <w:rFonts w:ascii="Arial"/>
                <w:sz w:val="21"/>
              </w:rPr>
            </w:pPr>
          </w:p>
        </w:tc>
        <w:tc>
          <w:tcPr>
            <w:tcW w:w="234" w:type="dxa"/>
            <w:vAlign w:val="top"/>
          </w:tcPr>
          <w:p w14:paraId="7863B5BC">
            <w:pPr>
              <w:rPr>
                <w:rFonts w:ascii="Arial"/>
                <w:sz w:val="21"/>
              </w:rPr>
            </w:pPr>
          </w:p>
        </w:tc>
      </w:tr>
      <w:tr w14:paraId="6950A4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22" w:hRule="atLeast"/>
        </w:trPr>
        <w:tc>
          <w:tcPr>
            <w:tcW w:w="554" w:type="dxa"/>
            <w:vAlign w:val="top"/>
          </w:tcPr>
          <w:p w14:paraId="5F1BE04C">
            <w:pPr>
              <w:pStyle w:val="6"/>
              <w:spacing w:before="105" w:line="220" w:lineRule="auto"/>
              <w:ind w:left="94"/>
            </w:pPr>
            <w:r>
              <w:rPr>
                <w:spacing w:val="-2"/>
              </w:rPr>
              <w:t>农药</w:t>
            </w:r>
          </w:p>
          <w:p w14:paraId="3AF67A70">
            <w:pPr>
              <w:pStyle w:val="6"/>
              <w:spacing w:before="9" w:line="222" w:lineRule="auto"/>
              <w:ind w:left="94"/>
            </w:pPr>
            <w:r>
              <w:rPr>
                <w:spacing w:val="3"/>
              </w:rPr>
              <w:t>的合</w:t>
            </w:r>
          </w:p>
          <w:p w14:paraId="5BA00C4C">
            <w:pPr>
              <w:pStyle w:val="6"/>
              <w:spacing w:before="23" w:line="221" w:lineRule="auto"/>
              <w:ind w:left="94"/>
            </w:pPr>
            <w:r>
              <w:rPr>
                <w:spacing w:val="-3"/>
              </w:rPr>
              <w:t>理安</w:t>
            </w:r>
          </w:p>
          <w:p w14:paraId="3068A87C">
            <w:pPr>
              <w:pStyle w:val="6"/>
              <w:spacing w:before="25" w:line="208" w:lineRule="auto"/>
              <w:ind w:left="94"/>
            </w:pPr>
            <w:r>
              <w:rPr>
                <w:spacing w:val="-2"/>
              </w:rPr>
              <w:t>全使</w:t>
            </w:r>
          </w:p>
          <w:p w14:paraId="2700FEDC">
            <w:pPr>
              <w:pStyle w:val="6"/>
              <w:spacing w:line="220" w:lineRule="auto"/>
              <w:ind w:left="184"/>
            </w:pPr>
            <w:r>
              <w:t>用</w:t>
            </w:r>
          </w:p>
        </w:tc>
        <w:tc>
          <w:tcPr>
            <w:tcW w:w="2644" w:type="dxa"/>
            <w:vAlign w:val="top"/>
          </w:tcPr>
          <w:p w14:paraId="7FF706CD">
            <w:pPr>
              <w:spacing w:line="278" w:lineRule="auto"/>
              <w:rPr>
                <w:rFonts w:ascii="Arial"/>
                <w:sz w:val="21"/>
              </w:rPr>
            </w:pPr>
          </w:p>
          <w:p w14:paraId="1D6CD706">
            <w:pPr>
              <w:pStyle w:val="6"/>
              <w:spacing w:before="55" w:line="219" w:lineRule="auto"/>
              <w:ind w:left="71"/>
            </w:pPr>
            <w:r>
              <w:rPr>
                <w:spacing w:val="2"/>
              </w:rPr>
              <w:t>1.农药的合理使用</w:t>
            </w:r>
          </w:p>
          <w:p w14:paraId="66BEBEE8">
            <w:pPr>
              <w:pStyle w:val="6"/>
              <w:spacing w:before="8" w:line="247" w:lineRule="auto"/>
              <w:ind w:left="71" w:right="191"/>
            </w:pPr>
            <w:r>
              <w:rPr>
                <w:spacing w:val="-1"/>
              </w:rPr>
              <w:t>2.农药的毒性及其对环境的污染</w:t>
            </w:r>
            <w:r>
              <w:rPr>
                <w:spacing w:val="5"/>
              </w:rPr>
              <w:t xml:space="preserve"> </w:t>
            </w:r>
            <w:r>
              <w:rPr>
                <w:spacing w:val="2"/>
              </w:rPr>
              <w:t>3.农药的安全使用</w:t>
            </w:r>
          </w:p>
        </w:tc>
        <w:tc>
          <w:tcPr>
            <w:tcW w:w="229" w:type="dxa"/>
            <w:vAlign w:val="top"/>
          </w:tcPr>
          <w:p w14:paraId="62F5F82B">
            <w:pPr>
              <w:rPr>
                <w:rFonts w:ascii="Arial"/>
                <w:sz w:val="21"/>
              </w:rPr>
            </w:pPr>
          </w:p>
        </w:tc>
        <w:tc>
          <w:tcPr>
            <w:tcW w:w="229" w:type="dxa"/>
            <w:vAlign w:val="top"/>
          </w:tcPr>
          <w:p w14:paraId="302BACC6">
            <w:pPr>
              <w:spacing w:line="295" w:lineRule="auto"/>
              <w:rPr>
                <w:rFonts w:ascii="Arial"/>
                <w:sz w:val="21"/>
              </w:rPr>
            </w:pPr>
          </w:p>
          <w:p w14:paraId="03395007">
            <w:pPr>
              <w:spacing w:line="295" w:lineRule="auto"/>
              <w:rPr>
                <w:rFonts w:ascii="Arial"/>
                <w:sz w:val="21"/>
              </w:rPr>
            </w:pPr>
          </w:p>
          <w:p w14:paraId="40B8C59F">
            <w:pPr>
              <w:pStyle w:val="6"/>
              <w:spacing w:before="42" w:line="238" w:lineRule="auto"/>
              <w:ind w:left="18"/>
              <w:rPr>
                <w:sz w:val="13"/>
                <w:szCs w:val="13"/>
              </w:rPr>
            </w:pPr>
            <w:r>
              <w:rPr>
                <w:sz w:val="13"/>
                <w:szCs w:val="13"/>
              </w:rPr>
              <w:t>√</w:t>
            </w:r>
          </w:p>
        </w:tc>
        <w:tc>
          <w:tcPr>
            <w:tcW w:w="229" w:type="dxa"/>
            <w:vAlign w:val="top"/>
          </w:tcPr>
          <w:p w14:paraId="05342F3D">
            <w:pPr>
              <w:rPr>
                <w:rFonts w:ascii="Arial"/>
                <w:sz w:val="21"/>
              </w:rPr>
            </w:pPr>
          </w:p>
        </w:tc>
        <w:tc>
          <w:tcPr>
            <w:tcW w:w="234" w:type="dxa"/>
            <w:vAlign w:val="top"/>
          </w:tcPr>
          <w:p w14:paraId="0D98165B">
            <w:pPr>
              <w:rPr>
                <w:rFonts w:ascii="Arial"/>
                <w:sz w:val="21"/>
              </w:rPr>
            </w:pPr>
          </w:p>
        </w:tc>
      </w:tr>
    </w:tbl>
    <w:p w14:paraId="486680ED">
      <w:pPr>
        <w:spacing w:before="128" w:line="221" w:lineRule="auto"/>
        <w:ind w:left="1277"/>
        <w:rPr>
          <w:rFonts w:ascii="黑体" w:hAnsi="黑体" w:eastAsia="黑体" w:cs="黑体"/>
          <w:sz w:val="20"/>
          <w:szCs w:val="20"/>
        </w:rPr>
      </w:pPr>
      <w:r>
        <w:rPr>
          <w:rFonts w:ascii="黑体" w:hAnsi="黑体" w:eastAsia="黑体" w:cs="黑体"/>
          <w:b/>
          <w:bCs/>
          <w:spacing w:val="-7"/>
          <w:sz w:val="20"/>
          <w:szCs w:val="20"/>
        </w:rPr>
        <w:t>五、农田杂草防除</w:t>
      </w:r>
    </w:p>
    <w:p w14:paraId="2B852CD7">
      <w:pPr>
        <w:spacing w:line="162" w:lineRule="exact"/>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54"/>
        <w:gridCol w:w="2644"/>
        <w:gridCol w:w="229"/>
        <w:gridCol w:w="229"/>
        <w:gridCol w:w="229"/>
        <w:gridCol w:w="234"/>
      </w:tblGrid>
      <w:tr w14:paraId="5645C8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3" w:hRule="atLeast"/>
        </w:trPr>
        <w:tc>
          <w:tcPr>
            <w:tcW w:w="554" w:type="dxa"/>
            <w:vMerge w:val="restart"/>
            <w:tcBorders>
              <w:bottom w:val="nil"/>
            </w:tcBorders>
            <w:vAlign w:val="top"/>
          </w:tcPr>
          <w:p w14:paraId="0F42A864">
            <w:pPr>
              <w:pStyle w:val="6"/>
              <w:spacing w:before="80" w:line="234" w:lineRule="auto"/>
              <w:ind w:left="17" w:right="26" w:firstLine="79"/>
            </w:pPr>
            <w:r>
              <w:rPr>
                <w:b/>
                <w:bCs/>
                <w:spacing w:val="-7"/>
              </w:rPr>
              <w:t>知识</w:t>
            </w:r>
            <w:r>
              <w:t xml:space="preserve">  </w:t>
            </w:r>
            <w:r>
              <w:rPr>
                <w:b/>
                <w:bCs/>
                <w:spacing w:val="-6"/>
              </w:rPr>
              <w:t>与技能</w:t>
            </w:r>
            <w:r>
              <w:rPr>
                <w:spacing w:val="1"/>
              </w:rPr>
              <w:t xml:space="preserve"> </w:t>
            </w:r>
            <w:r>
              <w:rPr>
                <w:b/>
                <w:bCs/>
                <w:spacing w:val="34"/>
              </w:rPr>
              <w:t>要点</w:t>
            </w:r>
          </w:p>
        </w:tc>
        <w:tc>
          <w:tcPr>
            <w:tcW w:w="2644" w:type="dxa"/>
            <w:vMerge w:val="restart"/>
            <w:tcBorders>
              <w:bottom w:val="nil"/>
            </w:tcBorders>
            <w:vAlign w:val="top"/>
          </w:tcPr>
          <w:p w14:paraId="19B3C53A">
            <w:pPr>
              <w:spacing w:line="242" w:lineRule="auto"/>
              <w:rPr>
                <w:rFonts w:ascii="Arial"/>
                <w:sz w:val="21"/>
              </w:rPr>
            </w:pPr>
          </w:p>
          <w:p w14:paraId="5AF30D45">
            <w:pPr>
              <w:pStyle w:val="6"/>
              <w:spacing w:before="56" w:line="219" w:lineRule="auto"/>
              <w:ind w:left="1003"/>
            </w:pPr>
            <w:r>
              <w:rPr>
                <w:b/>
                <w:bCs/>
                <w:spacing w:val="5"/>
              </w:rPr>
              <w:t>考试条目</w:t>
            </w:r>
          </w:p>
        </w:tc>
        <w:tc>
          <w:tcPr>
            <w:tcW w:w="921" w:type="dxa"/>
            <w:gridSpan w:val="4"/>
            <w:vAlign w:val="top"/>
          </w:tcPr>
          <w:p w14:paraId="3D9F2E66">
            <w:pPr>
              <w:pStyle w:val="6"/>
              <w:spacing w:before="109" w:line="219" w:lineRule="auto"/>
              <w:ind w:left="129"/>
            </w:pPr>
            <w:r>
              <w:rPr>
                <w:b/>
                <w:bCs/>
                <w:spacing w:val="-4"/>
              </w:rPr>
              <w:t>考试水平</w:t>
            </w:r>
          </w:p>
        </w:tc>
      </w:tr>
      <w:tr w14:paraId="6B7373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7" w:hRule="atLeast"/>
        </w:trPr>
        <w:tc>
          <w:tcPr>
            <w:tcW w:w="554" w:type="dxa"/>
            <w:vMerge w:val="continue"/>
            <w:tcBorders>
              <w:top w:val="nil"/>
            </w:tcBorders>
            <w:vAlign w:val="top"/>
          </w:tcPr>
          <w:p w14:paraId="198023BF">
            <w:pPr>
              <w:rPr>
                <w:rFonts w:ascii="Arial"/>
                <w:sz w:val="21"/>
              </w:rPr>
            </w:pPr>
          </w:p>
        </w:tc>
        <w:tc>
          <w:tcPr>
            <w:tcW w:w="2644" w:type="dxa"/>
            <w:vMerge w:val="continue"/>
            <w:tcBorders>
              <w:top w:val="nil"/>
            </w:tcBorders>
            <w:vAlign w:val="top"/>
          </w:tcPr>
          <w:p w14:paraId="625130A5">
            <w:pPr>
              <w:rPr>
                <w:rFonts w:ascii="Arial"/>
                <w:sz w:val="21"/>
              </w:rPr>
            </w:pPr>
          </w:p>
        </w:tc>
        <w:tc>
          <w:tcPr>
            <w:tcW w:w="229" w:type="dxa"/>
            <w:vAlign w:val="top"/>
          </w:tcPr>
          <w:p w14:paraId="5765AC22">
            <w:pPr>
              <w:pStyle w:val="6"/>
              <w:spacing w:before="141" w:line="184" w:lineRule="auto"/>
              <w:ind w:left="16"/>
            </w:pPr>
            <w:r>
              <w:t>A</w:t>
            </w:r>
          </w:p>
        </w:tc>
        <w:tc>
          <w:tcPr>
            <w:tcW w:w="229" w:type="dxa"/>
            <w:vAlign w:val="top"/>
          </w:tcPr>
          <w:p w14:paraId="0BFAD223">
            <w:pPr>
              <w:pStyle w:val="6"/>
              <w:spacing w:before="143" w:line="182" w:lineRule="auto"/>
              <w:ind w:left="18"/>
            </w:pPr>
            <w:r>
              <w:t>B</w:t>
            </w:r>
          </w:p>
        </w:tc>
        <w:tc>
          <w:tcPr>
            <w:tcW w:w="229" w:type="dxa"/>
            <w:vAlign w:val="top"/>
          </w:tcPr>
          <w:p w14:paraId="1CB34DF7">
            <w:pPr>
              <w:pStyle w:val="6"/>
              <w:spacing w:before="142" w:line="183" w:lineRule="auto"/>
              <w:ind w:left="19"/>
            </w:pPr>
            <w:r>
              <w:t>C</w:t>
            </w:r>
          </w:p>
        </w:tc>
        <w:tc>
          <w:tcPr>
            <w:tcW w:w="234" w:type="dxa"/>
            <w:vAlign w:val="top"/>
          </w:tcPr>
          <w:p w14:paraId="0BFC7619">
            <w:pPr>
              <w:pStyle w:val="6"/>
              <w:spacing w:before="143" w:line="182" w:lineRule="auto"/>
              <w:ind w:left="40"/>
            </w:pPr>
            <w:r>
              <w:t>D</w:t>
            </w:r>
          </w:p>
        </w:tc>
      </w:tr>
      <w:tr w14:paraId="182641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4" w:hRule="atLeast"/>
        </w:trPr>
        <w:tc>
          <w:tcPr>
            <w:tcW w:w="554" w:type="dxa"/>
            <w:tcBorders>
              <w:bottom w:val="nil"/>
            </w:tcBorders>
            <w:vAlign w:val="top"/>
          </w:tcPr>
          <w:p w14:paraId="7CB154B3">
            <w:pPr>
              <w:pStyle w:val="6"/>
              <w:spacing w:before="143" w:line="196" w:lineRule="auto"/>
              <w:ind w:left="94"/>
            </w:pPr>
            <w:r>
              <w:rPr>
                <w:spacing w:val="10"/>
              </w:rPr>
              <w:t>农田</w:t>
            </w:r>
          </w:p>
        </w:tc>
        <w:tc>
          <w:tcPr>
            <w:tcW w:w="2644" w:type="dxa"/>
            <w:tcBorders>
              <w:bottom w:val="nil"/>
            </w:tcBorders>
            <w:vAlign w:val="top"/>
          </w:tcPr>
          <w:p w14:paraId="4DAEF5E5">
            <w:pPr>
              <w:pStyle w:val="6"/>
              <w:spacing w:before="161" w:line="176" w:lineRule="auto"/>
              <w:ind w:left="91"/>
            </w:pPr>
            <w:r>
              <w:t>1.杂草的概念及其为害表现形式</w:t>
            </w:r>
          </w:p>
        </w:tc>
        <w:tc>
          <w:tcPr>
            <w:tcW w:w="229" w:type="dxa"/>
            <w:tcBorders>
              <w:bottom w:val="nil"/>
            </w:tcBorders>
            <w:vAlign w:val="top"/>
          </w:tcPr>
          <w:p w14:paraId="6F14E2C4">
            <w:pPr>
              <w:rPr>
                <w:rFonts w:ascii="Arial"/>
                <w:sz w:val="21"/>
              </w:rPr>
            </w:pPr>
          </w:p>
        </w:tc>
        <w:tc>
          <w:tcPr>
            <w:tcW w:w="229" w:type="dxa"/>
            <w:tcBorders>
              <w:bottom w:val="nil"/>
            </w:tcBorders>
            <w:vAlign w:val="top"/>
          </w:tcPr>
          <w:p w14:paraId="65E32276">
            <w:pPr>
              <w:rPr>
                <w:rFonts w:ascii="Arial"/>
                <w:sz w:val="21"/>
              </w:rPr>
            </w:pPr>
          </w:p>
        </w:tc>
        <w:tc>
          <w:tcPr>
            <w:tcW w:w="229" w:type="dxa"/>
            <w:tcBorders>
              <w:bottom w:val="nil"/>
            </w:tcBorders>
            <w:vAlign w:val="top"/>
          </w:tcPr>
          <w:p w14:paraId="4D467538">
            <w:pPr>
              <w:rPr>
                <w:rFonts w:ascii="Arial"/>
                <w:sz w:val="21"/>
              </w:rPr>
            </w:pPr>
          </w:p>
        </w:tc>
        <w:tc>
          <w:tcPr>
            <w:tcW w:w="234" w:type="dxa"/>
            <w:tcBorders>
              <w:bottom w:val="nil"/>
            </w:tcBorders>
            <w:vAlign w:val="top"/>
          </w:tcPr>
          <w:p w14:paraId="1BC6249C">
            <w:pPr>
              <w:rPr>
                <w:rFonts w:ascii="Arial"/>
                <w:sz w:val="21"/>
              </w:rPr>
            </w:pPr>
          </w:p>
        </w:tc>
      </w:tr>
      <w:tr w14:paraId="313E1F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3" w:hRule="atLeast"/>
        </w:trPr>
        <w:tc>
          <w:tcPr>
            <w:tcW w:w="554" w:type="dxa"/>
            <w:tcBorders>
              <w:top w:val="nil"/>
              <w:bottom w:val="nil"/>
            </w:tcBorders>
            <w:vAlign w:val="top"/>
          </w:tcPr>
          <w:p w14:paraId="53A75FFD">
            <w:pPr>
              <w:pStyle w:val="6"/>
              <w:spacing w:before="18" w:line="219" w:lineRule="auto"/>
              <w:ind w:left="84"/>
            </w:pPr>
            <w:r>
              <w:rPr>
                <w:spacing w:val="-2"/>
              </w:rPr>
              <w:t>杂草</w:t>
            </w:r>
          </w:p>
        </w:tc>
        <w:tc>
          <w:tcPr>
            <w:tcW w:w="2644" w:type="dxa"/>
            <w:tcBorders>
              <w:top w:val="nil"/>
              <w:bottom w:val="nil"/>
            </w:tcBorders>
            <w:vAlign w:val="top"/>
          </w:tcPr>
          <w:p w14:paraId="0E2D167E">
            <w:pPr>
              <w:pStyle w:val="6"/>
              <w:spacing w:before="47" w:line="191" w:lineRule="auto"/>
              <w:ind w:left="60"/>
            </w:pPr>
            <w:r>
              <w:rPr>
                <w:spacing w:val="-1"/>
              </w:rPr>
              <w:t>2.除草剂的选择性</w:t>
            </w:r>
          </w:p>
        </w:tc>
        <w:tc>
          <w:tcPr>
            <w:tcW w:w="229" w:type="dxa"/>
            <w:tcBorders>
              <w:top w:val="nil"/>
              <w:bottom w:val="nil"/>
            </w:tcBorders>
            <w:vAlign w:val="top"/>
          </w:tcPr>
          <w:p w14:paraId="288595DB">
            <w:pPr>
              <w:spacing w:line="222" w:lineRule="exact"/>
              <w:rPr>
                <w:rFonts w:ascii="Arial"/>
                <w:sz w:val="19"/>
              </w:rPr>
            </w:pPr>
          </w:p>
        </w:tc>
        <w:tc>
          <w:tcPr>
            <w:tcW w:w="229" w:type="dxa"/>
            <w:tcBorders>
              <w:top w:val="nil"/>
              <w:bottom w:val="nil"/>
            </w:tcBorders>
            <w:vAlign w:val="top"/>
          </w:tcPr>
          <w:p w14:paraId="09483EEF">
            <w:pPr>
              <w:spacing w:line="222" w:lineRule="exact"/>
              <w:rPr>
                <w:rFonts w:ascii="Arial"/>
                <w:sz w:val="19"/>
              </w:rPr>
            </w:pPr>
          </w:p>
        </w:tc>
        <w:tc>
          <w:tcPr>
            <w:tcW w:w="229" w:type="dxa"/>
            <w:tcBorders>
              <w:top w:val="nil"/>
              <w:bottom w:val="nil"/>
            </w:tcBorders>
            <w:vAlign w:val="top"/>
          </w:tcPr>
          <w:p w14:paraId="4216C86C">
            <w:pPr>
              <w:spacing w:line="222" w:lineRule="exact"/>
              <w:rPr>
                <w:rFonts w:ascii="Arial"/>
                <w:sz w:val="19"/>
              </w:rPr>
            </w:pPr>
          </w:p>
        </w:tc>
        <w:tc>
          <w:tcPr>
            <w:tcW w:w="234" w:type="dxa"/>
            <w:tcBorders>
              <w:top w:val="nil"/>
              <w:bottom w:val="nil"/>
            </w:tcBorders>
            <w:vAlign w:val="top"/>
          </w:tcPr>
          <w:p w14:paraId="54488300">
            <w:pPr>
              <w:spacing w:line="222" w:lineRule="exact"/>
              <w:rPr>
                <w:rFonts w:ascii="Arial"/>
                <w:sz w:val="19"/>
              </w:rPr>
            </w:pPr>
          </w:p>
        </w:tc>
      </w:tr>
      <w:tr w14:paraId="780F4F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2" w:hRule="atLeast"/>
        </w:trPr>
        <w:tc>
          <w:tcPr>
            <w:tcW w:w="554" w:type="dxa"/>
            <w:tcBorders>
              <w:top w:val="nil"/>
            </w:tcBorders>
            <w:vAlign w:val="top"/>
          </w:tcPr>
          <w:p w14:paraId="16CD5F61">
            <w:pPr>
              <w:pStyle w:val="6"/>
              <w:spacing w:before="35" w:line="219" w:lineRule="auto"/>
              <w:ind w:left="94"/>
            </w:pPr>
            <w:r>
              <w:rPr>
                <w:spacing w:val="4"/>
              </w:rPr>
              <w:t>防除</w:t>
            </w:r>
          </w:p>
        </w:tc>
        <w:tc>
          <w:tcPr>
            <w:tcW w:w="2644" w:type="dxa"/>
            <w:tcBorders>
              <w:top w:val="nil"/>
            </w:tcBorders>
            <w:vAlign w:val="top"/>
          </w:tcPr>
          <w:p w14:paraId="7C356B7A">
            <w:pPr>
              <w:pStyle w:val="6"/>
              <w:spacing w:before="43" w:line="219" w:lineRule="auto"/>
              <w:ind w:left="60"/>
            </w:pPr>
            <w:r>
              <w:rPr>
                <w:spacing w:val="-1"/>
              </w:rPr>
              <w:t>3.除草剂的使用方法</w:t>
            </w:r>
          </w:p>
        </w:tc>
        <w:tc>
          <w:tcPr>
            <w:tcW w:w="229" w:type="dxa"/>
            <w:tcBorders>
              <w:top w:val="nil"/>
            </w:tcBorders>
            <w:vAlign w:val="top"/>
          </w:tcPr>
          <w:p w14:paraId="5E177CD6">
            <w:pPr>
              <w:rPr>
                <w:rFonts w:ascii="Arial"/>
                <w:sz w:val="21"/>
              </w:rPr>
            </w:pPr>
          </w:p>
        </w:tc>
        <w:tc>
          <w:tcPr>
            <w:tcW w:w="229" w:type="dxa"/>
            <w:tcBorders>
              <w:top w:val="nil"/>
            </w:tcBorders>
            <w:vAlign w:val="top"/>
          </w:tcPr>
          <w:p w14:paraId="73B47F05">
            <w:pPr>
              <w:rPr>
                <w:rFonts w:ascii="Arial"/>
                <w:sz w:val="21"/>
              </w:rPr>
            </w:pPr>
          </w:p>
        </w:tc>
        <w:tc>
          <w:tcPr>
            <w:tcW w:w="229" w:type="dxa"/>
            <w:tcBorders>
              <w:top w:val="nil"/>
            </w:tcBorders>
            <w:vAlign w:val="top"/>
          </w:tcPr>
          <w:p w14:paraId="3A6B9568">
            <w:pPr>
              <w:rPr>
                <w:rFonts w:ascii="Arial"/>
                <w:sz w:val="21"/>
              </w:rPr>
            </w:pPr>
          </w:p>
        </w:tc>
        <w:tc>
          <w:tcPr>
            <w:tcW w:w="234" w:type="dxa"/>
            <w:tcBorders>
              <w:top w:val="nil"/>
            </w:tcBorders>
            <w:vAlign w:val="top"/>
          </w:tcPr>
          <w:p w14:paraId="7DBD997D">
            <w:pPr>
              <w:rPr>
                <w:rFonts w:ascii="Arial"/>
                <w:sz w:val="21"/>
              </w:rPr>
            </w:pPr>
          </w:p>
        </w:tc>
      </w:tr>
    </w:tbl>
    <w:p w14:paraId="478CB74E">
      <w:pPr>
        <w:pStyle w:val="2"/>
        <w:spacing w:line="362" w:lineRule="auto"/>
      </w:pPr>
    </w:p>
    <w:p w14:paraId="6842267D">
      <w:pPr>
        <w:spacing w:before="65" w:line="457" w:lineRule="auto"/>
        <w:ind w:left="967" w:right="1338" w:firstLine="99"/>
        <w:rPr>
          <w:rFonts w:ascii="黑体" w:hAnsi="黑体" w:eastAsia="黑体" w:cs="黑体"/>
          <w:sz w:val="20"/>
          <w:szCs w:val="20"/>
        </w:rPr>
      </w:pPr>
      <w:r>
        <w:rPr>
          <w:rFonts w:ascii="黑体" w:hAnsi="黑体" w:eastAsia="黑体" w:cs="黑体"/>
          <w:b/>
          <w:bCs/>
          <w:spacing w:val="-8"/>
          <w:sz w:val="20"/>
          <w:szCs w:val="20"/>
        </w:rPr>
        <w:t>第三篇</w:t>
      </w:r>
      <w:r>
        <w:rPr>
          <w:rFonts w:ascii="黑体" w:hAnsi="黑体" w:eastAsia="黑体" w:cs="黑体"/>
          <w:spacing w:val="12"/>
          <w:sz w:val="20"/>
          <w:szCs w:val="20"/>
        </w:rPr>
        <w:t xml:space="preserve">  </w:t>
      </w:r>
      <w:r>
        <w:rPr>
          <w:rFonts w:ascii="黑体" w:hAnsi="黑体" w:eastAsia="黑体" w:cs="黑体"/>
          <w:b/>
          <w:bCs/>
          <w:spacing w:val="-8"/>
          <w:sz w:val="20"/>
          <w:szCs w:val="20"/>
        </w:rPr>
        <w:t>农业生物技术</w:t>
      </w:r>
      <w:r>
        <w:rPr>
          <w:rFonts w:ascii="黑体" w:hAnsi="黑体" w:eastAsia="黑体" w:cs="黑体"/>
          <w:sz w:val="20"/>
          <w:szCs w:val="20"/>
        </w:rPr>
        <w:t xml:space="preserve">  </w:t>
      </w:r>
      <w:r>
        <w:rPr>
          <w:rFonts w:ascii="黑体" w:hAnsi="黑体" w:eastAsia="黑体" w:cs="黑体"/>
          <w:b/>
          <w:bCs/>
          <w:spacing w:val="-4"/>
          <w:sz w:val="20"/>
          <w:szCs w:val="20"/>
        </w:rPr>
        <w:t>一、植物遗传的基本知识</w:t>
      </w: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54"/>
        <w:gridCol w:w="2644"/>
        <w:gridCol w:w="229"/>
        <w:gridCol w:w="229"/>
        <w:gridCol w:w="229"/>
        <w:gridCol w:w="234"/>
      </w:tblGrid>
      <w:tr w14:paraId="5F6C94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9" w:hRule="atLeast"/>
        </w:trPr>
        <w:tc>
          <w:tcPr>
            <w:tcW w:w="554" w:type="dxa"/>
            <w:vMerge w:val="restart"/>
            <w:tcBorders>
              <w:top w:val="single" w:color="000000" w:sz="2" w:space="0"/>
              <w:bottom w:val="nil"/>
            </w:tcBorders>
            <w:vAlign w:val="top"/>
          </w:tcPr>
          <w:p w14:paraId="1F58394F">
            <w:pPr>
              <w:pStyle w:val="6"/>
              <w:spacing w:before="85" w:line="225" w:lineRule="auto"/>
              <w:ind w:left="17" w:firstLine="69"/>
              <w:rPr>
                <w:sz w:val="18"/>
                <w:szCs w:val="18"/>
              </w:rPr>
            </w:pPr>
            <w:r>
              <w:rPr>
                <w:b/>
                <w:bCs/>
                <w:spacing w:val="-9"/>
                <w:sz w:val="18"/>
                <w:szCs w:val="18"/>
              </w:rPr>
              <w:t>知识</w:t>
            </w:r>
            <w:r>
              <w:rPr>
                <w:sz w:val="18"/>
                <w:szCs w:val="18"/>
              </w:rPr>
              <w:t xml:space="preserve">  </w:t>
            </w:r>
            <w:r>
              <w:rPr>
                <w:b/>
                <w:bCs/>
                <w:spacing w:val="-7"/>
                <w:sz w:val="18"/>
                <w:szCs w:val="18"/>
              </w:rPr>
              <w:t>与技能</w:t>
            </w:r>
            <w:r>
              <w:rPr>
                <w:sz w:val="18"/>
                <w:szCs w:val="18"/>
              </w:rPr>
              <w:t xml:space="preserve"> </w:t>
            </w:r>
            <w:r>
              <w:rPr>
                <w:b/>
                <w:bCs/>
                <w:spacing w:val="28"/>
                <w:sz w:val="18"/>
                <w:szCs w:val="18"/>
              </w:rPr>
              <w:t>要点</w:t>
            </w:r>
          </w:p>
        </w:tc>
        <w:tc>
          <w:tcPr>
            <w:tcW w:w="2644" w:type="dxa"/>
            <w:vMerge w:val="restart"/>
            <w:tcBorders>
              <w:top w:val="single" w:color="000000" w:sz="2" w:space="0"/>
              <w:bottom w:val="nil"/>
            </w:tcBorders>
            <w:vAlign w:val="top"/>
          </w:tcPr>
          <w:p w14:paraId="52F3F49B">
            <w:pPr>
              <w:spacing w:line="244" w:lineRule="auto"/>
              <w:rPr>
                <w:rFonts w:ascii="Arial"/>
                <w:sz w:val="21"/>
              </w:rPr>
            </w:pPr>
          </w:p>
          <w:p w14:paraId="0AB8EF56">
            <w:pPr>
              <w:pStyle w:val="6"/>
              <w:spacing w:before="59" w:line="219" w:lineRule="auto"/>
              <w:ind w:left="1003"/>
              <w:rPr>
                <w:sz w:val="18"/>
                <w:szCs w:val="18"/>
              </w:rPr>
            </w:pPr>
            <w:r>
              <w:rPr>
                <w:b/>
                <w:bCs/>
                <w:spacing w:val="5"/>
                <w:sz w:val="18"/>
                <w:szCs w:val="18"/>
              </w:rPr>
              <w:t>考试条目</w:t>
            </w:r>
          </w:p>
        </w:tc>
        <w:tc>
          <w:tcPr>
            <w:tcW w:w="921" w:type="dxa"/>
            <w:gridSpan w:val="4"/>
            <w:tcBorders>
              <w:top w:val="single" w:color="000000" w:sz="2" w:space="0"/>
              <w:bottom w:val="single" w:color="000000" w:sz="2" w:space="0"/>
            </w:tcBorders>
            <w:vAlign w:val="top"/>
          </w:tcPr>
          <w:p w14:paraId="3AE656B8">
            <w:pPr>
              <w:pStyle w:val="6"/>
              <w:spacing w:before="114" w:line="219" w:lineRule="auto"/>
              <w:ind w:left="129"/>
              <w:rPr>
                <w:sz w:val="18"/>
                <w:szCs w:val="18"/>
              </w:rPr>
            </w:pPr>
            <w:r>
              <w:rPr>
                <w:b/>
                <w:bCs/>
                <w:spacing w:val="-4"/>
                <w:sz w:val="18"/>
                <w:szCs w:val="18"/>
              </w:rPr>
              <w:t>考试水平</w:t>
            </w:r>
          </w:p>
        </w:tc>
      </w:tr>
      <w:tr w14:paraId="5BB267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4" w:hRule="atLeast"/>
        </w:trPr>
        <w:tc>
          <w:tcPr>
            <w:tcW w:w="554" w:type="dxa"/>
            <w:vMerge w:val="continue"/>
            <w:tcBorders>
              <w:top w:val="nil"/>
              <w:bottom w:val="single" w:color="000000" w:sz="2" w:space="0"/>
            </w:tcBorders>
            <w:vAlign w:val="top"/>
          </w:tcPr>
          <w:p w14:paraId="5ED6FE58">
            <w:pPr>
              <w:rPr>
                <w:rFonts w:ascii="Arial"/>
                <w:sz w:val="21"/>
              </w:rPr>
            </w:pPr>
          </w:p>
        </w:tc>
        <w:tc>
          <w:tcPr>
            <w:tcW w:w="2644" w:type="dxa"/>
            <w:vMerge w:val="continue"/>
            <w:tcBorders>
              <w:top w:val="nil"/>
              <w:bottom w:val="single" w:color="000000" w:sz="2" w:space="0"/>
            </w:tcBorders>
            <w:vAlign w:val="top"/>
          </w:tcPr>
          <w:p w14:paraId="7D76B8EC">
            <w:pPr>
              <w:rPr>
                <w:rFonts w:ascii="Arial"/>
                <w:sz w:val="21"/>
              </w:rPr>
            </w:pPr>
          </w:p>
        </w:tc>
        <w:tc>
          <w:tcPr>
            <w:tcW w:w="229" w:type="dxa"/>
            <w:tcBorders>
              <w:top w:val="single" w:color="000000" w:sz="2" w:space="0"/>
              <w:bottom w:val="single" w:color="000000" w:sz="2" w:space="0"/>
            </w:tcBorders>
            <w:vAlign w:val="top"/>
          </w:tcPr>
          <w:p w14:paraId="2895A6CA">
            <w:pPr>
              <w:pStyle w:val="6"/>
              <w:spacing w:before="148" w:line="184" w:lineRule="auto"/>
              <w:ind w:left="16"/>
              <w:rPr>
                <w:sz w:val="18"/>
                <w:szCs w:val="18"/>
              </w:rPr>
            </w:pPr>
            <w:r>
              <w:rPr>
                <w:sz w:val="18"/>
                <w:szCs w:val="18"/>
              </w:rPr>
              <w:t>A</w:t>
            </w:r>
          </w:p>
        </w:tc>
        <w:tc>
          <w:tcPr>
            <w:tcW w:w="229" w:type="dxa"/>
            <w:tcBorders>
              <w:top w:val="single" w:color="000000" w:sz="2" w:space="0"/>
              <w:bottom w:val="single" w:color="000000" w:sz="2" w:space="0"/>
            </w:tcBorders>
            <w:vAlign w:val="top"/>
          </w:tcPr>
          <w:p w14:paraId="56706D1B">
            <w:pPr>
              <w:pStyle w:val="6"/>
              <w:spacing w:before="150" w:line="182" w:lineRule="auto"/>
              <w:ind w:left="18"/>
              <w:rPr>
                <w:sz w:val="18"/>
                <w:szCs w:val="18"/>
              </w:rPr>
            </w:pPr>
            <w:r>
              <w:rPr>
                <w:sz w:val="18"/>
                <w:szCs w:val="18"/>
              </w:rPr>
              <w:t>B</w:t>
            </w:r>
          </w:p>
        </w:tc>
        <w:tc>
          <w:tcPr>
            <w:tcW w:w="229" w:type="dxa"/>
            <w:tcBorders>
              <w:top w:val="single" w:color="000000" w:sz="2" w:space="0"/>
              <w:bottom w:val="single" w:color="000000" w:sz="2" w:space="0"/>
            </w:tcBorders>
            <w:vAlign w:val="top"/>
          </w:tcPr>
          <w:p w14:paraId="78B892D1">
            <w:pPr>
              <w:pStyle w:val="6"/>
              <w:spacing w:before="149" w:line="183" w:lineRule="auto"/>
              <w:ind w:left="19"/>
              <w:rPr>
                <w:sz w:val="18"/>
                <w:szCs w:val="18"/>
              </w:rPr>
            </w:pPr>
            <w:r>
              <w:rPr>
                <w:sz w:val="18"/>
                <w:szCs w:val="18"/>
              </w:rPr>
              <w:t>C</w:t>
            </w:r>
          </w:p>
        </w:tc>
        <w:tc>
          <w:tcPr>
            <w:tcW w:w="234" w:type="dxa"/>
            <w:tcBorders>
              <w:top w:val="single" w:color="000000" w:sz="2" w:space="0"/>
              <w:bottom w:val="single" w:color="000000" w:sz="2" w:space="0"/>
            </w:tcBorders>
            <w:vAlign w:val="top"/>
          </w:tcPr>
          <w:p w14:paraId="6AD8F45E">
            <w:pPr>
              <w:pStyle w:val="6"/>
              <w:spacing w:before="150" w:line="182" w:lineRule="auto"/>
              <w:ind w:left="19"/>
              <w:rPr>
                <w:sz w:val="18"/>
                <w:szCs w:val="18"/>
              </w:rPr>
            </w:pPr>
            <w:r>
              <w:rPr>
                <w:sz w:val="18"/>
                <w:szCs w:val="18"/>
              </w:rPr>
              <w:t>D</w:t>
            </w:r>
          </w:p>
        </w:tc>
      </w:tr>
      <w:tr w14:paraId="4F2D7F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54" w:hRule="atLeast"/>
        </w:trPr>
        <w:tc>
          <w:tcPr>
            <w:tcW w:w="554" w:type="dxa"/>
            <w:tcBorders>
              <w:top w:val="single" w:color="000000" w:sz="2" w:space="0"/>
              <w:bottom w:val="single" w:color="000000" w:sz="2" w:space="0"/>
            </w:tcBorders>
            <w:vAlign w:val="top"/>
          </w:tcPr>
          <w:p w14:paraId="76152586">
            <w:pPr>
              <w:spacing w:line="333" w:lineRule="auto"/>
              <w:rPr>
                <w:rFonts w:ascii="Arial"/>
                <w:sz w:val="21"/>
              </w:rPr>
            </w:pPr>
          </w:p>
          <w:p w14:paraId="3534279C">
            <w:pPr>
              <w:pStyle w:val="6"/>
              <w:spacing w:before="59" w:line="220" w:lineRule="auto"/>
              <w:ind w:left="84"/>
              <w:rPr>
                <w:sz w:val="18"/>
                <w:szCs w:val="18"/>
              </w:rPr>
            </w:pPr>
            <w:r>
              <w:rPr>
                <w:spacing w:val="-3"/>
                <w:sz w:val="18"/>
                <w:szCs w:val="18"/>
              </w:rPr>
              <w:t>绪论</w:t>
            </w:r>
          </w:p>
        </w:tc>
        <w:tc>
          <w:tcPr>
            <w:tcW w:w="2644" w:type="dxa"/>
            <w:tcBorders>
              <w:top w:val="single" w:color="000000" w:sz="2" w:space="0"/>
              <w:bottom w:val="single" w:color="000000" w:sz="2" w:space="0"/>
            </w:tcBorders>
            <w:vAlign w:val="top"/>
          </w:tcPr>
          <w:p w14:paraId="7E59A0F7">
            <w:pPr>
              <w:pStyle w:val="6"/>
              <w:spacing w:before="292" w:line="228" w:lineRule="auto"/>
              <w:ind w:left="71" w:right="25" w:firstLine="10"/>
              <w:rPr>
                <w:sz w:val="18"/>
                <w:szCs w:val="18"/>
              </w:rPr>
            </w:pPr>
            <w:r>
              <w:rPr>
                <w:sz w:val="18"/>
                <w:szCs w:val="18"/>
              </w:rPr>
              <w:t>1.农业生物技术的内涵及发展史</w:t>
            </w:r>
            <w:r>
              <w:rPr>
                <w:spacing w:val="6"/>
                <w:sz w:val="18"/>
                <w:szCs w:val="18"/>
              </w:rPr>
              <w:t xml:space="preserve"> </w:t>
            </w:r>
            <w:r>
              <w:rPr>
                <w:spacing w:val="1"/>
                <w:sz w:val="18"/>
                <w:szCs w:val="18"/>
              </w:rPr>
              <w:t>2.农业生物技术的应用</w:t>
            </w:r>
          </w:p>
        </w:tc>
        <w:tc>
          <w:tcPr>
            <w:tcW w:w="229" w:type="dxa"/>
            <w:tcBorders>
              <w:top w:val="single" w:color="000000" w:sz="2" w:space="0"/>
              <w:bottom w:val="single" w:color="000000" w:sz="2" w:space="0"/>
            </w:tcBorders>
            <w:vAlign w:val="top"/>
          </w:tcPr>
          <w:p w14:paraId="3008FF93">
            <w:pPr>
              <w:rPr>
                <w:rFonts w:ascii="Arial"/>
                <w:sz w:val="21"/>
              </w:rPr>
            </w:pPr>
          </w:p>
        </w:tc>
        <w:tc>
          <w:tcPr>
            <w:tcW w:w="229" w:type="dxa"/>
            <w:tcBorders>
              <w:top w:val="single" w:color="000000" w:sz="2" w:space="0"/>
              <w:bottom w:val="single" w:color="000000" w:sz="2" w:space="0"/>
            </w:tcBorders>
            <w:vAlign w:val="top"/>
          </w:tcPr>
          <w:p w14:paraId="6CB1A09A">
            <w:pPr>
              <w:rPr>
                <w:rFonts w:ascii="Arial"/>
                <w:sz w:val="21"/>
              </w:rPr>
            </w:pPr>
          </w:p>
        </w:tc>
        <w:tc>
          <w:tcPr>
            <w:tcW w:w="229" w:type="dxa"/>
            <w:tcBorders>
              <w:top w:val="single" w:color="000000" w:sz="2" w:space="0"/>
              <w:bottom w:val="single" w:color="000000" w:sz="2" w:space="0"/>
            </w:tcBorders>
            <w:vAlign w:val="top"/>
          </w:tcPr>
          <w:p w14:paraId="671D8C68">
            <w:pPr>
              <w:rPr>
                <w:rFonts w:ascii="Arial"/>
                <w:sz w:val="21"/>
              </w:rPr>
            </w:pPr>
          </w:p>
        </w:tc>
        <w:tc>
          <w:tcPr>
            <w:tcW w:w="234" w:type="dxa"/>
            <w:tcBorders>
              <w:top w:val="single" w:color="000000" w:sz="2" w:space="0"/>
              <w:bottom w:val="single" w:color="000000" w:sz="2" w:space="0"/>
            </w:tcBorders>
            <w:vAlign w:val="top"/>
          </w:tcPr>
          <w:p w14:paraId="009A56A1">
            <w:pPr>
              <w:rPr>
                <w:rFonts w:ascii="Arial"/>
                <w:sz w:val="21"/>
              </w:rPr>
            </w:pPr>
          </w:p>
        </w:tc>
      </w:tr>
      <w:tr w14:paraId="75266E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5" w:hRule="atLeast"/>
        </w:trPr>
        <w:tc>
          <w:tcPr>
            <w:tcW w:w="554" w:type="dxa"/>
            <w:tcBorders>
              <w:top w:val="single" w:color="000000" w:sz="2" w:space="0"/>
              <w:bottom w:val="nil"/>
            </w:tcBorders>
            <w:vAlign w:val="top"/>
          </w:tcPr>
          <w:p w14:paraId="49C19A05">
            <w:pPr>
              <w:pStyle w:val="6"/>
              <w:spacing w:before="154" w:line="185" w:lineRule="auto"/>
              <w:ind w:left="84"/>
              <w:rPr>
                <w:sz w:val="18"/>
                <w:szCs w:val="18"/>
              </w:rPr>
            </w:pPr>
            <w:r>
              <w:rPr>
                <w:spacing w:val="-2"/>
                <w:sz w:val="18"/>
                <w:szCs w:val="18"/>
              </w:rPr>
              <w:t>植物</w:t>
            </w:r>
          </w:p>
        </w:tc>
        <w:tc>
          <w:tcPr>
            <w:tcW w:w="2644" w:type="dxa"/>
            <w:tcBorders>
              <w:top w:val="single" w:color="000000" w:sz="2" w:space="0"/>
              <w:bottom w:val="nil"/>
            </w:tcBorders>
            <w:vAlign w:val="top"/>
          </w:tcPr>
          <w:p w14:paraId="56765BBC">
            <w:pPr>
              <w:pStyle w:val="6"/>
              <w:spacing w:before="153" w:line="186" w:lineRule="auto"/>
              <w:ind w:left="71"/>
              <w:rPr>
                <w:sz w:val="18"/>
                <w:szCs w:val="18"/>
              </w:rPr>
            </w:pPr>
            <w:r>
              <w:rPr>
                <w:spacing w:val="1"/>
                <w:sz w:val="18"/>
                <w:szCs w:val="18"/>
              </w:rPr>
              <w:t>1.生物的遗传和变异</w:t>
            </w:r>
          </w:p>
        </w:tc>
        <w:tc>
          <w:tcPr>
            <w:tcW w:w="229" w:type="dxa"/>
            <w:tcBorders>
              <w:top w:val="single" w:color="000000" w:sz="2" w:space="0"/>
              <w:bottom w:val="nil"/>
            </w:tcBorders>
            <w:vAlign w:val="top"/>
          </w:tcPr>
          <w:p w14:paraId="1D1A0E33">
            <w:pPr>
              <w:rPr>
                <w:rFonts w:ascii="Arial"/>
                <w:sz w:val="21"/>
              </w:rPr>
            </w:pPr>
          </w:p>
        </w:tc>
        <w:tc>
          <w:tcPr>
            <w:tcW w:w="229" w:type="dxa"/>
            <w:tcBorders>
              <w:top w:val="single" w:color="000000" w:sz="2" w:space="0"/>
              <w:bottom w:val="nil"/>
            </w:tcBorders>
            <w:vAlign w:val="top"/>
          </w:tcPr>
          <w:p w14:paraId="3FD6F44E">
            <w:pPr>
              <w:rPr>
                <w:rFonts w:ascii="Arial"/>
                <w:sz w:val="21"/>
              </w:rPr>
            </w:pPr>
          </w:p>
        </w:tc>
        <w:tc>
          <w:tcPr>
            <w:tcW w:w="229" w:type="dxa"/>
            <w:tcBorders>
              <w:top w:val="single" w:color="000000" w:sz="2" w:space="0"/>
              <w:bottom w:val="nil"/>
            </w:tcBorders>
            <w:vAlign w:val="top"/>
          </w:tcPr>
          <w:p w14:paraId="1798CEEB">
            <w:pPr>
              <w:rPr>
                <w:rFonts w:ascii="Arial"/>
                <w:sz w:val="21"/>
              </w:rPr>
            </w:pPr>
          </w:p>
        </w:tc>
        <w:tc>
          <w:tcPr>
            <w:tcW w:w="234" w:type="dxa"/>
            <w:tcBorders>
              <w:top w:val="single" w:color="000000" w:sz="2" w:space="0"/>
              <w:bottom w:val="nil"/>
            </w:tcBorders>
            <w:vAlign w:val="top"/>
          </w:tcPr>
          <w:p w14:paraId="02805F20">
            <w:pPr>
              <w:rPr>
                <w:rFonts w:ascii="Arial"/>
                <w:sz w:val="21"/>
              </w:rPr>
            </w:pPr>
          </w:p>
        </w:tc>
      </w:tr>
      <w:tr w14:paraId="18179F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27" w:hRule="atLeast"/>
        </w:trPr>
        <w:tc>
          <w:tcPr>
            <w:tcW w:w="554" w:type="dxa"/>
            <w:tcBorders>
              <w:top w:val="nil"/>
              <w:bottom w:val="nil"/>
            </w:tcBorders>
            <w:vAlign w:val="top"/>
          </w:tcPr>
          <w:p w14:paraId="637E47BB">
            <w:pPr>
              <w:pStyle w:val="6"/>
              <w:spacing w:before="19" w:line="203" w:lineRule="auto"/>
              <w:ind w:left="84"/>
              <w:rPr>
                <w:sz w:val="18"/>
                <w:szCs w:val="18"/>
              </w:rPr>
            </w:pPr>
            <w:r>
              <w:rPr>
                <w:spacing w:val="-2"/>
                <w:sz w:val="18"/>
                <w:szCs w:val="18"/>
              </w:rPr>
              <w:t>遗传</w:t>
            </w:r>
          </w:p>
        </w:tc>
        <w:tc>
          <w:tcPr>
            <w:tcW w:w="2644" w:type="dxa"/>
            <w:tcBorders>
              <w:top w:val="nil"/>
              <w:bottom w:val="nil"/>
            </w:tcBorders>
            <w:vAlign w:val="top"/>
          </w:tcPr>
          <w:p w14:paraId="5947C71D">
            <w:pPr>
              <w:pStyle w:val="6"/>
              <w:spacing w:before="19" w:line="203" w:lineRule="auto"/>
              <w:ind w:left="71"/>
              <w:rPr>
                <w:sz w:val="18"/>
                <w:szCs w:val="18"/>
              </w:rPr>
            </w:pPr>
            <w:r>
              <w:rPr>
                <w:spacing w:val="-1"/>
                <w:sz w:val="18"/>
                <w:szCs w:val="18"/>
              </w:rPr>
              <w:t>2.遗传物质的分子基础——</w:t>
            </w:r>
          </w:p>
        </w:tc>
        <w:tc>
          <w:tcPr>
            <w:tcW w:w="229" w:type="dxa"/>
            <w:tcBorders>
              <w:top w:val="nil"/>
              <w:bottom w:val="nil"/>
            </w:tcBorders>
            <w:vAlign w:val="top"/>
          </w:tcPr>
          <w:p w14:paraId="7AFC3B79">
            <w:pPr>
              <w:spacing w:line="217" w:lineRule="exact"/>
              <w:rPr>
                <w:rFonts w:ascii="Arial"/>
                <w:sz w:val="18"/>
              </w:rPr>
            </w:pPr>
          </w:p>
        </w:tc>
        <w:tc>
          <w:tcPr>
            <w:tcW w:w="229" w:type="dxa"/>
            <w:tcBorders>
              <w:top w:val="nil"/>
              <w:bottom w:val="nil"/>
            </w:tcBorders>
            <w:vAlign w:val="top"/>
          </w:tcPr>
          <w:p w14:paraId="21B1DCAA">
            <w:pPr>
              <w:spacing w:line="217" w:lineRule="exact"/>
              <w:rPr>
                <w:rFonts w:ascii="Arial"/>
                <w:sz w:val="18"/>
              </w:rPr>
            </w:pPr>
          </w:p>
        </w:tc>
        <w:tc>
          <w:tcPr>
            <w:tcW w:w="229" w:type="dxa"/>
            <w:tcBorders>
              <w:top w:val="nil"/>
              <w:bottom w:val="nil"/>
            </w:tcBorders>
            <w:vAlign w:val="top"/>
          </w:tcPr>
          <w:p w14:paraId="7CFEE6E0">
            <w:pPr>
              <w:spacing w:line="217" w:lineRule="exact"/>
              <w:rPr>
                <w:rFonts w:ascii="Arial"/>
                <w:sz w:val="18"/>
              </w:rPr>
            </w:pPr>
          </w:p>
        </w:tc>
        <w:tc>
          <w:tcPr>
            <w:tcW w:w="234" w:type="dxa"/>
            <w:tcBorders>
              <w:top w:val="nil"/>
              <w:bottom w:val="nil"/>
            </w:tcBorders>
            <w:vAlign w:val="top"/>
          </w:tcPr>
          <w:p w14:paraId="088F18E6">
            <w:pPr>
              <w:spacing w:line="217" w:lineRule="exact"/>
              <w:rPr>
                <w:rFonts w:ascii="Arial"/>
                <w:sz w:val="18"/>
              </w:rPr>
            </w:pPr>
          </w:p>
        </w:tc>
      </w:tr>
      <w:tr w14:paraId="6A45F8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9" w:hRule="atLeast"/>
        </w:trPr>
        <w:tc>
          <w:tcPr>
            <w:tcW w:w="554" w:type="dxa"/>
            <w:tcBorders>
              <w:top w:val="nil"/>
              <w:bottom w:val="nil"/>
            </w:tcBorders>
            <w:vAlign w:val="top"/>
          </w:tcPr>
          <w:p w14:paraId="42E1D9C4">
            <w:pPr>
              <w:pStyle w:val="6"/>
              <w:spacing w:before="35" w:line="178" w:lineRule="auto"/>
              <w:ind w:left="84"/>
              <w:rPr>
                <w:sz w:val="18"/>
                <w:szCs w:val="18"/>
              </w:rPr>
            </w:pPr>
            <w:r>
              <w:rPr>
                <w:spacing w:val="5"/>
                <w:sz w:val="18"/>
                <w:szCs w:val="18"/>
              </w:rPr>
              <w:t>的细</w:t>
            </w:r>
          </w:p>
        </w:tc>
        <w:tc>
          <w:tcPr>
            <w:tcW w:w="2644" w:type="dxa"/>
            <w:tcBorders>
              <w:top w:val="nil"/>
              <w:bottom w:val="nil"/>
            </w:tcBorders>
            <w:vAlign w:val="top"/>
          </w:tcPr>
          <w:p w14:paraId="5FFACC74">
            <w:pPr>
              <w:pStyle w:val="6"/>
              <w:spacing w:before="77" w:line="131" w:lineRule="exact"/>
              <w:ind w:left="71"/>
              <w:rPr>
                <w:sz w:val="18"/>
                <w:szCs w:val="18"/>
              </w:rPr>
            </w:pPr>
            <w:r>
              <w:rPr>
                <w:spacing w:val="-1"/>
                <w:position w:val="-2"/>
                <w:sz w:val="18"/>
                <w:szCs w:val="18"/>
              </w:rPr>
              <w:t>DNA</w:t>
            </w:r>
          </w:p>
        </w:tc>
        <w:tc>
          <w:tcPr>
            <w:tcW w:w="229" w:type="dxa"/>
            <w:tcBorders>
              <w:top w:val="nil"/>
              <w:bottom w:val="nil"/>
            </w:tcBorders>
            <w:vAlign w:val="top"/>
          </w:tcPr>
          <w:p w14:paraId="7D66F992">
            <w:pPr>
              <w:spacing w:line="208" w:lineRule="exact"/>
              <w:rPr>
                <w:rFonts w:ascii="Arial"/>
                <w:sz w:val="18"/>
              </w:rPr>
            </w:pPr>
          </w:p>
        </w:tc>
        <w:tc>
          <w:tcPr>
            <w:tcW w:w="229" w:type="dxa"/>
            <w:tcBorders>
              <w:top w:val="nil"/>
              <w:bottom w:val="nil"/>
            </w:tcBorders>
            <w:vAlign w:val="top"/>
          </w:tcPr>
          <w:p w14:paraId="74D9AEF9">
            <w:pPr>
              <w:spacing w:line="208" w:lineRule="exact"/>
              <w:rPr>
                <w:rFonts w:ascii="Arial"/>
                <w:sz w:val="18"/>
              </w:rPr>
            </w:pPr>
          </w:p>
        </w:tc>
        <w:tc>
          <w:tcPr>
            <w:tcW w:w="229" w:type="dxa"/>
            <w:tcBorders>
              <w:top w:val="nil"/>
              <w:bottom w:val="nil"/>
            </w:tcBorders>
            <w:vAlign w:val="top"/>
          </w:tcPr>
          <w:p w14:paraId="277A5535">
            <w:pPr>
              <w:spacing w:line="208" w:lineRule="exact"/>
              <w:rPr>
                <w:rFonts w:ascii="Arial"/>
                <w:sz w:val="18"/>
              </w:rPr>
            </w:pPr>
          </w:p>
        </w:tc>
        <w:tc>
          <w:tcPr>
            <w:tcW w:w="234" w:type="dxa"/>
            <w:tcBorders>
              <w:top w:val="nil"/>
              <w:bottom w:val="nil"/>
            </w:tcBorders>
            <w:vAlign w:val="top"/>
          </w:tcPr>
          <w:p w14:paraId="68DEEB83">
            <w:pPr>
              <w:spacing w:line="208" w:lineRule="exact"/>
              <w:rPr>
                <w:rFonts w:ascii="Arial"/>
                <w:sz w:val="18"/>
              </w:rPr>
            </w:pPr>
          </w:p>
        </w:tc>
      </w:tr>
      <w:tr w14:paraId="2444ED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9" w:hRule="atLeast"/>
        </w:trPr>
        <w:tc>
          <w:tcPr>
            <w:tcW w:w="554" w:type="dxa"/>
            <w:tcBorders>
              <w:top w:val="nil"/>
              <w:bottom w:val="nil"/>
            </w:tcBorders>
            <w:vAlign w:val="top"/>
          </w:tcPr>
          <w:p w14:paraId="0AB05C71">
            <w:pPr>
              <w:pStyle w:val="6"/>
              <w:spacing w:before="13" w:line="200" w:lineRule="auto"/>
              <w:ind w:left="84"/>
              <w:rPr>
                <w:sz w:val="18"/>
                <w:szCs w:val="18"/>
              </w:rPr>
            </w:pPr>
            <w:r>
              <w:rPr>
                <w:spacing w:val="-2"/>
                <w:sz w:val="18"/>
                <w:szCs w:val="18"/>
              </w:rPr>
              <w:t>胞学</w:t>
            </w:r>
          </w:p>
        </w:tc>
        <w:tc>
          <w:tcPr>
            <w:tcW w:w="2644" w:type="dxa"/>
            <w:tcBorders>
              <w:top w:val="nil"/>
              <w:bottom w:val="nil"/>
            </w:tcBorders>
            <w:vAlign w:val="top"/>
          </w:tcPr>
          <w:p w14:paraId="182516FF">
            <w:pPr>
              <w:pStyle w:val="6"/>
              <w:spacing w:before="34" w:line="179" w:lineRule="auto"/>
              <w:ind w:left="71"/>
              <w:rPr>
                <w:sz w:val="18"/>
                <w:szCs w:val="18"/>
              </w:rPr>
            </w:pPr>
            <w:r>
              <w:rPr>
                <w:spacing w:val="-2"/>
                <w:sz w:val="18"/>
                <w:szCs w:val="18"/>
              </w:rPr>
              <w:t>3.有丝分裂</w:t>
            </w:r>
          </w:p>
        </w:tc>
        <w:tc>
          <w:tcPr>
            <w:tcW w:w="229" w:type="dxa"/>
            <w:tcBorders>
              <w:top w:val="nil"/>
              <w:bottom w:val="nil"/>
            </w:tcBorders>
            <w:vAlign w:val="top"/>
          </w:tcPr>
          <w:p w14:paraId="49CA0AA3">
            <w:pPr>
              <w:spacing w:line="208" w:lineRule="exact"/>
              <w:rPr>
                <w:rFonts w:ascii="Arial"/>
                <w:sz w:val="18"/>
              </w:rPr>
            </w:pPr>
          </w:p>
        </w:tc>
        <w:tc>
          <w:tcPr>
            <w:tcW w:w="229" w:type="dxa"/>
            <w:tcBorders>
              <w:top w:val="nil"/>
              <w:bottom w:val="nil"/>
            </w:tcBorders>
            <w:vAlign w:val="top"/>
          </w:tcPr>
          <w:p w14:paraId="2E8EEF9C">
            <w:pPr>
              <w:spacing w:line="208" w:lineRule="exact"/>
              <w:rPr>
                <w:rFonts w:ascii="Arial"/>
                <w:sz w:val="18"/>
              </w:rPr>
            </w:pPr>
          </w:p>
        </w:tc>
        <w:tc>
          <w:tcPr>
            <w:tcW w:w="229" w:type="dxa"/>
            <w:tcBorders>
              <w:top w:val="nil"/>
              <w:bottom w:val="nil"/>
            </w:tcBorders>
            <w:vAlign w:val="top"/>
          </w:tcPr>
          <w:p w14:paraId="476B73A3">
            <w:pPr>
              <w:spacing w:line="208" w:lineRule="exact"/>
              <w:rPr>
                <w:rFonts w:ascii="Arial"/>
                <w:sz w:val="18"/>
              </w:rPr>
            </w:pPr>
          </w:p>
        </w:tc>
        <w:tc>
          <w:tcPr>
            <w:tcW w:w="234" w:type="dxa"/>
            <w:tcBorders>
              <w:top w:val="nil"/>
              <w:bottom w:val="nil"/>
            </w:tcBorders>
            <w:vAlign w:val="top"/>
          </w:tcPr>
          <w:p w14:paraId="44D43088">
            <w:pPr>
              <w:spacing w:line="208" w:lineRule="exact"/>
              <w:rPr>
                <w:rFonts w:ascii="Arial"/>
                <w:sz w:val="18"/>
              </w:rPr>
            </w:pPr>
          </w:p>
        </w:tc>
      </w:tr>
      <w:tr w14:paraId="3E0E1B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3" w:hRule="atLeast"/>
        </w:trPr>
        <w:tc>
          <w:tcPr>
            <w:tcW w:w="554" w:type="dxa"/>
            <w:tcBorders>
              <w:top w:val="nil"/>
              <w:bottom w:val="single" w:color="000000" w:sz="2" w:space="0"/>
            </w:tcBorders>
            <w:vAlign w:val="top"/>
          </w:tcPr>
          <w:p w14:paraId="0C0029E4">
            <w:pPr>
              <w:pStyle w:val="6"/>
              <w:spacing w:before="20" w:line="225" w:lineRule="auto"/>
              <w:ind w:left="84"/>
              <w:rPr>
                <w:sz w:val="18"/>
                <w:szCs w:val="18"/>
              </w:rPr>
            </w:pPr>
            <w:r>
              <w:rPr>
                <w:spacing w:val="-2"/>
                <w:sz w:val="18"/>
                <w:szCs w:val="18"/>
              </w:rPr>
              <w:t>基础</w:t>
            </w:r>
          </w:p>
        </w:tc>
        <w:tc>
          <w:tcPr>
            <w:tcW w:w="2644" w:type="dxa"/>
            <w:tcBorders>
              <w:top w:val="nil"/>
              <w:bottom w:val="single" w:color="000000" w:sz="2" w:space="0"/>
            </w:tcBorders>
            <w:vAlign w:val="top"/>
          </w:tcPr>
          <w:p w14:paraId="1F13002F">
            <w:pPr>
              <w:pStyle w:val="6"/>
              <w:spacing w:before="14" w:line="219" w:lineRule="auto"/>
              <w:ind w:left="71"/>
              <w:rPr>
                <w:sz w:val="18"/>
                <w:szCs w:val="18"/>
              </w:rPr>
            </w:pPr>
            <w:r>
              <w:rPr>
                <w:spacing w:val="-2"/>
                <w:sz w:val="18"/>
                <w:szCs w:val="18"/>
              </w:rPr>
              <w:t>4.减数分裂</w:t>
            </w:r>
          </w:p>
        </w:tc>
        <w:tc>
          <w:tcPr>
            <w:tcW w:w="229" w:type="dxa"/>
            <w:tcBorders>
              <w:top w:val="nil"/>
              <w:bottom w:val="single" w:color="000000" w:sz="2" w:space="0"/>
            </w:tcBorders>
            <w:vAlign w:val="top"/>
          </w:tcPr>
          <w:p w14:paraId="08A3368C">
            <w:pPr>
              <w:rPr>
                <w:rFonts w:ascii="Arial"/>
                <w:sz w:val="21"/>
              </w:rPr>
            </w:pPr>
          </w:p>
        </w:tc>
        <w:tc>
          <w:tcPr>
            <w:tcW w:w="229" w:type="dxa"/>
            <w:tcBorders>
              <w:top w:val="nil"/>
              <w:bottom w:val="single" w:color="000000" w:sz="2" w:space="0"/>
            </w:tcBorders>
            <w:vAlign w:val="top"/>
          </w:tcPr>
          <w:p w14:paraId="7DB0B2F1">
            <w:pPr>
              <w:rPr>
                <w:rFonts w:ascii="Arial"/>
                <w:sz w:val="21"/>
              </w:rPr>
            </w:pPr>
          </w:p>
        </w:tc>
        <w:tc>
          <w:tcPr>
            <w:tcW w:w="229" w:type="dxa"/>
            <w:tcBorders>
              <w:top w:val="nil"/>
              <w:bottom w:val="single" w:color="000000" w:sz="2" w:space="0"/>
            </w:tcBorders>
            <w:vAlign w:val="top"/>
          </w:tcPr>
          <w:p w14:paraId="4691016D">
            <w:pPr>
              <w:rPr>
                <w:rFonts w:ascii="Arial"/>
                <w:sz w:val="21"/>
              </w:rPr>
            </w:pPr>
          </w:p>
        </w:tc>
        <w:tc>
          <w:tcPr>
            <w:tcW w:w="234" w:type="dxa"/>
            <w:tcBorders>
              <w:top w:val="nil"/>
              <w:bottom w:val="single" w:color="000000" w:sz="2" w:space="0"/>
            </w:tcBorders>
            <w:vAlign w:val="top"/>
          </w:tcPr>
          <w:p w14:paraId="41B7B04F">
            <w:pPr>
              <w:rPr>
                <w:rFonts w:ascii="Arial"/>
                <w:sz w:val="21"/>
              </w:rPr>
            </w:pPr>
          </w:p>
        </w:tc>
      </w:tr>
      <w:tr w14:paraId="7F1479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68" w:hRule="atLeast"/>
        </w:trPr>
        <w:tc>
          <w:tcPr>
            <w:tcW w:w="554" w:type="dxa"/>
            <w:tcBorders>
              <w:top w:val="single" w:color="000000" w:sz="2" w:space="0"/>
              <w:bottom w:val="single" w:color="000000" w:sz="2" w:space="0"/>
            </w:tcBorders>
            <w:vAlign w:val="top"/>
          </w:tcPr>
          <w:p w14:paraId="25B63D53">
            <w:pPr>
              <w:pStyle w:val="6"/>
              <w:spacing w:before="175" w:line="219" w:lineRule="auto"/>
              <w:ind w:left="84"/>
              <w:rPr>
                <w:sz w:val="18"/>
                <w:szCs w:val="18"/>
              </w:rPr>
            </w:pPr>
            <w:r>
              <w:rPr>
                <w:spacing w:val="-2"/>
                <w:sz w:val="18"/>
                <w:szCs w:val="18"/>
              </w:rPr>
              <w:t>遗传</w:t>
            </w:r>
          </w:p>
          <w:p w14:paraId="3C7A0E09">
            <w:pPr>
              <w:pStyle w:val="6"/>
              <w:spacing w:before="10" w:line="222" w:lineRule="auto"/>
              <w:ind w:left="84"/>
              <w:rPr>
                <w:sz w:val="18"/>
                <w:szCs w:val="18"/>
              </w:rPr>
            </w:pPr>
            <w:r>
              <w:rPr>
                <w:spacing w:val="3"/>
                <w:sz w:val="18"/>
                <w:szCs w:val="18"/>
              </w:rPr>
              <w:t>的基</w:t>
            </w:r>
          </w:p>
          <w:p w14:paraId="0D2FDD23">
            <w:pPr>
              <w:pStyle w:val="6"/>
              <w:spacing w:before="9" w:line="216" w:lineRule="auto"/>
              <w:ind w:left="84"/>
              <w:rPr>
                <w:sz w:val="18"/>
                <w:szCs w:val="18"/>
              </w:rPr>
            </w:pPr>
            <w:r>
              <w:rPr>
                <w:spacing w:val="-2"/>
                <w:sz w:val="18"/>
                <w:szCs w:val="18"/>
              </w:rPr>
              <w:t>本规</w:t>
            </w:r>
          </w:p>
          <w:p w14:paraId="47FE318A">
            <w:pPr>
              <w:pStyle w:val="6"/>
              <w:spacing w:line="219" w:lineRule="auto"/>
              <w:ind w:left="175"/>
              <w:rPr>
                <w:sz w:val="18"/>
                <w:szCs w:val="18"/>
              </w:rPr>
            </w:pPr>
            <w:r>
              <w:rPr>
                <w:sz w:val="18"/>
                <w:szCs w:val="18"/>
              </w:rPr>
              <w:t>律</w:t>
            </w:r>
          </w:p>
        </w:tc>
        <w:tc>
          <w:tcPr>
            <w:tcW w:w="2644" w:type="dxa"/>
            <w:tcBorders>
              <w:top w:val="single" w:color="000000" w:sz="2" w:space="0"/>
              <w:bottom w:val="single" w:color="000000" w:sz="2" w:space="0"/>
            </w:tcBorders>
            <w:vAlign w:val="top"/>
          </w:tcPr>
          <w:p w14:paraId="412B4324">
            <w:pPr>
              <w:pStyle w:val="6"/>
              <w:spacing w:before="176" w:line="219" w:lineRule="auto"/>
              <w:ind w:left="71"/>
              <w:rPr>
                <w:sz w:val="18"/>
                <w:szCs w:val="18"/>
              </w:rPr>
            </w:pPr>
            <w:r>
              <w:rPr>
                <w:spacing w:val="1"/>
                <w:sz w:val="18"/>
                <w:szCs w:val="18"/>
              </w:rPr>
              <w:t>1.分离规律</w:t>
            </w:r>
          </w:p>
          <w:p w14:paraId="622DB833">
            <w:pPr>
              <w:pStyle w:val="6"/>
              <w:spacing w:before="25" w:line="215" w:lineRule="auto"/>
              <w:ind w:left="71"/>
              <w:rPr>
                <w:sz w:val="18"/>
                <w:szCs w:val="18"/>
              </w:rPr>
            </w:pPr>
            <w:r>
              <w:rPr>
                <w:spacing w:val="-5"/>
                <w:sz w:val="18"/>
                <w:szCs w:val="18"/>
              </w:rPr>
              <w:t>2.</w:t>
            </w:r>
            <w:r>
              <w:rPr>
                <w:spacing w:val="-54"/>
                <w:sz w:val="18"/>
                <w:szCs w:val="18"/>
              </w:rPr>
              <w:t xml:space="preserve"> </w:t>
            </w:r>
            <w:r>
              <w:rPr>
                <w:spacing w:val="-5"/>
                <w:sz w:val="18"/>
                <w:szCs w:val="18"/>
              </w:rPr>
              <w:t>自由组合规律</w:t>
            </w:r>
          </w:p>
          <w:p w14:paraId="73E0E4E2">
            <w:pPr>
              <w:pStyle w:val="6"/>
              <w:spacing w:line="218" w:lineRule="auto"/>
              <w:ind w:left="71"/>
              <w:rPr>
                <w:sz w:val="18"/>
                <w:szCs w:val="18"/>
              </w:rPr>
            </w:pPr>
            <w:r>
              <w:rPr>
                <w:spacing w:val="-1"/>
                <w:sz w:val="18"/>
                <w:szCs w:val="18"/>
              </w:rPr>
              <w:t>3.数量性状遗传的特征</w:t>
            </w:r>
          </w:p>
          <w:p w14:paraId="71DC3341">
            <w:pPr>
              <w:pStyle w:val="6"/>
              <w:spacing w:before="6" w:line="219" w:lineRule="auto"/>
              <w:ind w:left="71"/>
              <w:rPr>
                <w:sz w:val="18"/>
                <w:szCs w:val="18"/>
              </w:rPr>
            </w:pPr>
            <w:r>
              <w:rPr>
                <w:spacing w:val="1"/>
                <w:sz w:val="18"/>
                <w:szCs w:val="18"/>
              </w:rPr>
              <w:t>4.细胞质遗传的特点及应用</w:t>
            </w:r>
          </w:p>
        </w:tc>
        <w:tc>
          <w:tcPr>
            <w:tcW w:w="229" w:type="dxa"/>
            <w:tcBorders>
              <w:top w:val="single" w:color="000000" w:sz="2" w:space="0"/>
              <w:bottom w:val="single" w:color="000000" w:sz="2" w:space="0"/>
            </w:tcBorders>
            <w:vAlign w:val="top"/>
          </w:tcPr>
          <w:p w14:paraId="4A756D6D">
            <w:pPr>
              <w:rPr>
                <w:rFonts w:ascii="Arial"/>
                <w:sz w:val="21"/>
              </w:rPr>
            </w:pPr>
          </w:p>
        </w:tc>
        <w:tc>
          <w:tcPr>
            <w:tcW w:w="229" w:type="dxa"/>
            <w:tcBorders>
              <w:top w:val="single" w:color="000000" w:sz="2" w:space="0"/>
              <w:bottom w:val="single" w:color="000000" w:sz="2" w:space="0"/>
            </w:tcBorders>
            <w:vAlign w:val="top"/>
          </w:tcPr>
          <w:p w14:paraId="56C2E6A3">
            <w:pPr>
              <w:rPr>
                <w:rFonts w:ascii="Arial"/>
                <w:sz w:val="21"/>
              </w:rPr>
            </w:pPr>
          </w:p>
        </w:tc>
        <w:tc>
          <w:tcPr>
            <w:tcW w:w="229" w:type="dxa"/>
            <w:tcBorders>
              <w:top w:val="single" w:color="000000" w:sz="2" w:space="0"/>
              <w:bottom w:val="single" w:color="000000" w:sz="2" w:space="0"/>
            </w:tcBorders>
            <w:vAlign w:val="top"/>
          </w:tcPr>
          <w:p w14:paraId="645F047C">
            <w:pPr>
              <w:rPr>
                <w:rFonts w:ascii="Arial"/>
                <w:sz w:val="21"/>
              </w:rPr>
            </w:pPr>
          </w:p>
        </w:tc>
        <w:tc>
          <w:tcPr>
            <w:tcW w:w="234" w:type="dxa"/>
            <w:tcBorders>
              <w:top w:val="single" w:color="000000" w:sz="2" w:space="0"/>
              <w:bottom w:val="single" w:color="000000" w:sz="2" w:space="0"/>
            </w:tcBorders>
            <w:vAlign w:val="top"/>
          </w:tcPr>
          <w:p w14:paraId="4580BBB6">
            <w:pPr>
              <w:rPr>
                <w:rFonts w:ascii="Arial"/>
                <w:sz w:val="21"/>
              </w:rPr>
            </w:pPr>
          </w:p>
        </w:tc>
      </w:tr>
    </w:tbl>
    <w:p w14:paraId="3CB24CF0">
      <w:pPr>
        <w:pStyle w:val="2"/>
        <w:spacing w:line="14" w:lineRule="auto"/>
        <w:rPr>
          <w:sz w:val="2"/>
        </w:rPr>
      </w:pPr>
    </w:p>
    <w:p w14:paraId="68361F2C">
      <w:pPr>
        <w:pStyle w:val="2"/>
        <w:spacing w:line="14" w:lineRule="auto"/>
        <w:rPr>
          <w:sz w:val="2"/>
        </w:rPr>
      </w:pPr>
      <w:r>
        <w:rPr>
          <w:sz w:val="2"/>
          <w:szCs w:val="2"/>
        </w:rPr>
        <w:br w:type="column"/>
      </w:r>
    </w:p>
    <w:p w14:paraId="01735E6C">
      <w:pPr>
        <w:spacing w:before="39" w:line="221" w:lineRule="auto"/>
        <w:ind w:left="1267"/>
        <w:rPr>
          <w:rFonts w:ascii="黑体" w:hAnsi="黑体" w:eastAsia="黑体" w:cs="黑体"/>
          <w:sz w:val="20"/>
          <w:szCs w:val="20"/>
        </w:rPr>
      </w:pPr>
      <w:r>
        <w:rPr>
          <w:rFonts w:ascii="黑体" w:hAnsi="黑体" w:eastAsia="黑体" w:cs="黑体"/>
          <w:b/>
          <w:bCs/>
          <w:spacing w:val="-4"/>
          <w:sz w:val="20"/>
          <w:szCs w:val="20"/>
        </w:rPr>
        <w:t>二、植物育种技术</w:t>
      </w:r>
    </w:p>
    <w:p w14:paraId="413202AF">
      <w:pPr>
        <w:spacing w:line="162" w:lineRule="exact"/>
      </w:pPr>
    </w:p>
    <w:tbl>
      <w:tblPr>
        <w:tblStyle w:val="5"/>
        <w:tblW w:w="413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54"/>
        <w:gridCol w:w="2644"/>
        <w:gridCol w:w="229"/>
        <w:gridCol w:w="229"/>
        <w:gridCol w:w="230"/>
        <w:gridCol w:w="244"/>
      </w:tblGrid>
      <w:tr w14:paraId="619CD1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4" w:hRule="atLeast"/>
        </w:trPr>
        <w:tc>
          <w:tcPr>
            <w:tcW w:w="554" w:type="dxa"/>
            <w:vMerge w:val="restart"/>
            <w:tcBorders>
              <w:bottom w:val="nil"/>
            </w:tcBorders>
            <w:vAlign w:val="top"/>
          </w:tcPr>
          <w:p w14:paraId="1A5995E6">
            <w:pPr>
              <w:pStyle w:val="6"/>
              <w:spacing w:before="91" w:line="218" w:lineRule="auto"/>
              <w:ind w:left="17" w:firstLine="69"/>
              <w:rPr>
                <w:sz w:val="18"/>
                <w:szCs w:val="18"/>
              </w:rPr>
            </w:pPr>
            <w:r>
              <w:rPr>
                <w:b/>
                <w:bCs/>
                <w:spacing w:val="-9"/>
                <w:sz w:val="18"/>
                <w:szCs w:val="18"/>
              </w:rPr>
              <w:t>知识</w:t>
            </w:r>
            <w:r>
              <w:rPr>
                <w:sz w:val="18"/>
                <w:szCs w:val="18"/>
              </w:rPr>
              <w:t xml:space="preserve">  </w:t>
            </w:r>
            <w:r>
              <w:rPr>
                <w:b/>
                <w:bCs/>
                <w:spacing w:val="-7"/>
                <w:sz w:val="18"/>
                <w:szCs w:val="18"/>
              </w:rPr>
              <w:t>与技能</w:t>
            </w:r>
            <w:r>
              <w:rPr>
                <w:sz w:val="18"/>
                <w:szCs w:val="18"/>
              </w:rPr>
              <w:t xml:space="preserve"> </w:t>
            </w:r>
            <w:r>
              <w:rPr>
                <w:b/>
                <w:bCs/>
                <w:spacing w:val="28"/>
                <w:sz w:val="18"/>
                <w:szCs w:val="18"/>
              </w:rPr>
              <w:t>要点</w:t>
            </w:r>
          </w:p>
        </w:tc>
        <w:tc>
          <w:tcPr>
            <w:tcW w:w="2644" w:type="dxa"/>
            <w:vMerge w:val="restart"/>
            <w:tcBorders>
              <w:bottom w:val="nil"/>
            </w:tcBorders>
            <w:vAlign w:val="top"/>
          </w:tcPr>
          <w:p w14:paraId="79AF89AA">
            <w:pPr>
              <w:pStyle w:val="6"/>
              <w:spacing w:before="299" w:line="219" w:lineRule="auto"/>
              <w:ind w:left="993"/>
              <w:rPr>
                <w:sz w:val="18"/>
                <w:szCs w:val="18"/>
              </w:rPr>
            </w:pPr>
            <w:r>
              <w:rPr>
                <w:b/>
                <w:bCs/>
                <w:spacing w:val="5"/>
                <w:sz w:val="18"/>
                <w:szCs w:val="18"/>
              </w:rPr>
              <w:t>考试条目</w:t>
            </w:r>
          </w:p>
        </w:tc>
        <w:tc>
          <w:tcPr>
            <w:tcW w:w="932" w:type="dxa"/>
            <w:gridSpan w:val="4"/>
            <w:vAlign w:val="top"/>
          </w:tcPr>
          <w:p w14:paraId="2D87887A">
            <w:pPr>
              <w:pStyle w:val="6"/>
              <w:spacing w:before="109" w:line="219" w:lineRule="auto"/>
              <w:ind w:left="119"/>
              <w:rPr>
                <w:sz w:val="18"/>
                <w:szCs w:val="18"/>
              </w:rPr>
            </w:pPr>
            <w:r>
              <w:rPr>
                <w:b/>
                <w:bCs/>
                <w:spacing w:val="-4"/>
                <w:sz w:val="18"/>
                <w:szCs w:val="18"/>
              </w:rPr>
              <w:t>考试水平</w:t>
            </w:r>
          </w:p>
        </w:tc>
      </w:tr>
      <w:tr w14:paraId="43A31A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9" w:hRule="atLeast"/>
        </w:trPr>
        <w:tc>
          <w:tcPr>
            <w:tcW w:w="554" w:type="dxa"/>
            <w:vMerge w:val="continue"/>
            <w:tcBorders>
              <w:top w:val="nil"/>
            </w:tcBorders>
            <w:vAlign w:val="top"/>
          </w:tcPr>
          <w:p w14:paraId="5C6DC7A7">
            <w:pPr>
              <w:rPr>
                <w:rFonts w:ascii="Arial"/>
                <w:sz w:val="21"/>
              </w:rPr>
            </w:pPr>
          </w:p>
        </w:tc>
        <w:tc>
          <w:tcPr>
            <w:tcW w:w="2644" w:type="dxa"/>
            <w:vMerge w:val="continue"/>
            <w:tcBorders>
              <w:top w:val="nil"/>
            </w:tcBorders>
            <w:vAlign w:val="top"/>
          </w:tcPr>
          <w:p w14:paraId="333CB80F">
            <w:pPr>
              <w:rPr>
                <w:rFonts w:ascii="Arial"/>
                <w:sz w:val="21"/>
              </w:rPr>
            </w:pPr>
          </w:p>
        </w:tc>
        <w:tc>
          <w:tcPr>
            <w:tcW w:w="229" w:type="dxa"/>
            <w:vAlign w:val="top"/>
          </w:tcPr>
          <w:p w14:paraId="1E953C54">
            <w:pPr>
              <w:pStyle w:val="6"/>
              <w:spacing w:before="143" w:line="184" w:lineRule="auto"/>
              <w:ind w:left="17"/>
              <w:rPr>
                <w:sz w:val="18"/>
                <w:szCs w:val="18"/>
              </w:rPr>
            </w:pPr>
            <w:r>
              <w:rPr>
                <w:sz w:val="18"/>
                <w:szCs w:val="18"/>
              </w:rPr>
              <w:t>A</w:t>
            </w:r>
          </w:p>
        </w:tc>
        <w:tc>
          <w:tcPr>
            <w:tcW w:w="229" w:type="dxa"/>
            <w:vAlign w:val="top"/>
          </w:tcPr>
          <w:p w14:paraId="16BEE2D4">
            <w:pPr>
              <w:pStyle w:val="6"/>
              <w:spacing w:before="145" w:line="182" w:lineRule="auto"/>
              <w:ind w:left="38"/>
              <w:rPr>
                <w:sz w:val="18"/>
                <w:szCs w:val="18"/>
              </w:rPr>
            </w:pPr>
            <w:r>
              <w:rPr>
                <w:sz w:val="18"/>
                <w:szCs w:val="18"/>
              </w:rPr>
              <w:t>B</w:t>
            </w:r>
          </w:p>
        </w:tc>
        <w:tc>
          <w:tcPr>
            <w:tcW w:w="230" w:type="dxa"/>
            <w:vAlign w:val="top"/>
          </w:tcPr>
          <w:p w14:paraId="72143428">
            <w:pPr>
              <w:pStyle w:val="6"/>
              <w:spacing w:before="144" w:line="183" w:lineRule="auto"/>
              <w:ind w:left="48"/>
              <w:rPr>
                <w:sz w:val="18"/>
                <w:szCs w:val="18"/>
              </w:rPr>
            </w:pPr>
            <w:r>
              <w:rPr>
                <w:sz w:val="18"/>
                <w:szCs w:val="18"/>
              </w:rPr>
              <w:t>C</w:t>
            </w:r>
          </w:p>
        </w:tc>
        <w:tc>
          <w:tcPr>
            <w:tcW w:w="244" w:type="dxa"/>
            <w:vAlign w:val="top"/>
          </w:tcPr>
          <w:p w14:paraId="47AB245E">
            <w:pPr>
              <w:pStyle w:val="6"/>
              <w:spacing w:before="145" w:line="182" w:lineRule="auto"/>
              <w:ind w:left="39"/>
              <w:rPr>
                <w:sz w:val="18"/>
                <w:szCs w:val="18"/>
              </w:rPr>
            </w:pPr>
            <w:r>
              <w:rPr>
                <w:sz w:val="18"/>
                <w:szCs w:val="18"/>
              </w:rPr>
              <w:t>D</w:t>
            </w:r>
          </w:p>
        </w:tc>
      </w:tr>
      <w:tr w14:paraId="138245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88" w:hRule="atLeast"/>
        </w:trPr>
        <w:tc>
          <w:tcPr>
            <w:tcW w:w="554" w:type="dxa"/>
            <w:vAlign w:val="top"/>
          </w:tcPr>
          <w:p w14:paraId="60030E32">
            <w:pPr>
              <w:pStyle w:val="6"/>
              <w:spacing w:before="79" w:line="220" w:lineRule="auto"/>
              <w:ind w:left="85"/>
              <w:rPr>
                <w:sz w:val="18"/>
                <w:szCs w:val="18"/>
              </w:rPr>
            </w:pPr>
            <w:r>
              <w:rPr>
                <w:spacing w:val="6"/>
                <w:sz w:val="18"/>
                <w:szCs w:val="18"/>
              </w:rPr>
              <w:t>品种</w:t>
            </w:r>
          </w:p>
          <w:p w14:paraId="6C2E82CA">
            <w:pPr>
              <w:pStyle w:val="6"/>
              <w:spacing w:before="4" w:line="205" w:lineRule="auto"/>
              <w:ind w:left="85"/>
              <w:rPr>
                <w:sz w:val="18"/>
                <w:szCs w:val="18"/>
              </w:rPr>
            </w:pPr>
            <w:r>
              <w:rPr>
                <w:spacing w:val="-2"/>
                <w:sz w:val="18"/>
                <w:szCs w:val="18"/>
              </w:rPr>
              <w:t>概念</w:t>
            </w:r>
          </w:p>
          <w:p w14:paraId="1C8885DA">
            <w:pPr>
              <w:pStyle w:val="6"/>
              <w:spacing w:line="219" w:lineRule="auto"/>
              <w:ind w:left="85"/>
              <w:rPr>
                <w:sz w:val="18"/>
                <w:szCs w:val="18"/>
              </w:rPr>
            </w:pPr>
            <w:r>
              <w:rPr>
                <w:spacing w:val="7"/>
                <w:sz w:val="18"/>
                <w:szCs w:val="18"/>
              </w:rPr>
              <w:t>和育</w:t>
            </w:r>
          </w:p>
          <w:p w14:paraId="5793CF77">
            <w:pPr>
              <w:pStyle w:val="6"/>
              <w:spacing w:before="27" w:line="205" w:lineRule="auto"/>
              <w:ind w:left="85"/>
              <w:rPr>
                <w:sz w:val="18"/>
                <w:szCs w:val="18"/>
              </w:rPr>
            </w:pPr>
            <w:r>
              <w:rPr>
                <w:spacing w:val="17"/>
                <w:sz w:val="18"/>
                <w:szCs w:val="18"/>
              </w:rPr>
              <w:t>种目</w:t>
            </w:r>
          </w:p>
          <w:p w14:paraId="6C50D0EF">
            <w:pPr>
              <w:pStyle w:val="6"/>
              <w:spacing w:line="220" w:lineRule="auto"/>
              <w:ind w:left="175"/>
              <w:rPr>
                <w:sz w:val="18"/>
                <w:szCs w:val="18"/>
              </w:rPr>
            </w:pPr>
            <w:r>
              <w:rPr>
                <w:sz w:val="18"/>
                <w:szCs w:val="18"/>
              </w:rPr>
              <w:t>标</w:t>
            </w:r>
          </w:p>
        </w:tc>
        <w:tc>
          <w:tcPr>
            <w:tcW w:w="2644" w:type="dxa"/>
            <w:vAlign w:val="top"/>
          </w:tcPr>
          <w:p w14:paraId="494291EF">
            <w:pPr>
              <w:spacing w:line="359" w:lineRule="auto"/>
              <w:rPr>
                <w:rFonts w:ascii="Arial"/>
                <w:sz w:val="21"/>
              </w:rPr>
            </w:pPr>
          </w:p>
          <w:p w14:paraId="7EE20DCD">
            <w:pPr>
              <w:pStyle w:val="6"/>
              <w:spacing w:before="58" w:line="222" w:lineRule="auto"/>
              <w:ind w:left="71" w:right="1475"/>
              <w:rPr>
                <w:sz w:val="18"/>
                <w:szCs w:val="18"/>
              </w:rPr>
            </w:pPr>
            <w:r>
              <w:rPr>
                <w:spacing w:val="1"/>
                <w:sz w:val="18"/>
                <w:szCs w:val="18"/>
              </w:rPr>
              <w:t>1.品种的概念</w:t>
            </w:r>
            <w:r>
              <w:rPr>
                <w:sz w:val="18"/>
                <w:szCs w:val="18"/>
              </w:rPr>
              <w:t xml:space="preserve"> </w:t>
            </w:r>
            <w:r>
              <w:rPr>
                <w:spacing w:val="-1"/>
                <w:sz w:val="18"/>
                <w:szCs w:val="18"/>
              </w:rPr>
              <w:t>2.育种目标</w:t>
            </w:r>
          </w:p>
        </w:tc>
        <w:tc>
          <w:tcPr>
            <w:tcW w:w="229" w:type="dxa"/>
            <w:vAlign w:val="top"/>
          </w:tcPr>
          <w:p w14:paraId="044F7D72">
            <w:pPr>
              <w:spacing w:line="441" w:lineRule="auto"/>
              <w:rPr>
                <w:rFonts w:ascii="Arial"/>
                <w:sz w:val="21"/>
              </w:rPr>
            </w:pPr>
          </w:p>
          <w:p w14:paraId="1181A976">
            <w:pPr>
              <w:spacing w:line="302" w:lineRule="exact"/>
              <w:ind w:firstLine="50"/>
            </w:pPr>
            <w:r>
              <w:rPr>
                <w:position w:val="-6"/>
              </w:rPr>
              <w:drawing>
                <wp:inline distT="0" distB="0" distL="0" distR="0">
                  <wp:extent cx="83185" cy="191770"/>
                  <wp:effectExtent l="0" t="0" r="0" b="0"/>
                  <wp:docPr id="26" name="IM 26"/>
                  <wp:cNvGraphicFramePr/>
                  <a:graphic xmlns:a="http://schemas.openxmlformats.org/drawingml/2006/main">
                    <a:graphicData uri="http://schemas.openxmlformats.org/drawingml/2006/picture">
                      <pic:pic xmlns:pic="http://schemas.openxmlformats.org/drawingml/2006/picture">
                        <pic:nvPicPr>
                          <pic:cNvPr id="26" name="IM 26"/>
                          <pic:cNvPicPr/>
                        </pic:nvPicPr>
                        <pic:blipFill>
                          <a:blip r:embed="rId178"/>
                          <a:stretch>
                            <a:fillRect/>
                          </a:stretch>
                        </pic:blipFill>
                        <pic:spPr>
                          <a:xfrm>
                            <a:off x="0" y="0"/>
                            <a:ext cx="83335" cy="191913"/>
                          </a:xfrm>
                          <a:prstGeom prst="rect">
                            <a:avLst/>
                          </a:prstGeom>
                        </pic:spPr>
                      </pic:pic>
                    </a:graphicData>
                  </a:graphic>
                </wp:inline>
              </w:drawing>
            </w:r>
          </w:p>
        </w:tc>
        <w:tc>
          <w:tcPr>
            <w:tcW w:w="229" w:type="dxa"/>
            <w:vAlign w:val="top"/>
          </w:tcPr>
          <w:p w14:paraId="2D54196F">
            <w:pPr>
              <w:rPr>
                <w:rFonts w:ascii="Arial"/>
                <w:sz w:val="21"/>
              </w:rPr>
            </w:pPr>
          </w:p>
        </w:tc>
        <w:tc>
          <w:tcPr>
            <w:tcW w:w="230" w:type="dxa"/>
            <w:vAlign w:val="top"/>
          </w:tcPr>
          <w:p w14:paraId="1700C19A">
            <w:pPr>
              <w:rPr>
                <w:rFonts w:ascii="Arial"/>
                <w:sz w:val="21"/>
              </w:rPr>
            </w:pPr>
          </w:p>
        </w:tc>
        <w:tc>
          <w:tcPr>
            <w:tcW w:w="244" w:type="dxa"/>
            <w:vAlign w:val="top"/>
          </w:tcPr>
          <w:p w14:paraId="5EEF3908">
            <w:pPr>
              <w:rPr>
                <w:rFonts w:ascii="Arial"/>
                <w:sz w:val="21"/>
              </w:rPr>
            </w:pPr>
          </w:p>
        </w:tc>
      </w:tr>
      <w:tr w14:paraId="542E05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58" w:hRule="atLeast"/>
        </w:trPr>
        <w:tc>
          <w:tcPr>
            <w:tcW w:w="554" w:type="dxa"/>
            <w:vAlign w:val="top"/>
          </w:tcPr>
          <w:p w14:paraId="40EE9152">
            <w:pPr>
              <w:pStyle w:val="6"/>
              <w:spacing w:before="252" w:line="218" w:lineRule="auto"/>
              <w:ind w:left="85" w:right="78"/>
              <w:rPr>
                <w:sz w:val="18"/>
                <w:szCs w:val="18"/>
              </w:rPr>
            </w:pPr>
            <w:r>
              <w:rPr>
                <w:spacing w:val="10"/>
                <w:sz w:val="18"/>
                <w:szCs w:val="18"/>
              </w:rPr>
              <w:t>种质</w:t>
            </w:r>
            <w:r>
              <w:rPr>
                <w:sz w:val="18"/>
                <w:szCs w:val="18"/>
              </w:rPr>
              <w:t xml:space="preserve"> </w:t>
            </w:r>
            <w:r>
              <w:rPr>
                <w:spacing w:val="3"/>
                <w:sz w:val="18"/>
                <w:szCs w:val="18"/>
              </w:rPr>
              <w:t>资源</w:t>
            </w:r>
          </w:p>
        </w:tc>
        <w:tc>
          <w:tcPr>
            <w:tcW w:w="2644" w:type="dxa"/>
            <w:vAlign w:val="top"/>
          </w:tcPr>
          <w:p w14:paraId="15FD6C75">
            <w:pPr>
              <w:pStyle w:val="6"/>
              <w:spacing w:before="119" w:line="224" w:lineRule="auto"/>
              <w:ind w:left="71" w:right="1108"/>
              <w:jc w:val="both"/>
              <w:rPr>
                <w:sz w:val="18"/>
                <w:szCs w:val="18"/>
              </w:rPr>
            </w:pPr>
            <w:r>
              <w:rPr>
                <w:spacing w:val="1"/>
                <w:sz w:val="18"/>
                <w:szCs w:val="18"/>
              </w:rPr>
              <w:t>1.种质资源的类别</w:t>
            </w:r>
            <w:r>
              <w:rPr>
                <w:spacing w:val="4"/>
                <w:sz w:val="18"/>
                <w:szCs w:val="18"/>
              </w:rPr>
              <w:t xml:space="preserve"> </w:t>
            </w:r>
            <w:r>
              <w:rPr>
                <w:spacing w:val="-2"/>
                <w:sz w:val="18"/>
                <w:szCs w:val="18"/>
              </w:rPr>
              <w:t>2.种质资源的收集</w:t>
            </w:r>
            <w:r>
              <w:rPr>
                <w:spacing w:val="7"/>
                <w:sz w:val="18"/>
                <w:szCs w:val="18"/>
              </w:rPr>
              <w:t xml:space="preserve"> </w:t>
            </w:r>
            <w:r>
              <w:rPr>
                <w:spacing w:val="-2"/>
                <w:sz w:val="18"/>
                <w:szCs w:val="18"/>
              </w:rPr>
              <w:t>3.种质资源的保存</w:t>
            </w:r>
          </w:p>
        </w:tc>
        <w:tc>
          <w:tcPr>
            <w:tcW w:w="229" w:type="dxa"/>
            <w:vAlign w:val="top"/>
          </w:tcPr>
          <w:p w14:paraId="48C11FF3">
            <w:pPr>
              <w:spacing w:before="169" w:line="307" w:lineRule="exact"/>
              <w:ind w:firstLine="27"/>
            </w:pPr>
            <w:r>
              <w:rPr>
                <w:position w:val="-6"/>
              </w:rPr>
              <w:drawing>
                <wp:inline distT="0" distB="0" distL="0" distR="0">
                  <wp:extent cx="100965" cy="194945"/>
                  <wp:effectExtent l="0" t="0" r="0" b="0"/>
                  <wp:docPr id="28" name="IM 28"/>
                  <wp:cNvGraphicFramePr/>
                  <a:graphic xmlns:a="http://schemas.openxmlformats.org/drawingml/2006/main">
                    <a:graphicData uri="http://schemas.openxmlformats.org/drawingml/2006/picture">
                      <pic:pic xmlns:pic="http://schemas.openxmlformats.org/drawingml/2006/picture">
                        <pic:nvPicPr>
                          <pic:cNvPr id="28" name="IM 28"/>
                          <pic:cNvPicPr/>
                        </pic:nvPicPr>
                        <pic:blipFill>
                          <a:blip r:embed="rId179"/>
                          <a:stretch>
                            <a:fillRect/>
                          </a:stretch>
                        </pic:blipFill>
                        <pic:spPr>
                          <a:xfrm>
                            <a:off x="0" y="0"/>
                            <a:ext cx="101575" cy="195070"/>
                          </a:xfrm>
                          <a:prstGeom prst="rect">
                            <a:avLst/>
                          </a:prstGeom>
                        </pic:spPr>
                      </pic:pic>
                    </a:graphicData>
                  </a:graphic>
                </wp:inline>
              </w:drawing>
            </w:r>
          </w:p>
        </w:tc>
        <w:tc>
          <w:tcPr>
            <w:tcW w:w="229" w:type="dxa"/>
            <w:vAlign w:val="top"/>
          </w:tcPr>
          <w:p w14:paraId="2B766179">
            <w:pPr>
              <w:rPr>
                <w:rFonts w:ascii="Arial"/>
                <w:sz w:val="21"/>
              </w:rPr>
            </w:pPr>
          </w:p>
        </w:tc>
        <w:tc>
          <w:tcPr>
            <w:tcW w:w="230" w:type="dxa"/>
            <w:vAlign w:val="top"/>
          </w:tcPr>
          <w:p w14:paraId="1ABE3018">
            <w:pPr>
              <w:rPr>
                <w:rFonts w:ascii="Arial"/>
                <w:sz w:val="21"/>
              </w:rPr>
            </w:pPr>
          </w:p>
        </w:tc>
        <w:tc>
          <w:tcPr>
            <w:tcW w:w="244" w:type="dxa"/>
            <w:vAlign w:val="top"/>
          </w:tcPr>
          <w:p w14:paraId="52FD5515">
            <w:pPr>
              <w:rPr>
                <w:rFonts w:ascii="Arial"/>
                <w:sz w:val="21"/>
              </w:rPr>
            </w:pPr>
          </w:p>
        </w:tc>
      </w:tr>
      <w:tr w14:paraId="4E951A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68" w:hRule="atLeast"/>
        </w:trPr>
        <w:tc>
          <w:tcPr>
            <w:tcW w:w="554" w:type="dxa"/>
            <w:vAlign w:val="top"/>
          </w:tcPr>
          <w:p w14:paraId="75483DD8">
            <w:pPr>
              <w:pStyle w:val="6"/>
              <w:spacing w:before="134" w:line="232" w:lineRule="auto"/>
              <w:ind w:left="85" w:right="85"/>
              <w:rPr>
                <w:sz w:val="18"/>
                <w:szCs w:val="18"/>
              </w:rPr>
            </w:pPr>
            <w:r>
              <w:rPr>
                <w:spacing w:val="-4"/>
                <w:sz w:val="18"/>
                <w:szCs w:val="18"/>
              </w:rPr>
              <w:t>选择</w:t>
            </w:r>
            <w:r>
              <w:rPr>
                <w:sz w:val="18"/>
                <w:szCs w:val="18"/>
              </w:rPr>
              <w:t xml:space="preserve"> </w:t>
            </w:r>
            <w:r>
              <w:rPr>
                <w:spacing w:val="6"/>
                <w:sz w:val="18"/>
                <w:szCs w:val="18"/>
              </w:rPr>
              <w:t>育种</w:t>
            </w:r>
          </w:p>
        </w:tc>
        <w:tc>
          <w:tcPr>
            <w:tcW w:w="2644" w:type="dxa"/>
            <w:vAlign w:val="top"/>
          </w:tcPr>
          <w:p w14:paraId="11C02C0E">
            <w:pPr>
              <w:pStyle w:val="6"/>
              <w:spacing w:before="162" w:line="217" w:lineRule="auto"/>
              <w:ind w:left="71" w:right="1115"/>
              <w:rPr>
                <w:sz w:val="18"/>
                <w:szCs w:val="18"/>
              </w:rPr>
            </w:pPr>
            <w:r>
              <w:rPr>
                <w:sz w:val="18"/>
                <w:szCs w:val="18"/>
              </w:rPr>
              <w:t>1.选择育种的概念</w:t>
            </w:r>
            <w:r>
              <w:rPr>
                <w:spacing w:val="6"/>
                <w:sz w:val="18"/>
                <w:szCs w:val="18"/>
              </w:rPr>
              <w:t xml:space="preserve"> </w:t>
            </w:r>
            <w:r>
              <w:rPr>
                <w:spacing w:val="-2"/>
                <w:sz w:val="18"/>
                <w:szCs w:val="18"/>
              </w:rPr>
              <w:t>2.选择的基本方法</w:t>
            </w:r>
          </w:p>
        </w:tc>
        <w:tc>
          <w:tcPr>
            <w:tcW w:w="229" w:type="dxa"/>
            <w:vAlign w:val="top"/>
          </w:tcPr>
          <w:p w14:paraId="59C03FF5">
            <w:pPr>
              <w:rPr>
                <w:rFonts w:ascii="Arial"/>
                <w:sz w:val="21"/>
              </w:rPr>
            </w:pPr>
          </w:p>
        </w:tc>
        <w:tc>
          <w:tcPr>
            <w:tcW w:w="229" w:type="dxa"/>
            <w:vAlign w:val="top"/>
          </w:tcPr>
          <w:p w14:paraId="6491278F">
            <w:pPr>
              <w:rPr>
                <w:rFonts w:ascii="Arial"/>
                <w:sz w:val="21"/>
              </w:rPr>
            </w:pPr>
          </w:p>
        </w:tc>
        <w:tc>
          <w:tcPr>
            <w:tcW w:w="230" w:type="dxa"/>
            <w:vAlign w:val="top"/>
          </w:tcPr>
          <w:p w14:paraId="7DFC2D85">
            <w:pPr>
              <w:rPr>
                <w:rFonts w:ascii="Arial"/>
                <w:sz w:val="21"/>
              </w:rPr>
            </w:pPr>
          </w:p>
        </w:tc>
        <w:tc>
          <w:tcPr>
            <w:tcW w:w="244" w:type="dxa"/>
            <w:vAlign w:val="top"/>
          </w:tcPr>
          <w:p w14:paraId="4B062FEE">
            <w:pPr>
              <w:rPr>
                <w:rFonts w:ascii="Arial"/>
                <w:sz w:val="21"/>
              </w:rPr>
            </w:pPr>
          </w:p>
        </w:tc>
      </w:tr>
      <w:tr w14:paraId="2B3BE4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62" w:hRule="atLeast"/>
        </w:trPr>
        <w:tc>
          <w:tcPr>
            <w:tcW w:w="554" w:type="dxa"/>
            <w:vAlign w:val="top"/>
          </w:tcPr>
          <w:p w14:paraId="660E0D3C">
            <w:pPr>
              <w:pStyle w:val="6"/>
              <w:spacing w:before="215" w:line="219" w:lineRule="auto"/>
              <w:ind w:left="85"/>
              <w:rPr>
                <w:sz w:val="18"/>
                <w:szCs w:val="18"/>
              </w:rPr>
            </w:pPr>
            <w:r>
              <w:rPr>
                <w:spacing w:val="6"/>
                <w:sz w:val="18"/>
                <w:szCs w:val="18"/>
              </w:rPr>
              <w:t>杂种</w:t>
            </w:r>
          </w:p>
          <w:p w14:paraId="5EC202E6">
            <w:pPr>
              <w:pStyle w:val="6"/>
              <w:spacing w:before="25" w:line="218" w:lineRule="auto"/>
              <w:ind w:left="85"/>
              <w:rPr>
                <w:sz w:val="18"/>
                <w:szCs w:val="18"/>
              </w:rPr>
            </w:pPr>
            <w:r>
              <w:rPr>
                <w:spacing w:val="7"/>
                <w:sz w:val="18"/>
                <w:szCs w:val="18"/>
              </w:rPr>
              <w:t>优势</w:t>
            </w:r>
          </w:p>
          <w:p w14:paraId="5EF73C3A">
            <w:pPr>
              <w:pStyle w:val="6"/>
              <w:spacing w:line="221" w:lineRule="auto"/>
              <w:ind w:left="85"/>
              <w:rPr>
                <w:sz w:val="18"/>
                <w:szCs w:val="18"/>
              </w:rPr>
            </w:pPr>
            <w:r>
              <w:rPr>
                <w:spacing w:val="6"/>
                <w:sz w:val="18"/>
                <w:szCs w:val="18"/>
              </w:rPr>
              <w:t>的利</w:t>
            </w:r>
          </w:p>
          <w:p w14:paraId="69A5B383">
            <w:pPr>
              <w:pStyle w:val="6"/>
              <w:spacing w:before="3" w:line="221" w:lineRule="auto"/>
              <w:ind w:left="175"/>
              <w:rPr>
                <w:sz w:val="18"/>
                <w:szCs w:val="18"/>
              </w:rPr>
            </w:pPr>
            <w:r>
              <w:rPr>
                <w:sz w:val="18"/>
                <w:szCs w:val="18"/>
              </w:rPr>
              <w:t>用</w:t>
            </w:r>
          </w:p>
        </w:tc>
        <w:tc>
          <w:tcPr>
            <w:tcW w:w="2644" w:type="dxa"/>
            <w:vAlign w:val="top"/>
          </w:tcPr>
          <w:p w14:paraId="7738B853">
            <w:pPr>
              <w:pStyle w:val="6"/>
              <w:spacing w:before="125" w:line="225" w:lineRule="auto"/>
              <w:ind w:left="71" w:right="206"/>
              <w:rPr>
                <w:sz w:val="18"/>
                <w:szCs w:val="18"/>
              </w:rPr>
            </w:pPr>
            <w:r>
              <w:rPr>
                <w:spacing w:val="1"/>
                <w:sz w:val="18"/>
                <w:szCs w:val="18"/>
              </w:rPr>
              <w:t>1.杂种优势的概念与表现特点 2.杂交种的类别</w:t>
            </w:r>
          </w:p>
          <w:p w14:paraId="28EE9C8E">
            <w:pPr>
              <w:pStyle w:val="6"/>
              <w:spacing w:before="1" w:line="217" w:lineRule="auto"/>
              <w:ind w:left="71" w:right="413"/>
              <w:rPr>
                <w:sz w:val="18"/>
                <w:szCs w:val="18"/>
              </w:rPr>
            </w:pPr>
            <w:r>
              <w:rPr>
                <w:spacing w:val="-1"/>
                <w:sz w:val="18"/>
                <w:szCs w:val="18"/>
              </w:rPr>
              <w:t>3.利用杂种优势的基本条件</w:t>
            </w:r>
            <w:r>
              <w:rPr>
                <w:spacing w:val="1"/>
                <w:sz w:val="18"/>
                <w:szCs w:val="18"/>
              </w:rPr>
              <w:t xml:space="preserve"> </w:t>
            </w:r>
            <w:r>
              <w:rPr>
                <w:spacing w:val="-1"/>
                <w:sz w:val="18"/>
                <w:szCs w:val="18"/>
              </w:rPr>
              <w:t>4.杂交种种子的生产方法</w:t>
            </w:r>
          </w:p>
          <w:p w14:paraId="7FCC24E2">
            <w:pPr>
              <w:pStyle w:val="6"/>
              <w:spacing w:before="26" w:line="219" w:lineRule="auto"/>
              <w:ind w:left="71"/>
              <w:rPr>
                <w:sz w:val="18"/>
                <w:szCs w:val="18"/>
              </w:rPr>
            </w:pPr>
            <w:r>
              <w:rPr>
                <w:spacing w:val="-2"/>
                <w:sz w:val="18"/>
                <w:szCs w:val="18"/>
              </w:rPr>
              <w:t>5.杂交制种技术</w:t>
            </w:r>
          </w:p>
        </w:tc>
        <w:tc>
          <w:tcPr>
            <w:tcW w:w="229" w:type="dxa"/>
            <w:vAlign w:val="top"/>
          </w:tcPr>
          <w:p w14:paraId="64D47381">
            <w:pPr>
              <w:rPr>
                <w:rFonts w:ascii="Arial"/>
                <w:sz w:val="21"/>
              </w:rPr>
            </w:pPr>
          </w:p>
        </w:tc>
        <w:tc>
          <w:tcPr>
            <w:tcW w:w="229" w:type="dxa"/>
            <w:vAlign w:val="top"/>
          </w:tcPr>
          <w:p w14:paraId="373EBA6C">
            <w:pPr>
              <w:rPr>
                <w:rFonts w:ascii="Arial"/>
                <w:sz w:val="21"/>
              </w:rPr>
            </w:pPr>
          </w:p>
        </w:tc>
        <w:tc>
          <w:tcPr>
            <w:tcW w:w="230" w:type="dxa"/>
            <w:vAlign w:val="top"/>
          </w:tcPr>
          <w:p w14:paraId="68A12D61">
            <w:pPr>
              <w:spacing w:line="350" w:lineRule="auto"/>
              <w:rPr>
                <w:rFonts w:ascii="Arial"/>
                <w:sz w:val="21"/>
              </w:rPr>
            </w:pPr>
          </w:p>
          <w:p w14:paraId="6E3883A9">
            <w:pPr>
              <w:spacing w:line="350" w:lineRule="auto"/>
              <w:rPr>
                <w:rFonts w:ascii="Arial"/>
                <w:sz w:val="21"/>
              </w:rPr>
            </w:pPr>
          </w:p>
          <w:p w14:paraId="7D18A03C">
            <w:pPr>
              <w:pStyle w:val="6"/>
              <w:spacing w:before="59" w:line="238" w:lineRule="auto"/>
              <w:ind w:left="19"/>
              <w:rPr>
                <w:sz w:val="18"/>
                <w:szCs w:val="18"/>
              </w:rPr>
            </w:pPr>
            <w:r>
              <w:rPr>
                <w:sz w:val="18"/>
                <w:szCs w:val="18"/>
              </w:rPr>
              <w:t>√</w:t>
            </w:r>
          </w:p>
        </w:tc>
        <w:tc>
          <w:tcPr>
            <w:tcW w:w="244" w:type="dxa"/>
            <w:vAlign w:val="top"/>
          </w:tcPr>
          <w:p w14:paraId="63924391">
            <w:pPr>
              <w:rPr>
                <w:rFonts w:ascii="Arial"/>
                <w:sz w:val="21"/>
              </w:rPr>
            </w:pPr>
          </w:p>
        </w:tc>
      </w:tr>
    </w:tbl>
    <w:p w14:paraId="2875F51A">
      <w:pPr>
        <w:spacing w:before="128" w:line="221" w:lineRule="auto"/>
        <w:ind w:left="1077"/>
        <w:rPr>
          <w:rFonts w:ascii="黑体" w:hAnsi="黑体" w:eastAsia="黑体" w:cs="黑体"/>
          <w:sz w:val="20"/>
          <w:szCs w:val="20"/>
        </w:rPr>
      </w:pPr>
      <w:r>
        <w:rPr>
          <w:rFonts w:ascii="黑体" w:hAnsi="黑体" w:eastAsia="黑体" w:cs="黑体"/>
          <w:b/>
          <w:bCs/>
          <w:spacing w:val="-5"/>
          <w:sz w:val="20"/>
          <w:szCs w:val="20"/>
        </w:rPr>
        <w:t>三、植物组织培养基础</w:t>
      </w:r>
    </w:p>
    <w:p w14:paraId="3A018A3A">
      <w:pPr>
        <w:spacing w:line="161" w:lineRule="exact"/>
      </w:pPr>
    </w:p>
    <w:tbl>
      <w:tblPr>
        <w:tblStyle w:val="5"/>
        <w:tblW w:w="413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54"/>
        <w:gridCol w:w="2644"/>
        <w:gridCol w:w="229"/>
        <w:gridCol w:w="229"/>
        <w:gridCol w:w="230"/>
        <w:gridCol w:w="244"/>
      </w:tblGrid>
      <w:tr w14:paraId="620FA1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4" w:hRule="atLeast"/>
        </w:trPr>
        <w:tc>
          <w:tcPr>
            <w:tcW w:w="554" w:type="dxa"/>
            <w:vMerge w:val="restart"/>
            <w:tcBorders>
              <w:bottom w:val="nil"/>
            </w:tcBorders>
            <w:vAlign w:val="top"/>
          </w:tcPr>
          <w:p w14:paraId="69CE07CB">
            <w:pPr>
              <w:pStyle w:val="6"/>
              <w:spacing w:before="81" w:line="225" w:lineRule="auto"/>
              <w:ind w:left="17" w:firstLine="69"/>
              <w:rPr>
                <w:sz w:val="18"/>
                <w:szCs w:val="18"/>
              </w:rPr>
            </w:pPr>
            <w:r>
              <w:rPr>
                <w:b/>
                <w:bCs/>
                <w:spacing w:val="-9"/>
                <w:sz w:val="18"/>
                <w:szCs w:val="18"/>
              </w:rPr>
              <w:t>知识</w:t>
            </w:r>
            <w:r>
              <w:rPr>
                <w:sz w:val="18"/>
                <w:szCs w:val="18"/>
              </w:rPr>
              <w:t xml:space="preserve">  </w:t>
            </w:r>
            <w:r>
              <w:rPr>
                <w:b/>
                <w:bCs/>
                <w:spacing w:val="-7"/>
                <w:sz w:val="18"/>
                <w:szCs w:val="18"/>
              </w:rPr>
              <w:t>与技能</w:t>
            </w:r>
            <w:r>
              <w:rPr>
                <w:sz w:val="18"/>
                <w:szCs w:val="18"/>
              </w:rPr>
              <w:t xml:space="preserve"> </w:t>
            </w:r>
            <w:r>
              <w:rPr>
                <w:b/>
                <w:bCs/>
                <w:spacing w:val="28"/>
                <w:sz w:val="18"/>
                <w:szCs w:val="18"/>
              </w:rPr>
              <w:t>要点</w:t>
            </w:r>
          </w:p>
        </w:tc>
        <w:tc>
          <w:tcPr>
            <w:tcW w:w="2644" w:type="dxa"/>
            <w:vMerge w:val="restart"/>
            <w:tcBorders>
              <w:bottom w:val="nil"/>
            </w:tcBorders>
            <w:vAlign w:val="top"/>
          </w:tcPr>
          <w:p w14:paraId="1C901581">
            <w:pPr>
              <w:pStyle w:val="6"/>
              <w:spacing w:before="299" w:line="219" w:lineRule="auto"/>
              <w:ind w:left="993"/>
              <w:rPr>
                <w:sz w:val="18"/>
                <w:szCs w:val="18"/>
              </w:rPr>
            </w:pPr>
            <w:r>
              <w:rPr>
                <w:b/>
                <w:bCs/>
                <w:spacing w:val="5"/>
                <w:sz w:val="18"/>
                <w:szCs w:val="18"/>
              </w:rPr>
              <w:t>考试条目</w:t>
            </w:r>
          </w:p>
        </w:tc>
        <w:tc>
          <w:tcPr>
            <w:tcW w:w="932" w:type="dxa"/>
            <w:gridSpan w:val="4"/>
            <w:vAlign w:val="top"/>
          </w:tcPr>
          <w:p w14:paraId="061E4AA0">
            <w:pPr>
              <w:pStyle w:val="6"/>
              <w:spacing w:before="109" w:line="219" w:lineRule="auto"/>
              <w:ind w:left="119"/>
              <w:rPr>
                <w:sz w:val="18"/>
                <w:szCs w:val="18"/>
              </w:rPr>
            </w:pPr>
            <w:r>
              <w:rPr>
                <w:b/>
                <w:bCs/>
                <w:spacing w:val="-4"/>
                <w:sz w:val="18"/>
                <w:szCs w:val="18"/>
              </w:rPr>
              <w:t>考试水平</w:t>
            </w:r>
          </w:p>
        </w:tc>
      </w:tr>
      <w:tr w14:paraId="187BBB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554" w:type="dxa"/>
            <w:vMerge w:val="continue"/>
            <w:tcBorders>
              <w:top w:val="nil"/>
            </w:tcBorders>
            <w:vAlign w:val="top"/>
          </w:tcPr>
          <w:p w14:paraId="4EDBC9E1">
            <w:pPr>
              <w:rPr>
                <w:rFonts w:ascii="Arial"/>
                <w:sz w:val="21"/>
              </w:rPr>
            </w:pPr>
          </w:p>
        </w:tc>
        <w:tc>
          <w:tcPr>
            <w:tcW w:w="2644" w:type="dxa"/>
            <w:vMerge w:val="continue"/>
            <w:tcBorders>
              <w:top w:val="nil"/>
            </w:tcBorders>
            <w:vAlign w:val="top"/>
          </w:tcPr>
          <w:p w14:paraId="3C670FCE">
            <w:pPr>
              <w:rPr>
                <w:rFonts w:ascii="Arial"/>
                <w:sz w:val="21"/>
              </w:rPr>
            </w:pPr>
          </w:p>
        </w:tc>
        <w:tc>
          <w:tcPr>
            <w:tcW w:w="229" w:type="dxa"/>
            <w:vAlign w:val="top"/>
          </w:tcPr>
          <w:p w14:paraId="5B940C39">
            <w:pPr>
              <w:pStyle w:val="6"/>
              <w:spacing w:before="143" w:line="184" w:lineRule="auto"/>
              <w:ind w:left="17"/>
              <w:rPr>
                <w:sz w:val="18"/>
                <w:szCs w:val="18"/>
              </w:rPr>
            </w:pPr>
            <w:r>
              <w:rPr>
                <w:sz w:val="18"/>
                <w:szCs w:val="18"/>
              </w:rPr>
              <w:t>A</w:t>
            </w:r>
          </w:p>
        </w:tc>
        <w:tc>
          <w:tcPr>
            <w:tcW w:w="229" w:type="dxa"/>
            <w:vAlign w:val="top"/>
          </w:tcPr>
          <w:p w14:paraId="4B371BAE">
            <w:pPr>
              <w:pStyle w:val="6"/>
              <w:spacing w:before="145" w:line="182" w:lineRule="auto"/>
              <w:ind w:left="28"/>
              <w:rPr>
                <w:sz w:val="18"/>
                <w:szCs w:val="18"/>
              </w:rPr>
            </w:pPr>
            <w:r>
              <w:rPr>
                <w:sz w:val="18"/>
                <w:szCs w:val="18"/>
              </w:rPr>
              <w:t>B</w:t>
            </w:r>
          </w:p>
        </w:tc>
        <w:tc>
          <w:tcPr>
            <w:tcW w:w="230" w:type="dxa"/>
            <w:vAlign w:val="top"/>
          </w:tcPr>
          <w:p w14:paraId="5F60791F">
            <w:pPr>
              <w:pStyle w:val="6"/>
              <w:spacing w:before="144" w:line="183" w:lineRule="auto"/>
              <w:ind w:left="19"/>
              <w:rPr>
                <w:sz w:val="18"/>
                <w:szCs w:val="18"/>
              </w:rPr>
            </w:pPr>
            <w:r>
              <w:rPr>
                <w:sz w:val="18"/>
                <w:szCs w:val="18"/>
              </w:rPr>
              <w:t>C</w:t>
            </w:r>
          </w:p>
        </w:tc>
        <w:tc>
          <w:tcPr>
            <w:tcW w:w="244" w:type="dxa"/>
            <w:vAlign w:val="top"/>
          </w:tcPr>
          <w:p w14:paraId="607F2644">
            <w:pPr>
              <w:pStyle w:val="6"/>
              <w:spacing w:before="145" w:line="182" w:lineRule="auto"/>
              <w:ind w:left="29"/>
              <w:rPr>
                <w:sz w:val="18"/>
                <w:szCs w:val="18"/>
              </w:rPr>
            </w:pPr>
            <w:r>
              <w:rPr>
                <w:sz w:val="18"/>
                <w:szCs w:val="18"/>
              </w:rPr>
              <w:t>D</w:t>
            </w:r>
          </w:p>
        </w:tc>
      </w:tr>
      <w:tr w14:paraId="163814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4" w:hRule="atLeast"/>
        </w:trPr>
        <w:tc>
          <w:tcPr>
            <w:tcW w:w="554" w:type="dxa"/>
            <w:tcBorders>
              <w:bottom w:val="nil"/>
            </w:tcBorders>
            <w:vAlign w:val="top"/>
          </w:tcPr>
          <w:p w14:paraId="39B81AC2">
            <w:pPr>
              <w:pStyle w:val="6"/>
              <w:spacing w:before="149" w:line="189" w:lineRule="auto"/>
              <w:ind w:left="85"/>
              <w:rPr>
                <w:sz w:val="18"/>
                <w:szCs w:val="18"/>
              </w:rPr>
            </w:pPr>
            <w:r>
              <w:rPr>
                <w:spacing w:val="-2"/>
                <w:sz w:val="18"/>
                <w:szCs w:val="18"/>
              </w:rPr>
              <w:t>植物</w:t>
            </w:r>
          </w:p>
        </w:tc>
        <w:tc>
          <w:tcPr>
            <w:tcW w:w="2644" w:type="dxa"/>
            <w:tcBorders>
              <w:bottom w:val="nil"/>
            </w:tcBorders>
            <w:vAlign w:val="top"/>
          </w:tcPr>
          <w:p w14:paraId="44E9D1FA">
            <w:pPr>
              <w:pStyle w:val="6"/>
              <w:spacing w:before="149" w:line="189" w:lineRule="auto"/>
              <w:ind w:left="71"/>
              <w:rPr>
                <w:sz w:val="18"/>
                <w:szCs w:val="18"/>
              </w:rPr>
            </w:pPr>
            <w:r>
              <w:rPr>
                <w:sz w:val="18"/>
                <w:szCs w:val="18"/>
              </w:rPr>
              <w:t>1.植物组织培养的相关概念</w:t>
            </w:r>
          </w:p>
        </w:tc>
        <w:tc>
          <w:tcPr>
            <w:tcW w:w="229" w:type="dxa"/>
            <w:tcBorders>
              <w:bottom w:val="nil"/>
            </w:tcBorders>
            <w:vAlign w:val="top"/>
          </w:tcPr>
          <w:p w14:paraId="59AC1904">
            <w:pPr>
              <w:rPr>
                <w:rFonts w:ascii="Arial"/>
                <w:sz w:val="21"/>
              </w:rPr>
            </w:pPr>
          </w:p>
        </w:tc>
        <w:tc>
          <w:tcPr>
            <w:tcW w:w="229" w:type="dxa"/>
            <w:tcBorders>
              <w:bottom w:val="nil"/>
            </w:tcBorders>
            <w:vAlign w:val="top"/>
          </w:tcPr>
          <w:p w14:paraId="63443266">
            <w:pPr>
              <w:rPr>
                <w:rFonts w:ascii="Arial"/>
                <w:sz w:val="21"/>
              </w:rPr>
            </w:pPr>
          </w:p>
        </w:tc>
        <w:tc>
          <w:tcPr>
            <w:tcW w:w="230" w:type="dxa"/>
            <w:tcBorders>
              <w:bottom w:val="nil"/>
            </w:tcBorders>
            <w:vAlign w:val="top"/>
          </w:tcPr>
          <w:p w14:paraId="5815DAB9">
            <w:pPr>
              <w:rPr>
                <w:rFonts w:ascii="Arial"/>
                <w:sz w:val="21"/>
              </w:rPr>
            </w:pPr>
          </w:p>
        </w:tc>
        <w:tc>
          <w:tcPr>
            <w:tcW w:w="244" w:type="dxa"/>
            <w:tcBorders>
              <w:bottom w:val="nil"/>
            </w:tcBorders>
            <w:vAlign w:val="top"/>
          </w:tcPr>
          <w:p w14:paraId="727B38A2">
            <w:pPr>
              <w:rPr>
                <w:rFonts w:ascii="Arial"/>
                <w:sz w:val="21"/>
              </w:rPr>
            </w:pPr>
          </w:p>
        </w:tc>
      </w:tr>
      <w:tr w14:paraId="11E8B8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9" w:hRule="atLeast"/>
        </w:trPr>
        <w:tc>
          <w:tcPr>
            <w:tcW w:w="554" w:type="dxa"/>
            <w:tcBorders>
              <w:top w:val="nil"/>
              <w:bottom w:val="nil"/>
            </w:tcBorders>
            <w:vAlign w:val="top"/>
          </w:tcPr>
          <w:p w14:paraId="25D9A2D6">
            <w:pPr>
              <w:pStyle w:val="6"/>
              <w:spacing w:before="29" w:line="174" w:lineRule="auto"/>
              <w:ind w:left="85"/>
              <w:rPr>
                <w:sz w:val="18"/>
                <w:szCs w:val="18"/>
              </w:rPr>
            </w:pPr>
            <w:r>
              <w:rPr>
                <w:spacing w:val="-3"/>
                <w:sz w:val="18"/>
                <w:szCs w:val="18"/>
              </w:rPr>
              <w:t>组织</w:t>
            </w:r>
          </w:p>
        </w:tc>
        <w:tc>
          <w:tcPr>
            <w:tcW w:w="2644" w:type="dxa"/>
            <w:tcBorders>
              <w:top w:val="nil"/>
              <w:bottom w:val="nil"/>
            </w:tcBorders>
            <w:vAlign w:val="top"/>
          </w:tcPr>
          <w:p w14:paraId="57B2BEEA">
            <w:pPr>
              <w:pStyle w:val="6"/>
              <w:spacing w:before="25" w:line="178" w:lineRule="auto"/>
              <w:ind w:left="71"/>
              <w:rPr>
                <w:sz w:val="18"/>
                <w:szCs w:val="18"/>
              </w:rPr>
            </w:pPr>
            <w:r>
              <w:rPr>
                <w:spacing w:val="-1"/>
                <w:sz w:val="18"/>
                <w:szCs w:val="18"/>
              </w:rPr>
              <w:t>2.植物组织培养的原理</w:t>
            </w:r>
          </w:p>
        </w:tc>
        <w:tc>
          <w:tcPr>
            <w:tcW w:w="229" w:type="dxa"/>
            <w:tcBorders>
              <w:top w:val="nil"/>
              <w:bottom w:val="nil"/>
            </w:tcBorders>
            <w:vAlign w:val="top"/>
          </w:tcPr>
          <w:p w14:paraId="10D7BF77">
            <w:pPr>
              <w:spacing w:line="199" w:lineRule="exact"/>
              <w:rPr>
                <w:rFonts w:ascii="Arial"/>
                <w:sz w:val="17"/>
              </w:rPr>
            </w:pPr>
          </w:p>
        </w:tc>
        <w:tc>
          <w:tcPr>
            <w:tcW w:w="229" w:type="dxa"/>
            <w:tcBorders>
              <w:top w:val="nil"/>
              <w:bottom w:val="nil"/>
            </w:tcBorders>
            <w:vAlign w:val="top"/>
          </w:tcPr>
          <w:p w14:paraId="55E7C27E">
            <w:pPr>
              <w:spacing w:line="199" w:lineRule="exact"/>
              <w:rPr>
                <w:rFonts w:ascii="Arial"/>
                <w:sz w:val="17"/>
              </w:rPr>
            </w:pPr>
          </w:p>
        </w:tc>
        <w:tc>
          <w:tcPr>
            <w:tcW w:w="230" w:type="dxa"/>
            <w:tcBorders>
              <w:top w:val="nil"/>
              <w:bottom w:val="nil"/>
            </w:tcBorders>
            <w:vAlign w:val="top"/>
          </w:tcPr>
          <w:p w14:paraId="3D8238BF">
            <w:pPr>
              <w:spacing w:line="199" w:lineRule="exact"/>
              <w:rPr>
                <w:rFonts w:ascii="Arial"/>
                <w:sz w:val="17"/>
              </w:rPr>
            </w:pPr>
          </w:p>
        </w:tc>
        <w:tc>
          <w:tcPr>
            <w:tcW w:w="244" w:type="dxa"/>
            <w:tcBorders>
              <w:top w:val="nil"/>
              <w:bottom w:val="nil"/>
            </w:tcBorders>
            <w:vAlign w:val="top"/>
          </w:tcPr>
          <w:p w14:paraId="50B1A6D9">
            <w:pPr>
              <w:spacing w:line="199" w:lineRule="exact"/>
              <w:rPr>
                <w:rFonts w:ascii="Arial"/>
                <w:sz w:val="17"/>
              </w:rPr>
            </w:pPr>
          </w:p>
        </w:tc>
      </w:tr>
      <w:tr w14:paraId="79186D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9" w:hRule="atLeast"/>
        </w:trPr>
        <w:tc>
          <w:tcPr>
            <w:tcW w:w="554" w:type="dxa"/>
            <w:tcBorders>
              <w:top w:val="nil"/>
              <w:bottom w:val="nil"/>
            </w:tcBorders>
            <w:vAlign w:val="top"/>
          </w:tcPr>
          <w:p w14:paraId="0A4E9E1F">
            <w:pPr>
              <w:pStyle w:val="6"/>
              <w:spacing w:before="16" w:line="208" w:lineRule="auto"/>
              <w:ind w:left="85"/>
              <w:rPr>
                <w:sz w:val="18"/>
                <w:szCs w:val="18"/>
              </w:rPr>
            </w:pPr>
            <w:r>
              <w:rPr>
                <w:spacing w:val="-2"/>
                <w:sz w:val="18"/>
                <w:szCs w:val="18"/>
              </w:rPr>
              <w:t>培养</w:t>
            </w:r>
          </w:p>
        </w:tc>
        <w:tc>
          <w:tcPr>
            <w:tcW w:w="2644" w:type="dxa"/>
            <w:tcBorders>
              <w:top w:val="nil"/>
              <w:bottom w:val="nil"/>
            </w:tcBorders>
            <w:vAlign w:val="top"/>
          </w:tcPr>
          <w:p w14:paraId="36DB39EC">
            <w:pPr>
              <w:pStyle w:val="6"/>
              <w:spacing w:before="36" w:line="187" w:lineRule="auto"/>
              <w:ind w:left="71"/>
              <w:rPr>
                <w:sz w:val="18"/>
                <w:szCs w:val="18"/>
              </w:rPr>
            </w:pPr>
            <w:r>
              <w:rPr>
                <w:spacing w:val="1"/>
                <w:sz w:val="18"/>
                <w:szCs w:val="18"/>
              </w:rPr>
              <w:t>3.植物组织培养的类型和特点</w:t>
            </w:r>
          </w:p>
        </w:tc>
        <w:tc>
          <w:tcPr>
            <w:tcW w:w="229" w:type="dxa"/>
            <w:tcBorders>
              <w:top w:val="nil"/>
              <w:bottom w:val="nil"/>
            </w:tcBorders>
            <w:vAlign w:val="top"/>
          </w:tcPr>
          <w:p w14:paraId="14FF59DC">
            <w:pPr>
              <w:spacing w:line="219" w:lineRule="exact"/>
              <w:rPr>
                <w:rFonts w:ascii="Arial"/>
                <w:sz w:val="19"/>
              </w:rPr>
            </w:pPr>
          </w:p>
        </w:tc>
        <w:tc>
          <w:tcPr>
            <w:tcW w:w="229" w:type="dxa"/>
            <w:tcBorders>
              <w:top w:val="nil"/>
              <w:bottom w:val="nil"/>
            </w:tcBorders>
            <w:vAlign w:val="top"/>
          </w:tcPr>
          <w:p w14:paraId="1247E596">
            <w:pPr>
              <w:spacing w:line="219" w:lineRule="exact"/>
              <w:rPr>
                <w:rFonts w:ascii="Arial"/>
                <w:sz w:val="19"/>
              </w:rPr>
            </w:pPr>
          </w:p>
        </w:tc>
        <w:tc>
          <w:tcPr>
            <w:tcW w:w="230" w:type="dxa"/>
            <w:tcBorders>
              <w:top w:val="nil"/>
              <w:bottom w:val="nil"/>
            </w:tcBorders>
            <w:vAlign w:val="top"/>
          </w:tcPr>
          <w:p w14:paraId="3BCC3654">
            <w:pPr>
              <w:spacing w:line="219" w:lineRule="exact"/>
              <w:rPr>
                <w:rFonts w:ascii="Arial"/>
                <w:sz w:val="19"/>
              </w:rPr>
            </w:pPr>
          </w:p>
        </w:tc>
        <w:tc>
          <w:tcPr>
            <w:tcW w:w="244" w:type="dxa"/>
            <w:tcBorders>
              <w:top w:val="nil"/>
              <w:bottom w:val="nil"/>
            </w:tcBorders>
            <w:vAlign w:val="top"/>
          </w:tcPr>
          <w:p w14:paraId="7BFA2192">
            <w:pPr>
              <w:spacing w:line="219" w:lineRule="exact"/>
              <w:rPr>
                <w:rFonts w:ascii="Arial"/>
                <w:sz w:val="19"/>
              </w:rPr>
            </w:pPr>
          </w:p>
        </w:tc>
      </w:tr>
      <w:tr w14:paraId="54D7E0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3" w:hRule="atLeast"/>
        </w:trPr>
        <w:tc>
          <w:tcPr>
            <w:tcW w:w="554" w:type="dxa"/>
            <w:tcBorders>
              <w:top w:val="nil"/>
            </w:tcBorders>
            <w:vAlign w:val="top"/>
          </w:tcPr>
          <w:p w14:paraId="5D4DD785">
            <w:pPr>
              <w:pStyle w:val="6"/>
              <w:spacing w:before="27" w:line="219" w:lineRule="auto"/>
              <w:ind w:left="85"/>
              <w:rPr>
                <w:sz w:val="18"/>
                <w:szCs w:val="18"/>
              </w:rPr>
            </w:pPr>
            <w:r>
              <w:rPr>
                <w:spacing w:val="-2"/>
                <w:sz w:val="18"/>
                <w:szCs w:val="18"/>
              </w:rPr>
              <w:t>概述</w:t>
            </w:r>
          </w:p>
        </w:tc>
        <w:tc>
          <w:tcPr>
            <w:tcW w:w="2644" w:type="dxa"/>
            <w:tcBorders>
              <w:top w:val="nil"/>
            </w:tcBorders>
            <w:vAlign w:val="top"/>
          </w:tcPr>
          <w:p w14:paraId="09D048F8">
            <w:pPr>
              <w:pStyle w:val="6"/>
              <w:spacing w:before="27" w:line="219" w:lineRule="auto"/>
              <w:ind w:left="71"/>
              <w:rPr>
                <w:sz w:val="18"/>
                <w:szCs w:val="18"/>
              </w:rPr>
            </w:pPr>
            <w:r>
              <w:rPr>
                <w:spacing w:val="1"/>
                <w:sz w:val="18"/>
                <w:szCs w:val="18"/>
              </w:rPr>
              <w:t>4.植物组织培养的应用</w:t>
            </w:r>
          </w:p>
        </w:tc>
        <w:tc>
          <w:tcPr>
            <w:tcW w:w="229" w:type="dxa"/>
            <w:tcBorders>
              <w:top w:val="nil"/>
            </w:tcBorders>
            <w:vAlign w:val="top"/>
          </w:tcPr>
          <w:p w14:paraId="472CD3B0">
            <w:pPr>
              <w:rPr>
                <w:rFonts w:ascii="Arial"/>
                <w:sz w:val="21"/>
              </w:rPr>
            </w:pPr>
          </w:p>
        </w:tc>
        <w:tc>
          <w:tcPr>
            <w:tcW w:w="229" w:type="dxa"/>
            <w:tcBorders>
              <w:top w:val="nil"/>
            </w:tcBorders>
            <w:vAlign w:val="top"/>
          </w:tcPr>
          <w:p w14:paraId="4F1B0FC5">
            <w:pPr>
              <w:rPr>
                <w:rFonts w:ascii="Arial"/>
                <w:sz w:val="21"/>
              </w:rPr>
            </w:pPr>
          </w:p>
        </w:tc>
        <w:tc>
          <w:tcPr>
            <w:tcW w:w="230" w:type="dxa"/>
            <w:tcBorders>
              <w:top w:val="nil"/>
            </w:tcBorders>
            <w:vAlign w:val="top"/>
          </w:tcPr>
          <w:p w14:paraId="65F3D67B">
            <w:pPr>
              <w:rPr>
                <w:rFonts w:ascii="Arial"/>
                <w:sz w:val="21"/>
              </w:rPr>
            </w:pPr>
          </w:p>
        </w:tc>
        <w:tc>
          <w:tcPr>
            <w:tcW w:w="244" w:type="dxa"/>
            <w:tcBorders>
              <w:top w:val="nil"/>
            </w:tcBorders>
            <w:vAlign w:val="top"/>
          </w:tcPr>
          <w:p w14:paraId="10590C8E">
            <w:pPr>
              <w:rPr>
                <w:rFonts w:ascii="Arial"/>
                <w:sz w:val="21"/>
              </w:rPr>
            </w:pPr>
          </w:p>
        </w:tc>
      </w:tr>
      <w:tr w14:paraId="2BF165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72" w:hRule="atLeast"/>
        </w:trPr>
        <w:tc>
          <w:tcPr>
            <w:tcW w:w="554" w:type="dxa"/>
            <w:vAlign w:val="top"/>
          </w:tcPr>
          <w:p w14:paraId="4D51649F">
            <w:pPr>
              <w:pStyle w:val="6"/>
              <w:spacing w:before="94" w:line="219" w:lineRule="auto"/>
              <w:ind w:left="85"/>
              <w:rPr>
                <w:sz w:val="18"/>
                <w:szCs w:val="18"/>
              </w:rPr>
            </w:pPr>
            <w:r>
              <w:rPr>
                <w:spacing w:val="4"/>
                <w:sz w:val="18"/>
                <w:szCs w:val="18"/>
              </w:rPr>
              <w:t>消毒</w:t>
            </w:r>
          </w:p>
          <w:p w14:paraId="419C5ADA">
            <w:pPr>
              <w:pStyle w:val="6"/>
              <w:spacing w:before="7" w:line="204" w:lineRule="auto"/>
              <w:ind w:left="85"/>
              <w:rPr>
                <w:sz w:val="18"/>
                <w:szCs w:val="18"/>
              </w:rPr>
            </w:pPr>
            <w:r>
              <w:rPr>
                <w:spacing w:val="-3"/>
                <w:sz w:val="18"/>
                <w:szCs w:val="18"/>
              </w:rPr>
              <w:t>与灭</w:t>
            </w:r>
          </w:p>
          <w:p w14:paraId="44DFE273">
            <w:pPr>
              <w:pStyle w:val="6"/>
              <w:spacing w:line="219" w:lineRule="auto"/>
              <w:ind w:left="175"/>
              <w:rPr>
                <w:sz w:val="18"/>
                <w:szCs w:val="18"/>
              </w:rPr>
            </w:pPr>
            <w:r>
              <w:rPr>
                <w:sz w:val="18"/>
                <w:szCs w:val="18"/>
              </w:rPr>
              <w:t>菌</w:t>
            </w:r>
          </w:p>
        </w:tc>
        <w:tc>
          <w:tcPr>
            <w:tcW w:w="2644" w:type="dxa"/>
            <w:vAlign w:val="top"/>
          </w:tcPr>
          <w:p w14:paraId="496344C6">
            <w:pPr>
              <w:pStyle w:val="6"/>
              <w:spacing w:before="204" w:line="217" w:lineRule="auto"/>
              <w:ind w:left="71" w:right="1114"/>
              <w:rPr>
                <w:sz w:val="18"/>
                <w:szCs w:val="18"/>
              </w:rPr>
            </w:pPr>
            <w:r>
              <w:rPr>
                <w:sz w:val="18"/>
                <w:szCs w:val="18"/>
              </w:rPr>
              <w:t>1.灭菌与消毒技术</w:t>
            </w:r>
            <w:r>
              <w:rPr>
                <w:spacing w:val="7"/>
                <w:sz w:val="18"/>
                <w:szCs w:val="18"/>
              </w:rPr>
              <w:t xml:space="preserve"> </w:t>
            </w:r>
            <w:r>
              <w:rPr>
                <w:spacing w:val="1"/>
                <w:sz w:val="18"/>
                <w:szCs w:val="18"/>
              </w:rPr>
              <w:t>2.组培室的灭菌</w:t>
            </w:r>
          </w:p>
        </w:tc>
        <w:tc>
          <w:tcPr>
            <w:tcW w:w="229" w:type="dxa"/>
            <w:vAlign w:val="top"/>
          </w:tcPr>
          <w:p w14:paraId="68CD3161">
            <w:pPr>
              <w:rPr>
                <w:rFonts w:ascii="Arial"/>
                <w:sz w:val="21"/>
              </w:rPr>
            </w:pPr>
          </w:p>
        </w:tc>
        <w:tc>
          <w:tcPr>
            <w:tcW w:w="229" w:type="dxa"/>
            <w:vAlign w:val="top"/>
          </w:tcPr>
          <w:p w14:paraId="158F64F6">
            <w:pPr>
              <w:rPr>
                <w:rFonts w:ascii="Arial"/>
                <w:sz w:val="21"/>
              </w:rPr>
            </w:pPr>
          </w:p>
        </w:tc>
        <w:tc>
          <w:tcPr>
            <w:tcW w:w="230" w:type="dxa"/>
            <w:vAlign w:val="top"/>
          </w:tcPr>
          <w:p w14:paraId="09C54E51">
            <w:pPr>
              <w:rPr>
                <w:rFonts w:ascii="Arial"/>
                <w:sz w:val="21"/>
              </w:rPr>
            </w:pPr>
          </w:p>
        </w:tc>
        <w:tc>
          <w:tcPr>
            <w:tcW w:w="244" w:type="dxa"/>
            <w:vAlign w:val="top"/>
          </w:tcPr>
          <w:p w14:paraId="3847C172">
            <w:pPr>
              <w:rPr>
                <w:rFonts w:ascii="Arial"/>
                <w:sz w:val="21"/>
              </w:rPr>
            </w:pPr>
          </w:p>
        </w:tc>
      </w:tr>
    </w:tbl>
    <w:p w14:paraId="6FF86B27">
      <w:pPr>
        <w:spacing w:before="120" w:line="222" w:lineRule="auto"/>
        <w:ind w:left="1177"/>
        <w:rPr>
          <w:rFonts w:ascii="黑体" w:hAnsi="黑体" w:eastAsia="黑体" w:cs="黑体"/>
          <w:sz w:val="20"/>
          <w:szCs w:val="20"/>
        </w:rPr>
      </w:pPr>
      <w:r>
        <w:rPr>
          <w:rFonts w:ascii="黑体" w:hAnsi="黑体" w:eastAsia="黑体" w:cs="黑体"/>
          <w:b/>
          <w:bCs/>
          <w:spacing w:val="-7"/>
          <w:sz w:val="20"/>
          <w:szCs w:val="20"/>
        </w:rPr>
        <w:t>四、农业微生物技术</w:t>
      </w:r>
    </w:p>
    <w:p w14:paraId="6861C477">
      <w:pPr>
        <w:spacing w:line="159" w:lineRule="exact"/>
      </w:pPr>
    </w:p>
    <w:tbl>
      <w:tblPr>
        <w:tblStyle w:val="5"/>
        <w:tblW w:w="413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54"/>
        <w:gridCol w:w="2644"/>
        <w:gridCol w:w="229"/>
        <w:gridCol w:w="229"/>
        <w:gridCol w:w="230"/>
        <w:gridCol w:w="244"/>
      </w:tblGrid>
      <w:tr w14:paraId="6E296C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9" w:hRule="atLeast"/>
        </w:trPr>
        <w:tc>
          <w:tcPr>
            <w:tcW w:w="554" w:type="dxa"/>
            <w:vMerge w:val="restart"/>
            <w:tcBorders>
              <w:top w:val="single" w:color="000000" w:sz="2" w:space="0"/>
              <w:bottom w:val="nil"/>
            </w:tcBorders>
            <w:vAlign w:val="top"/>
          </w:tcPr>
          <w:p w14:paraId="33D24F70">
            <w:pPr>
              <w:pStyle w:val="6"/>
              <w:spacing w:before="97" w:line="233" w:lineRule="auto"/>
              <w:ind w:left="17" w:right="26" w:firstLine="79"/>
            </w:pPr>
            <w:r>
              <w:rPr>
                <w:b/>
                <w:bCs/>
                <w:spacing w:val="-7"/>
              </w:rPr>
              <w:t>知识</w:t>
            </w:r>
            <w:r>
              <w:t xml:space="preserve">  </w:t>
            </w:r>
            <w:r>
              <w:rPr>
                <w:b/>
                <w:bCs/>
                <w:spacing w:val="-6"/>
              </w:rPr>
              <w:t>与技能</w:t>
            </w:r>
            <w:r>
              <w:rPr>
                <w:spacing w:val="1"/>
              </w:rPr>
              <w:t xml:space="preserve"> </w:t>
            </w:r>
            <w:r>
              <w:rPr>
                <w:b/>
                <w:bCs/>
                <w:spacing w:val="34"/>
              </w:rPr>
              <w:t>要点</w:t>
            </w:r>
          </w:p>
        </w:tc>
        <w:tc>
          <w:tcPr>
            <w:tcW w:w="2644" w:type="dxa"/>
            <w:vMerge w:val="restart"/>
            <w:tcBorders>
              <w:top w:val="single" w:color="000000" w:sz="2" w:space="0"/>
              <w:bottom w:val="nil"/>
            </w:tcBorders>
            <w:vAlign w:val="top"/>
          </w:tcPr>
          <w:p w14:paraId="18679C5E">
            <w:pPr>
              <w:spacing w:line="247" w:lineRule="auto"/>
              <w:rPr>
                <w:rFonts w:ascii="Arial"/>
                <w:sz w:val="21"/>
              </w:rPr>
            </w:pPr>
          </w:p>
          <w:p w14:paraId="56F769C5">
            <w:pPr>
              <w:pStyle w:val="6"/>
              <w:spacing w:before="55" w:line="219" w:lineRule="auto"/>
              <w:ind w:left="993"/>
            </w:pPr>
            <w:r>
              <w:rPr>
                <w:b/>
                <w:bCs/>
                <w:spacing w:val="5"/>
              </w:rPr>
              <w:t>考试条目</w:t>
            </w:r>
          </w:p>
        </w:tc>
        <w:tc>
          <w:tcPr>
            <w:tcW w:w="932" w:type="dxa"/>
            <w:gridSpan w:val="4"/>
            <w:tcBorders>
              <w:top w:val="single" w:color="000000" w:sz="2" w:space="0"/>
              <w:bottom w:val="single" w:color="000000" w:sz="2" w:space="0"/>
            </w:tcBorders>
            <w:vAlign w:val="top"/>
          </w:tcPr>
          <w:p w14:paraId="441CA076">
            <w:pPr>
              <w:pStyle w:val="6"/>
              <w:spacing w:before="114" w:line="219" w:lineRule="auto"/>
              <w:ind w:left="119"/>
            </w:pPr>
            <w:r>
              <w:rPr>
                <w:b/>
                <w:bCs/>
                <w:spacing w:val="-4"/>
              </w:rPr>
              <w:t>考试水平</w:t>
            </w:r>
          </w:p>
        </w:tc>
      </w:tr>
      <w:tr w14:paraId="17D5EC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4" w:hRule="atLeast"/>
        </w:trPr>
        <w:tc>
          <w:tcPr>
            <w:tcW w:w="554" w:type="dxa"/>
            <w:vMerge w:val="continue"/>
            <w:tcBorders>
              <w:top w:val="nil"/>
              <w:bottom w:val="single" w:color="000000" w:sz="2" w:space="0"/>
            </w:tcBorders>
            <w:vAlign w:val="top"/>
          </w:tcPr>
          <w:p w14:paraId="20A8150D">
            <w:pPr>
              <w:rPr>
                <w:rFonts w:ascii="Arial"/>
                <w:sz w:val="21"/>
              </w:rPr>
            </w:pPr>
          </w:p>
        </w:tc>
        <w:tc>
          <w:tcPr>
            <w:tcW w:w="2644" w:type="dxa"/>
            <w:vMerge w:val="continue"/>
            <w:tcBorders>
              <w:top w:val="nil"/>
              <w:bottom w:val="single" w:color="000000" w:sz="2" w:space="0"/>
            </w:tcBorders>
            <w:vAlign w:val="top"/>
          </w:tcPr>
          <w:p w14:paraId="6B5EBF18">
            <w:pPr>
              <w:rPr>
                <w:rFonts w:ascii="Arial"/>
                <w:sz w:val="21"/>
              </w:rPr>
            </w:pPr>
          </w:p>
        </w:tc>
        <w:tc>
          <w:tcPr>
            <w:tcW w:w="229" w:type="dxa"/>
            <w:tcBorders>
              <w:top w:val="single" w:color="000000" w:sz="2" w:space="0"/>
              <w:bottom w:val="single" w:color="000000" w:sz="2" w:space="0"/>
            </w:tcBorders>
            <w:vAlign w:val="top"/>
          </w:tcPr>
          <w:p w14:paraId="0DF1EBD2">
            <w:pPr>
              <w:pStyle w:val="6"/>
              <w:spacing w:before="145" w:line="184" w:lineRule="auto"/>
              <w:ind w:left="17"/>
            </w:pPr>
            <w:r>
              <w:t>A</w:t>
            </w:r>
          </w:p>
        </w:tc>
        <w:tc>
          <w:tcPr>
            <w:tcW w:w="229" w:type="dxa"/>
            <w:tcBorders>
              <w:top w:val="single" w:color="000000" w:sz="2" w:space="0"/>
              <w:bottom w:val="single" w:color="000000" w:sz="2" w:space="0"/>
            </w:tcBorders>
            <w:vAlign w:val="top"/>
          </w:tcPr>
          <w:p w14:paraId="20222572">
            <w:pPr>
              <w:pStyle w:val="6"/>
              <w:spacing w:before="147" w:line="182" w:lineRule="auto"/>
              <w:ind w:left="38"/>
            </w:pPr>
            <w:r>
              <w:t>B</w:t>
            </w:r>
          </w:p>
        </w:tc>
        <w:tc>
          <w:tcPr>
            <w:tcW w:w="230" w:type="dxa"/>
            <w:tcBorders>
              <w:top w:val="single" w:color="000000" w:sz="2" w:space="0"/>
              <w:bottom w:val="single" w:color="000000" w:sz="2" w:space="0"/>
            </w:tcBorders>
            <w:vAlign w:val="top"/>
          </w:tcPr>
          <w:p w14:paraId="2354B9E5">
            <w:pPr>
              <w:pStyle w:val="6"/>
              <w:spacing w:before="146" w:line="183" w:lineRule="auto"/>
              <w:ind w:left="48"/>
            </w:pPr>
            <w:r>
              <w:t>C</w:t>
            </w:r>
          </w:p>
        </w:tc>
        <w:tc>
          <w:tcPr>
            <w:tcW w:w="244" w:type="dxa"/>
            <w:tcBorders>
              <w:top w:val="single" w:color="000000" w:sz="2" w:space="0"/>
              <w:bottom w:val="single" w:color="000000" w:sz="2" w:space="0"/>
            </w:tcBorders>
            <w:vAlign w:val="top"/>
          </w:tcPr>
          <w:p w14:paraId="2029218E">
            <w:pPr>
              <w:pStyle w:val="6"/>
              <w:spacing w:before="147" w:line="182" w:lineRule="auto"/>
              <w:ind w:left="29"/>
            </w:pPr>
            <w:r>
              <w:t>D</w:t>
            </w:r>
          </w:p>
        </w:tc>
      </w:tr>
      <w:tr w14:paraId="535B14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63" w:hRule="atLeast"/>
        </w:trPr>
        <w:tc>
          <w:tcPr>
            <w:tcW w:w="554" w:type="dxa"/>
            <w:tcBorders>
              <w:top w:val="single" w:color="000000" w:sz="2" w:space="0"/>
              <w:bottom w:val="single" w:color="000000" w:sz="2" w:space="0"/>
            </w:tcBorders>
            <w:vAlign w:val="top"/>
          </w:tcPr>
          <w:p w14:paraId="699FBFC2">
            <w:pPr>
              <w:pStyle w:val="6"/>
              <w:spacing w:before="183" w:line="219" w:lineRule="auto"/>
              <w:ind w:left="94"/>
            </w:pPr>
            <w:r>
              <w:rPr>
                <w:spacing w:val="-2"/>
              </w:rPr>
              <w:t>微生</w:t>
            </w:r>
          </w:p>
          <w:p w14:paraId="1E2F23DC">
            <w:pPr>
              <w:pStyle w:val="6"/>
              <w:spacing w:before="8" w:line="220" w:lineRule="auto"/>
              <w:ind w:left="94"/>
            </w:pPr>
            <w:r>
              <w:rPr>
                <w:spacing w:val="-2"/>
              </w:rPr>
              <w:t>物营</w:t>
            </w:r>
          </w:p>
          <w:p w14:paraId="4CDFF688">
            <w:pPr>
              <w:pStyle w:val="6"/>
              <w:spacing w:before="26" w:line="219" w:lineRule="auto"/>
              <w:ind w:left="94"/>
            </w:pPr>
            <w:r>
              <w:rPr>
                <w:spacing w:val="-2"/>
              </w:rPr>
              <w:t>养代</w:t>
            </w:r>
          </w:p>
          <w:p w14:paraId="05E335B7">
            <w:pPr>
              <w:pStyle w:val="6"/>
              <w:spacing w:before="9" w:line="221" w:lineRule="auto"/>
              <w:ind w:left="185"/>
            </w:pPr>
            <w:r>
              <w:t>谢</w:t>
            </w:r>
          </w:p>
        </w:tc>
        <w:tc>
          <w:tcPr>
            <w:tcW w:w="2644" w:type="dxa"/>
            <w:tcBorders>
              <w:top w:val="single" w:color="000000" w:sz="2" w:space="0"/>
              <w:bottom w:val="single" w:color="000000" w:sz="2" w:space="0"/>
            </w:tcBorders>
            <w:vAlign w:val="top"/>
          </w:tcPr>
          <w:p w14:paraId="502674DF">
            <w:pPr>
              <w:pStyle w:val="6"/>
              <w:spacing w:before="293" w:line="236" w:lineRule="auto"/>
              <w:ind w:left="60" w:right="1051"/>
            </w:pPr>
            <w:r>
              <w:rPr>
                <w:spacing w:val="2"/>
              </w:rPr>
              <w:t>1.微生物营养物质</w:t>
            </w:r>
            <w:r>
              <w:t xml:space="preserve">  </w:t>
            </w:r>
            <w:r>
              <w:rPr>
                <w:spacing w:val="-1"/>
              </w:rPr>
              <w:t>2.微生物的营养类型</w:t>
            </w:r>
            <w:r>
              <w:t xml:space="preserve"> </w:t>
            </w:r>
            <w:r>
              <w:rPr>
                <w:spacing w:val="-2"/>
              </w:rPr>
              <w:t>3.微生物培养基</w:t>
            </w:r>
          </w:p>
        </w:tc>
        <w:tc>
          <w:tcPr>
            <w:tcW w:w="229" w:type="dxa"/>
            <w:tcBorders>
              <w:top w:val="single" w:color="000000" w:sz="2" w:space="0"/>
              <w:bottom w:val="single" w:color="000000" w:sz="2" w:space="0"/>
            </w:tcBorders>
            <w:vAlign w:val="top"/>
          </w:tcPr>
          <w:p w14:paraId="39A30D81">
            <w:pPr>
              <w:rPr>
                <w:rFonts w:ascii="Arial"/>
                <w:sz w:val="21"/>
              </w:rPr>
            </w:pPr>
          </w:p>
        </w:tc>
        <w:tc>
          <w:tcPr>
            <w:tcW w:w="229" w:type="dxa"/>
            <w:tcBorders>
              <w:top w:val="single" w:color="000000" w:sz="2" w:space="0"/>
              <w:bottom w:val="single" w:color="000000" w:sz="2" w:space="0"/>
            </w:tcBorders>
            <w:vAlign w:val="top"/>
          </w:tcPr>
          <w:p w14:paraId="5D3D6304">
            <w:pPr>
              <w:rPr>
                <w:rFonts w:ascii="Arial"/>
                <w:sz w:val="21"/>
              </w:rPr>
            </w:pPr>
          </w:p>
        </w:tc>
        <w:tc>
          <w:tcPr>
            <w:tcW w:w="230" w:type="dxa"/>
            <w:tcBorders>
              <w:top w:val="single" w:color="000000" w:sz="2" w:space="0"/>
              <w:bottom w:val="single" w:color="000000" w:sz="2" w:space="0"/>
            </w:tcBorders>
            <w:vAlign w:val="top"/>
          </w:tcPr>
          <w:p w14:paraId="5DB1A3AA">
            <w:pPr>
              <w:rPr>
                <w:rFonts w:ascii="Arial"/>
                <w:sz w:val="21"/>
              </w:rPr>
            </w:pPr>
          </w:p>
        </w:tc>
        <w:tc>
          <w:tcPr>
            <w:tcW w:w="244" w:type="dxa"/>
            <w:tcBorders>
              <w:top w:val="single" w:color="000000" w:sz="2" w:space="0"/>
              <w:bottom w:val="single" w:color="000000" w:sz="2" w:space="0"/>
            </w:tcBorders>
            <w:vAlign w:val="top"/>
          </w:tcPr>
          <w:p w14:paraId="461F1799">
            <w:pPr>
              <w:rPr>
                <w:rFonts w:ascii="Arial"/>
                <w:sz w:val="21"/>
              </w:rPr>
            </w:pPr>
          </w:p>
        </w:tc>
      </w:tr>
      <w:tr w14:paraId="2BBDF5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97" w:hRule="atLeast"/>
        </w:trPr>
        <w:tc>
          <w:tcPr>
            <w:tcW w:w="554" w:type="dxa"/>
            <w:tcBorders>
              <w:top w:val="single" w:color="000000" w:sz="2" w:space="0"/>
              <w:bottom w:val="single" w:color="000000" w:sz="2" w:space="0"/>
            </w:tcBorders>
            <w:vAlign w:val="top"/>
          </w:tcPr>
          <w:p w14:paraId="18F54629">
            <w:pPr>
              <w:pStyle w:val="6"/>
              <w:spacing w:before="167" w:line="235" w:lineRule="auto"/>
              <w:ind w:left="94" w:right="23"/>
              <w:jc w:val="both"/>
            </w:pPr>
            <w:r>
              <w:rPr>
                <w:spacing w:val="-4"/>
              </w:rPr>
              <w:t>农业</w:t>
            </w:r>
            <w:r>
              <w:t xml:space="preserve">  </w:t>
            </w:r>
            <w:r>
              <w:rPr>
                <w:spacing w:val="-4"/>
              </w:rPr>
              <w:t>微生</w:t>
            </w:r>
            <w:r>
              <w:t xml:space="preserve">  </w:t>
            </w:r>
            <w:r>
              <w:rPr>
                <w:spacing w:val="-4"/>
              </w:rPr>
              <w:t>物培</w:t>
            </w:r>
            <w:r>
              <w:t xml:space="preserve">  </w:t>
            </w:r>
            <w:r>
              <w:rPr>
                <w:spacing w:val="-16"/>
              </w:rPr>
              <w:t>养</w:t>
            </w:r>
            <w:r>
              <w:rPr>
                <w:spacing w:val="31"/>
                <w:w w:val="101"/>
              </w:rPr>
              <w:t xml:space="preserve"> </w:t>
            </w:r>
            <w:r>
              <w:rPr>
                <w:spacing w:val="-16"/>
              </w:rPr>
              <w:t>、</w:t>
            </w:r>
            <w:r>
              <w:t xml:space="preserve"> </w:t>
            </w:r>
            <w:r>
              <w:rPr>
                <w:spacing w:val="-4"/>
              </w:rPr>
              <w:t>保藏</w:t>
            </w:r>
            <w:r>
              <w:t xml:space="preserve">  </w:t>
            </w:r>
            <w:r>
              <w:rPr>
                <w:spacing w:val="-2"/>
              </w:rPr>
              <w:t>技术</w:t>
            </w:r>
          </w:p>
        </w:tc>
        <w:tc>
          <w:tcPr>
            <w:tcW w:w="2644" w:type="dxa"/>
            <w:tcBorders>
              <w:top w:val="single" w:color="000000" w:sz="2" w:space="0"/>
              <w:bottom w:val="single" w:color="000000" w:sz="2" w:space="0"/>
            </w:tcBorders>
            <w:vAlign w:val="top"/>
          </w:tcPr>
          <w:p w14:paraId="71E94F53">
            <w:pPr>
              <w:pStyle w:val="6"/>
              <w:spacing w:before="294" w:line="218" w:lineRule="auto"/>
              <w:ind w:left="60"/>
            </w:pPr>
            <w:r>
              <w:rPr>
                <w:spacing w:val="1"/>
              </w:rPr>
              <w:t>1.平板培养技术</w:t>
            </w:r>
          </w:p>
          <w:p w14:paraId="0C24FAE6">
            <w:pPr>
              <w:pStyle w:val="6"/>
              <w:spacing w:before="1" w:line="238" w:lineRule="auto"/>
              <w:ind w:left="60" w:right="1051"/>
            </w:pPr>
            <w:r>
              <w:rPr>
                <w:spacing w:val="-1"/>
              </w:rPr>
              <w:t>2.固体基料培养技术</w:t>
            </w:r>
            <w:r>
              <w:t xml:space="preserve"> </w:t>
            </w:r>
            <w:r>
              <w:rPr>
                <w:spacing w:val="-2"/>
              </w:rPr>
              <w:t>3.摇瓶培养技术</w:t>
            </w:r>
          </w:p>
          <w:p w14:paraId="7690D126">
            <w:pPr>
              <w:pStyle w:val="6"/>
              <w:spacing w:line="236" w:lineRule="auto"/>
              <w:ind w:left="60" w:right="538"/>
            </w:pPr>
            <w:r>
              <w:rPr>
                <w:spacing w:val="-1"/>
              </w:rPr>
              <w:t>4.发酵罐液体深层培养技术</w:t>
            </w:r>
            <w:r>
              <w:rPr>
                <w:spacing w:val="6"/>
              </w:rPr>
              <w:t xml:space="preserve"> </w:t>
            </w:r>
            <w:r>
              <w:rPr>
                <w:spacing w:val="-1"/>
              </w:rPr>
              <w:t>2.微生物常见的保藏方法</w:t>
            </w:r>
          </w:p>
        </w:tc>
        <w:tc>
          <w:tcPr>
            <w:tcW w:w="229" w:type="dxa"/>
            <w:tcBorders>
              <w:top w:val="single" w:color="000000" w:sz="2" w:space="0"/>
              <w:bottom w:val="single" w:color="000000" w:sz="2" w:space="0"/>
            </w:tcBorders>
            <w:vAlign w:val="top"/>
          </w:tcPr>
          <w:p w14:paraId="3F2F5423">
            <w:pPr>
              <w:rPr>
                <w:rFonts w:ascii="Arial"/>
                <w:sz w:val="21"/>
              </w:rPr>
            </w:pPr>
          </w:p>
        </w:tc>
        <w:tc>
          <w:tcPr>
            <w:tcW w:w="229" w:type="dxa"/>
            <w:tcBorders>
              <w:top w:val="single" w:color="000000" w:sz="2" w:space="0"/>
              <w:bottom w:val="single" w:color="000000" w:sz="2" w:space="0"/>
            </w:tcBorders>
            <w:vAlign w:val="top"/>
          </w:tcPr>
          <w:p w14:paraId="26881D5C">
            <w:pPr>
              <w:rPr>
                <w:rFonts w:ascii="Arial"/>
                <w:sz w:val="21"/>
              </w:rPr>
            </w:pPr>
          </w:p>
        </w:tc>
        <w:tc>
          <w:tcPr>
            <w:tcW w:w="230" w:type="dxa"/>
            <w:tcBorders>
              <w:top w:val="single" w:color="000000" w:sz="2" w:space="0"/>
              <w:bottom w:val="single" w:color="000000" w:sz="2" w:space="0"/>
            </w:tcBorders>
            <w:vAlign w:val="top"/>
          </w:tcPr>
          <w:p w14:paraId="2BCA7515">
            <w:pPr>
              <w:rPr>
                <w:rFonts w:ascii="Arial"/>
                <w:sz w:val="21"/>
              </w:rPr>
            </w:pPr>
          </w:p>
        </w:tc>
        <w:tc>
          <w:tcPr>
            <w:tcW w:w="244" w:type="dxa"/>
            <w:tcBorders>
              <w:top w:val="single" w:color="000000" w:sz="2" w:space="0"/>
              <w:bottom w:val="single" w:color="000000" w:sz="2" w:space="0"/>
            </w:tcBorders>
            <w:vAlign w:val="top"/>
          </w:tcPr>
          <w:p w14:paraId="14922F06">
            <w:pPr>
              <w:rPr>
                <w:rFonts w:ascii="Arial"/>
                <w:sz w:val="21"/>
              </w:rPr>
            </w:pPr>
          </w:p>
        </w:tc>
      </w:tr>
    </w:tbl>
    <w:p w14:paraId="5FB01AC8">
      <w:pPr>
        <w:pStyle w:val="2"/>
        <w:spacing w:line="14" w:lineRule="auto"/>
        <w:rPr>
          <w:sz w:val="2"/>
        </w:rPr>
      </w:pPr>
    </w:p>
    <w:p w14:paraId="5E6925C3">
      <w:pPr>
        <w:spacing w:line="14" w:lineRule="auto"/>
        <w:rPr>
          <w:sz w:val="2"/>
          <w:szCs w:val="2"/>
        </w:rPr>
        <w:sectPr>
          <w:type w:val="continuous"/>
          <w:pgSz w:w="10660" w:h="15080"/>
          <w:pgMar w:top="400" w:right="871" w:bottom="927" w:left="1034" w:header="0" w:footer="719" w:gutter="0"/>
          <w:cols w:equalWidth="0" w:num="2">
            <w:col w:w="4490" w:space="100"/>
            <w:col w:w="4164"/>
          </w:cols>
        </w:sectPr>
      </w:pPr>
    </w:p>
    <w:p w14:paraId="13702220">
      <w:pPr>
        <w:spacing w:before="10"/>
      </w:pPr>
    </w:p>
    <w:p w14:paraId="1456F52B">
      <w:pPr>
        <w:spacing w:before="10"/>
      </w:pPr>
    </w:p>
    <w:p w14:paraId="60B50549">
      <w:pPr>
        <w:spacing w:before="10"/>
      </w:pPr>
    </w:p>
    <w:p w14:paraId="00EA7706">
      <w:pPr>
        <w:spacing w:before="9"/>
      </w:pPr>
    </w:p>
    <w:p w14:paraId="1463B3AB">
      <w:pPr>
        <w:sectPr>
          <w:footerReference r:id="rId16" w:type="default"/>
          <w:pgSz w:w="10660" w:h="15080"/>
          <w:pgMar w:top="400" w:right="1034" w:bottom="908" w:left="819" w:header="0" w:footer="714" w:gutter="0"/>
          <w:cols w:equalWidth="0" w:num="1">
            <w:col w:w="8806"/>
          </w:cols>
        </w:sectPr>
      </w:pPr>
    </w:p>
    <w:p w14:paraId="3C18D9FF">
      <w:pPr>
        <w:spacing w:before="298" w:line="221" w:lineRule="auto"/>
        <w:ind w:left="302"/>
        <w:rPr>
          <w:rFonts w:ascii="黑体" w:hAnsi="黑体" w:eastAsia="黑体" w:cs="黑体"/>
          <w:sz w:val="20"/>
          <w:szCs w:val="20"/>
        </w:rPr>
      </w:pPr>
      <w:r>
        <w:rPr>
          <w:rFonts w:ascii="黑体" w:hAnsi="黑体" w:eastAsia="黑体" w:cs="黑体"/>
          <w:b/>
          <w:bCs/>
          <w:spacing w:val="10"/>
          <w:sz w:val="20"/>
          <w:szCs w:val="20"/>
        </w:rPr>
        <w:t>第二部分之二养殖方向</w:t>
      </w:r>
    </w:p>
    <w:p w14:paraId="461B8FA7">
      <w:pPr>
        <w:pStyle w:val="2"/>
        <w:spacing w:line="283" w:lineRule="auto"/>
      </w:pPr>
    </w:p>
    <w:p w14:paraId="5A1AC0C5">
      <w:pPr>
        <w:spacing w:before="65" w:line="467" w:lineRule="auto"/>
        <w:ind w:left="1142" w:right="1441" w:firstLine="9"/>
        <w:rPr>
          <w:rFonts w:ascii="黑体" w:hAnsi="黑体" w:eastAsia="黑体" w:cs="黑体"/>
          <w:sz w:val="20"/>
          <w:szCs w:val="20"/>
        </w:rPr>
      </w:pPr>
      <w:r>
        <w:drawing>
          <wp:anchor distT="0" distB="0" distL="0" distR="0" simplePos="0" relativeHeight="251661312" behindDoc="1" locked="0" layoutInCell="1" allowOverlap="1">
            <wp:simplePos x="0" y="0"/>
            <wp:positionH relativeFrom="column">
              <wp:posOffset>2098675</wp:posOffset>
            </wp:positionH>
            <wp:positionV relativeFrom="paragraph">
              <wp:posOffset>3028950</wp:posOffset>
            </wp:positionV>
            <wp:extent cx="250825" cy="661670"/>
            <wp:effectExtent l="0" t="0" r="0" b="0"/>
            <wp:wrapNone/>
            <wp:docPr id="30" name="IM 30"/>
            <wp:cNvGraphicFramePr/>
            <a:graphic xmlns:a="http://schemas.openxmlformats.org/drawingml/2006/main">
              <a:graphicData uri="http://schemas.openxmlformats.org/drawingml/2006/picture">
                <pic:pic xmlns:pic="http://schemas.openxmlformats.org/drawingml/2006/picture">
                  <pic:nvPicPr>
                    <pic:cNvPr id="30" name="IM 30"/>
                    <pic:cNvPicPr/>
                  </pic:nvPicPr>
                  <pic:blipFill>
                    <a:blip r:embed="rId180"/>
                    <a:stretch>
                      <a:fillRect/>
                    </a:stretch>
                  </pic:blipFill>
                  <pic:spPr>
                    <a:xfrm>
                      <a:off x="0" y="0"/>
                      <a:ext cx="250754" cy="661887"/>
                    </a:xfrm>
                    <a:prstGeom prst="rect">
                      <a:avLst/>
                    </a:prstGeom>
                  </pic:spPr>
                </pic:pic>
              </a:graphicData>
            </a:graphic>
          </wp:anchor>
        </w:drawing>
      </w:r>
      <w:r>
        <w:rPr>
          <w:rFonts w:ascii="黑体" w:hAnsi="黑体" w:eastAsia="黑体" w:cs="黑体"/>
          <w:b/>
          <w:bCs/>
          <w:spacing w:val="-8"/>
          <w:sz w:val="20"/>
          <w:szCs w:val="20"/>
        </w:rPr>
        <w:t>第一篇</w:t>
      </w:r>
      <w:r>
        <w:rPr>
          <w:rFonts w:ascii="黑体" w:hAnsi="黑体" w:eastAsia="黑体" w:cs="黑体"/>
          <w:spacing w:val="16"/>
          <w:sz w:val="20"/>
          <w:szCs w:val="20"/>
        </w:rPr>
        <w:t xml:space="preserve">  </w:t>
      </w:r>
      <w:r>
        <w:rPr>
          <w:rFonts w:ascii="黑体" w:hAnsi="黑体" w:eastAsia="黑体" w:cs="黑体"/>
          <w:b/>
          <w:bCs/>
          <w:spacing w:val="-8"/>
          <w:sz w:val="20"/>
          <w:szCs w:val="20"/>
        </w:rPr>
        <w:t>畜禽解剖生理</w:t>
      </w:r>
      <w:r>
        <w:rPr>
          <w:rFonts w:ascii="黑体" w:hAnsi="黑体" w:eastAsia="黑体" w:cs="黑体"/>
          <w:sz w:val="20"/>
          <w:szCs w:val="20"/>
        </w:rPr>
        <w:t xml:space="preserve"> </w:t>
      </w:r>
      <w:r>
        <w:rPr>
          <w:rFonts w:ascii="黑体" w:hAnsi="黑体" w:eastAsia="黑体" w:cs="黑体"/>
          <w:b/>
          <w:bCs/>
          <w:spacing w:val="-4"/>
          <w:sz w:val="20"/>
          <w:szCs w:val="20"/>
        </w:rPr>
        <w:t>一、畜禽体的基本结构</w:t>
      </w:r>
    </w:p>
    <w:tbl>
      <w:tblPr>
        <w:tblStyle w:val="5"/>
        <w:tblW w:w="4130"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54"/>
        <w:gridCol w:w="2644"/>
        <w:gridCol w:w="229"/>
        <w:gridCol w:w="230"/>
        <w:gridCol w:w="229"/>
        <w:gridCol w:w="244"/>
      </w:tblGrid>
      <w:tr w14:paraId="08C6F3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4" w:hRule="atLeast"/>
        </w:trPr>
        <w:tc>
          <w:tcPr>
            <w:tcW w:w="554" w:type="dxa"/>
            <w:vMerge w:val="restart"/>
            <w:tcBorders>
              <w:bottom w:val="nil"/>
            </w:tcBorders>
            <w:vAlign w:val="top"/>
          </w:tcPr>
          <w:p w14:paraId="2E6BED55">
            <w:pPr>
              <w:pStyle w:val="6"/>
              <w:spacing w:before="121" w:line="231" w:lineRule="auto"/>
              <w:ind w:left="97" w:right="113"/>
            </w:pPr>
            <w:r>
              <w:rPr>
                <w:b/>
                <w:bCs/>
                <w:spacing w:val="-7"/>
              </w:rPr>
              <w:t>知识</w:t>
            </w:r>
            <w:r>
              <w:t xml:space="preserve"> </w:t>
            </w:r>
            <w:r>
              <w:rPr>
                <w:b/>
                <w:bCs/>
                <w:spacing w:val="-6"/>
              </w:rPr>
              <w:t>要点</w:t>
            </w:r>
          </w:p>
        </w:tc>
        <w:tc>
          <w:tcPr>
            <w:tcW w:w="2644" w:type="dxa"/>
            <w:vMerge w:val="restart"/>
            <w:tcBorders>
              <w:bottom w:val="nil"/>
            </w:tcBorders>
            <w:vAlign w:val="top"/>
          </w:tcPr>
          <w:p w14:paraId="5696E983">
            <w:pPr>
              <w:pStyle w:val="6"/>
              <w:spacing w:before="249" w:line="219" w:lineRule="auto"/>
              <w:ind w:left="1003"/>
            </w:pPr>
            <w:r>
              <w:rPr>
                <w:b/>
                <w:bCs/>
                <w:spacing w:val="5"/>
              </w:rPr>
              <w:t>考试条目</w:t>
            </w:r>
          </w:p>
        </w:tc>
        <w:tc>
          <w:tcPr>
            <w:tcW w:w="932" w:type="dxa"/>
            <w:gridSpan w:val="4"/>
            <w:vAlign w:val="top"/>
          </w:tcPr>
          <w:p w14:paraId="792F564B">
            <w:pPr>
              <w:pStyle w:val="6"/>
              <w:spacing w:before="79" w:line="219" w:lineRule="auto"/>
              <w:ind w:left="139"/>
            </w:pPr>
            <w:r>
              <w:rPr>
                <w:b/>
                <w:bCs/>
                <w:spacing w:val="-4"/>
              </w:rPr>
              <w:t>考试水平</w:t>
            </w:r>
          </w:p>
        </w:tc>
      </w:tr>
      <w:tr w14:paraId="10FA34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0" w:hRule="atLeast"/>
        </w:trPr>
        <w:tc>
          <w:tcPr>
            <w:tcW w:w="554" w:type="dxa"/>
            <w:vMerge w:val="continue"/>
            <w:tcBorders>
              <w:top w:val="nil"/>
            </w:tcBorders>
            <w:vAlign w:val="top"/>
          </w:tcPr>
          <w:p w14:paraId="622774C5">
            <w:pPr>
              <w:rPr>
                <w:rFonts w:ascii="Arial"/>
                <w:sz w:val="21"/>
              </w:rPr>
            </w:pPr>
          </w:p>
        </w:tc>
        <w:tc>
          <w:tcPr>
            <w:tcW w:w="2644" w:type="dxa"/>
            <w:vMerge w:val="continue"/>
            <w:tcBorders>
              <w:top w:val="nil"/>
            </w:tcBorders>
            <w:vAlign w:val="top"/>
          </w:tcPr>
          <w:p w14:paraId="59685E11">
            <w:pPr>
              <w:rPr>
                <w:rFonts w:ascii="Arial"/>
                <w:sz w:val="21"/>
              </w:rPr>
            </w:pPr>
          </w:p>
        </w:tc>
        <w:tc>
          <w:tcPr>
            <w:tcW w:w="229" w:type="dxa"/>
            <w:vAlign w:val="top"/>
          </w:tcPr>
          <w:p w14:paraId="17966EDE">
            <w:pPr>
              <w:pStyle w:val="6"/>
              <w:spacing w:before="120" w:line="184" w:lineRule="auto"/>
              <w:ind w:left="16"/>
            </w:pPr>
            <w:r>
              <w:t>A</w:t>
            </w:r>
          </w:p>
        </w:tc>
        <w:tc>
          <w:tcPr>
            <w:tcW w:w="230" w:type="dxa"/>
            <w:vAlign w:val="top"/>
          </w:tcPr>
          <w:p w14:paraId="443805E4">
            <w:pPr>
              <w:pStyle w:val="6"/>
              <w:spacing w:before="122" w:line="182" w:lineRule="auto"/>
              <w:ind w:left="28"/>
            </w:pPr>
            <w:r>
              <w:t>B</w:t>
            </w:r>
          </w:p>
        </w:tc>
        <w:tc>
          <w:tcPr>
            <w:tcW w:w="229" w:type="dxa"/>
            <w:vAlign w:val="top"/>
          </w:tcPr>
          <w:p w14:paraId="7ADACF94">
            <w:pPr>
              <w:pStyle w:val="6"/>
              <w:spacing w:before="121" w:line="183" w:lineRule="auto"/>
              <w:ind w:left="17"/>
            </w:pPr>
            <w:r>
              <w:t>C</w:t>
            </w:r>
          </w:p>
        </w:tc>
        <w:tc>
          <w:tcPr>
            <w:tcW w:w="244" w:type="dxa"/>
            <w:vAlign w:val="top"/>
          </w:tcPr>
          <w:p w14:paraId="49A440ED">
            <w:pPr>
              <w:pStyle w:val="6"/>
              <w:spacing w:before="122" w:line="182" w:lineRule="auto"/>
              <w:ind w:left="18"/>
            </w:pPr>
            <w:r>
              <w:t>D</w:t>
            </w:r>
          </w:p>
        </w:tc>
      </w:tr>
      <w:tr w14:paraId="6C1F87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8" w:hRule="atLeast"/>
        </w:trPr>
        <w:tc>
          <w:tcPr>
            <w:tcW w:w="554" w:type="dxa"/>
            <w:vAlign w:val="top"/>
          </w:tcPr>
          <w:p w14:paraId="4AB03513">
            <w:pPr>
              <w:spacing w:line="311" w:lineRule="auto"/>
              <w:rPr>
                <w:rFonts w:ascii="Arial"/>
                <w:sz w:val="21"/>
              </w:rPr>
            </w:pPr>
          </w:p>
          <w:p w14:paraId="7473031D">
            <w:pPr>
              <w:pStyle w:val="6"/>
              <w:spacing w:before="55" w:line="220" w:lineRule="auto"/>
              <w:ind w:left="94"/>
            </w:pPr>
            <w:r>
              <w:rPr>
                <w:spacing w:val="-2"/>
              </w:rPr>
              <w:t>细胞</w:t>
            </w:r>
          </w:p>
        </w:tc>
        <w:tc>
          <w:tcPr>
            <w:tcW w:w="2644" w:type="dxa"/>
            <w:vAlign w:val="top"/>
          </w:tcPr>
          <w:p w14:paraId="7A19CE1E">
            <w:pPr>
              <w:pStyle w:val="6"/>
              <w:spacing w:before="168" w:line="219" w:lineRule="auto"/>
              <w:ind w:left="260"/>
            </w:pPr>
            <w:r>
              <w:rPr>
                <w:spacing w:val="1"/>
              </w:rPr>
              <w:t>1.细胞的概念</w:t>
            </w:r>
          </w:p>
          <w:p w14:paraId="392D9B1C">
            <w:pPr>
              <w:pStyle w:val="6"/>
              <w:spacing w:before="19" w:line="229" w:lineRule="auto"/>
              <w:ind w:left="260" w:right="511"/>
            </w:pPr>
            <w:r>
              <w:rPr>
                <w:spacing w:val="-1"/>
              </w:rPr>
              <w:t>2.细胞的形态构造及功能</w:t>
            </w:r>
            <w:r>
              <w:rPr>
                <w:spacing w:val="2"/>
              </w:rPr>
              <w:t xml:space="preserve"> </w:t>
            </w:r>
            <w:r>
              <w:rPr>
                <w:spacing w:val="1"/>
              </w:rPr>
              <w:t>3.细胞的生命活动</w:t>
            </w:r>
          </w:p>
        </w:tc>
        <w:tc>
          <w:tcPr>
            <w:tcW w:w="229" w:type="dxa"/>
            <w:vAlign w:val="top"/>
          </w:tcPr>
          <w:p w14:paraId="617ED770">
            <w:pPr>
              <w:rPr>
                <w:rFonts w:ascii="Arial"/>
                <w:sz w:val="21"/>
              </w:rPr>
            </w:pPr>
          </w:p>
        </w:tc>
        <w:tc>
          <w:tcPr>
            <w:tcW w:w="230" w:type="dxa"/>
            <w:vAlign w:val="top"/>
          </w:tcPr>
          <w:p w14:paraId="32717ACE">
            <w:pPr>
              <w:rPr>
                <w:rFonts w:ascii="Arial"/>
                <w:sz w:val="21"/>
              </w:rPr>
            </w:pPr>
          </w:p>
        </w:tc>
        <w:tc>
          <w:tcPr>
            <w:tcW w:w="229" w:type="dxa"/>
            <w:vAlign w:val="top"/>
          </w:tcPr>
          <w:p w14:paraId="63783361">
            <w:pPr>
              <w:rPr>
                <w:rFonts w:ascii="Arial"/>
                <w:sz w:val="21"/>
              </w:rPr>
            </w:pPr>
          </w:p>
        </w:tc>
        <w:tc>
          <w:tcPr>
            <w:tcW w:w="244" w:type="dxa"/>
            <w:vAlign w:val="top"/>
          </w:tcPr>
          <w:p w14:paraId="090891B8">
            <w:pPr>
              <w:rPr>
                <w:rFonts w:ascii="Arial"/>
                <w:sz w:val="21"/>
              </w:rPr>
            </w:pPr>
          </w:p>
        </w:tc>
      </w:tr>
      <w:tr w14:paraId="2F9F59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926" w:hRule="atLeast"/>
        </w:trPr>
        <w:tc>
          <w:tcPr>
            <w:tcW w:w="554" w:type="dxa"/>
            <w:vAlign w:val="top"/>
          </w:tcPr>
          <w:p w14:paraId="43127059">
            <w:pPr>
              <w:spacing w:line="274" w:lineRule="auto"/>
              <w:rPr>
                <w:rFonts w:ascii="Arial"/>
                <w:sz w:val="21"/>
              </w:rPr>
            </w:pPr>
          </w:p>
          <w:p w14:paraId="2A653564">
            <w:pPr>
              <w:spacing w:line="274" w:lineRule="auto"/>
              <w:rPr>
                <w:rFonts w:ascii="Arial"/>
                <w:sz w:val="21"/>
              </w:rPr>
            </w:pPr>
          </w:p>
          <w:p w14:paraId="7A0DB07D">
            <w:pPr>
              <w:spacing w:line="275" w:lineRule="auto"/>
              <w:rPr>
                <w:rFonts w:ascii="Arial"/>
                <w:sz w:val="21"/>
              </w:rPr>
            </w:pPr>
          </w:p>
          <w:p w14:paraId="54F8B9BA">
            <w:pPr>
              <w:pStyle w:val="6"/>
              <w:spacing w:before="55" w:line="224" w:lineRule="auto"/>
              <w:ind w:left="94"/>
            </w:pPr>
            <w:r>
              <w:rPr>
                <w:spacing w:val="-3"/>
              </w:rPr>
              <w:t>组织</w:t>
            </w:r>
          </w:p>
        </w:tc>
        <w:tc>
          <w:tcPr>
            <w:tcW w:w="2644" w:type="dxa"/>
            <w:vAlign w:val="top"/>
          </w:tcPr>
          <w:p w14:paraId="2E3E9881">
            <w:pPr>
              <w:pStyle w:val="6"/>
              <w:spacing w:before="119" w:line="236" w:lineRule="auto"/>
              <w:ind w:left="260" w:right="78" w:hanging="170"/>
            </w:pPr>
            <w:r>
              <w:rPr>
                <w:spacing w:val="5"/>
              </w:rPr>
              <w:t>1.上皮组织的分布、结构特点、</w:t>
            </w:r>
            <w:r>
              <w:rPr>
                <w:spacing w:val="8"/>
              </w:rPr>
              <w:t xml:space="preserve"> </w:t>
            </w:r>
            <w:r>
              <w:rPr>
                <w:spacing w:val="-1"/>
              </w:rPr>
              <w:t>机能及分类</w:t>
            </w:r>
          </w:p>
          <w:p w14:paraId="196BD7B0">
            <w:pPr>
              <w:pStyle w:val="6"/>
              <w:spacing w:before="24" w:line="223" w:lineRule="auto"/>
              <w:ind w:left="260" w:right="88" w:hanging="179"/>
            </w:pPr>
            <w:r>
              <w:rPr>
                <w:spacing w:val="5"/>
              </w:rPr>
              <w:t>2.结缔组织的分布、结构特点、</w:t>
            </w:r>
            <w:r>
              <w:rPr>
                <w:spacing w:val="8"/>
              </w:rPr>
              <w:t xml:space="preserve"> </w:t>
            </w:r>
            <w:r>
              <w:rPr>
                <w:spacing w:val="-1"/>
              </w:rPr>
              <w:t>机能及分类</w:t>
            </w:r>
          </w:p>
          <w:p w14:paraId="6B6BBEC1">
            <w:pPr>
              <w:pStyle w:val="6"/>
              <w:spacing w:before="1" w:line="238" w:lineRule="auto"/>
              <w:ind w:left="260" w:right="363" w:hanging="189"/>
            </w:pPr>
            <w:r>
              <w:rPr>
                <w:spacing w:val="-1"/>
              </w:rPr>
              <w:t>3.骨骼肌、平滑肌、心肌的特</w:t>
            </w:r>
            <w:r>
              <w:rPr>
                <w:spacing w:val="2"/>
              </w:rPr>
              <w:t xml:space="preserve"> 点及分布</w:t>
            </w:r>
          </w:p>
          <w:p w14:paraId="7775F77F">
            <w:pPr>
              <w:pStyle w:val="6"/>
              <w:spacing w:line="237" w:lineRule="auto"/>
              <w:ind w:left="260" w:right="358" w:hanging="189"/>
            </w:pPr>
            <w:r>
              <w:rPr>
                <w:spacing w:val="-1"/>
              </w:rPr>
              <w:t>4.神经元的形态结构、机能及</w:t>
            </w:r>
            <w:r>
              <w:rPr>
                <w:spacing w:val="7"/>
              </w:rPr>
              <w:t xml:space="preserve"> </w:t>
            </w:r>
            <w:r>
              <w:rPr>
                <w:spacing w:val="-3"/>
              </w:rPr>
              <w:t>分类</w:t>
            </w:r>
          </w:p>
        </w:tc>
        <w:tc>
          <w:tcPr>
            <w:tcW w:w="229" w:type="dxa"/>
            <w:vAlign w:val="top"/>
          </w:tcPr>
          <w:p w14:paraId="573C193D">
            <w:pPr>
              <w:rPr>
                <w:rFonts w:ascii="Arial"/>
                <w:sz w:val="21"/>
              </w:rPr>
            </w:pPr>
          </w:p>
        </w:tc>
        <w:tc>
          <w:tcPr>
            <w:tcW w:w="230" w:type="dxa"/>
            <w:vAlign w:val="top"/>
          </w:tcPr>
          <w:p w14:paraId="3891BB78">
            <w:pPr>
              <w:rPr>
                <w:rFonts w:ascii="Arial"/>
                <w:sz w:val="21"/>
              </w:rPr>
            </w:pPr>
          </w:p>
        </w:tc>
        <w:tc>
          <w:tcPr>
            <w:tcW w:w="229" w:type="dxa"/>
            <w:vAlign w:val="top"/>
          </w:tcPr>
          <w:p w14:paraId="59F49635">
            <w:pPr>
              <w:rPr>
                <w:rFonts w:ascii="Arial"/>
                <w:sz w:val="21"/>
              </w:rPr>
            </w:pPr>
          </w:p>
        </w:tc>
        <w:tc>
          <w:tcPr>
            <w:tcW w:w="244" w:type="dxa"/>
            <w:vAlign w:val="top"/>
          </w:tcPr>
          <w:p w14:paraId="07B88054">
            <w:pPr>
              <w:rPr>
                <w:rFonts w:ascii="Arial"/>
                <w:sz w:val="21"/>
              </w:rPr>
            </w:pPr>
          </w:p>
        </w:tc>
      </w:tr>
      <w:tr w14:paraId="53B165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82" w:hRule="atLeast"/>
        </w:trPr>
        <w:tc>
          <w:tcPr>
            <w:tcW w:w="554" w:type="dxa"/>
            <w:vAlign w:val="top"/>
          </w:tcPr>
          <w:p w14:paraId="7C231CF1">
            <w:pPr>
              <w:pStyle w:val="6"/>
              <w:spacing w:before="275" w:line="236" w:lineRule="auto"/>
              <w:ind w:left="94" w:right="114"/>
              <w:jc w:val="both"/>
            </w:pPr>
            <w:r>
              <w:rPr>
                <w:spacing w:val="-4"/>
              </w:rPr>
              <w:t>器官</w:t>
            </w:r>
            <w:r>
              <w:t xml:space="preserve"> </w:t>
            </w:r>
            <w:r>
              <w:rPr>
                <w:spacing w:val="-6"/>
              </w:rPr>
              <w:t>系统</w:t>
            </w:r>
            <w:r>
              <w:t xml:space="preserve"> </w:t>
            </w:r>
            <w:r>
              <w:rPr>
                <w:spacing w:val="-4"/>
              </w:rPr>
              <w:t>和有</w:t>
            </w:r>
            <w:r>
              <w:t xml:space="preserve"> </w:t>
            </w:r>
            <w:r>
              <w:rPr>
                <w:spacing w:val="-3"/>
              </w:rPr>
              <w:t>机体</w:t>
            </w:r>
          </w:p>
        </w:tc>
        <w:tc>
          <w:tcPr>
            <w:tcW w:w="2644" w:type="dxa"/>
            <w:vAlign w:val="top"/>
          </w:tcPr>
          <w:p w14:paraId="49E28079">
            <w:pPr>
              <w:pStyle w:val="6"/>
              <w:spacing w:before="174" w:line="236" w:lineRule="auto"/>
              <w:ind w:left="260" w:right="835"/>
            </w:pPr>
            <w:r>
              <w:t>1.器官的概念及分类</w:t>
            </w:r>
            <w:r>
              <w:rPr>
                <w:spacing w:val="6"/>
              </w:rPr>
              <w:t xml:space="preserve"> </w:t>
            </w:r>
            <w:r>
              <w:rPr>
                <w:spacing w:val="-1"/>
              </w:rPr>
              <w:t>2.系统的概念及组成</w:t>
            </w:r>
          </w:p>
          <w:p w14:paraId="2D1652ED">
            <w:pPr>
              <w:pStyle w:val="6"/>
              <w:spacing w:before="4" w:line="236" w:lineRule="auto"/>
              <w:ind w:left="260" w:right="343"/>
            </w:pPr>
            <w:r>
              <w:rPr>
                <w:spacing w:val="-1"/>
              </w:rPr>
              <w:t>3.有机体的概念及调节方式</w:t>
            </w:r>
            <w:r>
              <w:rPr>
                <w:spacing w:val="1"/>
              </w:rPr>
              <w:t xml:space="preserve"> </w:t>
            </w:r>
            <w:r>
              <w:rPr>
                <w:spacing w:val="-1"/>
              </w:rPr>
              <w:t>4.解剖学中三个基本切面</w:t>
            </w:r>
          </w:p>
          <w:p w14:paraId="7F92B7A2">
            <w:pPr>
              <w:pStyle w:val="6"/>
              <w:spacing w:before="5" w:line="219" w:lineRule="auto"/>
              <w:ind w:left="260"/>
            </w:pPr>
            <w:r>
              <w:rPr>
                <w:spacing w:val="-1"/>
              </w:rPr>
              <w:t>5.解剖学中常用的方位术语</w:t>
            </w:r>
          </w:p>
        </w:tc>
        <w:tc>
          <w:tcPr>
            <w:tcW w:w="229" w:type="dxa"/>
            <w:vAlign w:val="top"/>
          </w:tcPr>
          <w:p w14:paraId="0615458A">
            <w:pPr>
              <w:rPr>
                <w:rFonts w:ascii="Arial"/>
                <w:sz w:val="21"/>
              </w:rPr>
            </w:pPr>
          </w:p>
        </w:tc>
        <w:tc>
          <w:tcPr>
            <w:tcW w:w="230" w:type="dxa"/>
            <w:vAlign w:val="top"/>
          </w:tcPr>
          <w:p w14:paraId="36FA771F">
            <w:pPr>
              <w:rPr>
                <w:rFonts w:ascii="Arial"/>
                <w:sz w:val="21"/>
              </w:rPr>
            </w:pPr>
          </w:p>
        </w:tc>
        <w:tc>
          <w:tcPr>
            <w:tcW w:w="229" w:type="dxa"/>
            <w:vAlign w:val="top"/>
          </w:tcPr>
          <w:p w14:paraId="123CA8BC">
            <w:pPr>
              <w:rPr>
                <w:rFonts w:ascii="Arial"/>
                <w:sz w:val="21"/>
              </w:rPr>
            </w:pPr>
          </w:p>
        </w:tc>
        <w:tc>
          <w:tcPr>
            <w:tcW w:w="244" w:type="dxa"/>
            <w:vAlign w:val="top"/>
          </w:tcPr>
          <w:p w14:paraId="50D2A55F">
            <w:pPr>
              <w:rPr>
                <w:rFonts w:ascii="Arial"/>
                <w:sz w:val="21"/>
              </w:rPr>
            </w:pPr>
          </w:p>
        </w:tc>
      </w:tr>
    </w:tbl>
    <w:p w14:paraId="3351DB5C">
      <w:pPr>
        <w:spacing w:before="108" w:line="221" w:lineRule="auto"/>
        <w:ind w:left="1532"/>
        <w:rPr>
          <w:rFonts w:ascii="黑体" w:hAnsi="黑体" w:eastAsia="黑体" w:cs="黑体"/>
          <w:sz w:val="20"/>
          <w:szCs w:val="20"/>
        </w:rPr>
      </w:pPr>
      <w:r>
        <w:rPr>
          <w:rFonts w:ascii="黑体" w:hAnsi="黑体" w:eastAsia="黑体" w:cs="黑体"/>
          <w:b/>
          <w:bCs/>
          <w:spacing w:val="-2"/>
          <w:sz w:val="20"/>
          <w:szCs w:val="20"/>
        </w:rPr>
        <w:t>二、运动系统</w:t>
      </w:r>
    </w:p>
    <w:p w14:paraId="1DE0A925">
      <w:pPr>
        <w:spacing w:line="162" w:lineRule="exact"/>
      </w:pPr>
    </w:p>
    <w:tbl>
      <w:tblPr>
        <w:tblStyle w:val="5"/>
        <w:tblW w:w="4130"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54"/>
        <w:gridCol w:w="2644"/>
        <w:gridCol w:w="229"/>
        <w:gridCol w:w="230"/>
        <w:gridCol w:w="229"/>
        <w:gridCol w:w="244"/>
      </w:tblGrid>
      <w:tr w14:paraId="7F92BC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4" w:hRule="atLeast"/>
        </w:trPr>
        <w:tc>
          <w:tcPr>
            <w:tcW w:w="554" w:type="dxa"/>
            <w:vMerge w:val="restart"/>
            <w:tcBorders>
              <w:bottom w:val="nil"/>
            </w:tcBorders>
            <w:vAlign w:val="top"/>
          </w:tcPr>
          <w:p w14:paraId="4366B909">
            <w:pPr>
              <w:pStyle w:val="6"/>
              <w:spacing w:before="141" w:line="220" w:lineRule="auto"/>
              <w:ind w:left="97" w:right="113"/>
            </w:pPr>
            <w:r>
              <w:rPr>
                <w:b/>
                <w:bCs/>
                <w:spacing w:val="-7"/>
              </w:rPr>
              <w:t>知识</w:t>
            </w:r>
            <w:r>
              <w:t xml:space="preserve"> </w:t>
            </w:r>
            <w:r>
              <w:rPr>
                <w:b/>
                <w:bCs/>
                <w:spacing w:val="-6"/>
              </w:rPr>
              <w:t>要点</w:t>
            </w:r>
          </w:p>
        </w:tc>
        <w:tc>
          <w:tcPr>
            <w:tcW w:w="2644" w:type="dxa"/>
            <w:vMerge w:val="restart"/>
            <w:tcBorders>
              <w:bottom w:val="nil"/>
            </w:tcBorders>
            <w:vAlign w:val="top"/>
          </w:tcPr>
          <w:p w14:paraId="7E1061DA">
            <w:pPr>
              <w:pStyle w:val="6"/>
              <w:spacing w:before="249" w:line="219" w:lineRule="auto"/>
              <w:ind w:left="993"/>
            </w:pPr>
            <w:r>
              <w:rPr>
                <w:b/>
                <w:bCs/>
                <w:spacing w:val="5"/>
              </w:rPr>
              <w:t>考试条目</w:t>
            </w:r>
          </w:p>
        </w:tc>
        <w:tc>
          <w:tcPr>
            <w:tcW w:w="932" w:type="dxa"/>
            <w:gridSpan w:val="4"/>
            <w:vAlign w:val="top"/>
          </w:tcPr>
          <w:p w14:paraId="3CD54063">
            <w:pPr>
              <w:pStyle w:val="6"/>
              <w:spacing w:before="89" w:line="219" w:lineRule="auto"/>
              <w:ind w:left="129"/>
            </w:pPr>
            <w:r>
              <w:rPr>
                <w:b/>
                <w:bCs/>
                <w:spacing w:val="-4"/>
              </w:rPr>
              <w:t>考试水平</w:t>
            </w:r>
          </w:p>
        </w:tc>
      </w:tr>
      <w:tr w14:paraId="1C462F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554" w:type="dxa"/>
            <w:vMerge w:val="continue"/>
            <w:tcBorders>
              <w:top w:val="nil"/>
            </w:tcBorders>
            <w:vAlign w:val="top"/>
          </w:tcPr>
          <w:p w14:paraId="2D90B3D0">
            <w:pPr>
              <w:rPr>
                <w:rFonts w:ascii="Arial"/>
                <w:sz w:val="21"/>
              </w:rPr>
            </w:pPr>
          </w:p>
        </w:tc>
        <w:tc>
          <w:tcPr>
            <w:tcW w:w="2644" w:type="dxa"/>
            <w:vMerge w:val="continue"/>
            <w:tcBorders>
              <w:top w:val="nil"/>
            </w:tcBorders>
            <w:vAlign w:val="top"/>
          </w:tcPr>
          <w:p w14:paraId="61655109">
            <w:pPr>
              <w:rPr>
                <w:rFonts w:ascii="Arial"/>
                <w:sz w:val="21"/>
              </w:rPr>
            </w:pPr>
          </w:p>
        </w:tc>
        <w:tc>
          <w:tcPr>
            <w:tcW w:w="229" w:type="dxa"/>
            <w:vAlign w:val="top"/>
          </w:tcPr>
          <w:p w14:paraId="4B5C649C">
            <w:pPr>
              <w:pStyle w:val="6"/>
              <w:spacing w:before="120" w:line="184" w:lineRule="auto"/>
              <w:ind w:left="37"/>
            </w:pPr>
            <w:r>
              <w:t>A</w:t>
            </w:r>
          </w:p>
        </w:tc>
        <w:tc>
          <w:tcPr>
            <w:tcW w:w="230" w:type="dxa"/>
            <w:vAlign w:val="top"/>
          </w:tcPr>
          <w:p w14:paraId="3EB2A53F">
            <w:pPr>
              <w:pStyle w:val="6"/>
              <w:spacing w:before="122" w:line="182" w:lineRule="auto"/>
              <w:ind w:left="37"/>
            </w:pPr>
            <w:r>
              <w:t>B</w:t>
            </w:r>
          </w:p>
        </w:tc>
        <w:tc>
          <w:tcPr>
            <w:tcW w:w="229" w:type="dxa"/>
            <w:vAlign w:val="top"/>
          </w:tcPr>
          <w:p w14:paraId="3E49CD8A">
            <w:pPr>
              <w:pStyle w:val="6"/>
              <w:spacing w:before="121" w:line="183" w:lineRule="auto"/>
              <w:ind w:left="37"/>
            </w:pPr>
            <w:r>
              <w:t>C</w:t>
            </w:r>
          </w:p>
        </w:tc>
        <w:tc>
          <w:tcPr>
            <w:tcW w:w="244" w:type="dxa"/>
            <w:vAlign w:val="top"/>
          </w:tcPr>
          <w:p w14:paraId="0CDB2431">
            <w:pPr>
              <w:pStyle w:val="6"/>
              <w:spacing w:before="122" w:line="182" w:lineRule="auto"/>
              <w:ind w:left="18"/>
            </w:pPr>
            <w:r>
              <w:t>D</w:t>
            </w:r>
          </w:p>
        </w:tc>
      </w:tr>
      <w:tr w14:paraId="47DE31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27" w:hRule="atLeast"/>
        </w:trPr>
        <w:tc>
          <w:tcPr>
            <w:tcW w:w="554" w:type="dxa"/>
            <w:vAlign w:val="top"/>
          </w:tcPr>
          <w:p w14:paraId="734B96E0">
            <w:pPr>
              <w:spacing w:line="421" w:lineRule="auto"/>
              <w:rPr>
                <w:rFonts w:ascii="Arial"/>
                <w:sz w:val="21"/>
              </w:rPr>
            </w:pPr>
          </w:p>
          <w:p w14:paraId="1B84E0E0">
            <w:pPr>
              <w:pStyle w:val="6"/>
              <w:spacing w:before="55" w:line="219" w:lineRule="auto"/>
              <w:ind w:left="184"/>
            </w:pPr>
            <w:r>
              <w:t>骨</w:t>
            </w:r>
          </w:p>
        </w:tc>
        <w:tc>
          <w:tcPr>
            <w:tcW w:w="2644" w:type="dxa"/>
            <w:vAlign w:val="top"/>
          </w:tcPr>
          <w:p w14:paraId="21D81994">
            <w:pPr>
              <w:pStyle w:val="6"/>
              <w:spacing w:before="169" w:line="218" w:lineRule="auto"/>
              <w:ind w:left="71" w:right="1365"/>
            </w:pPr>
            <w:r>
              <w:t>1.骨的主要成分</w:t>
            </w:r>
            <w:r>
              <w:rPr>
                <w:spacing w:val="6"/>
              </w:rPr>
              <w:t xml:space="preserve"> </w:t>
            </w:r>
            <w:r>
              <w:rPr>
                <w:spacing w:val="-2"/>
              </w:rPr>
              <w:t>2.骨的构成</w:t>
            </w:r>
          </w:p>
          <w:p w14:paraId="6D290221">
            <w:pPr>
              <w:pStyle w:val="6"/>
              <w:spacing w:before="38" w:line="219" w:lineRule="auto"/>
              <w:ind w:left="71"/>
            </w:pPr>
            <w:r>
              <w:rPr>
                <w:spacing w:val="1"/>
              </w:rPr>
              <w:t>3.骨的类型</w:t>
            </w:r>
          </w:p>
          <w:p w14:paraId="3E068FE8">
            <w:pPr>
              <w:pStyle w:val="6"/>
              <w:spacing w:before="8" w:line="219" w:lineRule="auto"/>
              <w:ind w:left="71"/>
            </w:pPr>
            <w:r>
              <w:rPr>
                <w:spacing w:val="-1"/>
              </w:rPr>
              <w:t>4.畜体骨骼的构成</w:t>
            </w:r>
          </w:p>
        </w:tc>
        <w:tc>
          <w:tcPr>
            <w:tcW w:w="229" w:type="dxa"/>
            <w:vAlign w:val="top"/>
          </w:tcPr>
          <w:p w14:paraId="627F94EF">
            <w:pPr>
              <w:rPr>
                <w:rFonts w:ascii="Arial"/>
                <w:sz w:val="21"/>
              </w:rPr>
            </w:pPr>
          </w:p>
        </w:tc>
        <w:tc>
          <w:tcPr>
            <w:tcW w:w="230" w:type="dxa"/>
            <w:vAlign w:val="top"/>
          </w:tcPr>
          <w:p w14:paraId="6F8C01E0">
            <w:pPr>
              <w:spacing w:before="200" w:line="512" w:lineRule="exact"/>
              <w:ind w:firstLine="35"/>
            </w:pPr>
            <w:r>
              <w:rPr>
                <w:position w:val="-10"/>
              </w:rPr>
              <w:drawing>
                <wp:inline distT="0" distB="0" distL="0" distR="0">
                  <wp:extent cx="97790" cy="325120"/>
                  <wp:effectExtent l="0" t="0" r="0" b="0"/>
                  <wp:docPr id="32" name="IM 32"/>
                  <wp:cNvGraphicFramePr/>
                  <a:graphic xmlns:a="http://schemas.openxmlformats.org/drawingml/2006/main">
                    <a:graphicData uri="http://schemas.openxmlformats.org/drawingml/2006/picture">
                      <pic:pic xmlns:pic="http://schemas.openxmlformats.org/drawingml/2006/picture">
                        <pic:nvPicPr>
                          <pic:cNvPr id="32" name="IM 32"/>
                          <pic:cNvPicPr/>
                        </pic:nvPicPr>
                        <pic:blipFill>
                          <a:blip r:embed="rId181"/>
                          <a:stretch>
                            <a:fillRect/>
                          </a:stretch>
                        </pic:blipFill>
                        <pic:spPr>
                          <a:xfrm>
                            <a:off x="0" y="0"/>
                            <a:ext cx="98197" cy="325511"/>
                          </a:xfrm>
                          <a:prstGeom prst="rect">
                            <a:avLst/>
                          </a:prstGeom>
                        </pic:spPr>
                      </pic:pic>
                    </a:graphicData>
                  </a:graphic>
                </wp:inline>
              </w:drawing>
            </w:r>
          </w:p>
        </w:tc>
        <w:tc>
          <w:tcPr>
            <w:tcW w:w="229" w:type="dxa"/>
            <w:vAlign w:val="top"/>
          </w:tcPr>
          <w:p w14:paraId="6335B81D">
            <w:pPr>
              <w:rPr>
                <w:rFonts w:ascii="Arial"/>
                <w:sz w:val="21"/>
              </w:rPr>
            </w:pPr>
          </w:p>
        </w:tc>
        <w:tc>
          <w:tcPr>
            <w:tcW w:w="244" w:type="dxa"/>
            <w:vAlign w:val="top"/>
          </w:tcPr>
          <w:p w14:paraId="637D71CF">
            <w:pPr>
              <w:rPr>
                <w:rFonts w:ascii="Arial"/>
                <w:sz w:val="21"/>
              </w:rPr>
            </w:pPr>
          </w:p>
        </w:tc>
      </w:tr>
      <w:tr w14:paraId="4ACD59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97" w:hRule="atLeast"/>
        </w:trPr>
        <w:tc>
          <w:tcPr>
            <w:tcW w:w="554" w:type="dxa"/>
            <w:vAlign w:val="top"/>
          </w:tcPr>
          <w:p w14:paraId="430E7024">
            <w:pPr>
              <w:pStyle w:val="6"/>
              <w:spacing w:before="222" w:line="219" w:lineRule="auto"/>
              <w:ind w:left="94"/>
            </w:pPr>
            <w:r>
              <w:rPr>
                <w:spacing w:val="-2"/>
              </w:rPr>
              <w:t>骨连</w:t>
            </w:r>
          </w:p>
          <w:p w14:paraId="2FCD236F">
            <w:pPr>
              <w:pStyle w:val="6"/>
              <w:spacing w:before="9" w:line="221" w:lineRule="auto"/>
              <w:ind w:left="184"/>
            </w:pPr>
            <w:r>
              <w:t>接</w:t>
            </w:r>
          </w:p>
        </w:tc>
        <w:tc>
          <w:tcPr>
            <w:tcW w:w="2644" w:type="dxa"/>
            <w:vAlign w:val="top"/>
          </w:tcPr>
          <w:p w14:paraId="0542E4E3">
            <w:pPr>
              <w:pStyle w:val="6"/>
              <w:spacing w:before="111" w:line="238" w:lineRule="auto"/>
              <w:ind w:left="71" w:right="1361"/>
            </w:pPr>
            <w:r>
              <w:rPr>
                <w:spacing w:val="1"/>
              </w:rPr>
              <w:t>1.骨连接的类型</w:t>
            </w:r>
            <w:r>
              <w:rPr>
                <w:spacing w:val="2"/>
              </w:rPr>
              <w:t xml:space="preserve"> </w:t>
            </w:r>
            <w:r>
              <w:rPr>
                <w:spacing w:val="-1"/>
              </w:rPr>
              <w:t>2.关节的构造</w:t>
            </w:r>
          </w:p>
          <w:p w14:paraId="61AAF801">
            <w:pPr>
              <w:pStyle w:val="6"/>
              <w:spacing w:before="12" w:line="219" w:lineRule="auto"/>
              <w:ind w:left="71"/>
            </w:pPr>
            <w:r>
              <w:rPr>
                <w:spacing w:val="-2"/>
              </w:rPr>
              <w:t>3.全身骨连接</w:t>
            </w:r>
          </w:p>
        </w:tc>
        <w:tc>
          <w:tcPr>
            <w:tcW w:w="229" w:type="dxa"/>
            <w:vAlign w:val="top"/>
          </w:tcPr>
          <w:p w14:paraId="507BCBA7">
            <w:pPr>
              <w:rPr>
                <w:rFonts w:ascii="Arial"/>
                <w:sz w:val="21"/>
              </w:rPr>
            </w:pPr>
          </w:p>
        </w:tc>
        <w:tc>
          <w:tcPr>
            <w:tcW w:w="230" w:type="dxa"/>
            <w:vAlign w:val="top"/>
          </w:tcPr>
          <w:p w14:paraId="36D3F879">
            <w:pPr>
              <w:spacing w:before="152" w:line="294" w:lineRule="exact"/>
              <w:ind w:firstLine="47"/>
            </w:pPr>
            <w:r>
              <w:rPr>
                <w:position w:val="-5"/>
              </w:rPr>
              <w:drawing>
                <wp:inline distT="0" distB="0" distL="0" distR="0">
                  <wp:extent cx="88265" cy="186690"/>
                  <wp:effectExtent l="0" t="0" r="0" b="0"/>
                  <wp:docPr id="34" name="IM 34"/>
                  <wp:cNvGraphicFramePr/>
                  <a:graphic xmlns:a="http://schemas.openxmlformats.org/drawingml/2006/main">
                    <a:graphicData uri="http://schemas.openxmlformats.org/drawingml/2006/picture">
                      <pic:pic xmlns:pic="http://schemas.openxmlformats.org/drawingml/2006/picture">
                        <pic:nvPicPr>
                          <pic:cNvPr id="34" name="IM 34"/>
                          <pic:cNvPicPr/>
                        </pic:nvPicPr>
                        <pic:blipFill>
                          <a:blip r:embed="rId182"/>
                          <a:stretch>
                            <a:fillRect/>
                          </a:stretch>
                        </pic:blipFill>
                        <pic:spPr>
                          <a:xfrm>
                            <a:off x="0" y="0"/>
                            <a:ext cx="88878" cy="186838"/>
                          </a:xfrm>
                          <a:prstGeom prst="rect">
                            <a:avLst/>
                          </a:prstGeom>
                        </pic:spPr>
                      </pic:pic>
                    </a:graphicData>
                  </a:graphic>
                </wp:inline>
              </w:drawing>
            </w:r>
          </w:p>
        </w:tc>
        <w:tc>
          <w:tcPr>
            <w:tcW w:w="229" w:type="dxa"/>
            <w:vAlign w:val="top"/>
          </w:tcPr>
          <w:p w14:paraId="40FBEB4E">
            <w:pPr>
              <w:rPr>
                <w:rFonts w:ascii="Arial"/>
                <w:sz w:val="21"/>
              </w:rPr>
            </w:pPr>
          </w:p>
        </w:tc>
        <w:tc>
          <w:tcPr>
            <w:tcW w:w="244" w:type="dxa"/>
            <w:vAlign w:val="top"/>
          </w:tcPr>
          <w:p w14:paraId="096101DE">
            <w:pPr>
              <w:rPr>
                <w:rFonts w:ascii="Arial"/>
                <w:sz w:val="21"/>
              </w:rPr>
            </w:pPr>
          </w:p>
        </w:tc>
      </w:tr>
      <w:tr w14:paraId="5F7CAE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3" w:hRule="atLeast"/>
        </w:trPr>
        <w:tc>
          <w:tcPr>
            <w:tcW w:w="554" w:type="dxa"/>
            <w:vAlign w:val="top"/>
          </w:tcPr>
          <w:p w14:paraId="398E8DBF">
            <w:pPr>
              <w:pStyle w:val="6"/>
              <w:spacing w:before="267" w:line="221" w:lineRule="auto"/>
              <w:ind w:left="94"/>
            </w:pPr>
            <w:r>
              <w:rPr>
                <w:spacing w:val="8"/>
              </w:rPr>
              <w:t>肌肉</w:t>
            </w:r>
          </w:p>
        </w:tc>
        <w:tc>
          <w:tcPr>
            <w:tcW w:w="2644" w:type="dxa"/>
            <w:vAlign w:val="top"/>
          </w:tcPr>
          <w:p w14:paraId="1A3E5E9D">
            <w:pPr>
              <w:pStyle w:val="6"/>
              <w:spacing w:before="165" w:line="239" w:lineRule="auto"/>
              <w:ind w:left="71" w:right="1536"/>
            </w:pPr>
            <w:r>
              <w:t>1.肌肉的构造</w:t>
            </w:r>
            <w:r>
              <w:rPr>
                <w:spacing w:val="5"/>
              </w:rPr>
              <w:t xml:space="preserve"> </w:t>
            </w:r>
            <w:r>
              <w:rPr>
                <w:spacing w:val="-2"/>
              </w:rPr>
              <w:t>2.肌肉的形态</w:t>
            </w:r>
          </w:p>
        </w:tc>
        <w:tc>
          <w:tcPr>
            <w:tcW w:w="229" w:type="dxa"/>
            <w:vAlign w:val="top"/>
          </w:tcPr>
          <w:p w14:paraId="2B3D78C5">
            <w:pPr>
              <w:spacing w:line="324" w:lineRule="auto"/>
              <w:rPr>
                <w:rFonts w:ascii="Arial"/>
                <w:sz w:val="21"/>
              </w:rPr>
            </w:pPr>
          </w:p>
          <w:p w14:paraId="42D0C98C">
            <w:pPr>
              <w:pStyle w:val="6"/>
              <w:spacing w:before="56" w:line="238" w:lineRule="auto"/>
              <w:ind w:left="26"/>
            </w:pPr>
            <w:r>
              <w:t>√</w:t>
            </w:r>
          </w:p>
        </w:tc>
        <w:tc>
          <w:tcPr>
            <w:tcW w:w="230" w:type="dxa"/>
            <w:vAlign w:val="top"/>
          </w:tcPr>
          <w:p w14:paraId="19F335A2">
            <w:pPr>
              <w:spacing w:before="157" w:line="140" w:lineRule="exact"/>
              <w:ind w:firstLine="41"/>
            </w:pPr>
            <w:r>
              <w:rPr>
                <w:position w:val="-2"/>
              </w:rPr>
              <w:drawing>
                <wp:inline distT="0" distB="0" distL="0" distR="0">
                  <wp:extent cx="90170" cy="88265"/>
                  <wp:effectExtent l="0" t="0" r="0" b="0"/>
                  <wp:docPr id="36" name="IM 36"/>
                  <wp:cNvGraphicFramePr/>
                  <a:graphic xmlns:a="http://schemas.openxmlformats.org/drawingml/2006/main">
                    <a:graphicData uri="http://schemas.openxmlformats.org/drawingml/2006/picture">
                      <pic:pic xmlns:pic="http://schemas.openxmlformats.org/drawingml/2006/picture">
                        <pic:nvPicPr>
                          <pic:cNvPr id="36" name="IM 36"/>
                          <pic:cNvPicPr/>
                        </pic:nvPicPr>
                        <pic:blipFill>
                          <a:blip r:embed="rId183"/>
                          <a:stretch>
                            <a:fillRect/>
                          </a:stretch>
                        </pic:blipFill>
                        <pic:spPr>
                          <a:xfrm>
                            <a:off x="0" y="0"/>
                            <a:ext cx="90744" cy="88863"/>
                          </a:xfrm>
                          <a:prstGeom prst="rect">
                            <a:avLst/>
                          </a:prstGeom>
                        </pic:spPr>
                      </pic:pic>
                    </a:graphicData>
                  </a:graphic>
                </wp:inline>
              </w:drawing>
            </w:r>
          </w:p>
        </w:tc>
        <w:tc>
          <w:tcPr>
            <w:tcW w:w="229" w:type="dxa"/>
            <w:vAlign w:val="top"/>
          </w:tcPr>
          <w:p w14:paraId="205CC3E2">
            <w:pPr>
              <w:rPr>
                <w:rFonts w:ascii="Arial"/>
                <w:sz w:val="21"/>
              </w:rPr>
            </w:pPr>
          </w:p>
        </w:tc>
        <w:tc>
          <w:tcPr>
            <w:tcW w:w="244" w:type="dxa"/>
            <w:vAlign w:val="top"/>
          </w:tcPr>
          <w:p w14:paraId="3B6A68D8">
            <w:pPr>
              <w:rPr>
                <w:rFonts w:ascii="Arial"/>
                <w:sz w:val="21"/>
              </w:rPr>
            </w:pPr>
          </w:p>
        </w:tc>
      </w:tr>
    </w:tbl>
    <w:p w14:paraId="36810F4F">
      <w:pPr>
        <w:spacing w:before="128" w:line="220" w:lineRule="auto"/>
        <w:ind w:left="1042"/>
        <w:rPr>
          <w:rFonts w:ascii="黑体" w:hAnsi="黑体" w:eastAsia="黑体" w:cs="黑体"/>
          <w:sz w:val="20"/>
          <w:szCs w:val="20"/>
        </w:rPr>
      </w:pPr>
      <w:r>
        <w:rPr>
          <w:rFonts w:ascii="黑体" w:hAnsi="黑体" w:eastAsia="黑体" w:cs="黑体"/>
          <w:b/>
          <w:bCs/>
          <w:spacing w:val="-4"/>
          <w:sz w:val="20"/>
          <w:szCs w:val="20"/>
        </w:rPr>
        <w:t>三、被皮系统及内脏概述</w:t>
      </w:r>
    </w:p>
    <w:p w14:paraId="35DAEA0A">
      <w:pPr>
        <w:spacing w:line="153" w:lineRule="exact"/>
      </w:pPr>
    </w:p>
    <w:tbl>
      <w:tblPr>
        <w:tblStyle w:val="5"/>
        <w:tblW w:w="4130"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64"/>
        <w:gridCol w:w="2644"/>
        <w:gridCol w:w="230"/>
        <w:gridCol w:w="229"/>
        <w:gridCol w:w="229"/>
        <w:gridCol w:w="234"/>
      </w:tblGrid>
      <w:tr w14:paraId="58603B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48" w:hRule="atLeast"/>
        </w:trPr>
        <w:tc>
          <w:tcPr>
            <w:tcW w:w="564" w:type="dxa"/>
            <w:vMerge w:val="restart"/>
            <w:tcBorders>
              <w:top w:val="single" w:color="000000" w:sz="2" w:space="0"/>
              <w:bottom w:val="nil"/>
            </w:tcBorders>
            <w:vAlign w:val="top"/>
          </w:tcPr>
          <w:p w14:paraId="721504CD">
            <w:pPr>
              <w:pStyle w:val="6"/>
              <w:spacing w:before="146" w:line="219" w:lineRule="auto"/>
              <w:ind w:left="97" w:right="104"/>
              <w:rPr>
                <w:sz w:val="18"/>
                <w:szCs w:val="18"/>
              </w:rPr>
            </w:pPr>
            <w:r>
              <w:rPr>
                <w:b/>
                <w:bCs/>
                <w:spacing w:val="-8"/>
                <w:sz w:val="18"/>
                <w:szCs w:val="18"/>
              </w:rPr>
              <w:t>知识</w:t>
            </w:r>
            <w:r>
              <w:rPr>
                <w:sz w:val="18"/>
                <w:szCs w:val="18"/>
              </w:rPr>
              <w:t xml:space="preserve"> </w:t>
            </w:r>
            <w:r>
              <w:rPr>
                <w:b/>
                <w:bCs/>
                <w:spacing w:val="-6"/>
                <w:sz w:val="18"/>
                <w:szCs w:val="18"/>
              </w:rPr>
              <w:t>要点</w:t>
            </w:r>
          </w:p>
        </w:tc>
        <w:tc>
          <w:tcPr>
            <w:tcW w:w="2644" w:type="dxa"/>
            <w:vMerge w:val="restart"/>
            <w:tcBorders>
              <w:top w:val="single" w:color="000000" w:sz="2" w:space="0"/>
              <w:bottom w:val="nil"/>
            </w:tcBorders>
            <w:vAlign w:val="top"/>
          </w:tcPr>
          <w:p w14:paraId="5315D9FF">
            <w:pPr>
              <w:pStyle w:val="6"/>
              <w:spacing w:before="254" w:line="219" w:lineRule="auto"/>
              <w:ind w:left="1013"/>
              <w:rPr>
                <w:sz w:val="18"/>
                <w:szCs w:val="18"/>
              </w:rPr>
            </w:pPr>
            <w:r>
              <w:rPr>
                <w:b/>
                <w:bCs/>
                <w:spacing w:val="5"/>
                <w:sz w:val="18"/>
                <w:szCs w:val="18"/>
              </w:rPr>
              <w:t>考试条目</w:t>
            </w:r>
          </w:p>
        </w:tc>
        <w:tc>
          <w:tcPr>
            <w:tcW w:w="922" w:type="dxa"/>
            <w:gridSpan w:val="4"/>
            <w:tcBorders>
              <w:top w:val="single" w:color="000000" w:sz="2" w:space="0"/>
              <w:bottom w:val="single" w:color="000000" w:sz="2" w:space="0"/>
            </w:tcBorders>
            <w:vAlign w:val="top"/>
          </w:tcPr>
          <w:p w14:paraId="3F6F91CE">
            <w:pPr>
              <w:pStyle w:val="6"/>
              <w:spacing w:before="84" w:line="219" w:lineRule="auto"/>
              <w:ind w:left="129"/>
              <w:rPr>
                <w:sz w:val="18"/>
                <w:szCs w:val="18"/>
              </w:rPr>
            </w:pPr>
            <w:r>
              <w:rPr>
                <w:b/>
                <w:bCs/>
                <w:spacing w:val="-4"/>
                <w:sz w:val="18"/>
                <w:szCs w:val="18"/>
              </w:rPr>
              <w:t>考试水平</w:t>
            </w:r>
          </w:p>
        </w:tc>
      </w:tr>
      <w:tr w14:paraId="1E018E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3" w:hRule="atLeast"/>
        </w:trPr>
        <w:tc>
          <w:tcPr>
            <w:tcW w:w="564" w:type="dxa"/>
            <w:vMerge w:val="continue"/>
            <w:tcBorders>
              <w:top w:val="nil"/>
              <w:bottom w:val="single" w:color="000000" w:sz="2" w:space="0"/>
            </w:tcBorders>
            <w:vAlign w:val="top"/>
          </w:tcPr>
          <w:p w14:paraId="581BBCE2">
            <w:pPr>
              <w:rPr>
                <w:rFonts w:ascii="Arial"/>
                <w:sz w:val="21"/>
              </w:rPr>
            </w:pPr>
          </w:p>
        </w:tc>
        <w:tc>
          <w:tcPr>
            <w:tcW w:w="2644" w:type="dxa"/>
            <w:vMerge w:val="continue"/>
            <w:tcBorders>
              <w:top w:val="nil"/>
              <w:bottom w:val="single" w:color="000000" w:sz="2" w:space="0"/>
            </w:tcBorders>
            <w:vAlign w:val="top"/>
          </w:tcPr>
          <w:p w14:paraId="6652D066">
            <w:pPr>
              <w:rPr>
                <w:rFonts w:ascii="Arial"/>
                <w:sz w:val="21"/>
              </w:rPr>
            </w:pPr>
          </w:p>
        </w:tc>
        <w:tc>
          <w:tcPr>
            <w:tcW w:w="230" w:type="dxa"/>
            <w:tcBorders>
              <w:top w:val="single" w:color="000000" w:sz="2" w:space="0"/>
              <w:bottom w:val="single" w:color="000000" w:sz="2" w:space="0"/>
            </w:tcBorders>
            <w:vAlign w:val="top"/>
          </w:tcPr>
          <w:p w14:paraId="0FFE66C9">
            <w:pPr>
              <w:pStyle w:val="6"/>
              <w:spacing w:before="119" w:line="184" w:lineRule="auto"/>
              <w:ind w:left="16"/>
              <w:rPr>
                <w:sz w:val="18"/>
                <w:szCs w:val="18"/>
              </w:rPr>
            </w:pPr>
            <w:r>
              <w:rPr>
                <w:sz w:val="18"/>
                <w:szCs w:val="18"/>
              </w:rPr>
              <w:t>A</w:t>
            </w:r>
          </w:p>
        </w:tc>
        <w:tc>
          <w:tcPr>
            <w:tcW w:w="229" w:type="dxa"/>
            <w:tcBorders>
              <w:top w:val="single" w:color="000000" w:sz="2" w:space="0"/>
              <w:bottom w:val="single" w:color="000000" w:sz="2" w:space="0"/>
            </w:tcBorders>
            <w:vAlign w:val="top"/>
          </w:tcPr>
          <w:p w14:paraId="3FC57FDD">
            <w:pPr>
              <w:pStyle w:val="6"/>
              <w:spacing w:before="121" w:line="182" w:lineRule="auto"/>
              <w:ind w:left="26"/>
              <w:rPr>
                <w:sz w:val="18"/>
                <w:szCs w:val="18"/>
              </w:rPr>
            </w:pPr>
            <w:r>
              <w:rPr>
                <w:sz w:val="18"/>
                <w:szCs w:val="18"/>
              </w:rPr>
              <w:t>B</w:t>
            </w:r>
          </w:p>
        </w:tc>
        <w:tc>
          <w:tcPr>
            <w:tcW w:w="229" w:type="dxa"/>
            <w:tcBorders>
              <w:top w:val="single" w:color="000000" w:sz="2" w:space="0"/>
              <w:bottom w:val="single" w:color="000000" w:sz="2" w:space="0"/>
            </w:tcBorders>
            <w:vAlign w:val="top"/>
          </w:tcPr>
          <w:p w14:paraId="3F821ED4">
            <w:pPr>
              <w:pStyle w:val="6"/>
              <w:spacing w:before="120" w:line="183" w:lineRule="auto"/>
              <w:ind w:left="57"/>
              <w:rPr>
                <w:sz w:val="18"/>
                <w:szCs w:val="18"/>
              </w:rPr>
            </w:pPr>
            <w:r>
              <w:rPr>
                <w:sz w:val="18"/>
                <w:szCs w:val="18"/>
              </w:rPr>
              <w:t>C</w:t>
            </w:r>
          </w:p>
        </w:tc>
        <w:tc>
          <w:tcPr>
            <w:tcW w:w="234" w:type="dxa"/>
            <w:tcBorders>
              <w:top w:val="single" w:color="000000" w:sz="2" w:space="0"/>
              <w:bottom w:val="single" w:color="000000" w:sz="2" w:space="0"/>
            </w:tcBorders>
            <w:vAlign w:val="top"/>
          </w:tcPr>
          <w:p w14:paraId="289849A1">
            <w:pPr>
              <w:pStyle w:val="6"/>
              <w:spacing w:before="121" w:line="182" w:lineRule="auto"/>
              <w:ind w:left="48"/>
              <w:rPr>
                <w:sz w:val="18"/>
                <w:szCs w:val="18"/>
              </w:rPr>
            </w:pPr>
            <w:r>
              <w:rPr>
                <w:sz w:val="18"/>
                <w:szCs w:val="18"/>
              </w:rPr>
              <w:t>D</w:t>
            </w:r>
          </w:p>
        </w:tc>
      </w:tr>
      <w:tr w14:paraId="19D540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47" w:hRule="atLeast"/>
        </w:trPr>
        <w:tc>
          <w:tcPr>
            <w:tcW w:w="564" w:type="dxa"/>
            <w:tcBorders>
              <w:top w:val="single" w:color="000000" w:sz="2" w:space="0"/>
              <w:bottom w:val="single" w:color="000000" w:sz="2" w:space="0"/>
            </w:tcBorders>
            <w:vAlign w:val="top"/>
          </w:tcPr>
          <w:p w14:paraId="3160E64C">
            <w:pPr>
              <w:pStyle w:val="6"/>
              <w:spacing w:before="135" w:line="229" w:lineRule="auto"/>
              <w:ind w:left="94" w:right="106"/>
              <w:rPr>
                <w:sz w:val="18"/>
                <w:szCs w:val="18"/>
              </w:rPr>
            </w:pPr>
            <w:r>
              <w:rPr>
                <w:spacing w:val="-4"/>
                <w:sz w:val="18"/>
                <w:szCs w:val="18"/>
              </w:rPr>
              <w:t>被皮</w:t>
            </w:r>
            <w:r>
              <w:rPr>
                <w:sz w:val="18"/>
                <w:szCs w:val="18"/>
              </w:rPr>
              <w:t xml:space="preserve"> </w:t>
            </w:r>
            <w:r>
              <w:rPr>
                <w:spacing w:val="-6"/>
                <w:sz w:val="18"/>
                <w:szCs w:val="18"/>
              </w:rPr>
              <w:t>系统</w:t>
            </w:r>
          </w:p>
        </w:tc>
        <w:tc>
          <w:tcPr>
            <w:tcW w:w="2644" w:type="dxa"/>
            <w:tcBorders>
              <w:top w:val="single" w:color="000000" w:sz="2" w:space="0"/>
              <w:bottom w:val="single" w:color="000000" w:sz="2" w:space="0"/>
            </w:tcBorders>
            <w:vAlign w:val="top"/>
          </w:tcPr>
          <w:p w14:paraId="7BCA7F8B">
            <w:pPr>
              <w:pStyle w:val="6"/>
              <w:spacing w:before="145" w:line="228" w:lineRule="auto"/>
              <w:ind w:left="80" w:right="923"/>
              <w:rPr>
                <w:sz w:val="18"/>
                <w:szCs w:val="18"/>
              </w:rPr>
            </w:pPr>
            <w:r>
              <w:rPr>
                <w:sz w:val="18"/>
                <w:szCs w:val="18"/>
              </w:rPr>
              <w:t>1.皮肤的构造和功能</w:t>
            </w:r>
            <w:r>
              <w:rPr>
                <w:spacing w:val="8"/>
                <w:sz w:val="18"/>
                <w:szCs w:val="18"/>
              </w:rPr>
              <w:t xml:space="preserve"> </w:t>
            </w:r>
            <w:r>
              <w:rPr>
                <w:spacing w:val="-2"/>
                <w:sz w:val="18"/>
                <w:szCs w:val="18"/>
              </w:rPr>
              <w:t>2.皮肤衍生物</w:t>
            </w:r>
          </w:p>
        </w:tc>
        <w:tc>
          <w:tcPr>
            <w:tcW w:w="230" w:type="dxa"/>
            <w:tcBorders>
              <w:top w:val="single" w:color="000000" w:sz="2" w:space="0"/>
              <w:bottom w:val="single" w:color="000000" w:sz="2" w:space="0"/>
            </w:tcBorders>
            <w:vAlign w:val="top"/>
          </w:tcPr>
          <w:p w14:paraId="4A95D2FA">
            <w:pPr>
              <w:rPr>
                <w:rFonts w:ascii="Arial"/>
                <w:sz w:val="21"/>
              </w:rPr>
            </w:pPr>
          </w:p>
        </w:tc>
        <w:tc>
          <w:tcPr>
            <w:tcW w:w="229" w:type="dxa"/>
            <w:tcBorders>
              <w:top w:val="single" w:color="000000" w:sz="2" w:space="0"/>
              <w:bottom w:val="single" w:color="000000" w:sz="2" w:space="0"/>
            </w:tcBorders>
            <w:vAlign w:val="top"/>
          </w:tcPr>
          <w:p w14:paraId="68608D3F">
            <w:pPr>
              <w:rPr>
                <w:rFonts w:ascii="Arial"/>
                <w:sz w:val="21"/>
              </w:rPr>
            </w:pPr>
          </w:p>
        </w:tc>
        <w:tc>
          <w:tcPr>
            <w:tcW w:w="229" w:type="dxa"/>
            <w:tcBorders>
              <w:top w:val="single" w:color="000000" w:sz="2" w:space="0"/>
              <w:bottom w:val="single" w:color="000000" w:sz="2" w:space="0"/>
            </w:tcBorders>
            <w:vAlign w:val="top"/>
          </w:tcPr>
          <w:p w14:paraId="02043A0B">
            <w:pPr>
              <w:rPr>
                <w:rFonts w:ascii="Arial"/>
                <w:sz w:val="21"/>
              </w:rPr>
            </w:pPr>
          </w:p>
        </w:tc>
        <w:tc>
          <w:tcPr>
            <w:tcW w:w="234" w:type="dxa"/>
            <w:tcBorders>
              <w:top w:val="single" w:color="000000" w:sz="2" w:space="0"/>
              <w:bottom w:val="single" w:color="000000" w:sz="2" w:space="0"/>
            </w:tcBorders>
            <w:vAlign w:val="top"/>
          </w:tcPr>
          <w:p w14:paraId="4F9A339E">
            <w:pPr>
              <w:rPr>
                <w:rFonts w:ascii="Arial"/>
                <w:sz w:val="21"/>
              </w:rPr>
            </w:pPr>
          </w:p>
        </w:tc>
      </w:tr>
    </w:tbl>
    <w:p w14:paraId="0E3BE412">
      <w:pPr>
        <w:pStyle w:val="2"/>
        <w:spacing w:line="14" w:lineRule="auto"/>
        <w:rPr>
          <w:sz w:val="2"/>
        </w:rPr>
      </w:pPr>
    </w:p>
    <w:p w14:paraId="644D867D">
      <w:pPr>
        <w:pStyle w:val="2"/>
        <w:spacing w:line="14" w:lineRule="auto"/>
        <w:rPr>
          <w:sz w:val="2"/>
        </w:rPr>
      </w:pPr>
      <w:r>
        <w:rPr>
          <w:sz w:val="2"/>
          <w:szCs w:val="2"/>
        </w:rPr>
        <w:br w:type="column"/>
      </w: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64"/>
        <w:gridCol w:w="2634"/>
        <w:gridCol w:w="219"/>
        <w:gridCol w:w="229"/>
        <w:gridCol w:w="239"/>
        <w:gridCol w:w="234"/>
      </w:tblGrid>
      <w:tr w14:paraId="0FF79D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8" w:hRule="atLeast"/>
        </w:trPr>
        <w:tc>
          <w:tcPr>
            <w:tcW w:w="564" w:type="dxa"/>
            <w:vMerge w:val="restart"/>
            <w:tcBorders>
              <w:top w:val="single" w:color="000000" w:sz="2" w:space="0"/>
              <w:bottom w:val="nil"/>
            </w:tcBorders>
            <w:vAlign w:val="top"/>
          </w:tcPr>
          <w:p w14:paraId="71225413">
            <w:pPr>
              <w:pStyle w:val="6"/>
              <w:spacing w:before="156" w:line="214" w:lineRule="auto"/>
              <w:ind w:left="97" w:right="104"/>
              <w:rPr>
                <w:sz w:val="18"/>
                <w:szCs w:val="18"/>
              </w:rPr>
            </w:pPr>
            <w:r>
              <w:rPr>
                <w:b/>
                <w:bCs/>
                <w:spacing w:val="-8"/>
                <w:sz w:val="18"/>
                <w:szCs w:val="18"/>
              </w:rPr>
              <w:t>知识</w:t>
            </w:r>
            <w:r>
              <w:rPr>
                <w:sz w:val="18"/>
                <w:szCs w:val="18"/>
              </w:rPr>
              <w:t xml:space="preserve"> </w:t>
            </w:r>
            <w:r>
              <w:rPr>
                <w:b/>
                <w:bCs/>
                <w:spacing w:val="-6"/>
                <w:sz w:val="18"/>
                <w:szCs w:val="18"/>
              </w:rPr>
              <w:t>要点</w:t>
            </w:r>
          </w:p>
        </w:tc>
        <w:tc>
          <w:tcPr>
            <w:tcW w:w="2634" w:type="dxa"/>
            <w:vMerge w:val="restart"/>
            <w:tcBorders>
              <w:top w:val="single" w:color="000000" w:sz="2" w:space="0"/>
              <w:bottom w:val="nil"/>
            </w:tcBorders>
            <w:vAlign w:val="top"/>
          </w:tcPr>
          <w:p w14:paraId="4851D1A7">
            <w:pPr>
              <w:pStyle w:val="6"/>
              <w:spacing w:before="254" w:line="219" w:lineRule="auto"/>
              <w:ind w:left="993"/>
              <w:rPr>
                <w:sz w:val="18"/>
                <w:szCs w:val="18"/>
              </w:rPr>
            </w:pPr>
            <w:r>
              <w:rPr>
                <w:b/>
                <w:bCs/>
                <w:spacing w:val="5"/>
                <w:sz w:val="18"/>
                <w:szCs w:val="18"/>
              </w:rPr>
              <w:t>考试条目</w:t>
            </w:r>
          </w:p>
        </w:tc>
        <w:tc>
          <w:tcPr>
            <w:tcW w:w="921" w:type="dxa"/>
            <w:gridSpan w:val="4"/>
            <w:tcBorders>
              <w:top w:val="single" w:color="000000" w:sz="2" w:space="0"/>
              <w:bottom w:val="single" w:color="000000" w:sz="2" w:space="0"/>
            </w:tcBorders>
            <w:vAlign w:val="top"/>
          </w:tcPr>
          <w:p w14:paraId="61239215">
            <w:pPr>
              <w:pStyle w:val="6"/>
              <w:spacing w:before="84" w:line="219" w:lineRule="auto"/>
              <w:ind w:left="129"/>
              <w:rPr>
                <w:sz w:val="18"/>
                <w:szCs w:val="18"/>
              </w:rPr>
            </w:pPr>
            <w:r>
              <w:rPr>
                <w:b/>
                <w:bCs/>
                <w:spacing w:val="-4"/>
                <w:sz w:val="18"/>
                <w:szCs w:val="18"/>
              </w:rPr>
              <w:t>考试水平</w:t>
            </w:r>
          </w:p>
        </w:tc>
      </w:tr>
      <w:tr w14:paraId="3BCCD0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4" w:hRule="atLeast"/>
        </w:trPr>
        <w:tc>
          <w:tcPr>
            <w:tcW w:w="564" w:type="dxa"/>
            <w:vMerge w:val="continue"/>
            <w:tcBorders>
              <w:top w:val="nil"/>
              <w:bottom w:val="single" w:color="000000" w:sz="2" w:space="0"/>
            </w:tcBorders>
            <w:vAlign w:val="top"/>
          </w:tcPr>
          <w:p w14:paraId="5C568815">
            <w:pPr>
              <w:rPr>
                <w:rFonts w:ascii="Arial"/>
                <w:sz w:val="21"/>
              </w:rPr>
            </w:pPr>
          </w:p>
        </w:tc>
        <w:tc>
          <w:tcPr>
            <w:tcW w:w="2634" w:type="dxa"/>
            <w:vMerge w:val="continue"/>
            <w:tcBorders>
              <w:top w:val="nil"/>
              <w:bottom w:val="single" w:color="000000" w:sz="2" w:space="0"/>
            </w:tcBorders>
            <w:vAlign w:val="top"/>
          </w:tcPr>
          <w:p w14:paraId="07C36C3E">
            <w:pPr>
              <w:rPr>
                <w:rFonts w:ascii="Arial"/>
                <w:sz w:val="21"/>
              </w:rPr>
            </w:pPr>
          </w:p>
        </w:tc>
        <w:tc>
          <w:tcPr>
            <w:tcW w:w="219" w:type="dxa"/>
            <w:tcBorders>
              <w:top w:val="single" w:color="000000" w:sz="2" w:space="0"/>
              <w:bottom w:val="single" w:color="000000" w:sz="2" w:space="0"/>
            </w:tcBorders>
            <w:vAlign w:val="top"/>
          </w:tcPr>
          <w:p w14:paraId="743224B1">
            <w:pPr>
              <w:pStyle w:val="6"/>
              <w:spacing w:before="119" w:line="184" w:lineRule="auto"/>
              <w:ind w:left="16"/>
              <w:rPr>
                <w:sz w:val="18"/>
                <w:szCs w:val="18"/>
              </w:rPr>
            </w:pPr>
            <w:r>
              <w:rPr>
                <w:sz w:val="18"/>
                <w:szCs w:val="18"/>
              </w:rPr>
              <w:t>A</w:t>
            </w:r>
          </w:p>
        </w:tc>
        <w:tc>
          <w:tcPr>
            <w:tcW w:w="229" w:type="dxa"/>
            <w:tcBorders>
              <w:top w:val="single" w:color="000000" w:sz="2" w:space="0"/>
              <w:bottom w:val="single" w:color="000000" w:sz="2" w:space="0"/>
            </w:tcBorders>
            <w:vAlign w:val="top"/>
          </w:tcPr>
          <w:p w14:paraId="35B080E6">
            <w:pPr>
              <w:pStyle w:val="6"/>
              <w:spacing w:before="121" w:line="182" w:lineRule="auto"/>
              <w:ind w:left="57"/>
              <w:rPr>
                <w:sz w:val="18"/>
                <w:szCs w:val="18"/>
              </w:rPr>
            </w:pPr>
            <w:r>
              <w:rPr>
                <w:sz w:val="18"/>
                <w:szCs w:val="18"/>
              </w:rPr>
              <w:t>B</w:t>
            </w:r>
          </w:p>
        </w:tc>
        <w:tc>
          <w:tcPr>
            <w:tcW w:w="239" w:type="dxa"/>
            <w:tcBorders>
              <w:top w:val="single" w:color="000000" w:sz="2" w:space="0"/>
              <w:bottom w:val="single" w:color="000000" w:sz="2" w:space="0"/>
            </w:tcBorders>
            <w:vAlign w:val="top"/>
          </w:tcPr>
          <w:p w14:paraId="0FD841A4">
            <w:pPr>
              <w:pStyle w:val="6"/>
              <w:spacing w:before="120" w:line="183" w:lineRule="auto"/>
              <w:ind w:left="28"/>
              <w:rPr>
                <w:sz w:val="18"/>
                <w:szCs w:val="18"/>
              </w:rPr>
            </w:pPr>
            <w:r>
              <w:rPr>
                <w:sz w:val="18"/>
                <w:szCs w:val="18"/>
              </w:rPr>
              <w:t>C</w:t>
            </w:r>
          </w:p>
        </w:tc>
        <w:tc>
          <w:tcPr>
            <w:tcW w:w="234" w:type="dxa"/>
            <w:tcBorders>
              <w:top w:val="single" w:color="000000" w:sz="2" w:space="0"/>
              <w:bottom w:val="single" w:color="000000" w:sz="2" w:space="0"/>
            </w:tcBorders>
            <w:vAlign w:val="top"/>
          </w:tcPr>
          <w:p w14:paraId="73434A75">
            <w:pPr>
              <w:pStyle w:val="6"/>
              <w:spacing w:before="121" w:line="182" w:lineRule="auto"/>
              <w:ind w:left="19"/>
              <w:rPr>
                <w:sz w:val="18"/>
                <w:szCs w:val="18"/>
              </w:rPr>
            </w:pPr>
            <w:r>
              <w:rPr>
                <w:sz w:val="18"/>
                <w:szCs w:val="18"/>
              </w:rPr>
              <w:t>D</w:t>
            </w:r>
          </w:p>
        </w:tc>
      </w:tr>
      <w:tr w14:paraId="763A6B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36" w:hRule="atLeast"/>
        </w:trPr>
        <w:tc>
          <w:tcPr>
            <w:tcW w:w="564" w:type="dxa"/>
            <w:tcBorders>
              <w:top w:val="single" w:color="000000" w:sz="2" w:space="0"/>
              <w:bottom w:val="single" w:color="000000" w:sz="2" w:space="0"/>
            </w:tcBorders>
            <w:vAlign w:val="top"/>
          </w:tcPr>
          <w:p w14:paraId="2339869F">
            <w:pPr>
              <w:pStyle w:val="6"/>
              <w:spacing w:before="285" w:line="227" w:lineRule="auto"/>
              <w:ind w:left="94" w:right="92"/>
              <w:rPr>
                <w:sz w:val="18"/>
                <w:szCs w:val="18"/>
              </w:rPr>
            </w:pPr>
            <w:r>
              <w:rPr>
                <w:spacing w:val="3"/>
                <w:sz w:val="18"/>
                <w:szCs w:val="18"/>
              </w:rPr>
              <w:t>内脏</w:t>
            </w:r>
            <w:r>
              <w:rPr>
                <w:sz w:val="18"/>
                <w:szCs w:val="18"/>
              </w:rPr>
              <w:t xml:space="preserve"> </w:t>
            </w:r>
            <w:r>
              <w:rPr>
                <w:spacing w:val="-2"/>
                <w:sz w:val="18"/>
                <w:szCs w:val="18"/>
              </w:rPr>
              <w:t>概述</w:t>
            </w:r>
          </w:p>
        </w:tc>
        <w:tc>
          <w:tcPr>
            <w:tcW w:w="2634" w:type="dxa"/>
            <w:tcBorders>
              <w:top w:val="single" w:color="000000" w:sz="2" w:space="0"/>
              <w:bottom w:val="single" w:color="000000" w:sz="2" w:space="0"/>
            </w:tcBorders>
            <w:vAlign w:val="top"/>
          </w:tcPr>
          <w:p w14:paraId="032D436D">
            <w:pPr>
              <w:pStyle w:val="6"/>
              <w:spacing w:before="184" w:line="215" w:lineRule="auto"/>
              <w:ind w:left="50"/>
              <w:rPr>
                <w:sz w:val="18"/>
                <w:szCs w:val="18"/>
              </w:rPr>
            </w:pPr>
            <w:r>
              <w:rPr>
                <w:sz w:val="18"/>
                <w:szCs w:val="18"/>
              </w:rPr>
              <w:t>1.内脏的概念及构造</w:t>
            </w:r>
          </w:p>
          <w:p w14:paraId="3718F3E3">
            <w:pPr>
              <w:pStyle w:val="6"/>
              <w:spacing w:line="222" w:lineRule="auto"/>
              <w:ind w:left="50" w:right="782"/>
              <w:rPr>
                <w:sz w:val="18"/>
                <w:szCs w:val="18"/>
              </w:rPr>
            </w:pPr>
            <w:r>
              <w:rPr>
                <w:spacing w:val="-1"/>
                <w:sz w:val="18"/>
                <w:szCs w:val="18"/>
              </w:rPr>
              <w:t>2.腹腔、骨盆腔及腹膜</w:t>
            </w:r>
            <w:r>
              <w:rPr>
                <w:sz w:val="18"/>
                <w:szCs w:val="18"/>
              </w:rPr>
              <w:t xml:space="preserve"> </w:t>
            </w:r>
            <w:r>
              <w:rPr>
                <w:spacing w:val="2"/>
                <w:sz w:val="18"/>
                <w:szCs w:val="18"/>
              </w:rPr>
              <w:t>3.腹腔的分区</w:t>
            </w:r>
          </w:p>
        </w:tc>
        <w:tc>
          <w:tcPr>
            <w:tcW w:w="219" w:type="dxa"/>
            <w:tcBorders>
              <w:top w:val="single" w:color="000000" w:sz="2" w:space="0"/>
              <w:bottom w:val="single" w:color="000000" w:sz="2" w:space="0"/>
            </w:tcBorders>
            <w:vAlign w:val="top"/>
          </w:tcPr>
          <w:p w14:paraId="10F27DA0">
            <w:pPr>
              <w:spacing w:line="435" w:lineRule="auto"/>
              <w:rPr>
                <w:rFonts w:ascii="Arial"/>
                <w:sz w:val="21"/>
              </w:rPr>
            </w:pPr>
          </w:p>
          <w:p w14:paraId="0343366D">
            <w:pPr>
              <w:spacing w:line="301" w:lineRule="exact"/>
              <w:ind w:firstLine="56"/>
            </w:pPr>
            <w:r>
              <w:rPr>
                <w:position w:val="-6"/>
              </w:rPr>
              <w:drawing>
                <wp:inline distT="0" distB="0" distL="0" distR="0">
                  <wp:extent cx="80010" cy="190500"/>
                  <wp:effectExtent l="0" t="0" r="0" b="0"/>
                  <wp:docPr id="38" name="IM 38"/>
                  <wp:cNvGraphicFramePr/>
                  <a:graphic xmlns:a="http://schemas.openxmlformats.org/drawingml/2006/main">
                    <a:graphicData uri="http://schemas.openxmlformats.org/drawingml/2006/picture">
                      <pic:pic xmlns:pic="http://schemas.openxmlformats.org/drawingml/2006/picture">
                        <pic:nvPicPr>
                          <pic:cNvPr id="38" name="IM 38"/>
                          <pic:cNvPicPr/>
                        </pic:nvPicPr>
                        <pic:blipFill>
                          <a:blip r:embed="rId184"/>
                          <a:stretch>
                            <a:fillRect/>
                          </a:stretch>
                        </pic:blipFill>
                        <pic:spPr>
                          <a:xfrm>
                            <a:off x="0" y="0"/>
                            <a:ext cx="80015" cy="190863"/>
                          </a:xfrm>
                          <a:prstGeom prst="rect">
                            <a:avLst/>
                          </a:prstGeom>
                        </pic:spPr>
                      </pic:pic>
                    </a:graphicData>
                  </a:graphic>
                </wp:inline>
              </w:drawing>
            </w:r>
          </w:p>
        </w:tc>
        <w:tc>
          <w:tcPr>
            <w:tcW w:w="229" w:type="dxa"/>
            <w:tcBorders>
              <w:top w:val="single" w:color="000000" w:sz="2" w:space="0"/>
              <w:bottom w:val="single" w:color="000000" w:sz="2" w:space="0"/>
            </w:tcBorders>
            <w:vAlign w:val="top"/>
          </w:tcPr>
          <w:p w14:paraId="5C67E965">
            <w:pPr>
              <w:rPr>
                <w:rFonts w:ascii="Arial"/>
                <w:sz w:val="21"/>
              </w:rPr>
            </w:pPr>
          </w:p>
        </w:tc>
        <w:tc>
          <w:tcPr>
            <w:tcW w:w="239" w:type="dxa"/>
            <w:tcBorders>
              <w:top w:val="single" w:color="000000" w:sz="2" w:space="0"/>
              <w:bottom w:val="single" w:color="000000" w:sz="2" w:space="0"/>
            </w:tcBorders>
            <w:vAlign w:val="top"/>
          </w:tcPr>
          <w:p w14:paraId="118178C7">
            <w:pPr>
              <w:rPr>
                <w:rFonts w:ascii="Arial"/>
                <w:sz w:val="21"/>
              </w:rPr>
            </w:pPr>
          </w:p>
        </w:tc>
        <w:tc>
          <w:tcPr>
            <w:tcW w:w="234" w:type="dxa"/>
            <w:tcBorders>
              <w:top w:val="single" w:color="000000" w:sz="2" w:space="0"/>
              <w:bottom w:val="single" w:color="000000" w:sz="2" w:space="0"/>
            </w:tcBorders>
            <w:vAlign w:val="top"/>
          </w:tcPr>
          <w:p w14:paraId="11A1A678">
            <w:pPr>
              <w:rPr>
                <w:rFonts w:ascii="Arial"/>
                <w:sz w:val="21"/>
              </w:rPr>
            </w:pPr>
          </w:p>
        </w:tc>
      </w:tr>
    </w:tbl>
    <w:p w14:paraId="5BBCA3E2">
      <w:pPr>
        <w:spacing w:before="118" w:line="221" w:lineRule="auto"/>
        <w:ind w:left="1467"/>
        <w:rPr>
          <w:rFonts w:ascii="黑体" w:hAnsi="黑体" w:eastAsia="黑体" w:cs="黑体"/>
          <w:sz w:val="20"/>
          <w:szCs w:val="20"/>
        </w:rPr>
      </w:pPr>
      <w:r>
        <w:rPr>
          <w:rFonts w:ascii="黑体" w:hAnsi="黑体" w:eastAsia="黑体" w:cs="黑体"/>
          <w:b/>
          <w:bCs/>
          <w:spacing w:val="-7"/>
          <w:sz w:val="20"/>
          <w:szCs w:val="20"/>
        </w:rPr>
        <w:t>四、消化系统</w:t>
      </w:r>
    </w:p>
    <w:p w14:paraId="6B48B51E">
      <w:pPr>
        <w:spacing w:line="161" w:lineRule="exact"/>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54"/>
        <w:gridCol w:w="2634"/>
        <w:gridCol w:w="229"/>
        <w:gridCol w:w="229"/>
        <w:gridCol w:w="239"/>
        <w:gridCol w:w="234"/>
      </w:tblGrid>
      <w:tr w14:paraId="3B03D9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4" w:hRule="atLeast"/>
        </w:trPr>
        <w:tc>
          <w:tcPr>
            <w:tcW w:w="554" w:type="dxa"/>
            <w:vMerge w:val="restart"/>
            <w:tcBorders>
              <w:bottom w:val="nil"/>
            </w:tcBorders>
            <w:vAlign w:val="top"/>
          </w:tcPr>
          <w:p w14:paraId="4564AC13">
            <w:pPr>
              <w:pStyle w:val="6"/>
              <w:spacing w:before="142" w:line="219" w:lineRule="auto"/>
              <w:ind w:left="87" w:right="104"/>
              <w:rPr>
                <w:sz w:val="18"/>
                <w:szCs w:val="18"/>
              </w:rPr>
            </w:pPr>
            <w:r>
              <w:rPr>
                <w:b/>
                <w:bCs/>
                <w:spacing w:val="-8"/>
                <w:sz w:val="18"/>
                <w:szCs w:val="18"/>
              </w:rPr>
              <w:t>知识</w:t>
            </w:r>
            <w:r>
              <w:rPr>
                <w:sz w:val="18"/>
                <w:szCs w:val="18"/>
              </w:rPr>
              <w:t xml:space="preserve"> </w:t>
            </w:r>
            <w:r>
              <w:rPr>
                <w:b/>
                <w:bCs/>
                <w:spacing w:val="-6"/>
                <w:sz w:val="18"/>
                <w:szCs w:val="18"/>
              </w:rPr>
              <w:t>要点</w:t>
            </w:r>
          </w:p>
        </w:tc>
        <w:tc>
          <w:tcPr>
            <w:tcW w:w="2634" w:type="dxa"/>
            <w:vMerge w:val="restart"/>
            <w:tcBorders>
              <w:bottom w:val="nil"/>
            </w:tcBorders>
            <w:vAlign w:val="top"/>
          </w:tcPr>
          <w:p w14:paraId="4C80FEB5">
            <w:pPr>
              <w:pStyle w:val="6"/>
              <w:spacing w:before="250" w:line="219" w:lineRule="auto"/>
              <w:ind w:left="993"/>
              <w:rPr>
                <w:sz w:val="18"/>
                <w:szCs w:val="18"/>
              </w:rPr>
            </w:pPr>
            <w:r>
              <w:rPr>
                <w:b/>
                <w:bCs/>
                <w:spacing w:val="5"/>
                <w:sz w:val="18"/>
                <w:szCs w:val="18"/>
              </w:rPr>
              <w:t>考试条目</w:t>
            </w:r>
          </w:p>
        </w:tc>
        <w:tc>
          <w:tcPr>
            <w:tcW w:w="931" w:type="dxa"/>
            <w:gridSpan w:val="4"/>
            <w:vAlign w:val="top"/>
          </w:tcPr>
          <w:p w14:paraId="78D7CE50">
            <w:pPr>
              <w:pStyle w:val="6"/>
              <w:spacing w:before="80" w:line="219" w:lineRule="auto"/>
              <w:ind w:left="139"/>
              <w:rPr>
                <w:sz w:val="18"/>
                <w:szCs w:val="18"/>
              </w:rPr>
            </w:pPr>
            <w:r>
              <w:rPr>
                <w:b/>
                <w:bCs/>
                <w:spacing w:val="-4"/>
                <w:sz w:val="18"/>
                <w:szCs w:val="18"/>
              </w:rPr>
              <w:t>考试水平</w:t>
            </w:r>
          </w:p>
        </w:tc>
      </w:tr>
      <w:tr w14:paraId="0918FD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0" w:hRule="atLeast"/>
        </w:trPr>
        <w:tc>
          <w:tcPr>
            <w:tcW w:w="554" w:type="dxa"/>
            <w:vMerge w:val="continue"/>
            <w:tcBorders>
              <w:top w:val="nil"/>
            </w:tcBorders>
            <w:vAlign w:val="top"/>
          </w:tcPr>
          <w:p w14:paraId="7C8659DE">
            <w:pPr>
              <w:rPr>
                <w:rFonts w:ascii="Arial"/>
                <w:sz w:val="21"/>
              </w:rPr>
            </w:pPr>
          </w:p>
        </w:tc>
        <w:tc>
          <w:tcPr>
            <w:tcW w:w="2634" w:type="dxa"/>
            <w:vMerge w:val="continue"/>
            <w:tcBorders>
              <w:top w:val="nil"/>
            </w:tcBorders>
            <w:vAlign w:val="top"/>
          </w:tcPr>
          <w:p w14:paraId="2C58C219">
            <w:pPr>
              <w:rPr>
                <w:rFonts w:ascii="Arial"/>
                <w:sz w:val="21"/>
              </w:rPr>
            </w:pPr>
          </w:p>
        </w:tc>
        <w:tc>
          <w:tcPr>
            <w:tcW w:w="229" w:type="dxa"/>
            <w:vAlign w:val="top"/>
          </w:tcPr>
          <w:p w14:paraId="5DE13EF8">
            <w:pPr>
              <w:pStyle w:val="6"/>
              <w:spacing w:before="113" w:line="184" w:lineRule="auto"/>
              <w:ind w:left="16"/>
              <w:rPr>
                <w:sz w:val="18"/>
                <w:szCs w:val="18"/>
              </w:rPr>
            </w:pPr>
            <w:r>
              <w:rPr>
                <w:sz w:val="18"/>
                <w:szCs w:val="18"/>
              </w:rPr>
              <w:t>A</w:t>
            </w:r>
          </w:p>
        </w:tc>
        <w:tc>
          <w:tcPr>
            <w:tcW w:w="229" w:type="dxa"/>
            <w:vAlign w:val="top"/>
          </w:tcPr>
          <w:p w14:paraId="321849B7">
            <w:pPr>
              <w:pStyle w:val="6"/>
              <w:spacing w:before="115" w:line="182" w:lineRule="auto"/>
              <w:ind w:left="57"/>
              <w:rPr>
                <w:sz w:val="18"/>
                <w:szCs w:val="18"/>
              </w:rPr>
            </w:pPr>
            <w:r>
              <w:rPr>
                <w:sz w:val="18"/>
                <w:szCs w:val="18"/>
              </w:rPr>
              <w:t>B</w:t>
            </w:r>
          </w:p>
        </w:tc>
        <w:tc>
          <w:tcPr>
            <w:tcW w:w="239" w:type="dxa"/>
            <w:vAlign w:val="top"/>
          </w:tcPr>
          <w:p w14:paraId="5C2393FE">
            <w:pPr>
              <w:pStyle w:val="6"/>
              <w:spacing w:before="114" w:line="183" w:lineRule="auto"/>
              <w:ind w:left="38"/>
              <w:rPr>
                <w:sz w:val="18"/>
                <w:szCs w:val="18"/>
              </w:rPr>
            </w:pPr>
            <w:r>
              <w:rPr>
                <w:sz w:val="18"/>
                <w:szCs w:val="18"/>
              </w:rPr>
              <w:t>C</w:t>
            </w:r>
          </w:p>
        </w:tc>
        <w:tc>
          <w:tcPr>
            <w:tcW w:w="234" w:type="dxa"/>
            <w:vAlign w:val="top"/>
          </w:tcPr>
          <w:p w14:paraId="13720A86">
            <w:pPr>
              <w:pStyle w:val="6"/>
              <w:spacing w:before="115" w:line="182" w:lineRule="auto"/>
              <w:ind w:left="19"/>
              <w:rPr>
                <w:sz w:val="18"/>
                <w:szCs w:val="18"/>
              </w:rPr>
            </w:pPr>
            <w:r>
              <w:rPr>
                <w:sz w:val="18"/>
                <w:szCs w:val="18"/>
              </w:rPr>
              <w:t>D</w:t>
            </w:r>
          </w:p>
        </w:tc>
      </w:tr>
      <w:tr w14:paraId="5EA7EA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58" w:hRule="atLeast"/>
        </w:trPr>
        <w:tc>
          <w:tcPr>
            <w:tcW w:w="554" w:type="dxa"/>
            <w:vAlign w:val="top"/>
          </w:tcPr>
          <w:p w14:paraId="07CD36F1">
            <w:pPr>
              <w:pStyle w:val="6"/>
              <w:spacing w:before="288" w:line="219" w:lineRule="auto"/>
              <w:ind w:left="84"/>
              <w:rPr>
                <w:sz w:val="18"/>
                <w:szCs w:val="18"/>
              </w:rPr>
            </w:pPr>
            <w:r>
              <w:rPr>
                <w:spacing w:val="-2"/>
                <w:sz w:val="18"/>
                <w:szCs w:val="18"/>
              </w:rPr>
              <w:t>概述</w:t>
            </w:r>
          </w:p>
        </w:tc>
        <w:tc>
          <w:tcPr>
            <w:tcW w:w="2634" w:type="dxa"/>
            <w:vAlign w:val="top"/>
          </w:tcPr>
          <w:p w14:paraId="028A8064">
            <w:pPr>
              <w:pStyle w:val="6"/>
              <w:spacing w:before="198" w:line="224" w:lineRule="auto"/>
              <w:ind w:left="60" w:right="935"/>
              <w:rPr>
                <w:sz w:val="18"/>
                <w:szCs w:val="18"/>
              </w:rPr>
            </w:pPr>
            <w:r>
              <w:rPr>
                <w:sz w:val="18"/>
                <w:szCs w:val="18"/>
              </w:rPr>
              <w:t>1.消化和吸收的概念</w:t>
            </w:r>
            <w:r>
              <w:rPr>
                <w:spacing w:val="6"/>
                <w:sz w:val="18"/>
                <w:szCs w:val="18"/>
              </w:rPr>
              <w:t xml:space="preserve"> </w:t>
            </w:r>
            <w:r>
              <w:rPr>
                <w:spacing w:val="-1"/>
                <w:sz w:val="18"/>
                <w:szCs w:val="18"/>
              </w:rPr>
              <w:t>2.消化系统的组成</w:t>
            </w:r>
          </w:p>
        </w:tc>
        <w:tc>
          <w:tcPr>
            <w:tcW w:w="229" w:type="dxa"/>
            <w:vAlign w:val="top"/>
          </w:tcPr>
          <w:p w14:paraId="34E401ED">
            <w:pPr>
              <w:spacing w:before="228" w:line="314" w:lineRule="exact"/>
              <w:ind w:firstLine="51"/>
            </w:pPr>
            <w:r>
              <w:rPr>
                <w:position w:val="-6"/>
              </w:rPr>
              <w:drawing>
                <wp:inline distT="0" distB="0" distL="0" distR="0">
                  <wp:extent cx="82550" cy="198755"/>
                  <wp:effectExtent l="0" t="0" r="0" b="0"/>
                  <wp:docPr id="40" name="IM 40"/>
                  <wp:cNvGraphicFramePr/>
                  <a:graphic xmlns:a="http://schemas.openxmlformats.org/drawingml/2006/main">
                    <a:graphicData uri="http://schemas.openxmlformats.org/drawingml/2006/picture">
                      <pic:pic xmlns:pic="http://schemas.openxmlformats.org/drawingml/2006/picture">
                        <pic:nvPicPr>
                          <pic:cNvPr id="40" name="IM 40"/>
                          <pic:cNvPicPr/>
                        </pic:nvPicPr>
                        <pic:blipFill>
                          <a:blip r:embed="rId185"/>
                          <a:stretch>
                            <a:fillRect/>
                          </a:stretch>
                        </pic:blipFill>
                        <pic:spPr>
                          <a:xfrm>
                            <a:off x="0" y="0"/>
                            <a:ext cx="82984" cy="199294"/>
                          </a:xfrm>
                          <a:prstGeom prst="rect">
                            <a:avLst/>
                          </a:prstGeom>
                        </pic:spPr>
                      </pic:pic>
                    </a:graphicData>
                  </a:graphic>
                </wp:inline>
              </w:drawing>
            </w:r>
          </w:p>
        </w:tc>
        <w:tc>
          <w:tcPr>
            <w:tcW w:w="229" w:type="dxa"/>
            <w:vAlign w:val="top"/>
          </w:tcPr>
          <w:p w14:paraId="064A6B2A">
            <w:pPr>
              <w:rPr>
                <w:rFonts w:ascii="Arial"/>
                <w:sz w:val="21"/>
              </w:rPr>
            </w:pPr>
          </w:p>
        </w:tc>
        <w:tc>
          <w:tcPr>
            <w:tcW w:w="239" w:type="dxa"/>
            <w:vAlign w:val="top"/>
          </w:tcPr>
          <w:p w14:paraId="58A269F3">
            <w:pPr>
              <w:rPr>
                <w:rFonts w:ascii="Arial"/>
                <w:sz w:val="21"/>
              </w:rPr>
            </w:pPr>
          </w:p>
        </w:tc>
        <w:tc>
          <w:tcPr>
            <w:tcW w:w="234" w:type="dxa"/>
            <w:vAlign w:val="top"/>
          </w:tcPr>
          <w:p w14:paraId="22410025">
            <w:pPr>
              <w:rPr>
                <w:rFonts w:ascii="Arial"/>
                <w:sz w:val="21"/>
              </w:rPr>
            </w:pPr>
          </w:p>
        </w:tc>
      </w:tr>
      <w:tr w14:paraId="352B9E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37" w:hRule="atLeast"/>
        </w:trPr>
        <w:tc>
          <w:tcPr>
            <w:tcW w:w="554" w:type="dxa"/>
            <w:vAlign w:val="top"/>
          </w:tcPr>
          <w:p w14:paraId="71024B02">
            <w:pPr>
              <w:spacing w:line="430" w:lineRule="auto"/>
              <w:rPr>
                <w:rFonts w:ascii="Arial"/>
                <w:sz w:val="21"/>
              </w:rPr>
            </w:pPr>
          </w:p>
          <w:p w14:paraId="3EF85D35">
            <w:pPr>
              <w:pStyle w:val="6"/>
              <w:spacing w:before="59" w:line="218" w:lineRule="auto"/>
              <w:ind w:left="84" w:right="106"/>
              <w:rPr>
                <w:sz w:val="18"/>
                <w:szCs w:val="18"/>
              </w:rPr>
            </w:pPr>
            <w:r>
              <w:rPr>
                <w:spacing w:val="-6"/>
                <w:sz w:val="18"/>
                <w:szCs w:val="18"/>
              </w:rPr>
              <w:t>消化</w:t>
            </w:r>
            <w:r>
              <w:rPr>
                <w:sz w:val="18"/>
                <w:szCs w:val="18"/>
              </w:rPr>
              <w:t xml:space="preserve"> </w:t>
            </w:r>
            <w:r>
              <w:rPr>
                <w:spacing w:val="-4"/>
                <w:sz w:val="18"/>
                <w:szCs w:val="18"/>
              </w:rPr>
              <w:t>器官</w:t>
            </w:r>
          </w:p>
        </w:tc>
        <w:tc>
          <w:tcPr>
            <w:tcW w:w="2634" w:type="dxa"/>
            <w:vAlign w:val="top"/>
          </w:tcPr>
          <w:p w14:paraId="1586E04C">
            <w:pPr>
              <w:pStyle w:val="6"/>
              <w:spacing w:before="160" w:line="219" w:lineRule="auto"/>
              <w:ind w:left="60"/>
              <w:rPr>
                <w:sz w:val="18"/>
                <w:szCs w:val="18"/>
              </w:rPr>
            </w:pPr>
            <w:r>
              <w:rPr>
                <w:spacing w:val="-3"/>
                <w:sz w:val="18"/>
                <w:szCs w:val="18"/>
              </w:rPr>
              <w:t>1.</w:t>
            </w:r>
            <w:r>
              <w:rPr>
                <w:spacing w:val="-51"/>
                <w:sz w:val="18"/>
                <w:szCs w:val="18"/>
              </w:rPr>
              <w:t xml:space="preserve"> </w:t>
            </w:r>
            <w:r>
              <w:rPr>
                <w:spacing w:val="-3"/>
                <w:sz w:val="18"/>
                <w:szCs w:val="18"/>
              </w:rPr>
              <w:t>口腔的组成及功能</w:t>
            </w:r>
          </w:p>
          <w:p w14:paraId="6B3227DB">
            <w:pPr>
              <w:pStyle w:val="6"/>
              <w:spacing w:before="6" w:line="219" w:lineRule="auto"/>
              <w:ind w:left="60"/>
              <w:rPr>
                <w:sz w:val="18"/>
                <w:szCs w:val="18"/>
              </w:rPr>
            </w:pPr>
            <w:r>
              <w:rPr>
                <w:sz w:val="18"/>
                <w:szCs w:val="18"/>
              </w:rPr>
              <w:t>2.咽与食管的位置及结构</w:t>
            </w:r>
          </w:p>
          <w:p w14:paraId="7E32407F">
            <w:pPr>
              <w:pStyle w:val="6"/>
              <w:spacing w:before="4" w:line="224" w:lineRule="auto"/>
              <w:ind w:left="60" w:right="53"/>
              <w:rPr>
                <w:sz w:val="18"/>
                <w:szCs w:val="18"/>
              </w:rPr>
            </w:pPr>
            <w:r>
              <w:rPr>
                <w:spacing w:val="-1"/>
                <w:sz w:val="18"/>
                <w:szCs w:val="18"/>
              </w:rPr>
              <w:t>3.胃的类型、位置、结构及功能</w:t>
            </w:r>
            <w:r>
              <w:rPr>
                <w:spacing w:val="3"/>
                <w:sz w:val="18"/>
                <w:szCs w:val="18"/>
              </w:rPr>
              <w:t xml:space="preserve"> </w:t>
            </w:r>
            <w:r>
              <w:rPr>
                <w:spacing w:val="-1"/>
                <w:sz w:val="18"/>
                <w:szCs w:val="18"/>
              </w:rPr>
              <w:t>4.肠的位置、结构及功能</w:t>
            </w:r>
          </w:p>
          <w:p w14:paraId="2E98C867">
            <w:pPr>
              <w:pStyle w:val="6"/>
              <w:spacing w:before="5" w:line="220" w:lineRule="auto"/>
              <w:ind w:left="60"/>
              <w:rPr>
                <w:sz w:val="18"/>
                <w:szCs w:val="18"/>
              </w:rPr>
            </w:pPr>
            <w:r>
              <w:rPr>
                <w:spacing w:val="-1"/>
                <w:sz w:val="18"/>
                <w:szCs w:val="18"/>
              </w:rPr>
              <w:t>5.肝、胰的位置、结构及功能</w:t>
            </w:r>
          </w:p>
        </w:tc>
        <w:tc>
          <w:tcPr>
            <w:tcW w:w="229" w:type="dxa"/>
            <w:vAlign w:val="top"/>
          </w:tcPr>
          <w:p w14:paraId="2D17477E">
            <w:pPr>
              <w:rPr>
                <w:rFonts w:ascii="Arial"/>
                <w:sz w:val="21"/>
              </w:rPr>
            </w:pPr>
          </w:p>
        </w:tc>
        <w:tc>
          <w:tcPr>
            <w:tcW w:w="229" w:type="dxa"/>
            <w:vAlign w:val="top"/>
          </w:tcPr>
          <w:p w14:paraId="08ABCB69">
            <w:pPr>
              <w:spacing w:before="191" w:line="972" w:lineRule="exact"/>
            </w:pPr>
            <w:r>
              <w:rPr>
                <w:position w:val="-19"/>
              </w:rPr>
              <w:drawing>
                <wp:inline distT="0" distB="0" distL="0" distR="0">
                  <wp:extent cx="126365" cy="616585"/>
                  <wp:effectExtent l="0" t="0" r="0" b="0"/>
                  <wp:docPr id="42" name="IM 42"/>
                  <wp:cNvGraphicFramePr/>
                  <a:graphic xmlns:a="http://schemas.openxmlformats.org/drawingml/2006/main">
                    <a:graphicData uri="http://schemas.openxmlformats.org/drawingml/2006/picture">
                      <pic:pic xmlns:pic="http://schemas.openxmlformats.org/drawingml/2006/picture">
                        <pic:nvPicPr>
                          <pic:cNvPr id="42" name="IM 42"/>
                          <pic:cNvPicPr/>
                        </pic:nvPicPr>
                        <pic:blipFill>
                          <a:blip r:embed="rId186"/>
                          <a:stretch>
                            <a:fillRect/>
                          </a:stretch>
                        </pic:blipFill>
                        <pic:spPr>
                          <a:xfrm>
                            <a:off x="0" y="0"/>
                            <a:ext cx="126967" cy="616765"/>
                          </a:xfrm>
                          <a:prstGeom prst="rect">
                            <a:avLst/>
                          </a:prstGeom>
                        </pic:spPr>
                      </pic:pic>
                    </a:graphicData>
                  </a:graphic>
                </wp:inline>
              </w:drawing>
            </w:r>
          </w:p>
        </w:tc>
        <w:tc>
          <w:tcPr>
            <w:tcW w:w="239" w:type="dxa"/>
            <w:vAlign w:val="top"/>
          </w:tcPr>
          <w:p w14:paraId="1AE9C939">
            <w:pPr>
              <w:rPr>
                <w:rFonts w:ascii="Arial"/>
                <w:sz w:val="21"/>
              </w:rPr>
            </w:pPr>
          </w:p>
        </w:tc>
        <w:tc>
          <w:tcPr>
            <w:tcW w:w="234" w:type="dxa"/>
            <w:vAlign w:val="top"/>
          </w:tcPr>
          <w:p w14:paraId="5A9467D0">
            <w:pPr>
              <w:rPr>
                <w:rFonts w:ascii="Arial"/>
                <w:sz w:val="21"/>
              </w:rPr>
            </w:pPr>
          </w:p>
        </w:tc>
      </w:tr>
      <w:tr w14:paraId="6719CE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41" w:hRule="atLeast"/>
        </w:trPr>
        <w:tc>
          <w:tcPr>
            <w:tcW w:w="554" w:type="dxa"/>
            <w:vAlign w:val="top"/>
          </w:tcPr>
          <w:p w14:paraId="464EC60E">
            <w:pPr>
              <w:spacing w:line="291" w:lineRule="auto"/>
              <w:rPr>
                <w:rFonts w:ascii="Arial"/>
                <w:sz w:val="21"/>
              </w:rPr>
            </w:pPr>
          </w:p>
          <w:p w14:paraId="52F3ADE1">
            <w:pPr>
              <w:spacing w:line="291" w:lineRule="auto"/>
              <w:rPr>
                <w:rFonts w:ascii="Arial"/>
                <w:sz w:val="21"/>
              </w:rPr>
            </w:pPr>
          </w:p>
          <w:p w14:paraId="0124752F">
            <w:pPr>
              <w:pStyle w:val="6"/>
              <w:spacing w:before="58" w:line="232" w:lineRule="auto"/>
              <w:ind w:left="84" w:right="107"/>
              <w:rPr>
                <w:sz w:val="18"/>
                <w:szCs w:val="18"/>
              </w:rPr>
            </w:pPr>
            <w:r>
              <w:rPr>
                <w:spacing w:val="-6"/>
                <w:sz w:val="18"/>
                <w:szCs w:val="18"/>
              </w:rPr>
              <w:t>消化</w:t>
            </w:r>
            <w:r>
              <w:rPr>
                <w:sz w:val="18"/>
                <w:szCs w:val="18"/>
              </w:rPr>
              <w:t xml:space="preserve"> </w:t>
            </w:r>
            <w:r>
              <w:rPr>
                <w:spacing w:val="-5"/>
                <w:sz w:val="18"/>
                <w:szCs w:val="18"/>
              </w:rPr>
              <w:t>生理</w:t>
            </w:r>
          </w:p>
        </w:tc>
        <w:tc>
          <w:tcPr>
            <w:tcW w:w="2634" w:type="dxa"/>
            <w:vAlign w:val="top"/>
          </w:tcPr>
          <w:p w14:paraId="4C94EE59">
            <w:pPr>
              <w:pStyle w:val="6"/>
              <w:spacing w:before="214" w:line="221" w:lineRule="auto"/>
              <w:ind w:left="60" w:right="1475"/>
              <w:rPr>
                <w:sz w:val="18"/>
                <w:szCs w:val="18"/>
              </w:rPr>
            </w:pPr>
            <w:r>
              <w:rPr>
                <w:spacing w:val="1"/>
                <w:sz w:val="18"/>
                <w:szCs w:val="18"/>
              </w:rPr>
              <w:t>1.消化的方式</w:t>
            </w:r>
            <w:r>
              <w:rPr>
                <w:sz w:val="18"/>
                <w:szCs w:val="18"/>
              </w:rPr>
              <w:t xml:space="preserve"> </w:t>
            </w:r>
            <w:r>
              <w:rPr>
                <w:spacing w:val="-1"/>
                <w:sz w:val="18"/>
                <w:szCs w:val="18"/>
              </w:rPr>
              <w:t>2.胃的消化</w:t>
            </w:r>
          </w:p>
          <w:p w14:paraId="22B57B0E">
            <w:pPr>
              <w:pStyle w:val="6"/>
              <w:spacing w:before="7" w:line="220" w:lineRule="auto"/>
              <w:ind w:left="60" w:right="1489"/>
              <w:rPr>
                <w:sz w:val="18"/>
                <w:szCs w:val="18"/>
              </w:rPr>
            </w:pPr>
            <w:r>
              <w:rPr>
                <w:spacing w:val="-2"/>
                <w:sz w:val="18"/>
                <w:szCs w:val="18"/>
              </w:rPr>
              <w:t>3.小肠的消化</w:t>
            </w:r>
            <w:r>
              <w:rPr>
                <w:spacing w:val="2"/>
                <w:sz w:val="18"/>
                <w:szCs w:val="18"/>
              </w:rPr>
              <w:t xml:space="preserve"> </w:t>
            </w:r>
            <w:r>
              <w:rPr>
                <w:spacing w:val="-1"/>
                <w:sz w:val="18"/>
                <w:szCs w:val="18"/>
              </w:rPr>
              <w:t>4.大肠的消化</w:t>
            </w:r>
          </w:p>
          <w:p w14:paraId="6F952FE5">
            <w:pPr>
              <w:pStyle w:val="6"/>
              <w:spacing w:before="1" w:line="222" w:lineRule="auto"/>
              <w:ind w:left="60" w:right="208"/>
              <w:rPr>
                <w:sz w:val="18"/>
                <w:szCs w:val="18"/>
              </w:rPr>
            </w:pPr>
            <w:r>
              <w:rPr>
                <w:spacing w:val="1"/>
                <w:sz w:val="18"/>
                <w:szCs w:val="18"/>
              </w:rPr>
              <w:t>5.吸收的机理和各营养物质的</w:t>
            </w:r>
            <w:r>
              <w:rPr>
                <w:sz w:val="18"/>
                <w:szCs w:val="18"/>
              </w:rPr>
              <w:t xml:space="preserve"> </w:t>
            </w:r>
            <w:r>
              <w:rPr>
                <w:spacing w:val="3"/>
                <w:sz w:val="18"/>
                <w:szCs w:val="18"/>
              </w:rPr>
              <w:t>吸收</w:t>
            </w:r>
          </w:p>
        </w:tc>
        <w:tc>
          <w:tcPr>
            <w:tcW w:w="229" w:type="dxa"/>
            <w:vAlign w:val="top"/>
          </w:tcPr>
          <w:p w14:paraId="35E8D375">
            <w:pPr>
              <w:pStyle w:val="6"/>
              <w:spacing w:before="211" w:line="238" w:lineRule="auto"/>
              <w:ind w:left="16"/>
              <w:rPr>
                <w:sz w:val="18"/>
                <w:szCs w:val="18"/>
              </w:rPr>
            </w:pPr>
            <w:r>
              <w:rPr>
                <w:sz w:val="18"/>
                <w:szCs w:val="18"/>
              </w:rPr>
              <w:t>√</w:t>
            </w:r>
          </w:p>
        </w:tc>
        <w:tc>
          <w:tcPr>
            <w:tcW w:w="229" w:type="dxa"/>
            <w:vAlign w:val="top"/>
          </w:tcPr>
          <w:p w14:paraId="6F5E83DB">
            <w:pPr>
              <w:spacing w:line="309" w:lineRule="auto"/>
              <w:rPr>
                <w:rFonts w:ascii="Arial"/>
                <w:sz w:val="21"/>
              </w:rPr>
            </w:pPr>
          </w:p>
          <w:p w14:paraId="49BF7D69">
            <w:pPr>
              <w:spacing w:line="309" w:lineRule="auto"/>
              <w:rPr>
                <w:rFonts w:ascii="Arial"/>
                <w:sz w:val="21"/>
              </w:rPr>
            </w:pPr>
          </w:p>
          <w:p w14:paraId="7282DA9E">
            <w:pPr>
              <w:spacing w:line="309" w:lineRule="auto"/>
              <w:rPr>
                <w:rFonts w:ascii="Arial"/>
                <w:sz w:val="21"/>
              </w:rPr>
            </w:pPr>
          </w:p>
          <w:p w14:paraId="184D4105">
            <w:pPr>
              <w:spacing w:line="274" w:lineRule="exact"/>
              <w:ind w:firstLine="48"/>
            </w:pPr>
            <w:r>
              <w:rPr>
                <w:position w:val="-5"/>
              </w:rPr>
              <w:drawing>
                <wp:inline distT="0" distB="0" distL="0" distR="0">
                  <wp:extent cx="80010" cy="173355"/>
                  <wp:effectExtent l="0" t="0" r="0" b="0"/>
                  <wp:docPr id="44" name="IM 44"/>
                  <wp:cNvGraphicFramePr/>
                  <a:graphic xmlns:a="http://schemas.openxmlformats.org/drawingml/2006/main">
                    <a:graphicData uri="http://schemas.openxmlformats.org/drawingml/2006/picture">
                      <pic:pic xmlns:pic="http://schemas.openxmlformats.org/drawingml/2006/picture">
                        <pic:nvPicPr>
                          <pic:cNvPr id="44" name="IM 44"/>
                          <pic:cNvPicPr/>
                        </pic:nvPicPr>
                        <pic:blipFill>
                          <a:blip r:embed="rId187"/>
                          <a:stretch>
                            <a:fillRect/>
                          </a:stretch>
                        </pic:blipFill>
                        <pic:spPr>
                          <a:xfrm>
                            <a:off x="0" y="0"/>
                            <a:ext cx="80581" cy="173731"/>
                          </a:xfrm>
                          <a:prstGeom prst="rect">
                            <a:avLst/>
                          </a:prstGeom>
                        </pic:spPr>
                      </pic:pic>
                    </a:graphicData>
                  </a:graphic>
                </wp:inline>
              </w:drawing>
            </w:r>
          </w:p>
        </w:tc>
        <w:tc>
          <w:tcPr>
            <w:tcW w:w="239" w:type="dxa"/>
            <w:vAlign w:val="top"/>
          </w:tcPr>
          <w:p w14:paraId="5931673A">
            <w:pPr>
              <w:spacing w:line="477" w:lineRule="auto"/>
              <w:rPr>
                <w:rFonts w:ascii="Arial"/>
                <w:sz w:val="21"/>
              </w:rPr>
            </w:pPr>
          </w:p>
          <w:p w14:paraId="4C41B2F3">
            <w:pPr>
              <w:spacing w:line="287" w:lineRule="exact"/>
              <w:ind w:firstLine="43"/>
            </w:pPr>
            <w:r>
              <w:rPr>
                <w:position w:val="-5"/>
              </w:rPr>
              <w:drawing>
                <wp:inline distT="0" distB="0" distL="0" distR="0">
                  <wp:extent cx="94615" cy="181610"/>
                  <wp:effectExtent l="0" t="0" r="0" b="0"/>
                  <wp:docPr id="46" name="IM 46"/>
                  <wp:cNvGraphicFramePr/>
                  <a:graphic xmlns:a="http://schemas.openxmlformats.org/drawingml/2006/main">
                    <a:graphicData uri="http://schemas.openxmlformats.org/drawingml/2006/picture">
                      <pic:pic xmlns:pic="http://schemas.openxmlformats.org/drawingml/2006/picture">
                        <pic:nvPicPr>
                          <pic:cNvPr id="46" name="IM 46"/>
                          <pic:cNvPicPr/>
                        </pic:nvPicPr>
                        <pic:blipFill>
                          <a:blip r:embed="rId188"/>
                          <a:stretch>
                            <a:fillRect/>
                          </a:stretch>
                        </pic:blipFill>
                        <pic:spPr>
                          <a:xfrm>
                            <a:off x="0" y="0"/>
                            <a:ext cx="94839" cy="182169"/>
                          </a:xfrm>
                          <a:prstGeom prst="rect">
                            <a:avLst/>
                          </a:prstGeom>
                        </pic:spPr>
                      </pic:pic>
                    </a:graphicData>
                  </a:graphic>
                </wp:inline>
              </w:drawing>
            </w:r>
          </w:p>
        </w:tc>
        <w:tc>
          <w:tcPr>
            <w:tcW w:w="234" w:type="dxa"/>
            <w:vAlign w:val="top"/>
          </w:tcPr>
          <w:p w14:paraId="0F71061A">
            <w:pPr>
              <w:rPr>
                <w:rFonts w:ascii="Arial"/>
                <w:sz w:val="21"/>
              </w:rPr>
            </w:pPr>
          </w:p>
        </w:tc>
      </w:tr>
    </w:tbl>
    <w:p w14:paraId="004DB95C">
      <w:pPr>
        <w:spacing w:before="118" w:line="221" w:lineRule="auto"/>
        <w:ind w:left="1467"/>
        <w:rPr>
          <w:rFonts w:ascii="黑体" w:hAnsi="黑体" w:eastAsia="黑体" w:cs="黑体"/>
          <w:sz w:val="20"/>
          <w:szCs w:val="20"/>
        </w:rPr>
      </w:pPr>
      <w:r>
        <w:rPr>
          <w:rFonts w:ascii="黑体" w:hAnsi="黑体" w:eastAsia="黑体" w:cs="黑体"/>
          <w:b/>
          <w:bCs/>
          <w:spacing w:val="-7"/>
          <w:sz w:val="20"/>
          <w:szCs w:val="20"/>
        </w:rPr>
        <w:t>五、呼吸系统</w:t>
      </w:r>
    </w:p>
    <w:p w14:paraId="2BF171E8">
      <w:pPr>
        <w:spacing w:line="172" w:lineRule="exact"/>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54"/>
        <w:gridCol w:w="2634"/>
        <w:gridCol w:w="229"/>
        <w:gridCol w:w="229"/>
        <w:gridCol w:w="239"/>
        <w:gridCol w:w="234"/>
      </w:tblGrid>
      <w:tr w14:paraId="455A32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3" w:hRule="atLeast"/>
        </w:trPr>
        <w:tc>
          <w:tcPr>
            <w:tcW w:w="554" w:type="dxa"/>
            <w:vMerge w:val="restart"/>
            <w:tcBorders>
              <w:bottom w:val="nil"/>
            </w:tcBorders>
            <w:vAlign w:val="top"/>
          </w:tcPr>
          <w:p w14:paraId="0BAD88E9">
            <w:pPr>
              <w:pStyle w:val="6"/>
              <w:spacing w:before="151" w:line="214" w:lineRule="auto"/>
              <w:ind w:left="87" w:right="104"/>
              <w:rPr>
                <w:sz w:val="18"/>
                <w:szCs w:val="18"/>
              </w:rPr>
            </w:pPr>
            <w:r>
              <w:rPr>
                <w:b/>
                <w:bCs/>
                <w:spacing w:val="-8"/>
                <w:sz w:val="18"/>
                <w:szCs w:val="18"/>
              </w:rPr>
              <w:t>知识</w:t>
            </w:r>
            <w:r>
              <w:rPr>
                <w:sz w:val="18"/>
                <w:szCs w:val="18"/>
              </w:rPr>
              <w:t xml:space="preserve"> </w:t>
            </w:r>
            <w:r>
              <w:rPr>
                <w:b/>
                <w:bCs/>
                <w:spacing w:val="-6"/>
                <w:sz w:val="18"/>
                <w:szCs w:val="18"/>
              </w:rPr>
              <w:t>要点</w:t>
            </w:r>
          </w:p>
        </w:tc>
        <w:tc>
          <w:tcPr>
            <w:tcW w:w="2634" w:type="dxa"/>
            <w:vMerge w:val="restart"/>
            <w:tcBorders>
              <w:bottom w:val="nil"/>
            </w:tcBorders>
            <w:vAlign w:val="top"/>
          </w:tcPr>
          <w:p w14:paraId="7FC77667">
            <w:pPr>
              <w:pStyle w:val="6"/>
              <w:spacing w:before="249" w:line="219" w:lineRule="auto"/>
              <w:ind w:left="993"/>
              <w:rPr>
                <w:sz w:val="18"/>
                <w:szCs w:val="18"/>
              </w:rPr>
            </w:pPr>
            <w:r>
              <w:rPr>
                <w:b/>
                <w:bCs/>
                <w:spacing w:val="5"/>
                <w:sz w:val="18"/>
                <w:szCs w:val="18"/>
              </w:rPr>
              <w:t>考试条目</w:t>
            </w:r>
          </w:p>
        </w:tc>
        <w:tc>
          <w:tcPr>
            <w:tcW w:w="931" w:type="dxa"/>
            <w:gridSpan w:val="4"/>
            <w:vAlign w:val="top"/>
          </w:tcPr>
          <w:p w14:paraId="2332FE29">
            <w:pPr>
              <w:pStyle w:val="6"/>
              <w:spacing w:before="79" w:line="219" w:lineRule="auto"/>
              <w:ind w:left="129"/>
              <w:rPr>
                <w:sz w:val="18"/>
                <w:szCs w:val="18"/>
              </w:rPr>
            </w:pPr>
            <w:r>
              <w:rPr>
                <w:b/>
                <w:bCs/>
                <w:spacing w:val="-4"/>
                <w:sz w:val="18"/>
                <w:szCs w:val="18"/>
              </w:rPr>
              <w:t>考试水平</w:t>
            </w:r>
          </w:p>
        </w:tc>
      </w:tr>
      <w:tr w14:paraId="09F403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554" w:type="dxa"/>
            <w:vMerge w:val="continue"/>
            <w:tcBorders>
              <w:top w:val="nil"/>
            </w:tcBorders>
            <w:vAlign w:val="top"/>
          </w:tcPr>
          <w:p w14:paraId="766C6EE4">
            <w:pPr>
              <w:rPr>
                <w:rFonts w:ascii="Arial"/>
                <w:sz w:val="21"/>
              </w:rPr>
            </w:pPr>
          </w:p>
        </w:tc>
        <w:tc>
          <w:tcPr>
            <w:tcW w:w="2634" w:type="dxa"/>
            <w:vMerge w:val="continue"/>
            <w:tcBorders>
              <w:top w:val="nil"/>
            </w:tcBorders>
            <w:vAlign w:val="top"/>
          </w:tcPr>
          <w:p w14:paraId="3A233F0B">
            <w:pPr>
              <w:rPr>
                <w:rFonts w:ascii="Arial"/>
                <w:sz w:val="21"/>
              </w:rPr>
            </w:pPr>
          </w:p>
        </w:tc>
        <w:tc>
          <w:tcPr>
            <w:tcW w:w="229" w:type="dxa"/>
            <w:vAlign w:val="top"/>
          </w:tcPr>
          <w:p w14:paraId="0E986350">
            <w:pPr>
              <w:pStyle w:val="6"/>
              <w:spacing w:before="114" w:line="184" w:lineRule="auto"/>
              <w:ind w:left="16"/>
              <w:rPr>
                <w:sz w:val="18"/>
                <w:szCs w:val="18"/>
              </w:rPr>
            </w:pPr>
            <w:r>
              <w:rPr>
                <w:sz w:val="18"/>
                <w:szCs w:val="18"/>
              </w:rPr>
              <w:t>A</w:t>
            </w:r>
          </w:p>
        </w:tc>
        <w:tc>
          <w:tcPr>
            <w:tcW w:w="229" w:type="dxa"/>
            <w:vAlign w:val="top"/>
          </w:tcPr>
          <w:p w14:paraId="4CE339C0">
            <w:pPr>
              <w:pStyle w:val="6"/>
              <w:spacing w:before="116" w:line="182" w:lineRule="auto"/>
              <w:ind w:left="57"/>
              <w:rPr>
                <w:sz w:val="18"/>
                <w:szCs w:val="18"/>
              </w:rPr>
            </w:pPr>
            <w:r>
              <w:rPr>
                <w:sz w:val="18"/>
                <w:szCs w:val="18"/>
              </w:rPr>
              <w:t>B</w:t>
            </w:r>
          </w:p>
        </w:tc>
        <w:tc>
          <w:tcPr>
            <w:tcW w:w="239" w:type="dxa"/>
            <w:vAlign w:val="top"/>
          </w:tcPr>
          <w:p w14:paraId="7714DED4">
            <w:pPr>
              <w:pStyle w:val="6"/>
              <w:spacing w:before="115" w:line="183" w:lineRule="auto"/>
              <w:ind w:left="28"/>
              <w:rPr>
                <w:sz w:val="18"/>
                <w:szCs w:val="18"/>
              </w:rPr>
            </w:pPr>
            <w:r>
              <w:rPr>
                <w:sz w:val="18"/>
                <w:szCs w:val="18"/>
              </w:rPr>
              <w:t>C</w:t>
            </w:r>
          </w:p>
        </w:tc>
        <w:tc>
          <w:tcPr>
            <w:tcW w:w="234" w:type="dxa"/>
            <w:vAlign w:val="top"/>
          </w:tcPr>
          <w:p w14:paraId="7EC9102A">
            <w:pPr>
              <w:pStyle w:val="6"/>
              <w:spacing w:before="116" w:line="182" w:lineRule="auto"/>
              <w:ind w:left="19"/>
              <w:rPr>
                <w:sz w:val="18"/>
                <w:szCs w:val="18"/>
              </w:rPr>
            </w:pPr>
            <w:r>
              <w:rPr>
                <w:sz w:val="18"/>
                <w:szCs w:val="18"/>
              </w:rPr>
              <w:t>D</w:t>
            </w:r>
          </w:p>
        </w:tc>
      </w:tr>
      <w:tr w14:paraId="67AD55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26" w:hRule="atLeast"/>
        </w:trPr>
        <w:tc>
          <w:tcPr>
            <w:tcW w:w="554" w:type="dxa"/>
            <w:vAlign w:val="top"/>
          </w:tcPr>
          <w:p w14:paraId="74D3548A">
            <w:pPr>
              <w:pStyle w:val="6"/>
              <w:spacing w:before="170" w:line="216" w:lineRule="auto"/>
              <w:ind w:left="84"/>
              <w:rPr>
                <w:sz w:val="18"/>
                <w:szCs w:val="18"/>
              </w:rPr>
            </w:pPr>
            <w:r>
              <w:rPr>
                <w:spacing w:val="3"/>
                <w:sz w:val="18"/>
                <w:szCs w:val="18"/>
              </w:rPr>
              <w:t>呼吸</w:t>
            </w:r>
          </w:p>
          <w:p w14:paraId="2832BFA7">
            <w:pPr>
              <w:pStyle w:val="6"/>
              <w:spacing w:line="220" w:lineRule="auto"/>
              <w:ind w:left="84"/>
              <w:rPr>
                <w:sz w:val="18"/>
                <w:szCs w:val="18"/>
              </w:rPr>
            </w:pPr>
            <w:r>
              <w:rPr>
                <w:spacing w:val="-3"/>
                <w:sz w:val="18"/>
                <w:szCs w:val="18"/>
              </w:rPr>
              <w:t>系统</w:t>
            </w:r>
          </w:p>
          <w:p w14:paraId="3EB2A52D">
            <w:pPr>
              <w:pStyle w:val="6"/>
              <w:spacing w:before="26" w:line="193" w:lineRule="auto"/>
              <w:ind w:left="84"/>
              <w:rPr>
                <w:sz w:val="18"/>
                <w:szCs w:val="18"/>
              </w:rPr>
            </w:pPr>
            <w:r>
              <w:rPr>
                <w:spacing w:val="3"/>
                <w:sz w:val="18"/>
                <w:szCs w:val="18"/>
              </w:rPr>
              <w:t>的组</w:t>
            </w:r>
          </w:p>
          <w:p w14:paraId="18E4822B">
            <w:pPr>
              <w:pStyle w:val="6"/>
              <w:spacing w:before="1" w:line="220" w:lineRule="auto"/>
              <w:ind w:left="174"/>
              <w:rPr>
                <w:sz w:val="18"/>
                <w:szCs w:val="18"/>
              </w:rPr>
            </w:pPr>
            <w:r>
              <w:rPr>
                <w:sz w:val="18"/>
                <w:szCs w:val="18"/>
              </w:rPr>
              <w:t>成</w:t>
            </w:r>
          </w:p>
        </w:tc>
        <w:tc>
          <w:tcPr>
            <w:tcW w:w="2634" w:type="dxa"/>
            <w:vAlign w:val="top"/>
          </w:tcPr>
          <w:p w14:paraId="00B8B638">
            <w:pPr>
              <w:pStyle w:val="6"/>
              <w:spacing w:before="160" w:line="223" w:lineRule="auto"/>
              <w:ind w:left="50" w:right="199" w:firstLine="20"/>
              <w:rPr>
                <w:sz w:val="18"/>
                <w:szCs w:val="18"/>
              </w:rPr>
            </w:pPr>
            <w:r>
              <w:rPr>
                <w:sz w:val="18"/>
                <w:szCs w:val="18"/>
              </w:rPr>
              <w:t>1.鼻腔、喉、气管、支气管的</w:t>
            </w:r>
            <w:r>
              <w:rPr>
                <w:spacing w:val="12"/>
                <w:sz w:val="18"/>
                <w:szCs w:val="18"/>
              </w:rPr>
              <w:t xml:space="preserve"> </w:t>
            </w:r>
            <w:r>
              <w:rPr>
                <w:spacing w:val="-3"/>
                <w:sz w:val="18"/>
                <w:szCs w:val="18"/>
              </w:rPr>
              <w:t>构造</w:t>
            </w:r>
          </w:p>
          <w:p w14:paraId="244C2B5F">
            <w:pPr>
              <w:pStyle w:val="6"/>
              <w:spacing w:before="25" w:line="212" w:lineRule="auto"/>
              <w:ind w:left="50" w:right="602"/>
              <w:rPr>
                <w:sz w:val="18"/>
                <w:szCs w:val="18"/>
              </w:rPr>
            </w:pPr>
            <w:r>
              <w:rPr>
                <w:spacing w:val="-1"/>
                <w:sz w:val="18"/>
                <w:szCs w:val="18"/>
              </w:rPr>
              <w:t>2.肺的位置、形态和构造</w:t>
            </w:r>
            <w:r>
              <w:rPr>
                <w:spacing w:val="1"/>
                <w:sz w:val="18"/>
                <w:szCs w:val="18"/>
              </w:rPr>
              <w:t xml:space="preserve"> 3.胸腔、胸膜腔和纵隔</w:t>
            </w:r>
          </w:p>
        </w:tc>
        <w:tc>
          <w:tcPr>
            <w:tcW w:w="229" w:type="dxa"/>
            <w:vAlign w:val="top"/>
          </w:tcPr>
          <w:p w14:paraId="4EC374BA">
            <w:pPr>
              <w:rPr>
                <w:rFonts w:ascii="Arial"/>
                <w:sz w:val="21"/>
              </w:rPr>
            </w:pPr>
          </w:p>
        </w:tc>
        <w:tc>
          <w:tcPr>
            <w:tcW w:w="229" w:type="dxa"/>
            <w:vAlign w:val="top"/>
          </w:tcPr>
          <w:p w14:paraId="19DB72B8">
            <w:pPr>
              <w:rPr>
                <w:rFonts w:ascii="Arial"/>
                <w:sz w:val="21"/>
              </w:rPr>
            </w:pPr>
          </w:p>
        </w:tc>
        <w:tc>
          <w:tcPr>
            <w:tcW w:w="239" w:type="dxa"/>
            <w:vAlign w:val="top"/>
          </w:tcPr>
          <w:p w14:paraId="7259FA84">
            <w:pPr>
              <w:rPr>
                <w:rFonts w:ascii="Arial"/>
                <w:sz w:val="21"/>
              </w:rPr>
            </w:pPr>
          </w:p>
        </w:tc>
        <w:tc>
          <w:tcPr>
            <w:tcW w:w="234" w:type="dxa"/>
            <w:vAlign w:val="top"/>
          </w:tcPr>
          <w:p w14:paraId="52CE6109">
            <w:pPr>
              <w:rPr>
                <w:rFonts w:ascii="Arial"/>
                <w:sz w:val="21"/>
              </w:rPr>
            </w:pPr>
          </w:p>
        </w:tc>
      </w:tr>
      <w:tr w14:paraId="72CA72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41" w:hRule="atLeast"/>
        </w:trPr>
        <w:tc>
          <w:tcPr>
            <w:tcW w:w="554" w:type="dxa"/>
            <w:vAlign w:val="top"/>
          </w:tcPr>
          <w:p w14:paraId="358A0898">
            <w:pPr>
              <w:pStyle w:val="6"/>
              <w:spacing w:before="295" w:line="232" w:lineRule="auto"/>
              <w:ind w:left="84" w:right="91"/>
              <w:rPr>
                <w:sz w:val="18"/>
                <w:szCs w:val="18"/>
              </w:rPr>
            </w:pPr>
            <w:r>
              <w:rPr>
                <w:spacing w:val="3"/>
                <w:sz w:val="18"/>
                <w:szCs w:val="18"/>
              </w:rPr>
              <w:t>呼吸</w:t>
            </w:r>
            <w:r>
              <w:rPr>
                <w:sz w:val="18"/>
                <w:szCs w:val="18"/>
              </w:rPr>
              <w:t xml:space="preserve"> </w:t>
            </w:r>
            <w:r>
              <w:rPr>
                <w:spacing w:val="-3"/>
                <w:sz w:val="18"/>
                <w:szCs w:val="18"/>
              </w:rPr>
              <w:t>生理</w:t>
            </w:r>
          </w:p>
        </w:tc>
        <w:tc>
          <w:tcPr>
            <w:tcW w:w="2634" w:type="dxa"/>
            <w:vAlign w:val="top"/>
          </w:tcPr>
          <w:p w14:paraId="4782B46B">
            <w:pPr>
              <w:pStyle w:val="6"/>
              <w:spacing w:before="185" w:line="225" w:lineRule="auto"/>
              <w:ind w:left="50" w:right="223"/>
              <w:rPr>
                <w:sz w:val="18"/>
                <w:szCs w:val="18"/>
              </w:rPr>
            </w:pPr>
            <w:r>
              <w:rPr>
                <w:sz w:val="18"/>
                <w:szCs w:val="18"/>
              </w:rPr>
              <w:t>1.呼吸运动、呼吸式和呼吸音</w:t>
            </w:r>
            <w:r>
              <w:rPr>
                <w:spacing w:val="8"/>
                <w:sz w:val="18"/>
                <w:szCs w:val="18"/>
              </w:rPr>
              <w:t xml:space="preserve"> </w:t>
            </w:r>
            <w:r>
              <w:rPr>
                <w:spacing w:val="-1"/>
                <w:sz w:val="18"/>
                <w:szCs w:val="18"/>
              </w:rPr>
              <w:t>2.胸内负压及其意义</w:t>
            </w:r>
          </w:p>
          <w:p w14:paraId="2E323F09">
            <w:pPr>
              <w:pStyle w:val="6"/>
              <w:spacing w:line="219" w:lineRule="auto"/>
              <w:ind w:left="50"/>
              <w:rPr>
                <w:sz w:val="18"/>
                <w:szCs w:val="18"/>
              </w:rPr>
            </w:pPr>
            <w:r>
              <w:rPr>
                <w:spacing w:val="-1"/>
                <w:sz w:val="18"/>
                <w:szCs w:val="18"/>
              </w:rPr>
              <w:t>3.气体运输和气体的交换</w:t>
            </w:r>
          </w:p>
        </w:tc>
        <w:tc>
          <w:tcPr>
            <w:tcW w:w="229" w:type="dxa"/>
            <w:vAlign w:val="top"/>
          </w:tcPr>
          <w:p w14:paraId="513C5ED8">
            <w:pPr>
              <w:rPr>
                <w:rFonts w:ascii="Arial"/>
                <w:sz w:val="21"/>
              </w:rPr>
            </w:pPr>
          </w:p>
        </w:tc>
        <w:tc>
          <w:tcPr>
            <w:tcW w:w="229" w:type="dxa"/>
            <w:vAlign w:val="top"/>
          </w:tcPr>
          <w:p w14:paraId="51E11FDC">
            <w:pPr>
              <w:rPr>
                <w:rFonts w:ascii="Arial"/>
                <w:sz w:val="21"/>
              </w:rPr>
            </w:pPr>
          </w:p>
        </w:tc>
        <w:tc>
          <w:tcPr>
            <w:tcW w:w="239" w:type="dxa"/>
            <w:vAlign w:val="top"/>
          </w:tcPr>
          <w:p w14:paraId="4BECB1C5">
            <w:pPr>
              <w:rPr>
                <w:rFonts w:ascii="Arial"/>
                <w:sz w:val="21"/>
              </w:rPr>
            </w:pPr>
          </w:p>
        </w:tc>
        <w:tc>
          <w:tcPr>
            <w:tcW w:w="234" w:type="dxa"/>
            <w:vAlign w:val="top"/>
          </w:tcPr>
          <w:p w14:paraId="72348C9F">
            <w:pPr>
              <w:rPr>
                <w:rFonts w:ascii="Arial"/>
                <w:sz w:val="21"/>
              </w:rPr>
            </w:pPr>
          </w:p>
        </w:tc>
      </w:tr>
    </w:tbl>
    <w:p w14:paraId="18C438D1">
      <w:pPr>
        <w:spacing w:before="118" w:line="221" w:lineRule="auto"/>
        <w:ind w:left="957"/>
        <w:rPr>
          <w:rFonts w:ascii="黑体" w:hAnsi="黑体" w:eastAsia="黑体" w:cs="黑体"/>
          <w:sz w:val="20"/>
          <w:szCs w:val="20"/>
        </w:rPr>
      </w:pPr>
      <w:r>
        <w:rPr>
          <w:rFonts w:ascii="黑体" w:hAnsi="黑体" w:eastAsia="黑体" w:cs="黑体"/>
          <w:b/>
          <w:bCs/>
          <w:spacing w:val="-5"/>
          <w:sz w:val="20"/>
          <w:szCs w:val="20"/>
        </w:rPr>
        <w:t>六、泌尿系统、生殖系统</w:t>
      </w:r>
    </w:p>
    <w:p w14:paraId="77263675">
      <w:pPr>
        <w:spacing w:line="162" w:lineRule="exact"/>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54"/>
        <w:gridCol w:w="2634"/>
        <w:gridCol w:w="229"/>
        <w:gridCol w:w="229"/>
        <w:gridCol w:w="239"/>
        <w:gridCol w:w="234"/>
      </w:tblGrid>
      <w:tr w14:paraId="1DE5DC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8" w:hRule="atLeast"/>
        </w:trPr>
        <w:tc>
          <w:tcPr>
            <w:tcW w:w="554" w:type="dxa"/>
            <w:vMerge w:val="restart"/>
            <w:tcBorders>
              <w:top w:val="single" w:color="000000" w:sz="2" w:space="0"/>
              <w:bottom w:val="nil"/>
            </w:tcBorders>
            <w:vAlign w:val="top"/>
          </w:tcPr>
          <w:p w14:paraId="336EC973">
            <w:pPr>
              <w:pStyle w:val="6"/>
              <w:spacing w:before="196" w:line="225" w:lineRule="auto"/>
              <w:ind w:left="97" w:right="113"/>
            </w:pPr>
            <w:r>
              <w:rPr>
                <w:b/>
                <w:bCs/>
                <w:spacing w:val="-7"/>
              </w:rPr>
              <w:t>知识</w:t>
            </w:r>
            <w:r>
              <w:t xml:space="preserve"> </w:t>
            </w:r>
            <w:r>
              <w:rPr>
                <w:b/>
                <w:bCs/>
                <w:spacing w:val="-6"/>
              </w:rPr>
              <w:t>要点</w:t>
            </w:r>
          </w:p>
        </w:tc>
        <w:tc>
          <w:tcPr>
            <w:tcW w:w="2634" w:type="dxa"/>
            <w:vMerge w:val="restart"/>
            <w:tcBorders>
              <w:top w:val="single" w:color="000000" w:sz="2" w:space="0"/>
              <w:bottom w:val="nil"/>
            </w:tcBorders>
            <w:vAlign w:val="top"/>
          </w:tcPr>
          <w:p w14:paraId="7EABD88D">
            <w:pPr>
              <w:spacing w:line="247" w:lineRule="auto"/>
              <w:rPr>
                <w:rFonts w:ascii="Arial"/>
                <w:sz w:val="21"/>
              </w:rPr>
            </w:pPr>
          </w:p>
          <w:p w14:paraId="2B5A302A">
            <w:pPr>
              <w:pStyle w:val="6"/>
              <w:spacing w:before="55" w:line="219" w:lineRule="auto"/>
              <w:ind w:left="993"/>
            </w:pPr>
            <w:r>
              <w:rPr>
                <w:b/>
                <w:bCs/>
                <w:spacing w:val="5"/>
              </w:rPr>
              <w:t>考试条目</w:t>
            </w:r>
          </w:p>
        </w:tc>
        <w:tc>
          <w:tcPr>
            <w:tcW w:w="931" w:type="dxa"/>
            <w:gridSpan w:val="4"/>
            <w:tcBorders>
              <w:top w:val="single" w:color="000000" w:sz="2" w:space="0"/>
              <w:bottom w:val="single" w:color="000000" w:sz="2" w:space="0"/>
            </w:tcBorders>
            <w:vAlign w:val="top"/>
          </w:tcPr>
          <w:p w14:paraId="273BB514">
            <w:pPr>
              <w:pStyle w:val="6"/>
              <w:spacing w:before="114" w:line="219" w:lineRule="auto"/>
              <w:ind w:left="119"/>
            </w:pPr>
            <w:r>
              <w:rPr>
                <w:b/>
                <w:bCs/>
                <w:spacing w:val="-4"/>
              </w:rPr>
              <w:t>考试水平</w:t>
            </w:r>
          </w:p>
        </w:tc>
      </w:tr>
      <w:tr w14:paraId="367A6B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4" w:hRule="atLeast"/>
        </w:trPr>
        <w:tc>
          <w:tcPr>
            <w:tcW w:w="554" w:type="dxa"/>
            <w:vMerge w:val="continue"/>
            <w:tcBorders>
              <w:top w:val="nil"/>
              <w:bottom w:val="single" w:color="000000" w:sz="2" w:space="0"/>
            </w:tcBorders>
            <w:vAlign w:val="top"/>
          </w:tcPr>
          <w:p w14:paraId="7D055E3B">
            <w:pPr>
              <w:rPr>
                <w:rFonts w:ascii="Arial"/>
                <w:sz w:val="21"/>
              </w:rPr>
            </w:pPr>
          </w:p>
        </w:tc>
        <w:tc>
          <w:tcPr>
            <w:tcW w:w="2634" w:type="dxa"/>
            <w:vMerge w:val="continue"/>
            <w:tcBorders>
              <w:top w:val="nil"/>
              <w:bottom w:val="single" w:color="000000" w:sz="2" w:space="0"/>
            </w:tcBorders>
            <w:vAlign w:val="top"/>
          </w:tcPr>
          <w:p w14:paraId="416ED2A6">
            <w:pPr>
              <w:rPr>
                <w:rFonts w:ascii="Arial"/>
                <w:sz w:val="21"/>
              </w:rPr>
            </w:pPr>
          </w:p>
        </w:tc>
        <w:tc>
          <w:tcPr>
            <w:tcW w:w="229" w:type="dxa"/>
            <w:tcBorders>
              <w:top w:val="single" w:color="000000" w:sz="2" w:space="0"/>
              <w:bottom w:val="single" w:color="000000" w:sz="2" w:space="0"/>
            </w:tcBorders>
            <w:vAlign w:val="top"/>
          </w:tcPr>
          <w:p w14:paraId="2B962A2E">
            <w:pPr>
              <w:pStyle w:val="6"/>
              <w:spacing w:before="146" w:line="184" w:lineRule="auto"/>
              <w:ind w:left="66"/>
            </w:pPr>
            <w:r>
              <w:t>A</w:t>
            </w:r>
          </w:p>
        </w:tc>
        <w:tc>
          <w:tcPr>
            <w:tcW w:w="229" w:type="dxa"/>
            <w:tcBorders>
              <w:top w:val="single" w:color="000000" w:sz="2" w:space="0"/>
              <w:bottom w:val="single" w:color="000000" w:sz="2" w:space="0"/>
            </w:tcBorders>
            <w:vAlign w:val="top"/>
          </w:tcPr>
          <w:p w14:paraId="04AAE851">
            <w:pPr>
              <w:pStyle w:val="6"/>
              <w:spacing w:before="148" w:line="182" w:lineRule="auto"/>
              <w:ind w:left="38"/>
            </w:pPr>
            <w:r>
              <w:t>B</w:t>
            </w:r>
          </w:p>
        </w:tc>
        <w:tc>
          <w:tcPr>
            <w:tcW w:w="239" w:type="dxa"/>
            <w:tcBorders>
              <w:top w:val="single" w:color="000000" w:sz="2" w:space="0"/>
              <w:bottom w:val="single" w:color="000000" w:sz="2" w:space="0"/>
            </w:tcBorders>
            <w:vAlign w:val="top"/>
          </w:tcPr>
          <w:p w14:paraId="544FB4D6">
            <w:pPr>
              <w:pStyle w:val="6"/>
              <w:spacing w:before="147" w:line="183" w:lineRule="auto"/>
              <w:ind w:left="69"/>
            </w:pPr>
            <w:r>
              <w:t>C</w:t>
            </w:r>
          </w:p>
        </w:tc>
        <w:tc>
          <w:tcPr>
            <w:tcW w:w="234" w:type="dxa"/>
            <w:tcBorders>
              <w:top w:val="single" w:color="000000" w:sz="2" w:space="0"/>
              <w:bottom w:val="single" w:color="000000" w:sz="2" w:space="0"/>
            </w:tcBorders>
            <w:vAlign w:val="top"/>
          </w:tcPr>
          <w:p w14:paraId="596F6407">
            <w:pPr>
              <w:pStyle w:val="6"/>
              <w:spacing w:before="148" w:line="182" w:lineRule="auto"/>
              <w:ind w:left="19"/>
            </w:pPr>
            <w:r>
              <w:t>D</w:t>
            </w:r>
          </w:p>
        </w:tc>
      </w:tr>
      <w:tr w14:paraId="77B479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93" w:hRule="atLeast"/>
        </w:trPr>
        <w:tc>
          <w:tcPr>
            <w:tcW w:w="554" w:type="dxa"/>
            <w:tcBorders>
              <w:top w:val="single" w:color="000000" w:sz="2" w:space="0"/>
              <w:bottom w:val="single" w:color="000000" w:sz="2" w:space="0"/>
            </w:tcBorders>
            <w:vAlign w:val="top"/>
          </w:tcPr>
          <w:p w14:paraId="770FB014">
            <w:pPr>
              <w:pStyle w:val="6"/>
              <w:spacing w:before="66" w:line="223" w:lineRule="auto"/>
              <w:ind w:left="94" w:right="117"/>
              <w:jc w:val="both"/>
            </w:pPr>
            <w:r>
              <w:rPr>
                <w:spacing w:val="-5"/>
              </w:rPr>
              <w:t>泌尿</w:t>
            </w:r>
            <w:r>
              <w:t xml:space="preserve"> </w:t>
            </w:r>
            <w:r>
              <w:rPr>
                <w:spacing w:val="-6"/>
              </w:rPr>
              <w:t>系统</w:t>
            </w:r>
            <w:r>
              <w:t xml:space="preserve"> </w:t>
            </w:r>
            <w:r>
              <w:rPr>
                <w:spacing w:val="-5"/>
              </w:rPr>
              <w:t>组成</w:t>
            </w:r>
          </w:p>
        </w:tc>
        <w:tc>
          <w:tcPr>
            <w:tcW w:w="2634" w:type="dxa"/>
            <w:tcBorders>
              <w:top w:val="single" w:color="000000" w:sz="2" w:space="0"/>
              <w:bottom w:val="single" w:color="000000" w:sz="2" w:space="0"/>
            </w:tcBorders>
            <w:vAlign w:val="top"/>
          </w:tcPr>
          <w:p w14:paraId="320B8AED">
            <w:pPr>
              <w:pStyle w:val="6"/>
              <w:spacing w:before="174" w:line="236" w:lineRule="auto"/>
              <w:ind w:left="60" w:right="346"/>
            </w:pPr>
            <w:r>
              <w:t>1.肾的形态、位置和一般构造</w:t>
            </w:r>
            <w:r>
              <w:rPr>
                <w:spacing w:val="5"/>
              </w:rPr>
              <w:t xml:space="preserve"> </w:t>
            </w:r>
            <w:r>
              <w:rPr>
                <w:spacing w:val="-1"/>
              </w:rPr>
              <w:t>2.肾的组织构造</w:t>
            </w:r>
          </w:p>
        </w:tc>
        <w:tc>
          <w:tcPr>
            <w:tcW w:w="229" w:type="dxa"/>
            <w:tcBorders>
              <w:top w:val="single" w:color="000000" w:sz="2" w:space="0"/>
              <w:bottom w:val="single" w:color="000000" w:sz="2" w:space="0"/>
            </w:tcBorders>
            <w:vAlign w:val="top"/>
          </w:tcPr>
          <w:p w14:paraId="20E56299">
            <w:pPr>
              <w:rPr>
                <w:rFonts w:ascii="Arial"/>
                <w:sz w:val="21"/>
              </w:rPr>
            </w:pPr>
          </w:p>
        </w:tc>
        <w:tc>
          <w:tcPr>
            <w:tcW w:w="229" w:type="dxa"/>
            <w:tcBorders>
              <w:top w:val="single" w:color="000000" w:sz="2" w:space="0"/>
              <w:bottom w:val="single" w:color="000000" w:sz="2" w:space="0"/>
            </w:tcBorders>
            <w:vAlign w:val="top"/>
          </w:tcPr>
          <w:p w14:paraId="4481AD05">
            <w:pPr>
              <w:rPr>
                <w:rFonts w:ascii="Arial"/>
                <w:sz w:val="21"/>
              </w:rPr>
            </w:pPr>
          </w:p>
        </w:tc>
        <w:tc>
          <w:tcPr>
            <w:tcW w:w="239" w:type="dxa"/>
            <w:tcBorders>
              <w:top w:val="single" w:color="000000" w:sz="2" w:space="0"/>
              <w:bottom w:val="single" w:color="000000" w:sz="2" w:space="0"/>
            </w:tcBorders>
            <w:vAlign w:val="top"/>
          </w:tcPr>
          <w:p w14:paraId="3E2182B7">
            <w:pPr>
              <w:rPr>
                <w:rFonts w:ascii="Arial"/>
                <w:sz w:val="21"/>
              </w:rPr>
            </w:pPr>
          </w:p>
        </w:tc>
        <w:tc>
          <w:tcPr>
            <w:tcW w:w="234" w:type="dxa"/>
            <w:tcBorders>
              <w:top w:val="single" w:color="000000" w:sz="2" w:space="0"/>
              <w:bottom w:val="single" w:color="000000" w:sz="2" w:space="0"/>
            </w:tcBorders>
            <w:vAlign w:val="top"/>
          </w:tcPr>
          <w:p w14:paraId="13D845FB">
            <w:pPr>
              <w:rPr>
                <w:rFonts w:ascii="Arial"/>
                <w:sz w:val="21"/>
              </w:rPr>
            </w:pPr>
          </w:p>
        </w:tc>
      </w:tr>
      <w:tr w14:paraId="29D352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8" w:hRule="atLeast"/>
        </w:trPr>
        <w:tc>
          <w:tcPr>
            <w:tcW w:w="554" w:type="dxa"/>
            <w:tcBorders>
              <w:top w:val="single" w:color="000000" w:sz="2" w:space="0"/>
              <w:bottom w:val="single" w:color="000000" w:sz="2" w:space="0"/>
            </w:tcBorders>
            <w:vAlign w:val="top"/>
          </w:tcPr>
          <w:p w14:paraId="1F64217A">
            <w:pPr>
              <w:pStyle w:val="6"/>
              <w:spacing w:before="126" w:line="233" w:lineRule="auto"/>
              <w:ind w:left="94" w:right="116"/>
            </w:pPr>
            <w:r>
              <w:rPr>
                <w:spacing w:val="-5"/>
              </w:rPr>
              <w:t>泌尿</w:t>
            </w:r>
            <w:r>
              <w:t xml:space="preserve"> </w:t>
            </w:r>
            <w:r>
              <w:rPr>
                <w:spacing w:val="-4"/>
              </w:rPr>
              <w:t>生理</w:t>
            </w:r>
          </w:p>
        </w:tc>
        <w:tc>
          <w:tcPr>
            <w:tcW w:w="2634" w:type="dxa"/>
            <w:tcBorders>
              <w:top w:val="single" w:color="000000" w:sz="2" w:space="0"/>
              <w:bottom w:val="single" w:color="000000" w:sz="2" w:space="0"/>
            </w:tcBorders>
            <w:vAlign w:val="top"/>
          </w:tcPr>
          <w:p w14:paraId="21B90D67">
            <w:pPr>
              <w:pStyle w:val="6"/>
              <w:spacing w:before="115" w:line="238" w:lineRule="auto"/>
              <w:ind w:left="60" w:right="843"/>
            </w:pPr>
            <w:r>
              <w:rPr>
                <w:spacing w:val="1"/>
              </w:rPr>
              <w:t>1.尿的成分和理化性质</w:t>
            </w:r>
            <w:r>
              <w:rPr>
                <w:spacing w:val="7"/>
              </w:rPr>
              <w:t xml:space="preserve"> </w:t>
            </w:r>
            <w:r>
              <w:rPr>
                <w:spacing w:val="-2"/>
              </w:rPr>
              <w:t>2.尿的生成</w:t>
            </w:r>
          </w:p>
        </w:tc>
        <w:tc>
          <w:tcPr>
            <w:tcW w:w="229" w:type="dxa"/>
            <w:tcBorders>
              <w:top w:val="single" w:color="000000" w:sz="2" w:space="0"/>
              <w:bottom w:val="single" w:color="000000" w:sz="2" w:space="0"/>
            </w:tcBorders>
            <w:vAlign w:val="top"/>
          </w:tcPr>
          <w:p w14:paraId="5EF8CF80">
            <w:pPr>
              <w:pStyle w:val="6"/>
              <w:spacing w:before="115" w:line="238" w:lineRule="auto"/>
              <w:ind w:left="47"/>
              <w:rPr>
                <w:sz w:val="12"/>
                <w:szCs w:val="12"/>
              </w:rPr>
            </w:pPr>
            <w:r>
              <w:rPr>
                <w:sz w:val="12"/>
                <w:szCs w:val="12"/>
              </w:rPr>
              <w:t>√</w:t>
            </w:r>
          </w:p>
        </w:tc>
        <w:tc>
          <w:tcPr>
            <w:tcW w:w="229" w:type="dxa"/>
            <w:tcBorders>
              <w:top w:val="single" w:color="000000" w:sz="2" w:space="0"/>
              <w:bottom w:val="single" w:color="000000" w:sz="2" w:space="0"/>
            </w:tcBorders>
            <w:vAlign w:val="top"/>
          </w:tcPr>
          <w:p w14:paraId="7A33E05E">
            <w:pPr>
              <w:rPr>
                <w:rFonts w:ascii="Arial"/>
                <w:sz w:val="21"/>
              </w:rPr>
            </w:pPr>
          </w:p>
        </w:tc>
        <w:tc>
          <w:tcPr>
            <w:tcW w:w="239" w:type="dxa"/>
            <w:tcBorders>
              <w:top w:val="single" w:color="000000" w:sz="2" w:space="0"/>
              <w:bottom w:val="single" w:color="000000" w:sz="2" w:space="0"/>
            </w:tcBorders>
            <w:vAlign w:val="top"/>
          </w:tcPr>
          <w:p w14:paraId="6D535D3D">
            <w:pPr>
              <w:spacing w:line="255" w:lineRule="auto"/>
              <w:rPr>
                <w:rFonts w:ascii="Arial"/>
                <w:sz w:val="21"/>
              </w:rPr>
            </w:pPr>
          </w:p>
          <w:p w14:paraId="4A1E3308">
            <w:pPr>
              <w:pStyle w:val="6"/>
              <w:spacing w:before="56" w:line="238" w:lineRule="auto"/>
              <w:ind w:left="28"/>
            </w:pPr>
            <w:r>
              <w:t>√</w:t>
            </w:r>
          </w:p>
        </w:tc>
        <w:tc>
          <w:tcPr>
            <w:tcW w:w="234" w:type="dxa"/>
            <w:tcBorders>
              <w:top w:val="single" w:color="000000" w:sz="2" w:space="0"/>
              <w:bottom w:val="single" w:color="000000" w:sz="2" w:space="0"/>
            </w:tcBorders>
            <w:vAlign w:val="top"/>
          </w:tcPr>
          <w:p w14:paraId="57FA7969">
            <w:pPr>
              <w:rPr>
                <w:rFonts w:ascii="Arial"/>
                <w:sz w:val="21"/>
              </w:rPr>
            </w:pPr>
          </w:p>
        </w:tc>
      </w:tr>
    </w:tbl>
    <w:p w14:paraId="141CB37C">
      <w:pPr>
        <w:pStyle w:val="2"/>
        <w:spacing w:line="14" w:lineRule="auto"/>
        <w:rPr>
          <w:sz w:val="2"/>
        </w:rPr>
      </w:pPr>
    </w:p>
    <w:p w14:paraId="4B459CCF">
      <w:pPr>
        <w:spacing w:line="14" w:lineRule="auto"/>
        <w:rPr>
          <w:sz w:val="2"/>
          <w:szCs w:val="2"/>
        </w:rPr>
        <w:sectPr>
          <w:type w:val="continuous"/>
          <w:pgSz w:w="10660" w:h="15080"/>
          <w:pgMar w:top="400" w:right="1034" w:bottom="908" w:left="819" w:header="0" w:footer="714" w:gutter="0"/>
          <w:cols w:equalWidth="0" w:num="2">
            <w:col w:w="4576" w:space="100"/>
            <w:col w:w="4130"/>
          </w:cols>
        </w:sectPr>
      </w:pPr>
    </w:p>
    <w:p w14:paraId="7B719356">
      <w:pPr>
        <w:spacing w:before="10"/>
      </w:pPr>
    </w:p>
    <w:p w14:paraId="3C3B91EA">
      <w:pPr>
        <w:spacing w:before="10"/>
      </w:pPr>
    </w:p>
    <w:p w14:paraId="538732E2">
      <w:pPr>
        <w:spacing w:before="10"/>
      </w:pPr>
    </w:p>
    <w:p w14:paraId="0BC6E41E">
      <w:pPr>
        <w:spacing w:before="9"/>
      </w:pPr>
    </w:p>
    <w:p w14:paraId="3BDBDB12">
      <w:pPr>
        <w:sectPr>
          <w:footerReference r:id="rId17" w:type="default"/>
          <w:pgSz w:w="10660" w:h="15080"/>
          <w:pgMar w:top="400" w:right="871" w:bottom="917" w:left="1034" w:header="0" w:footer="709" w:gutter="0"/>
          <w:cols w:equalWidth="0" w:num="1">
            <w:col w:w="8754"/>
          </w:cols>
        </w:sectPr>
      </w:pPr>
    </w:p>
    <w:p w14:paraId="5D02CEFF">
      <w:pPr>
        <w:spacing w:line="103" w:lineRule="auto"/>
        <w:rPr>
          <w:rFonts w:ascii="Arial"/>
          <w:sz w:val="2"/>
        </w:rPr>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54"/>
        <w:gridCol w:w="2644"/>
        <w:gridCol w:w="229"/>
        <w:gridCol w:w="229"/>
        <w:gridCol w:w="229"/>
        <w:gridCol w:w="234"/>
      </w:tblGrid>
      <w:tr w14:paraId="5990CF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3" w:hRule="atLeast"/>
        </w:trPr>
        <w:tc>
          <w:tcPr>
            <w:tcW w:w="554" w:type="dxa"/>
            <w:vMerge w:val="restart"/>
            <w:tcBorders>
              <w:bottom w:val="nil"/>
            </w:tcBorders>
            <w:vAlign w:val="top"/>
          </w:tcPr>
          <w:p w14:paraId="30C80DBA">
            <w:pPr>
              <w:pStyle w:val="6"/>
              <w:spacing w:before="180" w:line="250" w:lineRule="auto"/>
              <w:ind w:left="97" w:right="113"/>
            </w:pPr>
            <w:r>
              <w:rPr>
                <w:b/>
                <w:bCs/>
                <w:spacing w:val="-7"/>
              </w:rPr>
              <w:t>知识</w:t>
            </w:r>
            <w:r>
              <w:t xml:space="preserve"> </w:t>
            </w:r>
            <w:r>
              <w:rPr>
                <w:b/>
                <w:bCs/>
                <w:spacing w:val="-6"/>
              </w:rPr>
              <w:t>要点</w:t>
            </w:r>
          </w:p>
        </w:tc>
        <w:tc>
          <w:tcPr>
            <w:tcW w:w="2644" w:type="dxa"/>
            <w:vMerge w:val="restart"/>
            <w:tcBorders>
              <w:bottom w:val="nil"/>
            </w:tcBorders>
            <w:vAlign w:val="top"/>
          </w:tcPr>
          <w:p w14:paraId="62FD8EF1">
            <w:pPr>
              <w:spacing w:line="252" w:lineRule="auto"/>
              <w:rPr>
                <w:rFonts w:ascii="Arial"/>
                <w:sz w:val="21"/>
              </w:rPr>
            </w:pPr>
          </w:p>
          <w:p w14:paraId="5CA0A30F">
            <w:pPr>
              <w:pStyle w:val="6"/>
              <w:spacing w:before="56" w:line="219" w:lineRule="auto"/>
              <w:ind w:left="1003"/>
            </w:pPr>
            <w:r>
              <w:rPr>
                <w:b/>
                <w:bCs/>
                <w:spacing w:val="5"/>
              </w:rPr>
              <w:t>考试条目</w:t>
            </w:r>
          </w:p>
        </w:tc>
        <w:tc>
          <w:tcPr>
            <w:tcW w:w="921" w:type="dxa"/>
            <w:gridSpan w:val="4"/>
            <w:vAlign w:val="top"/>
          </w:tcPr>
          <w:p w14:paraId="0005C444">
            <w:pPr>
              <w:pStyle w:val="6"/>
              <w:spacing w:before="109" w:line="219" w:lineRule="auto"/>
              <w:ind w:left="129"/>
            </w:pPr>
            <w:r>
              <w:rPr>
                <w:b/>
                <w:bCs/>
                <w:spacing w:val="-4"/>
              </w:rPr>
              <w:t>考试水平</w:t>
            </w:r>
          </w:p>
        </w:tc>
      </w:tr>
      <w:tr w14:paraId="48916B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8" w:hRule="atLeast"/>
        </w:trPr>
        <w:tc>
          <w:tcPr>
            <w:tcW w:w="554" w:type="dxa"/>
            <w:vMerge w:val="continue"/>
            <w:tcBorders>
              <w:top w:val="nil"/>
            </w:tcBorders>
            <w:vAlign w:val="top"/>
          </w:tcPr>
          <w:p w14:paraId="6A954A4B">
            <w:pPr>
              <w:rPr>
                <w:rFonts w:ascii="Arial"/>
                <w:sz w:val="21"/>
              </w:rPr>
            </w:pPr>
          </w:p>
        </w:tc>
        <w:tc>
          <w:tcPr>
            <w:tcW w:w="2644" w:type="dxa"/>
            <w:vMerge w:val="continue"/>
            <w:tcBorders>
              <w:top w:val="nil"/>
            </w:tcBorders>
            <w:vAlign w:val="top"/>
          </w:tcPr>
          <w:p w14:paraId="40E9BD6E">
            <w:pPr>
              <w:rPr>
                <w:rFonts w:ascii="Arial"/>
                <w:sz w:val="21"/>
              </w:rPr>
            </w:pPr>
          </w:p>
        </w:tc>
        <w:tc>
          <w:tcPr>
            <w:tcW w:w="229" w:type="dxa"/>
            <w:vAlign w:val="top"/>
          </w:tcPr>
          <w:p w14:paraId="31732A96">
            <w:pPr>
              <w:pStyle w:val="6"/>
              <w:spacing w:before="152" w:line="184" w:lineRule="auto"/>
              <w:ind w:left="16"/>
            </w:pPr>
            <w:r>
              <w:t>A</w:t>
            </w:r>
          </w:p>
        </w:tc>
        <w:tc>
          <w:tcPr>
            <w:tcW w:w="229" w:type="dxa"/>
            <w:vAlign w:val="top"/>
          </w:tcPr>
          <w:p w14:paraId="09958C84">
            <w:pPr>
              <w:pStyle w:val="6"/>
              <w:spacing w:before="153" w:line="182" w:lineRule="auto"/>
              <w:ind w:left="38"/>
            </w:pPr>
            <w:r>
              <w:t>B</w:t>
            </w:r>
          </w:p>
        </w:tc>
        <w:tc>
          <w:tcPr>
            <w:tcW w:w="229" w:type="dxa"/>
            <w:vAlign w:val="top"/>
          </w:tcPr>
          <w:p w14:paraId="6A00E278">
            <w:pPr>
              <w:pStyle w:val="6"/>
              <w:spacing w:before="152" w:line="183" w:lineRule="auto"/>
              <w:ind w:left="28"/>
            </w:pPr>
            <w:r>
              <w:t>C</w:t>
            </w:r>
          </w:p>
        </w:tc>
        <w:tc>
          <w:tcPr>
            <w:tcW w:w="234" w:type="dxa"/>
            <w:vAlign w:val="top"/>
          </w:tcPr>
          <w:p w14:paraId="071D588F">
            <w:pPr>
              <w:pStyle w:val="6"/>
              <w:spacing w:before="153" w:line="182" w:lineRule="auto"/>
              <w:ind w:left="19"/>
            </w:pPr>
            <w:r>
              <w:t>D</w:t>
            </w:r>
          </w:p>
        </w:tc>
      </w:tr>
      <w:tr w14:paraId="253ACF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7" w:hRule="atLeast"/>
        </w:trPr>
        <w:tc>
          <w:tcPr>
            <w:tcW w:w="554" w:type="dxa"/>
            <w:vAlign w:val="top"/>
          </w:tcPr>
          <w:p w14:paraId="755E64F7">
            <w:pPr>
              <w:pStyle w:val="6"/>
              <w:spacing w:before="104" w:line="223" w:lineRule="auto"/>
              <w:ind w:left="94" w:right="115"/>
            </w:pPr>
            <w:r>
              <w:rPr>
                <w:spacing w:val="-4"/>
              </w:rPr>
              <w:t>生殖</w:t>
            </w:r>
            <w:r>
              <w:t xml:space="preserve"> </w:t>
            </w:r>
            <w:r>
              <w:rPr>
                <w:spacing w:val="-4"/>
              </w:rPr>
              <w:t>器官</w:t>
            </w:r>
          </w:p>
        </w:tc>
        <w:tc>
          <w:tcPr>
            <w:tcW w:w="2644" w:type="dxa"/>
            <w:vAlign w:val="top"/>
          </w:tcPr>
          <w:p w14:paraId="68A6A296">
            <w:pPr>
              <w:pStyle w:val="6"/>
              <w:spacing w:before="110" w:line="219" w:lineRule="auto"/>
              <w:ind w:left="81" w:right="1352"/>
            </w:pPr>
            <w:r>
              <w:rPr>
                <w:spacing w:val="1"/>
              </w:rPr>
              <w:t xml:space="preserve">1.雄性生殖器官 </w:t>
            </w:r>
            <w:r>
              <w:rPr>
                <w:spacing w:val="-1"/>
              </w:rPr>
              <w:t>2.雌性生殖器官</w:t>
            </w:r>
          </w:p>
        </w:tc>
        <w:tc>
          <w:tcPr>
            <w:tcW w:w="229" w:type="dxa"/>
            <w:vAlign w:val="top"/>
          </w:tcPr>
          <w:p w14:paraId="14773C99">
            <w:pPr>
              <w:rPr>
                <w:rFonts w:ascii="Arial"/>
                <w:sz w:val="21"/>
              </w:rPr>
            </w:pPr>
          </w:p>
        </w:tc>
        <w:tc>
          <w:tcPr>
            <w:tcW w:w="229" w:type="dxa"/>
            <w:vAlign w:val="top"/>
          </w:tcPr>
          <w:p w14:paraId="56BAA472">
            <w:pPr>
              <w:rPr>
                <w:rFonts w:ascii="Arial"/>
                <w:sz w:val="21"/>
              </w:rPr>
            </w:pPr>
          </w:p>
        </w:tc>
        <w:tc>
          <w:tcPr>
            <w:tcW w:w="229" w:type="dxa"/>
            <w:vAlign w:val="top"/>
          </w:tcPr>
          <w:p w14:paraId="2AFD6F76">
            <w:pPr>
              <w:rPr>
                <w:rFonts w:ascii="Arial"/>
                <w:sz w:val="21"/>
              </w:rPr>
            </w:pPr>
          </w:p>
        </w:tc>
        <w:tc>
          <w:tcPr>
            <w:tcW w:w="234" w:type="dxa"/>
            <w:vAlign w:val="top"/>
          </w:tcPr>
          <w:p w14:paraId="2B2B88D4">
            <w:pPr>
              <w:rPr>
                <w:rFonts w:ascii="Arial"/>
                <w:sz w:val="21"/>
              </w:rPr>
            </w:pPr>
          </w:p>
        </w:tc>
      </w:tr>
      <w:tr w14:paraId="59AF14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2" w:hRule="atLeast"/>
        </w:trPr>
        <w:tc>
          <w:tcPr>
            <w:tcW w:w="554" w:type="dxa"/>
            <w:vAlign w:val="top"/>
          </w:tcPr>
          <w:p w14:paraId="314BF1D0">
            <w:pPr>
              <w:pStyle w:val="6"/>
              <w:spacing w:before="95" w:line="221" w:lineRule="auto"/>
              <w:ind w:left="94"/>
            </w:pPr>
            <w:r>
              <w:rPr>
                <w:spacing w:val="-2"/>
              </w:rPr>
              <w:t>乳腺</w:t>
            </w:r>
          </w:p>
          <w:p w14:paraId="383B9A33">
            <w:pPr>
              <w:pStyle w:val="6"/>
              <w:spacing w:before="7" w:line="221" w:lineRule="auto"/>
              <w:ind w:left="94"/>
            </w:pPr>
            <w:r>
              <w:rPr>
                <w:spacing w:val="5"/>
              </w:rPr>
              <w:t>与泌</w:t>
            </w:r>
          </w:p>
          <w:p w14:paraId="1B783B42">
            <w:pPr>
              <w:pStyle w:val="6"/>
              <w:spacing w:before="15" w:line="221" w:lineRule="auto"/>
              <w:ind w:left="184"/>
            </w:pPr>
            <w:r>
              <w:t>乳</w:t>
            </w:r>
          </w:p>
        </w:tc>
        <w:tc>
          <w:tcPr>
            <w:tcW w:w="2644" w:type="dxa"/>
            <w:vAlign w:val="top"/>
          </w:tcPr>
          <w:p w14:paraId="76A6DBAB">
            <w:pPr>
              <w:pStyle w:val="6"/>
              <w:spacing w:before="203" w:line="230" w:lineRule="auto"/>
              <w:ind w:left="81" w:right="159"/>
            </w:pPr>
            <w:r>
              <w:t>1.乳腺的形态、位置与生长发育</w:t>
            </w:r>
            <w:r>
              <w:rPr>
                <w:spacing w:val="12"/>
              </w:rPr>
              <w:t xml:space="preserve"> </w:t>
            </w:r>
            <w:r>
              <w:rPr>
                <w:spacing w:val="-1"/>
              </w:rPr>
              <w:t>2.初乳、常乳和排乳</w:t>
            </w:r>
          </w:p>
        </w:tc>
        <w:tc>
          <w:tcPr>
            <w:tcW w:w="229" w:type="dxa"/>
            <w:vAlign w:val="top"/>
          </w:tcPr>
          <w:p w14:paraId="55EDF8ED">
            <w:pPr>
              <w:rPr>
                <w:rFonts w:ascii="Arial"/>
                <w:sz w:val="21"/>
              </w:rPr>
            </w:pPr>
          </w:p>
        </w:tc>
        <w:tc>
          <w:tcPr>
            <w:tcW w:w="229" w:type="dxa"/>
            <w:vAlign w:val="top"/>
          </w:tcPr>
          <w:p w14:paraId="5815045C">
            <w:pPr>
              <w:rPr>
                <w:rFonts w:ascii="Arial"/>
                <w:sz w:val="21"/>
              </w:rPr>
            </w:pPr>
          </w:p>
        </w:tc>
        <w:tc>
          <w:tcPr>
            <w:tcW w:w="229" w:type="dxa"/>
            <w:vAlign w:val="top"/>
          </w:tcPr>
          <w:p w14:paraId="6F967E7B">
            <w:pPr>
              <w:rPr>
                <w:rFonts w:ascii="Arial"/>
                <w:sz w:val="21"/>
              </w:rPr>
            </w:pPr>
          </w:p>
        </w:tc>
        <w:tc>
          <w:tcPr>
            <w:tcW w:w="234" w:type="dxa"/>
            <w:vAlign w:val="top"/>
          </w:tcPr>
          <w:p w14:paraId="282E6823">
            <w:pPr>
              <w:rPr>
                <w:rFonts w:ascii="Arial"/>
                <w:sz w:val="21"/>
              </w:rPr>
            </w:pPr>
          </w:p>
        </w:tc>
      </w:tr>
    </w:tbl>
    <w:p w14:paraId="05D46B27">
      <w:pPr>
        <w:spacing w:before="118" w:line="221" w:lineRule="auto"/>
        <w:ind w:left="1467"/>
        <w:rPr>
          <w:rFonts w:ascii="黑体" w:hAnsi="黑体" w:eastAsia="黑体" w:cs="黑体"/>
          <w:sz w:val="20"/>
          <w:szCs w:val="20"/>
        </w:rPr>
      </w:pPr>
      <w:r>
        <w:rPr>
          <w:rFonts w:ascii="黑体" w:hAnsi="黑体" w:eastAsia="黑体" w:cs="黑体"/>
          <w:b/>
          <w:bCs/>
          <w:spacing w:val="-4"/>
          <w:sz w:val="20"/>
          <w:szCs w:val="20"/>
        </w:rPr>
        <w:t>七、循环系统</w:t>
      </w:r>
    </w:p>
    <w:p w14:paraId="2FBF8091">
      <w:pPr>
        <w:spacing w:line="161" w:lineRule="exact"/>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54"/>
        <w:gridCol w:w="2644"/>
        <w:gridCol w:w="229"/>
        <w:gridCol w:w="229"/>
        <w:gridCol w:w="229"/>
        <w:gridCol w:w="234"/>
      </w:tblGrid>
      <w:tr w14:paraId="512FB4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4" w:hRule="atLeast"/>
        </w:trPr>
        <w:tc>
          <w:tcPr>
            <w:tcW w:w="554" w:type="dxa"/>
            <w:vMerge w:val="restart"/>
            <w:tcBorders>
              <w:bottom w:val="nil"/>
            </w:tcBorders>
            <w:vAlign w:val="top"/>
          </w:tcPr>
          <w:p w14:paraId="57807A0D">
            <w:pPr>
              <w:pStyle w:val="6"/>
              <w:spacing w:before="191" w:line="220" w:lineRule="auto"/>
              <w:ind w:left="97" w:right="113"/>
            </w:pPr>
            <w:r>
              <w:rPr>
                <w:b/>
                <w:bCs/>
                <w:spacing w:val="-7"/>
              </w:rPr>
              <w:t>知识</w:t>
            </w:r>
            <w:r>
              <w:t xml:space="preserve"> </w:t>
            </w:r>
            <w:r>
              <w:rPr>
                <w:b/>
                <w:bCs/>
                <w:spacing w:val="-6"/>
              </w:rPr>
              <w:t>要点</w:t>
            </w:r>
          </w:p>
        </w:tc>
        <w:tc>
          <w:tcPr>
            <w:tcW w:w="2644" w:type="dxa"/>
            <w:vMerge w:val="restart"/>
            <w:tcBorders>
              <w:bottom w:val="nil"/>
            </w:tcBorders>
            <w:vAlign w:val="top"/>
          </w:tcPr>
          <w:p w14:paraId="28A4C063">
            <w:pPr>
              <w:spacing w:line="242" w:lineRule="auto"/>
              <w:rPr>
                <w:rFonts w:ascii="Arial"/>
                <w:sz w:val="21"/>
              </w:rPr>
            </w:pPr>
          </w:p>
          <w:p w14:paraId="3FEE41BF">
            <w:pPr>
              <w:pStyle w:val="6"/>
              <w:spacing w:before="56" w:line="219" w:lineRule="auto"/>
              <w:ind w:left="1003"/>
            </w:pPr>
            <w:r>
              <w:rPr>
                <w:b/>
                <w:bCs/>
                <w:spacing w:val="5"/>
              </w:rPr>
              <w:t>考试条目</w:t>
            </w:r>
          </w:p>
        </w:tc>
        <w:tc>
          <w:tcPr>
            <w:tcW w:w="921" w:type="dxa"/>
            <w:gridSpan w:val="4"/>
            <w:vAlign w:val="top"/>
          </w:tcPr>
          <w:p w14:paraId="0D3D7F10">
            <w:pPr>
              <w:pStyle w:val="6"/>
              <w:spacing w:before="109" w:line="219" w:lineRule="auto"/>
              <w:ind w:left="119"/>
            </w:pPr>
            <w:r>
              <w:rPr>
                <w:b/>
                <w:bCs/>
                <w:spacing w:val="-4"/>
              </w:rPr>
              <w:t>考试水平</w:t>
            </w:r>
          </w:p>
        </w:tc>
      </w:tr>
      <w:tr w14:paraId="4B702B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554" w:type="dxa"/>
            <w:vMerge w:val="continue"/>
            <w:tcBorders>
              <w:top w:val="nil"/>
            </w:tcBorders>
            <w:vAlign w:val="top"/>
          </w:tcPr>
          <w:p w14:paraId="0AB95139">
            <w:pPr>
              <w:rPr>
                <w:rFonts w:ascii="Arial"/>
                <w:sz w:val="21"/>
              </w:rPr>
            </w:pPr>
          </w:p>
        </w:tc>
        <w:tc>
          <w:tcPr>
            <w:tcW w:w="2644" w:type="dxa"/>
            <w:vMerge w:val="continue"/>
            <w:tcBorders>
              <w:top w:val="nil"/>
            </w:tcBorders>
            <w:vAlign w:val="top"/>
          </w:tcPr>
          <w:p w14:paraId="445B285B">
            <w:pPr>
              <w:rPr>
                <w:rFonts w:ascii="Arial"/>
                <w:sz w:val="21"/>
              </w:rPr>
            </w:pPr>
          </w:p>
        </w:tc>
        <w:tc>
          <w:tcPr>
            <w:tcW w:w="229" w:type="dxa"/>
            <w:vAlign w:val="top"/>
          </w:tcPr>
          <w:p w14:paraId="7F879202">
            <w:pPr>
              <w:pStyle w:val="6"/>
              <w:spacing w:before="140" w:line="184" w:lineRule="auto"/>
              <w:ind w:left="16"/>
            </w:pPr>
            <w:r>
              <w:t>A</w:t>
            </w:r>
          </w:p>
        </w:tc>
        <w:tc>
          <w:tcPr>
            <w:tcW w:w="229" w:type="dxa"/>
            <w:vAlign w:val="top"/>
          </w:tcPr>
          <w:p w14:paraId="46EFBF92">
            <w:pPr>
              <w:pStyle w:val="6"/>
              <w:spacing w:before="142" w:line="182" w:lineRule="auto"/>
              <w:ind w:left="18"/>
            </w:pPr>
            <w:r>
              <w:t>B</w:t>
            </w:r>
          </w:p>
        </w:tc>
        <w:tc>
          <w:tcPr>
            <w:tcW w:w="229" w:type="dxa"/>
            <w:vAlign w:val="top"/>
          </w:tcPr>
          <w:p w14:paraId="141228DD">
            <w:pPr>
              <w:pStyle w:val="6"/>
              <w:spacing w:before="141" w:line="183" w:lineRule="auto"/>
              <w:ind w:left="19"/>
            </w:pPr>
            <w:r>
              <w:t>C</w:t>
            </w:r>
          </w:p>
        </w:tc>
        <w:tc>
          <w:tcPr>
            <w:tcW w:w="234" w:type="dxa"/>
            <w:vAlign w:val="top"/>
          </w:tcPr>
          <w:p w14:paraId="63511EA0">
            <w:pPr>
              <w:pStyle w:val="6"/>
              <w:spacing w:before="142" w:line="182" w:lineRule="auto"/>
              <w:ind w:left="19"/>
            </w:pPr>
            <w:r>
              <w:t>D</w:t>
            </w:r>
          </w:p>
        </w:tc>
      </w:tr>
      <w:tr w14:paraId="524D9D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48" w:hRule="atLeast"/>
        </w:trPr>
        <w:tc>
          <w:tcPr>
            <w:tcW w:w="554" w:type="dxa"/>
            <w:vAlign w:val="top"/>
          </w:tcPr>
          <w:p w14:paraId="05A85865">
            <w:pPr>
              <w:spacing w:line="282" w:lineRule="auto"/>
              <w:rPr>
                <w:rFonts w:ascii="Arial"/>
                <w:sz w:val="21"/>
              </w:rPr>
            </w:pPr>
          </w:p>
          <w:p w14:paraId="2DBDF74C">
            <w:pPr>
              <w:pStyle w:val="6"/>
              <w:spacing w:before="55" w:line="220" w:lineRule="auto"/>
              <w:ind w:left="94"/>
            </w:pPr>
            <w:r>
              <w:rPr>
                <w:spacing w:val="-4"/>
              </w:rPr>
              <w:t>心脏</w:t>
            </w:r>
          </w:p>
        </w:tc>
        <w:tc>
          <w:tcPr>
            <w:tcW w:w="2644" w:type="dxa"/>
            <w:vAlign w:val="top"/>
          </w:tcPr>
          <w:p w14:paraId="372A5E26">
            <w:pPr>
              <w:pStyle w:val="6"/>
              <w:spacing w:before="128" w:line="236" w:lineRule="auto"/>
              <w:ind w:left="71" w:right="1027"/>
            </w:pPr>
            <w:r>
              <w:t>1.心脏的形态和位置</w:t>
            </w:r>
            <w:r>
              <w:rPr>
                <w:spacing w:val="4"/>
              </w:rPr>
              <w:t xml:space="preserve"> </w:t>
            </w:r>
            <w:r>
              <w:rPr>
                <w:spacing w:val="-1"/>
              </w:rPr>
              <w:t>2.心腔的构造</w:t>
            </w:r>
          </w:p>
          <w:p w14:paraId="697B4555">
            <w:pPr>
              <w:pStyle w:val="6"/>
              <w:spacing w:before="14" w:line="219" w:lineRule="auto"/>
              <w:ind w:left="71"/>
            </w:pPr>
            <w:r>
              <w:rPr>
                <w:spacing w:val="-1"/>
              </w:rPr>
              <w:t>3.心的传导系统</w:t>
            </w:r>
          </w:p>
        </w:tc>
        <w:tc>
          <w:tcPr>
            <w:tcW w:w="229" w:type="dxa"/>
            <w:vAlign w:val="top"/>
          </w:tcPr>
          <w:p w14:paraId="7A6F5CD7">
            <w:pPr>
              <w:rPr>
                <w:rFonts w:ascii="Arial"/>
                <w:sz w:val="21"/>
              </w:rPr>
            </w:pPr>
          </w:p>
        </w:tc>
        <w:tc>
          <w:tcPr>
            <w:tcW w:w="229" w:type="dxa"/>
            <w:vAlign w:val="top"/>
          </w:tcPr>
          <w:p w14:paraId="1D395795">
            <w:pPr>
              <w:rPr>
                <w:rFonts w:ascii="Arial"/>
                <w:sz w:val="21"/>
              </w:rPr>
            </w:pPr>
          </w:p>
        </w:tc>
        <w:tc>
          <w:tcPr>
            <w:tcW w:w="229" w:type="dxa"/>
            <w:vAlign w:val="top"/>
          </w:tcPr>
          <w:p w14:paraId="467ABA5F">
            <w:pPr>
              <w:rPr>
                <w:rFonts w:ascii="Arial"/>
                <w:sz w:val="21"/>
              </w:rPr>
            </w:pPr>
          </w:p>
        </w:tc>
        <w:tc>
          <w:tcPr>
            <w:tcW w:w="234" w:type="dxa"/>
            <w:vAlign w:val="top"/>
          </w:tcPr>
          <w:p w14:paraId="5E8C002E">
            <w:pPr>
              <w:rPr>
                <w:rFonts w:ascii="Arial"/>
                <w:sz w:val="21"/>
              </w:rPr>
            </w:pPr>
          </w:p>
        </w:tc>
      </w:tr>
      <w:tr w14:paraId="432DBA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59" w:hRule="atLeast"/>
        </w:trPr>
        <w:tc>
          <w:tcPr>
            <w:tcW w:w="554" w:type="dxa"/>
            <w:vAlign w:val="top"/>
          </w:tcPr>
          <w:p w14:paraId="502345FD">
            <w:pPr>
              <w:spacing w:line="244" w:lineRule="auto"/>
              <w:rPr>
                <w:rFonts w:ascii="Arial"/>
                <w:sz w:val="21"/>
              </w:rPr>
            </w:pPr>
          </w:p>
          <w:p w14:paraId="3A07E772">
            <w:pPr>
              <w:pStyle w:val="6"/>
              <w:spacing w:before="55" w:line="219" w:lineRule="auto"/>
              <w:ind w:left="94"/>
            </w:pPr>
            <w:r>
              <w:rPr>
                <w:spacing w:val="-2"/>
              </w:rPr>
              <w:t>血管</w:t>
            </w:r>
          </w:p>
        </w:tc>
        <w:tc>
          <w:tcPr>
            <w:tcW w:w="2644" w:type="dxa"/>
            <w:vAlign w:val="top"/>
          </w:tcPr>
          <w:p w14:paraId="37E9D8CB">
            <w:pPr>
              <w:pStyle w:val="6"/>
              <w:spacing w:before="200" w:line="217" w:lineRule="auto"/>
              <w:ind w:left="71"/>
            </w:pPr>
            <w:r>
              <w:t>1.血管的分类和构造</w:t>
            </w:r>
          </w:p>
          <w:p w14:paraId="0C0A1E58">
            <w:pPr>
              <w:pStyle w:val="6"/>
              <w:spacing w:line="218" w:lineRule="auto"/>
              <w:ind w:left="71"/>
            </w:pPr>
            <w:r>
              <w:rPr>
                <w:spacing w:val="-1"/>
              </w:rPr>
              <w:t>2.血管的分布及血液循环</w:t>
            </w:r>
          </w:p>
        </w:tc>
        <w:tc>
          <w:tcPr>
            <w:tcW w:w="229" w:type="dxa"/>
            <w:vAlign w:val="top"/>
          </w:tcPr>
          <w:p w14:paraId="5B4B2B86">
            <w:pPr>
              <w:rPr>
                <w:rFonts w:ascii="Arial"/>
                <w:sz w:val="21"/>
              </w:rPr>
            </w:pPr>
          </w:p>
        </w:tc>
        <w:tc>
          <w:tcPr>
            <w:tcW w:w="229" w:type="dxa"/>
            <w:vAlign w:val="top"/>
          </w:tcPr>
          <w:p w14:paraId="2281EABE">
            <w:pPr>
              <w:spacing w:before="238" w:line="308" w:lineRule="exact"/>
              <w:ind w:firstLine="38"/>
            </w:pPr>
            <w:r>
              <w:rPr>
                <w:position w:val="-6"/>
              </w:rPr>
              <w:drawing>
                <wp:inline distT="0" distB="0" distL="0" distR="0">
                  <wp:extent cx="99695" cy="194945"/>
                  <wp:effectExtent l="0" t="0" r="0" b="0"/>
                  <wp:docPr id="48" name="IM 48"/>
                  <wp:cNvGraphicFramePr/>
                  <a:graphic xmlns:a="http://schemas.openxmlformats.org/drawingml/2006/main">
                    <a:graphicData uri="http://schemas.openxmlformats.org/drawingml/2006/picture">
                      <pic:pic xmlns:pic="http://schemas.openxmlformats.org/drawingml/2006/picture">
                        <pic:nvPicPr>
                          <pic:cNvPr id="48" name="IM 48"/>
                          <pic:cNvPicPr/>
                        </pic:nvPicPr>
                        <pic:blipFill>
                          <a:blip r:embed="rId189"/>
                          <a:stretch>
                            <a:fillRect/>
                          </a:stretch>
                        </pic:blipFill>
                        <pic:spPr>
                          <a:xfrm>
                            <a:off x="0" y="0"/>
                            <a:ext cx="100026" cy="195405"/>
                          </a:xfrm>
                          <a:prstGeom prst="rect">
                            <a:avLst/>
                          </a:prstGeom>
                        </pic:spPr>
                      </pic:pic>
                    </a:graphicData>
                  </a:graphic>
                </wp:inline>
              </w:drawing>
            </w:r>
          </w:p>
        </w:tc>
        <w:tc>
          <w:tcPr>
            <w:tcW w:w="229" w:type="dxa"/>
            <w:vAlign w:val="top"/>
          </w:tcPr>
          <w:p w14:paraId="1AFA0A20">
            <w:pPr>
              <w:rPr>
                <w:rFonts w:ascii="Arial"/>
                <w:sz w:val="21"/>
              </w:rPr>
            </w:pPr>
          </w:p>
        </w:tc>
        <w:tc>
          <w:tcPr>
            <w:tcW w:w="234" w:type="dxa"/>
            <w:vAlign w:val="top"/>
          </w:tcPr>
          <w:p w14:paraId="727F9556">
            <w:pPr>
              <w:rPr>
                <w:rFonts w:ascii="Arial"/>
                <w:sz w:val="21"/>
              </w:rPr>
            </w:pPr>
          </w:p>
        </w:tc>
      </w:tr>
      <w:tr w14:paraId="0BD31E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38" w:hRule="atLeast"/>
        </w:trPr>
        <w:tc>
          <w:tcPr>
            <w:tcW w:w="554" w:type="dxa"/>
            <w:vAlign w:val="top"/>
          </w:tcPr>
          <w:p w14:paraId="4680B0E7">
            <w:pPr>
              <w:pStyle w:val="6"/>
              <w:spacing w:before="132" w:line="226" w:lineRule="auto"/>
              <w:ind w:left="94" w:right="116"/>
              <w:jc w:val="both"/>
            </w:pPr>
            <w:r>
              <w:rPr>
                <w:spacing w:val="-7"/>
              </w:rPr>
              <w:t>心脏</w:t>
            </w:r>
            <w:r>
              <w:t xml:space="preserve"> </w:t>
            </w:r>
            <w:r>
              <w:rPr>
                <w:spacing w:val="-4"/>
              </w:rPr>
              <w:t>生理</w:t>
            </w:r>
            <w:r>
              <w:t xml:space="preserve"> </w:t>
            </w:r>
            <w:r>
              <w:rPr>
                <w:spacing w:val="-5"/>
              </w:rPr>
              <w:t>功能</w:t>
            </w:r>
          </w:p>
        </w:tc>
        <w:tc>
          <w:tcPr>
            <w:tcW w:w="2644" w:type="dxa"/>
            <w:vAlign w:val="top"/>
          </w:tcPr>
          <w:p w14:paraId="4C74AA57">
            <w:pPr>
              <w:pStyle w:val="6"/>
              <w:spacing w:before="141" w:line="223" w:lineRule="auto"/>
              <w:ind w:left="71" w:right="1366"/>
            </w:pPr>
            <w:r>
              <w:t>1.心肌生理特性</w:t>
            </w:r>
            <w:r>
              <w:rPr>
                <w:spacing w:val="5"/>
              </w:rPr>
              <w:t xml:space="preserve"> </w:t>
            </w:r>
            <w:r>
              <w:rPr>
                <w:spacing w:val="-1"/>
              </w:rPr>
              <w:t>2.心动周期</w:t>
            </w:r>
          </w:p>
          <w:p w14:paraId="10DCBC57">
            <w:pPr>
              <w:pStyle w:val="6"/>
              <w:spacing w:line="219" w:lineRule="auto"/>
              <w:ind w:left="71"/>
            </w:pPr>
            <w:r>
              <w:rPr>
                <w:spacing w:val="-2"/>
              </w:rPr>
              <w:t>3.心音及心率</w:t>
            </w:r>
          </w:p>
        </w:tc>
        <w:tc>
          <w:tcPr>
            <w:tcW w:w="229" w:type="dxa"/>
            <w:vAlign w:val="top"/>
          </w:tcPr>
          <w:p w14:paraId="1F7F2E18">
            <w:pPr>
              <w:rPr>
                <w:rFonts w:ascii="Arial"/>
                <w:sz w:val="21"/>
              </w:rPr>
            </w:pPr>
          </w:p>
        </w:tc>
        <w:tc>
          <w:tcPr>
            <w:tcW w:w="229" w:type="dxa"/>
            <w:vAlign w:val="top"/>
          </w:tcPr>
          <w:p w14:paraId="667D24DC">
            <w:pPr>
              <w:rPr>
                <w:rFonts w:ascii="Arial"/>
                <w:sz w:val="21"/>
              </w:rPr>
            </w:pPr>
          </w:p>
        </w:tc>
        <w:tc>
          <w:tcPr>
            <w:tcW w:w="229" w:type="dxa"/>
            <w:vAlign w:val="top"/>
          </w:tcPr>
          <w:p w14:paraId="7B8BC26E">
            <w:pPr>
              <w:rPr>
                <w:rFonts w:ascii="Arial"/>
                <w:sz w:val="21"/>
              </w:rPr>
            </w:pPr>
          </w:p>
        </w:tc>
        <w:tc>
          <w:tcPr>
            <w:tcW w:w="234" w:type="dxa"/>
            <w:vAlign w:val="top"/>
          </w:tcPr>
          <w:p w14:paraId="306B82DF">
            <w:pPr>
              <w:rPr>
                <w:rFonts w:ascii="Arial"/>
                <w:sz w:val="21"/>
              </w:rPr>
            </w:pPr>
          </w:p>
        </w:tc>
      </w:tr>
      <w:tr w14:paraId="0472BE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79" w:hRule="atLeast"/>
        </w:trPr>
        <w:tc>
          <w:tcPr>
            <w:tcW w:w="554" w:type="dxa"/>
            <w:vAlign w:val="top"/>
          </w:tcPr>
          <w:p w14:paraId="79FFFA15">
            <w:pPr>
              <w:pStyle w:val="6"/>
              <w:spacing w:before="143" w:line="241" w:lineRule="auto"/>
              <w:ind w:left="94" w:right="116"/>
            </w:pPr>
            <w:r>
              <w:rPr>
                <w:spacing w:val="-4"/>
              </w:rPr>
              <w:t>血管</w:t>
            </w:r>
            <w:r>
              <w:t xml:space="preserve"> </w:t>
            </w:r>
            <w:r>
              <w:rPr>
                <w:spacing w:val="-4"/>
              </w:rPr>
              <w:t>生理</w:t>
            </w:r>
          </w:p>
        </w:tc>
        <w:tc>
          <w:tcPr>
            <w:tcW w:w="2644" w:type="dxa"/>
            <w:vAlign w:val="top"/>
          </w:tcPr>
          <w:p w14:paraId="3B306A46">
            <w:pPr>
              <w:pStyle w:val="6"/>
              <w:spacing w:before="164" w:line="219" w:lineRule="auto"/>
              <w:ind w:left="71"/>
            </w:pPr>
            <w:r>
              <w:t>1.血压和脉搏的概念</w:t>
            </w:r>
          </w:p>
          <w:p w14:paraId="2B267301">
            <w:pPr>
              <w:pStyle w:val="6"/>
              <w:spacing w:before="18" w:line="219" w:lineRule="auto"/>
              <w:ind w:left="71"/>
            </w:pPr>
            <w:r>
              <w:rPr>
                <w:spacing w:val="-1"/>
              </w:rPr>
              <w:t>2.微循环的概念及功能</w:t>
            </w:r>
          </w:p>
        </w:tc>
        <w:tc>
          <w:tcPr>
            <w:tcW w:w="229" w:type="dxa"/>
            <w:vAlign w:val="top"/>
          </w:tcPr>
          <w:p w14:paraId="0CDBC4D2">
            <w:pPr>
              <w:rPr>
                <w:rFonts w:ascii="Arial"/>
                <w:sz w:val="21"/>
              </w:rPr>
            </w:pPr>
          </w:p>
        </w:tc>
        <w:tc>
          <w:tcPr>
            <w:tcW w:w="229" w:type="dxa"/>
            <w:vAlign w:val="top"/>
          </w:tcPr>
          <w:p w14:paraId="47F60A13">
            <w:pPr>
              <w:rPr>
                <w:rFonts w:ascii="Arial"/>
                <w:sz w:val="21"/>
              </w:rPr>
            </w:pPr>
          </w:p>
        </w:tc>
        <w:tc>
          <w:tcPr>
            <w:tcW w:w="229" w:type="dxa"/>
            <w:vAlign w:val="top"/>
          </w:tcPr>
          <w:p w14:paraId="49ABC057">
            <w:pPr>
              <w:rPr>
                <w:rFonts w:ascii="Arial"/>
                <w:sz w:val="21"/>
              </w:rPr>
            </w:pPr>
          </w:p>
        </w:tc>
        <w:tc>
          <w:tcPr>
            <w:tcW w:w="234" w:type="dxa"/>
            <w:vAlign w:val="top"/>
          </w:tcPr>
          <w:p w14:paraId="782BC1AF">
            <w:pPr>
              <w:rPr>
                <w:rFonts w:ascii="Arial"/>
                <w:sz w:val="21"/>
              </w:rPr>
            </w:pPr>
          </w:p>
        </w:tc>
      </w:tr>
      <w:tr w14:paraId="437716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23" w:hRule="atLeast"/>
        </w:trPr>
        <w:tc>
          <w:tcPr>
            <w:tcW w:w="554" w:type="dxa"/>
            <w:vAlign w:val="top"/>
          </w:tcPr>
          <w:p w14:paraId="61D725C5">
            <w:pPr>
              <w:spacing w:line="328" w:lineRule="auto"/>
              <w:rPr>
                <w:rFonts w:ascii="Arial"/>
                <w:sz w:val="21"/>
              </w:rPr>
            </w:pPr>
          </w:p>
          <w:p w14:paraId="0C740CB3">
            <w:pPr>
              <w:pStyle w:val="6"/>
              <w:spacing w:before="55" w:line="220" w:lineRule="auto"/>
              <w:ind w:left="94"/>
            </w:pPr>
            <w:r>
              <w:rPr>
                <w:spacing w:val="-2"/>
              </w:rPr>
              <w:t>血液</w:t>
            </w:r>
          </w:p>
        </w:tc>
        <w:tc>
          <w:tcPr>
            <w:tcW w:w="2644" w:type="dxa"/>
            <w:vAlign w:val="top"/>
          </w:tcPr>
          <w:p w14:paraId="32090529">
            <w:pPr>
              <w:pStyle w:val="6"/>
              <w:spacing w:before="176" w:line="236" w:lineRule="auto"/>
              <w:ind w:left="71" w:right="871"/>
            </w:pPr>
            <w:r>
              <w:t>1.血液的组成及功能</w:t>
            </w:r>
            <w:r>
              <w:rPr>
                <w:spacing w:val="2"/>
              </w:rPr>
              <w:t xml:space="preserve">   </w:t>
            </w:r>
            <w:r>
              <w:rPr>
                <w:spacing w:val="-1"/>
              </w:rPr>
              <w:t>2.血细胞的组成及机能</w:t>
            </w:r>
            <w:r>
              <w:rPr>
                <w:spacing w:val="1"/>
              </w:rPr>
              <w:t xml:space="preserve"> </w:t>
            </w:r>
            <w:r>
              <w:rPr>
                <w:spacing w:val="2"/>
              </w:rPr>
              <w:t>3.血液凝固</w:t>
            </w:r>
          </w:p>
        </w:tc>
        <w:tc>
          <w:tcPr>
            <w:tcW w:w="229" w:type="dxa"/>
            <w:vAlign w:val="top"/>
          </w:tcPr>
          <w:p w14:paraId="762A0E84">
            <w:pPr>
              <w:rPr>
                <w:rFonts w:ascii="Arial"/>
                <w:sz w:val="21"/>
              </w:rPr>
            </w:pPr>
          </w:p>
        </w:tc>
        <w:tc>
          <w:tcPr>
            <w:tcW w:w="229" w:type="dxa"/>
            <w:vAlign w:val="top"/>
          </w:tcPr>
          <w:p w14:paraId="0D93BFD3">
            <w:pPr>
              <w:rPr>
                <w:rFonts w:ascii="Arial"/>
                <w:sz w:val="21"/>
              </w:rPr>
            </w:pPr>
          </w:p>
        </w:tc>
        <w:tc>
          <w:tcPr>
            <w:tcW w:w="229" w:type="dxa"/>
            <w:vAlign w:val="top"/>
          </w:tcPr>
          <w:p w14:paraId="4D3DE0F7">
            <w:pPr>
              <w:rPr>
                <w:rFonts w:ascii="Arial"/>
                <w:sz w:val="21"/>
              </w:rPr>
            </w:pPr>
          </w:p>
        </w:tc>
        <w:tc>
          <w:tcPr>
            <w:tcW w:w="234" w:type="dxa"/>
            <w:vAlign w:val="top"/>
          </w:tcPr>
          <w:p w14:paraId="6936F91E">
            <w:pPr>
              <w:rPr>
                <w:rFonts w:ascii="Arial"/>
                <w:sz w:val="21"/>
              </w:rPr>
            </w:pPr>
          </w:p>
        </w:tc>
      </w:tr>
    </w:tbl>
    <w:p w14:paraId="1321E417">
      <w:pPr>
        <w:spacing w:before="128" w:line="221" w:lineRule="auto"/>
        <w:ind w:left="1467"/>
        <w:rPr>
          <w:rFonts w:ascii="黑体" w:hAnsi="黑体" w:eastAsia="黑体" w:cs="黑体"/>
          <w:sz w:val="20"/>
          <w:szCs w:val="20"/>
        </w:rPr>
      </w:pPr>
      <w:r>
        <w:rPr>
          <w:rFonts w:ascii="黑体" w:hAnsi="黑体" w:eastAsia="黑体" w:cs="黑体"/>
          <w:b/>
          <w:bCs/>
          <w:spacing w:val="-7"/>
          <w:sz w:val="20"/>
          <w:szCs w:val="20"/>
        </w:rPr>
        <w:t>八、淋巴系统</w:t>
      </w:r>
    </w:p>
    <w:p w14:paraId="58999A94">
      <w:pPr>
        <w:spacing w:line="152" w:lineRule="exact"/>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54"/>
        <w:gridCol w:w="2644"/>
        <w:gridCol w:w="229"/>
        <w:gridCol w:w="229"/>
        <w:gridCol w:w="229"/>
        <w:gridCol w:w="234"/>
      </w:tblGrid>
      <w:tr w14:paraId="6A237D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3" w:hRule="atLeast"/>
        </w:trPr>
        <w:tc>
          <w:tcPr>
            <w:tcW w:w="554" w:type="dxa"/>
            <w:vMerge w:val="restart"/>
            <w:tcBorders>
              <w:bottom w:val="nil"/>
            </w:tcBorders>
            <w:vAlign w:val="top"/>
          </w:tcPr>
          <w:p w14:paraId="056FFD3C">
            <w:pPr>
              <w:pStyle w:val="6"/>
              <w:spacing w:before="182" w:line="249" w:lineRule="auto"/>
              <w:ind w:left="97" w:right="113"/>
            </w:pPr>
            <w:r>
              <w:rPr>
                <w:b/>
                <w:bCs/>
                <w:spacing w:val="-7"/>
              </w:rPr>
              <w:t>知识</w:t>
            </w:r>
            <w:r>
              <w:t xml:space="preserve"> </w:t>
            </w:r>
            <w:r>
              <w:rPr>
                <w:b/>
                <w:bCs/>
                <w:spacing w:val="-6"/>
              </w:rPr>
              <w:t>要点</w:t>
            </w:r>
          </w:p>
        </w:tc>
        <w:tc>
          <w:tcPr>
            <w:tcW w:w="2644" w:type="dxa"/>
            <w:vMerge w:val="restart"/>
            <w:tcBorders>
              <w:bottom w:val="nil"/>
            </w:tcBorders>
            <w:vAlign w:val="top"/>
          </w:tcPr>
          <w:p w14:paraId="54223B1E">
            <w:pPr>
              <w:spacing w:line="252" w:lineRule="auto"/>
              <w:rPr>
                <w:rFonts w:ascii="Arial"/>
                <w:sz w:val="21"/>
              </w:rPr>
            </w:pPr>
          </w:p>
          <w:p w14:paraId="301BA66A">
            <w:pPr>
              <w:pStyle w:val="6"/>
              <w:spacing w:before="56" w:line="219" w:lineRule="auto"/>
              <w:ind w:left="1003"/>
            </w:pPr>
            <w:r>
              <w:rPr>
                <w:b/>
                <w:bCs/>
                <w:spacing w:val="5"/>
              </w:rPr>
              <w:t>考试条目</w:t>
            </w:r>
          </w:p>
        </w:tc>
        <w:tc>
          <w:tcPr>
            <w:tcW w:w="921" w:type="dxa"/>
            <w:gridSpan w:val="4"/>
            <w:vAlign w:val="top"/>
          </w:tcPr>
          <w:p w14:paraId="168FF641">
            <w:pPr>
              <w:pStyle w:val="6"/>
              <w:spacing w:before="109" w:line="219" w:lineRule="auto"/>
              <w:ind w:left="119"/>
            </w:pPr>
            <w:r>
              <w:rPr>
                <w:b/>
                <w:bCs/>
                <w:spacing w:val="-4"/>
              </w:rPr>
              <w:t>考试水平</w:t>
            </w:r>
          </w:p>
        </w:tc>
      </w:tr>
      <w:tr w14:paraId="21F306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8" w:hRule="atLeast"/>
        </w:trPr>
        <w:tc>
          <w:tcPr>
            <w:tcW w:w="554" w:type="dxa"/>
            <w:vMerge w:val="continue"/>
            <w:tcBorders>
              <w:top w:val="nil"/>
            </w:tcBorders>
            <w:vAlign w:val="top"/>
          </w:tcPr>
          <w:p w14:paraId="14BF57F3">
            <w:pPr>
              <w:rPr>
                <w:rFonts w:ascii="Arial"/>
                <w:sz w:val="21"/>
              </w:rPr>
            </w:pPr>
          </w:p>
        </w:tc>
        <w:tc>
          <w:tcPr>
            <w:tcW w:w="2644" w:type="dxa"/>
            <w:vMerge w:val="continue"/>
            <w:tcBorders>
              <w:top w:val="nil"/>
            </w:tcBorders>
            <w:vAlign w:val="top"/>
          </w:tcPr>
          <w:p w14:paraId="700C68B6">
            <w:pPr>
              <w:rPr>
                <w:rFonts w:ascii="Arial"/>
                <w:sz w:val="21"/>
              </w:rPr>
            </w:pPr>
          </w:p>
        </w:tc>
        <w:tc>
          <w:tcPr>
            <w:tcW w:w="229" w:type="dxa"/>
            <w:vAlign w:val="top"/>
          </w:tcPr>
          <w:p w14:paraId="1F57A455">
            <w:pPr>
              <w:pStyle w:val="6"/>
              <w:spacing w:before="151" w:line="184" w:lineRule="auto"/>
              <w:ind w:left="26"/>
            </w:pPr>
            <w:r>
              <w:t>A</w:t>
            </w:r>
          </w:p>
        </w:tc>
        <w:tc>
          <w:tcPr>
            <w:tcW w:w="229" w:type="dxa"/>
            <w:vAlign w:val="top"/>
          </w:tcPr>
          <w:p w14:paraId="1AE75618">
            <w:pPr>
              <w:pStyle w:val="6"/>
              <w:spacing w:before="153" w:line="182" w:lineRule="auto"/>
              <w:ind w:left="67"/>
            </w:pPr>
            <w:r>
              <w:t>B</w:t>
            </w:r>
          </w:p>
        </w:tc>
        <w:tc>
          <w:tcPr>
            <w:tcW w:w="229" w:type="dxa"/>
            <w:vAlign w:val="top"/>
          </w:tcPr>
          <w:p w14:paraId="56DF0D6A">
            <w:pPr>
              <w:pStyle w:val="6"/>
              <w:spacing w:before="152" w:line="183" w:lineRule="auto"/>
              <w:ind w:left="19"/>
            </w:pPr>
            <w:r>
              <w:t>C</w:t>
            </w:r>
          </w:p>
        </w:tc>
        <w:tc>
          <w:tcPr>
            <w:tcW w:w="234" w:type="dxa"/>
            <w:vAlign w:val="top"/>
          </w:tcPr>
          <w:p w14:paraId="04FD786A">
            <w:pPr>
              <w:pStyle w:val="6"/>
              <w:spacing w:before="153" w:line="182" w:lineRule="auto"/>
              <w:ind w:left="19"/>
            </w:pPr>
            <w:r>
              <w:t>D</w:t>
            </w:r>
          </w:p>
        </w:tc>
      </w:tr>
      <w:tr w14:paraId="6C0752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7" w:hRule="atLeast"/>
        </w:trPr>
        <w:tc>
          <w:tcPr>
            <w:tcW w:w="554" w:type="dxa"/>
            <w:vAlign w:val="top"/>
          </w:tcPr>
          <w:p w14:paraId="33B8899A">
            <w:pPr>
              <w:pStyle w:val="6"/>
              <w:spacing w:before="68" w:line="226" w:lineRule="auto"/>
              <w:ind w:left="94" w:right="99"/>
              <w:jc w:val="both"/>
            </w:pPr>
            <w:r>
              <w:rPr>
                <w:spacing w:val="-4"/>
              </w:rPr>
              <w:t>淋巴</w:t>
            </w:r>
            <w:r>
              <w:t xml:space="preserve"> </w:t>
            </w:r>
            <w:r>
              <w:rPr>
                <w:spacing w:val="-4"/>
              </w:rPr>
              <w:t>和淋</w:t>
            </w:r>
            <w:r>
              <w:t xml:space="preserve"> </w:t>
            </w:r>
            <w:r>
              <w:rPr>
                <w:spacing w:val="4"/>
              </w:rPr>
              <w:t>巴管</w:t>
            </w:r>
          </w:p>
        </w:tc>
        <w:tc>
          <w:tcPr>
            <w:tcW w:w="2644" w:type="dxa"/>
            <w:vAlign w:val="top"/>
          </w:tcPr>
          <w:p w14:paraId="2EB80EDB">
            <w:pPr>
              <w:pStyle w:val="6"/>
              <w:spacing w:before="69" w:line="218" w:lineRule="auto"/>
              <w:ind w:left="71"/>
            </w:pPr>
            <w:r>
              <w:t>1.淋巴系统的组成</w:t>
            </w:r>
          </w:p>
          <w:p w14:paraId="45C2E60D">
            <w:pPr>
              <w:pStyle w:val="6"/>
              <w:spacing w:before="29" w:line="223" w:lineRule="auto"/>
              <w:ind w:left="71" w:right="701"/>
            </w:pPr>
            <w:r>
              <w:rPr>
                <w:spacing w:val="-1"/>
              </w:rPr>
              <w:t>2.淋巴的概念和生理意义</w:t>
            </w:r>
            <w:r>
              <w:rPr>
                <w:spacing w:val="2"/>
              </w:rPr>
              <w:t xml:space="preserve"> </w:t>
            </w:r>
            <w:r>
              <w:rPr>
                <w:spacing w:val="1"/>
              </w:rPr>
              <w:t>3.淋巴管的分类和特点</w:t>
            </w:r>
          </w:p>
        </w:tc>
        <w:tc>
          <w:tcPr>
            <w:tcW w:w="229" w:type="dxa"/>
            <w:vAlign w:val="top"/>
          </w:tcPr>
          <w:p w14:paraId="0A691D76">
            <w:pPr>
              <w:rPr>
                <w:rFonts w:ascii="Arial"/>
                <w:sz w:val="21"/>
              </w:rPr>
            </w:pPr>
          </w:p>
        </w:tc>
        <w:tc>
          <w:tcPr>
            <w:tcW w:w="229" w:type="dxa"/>
            <w:vAlign w:val="top"/>
          </w:tcPr>
          <w:p w14:paraId="15BC9AE1">
            <w:pPr>
              <w:rPr>
                <w:rFonts w:ascii="Arial"/>
                <w:sz w:val="21"/>
              </w:rPr>
            </w:pPr>
          </w:p>
        </w:tc>
        <w:tc>
          <w:tcPr>
            <w:tcW w:w="229" w:type="dxa"/>
            <w:vAlign w:val="top"/>
          </w:tcPr>
          <w:p w14:paraId="683C8AA5">
            <w:pPr>
              <w:rPr>
                <w:rFonts w:ascii="Arial"/>
                <w:sz w:val="21"/>
              </w:rPr>
            </w:pPr>
          </w:p>
        </w:tc>
        <w:tc>
          <w:tcPr>
            <w:tcW w:w="234" w:type="dxa"/>
            <w:vAlign w:val="top"/>
          </w:tcPr>
          <w:p w14:paraId="7A55371D">
            <w:pPr>
              <w:rPr>
                <w:rFonts w:ascii="Arial"/>
                <w:sz w:val="21"/>
              </w:rPr>
            </w:pPr>
          </w:p>
        </w:tc>
      </w:tr>
      <w:tr w14:paraId="483763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8" w:hRule="atLeast"/>
        </w:trPr>
        <w:tc>
          <w:tcPr>
            <w:tcW w:w="554" w:type="dxa"/>
            <w:vAlign w:val="top"/>
          </w:tcPr>
          <w:p w14:paraId="7B5B3147">
            <w:pPr>
              <w:pStyle w:val="6"/>
              <w:spacing w:before="93" w:line="220" w:lineRule="auto"/>
              <w:ind w:left="94" w:right="115"/>
            </w:pPr>
            <w:r>
              <w:rPr>
                <w:spacing w:val="-4"/>
              </w:rPr>
              <w:t>淋巴</w:t>
            </w:r>
            <w:r>
              <w:t xml:space="preserve"> </w:t>
            </w:r>
            <w:r>
              <w:rPr>
                <w:spacing w:val="-4"/>
              </w:rPr>
              <w:t>器官</w:t>
            </w:r>
          </w:p>
        </w:tc>
        <w:tc>
          <w:tcPr>
            <w:tcW w:w="2644" w:type="dxa"/>
            <w:vAlign w:val="top"/>
          </w:tcPr>
          <w:p w14:paraId="67A778D7">
            <w:pPr>
              <w:pStyle w:val="6"/>
              <w:spacing w:before="182" w:line="218" w:lineRule="auto"/>
              <w:ind w:left="71"/>
            </w:pPr>
            <w:r>
              <w:rPr>
                <w:spacing w:val="-1"/>
              </w:rPr>
              <w:t>淋巴器官的分布、构造和功能</w:t>
            </w:r>
          </w:p>
        </w:tc>
        <w:tc>
          <w:tcPr>
            <w:tcW w:w="229" w:type="dxa"/>
            <w:vAlign w:val="top"/>
          </w:tcPr>
          <w:p w14:paraId="736EEDEE">
            <w:pPr>
              <w:rPr>
                <w:rFonts w:ascii="Arial"/>
                <w:sz w:val="21"/>
              </w:rPr>
            </w:pPr>
          </w:p>
        </w:tc>
        <w:tc>
          <w:tcPr>
            <w:tcW w:w="229" w:type="dxa"/>
            <w:vAlign w:val="top"/>
          </w:tcPr>
          <w:p w14:paraId="7B3473C6">
            <w:pPr>
              <w:pStyle w:val="6"/>
              <w:spacing w:before="213" w:line="238" w:lineRule="auto"/>
              <w:ind w:left="48"/>
              <w:rPr>
                <w:sz w:val="12"/>
                <w:szCs w:val="12"/>
              </w:rPr>
            </w:pPr>
            <w:r>
              <w:rPr>
                <w:sz w:val="12"/>
                <w:szCs w:val="12"/>
              </w:rPr>
              <w:t>√</w:t>
            </w:r>
          </w:p>
        </w:tc>
        <w:tc>
          <w:tcPr>
            <w:tcW w:w="229" w:type="dxa"/>
            <w:vAlign w:val="top"/>
          </w:tcPr>
          <w:p w14:paraId="38194EEB">
            <w:pPr>
              <w:rPr>
                <w:rFonts w:ascii="Arial"/>
                <w:sz w:val="21"/>
              </w:rPr>
            </w:pPr>
          </w:p>
        </w:tc>
        <w:tc>
          <w:tcPr>
            <w:tcW w:w="234" w:type="dxa"/>
            <w:vAlign w:val="top"/>
          </w:tcPr>
          <w:p w14:paraId="0F46D96C">
            <w:pPr>
              <w:rPr>
                <w:rFonts w:ascii="Arial"/>
                <w:sz w:val="21"/>
              </w:rPr>
            </w:pPr>
          </w:p>
        </w:tc>
      </w:tr>
      <w:tr w14:paraId="1CE599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43" w:hRule="atLeast"/>
        </w:trPr>
        <w:tc>
          <w:tcPr>
            <w:tcW w:w="554" w:type="dxa"/>
            <w:vAlign w:val="top"/>
          </w:tcPr>
          <w:p w14:paraId="2BCD9805">
            <w:pPr>
              <w:pStyle w:val="6"/>
              <w:spacing w:before="84" w:line="234" w:lineRule="auto"/>
              <w:ind w:left="94" w:right="116"/>
            </w:pPr>
            <w:r>
              <w:rPr>
                <w:spacing w:val="-4"/>
              </w:rPr>
              <w:t>淋巴</w:t>
            </w:r>
            <w:r>
              <w:t xml:space="preserve"> </w:t>
            </w:r>
            <w:r>
              <w:rPr>
                <w:spacing w:val="-5"/>
              </w:rPr>
              <w:t>组织</w:t>
            </w:r>
          </w:p>
        </w:tc>
        <w:tc>
          <w:tcPr>
            <w:tcW w:w="2644" w:type="dxa"/>
            <w:vAlign w:val="top"/>
          </w:tcPr>
          <w:p w14:paraId="210F70AE">
            <w:pPr>
              <w:pStyle w:val="6"/>
              <w:spacing w:before="194" w:line="218" w:lineRule="auto"/>
              <w:ind w:left="71"/>
            </w:pPr>
            <w:r>
              <w:rPr>
                <w:spacing w:val="-1"/>
              </w:rPr>
              <w:t>淋巴组织的种类及分布</w:t>
            </w:r>
          </w:p>
        </w:tc>
        <w:tc>
          <w:tcPr>
            <w:tcW w:w="229" w:type="dxa"/>
            <w:vAlign w:val="top"/>
          </w:tcPr>
          <w:p w14:paraId="69E8D04E">
            <w:pPr>
              <w:rPr>
                <w:rFonts w:ascii="Arial"/>
                <w:sz w:val="21"/>
              </w:rPr>
            </w:pPr>
          </w:p>
        </w:tc>
        <w:tc>
          <w:tcPr>
            <w:tcW w:w="229" w:type="dxa"/>
            <w:vAlign w:val="top"/>
          </w:tcPr>
          <w:p w14:paraId="74E3A913">
            <w:pPr>
              <w:rPr>
                <w:rFonts w:ascii="Arial"/>
                <w:sz w:val="21"/>
              </w:rPr>
            </w:pPr>
          </w:p>
        </w:tc>
        <w:tc>
          <w:tcPr>
            <w:tcW w:w="229" w:type="dxa"/>
            <w:vAlign w:val="top"/>
          </w:tcPr>
          <w:p w14:paraId="6330AE73">
            <w:pPr>
              <w:rPr>
                <w:rFonts w:ascii="Arial"/>
                <w:sz w:val="21"/>
              </w:rPr>
            </w:pPr>
          </w:p>
        </w:tc>
        <w:tc>
          <w:tcPr>
            <w:tcW w:w="234" w:type="dxa"/>
            <w:vAlign w:val="top"/>
          </w:tcPr>
          <w:p w14:paraId="5B76A666">
            <w:pPr>
              <w:rPr>
                <w:rFonts w:ascii="Arial"/>
                <w:sz w:val="21"/>
              </w:rPr>
            </w:pPr>
          </w:p>
        </w:tc>
      </w:tr>
    </w:tbl>
    <w:p w14:paraId="00382AA5">
      <w:pPr>
        <w:spacing w:before="128" w:line="221" w:lineRule="auto"/>
        <w:ind w:left="1067"/>
        <w:rPr>
          <w:rFonts w:ascii="黑体" w:hAnsi="黑体" w:eastAsia="黑体" w:cs="黑体"/>
          <w:sz w:val="20"/>
          <w:szCs w:val="20"/>
        </w:rPr>
      </w:pPr>
      <w:r>
        <w:rPr>
          <w:rFonts w:ascii="黑体" w:hAnsi="黑体" w:eastAsia="黑体" w:cs="黑体"/>
          <w:b/>
          <w:bCs/>
          <w:spacing w:val="-7"/>
          <w:sz w:val="20"/>
          <w:szCs w:val="20"/>
        </w:rPr>
        <w:t>九、神经系淋巴系统</w:t>
      </w:r>
    </w:p>
    <w:p w14:paraId="5AECDE2F">
      <w:pPr>
        <w:spacing w:line="152" w:lineRule="exact"/>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54"/>
        <w:gridCol w:w="2644"/>
        <w:gridCol w:w="229"/>
        <w:gridCol w:w="229"/>
        <w:gridCol w:w="229"/>
        <w:gridCol w:w="234"/>
      </w:tblGrid>
      <w:tr w14:paraId="30DC26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8" w:hRule="atLeast"/>
        </w:trPr>
        <w:tc>
          <w:tcPr>
            <w:tcW w:w="554" w:type="dxa"/>
            <w:vMerge w:val="restart"/>
            <w:tcBorders>
              <w:top w:val="single" w:color="000000" w:sz="2" w:space="0"/>
              <w:bottom w:val="nil"/>
            </w:tcBorders>
            <w:vAlign w:val="top"/>
          </w:tcPr>
          <w:p w14:paraId="670A7114">
            <w:pPr>
              <w:pStyle w:val="6"/>
              <w:spacing w:before="196" w:line="225" w:lineRule="auto"/>
              <w:ind w:left="97" w:right="113"/>
            </w:pPr>
            <w:r>
              <w:rPr>
                <w:b/>
                <w:bCs/>
                <w:spacing w:val="-7"/>
              </w:rPr>
              <w:t>知识</w:t>
            </w:r>
            <w:r>
              <w:t xml:space="preserve"> </w:t>
            </w:r>
            <w:r>
              <w:rPr>
                <w:b/>
                <w:bCs/>
                <w:spacing w:val="-6"/>
              </w:rPr>
              <w:t>要点</w:t>
            </w:r>
          </w:p>
        </w:tc>
        <w:tc>
          <w:tcPr>
            <w:tcW w:w="2644" w:type="dxa"/>
            <w:vMerge w:val="restart"/>
            <w:tcBorders>
              <w:top w:val="single" w:color="000000" w:sz="2" w:space="0"/>
              <w:bottom w:val="nil"/>
            </w:tcBorders>
            <w:vAlign w:val="top"/>
          </w:tcPr>
          <w:p w14:paraId="78635ED7">
            <w:pPr>
              <w:spacing w:line="247" w:lineRule="auto"/>
              <w:rPr>
                <w:rFonts w:ascii="Arial"/>
                <w:sz w:val="21"/>
              </w:rPr>
            </w:pPr>
          </w:p>
          <w:p w14:paraId="6CFE5B9C">
            <w:pPr>
              <w:pStyle w:val="6"/>
              <w:spacing w:before="55" w:line="219" w:lineRule="auto"/>
              <w:ind w:left="1003"/>
            </w:pPr>
            <w:r>
              <w:rPr>
                <w:b/>
                <w:bCs/>
                <w:spacing w:val="5"/>
              </w:rPr>
              <w:t>考试条目</w:t>
            </w:r>
          </w:p>
        </w:tc>
        <w:tc>
          <w:tcPr>
            <w:tcW w:w="921" w:type="dxa"/>
            <w:gridSpan w:val="4"/>
            <w:tcBorders>
              <w:top w:val="single" w:color="000000" w:sz="2" w:space="0"/>
              <w:bottom w:val="single" w:color="000000" w:sz="2" w:space="0"/>
            </w:tcBorders>
            <w:vAlign w:val="top"/>
          </w:tcPr>
          <w:p w14:paraId="0CC61545">
            <w:pPr>
              <w:pStyle w:val="6"/>
              <w:spacing w:before="114" w:line="219" w:lineRule="auto"/>
              <w:ind w:left="129"/>
            </w:pPr>
            <w:r>
              <w:rPr>
                <w:b/>
                <w:bCs/>
                <w:spacing w:val="-4"/>
              </w:rPr>
              <w:t>考试水平</w:t>
            </w:r>
          </w:p>
        </w:tc>
      </w:tr>
      <w:tr w14:paraId="740C13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3" w:hRule="atLeast"/>
        </w:trPr>
        <w:tc>
          <w:tcPr>
            <w:tcW w:w="554" w:type="dxa"/>
            <w:vMerge w:val="continue"/>
            <w:tcBorders>
              <w:top w:val="nil"/>
              <w:bottom w:val="single" w:color="000000" w:sz="2" w:space="0"/>
            </w:tcBorders>
            <w:vAlign w:val="top"/>
          </w:tcPr>
          <w:p w14:paraId="1E392189">
            <w:pPr>
              <w:rPr>
                <w:rFonts w:ascii="Arial"/>
                <w:sz w:val="21"/>
              </w:rPr>
            </w:pPr>
          </w:p>
        </w:tc>
        <w:tc>
          <w:tcPr>
            <w:tcW w:w="2644" w:type="dxa"/>
            <w:vMerge w:val="continue"/>
            <w:tcBorders>
              <w:top w:val="nil"/>
              <w:bottom w:val="single" w:color="000000" w:sz="2" w:space="0"/>
            </w:tcBorders>
            <w:vAlign w:val="top"/>
          </w:tcPr>
          <w:p w14:paraId="3E5B99B3">
            <w:pPr>
              <w:rPr>
                <w:rFonts w:ascii="Arial"/>
                <w:sz w:val="21"/>
              </w:rPr>
            </w:pPr>
          </w:p>
        </w:tc>
        <w:tc>
          <w:tcPr>
            <w:tcW w:w="229" w:type="dxa"/>
            <w:tcBorders>
              <w:top w:val="single" w:color="000000" w:sz="2" w:space="0"/>
              <w:bottom w:val="single" w:color="000000" w:sz="2" w:space="0"/>
            </w:tcBorders>
            <w:vAlign w:val="top"/>
          </w:tcPr>
          <w:p w14:paraId="6FB62F6B">
            <w:pPr>
              <w:pStyle w:val="6"/>
              <w:spacing w:before="146" w:line="184" w:lineRule="auto"/>
              <w:jc w:val="right"/>
            </w:pPr>
            <w:r>
              <w:rPr>
                <w:spacing w:val="-2"/>
                <w:w w:val="98"/>
              </w:rPr>
              <w:t>A</w:t>
            </w:r>
          </w:p>
        </w:tc>
        <w:tc>
          <w:tcPr>
            <w:tcW w:w="229" w:type="dxa"/>
            <w:tcBorders>
              <w:top w:val="single" w:color="000000" w:sz="2" w:space="0"/>
              <w:bottom w:val="single" w:color="000000" w:sz="2" w:space="0"/>
            </w:tcBorders>
            <w:vAlign w:val="top"/>
          </w:tcPr>
          <w:p w14:paraId="57620E91">
            <w:pPr>
              <w:pStyle w:val="6"/>
              <w:spacing w:before="148" w:line="182" w:lineRule="auto"/>
              <w:ind w:left="18"/>
            </w:pPr>
            <w:r>
              <w:t>B</w:t>
            </w:r>
          </w:p>
        </w:tc>
        <w:tc>
          <w:tcPr>
            <w:tcW w:w="229" w:type="dxa"/>
            <w:tcBorders>
              <w:top w:val="single" w:color="000000" w:sz="2" w:space="0"/>
              <w:bottom w:val="single" w:color="000000" w:sz="2" w:space="0"/>
            </w:tcBorders>
            <w:vAlign w:val="top"/>
          </w:tcPr>
          <w:p w14:paraId="066AF924">
            <w:pPr>
              <w:pStyle w:val="6"/>
              <w:spacing w:before="147" w:line="183" w:lineRule="auto"/>
              <w:ind w:left="28"/>
            </w:pPr>
            <w:r>
              <w:t>C</w:t>
            </w:r>
          </w:p>
        </w:tc>
        <w:tc>
          <w:tcPr>
            <w:tcW w:w="234" w:type="dxa"/>
            <w:tcBorders>
              <w:top w:val="single" w:color="000000" w:sz="2" w:space="0"/>
              <w:bottom w:val="single" w:color="000000" w:sz="2" w:space="0"/>
            </w:tcBorders>
            <w:vAlign w:val="top"/>
          </w:tcPr>
          <w:p w14:paraId="40A7DBA9">
            <w:pPr>
              <w:pStyle w:val="6"/>
              <w:spacing w:before="148" w:line="182" w:lineRule="auto"/>
              <w:ind w:left="19"/>
            </w:pPr>
            <w:r>
              <w:t>D</w:t>
            </w:r>
          </w:p>
        </w:tc>
      </w:tr>
      <w:tr w14:paraId="2FC9A1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7" w:hRule="atLeast"/>
        </w:trPr>
        <w:tc>
          <w:tcPr>
            <w:tcW w:w="554" w:type="dxa"/>
            <w:tcBorders>
              <w:top w:val="single" w:color="000000" w:sz="2" w:space="0"/>
              <w:bottom w:val="single" w:color="000000" w:sz="2" w:space="0"/>
            </w:tcBorders>
            <w:vAlign w:val="top"/>
          </w:tcPr>
          <w:p w14:paraId="11EE564F">
            <w:pPr>
              <w:pStyle w:val="6"/>
              <w:spacing w:before="164" w:line="219" w:lineRule="auto"/>
              <w:ind w:left="94"/>
            </w:pPr>
            <w:r>
              <w:rPr>
                <w:spacing w:val="-2"/>
              </w:rPr>
              <w:t>概述</w:t>
            </w:r>
          </w:p>
        </w:tc>
        <w:tc>
          <w:tcPr>
            <w:tcW w:w="2644" w:type="dxa"/>
            <w:tcBorders>
              <w:top w:val="single" w:color="000000" w:sz="2" w:space="0"/>
              <w:bottom w:val="single" w:color="000000" w:sz="2" w:space="0"/>
            </w:tcBorders>
            <w:vAlign w:val="top"/>
          </w:tcPr>
          <w:p w14:paraId="11A5E452">
            <w:pPr>
              <w:pStyle w:val="6"/>
              <w:spacing w:before="64" w:line="224" w:lineRule="auto"/>
              <w:ind w:left="60" w:right="1205"/>
            </w:pPr>
            <w:r>
              <w:t>1.神经系统的组成</w:t>
            </w:r>
            <w:r>
              <w:rPr>
                <w:spacing w:val="6"/>
              </w:rPr>
              <w:t xml:space="preserve"> </w:t>
            </w:r>
            <w:r>
              <w:rPr>
                <w:spacing w:val="-1"/>
              </w:rPr>
              <w:t>2.反射和反射弧</w:t>
            </w:r>
          </w:p>
        </w:tc>
        <w:tc>
          <w:tcPr>
            <w:tcW w:w="229" w:type="dxa"/>
            <w:tcBorders>
              <w:top w:val="single" w:color="000000" w:sz="2" w:space="0"/>
              <w:bottom w:val="single" w:color="000000" w:sz="2" w:space="0"/>
            </w:tcBorders>
            <w:textDirection w:val="tbRlV"/>
            <w:vAlign w:val="top"/>
          </w:tcPr>
          <w:p w14:paraId="4AE486C5">
            <w:pPr>
              <w:pStyle w:val="6"/>
              <w:spacing w:before="68" w:line="136" w:lineRule="exact"/>
              <w:ind w:left="134"/>
            </w:pPr>
            <w:r>
              <w:rPr>
                <w:position w:val="-3"/>
              </w:rPr>
              <w:t>√</w:t>
            </w:r>
          </w:p>
        </w:tc>
        <w:tc>
          <w:tcPr>
            <w:tcW w:w="229" w:type="dxa"/>
            <w:tcBorders>
              <w:top w:val="single" w:color="000000" w:sz="2" w:space="0"/>
              <w:bottom w:val="single" w:color="000000" w:sz="2" w:space="0"/>
            </w:tcBorders>
            <w:vAlign w:val="top"/>
          </w:tcPr>
          <w:p w14:paraId="44E2C47E">
            <w:pPr>
              <w:rPr>
                <w:rFonts w:ascii="Arial"/>
                <w:sz w:val="21"/>
              </w:rPr>
            </w:pPr>
          </w:p>
        </w:tc>
        <w:tc>
          <w:tcPr>
            <w:tcW w:w="229" w:type="dxa"/>
            <w:tcBorders>
              <w:top w:val="single" w:color="000000" w:sz="2" w:space="0"/>
              <w:bottom w:val="single" w:color="000000" w:sz="2" w:space="0"/>
            </w:tcBorders>
            <w:vAlign w:val="top"/>
          </w:tcPr>
          <w:p w14:paraId="28491B00">
            <w:pPr>
              <w:rPr>
                <w:rFonts w:ascii="Arial"/>
                <w:sz w:val="21"/>
              </w:rPr>
            </w:pPr>
          </w:p>
        </w:tc>
        <w:tc>
          <w:tcPr>
            <w:tcW w:w="234" w:type="dxa"/>
            <w:tcBorders>
              <w:top w:val="single" w:color="000000" w:sz="2" w:space="0"/>
              <w:bottom w:val="single" w:color="000000" w:sz="2" w:space="0"/>
            </w:tcBorders>
            <w:vAlign w:val="top"/>
          </w:tcPr>
          <w:p w14:paraId="63FDFB66">
            <w:pPr>
              <w:rPr>
                <w:rFonts w:ascii="Arial"/>
                <w:sz w:val="21"/>
              </w:rPr>
            </w:pPr>
          </w:p>
        </w:tc>
      </w:tr>
    </w:tbl>
    <w:p w14:paraId="781A182C">
      <w:pPr>
        <w:pStyle w:val="2"/>
        <w:spacing w:line="14" w:lineRule="auto"/>
        <w:rPr>
          <w:sz w:val="2"/>
        </w:rPr>
      </w:pPr>
    </w:p>
    <w:p w14:paraId="76A2D1AC">
      <w:pPr>
        <w:pStyle w:val="2"/>
        <w:spacing w:line="14" w:lineRule="auto"/>
        <w:rPr>
          <w:sz w:val="2"/>
        </w:rPr>
      </w:pPr>
      <w:r>
        <w:rPr>
          <w:sz w:val="2"/>
          <w:szCs w:val="2"/>
        </w:rPr>
        <w:br w:type="column"/>
      </w:r>
    </w:p>
    <w:tbl>
      <w:tblPr>
        <w:tblStyle w:val="5"/>
        <w:tblW w:w="413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54"/>
        <w:gridCol w:w="2644"/>
        <w:gridCol w:w="229"/>
        <w:gridCol w:w="229"/>
        <w:gridCol w:w="230"/>
        <w:gridCol w:w="244"/>
      </w:tblGrid>
      <w:tr w14:paraId="164197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9" w:hRule="atLeast"/>
        </w:trPr>
        <w:tc>
          <w:tcPr>
            <w:tcW w:w="554" w:type="dxa"/>
            <w:vMerge w:val="restart"/>
            <w:tcBorders>
              <w:top w:val="single" w:color="000000" w:sz="2" w:space="0"/>
              <w:bottom w:val="nil"/>
            </w:tcBorders>
            <w:vAlign w:val="top"/>
          </w:tcPr>
          <w:p w14:paraId="09667E95">
            <w:pPr>
              <w:pStyle w:val="6"/>
              <w:spacing w:before="206" w:line="231" w:lineRule="auto"/>
              <w:ind w:left="97" w:right="113"/>
            </w:pPr>
            <w:r>
              <w:rPr>
                <w:b/>
                <w:bCs/>
                <w:spacing w:val="-7"/>
              </w:rPr>
              <w:t>知识</w:t>
            </w:r>
            <w:r>
              <w:t xml:space="preserve"> </w:t>
            </w:r>
            <w:r>
              <w:rPr>
                <w:b/>
                <w:bCs/>
                <w:spacing w:val="-6"/>
              </w:rPr>
              <w:t>要点</w:t>
            </w:r>
          </w:p>
        </w:tc>
        <w:tc>
          <w:tcPr>
            <w:tcW w:w="2644" w:type="dxa"/>
            <w:vMerge w:val="restart"/>
            <w:tcBorders>
              <w:top w:val="single" w:color="000000" w:sz="2" w:space="0"/>
              <w:bottom w:val="nil"/>
            </w:tcBorders>
            <w:vAlign w:val="top"/>
          </w:tcPr>
          <w:p w14:paraId="238D2024">
            <w:pPr>
              <w:spacing w:line="257" w:lineRule="auto"/>
              <w:rPr>
                <w:rFonts w:ascii="Arial"/>
                <w:sz w:val="21"/>
              </w:rPr>
            </w:pPr>
          </w:p>
          <w:p w14:paraId="023C3F8B">
            <w:pPr>
              <w:pStyle w:val="6"/>
              <w:spacing w:before="55" w:line="219" w:lineRule="auto"/>
              <w:ind w:left="993"/>
            </w:pPr>
            <w:r>
              <w:rPr>
                <w:b/>
                <w:bCs/>
                <w:spacing w:val="5"/>
              </w:rPr>
              <w:t>考试条目</w:t>
            </w:r>
          </w:p>
        </w:tc>
        <w:tc>
          <w:tcPr>
            <w:tcW w:w="932" w:type="dxa"/>
            <w:gridSpan w:val="4"/>
            <w:tcBorders>
              <w:top w:val="single" w:color="000000" w:sz="2" w:space="0"/>
              <w:bottom w:val="single" w:color="000000" w:sz="2" w:space="0"/>
            </w:tcBorders>
            <w:vAlign w:val="top"/>
          </w:tcPr>
          <w:p w14:paraId="1A851054">
            <w:pPr>
              <w:pStyle w:val="6"/>
              <w:spacing w:before="114" w:line="219" w:lineRule="auto"/>
              <w:ind w:left="119"/>
            </w:pPr>
            <w:r>
              <w:rPr>
                <w:b/>
                <w:bCs/>
                <w:spacing w:val="-4"/>
              </w:rPr>
              <w:t>考试水平</w:t>
            </w:r>
          </w:p>
        </w:tc>
      </w:tr>
      <w:tr w14:paraId="5B9E42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4" w:hRule="atLeast"/>
        </w:trPr>
        <w:tc>
          <w:tcPr>
            <w:tcW w:w="554" w:type="dxa"/>
            <w:vMerge w:val="continue"/>
            <w:tcBorders>
              <w:top w:val="nil"/>
              <w:bottom w:val="single" w:color="000000" w:sz="2" w:space="0"/>
            </w:tcBorders>
            <w:vAlign w:val="top"/>
          </w:tcPr>
          <w:p w14:paraId="5250618E">
            <w:pPr>
              <w:rPr>
                <w:rFonts w:ascii="Arial"/>
                <w:sz w:val="21"/>
              </w:rPr>
            </w:pPr>
          </w:p>
        </w:tc>
        <w:tc>
          <w:tcPr>
            <w:tcW w:w="2644" w:type="dxa"/>
            <w:vMerge w:val="continue"/>
            <w:tcBorders>
              <w:top w:val="nil"/>
              <w:bottom w:val="single" w:color="000000" w:sz="2" w:space="0"/>
            </w:tcBorders>
            <w:vAlign w:val="top"/>
          </w:tcPr>
          <w:p w14:paraId="01BE18E3">
            <w:pPr>
              <w:rPr>
                <w:rFonts w:ascii="Arial"/>
                <w:sz w:val="21"/>
              </w:rPr>
            </w:pPr>
          </w:p>
        </w:tc>
        <w:tc>
          <w:tcPr>
            <w:tcW w:w="229" w:type="dxa"/>
            <w:tcBorders>
              <w:top w:val="single" w:color="000000" w:sz="2" w:space="0"/>
              <w:bottom w:val="single" w:color="000000" w:sz="2" w:space="0"/>
            </w:tcBorders>
            <w:vAlign w:val="top"/>
          </w:tcPr>
          <w:p w14:paraId="20DD99E6">
            <w:pPr>
              <w:pStyle w:val="6"/>
              <w:spacing w:before="155" w:line="184" w:lineRule="auto"/>
              <w:ind w:left="47"/>
            </w:pPr>
            <w:r>
              <w:t>A</w:t>
            </w:r>
          </w:p>
        </w:tc>
        <w:tc>
          <w:tcPr>
            <w:tcW w:w="229" w:type="dxa"/>
            <w:tcBorders>
              <w:top w:val="single" w:color="000000" w:sz="2" w:space="0"/>
              <w:bottom w:val="single" w:color="000000" w:sz="2" w:space="0"/>
            </w:tcBorders>
            <w:vAlign w:val="top"/>
          </w:tcPr>
          <w:p w14:paraId="3C10A8AD">
            <w:pPr>
              <w:pStyle w:val="6"/>
              <w:spacing w:before="157" w:line="182" w:lineRule="auto"/>
              <w:ind w:left="38"/>
            </w:pPr>
            <w:r>
              <w:t>B</w:t>
            </w:r>
          </w:p>
        </w:tc>
        <w:tc>
          <w:tcPr>
            <w:tcW w:w="230" w:type="dxa"/>
            <w:tcBorders>
              <w:top w:val="single" w:color="000000" w:sz="2" w:space="0"/>
              <w:bottom w:val="single" w:color="000000" w:sz="2" w:space="0"/>
            </w:tcBorders>
            <w:vAlign w:val="top"/>
          </w:tcPr>
          <w:p w14:paraId="47A7A216">
            <w:pPr>
              <w:pStyle w:val="6"/>
              <w:spacing w:before="156" w:line="183" w:lineRule="auto"/>
              <w:ind w:left="19"/>
            </w:pPr>
            <w:r>
              <w:t>C</w:t>
            </w:r>
          </w:p>
        </w:tc>
        <w:tc>
          <w:tcPr>
            <w:tcW w:w="244" w:type="dxa"/>
            <w:tcBorders>
              <w:top w:val="single" w:color="000000" w:sz="2" w:space="0"/>
              <w:bottom w:val="single" w:color="000000" w:sz="2" w:space="0"/>
            </w:tcBorders>
            <w:vAlign w:val="top"/>
          </w:tcPr>
          <w:p w14:paraId="76FDECF5">
            <w:pPr>
              <w:pStyle w:val="6"/>
              <w:spacing w:before="157" w:line="182" w:lineRule="auto"/>
              <w:ind w:left="39"/>
            </w:pPr>
            <w:r>
              <w:t>D</w:t>
            </w:r>
          </w:p>
        </w:tc>
      </w:tr>
      <w:tr w14:paraId="672EF3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062" w:hRule="atLeast"/>
        </w:trPr>
        <w:tc>
          <w:tcPr>
            <w:tcW w:w="554" w:type="dxa"/>
            <w:tcBorders>
              <w:top w:val="single" w:color="000000" w:sz="2" w:space="0"/>
              <w:bottom w:val="single" w:color="000000" w:sz="2" w:space="0"/>
            </w:tcBorders>
            <w:vAlign w:val="top"/>
          </w:tcPr>
          <w:p w14:paraId="29D7BC17">
            <w:pPr>
              <w:pStyle w:val="6"/>
              <w:spacing w:before="243" w:line="233" w:lineRule="auto"/>
              <w:ind w:left="94" w:right="101"/>
              <w:jc w:val="both"/>
            </w:pPr>
            <w:r>
              <w:rPr>
                <w:spacing w:val="3"/>
              </w:rPr>
              <w:t>中枢</w:t>
            </w:r>
            <w:r>
              <w:t xml:space="preserve"> </w:t>
            </w:r>
            <w:r>
              <w:rPr>
                <w:spacing w:val="-4"/>
              </w:rPr>
              <w:t>神经</w:t>
            </w:r>
            <w:r>
              <w:t xml:space="preserve"> </w:t>
            </w:r>
            <w:r>
              <w:rPr>
                <w:spacing w:val="-3"/>
              </w:rPr>
              <w:t>系统</w:t>
            </w:r>
          </w:p>
        </w:tc>
        <w:tc>
          <w:tcPr>
            <w:tcW w:w="2644" w:type="dxa"/>
            <w:tcBorders>
              <w:top w:val="single" w:color="000000" w:sz="2" w:space="0"/>
              <w:bottom w:val="single" w:color="000000" w:sz="2" w:space="0"/>
            </w:tcBorders>
            <w:vAlign w:val="top"/>
          </w:tcPr>
          <w:p w14:paraId="5F553514">
            <w:pPr>
              <w:spacing w:line="295" w:lineRule="auto"/>
              <w:rPr>
                <w:rFonts w:ascii="Arial"/>
                <w:sz w:val="21"/>
              </w:rPr>
            </w:pPr>
          </w:p>
          <w:p w14:paraId="4BE01F17">
            <w:pPr>
              <w:pStyle w:val="6"/>
              <w:spacing w:before="56" w:line="219" w:lineRule="auto"/>
              <w:ind w:left="60" w:right="1034"/>
            </w:pPr>
            <w:r>
              <w:t>1.脊髓的构造和功能</w:t>
            </w:r>
            <w:r>
              <w:rPr>
                <w:spacing w:val="7"/>
              </w:rPr>
              <w:t xml:space="preserve"> </w:t>
            </w:r>
            <w:r>
              <w:rPr>
                <w:spacing w:val="-1"/>
              </w:rPr>
              <w:t>2.脑的构造和功能</w:t>
            </w:r>
          </w:p>
        </w:tc>
        <w:tc>
          <w:tcPr>
            <w:tcW w:w="229" w:type="dxa"/>
            <w:tcBorders>
              <w:top w:val="single" w:color="000000" w:sz="2" w:space="0"/>
              <w:bottom w:val="single" w:color="000000" w:sz="2" w:space="0"/>
            </w:tcBorders>
            <w:vAlign w:val="top"/>
          </w:tcPr>
          <w:p w14:paraId="27A2BF3E">
            <w:pPr>
              <w:spacing w:line="365" w:lineRule="auto"/>
              <w:rPr>
                <w:rFonts w:ascii="Arial"/>
                <w:sz w:val="21"/>
              </w:rPr>
            </w:pPr>
          </w:p>
          <w:p w14:paraId="0067BA73">
            <w:pPr>
              <w:spacing w:line="333" w:lineRule="exact"/>
              <w:ind w:firstLine="34"/>
            </w:pPr>
            <w:r>
              <w:rPr>
                <w:position w:val="-6"/>
              </w:rPr>
              <w:drawing>
                <wp:inline distT="0" distB="0" distL="0" distR="0">
                  <wp:extent cx="97790" cy="211455"/>
                  <wp:effectExtent l="0" t="0" r="0" b="0"/>
                  <wp:docPr id="50" name="IM 50"/>
                  <wp:cNvGraphicFramePr/>
                  <a:graphic xmlns:a="http://schemas.openxmlformats.org/drawingml/2006/main">
                    <a:graphicData uri="http://schemas.openxmlformats.org/drawingml/2006/picture">
                      <pic:pic xmlns:pic="http://schemas.openxmlformats.org/drawingml/2006/picture">
                        <pic:nvPicPr>
                          <pic:cNvPr id="50" name="IM 50"/>
                          <pic:cNvPicPr/>
                        </pic:nvPicPr>
                        <pic:blipFill>
                          <a:blip r:embed="rId190"/>
                          <a:stretch>
                            <a:fillRect/>
                          </a:stretch>
                        </pic:blipFill>
                        <pic:spPr>
                          <a:xfrm>
                            <a:off x="0" y="0"/>
                            <a:ext cx="97977" cy="211591"/>
                          </a:xfrm>
                          <a:prstGeom prst="rect">
                            <a:avLst/>
                          </a:prstGeom>
                        </pic:spPr>
                      </pic:pic>
                    </a:graphicData>
                  </a:graphic>
                </wp:inline>
              </w:drawing>
            </w:r>
          </w:p>
        </w:tc>
        <w:tc>
          <w:tcPr>
            <w:tcW w:w="229" w:type="dxa"/>
            <w:tcBorders>
              <w:top w:val="single" w:color="000000" w:sz="2" w:space="0"/>
              <w:bottom w:val="single" w:color="000000" w:sz="2" w:space="0"/>
            </w:tcBorders>
            <w:vAlign w:val="top"/>
          </w:tcPr>
          <w:p w14:paraId="2C55FA86">
            <w:pPr>
              <w:rPr>
                <w:rFonts w:ascii="Arial"/>
                <w:sz w:val="21"/>
              </w:rPr>
            </w:pPr>
          </w:p>
        </w:tc>
        <w:tc>
          <w:tcPr>
            <w:tcW w:w="230" w:type="dxa"/>
            <w:tcBorders>
              <w:top w:val="single" w:color="000000" w:sz="2" w:space="0"/>
              <w:bottom w:val="single" w:color="000000" w:sz="2" w:space="0"/>
            </w:tcBorders>
            <w:vAlign w:val="top"/>
          </w:tcPr>
          <w:p w14:paraId="1A8D1B94">
            <w:pPr>
              <w:rPr>
                <w:rFonts w:ascii="Arial"/>
                <w:sz w:val="21"/>
              </w:rPr>
            </w:pPr>
          </w:p>
        </w:tc>
        <w:tc>
          <w:tcPr>
            <w:tcW w:w="244" w:type="dxa"/>
            <w:tcBorders>
              <w:top w:val="single" w:color="000000" w:sz="2" w:space="0"/>
              <w:bottom w:val="single" w:color="000000" w:sz="2" w:space="0"/>
            </w:tcBorders>
            <w:vAlign w:val="top"/>
          </w:tcPr>
          <w:p w14:paraId="52A5A2EB">
            <w:pPr>
              <w:rPr>
                <w:rFonts w:ascii="Arial"/>
                <w:sz w:val="21"/>
              </w:rPr>
            </w:pPr>
          </w:p>
        </w:tc>
      </w:tr>
      <w:tr w14:paraId="7F1BB4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98" w:hRule="atLeast"/>
        </w:trPr>
        <w:tc>
          <w:tcPr>
            <w:tcW w:w="554" w:type="dxa"/>
            <w:tcBorders>
              <w:top w:val="single" w:color="000000" w:sz="2" w:space="0"/>
              <w:bottom w:val="single" w:color="000000" w:sz="2" w:space="0"/>
            </w:tcBorders>
            <w:vAlign w:val="top"/>
          </w:tcPr>
          <w:p w14:paraId="64085208">
            <w:pPr>
              <w:pStyle w:val="6"/>
              <w:spacing w:before="256" w:line="233" w:lineRule="auto"/>
              <w:ind w:left="94" w:right="92"/>
              <w:jc w:val="both"/>
            </w:pPr>
            <w:r>
              <w:rPr>
                <w:spacing w:val="8"/>
              </w:rPr>
              <w:t>周围</w:t>
            </w:r>
            <w:r>
              <w:t xml:space="preserve"> </w:t>
            </w:r>
            <w:r>
              <w:rPr>
                <w:spacing w:val="-4"/>
              </w:rPr>
              <w:t>神经</w:t>
            </w:r>
            <w:r>
              <w:t xml:space="preserve"> </w:t>
            </w:r>
            <w:r>
              <w:rPr>
                <w:spacing w:val="-3"/>
              </w:rPr>
              <w:t>系统</w:t>
            </w:r>
          </w:p>
        </w:tc>
        <w:tc>
          <w:tcPr>
            <w:tcW w:w="2644" w:type="dxa"/>
            <w:tcBorders>
              <w:top w:val="single" w:color="000000" w:sz="2" w:space="0"/>
              <w:bottom w:val="single" w:color="000000" w:sz="2" w:space="0"/>
            </w:tcBorders>
            <w:vAlign w:val="top"/>
          </w:tcPr>
          <w:p w14:paraId="7A090176">
            <w:pPr>
              <w:spacing w:line="309" w:lineRule="auto"/>
              <w:rPr>
                <w:rFonts w:ascii="Arial"/>
                <w:sz w:val="21"/>
              </w:rPr>
            </w:pPr>
          </w:p>
          <w:p w14:paraId="6C3A67A0">
            <w:pPr>
              <w:pStyle w:val="6"/>
              <w:spacing w:before="55" w:line="236" w:lineRule="auto"/>
              <w:ind w:left="60" w:right="1205"/>
            </w:pPr>
            <w:r>
              <w:t>1.躯体神经的组成</w:t>
            </w:r>
            <w:r>
              <w:rPr>
                <w:spacing w:val="6"/>
              </w:rPr>
              <w:t xml:space="preserve"> </w:t>
            </w:r>
            <w:r>
              <w:rPr>
                <w:spacing w:val="-1"/>
              </w:rPr>
              <w:t>2.内脏神经的组成</w:t>
            </w:r>
          </w:p>
        </w:tc>
        <w:tc>
          <w:tcPr>
            <w:tcW w:w="229" w:type="dxa"/>
            <w:tcBorders>
              <w:top w:val="single" w:color="000000" w:sz="2" w:space="0"/>
              <w:bottom w:val="single" w:color="000000" w:sz="2" w:space="0"/>
            </w:tcBorders>
            <w:vAlign w:val="top"/>
          </w:tcPr>
          <w:p w14:paraId="00AE701F">
            <w:pPr>
              <w:spacing w:line="372" w:lineRule="auto"/>
              <w:rPr>
                <w:rFonts w:ascii="Arial"/>
                <w:sz w:val="21"/>
              </w:rPr>
            </w:pPr>
          </w:p>
          <w:p w14:paraId="6E4487F1">
            <w:pPr>
              <w:spacing w:line="346" w:lineRule="exact"/>
              <w:ind w:firstLine="51"/>
            </w:pPr>
            <w:r>
              <w:rPr>
                <w:position w:val="-6"/>
              </w:rPr>
              <w:drawing>
                <wp:inline distT="0" distB="0" distL="0" distR="0">
                  <wp:extent cx="81915" cy="219710"/>
                  <wp:effectExtent l="0" t="0" r="0" b="0"/>
                  <wp:docPr id="52" name="IM 52"/>
                  <wp:cNvGraphicFramePr/>
                  <a:graphic xmlns:a="http://schemas.openxmlformats.org/drawingml/2006/main">
                    <a:graphicData uri="http://schemas.openxmlformats.org/drawingml/2006/picture">
                      <pic:pic xmlns:pic="http://schemas.openxmlformats.org/drawingml/2006/picture">
                        <pic:nvPicPr>
                          <pic:cNvPr id="52" name="IM 52"/>
                          <pic:cNvPicPr/>
                        </pic:nvPicPr>
                        <pic:blipFill>
                          <a:blip r:embed="rId191"/>
                          <a:stretch>
                            <a:fillRect/>
                          </a:stretch>
                        </pic:blipFill>
                        <pic:spPr>
                          <a:xfrm>
                            <a:off x="0" y="0"/>
                            <a:ext cx="82549" cy="219729"/>
                          </a:xfrm>
                          <a:prstGeom prst="rect">
                            <a:avLst/>
                          </a:prstGeom>
                        </pic:spPr>
                      </pic:pic>
                    </a:graphicData>
                  </a:graphic>
                </wp:inline>
              </w:drawing>
            </w:r>
          </w:p>
        </w:tc>
        <w:tc>
          <w:tcPr>
            <w:tcW w:w="229" w:type="dxa"/>
            <w:tcBorders>
              <w:top w:val="single" w:color="000000" w:sz="2" w:space="0"/>
              <w:bottom w:val="single" w:color="000000" w:sz="2" w:space="0"/>
            </w:tcBorders>
            <w:vAlign w:val="top"/>
          </w:tcPr>
          <w:p w14:paraId="08AD7428">
            <w:pPr>
              <w:rPr>
                <w:rFonts w:ascii="Arial"/>
                <w:sz w:val="21"/>
              </w:rPr>
            </w:pPr>
          </w:p>
        </w:tc>
        <w:tc>
          <w:tcPr>
            <w:tcW w:w="230" w:type="dxa"/>
            <w:tcBorders>
              <w:top w:val="single" w:color="000000" w:sz="2" w:space="0"/>
              <w:bottom w:val="single" w:color="000000" w:sz="2" w:space="0"/>
            </w:tcBorders>
            <w:vAlign w:val="top"/>
          </w:tcPr>
          <w:p w14:paraId="4150DD8B">
            <w:pPr>
              <w:rPr>
                <w:rFonts w:ascii="Arial"/>
                <w:sz w:val="21"/>
              </w:rPr>
            </w:pPr>
          </w:p>
        </w:tc>
        <w:tc>
          <w:tcPr>
            <w:tcW w:w="244" w:type="dxa"/>
            <w:tcBorders>
              <w:top w:val="single" w:color="000000" w:sz="2" w:space="0"/>
              <w:bottom w:val="single" w:color="000000" w:sz="2" w:space="0"/>
            </w:tcBorders>
            <w:vAlign w:val="top"/>
          </w:tcPr>
          <w:p w14:paraId="5EE0FB62">
            <w:pPr>
              <w:rPr>
                <w:rFonts w:ascii="Arial"/>
                <w:sz w:val="21"/>
              </w:rPr>
            </w:pPr>
          </w:p>
        </w:tc>
      </w:tr>
    </w:tbl>
    <w:p w14:paraId="7C5C553F">
      <w:pPr>
        <w:spacing w:before="118" w:line="221" w:lineRule="auto"/>
        <w:ind w:left="887"/>
        <w:rPr>
          <w:rFonts w:ascii="黑体" w:hAnsi="黑体" w:eastAsia="黑体" w:cs="黑体"/>
          <w:sz w:val="20"/>
          <w:szCs w:val="20"/>
        </w:rPr>
      </w:pPr>
      <w:r>
        <w:rPr>
          <w:rFonts w:ascii="黑体" w:hAnsi="黑体" w:eastAsia="黑体" w:cs="黑体"/>
          <w:b/>
          <w:bCs/>
          <w:spacing w:val="-5"/>
          <w:sz w:val="20"/>
          <w:szCs w:val="20"/>
        </w:rPr>
        <w:t>十、内分泌系统、感觉器官</w:t>
      </w:r>
    </w:p>
    <w:p w14:paraId="4A637BDE">
      <w:pPr>
        <w:spacing w:line="161" w:lineRule="exact"/>
      </w:pPr>
    </w:p>
    <w:tbl>
      <w:tblPr>
        <w:tblStyle w:val="5"/>
        <w:tblW w:w="413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54"/>
        <w:gridCol w:w="2644"/>
        <w:gridCol w:w="229"/>
        <w:gridCol w:w="229"/>
        <w:gridCol w:w="230"/>
        <w:gridCol w:w="244"/>
      </w:tblGrid>
      <w:tr w14:paraId="0FCDDA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4" w:hRule="atLeast"/>
        </w:trPr>
        <w:tc>
          <w:tcPr>
            <w:tcW w:w="554" w:type="dxa"/>
            <w:vMerge w:val="restart"/>
            <w:tcBorders>
              <w:bottom w:val="nil"/>
            </w:tcBorders>
            <w:vAlign w:val="top"/>
          </w:tcPr>
          <w:p w14:paraId="717C50A2">
            <w:pPr>
              <w:pStyle w:val="6"/>
              <w:spacing w:before="181" w:line="235" w:lineRule="auto"/>
              <w:ind w:left="87" w:right="104"/>
              <w:rPr>
                <w:sz w:val="18"/>
                <w:szCs w:val="18"/>
              </w:rPr>
            </w:pPr>
            <w:r>
              <w:rPr>
                <w:b/>
                <w:bCs/>
                <w:spacing w:val="-8"/>
                <w:sz w:val="18"/>
                <w:szCs w:val="18"/>
              </w:rPr>
              <w:t>知识</w:t>
            </w:r>
            <w:r>
              <w:rPr>
                <w:sz w:val="18"/>
                <w:szCs w:val="18"/>
              </w:rPr>
              <w:t xml:space="preserve"> </w:t>
            </w:r>
            <w:r>
              <w:rPr>
                <w:b/>
                <w:bCs/>
                <w:spacing w:val="-6"/>
                <w:sz w:val="18"/>
                <w:szCs w:val="18"/>
              </w:rPr>
              <w:t>要点</w:t>
            </w:r>
          </w:p>
        </w:tc>
        <w:tc>
          <w:tcPr>
            <w:tcW w:w="2644" w:type="dxa"/>
            <w:vMerge w:val="restart"/>
            <w:tcBorders>
              <w:bottom w:val="nil"/>
            </w:tcBorders>
            <w:vAlign w:val="top"/>
          </w:tcPr>
          <w:p w14:paraId="2595E304">
            <w:pPr>
              <w:pStyle w:val="6"/>
              <w:spacing w:before="299" w:line="219" w:lineRule="auto"/>
              <w:ind w:left="993"/>
              <w:rPr>
                <w:sz w:val="18"/>
                <w:szCs w:val="18"/>
              </w:rPr>
            </w:pPr>
            <w:r>
              <w:rPr>
                <w:b/>
                <w:bCs/>
                <w:spacing w:val="5"/>
                <w:sz w:val="18"/>
                <w:szCs w:val="18"/>
              </w:rPr>
              <w:t>考试条目</w:t>
            </w:r>
          </w:p>
        </w:tc>
        <w:tc>
          <w:tcPr>
            <w:tcW w:w="932" w:type="dxa"/>
            <w:gridSpan w:val="4"/>
            <w:vAlign w:val="top"/>
          </w:tcPr>
          <w:p w14:paraId="5EE6C70C">
            <w:pPr>
              <w:pStyle w:val="6"/>
              <w:spacing w:before="109" w:line="219" w:lineRule="auto"/>
              <w:ind w:left="129"/>
              <w:rPr>
                <w:sz w:val="18"/>
                <w:szCs w:val="18"/>
              </w:rPr>
            </w:pPr>
            <w:r>
              <w:rPr>
                <w:b/>
                <w:bCs/>
                <w:spacing w:val="-4"/>
                <w:sz w:val="18"/>
                <w:szCs w:val="18"/>
              </w:rPr>
              <w:t>考试水平</w:t>
            </w:r>
          </w:p>
        </w:tc>
      </w:tr>
      <w:tr w14:paraId="191A21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9" w:hRule="atLeast"/>
        </w:trPr>
        <w:tc>
          <w:tcPr>
            <w:tcW w:w="554" w:type="dxa"/>
            <w:vMerge w:val="continue"/>
            <w:tcBorders>
              <w:top w:val="nil"/>
            </w:tcBorders>
            <w:vAlign w:val="top"/>
          </w:tcPr>
          <w:p w14:paraId="1E15F073">
            <w:pPr>
              <w:rPr>
                <w:rFonts w:ascii="Arial"/>
                <w:sz w:val="21"/>
              </w:rPr>
            </w:pPr>
          </w:p>
        </w:tc>
        <w:tc>
          <w:tcPr>
            <w:tcW w:w="2644" w:type="dxa"/>
            <w:vMerge w:val="continue"/>
            <w:tcBorders>
              <w:top w:val="nil"/>
            </w:tcBorders>
            <w:vAlign w:val="top"/>
          </w:tcPr>
          <w:p w14:paraId="0CAEEE24">
            <w:pPr>
              <w:rPr>
                <w:rFonts w:ascii="Arial"/>
                <w:sz w:val="21"/>
              </w:rPr>
            </w:pPr>
          </w:p>
        </w:tc>
        <w:tc>
          <w:tcPr>
            <w:tcW w:w="229" w:type="dxa"/>
            <w:vAlign w:val="top"/>
          </w:tcPr>
          <w:p w14:paraId="31E4DE43">
            <w:pPr>
              <w:pStyle w:val="6"/>
              <w:spacing w:before="143" w:line="184" w:lineRule="auto"/>
              <w:ind w:left="17"/>
              <w:rPr>
                <w:sz w:val="18"/>
                <w:szCs w:val="18"/>
              </w:rPr>
            </w:pPr>
            <w:r>
              <w:rPr>
                <w:sz w:val="18"/>
                <w:szCs w:val="18"/>
              </w:rPr>
              <w:t>A</w:t>
            </w:r>
          </w:p>
        </w:tc>
        <w:tc>
          <w:tcPr>
            <w:tcW w:w="229" w:type="dxa"/>
            <w:vAlign w:val="top"/>
          </w:tcPr>
          <w:p w14:paraId="7B9F06EF">
            <w:pPr>
              <w:pStyle w:val="6"/>
              <w:spacing w:before="145" w:line="182" w:lineRule="auto"/>
              <w:ind w:left="38"/>
              <w:rPr>
                <w:sz w:val="18"/>
                <w:szCs w:val="18"/>
              </w:rPr>
            </w:pPr>
            <w:r>
              <w:rPr>
                <w:sz w:val="18"/>
                <w:szCs w:val="18"/>
              </w:rPr>
              <w:t>B</w:t>
            </w:r>
          </w:p>
        </w:tc>
        <w:tc>
          <w:tcPr>
            <w:tcW w:w="230" w:type="dxa"/>
            <w:vAlign w:val="top"/>
          </w:tcPr>
          <w:p w14:paraId="55113C3E">
            <w:pPr>
              <w:pStyle w:val="6"/>
              <w:spacing w:before="144" w:line="183" w:lineRule="auto"/>
              <w:ind w:left="48"/>
              <w:rPr>
                <w:sz w:val="18"/>
                <w:szCs w:val="18"/>
              </w:rPr>
            </w:pPr>
            <w:r>
              <w:rPr>
                <w:sz w:val="18"/>
                <w:szCs w:val="18"/>
              </w:rPr>
              <w:t>C</w:t>
            </w:r>
          </w:p>
        </w:tc>
        <w:tc>
          <w:tcPr>
            <w:tcW w:w="244" w:type="dxa"/>
            <w:vAlign w:val="top"/>
          </w:tcPr>
          <w:p w14:paraId="00F0D63E">
            <w:pPr>
              <w:pStyle w:val="6"/>
              <w:spacing w:before="145" w:line="182" w:lineRule="auto"/>
              <w:ind w:left="29"/>
              <w:rPr>
                <w:sz w:val="18"/>
                <w:szCs w:val="18"/>
              </w:rPr>
            </w:pPr>
            <w:r>
              <w:rPr>
                <w:sz w:val="18"/>
                <w:szCs w:val="18"/>
              </w:rPr>
              <w:t>D</w:t>
            </w:r>
          </w:p>
        </w:tc>
      </w:tr>
      <w:tr w14:paraId="2C470D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724" w:hRule="atLeast"/>
        </w:trPr>
        <w:tc>
          <w:tcPr>
            <w:tcW w:w="554" w:type="dxa"/>
            <w:vAlign w:val="top"/>
          </w:tcPr>
          <w:p w14:paraId="63938293">
            <w:pPr>
              <w:spacing w:line="254" w:lineRule="auto"/>
              <w:rPr>
                <w:rFonts w:ascii="Arial"/>
                <w:sz w:val="21"/>
              </w:rPr>
            </w:pPr>
          </w:p>
          <w:p w14:paraId="414F4F1C">
            <w:pPr>
              <w:spacing w:line="254" w:lineRule="auto"/>
              <w:rPr>
                <w:rFonts w:ascii="Arial"/>
                <w:sz w:val="21"/>
              </w:rPr>
            </w:pPr>
          </w:p>
          <w:p w14:paraId="65F3E132">
            <w:pPr>
              <w:pStyle w:val="6"/>
              <w:spacing w:before="58" w:line="219" w:lineRule="auto"/>
              <w:ind w:left="85"/>
              <w:rPr>
                <w:sz w:val="18"/>
                <w:szCs w:val="18"/>
              </w:rPr>
            </w:pPr>
            <w:r>
              <w:rPr>
                <w:spacing w:val="3"/>
                <w:sz w:val="18"/>
                <w:szCs w:val="18"/>
              </w:rPr>
              <w:t>内分</w:t>
            </w:r>
          </w:p>
          <w:p w14:paraId="392F7C9A">
            <w:pPr>
              <w:pStyle w:val="6"/>
              <w:spacing w:before="8" w:line="221" w:lineRule="auto"/>
              <w:ind w:left="85"/>
              <w:rPr>
                <w:sz w:val="18"/>
                <w:szCs w:val="18"/>
              </w:rPr>
            </w:pPr>
            <w:r>
              <w:rPr>
                <w:spacing w:val="8"/>
                <w:sz w:val="18"/>
                <w:szCs w:val="18"/>
              </w:rPr>
              <w:t>泌系</w:t>
            </w:r>
          </w:p>
          <w:p w14:paraId="34C54C0E">
            <w:pPr>
              <w:pStyle w:val="6"/>
              <w:spacing w:before="3" w:line="221" w:lineRule="auto"/>
              <w:ind w:left="175"/>
              <w:rPr>
                <w:sz w:val="18"/>
                <w:szCs w:val="18"/>
              </w:rPr>
            </w:pPr>
            <w:r>
              <w:rPr>
                <w:sz w:val="18"/>
                <w:szCs w:val="18"/>
              </w:rPr>
              <w:t>统</w:t>
            </w:r>
          </w:p>
        </w:tc>
        <w:tc>
          <w:tcPr>
            <w:tcW w:w="2644" w:type="dxa"/>
            <w:vAlign w:val="top"/>
          </w:tcPr>
          <w:p w14:paraId="1FC97115">
            <w:pPr>
              <w:spacing w:line="387" w:lineRule="auto"/>
              <w:rPr>
                <w:rFonts w:ascii="Arial"/>
                <w:sz w:val="21"/>
              </w:rPr>
            </w:pPr>
          </w:p>
          <w:p w14:paraId="743EA46F">
            <w:pPr>
              <w:pStyle w:val="6"/>
              <w:spacing w:before="59" w:line="226" w:lineRule="auto"/>
              <w:ind w:left="71" w:right="209"/>
              <w:rPr>
                <w:sz w:val="18"/>
                <w:szCs w:val="18"/>
              </w:rPr>
            </w:pPr>
            <w:r>
              <w:rPr>
                <w:sz w:val="18"/>
                <w:szCs w:val="18"/>
              </w:rPr>
              <w:t>1.内分泌系统的组成、激素的</w:t>
            </w:r>
            <w:r>
              <w:rPr>
                <w:spacing w:val="12"/>
                <w:sz w:val="18"/>
                <w:szCs w:val="18"/>
              </w:rPr>
              <w:t xml:space="preserve"> </w:t>
            </w:r>
            <w:r>
              <w:rPr>
                <w:spacing w:val="-1"/>
                <w:sz w:val="18"/>
                <w:szCs w:val="18"/>
              </w:rPr>
              <w:t>概念、特点及分类</w:t>
            </w:r>
          </w:p>
          <w:p w14:paraId="50DD898B">
            <w:pPr>
              <w:pStyle w:val="6"/>
              <w:spacing w:before="1" w:line="232" w:lineRule="auto"/>
              <w:ind w:left="71" w:right="232"/>
              <w:rPr>
                <w:sz w:val="18"/>
                <w:szCs w:val="18"/>
              </w:rPr>
            </w:pPr>
            <w:r>
              <w:rPr>
                <w:spacing w:val="-1"/>
                <w:sz w:val="18"/>
                <w:szCs w:val="18"/>
              </w:rPr>
              <w:t>2.脑垂体、甲状腺、肾上腺分</w:t>
            </w:r>
            <w:r>
              <w:rPr>
                <w:spacing w:val="3"/>
                <w:sz w:val="18"/>
                <w:szCs w:val="18"/>
              </w:rPr>
              <w:t xml:space="preserve"> </w:t>
            </w:r>
            <w:r>
              <w:rPr>
                <w:spacing w:val="-2"/>
                <w:sz w:val="18"/>
                <w:szCs w:val="18"/>
              </w:rPr>
              <w:t>泌的激素及功能</w:t>
            </w:r>
          </w:p>
        </w:tc>
        <w:tc>
          <w:tcPr>
            <w:tcW w:w="229" w:type="dxa"/>
            <w:vAlign w:val="top"/>
          </w:tcPr>
          <w:p w14:paraId="56DA360F">
            <w:pPr>
              <w:spacing w:line="417" w:lineRule="auto"/>
              <w:rPr>
                <w:rFonts w:ascii="Arial"/>
                <w:sz w:val="21"/>
              </w:rPr>
            </w:pPr>
          </w:p>
          <w:p w14:paraId="6CD059BE">
            <w:pPr>
              <w:pStyle w:val="6"/>
              <w:spacing w:before="39" w:line="238" w:lineRule="auto"/>
              <w:ind w:left="17"/>
              <w:rPr>
                <w:sz w:val="12"/>
                <w:szCs w:val="12"/>
              </w:rPr>
            </w:pPr>
            <w:r>
              <w:rPr>
                <w:sz w:val="12"/>
                <w:szCs w:val="12"/>
              </w:rPr>
              <w:t>√</w:t>
            </w:r>
          </w:p>
          <w:p w14:paraId="2F04B290">
            <w:pPr>
              <w:pStyle w:val="6"/>
              <w:spacing w:before="265" w:line="238" w:lineRule="auto"/>
              <w:ind w:left="17"/>
              <w:rPr>
                <w:sz w:val="12"/>
                <w:szCs w:val="12"/>
              </w:rPr>
            </w:pPr>
            <w:r>
              <w:rPr>
                <w:sz w:val="12"/>
                <w:szCs w:val="12"/>
              </w:rPr>
              <w:t>√</w:t>
            </w:r>
          </w:p>
        </w:tc>
        <w:tc>
          <w:tcPr>
            <w:tcW w:w="229" w:type="dxa"/>
            <w:vAlign w:val="top"/>
          </w:tcPr>
          <w:p w14:paraId="69A4E4EE">
            <w:pPr>
              <w:rPr>
                <w:rFonts w:ascii="Arial"/>
                <w:sz w:val="21"/>
              </w:rPr>
            </w:pPr>
          </w:p>
        </w:tc>
        <w:tc>
          <w:tcPr>
            <w:tcW w:w="230" w:type="dxa"/>
            <w:vAlign w:val="top"/>
          </w:tcPr>
          <w:p w14:paraId="4DD58B53">
            <w:pPr>
              <w:rPr>
                <w:rFonts w:ascii="Arial"/>
                <w:sz w:val="21"/>
              </w:rPr>
            </w:pPr>
          </w:p>
        </w:tc>
        <w:tc>
          <w:tcPr>
            <w:tcW w:w="244" w:type="dxa"/>
            <w:vAlign w:val="top"/>
          </w:tcPr>
          <w:p w14:paraId="79DE7838">
            <w:pPr>
              <w:rPr>
                <w:rFonts w:ascii="Arial"/>
                <w:sz w:val="21"/>
              </w:rPr>
            </w:pPr>
          </w:p>
        </w:tc>
      </w:tr>
      <w:tr w14:paraId="03ACA7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3" w:hRule="atLeast"/>
        </w:trPr>
        <w:tc>
          <w:tcPr>
            <w:tcW w:w="554" w:type="dxa"/>
            <w:vAlign w:val="top"/>
          </w:tcPr>
          <w:p w14:paraId="61B10E04">
            <w:pPr>
              <w:pStyle w:val="6"/>
              <w:spacing w:before="106" w:line="218" w:lineRule="auto"/>
              <w:ind w:left="85" w:right="105"/>
              <w:rPr>
                <w:sz w:val="18"/>
                <w:szCs w:val="18"/>
              </w:rPr>
            </w:pPr>
            <w:r>
              <w:rPr>
                <w:spacing w:val="-4"/>
                <w:sz w:val="18"/>
                <w:szCs w:val="18"/>
              </w:rPr>
              <w:t>感觉</w:t>
            </w:r>
            <w:r>
              <w:rPr>
                <w:sz w:val="18"/>
                <w:szCs w:val="18"/>
              </w:rPr>
              <w:t xml:space="preserve"> </w:t>
            </w:r>
            <w:r>
              <w:rPr>
                <w:spacing w:val="-4"/>
                <w:sz w:val="18"/>
                <w:szCs w:val="18"/>
              </w:rPr>
              <w:t>器官</w:t>
            </w:r>
          </w:p>
        </w:tc>
        <w:tc>
          <w:tcPr>
            <w:tcW w:w="2644" w:type="dxa"/>
            <w:vAlign w:val="top"/>
          </w:tcPr>
          <w:p w14:paraId="57310767">
            <w:pPr>
              <w:pStyle w:val="6"/>
              <w:spacing w:before="205" w:line="220" w:lineRule="auto"/>
              <w:ind w:left="71"/>
              <w:rPr>
                <w:sz w:val="18"/>
                <w:szCs w:val="18"/>
              </w:rPr>
            </w:pPr>
            <w:r>
              <w:rPr>
                <w:spacing w:val="-1"/>
                <w:sz w:val="18"/>
                <w:szCs w:val="18"/>
              </w:rPr>
              <w:t>视觉器官眼的构造</w:t>
            </w:r>
          </w:p>
        </w:tc>
        <w:tc>
          <w:tcPr>
            <w:tcW w:w="229" w:type="dxa"/>
            <w:vAlign w:val="top"/>
          </w:tcPr>
          <w:p w14:paraId="1149F45D">
            <w:pPr>
              <w:rPr>
                <w:rFonts w:ascii="Arial"/>
                <w:sz w:val="21"/>
              </w:rPr>
            </w:pPr>
          </w:p>
        </w:tc>
        <w:tc>
          <w:tcPr>
            <w:tcW w:w="229" w:type="dxa"/>
            <w:vAlign w:val="top"/>
          </w:tcPr>
          <w:p w14:paraId="04FC1E6D">
            <w:pPr>
              <w:pStyle w:val="6"/>
              <w:spacing w:before="245" w:line="238" w:lineRule="auto"/>
              <w:ind w:left="18"/>
              <w:rPr>
                <w:sz w:val="12"/>
                <w:szCs w:val="12"/>
              </w:rPr>
            </w:pPr>
            <w:r>
              <w:rPr>
                <w:sz w:val="12"/>
                <w:szCs w:val="12"/>
              </w:rPr>
              <w:t>√</w:t>
            </w:r>
          </w:p>
        </w:tc>
        <w:tc>
          <w:tcPr>
            <w:tcW w:w="230" w:type="dxa"/>
            <w:vAlign w:val="top"/>
          </w:tcPr>
          <w:p w14:paraId="48C5ABD5">
            <w:pPr>
              <w:rPr>
                <w:rFonts w:ascii="Arial"/>
                <w:sz w:val="21"/>
              </w:rPr>
            </w:pPr>
          </w:p>
        </w:tc>
        <w:tc>
          <w:tcPr>
            <w:tcW w:w="244" w:type="dxa"/>
            <w:vAlign w:val="top"/>
          </w:tcPr>
          <w:p w14:paraId="0F9A97CB">
            <w:pPr>
              <w:rPr>
                <w:rFonts w:ascii="Arial"/>
                <w:sz w:val="21"/>
              </w:rPr>
            </w:pPr>
          </w:p>
        </w:tc>
      </w:tr>
    </w:tbl>
    <w:p w14:paraId="2A001566">
      <w:pPr>
        <w:spacing w:before="128" w:line="221" w:lineRule="auto"/>
        <w:ind w:left="867"/>
        <w:rPr>
          <w:rFonts w:ascii="黑体" w:hAnsi="黑体" w:eastAsia="黑体" w:cs="黑体"/>
          <w:sz w:val="20"/>
          <w:szCs w:val="20"/>
        </w:rPr>
      </w:pPr>
      <w:r>
        <w:rPr>
          <w:rFonts w:ascii="黑体" w:hAnsi="黑体" w:eastAsia="黑体" w:cs="黑体"/>
          <w:b/>
          <w:bCs/>
          <w:spacing w:val="-5"/>
          <w:sz w:val="20"/>
          <w:szCs w:val="20"/>
        </w:rPr>
        <w:t>十一、禽类的解剖生理特征</w:t>
      </w:r>
    </w:p>
    <w:p w14:paraId="47396E2C">
      <w:pPr>
        <w:spacing w:line="172" w:lineRule="exact"/>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54"/>
        <w:gridCol w:w="2634"/>
        <w:gridCol w:w="229"/>
        <w:gridCol w:w="229"/>
        <w:gridCol w:w="239"/>
        <w:gridCol w:w="234"/>
      </w:tblGrid>
      <w:tr w14:paraId="5A08D7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4" w:hRule="atLeast"/>
        </w:trPr>
        <w:tc>
          <w:tcPr>
            <w:tcW w:w="554" w:type="dxa"/>
            <w:vMerge w:val="restart"/>
            <w:tcBorders>
              <w:bottom w:val="nil"/>
            </w:tcBorders>
            <w:vAlign w:val="top"/>
          </w:tcPr>
          <w:p w14:paraId="68258217">
            <w:pPr>
              <w:pStyle w:val="6"/>
              <w:spacing w:before="181" w:line="231" w:lineRule="auto"/>
              <w:ind w:left="97" w:right="113"/>
            </w:pPr>
            <w:r>
              <w:rPr>
                <w:b/>
                <w:bCs/>
                <w:spacing w:val="-7"/>
              </w:rPr>
              <w:t>知识</w:t>
            </w:r>
            <w:r>
              <w:t xml:space="preserve"> </w:t>
            </w:r>
            <w:r>
              <w:rPr>
                <w:b/>
                <w:bCs/>
                <w:spacing w:val="-6"/>
              </w:rPr>
              <w:t>要点</w:t>
            </w:r>
          </w:p>
        </w:tc>
        <w:tc>
          <w:tcPr>
            <w:tcW w:w="2634" w:type="dxa"/>
            <w:vMerge w:val="restart"/>
            <w:tcBorders>
              <w:bottom w:val="nil"/>
            </w:tcBorders>
            <w:vAlign w:val="top"/>
          </w:tcPr>
          <w:p w14:paraId="472AD007">
            <w:pPr>
              <w:spacing w:line="242" w:lineRule="auto"/>
              <w:rPr>
                <w:rFonts w:ascii="Arial"/>
                <w:sz w:val="21"/>
              </w:rPr>
            </w:pPr>
          </w:p>
          <w:p w14:paraId="5CFCC386">
            <w:pPr>
              <w:pStyle w:val="6"/>
              <w:spacing w:before="56" w:line="219" w:lineRule="auto"/>
              <w:ind w:left="993"/>
            </w:pPr>
            <w:r>
              <w:rPr>
                <w:b/>
                <w:bCs/>
                <w:spacing w:val="5"/>
              </w:rPr>
              <w:t>考试条目</w:t>
            </w:r>
          </w:p>
        </w:tc>
        <w:tc>
          <w:tcPr>
            <w:tcW w:w="931" w:type="dxa"/>
            <w:gridSpan w:val="4"/>
            <w:vAlign w:val="top"/>
          </w:tcPr>
          <w:p w14:paraId="3C3D55FF">
            <w:pPr>
              <w:pStyle w:val="6"/>
              <w:spacing w:before="109" w:line="219" w:lineRule="auto"/>
              <w:ind w:left="129"/>
            </w:pPr>
            <w:r>
              <w:rPr>
                <w:b/>
                <w:bCs/>
                <w:spacing w:val="-4"/>
              </w:rPr>
              <w:t>考试水平</w:t>
            </w:r>
          </w:p>
        </w:tc>
      </w:tr>
      <w:tr w14:paraId="57764E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9" w:hRule="atLeast"/>
        </w:trPr>
        <w:tc>
          <w:tcPr>
            <w:tcW w:w="554" w:type="dxa"/>
            <w:vMerge w:val="continue"/>
            <w:tcBorders>
              <w:top w:val="nil"/>
            </w:tcBorders>
            <w:vAlign w:val="top"/>
          </w:tcPr>
          <w:p w14:paraId="2DF1F65C">
            <w:pPr>
              <w:rPr>
                <w:rFonts w:ascii="Arial"/>
                <w:sz w:val="21"/>
              </w:rPr>
            </w:pPr>
          </w:p>
        </w:tc>
        <w:tc>
          <w:tcPr>
            <w:tcW w:w="2634" w:type="dxa"/>
            <w:vMerge w:val="continue"/>
            <w:tcBorders>
              <w:top w:val="nil"/>
            </w:tcBorders>
            <w:vAlign w:val="top"/>
          </w:tcPr>
          <w:p w14:paraId="540851B7">
            <w:pPr>
              <w:rPr>
                <w:rFonts w:ascii="Arial"/>
                <w:sz w:val="21"/>
              </w:rPr>
            </w:pPr>
          </w:p>
        </w:tc>
        <w:tc>
          <w:tcPr>
            <w:tcW w:w="229" w:type="dxa"/>
            <w:vAlign w:val="top"/>
          </w:tcPr>
          <w:p w14:paraId="346CDD66">
            <w:pPr>
              <w:pStyle w:val="6"/>
              <w:spacing w:before="150" w:line="184" w:lineRule="auto"/>
              <w:ind w:left="47"/>
            </w:pPr>
            <w:r>
              <w:t>A</w:t>
            </w:r>
          </w:p>
        </w:tc>
        <w:tc>
          <w:tcPr>
            <w:tcW w:w="229" w:type="dxa"/>
            <w:vAlign w:val="top"/>
          </w:tcPr>
          <w:p w14:paraId="66C036CF">
            <w:pPr>
              <w:pStyle w:val="6"/>
              <w:spacing w:before="152" w:line="182" w:lineRule="auto"/>
              <w:jc w:val="right"/>
            </w:pPr>
            <w:r>
              <w:rPr>
                <w:spacing w:val="-5"/>
              </w:rPr>
              <w:t>B</w:t>
            </w:r>
          </w:p>
        </w:tc>
        <w:tc>
          <w:tcPr>
            <w:tcW w:w="239" w:type="dxa"/>
            <w:vAlign w:val="top"/>
          </w:tcPr>
          <w:p w14:paraId="4D5808E7">
            <w:pPr>
              <w:pStyle w:val="6"/>
              <w:spacing w:before="151" w:line="183" w:lineRule="auto"/>
              <w:ind w:left="29"/>
            </w:pPr>
            <w:r>
              <w:t>C</w:t>
            </w:r>
          </w:p>
        </w:tc>
        <w:tc>
          <w:tcPr>
            <w:tcW w:w="234" w:type="dxa"/>
            <w:vAlign w:val="top"/>
          </w:tcPr>
          <w:p w14:paraId="7E6D19A8">
            <w:pPr>
              <w:pStyle w:val="6"/>
              <w:spacing w:before="152" w:line="182" w:lineRule="auto"/>
              <w:ind w:left="50"/>
            </w:pPr>
            <w:r>
              <w:t>D</w:t>
            </w:r>
          </w:p>
        </w:tc>
      </w:tr>
      <w:tr w14:paraId="2CF88C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88" w:hRule="atLeast"/>
        </w:trPr>
        <w:tc>
          <w:tcPr>
            <w:tcW w:w="554" w:type="dxa"/>
            <w:vAlign w:val="top"/>
          </w:tcPr>
          <w:p w14:paraId="7EB43C5A">
            <w:pPr>
              <w:pStyle w:val="6"/>
              <w:spacing w:before="19" w:line="219" w:lineRule="auto"/>
              <w:ind w:left="94"/>
            </w:pPr>
            <w:r>
              <w:rPr>
                <w:spacing w:val="-2"/>
              </w:rPr>
              <w:t>被皮</w:t>
            </w:r>
          </w:p>
          <w:p w14:paraId="54B74B12">
            <w:pPr>
              <w:pStyle w:val="6"/>
              <w:spacing w:before="39" w:line="221" w:lineRule="auto"/>
              <w:ind w:left="94"/>
            </w:pPr>
            <w:r>
              <w:rPr>
                <w:spacing w:val="-3"/>
              </w:rPr>
              <w:t>系统</w:t>
            </w:r>
          </w:p>
          <w:p w14:paraId="0A93D077">
            <w:pPr>
              <w:pStyle w:val="6"/>
              <w:spacing w:before="18" w:line="222" w:lineRule="auto"/>
              <w:ind w:left="94"/>
            </w:pPr>
            <w:r>
              <w:rPr>
                <w:spacing w:val="-2"/>
              </w:rPr>
              <w:t>和运</w:t>
            </w:r>
          </w:p>
          <w:p w14:paraId="687FFC36">
            <w:pPr>
              <w:pStyle w:val="6"/>
              <w:spacing w:before="13" w:line="207" w:lineRule="auto"/>
              <w:ind w:left="94"/>
            </w:pPr>
            <w:r>
              <w:rPr>
                <w:spacing w:val="8"/>
              </w:rPr>
              <w:t>动系</w:t>
            </w:r>
          </w:p>
          <w:p w14:paraId="514CE4C6">
            <w:pPr>
              <w:pStyle w:val="6"/>
              <w:spacing w:line="203" w:lineRule="auto"/>
              <w:ind w:left="185"/>
            </w:pPr>
            <w:r>
              <w:t>统</w:t>
            </w:r>
          </w:p>
        </w:tc>
        <w:tc>
          <w:tcPr>
            <w:tcW w:w="2634" w:type="dxa"/>
            <w:vAlign w:val="top"/>
          </w:tcPr>
          <w:p w14:paraId="1EE02774">
            <w:pPr>
              <w:spacing w:line="311" w:lineRule="auto"/>
              <w:rPr>
                <w:rFonts w:ascii="Arial"/>
                <w:sz w:val="21"/>
              </w:rPr>
            </w:pPr>
          </w:p>
          <w:p w14:paraId="582E519E">
            <w:pPr>
              <w:pStyle w:val="6"/>
              <w:spacing w:before="56" w:line="229" w:lineRule="auto"/>
              <w:ind w:left="71" w:right="667"/>
            </w:pPr>
            <w:r>
              <w:rPr>
                <w:spacing w:val="1"/>
              </w:rPr>
              <w:t>1.被皮系统的组成及特点</w:t>
            </w:r>
            <w:r>
              <w:rPr>
                <w:spacing w:val="2"/>
              </w:rPr>
              <w:t xml:space="preserve"> </w:t>
            </w:r>
            <w:r>
              <w:rPr>
                <w:spacing w:val="1"/>
              </w:rPr>
              <w:t>2.运动系统的组成及特点</w:t>
            </w:r>
          </w:p>
        </w:tc>
        <w:tc>
          <w:tcPr>
            <w:tcW w:w="229" w:type="dxa"/>
            <w:vAlign w:val="top"/>
          </w:tcPr>
          <w:p w14:paraId="18FDC2F3">
            <w:pPr>
              <w:rPr>
                <w:rFonts w:ascii="Arial"/>
                <w:sz w:val="21"/>
              </w:rPr>
            </w:pPr>
          </w:p>
        </w:tc>
        <w:tc>
          <w:tcPr>
            <w:tcW w:w="229" w:type="dxa"/>
            <w:vAlign w:val="top"/>
          </w:tcPr>
          <w:p w14:paraId="4085B01C">
            <w:pPr>
              <w:spacing w:line="398" w:lineRule="auto"/>
              <w:rPr>
                <w:rFonts w:ascii="Arial"/>
                <w:sz w:val="21"/>
              </w:rPr>
            </w:pPr>
          </w:p>
          <w:p w14:paraId="7BA1CAA7">
            <w:pPr>
              <w:spacing w:line="315" w:lineRule="exact"/>
              <w:ind w:firstLine="35"/>
            </w:pPr>
            <w:r>
              <w:rPr>
                <w:position w:val="-6"/>
              </w:rPr>
              <w:drawing>
                <wp:inline distT="0" distB="0" distL="0" distR="0">
                  <wp:extent cx="97790" cy="200025"/>
                  <wp:effectExtent l="0" t="0" r="0" b="0"/>
                  <wp:docPr id="54" name="IM 54"/>
                  <wp:cNvGraphicFramePr/>
                  <a:graphic xmlns:a="http://schemas.openxmlformats.org/drawingml/2006/main">
                    <a:graphicData uri="http://schemas.openxmlformats.org/drawingml/2006/picture">
                      <pic:pic xmlns:pic="http://schemas.openxmlformats.org/drawingml/2006/picture">
                        <pic:nvPicPr>
                          <pic:cNvPr id="54" name="IM 54"/>
                          <pic:cNvPicPr/>
                        </pic:nvPicPr>
                        <pic:blipFill>
                          <a:blip r:embed="rId192"/>
                          <a:stretch>
                            <a:fillRect/>
                          </a:stretch>
                        </pic:blipFill>
                        <pic:spPr>
                          <a:xfrm>
                            <a:off x="0" y="0"/>
                            <a:ext cx="98197" cy="200520"/>
                          </a:xfrm>
                          <a:prstGeom prst="rect">
                            <a:avLst/>
                          </a:prstGeom>
                        </pic:spPr>
                      </pic:pic>
                    </a:graphicData>
                  </a:graphic>
                </wp:inline>
              </w:drawing>
            </w:r>
          </w:p>
        </w:tc>
        <w:tc>
          <w:tcPr>
            <w:tcW w:w="239" w:type="dxa"/>
            <w:vAlign w:val="top"/>
          </w:tcPr>
          <w:p w14:paraId="3729F172">
            <w:pPr>
              <w:rPr>
                <w:rFonts w:ascii="Arial"/>
                <w:sz w:val="21"/>
              </w:rPr>
            </w:pPr>
          </w:p>
        </w:tc>
        <w:tc>
          <w:tcPr>
            <w:tcW w:w="234" w:type="dxa"/>
            <w:vAlign w:val="top"/>
          </w:tcPr>
          <w:p w14:paraId="0ADC2DB8">
            <w:pPr>
              <w:rPr>
                <w:rFonts w:ascii="Arial"/>
                <w:sz w:val="21"/>
              </w:rPr>
            </w:pPr>
          </w:p>
        </w:tc>
      </w:tr>
      <w:tr w14:paraId="328A45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08" w:hRule="atLeast"/>
        </w:trPr>
        <w:tc>
          <w:tcPr>
            <w:tcW w:w="554" w:type="dxa"/>
            <w:vAlign w:val="top"/>
          </w:tcPr>
          <w:p w14:paraId="168863A1">
            <w:pPr>
              <w:pStyle w:val="6"/>
              <w:spacing w:before="51" w:line="220" w:lineRule="auto"/>
              <w:ind w:left="94"/>
            </w:pPr>
            <w:r>
              <w:rPr>
                <w:spacing w:val="3"/>
              </w:rPr>
              <w:t>呼吸</w:t>
            </w:r>
          </w:p>
          <w:p w14:paraId="2580572E">
            <w:pPr>
              <w:pStyle w:val="6"/>
              <w:spacing w:before="28" w:line="217" w:lineRule="auto"/>
              <w:ind w:left="94"/>
            </w:pPr>
            <w:r>
              <w:rPr>
                <w:spacing w:val="-3"/>
              </w:rPr>
              <w:t>系统</w:t>
            </w:r>
          </w:p>
          <w:p w14:paraId="3234DA58">
            <w:pPr>
              <w:pStyle w:val="6"/>
              <w:spacing w:line="220" w:lineRule="auto"/>
              <w:ind w:left="94"/>
            </w:pPr>
            <w:r>
              <w:rPr>
                <w:spacing w:val="8"/>
              </w:rPr>
              <w:t>和消</w:t>
            </w:r>
          </w:p>
          <w:p w14:paraId="033EA825">
            <w:pPr>
              <w:pStyle w:val="6"/>
              <w:spacing w:before="37" w:line="206" w:lineRule="auto"/>
              <w:ind w:left="94"/>
            </w:pPr>
            <w:r>
              <w:rPr>
                <w:spacing w:val="8"/>
              </w:rPr>
              <w:t>化系</w:t>
            </w:r>
          </w:p>
          <w:p w14:paraId="3198D042">
            <w:pPr>
              <w:pStyle w:val="6"/>
              <w:spacing w:line="201" w:lineRule="auto"/>
              <w:ind w:left="185"/>
            </w:pPr>
            <w:r>
              <w:t>统</w:t>
            </w:r>
          </w:p>
        </w:tc>
        <w:tc>
          <w:tcPr>
            <w:tcW w:w="2634" w:type="dxa"/>
            <w:vAlign w:val="top"/>
          </w:tcPr>
          <w:p w14:paraId="17654BAF">
            <w:pPr>
              <w:spacing w:line="332" w:lineRule="auto"/>
              <w:rPr>
                <w:rFonts w:ascii="Arial"/>
                <w:sz w:val="21"/>
              </w:rPr>
            </w:pPr>
          </w:p>
          <w:p w14:paraId="503A2A0E">
            <w:pPr>
              <w:pStyle w:val="6"/>
              <w:spacing w:before="56" w:line="224" w:lineRule="auto"/>
              <w:ind w:left="71" w:right="667"/>
            </w:pPr>
            <w:r>
              <w:rPr>
                <w:spacing w:val="1"/>
              </w:rPr>
              <w:t>1.呼吸系统的组成及特点</w:t>
            </w:r>
            <w:r>
              <w:rPr>
                <w:spacing w:val="2"/>
              </w:rPr>
              <w:t xml:space="preserve"> </w:t>
            </w:r>
            <w:r>
              <w:rPr>
                <w:spacing w:val="1"/>
              </w:rPr>
              <w:t>2.消化系统的组成及特点</w:t>
            </w:r>
          </w:p>
        </w:tc>
        <w:tc>
          <w:tcPr>
            <w:tcW w:w="229" w:type="dxa"/>
            <w:vAlign w:val="top"/>
          </w:tcPr>
          <w:p w14:paraId="45492348">
            <w:pPr>
              <w:rPr>
                <w:rFonts w:ascii="Arial"/>
                <w:sz w:val="21"/>
              </w:rPr>
            </w:pPr>
          </w:p>
        </w:tc>
        <w:tc>
          <w:tcPr>
            <w:tcW w:w="229" w:type="dxa"/>
            <w:textDirection w:val="tbRlV"/>
            <w:vAlign w:val="top"/>
          </w:tcPr>
          <w:p w14:paraId="586494C7">
            <w:pPr>
              <w:pStyle w:val="6"/>
              <w:spacing w:before="39" w:line="197" w:lineRule="auto"/>
              <w:ind w:left="306"/>
            </w:pPr>
            <w:r>
              <w:rPr>
                <w:spacing w:val="31"/>
              </w:rPr>
              <w:t>&lt;</w:t>
            </w:r>
            <w:r>
              <w:rPr>
                <w:spacing w:val="68"/>
                <w:w w:val="101"/>
              </w:rPr>
              <w:t xml:space="preserve"> </w:t>
            </w:r>
            <w:r>
              <w:rPr>
                <w:spacing w:val="31"/>
              </w:rPr>
              <w:t>八</w:t>
            </w:r>
          </w:p>
        </w:tc>
        <w:tc>
          <w:tcPr>
            <w:tcW w:w="239" w:type="dxa"/>
            <w:vAlign w:val="top"/>
          </w:tcPr>
          <w:p w14:paraId="19BBE6B3">
            <w:pPr>
              <w:rPr>
                <w:rFonts w:ascii="Arial"/>
                <w:sz w:val="21"/>
              </w:rPr>
            </w:pPr>
          </w:p>
        </w:tc>
        <w:tc>
          <w:tcPr>
            <w:tcW w:w="234" w:type="dxa"/>
            <w:vAlign w:val="top"/>
          </w:tcPr>
          <w:p w14:paraId="49F0A8C1">
            <w:pPr>
              <w:rPr>
                <w:rFonts w:ascii="Arial"/>
                <w:sz w:val="21"/>
              </w:rPr>
            </w:pPr>
          </w:p>
        </w:tc>
      </w:tr>
      <w:tr w14:paraId="02FB54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8" w:hRule="atLeast"/>
        </w:trPr>
        <w:tc>
          <w:tcPr>
            <w:tcW w:w="554" w:type="dxa"/>
            <w:vAlign w:val="top"/>
          </w:tcPr>
          <w:p w14:paraId="009F7549">
            <w:pPr>
              <w:pStyle w:val="6"/>
              <w:spacing w:before="73" w:line="219" w:lineRule="auto"/>
              <w:ind w:left="94"/>
            </w:pPr>
            <w:r>
              <w:rPr>
                <w:spacing w:val="-2"/>
              </w:rPr>
              <w:t>循环</w:t>
            </w:r>
          </w:p>
          <w:p w14:paraId="2C96515D">
            <w:pPr>
              <w:pStyle w:val="6"/>
              <w:spacing w:before="29" w:line="221" w:lineRule="auto"/>
              <w:ind w:left="94"/>
            </w:pPr>
            <w:r>
              <w:rPr>
                <w:spacing w:val="-3"/>
              </w:rPr>
              <w:t>系统</w:t>
            </w:r>
          </w:p>
          <w:p w14:paraId="23BAAF20">
            <w:pPr>
              <w:pStyle w:val="6"/>
              <w:spacing w:before="3" w:line="218" w:lineRule="auto"/>
              <w:ind w:left="94"/>
            </w:pPr>
            <w:r>
              <w:rPr>
                <w:spacing w:val="-2"/>
              </w:rPr>
              <w:t>和淋</w:t>
            </w:r>
          </w:p>
          <w:p w14:paraId="76F4FB59">
            <w:pPr>
              <w:pStyle w:val="6"/>
              <w:spacing w:before="13" w:line="221" w:lineRule="auto"/>
              <w:ind w:left="94"/>
            </w:pPr>
            <w:r>
              <w:rPr>
                <w:spacing w:val="13"/>
              </w:rPr>
              <w:t>巴系</w:t>
            </w:r>
          </w:p>
          <w:p w14:paraId="74D072F8">
            <w:pPr>
              <w:pStyle w:val="6"/>
              <w:spacing w:before="4" w:line="211" w:lineRule="auto"/>
              <w:ind w:left="185"/>
            </w:pPr>
            <w:r>
              <w:t>统</w:t>
            </w:r>
          </w:p>
        </w:tc>
        <w:tc>
          <w:tcPr>
            <w:tcW w:w="2634" w:type="dxa"/>
            <w:vAlign w:val="top"/>
          </w:tcPr>
          <w:p w14:paraId="0BF960C7">
            <w:pPr>
              <w:spacing w:line="334" w:lineRule="auto"/>
              <w:rPr>
                <w:rFonts w:ascii="Arial"/>
                <w:sz w:val="21"/>
              </w:rPr>
            </w:pPr>
          </w:p>
          <w:p w14:paraId="561F09C8">
            <w:pPr>
              <w:pStyle w:val="6"/>
              <w:spacing w:before="56" w:line="228" w:lineRule="auto"/>
              <w:ind w:left="71" w:right="667"/>
            </w:pPr>
            <w:r>
              <w:rPr>
                <w:spacing w:val="1"/>
              </w:rPr>
              <w:t>1.循环系统的组成及特点</w:t>
            </w:r>
            <w:r>
              <w:rPr>
                <w:spacing w:val="2"/>
              </w:rPr>
              <w:t xml:space="preserve"> </w:t>
            </w:r>
            <w:r>
              <w:rPr>
                <w:spacing w:val="1"/>
              </w:rPr>
              <w:t>2.淋巴系统的组成及特点</w:t>
            </w:r>
          </w:p>
        </w:tc>
        <w:tc>
          <w:tcPr>
            <w:tcW w:w="229" w:type="dxa"/>
            <w:vAlign w:val="top"/>
          </w:tcPr>
          <w:p w14:paraId="246F7338">
            <w:pPr>
              <w:rPr>
                <w:rFonts w:ascii="Arial"/>
                <w:sz w:val="21"/>
              </w:rPr>
            </w:pPr>
          </w:p>
        </w:tc>
        <w:tc>
          <w:tcPr>
            <w:tcW w:w="229" w:type="dxa"/>
            <w:vAlign w:val="top"/>
          </w:tcPr>
          <w:p w14:paraId="178CD965">
            <w:pPr>
              <w:rPr>
                <w:rFonts w:ascii="Arial"/>
                <w:sz w:val="21"/>
              </w:rPr>
            </w:pPr>
          </w:p>
        </w:tc>
        <w:tc>
          <w:tcPr>
            <w:tcW w:w="239" w:type="dxa"/>
            <w:vAlign w:val="top"/>
          </w:tcPr>
          <w:p w14:paraId="5759B919">
            <w:pPr>
              <w:rPr>
                <w:rFonts w:ascii="Arial"/>
                <w:sz w:val="21"/>
              </w:rPr>
            </w:pPr>
          </w:p>
        </w:tc>
        <w:tc>
          <w:tcPr>
            <w:tcW w:w="234" w:type="dxa"/>
            <w:vAlign w:val="top"/>
          </w:tcPr>
          <w:p w14:paraId="7CC951D3">
            <w:pPr>
              <w:rPr>
                <w:rFonts w:ascii="Arial"/>
                <w:sz w:val="21"/>
              </w:rPr>
            </w:pPr>
          </w:p>
        </w:tc>
      </w:tr>
      <w:tr w14:paraId="205391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92" w:hRule="atLeast"/>
        </w:trPr>
        <w:tc>
          <w:tcPr>
            <w:tcW w:w="554" w:type="dxa"/>
            <w:vAlign w:val="top"/>
          </w:tcPr>
          <w:p w14:paraId="3A1B1B14">
            <w:pPr>
              <w:pStyle w:val="6"/>
              <w:spacing w:before="106" w:line="217" w:lineRule="auto"/>
              <w:ind w:left="94"/>
            </w:pPr>
            <w:r>
              <w:rPr>
                <w:spacing w:val="-3"/>
              </w:rPr>
              <w:t>泌尿</w:t>
            </w:r>
          </w:p>
          <w:p w14:paraId="696B5021">
            <w:pPr>
              <w:pStyle w:val="6"/>
              <w:spacing w:line="220" w:lineRule="auto"/>
              <w:ind w:left="94"/>
            </w:pPr>
            <w:r>
              <w:rPr>
                <w:spacing w:val="-3"/>
              </w:rPr>
              <w:t>系统</w:t>
            </w:r>
          </w:p>
          <w:p w14:paraId="2442F09C">
            <w:pPr>
              <w:pStyle w:val="6"/>
              <w:spacing w:before="28" w:line="222" w:lineRule="auto"/>
              <w:ind w:left="94"/>
            </w:pPr>
            <w:r>
              <w:rPr>
                <w:spacing w:val="-2"/>
              </w:rPr>
              <w:t>和生</w:t>
            </w:r>
          </w:p>
          <w:p w14:paraId="76AD1592">
            <w:pPr>
              <w:pStyle w:val="6"/>
              <w:spacing w:before="24" w:line="206" w:lineRule="auto"/>
              <w:ind w:left="94"/>
            </w:pPr>
            <w:r>
              <w:rPr>
                <w:spacing w:val="8"/>
              </w:rPr>
              <w:t>殖系</w:t>
            </w:r>
          </w:p>
          <w:p w14:paraId="722155D7">
            <w:pPr>
              <w:pStyle w:val="6"/>
              <w:spacing w:line="220" w:lineRule="auto"/>
              <w:ind w:left="185"/>
            </w:pPr>
            <w:r>
              <w:t>统</w:t>
            </w:r>
          </w:p>
        </w:tc>
        <w:tc>
          <w:tcPr>
            <w:tcW w:w="2634" w:type="dxa"/>
            <w:vAlign w:val="top"/>
          </w:tcPr>
          <w:p w14:paraId="264BEFC8">
            <w:pPr>
              <w:spacing w:line="376" w:lineRule="auto"/>
              <w:rPr>
                <w:rFonts w:ascii="Arial"/>
                <w:sz w:val="21"/>
              </w:rPr>
            </w:pPr>
          </w:p>
          <w:p w14:paraId="6B9B8413">
            <w:pPr>
              <w:pStyle w:val="6"/>
              <w:spacing w:before="55" w:line="224" w:lineRule="auto"/>
              <w:ind w:left="71" w:right="667"/>
            </w:pPr>
            <w:r>
              <w:rPr>
                <w:spacing w:val="1"/>
              </w:rPr>
              <w:t>1.泌尿系统的组成及特点</w:t>
            </w:r>
            <w:r>
              <w:rPr>
                <w:spacing w:val="2"/>
              </w:rPr>
              <w:t xml:space="preserve"> </w:t>
            </w:r>
            <w:r>
              <w:rPr>
                <w:spacing w:val="1"/>
              </w:rPr>
              <w:t>2.生殖系统的组成及特点</w:t>
            </w:r>
          </w:p>
        </w:tc>
        <w:tc>
          <w:tcPr>
            <w:tcW w:w="229" w:type="dxa"/>
            <w:vAlign w:val="top"/>
          </w:tcPr>
          <w:p w14:paraId="2CDAB30E">
            <w:pPr>
              <w:rPr>
                <w:rFonts w:ascii="Arial"/>
                <w:sz w:val="21"/>
              </w:rPr>
            </w:pPr>
          </w:p>
        </w:tc>
        <w:tc>
          <w:tcPr>
            <w:tcW w:w="229" w:type="dxa"/>
            <w:vAlign w:val="top"/>
          </w:tcPr>
          <w:p w14:paraId="6848DEBE">
            <w:pPr>
              <w:rPr>
                <w:rFonts w:ascii="Arial"/>
                <w:sz w:val="21"/>
              </w:rPr>
            </w:pPr>
          </w:p>
        </w:tc>
        <w:tc>
          <w:tcPr>
            <w:tcW w:w="239" w:type="dxa"/>
            <w:vAlign w:val="top"/>
          </w:tcPr>
          <w:p w14:paraId="5D4F6715">
            <w:pPr>
              <w:rPr>
                <w:rFonts w:ascii="Arial"/>
                <w:sz w:val="21"/>
              </w:rPr>
            </w:pPr>
          </w:p>
        </w:tc>
        <w:tc>
          <w:tcPr>
            <w:tcW w:w="234" w:type="dxa"/>
            <w:vAlign w:val="top"/>
          </w:tcPr>
          <w:p w14:paraId="544EF1D0">
            <w:pPr>
              <w:rPr>
                <w:rFonts w:ascii="Arial"/>
                <w:sz w:val="21"/>
              </w:rPr>
            </w:pPr>
          </w:p>
        </w:tc>
      </w:tr>
    </w:tbl>
    <w:p w14:paraId="6F6FFEB1">
      <w:pPr>
        <w:pStyle w:val="2"/>
        <w:spacing w:line="105" w:lineRule="auto"/>
        <w:rPr>
          <w:sz w:val="2"/>
        </w:rPr>
      </w:pPr>
    </w:p>
    <w:p w14:paraId="2F69DAA8">
      <w:pPr>
        <w:spacing w:line="105" w:lineRule="auto"/>
        <w:rPr>
          <w:sz w:val="2"/>
          <w:szCs w:val="2"/>
        </w:rPr>
        <w:sectPr>
          <w:type w:val="continuous"/>
          <w:pgSz w:w="10660" w:h="15080"/>
          <w:pgMar w:top="400" w:right="871" w:bottom="917" w:left="1034" w:header="0" w:footer="709" w:gutter="0"/>
          <w:cols w:equalWidth="0" w:num="2">
            <w:col w:w="4490" w:space="100"/>
            <w:col w:w="4164"/>
          </w:cols>
        </w:sectPr>
      </w:pPr>
    </w:p>
    <w:p w14:paraId="70C086EB">
      <w:pPr>
        <w:spacing w:before="2"/>
      </w:pPr>
    </w:p>
    <w:p w14:paraId="304C49FF">
      <w:pPr>
        <w:spacing w:before="2"/>
      </w:pPr>
    </w:p>
    <w:p w14:paraId="32913251">
      <w:pPr>
        <w:spacing w:before="2"/>
      </w:pPr>
    </w:p>
    <w:p w14:paraId="27943C3A">
      <w:pPr>
        <w:spacing w:before="1"/>
      </w:pPr>
    </w:p>
    <w:p w14:paraId="4441EB6A">
      <w:pPr>
        <w:sectPr>
          <w:footerReference r:id="rId18" w:type="default"/>
          <w:pgSz w:w="10660" w:h="15080"/>
          <w:pgMar w:top="400" w:right="1034" w:bottom="918" w:left="819" w:header="0" w:footer="724" w:gutter="0"/>
          <w:cols w:equalWidth="0" w:num="1">
            <w:col w:w="8806"/>
          </w:cols>
        </w:sectPr>
      </w:pPr>
    </w:p>
    <w:p w14:paraId="2BC204E7">
      <w:pPr>
        <w:pStyle w:val="2"/>
        <w:spacing w:line="263" w:lineRule="auto"/>
      </w:pPr>
    </w:p>
    <w:p w14:paraId="379DEBD2">
      <w:pPr>
        <w:spacing w:before="65" w:line="221" w:lineRule="auto"/>
        <w:ind w:left="1062"/>
        <w:rPr>
          <w:rFonts w:ascii="黑体" w:hAnsi="黑体" w:eastAsia="黑体" w:cs="黑体"/>
          <w:sz w:val="20"/>
          <w:szCs w:val="20"/>
        </w:rPr>
      </w:pPr>
      <w:r>
        <w:rPr>
          <w:rFonts w:ascii="黑体" w:hAnsi="黑体" w:eastAsia="黑体" w:cs="黑体"/>
          <w:b/>
          <w:bCs/>
          <w:spacing w:val="-4"/>
          <w:sz w:val="20"/>
          <w:szCs w:val="20"/>
        </w:rPr>
        <w:t>第二篇</w:t>
      </w:r>
      <w:r>
        <w:rPr>
          <w:rFonts w:ascii="黑体" w:hAnsi="黑体" w:eastAsia="黑体" w:cs="黑体"/>
          <w:spacing w:val="89"/>
          <w:sz w:val="20"/>
          <w:szCs w:val="20"/>
        </w:rPr>
        <w:t xml:space="preserve"> </w:t>
      </w:r>
      <w:r>
        <w:rPr>
          <w:rFonts w:ascii="黑体" w:hAnsi="黑体" w:eastAsia="黑体" w:cs="黑体"/>
          <w:b/>
          <w:bCs/>
          <w:spacing w:val="-4"/>
          <w:sz w:val="20"/>
          <w:szCs w:val="20"/>
        </w:rPr>
        <w:t>畜禽营养与饲料</w:t>
      </w:r>
    </w:p>
    <w:p w14:paraId="45CC2DB4">
      <w:pPr>
        <w:pStyle w:val="2"/>
        <w:spacing w:line="283" w:lineRule="auto"/>
      </w:pPr>
    </w:p>
    <w:p w14:paraId="2A893A78">
      <w:pPr>
        <w:spacing w:before="65" w:line="221" w:lineRule="auto"/>
        <w:ind w:left="1242"/>
        <w:rPr>
          <w:rFonts w:ascii="黑体" w:hAnsi="黑体" w:eastAsia="黑体" w:cs="黑体"/>
          <w:sz w:val="20"/>
          <w:szCs w:val="20"/>
        </w:rPr>
      </w:pPr>
      <w:r>
        <w:rPr>
          <w:rFonts w:ascii="黑体" w:hAnsi="黑体" w:eastAsia="黑体" w:cs="黑体"/>
          <w:b/>
          <w:bCs/>
          <w:spacing w:val="-3"/>
          <w:sz w:val="20"/>
          <w:szCs w:val="20"/>
        </w:rPr>
        <w:t>一、畜禽的营养基础</w:t>
      </w:r>
    </w:p>
    <w:p w14:paraId="5E729C73">
      <w:pPr>
        <w:spacing w:line="172" w:lineRule="exact"/>
      </w:pPr>
    </w:p>
    <w:tbl>
      <w:tblPr>
        <w:tblStyle w:val="5"/>
        <w:tblW w:w="4119" w:type="dxa"/>
        <w:tblInd w:w="7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44"/>
        <w:gridCol w:w="2644"/>
        <w:gridCol w:w="229"/>
        <w:gridCol w:w="229"/>
        <w:gridCol w:w="239"/>
        <w:gridCol w:w="234"/>
      </w:tblGrid>
      <w:tr w14:paraId="08FF90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0" w:hRule="atLeast"/>
        </w:trPr>
        <w:tc>
          <w:tcPr>
            <w:tcW w:w="544" w:type="dxa"/>
            <w:vMerge w:val="restart"/>
            <w:tcBorders>
              <w:top w:val="single" w:color="000000" w:sz="2" w:space="0"/>
              <w:bottom w:val="nil"/>
            </w:tcBorders>
            <w:vAlign w:val="top"/>
          </w:tcPr>
          <w:p w14:paraId="2B01E470">
            <w:pPr>
              <w:pStyle w:val="6"/>
              <w:spacing w:before="216" w:line="214" w:lineRule="auto"/>
              <w:ind w:left="87" w:right="94"/>
              <w:rPr>
                <w:sz w:val="18"/>
                <w:szCs w:val="18"/>
              </w:rPr>
            </w:pPr>
            <w:r>
              <w:rPr>
                <w:b/>
                <w:bCs/>
                <w:spacing w:val="-8"/>
                <w:sz w:val="18"/>
                <w:szCs w:val="18"/>
              </w:rPr>
              <w:t>知识</w:t>
            </w:r>
            <w:r>
              <w:rPr>
                <w:sz w:val="18"/>
                <w:szCs w:val="18"/>
              </w:rPr>
              <w:t xml:space="preserve"> </w:t>
            </w:r>
            <w:r>
              <w:rPr>
                <w:b/>
                <w:bCs/>
                <w:spacing w:val="-6"/>
                <w:sz w:val="18"/>
                <w:szCs w:val="18"/>
              </w:rPr>
              <w:t>要点</w:t>
            </w:r>
          </w:p>
        </w:tc>
        <w:tc>
          <w:tcPr>
            <w:tcW w:w="2644" w:type="dxa"/>
            <w:vMerge w:val="restart"/>
            <w:tcBorders>
              <w:top w:val="single" w:color="000000" w:sz="2" w:space="0"/>
              <w:bottom w:val="nil"/>
            </w:tcBorders>
            <w:vAlign w:val="top"/>
          </w:tcPr>
          <w:p w14:paraId="67FFAB0A">
            <w:pPr>
              <w:spacing w:line="254" w:lineRule="auto"/>
              <w:rPr>
                <w:rFonts w:ascii="Arial"/>
                <w:sz w:val="21"/>
              </w:rPr>
            </w:pPr>
          </w:p>
          <w:p w14:paraId="46FB8779">
            <w:pPr>
              <w:pStyle w:val="6"/>
              <w:spacing w:before="59" w:line="219" w:lineRule="auto"/>
              <w:ind w:left="1023"/>
              <w:rPr>
                <w:sz w:val="18"/>
                <w:szCs w:val="18"/>
              </w:rPr>
            </w:pPr>
            <w:r>
              <w:rPr>
                <w:b/>
                <w:bCs/>
                <w:spacing w:val="5"/>
                <w:sz w:val="18"/>
                <w:szCs w:val="18"/>
              </w:rPr>
              <w:t>考试条目</w:t>
            </w:r>
          </w:p>
        </w:tc>
        <w:tc>
          <w:tcPr>
            <w:tcW w:w="931" w:type="dxa"/>
            <w:gridSpan w:val="4"/>
            <w:tcBorders>
              <w:top w:val="single" w:color="000000" w:sz="2" w:space="0"/>
              <w:bottom w:val="single" w:color="000000" w:sz="2" w:space="0"/>
            </w:tcBorders>
            <w:vAlign w:val="top"/>
          </w:tcPr>
          <w:p w14:paraId="5602E43C">
            <w:pPr>
              <w:pStyle w:val="6"/>
              <w:spacing w:before="114" w:line="219" w:lineRule="auto"/>
              <w:ind w:left="149"/>
              <w:rPr>
                <w:sz w:val="18"/>
                <w:szCs w:val="18"/>
              </w:rPr>
            </w:pPr>
            <w:r>
              <w:rPr>
                <w:b/>
                <w:bCs/>
                <w:spacing w:val="-4"/>
                <w:sz w:val="18"/>
                <w:szCs w:val="18"/>
              </w:rPr>
              <w:t>考试水平</w:t>
            </w:r>
          </w:p>
        </w:tc>
      </w:tr>
      <w:tr w14:paraId="22F6A1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5" w:hRule="atLeast"/>
        </w:trPr>
        <w:tc>
          <w:tcPr>
            <w:tcW w:w="544" w:type="dxa"/>
            <w:vMerge w:val="continue"/>
            <w:tcBorders>
              <w:top w:val="nil"/>
              <w:bottom w:val="single" w:color="000000" w:sz="2" w:space="0"/>
            </w:tcBorders>
            <w:vAlign w:val="top"/>
          </w:tcPr>
          <w:p w14:paraId="77BEC083">
            <w:pPr>
              <w:rPr>
                <w:rFonts w:ascii="Arial"/>
                <w:sz w:val="21"/>
              </w:rPr>
            </w:pPr>
          </w:p>
        </w:tc>
        <w:tc>
          <w:tcPr>
            <w:tcW w:w="2644" w:type="dxa"/>
            <w:vMerge w:val="continue"/>
            <w:tcBorders>
              <w:top w:val="nil"/>
              <w:bottom w:val="single" w:color="000000" w:sz="2" w:space="0"/>
            </w:tcBorders>
            <w:vAlign w:val="top"/>
          </w:tcPr>
          <w:p w14:paraId="25509F0F">
            <w:pPr>
              <w:rPr>
                <w:rFonts w:ascii="Arial"/>
                <w:sz w:val="21"/>
              </w:rPr>
            </w:pPr>
          </w:p>
        </w:tc>
        <w:tc>
          <w:tcPr>
            <w:tcW w:w="229" w:type="dxa"/>
            <w:tcBorders>
              <w:top w:val="single" w:color="000000" w:sz="2" w:space="0"/>
              <w:bottom w:val="single" w:color="000000" w:sz="2" w:space="0"/>
            </w:tcBorders>
            <w:vAlign w:val="top"/>
          </w:tcPr>
          <w:p w14:paraId="1F6F1038">
            <w:pPr>
              <w:pStyle w:val="6"/>
              <w:spacing w:before="157" w:line="184" w:lineRule="auto"/>
              <w:ind w:left="36"/>
              <w:rPr>
                <w:sz w:val="18"/>
                <w:szCs w:val="18"/>
              </w:rPr>
            </w:pPr>
            <w:r>
              <w:rPr>
                <w:sz w:val="18"/>
                <w:szCs w:val="18"/>
              </w:rPr>
              <w:t>A</w:t>
            </w:r>
          </w:p>
        </w:tc>
        <w:tc>
          <w:tcPr>
            <w:tcW w:w="229" w:type="dxa"/>
            <w:tcBorders>
              <w:top w:val="single" w:color="000000" w:sz="2" w:space="0"/>
              <w:bottom w:val="single" w:color="000000" w:sz="2" w:space="0"/>
            </w:tcBorders>
            <w:vAlign w:val="top"/>
          </w:tcPr>
          <w:p w14:paraId="3BE3BF32">
            <w:pPr>
              <w:pStyle w:val="6"/>
              <w:spacing w:before="159" w:line="182" w:lineRule="auto"/>
              <w:jc w:val="right"/>
              <w:rPr>
                <w:sz w:val="18"/>
                <w:szCs w:val="18"/>
              </w:rPr>
            </w:pPr>
            <w:r>
              <w:rPr>
                <w:spacing w:val="-4"/>
                <w:w w:val="94"/>
                <w:sz w:val="18"/>
                <w:szCs w:val="18"/>
              </w:rPr>
              <w:t>B</w:t>
            </w:r>
          </w:p>
        </w:tc>
        <w:tc>
          <w:tcPr>
            <w:tcW w:w="239" w:type="dxa"/>
            <w:tcBorders>
              <w:top w:val="single" w:color="000000" w:sz="2" w:space="0"/>
              <w:bottom w:val="single" w:color="000000" w:sz="2" w:space="0"/>
            </w:tcBorders>
            <w:vAlign w:val="top"/>
          </w:tcPr>
          <w:p w14:paraId="0D3A5B3E">
            <w:pPr>
              <w:pStyle w:val="6"/>
              <w:spacing w:before="158" w:line="183" w:lineRule="auto"/>
              <w:ind w:left="48"/>
              <w:rPr>
                <w:sz w:val="18"/>
                <w:szCs w:val="18"/>
              </w:rPr>
            </w:pPr>
            <w:r>
              <w:rPr>
                <w:sz w:val="18"/>
                <w:szCs w:val="18"/>
              </w:rPr>
              <w:t>C</w:t>
            </w:r>
          </w:p>
        </w:tc>
        <w:tc>
          <w:tcPr>
            <w:tcW w:w="234" w:type="dxa"/>
            <w:tcBorders>
              <w:top w:val="single" w:color="000000" w:sz="2" w:space="0"/>
              <w:bottom w:val="single" w:color="000000" w:sz="2" w:space="0"/>
            </w:tcBorders>
            <w:vAlign w:val="top"/>
          </w:tcPr>
          <w:p w14:paraId="562F5D16">
            <w:pPr>
              <w:pStyle w:val="6"/>
              <w:spacing w:before="159" w:line="182" w:lineRule="auto"/>
              <w:ind w:left="40"/>
              <w:rPr>
                <w:sz w:val="18"/>
                <w:szCs w:val="18"/>
              </w:rPr>
            </w:pPr>
            <w:r>
              <w:rPr>
                <w:sz w:val="18"/>
                <w:szCs w:val="18"/>
              </w:rPr>
              <w:t>D</w:t>
            </w:r>
          </w:p>
        </w:tc>
      </w:tr>
      <w:tr w14:paraId="4706A6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74" w:hRule="atLeast"/>
        </w:trPr>
        <w:tc>
          <w:tcPr>
            <w:tcW w:w="544" w:type="dxa"/>
            <w:tcBorders>
              <w:top w:val="single" w:color="000000" w:sz="2" w:space="0"/>
              <w:bottom w:val="single" w:color="000000" w:sz="2" w:space="0"/>
            </w:tcBorders>
            <w:vAlign w:val="top"/>
          </w:tcPr>
          <w:p w14:paraId="6399EB0A">
            <w:pPr>
              <w:pStyle w:val="6"/>
              <w:spacing w:before="53" w:line="204" w:lineRule="auto"/>
              <w:ind w:left="84"/>
              <w:rPr>
                <w:sz w:val="18"/>
                <w:szCs w:val="18"/>
              </w:rPr>
            </w:pPr>
            <w:r>
              <w:rPr>
                <w:spacing w:val="-2"/>
                <w:sz w:val="18"/>
                <w:szCs w:val="18"/>
              </w:rPr>
              <w:t>动物</w:t>
            </w:r>
          </w:p>
          <w:p w14:paraId="4EC47D89">
            <w:pPr>
              <w:pStyle w:val="6"/>
              <w:spacing w:line="219" w:lineRule="auto"/>
              <w:ind w:left="84"/>
              <w:rPr>
                <w:sz w:val="18"/>
                <w:szCs w:val="18"/>
              </w:rPr>
            </w:pPr>
            <w:r>
              <w:rPr>
                <w:spacing w:val="-3"/>
                <w:sz w:val="18"/>
                <w:szCs w:val="18"/>
              </w:rPr>
              <w:t>与植</w:t>
            </w:r>
          </w:p>
          <w:p w14:paraId="3D4B647C">
            <w:pPr>
              <w:pStyle w:val="6"/>
              <w:spacing w:before="27" w:line="195" w:lineRule="auto"/>
              <w:ind w:left="84"/>
              <w:rPr>
                <w:sz w:val="18"/>
                <w:szCs w:val="18"/>
              </w:rPr>
            </w:pPr>
            <w:r>
              <w:rPr>
                <w:spacing w:val="-2"/>
                <w:sz w:val="18"/>
                <w:szCs w:val="18"/>
              </w:rPr>
              <w:t>物组</w:t>
            </w:r>
          </w:p>
          <w:p w14:paraId="565C5ED5">
            <w:pPr>
              <w:pStyle w:val="6"/>
              <w:spacing w:line="194" w:lineRule="auto"/>
              <w:ind w:left="84"/>
              <w:rPr>
                <w:sz w:val="18"/>
                <w:szCs w:val="18"/>
              </w:rPr>
            </w:pPr>
            <w:r>
              <w:rPr>
                <w:spacing w:val="-3"/>
                <w:sz w:val="18"/>
                <w:szCs w:val="18"/>
              </w:rPr>
              <w:t>成成</w:t>
            </w:r>
          </w:p>
          <w:p w14:paraId="7D773684">
            <w:pPr>
              <w:pStyle w:val="6"/>
              <w:spacing w:line="196" w:lineRule="auto"/>
              <w:ind w:left="175"/>
              <w:rPr>
                <w:sz w:val="18"/>
                <w:szCs w:val="18"/>
              </w:rPr>
            </w:pPr>
            <w:r>
              <w:rPr>
                <w:sz w:val="18"/>
                <w:szCs w:val="18"/>
              </w:rPr>
              <w:t>分</w:t>
            </w:r>
          </w:p>
        </w:tc>
        <w:tc>
          <w:tcPr>
            <w:tcW w:w="2644" w:type="dxa"/>
            <w:tcBorders>
              <w:top w:val="single" w:color="000000" w:sz="2" w:space="0"/>
              <w:bottom w:val="single" w:color="000000" w:sz="2" w:space="0"/>
            </w:tcBorders>
            <w:vAlign w:val="top"/>
          </w:tcPr>
          <w:p w14:paraId="08A368DB">
            <w:pPr>
              <w:spacing w:line="302" w:lineRule="auto"/>
              <w:rPr>
                <w:rFonts w:ascii="Arial"/>
                <w:sz w:val="21"/>
              </w:rPr>
            </w:pPr>
          </w:p>
          <w:p w14:paraId="53993BCE">
            <w:pPr>
              <w:pStyle w:val="6"/>
              <w:spacing w:before="58" w:line="219" w:lineRule="auto"/>
              <w:ind w:left="101"/>
              <w:rPr>
                <w:sz w:val="18"/>
                <w:szCs w:val="18"/>
              </w:rPr>
            </w:pPr>
            <w:r>
              <w:rPr>
                <w:sz w:val="18"/>
                <w:szCs w:val="18"/>
              </w:rPr>
              <w:t>1.组成动植物的化学元素</w:t>
            </w:r>
          </w:p>
          <w:p w14:paraId="262F1E3E">
            <w:pPr>
              <w:pStyle w:val="6"/>
              <w:spacing w:before="6" w:line="219" w:lineRule="auto"/>
              <w:ind w:right="11"/>
              <w:jc w:val="right"/>
              <w:rPr>
                <w:sz w:val="18"/>
                <w:szCs w:val="18"/>
              </w:rPr>
            </w:pPr>
            <w:r>
              <w:rPr>
                <w:sz w:val="18"/>
                <w:szCs w:val="18"/>
              </w:rPr>
              <w:t>2.组成动植物的化合物及其差异</w:t>
            </w:r>
          </w:p>
        </w:tc>
        <w:tc>
          <w:tcPr>
            <w:tcW w:w="229" w:type="dxa"/>
            <w:tcBorders>
              <w:top w:val="single" w:color="000000" w:sz="2" w:space="0"/>
              <w:bottom w:val="single" w:color="000000" w:sz="2" w:space="0"/>
            </w:tcBorders>
            <w:vAlign w:val="top"/>
          </w:tcPr>
          <w:p w14:paraId="5CC10FF1">
            <w:pPr>
              <w:rPr>
                <w:rFonts w:ascii="Arial"/>
                <w:sz w:val="21"/>
              </w:rPr>
            </w:pPr>
          </w:p>
        </w:tc>
        <w:tc>
          <w:tcPr>
            <w:tcW w:w="229" w:type="dxa"/>
            <w:tcBorders>
              <w:top w:val="single" w:color="000000" w:sz="2" w:space="0"/>
              <w:bottom w:val="single" w:color="000000" w:sz="2" w:space="0"/>
            </w:tcBorders>
            <w:vAlign w:val="top"/>
          </w:tcPr>
          <w:p w14:paraId="471152AC">
            <w:pPr>
              <w:rPr>
                <w:rFonts w:ascii="Arial"/>
                <w:sz w:val="21"/>
              </w:rPr>
            </w:pPr>
          </w:p>
        </w:tc>
        <w:tc>
          <w:tcPr>
            <w:tcW w:w="239" w:type="dxa"/>
            <w:tcBorders>
              <w:top w:val="single" w:color="000000" w:sz="2" w:space="0"/>
              <w:bottom w:val="single" w:color="000000" w:sz="2" w:space="0"/>
            </w:tcBorders>
            <w:vAlign w:val="top"/>
          </w:tcPr>
          <w:p w14:paraId="55BD2F4A">
            <w:pPr>
              <w:rPr>
                <w:rFonts w:ascii="Arial"/>
                <w:sz w:val="21"/>
              </w:rPr>
            </w:pPr>
          </w:p>
        </w:tc>
        <w:tc>
          <w:tcPr>
            <w:tcW w:w="234" w:type="dxa"/>
            <w:tcBorders>
              <w:top w:val="single" w:color="000000" w:sz="2" w:space="0"/>
              <w:bottom w:val="single" w:color="000000" w:sz="2" w:space="0"/>
            </w:tcBorders>
            <w:vAlign w:val="top"/>
          </w:tcPr>
          <w:p w14:paraId="2B29E9B9">
            <w:pPr>
              <w:rPr>
                <w:rFonts w:ascii="Arial"/>
                <w:sz w:val="21"/>
              </w:rPr>
            </w:pPr>
          </w:p>
        </w:tc>
      </w:tr>
      <w:tr w14:paraId="6BAA8B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63" w:hRule="atLeast"/>
        </w:trPr>
        <w:tc>
          <w:tcPr>
            <w:tcW w:w="544" w:type="dxa"/>
            <w:tcBorders>
              <w:top w:val="single" w:color="000000" w:sz="2" w:space="0"/>
              <w:bottom w:val="single" w:color="000000" w:sz="2" w:space="0"/>
            </w:tcBorders>
            <w:vAlign w:val="top"/>
          </w:tcPr>
          <w:p w14:paraId="695B3D22">
            <w:pPr>
              <w:spacing w:line="264" w:lineRule="auto"/>
              <w:rPr>
                <w:rFonts w:ascii="Arial"/>
                <w:sz w:val="21"/>
              </w:rPr>
            </w:pPr>
          </w:p>
          <w:p w14:paraId="2B7FF025">
            <w:pPr>
              <w:spacing w:line="265" w:lineRule="auto"/>
              <w:rPr>
                <w:rFonts w:ascii="Arial"/>
                <w:sz w:val="21"/>
              </w:rPr>
            </w:pPr>
          </w:p>
          <w:p w14:paraId="3AB3148B">
            <w:pPr>
              <w:pStyle w:val="6"/>
              <w:spacing w:before="58" w:line="228" w:lineRule="auto"/>
              <w:ind w:left="84" w:right="65"/>
              <w:jc w:val="both"/>
              <w:rPr>
                <w:sz w:val="18"/>
                <w:szCs w:val="18"/>
              </w:rPr>
            </w:pPr>
            <w:r>
              <w:rPr>
                <w:spacing w:val="11"/>
                <w:sz w:val="18"/>
                <w:szCs w:val="18"/>
              </w:rPr>
              <w:t>蛋白</w:t>
            </w:r>
            <w:r>
              <w:rPr>
                <w:sz w:val="18"/>
                <w:szCs w:val="18"/>
              </w:rPr>
              <w:t xml:space="preserve"> </w:t>
            </w:r>
            <w:r>
              <w:rPr>
                <w:spacing w:val="7"/>
                <w:sz w:val="18"/>
                <w:szCs w:val="18"/>
              </w:rPr>
              <w:t>质的</w:t>
            </w:r>
            <w:r>
              <w:rPr>
                <w:sz w:val="18"/>
                <w:szCs w:val="18"/>
              </w:rPr>
              <w:t xml:space="preserve"> </w:t>
            </w:r>
            <w:r>
              <w:rPr>
                <w:spacing w:val="4"/>
                <w:sz w:val="18"/>
                <w:szCs w:val="18"/>
              </w:rPr>
              <w:t>营养</w:t>
            </w:r>
            <w:r>
              <w:rPr>
                <w:sz w:val="18"/>
                <w:szCs w:val="18"/>
              </w:rPr>
              <w:t xml:space="preserve"> </w:t>
            </w:r>
            <w:r>
              <w:rPr>
                <w:spacing w:val="10"/>
                <w:sz w:val="18"/>
                <w:szCs w:val="18"/>
              </w:rPr>
              <w:t>作用</w:t>
            </w:r>
            <w:r>
              <w:rPr>
                <w:sz w:val="18"/>
                <w:szCs w:val="18"/>
              </w:rPr>
              <w:t xml:space="preserve"> </w:t>
            </w:r>
            <w:r>
              <w:rPr>
                <w:spacing w:val="-4"/>
                <w:sz w:val="18"/>
                <w:szCs w:val="18"/>
              </w:rPr>
              <w:t>及非</w:t>
            </w:r>
            <w:r>
              <w:rPr>
                <w:sz w:val="18"/>
                <w:szCs w:val="18"/>
              </w:rPr>
              <w:t xml:space="preserve"> </w:t>
            </w:r>
            <w:r>
              <w:rPr>
                <w:spacing w:val="11"/>
                <w:sz w:val="18"/>
                <w:szCs w:val="18"/>
              </w:rPr>
              <w:t>蛋白</w:t>
            </w:r>
            <w:r>
              <w:rPr>
                <w:sz w:val="18"/>
                <w:szCs w:val="18"/>
              </w:rPr>
              <w:t xml:space="preserve"> </w:t>
            </w:r>
            <w:r>
              <w:rPr>
                <w:spacing w:val="-3"/>
                <w:sz w:val="18"/>
                <w:szCs w:val="18"/>
              </w:rPr>
              <w:t>氮的</w:t>
            </w:r>
            <w:r>
              <w:rPr>
                <w:sz w:val="18"/>
                <w:szCs w:val="18"/>
              </w:rPr>
              <w:t xml:space="preserve"> </w:t>
            </w:r>
            <w:r>
              <w:rPr>
                <w:spacing w:val="10"/>
                <w:sz w:val="18"/>
                <w:szCs w:val="18"/>
              </w:rPr>
              <w:t>利用</w:t>
            </w:r>
          </w:p>
        </w:tc>
        <w:tc>
          <w:tcPr>
            <w:tcW w:w="2644" w:type="dxa"/>
            <w:tcBorders>
              <w:top w:val="single" w:color="000000" w:sz="2" w:space="0"/>
              <w:bottom w:val="single" w:color="000000" w:sz="2" w:space="0"/>
            </w:tcBorders>
            <w:vAlign w:val="top"/>
          </w:tcPr>
          <w:p w14:paraId="366054A0">
            <w:pPr>
              <w:pStyle w:val="6"/>
              <w:spacing w:before="274" w:line="225" w:lineRule="auto"/>
              <w:ind w:left="101" w:right="185"/>
              <w:rPr>
                <w:sz w:val="18"/>
                <w:szCs w:val="18"/>
              </w:rPr>
            </w:pPr>
            <w:r>
              <w:rPr>
                <w:sz w:val="18"/>
                <w:szCs w:val="18"/>
              </w:rPr>
              <w:t>1.必需氨基酸和非必需氨基酸</w:t>
            </w:r>
            <w:r>
              <w:rPr>
                <w:spacing w:val="6"/>
                <w:sz w:val="18"/>
                <w:szCs w:val="18"/>
              </w:rPr>
              <w:t xml:space="preserve"> </w:t>
            </w:r>
            <w:r>
              <w:rPr>
                <w:spacing w:val="1"/>
                <w:sz w:val="18"/>
                <w:szCs w:val="18"/>
              </w:rPr>
              <w:t>的概念、种类</w:t>
            </w:r>
          </w:p>
          <w:p w14:paraId="5A2B26B4">
            <w:pPr>
              <w:pStyle w:val="6"/>
              <w:spacing w:line="219" w:lineRule="auto"/>
              <w:ind w:left="101"/>
              <w:rPr>
                <w:sz w:val="18"/>
                <w:szCs w:val="18"/>
              </w:rPr>
            </w:pPr>
            <w:r>
              <w:rPr>
                <w:spacing w:val="2"/>
                <w:sz w:val="18"/>
                <w:szCs w:val="18"/>
              </w:rPr>
              <w:t>2.短肽的营养作用</w:t>
            </w:r>
          </w:p>
          <w:p w14:paraId="3CF6C149">
            <w:pPr>
              <w:pStyle w:val="6"/>
              <w:spacing w:before="6" w:line="219" w:lineRule="auto"/>
              <w:ind w:left="101"/>
              <w:rPr>
                <w:sz w:val="18"/>
                <w:szCs w:val="18"/>
              </w:rPr>
            </w:pPr>
            <w:r>
              <w:rPr>
                <w:spacing w:val="2"/>
                <w:sz w:val="18"/>
                <w:szCs w:val="18"/>
              </w:rPr>
              <w:t>3.蛋白质的营养作用</w:t>
            </w:r>
          </w:p>
          <w:p w14:paraId="6608EE4A">
            <w:pPr>
              <w:pStyle w:val="6"/>
              <w:spacing w:before="6" w:line="213" w:lineRule="auto"/>
              <w:ind w:left="101" w:right="188" w:hanging="10"/>
              <w:rPr>
                <w:sz w:val="18"/>
                <w:szCs w:val="18"/>
              </w:rPr>
            </w:pPr>
            <w:r>
              <w:rPr>
                <w:sz w:val="18"/>
                <w:szCs w:val="18"/>
              </w:rPr>
              <w:t>4.蛋白质缺乏和过量对动物的</w:t>
            </w:r>
            <w:r>
              <w:rPr>
                <w:spacing w:val="12"/>
                <w:sz w:val="18"/>
                <w:szCs w:val="18"/>
              </w:rPr>
              <w:t xml:space="preserve"> </w:t>
            </w:r>
            <w:r>
              <w:rPr>
                <w:spacing w:val="5"/>
                <w:sz w:val="18"/>
                <w:szCs w:val="18"/>
              </w:rPr>
              <w:t>危害</w:t>
            </w:r>
          </w:p>
          <w:p w14:paraId="17123F02">
            <w:pPr>
              <w:pStyle w:val="6"/>
              <w:spacing w:before="24" w:line="213" w:lineRule="auto"/>
              <w:ind w:left="101" w:right="189" w:hanging="20"/>
              <w:rPr>
                <w:sz w:val="18"/>
                <w:szCs w:val="18"/>
              </w:rPr>
            </w:pPr>
            <w:r>
              <w:rPr>
                <w:spacing w:val="1"/>
                <w:sz w:val="18"/>
                <w:szCs w:val="18"/>
              </w:rPr>
              <w:t>5.单胃畜禽和反刍家畜对蛋白</w:t>
            </w:r>
            <w:r>
              <w:rPr>
                <w:spacing w:val="8"/>
                <w:sz w:val="18"/>
                <w:szCs w:val="18"/>
              </w:rPr>
              <w:t xml:space="preserve"> </w:t>
            </w:r>
            <w:r>
              <w:rPr>
                <w:spacing w:val="-2"/>
                <w:sz w:val="18"/>
                <w:szCs w:val="18"/>
              </w:rPr>
              <w:t>质的消化</w:t>
            </w:r>
          </w:p>
          <w:p w14:paraId="652BE10E">
            <w:pPr>
              <w:pStyle w:val="6"/>
              <w:spacing w:before="25" w:line="225" w:lineRule="auto"/>
              <w:ind w:left="101" w:right="199" w:hanging="20"/>
              <w:rPr>
                <w:sz w:val="18"/>
                <w:szCs w:val="18"/>
              </w:rPr>
            </w:pPr>
            <w:r>
              <w:rPr>
                <w:sz w:val="18"/>
                <w:szCs w:val="18"/>
              </w:rPr>
              <w:t>6.提高非反刍家畜对蛋白质利</w:t>
            </w:r>
            <w:r>
              <w:rPr>
                <w:spacing w:val="12"/>
                <w:sz w:val="18"/>
                <w:szCs w:val="18"/>
              </w:rPr>
              <w:t xml:space="preserve"> </w:t>
            </w:r>
            <w:r>
              <w:rPr>
                <w:spacing w:val="-2"/>
                <w:sz w:val="18"/>
                <w:szCs w:val="18"/>
              </w:rPr>
              <w:t>用率的措施</w:t>
            </w:r>
          </w:p>
          <w:p w14:paraId="3837C431">
            <w:pPr>
              <w:pStyle w:val="6"/>
              <w:spacing w:line="218" w:lineRule="auto"/>
              <w:ind w:left="101"/>
              <w:rPr>
                <w:sz w:val="18"/>
                <w:szCs w:val="18"/>
              </w:rPr>
            </w:pPr>
            <w:r>
              <w:rPr>
                <w:spacing w:val="1"/>
                <w:sz w:val="18"/>
                <w:szCs w:val="18"/>
              </w:rPr>
              <w:t>7.反刍动物对非蛋白氮的利用</w:t>
            </w:r>
          </w:p>
        </w:tc>
        <w:tc>
          <w:tcPr>
            <w:tcW w:w="229" w:type="dxa"/>
            <w:tcBorders>
              <w:top w:val="single" w:color="000000" w:sz="2" w:space="0"/>
              <w:bottom w:val="single" w:color="000000" w:sz="2" w:space="0"/>
            </w:tcBorders>
            <w:vAlign w:val="top"/>
          </w:tcPr>
          <w:p w14:paraId="73CEC1C4">
            <w:pPr>
              <w:rPr>
                <w:rFonts w:ascii="Arial"/>
                <w:sz w:val="21"/>
              </w:rPr>
            </w:pPr>
          </w:p>
        </w:tc>
        <w:tc>
          <w:tcPr>
            <w:tcW w:w="229" w:type="dxa"/>
            <w:tcBorders>
              <w:top w:val="single" w:color="000000" w:sz="2" w:space="0"/>
              <w:bottom w:val="single" w:color="000000" w:sz="2" w:space="0"/>
            </w:tcBorders>
            <w:vAlign w:val="top"/>
          </w:tcPr>
          <w:p w14:paraId="2B272BD6">
            <w:pPr>
              <w:rPr>
                <w:rFonts w:ascii="Arial"/>
                <w:sz w:val="21"/>
              </w:rPr>
            </w:pPr>
          </w:p>
        </w:tc>
        <w:tc>
          <w:tcPr>
            <w:tcW w:w="239" w:type="dxa"/>
            <w:tcBorders>
              <w:top w:val="single" w:color="000000" w:sz="2" w:space="0"/>
              <w:bottom w:val="single" w:color="000000" w:sz="2" w:space="0"/>
            </w:tcBorders>
            <w:vAlign w:val="top"/>
          </w:tcPr>
          <w:p w14:paraId="190B9C25">
            <w:pPr>
              <w:rPr>
                <w:rFonts w:ascii="Arial"/>
                <w:sz w:val="21"/>
              </w:rPr>
            </w:pPr>
          </w:p>
        </w:tc>
        <w:tc>
          <w:tcPr>
            <w:tcW w:w="234" w:type="dxa"/>
            <w:tcBorders>
              <w:top w:val="single" w:color="000000" w:sz="2" w:space="0"/>
              <w:bottom w:val="single" w:color="000000" w:sz="2" w:space="0"/>
            </w:tcBorders>
            <w:vAlign w:val="top"/>
          </w:tcPr>
          <w:p w14:paraId="03463647">
            <w:pPr>
              <w:rPr>
                <w:rFonts w:ascii="Arial"/>
                <w:sz w:val="21"/>
              </w:rPr>
            </w:pPr>
          </w:p>
        </w:tc>
      </w:tr>
      <w:tr w14:paraId="7434FC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04" w:hRule="atLeast"/>
        </w:trPr>
        <w:tc>
          <w:tcPr>
            <w:tcW w:w="544" w:type="dxa"/>
            <w:tcBorders>
              <w:top w:val="single" w:color="000000" w:sz="2" w:space="0"/>
              <w:bottom w:val="single" w:color="000000" w:sz="2" w:space="0"/>
            </w:tcBorders>
            <w:vAlign w:val="top"/>
          </w:tcPr>
          <w:p w14:paraId="2F12C578">
            <w:pPr>
              <w:pStyle w:val="6"/>
              <w:spacing w:before="264" w:line="224" w:lineRule="auto"/>
              <w:ind w:left="84" w:right="67"/>
              <w:jc w:val="both"/>
              <w:rPr>
                <w:sz w:val="18"/>
                <w:szCs w:val="18"/>
              </w:rPr>
            </w:pPr>
            <w:r>
              <w:rPr>
                <w:spacing w:val="-4"/>
                <w:sz w:val="18"/>
                <w:szCs w:val="18"/>
              </w:rPr>
              <w:t>糖类</w:t>
            </w:r>
            <w:r>
              <w:rPr>
                <w:sz w:val="18"/>
                <w:szCs w:val="18"/>
              </w:rPr>
              <w:t xml:space="preserve"> </w:t>
            </w:r>
            <w:r>
              <w:rPr>
                <w:spacing w:val="4"/>
                <w:sz w:val="18"/>
                <w:szCs w:val="18"/>
              </w:rPr>
              <w:t>营养</w:t>
            </w:r>
            <w:r>
              <w:rPr>
                <w:sz w:val="18"/>
                <w:szCs w:val="18"/>
              </w:rPr>
              <w:t xml:space="preserve"> </w:t>
            </w:r>
            <w:r>
              <w:rPr>
                <w:spacing w:val="10"/>
                <w:sz w:val="18"/>
                <w:szCs w:val="18"/>
              </w:rPr>
              <w:t>作用</w:t>
            </w:r>
          </w:p>
        </w:tc>
        <w:tc>
          <w:tcPr>
            <w:tcW w:w="2644" w:type="dxa"/>
            <w:tcBorders>
              <w:top w:val="single" w:color="000000" w:sz="2" w:space="0"/>
              <w:bottom w:val="single" w:color="000000" w:sz="2" w:space="0"/>
            </w:tcBorders>
            <w:vAlign w:val="top"/>
          </w:tcPr>
          <w:p w14:paraId="18578616">
            <w:pPr>
              <w:pStyle w:val="6"/>
              <w:spacing w:before="164" w:line="205" w:lineRule="auto"/>
              <w:ind w:left="101"/>
              <w:rPr>
                <w:sz w:val="18"/>
                <w:szCs w:val="18"/>
              </w:rPr>
            </w:pPr>
            <w:r>
              <w:rPr>
                <w:spacing w:val="1"/>
                <w:sz w:val="18"/>
                <w:szCs w:val="18"/>
              </w:rPr>
              <w:t>1.糖类的组成与营养作用</w:t>
            </w:r>
          </w:p>
          <w:p w14:paraId="798D2F64">
            <w:pPr>
              <w:pStyle w:val="6"/>
              <w:spacing w:before="1" w:line="222" w:lineRule="auto"/>
              <w:ind w:left="101" w:right="212" w:hanging="10"/>
              <w:rPr>
                <w:sz w:val="18"/>
                <w:szCs w:val="18"/>
              </w:rPr>
            </w:pPr>
            <w:r>
              <w:rPr>
                <w:spacing w:val="-1"/>
                <w:sz w:val="18"/>
                <w:szCs w:val="18"/>
              </w:rPr>
              <w:t>2.反刍家畜和单胃家畜对糖类</w:t>
            </w:r>
            <w:r>
              <w:rPr>
                <w:spacing w:val="3"/>
                <w:sz w:val="18"/>
                <w:szCs w:val="18"/>
              </w:rPr>
              <w:t xml:space="preserve"> 的消化特点</w:t>
            </w:r>
          </w:p>
          <w:p w14:paraId="1A8F282B">
            <w:pPr>
              <w:pStyle w:val="6"/>
              <w:spacing w:before="6" w:line="219" w:lineRule="auto"/>
              <w:ind w:left="101"/>
              <w:rPr>
                <w:sz w:val="18"/>
                <w:szCs w:val="18"/>
              </w:rPr>
            </w:pPr>
            <w:r>
              <w:rPr>
                <w:spacing w:val="1"/>
                <w:sz w:val="18"/>
                <w:szCs w:val="18"/>
              </w:rPr>
              <w:t>3.畜禽对粗纤维的利用</w:t>
            </w:r>
          </w:p>
        </w:tc>
        <w:tc>
          <w:tcPr>
            <w:tcW w:w="229" w:type="dxa"/>
            <w:tcBorders>
              <w:top w:val="single" w:color="000000" w:sz="2" w:space="0"/>
              <w:bottom w:val="single" w:color="000000" w:sz="2" w:space="0"/>
            </w:tcBorders>
            <w:vAlign w:val="top"/>
          </w:tcPr>
          <w:p w14:paraId="5A765A60">
            <w:pPr>
              <w:rPr>
                <w:rFonts w:ascii="Arial"/>
                <w:sz w:val="21"/>
              </w:rPr>
            </w:pPr>
          </w:p>
        </w:tc>
        <w:tc>
          <w:tcPr>
            <w:tcW w:w="229" w:type="dxa"/>
            <w:tcBorders>
              <w:top w:val="single" w:color="000000" w:sz="2" w:space="0"/>
              <w:bottom w:val="single" w:color="000000" w:sz="2" w:space="0"/>
            </w:tcBorders>
            <w:vAlign w:val="top"/>
          </w:tcPr>
          <w:p w14:paraId="0FDA464F">
            <w:pPr>
              <w:rPr>
                <w:rFonts w:ascii="Arial"/>
                <w:sz w:val="21"/>
              </w:rPr>
            </w:pPr>
          </w:p>
        </w:tc>
        <w:tc>
          <w:tcPr>
            <w:tcW w:w="239" w:type="dxa"/>
            <w:tcBorders>
              <w:top w:val="single" w:color="000000" w:sz="2" w:space="0"/>
              <w:bottom w:val="single" w:color="000000" w:sz="2" w:space="0"/>
            </w:tcBorders>
            <w:vAlign w:val="top"/>
          </w:tcPr>
          <w:p w14:paraId="6D601834">
            <w:pPr>
              <w:rPr>
                <w:rFonts w:ascii="Arial"/>
                <w:sz w:val="21"/>
              </w:rPr>
            </w:pPr>
          </w:p>
        </w:tc>
        <w:tc>
          <w:tcPr>
            <w:tcW w:w="234" w:type="dxa"/>
            <w:tcBorders>
              <w:top w:val="single" w:color="000000" w:sz="2" w:space="0"/>
              <w:bottom w:val="single" w:color="000000" w:sz="2" w:space="0"/>
            </w:tcBorders>
            <w:vAlign w:val="top"/>
          </w:tcPr>
          <w:p w14:paraId="17E37277">
            <w:pPr>
              <w:rPr>
                <w:rFonts w:ascii="Arial"/>
                <w:sz w:val="21"/>
              </w:rPr>
            </w:pPr>
          </w:p>
        </w:tc>
      </w:tr>
      <w:tr w14:paraId="229367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25" w:hRule="atLeast"/>
        </w:trPr>
        <w:tc>
          <w:tcPr>
            <w:tcW w:w="544" w:type="dxa"/>
            <w:tcBorders>
              <w:top w:val="single" w:color="000000" w:sz="2" w:space="0"/>
              <w:bottom w:val="single" w:color="000000" w:sz="2" w:space="0"/>
            </w:tcBorders>
            <w:vAlign w:val="top"/>
          </w:tcPr>
          <w:p w14:paraId="0C5B8DC9">
            <w:pPr>
              <w:pStyle w:val="6"/>
              <w:spacing w:before="285" w:line="224" w:lineRule="auto"/>
              <w:ind w:left="84" w:right="67"/>
              <w:jc w:val="both"/>
              <w:rPr>
                <w:sz w:val="18"/>
                <w:szCs w:val="18"/>
              </w:rPr>
            </w:pPr>
            <w:r>
              <w:rPr>
                <w:spacing w:val="-5"/>
                <w:sz w:val="18"/>
                <w:szCs w:val="18"/>
              </w:rPr>
              <w:t>脂肪</w:t>
            </w:r>
            <w:r>
              <w:rPr>
                <w:sz w:val="18"/>
                <w:szCs w:val="18"/>
              </w:rPr>
              <w:t xml:space="preserve"> </w:t>
            </w:r>
            <w:r>
              <w:rPr>
                <w:spacing w:val="4"/>
                <w:sz w:val="18"/>
                <w:szCs w:val="18"/>
              </w:rPr>
              <w:t>营养</w:t>
            </w:r>
            <w:r>
              <w:rPr>
                <w:sz w:val="18"/>
                <w:szCs w:val="18"/>
              </w:rPr>
              <w:t xml:space="preserve"> </w:t>
            </w:r>
            <w:r>
              <w:rPr>
                <w:spacing w:val="10"/>
                <w:sz w:val="18"/>
                <w:szCs w:val="18"/>
              </w:rPr>
              <w:t>作用</w:t>
            </w:r>
          </w:p>
        </w:tc>
        <w:tc>
          <w:tcPr>
            <w:tcW w:w="2644" w:type="dxa"/>
            <w:tcBorders>
              <w:top w:val="single" w:color="000000" w:sz="2" w:space="0"/>
              <w:bottom w:val="single" w:color="000000" w:sz="2" w:space="0"/>
            </w:tcBorders>
            <w:vAlign w:val="top"/>
          </w:tcPr>
          <w:p w14:paraId="57130DF6">
            <w:pPr>
              <w:spacing w:line="414" w:lineRule="auto"/>
              <w:rPr>
                <w:rFonts w:ascii="Arial"/>
                <w:sz w:val="21"/>
              </w:rPr>
            </w:pPr>
          </w:p>
          <w:p w14:paraId="0018A9E5">
            <w:pPr>
              <w:pStyle w:val="6"/>
              <w:spacing w:before="59" w:line="219" w:lineRule="auto"/>
              <w:ind w:left="101"/>
              <w:rPr>
                <w:sz w:val="18"/>
                <w:szCs w:val="18"/>
              </w:rPr>
            </w:pPr>
            <w:r>
              <w:rPr>
                <w:spacing w:val="2"/>
                <w:sz w:val="18"/>
                <w:szCs w:val="18"/>
              </w:rPr>
              <w:t>脂肪的组成及营养作用</w:t>
            </w:r>
          </w:p>
        </w:tc>
        <w:tc>
          <w:tcPr>
            <w:tcW w:w="229" w:type="dxa"/>
            <w:tcBorders>
              <w:top w:val="single" w:color="000000" w:sz="2" w:space="0"/>
              <w:bottom w:val="single" w:color="000000" w:sz="2" w:space="0"/>
            </w:tcBorders>
            <w:vAlign w:val="top"/>
          </w:tcPr>
          <w:p w14:paraId="19B4CBDA">
            <w:pPr>
              <w:rPr>
                <w:rFonts w:ascii="Arial"/>
                <w:sz w:val="21"/>
              </w:rPr>
            </w:pPr>
          </w:p>
        </w:tc>
        <w:tc>
          <w:tcPr>
            <w:tcW w:w="229" w:type="dxa"/>
            <w:tcBorders>
              <w:top w:val="single" w:color="000000" w:sz="2" w:space="0"/>
              <w:bottom w:val="single" w:color="000000" w:sz="2" w:space="0"/>
            </w:tcBorders>
            <w:vAlign w:val="top"/>
          </w:tcPr>
          <w:p w14:paraId="3AD1D76E">
            <w:pPr>
              <w:rPr>
                <w:rFonts w:ascii="Arial"/>
                <w:sz w:val="21"/>
              </w:rPr>
            </w:pPr>
          </w:p>
        </w:tc>
        <w:tc>
          <w:tcPr>
            <w:tcW w:w="239" w:type="dxa"/>
            <w:tcBorders>
              <w:top w:val="single" w:color="000000" w:sz="2" w:space="0"/>
              <w:bottom w:val="single" w:color="000000" w:sz="2" w:space="0"/>
            </w:tcBorders>
            <w:vAlign w:val="top"/>
          </w:tcPr>
          <w:p w14:paraId="4EE22AF0">
            <w:pPr>
              <w:rPr>
                <w:rFonts w:ascii="Arial"/>
                <w:sz w:val="21"/>
              </w:rPr>
            </w:pPr>
          </w:p>
        </w:tc>
        <w:tc>
          <w:tcPr>
            <w:tcW w:w="234" w:type="dxa"/>
            <w:tcBorders>
              <w:top w:val="single" w:color="000000" w:sz="2" w:space="0"/>
              <w:bottom w:val="single" w:color="000000" w:sz="2" w:space="0"/>
            </w:tcBorders>
            <w:vAlign w:val="top"/>
          </w:tcPr>
          <w:p w14:paraId="6054F2D6">
            <w:pPr>
              <w:rPr>
                <w:rFonts w:ascii="Arial"/>
                <w:sz w:val="21"/>
              </w:rPr>
            </w:pPr>
          </w:p>
        </w:tc>
      </w:tr>
      <w:tr w14:paraId="0FA5EB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84" w:hRule="atLeast"/>
        </w:trPr>
        <w:tc>
          <w:tcPr>
            <w:tcW w:w="544" w:type="dxa"/>
            <w:tcBorders>
              <w:top w:val="single" w:color="000000" w:sz="2" w:space="0"/>
              <w:bottom w:val="single" w:color="000000" w:sz="2" w:space="0"/>
            </w:tcBorders>
            <w:vAlign w:val="top"/>
          </w:tcPr>
          <w:p w14:paraId="0271FCE7">
            <w:pPr>
              <w:pStyle w:val="6"/>
              <w:spacing w:before="216" w:line="219" w:lineRule="auto"/>
              <w:ind w:left="84" w:right="67"/>
              <w:jc w:val="both"/>
              <w:rPr>
                <w:sz w:val="18"/>
                <w:szCs w:val="18"/>
              </w:rPr>
            </w:pPr>
            <w:r>
              <w:rPr>
                <w:spacing w:val="-4"/>
                <w:sz w:val="18"/>
                <w:szCs w:val="18"/>
              </w:rPr>
              <w:t>矿物</w:t>
            </w:r>
            <w:r>
              <w:rPr>
                <w:sz w:val="18"/>
                <w:szCs w:val="18"/>
              </w:rPr>
              <w:t xml:space="preserve"> </w:t>
            </w:r>
            <w:r>
              <w:rPr>
                <w:spacing w:val="7"/>
                <w:sz w:val="18"/>
                <w:szCs w:val="18"/>
              </w:rPr>
              <w:t>质的</w:t>
            </w:r>
            <w:r>
              <w:rPr>
                <w:sz w:val="18"/>
                <w:szCs w:val="18"/>
              </w:rPr>
              <w:t xml:space="preserve"> </w:t>
            </w:r>
            <w:r>
              <w:rPr>
                <w:spacing w:val="4"/>
                <w:sz w:val="18"/>
                <w:szCs w:val="18"/>
              </w:rPr>
              <w:t>营养</w:t>
            </w:r>
            <w:r>
              <w:rPr>
                <w:sz w:val="18"/>
                <w:szCs w:val="18"/>
              </w:rPr>
              <w:t xml:space="preserve"> </w:t>
            </w:r>
            <w:r>
              <w:rPr>
                <w:spacing w:val="10"/>
                <w:sz w:val="18"/>
                <w:szCs w:val="18"/>
              </w:rPr>
              <w:t>作用</w:t>
            </w:r>
          </w:p>
        </w:tc>
        <w:tc>
          <w:tcPr>
            <w:tcW w:w="2644" w:type="dxa"/>
            <w:tcBorders>
              <w:top w:val="single" w:color="000000" w:sz="2" w:space="0"/>
              <w:bottom w:val="single" w:color="000000" w:sz="2" w:space="0"/>
            </w:tcBorders>
            <w:vAlign w:val="top"/>
          </w:tcPr>
          <w:p w14:paraId="7FBBB716">
            <w:pPr>
              <w:spacing w:line="245" w:lineRule="auto"/>
              <w:rPr>
                <w:rFonts w:ascii="Arial"/>
                <w:sz w:val="21"/>
              </w:rPr>
            </w:pPr>
          </w:p>
          <w:p w14:paraId="0894AF34">
            <w:pPr>
              <w:pStyle w:val="6"/>
              <w:spacing w:before="59" w:line="217" w:lineRule="auto"/>
              <w:ind w:left="101" w:right="178"/>
              <w:rPr>
                <w:sz w:val="18"/>
                <w:szCs w:val="18"/>
              </w:rPr>
            </w:pPr>
            <w:r>
              <w:rPr>
                <w:sz w:val="18"/>
                <w:szCs w:val="18"/>
              </w:rPr>
              <w:t>1.常量元素钙、磷、钠、氯的</w:t>
            </w:r>
            <w:r>
              <w:rPr>
                <w:spacing w:val="12"/>
                <w:sz w:val="18"/>
                <w:szCs w:val="18"/>
              </w:rPr>
              <w:t xml:space="preserve"> </w:t>
            </w:r>
            <w:r>
              <w:rPr>
                <w:spacing w:val="5"/>
                <w:sz w:val="18"/>
                <w:szCs w:val="18"/>
              </w:rPr>
              <w:t>营养作用</w:t>
            </w:r>
          </w:p>
          <w:p w14:paraId="5F53E21E">
            <w:pPr>
              <w:pStyle w:val="6"/>
              <w:spacing w:before="16" w:line="219" w:lineRule="auto"/>
              <w:ind w:left="91"/>
              <w:rPr>
                <w:sz w:val="18"/>
                <w:szCs w:val="18"/>
              </w:rPr>
            </w:pPr>
            <w:r>
              <w:rPr>
                <w:spacing w:val="1"/>
                <w:sz w:val="18"/>
                <w:szCs w:val="18"/>
              </w:rPr>
              <w:t>2.微量元素对畜禽的营养作用</w:t>
            </w:r>
          </w:p>
        </w:tc>
        <w:tc>
          <w:tcPr>
            <w:tcW w:w="229" w:type="dxa"/>
            <w:tcBorders>
              <w:top w:val="single" w:color="000000" w:sz="2" w:space="0"/>
              <w:bottom w:val="single" w:color="000000" w:sz="2" w:space="0"/>
            </w:tcBorders>
            <w:vAlign w:val="top"/>
          </w:tcPr>
          <w:p w14:paraId="0E2DD288">
            <w:pPr>
              <w:rPr>
                <w:rFonts w:ascii="Arial"/>
                <w:sz w:val="21"/>
              </w:rPr>
            </w:pPr>
          </w:p>
        </w:tc>
        <w:tc>
          <w:tcPr>
            <w:tcW w:w="229" w:type="dxa"/>
            <w:tcBorders>
              <w:top w:val="single" w:color="000000" w:sz="2" w:space="0"/>
              <w:bottom w:val="single" w:color="000000" w:sz="2" w:space="0"/>
            </w:tcBorders>
            <w:vAlign w:val="top"/>
          </w:tcPr>
          <w:p w14:paraId="4528F808">
            <w:pPr>
              <w:rPr>
                <w:rFonts w:ascii="Arial"/>
                <w:sz w:val="21"/>
              </w:rPr>
            </w:pPr>
          </w:p>
        </w:tc>
        <w:tc>
          <w:tcPr>
            <w:tcW w:w="239" w:type="dxa"/>
            <w:tcBorders>
              <w:top w:val="single" w:color="000000" w:sz="2" w:space="0"/>
              <w:bottom w:val="single" w:color="000000" w:sz="2" w:space="0"/>
            </w:tcBorders>
            <w:textDirection w:val="tbRlV"/>
            <w:vAlign w:val="top"/>
          </w:tcPr>
          <w:p w14:paraId="68248EE5">
            <w:pPr>
              <w:pStyle w:val="6"/>
              <w:spacing w:before="28" w:line="197" w:lineRule="auto"/>
              <w:ind w:left="284"/>
              <w:rPr>
                <w:sz w:val="18"/>
                <w:szCs w:val="18"/>
              </w:rPr>
            </w:pPr>
            <w:r>
              <w:rPr>
                <w:sz w:val="18"/>
                <w:szCs w:val="18"/>
              </w:rPr>
              <w:t>八</w:t>
            </w:r>
          </w:p>
        </w:tc>
        <w:tc>
          <w:tcPr>
            <w:tcW w:w="234" w:type="dxa"/>
            <w:tcBorders>
              <w:top w:val="single" w:color="000000" w:sz="2" w:space="0"/>
              <w:bottom w:val="single" w:color="000000" w:sz="2" w:space="0"/>
            </w:tcBorders>
            <w:vAlign w:val="top"/>
          </w:tcPr>
          <w:p w14:paraId="1592C8D0">
            <w:pPr>
              <w:rPr>
                <w:rFonts w:ascii="Arial"/>
                <w:sz w:val="21"/>
              </w:rPr>
            </w:pPr>
          </w:p>
        </w:tc>
      </w:tr>
      <w:tr w14:paraId="610557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24" w:hRule="atLeast"/>
        </w:trPr>
        <w:tc>
          <w:tcPr>
            <w:tcW w:w="544" w:type="dxa"/>
            <w:tcBorders>
              <w:top w:val="single" w:color="000000" w:sz="2" w:space="0"/>
              <w:bottom w:val="single" w:color="000000" w:sz="2" w:space="0"/>
            </w:tcBorders>
            <w:vAlign w:val="top"/>
          </w:tcPr>
          <w:p w14:paraId="6F343BCF">
            <w:pPr>
              <w:pStyle w:val="6"/>
              <w:spacing w:before="167" w:line="224" w:lineRule="auto"/>
              <w:ind w:left="84" w:right="67"/>
              <w:jc w:val="both"/>
              <w:rPr>
                <w:sz w:val="18"/>
                <w:szCs w:val="18"/>
              </w:rPr>
            </w:pPr>
            <w:r>
              <w:rPr>
                <w:spacing w:val="-5"/>
                <w:sz w:val="18"/>
                <w:szCs w:val="18"/>
              </w:rPr>
              <w:t>维生</w:t>
            </w:r>
            <w:r>
              <w:rPr>
                <w:sz w:val="18"/>
                <w:szCs w:val="18"/>
              </w:rPr>
              <w:t xml:space="preserve"> </w:t>
            </w:r>
            <w:r>
              <w:rPr>
                <w:spacing w:val="7"/>
                <w:sz w:val="18"/>
                <w:szCs w:val="18"/>
              </w:rPr>
              <w:t>素的</w:t>
            </w:r>
            <w:r>
              <w:rPr>
                <w:sz w:val="18"/>
                <w:szCs w:val="18"/>
              </w:rPr>
              <w:t xml:space="preserve"> </w:t>
            </w:r>
            <w:r>
              <w:rPr>
                <w:spacing w:val="4"/>
                <w:sz w:val="18"/>
                <w:szCs w:val="18"/>
              </w:rPr>
              <w:t>营养</w:t>
            </w:r>
            <w:r>
              <w:rPr>
                <w:sz w:val="18"/>
                <w:szCs w:val="18"/>
              </w:rPr>
              <w:t xml:space="preserve"> </w:t>
            </w:r>
            <w:r>
              <w:rPr>
                <w:spacing w:val="10"/>
                <w:sz w:val="18"/>
                <w:szCs w:val="18"/>
              </w:rPr>
              <w:t>作用</w:t>
            </w:r>
          </w:p>
        </w:tc>
        <w:tc>
          <w:tcPr>
            <w:tcW w:w="2644" w:type="dxa"/>
            <w:tcBorders>
              <w:top w:val="single" w:color="000000" w:sz="2" w:space="0"/>
              <w:bottom w:val="single" w:color="000000" w:sz="2" w:space="0"/>
            </w:tcBorders>
            <w:vAlign w:val="top"/>
          </w:tcPr>
          <w:p w14:paraId="2FE37B4F">
            <w:pPr>
              <w:spacing w:line="345" w:lineRule="auto"/>
              <w:rPr>
                <w:rFonts w:ascii="Arial"/>
                <w:sz w:val="21"/>
              </w:rPr>
            </w:pPr>
          </w:p>
          <w:p w14:paraId="300EEA5C">
            <w:pPr>
              <w:pStyle w:val="6"/>
              <w:spacing w:before="59" w:line="212" w:lineRule="auto"/>
              <w:ind w:left="101" w:right="351"/>
              <w:rPr>
                <w:sz w:val="18"/>
                <w:szCs w:val="18"/>
              </w:rPr>
            </w:pPr>
            <w:r>
              <w:rPr>
                <w:spacing w:val="1"/>
                <w:sz w:val="18"/>
                <w:szCs w:val="18"/>
              </w:rPr>
              <w:t>1.脂溶性维生素的营养作用</w:t>
            </w:r>
            <w:r>
              <w:rPr>
                <w:spacing w:val="7"/>
                <w:sz w:val="18"/>
                <w:szCs w:val="18"/>
              </w:rPr>
              <w:t xml:space="preserve"> </w:t>
            </w:r>
            <w:r>
              <w:rPr>
                <w:spacing w:val="1"/>
                <w:sz w:val="18"/>
                <w:szCs w:val="18"/>
              </w:rPr>
              <w:t>2.水溶性维生素的营养作用</w:t>
            </w:r>
          </w:p>
        </w:tc>
        <w:tc>
          <w:tcPr>
            <w:tcW w:w="229" w:type="dxa"/>
            <w:tcBorders>
              <w:top w:val="single" w:color="000000" w:sz="2" w:space="0"/>
              <w:bottom w:val="single" w:color="000000" w:sz="2" w:space="0"/>
            </w:tcBorders>
            <w:vAlign w:val="top"/>
          </w:tcPr>
          <w:p w14:paraId="37D6B358">
            <w:pPr>
              <w:rPr>
                <w:rFonts w:ascii="Arial"/>
                <w:sz w:val="21"/>
              </w:rPr>
            </w:pPr>
          </w:p>
        </w:tc>
        <w:tc>
          <w:tcPr>
            <w:tcW w:w="229" w:type="dxa"/>
            <w:tcBorders>
              <w:top w:val="single" w:color="000000" w:sz="2" w:space="0"/>
              <w:bottom w:val="single" w:color="000000" w:sz="2" w:space="0"/>
            </w:tcBorders>
            <w:vAlign w:val="top"/>
          </w:tcPr>
          <w:p w14:paraId="5AE65264">
            <w:pPr>
              <w:rPr>
                <w:rFonts w:ascii="Arial"/>
                <w:sz w:val="21"/>
              </w:rPr>
            </w:pPr>
          </w:p>
        </w:tc>
        <w:tc>
          <w:tcPr>
            <w:tcW w:w="239" w:type="dxa"/>
            <w:tcBorders>
              <w:top w:val="single" w:color="000000" w:sz="2" w:space="0"/>
              <w:bottom w:val="single" w:color="000000" w:sz="2" w:space="0"/>
            </w:tcBorders>
            <w:textDirection w:val="tbRlV"/>
            <w:vAlign w:val="top"/>
          </w:tcPr>
          <w:p w14:paraId="5070EB77">
            <w:pPr>
              <w:pStyle w:val="6"/>
              <w:spacing w:before="72" w:line="132" w:lineRule="exact"/>
              <w:ind w:left="309"/>
              <w:rPr>
                <w:sz w:val="18"/>
                <w:szCs w:val="18"/>
              </w:rPr>
            </w:pPr>
            <w:r>
              <w:rPr>
                <w:spacing w:val="43"/>
                <w:w w:val="125"/>
                <w:position w:val="-3"/>
                <w:sz w:val="18"/>
                <w:szCs w:val="18"/>
              </w:rPr>
              <w:t>&lt; v</w:t>
            </w:r>
          </w:p>
        </w:tc>
        <w:tc>
          <w:tcPr>
            <w:tcW w:w="234" w:type="dxa"/>
            <w:tcBorders>
              <w:top w:val="single" w:color="000000" w:sz="2" w:space="0"/>
              <w:bottom w:val="single" w:color="000000" w:sz="2" w:space="0"/>
            </w:tcBorders>
            <w:vAlign w:val="top"/>
          </w:tcPr>
          <w:p w14:paraId="3CC5FF4B">
            <w:pPr>
              <w:rPr>
                <w:rFonts w:ascii="Arial"/>
                <w:sz w:val="21"/>
              </w:rPr>
            </w:pPr>
          </w:p>
        </w:tc>
      </w:tr>
      <w:tr w14:paraId="182FF8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15" w:hRule="atLeast"/>
        </w:trPr>
        <w:tc>
          <w:tcPr>
            <w:tcW w:w="544" w:type="dxa"/>
            <w:tcBorders>
              <w:top w:val="single" w:color="000000" w:sz="2" w:space="0"/>
              <w:bottom w:val="single" w:color="000000" w:sz="2" w:space="0"/>
            </w:tcBorders>
            <w:vAlign w:val="top"/>
          </w:tcPr>
          <w:p w14:paraId="61A82E3F">
            <w:pPr>
              <w:pStyle w:val="6"/>
              <w:spacing w:before="115" w:line="221" w:lineRule="auto"/>
              <w:ind w:left="84" w:right="67"/>
              <w:jc w:val="both"/>
              <w:rPr>
                <w:sz w:val="18"/>
                <w:szCs w:val="18"/>
              </w:rPr>
            </w:pPr>
            <w:r>
              <w:rPr>
                <w:spacing w:val="7"/>
                <w:sz w:val="18"/>
                <w:szCs w:val="18"/>
              </w:rPr>
              <w:t>水的</w:t>
            </w:r>
            <w:r>
              <w:rPr>
                <w:sz w:val="18"/>
                <w:szCs w:val="18"/>
              </w:rPr>
              <w:t xml:space="preserve"> </w:t>
            </w:r>
            <w:r>
              <w:rPr>
                <w:spacing w:val="4"/>
                <w:sz w:val="18"/>
                <w:szCs w:val="18"/>
              </w:rPr>
              <w:t>营养</w:t>
            </w:r>
            <w:r>
              <w:rPr>
                <w:sz w:val="18"/>
                <w:szCs w:val="18"/>
              </w:rPr>
              <w:t xml:space="preserve"> </w:t>
            </w:r>
            <w:r>
              <w:rPr>
                <w:spacing w:val="10"/>
                <w:sz w:val="18"/>
                <w:szCs w:val="18"/>
              </w:rPr>
              <w:t>作用</w:t>
            </w:r>
          </w:p>
        </w:tc>
        <w:tc>
          <w:tcPr>
            <w:tcW w:w="2644" w:type="dxa"/>
            <w:tcBorders>
              <w:top w:val="single" w:color="000000" w:sz="2" w:space="0"/>
              <w:bottom w:val="single" w:color="000000" w:sz="2" w:space="0"/>
            </w:tcBorders>
            <w:vAlign w:val="top"/>
          </w:tcPr>
          <w:p w14:paraId="2DBB87DE">
            <w:pPr>
              <w:pStyle w:val="6"/>
              <w:spacing w:before="247" w:line="205" w:lineRule="auto"/>
              <w:ind w:left="101"/>
              <w:rPr>
                <w:sz w:val="18"/>
                <w:szCs w:val="18"/>
              </w:rPr>
            </w:pPr>
            <w:r>
              <w:rPr>
                <w:spacing w:val="2"/>
                <w:sz w:val="18"/>
                <w:szCs w:val="18"/>
              </w:rPr>
              <w:t>1.水的营养作用</w:t>
            </w:r>
          </w:p>
          <w:p w14:paraId="1D1E5E0E">
            <w:pPr>
              <w:pStyle w:val="6"/>
              <w:spacing w:line="219" w:lineRule="auto"/>
              <w:ind w:left="101"/>
              <w:rPr>
                <w:sz w:val="18"/>
                <w:szCs w:val="18"/>
              </w:rPr>
            </w:pPr>
            <w:r>
              <w:rPr>
                <w:spacing w:val="-1"/>
                <w:sz w:val="18"/>
                <w:szCs w:val="18"/>
              </w:rPr>
              <w:t>2.水的来源、排出和需水量</w:t>
            </w:r>
          </w:p>
        </w:tc>
        <w:tc>
          <w:tcPr>
            <w:tcW w:w="229" w:type="dxa"/>
            <w:tcBorders>
              <w:top w:val="single" w:color="000000" w:sz="2" w:space="0"/>
              <w:bottom w:val="single" w:color="000000" w:sz="2" w:space="0"/>
            </w:tcBorders>
            <w:vAlign w:val="top"/>
          </w:tcPr>
          <w:p w14:paraId="1902DF2F">
            <w:pPr>
              <w:rPr>
                <w:rFonts w:ascii="Arial"/>
                <w:sz w:val="21"/>
              </w:rPr>
            </w:pPr>
          </w:p>
        </w:tc>
        <w:tc>
          <w:tcPr>
            <w:tcW w:w="229" w:type="dxa"/>
            <w:tcBorders>
              <w:top w:val="single" w:color="000000" w:sz="2" w:space="0"/>
              <w:bottom w:val="single" w:color="000000" w:sz="2" w:space="0"/>
            </w:tcBorders>
            <w:vAlign w:val="top"/>
          </w:tcPr>
          <w:p w14:paraId="7AFD5C8C">
            <w:pPr>
              <w:rPr>
                <w:rFonts w:ascii="Arial"/>
                <w:sz w:val="21"/>
              </w:rPr>
            </w:pPr>
          </w:p>
        </w:tc>
        <w:tc>
          <w:tcPr>
            <w:tcW w:w="239" w:type="dxa"/>
            <w:tcBorders>
              <w:top w:val="single" w:color="000000" w:sz="2" w:space="0"/>
              <w:bottom w:val="single" w:color="000000" w:sz="2" w:space="0"/>
            </w:tcBorders>
            <w:textDirection w:val="tbRlV"/>
            <w:vAlign w:val="top"/>
          </w:tcPr>
          <w:p w14:paraId="7FD61C05">
            <w:pPr>
              <w:pStyle w:val="6"/>
              <w:spacing w:before="58" w:line="144" w:lineRule="exact"/>
              <w:ind w:left="295"/>
              <w:rPr>
                <w:sz w:val="18"/>
                <w:szCs w:val="18"/>
              </w:rPr>
            </w:pPr>
            <w:r>
              <w:rPr>
                <w:position w:val="-3"/>
                <w:sz w:val="18"/>
                <w:szCs w:val="18"/>
              </w:rPr>
              <w:t>√</w:t>
            </w:r>
          </w:p>
        </w:tc>
        <w:tc>
          <w:tcPr>
            <w:tcW w:w="234" w:type="dxa"/>
            <w:tcBorders>
              <w:top w:val="single" w:color="000000" w:sz="2" w:space="0"/>
              <w:bottom w:val="single" w:color="000000" w:sz="2" w:space="0"/>
            </w:tcBorders>
            <w:vAlign w:val="top"/>
          </w:tcPr>
          <w:p w14:paraId="2CDFC954">
            <w:pPr>
              <w:rPr>
                <w:rFonts w:ascii="Arial"/>
                <w:sz w:val="21"/>
              </w:rPr>
            </w:pPr>
          </w:p>
        </w:tc>
      </w:tr>
      <w:tr w14:paraId="4E0670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99" w:hRule="atLeast"/>
        </w:trPr>
        <w:tc>
          <w:tcPr>
            <w:tcW w:w="544" w:type="dxa"/>
            <w:tcBorders>
              <w:top w:val="single" w:color="000000" w:sz="2" w:space="0"/>
              <w:bottom w:val="single" w:color="000000" w:sz="2" w:space="0"/>
            </w:tcBorders>
            <w:vAlign w:val="top"/>
          </w:tcPr>
          <w:p w14:paraId="223E02E4">
            <w:pPr>
              <w:pStyle w:val="6"/>
              <w:spacing w:before="148" w:line="221" w:lineRule="auto"/>
              <w:ind w:left="84"/>
              <w:rPr>
                <w:sz w:val="18"/>
                <w:szCs w:val="18"/>
              </w:rPr>
            </w:pPr>
            <w:r>
              <w:rPr>
                <w:spacing w:val="3"/>
                <w:sz w:val="18"/>
                <w:szCs w:val="18"/>
              </w:rPr>
              <w:t>能量</w:t>
            </w:r>
          </w:p>
          <w:p w14:paraId="5660BC04">
            <w:pPr>
              <w:pStyle w:val="6"/>
              <w:spacing w:before="15" w:line="221" w:lineRule="auto"/>
              <w:ind w:left="84"/>
              <w:rPr>
                <w:sz w:val="18"/>
                <w:szCs w:val="18"/>
              </w:rPr>
            </w:pPr>
            <w:r>
              <w:rPr>
                <w:spacing w:val="8"/>
                <w:sz w:val="18"/>
                <w:szCs w:val="18"/>
              </w:rPr>
              <w:t>与畜</w:t>
            </w:r>
          </w:p>
          <w:p w14:paraId="0679D3D7">
            <w:pPr>
              <w:pStyle w:val="6"/>
              <w:spacing w:before="1" w:line="205" w:lineRule="auto"/>
              <w:ind w:left="84"/>
              <w:rPr>
                <w:sz w:val="18"/>
                <w:szCs w:val="18"/>
              </w:rPr>
            </w:pPr>
            <w:r>
              <w:rPr>
                <w:spacing w:val="5"/>
                <w:sz w:val="18"/>
                <w:szCs w:val="18"/>
              </w:rPr>
              <w:t>禽营</w:t>
            </w:r>
          </w:p>
          <w:p w14:paraId="4B14BB33">
            <w:pPr>
              <w:pStyle w:val="6"/>
              <w:spacing w:line="219" w:lineRule="auto"/>
              <w:ind w:left="175"/>
              <w:rPr>
                <w:sz w:val="18"/>
                <w:szCs w:val="18"/>
              </w:rPr>
            </w:pPr>
            <w:r>
              <w:rPr>
                <w:sz w:val="18"/>
                <w:szCs w:val="18"/>
              </w:rPr>
              <w:t>养</w:t>
            </w:r>
          </w:p>
        </w:tc>
        <w:tc>
          <w:tcPr>
            <w:tcW w:w="2644" w:type="dxa"/>
            <w:tcBorders>
              <w:top w:val="single" w:color="000000" w:sz="2" w:space="0"/>
              <w:bottom w:val="single" w:color="000000" w:sz="2" w:space="0"/>
            </w:tcBorders>
            <w:vAlign w:val="top"/>
          </w:tcPr>
          <w:p w14:paraId="66E5223A">
            <w:pPr>
              <w:spacing w:line="316" w:lineRule="auto"/>
              <w:rPr>
                <w:rFonts w:ascii="Arial"/>
                <w:sz w:val="21"/>
              </w:rPr>
            </w:pPr>
          </w:p>
          <w:p w14:paraId="45982C22">
            <w:pPr>
              <w:pStyle w:val="6"/>
              <w:spacing w:before="59" w:line="223" w:lineRule="auto"/>
              <w:ind w:left="101" w:right="199"/>
              <w:rPr>
                <w:sz w:val="18"/>
                <w:szCs w:val="18"/>
              </w:rPr>
            </w:pPr>
            <w:r>
              <w:rPr>
                <w:spacing w:val="-1"/>
                <w:sz w:val="18"/>
                <w:szCs w:val="18"/>
              </w:rPr>
              <w:t>饲料中能量在畜禽体内的转化</w:t>
            </w:r>
            <w:r>
              <w:rPr>
                <w:spacing w:val="5"/>
                <w:sz w:val="18"/>
                <w:szCs w:val="18"/>
              </w:rPr>
              <w:t xml:space="preserve"> </w:t>
            </w:r>
            <w:r>
              <w:rPr>
                <w:spacing w:val="-2"/>
                <w:sz w:val="18"/>
                <w:szCs w:val="18"/>
              </w:rPr>
              <w:t>过程</w:t>
            </w:r>
          </w:p>
        </w:tc>
        <w:tc>
          <w:tcPr>
            <w:tcW w:w="229" w:type="dxa"/>
            <w:tcBorders>
              <w:top w:val="single" w:color="000000" w:sz="2" w:space="0"/>
              <w:bottom w:val="single" w:color="000000" w:sz="2" w:space="0"/>
            </w:tcBorders>
            <w:vAlign w:val="top"/>
          </w:tcPr>
          <w:p w14:paraId="5C92CBF1">
            <w:pPr>
              <w:rPr>
                <w:rFonts w:ascii="Arial"/>
                <w:sz w:val="21"/>
              </w:rPr>
            </w:pPr>
          </w:p>
        </w:tc>
        <w:tc>
          <w:tcPr>
            <w:tcW w:w="229" w:type="dxa"/>
            <w:tcBorders>
              <w:top w:val="single" w:color="000000" w:sz="2" w:space="0"/>
              <w:bottom w:val="single" w:color="000000" w:sz="2" w:space="0"/>
            </w:tcBorders>
            <w:vAlign w:val="top"/>
          </w:tcPr>
          <w:p w14:paraId="41C5F2BB">
            <w:pPr>
              <w:spacing w:line="453" w:lineRule="auto"/>
              <w:rPr>
                <w:rFonts w:ascii="Arial"/>
                <w:sz w:val="21"/>
              </w:rPr>
            </w:pPr>
          </w:p>
          <w:p w14:paraId="5CD3CC32">
            <w:pPr>
              <w:pStyle w:val="6"/>
              <w:spacing w:before="58" w:line="182" w:lineRule="auto"/>
              <w:ind w:left="28"/>
              <w:rPr>
                <w:sz w:val="18"/>
                <w:szCs w:val="18"/>
              </w:rPr>
            </w:pPr>
            <w:r>
              <w:rPr>
                <w:sz w:val="18"/>
                <w:szCs w:val="18"/>
              </w:rPr>
              <w:t>V</w:t>
            </w:r>
          </w:p>
        </w:tc>
        <w:tc>
          <w:tcPr>
            <w:tcW w:w="239" w:type="dxa"/>
            <w:tcBorders>
              <w:top w:val="single" w:color="000000" w:sz="2" w:space="0"/>
              <w:bottom w:val="single" w:color="000000" w:sz="2" w:space="0"/>
            </w:tcBorders>
            <w:vAlign w:val="top"/>
          </w:tcPr>
          <w:p w14:paraId="5BD4FC47">
            <w:pPr>
              <w:rPr>
                <w:rFonts w:ascii="Arial"/>
                <w:sz w:val="21"/>
              </w:rPr>
            </w:pPr>
          </w:p>
        </w:tc>
        <w:tc>
          <w:tcPr>
            <w:tcW w:w="234" w:type="dxa"/>
            <w:tcBorders>
              <w:top w:val="single" w:color="000000" w:sz="2" w:space="0"/>
              <w:bottom w:val="single" w:color="000000" w:sz="2" w:space="0"/>
            </w:tcBorders>
            <w:vAlign w:val="top"/>
          </w:tcPr>
          <w:p w14:paraId="499E097E">
            <w:pPr>
              <w:rPr>
                <w:rFonts w:ascii="Arial"/>
                <w:sz w:val="21"/>
              </w:rPr>
            </w:pPr>
          </w:p>
        </w:tc>
      </w:tr>
    </w:tbl>
    <w:p w14:paraId="3A949B09">
      <w:pPr>
        <w:pStyle w:val="2"/>
        <w:spacing w:line="14" w:lineRule="auto"/>
        <w:rPr>
          <w:sz w:val="2"/>
        </w:rPr>
      </w:pPr>
    </w:p>
    <w:p w14:paraId="6FB10E0F">
      <w:pPr>
        <w:pStyle w:val="2"/>
        <w:spacing w:line="14" w:lineRule="auto"/>
        <w:rPr>
          <w:sz w:val="2"/>
        </w:rPr>
      </w:pPr>
      <w:r>
        <w:rPr>
          <w:sz w:val="2"/>
          <w:szCs w:val="2"/>
        </w:rPr>
        <w:br w:type="column"/>
      </w:r>
    </w:p>
    <w:p w14:paraId="1F6BC258">
      <w:pPr>
        <w:spacing w:before="38" w:line="222" w:lineRule="auto"/>
        <w:ind w:left="1077"/>
        <w:rPr>
          <w:rFonts w:ascii="黑体" w:hAnsi="黑体" w:eastAsia="黑体" w:cs="黑体"/>
          <w:sz w:val="20"/>
          <w:szCs w:val="20"/>
        </w:rPr>
      </w:pPr>
      <w:r>
        <w:drawing>
          <wp:anchor distT="0" distB="0" distL="0" distR="0" simplePos="0" relativeHeight="251663360" behindDoc="0" locked="0" layoutInCell="1" allowOverlap="1">
            <wp:simplePos x="0" y="0"/>
            <wp:positionH relativeFrom="column">
              <wp:posOffset>2056765</wp:posOffset>
            </wp:positionH>
            <wp:positionV relativeFrom="paragraph">
              <wp:posOffset>5593080</wp:posOffset>
            </wp:positionV>
            <wp:extent cx="94615" cy="340995"/>
            <wp:effectExtent l="0" t="0" r="0" b="0"/>
            <wp:wrapNone/>
            <wp:docPr id="56" name="IM 56"/>
            <wp:cNvGraphicFramePr/>
            <a:graphic xmlns:a="http://schemas.openxmlformats.org/drawingml/2006/main">
              <a:graphicData uri="http://schemas.openxmlformats.org/drawingml/2006/picture">
                <pic:pic xmlns:pic="http://schemas.openxmlformats.org/drawingml/2006/picture">
                  <pic:nvPicPr>
                    <pic:cNvPr id="56" name="IM 56"/>
                    <pic:cNvPicPr/>
                  </pic:nvPicPr>
                  <pic:blipFill>
                    <a:blip r:embed="rId193"/>
                    <a:stretch>
                      <a:fillRect/>
                    </a:stretch>
                  </pic:blipFill>
                  <pic:spPr>
                    <a:xfrm>
                      <a:off x="0" y="0"/>
                      <a:ext cx="94839" cy="341167"/>
                    </a:xfrm>
                    <a:prstGeom prst="rect">
                      <a:avLst/>
                    </a:prstGeom>
                  </pic:spPr>
                </pic:pic>
              </a:graphicData>
            </a:graphic>
          </wp:anchor>
        </w:drawing>
      </w:r>
      <w:r>
        <w:drawing>
          <wp:anchor distT="0" distB="0" distL="0" distR="0" simplePos="0" relativeHeight="251662336" behindDoc="0" locked="0" layoutInCell="1" allowOverlap="1">
            <wp:simplePos x="0" y="0"/>
            <wp:positionH relativeFrom="column">
              <wp:posOffset>2056765</wp:posOffset>
            </wp:positionH>
            <wp:positionV relativeFrom="paragraph">
              <wp:posOffset>916940</wp:posOffset>
            </wp:positionV>
            <wp:extent cx="94615" cy="342900"/>
            <wp:effectExtent l="0" t="0" r="0" b="0"/>
            <wp:wrapNone/>
            <wp:docPr id="58" name="IM 58"/>
            <wp:cNvGraphicFramePr/>
            <a:graphic xmlns:a="http://schemas.openxmlformats.org/drawingml/2006/main">
              <a:graphicData uri="http://schemas.openxmlformats.org/drawingml/2006/picture">
                <pic:pic xmlns:pic="http://schemas.openxmlformats.org/drawingml/2006/picture">
                  <pic:nvPicPr>
                    <pic:cNvPr id="58" name="IM 58"/>
                    <pic:cNvPicPr/>
                  </pic:nvPicPr>
                  <pic:blipFill>
                    <a:blip r:embed="rId194"/>
                    <a:stretch>
                      <a:fillRect/>
                    </a:stretch>
                  </pic:blipFill>
                  <pic:spPr>
                    <a:xfrm>
                      <a:off x="0" y="0"/>
                      <a:ext cx="94839" cy="342861"/>
                    </a:xfrm>
                    <a:prstGeom prst="rect">
                      <a:avLst/>
                    </a:prstGeom>
                  </pic:spPr>
                </pic:pic>
              </a:graphicData>
            </a:graphic>
          </wp:anchor>
        </w:drawing>
      </w:r>
      <w:r>
        <w:rPr>
          <w:rFonts w:ascii="黑体" w:hAnsi="黑体" w:eastAsia="黑体" w:cs="黑体"/>
          <w:b/>
          <w:bCs/>
          <w:spacing w:val="-5"/>
          <w:sz w:val="20"/>
          <w:szCs w:val="20"/>
        </w:rPr>
        <w:t>二、饲料及其加工利用</w:t>
      </w:r>
    </w:p>
    <w:p w14:paraId="759DBBA7">
      <w:pPr>
        <w:spacing w:line="150" w:lineRule="exact"/>
      </w:pPr>
    </w:p>
    <w:tbl>
      <w:tblPr>
        <w:tblStyle w:val="5"/>
        <w:tblW w:w="410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54"/>
        <w:gridCol w:w="2624"/>
        <w:gridCol w:w="239"/>
        <w:gridCol w:w="219"/>
        <w:gridCol w:w="239"/>
        <w:gridCol w:w="234"/>
      </w:tblGrid>
      <w:tr w14:paraId="2B256A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4" w:hRule="atLeast"/>
        </w:trPr>
        <w:tc>
          <w:tcPr>
            <w:tcW w:w="554" w:type="dxa"/>
            <w:vMerge w:val="restart"/>
            <w:tcBorders>
              <w:bottom w:val="nil"/>
            </w:tcBorders>
            <w:vAlign w:val="top"/>
          </w:tcPr>
          <w:p w14:paraId="5A822188">
            <w:pPr>
              <w:pStyle w:val="6"/>
              <w:spacing w:before="192" w:line="219" w:lineRule="auto"/>
              <w:ind w:left="87" w:right="104"/>
              <w:rPr>
                <w:sz w:val="18"/>
                <w:szCs w:val="18"/>
              </w:rPr>
            </w:pPr>
            <w:r>
              <w:rPr>
                <w:b/>
                <w:bCs/>
                <w:spacing w:val="-8"/>
                <w:sz w:val="18"/>
                <w:szCs w:val="18"/>
              </w:rPr>
              <w:t>知识</w:t>
            </w:r>
            <w:r>
              <w:rPr>
                <w:sz w:val="18"/>
                <w:szCs w:val="18"/>
              </w:rPr>
              <w:t xml:space="preserve"> </w:t>
            </w:r>
            <w:r>
              <w:rPr>
                <w:b/>
                <w:bCs/>
                <w:spacing w:val="-6"/>
                <w:sz w:val="18"/>
                <w:szCs w:val="18"/>
              </w:rPr>
              <w:t>要点</w:t>
            </w:r>
          </w:p>
        </w:tc>
        <w:tc>
          <w:tcPr>
            <w:tcW w:w="2624" w:type="dxa"/>
            <w:vMerge w:val="restart"/>
            <w:tcBorders>
              <w:bottom w:val="nil"/>
            </w:tcBorders>
            <w:vAlign w:val="top"/>
          </w:tcPr>
          <w:p w14:paraId="75FE8520">
            <w:pPr>
              <w:pStyle w:val="6"/>
              <w:spacing w:before="299" w:line="219" w:lineRule="auto"/>
              <w:ind w:left="993"/>
              <w:rPr>
                <w:sz w:val="18"/>
                <w:szCs w:val="18"/>
              </w:rPr>
            </w:pPr>
            <w:r>
              <w:rPr>
                <w:b/>
                <w:bCs/>
                <w:spacing w:val="5"/>
                <w:sz w:val="18"/>
                <w:szCs w:val="18"/>
              </w:rPr>
              <w:t>考试条目</w:t>
            </w:r>
          </w:p>
        </w:tc>
        <w:tc>
          <w:tcPr>
            <w:tcW w:w="931" w:type="dxa"/>
            <w:gridSpan w:val="4"/>
            <w:vAlign w:val="top"/>
          </w:tcPr>
          <w:p w14:paraId="7A4750FC">
            <w:pPr>
              <w:pStyle w:val="6"/>
              <w:spacing w:before="99" w:line="219" w:lineRule="auto"/>
              <w:ind w:left="139"/>
              <w:rPr>
                <w:sz w:val="18"/>
                <w:szCs w:val="18"/>
              </w:rPr>
            </w:pPr>
            <w:r>
              <w:rPr>
                <w:b/>
                <w:bCs/>
                <w:spacing w:val="-4"/>
                <w:sz w:val="18"/>
                <w:szCs w:val="18"/>
              </w:rPr>
              <w:t>考试水平</w:t>
            </w:r>
          </w:p>
        </w:tc>
      </w:tr>
      <w:tr w14:paraId="4A1981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9" w:hRule="atLeast"/>
        </w:trPr>
        <w:tc>
          <w:tcPr>
            <w:tcW w:w="554" w:type="dxa"/>
            <w:vMerge w:val="continue"/>
            <w:tcBorders>
              <w:top w:val="nil"/>
            </w:tcBorders>
            <w:vAlign w:val="top"/>
          </w:tcPr>
          <w:p w14:paraId="22F453BB">
            <w:pPr>
              <w:rPr>
                <w:rFonts w:ascii="Arial"/>
                <w:sz w:val="21"/>
              </w:rPr>
            </w:pPr>
          </w:p>
        </w:tc>
        <w:tc>
          <w:tcPr>
            <w:tcW w:w="2624" w:type="dxa"/>
            <w:vMerge w:val="continue"/>
            <w:tcBorders>
              <w:top w:val="nil"/>
            </w:tcBorders>
            <w:vAlign w:val="top"/>
          </w:tcPr>
          <w:p w14:paraId="2A4AF90E">
            <w:pPr>
              <w:rPr>
                <w:rFonts w:ascii="Arial"/>
                <w:sz w:val="21"/>
              </w:rPr>
            </w:pPr>
          </w:p>
        </w:tc>
        <w:tc>
          <w:tcPr>
            <w:tcW w:w="239" w:type="dxa"/>
            <w:vAlign w:val="top"/>
          </w:tcPr>
          <w:p w14:paraId="60A39DE0">
            <w:pPr>
              <w:pStyle w:val="6"/>
              <w:spacing w:before="143" w:line="184" w:lineRule="auto"/>
              <w:ind w:left="46"/>
              <w:rPr>
                <w:sz w:val="18"/>
                <w:szCs w:val="18"/>
              </w:rPr>
            </w:pPr>
            <w:r>
              <w:rPr>
                <w:sz w:val="18"/>
                <w:szCs w:val="18"/>
              </w:rPr>
              <w:t>A</w:t>
            </w:r>
          </w:p>
        </w:tc>
        <w:tc>
          <w:tcPr>
            <w:tcW w:w="219" w:type="dxa"/>
            <w:vAlign w:val="top"/>
          </w:tcPr>
          <w:p w14:paraId="29C17DE5">
            <w:pPr>
              <w:pStyle w:val="6"/>
              <w:spacing w:before="145" w:line="182" w:lineRule="auto"/>
              <w:ind w:left="48"/>
              <w:rPr>
                <w:sz w:val="18"/>
                <w:szCs w:val="18"/>
              </w:rPr>
            </w:pPr>
            <w:r>
              <w:rPr>
                <w:sz w:val="18"/>
                <w:szCs w:val="18"/>
              </w:rPr>
              <w:t>B</w:t>
            </w:r>
          </w:p>
        </w:tc>
        <w:tc>
          <w:tcPr>
            <w:tcW w:w="239" w:type="dxa"/>
            <w:vAlign w:val="top"/>
          </w:tcPr>
          <w:p w14:paraId="527B57FF">
            <w:pPr>
              <w:pStyle w:val="6"/>
              <w:spacing w:before="144" w:line="183" w:lineRule="auto"/>
              <w:ind w:left="68"/>
              <w:rPr>
                <w:sz w:val="18"/>
                <w:szCs w:val="18"/>
              </w:rPr>
            </w:pPr>
            <w:r>
              <w:rPr>
                <w:sz w:val="18"/>
                <w:szCs w:val="18"/>
              </w:rPr>
              <w:t>C</w:t>
            </w:r>
          </w:p>
        </w:tc>
        <w:tc>
          <w:tcPr>
            <w:tcW w:w="234" w:type="dxa"/>
            <w:vAlign w:val="top"/>
          </w:tcPr>
          <w:p w14:paraId="3F270287">
            <w:pPr>
              <w:pStyle w:val="6"/>
              <w:spacing w:before="145" w:line="182" w:lineRule="auto"/>
              <w:ind w:left="19"/>
              <w:rPr>
                <w:sz w:val="18"/>
                <w:szCs w:val="18"/>
              </w:rPr>
            </w:pPr>
            <w:r>
              <w:rPr>
                <w:sz w:val="18"/>
                <w:szCs w:val="18"/>
              </w:rPr>
              <w:t>D</w:t>
            </w:r>
          </w:p>
        </w:tc>
      </w:tr>
      <w:tr w14:paraId="572CE8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0" w:hRule="atLeast"/>
        </w:trPr>
        <w:tc>
          <w:tcPr>
            <w:tcW w:w="554" w:type="dxa"/>
            <w:vMerge w:val="restart"/>
            <w:tcBorders>
              <w:bottom w:val="nil"/>
            </w:tcBorders>
            <w:vAlign w:val="top"/>
          </w:tcPr>
          <w:p w14:paraId="2DC119F6">
            <w:pPr>
              <w:pStyle w:val="6"/>
              <w:spacing w:before="81" w:line="225" w:lineRule="auto"/>
              <w:ind w:left="84" w:right="84"/>
              <w:jc w:val="both"/>
              <w:rPr>
                <w:sz w:val="18"/>
                <w:szCs w:val="18"/>
              </w:rPr>
            </w:pPr>
            <w:r>
              <w:rPr>
                <w:spacing w:val="-4"/>
                <w:sz w:val="18"/>
                <w:szCs w:val="18"/>
              </w:rPr>
              <w:t>饲料</w:t>
            </w:r>
            <w:r>
              <w:rPr>
                <w:sz w:val="18"/>
                <w:szCs w:val="18"/>
              </w:rPr>
              <w:t xml:space="preserve"> </w:t>
            </w:r>
            <w:r>
              <w:rPr>
                <w:spacing w:val="3"/>
                <w:sz w:val="18"/>
                <w:szCs w:val="18"/>
              </w:rPr>
              <w:t>的概</w:t>
            </w:r>
            <w:r>
              <w:rPr>
                <w:sz w:val="18"/>
                <w:szCs w:val="18"/>
              </w:rPr>
              <w:t xml:space="preserve"> </w:t>
            </w:r>
            <w:r>
              <w:rPr>
                <w:spacing w:val="7"/>
                <w:sz w:val="18"/>
                <w:szCs w:val="18"/>
              </w:rPr>
              <w:t>念与</w:t>
            </w:r>
            <w:r>
              <w:rPr>
                <w:sz w:val="18"/>
                <w:szCs w:val="18"/>
              </w:rPr>
              <w:t xml:space="preserve"> </w:t>
            </w:r>
            <w:r>
              <w:rPr>
                <w:spacing w:val="-3"/>
                <w:sz w:val="18"/>
                <w:szCs w:val="18"/>
              </w:rPr>
              <w:t>分类</w:t>
            </w:r>
          </w:p>
        </w:tc>
        <w:tc>
          <w:tcPr>
            <w:tcW w:w="2624" w:type="dxa"/>
            <w:tcBorders>
              <w:bottom w:val="nil"/>
            </w:tcBorders>
            <w:vAlign w:val="top"/>
          </w:tcPr>
          <w:p w14:paraId="10B728C0">
            <w:pPr>
              <w:pStyle w:val="6"/>
              <w:spacing w:before="208" w:line="186" w:lineRule="auto"/>
              <w:ind w:left="71"/>
              <w:rPr>
                <w:sz w:val="18"/>
                <w:szCs w:val="18"/>
              </w:rPr>
            </w:pPr>
            <w:r>
              <w:rPr>
                <w:spacing w:val="1"/>
                <w:sz w:val="18"/>
                <w:szCs w:val="18"/>
              </w:rPr>
              <w:t>1.饲料的概念</w:t>
            </w:r>
          </w:p>
        </w:tc>
        <w:tc>
          <w:tcPr>
            <w:tcW w:w="239" w:type="dxa"/>
            <w:tcBorders>
              <w:bottom w:val="nil"/>
            </w:tcBorders>
            <w:vAlign w:val="top"/>
          </w:tcPr>
          <w:p w14:paraId="36565E90">
            <w:pPr>
              <w:rPr>
                <w:rFonts w:ascii="Arial"/>
                <w:sz w:val="21"/>
              </w:rPr>
            </w:pPr>
          </w:p>
        </w:tc>
        <w:tc>
          <w:tcPr>
            <w:tcW w:w="219" w:type="dxa"/>
            <w:tcBorders>
              <w:bottom w:val="nil"/>
            </w:tcBorders>
            <w:vAlign w:val="top"/>
          </w:tcPr>
          <w:p w14:paraId="30E47F09">
            <w:pPr>
              <w:rPr>
                <w:rFonts w:ascii="Arial"/>
                <w:sz w:val="21"/>
              </w:rPr>
            </w:pPr>
          </w:p>
        </w:tc>
        <w:tc>
          <w:tcPr>
            <w:tcW w:w="239" w:type="dxa"/>
            <w:tcBorders>
              <w:bottom w:val="nil"/>
            </w:tcBorders>
            <w:vAlign w:val="top"/>
          </w:tcPr>
          <w:p w14:paraId="7B15B2EE">
            <w:pPr>
              <w:rPr>
                <w:rFonts w:ascii="Arial"/>
                <w:sz w:val="21"/>
              </w:rPr>
            </w:pPr>
          </w:p>
        </w:tc>
        <w:tc>
          <w:tcPr>
            <w:tcW w:w="234" w:type="dxa"/>
            <w:tcBorders>
              <w:bottom w:val="nil"/>
            </w:tcBorders>
            <w:vAlign w:val="top"/>
          </w:tcPr>
          <w:p w14:paraId="43D16139">
            <w:pPr>
              <w:rPr>
                <w:rFonts w:ascii="Arial"/>
                <w:sz w:val="21"/>
              </w:rPr>
            </w:pPr>
          </w:p>
        </w:tc>
      </w:tr>
      <w:tr w14:paraId="110BFD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0" w:hRule="atLeast"/>
        </w:trPr>
        <w:tc>
          <w:tcPr>
            <w:tcW w:w="554" w:type="dxa"/>
            <w:vMerge w:val="continue"/>
            <w:tcBorders>
              <w:top w:val="nil"/>
              <w:bottom w:val="nil"/>
            </w:tcBorders>
            <w:vAlign w:val="top"/>
          </w:tcPr>
          <w:p w14:paraId="194BB6E2">
            <w:pPr>
              <w:rPr>
                <w:rFonts w:ascii="Arial"/>
                <w:sz w:val="21"/>
              </w:rPr>
            </w:pPr>
          </w:p>
        </w:tc>
        <w:tc>
          <w:tcPr>
            <w:tcW w:w="2624" w:type="dxa"/>
            <w:tcBorders>
              <w:top w:val="nil"/>
              <w:bottom w:val="nil"/>
            </w:tcBorders>
            <w:vAlign w:val="top"/>
          </w:tcPr>
          <w:p w14:paraId="1F99D810">
            <w:pPr>
              <w:pStyle w:val="6"/>
              <w:spacing w:before="19" w:line="185" w:lineRule="auto"/>
              <w:ind w:left="71"/>
              <w:rPr>
                <w:sz w:val="18"/>
                <w:szCs w:val="18"/>
              </w:rPr>
            </w:pPr>
            <w:r>
              <w:rPr>
                <w:spacing w:val="-1"/>
                <w:sz w:val="18"/>
                <w:szCs w:val="18"/>
              </w:rPr>
              <w:t>2.国际饲料分类法</w:t>
            </w:r>
          </w:p>
        </w:tc>
        <w:tc>
          <w:tcPr>
            <w:tcW w:w="239" w:type="dxa"/>
            <w:tcBorders>
              <w:top w:val="nil"/>
              <w:bottom w:val="nil"/>
            </w:tcBorders>
            <w:vAlign w:val="top"/>
          </w:tcPr>
          <w:p w14:paraId="70ACF2E0">
            <w:pPr>
              <w:spacing w:line="200" w:lineRule="exact"/>
              <w:rPr>
                <w:rFonts w:ascii="Arial"/>
                <w:sz w:val="17"/>
              </w:rPr>
            </w:pPr>
          </w:p>
        </w:tc>
        <w:tc>
          <w:tcPr>
            <w:tcW w:w="219" w:type="dxa"/>
            <w:tcBorders>
              <w:top w:val="nil"/>
              <w:bottom w:val="nil"/>
            </w:tcBorders>
            <w:vAlign w:val="top"/>
          </w:tcPr>
          <w:p w14:paraId="3006DD5A">
            <w:pPr>
              <w:spacing w:line="200" w:lineRule="exact"/>
              <w:rPr>
                <w:rFonts w:ascii="Arial"/>
                <w:sz w:val="17"/>
              </w:rPr>
            </w:pPr>
          </w:p>
        </w:tc>
        <w:tc>
          <w:tcPr>
            <w:tcW w:w="239" w:type="dxa"/>
            <w:tcBorders>
              <w:top w:val="nil"/>
              <w:bottom w:val="nil"/>
            </w:tcBorders>
            <w:vAlign w:val="top"/>
          </w:tcPr>
          <w:p w14:paraId="1AE35315">
            <w:pPr>
              <w:spacing w:line="200" w:lineRule="exact"/>
              <w:rPr>
                <w:rFonts w:ascii="Arial"/>
                <w:sz w:val="17"/>
              </w:rPr>
            </w:pPr>
          </w:p>
        </w:tc>
        <w:tc>
          <w:tcPr>
            <w:tcW w:w="234" w:type="dxa"/>
            <w:tcBorders>
              <w:top w:val="nil"/>
              <w:bottom w:val="nil"/>
            </w:tcBorders>
            <w:vAlign w:val="top"/>
          </w:tcPr>
          <w:p w14:paraId="00554A8D">
            <w:pPr>
              <w:spacing w:line="200" w:lineRule="exact"/>
              <w:rPr>
                <w:rFonts w:ascii="Arial"/>
                <w:sz w:val="17"/>
              </w:rPr>
            </w:pPr>
          </w:p>
        </w:tc>
      </w:tr>
      <w:tr w14:paraId="2333FD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9" w:hRule="atLeast"/>
        </w:trPr>
        <w:tc>
          <w:tcPr>
            <w:tcW w:w="554" w:type="dxa"/>
            <w:vMerge w:val="continue"/>
            <w:tcBorders>
              <w:top w:val="nil"/>
            </w:tcBorders>
            <w:vAlign w:val="top"/>
          </w:tcPr>
          <w:p w14:paraId="2754B77E">
            <w:pPr>
              <w:rPr>
                <w:rFonts w:ascii="Arial"/>
                <w:sz w:val="21"/>
              </w:rPr>
            </w:pPr>
          </w:p>
        </w:tc>
        <w:tc>
          <w:tcPr>
            <w:tcW w:w="2624" w:type="dxa"/>
            <w:tcBorders>
              <w:top w:val="nil"/>
            </w:tcBorders>
            <w:vAlign w:val="top"/>
          </w:tcPr>
          <w:p w14:paraId="48A205DB">
            <w:pPr>
              <w:pStyle w:val="6"/>
              <w:spacing w:before="19" w:line="219" w:lineRule="auto"/>
              <w:ind w:left="71"/>
              <w:rPr>
                <w:sz w:val="18"/>
                <w:szCs w:val="18"/>
              </w:rPr>
            </w:pPr>
            <w:r>
              <w:rPr>
                <w:spacing w:val="-1"/>
                <w:sz w:val="18"/>
                <w:szCs w:val="18"/>
              </w:rPr>
              <w:t>3.中国饲料分类法</w:t>
            </w:r>
          </w:p>
        </w:tc>
        <w:tc>
          <w:tcPr>
            <w:tcW w:w="239" w:type="dxa"/>
            <w:tcBorders>
              <w:top w:val="nil"/>
            </w:tcBorders>
            <w:vAlign w:val="top"/>
          </w:tcPr>
          <w:p w14:paraId="65B8F96F">
            <w:pPr>
              <w:rPr>
                <w:rFonts w:ascii="Arial"/>
                <w:sz w:val="21"/>
              </w:rPr>
            </w:pPr>
          </w:p>
        </w:tc>
        <w:tc>
          <w:tcPr>
            <w:tcW w:w="219" w:type="dxa"/>
            <w:tcBorders>
              <w:top w:val="nil"/>
            </w:tcBorders>
            <w:vAlign w:val="top"/>
          </w:tcPr>
          <w:p w14:paraId="16A4ADDB">
            <w:pPr>
              <w:rPr>
                <w:rFonts w:ascii="Arial"/>
                <w:sz w:val="21"/>
              </w:rPr>
            </w:pPr>
          </w:p>
        </w:tc>
        <w:tc>
          <w:tcPr>
            <w:tcW w:w="239" w:type="dxa"/>
            <w:tcBorders>
              <w:top w:val="nil"/>
            </w:tcBorders>
            <w:vAlign w:val="top"/>
          </w:tcPr>
          <w:p w14:paraId="715FC7F2">
            <w:pPr>
              <w:rPr>
                <w:rFonts w:ascii="Arial"/>
                <w:sz w:val="21"/>
              </w:rPr>
            </w:pPr>
          </w:p>
        </w:tc>
        <w:tc>
          <w:tcPr>
            <w:tcW w:w="234" w:type="dxa"/>
            <w:tcBorders>
              <w:top w:val="nil"/>
            </w:tcBorders>
            <w:vAlign w:val="top"/>
          </w:tcPr>
          <w:p w14:paraId="23516B35">
            <w:pPr>
              <w:rPr>
                <w:rFonts w:ascii="Arial"/>
                <w:sz w:val="21"/>
              </w:rPr>
            </w:pPr>
          </w:p>
        </w:tc>
      </w:tr>
      <w:tr w14:paraId="65F928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48" w:hRule="atLeast"/>
        </w:trPr>
        <w:tc>
          <w:tcPr>
            <w:tcW w:w="554" w:type="dxa"/>
            <w:vAlign w:val="top"/>
          </w:tcPr>
          <w:p w14:paraId="06C4CA73">
            <w:pPr>
              <w:spacing w:line="390" w:lineRule="auto"/>
              <w:rPr>
                <w:rFonts w:ascii="Arial"/>
                <w:sz w:val="21"/>
              </w:rPr>
            </w:pPr>
          </w:p>
          <w:p w14:paraId="1AB7FD50">
            <w:pPr>
              <w:pStyle w:val="6"/>
              <w:spacing w:before="58" w:line="205" w:lineRule="auto"/>
              <w:ind w:left="84"/>
              <w:rPr>
                <w:sz w:val="18"/>
                <w:szCs w:val="18"/>
              </w:rPr>
            </w:pPr>
            <w:r>
              <w:rPr>
                <w:spacing w:val="-2"/>
                <w:sz w:val="18"/>
                <w:szCs w:val="18"/>
              </w:rPr>
              <w:t>粗饲</w:t>
            </w:r>
          </w:p>
          <w:p w14:paraId="23626BCE">
            <w:pPr>
              <w:pStyle w:val="6"/>
              <w:spacing w:line="220" w:lineRule="auto"/>
              <w:ind w:left="174"/>
              <w:rPr>
                <w:sz w:val="18"/>
                <w:szCs w:val="18"/>
              </w:rPr>
            </w:pPr>
            <w:r>
              <w:rPr>
                <w:sz w:val="18"/>
                <w:szCs w:val="18"/>
              </w:rPr>
              <w:t>料</w:t>
            </w:r>
          </w:p>
        </w:tc>
        <w:tc>
          <w:tcPr>
            <w:tcW w:w="2624" w:type="dxa"/>
            <w:vAlign w:val="top"/>
          </w:tcPr>
          <w:p w14:paraId="5EFCA65C">
            <w:pPr>
              <w:pStyle w:val="6"/>
              <w:spacing w:before="230" w:line="214" w:lineRule="auto"/>
              <w:ind w:left="71"/>
              <w:rPr>
                <w:sz w:val="18"/>
                <w:szCs w:val="18"/>
              </w:rPr>
            </w:pPr>
            <w:r>
              <w:rPr>
                <w:sz w:val="18"/>
                <w:szCs w:val="18"/>
              </w:rPr>
              <w:t>1.粗饲料的营养特性</w:t>
            </w:r>
          </w:p>
          <w:p w14:paraId="4FCB6880">
            <w:pPr>
              <w:pStyle w:val="6"/>
              <w:spacing w:line="218" w:lineRule="auto"/>
              <w:ind w:left="71" w:right="212"/>
              <w:rPr>
                <w:sz w:val="18"/>
                <w:szCs w:val="18"/>
              </w:rPr>
            </w:pPr>
            <w:r>
              <w:rPr>
                <w:spacing w:val="-1"/>
                <w:sz w:val="18"/>
                <w:szCs w:val="18"/>
              </w:rPr>
              <w:t>2.干草的营养价值及调制方法</w:t>
            </w:r>
            <w:r>
              <w:rPr>
                <w:spacing w:val="3"/>
                <w:sz w:val="18"/>
                <w:szCs w:val="18"/>
              </w:rPr>
              <w:t xml:space="preserve"> </w:t>
            </w:r>
            <w:r>
              <w:rPr>
                <w:spacing w:val="1"/>
                <w:sz w:val="18"/>
                <w:szCs w:val="18"/>
              </w:rPr>
              <w:t>3.秸杆的种类及营养特点</w:t>
            </w:r>
          </w:p>
          <w:p w14:paraId="4424BA33">
            <w:pPr>
              <w:pStyle w:val="6"/>
              <w:spacing w:before="16" w:line="220" w:lineRule="auto"/>
              <w:ind w:left="71"/>
              <w:rPr>
                <w:sz w:val="18"/>
                <w:szCs w:val="18"/>
              </w:rPr>
            </w:pPr>
            <w:r>
              <w:rPr>
                <w:spacing w:val="-1"/>
                <w:sz w:val="18"/>
                <w:szCs w:val="18"/>
              </w:rPr>
              <w:t>4.粗饲料的加工方法</w:t>
            </w:r>
          </w:p>
        </w:tc>
        <w:tc>
          <w:tcPr>
            <w:tcW w:w="239" w:type="dxa"/>
            <w:vAlign w:val="top"/>
          </w:tcPr>
          <w:p w14:paraId="560C5C5F">
            <w:pPr>
              <w:rPr>
                <w:rFonts w:ascii="Arial"/>
                <w:sz w:val="21"/>
              </w:rPr>
            </w:pPr>
          </w:p>
        </w:tc>
        <w:tc>
          <w:tcPr>
            <w:tcW w:w="219" w:type="dxa"/>
            <w:vAlign w:val="top"/>
          </w:tcPr>
          <w:p w14:paraId="0E36F5A8">
            <w:pPr>
              <w:rPr>
                <w:rFonts w:ascii="Arial"/>
                <w:sz w:val="21"/>
              </w:rPr>
            </w:pPr>
          </w:p>
        </w:tc>
        <w:tc>
          <w:tcPr>
            <w:tcW w:w="239" w:type="dxa"/>
            <w:vAlign w:val="top"/>
          </w:tcPr>
          <w:p w14:paraId="10393D89">
            <w:pPr>
              <w:rPr>
                <w:rFonts w:ascii="Arial"/>
                <w:sz w:val="21"/>
              </w:rPr>
            </w:pPr>
          </w:p>
        </w:tc>
        <w:tc>
          <w:tcPr>
            <w:tcW w:w="234" w:type="dxa"/>
            <w:vAlign w:val="top"/>
          </w:tcPr>
          <w:p w14:paraId="30EF8891">
            <w:pPr>
              <w:rPr>
                <w:rFonts w:ascii="Arial"/>
                <w:sz w:val="21"/>
              </w:rPr>
            </w:pPr>
          </w:p>
        </w:tc>
      </w:tr>
      <w:tr w14:paraId="7DD5C5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99" w:hRule="atLeast"/>
        </w:trPr>
        <w:tc>
          <w:tcPr>
            <w:tcW w:w="554" w:type="dxa"/>
            <w:vAlign w:val="top"/>
          </w:tcPr>
          <w:p w14:paraId="2C261F18">
            <w:pPr>
              <w:spacing w:line="411" w:lineRule="auto"/>
              <w:rPr>
                <w:rFonts w:ascii="Arial"/>
                <w:sz w:val="21"/>
              </w:rPr>
            </w:pPr>
          </w:p>
          <w:p w14:paraId="4368DE06">
            <w:pPr>
              <w:pStyle w:val="6"/>
              <w:spacing w:before="58" w:line="223" w:lineRule="auto"/>
              <w:ind w:left="84" w:right="105"/>
              <w:rPr>
                <w:sz w:val="18"/>
                <w:szCs w:val="18"/>
              </w:rPr>
            </w:pPr>
            <w:r>
              <w:rPr>
                <w:spacing w:val="-4"/>
                <w:sz w:val="18"/>
                <w:szCs w:val="18"/>
              </w:rPr>
              <w:t>青绿</w:t>
            </w:r>
            <w:r>
              <w:rPr>
                <w:sz w:val="18"/>
                <w:szCs w:val="18"/>
              </w:rPr>
              <w:t xml:space="preserve"> </w:t>
            </w:r>
            <w:r>
              <w:rPr>
                <w:spacing w:val="-4"/>
                <w:sz w:val="18"/>
                <w:szCs w:val="18"/>
              </w:rPr>
              <w:t>饲料</w:t>
            </w:r>
          </w:p>
        </w:tc>
        <w:tc>
          <w:tcPr>
            <w:tcW w:w="2624" w:type="dxa"/>
            <w:vAlign w:val="top"/>
          </w:tcPr>
          <w:p w14:paraId="0FBA057F">
            <w:pPr>
              <w:pStyle w:val="6"/>
              <w:spacing w:before="241" w:line="231" w:lineRule="auto"/>
              <w:ind w:left="71" w:right="175" w:firstLine="19"/>
              <w:rPr>
                <w:sz w:val="18"/>
                <w:szCs w:val="18"/>
              </w:rPr>
            </w:pPr>
            <w:r>
              <w:rPr>
                <w:sz w:val="18"/>
                <w:szCs w:val="18"/>
              </w:rPr>
              <w:t>1.青绿饲料的营养特性及其影</w:t>
            </w:r>
            <w:r>
              <w:rPr>
                <w:spacing w:val="6"/>
                <w:sz w:val="18"/>
                <w:szCs w:val="18"/>
              </w:rPr>
              <w:t xml:space="preserve"> </w:t>
            </w:r>
            <w:r>
              <w:rPr>
                <w:spacing w:val="2"/>
                <w:sz w:val="18"/>
                <w:szCs w:val="18"/>
              </w:rPr>
              <w:t>响因素</w:t>
            </w:r>
          </w:p>
          <w:p w14:paraId="2D1E969F">
            <w:pPr>
              <w:pStyle w:val="6"/>
              <w:spacing w:line="218" w:lineRule="auto"/>
              <w:ind w:left="71"/>
              <w:rPr>
                <w:sz w:val="18"/>
                <w:szCs w:val="18"/>
              </w:rPr>
            </w:pPr>
            <w:r>
              <w:rPr>
                <w:spacing w:val="-2"/>
                <w:sz w:val="18"/>
                <w:szCs w:val="18"/>
              </w:rPr>
              <w:t>2.青绿饲料的种类</w:t>
            </w:r>
          </w:p>
          <w:p w14:paraId="5589B814">
            <w:pPr>
              <w:pStyle w:val="6"/>
              <w:spacing w:before="16" w:line="219" w:lineRule="auto"/>
              <w:ind w:left="71"/>
              <w:rPr>
                <w:sz w:val="18"/>
                <w:szCs w:val="18"/>
              </w:rPr>
            </w:pPr>
            <w:r>
              <w:rPr>
                <w:spacing w:val="1"/>
                <w:sz w:val="18"/>
                <w:szCs w:val="18"/>
              </w:rPr>
              <w:t>3.青绿饲料的饲用特点</w:t>
            </w:r>
          </w:p>
        </w:tc>
        <w:tc>
          <w:tcPr>
            <w:tcW w:w="239" w:type="dxa"/>
            <w:vAlign w:val="top"/>
          </w:tcPr>
          <w:p w14:paraId="15314DDB">
            <w:pPr>
              <w:rPr>
                <w:rFonts w:ascii="Arial"/>
                <w:sz w:val="21"/>
              </w:rPr>
            </w:pPr>
          </w:p>
        </w:tc>
        <w:tc>
          <w:tcPr>
            <w:tcW w:w="219" w:type="dxa"/>
            <w:vAlign w:val="top"/>
          </w:tcPr>
          <w:p w14:paraId="5CEA1EBA">
            <w:pPr>
              <w:rPr>
                <w:rFonts w:ascii="Arial"/>
                <w:sz w:val="21"/>
              </w:rPr>
            </w:pPr>
          </w:p>
        </w:tc>
        <w:tc>
          <w:tcPr>
            <w:tcW w:w="239" w:type="dxa"/>
            <w:vAlign w:val="top"/>
          </w:tcPr>
          <w:p w14:paraId="4D9BD3C9">
            <w:pPr>
              <w:rPr>
                <w:rFonts w:ascii="Arial"/>
                <w:sz w:val="21"/>
              </w:rPr>
            </w:pPr>
          </w:p>
        </w:tc>
        <w:tc>
          <w:tcPr>
            <w:tcW w:w="234" w:type="dxa"/>
            <w:vAlign w:val="top"/>
          </w:tcPr>
          <w:p w14:paraId="42AA4FB7">
            <w:pPr>
              <w:rPr>
                <w:rFonts w:ascii="Arial"/>
                <w:sz w:val="21"/>
              </w:rPr>
            </w:pPr>
          </w:p>
        </w:tc>
      </w:tr>
      <w:tr w14:paraId="23B394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5" w:hRule="atLeast"/>
        </w:trPr>
        <w:tc>
          <w:tcPr>
            <w:tcW w:w="554" w:type="dxa"/>
            <w:vMerge w:val="restart"/>
            <w:tcBorders>
              <w:bottom w:val="nil"/>
            </w:tcBorders>
            <w:vAlign w:val="top"/>
          </w:tcPr>
          <w:p w14:paraId="32DA0A7B">
            <w:pPr>
              <w:spacing w:line="263" w:lineRule="auto"/>
              <w:rPr>
                <w:rFonts w:ascii="Arial"/>
                <w:sz w:val="21"/>
              </w:rPr>
            </w:pPr>
          </w:p>
          <w:p w14:paraId="547F1148">
            <w:pPr>
              <w:pStyle w:val="6"/>
              <w:spacing w:before="58" w:line="218" w:lineRule="auto"/>
              <w:ind w:left="84" w:right="105"/>
              <w:rPr>
                <w:sz w:val="18"/>
                <w:szCs w:val="18"/>
              </w:rPr>
            </w:pPr>
            <w:r>
              <w:rPr>
                <w:spacing w:val="-4"/>
                <w:sz w:val="18"/>
                <w:szCs w:val="18"/>
              </w:rPr>
              <w:t>青贮</w:t>
            </w:r>
            <w:r>
              <w:rPr>
                <w:sz w:val="18"/>
                <w:szCs w:val="18"/>
              </w:rPr>
              <w:t xml:space="preserve"> </w:t>
            </w:r>
            <w:r>
              <w:rPr>
                <w:spacing w:val="-4"/>
                <w:sz w:val="18"/>
                <w:szCs w:val="18"/>
              </w:rPr>
              <w:t>饲料</w:t>
            </w:r>
          </w:p>
        </w:tc>
        <w:tc>
          <w:tcPr>
            <w:tcW w:w="2624" w:type="dxa"/>
            <w:tcBorders>
              <w:bottom w:val="nil"/>
            </w:tcBorders>
            <w:vAlign w:val="top"/>
          </w:tcPr>
          <w:p w14:paraId="2B362A5F">
            <w:pPr>
              <w:pStyle w:val="6"/>
              <w:spacing w:before="222" w:line="187" w:lineRule="auto"/>
              <w:ind w:left="71"/>
              <w:rPr>
                <w:sz w:val="18"/>
                <w:szCs w:val="18"/>
              </w:rPr>
            </w:pPr>
            <w:r>
              <w:rPr>
                <w:spacing w:val="1"/>
                <w:sz w:val="18"/>
                <w:szCs w:val="18"/>
              </w:rPr>
              <w:t>1.青贮的意义</w:t>
            </w:r>
          </w:p>
        </w:tc>
        <w:tc>
          <w:tcPr>
            <w:tcW w:w="239" w:type="dxa"/>
            <w:tcBorders>
              <w:bottom w:val="nil"/>
            </w:tcBorders>
            <w:vAlign w:val="top"/>
          </w:tcPr>
          <w:p w14:paraId="3518732E">
            <w:pPr>
              <w:rPr>
                <w:rFonts w:ascii="Arial"/>
                <w:sz w:val="21"/>
              </w:rPr>
            </w:pPr>
          </w:p>
        </w:tc>
        <w:tc>
          <w:tcPr>
            <w:tcW w:w="219" w:type="dxa"/>
            <w:tcBorders>
              <w:bottom w:val="nil"/>
            </w:tcBorders>
            <w:vAlign w:val="top"/>
          </w:tcPr>
          <w:p w14:paraId="6DF9235F">
            <w:pPr>
              <w:rPr>
                <w:rFonts w:ascii="Arial"/>
                <w:sz w:val="21"/>
              </w:rPr>
            </w:pPr>
          </w:p>
        </w:tc>
        <w:tc>
          <w:tcPr>
            <w:tcW w:w="239" w:type="dxa"/>
            <w:tcBorders>
              <w:bottom w:val="nil"/>
            </w:tcBorders>
            <w:vAlign w:val="top"/>
          </w:tcPr>
          <w:p w14:paraId="779481F3">
            <w:pPr>
              <w:rPr>
                <w:rFonts w:ascii="Arial"/>
                <w:sz w:val="21"/>
              </w:rPr>
            </w:pPr>
          </w:p>
        </w:tc>
        <w:tc>
          <w:tcPr>
            <w:tcW w:w="234" w:type="dxa"/>
            <w:tcBorders>
              <w:bottom w:val="nil"/>
            </w:tcBorders>
            <w:vAlign w:val="top"/>
          </w:tcPr>
          <w:p w14:paraId="7A9F2822">
            <w:pPr>
              <w:rPr>
                <w:rFonts w:ascii="Arial"/>
                <w:sz w:val="21"/>
              </w:rPr>
            </w:pPr>
          </w:p>
        </w:tc>
      </w:tr>
      <w:tr w14:paraId="708476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5" w:hRule="atLeast"/>
        </w:trPr>
        <w:tc>
          <w:tcPr>
            <w:tcW w:w="554" w:type="dxa"/>
            <w:vMerge w:val="continue"/>
            <w:tcBorders>
              <w:top w:val="nil"/>
              <w:bottom w:val="nil"/>
            </w:tcBorders>
            <w:vAlign w:val="top"/>
          </w:tcPr>
          <w:p w14:paraId="38266B02">
            <w:pPr>
              <w:rPr>
                <w:rFonts w:ascii="Arial"/>
                <w:sz w:val="21"/>
              </w:rPr>
            </w:pPr>
          </w:p>
        </w:tc>
        <w:tc>
          <w:tcPr>
            <w:tcW w:w="2624" w:type="dxa"/>
            <w:tcBorders>
              <w:top w:val="nil"/>
              <w:bottom w:val="nil"/>
            </w:tcBorders>
            <w:vAlign w:val="top"/>
          </w:tcPr>
          <w:p w14:paraId="16CDF525">
            <w:pPr>
              <w:pStyle w:val="6"/>
              <w:spacing w:before="27" w:line="182" w:lineRule="auto"/>
              <w:ind w:left="71"/>
              <w:rPr>
                <w:sz w:val="18"/>
                <w:szCs w:val="18"/>
              </w:rPr>
            </w:pPr>
            <w:r>
              <w:rPr>
                <w:spacing w:val="-2"/>
                <w:sz w:val="18"/>
                <w:szCs w:val="18"/>
              </w:rPr>
              <w:t>2.青贮的原理</w:t>
            </w:r>
          </w:p>
        </w:tc>
        <w:tc>
          <w:tcPr>
            <w:tcW w:w="239" w:type="dxa"/>
            <w:tcBorders>
              <w:top w:val="nil"/>
              <w:bottom w:val="nil"/>
            </w:tcBorders>
            <w:vAlign w:val="top"/>
          </w:tcPr>
          <w:p w14:paraId="64613031">
            <w:pPr>
              <w:spacing w:line="205" w:lineRule="exact"/>
              <w:rPr>
                <w:rFonts w:ascii="Arial"/>
                <w:sz w:val="17"/>
              </w:rPr>
            </w:pPr>
          </w:p>
        </w:tc>
        <w:tc>
          <w:tcPr>
            <w:tcW w:w="219" w:type="dxa"/>
            <w:tcBorders>
              <w:top w:val="nil"/>
              <w:bottom w:val="nil"/>
            </w:tcBorders>
            <w:vAlign w:val="top"/>
          </w:tcPr>
          <w:p w14:paraId="70399711">
            <w:pPr>
              <w:spacing w:line="205" w:lineRule="exact"/>
              <w:rPr>
                <w:rFonts w:ascii="Arial"/>
                <w:sz w:val="17"/>
              </w:rPr>
            </w:pPr>
          </w:p>
        </w:tc>
        <w:tc>
          <w:tcPr>
            <w:tcW w:w="239" w:type="dxa"/>
            <w:tcBorders>
              <w:top w:val="nil"/>
              <w:bottom w:val="nil"/>
            </w:tcBorders>
            <w:vAlign w:val="top"/>
          </w:tcPr>
          <w:p w14:paraId="49A04D5C">
            <w:pPr>
              <w:spacing w:line="205" w:lineRule="exact"/>
              <w:rPr>
                <w:rFonts w:ascii="Arial"/>
                <w:sz w:val="17"/>
              </w:rPr>
            </w:pPr>
          </w:p>
        </w:tc>
        <w:tc>
          <w:tcPr>
            <w:tcW w:w="234" w:type="dxa"/>
            <w:tcBorders>
              <w:top w:val="nil"/>
              <w:bottom w:val="nil"/>
            </w:tcBorders>
            <w:vAlign w:val="top"/>
          </w:tcPr>
          <w:p w14:paraId="5AFA6075">
            <w:pPr>
              <w:spacing w:line="205" w:lineRule="exact"/>
              <w:rPr>
                <w:rFonts w:ascii="Arial"/>
                <w:sz w:val="17"/>
              </w:rPr>
            </w:pPr>
          </w:p>
        </w:tc>
      </w:tr>
      <w:tr w14:paraId="073294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554" w:type="dxa"/>
            <w:vMerge w:val="continue"/>
            <w:tcBorders>
              <w:top w:val="nil"/>
            </w:tcBorders>
            <w:vAlign w:val="top"/>
          </w:tcPr>
          <w:p w14:paraId="0B14C6DE">
            <w:pPr>
              <w:rPr>
                <w:rFonts w:ascii="Arial"/>
                <w:sz w:val="21"/>
              </w:rPr>
            </w:pPr>
          </w:p>
        </w:tc>
        <w:tc>
          <w:tcPr>
            <w:tcW w:w="2624" w:type="dxa"/>
            <w:tcBorders>
              <w:top w:val="nil"/>
            </w:tcBorders>
            <w:vAlign w:val="top"/>
          </w:tcPr>
          <w:p w14:paraId="4F28E8BF">
            <w:pPr>
              <w:pStyle w:val="6"/>
              <w:spacing w:before="22" w:line="219" w:lineRule="auto"/>
              <w:ind w:right="1"/>
              <w:jc w:val="right"/>
              <w:rPr>
                <w:sz w:val="18"/>
                <w:szCs w:val="18"/>
              </w:rPr>
            </w:pPr>
            <w:r>
              <w:rPr>
                <w:spacing w:val="1"/>
                <w:sz w:val="18"/>
                <w:szCs w:val="18"/>
              </w:rPr>
              <w:t>3.青贮饲料的制作、开窖与使用</w:t>
            </w:r>
          </w:p>
        </w:tc>
        <w:tc>
          <w:tcPr>
            <w:tcW w:w="239" w:type="dxa"/>
            <w:tcBorders>
              <w:top w:val="nil"/>
            </w:tcBorders>
            <w:vAlign w:val="top"/>
          </w:tcPr>
          <w:p w14:paraId="4C02576F">
            <w:pPr>
              <w:rPr>
                <w:rFonts w:ascii="Arial"/>
                <w:sz w:val="21"/>
              </w:rPr>
            </w:pPr>
          </w:p>
        </w:tc>
        <w:tc>
          <w:tcPr>
            <w:tcW w:w="219" w:type="dxa"/>
            <w:tcBorders>
              <w:top w:val="nil"/>
            </w:tcBorders>
            <w:vAlign w:val="top"/>
          </w:tcPr>
          <w:p w14:paraId="67808C34">
            <w:pPr>
              <w:rPr>
                <w:rFonts w:ascii="Arial"/>
                <w:sz w:val="21"/>
              </w:rPr>
            </w:pPr>
          </w:p>
        </w:tc>
        <w:tc>
          <w:tcPr>
            <w:tcW w:w="239" w:type="dxa"/>
            <w:tcBorders>
              <w:top w:val="nil"/>
            </w:tcBorders>
            <w:vAlign w:val="top"/>
          </w:tcPr>
          <w:p w14:paraId="7DF5F4E7">
            <w:pPr>
              <w:rPr>
                <w:rFonts w:ascii="Arial"/>
                <w:sz w:val="21"/>
              </w:rPr>
            </w:pPr>
          </w:p>
        </w:tc>
        <w:tc>
          <w:tcPr>
            <w:tcW w:w="234" w:type="dxa"/>
            <w:tcBorders>
              <w:top w:val="nil"/>
            </w:tcBorders>
            <w:vAlign w:val="top"/>
          </w:tcPr>
          <w:p w14:paraId="06147C6C">
            <w:pPr>
              <w:rPr>
                <w:rFonts w:ascii="Arial"/>
                <w:sz w:val="21"/>
              </w:rPr>
            </w:pPr>
          </w:p>
        </w:tc>
      </w:tr>
      <w:tr w14:paraId="7368EE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89" w:hRule="atLeast"/>
        </w:trPr>
        <w:tc>
          <w:tcPr>
            <w:tcW w:w="554" w:type="dxa"/>
            <w:vAlign w:val="top"/>
          </w:tcPr>
          <w:p w14:paraId="0C0A9D37">
            <w:pPr>
              <w:pStyle w:val="6"/>
              <w:spacing w:before="266" w:line="217" w:lineRule="auto"/>
              <w:ind w:left="84" w:right="92"/>
              <w:rPr>
                <w:sz w:val="18"/>
                <w:szCs w:val="18"/>
              </w:rPr>
            </w:pPr>
            <w:r>
              <w:rPr>
                <w:spacing w:val="3"/>
                <w:sz w:val="18"/>
                <w:szCs w:val="18"/>
              </w:rPr>
              <w:t>能量</w:t>
            </w:r>
            <w:r>
              <w:rPr>
                <w:sz w:val="18"/>
                <w:szCs w:val="18"/>
              </w:rPr>
              <w:t xml:space="preserve"> </w:t>
            </w:r>
            <w:r>
              <w:rPr>
                <w:spacing w:val="-2"/>
                <w:sz w:val="18"/>
                <w:szCs w:val="18"/>
              </w:rPr>
              <w:t>饲料</w:t>
            </w:r>
          </w:p>
        </w:tc>
        <w:tc>
          <w:tcPr>
            <w:tcW w:w="2624" w:type="dxa"/>
            <w:vAlign w:val="top"/>
          </w:tcPr>
          <w:p w14:paraId="3D402551">
            <w:pPr>
              <w:pStyle w:val="6"/>
              <w:spacing w:before="264" w:line="215" w:lineRule="auto"/>
              <w:ind w:left="71"/>
              <w:rPr>
                <w:sz w:val="18"/>
                <w:szCs w:val="18"/>
              </w:rPr>
            </w:pPr>
            <w:r>
              <w:rPr>
                <w:sz w:val="18"/>
                <w:szCs w:val="18"/>
              </w:rPr>
              <w:t>1.能量饲料的概念</w:t>
            </w:r>
          </w:p>
          <w:p w14:paraId="0712D3B0">
            <w:pPr>
              <w:pStyle w:val="6"/>
              <w:spacing w:line="219" w:lineRule="auto"/>
              <w:ind w:left="71"/>
              <w:rPr>
                <w:sz w:val="18"/>
                <w:szCs w:val="18"/>
              </w:rPr>
            </w:pPr>
            <w:r>
              <w:rPr>
                <w:spacing w:val="-1"/>
                <w:sz w:val="18"/>
                <w:szCs w:val="18"/>
              </w:rPr>
              <w:t>2.能量饲料的分类及营养特性</w:t>
            </w:r>
          </w:p>
        </w:tc>
        <w:tc>
          <w:tcPr>
            <w:tcW w:w="239" w:type="dxa"/>
            <w:vAlign w:val="top"/>
          </w:tcPr>
          <w:p w14:paraId="465D42C9">
            <w:pPr>
              <w:rPr>
                <w:rFonts w:ascii="Arial"/>
                <w:sz w:val="21"/>
              </w:rPr>
            </w:pPr>
          </w:p>
        </w:tc>
        <w:tc>
          <w:tcPr>
            <w:tcW w:w="219" w:type="dxa"/>
            <w:vAlign w:val="top"/>
          </w:tcPr>
          <w:p w14:paraId="718EABAF">
            <w:pPr>
              <w:rPr>
                <w:rFonts w:ascii="Arial"/>
                <w:sz w:val="21"/>
              </w:rPr>
            </w:pPr>
          </w:p>
        </w:tc>
        <w:tc>
          <w:tcPr>
            <w:tcW w:w="239" w:type="dxa"/>
            <w:vAlign w:val="top"/>
          </w:tcPr>
          <w:p w14:paraId="4B721232">
            <w:pPr>
              <w:spacing w:line="412" w:lineRule="auto"/>
              <w:rPr>
                <w:rFonts w:ascii="Arial"/>
                <w:sz w:val="21"/>
              </w:rPr>
            </w:pPr>
          </w:p>
          <w:p w14:paraId="36123BA8">
            <w:pPr>
              <w:pStyle w:val="6"/>
              <w:spacing w:before="39" w:line="238" w:lineRule="auto"/>
              <w:ind w:left="58"/>
              <w:rPr>
                <w:sz w:val="12"/>
                <w:szCs w:val="12"/>
              </w:rPr>
            </w:pPr>
            <w:r>
              <w:rPr>
                <w:sz w:val="12"/>
                <w:szCs w:val="12"/>
              </w:rPr>
              <w:t>√</w:t>
            </w:r>
          </w:p>
        </w:tc>
        <w:tc>
          <w:tcPr>
            <w:tcW w:w="234" w:type="dxa"/>
            <w:vAlign w:val="top"/>
          </w:tcPr>
          <w:p w14:paraId="2EDCDBA8">
            <w:pPr>
              <w:rPr>
                <w:rFonts w:ascii="Arial"/>
                <w:sz w:val="21"/>
              </w:rPr>
            </w:pPr>
          </w:p>
        </w:tc>
      </w:tr>
      <w:tr w14:paraId="6EF40D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89" w:hRule="atLeast"/>
        </w:trPr>
        <w:tc>
          <w:tcPr>
            <w:tcW w:w="554" w:type="dxa"/>
            <w:vAlign w:val="top"/>
          </w:tcPr>
          <w:p w14:paraId="432072BB">
            <w:pPr>
              <w:pStyle w:val="6"/>
              <w:spacing w:before="255" w:line="220" w:lineRule="auto"/>
              <w:ind w:left="84"/>
              <w:rPr>
                <w:sz w:val="18"/>
                <w:szCs w:val="18"/>
              </w:rPr>
            </w:pPr>
            <w:r>
              <w:rPr>
                <w:spacing w:val="11"/>
                <w:sz w:val="18"/>
                <w:szCs w:val="18"/>
              </w:rPr>
              <w:t>蛋白</w:t>
            </w:r>
          </w:p>
          <w:p w14:paraId="6A3FA6FC">
            <w:pPr>
              <w:pStyle w:val="6"/>
              <w:spacing w:before="5" w:line="215" w:lineRule="auto"/>
              <w:ind w:left="84"/>
              <w:rPr>
                <w:sz w:val="18"/>
                <w:szCs w:val="18"/>
              </w:rPr>
            </w:pPr>
            <w:r>
              <w:rPr>
                <w:spacing w:val="-2"/>
                <w:sz w:val="18"/>
                <w:szCs w:val="18"/>
              </w:rPr>
              <w:t>质饲</w:t>
            </w:r>
          </w:p>
          <w:p w14:paraId="6337ADAF">
            <w:pPr>
              <w:pStyle w:val="6"/>
              <w:spacing w:line="220" w:lineRule="auto"/>
              <w:ind w:left="174"/>
              <w:rPr>
                <w:sz w:val="18"/>
                <w:szCs w:val="18"/>
              </w:rPr>
            </w:pPr>
            <w:r>
              <w:rPr>
                <w:sz w:val="18"/>
                <w:szCs w:val="18"/>
              </w:rPr>
              <w:t>料</w:t>
            </w:r>
          </w:p>
        </w:tc>
        <w:tc>
          <w:tcPr>
            <w:tcW w:w="2624" w:type="dxa"/>
            <w:vAlign w:val="top"/>
          </w:tcPr>
          <w:p w14:paraId="614A56FC">
            <w:pPr>
              <w:pStyle w:val="6"/>
              <w:spacing w:before="255" w:line="215" w:lineRule="auto"/>
              <w:ind w:left="71"/>
              <w:rPr>
                <w:sz w:val="18"/>
                <w:szCs w:val="18"/>
              </w:rPr>
            </w:pPr>
            <w:r>
              <w:rPr>
                <w:sz w:val="18"/>
                <w:szCs w:val="18"/>
              </w:rPr>
              <w:t>1.蛋白质饲料的概念</w:t>
            </w:r>
          </w:p>
          <w:p w14:paraId="669D3554">
            <w:pPr>
              <w:pStyle w:val="6"/>
              <w:spacing w:line="222" w:lineRule="auto"/>
              <w:ind w:left="71" w:right="212"/>
              <w:rPr>
                <w:sz w:val="18"/>
                <w:szCs w:val="18"/>
              </w:rPr>
            </w:pPr>
            <w:r>
              <w:rPr>
                <w:spacing w:val="-1"/>
                <w:sz w:val="18"/>
                <w:szCs w:val="18"/>
              </w:rPr>
              <w:t>2.蛋白质饲料的营养特性及饲</w:t>
            </w:r>
            <w:r>
              <w:rPr>
                <w:spacing w:val="3"/>
                <w:sz w:val="18"/>
                <w:szCs w:val="18"/>
              </w:rPr>
              <w:t xml:space="preserve"> </w:t>
            </w:r>
            <w:r>
              <w:rPr>
                <w:spacing w:val="5"/>
                <w:sz w:val="18"/>
                <w:szCs w:val="18"/>
              </w:rPr>
              <w:t>用特点</w:t>
            </w:r>
          </w:p>
        </w:tc>
        <w:tc>
          <w:tcPr>
            <w:tcW w:w="239" w:type="dxa"/>
            <w:vAlign w:val="top"/>
          </w:tcPr>
          <w:p w14:paraId="1EB898B1">
            <w:pPr>
              <w:spacing w:line="262" w:lineRule="auto"/>
              <w:rPr>
                <w:rFonts w:ascii="Arial"/>
                <w:sz w:val="21"/>
              </w:rPr>
            </w:pPr>
          </w:p>
          <w:p w14:paraId="0CD65D74">
            <w:pPr>
              <w:spacing w:line="116" w:lineRule="exact"/>
              <w:ind w:firstLine="58"/>
            </w:pPr>
            <w:r>
              <w:rPr>
                <w:position w:val="-2"/>
              </w:rPr>
              <w:drawing>
                <wp:inline distT="0" distB="0" distL="0" distR="0">
                  <wp:extent cx="80010" cy="73025"/>
                  <wp:effectExtent l="0" t="0" r="0" b="0"/>
                  <wp:docPr id="60" name="IM 60"/>
                  <wp:cNvGraphicFramePr/>
                  <a:graphic xmlns:a="http://schemas.openxmlformats.org/drawingml/2006/main">
                    <a:graphicData uri="http://schemas.openxmlformats.org/drawingml/2006/picture">
                      <pic:pic xmlns:pic="http://schemas.openxmlformats.org/drawingml/2006/picture">
                        <pic:nvPicPr>
                          <pic:cNvPr id="60" name="IM 60"/>
                          <pic:cNvPicPr/>
                        </pic:nvPicPr>
                        <pic:blipFill>
                          <a:blip r:embed="rId195"/>
                          <a:stretch>
                            <a:fillRect/>
                          </a:stretch>
                        </pic:blipFill>
                        <pic:spPr>
                          <a:xfrm>
                            <a:off x="0" y="0"/>
                            <a:ext cx="80015" cy="73657"/>
                          </a:xfrm>
                          <a:prstGeom prst="rect">
                            <a:avLst/>
                          </a:prstGeom>
                        </pic:spPr>
                      </pic:pic>
                    </a:graphicData>
                  </a:graphic>
                </wp:inline>
              </w:drawing>
            </w:r>
          </w:p>
        </w:tc>
        <w:tc>
          <w:tcPr>
            <w:tcW w:w="219" w:type="dxa"/>
            <w:vAlign w:val="top"/>
          </w:tcPr>
          <w:p w14:paraId="6B5E9EA9">
            <w:pPr>
              <w:rPr>
                <w:rFonts w:ascii="Arial"/>
                <w:sz w:val="21"/>
              </w:rPr>
            </w:pPr>
          </w:p>
        </w:tc>
        <w:tc>
          <w:tcPr>
            <w:tcW w:w="239" w:type="dxa"/>
            <w:vAlign w:val="top"/>
          </w:tcPr>
          <w:p w14:paraId="0C5E66A4">
            <w:pPr>
              <w:spacing w:line="463" w:lineRule="auto"/>
              <w:rPr>
                <w:rFonts w:ascii="Arial"/>
                <w:sz w:val="21"/>
              </w:rPr>
            </w:pPr>
          </w:p>
          <w:p w14:paraId="2E85464D">
            <w:pPr>
              <w:pStyle w:val="6"/>
              <w:spacing w:before="39" w:line="238" w:lineRule="auto"/>
              <w:ind w:left="58"/>
              <w:rPr>
                <w:sz w:val="12"/>
                <w:szCs w:val="12"/>
              </w:rPr>
            </w:pPr>
            <w:r>
              <w:rPr>
                <w:sz w:val="12"/>
                <w:szCs w:val="12"/>
              </w:rPr>
              <w:t>√</w:t>
            </w:r>
          </w:p>
        </w:tc>
        <w:tc>
          <w:tcPr>
            <w:tcW w:w="234" w:type="dxa"/>
            <w:vAlign w:val="top"/>
          </w:tcPr>
          <w:p w14:paraId="6D063878">
            <w:pPr>
              <w:rPr>
                <w:rFonts w:ascii="Arial"/>
                <w:sz w:val="21"/>
              </w:rPr>
            </w:pPr>
          </w:p>
        </w:tc>
      </w:tr>
      <w:tr w14:paraId="7553F7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89" w:hRule="atLeast"/>
        </w:trPr>
        <w:tc>
          <w:tcPr>
            <w:tcW w:w="554" w:type="dxa"/>
            <w:vAlign w:val="top"/>
          </w:tcPr>
          <w:p w14:paraId="19DBD136">
            <w:pPr>
              <w:pStyle w:val="6"/>
              <w:spacing w:before="126" w:line="206" w:lineRule="auto"/>
              <w:ind w:left="84"/>
              <w:rPr>
                <w:sz w:val="18"/>
                <w:szCs w:val="18"/>
              </w:rPr>
            </w:pPr>
            <w:r>
              <w:rPr>
                <w:spacing w:val="-2"/>
                <w:sz w:val="18"/>
                <w:szCs w:val="18"/>
              </w:rPr>
              <w:t>矿物</w:t>
            </w:r>
          </w:p>
          <w:p w14:paraId="4447BAC8">
            <w:pPr>
              <w:pStyle w:val="6"/>
              <w:spacing w:line="220" w:lineRule="auto"/>
              <w:ind w:left="84"/>
              <w:rPr>
                <w:sz w:val="18"/>
                <w:szCs w:val="18"/>
              </w:rPr>
            </w:pPr>
            <w:r>
              <w:rPr>
                <w:spacing w:val="-2"/>
                <w:sz w:val="18"/>
                <w:szCs w:val="18"/>
              </w:rPr>
              <w:t>质饲</w:t>
            </w:r>
          </w:p>
          <w:p w14:paraId="1F9F6979">
            <w:pPr>
              <w:pStyle w:val="6"/>
              <w:spacing w:before="5" w:line="220" w:lineRule="auto"/>
              <w:ind w:left="174"/>
              <w:rPr>
                <w:sz w:val="18"/>
                <w:szCs w:val="18"/>
              </w:rPr>
            </w:pPr>
            <w:r>
              <w:rPr>
                <w:sz w:val="18"/>
                <w:szCs w:val="18"/>
              </w:rPr>
              <w:t>料</w:t>
            </w:r>
          </w:p>
        </w:tc>
        <w:tc>
          <w:tcPr>
            <w:tcW w:w="2624" w:type="dxa"/>
            <w:vAlign w:val="top"/>
          </w:tcPr>
          <w:p w14:paraId="1FDE4275">
            <w:pPr>
              <w:pStyle w:val="6"/>
              <w:spacing w:before="227" w:line="222" w:lineRule="auto"/>
              <w:ind w:left="71" w:right="555"/>
              <w:rPr>
                <w:sz w:val="18"/>
                <w:szCs w:val="18"/>
              </w:rPr>
            </w:pPr>
            <w:r>
              <w:rPr>
                <w:sz w:val="18"/>
                <w:szCs w:val="18"/>
              </w:rPr>
              <w:t>1.常量矿物质饲料的种类</w:t>
            </w:r>
            <w:r>
              <w:rPr>
                <w:spacing w:val="6"/>
                <w:sz w:val="18"/>
                <w:szCs w:val="18"/>
              </w:rPr>
              <w:t xml:space="preserve"> </w:t>
            </w:r>
            <w:r>
              <w:rPr>
                <w:spacing w:val="-1"/>
                <w:sz w:val="18"/>
                <w:szCs w:val="18"/>
              </w:rPr>
              <w:t>2.微量矿物质饲料的种类</w:t>
            </w:r>
          </w:p>
        </w:tc>
        <w:tc>
          <w:tcPr>
            <w:tcW w:w="239" w:type="dxa"/>
            <w:vAlign w:val="top"/>
          </w:tcPr>
          <w:p w14:paraId="15F7577A">
            <w:pPr>
              <w:spacing w:line="271" w:lineRule="auto"/>
              <w:rPr>
                <w:rFonts w:ascii="Arial"/>
                <w:sz w:val="21"/>
              </w:rPr>
            </w:pPr>
          </w:p>
          <w:p w14:paraId="79E9B26F">
            <w:pPr>
              <w:spacing w:line="308" w:lineRule="exact"/>
              <w:ind w:firstLine="67"/>
            </w:pPr>
            <w:r>
              <w:rPr>
                <w:position w:val="-6"/>
              </w:rPr>
              <w:drawing>
                <wp:inline distT="0" distB="0" distL="0" distR="0">
                  <wp:extent cx="80010" cy="194945"/>
                  <wp:effectExtent l="0" t="0" r="0" b="0"/>
                  <wp:docPr id="62" name="IM 62"/>
                  <wp:cNvGraphicFramePr/>
                  <a:graphic xmlns:a="http://schemas.openxmlformats.org/drawingml/2006/main">
                    <a:graphicData uri="http://schemas.openxmlformats.org/drawingml/2006/picture">
                      <pic:pic xmlns:pic="http://schemas.openxmlformats.org/drawingml/2006/picture">
                        <pic:nvPicPr>
                          <pic:cNvPr id="62" name="IM 62"/>
                          <pic:cNvPicPr/>
                        </pic:nvPicPr>
                        <pic:blipFill>
                          <a:blip r:embed="rId196"/>
                          <a:stretch>
                            <a:fillRect/>
                          </a:stretch>
                        </pic:blipFill>
                        <pic:spPr>
                          <a:xfrm>
                            <a:off x="0" y="0"/>
                            <a:ext cx="80581" cy="195346"/>
                          </a:xfrm>
                          <a:prstGeom prst="rect">
                            <a:avLst/>
                          </a:prstGeom>
                        </pic:spPr>
                      </pic:pic>
                    </a:graphicData>
                  </a:graphic>
                </wp:inline>
              </w:drawing>
            </w:r>
          </w:p>
        </w:tc>
        <w:tc>
          <w:tcPr>
            <w:tcW w:w="219" w:type="dxa"/>
            <w:vAlign w:val="top"/>
          </w:tcPr>
          <w:p w14:paraId="04DEFB42">
            <w:pPr>
              <w:rPr>
                <w:rFonts w:ascii="Arial"/>
                <w:sz w:val="21"/>
              </w:rPr>
            </w:pPr>
          </w:p>
        </w:tc>
        <w:tc>
          <w:tcPr>
            <w:tcW w:w="239" w:type="dxa"/>
            <w:vAlign w:val="top"/>
          </w:tcPr>
          <w:p w14:paraId="2C258913">
            <w:pPr>
              <w:rPr>
                <w:rFonts w:ascii="Arial"/>
                <w:sz w:val="21"/>
              </w:rPr>
            </w:pPr>
          </w:p>
        </w:tc>
        <w:tc>
          <w:tcPr>
            <w:tcW w:w="234" w:type="dxa"/>
            <w:vAlign w:val="top"/>
          </w:tcPr>
          <w:p w14:paraId="70A7772F">
            <w:pPr>
              <w:rPr>
                <w:rFonts w:ascii="Arial"/>
                <w:sz w:val="21"/>
              </w:rPr>
            </w:pPr>
          </w:p>
        </w:tc>
      </w:tr>
      <w:tr w14:paraId="1C2A5D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5" w:hRule="atLeast"/>
        </w:trPr>
        <w:tc>
          <w:tcPr>
            <w:tcW w:w="554" w:type="dxa"/>
            <w:vMerge w:val="restart"/>
            <w:tcBorders>
              <w:bottom w:val="nil"/>
            </w:tcBorders>
            <w:vAlign w:val="top"/>
          </w:tcPr>
          <w:p w14:paraId="083DC483">
            <w:pPr>
              <w:pStyle w:val="6"/>
              <w:spacing w:before="197" w:line="220" w:lineRule="auto"/>
              <w:ind w:left="84"/>
              <w:rPr>
                <w:sz w:val="18"/>
                <w:szCs w:val="18"/>
              </w:rPr>
            </w:pPr>
            <w:r>
              <w:rPr>
                <w:spacing w:val="-2"/>
                <w:sz w:val="18"/>
                <w:szCs w:val="18"/>
              </w:rPr>
              <w:t>饲料</w:t>
            </w:r>
          </w:p>
          <w:p w14:paraId="65B45C76">
            <w:pPr>
              <w:pStyle w:val="6"/>
              <w:spacing w:before="16" w:line="213" w:lineRule="auto"/>
              <w:ind w:left="84"/>
              <w:rPr>
                <w:sz w:val="18"/>
                <w:szCs w:val="18"/>
              </w:rPr>
            </w:pPr>
            <w:r>
              <w:rPr>
                <w:spacing w:val="7"/>
                <w:sz w:val="18"/>
                <w:szCs w:val="18"/>
              </w:rPr>
              <w:t>添加</w:t>
            </w:r>
          </w:p>
          <w:p w14:paraId="0685B8E6">
            <w:pPr>
              <w:pStyle w:val="6"/>
              <w:spacing w:line="218" w:lineRule="auto"/>
              <w:ind w:left="174"/>
              <w:rPr>
                <w:sz w:val="18"/>
                <w:szCs w:val="18"/>
              </w:rPr>
            </w:pPr>
            <w:r>
              <w:rPr>
                <w:sz w:val="18"/>
                <w:szCs w:val="18"/>
              </w:rPr>
              <w:t>剂</w:t>
            </w:r>
          </w:p>
        </w:tc>
        <w:tc>
          <w:tcPr>
            <w:tcW w:w="2624" w:type="dxa"/>
            <w:tcBorders>
              <w:bottom w:val="nil"/>
            </w:tcBorders>
            <w:vAlign w:val="top"/>
          </w:tcPr>
          <w:p w14:paraId="6936012E">
            <w:pPr>
              <w:pStyle w:val="6"/>
              <w:spacing w:before="216" w:line="173" w:lineRule="auto"/>
              <w:ind w:left="71"/>
              <w:rPr>
                <w:sz w:val="18"/>
                <w:szCs w:val="18"/>
              </w:rPr>
            </w:pPr>
            <w:r>
              <w:rPr>
                <w:sz w:val="18"/>
                <w:szCs w:val="18"/>
              </w:rPr>
              <w:t>1.添加剂的概念与分类</w:t>
            </w:r>
          </w:p>
        </w:tc>
        <w:tc>
          <w:tcPr>
            <w:tcW w:w="239" w:type="dxa"/>
            <w:tcBorders>
              <w:bottom w:val="nil"/>
            </w:tcBorders>
            <w:vAlign w:val="top"/>
          </w:tcPr>
          <w:p w14:paraId="04D911A7">
            <w:pPr>
              <w:rPr>
                <w:rFonts w:ascii="Arial"/>
                <w:sz w:val="21"/>
              </w:rPr>
            </w:pPr>
          </w:p>
        </w:tc>
        <w:tc>
          <w:tcPr>
            <w:tcW w:w="219" w:type="dxa"/>
            <w:tcBorders>
              <w:bottom w:val="nil"/>
            </w:tcBorders>
            <w:vAlign w:val="top"/>
          </w:tcPr>
          <w:p w14:paraId="71A5B120">
            <w:pPr>
              <w:rPr>
                <w:rFonts w:ascii="Arial"/>
                <w:sz w:val="21"/>
              </w:rPr>
            </w:pPr>
          </w:p>
        </w:tc>
        <w:tc>
          <w:tcPr>
            <w:tcW w:w="239" w:type="dxa"/>
            <w:tcBorders>
              <w:bottom w:val="nil"/>
            </w:tcBorders>
            <w:vAlign w:val="top"/>
          </w:tcPr>
          <w:p w14:paraId="6B8B2481">
            <w:pPr>
              <w:rPr>
                <w:rFonts w:ascii="Arial"/>
                <w:sz w:val="21"/>
              </w:rPr>
            </w:pPr>
          </w:p>
        </w:tc>
        <w:tc>
          <w:tcPr>
            <w:tcW w:w="234" w:type="dxa"/>
            <w:tcBorders>
              <w:bottom w:val="nil"/>
            </w:tcBorders>
            <w:vAlign w:val="top"/>
          </w:tcPr>
          <w:p w14:paraId="15E54625">
            <w:pPr>
              <w:rPr>
                <w:rFonts w:ascii="Arial"/>
                <w:sz w:val="21"/>
              </w:rPr>
            </w:pPr>
          </w:p>
        </w:tc>
      </w:tr>
      <w:tr w14:paraId="414B3B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5" w:hRule="atLeast"/>
        </w:trPr>
        <w:tc>
          <w:tcPr>
            <w:tcW w:w="554" w:type="dxa"/>
            <w:vMerge w:val="continue"/>
            <w:tcBorders>
              <w:top w:val="nil"/>
              <w:bottom w:val="nil"/>
            </w:tcBorders>
            <w:vAlign w:val="top"/>
          </w:tcPr>
          <w:p w14:paraId="001C4B28">
            <w:pPr>
              <w:rPr>
                <w:rFonts w:ascii="Arial"/>
                <w:sz w:val="21"/>
              </w:rPr>
            </w:pPr>
          </w:p>
        </w:tc>
        <w:tc>
          <w:tcPr>
            <w:tcW w:w="2624" w:type="dxa"/>
            <w:tcBorders>
              <w:top w:val="nil"/>
              <w:bottom w:val="nil"/>
            </w:tcBorders>
            <w:vAlign w:val="top"/>
          </w:tcPr>
          <w:p w14:paraId="5DA0EFBD">
            <w:pPr>
              <w:pStyle w:val="6"/>
              <w:spacing w:before="21" w:line="188" w:lineRule="auto"/>
              <w:ind w:left="71"/>
              <w:rPr>
                <w:sz w:val="18"/>
                <w:szCs w:val="18"/>
              </w:rPr>
            </w:pPr>
            <w:r>
              <w:rPr>
                <w:spacing w:val="-1"/>
                <w:sz w:val="18"/>
                <w:szCs w:val="18"/>
              </w:rPr>
              <w:t>2.营养性饲料添加剂</w:t>
            </w:r>
          </w:p>
        </w:tc>
        <w:tc>
          <w:tcPr>
            <w:tcW w:w="239" w:type="dxa"/>
            <w:tcBorders>
              <w:top w:val="nil"/>
              <w:bottom w:val="nil"/>
            </w:tcBorders>
            <w:vAlign w:val="top"/>
          </w:tcPr>
          <w:p w14:paraId="1CC80CC4">
            <w:pPr>
              <w:spacing w:line="205" w:lineRule="exact"/>
              <w:rPr>
                <w:rFonts w:ascii="Arial"/>
                <w:sz w:val="17"/>
              </w:rPr>
            </w:pPr>
          </w:p>
        </w:tc>
        <w:tc>
          <w:tcPr>
            <w:tcW w:w="219" w:type="dxa"/>
            <w:tcBorders>
              <w:top w:val="nil"/>
              <w:bottom w:val="nil"/>
            </w:tcBorders>
            <w:vAlign w:val="top"/>
          </w:tcPr>
          <w:p w14:paraId="675C6CAA">
            <w:pPr>
              <w:spacing w:line="205" w:lineRule="exact"/>
              <w:rPr>
                <w:rFonts w:ascii="Arial"/>
                <w:sz w:val="17"/>
              </w:rPr>
            </w:pPr>
          </w:p>
        </w:tc>
        <w:tc>
          <w:tcPr>
            <w:tcW w:w="239" w:type="dxa"/>
            <w:tcBorders>
              <w:top w:val="nil"/>
              <w:bottom w:val="nil"/>
            </w:tcBorders>
            <w:vAlign w:val="top"/>
          </w:tcPr>
          <w:p w14:paraId="31C3B721">
            <w:pPr>
              <w:spacing w:line="205" w:lineRule="exact"/>
              <w:rPr>
                <w:rFonts w:ascii="Arial"/>
                <w:sz w:val="17"/>
              </w:rPr>
            </w:pPr>
          </w:p>
        </w:tc>
        <w:tc>
          <w:tcPr>
            <w:tcW w:w="234" w:type="dxa"/>
            <w:tcBorders>
              <w:top w:val="nil"/>
              <w:bottom w:val="nil"/>
            </w:tcBorders>
            <w:vAlign w:val="top"/>
          </w:tcPr>
          <w:p w14:paraId="2E21C15C">
            <w:pPr>
              <w:spacing w:line="205" w:lineRule="exact"/>
              <w:rPr>
                <w:rFonts w:ascii="Arial"/>
                <w:sz w:val="17"/>
              </w:rPr>
            </w:pPr>
          </w:p>
        </w:tc>
      </w:tr>
      <w:tr w14:paraId="37B5D4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4" w:hRule="atLeast"/>
        </w:trPr>
        <w:tc>
          <w:tcPr>
            <w:tcW w:w="554" w:type="dxa"/>
            <w:vMerge w:val="continue"/>
            <w:tcBorders>
              <w:top w:val="nil"/>
            </w:tcBorders>
            <w:vAlign w:val="top"/>
          </w:tcPr>
          <w:p w14:paraId="0E4FA51E">
            <w:pPr>
              <w:rPr>
                <w:rFonts w:ascii="Arial"/>
                <w:sz w:val="21"/>
              </w:rPr>
            </w:pPr>
          </w:p>
        </w:tc>
        <w:tc>
          <w:tcPr>
            <w:tcW w:w="2624" w:type="dxa"/>
            <w:tcBorders>
              <w:top w:val="nil"/>
            </w:tcBorders>
            <w:vAlign w:val="top"/>
          </w:tcPr>
          <w:p w14:paraId="5D63E299">
            <w:pPr>
              <w:pStyle w:val="6"/>
              <w:spacing w:before="36" w:line="219" w:lineRule="auto"/>
              <w:ind w:left="71"/>
              <w:rPr>
                <w:sz w:val="18"/>
                <w:szCs w:val="18"/>
              </w:rPr>
            </w:pPr>
            <w:r>
              <w:rPr>
                <w:sz w:val="18"/>
                <w:szCs w:val="18"/>
              </w:rPr>
              <w:t>3.非营养性饲料添加剂</w:t>
            </w:r>
          </w:p>
        </w:tc>
        <w:tc>
          <w:tcPr>
            <w:tcW w:w="239" w:type="dxa"/>
            <w:tcBorders>
              <w:top w:val="nil"/>
            </w:tcBorders>
            <w:vAlign w:val="top"/>
          </w:tcPr>
          <w:p w14:paraId="0C81720D">
            <w:pPr>
              <w:rPr>
                <w:rFonts w:ascii="Arial"/>
                <w:sz w:val="21"/>
              </w:rPr>
            </w:pPr>
          </w:p>
        </w:tc>
        <w:tc>
          <w:tcPr>
            <w:tcW w:w="219" w:type="dxa"/>
            <w:tcBorders>
              <w:top w:val="nil"/>
            </w:tcBorders>
            <w:vAlign w:val="top"/>
          </w:tcPr>
          <w:p w14:paraId="34F0EDC1">
            <w:pPr>
              <w:rPr>
                <w:rFonts w:ascii="Arial"/>
                <w:sz w:val="21"/>
              </w:rPr>
            </w:pPr>
          </w:p>
        </w:tc>
        <w:tc>
          <w:tcPr>
            <w:tcW w:w="239" w:type="dxa"/>
            <w:tcBorders>
              <w:top w:val="nil"/>
            </w:tcBorders>
            <w:vAlign w:val="top"/>
          </w:tcPr>
          <w:p w14:paraId="3BBFA231">
            <w:pPr>
              <w:rPr>
                <w:rFonts w:ascii="Arial"/>
                <w:sz w:val="21"/>
              </w:rPr>
            </w:pPr>
          </w:p>
        </w:tc>
        <w:tc>
          <w:tcPr>
            <w:tcW w:w="234" w:type="dxa"/>
            <w:tcBorders>
              <w:top w:val="nil"/>
            </w:tcBorders>
            <w:vAlign w:val="top"/>
          </w:tcPr>
          <w:p w14:paraId="2B1EC96C">
            <w:pPr>
              <w:rPr>
                <w:rFonts w:ascii="Arial"/>
                <w:sz w:val="21"/>
              </w:rPr>
            </w:pPr>
          </w:p>
        </w:tc>
      </w:tr>
    </w:tbl>
    <w:p w14:paraId="225ECE29">
      <w:pPr>
        <w:spacing w:before="128" w:line="221" w:lineRule="auto"/>
        <w:ind w:left="977"/>
        <w:rPr>
          <w:rFonts w:ascii="黑体" w:hAnsi="黑体" w:eastAsia="黑体" w:cs="黑体"/>
          <w:sz w:val="20"/>
          <w:szCs w:val="20"/>
        </w:rPr>
      </w:pPr>
      <w:r>
        <w:rPr>
          <w:rFonts w:ascii="黑体" w:hAnsi="黑体" w:eastAsia="黑体" w:cs="黑体"/>
          <w:b/>
          <w:bCs/>
          <w:spacing w:val="-5"/>
          <w:sz w:val="20"/>
          <w:szCs w:val="20"/>
        </w:rPr>
        <w:t>三、营养需要与饲料配合</w:t>
      </w:r>
    </w:p>
    <w:p w14:paraId="2DF63102">
      <w:pPr>
        <w:spacing w:line="162" w:lineRule="exact"/>
      </w:pPr>
    </w:p>
    <w:tbl>
      <w:tblPr>
        <w:tblStyle w:val="5"/>
        <w:tblW w:w="4119" w:type="dxa"/>
        <w:tblInd w:w="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54"/>
        <w:gridCol w:w="2634"/>
        <w:gridCol w:w="229"/>
        <w:gridCol w:w="229"/>
        <w:gridCol w:w="239"/>
        <w:gridCol w:w="234"/>
      </w:tblGrid>
      <w:tr w14:paraId="0C94B7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3" w:hRule="atLeast"/>
        </w:trPr>
        <w:tc>
          <w:tcPr>
            <w:tcW w:w="554" w:type="dxa"/>
            <w:vMerge w:val="restart"/>
            <w:tcBorders>
              <w:bottom w:val="nil"/>
            </w:tcBorders>
            <w:vAlign w:val="top"/>
          </w:tcPr>
          <w:p w14:paraId="3D8539D2">
            <w:pPr>
              <w:pStyle w:val="6"/>
              <w:spacing w:before="181" w:line="235" w:lineRule="auto"/>
              <w:ind w:left="87" w:right="104"/>
              <w:rPr>
                <w:sz w:val="18"/>
                <w:szCs w:val="18"/>
              </w:rPr>
            </w:pPr>
            <w:r>
              <w:rPr>
                <w:b/>
                <w:bCs/>
                <w:spacing w:val="-8"/>
                <w:sz w:val="18"/>
                <w:szCs w:val="18"/>
              </w:rPr>
              <w:t>知识</w:t>
            </w:r>
            <w:r>
              <w:rPr>
                <w:sz w:val="18"/>
                <w:szCs w:val="18"/>
              </w:rPr>
              <w:t xml:space="preserve"> </w:t>
            </w:r>
            <w:r>
              <w:rPr>
                <w:b/>
                <w:bCs/>
                <w:spacing w:val="-6"/>
                <w:sz w:val="18"/>
                <w:szCs w:val="18"/>
              </w:rPr>
              <w:t>要点</w:t>
            </w:r>
          </w:p>
        </w:tc>
        <w:tc>
          <w:tcPr>
            <w:tcW w:w="2634" w:type="dxa"/>
            <w:vMerge w:val="restart"/>
            <w:tcBorders>
              <w:bottom w:val="nil"/>
            </w:tcBorders>
            <w:vAlign w:val="top"/>
          </w:tcPr>
          <w:p w14:paraId="61C25C9B">
            <w:pPr>
              <w:pStyle w:val="6"/>
              <w:spacing w:before="299" w:line="219" w:lineRule="auto"/>
              <w:ind w:left="993"/>
              <w:rPr>
                <w:sz w:val="18"/>
                <w:szCs w:val="18"/>
              </w:rPr>
            </w:pPr>
            <w:r>
              <w:rPr>
                <w:b/>
                <w:bCs/>
                <w:spacing w:val="5"/>
                <w:sz w:val="18"/>
                <w:szCs w:val="18"/>
              </w:rPr>
              <w:t>考试条目</w:t>
            </w:r>
          </w:p>
        </w:tc>
        <w:tc>
          <w:tcPr>
            <w:tcW w:w="931" w:type="dxa"/>
            <w:gridSpan w:val="4"/>
            <w:vAlign w:val="top"/>
          </w:tcPr>
          <w:p w14:paraId="061DC959">
            <w:pPr>
              <w:pStyle w:val="6"/>
              <w:spacing w:before="109" w:line="219" w:lineRule="auto"/>
              <w:ind w:left="139"/>
              <w:rPr>
                <w:sz w:val="18"/>
                <w:szCs w:val="18"/>
              </w:rPr>
            </w:pPr>
            <w:r>
              <w:rPr>
                <w:b/>
                <w:bCs/>
                <w:spacing w:val="-4"/>
                <w:sz w:val="18"/>
                <w:szCs w:val="18"/>
              </w:rPr>
              <w:t>考试水平</w:t>
            </w:r>
          </w:p>
        </w:tc>
      </w:tr>
      <w:tr w14:paraId="43C212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554" w:type="dxa"/>
            <w:vMerge w:val="continue"/>
            <w:tcBorders>
              <w:top w:val="nil"/>
            </w:tcBorders>
            <w:vAlign w:val="top"/>
          </w:tcPr>
          <w:p w14:paraId="0B2471CB">
            <w:pPr>
              <w:rPr>
                <w:rFonts w:ascii="Arial"/>
                <w:sz w:val="21"/>
              </w:rPr>
            </w:pPr>
          </w:p>
        </w:tc>
        <w:tc>
          <w:tcPr>
            <w:tcW w:w="2634" w:type="dxa"/>
            <w:vMerge w:val="continue"/>
            <w:tcBorders>
              <w:top w:val="nil"/>
            </w:tcBorders>
            <w:vAlign w:val="top"/>
          </w:tcPr>
          <w:p w14:paraId="192FAE1F">
            <w:pPr>
              <w:rPr>
                <w:rFonts w:ascii="Arial"/>
                <w:sz w:val="21"/>
              </w:rPr>
            </w:pPr>
          </w:p>
        </w:tc>
        <w:tc>
          <w:tcPr>
            <w:tcW w:w="229" w:type="dxa"/>
            <w:vAlign w:val="top"/>
          </w:tcPr>
          <w:p w14:paraId="42E27B34">
            <w:pPr>
              <w:pStyle w:val="6"/>
              <w:spacing w:before="144" w:line="184" w:lineRule="auto"/>
              <w:ind w:left="16"/>
              <w:rPr>
                <w:sz w:val="18"/>
                <w:szCs w:val="18"/>
              </w:rPr>
            </w:pPr>
            <w:r>
              <w:rPr>
                <w:sz w:val="18"/>
                <w:szCs w:val="18"/>
              </w:rPr>
              <w:t>A</w:t>
            </w:r>
          </w:p>
        </w:tc>
        <w:tc>
          <w:tcPr>
            <w:tcW w:w="229" w:type="dxa"/>
            <w:vAlign w:val="top"/>
          </w:tcPr>
          <w:p w14:paraId="084655EF">
            <w:pPr>
              <w:pStyle w:val="6"/>
              <w:spacing w:before="146" w:line="182" w:lineRule="auto"/>
              <w:ind w:left="38"/>
              <w:rPr>
                <w:sz w:val="18"/>
                <w:szCs w:val="18"/>
              </w:rPr>
            </w:pPr>
            <w:r>
              <w:rPr>
                <w:sz w:val="18"/>
                <w:szCs w:val="18"/>
              </w:rPr>
              <w:t>B</w:t>
            </w:r>
          </w:p>
        </w:tc>
        <w:tc>
          <w:tcPr>
            <w:tcW w:w="239" w:type="dxa"/>
            <w:vAlign w:val="top"/>
          </w:tcPr>
          <w:p w14:paraId="3EA4BEBF">
            <w:pPr>
              <w:pStyle w:val="6"/>
              <w:spacing w:before="145" w:line="183" w:lineRule="auto"/>
              <w:ind w:left="28"/>
              <w:rPr>
                <w:sz w:val="18"/>
                <w:szCs w:val="18"/>
              </w:rPr>
            </w:pPr>
            <w:r>
              <w:rPr>
                <w:sz w:val="18"/>
                <w:szCs w:val="18"/>
              </w:rPr>
              <w:t>C</w:t>
            </w:r>
          </w:p>
        </w:tc>
        <w:tc>
          <w:tcPr>
            <w:tcW w:w="234" w:type="dxa"/>
            <w:vAlign w:val="top"/>
          </w:tcPr>
          <w:p w14:paraId="06E753A6">
            <w:pPr>
              <w:pStyle w:val="6"/>
              <w:spacing w:before="146" w:line="182" w:lineRule="auto"/>
              <w:ind w:left="49"/>
              <w:rPr>
                <w:sz w:val="18"/>
                <w:szCs w:val="18"/>
              </w:rPr>
            </w:pPr>
            <w:r>
              <w:rPr>
                <w:sz w:val="18"/>
                <w:szCs w:val="18"/>
              </w:rPr>
              <w:t>D</w:t>
            </w:r>
          </w:p>
        </w:tc>
      </w:tr>
      <w:tr w14:paraId="760F63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7" w:hRule="atLeast"/>
        </w:trPr>
        <w:tc>
          <w:tcPr>
            <w:tcW w:w="554" w:type="dxa"/>
            <w:vAlign w:val="top"/>
          </w:tcPr>
          <w:p w14:paraId="6B75532A">
            <w:pPr>
              <w:pStyle w:val="6"/>
              <w:spacing w:before="59" w:line="221" w:lineRule="auto"/>
              <w:ind w:left="84" w:right="89"/>
              <w:jc w:val="both"/>
              <w:rPr>
                <w:sz w:val="18"/>
                <w:szCs w:val="18"/>
              </w:rPr>
            </w:pPr>
            <w:r>
              <w:rPr>
                <w:spacing w:val="4"/>
                <w:sz w:val="18"/>
                <w:szCs w:val="18"/>
              </w:rPr>
              <w:t>畜禽</w:t>
            </w:r>
            <w:r>
              <w:rPr>
                <w:sz w:val="18"/>
                <w:szCs w:val="18"/>
              </w:rPr>
              <w:t xml:space="preserve"> </w:t>
            </w:r>
            <w:r>
              <w:rPr>
                <w:spacing w:val="4"/>
                <w:sz w:val="18"/>
                <w:szCs w:val="18"/>
              </w:rPr>
              <w:t>营养</w:t>
            </w:r>
            <w:r>
              <w:rPr>
                <w:sz w:val="18"/>
                <w:szCs w:val="18"/>
              </w:rPr>
              <w:t xml:space="preserve"> </w:t>
            </w:r>
            <w:r>
              <w:rPr>
                <w:spacing w:val="4"/>
                <w:sz w:val="18"/>
                <w:szCs w:val="18"/>
              </w:rPr>
              <w:t>需要</w:t>
            </w:r>
          </w:p>
        </w:tc>
        <w:tc>
          <w:tcPr>
            <w:tcW w:w="2634" w:type="dxa"/>
            <w:vAlign w:val="top"/>
          </w:tcPr>
          <w:p w14:paraId="5927A6E5">
            <w:pPr>
              <w:pStyle w:val="6"/>
              <w:spacing w:before="280" w:line="219" w:lineRule="auto"/>
              <w:ind w:left="60"/>
              <w:rPr>
                <w:sz w:val="18"/>
                <w:szCs w:val="18"/>
              </w:rPr>
            </w:pPr>
            <w:r>
              <w:rPr>
                <w:spacing w:val="-1"/>
                <w:sz w:val="18"/>
                <w:szCs w:val="18"/>
              </w:rPr>
              <w:t>营养需要的概念和测定方法</w:t>
            </w:r>
          </w:p>
        </w:tc>
        <w:tc>
          <w:tcPr>
            <w:tcW w:w="229" w:type="dxa"/>
            <w:vAlign w:val="top"/>
          </w:tcPr>
          <w:p w14:paraId="5B86FF8D">
            <w:pPr>
              <w:spacing w:line="307" w:lineRule="auto"/>
              <w:rPr>
                <w:rFonts w:ascii="Arial"/>
                <w:sz w:val="21"/>
              </w:rPr>
            </w:pPr>
          </w:p>
          <w:p w14:paraId="7D725640">
            <w:pPr>
              <w:spacing w:line="116" w:lineRule="exact"/>
              <w:ind w:firstLine="54"/>
            </w:pPr>
            <w:r>
              <w:rPr>
                <w:position w:val="-2"/>
              </w:rPr>
              <w:drawing>
                <wp:inline distT="0" distB="0" distL="0" distR="0">
                  <wp:extent cx="77470" cy="73025"/>
                  <wp:effectExtent l="0" t="0" r="0" b="0"/>
                  <wp:docPr id="64" name="IM 64"/>
                  <wp:cNvGraphicFramePr/>
                  <a:graphic xmlns:a="http://schemas.openxmlformats.org/drawingml/2006/main">
                    <a:graphicData uri="http://schemas.openxmlformats.org/drawingml/2006/picture">
                      <pic:pic xmlns:pic="http://schemas.openxmlformats.org/drawingml/2006/picture">
                        <pic:nvPicPr>
                          <pic:cNvPr id="64" name="IM 64"/>
                          <pic:cNvPicPr/>
                        </pic:nvPicPr>
                        <pic:blipFill>
                          <a:blip r:embed="rId197"/>
                          <a:stretch>
                            <a:fillRect/>
                          </a:stretch>
                        </pic:blipFill>
                        <pic:spPr>
                          <a:xfrm>
                            <a:off x="0" y="0"/>
                            <a:ext cx="77798" cy="73657"/>
                          </a:xfrm>
                          <a:prstGeom prst="rect">
                            <a:avLst/>
                          </a:prstGeom>
                        </pic:spPr>
                      </pic:pic>
                    </a:graphicData>
                  </a:graphic>
                </wp:inline>
              </w:drawing>
            </w:r>
          </w:p>
        </w:tc>
        <w:tc>
          <w:tcPr>
            <w:tcW w:w="229" w:type="dxa"/>
            <w:vAlign w:val="top"/>
          </w:tcPr>
          <w:p w14:paraId="0842643F">
            <w:pPr>
              <w:rPr>
                <w:rFonts w:ascii="Arial"/>
                <w:sz w:val="21"/>
              </w:rPr>
            </w:pPr>
          </w:p>
        </w:tc>
        <w:tc>
          <w:tcPr>
            <w:tcW w:w="239" w:type="dxa"/>
            <w:vAlign w:val="top"/>
          </w:tcPr>
          <w:p w14:paraId="3CC39FEA">
            <w:pPr>
              <w:rPr>
                <w:rFonts w:ascii="Arial"/>
                <w:sz w:val="21"/>
              </w:rPr>
            </w:pPr>
          </w:p>
        </w:tc>
        <w:tc>
          <w:tcPr>
            <w:tcW w:w="234" w:type="dxa"/>
            <w:vAlign w:val="top"/>
          </w:tcPr>
          <w:p w14:paraId="44BF060C">
            <w:pPr>
              <w:rPr>
                <w:rFonts w:ascii="Arial"/>
                <w:sz w:val="21"/>
              </w:rPr>
            </w:pPr>
          </w:p>
        </w:tc>
      </w:tr>
      <w:tr w14:paraId="23FB37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51" w:hRule="atLeast"/>
        </w:trPr>
        <w:tc>
          <w:tcPr>
            <w:tcW w:w="554" w:type="dxa"/>
            <w:vAlign w:val="top"/>
          </w:tcPr>
          <w:p w14:paraId="42EA6D5A">
            <w:pPr>
              <w:pStyle w:val="6"/>
              <w:spacing w:before="53" w:line="227" w:lineRule="auto"/>
              <w:ind w:left="84" w:right="89"/>
              <w:jc w:val="both"/>
              <w:rPr>
                <w:sz w:val="18"/>
                <w:szCs w:val="18"/>
              </w:rPr>
            </w:pPr>
            <w:r>
              <w:rPr>
                <w:spacing w:val="4"/>
                <w:sz w:val="18"/>
                <w:szCs w:val="18"/>
              </w:rPr>
              <w:t>畜禽</w:t>
            </w:r>
            <w:r>
              <w:rPr>
                <w:sz w:val="18"/>
                <w:szCs w:val="18"/>
              </w:rPr>
              <w:t xml:space="preserve"> </w:t>
            </w:r>
            <w:r>
              <w:rPr>
                <w:spacing w:val="-5"/>
                <w:sz w:val="18"/>
                <w:szCs w:val="18"/>
              </w:rPr>
              <w:t>维持</w:t>
            </w:r>
            <w:r>
              <w:rPr>
                <w:sz w:val="18"/>
                <w:szCs w:val="18"/>
              </w:rPr>
              <w:t xml:space="preserve"> </w:t>
            </w:r>
            <w:r>
              <w:rPr>
                <w:spacing w:val="4"/>
                <w:sz w:val="18"/>
                <w:szCs w:val="18"/>
              </w:rPr>
              <w:t>营养</w:t>
            </w:r>
            <w:r>
              <w:rPr>
                <w:sz w:val="18"/>
                <w:szCs w:val="18"/>
              </w:rPr>
              <w:t xml:space="preserve"> </w:t>
            </w:r>
            <w:r>
              <w:rPr>
                <w:spacing w:val="4"/>
                <w:sz w:val="18"/>
                <w:szCs w:val="18"/>
              </w:rPr>
              <w:t>需要</w:t>
            </w:r>
          </w:p>
        </w:tc>
        <w:tc>
          <w:tcPr>
            <w:tcW w:w="2634" w:type="dxa"/>
            <w:vAlign w:val="top"/>
          </w:tcPr>
          <w:p w14:paraId="218C2204">
            <w:pPr>
              <w:pStyle w:val="6"/>
              <w:spacing w:before="183" w:line="217" w:lineRule="auto"/>
              <w:ind w:left="60" w:right="573"/>
              <w:rPr>
                <w:sz w:val="18"/>
                <w:szCs w:val="18"/>
              </w:rPr>
            </w:pPr>
            <w:r>
              <w:rPr>
                <w:sz w:val="18"/>
                <w:szCs w:val="18"/>
              </w:rPr>
              <w:t>1.维持需要的概念及意义</w:t>
            </w:r>
            <w:r>
              <w:rPr>
                <w:spacing w:val="8"/>
                <w:sz w:val="18"/>
                <w:szCs w:val="18"/>
              </w:rPr>
              <w:t xml:space="preserve"> </w:t>
            </w:r>
            <w:r>
              <w:rPr>
                <w:spacing w:val="-1"/>
                <w:sz w:val="18"/>
                <w:szCs w:val="18"/>
              </w:rPr>
              <w:t>2.影响维持需要的因素</w:t>
            </w:r>
          </w:p>
          <w:p w14:paraId="46547FCB">
            <w:pPr>
              <w:pStyle w:val="6"/>
              <w:spacing w:before="16" w:line="219" w:lineRule="auto"/>
              <w:ind w:left="60"/>
              <w:rPr>
                <w:sz w:val="18"/>
                <w:szCs w:val="18"/>
              </w:rPr>
            </w:pPr>
            <w:r>
              <w:rPr>
                <w:spacing w:val="-1"/>
                <w:sz w:val="18"/>
                <w:szCs w:val="18"/>
              </w:rPr>
              <w:t>3.畜禽的维持需要</w:t>
            </w:r>
          </w:p>
        </w:tc>
        <w:tc>
          <w:tcPr>
            <w:tcW w:w="229" w:type="dxa"/>
            <w:vAlign w:val="top"/>
          </w:tcPr>
          <w:p w14:paraId="38B67C18">
            <w:pPr>
              <w:spacing w:before="184" w:line="127" w:lineRule="exact"/>
              <w:ind w:firstLine="56"/>
            </w:pPr>
            <w:r>
              <w:rPr>
                <w:position w:val="-2"/>
              </w:rPr>
              <w:drawing>
                <wp:inline distT="0" distB="0" distL="0" distR="0">
                  <wp:extent cx="80010" cy="80010"/>
                  <wp:effectExtent l="0" t="0" r="0" b="0"/>
                  <wp:docPr id="66" name="IM 66"/>
                  <wp:cNvGraphicFramePr/>
                  <a:graphic xmlns:a="http://schemas.openxmlformats.org/drawingml/2006/main">
                    <a:graphicData uri="http://schemas.openxmlformats.org/drawingml/2006/picture">
                      <pic:pic xmlns:pic="http://schemas.openxmlformats.org/drawingml/2006/picture">
                        <pic:nvPicPr>
                          <pic:cNvPr id="66" name="IM 66"/>
                          <pic:cNvPicPr/>
                        </pic:nvPicPr>
                        <pic:blipFill>
                          <a:blip r:embed="rId198"/>
                          <a:stretch>
                            <a:fillRect/>
                          </a:stretch>
                        </pic:blipFill>
                        <pic:spPr>
                          <a:xfrm>
                            <a:off x="0" y="0"/>
                            <a:ext cx="80015" cy="80604"/>
                          </a:xfrm>
                          <a:prstGeom prst="rect">
                            <a:avLst/>
                          </a:prstGeom>
                        </pic:spPr>
                      </pic:pic>
                    </a:graphicData>
                  </a:graphic>
                </wp:inline>
              </w:drawing>
            </w:r>
          </w:p>
        </w:tc>
        <w:tc>
          <w:tcPr>
            <w:tcW w:w="229" w:type="dxa"/>
            <w:vAlign w:val="top"/>
          </w:tcPr>
          <w:p w14:paraId="10485D4E">
            <w:pPr>
              <w:spacing w:line="419" w:lineRule="auto"/>
              <w:rPr>
                <w:rFonts w:ascii="Arial"/>
                <w:sz w:val="21"/>
              </w:rPr>
            </w:pPr>
          </w:p>
          <w:p w14:paraId="30C5C47F">
            <w:pPr>
              <w:spacing w:line="326" w:lineRule="exact"/>
              <w:ind w:firstLine="45"/>
            </w:pPr>
            <w:r>
              <w:rPr>
                <w:position w:val="-6"/>
              </w:rPr>
              <w:drawing>
                <wp:inline distT="0" distB="0" distL="0" distR="0">
                  <wp:extent cx="85725" cy="207010"/>
                  <wp:effectExtent l="0" t="0" r="0" b="0"/>
                  <wp:docPr id="68" name="IM 68"/>
                  <wp:cNvGraphicFramePr/>
                  <a:graphic xmlns:a="http://schemas.openxmlformats.org/drawingml/2006/main">
                    <a:graphicData uri="http://schemas.openxmlformats.org/drawingml/2006/picture">
                      <pic:pic xmlns:pic="http://schemas.openxmlformats.org/drawingml/2006/picture">
                        <pic:nvPicPr>
                          <pic:cNvPr id="68" name="IM 68"/>
                          <pic:cNvPicPr/>
                        </pic:nvPicPr>
                        <pic:blipFill>
                          <a:blip r:embed="rId199"/>
                          <a:stretch>
                            <a:fillRect/>
                          </a:stretch>
                        </pic:blipFill>
                        <pic:spPr>
                          <a:xfrm>
                            <a:off x="0" y="0"/>
                            <a:ext cx="85922" cy="207262"/>
                          </a:xfrm>
                          <a:prstGeom prst="rect">
                            <a:avLst/>
                          </a:prstGeom>
                        </pic:spPr>
                      </pic:pic>
                    </a:graphicData>
                  </a:graphic>
                </wp:inline>
              </w:drawing>
            </w:r>
          </w:p>
        </w:tc>
        <w:tc>
          <w:tcPr>
            <w:tcW w:w="239" w:type="dxa"/>
            <w:vAlign w:val="top"/>
          </w:tcPr>
          <w:p w14:paraId="74A7087F">
            <w:pPr>
              <w:rPr>
                <w:rFonts w:ascii="Arial"/>
                <w:sz w:val="21"/>
              </w:rPr>
            </w:pPr>
          </w:p>
        </w:tc>
        <w:tc>
          <w:tcPr>
            <w:tcW w:w="234" w:type="dxa"/>
            <w:vAlign w:val="top"/>
          </w:tcPr>
          <w:p w14:paraId="330C22F5">
            <w:pPr>
              <w:rPr>
                <w:rFonts w:ascii="Arial"/>
                <w:sz w:val="21"/>
              </w:rPr>
            </w:pPr>
          </w:p>
        </w:tc>
      </w:tr>
    </w:tbl>
    <w:p w14:paraId="42463E90">
      <w:pPr>
        <w:pStyle w:val="2"/>
        <w:spacing w:line="104" w:lineRule="auto"/>
        <w:rPr>
          <w:sz w:val="2"/>
        </w:rPr>
      </w:pPr>
    </w:p>
    <w:p w14:paraId="3A604982">
      <w:pPr>
        <w:spacing w:line="104" w:lineRule="auto"/>
        <w:rPr>
          <w:sz w:val="2"/>
          <w:szCs w:val="2"/>
        </w:rPr>
        <w:sectPr>
          <w:type w:val="continuous"/>
          <w:pgSz w:w="10660" w:h="15080"/>
          <w:pgMar w:top="400" w:right="1034" w:bottom="918" w:left="819" w:header="0" w:footer="724" w:gutter="0"/>
          <w:cols w:equalWidth="0" w:num="2">
            <w:col w:w="4566" w:space="100"/>
            <w:col w:w="4141"/>
          </w:cols>
        </w:sectPr>
      </w:pPr>
    </w:p>
    <w:p w14:paraId="7EC3A876">
      <w:pPr>
        <w:spacing w:before="10"/>
      </w:pPr>
    </w:p>
    <w:p w14:paraId="0111A26F">
      <w:pPr>
        <w:spacing w:before="10"/>
      </w:pPr>
    </w:p>
    <w:p w14:paraId="7E635744">
      <w:pPr>
        <w:spacing w:before="10"/>
      </w:pPr>
    </w:p>
    <w:p w14:paraId="683956C9">
      <w:pPr>
        <w:spacing w:before="9"/>
      </w:pPr>
    </w:p>
    <w:p w14:paraId="7C1BEA42">
      <w:pPr>
        <w:sectPr>
          <w:footerReference r:id="rId19" w:type="default"/>
          <w:pgSz w:w="10660" w:h="15080"/>
          <w:pgMar w:top="400" w:right="871" w:bottom="917" w:left="1034" w:header="0" w:footer="709" w:gutter="0"/>
          <w:cols w:equalWidth="0" w:num="1">
            <w:col w:w="8754"/>
          </w:cols>
        </w:sectPr>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54"/>
        <w:gridCol w:w="2644"/>
        <w:gridCol w:w="229"/>
        <w:gridCol w:w="229"/>
        <w:gridCol w:w="229"/>
        <w:gridCol w:w="234"/>
      </w:tblGrid>
      <w:tr w14:paraId="1F746B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4" w:hRule="atLeast"/>
        </w:trPr>
        <w:tc>
          <w:tcPr>
            <w:tcW w:w="554" w:type="dxa"/>
            <w:vMerge w:val="restart"/>
            <w:tcBorders>
              <w:bottom w:val="nil"/>
            </w:tcBorders>
            <w:vAlign w:val="top"/>
          </w:tcPr>
          <w:p w14:paraId="5560D5E1">
            <w:pPr>
              <w:pStyle w:val="6"/>
              <w:spacing w:before="172" w:line="249" w:lineRule="auto"/>
              <w:ind w:left="97" w:right="113"/>
            </w:pPr>
            <w:r>
              <w:rPr>
                <w:b/>
                <w:bCs/>
                <w:spacing w:val="-7"/>
              </w:rPr>
              <w:t>知识</w:t>
            </w:r>
            <w:r>
              <w:t xml:space="preserve"> </w:t>
            </w:r>
            <w:r>
              <w:rPr>
                <w:b/>
                <w:bCs/>
                <w:spacing w:val="-6"/>
              </w:rPr>
              <w:t>要点</w:t>
            </w:r>
          </w:p>
        </w:tc>
        <w:tc>
          <w:tcPr>
            <w:tcW w:w="2644" w:type="dxa"/>
            <w:vMerge w:val="restart"/>
            <w:tcBorders>
              <w:bottom w:val="nil"/>
            </w:tcBorders>
            <w:vAlign w:val="top"/>
          </w:tcPr>
          <w:p w14:paraId="6F4963AE">
            <w:pPr>
              <w:spacing w:line="252" w:lineRule="auto"/>
              <w:rPr>
                <w:rFonts w:ascii="Arial"/>
                <w:sz w:val="21"/>
              </w:rPr>
            </w:pPr>
          </w:p>
          <w:p w14:paraId="42D849A4">
            <w:pPr>
              <w:pStyle w:val="6"/>
              <w:spacing w:before="56" w:line="219" w:lineRule="auto"/>
              <w:ind w:left="1003"/>
            </w:pPr>
            <w:r>
              <w:rPr>
                <w:b/>
                <w:bCs/>
                <w:spacing w:val="5"/>
              </w:rPr>
              <w:t>考试条目</w:t>
            </w:r>
          </w:p>
        </w:tc>
        <w:tc>
          <w:tcPr>
            <w:tcW w:w="921" w:type="dxa"/>
            <w:gridSpan w:val="4"/>
            <w:vAlign w:val="top"/>
          </w:tcPr>
          <w:p w14:paraId="52943094">
            <w:pPr>
              <w:pStyle w:val="6"/>
              <w:spacing w:before="109" w:line="219" w:lineRule="auto"/>
              <w:ind w:left="129"/>
            </w:pPr>
            <w:r>
              <w:rPr>
                <w:b/>
                <w:bCs/>
                <w:spacing w:val="-4"/>
              </w:rPr>
              <w:t>考试水平</w:t>
            </w:r>
          </w:p>
        </w:tc>
      </w:tr>
      <w:tr w14:paraId="556EFB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9" w:hRule="atLeast"/>
        </w:trPr>
        <w:tc>
          <w:tcPr>
            <w:tcW w:w="554" w:type="dxa"/>
            <w:vMerge w:val="continue"/>
            <w:tcBorders>
              <w:top w:val="nil"/>
            </w:tcBorders>
            <w:vAlign w:val="top"/>
          </w:tcPr>
          <w:p w14:paraId="764DAAB7">
            <w:pPr>
              <w:rPr>
                <w:rFonts w:ascii="Arial"/>
                <w:sz w:val="21"/>
              </w:rPr>
            </w:pPr>
          </w:p>
        </w:tc>
        <w:tc>
          <w:tcPr>
            <w:tcW w:w="2644" w:type="dxa"/>
            <w:vMerge w:val="continue"/>
            <w:tcBorders>
              <w:top w:val="nil"/>
            </w:tcBorders>
            <w:vAlign w:val="top"/>
          </w:tcPr>
          <w:p w14:paraId="05604F0D">
            <w:pPr>
              <w:rPr>
                <w:rFonts w:ascii="Arial"/>
                <w:sz w:val="21"/>
              </w:rPr>
            </w:pPr>
          </w:p>
        </w:tc>
        <w:tc>
          <w:tcPr>
            <w:tcW w:w="229" w:type="dxa"/>
            <w:vAlign w:val="top"/>
          </w:tcPr>
          <w:p w14:paraId="2F30ED32">
            <w:pPr>
              <w:pStyle w:val="6"/>
              <w:spacing w:before="150" w:line="184" w:lineRule="auto"/>
              <w:ind w:left="26"/>
            </w:pPr>
            <w:r>
              <w:t>A</w:t>
            </w:r>
          </w:p>
        </w:tc>
        <w:tc>
          <w:tcPr>
            <w:tcW w:w="229" w:type="dxa"/>
            <w:vAlign w:val="top"/>
          </w:tcPr>
          <w:p w14:paraId="54D2C369">
            <w:pPr>
              <w:pStyle w:val="6"/>
              <w:spacing w:before="152" w:line="182" w:lineRule="auto"/>
              <w:ind w:left="38"/>
            </w:pPr>
            <w:r>
              <w:t>B</w:t>
            </w:r>
          </w:p>
        </w:tc>
        <w:tc>
          <w:tcPr>
            <w:tcW w:w="229" w:type="dxa"/>
            <w:vAlign w:val="top"/>
          </w:tcPr>
          <w:p w14:paraId="1FE6A640">
            <w:pPr>
              <w:pStyle w:val="6"/>
              <w:spacing w:before="151" w:line="183" w:lineRule="auto"/>
              <w:ind w:left="19"/>
            </w:pPr>
            <w:r>
              <w:t>C</w:t>
            </w:r>
          </w:p>
        </w:tc>
        <w:tc>
          <w:tcPr>
            <w:tcW w:w="234" w:type="dxa"/>
            <w:vAlign w:val="top"/>
          </w:tcPr>
          <w:p w14:paraId="536B7DC1">
            <w:pPr>
              <w:pStyle w:val="6"/>
              <w:spacing w:before="152" w:line="182" w:lineRule="auto"/>
              <w:ind w:left="19"/>
            </w:pPr>
            <w:r>
              <w:t>D</w:t>
            </w:r>
          </w:p>
        </w:tc>
      </w:tr>
      <w:tr w14:paraId="5FE9A0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9" w:hRule="atLeast"/>
        </w:trPr>
        <w:tc>
          <w:tcPr>
            <w:tcW w:w="554" w:type="dxa"/>
            <w:vMerge w:val="restart"/>
            <w:tcBorders>
              <w:bottom w:val="nil"/>
            </w:tcBorders>
            <w:vAlign w:val="top"/>
          </w:tcPr>
          <w:p w14:paraId="4890BF7E">
            <w:pPr>
              <w:spacing w:line="243" w:lineRule="auto"/>
              <w:rPr>
                <w:rFonts w:ascii="Arial"/>
                <w:sz w:val="21"/>
              </w:rPr>
            </w:pPr>
          </w:p>
          <w:p w14:paraId="0EA772B7">
            <w:pPr>
              <w:pStyle w:val="6"/>
              <w:spacing w:before="55" w:line="234" w:lineRule="auto"/>
              <w:ind w:left="94" w:right="100"/>
              <w:jc w:val="both"/>
            </w:pPr>
            <w:r>
              <w:rPr>
                <w:spacing w:val="4"/>
              </w:rPr>
              <w:t>畜禽</w:t>
            </w:r>
            <w:r>
              <w:t xml:space="preserve"> </w:t>
            </w:r>
            <w:r>
              <w:rPr>
                <w:spacing w:val="-4"/>
              </w:rPr>
              <w:t>生产</w:t>
            </w:r>
            <w:r>
              <w:t xml:space="preserve"> </w:t>
            </w:r>
            <w:r>
              <w:rPr>
                <w:spacing w:val="-6"/>
              </w:rPr>
              <w:t>营养</w:t>
            </w:r>
            <w:r>
              <w:t xml:space="preserve"> </w:t>
            </w:r>
            <w:r>
              <w:rPr>
                <w:spacing w:val="4"/>
              </w:rPr>
              <w:t>需要</w:t>
            </w:r>
          </w:p>
        </w:tc>
        <w:tc>
          <w:tcPr>
            <w:tcW w:w="2644" w:type="dxa"/>
            <w:tcBorders>
              <w:bottom w:val="nil"/>
            </w:tcBorders>
            <w:vAlign w:val="top"/>
          </w:tcPr>
          <w:p w14:paraId="1FC089A4">
            <w:pPr>
              <w:pStyle w:val="6"/>
              <w:spacing w:before="198" w:line="196" w:lineRule="auto"/>
              <w:ind w:left="71"/>
            </w:pPr>
            <w:r>
              <w:t>1.繁殖家畜的营养需要</w:t>
            </w:r>
          </w:p>
        </w:tc>
        <w:tc>
          <w:tcPr>
            <w:tcW w:w="229" w:type="dxa"/>
            <w:tcBorders>
              <w:bottom w:val="nil"/>
            </w:tcBorders>
            <w:vAlign w:val="top"/>
          </w:tcPr>
          <w:p w14:paraId="7300D3EB">
            <w:pPr>
              <w:rPr>
                <w:rFonts w:ascii="Arial"/>
                <w:sz w:val="21"/>
              </w:rPr>
            </w:pPr>
          </w:p>
        </w:tc>
        <w:tc>
          <w:tcPr>
            <w:tcW w:w="229" w:type="dxa"/>
            <w:tcBorders>
              <w:bottom w:val="nil"/>
            </w:tcBorders>
            <w:vAlign w:val="top"/>
          </w:tcPr>
          <w:p w14:paraId="40C29D9B">
            <w:pPr>
              <w:rPr>
                <w:rFonts w:ascii="Arial"/>
                <w:sz w:val="21"/>
              </w:rPr>
            </w:pPr>
          </w:p>
        </w:tc>
        <w:tc>
          <w:tcPr>
            <w:tcW w:w="229" w:type="dxa"/>
            <w:tcBorders>
              <w:bottom w:val="nil"/>
            </w:tcBorders>
            <w:vAlign w:val="top"/>
          </w:tcPr>
          <w:p w14:paraId="553CA662">
            <w:pPr>
              <w:rPr>
                <w:rFonts w:ascii="Arial"/>
                <w:sz w:val="21"/>
              </w:rPr>
            </w:pPr>
          </w:p>
        </w:tc>
        <w:tc>
          <w:tcPr>
            <w:tcW w:w="234" w:type="dxa"/>
            <w:vMerge w:val="restart"/>
            <w:tcBorders>
              <w:bottom w:val="nil"/>
            </w:tcBorders>
            <w:vAlign w:val="top"/>
          </w:tcPr>
          <w:p w14:paraId="4D75F80F">
            <w:pPr>
              <w:spacing w:before="200" w:line="1003" w:lineRule="exact"/>
              <w:ind w:firstLine="39"/>
            </w:pPr>
            <w:r>
              <w:rPr>
                <w:position w:val="-20"/>
              </w:rPr>
              <w:drawing>
                <wp:inline distT="0" distB="0" distL="0" distR="0">
                  <wp:extent cx="99695" cy="636270"/>
                  <wp:effectExtent l="0" t="0" r="0" b="0"/>
                  <wp:docPr id="70" name="IM 70"/>
                  <wp:cNvGraphicFramePr/>
                  <a:graphic xmlns:a="http://schemas.openxmlformats.org/drawingml/2006/main">
                    <a:graphicData uri="http://schemas.openxmlformats.org/drawingml/2006/picture">
                      <pic:pic xmlns:pic="http://schemas.openxmlformats.org/drawingml/2006/picture">
                        <pic:nvPicPr>
                          <pic:cNvPr id="70" name="IM 70"/>
                          <pic:cNvPicPr/>
                        </pic:nvPicPr>
                        <pic:blipFill>
                          <a:blip r:embed="rId200"/>
                          <a:stretch>
                            <a:fillRect/>
                          </a:stretch>
                        </pic:blipFill>
                        <pic:spPr>
                          <a:xfrm>
                            <a:off x="0" y="0"/>
                            <a:ext cx="100026" cy="636559"/>
                          </a:xfrm>
                          <a:prstGeom prst="rect">
                            <a:avLst/>
                          </a:prstGeom>
                        </pic:spPr>
                      </pic:pic>
                    </a:graphicData>
                  </a:graphic>
                </wp:inline>
              </w:drawing>
            </w:r>
          </w:p>
        </w:tc>
      </w:tr>
      <w:tr w14:paraId="3A0412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0" w:hRule="atLeast"/>
        </w:trPr>
        <w:tc>
          <w:tcPr>
            <w:tcW w:w="554" w:type="dxa"/>
            <w:vMerge w:val="continue"/>
            <w:tcBorders>
              <w:top w:val="nil"/>
              <w:bottom w:val="nil"/>
            </w:tcBorders>
            <w:vAlign w:val="top"/>
          </w:tcPr>
          <w:p w14:paraId="4242CBBD">
            <w:pPr>
              <w:rPr>
                <w:rFonts w:ascii="Arial"/>
                <w:sz w:val="21"/>
              </w:rPr>
            </w:pPr>
          </w:p>
        </w:tc>
        <w:tc>
          <w:tcPr>
            <w:tcW w:w="2644" w:type="dxa"/>
            <w:tcBorders>
              <w:top w:val="nil"/>
              <w:bottom w:val="nil"/>
            </w:tcBorders>
            <w:vAlign w:val="top"/>
          </w:tcPr>
          <w:p w14:paraId="12C01672">
            <w:pPr>
              <w:pStyle w:val="6"/>
              <w:spacing w:before="29" w:line="196" w:lineRule="auto"/>
              <w:ind w:left="71"/>
            </w:pPr>
            <w:r>
              <w:rPr>
                <w:spacing w:val="-1"/>
              </w:rPr>
              <w:t>2.泌乳家畜的营养需要</w:t>
            </w:r>
          </w:p>
        </w:tc>
        <w:tc>
          <w:tcPr>
            <w:tcW w:w="229" w:type="dxa"/>
            <w:tcBorders>
              <w:top w:val="nil"/>
              <w:bottom w:val="nil"/>
            </w:tcBorders>
            <w:vAlign w:val="top"/>
          </w:tcPr>
          <w:p w14:paraId="2CCDDE12">
            <w:pPr>
              <w:spacing w:line="210" w:lineRule="exact"/>
              <w:rPr>
                <w:rFonts w:ascii="Arial"/>
                <w:sz w:val="18"/>
              </w:rPr>
            </w:pPr>
          </w:p>
        </w:tc>
        <w:tc>
          <w:tcPr>
            <w:tcW w:w="229" w:type="dxa"/>
            <w:tcBorders>
              <w:top w:val="nil"/>
              <w:bottom w:val="nil"/>
            </w:tcBorders>
            <w:vAlign w:val="top"/>
          </w:tcPr>
          <w:p w14:paraId="4BC6E4C3">
            <w:pPr>
              <w:spacing w:line="210" w:lineRule="exact"/>
              <w:rPr>
                <w:rFonts w:ascii="Arial"/>
                <w:sz w:val="18"/>
              </w:rPr>
            </w:pPr>
          </w:p>
        </w:tc>
        <w:tc>
          <w:tcPr>
            <w:tcW w:w="229" w:type="dxa"/>
            <w:tcBorders>
              <w:top w:val="nil"/>
              <w:bottom w:val="nil"/>
            </w:tcBorders>
            <w:vAlign w:val="top"/>
          </w:tcPr>
          <w:p w14:paraId="26C99332">
            <w:pPr>
              <w:spacing w:line="210" w:lineRule="exact"/>
              <w:rPr>
                <w:rFonts w:ascii="Arial"/>
                <w:sz w:val="18"/>
              </w:rPr>
            </w:pPr>
          </w:p>
        </w:tc>
        <w:tc>
          <w:tcPr>
            <w:tcW w:w="234" w:type="dxa"/>
            <w:vMerge w:val="continue"/>
            <w:tcBorders>
              <w:top w:val="nil"/>
              <w:bottom w:val="nil"/>
            </w:tcBorders>
            <w:vAlign w:val="top"/>
          </w:tcPr>
          <w:p w14:paraId="25BB6CA4">
            <w:pPr>
              <w:rPr>
                <w:rFonts w:ascii="Arial"/>
                <w:sz w:val="21"/>
              </w:rPr>
            </w:pPr>
          </w:p>
        </w:tc>
      </w:tr>
      <w:tr w14:paraId="1C14AE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9" w:hRule="atLeast"/>
        </w:trPr>
        <w:tc>
          <w:tcPr>
            <w:tcW w:w="554" w:type="dxa"/>
            <w:vMerge w:val="continue"/>
            <w:tcBorders>
              <w:top w:val="nil"/>
              <w:bottom w:val="nil"/>
            </w:tcBorders>
            <w:vAlign w:val="top"/>
          </w:tcPr>
          <w:p w14:paraId="66F0032E">
            <w:pPr>
              <w:rPr>
                <w:rFonts w:ascii="Arial"/>
                <w:sz w:val="21"/>
              </w:rPr>
            </w:pPr>
          </w:p>
        </w:tc>
        <w:tc>
          <w:tcPr>
            <w:tcW w:w="2644" w:type="dxa"/>
            <w:tcBorders>
              <w:top w:val="nil"/>
              <w:bottom w:val="nil"/>
            </w:tcBorders>
            <w:vAlign w:val="top"/>
          </w:tcPr>
          <w:p w14:paraId="5C6EFC4E">
            <w:pPr>
              <w:pStyle w:val="6"/>
              <w:spacing w:before="29" w:line="195" w:lineRule="auto"/>
              <w:ind w:left="71"/>
            </w:pPr>
            <w:r>
              <w:rPr>
                <w:spacing w:val="-1"/>
              </w:rPr>
              <w:t>3.生长家畜的营养需要</w:t>
            </w:r>
          </w:p>
        </w:tc>
        <w:tc>
          <w:tcPr>
            <w:tcW w:w="229" w:type="dxa"/>
            <w:tcBorders>
              <w:top w:val="nil"/>
              <w:bottom w:val="nil"/>
            </w:tcBorders>
            <w:vAlign w:val="top"/>
          </w:tcPr>
          <w:p w14:paraId="08EBFFAF">
            <w:pPr>
              <w:spacing w:line="209" w:lineRule="exact"/>
              <w:rPr>
                <w:rFonts w:ascii="Arial"/>
                <w:sz w:val="18"/>
              </w:rPr>
            </w:pPr>
          </w:p>
        </w:tc>
        <w:tc>
          <w:tcPr>
            <w:tcW w:w="229" w:type="dxa"/>
            <w:tcBorders>
              <w:top w:val="nil"/>
              <w:bottom w:val="nil"/>
            </w:tcBorders>
            <w:vAlign w:val="top"/>
          </w:tcPr>
          <w:p w14:paraId="4C1A1077">
            <w:pPr>
              <w:spacing w:line="209" w:lineRule="exact"/>
              <w:rPr>
                <w:rFonts w:ascii="Arial"/>
                <w:sz w:val="18"/>
              </w:rPr>
            </w:pPr>
          </w:p>
        </w:tc>
        <w:tc>
          <w:tcPr>
            <w:tcW w:w="229" w:type="dxa"/>
            <w:tcBorders>
              <w:top w:val="nil"/>
              <w:bottom w:val="nil"/>
            </w:tcBorders>
            <w:vAlign w:val="top"/>
          </w:tcPr>
          <w:p w14:paraId="74656740">
            <w:pPr>
              <w:spacing w:line="209" w:lineRule="exact"/>
              <w:rPr>
                <w:rFonts w:ascii="Arial"/>
                <w:sz w:val="18"/>
              </w:rPr>
            </w:pPr>
          </w:p>
        </w:tc>
        <w:tc>
          <w:tcPr>
            <w:tcW w:w="234" w:type="dxa"/>
            <w:vMerge w:val="continue"/>
            <w:tcBorders>
              <w:top w:val="nil"/>
              <w:bottom w:val="nil"/>
            </w:tcBorders>
            <w:vAlign w:val="top"/>
          </w:tcPr>
          <w:p w14:paraId="50161D29">
            <w:pPr>
              <w:rPr>
                <w:rFonts w:ascii="Arial"/>
                <w:sz w:val="21"/>
              </w:rPr>
            </w:pPr>
          </w:p>
        </w:tc>
      </w:tr>
      <w:tr w14:paraId="68FA61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9" w:hRule="atLeast"/>
        </w:trPr>
        <w:tc>
          <w:tcPr>
            <w:tcW w:w="554" w:type="dxa"/>
            <w:vMerge w:val="continue"/>
            <w:tcBorders>
              <w:top w:val="nil"/>
              <w:bottom w:val="nil"/>
            </w:tcBorders>
            <w:vAlign w:val="top"/>
          </w:tcPr>
          <w:p w14:paraId="0724D047">
            <w:pPr>
              <w:rPr>
                <w:rFonts w:ascii="Arial"/>
                <w:sz w:val="21"/>
              </w:rPr>
            </w:pPr>
          </w:p>
        </w:tc>
        <w:tc>
          <w:tcPr>
            <w:tcW w:w="2644" w:type="dxa"/>
            <w:tcBorders>
              <w:top w:val="nil"/>
              <w:bottom w:val="nil"/>
            </w:tcBorders>
            <w:vAlign w:val="top"/>
          </w:tcPr>
          <w:p w14:paraId="04B5CC83">
            <w:pPr>
              <w:pStyle w:val="6"/>
              <w:spacing w:before="30" w:line="194" w:lineRule="auto"/>
              <w:ind w:left="71"/>
            </w:pPr>
            <w:r>
              <w:rPr>
                <w:spacing w:val="-1"/>
              </w:rPr>
              <w:t>4.肥育家畜的营养需要</w:t>
            </w:r>
          </w:p>
        </w:tc>
        <w:tc>
          <w:tcPr>
            <w:tcW w:w="229" w:type="dxa"/>
            <w:tcBorders>
              <w:top w:val="nil"/>
              <w:bottom w:val="nil"/>
            </w:tcBorders>
            <w:vAlign w:val="top"/>
          </w:tcPr>
          <w:p w14:paraId="7D0D698E">
            <w:pPr>
              <w:spacing w:line="209" w:lineRule="exact"/>
              <w:rPr>
                <w:rFonts w:ascii="Arial"/>
                <w:sz w:val="18"/>
              </w:rPr>
            </w:pPr>
          </w:p>
        </w:tc>
        <w:tc>
          <w:tcPr>
            <w:tcW w:w="229" w:type="dxa"/>
            <w:tcBorders>
              <w:top w:val="nil"/>
              <w:bottom w:val="nil"/>
            </w:tcBorders>
            <w:vAlign w:val="top"/>
          </w:tcPr>
          <w:p w14:paraId="792C56EC">
            <w:pPr>
              <w:spacing w:line="209" w:lineRule="exact"/>
              <w:rPr>
                <w:rFonts w:ascii="Arial"/>
                <w:sz w:val="18"/>
              </w:rPr>
            </w:pPr>
          </w:p>
        </w:tc>
        <w:tc>
          <w:tcPr>
            <w:tcW w:w="229" w:type="dxa"/>
            <w:tcBorders>
              <w:top w:val="nil"/>
              <w:bottom w:val="nil"/>
            </w:tcBorders>
            <w:vAlign w:val="top"/>
          </w:tcPr>
          <w:p w14:paraId="71F7B98E">
            <w:pPr>
              <w:spacing w:line="209" w:lineRule="exact"/>
              <w:rPr>
                <w:rFonts w:ascii="Arial"/>
                <w:sz w:val="18"/>
              </w:rPr>
            </w:pPr>
          </w:p>
        </w:tc>
        <w:tc>
          <w:tcPr>
            <w:tcW w:w="234" w:type="dxa"/>
            <w:vMerge w:val="continue"/>
            <w:tcBorders>
              <w:top w:val="nil"/>
              <w:bottom w:val="nil"/>
            </w:tcBorders>
            <w:vAlign w:val="top"/>
          </w:tcPr>
          <w:p w14:paraId="7D120D23">
            <w:pPr>
              <w:rPr>
                <w:rFonts w:ascii="Arial"/>
                <w:sz w:val="21"/>
              </w:rPr>
            </w:pPr>
          </w:p>
        </w:tc>
      </w:tr>
      <w:tr w14:paraId="42C26C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9" w:hRule="atLeast"/>
        </w:trPr>
        <w:tc>
          <w:tcPr>
            <w:tcW w:w="554" w:type="dxa"/>
            <w:vMerge w:val="continue"/>
            <w:tcBorders>
              <w:top w:val="nil"/>
            </w:tcBorders>
            <w:vAlign w:val="top"/>
          </w:tcPr>
          <w:p w14:paraId="4C73AA8C">
            <w:pPr>
              <w:rPr>
                <w:rFonts w:ascii="Arial"/>
                <w:sz w:val="21"/>
              </w:rPr>
            </w:pPr>
          </w:p>
        </w:tc>
        <w:tc>
          <w:tcPr>
            <w:tcW w:w="2644" w:type="dxa"/>
            <w:tcBorders>
              <w:top w:val="nil"/>
            </w:tcBorders>
            <w:vAlign w:val="top"/>
          </w:tcPr>
          <w:p w14:paraId="1FC1DFEF">
            <w:pPr>
              <w:pStyle w:val="6"/>
              <w:spacing w:before="32" w:line="219" w:lineRule="auto"/>
              <w:ind w:left="71"/>
            </w:pPr>
            <w:r>
              <w:rPr>
                <w:spacing w:val="-1"/>
              </w:rPr>
              <w:t>5.产蛋家禽的营养需要</w:t>
            </w:r>
          </w:p>
        </w:tc>
        <w:tc>
          <w:tcPr>
            <w:tcW w:w="229" w:type="dxa"/>
            <w:tcBorders>
              <w:top w:val="nil"/>
            </w:tcBorders>
            <w:vAlign w:val="top"/>
          </w:tcPr>
          <w:p w14:paraId="6407BBE1">
            <w:pPr>
              <w:rPr>
                <w:rFonts w:ascii="Arial"/>
                <w:sz w:val="21"/>
              </w:rPr>
            </w:pPr>
          </w:p>
        </w:tc>
        <w:tc>
          <w:tcPr>
            <w:tcW w:w="229" w:type="dxa"/>
            <w:tcBorders>
              <w:top w:val="nil"/>
            </w:tcBorders>
            <w:vAlign w:val="top"/>
          </w:tcPr>
          <w:p w14:paraId="724131DD">
            <w:pPr>
              <w:rPr>
                <w:rFonts w:ascii="Arial"/>
                <w:sz w:val="21"/>
              </w:rPr>
            </w:pPr>
          </w:p>
        </w:tc>
        <w:tc>
          <w:tcPr>
            <w:tcW w:w="229" w:type="dxa"/>
            <w:tcBorders>
              <w:top w:val="nil"/>
            </w:tcBorders>
            <w:vAlign w:val="top"/>
          </w:tcPr>
          <w:p w14:paraId="3C5D9A21">
            <w:pPr>
              <w:rPr>
                <w:rFonts w:ascii="Arial"/>
                <w:sz w:val="21"/>
              </w:rPr>
            </w:pPr>
          </w:p>
        </w:tc>
        <w:tc>
          <w:tcPr>
            <w:tcW w:w="234" w:type="dxa"/>
            <w:vMerge w:val="continue"/>
            <w:tcBorders>
              <w:top w:val="nil"/>
            </w:tcBorders>
            <w:vAlign w:val="top"/>
          </w:tcPr>
          <w:p w14:paraId="03AE126F">
            <w:pPr>
              <w:rPr>
                <w:rFonts w:ascii="Arial"/>
                <w:sz w:val="21"/>
              </w:rPr>
            </w:pPr>
          </w:p>
        </w:tc>
      </w:tr>
      <w:tr w14:paraId="2579B5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88" w:hRule="atLeast"/>
        </w:trPr>
        <w:tc>
          <w:tcPr>
            <w:tcW w:w="554" w:type="dxa"/>
            <w:vAlign w:val="top"/>
          </w:tcPr>
          <w:p w14:paraId="7CBC50BC">
            <w:pPr>
              <w:pStyle w:val="6"/>
              <w:spacing w:before="102" w:line="233" w:lineRule="auto"/>
              <w:ind w:left="94" w:right="100"/>
              <w:jc w:val="both"/>
            </w:pPr>
            <w:r>
              <w:rPr>
                <w:spacing w:val="4"/>
              </w:rPr>
              <w:t>畜禽</w:t>
            </w:r>
            <w:r>
              <w:t xml:space="preserve"> </w:t>
            </w:r>
            <w:r>
              <w:rPr>
                <w:spacing w:val="-3"/>
              </w:rPr>
              <w:t>饲养</w:t>
            </w:r>
            <w:r>
              <w:t xml:space="preserve"> </w:t>
            </w:r>
            <w:r>
              <w:rPr>
                <w:spacing w:val="-2"/>
              </w:rPr>
              <w:t>标准</w:t>
            </w:r>
          </w:p>
        </w:tc>
        <w:tc>
          <w:tcPr>
            <w:tcW w:w="2644" w:type="dxa"/>
            <w:vAlign w:val="top"/>
          </w:tcPr>
          <w:p w14:paraId="3DFE5FCD">
            <w:pPr>
              <w:pStyle w:val="6"/>
              <w:spacing w:before="203" w:line="219" w:lineRule="auto"/>
              <w:ind w:left="71"/>
            </w:pPr>
            <w:r>
              <w:rPr>
                <w:spacing w:val="1"/>
              </w:rPr>
              <w:t>1.饲养标准的概念及作用</w:t>
            </w:r>
          </w:p>
          <w:p w14:paraId="2D661DC7">
            <w:pPr>
              <w:pStyle w:val="6"/>
              <w:spacing w:before="38" w:line="219" w:lineRule="auto"/>
              <w:ind w:left="71"/>
            </w:pPr>
            <w:r>
              <w:rPr>
                <w:spacing w:val="-1"/>
              </w:rPr>
              <w:t>2.饲养标准的内容和表达方式</w:t>
            </w:r>
          </w:p>
        </w:tc>
        <w:tc>
          <w:tcPr>
            <w:tcW w:w="229" w:type="dxa"/>
            <w:vAlign w:val="top"/>
          </w:tcPr>
          <w:p w14:paraId="36B5A944">
            <w:pPr>
              <w:rPr>
                <w:rFonts w:ascii="Arial"/>
                <w:sz w:val="21"/>
              </w:rPr>
            </w:pPr>
          </w:p>
        </w:tc>
        <w:tc>
          <w:tcPr>
            <w:tcW w:w="229" w:type="dxa"/>
            <w:vAlign w:val="top"/>
          </w:tcPr>
          <w:p w14:paraId="62DFCFE3">
            <w:pPr>
              <w:rPr>
                <w:rFonts w:ascii="Arial"/>
                <w:sz w:val="21"/>
              </w:rPr>
            </w:pPr>
          </w:p>
        </w:tc>
        <w:tc>
          <w:tcPr>
            <w:tcW w:w="229" w:type="dxa"/>
            <w:vAlign w:val="top"/>
          </w:tcPr>
          <w:p w14:paraId="2CE22A3F">
            <w:pPr>
              <w:rPr>
                <w:rFonts w:ascii="Arial"/>
                <w:sz w:val="21"/>
              </w:rPr>
            </w:pPr>
          </w:p>
        </w:tc>
        <w:tc>
          <w:tcPr>
            <w:tcW w:w="234" w:type="dxa"/>
            <w:vAlign w:val="top"/>
          </w:tcPr>
          <w:p w14:paraId="18BDCCE1">
            <w:pPr>
              <w:rPr>
                <w:rFonts w:ascii="Arial"/>
                <w:sz w:val="21"/>
              </w:rPr>
            </w:pPr>
          </w:p>
        </w:tc>
      </w:tr>
      <w:tr w14:paraId="791953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83" w:hRule="atLeast"/>
        </w:trPr>
        <w:tc>
          <w:tcPr>
            <w:tcW w:w="554" w:type="dxa"/>
            <w:vAlign w:val="top"/>
          </w:tcPr>
          <w:p w14:paraId="212CDAFC">
            <w:pPr>
              <w:pStyle w:val="6"/>
              <w:spacing w:before="88" w:line="233" w:lineRule="auto"/>
              <w:ind w:left="94" w:right="94"/>
              <w:jc w:val="both"/>
            </w:pPr>
            <w:r>
              <w:rPr>
                <w:spacing w:val="-4"/>
              </w:rPr>
              <w:t>配合</w:t>
            </w:r>
            <w:r>
              <w:t xml:space="preserve"> </w:t>
            </w:r>
            <w:r>
              <w:rPr>
                <w:spacing w:val="-3"/>
              </w:rPr>
              <w:t>饲料</w:t>
            </w:r>
            <w:r>
              <w:t xml:space="preserve"> </w:t>
            </w:r>
            <w:r>
              <w:rPr>
                <w:spacing w:val="7"/>
              </w:rPr>
              <w:t>配制</w:t>
            </w:r>
            <w:r>
              <w:t xml:space="preserve"> </w:t>
            </w:r>
            <w:r>
              <w:rPr>
                <w:spacing w:val="-2"/>
              </w:rPr>
              <w:t>技术</w:t>
            </w:r>
          </w:p>
        </w:tc>
        <w:tc>
          <w:tcPr>
            <w:tcW w:w="2644" w:type="dxa"/>
            <w:vAlign w:val="top"/>
          </w:tcPr>
          <w:p w14:paraId="02549BE7">
            <w:pPr>
              <w:pStyle w:val="6"/>
              <w:spacing w:before="205" w:line="219" w:lineRule="auto"/>
              <w:ind w:left="71"/>
            </w:pPr>
            <w:r>
              <w:t>1.配合饲料的概念及分类</w:t>
            </w:r>
          </w:p>
          <w:p w14:paraId="7BE4292B">
            <w:pPr>
              <w:pStyle w:val="6"/>
              <w:spacing w:before="27" w:line="231" w:lineRule="auto"/>
              <w:ind w:left="71" w:right="167"/>
            </w:pPr>
            <w:r>
              <w:rPr>
                <w:spacing w:val="1"/>
              </w:rPr>
              <w:t>2.全价配合饲料配方设计的原则</w:t>
            </w:r>
            <w:r>
              <w:t xml:space="preserve"> </w:t>
            </w:r>
            <w:r>
              <w:rPr>
                <w:spacing w:val="-3"/>
              </w:rPr>
              <w:t>3.方形法</w:t>
            </w:r>
          </w:p>
        </w:tc>
        <w:tc>
          <w:tcPr>
            <w:tcW w:w="229" w:type="dxa"/>
            <w:vAlign w:val="top"/>
          </w:tcPr>
          <w:p w14:paraId="70BB3F2C">
            <w:pPr>
              <w:rPr>
                <w:rFonts w:ascii="Arial"/>
                <w:sz w:val="21"/>
              </w:rPr>
            </w:pPr>
          </w:p>
        </w:tc>
        <w:tc>
          <w:tcPr>
            <w:tcW w:w="229" w:type="dxa"/>
            <w:vAlign w:val="top"/>
          </w:tcPr>
          <w:p w14:paraId="335DD696">
            <w:pPr>
              <w:rPr>
                <w:rFonts w:ascii="Arial"/>
                <w:sz w:val="21"/>
              </w:rPr>
            </w:pPr>
          </w:p>
        </w:tc>
        <w:tc>
          <w:tcPr>
            <w:tcW w:w="229" w:type="dxa"/>
            <w:vAlign w:val="top"/>
          </w:tcPr>
          <w:p w14:paraId="023F006F">
            <w:pPr>
              <w:rPr>
                <w:rFonts w:ascii="Arial"/>
                <w:sz w:val="21"/>
              </w:rPr>
            </w:pPr>
          </w:p>
        </w:tc>
        <w:tc>
          <w:tcPr>
            <w:tcW w:w="234" w:type="dxa"/>
            <w:vAlign w:val="top"/>
          </w:tcPr>
          <w:p w14:paraId="7CDF0F74">
            <w:pPr>
              <w:spacing w:line="281" w:lineRule="auto"/>
              <w:rPr>
                <w:rFonts w:ascii="Arial"/>
                <w:sz w:val="21"/>
              </w:rPr>
            </w:pPr>
          </w:p>
          <w:p w14:paraId="71DD8355">
            <w:pPr>
              <w:spacing w:line="282" w:lineRule="auto"/>
              <w:rPr>
                <w:rFonts w:ascii="Arial"/>
                <w:sz w:val="21"/>
              </w:rPr>
            </w:pPr>
          </w:p>
          <w:p w14:paraId="0B106E81">
            <w:pPr>
              <w:pStyle w:val="6"/>
              <w:spacing w:before="55" w:line="238" w:lineRule="auto"/>
              <w:ind w:left="30"/>
            </w:pPr>
            <w:r>
              <w:t>√</w:t>
            </w:r>
          </w:p>
        </w:tc>
      </w:tr>
    </w:tbl>
    <w:p w14:paraId="6CD9AD01">
      <w:pPr>
        <w:pStyle w:val="2"/>
        <w:spacing w:line="361" w:lineRule="auto"/>
      </w:pPr>
    </w:p>
    <w:p w14:paraId="7E8A08A7">
      <w:pPr>
        <w:spacing w:before="65" w:line="221" w:lineRule="auto"/>
        <w:ind w:left="877"/>
        <w:rPr>
          <w:rFonts w:ascii="黑体" w:hAnsi="黑体" w:eastAsia="黑体" w:cs="黑体"/>
          <w:sz w:val="20"/>
          <w:szCs w:val="20"/>
        </w:rPr>
      </w:pPr>
      <w:r>
        <w:rPr>
          <w:rFonts w:ascii="黑体" w:hAnsi="黑体" w:eastAsia="黑体" w:cs="黑体"/>
          <w:b/>
          <w:bCs/>
          <w:spacing w:val="-4"/>
          <w:sz w:val="20"/>
          <w:szCs w:val="20"/>
        </w:rPr>
        <w:t>第三篇</w:t>
      </w:r>
      <w:r>
        <w:rPr>
          <w:rFonts w:ascii="黑体" w:hAnsi="黑体" w:eastAsia="黑体" w:cs="黑体"/>
          <w:spacing w:val="-4"/>
          <w:sz w:val="20"/>
          <w:szCs w:val="20"/>
        </w:rPr>
        <w:t xml:space="preserve">  </w:t>
      </w:r>
      <w:r>
        <w:rPr>
          <w:rFonts w:ascii="黑体" w:hAnsi="黑体" w:eastAsia="黑体" w:cs="黑体"/>
          <w:b/>
          <w:bCs/>
          <w:spacing w:val="-4"/>
          <w:sz w:val="20"/>
          <w:szCs w:val="20"/>
        </w:rPr>
        <w:t>畜禽的繁殖与改良</w:t>
      </w:r>
    </w:p>
    <w:p w14:paraId="68E79E92">
      <w:pPr>
        <w:pStyle w:val="2"/>
        <w:spacing w:line="283" w:lineRule="auto"/>
      </w:pPr>
    </w:p>
    <w:p w14:paraId="05F6DB42">
      <w:pPr>
        <w:spacing w:before="65" w:line="221" w:lineRule="auto"/>
        <w:ind w:left="1247"/>
        <w:rPr>
          <w:rFonts w:ascii="黑体" w:hAnsi="黑体" w:eastAsia="黑体" w:cs="黑体"/>
          <w:sz w:val="20"/>
          <w:szCs w:val="20"/>
        </w:rPr>
      </w:pPr>
      <w:r>
        <w:rPr>
          <w:rFonts w:ascii="黑体" w:hAnsi="黑体" w:eastAsia="黑体" w:cs="黑体"/>
          <w:b/>
          <w:bCs/>
          <w:spacing w:val="-9"/>
          <w:sz w:val="20"/>
          <w:szCs w:val="20"/>
        </w:rPr>
        <w:t>一</w:t>
      </w:r>
      <w:r>
        <w:rPr>
          <w:rFonts w:ascii="黑体" w:hAnsi="黑体" w:eastAsia="黑体" w:cs="黑体"/>
          <w:spacing w:val="-54"/>
          <w:sz w:val="20"/>
          <w:szCs w:val="20"/>
        </w:rPr>
        <w:t xml:space="preserve"> </w:t>
      </w:r>
      <w:r>
        <w:rPr>
          <w:rFonts w:ascii="黑体" w:hAnsi="黑体" w:eastAsia="黑体" w:cs="黑体"/>
          <w:b/>
          <w:bCs/>
          <w:spacing w:val="-9"/>
          <w:sz w:val="20"/>
          <w:szCs w:val="20"/>
        </w:rPr>
        <w:t>、畜禽遗传基础</w:t>
      </w:r>
    </w:p>
    <w:p w14:paraId="2BE4E4E0">
      <w:pPr>
        <w:spacing w:line="162" w:lineRule="exact"/>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64"/>
        <w:gridCol w:w="2644"/>
        <w:gridCol w:w="229"/>
        <w:gridCol w:w="219"/>
        <w:gridCol w:w="229"/>
        <w:gridCol w:w="234"/>
      </w:tblGrid>
      <w:tr w14:paraId="326C7B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4" w:hRule="atLeast"/>
        </w:trPr>
        <w:tc>
          <w:tcPr>
            <w:tcW w:w="564" w:type="dxa"/>
            <w:vMerge w:val="restart"/>
            <w:tcBorders>
              <w:bottom w:val="nil"/>
            </w:tcBorders>
            <w:vAlign w:val="top"/>
          </w:tcPr>
          <w:p w14:paraId="1B272B1F">
            <w:pPr>
              <w:pStyle w:val="6"/>
              <w:spacing w:before="181" w:line="220" w:lineRule="auto"/>
              <w:ind w:left="107" w:right="113"/>
            </w:pPr>
            <w:r>
              <w:rPr>
                <w:b/>
                <w:bCs/>
                <w:spacing w:val="-7"/>
              </w:rPr>
              <w:t>知识</w:t>
            </w:r>
            <w:r>
              <w:t xml:space="preserve"> </w:t>
            </w:r>
            <w:r>
              <w:rPr>
                <w:b/>
                <w:bCs/>
                <w:spacing w:val="-6"/>
              </w:rPr>
              <w:t>要点</w:t>
            </w:r>
          </w:p>
        </w:tc>
        <w:tc>
          <w:tcPr>
            <w:tcW w:w="2644" w:type="dxa"/>
            <w:vMerge w:val="restart"/>
            <w:tcBorders>
              <w:bottom w:val="nil"/>
            </w:tcBorders>
            <w:vAlign w:val="top"/>
          </w:tcPr>
          <w:p w14:paraId="2A2771E7">
            <w:pPr>
              <w:spacing w:line="242" w:lineRule="auto"/>
              <w:rPr>
                <w:rFonts w:ascii="Arial"/>
                <w:sz w:val="21"/>
              </w:rPr>
            </w:pPr>
          </w:p>
          <w:p w14:paraId="09243E22">
            <w:pPr>
              <w:pStyle w:val="6"/>
              <w:spacing w:before="56" w:line="219" w:lineRule="auto"/>
              <w:ind w:left="1003"/>
            </w:pPr>
            <w:r>
              <w:rPr>
                <w:b/>
                <w:bCs/>
                <w:spacing w:val="5"/>
              </w:rPr>
              <w:t>考试条目</w:t>
            </w:r>
          </w:p>
        </w:tc>
        <w:tc>
          <w:tcPr>
            <w:tcW w:w="911" w:type="dxa"/>
            <w:gridSpan w:val="4"/>
            <w:vAlign w:val="top"/>
          </w:tcPr>
          <w:p w14:paraId="2B6587DF">
            <w:pPr>
              <w:pStyle w:val="6"/>
              <w:spacing w:before="109" w:line="219" w:lineRule="auto"/>
              <w:ind w:left="119"/>
            </w:pPr>
            <w:r>
              <w:rPr>
                <w:b/>
                <w:bCs/>
                <w:spacing w:val="-4"/>
              </w:rPr>
              <w:t>考试水平</w:t>
            </w:r>
          </w:p>
        </w:tc>
      </w:tr>
      <w:tr w14:paraId="4B9A37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564" w:type="dxa"/>
            <w:vMerge w:val="continue"/>
            <w:tcBorders>
              <w:top w:val="nil"/>
            </w:tcBorders>
            <w:vAlign w:val="top"/>
          </w:tcPr>
          <w:p w14:paraId="4E36C7B0">
            <w:pPr>
              <w:rPr>
                <w:rFonts w:ascii="Arial"/>
                <w:sz w:val="21"/>
              </w:rPr>
            </w:pPr>
          </w:p>
        </w:tc>
        <w:tc>
          <w:tcPr>
            <w:tcW w:w="2644" w:type="dxa"/>
            <w:vMerge w:val="continue"/>
            <w:tcBorders>
              <w:top w:val="nil"/>
            </w:tcBorders>
            <w:vAlign w:val="top"/>
          </w:tcPr>
          <w:p w14:paraId="3550B147">
            <w:pPr>
              <w:rPr>
                <w:rFonts w:ascii="Arial"/>
                <w:sz w:val="21"/>
              </w:rPr>
            </w:pPr>
          </w:p>
        </w:tc>
        <w:tc>
          <w:tcPr>
            <w:tcW w:w="229" w:type="dxa"/>
            <w:vAlign w:val="top"/>
          </w:tcPr>
          <w:p w14:paraId="464F7CFA">
            <w:pPr>
              <w:pStyle w:val="6"/>
              <w:spacing w:before="140" w:line="184" w:lineRule="auto"/>
              <w:ind w:left="16"/>
            </w:pPr>
            <w:r>
              <w:t>A</w:t>
            </w:r>
          </w:p>
        </w:tc>
        <w:tc>
          <w:tcPr>
            <w:tcW w:w="219" w:type="dxa"/>
            <w:vAlign w:val="top"/>
          </w:tcPr>
          <w:p w14:paraId="13CBA4DD">
            <w:pPr>
              <w:pStyle w:val="6"/>
              <w:spacing w:before="142" w:line="182" w:lineRule="auto"/>
              <w:ind w:left="18"/>
            </w:pPr>
            <w:r>
              <w:t>B</w:t>
            </w:r>
          </w:p>
        </w:tc>
        <w:tc>
          <w:tcPr>
            <w:tcW w:w="229" w:type="dxa"/>
            <w:vAlign w:val="top"/>
          </w:tcPr>
          <w:p w14:paraId="26468D4E">
            <w:pPr>
              <w:pStyle w:val="6"/>
              <w:spacing w:before="141" w:line="183" w:lineRule="auto"/>
              <w:ind w:left="28"/>
            </w:pPr>
            <w:r>
              <w:t>C</w:t>
            </w:r>
          </w:p>
        </w:tc>
        <w:tc>
          <w:tcPr>
            <w:tcW w:w="234" w:type="dxa"/>
            <w:vAlign w:val="top"/>
          </w:tcPr>
          <w:p w14:paraId="0B092CF2">
            <w:pPr>
              <w:pStyle w:val="6"/>
              <w:spacing w:before="142" w:line="182" w:lineRule="auto"/>
              <w:ind w:left="19"/>
            </w:pPr>
            <w:r>
              <w:t>D</w:t>
            </w:r>
          </w:p>
        </w:tc>
      </w:tr>
      <w:tr w14:paraId="15FD7A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28" w:hRule="atLeast"/>
        </w:trPr>
        <w:tc>
          <w:tcPr>
            <w:tcW w:w="564" w:type="dxa"/>
            <w:vAlign w:val="top"/>
          </w:tcPr>
          <w:p w14:paraId="699309B1">
            <w:pPr>
              <w:pStyle w:val="6"/>
              <w:spacing w:before="37" w:line="239" w:lineRule="auto"/>
              <w:ind w:left="105" w:right="100"/>
              <w:jc w:val="both"/>
            </w:pPr>
            <w:r>
              <w:rPr>
                <w:spacing w:val="-3"/>
              </w:rPr>
              <w:t>遗传</w:t>
            </w:r>
            <w:r>
              <w:t xml:space="preserve"> </w:t>
            </w:r>
            <w:r>
              <w:rPr>
                <w:spacing w:val="4"/>
              </w:rPr>
              <w:t>的物</w:t>
            </w:r>
            <w:r>
              <w:t xml:space="preserve"> </w:t>
            </w:r>
            <w:r>
              <w:rPr>
                <w:spacing w:val="-4"/>
              </w:rPr>
              <w:t>质基</w:t>
            </w:r>
            <w:r>
              <w:t xml:space="preserve"> </w:t>
            </w:r>
            <w:r>
              <w:rPr>
                <w:spacing w:val="24"/>
                <w:w w:val="129"/>
              </w:rPr>
              <w:t>础</w:t>
            </w:r>
          </w:p>
        </w:tc>
        <w:tc>
          <w:tcPr>
            <w:tcW w:w="2644" w:type="dxa"/>
            <w:vAlign w:val="top"/>
          </w:tcPr>
          <w:p w14:paraId="1CD8D8EE">
            <w:pPr>
              <w:pStyle w:val="6"/>
              <w:spacing w:before="177" w:line="236" w:lineRule="auto"/>
              <w:ind w:left="61" w:right="330"/>
            </w:pPr>
            <w:r>
              <w:rPr>
                <w:spacing w:val="2"/>
              </w:rPr>
              <w:t>1.染色体的形态、结构和数目</w:t>
            </w:r>
            <w:r>
              <w:rPr>
                <w:spacing w:val="3"/>
              </w:rPr>
              <w:t xml:space="preserve"> 2.遗传物质</w:t>
            </w:r>
          </w:p>
          <w:p w14:paraId="51A7796C">
            <w:pPr>
              <w:pStyle w:val="6"/>
              <w:spacing w:before="16" w:line="220" w:lineRule="auto"/>
              <w:ind w:left="61"/>
            </w:pPr>
            <w:r>
              <w:rPr>
                <w:spacing w:val="-2"/>
              </w:rPr>
              <w:t>3.细胞分裂</w:t>
            </w:r>
          </w:p>
        </w:tc>
        <w:tc>
          <w:tcPr>
            <w:tcW w:w="229" w:type="dxa"/>
            <w:vAlign w:val="top"/>
          </w:tcPr>
          <w:p w14:paraId="22D9B4CE">
            <w:pPr>
              <w:rPr>
                <w:rFonts w:ascii="Arial"/>
                <w:sz w:val="21"/>
              </w:rPr>
            </w:pPr>
          </w:p>
        </w:tc>
        <w:tc>
          <w:tcPr>
            <w:tcW w:w="219" w:type="dxa"/>
            <w:vAlign w:val="top"/>
          </w:tcPr>
          <w:p w14:paraId="1D8D273A">
            <w:pPr>
              <w:rPr>
                <w:rFonts w:ascii="Arial"/>
                <w:sz w:val="21"/>
              </w:rPr>
            </w:pPr>
          </w:p>
        </w:tc>
        <w:tc>
          <w:tcPr>
            <w:tcW w:w="229" w:type="dxa"/>
            <w:vAlign w:val="top"/>
          </w:tcPr>
          <w:p w14:paraId="0C656C55">
            <w:pPr>
              <w:spacing w:line="324" w:lineRule="auto"/>
              <w:rPr>
                <w:rFonts w:ascii="Arial"/>
                <w:sz w:val="21"/>
              </w:rPr>
            </w:pPr>
          </w:p>
          <w:p w14:paraId="3DE1455D">
            <w:pPr>
              <w:spacing w:line="324" w:lineRule="auto"/>
              <w:rPr>
                <w:rFonts w:ascii="Arial"/>
                <w:sz w:val="21"/>
              </w:rPr>
            </w:pPr>
          </w:p>
          <w:p w14:paraId="5AF83CA8">
            <w:pPr>
              <w:spacing w:line="93" w:lineRule="exact"/>
              <w:ind w:firstLine="46"/>
            </w:pPr>
            <w:r>
              <w:rPr>
                <w:position w:val="-1"/>
              </w:rPr>
              <w:drawing>
                <wp:inline distT="0" distB="0" distL="0" distR="0">
                  <wp:extent cx="73025" cy="59055"/>
                  <wp:effectExtent l="0" t="0" r="0" b="0"/>
                  <wp:docPr id="72" name="IM 72"/>
                  <wp:cNvGraphicFramePr/>
                  <a:graphic xmlns:a="http://schemas.openxmlformats.org/drawingml/2006/main">
                    <a:graphicData uri="http://schemas.openxmlformats.org/drawingml/2006/picture">
                      <pic:pic xmlns:pic="http://schemas.openxmlformats.org/drawingml/2006/picture">
                        <pic:nvPicPr>
                          <pic:cNvPr id="72" name="IM 72"/>
                          <pic:cNvPicPr/>
                        </pic:nvPicPr>
                        <pic:blipFill>
                          <a:blip r:embed="rId201"/>
                          <a:stretch>
                            <a:fillRect/>
                          </a:stretch>
                        </pic:blipFill>
                        <pic:spPr>
                          <a:xfrm>
                            <a:off x="0" y="0"/>
                            <a:ext cx="73454" cy="59242"/>
                          </a:xfrm>
                          <a:prstGeom prst="rect">
                            <a:avLst/>
                          </a:prstGeom>
                        </pic:spPr>
                      </pic:pic>
                    </a:graphicData>
                  </a:graphic>
                </wp:inline>
              </w:drawing>
            </w:r>
          </w:p>
        </w:tc>
        <w:tc>
          <w:tcPr>
            <w:tcW w:w="234" w:type="dxa"/>
            <w:vAlign w:val="top"/>
          </w:tcPr>
          <w:p w14:paraId="46159E96">
            <w:pPr>
              <w:rPr>
                <w:rFonts w:ascii="Arial"/>
                <w:sz w:val="21"/>
              </w:rPr>
            </w:pPr>
          </w:p>
        </w:tc>
      </w:tr>
      <w:tr w14:paraId="38AA51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78" w:hRule="atLeast"/>
        </w:trPr>
        <w:tc>
          <w:tcPr>
            <w:tcW w:w="564" w:type="dxa"/>
            <w:vAlign w:val="top"/>
          </w:tcPr>
          <w:p w14:paraId="01C15C6D">
            <w:pPr>
              <w:pStyle w:val="6"/>
              <w:spacing w:before="240" w:line="247" w:lineRule="auto"/>
              <w:ind w:left="105" w:right="117"/>
            </w:pPr>
            <w:r>
              <w:rPr>
                <w:spacing w:val="-5"/>
              </w:rPr>
              <w:t>分离</w:t>
            </w:r>
            <w:r>
              <w:t xml:space="preserve"> </w:t>
            </w:r>
            <w:r>
              <w:rPr>
                <w:spacing w:val="-6"/>
              </w:rPr>
              <w:t>定律</w:t>
            </w:r>
          </w:p>
        </w:tc>
        <w:tc>
          <w:tcPr>
            <w:tcW w:w="2644" w:type="dxa"/>
            <w:vAlign w:val="top"/>
          </w:tcPr>
          <w:p w14:paraId="06C590C8">
            <w:pPr>
              <w:pStyle w:val="6"/>
              <w:spacing w:before="150" w:line="237" w:lineRule="auto"/>
              <w:ind w:left="61" w:right="525"/>
            </w:pPr>
            <w:r>
              <w:t>1.一对相对性状的遗传实验</w:t>
            </w:r>
            <w:r>
              <w:rPr>
                <w:spacing w:val="6"/>
              </w:rPr>
              <w:t xml:space="preserve"> </w:t>
            </w:r>
            <w:r>
              <w:rPr>
                <w:spacing w:val="-1"/>
              </w:rPr>
              <w:t>2.对分离现象的解释</w:t>
            </w:r>
          </w:p>
          <w:p w14:paraId="6FA2A929">
            <w:pPr>
              <w:pStyle w:val="6"/>
              <w:spacing w:before="4" w:line="219" w:lineRule="auto"/>
              <w:ind w:left="61"/>
            </w:pPr>
            <w:r>
              <w:rPr>
                <w:spacing w:val="1"/>
              </w:rPr>
              <w:t>3.分离定律的实质和应用</w:t>
            </w:r>
          </w:p>
        </w:tc>
        <w:tc>
          <w:tcPr>
            <w:tcW w:w="229" w:type="dxa"/>
            <w:vAlign w:val="top"/>
          </w:tcPr>
          <w:p w14:paraId="62E3E2DD">
            <w:pPr>
              <w:rPr>
                <w:rFonts w:ascii="Arial"/>
                <w:sz w:val="21"/>
              </w:rPr>
            </w:pPr>
          </w:p>
        </w:tc>
        <w:tc>
          <w:tcPr>
            <w:tcW w:w="219" w:type="dxa"/>
            <w:vAlign w:val="top"/>
          </w:tcPr>
          <w:p w14:paraId="24D229AB">
            <w:pPr>
              <w:pStyle w:val="6"/>
              <w:spacing w:before="138" w:line="238" w:lineRule="auto"/>
              <w:ind w:left="18"/>
            </w:pPr>
            <w:r>
              <w:t>√</w:t>
            </w:r>
          </w:p>
        </w:tc>
        <w:tc>
          <w:tcPr>
            <w:tcW w:w="229" w:type="dxa"/>
            <w:vAlign w:val="top"/>
          </w:tcPr>
          <w:p w14:paraId="35A305AC">
            <w:pPr>
              <w:spacing w:line="377" w:lineRule="auto"/>
              <w:rPr>
                <w:rFonts w:ascii="Arial"/>
                <w:sz w:val="21"/>
              </w:rPr>
            </w:pPr>
          </w:p>
          <w:p w14:paraId="723F0E46">
            <w:pPr>
              <w:spacing w:line="346" w:lineRule="exact"/>
              <w:ind w:firstLine="27"/>
            </w:pPr>
            <w:r>
              <w:rPr>
                <w:position w:val="-6"/>
              </w:rPr>
              <w:drawing>
                <wp:inline distT="0" distB="0" distL="0" distR="0">
                  <wp:extent cx="109855" cy="219710"/>
                  <wp:effectExtent l="0" t="0" r="0" b="0"/>
                  <wp:docPr id="74" name="IM 74"/>
                  <wp:cNvGraphicFramePr/>
                  <a:graphic xmlns:a="http://schemas.openxmlformats.org/drawingml/2006/main">
                    <a:graphicData uri="http://schemas.openxmlformats.org/drawingml/2006/picture">
                      <pic:pic xmlns:pic="http://schemas.openxmlformats.org/drawingml/2006/picture">
                        <pic:nvPicPr>
                          <pic:cNvPr id="74" name="IM 74"/>
                          <pic:cNvPicPr/>
                        </pic:nvPicPr>
                        <pic:blipFill>
                          <a:blip r:embed="rId202"/>
                          <a:stretch>
                            <a:fillRect/>
                          </a:stretch>
                        </pic:blipFill>
                        <pic:spPr>
                          <a:xfrm>
                            <a:off x="0" y="0"/>
                            <a:ext cx="110471" cy="220115"/>
                          </a:xfrm>
                          <a:prstGeom prst="rect">
                            <a:avLst/>
                          </a:prstGeom>
                        </pic:spPr>
                      </pic:pic>
                    </a:graphicData>
                  </a:graphic>
                </wp:inline>
              </w:drawing>
            </w:r>
          </w:p>
        </w:tc>
        <w:tc>
          <w:tcPr>
            <w:tcW w:w="234" w:type="dxa"/>
            <w:vAlign w:val="top"/>
          </w:tcPr>
          <w:p w14:paraId="222E89CF">
            <w:pPr>
              <w:rPr>
                <w:rFonts w:ascii="Arial"/>
                <w:sz w:val="21"/>
              </w:rPr>
            </w:pPr>
          </w:p>
        </w:tc>
      </w:tr>
      <w:tr w14:paraId="7E1D6F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78" w:hRule="atLeast"/>
        </w:trPr>
        <w:tc>
          <w:tcPr>
            <w:tcW w:w="564" w:type="dxa"/>
            <w:vAlign w:val="top"/>
          </w:tcPr>
          <w:p w14:paraId="263E6006">
            <w:pPr>
              <w:pStyle w:val="6"/>
              <w:spacing w:before="193" w:line="232" w:lineRule="auto"/>
              <w:ind w:left="105" w:right="89"/>
              <w:jc w:val="both"/>
            </w:pPr>
            <w:r>
              <w:rPr>
                <w:spacing w:val="-31"/>
              </w:rPr>
              <w:t>自</w:t>
            </w:r>
            <w:r>
              <w:rPr>
                <w:spacing w:val="-4"/>
              </w:rPr>
              <w:t xml:space="preserve"> </w:t>
            </w:r>
            <w:r>
              <w:rPr>
                <w:spacing w:val="-31"/>
              </w:rPr>
              <w:t>由</w:t>
            </w:r>
            <w:r>
              <w:t xml:space="preserve"> </w:t>
            </w:r>
            <w:r>
              <w:rPr>
                <w:spacing w:val="-5"/>
              </w:rPr>
              <w:t>组合</w:t>
            </w:r>
            <w:r>
              <w:t xml:space="preserve"> </w:t>
            </w:r>
            <w:r>
              <w:rPr>
                <w:spacing w:val="-3"/>
              </w:rPr>
              <w:t>定律</w:t>
            </w:r>
          </w:p>
        </w:tc>
        <w:tc>
          <w:tcPr>
            <w:tcW w:w="2644" w:type="dxa"/>
            <w:vAlign w:val="top"/>
          </w:tcPr>
          <w:p w14:paraId="1AD39F01">
            <w:pPr>
              <w:pStyle w:val="6"/>
              <w:spacing w:before="212" w:line="218" w:lineRule="auto"/>
              <w:ind w:left="61"/>
            </w:pPr>
            <w:r>
              <w:t>1.两对相对性状的遗传实验</w:t>
            </w:r>
          </w:p>
          <w:p w14:paraId="224BF7A9">
            <w:pPr>
              <w:pStyle w:val="6"/>
              <w:spacing w:line="229" w:lineRule="auto"/>
              <w:ind w:left="61" w:right="342"/>
            </w:pPr>
            <w:r>
              <w:rPr>
                <w:spacing w:val="-1"/>
              </w:rPr>
              <w:t>2.对自由组合定律现象的解释</w:t>
            </w:r>
            <w:r>
              <w:rPr>
                <w:spacing w:val="4"/>
              </w:rPr>
              <w:t xml:space="preserve"> </w:t>
            </w:r>
            <w:r>
              <w:rPr>
                <w:spacing w:val="-2"/>
              </w:rPr>
              <w:t>3.</w:t>
            </w:r>
            <w:r>
              <w:rPr>
                <w:spacing w:val="-38"/>
              </w:rPr>
              <w:t xml:space="preserve"> </w:t>
            </w:r>
            <w:r>
              <w:rPr>
                <w:spacing w:val="-2"/>
              </w:rPr>
              <w:t>自由组合定律的实质和应用</w:t>
            </w:r>
          </w:p>
        </w:tc>
        <w:tc>
          <w:tcPr>
            <w:tcW w:w="229" w:type="dxa"/>
            <w:vAlign w:val="top"/>
          </w:tcPr>
          <w:p w14:paraId="4479BD6E">
            <w:pPr>
              <w:spacing w:before="237" w:line="94" w:lineRule="exact"/>
              <w:ind w:firstLine="31"/>
            </w:pPr>
            <w:r>
              <w:rPr>
                <w:position w:val="-1"/>
              </w:rPr>
              <w:drawing>
                <wp:inline distT="0" distB="0" distL="0" distR="0">
                  <wp:extent cx="82550" cy="59055"/>
                  <wp:effectExtent l="0" t="0" r="0" b="0"/>
                  <wp:docPr id="76" name="IM 76"/>
                  <wp:cNvGraphicFramePr/>
                  <a:graphic xmlns:a="http://schemas.openxmlformats.org/drawingml/2006/main">
                    <a:graphicData uri="http://schemas.openxmlformats.org/drawingml/2006/picture">
                      <pic:pic xmlns:pic="http://schemas.openxmlformats.org/drawingml/2006/picture">
                        <pic:nvPicPr>
                          <pic:cNvPr id="76" name="IM 76"/>
                          <pic:cNvPicPr/>
                        </pic:nvPicPr>
                        <pic:blipFill>
                          <a:blip r:embed="rId203"/>
                          <a:stretch>
                            <a:fillRect/>
                          </a:stretch>
                        </pic:blipFill>
                        <pic:spPr>
                          <a:xfrm>
                            <a:off x="0" y="0"/>
                            <a:ext cx="82984" cy="59274"/>
                          </a:xfrm>
                          <a:prstGeom prst="rect">
                            <a:avLst/>
                          </a:prstGeom>
                        </pic:spPr>
                      </pic:pic>
                    </a:graphicData>
                  </a:graphic>
                </wp:inline>
              </w:drawing>
            </w:r>
          </w:p>
        </w:tc>
        <w:tc>
          <w:tcPr>
            <w:tcW w:w="219" w:type="dxa"/>
            <w:vAlign w:val="top"/>
          </w:tcPr>
          <w:p w14:paraId="734F079C">
            <w:pPr>
              <w:rPr>
                <w:rFonts w:ascii="Arial"/>
                <w:sz w:val="21"/>
              </w:rPr>
            </w:pPr>
          </w:p>
        </w:tc>
        <w:tc>
          <w:tcPr>
            <w:tcW w:w="229" w:type="dxa"/>
            <w:vAlign w:val="top"/>
          </w:tcPr>
          <w:p w14:paraId="10A23F11">
            <w:pPr>
              <w:spacing w:line="416" w:lineRule="auto"/>
              <w:rPr>
                <w:rFonts w:ascii="Arial"/>
                <w:sz w:val="21"/>
              </w:rPr>
            </w:pPr>
          </w:p>
          <w:p w14:paraId="64433339">
            <w:pPr>
              <w:spacing w:line="341" w:lineRule="exact"/>
              <w:ind w:firstLine="44"/>
            </w:pPr>
            <w:r>
              <w:rPr>
                <w:position w:val="-6"/>
              </w:rPr>
              <w:drawing>
                <wp:inline distT="0" distB="0" distL="0" distR="0">
                  <wp:extent cx="94615" cy="215900"/>
                  <wp:effectExtent l="0" t="0" r="0" b="0"/>
                  <wp:docPr id="78" name="IM 78"/>
                  <wp:cNvGraphicFramePr/>
                  <a:graphic xmlns:a="http://schemas.openxmlformats.org/drawingml/2006/main">
                    <a:graphicData uri="http://schemas.openxmlformats.org/drawingml/2006/picture">
                      <pic:pic xmlns:pic="http://schemas.openxmlformats.org/drawingml/2006/picture">
                        <pic:nvPicPr>
                          <pic:cNvPr id="78" name="IM 78"/>
                          <pic:cNvPicPr/>
                        </pic:nvPicPr>
                        <pic:blipFill>
                          <a:blip r:embed="rId204"/>
                          <a:stretch>
                            <a:fillRect/>
                          </a:stretch>
                        </pic:blipFill>
                        <pic:spPr>
                          <a:xfrm>
                            <a:off x="0" y="0"/>
                            <a:ext cx="95241" cy="216379"/>
                          </a:xfrm>
                          <a:prstGeom prst="rect">
                            <a:avLst/>
                          </a:prstGeom>
                        </pic:spPr>
                      </pic:pic>
                    </a:graphicData>
                  </a:graphic>
                </wp:inline>
              </w:drawing>
            </w:r>
          </w:p>
        </w:tc>
        <w:tc>
          <w:tcPr>
            <w:tcW w:w="234" w:type="dxa"/>
            <w:vAlign w:val="top"/>
          </w:tcPr>
          <w:p w14:paraId="2A413EAF">
            <w:pPr>
              <w:rPr>
                <w:rFonts w:ascii="Arial"/>
                <w:sz w:val="21"/>
              </w:rPr>
            </w:pPr>
          </w:p>
        </w:tc>
      </w:tr>
      <w:tr w14:paraId="6E85E7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19" w:hRule="atLeast"/>
        </w:trPr>
        <w:tc>
          <w:tcPr>
            <w:tcW w:w="564" w:type="dxa"/>
            <w:vAlign w:val="top"/>
          </w:tcPr>
          <w:p w14:paraId="4C99FD3E">
            <w:pPr>
              <w:pStyle w:val="6"/>
              <w:spacing w:before="113" w:line="236" w:lineRule="auto"/>
              <w:ind w:left="105" w:right="114"/>
            </w:pPr>
            <w:r>
              <w:rPr>
                <w:spacing w:val="-4"/>
              </w:rPr>
              <w:t>伴性</w:t>
            </w:r>
            <w:r>
              <w:t xml:space="preserve"> </w:t>
            </w:r>
            <w:r>
              <w:rPr>
                <w:spacing w:val="-3"/>
              </w:rPr>
              <w:t>遗传</w:t>
            </w:r>
          </w:p>
        </w:tc>
        <w:tc>
          <w:tcPr>
            <w:tcW w:w="2644" w:type="dxa"/>
            <w:vAlign w:val="top"/>
          </w:tcPr>
          <w:p w14:paraId="5808DDED">
            <w:pPr>
              <w:pStyle w:val="6"/>
              <w:spacing w:before="144" w:line="218" w:lineRule="auto"/>
              <w:ind w:left="61" w:right="1711"/>
            </w:pPr>
            <w:r>
              <w:rPr>
                <w:spacing w:val="1"/>
              </w:rPr>
              <w:t>1.性别决定</w:t>
            </w:r>
            <w:r>
              <w:rPr>
                <w:spacing w:val="4"/>
              </w:rPr>
              <w:t xml:space="preserve"> </w:t>
            </w:r>
            <w:r>
              <w:rPr>
                <w:spacing w:val="-2"/>
              </w:rPr>
              <w:t>2.伴性遗传</w:t>
            </w:r>
          </w:p>
        </w:tc>
        <w:tc>
          <w:tcPr>
            <w:tcW w:w="229" w:type="dxa"/>
            <w:vAlign w:val="top"/>
          </w:tcPr>
          <w:p w14:paraId="36EF1F0E">
            <w:pPr>
              <w:rPr>
                <w:rFonts w:ascii="Arial"/>
                <w:sz w:val="21"/>
              </w:rPr>
            </w:pPr>
          </w:p>
        </w:tc>
        <w:tc>
          <w:tcPr>
            <w:tcW w:w="219" w:type="dxa"/>
            <w:vAlign w:val="top"/>
          </w:tcPr>
          <w:p w14:paraId="6820AD21">
            <w:pPr>
              <w:rPr>
                <w:rFonts w:ascii="Arial"/>
                <w:sz w:val="21"/>
              </w:rPr>
            </w:pPr>
          </w:p>
        </w:tc>
        <w:tc>
          <w:tcPr>
            <w:tcW w:w="229" w:type="dxa"/>
            <w:vAlign w:val="top"/>
          </w:tcPr>
          <w:p w14:paraId="021AFFBC">
            <w:pPr>
              <w:rPr>
                <w:rFonts w:ascii="Arial"/>
                <w:sz w:val="21"/>
              </w:rPr>
            </w:pPr>
          </w:p>
        </w:tc>
        <w:tc>
          <w:tcPr>
            <w:tcW w:w="234" w:type="dxa"/>
            <w:vAlign w:val="top"/>
          </w:tcPr>
          <w:p w14:paraId="59C02FAB">
            <w:pPr>
              <w:rPr>
                <w:rFonts w:ascii="Arial"/>
                <w:sz w:val="21"/>
              </w:rPr>
            </w:pPr>
          </w:p>
        </w:tc>
      </w:tr>
      <w:tr w14:paraId="02594B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13" w:hRule="atLeast"/>
        </w:trPr>
        <w:tc>
          <w:tcPr>
            <w:tcW w:w="564" w:type="dxa"/>
            <w:vAlign w:val="top"/>
          </w:tcPr>
          <w:p w14:paraId="65C171DA">
            <w:pPr>
              <w:pStyle w:val="6"/>
              <w:spacing w:before="46" w:line="231" w:lineRule="auto"/>
              <w:ind w:left="105" w:right="95"/>
              <w:jc w:val="both"/>
            </w:pPr>
            <w:r>
              <w:rPr>
                <w:spacing w:val="-4"/>
              </w:rPr>
              <w:t>生物</w:t>
            </w:r>
            <w:r>
              <w:t xml:space="preserve"> </w:t>
            </w:r>
            <w:r>
              <w:rPr>
                <w:spacing w:val="6"/>
              </w:rPr>
              <w:t>界的</w:t>
            </w:r>
            <w:r>
              <w:t xml:space="preserve"> </w:t>
            </w:r>
            <w:r>
              <w:rPr>
                <w:spacing w:val="-4"/>
              </w:rPr>
              <w:t>变异</w:t>
            </w:r>
            <w:r>
              <w:t xml:space="preserve"> </w:t>
            </w:r>
            <w:r>
              <w:rPr>
                <w:spacing w:val="-2"/>
              </w:rPr>
              <w:t>现象</w:t>
            </w:r>
          </w:p>
        </w:tc>
        <w:tc>
          <w:tcPr>
            <w:tcW w:w="2644" w:type="dxa"/>
            <w:vAlign w:val="top"/>
          </w:tcPr>
          <w:p w14:paraId="700F1E34">
            <w:pPr>
              <w:pStyle w:val="6"/>
              <w:spacing w:before="165" w:line="219" w:lineRule="auto"/>
              <w:ind w:left="61"/>
            </w:pPr>
            <w:r>
              <w:rPr>
                <w:spacing w:val="1"/>
              </w:rPr>
              <w:t>1.变异的类型和原因</w:t>
            </w:r>
          </w:p>
          <w:p w14:paraId="69185A8A">
            <w:pPr>
              <w:pStyle w:val="6"/>
              <w:spacing w:before="39" w:line="206" w:lineRule="auto"/>
              <w:ind w:left="61"/>
            </w:pPr>
            <w:r>
              <w:rPr>
                <w:spacing w:val="-2"/>
              </w:rPr>
              <w:t>2.基因突变</w:t>
            </w:r>
          </w:p>
          <w:p w14:paraId="2BAC1A04">
            <w:pPr>
              <w:pStyle w:val="6"/>
              <w:spacing w:line="220" w:lineRule="auto"/>
              <w:ind w:left="61"/>
            </w:pPr>
            <w:r>
              <w:rPr>
                <w:spacing w:val="-2"/>
              </w:rPr>
              <w:t>3.染色体畸变</w:t>
            </w:r>
          </w:p>
        </w:tc>
        <w:tc>
          <w:tcPr>
            <w:tcW w:w="229" w:type="dxa"/>
            <w:vAlign w:val="top"/>
          </w:tcPr>
          <w:p w14:paraId="762C3CA8">
            <w:pPr>
              <w:rPr>
                <w:rFonts w:ascii="Arial"/>
                <w:sz w:val="21"/>
              </w:rPr>
            </w:pPr>
          </w:p>
        </w:tc>
        <w:tc>
          <w:tcPr>
            <w:tcW w:w="219" w:type="dxa"/>
            <w:vAlign w:val="top"/>
          </w:tcPr>
          <w:p w14:paraId="491FB0F2">
            <w:pPr>
              <w:rPr>
                <w:rFonts w:ascii="Arial"/>
                <w:sz w:val="21"/>
              </w:rPr>
            </w:pPr>
          </w:p>
        </w:tc>
        <w:tc>
          <w:tcPr>
            <w:tcW w:w="229" w:type="dxa"/>
            <w:vAlign w:val="top"/>
          </w:tcPr>
          <w:p w14:paraId="336B999E">
            <w:pPr>
              <w:rPr>
                <w:rFonts w:ascii="Arial"/>
                <w:sz w:val="21"/>
              </w:rPr>
            </w:pPr>
          </w:p>
        </w:tc>
        <w:tc>
          <w:tcPr>
            <w:tcW w:w="234" w:type="dxa"/>
            <w:vAlign w:val="top"/>
          </w:tcPr>
          <w:p w14:paraId="5B191EAD">
            <w:pPr>
              <w:rPr>
                <w:rFonts w:ascii="Arial"/>
                <w:sz w:val="21"/>
              </w:rPr>
            </w:pPr>
          </w:p>
        </w:tc>
      </w:tr>
    </w:tbl>
    <w:p w14:paraId="486E07B9">
      <w:pPr>
        <w:spacing w:before="108" w:line="221" w:lineRule="auto"/>
        <w:ind w:left="1067"/>
        <w:rPr>
          <w:rFonts w:ascii="黑体" w:hAnsi="黑体" w:eastAsia="黑体" w:cs="黑体"/>
          <w:sz w:val="20"/>
          <w:szCs w:val="20"/>
        </w:rPr>
      </w:pPr>
      <w:r>
        <w:rPr>
          <w:rFonts w:ascii="黑体" w:hAnsi="黑体" w:eastAsia="黑体" w:cs="黑体"/>
          <w:b/>
          <w:bCs/>
          <w:spacing w:val="-4"/>
          <w:sz w:val="20"/>
          <w:szCs w:val="20"/>
        </w:rPr>
        <w:t>二、畜禽杂交改良技术</w:t>
      </w:r>
    </w:p>
    <w:p w14:paraId="17FC1C12">
      <w:pPr>
        <w:spacing w:line="161" w:lineRule="exact"/>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54"/>
        <w:gridCol w:w="2644"/>
        <w:gridCol w:w="229"/>
        <w:gridCol w:w="229"/>
        <w:gridCol w:w="229"/>
        <w:gridCol w:w="234"/>
      </w:tblGrid>
      <w:tr w14:paraId="3D2E4F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2" w:hRule="atLeast"/>
        </w:trPr>
        <w:tc>
          <w:tcPr>
            <w:tcW w:w="554" w:type="dxa"/>
            <w:vMerge w:val="restart"/>
            <w:tcBorders>
              <w:bottom w:val="nil"/>
            </w:tcBorders>
            <w:vAlign w:val="top"/>
          </w:tcPr>
          <w:p w14:paraId="09F7F7C1">
            <w:pPr>
              <w:pStyle w:val="6"/>
              <w:spacing w:before="192" w:line="224" w:lineRule="auto"/>
              <w:ind w:left="87" w:right="104"/>
              <w:rPr>
                <w:sz w:val="18"/>
                <w:szCs w:val="18"/>
              </w:rPr>
            </w:pPr>
            <w:r>
              <w:rPr>
                <w:b/>
                <w:bCs/>
                <w:spacing w:val="-8"/>
                <w:sz w:val="18"/>
                <w:szCs w:val="18"/>
              </w:rPr>
              <w:t>知识</w:t>
            </w:r>
            <w:r>
              <w:rPr>
                <w:sz w:val="18"/>
                <w:szCs w:val="18"/>
              </w:rPr>
              <w:t xml:space="preserve"> </w:t>
            </w:r>
            <w:r>
              <w:rPr>
                <w:b/>
                <w:bCs/>
                <w:spacing w:val="-6"/>
                <w:sz w:val="18"/>
                <w:szCs w:val="18"/>
              </w:rPr>
              <w:t>要点</w:t>
            </w:r>
          </w:p>
        </w:tc>
        <w:tc>
          <w:tcPr>
            <w:tcW w:w="2644" w:type="dxa"/>
            <w:vMerge w:val="restart"/>
            <w:tcBorders>
              <w:bottom w:val="nil"/>
            </w:tcBorders>
            <w:vAlign w:val="top"/>
          </w:tcPr>
          <w:p w14:paraId="4C191763">
            <w:pPr>
              <w:pStyle w:val="6"/>
              <w:spacing w:before="299" w:line="219" w:lineRule="auto"/>
              <w:ind w:left="1003"/>
              <w:rPr>
                <w:sz w:val="18"/>
                <w:szCs w:val="18"/>
              </w:rPr>
            </w:pPr>
            <w:r>
              <w:rPr>
                <w:b/>
                <w:bCs/>
                <w:spacing w:val="5"/>
                <w:sz w:val="18"/>
                <w:szCs w:val="18"/>
              </w:rPr>
              <w:t>考试条目</w:t>
            </w:r>
          </w:p>
        </w:tc>
        <w:tc>
          <w:tcPr>
            <w:tcW w:w="921" w:type="dxa"/>
            <w:gridSpan w:val="4"/>
            <w:vAlign w:val="top"/>
          </w:tcPr>
          <w:p w14:paraId="3A8BC517">
            <w:pPr>
              <w:pStyle w:val="6"/>
              <w:spacing w:before="109" w:line="219" w:lineRule="auto"/>
              <w:ind w:left="129"/>
              <w:rPr>
                <w:sz w:val="18"/>
                <w:szCs w:val="18"/>
              </w:rPr>
            </w:pPr>
            <w:r>
              <w:rPr>
                <w:b/>
                <w:bCs/>
                <w:spacing w:val="-4"/>
                <w:sz w:val="18"/>
                <w:szCs w:val="18"/>
              </w:rPr>
              <w:t>考试水平</w:t>
            </w:r>
          </w:p>
        </w:tc>
      </w:tr>
      <w:tr w14:paraId="3E08FE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7" w:hRule="atLeast"/>
        </w:trPr>
        <w:tc>
          <w:tcPr>
            <w:tcW w:w="554" w:type="dxa"/>
            <w:vMerge w:val="continue"/>
            <w:tcBorders>
              <w:top w:val="nil"/>
            </w:tcBorders>
            <w:vAlign w:val="top"/>
          </w:tcPr>
          <w:p w14:paraId="3A56E45B">
            <w:pPr>
              <w:rPr>
                <w:rFonts w:ascii="Arial"/>
                <w:sz w:val="21"/>
              </w:rPr>
            </w:pPr>
          </w:p>
        </w:tc>
        <w:tc>
          <w:tcPr>
            <w:tcW w:w="2644" w:type="dxa"/>
            <w:vMerge w:val="continue"/>
            <w:tcBorders>
              <w:top w:val="nil"/>
            </w:tcBorders>
            <w:vAlign w:val="top"/>
          </w:tcPr>
          <w:p w14:paraId="63F69372">
            <w:pPr>
              <w:rPr>
                <w:rFonts w:ascii="Arial"/>
                <w:sz w:val="21"/>
              </w:rPr>
            </w:pPr>
          </w:p>
        </w:tc>
        <w:tc>
          <w:tcPr>
            <w:tcW w:w="229" w:type="dxa"/>
            <w:vAlign w:val="top"/>
          </w:tcPr>
          <w:p w14:paraId="47C0CD18">
            <w:pPr>
              <w:pStyle w:val="6"/>
              <w:spacing w:before="145" w:line="184" w:lineRule="auto"/>
              <w:ind w:left="16"/>
              <w:rPr>
                <w:sz w:val="18"/>
                <w:szCs w:val="18"/>
              </w:rPr>
            </w:pPr>
            <w:r>
              <w:rPr>
                <w:sz w:val="18"/>
                <w:szCs w:val="18"/>
              </w:rPr>
              <w:t>A</w:t>
            </w:r>
          </w:p>
        </w:tc>
        <w:tc>
          <w:tcPr>
            <w:tcW w:w="229" w:type="dxa"/>
            <w:vAlign w:val="top"/>
          </w:tcPr>
          <w:p w14:paraId="17ACE188">
            <w:pPr>
              <w:pStyle w:val="6"/>
              <w:spacing w:before="147" w:line="182" w:lineRule="auto"/>
              <w:ind w:left="18"/>
              <w:rPr>
                <w:sz w:val="18"/>
                <w:szCs w:val="18"/>
              </w:rPr>
            </w:pPr>
            <w:r>
              <w:rPr>
                <w:sz w:val="18"/>
                <w:szCs w:val="18"/>
              </w:rPr>
              <w:t>B</w:t>
            </w:r>
          </w:p>
        </w:tc>
        <w:tc>
          <w:tcPr>
            <w:tcW w:w="229" w:type="dxa"/>
            <w:vAlign w:val="top"/>
          </w:tcPr>
          <w:p w14:paraId="58E21A91">
            <w:pPr>
              <w:pStyle w:val="6"/>
              <w:spacing w:before="146" w:line="183" w:lineRule="auto"/>
              <w:ind w:left="19"/>
              <w:rPr>
                <w:sz w:val="18"/>
                <w:szCs w:val="18"/>
              </w:rPr>
            </w:pPr>
            <w:r>
              <w:rPr>
                <w:sz w:val="18"/>
                <w:szCs w:val="18"/>
              </w:rPr>
              <w:t>C</w:t>
            </w:r>
          </w:p>
        </w:tc>
        <w:tc>
          <w:tcPr>
            <w:tcW w:w="234" w:type="dxa"/>
            <w:vAlign w:val="top"/>
          </w:tcPr>
          <w:p w14:paraId="0B477A9E">
            <w:pPr>
              <w:pStyle w:val="6"/>
              <w:spacing w:before="147" w:line="182" w:lineRule="auto"/>
              <w:ind w:left="19"/>
              <w:rPr>
                <w:sz w:val="18"/>
                <w:szCs w:val="18"/>
              </w:rPr>
            </w:pPr>
            <w:r>
              <w:rPr>
                <w:sz w:val="18"/>
                <w:szCs w:val="18"/>
              </w:rPr>
              <w:t>D</w:t>
            </w:r>
          </w:p>
        </w:tc>
      </w:tr>
      <w:tr w14:paraId="33FCEB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1" w:hRule="atLeast"/>
        </w:trPr>
        <w:tc>
          <w:tcPr>
            <w:tcW w:w="554" w:type="dxa"/>
            <w:vAlign w:val="top"/>
          </w:tcPr>
          <w:p w14:paraId="5B322001">
            <w:pPr>
              <w:pStyle w:val="6"/>
              <w:spacing w:before="113" w:line="228" w:lineRule="auto"/>
              <w:ind w:left="84" w:right="85"/>
              <w:rPr>
                <w:sz w:val="18"/>
                <w:szCs w:val="18"/>
              </w:rPr>
            </w:pPr>
            <w:r>
              <w:rPr>
                <w:spacing w:val="4"/>
                <w:sz w:val="18"/>
                <w:szCs w:val="18"/>
              </w:rPr>
              <w:t>畜禽</w:t>
            </w:r>
            <w:r>
              <w:rPr>
                <w:sz w:val="18"/>
                <w:szCs w:val="18"/>
              </w:rPr>
              <w:t xml:space="preserve"> </w:t>
            </w:r>
            <w:r>
              <w:rPr>
                <w:spacing w:val="6"/>
                <w:sz w:val="18"/>
                <w:szCs w:val="18"/>
              </w:rPr>
              <w:t>品种</w:t>
            </w:r>
          </w:p>
        </w:tc>
        <w:tc>
          <w:tcPr>
            <w:tcW w:w="2644" w:type="dxa"/>
            <w:vAlign w:val="top"/>
          </w:tcPr>
          <w:p w14:paraId="5D401BF2">
            <w:pPr>
              <w:pStyle w:val="6"/>
              <w:spacing w:before="134" w:line="222" w:lineRule="auto"/>
              <w:ind w:left="71" w:right="1475"/>
              <w:rPr>
                <w:sz w:val="18"/>
                <w:szCs w:val="18"/>
              </w:rPr>
            </w:pPr>
            <w:r>
              <w:rPr>
                <w:spacing w:val="1"/>
                <w:sz w:val="18"/>
                <w:szCs w:val="18"/>
              </w:rPr>
              <w:t>1.品种的概念</w:t>
            </w:r>
            <w:r>
              <w:rPr>
                <w:sz w:val="18"/>
                <w:szCs w:val="18"/>
              </w:rPr>
              <w:t xml:space="preserve"> </w:t>
            </w:r>
            <w:r>
              <w:rPr>
                <w:spacing w:val="-1"/>
                <w:sz w:val="18"/>
                <w:szCs w:val="18"/>
              </w:rPr>
              <w:t>2.品种的分类</w:t>
            </w:r>
          </w:p>
        </w:tc>
        <w:tc>
          <w:tcPr>
            <w:tcW w:w="229" w:type="dxa"/>
            <w:vAlign w:val="top"/>
          </w:tcPr>
          <w:p w14:paraId="7237EDE3">
            <w:pPr>
              <w:rPr>
                <w:rFonts w:ascii="Arial"/>
                <w:sz w:val="21"/>
              </w:rPr>
            </w:pPr>
          </w:p>
        </w:tc>
        <w:tc>
          <w:tcPr>
            <w:tcW w:w="229" w:type="dxa"/>
            <w:vAlign w:val="top"/>
          </w:tcPr>
          <w:p w14:paraId="46DFDA15">
            <w:pPr>
              <w:rPr>
                <w:rFonts w:ascii="Arial"/>
                <w:sz w:val="21"/>
              </w:rPr>
            </w:pPr>
          </w:p>
        </w:tc>
        <w:tc>
          <w:tcPr>
            <w:tcW w:w="229" w:type="dxa"/>
            <w:vAlign w:val="top"/>
          </w:tcPr>
          <w:p w14:paraId="50DDB82A">
            <w:pPr>
              <w:rPr>
                <w:rFonts w:ascii="Arial"/>
                <w:sz w:val="21"/>
              </w:rPr>
            </w:pPr>
          </w:p>
        </w:tc>
        <w:tc>
          <w:tcPr>
            <w:tcW w:w="234" w:type="dxa"/>
            <w:vAlign w:val="top"/>
          </w:tcPr>
          <w:p w14:paraId="67086BFB">
            <w:pPr>
              <w:rPr>
                <w:rFonts w:ascii="Arial"/>
                <w:sz w:val="21"/>
              </w:rPr>
            </w:pPr>
          </w:p>
        </w:tc>
      </w:tr>
    </w:tbl>
    <w:p w14:paraId="120C82CD">
      <w:pPr>
        <w:pStyle w:val="2"/>
        <w:spacing w:line="104" w:lineRule="auto"/>
        <w:rPr>
          <w:sz w:val="2"/>
        </w:rPr>
      </w:pPr>
    </w:p>
    <w:p w14:paraId="7525A9CF">
      <w:pPr>
        <w:pStyle w:val="2"/>
        <w:spacing w:line="14" w:lineRule="auto"/>
        <w:rPr>
          <w:sz w:val="2"/>
        </w:rPr>
      </w:pPr>
      <w:r>
        <w:rPr>
          <w:sz w:val="2"/>
          <w:szCs w:val="2"/>
        </w:rPr>
        <w:br w:type="column"/>
      </w:r>
    </w:p>
    <w:p w14:paraId="0FDFB6F1">
      <w:pPr>
        <w:spacing w:line="89" w:lineRule="auto"/>
        <w:rPr>
          <w:rFonts w:ascii="Arial"/>
          <w:sz w:val="2"/>
        </w:rPr>
      </w:pPr>
    </w:p>
    <w:tbl>
      <w:tblPr>
        <w:tblStyle w:val="5"/>
        <w:tblW w:w="413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54"/>
        <w:gridCol w:w="2644"/>
        <w:gridCol w:w="229"/>
        <w:gridCol w:w="229"/>
        <w:gridCol w:w="230"/>
        <w:gridCol w:w="244"/>
      </w:tblGrid>
      <w:tr w14:paraId="362141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4" w:hRule="atLeast"/>
        </w:trPr>
        <w:tc>
          <w:tcPr>
            <w:tcW w:w="554" w:type="dxa"/>
            <w:vMerge w:val="restart"/>
            <w:tcBorders>
              <w:bottom w:val="nil"/>
            </w:tcBorders>
            <w:vAlign w:val="top"/>
          </w:tcPr>
          <w:p w14:paraId="022AB33E">
            <w:pPr>
              <w:pStyle w:val="6"/>
              <w:spacing w:before="201" w:line="231" w:lineRule="auto"/>
              <w:ind w:left="97" w:right="113"/>
            </w:pPr>
            <w:r>
              <w:rPr>
                <w:b/>
                <w:bCs/>
                <w:spacing w:val="-7"/>
              </w:rPr>
              <w:t>知识</w:t>
            </w:r>
            <w:r>
              <w:t xml:space="preserve"> </w:t>
            </w:r>
            <w:r>
              <w:rPr>
                <w:b/>
                <w:bCs/>
                <w:spacing w:val="-6"/>
              </w:rPr>
              <w:t>要点</w:t>
            </w:r>
          </w:p>
        </w:tc>
        <w:tc>
          <w:tcPr>
            <w:tcW w:w="2644" w:type="dxa"/>
            <w:vMerge w:val="restart"/>
            <w:tcBorders>
              <w:bottom w:val="nil"/>
            </w:tcBorders>
            <w:vAlign w:val="top"/>
          </w:tcPr>
          <w:p w14:paraId="651E6579">
            <w:pPr>
              <w:spacing w:line="252" w:lineRule="auto"/>
              <w:rPr>
                <w:rFonts w:ascii="Arial"/>
                <w:sz w:val="21"/>
              </w:rPr>
            </w:pPr>
          </w:p>
          <w:p w14:paraId="5E61BFA3">
            <w:pPr>
              <w:pStyle w:val="6"/>
              <w:spacing w:before="56" w:line="219" w:lineRule="auto"/>
              <w:ind w:left="993"/>
            </w:pPr>
            <w:r>
              <w:rPr>
                <w:b/>
                <w:bCs/>
                <w:spacing w:val="5"/>
              </w:rPr>
              <w:t>考试条目</w:t>
            </w:r>
          </w:p>
        </w:tc>
        <w:tc>
          <w:tcPr>
            <w:tcW w:w="932" w:type="dxa"/>
            <w:gridSpan w:val="4"/>
            <w:vAlign w:val="top"/>
          </w:tcPr>
          <w:p w14:paraId="3487B125">
            <w:pPr>
              <w:pStyle w:val="6"/>
              <w:spacing w:before="109" w:line="219" w:lineRule="auto"/>
              <w:ind w:left="119"/>
            </w:pPr>
            <w:r>
              <w:rPr>
                <w:b/>
                <w:bCs/>
                <w:spacing w:val="-4"/>
              </w:rPr>
              <w:t>考试水平</w:t>
            </w:r>
          </w:p>
        </w:tc>
      </w:tr>
      <w:tr w14:paraId="5998D6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9" w:hRule="atLeast"/>
        </w:trPr>
        <w:tc>
          <w:tcPr>
            <w:tcW w:w="554" w:type="dxa"/>
            <w:vMerge w:val="continue"/>
            <w:tcBorders>
              <w:top w:val="nil"/>
            </w:tcBorders>
            <w:vAlign w:val="top"/>
          </w:tcPr>
          <w:p w14:paraId="29B97AA7">
            <w:pPr>
              <w:rPr>
                <w:rFonts w:ascii="Arial"/>
                <w:sz w:val="21"/>
              </w:rPr>
            </w:pPr>
          </w:p>
        </w:tc>
        <w:tc>
          <w:tcPr>
            <w:tcW w:w="2644" w:type="dxa"/>
            <w:vMerge w:val="continue"/>
            <w:tcBorders>
              <w:top w:val="nil"/>
            </w:tcBorders>
            <w:vAlign w:val="top"/>
          </w:tcPr>
          <w:p w14:paraId="174E791D">
            <w:pPr>
              <w:rPr>
                <w:rFonts w:ascii="Arial"/>
                <w:sz w:val="21"/>
              </w:rPr>
            </w:pPr>
          </w:p>
        </w:tc>
        <w:tc>
          <w:tcPr>
            <w:tcW w:w="229" w:type="dxa"/>
            <w:vAlign w:val="top"/>
          </w:tcPr>
          <w:p w14:paraId="6A772878">
            <w:pPr>
              <w:pStyle w:val="6"/>
              <w:spacing w:before="151" w:line="184" w:lineRule="auto"/>
              <w:ind w:left="67"/>
            </w:pPr>
            <w:r>
              <w:t>A</w:t>
            </w:r>
          </w:p>
        </w:tc>
        <w:tc>
          <w:tcPr>
            <w:tcW w:w="229" w:type="dxa"/>
            <w:vAlign w:val="top"/>
          </w:tcPr>
          <w:p w14:paraId="1ED70A51">
            <w:pPr>
              <w:pStyle w:val="6"/>
              <w:spacing w:before="152" w:line="182" w:lineRule="auto"/>
              <w:ind w:left="38"/>
            </w:pPr>
            <w:r>
              <w:t>B</w:t>
            </w:r>
          </w:p>
        </w:tc>
        <w:tc>
          <w:tcPr>
            <w:tcW w:w="230" w:type="dxa"/>
            <w:vAlign w:val="top"/>
          </w:tcPr>
          <w:p w14:paraId="61D841ED">
            <w:pPr>
              <w:pStyle w:val="6"/>
              <w:spacing w:before="151" w:line="183" w:lineRule="auto"/>
              <w:ind w:left="19"/>
            </w:pPr>
            <w:r>
              <w:t>C</w:t>
            </w:r>
          </w:p>
        </w:tc>
        <w:tc>
          <w:tcPr>
            <w:tcW w:w="244" w:type="dxa"/>
            <w:vAlign w:val="top"/>
          </w:tcPr>
          <w:p w14:paraId="547835C2">
            <w:pPr>
              <w:pStyle w:val="6"/>
              <w:spacing w:before="152" w:line="182" w:lineRule="auto"/>
              <w:ind w:right="9"/>
              <w:jc w:val="right"/>
            </w:pPr>
            <w:r>
              <w:t>D</w:t>
            </w:r>
          </w:p>
        </w:tc>
      </w:tr>
      <w:tr w14:paraId="3A8BBD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56" w:hRule="atLeast"/>
        </w:trPr>
        <w:tc>
          <w:tcPr>
            <w:tcW w:w="554" w:type="dxa"/>
            <w:vAlign w:val="top"/>
          </w:tcPr>
          <w:p w14:paraId="5E88D4B6">
            <w:pPr>
              <w:spacing w:line="320" w:lineRule="auto"/>
              <w:rPr>
                <w:rFonts w:ascii="Arial"/>
                <w:sz w:val="21"/>
              </w:rPr>
            </w:pPr>
          </w:p>
          <w:p w14:paraId="460249E0">
            <w:pPr>
              <w:spacing w:line="320" w:lineRule="auto"/>
              <w:rPr>
                <w:rFonts w:ascii="Arial"/>
                <w:sz w:val="21"/>
              </w:rPr>
            </w:pPr>
          </w:p>
          <w:p w14:paraId="1AE98AA5">
            <w:pPr>
              <w:pStyle w:val="6"/>
              <w:spacing w:before="55" w:line="220" w:lineRule="auto"/>
              <w:ind w:left="94"/>
            </w:pPr>
            <w:r>
              <w:rPr>
                <w:spacing w:val="-2"/>
              </w:rPr>
              <w:t>选种</w:t>
            </w:r>
          </w:p>
        </w:tc>
        <w:tc>
          <w:tcPr>
            <w:tcW w:w="2644" w:type="dxa"/>
            <w:vAlign w:val="top"/>
          </w:tcPr>
          <w:p w14:paraId="5736FBC6">
            <w:pPr>
              <w:pStyle w:val="6"/>
              <w:spacing w:before="169" w:line="219" w:lineRule="auto"/>
              <w:ind w:left="71"/>
            </w:pPr>
            <w:r>
              <w:rPr>
                <w:spacing w:val="1"/>
              </w:rPr>
              <w:t>1.选种的概念</w:t>
            </w:r>
          </w:p>
          <w:p w14:paraId="25D892F3">
            <w:pPr>
              <w:pStyle w:val="6"/>
              <w:spacing w:before="27" w:line="217" w:lineRule="auto"/>
              <w:ind w:left="71"/>
            </w:pPr>
            <w:r>
              <w:rPr>
                <w:spacing w:val="-1"/>
              </w:rPr>
              <w:t>2.畜禽生产力的评定</w:t>
            </w:r>
          </w:p>
          <w:p w14:paraId="375D14C5">
            <w:pPr>
              <w:pStyle w:val="6"/>
              <w:spacing w:before="1" w:line="236" w:lineRule="auto"/>
              <w:ind w:left="71" w:right="851"/>
            </w:pPr>
            <w:r>
              <w:rPr>
                <w:spacing w:val="1"/>
              </w:rPr>
              <w:t>3.家畜体质外貌的鉴定</w:t>
            </w:r>
            <w:r>
              <w:t xml:space="preserve"> </w:t>
            </w:r>
            <w:r>
              <w:rPr>
                <w:spacing w:val="-1"/>
              </w:rPr>
              <w:t>4.家畜生长发育的鉴定</w:t>
            </w:r>
            <w:r>
              <w:rPr>
                <w:spacing w:val="4"/>
              </w:rPr>
              <w:t xml:space="preserve"> </w:t>
            </w:r>
            <w:r>
              <w:rPr>
                <w:spacing w:val="1"/>
              </w:rPr>
              <w:t>5.系谱鉴定</w:t>
            </w:r>
          </w:p>
          <w:p w14:paraId="4134C551">
            <w:pPr>
              <w:pStyle w:val="6"/>
              <w:spacing w:before="17" w:line="220" w:lineRule="auto"/>
              <w:ind w:left="71"/>
            </w:pPr>
            <w:r>
              <w:rPr>
                <w:spacing w:val="-2"/>
              </w:rPr>
              <w:t>6.选种的方法</w:t>
            </w:r>
          </w:p>
        </w:tc>
        <w:tc>
          <w:tcPr>
            <w:tcW w:w="229" w:type="dxa"/>
            <w:vAlign w:val="top"/>
          </w:tcPr>
          <w:p w14:paraId="4033F970">
            <w:pPr>
              <w:spacing w:before="170" w:line="333" w:lineRule="exact"/>
              <w:ind w:firstLine="54"/>
            </w:pPr>
            <w:r>
              <w:rPr>
                <w:position w:val="-6"/>
              </w:rPr>
              <w:drawing>
                <wp:inline distT="0" distB="0" distL="0" distR="0">
                  <wp:extent cx="85725" cy="211455"/>
                  <wp:effectExtent l="0" t="0" r="0" b="0"/>
                  <wp:docPr id="80" name="IM 80"/>
                  <wp:cNvGraphicFramePr/>
                  <a:graphic xmlns:a="http://schemas.openxmlformats.org/drawingml/2006/main">
                    <a:graphicData uri="http://schemas.openxmlformats.org/drawingml/2006/picture">
                      <pic:pic xmlns:pic="http://schemas.openxmlformats.org/drawingml/2006/picture">
                        <pic:nvPicPr>
                          <pic:cNvPr id="80" name="IM 80"/>
                          <pic:cNvPicPr/>
                        </pic:nvPicPr>
                        <pic:blipFill>
                          <a:blip r:embed="rId205"/>
                          <a:stretch>
                            <a:fillRect/>
                          </a:stretch>
                        </pic:blipFill>
                        <pic:spPr>
                          <a:xfrm>
                            <a:off x="0" y="0"/>
                            <a:ext cx="85730" cy="211559"/>
                          </a:xfrm>
                          <a:prstGeom prst="rect">
                            <a:avLst/>
                          </a:prstGeom>
                        </pic:spPr>
                      </pic:pic>
                    </a:graphicData>
                  </a:graphic>
                </wp:inline>
              </w:drawing>
            </w:r>
          </w:p>
        </w:tc>
        <w:tc>
          <w:tcPr>
            <w:tcW w:w="229" w:type="dxa"/>
            <w:vAlign w:val="top"/>
          </w:tcPr>
          <w:p w14:paraId="502DE0A2">
            <w:pPr>
              <w:rPr>
                <w:rFonts w:ascii="Arial"/>
                <w:sz w:val="21"/>
              </w:rPr>
            </w:pPr>
          </w:p>
        </w:tc>
        <w:tc>
          <w:tcPr>
            <w:tcW w:w="230" w:type="dxa"/>
            <w:vAlign w:val="top"/>
          </w:tcPr>
          <w:p w14:paraId="3126E2F0">
            <w:pPr>
              <w:rPr>
                <w:rFonts w:ascii="Arial"/>
                <w:sz w:val="21"/>
              </w:rPr>
            </w:pPr>
          </w:p>
        </w:tc>
        <w:tc>
          <w:tcPr>
            <w:tcW w:w="244" w:type="dxa"/>
            <w:vAlign w:val="top"/>
          </w:tcPr>
          <w:p w14:paraId="79620051">
            <w:pPr>
              <w:rPr>
                <w:rFonts w:ascii="Arial"/>
                <w:sz w:val="21"/>
              </w:rPr>
            </w:pPr>
          </w:p>
        </w:tc>
      </w:tr>
      <w:tr w14:paraId="4A9424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8" w:hRule="atLeast"/>
        </w:trPr>
        <w:tc>
          <w:tcPr>
            <w:tcW w:w="554" w:type="dxa"/>
            <w:vAlign w:val="top"/>
          </w:tcPr>
          <w:p w14:paraId="1AF29BCF">
            <w:pPr>
              <w:spacing w:line="249" w:lineRule="auto"/>
              <w:rPr>
                <w:rFonts w:ascii="Arial"/>
                <w:sz w:val="21"/>
              </w:rPr>
            </w:pPr>
          </w:p>
          <w:p w14:paraId="61E0339D">
            <w:pPr>
              <w:pStyle w:val="6"/>
              <w:spacing w:before="55" w:line="223" w:lineRule="auto"/>
              <w:ind w:left="94"/>
            </w:pPr>
            <w:r>
              <w:rPr>
                <w:spacing w:val="-2"/>
              </w:rPr>
              <w:t>选配</w:t>
            </w:r>
          </w:p>
        </w:tc>
        <w:tc>
          <w:tcPr>
            <w:tcW w:w="2644" w:type="dxa"/>
            <w:vAlign w:val="top"/>
          </w:tcPr>
          <w:p w14:paraId="1F40B17B">
            <w:pPr>
              <w:pStyle w:val="6"/>
              <w:spacing w:before="103" w:line="236" w:lineRule="auto"/>
              <w:ind w:left="71" w:right="1024"/>
            </w:pPr>
            <w:r>
              <w:t>1.选配的概念及意义</w:t>
            </w:r>
            <w:r>
              <w:rPr>
                <w:spacing w:val="7"/>
              </w:rPr>
              <w:t xml:space="preserve"> </w:t>
            </w:r>
            <w:r>
              <w:rPr>
                <w:spacing w:val="-2"/>
              </w:rPr>
              <w:t>2.选配的种类</w:t>
            </w:r>
          </w:p>
          <w:p w14:paraId="2B1C5B94">
            <w:pPr>
              <w:pStyle w:val="6"/>
              <w:spacing w:before="5" w:line="221" w:lineRule="auto"/>
              <w:ind w:left="71"/>
            </w:pPr>
            <w:r>
              <w:rPr>
                <w:spacing w:val="-3"/>
              </w:rPr>
              <w:t>3.近交</w:t>
            </w:r>
          </w:p>
        </w:tc>
        <w:tc>
          <w:tcPr>
            <w:tcW w:w="229" w:type="dxa"/>
            <w:vAlign w:val="top"/>
          </w:tcPr>
          <w:p w14:paraId="1DFDF6EE">
            <w:pPr>
              <w:rPr>
                <w:rFonts w:ascii="Arial"/>
                <w:sz w:val="21"/>
              </w:rPr>
            </w:pPr>
          </w:p>
        </w:tc>
        <w:tc>
          <w:tcPr>
            <w:tcW w:w="229" w:type="dxa"/>
            <w:vAlign w:val="top"/>
          </w:tcPr>
          <w:p w14:paraId="6153FB15">
            <w:pPr>
              <w:rPr>
                <w:rFonts w:ascii="Arial"/>
                <w:sz w:val="21"/>
              </w:rPr>
            </w:pPr>
          </w:p>
        </w:tc>
        <w:tc>
          <w:tcPr>
            <w:tcW w:w="230" w:type="dxa"/>
            <w:vAlign w:val="top"/>
          </w:tcPr>
          <w:p w14:paraId="1E24118D">
            <w:pPr>
              <w:rPr>
                <w:rFonts w:ascii="Arial"/>
                <w:sz w:val="21"/>
              </w:rPr>
            </w:pPr>
          </w:p>
        </w:tc>
        <w:tc>
          <w:tcPr>
            <w:tcW w:w="244" w:type="dxa"/>
            <w:vAlign w:val="top"/>
          </w:tcPr>
          <w:p w14:paraId="51426186">
            <w:pPr>
              <w:rPr>
                <w:rFonts w:ascii="Arial"/>
                <w:sz w:val="21"/>
              </w:rPr>
            </w:pPr>
          </w:p>
        </w:tc>
      </w:tr>
      <w:tr w14:paraId="7339DC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23" w:hRule="atLeast"/>
        </w:trPr>
        <w:tc>
          <w:tcPr>
            <w:tcW w:w="554" w:type="dxa"/>
            <w:vAlign w:val="top"/>
          </w:tcPr>
          <w:p w14:paraId="2B413351">
            <w:pPr>
              <w:pStyle w:val="6"/>
              <w:spacing w:before="65" w:line="230" w:lineRule="auto"/>
              <w:ind w:left="94" w:right="88"/>
              <w:jc w:val="both"/>
            </w:pPr>
            <w:r>
              <w:rPr>
                <w:spacing w:val="4"/>
              </w:rPr>
              <w:t>畜禽</w:t>
            </w:r>
            <w:r>
              <w:t xml:space="preserve"> </w:t>
            </w:r>
            <w:r>
              <w:rPr>
                <w:spacing w:val="-4"/>
              </w:rPr>
              <w:t>杂交</w:t>
            </w:r>
            <w:r>
              <w:t xml:space="preserve"> </w:t>
            </w:r>
            <w:r>
              <w:rPr>
                <w:spacing w:val="10"/>
              </w:rPr>
              <w:t>利用</w:t>
            </w:r>
            <w:r>
              <w:t xml:space="preserve"> </w:t>
            </w:r>
            <w:r>
              <w:rPr>
                <w:spacing w:val="-2"/>
              </w:rPr>
              <w:t>技术</w:t>
            </w:r>
          </w:p>
        </w:tc>
        <w:tc>
          <w:tcPr>
            <w:tcW w:w="2644" w:type="dxa"/>
            <w:vAlign w:val="top"/>
          </w:tcPr>
          <w:p w14:paraId="2118A885">
            <w:pPr>
              <w:pStyle w:val="6"/>
              <w:spacing w:before="175" w:line="232" w:lineRule="auto"/>
              <w:ind w:left="71" w:right="1182"/>
              <w:jc w:val="both"/>
            </w:pPr>
            <w:r>
              <w:t>1.杂交和远缘杂交</w:t>
            </w:r>
            <w:r>
              <w:rPr>
                <w:spacing w:val="6"/>
              </w:rPr>
              <w:t xml:space="preserve"> </w:t>
            </w:r>
            <w:r>
              <w:rPr>
                <w:spacing w:val="-1"/>
              </w:rPr>
              <w:t>2.杂交改良的方法</w:t>
            </w:r>
            <w:r>
              <w:t xml:space="preserve"> </w:t>
            </w:r>
            <w:r>
              <w:rPr>
                <w:spacing w:val="2"/>
              </w:rPr>
              <w:t>3.杂种优势的利用</w:t>
            </w:r>
          </w:p>
        </w:tc>
        <w:tc>
          <w:tcPr>
            <w:tcW w:w="229" w:type="dxa"/>
            <w:vAlign w:val="top"/>
          </w:tcPr>
          <w:p w14:paraId="027268EC">
            <w:pPr>
              <w:pStyle w:val="6"/>
              <w:spacing w:before="156" w:line="238" w:lineRule="auto"/>
              <w:ind w:left="47"/>
              <w:rPr>
                <w:sz w:val="13"/>
                <w:szCs w:val="13"/>
              </w:rPr>
            </w:pPr>
            <w:r>
              <w:rPr>
                <w:sz w:val="13"/>
                <w:szCs w:val="13"/>
              </w:rPr>
              <w:t>√</w:t>
            </w:r>
          </w:p>
        </w:tc>
        <w:tc>
          <w:tcPr>
            <w:tcW w:w="229" w:type="dxa"/>
            <w:vAlign w:val="top"/>
          </w:tcPr>
          <w:p w14:paraId="31504BDD">
            <w:pPr>
              <w:rPr>
                <w:rFonts w:ascii="Arial"/>
                <w:sz w:val="21"/>
              </w:rPr>
            </w:pPr>
          </w:p>
        </w:tc>
        <w:tc>
          <w:tcPr>
            <w:tcW w:w="230" w:type="dxa"/>
            <w:vAlign w:val="top"/>
          </w:tcPr>
          <w:p w14:paraId="7CDD0C73">
            <w:pPr>
              <w:spacing w:line="413" w:lineRule="auto"/>
              <w:rPr>
                <w:rFonts w:ascii="Arial"/>
                <w:sz w:val="21"/>
              </w:rPr>
            </w:pPr>
          </w:p>
          <w:p w14:paraId="27C4365F">
            <w:pPr>
              <w:spacing w:line="108" w:lineRule="exact"/>
              <w:ind w:firstLine="56"/>
            </w:pPr>
            <w:r>
              <w:rPr>
                <w:position w:val="-2"/>
              </w:rPr>
              <w:drawing>
                <wp:inline distT="0" distB="0" distL="0" distR="0">
                  <wp:extent cx="73025" cy="68580"/>
                  <wp:effectExtent l="0" t="0" r="0" b="0"/>
                  <wp:docPr id="82" name="IM 82"/>
                  <wp:cNvGraphicFramePr/>
                  <a:graphic xmlns:a="http://schemas.openxmlformats.org/drawingml/2006/main">
                    <a:graphicData uri="http://schemas.openxmlformats.org/drawingml/2006/picture">
                      <pic:pic xmlns:pic="http://schemas.openxmlformats.org/drawingml/2006/picture">
                        <pic:nvPicPr>
                          <pic:cNvPr id="82" name="IM 82"/>
                          <pic:cNvPicPr/>
                        </pic:nvPicPr>
                        <pic:blipFill>
                          <a:blip r:embed="rId206"/>
                          <a:stretch>
                            <a:fillRect/>
                          </a:stretch>
                        </pic:blipFill>
                        <pic:spPr>
                          <a:xfrm>
                            <a:off x="0" y="0"/>
                            <a:ext cx="73454" cy="68600"/>
                          </a:xfrm>
                          <a:prstGeom prst="rect">
                            <a:avLst/>
                          </a:prstGeom>
                        </pic:spPr>
                      </pic:pic>
                    </a:graphicData>
                  </a:graphic>
                </wp:inline>
              </w:drawing>
            </w:r>
          </w:p>
        </w:tc>
        <w:tc>
          <w:tcPr>
            <w:tcW w:w="244" w:type="dxa"/>
            <w:vAlign w:val="top"/>
          </w:tcPr>
          <w:p w14:paraId="51115260">
            <w:pPr>
              <w:spacing w:line="280" w:lineRule="auto"/>
              <w:rPr>
                <w:rFonts w:ascii="Arial"/>
                <w:sz w:val="21"/>
              </w:rPr>
            </w:pPr>
          </w:p>
          <w:p w14:paraId="19761953">
            <w:pPr>
              <w:spacing w:line="280" w:lineRule="auto"/>
              <w:rPr>
                <w:rFonts w:ascii="Arial"/>
                <w:sz w:val="21"/>
              </w:rPr>
            </w:pPr>
          </w:p>
          <w:p w14:paraId="3ECEB2E2">
            <w:pPr>
              <w:pStyle w:val="6"/>
              <w:spacing w:before="42" w:line="238" w:lineRule="auto"/>
              <w:ind w:left="18"/>
              <w:rPr>
                <w:sz w:val="13"/>
                <w:szCs w:val="13"/>
              </w:rPr>
            </w:pPr>
            <w:r>
              <w:rPr>
                <w:sz w:val="13"/>
                <w:szCs w:val="13"/>
              </w:rPr>
              <w:t>√</w:t>
            </w:r>
          </w:p>
        </w:tc>
      </w:tr>
    </w:tbl>
    <w:p w14:paraId="15FA296C">
      <w:pPr>
        <w:spacing w:before="120" w:line="222" w:lineRule="auto"/>
        <w:ind w:left="1467"/>
        <w:rPr>
          <w:rFonts w:ascii="黑体" w:hAnsi="黑体" w:eastAsia="黑体" w:cs="黑体"/>
          <w:sz w:val="20"/>
          <w:szCs w:val="20"/>
        </w:rPr>
      </w:pPr>
      <w:r>
        <w:rPr>
          <w:rFonts w:ascii="黑体" w:hAnsi="黑体" w:eastAsia="黑体" w:cs="黑体"/>
          <w:b/>
          <w:bCs/>
          <w:spacing w:val="-7"/>
          <w:sz w:val="20"/>
          <w:szCs w:val="20"/>
        </w:rPr>
        <w:t>三、生殖激素</w:t>
      </w:r>
    </w:p>
    <w:p w14:paraId="1746F8A7">
      <w:pPr>
        <w:spacing w:line="158" w:lineRule="exact"/>
      </w:pPr>
    </w:p>
    <w:tbl>
      <w:tblPr>
        <w:tblStyle w:val="5"/>
        <w:tblW w:w="413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54"/>
        <w:gridCol w:w="2644"/>
        <w:gridCol w:w="229"/>
        <w:gridCol w:w="229"/>
        <w:gridCol w:w="230"/>
        <w:gridCol w:w="244"/>
      </w:tblGrid>
      <w:tr w14:paraId="10E776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2" w:hRule="atLeast"/>
        </w:trPr>
        <w:tc>
          <w:tcPr>
            <w:tcW w:w="554" w:type="dxa"/>
            <w:vMerge w:val="restart"/>
            <w:tcBorders>
              <w:bottom w:val="nil"/>
            </w:tcBorders>
            <w:vAlign w:val="top"/>
          </w:tcPr>
          <w:p w14:paraId="7D86129B">
            <w:pPr>
              <w:pStyle w:val="6"/>
              <w:spacing w:before="191" w:line="220" w:lineRule="auto"/>
              <w:ind w:left="97" w:right="113"/>
            </w:pPr>
            <w:r>
              <w:rPr>
                <w:b/>
                <w:bCs/>
                <w:spacing w:val="-7"/>
              </w:rPr>
              <w:t>知识</w:t>
            </w:r>
            <w:r>
              <w:t xml:space="preserve"> </w:t>
            </w:r>
            <w:r>
              <w:rPr>
                <w:b/>
                <w:bCs/>
                <w:spacing w:val="-6"/>
              </w:rPr>
              <w:t>要点</w:t>
            </w:r>
          </w:p>
        </w:tc>
        <w:tc>
          <w:tcPr>
            <w:tcW w:w="2644" w:type="dxa"/>
            <w:vMerge w:val="restart"/>
            <w:tcBorders>
              <w:bottom w:val="nil"/>
            </w:tcBorders>
            <w:vAlign w:val="top"/>
          </w:tcPr>
          <w:p w14:paraId="21BC45BF">
            <w:pPr>
              <w:spacing w:line="242" w:lineRule="auto"/>
              <w:rPr>
                <w:rFonts w:ascii="Arial"/>
                <w:sz w:val="21"/>
              </w:rPr>
            </w:pPr>
          </w:p>
          <w:p w14:paraId="0D21AE21">
            <w:pPr>
              <w:pStyle w:val="6"/>
              <w:spacing w:before="56" w:line="219" w:lineRule="auto"/>
              <w:ind w:left="993"/>
            </w:pPr>
            <w:r>
              <w:rPr>
                <w:b/>
                <w:bCs/>
                <w:spacing w:val="5"/>
              </w:rPr>
              <w:t>考试条目</w:t>
            </w:r>
          </w:p>
        </w:tc>
        <w:tc>
          <w:tcPr>
            <w:tcW w:w="932" w:type="dxa"/>
            <w:gridSpan w:val="4"/>
            <w:vAlign w:val="top"/>
          </w:tcPr>
          <w:p w14:paraId="213F757C">
            <w:pPr>
              <w:pStyle w:val="6"/>
              <w:spacing w:before="109" w:line="219" w:lineRule="auto"/>
              <w:ind w:left="119"/>
            </w:pPr>
            <w:r>
              <w:rPr>
                <w:b/>
                <w:bCs/>
                <w:spacing w:val="-4"/>
              </w:rPr>
              <w:t>考试水平</w:t>
            </w:r>
          </w:p>
        </w:tc>
      </w:tr>
      <w:tr w14:paraId="62C336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8" w:hRule="atLeast"/>
        </w:trPr>
        <w:tc>
          <w:tcPr>
            <w:tcW w:w="554" w:type="dxa"/>
            <w:vMerge w:val="continue"/>
            <w:tcBorders>
              <w:top w:val="nil"/>
            </w:tcBorders>
            <w:vAlign w:val="top"/>
          </w:tcPr>
          <w:p w14:paraId="46BEC125">
            <w:pPr>
              <w:rPr>
                <w:rFonts w:ascii="Arial"/>
                <w:sz w:val="21"/>
              </w:rPr>
            </w:pPr>
          </w:p>
        </w:tc>
        <w:tc>
          <w:tcPr>
            <w:tcW w:w="2644" w:type="dxa"/>
            <w:vMerge w:val="continue"/>
            <w:tcBorders>
              <w:top w:val="nil"/>
            </w:tcBorders>
            <w:vAlign w:val="top"/>
          </w:tcPr>
          <w:p w14:paraId="7DE81922">
            <w:pPr>
              <w:rPr>
                <w:rFonts w:ascii="Arial"/>
                <w:sz w:val="21"/>
              </w:rPr>
            </w:pPr>
          </w:p>
        </w:tc>
        <w:tc>
          <w:tcPr>
            <w:tcW w:w="229" w:type="dxa"/>
            <w:vAlign w:val="top"/>
          </w:tcPr>
          <w:p w14:paraId="7148E1DA">
            <w:pPr>
              <w:pStyle w:val="6"/>
              <w:spacing w:before="142" w:line="184" w:lineRule="auto"/>
              <w:ind w:left="47"/>
            </w:pPr>
            <w:r>
              <w:t>A</w:t>
            </w:r>
          </w:p>
        </w:tc>
        <w:tc>
          <w:tcPr>
            <w:tcW w:w="229" w:type="dxa"/>
            <w:vAlign w:val="top"/>
          </w:tcPr>
          <w:p w14:paraId="3BEA84C7">
            <w:pPr>
              <w:pStyle w:val="6"/>
              <w:spacing w:before="144" w:line="182" w:lineRule="auto"/>
              <w:ind w:left="18"/>
            </w:pPr>
            <w:r>
              <w:t>B</w:t>
            </w:r>
          </w:p>
        </w:tc>
        <w:tc>
          <w:tcPr>
            <w:tcW w:w="230" w:type="dxa"/>
            <w:vAlign w:val="top"/>
          </w:tcPr>
          <w:p w14:paraId="7569C907">
            <w:pPr>
              <w:pStyle w:val="6"/>
              <w:spacing w:before="143" w:line="183" w:lineRule="auto"/>
              <w:ind w:left="19"/>
            </w:pPr>
            <w:r>
              <w:t>C</w:t>
            </w:r>
          </w:p>
        </w:tc>
        <w:tc>
          <w:tcPr>
            <w:tcW w:w="244" w:type="dxa"/>
            <w:vAlign w:val="top"/>
          </w:tcPr>
          <w:p w14:paraId="011789ED">
            <w:pPr>
              <w:pStyle w:val="6"/>
              <w:spacing w:before="144" w:line="182" w:lineRule="auto"/>
              <w:ind w:left="49"/>
            </w:pPr>
            <w:r>
              <w:t>D</w:t>
            </w:r>
          </w:p>
        </w:tc>
      </w:tr>
      <w:tr w14:paraId="3FE2FE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80" w:hRule="atLeast"/>
        </w:trPr>
        <w:tc>
          <w:tcPr>
            <w:tcW w:w="554" w:type="dxa"/>
            <w:vAlign w:val="top"/>
          </w:tcPr>
          <w:p w14:paraId="0E3E5E66">
            <w:pPr>
              <w:pStyle w:val="6"/>
              <w:spacing w:before="265" w:line="222" w:lineRule="auto"/>
              <w:ind w:left="94" w:right="114"/>
            </w:pPr>
            <w:r>
              <w:rPr>
                <w:spacing w:val="-4"/>
              </w:rPr>
              <w:t>生殖</w:t>
            </w:r>
            <w:r>
              <w:t xml:space="preserve"> </w:t>
            </w:r>
            <w:r>
              <w:rPr>
                <w:spacing w:val="-3"/>
              </w:rPr>
              <w:t>激素</w:t>
            </w:r>
          </w:p>
        </w:tc>
        <w:tc>
          <w:tcPr>
            <w:tcW w:w="2644" w:type="dxa"/>
            <w:vAlign w:val="top"/>
          </w:tcPr>
          <w:p w14:paraId="48EDCA2A">
            <w:pPr>
              <w:pStyle w:val="6"/>
              <w:spacing w:before="152" w:line="219" w:lineRule="auto"/>
              <w:ind w:left="71"/>
            </w:pPr>
            <w:r>
              <w:t>1.生殖激素概念</w:t>
            </w:r>
          </w:p>
          <w:p w14:paraId="2E4517F9">
            <w:pPr>
              <w:pStyle w:val="6"/>
              <w:spacing w:before="18" w:line="219" w:lineRule="auto"/>
              <w:ind w:left="71"/>
            </w:pPr>
            <w:r>
              <w:rPr>
                <w:spacing w:val="-1"/>
              </w:rPr>
              <w:t>2.生殖激素的种类</w:t>
            </w:r>
          </w:p>
          <w:p w14:paraId="4C93642C">
            <w:pPr>
              <w:pStyle w:val="6"/>
              <w:spacing w:before="18" w:line="219" w:lineRule="auto"/>
              <w:ind w:left="71"/>
            </w:pPr>
            <w:r>
              <w:rPr>
                <w:spacing w:val="1"/>
              </w:rPr>
              <w:t>3.生殖激素的作用特点</w:t>
            </w:r>
          </w:p>
        </w:tc>
        <w:tc>
          <w:tcPr>
            <w:tcW w:w="229" w:type="dxa"/>
            <w:vAlign w:val="top"/>
          </w:tcPr>
          <w:p w14:paraId="5EE11646">
            <w:pPr>
              <w:pStyle w:val="6"/>
              <w:spacing w:before="143" w:line="238" w:lineRule="auto"/>
              <w:ind w:left="17"/>
              <w:rPr>
                <w:sz w:val="13"/>
                <w:szCs w:val="13"/>
              </w:rPr>
            </w:pPr>
            <w:r>
              <w:rPr>
                <w:sz w:val="13"/>
                <w:szCs w:val="13"/>
              </w:rPr>
              <w:t>√</w:t>
            </w:r>
          </w:p>
        </w:tc>
        <w:tc>
          <w:tcPr>
            <w:tcW w:w="229" w:type="dxa"/>
            <w:vAlign w:val="top"/>
          </w:tcPr>
          <w:p w14:paraId="7F5F1B93">
            <w:pPr>
              <w:rPr>
                <w:rFonts w:ascii="Arial"/>
                <w:sz w:val="21"/>
              </w:rPr>
            </w:pPr>
          </w:p>
        </w:tc>
        <w:tc>
          <w:tcPr>
            <w:tcW w:w="230" w:type="dxa"/>
            <w:vAlign w:val="top"/>
          </w:tcPr>
          <w:p w14:paraId="1F722E17">
            <w:pPr>
              <w:rPr>
                <w:rFonts w:ascii="Arial"/>
                <w:sz w:val="21"/>
              </w:rPr>
            </w:pPr>
          </w:p>
        </w:tc>
        <w:tc>
          <w:tcPr>
            <w:tcW w:w="244" w:type="dxa"/>
            <w:vAlign w:val="top"/>
          </w:tcPr>
          <w:p w14:paraId="5D26E361">
            <w:pPr>
              <w:rPr>
                <w:rFonts w:ascii="Arial"/>
                <w:sz w:val="21"/>
              </w:rPr>
            </w:pPr>
          </w:p>
        </w:tc>
      </w:tr>
    </w:tbl>
    <w:p w14:paraId="6DF805B1">
      <w:pPr>
        <w:spacing w:before="128" w:line="221" w:lineRule="auto"/>
        <w:ind w:left="1287"/>
        <w:rPr>
          <w:rFonts w:ascii="黑体" w:hAnsi="黑体" w:eastAsia="黑体" w:cs="黑体"/>
          <w:sz w:val="20"/>
          <w:szCs w:val="20"/>
        </w:rPr>
      </w:pPr>
      <w:r>
        <w:rPr>
          <w:rFonts w:ascii="黑体" w:hAnsi="黑体" w:eastAsia="黑体" w:cs="黑体"/>
          <w:b/>
          <w:bCs/>
          <w:spacing w:val="-7"/>
          <w:sz w:val="20"/>
          <w:szCs w:val="20"/>
        </w:rPr>
        <w:t>四、家畜繁殖技术</w:t>
      </w:r>
    </w:p>
    <w:p w14:paraId="55DC83E6">
      <w:pPr>
        <w:spacing w:line="172" w:lineRule="exact"/>
      </w:pPr>
    </w:p>
    <w:tbl>
      <w:tblPr>
        <w:tblStyle w:val="5"/>
        <w:tblW w:w="413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54"/>
        <w:gridCol w:w="2644"/>
        <w:gridCol w:w="230"/>
        <w:gridCol w:w="229"/>
        <w:gridCol w:w="239"/>
        <w:gridCol w:w="234"/>
      </w:tblGrid>
      <w:tr w14:paraId="24E52F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9" w:hRule="atLeast"/>
        </w:trPr>
        <w:tc>
          <w:tcPr>
            <w:tcW w:w="554" w:type="dxa"/>
            <w:vMerge w:val="restart"/>
            <w:tcBorders>
              <w:top w:val="single" w:color="000000" w:sz="2" w:space="0"/>
              <w:bottom w:val="nil"/>
            </w:tcBorders>
            <w:vAlign w:val="top"/>
          </w:tcPr>
          <w:p w14:paraId="716443F0">
            <w:pPr>
              <w:pStyle w:val="6"/>
              <w:spacing w:before="206" w:line="219" w:lineRule="auto"/>
              <w:ind w:left="87" w:right="104"/>
              <w:rPr>
                <w:sz w:val="18"/>
                <w:szCs w:val="18"/>
              </w:rPr>
            </w:pPr>
            <w:r>
              <w:rPr>
                <w:b/>
                <w:bCs/>
                <w:spacing w:val="-8"/>
                <w:sz w:val="18"/>
                <w:szCs w:val="18"/>
              </w:rPr>
              <w:t>知识</w:t>
            </w:r>
            <w:r>
              <w:rPr>
                <w:sz w:val="18"/>
                <w:szCs w:val="18"/>
              </w:rPr>
              <w:t xml:space="preserve"> </w:t>
            </w:r>
            <w:r>
              <w:rPr>
                <w:b/>
                <w:bCs/>
                <w:spacing w:val="-6"/>
                <w:sz w:val="18"/>
                <w:szCs w:val="18"/>
              </w:rPr>
              <w:t>要点</w:t>
            </w:r>
          </w:p>
        </w:tc>
        <w:tc>
          <w:tcPr>
            <w:tcW w:w="2644" w:type="dxa"/>
            <w:vMerge w:val="restart"/>
            <w:tcBorders>
              <w:top w:val="single" w:color="000000" w:sz="2" w:space="0"/>
              <w:bottom w:val="nil"/>
            </w:tcBorders>
            <w:vAlign w:val="top"/>
          </w:tcPr>
          <w:p w14:paraId="42BA70B6">
            <w:pPr>
              <w:spacing w:line="244" w:lineRule="auto"/>
              <w:rPr>
                <w:rFonts w:ascii="Arial"/>
                <w:sz w:val="21"/>
              </w:rPr>
            </w:pPr>
          </w:p>
          <w:p w14:paraId="7986B217">
            <w:pPr>
              <w:pStyle w:val="6"/>
              <w:spacing w:before="59" w:line="219" w:lineRule="auto"/>
              <w:ind w:left="993"/>
              <w:rPr>
                <w:sz w:val="18"/>
                <w:szCs w:val="18"/>
              </w:rPr>
            </w:pPr>
            <w:r>
              <w:rPr>
                <w:b/>
                <w:bCs/>
                <w:spacing w:val="5"/>
                <w:sz w:val="18"/>
                <w:szCs w:val="18"/>
              </w:rPr>
              <w:t>考试条目</w:t>
            </w:r>
          </w:p>
        </w:tc>
        <w:tc>
          <w:tcPr>
            <w:tcW w:w="932" w:type="dxa"/>
            <w:gridSpan w:val="4"/>
            <w:tcBorders>
              <w:top w:val="single" w:color="000000" w:sz="2" w:space="0"/>
              <w:bottom w:val="single" w:color="000000" w:sz="2" w:space="0"/>
            </w:tcBorders>
            <w:vAlign w:val="top"/>
          </w:tcPr>
          <w:p w14:paraId="0CBE3960">
            <w:pPr>
              <w:pStyle w:val="6"/>
              <w:spacing w:before="104" w:line="219" w:lineRule="auto"/>
              <w:ind w:left="129"/>
              <w:rPr>
                <w:sz w:val="18"/>
                <w:szCs w:val="18"/>
              </w:rPr>
            </w:pPr>
            <w:r>
              <w:rPr>
                <w:b/>
                <w:bCs/>
                <w:spacing w:val="-4"/>
                <w:sz w:val="18"/>
                <w:szCs w:val="18"/>
              </w:rPr>
              <w:t>考试水平</w:t>
            </w:r>
          </w:p>
        </w:tc>
      </w:tr>
      <w:tr w14:paraId="4C505D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4" w:hRule="atLeast"/>
        </w:trPr>
        <w:tc>
          <w:tcPr>
            <w:tcW w:w="554" w:type="dxa"/>
            <w:vMerge w:val="continue"/>
            <w:tcBorders>
              <w:top w:val="nil"/>
              <w:bottom w:val="single" w:color="000000" w:sz="2" w:space="0"/>
            </w:tcBorders>
            <w:vAlign w:val="top"/>
          </w:tcPr>
          <w:p w14:paraId="1372E65C">
            <w:pPr>
              <w:rPr>
                <w:rFonts w:ascii="Arial"/>
                <w:sz w:val="21"/>
              </w:rPr>
            </w:pPr>
          </w:p>
        </w:tc>
        <w:tc>
          <w:tcPr>
            <w:tcW w:w="2644" w:type="dxa"/>
            <w:vMerge w:val="continue"/>
            <w:tcBorders>
              <w:top w:val="nil"/>
              <w:bottom w:val="single" w:color="000000" w:sz="2" w:space="0"/>
            </w:tcBorders>
            <w:vAlign w:val="top"/>
          </w:tcPr>
          <w:p w14:paraId="374D8BB7">
            <w:pPr>
              <w:rPr>
                <w:rFonts w:ascii="Arial"/>
                <w:sz w:val="21"/>
              </w:rPr>
            </w:pPr>
          </w:p>
        </w:tc>
        <w:tc>
          <w:tcPr>
            <w:tcW w:w="230" w:type="dxa"/>
            <w:tcBorders>
              <w:top w:val="single" w:color="000000" w:sz="2" w:space="0"/>
              <w:bottom w:val="single" w:color="000000" w:sz="2" w:space="0"/>
            </w:tcBorders>
            <w:vAlign w:val="top"/>
          </w:tcPr>
          <w:p w14:paraId="554904B3">
            <w:pPr>
              <w:pStyle w:val="6"/>
              <w:spacing w:before="148" w:line="184" w:lineRule="auto"/>
              <w:ind w:left="17"/>
              <w:rPr>
                <w:sz w:val="18"/>
                <w:szCs w:val="18"/>
              </w:rPr>
            </w:pPr>
            <w:r>
              <w:rPr>
                <w:sz w:val="18"/>
                <w:szCs w:val="18"/>
              </w:rPr>
              <w:t>A</w:t>
            </w:r>
          </w:p>
        </w:tc>
        <w:tc>
          <w:tcPr>
            <w:tcW w:w="229" w:type="dxa"/>
            <w:tcBorders>
              <w:top w:val="single" w:color="000000" w:sz="2" w:space="0"/>
              <w:bottom w:val="single" w:color="000000" w:sz="2" w:space="0"/>
            </w:tcBorders>
            <w:vAlign w:val="top"/>
          </w:tcPr>
          <w:p w14:paraId="541E441E">
            <w:pPr>
              <w:pStyle w:val="6"/>
              <w:spacing w:before="150" w:line="182" w:lineRule="auto"/>
              <w:ind w:left="37"/>
              <w:rPr>
                <w:sz w:val="18"/>
                <w:szCs w:val="18"/>
              </w:rPr>
            </w:pPr>
            <w:r>
              <w:rPr>
                <w:sz w:val="18"/>
                <w:szCs w:val="18"/>
              </w:rPr>
              <w:t>B</w:t>
            </w:r>
          </w:p>
        </w:tc>
        <w:tc>
          <w:tcPr>
            <w:tcW w:w="239" w:type="dxa"/>
            <w:tcBorders>
              <w:top w:val="single" w:color="000000" w:sz="2" w:space="0"/>
              <w:bottom w:val="single" w:color="000000" w:sz="2" w:space="0"/>
            </w:tcBorders>
            <w:vAlign w:val="top"/>
          </w:tcPr>
          <w:p w14:paraId="04EEE261">
            <w:pPr>
              <w:pStyle w:val="6"/>
              <w:spacing w:before="149" w:line="183" w:lineRule="auto"/>
              <w:ind w:left="58"/>
              <w:rPr>
                <w:sz w:val="18"/>
                <w:szCs w:val="18"/>
              </w:rPr>
            </w:pPr>
            <w:r>
              <w:rPr>
                <w:sz w:val="18"/>
                <w:szCs w:val="18"/>
              </w:rPr>
              <w:t>C</w:t>
            </w:r>
          </w:p>
        </w:tc>
        <w:tc>
          <w:tcPr>
            <w:tcW w:w="234" w:type="dxa"/>
            <w:tcBorders>
              <w:top w:val="single" w:color="000000" w:sz="2" w:space="0"/>
              <w:bottom w:val="single" w:color="000000" w:sz="2" w:space="0"/>
            </w:tcBorders>
            <w:vAlign w:val="top"/>
          </w:tcPr>
          <w:p w14:paraId="70BC7FD4">
            <w:pPr>
              <w:pStyle w:val="6"/>
              <w:spacing w:before="150" w:line="182" w:lineRule="auto"/>
              <w:ind w:right="4"/>
              <w:jc w:val="right"/>
              <w:rPr>
                <w:sz w:val="18"/>
                <w:szCs w:val="18"/>
              </w:rPr>
            </w:pPr>
            <w:r>
              <w:rPr>
                <w:sz w:val="18"/>
                <w:szCs w:val="18"/>
              </w:rPr>
              <w:t>D</w:t>
            </w:r>
          </w:p>
        </w:tc>
      </w:tr>
      <w:tr w14:paraId="03CD09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14" w:hRule="atLeast"/>
        </w:trPr>
        <w:tc>
          <w:tcPr>
            <w:tcW w:w="554" w:type="dxa"/>
            <w:tcBorders>
              <w:top w:val="single" w:color="000000" w:sz="2" w:space="0"/>
              <w:bottom w:val="single" w:color="000000" w:sz="2" w:space="0"/>
            </w:tcBorders>
            <w:vAlign w:val="top"/>
          </w:tcPr>
          <w:p w14:paraId="10A04D2A">
            <w:pPr>
              <w:spacing w:line="245" w:lineRule="auto"/>
              <w:rPr>
                <w:rFonts w:ascii="Arial"/>
                <w:sz w:val="21"/>
              </w:rPr>
            </w:pPr>
          </w:p>
          <w:p w14:paraId="73D21868">
            <w:pPr>
              <w:pStyle w:val="6"/>
              <w:spacing w:before="58" w:line="223" w:lineRule="auto"/>
              <w:ind w:left="85" w:right="87"/>
              <w:jc w:val="both"/>
              <w:rPr>
                <w:sz w:val="18"/>
                <w:szCs w:val="18"/>
              </w:rPr>
            </w:pPr>
            <w:r>
              <w:rPr>
                <w:spacing w:val="-5"/>
                <w:sz w:val="18"/>
                <w:szCs w:val="18"/>
              </w:rPr>
              <w:t>发情</w:t>
            </w:r>
            <w:r>
              <w:rPr>
                <w:sz w:val="18"/>
                <w:szCs w:val="18"/>
              </w:rPr>
              <w:t xml:space="preserve"> </w:t>
            </w:r>
            <w:r>
              <w:rPr>
                <w:spacing w:val="5"/>
                <w:sz w:val="18"/>
                <w:szCs w:val="18"/>
              </w:rPr>
              <w:t>鉴定</w:t>
            </w:r>
            <w:r>
              <w:rPr>
                <w:sz w:val="18"/>
                <w:szCs w:val="18"/>
              </w:rPr>
              <w:t xml:space="preserve"> </w:t>
            </w:r>
            <w:r>
              <w:rPr>
                <w:spacing w:val="-2"/>
                <w:sz w:val="18"/>
                <w:szCs w:val="18"/>
              </w:rPr>
              <w:t>技术</w:t>
            </w:r>
          </w:p>
        </w:tc>
        <w:tc>
          <w:tcPr>
            <w:tcW w:w="2644" w:type="dxa"/>
            <w:tcBorders>
              <w:top w:val="single" w:color="000000" w:sz="2" w:space="0"/>
              <w:bottom w:val="single" w:color="000000" w:sz="2" w:space="0"/>
            </w:tcBorders>
            <w:vAlign w:val="top"/>
          </w:tcPr>
          <w:p w14:paraId="4B54AD67">
            <w:pPr>
              <w:pStyle w:val="6"/>
              <w:spacing w:before="104" w:line="220" w:lineRule="auto"/>
              <w:ind w:left="60"/>
              <w:rPr>
                <w:sz w:val="18"/>
                <w:szCs w:val="18"/>
              </w:rPr>
            </w:pPr>
            <w:r>
              <w:rPr>
                <w:spacing w:val="1"/>
                <w:sz w:val="18"/>
                <w:szCs w:val="18"/>
              </w:rPr>
              <w:t>1.母畜的发情</w:t>
            </w:r>
          </w:p>
          <w:p w14:paraId="337A5740">
            <w:pPr>
              <w:pStyle w:val="6"/>
              <w:spacing w:before="5" w:line="222" w:lineRule="auto"/>
              <w:ind w:left="60" w:right="756"/>
              <w:jc w:val="both"/>
              <w:rPr>
                <w:sz w:val="18"/>
                <w:szCs w:val="18"/>
              </w:rPr>
            </w:pPr>
            <w:r>
              <w:rPr>
                <w:spacing w:val="1"/>
                <w:sz w:val="18"/>
                <w:szCs w:val="18"/>
              </w:rPr>
              <w:t>2.不同动物的发情特点</w:t>
            </w:r>
            <w:r>
              <w:rPr>
                <w:spacing w:val="4"/>
                <w:sz w:val="18"/>
                <w:szCs w:val="18"/>
              </w:rPr>
              <w:t xml:space="preserve"> </w:t>
            </w:r>
            <w:r>
              <w:rPr>
                <w:spacing w:val="-1"/>
                <w:sz w:val="18"/>
                <w:szCs w:val="18"/>
              </w:rPr>
              <w:t>3.外部观察法与试情法</w:t>
            </w:r>
            <w:r>
              <w:rPr>
                <w:sz w:val="18"/>
                <w:szCs w:val="18"/>
              </w:rPr>
              <w:t xml:space="preserve"> </w:t>
            </w:r>
            <w:r>
              <w:rPr>
                <w:spacing w:val="-1"/>
                <w:sz w:val="18"/>
                <w:szCs w:val="18"/>
              </w:rPr>
              <w:t>4.阴道检查法</w:t>
            </w:r>
          </w:p>
          <w:p w14:paraId="3FD80B6F">
            <w:pPr>
              <w:pStyle w:val="6"/>
              <w:spacing w:line="219" w:lineRule="auto"/>
              <w:ind w:left="60"/>
              <w:rPr>
                <w:sz w:val="18"/>
                <w:szCs w:val="18"/>
              </w:rPr>
            </w:pPr>
            <w:r>
              <w:rPr>
                <w:spacing w:val="3"/>
                <w:sz w:val="18"/>
                <w:szCs w:val="18"/>
              </w:rPr>
              <w:t>5.直肠检查法(牛)</w:t>
            </w:r>
          </w:p>
        </w:tc>
        <w:tc>
          <w:tcPr>
            <w:tcW w:w="230" w:type="dxa"/>
            <w:tcBorders>
              <w:top w:val="single" w:color="000000" w:sz="2" w:space="0"/>
              <w:bottom w:val="single" w:color="000000" w:sz="2" w:space="0"/>
            </w:tcBorders>
            <w:vAlign w:val="top"/>
          </w:tcPr>
          <w:p w14:paraId="3B0D8B7E">
            <w:pPr>
              <w:rPr>
                <w:rFonts w:ascii="Arial"/>
                <w:sz w:val="21"/>
              </w:rPr>
            </w:pPr>
          </w:p>
        </w:tc>
        <w:tc>
          <w:tcPr>
            <w:tcW w:w="229" w:type="dxa"/>
            <w:tcBorders>
              <w:top w:val="single" w:color="000000" w:sz="2" w:space="0"/>
              <w:bottom w:val="single" w:color="000000" w:sz="2" w:space="0"/>
            </w:tcBorders>
            <w:vAlign w:val="top"/>
          </w:tcPr>
          <w:p w14:paraId="0A8B14DC">
            <w:pPr>
              <w:rPr>
                <w:rFonts w:ascii="Arial"/>
                <w:sz w:val="21"/>
              </w:rPr>
            </w:pPr>
          </w:p>
        </w:tc>
        <w:tc>
          <w:tcPr>
            <w:tcW w:w="239" w:type="dxa"/>
            <w:tcBorders>
              <w:top w:val="single" w:color="000000" w:sz="2" w:space="0"/>
              <w:bottom w:val="single" w:color="000000" w:sz="2" w:space="0"/>
            </w:tcBorders>
            <w:vAlign w:val="top"/>
          </w:tcPr>
          <w:p w14:paraId="76C1B30C">
            <w:pPr>
              <w:spacing w:line="279" w:lineRule="auto"/>
              <w:rPr>
                <w:rFonts w:ascii="Arial"/>
                <w:sz w:val="21"/>
              </w:rPr>
            </w:pPr>
          </w:p>
          <w:p w14:paraId="6EC9B5F8">
            <w:pPr>
              <w:spacing w:line="279" w:lineRule="auto"/>
              <w:rPr>
                <w:rFonts w:ascii="Arial"/>
                <w:sz w:val="21"/>
              </w:rPr>
            </w:pPr>
          </w:p>
          <w:p w14:paraId="386BE583">
            <w:pPr>
              <w:spacing w:line="307" w:lineRule="exact"/>
              <w:ind w:firstLine="33"/>
            </w:pPr>
            <w:r>
              <w:rPr>
                <w:position w:val="-6"/>
              </w:rPr>
              <w:drawing>
                <wp:inline distT="0" distB="0" distL="0" distR="0">
                  <wp:extent cx="94615" cy="194945"/>
                  <wp:effectExtent l="0" t="0" r="0" b="0"/>
                  <wp:docPr id="84" name="IM 84"/>
                  <wp:cNvGraphicFramePr/>
                  <a:graphic xmlns:a="http://schemas.openxmlformats.org/drawingml/2006/main">
                    <a:graphicData uri="http://schemas.openxmlformats.org/drawingml/2006/picture">
                      <pic:pic xmlns:pic="http://schemas.openxmlformats.org/drawingml/2006/picture">
                        <pic:nvPicPr>
                          <pic:cNvPr id="84" name="IM 84"/>
                          <pic:cNvPicPr/>
                        </pic:nvPicPr>
                        <pic:blipFill>
                          <a:blip r:embed="rId207"/>
                          <a:stretch>
                            <a:fillRect/>
                          </a:stretch>
                        </pic:blipFill>
                        <pic:spPr>
                          <a:xfrm>
                            <a:off x="0" y="0"/>
                            <a:ext cx="95241" cy="195023"/>
                          </a:xfrm>
                          <a:prstGeom prst="rect">
                            <a:avLst/>
                          </a:prstGeom>
                        </pic:spPr>
                      </pic:pic>
                    </a:graphicData>
                  </a:graphic>
                </wp:inline>
              </w:drawing>
            </w:r>
          </w:p>
        </w:tc>
        <w:tc>
          <w:tcPr>
            <w:tcW w:w="234" w:type="dxa"/>
            <w:tcBorders>
              <w:top w:val="single" w:color="000000" w:sz="2" w:space="0"/>
              <w:bottom w:val="single" w:color="000000" w:sz="2" w:space="0"/>
            </w:tcBorders>
            <w:vAlign w:val="top"/>
          </w:tcPr>
          <w:p w14:paraId="5F57E705">
            <w:pPr>
              <w:rPr>
                <w:rFonts w:ascii="Arial"/>
                <w:sz w:val="21"/>
              </w:rPr>
            </w:pPr>
          </w:p>
        </w:tc>
      </w:tr>
      <w:tr w14:paraId="65EEA1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74" w:hRule="atLeast"/>
        </w:trPr>
        <w:tc>
          <w:tcPr>
            <w:tcW w:w="554" w:type="dxa"/>
            <w:tcBorders>
              <w:top w:val="single" w:color="000000" w:sz="2" w:space="0"/>
              <w:bottom w:val="single" w:color="000000" w:sz="2" w:space="0"/>
            </w:tcBorders>
            <w:vAlign w:val="top"/>
          </w:tcPr>
          <w:p w14:paraId="410E62D5">
            <w:pPr>
              <w:pStyle w:val="6"/>
              <w:spacing w:before="177" w:line="221" w:lineRule="auto"/>
              <w:ind w:left="85"/>
              <w:rPr>
                <w:sz w:val="18"/>
                <w:szCs w:val="18"/>
              </w:rPr>
            </w:pPr>
            <w:r>
              <w:rPr>
                <w:spacing w:val="8"/>
                <w:sz w:val="18"/>
                <w:szCs w:val="18"/>
              </w:rPr>
              <w:t>公畜</w:t>
            </w:r>
          </w:p>
          <w:p w14:paraId="62817D60">
            <w:pPr>
              <w:pStyle w:val="6"/>
              <w:spacing w:before="15" w:line="222" w:lineRule="auto"/>
              <w:ind w:left="85"/>
              <w:rPr>
                <w:sz w:val="18"/>
                <w:szCs w:val="18"/>
              </w:rPr>
            </w:pPr>
            <w:r>
              <w:rPr>
                <w:spacing w:val="4"/>
                <w:sz w:val="18"/>
                <w:szCs w:val="18"/>
              </w:rPr>
              <w:t>的生</w:t>
            </w:r>
          </w:p>
          <w:p w14:paraId="79AA63F2">
            <w:pPr>
              <w:pStyle w:val="6"/>
              <w:spacing w:before="3" w:line="222" w:lineRule="auto"/>
              <w:ind w:left="85"/>
              <w:rPr>
                <w:sz w:val="18"/>
                <w:szCs w:val="18"/>
              </w:rPr>
            </w:pPr>
            <w:r>
              <w:rPr>
                <w:spacing w:val="-2"/>
                <w:sz w:val="18"/>
                <w:szCs w:val="18"/>
              </w:rPr>
              <w:t>殖生</w:t>
            </w:r>
          </w:p>
          <w:p w14:paraId="3F85DDDA">
            <w:pPr>
              <w:pStyle w:val="6"/>
              <w:spacing w:line="229" w:lineRule="auto"/>
              <w:ind w:left="175"/>
              <w:rPr>
                <w:sz w:val="18"/>
                <w:szCs w:val="18"/>
              </w:rPr>
            </w:pPr>
            <w:r>
              <w:rPr>
                <w:sz w:val="18"/>
                <w:szCs w:val="18"/>
              </w:rPr>
              <w:t>理</w:t>
            </w:r>
          </w:p>
        </w:tc>
        <w:tc>
          <w:tcPr>
            <w:tcW w:w="2644" w:type="dxa"/>
            <w:tcBorders>
              <w:top w:val="single" w:color="000000" w:sz="2" w:space="0"/>
              <w:bottom w:val="single" w:color="000000" w:sz="2" w:space="0"/>
            </w:tcBorders>
            <w:vAlign w:val="top"/>
          </w:tcPr>
          <w:p w14:paraId="1D08DCC7">
            <w:pPr>
              <w:pStyle w:val="6"/>
              <w:spacing w:before="75" w:line="225" w:lineRule="auto"/>
              <w:ind w:left="60" w:right="225"/>
              <w:rPr>
                <w:sz w:val="18"/>
                <w:szCs w:val="18"/>
              </w:rPr>
            </w:pPr>
            <w:r>
              <w:rPr>
                <w:sz w:val="18"/>
                <w:szCs w:val="18"/>
              </w:rPr>
              <w:t>1.公畜的初情期、性成熟和适</w:t>
            </w:r>
            <w:r>
              <w:rPr>
                <w:spacing w:val="6"/>
                <w:sz w:val="18"/>
                <w:szCs w:val="18"/>
              </w:rPr>
              <w:t xml:space="preserve"> </w:t>
            </w:r>
            <w:r>
              <w:rPr>
                <w:spacing w:val="-2"/>
                <w:sz w:val="18"/>
                <w:szCs w:val="18"/>
              </w:rPr>
              <w:t>配年龄</w:t>
            </w:r>
          </w:p>
          <w:p w14:paraId="37A7EF38">
            <w:pPr>
              <w:pStyle w:val="6"/>
              <w:spacing w:line="218" w:lineRule="auto"/>
              <w:ind w:left="60"/>
              <w:rPr>
                <w:sz w:val="18"/>
                <w:szCs w:val="18"/>
              </w:rPr>
            </w:pPr>
            <w:r>
              <w:rPr>
                <w:spacing w:val="-1"/>
                <w:sz w:val="18"/>
                <w:szCs w:val="18"/>
              </w:rPr>
              <w:t>2.精液的组成及生理特性</w:t>
            </w:r>
          </w:p>
          <w:p w14:paraId="77F9F19B">
            <w:pPr>
              <w:pStyle w:val="6"/>
              <w:spacing w:before="6" w:line="219" w:lineRule="auto"/>
              <w:ind w:left="60"/>
              <w:rPr>
                <w:sz w:val="18"/>
                <w:szCs w:val="18"/>
              </w:rPr>
            </w:pPr>
            <w:r>
              <w:rPr>
                <w:spacing w:val="-1"/>
                <w:sz w:val="18"/>
                <w:szCs w:val="18"/>
              </w:rPr>
              <w:t>3.精子的形态及生理特性</w:t>
            </w:r>
          </w:p>
          <w:p w14:paraId="6AED2198">
            <w:pPr>
              <w:pStyle w:val="6"/>
              <w:spacing w:before="17" w:line="205" w:lineRule="auto"/>
              <w:ind w:left="60"/>
              <w:rPr>
                <w:sz w:val="18"/>
                <w:szCs w:val="18"/>
              </w:rPr>
            </w:pPr>
            <w:r>
              <w:rPr>
                <w:spacing w:val="-1"/>
                <w:sz w:val="18"/>
                <w:szCs w:val="18"/>
              </w:rPr>
              <w:t>4.影响精子存活的外界因素</w:t>
            </w:r>
          </w:p>
        </w:tc>
        <w:tc>
          <w:tcPr>
            <w:tcW w:w="230" w:type="dxa"/>
            <w:tcBorders>
              <w:top w:val="single" w:color="000000" w:sz="2" w:space="0"/>
              <w:bottom w:val="single" w:color="000000" w:sz="2" w:space="0"/>
            </w:tcBorders>
            <w:vAlign w:val="top"/>
          </w:tcPr>
          <w:p w14:paraId="7E0BB663">
            <w:pPr>
              <w:rPr>
                <w:rFonts w:ascii="Arial"/>
                <w:sz w:val="21"/>
              </w:rPr>
            </w:pPr>
          </w:p>
        </w:tc>
        <w:tc>
          <w:tcPr>
            <w:tcW w:w="229" w:type="dxa"/>
            <w:tcBorders>
              <w:top w:val="single" w:color="000000" w:sz="2" w:space="0"/>
              <w:bottom w:val="single" w:color="000000" w:sz="2" w:space="0"/>
            </w:tcBorders>
            <w:vAlign w:val="top"/>
          </w:tcPr>
          <w:p w14:paraId="396E5D25">
            <w:pPr>
              <w:rPr>
                <w:rFonts w:ascii="Arial"/>
                <w:sz w:val="21"/>
              </w:rPr>
            </w:pPr>
          </w:p>
        </w:tc>
        <w:tc>
          <w:tcPr>
            <w:tcW w:w="239" w:type="dxa"/>
            <w:tcBorders>
              <w:top w:val="single" w:color="000000" w:sz="2" w:space="0"/>
              <w:bottom w:val="single" w:color="000000" w:sz="2" w:space="0"/>
            </w:tcBorders>
            <w:vAlign w:val="top"/>
          </w:tcPr>
          <w:p w14:paraId="18DF3D1B">
            <w:pPr>
              <w:rPr>
                <w:rFonts w:ascii="Arial"/>
                <w:sz w:val="21"/>
              </w:rPr>
            </w:pPr>
          </w:p>
        </w:tc>
        <w:tc>
          <w:tcPr>
            <w:tcW w:w="234" w:type="dxa"/>
            <w:tcBorders>
              <w:top w:val="single" w:color="000000" w:sz="2" w:space="0"/>
              <w:bottom w:val="single" w:color="000000" w:sz="2" w:space="0"/>
            </w:tcBorders>
            <w:vAlign w:val="top"/>
          </w:tcPr>
          <w:p w14:paraId="519A3291">
            <w:pPr>
              <w:rPr>
                <w:rFonts w:ascii="Arial"/>
                <w:sz w:val="21"/>
              </w:rPr>
            </w:pPr>
          </w:p>
        </w:tc>
      </w:tr>
      <w:tr w14:paraId="47B8AC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44" w:hRule="atLeast"/>
        </w:trPr>
        <w:tc>
          <w:tcPr>
            <w:tcW w:w="554" w:type="dxa"/>
            <w:tcBorders>
              <w:top w:val="single" w:color="000000" w:sz="2" w:space="0"/>
              <w:bottom w:val="single" w:color="000000" w:sz="2" w:space="0"/>
            </w:tcBorders>
            <w:vAlign w:val="top"/>
          </w:tcPr>
          <w:p w14:paraId="450B046E">
            <w:pPr>
              <w:spacing w:line="323" w:lineRule="auto"/>
              <w:rPr>
                <w:rFonts w:ascii="Arial"/>
                <w:sz w:val="21"/>
              </w:rPr>
            </w:pPr>
          </w:p>
          <w:p w14:paraId="5195A35F">
            <w:pPr>
              <w:pStyle w:val="6"/>
              <w:spacing w:before="59" w:line="219" w:lineRule="auto"/>
              <w:ind w:left="85"/>
              <w:rPr>
                <w:sz w:val="18"/>
                <w:szCs w:val="18"/>
              </w:rPr>
            </w:pPr>
            <w:r>
              <w:rPr>
                <w:spacing w:val="-2"/>
                <w:sz w:val="18"/>
                <w:szCs w:val="18"/>
              </w:rPr>
              <w:t>采精</w:t>
            </w:r>
          </w:p>
        </w:tc>
        <w:tc>
          <w:tcPr>
            <w:tcW w:w="2644" w:type="dxa"/>
            <w:tcBorders>
              <w:top w:val="single" w:color="000000" w:sz="2" w:space="0"/>
              <w:bottom w:val="single" w:color="000000" w:sz="2" w:space="0"/>
            </w:tcBorders>
            <w:vAlign w:val="top"/>
          </w:tcPr>
          <w:p w14:paraId="74430B85">
            <w:pPr>
              <w:pStyle w:val="6"/>
              <w:spacing w:before="73" w:line="221" w:lineRule="auto"/>
              <w:ind w:left="60" w:right="766"/>
              <w:rPr>
                <w:sz w:val="18"/>
                <w:szCs w:val="18"/>
              </w:rPr>
            </w:pPr>
            <w:r>
              <w:rPr>
                <w:sz w:val="18"/>
                <w:szCs w:val="18"/>
              </w:rPr>
              <w:t>1.不同家畜的采精方法</w:t>
            </w:r>
            <w:r>
              <w:rPr>
                <w:spacing w:val="5"/>
                <w:sz w:val="18"/>
                <w:szCs w:val="18"/>
              </w:rPr>
              <w:t xml:space="preserve"> </w:t>
            </w:r>
            <w:r>
              <w:rPr>
                <w:spacing w:val="1"/>
                <w:sz w:val="18"/>
                <w:szCs w:val="18"/>
              </w:rPr>
              <w:t>2.采精操作</w:t>
            </w:r>
          </w:p>
          <w:p w14:paraId="67112992">
            <w:pPr>
              <w:pStyle w:val="6"/>
              <w:spacing w:line="218" w:lineRule="auto"/>
              <w:ind w:left="60"/>
              <w:rPr>
                <w:sz w:val="18"/>
                <w:szCs w:val="18"/>
              </w:rPr>
            </w:pPr>
            <w:r>
              <w:rPr>
                <w:spacing w:val="-2"/>
                <w:sz w:val="18"/>
                <w:szCs w:val="18"/>
              </w:rPr>
              <w:t>3.采精频率</w:t>
            </w:r>
          </w:p>
          <w:p w14:paraId="20B0583A">
            <w:pPr>
              <w:pStyle w:val="6"/>
              <w:spacing w:before="6" w:line="215" w:lineRule="auto"/>
              <w:ind w:left="60"/>
              <w:rPr>
                <w:sz w:val="18"/>
                <w:szCs w:val="18"/>
              </w:rPr>
            </w:pPr>
            <w:r>
              <w:rPr>
                <w:spacing w:val="-1"/>
                <w:sz w:val="18"/>
                <w:szCs w:val="18"/>
              </w:rPr>
              <w:t>4.采精的注意事项</w:t>
            </w:r>
          </w:p>
        </w:tc>
        <w:tc>
          <w:tcPr>
            <w:tcW w:w="230" w:type="dxa"/>
            <w:tcBorders>
              <w:top w:val="single" w:color="000000" w:sz="2" w:space="0"/>
              <w:bottom w:val="single" w:color="000000" w:sz="2" w:space="0"/>
            </w:tcBorders>
            <w:vAlign w:val="top"/>
          </w:tcPr>
          <w:p w14:paraId="6C0FC0B2">
            <w:pPr>
              <w:rPr>
                <w:rFonts w:ascii="Arial"/>
                <w:sz w:val="21"/>
              </w:rPr>
            </w:pPr>
          </w:p>
        </w:tc>
        <w:tc>
          <w:tcPr>
            <w:tcW w:w="229" w:type="dxa"/>
            <w:tcBorders>
              <w:top w:val="single" w:color="000000" w:sz="2" w:space="0"/>
              <w:bottom w:val="single" w:color="000000" w:sz="2" w:space="0"/>
            </w:tcBorders>
            <w:vAlign w:val="top"/>
          </w:tcPr>
          <w:p w14:paraId="4C775ECB">
            <w:pPr>
              <w:rPr>
                <w:rFonts w:ascii="Arial"/>
                <w:sz w:val="21"/>
              </w:rPr>
            </w:pPr>
          </w:p>
        </w:tc>
        <w:tc>
          <w:tcPr>
            <w:tcW w:w="239" w:type="dxa"/>
            <w:tcBorders>
              <w:top w:val="single" w:color="000000" w:sz="2" w:space="0"/>
              <w:bottom w:val="single" w:color="000000" w:sz="2" w:space="0"/>
            </w:tcBorders>
            <w:vAlign w:val="top"/>
          </w:tcPr>
          <w:p w14:paraId="73A4A8D5">
            <w:pPr>
              <w:rPr>
                <w:rFonts w:ascii="Arial"/>
                <w:sz w:val="21"/>
              </w:rPr>
            </w:pPr>
          </w:p>
        </w:tc>
        <w:tc>
          <w:tcPr>
            <w:tcW w:w="234" w:type="dxa"/>
            <w:tcBorders>
              <w:top w:val="single" w:color="000000" w:sz="2" w:space="0"/>
              <w:bottom w:val="single" w:color="000000" w:sz="2" w:space="0"/>
            </w:tcBorders>
            <w:vAlign w:val="top"/>
          </w:tcPr>
          <w:p w14:paraId="0C1F6D3A">
            <w:pPr>
              <w:rPr>
                <w:rFonts w:ascii="Arial"/>
                <w:sz w:val="21"/>
              </w:rPr>
            </w:pPr>
          </w:p>
        </w:tc>
      </w:tr>
      <w:tr w14:paraId="618C60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4" w:hRule="atLeast"/>
        </w:trPr>
        <w:tc>
          <w:tcPr>
            <w:tcW w:w="554" w:type="dxa"/>
            <w:tcBorders>
              <w:top w:val="single" w:color="000000" w:sz="2" w:space="0"/>
              <w:bottom w:val="single" w:color="000000" w:sz="2" w:space="0"/>
            </w:tcBorders>
            <w:vAlign w:val="top"/>
          </w:tcPr>
          <w:p w14:paraId="17ADFC16">
            <w:pPr>
              <w:pStyle w:val="6"/>
              <w:spacing w:before="96" w:line="218" w:lineRule="auto"/>
              <w:ind w:left="85" w:right="78"/>
              <w:jc w:val="both"/>
              <w:rPr>
                <w:sz w:val="18"/>
                <w:szCs w:val="18"/>
              </w:rPr>
            </w:pPr>
            <w:r>
              <w:rPr>
                <w:spacing w:val="-4"/>
                <w:sz w:val="18"/>
                <w:szCs w:val="18"/>
              </w:rPr>
              <w:t>精液</w:t>
            </w:r>
            <w:r>
              <w:rPr>
                <w:sz w:val="18"/>
                <w:szCs w:val="18"/>
              </w:rPr>
              <w:t xml:space="preserve"> </w:t>
            </w:r>
            <w:r>
              <w:rPr>
                <w:spacing w:val="10"/>
                <w:sz w:val="18"/>
                <w:szCs w:val="18"/>
              </w:rPr>
              <w:t>品质</w:t>
            </w:r>
            <w:r>
              <w:rPr>
                <w:sz w:val="18"/>
                <w:szCs w:val="18"/>
              </w:rPr>
              <w:t xml:space="preserve"> </w:t>
            </w:r>
            <w:r>
              <w:rPr>
                <w:spacing w:val="-2"/>
                <w:sz w:val="18"/>
                <w:szCs w:val="18"/>
              </w:rPr>
              <w:t>检查</w:t>
            </w:r>
          </w:p>
        </w:tc>
        <w:tc>
          <w:tcPr>
            <w:tcW w:w="2644" w:type="dxa"/>
            <w:tcBorders>
              <w:top w:val="single" w:color="000000" w:sz="2" w:space="0"/>
              <w:bottom w:val="single" w:color="000000" w:sz="2" w:space="0"/>
            </w:tcBorders>
            <w:vAlign w:val="top"/>
          </w:tcPr>
          <w:p w14:paraId="7397CB31">
            <w:pPr>
              <w:pStyle w:val="6"/>
              <w:spacing w:before="87" w:line="221" w:lineRule="auto"/>
              <w:ind w:left="60" w:right="1502"/>
              <w:rPr>
                <w:sz w:val="18"/>
                <w:szCs w:val="18"/>
              </w:rPr>
            </w:pPr>
            <w:r>
              <w:rPr>
                <w:spacing w:val="1"/>
                <w:sz w:val="18"/>
                <w:szCs w:val="18"/>
              </w:rPr>
              <w:t>1.直观检查</w:t>
            </w:r>
            <w:r>
              <w:rPr>
                <w:sz w:val="18"/>
                <w:szCs w:val="18"/>
              </w:rPr>
              <w:t xml:space="preserve">   </w:t>
            </w:r>
            <w:r>
              <w:rPr>
                <w:spacing w:val="-2"/>
                <w:sz w:val="18"/>
                <w:szCs w:val="18"/>
              </w:rPr>
              <w:t>2.显微镜检查</w:t>
            </w:r>
            <w:r>
              <w:rPr>
                <w:spacing w:val="3"/>
                <w:sz w:val="18"/>
                <w:szCs w:val="18"/>
              </w:rPr>
              <w:t xml:space="preserve"> </w:t>
            </w:r>
            <w:r>
              <w:rPr>
                <w:spacing w:val="-2"/>
                <w:sz w:val="18"/>
                <w:szCs w:val="18"/>
              </w:rPr>
              <w:t>3.其他检查</w:t>
            </w:r>
          </w:p>
        </w:tc>
        <w:tc>
          <w:tcPr>
            <w:tcW w:w="230" w:type="dxa"/>
            <w:tcBorders>
              <w:top w:val="single" w:color="000000" w:sz="2" w:space="0"/>
              <w:bottom w:val="single" w:color="000000" w:sz="2" w:space="0"/>
            </w:tcBorders>
            <w:vAlign w:val="top"/>
          </w:tcPr>
          <w:p w14:paraId="09DBD58A">
            <w:pPr>
              <w:rPr>
                <w:rFonts w:ascii="Arial"/>
                <w:sz w:val="21"/>
              </w:rPr>
            </w:pPr>
          </w:p>
        </w:tc>
        <w:tc>
          <w:tcPr>
            <w:tcW w:w="229" w:type="dxa"/>
            <w:tcBorders>
              <w:top w:val="single" w:color="000000" w:sz="2" w:space="0"/>
              <w:bottom w:val="single" w:color="000000" w:sz="2" w:space="0"/>
            </w:tcBorders>
            <w:vAlign w:val="top"/>
          </w:tcPr>
          <w:p w14:paraId="27E83996">
            <w:pPr>
              <w:spacing w:line="433" w:lineRule="auto"/>
              <w:rPr>
                <w:rFonts w:ascii="Arial"/>
                <w:sz w:val="21"/>
              </w:rPr>
            </w:pPr>
          </w:p>
          <w:p w14:paraId="3692806A">
            <w:pPr>
              <w:pStyle w:val="6"/>
              <w:spacing w:before="58" w:line="238" w:lineRule="auto"/>
              <w:ind w:left="17"/>
              <w:rPr>
                <w:sz w:val="18"/>
                <w:szCs w:val="18"/>
              </w:rPr>
            </w:pPr>
            <w:r>
              <w:rPr>
                <w:sz w:val="18"/>
                <w:szCs w:val="18"/>
              </w:rPr>
              <w:t>√</w:t>
            </w:r>
          </w:p>
        </w:tc>
        <w:tc>
          <w:tcPr>
            <w:tcW w:w="239" w:type="dxa"/>
            <w:tcBorders>
              <w:top w:val="single" w:color="000000" w:sz="2" w:space="0"/>
              <w:bottom w:val="single" w:color="000000" w:sz="2" w:space="0"/>
            </w:tcBorders>
            <w:vAlign w:val="top"/>
          </w:tcPr>
          <w:p w14:paraId="073E6E32">
            <w:pPr>
              <w:rPr>
                <w:rFonts w:ascii="Arial"/>
                <w:sz w:val="21"/>
              </w:rPr>
            </w:pPr>
          </w:p>
        </w:tc>
        <w:tc>
          <w:tcPr>
            <w:tcW w:w="234" w:type="dxa"/>
            <w:tcBorders>
              <w:top w:val="single" w:color="000000" w:sz="2" w:space="0"/>
              <w:bottom w:val="single" w:color="000000" w:sz="2" w:space="0"/>
            </w:tcBorders>
            <w:vAlign w:val="top"/>
          </w:tcPr>
          <w:p w14:paraId="00BECAA3">
            <w:pPr>
              <w:rPr>
                <w:rFonts w:ascii="Arial"/>
                <w:sz w:val="21"/>
              </w:rPr>
            </w:pPr>
          </w:p>
        </w:tc>
      </w:tr>
      <w:tr w14:paraId="1EF527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09" w:hRule="atLeast"/>
        </w:trPr>
        <w:tc>
          <w:tcPr>
            <w:tcW w:w="554" w:type="dxa"/>
            <w:tcBorders>
              <w:top w:val="single" w:color="000000" w:sz="2" w:space="0"/>
              <w:bottom w:val="single" w:color="000000" w:sz="2" w:space="0"/>
            </w:tcBorders>
            <w:vAlign w:val="top"/>
          </w:tcPr>
          <w:p w14:paraId="32315D29">
            <w:pPr>
              <w:pStyle w:val="6"/>
              <w:spacing w:before="116" w:line="219" w:lineRule="auto"/>
              <w:ind w:left="85"/>
              <w:rPr>
                <w:sz w:val="18"/>
                <w:szCs w:val="18"/>
              </w:rPr>
            </w:pPr>
            <w:r>
              <w:rPr>
                <w:spacing w:val="-2"/>
                <w:sz w:val="18"/>
                <w:szCs w:val="18"/>
              </w:rPr>
              <w:t>精液</w:t>
            </w:r>
          </w:p>
          <w:p w14:paraId="76CF4B8A">
            <w:pPr>
              <w:pStyle w:val="6"/>
              <w:spacing w:before="7" w:line="215" w:lineRule="auto"/>
              <w:ind w:left="85"/>
              <w:rPr>
                <w:sz w:val="18"/>
                <w:szCs w:val="18"/>
              </w:rPr>
            </w:pPr>
            <w:r>
              <w:rPr>
                <w:spacing w:val="3"/>
                <w:sz w:val="18"/>
                <w:szCs w:val="18"/>
              </w:rPr>
              <w:t>的稀</w:t>
            </w:r>
          </w:p>
          <w:p w14:paraId="4B9D35B4">
            <w:pPr>
              <w:pStyle w:val="6"/>
              <w:spacing w:line="219" w:lineRule="auto"/>
              <w:ind w:left="175"/>
              <w:rPr>
                <w:sz w:val="18"/>
                <w:szCs w:val="18"/>
              </w:rPr>
            </w:pPr>
            <w:r>
              <w:rPr>
                <w:sz w:val="18"/>
                <w:szCs w:val="18"/>
              </w:rPr>
              <w:t>释</w:t>
            </w:r>
          </w:p>
        </w:tc>
        <w:tc>
          <w:tcPr>
            <w:tcW w:w="2644" w:type="dxa"/>
            <w:tcBorders>
              <w:top w:val="single" w:color="000000" w:sz="2" w:space="0"/>
              <w:bottom w:val="single" w:color="000000" w:sz="2" w:space="0"/>
            </w:tcBorders>
            <w:vAlign w:val="top"/>
          </w:tcPr>
          <w:p w14:paraId="35AA91C1">
            <w:pPr>
              <w:pStyle w:val="6"/>
              <w:spacing w:before="137" w:line="222" w:lineRule="auto"/>
              <w:ind w:left="60" w:right="751"/>
              <w:rPr>
                <w:sz w:val="18"/>
                <w:szCs w:val="18"/>
              </w:rPr>
            </w:pPr>
            <w:r>
              <w:rPr>
                <w:spacing w:val="1"/>
                <w:sz w:val="18"/>
                <w:szCs w:val="18"/>
              </w:rPr>
              <w:t>1.稀释液的成分及作用</w:t>
            </w:r>
            <w:r>
              <w:rPr>
                <w:spacing w:val="9"/>
                <w:sz w:val="18"/>
                <w:szCs w:val="18"/>
              </w:rPr>
              <w:t xml:space="preserve"> </w:t>
            </w:r>
            <w:r>
              <w:rPr>
                <w:spacing w:val="1"/>
                <w:sz w:val="18"/>
                <w:szCs w:val="18"/>
              </w:rPr>
              <w:t>2.稀释液的配制</w:t>
            </w:r>
          </w:p>
          <w:p w14:paraId="0660B2DC">
            <w:pPr>
              <w:pStyle w:val="6"/>
              <w:spacing w:before="6" w:line="219" w:lineRule="auto"/>
              <w:ind w:left="60"/>
              <w:rPr>
                <w:sz w:val="18"/>
                <w:szCs w:val="18"/>
              </w:rPr>
            </w:pPr>
            <w:r>
              <w:rPr>
                <w:spacing w:val="-1"/>
                <w:sz w:val="18"/>
                <w:szCs w:val="18"/>
              </w:rPr>
              <w:t>3.稀释的倍数和稀释方法</w:t>
            </w:r>
          </w:p>
        </w:tc>
        <w:tc>
          <w:tcPr>
            <w:tcW w:w="230" w:type="dxa"/>
            <w:tcBorders>
              <w:top w:val="single" w:color="000000" w:sz="2" w:space="0"/>
              <w:bottom w:val="single" w:color="000000" w:sz="2" w:space="0"/>
            </w:tcBorders>
            <w:vAlign w:val="top"/>
          </w:tcPr>
          <w:p w14:paraId="424A04E1">
            <w:pPr>
              <w:rPr>
                <w:rFonts w:ascii="Arial"/>
                <w:sz w:val="21"/>
              </w:rPr>
            </w:pPr>
          </w:p>
        </w:tc>
        <w:tc>
          <w:tcPr>
            <w:tcW w:w="229" w:type="dxa"/>
            <w:tcBorders>
              <w:top w:val="single" w:color="000000" w:sz="2" w:space="0"/>
              <w:bottom w:val="single" w:color="000000" w:sz="2" w:space="0"/>
            </w:tcBorders>
            <w:vAlign w:val="top"/>
          </w:tcPr>
          <w:p w14:paraId="3C10E183">
            <w:pPr>
              <w:rPr>
                <w:rFonts w:ascii="Arial"/>
                <w:sz w:val="21"/>
              </w:rPr>
            </w:pPr>
          </w:p>
        </w:tc>
        <w:tc>
          <w:tcPr>
            <w:tcW w:w="239" w:type="dxa"/>
            <w:tcBorders>
              <w:top w:val="single" w:color="000000" w:sz="2" w:space="0"/>
              <w:bottom w:val="single" w:color="000000" w:sz="2" w:space="0"/>
            </w:tcBorders>
            <w:vAlign w:val="top"/>
          </w:tcPr>
          <w:p w14:paraId="723BB6D6">
            <w:pPr>
              <w:spacing w:line="359" w:lineRule="auto"/>
              <w:rPr>
                <w:rFonts w:ascii="Arial"/>
                <w:sz w:val="21"/>
              </w:rPr>
            </w:pPr>
          </w:p>
          <w:p w14:paraId="13271AEF">
            <w:pPr>
              <w:spacing w:line="105" w:lineRule="exact"/>
              <w:ind w:firstLine="55"/>
            </w:pPr>
            <w:r>
              <w:rPr>
                <w:position w:val="-2"/>
              </w:rPr>
              <w:drawing>
                <wp:inline distT="0" distB="0" distL="0" distR="0">
                  <wp:extent cx="73025" cy="66040"/>
                  <wp:effectExtent l="0" t="0" r="0" b="0"/>
                  <wp:docPr id="86" name="IM 86"/>
                  <wp:cNvGraphicFramePr/>
                  <a:graphic xmlns:a="http://schemas.openxmlformats.org/drawingml/2006/main">
                    <a:graphicData uri="http://schemas.openxmlformats.org/drawingml/2006/picture">
                      <pic:pic xmlns:pic="http://schemas.openxmlformats.org/drawingml/2006/picture">
                        <pic:nvPicPr>
                          <pic:cNvPr id="86" name="IM 86"/>
                          <pic:cNvPicPr/>
                        </pic:nvPicPr>
                        <pic:blipFill>
                          <a:blip r:embed="rId208"/>
                          <a:stretch>
                            <a:fillRect/>
                          </a:stretch>
                        </pic:blipFill>
                        <pic:spPr>
                          <a:xfrm>
                            <a:off x="0" y="0"/>
                            <a:ext cx="73454" cy="66667"/>
                          </a:xfrm>
                          <a:prstGeom prst="rect">
                            <a:avLst/>
                          </a:prstGeom>
                        </pic:spPr>
                      </pic:pic>
                    </a:graphicData>
                  </a:graphic>
                </wp:inline>
              </w:drawing>
            </w:r>
          </w:p>
        </w:tc>
        <w:tc>
          <w:tcPr>
            <w:tcW w:w="234" w:type="dxa"/>
            <w:tcBorders>
              <w:top w:val="single" w:color="000000" w:sz="2" w:space="0"/>
              <w:bottom w:val="single" w:color="000000" w:sz="2" w:space="0"/>
            </w:tcBorders>
            <w:vAlign w:val="top"/>
          </w:tcPr>
          <w:p w14:paraId="2760C93A">
            <w:pPr>
              <w:spacing w:line="255" w:lineRule="auto"/>
              <w:rPr>
                <w:rFonts w:ascii="Arial"/>
                <w:sz w:val="21"/>
              </w:rPr>
            </w:pPr>
          </w:p>
          <w:p w14:paraId="207E75C3">
            <w:pPr>
              <w:spacing w:line="255" w:lineRule="auto"/>
              <w:rPr>
                <w:rFonts w:ascii="Arial"/>
                <w:sz w:val="21"/>
              </w:rPr>
            </w:pPr>
          </w:p>
          <w:p w14:paraId="7F5109EA">
            <w:pPr>
              <w:pStyle w:val="6"/>
              <w:spacing w:before="46" w:line="238" w:lineRule="auto"/>
              <w:ind w:left="19"/>
              <w:rPr>
                <w:sz w:val="14"/>
                <w:szCs w:val="14"/>
              </w:rPr>
            </w:pPr>
            <w:r>
              <w:rPr>
                <w:sz w:val="14"/>
                <w:szCs w:val="14"/>
              </w:rPr>
              <w:t>√</w:t>
            </w:r>
          </w:p>
        </w:tc>
      </w:tr>
    </w:tbl>
    <w:p w14:paraId="6DF8D8E2">
      <w:pPr>
        <w:pStyle w:val="2"/>
        <w:spacing w:line="14" w:lineRule="auto"/>
        <w:rPr>
          <w:sz w:val="2"/>
        </w:rPr>
      </w:pPr>
    </w:p>
    <w:p w14:paraId="6BA6B5D3">
      <w:pPr>
        <w:spacing w:line="14" w:lineRule="auto"/>
        <w:rPr>
          <w:sz w:val="2"/>
          <w:szCs w:val="2"/>
        </w:rPr>
        <w:sectPr>
          <w:type w:val="continuous"/>
          <w:pgSz w:w="10660" w:h="15080"/>
          <w:pgMar w:top="400" w:right="871" w:bottom="917" w:left="1034" w:header="0" w:footer="709" w:gutter="0"/>
          <w:cols w:equalWidth="0" w:num="2">
            <w:col w:w="4490" w:space="100"/>
            <w:col w:w="4164"/>
          </w:cols>
        </w:sectPr>
      </w:pPr>
    </w:p>
    <w:p w14:paraId="1D56CFB3">
      <w:pPr>
        <w:spacing w:before="10"/>
      </w:pPr>
    </w:p>
    <w:p w14:paraId="648E1886">
      <w:pPr>
        <w:spacing w:before="10"/>
      </w:pPr>
    </w:p>
    <w:p w14:paraId="3D16C058">
      <w:pPr>
        <w:spacing w:before="10"/>
      </w:pPr>
    </w:p>
    <w:p w14:paraId="67FF2E5A">
      <w:pPr>
        <w:spacing w:before="9"/>
      </w:pPr>
    </w:p>
    <w:p w14:paraId="0FE9AA3E">
      <w:pPr>
        <w:sectPr>
          <w:footerReference r:id="rId20" w:type="default"/>
          <w:pgSz w:w="10660" w:h="15080"/>
          <w:pgMar w:top="400" w:right="1045" w:bottom="925" w:left="809" w:header="0" w:footer="705" w:gutter="0"/>
          <w:cols w:equalWidth="0" w:num="1">
            <w:col w:w="8805"/>
          </w:cols>
        </w:sectPr>
      </w:pPr>
    </w:p>
    <w:tbl>
      <w:tblPr>
        <w:tblStyle w:val="5"/>
        <w:tblW w:w="4130" w:type="dxa"/>
        <w:tblInd w:w="9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54"/>
        <w:gridCol w:w="2644"/>
        <w:gridCol w:w="229"/>
        <w:gridCol w:w="230"/>
        <w:gridCol w:w="229"/>
        <w:gridCol w:w="244"/>
      </w:tblGrid>
      <w:tr w14:paraId="7DFA6D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4" w:hRule="atLeast"/>
        </w:trPr>
        <w:tc>
          <w:tcPr>
            <w:tcW w:w="554" w:type="dxa"/>
            <w:vMerge w:val="restart"/>
            <w:tcBorders>
              <w:bottom w:val="nil"/>
            </w:tcBorders>
            <w:vAlign w:val="top"/>
          </w:tcPr>
          <w:p w14:paraId="0DB168F9">
            <w:pPr>
              <w:pStyle w:val="6"/>
              <w:spacing w:before="201" w:line="231" w:lineRule="auto"/>
              <w:ind w:left="97" w:right="113"/>
            </w:pPr>
            <w:bookmarkStart w:id="29" w:name="bookmark29"/>
            <w:bookmarkEnd w:id="29"/>
            <w:r>
              <w:rPr>
                <w:b/>
                <w:bCs/>
                <w:spacing w:val="-7"/>
              </w:rPr>
              <w:t>知识</w:t>
            </w:r>
            <w:r>
              <w:t xml:space="preserve"> </w:t>
            </w:r>
            <w:r>
              <w:rPr>
                <w:b/>
                <w:bCs/>
                <w:spacing w:val="-6"/>
              </w:rPr>
              <w:t>要点</w:t>
            </w:r>
          </w:p>
        </w:tc>
        <w:tc>
          <w:tcPr>
            <w:tcW w:w="2644" w:type="dxa"/>
            <w:vMerge w:val="restart"/>
            <w:tcBorders>
              <w:bottom w:val="nil"/>
            </w:tcBorders>
            <w:vAlign w:val="top"/>
          </w:tcPr>
          <w:p w14:paraId="10BC678A">
            <w:pPr>
              <w:spacing w:line="252" w:lineRule="auto"/>
              <w:rPr>
                <w:rFonts w:ascii="Arial"/>
                <w:sz w:val="21"/>
              </w:rPr>
            </w:pPr>
          </w:p>
          <w:p w14:paraId="7CED3E5A">
            <w:pPr>
              <w:pStyle w:val="6"/>
              <w:spacing w:before="56" w:line="219" w:lineRule="auto"/>
              <w:ind w:left="993"/>
            </w:pPr>
            <w:r>
              <w:rPr>
                <w:b/>
                <w:bCs/>
                <w:spacing w:val="5"/>
              </w:rPr>
              <w:t>考试条目</w:t>
            </w:r>
          </w:p>
        </w:tc>
        <w:tc>
          <w:tcPr>
            <w:tcW w:w="932" w:type="dxa"/>
            <w:gridSpan w:val="4"/>
            <w:vAlign w:val="top"/>
          </w:tcPr>
          <w:p w14:paraId="1C3AD3C6">
            <w:pPr>
              <w:pStyle w:val="6"/>
              <w:spacing w:before="109" w:line="219" w:lineRule="auto"/>
              <w:ind w:left="139"/>
            </w:pPr>
            <w:r>
              <w:rPr>
                <w:b/>
                <w:bCs/>
                <w:spacing w:val="-4"/>
              </w:rPr>
              <w:t>考试水平</w:t>
            </w:r>
          </w:p>
        </w:tc>
      </w:tr>
      <w:tr w14:paraId="69DA22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8" w:hRule="atLeast"/>
        </w:trPr>
        <w:tc>
          <w:tcPr>
            <w:tcW w:w="554" w:type="dxa"/>
            <w:vMerge w:val="continue"/>
            <w:tcBorders>
              <w:top w:val="nil"/>
            </w:tcBorders>
            <w:vAlign w:val="top"/>
          </w:tcPr>
          <w:p w14:paraId="708ABA0C">
            <w:pPr>
              <w:rPr>
                <w:rFonts w:ascii="Arial"/>
                <w:sz w:val="21"/>
              </w:rPr>
            </w:pPr>
          </w:p>
        </w:tc>
        <w:tc>
          <w:tcPr>
            <w:tcW w:w="2644" w:type="dxa"/>
            <w:vMerge w:val="continue"/>
            <w:tcBorders>
              <w:top w:val="nil"/>
            </w:tcBorders>
            <w:vAlign w:val="top"/>
          </w:tcPr>
          <w:p w14:paraId="4D7FE3C5">
            <w:pPr>
              <w:rPr>
                <w:rFonts w:ascii="Arial"/>
                <w:sz w:val="21"/>
              </w:rPr>
            </w:pPr>
          </w:p>
        </w:tc>
        <w:tc>
          <w:tcPr>
            <w:tcW w:w="229" w:type="dxa"/>
            <w:vAlign w:val="top"/>
          </w:tcPr>
          <w:p w14:paraId="02D3589B">
            <w:pPr>
              <w:pStyle w:val="6"/>
              <w:spacing w:before="150" w:line="184" w:lineRule="auto"/>
              <w:ind w:left="37"/>
            </w:pPr>
            <w:r>
              <w:t>A</w:t>
            </w:r>
          </w:p>
        </w:tc>
        <w:tc>
          <w:tcPr>
            <w:tcW w:w="230" w:type="dxa"/>
            <w:vAlign w:val="top"/>
          </w:tcPr>
          <w:p w14:paraId="0B776E33">
            <w:pPr>
              <w:pStyle w:val="6"/>
              <w:spacing w:before="152" w:line="182" w:lineRule="auto"/>
              <w:ind w:left="18"/>
            </w:pPr>
            <w:r>
              <w:t>B</w:t>
            </w:r>
          </w:p>
        </w:tc>
        <w:tc>
          <w:tcPr>
            <w:tcW w:w="229" w:type="dxa"/>
            <w:vAlign w:val="top"/>
          </w:tcPr>
          <w:p w14:paraId="2C68732D">
            <w:pPr>
              <w:pStyle w:val="6"/>
              <w:spacing w:before="151" w:line="183" w:lineRule="auto"/>
              <w:ind w:left="67"/>
            </w:pPr>
            <w:r>
              <w:t>C</w:t>
            </w:r>
          </w:p>
        </w:tc>
        <w:tc>
          <w:tcPr>
            <w:tcW w:w="244" w:type="dxa"/>
            <w:vAlign w:val="top"/>
          </w:tcPr>
          <w:p w14:paraId="56AB57E0">
            <w:pPr>
              <w:pStyle w:val="6"/>
              <w:spacing w:before="152" w:line="182" w:lineRule="auto"/>
              <w:ind w:left="68"/>
            </w:pPr>
            <w:r>
              <w:t>D</w:t>
            </w:r>
          </w:p>
        </w:tc>
      </w:tr>
      <w:tr w14:paraId="540070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67" w:hRule="atLeast"/>
        </w:trPr>
        <w:tc>
          <w:tcPr>
            <w:tcW w:w="554" w:type="dxa"/>
            <w:vAlign w:val="top"/>
          </w:tcPr>
          <w:p w14:paraId="66310148">
            <w:pPr>
              <w:pStyle w:val="6"/>
              <w:spacing w:before="28" w:line="225" w:lineRule="auto"/>
              <w:ind w:left="94" w:right="103"/>
              <w:jc w:val="both"/>
            </w:pPr>
            <w:r>
              <w:rPr>
                <w:spacing w:val="-4"/>
              </w:rPr>
              <w:t>精液</w:t>
            </w:r>
            <w:r>
              <w:t xml:space="preserve"> </w:t>
            </w:r>
            <w:r>
              <w:rPr>
                <w:spacing w:val="2"/>
              </w:rPr>
              <w:t>的保</w:t>
            </w:r>
            <w:r>
              <w:t xml:space="preserve"> </w:t>
            </w:r>
            <w:r>
              <w:rPr>
                <w:spacing w:val="-3"/>
              </w:rPr>
              <w:t>存和</w:t>
            </w:r>
            <w:r>
              <w:t xml:space="preserve"> </w:t>
            </w:r>
            <w:r>
              <w:rPr>
                <w:spacing w:val="-2"/>
              </w:rPr>
              <w:t>运输</w:t>
            </w:r>
          </w:p>
        </w:tc>
        <w:tc>
          <w:tcPr>
            <w:tcW w:w="2644" w:type="dxa"/>
            <w:vAlign w:val="top"/>
          </w:tcPr>
          <w:p w14:paraId="5D3B0A02">
            <w:pPr>
              <w:spacing w:line="291" w:lineRule="auto"/>
              <w:rPr>
                <w:rFonts w:ascii="Arial"/>
                <w:sz w:val="21"/>
              </w:rPr>
            </w:pPr>
          </w:p>
          <w:p w14:paraId="7C5B9BF9">
            <w:pPr>
              <w:pStyle w:val="6"/>
              <w:spacing w:before="56" w:line="219" w:lineRule="auto"/>
              <w:ind w:left="60"/>
            </w:pPr>
            <w:r>
              <w:rPr>
                <w:spacing w:val="-1"/>
              </w:rPr>
              <w:t>精液的保存方法</w:t>
            </w:r>
          </w:p>
        </w:tc>
        <w:tc>
          <w:tcPr>
            <w:tcW w:w="229" w:type="dxa"/>
            <w:vAlign w:val="top"/>
          </w:tcPr>
          <w:p w14:paraId="4DE39114">
            <w:pPr>
              <w:rPr>
                <w:rFonts w:ascii="Arial"/>
                <w:sz w:val="21"/>
              </w:rPr>
            </w:pPr>
          </w:p>
        </w:tc>
        <w:tc>
          <w:tcPr>
            <w:tcW w:w="230" w:type="dxa"/>
            <w:vAlign w:val="top"/>
          </w:tcPr>
          <w:p w14:paraId="49BFF139">
            <w:pPr>
              <w:rPr>
                <w:rFonts w:ascii="Arial"/>
                <w:sz w:val="21"/>
              </w:rPr>
            </w:pPr>
          </w:p>
        </w:tc>
        <w:tc>
          <w:tcPr>
            <w:tcW w:w="229" w:type="dxa"/>
            <w:vAlign w:val="top"/>
          </w:tcPr>
          <w:p w14:paraId="526AB4BE">
            <w:pPr>
              <w:spacing w:line="309" w:lineRule="auto"/>
              <w:rPr>
                <w:rFonts w:ascii="Arial"/>
                <w:sz w:val="21"/>
              </w:rPr>
            </w:pPr>
          </w:p>
          <w:p w14:paraId="45760E27">
            <w:pPr>
              <w:pStyle w:val="6"/>
              <w:spacing w:before="56" w:line="238" w:lineRule="auto"/>
              <w:ind w:left="27"/>
            </w:pPr>
            <w:r>
              <w:t>√</w:t>
            </w:r>
          </w:p>
        </w:tc>
        <w:tc>
          <w:tcPr>
            <w:tcW w:w="244" w:type="dxa"/>
            <w:vAlign w:val="top"/>
          </w:tcPr>
          <w:p w14:paraId="582E0CFA">
            <w:pPr>
              <w:rPr>
                <w:rFonts w:ascii="Arial"/>
                <w:sz w:val="21"/>
              </w:rPr>
            </w:pPr>
          </w:p>
        </w:tc>
      </w:tr>
      <w:tr w14:paraId="34CF34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31" w:hRule="atLeast"/>
        </w:trPr>
        <w:tc>
          <w:tcPr>
            <w:tcW w:w="554" w:type="dxa"/>
            <w:vAlign w:val="top"/>
          </w:tcPr>
          <w:p w14:paraId="08CFF6BC">
            <w:pPr>
              <w:pStyle w:val="6"/>
              <w:spacing w:before="282" w:line="229" w:lineRule="auto"/>
              <w:ind w:left="94" w:right="114"/>
            </w:pPr>
            <w:r>
              <w:rPr>
                <w:spacing w:val="-3"/>
              </w:rPr>
              <w:t>输精</w:t>
            </w:r>
            <w:r>
              <w:t xml:space="preserve"> </w:t>
            </w:r>
            <w:r>
              <w:rPr>
                <w:spacing w:val="-4"/>
              </w:rPr>
              <w:t>技术</w:t>
            </w:r>
          </w:p>
        </w:tc>
        <w:tc>
          <w:tcPr>
            <w:tcW w:w="2644" w:type="dxa"/>
            <w:vAlign w:val="top"/>
          </w:tcPr>
          <w:p w14:paraId="7FD815A7">
            <w:pPr>
              <w:pStyle w:val="6"/>
              <w:spacing w:before="82" w:line="217" w:lineRule="auto"/>
              <w:ind w:left="60"/>
            </w:pPr>
            <w:r>
              <w:t>1.输精前的准备</w:t>
            </w:r>
          </w:p>
          <w:p w14:paraId="5C215C25">
            <w:pPr>
              <w:pStyle w:val="6"/>
              <w:spacing w:line="218" w:lineRule="auto"/>
              <w:ind w:left="60"/>
            </w:pPr>
            <w:r>
              <w:rPr>
                <w:spacing w:val="-1"/>
              </w:rPr>
              <w:t>2.输精的基本要求</w:t>
            </w:r>
          </w:p>
          <w:p w14:paraId="1202EC7D">
            <w:pPr>
              <w:pStyle w:val="6"/>
              <w:spacing w:before="28" w:line="218" w:lineRule="auto"/>
              <w:ind w:left="60" w:right="713"/>
            </w:pPr>
            <w:r>
              <w:rPr>
                <w:spacing w:val="-1"/>
              </w:rPr>
              <w:t>3.牛、羊、猪的输精方法</w:t>
            </w:r>
            <w:r>
              <w:t xml:space="preserve"> </w:t>
            </w:r>
            <w:r>
              <w:rPr>
                <w:spacing w:val="-1"/>
              </w:rPr>
              <w:t>4.输精的注意事项</w:t>
            </w:r>
          </w:p>
        </w:tc>
        <w:tc>
          <w:tcPr>
            <w:tcW w:w="229" w:type="dxa"/>
            <w:vAlign w:val="top"/>
          </w:tcPr>
          <w:p w14:paraId="1391972A">
            <w:pPr>
              <w:rPr>
                <w:rFonts w:ascii="Arial"/>
                <w:sz w:val="21"/>
              </w:rPr>
            </w:pPr>
          </w:p>
        </w:tc>
        <w:tc>
          <w:tcPr>
            <w:tcW w:w="230" w:type="dxa"/>
            <w:vAlign w:val="top"/>
          </w:tcPr>
          <w:p w14:paraId="62B6D92B">
            <w:pPr>
              <w:rPr>
                <w:rFonts w:ascii="Arial"/>
                <w:sz w:val="21"/>
              </w:rPr>
            </w:pPr>
          </w:p>
        </w:tc>
        <w:tc>
          <w:tcPr>
            <w:tcW w:w="229" w:type="dxa"/>
            <w:vAlign w:val="top"/>
          </w:tcPr>
          <w:p w14:paraId="6F83E9E2">
            <w:pPr>
              <w:rPr>
                <w:rFonts w:ascii="Arial"/>
                <w:sz w:val="21"/>
              </w:rPr>
            </w:pPr>
          </w:p>
        </w:tc>
        <w:tc>
          <w:tcPr>
            <w:tcW w:w="244" w:type="dxa"/>
            <w:vAlign w:val="top"/>
          </w:tcPr>
          <w:p w14:paraId="090DBA9F">
            <w:pPr>
              <w:rPr>
                <w:rFonts w:ascii="Arial"/>
                <w:sz w:val="21"/>
              </w:rPr>
            </w:pPr>
          </w:p>
        </w:tc>
      </w:tr>
    </w:tbl>
    <w:p w14:paraId="3969AEBB">
      <w:pPr>
        <w:spacing w:before="148" w:line="221" w:lineRule="auto"/>
        <w:ind w:left="872"/>
        <w:rPr>
          <w:rFonts w:ascii="黑体" w:hAnsi="黑体" w:eastAsia="黑体" w:cs="黑体"/>
          <w:sz w:val="17"/>
          <w:szCs w:val="17"/>
        </w:rPr>
      </w:pPr>
      <w:r>
        <w:rPr>
          <w:rFonts w:ascii="黑体" w:hAnsi="黑体" w:eastAsia="黑体" w:cs="黑体"/>
          <w:b/>
          <w:bCs/>
          <w:spacing w:val="21"/>
          <w:sz w:val="17"/>
          <w:szCs w:val="17"/>
        </w:rPr>
        <w:t>五</w:t>
      </w:r>
      <w:r>
        <w:rPr>
          <w:rFonts w:ascii="黑体" w:hAnsi="黑体" w:eastAsia="黑体" w:cs="黑体"/>
          <w:spacing w:val="-22"/>
          <w:sz w:val="17"/>
          <w:szCs w:val="17"/>
        </w:rPr>
        <w:t xml:space="preserve"> </w:t>
      </w:r>
      <w:r>
        <w:rPr>
          <w:rFonts w:ascii="黑体" w:hAnsi="黑体" w:eastAsia="黑体" w:cs="黑体"/>
          <w:b/>
          <w:bCs/>
          <w:spacing w:val="21"/>
          <w:sz w:val="17"/>
          <w:szCs w:val="17"/>
        </w:rPr>
        <w:t>、家畜的受精、妊娠和分娩</w:t>
      </w:r>
    </w:p>
    <w:p w14:paraId="4EEEDE94">
      <w:pPr>
        <w:spacing w:line="168" w:lineRule="exact"/>
      </w:pPr>
    </w:p>
    <w:tbl>
      <w:tblPr>
        <w:tblStyle w:val="5"/>
        <w:tblW w:w="4130" w:type="dxa"/>
        <w:tblInd w:w="9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54"/>
        <w:gridCol w:w="2644"/>
        <w:gridCol w:w="229"/>
        <w:gridCol w:w="230"/>
        <w:gridCol w:w="229"/>
        <w:gridCol w:w="244"/>
      </w:tblGrid>
      <w:tr w14:paraId="175C3C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4" w:hRule="atLeast"/>
        </w:trPr>
        <w:tc>
          <w:tcPr>
            <w:tcW w:w="554" w:type="dxa"/>
            <w:vMerge w:val="restart"/>
            <w:tcBorders>
              <w:bottom w:val="nil"/>
            </w:tcBorders>
            <w:vAlign w:val="top"/>
          </w:tcPr>
          <w:p w14:paraId="3E572B00">
            <w:pPr>
              <w:pStyle w:val="6"/>
              <w:spacing w:before="181" w:line="235" w:lineRule="auto"/>
              <w:ind w:left="87" w:right="104"/>
              <w:rPr>
                <w:sz w:val="18"/>
                <w:szCs w:val="18"/>
              </w:rPr>
            </w:pPr>
            <w:r>
              <w:rPr>
                <w:b/>
                <w:bCs/>
                <w:spacing w:val="-8"/>
                <w:sz w:val="18"/>
                <w:szCs w:val="18"/>
              </w:rPr>
              <w:t>知识</w:t>
            </w:r>
            <w:r>
              <w:rPr>
                <w:sz w:val="18"/>
                <w:szCs w:val="18"/>
              </w:rPr>
              <w:t xml:space="preserve"> </w:t>
            </w:r>
            <w:r>
              <w:rPr>
                <w:b/>
                <w:bCs/>
                <w:spacing w:val="-6"/>
                <w:sz w:val="18"/>
                <w:szCs w:val="18"/>
              </w:rPr>
              <w:t>要点</w:t>
            </w:r>
          </w:p>
        </w:tc>
        <w:tc>
          <w:tcPr>
            <w:tcW w:w="2644" w:type="dxa"/>
            <w:vMerge w:val="restart"/>
            <w:tcBorders>
              <w:bottom w:val="nil"/>
            </w:tcBorders>
            <w:vAlign w:val="top"/>
          </w:tcPr>
          <w:p w14:paraId="3B02769E">
            <w:pPr>
              <w:spacing w:line="250" w:lineRule="auto"/>
              <w:rPr>
                <w:rFonts w:ascii="Arial"/>
                <w:sz w:val="21"/>
              </w:rPr>
            </w:pPr>
          </w:p>
          <w:p w14:paraId="557F1F1D">
            <w:pPr>
              <w:pStyle w:val="6"/>
              <w:spacing w:before="58" w:line="219" w:lineRule="auto"/>
              <w:ind w:left="993"/>
              <w:rPr>
                <w:sz w:val="18"/>
                <w:szCs w:val="18"/>
              </w:rPr>
            </w:pPr>
            <w:r>
              <w:rPr>
                <w:b/>
                <w:bCs/>
                <w:spacing w:val="5"/>
                <w:sz w:val="18"/>
                <w:szCs w:val="18"/>
              </w:rPr>
              <w:t>考试条目</w:t>
            </w:r>
          </w:p>
        </w:tc>
        <w:tc>
          <w:tcPr>
            <w:tcW w:w="932" w:type="dxa"/>
            <w:gridSpan w:val="4"/>
            <w:vAlign w:val="top"/>
          </w:tcPr>
          <w:p w14:paraId="0BAD3F9C">
            <w:pPr>
              <w:pStyle w:val="6"/>
              <w:spacing w:before="109" w:line="219" w:lineRule="auto"/>
              <w:ind w:left="129"/>
              <w:rPr>
                <w:sz w:val="18"/>
                <w:szCs w:val="18"/>
              </w:rPr>
            </w:pPr>
            <w:r>
              <w:rPr>
                <w:b/>
                <w:bCs/>
                <w:spacing w:val="-4"/>
                <w:sz w:val="18"/>
                <w:szCs w:val="18"/>
              </w:rPr>
              <w:t>考试水平</w:t>
            </w:r>
          </w:p>
        </w:tc>
      </w:tr>
      <w:tr w14:paraId="4C2943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9" w:hRule="atLeast"/>
        </w:trPr>
        <w:tc>
          <w:tcPr>
            <w:tcW w:w="554" w:type="dxa"/>
            <w:vMerge w:val="continue"/>
            <w:tcBorders>
              <w:top w:val="nil"/>
            </w:tcBorders>
            <w:vAlign w:val="top"/>
          </w:tcPr>
          <w:p w14:paraId="0A569CB2">
            <w:pPr>
              <w:rPr>
                <w:rFonts w:ascii="Arial"/>
                <w:sz w:val="21"/>
              </w:rPr>
            </w:pPr>
          </w:p>
        </w:tc>
        <w:tc>
          <w:tcPr>
            <w:tcW w:w="2644" w:type="dxa"/>
            <w:vMerge w:val="continue"/>
            <w:tcBorders>
              <w:top w:val="nil"/>
            </w:tcBorders>
            <w:vAlign w:val="top"/>
          </w:tcPr>
          <w:p w14:paraId="13A03B6F">
            <w:pPr>
              <w:rPr>
                <w:rFonts w:ascii="Arial"/>
                <w:sz w:val="21"/>
              </w:rPr>
            </w:pPr>
          </w:p>
        </w:tc>
        <w:tc>
          <w:tcPr>
            <w:tcW w:w="229" w:type="dxa"/>
            <w:vAlign w:val="top"/>
          </w:tcPr>
          <w:p w14:paraId="013E1EB1">
            <w:pPr>
              <w:pStyle w:val="6"/>
              <w:spacing w:before="153" w:line="184" w:lineRule="auto"/>
              <w:ind w:left="37"/>
              <w:rPr>
                <w:sz w:val="18"/>
                <w:szCs w:val="18"/>
              </w:rPr>
            </w:pPr>
            <w:r>
              <w:rPr>
                <w:sz w:val="18"/>
                <w:szCs w:val="18"/>
              </w:rPr>
              <w:t>A</w:t>
            </w:r>
          </w:p>
        </w:tc>
        <w:tc>
          <w:tcPr>
            <w:tcW w:w="230" w:type="dxa"/>
            <w:vAlign w:val="top"/>
          </w:tcPr>
          <w:p w14:paraId="0B04AA1B">
            <w:pPr>
              <w:pStyle w:val="6"/>
              <w:spacing w:before="155" w:line="182" w:lineRule="auto"/>
              <w:ind w:left="37"/>
              <w:rPr>
                <w:sz w:val="18"/>
                <w:szCs w:val="18"/>
              </w:rPr>
            </w:pPr>
            <w:r>
              <w:rPr>
                <w:sz w:val="18"/>
                <w:szCs w:val="18"/>
              </w:rPr>
              <w:t>B</w:t>
            </w:r>
          </w:p>
        </w:tc>
        <w:tc>
          <w:tcPr>
            <w:tcW w:w="229" w:type="dxa"/>
            <w:vAlign w:val="top"/>
          </w:tcPr>
          <w:p w14:paraId="252DE8A9">
            <w:pPr>
              <w:pStyle w:val="6"/>
              <w:spacing w:before="154" w:line="183" w:lineRule="auto"/>
              <w:ind w:left="17"/>
              <w:rPr>
                <w:sz w:val="18"/>
                <w:szCs w:val="18"/>
              </w:rPr>
            </w:pPr>
            <w:r>
              <w:rPr>
                <w:sz w:val="18"/>
                <w:szCs w:val="18"/>
              </w:rPr>
              <w:t>C</w:t>
            </w:r>
          </w:p>
        </w:tc>
        <w:tc>
          <w:tcPr>
            <w:tcW w:w="244" w:type="dxa"/>
            <w:vAlign w:val="top"/>
          </w:tcPr>
          <w:p w14:paraId="1D2DB1DD">
            <w:pPr>
              <w:pStyle w:val="6"/>
              <w:spacing w:before="155" w:line="182" w:lineRule="auto"/>
              <w:ind w:left="68"/>
              <w:rPr>
                <w:sz w:val="18"/>
                <w:szCs w:val="18"/>
              </w:rPr>
            </w:pPr>
            <w:r>
              <w:rPr>
                <w:sz w:val="18"/>
                <w:szCs w:val="18"/>
              </w:rPr>
              <w:t>D</w:t>
            </w:r>
          </w:p>
        </w:tc>
      </w:tr>
      <w:tr w14:paraId="693A12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27" w:hRule="atLeast"/>
        </w:trPr>
        <w:tc>
          <w:tcPr>
            <w:tcW w:w="554" w:type="dxa"/>
            <w:vAlign w:val="top"/>
          </w:tcPr>
          <w:p w14:paraId="3E183F4B">
            <w:pPr>
              <w:spacing w:line="268" w:lineRule="auto"/>
              <w:rPr>
                <w:rFonts w:ascii="Arial"/>
                <w:sz w:val="21"/>
              </w:rPr>
            </w:pPr>
          </w:p>
          <w:p w14:paraId="337BAF78">
            <w:pPr>
              <w:pStyle w:val="6"/>
              <w:spacing w:before="58" w:line="219" w:lineRule="auto"/>
              <w:ind w:left="84"/>
              <w:rPr>
                <w:sz w:val="18"/>
                <w:szCs w:val="18"/>
              </w:rPr>
            </w:pPr>
            <w:r>
              <w:rPr>
                <w:spacing w:val="-3"/>
                <w:sz w:val="18"/>
                <w:szCs w:val="18"/>
              </w:rPr>
              <w:t>受精</w:t>
            </w:r>
          </w:p>
        </w:tc>
        <w:tc>
          <w:tcPr>
            <w:tcW w:w="2644" w:type="dxa"/>
            <w:vAlign w:val="top"/>
          </w:tcPr>
          <w:p w14:paraId="5DB3D10D">
            <w:pPr>
              <w:pStyle w:val="6"/>
              <w:spacing w:before="140" w:line="214" w:lineRule="auto"/>
              <w:ind w:left="71"/>
              <w:rPr>
                <w:sz w:val="18"/>
                <w:szCs w:val="18"/>
              </w:rPr>
            </w:pPr>
            <w:r>
              <w:rPr>
                <w:spacing w:val="1"/>
                <w:sz w:val="18"/>
                <w:szCs w:val="18"/>
              </w:rPr>
              <w:t>1.配子的运行</w:t>
            </w:r>
          </w:p>
          <w:p w14:paraId="579D4F2A">
            <w:pPr>
              <w:pStyle w:val="6"/>
              <w:spacing w:line="222" w:lineRule="auto"/>
              <w:ind w:left="71" w:right="952"/>
              <w:rPr>
                <w:sz w:val="18"/>
                <w:szCs w:val="18"/>
              </w:rPr>
            </w:pPr>
            <w:r>
              <w:rPr>
                <w:spacing w:val="-1"/>
                <w:sz w:val="18"/>
                <w:szCs w:val="18"/>
              </w:rPr>
              <w:t>2.精子受精前的准备</w:t>
            </w:r>
            <w:r>
              <w:rPr>
                <w:sz w:val="18"/>
                <w:szCs w:val="18"/>
              </w:rPr>
              <w:t xml:space="preserve"> </w:t>
            </w:r>
            <w:r>
              <w:rPr>
                <w:spacing w:val="-2"/>
                <w:sz w:val="18"/>
                <w:szCs w:val="18"/>
              </w:rPr>
              <w:t>3.受精过程</w:t>
            </w:r>
          </w:p>
        </w:tc>
        <w:tc>
          <w:tcPr>
            <w:tcW w:w="229" w:type="dxa"/>
            <w:vAlign w:val="top"/>
          </w:tcPr>
          <w:p w14:paraId="3C513879">
            <w:pPr>
              <w:rPr>
                <w:rFonts w:ascii="Arial"/>
                <w:sz w:val="21"/>
              </w:rPr>
            </w:pPr>
          </w:p>
        </w:tc>
        <w:tc>
          <w:tcPr>
            <w:tcW w:w="230" w:type="dxa"/>
            <w:vAlign w:val="top"/>
          </w:tcPr>
          <w:p w14:paraId="1DD8DB6A">
            <w:pPr>
              <w:rPr>
                <w:rFonts w:ascii="Arial"/>
                <w:sz w:val="21"/>
              </w:rPr>
            </w:pPr>
          </w:p>
        </w:tc>
        <w:tc>
          <w:tcPr>
            <w:tcW w:w="229" w:type="dxa"/>
            <w:vAlign w:val="top"/>
          </w:tcPr>
          <w:p w14:paraId="0142659F">
            <w:pPr>
              <w:rPr>
                <w:rFonts w:ascii="Arial"/>
                <w:sz w:val="21"/>
              </w:rPr>
            </w:pPr>
          </w:p>
        </w:tc>
        <w:tc>
          <w:tcPr>
            <w:tcW w:w="244" w:type="dxa"/>
            <w:vAlign w:val="top"/>
          </w:tcPr>
          <w:p w14:paraId="39BF2A62">
            <w:pPr>
              <w:rPr>
                <w:rFonts w:ascii="Arial"/>
                <w:sz w:val="21"/>
              </w:rPr>
            </w:pPr>
          </w:p>
        </w:tc>
      </w:tr>
      <w:tr w14:paraId="6D7FE5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57" w:hRule="atLeast"/>
        </w:trPr>
        <w:tc>
          <w:tcPr>
            <w:tcW w:w="554" w:type="dxa"/>
            <w:vAlign w:val="top"/>
          </w:tcPr>
          <w:p w14:paraId="5C1ECEA7">
            <w:pPr>
              <w:pStyle w:val="6"/>
              <w:spacing w:before="124" w:line="221" w:lineRule="auto"/>
              <w:ind w:left="84"/>
              <w:rPr>
                <w:sz w:val="18"/>
                <w:szCs w:val="18"/>
              </w:rPr>
            </w:pPr>
            <w:r>
              <w:rPr>
                <w:spacing w:val="-2"/>
                <w:sz w:val="18"/>
                <w:szCs w:val="18"/>
              </w:rPr>
              <w:t>妊娠</w:t>
            </w:r>
          </w:p>
          <w:p w14:paraId="19A3A778">
            <w:pPr>
              <w:pStyle w:val="6"/>
              <w:spacing w:before="14" w:line="221" w:lineRule="auto"/>
              <w:ind w:left="84"/>
              <w:rPr>
                <w:sz w:val="18"/>
                <w:szCs w:val="18"/>
              </w:rPr>
            </w:pPr>
            <w:r>
              <w:rPr>
                <w:spacing w:val="-3"/>
                <w:sz w:val="18"/>
                <w:szCs w:val="18"/>
              </w:rPr>
              <w:t>与妊</w:t>
            </w:r>
          </w:p>
          <w:p w14:paraId="1D594C83">
            <w:pPr>
              <w:pStyle w:val="6"/>
              <w:spacing w:before="4" w:line="213" w:lineRule="auto"/>
              <w:ind w:left="84"/>
              <w:rPr>
                <w:sz w:val="18"/>
                <w:szCs w:val="18"/>
              </w:rPr>
            </w:pPr>
            <w:r>
              <w:rPr>
                <w:spacing w:val="-2"/>
                <w:sz w:val="18"/>
                <w:szCs w:val="18"/>
              </w:rPr>
              <w:t>娠诊</w:t>
            </w:r>
          </w:p>
          <w:p w14:paraId="54C7C4AD">
            <w:pPr>
              <w:pStyle w:val="6"/>
              <w:spacing w:line="219" w:lineRule="auto"/>
              <w:ind w:left="174"/>
              <w:rPr>
                <w:sz w:val="18"/>
                <w:szCs w:val="18"/>
              </w:rPr>
            </w:pPr>
            <w:r>
              <w:rPr>
                <w:sz w:val="18"/>
                <w:szCs w:val="18"/>
              </w:rPr>
              <w:t>断</w:t>
            </w:r>
          </w:p>
        </w:tc>
        <w:tc>
          <w:tcPr>
            <w:tcW w:w="2644" w:type="dxa"/>
            <w:vAlign w:val="top"/>
          </w:tcPr>
          <w:p w14:paraId="223AAA8E">
            <w:pPr>
              <w:pStyle w:val="6"/>
              <w:spacing w:before="132" w:line="219" w:lineRule="auto"/>
              <w:ind w:left="71"/>
              <w:rPr>
                <w:sz w:val="18"/>
                <w:szCs w:val="18"/>
              </w:rPr>
            </w:pPr>
            <w:r>
              <w:rPr>
                <w:spacing w:val="1"/>
                <w:sz w:val="18"/>
                <w:szCs w:val="18"/>
              </w:rPr>
              <w:t>1.胎膜和胎盘</w:t>
            </w:r>
          </w:p>
          <w:p w14:paraId="3F9808B8">
            <w:pPr>
              <w:pStyle w:val="6"/>
              <w:spacing w:before="7" w:line="222" w:lineRule="auto"/>
              <w:ind w:left="71" w:right="723"/>
              <w:rPr>
                <w:sz w:val="18"/>
                <w:szCs w:val="18"/>
              </w:rPr>
            </w:pPr>
            <w:r>
              <w:rPr>
                <w:spacing w:val="3"/>
                <w:sz w:val="18"/>
                <w:szCs w:val="18"/>
              </w:rPr>
              <w:t>2.外部观察法(牛、猪)</w:t>
            </w:r>
            <w:r>
              <w:rPr>
                <w:spacing w:val="2"/>
                <w:sz w:val="18"/>
                <w:szCs w:val="18"/>
              </w:rPr>
              <w:t xml:space="preserve"> </w:t>
            </w:r>
            <w:r>
              <w:rPr>
                <w:spacing w:val="3"/>
                <w:sz w:val="18"/>
                <w:szCs w:val="18"/>
              </w:rPr>
              <w:t>3.阴道检查法(牛)</w:t>
            </w:r>
          </w:p>
          <w:p w14:paraId="58B8CF48">
            <w:pPr>
              <w:pStyle w:val="6"/>
              <w:spacing w:before="16" w:line="219" w:lineRule="auto"/>
              <w:ind w:left="71"/>
              <w:rPr>
                <w:sz w:val="18"/>
                <w:szCs w:val="18"/>
              </w:rPr>
            </w:pPr>
            <w:r>
              <w:rPr>
                <w:spacing w:val="3"/>
                <w:sz w:val="18"/>
                <w:szCs w:val="18"/>
              </w:rPr>
              <w:t>4.直肠检查法(牛)</w:t>
            </w:r>
          </w:p>
        </w:tc>
        <w:tc>
          <w:tcPr>
            <w:tcW w:w="229" w:type="dxa"/>
            <w:vAlign w:val="top"/>
          </w:tcPr>
          <w:p w14:paraId="45D0C6B8">
            <w:pPr>
              <w:rPr>
                <w:rFonts w:ascii="Arial"/>
                <w:sz w:val="21"/>
              </w:rPr>
            </w:pPr>
          </w:p>
        </w:tc>
        <w:tc>
          <w:tcPr>
            <w:tcW w:w="230" w:type="dxa"/>
            <w:vAlign w:val="top"/>
          </w:tcPr>
          <w:p w14:paraId="24B484F3">
            <w:pPr>
              <w:rPr>
                <w:rFonts w:ascii="Arial"/>
                <w:sz w:val="21"/>
              </w:rPr>
            </w:pPr>
          </w:p>
        </w:tc>
        <w:tc>
          <w:tcPr>
            <w:tcW w:w="229" w:type="dxa"/>
            <w:vAlign w:val="top"/>
          </w:tcPr>
          <w:p w14:paraId="4D2F8711">
            <w:pPr>
              <w:rPr>
                <w:rFonts w:ascii="Arial"/>
                <w:sz w:val="21"/>
              </w:rPr>
            </w:pPr>
          </w:p>
        </w:tc>
        <w:tc>
          <w:tcPr>
            <w:tcW w:w="244" w:type="dxa"/>
            <w:vAlign w:val="top"/>
          </w:tcPr>
          <w:p w14:paraId="626661EB">
            <w:pPr>
              <w:rPr>
                <w:rFonts w:ascii="Arial"/>
                <w:sz w:val="21"/>
              </w:rPr>
            </w:pPr>
          </w:p>
        </w:tc>
      </w:tr>
      <w:tr w14:paraId="10D5A7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43" w:hRule="atLeast"/>
        </w:trPr>
        <w:tc>
          <w:tcPr>
            <w:tcW w:w="554" w:type="dxa"/>
            <w:vAlign w:val="top"/>
          </w:tcPr>
          <w:p w14:paraId="42577944">
            <w:pPr>
              <w:pStyle w:val="6"/>
              <w:spacing w:before="25" w:line="220" w:lineRule="auto"/>
              <w:ind w:left="84"/>
              <w:rPr>
                <w:sz w:val="18"/>
                <w:szCs w:val="18"/>
              </w:rPr>
            </w:pPr>
            <w:r>
              <w:rPr>
                <w:spacing w:val="-3"/>
                <w:sz w:val="18"/>
                <w:szCs w:val="18"/>
              </w:rPr>
              <w:t>分娩</w:t>
            </w:r>
          </w:p>
          <w:p w14:paraId="6E67CDF3">
            <w:pPr>
              <w:pStyle w:val="6"/>
              <w:spacing w:before="15" w:line="194" w:lineRule="auto"/>
              <w:ind w:left="84"/>
              <w:rPr>
                <w:sz w:val="18"/>
                <w:szCs w:val="18"/>
              </w:rPr>
            </w:pPr>
            <w:r>
              <w:rPr>
                <w:spacing w:val="5"/>
                <w:sz w:val="18"/>
                <w:szCs w:val="18"/>
              </w:rPr>
              <w:t>与助</w:t>
            </w:r>
          </w:p>
          <w:p w14:paraId="49A7D570">
            <w:pPr>
              <w:pStyle w:val="6"/>
              <w:spacing w:line="192" w:lineRule="auto"/>
              <w:ind w:left="174"/>
              <w:rPr>
                <w:sz w:val="18"/>
                <w:szCs w:val="18"/>
              </w:rPr>
            </w:pPr>
            <w:r>
              <w:rPr>
                <w:sz w:val="18"/>
                <w:szCs w:val="18"/>
              </w:rPr>
              <w:t>产</w:t>
            </w:r>
          </w:p>
        </w:tc>
        <w:tc>
          <w:tcPr>
            <w:tcW w:w="2644" w:type="dxa"/>
            <w:vAlign w:val="top"/>
          </w:tcPr>
          <w:p w14:paraId="05BA0372">
            <w:pPr>
              <w:pStyle w:val="6"/>
              <w:spacing w:before="155" w:line="217" w:lineRule="auto"/>
              <w:ind w:left="71" w:right="1116"/>
              <w:rPr>
                <w:sz w:val="18"/>
                <w:szCs w:val="18"/>
              </w:rPr>
            </w:pPr>
            <w:r>
              <w:rPr>
                <w:sz w:val="18"/>
                <w:szCs w:val="18"/>
              </w:rPr>
              <w:t>1.分娩预兆和过程</w:t>
            </w:r>
            <w:r>
              <w:rPr>
                <w:spacing w:val="5"/>
                <w:sz w:val="18"/>
                <w:szCs w:val="18"/>
              </w:rPr>
              <w:t xml:space="preserve"> </w:t>
            </w:r>
            <w:r>
              <w:rPr>
                <w:spacing w:val="-2"/>
                <w:sz w:val="18"/>
                <w:szCs w:val="18"/>
              </w:rPr>
              <w:t>2.助产技术</w:t>
            </w:r>
          </w:p>
        </w:tc>
        <w:tc>
          <w:tcPr>
            <w:tcW w:w="229" w:type="dxa"/>
            <w:vAlign w:val="top"/>
          </w:tcPr>
          <w:p w14:paraId="7D96739D">
            <w:pPr>
              <w:rPr>
                <w:rFonts w:ascii="Arial"/>
                <w:sz w:val="21"/>
              </w:rPr>
            </w:pPr>
          </w:p>
        </w:tc>
        <w:tc>
          <w:tcPr>
            <w:tcW w:w="230" w:type="dxa"/>
            <w:vAlign w:val="top"/>
          </w:tcPr>
          <w:p w14:paraId="6FC39413">
            <w:pPr>
              <w:rPr>
                <w:rFonts w:ascii="Arial"/>
                <w:sz w:val="21"/>
              </w:rPr>
            </w:pPr>
          </w:p>
        </w:tc>
        <w:tc>
          <w:tcPr>
            <w:tcW w:w="229" w:type="dxa"/>
            <w:vAlign w:val="top"/>
          </w:tcPr>
          <w:p w14:paraId="24B5F85F">
            <w:pPr>
              <w:rPr>
                <w:rFonts w:ascii="Arial"/>
                <w:sz w:val="21"/>
              </w:rPr>
            </w:pPr>
          </w:p>
        </w:tc>
        <w:tc>
          <w:tcPr>
            <w:tcW w:w="244" w:type="dxa"/>
            <w:vAlign w:val="top"/>
          </w:tcPr>
          <w:p w14:paraId="0CC6564A">
            <w:pPr>
              <w:spacing w:line="314" w:lineRule="auto"/>
              <w:rPr>
                <w:rFonts w:ascii="Arial"/>
                <w:sz w:val="21"/>
              </w:rPr>
            </w:pPr>
          </w:p>
          <w:p w14:paraId="13C07C19">
            <w:pPr>
              <w:pStyle w:val="6"/>
              <w:spacing w:before="39" w:line="238" w:lineRule="auto"/>
              <w:ind w:left="58"/>
              <w:rPr>
                <w:sz w:val="12"/>
                <w:szCs w:val="12"/>
              </w:rPr>
            </w:pPr>
            <w:r>
              <w:rPr>
                <w:sz w:val="12"/>
                <w:szCs w:val="12"/>
              </w:rPr>
              <w:t>√</w:t>
            </w:r>
          </w:p>
        </w:tc>
      </w:tr>
    </w:tbl>
    <w:p w14:paraId="68594EE3">
      <w:pPr>
        <w:spacing w:before="157" w:line="221" w:lineRule="auto"/>
        <w:ind w:left="972"/>
        <w:rPr>
          <w:rFonts w:ascii="黑体" w:hAnsi="黑体" w:eastAsia="黑体" w:cs="黑体"/>
          <w:sz w:val="17"/>
          <w:szCs w:val="17"/>
        </w:rPr>
      </w:pPr>
      <w:r>
        <w:rPr>
          <w:rFonts w:ascii="黑体" w:hAnsi="黑体" w:eastAsia="黑体" w:cs="黑体"/>
          <w:b/>
          <w:bCs/>
          <w:spacing w:val="21"/>
          <w:sz w:val="17"/>
          <w:szCs w:val="17"/>
        </w:rPr>
        <w:t>六</w:t>
      </w:r>
      <w:r>
        <w:rPr>
          <w:rFonts w:ascii="黑体" w:hAnsi="黑体" w:eastAsia="黑体" w:cs="黑体"/>
          <w:spacing w:val="-29"/>
          <w:sz w:val="17"/>
          <w:szCs w:val="17"/>
        </w:rPr>
        <w:t xml:space="preserve"> </w:t>
      </w:r>
      <w:r>
        <w:rPr>
          <w:rFonts w:ascii="黑体" w:hAnsi="黑体" w:eastAsia="黑体" w:cs="黑体"/>
          <w:b/>
          <w:bCs/>
          <w:spacing w:val="21"/>
          <w:sz w:val="17"/>
          <w:szCs w:val="17"/>
        </w:rPr>
        <w:t>、家畜繁殖力与繁殖障碍</w:t>
      </w:r>
    </w:p>
    <w:p w14:paraId="094B493F">
      <w:pPr>
        <w:spacing w:line="168" w:lineRule="exact"/>
      </w:pPr>
    </w:p>
    <w:tbl>
      <w:tblPr>
        <w:tblStyle w:val="5"/>
        <w:tblW w:w="4130" w:type="dxa"/>
        <w:tblInd w:w="9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54"/>
        <w:gridCol w:w="2644"/>
        <w:gridCol w:w="229"/>
        <w:gridCol w:w="230"/>
        <w:gridCol w:w="229"/>
        <w:gridCol w:w="244"/>
      </w:tblGrid>
      <w:tr w14:paraId="4043C5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4" w:hRule="atLeast"/>
        </w:trPr>
        <w:tc>
          <w:tcPr>
            <w:tcW w:w="554" w:type="dxa"/>
            <w:vMerge w:val="restart"/>
            <w:tcBorders>
              <w:bottom w:val="nil"/>
            </w:tcBorders>
            <w:vAlign w:val="top"/>
          </w:tcPr>
          <w:p w14:paraId="5B69394A">
            <w:pPr>
              <w:pStyle w:val="6"/>
              <w:spacing w:before="190" w:line="227" w:lineRule="auto"/>
              <w:ind w:left="107" w:right="123"/>
              <w:rPr>
                <w:sz w:val="16"/>
                <w:szCs w:val="16"/>
              </w:rPr>
            </w:pPr>
            <w:r>
              <w:rPr>
                <w:b/>
                <w:bCs/>
                <w:spacing w:val="-7"/>
                <w:sz w:val="16"/>
                <w:szCs w:val="16"/>
              </w:rPr>
              <w:t>知识</w:t>
            </w:r>
            <w:r>
              <w:rPr>
                <w:sz w:val="16"/>
                <w:szCs w:val="16"/>
              </w:rPr>
              <w:t xml:space="preserve"> </w:t>
            </w:r>
            <w:r>
              <w:rPr>
                <w:b/>
                <w:bCs/>
                <w:spacing w:val="-6"/>
                <w:sz w:val="16"/>
                <w:szCs w:val="16"/>
              </w:rPr>
              <w:t>要点</w:t>
            </w:r>
          </w:p>
        </w:tc>
        <w:tc>
          <w:tcPr>
            <w:tcW w:w="2644" w:type="dxa"/>
            <w:vMerge w:val="restart"/>
            <w:tcBorders>
              <w:bottom w:val="nil"/>
            </w:tcBorders>
            <w:vAlign w:val="top"/>
          </w:tcPr>
          <w:p w14:paraId="1BC286C2">
            <w:pPr>
              <w:spacing w:line="255" w:lineRule="auto"/>
              <w:rPr>
                <w:rFonts w:ascii="Arial"/>
                <w:sz w:val="21"/>
              </w:rPr>
            </w:pPr>
          </w:p>
          <w:p w14:paraId="0686F8B5">
            <w:pPr>
              <w:pStyle w:val="6"/>
              <w:spacing w:before="52" w:line="219" w:lineRule="auto"/>
              <w:ind w:left="1033"/>
              <w:rPr>
                <w:sz w:val="16"/>
                <w:szCs w:val="16"/>
              </w:rPr>
            </w:pPr>
            <w:r>
              <w:rPr>
                <w:b/>
                <w:bCs/>
                <w:spacing w:val="4"/>
                <w:sz w:val="16"/>
                <w:szCs w:val="16"/>
              </w:rPr>
              <w:t>考试条目</w:t>
            </w:r>
          </w:p>
        </w:tc>
        <w:tc>
          <w:tcPr>
            <w:tcW w:w="932" w:type="dxa"/>
            <w:gridSpan w:val="4"/>
            <w:vAlign w:val="top"/>
          </w:tcPr>
          <w:p w14:paraId="2D4BFB7E">
            <w:pPr>
              <w:pStyle w:val="6"/>
              <w:spacing w:before="119" w:line="219" w:lineRule="auto"/>
              <w:ind w:left="129"/>
              <w:rPr>
                <w:sz w:val="16"/>
                <w:szCs w:val="16"/>
              </w:rPr>
            </w:pPr>
            <w:r>
              <w:rPr>
                <w:b/>
                <w:bCs/>
                <w:spacing w:val="-3"/>
                <w:sz w:val="16"/>
                <w:szCs w:val="16"/>
              </w:rPr>
              <w:t>考试水平</w:t>
            </w:r>
          </w:p>
        </w:tc>
      </w:tr>
      <w:tr w14:paraId="740B68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554" w:type="dxa"/>
            <w:vMerge w:val="continue"/>
            <w:tcBorders>
              <w:top w:val="nil"/>
            </w:tcBorders>
            <w:vAlign w:val="top"/>
          </w:tcPr>
          <w:p w14:paraId="03FD3E3C">
            <w:pPr>
              <w:rPr>
                <w:rFonts w:ascii="Arial"/>
                <w:sz w:val="21"/>
              </w:rPr>
            </w:pPr>
          </w:p>
        </w:tc>
        <w:tc>
          <w:tcPr>
            <w:tcW w:w="2644" w:type="dxa"/>
            <w:vMerge w:val="continue"/>
            <w:tcBorders>
              <w:top w:val="nil"/>
            </w:tcBorders>
            <w:vAlign w:val="top"/>
          </w:tcPr>
          <w:p w14:paraId="2153790A">
            <w:pPr>
              <w:rPr>
                <w:rFonts w:ascii="Arial"/>
                <w:sz w:val="21"/>
              </w:rPr>
            </w:pPr>
          </w:p>
        </w:tc>
        <w:tc>
          <w:tcPr>
            <w:tcW w:w="229" w:type="dxa"/>
            <w:vAlign w:val="top"/>
          </w:tcPr>
          <w:p w14:paraId="183A1D27">
            <w:pPr>
              <w:pStyle w:val="6"/>
              <w:spacing w:before="147" w:line="184" w:lineRule="auto"/>
              <w:ind w:left="16"/>
              <w:rPr>
                <w:sz w:val="16"/>
                <w:szCs w:val="16"/>
              </w:rPr>
            </w:pPr>
            <w:r>
              <w:rPr>
                <w:sz w:val="16"/>
                <w:szCs w:val="16"/>
              </w:rPr>
              <w:t>A</w:t>
            </w:r>
          </w:p>
        </w:tc>
        <w:tc>
          <w:tcPr>
            <w:tcW w:w="230" w:type="dxa"/>
            <w:vAlign w:val="top"/>
          </w:tcPr>
          <w:p w14:paraId="664B8B2B">
            <w:pPr>
              <w:pStyle w:val="6"/>
              <w:spacing w:before="149" w:line="182" w:lineRule="auto"/>
              <w:ind w:left="18"/>
              <w:rPr>
                <w:sz w:val="16"/>
                <w:szCs w:val="16"/>
              </w:rPr>
            </w:pPr>
            <w:r>
              <w:rPr>
                <w:sz w:val="16"/>
                <w:szCs w:val="16"/>
              </w:rPr>
              <w:t>B</w:t>
            </w:r>
          </w:p>
        </w:tc>
        <w:tc>
          <w:tcPr>
            <w:tcW w:w="229" w:type="dxa"/>
            <w:vAlign w:val="top"/>
          </w:tcPr>
          <w:p w14:paraId="619B718C">
            <w:pPr>
              <w:pStyle w:val="6"/>
              <w:spacing w:before="148" w:line="183" w:lineRule="auto"/>
              <w:ind w:left="17"/>
              <w:rPr>
                <w:sz w:val="16"/>
                <w:szCs w:val="16"/>
              </w:rPr>
            </w:pPr>
            <w:r>
              <w:rPr>
                <w:sz w:val="16"/>
                <w:szCs w:val="16"/>
              </w:rPr>
              <w:t>C</w:t>
            </w:r>
          </w:p>
        </w:tc>
        <w:tc>
          <w:tcPr>
            <w:tcW w:w="244" w:type="dxa"/>
            <w:vAlign w:val="top"/>
          </w:tcPr>
          <w:p w14:paraId="40B80774">
            <w:pPr>
              <w:pStyle w:val="6"/>
              <w:spacing w:before="149" w:line="182" w:lineRule="auto"/>
              <w:ind w:left="18"/>
              <w:rPr>
                <w:sz w:val="16"/>
                <w:szCs w:val="16"/>
              </w:rPr>
            </w:pPr>
            <w:r>
              <w:rPr>
                <w:sz w:val="16"/>
                <w:szCs w:val="16"/>
              </w:rPr>
              <w:t>D</w:t>
            </w:r>
          </w:p>
        </w:tc>
      </w:tr>
      <w:tr w14:paraId="6B87B9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17" w:hRule="atLeast"/>
        </w:trPr>
        <w:tc>
          <w:tcPr>
            <w:tcW w:w="554" w:type="dxa"/>
            <w:vAlign w:val="top"/>
          </w:tcPr>
          <w:p w14:paraId="042E6C8A">
            <w:pPr>
              <w:pStyle w:val="6"/>
              <w:spacing w:before="69" w:line="220" w:lineRule="auto"/>
              <w:ind w:left="105"/>
              <w:rPr>
                <w:sz w:val="16"/>
                <w:szCs w:val="16"/>
              </w:rPr>
            </w:pPr>
            <w:r>
              <w:rPr>
                <w:spacing w:val="7"/>
                <w:sz w:val="16"/>
                <w:szCs w:val="16"/>
              </w:rPr>
              <w:t>家畜</w:t>
            </w:r>
          </w:p>
          <w:p w14:paraId="4DED1F6C">
            <w:pPr>
              <w:pStyle w:val="6"/>
              <w:spacing w:before="28" w:line="219" w:lineRule="auto"/>
              <w:ind w:left="105"/>
              <w:rPr>
                <w:sz w:val="16"/>
                <w:szCs w:val="16"/>
              </w:rPr>
            </w:pPr>
            <w:r>
              <w:rPr>
                <w:spacing w:val="-3"/>
                <w:sz w:val="16"/>
                <w:szCs w:val="16"/>
              </w:rPr>
              <w:t>繁殖</w:t>
            </w:r>
          </w:p>
          <w:p w14:paraId="5DF89AA5">
            <w:pPr>
              <w:pStyle w:val="6"/>
              <w:spacing w:line="219" w:lineRule="auto"/>
              <w:ind w:left="184"/>
              <w:rPr>
                <w:sz w:val="16"/>
                <w:szCs w:val="16"/>
              </w:rPr>
            </w:pPr>
            <w:r>
              <w:rPr>
                <w:sz w:val="16"/>
                <w:szCs w:val="16"/>
              </w:rPr>
              <w:t>力</w:t>
            </w:r>
          </w:p>
        </w:tc>
        <w:tc>
          <w:tcPr>
            <w:tcW w:w="2644" w:type="dxa"/>
            <w:vAlign w:val="top"/>
          </w:tcPr>
          <w:p w14:paraId="08330401">
            <w:pPr>
              <w:pStyle w:val="6"/>
              <w:spacing w:before="178" w:line="219" w:lineRule="auto"/>
              <w:ind w:left="71"/>
              <w:rPr>
                <w:sz w:val="16"/>
                <w:szCs w:val="16"/>
              </w:rPr>
            </w:pPr>
            <w:r>
              <w:rPr>
                <w:spacing w:val="1"/>
                <w:sz w:val="16"/>
                <w:szCs w:val="16"/>
              </w:rPr>
              <w:t>1.家畜的正常繁殖力</w:t>
            </w:r>
          </w:p>
          <w:p w14:paraId="1E9CC707">
            <w:pPr>
              <w:pStyle w:val="6"/>
              <w:spacing w:before="48" w:line="218" w:lineRule="auto"/>
              <w:ind w:left="71"/>
              <w:rPr>
                <w:sz w:val="16"/>
                <w:szCs w:val="16"/>
              </w:rPr>
            </w:pPr>
            <w:r>
              <w:rPr>
                <w:spacing w:val="-1"/>
                <w:sz w:val="16"/>
                <w:szCs w:val="16"/>
              </w:rPr>
              <w:t>2.家畜繁殖力的评价方法</w:t>
            </w:r>
          </w:p>
        </w:tc>
        <w:tc>
          <w:tcPr>
            <w:tcW w:w="229" w:type="dxa"/>
            <w:vAlign w:val="top"/>
          </w:tcPr>
          <w:p w14:paraId="764ACCDE">
            <w:pPr>
              <w:rPr>
                <w:rFonts w:ascii="Arial"/>
                <w:sz w:val="21"/>
              </w:rPr>
            </w:pPr>
          </w:p>
        </w:tc>
        <w:tc>
          <w:tcPr>
            <w:tcW w:w="230" w:type="dxa"/>
            <w:vAlign w:val="top"/>
          </w:tcPr>
          <w:p w14:paraId="073668E5">
            <w:pPr>
              <w:spacing w:before="217" w:line="307" w:lineRule="exact"/>
              <w:ind w:firstLine="51"/>
            </w:pPr>
            <w:r>
              <w:rPr>
                <w:position w:val="-6"/>
              </w:rPr>
              <w:drawing>
                <wp:inline distT="0" distB="0" distL="0" distR="0">
                  <wp:extent cx="83185" cy="194945"/>
                  <wp:effectExtent l="0" t="0" r="0" b="0"/>
                  <wp:docPr id="88" name="IM 88"/>
                  <wp:cNvGraphicFramePr/>
                  <a:graphic xmlns:a="http://schemas.openxmlformats.org/drawingml/2006/main">
                    <a:graphicData uri="http://schemas.openxmlformats.org/drawingml/2006/picture">
                      <pic:pic xmlns:pic="http://schemas.openxmlformats.org/drawingml/2006/picture">
                        <pic:nvPicPr>
                          <pic:cNvPr id="88" name="IM 88"/>
                          <pic:cNvPicPr/>
                        </pic:nvPicPr>
                        <pic:blipFill>
                          <a:blip r:embed="rId209"/>
                          <a:stretch>
                            <a:fillRect/>
                          </a:stretch>
                        </pic:blipFill>
                        <pic:spPr>
                          <a:xfrm>
                            <a:off x="0" y="0"/>
                            <a:ext cx="83336" cy="195070"/>
                          </a:xfrm>
                          <a:prstGeom prst="rect">
                            <a:avLst/>
                          </a:prstGeom>
                        </pic:spPr>
                      </pic:pic>
                    </a:graphicData>
                  </a:graphic>
                </wp:inline>
              </w:drawing>
            </w:r>
          </w:p>
        </w:tc>
        <w:tc>
          <w:tcPr>
            <w:tcW w:w="229" w:type="dxa"/>
            <w:vAlign w:val="top"/>
          </w:tcPr>
          <w:p w14:paraId="6509C9FC">
            <w:pPr>
              <w:rPr>
                <w:rFonts w:ascii="Arial"/>
                <w:sz w:val="21"/>
              </w:rPr>
            </w:pPr>
          </w:p>
        </w:tc>
        <w:tc>
          <w:tcPr>
            <w:tcW w:w="244" w:type="dxa"/>
            <w:vAlign w:val="top"/>
          </w:tcPr>
          <w:p w14:paraId="62FAD3A7">
            <w:pPr>
              <w:rPr>
                <w:rFonts w:ascii="Arial"/>
                <w:sz w:val="21"/>
              </w:rPr>
            </w:pPr>
          </w:p>
        </w:tc>
      </w:tr>
      <w:tr w14:paraId="14EE03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00" w:hRule="atLeast"/>
        </w:trPr>
        <w:tc>
          <w:tcPr>
            <w:tcW w:w="554" w:type="dxa"/>
            <w:vAlign w:val="top"/>
          </w:tcPr>
          <w:p w14:paraId="20A023FE">
            <w:pPr>
              <w:pStyle w:val="6"/>
              <w:spacing w:before="70" w:line="252" w:lineRule="auto"/>
              <w:ind w:left="105" w:right="103"/>
              <w:jc w:val="both"/>
              <w:rPr>
                <w:sz w:val="16"/>
                <w:szCs w:val="16"/>
              </w:rPr>
            </w:pPr>
            <w:r>
              <w:rPr>
                <w:spacing w:val="-4"/>
                <w:sz w:val="16"/>
                <w:szCs w:val="16"/>
              </w:rPr>
              <w:t>提高</w:t>
            </w:r>
            <w:r>
              <w:rPr>
                <w:sz w:val="16"/>
                <w:szCs w:val="16"/>
              </w:rPr>
              <w:t xml:space="preserve"> </w:t>
            </w:r>
            <w:r>
              <w:rPr>
                <w:spacing w:val="7"/>
                <w:sz w:val="16"/>
                <w:szCs w:val="16"/>
              </w:rPr>
              <w:t>家畜</w:t>
            </w:r>
            <w:r>
              <w:rPr>
                <w:sz w:val="16"/>
                <w:szCs w:val="16"/>
              </w:rPr>
              <w:t xml:space="preserve"> </w:t>
            </w:r>
            <w:r>
              <w:rPr>
                <w:spacing w:val="-5"/>
                <w:sz w:val="16"/>
                <w:szCs w:val="16"/>
              </w:rPr>
              <w:t>繁殖</w:t>
            </w:r>
            <w:r>
              <w:rPr>
                <w:sz w:val="16"/>
                <w:szCs w:val="16"/>
              </w:rPr>
              <w:t xml:space="preserve"> </w:t>
            </w:r>
            <w:r>
              <w:rPr>
                <w:spacing w:val="6"/>
                <w:sz w:val="16"/>
                <w:szCs w:val="16"/>
              </w:rPr>
              <w:t>力的</w:t>
            </w:r>
            <w:r>
              <w:rPr>
                <w:sz w:val="16"/>
                <w:szCs w:val="16"/>
              </w:rPr>
              <w:t xml:space="preserve"> </w:t>
            </w:r>
            <w:r>
              <w:rPr>
                <w:spacing w:val="-2"/>
                <w:sz w:val="16"/>
                <w:szCs w:val="16"/>
              </w:rPr>
              <w:t>措施</w:t>
            </w:r>
          </w:p>
        </w:tc>
        <w:tc>
          <w:tcPr>
            <w:tcW w:w="2644" w:type="dxa"/>
            <w:vAlign w:val="top"/>
          </w:tcPr>
          <w:p w14:paraId="5941EEF9">
            <w:pPr>
              <w:spacing w:line="366" w:lineRule="auto"/>
              <w:rPr>
                <w:rFonts w:ascii="Arial"/>
                <w:sz w:val="21"/>
              </w:rPr>
            </w:pPr>
          </w:p>
          <w:p w14:paraId="1B195370">
            <w:pPr>
              <w:pStyle w:val="6"/>
              <w:spacing w:before="52" w:line="241" w:lineRule="auto"/>
              <w:ind w:left="71" w:right="795"/>
              <w:rPr>
                <w:sz w:val="16"/>
                <w:szCs w:val="16"/>
              </w:rPr>
            </w:pPr>
            <w:r>
              <w:rPr>
                <w:sz w:val="16"/>
                <w:szCs w:val="16"/>
              </w:rPr>
              <w:t>1.影响家畜繁殖力的因素</w:t>
            </w:r>
            <w:r>
              <w:rPr>
                <w:spacing w:val="6"/>
                <w:sz w:val="16"/>
                <w:szCs w:val="16"/>
              </w:rPr>
              <w:t xml:space="preserve"> </w:t>
            </w:r>
            <w:r>
              <w:rPr>
                <w:spacing w:val="-1"/>
                <w:sz w:val="16"/>
                <w:szCs w:val="16"/>
              </w:rPr>
              <w:t>2.提高家畜繁殖力的措施</w:t>
            </w:r>
          </w:p>
        </w:tc>
        <w:tc>
          <w:tcPr>
            <w:tcW w:w="229" w:type="dxa"/>
            <w:vAlign w:val="top"/>
          </w:tcPr>
          <w:p w14:paraId="191712A1">
            <w:pPr>
              <w:rPr>
                <w:rFonts w:ascii="Arial"/>
                <w:sz w:val="21"/>
              </w:rPr>
            </w:pPr>
          </w:p>
        </w:tc>
        <w:tc>
          <w:tcPr>
            <w:tcW w:w="230" w:type="dxa"/>
            <w:vAlign w:val="top"/>
          </w:tcPr>
          <w:p w14:paraId="5612C18B">
            <w:pPr>
              <w:rPr>
                <w:rFonts w:ascii="Arial"/>
                <w:sz w:val="21"/>
              </w:rPr>
            </w:pPr>
          </w:p>
        </w:tc>
        <w:tc>
          <w:tcPr>
            <w:tcW w:w="229" w:type="dxa"/>
            <w:vAlign w:val="top"/>
          </w:tcPr>
          <w:p w14:paraId="68E8D191">
            <w:pPr>
              <w:rPr>
                <w:rFonts w:ascii="Arial"/>
                <w:sz w:val="21"/>
              </w:rPr>
            </w:pPr>
          </w:p>
        </w:tc>
        <w:tc>
          <w:tcPr>
            <w:tcW w:w="244" w:type="dxa"/>
            <w:vAlign w:val="top"/>
          </w:tcPr>
          <w:p w14:paraId="31C5EA21">
            <w:pPr>
              <w:rPr>
                <w:rFonts w:ascii="Arial"/>
                <w:sz w:val="21"/>
              </w:rPr>
            </w:pPr>
          </w:p>
        </w:tc>
      </w:tr>
    </w:tbl>
    <w:p w14:paraId="4DC97CD9">
      <w:pPr>
        <w:pStyle w:val="2"/>
        <w:spacing w:line="430" w:lineRule="auto"/>
      </w:pPr>
    </w:p>
    <w:p w14:paraId="3DFF0A27">
      <w:pPr>
        <w:spacing w:before="55" w:line="221" w:lineRule="auto"/>
        <w:ind w:left="82"/>
        <w:rPr>
          <w:rFonts w:ascii="黑体" w:hAnsi="黑体" w:eastAsia="黑体" w:cs="黑体"/>
          <w:sz w:val="17"/>
          <w:szCs w:val="17"/>
        </w:rPr>
      </w:pPr>
      <w:r>
        <w:rPr>
          <w:rFonts w:ascii="黑体" w:hAnsi="黑体" w:eastAsia="黑体" w:cs="黑体"/>
          <w:b/>
          <w:bCs/>
          <w:spacing w:val="-9"/>
          <w:sz w:val="17"/>
          <w:szCs w:val="17"/>
        </w:rPr>
        <w:t>四</w:t>
      </w:r>
      <w:r>
        <w:rPr>
          <w:rFonts w:ascii="黑体" w:hAnsi="黑体" w:eastAsia="黑体" w:cs="黑体"/>
          <w:spacing w:val="15"/>
          <w:sz w:val="17"/>
          <w:szCs w:val="17"/>
        </w:rPr>
        <w:t xml:space="preserve"> </w:t>
      </w:r>
      <w:r>
        <w:rPr>
          <w:rFonts w:ascii="黑体" w:hAnsi="黑体" w:eastAsia="黑体" w:cs="黑体"/>
          <w:b/>
          <w:bCs/>
          <w:spacing w:val="-9"/>
          <w:sz w:val="17"/>
          <w:szCs w:val="17"/>
        </w:rPr>
        <w:t>、考</w:t>
      </w:r>
      <w:r>
        <w:rPr>
          <w:rFonts w:ascii="黑体" w:hAnsi="黑体" w:eastAsia="黑体" w:cs="黑体"/>
          <w:spacing w:val="-9"/>
          <w:sz w:val="17"/>
          <w:szCs w:val="17"/>
        </w:rPr>
        <w:t xml:space="preserve"> </w:t>
      </w:r>
      <w:r>
        <w:rPr>
          <w:rFonts w:ascii="黑体" w:hAnsi="黑体" w:eastAsia="黑体" w:cs="黑体"/>
          <w:b/>
          <w:bCs/>
          <w:spacing w:val="-9"/>
          <w:sz w:val="17"/>
          <w:szCs w:val="17"/>
        </w:rPr>
        <w:t>试</w:t>
      </w:r>
      <w:r>
        <w:rPr>
          <w:rFonts w:ascii="黑体" w:hAnsi="黑体" w:eastAsia="黑体" w:cs="黑体"/>
          <w:spacing w:val="-9"/>
          <w:sz w:val="17"/>
          <w:szCs w:val="17"/>
        </w:rPr>
        <w:t xml:space="preserve"> </w:t>
      </w:r>
      <w:r>
        <w:rPr>
          <w:rFonts w:ascii="黑体" w:hAnsi="黑体" w:eastAsia="黑体" w:cs="黑体"/>
          <w:b/>
          <w:bCs/>
          <w:spacing w:val="-9"/>
          <w:sz w:val="17"/>
          <w:szCs w:val="17"/>
        </w:rPr>
        <w:t>形</w:t>
      </w:r>
      <w:r>
        <w:rPr>
          <w:rFonts w:ascii="黑体" w:hAnsi="黑体" w:eastAsia="黑体" w:cs="黑体"/>
          <w:spacing w:val="-9"/>
          <w:sz w:val="17"/>
          <w:szCs w:val="17"/>
        </w:rPr>
        <w:t xml:space="preserve"> </w:t>
      </w:r>
      <w:r>
        <w:rPr>
          <w:rFonts w:ascii="黑体" w:hAnsi="黑体" w:eastAsia="黑体" w:cs="黑体"/>
          <w:b/>
          <w:bCs/>
          <w:spacing w:val="-9"/>
          <w:sz w:val="17"/>
          <w:szCs w:val="17"/>
        </w:rPr>
        <w:t>式</w:t>
      </w:r>
      <w:r>
        <w:rPr>
          <w:rFonts w:ascii="黑体" w:hAnsi="黑体" w:eastAsia="黑体" w:cs="黑体"/>
          <w:spacing w:val="-9"/>
          <w:sz w:val="17"/>
          <w:szCs w:val="17"/>
        </w:rPr>
        <w:t xml:space="preserve"> </w:t>
      </w:r>
      <w:r>
        <w:rPr>
          <w:rFonts w:ascii="黑体" w:hAnsi="黑体" w:eastAsia="黑体" w:cs="黑体"/>
          <w:b/>
          <w:bCs/>
          <w:spacing w:val="-9"/>
          <w:sz w:val="17"/>
          <w:szCs w:val="17"/>
        </w:rPr>
        <w:t>试</w:t>
      </w:r>
      <w:r>
        <w:rPr>
          <w:rFonts w:ascii="黑体" w:hAnsi="黑体" w:eastAsia="黑体" w:cs="黑体"/>
          <w:spacing w:val="-7"/>
          <w:sz w:val="17"/>
          <w:szCs w:val="17"/>
        </w:rPr>
        <w:t xml:space="preserve"> </w:t>
      </w:r>
      <w:r>
        <w:rPr>
          <w:rFonts w:ascii="黑体" w:hAnsi="黑体" w:eastAsia="黑体" w:cs="黑体"/>
          <w:b/>
          <w:bCs/>
          <w:spacing w:val="-9"/>
          <w:sz w:val="17"/>
          <w:szCs w:val="17"/>
        </w:rPr>
        <w:t>卷</w:t>
      </w:r>
      <w:r>
        <w:rPr>
          <w:rFonts w:ascii="黑体" w:hAnsi="黑体" w:eastAsia="黑体" w:cs="黑体"/>
          <w:spacing w:val="-10"/>
          <w:sz w:val="17"/>
          <w:szCs w:val="17"/>
        </w:rPr>
        <w:t xml:space="preserve"> </w:t>
      </w:r>
      <w:r>
        <w:rPr>
          <w:rFonts w:ascii="黑体" w:hAnsi="黑体" w:eastAsia="黑体" w:cs="黑体"/>
          <w:b/>
          <w:bCs/>
          <w:spacing w:val="-9"/>
          <w:sz w:val="17"/>
          <w:szCs w:val="17"/>
        </w:rPr>
        <w:t>结</w:t>
      </w:r>
      <w:r>
        <w:rPr>
          <w:rFonts w:ascii="黑体" w:hAnsi="黑体" w:eastAsia="黑体" w:cs="黑体"/>
          <w:spacing w:val="-12"/>
          <w:sz w:val="17"/>
          <w:szCs w:val="17"/>
        </w:rPr>
        <w:t xml:space="preserve"> </w:t>
      </w:r>
      <w:r>
        <w:rPr>
          <w:rFonts w:ascii="黑体" w:hAnsi="黑体" w:eastAsia="黑体" w:cs="黑体"/>
          <w:b/>
          <w:bCs/>
          <w:spacing w:val="-9"/>
          <w:sz w:val="17"/>
          <w:szCs w:val="17"/>
        </w:rPr>
        <w:t>构</w:t>
      </w:r>
    </w:p>
    <w:p w14:paraId="507355AF">
      <w:pPr>
        <w:spacing w:before="110" w:line="219" w:lineRule="auto"/>
        <w:ind w:left="450"/>
        <w:rPr>
          <w:rFonts w:ascii="宋体" w:hAnsi="宋体" w:eastAsia="宋体" w:cs="宋体"/>
          <w:sz w:val="17"/>
          <w:szCs w:val="17"/>
        </w:rPr>
      </w:pPr>
      <w:r>
        <w:rPr>
          <w:rFonts w:ascii="宋体" w:hAnsi="宋体" w:eastAsia="宋体" w:cs="宋体"/>
          <w:spacing w:val="-5"/>
          <w:sz w:val="17"/>
          <w:szCs w:val="17"/>
        </w:rPr>
        <w:t>1.考试形式：</w:t>
      </w:r>
    </w:p>
    <w:p w14:paraId="03C60F02">
      <w:pPr>
        <w:spacing w:before="87" w:line="219" w:lineRule="auto"/>
        <w:ind w:left="510"/>
        <w:rPr>
          <w:rFonts w:ascii="宋体" w:hAnsi="宋体" w:eastAsia="宋体" w:cs="宋体"/>
          <w:sz w:val="17"/>
          <w:szCs w:val="17"/>
        </w:rPr>
      </w:pPr>
      <w:r>
        <w:rPr>
          <w:rFonts w:ascii="宋体" w:hAnsi="宋体" w:eastAsia="宋体" w:cs="宋体"/>
          <w:spacing w:val="6"/>
          <w:sz w:val="17"/>
          <w:szCs w:val="17"/>
        </w:rPr>
        <w:t>(1)采用闭卷笔答形式：</w:t>
      </w:r>
    </w:p>
    <w:p w14:paraId="3A1A5159">
      <w:pPr>
        <w:spacing w:before="80" w:line="219" w:lineRule="auto"/>
        <w:ind w:left="510"/>
        <w:rPr>
          <w:rFonts w:ascii="宋体" w:hAnsi="宋体" w:eastAsia="宋体" w:cs="宋体"/>
          <w:sz w:val="17"/>
          <w:szCs w:val="17"/>
        </w:rPr>
      </w:pPr>
      <w:r>
        <w:rPr>
          <w:rFonts w:ascii="宋体" w:hAnsi="宋体" w:eastAsia="宋体" w:cs="宋体"/>
          <w:spacing w:val="12"/>
          <w:sz w:val="17"/>
          <w:szCs w:val="17"/>
        </w:rPr>
        <w:t>(2)全卷满分200分，时间150分钟。</w:t>
      </w:r>
    </w:p>
    <w:p w14:paraId="53B45129">
      <w:pPr>
        <w:spacing w:before="89" w:line="220" w:lineRule="auto"/>
        <w:ind w:left="450"/>
        <w:rPr>
          <w:rFonts w:ascii="宋体" w:hAnsi="宋体" w:eastAsia="宋体" w:cs="宋体"/>
          <w:sz w:val="17"/>
          <w:szCs w:val="17"/>
        </w:rPr>
      </w:pPr>
      <w:r>
        <w:rPr>
          <w:rFonts w:ascii="宋体" w:hAnsi="宋体" w:eastAsia="宋体" w:cs="宋体"/>
          <w:spacing w:val="-5"/>
          <w:sz w:val="17"/>
          <w:szCs w:val="17"/>
        </w:rPr>
        <w:t>2.试卷结构：</w:t>
      </w:r>
    </w:p>
    <w:p w14:paraId="5FBA7132">
      <w:pPr>
        <w:spacing w:before="96" w:line="289" w:lineRule="auto"/>
        <w:ind w:left="80" w:right="228" w:firstLine="370"/>
        <w:rPr>
          <w:rFonts w:ascii="宋体" w:hAnsi="宋体" w:eastAsia="宋体" w:cs="宋体"/>
          <w:sz w:val="17"/>
          <w:szCs w:val="17"/>
        </w:rPr>
      </w:pPr>
      <w:r>
        <w:rPr>
          <w:rFonts w:ascii="宋体" w:hAnsi="宋体" w:eastAsia="宋体" w:cs="宋体"/>
          <w:spacing w:val="-7"/>
          <w:sz w:val="17"/>
          <w:szCs w:val="17"/>
        </w:rPr>
        <w:t>农林牧渔类综合课考试为一份试卷，《化学》、《植</w:t>
      </w:r>
      <w:r>
        <w:rPr>
          <w:rFonts w:ascii="宋体" w:hAnsi="宋体" w:eastAsia="宋体" w:cs="宋体"/>
          <w:spacing w:val="3"/>
          <w:sz w:val="17"/>
          <w:szCs w:val="17"/>
        </w:rPr>
        <w:t xml:space="preserve">  </w:t>
      </w:r>
      <w:r>
        <w:rPr>
          <w:rFonts w:ascii="宋体" w:hAnsi="宋体" w:eastAsia="宋体" w:cs="宋体"/>
          <w:spacing w:val="-1"/>
          <w:sz w:val="17"/>
          <w:szCs w:val="17"/>
        </w:rPr>
        <w:t>物生产与环境》、《植物保护技术》、《农业生物技术》</w:t>
      </w:r>
      <w:r>
        <w:rPr>
          <w:rFonts w:ascii="宋体" w:hAnsi="宋体" w:eastAsia="宋体" w:cs="宋体"/>
          <w:spacing w:val="10"/>
          <w:sz w:val="17"/>
          <w:szCs w:val="17"/>
        </w:rPr>
        <w:t xml:space="preserve"> </w:t>
      </w:r>
      <w:r>
        <w:rPr>
          <w:rFonts w:ascii="宋体" w:hAnsi="宋体" w:eastAsia="宋体" w:cs="宋体"/>
          <w:spacing w:val="-2"/>
          <w:sz w:val="17"/>
          <w:szCs w:val="17"/>
        </w:rPr>
        <w:t>为种植类考生必考科目；《化学》、《畜禽解剖生理》、</w:t>
      </w:r>
    </w:p>
    <w:p w14:paraId="7A2E945A">
      <w:pPr>
        <w:pStyle w:val="2"/>
        <w:spacing w:line="14" w:lineRule="auto"/>
        <w:rPr>
          <w:sz w:val="2"/>
        </w:rPr>
      </w:pPr>
      <w:r>
        <w:rPr>
          <w:sz w:val="2"/>
          <w:szCs w:val="2"/>
        </w:rPr>
        <w:br w:type="column"/>
      </w:r>
    </w:p>
    <w:p w14:paraId="547E2AD5">
      <w:pPr>
        <w:spacing w:before="8" w:line="299" w:lineRule="auto"/>
        <w:ind w:left="24" w:hanging="24"/>
        <w:jc w:val="both"/>
        <w:rPr>
          <w:rFonts w:ascii="宋体" w:hAnsi="宋体" w:eastAsia="宋体" w:cs="宋体"/>
          <w:sz w:val="17"/>
          <w:szCs w:val="17"/>
        </w:rPr>
      </w:pPr>
      <w:r>
        <w:rPr>
          <w:rFonts w:ascii="宋体" w:hAnsi="宋体" w:eastAsia="宋体" w:cs="宋体"/>
          <w:spacing w:val="2"/>
          <w:sz w:val="17"/>
          <w:szCs w:val="17"/>
        </w:rPr>
        <w:t>《畜禽营养与饲料》、《畜禽繁殖与改良》为养殖类考</w:t>
      </w:r>
      <w:r>
        <w:rPr>
          <w:rFonts w:ascii="宋体" w:hAnsi="宋体" w:eastAsia="宋体" w:cs="宋体"/>
          <w:spacing w:val="16"/>
          <w:sz w:val="17"/>
          <w:szCs w:val="17"/>
        </w:rPr>
        <w:t xml:space="preserve"> </w:t>
      </w:r>
      <w:r>
        <w:rPr>
          <w:rFonts w:ascii="宋体" w:hAnsi="宋体" w:eastAsia="宋体" w:cs="宋体"/>
          <w:spacing w:val="2"/>
          <w:sz w:val="17"/>
          <w:szCs w:val="17"/>
        </w:rPr>
        <w:t>生必考科目。入选的试题主要按题型和难度排列，</w:t>
      </w:r>
      <w:r>
        <w:rPr>
          <w:rFonts w:ascii="宋体" w:hAnsi="宋体" w:eastAsia="宋体" w:cs="宋体"/>
          <w:spacing w:val="1"/>
          <w:sz w:val="17"/>
          <w:szCs w:val="17"/>
        </w:rPr>
        <w:t>选择</w:t>
      </w:r>
      <w:r>
        <w:rPr>
          <w:rFonts w:ascii="宋体" w:hAnsi="宋体" w:eastAsia="宋体" w:cs="宋体"/>
          <w:sz w:val="17"/>
          <w:szCs w:val="17"/>
        </w:rPr>
        <w:t xml:space="preserve"> </w:t>
      </w:r>
      <w:r>
        <w:rPr>
          <w:rFonts w:ascii="宋体" w:hAnsi="宋体" w:eastAsia="宋体" w:cs="宋体"/>
          <w:spacing w:val="2"/>
          <w:sz w:val="17"/>
          <w:szCs w:val="17"/>
        </w:rPr>
        <w:t>题在前，非选择题在后；同一学科、同一题型的试题相</w:t>
      </w:r>
      <w:r>
        <w:rPr>
          <w:rFonts w:ascii="宋体" w:hAnsi="宋体" w:eastAsia="宋体" w:cs="宋体"/>
          <w:spacing w:val="5"/>
          <w:sz w:val="17"/>
          <w:szCs w:val="17"/>
        </w:rPr>
        <w:t xml:space="preserve"> </w:t>
      </w:r>
      <w:r>
        <w:rPr>
          <w:rFonts w:ascii="宋体" w:hAnsi="宋体" w:eastAsia="宋体" w:cs="宋体"/>
          <w:spacing w:val="2"/>
          <w:sz w:val="17"/>
          <w:szCs w:val="17"/>
        </w:rPr>
        <w:t>对集中，同一学科不同试题尽量按由易到难排序。跨学</w:t>
      </w:r>
      <w:r>
        <w:rPr>
          <w:rFonts w:ascii="宋体" w:hAnsi="宋体" w:eastAsia="宋体" w:cs="宋体"/>
          <w:sz w:val="17"/>
          <w:szCs w:val="17"/>
        </w:rPr>
        <w:t xml:space="preserve"> </w:t>
      </w:r>
      <w:r>
        <w:rPr>
          <w:rFonts w:ascii="宋体" w:hAnsi="宋体" w:eastAsia="宋体" w:cs="宋体"/>
          <w:spacing w:val="-3"/>
          <w:sz w:val="17"/>
          <w:szCs w:val="17"/>
        </w:rPr>
        <w:t>科综合题在试卷中注明。</w:t>
      </w:r>
    </w:p>
    <w:p w14:paraId="3038D3EC">
      <w:pPr>
        <w:spacing w:before="75" w:line="219" w:lineRule="auto"/>
        <w:ind w:left="465"/>
        <w:rPr>
          <w:rFonts w:ascii="宋体" w:hAnsi="宋体" w:eastAsia="宋体" w:cs="宋体"/>
          <w:sz w:val="17"/>
          <w:szCs w:val="17"/>
        </w:rPr>
      </w:pPr>
      <w:r>
        <w:rPr>
          <w:rFonts w:ascii="宋体" w:hAnsi="宋体" w:eastAsia="宋体" w:cs="宋体"/>
          <w:spacing w:val="8"/>
          <w:sz w:val="17"/>
          <w:szCs w:val="17"/>
        </w:rPr>
        <w:t>(1)按知识点分：</w:t>
      </w:r>
    </w:p>
    <w:p w14:paraId="5BAF6753">
      <w:pPr>
        <w:spacing w:line="106" w:lineRule="exact"/>
      </w:pPr>
    </w:p>
    <w:tbl>
      <w:tblPr>
        <w:tblStyle w:val="5"/>
        <w:tblW w:w="4090" w:type="dxa"/>
        <w:tblInd w:w="3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292"/>
        <w:gridCol w:w="2798"/>
      </w:tblGrid>
      <w:tr w14:paraId="2D9C79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1292" w:type="dxa"/>
            <w:tcBorders>
              <w:top w:val="single" w:color="000000" w:sz="2" w:space="0"/>
              <w:bottom w:val="single" w:color="000000" w:sz="2" w:space="0"/>
            </w:tcBorders>
            <w:vAlign w:val="top"/>
          </w:tcPr>
          <w:p w14:paraId="595332D3">
            <w:pPr>
              <w:pStyle w:val="6"/>
              <w:spacing w:before="63" w:line="219" w:lineRule="auto"/>
              <w:ind w:left="457"/>
              <w:rPr>
                <w:sz w:val="18"/>
                <w:szCs w:val="18"/>
              </w:rPr>
            </w:pPr>
            <w:r>
              <w:rPr>
                <w:b/>
                <w:bCs/>
                <w:spacing w:val="-5"/>
                <w:sz w:val="18"/>
                <w:szCs w:val="18"/>
              </w:rPr>
              <w:t>学科</w:t>
            </w:r>
          </w:p>
        </w:tc>
        <w:tc>
          <w:tcPr>
            <w:tcW w:w="2798" w:type="dxa"/>
            <w:tcBorders>
              <w:top w:val="single" w:color="000000" w:sz="2" w:space="0"/>
              <w:bottom w:val="single" w:color="000000" w:sz="2" w:space="0"/>
            </w:tcBorders>
            <w:vAlign w:val="top"/>
          </w:tcPr>
          <w:p w14:paraId="3357E90F">
            <w:pPr>
              <w:pStyle w:val="6"/>
              <w:spacing w:before="67" w:line="221" w:lineRule="auto"/>
              <w:ind w:left="1145"/>
              <w:rPr>
                <w:sz w:val="18"/>
                <w:szCs w:val="18"/>
              </w:rPr>
            </w:pPr>
            <w:r>
              <w:rPr>
                <w:b/>
                <w:bCs/>
                <w:spacing w:val="1"/>
                <w:sz w:val="18"/>
                <w:szCs w:val="18"/>
              </w:rPr>
              <w:t>知识点</w:t>
            </w:r>
          </w:p>
        </w:tc>
      </w:tr>
      <w:tr w14:paraId="1FCD12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5" w:hRule="atLeast"/>
        </w:trPr>
        <w:tc>
          <w:tcPr>
            <w:tcW w:w="1292" w:type="dxa"/>
            <w:vMerge w:val="restart"/>
            <w:tcBorders>
              <w:top w:val="single" w:color="000000" w:sz="2" w:space="0"/>
              <w:bottom w:val="nil"/>
            </w:tcBorders>
            <w:vAlign w:val="top"/>
          </w:tcPr>
          <w:p w14:paraId="31FEF367">
            <w:pPr>
              <w:spacing w:line="246" w:lineRule="auto"/>
              <w:rPr>
                <w:rFonts w:ascii="Arial"/>
                <w:sz w:val="21"/>
              </w:rPr>
            </w:pPr>
          </w:p>
          <w:p w14:paraId="19D3CF26">
            <w:pPr>
              <w:spacing w:line="246" w:lineRule="auto"/>
              <w:rPr>
                <w:rFonts w:ascii="Arial"/>
                <w:sz w:val="21"/>
              </w:rPr>
            </w:pPr>
          </w:p>
          <w:p w14:paraId="2910C300">
            <w:pPr>
              <w:pStyle w:val="6"/>
              <w:spacing w:before="58" w:line="228" w:lineRule="auto"/>
              <w:ind w:left="365" w:right="337" w:firstLine="89"/>
              <w:rPr>
                <w:sz w:val="18"/>
                <w:szCs w:val="18"/>
              </w:rPr>
            </w:pPr>
            <w:r>
              <w:rPr>
                <w:spacing w:val="-4"/>
                <w:sz w:val="18"/>
                <w:szCs w:val="18"/>
              </w:rPr>
              <w:t>化学</w:t>
            </w:r>
            <w:r>
              <w:rPr>
                <w:sz w:val="18"/>
                <w:szCs w:val="18"/>
              </w:rPr>
              <w:t xml:space="preserve">  </w:t>
            </w:r>
            <w:r>
              <w:rPr>
                <w:spacing w:val="7"/>
                <w:sz w:val="18"/>
                <w:szCs w:val="18"/>
              </w:rPr>
              <w:t>(40分)</w:t>
            </w:r>
          </w:p>
        </w:tc>
        <w:tc>
          <w:tcPr>
            <w:tcW w:w="2798" w:type="dxa"/>
            <w:tcBorders>
              <w:top w:val="single" w:color="000000" w:sz="2" w:space="0"/>
              <w:bottom w:val="single" w:color="000000" w:sz="2" w:space="0"/>
            </w:tcBorders>
            <w:vAlign w:val="top"/>
          </w:tcPr>
          <w:p w14:paraId="60FBF5D8">
            <w:pPr>
              <w:pStyle w:val="6"/>
              <w:spacing w:before="62" w:line="219" w:lineRule="auto"/>
              <w:ind w:left="2"/>
              <w:rPr>
                <w:sz w:val="18"/>
                <w:szCs w:val="18"/>
              </w:rPr>
            </w:pPr>
            <w:r>
              <w:rPr>
                <w:spacing w:val="-1"/>
                <w:sz w:val="18"/>
                <w:szCs w:val="18"/>
              </w:rPr>
              <w:t>化学的基本概念及理论</w:t>
            </w:r>
          </w:p>
        </w:tc>
      </w:tr>
      <w:tr w14:paraId="627A96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5" w:hRule="atLeast"/>
        </w:trPr>
        <w:tc>
          <w:tcPr>
            <w:tcW w:w="1292" w:type="dxa"/>
            <w:vMerge w:val="continue"/>
            <w:tcBorders>
              <w:top w:val="nil"/>
              <w:bottom w:val="nil"/>
            </w:tcBorders>
            <w:vAlign w:val="top"/>
          </w:tcPr>
          <w:p w14:paraId="2D4D887A">
            <w:pPr>
              <w:rPr>
                <w:rFonts w:ascii="Arial"/>
                <w:sz w:val="21"/>
              </w:rPr>
            </w:pPr>
          </w:p>
        </w:tc>
        <w:tc>
          <w:tcPr>
            <w:tcW w:w="2798" w:type="dxa"/>
            <w:tcBorders>
              <w:top w:val="single" w:color="000000" w:sz="2" w:space="0"/>
              <w:bottom w:val="single" w:color="000000" w:sz="2" w:space="0"/>
            </w:tcBorders>
            <w:vAlign w:val="top"/>
          </w:tcPr>
          <w:p w14:paraId="254997E0">
            <w:pPr>
              <w:pStyle w:val="6"/>
              <w:spacing w:before="53" w:line="220" w:lineRule="auto"/>
              <w:ind w:left="2"/>
              <w:rPr>
                <w:sz w:val="18"/>
                <w:szCs w:val="18"/>
              </w:rPr>
            </w:pPr>
            <w:r>
              <w:rPr>
                <w:spacing w:val="-2"/>
                <w:sz w:val="18"/>
                <w:szCs w:val="18"/>
              </w:rPr>
              <w:t>溶液知识</w:t>
            </w:r>
          </w:p>
        </w:tc>
      </w:tr>
      <w:tr w14:paraId="7897B8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5" w:hRule="atLeast"/>
        </w:trPr>
        <w:tc>
          <w:tcPr>
            <w:tcW w:w="1292" w:type="dxa"/>
            <w:vMerge w:val="continue"/>
            <w:tcBorders>
              <w:top w:val="nil"/>
              <w:bottom w:val="nil"/>
            </w:tcBorders>
            <w:vAlign w:val="top"/>
          </w:tcPr>
          <w:p w14:paraId="3C33BB80">
            <w:pPr>
              <w:rPr>
                <w:rFonts w:ascii="Arial"/>
                <w:sz w:val="21"/>
              </w:rPr>
            </w:pPr>
          </w:p>
        </w:tc>
        <w:tc>
          <w:tcPr>
            <w:tcW w:w="2798" w:type="dxa"/>
            <w:tcBorders>
              <w:top w:val="single" w:color="000000" w:sz="2" w:space="0"/>
              <w:bottom w:val="single" w:color="000000" w:sz="2" w:space="0"/>
            </w:tcBorders>
            <w:vAlign w:val="top"/>
          </w:tcPr>
          <w:p w14:paraId="6499FEEC">
            <w:pPr>
              <w:pStyle w:val="6"/>
              <w:spacing w:before="53" w:line="219" w:lineRule="auto"/>
              <w:ind w:left="2"/>
              <w:rPr>
                <w:sz w:val="18"/>
                <w:szCs w:val="18"/>
              </w:rPr>
            </w:pPr>
            <w:r>
              <w:rPr>
                <w:spacing w:val="-2"/>
                <w:sz w:val="18"/>
                <w:szCs w:val="18"/>
              </w:rPr>
              <w:t>元素知识</w:t>
            </w:r>
          </w:p>
        </w:tc>
      </w:tr>
      <w:tr w14:paraId="1DBD3A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5" w:hRule="atLeast"/>
        </w:trPr>
        <w:tc>
          <w:tcPr>
            <w:tcW w:w="1292" w:type="dxa"/>
            <w:vMerge w:val="continue"/>
            <w:tcBorders>
              <w:top w:val="nil"/>
              <w:bottom w:val="nil"/>
            </w:tcBorders>
            <w:vAlign w:val="top"/>
          </w:tcPr>
          <w:p w14:paraId="14196AD2">
            <w:pPr>
              <w:rPr>
                <w:rFonts w:ascii="Arial"/>
                <w:sz w:val="21"/>
              </w:rPr>
            </w:pPr>
          </w:p>
        </w:tc>
        <w:tc>
          <w:tcPr>
            <w:tcW w:w="2798" w:type="dxa"/>
            <w:tcBorders>
              <w:top w:val="single" w:color="000000" w:sz="2" w:space="0"/>
              <w:bottom w:val="single" w:color="000000" w:sz="2" w:space="0"/>
            </w:tcBorders>
            <w:vAlign w:val="top"/>
          </w:tcPr>
          <w:p w14:paraId="120A6A19">
            <w:pPr>
              <w:pStyle w:val="6"/>
              <w:spacing w:before="62" w:line="219" w:lineRule="auto"/>
              <w:ind w:left="2"/>
              <w:rPr>
                <w:sz w:val="18"/>
                <w:szCs w:val="18"/>
              </w:rPr>
            </w:pPr>
            <w:r>
              <w:rPr>
                <w:spacing w:val="-2"/>
                <w:sz w:val="18"/>
                <w:szCs w:val="18"/>
              </w:rPr>
              <w:t>有机化学</w:t>
            </w:r>
          </w:p>
        </w:tc>
      </w:tr>
      <w:tr w14:paraId="5F414D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5" w:hRule="atLeast"/>
        </w:trPr>
        <w:tc>
          <w:tcPr>
            <w:tcW w:w="1292" w:type="dxa"/>
            <w:vMerge w:val="continue"/>
            <w:tcBorders>
              <w:top w:val="nil"/>
              <w:bottom w:val="single" w:color="000000" w:sz="2" w:space="0"/>
            </w:tcBorders>
            <w:vAlign w:val="top"/>
          </w:tcPr>
          <w:p w14:paraId="1662C5F2">
            <w:pPr>
              <w:rPr>
                <w:rFonts w:ascii="Arial"/>
                <w:sz w:val="21"/>
              </w:rPr>
            </w:pPr>
          </w:p>
        </w:tc>
        <w:tc>
          <w:tcPr>
            <w:tcW w:w="2798" w:type="dxa"/>
            <w:tcBorders>
              <w:top w:val="single" w:color="000000" w:sz="2" w:space="0"/>
              <w:bottom w:val="single" w:color="000000" w:sz="2" w:space="0"/>
            </w:tcBorders>
            <w:vAlign w:val="top"/>
          </w:tcPr>
          <w:p w14:paraId="2FE3EB48">
            <w:pPr>
              <w:pStyle w:val="6"/>
              <w:spacing w:before="63" w:line="219" w:lineRule="auto"/>
              <w:ind w:left="2"/>
              <w:rPr>
                <w:sz w:val="18"/>
                <w:szCs w:val="18"/>
              </w:rPr>
            </w:pPr>
            <w:r>
              <w:rPr>
                <w:spacing w:val="-2"/>
                <w:sz w:val="18"/>
                <w:szCs w:val="18"/>
              </w:rPr>
              <w:t>化学计算</w:t>
            </w:r>
          </w:p>
        </w:tc>
      </w:tr>
      <w:tr w14:paraId="287DFB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5" w:hRule="atLeast"/>
        </w:trPr>
        <w:tc>
          <w:tcPr>
            <w:tcW w:w="1292" w:type="dxa"/>
            <w:vMerge w:val="restart"/>
            <w:tcBorders>
              <w:top w:val="single" w:color="000000" w:sz="2" w:space="0"/>
              <w:bottom w:val="nil"/>
            </w:tcBorders>
            <w:vAlign w:val="top"/>
          </w:tcPr>
          <w:p w14:paraId="06743FDC">
            <w:pPr>
              <w:spacing w:line="350" w:lineRule="auto"/>
              <w:rPr>
                <w:rFonts w:ascii="Arial"/>
                <w:sz w:val="21"/>
              </w:rPr>
            </w:pPr>
          </w:p>
          <w:p w14:paraId="0AC6678B">
            <w:pPr>
              <w:spacing w:line="350" w:lineRule="auto"/>
              <w:rPr>
                <w:rFonts w:ascii="Arial"/>
                <w:sz w:val="21"/>
              </w:rPr>
            </w:pPr>
          </w:p>
          <w:p w14:paraId="36806F97">
            <w:pPr>
              <w:pStyle w:val="6"/>
              <w:spacing w:before="58" w:line="216" w:lineRule="auto"/>
              <w:ind w:left="184"/>
              <w:rPr>
                <w:sz w:val="18"/>
                <w:szCs w:val="18"/>
              </w:rPr>
            </w:pPr>
            <w:r>
              <w:rPr>
                <w:spacing w:val="2"/>
                <w:sz w:val="18"/>
                <w:szCs w:val="18"/>
              </w:rPr>
              <w:t>植物生产与</w:t>
            </w:r>
          </w:p>
          <w:p w14:paraId="27CEB13A">
            <w:pPr>
              <w:pStyle w:val="6"/>
              <w:spacing w:line="215" w:lineRule="auto"/>
              <w:ind w:left="454"/>
              <w:rPr>
                <w:sz w:val="18"/>
                <w:szCs w:val="18"/>
              </w:rPr>
            </w:pPr>
            <w:r>
              <w:rPr>
                <w:spacing w:val="-2"/>
                <w:sz w:val="18"/>
                <w:szCs w:val="18"/>
              </w:rPr>
              <w:t>环境</w:t>
            </w:r>
          </w:p>
          <w:p w14:paraId="658207F5">
            <w:pPr>
              <w:pStyle w:val="6"/>
              <w:spacing w:line="220" w:lineRule="auto"/>
              <w:ind w:left="365"/>
              <w:rPr>
                <w:sz w:val="18"/>
                <w:szCs w:val="18"/>
              </w:rPr>
            </w:pPr>
            <w:r>
              <w:rPr>
                <w:spacing w:val="7"/>
                <w:sz w:val="18"/>
                <w:szCs w:val="18"/>
              </w:rPr>
              <w:t>(80分)</w:t>
            </w:r>
          </w:p>
        </w:tc>
        <w:tc>
          <w:tcPr>
            <w:tcW w:w="2798" w:type="dxa"/>
            <w:tcBorders>
              <w:top w:val="single" w:color="000000" w:sz="2" w:space="0"/>
              <w:bottom w:val="single" w:color="000000" w:sz="2" w:space="0"/>
            </w:tcBorders>
            <w:vAlign w:val="top"/>
          </w:tcPr>
          <w:p w14:paraId="4F559DC1">
            <w:pPr>
              <w:pStyle w:val="6"/>
              <w:spacing w:before="63" w:line="219" w:lineRule="auto"/>
              <w:ind w:left="2"/>
              <w:rPr>
                <w:sz w:val="18"/>
                <w:szCs w:val="18"/>
              </w:rPr>
            </w:pPr>
            <w:r>
              <w:rPr>
                <w:spacing w:val="-1"/>
                <w:sz w:val="18"/>
                <w:szCs w:val="18"/>
              </w:rPr>
              <w:t>植物生产与环境概述</w:t>
            </w:r>
          </w:p>
        </w:tc>
      </w:tr>
      <w:tr w14:paraId="698384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5" w:hRule="atLeast"/>
        </w:trPr>
        <w:tc>
          <w:tcPr>
            <w:tcW w:w="1292" w:type="dxa"/>
            <w:vMerge w:val="continue"/>
            <w:tcBorders>
              <w:top w:val="nil"/>
              <w:bottom w:val="nil"/>
            </w:tcBorders>
            <w:vAlign w:val="top"/>
          </w:tcPr>
          <w:p w14:paraId="5D4E4E48">
            <w:pPr>
              <w:rPr>
                <w:rFonts w:ascii="Arial"/>
                <w:sz w:val="21"/>
              </w:rPr>
            </w:pPr>
          </w:p>
        </w:tc>
        <w:tc>
          <w:tcPr>
            <w:tcW w:w="2798" w:type="dxa"/>
            <w:tcBorders>
              <w:top w:val="single" w:color="000000" w:sz="2" w:space="0"/>
              <w:bottom w:val="single" w:color="000000" w:sz="2" w:space="0"/>
            </w:tcBorders>
            <w:vAlign w:val="top"/>
          </w:tcPr>
          <w:p w14:paraId="3A545F1B">
            <w:pPr>
              <w:pStyle w:val="6"/>
              <w:spacing w:before="63" w:line="219" w:lineRule="auto"/>
              <w:ind w:left="2"/>
              <w:rPr>
                <w:sz w:val="18"/>
                <w:szCs w:val="18"/>
              </w:rPr>
            </w:pPr>
            <w:r>
              <w:rPr>
                <w:spacing w:val="2"/>
                <w:sz w:val="18"/>
                <w:szCs w:val="18"/>
              </w:rPr>
              <w:t>植物的生长发育</w:t>
            </w:r>
          </w:p>
        </w:tc>
      </w:tr>
      <w:tr w14:paraId="21941E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5" w:hRule="atLeast"/>
        </w:trPr>
        <w:tc>
          <w:tcPr>
            <w:tcW w:w="1292" w:type="dxa"/>
            <w:vMerge w:val="continue"/>
            <w:tcBorders>
              <w:top w:val="nil"/>
              <w:bottom w:val="nil"/>
            </w:tcBorders>
            <w:vAlign w:val="top"/>
          </w:tcPr>
          <w:p w14:paraId="35275323">
            <w:pPr>
              <w:rPr>
                <w:rFonts w:ascii="Arial"/>
                <w:sz w:val="21"/>
              </w:rPr>
            </w:pPr>
          </w:p>
        </w:tc>
        <w:tc>
          <w:tcPr>
            <w:tcW w:w="2798" w:type="dxa"/>
            <w:tcBorders>
              <w:top w:val="single" w:color="000000" w:sz="2" w:space="0"/>
              <w:bottom w:val="single" w:color="000000" w:sz="2" w:space="0"/>
            </w:tcBorders>
            <w:vAlign w:val="top"/>
          </w:tcPr>
          <w:p w14:paraId="496B7CA1">
            <w:pPr>
              <w:pStyle w:val="6"/>
              <w:spacing w:before="61" w:line="219" w:lineRule="auto"/>
              <w:ind w:left="2"/>
              <w:rPr>
                <w:sz w:val="18"/>
                <w:szCs w:val="18"/>
              </w:rPr>
            </w:pPr>
            <w:r>
              <w:rPr>
                <w:spacing w:val="-1"/>
                <w:sz w:val="18"/>
                <w:szCs w:val="18"/>
              </w:rPr>
              <w:t>植物生产与土壤培肥</w:t>
            </w:r>
          </w:p>
        </w:tc>
      </w:tr>
      <w:tr w14:paraId="13F970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1292" w:type="dxa"/>
            <w:vMerge w:val="continue"/>
            <w:tcBorders>
              <w:top w:val="nil"/>
              <w:bottom w:val="nil"/>
            </w:tcBorders>
            <w:vAlign w:val="top"/>
          </w:tcPr>
          <w:p w14:paraId="1CDD5E83">
            <w:pPr>
              <w:rPr>
                <w:rFonts w:ascii="Arial"/>
                <w:sz w:val="21"/>
              </w:rPr>
            </w:pPr>
          </w:p>
        </w:tc>
        <w:tc>
          <w:tcPr>
            <w:tcW w:w="2798" w:type="dxa"/>
            <w:tcBorders>
              <w:top w:val="single" w:color="000000" w:sz="2" w:space="0"/>
              <w:bottom w:val="single" w:color="000000" w:sz="2" w:space="0"/>
            </w:tcBorders>
            <w:vAlign w:val="top"/>
          </w:tcPr>
          <w:p w14:paraId="2C2782F7">
            <w:pPr>
              <w:pStyle w:val="6"/>
              <w:spacing w:before="52" w:line="218" w:lineRule="auto"/>
              <w:ind w:left="2"/>
              <w:rPr>
                <w:sz w:val="18"/>
                <w:szCs w:val="18"/>
              </w:rPr>
            </w:pPr>
            <w:r>
              <w:rPr>
                <w:spacing w:val="-1"/>
                <w:sz w:val="18"/>
                <w:szCs w:val="18"/>
              </w:rPr>
              <w:t>植物生产与科学用水</w:t>
            </w:r>
          </w:p>
        </w:tc>
      </w:tr>
      <w:tr w14:paraId="1DCC6D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4" w:hRule="atLeast"/>
        </w:trPr>
        <w:tc>
          <w:tcPr>
            <w:tcW w:w="1292" w:type="dxa"/>
            <w:vMerge w:val="continue"/>
            <w:tcBorders>
              <w:top w:val="nil"/>
              <w:bottom w:val="nil"/>
            </w:tcBorders>
            <w:vAlign w:val="top"/>
          </w:tcPr>
          <w:p w14:paraId="335F75DB">
            <w:pPr>
              <w:rPr>
                <w:rFonts w:ascii="Arial"/>
                <w:sz w:val="21"/>
              </w:rPr>
            </w:pPr>
          </w:p>
        </w:tc>
        <w:tc>
          <w:tcPr>
            <w:tcW w:w="2798" w:type="dxa"/>
            <w:tcBorders>
              <w:top w:val="single" w:color="000000" w:sz="2" w:space="0"/>
              <w:bottom w:val="single" w:color="000000" w:sz="2" w:space="0"/>
            </w:tcBorders>
            <w:vAlign w:val="top"/>
          </w:tcPr>
          <w:p w14:paraId="7761EEA8">
            <w:pPr>
              <w:pStyle w:val="6"/>
              <w:spacing w:before="62" w:line="219" w:lineRule="auto"/>
              <w:ind w:left="2"/>
              <w:rPr>
                <w:sz w:val="18"/>
                <w:szCs w:val="18"/>
              </w:rPr>
            </w:pPr>
            <w:r>
              <w:rPr>
                <w:spacing w:val="2"/>
                <w:sz w:val="18"/>
                <w:szCs w:val="18"/>
              </w:rPr>
              <w:t>植物生产与光能利用</w:t>
            </w:r>
          </w:p>
        </w:tc>
      </w:tr>
      <w:tr w14:paraId="1AB2BD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5" w:hRule="atLeast"/>
        </w:trPr>
        <w:tc>
          <w:tcPr>
            <w:tcW w:w="1292" w:type="dxa"/>
            <w:vMerge w:val="continue"/>
            <w:tcBorders>
              <w:top w:val="nil"/>
              <w:bottom w:val="nil"/>
            </w:tcBorders>
            <w:vAlign w:val="top"/>
          </w:tcPr>
          <w:p w14:paraId="5334BEC0">
            <w:pPr>
              <w:rPr>
                <w:rFonts w:ascii="Arial"/>
                <w:sz w:val="21"/>
              </w:rPr>
            </w:pPr>
          </w:p>
        </w:tc>
        <w:tc>
          <w:tcPr>
            <w:tcW w:w="2798" w:type="dxa"/>
            <w:tcBorders>
              <w:top w:val="single" w:color="000000" w:sz="2" w:space="0"/>
              <w:bottom w:val="single" w:color="000000" w:sz="2" w:space="0"/>
            </w:tcBorders>
            <w:vAlign w:val="top"/>
          </w:tcPr>
          <w:p w14:paraId="3A8F38A3">
            <w:pPr>
              <w:pStyle w:val="6"/>
              <w:spacing w:before="64" w:line="219" w:lineRule="auto"/>
              <w:ind w:left="2"/>
              <w:rPr>
                <w:sz w:val="18"/>
                <w:szCs w:val="18"/>
              </w:rPr>
            </w:pPr>
            <w:r>
              <w:rPr>
                <w:spacing w:val="-1"/>
                <w:sz w:val="18"/>
                <w:szCs w:val="18"/>
              </w:rPr>
              <w:t>植物生产与温度调控</w:t>
            </w:r>
          </w:p>
        </w:tc>
      </w:tr>
      <w:tr w14:paraId="30E55E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4" w:hRule="atLeast"/>
        </w:trPr>
        <w:tc>
          <w:tcPr>
            <w:tcW w:w="1292" w:type="dxa"/>
            <w:vMerge w:val="continue"/>
            <w:tcBorders>
              <w:top w:val="nil"/>
              <w:bottom w:val="single" w:color="000000" w:sz="2" w:space="0"/>
            </w:tcBorders>
            <w:vAlign w:val="top"/>
          </w:tcPr>
          <w:p w14:paraId="6B87E657">
            <w:pPr>
              <w:rPr>
                <w:rFonts w:ascii="Arial"/>
                <w:sz w:val="21"/>
              </w:rPr>
            </w:pPr>
          </w:p>
        </w:tc>
        <w:tc>
          <w:tcPr>
            <w:tcW w:w="2798" w:type="dxa"/>
            <w:tcBorders>
              <w:top w:val="single" w:color="000000" w:sz="2" w:space="0"/>
              <w:bottom w:val="single" w:color="000000" w:sz="2" w:space="0"/>
            </w:tcBorders>
            <w:vAlign w:val="top"/>
          </w:tcPr>
          <w:p w14:paraId="7E79117D">
            <w:pPr>
              <w:pStyle w:val="6"/>
              <w:spacing w:before="63" w:line="219" w:lineRule="auto"/>
              <w:ind w:left="2"/>
              <w:rPr>
                <w:sz w:val="18"/>
                <w:szCs w:val="18"/>
              </w:rPr>
            </w:pPr>
            <w:r>
              <w:rPr>
                <w:spacing w:val="-1"/>
                <w:sz w:val="18"/>
                <w:szCs w:val="18"/>
              </w:rPr>
              <w:t>植物生产与农业气象</w:t>
            </w:r>
          </w:p>
        </w:tc>
      </w:tr>
      <w:tr w14:paraId="7E6A6B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5" w:hRule="atLeast"/>
        </w:trPr>
        <w:tc>
          <w:tcPr>
            <w:tcW w:w="1292" w:type="dxa"/>
            <w:vMerge w:val="restart"/>
            <w:tcBorders>
              <w:top w:val="single" w:color="000000" w:sz="2" w:space="0"/>
              <w:bottom w:val="nil"/>
            </w:tcBorders>
            <w:vAlign w:val="top"/>
          </w:tcPr>
          <w:p w14:paraId="42905E54">
            <w:pPr>
              <w:spacing w:line="256" w:lineRule="auto"/>
              <w:rPr>
                <w:rFonts w:ascii="Arial"/>
                <w:sz w:val="21"/>
              </w:rPr>
            </w:pPr>
          </w:p>
          <w:p w14:paraId="625AF9FC">
            <w:pPr>
              <w:spacing w:line="256" w:lineRule="auto"/>
              <w:rPr>
                <w:rFonts w:ascii="Arial"/>
                <w:sz w:val="21"/>
              </w:rPr>
            </w:pPr>
          </w:p>
          <w:p w14:paraId="73862DD0">
            <w:pPr>
              <w:pStyle w:val="6"/>
              <w:spacing w:before="59" w:line="206" w:lineRule="auto"/>
              <w:ind w:left="94"/>
              <w:rPr>
                <w:sz w:val="18"/>
                <w:szCs w:val="18"/>
              </w:rPr>
            </w:pPr>
            <w:r>
              <w:rPr>
                <w:spacing w:val="-2"/>
                <w:sz w:val="18"/>
                <w:szCs w:val="18"/>
              </w:rPr>
              <w:t>植物保护技术</w:t>
            </w:r>
          </w:p>
          <w:p w14:paraId="15663E5F">
            <w:pPr>
              <w:pStyle w:val="6"/>
              <w:spacing w:line="220" w:lineRule="auto"/>
              <w:ind w:left="365"/>
              <w:rPr>
                <w:sz w:val="18"/>
                <w:szCs w:val="18"/>
              </w:rPr>
            </w:pPr>
            <w:r>
              <w:rPr>
                <w:spacing w:val="7"/>
                <w:sz w:val="18"/>
                <w:szCs w:val="18"/>
              </w:rPr>
              <w:t>(40分)</w:t>
            </w:r>
          </w:p>
        </w:tc>
        <w:tc>
          <w:tcPr>
            <w:tcW w:w="2798" w:type="dxa"/>
            <w:tcBorders>
              <w:top w:val="single" w:color="000000" w:sz="2" w:space="0"/>
              <w:bottom w:val="single" w:color="000000" w:sz="2" w:space="0"/>
            </w:tcBorders>
            <w:vAlign w:val="top"/>
          </w:tcPr>
          <w:p w14:paraId="7A6850B0">
            <w:pPr>
              <w:pStyle w:val="6"/>
              <w:spacing w:before="57" w:line="221" w:lineRule="auto"/>
              <w:ind w:left="2"/>
              <w:rPr>
                <w:sz w:val="18"/>
                <w:szCs w:val="18"/>
              </w:rPr>
            </w:pPr>
            <w:r>
              <w:rPr>
                <w:spacing w:val="-1"/>
                <w:sz w:val="18"/>
                <w:szCs w:val="18"/>
              </w:rPr>
              <w:t>农业昆虫基础</w:t>
            </w:r>
          </w:p>
        </w:tc>
      </w:tr>
      <w:tr w14:paraId="3DFADA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5" w:hRule="atLeast"/>
        </w:trPr>
        <w:tc>
          <w:tcPr>
            <w:tcW w:w="1292" w:type="dxa"/>
            <w:vMerge w:val="continue"/>
            <w:tcBorders>
              <w:top w:val="nil"/>
              <w:bottom w:val="nil"/>
            </w:tcBorders>
            <w:vAlign w:val="top"/>
          </w:tcPr>
          <w:p w14:paraId="1FA11375">
            <w:pPr>
              <w:rPr>
                <w:rFonts w:ascii="Arial"/>
                <w:sz w:val="21"/>
              </w:rPr>
            </w:pPr>
          </w:p>
        </w:tc>
        <w:tc>
          <w:tcPr>
            <w:tcW w:w="2798" w:type="dxa"/>
            <w:tcBorders>
              <w:top w:val="single" w:color="000000" w:sz="2" w:space="0"/>
              <w:bottom w:val="single" w:color="000000" w:sz="2" w:space="0"/>
            </w:tcBorders>
            <w:vAlign w:val="top"/>
          </w:tcPr>
          <w:p w14:paraId="1855F669">
            <w:pPr>
              <w:pStyle w:val="6"/>
              <w:spacing w:before="64" w:line="219" w:lineRule="auto"/>
              <w:ind w:left="2"/>
              <w:rPr>
                <w:sz w:val="18"/>
                <w:szCs w:val="18"/>
              </w:rPr>
            </w:pPr>
            <w:r>
              <w:rPr>
                <w:spacing w:val="-2"/>
                <w:sz w:val="18"/>
                <w:szCs w:val="18"/>
              </w:rPr>
              <w:t>植物病害基础</w:t>
            </w:r>
          </w:p>
        </w:tc>
      </w:tr>
      <w:tr w14:paraId="7C8EBF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5" w:hRule="atLeast"/>
        </w:trPr>
        <w:tc>
          <w:tcPr>
            <w:tcW w:w="1292" w:type="dxa"/>
            <w:vMerge w:val="continue"/>
            <w:tcBorders>
              <w:top w:val="nil"/>
              <w:bottom w:val="nil"/>
            </w:tcBorders>
            <w:vAlign w:val="top"/>
          </w:tcPr>
          <w:p w14:paraId="44440468">
            <w:pPr>
              <w:rPr>
                <w:rFonts w:ascii="Arial"/>
                <w:sz w:val="21"/>
              </w:rPr>
            </w:pPr>
          </w:p>
        </w:tc>
        <w:tc>
          <w:tcPr>
            <w:tcW w:w="2798" w:type="dxa"/>
            <w:tcBorders>
              <w:top w:val="single" w:color="000000" w:sz="2" w:space="0"/>
              <w:bottom w:val="single" w:color="000000" w:sz="2" w:space="0"/>
            </w:tcBorders>
            <w:vAlign w:val="top"/>
          </w:tcPr>
          <w:p w14:paraId="285CB453">
            <w:pPr>
              <w:pStyle w:val="6"/>
              <w:spacing w:before="64" w:line="219" w:lineRule="auto"/>
              <w:ind w:left="2"/>
              <w:rPr>
                <w:sz w:val="18"/>
                <w:szCs w:val="18"/>
              </w:rPr>
            </w:pPr>
            <w:r>
              <w:rPr>
                <w:spacing w:val="-1"/>
                <w:sz w:val="18"/>
                <w:szCs w:val="18"/>
              </w:rPr>
              <w:t>植物有害生物调查及综合防治技术</w:t>
            </w:r>
          </w:p>
        </w:tc>
      </w:tr>
      <w:tr w14:paraId="15EACE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5" w:hRule="atLeast"/>
        </w:trPr>
        <w:tc>
          <w:tcPr>
            <w:tcW w:w="1292" w:type="dxa"/>
            <w:vMerge w:val="continue"/>
            <w:tcBorders>
              <w:top w:val="nil"/>
              <w:bottom w:val="nil"/>
            </w:tcBorders>
            <w:vAlign w:val="top"/>
          </w:tcPr>
          <w:p w14:paraId="4E52967F">
            <w:pPr>
              <w:rPr>
                <w:rFonts w:ascii="Arial"/>
                <w:sz w:val="21"/>
              </w:rPr>
            </w:pPr>
          </w:p>
        </w:tc>
        <w:tc>
          <w:tcPr>
            <w:tcW w:w="2798" w:type="dxa"/>
            <w:tcBorders>
              <w:top w:val="single" w:color="000000" w:sz="2" w:space="0"/>
              <w:bottom w:val="single" w:color="000000" w:sz="2" w:space="0"/>
            </w:tcBorders>
            <w:vAlign w:val="top"/>
          </w:tcPr>
          <w:p w14:paraId="741CD4D7">
            <w:pPr>
              <w:pStyle w:val="6"/>
              <w:spacing w:before="65" w:line="220" w:lineRule="auto"/>
              <w:ind w:left="2"/>
              <w:rPr>
                <w:sz w:val="18"/>
                <w:szCs w:val="18"/>
              </w:rPr>
            </w:pPr>
            <w:r>
              <w:rPr>
                <w:spacing w:val="4"/>
                <w:sz w:val="18"/>
                <w:szCs w:val="18"/>
              </w:rPr>
              <w:t>农药的应用</w:t>
            </w:r>
          </w:p>
        </w:tc>
      </w:tr>
      <w:tr w14:paraId="463DA5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5" w:hRule="atLeast"/>
        </w:trPr>
        <w:tc>
          <w:tcPr>
            <w:tcW w:w="1292" w:type="dxa"/>
            <w:vMerge w:val="continue"/>
            <w:tcBorders>
              <w:top w:val="nil"/>
              <w:bottom w:val="single" w:color="000000" w:sz="2" w:space="0"/>
            </w:tcBorders>
            <w:vAlign w:val="top"/>
          </w:tcPr>
          <w:p w14:paraId="68BA68AC">
            <w:pPr>
              <w:rPr>
                <w:rFonts w:ascii="Arial"/>
                <w:sz w:val="21"/>
              </w:rPr>
            </w:pPr>
          </w:p>
        </w:tc>
        <w:tc>
          <w:tcPr>
            <w:tcW w:w="2798" w:type="dxa"/>
            <w:tcBorders>
              <w:top w:val="single" w:color="000000" w:sz="2" w:space="0"/>
              <w:bottom w:val="single" w:color="000000" w:sz="2" w:space="0"/>
            </w:tcBorders>
            <w:vAlign w:val="top"/>
          </w:tcPr>
          <w:p w14:paraId="0BD1E507">
            <w:pPr>
              <w:pStyle w:val="6"/>
              <w:spacing w:before="64" w:line="219" w:lineRule="auto"/>
              <w:ind w:left="2"/>
              <w:rPr>
                <w:sz w:val="18"/>
                <w:szCs w:val="18"/>
              </w:rPr>
            </w:pPr>
            <w:r>
              <w:rPr>
                <w:spacing w:val="-1"/>
                <w:sz w:val="18"/>
                <w:szCs w:val="18"/>
              </w:rPr>
              <w:t>农田杂草防除</w:t>
            </w:r>
          </w:p>
        </w:tc>
      </w:tr>
      <w:tr w14:paraId="75EA12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5" w:hRule="atLeast"/>
        </w:trPr>
        <w:tc>
          <w:tcPr>
            <w:tcW w:w="1292" w:type="dxa"/>
            <w:vMerge w:val="restart"/>
            <w:tcBorders>
              <w:top w:val="single" w:color="000000" w:sz="2" w:space="0"/>
              <w:bottom w:val="nil"/>
            </w:tcBorders>
            <w:vAlign w:val="top"/>
          </w:tcPr>
          <w:p w14:paraId="00C0E44D">
            <w:pPr>
              <w:spacing w:line="363" w:lineRule="auto"/>
              <w:rPr>
                <w:rFonts w:ascii="Arial"/>
                <w:sz w:val="21"/>
              </w:rPr>
            </w:pPr>
          </w:p>
          <w:p w14:paraId="1EAD8407">
            <w:pPr>
              <w:pStyle w:val="6"/>
              <w:spacing w:before="58" w:line="206" w:lineRule="auto"/>
              <w:ind w:left="94"/>
              <w:rPr>
                <w:sz w:val="18"/>
                <w:szCs w:val="18"/>
              </w:rPr>
            </w:pPr>
            <w:r>
              <w:rPr>
                <w:spacing w:val="-1"/>
                <w:sz w:val="18"/>
                <w:szCs w:val="18"/>
              </w:rPr>
              <w:t>农业生物技术</w:t>
            </w:r>
          </w:p>
          <w:p w14:paraId="524EF49D">
            <w:pPr>
              <w:pStyle w:val="6"/>
              <w:spacing w:line="220" w:lineRule="auto"/>
              <w:ind w:left="365"/>
              <w:rPr>
                <w:sz w:val="18"/>
                <w:szCs w:val="18"/>
              </w:rPr>
            </w:pPr>
            <w:r>
              <w:rPr>
                <w:spacing w:val="7"/>
                <w:sz w:val="18"/>
                <w:szCs w:val="18"/>
              </w:rPr>
              <w:t>(40分)</w:t>
            </w:r>
          </w:p>
        </w:tc>
        <w:tc>
          <w:tcPr>
            <w:tcW w:w="2798" w:type="dxa"/>
            <w:tcBorders>
              <w:top w:val="single" w:color="000000" w:sz="2" w:space="0"/>
              <w:bottom w:val="single" w:color="000000" w:sz="2" w:space="0"/>
            </w:tcBorders>
            <w:vAlign w:val="top"/>
          </w:tcPr>
          <w:p w14:paraId="4E902AC8">
            <w:pPr>
              <w:pStyle w:val="6"/>
              <w:spacing w:before="63" w:line="219" w:lineRule="auto"/>
              <w:ind w:left="2"/>
              <w:rPr>
                <w:sz w:val="18"/>
                <w:szCs w:val="18"/>
              </w:rPr>
            </w:pPr>
            <w:r>
              <w:rPr>
                <w:spacing w:val="-1"/>
                <w:sz w:val="18"/>
                <w:szCs w:val="18"/>
              </w:rPr>
              <w:t>植物遗传的基本知识</w:t>
            </w:r>
          </w:p>
        </w:tc>
      </w:tr>
      <w:tr w14:paraId="183448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4" w:hRule="atLeast"/>
        </w:trPr>
        <w:tc>
          <w:tcPr>
            <w:tcW w:w="1292" w:type="dxa"/>
            <w:vMerge w:val="continue"/>
            <w:tcBorders>
              <w:top w:val="nil"/>
              <w:bottom w:val="nil"/>
            </w:tcBorders>
            <w:vAlign w:val="top"/>
          </w:tcPr>
          <w:p w14:paraId="52D1750B">
            <w:pPr>
              <w:rPr>
                <w:rFonts w:ascii="Arial"/>
                <w:sz w:val="21"/>
              </w:rPr>
            </w:pPr>
          </w:p>
        </w:tc>
        <w:tc>
          <w:tcPr>
            <w:tcW w:w="2798" w:type="dxa"/>
            <w:tcBorders>
              <w:top w:val="single" w:color="000000" w:sz="2" w:space="0"/>
              <w:bottom w:val="single" w:color="000000" w:sz="2" w:space="0"/>
            </w:tcBorders>
            <w:vAlign w:val="top"/>
          </w:tcPr>
          <w:p w14:paraId="72242BE7">
            <w:pPr>
              <w:pStyle w:val="6"/>
              <w:spacing w:before="64" w:line="219" w:lineRule="auto"/>
              <w:ind w:left="2"/>
              <w:rPr>
                <w:sz w:val="18"/>
                <w:szCs w:val="18"/>
              </w:rPr>
            </w:pPr>
            <w:r>
              <w:rPr>
                <w:spacing w:val="-2"/>
                <w:sz w:val="18"/>
                <w:szCs w:val="18"/>
              </w:rPr>
              <w:t>植物育种技术</w:t>
            </w:r>
          </w:p>
        </w:tc>
      </w:tr>
      <w:tr w14:paraId="4DC95F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1292" w:type="dxa"/>
            <w:vMerge w:val="continue"/>
            <w:tcBorders>
              <w:top w:val="nil"/>
              <w:bottom w:val="nil"/>
            </w:tcBorders>
            <w:vAlign w:val="top"/>
          </w:tcPr>
          <w:p w14:paraId="26F323A1">
            <w:pPr>
              <w:rPr>
                <w:rFonts w:ascii="Arial"/>
                <w:sz w:val="21"/>
              </w:rPr>
            </w:pPr>
          </w:p>
        </w:tc>
        <w:tc>
          <w:tcPr>
            <w:tcW w:w="2798" w:type="dxa"/>
            <w:tcBorders>
              <w:top w:val="single" w:color="000000" w:sz="2" w:space="0"/>
              <w:bottom w:val="single" w:color="000000" w:sz="2" w:space="0"/>
            </w:tcBorders>
            <w:vAlign w:val="top"/>
          </w:tcPr>
          <w:p w14:paraId="3F1F6AE6">
            <w:pPr>
              <w:pStyle w:val="6"/>
              <w:spacing w:before="55" w:line="215" w:lineRule="auto"/>
              <w:ind w:left="2"/>
              <w:rPr>
                <w:sz w:val="18"/>
                <w:szCs w:val="18"/>
              </w:rPr>
            </w:pPr>
            <w:r>
              <w:rPr>
                <w:spacing w:val="-1"/>
                <w:sz w:val="18"/>
                <w:szCs w:val="18"/>
              </w:rPr>
              <w:t>植物组织培养基础</w:t>
            </w:r>
          </w:p>
        </w:tc>
      </w:tr>
      <w:tr w14:paraId="448A61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5" w:hRule="atLeast"/>
        </w:trPr>
        <w:tc>
          <w:tcPr>
            <w:tcW w:w="1292" w:type="dxa"/>
            <w:vMerge w:val="continue"/>
            <w:tcBorders>
              <w:top w:val="nil"/>
              <w:bottom w:val="single" w:color="000000" w:sz="2" w:space="0"/>
            </w:tcBorders>
            <w:vAlign w:val="top"/>
          </w:tcPr>
          <w:p w14:paraId="62C8B187">
            <w:pPr>
              <w:rPr>
                <w:rFonts w:ascii="Arial"/>
                <w:sz w:val="21"/>
              </w:rPr>
            </w:pPr>
          </w:p>
        </w:tc>
        <w:tc>
          <w:tcPr>
            <w:tcW w:w="2798" w:type="dxa"/>
            <w:tcBorders>
              <w:top w:val="single" w:color="000000" w:sz="2" w:space="0"/>
              <w:bottom w:val="single" w:color="000000" w:sz="2" w:space="0"/>
            </w:tcBorders>
            <w:vAlign w:val="top"/>
          </w:tcPr>
          <w:p w14:paraId="77B6F88E">
            <w:pPr>
              <w:pStyle w:val="6"/>
              <w:spacing w:before="65" w:line="219" w:lineRule="auto"/>
              <w:ind w:left="2"/>
              <w:rPr>
                <w:sz w:val="18"/>
                <w:szCs w:val="18"/>
              </w:rPr>
            </w:pPr>
            <w:r>
              <w:rPr>
                <w:spacing w:val="-1"/>
                <w:sz w:val="18"/>
                <w:szCs w:val="18"/>
              </w:rPr>
              <w:t>农业微生物技术</w:t>
            </w:r>
          </w:p>
        </w:tc>
      </w:tr>
      <w:tr w14:paraId="3DBA60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5" w:hRule="atLeast"/>
        </w:trPr>
        <w:tc>
          <w:tcPr>
            <w:tcW w:w="1292" w:type="dxa"/>
            <w:vMerge w:val="restart"/>
            <w:tcBorders>
              <w:top w:val="single" w:color="000000" w:sz="2" w:space="0"/>
              <w:bottom w:val="nil"/>
            </w:tcBorders>
            <w:vAlign w:val="top"/>
          </w:tcPr>
          <w:p w14:paraId="55C7804F">
            <w:pPr>
              <w:spacing w:line="283" w:lineRule="auto"/>
              <w:rPr>
                <w:rFonts w:ascii="Arial"/>
                <w:sz w:val="21"/>
              </w:rPr>
            </w:pPr>
          </w:p>
          <w:p w14:paraId="79C63E91">
            <w:pPr>
              <w:spacing w:line="283" w:lineRule="auto"/>
              <w:rPr>
                <w:rFonts w:ascii="Arial"/>
                <w:sz w:val="21"/>
              </w:rPr>
            </w:pPr>
          </w:p>
          <w:p w14:paraId="423D9CA4">
            <w:pPr>
              <w:spacing w:line="283" w:lineRule="auto"/>
              <w:rPr>
                <w:rFonts w:ascii="Arial"/>
                <w:sz w:val="21"/>
              </w:rPr>
            </w:pPr>
          </w:p>
          <w:p w14:paraId="789E917F">
            <w:pPr>
              <w:spacing w:line="284" w:lineRule="auto"/>
              <w:rPr>
                <w:rFonts w:ascii="Arial"/>
                <w:sz w:val="21"/>
              </w:rPr>
            </w:pPr>
          </w:p>
          <w:p w14:paraId="749F9ADC">
            <w:pPr>
              <w:spacing w:line="284" w:lineRule="auto"/>
              <w:rPr>
                <w:rFonts w:ascii="Arial"/>
                <w:sz w:val="21"/>
              </w:rPr>
            </w:pPr>
          </w:p>
          <w:p w14:paraId="0FC6F5F2">
            <w:pPr>
              <w:pStyle w:val="6"/>
              <w:spacing w:before="59" w:line="206" w:lineRule="auto"/>
              <w:ind w:left="94"/>
              <w:rPr>
                <w:sz w:val="18"/>
                <w:szCs w:val="18"/>
              </w:rPr>
            </w:pPr>
            <w:r>
              <w:rPr>
                <w:spacing w:val="1"/>
                <w:sz w:val="18"/>
                <w:szCs w:val="18"/>
              </w:rPr>
              <w:t>畜禽解剖生理</w:t>
            </w:r>
          </w:p>
          <w:p w14:paraId="50BB385E">
            <w:pPr>
              <w:pStyle w:val="6"/>
              <w:spacing w:line="220" w:lineRule="auto"/>
              <w:ind w:left="365"/>
              <w:rPr>
                <w:sz w:val="18"/>
                <w:szCs w:val="18"/>
              </w:rPr>
            </w:pPr>
            <w:r>
              <w:rPr>
                <w:spacing w:val="7"/>
                <w:sz w:val="18"/>
                <w:szCs w:val="18"/>
              </w:rPr>
              <w:t>(60分)</w:t>
            </w:r>
          </w:p>
        </w:tc>
        <w:tc>
          <w:tcPr>
            <w:tcW w:w="2798" w:type="dxa"/>
            <w:tcBorders>
              <w:top w:val="single" w:color="000000" w:sz="2" w:space="0"/>
              <w:bottom w:val="single" w:color="000000" w:sz="2" w:space="0"/>
            </w:tcBorders>
            <w:vAlign w:val="top"/>
          </w:tcPr>
          <w:p w14:paraId="78728349">
            <w:pPr>
              <w:pStyle w:val="6"/>
              <w:spacing w:before="64" w:line="219" w:lineRule="auto"/>
              <w:ind w:left="2"/>
              <w:rPr>
                <w:sz w:val="18"/>
                <w:szCs w:val="18"/>
              </w:rPr>
            </w:pPr>
            <w:r>
              <w:rPr>
                <w:spacing w:val="1"/>
                <w:sz w:val="18"/>
                <w:szCs w:val="18"/>
              </w:rPr>
              <w:t>畜禽体的基本结构</w:t>
            </w:r>
          </w:p>
        </w:tc>
      </w:tr>
      <w:tr w14:paraId="09CF9B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5" w:hRule="atLeast"/>
        </w:trPr>
        <w:tc>
          <w:tcPr>
            <w:tcW w:w="1292" w:type="dxa"/>
            <w:vMerge w:val="continue"/>
            <w:tcBorders>
              <w:top w:val="nil"/>
              <w:bottom w:val="nil"/>
            </w:tcBorders>
            <w:vAlign w:val="top"/>
          </w:tcPr>
          <w:p w14:paraId="21060F76">
            <w:pPr>
              <w:rPr>
                <w:rFonts w:ascii="Arial"/>
                <w:sz w:val="21"/>
              </w:rPr>
            </w:pPr>
          </w:p>
        </w:tc>
        <w:tc>
          <w:tcPr>
            <w:tcW w:w="2798" w:type="dxa"/>
            <w:tcBorders>
              <w:top w:val="single" w:color="000000" w:sz="2" w:space="0"/>
              <w:bottom w:val="single" w:color="000000" w:sz="2" w:space="0"/>
            </w:tcBorders>
            <w:vAlign w:val="top"/>
          </w:tcPr>
          <w:p w14:paraId="1DE2D922">
            <w:pPr>
              <w:pStyle w:val="6"/>
              <w:spacing w:before="65" w:line="220" w:lineRule="auto"/>
              <w:ind w:left="2"/>
              <w:rPr>
                <w:sz w:val="18"/>
                <w:szCs w:val="18"/>
              </w:rPr>
            </w:pPr>
            <w:r>
              <w:rPr>
                <w:spacing w:val="-2"/>
                <w:sz w:val="18"/>
                <w:szCs w:val="18"/>
              </w:rPr>
              <w:t>运动系统</w:t>
            </w:r>
          </w:p>
        </w:tc>
      </w:tr>
      <w:tr w14:paraId="0522E0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1292" w:type="dxa"/>
            <w:vMerge w:val="continue"/>
            <w:tcBorders>
              <w:top w:val="nil"/>
              <w:bottom w:val="nil"/>
            </w:tcBorders>
            <w:vAlign w:val="top"/>
          </w:tcPr>
          <w:p w14:paraId="7AC7C1B9">
            <w:pPr>
              <w:rPr>
                <w:rFonts w:ascii="Arial"/>
                <w:sz w:val="21"/>
              </w:rPr>
            </w:pPr>
          </w:p>
        </w:tc>
        <w:tc>
          <w:tcPr>
            <w:tcW w:w="2798" w:type="dxa"/>
            <w:tcBorders>
              <w:top w:val="single" w:color="000000" w:sz="2" w:space="0"/>
              <w:bottom w:val="single" w:color="000000" w:sz="2" w:space="0"/>
            </w:tcBorders>
            <w:vAlign w:val="top"/>
          </w:tcPr>
          <w:p w14:paraId="24693655">
            <w:pPr>
              <w:pStyle w:val="6"/>
              <w:spacing w:before="55" w:line="215" w:lineRule="auto"/>
              <w:ind w:left="2"/>
              <w:rPr>
                <w:sz w:val="18"/>
                <w:szCs w:val="18"/>
              </w:rPr>
            </w:pPr>
            <w:r>
              <w:rPr>
                <w:spacing w:val="-1"/>
                <w:sz w:val="18"/>
                <w:szCs w:val="18"/>
              </w:rPr>
              <w:t>被皮系统及内脏概述</w:t>
            </w:r>
          </w:p>
        </w:tc>
      </w:tr>
      <w:tr w14:paraId="276929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5" w:hRule="atLeast"/>
        </w:trPr>
        <w:tc>
          <w:tcPr>
            <w:tcW w:w="1292" w:type="dxa"/>
            <w:vMerge w:val="continue"/>
            <w:tcBorders>
              <w:top w:val="nil"/>
              <w:bottom w:val="nil"/>
            </w:tcBorders>
            <w:vAlign w:val="top"/>
          </w:tcPr>
          <w:p w14:paraId="250C6241">
            <w:pPr>
              <w:rPr>
                <w:rFonts w:ascii="Arial"/>
                <w:sz w:val="21"/>
              </w:rPr>
            </w:pPr>
          </w:p>
        </w:tc>
        <w:tc>
          <w:tcPr>
            <w:tcW w:w="2798" w:type="dxa"/>
            <w:tcBorders>
              <w:top w:val="single" w:color="000000" w:sz="2" w:space="0"/>
              <w:bottom w:val="single" w:color="000000" w:sz="2" w:space="0"/>
            </w:tcBorders>
            <w:vAlign w:val="top"/>
          </w:tcPr>
          <w:p w14:paraId="1BCC8B07">
            <w:pPr>
              <w:pStyle w:val="6"/>
              <w:spacing w:before="66" w:line="221" w:lineRule="auto"/>
              <w:ind w:left="2"/>
              <w:rPr>
                <w:sz w:val="18"/>
                <w:szCs w:val="18"/>
              </w:rPr>
            </w:pPr>
            <w:r>
              <w:rPr>
                <w:spacing w:val="-2"/>
                <w:sz w:val="18"/>
                <w:szCs w:val="18"/>
              </w:rPr>
              <w:t>消化系统</w:t>
            </w:r>
          </w:p>
        </w:tc>
      </w:tr>
      <w:tr w14:paraId="6DF1C6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5" w:hRule="atLeast"/>
        </w:trPr>
        <w:tc>
          <w:tcPr>
            <w:tcW w:w="1292" w:type="dxa"/>
            <w:vMerge w:val="continue"/>
            <w:tcBorders>
              <w:top w:val="nil"/>
              <w:bottom w:val="nil"/>
            </w:tcBorders>
            <w:vAlign w:val="top"/>
          </w:tcPr>
          <w:p w14:paraId="43E21B80">
            <w:pPr>
              <w:rPr>
                <w:rFonts w:ascii="Arial"/>
                <w:sz w:val="21"/>
              </w:rPr>
            </w:pPr>
          </w:p>
        </w:tc>
        <w:tc>
          <w:tcPr>
            <w:tcW w:w="2798" w:type="dxa"/>
            <w:tcBorders>
              <w:top w:val="single" w:color="000000" w:sz="2" w:space="0"/>
              <w:bottom w:val="single" w:color="000000" w:sz="2" w:space="0"/>
            </w:tcBorders>
            <w:vAlign w:val="top"/>
          </w:tcPr>
          <w:p w14:paraId="5FE1D4F0">
            <w:pPr>
              <w:pStyle w:val="6"/>
              <w:spacing w:before="65" w:line="220" w:lineRule="auto"/>
              <w:ind w:left="2"/>
              <w:rPr>
                <w:sz w:val="18"/>
                <w:szCs w:val="18"/>
              </w:rPr>
            </w:pPr>
            <w:r>
              <w:rPr>
                <w:spacing w:val="2"/>
                <w:sz w:val="18"/>
                <w:szCs w:val="18"/>
              </w:rPr>
              <w:t>呼吸系统</w:t>
            </w:r>
          </w:p>
        </w:tc>
      </w:tr>
      <w:tr w14:paraId="6949F9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5" w:hRule="atLeast"/>
        </w:trPr>
        <w:tc>
          <w:tcPr>
            <w:tcW w:w="1292" w:type="dxa"/>
            <w:vMerge w:val="continue"/>
            <w:tcBorders>
              <w:top w:val="nil"/>
              <w:bottom w:val="nil"/>
            </w:tcBorders>
            <w:vAlign w:val="top"/>
          </w:tcPr>
          <w:p w14:paraId="76F0DF60">
            <w:pPr>
              <w:rPr>
                <w:rFonts w:ascii="Arial"/>
                <w:sz w:val="21"/>
              </w:rPr>
            </w:pPr>
          </w:p>
        </w:tc>
        <w:tc>
          <w:tcPr>
            <w:tcW w:w="2798" w:type="dxa"/>
            <w:tcBorders>
              <w:top w:val="single" w:color="000000" w:sz="2" w:space="0"/>
              <w:bottom w:val="single" w:color="000000" w:sz="2" w:space="0"/>
            </w:tcBorders>
            <w:vAlign w:val="top"/>
          </w:tcPr>
          <w:p w14:paraId="5961E085">
            <w:pPr>
              <w:pStyle w:val="6"/>
              <w:spacing w:before="66" w:line="221" w:lineRule="auto"/>
              <w:ind w:left="2"/>
              <w:rPr>
                <w:sz w:val="18"/>
                <w:szCs w:val="18"/>
              </w:rPr>
            </w:pPr>
            <w:r>
              <w:rPr>
                <w:spacing w:val="-1"/>
                <w:sz w:val="18"/>
                <w:szCs w:val="18"/>
              </w:rPr>
              <w:t>泌尿系统、生殖系统</w:t>
            </w:r>
          </w:p>
        </w:tc>
      </w:tr>
      <w:tr w14:paraId="195866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4" w:hRule="atLeast"/>
        </w:trPr>
        <w:tc>
          <w:tcPr>
            <w:tcW w:w="1292" w:type="dxa"/>
            <w:vMerge w:val="continue"/>
            <w:tcBorders>
              <w:top w:val="nil"/>
              <w:bottom w:val="nil"/>
            </w:tcBorders>
            <w:vAlign w:val="top"/>
          </w:tcPr>
          <w:p w14:paraId="1DF2664E">
            <w:pPr>
              <w:rPr>
                <w:rFonts w:ascii="Arial"/>
                <w:sz w:val="21"/>
              </w:rPr>
            </w:pPr>
          </w:p>
        </w:tc>
        <w:tc>
          <w:tcPr>
            <w:tcW w:w="2798" w:type="dxa"/>
            <w:tcBorders>
              <w:top w:val="single" w:color="000000" w:sz="2" w:space="0"/>
              <w:bottom w:val="single" w:color="000000" w:sz="2" w:space="0"/>
            </w:tcBorders>
            <w:vAlign w:val="top"/>
          </w:tcPr>
          <w:p w14:paraId="632AA2B5">
            <w:pPr>
              <w:pStyle w:val="6"/>
              <w:spacing w:before="65" w:line="219" w:lineRule="auto"/>
              <w:ind w:left="2"/>
              <w:rPr>
                <w:sz w:val="18"/>
                <w:szCs w:val="18"/>
              </w:rPr>
            </w:pPr>
            <w:r>
              <w:rPr>
                <w:spacing w:val="-2"/>
                <w:sz w:val="18"/>
                <w:szCs w:val="18"/>
              </w:rPr>
              <w:t>循环系统</w:t>
            </w:r>
          </w:p>
        </w:tc>
      </w:tr>
      <w:tr w14:paraId="04B049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5" w:hRule="atLeast"/>
        </w:trPr>
        <w:tc>
          <w:tcPr>
            <w:tcW w:w="1292" w:type="dxa"/>
            <w:vMerge w:val="continue"/>
            <w:tcBorders>
              <w:top w:val="nil"/>
              <w:bottom w:val="nil"/>
            </w:tcBorders>
            <w:vAlign w:val="top"/>
          </w:tcPr>
          <w:p w14:paraId="63175FEE">
            <w:pPr>
              <w:rPr>
                <w:rFonts w:ascii="Arial"/>
                <w:sz w:val="21"/>
              </w:rPr>
            </w:pPr>
          </w:p>
        </w:tc>
        <w:tc>
          <w:tcPr>
            <w:tcW w:w="2798" w:type="dxa"/>
            <w:tcBorders>
              <w:top w:val="single" w:color="000000" w:sz="2" w:space="0"/>
              <w:bottom w:val="single" w:color="000000" w:sz="2" w:space="0"/>
            </w:tcBorders>
            <w:vAlign w:val="top"/>
          </w:tcPr>
          <w:p w14:paraId="33A4A263">
            <w:pPr>
              <w:pStyle w:val="6"/>
              <w:spacing w:before="64" w:line="218" w:lineRule="auto"/>
              <w:ind w:left="2"/>
              <w:rPr>
                <w:sz w:val="18"/>
                <w:szCs w:val="18"/>
              </w:rPr>
            </w:pPr>
            <w:r>
              <w:rPr>
                <w:spacing w:val="-2"/>
                <w:sz w:val="18"/>
                <w:szCs w:val="18"/>
              </w:rPr>
              <w:t>淋巴系统</w:t>
            </w:r>
          </w:p>
        </w:tc>
      </w:tr>
      <w:tr w14:paraId="674740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4" w:hRule="atLeast"/>
        </w:trPr>
        <w:tc>
          <w:tcPr>
            <w:tcW w:w="1292" w:type="dxa"/>
            <w:vMerge w:val="continue"/>
            <w:tcBorders>
              <w:top w:val="nil"/>
              <w:bottom w:val="nil"/>
            </w:tcBorders>
            <w:vAlign w:val="top"/>
          </w:tcPr>
          <w:p w14:paraId="2DE9F58D">
            <w:pPr>
              <w:rPr>
                <w:rFonts w:ascii="Arial"/>
                <w:sz w:val="21"/>
              </w:rPr>
            </w:pPr>
          </w:p>
        </w:tc>
        <w:tc>
          <w:tcPr>
            <w:tcW w:w="2798" w:type="dxa"/>
            <w:tcBorders>
              <w:top w:val="single" w:color="000000" w:sz="2" w:space="0"/>
              <w:bottom w:val="single" w:color="000000" w:sz="2" w:space="0"/>
            </w:tcBorders>
            <w:vAlign w:val="top"/>
          </w:tcPr>
          <w:p w14:paraId="128DBAA8">
            <w:pPr>
              <w:pStyle w:val="6"/>
              <w:spacing w:before="66" w:line="219" w:lineRule="auto"/>
              <w:ind w:left="2"/>
              <w:rPr>
                <w:sz w:val="18"/>
                <w:szCs w:val="18"/>
              </w:rPr>
            </w:pPr>
            <w:r>
              <w:rPr>
                <w:spacing w:val="-2"/>
                <w:sz w:val="18"/>
                <w:szCs w:val="18"/>
              </w:rPr>
              <w:t>神经系统</w:t>
            </w:r>
          </w:p>
        </w:tc>
      </w:tr>
      <w:tr w14:paraId="2C3EF3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1292" w:type="dxa"/>
            <w:vMerge w:val="continue"/>
            <w:tcBorders>
              <w:top w:val="nil"/>
              <w:bottom w:val="nil"/>
            </w:tcBorders>
            <w:vAlign w:val="top"/>
          </w:tcPr>
          <w:p w14:paraId="0D6CC28E">
            <w:pPr>
              <w:rPr>
                <w:rFonts w:ascii="Arial"/>
                <w:sz w:val="21"/>
              </w:rPr>
            </w:pPr>
          </w:p>
        </w:tc>
        <w:tc>
          <w:tcPr>
            <w:tcW w:w="2798" w:type="dxa"/>
            <w:tcBorders>
              <w:top w:val="single" w:color="000000" w:sz="2" w:space="0"/>
              <w:bottom w:val="single" w:color="000000" w:sz="2" w:space="0"/>
            </w:tcBorders>
            <w:vAlign w:val="top"/>
          </w:tcPr>
          <w:p w14:paraId="221D8506">
            <w:pPr>
              <w:pStyle w:val="6"/>
              <w:spacing w:before="57" w:line="213" w:lineRule="auto"/>
              <w:ind w:left="2"/>
              <w:rPr>
                <w:sz w:val="18"/>
                <w:szCs w:val="18"/>
              </w:rPr>
            </w:pPr>
            <w:r>
              <w:rPr>
                <w:spacing w:val="1"/>
                <w:sz w:val="18"/>
                <w:szCs w:val="18"/>
              </w:rPr>
              <w:t>内分泌系统、感觉器官</w:t>
            </w:r>
          </w:p>
        </w:tc>
      </w:tr>
      <w:tr w14:paraId="0F72A2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4" w:hRule="atLeast"/>
        </w:trPr>
        <w:tc>
          <w:tcPr>
            <w:tcW w:w="1292" w:type="dxa"/>
            <w:vMerge w:val="continue"/>
            <w:tcBorders>
              <w:top w:val="nil"/>
              <w:bottom w:val="single" w:color="000000" w:sz="2" w:space="0"/>
            </w:tcBorders>
            <w:vAlign w:val="top"/>
          </w:tcPr>
          <w:p w14:paraId="6D784F17">
            <w:pPr>
              <w:rPr>
                <w:rFonts w:ascii="Arial"/>
                <w:sz w:val="21"/>
              </w:rPr>
            </w:pPr>
          </w:p>
        </w:tc>
        <w:tc>
          <w:tcPr>
            <w:tcW w:w="2798" w:type="dxa"/>
            <w:tcBorders>
              <w:top w:val="single" w:color="000000" w:sz="2" w:space="0"/>
              <w:bottom w:val="single" w:color="000000" w:sz="2" w:space="0"/>
            </w:tcBorders>
            <w:vAlign w:val="top"/>
          </w:tcPr>
          <w:p w14:paraId="482BBABE">
            <w:pPr>
              <w:pStyle w:val="6"/>
              <w:spacing w:before="67" w:line="219" w:lineRule="auto"/>
              <w:ind w:left="2"/>
              <w:rPr>
                <w:sz w:val="18"/>
                <w:szCs w:val="18"/>
              </w:rPr>
            </w:pPr>
            <w:r>
              <w:rPr>
                <w:spacing w:val="-1"/>
                <w:sz w:val="18"/>
                <w:szCs w:val="18"/>
              </w:rPr>
              <w:t>禽类的解剖生理特征</w:t>
            </w:r>
          </w:p>
        </w:tc>
      </w:tr>
      <w:tr w14:paraId="18F441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5" w:hRule="atLeast"/>
        </w:trPr>
        <w:tc>
          <w:tcPr>
            <w:tcW w:w="1292" w:type="dxa"/>
            <w:vMerge w:val="restart"/>
            <w:tcBorders>
              <w:top w:val="single" w:color="000000" w:sz="2" w:space="0"/>
              <w:bottom w:val="nil"/>
            </w:tcBorders>
            <w:vAlign w:val="top"/>
          </w:tcPr>
          <w:p w14:paraId="56432974">
            <w:pPr>
              <w:pStyle w:val="6"/>
              <w:spacing w:before="148" w:line="219" w:lineRule="auto"/>
              <w:ind w:left="184"/>
              <w:rPr>
                <w:sz w:val="18"/>
                <w:szCs w:val="18"/>
              </w:rPr>
            </w:pPr>
            <w:r>
              <w:rPr>
                <w:spacing w:val="2"/>
                <w:sz w:val="18"/>
                <w:szCs w:val="18"/>
              </w:rPr>
              <w:t>畜禽营养与</w:t>
            </w:r>
          </w:p>
          <w:p w14:paraId="50D4317A">
            <w:pPr>
              <w:pStyle w:val="6"/>
              <w:spacing w:before="17" w:line="215" w:lineRule="auto"/>
              <w:ind w:left="454"/>
              <w:rPr>
                <w:sz w:val="18"/>
                <w:szCs w:val="18"/>
              </w:rPr>
            </w:pPr>
            <w:r>
              <w:rPr>
                <w:spacing w:val="-2"/>
                <w:sz w:val="18"/>
                <w:szCs w:val="18"/>
              </w:rPr>
              <w:t>饲料</w:t>
            </w:r>
          </w:p>
          <w:p w14:paraId="36B445DD">
            <w:pPr>
              <w:pStyle w:val="6"/>
              <w:spacing w:line="220" w:lineRule="auto"/>
              <w:ind w:left="365"/>
              <w:rPr>
                <w:sz w:val="18"/>
                <w:szCs w:val="18"/>
              </w:rPr>
            </w:pPr>
            <w:r>
              <w:rPr>
                <w:spacing w:val="7"/>
                <w:sz w:val="18"/>
                <w:szCs w:val="18"/>
              </w:rPr>
              <w:t>(40分)</w:t>
            </w:r>
          </w:p>
        </w:tc>
        <w:tc>
          <w:tcPr>
            <w:tcW w:w="2798" w:type="dxa"/>
            <w:tcBorders>
              <w:top w:val="single" w:color="000000" w:sz="2" w:space="0"/>
              <w:bottom w:val="single" w:color="000000" w:sz="2" w:space="0"/>
            </w:tcBorders>
            <w:vAlign w:val="top"/>
          </w:tcPr>
          <w:p w14:paraId="1D0FCF47">
            <w:pPr>
              <w:pStyle w:val="6"/>
              <w:spacing w:before="68" w:line="219" w:lineRule="auto"/>
              <w:ind w:left="2"/>
              <w:rPr>
                <w:sz w:val="18"/>
                <w:szCs w:val="18"/>
              </w:rPr>
            </w:pPr>
            <w:r>
              <w:rPr>
                <w:spacing w:val="1"/>
                <w:sz w:val="18"/>
                <w:szCs w:val="18"/>
              </w:rPr>
              <w:t>畜禽的营养基础</w:t>
            </w:r>
          </w:p>
        </w:tc>
      </w:tr>
      <w:tr w14:paraId="6E0E30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5" w:hRule="atLeast"/>
        </w:trPr>
        <w:tc>
          <w:tcPr>
            <w:tcW w:w="1292" w:type="dxa"/>
            <w:vMerge w:val="continue"/>
            <w:tcBorders>
              <w:top w:val="nil"/>
              <w:bottom w:val="nil"/>
            </w:tcBorders>
            <w:vAlign w:val="top"/>
          </w:tcPr>
          <w:p w14:paraId="7B9DA58B">
            <w:pPr>
              <w:rPr>
                <w:rFonts w:ascii="Arial"/>
                <w:sz w:val="21"/>
              </w:rPr>
            </w:pPr>
          </w:p>
        </w:tc>
        <w:tc>
          <w:tcPr>
            <w:tcW w:w="2798" w:type="dxa"/>
            <w:tcBorders>
              <w:top w:val="single" w:color="000000" w:sz="2" w:space="0"/>
              <w:bottom w:val="single" w:color="000000" w:sz="2" w:space="0"/>
            </w:tcBorders>
            <w:vAlign w:val="top"/>
          </w:tcPr>
          <w:p w14:paraId="59E9726B">
            <w:pPr>
              <w:pStyle w:val="6"/>
              <w:spacing w:before="68" w:line="220" w:lineRule="auto"/>
              <w:ind w:left="2"/>
              <w:rPr>
                <w:sz w:val="18"/>
                <w:szCs w:val="18"/>
              </w:rPr>
            </w:pPr>
            <w:r>
              <w:rPr>
                <w:spacing w:val="2"/>
                <w:sz w:val="18"/>
                <w:szCs w:val="18"/>
              </w:rPr>
              <w:t>饲料及其加工利用</w:t>
            </w:r>
          </w:p>
        </w:tc>
      </w:tr>
      <w:tr w14:paraId="2421A5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0" w:hRule="atLeast"/>
        </w:trPr>
        <w:tc>
          <w:tcPr>
            <w:tcW w:w="1292" w:type="dxa"/>
            <w:vMerge w:val="continue"/>
            <w:tcBorders>
              <w:top w:val="nil"/>
              <w:bottom w:val="single" w:color="000000" w:sz="2" w:space="0"/>
            </w:tcBorders>
            <w:vAlign w:val="top"/>
          </w:tcPr>
          <w:p w14:paraId="1EB69D64">
            <w:pPr>
              <w:rPr>
                <w:rFonts w:ascii="Arial"/>
                <w:sz w:val="21"/>
              </w:rPr>
            </w:pPr>
          </w:p>
        </w:tc>
        <w:tc>
          <w:tcPr>
            <w:tcW w:w="2798" w:type="dxa"/>
            <w:tcBorders>
              <w:top w:val="single" w:color="000000" w:sz="2" w:space="0"/>
              <w:bottom w:val="single" w:color="000000" w:sz="2" w:space="0"/>
            </w:tcBorders>
            <w:vAlign w:val="top"/>
          </w:tcPr>
          <w:p w14:paraId="5D3A05D3">
            <w:pPr>
              <w:pStyle w:val="6"/>
              <w:spacing w:before="57" w:line="218" w:lineRule="auto"/>
              <w:ind w:left="2"/>
              <w:rPr>
                <w:sz w:val="18"/>
                <w:szCs w:val="18"/>
              </w:rPr>
            </w:pPr>
            <w:r>
              <w:rPr>
                <w:sz w:val="18"/>
                <w:szCs w:val="18"/>
              </w:rPr>
              <w:t>营养需要与饲料配合</w:t>
            </w:r>
          </w:p>
        </w:tc>
      </w:tr>
    </w:tbl>
    <w:p w14:paraId="544E8BFD">
      <w:pPr>
        <w:pStyle w:val="2"/>
        <w:spacing w:line="14" w:lineRule="auto"/>
        <w:rPr>
          <w:sz w:val="2"/>
        </w:rPr>
      </w:pPr>
    </w:p>
    <w:p w14:paraId="1187D7B8">
      <w:pPr>
        <w:spacing w:line="14" w:lineRule="auto"/>
        <w:rPr>
          <w:sz w:val="2"/>
          <w:szCs w:val="2"/>
        </w:rPr>
        <w:sectPr>
          <w:type w:val="continuous"/>
          <w:pgSz w:w="10660" w:h="15080"/>
          <w:pgMar w:top="400" w:right="1045" w:bottom="925" w:left="809" w:header="0" w:footer="705" w:gutter="0"/>
          <w:cols w:equalWidth="0" w:num="2">
            <w:col w:w="4546" w:space="100"/>
            <w:col w:w="4160"/>
          </w:cols>
        </w:sectPr>
      </w:pPr>
    </w:p>
    <w:p w14:paraId="0E8663B1">
      <w:pPr>
        <w:spacing w:before="10"/>
      </w:pPr>
    </w:p>
    <w:p w14:paraId="7041F630">
      <w:pPr>
        <w:spacing w:before="10"/>
      </w:pPr>
    </w:p>
    <w:p w14:paraId="4277C30A">
      <w:pPr>
        <w:spacing w:before="10"/>
      </w:pPr>
    </w:p>
    <w:p w14:paraId="40EFB071">
      <w:pPr>
        <w:spacing w:before="9"/>
      </w:pPr>
    </w:p>
    <w:p w14:paraId="337E68AE">
      <w:pPr>
        <w:sectPr>
          <w:footerReference r:id="rId21" w:type="default"/>
          <w:pgSz w:w="10660" w:h="15080"/>
          <w:pgMar w:top="400" w:right="756" w:bottom="936" w:left="1019" w:header="0" w:footer="714" w:gutter="0"/>
          <w:cols w:equalWidth="0" w:num="1">
            <w:col w:w="8884"/>
          </w:cols>
        </w:sectPr>
      </w:pPr>
    </w:p>
    <w:tbl>
      <w:tblPr>
        <w:tblStyle w:val="5"/>
        <w:tblW w:w="4109" w:type="dxa"/>
        <w:tblInd w:w="2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291"/>
        <w:gridCol w:w="2818"/>
      </w:tblGrid>
      <w:tr w14:paraId="565ED0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4" w:hRule="atLeast"/>
        </w:trPr>
        <w:tc>
          <w:tcPr>
            <w:tcW w:w="1291" w:type="dxa"/>
            <w:vAlign w:val="top"/>
          </w:tcPr>
          <w:p w14:paraId="1A9E2A43">
            <w:pPr>
              <w:pStyle w:val="6"/>
              <w:spacing w:before="58" w:line="219" w:lineRule="auto"/>
              <w:ind w:left="457"/>
              <w:rPr>
                <w:sz w:val="18"/>
                <w:szCs w:val="18"/>
              </w:rPr>
            </w:pPr>
            <w:r>
              <w:rPr>
                <w:b/>
                <w:bCs/>
                <w:spacing w:val="-5"/>
                <w:sz w:val="18"/>
                <w:szCs w:val="18"/>
              </w:rPr>
              <w:t>学科</w:t>
            </w:r>
          </w:p>
        </w:tc>
        <w:tc>
          <w:tcPr>
            <w:tcW w:w="2818" w:type="dxa"/>
            <w:vAlign w:val="top"/>
          </w:tcPr>
          <w:p w14:paraId="7F54A93A">
            <w:pPr>
              <w:pStyle w:val="6"/>
              <w:spacing w:before="62" w:line="221" w:lineRule="auto"/>
              <w:ind w:left="1156"/>
              <w:rPr>
                <w:sz w:val="18"/>
                <w:szCs w:val="18"/>
              </w:rPr>
            </w:pPr>
            <w:r>
              <w:rPr>
                <w:b/>
                <w:bCs/>
                <w:spacing w:val="1"/>
                <w:sz w:val="18"/>
                <w:szCs w:val="18"/>
              </w:rPr>
              <w:t>知识点</w:t>
            </w:r>
          </w:p>
        </w:tc>
      </w:tr>
      <w:tr w14:paraId="27C50A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8" w:hRule="atLeast"/>
        </w:trPr>
        <w:tc>
          <w:tcPr>
            <w:tcW w:w="1291" w:type="dxa"/>
            <w:vMerge w:val="restart"/>
            <w:tcBorders>
              <w:bottom w:val="nil"/>
            </w:tcBorders>
            <w:vAlign w:val="top"/>
          </w:tcPr>
          <w:p w14:paraId="23E163AF">
            <w:pPr>
              <w:spacing w:line="273" w:lineRule="auto"/>
              <w:rPr>
                <w:rFonts w:ascii="Arial"/>
                <w:sz w:val="21"/>
              </w:rPr>
            </w:pPr>
          </w:p>
          <w:p w14:paraId="43066C8E">
            <w:pPr>
              <w:spacing w:line="273" w:lineRule="auto"/>
              <w:rPr>
                <w:rFonts w:ascii="Arial"/>
                <w:sz w:val="21"/>
              </w:rPr>
            </w:pPr>
          </w:p>
          <w:p w14:paraId="593C71B1">
            <w:pPr>
              <w:pStyle w:val="6"/>
              <w:spacing w:before="59" w:line="215" w:lineRule="auto"/>
              <w:ind w:left="94"/>
              <w:rPr>
                <w:sz w:val="18"/>
                <w:szCs w:val="18"/>
              </w:rPr>
            </w:pPr>
            <w:r>
              <w:rPr>
                <w:spacing w:val="2"/>
                <w:sz w:val="18"/>
                <w:szCs w:val="18"/>
              </w:rPr>
              <w:t>畜禽的繁殖与</w:t>
            </w:r>
          </w:p>
          <w:p w14:paraId="6AE6F327">
            <w:pPr>
              <w:pStyle w:val="6"/>
              <w:spacing w:line="205" w:lineRule="auto"/>
              <w:ind w:left="454"/>
              <w:rPr>
                <w:sz w:val="18"/>
                <w:szCs w:val="18"/>
              </w:rPr>
            </w:pPr>
            <w:r>
              <w:rPr>
                <w:spacing w:val="7"/>
                <w:sz w:val="18"/>
                <w:szCs w:val="18"/>
              </w:rPr>
              <w:t>改良</w:t>
            </w:r>
          </w:p>
          <w:p w14:paraId="5AD7FFC3">
            <w:pPr>
              <w:pStyle w:val="6"/>
              <w:spacing w:line="220" w:lineRule="auto"/>
              <w:ind w:left="365"/>
              <w:rPr>
                <w:sz w:val="18"/>
                <w:szCs w:val="18"/>
              </w:rPr>
            </w:pPr>
            <w:r>
              <w:rPr>
                <w:spacing w:val="7"/>
                <w:sz w:val="18"/>
                <w:szCs w:val="18"/>
              </w:rPr>
              <w:t>(60分)</w:t>
            </w:r>
          </w:p>
        </w:tc>
        <w:tc>
          <w:tcPr>
            <w:tcW w:w="2818" w:type="dxa"/>
            <w:vAlign w:val="top"/>
          </w:tcPr>
          <w:p w14:paraId="598778FE">
            <w:pPr>
              <w:pStyle w:val="6"/>
              <w:spacing w:before="57" w:line="219" w:lineRule="auto"/>
              <w:ind w:left="14"/>
              <w:rPr>
                <w:sz w:val="18"/>
                <w:szCs w:val="18"/>
              </w:rPr>
            </w:pPr>
            <w:r>
              <w:rPr>
                <w:spacing w:val="1"/>
                <w:sz w:val="18"/>
                <w:szCs w:val="18"/>
              </w:rPr>
              <w:t>畜禽遗传基础</w:t>
            </w:r>
          </w:p>
        </w:tc>
      </w:tr>
      <w:tr w14:paraId="494B76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9" w:hRule="atLeast"/>
        </w:trPr>
        <w:tc>
          <w:tcPr>
            <w:tcW w:w="1291" w:type="dxa"/>
            <w:vMerge w:val="continue"/>
            <w:tcBorders>
              <w:top w:val="nil"/>
              <w:bottom w:val="nil"/>
            </w:tcBorders>
            <w:vAlign w:val="top"/>
          </w:tcPr>
          <w:p w14:paraId="1B4D5D17">
            <w:pPr>
              <w:rPr>
                <w:rFonts w:ascii="Arial"/>
                <w:sz w:val="21"/>
              </w:rPr>
            </w:pPr>
          </w:p>
        </w:tc>
        <w:tc>
          <w:tcPr>
            <w:tcW w:w="2818" w:type="dxa"/>
            <w:vAlign w:val="top"/>
          </w:tcPr>
          <w:p w14:paraId="21BB63BD">
            <w:pPr>
              <w:pStyle w:val="6"/>
              <w:spacing w:before="60" w:line="219" w:lineRule="auto"/>
              <w:ind w:left="14"/>
              <w:rPr>
                <w:sz w:val="18"/>
                <w:szCs w:val="18"/>
              </w:rPr>
            </w:pPr>
            <w:r>
              <w:rPr>
                <w:spacing w:val="1"/>
                <w:sz w:val="18"/>
                <w:szCs w:val="18"/>
              </w:rPr>
              <w:t>畜禽杂交改良技术</w:t>
            </w:r>
          </w:p>
        </w:tc>
      </w:tr>
      <w:tr w14:paraId="07A67D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8" w:hRule="atLeast"/>
        </w:trPr>
        <w:tc>
          <w:tcPr>
            <w:tcW w:w="1291" w:type="dxa"/>
            <w:vMerge w:val="continue"/>
            <w:tcBorders>
              <w:top w:val="nil"/>
              <w:bottom w:val="nil"/>
            </w:tcBorders>
            <w:vAlign w:val="top"/>
          </w:tcPr>
          <w:p w14:paraId="69782392">
            <w:pPr>
              <w:rPr>
                <w:rFonts w:ascii="Arial"/>
                <w:sz w:val="21"/>
              </w:rPr>
            </w:pPr>
          </w:p>
        </w:tc>
        <w:tc>
          <w:tcPr>
            <w:tcW w:w="2818" w:type="dxa"/>
            <w:vAlign w:val="top"/>
          </w:tcPr>
          <w:p w14:paraId="5D108DB9">
            <w:pPr>
              <w:pStyle w:val="6"/>
              <w:spacing w:before="61" w:line="219" w:lineRule="auto"/>
              <w:ind w:left="14"/>
              <w:rPr>
                <w:sz w:val="18"/>
                <w:szCs w:val="18"/>
              </w:rPr>
            </w:pPr>
            <w:r>
              <w:rPr>
                <w:spacing w:val="-2"/>
                <w:sz w:val="18"/>
                <w:szCs w:val="18"/>
              </w:rPr>
              <w:t>生殖激素</w:t>
            </w:r>
          </w:p>
        </w:tc>
      </w:tr>
      <w:tr w14:paraId="239C35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8" w:hRule="atLeast"/>
        </w:trPr>
        <w:tc>
          <w:tcPr>
            <w:tcW w:w="1291" w:type="dxa"/>
            <w:vMerge w:val="continue"/>
            <w:tcBorders>
              <w:top w:val="nil"/>
              <w:bottom w:val="nil"/>
            </w:tcBorders>
            <w:vAlign w:val="top"/>
          </w:tcPr>
          <w:p w14:paraId="6026C663">
            <w:pPr>
              <w:rPr>
                <w:rFonts w:ascii="Arial"/>
                <w:sz w:val="21"/>
              </w:rPr>
            </w:pPr>
          </w:p>
        </w:tc>
        <w:tc>
          <w:tcPr>
            <w:tcW w:w="2818" w:type="dxa"/>
            <w:vAlign w:val="top"/>
          </w:tcPr>
          <w:p w14:paraId="208A9F70">
            <w:pPr>
              <w:pStyle w:val="6"/>
              <w:spacing w:before="63" w:line="219" w:lineRule="auto"/>
              <w:ind w:left="14"/>
              <w:rPr>
                <w:sz w:val="18"/>
                <w:szCs w:val="18"/>
              </w:rPr>
            </w:pPr>
            <w:r>
              <w:rPr>
                <w:spacing w:val="-2"/>
                <w:sz w:val="18"/>
                <w:szCs w:val="18"/>
              </w:rPr>
              <w:t>家畜繁殖技术</w:t>
            </w:r>
          </w:p>
        </w:tc>
      </w:tr>
      <w:tr w14:paraId="264389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9" w:hRule="atLeast"/>
        </w:trPr>
        <w:tc>
          <w:tcPr>
            <w:tcW w:w="1291" w:type="dxa"/>
            <w:vMerge w:val="continue"/>
            <w:tcBorders>
              <w:top w:val="nil"/>
              <w:bottom w:val="nil"/>
            </w:tcBorders>
            <w:vAlign w:val="top"/>
          </w:tcPr>
          <w:p w14:paraId="306434AC">
            <w:pPr>
              <w:rPr>
                <w:rFonts w:ascii="Arial"/>
                <w:sz w:val="21"/>
              </w:rPr>
            </w:pPr>
          </w:p>
        </w:tc>
        <w:tc>
          <w:tcPr>
            <w:tcW w:w="2818" w:type="dxa"/>
            <w:vAlign w:val="top"/>
          </w:tcPr>
          <w:p w14:paraId="00DD58EF">
            <w:pPr>
              <w:pStyle w:val="6"/>
              <w:spacing w:before="64" w:line="219" w:lineRule="auto"/>
              <w:ind w:left="14"/>
              <w:rPr>
                <w:sz w:val="18"/>
                <w:szCs w:val="18"/>
              </w:rPr>
            </w:pPr>
            <w:r>
              <w:rPr>
                <w:spacing w:val="-1"/>
                <w:sz w:val="18"/>
                <w:szCs w:val="18"/>
              </w:rPr>
              <w:t>家畜的受精、妊娠和分娩</w:t>
            </w:r>
          </w:p>
        </w:tc>
      </w:tr>
      <w:tr w14:paraId="7A6787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4" w:hRule="atLeast"/>
        </w:trPr>
        <w:tc>
          <w:tcPr>
            <w:tcW w:w="1291" w:type="dxa"/>
            <w:vMerge w:val="continue"/>
            <w:tcBorders>
              <w:top w:val="nil"/>
            </w:tcBorders>
            <w:vAlign w:val="top"/>
          </w:tcPr>
          <w:p w14:paraId="2828DE28">
            <w:pPr>
              <w:rPr>
                <w:rFonts w:ascii="Arial"/>
                <w:sz w:val="21"/>
              </w:rPr>
            </w:pPr>
          </w:p>
        </w:tc>
        <w:tc>
          <w:tcPr>
            <w:tcW w:w="2818" w:type="dxa"/>
            <w:vAlign w:val="top"/>
          </w:tcPr>
          <w:p w14:paraId="572CAAB2">
            <w:pPr>
              <w:pStyle w:val="6"/>
              <w:spacing w:before="56" w:line="219" w:lineRule="auto"/>
              <w:ind w:left="14"/>
              <w:rPr>
                <w:sz w:val="18"/>
                <w:szCs w:val="18"/>
              </w:rPr>
            </w:pPr>
            <w:r>
              <w:rPr>
                <w:spacing w:val="3"/>
                <w:sz w:val="18"/>
                <w:szCs w:val="18"/>
              </w:rPr>
              <w:t>家畜繁殖力</w:t>
            </w:r>
          </w:p>
        </w:tc>
      </w:tr>
    </w:tbl>
    <w:p w14:paraId="4835DE03">
      <w:pPr>
        <w:spacing w:before="72" w:line="219" w:lineRule="auto"/>
        <w:ind w:left="450"/>
        <w:rPr>
          <w:rFonts w:ascii="宋体" w:hAnsi="宋体" w:eastAsia="宋体" w:cs="宋体"/>
          <w:sz w:val="17"/>
          <w:szCs w:val="17"/>
        </w:rPr>
      </w:pPr>
      <w:r>
        <w:rPr>
          <w:rFonts w:ascii="宋体" w:hAnsi="宋体" w:eastAsia="宋体" w:cs="宋体"/>
          <w:spacing w:val="6"/>
          <w:sz w:val="17"/>
          <w:szCs w:val="17"/>
        </w:rPr>
        <w:t>(2)按考试水平分：</w:t>
      </w:r>
    </w:p>
    <w:p w14:paraId="30671BCC">
      <w:pPr>
        <w:spacing w:line="96" w:lineRule="exact"/>
      </w:pPr>
    </w:p>
    <w:tbl>
      <w:tblPr>
        <w:tblStyle w:val="5"/>
        <w:tblW w:w="4119" w:type="dxa"/>
        <w:tblInd w:w="2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32"/>
        <w:gridCol w:w="818"/>
        <w:gridCol w:w="828"/>
        <w:gridCol w:w="818"/>
        <w:gridCol w:w="823"/>
      </w:tblGrid>
      <w:tr w14:paraId="13342A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9" w:hRule="atLeast"/>
        </w:trPr>
        <w:tc>
          <w:tcPr>
            <w:tcW w:w="832" w:type="dxa"/>
            <w:vAlign w:val="top"/>
          </w:tcPr>
          <w:p w14:paraId="4837229E">
            <w:pPr>
              <w:pStyle w:val="6"/>
              <w:spacing w:before="139" w:line="220" w:lineRule="auto"/>
              <w:ind w:left="87"/>
              <w:rPr>
                <w:sz w:val="16"/>
                <w:szCs w:val="16"/>
              </w:rPr>
            </w:pPr>
            <w:r>
              <w:rPr>
                <w:b/>
                <w:bCs/>
                <w:spacing w:val="-1"/>
                <w:sz w:val="16"/>
                <w:szCs w:val="16"/>
              </w:rPr>
              <w:t>目标要求</w:t>
            </w:r>
          </w:p>
        </w:tc>
        <w:tc>
          <w:tcPr>
            <w:tcW w:w="818" w:type="dxa"/>
            <w:vAlign w:val="top"/>
          </w:tcPr>
          <w:p w14:paraId="79D2C180">
            <w:pPr>
              <w:pStyle w:val="6"/>
              <w:spacing w:before="33" w:line="228" w:lineRule="auto"/>
              <w:ind w:left="285" w:right="250" w:hanging="40"/>
              <w:rPr>
                <w:sz w:val="16"/>
                <w:szCs w:val="16"/>
              </w:rPr>
            </w:pPr>
            <w:r>
              <w:rPr>
                <w:b/>
                <w:bCs/>
                <w:spacing w:val="-6"/>
                <w:sz w:val="16"/>
                <w:szCs w:val="16"/>
              </w:rPr>
              <w:t>识记</w:t>
            </w:r>
            <w:r>
              <w:rPr>
                <w:sz w:val="16"/>
                <w:szCs w:val="16"/>
              </w:rPr>
              <w:t xml:space="preserve"> </w:t>
            </w:r>
            <w:r>
              <w:rPr>
                <w:b/>
                <w:bCs/>
                <w:spacing w:val="-10"/>
                <w:sz w:val="16"/>
                <w:szCs w:val="16"/>
              </w:rPr>
              <w:t>(A)</w:t>
            </w:r>
          </w:p>
        </w:tc>
        <w:tc>
          <w:tcPr>
            <w:tcW w:w="828" w:type="dxa"/>
            <w:vAlign w:val="top"/>
          </w:tcPr>
          <w:p w14:paraId="0129E2EF">
            <w:pPr>
              <w:pStyle w:val="6"/>
              <w:spacing w:before="30" w:line="230" w:lineRule="auto"/>
              <w:ind w:left="286" w:right="258" w:hanging="39"/>
              <w:rPr>
                <w:sz w:val="16"/>
                <w:szCs w:val="16"/>
              </w:rPr>
            </w:pPr>
            <w:r>
              <w:rPr>
                <w:b/>
                <w:bCs/>
                <w:spacing w:val="-6"/>
                <w:sz w:val="16"/>
                <w:szCs w:val="16"/>
              </w:rPr>
              <w:t>理解</w:t>
            </w:r>
            <w:r>
              <w:rPr>
                <w:sz w:val="16"/>
                <w:szCs w:val="16"/>
              </w:rPr>
              <w:t xml:space="preserve"> </w:t>
            </w:r>
            <w:r>
              <w:rPr>
                <w:b/>
                <w:bCs/>
                <w:spacing w:val="-10"/>
                <w:sz w:val="16"/>
                <w:szCs w:val="16"/>
              </w:rPr>
              <w:t>(B)</w:t>
            </w:r>
          </w:p>
        </w:tc>
        <w:tc>
          <w:tcPr>
            <w:tcW w:w="818" w:type="dxa"/>
            <w:vAlign w:val="top"/>
          </w:tcPr>
          <w:p w14:paraId="5551B738">
            <w:pPr>
              <w:pStyle w:val="6"/>
              <w:spacing w:before="28" w:line="231" w:lineRule="auto"/>
              <w:ind w:left="288" w:right="249" w:hanging="39"/>
              <w:rPr>
                <w:sz w:val="16"/>
                <w:szCs w:val="16"/>
              </w:rPr>
            </w:pPr>
            <w:r>
              <w:rPr>
                <w:b/>
                <w:bCs/>
                <w:spacing w:val="-7"/>
                <w:sz w:val="16"/>
                <w:szCs w:val="16"/>
              </w:rPr>
              <w:t>掌握</w:t>
            </w:r>
            <w:r>
              <w:rPr>
                <w:sz w:val="16"/>
                <w:szCs w:val="16"/>
              </w:rPr>
              <w:t xml:space="preserve"> </w:t>
            </w:r>
            <w:r>
              <w:rPr>
                <w:b/>
                <w:bCs/>
                <w:spacing w:val="-10"/>
                <w:sz w:val="16"/>
                <w:szCs w:val="16"/>
              </w:rPr>
              <w:t>(C)</w:t>
            </w:r>
          </w:p>
        </w:tc>
        <w:tc>
          <w:tcPr>
            <w:tcW w:w="823" w:type="dxa"/>
            <w:vAlign w:val="top"/>
          </w:tcPr>
          <w:p w14:paraId="583985DC">
            <w:pPr>
              <w:pStyle w:val="6"/>
              <w:spacing w:before="29" w:line="220" w:lineRule="auto"/>
              <w:ind w:left="91"/>
              <w:rPr>
                <w:sz w:val="16"/>
                <w:szCs w:val="16"/>
              </w:rPr>
            </w:pPr>
            <w:r>
              <w:rPr>
                <w:b/>
                <w:bCs/>
                <w:spacing w:val="2"/>
                <w:sz w:val="16"/>
                <w:szCs w:val="16"/>
              </w:rPr>
              <w:t>综合运用</w:t>
            </w:r>
          </w:p>
          <w:p w14:paraId="7906D502">
            <w:pPr>
              <w:pStyle w:val="6"/>
              <w:spacing w:before="41" w:line="193" w:lineRule="auto"/>
              <w:ind w:left="291"/>
              <w:rPr>
                <w:sz w:val="16"/>
                <w:szCs w:val="16"/>
              </w:rPr>
            </w:pPr>
            <w:r>
              <w:rPr>
                <w:b/>
                <w:bCs/>
                <w:spacing w:val="-10"/>
                <w:sz w:val="16"/>
                <w:szCs w:val="16"/>
              </w:rPr>
              <w:t>(D)</w:t>
            </w:r>
          </w:p>
        </w:tc>
      </w:tr>
      <w:tr w14:paraId="2D0133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1" w:hRule="atLeast"/>
        </w:trPr>
        <w:tc>
          <w:tcPr>
            <w:tcW w:w="832" w:type="dxa"/>
            <w:vAlign w:val="top"/>
          </w:tcPr>
          <w:p w14:paraId="490DAC91">
            <w:pPr>
              <w:pStyle w:val="6"/>
              <w:spacing w:before="60" w:line="220" w:lineRule="auto"/>
              <w:ind w:left="167"/>
              <w:rPr>
                <w:sz w:val="16"/>
                <w:szCs w:val="16"/>
              </w:rPr>
            </w:pPr>
            <w:r>
              <w:rPr>
                <w:b/>
                <w:bCs/>
                <w:spacing w:val="-5"/>
                <w:sz w:val="16"/>
                <w:szCs w:val="16"/>
              </w:rPr>
              <w:t>百分比</w:t>
            </w:r>
          </w:p>
        </w:tc>
        <w:tc>
          <w:tcPr>
            <w:tcW w:w="818" w:type="dxa"/>
            <w:vAlign w:val="top"/>
          </w:tcPr>
          <w:p w14:paraId="41E68C6E">
            <w:pPr>
              <w:pStyle w:val="6"/>
              <w:spacing w:before="103" w:line="182" w:lineRule="auto"/>
              <w:ind w:left="285"/>
              <w:rPr>
                <w:sz w:val="16"/>
                <w:szCs w:val="16"/>
              </w:rPr>
            </w:pPr>
            <w:r>
              <w:rPr>
                <w:b/>
                <w:bCs/>
                <w:spacing w:val="-4"/>
                <w:sz w:val="16"/>
                <w:szCs w:val="16"/>
              </w:rPr>
              <w:t>20%</w:t>
            </w:r>
          </w:p>
        </w:tc>
        <w:tc>
          <w:tcPr>
            <w:tcW w:w="828" w:type="dxa"/>
            <w:vAlign w:val="top"/>
          </w:tcPr>
          <w:p w14:paraId="042B8DA7">
            <w:pPr>
              <w:pStyle w:val="6"/>
              <w:spacing w:before="103" w:line="182" w:lineRule="auto"/>
              <w:ind w:left="287"/>
              <w:rPr>
                <w:sz w:val="16"/>
                <w:szCs w:val="16"/>
              </w:rPr>
            </w:pPr>
            <w:r>
              <w:rPr>
                <w:b/>
                <w:bCs/>
                <w:spacing w:val="-4"/>
                <w:sz w:val="16"/>
                <w:szCs w:val="16"/>
              </w:rPr>
              <w:t>30%</w:t>
            </w:r>
          </w:p>
        </w:tc>
        <w:tc>
          <w:tcPr>
            <w:tcW w:w="818" w:type="dxa"/>
            <w:vAlign w:val="top"/>
          </w:tcPr>
          <w:p w14:paraId="23E931AC">
            <w:pPr>
              <w:pStyle w:val="6"/>
              <w:spacing w:before="103" w:line="182" w:lineRule="auto"/>
              <w:ind w:left="289"/>
              <w:rPr>
                <w:sz w:val="16"/>
                <w:szCs w:val="16"/>
              </w:rPr>
            </w:pPr>
            <w:r>
              <w:rPr>
                <w:b/>
                <w:bCs/>
                <w:spacing w:val="-4"/>
                <w:sz w:val="16"/>
                <w:szCs w:val="16"/>
              </w:rPr>
              <w:t>30%</w:t>
            </w:r>
          </w:p>
        </w:tc>
        <w:tc>
          <w:tcPr>
            <w:tcW w:w="823" w:type="dxa"/>
            <w:vAlign w:val="top"/>
          </w:tcPr>
          <w:p w14:paraId="66F7981F">
            <w:pPr>
              <w:pStyle w:val="6"/>
              <w:spacing w:before="103" w:line="182" w:lineRule="auto"/>
              <w:ind w:left="291"/>
              <w:rPr>
                <w:sz w:val="16"/>
                <w:szCs w:val="16"/>
              </w:rPr>
            </w:pPr>
            <w:r>
              <w:rPr>
                <w:b/>
                <w:bCs/>
                <w:spacing w:val="-4"/>
                <w:sz w:val="16"/>
                <w:szCs w:val="16"/>
              </w:rPr>
              <w:t>20%</w:t>
            </w:r>
          </w:p>
        </w:tc>
      </w:tr>
    </w:tbl>
    <w:p w14:paraId="37EC1CE8">
      <w:pPr>
        <w:spacing w:before="70" w:line="221" w:lineRule="auto"/>
        <w:ind w:left="440"/>
        <w:rPr>
          <w:rFonts w:ascii="黑体" w:hAnsi="黑体" w:eastAsia="黑体" w:cs="黑体"/>
          <w:sz w:val="17"/>
          <w:szCs w:val="17"/>
        </w:rPr>
      </w:pPr>
      <w:r>
        <w:rPr>
          <w:rFonts w:ascii="黑体" w:hAnsi="黑体" w:eastAsia="黑体" w:cs="黑体"/>
          <w:spacing w:val="5"/>
          <w:sz w:val="17"/>
          <w:szCs w:val="17"/>
        </w:rPr>
        <w:t>(3)按试题的难易程度分：</w:t>
      </w:r>
    </w:p>
    <w:p w14:paraId="624BEDA9">
      <w:pPr>
        <w:spacing w:line="95" w:lineRule="exact"/>
      </w:pPr>
    </w:p>
    <w:tbl>
      <w:tblPr>
        <w:tblStyle w:val="5"/>
        <w:tblW w:w="4119" w:type="dxa"/>
        <w:tblInd w:w="2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42"/>
        <w:gridCol w:w="1007"/>
        <w:gridCol w:w="1257"/>
        <w:gridCol w:w="913"/>
      </w:tblGrid>
      <w:tr w14:paraId="32333B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942" w:type="dxa"/>
            <w:vAlign w:val="top"/>
          </w:tcPr>
          <w:p w14:paraId="3B2A9313">
            <w:pPr>
              <w:pStyle w:val="6"/>
              <w:spacing w:before="70" w:line="220" w:lineRule="auto"/>
              <w:ind w:left="127"/>
            </w:pPr>
            <w:r>
              <w:rPr>
                <w:b/>
                <w:bCs/>
                <w:spacing w:val="-3"/>
              </w:rPr>
              <w:t>难易程度</w:t>
            </w:r>
          </w:p>
        </w:tc>
        <w:tc>
          <w:tcPr>
            <w:tcW w:w="1007" w:type="dxa"/>
            <w:vAlign w:val="top"/>
          </w:tcPr>
          <w:p w14:paraId="47976033">
            <w:pPr>
              <w:pStyle w:val="6"/>
              <w:spacing w:before="71" w:line="221" w:lineRule="auto"/>
              <w:ind w:left="245"/>
            </w:pPr>
            <w:r>
              <w:rPr>
                <w:b/>
                <w:bCs/>
                <w:spacing w:val="-4"/>
              </w:rPr>
              <w:t>基础题</w:t>
            </w:r>
          </w:p>
        </w:tc>
        <w:tc>
          <w:tcPr>
            <w:tcW w:w="1257" w:type="dxa"/>
            <w:vAlign w:val="top"/>
          </w:tcPr>
          <w:p w14:paraId="6DF8595F">
            <w:pPr>
              <w:pStyle w:val="6"/>
              <w:spacing w:before="69" w:line="219" w:lineRule="auto"/>
              <w:ind w:left="198"/>
            </w:pPr>
            <w:r>
              <w:rPr>
                <w:b/>
                <w:bCs/>
                <w:spacing w:val="-2"/>
              </w:rPr>
              <w:t>中等难度题</w:t>
            </w:r>
          </w:p>
        </w:tc>
        <w:tc>
          <w:tcPr>
            <w:tcW w:w="913" w:type="dxa"/>
            <w:vAlign w:val="top"/>
          </w:tcPr>
          <w:p w14:paraId="37472BD8">
            <w:pPr>
              <w:pStyle w:val="6"/>
              <w:spacing w:before="70" w:line="221" w:lineRule="auto"/>
              <w:ind w:left="281"/>
            </w:pPr>
            <w:r>
              <w:rPr>
                <w:b/>
                <w:bCs/>
                <w:spacing w:val="-4"/>
              </w:rPr>
              <w:t>难题</w:t>
            </w:r>
          </w:p>
        </w:tc>
      </w:tr>
      <w:tr w14:paraId="1D608F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0" w:hRule="atLeast"/>
        </w:trPr>
        <w:tc>
          <w:tcPr>
            <w:tcW w:w="942" w:type="dxa"/>
            <w:vAlign w:val="top"/>
          </w:tcPr>
          <w:p w14:paraId="3C47F729">
            <w:pPr>
              <w:pStyle w:val="6"/>
              <w:spacing w:before="60" w:line="220" w:lineRule="auto"/>
              <w:ind w:left="207"/>
            </w:pPr>
            <w:r>
              <w:rPr>
                <w:b/>
                <w:bCs/>
                <w:spacing w:val="-5"/>
              </w:rPr>
              <w:t>百分比</w:t>
            </w:r>
          </w:p>
        </w:tc>
        <w:tc>
          <w:tcPr>
            <w:tcW w:w="1007" w:type="dxa"/>
            <w:vAlign w:val="top"/>
          </w:tcPr>
          <w:p w14:paraId="1BBF731C">
            <w:pPr>
              <w:pStyle w:val="6"/>
              <w:spacing w:before="104" w:line="183" w:lineRule="auto"/>
              <w:ind w:left="365"/>
            </w:pPr>
            <w:r>
              <w:rPr>
                <w:b/>
                <w:bCs/>
                <w:spacing w:val="-4"/>
              </w:rPr>
              <w:t>60%</w:t>
            </w:r>
          </w:p>
        </w:tc>
        <w:tc>
          <w:tcPr>
            <w:tcW w:w="1257" w:type="dxa"/>
            <w:vAlign w:val="top"/>
          </w:tcPr>
          <w:p w14:paraId="5DA65075">
            <w:pPr>
              <w:pStyle w:val="6"/>
              <w:spacing w:before="104" w:line="183" w:lineRule="auto"/>
              <w:ind w:left="498"/>
            </w:pPr>
            <w:r>
              <w:rPr>
                <w:b/>
                <w:bCs/>
                <w:spacing w:val="-5"/>
              </w:rPr>
              <w:t>30%</w:t>
            </w:r>
          </w:p>
        </w:tc>
        <w:tc>
          <w:tcPr>
            <w:tcW w:w="913" w:type="dxa"/>
            <w:vAlign w:val="top"/>
          </w:tcPr>
          <w:p w14:paraId="2B3FBA92">
            <w:pPr>
              <w:pStyle w:val="6"/>
              <w:spacing w:before="103" w:line="184" w:lineRule="auto"/>
              <w:ind w:left="321"/>
            </w:pPr>
            <w:r>
              <w:rPr>
                <w:b/>
                <w:bCs/>
                <w:spacing w:val="-7"/>
              </w:rPr>
              <w:t>10%</w:t>
            </w:r>
          </w:p>
        </w:tc>
      </w:tr>
    </w:tbl>
    <w:p w14:paraId="12A72AD6">
      <w:pPr>
        <w:spacing w:before="62" w:line="219" w:lineRule="auto"/>
        <w:ind w:left="450"/>
        <w:rPr>
          <w:rFonts w:ascii="宋体" w:hAnsi="宋体" w:eastAsia="宋体" w:cs="宋体"/>
          <w:sz w:val="18"/>
          <w:szCs w:val="18"/>
        </w:rPr>
      </w:pPr>
      <w:r>
        <w:rPr>
          <w:rFonts w:ascii="宋体" w:hAnsi="宋体" w:eastAsia="宋体" w:cs="宋体"/>
          <w:spacing w:val="-1"/>
          <w:sz w:val="18"/>
          <w:szCs w:val="18"/>
        </w:rPr>
        <w:t>(4)按题型分：</w:t>
      </w:r>
    </w:p>
    <w:p w14:paraId="6837228D">
      <w:pPr>
        <w:spacing w:line="94" w:lineRule="exact"/>
      </w:pPr>
    </w:p>
    <w:tbl>
      <w:tblPr>
        <w:tblStyle w:val="5"/>
        <w:tblW w:w="4130" w:type="dxa"/>
        <w:tblInd w:w="2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394"/>
        <w:gridCol w:w="588"/>
        <w:gridCol w:w="588"/>
        <w:gridCol w:w="539"/>
        <w:gridCol w:w="539"/>
        <w:gridCol w:w="489"/>
        <w:gridCol w:w="489"/>
        <w:gridCol w:w="504"/>
      </w:tblGrid>
      <w:tr w14:paraId="6407D2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3" w:hRule="atLeast"/>
        </w:trPr>
        <w:tc>
          <w:tcPr>
            <w:tcW w:w="394" w:type="dxa"/>
            <w:vMerge w:val="restart"/>
            <w:tcBorders>
              <w:bottom w:val="nil"/>
            </w:tcBorders>
            <w:vAlign w:val="top"/>
          </w:tcPr>
          <w:p w14:paraId="384FC0F1">
            <w:pPr>
              <w:spacing w:line="292" w:lineRule="auto"/>
              <w:rPr>
                <w:rFonts w:ascii="Arial"/>
                <w:sz w:val="21"/>
              </w:rPr>
            </w:pPr>
          </w:p>
          <w:p w14:paraId="02D65CEF">
            <w:pPr>
              <w:pStyle w:val="6"/>
              <w:spacing w:before="58" w:line="221" w:lineRule="auto"/>
              <w:ind w:left="7"/>
              <w:rPr>
                <w:sz w:val="18"/>
                <w:szCs w:val="18"/>
              </w:rPr>
            </w:pPr>
            <w:r>
              <w:rPr>
                <w:b/>
                <w:bCs/>
                <w:spacing w:val="-4"/>
                <w:sz w:val="18"/>
                <w:szCs w:val="18"/>
              </w:rPr>
              <w:t>题型</w:t>
            </w:r>
          </w:p>
        </w:tc>
        <w:tc>
          <w:tcPr>
            <w:tcW w:w="1176" w:type="dxa"/>
            <w:gridSpan w:val="2"/>
            <w:vAlign w:val="top"/>
          </w:tcPr>
          <w:p w14:paraId="6E31AC49">
            <w:pPr>
              <w:pStyle w:val="6"/>
              <w:spacing w:before="80" w:line="221" w:lineRule="auto"/>
              <w:ind w:left="323"/>
              <w:rPr>
                <w:sz w:val="18"/>
                <w:szCs w:val="18"/>
              </w:rPr>
            </w:pPr>
            <w:r>
              <w:rPr>
                <w:b/>
                <w:bCs/>
                <w:spacing w:val="-4"/>
                <w:sz w:val="18"/>
                <w:szCs w:val="18"/>
              </w:rPr>
              <w:t>选择题</w:t>
            </w:r>
          </w:p>
        </w:tc>
        <w:tc>
          <w:tcPr>
            <w:tcW w:w="539" w:type="dxa"/>
            <w:vMerge w:val="restart"/>
            <w:tcBorders>
              <w:bottom w:val="nil"/>
            </w:tcBorders>
            <w:vAlign w:val="top"/>
          </w:tcPr>
          <w:p w14:paraId="25963B34">
            <w:pPr>
              <w:spacing w:line="290" w:lineRule="auto"/>
              <w:rPr>
                <w:rFonts w:ascii="Arial"/>
                <w:sz w:val="21"/>
              </w:rPr>
            </w:pPr>
          </w:p>
          <w:p w14:paraId="01AE00B9">
            <w:pPr>
              <w:pStyle w:val="6"/>
              <w:spacing w:before="58" w:line="220" w:lineRule="auto"/>
              <w:jc w:val="right"/>
              <w:rPr>
                <w:sz w:val="18"/>
                <w:szCs w:val="18"/>
              </w:rPr>
            </w:pPr>
            <w:r>
              <w:rPr>
                <w:b/>
                <w:bCs/>
                <w:spacing w:val="-13"/>
                <w:sz w:val="18"/>
                <w:szCs w:val="18"/>
              </w:rPr>
              <w:t>填空</w:t>
            </w:r>
            <w:r>
              <w:rPr>
                <w:b/>
                <w:bCs/>
                <w:spacing w:val="-10"/>
                <w:sz w:val="18"/>
                <w:szCs w:val="18"/>
              </w:rPr>
              <w:t>题</w:t>
            </w:r>
          </w:p>
        </w:tc>
        <w:tc>
          <w:tcPr>
            <w:tcW w:w="539" w:type="dxa"/>
            <w:vMerge w:val="restart"/>
            <w:tcBorders>
              <w:bottom w:val="nil"/>
            </w:tcBorders>
            <w:vAlign w:val="top"/>
          </w:tcPr>
          <w:p w14:paraId="63B0AFE8">
            <w:pPr>
              <w:pStyle w:val="6"/>
              <w:spacing w:before="130" w:line="220" w:lineRule="auto"/>
              <w:ind w:left="88"/>
              <w:rPr>
                <w:sz w:val="18"/>
                <w:szCs w:val="18"/>
              </w:rPr>
            </w:pPr>
            <w:r>
              <w:rPr>
                <w:b/>
                <w:bCs/>
                <w:spacing w:val="-5"/>
                <w:sz w:val="18"/>
                <w:szCs w:val="18"/>
              </w:rPr>
              <w:t>分析</w:t>
            </w:r>
          </w:p>
          <w:p w14:paraId="25E3178F">
            <w:pPr>
              <w:pStyle w:val="6"/>
              <w:spacing w:before="4" w:line="218" w:lineRule="auto"/>
              <w:ind w:left="88"/>
              <w:rPr>
                <w:sz w:val="18"/>
                <w:szCs w:val="18"/>
              </w:rPr>
            </w:pPr>
            <w:r>
              <w:rPr>
                <w:b/>
                <w:bCs/>
                <w:spacing w:val="5"/>
                <w:sz w:val="18"/>
                <w:szCs w:val="18"/>
              </w:rPr>
              <w:t>说明</w:t>
            </w:r>
          </w:p>
          <w:p w14:paraId="7CBC92A1">
            <w:pPr>
              <w:pStyle w:val="6"/>
              <w:spacing w:line="221" w:lineRule="auto"/>
              <w:ind w:left="178"/>
              <w:rPr>
                <w:sz w:val="18"/>
                <w:szCs w:val="18"/>
              </w:rPr>
            </w:pPr>
            <w:r>
              <w:rPr>
                <w:b/>
                <w:bCs/>
                <w:spacing w:val="-2"/>
                <w:sz w:val="18"/>
                <w:szCs w:val="18"/>
              </w:rPr>
              <w:t>题</w:t>
            </w:r>
          </w:p>
        </w:tc>
        <w:tc>
          <w:tcPr>
            <w:tcW w:w="489" w:type="dxa"/>
            <w:vMerge w:val="restart"/>
            <w:tcBorders>
              <w:bottom w:val="nil"/>
            </w:tcBorders>
            <w:textDirection w:val="tbRlV"/>
            <w:vAlign w:val="top"/>
          </w:tcPr>
          <w:p w14:paraId="4DE36971">
            <w:pPr>
              <w:pStyle w:val="6"/>
              <w:spacing w:before="161" w:line="200" w:lineRule="auto"/>
              <w:ind w:left="146"/>
              <w:rPr>
                <w:sz w:val="18"/>
                <w:szCs w:val="18"/>
              </w:rPr>
            </w:pPr>
            <w:r>
              <w:rPr>
                <w:b/>
                <w:bCs/>
                <w:spacing w:val="5"/>
                <w:sz w:val="18"/>
                <w:szCs w:val="18"/>
              </w:rPr>
              <w:t>识图题</w:t>
            </w:r>
          </w:p>
        </w:tc>
        <w:tc>
          <w:tcPr>
            <w:tcW w:w="489" w:type="dxa"/>
            <w:vMerge w:val="restart"/>
            <w:tcBorders>
              <w:bottom w:val="nil"/>
            </w:tcBorders>
            <w:textDirection w:val="tbRlV"/>
            <w:vAlign w:val="top"/>
          </w:tcPr>
          <w:p w14:paraId="39016A40">
            <w:pPr>
              <w:pStyle w:val="6"/>
              <w:spacing w:before="160" w:line="199" w:lineRule="auto"/>
              <w:ind w:left="154"/>
              <w:rPr>
                <w:sz w:val="18"/>
                <w:szCs w:val="18"/>
              </w:rPr>
            </w:pPr>
            <w:r>
              <w:rPr>
                <w:b/>
                <w:bCs/>
                <w:spacing w:val="-2"/>
                <w:sz w:val="18"/>
                <w:szCs w:val="18"/>
              </w:rPr>
              <w:t>实践题</w:t>
            </w:r>
          </w:p>
        </w:tc>
        <w:tc>
          <w:tcPr>
            <w:tcW w:w="504" w:type="dxa"/>
            <w:vMerge w:val="restart"/>
            <w:tcBorders>
              <w:bottom w:val="nil"/>
            </w:tcBorders>
            <w:textDirection w:val="tbRlV"/>
            <w:vAlign w:val="top"/>
          </w:tcPr>
          <w:p w14:paraId="4C805FC6">
            <w:pPr>
              <w:pStyle w:val="6"/>
              <w:spacing w:before="162" w:line="201" w:lineRule="auto"/>
              <w:ind w:left="153"/>
              <w:rPr>
                <w:sz w:val="18"/>
                <w:szCs w:val="18"/>
              </w:rPr>
            </w:pPr>
            <w:r>
              <w:rPr>
                <w:b/>
                <w:bCs/>
                <w:spacing w:val="-2"/>
                <w:sz w:val="18"/>
                <w:szCs w:val="18"/>
              </w:rPr>
              <w:t>综合题</w:t>
            </w:r>
          </w:p>
        </w:tc>
      </w:tr>
      <w:tr w14:paraId="009BA2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6" w:hRule="atLeast"/>
        </w:trPr>
        <w:tc>
          <w:tcPr>
            <w:tcW w:w="394" w:type="dxa"/>
            <w:vMerge w:val="continue"/>
            <w:tcBorders>
              <w:top w:val="nil"/>
            </w:tcBorders>
            <w:vAlign w:val="top"/>
          </w:tcPr>
          <w:p w14:paraId="1098310B">
            <w:pPr>
              <w:rPr>
                <w:rFonts w:ascii="Arial"/>
                <w:sz w:val="21"/>
              </w:rPr>
            </w:pPr>
          </w:p>
        </w:tc>
        <w:tc>
          <w:tcPr>
            <w:tcW w:w="588" w:type="dxa"/>
            <w:vAlign w:val="top"/>
          </w:tcPr>
          <w:p w14:paraId="5DFE77CB">
            <w:pPr>
              <w:pStyle w:val="6"/>
              <w:spacing w:before="179" w:line="220" w:lineRule="auto"/>
              <w:ind w:left="101"/>
              <w:rPr>
                <w:sz w:val="18"/>
                <w:szCs w:val="18"/>
              </w:rPr>
            </w:pPr>
            <w:r>
              <w:rPr>
                <w:spacing w:val="-3"/>
                <w:sz w:val="18"/>
                <w:szCs w:val="18"/>
              </w:rPr>
              <w:t>单选</w:t>
            </w:r>
          </w:p>
        </w:tc>
        <w:tc>
          <w:tcPr>
            <w:tcW w:w="588" w:type="dxa"/>
            <w:vAlign w:val="top"/>
          </w:tcPr>
          <w:p w14:paraId="31259D08">
            <w:pPr>
              <w:pStyle w:val="6"/>
              <w:spacing w:before="180" w:line="221" w:lineRule="auto"/>
              <w:ind w:left="102"/>
              <w:rPr>
                <w:sz w:val="18"/>
                <w:szCs w:val="18"/>
              </w:rPr>
            </w:pPr>
            <w:r>
              <w:rPr>
                <w:spacing w:val="3"/>
                <w:sz w:val="18"/>
                <w:szCs w:val="18"/>
              </w:rPr>
              <w:t>多选</w:t>
            </w:r>
          </w:p>
        </w:tc>
        <w:tc>
          <w:tcPr>
            <w:tcW w:w="539" w:type="dxa"/>
            <w:vMerge w:val="continue"/>
            <w:tcBorders>
              <w:top w:val="nil"/>
            </w:tcBorders>
            <w:vAlign w:val="top"/>
          </w:tcPr>
          <w:p w14:paraId="7443064E">
            <w:pPr>
              <w:rPr>
                <w:rFonts w:ascii="Arial"/>
                <w:sz w:val="21"/>
              </w:rPr>
            </w:pPr>
          </w:p>
        </w:tc>
        <w:tc>
          <w:tcPr>
            <w:tcW w:w="539" w:type="dxa"/>
            <w:vMerge w:val="continue"/>
            <w:tcBorders>
              <w:top w:val="nil"/>
            </w:tcBorders>
            <w:vAlign w:val="top"/>
          </w:tcPr>
          <w:p w14:paraId="1774A9C8">
            <w:pPr>
              <w:rPr>
                <w:rFonts w:ascii="Arial"/>
                <w:sz w:val="21"/>
              </w:rPr>
            </w:pPr>
          </w:p>
        </w:tc>
        <w:tc>
          <w:tcPr>
            <w:tcW w:w="489" w:type="dxa"/>
            <w:vMerge w:val="continue"/>
            <w:tcBorders>
              <w:top w:val="nil"/>
            </w:tcBorders>
            <w:textDirection w:val="tbRlV"/>
            <w:vAlign w:val="top"/>
          </w:tcPr>
          <w:p w14:paraId="27E9D4C5">
            <w:pPr>
              <w:rPr>
                <w:rFonts w:ascii="Arial"/>
                <w:sz w:val="21"/>
              </w:rPr>
            </w:pPr>
          </w:p>
        </w:tc>
        <w:tc>
          <w:tcPr>
            <w:tcW w:w="489" w:type="dxa"/>
            <w:vMerge w:val="continue"/>
            <w:tcBorders>
              <w:top w:val="nil"/>
            </w:tcBorders>
            <w:textDirection w:val="tbRlV"/>
            <w:vAlign w:val="top"/>
          </w:tcPr>
          <w:p w14:paraId="284E129F">
            <w:pPr>
              <w:rPr>
                <w:rFonts w:ascii="Arial"/>
                <w:sz w:val="21"/>
              </w:rPr>
            </w:pPr>
          </w:p>
        </w:tc>
        <w:tc>
          <w:tcPr>
            <w:tcW w:w="504" w:type="dxa"/>
            <w:vMerge w:val="continue"/>
            <w:tcBorders>
              <w:top w:val="nil"/>
            </w:tcBorders>
            <w:textDirection w:val="tbRlV"/>
            <w:vAlign w:val="top"/>
          </w:tcPr>
          <w:p w14:paraId="71683ED8">
            <w:pPr>
              <w:rPr>
                <w:rFonts w:ascii="Arial"/>
                <w:sz w:val="21"/>
              </w:rPr>
            </w:pPr>
          </w:p>
        </w:tc>
      </w:tr>
      <w:tr w14:paraId="18A7E7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51" w:hRule="atLeast"/>
        </w:trPr>
        <w:tc>
          <w:tcPr>
            <w:tcW w:w="394" w:type="dxa"/>
            <w:textDirection w:val="tbRlV"/>
            <w:vAlign w:val="top"/>
          </w:tcPr>
          <w:p w14:paraId="2C1E76B1">
            <w:pPr>
              <w:pStyle w:val="6"/>
              <w:spacing w:before="116" w:line="199" w:lineRule="auto"/>
              <w:ind w:left="41"/>
              <w:rPr>
                <w:sz w:val="18"/>
                <w:szCs w:val="18"/>
              </w:rPr>
            </w:pPr>
            <w:r>
              <w:rPr>
                <w:spacing w:val="9"/>
                <w:sz w:val="18"/>
                <w:szCs w:val="18"/>
              </w:rPr>
              <w:t>百分比</w:t>
            </w:r>
          </w:p>
        </w:tc>
        <w:tc>
          <w:tcPr>
            <w:tcW w:w="588" w:type="dxa"/>
            <w:vAlign w:val="top"/>
          </w:tcPr>
          <w:p w14:paraId="5D628831">
            <w:pPr>
              <w:pStyle w:val="6"/>
              <w:spacing w:before="289" w:line="183" w:lineRule="auto"/>
              <w:ind w:left="151"/>
              <w:rPr>
                <w:sz w:val="18"/>
                <w:szCs w:val="18"/>
              </w:rPr>
            </w:pPr>
            <w:r>
              <w:rPr>
                <w:spacing w:val="-3"/>
                <w:sz w:val="18"/>
                <w:szCs w:val="18"/>
              </w:rPr>
              <w:t>38%</w:t>
            </w:r>
          </w:p>
        </w:tc>
        <w:tc>
          <w:tcPr>
            <w:tcW w:w="588" w:type="dxa"/>
            <w:vAlign w:val="top"/>
          </w:tcPr>
          <w:p w14:paraId="5D122F7C">
            <w:pPr>
              <w:pStyle w:val="6"/>
              <w:spacing w:before="288" w:line="184" w:lineRule="auto"/>
              <w:ind w:left="152"/>
              <w:rPr>
                <w:sz w:val="18"/>
                <w:szCs w:val="18"/>
              </w:rPr>
            </w:pPr>
            <w:r>
              <w:rPr>
                <w:spacing w:val="-5"/>
                <w:sz w:val="18"/>
                <w:szCs w:val="18"/>
              </w:rPr>
              <w:t>12%</w:t>
            </w:r>
          </w:p>
        </w:tc>
        <w:tc>
          <w:tcPr>
            <w:tcW w:w="539" w:type="dxa"/>
            <w:vAlign w:val="top"/>
          </w:tcPr>
          <w:p w14:paraId="7452F4E5">
            <w:pPr>
              <w:pStyle w:val="6"/>
              <w:spacing w:before="289" w:line="183" w:lineRule="auto"/>
              <w:ind w:left="144"/>
              <w:rPr>
                <w:sz w:val="18"/>
                <w:szCs w:val="18"/>
              </w:rPr>
            </w:pPr>
            <w:r>
              <w:rPr>
                <w:spacing w:val="-2"/>
                <w:sz w:val="18"/>
                <w:szCs w:val="18"/>
              </w:rPr>
              <w:t>8%</w:t>
            </w:r>
          </w:p>
        </w:tc>
        <w:tc>
          <w:tcPr>
            <w:tcW w:w="539" w:type="dxa"/>
            <w:vAlign w:val="top"/>
          </w:tcPr>
          <w:p w14:paraId="4720420F">
            <w:pPr>
              <w:pStyle w:val="6"/>
              <w:spacing w:before="288" w:line="184" w:lineRule="auto"/>
              <w:ind w:left="125"/>
              <w:rPr>
                <w:sz w:val="18"/>
                <w:szCs w:val="18"/>
              </w:rPr>
            </w:pPr>
            <w:r>
              <w:rPr>
                <w:spacing w:val="-5"/>
                <w:sz w:val="18"/>
                <w:szCs w:val="18"/>
              </w:rPr>
              <w:t>14%</w:t>
            </w:r>
          </w:p>
        </w:tc>
        <w:tc>
          <w:tcPr>
            <w:tcW w:w="489" w:type="dxa"/>
            <w:vAlign w:val="top"/>
          </w:tcPr>
          <w:p w14:paraId="63AA8552">
            <w:pPr>
              <w:pStyle w:val="6"/>
              <w:spacing w:before="289" w:line="183" w:lineRule="auto"/>
              <w:ind w:left="147"/>
              <w:rPr>
                <w:sz w:val="18"/>
                <w:szCs w:val="18"/>
              </w:rPr>
            </w:pPr>
            <w:r>
              <w:rPr>
                <w:spacing w:val="-3"/>
                <w:sz w:val="18"/>
                <w:szCs w:val="18"/>
              </w:rPr>
              <w:t>5%</w:t>
            </w:r>
          </w:p>
        </w:tc>
        <w:tc>
          <w:tcPr>
            <w:tcW w:w="489" w:type="dxa"/>
            <w:vAlign w:val="top"/>
          </w:tcPr>
          <w:p w14:paraId="13A8E9CE">
            <w:pPr>
              <w:pStyle w:val="6"/>
              <w:spacing w:before="288" w:line="184" w:lineRule="auto"/>
              <w:ind w:left="108"/>
              <w:rPr>
                <w:sz w:val="18"/>
                <w:szCs w:val="18"/>
              </w:rPr>
            </w:pPr>
            <w:r>
              <w:rPr>
                <w:spacing w:val="-5"/>
                <w:sz w:val="18"/>
                <w:szCs w:val="18"/>
              </w:rPr>
              <w:t>14%</w:t>
            </w:r>
          </w:p>
        </w:tc>
        <w:tc>
          <w:tcPr>
            <w:tcW w:w="504" w:type="dxa"/>
            <w:vAlign w:val="top"/>
          </w:tcPr>
          <w:p w14:paraId="609B6D13">
            <w:pPr>
              <w:pStyle w:val="6"/>
              <w:spacing w:before="289" w:line="183" w:lineRule="auto"/>
              <w:ind w:left="159"/>
              <w:rPr>
                <w:sz w:val="18"/>
                <w:szCs w:val="18"/>
              </w:rPr>
            </w:pPr>
            <w:r>
              <w:rPr>
                <w:spacing w:val="-2"/>
                <w:sz w:val="18"/>
                <w:szCs w:val="18"/>
              </w:rPr>
              <w:t>9%</w:t>
            </w:r>
          </w:p>
        </w:tc>
      </w:tr>
    </w:tbl>
    <w:p w14:paraId="2AD5DC72">
      <w:pPr>
        <w:spacing w:before="61" w:line="302" w:lineRule="auto"/>
        <w:ind w:right="361" w:firstLine="370"/>
        <w:rPr>
          <w:rFonts w:ascii="宋体" w:hAnsi="宋体" w:eastAsia="宋体" w:cs="宋体"/>
          <w:sz w:val="17"/>
          <w:szCs w:val="17"/>
        </w:rPr>
      </w:pPr>
      <w:r>
        <w:rPr>
          <w:rFonts w:ascii="宋体" w:hAnsi="宋体" w:eastAsia="宋体" w:cs="宋体"/>
          <w:spacing w:val="12"/>
          <w:sz w:val="17"/>
          <w:szCs w:val="17"/>
        </w:rPr>
        <w:t>注：试卷题型、考试水平可在2%-5%范</w:t>
      </w:r>
      <w:r>
        <w:rPr>
          <w:rFonts w:ascii="宋体" w:hAnsi="宋体" w:eastAsia="宋体" w:cs="宋体"/>
          <w:spacing w:val="11"/>
          <w:sz w:val="17"/>
          <w:szCs w:val="17"/>
        </w:rPr>
        <w:t>围上下浮</w:t>
      </w:r>
      <w:r>
        <w:rPr>
          <w:rFonts w:ascii="宋体" w:hAnsi="宋体" w:eastAsia="宋体" w:cs="宋体"/>
          <w:sz w:val="17"/>
          <w:szCs w:val="17"/>
        </w:rPr>
        <w:t xml:space="preserve"> </w:t>
      </w:r>
      <w:r>
        <w:rPr>
          <w:rFonts w:ascii="宋体" w:hAnsi="宋体" w:eastAsia="宋体" w:cs="宋体"/>
          <w:spacing w:val="-2"/>
          <w:sz w:val="17"/>
          <w:szCs w:val="17"/>
        </w:rPr>
        <w:t>动，题型的先后顺序可自行安排。</w:t>
      </w:r>
    </w:p>
    <w:p w14:paraId="3F6304D7">
      <w:pPr>
        <w:pStyle w:val="2"/>
        <w:spacing w:line="306" w:lineRule="auto"/>
      </w:pPr>
    </w:p>
    <w:p w14:paraId="5DB19911">
      <w:pPr>
        <w:spacing w:before="95" w:line="221" w:lineRule="auto"/>
        <w:ind w:left="4"/>
        <w:outlineLvl w:val="0"/>
        <w:rPr>
          <w:rFonts w:ascii="黑体" w:hAnsi="黑体" w:eastAsia="黑体" w:cs="黑体"/>
          <w:sz w:val="29"/>
          <w:szCs w:val="29"/>
        </w:rPr>
      </w:pPr>
      <w:bookmarkStart w:id="30" w:name="bookmark3"/>
      <w:bookmarkEnd w:id="30"/>
      <w:r>
        <w:rPr>
          <w:rFonts w:ascii="黑体" w:hAnsi="黑体" w:eastAsia="黑体" w:cs="黑体"/>
          <w:b/>
          <w:bCs/>
          <w:spacing w:val="1"/>
          <w:sz w:val="29"/>
          <w:szCs w:val="29"/>
        </w:rPr>
        <w:t>装备制造大类专业理论考试纲要</w:t>
      </w:r>
    </w:p>
    <w:p w14:paraId="0506B058">
      <w:pPr>
        <w:pStyle w:val="2"/>
        <w:spacing w:line="374" w:lineRule="auto"/>
      </w:pPr>
    </w:p>
    <w:p w14:paraId="468BFB29">
      <w:pPr>
        <w:spacing w:before="75" w:line="221" w:lineRule="auto"/>
        <w:ind w:left="3"/>
        <w:rPr>
          <w:rFonts w:ascii="黑体" w:hAnsi="黑体" w:eastAsia="黑体" w:cs="黑体"/>
          <w:sz w:val="23"/>
          <w:szCs w:val="23"/>
        </w:rPr>
      </w:pPr>
      <w:r>
        <w:rPr>
          <w:rFonts w:ascii="黑体" w:hAnsi="黑体" w:eastAsia="黑体" w:cs="黑体"/>
          <w:b/>
          <w:bCs/>
          <w:spacing w:val="-7"/>
          <w:sz w:val="23"/>
          <w:szCs w:val="23"/>
        </w:rPr>
        <w:t>一、考试范围和内容</w:t>
      </w:r>
    </w:p>
    <w:p w14:paraId="2A1A701E">
      <w:pPr>
        <w:spacing w:before="85" w:line="312" w:lineRule="auto"/>
        <w:ind w:right="355" w:firstLine="370"/>
        <w:jc w:val="both"/>
        <w:rPr>
          <w:rFonts w:ascii="宋体" w:hAnsi="宋体" w:eastAsia="宋体" w:cs="宋体"/>
          <w:sz w:val="17"/>
          <w:szCs w:val="17"/>
        </w:rPr>
      </w:pPr>
      <w:r>
        <w:rPr>
          <w:rFonts w:ascii="宋体" w:hAnsi="宋体" w:eastAsia="宋体" w:cs="宋体"/>
          <w:spacing w:val="8"/>
          <w:sz w:val="17"/>
          <w:szCs w:val="17"/>
        </w:rPr>
        <w:t>本纲要规定的考试范围、内容以教育部2009年颁</w:t>
      </w:r>
      <w:r>
        <w:rPr>
          <w:rFonts w:ascii="宋体" w:hAnsi="宋体" w:eastAsia="宋体" w:cs="宋体"/>
          <w:spacing w:val="1"/>
          <w:sz w:val="17"/>
          <w:szCs w:val="17"/>
        </w:rPr>
        <w:t xml:space="preserve"> </w:t>
      </w:r>
      <w:r>
        <w:rPr>
          <w:rFonts w:ascii="宋体" w:hAnsi="宋体" w:eastAsia="宋体" w:cs="宋体"/>
          <w:spacing w:val="2"/>
          <w:sz w:val="17"/>
          <w:szCs w:val="17"/>
        </w:rPr>
        <w:t>布的中等职业学校机械制图等九门大类专业基础</w:t>
      </w:r>
      <w:r>
        <w:rPr>
          <w:rFonts w:ascii="宋体" w:hAnsi="宋体" w:eastAsia="宋体" w:cs="宋体"/>
          <w:spacing w:val="1"/>
          <w:sz w:val="17"/>
          <w:szCs w:val="17"/>
        </w:rPr>
        <w:t>课程教</w:t>
      </w:r>
      <w:r>
        <w:rPr>
          <w:rFonts w:ascii="宋体" w:hAnsi="宋体" w:eastAsia="宋体" w:cs="宋体"/>
          <w:sz w:val="17"/>
          <w:szCs w:val="17"/>
        </w:rPr>
        <w:t xml:space="preserve"> </w:t>
      </w:r>
      <w:r>
        <w:rPr>
          <w:rFonts w:ascii="宋体" w:hAnsi="宋体" w:eastAsia="宋体" w:cs="宋体"/>
          <w:spacing w:val="2"/>
          <w:sz w:val="17"/>
          <w:szCs w:val="17"/>
        </w:rPr>
        <w:t>学大纲为依据，以高等教育出版社出版的中等职业教育</w:t>
      </w:r>
      <w:r>
        <w:rPr>
          <w:rFonts w:ascii="宋体" w:hAnsi="宋体" w:eastAsia="宋体" w:cs="宋体"/>
          <w:spacing w:val="4"/>
          <w:sz w:val="17"/>
          <w:szCs w:val="17"/>
        </w:rPr>
        <w:t xml:space="preserve"> </w:t>
      </w:r>
      <w:r>
        <w:rPr>
          <w:rFonts w:ascii="宋体" w:hAnsi="宋体" w:eastAsia="宋体" w:cs="宋体"/>
          <w:spacing w:val="2"/>
          <w:sz w:val="17"/>
          <w:szCs w:val="17"/>
        </w:rPr>
        <w:t>国家规划教材《机械基础》、《机械制图》和《电工电</w:t>
      </w:r>
      <w:r>
        <w:rPr>
          <w:rFonts w:ascii="宋体" w:hAnsi="宋体" w:eastAsia="宋体" w:cs="宋体"/>
          <w:spacing w:val="1"/>
          <w:sz w:val="17"/>
          <w:szCs w:val="17"/>
        </w:rPr>
        <w:t xml:space="preserve"> </w:t>
      </w:r>
      <w:r>
        <w:rPr>
          <w:rFonts w:ascii="宋体" w:hAnsi="宋体" w:eastAsia="宋体" w:cs="宋体"/>
          <w:spacing w:val="5"/>
          <w:sz w:val="17"/>
          <w:szCs w:val="17"/>
        </w:rPr>
        <w:t>子技术及应用》为蓝本，注重“知识+技能”。考虑到</w:t>
      </w:r>
      <w:r>
        <w:rPr>
          <w:rFonts w:ascii="宋体" w:hAnsi="宋体" w:eastAsia="宋体" w:cs="宋体"/>
          <w:spacing w:val="16"/>
          <w:sz w:val="17"/>
          <w:szCs w:val="17"/>
        </w:rPr>
        <w:t xml:space="preserve"> </w:t>
      </w:r>
      <w:r>
        <w:rPr>
          <w:rFonts w:ascii="宋体" w:hAnsi="宋体" w:eastAsia="宋体" w:cs="宋体"/>
          <w:spacing w:val="2"/>
          <w:sz w:val="17"/>
          <w:szCs w:val="17"/>
        </w:rPr>
        <w:t>我省中等职业学校的特点，部分知识点作了适当调整和</w:t>
      </w:r>
      <w:r>
        <w:rPr>
          <w:rFonts w:ascii="宋体" w:hAnsi="宋体" w:eastAsia="宋体" w:cs="宋体"/>
          <w:spacing w:val="5"/>
          <w:sz w:val="17"/>
          <w:szCs w:val="17"/>
        </w:rPr>
        <w:t xml:space="preserve"> </w:t>
      </w:r>
      <w:r>
        <w:rPr>
          <w:rFonts w:ascii="宋体" w:hAnsi="宋体" w:eastAsia="宋体" w:cs="宋体"/>
          <w:spacing w:val="2"/>
          <w:sz w:val="17"/>
          <w:szCs w:val="17"/>
        </w:rPr>
        <w:t>细化，主要内容包括机械基础、机械制图和电工电</w:t>
      </w:r>
      <w:r>
        <w:rPr>
          <w:rFonts w:ascii="宋体" w:hAnsi="宋体" w:eastAsia="宋体" w:cs="宋体"/>
          <w:spacing w:val="1"/>
          <w:sz w:val="17"/>
          <w:szCs w:val="17"/>
        </w:rPr>
        <w:t>子技</w:t>
      </w:r>
      <w:r>
        <w:rPr>
          <w:rFonts w:ascii="宋体" w:hAnsi="宋体" w:eastAsia="宋体" w:cs="宋体"/>
          <w:sz w:val="17"/>
          <w:szCs w:val="17"/>
        </w:rPr>
        <w:t xml:space="preserve"> </w:t>
      </w:r>
      <w:r>
        <w:rPr>
          <w:rFonts w:ascii="宋体" w:hAnsi="宋体" w:eastAsia="宋体" w:cs="宋体"/>
          <w:spacing w:val="-6"/>
          <w:sz w:val="17"/>
          <w:szCs w:val="17"/>
        </w:rPr>
        <w:t>术及应用。</w:t>
      </w:r>
    </w:p>
    <w:p w14:paraId="429D65D8">
      <w:pPr>
        <w:spacing w:before="21" w:line="221" w:lineRule="auto"/>
        <w:ind w:left="3"/>
        <w:rPr>
          <w:rFonts w:ascii="黑体" w:hAnsi="黑体" w:eastAsia="黑体" w:cs="黑体"/>
          <w:sz w:val="23"/>
          <w:szCs w:val="23"/>
        </w:rPr>
      </w:pPr>
      <w:r>
        <w:rPr>
          <w:rFonts w:ascii="黑体" w:hAnsi="黑体" w:eastAsia="黑体" w:cs="黑体"/>
          <w:b/>
          <w:bCs/>
          <w:spacing w:val="-6"/>
          <w:sz w:val="23"/>
          <w:szCs w:val="23"/>
        </w:rPr>
        <w:t>二、考试目标与水平层次</w:t>
      </w:r>
    </w:p>
    <w:p w14:paraId="44B3BEE2">
      <w:pPr>
        <w:spacing w:before="97" w:line="289" w:lineRule="auto"/>
        <w:ind w:right="355" w:firstLine="370"/>
        <w:jc w:val="both"/>
        <w:rPr>
          <w:rFonts w:ascii="宋体" w:hAnsi="宋体" w:eastAsia="宋体" w:cs="宋体"/>
          <w:sz w:val="17"/>
          <w:szCs w:val="17"/>
        </w:rPr>
      </w:pPr>
      <w:r>
        <w:rPr>
          <w:rFonts w:ascii="宋体" w:hAnsi="宋体" w:eastAsia="宋体" w:cs="宋体"/>
          <w:spacing w:val="1"/>
          <w:sz w:val="17"/>
          <w:szCs w:val="17"/>
        </w:rPr>
        <w:t xml:space="preserve">本纲要的考试目标由知识与技能要点、考试条目和 </w:t>
      </w:r>
      <w:r>
        <w:rPr>
          <w:rFonts w:ascii="宋体" w:hAnsi="宋体" w:eastAsia="宋体" w:cs="宋体"/>
          <w:spacing w:val="2"/>
          <w:sz w:val="17"/>
          <w:szCs w:val="17"/>
        </w:rPr>
        <w:t>考试水平三部分组成。知识与技能要点是考查考生应知</w:t>
      </w:r>
      <w:r>
        <w:rPr>
          <w:rFonts w:ascii="宋体" w:hAnsi="宋体" w:eastAsia="宋体" w:cs="宋体"/>
          <w:spacing w:val="4"/>
          <w:sz w:val="17"/>
          <w:szCs w:val="17"/>
        </w:rPr>
        <w:t xml:space="preserve"> </w:t>
      </w:r>
      <w:r>
        <w:rPr>
          <w:rFonts w:ascii="宋体" w:hAnsi="宋体" w:eastAsia="宋体" w:cs="宋体"/>
          <w:spacing w:val="2"/>
          <w:sz w:val="17"/>
          <w:szCs w:val="17"/>
        </w:rPr>
        <w:t>应会的基础知识和基本技能，考试条目是对知识与技能</w:t>
      </w:r>
      <w:r>
        <w:rPr>
          <w:rFonts w:ascii="宋体" w:hAnsi="宋体" w:eastAsia="宋体" w:cs="宋体"/>
          <w:sz w:val="17"/>
          <w:szCs w:val="17"/>
        </w:rPr>
        <w:t xml:space="preserve"> </w:t>
      </w:r>
      <w:r>
        <w:rPr>
          <w:rFonts w:ascii="宋体" w:hAnsi="宋体" w:eastAsia="宋体" w:cs="宋体"/>
          <w:spacing w:val="2"/>
          <w:sz w:val="17"/>
          <w:szCs w:val="17"/>
        </w:rPr>
        <w:t>要点的进一步细化和具体项目，考试水平则是对考</w:t>
      </w:r>
      <w:r>
        <w:rPr>
          <w:rFonts w:ascii="宋体" w:hAnsi="宋体" w:eastAsia="宋体" w:cs="宋体"/>
          <w:spacing w:val="1"/>
          <w:sz w:val="17"/>
          <w:szCs w:val="17"/>
        </w:rPr>
        <w:t>试条</w:t>
      </w:r>
      <w:r>
        <w:rPr>
          <w:rFonts w:ascii="宋体" w:hAnsi="宋体" w:eastAsia="宋体" w:cs="宋体"/>
          <w:sz w:val="17"/>
          <w:szCs w:val="17"/>
        </w:rPr>
        <w:t xml:space="preserve"> </w:t>
      </w:r>
      <w:r>
        <w:rPr>
          <w:rFonts w:ascii="宋体" w:hAnsi="宋体" w:eastAsia="宋体" w:cs="宋体"/>
          <w:spacing w:val="-2"/>
          <w:sz w:val="17"/>
          <w:szCs w:val="17"/>
        </w:rPr>
        <w:t>目的要求层次做出界定。考试水平分为四个层次：</w:t>
      </w:r>
    </w:p>
    <w:p w14:paraId="3D7AAACC">
      <w:pPr>
        <w:pStyle w:val="2"/>
        <w:spacing w:line="14" w:lineRule="auto"/>
        <w:rPr>
          <w:sz w:val="2"/>
        </w:rPr>
      </w:pPr>
      <w:r>
        <w:rPr>
          <w:sz w:val="2"/>
          <w:szCs w:val="2"/>
        </w:rPr>
        <w:br w:type="column"/>
      </w:r>
    </w:p>
    <w:p w14:paraId="1E631A8F">
      <w:pPr>
        <w:spacing w:before="3" w:line="309" w:lineRule="auto"/>
        <w:ind w:right="141" w:firstLine="370"/>
        <w:jc w:val="both"/>
        <w:rPr>
          <w:rFonts w:ascii="宋体" w:hAnsi="宋体" w:eastAsia="宋体" w:cs="宋体"/>
          <w:sz w:val="17"/>
          <w:szCs w:val="17"/>
        </w:rPr>
      </w:pPr>
      <w:r>
        <w:rPr>
          <w:rFonts w:ascii="Times New Roman" w:hAnsi="Times New Roman" w:eastAsia="Times New Roman" w:cs="Times New Roman"/>
          <w:spacing w:val="15"/>
          <w:sz w:val="17"/>
          <w:szCs w:val="17"/>
        </w:rPr>
        <w:t>A</w:t>
      </w:r>
      <w:r>
        <w:rPr>
          <w:rFonts w:ascii="宋体" w:hAnsi="宋体" w:eastAsia="宋体" w:cs="宋体"/>
          <w:spacing w:val="15"/>
          <w:sz w:val="17"/>
          <w:szCs w:val="17"/>
        </w:rPr>
        <w:t>(识记):指考查考生对专业综合课基础知识的</w:t>
      </w:r>
      <w:r>
        <w:rPr>
          <w:rFonts w:ascii="宋体" w:hAnsi="宋体" w:eastAsia="宋体" w:cs="宋体"/>
          <w:spacing w:val="4"/>
          <w:sz w:val="17"/>
          <w:szCs w:val="17"/>
        </w:rPr>
        <w:t xml:space="preserve"> </w:t>
      </w:r>
      <w:r>
        <w:rPr>
          <w:rFonts w:ascii="宋体" w:hAnsi="宋体" w:eastAsia="宋体" w:cs="宋体"/>
          <w:spacing w:val="2"/>
          <w:sz w:val="17"/>
          <w:szCs w:val="17"/>
        </w:rPr>
        <w:t>识别和记忆。如能识别、记住各门学科中一些重要的专</w:t>
      </w:r>
      <w:r>
        <w:rPr>
          <w:rFonts w:ascii="宋体" w:hAnsi="宋体" w:eastAsia="宋体" w:cs="宋体"/>
          <w:spacing w:val="10"/>
          <w:sz w:val="17"/>
          <w:szCs w:val="17"/>
        </w:rPr>
        <w:t xml:space="preserve"> </w:t>
      </w:r>
      <w:r>
        <w:rPr>
          <w:rFonts w:ascii="宋体" w:hAnsi="宋体" w:eastAsia="宋体" w:cs="宋体"/>
          <w:spacing w:val="2"/>
          <w:sz w:val="17"/>
          <w:szCs w:val="17"/>
        </w:rPr>
        <w:t>业术语、基本定律的文字叙述和数学表达式，能够识别</w:t>
      </w:r>
      <w:r>
        <w:rPr>
          <w:rFonts w:ascii="宋体" w:hAnsi="宋体" w:eastAsia="宋体" w:cs="宋体"/>
          <w:spacing w:val="14"/>
          <w:sz w:val="17"/>
          <w:szCs w:val="17"/>
        </w:rPr>
        <w:t xml:space="preserve"> </w:t>
      </w:r>
      <w:r>
        <w:rPr>
          <w:rFonts w:ascii="宋体" w:hAnsi="宋体" w:eastAsia="宋体" w:cs="宋体"/>
          <w:spacing w:val="3"/>
          <w:sz w:val="17"/>
          <w:szCs w:val="17"/>
        </w:rPr>
        <w:t>并记住常用机械零件、电工仪器、仪表和电子元件的名</w:t>
      </w:r>
      <w:r>
        <w:rPr>
          <w:rFonts w:ascii="宋体" w:hAnsi="宋体" w:eastAsia="宋体" w:cs="宋体"/>
          <w:sz w:val="17"/>
          <w:szCs w:val="17"/>
        </w:rPr>
        <w:t xml:space="preserve"> </w:t>
      </w:r>
      <w:r>
        <w:rPr>
          <w:rFonts w:ascii="宋体" w:hAnsi="宋体" w:eastAsia="宋体" w:cs="宋体"/>
          <w:spacing w:val="-1"/>
          <w:sz w:val="17"/>
          <w:szCs w:val="17"/>
        </w:rPr>
        <w:t>称和用途等。</w:t>
      </w:r>
    </w:p>
    <w:p w14:paraId="02189FD3">
      <w:pPr>
        <w:spacing w:before="26" w:line="309" w:lineRule="auto"/>
        <w:ind w:firstLine="370"/>
        <w:rPr>
          <w:rFonts w:ascii="宋体" w:hAnsi="宋体" w:eastAsia="宋体" w:cs="宋体"/>
          <w:sz w:val="17"/>
          <w:szCs w:val="17"/>
        </w:rPr>
      </w:pPr>
      <w:r>
        <w:rPr>
          <w:rFonts w:ascii="Times New Roman" w:hAnsi="Times New Roman" w:eastAsia="Times New Roman" w:cs="Times New Roman"/>
          <w:spacing w:val="15"/>
          <w:sz w:val="17"/>
          <w:szCs w:val="17"/>
        </w:rPr>
        <w:t>B</w:t>
      </w:r>
      <w:r>
        <w:rPr>
          <w:rFonts w:ascii="宋体" w:hAnsi="宋体" w:eastAsia="宋体" w:cs="宋体"/>
          <w:spacing w:val="15"/>
          <w:sz w:val="17"/>
          <w:szCs w:val="17"/>
        </w:rPr>
        <w:t>(理解):指考查考生对专业综合课基础知识的</w:t>
      </w:r>
      <w:r>
        <w:rPr>
          <w:rFonts w:ascii="宋体" w:hAnsi="宋体" w:eastAsia="宋体" w:cs="宋体"/>
          <w:spacing w:val="4"/>
          <w:sz w:val="17"/>
          <w:szCs w:val="17"/>
        </w:rPr>
        <w:t xml:space="preserve">   </w:t>
      </w:r>
      <w:r>
        <w:rPr>
          <w:rFonts w:ascii="宋体" w:hAnsi="宋体" w:eastAsia="宋体" w:cs="宋体"/>
          <w:spacing w:val="-5"/>
          <w:sz w:val="17"/>
          <w:szCs w:val="17"/>
        </w:rPr>
        <w:t>理解程度，是对知识点的进一步认识。要求考生在“识记”</w:t>
      </w:r>
      <w:r>
        <w:rPr>
          <w:rFonts w:ascii="宋体" w:hAnsi="宋体" w:eastAsia="宋体" w:cs="宋体"/>
          <w:spacing w:val="2"/>
          <w:sz w:val="17"/>
          <w:szCs w:val="17"/>
        </w:rPr>
        <w:t xml:space="preserve"> 和“记忆”的基础上，领会所学知识的具体含义，并能</w:t>
      </w:r>
      <w:r>
        <w:rPr>
          <w:rFonts w:ascii="宋体" w:hAnsi="宋体" w:eastAsia="宋体" w:cs="宋体"/>
          <w:spacing w:val="3"/>
          <w:sz w:val="17"/>
          <w:szCs w:val="17"/>
        </w:rPr>
        <w:t xml:space="preserve">   </w:t>
      </w:r>
      <w:r>
        <w:rPr>
          <w:rFonts w:ascii="宋体" w:hAnsi="宋体" w:eastAsia="宋体" w:cs="宋体"/>
          <w:spacing w:val="2"/>
          <w:sz w:val="17"/>
          <w:szCs w:val="17"/>
        </w:rPr>
        <w:t xml:space="preserve">用来正确判断、简单解释、说明有关问题以及进行简单   </w:t>
      </w:r>
      <w:r>
        <w:rPr>
          <w:rFonts w:ascii="宋体" w:hAnsi="宋体" w:eastAsia="宋体" w:cs="宋体"/>
          <w:spacing w:val="1"/>
          <w:sz w:val="17"/>
          <w:szCs w:val="17"/>
        </w:rPr>
        <w:t>计算。如机械传动的简单计算，运用基本定理、定律、</w:t>
      </w:r>
    </w:p>
    <w:p w14:paraId="043939D0">
      <w:pPr>
        <w:spacing w:before="26" w:line="219" w:lineRule="auto"/>
        <w:rPr>
          <w:rFonts w:ascii="宋体" w:hAnsi="宋体" w:eastAsia="宋体" w:cs="宋体"/>
          <w:sz w:val="17"/>
          <w:szCs w:val="17"/>
        </w:rPr>
      </w:pPr>
      <w:r>
        <w:rPr>
          <w:rFonts w:ascii="宋体" w:hAnsi="宋体" w:eastAsia="宋体" w:cs="宋体"/>
          <w:spacing w:val="-3"/>
          <w:sz w:val="17"/>
          <w:szCs w:val="17"/>
        </w:rPr>
        <w:t>原理和法则进行电磁路的计算等。</w:t>
      </w:r>
    </w:p>
    <w:p w14:paraId="546938EF">
      <w:pPr>
        <w:spacing w:before="88" w:line="308" w:lineRule="auto"/>
        <w:ind w:right="74" w:firstLine="370"/>
        <w:rPr>
          <w:rFonts w:ascii="宋体" w:hAnsi="宋体" w:eastAsia="宋体" w:cs="宋体"/>
          <w:sz w:val="17"/>
          <w:szCs w:val="17"/>
        </w:rPr>
      </w:pPr>
      <w:r>
        <w:rPr>
          <w:rFonts w:ascii="Times New Roman" w:hAnsi="Times New Roman" w:eastAsia="Times New Roman" w:cs="Times New Roman"/>
          <w:spacing w:val="13"/>
          <w:sz w:val="17"/>
          <w:szCs w:val="17"/>
        </w:rPr>
        <w:t xml:space="preserve">C </w:t>
      </w:r>
      <w:r>
        <w:rPr>
          <w:rFonts w:ascii="黑体" w:hAnsi="黑体" w:eastAsia="黑体" w:cs="黑体"/>
          <w:spacing w:val="13"/>
          <w:sz w:val="17"/>
          <w:szCs w:val="17"/>
        </w:rPr>
        <w:t>(掌握):指考查考生对专业综合课基础知识和</w:t>
      </w:r>
      <w:r>
        <w:rPr>
          <w:rFonts w:ascii="黑体" w:hAnsi="黑体" w:eastAsia="黑体" w:cs="黑体"/>
          <w:spacing w:val="1"/>
          <w:sz w:val="17"/>
          <w:szCs w:val="17"/>
        </w:rPr>
        <w:t xml:space="preserve">  </w:t>
      </w:r>
      <w:r>
        <w:rPr>
          <w:rFonts w:ascii="宋体" w:hAnsi="宋体" w:eastAsia="宋体" w:cs="宋体"/>
          <w:spacing w:val="-2"/>
          <w:sz w:val="17"/>
          <w:szCs w:val="17"/>
        </w:rPr>
        <w:t>基本技能的初步应用能力。如定轴轮系各轮转向的判定、</w:t>
      </w:r>
      <w:r>
        <w:rPr>
          <w:rFonts w:ascii="宋体" w:hAnsi="宋体" w:eastAsia="宋体" w:cs="宋体"/>
          <w:spacing w:val="17"/>
          <w:sz w:val="17"/>
          <w:szCs w:val="17"/>
        </w:rPr>
        <w:t xml:space="preserve"> </w:t>
      </w:r>
      <w:r>
        <w:rPr>
          <w:rFonts w:ascii="宋体" w:hAnsi="宋体" w:eastAsia="宋体" w:cs="宋体"/>
          <w:spacing w:val="2"/>
          <w:sz w:val="17"/>
          <w:szCs w:val="17"/>
        </w:rPr>
        <w:t>基本几何体及表面求点的投影、能对繁简不同的电路进</w:t>
      </w:r>
      <w:r>
        <w:rPr>
          <w:rFonts w:ascii="宋体" w:hAnsi="宋体" w:eastAsia="宋体" w:cs="宋体"/>
          <w:spacing w:val="3"/>
          <w:sz w:val="17"/>
          <w:szCs w:val="17"/>
        </w:rPr>
        <w:t xml:space="preserve">  </w:t>
      </w:r>
      <w:r>
        <w:rPr>
          <w:rFonts w:ascii="宋体" w:hAnsi="宋体" w:eastAsia="宋体" w:cs="宋体"/>
          <w:spacing w:val="-4"/>
          <w:sz w:val="17"/>
          <w:szCs w:val="17"/>
        </w:rPr>
        <w:t>行分析和计算等。</w:t>
      </w:r>
    </w:p>
    <w:p w14:paraId="4D1389C5">
      <w:pPr>
        <w:spacing w:before="23" w:line="310" w:lineRule="auto"/>
        <w:ind w:right="150" w:firstLine="370"/>
        <w:jc w:val="both"/>
        <w:rPr>
          <w:rFonts w:ascii="宋体" w:hAnsi="宋体" w:eastAsia="宋体" w:cs="宋体"/>
          <w:sz w:val="17"/>
          <w:szCs w:val="17"/>
        </w:rPr>
      </w:pPr>
      <w:r>
        <w:rPr>
          <w:rFonts w:ascii="Times New Roman" w:hAnsi="Times New Roman" w:eastAsia="Times New Roman" w:cs="Times New Roman"/>
          <w:spacing w:val="15"/>
          <w:sz w:val="17"/>
          <w:szCs w:val="17"/>
        </w:rPr>
        <w:t>D</w:t>
      </w:r>
      <w:r>
        <w:rPr>
          <w:rFonts w:ascii="宋体" w:hAnsi="宋体" w:eastAsia="宋体" w:cs="宋体"/>
          <w:spacing w:val="15"/>
          <w:sz w:val="17"/>
          <w:szCs w:val="17"/>
        </w:rPr>
        <w:t>(综合运用):指考查考生对专业综合课所学知</w:t>
      </w:r>
      <w:r>
        <w:rPr>
          <w:rFonts w:ascii="宋体" w:hAnsi="宋体" w:eastAsia="宋体" w:cs="宋体"/>
          <w:spacing w:val="4"/>
          <w:sz w:val="17"/>
          <w:szCs w:val="17"/>
        </w:rPr>
        <w:t xml:space="preserve"> </w:t>
      </w:r>
      <w:r>
        <w:rPr>
          <w:rFonts w:ascii="宋体" w:hAnsi="宋体" w:eastAsia="宋体" w:cs="宋体"/>
          <w:spacing w:val="2"/>
          <w:sz w:val="17"/>
          <w:szCs w:val="17"/>
        </w:rPr>
        <w:t>识的综合应用能力。即要求考生能灵活运用所学专业知</w:t>
      </w:r>
      <w:r>
        <w:rPr>
          <w:rFonts w:ascii="宋体" w:hAnsi="宋体" w:eastAsia="宋体" w:cs="宋体"/>
          <w:spacing w:val="14"/>
          <w:sz w:val="17"/>
          <w:szCs w:val="17"/>
        </w:rPr>
        <w:t xml:space="preserve"> </w:t>
      </w:r>
      <w:r>
        <w:rPr>
          <w:rFonts w:ascii="宋体" w:hAnsi="宋体" w:eastAsia="宋体" w:cs="宋体"/>
          <w:spacing w:val="2"/>
          <w:sz w:val="17"/>
          <w:szCs w:val="17"/>
        </w:rPr>
        <w:t>识分析、判断、综合解决实际问题。如铰链四杆机构类</w:t>
      </w:r>
      <w:r>
        <w:rPr>
          <w:rFonts w:ascii="宋体" w:hAnsi="宋体" w:eastAsia="宋体" w:cs="宋体"/>
          <w:spacing w:val="8"/>
          <w:sz w:val="17"/>
          <w:szCs w:val="17"/>
        </w:rPr>
        <w:t xml:space="preserve"> </w:t>
      </w:r>
      <w:r>
        <w:rPr>
          <w:rFonts w:ascii="宋体" w:hAnsi="宋体" w:eastAsia="宋体" w:cs="宋体"/>
          <w:spacing w:val="2"/>
          <w:sz w:val="17"/>
          <w:szCs w:val="17"/>
        </w:rPr>
        <w:t>型的判定、平面汇交力系计算、典型零件图的识读以及</w:t>
      </w:r>
      <w:r>
        <w:rPr>
          <w:rFonts w:ascii="宋体" w:hAnsi="宋体" w:eastAsia="宋体" w:cs="宋体"/>
          <w:spacing w:val="10"/>
          <w:sz w:val="17"/>
          <w:szCs w:val="17"/>
        </w:rPr>
        <w:t xml:space="preserve"> </w:t>
      </w:r>
      <w:r>
        <w:rPr>
          <w:rFonts w:ascii="宋体" w:hAnsi="宋体" w:eastAsia="宋体" w:cs="宋体"/>
          <w:spacing w:val="-2"/>
          <w:sz w:val="17"/>
          <w:szCs w:val="17"/>
        </w:rPr>
        <w:t>使用电气设备时防止触电的保护措施等。</w:t>
      </w:r>
    </w:p>
    <w:p w14:paraId="6DBCCF3B">
      <w:pPr>
        <w:spacing w:before="21" w:line="221" w:lineRule="auto"/>
        <w:ind w:left="3"/>
        <w:rPr>
          <w:rFonts w:ascii="黑体" w:hAnsi="黑体" w:eastAsia="黑体" w:cs="黑体"/>
          <w:sz w:val="23"/>
          <w:szCs w:val="23"/>
        </w:rPr>
      </w:pPr>
      <w:r>
        <w:rPr>
          <w:rFonts w:ascii="黑体" w:hAnsi="黑体" w:eastAsia="黑体" w:cs="黑体"/>
          <w:b/>
          <w:bCs/>
          <w:spacing w:val="-9"/>
          <w:sz w:val="23"/>
          <w:szCs w:val="23"/>
        </w:rPr>
        <w:t>三、考试目标</w:t>
      </w:r>
    </w:p>
    <w:p w14:paraId="65CA30A5">
      <w:pPr>
        <w:pStyle w:val="2"/>
        <w:spacing w:line="436" w:lineRule="auto"/>
      </w:pPr>
    </w:p>
    <w:p w14:paraId="163F23DB">
      <w:pPr>
        <w:spacing w:before="65" w:line="221" w:lineRule="auto"/>
        <w:ind w:left="1182"/>
        <w:rPr>
          <w:rFonts w:ascii="黑体" w:hAnsi="黑体" w:eastAsia="黑体" w:cs="黑体"/>
          <w:sz w:val="20"/>
          <w:szCs w:val="20"/>
        </w:rPr>
      </w:pPr>
      <w:r>
        <w:rPr>
          <w:rFonts w:ascii="黑体" w:hAnsi="黑体" w:eastAsia="黑体" w:cs="黑体"/>
          <w:b/>
          <w:bCs/>
          <w:spacing w:val="-4"/>
          <w:sz w:val="20"/>
          <w:szCs w:val="20"/>
        </w:rPr>
        <w:t>第一部分</w:t>
      </w:r>
      <w:r>
        <w:rPr>
          <w:rFonts w:ascii="黑体" w:hAnsi="黑体" w:eastAsia="黑体" w:cs="黑体"/>
          <w:spacing w:val="99"/>
          <w:sz w:val="20"/>
          <w:szCs w:val="20"/>
        </w:rPr>
        <w:t xml:space="preserve"> </w:t>
      </w:r>
      <w:r>
        <w:rPr>
          <w:rFonts w:ascii="黑体" w:hAnsi="黑体" w:eastAsia="黑体" w:cs="黑体"/>
          <w:b/>
          <w:bCs/>
          <w:spacing w:val="-4"/>
          <w:sz w:val="20"/>
          <w:szCs w:val="20"/>
        </w:rPr>
        <w:t>机械基础</w:t>
      </w:r>
    </w:p>
    <w:p w14:paraId="49CB28A3">
      <w:pPr>
        <w:pStyle w:val="2"/>
        <w:spacing w:line="244" w:lineRule="auto"/>
      </w:pPr>
    </w:p>
    <w:p w14:paraId="4F7A065F">
      <w:pPr>
        <w:spacing w:before="76" w:line="221" w:lineRule="auto"/>
        <w:ind w:left="1473"/>
        <w:rPr>
          <w:rFonts w:ascii="黑体" w:hAnsi="黑体" w:eastAsia="黑体" w:cs="黑体"/>
          <w:sz w:val="23"/>
          <w:szCs w:val="23"/>
        </w:rPr>
      </w:pPr>
      <w:r>
        <w:rPr>
          <w:rFonts w:ascii="黑体" w:hAnsi="黑体" w:eastAsia="黑体" w:cs="黑体"/>
          <w:b/>
          <w:bCs/>
          <w:spacing w:val="-27"/>
          <w:sz w:val="23"/>
          <w:szCs w:val="23"/>
        </w:rPr>
        <w:t>一、工程力学</w:t>
      </w:r>
    </w:p>
    <w:p w14:paraId="5C0E4F93">
      <w:pPr>
        <w:spacing w:line="155" w:lineRule="exact"/>
      </w:pPr>
    </w:p>
    <w:tbl>
      <w:tblPr>
        <w:tblStyle w:val="5"/>
        <w:tblW w:w="4130" w:type="dxa"/>
        <w:tblInd w:w="1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54"/>
        <w:gridCol w:w="2644"/>
        <w:gridCol w:w="229"/>
        <w:gridCol w:w="229"/>
        <w:gridCol w:w="230"/>
        <w:gridCol w:w="244"/>
      </w:tblGrid>
      <w:tr w14:paraId="59CD8F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4" w:hRule="atLeast"/>
        </w:trPr>
        <w:tc>
          <w:tcPr>
            <w:tcW w:w="554" w:type="dxa"/>
            <w:vMerge w:val="restart"/>
            <w:tcBorders>
              <w:bottom w:val="nil"/>
            </w:tcBorders>
            <w:vAlign w:val="top"/>
          </w:tcPr>
          <w:p w14:paraId="3B8E3217">
            <w:pPr>
              <w:pStyle w:val="6"/>
              <w:spacing w:before="70" w:line="234" w:lineRule="auto"/>
              <w:ind w:left="17" w:right="26" w:firstLine="79"/>
            </w:pPr>
            <w:r>
              <w:rPr>
                <w:b/>
                <w:bCs/>
                <w:spacing w:val="-7"/>
              </w:rPr>
              <w:t>知识</w:t>
            </w:r>
            <w:r>
              <w:t xml:space="preserve">  </w:t>
            </w:r>
            <w:r>
              <w:rPr>
                <w:b/>
                <w:bCs/>
                <w:spacing w:val="-6"/>
              </w:rPr>
              <w:t>与技能</w:t>
            </w:r>
            <w:r>
              <w:rPr>
                <w:spacing w:val="1"/>
              </w:rPr>
              <w:t xml:space="preserve"> </w:t>
            </w:r>
            <w:r>
              <w:rPr>
                <w:b/>
                <w:bCs/>
                <w:spacing w:val="34"/>
              </w:rPr>
              <w:t>要点</w:t>
            </w:r>
          </w:p>
        </w:tc>
        <w:tc>
          <w:tcPr>
            <w:tcW w:w="2644" w:type="dxa"/>
            <w:vMerge w:val="restart"/>
            <w:tcBorders>
              <w:bottom w:val="nil"/>
            </w:tcBorders>
            <w:vAlign w:val="top"/>
          </w:tcPr>
          <w:p w14:paraId="1AA06861">
            <w:pPr>
              <w:spacing w:line="252" w:lineRule="auto"/>
              <w:rPr>
                <w:rFonts w:ascii="Arial"/>
                <w:sz w:val="21"/>
              </w:rPr>
            </w:pPr>
          </w:p>
          <w:p w14:paraId="09AB3662">
            <w:pPr>
              <w:pStyle w:val="6"/>
              <w:spacing w:before="56" w:line="219" w:lineRule="auto"/>
              <w:ind w:left="993"/>
            </w:pPr>
            <w:r>
              <w:rPr>
                <w:b/>
                <w:bCs/>
                <w:spacing w:val="5"/>
              </w:rPr>
              <w:t>考试条目</w:t>
            </w:r>
          </w:p>
        </w:tc>
        <w:tc>
          <w:tcPr>
            <w:tcW w:w="932" w:type="dxa"/>
            <w:gridSpan w:val="4"/>
            <w:vAlign w:val="top"/>
          </w:tcPr>
          <w:p w14:paraId="2D6BD727">
            <w:pPr>
              <w:pStyle w:val="6"/>
              <w:spacing w:before="109" w:line="219" w:lineRule="auto"/>
              <w:ind w:left="129"/>
            </w:pPr>
            <w:r>
              <w:rPr>
                <w:b/>
                <w:bCs/>
                <w:spacing w:val="-4"/>
              </w:rPr>
              <w:t>考试水平</w:t>
            </w:r>
          </w:p>
        </w:tc>
      </w:tr>
      <w:tr w14:paraId="0CF04F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9" w:hRule="atLeast"/>
        </w:trPr>
        <w:tc>
          <w:tcPr>
            <w:tcW w:w="554" w:type="dxa"/>
            <w:vMerge w:val="continue"/>
            <w:tcBorders>
              <w:top w:val="nil"/>
            </w:tcBorders>
            <w:vAlign w:val="top"/>
          </w:tcPr>
          <w:p w14:paraId="324DB61C">
            <w:pPr>
              <w:rPr>
                <w:rFonts w:ascii="Arial"/>
                <w:sz w:val="21"/>
              </w:rPr>
            </w:pPr>
          </w:p>
        </w:tc>
        <w:tc>
          <w:tcPr>
            <w:tcW w:w="2644" w:type="dxa"/>
            <w:vMerge w:val="continue"/>
            <w:tcBorders>
              <w:top w:val="nil"/>
            </w:tcBorders>
            <w:vAlign w:val="top"/>
          </w:tcPr>
          <w:p w14:paraId="336AA547">
            <w:pPr>
              <w:rPr>
                <w:rFonts w:ascii="Arial"/>
                <w:sz w:val="21"/>
              </w:rPr>
            </w:pPr>
          </w:p>
        </w:tc>
        <w:tc>
          <w:tcPr>
            <w:tcW w:w="229" w:type="dxa"/>
            <w:vAlign w:val="top"/>
          </w:tcPr>
          <w:p w14:paraId="3261ED3C">
            <w:pPr>
              <w:pStyle w:val="6"/>
              <w:spacing w:before="150" w:line="184" w:lineRule="auto"/>
              <w:ind w:left="47"/>
            </w:pPr>
            <w:r>
              <w:t>A</w:t>
            </w:r>
          </w:p>
        </w:tc>
        <w:tc>
          <w:tcPr>
            <w:tcW w:w="229" w:type="dxa"/>
            <w:vAlign w:val="top"/>
          </w:tcPr>
          <w:p w14:paraId="477314A4">
            <w:pPr>
              <w:pStyle w:val="6"/>
              <w:spacing w:before="152" w:line="182" w:lineRule="auto"/>
              <w:ind w:left="18"/>
            </w:pPr>
            <w:r>
              <w:t>B</w:t>
            </w:r>
          </w:p>
        </w:tc>
        <w:tc>
          <w:tcPr>
            <w:tcW w:w="230" w:type="dxa"/>
            <w:vAlign w:val="top"/>
          </w:tcPr>
          <w:p w14:paraId="26BD9FA4">
            <w:pPr>
              <w:pStyle w:val="6"/>
              <w:spacing w:before="151" w:line="183" w:lineRule="auto"/>
              <w:ind w:left="38"/>
            </w:pPr>
            <w:r>
              <w:t>C</w:t>
            </w:r>
          </w:p>
        </w:tc>
        <w:tc>
          <w:tcPr>
            <w:tcW w:w="244" w:type="dxa"/>
            <w:vAlign w:val="top"/>
          </w:tcPr>
          <w:p w14:paraId="28A98A19">
            <w:pPr>
              <w:pStyle w:val="6"/>
              <w:spacing w:before="145" w:line="182" w:lineRule="auto"/>
              <w:ind w:left="68"/>
              <w:rPr>
                <w:sz w:val="18"/>
                <w:szCs w:val="18"/>
              </w:rPr>
            </w:pPr>
            <w:r>
              <w:rPr>
                <w:sz w:val="18"/>
                <w:szCs w:val="18"/>
              </w:rPr>
              <w:t>D</w:t>
            </w:r>
          </w:p>
        </w:tc>
      </w:tr>
      <w:tr w14:paraId="6A8979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86" w:hRule="atLeast"/>
        </w:trPr>
        <w:tc>
          <w:tcPr>
            <w:tcW w:w="554" w:type="dxa"/>
            <w:vAlign w:val="top"/>
          </w:tcPr>
          <w:p w14:paraId="090E7CE7">
            <w:pPr>
              <w:spacing w:line="381" w:lineRule="auto"/>
              <w:rPr>
                <w:rFonts w:ascii="Arial"/>
                <w:sz w:val="21"/>
              </w:rPr>
            </w:pPr>
          </w:p>
          <w:p w14:paraId="526AF2EE">
            <w:pPr>
              <w:pStyle w:val="6"/>
              <w:spacing w:before="55" w:line="219" w:lineRule="auto"/>
              <w:ind w:left="94"/>
            </w:pPr>
            <w:r>
              <w:rPr>
                <w:spacing w:val="-2"/>
              </w:rPr>
              <w:t>杆件</w:t>
            </w:r>
          </w:p>
          <w:p w14:paraId="6CCA521C">
            <w:pPr>
              <w:pStyle w:val="6"/>
              <w:spacing w:before="10" w:line="222" w:lineRule="auto"/>
              <w:ind w:left="185"/>
            </w:pPr>
            <w:r>
              <w:t>的</w:t>
            </w:r>
          </w:p>
          <w:p w14:paraId="55D36108">
            <w:pPr>
              <w:pStyle w:val="6"/>
              <w:spacing w:before="21" w:line="219" w:lineRule="auto"/>
              <w:ind w:left="94"/>
            </w:pPr>
            <w:r>
              <w:rPr>
                <w:spacing w:val="7"/>
              </w:rPr>
              <w:t>静力</w:t>
            </w:r>
          </w:p>
          <w:p w14:paraId="72AC0EA8">
            <w:pPr>
              <w:pStyle w:val="6"/>
              <w:spacing w:before="20" w:line="220" w:lineRule="auto"/>
              <w:ind w:left="94"/>
            </w:pPr>
            <w:r>
              <w:rPr>
                <w:spacing w:val="-3"/>
              </w:rPr>
              <w:t>分析</w:t>
            </w:r>
          </w:p>
        </w:tc>
        <w:tc>
          <w:tcPr>
            <w:tcW w:w="2644" w:type="dxa"/>
            <w:vAlign w:val="top"/>
          </w:tcPr>
          <w:p w14:paraId="0EB406DF">
            <w:pPr>
              <w:pStyle w:val="6"/>
              <w:spacing w:before="238" w:line="218" w:lineRule="auto"/>
              <w:ind w:left="91"/>
            </w:pPr>
            <w:r>
              <w:rPr>
                <w:spacing w:val="2"/>
              </w:rPr>
              <w:t>1.力的基本性质</w:t>
            </w:r>
          </w:p>
          <w:p w14:paraId="22731D81">
            <w:pPr>
              <w:pStyle w:val="6"/>
              <w:spacing w:line="244" w:lineRule="auto"/>
              <w:ind w:left="270" w:right="341" w:hanging="179"/>
            </w:pPr>
            <w:r>
              <w:rPr>
                <w:spacing w:val="-1"/>
              </w:rPr>
              <w:t>2.杆件的受力分析、绘制杆件</w:t>
            </w:r>
            <w:r>
              <w:rPr>
                <w:spacing w:val="4"/>
              </w:rPr>
              <w:t xml:space="preserve"> 受力图</w:t>
            </w:r>
          </w:p>
          <w:p w14:paraId="587BFE9E">
            <w:pPr>
              <w:pStyle w:val="6"/>
              <w:spacing w:line="218" w:lineRule="auto"/>
              <w:ind w:left="91"/>
            </w:pPr>
            <w:r>
              <w:rPr>
                <w:spacing w:val="1"/>
              </w:rPr>
              <w:t>3.力矩、力偶</w:t>
            </w:r>
          </w:p>
          <w:p w14:paraId="04160754">
            <w:pPr>
              <w:pStyle w:val="6"/>
              <w:spacing w:before="8" w:line="230" w:lineRule="auto"/>
              <w:ind w:left="280" w:right="318" w:hanging="189"/>
            </w:pPr>
            <w:r>
              <w:rPr>
                <w:spacing w:val="1"/>
              </w:rPr>
              <w:t>4.平面汇交力系与平面平行力</w:t>
            </w:r>
            <w:r>
              <w:t xml:space="preserve"> </w:t>
            </w:r>
            <w:r>
              <w:rPr>
                <w:spacing w:val="2"/>
              </w:rPr>
              <w:t>系的平衡方程及其应用</w:t>
            </w:r>
          </w:p>
        </w:tc>
        <w:tc>
          <w:tcPr>
            <w:tcW w:w="229" w:type="dxa"/>
            <w:vAlign w:val="top"/>
          </w:tcPr>
          <w:p w14:paraId="2F49AFDE">
            <w:pPr>
              <w:rPr>
                <w:rFonts w:ascii="Arial"/>
                <w:sz w:val="21"/>
              </w:rPr>
            </w:pPr>
          </w:p>
        </w:tc>
        <w:tc>
          <w:tcPr>
            <w:tcW w:w="229" w:type="dxa"/>
            <w:vAlign w:val="top"/>
          </w:tcPr>
          <w:p w14:paraId="14336BD9">
            <w:pPr>
              <w:rPr>
                <w:rFonts w:ascii="Arial"/>
                <w:sz w:val="21"/>
              </w:rPr>
            </w:pPr>
          </w:p>
        </w:tc>
        <w:tc>
          <w:tcPr>
            <w:tcW w:w="230" w:type="dxa"/>
            <w:vAlign w:val="top"/>
          </w:tcPr>
          <w:p w14:paraId="36773784">
            <w:pPr>
              <w:rPr>
                <w:rFonts w:ascii="Arial"/>
                <w:sz w:val="21"/>
              </w:rPr>
            </w:pPr>
          </w:p>
        </w:tc>
        <w:tc>
          <w:tcPr>
            <w:tcW w:w="244" w:type="dxa"/>
            <w:vAlign w:val="top"/>
          </w:tcPr>
          <w:p w14:paraId="6317FDC5">
            <w:pPr>
              <w:spacing w:line="265" w:lineRule="auto"/>
              <w:rPr>
                <w:rFonts w:ascii="Arial"/>
                <w:sz w:val="21"/>
              </w:rPr>
            </w:pPr>
          </w:p>
          <w:p w14:paraId="2A9CA1A4">
            <w:pPr>
              <w:spacing w:line="265" w:lineRule="auto"/>
              <w:rPr>
                <w:rFonts w:ascii="Arial"/>
                <w:sz w:val="21"/>
              </w:rPr>
            </w:pPr>
          </w:p>
          <w:p w14:paraId="757F9CFD">
            <w:pPr>
              <w:spacing w:line="265" w:lineRule="auto"/>
              <w:rPr>
                <w:rFonts w:ascii="Arial"/>
                <w:sz w:val="21"/>
              </w:rPr>
            </w:pPr>
          </w:p>
          <w:p w14:paraId="6E51A163">
            <w:pPr>
              <w:spacing w:line="266" w:lineRule="auto"/>
              <w:rPr>
                <w:rFonts w:ascii="Arial"/>
                <w:sz w:val="21"/>
              </w:rPr>
            </w:pPr>
          </w:p>
          <w:p w14:paraId="4B7BAA93">
            <w:pPr>
              <w:pStyle w:val="6"/>
              <w:spacing w:before="42" w:line="238" w:lineRule="auto"/>
              <w:ind w:left="49"/>
              <w:rPr>
                <w:sz w:val="13"/>
                <w:szCs w:val="13"/>
              </w:rPr>
            </w:pPr>
            <w:r>
              <w:rPr>
                <w:sz w:val="13"/>
                <w:szCs w:val="13"/>
              </w:rPr>
              <w:t>√</w:t>
            </w:r>
          </w:p>
        </w:tc>
      </w:tr>
      <w:tr w14:paraId="2A8EB4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820" w:hRule="atLeast"/>
        </w:trPr>
        <w:tc>
          <w:tcPr>
            <w:tcW w:w="554" w:type="dxa"/>
            <w:vAlign w:val="top"/>
          </w:tcPr>
          <w:p w14:paraId="7B0C083B">
            <w:pPr>
              <w:spacing w:line="445" w:lineRule="auto"/>
              <w:rPr>
                <w:rFonts w:ascii="Arial"/>
                <w:sz w:val="21"/>
              </w:rPr>
            </w:pPr>
          </w:p>
          <w:p w14:paraId="0C1FDCCB">
            <w:pPr>
              <w:pStyle w:val="6"/>
              <w:spacing w:before="55" w:line="219" w:lineRule="auto"/>
              <w:ind w:left="94"/>
            </w:pPr>
            <w:r>
              <w:rPr>
                <w:spacing w:val="-2"/>
              </w:rPr>
              <w:t>杆件</w:t>
            </w:r>
          </w:p>
          <w:p w14:paraId="1C006F95">
            <w:pPr>
              <w:pStyle w:val="6"/>
              <w:spacing w:before="20" w:line="222" w:lineRule="auto"/>
              <w:ind w:left="185"/>
            </w:pPr>
            <w:r>
              <w:t>的</w:t>
            </w:r>
          </w:p>
          <w:p w14:paraId="6EC7BDFD">
            <w:pPr>
              <w:pStyle w:val="6"/>
              <w:spacing w:before="11" w:line="219" w:lineRule="auto"/>
              <w:ind w:left="94"/>
            </w:pPr>
            <w:r>
              <w:rPr>
                <w:spacing w:val="-2"/>
              </w:rPr>
              <w:t>基本</w:t>
            </w:r>
          </w:p>
          <w:p w14:paraId="29AB6C75">
            <w:pPr>
              <w:pStyle w:val="6"/>
              <w:spacing w:before="30" w:line="221" w:lineRule="auto"/>
              <w:ind w:left="94"/>
            </w:pPr>
            <w:r>
              <w:rPr>
                <w:spacing w:val="-2"/>
              </w:rPr>
              <w:t>变形</w:t>
            </w:r>
          </w:p>
        </w:tc>
        <w:tc>
          <w:tcPr>
            <w:tcW w:w="2644" w:type="dxa"/>
            <w:vAlign w:val="top"/>
          </w:tcPr>
          <w:p w14:paraId="2971CA23">
            <w:pPr>
              <w:pStyle w:val="6"/>
              <w:spacing w:before="291" w:line="219" w:lineRule="auto"/>
              <w:ind w:left="91"/>
            </w:pPr>
            <w:r>
              <w:t>1.拉伸与压缩的力学性能和直</w:t>
            </w:r>
          </w:p>
          <w:p w14:paraId="3B3CD633">
            <w:pPr>
              <w:pStyle w:val="6"/>
              <w:spacing w:before="8" w:line="219" w:lineRule="auto"/>
              <w:ind w:right="19"/>
              <w:jc w:val="right"/>
            </w:pPr>
            <w:r>
              <w:rPr>
                <w:spacing w:val="-1"/>
              </w:rPr>
              <w:t>杆轴向拉伸和压缩时的强度计算</w:t>
            </w:r>
          </w:p>
          <w:p w14:paraId="322F5943">
            <w:pPr>
              <w:pStyle w:val="6"/>
              <w:spacing w:before="40" w:line="228" w:lineRule="auto"/>
              <w:ind w:left="91" w:right="1531"/>
            </w:pPr>
            <w:r>
              <w:rPr>
                <w:spacing w:val="-2"/>
              </w:rPr>
              <w:t>2.剪切与挤压</w:t>
            </w:r>
            <w:r>
              <w:rPr>
                <w:spacing w:val="4"/>
              </w:rPr>
              <w:t xml:space="preserve"> </w:t>
            </w:r>
            <w:r>
              <w:rPr>
                <w:spacing w:val="-1"/>
              </w:rPr>
              <w:t>3.圆轴扭转</w:t>
            </w:r>
          </w:p>
          <w:p w14:paraId="34995BB7">
            <w:pPr>
              <w:pStyle w:val="6"/>
              <w:spacing w:before="18" w:line="220" w:lineRule="auto"/>
              <w:ind w:left="91" w:right="1673"/>
            </w:pPr>
            <w:r>
              <w:rPr>
                <w:spacing w:val="3"/>
              </w:rPr>
              <w:t>4.直梁弯曲</w:t>
            </w:r>
            <w:r>
              <w:t xml:space="preserve"> </w:t>
            </w:r>
            <w:r>
              <w:rPr>
                <w:spacing w:val="-2"/>
              </w:rPr>
              <w:t>5.组合变形</w:t>
            </w:r>
          </w:p>
        </w:tc>
        <w:tc>
          <w:tcPr>
            <w:tcW w:w="229" w:type="dxa"/>
            <w:vAlign w:val="top"/>
          </w:tcPr>
          <w:p w14:paraId="4690D59D">
            <w:pPr>
              <w:rPr>
                <w:rFonts w:ascii="Arial"/>
                <w:sz w:val="21"/>
              </w:rPr>
            </w:pPr>
          </w:p>
        </w:tc>
        <w:tc>
          <w:tcPr>
            <w:tcW w:w="229" w:type="dxa"/>
            <w:vAlign w:val="top"/>
          </w:tcPr>
          <w:p w14:paraId="4C2F3103">
            <w:pPr>
              <w:rPr>
                <w:rFonts w:ascii="Arial"/>
                <w:sz w:val="21"/>
              </w:rPr>
            </w:pPr>
          </w:p>
        </w:tc>
        <w:tc>
          <w:tcPr>
            <w:tcW w:w="230" w:type="dxa"/>
            <w:vAlign w:val="top"/>
          </w:tcPr>
          <w:p w14:paraId="608BA42A">
            <w:pPr>
              <w:rPr>
                <w:rFonts w:ascii="Arial"/>
                <w:sz w:val="21"/>
              </w:rPr>
            </w:pPr>
          </w:p>
        </w:tc>
        <w:tc>
          <w:tcPr>
            <w:tcW w:w="244" w:type="dxa"/>
            <w:vAlign w:val="top"/>
          </w:tcPr>
          <w:p w14:paraId="15AAEB79">
            <w:pPr>
              <w:pStyle w:val="6"/>
              <w:spacing w:before="234" w:line="238" w:lineRule="auto"/>
              <w:ind w:left="49"/>
              <w:rPr>
                <w:sz w:val="13"/>
                <w:szCs w:val="13"/>
              </w:rPr>
            </w:pPr>
            <w:r>
              <w:rPr>
                <w:sz w:val="13"/>
                <w:szCs w:val="13"/>
              </w:rPr>
              <w:t>√</w:t>
            </w:r>
          </w:p>
        </w:tc>
      </w:tr>
    </w:tbl>
    <w:p w14:paraId="6FCD2794">
      <w:pPr>
        <w:pStyle w:val="2"/>
      </w:pPr>
    </w:p>
    <w:p w14:paraId="5853828F">
      <w:pPr>
        <w:sectPr>
          <w:type w:val="continuous"/>
          <w:pgSz w:w="10660" w:h="15080"/>
          <w:pgMar w:top="400" w:right="756" w:bottom="936" w:left="1019" w:header="0" w:footer="714" w:gutter="0"/>
          <w:cols w:equalWidth="0" w:num="2">
            <w:col w:w="4491" w:space="100"/>
            <w:col w:w="4294"/>
          </w:cols>
        </w:sectPr>
      </w:pPr>
    </w:p>
    <w:p w14:paraId="76983623">
      <w:pPr>
        <w:spacing w:before="10"/>
      </w:pPr>
    </w:p>
    <w:p w14:paraId="51667A88">
      <w:pPr>
        <w:spacing w:before="10"/>
      </w:pPr>
    </w:p>
    <w:p w14:paraId="107504C4">
      <w:pPr>
        <w:spacing w:before="9"/>
      </w:pPr>
    </w:p>
    <w:p w14:paraId="2E12956E">
      <w:pPr>
        <w:spacing w:before="9"/>
      </w:pPr>
    </w:p>
    <w:p w14:paraId="5AD3190D">
      <w:pPr>
        <w:sectPr>
          <w:footerReference r:id="rId22" w:type="default"/>
          <w:pgSz w:w="10660" w:h="15080"/>
          <w:pgMar w:top="400" w:right="1034" w:bottom="936" w:left="819" w:header="0" w:footer="714" w:gutter="0"/>
          <w:cols w:equalWidth="0" w:num="1">
            <w:col w:w="8806"/>
          </w:cols>
        </w:sectPr>
      </w:pPr>
    </w:p>
    <w:p w14:paraId="42973926">
      <w:pPr>
        <w:spacing w:line="221" w:lineRule="auto"/>
        <w:ind w:left="1342"/>
        <w:rPr>
          <w:rFonts w:ascii="黑体" w:hAnsi="黑体" w:eastAsia="黑体" w:cs="黑体"/>
          <w:sz w:val="19"/>
          <w:szCs w:val="19"/>
        </w:rPr>
      </w:pPr>
      <w:r>
        <w:rPr>
          <w:rFonts w:ascii="黑体" w:hAnsi="黑体" w:eastAsia="黑体" w:cs="黑体"/>
          <w:b/>
          <w:bCs/>
          <w:spacing w:val="1"/>
          <w:sz w:val="19"/>
          <w:szCs w:val="19"/>
        </w:rPr>
        <w:t>二</w:t>
      </w:r>
      <w:r>
        <w:rPr>
          <w:rFonts w:ascii="黑体" w:hAnsi="黑体" w:eastAsia="黑体" w:cs="黑体"/>
          <w:spacing w:val="-49"/>
          <w:sz w:val="19"/>
          <w:szCs w:val="19"/>
        </w:rPr>
        <w:t xml:space="preserve"> </w:t>
      </w:r>
      <w:r>
        <w:rPr>
          <w:rFonts w:ascii="黑体" w:hAnsi="黑体" w:eastAsia="黑体" w:cs="黑体"/>
          <w:b/>
          <w:bCs/>
          <w:spacing w:val="1"/>
          <w:sz w:val="19"/>
          <w:szCs w:val="19"/>
        </w:rPr>
        <w:t>、机械工程材料</w:t>
      </w:r>
    </w:p>
    <w:p w14:paraId="55703C46">
      <w:pPr>
        <w:spacing w:line="172" w:lineRule="exact"/>
      </w:pPr>
    </w:p>
    <w:tbl>
      <w:tblPr>
        <w:tblStyle w:val="5"/>
        <w:tblW w:w="4130"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54"/>
        <w:gridCol w:w="2644"/>
        <w:gridCol w:w="229"/>
        <w:gridCol w:w="230"/>
        <w:gridCol w:w="229"/>
        <w:gridCol w:w="244"/>
      </w:tblGrid>
      <w:tr w14:paraId="016A53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4" w:hRule="atLeast"/>
        </w:trPr>
        <w:tc>
          <w:tcPr>
            <w:tcW w:w="554" w:type="dxa"/>
            <w:vMerge w:val="restart"/>
            <w:tcBorders>
              <w:bottom w:val="nil"/>
            </w:tcBorders>
            <w:vAlign w:val="top"/>
          </w:tcPr>
          <w:p w14:paraId="4A7D54A3">
            <w:pPr>
              <w:pStyle w:val="6"/>
              <w:spacing w:before="72" w:line="242" w:lineRule="auto"/>
              <w:ind w:left="17" w:right="26" w:firstLine="80"/>
            </w:pPr>
            <w:r>
              <w:rPr>
                <w:b/>
                <w:bCs/>
                <w:spacing w:val="-7"/>
              </w:rPr>
              <w:t>知识</w:t>
            </w:r>
            <w:r>
              <w:t xml:space="preserve">  </w:t>
            </w:r>
            <w:r>
              <w:rPr>
                <w:b/>
                <w:bCs/>
                <w:spacing w:val="-6"/>
              </w:rPr>
              <w:t>与技能</w:t>
            </w:r>
            <w:r>
              <w:rPr>
                <w:spacing w:val="1"/>
              </w:rPr>
              <w:t xml:space="preserve"> </w:t>
            </w:r>
            <w:r>
              <w:rPr>
                <w:b/>
                <w:bCs/>
                <w:spacing w:val="34"/>
              </w:rPr>
              <w:t>要点</w:t>
            </w:r>
          </w:p>
        </w:tc>
        <w:tc>
          <w:tcPr>
            <w:tcW w:w="2644" w:type="dxa"/>
            <w:vMerge w:val="restart"/>
            <w:tcBorders>
              <w:bottom w:val="nil"/>
            </w:tcBorders>
            <w:vAlign w:val="top"/>
          </w:tcPr>
          <w:p w14:paraId="66AA106B">
            <w:pPr>
              <w:spacing w:line="252" w:lineRule="auto"/>
              <w:rPr>
                <w:rFonts w:ascii="Arial"/>
                <w:sz w:val="21"/>
              </w:rPr>
            </w:pPr>
          </w:p>
          <w:p w14:paraId="0C74335F">
            <w:pPr>
              <w:pStyle w:val="6"/>
              <w:spacing w:before="56" w:line="219" w:lineRule="auto"/>
              <w:ind w:left="993"/>
            </w:pPr>
            <w:r>
              <w:rPr>
                <w:b/>
                <w:bCs/>
                <w:spacing w:val="5"/>
              </w:rPr>
              <w:t>考试条目</w:t>
            </w:r>
          </w:p>
        </w:tc>
        <w:tc>
          <w:tcPr>
            <w:tcW w:w="932" w:type="dxa"/>
            <w:gridSpan w:val="4"/>
            <w:vAlign w:val="top"/>
          </w:tcPr>
          <w:p w14:paraId="73F2DA43">
            <w:pPr>
              <w:pStyle w:val="6"/>
              <w:spacing w:before="109" w:line="219" w:lineRule="auto"/>
              <w:ind w:left="139"/>
            </w:pPr>
            <w:r>
              <w:rPr>
                <w:b/>
                <w:bCs/>
                <w:spacing w:val="-4"/>
              </w:rPr>
              <w:t>考试水平</w:t>
            </w:r>
          </w:p>
        </w:tc>
      </w:tr>
      <w:tr w14:paraId="2C5123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9" w:hRule="atLeast"/>
        </w:trPr>
        <w:tc>
          <w:tcPr>
            <w:tcW w:w="554" w:type="dxa"/>
            <w:vMerge w:val="continue"/>
            <w:tcBorders>
              <w:top w:val="nil"/>
            </w:tcBorders>
            <w:vAlign w:val="top"/>
          </w:tcPr>
          <w:p w14:paraId="46982360">
            <w:pPr>
              <w:rPr>
                <w:rFonts w:ascii="Arial"/>
                <w:sz w:val="21"/>
              </w:rPr>
            </w:pPr>
          </w:p>
        </w:tc>
        <w:tc>
          <w:tcPr>
            <w:tcW w:w="2644" w:type="dxa"/>
            <w:vMerge w:val="continue"/>
            <w:tcBorders>
              <w:top w:val="nil"/>
            </w:tcBorders>
            <w:vAlign w:val="top"/>
          </w:tcPr>
          <w:p w14:paraId="37EDC48A">
            <w:pPr>
              <w:rPr>
                <w:rFonts w:ascii="Arial"/>
                <w:sz w:val="21"/>
              </w:rPr>
            </w:pPr>
          </w:p>
        </w:tc>
        <w:tc>
          <w:tcPr>
            <w:tcW w:w="229" w:type="dxa"/>
            <w:vAlign w:val="top"/>
          </w:tcPr>
          <w:p w14:paraId="343D80A7">
            <w:pPr>
              <w:pStyle w:val="6"/>
              <w:spacing w:before="150" w:line="184" w:lineRule="auto"/>
              <w:ind w:left="37"/>
            </w:pPr>
            <w:r>
              <w:t>A</w:t>
            </w:r>
          </w:p>
        </w:tc>
        <w:tc>
          <w:tcPr>
            <w:tcW w:w="230" w:type="dxa"/>
            <w:vAlign w:val="top"/>
          </w:tcPr>
          <w:p w14:paraId="62000E34">
            <w:pPr>
              <w:pStyle w:val="6"/>
              <w:spacing w:before="152" w:line="182" w:lineRule="auto"/>
              <w:ind w:left="18"/>
            </w:pPr>
            <w:r>
              <w:t>B</w:t>
            </w:r>
          </w:p>
        </w:tc>
        <w:tc>
          <w:tcPr>
            <w:tcW w:w="229" w:type="dxa"/>
            <w:vAlign w:val="top"/>
          </w:tcPr>
          <w:p w14:paraId="2B5605B3">
            <w:pPr>
              <w:pStyle w:val="6"/>
              <w:spacing w:before="151" w:line="183" w:lineRule="auto"/>
              <w:ind w:left="17"/>
            </w:pPr>
            <w:r>
              <w:t>C</w:t>
            </w:r>
          </w:p>
        </w:tc>
        <w:tc>
          <w:tcPr>
            <w:tcW w:w="244" w:type="dxa"/>
            <w:vAlign w:val="top"/>
          </w:tcPr>
          <w:p w14:paraId="1B024ECB">
            <w:pPr>
              <w:pStyle w:val="6"/>
              <w:spacing w:before="152" w:line="182" w:lineRule="auto"/>
              <w:ind w:left="29"/>
            </w:pPr>
            <w:r>
              <w:t>D</w:t>
            </w:r>
          </w:p>
        </w:tc>
      </w:tr>
      <w:tr w14:paraId="5B5627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58" w:hRule="atLeast"/>
        </w:trPr>
        <w:tc>
          <w:tcPr>
            <w:tcW w:w="554" w:type="dxa"/>
            <w:vAlign w:val="top"/>
          </w:tcPr>
          <w:p w14:paraId="1D4B2474">
            <w:pPr>
              <w:pStyle w:val="6"/>
              <w:spacing w:before="69" w:line="235" w:lineRule="auto"/>
              <w:ind w:left="94" w:right="94"/>
              <w:jc w:val="both"/>
            </w:pPr>
            <w:r>
              <w:rPr>
                <w:spacing w:val="7"/>
              </w:rPr>
              <w:t>金属</w:t>
            </w:r>
            <w:r>
              <w:t xml:space="preserve"> </w:t>
            </w:r>
            <w:r>
              <w:rPr>
                <w:spacing w:val="-4"/>
              </w:rPr>
              <w:t>材料</w:t>
            </w:r>
            <w:r>
              <w:t xml:space="preserve"> </w:t>
            </w:r>
            <w:r>
              <w:rPr>
                <w:spacing w:val="-4"/>
              </w:rPr>
              <w:t>基础</w:t>
            </w:r>
            <w:r>
              <w:t xml:space="preserve"> </w:t>
            </w:r>
            <w:r>
              <w:rPr>
                <w:spacing w:val="4"/>
              </w:rPr>
              <w:t>知识</w:t>
            </w:r>
          </w:p>
        </w:tc>
        <w:tc>
          <w:tcPr>
            <w:tcW w:w="2644" w:type="dxa"/>
            <w:vAlign w:val="top"/>
          </w:tcPr>
          <w:p w14:paraId="477767B9">
            <w:pPr>
              <w:spacing w:line="340" w:lineRule="auto"/>
              <w:rPr>
                <w:rFonts w:ascii="Arial"/>
                <w:sz w:val="21"/>
              </w:rPr>
            </w:pPr>
          </w:p>
          <w:p w14:paraId="20F05053">
            <w:pPr>
              <w:pStyle w:val="6"/>
              <w:spacing w:before="55" w:line="219" w:lineRule="auto"/>
              <w:ind w:left="90"/>
            </w:pPr>
            <w:r>
              <w:rPr>
                <w:spacing w:val="-1"/>
              </w:rPr>
              <w:t>金属材料的性能</w:t>
            </w:r>
          </w:p>
        </w:tc>
        <w:tc>
          <w:tcPr>
            <w:tcW w:w="229" w:type="dxa"/>
            <w:vAlign w:val="top"/>
          </w:tcPr>
          <w:p w14:paraId="0FAC66B9">
            <w:pPr>
              <w:rPr>
                <w:rFonts w:ascii="Arial"/>
                <w:sz w:val="21"/>
              </w:rPr>
            </w:pPr>
          </w:p>
        </w:tc>
        <w:tc>
          <w:tcPr>
            <w:tcW w:w="230" w:type="dxa"/>
            <w:vAlign w:val="top"/>
          </w:tcPr>
          <w:p w14:paraId="267EC97D">
            <w:pPr>
              <w:rPr>
                <w:rFonts w:ascii="Arial"/>
                <w:sz w:val="21"/>
              </w:rPr>
            </w:pPr>
          </w:p>
        </w:tc>
        <w:tc>
          <w:tcPr>
            <w:tcW w:w="229" w:type="dxa"/>
            <w:vAlign w:val="top"/>
          </w:tcPr>
          <w:p w14:paraId="740695D0">
            <w:pPr>
              <w:rPr>
                <w:rFonts w:ascii="Arial"/>
                <w:sz w:val="21"/>
              </w:rPr>
            </w:pPr>
          </w:p>
        </w:tc>
        <w:tc>
          <w:tcPr>
            <w:tcW w:w="244" w:type="dxa"/>
            <w:vAlign w:val="top"/>
          </w:tcPr>
          <w:p w14:paraId="40C055BD">
            <w:pPr>
              <w:rPr>
                <w:rFonts w:ascii="Arial"/>
                <w:sz w:val="21"/>
              </w:rPr>
            </w:pPr>
          </w:p>
        </w:tc>
      </w:tr>
      <w:tr w14:paraId="6A9312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88" w:hRule="atLeast"/>
        </w:trPr>
        <w:tc>
          <w:tcPr>
            <w:tcW w:w="554" w:type="dxa"/>
            <w:vAlign w:val="top"/>
          </w:tcPr>
          <w:p w14:paraId="0D38CBA2">
            <w:pPr>
              <w:pStyle w:val="6"/>
              <w:spacing w:before="103" w:line="222" w:lineRule="auto"/>
              <w:ind w:left="94"/>
            </w:pPr>
            <w:r>
              <w:rPr>
                <w:spacing w:val="-2"/>
              </w:rPr>
              <w:t>钢的</w:t>
            </w:r>
          </w:p>
          <w:p w14:paraId="11339C15">
            <w:pPr>
              <w:pStyle w:val="6"/>
              <w:spacing w:before="16" w:line="224" w:lineRule="auto"/>
              <w:ind w:left="94"/>
            </w:pPr>
            <w:r>
              <w:rPr>
                <w:spacing w:val="-3"/>
              </w:rPr>
              <w:t>热处</w:t>
            </w:r>
          </w:p>
          <w:p w14:paraId="77DEAAFA">
            <w:pPr>
              <w:pStyle w:val="6"/>
              <w:spacing w:before="19" w:line="229" w:lineRule="auto"/>
              <w:ind w:left="184"/>
            </w:pPr>
            <w:r>
              <w:t>理</w:t>
            </w:r>
          </w:p>
        </w:tc>
        <w:tc>
          <w:tcPr>
            <w:tcW w:w="2644" w:type="dxa"/>
            <w:vAlign w:val="top"/>
          </w:tcPr>
          <w:p w14:paraId="2EC2B017">
            <w:pPr>
              <w:pStyle w:val="6"/>
              <w:spacing w:before="210" w:line="239" w:lineRule="auto"/>
              <w:ind w:left="90" w:right="156"/>
            </w:pPr>
            <w:r>
              <w:t>1.钢的正火、退火、淬火、回火</w:t>
            </w:r>
            <w:r>
              <w:rPr>
                <w:spacing w:val="5"/>
              </w:rPr>
              <w:t xml:space="preserve"> </w:t>
            </w:r>
            <w:r>
              <w:rPr>
                <w:spacing w:val="1"/>
              </w:rPr>
              <w:t>2.钢的表面热处理与应用</w:t>
            </w:r>
          </w:p>
        </w:tc>
        <w:tc>
          <w:tcPr>
            <w:tcW w:w="229" w:type="dxa"/>
            <w:vAlign w:val="top"/>
          </w:tcPr>
          <w:p w14:paraId="23A50AAD">
            <w:pPr>
              <w:rPr>
                <w:rFonts w:ascii="Arial"/>
                <w:sz w:val="21"/>
              </w:rPr>
            </w:pPr>
          </w:p>
        </w:tc>
        <w:tc>
          <w:tcPr>
            <w:tcW w:w="230" w:type="dxa"/>
            <w:vAlign w:val="top"/>
          </w:tcPr>
          <w:p w14:paraId="3EF847B8">
            <w:pPr>
              <w:spacing w:line="249" w:lineRule="auto"/>
              <w:rPr>
                <w:rFonts w:ascii="Arial"/>
                <w:sz w:val="21"/>
              </w:rPr>
            </w:pPr>
          </w:p>
          <w:p w14:paraId="01E38057">
            <w:pPr>
              <w:spacing w:line="314" w:lineRule="exact"/>
              <w:ind w:firstLine="51"/>
            </w:pPr>
            <w:r>
              <w:rPr>
                <w:position w:val="-6"/>
              </w:rPr>
              <w:drawing>
                <wp:inline distT="0" distB="0" distL="0" distR="0">
                  <wp:extent cx="83185" cy="198755"/>
                  <wp:effectExtent l="0" t="0" r="0" b="0"/>
                  <wp:docPr id="90" name="IM 90"/>
                  <wp:cNvGraphicFramePr/>
                  <a:graphic xmlns:a="http://schemas.openxmlformats.org/drawingml/2006/main">
                    <a:graphicData uri="http://schemas.openxmlformats.org/drawingml/2006/picture">
                      <pic:pic xmlns:pic="http://schemas.openxmlformats.org/drawingml/2006/picture">
                        <pic:nvPicPr>
                          <pic:cNvPr id="90" name="IM 90"/>
                          <pic:cNvPicPr/>
                        </pic:nvPicPr>
                        <pic:blipFill>
                          <a:blip r:embed="rId210"/>
                          <a:stretch>
                            <a:fillRect/>
                          </a:stretch>
                        </pic:blipFill>
                        <pic:spPr>
                          <a:xfrm>
                            <a:off x="0" y="0"/>
                            <a:ext cx="83336" cy="199294"/>
                          </a:xfrm>
                          <a:prstGeom prst="rect">
                            <a:avLst/>
                          </a:prstGeom>
                        </pic:spPr>
                      </pic:pic>
                    </a:graphicData>
                  </a:graphic>
                </wp:inline>
              </w:drawing>
            </w:r>
          </w:p>
        </w:tc>
        <w:tc>
          <w:tcPr>
            <w:tcW w:w="229" w:type="dxa"/>
            <w:vAlign w:val="top"/>
          </w:tcPr>
          <w:p w14:paraId="324049DD">
            <w:pPr>
              <w:rPr>
                <w:rFonts w:ascii="Arial"/>
                <w:sz w:val="21"/>
              </w:rPr>
            </w:pPr>
          </w:p>
        </w:tc>
        <w:tc>
          <w:tcPr>
            <w:tcW w:w="244" w:type="dxa"/>
            <w:vAlign w:val="top"/>
          </w:tcPr>
          <w:p w14:paraId="7DCA7E5D">
            <w:pPr>
              <w:rPr>
                <w:rFonts w:ascii="Arial"/>
                <w:sz w:val="21"/>
              </w:rPr>
            </w:pPr>
          </w:p>
        </w:tc>
      </w:tr>
      <w:tr w14:paraId="5B9B34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58" w:hRule="atLeast"/>
        </w:trPr>
        <w:tc>
          <w:tcPr>
            <w:tcW w:w="554" w:type="dxa"/>
            <w:vAlign w:val="top"/>
          </w:tcPr>
          <w:p w14:paraId="7018E747">
            <w:pPr>
              <w:pStyle w:val="6"/>
              <w:spacing w:before="194" w:line="234" w:lineRule="auto"/>
              <w:ind w:left="94" w:right="114"/>
            </w:pPr>
            <w:r>
              <w:rPr>
                <w:spacing w:val="-3"/>
              </w:rPr>
              <w:t>钢铁</w:t>
            </w:r>
            <w:r>
              <w:t xml:space="preserve"> </w:t>
            </w:r>
            <w:r>
              <w:rPr>
                <w:spacing w:val="-4"/>
              </w:rPr>
              <w:t>材料</w:t>
            </w:r>
          </w:p>
        </w:tc>
        <w:tc>
          <w:tcPr>
            <w:tcW w:w="2644" w:type="dxa"/>
            <w:vAlign w:val="top"/>
          </w:tcPr>
          <w:p w14:paraId="19A9E13C">
            <w:pPr>
              <w:pStyle w:val="6"/>
              <w:spacing w:before="102" w:line="232" w:lineRule="auto"/>
              <w:ind w:left="90" w:right="1851"/>
            </w:pPr>
            <w:r>
              <w:rPr>
                <w:spacing w:val="2"/>
              </w:rPr>
              <w:t>1.碳素钢</w:t>
            </w:r>
            <w:r>
              <w:t xml:space="preserve"> </w:t>
            </w:r>
            <w:r>
              <w:rPr>
                <w:spacing w:val="-2"/>
              </w:rPr>
              <w:t>2.合金钢</w:t>
            </w:r>
          </w:p>
          <w:p w14:paraId="3E98BDB4">
            <w:pPr>
              <w:pStyle w:val="6"/>
              <w:spacing w:before="13" w:line="220" w:lineRule="auto"/>
              <w:ind w:left="90"/>
            </w:pPr>
            <w:r>
              <w:rPr>
                <w:spacing w:val="1"/>
              </w:rPr>
              <w:t>3.铸铁与铸钢</w:t>
            </w:r>
          </w:p>
        </w:tc>
        <w:tc>
          <w:tcPr>
            <w:tcW w:w="229" w:type="dxa"/>
            <w:vAlign w:val="top"/>
          </w:tcPr>
          <w:p w14:paraId="3EB25E5B">
            <w:pPr>
              <w:rPr>
                <w:rFonts w:ascii="Arial"/>
                <w:sz w:val="21"/>
              </w:rPr>
            </w:pPr>
          </w:p>
        </w:tc>
        <w:tc>
          <w:tcPr>
            <w:tcW w:w="230" w:type="dxa"/>
            <w:vAlign w:val="top"/>
          </w:tcPr>
          <w:p w14:paraId="325F5789">
            <w:pPr>
              <w:rPr>
                <w:rFonts w:ascii="Arial"/>
                <w:sz w:val="21"/>
              </w:rPr>
            </w:pPr>
          </w:p>
        </w:tc>
        <w:tc>
          <w:tcPr>
            <w:tcW w:w="229" w:type="dxa"/>
            <w:vAlign w:val="top"/>
          </w:tcPr>
          <w:p w14:paraId="1BEF066B">
            <w:pPr>
              <w:rPr>
                <w:rFonts w:ascii="Arial"/>
                <w:sz w:val="21"/>
              </w:rPr>
            </w:pPr>
          </w:p>
        </w:tc>
        <w:tc>
          <w:tcPr>
            <w:tcW w:w="244" w:type="dxa"/>
            <w:vAlign w:val="top"/>
          </w:tcPr>
          <w:p w14:paraId="1BFD92DC">
            <w:pPr>
              <w:rPr>
                <w:rFonts w:ascii="Arial"/>
                <w:sz w:val="21"/>
              </w:rPr>
            </w:pPr>
          </w:p>
        </w:tc>
      </w:tr>
      <w:tr w14:paraId="07F38C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53" w:hRule="atLeast"/>
        </w:trPr>
        <w:tc>
          <w:tcPr>
            <w:tcW w:w="554" w:type="dxa"/>
            <w:vAlign w:val="top"/>
          </w:tcPr>
          <w:p w14:paraId="7305A94D">
            <w:pPr>
              <w:pStyle w:val="6"/>
              <w:spacing w:before="76" w:line="235" w:lineRule="auto"/>
              <w:ind w:left="94" w:right="94"/>
              <w:jc w:val="both"/>
            </w:pPr>
            <w:r>
              <w:rPr>
                <w:spacing w:val="-4"/>
              </w:rPr>
              <w:t>有色</w:t>
            </w:r>
            <w:r>
              <w:t xml:space="preserve"> </w:t>
            </w:r>
            <w:r>
              <w:rPr>
                <w:spacing w:val="7"/>
              </w:rPr>
              <w:t>金属</w:t>
            </w:r>
            <w:r>
              <w:t xml:space="preserve"> </w:t>
            </w:r>
            <w:r>
              <w:rPr>
                <w:spacing w:val="-2"/>
              </w:rPr>
              <w:t>材料</w:t>
            </w:r>
          </w:p>
        </w:tc>
        <w:tc>
          <w:tcPr>
            <w:tcW w:w="2644" w:type="dxa"/>
            <w:vAlign w:val="top"/>
          </w:tcPr>
          <w:p w14:paraId="29180B8E">
            <w:pPr>
              <w:pStyle w:val="6"/>
              <w:spacing w:before="77" w:line="237" w:lineRule="auto"/>
              <w:ind w:left="90" w:right="1855"/>
            </w:pPr>
            <w:r>
              <w:rPr>
                <w:spacing w:val="1"/>
              </w:rPr>
              <w:t xml:space="preserve">1.铝合金 </w:t>
            </w:r>
            <w:r>
              <w:rPr>
                <w:spacing w:val="-2"/>
              </w:rPr>
              <w:t>2.铜合金</w:t>
            </w:r>
          </w:p>
          <w:p w14:paraId="32A160B9">
            <w:pPr>
              <w:pStyle w:val="6"/>
              <w:spacing w:line="218" w:lineRule="auto"/>
              <w:ind w:left="90"/>
            </w:pPr>
            <w:r>
              <w:rPr>
                <w:spacing w:val="-2"/>
              </w:rPr>
              <w:t>3.轴承合金</w:t>
            </w:r>
          </w:p>
        </w:tc>
        <w:tc>
          <w:tcPr>
            <w:tcW w:w="229" w:type="dxa"/>
            <w:vAlign w:val="top"/>
          </w:tcPr>
          <w:p w14:paraId="6917CD03">
            <w:pPr>
              <w:pStyle w:val="6"/>
              <w:spacing w:before="284" w:line="229" w:lineRule="auto"/>
              <w:ind w:left="26"/>
            </w:pPr>
            <w:r>
              <w:t>》</w:t>
            </w:r>
          </w:p>
        </w:tc>
        <w:tc>
          <w:tcPr>
            <w:tcW w:w="230" w:type="dxa"/>
            <w:vAlign w:val="top"/>
          </w:tcPr>
          <w:p w14:paraId="7B70CA0F">
            <w:pPr>
              <w:rPr>
                <w:rFonts w:ascii="Arial"/>
                <w:sz w:val="21"/>
              </w:rPr>
            </w:pPr>
          </w:p>
        </w:tc>
        <w:tc>
          <w:tcPr>
            <w:tcW w:w="229" w:type="dxa"/>
            <w:vAlign w:val="top"/>
          </w:tcPr>
          <w:p w14:paraId="0DE8A60E">
            <w:pPr>
              <w:rPr>
                <w:rFonts w:ascii="Arial"/>
                <w:sz w:val="21"/>
              </w:rPr>
            </w:pPr>
          </w:p>
        </w:tc>
        <w:tc>
          <w:tcPr>
            <w:tcW w:w="244" w:type="dxa"/>
            <w:vAlign w:val="top"/>
          </w:tcPr>
          <w:p w14:paraId="5140F401">
            <w:pPr>
              <w:rPr>
                <w:rFonts w:ascii="Arial"/>
                <w:sz w:val="21"/>
              </w:rPr>
            </w:pPr>
          </w:p>
        </w:tc>
      </w:tr>
    </w:tbl>
    <w:p w14:paraId="3D411501">
      <w:pPr>
        <w:spacing w:before="138" w:line="221" w:lineRule="auto"/>
        <w:ind w:left="1562"/>
        <w:rPr>
          <w:rFonts w:ascii="黑体" w:hAnsi="黑体" w:eastAsia="黑体" w:cs="黑体"/>
          <w:sz w:val="19"/>
          <w:szCs w:val="19"/>
        </w:rPr>
      </w:pPr>
      <w:r>
        <w:rPr>
          <w:rFonts w:ascii="黑体" w:hAnsi="黑体" w:eastAsia="黑体" w:cs="黑体"/>
          <w:b/>
          <w:bCs/>
          <w:spacing w:val="3"/>
          <w:sz w:val="19"/>
          <w:szCs w:val="19"/>
        </w:rPr>
        <w:t>三、机械零件</w:t>
      </w:r>
    </w:p>
    <w:p w14:paraId="2CB180C3">
      <w:pPr>
        <w:spacing w:line="154" w:lineRule="exact"/>
      </w:pPr>
    </w:p>
    <w:tbl>
      <w:tblPr>
        <w:tblStyle w:val="5"/>
        <w:tblW w:w="4130"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54"/>
        <w:gridCol w:w="2644"/>
        <w:gridCol w:w="229"/>
        <w:gridCol w:w="230"/>
        <w:gridCol w:w="229"/>
        <w:gridCol w:w="244"/>
      </w:tblGrid>
      <w:tr w14:paraId="457DDC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4" w:hRule="atLeast"/>
        </w:trPr>
        <w:tc>
          <w:tcPr>
            <w:tcW w:w="554" w:type="dxa"/>
            <w:vMerge w:val="restart"/>
            <w:tcBorders>
              <w:bottom w:val="nil"/>
            </w:tcBorders>
            <w:vAlign w:val="top"/>
          </w:tcPr>
          <w:p w14:paraId="16A304DA">
            <w:pPr>
              <w:pStyle w:val="6"/>
              <w:spacing w:before="91" w:line="225" w:lineRule="auto"/>
              <w:ind w:left="17" w:firstLine="69"/>
              <w:rPr>
                <w:sz w:val="18"/>
                <w:szCs w:val="18"/>
              </w:rPr>
            </w:pPr>
            <w:r>
              <w:rPr>
                <w:b/>
                <w:bCs/>
                <w:spacing w:val="-9"/>
                <w:sz w:val="18"/>
                <w:szCs w:val="18"/>
              </w:rPr>
              <w:t>知识</w:t>
            </w:r>
            <w:r>
              <w:rPr>
                <w:sz w:val="18"/>
                <w:szCs w:val="18"/>
              </w:rPr>
              <w:t xml:space="preserve">  </w:t>
            </w:r>
            <w:r>
              <w:rPr>
                <w:b/>
                <w:bCs/>
                <w:spacing w:val="-7"/>
                <w:sz w:val="18"/>
                <w:szCs w:val="18"/>
              </w:rPr>
              <w:t>与技能</w:t>
            </w:r>
            <w:r>
              <w:rPr>
                <w:sz w:val="18"/>
                <w:szCs w:val="18"/>
              </w:rPr>
              <w:t xml:space="preserve"> </w:t>
            </w:r>
            <w:r>
              <w:rPr>
                <w:b/>
                <w:bCs/>
                <w:spacing w:val="28"/>
                <w:sz w:val="18"/>
                <w:szCs w:val="18"/>
              </w:rPr>
              <w:t>要点</w:t>
            </w:r>
          </w:p>
        </w:tc>
        <w:tc>
          <w:tcPr>
            <w:tcW w:w="2644" w:type="dxa"/>
            <w:vMerge w:val="restart"/>
            <w:tcBorders>
              <w:bottom w:val="nil"/>
            </w:tcBorders>
            <w:vAlign w:val="top"/>
          </w:tcPr>
          <w:p w14:paraId="6E1C7E18">
            <w:pPr>
              <w:pStyle w:val="6"/>
              <w:spacing w:before="299" w:line="219" w:lineRule="auto"/>
              <w:ind w:left="993"/>
              <w:rPr>
                <w:sz w:val="18"/>
                <w:szCs w:val="18"/>
              </w:rPr>
            </w:pPr>
            <w:r>
              <w:rPr>
                <w:b/>
                <w:bCs/>
                <w:spacing w:val="5"/>
                <w:sz w:val="18"/>
                <w:szCs w:val="18"/>
              </w:rPr>
              <w:t>考试条目</w:t>
            </w:r>
          </w:p>
        </w:tc>
        <w:tc>
          <w:tcPr>
            <w:tcW w:w="932" w:type="dxa"/>
            <w:gridSpan w:val="4"/>
            <w:vAlign w:val="top"/>
          </w:tcPr>
          <w:p w14:paraId="31CBDD02">
            <w:pPr>
              <w:pStyle w:val="6"/>
              <w:spacing w:before="109" w:line="219" w:lineRule="auto"/>
              <w:ind w:left="129"/>
              <w:rPr>
                <w:sz w:val="18"/>
                <w:szCs w:val="18"/>
              </w:rPr>
            </w:pPr>
            <w:r>
              <w:rPr>
                <w:b/>
                <w:bCs/>
                <w:spacing w:val="-4"/>
                <w:sz w:val="18"/>
                <w:szCs w:val="18"/>
              </w:rPr>
              <w:t>考试水平</w:t>
            </w:r>
          </w:p>
        </w:tc>
      </w:tr>
      <w:tr w14:paraId="71833A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9" w:hRule="atLeast"/>
        </w:trPr>
        <w:tc>
          <w:tcPr>
            <w:tcW w:w="554" w:type="dxa"/>
            <w:vMerge w:val="continue"/>
            <w:tcBorders>
              <w:top w:val="nil"/>
            </w:tcBorders>
            <w:vAlign w:val="top"/>
          </w:tcPr>
          <w:p w14:paraId="51B7CF96">
            <w:pPr>
              <w:rPr>
                <w:rFonts w:ascii="Arial"/>
                <w:sz w:val="21"/>
              </w:rPr>
            </w:pPr>
          </w:p>
        </w:tc>
        <w:tc>
          <w:tcPr>
            <w:tcW w:w="2644" w:type="dxa"/>
            <w:vMerge w:val="continue"/>
            <w:tcBorders>
              <w:top w:val="nil"/>
            </w:tcBorders>
            <w:vAlign w:val="top"/>
          </w:tcPr>
          <w:p w14:paraId="0D501BFC">
            <w:pPr>
              <w:rPr>
                <w:rFonts w:ascii="Arial"/>
                <w:sz w:val="21"/>
              </w:rPr>
            </w:pPr>
          </w:p>
        </w:tc>
        <w:tc>
          <w:tcPr>
            <w:tcW w:w="229" w:type="dxa"/>
            <w:vAlign w:val="top"/>
          </w:tcPr>
          <w:p w14:paraId="01E10AC6">
            <w:pPr>
              <w:pStyle w:val="6"/>
              <w:spacing w:before="143" w:line="184" w:lineRule="auto"/>
              <w:ind w:left="6"/>
              <w:rPr>
                <w:sz w:val="18"/>
                <w:szCs w:val="18"/>
              </w:rPr>
            </w:pPr>
            <w:r>
              <w:rPr>
                <w:sz w:val="18"/>
                <w:szCs w:val="18"/>
              </w:rPr>
              <w:t>A</w:t>
            </w:r>
          </w:p>
        </w:tc>
        <w:tc>
          <w:tcPr>
            <w:tcW w:w="230" w:type="dxa"/>
            <w:vAlign w:val="top"/>
          </w:tcPr>
          <w:p w14:paraId="39FBFE42">
            <w:pPr>
              <w:pStyle w:val="6"/>
              <w:spacing w:before="145" w:line="182" w:lineRule="auto"/>
              <w:ind w:left="18"/>
              <w:rPr>
                <w:sz w:val="18"/>
                <w:szCs w:val="18"/>
              </w:rPr>
            </w:pPr>
            <w:r>
              <w:rPr>
                <w:sz w:val="18"/>
                <w:szCs w:val="18"/>
              </w:rPr>
              <w:t>B</w:t>
            </w:r>
          </w:p>
        </w:tc>
        <w:tc>
          <w:tcPr>
            <w:tcW w:w="229" w:type="dxa"/>
            <w:vAlign w:val="top"/>
          </w:tcPr>
          <w:p w14:paraId="3E2F4D9A">
            <w:pPr>
              <w:pStyle w:val="6"/>
              <w:spacing w:before="144" w:line="183" w:lineRule="auto"/>
              <w:ind w:left="48"/>
              <w:rPr>
                <w:sz w:val="18"/>
                <w:szCs w:val="18"/>
              </w:rPr>
            </w:pPr>
            <w:r>
              <w:rPr>
                <w:sz w:val="18"/>
                <w:szCs w:val="18"/>
              </w:rPr>
              <w:t>C</w:t>
            </w:r>
          </w:p>
        </w:tc>
        <w:tc>
          <w:tcPr>
            <w:tcW w:w="244" w:type="dxa"/>
            <w:vAlign w:val="top"/>
          </w:tcPr>
          <w:p w14:paraId="2CB00618">
            <w:pPr>
              <w:pStyle w:val="6"/>
              <w:spacing w:before="145" w:line="182" w:lineRule="auto"/>
              <w:ind w:left="18"/>
              <w:rPr>
                <w:sz w:val="18"/>
                <w:szCs w:val="18"/>
              </w:rPr>
            </w:pPr>
            <w:r>
              <w:rPr>
                <w:sz w:val="18"/>
                <w:szCs w:val="18"/>
              </w:rPr>
              <w:t>D</w:t>
            </w:r>
          </w:p>
        </w:tc>
      </w:tr>
      <w:tr w14:paraId="54D688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18" w:hRule="atLeast"/>
        </w:trPr>
        <w:tc>
          <w:tcPr>
            <w:tcW w:w="554" w:type="dxa"/>
            <w:vAlign w:val="top"/>
          </w:tcPr>
          <w:p w14:paraId="613767D2">
            <w:pPr>
              <w:pStyle w:val="6"/>
              <w:spacing w:before="268" w:line="219" w:lineRule="auto"/>
              <w:ind w:left="174"/>
              <w:rPr>
                <w:sz w:val="18"/>
                <w:szCs w:val="18"/>
              </w:rPr>
            </w:pPr>
            <w:r>
              <w:rPr>
                <w:sz w:val="18"/>
                <w:szCs w:val="18"/>
              </w:rPr>
              <w:t>轴</w:t>
            </w:r>
          </w:p>
        </w:tc>
        <w:tc>
          <w:tcPr>
            <w:tcW w:w="2644" w:type="dxa"/>
            <w:vAlign w:val="top"/>
          </w:tcPr>
          <w:p w14:paraId="4D0579CE">
            <w:pPr>
              <w:pStyle w:val="6"/>
              <w:spacing w:before="57" w:line="221" w:lineRule="auto"/>
              <w:ind w:left="71" w:right="201"/>
              <w:rPr>
                <w:sz w:val="18"/>
                <w:szCs w:val="18"/>
              </w:rPr>
            </w:pPr>
            <w:r>
              <w:rPr>
                <w:spacing w:val="1"/>
                <w:sz w:val="18"/>
                <w:szCs w:val="18"/>
              </w:rPr>
              <w:t>1.轴的分类、应用特点及常用</w:t>
            </w:r>
            <w:r>
              <w:rPr>
                <w:spacing w:val="6"/>
                <w:sz w:val="18"/>
                <w:szCs w:val="18"/>
              </w:rPr>
              <w:t xml:space="preserve"> </w:t>
            </w:r>
            <w:r>
              <w:rPr>
                <w:spacing w:val="-2"/>
                <w:sz w:val="18"/>
                <w:szCs w:val="18"/>
              </w:rPr>
              <w:t>材料</w:t>
            </w:r>
          </w:p>
          <w:p w14:paraId="553538F6">
            <w:pPr>
              <w:pStyle w:val="6"/>
              <w:spacing w:line="218" w:lineRule="auto"/>
              <w:ind w:left="71"/>
              <w:rPr>
                <w:sz w:val="18"/>
                <w:szCs w:val="18"/>
              </w:rPr>
            </w:pPr>
            <w:r>
              <w:rPr>
                <w:spacing w:val="1"/>
                <w:sz w:val="18"/>
                <w:szCs w:val="18"/>
              </w:rPr>
              <w:t>2.轴的结构</w:t>
            </w:r>
          </w:p>
        </w:tc>
        <w:tc>
          <w:tcPr>
            <w:tcW w:w="229" w:type="dxa"/>
            <w:vAlign w:val="top"/>
          </w:tcPr>
          <w:p w14:paraId="323CA73D">
            <w:pPr>
              <w:pStyle w:val="6"/>
              <w:spacing w:before="49" w:line="238" w:lineRule="auto"/>
              <w:ind w:left="6"/>
              <w:rPr>
                <w:sz w:val="12"/>
                <w:szCs w:val="12"/>
              </w:rPr>
            </w:pPr>
            <w:r>
              <w:rPr>
                <w:sz w:val="12"/>
                <w:szCs w:val="12"/>
              </w:rPr>
              <w:t>√</w:t>
            </w:r>
          </w:p>
        </w:tc>
        <w:tc>
          <w:tcPr>
            <w:tcW w:w="230" w:type="dxa"/>
            <w:vAlign w:val="top"/>
          </w:tcPr>
          <w:p w14:paraId="2A681A68">
            <w:pPr>
              <w:rPr>
                <w:rFonts w:ascii="Arial"/>
                <w:sz w:val="21"/>
              </w:rPr>
            </w:pPr>
          </w:p>
        </w:tc>
        <w:tc>
          <w:tcPr>
            <w:tcW w:w="229" w:type="dxa"/>
            <w:vAlign w:val="top"/>
          </w:tcPr>
          <w:p w14:paraId="09C3DD10">
            <w:pPr>
              <w:rPr>
                <w:rFonts w:ascii="Arial"/>
                <w:sz w:val="21"/>
              </w:rPr>
            </w:pPr>
          </w:p>
        </w:tc>
        <w:tc>
          <w:tcPr>
            <w:tcW w:w="244" w:type="dxa"/>
            <w:vAlign w:val="top"/>
          </w:tcPr>
          <w:p w14:paraId="39D2352F">
            <w:pPr>
              <w:rPr>
                <w:rFonts w:ascii="Arial"/>
                <w:sz w:val="21"/>
              </w:rPr>
            </w:pPr>
          </w:p>
        </w:tc>
      </w:tr>
      <w:tr w14:paraId="427829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38" w:hRule="atLeast"/>
        </w:trPr>
        <w:tc>
          <w:tcPr>
            <w:tcW w:w="554" w:type="dxa"/>
            <w:vAlign w:val="top"/>
          </w:tcPr>
          <w:p w14:paraId="2F93E9A0">
            <w:pPr>
              <w:spacing w:line="319" w:lineRule="auto"/>
              <w:rPr>
                <w:rFonts w:ascii="Arial"/>
                <w:sz w:val="21"/>
              </w:rPr>
            </w:pPr>
          </w:p>
          <w:p w14:paraId="5A5D110C">
            <w:pPr>
              <w:pStyle w:val="6"/>
              <w:spacing w:before="59" w:line="219" w:lineRule="auto"/>
              <w:ind w:left="84"/>
              <w:rPr>
                <w:sz w:val="18"/>
                <w:szCs w:val="18"/>
              </w:rPr>
            </w:pPr>
            <w:r>
              <w:rPr>
                <w:spacing w:val="-2"/>
                <w:sz w:val="18"/>
                <w:szCs w:val="18"/>
              </w:rPr>
              <w:t>轴承</w:t>
            </w:r>
          </w:p>
        </w:tc>
        <w:tc>
          <w:tcPr>
            <w:tcW w:w="2644" w:type="dxa"/>
            <w:vAlign w:val="top"/>
          </w:tcPr>
          <w:p w14:paraId="662E6C36">
            <w:pPr>
              <w:pStyle w:val="6"/>
              <w:spacing w:before="71" w:line="220" w:lineRule="auto"/>
              <w:ind w:left="71" w:right="211"/>
              <w:rPr>
                <w:sz w:val="18"/>
                <w:szCs w:val="18"/>
              </w:rPr>
            </w:pPr>
            <w:r>
              <w:rPr>
                <w:sz w:val="18"/>
                <w:szCs w:val="18"/>
              </w:rPr>
              <w:t>1.滑动轴承的特点、主要结构</w:t>
            </w:r>
            <w:r>
              <w:rPr>
                <w:spacing w:val="10"/>
                <w:sz w:val="18"/>
                <w:szCs w:val="18"/>
              </w:rPr>
              <w:t xml:space="preserve"> </w:t>
            </w:r>
            <w:r>
              <w:rPr>
                <w:spacing w:val="7"/>
                <w:sz w:val="18"/>
                <w:szCs w:val="18"/>
              </w:rPr>
              <w:t>和应用</w:t>
            </w:r>
          </w:p>
          <w:p w14:paraId="0D9C3D9D">
            <w:pPr>
              <w:pStyle w:val="6"/>
              <w:spacing w:line="219" w:lineRule="auto"/>
              <w:ind w:left="71" w:right="232"/>
              <w:rPr>
                <w:sz w:val="18"/>
                <w:szCs w:val="18"/>
              </w:rPr>
            </w:pPr>
            <w:r>
              <w:rPr>
                <w:spacing w:val="-1"/>
                <w:sz w:val="18"/>
                <w:szCs w:val="18"/>
              </w:rPr>
              <w:t>2.滚动轴承的类型、特点、代</w:t>
            </w:r>
            <w:r>
              <w:rPr>
                <w:spacing w:val="3"/>
                <w:sz w:val="18"/>
                <w:szCs w:val="18"/>
              </w:rPr>
              <w:t xml:space="preserve"> </w:t>
            </w:r>
            <w:r>
              <w:rPr>
                <w:spacing w:val="5"/>
                <w:sz w:val="18"/>
                <w:szCs w:val="18"/>
              </w:rPr>
              <w:t>号和应用</w:t>
            </w:r>
          </w:p>
        </w:tc>
        <w:tc>
          <w:tcPr>
            <w:tcW w:w="229" w:type="dxa"/>
            <w:vAlign w:val="top"/>
          </w:tcPr>
          <w:p w14:paraId="7957BBED">
            <w:pPr>
              <w:rPr>
                <w:rFonts w:ascii="Arial"/>
                <w:sz w:val="21"/>
              </w:rPr>
            </w:pPr>
          </w:p>
        </w:tc>
        <w:tc>
          <w:tcPr>
            <w:tcW w:w="230" w:type="dxa"/>
            <w:vAlign w:val="top"/>
          </w:tcPr>
          <w:p w14:paraId="27E45209">
            <w:pPr>
              <w:rPr>
                <w:rFonts w:ascii="Arial"/>
                <w:sz w:val="21"/>
              </w:rPr>
            </w:pPr>
          </w:p>
        </w:tc>
        <w:tc>
          <w:tcPr>
            <w:tcW w:w="229" w:type="dxa"/>
            <w:vAlign w:val="top"/>
          </w:tcPr>
          <w:p w14:paraId="5DD86B51">
            <w:pPr>
              <w:rPr>
                <w:rFonts w:ascii="Arial"/>
                <w:sz w:val="21"/>
              </w:rPr>
            </w:pPr>
          </w:p>
        </w:tc>
        <w:tc>
          <w:tcPr>
            <w:tcW w:w="244" w:type="dxa"/>
            <w:vAlign w:val="top"/>
          </w:tcPr>
          <w:p w14:paraId="46574B23">
            <w:pPr>
              <w:rPr>
                <w:rFonts w:ascii="Arial"/>
                <w:sz w:val="21"/>
              </w:rPr>
            </w:pPr>
          </w:p>
        </w:tc>
      </w:tr>
      <w:tr w14:paraId="4FB707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51" w:hRule="atLeast"/>
        </w:trPr>
        <w:tc>
          <w:tcPr>
            <w:tcW w:w="554" w:type="dxa"/>
            <w:vAlign w:val="top"/>
          </w:tcPr>
          <w:p w14:paraId="7D967660">
            <w:pPr>
              <w:spacing w:line="291" w:lineRule="auto"/>
              <w:rPr>
                <w:rFonts w:ascii="Arial"/>
                <w:sz w:val="21"/>
              </w:rPr>
            </w:pPr>
          </w:p>
          <w:p w14:paraId="2FC4D182">
            <w:pPr>
              <w:spacing w:line="291" w:lineRule="auto"/>
              <w:rPr>
                <w:rFonts w:ascii="Arial"/>
                <w:sz w:val="21"/>
              </w:rPr>
            </w:pPr>
          </w:p>
          <w:p w14:paraId="3DF9554F">
            <w:pPr>
              <w:pStyle w:val="6"/>
              <w:spacing w:before="58" w:line="221" w:lineRule="auto"/>
              <w:ind w:left="84"/>
              <w:rPr>
                <w:sz w:val="18"/>
                <w:szCs w:val="18"/>
              </w:rPr>
            </w:pPr>
            <w:r>
              <w:rPr>
                <w:spacing w:val="-2"/>
                <w:sz w:val="18"/>
                <w:szCs w:val="18"/>
              </w:rPr>
              <w:t>连接</w:t>
            </w:r>
          </w:p>
        </w:tc>
        <w:tc>
          <w:tcPr>
            <w:tcW w:w="2644" w:type="dxa"/>
            <w:vAlign w:val="top"/>
          </w:tcPr>
          <w:p w14:paraId="293FD432">
            <w:pPr>
              <w:pStyle w:val="6"/>
              <w:spacing w:before="103" w:line="225" w:lineRule="auto"/>
              <w:ind w:left="71" w:right="206"/>
              <w:rPr>
                <w:sz w:val="18"/>
                <w:szCs w:val="18"/>
              </w:rPr>
            </w:pPr>
            <w:r>
              <w:rPr>
                <w:spacing w:val="1"/>
                <w:sz w:val="18"/>
                <w:szCs w:val="18"/>
              </w:rPr>
              <w:t xml:space="preserve">1.键连接的功用、类型、特点 </w:t>
            </w:r>
            <w:r>
              <w:rPr>
                <w:spacing w:val="7"/>
                <w:sz w:val="18"/>
                <w:szCs w:val="18"/>
              </w:rPr>
              <w:t>和应用</w:t>
            </w:r>
          </w:p>
          <w:p w14:paraId="5EA566D9">
            <w:pPr>
              <w:pStyle w:val="6"/>
              <w:spacing w:before="1" w:line="225" w:lineRule="auto"/>
              <w:ind w:left="71" w:right="201"/>
              <w:rPr>
                <w:sz w:val="18"/>
                <w:szCs w:val="18"/>
              </w:rPr>
            </w:pPr>
            <w:r>
              <w:rPr>
                <w:spacing w:val="1"/>
                <w:sz w:val="18"/>
                <w:szCs w:val="18"/>
              </w:rPr>
              <w:t>2.螺纹连接的基本类型、应用</w:t>
            </w:r>
            <w:r>
              <w:rPr>
                <w:spacing w:val="6"/>
                <w:sz w:val="18"/>
                <w:szCs w:val="18"/>
              </w:rPr>
              <w:t xml:space="preserve"> </w:t>
            </w:r>
            <w:r>
              <w:rPr>
                <w:spacing w:val="-2"/>
                <w:sz w:val="18"/>
                <w:szCs w:val="18"/>
              </w:rPr>
              <w:t>和防松方法</w:t>
            </w:r>
          </w:p>
          <w:p w14:paraId="14E0070D">
            <w:pPr>
              <w:pStyle w:val="6"/>
              <w:spacing w:before="1" w:line="227" w:lineRule="auto"/>
              <w:ind w:left="71"/>
              <w:rPr>
                <w:sz w:val="18"/>
                <w:szCs w:val="18"/>
              </w:rPr>
            </w:pPr>
            <w:r>
              <w:rPr>
                <w:spacing w:val="2"/>
                <w:sz w:val="18"/>
                <w:szCs w:val="18"/>
              </w:rPr>
              <w:t>3.常用联轴器和离合器的功用、</w:t>
            </w:r>
            <w:r>
              <w:rPr>
                <w:spacing w:val="11"/>
                <w:sz w:val="18"/>
                <w:szCs w:val="18"/>
              </w:rPr>
              <w:t xml:space="preserve"> </w:t>
            </w:r>
            <w:r>
              <w:rPr>
                <w:spacing w:val="-1"/>
                <w:sz w:val="18"/>
                <w:szCs w:val="18"/>
              </w:rPr>
              <w:t>类型、特点及应用</w:t>
            </w:r>
          </w:p>
        </w:tc>
        <w:tc>
          <w:tcPr>
            <w:tcW w:w="229" w:type="dxa"/>
            <w:vAlign w:val="top"/>
          </w:tcPr>
          <w:p w14:paraId="71950F70">
            <w:pPr>
              <w:rPr>
                <w:rFonts w:ascii="Arial"/>
                <w:sz w:val="21"/>
              </w:rPr>
            </w:pPr>
          </w:p>
        </w:tc>
        <w:tc>
          <w:tcPr>
            <w:tcW w:w="230" w:type="dxa"/>
            <w:vAlign w:val="top"/>
          </w:tcPr>
          <w:p w14:paraId="0F166EEF">
            <w:pPr>
              <w:rPr>
                <w:rFonts w:ascii="Arial"/>
                <w:sz w:val="21"/>
              </w:rPr>
            </w:pPr>
          </w:p>
        </w:tc>
        <w:tc>
          <w:tcPr>
            <w:tcW w:w="229" w:type="dxa"/>
            <w:vAlign w:val="top"/>
          </w:tcPr>
          <w:p w14:paraId="28D903B0">
            <w:pPr>
              <w:rPr>
                <w:rFonts w:ascii="Arial"/>
                <w:sz w:val="21"/>
              </w:rPr>
            </w:pPr>
          </w:p>
        </w:tc>
        <w:tc>
          <w:tcPr>
            <w:tcW w:w="244" w:type="dxa"/>
            <w:vAlign w:val="top"/>
          </w:tcPr>
          <w:p w14:paraId="37F2ECFB">
            <w:pPr>
              <w:rPr>
                <w:rFonts w:ascii="Arial"/>
                <w:sz w:val="21"/>
              </w:rPr>
            </w:pPr>
          </w:p>
        </w:tc>
      </w:tr>
    </w:tbl>
    <w:p w14:paraId="469A28AC">
      <w:pPr>
        <w:spacing w:before="130" w:line="222" w:lineRule="auto"/>
        <w:ind w:left="1562"/>
        <w:rPr>
          <w:rFonts w:ascii="黑体" w:hAnsi="黑体" w:eastAsia="黑体" w:cs="黑体"/>
          <w:sz w:val="19"/>
          <w:szCs w:val="19"/>
        </w:rPr>
      </w:pPr>
      <w:r>
        <w:rPr>
          <w:rFonts w:ascii="黑体" w:hAnsi="黑体" w:eastAsia="黑体" w:cs="黑体"/>
          <w:b/>
          <w:bCs/>
          <w:spacing w:val="3"/>
          <w:sz w:val="19"/>
          <w:szCs w:val="19"/>
        </w:rPr>
        <w:t>四、常用机构</w:t>
      </w:r>
    </w:p>
    <w:p w14:paraId="67E64CAC">
      <w:pPr>
        <w:spacing w:line="171" w:lineRule="exact"/>
      </w:pPr>
    </w:p>
    <w:tbl>
      <w:tblPr>
        <w:tblStyle w:val="5"/>
        <w:tblW w:w="4130"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54"/>
        <w:gridCol w:w="2644"/>
        <w:gridCol w:w="229"/>
        <w:gridCol w:w="230"/>
        <w:gridCol w:w="229"/>
        <w:gridCol w:w="244"/>
      </w:tblGrid>
      <w:tr w14:paraId="155B87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9" w:hRule="atLeast"/>
        </w:trPr>
        <w:tc>
          <w:tcPr>
            <w:tcW w:w="554" w:type="dxa"/>
            <w:vMerge w:val="restart"/>
            <w:tcBorders>
              <w:top w:val="single" w:color="000000" w:sz="2" w:space="0"/>
              <w:bottom w:val="nil"/>
            </w:tcBorders>
            <w:vAlign w:val="top"/>
          </w:tcPr>
          <w:p w14:paraId="476C9E22">
            <w:pPr>
              <w:pStyle w:val="6"/>
              <w:spacing w:before="85" w:line="225" w:lineRule="auto"/>
              <w:ind w:left="17" w:firstLine="69"/>
              <w:rPr>
                <w:sz w:val="18"/>
                <w:szCs w:val="18"/>
              </w:rPr>
            </w:pPr>
            <w:r>
              <w:rPr>
                <w:b/>
                <w:bCs/>
                <w:spacing w:val="-9"/>
                <w:sz w:val="18"/>
                <w:szCs w:val="18"/>
              </w:rPr>
              <w:t>知识</w:t>
            </w:r>
            <w:r>
              <w:rPr>
                <w:sz w:val="18"/>
                <w:szCs w:val="18"/>
              </w:rPr>
              <w:t xml:space="preserve">  </w:t>
            </w:r>
            <w:r>
              <w:rPr>
                <w:b/>
                <w:bCs/>
                <w:spacing w:val="-7"/>
                <w:sz w:val="18"/>
                <w:szCs w:val="18"/>
              </w:rPr>
              <w:t>与技能</w:t>
            </w:r>
            <w:r>
              <w:rPr>
                <w:sz w:val="18"/>
                <w:szCs w:val="18"/>
              </w:rPr>
              <w:t xml:space="preserve"> </w:t>
            </w:r>
            <w:r>
              <w:rPr>
                <w:b/>
                <w:bCs/>
                <w:spacing w:val="28"/>
                <w:sz w:val="18"/>
                <w:szCs w:val="18"/>
              </w:rPr>
              <w:t>要点</w:t>
            </w:r>
          </w:p>
        </w:tc>
        <w:tc>
          <w:tcPr>
            <w:tcW w:w="2644" w:type="dxa"/>
            <w:vMerge w:val="restart"/>
            <w:tcBorders>
              <w:top w:val="single" w:color="000000" w:sz="2" w:space="0"/>
              <w:bottom w:val="nil"/>
            </w:tcBorders>
            <w:vAlign w:val="top"/>
          </w:tcPr>
          <w:p w14:paraId="49C00AD9">
            <w:pPr>
              <w:spacing w:line="244" w:lineRule="auto"/>
              <w:rPr>
                <w:rFonts w:ascii="Arial"/>
                <w:sz w:val="21"/>
              </w:rPr>
            </w:pPr>
          </w:p>
          <w:p w14:paraId="2B708365">
            <w:pPr>
              <w:pStyle w:val="6"/>
              <w:spacing w:before="59" w:line="219" w:lineRule="auto"/>
              <w:ind w:left="993"/>
              <w:rPr>
                <w:sz w:val="18"/>
                <w:szCs w:val="18"/>
              </w:rPr>
            </w:pPr>
            <w:r>
              <w:rPr>
                <w:b/>
                <w:bCs/>
                <w:spacing w:val="5"/>
                <w:sz w:val="18"/>
                <w:szCs w:val="18"/>
              </w:rPr>
              <w:t>考试条目</w:t>
            </w:r>
          </w:p>
        </w:tc>
        <w:tc>
          <w:tcPr>
            <w:tcW w:w="932" w:type="dxa"/>
            <w:gridSpan w:val="4"/>
            <w:tcBorders>
              <w:top w:val="single" w:color="000000" w:sz="2" w:space="0"/>
              <w:bottom w:val="single" w:color="000000" w:sz="2" w:space="0"/>
            </w:tcBorders>
            <w:vAlign w:val="top"/>
          </w:tcPr>
          <w:p w14:paraId="52AB6CD9">
            <w:pPr>
              <w:pStyle w:val="6"/>
              <w:spacing w:before="114" w:line="219" w:lineRule="auto"/>
              <w:ind w:left="129"/>
              <w:rPr>
                <w:sz w:val="18"/>
                <w:szCs w:val="18"/>
              </w:rPr>
            </w:pPr>
            <w:r>
              <w:rPr>
                <w:b/>
                <w:bCs/>
                <w:spacing w:val="-4"/>
                <w:sz w:val="18"/>
                <w:szCs w:val="18"/>
              </w:rPr>
              <w:t>考试水平</w:t>
            </w:r>
          </w:p>
        </w:tc>
      </w:tr>
      <w:tr w14:paraId="6D2709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4" w:hRule="atLeast"/>
        </w:trPr>
        <w:tc>
          <w:tcPr>
            <w:tcW w:w="554" w:type="dxa"/>
            <w:vMerge w:val="continue"/>
            <w:tcBorders>
              <w:top w:val="nil"/>
              <w:bottom w:val="single" w:color="000000" w:sz="2" w:space="0"/>
            </w:tcBorders>
            <w:vAlign w:val="top"/>
          </w:tcPr>
          <w:p w14:paraId="4D922C93">
            <w:pPr>
              <w:rPr>
                <w:rFonts w:ascii="Arial"/>
                <w:sz w:val="21"/>
              </w:rPr>
            </w:pPr>
          </w:p>
        </w:tc>
        <w:tc>
          <w:tcPr>
            <w:tcW w:w="2644" w:type="dxa"/>
            <w:vMerge w:val="continue"/>
            <w:tcBorders>
              <w:top w:val="nil"/>
              <w:bottom w:val="single" w:color="000000" w:sz="2" w:space="0"/>
            </w:tcBorders>
            <w:vAlign w:val="top"/>
          </w:tcPr>
          <w:p w14:paraId="705D69DC">
            <w:pPr>
              <w:rPr>
                <w:rFonts w:ascii="Arial"/>
                <w:sz w:val="21"/>
              </w:rPr>
            </w:pPr>
          </w:p>
        </w:tc>
        <w:tc>
          <w:tcPr>
            <w:tcW w:w="229" w:type="dxa"/>
            <w:tcBorders>
              <w:top w:val="single" w:color="000000" w:sz="2" w:space="0"/>
              <w:bottom w:val="single" w:color="000000" w:sz="2" w:space="0"/>
            </w:tcBorders>
            <w:vAlign w:val="top"/>
          </w:tcPr>
          <w:p w14:paraId="1B1A7105">
            <w:pPr>
              <w:pStyle w:val="6"/>
              <w:spacing w:before="148" w:line="184" w:lineRule="auto"/>
              <w:ind w:left="16"/>
              <w:rPr>
                <w:sz w:val="18"/>
                <w:szCs w:val="18"/>
              </w:rPr>
            </w:pPr>
            <w:r>
              <w:rPr>
                <w:sz w:val="18"/>
                <w:szCs w:val="18"/>
              </w:rPr>
              <w:t>A</w:t>
            </w:r>
          </w:p>
        </w:tc>
        <w:tc>
          <w:tcPr>
            <w:tcW w:w="230" w:type="dxa"/>
            <w:tcBorders>
              <w:top w:val="single" w:color="000000" w:sz="2" w:space="0"/>
              <w:bottom w:val="single" w:color="000000" w:sz="2" w:space="0"/>
            </w:tcBorders>
            <w:vAlign w:val="top"/>
          </w:tcPr>
          <w:p w14:paraId="3C165855">
            <w:pPr>
              <w:pStyle w:val="6"/>
              <w:spacing w:before="150" w:line="182" w:lineRule="auto"/>
              <w:ind w:left="18"/>
              <w:rPr>
                <w:sz w:val="18"/>
                <w:szCs w:val="18"/>
              </w:rPr>
            </w:pPr>
            <w:r>
              <w:rPr>
                <w:sz w:val="18"/>
                <w:szCs w:val="18"/>
              </w:rPr>
              <w:t>B</w:t>
            </w:r>
          </w:p>
        </w:tc>
        <w:tc>
          <w:tcPr>
            <w:tcW w:w="229" w:type="dxa"/>
            <w:tcBorders>
              <w:top w:val="single" w:color="000000" w:sz="2" w:space="0"/>
              <w:bottom w:val="single" w:color="000000" w:sz="2" w:space="0"/>
            </w:tcBorders>
            <w:vAlign w:val="top"/>
          </w:tcPr>
          <w:p w14:paraId="7E7190BB">
            <w:pPr>
              <w:pStyle w:val="6"/>
              <w:spacing w:before="149" w:line="183" w:lineRule="auto"/>
              <w:ind w:left="58"/>
              <w:rPr>
                <w:sz w:val="18"/>
                <w:szCs w:val="18"/>
              </w:rPr>
            </w:pPr>
            <w:r>
              <w:rPr>
                <w:sz w:val="18"/>
                <w:szCs w:val="18"/>
              </w:rPr>
              <w:t>C</w:t>
            </w:r>
          </w:p>
        </w:tc>
        <w:tc>
          <w:tcPr>
            <w:tcW w:w="244" w:type="dxa"/>
            <w:tcBorders>
              <w:top w:val="single" w:color="000000" w:sz="2" w:space="0"/>
              <w:bottom w:val="single" w:color="000000" w:sz="2" w:space="0"/>
            </w:tcBorders>
            <w:vAlign w:val="top"/>
          </w:tcPr>
          <w:p w14:paraId="67EFF193">
            <w:pPr>
              <w:pStyle w:val="6"/>
              <w:spacing w:before="150" w:line="182" w:lineRule="auto"/>
              <w:ind w:left="18"/>
              <w:rPr>
                <w:sz w:val="18"/>
                <w:szCs w:val="18"/>
              </w:rPr>
            </w:pPr>
            <w:r>
              <w:rPr>
                <w:sz w:val="18"/>
                <w:szCs w:val="18"/>
              </w:rPr>
              <w:t>D</w:t>
            </w:r>
          </w:p>
        </w:tc>
      </w:tr>
      <w:tr w14:paraId="2B15D1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554" w:type="dxa"/>
            <w:tcBorders>
              <w:top w:val="single" w:color="000000" w:sz="2" w:space="0"/>
              <w:bottom w:val="nil"/>
            </w:tcBorders>
            <w:vAlign w:val="top"/>
          </w:tcPr>
          <w:p w14:paraId="7E21B8B8">
            <w:pPr>
              <w:pStyle w:val="6"/>
              <w:spacing w:before="113" w:line="201" w:lineRule="auto"/>
              <w:ind w:left="84"/>
              <w:rPr>
                <w:sz w:val="18"/>
                <w:szCs w:val="18"/>
              </w:rPr>
            </w:pPr>
            <w:r>
              <w:rPr>
                <w:spacing w:val="-2"/>
                <w:sz w:val="18"/>
                <w:szCs w:val="18"/>
              </w:rPr>
              <w:t>机械</w:t>
            </w:r>
          </w:p>
        </w:tc>
        <w:tc>
          <w:tcPr>
            <w:tcW w:w="2644" w:type="dxa"/>
            <w:tcBorders>
              <w:top w:val="single" w:color="000000" w:sz="2" w:space="0"/>
              <w:bottom w:val="nil"/>
            </w:tcBorders>
            <w:vAlign w:val="top"/>
          </w:tcPr>
          <w:p w14:paraId="572577CA">
            <w:pPr>
              <w:pStyle w:val="6"/>
              <w:spacing w:before="123" w:line="190" w:lineRule="auto"/>
              <w:ind w:left="71"/>
              <w:rPr>
                <w:sz w:val="18"/>
                <w:szCs w:val="18"/>
              </w:rPr>
            </w:pPr>
            <w:r>
              <w:rPr>
                <w:spacing w:val="1"/>
                <w:sz w:val="18"/>
                <w:szCs w:val="18"/>
              </w:rPr>
              <w:t>1.机器与机构</w:t>
            </w:r>
          </w:p>
        </w:tc>
        <w:tc>
          <w:tcPr>
            <w:tcW w:w="229" w:type="dxa"/>
            <w:tcBorders>
              <w:top w:val="single" w:color="000000" w:sz="2" w:space="0"/>
              <w:bottom w:val="nil"/>
            </w:tcBorders>
            <w:vAlign w:val="top"/>
          </w:tcPr>
          <w:p w14:paraId="72755128">
            <w:pPr>
              <w:rPr>
                <w:rFonts w:ascii="Arial"/>
                <w:sz w:val="21"/>
              </w:rPr>
            </w:pPr>
          </w:p>
        </w:tc>
        <w:tc>
          <w:tcPr>
            <w:tcW w:w="230" w:type="dxa"/>
            <w:tcBorders>
              <w:top w:val="single" w:color="000000" w:sz="2" w:space="0"/>
              <w:bottom w:val="nil"/>
            </w:tcBorders>
            <w:vAlign w:val="top"/>
          </w:tcPr>
          <w:p w14:paraId="24A1D8C9">
            <w:pPr>
              <w:rPr>
                <w:rFonts w:ascii="Arial"/>
                <w:sz w:val="21"/>
              </w:rPr>
            </w:pPr>
          </w:p>
        </w:tc>
        <w:tc>
          <w:tcPr>
            <w:tcW w:w="229" w:type="dxa"/>
            <w:tcBorders>
              <w:top w:val="single" w:color="000000" w:sz="2" w:space="0"/>
              <w:bottom w:val="nil"/>
            </w:tcBorders>
            <w:vAlign w:val="top"/>
          </w:tcPr>
          <w:p w14:paraId="18B5C781">
            <w:pPr>
              <w:rPr>
                <w:rFonts w:ascii="Arial"/>
                <w:sz w:val="21"/>
              </w:rPr>
            </w:pPr>
          </w:p>
        </w:tc>
        <w:tc>
          <w:tcPr>
            <w:tcW w:w="244" w:type="dxa"/>
            <w:tcBorders>
              <w:top w:val="single" w:color="000000" w:sz="2" w:space="0"/>
              <w:bottom w:val="nil"/>
            </w:tcBorders>
            <w:vAlign w:val="top"/>
          </w:tcPr>
          <w:p w14:paraId="0E82026F">
            <w:pPr>
              <w:rPr>
                <w:rFonts w:ascii="Arial"/>
                <w:sz w:val="21"/>
              </w:rPr>
            </w:pPr>
          </w:p>
        </w:tc>
      </w:tr>
      <w:tr w14:paraId="2CC6CD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0" w:hRule="atLeast"/>
        </w:trPr>
        <w:tc>
          <w:tcPr>
            <w:tcW w:w="554" w:type="dxa"/>
            <w:tcBorders>
              <w:top w:val="nil"/>
              <w:bottom w:val="nil"/>
            </w:tcBorders>
            <w:vAlign w:val="top"/>
          </w:tcPr>
          <w:p w14:paraId="169B883D">
            <w:pPr>
              <w:pStyle w:val="6"/>
              <w:spacing w:before="26" w:line="178" w:lineRule="auto"/>
              <w:ind w:left="84"/>
              <w:rPr>
                <w:sz w:val="18"/>
                <w:szCs w:val="18"/>
              </w:rPr>
            </w:pPr>
            <w:r>
              <w:rPr>
                <w:spacing w:val="5"/>
                <w:sz w:val="18"/>
                <w:szCs w:val="18"/>
              </w:rPr>
              <w:t>知识</w:t>
            </w:r>
          </w:p>
        </w:tc>
        <w:tc>
          <w:tcPr>
            <w:tcW w:w="2644" w:type="dxa"/>
            <w:tcBorders>
              <w:top w:val="nil"/>
              <w:bottom w:val="nil"/>
            </w:tcBorders>
            <w:vAlign w:val="top"/>
          </w:tcPr>
          <w:p w14:paraId="3898DDB9">
            <w:pPr>
              <w:pStyle w:val="6"/>
              <w:spacing w:before="24" w:line="180" w:lineRule="auto"/>
              <w:ind w:left="71"/>
              <w:rPr>
                <w:sz w:val="18"/>
                <w:szCs w:val="18"/>
              </w:rPr>
            </w:pPr>
            <w:r>
              <w:rPr>
                <w:spacing w:val="-2"/>
                <w:sz w:val="18"/>
                <w:szCs w:val="18"/>
              </w:rPr>
              <w:t>2.机器的组成</w:t>
            </w:r>
          </w:p>
        </w:tc>
        <w:tc>
          <w:tcPr>
            <w:tcW w:w="229" w:type="dxa"/>
            <w:tcBorders>
              <w:top w:val="nil"/>
              <w:bottom w:val="nil"/>
            </w:tcBorders>
            <w:vAlign w:val="top"/>
          </w:tcPr>
          <w:p w14:paraId="4F3727A4">
            <w:pPr>
              <w:spacing w:line="200" w:lineRule="exact"/>
              <w:rPr>
                <w:rFonts w:ascii="Arial"/>
                <w:sz w:val="17"/>
              </w:rPr>
            </w:pPr>
          </w:p>
        </w:tc>
        <w:tc>
          <w:tcPr>
            <w:tcW w:w="230" w:type="dxa"/>
            <w:tcBorders>
              <w:top w:val="nil"/>
              <w:bottom w:val="nil"/>
            </w:tcBorders>
            <w:vAlign w:val="top"/>
          </w:tcPr>
          <w:p w14:paraId="51C187C1">
            <w:pPr>
              <w:spacing w:line="200" w:lineRule="exact"/>
              <w:rPr>
                <w:rFonts w:ascii="Arial"/>
                <w:sz w:val="17"/>
              </w:rPr>
            </w:pPr>
          </w:p>
        </w:tc>
        <w:tc>
          <w:tcPr>
            <w:tcW w:w="229" w:type="dxa"/>
            <w:tcBorders>
              <w:top w:val="nil"/>
              <w:bottom w:val="nil"/>
            </w:tcBorders>
            <w:vAlign w:val="top"/>
          </w:tcPr>
          <w:p w14:paraId="0BAB80CA">
            <w:pPr>
              <w:spacing w:line="200" w:lineRule="exact"/>
              <w:rPr>
                <w:rFonts w:ascii="Arial"/>
                <w:sz w:val="17"/>
              </w:rPr>
            </w:pPr>
          </w:p>
        </w:tc>
        <w:tc>
          <w:tcPr>
            <w:tcW w:w="244" w:type="dxa"/>
            <w:tcBorders>
              <w:top w:val="nil"/>
              <w:bottom w:val="nil"/>
            </w:tcBorders>
            <w:vAlign w:val="top"/>
          </w:tcPr>
          <w:p w14:paraId="4EC79882">
            <w:pPr>
              <w:spacing w:line="200" w:lineRule="exact"/>
              <w:rPr>
                <w:rFonts w:ascii="Arial"/>
                <w:sz w:val="17"/>
              </w:rPr>
            </w:pPr>
          </w:p>
        </w:tc>
      </w:tr>
      <w:tr w14:paraId="732DE3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4" w:hRule="atLeast"/>
        </w:trPr>
        <w:tc>
          <w:tcPr>
            <w:tcW w:w="554" w:type="dxa"/>
            <w:tcBorders>
              <w:top w:val="nil"/>
              <w:bottom w:val="single" w:color="000000" w:sz="2" w:space="0"/>
            </w:tcBorders>
            <w:vAlign w:val="top"/>
          </w:tcPr>
          <w:p w14:paraId="45D6CAB4">
            <w:pPr>
              <w:pStyle w:val="6"/>
              <w:spacing w:before="14" w:line="219" w:lineRule="auto"/>
              <w:ind w:left="84"/>
              <w:rPr>
                <w:sz w:val="18"/>
                <w:szCs w:val="18"/>
              </w:rPr>
            </w:pPr>
            <w:r>
              <w:rPr>
                <w:spacing w:val="-2"/>
                <w:sz w:val="18"/>
                <w:szCs w:val="18"/>
              </w:rPr>
              <w:t>概述</w:t>
            </w:r>
          </w:p>
        </w:tc>
        <w:tc>
          <w:tcPr>
            <w:tcW w:w="2644" w:type="dxa"/>
            <w:tcBorders>
              <w:top w:val="nil"/>
              <w:bottom w:val="single" w:color="000000" w:sz="2" w:space="0"/>
            </w:tcBorders>
            <w:vAlign w:val="top"/>
          </w:tcPr>
          <w:p w14:paraId="708A38CA">
            <w:pPr>
              <w:pStyle w:val="6"/>
              <w:spacing w:before="14" w:line="219" w:lineRule="auto"/>
              <w:ind w:left="71"/>
              <w:rPr>
                <w:sz w:val="18"/>
                <w:szCs w:val="18"/>
              </w:rPr>
            </w:pPr>
            <w:r>
              <w:rPr>
                <w:spacing w:val="-1"/>
                <w:sz w:val="18"/>
                <w:szCs w:val="18"/>
              </w:rPr>
              <w:t>3.运动副概念、分类和计算</w:t>
            </w:r>
          </w:p>
        </w:tc>
        <w:tc>
          <w:tcPr>
            <w:tcW w:w="229" w:type="dxa"/>
            <w:tcBorders>
              <w:top w:val="nil"/>
              <w:bottom w:val="single" w:color="000000" w:sz="2" w:space="0"/>
            </w:tcBorders>
            <w:vAlign w:val="top"/>
          </w:tcPr>
          <w:p w14:paraId="26EB357B">
            <w:pPr>
              <w:rPr>
                <w:rFonts w:ascii="Arial"/>
                <w:sz w:val="21"/>
              </w:rPr>
            </w:pPr>
          </w:p>
        </w:tc>
        <w:tc>
          <w:tcPr>
            <w:tcW w:w="230" w:type="dxa"/>
            <w:tcBorders>
              <w:top w:val="nil"/>
              <w:bottom w:val="single" w:color="000000" w:sz="2" w:space="0"/>
            </w:tcBorders>
            <w:vAlign w:val="top"/>
          </w:tcPr>
          <w:p w14:paraId="49F8F609">
            <w:pPr>
              <w:rPr>
                <w:rFonts w:ascii="Arial"/>
                <w:sz w:val="21"/>
              </w:rPr>
            </w:pPr>
          </w:p>
        </w:tc>
        <w:tc>
          <w:tcPr>
            <w:tcW w:w="229" w:type="dxa"/>
            <w:tcBorders>
              <w:top w:val="nil"/>
              <w:bottom w:val="single" w:color="000000" w:sz="2" w:space="0"/>
            </w:tcBorders>
            <w:vAlign w:val="top"/>
          </w:tcPr>
          <w:p w14:paraId="3A4EF101">
            <w:pPr>
              <w:rPr>
                <w:rFonts w:ascii="Arial"/>
                <w:sz w:val="21"/>
              </w:rPr>
            </w:pPr>
          </w:p>
        </w:tc>
        <w:tc>
          <w:tcPr>
            <w:tcW w:w="244" w:type="dxa"/>
            <w:tcBorders>
              <w:top w:val="nil"/>
              <w:bottom w:val="single" w:color="000000" w:sz="2" w:space="0"/>
            </w:tcBorders>
            <w:vAlign w:val="top"/>
          </w:tcPr>
          <w:p w14:paraId="6B397F39">
            <w:pPr>
              <w:rPr>
                <w:rFonts w:ascii="Arial"/>
                <w:sz w:val="21"/>
              </w:rPr>
            </w:pPr>
          </w:p>
        </w:tc>
      </w:tr>
      <w:tr w14:paraId="1DC0B4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27" w:hRule="atLeast"/>
        </w:trPr>
        <w:tc>
          <w:tcPr>
            <w:tcW w:w="554" w:type="dxa"/>
            <w:tcBorders>
              <w:top w:val="single" w:color="000000" w:sz="2" w:space="0"/>
              <w:bottom w:val="single" w:color="000000" w:sz="2" w:space="0"/>
            </w:tcBorders>
            <w:vAlign w:val="top"/>
          </w:tcPr>
          <w:p w14:paraId="0F1403D4">
            <w:pPr>
              <w:spacing w:line="357" w:lineRule="auto"/>
              <w:rPr>
                <w:rFonts w:ascii="Arial"/>
                <w:sz w:val="21"/>
              </w:rPr>
            </w:pPr>
          </w:p>
          <w:p w14:paraId="00FFCD6B">
            <w:pPr>
              <w:pStyle w:val="6"/>
              <w:spacing w:before="59" w:line="222" w:lineRule="auto"/>
              <w:ind w:left="84" w:right="105"/>
              <w:jc w:val="both"/>
              <w:rPr>
                <w:sz w:val="18"/>
                <w:szCs w:val="18"/>
              </w:rPr>
            </w:pPr>
            <w:r>
              <w:rPr>
                <w:spacing w:val="-4"/>
                <w:sz w:val="18"/>
                <w:szCs w:val="18"/>
              </w:rPr>
              <w:t>平面</w:t>
            </w:r>
            <w:r>
              <w:rPr>
                <w:sz w:val="18"/>
                <w:szCs w:val="18"/>
              </w:rPr>
              <w:t xml:space="preserve"> </w:t>
            </w:r>
            <w:r>
              <w:rPr>
                <w:spacing w:val="-4"/>
                <w:sz w:val="18"/>
                <w:szCs w:val="18"/>
              </w:rPr>
              <w:t>连杆</w:t>
            </w:r>
            <w:r>
              <w:rPr>
                <w:sz w:val="18"/>
                <w:szCs w:val="18"/>
              </w:rPr>
              <w:t xml:space="preserve"> </w:t>
            </w:r>
            <w:r>
              <w:rPr>
                <w:spacing w:val="-4"/>
                <w:sz w:val="18"/>
                <w:szCs w:val="18"/>
              </w:rPr>
              <w:t>机构</w:t>
            </w:r>
          </w:p>
        </w:tc>
        <w:tc>
          <w:tcPr>
            <w:tcW w:w="2644" w:type="dxa"/>
            <w:tcBorders>
              <w:top w:val="single" w:color="000000" w:sz="2" w:space="0"/>
              <w:bottom w:val="single" w:color="000000" w:sz="2" w:space="0"/>
            </w:tcBorders>
            <w:vAlign w:val="top"/>
          </w:tcPr>
          <w:p w14:paraId="70F1F3C3">
            <w:pPr>
              <w:pStyle w:val="6"/>
              <w:spacing w:before="205" w:line="222" w:lineRule="auto"/>
              <w:ind w:left="71" w:right="232"/>
              <w:rPr>
                <w:sz w:val="18"/>
                <w:szCs w:val="18"/>
              </w:rPr>
            </w:pPr>
            <w:r>
              <w:rPr>
                <w:sz w:val="18"/>
                <w:szCs w:val="18"/>
              </w:rPr>
              <w:t>1.平面连杆机构简图的识读</w:t>
            </w:r>
            <w:r>
              <w:rPr>
                <w:spacing w:val="2"/>
                <w:sz w:val="18"/>
                <w:szCs w:val="18"/>
              </w:rPr>
              <w:t xml:space="preserve">   </w:t>
            </w:r>
            <w:r>
              <w:rPr>
                <w:spacing w:val="-1"/>
                <w:sz w:val="18"/>
                <w:szCs w:val="18"/>
              </w:rPr>
              <w:t>2.铰链四杆机构的组成、基本</w:t>
            </w:r>
            <w:r>
              <w:rPr>
                <w:spacing w:val="3"/>
                <w:sz w:val="18"/>
                <w:szCs w:val="18"/>
              </w:rPr>
              <w:t xml:space="preserve"> </w:t>
            </w:r>
            <w:r>
              <w:rPr>
                <w:spacing w:val="2"/>
                <w:sz w:val="18"/>
                <w:szCs w:val="18"/>
              </w:rPr>
              <w:t>形式、特点和应用</w:t>
            </w:r>
          </w:p>
          <w:p w14:paraId="78AA0228">
            <w:pPr>
              <w:pStyle w:val="6"/>
              <w:spacing w:line="227" w:lineRule="auto"/>
              <w:ind w:left="71" w:right="31"/>
              <w:rPr>
                <w:sz w:val="18"/>
                <w:szCs w:val="18"/>
              </w:rPr>
            </w:pPr>
            <w:r>
              <w:rPr>
                <w:sz w:val="18"/>
                <w:szCs w:val="18"/>
              </w:rPr>
              <w:t>3.铰链四杆机构基本类型的判定</w:t>
            </w:r>
            <w:r>
              <w:rPr>
                <w:spacing w:val="10"/>
                <w:sz w:val="18"/>
                <w:szCs w:val="18"/>
              </w:rPr>
              <w:t xml:space="preserve"> </w:t>
            </w:r>
            <w:r>
              <w:rPr>
                <w:spacing w:val="-1"/>
                <w:sz w:val="18"/>
                <w:szCs w:val="18"/>
              </w:rPr>
              <w:t>4.铰链四杆机构的运动特性</w:t>
            </w:r>
          </w:p>
        </w:tc>
        <w:tc>
          <w:tcPr>
            <w:tcW w:w="229" w:type="dxa"/>
            <w:tcBorders>
              <w:top w:val="single" w:color="000000" w:sz="2" w:space="0"/>
              <w:bottom w:val="single" w:color="000000" w:sz="2" w:space="0"/>
            </w:tcBorders>
            <w:vAlign w:val="top"/>
          </w:tcPr>
          <w:p w14:paraId="36A2B3C8">
            <w:pPr>
              <w:rPr>
                <w:rFonts w:ascii="Arial"/>
                <w:sz w:val="21"/>
              </w:rPr>
            </w:pPr>
          </w:p>
        </w:tc>
        <w:tc>
          <w:tcPr>
            <w:tcW w:w="230" w:type="dxa"/>
            <w:tcBorders>
              <w:top w:val="single" w:color="000000" w:sz="2" w:space="0"/>
              <w:bottom w:val="single" w:color="000000" w:sz="2" w:space="0"/>
            </w:tcBorders>
            <w:vAlign w:val="top"/>
          </w:tcPr>
          <w:p w14:paraId="6C1F8162">
            <w:pPr>
              <w:rPr>
                <w:rFonts w:ascii="Arial"/>
                <w:sz w:val="21"/>
              </w:rPr>
            </w:pPr>
          </w:p>
        </w:tc>
        <w:tc>
          <w:tcPr>
            <w:tcW w:w="229" w:type="dxa"/>
            <w:tcBorders>
              <w:top w:val="single" w:color="000000" w:sz="2" w:space="0"/>
              <w:bottom w:val="single" w:color="000000" w:sz="2" w:space="0"/>
            </w:tcBorders>
            <w:vAlign w:val="top"/>
          </w:tcPr>
          <w:p w14:paraId="7C66061A">
            <w:pPr>
              <w:rPr>
                <w:rFonts w:ascii="Arial"/>
                <w:sz w:val="21"/>
              </w:rPr>
            </w:pPr>
          </w:p>
        </w:tc>
        <w:tc>
          <w:tcPr>
            <w:tcW w:w="244" w:type="dxa"/>
            <w:tcBorders>
              <w:top w:val="single" w:color="000000" w:sz="2" w:space="0"/>
              <w:bottom w:val="single" w:color="000000" w:sz="2" w:space="0"/>
            </w:tcBorders>
            <w:vAlign w:val="top"/>
          </w:tcPr>
          <w:p w14:paraId="753217AC">
            <w:pPr>
              <w:rPr>
                <w:rFonts w:ascii="Arial"/>
                <w:sz w:val="21"/>
              </w:rPr>
            </w:pPr>
          </w:p>
        </w:tc>
      </w:tr>
    </w:tbl>
    <w:p w14:paraId="37ECC47C">
      <w:pPr>
        <w:pStyle w:val="2"/>
        <w:spacing w:line="14" w:lineRule="auto"/>
        <w:rPr>
          <w:sz w:val="2"/>
        </w:rPr>
      </w:pPr>
    </w:p>
    <w:p w14:paraId="72242A56">
      <w:pPr>
        <w:pStyle w:val="2"/>
        <w:spacing w:line="14" w:lineRule="auto"/>
        <w:rPr>
          <w:sz w:val="2"/>
        </w:rPr>
      </w:pPr>
      <w:r>
        <w:rPr>
          <w:sz w:val="2"/>
          <w:szCs w:val="2"/>
        </w:rPr>
        <w:br w:type="column"/>
      </w:r>
    </w:p>
    <w:p w14:paraId="112E3EAE">
      <w:pPr>
        <w:spacing w:line="96" w:lineRule="auto"/>
        <w:rPr>
          <w:rFonts w:ascii="Arial"/>
          <w:sz w:val="2"/>
        </w:rPr>
      </w:pPr>
    </w:p>
    <w:tbl>
      <w:tblPr>
        <w:tblStyle w:val="5"/>
        <w:tblW w:w="4119" w:type="dxa"/>
        <w:tblInd w:w="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54"/>
        <w:gridCol w:w="2634"/>
        <w:gridCol w:w="229"/>
        <w:gridCol w:w="229"/>
        <w:gridCol w:w="239"/>
        <w:gridCol w:w="234"/>
      </w:tblGrid>
      <w:tr w14:paraId="10787C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4" w:hRule="atLeast"/>
        </w:trPr>
        <w:tc>
          <w:tcPr>
            <w:tcW w:w="554" w:type="dxa"/>
            <w:vMerge w:val="restart"/>
            <w:tcBorders>
              <w:bottom w:val="nil"/>
            </w:tcBorders>
            <w:vAlign w:val="top"/>
          </w:tcPr>
          <w:p w14:paraId="0B113E70">
            <w:pPr>
              <w:pStyle w:val="6"/>
              <w:spacing w:before="91" w:line="225" w:lineRule="auto"/>
              <w:ind w:left="17" w:firstLine="69"/>
              <w:rPr>
                <w:sz w:val="18"/>
                <w:szCs w:val="18"/>
              </w:rPr>
            </w:pPr>
            <w:r>
              <w:rPr>
                <w:b/>
                <w:bCs/>
                <w:spacing w:val="-9"/>
                <w:sz w:val="18"/>
                <w:szCs w:val="18"/>
              </w:rPr>
              <w:t>知识</w:t>
            </w:r>
            <w:r>
              <w:rPr>
                <w:sz w:val="18"/>
                <w:szCs w:val="18"/>
              </w:rPr>
              <w:t xml:space="preserve">  </w:t>
            </w:r>
            <w:r>
              <w:rPr>
                <w:b/>
                <w:bCs/>
                <w:spacing w:val="-7"/>
                <w:sz w:val="18"/>
                <w:szCs w:val="18"/>
              </w:rPr>
              <w:t>与技能</w:t>
            </w:r>
            <w:r>
              <w:rPr>
                <w:sz w:val="18"/>
                <w:szCs w:val="18"/>
              </w:rPr>
              <w:t xml:space="preserve"> </w:t>
            </w:r>
            <w:r>
              <w:rPr>
                <w:b/>
                <w:bCs/>
                <w:spacing w:val="28"/>
                <w:sz w:val="18"/>
                <w:szCs w:val="18"/>
              </w:rPr>
              <w:t>要点</w:t>
            </w:r>
          </w:p>
        </w:tc>
        <w:tc>
          <w:tcPr>
            <w:tcW w:w="2634" w:type="dxa"/>
            <w:vMerge w:val="restart"/>
            <w:tcBorders>
              <w:bottom w:val="nil"/>
            </w:tcBorders>
            <w:vAlign w:val="top"/>
          </w:tcPr>
          <w:p w14:paraId="38BCBFCA">
            <w:pPr>
              <w:pStyle w:val="6"/>
              <w:spacing w:before="299" w:line="219" w:lineRule="auto"/>
              <w:ind w:left="993"/>
              <w:rPr>
                <w:sz w:val="18"/>
                <w:szCs w:val="18"/>
              </w:rPr>
            </w:pPr>
            <w:r>
              <w:rPr>
                <w:b/>
                <w:bCs/>
                <w:spacing w:val="5"/>
                <w:sz w:val="18"/>
                <w:szCs w:val="18"/>
              </w:rPr>
              <w:t>考试条目</w:t>
            </w:r>
          </w:p>
        </w:tc>
        <w:tc>
          <w:tcPr>
            <w:tcW w:w="931" w:type="dxa"/>
            <w:gridSpan w:val="4"/>
            <w:vAlign w:val="top"/>
          </w:tcPr>
          <w:p w14:paraId="7A2EB4E2">
            <w:pPr>
              <w:pStyle w:val="6"/>
              <w:spacing w:before="110" w:line="219" w:lineRule="auto"/>
              <w:ind w:left="129"/>
              <w:rPr>
                <w:sz w:val="18"/>
                <w:szCs w:val="18"/>
              </w:rPr>
            </w:pPr>
            <w:r>
              <w:rPr>
                <w:b/>
                <w:bCs/>
                <w:spacing w:val="-4"/>
                <w:sz w:val="18"/>
                <w:szCs w:val="18"/>
              </w:rPr>
              <w:t>考试水平</w:t>
            </w:r>
          </w:p>
        </w:tc>
      </w:tr>
      <w:tr w14:paraId="04BD10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8" w:hRule="atLeast"/>
        </w:trPr>
        <w:tc>
          <w:tcPr>
            <w:tcW w:w="554" w:type="dxa"/>
            <w:vMerge w:val="continue"/>
            <w:tcBorders>
              <w:top w:val="nil"/>
            </w:tcBorders>
            <w:vAlign w:val="top"/>
          </w:tcPr>
          <w:p w14:paraId="5F49B678">
            <w:pPr>
              <w:rPr>
                <w:rFonts w:ascii="Arial"/>
                <w:sz w:val="21"/>
              </w:rPr>
            </w:pPr>
          </w:p>
        </w:tc>
        <w:tc>
          <w:tcPr>
            <w:tcW w:w="2634" w:type="dxa"/>
            <w:vMerge w:val="continue"/>
            <w:tcBorders>
              <w:top w:val="nil"/>
            </w:tcBorders>
            <w:vAlign w:val="top"/>
          </w:tcPr>
          <w:p w14:paraId="44C8009D">
            <w:pPr>
              <w:rPr>
                <w:rFonts w:ascii="Arial"/>
                <w:sz w:val="21"/>
              </w:rPr>
            </w:pPr>
          </w:p>
        </w:tc>
        <w:tc>
          <w:tcPr>
            <w:tcW w:w="229" w:type="dxa"/>
            <w:vAlign w:val="top"/>
          </w:tcPr>
          <w:p w14:paraId="40C7DE43">
            <w:pPr>
              <w:pStyle w:val="6"/>
              <w:spacing w:before="143" w:line="184" w:lineRule="auto"/>
              <w:ind w:left="26"/>
              <w:rPr>
                <w:sz w:val="18"/>
                <w:szCs w:val="18"/>
              </w:rPr>
            </w:pPr>
            <w:r>
              <w:rPr>
                <w:sz w:val="18"/>
                <w:szCs w:val="18"/>
              </w:rPr>
              <w:t>A</w:t>
            </w:r>
          </w:p>
        </w:tc>
        <w:tc>
          <w:tcPr>
            <w:tcW w:w="229" w:type="dxa"/>
            <w:vAlign w:val="top"/>
          </w:tcPr>
          <w:p w14:paraId="01AB22D9">
            <w:pPr>
              <w:pStyle w:val="6"/>
              <w:spacing w:before="145" w:line="182" w:lineRule="auto"/>
              <w:ind w:left="38"/>
              <w:rPr>
                <w:sz w:val="18"/>
                <w:szCs w:val="18"/>
              </w:rPr>
            </w:pPr>
            <w:r>
              <w:rPr>
                <w:sz w:val="18"/>
                <w:szCs w:val="18"/>
              </w:rPr>
              <w:t>B</w:t>
            </w:r>
          </w:p>
        </w:tc>
        <w:tc>
          <w:tcPr>
            <w:tcW w:w="239" w:type="dxa"/>
            <w:vAlign w:val="top"/>
          </w:tcPr>
          <w:p w14:paraId="1304B866">
            <w:pPr>
              <w:pStyle w:val="6"/>
              <w:spacing w:before="144" w:line="183" w:lineRule="auto"/>
              <w:ind w:left="59"/>
              <w:rPr>
                <w:sz w:val="18"/>
                <w:szCs w:val="18"/>
              </w:rPr>
            </w:pPr>
            <w:r>
              <w:rPr>
                <w:sz w:val="18"/>
                <w:szCs w:val="18"/>
              </w:rPr>
              <w:t>C</w:t>
            </w:r>
          </w:p>
        </w:tc>
        <w:tc>
          <w:tcPr>
            <w:tcW w:w="234" w:type="dxa"/>
            <w:vAlign w:val="top"/>
          </w:tcPr>
          <w:p w14:paraId="45D523B5">
            <w:pPr>
              <w:pStyle w:val="6"/>
              <w:spacing w:before="145" w:line="182" w:lineRule="auto"/>
              <w:ind w:left="19"/>
              <w:rPr>
                <w:sz w:val="18"/>
                <w:szCs w:val="18"/>
              </w:rPr>
            </w:pPr>
            <w:r>
              <w:rPr>
                <w:sz w:val="18"/>
                <w:szCs w:val="18"/>
              </w:rPr>
              <w:t>D</w:t>
            </w:r>
          </w:p>
        </w:tc>
      </w:tr>
      <w:tr w14:paraId="59A27C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46" w:hRule="atLeast"/>
        </w:trPr>
        <w:tc>
          <w:tcPr>
            <w:tcW w:w="554" w:type="dxa"/>
            <w:vAlign w:val="top"/>
          </w:tcPr>
          <w:p w14:paraId="78170C28">
            <w:pPr>
              <w:spacing w:line="281" w:lineRule="auto"/>
              <w:rPr>
                <w:rFonts w:ascii="Arial"/>
                <w:sz w:val="21"/>
              </w:rPr>
            </w:pPr>
          </w:p>
          <w:p w14:paraId="7541977D">
            <w:pPr>
              <w:pStyle w:val="6"/>
              <w:spacing w:before="58" w:line="216" w:lineRule="auto"/>
              <w:ind w:left="84" w:right="91"/>
              <w:rPr>
                <w:sz w:val="18"/>
                <w:szCs w:val="18"/>
              </w:rPr>
            </w:pPr>
            <w:r>
              <w:rPr>
                <w:spacing w:val="3"/>
                <w:sz w:val="18"/>
                <w:szCs w:val="18"/>
              </w:rPr>
              <w:t>凸轮</w:t>
            </w:r>
            <w:r>
              <w:rPr>
                <w:sz w:val="18"/>
                <w:szCs w:val="18"/>
              </w:rPr>
              <w:t xml:space="preserve"> </w:t>
            </w:r>
            <w:r>
              <w:rPr>
                <w:spacing w:val="-2"/>
                <w:sz w:val="18"/>
                <w:szCs w:val="18"/>
              </w:rPr>
              <w:t>机构</w:t>
            </w:r>
          </w:p>
        </w:tc>
        <w:tc>
          <w:tcPr>
            <w:tcW w:w="2634" w:type="dxa"/>
            <w:vAlign w:val="top"/>
          </w:tcPr>
          <w:p w14:paraId="5DB22322">
            <w:pPr>
              <w:pStyle w:val="6"/>
              <w:spacing w:before="229" w:line="222" w:lineRule="auto"/>
              <w:ind w:left="50" w:right="25" w:firstLine="20"/>
              <w:rPr>
                <w:sz w:val="18"/>
                <w:szCs w:val="18"/>
              </w:rPr>
            </w:pPr>
            <w:r>
              <w:rPr>
                <w:sz w:val="18"/>
                <w:szCs w:val="18"/>
              </w:rPr>
              <w:t>1.凸轮机构的组成、特点及分类</w:t>
            </w:r>
            <w:r>
              <w:rPr>
                <w:spacing w:val="6"/>
                <w:sz w:val="18"/>
                <w:szCs w:val="18"/>
              </w:rPr>
              <w:t xml:space="preserve"> </w:t>
            </w:r>
            <w:r>
              <w:rPr>
                <w:spacing w:val="2"/>
                <w:sz w:val="18"/>
                <w:szCs w:val="18"/>
              </w:rPr>
              <w:t>2.凸轮机构的应用</w:t>
            </w:r>
          </w:p>
          <w:p w14:paraId="379FBAB8">
            <w:pPr>
              <w:pStyle w:val="6"/>
              <w:spacing w:before="6" w:line="219" w:lineRule="auto"/>
              <w:ind w:left="50"/>
              <w:rPr>
                <w:sz w:val="18"/>
                <w:szCs w:val="18"/>
              </w:rPr>
            </w:pPr>
            <w:r>
              <w:rPr>
                <w:spacing w:val="-1"/>
                <w:sz w:val="18"/>
                <w:szCs w:val="18"/>
              </w:rPr>
              <w:t>3.凸轮机构的有关参数</w:t>
            </w:r>
          </w:p>
        </w:tc>
        <w:tc>
          <w:tcPr>
            <w:tcW w:w="229" w:type="dxa"/>
            <w:vAlign w:val="top"/>
          </w:tcPr>
          <w:p w14:paraId="2FFE01BF">
            <w:pPr>
              <w:rPr>
                <w:rFonts w:ascii="Arial"/>
                <w:sz w:val="21"/>
              </w:rPr>
            </w:pPr>
          </w:p>
        </w:tc>
        <w:tc>
          <w:tcPr>
            <w:tcW w:w="229" w:type="dxa"/>
            <w:vAlign w:val="top"/>
          </w:tcPr>
          <w:p w14:paraId="23E8AA1A">
            <w:pPr>
              <w:spacing w:line="475" w:lineRule="auto"/>
              <w:rPr>
                <w:rFonts w:ascii="Arial"/>
                <w:sz w:val="21"/>
              </w:rPr>
            </w:pPr>
          </w:p>
          <w:p w14:paraId="5AC098B0">
            <w:pPr>
              <w:spacing w:line="307" w:lineRule="exact"/>
              <w:ind w:firstLine="57"/>
            </w:pPr>
            <w:r>
              <w:rPr>
                <w:position w:val="-6"/>
              </w:rPr>
              <w:drawing>
                <wp:inline distT="0" distB="0" distL="0" distR="0">
                  <wp:extent cx="75565" cy="194945"/>
                  <wp:effectExtent l="0" t="0" r="0" b="0"/>
                  <wp:docPr id="92" name="IM 92"/>
                  <wp:cNvGraphicFramePr/>
                  <a:graphic xmlns:a="http://schemas.openxmlformats.org/drawingml/2006/main">
                    <a:graphicData uri="http://schemas.openxmlformats.org/drawingml/2006/picture">
                      <pic:pic xmlns:pic="http://schemas.openxmlformats.org/drawingml/2006/picture">
                        <pic:nvPicPr>
                          <pic:cNvPr id="92" name="IM 92"/>
                          <pic:cNvPicPr/>
                        </pic:nvPicPr>
                        <pic:blipFill>
                          <a:blip r:embed="rId211"/>
                          <a:stretch>
                            <a:fillRect/>
                          </a:stretch>
                        </pic:blipFill>
                        <pic:spPr>
                          <a:xfrm>
                            <a:off x="0" y="0"/>
                            <a:ext cx="76181" cy="195071"/>
                          </a:xfrm>
                          <a:prstGeom prst="rect">
                            <a:avLst/>
                          </a:prstGeom>
                        </pic:spPr>
                      </pic:pic>
                    </a:graphicData>
                  </a:graphic>
                </wp:inline>
              </w:drawing>
            </w:r>
          </w:p>
        </w:tc>
        <w:tc>
          <w:tcPr>
            <w:tcW w:w="239" w:type="dxa"/>
            <w:vAlign w:val="top"/>
          </w:tcPr>
          <w:p w14:paraId="06A96810">
            <w:pPr>
              <w:rPr>
                <w:rFonts w:ascii="Arial"/>
                <w:sz w:val="21"/>
              </w:rPr>
            </w:pPr>
          </w:p>
        </w:tc>
        <w:tc>
          <w:tcPr>
            <w:tcW w:w="234" w:type="dxa"/>
            <w:vAlign w:val="top"/>
          </w:tcPr>
          <w:p w14:paraId="7C2AF1AF">
            <w:pPr>
              <w:rPr>
                <w:rFonts w:ascii="Arial"/>
                <w:sz w:val="21"/>
              </w:rPr>
            </w:pPr>
          </w:p>
        </w:tc>
      </w:tr>
      <w:tr w14:paraId="0F78F7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32" w:hRule="atLeast"/>
        </w:trPr>
        <w:tc>
          <w:tcPr>
            <w:tcW w:w="554" w:type="dxa"/>
            <w:vAlign w:val="top"/>
          </w:tcPr>
          <w:p w14:paraId="66ED3F10">
            <w:pPr>
              <w:pStyle w:val="6"/>
              <w:spacing w:before="174" w:line="223" w:lineRule="auto"/>
              <w:ind w:left="84" w:right="91"/>
              <w:jc w:val="both"/>
              <w:rPr>
                <w:sz w:val="18"/>
                <w:szCs w:val="18"/>
              </w:rPr>
            </w:pPr>
            <w:r>
              <w:rPr>
                <w:spacing w:val="3"/>
                <w:sz w:val="18"/>
                <w:szCs w:val="18"/>
              </w:rPr>
              <w:t>间歇</w:t>
            </w:r>
            <w:r>
              <w:rPr>
                <w:sz w:val="18"/>
                <w:szCs w:val="18"/>
              </w:rPr>
              <w:t xml:space="preserve"> </w:t>
            </w:r>
            <w:r>
              <w:rPr>
                <w:spacing w:val="-4"/>
                <w:sz w:val="18"/>
                <w:szCs w:val="18"/>
              </w:rPr>
              <w:t>运动</w:t>
            </w:r>
            <w:r>
              <w:rPr>
                <w:sz w:val="18"/>
                <w:szCs w:val="18"/>
              </w:rPr>
              <w:t xml:space="preserve"> </w:t>
            </w:r>
            <w:r>
              <w:rPr>
                <w:spacing w:val="-2"/>
                <w:sz w:val="18"/>
                <w:szCs w:val="18"/>
              </w:rPr>
              <w:t>机构</w:t>
            </w:r>
          </w:p>
        </w:tc>
        <w:tc>
          <w:tcPr>
            <w:tcW w:w="2634" w:type="dxa"/>
            <w:vAlign w:val="top"/>
          </w:tcPr>
          <w:p w14:paraId="33CCFD58">
            <w:pPr>
              <w:pStyle w:val="6"/>
              <w:spacing w:before="63" w:line="226" w:lineRule="auto"/>
              <w:ind w:left="50"/>
              <w:rPr>
                <w:sz w:val="18"/>
                <w:szCs w:val="18"/>
              </w:rPr>
            </w:pPr>
            <w:r>
              <w:rPr>
                <w:spacing w:val="3"/>
                <w:sz w:val="18"/>
                <w:szCs w:val="18"/>
              </w:rPr>
              <w:t>1.棘轮机构的组成、常见类型、</w:t>
            </w:r>
            <w:r>
              <w:rPr>
                <w:spacing w:val="7"/>
                <w:sz w:val="18"/>
                <w:szCs w:val="18"/>
              </w:rPr>
              <w:t xml:space="preserve"> </w:t>
            </w:r>
            <w:r>
              <w:rPr>
                <w:spacing w:val="1"/>
                <w:sz w:val="18"/>
                <w:szCs w:val="18"/>
              </w:rPr>
              <w:t>特点和应用</w:t>
            </w:r>
          </w:p>
          <w:p w14:paraId="6D417467">
            <w:pPr>
              <w:pStyle w:val="6"/>
              <w:spacing w:line="214" w:lineRule="auto"/>
              <w:ind w:left="50"/>
              <w:rPr>
                <w:sz w:val="18"/>
                <w:szCs w:val="18"/>
              </w:rPr>
            </w:pPr>
            <w:r>
              <w:rPr>
                <w:spacing w:val="3"/>
                <w:sz w:val="18"/>
                <w:szCs w:val="18"/>
              </w:rPr>
              <w:t>2.槽轮机构的组成、常见类型、</w:t>
            </w:r>
            <w:r>
              <w:rPr>
                <w:spacing w:val="7"/>
                <w:sz w:val="18"/>
                <w:szCs w:val="18"/>
              </w:rPr>
              <w:t xml:space="preserve"> </w:t>
            </w:r>
            <w:r>
              <w:rPr>
                <w:spacing w:val="1"/>
                <w:sz w:val="18"/>
                <w:szCs w:val="18"/>
              </w:rPr>
              <w:t>特点和应用</w:t>
            </w:r>
          </w:p>
        </w:tc>
        <w:tc>
          <w:tcPr>
            <w:tcW w:w="229" w:type="dxa"/>
            <w:vAlign w:val="top"/>
          </w:tcPr>
          <w:p w14:paraId="1DFADB4F">
            <w:pPr>
              <w:rPr>
                <w:rFonts w:ascii="Arial"/>
                <w:sz w:val="21"/>
              </w:rPr>
            </w:pPr>
          </w:p>
        </w:tc>
        <w:tc>
          <w:tcPr>
            <w:tcW w:w="229" w:type="dxa"/>
            <w:vAlign w:val="top"/>
          </w:tcPr>
          <w:p w14:paraId="4B5C02FA">
            <w:pPr>
              <w:rPr>
                <w:rFonts w:ascii="Arial"/>
                <w:sz w:val="21"/>
              </w:rPr>
            </w:pPr>
          </w:p>
        </w:tc>
        <w:tc>
          <w:tcPr>
            <w:tcW w:w="239" w:type="dxa"/>
            <w:vAlign w:val="top"/>
          </w:tcPr>
          <w:p w14:paraId="1908BFC7">
            <w:pPr>
              <w:rPr>
                <w:rFonts w:ascii="Arial"/>
                <w:sz w:val="21"/>
              </w:rPr>
            </w:pPr>
          </w:p>
        </w:tc>
        <w:tc>
          <w:tcPr>
            <w:tcW w:w="234" w:type="dxa"/>
            <w:vAlign w:val="top"/>
          </w:tcPr>
          <w:p w14:paraId="66E59DCA">
            <w:pPr>
              <w:rPr>
                <w:rFonts w:ascii="Arial"/>
                <w:sz w:val="21"/>
              </w:rPr>
            </w:pPr>
          </w:p>
        </w:tc>
      </w:tr>
    </w:tbl>
    <w:p w14:paraId="4112791E">
      <w:pPr>
        <w:spacing w:before="128" w:line="222" w:lineRule="auto"/>
        <w:ind w:left="1477"/>
        <w:rPr>
          <w:rFonts w:ascii="黑体" w:hAnsi="黑体" w:eastAsia="黑体" w:cs="黑体"/>
          <w:sz w:val="19"/>
          <w:szCs w:val="19"/>
        </w:rPr>
      </w:pPr>
      <w:r>
        <w:rPr>
          <w:rFonts w:ascii="黑体" w:hAnsi="黑体" w:eastAsia="黑体" w:cs="黑体"/>
          <w:b/>
          <w:bCs/>
          <w:spacing w:val="2"/>
          <w:sz w:val="19"/>
          <w:szCs w:val="19"/>
        </w:rPr>
        <w:t>五、机械传动</w:t>
      </w:r>
    </w:p>
    <w:p w14:paraId="16D17755">
      <w:pPr>
        <w:spacing w:line="152" w:lineRule="exact"/>
      </w:pPr>
    </w:p>
    <w:tbl>
      <w:tblPr>
        <w:tblStyle w:val="5"/>
        <w:tblW w:w="410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64"/>
        <w:gridCol w:w="2634"/>
        <w:gridCol w:w="219"/>
        <w:gridCol w:w="219"/>
        <w:gridCol w:w="249"/>
        <w:gridCol w:w="224"/>
      </w:tblGrid>
      <w:tr w14:paraId="281C6E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0" w:hRule="atLeast"/>
        </w:trPr>
        <w:tc>
          <w:tcPr>
            <w:tcW w:w="564" w:type="dxa"/>
            <w:vMerge w:val="restart"/>
            <w:tcBorders>
              <w:top w:val="single" w:color="000000" w:sz="2" w:space="0"/>
              <w:bottom w:val="nil"/>
            </w:tcBorders>
            <w:vAlign w:val="top"/>
          </w:tcPr>
          <w:p w14:paraId="0639B57B">
            <w:pPr>
              <w:pStyle w:val="6"/>
              <w:spacing w:before="108" w:line="214" w:lineRule="auto"/>
              <w:ind w:left="17" w:right="7" w:firstLine="79"/>
              <w:rPr>
                <w:sz w:val="18"/>
                <w:szCs w:val="18"/>
              </w:rPr>
            </w:pPr>
            <w:r>
              <w:rPr>
                <w:b/>
                <w:bCs/>
                <w:spacing w:val="-8"/>
                <w:sz w:val="18"/>
                <w:szCs w:val="18"/>
              </w:rPr>
              <w:t>知识</w:t>
            </w:r>
            <w:r>
              <w:rPr>
                <w:sz w:val="18"/>
                <w:szCs w:val="18"/>
              </w:rPr>
              <w:t xml:space="preserve">  </w:t>
            </w:r>
            <w:r>
              <w:rPr>
                <w:b/>
                <w:bCs/>
                <w:spacing w:val="-6"/>
                <w:sz w:val="18"/>
                <w:szCs w:val="18"/>
              </w:rPr>
              <w:t>与技能</w:t>
            </w:r>
            <w:r>
              <w:rPr>
                <w:sz w:val="18"/>
                <w:szCs w:val="18"/>
              </w:rPr>
              <w:t xml:space="preserve"> </w:t>
            </w:r>
            <w:r>
              <w:rPr>
                <w:b/>
                <w:bCs/>
                <w:spacing w:val="34"/>
                <w:sz w:val="18"/>
                <w:szCs w:val="18"/>
              </w:rPr>
              <w:t>要点</w:t>
            </w:r>
          </w:p>
        </w:tc>
        <w:tc>
          <w:tcPr>
            <w:tcW w:w="2634" w:type="dxa"/>
            <w:vMerge w:val="restart"/>
            <w:tcBorders>
              <w:top w:val="single" w:color="000000" w:sz="2" w:space="0"/>
              <w:bottom w:val="nil"/>
            </w:tcBorders>
            <w:vAlign w:val="top"/>
          </w:tcPr>
          <w:p w14:paraId="5A44383B">
            <w:pPr>
              <w:spacing w:line="244" w:lineRule="auto"/>
              <w:rPr>
                <w:rFonts w:ascii="Arial"/>
                <w:sz w:val="21"/>
              </w:rPr>
            </w:pPr>
          </w:p>
          <w:p w14:paraId="4753457B">
            <w:pPr>
              <w:pStyle w:val="6"/>
              <w:spacing w:before="59" w:line="219" w:lineRule="auto"/>
              <w:ind w:left="993"/>
              <w:rPr>
                <w:sz w:val="18"/>
                <w:szCs w:val="18"/>
              </w:rPr>
            </w:pPr>
            <w:r>
              <w:rPr>
                <w:b/>
                <w:bCs/>
                <w:spacing w:val="5"/>
                <w:sz w:val="18"/>
                <w:szCs w:val="18"/>
              </w:rPr>
              <w:t>考试条目</w:t>
            </w:r>
          </w:p>
        </w:tc>
        <w:tc>
          <w:tcPr>
            <w:tcW w:w="911" w:type="dxa"/>
            <w:gridSpan w:val="4"/>
            <w:tcBorders>
              <w:top w:val="single" w:color="000000" w:sz="2" w:space="0"/>
              <w:bottom w:val="single" w:color="000000" w:sz="2" w:space="0"/>
            </w:tcBorders>
            <w:vAlign w:val="top"/>
          </w:tcPr>
          <w:p w14:paraId="53081218">
            <w:pPr>
              <w:pStyle w:val="6"/>
              <w:spacing w:before="114" w:line="219" w:lineRule="auto"/>
              <w:ind w:left="119"/>
              <w:rPr>
                <w:sz w:val="18"/>
                <w:szCs w:val="18"/>
              </w:rPr>
            </w:pPr>
            <w:r>
              <w:rPr>
                <w:b/>
                <w:bCs/>
                <w:spacing w:val="-4"/>
                <w:sz w:val="18"/>
                <w:szCs w:val="18"/>
              </w:rPr>
              <w:t>考试水平</w:t>
            </w:r>
          </w:p>
        </w:tc>
      </w:tr>
      <w:tr w14:paraId="3BB57E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4" w:hRule="atLeast"/>
        </w:trPr>
        <w:tc>
          <w:tcPr>
            <w:tcW w:w="564" w:type="dxa"/>
            <w:vMerge w:val="continue"/>
            <w:tcBorders>
              <w:top w:val="nil"/>
              <w:bottom w:val="single" w:color="000000" w:sz="2" w:space="0"/>
            </w:tcBorders>
            <w:vAlign w:val="top"/>
          </w:tcPr>
          <w:p w14:paraId="1F525B10">
            <w:pPr>
              <w:rPr>
                <w:rFonts w:ascii="Arial"/>
                <w:sz w:val="21"/>
              </w:rPr>
            </w:pPr>
          </w:p>
        </w:tc>
        <w:tc>
          <w:tcPr>
            <w:tcW w:w="2634" w:type="dxa"/>
            <w:vMerge w:val="continue"/>
            <w:tcBorders>
              <w:top w:val="nil"/>
              <w:bottom w:val="single" w:color="000000" w:sz="2" w:space="0"/>
            </w:tcBorders>
            <w:vAlign w:val="top"/>
          </w:tcPr>
          <w:p w14:paraId="4C7AAAE2">
            <w:pPr>
              <w:rPr>
                <w:rFonts w:ascii="Arial"/>
                <w:sz w:val="21"/>
              </w:rPr>
            </w:pPr>
          </w:p>
        </w:tc>
        <w:tc>
          <w:tcPr>
            <w:tcW w:w="219" w:type="dxa"/>
            <w:tcBorders>
              <w:top w:val="single" w:color="000000" w:sz="2" w:space="0"/>
              <w:bottom w:val="single" w:color="000000" w:sz="2" w:space="0"/>
            </w:tcBorders>
            <w:vAlign w:val="top"/>
          </w:tcPr>
          <w:p w14:paraId="6E5DFCAD">
            <w:pPr>
              <w:pStyle w:val="6"/>
              <w:spacing w:before="147" w:line="184" w:lineRule="auto"/>
              <w:ind w:left="16"/>
              <w:rPr>
                <w:sz w:val="18"/>
                <w:szCs w:val="18"/>
              </w:rPr>
            </w:pPr>
            <w:r>
              <w:rPr>
                <w:sz w:val="18"/>
                <w:szCs w:val="18"/>
              </w:rPr>
              <w:t>A</w:t>
            </w:r>
          </w:p>
        </w:tc>
        <w:tc>
          <w:tcPr>
            <w:tcW w:w="219" w:type="dxa"/>
            <w:tcBorders>
              <w:top w:val="single" w:color="000000" w:sz="2" w:space="0"/>
              <w:bottom w:val="single" w:color="000000" w:sz="2" w:space="0"/>
            </w:tcBorders>
            <w:vAlign w:val="top"/>
          </w:tcPr>
          <w:p w14:paraId="2E6AAC0B">
            <w:pPr>
              <w:pStyle w:val="6"/>
              <w:spacing w:before="149" w:line="182" w:lineRule="auto"/>
              <w:jc w:val="right"/>
              <w:rPr>
                <w:sz w:val="18"/>
                <w:szCs w:val="18"/>
              </w:rPr>
            </w:pPr>
            <w:r>
              <w:rPr>
                <w:spacing w:val="-4"/>
                <w:w w:val="94"/>
                <w:sz w:val="18"/>
                <w:szCs w:val="18"/>
              </w:rPr>
              <w:t>B</w:t>
            </w:r>
          </w:p>
        </w:tc>
        <w:tc>
          <w:tcPr>
            <w:tcW w:w="249" w:type="dxa"/>
            <w:tcBorders>
              <w:top w:val="single" w:color="000000" w:sz="2" w:space="0"/>
              <w:bottom w:val="single" w:color="000000" w:sz="2" w:space="0"/>
            </w:tcBorders>
            <w:vAlign w:val="top"/>
          </w:tcPr>
          <w:p w14:paraId="388EE59A">
            <w:pPr>
              <w:pStyle w:val="6"/>
              <w:spacing w:before="148" w:line="183" w:lineRule="auto"/>
              <w:ind w:left="79"/>
              <w:rPr>
                <w:sz w:val="18"/>
                <w:szCs w:val="18"/>
              </w:rPr>
            </w:pPr>
            <w:r>
              <w:rPr>
                <w:sz w:val="18"/>
                <w:szCs w:val="18"/>
              </w:rPr>
              <w:t>C</w:t>
            </w:r>
          </w:p>
        </w:tc>
        <w:tc>
          <w:tcPr>
            <w:tcW w:w="224" w:type="dxa"/>
            <w:tcBorders>
              <w:top w:val="single" w:color="000000" w:sz="2" w:space="0"/>
              <w:bottom w:val="single" w:color="000000" w:sz="2" w:space="0"/>
            </w:tcBorders>
            <w:vAlign w:val="top"/>
          </w:tcPr>
          <w:p w14:paraId="06CB3C92">
            <w:pPr>
              <w:pStyle w:val="6"/>
              <w:spacing w:before="149" w:line="182" w:lineRule="auto"/>
              <w:ind w:left="59"/>
              <w:rPr>
                <w:sz w:val="18"/>
                <w:szCs w:val="18"/>
              </w:rPr>
            </w:pPr>
            <w:r>
              <w:rPr>
                <w:sz w:val="18"/>
                <w:szCs w:val="18"/>
              </w:rPr>
              <w:t>D</w:t>
            </w:r>
          </w:p>
        </w:tc>
      </w:tr>
      <w:tr w14:paraId="5390EA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44" w:hRule="atLeast"/>
        </w:trPr>
        <w:tc>
          <w:tcPr>
            <w:tcW w:w="564" w:type="dxa"/>
            <w:tcBorders>
              <w:top w:val="single" w:color="000000" w:sz="2" w:space="0"/>
              <w:bottom w:val="single" w:color="000000" w:sz="2" w:space="0"/>
            </w:tcBorders>
            <w:textDirection w:val="tbRlV"/>
            <w:vAlign w:val="top"/>
          </w:tcPr>
          <w:p w14:paraId="4D8B9112">
            <w:pPr>
              <w:pStyle w:val="6"/>
              <w:spacing w:before="198" w:line="199" w:lineRule="auto"/>
              <w:ind w:left="435"/>
              <w:rPr>
                <w:sz w:val="18"/>
                <w:szCs w:val="18"/>
              </w:rPr>
            </w:pPr>
            <w:r>
              <w:rPr>
                <w:spacing w:val="-1"/>
                <w:sz w:val="18"/>
                <w:szCs w:val="18"/>
              </w:rPr>
              <w:t>带传动</w:t>
            </w:r>
          </w:p>
        </w:tc>
        <w:tc>
          <w:tcPr>
            <w:tcW w:w="2634" w:type="dxa"/>
            <w:tcBorders>
              <w:top w:val="single" w:color="000000" w:sz="2" w:space="0"/>
              <w:bottom w:val="single" w:color="000000" w:sz="2" w:space="0"/>
            </w:tcBorders>
            <w:vAlign w:val="top"/>
          </w:tcPr>
          <w:p w14:paraId="41032A84">
            <w:pPr>
              <w:pStyle w:val="6"/>
              <w:spacing w:before="91" w:line="226" w:lineRule="auto"/>
              <w:ind w:left="50" w:right="142"/>
              <w:rPr>
                <w:sz w:val="18"/>
                <w:szCs w:val="18"/>
              </w:rPr>
            </w:pPr>
            <w:r>
              <w:rPr>
                <w:spacing w:val="6"/>
                <w:sz w:val="18"/>
                <w:szCs w:val="18"/>
              </w:rPr>
              <w:t>1.带传动的工作原理、特点、</w:t>
            </w:r>
            <w:r>
              <w:rPr>
                <w:spacing w:val="5"/>
                <w:sz w:val="18"/>
                <w:szCs w:val="18"/>
              </w:rPr>
              <w:t xml:space="preserve"> </w:t>
            </w:r>
            <w:r>
              <w:rPr>
                <w:spacing w:val="4"/>
                <w:sz w:val="18"/>
                <w:szCs w:val="18"/>
              </w:rPr>
              <w:t>类型和应用</w:t>
            </w:r>
          </w:p>
          <w:p w14:paraId="31497D4D">
            <w:pPr>
              <w:pStyle w:val="6"/>
              <w:spacing w:before="1" w:line="227" w:lineRule="auto"/>
              <w:ind w:left="50" w:right="782"/>
              <w:rPr>
                <w:sz w:val="18"/>
                <w:szCs w:val="18"/>
              </w:rPr>
            </w:pPr>
            <w:r>
              <w:rPr>
                <w:spacing w:val="-1"/>
                <w:sz w:val="18"/>
                <w:szCs w:val="18"/>
              </w:rPr>
              <w:t>2.带传动的传动比计算</w:t>
            </w:r>
            <w:r>
              <w:rPr>
                <w:sz w:val="18"/>
                <w:szCs w:val="18"/>
              </w:rPr>
              <w:t xml:space="preserve"> </w:t>
            </w:r>
            <w:r>
              <w:rPr>
                <w:spacing w:val="-2"/>
                <w:sz w:val="18"/>
                <w:szCs w:val="18"/>
              </w:rPr>
              <w:t>3.V带的结构和标准</w:t>
            </w:r>
          </w:p>
          <w:p w14:paraId="66379728">
            <w:pPr>
              <w:pStyle w:val="6"/>
              <w:spacing w:before="25" w:line="205" w:lineRule="auto"/>
              <w:ind w:left="50"/>
              <w:rPr>
                <w:sz w:val="18"/>
                <w:szCs w:val="18"/>
              </w:rPr>
            </w:pPr>
            <w:r>
              <w:rPr>
                <w:spacing w:val="-1"/>
                <w:sz w:val="18"/>
                <w:szCs w:val="18"/>
              </w:rPr>
              <w:t>4.带轮的材料和结构</w:t>
            </w:r>
          </w:p>
          <w:p w14:paraId="7D9EEA2D">
            <w:pPr>
              <w:pStyle w:val="6"/>
              <w:spacing w:line="218" w:lineRule="auto"/>
              <w:ind w:left="50"/>
              <w:rPr>
                <w:sz w:val="18"/>
                <w:szCs w:val="18"/>
              </w:rPr>
            </w:pPr>
            <w:r>
              <w:rPr>
                <w:sz w:val="18"/>
                <w:szCs w:val="18"/>
              </w:rPr>
              <w:t>5.V带传动的张紧、安装与维护</w:t>
            </w:r>
          </w:p>
        </w:tc>
        <w:tc>
          <w:tcPr>
            <w:tcW w:w="219" w:type="dxa"/>
            <w:tcBorders>
              <w:top w:val="single" w:color="000000" w:sz="2" w:space="0"/>
              <w:bottom w:val="single" w:color="000000" w:sz="2" w:space="0"/>
            </w:tcBorders>
            <w:vAlign w:val="top"/>
          </w:tcPr>
          <w:p w14:paraId="08FF920A">
            <w:pPr>
              <w:rPr>
                <w:rFonts w:ascii="Arial"/>
                <w:sz w:val="21"/>
              </w:rPr>
            </w:pPr>
          </w:p>
        </w:tc>
        <w:tc>
          <w:tcPr>
            <w:tcW w:w="219" w:type="dxa"/>
            <w:tcBorders>
              <w:top w:val="single" w:color="000000" w:sz="2" w:space="0"/>
              <w:bottom w:val="single" w:color="000000" w:sz="2" w:space="0"/>
            </w:tcBorders>
            <w:vAlign w:val="top"/>
          </w:tcPr>
          <w:p w14:paraId="4D250B15">
            <w:pPr>
              <w:pStyle w:val="6"/>
              <w:spacing w:before="122" w:line="238" w:lineRule="auto"/>
              <w:ind w:left="17"/>
              <w:rPr>
                <w:sz w:val="12"/>
                <w:szCs w:val="12"/>
              </w:rPr>
            </w:pPr>
            <w:r>
              <w:rPr>
                <w:sz w:val="12"/>
                <w:szCs w:val="12"/>
              </w:rPr>
              <w:t>√</w:t>
            </w:r>
          </w:p>
        </w:tc>
        <w:tc>
          <w:tcPr>
            <w:tcW w:w="249" w:type="dxa"/>
            <w:tcBorders>
              <w:top w:val="single" w:color="000000" w:sz="2" w:space="0"/>
              <w:bottom w:val="single" w:color="000000" w:sz="2" w:space="0"/>
            </w:tcBorders>
            <w:vAlign w:val="top"/>
          </w:tcPr>
          <w:p w14:paraId="2E18BA86">
            <w:pPr>
              <w:spacing w:line="470" w:lineRule="auto"/>
              <w:rPr>
                <w:rFonts w:ascii="Arial"/>
                <w:sz w:val="21"/>
              </w:rPr>
            </w:pPr>
          </w:p>
          <w:p w14:paraId="60C25392">
            <w:pPr>
              <w:pStyle w:val="6"/>
              <w:spacing w:before="39" w:line="238" w:lineRule="auto"/>
              <w:ind w:left="58"/>
              <w:rPr>
                <w:sz w:val="12"/>
                <w:szCs w:val="12"/>
              </w:rPr>
            </w:pPr>
            <w:r>
              <w:rPr>
                <w:sz w:val="12"/>
                <w:szCs w:val="12"/>
              </w:rPr>
              <w:t>√</w:t>
            </w:r>
          </w:p>
        </w:tc>
        <w:tc>
          <w:tcPr>
            <w:tcW w:w="224" w:type="dxa"/>
            <w:tcBorders>
              <w:top w:val="single" w:color="000000" w:sz="2" w:space="0"/>
              <w:bottom w:val="single" w:color="000000" w:sz="2" w:space="0"/>
            </w:tcBorders>
            <w:vAlign w:val="top"/>
          </w:tcPr>
          <w:p w14:paraId="5C71D172">
            <w:pPr>
              <w:rPr>
                <w:rFonts w:ascii="Arial"/>
                <w:sz w:val="21"/>
              </w:rPr>
            </w:pPr>
          </w:p>
        </w:tc>
      </w:tr>
      <w:tr w14:paraId="4B0F8F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54" w:hRule="atLeast"/>
        </w:trPr>
        <w:tc>
          <w:tcPr>
            <w:tcW w:w="564" w:type="dxa"/>
            <w:tcBorders>
              <w:top w:val="single" w:color="000000" w:sz="2" w:space="0"/>
              <w:bottom w:val="single" w:color="000000" w:sz="2" w:space="0"/>
            </w:tcBorders>
            <w:textDirection w:val="tbRlV"/>
            <w:vAlign w:val="top"/>
          </w:tcPr>
          <w:p w14:paraId="22264F48">
            <w:pPr>
              <w:pStyle w:val="6"/>
              <w:spacing w:before="197" w:line="200" w:lineRule="auto"/>
              <w:ind w:left="47"/>
              <w:rPr>
                <w:sz w:val="18"/>
                <w:szCs w:val="18"/>
              </w:rPr>
            </w:pPr>
            <w:r>
              <w:rPr>
                <w:spacing w:val="-1"/>
                <w:sz w:val="18"/>
                <w:szCs w:val="18"/>
              </w:rPr>
              <w:t>链传动</w:t>
            </w:r>
          </w:p>
        </w:tc>
        <w:tc>
          <w:tcPr>
            <w:tcW w:w="2634" w:type="dxa"/>
            <w:tcBorders>
              <w:top w:val="single" w:color="000000" w:sz="2" w:space="0"/>
              <w:bottom w:val="single" w:color="000000" w:sz="2" w:space="0"/>
            </w:tcBorders>
            <w:vAlign w:val="top"/>
          </w:tcPr>
          <w:p w14:paraId="3334BF77">
            <w:pPr>
              <w:pStyle w:val="6"/>
              <w:spacing w:before="143" w:line="219" w:lineRule="auto"/>
              <w:ind w:left="50" w:right="239"/>
              <w:rPr>
                <w:sz w:val="18"/>
                <w:szCs w:val="18"/>
              </w:rPr>
            </w:pPr>
            <w:r>
              <w:rPr>
                <w:spacing w:val="-1"/>
                <w:sz w:val="18"/>
                <w:szCs w:val="18"/>
              </w:rPr>
              <w:t>链传动的工作原理、类型、特</w:t>
            </w:r>
            <w:r>
              <w:rPr>
                <w:spacing w:val="5"/>
                <w:sz w:val="18"/>
                <w:szCs w:val="18"/>
              </w:rPr>
              <w:t xml:space="preserve"> 点和应用</w:t>
            </w:r>
          </w:p>
        </w:tc>
        <w:tc>
          <w:tcPr>
            <w:tcW w:w="219" w:type="dxa"/>
            <w:tcBorders>
              <w:top w:val="single" w:color="000000" w:sz="2" w:space="0"/>
              <w:bottom w:val="single" w:color="000000" w:sz="2" w:space="0"/>
            </w:tcBorders>
            <w:vAlign w:val="top"/>
          </w:tcPr>
          <w:p w14:paraId="4DD1D43C">
            <w:pPr>
              <w:rPr>
                <w:rFonts w:ascii="Arial"/>
                <w:sz w:val="21"/>
              </w:rPr>
            </w:pPr>
          </w:p>
        </w:tc>
        <w:tc>
          <w:tcPr>
            <w:tcW w:w="219" w:type="dxa"/>
            <w:tcBorders>
              <w:top w:val="single" w:color="000000" w:sz="2" w:space="0"/>
              <w:bottom w:val="single" w:color="000000" w:sz="2" w:space="0"/>
            </w:tcBorders>
            <w:vAlign w:val="top"/>
          </w:tcPr>
          <w:p w14:paraId="158DA478">
            <w:pPr>
              <w:rPr>
                <w:rFonts w:ascii="Arial"/>
                <w:sz w:val="21"/>
              </w:rPr>
            </w:pPr>
          </w:p>
        </w:tc>
        <w:tc>
          <w:tcPr>
            <w:tcW w:w="249" w:type="dxa"/>
            <w:tcBorders>
              <w:top w:val="single" w:color="000000" w:sz="2" w:space="0"/>
              <w:bottom w:val="single" w:color="000000" w:sz="2" w:space="0"/>
            </w:tcBorders>
            <w:vAlign w:val="top"/>
          </w:tcPr>
          <w:p w14:paraId="1CBA9855">
            <w:pPr>
              <w:rPr>
                <w:rFonts w:ascii="Arial"/>
                <w:sz w:val="21"/>
              </w:rPr>
            </w:pPr>
          </w:p>
        </w:tc>
        <w:tc>
          <w:tcPr>
            <w:tcW w:w="224" w:type="dxa"/>
            <w:tcBorders>
              <w:top w:val="single" w:color="000000" w:sz="2" w:space="0"/>
              <w:bottom w:val="single" w:color="000000" w:sz="2" w:space="0"/>
            </w:tcBorders>
            <w:vAlign w:val="top"/>
          </w:tcPr>
          <w:p w14:paraId="0613AC1B">
            <w:pPr>
              <w:rPr>
                <w:rFonts w:ascii="Arial"/>
                <w:sz w:val="21"/>
              </w:rPr>
            </w:pPr>
          </w:p>
        </w:tc>
      </w:tr>
      <w:tr w14:paraId="3B8CD7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83" w:hRule="atLeast"/>
        </w:trPr>
        <w:tc>
          <w:tcPr>
            <w:tcW w:w="564" w:type="dxa"/>
            <w:tcBorders>
              <w:top w:val="single" w:color="000000" w:sz="2" w:space="0"/>
              <w:bottom w:val="single" w:color="000000" w:sz="2" w:space="0"/>
            </w:tcBorders>
            <w:vAlign w:val="top"/>
          </w:tcPr>
          <w:p w14:paraId="0CE93CBA">
            <w:pPr>
              <w:spacing w:line="248" w:lineRule="auto"/>
              <w:rPr>
                <w:rFonts w:ascii="Arial"/>
                <w:sz w:val="21"/>
              </w:rPr>
            </w:pPr>
          </w:p>
          <w:p w14:paraId="2A41FFC6">
            <w:pPr>
              <w:spacing w:line="248" w:lineRule="auto"/>
              <w:rPr>
                <w:rFonts w:ascii="Arial"/>
                <w:sz w:val="21"/>
              </w:rPr>
            </w:pPr>
          </w:p>
          <w:p w14:paraId="008AF339">
            <w:pPr>
              <w:spacing w:line="248" w:lineRule="auto"/>
              <w:rPr>
                <w:rFonts w:ascii="Arial"/>
                <w:sz w:val="21"/>
              </w:rPr>
            </w:pPr>
          </w:p>
          <w:p w14:paraId="2146954B">
            <w:pPr>
              <w:spacing w:line="248" w:lineRule="auto"/>
              <w:rPr>
                <w:rFonts w:ascii="Arial"/>
                <w:sz w:val="21"/>
              </w:rPr>
            </w:pPr>
          </w:p>
          <w:p w14:paraId="70CA5DE7">
            <w:pPr>
              <w:spacing w:line="248" w:lineRule="auto"/>
              <w:rPr>
                <w:rFonts w:ascii="Arial"/>
                <w:sz w:val="21"/>
              </w:rPr>
            </w:pPr>
          </w:p>
          <w:p w14:paraId="2259F9DF">
            <w:pPr>
              <w:pStyle w:val="6"/>
              <w:spacing w:before="58" w:line="221" w:lineRule="auto"/>
              <w:ind w:left="94" w:right="104"/>
              <w:rPr>
                <w:sz w:val="18"/>
                <w:szCs w:val="18"/>
              </w:rPr>
            </w:pPr>
            <w:r>
              <w:rPr>
                <w:spacing w:val="-5"/>
                <w:sz w:val="18"/>
                <w:szCs w:val="18"/>
              </w:rPr>
              <w:t>齿轮</w:t>
            </w:r>
            <w:r>
              <w:rPr>
                <w:sz w:val="18"/>
                <w:szCs w:val="18"/>
              </w:rPr>
              <w:t xml:space="preserve"> </w:t>
            </w:r>
            <w:r>
              <w:rPr>
                <w:spacing w:val="-3"/>
                <w:sz w:val="18"/>
                <w:szCs w:val="18"/>
              </w:rPr>
              <w:t>传动</w:t>
            </w:r>
          </w:p>
        </w:tc>
        <w:tc>
          <w:tcPr>
            <w:tcW w:w="2634" w:type="dxa"/>
            <w:tcBorders>
              <w:top w:val="single" w:color="000000" w:sz="2" w:space="0"/>
              <w:bottom w:val="single" w:color="000000" w:sz="2" w:space="0"/>
            </w:tcBorders>
            <w:vAlign w:val="top"/>
          </w:tcPr>
          <w:p w14:paraId="7FED4F63">
            <w:pPr>
              <w:pStyle w:val="6"/>
              <w:spacing w:before="103" w:line="226" w:lineRule="auto"/>
              <w:ind w:left="270" w:right="225" w:hanging="220"/>
              <w:rPr>
                <w:sz w:val="18"/>
                <w:szCs w:val="18"/>
              </w:rPr>
            </w:pPr>
            <w:r>
              <w:rPr>
                <w:sz w:val="18"/>
                <w:szCs w:val="18"/>
              </w:rPr>
              <w:t>1.齿轮传动的特点、应用、类</w:t>
            </w:r>
            <w:r>
              <w:rPr>
                <w:spacing w:val="6"/>
                <w:sz w:val="18"/>
                <w:szCs w:val="18"/>
              </w:rPr>
              <w:t xml:space="preserve"> </w:t>
            </w:r>
            <w:r>
              <w:rPr>
                <w:spacing w:val="-2"/>
                <w:sz w:val="18"/>
                <w:szCs w:val="18"/>
              </w:rPr>
              <w:t>型和啮合原理</w:t>
            </w:r>
          </w:p>
          <w:p w14:paraId="3BC22FF2">
            <w:pPr>
              <w:pStyle w:val="6"/>
              <w:spacing w:line="216" w:lineRule="auto"/>
              <w:ind w:left="50"/>
              <w:rPr>
                <w:sz w:val="18"/>
                <w:szCs w:val="18"/>
              </w:rPr>
            </w:pPr>
            <w:r>
              <w:rPr>
                <w:spacing w:val="-1"/>
                <w:sz w:val="18"/>
                <w:szCs w:val="18"/>
              </w:rPr>
              <w:t>2.齿轮传动传动比的计算</w:t>
            </w:r>
          </w:p>
          <w:p w14:paraId="00DE27D3">
            <w:pPr>
              <w:pStyle w:val="6"/>
              <w:spacing w:before="1" w:line="224" w:lineRule="auto"/>
              <w:ind w:left="239" w:right="243" w:hanging="189"/>
              <w:rPr>
                <w:sz w:val="18"/>
                <w:szCs w:val="18"/>
              </w:rPr>
            </w:pPr>
            <w:r>
              <w:rPr>
                <w:spacing w:val="-1"/>
                <w:sz w:val="18"/>
                <w:szCs w:val="18"/>
              </w:rPr>
              <w:t>3.标准直齿圆柱齿轮的主要参</w:t>
            </w:r>
            <w:r>
              <w:rPr>
                <w:spacing w:val="2"/>
                <w:sz w:val="18"/>
                <w:szCs w:val="18"/>
              </w:rPr>
              <w:t xml:space="preserve"> </w:t>
            </w:r>
            <w:r>
              <w:rPr>
                <w:spacing w:val="-1"/>
                <w:sz w:val="18"/>
                <w:szCs w:val="18"/>
              </w:rPr>
              <w:t>数和几何尺寸的计算</w:t>
            </w:r>
          </w:p>
          <w:p w14:paraId="7618F719">
            <w:pPr>
              <w:pStyle w:val="6"/>
              <w:spacing w:before="1" w:line="225" w:lineRule="auto"/>
              <w:ind w:left="270" w:right="219" w:hanging="220"/>
              <w:rPr>
                <w:sz w:val="18"/>
                <w:szCs w:val="18"/>
              </w:rPr>
            </w:pPr>
            <w:r>
              <w:rPr>
                <w:sz w:val="18"/>
                <w:szCs w:val="18"/>
              </w:rPr>
              <w:t>4.渐开线直齿圆柱齿轮传动的</w:t>
            </w:r>
            <w:r>
              <w:rPr>
                <w:spacing w:val="12"/>
                <w:sz w:val="18"/>
                <w:szCs w:val="18"/>
              </w:rPr>
              <w:t xml:space="preserve"> </w:t>
            </w:r>
            <w:r>
              <w:rPr>
                <w:spacing w:val="-2"/>
                <w:sz w:val="18"/>
                <w:szCs w:val="18"/>
              </w:rPr>
              <w:t>正确啮合条件</w:t>
            </w:r>
          </w:p>
          <w:p w14:paraId="59746873">
            <w:pPr>
              <w:pStyle w:val="6"/>
              <w:spacing w:before="1" w:line="225" w:lineRule="auto"/>
              <w:ind w:left="260" w:right="143" w:hanging="210"/>
              <w:rPr>
                <w:sz w:val="18"/>
                <w:szCs w:val="18"/>
              </w:rPr>
            </w:pPr>
            <w:r>
              <w:rPr>
                <w:spacing w:val="6"/>
                <w:sz w:val="18"/>
                <w:szCs w:val="18"/>
              </w:rPr>
              <w:t>5.斜齿圆柱齿轮传动的特点、</w:t>
            </w:r>
            <w:r>
              <w:rPr>
                <w:spacing w:val="4"/>
                <w:sz w:val="18"/>
                <w:szCs w:val="18"/>
              </w:rPr>
              <w:t xml:space="preserve"> </w:t>
            </w:r>
            <w:r>
              <w:rPr>
                <w:spacing w:val="-1"/>
                <w:sz w:val="18"/>
                <w:szCs w:val="18"/>
              </w:rPr>
              <w:t>应用和主要参数</w:t>
            </w:r>
          </w:p>
          <w:p w14:paraId="44485467">
            <w:pPr>
              <w:pStyle w:val="6"/>
              <w:spacing w:before="1" w:line="225" w:lineRule="auto"/>
              <w:ind w:left="270" w:right="143" w:hanging="220"/>
              <w:rPr>
                <w:sz w:val="18"/>
                <w:szCs w:val="18"/>
              </w:rPr>
            </w:pPr>
            <w:r>
              <w:rPr>
                <w:spacing w:val="6"/>
                <w:sz w:val="18"/>
                <w:szCs w:val="18"/>
              </w:rPr>
              <w:t>6.直齿圆锥齿轮传动的特点、</w:t>
            </w:r>
            <w:r>
              <w:rPr>
                <w:spacing w:val="4"/>
                <w:sz w:val="18"/>
                <w:szCs w:val="18"/>
              </w:rPr>
              <w:t xml:space="preserve"> </w:t>
            </w:r>
            <w:r>
              <w:rPr>
                <w:spacing w:val="-1"/>
                <w:sz w:val="18"/>
                <w:szCs w:val="18"/>
              </w:rPr>
              <w:t>应用和主要参数</w:t>
            </w:r>
          </w:p>
          <w:p w14:paraId="6DFF50A7">
            <w:pPr>
              <w:pStyle w:val="6"/>
              <w:spacing w:before="1" w:line="228" w:lineRule="auto"/>
              <w:ind w:left="270" w:right="223" w:hanging="220"/>
              <w:rPr>
                <w:sz w:val="18"/>
                <w:szCs w:val="18"/>
              </w:rPr>
            </w:pPr>
            <w:r>
              <w:rPr>
                <w:sz w:val="18"/>
                <w:szCs w:val="18"/>
              </w:rPr>
              <w:t>7.齿轮的材料、结构和齿轮传</w:t>
            </w:r>
            <w:r>
              <w:rPr>
                <w:spacing w:val="8"/>
                <w:sz w:val="18"/>
                <w:szCs w:val="18"/>
              </w:rPr>
              <w:t xml:space="preserve"> </w:t>
            </w:r>
            <w:r>
              <w:rPr>
                <w:spacing w:val="-2"/>
                <w:sz w:val="18"/>
                <w:szCs w:val="18"/>
              </w:rPr>
              <w:t>动的失效形式</w:t>
            </w:r>
          </w:p>
        </w:tc>
        <w:tc>
          <w:tcPr>
            <w:tcW w:w="219" w:type="dxa"/>
            <w:tcBorders>
              <w:top w:val="single" w:color="000000" w:sz="2" w:space="0"/>
              <w:bottom w:val="single" w:color="000000" w:sz="2" w:space="0"/>
            </w:tcBorders>
            <w:vAlign w:val="top"/>
          </w:tcPr>
          <w:p w14:paraId="3265B0F3">
            <w:pPr>
              <w:rPr>
                <w:rFonts w:ascii="Arial"/>
                <w:sz w:val="21"/>
              </w:rPr>
            </w:pPr>
          </w:p>
        </w:tc>
        <w:tc>
          <w:tcPr>
            <w:tcW w:w="219" w:type="dxa"/>
            <w:tcBorders>
              <w:top w:val="single" w:color="000000" w:sz="2" w:space="0"/>
              <w:bottom w:val="single" w:color="000000" w:sz="2" w:space="0"/>
            </w:tcBorders>
            <w:vAlign w:val="top"/>
          </w:tcPr>
          <w:p w14:paraId="3589ABED">
            <w:pPr>
              <w:rPr>
                <w:rFonts w:ascii="Arial"/>
                <w:sz w:val="21"/>
              </w:rPr>
            </w:pPr>
          </w:p>
        </w:tc>
        <w:tc>
          <w:tcPr>
            <w:tcW w:w="249" w:type="dxa"/>
            <w:tcBorders>
              <w:top w:val="single" w:color="000000" w:sz="2" w:space="0"/>
              <w:bottom w:val="single" w:color="000000" w:sz="2" w:space="0"/>
            </w:tcBorders>
            <w:vAlign w:val="top"/>
          </w:tcPr>
          <w:p w14:paraId="62FBEDC1">
            <w:pPr>
              <w:rPr>
                <w:rFonts w:ascii="Arial"/>
                <w:sz w:val="21"/>
              </w:rPr>
            </w:pPr>
          </w:p>
        </w:tc>
        <w:tc>
          <w:tcPr>
            <w:tcW w:w="224" w:type="dxa"/>
            <w:tcBorders>
              <w:top w:val="single" w:color="000000" w:sz="2" w:space="0"/>
              <w:bottom w:val="single" w:color="000000" w:sz="2" w:space="0"/>
            </w:tcBorders>
            <w:vAlign w:val="top"/>
          </w:tcPr>
          <w:p w14:paraId="6D921A5C">
            <w:pPr>
              <w:rPr>
                <w:rFonts w:ascii="Arial"/>
                <w:sz w:val="21"/>
              </w:rPr>
            </w:pPr>
          </w:p>
        </w:tc>
      </w:tr>
      <w:tr w14:paraId="012BD2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24" w:hRule="atLeast"/>
        </w:trPr>
        <w:tc>
          <w:tcPr>
            <w:tcW w:w="564" w:type="dxa"/>
            <w:tcBorders>
              <w:top w:val="single" w:color="000000" w:sz="2" w:space="0"/>
              <w:bottom w:val="single" w:color="000000" w:sz="2" w:space="0"/>
            </w:tcBorders>
            <w:vAlign w:val="top"/>
          </w:tcPr>
          <w:p w14:paraId="3ACC8206">
            <w:pPr>
              <w:spacing w:line="282" w:lineRule="auto"/>
              <w:rPr>
                <w:rFonts w:ascii="Arial"/>
                <w:sz w:val="21"/>
              </w:rPr>
            </w:pPr>
          </w:p>
          <w:p w14:paraId="634EF77A">
            <w:pPr>
              <w:spacing w:line="282" w:lineRule="auto"/>
              <w:rPr>
                <w:rFonts w:ascii="Arial"/>
                <w:sz w:val="21"/>
              </w:rPr>
            </w:pPr>
          </w:p>
          <w:p w14:paraId="0B9310B6">
            <w:pPr>
              <w:pStyle w:val="6"/>
              <w:spacing w:before="58" w:line="227" w:lineRule="auto"/>
              <w:ind w:left="94" w:right="104"/>
              <w:rPr>
                <w:sz w:val="18"/>
                <w:szCs w:val="18"/>
              </w:rPr>
            </w:pPr>
            <w:r>
              <w:rPr>
                <w:spacing w:val="-4"/>
                <w:sz w:val="18"/>
                <w:szCs w:val="18"/>
              </w:rPr>
              <w:t>蜗杆</w:t>
            </w:r>
            <w:r>
              <w:rPr>
                <w:sz w:val="18"/>
                <w:szCs w:val="18"/>
              </w:rPr>
              <w:t xml:space="preserve"> </w:t>
            </w:r>
            <w:r>
              <w:rPr>
                <w:spacing w:val="-3"/>
                <w:sz w:val="18"/>
                <w:szCs w:val="18"/>
              </w:rPr>
              <w:t>传动</w:t>
            </w:r>
          </w:p>
        </w:tc>
        <w:tc>
          <w:tcPr>
            <w:tcW w:w="2634" w:type="dxa"/>
            <w:tcBorders>
              <w:top w:val="single" w:color="000000" w:sz="2" w:space="0"/>
              <w:bottom w:val="single" w:color="000000" w:sz="2" w:space="0"/>
            </w:tcBorders>
            <w:vAlign w:val="top"/>
          </w:tcPr>
          <w:p w14:paraId="71BCC26E">
            <w:pPr>
              <w:pStyle w:val="6"/>
              <w:spacing w:before="85" w:line="217" w:lineRule="auto"/>
              <w:ind w:left="50" w:right="11" w:firstLine="20"/>
              <w:rPr>
                <w:sz w:val="18"/>
                <w:szCs w:val="18"/>
              </w:rPr>
            </w:pPr>
            <w:r>
              <w:rPr>
                <w:spacing w:val="1"/>
                <w:sz w:val="18"/>
                <w:szCs w:val="18"/>
              </w:rPr>
              <w:t>1.蜗杆传动的特点、类型和应用</w:t>
            </w:r>
            <w:r>
              <w:rPr>
                <w:spacing w:val="5"/>
                <w:sz w:val="18"/>
                <w:szCs w:val="18"/>
              </w:rPr>
              <w:t xml:space="preserve"> </w:t>
            </w:r>
            <w:r>
              <w:rPr>
                <w:spacing w:val="-1"/>
                <w:sz w:val="18"/>
                <w:szCs w:val="18"/>
              </w:rPr>
              <w:t>2.蜗杆传动的基本参数及几何</w:t>
            </w:r>
          </w:p>
          <w:p w14:paraId="093F2D91">
            <w:pPr>
              <w:pStyle w:val="6"/>
              <w:spacing w:before="17" w:line="215" w:lineRule="auto"/>
              <w:ind w:left="240"/>
              <w:rPr>
                <w:sz w:val="18"/>
                <w:szCs w:val="18"/>
              </w:rPr>
            </w:pPr>
            <w:r>
              <w:rPr>
                <w:spacing w:val="-2"/>
                <w:sz w:val="18"/>
                <w:szCs w:val="18"/>
              </w:rPr>
              <w:t>尺寸</w:t>
            </w:r>
          </w:p>
          <w:p w14:paraId="5E2D7C5F">
            <w:pPr>
              <w:pStyle w:val="6"/>
              <w:spacing w:line="218" w:lineRule="auto"/>
              <w:ind w:left="50"/>
              <w:rPr>
                <w:sz w:val="18"/>
                <w:szCs w:val="18"/>
              </w:rPr>
            </w:pPr>
            <w:r>
              <w:rPr>
                <w:spacing w:val="-1"/>
                <w:sz w:val="18"/>
                <w:szCs w:val="18"/>
              </w:rPr>
              <w:t>3.蜗杆传动的传动比计算</w:t>
            </w:r>
          </w:p>
          <w:p w14:paraId="00991213">
            <w:pPr>
              <w:pStyle w:val="6"/>
              <w:spacing w:before="16" w:line="217" w:lineRule="auto"/>
              <w:ind w:left="50" w:right="218"/>
              <w:rPr>
                <w:sz w:val="18"/>
                <w:szCs w:val="18"/>
              </w:rPr>
            </w:pPr>
            <w:r>
              <w:rPr>
                <w:spacing w:val="-1"/>
                <w:sz w:val="18"/>
                <w:szCs w:val="18"/>
              </w:rPr>
              <w:t>4.蜗杆传动中蜗轮转向的判定</w:t>
            </w:r>
            <w:r>
              <w:rPr>
                <w:spacing w:val="6"/>
                <w:sz w:val="18"/>
                <w:szCs w:val="18"/>
              </w:rPr>
              <w:t xml:space="preserve"> </w:t>
            </w:r>
            <w:r>
              <w:rPr>
                <w:spacing w:val="1"/>
                <w:sz w:val="18"/>
                <w:szCs w:val="18"/>
              </w:rPr>
              <w:t>5.蜗杆、蜗轮的材料、结构和</w:t>
            </w:r>
          </w:p>
          <w:p w14:paraId="003DFF88">
            <w:pPr>
              <w:pStyle w:val="6"/>
              <w:spacing w:before="6" w:line="219" w:lineRule="auto"/>
              <w:ind w:left="260"/>
              <w:rPr>
                <w:sz w:val="18"/>
                <w:szCs w:val="18"/>
              </w:rPr>
            </w:pPr>
            <w:r>
              <w:rPr>
                <w:spacing w:val="-1"/>
                <w:sz w:val="18"/>
                <w:szCs w:val="18"/>
              </w:rPr>
              <w:t>蜗杆传动的失效形式</w:t>
            </w:r>
          </w:p>
        </w:tc>
        <w:tc>
          <w:tcPr>
            <w:tcW w:w="219" w:type="dxa"/>
            <w:tcBorders>
              <w:top w:val="single" w:color="000000" w:sz="2" w:space="0"/>
              <w:bottom w:val="single" w:color="000000" w:sz="2" w:space="0"/>
            </w:tcBorders>
            <w:vAlign w:val="top"/>
          </w:tcPr>
          <w:p w14:paraId="76CD51F9">
            <w:pPr>
              <w:rPr>
                <w:rFonts w:ascii="Arial"/>
                <w:sz w:val="21"/>
              </w:rPr>
            </w:pPr>
          </w:p>
        </w:tc>
        <w:tc>
          <w:tcPr>
            <w:tcW w:w="219" w:type="dxa"/>
            <w:tcBorders>
              <w:top w:val="single" w:color="000000" w:sz="2" w:space="0"/>
              <w:bottom w:val="single" w:color="000000" w:sz="2" w:space="0"/>
            </w:tcBorders>
            <w:vAlign w:val="top"/>
          </w:tcPr>
          <w:p w14:paraId="456DE237">
            <w:pPr>
              <w:rPr>
                <w:rFonts w:ascii="Arial"/>
                <w:sz w:val="21"/>
              </w:rPr>
            </w:pPr>
          </w:p>
        </w:tc>
        <w:tc>
          <w:tcPr>
            <w:tcW w:w="249" w:type="dxa"/>
            <w:tcBorders>
              <w:top w:val="single" w:color="000000" w:sz="2" w:space="0"/>
              <w:bottom w:val="single" w:color="000000" w:sz="2" w:space="0"/>
            </w:tcBorders>
            <w:vAlign w:val="top"/>
          </w:tcPr>
          <w:p w14:paraId="1D376492">
            <w:pPr>
              <w:rPr>
                <w:rFonts w:ascii="Arial"/>
                <w:sz w:val="21"/>
              </w:rPr>
            </w:pPr>
          </w:p>
        </w:tc>
        <w:tc>
          <w:tcPr>
            <w:tcW w:w="224" w:type="dxa"/>
            <w:tcBorders>
              <w:top w:val="single" w:color="000000" w:sz="2" w:space="0"/>
              <w:bottom w:val="single" w:color="000000" w:sz="2" w:space="0"/>
            </w:tcBorders>
            <w:vAlign w:val="top"/>
          </w:tcPr>
          <w:p w14:paraId="165E5DFE">
            <w:pPr>
              <w:rPr>
                <w:rFonts w:ascii="Arial"/>
                <w:sz w:val="21"/>
              </w:rPr>
            </w:pPr>
          </w:p>
        </w:tc>
      </w:tr>
      <w:tr w14:paraId="1A416A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79" w:hRule="atLeast"/>
        </w:trPr>
        <w:tc>
          <w:tcPr>
            <w:tcW w:w="564" w:type="dxa"/>
            <w:tcBorders>
              <w:top w:val="single" w:color="000000" w:sz="2" w:space="0"/>
              <w:bottom w:val="single" w:color="000000" w:sz="2" w:space="0"/>
            </w:tcBorders>
            <w:vAlign w:val="top"/>
          </w:tcPr>
          <w:p w14:paraId="417B579D">
            <w:pPr>
              <w:spacing w:line="347" w:lineRule="auto"/>
              <w:rPr>
                <w:rFonts w:ascii="Arial"/>
                <w:sz w:val="21"/>
              </w:rPr>
            </w:pPr>
          </w:p>
          <w:p w14:paraId="5D758B69">
            <w:pPr>
              <w:spacing w:line="348" w:lineRule="auto"/>
              <w:rPr>
                <w:rFonts w:ascii="Arial"/>
                <w:sz w:val="21"/>
              </w:rPr>
            </w:pPr>
          </w:p>
          <w:p w14:paraId="0930903F">
            <w:pPr>
              <w:pStyle w:val="6"/>
              <w:spacing w:before="58" w:line="221" w:lineRule="auto"/>
              <w:ind w:left="94"/>
              <w:rPr>
                <w:sz w:val="18"/>
                <w:szCs w:val="18"/>
              </w:rPr>
            </w:pPr>
            <w:r>
              <w:rPr>
                <w:spacing w:val="8"/>
                <w:sz w:val="18"/>
                <w:szCs w:val="18"/>
              </w:rPr>
              <w:t>轮系</w:t>
            </w:r>
          </w:p>
        </w:tc>
        <w:tc>
          <w:tcPr>
            <w:tcW w:w="2634" w:type="dxa"/>
            <w:tcBorders>
              <w:top w:val="single" w:color="000000" w:sz="2" w:space="0"/>
              <w:bottom w:val="single" w:color="000000" w:sz="2" w:space="0"/>
            </w:tcBorders>
            <w:vAlign w:val="top"/>
          </w:tcPr>
          <w:p w14:paraId="3152B854">
            <w:pPr>
              <w:pStyle w:val="6"/>
              <w:spacing w:before="126" w:line="215" w:lineRule="auto"/>
              <w:ind w:left="50"/>
              <w:rPr>
                <w:sz w:val="18"/>
                <w:szCs w:val="18"/>
              </w:rPr>
            </w:pPr>
            <w:r>
              <w:rPr>
                <w:spacing w:val="2"/>
                <w:sz w:val="18"/>
                <w:szCs w:val="18"/>
              </w:rPr>
              <w:t>1.轮系的分类与应用</w:t>
            </w:r>
          </w:p>
          <w:p w14:paraId="4BA5EF37">
            <w:pPr>
              <w:pStyle w:val="6"/>
              <w:spacing w:before="1" w:line="220" w:lineRule="auto"/>
              <w:ind w:left="260" w:right="217" w:hanging="210"/>
              <w:rPr>
                <w:sz w:val="18"/>
                <w:szCs w:val="18"/>
              </w:rPr>
            </w:pPr>
            <w:r>
              <w:rPr>
                <w:spacing w:val="1"/>
                <w:sz w:val="18"/>
                <w:szCs w:val="18"/>
              </w:rPr>
              <w:t>2.定轴轮系传动机构运动简图</w:t>
            </w:r>
            <w:r>
              <w:rPr>
                <w:sz w:val="18"/>
                <w:szCs w:val="18"/>
              </w:rPr>
              <w:t xml:space="preserve"> </w:t>
            </w:r>
            <w:r>
              <w:rPr>
                <w:spacing w:val="3"/>
                <w:sz w:val="18"/>
                <w:szCs w:val="18"/>
              </w:rPr>
              <w:t>的识读</w:t>
            </w:r>
          </w:p>
          <w:p w14:paraId="337ECFFE">
            <w:pPr>
              <w:pStyle w:val="6"/>
              <w:spacing w:line="218" w:lineRule="auto"/>
              <w:ind w:left="50"/>
              <w:rPr>
                <w:sz w:val="18"/>
                <w:szCs w:val="18"/>
              </w:rPr>
            </w:pPr>
            <w:r>
              <w:rPr>
                <w:sz w:val="18"/>
                <w:szCs w:val="18"/>
              </w:rPr>
              <w:t>3.定轴轮系各轮转向的判定</w:t>
            </w:r>
          </w:p>
          <w:p w14:paraId="1613D1A1">
            <w:pPr>
              <w:pStyle w:val="6"/>
              <w:spacing w:before="17" w:line="220" w:lineRule="auto"/>
              <w:ind w:left="230" w:right="239" w:hanging="180"/>
              <w:rPr>
                <w:sz w:val="18"/>
                <w:szCs w:val="18"/>
              </w:rPr>
            </w:pPr>
            <w:r>
              <w:rPr>
                <w:spacing w:val="-1"/>
                <w:sz w:val="18"/>
                <w:szCs w:val="18"/>
              </w:rPr>
              <w:t>4.定轴轮系传动比、末轮转速</w:t>
            </w:r>
            <w:r>
              <w:rPr>
                <w:spacing w:val="6"/>
                <w:sz w:val="18"/>
                <w:szCs w:val="18"/>
              </w:rPr>
              <w:t xml:space="preserve"> </w:t>
            </w:r>
            <w:r>
              <w:rPr>
                <w:spacing w:val="3"/>
                <w:sz w:val="18"/>
                <w:szCs w:val="18"/>
              </w:rPr>
              <w:t>及末端件移动距离(速度)</w:t>
            </w:r>
            <w:r>
              <w:rPr>
                <w:spacing w:val="1"/>
                <w:sz w:val="18"/>
                <w:szCs w:val="18"/>
              </w:rPr>
              <w:t xml:space="preserve">  </w:t>
            </w:r>
            <w:r>
              <w:rPr>
                <w:spacing w:val="6"/>
                <w:sz w:val="18"/>
                <w:szCs w:val="18"/>
              </w:rPr>
              <w:t>的计算</w:t>
            </w:r>
          </w:p>
        </w:tc>
        <w:tc>
          <w:tcPr>
            <w:tcW w:w="219" w:type="dxa"/>
            <w:tcBorders>
              <w:top w:val="single" w:color="000000" w:sz="2" w:space="0"/>
              <w:bottom w:val="single" w:color="000000" w:sz="2" w:space="0"/>
            </w:tcBorders>
            <w:vAlign w:val="top"/>
          </w:tcPr>
          <w:p w14:paraId="359721A0">
            <w:pPr>
              <w:pStyle w:val="6"/>
              <w:spacing w:before="116" w:line="238" w:lineRule="auto"/>
              <w:ind w:left="7"/>
              <w:rPr>
                <w:sz w:val="12"/>
                <w:szCs w:val="12"/>
              </w:rPr>
            </w:pPr>
            <w:r>
              <w:rPr>
                <w:sz w:val="12"/>
                <w:szCs w:val="12"/>
              </w:rPr>
              <w:t>√</w:t>
            </w:r>
          </w:p>
        </w:tc>
        <w:tc>
          <w:tcPr>
            <w:tcW w:w="219" w:type="dxa"/>
            <w:tcBorders>
              <w:top w:val="single" w:color="000000" w:sz="2" w:space="0"/>
              <w:bottom w:val="single" w:color="000000" w:sz="2" w:space="0"/>
            </w:tcBorders>
            <w:vAlign w:val="top"/>
          </w:tcPr>
          <w:p w14:paraId="4945D8BC">
            <w:pPr>
              <w:rPr>
                <w:rFonts w:ascii="Arial"/>
                <w:sz w:val="21"/>
              </w:rPr>
            </w:pPr>
          </w:p>
        </w:tc>
        <w:tc>
          <w:tcPr>
            <w:tcW w:w="249" w:type="dxa"/>
            <w:tcBorders>
              <w:top w:val="single" w:color="000000" w:sz="2" w:space="0"/>
              <w:bottom w:val="single" w:color="000000" w:sz="2" w:space="0"/>
            </w:tcBorders>
            <w:textDirection w:val="tbRl"/>
            <w:vAlign w:val="top"/>
          </w:tcPr>
          <w:p w14:paraId="2AD8A914">
            <w:pPr>
              <w:pStyle w:val="6"/>
              <w:spacing w:before="31" w:line="175" w:lineRule="auto"/>
              <w:ind w:left="379"/>
              <w:rPr>
                <w:sz w:val="23"/>
                <w:szCs w:val="23"/>
              </w:rPr>
            </w:pPr>
            <w:r>
              <w:rPr>
                <w:spacing w:val="-4"/>
                <w:sz w:val="23"/>
                <w:szCs w:val="23"/>
              </w:rPr>
              <w:t>&gt;&gt;&gt;</w:t>
            </w:r>
          </w:p>
        </w:tc>
        <w:tc>
          <w:tcPr>
            <w:tcW w:w="224" w:type="dxa"/>
            <w:tcBorders>
              <w:top w:val="single" w:color="000000" w:sz="2" w:space="0"/>
              <w:bottom w:val="single" w:color="000000" w:sz="2" w:space="0"/>
            </w:tcBorders>
            <w:vAlign w:val="top"/>
          </w:tcPr>
          <w:p w14:paraId="1CD7BBF5">
            <w:pPr>
              <w:rPr>
                <w:rFonts w:ascii="Arial"/>
                <w:sz w:val="21"/>
              </w:rPr>
            </w:pPr>
          </w:p>
        </w:tc>
      </w:tr>
    </w:tbl>
    <w:p w14:paraId="018A95EA">
      <w:pPr>
        <w:pStyle w:val="2"/>
        <w:spacing w:line="14" w:lineRule="auto"/>
        <w:rPr>
          <w:sz w:val="2"/>
        </w:rPr>
      </w:pPr>
    </w:p>
    <w:p w14:paraId="1CE10129">
      <w:pPr>
        <w:spacing w:line="14" w:lineRule="auto"/>
        <w:rPr>
          <w:sz w:val="2"/>
          <w:szCs w:val="2"/>
        </w:rPr>
        <w:sectPr>
          <w:type w:val="continuous"/>
          <w:pgSz w:w="10660" w:h="15080"/>
          <w:pgMar w:top="400" w:right="1034" w:bottom="936" w:left="819" w:header="0" w:footer="714" w:gutter="0"/>
          <w:cols w:equalWidth="0" w:num="2">
            <w:col w:w="4566" w:space="100"/>
            <w:col w:w="4141"/>
          </w:cols>
        </w:sectPr>
      </w:pPr>
    </w:p>
    <w:p w14:paraId="25625FEF">
      <w:pPr>
        <w:spacing w:before="10"/>
      </w:pPr>
    </w:p>
    <w:p w14:paraId="33D10224">
      <w:pPr>
        <w:spacing w:before="10"/>
      </w:pPr>
    </w:p>
    <w:p w14:paraId="11B8EA4E">
      <w:pPr>
        <w:spacing w:before="9"/>
      </w:pPr>
    </w:p>
    <w:p w14:paraId="556DF1DD">
      <w:pPr>
        <w:spacing w:before="9"/>
      </w:pPr>
    </w:p>
    <w:p w14:paraId="4700A26C">
      <w:pPr>
        <w:sectPr>
          <w:footerReference r:id="rId23" w:type="default"/>
          <w:pgSz w:w="10660" w:h="15080"/>
          <w:pgMar w:top="400" w:right="885" w:bottom="925" w:left="1024" w:header="0" w:footer="705" w:gutter="0"/>
          <w:cols w:equalWidth="0" w:num="1">
            <w:col w:w="8750"/>
          </w:cols>
        </w:sectPr>
      </w:pPr>
    </w:p>
    <w:p w14:paraId="3EBEB9AB">
      <w:pPr>
        <w:spacing w:line="221" w:lineRule="auto"/>
        <w:ind w:left="1577"/>
        <w:rPr>
          <w:rFonts w:ascii="黑体" w:hAnsi="黑体" w:eastAsia="黑体" w:cs="黑体"/>
          <w:sz w:val="20"/>
          <w:szCs w:val="20"/>
        </w:rPr>
      </w:pPr>
      <w:r>
        <w:rPr>
          <w:rFonts w:ascii="黑体" w:hAnsi="黑体" w:eastAsia="黑体" w:cs="黑体"/>
          <w:b/>
          <w:bCs/>
          <w:spacing w:val="-5"/>
          <w:sz w:val="20"/>
          <w:szCs w:val="20"/>
        </w:rPr>
        <w:t>六液压传动</w:t>
      </w:r>
    </w:p>
    <w:p w14:paraId="024479CF">
      <w:pPr>
        <w:spacing w:line="160" w:lineRule="exact"/>
      </w:pPr>
    </w:p>
    <w:tbl>
      <w:tblPr>
        <w:tblStyle w:val="5"/>
        <w:tblW w:w="4119" w:type="dxa"/>
        <w:tblInd w:w="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54"/>
        <w:gridCol w:w="2644"/>
        <w:gridCol w:w="229"/>
        <w:gridCol w:w="229"/>
        <w:gridCol w:w="229"/>
        <w:gridCol w:w="234"/>
      </w:tblGrid>
      <w:tr w14:paraId="4C9C4F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4" w:hRule="atLeast"/>
        </w:trPr>
        <w:tc>
          <w:tcPr>
            <w:tcW w:w="554" w:type="dxa"/>
            <w:vMerge w:val="restart"/>
            <w:tcBorders>
              <w:bottom w:val="nil"/>
            </w:tcBorders>
            <w:shd w:val="clear" w:color="auto" w:fill="231F20"/>
            <w:vAlign w:val="top"/>
          </w:tcPr>
          <w:p w14:paraId="07C11168">
            <w:pPr>
              <w:pStyle w:val="6"/>
              <w:spacing w:before="70" w:line="234" w:lineRule="auto"/>
              <w:ind w:left="17" w:right="26" w:firstLine="79"/>
            </w:pPr>
            <w:r>
              <w:rPr>
                <w:b/>
                <w:bCs/>
                <w:color w:val="FFFFFF"/>
                <w:spacing w:val="-7"/>
              </w:rPr>
              <w:t>知识</w:t>
            </w:r>
            <w:r>
              <w:rPr>
                <w:color w:val="FFFFFF"/>
              </w:rPr>
              <w:t xml:space="preserve">  </w:t>
            </w:r>
            <w:r>
              <w:rPr>
                <w:b/>
                <w:bCs/>
                <w:color w:val="FFFFFF"/>
                <w:spacing w:val="-6"/>
              </w:rPr>
              <w:t>与技能</w:t>
            </w:r>
            <w:r>
              <w:rPr>
                <w:color w:val="FFFFFF"/>
                <w:spacing w:val="1"/>
              </w:rPr>
              <w:t xml:space="preserve"> </w:t>
            </w:r>
            <w:r>
              <w:rPr>
                <w:b/>
                <w:bCs/>
                <w:color w:val="FFFFFF"/>
                <w:spacing w:val="34"/>
              </w:rPr>
              <w:t>要点</w:t>
            </w:r>
          </w:p>
        </w:tc>
        <w:tc>
          <w:tcPr>
            <w:tcW w:w="2644" w:type="dxa"/>
            <w:vMerge w:val="restart"/>
            <w:tcBorders>
              <w:bottom w:val="nil"/>
            </w:tcBorders>
            <w:vAlign w:val="top"/>
          </w:tcPr>
          <w:p w14:paraId="53506532">
            <w:pPr>
              <w:spacing w:line="252" w:lineRule="auto"/>
              <w:rPr>
                <w:rFonts w:ascii="Arial"/>
                <w:sz w:val="21"/>
              </w:rPr>
            </w:pPr>
          </w:p>
          <w:p w14:paraId="05CB65CD">
            <w:pPr>
              <w:pStyle w:val="6"/>
              <w:spacing w:before="56" w:line="219" w:lineRule="auto"/>
              <w:ind w:left="1003"/>
            </w:pPr>
            <w:r>
              <w:rPr>
                <w:b/>
                <w:bCs/>
                <w:spacing w:val="5"/>
              </w:rPr>
              <w:t>考试条目</w:t>
            </w:r>
          </w:p>
        </w:tc>
        <w:tc>
          <w:tcPr>
            <w:tcW w:w="921" w:type="dxa"/>
            <w:gridSpan w:val="4"/>
            <w:vAlign w:val="top"/>
          </w:tcPr>
          <w:p w14:paraId="0DFD68F5">
            <w:pPr>
              <w:pStyle w:val="6"/>
              <w:spacing w:before="109" w:line="219" w:lineRule="auto"/>
              <w:ind w:left="129"/>
            </w:pPr>
            <w:r>
              <w:rPr>
                <w:b/>
                <w:bCs/>
                <w:spacing w:val="-4"/>
              </w:rPr>
              <w:t>考试水平</w:t>
            </w:r>
          </w:p>
        </w:tc>
      </w:tr>
      <w:tr w14:paraId="5D5FF4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9" w:hRule="atLeast"/>
        </w:trPr>
        <w:tc>
          <w:tcPr>
            <w:tcW w:w="554" w:type="dxa"/>
            <w:vMerge w:val="continue"/>
            <w:tcBorders>
              <w:top w:val="nil"/>
            </w:tcBorders>
            <w:vAlign w:val="top"/>
          </w:tcPr>
          <w:p w14:paraId="4155087E">
            <w:pPr>
              <w:rPr>
                <w:rFonts w:ascii="Arial"/>
                <w:sz w:val="21"/>
              </w:rPr>
            </w:pPr>
          </w:p>
        </w:tc>
        <w:tc>
          <w:tcPr>
            <w:tcW w:w="2644" w:type="dxa"/>
            <w:vMerge w:val="continue"/>
            <w:tcBorders>
              <w:top w:val="nil"/>
            </w:tcBorders>
            <w:vAlign w:val="top"/>
          </w:tcPr>
          <w:p w14:paraId="56609927">
            <w:pPr>
              <w:rPr>
                <w:rFonts w:ascii="Arial"/>
                <w:sz w:val="21"/>
              </w:rPr>
            </w:pPr>
          </w:p>
        </w:tc>
        <w:tc>
          <w:tcPr>
            <w:tcW w:w="229" w:type="dxa"/>
            <w:vAlign w:val="top"/>
          </w:tcPr>
          <w:p w14:paraId="5C60250D">
            <w:pPr>
              <w:pStyle w:val="6"/>
              <w:spacing w:before="150" w:line="184" w:lineRule="auto"/>
              <w:ind w:left="16"/>
            </w:pPr>
            <w:r>
              <w:t>A</w:t>
            </w:r>
          </w:p>
        </w:tc>
        <w:tc>
          <w:tcPr>
            <w:tcW w:w="229" w:type="dxa"/>
            <w:vAlign w:val="top"/>
          </w:tcPr>
          <w:p w14:paraId="006B0C55">
            <w:pPr>
              <w:pStyle w:val="6"/>
              <w:spacing w:before="152" w:line="182" w:lineRule="auto"/>
              <w:ind w:left="67"/>
            </w:pPr>
            <w:r>
              <w:t>B</w:t>
            </w:r>
          </w:p>
        </w:tc>
        <w:tc>
          <w:tcPr>
            <w:tcW w:w="229" w:type="dxa"/>
            <w:vAlign w:val="top"/>
          </w:tcPr>
          <w:p w14:paraId="41D30F25">
            <w:pPr>
              <w:pStyle w:val="6"/>
              <w:spacing w:before="151" w:line="183" w:lineRule="auto"/>
              <w:ind w:left="19"/>
            </w:pPr>
            <w:r>
              <w:t>C</w:t>
            </w:r>
          </w:p>
        </w:tc>
        <w:tc>
          <w:tcPr>
            <w:tcW w:w="234" w:type="dxa"/>
            <w:vAlign w:val="top"/>
          </w:tcPr>
          <w:p w14:paraId="033A3189">
            <w:pPr>
              <w:pStyle w:val="6"/>
              <w:spacing w:before="152" w:line="182" w:lineRule="auto"/>
              <w:ind w:left="40"/>
            </w:pPr>
            <w:r>
              <w:t>D</w:t>
            </w:r>
          </w:p>
        </w:tc>
      </w:tr>
      <w:tr w14:paraId="5C0178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4" w:hRule="atLeast"/>
        </w:trPr>
        <w:tc>
          <w:tcPr>
            <w:tcW w:w="554" w:type="dxa"/>
            <w:tcBorders>
              <w:bottom w:val="nil"/>
            </w:tcBorders>
            <w:vAlign w:val="top"/>
          </w:tcPr>
          <w:p w14:paraId="270183B3">
            <w:pPr>
              <w:pStyle w:val="6"/>
              <w:spacing w:before="159" w:line="211" w:lineRule="auto"/>
              <w:ind w:left="94"/>
            </w:pPr>
            <w:r>
              <w:rPr>
                <w:spacing w:val="-2"/>
              </w:rPr>
              <w:t>液压</w:t>
            </w:r>
          </w:p>
        </w:tc>
        <w:tc>
          <w:tcPr>
            <w:tcW w:w="2644" w:type="dxa"/>
            <w:tcBorders>
              <w:bottom w:val="nil"/>
            </w:tcBorders>
            <w:vAlign w:val="top"/>
          </w:tcPr>
          <w:p w14:paraId="18D4CA33">
            <w:pPr>
              <w:pStyle w:val="6"/>
              <w:spacing w:before="178" w:line="191" w:lineRule="auto"/>
              <w:ind w:left="81"/>
            </w:pPr>
            <w:r>
              <w:t>1.液压传动的工作原理</w:t>
            </w:r>
          </w:p>
        </w:tc>
        <w:tc>
          <w:tcPr>
            <w:tcW w:w="229" w:type="dxa"/>
            <w:tcBorders>
              <w:bottom w:val="nil"/>
            </w:tcBorders>
            <w:vAlign w:val="top"/>
          </w:tcPr>
          <w:p w14:paraId="54445581">
            <w:pPr>
              <w:rPr>
                <w:rFonts w:ascii="Arial"/>
                <w:sz w:val="21"/>
              </w:rPr>
            </w:pPr>
          </w:p>
        </w:tc>
        <w:tc>
          <w:tcPr>
            <w:tcW w:w="229" w:type="dxa"/>
            <w:tcBorders>
              <w:bottom w:val="nil"/>
            </w:tcBorders>
            <w:vAlign w:val="top"/>
          </w:tcPr>
          <w:p w14:paraId="44255D04">
            <w:pPr>
              <w:rPr>
                <w:rFonts w:ascii="Arial"/>
                <w:sz w:val="21"/>
              </w:rPr>
            </w:pPr>
          </w:p>
        </w:tc>
        <w:tc>
          <w:tcPr>
            <w:tcW w:w="229" w:type="dxa"/>
            <w:tcBorders>
              <w:bottom w:val="nil"/>
            </w:tcBorders>
            <w:vAlign w:val="top"/>
          </w:tcPr>
          <w:p w14:paraId="25CDF006">
            <w:pPr>
              <w:rPr>
                <w:rFonts w:ascii="Arial"/>
                <w:sz w:val="21"/>
              </w:rPr>
            </w:pPr>
          </w:p>
        </w:tc>
        <w:tc>
          <w:tcPr>
            <w:tcW w:w="234" w:type="dxa"/>
            <w:tcBorders>
              <w:bottom w:val="nil"/>
            </w:tcBorders>
            <w:vAlign w:val="top"/>
          </w:tcPr>
          <w:p w14:paraId="6A47F6E3">
            <w:pPr>
              <w:rPr>
                <w:rFonts w:ascii="Arial"/>
                <w:sz w:val="21"/>
              </w:rPr>
            </w:pPr>
          </w:p>
        </w:tc>
      </w:tr>
      <w:tr w14:paraId="0A8795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0" w:hRule="atLeast"/>
        </w:trPr>
        <w:tc>
          <w:tcPr>
            <w:tcW w:w="554" w:type="dxa"/>
            <w:tcBorders>
              <w:top w:val="nil"/>
              <w:bottom w:val="nil"/>
            </w:tcBorders>
            <w:vAlign w:val="top"/>
          </w:tcPr>
          <w:p w14:paraId="4B4D05FF">
            <w:pPr>
              <w:pStyle w:val="6"/>
              <w:spacing w:before="24" w:line="191" w:lineRule="auto"/>
              <w:ind w:left="94"/>
            </w:pPr>
            <w:r>
              <w:rPr>
                <w:spacing w:val="-2"/>
              </w:rPr>
              <w:t>传动</w:t>
            </w:r>
          </w:p>
        </w:tc>
        <w:tc>
          <w:tcPr>
            <w:tcW w:w="2644" w:type="dxa"/>
            <w:tcBorders>
              <w:top w:val="nil"/>
              <w:bottom w:val="nil"/>
            </w:tcBorders>
            <w:vAlign w:val="top"/>
          </w:tcPr>
          <w:p w14:paraId="47B747AC">
            <w:pPr>
              <w:pStyle w:val="6"/>
              <w:spacing w:before="24" w:line="191" w:lineRule="auto"/>
              <w:ind w:left="81"/>
            </w:pPr>
            <w:r>
              <w:rPr>
                <w:spacing w:val="1"/>
              </w:rPr>
              <w:t>2.液压传动系统的组成及特点</w:t>
            </w:r>
          </w:p>
        </w:tc>
        <w:tc>
          <w:tcPr>
            <w:tcW w:w="229" w:type="dxa"/>
            <w:tcBorders>
              <w:top w:val="nil"/>
              <w:bottom w:val="nil"/>
            </w:tcBorders>
            <w:vAlign w:val="top"/>
          </w:tcPr>
          <w:p w14:paraId="0C5723CB">
            <w:pPr>
              <w:spacing w:line="200" w:lineRule="exact"/>
              <w:rPr>
                <w:rFonts w:ascii="Arial"/>
                <w:sz w:val="17"/>
              </w:rPr>
            </w:pPr>
          </w:p>
        </w:tc>
        <w:tc>
          <w:tcPr>
            <w:tcW w:w="229" w:type="dxa"/>
            <w:tcBorders>
              <w:top w:val="nil"/>
              <w:bottom w:val="nil"/>
            </w:tcBorders>
            <w:vAlign w:val="top"/>
          </w:tcPr>
          <w:p w14:paraId="7E91F85B">
            <w:pPr>
              <w:spacing w:line="200" w:lineRule="exact"/>
              <w:rPr>
                <w:rFonts w:ascii="Arial"/>
                <w:sz w:val="17"/>
              </w:rPr>
            </w:pPr>
          </w:p>
        </w:tc>
        <w:tc>
          <w:tcPr>
            <w:tcW w:w="229" w:type="dxa"/>
            <w:tcBorders>
              <w:top w:val="nil"/>
              <w:bottom w:val="nil"/>
            </w:tcBorders>
            <w:vAlign w:val="top"/>
          </w:tcPr>
          <w:p w14:paraId="53E48B77">
            <w:pPr>
              <w:spacing w:line="200" w:lineRule="exact"/>
              <w:rPr>
                <w:rFonts w:ascii="Arial"/>
                <w:sz w:val="17"/>
              </w:rPr>
            </w:pPr>
          </w:p>
        </w:tc>
        <w:tc>
          <w:tcPr>
            <w:tcW w:w="234" w:type="dxa"/>
            <w:tcBorders>
              <w:top w:val="nil"/>
              <w:bottom w:val="nil"/>
            </w:tcBorders>
            <w:vAlign w:val="top"/>
          </w:tcPr>
          <w:p w14:paraId="3C4839BA">
            <w:pPr>
              <w:spacing w:line="200" w:lineRule="exact"/>
              <w:rPr>
                <w:rFonts w:ascii="Arial"/>
                <w:sz w:val="17"/>
              </w:rPr>
            </w:pPr>
          </w:p>
        </w:tc>
      </w:tr>
      <w:tr w14:paraId="0ACB29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4" w:hRule="atLeast"/>
        </w:trPr>
        <w:tc>
          <w:tcPr>
            <w:tcW w:w="554" w:type="dxa"/>
            <w:tcBorders>
              <w:top w:val="nil"/>
            </w:tcBorders>
            <w:vAlign w:val="top"/>
          </w:tcPr>
          <w:p w14:paraId="165EC24D">
            <w:pPr>
              <w:pStyle w:val="6"/>
              <w:spacing w:before="24" w:line="219" w:lineRule="auto"/>
              <w:ind w:left="94"/>
            </w:pPr>
            <w:r>
              <w:rPr>
                <w:spacing w:val="-2"/>
              </w:rPr>
              <w:t>概述</w:t>
            </w:r>
          </w:p>
        </w:tc>
        <w:tc>
          <w:tcPr>
            <w:tcW w:w="2644" w:type="dxa"/>
            <w:tcBorders>
              <w:top w:val="nil"/>
            </w:tcBorders>
            <w:vAlign w:val="top"/>
          </w:tcPr>
          <w:p w14:paraId="5F09EC47">
            <w:pPr>
              <w:pStyle w:val="6"/>
              <w:spacing w:before="23" w:line="219" w:lineRule="auto"/>
              <w:ind w:left="81"/>
            </w:pPr>
            <w:r>
              <w:rPr>
                <w:spacing w:val="-1"/>
              </w:rPr>
              <w:t>3.液压传动的基本概念及计算</w:t>
            </w:r>
          </w:p>
        </w:tc>
        <w:tc>
          <w:tcPr>
            <w:tcW w:w="229" w:type="dxa"/>
            <w:tcBorders>
              <w:top w:val="nil"/>
            </w:tcBorders>
            <w:vAlign w:val="top"/>
          </w:tcPr>
          <w:p w14:paraId="7E354F98">
            <w:pPr>
              <w:rPr>
                <w:rFonts w:ascii="Arial"/>
                <w:sz w:val="21"/>
              </w:rPr>
            </w:pPr>
          </w:p>
        </w:tc>
        <w:tc>
          <w:tcPr>
            <w:tcW w:w="229" w:type="dxa"/>
            <w:tcBorders>
              <w:top w:val="nil"/>
            </w:tcBorders>
            <w:vAlign w:val="top"/>
          </w:tcPr>
          <w:p w14:paraId="11405824">
            <w:pPr>
              <w:rPr>
                <w:rFonts w:ascii="Arial"/>
                <w:sz w:val="21"/>
              </w:rPr>
            </w:pPr>
          </w:p>
        </w:tc>
        <w:tc>
          <w:tcPr>
            <w:tcW w:w="229" w:type="dxa"/>
            <w:tcBorders>
              <w:top w:val="nil"/>
            </w:tcBorders>
            <w:vAlign w:val="top"/>
          </w:tcPr>
          <w:p w14:paraId="41650A28">
            <w:pPr>
              <w:rPr>
                <w:rFonts w:ascii="Arial"/>
                <w:sz w:val="21"/>
              </w:rPr>
            </w:pPr>
          </w:p>
        </w:tc>
        <w:tc>
          <w:tcPr>
            <w:tcW w:w="234" w:type="dxa"/>
            <w:tcBorders>
              <w:top w:val="nil"/>
            </w:tcBorders>
            <w:vAlign w:val="top"/>
          </w:tcPr>
          <w:p w14:paraId="09B66A3E">
            <w:pPr>
              <w:rPr>
                <w:rFonts w:ascii="Arial"/>
                <w:sz w:val="21"/>
              </w:rPr>
            </w:pPr>
          </w:p>
        </w:tc>
      </w:tr>
      <w:tr w14:paraId="72AE83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86" w:hRule="atLeast"/>
        </w:trPr>
        <w:tc>
          <w:tcPr>
            <w:tcW w:w="554" w:type="dxa"/>
            <w:vAlign w:val="top"/>
          </w:tcPr>
          <w:p w14:paraId="5AA092BE">
            <w:pPr>
              <w:spacing w:line="335" w:lineRule="auto"/>
              <w:rPr>
                <w:rFonts w:ascii="Arial"/>
                <w:sz w:val="21"/>
              </w:rPr>
            </w:pPr>
          </w:p>
          <w:p w14:paraId="16DC31B4">
            <w:pPr>
              <w:spacing w:line="336" w:lineRule="auto"/>
              <w:rPr>
                <w:rFonts w:ascii="Arial"/>
                <w:sz w:val="21"/>
              </w:rPr>
            </w:pPr>
          </w:p>
          <w:p w14:paraId="642EA942">
            <w:pPr>
              <w:pStyle w:val="6"/>
              <w:spacing w:before="55" w:line="236" w:lineRule="auto"/>
              <w:ind w:left="94" w:right="114"/>
              <w:jc w:val="both"/>
            </w:pPr>
            <w:r>
              <w:rPr>
                <w:spacing w:val="-4"/>
              </w:rPr>
              <w:t>液压</w:t>
            </w:r>
            <w:r>
              <w:t xml:space="preserve"> </w:t>
            </w:r>
            <w:r>
              <w:rPr>
                <w:spacing w:val="-3"/>
              </w:rPr>
              <w:t>传动</w:t>
            </w:r>
            <w:r>
              <w:t xml:space="preserve"> </w:t>
            </w:r>
            <w:r>
              <w:rPr>
                <w:spacing w:val="-4"/>
              </w:rPr>
              <w:t>元件</w:t>
            </w:r>
          </w:p>
        </w:tc>
        <w:tc>
          <w:tcPr>
            <w:tcW w:w="2644" w:type="dxa"/>
            <w:vAlign w:val="top"/>
          </w:tcPr>
          <w:p w14:paraId="253DF339">
            <w:pPr>
              <w:pStyle w:val="6"/>
              <w:spacing w:before="201" w:line="236" w:lineRule="auto"/>
              <w:ind w:left="81" w:right="237" w:firstLine="19"/>
            </w:pPr>
            <w:r>
              <w:rPr>
                <w:spacing w:val="6"/>
              </w:rPr>
              <w:t>1.液压泵的分类、图形符号、</w:t>
            </w:r>
            <w:r>
              <w:t xml:space="preserve"> </w:t>
            </w:r>
            <w:r>
              <w:rPr>
                <w:spacing w:val="-1"/>
              </w:rPr>
              <w:t>工作原理及必备的工作条件</w:t>
            </w:r>
          </w:p>
          <w:p w14:paraId="5195BEE2">
            <w:pPr>
              <w:pStyle w:val="6"/>
              <w:spacing w:before="5" w:line="236" w:lineRule="auto"/>
              <w:ind w:left="81" w:right="361" w:hanging="10"/>
            </w:pPr>
            <w:r>
              <w:rPr>
                <w:spacing w:val="-1"/>
              </w:rPr>
              <w:t>2.活塞式液压缸的类型、图形</w:t>
            </w:r>
            <w:r>
              <w:rPr>
                <w:spacing w:val="4"/>
              </w:rPr>
              <w:t xml:space="preserve"> </w:t>
            </w:r>
            <w:r>
              <w:rPr>
                <w:spacing w:val="-1"/>
              </w:rPr>
              <w:t>符号和结构组成</w:t>
            </w:r>
          </w:p>
          <w:p w14:paraId="4738BF8A">
            <w:pPr>
              <w:pStyle w:val="6"/>
              <w:spacing w:before="4" w:line="219" w:lineRule="auto"/>
              <w:ind w:left="71"/>
            </w:pPr>
            <w:r>
              <w:t>3.方向控制阀、压力控制阀和</w:t>
            </w:r>
          </w:p>
          <w:p w14:paraId="65FAEE2F">
            <w:pPr>
              <w:pStyle w:val="6"/>
              <w:spacing w:before="27" w:line="230" w:lineRule="auto"/>
              <w:ind w:left="81" w:right="87"/>
            </w:pPr>
            <w:r>
              <w:rPr>
                <w:spacing w:val="6"/>
              </w:rPr>
              <w:t>流量控制阀的种类、图形符号、</w:t>
            </w:r>
            <w:r>
              <w:t xml:space="preserve"> </w:t>
            </w:r>
            <w:r>
              <w:rPr>
                <w:spacing w:val="2"/>
              </w:rPr>
              <w:t>工作原理及功用</w:t>
            </w:r>
          </w:p>
          <w:p w14:paraId="137E9703">
            <w:pPr>
              <w:pStyle w:val="6"/>
              <w:spacing w:before="7" w:line="219" w:lineRule="auto"/>
              <w:ind w:left="81"/>
            </w:pPr>
            <w:r>
              <w:rPr>
                <w:spacing w:val="1"/>
              </w:rPr>
              <w:t>4.液压各主要辅助元件的功用</w:t>
            </w:r>
          </w:p>
        </w:tc>
        <w:tc>
          <w:tcPr>
            <w:tcW w:w="229" w:type="dxa"/>
            <w:vAlign w:val="top"/>
          </w:tcPr>
          <w:p w14:paraId="6F67D138">
            <w:pPr>
              <w:rPr>
                <w:rFonts w:ascii="Arial"/>
                <w:sz w:val="21"/>
              </w:rPr>
            </w:pPr>
          </w:p>
        </w:tc>
        <w:tc>
          <w:tcPr>
            <w:tcW w:w="229" w:type="dxa"/>
            <w:vAlign w:val="top"/>
          </w:tcPr>
          <w:p w14:paraId="6075B271">
            <w:pPr>
              <w:rPr>
                <w:rFonts w:ascii="Arial"/>
                <w:sz w:val="21"/>
              </w:rPr>
            </w:pPr>
          </w:p>
        </w:tc>
        <w:tc>
          <w:tcPr>
            <w:tcW w:w="229" w:type="dxa"/>
            <w:vAlign w:val="top"/>
          </w:tcPr>
          <w:p w14:paraId="6144E69A">
            <w:pPr>
              <w:rPr>
                <w:rFonts w:ascii="Arial"/>
                <w:sz w:val="21"/>
              </w:rPr>
            </w:pPr>
          </w:p>
        </w:tc>
        <w:tc>
          <w:tcPr>
            <w:tcW w:w="234" w:type="dxa"/>
            <w:vAlign w:val="top"/>
          </w:tcPr>
          <w:p w14:paraId="0A3EDA38">
            <w:pPr>
              <w:rPr>
                <w:rFonts w:ascii="Arial"/>
                <w:sz w:val="21"/>
              </w:rPr>
            </w:pPr>
          </w:p>
        </w:tc>
      </w:tr>
      <w:tr w14:paraId="4EF5ED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73" w:hRule="atLeast"/>
        </w:trPr>
        <w:tc>
          <w:tcPr>
            <w:tcW w:w="554" w:type="dxa"/>
            <w:vAlign w:val="top"/>
          </w:tcPr>
          <w:p w14:paraId="0426593F">
            <w:pPr>
              <w:pStyle w:val="6"/>
              <w:spacing w:before="95" w:line="233" w:lineRule="auto"/>
              <w:ind w:left="94" w:right="114"/>
              <w:jc w:val="both"/>
            </w:pPr>
            <w:r>
              <w:rPr>
                <w:spacing w:val="-4"/>
              </w:rPr>
              <w:t>液压</w:t>
            </w:r>
            <w:r>
              <w:t xml:space="preserve"> </w:t>
            </w:r>
            <w:r>
              <w:rPr>
                <w:spacing w:val="-3"/>
              </w:rPr>
              <w:t>传动</w:t>
            </w:r>
            <w:r>
              <w:t xml:space="preserve"> </w:t>
            </w:r>
            <w:r>
              <w:rPr>
                <w:spacing w:val="-6"/>
              </w:rPr>
              <w:t>系统</w:t>
            </w:r>
          </w:p>
        </w:tc>
        <w:tc>
          <w:tcPr>
            <w:tcW w:w="2644" w:type="dxa"/>
            <w:vAlign w:val="top"/>
          </w:tcPr>
          <w:p w14:paraId="7E7641B4">
            <w:pPr>
              <w:spacing w:line="247" w:lineRule="auto"/>
              <w:rPr>
                <w:rFonts w:ascii="Arial"/>
                <w:sz w:val="21"/>
              </w:rPr>
            </w:pPr>
          </w:p>
          <w:p w14:paraId="3005D92F">
            <w:pPr>
              <w:pStyle w:val="6"/>
              <w:spacing w:before="55" w:line="219" w:lineRule="auto"/>
              <w:ind w:left="81"/>
            </w:pPr>
            <w:r>
              <w:rPr>
                <w:spacing w:val="-1"/>
              </w:rPr>
              <w:t>典型简单液压系统的工作分析</w:t>
            </w:r>
          </w:p>
        </w:tc>
        <w:tc>
          <w:tcPr>
            <w:tcW w:w="229" w:type="dxa"/>
            <w:vAlign w:val="top"/>
          </w:tcPr>
          <w:p w14:paraId="66AE24DA">
            <w:pPr>
              <w:rPr>
                <w:rFonts w:ascii="Arial"/>
                <w:sz w:val="21"/>
              </w:rPr>
            </w:pPr>
          </w:p>
        </w:tc>
        <w:tc>
          <w:tcPr>
            <w:tcW w:w="229" w:type="dxa"/>
            <w:vAlign w:val="top"/>
          </w:tcPr>
          <w:p w14:paraId="74CBF905">
            <w:pPr>
              <w:spacing w:line="292" w:lineRule="auto"/>
              <w:rPr>
                <w:rFonts w:ascii="Arial"/>
                <w:sz w:val="21"/>
              </w:rPr>
            </w:pPr>
          </w:p>
          <w:p w14:paraId="1B83BCC8">
            <w:pPr>
              <w:pStyle w:val="6"/>
              <w:spacing w:before="42" w:line="238" w:lineRule="auto"/>
              <w:ind w:left="48"/>
              <w:rPr>
                <w:sz w:val="13"/>
                <w:szCs w:val="13"/>
              </w:rPr>
            </w:pPr>
            <w:r>
              <w:rPr>
                <w:sz w:val="13"/>
                <w:szCs w:val="13"/>
              </w:rPr>
              <w:t>√</w:t>
            </w:r>
          </w:p>
        </w:tc>
        <w:tc>
          <w:tcPr>
            <w:tcW w:w="229" w:type="dxa"/>
            <w:vAlign w:val="top"/>
          </w:tcPr>
          <w:p w14:paraId="17707EE3">
            <w:pPr>
              <w:rPr>
                <w:rFonts w:ascii="Arial"/>
                <w:sz w:val="21"/>
              </w:rPr>
            </w:pPr>
          </w:p>
        </w:tc>
        <w:tc>
          <w:tcPr>
            <w:tcW w:w="234" w:type="dxa"/>
            <w:vAlign w:val="top"/>
          </w:tcPr>
          <w:p w14:paraId="4171B798">
            <w:pPr>
              <w:rPr>
                <w:rFonts w:ascii="Arial"/>
                <w:sz w:val="21"/>
              </w:rPr>
            </w:pPr>
          </w:p>
        </w:tc>
      </w:tr>
    </w:tbl>
    <w:p w14:paraId="79F5A419">
      <w:pPr>
        <w:spacing w:before="119" w:line="222" w:lineRule="auto"/>
        <w:ind w:left="1187"/>
        <w:rPr>
          <w:rFonts w:ascii="黑体" w:hAnsi="黑体" w:eastAsia="黑体" w:cs="黑体"/>
          <w:sz w:val="20"/>
          <w:szCs w:val="20"/>
        </w:rPr>
      </w:pPr>
      <w:r>
        <w:rPr>
          <w:rFonts w:ascii="黑体" w:hAnsi="黑体" w:eastAsia="黑体" w:cs="黑体"/>
          <w:b/>
          <w:bCs/>
          <w:spacing w:val="4"/>
          <w:sz w:val="20"/>
          <w:szCs w:val="20"/>
        </w:rPr>
        <w:t>第二部分</w:t>
      </w:r>
      <w:r>
        <w:rPr>
          <w:rFonts w:ascii="黑体" w:hAnsi="黑体" w:eastAsia="黑体" w:cs="黑体"/>
          <w:spacing w:val="33"/>
          <w:sz w:val="20"/>
          <w:szCs w:val="20"/>
        </w:rPr>
        <w:t xml:space="preserve"> </w:t>
      </w:r>
      <w:r>
        <w:rPr>
          <w:rFonts w:ascii="黑体" w:hAnsi="黑体" w:eastAsia="黑体" w:cs="黑体"/>
          <w:b/>
          <w:bCs/>
          <w:spacing w:val="4"/>
          <w:sz w:val="20"/>
          <w:szCs w:val="20"/>
        </w:rPr>
        <w:t>机械制图</w:t>
      </w:r>
    </w:p>
    <w:p w14:paraId="0AA7A1E6">
      <w:pPr>
        <w:spacing w:line="170" w:lineRule="exact"/>
      </w:pPr>
    </w:p>
    <w:tbl>
      <w:tblPr>
        <w:tblStyle w:val="5"/>
        <w:tblW w:w="414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74"/>
        <w:gridCol w:w="2634"/>
        <w:gridCol w:w="239"/>
        <w:gridCol w:w="230"/>
        <w:gridCol w:w="239"/>
        <w:gridCol w:w="224"/>
      </w:tblGrid>
      <w:tr w14:paraId="07C36F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9" w:hRule="atLeast"/>
        </w:trPr>
        <w:tc>
          <w:tcPr>
            <w:tcW w:w="574" w:type="dxa"/>
            <w:vMerge w:val="restart"/>
            <w:tcBorders>
              <w:top w:val="single" w:color="000000" w:sz="2" w:space="0"/>
              <w:bottom w:val="nil"/>
            </w:tcBorders>
            <w:vAlign w:val="top"/>
          </w:tcPr>
          <w:p w14:paraId="6C59DEB6">
            <w:pPr>
              <w:pStyle w:val="6"/>
              <w:spacing w:before="77" w:line="221" w:lineRule="auto"/>
              <w:ind w:left="97"/>
              <w:rPr>
                <w:sz w:val="18"/>
                <w:szCs w:val="18"/>
              </w:rPr>
            </w:pPr>
            <w:r>
              <w:rPr>
                <w:b/>
                <w:bCs/>
                <w:spacing w:val="-5"/>
                <w:sz w:val="18"/>
                <w:szCs w:val="18"/>
              </w:rPr>
              <w:t>知识</w:t>
            </w:r>
          </w:p>
          <w:p w14:paraId="444FAC7D">
            <w:pPr>
              <w:pStyle w:val="6"/>
              <w:spacing w:before="3" w:line="221" w:lineRule="auto"/>
              <w:ind w:left="7"/>
              <w:rPr>
                <w:sz w:val="18"/>
                <w:szCs w:val="18"/>
              </w:rPr>
            </w:pPr>
            <w:r>
              <w:rPr>
                <w:b/>
                <w:bCs/>
                <w:spacing w:val="-5"/>
                <w:sz w:val="18"/>
                <w:szCs w:val="18"/>
              </w:rPr>
              <w:t>与技能</w:t>
            </w:r>
          </w:p>
          <w:p w14:paraId="5D17C85A">
            <w:pPr>
              <w:pStyle w:val="6"/>
              <w:spacing w:before="16" w:line="222" w:lineRule="auto"/>
              <w:ind w:left="97"/>
              <w:rPr>
                <w:sz w:val="18"/>
                <w:szCs w:val="18"/>
              </w:rPr>
            </w:pPr>
            <w:r>
              <w:rPr>
                <w:b/>
                <w:bCs/>
                <w:spacing w:val="-4"/>
                <w:sz w:val="18"/>
                <w:szCs w:val="18"/>
              </w:rPr>
              <w:t>要点</w:t>
            </w:r>
          </w:p>
        </w:tc>
        <w:tc>
          <w:tcPr>
            <w:tcW w:w="2634" w:type="dxa"/>
            <w:vMerge w:val="restart"/>
            <w:tcBorders>
              <w:top w:val="single" w:color="000000" w:sz="2" w:space="0"/>
              <w:bottom w:val="nil"/>
            </w:tcBorders>
            <w:vAlign w:val="top"/>
          </w:tcPr>
          <w:p w14:paraId="4757360B">
            <w:pPr>
              <w:pStyle w:val="6"/>
              <w:spacing w:before="294" w:line="219" w:lineRule="auto"/>
              <w:ind w:left="1013"/>
              <w:rPr>
                <w:sz w:val="18"/>
                <w:szCs w:val="18"/>
              </w:rPr>
            </w:pPr>
            <w:r>
              <w:rPr>
                <w:b/>
                <w:bCs/>
                <w:spacing w:val="5"/>
                <w:sz w:val="18"/>
                <w:szCs w:val="18"/>
              </w:rPr>
              <w:t>考试条目</w:t>
            </w:r>
          </w:p>
        </w:tc>
        <w:tc>
          <w:tcPr>
            <w:tcW w:w="932" w:type="dxa"/>
            <w:gridSpan w:val="4"/>
            <w:tcBorders>
              <w:top w:val="single" w:color="000000" w:sz="2" w:space="0"/>
              <w:bottom w:val="single" w:color="000000" w:sz="2" w:space="0"/>
            </w:tcBorders>
            <w:vAlign w:val="top"/>
          </w:tcPr>
          <w:p w14:paraId="1EE7F9F9">
            <w:pPr>
              <w:pStyle w:val="6"/>
              <w:spacing w:before="104" w:line="219" w:lineRule="auto"/>
              <w:ind w:left="149"/>
              <w:rPr>
                <w:sz w:val="18"/>
                <w:szCs w:val="18"/>
              </w:rPr>
            </w:pPr>
            <w:r>
              <w:rPr>
                <w:b/>
                <w:bCs/>
                <w:spacing w:val="-4"/>
                <w:sz w:val="18"/>
                <w:szCs w:val="18"/>
              </w:rPr>
              <w:t>考试水平</w:t>
            </w:r>
          </w:p>
        </w:tc>
      </w:tr>
      <w:tr w14:paraId="6F0207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4" w:hRule="atLeast"/>
        </w:trPr>
        <w:tc>
          <w:tcPr>
            <w:tcW w:w="574" w:type="dxa"/>
            <w:vMerge w:val="continue"/>
            <w:tcBorders>
              <w:top w:val="nil"/>
              <w:bottom w:val="single" w:color="000000" w:sz="2" w:space="0"/>
            </w:tcBorders>
            <w:vAlign w:val="top"/>
          </w:tcPr>
          <w:p w14:paraId="1F5C5EB0">
            <w:pPr>
              <w:rPr>
                <w:rFonts w:ascii="Arial"/>
                <w:sz w:val="21"/>
              </w:rPr>
            </w:pPr>
          </w:p>
        </w:tc>
        <w:tc>
          <w:tcPr>
            <w:tcW w:w="2634" w:type="dxa"/>
            <w:vMerge w:val="continue"/>
            <w:tcBorders>
              <w:top w:val="nil"/>
              <w:bottom w:val="single" w:color="000000" w:sz="2" w:space="0"/>
            </w:tcBorders>
            <w:vAlign w:val="top"/>
          </w:tcPr>
          <w:p w14:paraId="15E36C89">
            <w:pPr>
              <w:rPr>
                <w:rFonts w:ascii="Arial"/>
                <w:sz w:val="21"/>
              </w:rPr>
            </w:pPr>
          </w:p>
        </w:tc>
        <w:tc>
          <w:tcPr>
            <w:tcW w:w="239" w:type="dxa"/>
            <w:tcBorders>
              <w:top w:val="single" w:color="000000" w:sz="2" w:space="0"/>
              <w:bottom w:val="single" w:color="000000" w:sz="2" w:space="0"/>
            </w:tcBorders>
            <w:vAlign w:val="top"/>
          </w:tcPr>
          <w:p w14:paraId="168E70FA">
            <w:pPr>
              <w:pStyle w:val="6"/>
              <w:spacing w:before="148" w:line="184" w:lineRule="auto"/>
              <w:jc w:val="right"/>
              <w:rPr>
                <w:sz w:val="18"/>
                <w:szCs w:val="18"/>
              </w:rPr>
            </w:pPr>
            <w:r>
              <w:rPr>
                <w:b/>
                <w:bCs/>
                <w:spacing w:val="-2"/>
                <w:w w:val="88"/>
                <w:sz w:val="18"/>
                <w:szCs w:val="18"/>
              </w:rPr>
              <w:t>A</w:t>
            </w:r>
          </w:p>
        </w:tc>
        <w:tc>
          <w:tcPr>
            <w:tcW w:w="230" w:type="dxa"/>
            <w:tcBorders>
              <w:top w:val="single" w:color="000000" w:sz="2" w:space="0"/>
              <w:bottom w:val="single" w:color="000000" w:sz="2" w:space="0"/>
            </w:tcBorders>
            <w:vAlign w:val="top"/>
          </w:tcPr>
          <w:p w14:paraId="29FB8545">
            <w:pPr>
              <w:pStyle w:val="6"/>
              <w:spacing w:before="150" w:line="182" w:lineRule="auto"/>
              <w:ind w:left="60"/>
              <w:rPr>
                <w:sz w:val="18"/>
                <w:szCs w:val="18"/>
              </w:rPr>
            </w:pPr>
            <w:r>
              <w:rPr>
                <w:b/>
                <w:bCs/>
                <w:spacing w:val="-2"/>
                <w:sz w:val="18"/>
                <w:szCs w:val="18"/>
              </w:rPr>
              <w:t>B</w:t>
            </w:r>
          </w:p>
        </w:tc>
        <w:tc>
          <w:tcPr>
            <w:tcW w:w="239" w:type="dxa"/>
            <w:tcBorders>
              <w:top w:val="single" w:color="000000" w:sz="2" w:space="0"/>
              <w:bottom w:val="single" w:color="000000" w:sz="2" w:space="0"/>
            </w:tcBorders>
            <w:vAlign w:val="top"/>
          </w:tcPr>
          <w:p w14:paraId="753F6DA8">
            <w:pPr>
              <w:pStyle w:val="6"/>
              <w:spacing w:before="148" w:line="183" w:lineRule="auto"/>
              <w:ind w:left="20"/>
              <w:rPr>
                <w:sz w:val="18"/>
                <w:szCs w:val="18"/>
              </w:rPr>
            </w:pPr>
            <w:r>
              <w:rPr>
                <w:b/>
                <w:bCs/>
                <w:spacing w:val="-2"/>
                <w:sz w:val="18"/>
                <w:szCs w:val="18"/>
              </w:rPr>
              <w:t>C</w:t>
            </w:r>
          </w:p>
        </w:tc>
        <w:tc>
          <w:tcPr>
            <w:tcW w:w="224" w:type="dxa"/>
            <w:tcBorders>
              <w:top w:val="single" w:color="000000" w:sz="2" w:space="0"/>
              <w:bottom w:val="single" w:color="000000" w:sz="2" w:space="0"/>
            </w:tcBorders>
            <w:vAlign w:val="top"/>
          </w:tcPr>
          <w:p w14:paraId="23DC2FF5">
            <w:pPr>
              <w:pStyle w:val="6"/>
              <w:spacing w:before="150" w:line="182" w:lineRule="auto"/>
              <w:ind w:left="41"/>
              <w:rPr>
                <w:sz w:val="18"/>
                <w:szCs w:val="18"/>
              </w:rPr>
            </w:pPr>
            <w:r>
              <w:rPr>
                <w:b/>
                <w:bCs/>
                <w:spacing w:val="-2"/>
                <w:sz w:val="18"/>
                <w:szCs w:val="18"/>
              </w:rPr>
              <w:t>D</w:t>
            </w:r>
          </w:p>
        </w:tc>
      </w:tr>
      <w:tr w14:paraId="20E499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64" w:hRule="atLeast"/>
        </w:trPr>
        <w:tc>
          <w:tcPr>
            <w:tcW w:w="574" w:type="dxa"/>
            <w:tcBorders>
              <w:top w:val="single" w:color="000000" w:sz="2" w:space="0"/>
              <w:bottom w:val="single" w:color="000000" w:sz="2" w:space="0"/>
            </w:tcBorders>
            <w:vAlign w:val="top"/>
          </w:tcPr>
          <w:p w14:paraId="00DF02D6">
            <w:pPr>
              <w:pStyle w:val="6"/>
              <w:spacing w:before="183" w:line="222" w:lineRule="auto"/>
              <w:ind w:left="94" w:right="93"/>
              <w:jc w:val="both"/>
              <w:rPr>
                <w:sz w:val="18"/>
                <w:szCs w:val="18"/>
              </w:rPr>
            </w:pPr>
            <w:r>
              <w:rPr>
                <w:spacing w:val="-6"/>
                <w:sz w:val="18"/>
                <w:szCs w:val="18"/>
              </w:rPr>
              <w:t>正投</w:t>
            </w:r>
            <w:r>
              <w:rPr>
                <w:sz w:val="18"/>
                <w:szCs w:val="18"/>
              </w:rPr>
              <w:t xml:space="preserve"> </w:t>
            </w:r>
            <w:r>
              <w:rPr>
                <w:spacing w:val="-4"/>
                <w:sz w:val="18"/>
                <w:szCs w:val="18"/>
              </w:rPr>
              <w:t>影法</w:t>
            </w:r>
            <w:r>
              <w:rPr>
                <w:sz w:val="18"/>
                <w:szCs w:val="18"/>
              </w:rPr>
              <w:t xml:space="preserve"> </w:t>
            </w:r>
            <w:r>
              <w:rPr>
                <w:spacing w:val="-4"/>
                <w:sz w:val="18"/>
                <w:szCs w:val="18"/>
              </w:rPr>
              <w:t>和三</w:t>
            </w:r>
            <w:r>
              <w:rPr>
                <w:sz w:val="18"/>
                <w:szCs w:val="18"/>
              </w:rPr>
              <w:t xml:space="preserve"> </w:t>
            </w:r>
            <w:r>
              <w:rPr>
                <w:spacing w:val="7"/>
                <w:sz w:val="18"/>
                <w:szCs w:val="18"/>
              </w:rPr>
              <w:t>视图</w:t>
            </w:r>
          </w:p>
        </w:tc>
        <w:tc>
          <w:tcPr>
            <w:tcW w:w="2634" w:type="dxa"/>
            <w:tcBorders>
              <w:top w:val="single" w:color="000000" w:sz="2" w:space="0"/>
              <w:bottom w:val="single" w:color="000000" w:sz="2" w:space="0"/>
            </w:tcBorders>
            <w:vAlign w:val="top"/>
          </w:tcPr>
          <w:p w14:paraId="40DD45AB">
            <w:pPr>
              <w:pStyle w:val="6"/>
              <w:spacing w:before="183" w:line="226" w:lineRule="auto"/>
              <w:ind w:left="11" w:right="805"/>
              <w:rPr>
                <w:sz w:val="18"/>
                <w:szCs w:val="18"/>
              </w:rPr>
            </w:pPr>
            <w:r>
              <w:rPr>
                <w:sz w:val="18"/>
                <w:szCs w:val="18"/>
              </w:rPr>
              <w:t>1.投影法的概念与分类</w:t>
            </w:r>
            <w:r>
              <w:rPr>
                <w:spacing w:val="6"/>
                <w:sz w:val="18"/>
                <w:szCs w:val="18"/>
              </w:rPr>
              <w:t xml:space="preserve"> </w:t>
            </w:r>
            <w:r>
              <w:rPr>
                <w:spacing w:val="-1"/>
                <w:sz w:val="18"/>
                <w:szCs w:val="18"/>
              </w:rPr>
              <w:t>2.正投影的特性</w:t>
            </w:r>
          </w:p>
          <w:p w14:paraId="64613C41">
            <w:pPr>
              <w:pStyle w:val="6"/>
              <w:spacing w:line="222" w:lineRule="auto"/>
              <w:ind w:left="11" w:right="66" w:firstLine="10"/>
              <w:rPr>
                <w:sz w:val="18"/>
                <w:szCs w:val="18"/>
              </w:rPr>
            </w:pPr>
            <w:r>
              <w:rPr>
                <w:spacing w:val="1"/>
                <w:sz w:val="18"/>
                <w:szCs w:val="18"/>
              </w:rPr>
              <w:t>3.三视图的形成、六向方位关系</w:t>
            </w:r>
            <w:r>
              <w:rPr>
                <w:sz w:val="18"/>
                <w:szCs w:val="18"/>
              </w:rPr>
              <w:t xml:space="preserve"> </w:t>
            </w:r>
            <w:r>
              <w:rPr>
                <w:spacing w:val="-1"/>
                <w:sz w:val="18"/>
                <w:szCs w:val="18"/>
              </w:rPr>
              <w:t>及三视图的投影规律</w:t>
            </w:r>
          </w:p>
        </w:tc>
        <w:tc>
          <w:tcPr>
            <w:tcW w:w="239" w:type="dxa"/>
            <w:tcBorders>
              <w:top w:val="single" w:color="000000" w:sz="2" w:space="0"/>
              <w:bottom w:val="single" w:color="000000" w:sz="2" w:space="0"/>
            </w:tcBorders>
            <w:vAlign w:val="top"/>
          </w:tcPr>
          <w:p w14:paraId="36447DCF">
            <w:pPr>
              <w:pStyle w:val="6"/>
              <w:spacing w:before="212" w:line="238" w:lineRule="auto"/>
              <w:ind w:left="16"/>
              <w:rPr>
                <w:sz w:val="18"/>
                <w:szCs w:val="18"/>
              </w:rPr>
            </w:pPr>
            <w:r>
              <w:rPr>
                <w:sz w:val="18"/>
                <w:szCs w:val="18"/>
              </w:rPr>
              <w:t>√</w:t>
            </w:r>
          </w:p>
        </w:tc>
        <w:tc>
          <w:tcPr>
            <w:tcW w:w="230" w:type="dxa"/>
            <w:tcBorders>
              <w:top w:val="single" w:color="000000" w:sz="2" w:space="0"/>
              <w:bottom w:val="single" w:color="000000" w:sz="2" w:space="0"/>
            </w:tcBorders>
            <w:vAlign w:val="top"/>
          </w:tcPr>
          <w:p w14:paraId="0404F2BB">
            <w:pPr>
              <w:rPr>
                <w:rFonts w:ascii="Arial"/>
                <w:sz w:val="21"/>
              </w:rPr>
            </w:pPr>
          </w:p>
        </w:tc>
        <w:tc>
          <w:tcPr>
            <w:tcW w:w="239" w:type="dxa"/>
            <w:tcBorders>
              <w:top w:val="single" w:color="000000" w:sz="2" w:space="0"/>
              <w:bottom w:val="single" w:color="000000" w:sz="2" w:space="0"/>
            </w:tcBorders>
            <w:vAlign w:val="top"/>
          </w:tcPr>
          <w:p w14:paraId="4A0497C1">
            <w:pPr>
              <w:rPr>
                <w:rFonts w:ascii="Arial"/>
                <w:sz w:val="21"/>
              </w:rPr>
            </w:pPr>
          </w:p>
        </w:tc>
        <w:tc>
          <w:tcPr>
            <w:tcW w:w="224" w:type="dxa"/>
            <w:tcBorders>
              <w:top w:val="single" w:color="000000" w:sz="2" w:space="0"/>
              <w:bottom w:val="single" w:color="000000" w:sz="2" w:space="0"/>
            </w:tcBorders>
            <w:vAlign w:val="top"/>
          </w:tcPr>
          <w:p w14:paraId="08C6B599">
            <w:pPr>
              <w:rPr>
                <w:rFonts w:ascii="Arial"/>
                <w:sz w:val="21"/>
              </w:rPr>
            </w:pPr>
          </w:p>
        </w:tc>
      </w:tr>
      <w:tr w14:paraId="7B15B9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34" w:hRule="atLeast"/>
        </w:trPr>
        <w:tc>
          <w:tcPr>
            <w:tcW w:w="574" w:type="dxa"/>
            <w:tcBorders>
              <w:top w:val="single" w:color="000000" w:sz="2" w:space="0"/>
              <w:bottom w:val="single" w:color="000000" w:sz="2" w:space="0"/>
            </w:tcBorders>
            <w:vAlign w:val="top"/>
          </w:tcPr>
          <w:p w14:paraId="7A33665D">
            <w:pPr>
              <w:pStyle w:val="6"/>
              <w:spacing w:before="147" w:line="224" w:lineRule="auto"/>
              <w:ind w:left="94" w:right="19"/>
              <w:jc w:val="both"/>
              <w:rPr>
                <w:sz w:val="18"/>
                <w:szCs w:val="18"/>
              </w:rPr>
            </w:pPr>
            <w:r>
              <w:rPr>
                <w:spacing w:val="-22"/>
                <w:sz w:val="18"/>
                <w:szCs w:val="18"/>
              </w:rPr>
              <w:t>点</w:t>
            </w:r>
            <w:r>
              <w:rPr>
                <w:spacing w:val="42"/>
                <w:w w:val="101"/>
                <w:sz w:val="18"/>
                <w:szCs w:val="18"/>
              </w:rPr>
              <w:t xml:space="preserve"> </w:t>
            </w:r>
            <w:r>
              <w:rPr>
                <w:spacing w:val="-22"/>
                <w:sz w:val="18"/>
                <w:szCs w:val="18"/>
              </w:rPr>
              <w:t>、</w:t>
            </w:r>
            <w:r>
              <w:rPr>
                <w:sz w:val="18"/>
                <w:szCs w:val="18"/>
              </w:rPr>
              <w:t xml:space="preserve"> </w:t>
            </w:r>
            <w:r>
              <w:rPr>
                <w:spacing w:val="6"/>
                <w:sz w:val="18"/>
                <w:szCs w:val="18"/>
              </w:rPr>
              <w:t>直线</w:t>
            </w:r>
            <w:r>
              <w:rPr>
                <w:sz w:val="18"/>
                <w:szCs w:val="18"/>
              </w:rPr>
              <w:t xml:space="preserve">  </w:t>
            </w:r>
            <w:r>
              <w:rPr>
                <w:spacing w:val="-4"/>
                <w:sz w:val="18"/>
                <w:szCs w:val="18"/>
              </w:rPr>
              <w:t>和平</w:t>
            </w:r>
            <w:r>
              <w:rPr>
                <w:sz w:val="18"/>
                <w:szCs w:val="18"/>
              </w:rPr>
              <w:t xml:space="preserve">  </w:t>
            </w:r>
            <w:r>
              <w:rPr>
                <w:spacing w:val="7"/>
                <w:sz w:val="18"/>
                <w:szCs w:val="18"/>
              </w:rPr>
              <w:t>面的</w:t>
            </w:r>
            <w:r>
              <w:rPr>
                <w:sz w:val="18"/>
                <w:szCs w:val="18"/>
              </w:rPr>
              <w:t xml:space="preserve">  </w:t>
            </w:r>
            <w:r>
              <w:rPr>
                <w:spacing w:val="-3"/>
                <w:sz w:val="18"/>
                <w:szCs w:val="18"/>
              </w:rPr>
              <w:t>投影</w:t>
            </w:r>
          </w:p>
        </w:tc>
        <w:tc>
          <w:tcPr>
            <w:tcW w:w="2634" w:type="dxa"/>
            <w:tcBorders>
              <w:top w:val="single" w:color="000000" w:sz="2" w:space="0"/>
              <w:bottom w:val="single" w:color="000000" w:sz="2" w:space="0"/>
            </w:tcBorders>
            <w:vAlign w:val="top"/>
          </w:tcPr>
          <w:p w14:paraId="34DF7CF7">
            <w:pPr>
              <w:spacing w:line="324" w:lineRule="auto"/>
              <w:rPr>
                <w:rFonts w:ascii="Arial"/>
                <w:sz w:val="21"/>
              </w:rPr>
            </w:pPr>
          </w:p>
          <w:p w14:paraId="6B7A4E67">
            <w:pPr>
              <w:pStyle w:val="6"/>
              <w:spacing w:before="59" w:line="212" w:lineRule="auto"/>
              <w:ind w:left="11" w:right="66" w:firstLine="20"/>
              <w:rPr>
                <w:sz w:val="18"/>
                <w:szCs w:val="18"/>
              </w:rPr>
            </w:pPr>
            <w:r>
              <w:rPr>
                <w:sz w:val="18"/>
                <w:szCs w:val="18"/>
              </w:rPr>
              <w:t>1.点的三面投影及点的投影规律</w:t>
            </w:r>
            <w:r>
              <w:rPr>
                <w:spacing w:val="5"/>
                <w:sz w:val="18"/>
                <w:szCs w:val="18"/>
              </w:rPr>
              <w:t xml:space="preserve"> </w:t>
            </w:r>
            <w:r>
              <w:rPr>
                <w:spacing w:val="-1"/>
                <w:sz w:val="18"/>
                <w:szCs w:val="18"/>
              </w:rPr>
              <w:t>2.直线的三面投影及投影特性</w:t>
            </w:r>
          </w:p>
          <w:p w14:paraId="3F2AC761">
            <w:pPr>
              <w:pStyle w:val="6"/>
              <w:spacing w:before="26" w:line="219" w:lineRule="auto"/>
              <w:ind w:left="11"/>
              <w:rPr>
                <w:sz w:val="18"/>
                <w:szCs w:val="18"/>
              </w:rPr>
            </w:pPr>
            <w:r>
              <w:rPr>
                <w:spacing w:val="-1"/>
                <w:sz w:val="18"/>
                <w:szCs w:val="18"/>
              </w:rPr>
              <w:t>3.平面的三面投影及投影特性</w:t>
            </w:r>
          </w:p>
        </w:tc>
        <w:tc>
          <w:tcPr>
            <w:tcW w:w="239" w:type="dxa"/>
            <w:tcBorders>
              <w:top w:val="single" w:color="000000" w:sz="2" w:space="0"/>
              <w:bottom w:val="single" w:color="000000" w:sz="2" w:space="0"/>
            </w:tcBorders>
            <w:vAlign w:val="top"/>
          </w:tcPr>
          <w:p w14:paraId="5E6F4A5A">
            <w:pPr>
              <w:rPr>
                <w:rFonts w:ascii="Arial"/>
                <w:sz w:val="21"/>
              </w:rPr>
            </w:pPr>
          </w:p>
        </w:tc>
        <w:tc>
          <w:tcPr>
            <w:tcW w:w="230" w:type="dxa"/>
            <w:tcBorders>
              <w:top w:val="single" w:color="000000" w:sz="2" w:space="0"/>
              <w:bottom w:val="single" w:color="000000" w:sz="2" w:space="0"/>
            </w:tcBorders>
            <w:vAlign w:val="top"/>
          </w:tcPr>
          <w:p w14:paraId="0CB930C4">
            <w:pPr>
              <w:rPr>
                <w:rFonts w:ascii="Arial"/>
                <w:sz w:val="21"/>
              </w:rPr>
            </w:pPr>
          </w:p>
        </w:tc>
        <w:tc>
          <w:tcPr>
            <w:tcW w:w="239" w:type="dxa"/>
            <w:tcBorders>
              <w:top w:val="single" w:color="000000" w:sz="2" w:space="0"/>
              <w:bottom w:val="single" w:color="000000" w:sz="2" w:space="0"/>
            </w:tcBorders>
            <w:vAlign w:val="top"/>
          </w:tcPr>
          <w:p w14:paraId="2FD17B88">
            <w:pPr>
              <w:spacing w:line="411" w:lineRule="auto"/>
              <w:rPr>
                <w:rFonts w:ascii="Arial"/>
                <w:sz w:val="21"/>
              </w:rPr>
            </w:pPr>
          </w:p>
          <w:p w14:paraId="041DE8E0">
            <w:pPr>
              <w:spacing w:line="526" w:lineRule="exact"/>
              <w:ind w:firstLine="49"/>
            </w:pPr>
            <w:r>
              <w:rPr>
                <w:position w:val="-10"/>
              </w:rPr>
              <w:drawing>
                <wp:inline distT="0" distB="0" distL="0" distR="0">
                  <wp:extent cx="92075" cy="334010"/>
                  <wp:effectExtent l="0" t="0" r="0" b="0"/>
                  <wp:docPr id="94" name="IM 94"/>
                  <wp:cNvGraphicFramePr/>
                  <a:graphic xmlns:a="http://schemas.openxmlformats.org/drawingml/2006/main">
                    <a:graphicData uri="http://schemas.openxmlformats.org/drawingml/2006/picture">
                      <pic:pic xmlns:pic="http://schemas.openxmlformats.org/drawingml/2006/picture">
                        <pic:nvPicPr>
                          <pic:cNvPr id="94" name="IM 94"/>
                          <pic:cNvPicPr/>
                        </pic:nvPicPr>
                        <pic:blipFill>
                          <a:blip r:embed="rId212"/>
                          <a:stretch>
                            <a:fillRect/>
                          </a:stretch>
                        </pic:blipFill>
                        <pic:spPr>
                          <a:xfrm>
                            <a:off x="0" y="0"/>
                            <a:ext cx="92633" cy="334055"/>
                          </a:xfrm>
                          <a:prstGeom prst="rect">
                            <a:avLst/>
                          </a:prstGeom>
                        </pic:spPr>
                      </pic:pic>
                    </a:graphicData>
                  </a:graphic>
                </wp:inline>
              </w:drawing>
            </w:r>
          </w:p>
        </w:tc>
        <w:tc>
          <w:tcPr>
            <w:tcW w:w="224" w:type="dxa"/>
            <w:tcBorders>
              <w:top w:val="single" w:color="000000" w:sz="2" w:space="0"/>
              <w:bottom w:val="single" w:color="000000" w:sz="2" w:space="0"/>
            </w:tcBorders>
            <w:vAlign w:val="top"/>
          </w:tcPr>
          <w:p w14:paraId="5189AB0A">
            <w:pPr>
              <w:rPr>
                <w:rFonts w:ascii="Arial"/>
                <w:sz w:val="21"/>
              </w:rPr>
            </w:pPr>
          </w:p>
        </w:tc>
      </w:tr>
      <w:tr w14:paraId="589A8C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84" w:hRule="atLeast"/>
        </w:trPr>
        <w:tc>
          <w:tcPr>
            <w:tcW w:w="574" w:type="dxa"/>
            <w:tcBorders>
              <w:top w:val="single" w:color="000000" w:sz="2" w:space="0"/>
              <w:bottom w:val="single" w:color="000000" w:sz="2" w:space="0"/>
            </w:tcBorders>
            <w:vAlign w:val="top"/>
          </w:tcPr>
          <w:p w14:paraId="3765C3A5">
            <w:pPr>
              <w:spacing w:line="244" w:lineRule="auto"/>
              <w:rPr>
                <w:rFonts w:ascii="Arial"/>
                <w:sz w:val="21"/>
              </w:rPr>
            </w:pPr>
          </w:p>
          <w:p w14:paraId="3FA75F31">
            <w:pPr>
              <w:pStyle w:val="6"/>
              <w:spacing w:before="58" w:line="219" w:lineRule="auto"/>
              <w:ind w:left="94"/>
              <w:rPr>
                <w:sz w:val="18"/>
                <w:szCs w:val="18"/>
              </w:rPr>
            </w:pPr>
            <w:r>
              <w:rPr>
                <w:spacing w:val="-2"/>
                <w:sz w:val="18"/>
                <w:szCs w:val="18"/>
              </w:rPr>
              <w:t>基本</w:t>
            </w:r>
          </w:p>
          <w:p w14:paraId="0CCCF789">
            <w:pPr>
              <w:pStyle w:val="6"/>
              <w:spacing w:before="8" w:line="221" w:lineRule="auto"/>
              <w:ind w:left="185"/>
              <w:rPr>
                <w:sz w:val="18"/>
                <w:szCs w:val="18"/>
              </w:rPr>
            </w:pPr>
            <w:r>
              <w:rPr>
                <w:sz w:val="18"/>
                <w:szCs w:val="18"/>
              </w:rPr>
              <w:t>体</w:t>
            </w:r>
          </w:p>
        </w:tc>
        <w:tc>
          <w:tcPr>
            <w:tcW w:w="2634" w:type="dxa"/>
            <w:tcBorders>
              <w:top w:val="single" w:color="000000" w:sz="2" w:space="0"/>
              <w:bottom w:val="single" w:color="000000" w:sz="2" w:space="0"/>
            </w:tcBorders>
            <w:vAlign w:val="top"/>
          </w:tcPr>
          <w:p w14:paraId="2FA83E45">
            <w:pPr>
              <w:pStyle w:val="6"/>
              <w:spacing w:before="204" w:line="219" w:lineRule="auto"/>
              <w:ind w:left="11"/>
              <w:rPr>
                <w:sz w:val="18"/>
                <w:szCs w:val="18"/>
              </w:rPr>
            </w:pPr>
            <w:r>
              <w:rPr>
                <w:sz w:val="18"/>
                <w:szCs w:val="18"/>
              </w:rPr>
              <w:t>1.基本体的视图画法</w:t>
            </w:r>
          </w:p>
          <w:p w14:paraId="582BF014">
            <w:pPr>
              <w:pStyle w:val="6"/>
              <w:spacing w:before="7" w:line="222" w:lineRule="auto"/>
              <w:ind w:left="11" w:right="642"/>
              <w:rPr>
                <w:sz w:val="18"/>
                <w:szCs w:val="18"/>
              </w:rPr>
            </w:pPr>
            <w:r>
              <w:rPr>
                <w:spacing w:val="-1"/>
                <w:sz w:val="18"/>
                <w:szCs w:val="18"/>
              </w:rPr>
              <w:t>2.基本体表面求点的方法</w:t>
            </w:r>
            <w:r>
              <w:rPr>
                <w:spacing w:val="1"/>
                <w:sz w:val="18"/>
                <w:szCs w:val="18"/>
              </w:rPr>
              <w:t xml:space="preserve"> </w:t>
            </w:r>
            <w:r>
              <w:rPr>
                <w:spacing w:val="-1"/>
                <w:sz w:val="18"/>
                <w:szCs w:val="18"/>
              </w:rPr>
              <w:t>3.基本体的尺寸注法</w:t>
            </w:r>
          </w:p>
        </w:tc>
        <w:tc>
          <w:tcPr>
            <w:tcW w:w="239" w:type="dxa"/>
            <w:tcBorders>
              <w:top w:val="single" w:color="000000" w:sz="2" w:space="0"/>
              <w:bottom w:val="single" w:color="000000" w:sz="2" w:space="0"/>
            </w:tcBorders>
            <w:vAlign w:val="top"/>
          </w:tcPr>
          <w:p w14:paraId="37967506">
            <w:pPr>
              <w:rPr>
                <w:rFonts w:ascii="Arial"/>
                <w:sz w:val="21"/>
              </w:rPr>
            </w:pPr>
          </w:p>
        </w:tc>
        <w:tc>
          <w:tcPr>
            <w:tcW w:w="230" w:type="dxa"/>
            <w:tcBorders>
              <w:top w:val="single" w:color="000000" w:sz="2" w:space="0"/>
              <w:bottom w:val="single" w:color="000000" w:sz="2" w:space="0"/>
            </w:tcBorders>
            <w:vAlign w:val="top"/>
          </w:tcPr>
          <w:p w14:paraId="5700E519">
            <w:pPr>
              <w:rPr>
                <w:rFonts w:ascii="Arial"/>
                <w:sz w:val="21"/>
              </w:rPr>
            </w:pPr>
          </w:p>
        </w:tc>
        <w:tc>
          <w:tcPr>
            <w:tcW w:w="239" w:type="dxa"/>
            <w:tcBorders>
              <w:top w:val="single" w:color="000000" w:sz="2" w:space="0"/>
              <w:bottom w:val="single" w:color="000000" w:sz="2" w:space="0"/>
            </w:tcBorders>
            <w:vAlign w:val="top"/>
          </w:tcPr>
          <w:p w14:paraId="3AD5F9B6">
            <w:pPr>
              <w:rPr>
                <w:rFonts w:ascii="Arial"/>
                <w:sz w:val="21"/>
              </w:rPr>
            </w:pPr>
            <w:r>
              <w:drawing>
                <wp:anchor distT="0" distB="0" distL="0" distR="0" simplePos="0" relativeHeight="251664384" behindDoc="1" locked="0" layoutInCell="1" allowOverlap="1">
                  <wp:simplePos x="0" y="0"/>
                  <wp:positionH relativeFrom="rightMargin">
                    <wp:posOffset>-106680</wp:posOffset>
                  </wp:positionH>
                  <wp:positionV relativeFrom="topMargin">
                    <wp:posOffset>149225</wp:posOffset>
                  </wp:positionV>
                  <wp:extent cx="163830" cy="346075"/>
                  <wp:effectExtent l="0" t="0" r="0" b="0"/>
                  <wp:wrapNone/>
                  <wp:docPr id="96" name="IM 96"/>
                  <wp:cNvGraphicFramePr/>
                  <a:graphic xmlns:a="http://schemas.openxmlformats.org/drawingml/2006/main">
                    <a:graphicData uri="http://schemas.openxmlformats.org/drawingml/2006/picture">
                      <pic:pic xmlns:pic="http://schemas.openxmlformats.org/drawingml/2006/picture">
                        <pic:nvPicPr>
                          <pic:cNvPr id="96" name="IM 96"/>
                          <pic:cNvPicPr/>
                        </pic:nvPicPr>
                        <pic:blipFill>
                          <a:blip r:embed="rId213"/>
                          <a:stretch>
                            <a:fillRect/>
                          </a:stretch>
                        </pic:blipFill>
                        <pic:spPr>
                          <a:xfrm>
                            <a:off x="0" y="0"/>
                            <a:ext cx="163797" cy="346162"/>
                          </a:xfrm>
                          <a:prstGeom prst="rect">
                            <a:avLst/>
                          </a:prstGeom>
                        </pic:spPr>
                      </pic:pic>
                    </a:graphicData>
                  </a:graphic>
                </wp:anchor>
              </w:drawing>
            </w:r>
          </w:p>
        </w:tc>
        <w:tc>
          <w:tcPr>
            <w:tcW w:w="224" w:type="dxa"/>
            <w:tcBorders>
              <w:top w:val="single" w:color="000000" w:sz="2" w:space="0"/>
              <w:bottom w:val="single" w:color="000000" w:sz="2" w:space="0"/>
            </w:tcBorders>
            <w:vAlign w:val="top"/>
          </w:tcPr>
          <w:p w14:paraId="7819B78A">
            <w:pPr>
              <w:rPr>
                <w:rFonts w:ascii="Arial"/>
                <w:sz w:val="21"/>
              </w:rPr>
            </w:pPr>
          </w:p>
        </w:tc>
      </w:tr>
      <w:tr w14:paraId="4499F7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24" w:hRule="atLeast"/>
        </w:trPr>
        <w:tc>
          <w:tcPr>
            <w:tcW w:w="574" w:type="dxa"/>
            <w:tcBorders>
              <w:top w:val="single" w:color="000000" w:sz="2" w:space="0"/>
              <w:bottom w:val="single" w:color="000000" w:sz="2" w:space="0"/>
            </w:tcBorders>
            <w:vAlign w:val="top"/>
          </w:tcPr>
          <w:p w14:paraId="593A64BD">
            <w:pPr>
              <w:spacing w:line="256" w:lineRule="auto"/>
              <w:rPr>
                <w:rFonts w:ascii="Arial"/>
                <w:sz w:val="21"/>
              </w:rPr>
            </w:pPr>
          </w:p>
          <w:p w14:paraId="076B1C6F">
            <w:pPr>
              <w:pStyle w:val="6"/>
              <w:spacing w:before="59" w:line="220" w:lineRule="auto"/>
              <w:ind w:left="94"/>
              <w:rPr>
                <w:sz w:val="18"/>
                <w:szCs w:val="18"/>
              </w:rPr>
            </w:pPr>
            <w:r>
              <w:rPr>
                <w:spacing w:val="-2"/>
                <w:sz w:val="18"/>
                <w:szCs w:val="18"/>
              </w:rPr>
              <w:t>截交</w:t>
            </w:r>
          </w:p>
          <w:p w14:paraId="65E6A9D3">
            <w:pPr>
              <w:pStyle w:val="6"/>
              <w:spacing w:before="5" w:line="220" w:lineRule="auto"/>
              <w:ind w:left="94"/>
              <w:rPr>
                <w:sz w:val="18"/>
                <w:szCs w:val="18"/>
              </w:rPr>
            </w:pPr>
            <w:r>
              <w:rPr>
                <w:spacing w:val="7"/>
                <w:sz w:val="18"/>
                <w:szCs w:val="18"/>
              </w:rPr>
              <w:t>线与</w:t>
            </w:r>
          </w:p>
          <w:p w14:paraId="52190737">
            <w:pPr>
              <w:pStyle w:val="6"/>
              <w:spacing w:before="5" w:line="205" w:lineRule="auto"/>
              <w:ind w:left="94"/>
              <w:rPr>
                <w:sz w:val="18"/>
                <w:szCs w:val="18"/>
              </w:rPr>
            </w:pPr>
            <w:r>
              <w:rPr>
                <w:spacing w:val="-2"/>
                <w:sz w:val="18"/>
                <w:szCs w:val="18"/>
              </w:rPr>
              <w:t>相贯</w:t>
            </w:r>
          </w:p>
          <w:p w14:paraId="5E801DB3">
            <w:pPr>
              <w:pStyle w:val="6"/>
              <w:spacing w:line="220" w:lineRule="auto"/>
              <w:ind w:left="185"/>
              <w:rPr>
                <w:sz w:val="18"/>
                <w:szCs w:val="18"/>
              </w:rPr>
            </w:pPr>
            <w:r>
              <w:rPr>
                <w:sz w:val="18"/>
                <w:szCs w:val="18"/>
              </w:rPr>
              <w:t>线</w:t>
            </w:r>
          </w:p>
        </w:tc>
        <w:tc>
          <w:tcPr>
            <w:tcW w:w="2634" w:type="dxa"/>
            <w:tcBorders>
              <w:top w:val="single" w:color="000000" w:sz="2" w:space="0"/>
              <w:bottom w:val="single" w:color="000000" w:sz="2" w:space="0"/>
            </w:tcBorders>
            <w:vAlign w:val="top"/>
          </w:tcPr>
          <w:p w14:paraId="03659FD0">
            <w:pPr>
              <w:pStyle w:val="6"/>
              <w:spacing w:before="216" w:line="218" w:lineRule="auto"/>
              <w:ind w:left="11" w:right="66" w:firstLine="10"/>
              <w:rPr>
                <w:sz w:val="18"/>
                <w:szCs w:val="18"/>
              </w:rPr>
            </w:pPr>
            <w:r>
              <w:rPr>
                <w:spacing w:val="1"/>
                <w:sz w:val="18"/>
                <w:szCs w:val="18"/>
              </w:rPr>
              <w:t>1.用特殊位置面截切平面体和圆</w:t>
            </w:r>
            <w:r>
              <w:rPr>
                <w:sz w:val="18"/>
                <w:szCs w:val="18"/>
              </w:rPr>
              <w:t xml:space="preserve"> </w:t>
            </w:r>
            <w:r>
              <w:rPr>
                <w:spacing w:val="-1"/>
                <w:sz w:val="18"/>
                <w:szCs w:val="18"/>
              </w:rPr>
              <w:t>柱体的截交线投影的画法</w:t>
            </w:r>
          </w:p>
          <w:p w14:paraId="51F0BBDB">
            <w:pPr>
              <w:pStyle w:val="6"/>
              <w:spacing w:before="24" w:line="224" w:lineRule="auto"/>
              <w:ind w:left="11" w:right="138" w:firstLine="10"/>
              <w:jc w:val="both"/>
              <w:rPr>
                <w:sz w:val="18"/>
                <w:szCs w:val="18"/>
              </w:rPr>
            </w:pPr>
            <w:r>
              <w:rPr>
                <w:spacing w:val="-1"/>
                <w:sz w:val="18"/>
                <w:szCs w:val="18"/>
              </w:rPr>
              <w:t>2.两圆柱正贯和同轴(垂直投影</w:t>
            </w:r>
            <w:r>
              <w:rPr>
                <w:spacing w:val="4"/>
                <w:sz w:val="18"/>
                <w:szCs w:val="18"/>
              </w:rPr>
              <w:t xml:space="preserve"> </w:t>
            </w:r>
            <w:r>
              <w:rPr>
                <w:spacing w:val="3"/>
                <w:sz w:val="18"/>
                <w:szCs w:val="18"/>
              </w:rPr>
              <w:t>面)回转体相贯的相贯线投影的</w:t>
            </w:r>
            <w:r>
              <w:rPr>
                <w:spacing w:val="1"/>
                <w:sz w:val="18"/>
                <w:szCs w:val="18"/>
              </w:rPr>
              <w:t xml:space="preserve"> </w:t>
            </w:r>
            <w:r>
              <w:rPr>
                <w:spacing w:val="-4"/>
                <w:sz w:val="18"/>
                <w:szCs w:val="18"/>
              </w:rPr>
              <w:t>画法</w:t>
            </w:r>
          </w:p>
        </w:tc>
        <w:tc>
          <w:tcPr>
            <w:tcW w:w="239" w:type="dxa"/>
            <w:tcBorders>
              <w:top w:val="single" w:color="000000" w:sz="2" w:space="0"/>
              <w:bottom w:val="single" w:color="000000" w:sz="2" w:space="0"/>
            </w:tcBorders>
            <w:vAlign w:val="top"/>
          </w:tcPr>
          <w:p w14:paraId="46CF01F1">
            <w:pPr>
              <w:rPr>
                <w:rFonts w:ascii="Arial"/>
                <w:sz w:val="21"/>
              </w:rPr>
            </w:pPr>
          </w:p>
        </w:tc>
        <w:tc>
          <w:tcPr>
            <w:tcW w:w="230" w:type="dxa"/>
            <w:tcBorders>
              <w:top w:val="single" w:color="000000" w:sz="2" w:space="0"/>
              <w:bottom w:val="single" w:color="000000" w:sz="2" w:space="0"/>
            </w:tcBorders>
            <w:textDirection w:val="tbRlV"/>
            <w:vAlign w:val="top"/>
          </w:tcPr>
          <w:p w14:paraId="5E8121EB">
            <w:pPr>
              <w:pStyle w:val="6"/>
              <w:spacing w:before="30" w:line="197" w:lineRule="auto"/>
              <w:ind w:left="155"/>
              <w:rPr>
                <w:sz w:val="18"/>
                <w:szCs w:val="18"/>
              </w:rPr>
            </w:pPr>
            <w:r>
              <w:rPr>
                <w:sz w:val="18"/>
                <w:szCs w:val="18"/>
              </w:rPr>
              <w:t>八</w:t>
            </w:r>
          </w:p>
        </w:tc>
        <w:tc>
          <w:tcPr>
            <w:tcW w:w="239" w:type="dxa"/>
            <w:tcBorders>
              <w:top w:val="single" w:color="000000" w:sz="2" w:space="0"/>
              <w:bottom w:val="single" w:color="000000" w:sz="2" w:space="0"/>
            </w:tcBorders>
            <w:vAlign w:val="top"/>
          </w:tcPr>
          <w:p w14:paraId="0B10345C">
            <w:pPr>
              <w:rPr>
                <w:rFonts w:ascii="Arial"/>
                <w:sz w:val="21"/>
              </w:rPr>
            </w:pPr>
          </w:p>
        </w:tc>
        <w:tc>
          <w:tcPr>
            <w:tcW w:w="224" w:type="dxa"/>
            <w:tcBorders>
              <w:top w:val="single" w:color="000000" w:sz="2" w:space="0"/>
              <w:bottom w:val="single" w:color="000000" w:sz="2" w:space="0"/>
            </w:tcBorders>
            <w:vAlign w:val="top"/>
          </w:tcPr>
          <w:p w14:paraId="71FBDD6E">
            <w:pPr>
              <w:rPr>
                <w:rFonts w:ascii="Arial"/>
                <w:sz w:val="21"/>
              </w:rPr>
            </w:pPr>
          </w:p>
        </w:tc>
      </w:tr>
      <w:tr w14:paraId="1F35A5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79" w:hRule="atLeast"/>
        </w:trPr>
        <w:tc>
          <w:tcPr>
            <w:tcW w:w="574" w:type="dxa"/>
            <w:tcBorders>
              <w:top w:val="single" w:color="000000" w:sz="2" w:space="0"/>
              <w:bottom w:val="single" w:color="000000" w:sz="2" w:space="0"/>
            </w:tcBorders>
            <w:vAlign w:val="top"/>
          </w:tcPr>
          <w:p w14:paraId="22A20A69">
            <w:pPr>
              <w:spacing w:line="409" w:lineRule="auto"/>
              <w:rPr>
                <w:rFonts w:ascii="Arial"/>
                <w:sz w:val="21"/>
              </w:rPr>
            </w:pPr>
          </w:p>
          <w:p w14:paraId="1DC7E058">
            <w:pPr>
              <w:pStyle w:val="6"/>
              <w:spacing w:before="58" w:line="203" w:lineRule="auto"/>
              <w:ind w:left="94"/>
              <w:rPr>
                <w:sz w:val="18"/>
                <w:szCs w:val="18"/>
              </w:rPr>
            </w:pPr>
            <w:r>
              <w:rPr>
                <w:spacing w:val="-3"/>
                <w:sz w:val="18"/>
                <w:szCs w:val="18"/>
              </w:rPr>
              <w:t>组合</w:t>
            </w:r>
          </w:p>
          <w:p w14:paraId="1D040885">
            <w:pPr>
              <w:pStyle w:val="6"/>
              <w:spacing w:line="220" w:lineRule="auto"/>
              <w:ind w:left="185"/>
              <w:rPr>
                <w:sz w:val="18"/>
                <w:szCs w:val="18"/>
              </w:rPr>
            </w:pPr>
            <w:r>
              <w:rPr>
                <w:sz w:val="18"/>
                <w:szCs w:val="18"/>
              </w:rPr>
              <w:t>体</w:t>
            </w:r>
          </w:p>
        </w:tc>
        <w:tc>
          <w:tcPr>
            <w:tcW w:w="2634" w:type="dxa"/>
            <w:tcBorders>
              <w:top w:val="single" w:color="000000" w:sz="2" w:space="0"/>
              <w:bottom w:val="single" w:color="000000" w:sz="2" w:space="0"/>
            </w:tcBorders>
            <w:vAlign w:val="top"/>
          </w:tcPr>
          <w:p w14:paraId="1045B74E">
            <w:pPr>
              <w:pStyle w:val="6"/>
              <w:spacing w:before="239" w:line="223" w:lineRule="auto"/>
              <w:ind w:left="11" w:firstLine="10"/>
              <w:rPr>
                <w:sz w:val="18"/>
                <w:szCs w:val="18"/>
              </w:rPr>
            </w:pPr>
            <w:r>
              <w:rPr>
                <w:spacing w:val="-7"/>
                <w:sz w:val="18"/>
                <w:szCs w:val="18"/>
              </w:rPr>
              <w:t>1.组合体的组合形式和形体分析法</w:t>
            </w:r>
            <w:r>
              <w:rPr>
                <w:spacing w:val="13"/>
                <w:sz w:val="18"/>
                <w:szCs w:val="18"/>
              </w:rPr>
              <w:t xml:space="preserve"> </w:t>
            </w:r>
            <w:r>
              <w:rPr>
                <w:spacing w:val="-1"/>
                <w:sz w:val="18"/>
                <w:szCs w:val="18"/>
              </w:rPr>
              <w:t>2.用形体分析法和线面分析法识</w:t>
            </w:r>
            <w:r>
              <w:rPr>
                <w:sz w:val="18"/>
                <w:szCs w:val="18"/>
              </w:rPr>
              <w:t xml:space="preserve">  </w:t>
            </w:r>
            <w:r>
              <w:rPr>
                <w:spacing w:val="-1"/>
                <w:sz w:val="18"/>
                <w:szCs w:val="18"/>
              </w:rPr>
              <w:t>读组合体视图，补视图、补缺线</w:t>
            </w:r>
            <w:r>
              <w:rPr>
                <w:spacing w:val="1"/>
                <w:sz w:val="18"/>
                <w:szCs w:val="18"/>
              </w:rPr>
              <w:t xml:space="preserve">  </w:t>
            </w:r>
            <w:r>
              <w:rPr>
                <w:spacing w:val="-2"/>
                <w:sz w:val="18"/>
                <w:szCs w:val="18"/>
              </w:rPr>
              <w:t>3.组合体的尺寸注法</w:t>
            </w:r>
          </w:p>
        </w:tc>
        <w:tc>
          <w:tcPr>
            <w:tcW w:w="239" w:type="dxa"/>
            <w:tcBorders>
              <w:top w:val="single" w:color="000000" w:sz="2" w:space="0"/>
              <w:bottom w:val="single" w:color="000000" w:sz="2" w:space="0"/>
            </w:tcBorders>
            <w:vAlign w:val="top"/>
          </w:tcPr>
          <w:p w14:paraId="222D2BD2">
            <w:pPr>
              <w:rPr>
                <w:rFonts w:ascii="Arial"/>
                <w:sz w:val="21"/>
              </w:rPr>
            </w:pPr>
          </w:p>
        </w:tc>
        <w:tc>
          <w:tcPr>
            <w:tcW w:w="230" w:type="dxa"/>
            <w:tcBorders>
              <w:top w:val="single" w:color="000000" w:sz="2" w:space="0"/>
              <w:bottom w:val="single" w:color="000000" w:sz="2" w:space="0"/>
            </w:tcBorders>
            <w:vAlign w:val="top"/>
          </w:tcPr>
          <w:p w14:paraId="6D1164D1">
            <w:pPr>
              <w:rPr>
                <w:rFonts w:ascii="Arial"/>
                <w:sz w:val="21"/>
              </w:rPr>
            </w:pPr>
          </w:p>
        </w:tc>
        <w:tc>
          <w:tcPr>
            <w:tcW w:w="239" w:type="dxa"/>
            <w:tcBorders>
              <w:top w:val="single" w:color="000000" w:sz="2" w:space="0"/>
              <w:bottom w:val="single" w:color="000000" w:sz="2" w:space="0"/>
            </w:tcBorders>
            <w:vAlign w:val="top"/>
          </w:tcPr>
          <w:p w14:paraId="11763296">
            <w:pPr>
              <w:rPr>
                <w:rFonts w:ascii="Arial"/>
                <w:sz w:val="21"/>
              </w:rPr>
            </w:pPr>
          </w:p>
        </w:tc>
        <w:tc>
          <w:tcPr>
            <w:tcW w:w="224" w:type="dxa"/>
            <w:tcBorders>
              <w:top w:val="single" w:color="000000" w:sz="2" w:space="0"/>
              <w:bottom w:val="single" w:color="000000" w:sz="2" w:space="0"/>
            </w:tcBorders>
            <w:vAlign w:val="top"/>
          </w:tcPr>
          <w:p w14:paraId="28E98578">
            <w:pPr>
              <w:spacing w:line="271" w:lineRule="auto"/>
              <w:rPr>
                <w:rFonts w:ascii="Arial"/>
                <w:sz w:val="21"/>
              </w:rPr>
            </w:pPr>
          </w:p>
          <w:p w14:paraId="699E0735">
            <w:pPr>
              <w:spacing w:line="340" w:lineRule="exact"/>
              <w:ind w:firstLine="29"/>
            </w:pPr>
            <w:r>
              <w:rPr>
                <w:position w:val="-6"/>
              </w:rPr>
              <w:drawing>
                <wp:inline distT="0" distB="0" distL="0" distR="0">
                  <wp:extent cx="100965" cy="215265"/>
                  <wp:effectExtent l="0" t="0" r="0" b="0"/>
                  <wp:docPr id="98" name="IM 98"/>
                  <wp:cNvGraphicFramePr/>
                  <a:graphic xmlns:a="http://schemas.openxmlformats.org/drawingml/2006/main">
                    <a:graphicData uri="http://schemas.openxmlformats.org/drawingml/2006/picture">
                      <pic:pic xmlns:pic="http://schemas.openxmlformats.org/drawingml/2006/picture">
                        <pic:nvPicPr>
                          <pic:cNvPr id="98" name="IM 98"/>
                          <pic:cNvPicPr/>
                        </pic:nvPicPr>
                        <pic:blipFill>
                          <a:blip r:embed="rId214"/>
                          <a:stretch>
                            <a:fillRect/>
                          </a:stretch>
                        </pic:blipFill>
                        <pic:spPr>
                          <a:xfrm>
                            <a:off x="0" y="0"/>
                            <a:ext cx="101575" cy="215859"/>
                          </a:xfrm>
                          <a:prstGeom prst="rect">
                            <a:avLst/>
                          </a:prstGeom>
                        </pic:spPr>
                      </pic:pic>
                    </a:graphicData>
                  </a:graphic>
                </wp:inline>
              </w:drawing>
            </w:r>
          </w:p>
        </w:tc>
      </w:tr>
    </w:tbl>
    <w:p w14:paraId="7C70DDFD">
      <w:pPr>
        <w:pStyle w:val="2"/>
        <w:spacing w:line="14" w:lineRule="auto"/>
        <w:rPr>
          <w:sz w:val="2"/>
        </w:rPr>
      </w:pPr>
    </w:p>
    <w:p w14:paraId="5E3A2706">
      <w:pPr>
        <w:pStyle w:val="2"/>
        <w:spacing w:line="14" w:lineRule="auto"/>
        <w:rPr>
          <w:sz w:val="2"/>
        </w:rPr>
      </w:pPr>
      <w:r>
        <w:rPr>
          <w:sz w:val="2"/>
          <w:szCs w:val="2"/>
        </w:rPr>
        <w:br w:type="column"/>
      </w:r>
    </w:p>
    <w:p w14:paraId="722CBCF9">
      <w:pPr>
        <w:spacing w:line="94" w:lineRule="auto"/>
        <w:rPr>
          <w:rFonts w:ascii="Arial"/>
          <w:sz w:val="2"/>
        </w:rPr>
      </w:pPr>
    </w:p>
    <w:tbl>
      <w:tblPr>
        <w:tblStyle w:val="5"/>
        <w:tblW w:w="413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64"/>
        <w:gridCol w:w="2644"/>
        <w:gridCol w:w="229"/>
        <w:gridCol w:w="239"/>
        <w:gridCol w:w="230"/>
        <w:gridCol w:w="224"/>
      </w:tblGrid>
      <w:tr w14:paraId="0B5E4C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21" w:hRule="atLeast"/>
        </w:trPr>
        <w:tc>
          <w:tcPr>
            <w:tcW w:w="564" w:type="dxa"/>
            <w:vAlign w:val="top"/>
          </w:tcPr>
          <w:p w14:paraId="1FD15BDA">
            <w:pPr>
              <w:spacing w:line="249" w:lineRule="auto"/>
              <w:rPr>
                <w:rFonts w:ascii="Arial"/>
                <w:sz w:val="21"/>
              </w:rPr>
            </w:pPr>
          </w:p>
          <w:p w14:paraId="3BD74A40">
            <w:pPr>
              <w:spacing w:line="249" w:lineRule="auto"/>
              <w:rPr>
                <w:rFonts w:ascii="Arial"/>
                <w:sz w:val="21"/>
              </w:rPr>
            </w:pPr>
          </w:p>
          <w:p w14:paraId="03DC2F28">
            <w:pPr>
              <w:spacing w:line="249" w:lineRule="auto"/>
              <w:rPr>
                <w:rFonts w:ascii="Arial"/>
                <w:sz w:val="21"/>
              </w:rPr>
            </w:pPr>
          </w:p>
          <w:p w14:paraId="2A9BAAB2">
            <w:pPr>
              <w:spacing w:line="250" w:lineRule="auto"/>
              <w:rPr>
                <w:rFonts w:ascii="Arial"/>
                <w:sz w:val="21"/>
              </w:rPr>
            </w:pPr>
          </w:p>
          <w:p w14:paraId="6623D9D7">
            <w:pPr>
              <w:pStyle w:val="6"/>
              <w:spacing w:before="59" w:line="217" w:lineRule="auto"/>
              <w:ind w:left="95"/>
              <w:rPr>
                <w:sz w:val="18"/>
                <w:szCs w:val="18"/>
              </w:rPr>
            </w:pPr>
            <w:r>
              <w:rPr>
                <w:spacing w:val="4"/>
                <w:sz w:val="18"/>
                <w:szCs w:val="18"/>
              </w:rPr>
              <w:t>图样</w:t>
            </w:r>
          </w:p>
          <w:p w14:paraId="124FF43D">
            <w:pPr>
              <w:pStyle w:val="6"/>
              <w:spacing w:line="220" w:lineRule="auto"/>
              <w:ind w:left="95"/>
              <w:rPr>
                <w:sz w:val="18"/>
                <w:szCs w:val="18"/>
              </w:rPr>
            </w:pPr>
            <w:r>
              <w:rPr>
                <w:spacing w:val="-2"/>
                <w:sz w:val="18"/>
                <w:szCs w:val="18"/>
              </w:rPr>
              <w:t>表示</w:t>
            </w:r>
          </w:p>
          <w:p w14:paraId="299CD06C">
            <w:pPr>
              <w:pStyle w:val="6"/>
              <w:spacing w:before="9" w:line="225" w:lineRule="auto"/>
              <w:ind w:left="185"/>
              <w:rPr>
                <w:sz w:val="18"/>
                <w:szCs w:val="18"/>
              </w:rPr>
            </w:pPr>
            <w:r>
              <w:rPr>
                <w:sz w:val="18"/>
                <w:szCs w:val="18"/>
              </w:rPr>
              <w:t>法</w:t>
            </w:r>
          </w:p>
        </w:tc>
        <w:tc>
          <w:tcPr>
            <w:tcW w:w="2644" w:type="dxa"/>
            <w:vAlign w:val="top"/>
          </w:tcPr>
          <w:p w14:paraId="54A2EA51">
            <w:pPr>
              <w:pStyle w:val="6"/>
              <w:spacing w:before="71" w:line="226" w:lineRule="auto"/>
              <w:ind w:left="1" w:right="106"/>
              <w:rPr>
                <w:sz w:val="18"/>
                <w:szCs w:val="18"/>
              </w:rPr>
            </w:pPr>
            <w:r>
              <w:rPr>
                <w:sz w:val="18"/>
                <w:szCs w:val="18"/>
              </w:rPr>
              <w:t>1.基本视图的形成、名称和位置</w:t>
            </w:r>
            <w:r>
              <w:rPr>
                <w:spacing w:val="5"/>
                <w:sz w:val="18"/>
                <w:szCs w:val="18"/>
              </w:rPr>
              <w:t xml:space="preserve"> </w:t>
            </w:r>
            <w:r>
              <w:rPr>
                <w:spacing w:val="8"/>
                <w:sz w:val="18"/>
                <w:szCs w:val="18"/>
              </w:rPr>
              <w:t>关系</w:t>
            </w:r>
          </w:p>
          <w:p w14:paraId="3D4E3784">
            <w:pPr>
              <w:pStyle w:val="6"/>
              <w:spacing w:line="228" w:lineRule="auto"/>
              <w:ind w:left="1" w:right="88" w:firstLine="9"/>
              <w:rPr>
                <w:sz w:val="18"/>
                <w:szCs w:val="18"/>
              </w:rPr>
            </w:pPr>
            <w:r>
              <w:rPr>
                <w:sz w:val="18"/>
                <w:szCs w:val="18"/>
              </w:rPr>
              <w:t>2.向视图、局部视图和斜视图的</w:t>
            </w:r>
            <w:r>
              <w:rPr>
                <w:spacing w:val="13"/>
                <w:sz w:val="18"/>
                <w:szCs w:val="18"/>
              </w:rPr>
              <w:t xml:space="preserve"> </w:t>
            </w:r>
            <w:r>
              <w:rPr>
                <w:spacing w:val="1"/>
                <w:sz w:val="18"/>
                <w:szCs w:val="18"/>
              </w:rPr>
              <w:t>画法与标注</w:t>
            </w:r>
          </w:p>
          <w:p w14:paraId="14F58A9C">
            <w:pPr>
              <w:pStyle w:val="6"/>
              <w:spacing w:before="4" w:line="216" w:lineRule="auto"/>
              <w:ind w:left="1"/>
              <w:rPr>
                <w:sz w:val="18"/>
                <w:szCs w:val="18"/>
              </w:rPr>
            </w:pPr>
            <w:r>
              <w:rPr>
                <w:spacing w:val="-1"/>
                <w:sz w:val="18"/>
                <w:szCs w:val="18"/>
              </w:rPr>
              <w:t>3.剖视图的概念、画法与标注</w:t>
            </w:r>
          </w:p>
          <w:p w14:paraId="104F5925">
            <w:pPr>
              <w:pStyle w:val="6"/>
              <w:spacing w:line="220" w:lineRule="auto"/>
              <w:ind w:left="11"/>
              <w:rPr>
                <w:sz w:val="18"/>
                <w:szCs w:val="18"/>
              </w:rPr>
            </w:pPr>
            <w:r>
              <w:rPr>
                <w:spacing w:val="-1"/>
                <w:sz w:val="18"/>
                <w:szCs w:val="18"/>
              </w:rPr>
              <w:t>4.单一剖切平面剖切的全剖视</w:t>
            </w:r>
          </w:p>
          <w:p w14:paraId="3CF54552">
            <w:pPr>
              <w:pStyle w:val="6"/>
              <w:spacing w:before="5" w:line="218" w:lineRule="auto"/>
              <w:ind w:left="1" w:right="88" w:firstLine="9"/>
              <w:rPr>
                <w:sz w:val="18"/>
                <w:szCs w:val="18"/>
              </w:rPr>
            </w:pPr>
            <w:r>
              <w:rPr>
                <w:spacing w:val="1"/>
                <w:sz w:val="18"/>
                <w:szCs w:val="18"/>
              </w:rPr>
              <w:t>图、半剖视图和局部剖视图的画</w:t>
            </w:r>
            <w:r>
              <w:rPr>
                <w:sz w:val="18"/>
                <w:szCs w:val="18"/>
              </w:rPr>
              <w:t xml:space="preserve"> </w:t>
            </w:r>
            <w:r>
              <w:rPr>
                <w:spacing w:val="-2"/>
                <w:sz w:val="18"/>
                <w:szCs w:val="18"/>
              </w:rPr>
              <w:t>法与标注</w:t>
            </w:r>
          </w:p>
          <w:p w14:paraId="1BD1B419">
            <w:pPr>
              <w:pStyle w:val="6"/>
              <w:spacing w:before="15" w:line="225" w:lineRule="auto"/>
              <w:ind w:left="1" w:right="98"/>
              <w:rPr>
                <w:sz w:val="18"/>
                <w:szCs w:val="18"/>
              </w:rPr>
            </w:pPr>
            <w:r>
              <w:rPr>
                <w:sz w:val="18"/>
                <w:szCs w:val="18"/>
              </w:rPr>
              <w:t>5.移出断面图与重合断面图的画</w:t>
            </w:r>
            <w:r>
              <w:rPr>
                <w:spacing w:val="13"/>
                <w:sz w:val="18"/>
                <w:szCs w:val="18"/>
              </w:rPr>
              <w:t xml:space="preserve"> </w:t>
            </w:r>
            <w:r>
              <w:rPr>
                <w:spacing w:val="-2"/>
                <w:sz w:val="18"/>
                <w:szCs w:val="18"/>
              </w:rPr>
              <w:t>法与标注</w:t>
            </w:r>
          </w:p>
          <w:p w14:paraId="4F2D41E0">
            <w:pPr>
              <w:pStyle w:val="6"/>
              <w:spacing w:before="1" w:line="218" w:lineRule="auto"/>
              <w:ind w:left="1" w:right="98"/>
              <w:rPr>
                <w:sz w:val="18"/>
                <w:szCs w:val="18"/>
              </w:rPr>
            </w:pPr>
            <w:r>
              <w:rPr>
                <w:sz w:val="18"/>
                <w:szCs w:val="18"/>
              </w:rPr>
              <w:t>6.局部放大图和常用图形简化画</w:t>
            </w:r>
            <w:r>
              <w:rPr>
                <w:spacing w:val="13"/>
                <w:sz w:val="18"/>
                <w:szCs w:val="18"/>
              </w:rPr>
              <w:t xml:space="preserve"> </w:t>
            </w:r>
            <w:r>
              <w:rPr>
                <w:spacing w:val="-2"/>
                <w:sz w:val="18"/>
                <w:szCs w:val="18"/>
              </w:rPr>
              <w:t>法的规定</w:t>
            </w:r>
          </w:p>
        </w:tc>
        <w:tc>
          <w:tcPr>
            <w:tcW w:w="229" w:type="dxa"/>
            <w:vAlign w:val="top"/>
          </w:tcPr>
          <w:p w14:paraId="7D7CC5AA">
            <w:pPr>
              <w:rPr>
                <w:rFonts w:ascii="Arial"/>
                <w:sz w:val="21"/>
              </w:rPr>
            </w:pPr>
          </w:p>
        </w:tc>
        <w:tc>
          <w:tcPr>
            <w:tcW w:w="239" w:type="dxa"/>
            <w:vAlign w:val="top"/>
          </w:tcPr>
          <w:p w14:paraId="08411D59">
            <w:pPr>
              <w:pStyle w:val="6"/>
              <w:spacing w:before="51" w:line="238" w:lineRule="auto"/>
              <w:ind w:left="28"/>
              <w:rPr>
                <w:sz w:val="12"/>
                <w:szCs w:val="12"/>
              </w:rPr>
            </w:pPr>
            <w:r>
              <w:rPr>
                <w:sz w:val="12"/>
                <w:szCs w:val="12"/>
              </w:rPr>
              <w:t>√</w:t>
            </w:r>
          </w:p>
        </w:tc>
        <w:tc>
          <w:tcPr>
            <w:tcW w:w="230" w:type="dxa"/>
            <w:vAlign w:val="top"/>
          </w:tcPr>
          <w:p w14:paraId="7D46BD28">
            <w:pPr>
              <w:spacing w:line="247" w:lineRule="auto"/>
              <w:rPr>
                <w:rFonts w:ascii="Arial"/>
                <w:sz w:val="21"/>
              </w:rPr>
            </w:pPr>
          </w:p>
          <w:p w14:paraId="46E62C34">
            <w:pPr>
              <w:spacing w:line="248" w:lineRule="auto"/>
              <w:rPr>
                <w:rFonts w:ascii="Arial"/>
                <w:sz w:val="21"/>
              </w:rPr>
            </w:pPr>
          </w:p>
          <w:p w14:paraId="0A074DBB">
            <w:pPr>
              <w:spacing w:line="131" w:lineRule="exact"/>
              <w:ind w:firstLine="46"/>
            </w:pPr>
            <w:r>
              <w:rPr>
                <w:position w:val="-2"/>
              </w:rPr>
              <w:drawing>
                <wp:inline distT="0" distB="0" distL="0" distR="0">
                  <wp:extent cx="85090" cy="82550"/>
                  <wp:effectExtent l="0" t="0" r="0" b="0"/>
                  <wp:docPr id="100" name="IM 100"/>
                  <wp:cNvGraphicFramePr/>
                  <a:graphic xmlns:a="http://schemas.openxmlformats.org/drawingml/2006/main">
                    <a:graphicData uri="http://schemas.openxmlformats.org/drawingml/2006/picture">
                      <pic:pic xmlns:pic="http://schemas.openxmlformats.org/drawingml/2006/picture">
                        <pic:nvPicPr>
                          <pic:cNvPr id="100" name="IM 100"/>
                          <pic:cNvPicPr/>
                        </pic:nvPicPr>
                        <pic:blipFill>
                          <a:blip r:embed="rId215"/>
                          <a:stretch>
                            <a:fillRect/>
                          </a:stretch>
                        </pic:blipFill>
                        <pic:spPr>
                          <a:xfrm>
                            <a:off x="0" y="0"/>
                            <a:ext cx="85696" cy="82984"/>
                          </a:xfrm>
                          <a:prstGeom prst="rect">
                            <a:avLst/>
                          </a:prstGeom>
                        </pic:spPr>
                      </pic:pic>
                    </a:graphicData>
                  </a:graphic>
                </wp:inline>
              </w:drawing>
            </w:r>
          </w:p>
        </w:tc>
        <w:tc>
          <w:tcPr>
            <w:tcW w:w="224" w:type="dxa"/>
            <w:vAlign w:val="top"/>
          </w:tcPr>
          <w:p w14:paraId="6D6B8291">
            <w:pPr>
              <w:rPr>
                <w:rFonts w:ascii="Arial"/>
                <w:sz w:val="21"/>
              </w:rPr>
            </w:pPr>
          </w:p>
        </w:tc>
      </w:tr>
      <w:tr w14:paraId="6EA68F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48" w:hRule="atLeast"/>
        </w:trPr>
        <w:tc>
          <w:tcPr>
            <w:tcW w:w="564" w:type="dxa"/>
            <w:vAlign w:val="top"/>
          </w:tcPr>
          <w:p w14:paraId="71DA9A61">
            <w:pPr>
              <w:spacing w:line="250" w:lineRule="auto"/>
              <w:rPr>
                <w:rFonts w:ascii="Arial"/>
                <w:sz w:val="21"/>
              </w:rPr>
            </w:pPr>
          </w:p>
          <w:p w14:paraId="5CC5F516">
            <w:pPr>
              <w:pStyle w:val="6"/>
              <w:spacing w:before="59" w:line="230" w:lineRule="auto"/>
              <w:ind w:left="95" w:right="77"/>
              <w:jc w:val="both"/>
              <w:rPr>
                <w:sz w:val="18"/>
                <w:szCs w:val="18"/>
              </w:rPr>
            </w:pPr>
            <w:r>
              <w:rPr>
                <w:spacing w:val="10"/>
                <w:sz w:val="18"/>
                <w:szCs w:val="18"/>
              </w:rPr>
              <w:t>常用</w:t>
            </w:r>
            <w:r>
              <w:rPr>
                <w:sz w:val="18"/>
                <w:szCs w:val="18"/>
              </w:rPr>
              <w:t xml:space="preserve"> </w:t>
            </w:r>
            <w:r>
              <w:rPr>
                <w:spacing w:val="-4"/>
                <w:sz w:val="18"/>
                <w:szCs w:val="18"/>
              </w:rPr>
              <w:t>标准</w:t>
            </w:r>
            <w:r>
              <w:rPr>
                <w:sz w:val="18"/>
                <w:szCs w:val="18"/>
              </w:rPr>
              <w:t xml:space="preserve"> </w:t>
            </w:r>
            <w:r>
              <w:rPr>
                <w:spacing w:val="-4"/>
                <w:sz w:val="18"/>
                <w:szCs w:val="18"/>
              </w:rPr>
              <w:t>件表</w:t>
            </w:r>
            <w:r>
              <w:rPr>
                <w:sz w:val="18"/>
                <w:szCs w:val="18"/>
              </w:rPr>
              <w:t xml:space="preserve"> </w:t>
            </w:r>
            <w:r>
              <w:rPr>
                <w:spacing w:val="-2"/>
                <w:sz w:val="18"/>
                <w:szCs w:val="18"/>
              </w:rPr>
              <w:t>示法</w:t>
            </w:r>
          </w:p>
        </w:tc>
        <w:tc>
          <w:tcPr>
            <w:tcW w:w="2644" w:type="dxa"/>
            <w:vAlign w:val="top"/>
          </w:tcPr>
          <w:p w14:paraId="4EC2DBFA">
            <w:pPr>
              <w:pStyle w:val="6"/>
              <w:spacing w:before="100" w:line="217" w:lineRule="auto"/>
              <w:ind w:left="1" w:right="81" w:firstLine="19"/>
              <w:rPr>
                <w:sz w:val="18"/>
                <w:szCs w:val="18"/>
              </w:rPr>
            </w:pPr>
            <w:r>
              <w:rPr>
                <w:sz w:val="18"/>
                <w:szCs w:val="18"/>
              </w:rPr>
              <w:t>1.螺纹的形成、种类、用途和螺</w:t>
            </w:r>
            <w:r>
              <w:rPr>
                <w:spacing w:val="10"/>
                <w:sz w:val="18"/>
                <w:szCs w:val="18"/>
              </w:rPr>
              <w:t xml:space="preserve"> </w:t>
            </w:r>
            <w:r>
              <w:rPr>
                <w:spacing w:val="-2"/>
                <w:sz w:val="18"/>
                <w:szCs w:val="18"/>
              </w:rPr>
              <w:t>纹的基本要素</w:t>
            </w:r>
          </w:p>
          <w:p w14:paraId="11AE8934">
            <w:pPr>
              <w:pStyle w:val="6"/>
              <w:spacing w:before="19" w:line="230" w:lineRule="auto"/>
              <w:ind w:left="1" w:right="662"/>
              <w:rPr>
                <w:sz w:val="18"/>
                <w:szCs w:val="18"/>
              </w:rPr>
            </w:pPr>
            <w:r>
              <w:rPr>
                <w:spacing w:val="-1"/>
                <w:sz w:val="18"/>
                <w:szCs w:val="18"/>
              </w:rPr>
              <w:t>2.螺纹的规定画法和标注</w:t>
            </w:r>
            <w:r>
              <w:rPr>
                <w:spacing w:val="1"/>
                <w:sz w:val="18"/>
                <w:szCs w:val="18"/>
              </w:rPr>
              <w:t xml:space="preserve"> </w:t>
            </w:r>
            <w:r>
              <w:rPr>
                <w:spacing w:val="-2"/>
                <w:sz w:val="18"/>
                <w:szCs w:val="18"/>
              </w:rPr>
              <w:t>3.螺纹代号的含义</w:t>
            </w:r>
          </w:p>
          <w:p w14:paraId="42DB0671">
            <w:pPr>
              <w:pStyle w:val="6"/>
              <w:spacing w:line="229" w:lineRule="auto"/>
              <w:ind w:left="1" w:right="109" w:firstLine="9"/>
              <w:rPr>
                <w:sz w:val="18"/>
                <w:szCs w:val="18"/>
              </w:rPr>
            </w:pPr>
            <w:r>
              <w:rPr>
                <w:spacing w:val="-1"/>
                <w:sz w:val="18"/>
                <w:szCs w:val="18"/>
              </w:rPr>
              <w:t>4.识读螺栓连接、螺柱连接和螺</w:t>
            </w:r>
            <w:r>
              <w:rPr>
                <w:spacing w:val="7"/>
                <w:sz w:val="18"/>
                <w:szCs w:val="18"/>
              </w:rPr>
              <w:t xml:space="preserve"> </w:t>
            </w:r>
            <w:r>
              <w:rPr>
                <w:spacing w:val="-1"/>
                <w:sz w:val="18"/>
                <w:szCs w:val="18"/>
              </w:rPr>
              <w:t>钉连接的画法</w:t>
            </w:r>
          </w:p>
        </w:tc>
        <w:tc>
          <w:tcPr>
            <w:tcW w:w="229" w:type="dxa"/>
            <w:vAlign w:val="top"/>
          </w:tcPr>
          <w:p w14:paraId="616D82CB">
            <w:pPr>
              <w:pStyle w:val="6"/>
              <w:spacing w:before="111" w:line="238" w:lineRule="auto"/>
              <w:ind w:left="17"/>
              <w:rPr>
                <w:sz w:val="12"/>
                <w:szCs w:val="12"/>
              </w:rPr>
            </w:pPr>
            <w:r>
              <w:rPr>
                <w:sz w:val="12"/>
                <w:szCs w:val="12"/>
              </w:rPr>
              <w:t>√</w:t>
            </w:r>
          </w:p>
        </w:tc>
        <w:tc>
          <w:tcPr>
            <w:tcW w:w="239" w:type="dxa"/>
            <w:vAlign w:val="top"/>
          </w:tcPr>
          <w:p w14:paraId="1E19BE9F">
            <w:pPr>
              <w:rPr>
                <w:rFonts w:ascii="Arial"/>
                <w:sz w:val="21"/>
              </w:rPr>
            </w:pPr>
          </w:p>
        </w:tc>
        <w:tc>
          <w:tcPr>
            <w:tcW w:w="230" w:type="dxa"/>
            <w:vAlign w:val="top"/>
          </w:tcPr>
          <w:p w14:paraId="675248BB">
            <w:pPr>
              <w:rPr>
                <w:rFonts w:ascii="Arial"/>
                <w:sz w:val="21"/>
              </w:rPr>
            </w:pPr>
          </w:p>
        </w:tc>
        <w:tc>
          <w:tcPr>
            <w:tcW w:w="224" w:type="dxa"/>
            <w:vAlign w:val="top"/>
          </w:tcPr>
          <w:p w14:paraId="6467652E">
            <w:pPr>
              <w:rPr>
                <w:rFonts w:ascii="Arial"/>
                <w:sz w:val="21"/>
              </w:rPr>
            </w:pPr>
          </w:p>
        </w:tc>
      </w:tr>
      <w:tr w14:paraId="2FB105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1" w:hRule="atLeast"/>
        </w:trPr>
        <w:tc>
          <w:tcPr>
            <w:tcW w:w="564" w:type="dxa"/>
            <w:vAlign w:val="top"/>
          </w:tcPr>
          <w:p w14:paraId="02C9E585">
            <w:pPr>
              <w:spacing w:line="251" w:lineRule="auto"/>
              <w:rPr>
                <w:rFonts w:ascii="Arial"/>
                <w:sz w:val="21"/>
              </w:rPr>
            </w:pPr>
          </w:p>
          <w:p w14:paraId="19BCADEB">
            <w:pPr>
              <w:spacing w:line="251" w:lineRule="auto"/>
              <w:rPr>
                <w:rFonts w:ascii="Arial"/>
                <w:sz w:val="21"/>
              </w:rPr>
            </w:pPr>
          </w:p>
          <w:p w14:paraId="6A340DBF">
            <w:pPr>
              <w:spacing w:line="251" w:lineRule="auto"/>
              <w:rPr>
                <w:rFonts w:ascii="Arial"/>
                <w:sz w:val="21"/>
              </w:rPr>
            </w:pPr>
          </w:p>
          <w:p w14:paraId="4878B469">
            <w:pPr>
              <w:spacing w:line="252" w:lineRule="auto"/>
              <w:rPr>
                <w:rFonts w:ascii="Arial"/>
                <w:sz w:val="21"/>
              </w:rPr>
            </w:pPr>
          </w:p>
          <w:p w14:paraId="22EC733E">
            <w:pPr>
              <w:spacing w:line="252" w:lineRule="auto"/>
              <w:rPr>
                <w:rFonts w:ascii="Arial"/>
                <w:sz w:val="21"/>
              </w:rPr>
            </w:pPr>
          </w:p>
          <w:p w14:paraId="7D48E5EB">
            <w:pPr>
              <w:pStyle w:val="6"/>
              <w:spacing w:before="58" w:line="219" w:lineRule="auto"/>
              <w:ind w:left="95"/>
              <w:rPr>
                <w:sz w:val="18"/>
                <w:szCs w:val="18"/>
              </w:rPr>
            </w:pPr>
            <w:r>
              <w:rPr>
                <w:spacing w:val="-2"/>
                <w:sz w:val="18"/>
                <w:szCs w:val="18"/>
              </w:rPr>
              <w:t>零件</w:t>
            </w:r>
          </w:p>
          <w:p w14:paraId="15D2DF02">
            <w:pPr>
              <w:pStyle w:val="6"/>
              <w:spacing w:before="7" w:line="221" w:lineRule="auto"/>
              <w:ind w:left="185"/>
              <w:rPr>
                <w:sz w:val="18"/>
                <w:szCs w:val="18"/>
              </w:rPr>
            </w:pPr>
            <w:r>
              <w:rPr>
                <w:sz w:val="18"/>
                <w:szCs w:val="18"/>
              </w:rPr>
              <w:t>图</w:t>
            </w:r>
          </w:p>
        </w:tc>
        <w:tc>
          <w:tcPr>
            <w:tcW w:w="2644" w:type="dxa"/>
            <w:vAlign w:val="top"/>
          </w:tcPr>
          <w:p w14:paraId="43A6C4FD">
            <w:pPr>
              <w:pStyle w:val="6"/>
              <w:spacing w:before="123" w:line="218" w:lineRule="auto"/>
              <w:ind w:left="1" w:right="68" w:firstLine="29"/>
              <w:rPr>
                <w:sz w:val="18"/>
                <w:szCs w:val="18"/>
              </w:rPr>
            </w:pPr>
            <w:r>
              <w:rPr>
                <w:sz w:val="18"/>
                <w:szCs w:val="18"/>
              </w:rPr>
              <w:t>1.零件图的作用、内容及视图的</w:t>
            </w:r>
            <w:r>
              <w:rPr>
                <w:spacing w:val="13"/>
                <w:sz w:val="18"/>
                <w:szCs w:val="18"/>
              </w:rPr>
              <w:t xml:space="preserve"> </w:t>
            </w:r>
            <w:r>
              <w:rPr>
                <w:spacing w:val="4"/>
                <w:sz w:val="18"/>
                <w:szCs w:val="18"/>
              </w:rPr>
              <w:t>选择原则</w:t>
            </w:r>
          </w:p>
          <w:p w14:paraId="22EA2DA8">
            <w:pPr>
              <w:pStyle w:val="6"/>
              <w:spacing w:before="13" w:line="226" w:lineRule="auto"/>
              <w:ind w:left="1" w:right="88"/>
              <w:jc w:val="both"/>
              <w:rPr>
                <w:sz w:val="18"/>
                <w:szCs w:val="18"/>
              </w:rPr>
            </w:pPr>
            <w:r>
              <w:rPr>
                <w:spacing w:val="-1"/>
                <w:sz w:val="18"/>
                <w:szCs w:val="18"/>
              </w:rPr>
              <w:t>2.零件图尺寸基准的概念及选择</w:t>
            </w:r>
            <w:r>
              <w:rPr>
                <w:spacing w:val="4"/>
                <w:sz w:val="18"/>
                <w:szCs w:val="18"/>
              </w:rPr>
              <w:t xml:space="preserve"> </w:t>
            </w:r>
            <w:r>
              <w:rPr>
                <w:spacing w:val="1"/>
                <w:sz w:val="18"/>
                <w:szCs w:val="18"/>
              </w:rPr>
              <w:t>3.零件上常见工艺结构的作用和</w:t>
            </w:r>
            <w:r>
              <w:rPr>
                <w:spacing w:val="8"/>
                <w:sz w:val="18"/>
                <w:szCs w:val="18"/>
              </w:rPr>
              <w:t xml:space="preserve"> </w:t>
            </w:r>
            <w:r>
              <w:rPr>
                <w:spacing w:val="-2"/>
                <w:sz w:val="18"/>
                <w:szCs w:val="18"/>
              </w:rPr>
              <w:t>尺寸注法</w:t>
            </w:r>
          </w:p>
          <w:p w14:paraId="4B6BE180">
            <w:pPr>
              <w:pStyle w:val="6"/>
              <w:spacing w:before="1" w:line="225" w:lineRule="auto"/>
              <w:ind w:left="1" w:firstLine="19"/>
              <w:rPr>
                <w:sz w:val="18"/>
                <w:szCs w:val="18"/>
              </w:rPr>
            </w:pPr>
            <w:r>
              <w:rPr>
                <w:spacing w:val="-6"/>
                <w:sz w:val="18"/>
                <w:szCs w:val="18"/>
              </w:rPr>
              <w:t>4.表面粗糙度的基本概念、符号、</w:t>
            </w:r>
            <w:r>
              <w:rPr>
                <w:spacing w:val="8"/>
                <w:sz w:val="18"/>
                <w:szCs w:val="18"/>
              </w:rPr>
              <w:t xml:space="preserve"> </w:t>
            </w:r>
            <w:r>
              <w:rPr>
                <w:spacing w:val="-6"/>
                <w:sz w:val="18"/>
                <w:szCs w:val="18"/>
              </w:rPr>
              <w:t>代号及其标注和识读</w:t>
            </w:r>
          </w:p>
          <w:p w14:paraId="23DB13DB">
            <w:pPr>
              <w:pStyle w:val="6"/>
              <w:spacing w:before="1" w:line="220" w:lineRule="auto"/>
              <w:ind w:left="1" w:right="101"/>
              <w:rPr>
                <w:sz w:val="18"/>
                <w:szCs w:val="18"/>
              </w:rPr>
            </w:pPr>
            <w:r>
              <w:rPr>
                <w:sz w:val="18"/>
                <w:szCs w:val="18"/>
              </w:rPr>
              <w:t>5.极限与配合的基本术语、代号</w:t>
            </w:r>
            <w:r>
              <w:rPr>
                <w:spacing w:val="9"/>
                <w:sz w:val="18"/>
                <w:szCs w:val="18"/>
              </w:rPr>
              <w:t xml:space="preserve"> </w:t>
            </w:r>
            <w:r>
              <w:rPr>
                <w:spacing w:val="1"/>
                <w:sz w:val="18"/>
                <w:szCs w:val="18"/>
              </w:rPr>
              <w:t>的标注与识读</w:t>
            </w:r>
          </w:p>
          <w:p w14:paraId="2175FF49">
            <w:pPr>
              <w:pStyle w:val="6"/>
              <w:spacing w:before="1" w:line="225" w:lineRule="auto"/>
              <w:ind w:left="1" w:right="121"/>
              <w:rPr>
                <w:sz w:val="18"/>
                <w:szCs w:val="18"/>
              </w:rPr>
            </w:pPr>
            <w:r>
              <w:rPr>
                <w:spacing w:val="-1"/>
                <w:sz w:val="18"/>
                <w:szCs w:val="18"/>
              </w:rPr>
              <w:t>6.常用几何公差的特征项目、符</w:t>
            </w:r>
            <w:r>
              <w:rPr>
                <w:spacing w:val="5"/>
                <w:sz w:val="18"/>
                <w:szCs w:val="18"/>
              </w:rPr>
              <w:t xml:space="preserve"> </w:t>
            </w:r>
            <w:r>
              <w:rPr>
                <w:spacing w:val="1"/>
                <w:sz w:val="18"/>
                <w:szCs w:val="18"/>
              </w:rPr>
              <w:t>号及其识读</w:t>
            </w:r>
          </w:p>
          <w:p w14:paraId="67276683">
            <w:pPr>
              <w:pStyle w:val="6"/>
              <w:spacing w:before="1" w:line="232" w:lineRule="auto"/>
              <w:ind w:left="1" w:right="114" w:firstLine="9"/>
              <w:rPr>
                <w:sz w:val="18"/>
                <w:szCs w:val="18"/>
              </w:rPr>
            </w:pPr>
            <w:r>
              <w:rPr>
                <w:spacing w:val="-1"/>
                <w:sz w:val="18"/>
                <w:szCs w:val="18"/>
              </w:rPr>
              <w:t>7.识读中等复杂程度零件图的方</w:t>
            </w:r>
            <w:r>
              <w:rPr>
                <w:spacing w:val="2"/>
                <w:sz w:val="18"/>
                <w:szCs w:val="18"/>
              </w:rPr>
              <w:t xml:space="preserve"> </w:t>
            </w:r>
            <w:r>
              <w:rPr>
                <w:spacing w:val="-2"/>
                <w:sz w:val="18"/>
                <w:szCs w:val="18"/>
              </w:rPr>
              <w:t>法和步骤</w:t>
            </w:r>
          </w:p>
        </w:tc>
        <w:tc>
          <w:tcPr>
            <w:tcW w:w="229" w:type="dxa"/>
            <w:vAlign w:val="top"/>
          </w:tcPr>
          <w:p w14:paraId="33B5D94B">
            <w:pPr>
              <w:rPr>
                <w:rFonts w:ascii="Arial"/>
                <w:sz w:val="21"/>
              </w:rPr>
            </w:pPr>
          </w:p>
        </w:tc>
        <w:tc>
          <w:tcPr>
            <w:tcW w:w="239" w:type="dxa"/>
            <w:vAlign w:val="top"/>
          </w:tcPr>
          <w:p w14:paraId="4D2CB117">
            <w:pPr>
              <w:rPr>
                <w:rFonts w:ascii="Arial"/>
                <w:sz w:val="21"/>
              </w:rPr>
            </w:pPr>
          </w:p>
        </w:tc>
        <w:tc>
          <w:tcPr>
            <w:tcW w:w="230" w:type="dxa"/>
            <w:vAlign w:val="top"/>
          </w:tcPr>
          <w:p w14:paraId="75F49C68">
            <w:pPr>
              <w:rPr>
                <w:rFonts w:ascii="Arial"/>
                <w:sz w:val="21"/>
              </w:rPr>
            </w:pPr>
          </w:p>
        </w:tc>
        <w:tc>
          <w:tcPr>
            <w:tcW w:w="224" w:type="dxa"/>
            <w:vAlign w:val="top"/>
          </w:tcPr>
          <w:p w14:paraId="4709E620">
            <w:pPr>
              <w:rPr>
                <w:rFonts w:ascii="Arial"/>
                <w:sz w:val="21"/>
              </w:rPr>
            </w:pPr>
          </w:p>
        </w:tc>
      </w:tr>
    </w:tbl>
    <w:p w14:paraId="26673F0C">
      <w:pPr>
        <w:pStyle w:val="2"/>
        <w:spacing w:line="361" w:lineRule="auto"/>
      </w:pPr>
    </w:p>
    <w:p w14:paraId="600E12CE">
      <w:pPr>
        <w:spacing w:before="65" w:line="222" w:lineRule="auto"/>
        <w:ind w:left="687"/>
        <w:rPr>
          <w:rFonts w:ascii="黑体" w:hAnsi="黑体" w:eastAsia="黑体" w:cs="黑体"/>
          <w:sz w:val="20"/>
          <w:szCs w:val="20"/>
        </w:rPr>
      </w:pPr>
      <w:r>
        <w:rPr>
          <w:rFonts w:ascii="黑体" w:hAnsi="黑体" w:eastAsia="黑体" w:cs="黑体"/>
          <w:b/>
          <w:bCs/>
          <w:spacing w:val="-3"/>
          <w:sz w:val="20"/>
          <w:szCs w:val="20"/>
        </w:rPr>
        <w:t>第三部分电工与电子技术及应用</w:t>
      </w:r>
    </w:p>
    <w:p w14:paraId="0B507BDD">
      <w:pPr>
        <w:pStyle w:val="2"/>
        <w:spacing w:line="274" w:lineRule="auto"/>
      </w:pPr>
    </w:p>
    <w:p w14:paraId="0AF5A7DC">
      <w:pPr>
        <w:spacing w:before="65" w:line="223" w:lineRule="auto"/>
        <w:ind w:left="1477"/>
        <w:rPr>
          <w:rFonts w:ascii="黑体" w:hAnsi="黑体" w:eastAsia="黑体" w:cs="黑体"/>
          <w:sz w:val="20"/>
          <w:szCs w:val="20"/>
        </w:rPr>
      </w:pPr>
      <w:r>
        <w:rPr>
          <w:rFonts w:ascii="黑体" w:hAnsi="黑体" w:eastAsia="黑体" w:cs="黑体"/>
          <w:b/>
          <w:bCs/>
          <w:spacing w:val="-6"/>
          <w:sz w:val="20"/>
          <w:szCs w:val="20"/>
        </w:rPr>
        <w:t>一、安全用电</w:t>
      </w:r>
    </w:p>
    <w:p w14:paraId="5F3E4829">
      <w:pPr>
        <w:spacing w:line="167" w:lineRule="exact"/>
      </w:pPr>
    </w:p>
    <w:tbl>
      <w:tblPr>
        <w:tblStyle w:val="5"/>
        <w:tblW w:w="4130" w:type="dxa"/>
        <w:tblInd w:w="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54"/>
        <w:gridCol w:w="2644"/>
        <w:gridCol w:w="229"/>
        <w:gridCol w:w="229"/>
        <w:gridCol w:w="230"/>
        <w:gridCol w:w="244"/>
      </w:tblGrid>
      <w:tr w14:paraId="68DB40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4" w:hRule="atLeast"/>
        </w:trPr>
        <w:tc>
          <w:tcPr>
            <w:tcW w:w="554" w:type="dxa"/>
            <w:vMerge w:val="restart"/>
            <w:tcBorders>
              <w:bottom w:val="nil"/>
            </w:tcBorders>
            <w:vAlign w:val="top"/>
          </w:tcPr>
          <w:p w14:paraId="618EA92F">
            <w:pPr>
              <w:pStyle w:val="6"/>
              <w:spacing w:before="82" w:line="221" w:lineRule="auto"/>
              <w:ind w:left="17" w:firstLine="69"/>
              <w:rPr>
                <w:sz w:val="18"/>
                <w:szCs w:val="18"/>
              </w:rPr>
            </w:pPr>
            <w:r>
              <w:rPr>
                <w:b/>
                <w:bCs/>
                <w:spacing w:val="-9"/>
                <w:sz w:val="18"/>
                <w:szCs w:val="18"/>
              </w:rPr>
              <w:t>知识</w:t>
            </w:r>
            <w:r>
              <w:rPr>
                <w:sz w:val="18"/>
                <w:szCs w:val="18"/>
              </w:rPr>
              <w:t xml:space="preserve">  </w:t>
            </w:r>
            <w:r>
              <w:rPr>
                <w:b/>
                <w:bCs/>
                <w:spacing w:val="-7"/>
                <w:sz w:val="18"/>
                <w:szCs w:val="18"/>
              </w:rPr>
              <w:t>与技能</w:t>
            </w:r>
            <w:r>
              <w:rPr>
                <w:sz w:val="18"/>
                <w:szCs w:val="18"/>
              </w:rPr>
              <w:t xml:space="preserve"> </w:t>
            </w:r>
            <w:r>
              <w:rPr>
                <w:b/>
                <w:bCs/>
                <w:spacing w:val="28"/>
                <w:sz w:val="18"/>
                <w:szCs w:val="18"/>
              </w:rPr>
              <w:t>要点</w:t>
            </w:r>
          </w:p>
        </w:tc>
        <w:tc>
          <w:tcPr>
            <w:tcW w:w="2644" w:type="dxa"/>
            <w:vMerge w:val="restart"/>
            <w:tcBorders>
              <w:bottom w:val="nil"/>
            </w:tcBorders>
            <w:vAlign w:val="top"/>
          </w:tcPr>
          <w:p w14:paraId="654A0075">
            <w:pPr>
              <w:pStyle w:val="6"/>
              <w:spacing w:before="299" w:line="219" w:lineRule="auto"/>
              <w:ind w:left="1013"/>
              <w:rPr>
                <w:sz w:val="18"/>
                <w:szCs w:val="18"/>
              </w:rPr>
            </w:pPr>
            <w:r>
              <w:rPr>
                <w:b/>
                <w:bCs/>
                <w:spacing w:val="5"/>
                <w:sz w:val="18"/>
                <w:szCs w:val="18"/>
              </w:rPr>
              <w:t>考试条目</w:t>
            </w:r>
          </w:p>
        </w:tc>
        <w:tc>
          <w:tcPr>
            <w:tcW w:w="932" w:type="dxa"/>
            <w:gridSpan w:val="4"/>
            <w:vAlign w:val="top"/>
          </w:tcPr>
          <w:p w14:paraId="52F6E88E">
            <w:pPr>
              <w:pStyle w:val="6"/>
              <w:spacing w:before="109" w:line="219" w:lineRule="auto"/>
              <w:ind w:left="129"/>
              <w:rPr>
                <w:sz w:val="18"/>
                <w:szCs w:val="18"/>
              </w:rPr>
            </w:pPr>
            <w:r>
              <w:rPr>
                <w:b/>
                <w:bCs/>
                <w:spacing w:val="-4"/>
                <w:sz w:val="18"/>
                <w:szCs w:val="18"/>
              </w:rPr>
              <w:t>考试水平</w:t>
            </w:r>
          </w:p>
        </w:tc>
      </w:tr>
      <w:tr w14:paraId="36C07D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554" w:type="dxa"/>
            <w:vMerge w:val="continue"/>
            <w:tcBorders>
              <w:top w:val="nil"/>
            </w:tcBorders>
            <w:vAlign w:val="top"/>
          </w:tcPr>
          <w:p w14:paraId="03780A6A">
            <w:pPr>
              <w:rPr>
                <w:rFonts w:ascii="Arial"/>
                <w:sz w:val="21"/>
              </w:rPr>
            </w:pPr>
          </w:p>
        </w:tc>
        <w:tc>
          <w:tcPr>
            <w:tcW w:w="2644" w:type="dxa"/>
            <w:vMerge w:val="continue"/>
            <w:tcBorders>
              <w:top w:val="nil"/>
            </w:tcBorders>
            <w:vAlign w:val="top"/>
          </w:tcPr>
          <w:p w14:paraId="71406941">
            <w:pPr>
              <w:rPr>
                <w:rFonts w:ascii="Arial"/>
                <w:sz w:val="21"/>
              </w:rPr>
            </w:pPr>
          </w:p>
        </w:tc>
        <w:tc>
          <w:tcPr>
            <w:tcW w:w="229" w:type="dxa"/>
            <w:vAlign w:val="top"/>
          </w:tcPr>
          <w:p w14:paraId="338041A6">
            <w:pPr>
              <w:pStyle w:val="6"/>
              <w:spacing w:before="143" w:line="184" w:lineRule="auto"/>
              <w:ind w:left="37"/>
              <w:rPr>
                <w:sz w:val="18"/>
                <w:szCs w:val="18"/>
              </w:rPr>
            </w:pPr>
            <w:r>
              <w:rPr>
                <w:sz w:val="18"/>
                <w:szCs w:val="18"/>
              </w:rPr>
              <w:t>A</w:t>
            </w:r>
          </w:p>
        </w:tc>
        <w:tc>
          <w:tcPr>
            <w:tcW w:w="229" w:type="dxa"/>
            <w:vAlign w:val="top"/>
          </w:tcPr>
          <w:p w14:paraId="0FD08B83">
            <w:pPr>
              <w:pStyle w:val="6"/>
              <w:spacing w:before="145" w:line="182" w:lineRule="auto"/>
              <w:ind w:left="18"/>
              <w:rPr>
                <w:sz w:val="18"/>
                <w:szCs w:val="18"/>
              </w:rPr>
            </w:pPr>
            <w:r>
              <w:rPr>
                <w:sz w:val="18"/>
                <w:szCs w:val="18"/>
              </w:rPr>
              <w:t>B</w:t>
            </w:r>
          </w:p>
        </w:tc>
        <w:tc>
          <w:tcPr>
            <w:tcW w:w="230" w:type="dxa"/>
            <w:vAlign w:val="top"/>
          </w:tcPr>
          <w:p w14:paraId="76F80E3F">
            <w:pPr>
              <w:pStyle w:val="6"/>
              <w:spacing w:before="137" w:line="183" w:lineRule="auto"/>
              <w:ind w:left="59"/>
              <w:rPr>
                <w:sz w:val="19"/>
                <w:szCs w:val="19"/>
              </w:rPr>
            </w:pPr>
            <w:r>
              <w:rPr>
                <w:sz w:val="19"/>
                <w:szCs w:val="19"/>
              </w:rPr>
              <w:t>C</w:t>
            </w:r>
          </w:p>
        </w:tc>
        <w:tc>
          <w:tcPr>
            <w:tcW w:w="244" w:type="dxa"/>
            <w:vAlign w:val="top"/>
          </w:tcPr>
          <w:p w14:paraId="44230AFF">
            <w:pPr>
              <w:pStyle w:val="6"/>
              <w:spacing w:before="145" w:line="182" w:lineRule="auto"/>
              <w:ind w:left="29"/>
              <w:rPr>
                <w:sz w:val="18"/>
                <w:szCs w:val="18"/>
              </w:rPr>
            </w:pPr>
            <w:r>
              <w:rPr>
                <w:sz w:val="18"/>
                <w:szCs w:val="18"/>
              </w:rPr>
              <w:t>D</w:t>
            </w:r>
          </w:p>
        </w:tc>
      </w:tr>
      <w:tr w14:paraId="3603C9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4" w:hRule="atLeast"/>
        </w:trPr>
        <w:tc>
          <w:tcPr>
            <w:tcW w:w="554" w:type="dxa"/>
            <w:tcBorders>
              <w:bottom w:val="nil"/>
            </w:tcBorders>
            <w:vAlign w:val="top"/>
          </w:tcPr>
          <w:p w14:paraId="17BB2267">
            <w:pPr>
              <w:pStyle w:val="6"/>
              <w:spacing w:before="29" w:line="199" w:lineRule="auto"/>
              <w:ind w:left="85"/>
              <w:rPr>
                <w:sz w:val="18"/>
                <w:szCs w:val="18"/>
              </w:rPr>
            </w:pPr>
            <w:r>
              <w:rPr>
                <w:spacing w:val="10"/>
                <w:sz w:val="18"/>
                <w:szCs w:val="18"/>
              </w:rPr>
              <w:t>常用</w:t>
            </w:r>
          </w:p>
        </w:tc>
        <w:tc>
          <w:tcPr>
            <w:tcW w:w="2644" w:type="dxa"/>
            <w:tcBorders>
              <w:bottom w:val="nil"/>
            </w:tcBorders>
            <w:vAlign w:val="top"/>
          </w:tcPr>
          <w:p w14:paraId="6518D469">
            <w:pPr>
              <w:spacing w:line="223" w:lineRule="exact"/>
              <w:rPr>
                <w:rFonts w:ascii="Arial"/>
                <w:sz w:val="19"/>
              </w:rPr>
            </w:pPr>
          </w:p>
        </w:tc>
        <w:tc>
          <w:tcPr>
            <w:tcW w:w="229" w:type="dxa"/>
            <w:tcBorders>
              <w:bottom w:val="nil"/>
            </w:tcBorders>
            <w:vAlign w:val="top"/>
          </w:tcPr>
          <w:p w14:paraId="10517272">
            <w:pPr>
              <w:spacing w:line="223" w:lineRule="exact"/>
              <w:rPr>
                <w:rFonts w:ascii="Arial"/>
                <w:sz w:val="19"/>
              </w:rPr>
            </w:pPr>
          </w:p>
        </w:tc>
        <w:tc>
          <w:tcPr>
            <w:tcW w:w="229" w:type="dxa"/>
            <w:tcBorders>
              <w:bottom w:val="nil"/>
            </w:tcBorders>
            <w:vAlign w:val="top"/>
          </w:tcPr>
          <w:p w14:paraId="4F6C5255">
            <w:pPr>
              <w:spacing w:line="223" w:lineRule="exact"/>
              <w:rPr>
                <w:rFonts w:ascii="Arial"/>
                <w:sz w:val="19"/>
              </w:rPr>
            </w:pPr>
          </w:p>
        </w:tc>
        <w:tc>
          <w:tcPr>
            <w:tcW w:w="230" w:type="dxa"/>
            <w:tcBorders>
              <w:bottom w:val="nil"/>
            </w:tcBorders>
            <w:vAlign w:val="top"/>
          </w:tcPr>
          <w:p w14:paraId="31D05EDD">
            <w:pPr>
              <w:spacing w:line="223" w:lineRule="exact"/>
              <w:rPr>
                <w:rFonts w:ascii="Arial"/>
                <w:sz w:val="19"/>
              </w:rPr>
            </w:pPr>
          </w:p>
        </w:tc>
        <w:tc>
          <w:tcPr>
            <w:tcW w:w="244" w:type="dxa"/>
            <w:tcBorders>
              <w:bottom w:val="nil"/>
            </w:tcBorders>
            <w:vAlign w:val="top"/>
          </w:tcPr>
          <w:p w14:paraId="034EC767">
            <w:pPr>
              <w:spacing w:line="223" w:lineRule="exact"/>
              <w:rPr>
                <w:rFonts w:ascii="Arial"/>
                <w:sz w:val="19"/>
              </w:rPr>
            </w:pPr>
          </w:p>
        </w:tc>
      </w:tr>
      <w:tr w14:paraId="3F5855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7" w:hRule="atLeast"/>
        </w:trPr>
        <w:tc>
          <w:tcPr>
            <w:tcW w:w="554" w:type="dxa"/>
            <w:tcBorders>
              <w:top w:val="nil"/>
              <w:bottom w:val="nil"/>
            </w:tcBorders>
            <w:vAlign w:val="top"/>
          </w:tcPr>
          <w:p w14:paraId="5F800FC5">
            <w:pPr>
              <w:pStyle w:val="6"/>
              <w:spacing w:before="30" w:line="181" w:lineRule="auto"/>
              <w:ind w:left="85"/>
              <w:rPr>
                <w:sz w:val="18"/>
                <w:szCs w:val="18"/>
              </w:rPr>
            </w:pPr>
            <w:r>
              <w:rPr>
                <w:spacing w:val="4"/>
                <w:sz w:val="18"/>
                <w:szCs w:val="18"/>
              </w:rPr>
              <w:t>电工</w:t>
            </w:r>
          </w:p>
        </w:tc>
        <w:tc>
          <w:tcPr>
            <w:tcW w:w="2644" w:type="dxa"/>
            <w:tcBorders>
              <w:top w:val="nil"/>
              <w:bottom w:val="nil"/>
            </w:tcBorders>
            <w:vAlign w:val="top"/>
          </w:tcPr>
          <w:p w14:paraId="5FBA9751">
            <w:pPr>
              <w:spacing w:line="207" w:lineRule="exact"/>
              <w:rPr>
                <w:rFonts w:ascii="Arial"/>
                <w:sz w:val="18"/>
              </w:rPr>
            </w:pPr>
          </w:p>
        </w:tc>
        <w:tc>
          <w:tcPr>
            <w:tcW w:w="229" w:type="dxa"/>
            <w:tcBorders>
              <w:top w:val="nil"/>
              <w:bottom w:val="nil"/>
            </w:tcBorders>
            <w:vAlign w:val="top"/>
          </w:tcPr>
          <w:p w14:paraId="466A3A31">
            <w:pPr>
              <w:spacing w:line="207" w:lineRule="exact"/>
              <w:rPr>
                <w:rFonts w:ascii="Arial"/>
                <w:sz w:val="18"/>
              </w:rPr>
            </w:pPr>
          </w:p>
        </w:tc>
        <w:tc>
          <w:tcPr>
            <w:tcW w:w="229" w:type="dxa"/>
            <w:tcBorders>
              <w:top w:val="nil"/>
              <w:bottom w:val="nil"/>
            </w:tcBorders>
            <w:vAlign w:val="top"/>
          </w:tcPr>
          <w:p w14:paraId="73336936">
            <w:pPr>
              <w:spacing w:line="207" w:lineRule="exact"/>
              <w:rPr>
                <w:rFonts w:ascii="Arial"/>
                <w:sz w:val="18"/>
              </w:rPr>
            </w:pPr>
          </w:p>
        </w:tc>
        <w:tc>
          <w:tcPr>
            <w:tcW w:w="230" w:type="dxa"/>
            <w:tcBorders>
              <w:top w:val="nil"/>
              <w:bottom w:val="nil"/>
            </w:tcBorders>
            <w:vAlign w:val="top"/>
          </w:tcPr>
          <w:p w14:paraId="0A096FE2">
            <w:pPr>
              <w:spacing w:line="207" w:lineRule="exact"/>
              <w:rPr>
                <w:rFonts w:ascii="Arial"/>
                <w:sz w:val="18"/>
              </w:rPr>
            </w:pPr>
          </w:p>
        </w:tc>
        <w:tc>
          <w:tcPr>
            <w:tcW w:w="244" w:type="dxa"/>
            <w:tcBorders>
              <w:top w:val="nil"/>
              <w:bottom w:val="nil"/>
            </w:tcBorders>
            <w:vAlign w:val="top"/>
          </w:tcPr>
          <w:p w14:paraId="36391342">
            <w:pPr>
              <w:spacing w:line="207" w:lineRule="exact"/>
              <w:rPr>
                <w:rFonts w:ascii="Arial"/>
                <w:sz w:val="18"/>
              </w:rPr>
            </w:pPr>
          </w:p>
        </w:tc>
      </w:tr>
      <w:tr w14:paraId="39786C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4" w:hRule="atLeast"/>
        </w:trPr>
        <w:tc>
          <w:tcPr>
            <w:tcW w:w="554" w:type="dxa"/>
            <w:tcBorders>
              <w:top w:val="nil"/>
              <w:bottom w:val="nil"/>
            </w:tcBorders>
            <w:vAlign w:val="top"/>
          </w:tcPr>
          <w:p w14:paraId="50476BC9">
            <w:pPr>
              <w:pStyle w:val="6"/>
              <w:spacing w:before="39" w:line="169" w:lineRule="auto"/>
              <w:ind w:left="85"/>
              <w:rPr>
                <w:sz w:val="18"/>
                <w:szCs w:val="18"/>
              </w:rPr>
            </w:pPr>
            <w:r>
              <w:rPr>
                <w:spacing w:val="-3"/>
                <w:sz w:val="18"/>
                <w:szCs w:val="18"/>
              </w:rPr>
              <w:t>工具</w:t>
            </w:r>
          </w:p>
        </w:tc>
        <w:tc>
          <w:tcPr>
            <w:tcW w:w="2644" w:type="dxa"/>
            <w:tcBorders>
              <w:top w:val="nil"/>
              <w:bottom w:val="nil"/>
            </w:tcBorders>
            <w:vAlign w:val="top"/>
          </w:tcPr>
          <w:p w14:paraId="159DF25D">
            <w:pPr>
              <w:pStyle w:val="6"/>
              <w:spacing w:before="39" w:line="169" w:lineRule="auto"/>
              <w:ind w:left="71"/>
              <w:rPr>
                <w:sz w:val="18"/>
                <w:szCs w:val="18"/>
              </w:rPr>
            </w:pPr>
            <w:r>
              <w:rPr>
                <w:spacing w:val="1"/>
                <w:sz w:val="18"/>
                <w:szCs w:val="18"/>
              </w:rPr>
              <w:t>1.常用电工工具</w:t>
            </w:r>
          </w:p>
        </w:tc>
        <w:tc>
          <w:tcPr>
            <w:tcW w:w="229" w:type="dxa"/>
            <w:tcBorders>
              <w:top w:val="nil"/>
              <w:bottom w:val="nil"/>
            </w:tcBorders>
            <w:vAlign w:val="top"/>
          </w:tcPr>
          <w:p w14:paraId="2449E4B5">
            <w:pPr>
              <w:spacing w:line="203" w:lineRule="exact"/>
              <w:rPr>
                <w:rFonts w:ascii="Arial"/>
                <w:sz w:val="17"/>
              </w:rPr>
            </w:pPr>
          </w:p>
        </w:tc>
        <w:tc>
          <w:tcPr>
            <w:tcW w:w="229" w:type="dxa"/>
            <w:tcBorders>
              <w:top w:val="nil"/>
              <w:bottom w:val="nil"/>
            </w:tcBorders>
            <w:vAlign w:val="top"/>
          </w:tcPr>
          <w:p w14:paraId="589BEC5F">
            <w:pPr>
              <w:spacing w:line="203" w:lineRule="exact"/>
              <w:rPr>
                <w:rFonts w:ascii="Arial"/>
                <w:sz w:val="17"/>
              </w:rPr>
            </w:pPr>
          </w:p>
        </w:tc>
        <w:tc>
          <w:tcPr>
            <w:tcW w:w="230" w:type="dxa"/>
            <w:tcBorders>
              <w:top w:val="nil"/>
              <w:bottom w:val="nil"/>
            </w:tcBorders>
            <w:vAlign w:val="top"/>
          </w:tcPr>
          <w:p w14:paraId="24646414">
            <w:pPr>
              <w:pStyle w:val="6"/>
              <w:spacing w:before="9" w:line="238" w:lineRule="auto"/>
              <w:ind w:left="48"/>
              <w:rPr>
                <w:sz w:val="13"/>
                <w:szCs w:val="13"/>
              </w:rPr>
            </w:pPr>
            <w:r>
              <w:rPr>
                <w:sz w:val="13"/>
                <w:szCs w:val="13"/>
              </w:rPr>
              <w:t>√</w:t>
            </w:r>
          </w:p>
        </w:tc>
        <w:tc>
          <w:tcPr>
            <w:tcW w:w="244" w:type="dxa"/>
            <w:tcBorders>
              <w:top w:val="nil"/>
              <w:bottom w:val="nil"/>
            </w:tcBorders>
            <w:vAlign w:val="top"/>
          </w:tcPr>
          <w:p w14:paraId="75B3B168">
            <w:pPr>
              <w:spacing w:line="203" w:lineRule="exact"/>
              <w:rPr>
                <w:rFonts w:ascii="Arial"/>
                <w:sz w:val="17"/>
              </w:rPr>
            </w:pPr>
          </w:p>
        </w:tc>
      </w:tr>
      <w:tr w14:paraId="7AEFE1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9" w:hRule="atLeast"/>
        </w:trPr>
        <w:tc>
          <w:tcPr>
            <w:tcW w:w="554" w:type="dxa"/>
            <w:tcBorders>
              <w:top w:val="nil"/>
              <w:bottom w:val="nil"/>
            </w:tcBorders>
            <w:vAlign w:val="top"/>
          </w:tcPr>
          <w:p w14:paraId="29E53D81">
            <w:pPr>
              <w:pStyle w:val="6"/>
              <w:spacing w:before="35" w:line="168" w:lineRule="auto"/>
              <w:ind w:left="85"/>
              <w:rPr>
                <w:sz w:val="18"/>
                <w:szCs w:val="18"/>
              </w:rPr>
            </w:pPr>
            <w:r>
              <w:rPr>
                <w:spacing w:val="-2"/>
                <w:sz w:val="18"/>
                <w:szCs w:val="18"/>
              </w:rPr>
              <w:t>及安</w:t>
            </w:r>
          </w:p>
        </w:tc>
        <w:tc>
          <w:tcPr>
            <w:tcW w:w="2644" w:type="dxa"/>
            <w:tcBorders>
              <w:top w:val="nil"/>
              <w:bottom w:val="nil"/>
            </w:tcBorders>
            <w:vAlign w:val="top"/>
          </w:tcPr>
          <w:p w14:paraId="64276068">
            <w:pPr>
              <w:pStyle w:val="6"/>
              <w:spacing w:before="34" w:line="169" w:lineRule="auto"/>
              <w:ind w:left="71"/>
              <w:rPr>
                <w:sz w:val="18"/>
                <w:szCs w:val="18"/>
              </w:rPr>
            </w:pPr>
            <w:r>
              <w:rPr>
                <w:spacing w:val="1"/>
                <w:sz w:val="18"/>
                <w:szCs w:val="18"/>
              </w:rPr>
              <w:t>2.电工安全操作技术规定</w:t>
            </w:r>
          </w:p>
        </w:tc>
        <w:tc>
          <w:tcPr>
            <w:tcW w:w="229" w:type="dxa"/>
            <w:tcBorders>
              <w:top w:val="nil"/>
              <w:bottom w:val="nil"/>
            </w:tcBorders>
            <w:vAlign w:val="top"/>
          </w:tcPr>
          <w:p w14:paraId="0A97545E">
            <w:pPr>
              <w:spacing w:line="198" w:lineRule="exact"/>
              <w:rPr>
                <w:rFonts w:ascii="Arial"/>
                <w:sz w:val="17"/>
              </w:rPr>
            </w:pPr>
          </w:p>
        </w:tc>
        <w:tc>
          <w:tcPr>
            <w:tcW w:w="229" w:type="dxa"/>
            <w:tcBorders>
              <w:top w:val="nil"/>
              <w:bottom w:val="nil"/>
            </w:tcBorders>
            <w:vAlign w:val="top"/>
          </w:tcPr>
          <w:p w14:paraId="4CA38856">
            <w:pPr>
              <w:spacing w:line="198" w:lineRule="exact"/>
              <w:rPr>
                <w:rFonts w:ascii="Arial"/>
                <w:sz w:val="17"/>
              </w:rPr>
            </w:pPr>
          </w:p>
        </w:tc>
        <w:tc>
          <w:tcPr>
            <w:tcW w:w="230" w:type="dxa"/>
            <w:tcBorders>
              <w:top w:val="nil"/>
              <w:bottom w:val="nil"/>
            </w:tcBorders>
            <w:vAlign w:val="top"/>
          </w:tcPr>
          <w:p w14:paraId="0A001D7B">
            <w:pPr>
              <w:pStyle w:val="6"/>
              <w:spacing w:line="231" w:lineRule="auto"/>
              <w:ind w:left="19"/>
              <w:rPr>
                <w:sz w:val="13"/>
                <w:szCs w:val="13"/>
              </w:rPr>
            </w:pPr>
            <w:r>
              <w:rPr>
                <w:sz w:val="13"/>
                <w:szCs w:val="13"/>
              </w:rPr>
              <w:t>√</w:t>
            </w:r>
          </w:p>
        </w:tc>
        <w:tc>
          <w:tcPr>
            <w:tcW w:w="244" w:type="dxa"/>
            <w:tcBorders>
              <w:top w:val="nil"/>
              <w:bottom w:val="nil"/>
            </w:tcBorders>
            <w:vAlign w:val="top"/>
          </w:tcPr>
          <w:p w14:paraId="2B406380">
            <w:pPr>
              <w:spacing w:line="198" w:lineRule="exact"/>
              <w:rPr>
                <w:rFonts w:ascii="Arial"/>
                <w:sz w:val="17"/>
              </w:rPr>
            </w:pPr>
          </w:p>
        </w:tc>
      </w:tr>
      <w:tr w14:paraId="02E0D6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4" w:hRule="atLeast"/>
        </w:trPr>
        <w:tc>
          <w:tcPr>
            <w:tcW w:w="554" w:type="dxa"/>
            <w:tcBorders>
              <w:top w:val="nil"/>
              <w:bottom w:val="nil"/>
            </w:tcBorders>
            <w:vAlign w:val="top"/>
          </w:tcPr>
          <w:p w14:paraId="4890A549">
            <w:pPr>
              <w:pStyle w:val="6"/>
              <w:spacing w:before="55" w:line="183" w:lineRule="auto"/>
              <w:ind w:left="85"/>
              <w:rPr>
                <w:sz w:val="18"/>
                <w:szCs w:val="18"/>
              </w:rPr>
            </w:pPr>
            <w:r>
              <w:rPr>
                <w:spacing w:val="-2"/>
                <w:sz w:val="18"/>
                <w:szCs w:val="18"/>
              </w:rPr>
              <w:t>全操</w:t>
            </w:r>
          </w:p>
        </w:tc>
        <w:tc>
          <w:tcPr>
            <w:tcW w:w="2644" w:type="dxa"/>
            <w:tcBorders>
              <w:top w:val="nil"/>
              <w:bottom w:val="nil"/>
            </w:tcBorders>
            <w:vAlign w:val="top"/>
          </w:tcPr>
          <w:p w14:paraId="29FBBB0B">
            <w:pPr>
              <w:pStyle w:val="6"/>
              <w:spacing w:before="35" w:line="204" w:lineRule="auto"/>
              <w:ind w:left="71"/>
              <w:rPr>
                <w:sz w:val="18"/>
                <w:szCs w:val="18"/>
              </w:rPr>
            </w:pPr>
            <w:r>
              <w:rPr>
                <w:spacing w:val="1"/>
                <w:sz w:val="18"/>
                <w:szCs w:val="18"/>
              </w:rPr>
              <w:t>3.安全文明生产规定</w:t>
            </w:r>
          </w:p>
        </w:tc>
        <w:tc>
          <w:tcPr>
            <w:tcW w:w="229" w:type="dxa"/>
            <w:tcBorders>
              <w:top w:val="nil"/>
              <w:bottom w:val="nil"/>
            </w:tcBorders>
            <w:vAlign w:val="top"/>
          </w:tcPr>
          <w:p w14:paraId="0738FEC6">
            <w:pPr>
              <w:spacing w:line="233" w:lineRule="exact"/>
              <w:rPr>
                <w:rFonts w:ascii="Arial"/>
                <w:sz w:val="20"/>
              </w:rPr>
            </w:pPr>
          </w:p>
        </w:tc>
        <w:tc>
          <w:tcPr>
            <w:tcW w:w="229" w:type="dxa"/>
            <w:tcBorders>
              <w:top w:val="nil"/>
              <w:bottom w:val="nil"/>
            </w:tcBorders>
            <w:vAlign w:val="top"/>
          </w:tcPr>
          <w:p w14:paraId="56DF1637">
            <w:pPr>
              <w:spacing w:line="233" w:lineRule="exact"/>
              <w:rPr>
                <w:rFonts w:ascii="Arial"/>
                <w:sz w:val="20"/>
              </w:rPr>
            </w:pPr>
          </w:p>
        </w:tc>
        <w:tc>
          <w:tcPr>
            <w:tcW w:w="230" w:type="dxa"/>
            <w:tcBorders>
              <w:top w:val="nil"/>
              <w:bottom w:val="nil"/>
            </w:tcBorders>
            <w:vAlign w:val="top"/>
          </w:tcPr>
          <w:p w14:paraId="25D726F0">
            <w:pPr>
              <w:pStyle w:val="6"/>
              <w:spacing w:line="232" w:lineRule="auto"/>
              <w:ind w:left="48"/>
              <w:rPr>
                <w:sz w:val="13"/>
                <w:szCs w:val="13"/>
              </w:rPr>
            </w:pPr>
            <w:r>
              <w:rPr>
                <w:sz w:val="13"/>
                <w:szCs w:val="13"/>
              </w:rPr>
              <w:t>√</w:t>
            </w:r>
          </w:p>
        </w:tc>
        <w:tc>
          <w:tcPr>
            <w:tcW w:w="244" w:type="dxa"/>
            <w:tcBorders>
              <w:top w:val="nil"/>
              <w:bottom w:val="nil"/>
            </w:tcBorders>
            <w:vAlign w:val="top"/>
          </w:tcPr>
          <w:p w14:paraId="07BEF8B0">
            <w:pPr>
              <w:spacing w:line="233" w:lineRule="exact"/>
              <w:rPr>
                <w:rFonts w:ascii="Arial"/>
                <w:sz w:val="20"/>
              </w:rPr>
            </w:pPr>
          </w:p>
        </w:tc>
      </w:tr>
      <w:tr w14:paraId="4A601F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6" w:hRule="atLeast"/>
        </w:trPr>
        <w:tc>
          <w:tcPr>
            <w:tcW w:w="554" w:type="dxa"/>
            <w:tcBorders>
              <w:top w:val="nil"/>
              <w:bottom w:val="nil"/>
            </w:tcBorders>
            <w:vAlign w:val="top"/>
          </w:tcPr>
          <w:p w14:paraId="71BA8228">
            <w:pPr>
              <w:pStyle w:val="6"/>
              <w:spacing w:before="21" w:line="179" w:lineRule="auto"/>
              <w:ind w:left="85"/>
              <w:rPr>
                <w:sz w:val="18"/>
                <w:szCs w:val="18"/>
              </w:rPr>
            </w:pPr>
            <w:r>
              <w:rPr>
                <w:spacing w:val="-2"/>
                <w:sz w:val="18"/>
                <w:szCs w:val="18"/>
              </w:rPr>
              <w:t>作规</w:t>
            </w:r>
          </w:p>
        </w:tc>
        <w:tc>
          <w:tcPr>
            <w:tcW w:w="2644" w:type="dxa"/>
            <w:tcBorders>
              <w:top w:val="nil"/>
              <w:bottom w:val="nil"/>
            </w:tcBorders>
            <w:vAlign w:val="top"/>
          </w:tcPr>
          <w:p w14:paraId="32DF0B3A">
            <w:pPr>
              <w:spacing w:line="196" w:lineRule="exact"/>
              <w:rPr>
                <w:rFonts w:ascii="Arial"/>
                <w:sz w:val="17"/>
              </w:rPr>
            </w:pPr>
          </w:p>
        </w:tc>
        <w:tc>
          <w:tcPr>
            <w:tcW w:w="229" w:type="dxa"/>
            <w:tcBorders>
              <w:top w:val="nil"/>
              <w:bottom w:val="nil"/>
            </w:tcBorders>
            <w:vAlign w:val="top"/>
          </w:tcPr>
          <w:p w14:paraId="50F89EAD">
            <w:pPr>
              <w:spacing w:line="196" w:lineRule="exact"/>
              <w:rPr>
                <w:rFonts w:ascii="Arial"/>
                <w:sz w:val="17"/>
              </w:rPr>
            </w:pPr>
          </w:p>
        </w:tc>
        <w:tc>
          <w:tcPr>
            <w:tcW w:w="229" w:type="dxa"/>
            <w:tcBorders>
              <w:top w:val="nil"/>
              <w:bottom w:val="nil"/>
            </w:tcBorders>
            <w:vAlign w:val="top"/>
          </w:tcPr>
          <w:p w14:paraId="22847A93">
            <w:pPr>
              <w:spacing w:line="196" w:lineRule="exact"/>
              <w:rPr>
                <w:rFonts w:ascii="Arial"/>
                <w:sz w:val="17"/>
              </w:rPr>
            </w:pPr>
          </w:p>
        </w:tc>
        <w:tc>
          <w:tcPr>
            <w:tcW w:w="230" w:type="dxa"/>
            <w:tcBorders>
              <w:top w:val="nil"/>
              <w:bottom w:val="nil"/>
            </w:tcBorders>
            <w:vAlign w:val="top"/>
          </w:tcPr>
          <w:p w14:paraId="1C1E2930">
            <w:pPr>
              <w:spacing w:line="196" w:lineRule="exact"/>
              <w:rPr>
                <w:rFonts w:ascii="Arial"/>
                <w:sz w:val="17"/>
              </w:rPr>
            </w:pPr>
          </w:p>
        </w:tc>
        <w:tc>
          <w:tcPr>
            <w:tcW w:w="244" w:type="dxa"/>
            <w:tcBorders>
              <w:top w:val="nil"/>
              <w:bottom w:val="nil"/>
            </w:tcBorders>
            <w:vAlign w:val="top"/>
          </w:tcPr>
          <w:p w14:paraId="33D2C92B">
            <w:pPr>
              <w:spacing w:line="196" w:lineRule="exact"/>
              <w:rPr>
                <w:rFonts w:ascii="Arial"/>
                <w:sz w:val="17"/>
              </w:rPr>
            </w:pPr>
          </w:p>
        </w:tc>
      </w:tr>
      <w:tr w14:paraId="44FCEA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1" w:hRule="atLeast"/>
        </w:trPr>
        <w:tc>
          <w:tcPr>
            <w:tcW w:w="554" w:type="dxa"/>
            <w:tcBorders>
              <w:top w:val="nil"/>
            </w:tcBorders>
            <w:vAlign w:val="top"/>
          </w:tcPr>
          <w:p w14:paraId="6145F635">
            <w:pPr>
              <w:pStyle w:val="6"/>
              <w:spacing w:before="15" w:line="190" w:lineRule="auto"/>
              <w:ind w:left="175"/>
              <w:rPr>
                <w:sz w:val="18"/>
                <w:szCs w:val="18"/>
              </w:rPr>
            </w:pPr>
            <w:r>
              <w:rPr>
                <w:sz w:val="18"/>
                <w:szCs w:val="18"/>
              </w:rPr>
              <w:t>程</w:t>
            </w:r>
          </w:p>
        </w:tc>
        <w:tc>
          <w:tcPr>
            <w:tcW w:w="2644" w:type="dxa"/>
            <w:tcBorders>
              <w:top w:val="nil"/>
            </w:tcBorders>
            <w:vAlign w:val="top"/>
          </w:tcPr>
          <w:p w14:paraId="24559075">
            <w:pPr>
              <w:spacing w:line="201" w:lineRule="exact"/>
              <w:rPr>
                <w:rFonts w:ascii="Arial"/>
                <w:sz w:val="17"/>
              </w:rPr>
            </w:pPr>
          </w:p>
        </w:tc>
        <w:tc>
          <w:tcPr>
            <w:tcW w:w="229" w:type="dxa"/>
            <w:tcBorders>
              <w:top w:val="nil"/>
            </w:tcBorders>
            <w:vAlign w:val="top"/>
          </w:tcPr>
          <w:p w14:paraId="2F6CDDC2">
            <w:pPr>
              <w:spacing w:line="201" w:lineRule="exact"/>
              <w:rPr>
                <w:rFonts w:ascii="Arial"/>
                <w:sz w:val="17"/>
              </w:rPr>
            </w:pPr>
          </w:p>
        </w:tc>
        <w:tc>
          <w:tcPr>
            <w:tcW w:w="229" w:type="dxa"/>
            <w:tcBorders>
              <w:top w:val="nil"/>
            </w:tcBorders>
            <w:vAlign w:val="top"/>
          </w:tcPr>
          <w:p w14:paraId="6328A360">
            <w:pPr>
              <w:spacing w:line="201" w:lineRule="exact"/>
              <w:rPr>
                <w:rFonts w:ascii="Arial"/>
                <w:sz w:val="17"/>
              </w:rPr>
            </w:pPr>
          </w:p>
        </w:tc>
        <w:tc>
          <w:tcPr>
            <w:tcW w:w="230" w:type="dxa"/>
            <w:tcBorders>
              <w:top w:val="nil"/>
            </w:tcBorders>
            <w:vAlign w:val="top"/>
          </w:tcPr>
          <w:p w14:paraId="3AB73060">
            <w:pPr>
              <w:spacing w:line="201" w:lineRule="exact"/>
              <w:rPr>
                <w:rFonts w:ascii="Arial"/>
                <w:sz w:val="17"/>
              </w:rPr>
            </w:pPr>
          </w:p>
        </w:tc>
        <w:tc>
          <w:tcPr>
            <w:tcW w:w="244" w:type="dxa"/>
            <w:tcBorders>
              <w:top w:val="nil"/>
            </w:tcBorders>
            <w:vAlign w:val="top"/>
          </w:tcPr>
          <w:p w14:paraId="08C85B70">
            <w:pPr>
              <w:spacing w:line="201" w:lineRule="exact"/>
              <w:rPr>
                <w:rFonts w:ascii="Arial"/>
                <w:sz w:val="17"/>
              </w:rPr>
            </w:pPr>
          </w:p>
        </w:tc>
      </w:tr>
      <w:tr w14:paraId="25A230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31" w:hRule="atLeast"/>
        </w:trPr>
        <w:tc>
          <w:tcPr>
            <w:tcW w:w="554" w:type="dxa"/>
            <w:vAlign w:val="top"/>
          </w:tcPr>
          <w:p w14:paraId="48B3EA28">
            <w:pPr>
              <w:pStyle w:val="6"/>
              <w:spacing w:before="45" w:line="214" w:lineRule="auto"/>
              <w:ind w:left="85"/>
              <w:rPr>
                <w:sz w:val="18"/>
                <w:szCs w:val="18"/>
              </w:rPr>
            </w:pPr>
            <w:r>
              <w:pict>
                <v:shape id="_x0000_s1026" o:spid="_x0000_s1026" o:spt="202" type="#_x0000_t202" style="position:absolute;left:0pt;margin-left:6.55pt;margin-top:53.25pt;height:21.05pt;width:12.15pt;mso-position-horizontal-relative:page;mso-position-vertical-relative:page;z-index:251665408;mso-width-relative:page;mso-height-relative:page;" filled="f" stroked="f" coordsize="21600,21600">
                  <v:path/>
                  <v:fill on="f" focussize="0,0"/>
                  <v:stroke on="f"/>
                  <v:imagedata o:title=""/>
                  <o:lock v:ext="edit" aspectratio="f"/>
                  <v:textbox inset="0mm,0mm,0mm,0mm" style="layout-flow:vertical-ideographic;">
                    <w:txbxContent>
                      <w:p w14:paraId="42C3A296">
                        <w:pPr>
                          <w:pStyle w:val="6"/>
                          <w:spacing w:before="20" w:line="202" w:lineRule="auto"/>
                          <w:ind w:left="20"/>
                          <w:rPr>
                            <w:sz w:val="18"/>
                            <w:szCs w:val="18"/>
                          </w:rPr>
                        </w:pPr>
                        <w:r>
                          <w:rPr>
                            <w:spacing w:val="10"/>
                            <w:sz w:val="18"/>
                            <w:szCs w:val="18"/>
                          </w:rPr>
                          <w:t>方法</w:t>
                        </w:r>
                      </w:p>
                    </w:txbxContent>
                  </v:textbox>
                </v:shape>
              </w:pict>
            </w:r>
            <w:r>
              <w:rPr>
                <w:spacing w:val="-2"/>
                <w:sz w:val="18"/>
                <w:szCs w:val="18"/>
              </w:rPr>
              <w:t>触电</w:t>
            </w:r>
          </w:p>
          <w:p w14:paraId="4BD26F3A">
            <w:pPr>
              <w:pStyle w:val="6"/>
              <w:spacing w:line="218" w:lineRule="auto"/>
              <w:ind w:left="85"/>
              <w:rPr>
                <w:sz w:val="18"/>
                <w:szCs w:val="18"/>
              </w:rPr>
            </w:pPr>
            <w:r>
              <w:rPr>
                <w:spacing w:val="-4"/>
                <w:sz w:val="18"/>
                <w:szCs w:val="18"/>
              </w:rPr>
              <w:t>急救</w:t>
            </w:r>
          </w:p>
          <w:p w14:paraId="4EF4045A">
            <w:pPr>
              <w:pStyle w:val="6"/>
              <w:spacing w:line="222" w:lineRule="auto"/>
              <w:ind w:left="175"/>
              <w:rPr>
                <w:sz w:val="18"/>
                <w:szCs w:val="18"/>
              </w:rPr>
            </w:pPr>
            <w:r>
              <w:rPr>
                <w:sz w:val="18"/>
                <w:szCs w:val="18"/>
              </w:rPr>
              <w:t>及</w:t>
            </w:r>
          </w:p>
          <w:p w14:paraId="1228D3E7">
            <w:pPr>
              <w:pStyle w:val="6"/>
              <w:spacing w:before="11" w:line="214" w:lineRule="auto"/>
              <w:ind w:left="85"/>
              <w:rPr>
                <w:sz w:val="18"/>
                <w:szCs w:val="18"/>
              </w:rPr>
            </w:pPr>
            <w:r>
              <w:rPr>
                <w:spacing w:val="5"/>
                <w:sz w:val="18"/>
                <w:szCs w:val="18"/>
              </w:rPr>
              <w:t>电气</w:t>
            </w:r>
          </w:p>
          <w:p w14:paraId="059990B5">
            <w:pPr>
              <w:pStyle w:val="6"/>
              <w:spacing w:line="219" w:lineRule="auto"/>
              <w:ind w:left="85"/>
              <w:rPr>
                <w:sz w:val="18"/>
                <w:szCs w:val="18"/>
              </w:rPr>
            </w:pPr>
            <w:r>
              <w:rPr>
                <w:spacing w:val="3"/>
                <w:sz w:val="18"/>
                <w:szCs w:val="18"/>
              </w:rPr>
              <w:t>防火</w:t>
            </w:r>
          </w:p>
        </w:tc>
        <w:tc>
          <w:tcPr>
            <w:tcW w:w="2644" w:type="dxa"/>
            <w:vAlign w:val="top"/>
          </w:tcPr>
          <w:p w14:paraId="62539AF5">
            <w:pPr>
              <w:spacing w:line="314" w:lineRule="auto"/>
              <w:rPr>
                <w:rFonts w:ascii="Arial"/>
                <w:sz w:val="21"/>
              </w:rPr>
            </w:pPr>
          </w:p>
          <w:p w14:paraId="196F0E96">
            <w:pPr>
              <w:pStyle w:val="6"/>
              <w:spacing w:before="59" w:line="222" w:lineRule="auto"/>
              <w:ind w:left="71" w:right="935"/>
              <w:rPr>
                <w:sz w:val="18"/>
                <w:szCs w:val="18"/>
              </w:rPr>
            </w:pPr>
            <w:r>
              <w:rPr>
                <w:sz w:val="18"/>
                <w:szCs w:val="18"/>
              </w:rPr>
              <w:t>1.触电的原因及方式</w:t>
            </w:r>
            <w:r>
              <w:rPr>
                <w:spacing w:val="6"/>
                <w:sz w:val="18"/>
                <w:szCs w:val="18"/>
              </w:rPr>
              <w:t xml:space="preserve"> </w:t>
            </w:r>
            <w:r>
              <w:rPr>
                <w:spacing w:val="-2"/>
                <w:sz w:val="18"/>
                <w:szCs w:val="18"/>
              </w:rPr>
              <w:t>2.触电急救</w:t>
            </w:r>
          </w:p>
          <w:p w14:paraId="022384AD">
            <w:pPr>
              <w:pStyle w:val="6"/>
              <w:spacing w:before="6" w:line="222" w:lineRule="auto"/>
              <w:ind w:left="71" w:right="1133"/>
              <w:rPr>
                <w:sz w:val="18"/>
                <w:szCs w:val="18"/>
              </w:rPr>
            </w:pPr>
            <w:r>
              <w:rPr>
                <w:spacing w:val="-2"/>
                <w:sz w:val="18"/>
                <w:szCs w:val="18"/>
              </w:rPr>
              <w:t>3.预防触电的措施</w:t>
            </w:r>
            <w:r>
              <w:rPr>
                <w:spacing w:val="6"/>
                <w:sz w:val="18"/>
                <w:szCs w:val="18"/>
              </w:rPr>
              <w:t xml:space="preserve"> </w:t>
            </w:r>
            <w:r>
              <w:rPr>
                <w:sz w:val="18"/>
                <w:szCs w:val="18"/>
              </w:rPr>
              <w:t>4.电气防火</w:t>
            </w:r>
          </w:p>
        </w:tc>
        <w:tc>
          <w:tcPr>
            <w:tcW w:w="229" w:type="dxa"/>
            <w:vAlign w:val="top"/>
          </w:tcPr>
          <w:p w14:paraId="7C723ADD">
            <w:pPr>
              <w:rPr>
                <w:rFonts w:ascii="Arial"/>
                <w:sz w:val="21"/>
              </w:rPr>
            </w:pPr>
          </w:p>
        </w:tc>
        <w:tc>
          <w:tcPr>
            <w:tcW w:w="229" w:type="dxa"/>
            <w:vAlign w:val="top"/>
          </w:tcPr>
          <w:p w14:paraId="65DCE798">
            <w:pPr>
              <w:rPr>
                <w:rFonts w:ascii="Arial"/>
                <w:sz w:val="21"/>
              </w:rPr>
            </w:pPr>
          </w:p>
        </w:tc>
        <w:tc>
          <w:tcPr>
            <w:tcW w:w="230" w:type="dxa"/>
            <w:vAlign w:val="top"/>
          </w:tcPr>
          <w:p w14:paraId="4814DF54">
            <w:pPr>
              <w:spacing w:line="304" w:lineRule="auto"/>
              <w:rPr>
                <w:rFonts w:ascii="Arial"/>
                <w:sz w:val="21"/>
              </w:rPr>
            </w:pPr>
          </w:p>
          <w:p w14:paraId="49EBD1EB">
            <w:pPr>
              <w:spacing w:line="304" w:lineRule="auto"/>
              <w:rPr>
                <w:rFonts w:ascii="Arial"/>
                <w:sz w:val="21"/>
              </w:rPr>
            </w:pPr>
          </w:p>
          <w:p w14:paraId="30966A5C">
            <w:pPr>
              <w:spacing w:line="305" w:lineRule="auto"/>
              <w:rPr>
                <w:rFonts w:ascii="Arial"/>
                <w:sz w:val="21"/>
              </w:rPr>
            </w:pPr>
          </w:p>
          <w:p w14:paraId="5B339622">
            <w:pPr>
              <w:spacing w:line="126" w:lineRule="exact"/>
              <w:ind w:firstLine="29"/>
            </w:pPr>
            <w:r>
              <w:rPr>
                <w:position w:val="-2"/>
              </w:rPr>
              <w:drawing>
                <wp:inline distT="0" distB="0" distL="0" distR="0">
                  <wp:extent cx="100965" cy="80010"/>
                  <wp:effectExtent l="0" t="0" r="0" b="0"/>
                  <wp:docPr id="102" name="IM 102"/>
                  <wp:cNvGraphicFramePr/>
                  <a:graphic xmlns:a="http://schemas.openxmlformats.org/drawingml/2006/main">
                    <a:graphicData uri="http://schemas.openxmlformats.org/drawingml/2006/picture">
                      <pic:pic xmlns:pic="http://schemas.openxmlformats.org/drawingml/2006/picture">
                        <pic:nvPicPr>
                          <pic:cNvPr id="102" name="IM 102"/>
                          <pic:cNvPicPr/>
                        </pic:nvPicPr>
                        <pic:blipFill>
                          <a:blip r:embed="rId216"/>
                          <a:stretch>
                            <a:fillRect/>
                          </a:stretch>
                        </pic:blipFill>
                        <pic:spPr>
                          <a:xfrm>
                            <a:off x="0" y="0"/>
                            <a:ext cx="101575" cy="80034"/>
                          </a:xfrm>
                          <a:prstGeom prst="rect">
                            <a:avLst/>
                          </a:prstGeom>
                        </pic:spPr>
                      </pic:pic>
                    </a:graphicData>
                  </a:graphic>
                </wp:inline>
              </w:drawing>
            </w:r>
          </w:p>
        </w:tc>
        <w:tc>
          <w:tcPr>
            <w:tcW w:w="244" w:type="dxa"/>
            <w:vAlign w:val="top"/>
          </w:tcPr>
          <w:p w14:paraId="3F928E94">
            <w:pPr>
              <w:rPr>
                <w:rFonts w:ascii="Arial"/>
                <w:sz w:val="21"/>
              </w:rPr>
            </w:pPr>
          </w:p>
        </w:tc>
      </w:tr>
    </w:tbl>
    <w:p w14:paraId="3BC84D32">
      <w:pPr>
        <w:pStyle w:val="2"/>
        <w:spacing w:line="104" w:lineRule="auto"/>
        <w:rPr>
          <w:sz w:val="2"/>
        </w:rPr>
      </w:pPr>
    </w:p>
    <w:p w14:paraId="18DEF3ED">
      <w:pPr>
        <w:spacing w:line="104" w:lineRule="auto"/>
        <w:rPr>
          <w:sz w:val="2"/>
          <w:szCs w:val="2"/>
        </w:rPr>
        <w:sectPr>
          <w:type w:val="continuous"/>
          <w:pgSz w:w="10660" w:h="15080"/>
          <w:pgMar w:top="400" w:right="885" w:bottom="925" w:left="1024" w:header="0" w:footer="705" w:gutter="0"/>
          <w:cols w:equalWidth="0" w:num="2">
            <w:col w:w="4490" w:space="100"/>
            <w:col w:w="4160"/>
          </w:cols>
        </w:sectPr>
      </w:pPr>
    </w:p>
    <w:p w14:paraId="5C739606">
      <w:pPr>
        <w:spacing w:before="76"/>
      </w:pPr>
    </w:p>
    <w:p w14:paraId="60AFE6DC">
      <w:pPr>
        <w:spacing w:before="76"/>
      </w:pPr>
    </w:p>
    <w:p w14:paraId="2A07F91F">
      <w:pPr>
        <w:spacing w:before="76"/>
      </w:pPr>
    </w:p>
    <w:p w14:paraId="54023660">
      <w:pPr>
        <w:sectPr>
          <w:footerReference r:id="rId24" w:type="default"/>
          <w:pgSz w:w="10660" w:h="15080"/>
          <w:pgMar w:top="400" w:right="1034" w:bottom="917" w:left="819" w:header="0" w:footer="708" w:gutter="0"/>
          <w:cols w:equalWidth="0" w:num="1">
            <w:col w:w="8806"/>
          </w:cols>
        </w:sectPr>
      </w:pPr>
    </w:p>
    <w:p w14:paraId="44A79F4B">
      <w:pPr>
        <w:spacing w:before="50" w:line="221" w:lineRule="auto"/>
        <w:ind w:left="1532"/>
        <w:rPr>
          <w:rFonts w:ascii="黑体" w:hAnsi="黑体" w:eastAsia="黑体" w:cs="黑体"/>
          <w:sz w:val="20"/>
          <w:szCs w:val="20"/>
        </w:rPr>
      </w:pPr>
      <w:r>
        <w:rPr>
          <w:rFonts w:ascii="黑体" w:hAnsi="黑体" w:eastAsia="黑体" w:cs="黑体"/>
          <w:b/>
          <w:bCs/>
          <w:spacing w:val="-3"/>
          <w:sz w:val="20"/>
          <w:szCs w:val="20"/>
        </w:rPr>
        <w:t>二、直流电路</w:t>
      </w:r>
    </w:p>
    <w:p w14:paraId="78B15C20">
      <w:pPr>
        <w:spacing w:line="172" w:lineRule="exact"/>
      </w:pPr>
    </w:p>
    <w:tbl>
      <w:tblPr>
        <w:tblStyle w:val="5"/>
        <w:tblW w:w="4119"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54"/>
        <w:gridCol w:w="2644"/>
        <w:gridCol w:w="229"/>
        <w:gridCol w:w="229"/>
        <w:gridCol w:w="229"/>
        <w:gridCol w:w="234"/>
      </w:tblGrid>
      <w:tr w14:paraId="641C5E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4" w:hRule="atLeast"/>
        </w:trPr>
        <w:tc>
          <w:tcPr>
            <w:tcW w:w="554" w:type="dxa"/>
            <w:vMerge w:val="restart"/>
            <w:tcBorders>
              <w:bottom w:val="nil"/>
            </w:tcBorders>
            <w:vAlign w:val="top"/>
          </w:tcPr>
          <w:p w14:paraId="6EE0737B">
            <w:pPr>
              <w:pStyle w:val="6"/>
              <w:spacing w:before="71" w:line="225" w:lineRule="auto"/>
              <w:ind w:left="17" w:firstLine="69"/>
              <w:rPr>
                <w:sz w:val="18"/>
                <w:szCs w:val="18"/>
              </w:rPr>
            </w:pPr>
            <w:r>
              <w:rPr>
                <w:b/>
                <w:bCs/>
                <w:spacing w:val="-9"/>
                <w:sz w:val="18"/>
                <w:szCs w:val="18"/>
              </w:rPr>
              <w:t>知识</w:t>
            </w:r>
            <w:r>
              <w:rPr>
                <w:sz w:val="18"/>
                <w:szCs w:val="18"/>
              </w:rPr>
              <w:t xml:space="preserve">  </w:t>
            </w:r>
            <w:r>
              <w:rPr>
                <w:b/>
                <w:bCs/>
                <w:spacing w:val="-7"/>
                <w:sz w:val="18"/>
                <w:szCs w:val="18"/>
              </w:rPr>
              <w:t>与技能</w:t>
            </w:r>
            <w:r>
              <w:rPr>
                <w:sz w:val="18"/>
                <w:szCs w:val="18"/>
              </w:rPr>
              <w:t xml:space="preserve"> </w:t>
            </w:r>
            <w:r>
              <w:rPr>
                <w:b/>
                <w:bCs/>
                <w:spacing w:val="28"/>
                <w:sz w:val="18"/>
                <w:szCs w:val="18"/>
              </w:rPr>
              <w:t>要点</w:t>
            </w:r>
          </w:p>
        </w:tc>
        <w:tc>
          <w:tcPr>
            <w:tcW w:w="2644" w:type="dxa"/>
            <w:vMerge w:val="restart"/>
            <w:tcBorders>
              <w:bottom w:val="nil"/>
            </w:tcBorders>
            <w:vAlign w:val="top"/>
          </w:tcPr>
          <w:p w14:paraId="1F792091">
            <w:pPr>
              <w:pStyle w:val="6"/>
              <w:spacing w:before="299" w:line="219" w:lineRule="auto"/>
              <w:ind w:left="1013"/>
              <w:rPr>
                <w:sz w:val="18"/>
                <w:szCs w:val="18"/>
              </w:rPr>
            </w:pPr>
            <w:r>
              <w:rPr>
                <w:b/>
                <w:bCs/>
                <w:spacing w:val="5"/>
                <w:sz w:val="18"/>
                <w:szCs w:val="18"/>
              </w:rPr>
              <w:t>考试条目</w:t>
            </w:r>
          </w:p>
        </w:tc>
        <w:tc>
          <w:tcPr>
            <w:tcW w:w="921" w:type="dxa"/>
            <w:gridSpan w:val="4"/>
            <w:vAlign w:val="top"/>
          </w:tcPr>
          <w:p w14:paraId="4596894B">
            <w:pPr>
              <w:pStyle w:val="6"/>
              <w:spacing w:before="109" w:line="219" w:lineRule="auto"/>
              <w:ind w:left="129"/>
              <w:rPr>
                <w:sz w:val="18"/>
                <w:szCs w:val="18"/>
              </w:rPr>
            </w:pPr>
            <w:r>
              <w:rPr>
                <w:b/>
                <w:bCs/>
                <w:spacing w:val="-4"/>
                <w:sz w:val="18"/>
                <w:szCs w:val="18"/>
              </w:rPr>
              <w:t>考试水平</w:t>
            </w:r>
          </w:p>
        </w:tc>
      </w:tr>
      <w:tr w14:paraId="7D3498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9" w:hRule="atLeast"/>
        </w:trPr>
        <w:tc>
          <w:tcPr>
            <w:tcW w:w="554" w:type="dxa"/>
            <w:vMerge w:val="continue"/>
            <w:tcBorders>
              <w:top w:val="nil"/>
            </w:tcBorders>
            <w:vAlign w:val="top"/>
          </w:tcPr>
          <w:p w14:paraId="43D52FC3">
            <w:pPr>
              <w:rPr>
                <w:rFonts w:ascii="Arial"/>
                <w:sz w:val="21"/>
              </w:rPr>
            </w:pPr>
          </w:p>
        </w:tc>
        <w:tc>
          <w:tcPr>
            <w:tcW w:w="2644" w:type="dxa"/>
            <w:vMerge w:val="continue"/>
            <w:tcBorders>
              <w:top w:val="nil"/>
            </w:tcBorders>
            <w:vAlign w:val="top"/>
          </w:tcPr>
          <w:p w14:paraId="64FFDB7E">
            <w:pPr>
              <w:rPr>
                <w:rFonts w:ascii="Arial"/>
                <w:sz w:val="21"/>
              </w:rPr>
            </w:pPr>
          </w:p>
        </w:tc>
        <w:tc>
          <w:tcPr>
            <w:tcW w:w="229" w:type="dxa"/>
            <w:vAlign w:val="top"/>
          </w:tcPr>
          <w:p w14:paraId="1223F5FF">
            <w:pPr>
              <w:pStyle w:val="6"/>
              <w:spacing w:before="143" w:line="184" w:lineRule="auto"/>
              <w:ind w:left="26"/>
              <w:rPr>
                <w:sz w:val="18"/>
                <w:szCs w:val="18"/>
              </w:rPr>
            </w:pPr>
            <w:r>
              <w:rPr>
                <w:sz w:val="18"/>
                <w:szCs w:val="18"/>
              </w:rPr>
              <w:t>A</w:t>
            </w:r>
          </w:p>
        </w:tc>
        <w:tc>
          <w:tcPr>
            <w:tcW w:w="229" w:type="dxa"/>
            <w:vAlign w:val="top"/>
          </w:tcPr>
          <w:p w14:paraId="51EDCA1E">
            <w:pPr>
              <w:pStyle w:val="6"/>
              <w:spacing w:before="145" w:line="182" w:lineRule="auto"/>
              <w:jc w:val="right"/>
              <w:rPr>
                <w:sz w:val="18"/>
                <w:szCs w:val="18"/>
              </w:rPr>
            </w:pPr>
            <w:r>
              <w:rPr>
                <w:sz w:val="18"/>
                <w:szCs w:val="18"/>
              </w:rPr>
              <w:t>B</w:t>
            </w:r>
          </w:p>
        </w:tc>
        <w:tc>
          <w:tcPr>
            <w:tcW w:w="229" w:type="dxa"/>
            <w:vAlign w:val="top"/>
          </w:tcPr>
          <w:p w14:paraId="6DCB7D85">
            <w:pPr>
              <w:pStyle w:val="6"/>
              <w:spacing w:before="144" w:line="183" w:lineRule="auto"/>
              <w:ind w:left="49"/>
              <w:rPr>
                <w:sz w:val="18"/>
                <w:szCs w:val="18"/>
              </w:rPr>
            </w:pPr>
            <w:r>
              <w:rPr>
                <w:sz w:val="18"/>
                <w:szCs w:val="18"/>
              </w:rPr>
              <w:t>C</w:t>
            </w:r>
          </w:p>
        </w:tc>
        <w:tc>
          <w:tcPr>
            <w:tcW w:w="234" w:type="dxa"/>
            <w:vAlign w:val="top"/>
          </w:tcPr>
          <w:p w14:paraId="4C4FE69A">
            <w:pPr>
              <w:pStyle w:val="6"/>
              <w:spacing w:before="145" w:line="182" w:lineRule="auto"/>
              <w:ind w:left="19"/>
              <w:rPr>
                <w:sz w:val="18"/>
                <w:szCs w:val="18"/>
              </w:rPr>
            </w:pPr>
            <w:r>
              <w:rPr>
                <w:sz w:val="18"/>
                <w:szCs w:val="18"/>
              </w:rPr>
              <w:t>D</w:t>
            </w:r>
          </w:p>
        </w:tc>
      </w:tr>
      <w:tr w14:paraId="3C2020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28" w:hRule="atLeast"/>
        </w:trPr>
        <w:tc>
          <w:tcPr>
            <w:tcW w:w="554" w:type="dxa"/>
            <w:vAlign w:val="top"/>
          </w:tcPr>
          <w:p w14:paraId="275362CF">
            <w:pPr>
              <w:spacing w:line="340" w:lineRule="auto"/>
              <w:rPr>
                <w:rFonts w:ascii="Arial"/>
                <w:sz w:val="21"/>
              </w:rPr>
            </w:pPr>
          </w:p>
          <w:p w14:paraId="2833610E">
            <w:pPr>
              <w:pStyle w:val="6"/>
              <w:spacing w:before="59" w:line="206" w:lineRule="auto"/>
              <w:ind w:left="84" w:right="92"/>
              <w:rPr>
                <w:sz w:val="18"/>
                <w:szCs w:val="18"/>
              </w:rPr>
            </w:pPr>
            <w:r>
              <w:rPr>
                <w:spacing w:val="-4"/>
                <w:sz w:val="18"/>
                <w:szCs w:val="18"/>
              </w:rPr>
              <w:t>认识</w:t>
            </w:r>
            <w:r>
              <w:rPr>
                <w:sz w:val="18"/>
                <w:szCs w:val="18"/>
              </w:rPr>
              <w:t xml:space="preserve"> </w:t>
            </w:r>
            <w:r>
              <w:rPr>
                <w:spacing w:val="3"/>
                <w:sz w:val="18"/>
                <w:szCs w:val="18"/>
              </w:rPr>
              <w:t>电路</w:t>
            </w:r>
          </w:p>
        </w:tc>
        <w:tc>
          <w:tcPr>
            <w:tcW w:w="2644" w:type="dxa"/>
            <w:vAlign w:val="top"/>
          </w:tcPr>
          <w:p w14:paraId="32758580">
            <w:pPr>
              <w:pStyle w:val="6"/>
              <w:spacing w:before="48" w:line="215" w:lineRule="auto"/>
              <w:ind w:left="71"/>
              <w:rPr>
                <w:sz w:val="18"/>
                <w:szCs w:val="18"/>
              </w:rPr>
            </w:pPr>
            <w:r>
              <w:rPr>
                <w:spacing w:val="1"/>
                <w:sz w:val="18"/>
                <w:szCs w:val="18"/>
              </w:rPr>
              <w:t>1.电路的基本结构</w:t>
            </w:r>
          </w:p>
          <w:p w14:paraId="45703BD4">
            <w:pPr>
              <w:pStyle w:val="6"/>
              <w:spacing w:before="2" w:line="223" w:lineRule="auto"/>
              <w:ind w:left="71" w:right="208"/>
              <w:rPr>
                <w:sz w:val="18"/>
                <w:szCs w:val="18"/>
              </w:rPr>
            </w:pPr>
            <w:r>
              <w:rPr>
                <w:spacing w:val="3"/>
                <w:sz w:val="18"/>
                <w:szCs w:val="18"/>
              </w:rPr>
              <w:t>2.</w:t>
            </w:r>
            <w:r>
              <w:rPr>
                <w:spacing w:val="-43"/>
                <w:sz w:val="18"/>
                <w:szCs w:val="18"/>
              </w:rPr>
              <w:t xml:space="preserve"> </w:t>
            </w:r>
            <w:r>
              <w:rPr>
                <w:spacing w:val="3"/>
                <w:sz w:val="18"/>
                <w:szCs w:val="18"/>
              </w:rPr>
              <w:t>电路的基本物理量(电流、</w:t>
            </w:r>
            <w:r>
              <w:rPr>
                <w:sz w:val="18"/>
                <w:szCs w:val="18"/>
              </w:rPr>
              <w:t xml:space="preserve"> </w:t>
            </w:r>
            <w:r>
              <w:rPr>
                <w:spacing w:val="1"/>
                <w:sz w:val="18"/>
                <w:szCs w:val="18"/>
              </w:rPr>
              <w:t>电压、电动势、电位、电能和</w:t>
            </w:r>
            <w:r>
              <w:rPr>
                <w:sz w:val="18"/>
                <w:szCs w:val="18"/>
              </w:rPr>
              <w:t xml:space="preserve"> </w:t>
            </w:r>
            <w:r>
              <w:rPr>
                <w:spacing w:val="9"/>
                <w:sz w:val="18"/>
                <w:szCs w:val="18"/>
              </w:rPr>
              <w:t>电功率)</w:t>
            </w:r>
          </w:p>
          <w:p w14:paraId="7E855170">
            <w:pPr>
              <w:pStyle w:val="6"/>
              <w:spacing w:before="26" w:line="183" w:lineRule="auto"/>
              <w:ind w:left="71"/>
              <w:rPr>
                <w:sz w:val="18"/>
                <w:szCs w:val="18"/>
              </w:rPr>
            </w:pPr>
            <w:r>
              <w:rPr>
                <w:spacing w:val="1"/>
                <w:sz w:val="18"/>
                <w:szCs w:val="18"/>
              </w:rPr>
              <w:t>3.电路中常用的电气符号</w:t>
            </w:r>
          </w:p>
        </w:tc>
        <w:tc>
          <w:tcPr>
            <w:tcW w:w="229" w:type="dxa"/>
            <w:vAlign w:val="top"/>
          </w:tcPr>
          <w:p w14:paraId="04F20FE5">
            <w:pPr>
              <w:rPr>
                <w:rFonts w:ascii="Arial"/>
                <w:sz w:val="21"/>
              </w:rPr>
            </w:pPr>
          </w:p>
        </w:tc>
        <w:tc>
          <w:tcPr>
            <w:tcW w:w="229" w:type="dxa"/>
            <w:vAlign w:val="top"/>
          </w:tcPr>
          <w:p w14:paraId="26A92D84">
            <w:pPr>
              <w:pStyle w:val="6"/>
              <w:spacing w:before="116" w:line="182" w:lineRule="auto"/>
              <w:ind w:left="37"/>
              <w:rPr>
                <w:sz w:val="18"/>
                <w:szCs w:val="18"/>
              </w:rPr>
            </w:pPr>
            <w:r>
              <w:rPr>
                <w:sz w:val="18"/>
                <w:szCs w:val="18"/>
              </w:rPr>
              <w:t>V</w:t>
            </w:r>
          </w:p>
        </w:tc>
        <w:tc>
          <w:tcPr>
            <w:tcW w:w="229" w:type="dxa"/>
            <w:vAlign w:val="top"/>
          </w:tcPr>
          <w:p w14:paraId="3C23BBCB">
            <w:pPr>
              <w:pStyle w:val="6"/>
              <w:spacing w:before="237" w:line="238" w:lineRule="auto"/>
              <w:ind w:left="18"/>
              <w:rPr>
                <w:sz w:val="18"/>
                <w:szCs w:val="18"/>
              </w:rPr>
            </w:pPr>
            <w:r>
              <w:rPr>
                <w:sz w:val="18"/>
                <w:szCs w:val="18"/>
              </w:rPr>
              <w:t>√</w:t>
            </w:r>
          </w:p>
        </w:tc>
        <w:tc>
          <w:tcPr>
            <w:tcW w:w="234" w:type="dxa"/>
            <w:vAlign w:val="top"/>
          </w:tcPr>
          <w:p w14:paraId="6709CB07">
            <w:pPr>
              <w:rPr>
                <w:rFonts w:ascii="Arial"/>
                <w:sz w:val="21"/>
              </w:rPr>
            </w:pPr>
          </w:p>
        </w:tc>
      </w:tr>
      <w:tr w14:paraId="2824F8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18" w:hRule="atLeast"/>
        </w:trPr>
        <w:tc>
          <w:tcPr>
            <w:tcW w:w="554" w:type="dxa"/>
            <w:vAlign w:val="top"/>
          </w:tcPr>
          <w:p w14:paraId="28AB4AF8">
            <w:pPr>
              <w:spacing w:line="322" w:lineRule="auto"/>
              <w:rPr>
                <w:rFonts w:ascii="Arial"/>
                <w:sz w:val="21"/>
              </w:rPr>
            </w:pPr>
          </w:p>
          <w:p w14:paraId="019EE695">
            <w:pPr>
              <w:pStyle w:val="6"/>
              <w:spacing w:before="58" w:line="218" w:lineRule="auto"/>
              <w:ind w:left="84" w:right="84"/>
              <w:rPr>
                <w:sz w:val="18"/>
                <w:szCs w:val="18"/>
              </w:rPr>
            </w:pPr>
            <w:r>
              <w:rPr>
                <w:spacing w:val="7"/>
                <w:sz w:val="18"/>
                <w:szCs w:val="18"/>
              </w:rPr>
              <w:t>识别</w:t>
            </w:r>
            <w:r>
              <w:rPr>
                <w:sz w:val="18"/>
                <w:szCs w:val="18"/>
              </w:rPr>
              <w:t xml:space="preserve"> </w:t>
            </w:r>
            <w:r>
              <w:rPr>
                <w:spacing w:val="3"/>
                <w:sz w:val="18"/>
                <w:szCs w:val="18"/>
              </w:rPr>
              <w:t>电阻</w:t>
            </w:r>
          </w:p>
        </w:tc>
        <w:tc>
          <w:tcPr>
            <w:tcW w:w="2644" w:type="dxa"/>
            <w:vAlign w:val="top"/>
          </w:tcPr>
          <w:p w14:paraId="379717C1">
            <w:pPr>
              <w:pStyle w:val="6"/>
              <w:spacing w:before="71" w:line="215" w:lineRule="auto"/>
              <w:ind w:left="71" w:right="1473"/>
              <w:rPr>
                <w:sz w:val="18"/>
                <w:szCs w:val="18"/>
              </w:rPr>
            </w:pPr>
            <w:r>
              <w:rPr>
                <w:spacing w:val="1"/>
                <w:sz w:val="18"/>
                <w:szCs w:val="18"/>
              </w:rPr>
              <w:t xml:space="preserve">1.电阻的含义 </w:t>
            </w:r>
            <w:r>
              <w:rPr>
                <w:spacing w:val="-1"/>
                <w:sz w:val="18"/>
                <w:szCs w:val="18"/>
              </w:rPr>
              <w:t>2.常见电阻器</w:t>
            </w:r>
          </w:p>
          <w:p w14:paraId="235B7D64">
            <w:pPr>
              <w:pStyle w:val="6"/>
              <w:spacing w:line="215" w:lineRule="auto"/>
              <w:ind w:left="71"/>
              <w:rPr>
                <w:sz w:val="18"/>
                <w:szCs w:val="18"/>
              </w:rPr>
            </w:pPr>
            <w:r>
              <w:rPr>
                <w:spacing w:val="-1"/>
                <w:sz w:val="18"/>
                <w:szCs w:val="18"/>
              </w:rPr>
              <w:t>3.电阻的主要参数</w:t>
            </w:r>
          </w:p>
          <w:p w14:paraId="1476D472">
            <w:pPr>
              <w:pStyle w:val="6"/>
              <w:spacing w:before="1" w:line="208" w:lineRule="auto"/>
              <w:ind w:left="71" w:right="229"/>
              <w:rPr>
                <w:sz w:val="18"/>
                <w:szCs w:val="18"/>
              </w:rPr>
            </w:pPr>
            <w:r>
              <w:rPr>
                <w:spacing w:val="-1"/>
                <w:sz w:val="18"/>
                <w:szCs w:val="18"/>
              </w:rPr>
              <w:t>4.部分电路的欧姆定律、全电</w:t>
            </w:r>
            <w:r>
              <w:rPr>
                <w:spacing w:val="6"/>
                <w:sz w:val="18"/>
                <w:szCs w:val="18"/>
              </w:rPr>
              <w:t xml:space="preserve"> </w:t>
            </w:r>
            <w:r>
              <w:rPr>
                <w:spacing w:val="-2"/>
                <w:sz w:val="18"/>
                <w:szCs w:val="18"/>
              </w:rPr>
              <w:t>路的欧姆定律</w:t>
            </w:r>
          </w:p>
        </w:tc>
        <w:tc>
          <w:tcPr>
            <w:tcW w:w="229" w:type="dxa"/>
            <w:vAlign w:val="top"/>
          </w:tcPr>
          <w:p w14:paraId="4B8F6D07">
            <w:pPr>
              <w:spacing w:before="90" w:line="525" w:lineRule="exact"/>
              <w:ind w:firstLine="48"/>
            </w:pPr>
            <w:r>
              <w:rPr>
                <w:position w:val="-10"/>
              </w:rPr>
              <w:drawing>
                <wp:inline distT="0" distB="0" distL="0" distR="0">
                  <wp:extent cx="92075" cy="333375"/>
                  <wp:effectExtent l="0" t="0" r="0" b="0"/>
                  <wp:docPr id="104" name="IM 104"/>
                  <wp:cNvGraphicFramePr/>
                  <a:graphic xmlns:a="http://schemas.openxmlformats.org/drawingml/2006/main">
                    <a:graphicData uri="http://schemas.openxmlformats.org/drawingml/2006/picture">
                      <pic:pic xmlns:pic="http://schemas.openxmlformats.org/drawingml/2006/picture">
                        <pic:nvPicPr>
                          <pic:cNvPr id="104" name="IM 104"/>
                          <pic:cNvPicPr/>
                        </pic:nvPicPr>
                        <pic:blipFill>
                          <a:blip r:embed="rId217"/>
                          <a:stretch>
                            <a:fillRect/>
                          </a:stretch>
                        </pic:blipFill>
                        <pic:spPr>
                          <a:xfrm>
                            <a:off x="0" y="0"/>
                            <a:ext cx="92633" cy="333381"/>
                          </a:xfrm>
                          <a:prstGeom prst="rect">
                            <a:avLst/>
                          </a:prstGeom>
                        </pic:spPr>
                      </pic:pic>
                    </a:graphicData>
                  </a:graphic>
                </wp:inline>
              </w:drawing>
            </w:r>
          </w:p>
        </w:tc>
        <w:tc>
          <w:tcPr>
            <w:tcW w:w="229" w:type="dxa"/>
            <w:vAlign w:val="top"/>
          </w:tcPr>
          <w:p w14:paraId="51115B31">
            <w:pPr>
              <w:rPr>
                <w:rFonts w:ascii="Arial"/>
                <w:sz w:val="21"/>
              </w:rPr>
            </w:pPr>
          </w:p>
        </w:tc>
        <w:tc>
          <w:tcPr>
            <w:tcW w:w="229" w:type="dxa"/>
            <w:vAlign w:val="top"/>
          </w:tcPr>
          <w:p w14:paraId="2672AE62">
            <w:pPr>
              <w:rPr>
                <w:rFonts w:ascii="Arial"/>
                <w:sz w:val="21"/>
              </w:rPr>
            </w:pPr>
          </w:p>
        </w:tc>
        <w:tc>
          <w:tcPr>
            <w:tcW w:w="234" w:type="dxa"/>
            <w:vAlign w:val="top"/>
          </w:tcPr>
          <w:p w14:paraId="61B4004F">
            <w:pPr>
              <w:rPr>
                <w:rFonts w:ascii="Arial"/>
                <w:sz w:val="21"/>
              </w:rPr>
            </w:pPr>
          </w:p>
          <w:p w14:paraId="377A2EFC">
            <w:pPr>
              <w:rPr>
                <w:rFonts w:ascii="Arial"/>
                <w:sz w:val="21"/>
              </w:rPr>
            </w:pPr>
          </w:p>
          <w:p w14:paraId="2BE53BD5">
            <w:pPr>
              <w:rPr>
                <w:rFonts w:ascii="Arial"/>
                <w:sz w:val="21"/>
              </w:rPr>
            </w:pPr>
          </w:p>
          <w:p w14:paraId="497EAB49">
            <w:pPr>
              <w:spacing w:line="113" w:lineRule="exact"/>
              <w:ind w:firstLine="44"/>
            </w:pPr>
            <w:r>
              <w:rPr>
                <w:position w:val="-2"/>
              </w:rPr>
              <w:drawing>
                <wp:inline distT="0" distB="0" distL="0" distR="0">
                  <wp:extent cx="82550" cy="71120"/>
                  <wp:effectExtent l="0" t="0" r="0" b="0"/>
                  <wp:docPr id="106" name="IM 106"/>
                  <wp:cNvGraphicFramePr/>
                  <a:graphic xmlns:a="http://schemas.openxmlformats.org/drawingml/2006/main">
                    <a:graphicData uri="http://schemas.openxmlformats.org/drawingml/2006/picture">
                      <pic:pic xmlns:pic="http://schemas.openxmlformats.org/drawingml/2006/picture">
                        <pic:nvPicPr>
                          <pic:cNvPr id="106" name="IM 106"/>
                          <pic:cNvPicPr/>
                        </pic:nvPicPr>
                        <pic:blipFill>
                          <a:blip r:embed="rId218"/>
                          <a:stretch>
                            <a:fillRect/>
                          </a:stretch>
                        </pic:blipFill>
                        <pic:spPr>
                          <a:xfrm>
                            <a:off x="0" y="0"/>
                            <a:ext cx="82984" cy="71459"/>
                          </a:xfrm>
                          <a:prstGeom prst="rect">
                            <a:avLst/>
                          </a:prstGeom>
                        </pic:spPr>
                      </pic:pic>
                    </a:graphicData>
                  </a:graphic>
                </wp:inline>
              </w:drawing>
            </w:r>
          </w:p>
        </w:tc>
      </w:tr>
      <w:tr w14:paraId="611679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18" w:hRule="atLeast"/>
        </w:trPr>
        <w:tc>
          <w:tcPr>
            <w:tcW w:w="554" w:type="dxa"/>
            <w:vAlign w:val="top"/>
          </w:tcPr>
          <w:p w14:paraId="31CFD702">
            <w:pPr>
              <w:pStyle w:val="6"/>
              <w:spacing w:before="272" w:line="223" w:lineRule="auto"/>
              <w:ind w:left="84" w:right="92"/>
              <w:rPr>
                <w:sz w:val="18"/>
                <w:szCs w:val="18"/>
              </w:rPr>
            </w:pPr>
            <w:r>
              <w:rPr>
                <w:spacing w:val="-6"/>
                <w:sz w:val="18"/>
                <w:szCs w:val="18"/>
              </w:rPr>
              <w:t>简单</w:t>
            </w:r>
            <w:r>
              <w:rPr>
                <w:sz w:val="18"/>
                <w:szCs w:val="18"/>
              </w:rPr>
              <w:t xml:space="preserve"> </w:t>
            </w:r>
            <w:r>
              <w:rPr>
                <w:spacing w:val="3"/>
                <w:sz w:val="18"/>
                <w:szCs w:val="18"/>
              </w:rPr>
              <w:t>电路</w:t>
            </w:r>
          </w:p>
        </w:tc>
        <w:tc>
          <w:tcPr>
            <w:tcW w:w="2644" w:type="dxa"/>
            <w:vAlign w:val="top"/>
          </w:tcPr>
          <w:p w14:paraId="62DB9D9F">
            <w:pPr>
              <w:pStyle w:val="6"/>
              <w:spacing w:before="184" w:line="224" w:lineRule="auto"/>
              <w:ind w:left="71" w:right="1475"/>
              <w:jc w:val="both"/>
              <w:rPr>
                <w:sz w:val="18"/>
                <w:szCs w:val="18"/>
              </w:rPr>
            </w:pPr>
            <w:r>
              <w:rPr>
                <w:spacing w:val="1"/>
                <w:sz w:val="18"/>
                <w:szCs w:val="18"/>
              </w:rPr>
              <w:t>1.电阻的串联</w:t>
            </w:r>
            <w:r>
              <w:rPr>
                <w:sz w:val="18"/>
                <w:szCs w:val="18"/>
              </w:rPr>
              <w:t xml:space="preserve"> </w:t>
            </w:r>
            <w:r>
              <w:rPr>
                <w:spacing w:val="-2"/>
                <w:sz w:val="18"/>
                <w:szCs w:val="18"/>
              </w:rPr>
              <w:t>2.电阻的并联</w:t>
            </w:r>
            <w:r>
              <w:rPr>
                <w:spacing w:val="3"/>
                <w:sz w:val="18"/>
                <w:szCs w:val="18"/>
              </w:rPr>
              <w:t xml:space="preserve"> </w:t>
            </w:r>
            <w:r>
              <w:rPr>
                <w:spacing w:val="-1"/>
                <w:sz w:val="18"/>
                <w:szCs w:val="18"/>
              </w:rPr>
              <w:t>3.电阻的混联</w:t>
            </w:r>
          </w:p>
        </w:tc>
        <w:tc>
          <w:tcPr>
            <w:tcW w:w="229" w:type="dxa"/>
            <w:vAlign w:val="top"/>
          </w:tcPr>
          <w:p w14:paraId="1C4BD793">
            <w:pPr>
              <w:rPr>
                <w:rFonts w:ascii="Arial"/>
                <w:sz w:val="21"/>
              </w:rPr>
            </w:pPr>
          </w:p>
        </w:tc>
        <w:tc>
          <w:tcPr>
            <w:tcW w:w="229" w:type="dxa"/>
            <w:vAlign w:val="top"/>
          </w:tcPr>
          <w:p w14:paraId="631DDE3F">
            <w:pPr>
              <w:rPr>
                <w:rFonts w:ascii="Arial"/>
                <w:sz w:val="21"/>
              </w:rPr>
            </w:pPr>
          </w:p>
        </w:tc>
        <w:tc>
          <w:tcPr>
            <w:tcW w:w="229" w:type="dxa"/>
            <w:vAlign w:val="top"/>
          </w:tcPr>
          <w:p w14:paraId="18146E8B">
            <w:pPr>
              <w:rPr>
                <w:rFonts w:ascii="Arial"/>
                <w:sz w:val="21"/>
              </w:rPr>
            </w:pPr>
          </w:p>
        </w:tc>
        <w:tc>
          <w:tcPr>
            <w:tcW w:w="234" w:type="dxa"/>
            <w:vAlign w:val="top"/>
          </w:tcPr>
          <w:p w14:paraId="2028B9E7">
            <w:pPr>
              <w:spacing w:before="201" w:line="537" w:lineRule="exact"/>
              <w:ind w:firstLine="44"/>
            </w:pPr>
            <w:r>
              <w:rPr>
                <w:position w:val="-10"/>
              </w:rPr>
              <w:drawing>
                <wp:inline distT="0" distB="0" distL="0" distR="0">
                  <wp:extent cx="94615" cy="340995"/>
                  <wp:effectExtent l="0" t="0" r="0" b="0"/>
                  <wp:docPr id="108" name="IM 108"/>
                  <wp:cNvGraphicFramePr/>
                  <a:graphic xmlns:a="http://schemas.openxmlformats.org/drawingml/2006/main">
                    <a:graphicData uri="http://schemas.openxmlformats.org/drawingml/2006/picture">
                      <pic:pic xmlns:pic="http://schemas.openxmlformats.org/drawingml/2006/picture">
                        <pic:nvPicPr>
                          <pic:cNvPr id="108" name="IM 108"/>
                          <pic:cNvPicPr/>
                        </pic:nvPicPr>
                        <pic:blipFill>
                          <a:blip r:embed="rId219"/>
                          <a:stretch>
                            <a:fillRect/>
                          </a:stretch>
                        </pic:blipFill>
                        <pic:spPr>
                          <a:xfrm>
                            <a:off x="0" y="0"/>
                            <a:ext cx="94839" cy="341167"/>
                          </a:xfrm>
                          <a:prstGeom prst="rect">
                            <a:avLst/>
                          </a:prstGeom>
                        </pic:spPr>
                      </pic:pic>
                    </a:graphicData>
                  </a:graphic>
                </wp:inline>
              </w:drawing>
            </w:r>
          </w:p>
        </w:tc>
      </w:tr>
      <w:tr w14:paraId="16EB81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48" w:hRule="atLeast"/>
        </w:trPr>
        <w:tc>
          <w:tcPr>
            <w:tcW w:w="554" w:type="dxa"/>
            <w:vAlign w:val="top"/>
          </w:tcPr>
          <w:p w14:paraId="118600F7">
            <w:pPr>
              <w:spacing w:line="423" w:lineRule="auto"/>
              <w:rPr>
                <w:rFonts w:ascii="Arial"/>
                <w:sz w:val="21"/>
              </w:rPr>
            </w:pPr>
          </w:p>
          <w:p w14:paraId="09E5F321">
            <w:pPr>
              <w:pStyle w:val="6"/>
              <w:spacing w:before="58" w:line="228" w:lineRule="auto"/>
              <w:ind w:left="84" w:right="85"/>
              <w:rPr>
                <w:sz w:val="18"/>
                <w:szCs w:val="18"/>
              </w:rPr>
            </w:pPr>
            <w:r>
              <w:rPr>
                <w:spacing w:val="7"/>
                <w:sz w:val="18"/>
                <w:szCs w:val="18"/>
              </w:rPr>
              <w:t>复杂</w:t>
            </w:r>
            <w:r>
              <w:rPr>
                <w:sz w:val="18"/>
                <w:szCs w:val="18"/>
              </w:rPr>
              <w:t xml:space="preserve"> </w:t>
            </w:r>
            <w:r>
              <w:rPr>
                <w:spacing w:val="3"/>
                <w:sz w:val="18"/>
                <w:szCs w:val="18"/>
              </w:rPr>
              <w:t>电路</w:t>
            </w:r>
          </w:p>
        </w:tc>
        <w:tc>
          <w:tcPr>
            <w:tcW w:w="2644" w:type="dxa"/>
            <w:vAlign w:val="top"/>
          </w:tcPr>
          <w:p w14:paraId="29F00EA3">
            <w:pPr>
              <w:pStyle w:val="6"/>
              <w:spacing w:before="175" w:line="217" w:lineRule="auto"/>
              <w:ind w:left="71" w:right="453"/>
              <w:rPr>
                <w:sz w:val="18"/>
                <w:szCs w:val="18"/>
              </w:rPr>
            </w:pPr>
            <w:r>
              <w:rPr>
                <w:spacing w:val="3"/>
                <w:sz w:val="18"/>
                <w:szCs w:val="18"/>
              </w:rPr>
              <w:t>1.基尔霍夫第一定律(</w:t>
            </w:r>
            <w:r>
              <w:rPr>
                <w:sz w:val="18"/>
                <w:szCs w:val="18"/>
              </w:rPr>
              <w:t>KCL</w:t>
            </w:r>
            <w:r>
              <w:rPr>
                <w:spacing w:val="3"/>
                <w:sz w:val="18"/>
                <w:szCs w:val="18"/>
              </w:rPr>
              <w:t>)</w:t>
            </w:r>
            <w:r>
              <w:rPr>
                <w:spacing w:val="2"/>
                <w:sz w:val="18"/>
                <w:szCs w:val="18"/>
              </w:rPr>
              <w:t xml:space="preserve"> </w:t>
            </w:r>
            <w:r>
              <w:rPr>
                <w:spacing w:val="3"/>
                <w:sz w:val="18"/>
                <w:szCs w:val="18"/>
              </w:rPr>
              <w:t>2.基尔霍夫第二定律(</w:t>
            </w:r>
            <w:r>
              <w:rPr>
                <w:sz w:val="18"/>
                <w:szCs w:val="18"/>
              </w:rPr>
              <w:t>KVL</w:t>
            </w:r>
            <w:r>
              <w:rPr>
                <w:spacing w:val="3"/>
                <w:sz w:val="18"/>
                <w:szCs w:val="18"/>
              </w:rPr>
              <w:t>)</w:t>
            </w:r>
          </w:p>
          <w:p w14:paraId="5D6000C5">
            <w:pPr>
              <w:pStyle w:val="6"/>
              <w:spacing w:before="26" w:line="224" w:lineRule="auto"/>
              <w:ind w:left="71" w:right="1489"/>
              <w:jc w:val="both"/>
              <w:rPr>
                <w:sz w:val="18"/>
                <w:szCs w:val="18"/>
              </w:rPr>
            </w:pPr>
            <w:r>
              <w:rPr>
                <w:spacing w:val="-2"/>
                <w:sz w:val="18"/>
                <w:szCs w:val="18"/>
              </w:rPr>
              <w:t>3.支路电流法</w:t>
            </w:r>
            <w:r>
              <w:rPr>
                <w:spacing w:val="2"/>
                <w:sz w:val="18"/>
                <w:szCs w:val="18"/>
              </w:rPr>
              <w:t xml:space="preserve"> </w:t>
            </w:r>
            <w:r>
              <w:rPr>
                <w:spacing w:val="-1"/>
                <w:sz w:val="18"/>
                <w:szCs w:val="18"/>
              </w:rPr>
              <w:t>4.戴维宁定理</w:t>
            </w:r>
            <w:r>
              <w:rPr>
                <w:sz w:val="18"/>
                <w:szCs w:val="18"/>
              </w:rPr>
              <w:t xml:space="preserve"> </w:t>
            </w:r>
            <w:r>
              <w:rPr>
                <w:spacing w:val="-2"/>
                <w:sz w:val="18"/>
                <w:szCs w:val="18"/>
              </w:rPr>
              <w:t>5.叠加定理</w:t>
            </w:r>
          </w:p>
        </w:tc>
        <w:tc>
          <w:tcPr>
            <w:tcW w:w="229" w:type="dxa"/>
            <w:vAlign w:val="top"/>
          </w:tcPr>
          <w:p w14:paraId="00A25685">
            <w:pPr>
              <w:spacing w:line="264" w:lineRule="auto"/>
              <w:rPr>
                <w:rFonts w:ascii="Arial"/>
                <w:sz w:val="21"/>
              </w:rPr>
            </w:pPr>
          </w:p>
          <w:p w14:paraId="3F34E165">
            <w:pPr>
              <w:spacing w:line="264" w:lineRule="auto"/>
              <w:rPr>
                <w:rFonts w:ascii="Arial"/>
                <w:sz w:val="21"/>
              </w:rPr>
            </w:pPr>
          </w:p>
          <w:p w14:paraId="5EA96835">
            <w:pPr>
              <w:spacing w:line="264" w:lineRule="auto"/>
              <w:rPr>
                <w:rFonts w:ascii="Arial"/>
                <w:sz w:val="21"/>
              </w:rPr>
            </w:pPr>
          </w:p>
          <w:p w14:paraId="4E8CBC05">
            <w:pPr>
              <w:spacing w:line="265" w:lineRule="auto"/>
              <w:rPr>
                <w:rFonts w:ascii="Arial"/>
                <w:sz w:val="21"/>
              </w:rPr>
            </w:pPr>
          </w:p>
          <w:p w14:paraId="1202187E">
            <w:pPr>
              <w:spacing w:line="116" w:lineRule="exact"/>
              <w:ind w:firstLine="41"/>
            </w:pPr>
            <w:r>
              <w:rPr>
                <w:position w:val="-2"/>
              </w:rPr>
              <w:drawing>
                <wp:inline distT="0" distB="0" distL="0" distR="0">
                  <wp:extent cx="82550" cy="73025"/>
                  <wp:effectExtent l="0" t="0" r="0" b="0"/>
                  <wp:docPr id="110" name="IM 110"/>
                  <wp:cNvGraphicFramePr/>
                  <a:graphic xmlns:a="http://schemas.openxmlformats.org/drawingml/2006/main">
                    <a:graphicData uri="http://schemas.openxmlformats.org/drawingml/2006/picture">
                      <pic:pic xmlns:pic="http://schemas.openxmlformats.org/drawingml/2006/picture">
                        <pic:nvPicPr>
                          <pic:cNvPr id="110" name="IM 110"/>
                          <pic:cNvPicPr/>
                        </pic:nvPicPr>
                        <pic:blipFill>
                          <a:blip r:embed="rId220"/>
                          <a:stretch>
                            <a:fillRect/>
                          </a:stretch>
                        </pic:blipFill>
                        <pic:spPr>
                          <a:xfrm>
                            <a:off x="0" y="0"/>
                            <a:ext cx="82984" cy="73657"/>
                          </a:xfrm>
                          <a:prstGeom prst="rect">
                            <a:avLst/>
                          </a:prstGeom>
                        </pic:spPr>
                      </pic:pic>
                    </a:graphicData>
                  </a:graphic>
                </wp:inline>
              </w:drawing>
            </w:r>
          </w:p>
        </w:tc>
        <w:tc>
          <w:tcPr>
            <w:tcW w:w="229" w:type="dxa"/>
            <w:vAlign w:val="top"/>
          </w:tcPr>
          <w:p w14:paraId="291CD428">
            <w:pPr>
              <w:rPr>
                <w:rFonts w:ascii="Arial"/>
                <w:sz w:val="21"/>
              </w:rPr>
            </w:pPr>
          </w:p>
        </w:tc>
        <w:tc>
          <w:tcPr>
            <w:tcW w:w="229" w:type="dxa"/>
            <w:vAlign w:val="top"/>
          </w:tcPr>
          <w:p w14:paraId="5451FC8E">
            <w:pPr>
              <w:spacing w:before="175" w:line="784" w:lineRule="exact"/>
              <w:ind w:firstLine="26"/>
            </w:pPr>
            <w:r>
              <w:rPr>
                <w:position w:val="-15"/>
              </w:rPr>
              <w:drawing>
                <wp:inline distT="0" distB="0" distL="0" distR="0">
                  <wp:extent cx="97790" cy="497205"/>
                  <wp:effectExtent l="0" t="0" r="0" b="0"/>
                  <wp:docPr id="112" name="IM 112"/>
                  <wp:cNvGraphicFramePr/>
                  <a:graphic xmlns:a="http://schemas.openxmlformats.org/drawingml/2006/main">
                    <a:graphicData uri="http://schemas.openxmlformats.org/drawingml/2006/picture">
                      <pic:pic xmlns:pic="http://schemas.openxmlformats.org/drawingml/2006/picture">
                        <pic:nvPicPr>
                          <pic:cNvPr id="112" name="IM 112"/>
                          <pic:cNvPicPr/>
                        </pic:nvPicPr>
                        <pic:blipFill>
                          <a:blip r:embed="rId221"/>
                          <a:stretch>
                            <a:fillRect/>
                          </a:stretch>
                        </pic:blipFill>
                        <pic:spPr>
                          <a:xfrm>
                            <a:off x="0" y="0"/>
                            <a:ext cx="97977" cy="497628"/>
                          </a:xfrm>
                          <a:prstGeom prst="rect">
                            <a:avLst/>
                          </a:prstGeom>
                        </pic:spPr>
                      </pic:pic>
                    </a:graphicData>
                  </a:graphic>
                </wp:inline>
              </w:drawing>
            </w:r>
          </w:p>
        </w:tc>
        <w:tc>
          <w:tcPr>
            <w:tcW w:w="234" w:type="dxa"/>
            <w:vAlign w:val="top"/>
          </w:tcPr>
          <w:p w14:paraId="7D18C9CA">
            <w:pPr>
              <w:spacing w:line="265" w:lineRule="auto"/>
              <w:rPr>
                <w:rFonts w:ascii="Arial"/>
                <w:sz w:val="21"/>
              </w:rPr>
            </w:pPr>
          </w:p>
          <w:p w14:paraId="5B34DE23">
            <w:pPr>
              <w:spacing w:line="266" w:lineRule="auto"/>
              <w:rPr>
                <w:rFonts w:ascii="Arial"/>
                <w:sz w:val="21"/>
              </w:rPr>
            </w:pPr>
          </w:p>
          <w:p w14:paraId="376E07F7">
            <w:pPr>
              <w:pStyle w:val="6"/>
              <w:spacing w:before="59" w:line="238" w:lineRule="auto"/>
              <w:ind w:left="19"/>
              <w:rPr>
                <w:sz w:val="18"/>
                <w:szCs w:val="18"/>
              </w:rPr>
            </w:pPr>
            <w:r>
              <w:rPr>
                <w:sz w:val="18"/>
                <w:szCs w:val="18"/>
              </w:rPr>
              <w:t>√</w:t>
            </w:r>
          </w:p>
        </w:tc>
      </w:tr>
      <w:tr w14:paraId="582202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4" w:hRule="atLeast"/>
        </w:trPr>
        <w:tc>
          <w:tcPr>
            <w:tcW w:w="4119" w:type="dxa"/>
            <w:gridSpan w:val="6"/>
            <w:vAlign w:val="top"/>
          </w:tcPr>
          <w:p w14:paraId="5B892376">
            <w:pPr>
              <w:pStyle w:val="6"/>
              <w:spacing w:before="88" w:line="220" w:lineRule="auto"/>
              <w:ind w:left="544"/>
              <w:rPr>
                <w:sz w:val="18"/>
                <w:szCs w:val="18"/>
              </w:rPr>
            </w:pPr>
            <w:r>
              <w:rPr>
                <w:spacing w:val="-1"/>
                <w:sz w:val="18"/>
                <w:szCs w:val="18"/>
              </w:rPr>
              <w:t>实验：基尔霍夫定理验证及电位的测量</w:t>
            </w:r>
          </w:p>
        </w:tc>
      </w:tr>
    </w:tbl>
    <w:p w14:paraId="36070EDA">
      <w:pPr>
        <w:spacing w:before="108" w:line="221" w:lineRule="auto"/>
        <w:ind w:left="1162"/>
        <w:rPr>
          <w:rFonts w:ascii="黑体" w:hAnsi="黑体" w:eastAsia="黑体" w:cs="黑体"/>
          <w:sz w:val="20"/>
          <w:szCs w:val="20"/>
        </w:rPr>
      </w:pPr>
      <w:r>
        <w:rPr>
          <w:rFonts w:ascii="黑体" w:hAnsi="黑体" w:eastAsia="黑体" w:cs="黑体"/>
          <w:b/>
          <w:bCs/>
          <w:spacing w:val="-6"/>
          <w:sz w:val="20"/>
          <w:szCs w:val="20"/>
        </w:rPr>
        <w:t>三、单相正弦交流电路</w:t>
      </w:r>
    </w:p>
    <w:p w14:paraId="003205C0">
      <w:pPr>
        <w:spacing w:line="172" w:lineRule="exact"/>
      </w:pPr>
    </w:p>
    <w:tbl>
      <w:tblPr>
        <w:tblStyle w:val="5"/>
        <w:tblW w:w="4130"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64"/>
        <w:gridCol w:w="2634"/>
        <w:gridCol w:w="229"/>
        <w:gridCol w:w="240"/>
        <w:gridCol w:w="229"/>
        <w:gridCol w:w="234"/>
      </w:tblGrid>
      <w:tr w14:paraId="3D5D83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9" w:hRule="atLeast"/>
        </w:trPr>
        <w:tc>
          <w:tcPr>
            <w:tcW w:w="564" w:type="dxa"/>
            <w:vMerge w:val="restart"/>
            <w:tcBorders>
              <w:top w:val="single" w:color="000000" w:sz="2" w:space="0"/>
              <w:bottom w:val="nil"/>
            </w:tcBorders>
            <w:vAlign w:val="top"/>
          </w:tcPr>
          <w:p w14:paraId="7D2E453C">
            <w:pPr>
              <w:pStyle w:val="6"/>
              <w:spacing w:before="77" w:line="228" w:lineRule="auto"/>
              <w:ind w:left="17" w:right="7" w:firstLine="80"/>
              <w:rPr>
                <w:sz w:val="18"/>
                <w:szCs w:val="18"/>
              </w:rPr>
            </w:pPr>
            <w:r>
              <w:rPr>
                <w:b/>
                <w:bCs/>
                <w:spacing w:val="-8"/>
                <w:sz w:val="18"/>
                <w:szCs w:val="18"/>
              </w:rPr>
              <w:t>知识</w:t>
            </w:r>
            <w:r>
              <w:rPr>
                <w:sz w:val="18"/>
                <w:szCs w:val="18"/>
              </w:rPr>
              <w:t xml:space="preserve">  </w:t>
            </w:r>
            <w:r>
              <w:rPr>
                <w:b/>
                <w:bCs/>
                <w:spacing w:val="-6"/>
                <w:sz w:val="18"/>
                <w:szCs w:val="18"/>
              </w:rPr>
              <w:t>与技能</w:t>
            </w:r>
            <w:r>
              <w:rPr>
                <w:sz w:val="18"/>
                <w:szCs w:val="18"/>
              </w:rPr>
              <w:t xml:space="preserve"> </w:t>
            </w:r>
            <w:r>
              <w:rPr>
                <w:b/>
                <w:bCs/>
                <w:spacing w:val="34"/>
                <w:sz w:val="18"/>
                <w:szCs w:val="18"/>
              </w:rPr>
              <w:t>要点</w:t>
            </w:r>
          </w:p>
        </w:tc>
        <w:tc>
          <w:tcPr>
            <w:tcW w:w="2634" w:type="dxa"/>
            <w:vMerge w:val="restart"/>
            <w:tcBorders>
              <w:top w:val="single" w:color="000000" w:sz="2" w:space="0"/>
              <w:bottom w:val="nil"/>
            </w:tcBorders>
            <w:vAlign w:val="top"/>
          </w:tcPr>
          <w:p w14:paraId="467CEB08">
            <w:pPr>
              <w:spacing w:line="244" w:lineRule="auto"/>
              <w:rPr>
                <w:rFonts w:ascii="Arial"/>
                <w:sz w:val="21"/>
              </w:rPr>
            </w:pPr>
          </w:p>
          <w:p w14:paraId="49496845">
            <w:pPr>
              <w:pStyle w:val="6"/>
              <w:spacing w:before="59" w:line="219" w:lineRule="auto"/>
              <w:ind w:left="1003"/>
              <w:rPr>
                <w:sz w:val="18"/>
                <w:szCs w:val="18"/>
              </w:rPr>
            </w:pPr>
            <w:r>
              <w:rPr>
                <w:b/>
                <w:bCs/>
                <w:spacing w:val="5"/>
                <w:sz w:val="18"/>
                <w:szCs w:val="18"/>
              </w:rPr>
              <w:t>考试条目</w:t>
            </w:r>
          </w:p>
        </w:tc>
        <w:tc>
          <w:tcPr>
            <w:tcW w:w="932" w:type="dxa"/>
            <w:gridSpan w:val="4"/>
            <w:tcBorders>
              <w:top w:val="single" w:color="000000" w:sz="2" w:space="0"/>
              <w:bottom w:val="single" w:color="000000" w:sz="2" w:space="0"/>
            </w:tcBorders>
            <w:vAlign w:val="top"/>
          </w:tcPr>
          <w:p w14:paraId="1ED66E80">
            <w:pPr>
              <w:pStyle w:val="6"/>
              <w:spacing w:before="114" w:line="219" w:lineRule="auto"/>
              <w:ind w:left="129"/>
              <w:rPr>
                <w:sz w:val="18"/>
                <w:szCs w:val="18"/>
              </w:rPr>
            </w:pPr>
            <w:r>
              <w:rPr>
                <w:b/>
                <w:bCs/>
                <w:spacing w:val="-4"/>
                <w:sz w:val="18"/>
                <w:szCs w:val="18"/>
              </w:rPr>
              <w:t>考试水平</w:t>
            </w:r>
          </w:p>
        </w:tc>
      </w:tr>
      <w:tr w14:paraId="304440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5" w:hRule="atLeast"/>
        </w:trPr>
        <w:tc>
          <w:tcPr>
            <w:tcW w:w="564" w:type="dxa"/>
            <w:vMerge w:val="continue"/>
            <w:tcBorders>
              <w:top w:val="nil"/>
              <w:bottom w:val="single" w:color="000000" w:sz="2" w:space="0"/>
            </w:tcBorders>
            <w:vAlign w:val="top"/>
          </w:tcPr>
          <w:p w14:paraId="4F2ED09C">
            <w:pPr>
              <w:rPr>
                <w:rFonts w:ascii="Arial"/>
                <w:sz w:val="21"/>
              </w:rPr>
            </w:pPr>
          </w:p>
        </w:tc>
        <w:tc>
          <w:tcPr>
            <w:tcW w:w="2634" w:type="dxa"/>
            <w:vMerge w:val="continue"/>
            <w:tcBorders>
              <w:top w:val="nil"/>
              <w:bottom w:val="single" w:color="000000" w:sz="2" w:space="0"/>
            </w:tcBorders>
            <w:vAlign w:val="top"/>
          </w:tcPr>
          <w:p w14:paraId="4BBFC260">
            <w:pPr>
              <w:rPr>
                <w:rFonts w:ascii="Arial"/>
                <w:sz w:val="21"/>
              </w:rPr>
            </w:pPr>
          </w:p>
        </w:tc>
        <w:tc>
          <w:tcPr>
            <w:tcW w:w="229" w:type="dxa"/>
            <w:tcBorders>
              <w:top w:val="single" w:color="000000" w:sz="2" w:space="0"/>
              <w:bottom w:val="single" w:color="000000" w:sz="2" w:space="0"/>
            </w:tcBorders>
            <w:vAlign w:val="top"/>
          </w:tcPr>
          <w:p w14:paraId="5CF1B069">
            <w:pPr>
              <w:pStyle w:val="6"/>
              <w:spacing w:before="148" w:line="184" w:lineRule="auto"/>
              <w:jc w:val="right"/>
              <w:rPr>
                <w:sz w:val="18"/>
                <w:szCs w:val="18"/>
              </w:rPr>
            </w:pPr>
            <w:r>
              <w:rPr>
                <w:spacing w:val="-2"/>
                <w:w w:val="93"/>
                <w:sz w:val="18"/>
                <w:szCs w:val="18"/>
              </w:rPr>
              <w:t>A</w:t>
            </w:r>
          </w:p>
        </w:tc>
        <w:tc>
          <w:tcPr>
            <w:tcW w:w="240" w:type="dxa"/>
            <w:tcBorders>
              <w:top w:val="single" w:color="000000" w:sz="2" w:space="0"/>
              <w:bottom w:val="single" w:color="000000" w:sz="2" w:space="0"/>
            </w:tcBorders>
            <w:vAlign w:val="top"/>
          </w:tcPr>
          <w:p w14:paraId="43C2EC3D">
            <w:pPr>
              <w:pStyle w:val="6"/>
              <w:spacing w:before="150" w:line="182" w:lineRule="auto"/>
              <w:ind w:left="28"/>
              <w:rPr>
                <w:sz w:val="18"/>
                <w:szCs w:val="18"/>
              </w:rPr>
            </w:pPr>
            <w:r>
              <w:rPr>
                <w:sz w:val="18"/>
                <w:szCs w:val="18"/>
              </w:rPr>
              <w:t>B</w:t>
            </w:r>
          </w:p>
        </w:tc>
        <w:tc>
          <w:tcPr>
            <w:tcW w:w="229" w:type="dxa"/>
            <w:tcBorders>
              <w:top w:val="single" w:color="000000" w:sz="2" w:space="0"/>
              <w:bottom w:val="single" w:color="000000" w:sz="2" w:space="0"/>
            </w:tcBorders>
            <w:vAlign w:val="top"/>
          </w:tcPr>
          <w:p w14:paraId="1D1A304B">
            <w:pPr>
              <w:pStyle w:val="6"/>
              <w:spacing w:before="149" w:line="183" w:lineRule="auto"/>
              <w:ind w:left="57"/>
              <w:rPr>
                <w:sz w:val="18"/>
                <w:szCs w:val="18"/>
              </w:rPr>
            </w:pPr>
            <w:r>
              <w:rPr>
                <w:sz w:val="18"/>
                <w:szCs w:val="18"/>
              </w:rPr>
              <w:t>C</w:t>
            </w:r>
          </w:p>
        </w:tc>
        <w:tc>
          <w:tcPr>
            <w:tcW w:w="234" w:type="dxa"/>
            <w:tcBorders>
              <w:top w:val="single" w:color="000000" w:sz="2" w:space="0"/>
              <w:bottom w:val="single" w:color="000000" w:sz="2" w:space="0"/>
            </w:tcBorders>
            <w:vAlign w:val="top"/>
          </w:tcPr>
          <w:p w14:paraId="2B4F5EC0">
            <w:pPr>
              <w:pStyle w:val="6"/>
              <w:spacing w:before="150" w:line="182" w:lineRule="auto"/>
              <w:ind w:left="19"/>
              <w:rPr>
                <w:sz w:val="18"/>
                <w:szCs w:val="18"/>
              </w:rPr>
            </w:pPr>
            <w:r>
              <w:rPr>
                <w:sz w:val="18"/>
                <w:szCs w:val="18"/>
              </w:rPr>
              <w:t>D</w:t>
            </w:r>
          </w:p>
        </w:tc>
      </w:tr>
      <w:tr w14:paraId="33EC50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04" w:hRule="atLeast"/>
        </w:trPr>
        <w:tc>
          <w:tcPr>
            <w:tcW w:w="564" w:type="dxa"/>
            <w:tcBorders>
              <w:top w:val="single" w:color="000000" w:sz="2" w:space="0"/>
              <w:bottom w:val="single" w:color="000000" w:sz="2" w:space="0"/>
            </w:tcBorders>
            <w:vAlign w:val="top"/>
          </w:tcPr>
          <w:p w14:paraId="5186E0B1">
            <w:pPr>
              <w:pStyle w:val="6"/>
              <w:spacing w:before="116" w:line="223" w:lineRule="auto"/>
              <w:ind w:left="94"/>
              <w:rPr>
                <w:sz w:val="18"/>
                <w:szCs w:val="18"/>
              </w:rPr>
            </w:pPr>
            <w:r>
              <w:rPr>
                <w:spacing w:val="4"/>
                <w:sz w:val="18"/>
                <w:szCs w:val="18"/>
              </w:rPr>
              <w:t>正弦</w:t>
            </w:r>
          </w:p>
          <w:p w14:paraId="19B77247">
            <w:pPr>
              <w:pStyle w:val="6"/>
              <w:spacing w:line="199" w:lineRule="auto"/>
              <w:ind w:left="94"/>
              <w:rPr>
                <w:sz w:val="18"/>
                <w:szCs w:val="18"/>
              </w:rPr>
            </w:pPr>
            <w:r>
              <w:rPr>
                <w:spacing w:val="-3"/>
                <w:sz w:val="18"/>
                <w:szCs w:val="18"/>
              </w:rPr>
              <w:t>交流</w:t>
            </w:r>
          </w:p>
          <w:p w14:paraId="6568D230">
            <w:pPr>
              <w:pStyle w:val="6"/>
              <w:spacing w:line="225" w:lineRule="auto"/>
              <w:ind w:left="184"/>
              <w:rPr>
                <w:sz w:val="18"/>
                <w:szCs w:val="18"/>
              </w:rPr>
            </w:pPr>
            <w:r>
              <w:rPr>
                <w:sz w:val="18"/>
                <w:szCs w:val="18"/>
              </w:rPr>
              <w:t>电</w:t>
            </w:r>
          </w:p>
        </w:tc>
        <w:tc>
          <w:tcPr>
            <w:tcW w:w="2634" w:type="dxa"/>
            <w:tcBorders>
              <w:top w:val="single" w:color="000000" w:sz="2" w:space="0"/>
              <w:bottom w:val="single" w:color="000000" w:sz="2" w:space="0"/>
            </w:tcBorders>
            <w:vAlign w:val="top"/>
          </w:tcPr>
          <w:p w14:paraId="5491BA66">
            <w:pPr>
              <w:pStyle w:val="6"/>
              <w:spacing w:before="103" w:line="219" w:lineRule="auto"/>
              <w:ind w:left="71"/>
              <w:rPr>
                <w:sz w:val="18"/>
                <w:szCs w:val="18"/>
              </w:rPr>
            </w:pPr>
            <w:r>
              <w:rPr>
                <w:sz w:val="18"/>
                <w:szCs w:val="18"/>
              </w:rPr>
              <w:t>1.正弦交流电的三要素</w:t>
            </w:r>
          </w:p>
          <w:p w14:paraId="0018F3DA">
            <w:pPr>
              <w:pStyle w:val="6"/>
              <w:spacing w:before="25" w:line="214" w:lineRule="auto"/>
              <w:ind w:left="71" w:right="402"/>
              <w:rPr>
                <w:sz w:val="18"/>
                <w:szCs w:val="18"/>
              </w:rPr>
            </w:pPr>
            <w:r>
              <w:rPr>
                <w:spacing w:val="-1"/>
                <w:sz w:val="18"/>
                <w:szCs w:val="18"/>
              </w:rPr>
              <w:t>2.正弦交流电的基本物理量</w:t>
            </w:r>
            <w:r>
              <w:rPr>
                <w:spacing w:val="2"/>
                <w:sz w:val="18"/>
                <w:szCs w:val="18"/>
              </w:rPr>
              <w:t xml:space="preserve"> </w:t>
            </w:r>
            <w:r>
              <w:rPr>
                <w:spacing w:val="-1"/>
                <w:sz w:val="18"/>
                <w:szCs w:val="18"/>
              </w:rPr>
              <w:t>3.正弦交流电的表示法</w:t>
            </w:r>
          </w:p>
        </w:tc>
        <w:tc>
          <w:tcPr>
            <w:tcW w:w="229" w:type="dxa"/>
            <w:tcBorders>
              <w:top w:val="single" w:color="000000" w:sz="2" w:space="0"/>
              <w:bottom w:val="single" w:color="000000" w:sz="2" w:space="0"/>
            </w:tcBorders>
            <w:vAlign w:val="top"/>
          </w:tcPr>
          <w:p w14:paraId="3D09CA98">
            <w:pPr>
              <w:pStyle w:val="6"/>
              <w:spacing w:before="84" w:line="238" w:lineRule="auto"/>
              <w:ind w:left="16"/>
              <w:rPr>
                <w:sz w:val="13"/>
                <w:szCs w:val="13"/>
              </w:rPr>
            </w:pPr>
            <w:r>
              <w:rPr>
                <w:sz w:val="13"/>
                <w:szCs w:val="13"/>
              </w:rPr>
              <w:t>√</w:t>
            </w:r>
          </w:p>
        </w:tc>
        <w:tc>
          <w:tcPr>
            <w:tcW w:w="240" w:type="dxa"/>
            <w:tcBorders>
              <w:top w:val="single" w:color="000000" w:sz="2" w:space="0"/>
              <w:bottom w:val="single" w:color="000000" w:sz="2" w:space="0"/>
            </w:tcBorders>
            <w:vAlign w:val="top"/>
          </w:tcPr>
          <w:p w14:paraId="75CF584C">
            <w:pPr>
              <w:spacing w:line="278" w:lineRule="auto"/>
              <w:rPr>
                <w:rFonts w:ascii="Arial"/>
                <w:sz w:val="21"/>
              </w:rPr>
            </w:pPr>
          </w:p>
          <w:p w14:paraId="7D3269AA">
            <w:pPr>
              <w:spacing w:line="339" w:lineRule="exact"/>
              <w:ind w:firstLine="50"/>
            </w:pPr>
            <w:r>
              <w:rPr>
                <w:position w:val="-6"/>
              </w:rPr>
              <w:drawing>
                <wp:inline distT="0" distB="0" distL="0" distR="0">
                  <wp:extent cx="91440" cy="215265"/>
                  <wp:effectExtent l="0" t="0" r="0" b="0"/>
                  <wp:docPr id="114" name="IM 114"/>
                  <wp:cNvGraphicFramePr/>
                  <a:graphic xmlns:a="http://schemas.openxmlformats.org/drawingml/2006/main">
                    <a:graphicData uri="http://schemas.openxmlformats.org/drawingml/2006/picture">
                      <pic:pic xmlns:pic="http://schemas.openxmlformats.org/drawingml/2006/picture">
                        <pic:nvPicPr>
                          <pic:cNvPr id="114" name="IM 114"/>
                          <pic:cNvPicPr/>
                        </pic:nvPicPr>
                        <pic:blipFill>
                          <a:blip r:embed="rId222"/>
                          <a:stretch>
                            <a:fillRect/>
                          </a:stretch>
                        </pic:blipFill>
                        <pic:spPr>
                          <a:xfrm>
                            <a:off x="0" y="0"/>
                            <a:ext cx="92059" cy="215338"/>
                          </a:xfrm>
                          <a:prstGeom prst="rect">
                            <a:avLst/>
                          </a:prstGeom>
                        </pic:spPr>
                      </pic:pic>
                    </a:graphicData>
                  </a:graphic>
                </wp:inline>
              </w:drawing>
            </w:r>
          </w:p>
        </w:tc>
        <w:tc>
          <w:tcPr>
            <w:tcW w:w="229" w:type="dxa"/>
            <w:tcBorders>
              <w:top w:val="single" w:color="000000" w:sz="2" w:space="0"/>
              <w:bottom w:val="single" w:color="000000" w:sz="2" w:space="0"/>
            </w:tcBorders>
            <w:vAlign w:val="top"/>
          </w:tcPr>
          <w:p w14:paraId="51079D39">
            <w:pPr>
              <w:rPr>
                <w:rFonts w:ascii="Arial"/>
                <w:sz w:val="21"/>
              </w:rPr>
            </w:pPr>
          </w:p>
        </w:tc>
        <w:tc>
          <w:tcPr>
            <w:tcW w:w="234" w:type="dxa"/>
            <w:tcBorders>
              <w:top w:val="single" w:color="000000" w:sz="2" w:space="0"/>
              <w:bottom w:val="single" w:color="000000" w:sz="2" w:space="0"/>
            </w:tcBorders>
            <w:vAlign w:val="top"/>
          </w:tcPr>
          <w:p w14:paraId="440D2B8A">
            <w:pPr>
              <w:rPr>
                <w:rFonts w:ascii="Arial"/>
                <w:sz w:val="21"/>
              </w:rPr>
            </w:pPr>
          </w:p>
        </w:tc>
      </w:tr>
      <w:tr w14:paraId="6AD1C8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64" w:hRule="atLeast"/>
        </w:trPr>
        <w:tc>
          <w:tcPr>
            <w:tcW w:w="564" w:type="dxa"/>
            <w:tcBorders>
              <w:top w:val="single" w:color="000000" w:sz="2" w:space="0"/>
              <w:bottom w:val="single" w:color="000000" w:sz="2" w:space="0"/>
            </w:tcBorders>
            <w:vAlign w:val="top"/>
          </w:tcPr>
          <w:p w14:paraId="66B39507">
            <w:pPr>
              <w:pStyle w:val="6"/>
              <w:spacing w:before="49" w:line="211" w:lineRule="auto"/>
              <w:ind w:left="94"/>
              <w:rPr>
                <w:sz w:val="18"/>
                <w:szCs w:val="18"/>
              </w:rPr>
            </w:pPr>
            <w:r>
              <w:rPr>
                <w:spacing w:val="-3"/>
                <w:sz w:val="18"/>
                <w:szCs w:val="18"/>
              </w:rPr>
              <w:t>纯电</w:t>
            </w:r>
          </w:p>
          <w:p w14:paraId="7D413468">
            <w:pPr>
              <w:pStyle w:val="6"/>
              <w:spacing w:line="213" w:lineRule="auto"/>
              <w:ind w:left="94"/>
              <w:rPr>
                <w:sz w:val="18"/>
                <w:szCs w:val="18"/>
              </w:rPr>
            </w:pPr>
            <w:r>
              <w:rPr>
                <w:spacing w:val="5"/>
                <w:sz w:val="18"/>
                <w:szCs w:val="18"/>
              </w:rPr>
              <w:t>阻电</w:t>
            </w:r>
          </w:p>
          <w:p w14:paraId="120CF1EC">
            <w:pPr>
              <w:pStyle w:val="6"/>
              <w:spacing w:line="195" w:lineRule="auto"/>
              <w:ind w:left="184"/>
              <w:rPr>
                <w:sz w:val="18"/>
                <w:szCs w:val="18"/>
              </w:rPr>
            </w:pPr>
            <w:r>
              <w:rPr>
                <w:sz w:val="18"/>
                <w:szCs w:val="18"/>
              </w:rPr>
              <w:t>路</w:t>
            </w:r>
          </w:p>
        </w:tc>
        <w:tc>
          <w:tcPr>
            <w:tcW w:w="2634" w:type="dxa"/>
            <w:tcBorders>
              <w:top w:val="single" w:color="000000" w:sz="2" w:space="0"/>
              <w:bottom w:val="single" w:color="000000" w:sz="2" w:space="0"/>
            </w:tcBorders>
            <w:vAlign w:val="top"/>
          </w:tcPr>
          <w:p w14:paraId="14B69777">
            <w:pPr>
              <w:pStyle w:val="6"/>
              <w:spacing w:before="244" w:line="220" w:lineRule="auto"/>
              <w:ind w:left="71"/>
              <w:rPr>
                <w:sz w:val="18"/>
                <w:szCs w:val="18"/>
              </w:rPr>
            </w:pPr>
            <w:r>
              <w:rPr>
                <w:spacing w:val="2"/>
                <w:sz w:val="18"/>
                <w:szCs w:val="18"/>
              </w:rPr>
              <w:t>电流与电压的关系</w:t>
            </w:r>
          </w:p>
        </w:tc>
        <w:tc>
          <w:tcPr>
            <w:tcW w:w="229" w:type="dxa"/>
            <w:tcBorders>
              <w:top w:val="single" w:color="000000" w:sz="2" w:space="0"/>
              <w:bottom w:val="single" w:color="000000" w:sz="2" w:space="0"/>
            </w:tcBorders>
            <w:vAlign w:val="top"/>
          </w:tcPr>
          <w:p w14:paraId="2B164535">
            <w:pPr>
              <w:rPr>
                <w:rFonts w:ascii="Arial"/>
                <w:sz w:val="21"/>
              </w:rPr>
            </w:pPr>
          </w:p>
        </w:tc>
        <w:tc>
          <w:tcPr>
            <w:tcW w:w="240" w:type="dxa"/>
            <w:tcBorders>
              <w:top w:val="single" w:color="000000" w:sz="2" w:space="0"/>
              <w:bottom w:val="single" w:color="000000" w:sz="2" w:space="0"/>
            </w:tcBorders>
            <w:vAlign w:val="top"/>
          </w:tcPr>
          <w:p w14:paraId="7AB8F2F3">
            <w:pPr>
              <w:rPr>
                <w:rFonts w:ascii="Arial"/>
                <w:sz w:val="21"/>
              </w:rPr>
            </w:pPr>
          </w:p>
        </w:tc>
        <w:tc>
          <w:tcPr>
            <w:tcW w:w="229" w:type="dxa"/>
            <w:tcBorders>
              <w:top w:val="single" w:color="000000" w:sz="2" w:space="0"/>
              <w:bottom w:val="single" w:color="000000" w:sz="2" w:space="0"/>
            </w:tcBorders>
            <w:vAlign w:val="top"/>
          </w:tcPr>
          <w:p w14:paraId="07C8BE29">
            <w:pPr>
              <w:rPr>
                <w:rFonts w:ascii="Arial"/>
                <w:sz w:val="21"/>
              </w:rPr>
            </w:pPr>
          </w:p>
        </w:tc>
        <w:tc>
          <w:tcPr>
            <w:tcW w:w="234" w:type="dxa"/>
            <w:tcBorders>
              <w:top w:val="single" w:color="000000" w:sz="2" w:space="0"/>
              <w:bottom w:val="single" w:color="000000" w:sz="2" w:space="0"/>
            </w:tcBorders>
            <w:vAlign w:val="top"/>
          </w:tcPr>
          <w:p w14:paraId="4F2A2BDB">
            <w:pPr>
              <w:spacing w:line="270" w:lineRule="auto"/>
              <w:rPr>
                <w:rFonts w:ascii="Arial"/>
                <w:sz w:val="21"/>
              </w:rPr>
            </w:pPr>
          </w:p>
          <w:p w14:paraId="01B00921">
            <w:pPr>
              <w:spacing w:line="116" w:lineRule="exact"/>
              <w:ind w:firstLine="56"/>
            </w:pPr>
            <w:r>
              <w:rPr>
                <w:position w:val="-2"/>
              </w:rPr>
              <w:drawing>
                <wp:inline distT="0" distB="0" distL="0" distR="0">
                  <wp:extent cx="73025" cy="73025"/>
                  <wp:effectExtent l="0" t="0" r="0" b="0"/>
                  <wp:docPr id="116" name="IM 116"/>
                  <wp:cNvGraphicFramePr/>
                  <a:graphic xmlns:a="http://schemas.openxmlformats.org/drawingml/2006/main">
                    <a:graphicData uri="http://schemas.openxmlformats.org/drawingml/2006/picture">
                      <pic:pic xmlns:pic="http://schemas.openxmlformats.org/drawingml/2006/picture">
                        <pic:nvPicPr>
                          <pic:cNvPr id="116" name="IM 116"/>
                          <pic:cNvPicPr/>
                        </pic:nvPicPr>
                        <pic:blipFill>
                          <a:blip r:embed="rId223"/>
                          <a:stretch>
                            <a:fillRect/>
                          </a:stretch>
                        </pic:blipFill>
                        <pic:spPr>
                          <a:xfrm>
                            <a:off x="0" y="0"/>
                            <a:ext cx="73454" cy="73639"/>
                          </a:xfrm>
                          <a:prstGeom prst="rect">
                            <a:avLst/>
                          </a:prstGeom>
                        </pic:spPr>
                      </pic:pic>
                    </a:graphicData>
                  </a:graphic>
                </wp:inline>
              </w:drawing>
            </w:r>
          </w:p>
        </w:tc>
      </w:tr>
      <w:tr w14:paraId="2A61C6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34" w:hRule="atLeast"/>
        </w:trPr>
        <w:tc>
          <w:tcPr>
            <w:tcW w:w="564" w:type="dxa"/>
            <w:tcBorders>
              <w:top w:val="single" w:color="000000" w:sz="2" w:space="0"/>
              <w:bottom w:val="single" w:color="000000" w:sz="2" w:space="0"/>
            </w:tcBorders>
            <w:vAlign w:val="top"/>
          </w:tcPr>
          <w:p w14:paraId="4F3772D2">
            <w:pPr>
              <w:pStyle w:val="6"/>
              <w:spacing w:before="190" w:line="204" w:lineRule="auto"/>
              <w:ind w:left="94"/>
              <w:rPr>
                <w:sz w:val="18"/>
                <w:szCs w:val="18"/>
              </w:rPr>
            </w:pPr>
            <w:r>
              <w:rPr>
                <w:spacing w:val="-3"/>
                <w:sz w:val="18"/>
                <w:szCs w:val="18"/>
              </w:rPr>
              <w:t>纯电</w:t>
            </w:r>
          </w:p>
          <w:p w14:paraId="3B5F6767">
            <w:pPr>
              <w:pStyle w:val="6"/>
              <w:spacing w:line="221" w:lineRule="auto"/>
              <w:ind w:left="94"/>
              <w:rPr>
                <w:sz w:val="18"/>
                <w:szCs w:val="18"/>
              </w:rPr>
            </w:pPr>
            <w:r>
              <w:rPr>
                <w:spacing w:val="-2"/>
                <w:sz w:val="18"/>
                <w:szCs w:val="18"/>
              </w:rPr>
              <w:t>感电</w:t>
            </w:r>
          </w:p>
          <w:p w14:paraId="6D1D0A0A">
            <w:pPr>
              <w:pStyle w:val="6"/>
              <w:spacing w:line="219" w:lineRule="auto"/>
              <w:ind w:left="184"/>
              <w:rPr>
                <w:sz w:val="18"/>
                <w:szCs w:val="18"/>
              </w:rPr>
            </w:pPr>
            <w:r>
              <w:rPr>
                <w:sz w:val="18"/>
                <w:szCs w:val="18"/>
              </w:rPr>
              <w:t>路</w:t>
            </w:r>
          </w:p>
        </w:tc>
        <w:tc>
          <w:tcPr>
            <w:tcW w:w="2634" w:type="dxa"/>
            <w:tcBorders>
              <w:top w:val="single" w:color="000000" w:sz="2" w:space="0"/>
              <w:bottom w:val="single" w:color="000000" w:sz="2" w:space="0"/>
            </w:tcBorders>
            <w:vAlign w:val="top"/>
          </w:tcPr>
          <w:p w14:paraId="3896E44B">
            <w:pPr>
              <w:pStyle w:val="6"/>
              <w:spacing w:before="164" w:line="233" w:lineRule="auto"/>
              <w:ind w:left="71" w:right="533"/>
              <w:rPr>
                <w:sz w:val="18"/>
                <w:szCs w:val="18"/>
              </w:rPr>
            </w:pPr>
            <w:r>
              <w:rPr>
                <w:spacing w:val="3"/>
                <w:sz w:val="18"/>
                <w:szCs w:val="18"/>
              </w:rPr>
              <w:t>1.线圈的电感(自感系数)</w:t>
            </w:r>
            <w:r>
              <w:rPr>
                <w:sz w:val="18"/>
                <w:szCs w:val="18"/>
              </w:rPr>
              <w:t xml:space="preserve"> </w:t>
            </w:r>
            <w:r>
              <w:rPr>
                <w:spacing w:val="-3"/>
                <w:sz w:val="18"/>
                <w:szCs w:val="18"/>
              </w:rPr>
              <w:t>2.感抗</w:t>
            </w:r>
          </w:p>
          <w:p w14:paraId="56AAA544">
            <w:pPr>
              <w:pStyle w:val="6"/>
              <w:spacing w:before="6" w:line="220" w:lineRule="auto"/>
              <w:ind w:left="71"/>
              <w:rPr>
                <w:sz w:val="18"/>
                <w:szCs w:val="18"/>
              </w:rPr>
            </w:pPr>
            <w:r>
              <w:rPr>
                <w:spacing w:val="1"/>
                <w:sz w:val="18"/>
                <w:szCs w:val="18"/>
              </w:rPr>
              <w:t>3.电流与电压的关系</w:t>
            </w:r>
          </w:p>
        </w:tc>
        <w:tc>
          <w:tcPr>
            <w:tcW w:w="229" w:type="dxa"/>
            <w:tcBorders>
              <w:top w:val="single" w:color="000000" w:sz="2" w:space="0"/>
              <w:bottom w:val="single" w:color="000000" w:sz="2" w:space="0"/>
            </w:tcBorders>
            <w:vAlign w:val="top"/>
          </w:tcPr>
          <w:p w14:paraId="4F5AC4B4">
            <w:pPr>
              <w:rPr>
                <w:rFonts w:ascii="Arial"/>
                <w:sz w:val="21"/>
              </w:rPr>
            </w:pPr>
          </w:p>
        </w:tc>
        <w:tc>
          <w:tcPr>
            <w:tcW w:w="240" w:type="dxa"/>
            <w:tcBorders>
              <w:top w:val="single" w:color="000000" w:sz="2" w:space="0"/>
              <w:bottom w:val="single" w:color="000000" w:sz="2" w:space="0"/>
            </w:tcBorders>
            <w:vAlign w:val="top"/>
          </w:tcPr>
          <w:p w14:paraId="79286176">
            <w:pPr>
              <w:rPr>
                <w:rFonts w:ascii="Arial"/>
                <w:sz w:val="21"/>
              </w:rPr>
            </w:pPr>
          </w:p>
        </w:tc>
        <w:tc>
          <w:tcPr>
            <w:tcW w:w="229" w:type="dxa"/>
            <w:tcBorders>
              <w:top w:val="single" w:color="000000" w:sz="2" w:space="0"/>
              <w:bottom w:val="single" w:color="000000" w:sz="2" w:space="0"/>
            </w:tcBorders>
            <w:vAlign w:val="top"/>
          </w:tcPr>
          <w:p w14:paraId="09699634">
            <w:pPr>
              <w:spacing w:line="292" w:lineRule="auto"/>
              <w:rPr>
                <w:rFonts w:ascii="Arial"/>
                <w:sz w:val="21"/>
              </w:rPr>
            </w:pPr>
          </w:p>
          <w:p w14:paraId="24EA07EC">
            <w:pPr>
              <w:pStyle w:val="6"/>
              <w:spacing w:before="59" w:line="238" w:lineRule="auto"/>
              <w:ind w:left="17"/>
              <w:rPr>
                <w:sz w:val="18"/>
                <w:szCs w:val="18"/>
              </w:rPr>
            </w:pPr>
            <w:r>
              <w:rPr>
                <w:sz w:val="18"/>
                <w:szCs w:val="18"/>
              </w:rPr>
              <w:t>√</w:t>
            </w:r>
          </w:p>
        </w:tc>
        <w:tc>
          <w:tcPr>
            <w:tcW w:w="234" w:type="dxa"/>
            <w:tcBorders>
              <w:top w:val="single" w:color="000000" w:sz="2" w:space="0"/>
              <w:bottom w:val="single" w:color="000000" w:sz="2" w:space="0"/>
            </w:tcBorders>
            <w:vAlign w:val="top"/>
          </w:tcPr>
          <w:p w14:paraId="65B541BE">
            <w:pPr>
              <w:spacing w:line="324" w:lineRule="auto"/>
              <w:rPr>
                <w:rFonts w:ascii="Arial"/>
                <w:sz w:val="21"/>
              </w:rPr>
            </w:pPr>
          </w:p>
          <w:p w14:paraId="09350AC0">
            <w:pPr>
              <w:spacing w:line="325" w:lineRule="auto"/>
              <w:rPr>
                <w:rFonts w:ascii="Arial"/>
                <w:sz w:val="21"/>
              </w:rPr>
            </w:pPr>
          </w:p>
          <w:p w14:paraId="7C5A5394">
            <w:pPr>
              <w:spacing w:line="116" w:lineRule="exact"/>
              <w:ind w:firstLine="36"/>
            </w:pPr>
            <w:r>
              <w:rPr>
                <w:position w:val="-2"/>
              </w:rPr>
              <w:drawing>
                <wp:inline distT="0" distB="0" distL="0" distR="0">
                  <wp:extent cx="85090" cy="73025"/>
                  <wp:effectExtent l="0" t="0" r="0" b="0"/>
                  <wp:docPr id="118" name="IM 118"/>
                  <wp:cNvGraphicFramePr/>
                  <a:graphic xmlns:a="http://schemas.openxmlformats.org/drawingml/2006/main">
                    <a:graphicData uri="http://schemas.openxmlformats.org/drawingml/2006/picture">
                      <pic:pic xmlns:pic="http://schemas.openxmlformats.org/drawingml/2006/picture">
                        <pic:nvPicPr>
                          <pic:cNvPr id="118" name="IM 118"/>
                          <pic:cNvPicPr/>
                        </pic:nvPicPr>
                        <pic:blipFill>
                          <a:blip r:embed="rId224"/>
                          <a:stretch>
                            <a:fillRect/>
                          </a:stretch>
                        </pic:blipFill>
                        <pic:spPr>
                          <a:xfrm>
                            <a:off x="0" y="0"/>
                            <a:ext cx="85696" cy="73442"/>
                          </a:xfrm>
                          <a:prstGeom prst="rect">
                            <a:avLst/>
                          </a:prstGeom>
                        </pic:spPr>
                      </pic:pic>
                    </a:graphicData>
                  </a:graphic>
                </wp:inline>
              </w:drawing>
            </w:r>
          </w:p>
        </w:tc>
      </w:tr>
      <w:tr w14:paraId="661957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24" w:hRule="atLeast"/>
        </w:trPr>
        <w:tc>
          <w:tcPr>
            <w:tcW w:w="564" w:type="dxa"/>
            <w:tcBorders>
              <w:top w:val="single" w:color="000000" w:sz="2" w:space="0"/>
              <w:bottom w:val="single" w:color="000000" w:sz="2" w:space="0"/>
            </w:tcBorders>
            <w:vAlign w:val="top"/>
          </w:tcPr>
          <w:p w14:paraId="1E117262">
            <w:pPr>
              <w:pStyle w:val="6"/>
              <w:spacing w:before="181" w:line="210" w:lineRule="auto"/>
              <w:ind w:left="94"/>
              <w:rPr>
                <w:sz w:val="18"/>
                <w:szCs w:val="18"/>
              </w:rPr>
            </w:pPr>
            <w:r>
              <w:rPr>
                <w:spacing w:val="-3"/>
                <w:sz w:val="18"/>
                <w:szCs w:val="18"/>
              </w:rPr>
              <w:t>纯电</w:t>
            </w:r>
          </w:p>
          <w:p w14:paraId="1A38E4C2">
            <w:pPr>
              <w:pStyle w:val="6"/>
              <w:spacing w:line="214" w:lineRule="auto"/>
              <w:ind w:left="94"/>
              <w:rPr>
                <w:sz w:val="18"/>
                <w:szCs w:val="18"/>
              </w:rPr>
            </w:pPr>
            <w:r>
              <w:rPr>
                <w:spacing w:val="-3"/>
                <w:sz w:val="18"/>
                <w:szCs w:val="18"/>
              </w:rPr>
              <w:t>容电</w:t>
            </w:r>
          </w:p>
          <w:p w14:paraId="4CABBF17">
            <w:pPr>
              <w:pStyle w:val="6"/>
              <w:spacing w:line="219" w:lineRule="auto"/>
              <w:ind w:left="184"/>
              <w:rPr>
                <w:sz w:val="18"/>
                <w:szCs w:val="18"/>
              </w:rPr>
            </w:pPr>
            <w:r>
              <w:rPr>
                <w:sz w:val="18"/>
                <w:szCs w:val="18"/>
              </w:rPr>
              <w:t>路</w:t>
            </w:r>
          </w:p>
        </w:tc>
        <w:tc>
          <w:tcPr>
            <w:tcW w:w="2634" w:type="dxa"/>
            <w:tcBorders>
              <w:top w:val="single" w:color="000000" w:sz="2" w:space="0"/>
              <w:bottom w:val="single" w:color="000000" w:sz="2" w:space="0"/>
            </w:tcBorders>
            <w:vAlign w:val="top"/>
          </w:tcPr>
          <w:p w14:paraId="11CFE56B">
            <w:pPr>
              <w:pStyle w:val="6"/>
              <w:spacing w:before="174" w:line="223" w:lineRule="auto"/>
              <w:ind w:left="71" w:right="1105"/>
              <w:rPr>
                <w:sz w:val="18"/>
                <w:szCs w:val="18"/>
              </w:rPr>
            </w:pPr>
            <w:r>
              <w:rPr>
                <w:sz w:val="18"/>
                <w:szCs w:val="18"/>
              </w:rPr>
              <w:t>1.电容的基本概念</w:t>
            </w:r>
            <w:r>
              <w:rPr>
                <w:spacing w:val="6"/>
                <w:sz w:val="18"/>
                <w:szCs w:val="18"/>
              </w:rPr>
              <w:t xml:space="preserve"> </w:t>
            </w:r>
            <w:r>
              <w:rPr>
                <w:spacing w:val="-2"/>
                <w:sz w:val="18"/>
                <w:szCs w:val="18"/>
              </w:rPr>
              <w:t>2.容抗</w:t>
            </w:r>
          </w:p>
          <w:p w14:paraId="3F283EB3">
            <w:pPr>
              <w:pStyle w:val="6"/>
              <w:spacing w:before="6" w:line="220" w:lineRule="auto"/>
              <w:ind w:left="71"/>
              <w:rPr>
                <w:sz w:val="18"/>
                <w:szCs w:val="18"/>
              </w:rPr>
            </w:pPr>
            <w:r>
              <w:rPr>
                <w:spacing w:val="1"/>
                <w:sz w:val="18"/>
                <w:szCs w:val="18"/>
              </w:rPr>
              <w:t>3.电流与电压的关系</w:t>
            </w:r>
          </w:p>
        </w:tc>
        <w:tc>
          <w:tcPr>
            <w:tcW w:w="229" w:type="dxa"/>
            <w:tcBorders>
              <w:top w:val="single" w:color="000000" w:sz="2" w:space="0"/>
              <w:bottom w:val="single" w:color="000000" w:sz="2" w:space="0"/>
            </w:tcBorders>
            <w:vAlign w:val="top"/>
          </w:tcPr>
          <w:p w14:paraId="2688D626">
            <w:pPr>
              <w:rPr>
                <w:rFonts w:ascii="Arial"/>
                <w:sz w:val="21"/>
              </w:rPr>
            </w:pPr>
          </w:p>
        </w:tc>
        <w:tc>
          <w:tcPr>
            <w:tcW w:w="240" w:type="dxa"/>
            <w:tcBorders>
              <w:top w:val="single" w:color="000000" w:sz="2" w:space="0"/>
              <w:bottom w:val="single" w:color="000000" w:sz="2" w:space="0"/>
            </w:tcBorders>
            <w:vAlign w:val="top"/>
          </w:tcPr>
          <w:p w14:paraId="476C2CED">
            <w:pPr>
              <w:rPr>
                <w:rFonts w:ascii="Arial"/>
                <w:sz w:val="21"/>
              </w:rPr>
            </w:pPr>
          </w:p>
        </w:tc>
        <w:tc>
          <w:tcPr>
            <w:tcW w:w="229" w:type="dxa"/>
            <w:tcBorders>
              <w:top w:val="single" w:color="000000" w:sz="2" w:space="0"/>
              <w:bottom w:val="single" w:color="000000" w:sz="2" w:space="0"/>
            </w:tcBorders>
            <w:vAlign w:val="top"/>
          </w:tcPr>
          <w:p w14:paraId="48472481">
            <w:pPr>
              <w:spacing w:line="415" w:lineRule="auto"/>
              <w:rPr>
                <w:rFonts w:ascii="Arial"/>
                <w:sz w:val="21"/>
              </w:rPr>
            </w:pPr>
          </w:p>
          <w:p w14:paraId="1618D8FD">
            <w:pPr>
              <w:spacing w:line="320" w:lineRule="exact"/>
              <w:ind w:firstLine="51"/>
            </w:pPr>
            <w:r>
              <w:rPr>
                <w:position w:val="-6"/>
              </w:rPr>
              <w:drawing>
                <wp:inline distT="0" distB="0" distL="0" distR="0">
                  <wp:extent cx="83185" cy="202565"/>
                  <wp:effectExtent l="0" t="0" r="0" b="0"/>
                  <wp:docPr id="120" name="IM 120"/>
                  <wp:cNvGraphicFramePr/>
                  <a:graphic xmlns:a="http://schemas.openxmlformats.org/drawingml/2006/main">
                    <a:graphicData uri="http://schemas.openxmlformats.org/drawingml/2006/picture">
                      <pic:pic xmlns:pic="http://schemas.openxmlformats.org/drawingml/2006/picture">
                        <pic:nvPicPr>
                          <pic:cNvPr id="120" name="IM 120"/>
                          <pic:cNvPicPr/>
                        </pic:nvPicPr>
                        <pic:blipFill>
                          <a:blip r:embed="rId225"/>
                          <a:stretch>
                            <a:fillRect/>
                          </a:stretch>
                        </pic:blipFill>
                        <pic:spPr>
                          <a:xfrm>
                            <a:off x="0" y="0"/>
                            <a:ext cx="83365" cy="203112"/>
                          </a:xfrm>
                          <a:prstGeom prst="rect">
                            <a:avLst/>
                          </a:prstGeom>
                        </pic:spPr>
                      </pic:pic>
                    </a:graphicData>
                  </a:graphic>
                </wp:inline>
              </w:drawing>
            </w:r>
          </w:p>
        </w:tc>
        <w:tc>
          <w:tcPr>
            <w:tcW w:w="234" w:type="dxa"/>
            <w:tcBorders>
              <w:top w:val="single" w:color="000000" w:sz="2" w:space="0"/>
              <w:bottom w:val="single" w:color="000000" w:sz="2" w:space="0"/>
            </w:tcBorders>
            <w:vAlign w:val="top"/>
          </w:tcPr>
          <w:p w14:paraId="6B587366">
            <w:pPr>
              <w:rPr>
                <w:rFonts w:ascii="Arial"/>
                <w:sz w:val="21"/>
              </w:rPr>
            </w:pPr>
          </w:p>
        </w:tc>
      </w:tr>
      <w:tr w14:paraId="66E2CE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53" w:hRule="atLeast"/>
        </w:trPr>
        <w:tc>
          <w:tcPr>
            <w:tcW w:w="564" w:type="dxa"/>
            <w:tcBorders>
              <w:top w:val="single" w:color="000000" w:sz="2" w:space="0"/>
              <w:bottom w:val="single" w:color="000000" w:sz="2" w:space="0"/>
            </w:tcBorders>
            <w:vAlign w:val="top"/>
          </w:tcPr>
          <w:p w14:paraId="5EB31E86">
            <w:pPr>
              <w:spacing w:line="391" w:lineRule="auto"/>
              <w:rPr>
                <w:rFonts w:ascii="Arial"/>
                <w:sz w:val="21"/>
              </w:rPr>
            </w:pPr>
          </w:p>
          <w:p w14:paraId="39C6D3A4">
            <w:pPr>
              <w:pStyle w:val="6"/>
              <w:spacing w:before="59" w:line="158" w:lineRule="auto"/>
              <w:ind w:left="134"/>
              <w:rPr>
                <w:sz w:val="18"/>
                <w:szCs w:val="18"/>
              </w:rPr>
            </w:pPr>
            <w:r>
              <w:rPr>
                <w:spacing w:val="-2"/>
                <w:sz w:val="18"/>
                <w:szCs w:val="18"/>
              </w:rPr>
              <w:t>RLC</w:t>
            </w:r>
          </w:p>
          <w:p w14:paraId="05CBB179">
            <w:pPr>
              <w:pStyle w:val="6"/>
              <w:spacing w:line="220" w:lineRule="auto"/>
              <w:ind w:left="94"/>
              <w:rPr>
                <w:sz w:val="18"/>
                <w:szCs w:val="18"/>
              </w:rPr>
            </w:pPr>
            <w:r>
              <w:rPr>
                <w:spacing w:val="3"/>
                <w:sz w:val="18"/>
                <w:szCs w:val="18"/>
              </w:rPr>
              <w:t>串联</w:t>
            </w:r>
          </w:p>
          <w:p w14:paraId="71F9E9A0">
            <w:pPr>
              <w:pStyle w:val="6"/>
              <w:spacing w:line="225" w:lineRule="auto"/>
              <w:ind w:left="184"/>
              <w:rPr>
                <w:sz w:val="18"/>
                <w:szCs w:val="18"/>
              </w:rPr>
            </w:pPr>
            <w:r>
              <w:rPr>
                <w:sz w:val="18"/>
                <w:szCs w:val="18"/>
              </w:rPr>
              <w:t>电</w:t>
            </w:r>
          </w:p>
        </w:tc>
        <w:tc>
          <w:tcPr>
            <w:tcW w:w="2634" w:type="dxa"/>
            <w:tcBorders>
              <w:top w:val="single" w:color="000000" w:sz="2" w:space="0"/>
              <w:bottom w:val="single" w:color="000000" w:sz="2" w:space="0"/>
            </w:tcBorders>
            <w:vAlign w:val="top"/>
          </w:tcPr>
          <w:p w14:paraId="532770B6">
            <w:pPr>
              <w:pStyle w:val="6"/>
              <w:spacing w:before="166" w:line="220" w:lineRule="auto"/>
              <w:ind w:left="71"/>
              <w:rPr>
                <w:sz w:val="18"/>
                <w:szCs w:val="18"/>
              </w:rPr>
            </w:pPr>
            <w:r>
              <w:rPr>
                <w:spacing w:val="1"/>
                <w:sz w:val="18"/>
                <w:szCs w:val="18"/>
              </w:rPr>
              <w:t>1.电流与电压的关系</w:t>
            </w:r>
          </w:p>
          <w:p w14:paraId="54A9BB75">
            <w:pPr>
              <w:pStyle w:val="6"/>
              <w:spacing w:before="15" w:line="223" w:lineRule="auto"/>
              <w:ind w:left="71" w:right="732"/>
              <w:rPr>
                <w:sz w:val="18"/>
                <w:szCs w:val="18"/>
              </w:rPr>
            </w:pPr>
            <w:r>
              <w:rPr>
                <w:spacing w:val="1"/>
                <w:sz w:val="18"/>
                <w:szCs w:val="18"/>
              </w:rPr>
              <w:t>2.电路呈现的三种性质</w:t>
            </w:r>
            <w:r>
              <w:rPr>
                <w:spacing w:val="8"/>
                <w:sz w:val="18"/>
                <w:szCs w:val="18"/>
              </w:rPr>
              <w:t xml:space="preserve"> </w:t>
            </w:r>
            <w:r>
              <w:rPr>
                <w:spacing w:val="-1"/>
                <w:sz w:val="18"/>
                <w:szCs w:val="18"/>
              </w:rPr>
              <w:t>3.串联谐振</w:t>
            </w:r>
          </w:p>
          <w:p w14:paraId="28608DFC">
            <w:pPr>
              <w:pStyle w:val="6"/>
              <w:spacing w:before="4" w:line="219" w:lineRule="auto"/>
              <w:ind w:left="71" w:right="219"/>
              <w:rPr>
                <w:sz w:val="18"/>
                <w:szCs w:val="18"/>
              </w:rPr>
            </w:pPr>
            <w:r>
              <w:rPr>
                <w:spacing w:val="-1"/>
                <w:sz w:val="18"/>
                <w:szCs w:val="18"/>
              </w:rPr>
              <w:t>4.功率因数及功率因数的提高</w:t>
            </w:r>
            <w:r>
              <w:rPr>
                <w:spacing w:val="6"/>
                <w:sz w:val="18"/>
                <w:szCs w:val="18"/>
              </w:rPr>
              <w:t xml:space="preserve"> </w:t>
            </w:r>
            <w:r>
              <w:rPr>
                <w:spacing w:val="-2"/>
                <w:sz w:val="18"/>
                <w:szCs w:val="18"/>
              </w:rPr>
              <w:t>方法</w:t>
            </w:r>
          </w:p>
        </w:tc>
        <w:tc>
          <w:tcPr>
            <w:tcW w:w="229" w:type="dxa"/>
            <w:tcBorders>
              <w:top w:val="single" w:color="000000" w:sz="2" w:space="0"/>
              <w:bottom w:val="single" w:color="000000" w:sz="2" w:space="0"/>
            </w:tcBorders>
            <w:vAlign w:val="top"/>
          </w:tcPr>
          <w:p w14:paraId="3F0CA48D">
            <w:pPr>
              <w:rPr>
                <w:rFonts w:ascii="Arial"/>
                <w:sz w:val="21"/>
              </w:rPr>
            </w:pPr>
          </w:p>
        </w:tc>
        <w:tc>
          <w:tcPr>
            <w:tcW w:w="240" w:type="dxa"/>
            <w:tcBorders>
              <w:top w:val="single" w:color="000000" w:sz="2" w:space="0"/>
              <w:bottom w:val="single" w:color="000000" w:sz="2" w:space="0"/>
            </w:tcBorders>
            <w:vAlign w:val="top"/>
          </w:tcPr>
          <w:p w14:paraId="36FDD2BF">
            <w:pPr>
              <w:rPr>
                <w:rFonts w:ascii="Arial"/>
                <w:sz w:val="21"/>
              </w:rPr>
            </w:pPr>
          </w:p>
        </w:tc>
        <w:tc>
          <w:tcPr>
            <w:tcW w:w="229" w:type="dxa"/>
            <w:tcBorders>
              <w:top w:val="single" w:color="000000" w:sz="2" w:space="0"/>
              <w:bottom w:val="single" w:color="000000" w:sz="2" w:space="0"/>
            </w:tcBorders>
            <w:vAlign w:val="top"/>
          </w:tcPr>
          <w:p w14:paraId="6A917B89">
            <w:pPr>
              <w:rPr>
                <w:rFonts w:ascii="Arial"/>
                <w:sz w:val="21"/>
              </w:rPr>
            </w:pPr>
          </w:p>
        </w:tc>
        <w:tc>
          <w:tcPr>
            <w:tcW w:w="234" w:type="dxa"/>
            <w:tcBorders>
              <w:top w:val="single" w:color="000000" w:sz="2" w:space="0"/>
              <w:bottom w:val="single" w:color="000000" w:sz="2" w:space="0"/>
            </w:tcBorders>
            <w:vAlign w:val="top"/>
          </w:tcPr>
          <w:p w14:paraId="631850D3">
            <w:pPr>
              <w:rPr>
                <w:rFonts w:ascii="Arial"/>
                <w:sz w:val="21"/>
              </w:rPr>
            </w:pPr>
          </w:p>
        </w:tc>
      </w:tr>
      <w:tr w14:paraId="734354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0" w:hRule="atLeast"/>
        </w:trPr>
        <w:tc>
          <w:tcPr>
            <w:tcW w:w="4130" w:type="dxa"/>
            <w:gridSpan w:val="6"/>
            <w:tcBorders>
              <w:top w:val="single" w:color="000000" w:sz="2" w:space="0"/>
              <w:bottom w:val="single" w:color="000000" w:sz="2" w:space="0"/>
            </w:tcBorders>
            <w:vAlign w:val="top"/>
          </w:tcPr>
          <w:p w14:paraId="3A30482E">
            <w:pPr>
              <w:pStyle w:val="6"/>
              <w:spacing w:before="98" w:line="219" w:lineRule="auto"/>
              <w:ind w:left="644"/>
              <w:rPr>
                <w:sz w:val="18"/>
                <w:szCs w:val="18"/>
              </w:rPr>
            </w:pPr>
            <w:r>
              <w:rPr>
                <w:spacing w:val="-1"/>
                <w:sz w:val="18"/>
                <w:szCs w:val="18"/>
              </w:rPr>
              <w:t>实验：日光灯电路及功率因数的提高</w:t>
            </w:r>
          </w:p>
        </w:tc>
      </w:tr>
    </w:tbl>
    <w:p w14:paraId="412E51D4">
      <w:pPr>
        <w:pStyle w:val="2"/>
        <w:spacing w:line="14" w:lineRule="auto"/>
        <w:rPr>
          <w:sz w:val="2"/>
        </w:rPr>
      </w:pPr>
    </w:p>
    <w:p w14:paraId="277F9C07">
      <w:pPr>
        <w:pStyle w:val="2"/>
        <w:spacing w:line="14" w:lineRule="auto"/>
        <w:rPr>
          <w:sz w:val="2"/>
        </w:rPr>
      </w:pPr>
      <w:r>
        <w:rPr>
          <w:sz w:val="2"/>
          <w:szCs w:val="2"/>
        </w:rPr>
        <w:br w:type="column"/>
      </w:r>
    </w:p>
    <w:p w14:paraId="6DF34FD0">
      <w:pPr>
        <w:spacing w:before="39" w:line="221" w:lineRule="auto"/>
        <w:ind w:left="1077"/>
        <w:rPr>
          <w:rFonts w:ascii="黑体" w:hAnsi="黑体" w:eastAsia="黑体" w:cs="黑体"/>
          <w:sz w:val="20"/>
          <w:szCs w:val="20"/>
        </w:rPr>
      </w:pPr>
      <w:r>
        <w:rPr>
          <w:rFonts w:ascii="黑体" w:hAnsi="黑体" w:eastAsia="黑体" w:cs="黑体"/>
          <w:b/>
          <w:bCs/>
          <w:spacing w:val="-5"/>
          <w:sz w:val="20"/>
          <w:szCs w:val="20"/>
        </w:rPr>
        <w:t>四、三相正弦交流电路</w:t>
      </w:r>
    </w:p>
    <w:p w14:paraId="5D9EF11F">
      <w:pPr>
        <w:spacing w:line="181" w:lineRule="exact"/>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44"/>
        <w:gridCol w:w="2644"/>
        <w:gridCol w:w="229"/>
        <w:gridCol w:w="229"/>
        <w:gridCol w:w="239"/>
        <w:gridCol w:w="234"/>
      </w:tblGrid>
      <w:tr w14:paraId="131C7C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4" w:hRule="atLeast"/>
        </w:trPr>
        <w:tc>
          <w:tcPr>
            <w:tcW w:w="544" w:type="dxa"/>
            <w:vMerge w:val="restart"/>
            <w:tcBorders>
              <w:bottom w:val="nil"/>
            </w:tcBorders>
            <w:vAlign w:val="top"/>
          </w:tcPr>
          <w:p w14:paraId="3356067F">
            <w:pPr>
              <w:pStyle w:val="6"/>
              <w:spacing w:before="92" w:line="226" w:lineRule="auto"/>
              <w:ind w:left="7" w:right="26" w:firstLine="89"/>
              <w:jc w:val="right"/>
            </w:pPr>
            <w:r>
              <w:rPr>
                <w:b/>
                <w:bCs/>
                <w:spacing w:val="-7"/>
              </w:rPr>
              <w:t>知识</w:t>
            </w:r>
            <w:r>
              <w:t xml:space="preserve">  </w:t>
            </w:r>
            <w:r>
              <w:rPr>
                <w:b/>
                <w:bCs/>
                <w:spacing w:val="-6"/>
              </w:rPr>
              <w:t>与技能</w:t>
            </w:r>
            <w:r>
              <w:rPr>
                <w:spacing w:val="1"/>
              </w:rPr>
              <w:t xml:space="preserve"> </w:t>
            </w:r>
            <w:r>
              <w:rPr>
                <w:b/>
                <w:bCs/>
                <w:spacing w:val="-4"/>
              </w:rPr>
              <w:t>要点</w:t>
            </w:r>
          </w:p>
        </w:tc>
        <w:tc>
          <w:tcPr>
            <w:tcW w:w="2644" w:type="dxa"/>
            <w:vMerge w:val="restart"/>
            <w:tcBorders>
              <w:bottom w:val="nil"/>
            </w:tcBorders>
            <w:vAlign w:val="top"/>
          </w:tcPr>
          <w:p w14:paraId="119C4092">
            <w:pPr>
              <w:spacing w:line="252" w:lineRule="auto"/>
              <w:rPr>
                <w:rFonts w:ascii="Arial"/>
                <w:sz w:val="21"/>
              </w:rPr>
            </w:pPr>
          </w:p>
          <w:p w14:paraId="7898502D">
            <w:pPr>
              <w:pStyle w:val="6"/>
              <w:spacing w:before="56" w:line="219" w:lineRule="auto"/>
              <w:ind w:left="1013"/>
            </w:pPr>
            <w:r>
              <w:rPr>
                <w:b/>
                <w:bCs/>
                <w:spacing w:val="5"/>
              </w:rPr>
              <w:t>考试条目</w:t>
            </w:r>
          </w:p>
        </w:tc>
        <w:tc>
          <w:tcPr>
            <w:tcW w:w="931" w:type="dxa"/>
            <w:gridSpan w:val="4"/>
            <w:vAlign w:val="top"/>
          </w:tcPr>
          <w:p w14:paraId="23CE7777">
            <w:pPr>
              <w:pStyle w:val="6"/>
              <w:spacing w:before="109" w:line="219" w:lineRule="auto"/>
              <w:ind w:left="139"/>
            </w:pPr>
            <w:r>
              <w:rPr>
                <w:b/>
                <w:bCs/>
                <w:spacing w:val="-4"/>
              </w:rPr>
              <w:t>考试水平</w:t>
            </w:r>
          </w:p>
        </w:tc>
      </w:tr>
      <w:tr w14:paraId="7A1E32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9" w:hRule="atLeast"/>
        </w:trPr>
        <w:tc>
          <w:tcPr>
            <w:tcW w:w="544" w:type="dxa"/>
            <w:vMerge w:val="continue"/>
            <w:tcBorders>
              <w:top w:val="nil"/>
            </w:tcBorders>
            <w:vAlign w:val="top"/>
          </w:tcPr>
          <w:p w14:paraId="455F821F">
            <w:pPr>
              <w:rPr>
                <w:rFonts w:ascii="Arial"/>
                <w:sz w:val="21"/>
              </w:rPr>
            </w:pPr>
          </w:p>
        </w:tc>
        <w:tc>
          <w:tcPr>
            <w:tcW w:w="2644" w:type="dxa"/>
            <w:vMerge w:val="continue"/>
            <w:tcBorders>
              <w:top w:val="nil"/>
            </w:tcBorders>
            <w:vAlign w:val="top"/>
          </w:tcPr>
          <w:p w14:paraId="247E5395">
            <w:pPr>
              <w:rPr>
                <w:rFonts w:ascii="Arial"/>
                <w:sz w:val="21"/>
              </w:rPr>
            </w:pPr>
          </w:p>
        </w:tc>
        <w:tc>
          <w:tcPr>
            <w:tcW w:w="229" w:type="dxa"/>
            <w:vAlign w:val="top"/>
          </w:tcPr>
          <w:p w14:paraId="22AFC6A6">
            <w:pPr>
              <w:pStyle w:val="6"/>
              <w:spacing w:before="150" w:line="184" w:lineRule="auto"/>
              <w:ind w:left="36"/>
            </w:pPr>
            <w:r>
              <w:t>A</w:t>
            </w:r>
          </w:p>
        </w:tc>
        <w:tc>
          <w:tcPr>
            <w:tcW w:w="229" w:type="dxa"/>
            <w:vAlign w:val="top"/>
          </w:tcPr>
          <w:p w14:paraId="59D2C29C">
            <w:pPr>
              <w:pStyle w:val="6"/>
              <w:spacing w:before="152" w:line="182" w:lineRule="auto"/>
              <w:ind w:left="57"/>
            </w:pPr>
            <w:r>
              <w:t>B</w:t>
            </w:r>
          </w:p>
        </w:tc>
        <w:tc>
          <w:tcPr>
            <w:tcW w:w="239" w:type="dxa"/>
            <w:vAlign w:val="top"/>
          </w:tcPr>
          <w:p w14:paraId="5E7B4128">
            <w:pPr>
              <w:pStyle w:val="6"/>
              <w:spacing w:before="151" w:line="183" w:lineRule="auto"/>
              <w:jc w:val="right"/>
            </w:pPr>
            <w:r>
              <w:rPr>
                <w:spacing w:val="-6"/>
              </w:rPr>
              <w:t>C</w:t>
            </w:r>
          </w:p>
        </w:tc>
        <w:tc>
          <w:tcPr>
            <w:tcW w:w="234" w:type="dxa"/>
            <w:vAlign w:val="top"/>
          </w:tcPr>
          <w:p w14:paraId="65C6F94F">
            <w:pPr>
              <w:pStyle w:val="6"/>
              <w:spacing w:before="152" w:line="182" w:lineRule="auto"/>
              <w:ind w:left="40"/>
            </w:pPr>
            <w:r>
              <w:t>D</w:t>
            </w:r>
          </w:p>
        </w:tc>
      </w:tr>
      <w:tr w14:paraId="4587F1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98" w:hRule="atLeast"/>
        </w:trPr>
        <w:tc>
          <w:tcPr>
            <w:tcW w:w="544" w:type="dxa"/>
            <w:vAlign w:val="top"/>
          </w:tcPr>
          <w:p w14:paraId="49E3857F">
            <w:pPr>
              <w:pStyle w:val="6"/>
              <w:spacing w:before="99" w:line="236" w:lineRule="auto"/>
              <w:ind w:left="94" w:right="85"/>
              <w:jc w:val="both"/>
            </w:pPr>
            <w:r>
              <w:rPr>
                <w:spacing w:val="6"/>
              </w:rPr>
              <w:t>三相</w:t>
            </w:r>
            <w:r>
              <w:t xml:space="preserve"> </w:t>
            </w:r>
            <w:r>
              <w:rPr>
                <w:spacing w:val="-6"/>
              </w:rPr>
              <w:t>交流</w:t>
            </w:r>
            <w:r>
              <w:t xml:space="preserve"> </w:t>
            </w:r>
            <w:r>
              <w:rPr>
                <w:spacing w:val="21"/>
                <w:w w:val="119"/>
              </w:rPr>
              <w:t>电</w:t>
            </w:r>
          </w:p>
        </w:tc>
        <w:tc>
          <w:tcPr>
            <w:tcW w:w="2644" w:type="dxa"/>
            <w:vAlign w:val="top"/>
          </w:tcPr>
          <w:p w14:paraId="3A292F4F">
            <w:pPr>
              <w:pStyle w:val="6"/>
              <w:spacing w:before="218" w:line="231" w:lineRule="auto"/>
              <w:ind w:left="81" w:right="845"/>
            </w:pPr>
            <w:r>
              <w:t>1.三相电源的基本概念</w:t>
            </w:r>
            <w:r>
              <w:rPr>
                <w:spacing w:val="6"/>
              </w:rPr>
              <w:t xml:space="preserve"> </w:t>
            </w:r>
            <w:r>
              <w:rPr>
                <w:spacing w:val="-1"/>
              </w:rPr>
              <w:t>2.三相电源的星形联接</w:t>
            </w:r>
          </w:p>
        </w:tc>
        <w:tc>
          <w:tcPr>
            <w:tcW w:w="229" w:type="dxa"/>
            <w:vAlign w:val="top"/>
          </w:tcPr>
          <w:p w14:paraId="69AB2AAF">
            <w:pPr>
              <w:pStyle w:val="6"/>
              <w:spacing w:before="216" w:line="238" w:lineRule="auto"/>
              <w:ind w:left="16"/>
            </w:pPr>
            <w:r>
              <w:t>√</w:t>
            </w:r>
          </w:p>
        </w:tc>
        <w:tc>
          <w:tcPr>
            <w:tcW w:w="229" w:type="dxa"/>
            <w:vAlign w:val="top"/>
          </w:tcPr>
          <w:p w14:paraId="237E920F">
            <w:pPr>
              <w:rPr>
                <w:rFonts w:ascii="Arial"/>
                <w:sz w:val="21"/>
              </w:rPr>
            </w:pPr>
          </w:p>
        </w:tc>
        <w:tc>
          <w:tcPr>
            <w:tcW w:w="239" w:type="dxa"/>
            <w:vAlign w:val="top"/>
          </w:tcPr>
          <w:p w14:paraId="142879F9">
            <w:pPr>
              <w:spacing w:line="368" w:lineRule="auto"/>
              <w:rPr>
                <w:rFonts w:ascii="Arial"/>
                <w:sz w:val="21"/>
              </w:rPr>
            </w:pPr>
          </w:p>
          <w:p w14:paraId="5D7A6081">
            <w:pPr>
              <w:pStyle w:val="6"/>
              <w:spacing w:before="55" w:line="238" w:lineRule="auto"/>
              <w:ind w:left="28"/>
            </w:pPr>
            <w:r>
              <w:t>√</w:t>
            </w:r>
          </w:p>
        </w:tc>
        <w:tc>
          <w:tcPr>
            <w:tcW w:w="234" w:type="dxa"/>
            <w:vAlign w:val="top"/>
          </w:tcPr>
          <w:p w14:paraId="5715B2C2">
            <w:pPr>
              <w:rPr>
                <w:rFonts w:ascii="Arial"/>
                <w:sz w:val="21"/>
              </w:rPr>
            </w:pPr>
          </w:p>
        </w:tc>
      </w:tr>
      <w:tr w14:paraId="73B710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28" w:hRule="atLeast"/>
        </w:trPr>
        <w:tc>
          <w:tcPr>
            <w:tcW w:w="544" w:type="dxa"/>
            <w:vAlign w:val="top"/>
          </w:tcPr>
          <w:p w14:paraId="10260288">
            <w:pPr>
              <w:pStyle w:val="6"/>
              <w:spacing w:before="171" w:line="232" w:lineRule="auto"/>
              <w:ind w:left="94" w:right="85"/>
              <w:jc w:val="both"/>
            </w:pPr>
            <w:r>
              <w:rPr>
                <w:spacing w:val="-4"/>
              </w:rPr>
              <w:t>连接</w:t>
            </w:r>
            <w:r>
              <w:t xml:space="preserve"> </w:t>
            </w:r>
            <w:r>
              <w:rPr>
                <w:spacing w:val="6"/>
              </w:rPr>
              <w:t>三相</w:t>
            </w:r>
            <w:r>
              <w:t xml:space="preserve"> </w:t>
            </w:r>
            <w:r>
              <w:rPr>
                <w:spacing w:val="3"/>
              </w:rPr>
              <w:t>负载</w:t>
            </w:r>
          </w:p>
        </w:tc>
        <w:tc>
          <w:tcPr>
            <w:tcW w:w="2644" w:type="dxa"/>
            <w:vAlign w:val="top"/>
          </w:tcPr>
          <w:p w14:paraId="380BC029">
            <w:pPr>
              <w:pStyle w:val="6"/>
              <w:spacing w:before="170" w:line="238" w:lineRule="auto"/>
              <w:ind w:left="81" w:right="1016"/>
            </w:pPr>
            <w:r>
              <w:t>1.三相负载星形联接</w:t>
            </w:r>
            <w:r>
              <w:rPr>
                <w:spacing w:val="5"/>
              </w:rPr>
              <w:t xml:space="preserve"> </w:t>
            </w:r>
            <w:r>
              <w:rPr>
                <w:spacing w:val="2"/>
              </w:rPr>
              <w:t>2.中性线的作用</w:t>
            </w:r>
          </w:p>
          <w:p w14:paraId="5B330C95">
            <w:pPr>
              <w:pStyle w:val="6"/>
              <w:spacing w:before="1" w:line="219" w:lineRule="auto"/>
              <w:ind w:left="81"/>
            </w:pPr>
            <w:r>
              <w:rPr>
                <w:spacing w:val="-1"/>
              </w:rPr>
              <w:t>3.对称负载的三角形联接</w:t>
            </w:r>
          </w:p>
        </w:tc>
        <w:tc>
          <w:tcPr>
            <w:tcW w:w="229" w:type="dxa"/>
            <w:vAlign w:val="top"/>
          </w:tcPr>
          <w:p w14:paraId="2EF2DF17">
            <w:pPr>
              <w:rPr>
                <w:rFonts w:ascii="Arial"/>
                <w:sz w:val="21"/>
              </w:rPr>
            </w:pPr>
          </w:p>
        </w:tc>
        <w:tc>
          <w:tcPr>
            <w:tcW w:w="229" w:type="dxa"/>
            <w:vAlign w:val="top"/>
          </w:tcPr>
          <w:p w14:paraId="089FC21F">
            <w:pPr>
              <w:spacing w:line="419" w:lineRule="auto"/>
              <w:rPr>
                <w:rFonts w:ascii="Arial"/>
                <w:sz w:val="21"/>
              </w:rPr>
            </w:pPr>
          </w:p>
          <w:p w14:paraId="6B4714DC">
            <w:pPr>
              <w:spacing w:line="313" w:lineRule="exact"/>
              <w:ind w:firstLine="45"/>
            </w:pPr>
            <w:r>
              <w:rPr>
                <w:position w:val="-6"/>
              </w:rPr>
              <w:drawing>
                <wp:inline distT="0" distB="0" distL="0" distR="0">
                  <wp:extent cx="85725" cy="198755"/>
                  <wp:effectExtent l="0" t="0" r="0" b="0"/>
                  <wp:docPr id="122" name="IM 122"/>
                  <wp:cNvGraphicFramePr/>
                  <a:graphic xmlns:a="http://schemas.openxmlformats.org/drawingml/2006/main">
                    <a:graphicData uri="http://schemas.openxmlformats.org/drawingml/2006/picture">
                      <pic:pic xmlns:pic="http://schemas.openxmlformats.org/drawingml/2006/picture">
                        <pic:nvPicPr>
                          <pic:cNvPr id="122" name="IM 122"/>
                          <pic:cNvPicPr/>
                        </pic:nvPicPr>
                        <pic:blipFill>
                          <a:blip r:embed="rId226"/>
                          <a:stretch>
                            <a:fillRect/>
                          </a:stretch>
                        </pic:blipFill>
                        <pic:spPr>
                          <a:xfrm>
                            <a:off x="0" y="0"/>
                            <a:ext cx="85922" cy="199115"/>
                          </a:xfrm>
                          <a:prstGeom prst="rect">
                            <a:avLst/>
                          </a:prstGeom>
                        </pic:spPr>
                      </pic:pic>
                    </a:graphicData>
                  </a:graphic>
                </wp:inline>
              </w:drawing>
            </w:r>
          </w:p>
        </w:tc>
        <w:tc>
          <w:tcPr>
            <w:tcW w:w="239" w:type="dxa"/>
            <w:vAlign w:val="top"/>
          </w:tcPr>
          <w:p w14:paraId="2E6E1D13">
            <w:pPr>
              <w:rPr>
                <w:rFonts w:ascii="Arial"/>
                <w:sz w:val="21"/>
              </w:rPr>
            </w:pPr>
          </w:p>
        </w:tc>
        <w:tc>
          <w:tcPr>
            <w:tcW w:w="234" w:type="dxa"/>
            <w:vAlign w:val="top"/>
          </w:tcPr>
          <w:p w14:paraId="303E10AA">
            <w:pPr>
              <w:spacing w:before="177" w:line="131" w:lineRule="exact"/>
              <w:ind w:firstLine="57"/>
            </w:pPr>
            <w:r>
              <w:rPr>
                <w:position w:val="-2"/>
              </w:rPr>
              <w:drawing>
                <wp:inline distT="0" distB="0" distL="0" distR="0">
                  <wp:extent cx="85725" cy="82550"/>
                  <wp:effectExtent l="0" t="0" r="0" b="0"/>
                  <wp:docPr id="124" name="IM 124"/>
                  <wp:cNvGraphicFramePr/>
                  <a:graphic xmlns:a="http://schemas.openxmlformats.org/drawingml/2006/main">
                    <a:graphicData uri="http://schemas.openxmlformats.org/drawingml/2006/picture">
                      <pic:pic xmlns:pic="http://schemas.openxmlformats.org/drawingml/2006/picture">
                        <pic:nvPicPr>
                          <pic:cNvPr id="124" name="IM 124"/>
                          <pic:cNvPicPr/>
                        </pic:nvPicPr>
                        <pic:blipFill>
                          <a:blip r:embed="rId227"/>
                          <a:stretch>
                            <a:fillRect/>
                          </a:stretch>
                        </pic:blipFill>
                        <pic:spPr>
                          <a:xfrm>
                            <a:off x="0" y="0"/>
                            <a:ext cx="85922" cy="82984"/>
                          </a:xfrm>
                          <a:prstGeom prst="rect">
                            <a:avLst/>
                          </a:prstGeom>
                        </pic:spPr>
                      </pic:pic>
                    </a:graphicData>
                  </a:graphic>
                </wp:inline>
              </w:drawing>
            </w:r>
          </w:p>
        </w:tc>
      </w:tr>
      <w:tr w14:paraId="693447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56" w:hRule="atLeast"/>
        </w:trPr>
        <w:tc>
          <w:tcPr>
            <w:tcW w:w="544" w:type="dxa"/>
            <w:vAlign w:val="top"/>
          </w:tcPr>
          <w:p w14:paraId="78B707D3">
            <w:pPr>
              <w:pStyle w:val="6"/>
              <w:spacing w:before="100" w:line="236" w:lineRule="auto"/>
              <w:ind w:left="94" w:right="85"/>
              <w:jc w:val="both"/>
            </w:pPr>
            <w:r>
              <w:rPr>
                <w:spacing w:val="-4"/>
              </w:rPr>
              <w:t>计算</w:t>
            </w:r>
            <w:r>
              <w:t xml:space="preserve"> </w:t>
            </w:r>
            <w:r>
              <w:rPr>
                <w:spacing w:val="6"/>
              </w:rPr>
              <w:t>三相</w:t>
            </w:r>
            <w:r>
              <w:t xml:space="preserve"> </w:t>
            </w:r>
            <w:r>
              <w:rPr>
                <w:spacing w:val="-6"/>
              </w:rPr>
              <w:t>交流</w:t>
            </w:r>
            <w:r>
              <w:t xml:space="preserve"> </w:t>
            </w:r>
            <w:r>
              <w:rPr>
                <w:spacing w:val="3"/>
              </w:rPr>
              <w:t>电路</w:t>
            </w:r>
            <w:r>
              <w:t xml:space="preserve"> </w:t>
            </w:r>
            <w:r>
              <w:rPr>
                <w:spacing w:val="5"/>
              </w:rPr>
              <w:t>的功</w:t>
            </w:r>
            <w:r>
              <w:t xml:space="preserve"> </w:t>
            </w:r>
            <w:r>
              <w:rPr>
                <w:spacing w:val="29"/>
                <w:w w:val="125"/>
              </w:rPr>
              <w:t>率</w:t>
            </w:r>
          </w:p>
        </w:tc>
        <w:tc>
          <w:tcPr>
            <w:tcW w:w="2644" w:type="dxa"/>
            <w:vAlign w:val="top"/>
          </w:tcPr>
          <w:p w14:paraId="7C33416B">
            <w:pPr>
              <w:spacing w:line="242" w:lineRule="auto"/>
              <w:rPr>
                <w:rFonts w:ascii="Arial"/>
                <w:sz w:val="21"/>
              </w:rPr>
            </w:pPr>
          </w:p>
          <w:p w14:paraId="01EF5AEE">
            <w:pPr>
              <w:spacing w:line="242" w:lineRule="auto"/>
              <w:rPr>
                <w:rFonts w:ascii="Arial"/>
                <w:sz w:val="21"/>
              </w:rPr>
            </w:pPr>
          </w:p>
          <w:p w14:paraId="7FA6D347">
            <w:pPr>
              <w:pStyle w:val="6"/>
              <w:spacing w:before="56" w:line="219" w:lineRule="auto"/>
              <w:ind w:left="81"/>
            </w:pPr>
            <w:r>
              <w:t>1.三相交流电路的功率</w:t>
            </w:r>
          </w:p>
          <w:p w14:paraId="6ACEF593">
            <w:pPr>
              <w:pStyle w:val="6"/>
              <w:spacing w:before="28" w:line="219" w:lineRule="auto"/>
              <w:ind w:left="81"/>
            </w:pPr>
            <w:r>
              <w:rPr>
                <w:spacing w:val="-1"/>
              </w:rPr>
              <w:t>2.三相交流电路功率的计算</w:t>
            </w:r>
          </w:p>
        </w:tc>
        <w:tc>
          <w:tcPr>
            <w:tcW w:w="229" w:type="dxa"/>
            <w:vAlign w:val="top"/>
          </w:tcPr>
          <w:p w14:paraId="74E62ADB">
            <w:pPr>
              <w:rPr>
                <w:rFonts w:ascii="Arial"/>
                <w:sz w:val="21"/>
              </w:rPr>
            </w:pPr>
          </w:p>
        </w:tc>
        <w:tc>
          <w:tcPr>
            <w:tcW w:w="229" w:type="dxa"/>
            <w:vAlign w:val="top"/>
          </w:tcPr>
          <w:p w14:paraId="484DB804">
            <w:pPr>
              <w:rPr>
                <w:rFonts w:ascii="Arial"/>
                <w:sz w:val="21"/>
              </w:rPr>
            </w:pPr>
          </w:p>
        </w:tc>
        <w:tc>
          <w:tcPr>
            <w:tcW w:w="239" w:type="dxa"/>
            <w:vAlign w:val="top"/>
          </w:tcPr>
          <w:p w14:paraId="5ABDA862">
            <w:pPr>
              <w:rPr>
                <w:rFonts w:ascii="Arial"/>
                <w:sz w:val="21"/>
              </w:rPr>
            </w:pPr>
          </w:p>
        </w:tc>
        <w:tc>
          <w:tcPr>
            <w:tcW w:w="234" w:type="dxa"/>
            <w:vAlign w:val="top"/>
          </w:tcPr>
          <w:p w14:paraId="19C01ACD">
            <w:pPr>
              <w:rPr>
                <w:rFonts w:ascii="Arial"/>
                <w:sz w:val="21"/>
              </w:rPr>
            </w:pPr>
          </w:p>
        </w:tc>
      </w:tr>
      <w:tr w14:paraId="1A2FC6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4" w:hRule="atLeast"/>
        </w:trPr>
        <w:tc>
          <w:tcPr>
            <w:tcW w:w="4119" w:type="dxa"/>
            <w:gridSpan w:val="6"/>
            <w:vAlign w:val="top"/>
          </w:tcPr>
          <w:p w14:paraId="11051F75">
            <w:pPr>
              <w:pStyle w:val="6"/>
              <w:spacing w:before="107" w:line="219" w:lineRule="auto"/>
              <w:ind w:left="724"/>
            </w:pPr>
            <w:r>
              <w:rPr>
                <w:spacing w:val="-1"/>
              </w:rPr>
              <w:t>实验：日光灯电路功率因数的提高</w:t>
            </w:r>
          </w:p>
        </w:tc>
      </w:tr>
    </w:tbl>
    <w:p w14:paraId="18C9EA56">
      <w:pPr>
        <w:spacing w:before="109" w:line="222" w:lineRule="auto"/>
        <w:ind w:left="1567"/>
        <w:rPr>
          <w:rFonts w:ascii="黑体" w:hAnsi="黑体" w:eastAsia="黑体" w:cs="黑体"/>
          <w:sz w:val="20"/>
          <w:szCs w:val="20"/>
        </w:rPr>
      </w:pPr>
      <w:r>
        <w:rPr>
          <w:rFonts w:ascii="黑体" w:hAnsi="黑体" w:eastAsia="黑体" w:cs="黑体"/>
          <w:b/>
          <w:bCs/>
          <w:spacing w:val="-6"/>
          <w:sz w:val="20"/>
          <w:szCs w:val="20"/>
        </w:rPr>
        <w:t>五、变压器</w:t>
      </w:r>
    </w:p>
    <w:p w14:paraId="2A96B8F6">
      <w:pPr>
        <w:spacing w:line="170" w:lineRule="exact"/>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44"/>
        <w:gridCol w:w="2644"/>
        <w:gridCol w:w="229"/>
        <w:gridCol w:w="229"/>
        <w:gridCol w:w="239"/>
        <w:gridCol w:w="234"/>
      </w:tblGrid>
      <w:tr w14:paraId="0C0F49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4" w:hRule="atLeast"/>
        </w:trPr>
        <w:tc>
          <w:tcPr>
            <w:tcW w:w="544" w:type="dxa"/>
            <w:vMerge w:val="restart"/>
            <w:tcBorders>
              <w:bottom w:val="nil"/>
            </w:tcBorders>
            <w:vAlign w:val="top"/>
          </w:tcPr>
          <w:p w14:paraId="177D4F38">
            <w:pPr>
              <w:pStyle w:val="6"/>
              <w:spacing w:before="82" w:line="221" w:lineRule="auto"/>
              <w:ind w:left="17" w:firstLine="68"/>
              <w:rPr>
                <w:sz w:val="18"/>
                <w:szCs w:val="18"/>
              </w:rPr>
            </w:pPr>
            <w:r>
              <w:rPr>
                <w:b/>
                <w:bCs/>
                <w:spacing w:val="-12"/>
                <w:sz w:val="18"/>
                <w:szCs w:val="18"/>
              </w:rPr>
              <w:t>知识</w:t>
            </w:r>
            <w:r>
              <w:rPr>
                <w:sz w:val="18"/>
                <w:szCs w:val="18"/>
              </w:rPr>
              <w:t xml:space="preserve">  </w:t>
            </w:r>
            <w:r>
              <w:rPr>
                <w:b/>
                <w:bCs/>
                <w:spacing w:val="-10"/>
                <w:sz w:val="18"/>
                <w:szCs w:val="18"/>
              </w:rPr>
              <w:t>与技能</w:t>
            </w:r>
            <w:r>
              <w:rPr>
                <w:sz w:val="18"/>
                <w:szCs w:val="18"/>
              </w:rPr>
              <w:t xml:space="preserve"> </w:t>
            </w:r>
            <w:r>
              <w:rPr>
                <w:b/>
                <w:bCs/>
                <w:spacing w:val="24"/>
                <w:sz w:val="18"/>
                <w:szCs w:val="18"/>
              </w:rPr>
              <w:t>要点</w:t>
            </w:r>
          </w:p>
        </w:tc>
        <w:tc>
          <w:tcPr>
            <w:tcW w:w="2644" w:type="dxa"/>
            <w:vMerge w:val="restart"/>
            <w:tcBorders>
              <w:bottom w:val="nil"/>
            </w:tcBorders>
            <w:vAlign w:val="top"/>
          </w:tcPr>
          <w:p w14:paraId="71E66375">
            <w:pPr>
              <w:pStyle w:val="6"/>
              <w:spacing w:before="299" w:line="219" w:lineRule="auto"/>
              <w:ind w:left="1013"/>
              <w:rPr>
                <w:sz w:val="18"/>
                <w:szCs w:val="18"/>
              </w:rPr>
            </w:pPr>
            <w:r>
              <w:rPr>
                <w:b/>
                <w:bCs/>
                <w:spacing w:val="5"/>
                <w:sz w:val="18"/>
                <w:szCs w:val="18"/>
              </w:rPr>
              <w:t>考试条目</w:t>
            </w:r>
          </w:p>
        </w:tc>
        <w:tc>
          <w:tcPr>
            <w:tcW w:w="931" w:type="dxa"/>
            <w:gridSpan w:val="4"/>
            <w:vAlign w:val="top"/>
          </w:tcPr>
          <w:p w14:paraId="0D4D0B00">
            <w:pPr>
              <w:pStyle w:val="6"/>
              <w:spacing w:before="109" w:line="219" w:lineRule="auto"/>
              <w:ind w:left="139"/>
              <w:rPr>
                <w:sz w:val="18"/>
                <w:szCs w:val="18"/>
              </w:rPr>
            </w:pPr>
            <w:r>
              <w:rPr>
                <w:b/>
                <w:bCs/>
                <w:spacing w:val="-4"/>
                <w:sz w:val="18"/>
                <w:szCs w:val="18"/>
              </w:rPr>
              <w:t>考试水平</w:t>
            </w:r>
          </w:p>
        </w:tc>
      </w:tr>
      <w:tr w14:paraId="5ABE2A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9" w:hRule="atLeast"/>
        </w:trPr>
        <w:tc>
          <w:tcPr>
            <w:tcW w:w="544" w:type="dxa"/>
            <w:vMerge w:val="continue"/>
            <w:tcBorders>
              <w:top w:val="nil"/>
            </w:tcBorders>
            <w:vAlign w:val="top"/>
          </w:tcPr>
          <w:p w14:paraId="7244EBDC">
            <w:pPr>
              <w:rPr>
                <w:rFonts w:ascii="Arial"/>
                <w:sz w:val="21"/>
              </w:rPr>
            </w:pPr>
          </w:p>
        </w:tc>
        <w:tc>
          <w:tcPr>
            <w:tcW w:w="2644" w:type="dxa"/>
            <w:vMerge w:val="continue"/>
            <w:tcBorders>
              <w:top w:val="nil"/>
            </w:tcBorders>
            <w:vAlign w:val="top"/>
          </w:tcPr>
          <w:p w14:paraId="0879883B">
            <w:pPr>
              <w:rPr>
                <w:rFonts w:ascii="Arial"/>
                <w:sz w:val="21"/>
              </w:rPr>
            </w:pPr>
          </w:p>
        </w:tc>
        <w:tc>
          <w:tcPr>
            <w:tcW w:w="229" w:type="dxa"/>
            <w:vAlign w:val="top"/>
          </w:tcPr>
          <w:p w14:paraId="791F77D8">
            <w:pPr>
              <w:pStyle w:val="6"/>
              <w:spacing w:before="143" w:line="184" w:lineRule="auto"/>
              <w:ind w:left="36"/>
              <w:rPr>
                <w:sz w:val="18"/>
                <w:szCs w:val="18"/>
              </w:rPr>
            </w:pPr>
            <w:r>
              <w:rPr>
                <w:sz w:val="18"/>
                <w:szCs w:val="18"/>
              </w:rPr>
              <w:t>A</w:t>
            </w:r>
          </w:p>
        </w:tc>
        <w:tc>
          <w:tcPr>
            <w:tcW w:w="229" w:type="dxa"/>
            <w:vAlign w:val="top"/>
          </w:tcPr>
          <w:p w14:paraId="4362BB5A">
            <w:pPr>
              <w:pStyle w:val="6"/>
              <w:spacing w:before="145" w:line="182" w:lineRule="auto"/>
              <w:ind w:left="17"/>
              <w:rPr>
                <w:sz w:val="18"/>
                <w:szCs w:val="18"/>
              </w:rPr>
            </w:pPr>
            <w:r>
              <w:rPr>
                <w:sz w:val="18"/>
                <w:szCs w:val="18"/>
              </w:rPr>
              <w:t>B</w:t>
            </w:r>
          </w:p>
        </w:tc>
        <w:tc>
          <w:tcPr>
            <w:tcW w:w="239" w:type="dxa"/>
            <w:vAlign w:val="top"/>
          </w:tcPr>
          <w:p w14:paraId="455EEF38">
            <w:pPr>
              <w:pStyle w:val="6"/>
              <w:spacing w:before="144" w:line="183" w:lineRule="auto"/>
              <w:ind w:left="28"/>
              <w:rPr>
                <w:sz w:val="18"/>
                <w:szCs w:val="18"/>
              </w:rPr>
            </w:pPr>
            <w:r>
              <w:rPr>
                <w:sz w:val="18"/>
                <w:szCs w:val="18"/>
              </w:rPr>
              <w:t>C</w:t>
            </w:r>
          </w:p>
        </w:tc>
        <w:tc>
          <w:tcPr>
            <w:tcW w:w="234" w:type="dxa"/>
            <w:vAlign w:val="top"/>
          </w:tcPr>
          <w:p w14:paraId="0420E6BE">
            <w:pPr>
              <w:pStyle w:val="6"/>
              <w:spacing w:before="145" w:line="182" w:lineRule="auto"/>
              <w:ind w:left="19"/>
              <w:rPr>
                <w:sz w:val="18"/>
                <w:szCs w:val="18"/>
              </w:rPr>
            </w:pPr>
            <w:r>
              <w:rPr>
                <w:sz w:val="18"/>
                <w:szCs w:val="18"/>
              </w:rPr>
              <w:t>D</w:t>
            </w:r>
          </w:p>
        </w:tc>
      </w:tr>
      <w:tr w14:paraId="60EA7A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68" w:hRule="atLeast"/>
        </w:trPr>
        <w:tc>
          <w:tcPr>
            <w:tcW w:w="544" w:type="dxa"/>
            <w:vAlign w:val="top"/>
          </w:tcPr>
          <w:p w14:paraId="3BD3BCE3">
            <w:pPr>
              <w:pStyle w:val="6"/>
              <w:spacing w:before="144" w:line="230" w:lineRule="auto"/>
              <w:ind w:left="84" w:right="78"/>
              <w:jc w:val="both"/>
              <w:rPr>
                <w:sz w:val="18"/>
                <w:szCs w:val="18"/>
              </w:rPr>
            </w:pPr>
            <w:r>
              <w:rPr>
                <w:spacing w:val="3"/>
                <w:sz w:val="18"/>
                <w:szCs w:val="18"/>
              </w:rPr>
              <w:t>电磁</w:t>
            </w:r>
            <w:r>
              <w:rPr>
                <w:sz w:val="18"/>
                <w:szCs w:val="18"/>
              </w:rPr>
              <w:t xml:space="preserve"> </w:t>
            </w:r>
            <w:r>
              <w:rPr>
                <w:spacing w:val="-4"/>
                <w:sz w:val="18"/>
                <w:szCs w:val="18"/>
              </w:rPr>
              <w:t>相关</w:t>
            </w:r>
            <w:r>
              <w:rPr>
                <w:sz w:val="18"/>
                <w:szCs w:val="18"/>
              </w:rPr>
              <w:t xml:space="preserve"> </w:t>
            </w:r>
            <w:r>
              <w:rPr>
                <w:spacing w:val="5"/>
                <w:sz w:val="18"/>
                <w:szCs w:val="18"/>
              </w:rPr>
              <w:t>知识</w:t>
            </w:r>
          </w:p>
        </w:tc>
        <w:tc>
          <w:tcPr>
            <w:tcW w:w="2644" w:type="dxa"/>
            <w:vAlign w:val="top"/>
          </w:tcPr>
          <w:p w14:paraId="6E88EDEA">
            <w:pPr>
              <w:pStyle w:val="6"/>
              <w:spacing w:before="159" w:line="213" w:lineRule="auto"/>
              <w:ind w:left="70" w:right="755"/>
              <w:rPr>
                <w:sz w:val="18"/>
                <w:szCs w:val="18"/>
              </w:rPr>
            </w:pPr>
            <w:r>
              <w:rPr>
                <w:sz w:val="18"/>
                <w:szCs w:val="18"/>
              </w:rPr>
              <w:t>1.磁场及其基本物理量</w:t>
            </w:r>
            <w:r>
              <w:rPr>
                <w:spacing w:val="6"/>
                <w:sz w:val="18"/>
                <w:szCs w:val="18"/>
              </w:rPr>
              <w:t xml:space="preserve"> </w:t>
            </w:r>
            <w:r>
              <w:rPr>
                <w:spacing w:val="2"/>
                <w:sz w:val="18"/>
                <w:szCs w:val="18"/>
              </w:rPr>
              <w:t>2.磁场对电流的作用</w:t>
            </w:r>
          </w:p>
          <w:p w14:paraId="3CD86293">
            <w:pPr>
              <w:pStyle w:val="6"/>
              <w:spacing w:before="7" w:line="221" w:lineRule="auto"/>
              <w:ind w:left="70"/>
              <w:rPr>
                <w:sz w:val="18"/>
                <w:szCs w:val="18"/>
              </w:rPr>
            </w:pPr>
            <w:r>
              <w:rPr>
                <w:spacing w:val="-1"/>
                <w:sz w:val="18"/>
                <w:szCs w:val="18"/>
              </w:rPr>
              <w:t>3.电磁感应</w:t>
            </w:r>
          </w:p>
        </w:tc>
        <w:tc>
          <w:tcPr>
            <w:tcW w:w="229" w:type="dxa"/>
            <w:vAlign w:val="top"/>
          </w:tcPr>
          <w:p w14:paraId="1E35FB6B">
            <w:pPr>
              <w:rPr>
                <w:rFonts w:ascii="Arial"/>
                <w:sz w:val="21"/>
              </w:rPr>
            </w:pPr>
          </w:p>
        </w:tc>
        <w:tc>
          <w:tcPr>
            <w:tcW w:w="229" w:type="dxa"/>
            <w:vAlign w:val="top"/>
          </w:tcPr>
          <w:p w14:paraId="2D7085B8">
            <w:pPr>
              <w:rPr>
                <w:rFonts w:ascii="Arial"/>
                <w:sz w:val="21"/>
              </w:rPr>
            </w:pPr>
          </w:p>
        </w:tc>
        <w:tc>
          <w:tcPr>
            <w:tcW w:w="239" w:type="dxa"/>
            <w:vAlign w:val="top"/>
          </w:tcPr>
          <w:p w14:paraId="27A3E181">
            <w:pPr>
              <w:rPr>
                <w:rFonts w:ascii="Arial"/>
                <w:sz w:val="21"/>
              </w:rPr>
            </w:pPr>
          </w:p>
        </w:tc>
        <w:tc>
          <w:tcPr>
            <w:tcW w:w="234" w:type="dxa"/>
            <w:vAlign w:val="top"/>
          </w:tcPr>
          <w:p w14:paraId="763E59FC">
            <w:pPr>
              <w:rPr>
                <w:rFonts w:ascii="Arial"/>
                <w:sz w:val="21"/>
              </w:rPr>
            </w:pPr>
          </w:p>
        </w:tc>
      </w:tr>
      <w:tr w14:paraId="45FDBC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28" w:hRule="atLeast"/>
        </w:trPr>
        <w:tc>
          <w:tcPr>
            <w:tcW w:w="544" w:type="dxa"/>
            <w:vAlign w:val="top"/>
          </w:tcPr>
          <w:p w14:paraId="29A598D6">
            <w:pPr>
              <w:pStyle w:val="6"/>
              <w:spacing w:before="271" w:line="220" w:lineRule="auto"/>
              <w:ind w:left="84"/>
              <w:rPr>
                <w:sz w:val="18"/>
                <w:szCs w:val="18"/>
              </w:rPr>
            </w:pPr>
            <w:r>
              <w:rPr>
                <w:spacing w:val="7"/>
                <w:sz w:val="18"/>
                <w:szCs w:val="18"/>
              </w:rPr>
              <w:t>单相</w:t>
            </w:r>
          </w:p>
          <w:p w14:paraId="4915105B">
            <w:pPr>
              <w:pStyle w:val="6"/>
              <w:spacing w:before="16" w:line="209" w:lineRule="auto"/>
              <w:ind w:left="84"/>
              <w:rPr>
                <w:sz w:val="18"/>
                <w:szCs w:val="18"/>
              </w:rPr>
            </w:pPr>
            <w:r>
              <w:rPr>
                <w:spacing w:val="-2"/>
                <w:sz w:val="18"/>
                <w:szCs w:val="18"/>
              </w:rPr>
              <w:t>变压</w:t>
            </w:r>
          </w:p>
          <w:p w14:paraId="19E420C3">
            <w:pPr>
              <w:pStyle w:val="6"/>
              <w:spacing w:line="224" w:lineRule="auto"/>
              <w:ind w:left="174"/>
              <w:rPr>
                <w:sz w:val="18"/>
                <w:szCs w:val="18"/>
              </w:rPr>
            </w:pPr>
            <w:r>
              <w:rPr>
                <w:sz w:val="18"/>
                <w:szCs w:val="18"/>
              </w:rPr>
              <w:t>器</w:t>
            </w:r>
          </w:p>
        </w:tc>
        <w:tc>
          <w:tcPr>
            <w:tcW w:w="2644" w:type="dxa"/>
            <w:vAlign w:val="top"/>
          </w:tcPr>
          <w:p w14:paraId="3D0F5727">
            <w:pPr>
              <w:pStyle w:val="6"/>
              <w:spacing w:before="159" w:line="224" w:lineRule="auto"/>
              <w:ind w:left="70" w:right="931"/>
              <w:jc w:val="both"/>
              <w:rPr>
                <w:sz w:val="18"/>
                <w:szCs w:val="18"/>
              </w:rPr>
            </w:pPr>
            <w:r>
              <w:rPr>
                <w:spacing w:val="1"/>
                <w:sz w:val="18"/>
                <w:szCs w:val="18"/>
              </w:rPr>
              <w:t>1.变压器的基本结构</w:t>
            </w:r>
            <w:r>
              <w:rPr>
                <w:sz w:val="18"/>
                <w:szCs w:val="18"/>
              </w:rPr>
              <w:t xml:space="preserve"> </w:t>
            </w:r>
            <w:r>
              <w:rPr>
                <w:spacing w:val="-1"/>
                <w:sz w:val="18"/>
                <w:szCs w:val="18"/>
              </w:rPr>
              <w:t>2.变压器的工作原理</w:t>
            </w:r>
            <w:r>
              <w:rPr>
                <w:sz w:val="18"/>
                <w:szCs w:val="18"/>
              </w:rPr>
              <w:t xml:space="preserve"> </w:t>
            </w:r>
            <w:r>
              <w:rPr>
                <w:spacing w:val="-2"/>
                <w:sz w:val="18"/>
                <w:szCs w:val="18"/>
              </w:rPr>
              <w:t>3.变压器的外特性</w:t>
            </w:r>
          </w:p>
          <w:p w14:paraId="2744AC86">
            <w:pPr>
              <w:pStyle w:val="6"/>
              <w:spacing w:before="6" w:line="219" w:lineRule="auto"/>
              <w:ind w:left="70"/>
              <w:rPr>
                <w:sz w:val="18"/>
                <w:szCs w:val="18"/>
              </w:rPr>
            </w:pPr>
            <w:r>
              <w:rPr>
                <w:spacing w:val="-1"/>
                <w:sz w:val="18"/>
                <w:szCs w:val="18"/>
              </w:rPr>
              <w:t>4.变压器的损耗及效率</w:t>
            </w:r>
          </w:p>
        </w:tc>
        <w:tc>
          <w:tcPr>
            <w:tcW w:w="229" w:type="dxa"/>
            <w:vAlign w:val="top"/>
          </w:tcPr>
          <w:p w14:paraId="070F37A2">
            <w:pPr>
              <w:spacing w:before="169" w:line="116" w:lineRule="exact"/>
              <w:ind w:firstLine="51"/>
            </w:pPr>
            <w:r>
              <w:rPr>
                <w:position w:val="-2"/>
              </w:rPr>
              <w:drawing>
                <wp:inline distT="0" distB="0" distL="0" distR="0">
                  <wp:extent cx="81915" cy="73025"/>
                  <wp:effectExtent l="0" t="0" r="0" b="0"/>
                  <wp:docPr id="126" name="IM 126"/>
                  <wp:cNvGraphicFramePr/>
                  <a:graphic xmlns:a="http://schemas.openxmlformats.org/drawingml/2006/main">
                    <a:graphicData uri="http://schemas.openxmlformats.org/drawingml/2006/picture">
                      <pic:pic xmlns:pic="http://schemas.openxmlformats.org/drawingml/2006/picture">
                        <pic:nvPicPr>
                          <pic:cNvPr id="126" name="IM 126"/>
                          <pic:cNvPicPr/>
                        </pic:nvPicPr>
                        <pic:blipFill>
                          <a:blip r:embed="rId228"/>
                          <a:stretch>
                            <a:fillRect/>
                          </a:stretch>
                        </pic:blipFill>
                        <pic:spPr>
                          <a:xfrm>
                            <a:off x="0" y="0"/>
                            <a:ext cx="82549" cy="73657"/>
                          </a:xfrm>
                          <a:prstGeom prst="rect">
                            <a:avLst/>
                          </a:prstGeom>
                        </pic:spPr>
                      </pic:pic>
                    </a:graphicData>
                  </a:graphic>
                </wp:inline>
              </w:drawing>
            </w:r>
          </w:p>
        </w:tc>
        <w:tc>
          <w:tcPr>
            <w:tcW w:w="229" w:type="dxa"/>
            <w:vAlign w:val="top"/>
          </w:tcPr>
          <w:p w14:paraId="7EC380F6">
            <w:pPr>
              <w:spacing w:line="303" w:lineRule="auto"/>
              <w:rPr>
                <w:rFonts w:ascii="Arial"/>
                <w:sz w:val="21"/>
              </w:rPr>
            </w:pPr>
          </w:p>
          <w:p w14:paraId="3E449273">
            <w:pPr>
              <w:spacing w:line="303" w:lineRule="auto"/>
              <w:rPr>
                <w:rFonts w:ascii="Arial"/>
                <w:sz w:val="21"/>
              </w:rPr>
            </w:pPr>
          </w:p>
          <w:p w14:paraId="4A920AC6">
            <w:pPr>
              <w:spacing w:line="306" w:lineRule="exact"/>
              <w:ind w:firstLine="45"/>
            </w:pPr>
            <w:r>
              <w:rPr>
                <w:position w:val="-6"/>
              </w:rPr>
              <w:drawing>
                <wp:inline distT="0" distB="0" distL="0" distR="0">
                  <wp:extent cx="85725" cy="194310"/>
                  <wp:effectExtent l="0" t="0" r="0" b="0"/>
                  <wp:docPr id="128" name="IM 128"/>
                  <wp:cNvGraphicFramePr/>
                  <a:graphic xmlns:a="http://schemas.openxmlformats.org/drawingml/2006/main">
                    <a:graphicData uri="http://schemas.openxmlformats.org/drawingml/2006/picture">
                      <pic:pic xmlns:pic="http://schemas.openxmlformats.org/drawingml/2006/picture">
                        <pic:nvPicPr>
                          <pic:cNvPr id="128" name="IM 128"/>
                          <pic:cNvPicPr/>
                        </pic:nvPicPr>
                        <pic:blipFill>
                          <a:blip r:embed="rId229"/>
                          <a:stretch>
                            <a:fillRect/>
                          </a:stretch>
                        </pic:blipFill>
                        <pic:spPr>
                          <a:xfrm>
                            <a:off x="0" y="0"/>
                            <a:ext cx="85922" cy="194707"/>
                          </a:xfrm>
                          <a:prstGeom prst="rect">
                            <a:avLst/>
                          </a:prstGeom>
                        </pic:spPr>
                      </pic:pic>
                    </a:graphicData>
                  </a:graphic>
                </wp:inline>
              </w:drawing>
            </w:r>
          </w:p>
        </w:tc>
        <w:tc>
          <w:tcPr>
            <w:tcW w:w="239" w:type="dxa"/>
            <w:vAlign w:val="top"/>
          </w:tcPr>
          <w:p w14:paraId="5B020E0C">
            <w:pPr>
              <w:rPr>
                <w:rFonts w:ascii="Arial"/>
                <w:sz w:val="21"/>
              </w:rPr>
            </w:pPr>
          </w:p>
        </w:tc>
        <w:tc>
          <w:tcPr>
            <w:tcW w:w="234" w:type="dxa"/>
            <w:vAlign w:val="top"/>
          </w:tcPr>
          <w:p w14:paraId="63EE9F8A">
            <w:pPr>
              <w:rPr>
                <w:rFonts w:ascii="Arial"/>
                <w:sz w:val="21"/>
              </w:rPr>
            </w:pPr>
          </w:p>
        </w:tc>
      </w:tr>
      <w:tr w14:paraId="5D8579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67" w:hRule="atLeast"/>
        </w:trPr>
        <w:tc>
          <w:tcPr>
            <w:tcW w:w="544" w:type="dxa"/>
            <w:vAlign w:val="top"/>
          </w:tcPr>
          <w:p w14:paraId="44351499">
            <w:pPr>
              <w:pStyle w:val="6"/>
              <w:spacing w:before="105" w:line="221" w:lineRule="auto"/>
              <w:ind w:left="84"/>
              <w:rPr>
                <w:sz w:val="18"/>
                <w:szCs w:val="18"/>
              </w:rPr>
            </w:pPr>
            <w:r>
              <w:rPr>
                <w:spacing w:val="7"/>
                <w:sz w:val="18"/>
                <w:szCs w:val="18"/>
              </w:rPr>
              <w:t>三相</w:t>
            </w:r>
          </w:p>
          <w:p w14:paraId="54C75A08">
            <w:pPr>
              <w:pStyle w:val="6"/>
              <w:spacing w:before="13" w:line="217" w:lineRule="auto"/>
              <w:ind w:left="84"/>
              <w:rPr>
                <w:sz w:val="18"/>
                <w:szCs w:val="18"/>
              </w:rPr>
            </w:pPr>
            <w:r>
              <w:rPr>
                <w:spacing w:val="-2"/>
                <w:sz w:val="18"/>
                <w:szCs w:val="18"/>
              </w:rPr>
              <w:t>变压</w:t>
            </w:r>
          </w:p>
          <w:p w14:paraId="40F7FB0D">
            <w:pPr>
              <w:pStyle w:val="6"/>
              <w:spacing w:line="222" w:lineRule="auto"/>
              <w:ind w:left="84"/>
              <w:rPr>
                <w:sz w:val="18"/>
                <w:szCs w:val="18"/>
              </w:rPr>
            </w:pPr>
            <w:r>
              <w:rPr>
                <w:spacing w:val="7"/>
                <w:sz w:val="18"/>
                <w:szCs w:val="18"/>
              </w:rPr>
              <w:t>器和</w:t>
            </w:r>
          </w:p>
          <w:p w14:paraId="69E17B0F">
            <w:pPr>
              <w:pStyle w:val="6"/>
              <w:spacing w:before="10" w:line="219" w:lineRule="auto"/>
              <w:ind w:left="84"/>
              <w:rPr>
                <w:sz w:val="18"/>
                <w:szCs w:val="18"/>
              </w:rPr>
            </w:pPr>
            <w:r>
              <w:rPr>
                <w:spacing w:val="-2"/>
                <w:sz w:val="18"/>
                <w:szCs w:val="18"/>
              </w:rPr>
              <w:t>特殊</w:t>
            </w:r>
          </w:p>
          <w:p w14:paraId="36686637">
            <w:pPr>
              <w:pStyle w:val="6"/>
              <w:spacing w:before="17" w:line="209" w:lineRule="auto"/>
              <w:ind w:left="84"/>
              <w:rPr>
                <w:sz w:val="18"/>
                <w:szCs w:val="18"/>
              </w:rPr>
            </w:pPr>
            <w:r>
              <w:rPr>
                <w:spacing w:val="-2"/>
                <w:sz w:val="18"/>
                <w:szCs w:val="18"/>
              </w:rPr>
              <w:t>变压</w:t>
            </w:r>
          </w:p>
          <w:p w14:paraId="18A0C28E">
            <w:pPr>
              <w:pStyle w:val="6"/>
              <w:spacing w:line="224" w:lineRule="auto"/>
              <w:ind w:left="174"/>
              <w:rPr>
                <w:sz w:val="18"/>
                <w:szCs w:val="18"/>
              </w:rPr>
            </w:pPr>
            <w:r>
              <w:rPr>
                <w:sz w:val="18"/>
                <w:szCs w:val="18"/>
              </w:rPr>
              <w:t>器</w:t>
            </w:r>
          </w:p>
        </w:tc>
        <w:tc>
          <w:tcPr>
            <w:tcW w:w="2644" w:type="dxa"/>
            <w:vAlign w:val="top"/>
          </w:tcPr>
          <w:p w14:paraId="376219E0">
            <w:pPr>
              <w:spacing w:line="273" w:lineRule="auto"/>
              <w:rPr>
                <w:rFonts w:ascii="Arial"/>
                <w:sz w:val="21"/>
              </w:rPr>
            </w:pPr>
          </w:p>
          <w:p w14:paraId="266787A9">
            <w:pPr>
              <w:pStyle w:val="6"/>
              <w:spacing w:before="58" w:line="216" w:lineRule="auto"/>
              <w:ind w:left="70"/>
              <w:rPr>
                <w:sz w:val="18"/>
                <w:szCs w:val="18"/>
              </w:rPr>
            </w:pPr>
            <w:r>
              <w:rPr>
                <w:spacing w:val="-2"/>
                <w:sz w:val="18"/>
                <w:szCs w:val="18"/>
              </w:rPr>
              <w:t>1.</w:t>
            </w:r>
            <w:r>
              <w:rPr>
                <w:spacing w:val="-42"/>
                <w:sz w:val="18"/>
                <w:szCs w:val="18"/>
              </w:rPr>
              <w:t xml:space="preserve"> </w:t>
            </w:r>
            <w:r>
              <w:rPr>
                <w:spacing w:val="-2"/>
                <w:sz w:val="18"/>
                <w:szCs w:val="18"/>
              </w:rPr>
              <w:t>自耦变压器工作原理及使用</w:t>
            </w:r>
          </w:p>
          <w:p w14:paraId="724BC559">
            <w:pPr>
              <w:pStyle w:val="6"/>
              <w:spacing w:line="220" w:lineRule="auto"/>
              <w:ind w:left="70"/>
              <w:rPr>
                <w:sz w:val="18"/>
                <w:szCs w:val="18"/>
              </w:rPr>
            </w:pPr>
            <w:r>
              <w:rPr>
                <w:spacing w:val="-2"/>
                <w:sz w:val="18"/>
                <w:szCs w:val="18"/>
              </w:rPr>
              <w:t>注意事项</w:t>
            </w:r>
          </w:p>
          <w:p w14:paraId="1D5D7B17">
            <w:pPr>
              <w:pStyle w:val="6"/>
              <w:spacing w:before="28" w:line="214" w:lineRule="auto"/>
              <w:ind w:left="70" w:right="1492"/>
              <w:rPr>
                <w:sz w:val="18"/>
                <w:szCs w:val="18"/>
              </w:rPr>
            </w:pPr>
            <w:r>
              <w:rPr>
                <w:spacing w:val="-2"/>
                <w:sz w:val="18"/>
                <w:szCs w:val="18"/>
              </w:rPr>
              <w:t>2.电流互感器</w:t>
            </w:r>
            <w:r>
              <w:rPr>
                <w:spacing w:val="3"/>
                <w:sz w:val="18"/>
                <w:szCs w:val="18"/>
              </w:rPr>
              <w:t xml:space="preserve"> </w:t>
            </w:r>
            <w:r>
              <w:rPr>
                <w:spacing w:val="-2"/>
                <w:sz w:val="18"/>
                <w:szCs w:val="18"/>
              </w:rPr>
              <w:t>3.电压互感器</w:t>
            </w:r>
          </w:p>
        </w:tc>
        <w:tc>
          <w:tcPr>
            <w:tcW w:w="229" w:type="dxa"/>
            <w:vAlign w:val="top"/>
          </w:tcPr>
          <w:p w14:paraId="5209ED9B">
            <w:pPr>
              <w:pStyle w:val="6"/>
              <w:spacing w:before="281" w:line="238" w:lineRule="auto"/>
              <w:ind w:left="16"/>
              <w:rPr>
                <w:sz w:val="18"/>
                <w:szCs w:val="18"/>
              </w:rPr>
            </w:pPr>
            <w:r>
              <w:rPr>
                <w:sz w:val="18"/>
                <w:szCs w:val="18"/>
              </w:rPr>
              <w:t>√</w:t>
            </w:r>
          </w:p>
        </w:tc>
        <w:tc>
          <w:tcPr>
            <w:tcW w:w="229" w:type="dxa"/>
            <w:vAlign w:val="top"/>
          </w:tcPr>
          <w:p w14:paraId="7DD430CB">
            <w:pPr>
              <w:spacing w:line="247" w:lineRule="auto"/>
              <w:rPr>
                <w:rFonts w:ascii="Arial"/>
                <w:sz w:val="21"/>
              </w:rPr>
            </w:pPr>
          </w:p>
          <w:p w14:paraId="32909AEC">
            <w:pPr>
              <w:spacing w:line="248" w:lineRule="auto"/>
              <w:rPr>
                <w:rFonts w:ascii="Arial"/>
                <w:sz w:val="21"/>
              </w:rPr>
            </w:pPr>
          </w:p>
          <w:p w14:paraId="3B8BA8FA">
            <w:pPr>
              <w:spacing w:line="248" w:lineRule="auto"/>
              <w:rPr>
                <w:rFonts w:ascii="Arial"/>
                <w:sz w:val="21"/>
              </w:rPr>
            </w:pPr>
          </w:p>
          <w:p w14:paraId="26A104A2">
            <w:pPr>
              <w:spacing w:line="301" w:lineRule="exact"/>
              <w:ind w:firstLine="51"/>
            </w:pPr>
            <w:r>
              <w:rPr>
                <w:position w:val="-6"/>
              </w:rPr>
              <w:drawing>
                <wp:inline distT="0" distB="0" distL="0" distR="0">
                  <wp:extent cx="83185" cy="191135"/>
                  <wp:effectExtent l="0" t="0" r="0" b="0"/>
                  <wp:docPr id="130" name="IM 130"/>
                  <wp:cNvGraphicFramePr/>
                  <a:graphic xmlns:a="http://schemas.openxmlformats.org/drawingml/2006/main">
                    <a:graphicData uri="http://schemas.openxmlformats.org/drawingml/2006/picture">
                      <pic:pic xmlns:pic="http://schemas.openxmlformats.org/drawingml/2006/picture">
                        <pic:nvPicPr>
                          <pic:cNvPr id="130" name="IM 130"/>
                          <pic:cNvPicPr/>
                        </pic:nvPicPr>
                        <pic:blipFill>
                          <a:blip r:embed="rId230"/>
                          <a:stretch>
                            <a:fillRect/>
                          </a:stretch>
                        </pic:blipFill>
                        <pic:spPr>
                          <a:xfrm>
                            <a:off x="0" y="0"/>
                            <a:ext cx="83335" cy="191515"/>
                          </a:xfrm>
                          <a:prstGeom prst="rect">
                            <a:avLst/>
                          </a:prstGeom>
                        </pic:spPr>
                      </pic:pic>
                    </a:graphicData>
                  </a:graphic>
                </wp:inline>
              </w:drawing>
            </w:r>
          </w:p>
        </w:tc>
        <w:tc>
          <w:tcPr>
            <w:tcW w:w="239" w:type="dxa"/>
            <w:vAlign w:val="top"/>
          </w:tcPr>
          <w:p w14:paraId="2728C64A">
            <w:pPr>
              <w:rPr>
                <w:rFonts w:ascii="Arial"/>
                <w:sz w:val="21"/>
              </w:rPr>
            </w:pPr>
          </w:p>
        </w:tc>
        <w:tc>
          <w:tcPr>
            <w:tcW w:w="234" w:type="dxa"/>
            <w:vAlign w:val="top"/>
          </w:tcPr>
          <w:p w14:paraId="1B9867A5">
            <w:pPr>
              <w:rPr>
                <w:rFonts w:ascii="Arial"/>
                <w:sz w:val="21"/>
              </w:rPr>
            </w:pPr>
          </w:p>
        </w:tc>
      </w:tr>
      <w:tr w14:paraId="67922F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4" w:hRule="atLeast"/>
        </w:trPr>
        <w:tc>
          <w:tcPr>
            <w:tcW w:w="4119" w:type="dxa"/>
            <w:gridSpan w:val="6"/>
            <w:vAlign w:val="top"/>
          </w:tcPr>
          <w:p w14:paraId="71216B9D">
            <w:pPr>
              <w:pStyle w:val="6"/>
              <w:spacing w:before="96" w:line="219" w:lineRule="auto"/>
              <w:ind w:left="1084"/>
              <w:rPr>
                <w:sz w:val="18"/>
                <w:szCs w:val="18"/>
              </w:rPr>
            </w:pPr>
            <w:r>
              <w:rPr>
                <w:spacing w:val="1"/>
                <w:sz w:val="18"/>
                <w:szCs w:val="18"/>
              </w:rPr>
              <w:t>实验：单相变压器的使用</w:t>
            </w:r>
          </w:p>
        </w:tc>
      </w:tr>
    </w:tbl>
    <w:p w14:paraId="6C81A05C">
      <w:pPr>
        <w:spacing w:before="119" w:line="222" w:lineRule="auto"/>
        <w:ind w:left="1567"/>
        <w:rPr>
          <w:rFonts w:ascii="黑体" w:hAnsi="黑体" w:eastAsia="黑体" w:cs="黑体"/>
          <w:sz w:val="20"/>
          <w:szCs w:val="20"/>
        </w:rPr>
      </w:pPr>
      <w:r>
        <w:rPr>
          <w:rFonts w:ascii="黑体" w:hAnsi="黑体" w:eastAsia="黑体" w:cs="黑体"/>
          <w:b/>
          <w:bCs/>
          <w:spacing w:val="-7"/>
          <w:sz w:val="20"/>
          <w:szCs w:val="20"/>
        </w:rPr>
        <w:t>六、电动机</w:t>
      </w:r>
    </w:p>
    <w:p w14:paraId="5219FE12">
      <w:pPr>
        <w:spacing w:line="160" w:lineRule="exact"/>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44"/>
        <w:gridCol w:w="2644"/>
        <w:gridCol w:w="229"/>
        <w:gridCol w:w="229"/>
        <w:gridCol w:w="239"/>
        <w:gridCol w:w="234"/>
      </w:tblGrid>
      <w:tr w14:paraId="016DBD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3" w:hRule="atLeast"/>
        </w:trPr>
        <w:tc>
          <w:tcPr>
            <w:tcW w:w="544" w:type="dxa"/>
            <w:vMerge w:val="restart"/>
            <w:tcBorders>
              <w:bottom w:val="nil"/>
            </w:tcBorders>
            <w:vAlign w:val="top"/>
          </w:tcPr>
          <w:p w14:paraId="7C8653D5">
            <w:pPr>
              <w:pStyle w:val="6"/>
              <w:spacing w:before="81" w:line="218" w:lineRule="auto"/>
              <w:ind w:left="17" w:firstLine="68"/>
              <w:rPr>
                <w:sz w:val="18"/>
                <w:szCs w:val="18"/>
              </w:rPr>
            </w:pPr>
            <w:r>
              <w:rPr>
                <w:b/>
                <w:bCs/>
                <w:spacing w:val="-12"/>
                <w:sz w:val="18"/>
                <w:szCs w:val="18"/>
              </w:rPr>
              <w:t>知识</w:t>
            </w:r>
            <w:r>
              <w:rPr>
                <w:sz w:val="18"/>
                <w:szCs w:val="18"/>
              </w:rPr>
              <w:t xml:space="preserve">  </w:t>
            </w:r>
            <w:r>
              <w:rPr>
                <w:b/>
                <w:bCs/>
                <w:spacing w:val="-10"/>
                <w:sz w:val="18"/>
                <w:szCs w:val="18"/>
              </w:rPr>
              <w:t>与技能</w:t>
            </w:r>
            <w:r>
              <w:rPr>
                <w:sz w:val="18"/>
                <w:szCs w:val="18"/>
              </w:rPr>
              <w:t xml:space="preserve"> </w:t>
            </w:r>
            <w:r>
              <w:rPr>
                <w:b/>
                <w:bCs/>
                <w:spacing w:val="24"/>
                <w:sz w:val="18"/>
                <w:szCs w:val="18"/>
              </w:rPr>
              <w:t>要点</w:t>
            </w:r>
          </w:p>
        </w:tc>
        <w:tc>
          <w:tcPr>
            <w:tcW w:w="2644" w:type="dxa"/>
            <w:vMerge w:val="restart"/>
            <w:tcBorders>
              <w:bottom w:val="nil"/>
            </w:tcBorders>
            <w:vAlign w:val="top"/>
          </w:tcPr>
          <w:p w14:paraId="15AB885D">
            <w:pPr>
              <w:pStyle w:val="6"/>
              <w:spacing w:before="299" w:line="219" w:lineRule="auto"/>
              <w:ind w:left="1013"/>
              <w:rPr>
                <w:sz w:val="18"/>
                <w:szCs w:val="18"/>
              </w:rPr>
            </w:pPr>
            <w:r>
              <w:rPr>
                <w:b/>
                <w:bCs/>
                <w:spacing w:val="5"/>
                <w:sz w:val="18"/>
                <w:szCs w:val="18"/>
              </w:rPr>
              <w:t>考试条目</w:t>
            </w:r>
          </w:p>
        </w:tc>
        <w:tc>
          <w:tcPr>
            <w:tcW w:w="931" w:type="dxa"/>
            <w:gridSpan w:val="4"/>
            <w:vAlign w:val="top"/>
          </w:tcPr>
          <w:p w14:paraId="6A33FBBB">
            <w:pPr>
              <w:pStyle w:val="6"/>
              <w:spacing w:before="109" w:line="219" w:lineRule="auto"/>
              <w:ind w:left="139"/>
              <w:rPr>
                <w:sz w:val="18"/>
                <w:szCs w:val="18"/>
              </w:rPr>
            </w:pPr>
            <w:r>
              <w:rPr>
                <w:b/>
                <w:bCs/>
                <w:spacing w:val="-4"/>
                <w:sz w:val="18"/>
                <w:szCs w:val="18"/>
              </w:rPr>
              <w:t>考试水平</w:t>
            </w:r>
          </w:p>
        </w:tc>
      </w:tr>
      <w:tr w14:paraId="43DF97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8" w:hRule="atLeast"/>
        </w:trPr>
        <w:tc>
          <w:tcPr>
            <w:tcW w:w="544" w:type="dxa"/>
            <w:vMerge w:val="continue"/>
            <w:tcBorders>
              <w:top w:val="nil"/>
            </w:tcBorders>
            <w:vAlign w:val="top"/>
          </w:tcPr>
          <w:p w14:paraId="3A8344F9">
            <w:pPr>
              <w:rPr>
                <w:rFonts w:ascii="Arial"/>
                <w:sz w:val="21"/>
              </w:rPr>
            </w:pPr>
          </w:p>
        </w:tc>
        <w:tc>
          <w:tcPr>
            <w:tcW w:w="2644" w:type="dxa"/>
            <w:vMerge w:val="continue"/>
            <w:tcBorders>
              <w:top w:val="nil"/>
            </w:tcBorders>
            <w:vAlign w:val="top"/>
          </w:tcPr>
          <w:p w14:paraId="6AD72D01">
            <w:pPr>
              <w:rPr>
                <w:rFonts w:ascii="Arial"/>
                <w:sz w:val="21"/>
              </w:rPr>
            </w:pPr>
          </w:p>
        </w:tc>
        <w:tc>
          <w:tcPr>
            <w:tcW w:w="229" w:type="dxa"/>
            <w:vAlign w:val="top"/>
          </w:tcPr>
          <w:p w14:paraId="5778836F">
            <w:pPr>
              <w:pStyle w:val="6"/>
              <w:spacing w:before="144" w:line="184" w:lineRule="auto"/>
              <w:ind w:left="36"/>
              <w:rPr>
                <w:sz w:val="18"/>
                <w:szCs w:val="18"/>
              </w:rPr>
            </w:pPr>
            <w:r>
              <w:rPr>
                <w:sz w:val="18"/>
                <w:szCs w:val="18"/>
              </w:rPr>
              <w:t>A</w:t>
            </w:r>
          </w:p>
        </w:tc>
        <w:tc>
          <w:tcPr>
            <w:tcW w:w="229" w:type="dxa"/>
            <w:vAlign w:val="top"/>
          </w:tcPr>
          <w:p w14:paraId="56F431E9">
            <w:pPr>
              <w:pStyle w:val="6"/>
              <w:spacing w:before="146" w:line="182" w:lineRule="auto"/>
              <w:ind w:left="47"/>
              <w:rPr>
                <w:sz w:val="18"/>
                <w:szCs w:val="18"/>
              </w:rPr>
            </w:pPr>
            <w:r>
              <w:rPr>
                <w:sz w:val="18"/>
                <w:szCs w:val="18"/>
              </w:rPr>
              <w:t>B</w:t>
            </w:r>
          </w:p>
        </w:tc>
        <w:tc>
          <w:tcPr>
            <w:tcW w:w="239" w:type="dxa"/>
            <w:vAlign w:val="top"/>
          </w:tcPr>
          <w:p w14:paraId="53B52704">
            <w:pPr>
              <w:pStyle w:val="6"/>
              <w:spacing w:before="145" w:line="183" w:lineRule="auto"/>
              <w:ind w:left="28"/>
              <w:rPr>
                <w:sz w:val="18"/>
                <w:szCs w:val="18"/>
              </w:rPr>
            </w:pPr>
            <w:r>
              <w:rPr>
                <w:sz w:val="18"/>
                <w:szCs w:val="18"/>
              </w:rPr>
              <w:t>C</w:t>
            </w:r>
          </w:p>
        </w:tc>
        <w:tc>
          <w:tcPr>
            <w:tcW w:w="234" w:type="dxa"/>
            <w:vAlign w:val="top"/>
          </w:tcPr>
          <w:p w14:paraId="2ADEA189">
            <w:pPr>
              <w:pStyle w:val="6"/>
              <w:spacing w:before="146" w:line="182" w:lineRule="auto"/>
              <w:ind w:left="40"/>
              <w:rPr>
                <w:sz w:val="18"/>
                <w:szCs w:val="18"/>
              </w:rPr>
            </w:pPr>
            <w:r>
              <w:rPr>
                <w:sz w:val="18"/>
                <w:szCs w:val="18"/>
              </w:rPr>
              <w:t>D</w:t>
            </w:r>
          </w:p>
        </w:tc>
      </w:tr>
      <w:tr w14:paraId="787808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89" w:hRule="atLeast"/>
        </w:trPr>
        <w:tc>
          <w:tcPr>
            <w:tcW w:w="544" w:type="dxa"/>
            <w:vAlign w:val="top"/>
          </w:tcPr>
          <w:p w14:paraId="26BBB134">
            <w:pPr>
              <w:pStyle w:val="6"/>
              <w:spacing w:before="183" w:line="221" w:lineRule="auto"/>
              <w:ind w:left="84"/>
              <w:rPr>
                <w:sz w:val="18"/>
                <w:szCs w:val="18"/>
              </w:rPr>
            </w:pPr>
            <w:r>
              <w:rPr>
                <w:spacing w:val="7"/>
                <w:sz w:val="18"/>
                <w:szCs w:val="18"/>
              </w:rPr>
              <w:t>三相</w:t>
            </w:r>
          </w:p>
          <w:p w14:paraId="61EF7E93">
            <w:pPr>
              <w:pStyle w:val="6"/>
              <w:spacing w:before="12" w:line="219" w:lineRule="auto"/>
              <w:ind w:left="84"/>
              <w:rPr>
                <w:sz w:val="18"/>
                <w:szCs w:val="18"/>
              </w:rPr>
            </w:pPr>
            <w:r>
              <w:rPr>
                <w:spacing w:val="-3"/>
                <w:sz w:val="18"/>
                <w:szCs w:val="18"/>
              </w:rPr>
              <w:t>异步</w:t>
            </w:r>
          </w:p>
          <w:p w14:paraId="49F98110">
            <w:pPr>
              <w:pStyle w:val="6"/>
              <w:spacing w:before="16" w:line="204" w:lineRule="auto"/>
              <w:ind w:left="84"/>
              <w:rPr>
                <w:sz w:val="18"/>
                <w:szCs w:val="18"/>
              </w:rPr>
            </w:pPr>
            <w:r>
              <w:rPr>
                <w:spacing w:val="6"/>
                <w:sz w:val="18"/>
                <w:szCs w:val="18"/>
              </w:rPr>
              <w:t>电动</w:t>
            </w:r>
          </w:p>
          <w:p w14:paraId="7B8FB9ED">
            <w:pPr>
              <w:pStyle w:val="6"/>
              <w:spacing w:line="218" w:lineRule="auto"/>
              <w:ind w:left="174"/>
              <w:rPr>
                <w:sz w:val="18"/>
                <w:szCs w:val="18"/>
              </w:rPr>
            </w:pPr>
            <w:r>
              <w:rPr>
                <w:sz w:val="18"/>
                <w:szCs w:val="18"/>
              </w:rPr>
              <w:t>机</w:t>
            </w:r>
          </w:p>
        </w:tc>
        <w:tc>
          <w:tcPr>
            <w:tcW w:w="2644" w:type="dxa"/>
            <w:vAlign w:val="top"/>
          </w:tcPr>
          <w:p w14:paraId="43DE3BDB">
            <w:pPr>
              <w:pStyle w:val="6"/>
              <w:spacing w:before="200" w:line="223" w:lineRule="auto"/>
              <w:ind w:left="70" w:right="211"/>
              <w:rPr>
                <w:sz w:val="18"/>
                <w:szCs w:val="18"/>
              </w:rPr>
            </w:pPr>
            <w:r>
              <w:rPr>
                <w:sz w:val="18"/>
                <w:szCs w:val="18"/>
              </w:rPr>
              <w:t>1.三相异步电动机各部分结构</w:t>
            </w:r>
            <w:r>
              <w:rPr>
                <w:spacing w:val="10"/>
                <w:sz w:val="18"/>
                <w:szCs w:val="18"/>
              </w:rPr>
              <w:t xml:space="preserve"> </w:t>
            </w:r>
            <w:r>
              <w:rPr>
                <w:spacing w:val="5"/>
                <w:sz w:val="18"/>
                <w:szCs w:val="18"/>
              </w:rPr>
              <w:t>和特点</w:t>
            </w:r>
          </w:p>
          <w:p w14:paraId="3F1E5C4A">
            <w:pPr>
              <w:pStyle w:val="6"/>
              <w:spacing w:before="5" w:line="217" w:lineRule="auto"/>
              <w:ind w:left="70" w:right="232"/>
              <w:rPr>
                <w:sz w:val="18"/>
                <w:szCs w:val="18"/>
              </w:rPr>
            </w:pPr>
            <w:r>
              <w:rPr>
                <w:spacing w:val="-1"/>
                <w:sz w:val="18"/>
                <w:szCs w:val="18"/>
              </w:rPr>
              <w:t>2.三相异步电动机的工作原理</w:t>
            </w:r>
            <w:r>
              <w:rPr>
                <w:spacing w:val="3"/>
                <w:sz w:val="18"/>
                <w:szCs w:val="18"/>
              </w:rPr>
              <w:t xml:space="preserve"> </w:t>
            </w:r>
            <w:r>
              <w:rPr>
                <w:spacing w:val="-1"/>
                <w:sz w:val="18"/>
                <w:szCs w:val="18"/>
              </w:rPr>
              <w:t>3.三相异步电动机的运行特性</w:t>
            </w:r>
          </w:p>
        </w:tc>
        <w:tc>
          <w:tcPr>
            <w:tcW w:w="229" w:type="dxa"/>
            <w:vAlign w:val="top"/>
          </w:tcPr>
          <w:p w14:paraId="72612C7B">
            <w:pPr>
              <w:rPr>
                <w:rFonts w:ascii="Arial"/>
                <w:sz w:val="21"/>
              </w:rPr>
            </w:pPr>
          </w:p>
        </w:tc>
        <w:tc>
          <w:tcPr>
            <w:tcW w:w="229" w:type="dxa"/>
            <w:vAlign w:val="top"/>
          </w:tcPr>
          <w:p w14:paraId="6876F36D">
            <w:pPr>
              <w:rPr>
                <w:rFonts w:ascii="Arial"/>
                <w:sz w:val="21"/>
              </w:rPr>
            </w:pPr>
          </w:p>
        </w:tc>
        <w:tc>
          <w:tcPr>
            <w:tcW w:w="239" w:type="dxa"/>
            <w:vAlign w:val="top"/>
          </w:tcPr>
          <w:p w14:paraId="6AE262BB">
            <w:pPr>
              <w:rPr>
                <w:rFonts w:ascii="Arial"/>
                <w:sz w:val="21"/>
              </w:rPr>
            </w:pPr>
          </w:p>
        </w:tc>
        <w:tc>
          <w:tcPr>
            <w:tcW w:w="234" w:type="dxa"/>
            <w:vAlign w:val="top"/>
          </w:tcPr>
          <w:p w14:paraId="1B75FB45">
            <w:pPr>
              <w:rPr>
                <w:rFonts w:ascii="Arial"/>
                <w:sz w:val="21"/>
              </w:rPr>
            </w:pPr>
          </w:p>
        </w:tc>
      </w:tr>
    </w:tbl>
    <w:p w14:paraId="50E5423D">
      <w:pPr>
        <w:pStyle w:val="2"/>
        <w:spacing w:line="105" w:lineRule="auto"/>
        <w:rPr>
          <w:sz w:val="2"/>
        </w:rPr>
      </w:pPr>
    </w:p>
    <w:p w14:paraId="681FBF48">
      <w:pPr>
        <w:spacing w:line="105" w:lineRule="auto"/>
        <w:rPr>
          <w:sz w:val="2"/>
          <w:szCs w:val="2"/>
        </w:rPr>
        <w:sectPr>
          <w:type w:val="continuous"/>
          <w:pgSz w:w="10660" w:h="15080"/>
          <w:pgMar w:top="400" w:right="1034" w:bottom="917" w:left="819" w:header="0" w:footer="708" w:gutter="0"/>
          <w:cols w:equalWidth="0" w:num="2">
            <w:col w:w="4576" w:space="100"/>
            <w:col w:w="4130"/>
          </w:cols>
        </w:sectPr>
      </w:pPr>
    </w:p>
    <w:p w14:paraId="03E0E0BD">
      <w:pPr>
        <w:spacing w:before="10"/>
      </w:pPr>
    </w:p>
    <w:p w14:paraId="76E297D5">
      <w:pPr>
        <w:spacing w:before="10"/>
      </w:pPr>
    </w:p>
    <w:p w14:paraId="627BBA0D">
      <w:pPr>
        <w:spacing w:before="10"/>
      </w:pPr>
    </w:p>
    <w:p w14:paraId="3CF760F9">
      <w:pPr>
        <w:spacing w:before="9"/>
      </w:pPr>
    </w:p>
    <w:p w14:paraId="2ACDCC5A">
      <w:pPr>
        <w:sectPr>
          <w:footerReference r:id="rId25" w:type="default"/>
          <w:pgSz w:w="10660" w:h="15080"/>
          <w:pgMar w:top="400" w:right="885" w:bottom="925" w:left="1034" w:header="0" w:footer="705" w:gutter="0"/>
          <w:cols w:equalWidth="0" w:num="1">
            <w:col w:w="8740"/>
          </w:cols>
        </w:sectPr>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54"/>
        <w:gridCol w:w="2644"/>
        <w:gridCol w:w="229"/>
        <w:gridCol w:w="229"/>
        <w:gridCol w:w="229"/>
        <w:gridCol w:w="234"/>
      </w:tblGrid>
      <w:tr w14:paraId="2EEB50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4" w:hRule="atLeast"/>
        </w:trPr>
        <w:tc>
          <w:tcPr>
            <w:tcW w:w="554" w:type="dxa"/>
            <w:vMerge w:val="restart"/>
            <w:tcBorders>
              <w:bottom w:val="nil"/>
            </w:tcBorders>
            <w:vAlign w:val="top"/>
          </w:tcPr>
          <w:p w14:paraId="66475F5C">
            <w:pPr>
              <w:pStyle w:val="6"/>
              <w:spacing w:before="91" w:line="225" w:lineRule="auto"/>
              <w:ind w:left="17" w:firstLine="69"/>
              <w:rPr>
                <w:sz w:val="18"/>
                <w:szCs w:val="18"/>
              </w:rPr>
            </w:pPr>
            <w:r>
              <w:rPr>
                <w:b/>
                <w:bCs/>
                <w:spacing w:val="-9"/>
                <w:sz w:val="18"/>
                <w:szCs w:val="18"/>
              </w:rPr>
              <w:t>知识</w:t>
            </w:r>
            <w:r>
              <w:rPr>
                <w:sz w:val="18"/>
                <w:szCs w:val="18"/>
              </w:rPr>
              <w:t xml:space="preserve">  </w:t>
            </w:r>
            <w:r>
              <w:rPr>
                <w:b/>
                <w:bCs/>
                <w:spacing w:val="-7"/>
                <w:sz w:val="18"/>
                <w:szCs w:val="18"/>
              </w:rPr>
              <w:t>与技能</w:t>
            </w:r>
            <w:r>
              <w:rPr>
                <w:sz w:val="18"/>
                <w:szCs w:val="18"/>
              </w:rPr>
              <w:t xml:space="preserve"> </w:t>
            </w:r>
            <w:r>
              <w:rPr>
                <w:b/>
                <w:bCs/>
                <w:spacing w:val="28"/>
                <w:sz w:val="18"/>
                <w:szCs w:val="18"/>
              </w:rPr>
              <w:t>要点</w:t>
            </w:r>
          </w:p>
        </w:tc>
        <w:tc>
          <w:tcPr>
            <w:tcW w:w="2644" w:type="dxa"/>
            <w:vMerge w:val="restart"/>
            <w:tcBorders>
              <w:bottom w:val="nil"/>
            </w:tcBorders>
            <w:vAlign w:val="top"/>
          </w:tcPr>
          <w:p w14:paraId="528153D5">
            <w:pPr>
              <w:pStyle w:val="6"/>
              <w:spacing w:before="299" w:line="219" w:lineRule="auto"/>
              <w:ind w:left="1003"/>
              <w:rPr>
                <w:sz w:val="18"/>
                <w:szCs w:val="18"/>
              </w:rPr>
            </w:pPr>
            <w:r>
              <w:rPr>
                <w:b/>
                <w:bCs/>
                <w:spacing w:val="5"/>
                <w:sz w:val="18"/>
                <w:szCs w:val="18"/>
              </w:rPr>
              <w:t>考试条目</w:t>
            </w:r>
          </w:p>
        </w:tc>
        <w:tc>
          <w:tcPr>
            <w:tcW w:w="921" w:type="dxa"/>
            <w:gridSpan w:val="4"/>
            <w:vAlign w:val="top"/>
          </w:tcPr>
          <w:p w14:paraId="110DE454">
            <w:pPr>
              <w:pStyle w:val="6"/>
              <w:spacing w:before="109" w:line="219" w:lineRule="auto"/>
              <w:ind w:left="119"/>
              <w:rPr>
                <w:sz w:val="18"/>
                <w:szCs w:val="18"/>
              </w:rPr>
            </w:pPr>
            <w:r>
              <w:rPr>
                <w:b/>
                <w:bCs/>
                <w:spacing w:val="-4"/>
                <w:sz w:val="18"/>
                <w:szCs w:val="18"/>
              </w:rPr>
              <w:t>考试水平</w:t>
            </w:r>
          </w:p>
        </w:tc>
      </w:tr>
      <w:tr w14:paraId="70699C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9" w:hRule="atLeast"/>
        </w:trPr>
        <w:tc>
          <w:tcPr>
            <w:tcW w:w="554" w:type="dxa"/>
            <w:vMerge w:val="continue"/>
            <w:tcBorders>
              <w:top w:val="nil"/>
            </w:tcBorders>
            <w:vAlign w:val="top"/>
          </w:tcPr>
          <w:p w14:paraId="2C5777CD">
            <w:pPr>
              <w:rPr>
                <w:rFonts w:ascii="Arial"/>
                <w:sz w:val="21"/>
              </w:rPr>
            </w:pPr>
          </w:p>
        </w:tc>
        <w:tc>
          <w:tcPr>
            <w:tcW w:w="2644" w:type="dxa"/>
            <w:vMerge w:val="continue"/>
            <w:tcBorders>
              <w:top w:val="nil"/>
            </w:tcBorders>
            <w:vAlign w:val="top"/>
          </w:tcPr>
          <w:p w14:paraId="51217F58">
            <w:pPr>
              <w:rPr>
                <w:rFonts w:ascii="Arial"/>
                <w:sz w:val="21"/>
              </w:rPr>
            </w:pPr>
          </w:p>
        </w:tc>
        <w:tc>
          <w:tcPr>
            <w:tcW w:w="229" w:type="dxa"/>
            <w:vAlign w:val="top"/>
          </w:tcPr>
          <w:p w14:paraId="4961A7AF">
            <w:pPr>
              <w:pStyle w:val="6"/>
              <w:spacing w:before="143" w:line="184" w:lineRule="auto"/>
              <w:ind w:left="26"/>
              <w:rPr>
                <w:sz w:val="18"/>
                <w:szCs w:val="18"/>
              </w:rPr>
            </w:pPr>
            <w:r>
              <w:rPr>
                <w:sz w:val="18"/>
                <w:szCs w:val="18"/>
              </w:rPr>
              <w:t>A</w:t>
            </w:r>
          </w:p>
        </w:tc>
        <w:tc>
          <w:tcPr>
            <w:tcW w:w="229" w:type="dxa"/>
            <w:vAlign w:val="top"/>
          </w:tcPr>
          <w:p w14:paraId="3D098B63">
            <w:pPr>
              <w:pStyle w:val="6"/>
              <w:spacing w:before="145" w:line="182" w:lineRule="auto"/>
              <w:ind w:left="38"/>
              <w:rPr>
                <w:sz w:val="18"/>
                <w:szCs w:val="18"/>
              </w:rPr>
            </w:pPr>
            <w:r>
              <w:rPr>
                <w:sz w:val="18"/>
                <w:szCs w:val="18"/>
              </w:rPr>
              <w:t>B</w:t>
            </w:r>
          </w:p>
        </w:tc>
        <w:tc>
          <w:tcPr>
            <w:tcW w:w="229" w:type="dxa"/>
            <w:vAlign w:val="top"/>
          </w:tcPr>
          <w:p w14:paraId="70A7F5ED">
            <w:pPr>
              <w:pStyle w:val="6"/>
              <w:spacing w:before="144" w:line="183" w:lineRule="auto"/>
              <w:ind w:left="28"/>
              <w:rPr>
                <w:sz w:val="18"/>
                <w:szCs w:val="18"/>
              </w:rPr>
            </w:pPr>
            <w:r>
              <w:rPr>
                <w:sz w:val="18"/>
                <w:szCs w:val="18"/>
              </w:rPr>
              <w:t>C</w:t>
            </w:r>
          </w:p>
        </w:tc>
        <w:tc>
          <w:tcPr>
            <w:tcW w:w="234" w:type="dxa"/>
            <w:vAlign w:val="top"/>
          </w:tcPr>
          <w:p w14:paraId="55234C02">
            <w:pPr>
              <w:pStyle w:val="6"/>
              <w:spacing w:before="145" w:line="182" w:lineRule="auto"/>
              <w:ind w:left="19"/>
              <w:rPr>
                <w:sz w:val="18"/>
                <w:szCs w:val="18"/>
              </w:rPr>
            </w:pPr>
            <w:r>
              <w:rPr>
                <w:sz w:val="18"/>
                <w:szCs w:val="18"/>
              </w:rPr>
              <w:t>D</w:t>
            </w:r>
          </w:p>
        </w:tc>
      </w:tr>
      <w:tr w14:paraId="4A58BB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06" w:hRule="atLeast"/>
        </w:trPr>
        <w:tc>
          <w:tcPr>
            <w:tcW w:w="554" w:type="dxa"/>
            <w:vAlign w:val="top"/>
          </w:tcPr>
          <w:p w14:paraId="570A42F2">
            <w:pPr>
              <w:pStyle w:val="6"/>
              <w:spacing w:before="32" w:line="216" w:lineRule="auto"/>
              <w:ind w:left="84" w:right="83"/>
              <w:jc w:val="both"/>
              <w:rPr>
                <w:sz w:val="18"/>
                <w:szCs w:val="18"/>
              </w:rPr>
            </w:pPr>
            <w:r>
              <w:rPr>
                <w:spacing w:val="7"/>
                <w:sz w:val="18"/>
                <w:szCs w:val="18"/>
              </w:rPr>
              <w:t>三相</w:t>
            </w:r>
            <w:r>
              <w:rPr>
                <w:sz w:val="18"/>
                <w:szCs w:val="18"/>
              </w:rPr>
              <w:t xml:space="preserve"> </w:t>
            </w:r>
            <w:r>
              <w:rPr>
                <w:spacing w:val="-5"/>
                <w:sz w:val="18"/>
                <w:szCs w:val="18"/>
              </w:rPr>
              <w:t>异步</w:t>
            </w:r>
            <w:r>
              <w:rPr>
                <w:sz w:val="18"/>
                <w:szCs w:val="18"/>
              </w:rPr>
              <w:t xml:space="preserve"> </w:t>
            </w:r>
            <w:r>
              <w:rPr>
                <w:spacing w:val="6"/>
                <w:sz w:val="18"/>
                <w:szCs w:val="18"/>
              </w:rPr>
              <w:t>电动</w:t>
            </w:r>
            <w:r>
              <w:rPr>
                <w:sz w:val="18"/>
                <w:szCs w:val="18"/>
              </w:rPr>
              <w:t xml:space="preserve"> </w:t>
            </w:r>
            <w:r>
              <w:rPr>
                <w:spacing w:val="7"/>
                <w:sz w:val="18"/>
                <w:szCs w:val="18"/>
              </w:rPr>
              <w:t>机的</w:t>
            </w:r>
            <w:r>
              <w:rPr>
                <w:sz w:val="18"/>
                <w:szCs w:val="18"/>
              </w:rPr>
              <w:t xml:space="preserve"> </w:t>
            </w:r>
            <w:r>
              <w:rPr>
                <w:spacing w:val="7"/>
                <w:sz w:val="18"/>
                <w:szCs w:val="18"/>
              </w:rPr>
              <w:t>控制</w:t>
            </w:r>
            <w:r>
              <w:rPr>
                <w:sz w:val="18"/>
                <w:szCs w:val="18"/>
              </w:rPr>
              <w:t xml:space="preserve"> </w:t>
            </w:r>
            <w:r>
              <w:rPr>
                <w:spacing w:val="-2"/>
                <w:sz w:val="18"/>
                <w:szCs w:val="18"/>
              </w:rPr>
              <w:t>方法</w:t>
            </w:r>
          </w:p>
        </w:tc>
        <w:tc>
          <w:tcPr>
            <w:tcW w:w="2644" w:type="dxa"/>
            <w:vAlign w:val="top"/>
          </w:tcPr>
          <w:p w14:paraId="40261E30">
            <w:pPr>
              <w:spacing w:line="298" w:lineRule="auto"/>
              <w:rPr>
                <w:rFonts w:ascii="Arial"/>
                <w:sz w:val="21"/>
              </w:rPr>
            </w:pPr>
          </w:p>
          <w:p w14:paraId="4907CA75">
            <w:pPr>
              <w:pStyle w:val="6"/>
              <w:spacing w:before="59" w:line="228" w:lineRule="auto"/>
              <w:ind w:left="71" w:right="216"/>
              <w:jc w:val="both"/>
              <w:rPr>
                <w:sz w:val="18"/>
                <w:szCs w:val="18"/>
              </w:rPr>
            </w:pPr>
            <w:r>
              <w:rPr>
                <w:sz w:val="18"/>
                <w:szCs w:val="18"/>
              </w:rPr>
              <w:t>1.三相异步电动机的起动方法</w:t>
            </w:r>
            <w:r>
              <w:rPr>
                <w:spacing w:val="5"/>
                <w:sz w:val="18"/>
                <w:szCs w:val="18"/>
              </w:rPr>
              <w:t xml:space="preserve"> </w:t>
            </w:r>
            <w:r>
              <w:rPr>
                <w:spacing w:val="-1"/>
                <w:sz w:val="18"/>
                <w:szCs w:val="18"/>
              </w:rPr>
              <w:t>2.三相异步电动机的变极调速</w:t>
            </w:r>
            <w:r>
              <w:rPr>
                <w:spacing w:val="3"/>
                <w:sz w:val="18"/>
                <w:szCs w:val="18"/>
              </w:rPr>
              <w:t xml:space="preserve"> </w:t>
            </w:r>
            <w:r>
              <w:rPr>
                <w:spacing w:val="-2"/>
                <w:sz w:val="18"/>
                <w:szCs w:val="18"/>
              </w:rPr>
              <w:t>和变频调速</w:t>
            </w:r>
          </w:p>
        </w:tc>
        <w:tc>
          <w:tcPr>
            <w:tcW w:w="229" w:type="dxa"/>
            <w:vAlign w:val="top"/>
          </w:tcPr>
          <w:p w14:paraId="2E001F14">
            <w:pPr>
              <w:rPr>
                <w:rFonts w:ascii="Arial"/>
                <w:sz w:val="21"/>
              </w:rPr>
            </w:pPr>
          </w:p>
        </w:tc>
        <w:tc>
          <w:tcPr>
            <w:tcW w:w="229" w:type="dxa"/>
            <w:vAlign w:val="top"/>
          </w:tcPr>
          <w:p w14:paraId="06B3CA3D">
            <w:pPr>
              <w:rPr>
                <w:rFonts w:ascii="Arial"/>
                <w:sz w:val="21"/>
              </w:rPr>
            </w:pPr>
          </w:p>
        </w:tc>
        <w:tc>
          <w:tcPr>
            <w:tcW w:w="229" w:type="dxa"/>
            <w:vAlign w:val="top"/>
          </w:tcPr>
          <w:p w14:paraId="3232654E">
            <w:pPr>
              <w:rPr>
                <w:rFonts w:ascii="Arial"/>
                <w:sz w:val="21"/>
              </w:rPr>
            </w:pPr>
          </w:p>
        </w:tc>
        <w:tc>
          <w:tcPr>
            <w:tcW w:w="234" w:type="dxa"/>
            <w:vAlign w:val="top"/>
          </w:tcPr>
          <w:p w14:paraId="3EC7A401">
            <w:pPr>
              <w:rPr>
                <w:rFonts w:ascii="Arial"/>
                <w:sz w:val="21"/>
              </w:rPr>
            </w:pPr>
          </w:p>
        </w:tc>
      </w:tr>
      <w:tr w14:paraId="2330B2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28" w:hRule="atLeast"/>
        </w:trPr>
        <w:tc>
          <w:tcPr>
            <w:tcW w:w="554" w:type="dxa"/>
            <w:vAlign w:val="top"/>
          </w:tcPr>
          <w:p w14:paraId="3F3E99F8">
            <w:pPr>
              <w:pStyle w:val="6"/>
              <w:spacing w:before="64" w:line="204" w:lineRule="auto"/>
              <w:ind w:left="84"/>
              <w:rPr>
                <w:sz w:val="18"/>
                <w:szCs w:val="18"/>
              </w:rPr>
            </w:pPr>
            <w:r>
              <w:rPr>
                <w:spacing w:val="7"/>
                <w:sz w:val="18"/>
                <w:szCs w:val="18"/>
              </w:rPr>
              <w:t>单相</w:t>
            </w:r>
          </w:p>
          <w:p w14:paraId="5FD879F7">
            <w:pPr>
              <w:pStyle w:val="6"/>
              <w:spacing w:line="219" w:lineRule="auto"/>
              <w:ind w:left="84"/>
              <w:rPr>
                <w:sz w:val="18"/>
                <w:szCs w:val="18"/>
              </w:rPr>
            </w:pPr>
            <w:r>
              <w:rPr>
                <w:spacing w:val="-3"/>
                <w:sz w:val="18"/>
                <w:szCs w:val="18"/>
              </w:rPr>
              <w:t>异步</w:t>
            </w:r>
          </w:p>
          <w:p w14:paraId="2ADFDE18">
            <w:pPr>
              <w:pStyle w:val="6"/>
              <w:spacing w:before="26" w:line="214" w:lineRule="auto"/>
              <w:ind w:left="84"/>
              <w:rPr>
                <w:sz w:val="18"/>
                <w:szCs w:val="18"/>
              </w:rPr>
            </w:pPr>
            <w:r>
              <w:rPr>
                <w:spacing w:val="6"/>
                <w:sz w:val="18"/>
                <w:szCs w:val="18"/>
              </w:rPr>
              <w:t>电动</w:t>
            </w:r>
          </w:p>
          <w:p w14:paraId="51D92572">
            <w:pPr>
              <w:pStyle w:val="6"/>
              <w:spacing w:line="210" w:lineRule="auto"/>
              <w:ind w:left="175"/>
              <w:rPr>
                <w:sz w:val="18"/>
                <w:szCs w:val="18"/>
              </w:rPr>
            </w:pPr>
            <w:r>
              <w:rPr>
                <w:sz w:val="18"/>
                <w:szCs w:val="18"/>
              </w:rPr>
              <w:t>机</w:t>
            </w:r>
          </w:p>
        </w:tc>
        <w:tc>
          <w:tcPr>
            <w:tcW w:w="2644" w:type="dxa"/>
            <w:vAlign w:val="top"/>
          </w:tcPr>
          <w:p w14:paraId="16D54E10">
            <w:pPr>
              <w:pStyle w:val="6"/>
              <w:spacing w:before="282" w:line="219" w:lineRule="auto"/>
              <w:ind w:left="71"/>
              <w:rPr>
                <w:sz w:val="18"/>
                <w:szCs w:val="18"/>
              </w:rPr>
            </w:pPr>
            <w:r>
              <w:rPr>
                <w:spacing w:val="1"/>
                <w:sz w:val="18"/>
                <w:szCs w:val="18"/>
              </w:rPr>
              <w:t>1.单相异步电动机的启动</w:t>
            </w:r>
          </w:p>
          <w:p w14:paraId="19C88798">
            <w:pPr>
              <w:pStyle w:val="6"/>
              <w:spacing w:before="6" w:line="219" w:lineRule="auto"/>
              <w:ind w:left="81"/>
              <w:rPr>
                <w:sz w:val="18"/>
                <w:szCs w:val="18"/>
              </w:rPr>
            </w:pPr>
            <w:r>
              <w:rPr>
                <w:spacing w:val="-1"/>
                <w:sz w:val="18"/>
                <w:szCs w:val="18"/>
              </w:rPr>
              <w:t>2.单相异步电动机的反转与调速</w:t>
            </w:r>
          </w:p>
        </w:tc>
        <w:tc>
          <w:tcPr>
            <w:tcW w:w="229" w:type="dxa"/>
            <w:vAlign w:val="top"/>
          </w:tcPr>
          <w:p w14:paraId="1453C7DD">
            <w:pPr>
              <w:rPr>
                <w:rFonts w:ascii="Arial"/>
                <w:sz w:val="21"/>
              </w:rPr>
            </w:pPr>
          </w:p>
        </w:tc>
        <w:tc>
          <w:tcPr>
            <w:tcW w:w="229" w:type="dxa"/>
            <w:vAlign w:val="top"/>
          </w:tcPr>
          <w:p w14:paraId="38E24BA3">
            <w:pPr>
              <w:rPr>
                <w:rFonts w:ascii="Arial"/>
                <w:sz w:val="21"/>
              </w:rPr>
            </w:pPr>
          </w:p>
        </w:tc>
        <w:tc>
          <w:tcPr>
            <w:tcW w:w="229" w:type="dxa"/>
            <w:vAlign w:val="top"/>
          </w:tcPr>
          <w:p w14:paraId="4DD7977B">
            <w:pPr>
              <w:rPr>
                <w:rFonts w:ascii="Arial"/>
                <w:sz w:val="21"/>
              </w:rPr>
            </w:pPr>
          </w:p>
        </w:tc>
        <w:tc>
          <w:tcPr>
            <w:tcW w:w="234" w:type="dxa"/>
            <w:vAlign w:val="top"/>
          </w:tcPr>
          <w:p w14:paraId="4A21CCFC">
            <w:pPr>
              <w:rPr>
                <w:rFonts w:ascii="Arial"/>
                <w:sz w:val="21"/>
              </w:rPr>
            </w:pPr>
          </w:p>
        </w:tc>
      </w:tr>
      <w:tr w14:paraId="40C8C6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72" w:hRule="atLeast"/>
        </w:trPr>
        <w:tc>
          <w:tcPr>
            <w:tcW w:w="554" w:type="dxa"/>
            <w:vAlign w:val="top"/>
          </w:tcPr>
          <w:p w14:paraId="10F77CA8">
            <w:pPr>
              <w:pStyle w:val="6"/>
              <w:spacing w:before="148" w:line="223" w:lineRule="auto"/>
              <w:ind w:left="84"/>
              <w:rPr>
                <w:sz w:val="18"/>
                <w:szCs w:val="18"/>
              </w:rPr>
            </w:pPr>
            <w:r>
              <w:rPr>
                <w:spacing w:val="-3"/>
                <w:sz w:val="18"/>
                <w:szCs w:val="18"/>
              </w:rPr>
              <w:t>直流</w:t>
            </w:r>
          </w:p>
          <w:p w14:paraId="488D6EC5">
            <w:pPr>
              <w:pStyle w:val="6"/>
              <w:spacing w:line="203" w:lineRule="auto"/>
              <w:ind w:left="84"/>
              <w:rPr>
                <w:sz w:val="18"/>
                <w:szCs w:val="18"/>
              </w:rPr>
            </w:pPr>
            <w:r>
              <w:rPr>
                <w:spacing w:val="6"/>
                <w:sz w:val="18"/>
                <w:szCs w:val="18"/>
              </w:rPr>
              <w:t>电动</w:t>
            </w:r>
          </w:p>
          <w:p w14:paraId="62EEABC3">
            <w:pPr>
              <w:pStyle w:val="6"/>
              <w:spacing w:line="218" w:lineRule="auto"/>
              <w:ind w:left="175"/>
              <w:rPr>
                <w:sz w:val="18"/>
                <w:szCs w:val="18"/>
              </w:rPr>
            </w:pPr>
            <w:r>
              <w:rPr>
                <w:sz w:val="18"/>
                <w:szCs w:val="18"/>
              </w:rPr>
              <w:t>机</w:t>
            </w:r>
          </w:p>
        </w:tc>
        <w:tc>
          <w:tcPr>
            <w:tcW w:w="2644" w:type="dxa"/>
            <w:vAlign w:val="top"/>
          </w:tcPr>
          <w:p w14:paraId="156DBD9F">
            <w:pPr>
              <w:pStyle w:val="6"/>
              <w:spacing w:before="155" w:line="218" w:lineRule="auto"/>
              <w:ind w:left="71" w:right="208"/>
              <w:rPr>
                <w:sz w:val="18"/>
                <w:szCs w:val="18"/>
              </w:rPr>
            </w:pPr>
            <w:r>
              <w:rPr>
                <w:spacing w:val="1"/>
                <w:sz w:val="18"/>
                <w:szCs w:val="18"/>
              </w:rPr>
              <w:t>1.直流电动机的用途、分类和</w:t>
            </w:r>
            <w:r>
              <w:rPr>
                <w:sz w:val="18"/>
                <w:szCs w:val="18"/>
              </w:rPr>
              <w:t xml:space="preserve"> </w:t>
            </w:r>
            <w:r>
              <w:rPr>
                <w:spacing w:val="5"/>
                <w:sz w:val="18"/>
                <w:szCs w:val="18"/>
              </w:rPr>
              <w:t>结构</w:t>
            </w:r>
          </w:p>
          <w:p w14:paraId="54D7A15C">
            <w:pPr>
              <w:pStyle w:val="6"/>
              <w:spacing w:before="13" w:line="219" w:lineRule="auto"/>
              <w:ind w:left="71"/>
              <w:rPr>
                <w:sz w:val="18"/>
                <w:szCs w:val="18"/>
              </w:rPr>
            </w:pPr>
            <w:r>
              <w:rPr>
                <w:spacing w:val="1"/>
                <w:sz w:val="18"/>
                <w:szCs w:val="18"/>
              </w:rPr>
              <w:t>2.直流电动机工作特性及应用</w:t>
            </w:r>
          </w:p>
        </w:tc>
        <w:tc>
          <w:tcPr>
            <w:tcW w:w="229" w:type="dxa"/>
            <w:vAlign w:val="top"/>
          </w:tcPr>
          <w:p w14:paraId="22C8AEFB">
            <w:pPr>
              <w:rPr>
                <w:rFonts w:ascii="Arial"/>
                <w:sz w:val="21"/>
              </w:rPr>
            </w:pPr>
          </w:p>
        </w:tc>
        <w:tc>
          <w:tcPr>
            <w:tcW w:w="229" w:type="dxa"/>
            <w:vAlign w:val="top"/>
          </w:tcPr>
          <w:p w14:paraId="5DDD103F">
            <w:pPr>
              <w:rPr>
                <w:rFonts w:ascii="Arial"/>
                <w:sz w:val="21"/>
              </w:rPr>
            </w:pPr>
          </w:p>
        </w:tc>
        <w:tc>
          <w:tcPr>
            <w:tcW w:w="229" w:type="dxa"/>
            <w:vAlign w:val="top"/>
          </w:tcPr>
          <w:p w14:paraId="6F1C687F">
            <w:pPr>
              <w:rPr>
                <w:rFonts w:ascii="Arial"/>
                <w:sz w:val="21"/>
              </w:rPr>
            </w:pPr>
          </w:p>
        </w:tc>
        <w:tc>
          <w:tcPr>
            <w:tcW w:w="234" w:type="dxa"/>
            <w:vAlign w:val="top"/>
          </w:tcPr>
          <w:p w14:paraId="70213A58">
            <w:pPr>
              <w:rPr>
                <w:rFonts w:ascii="Arial"/>
                <w:sz w:val="21"/>
              </w:rPr>
            </w:pPr>
          </w:p>
        </w:tc>
      </w:tr>
    </w:tbl>
    <w:p w14:paraId="2BAAF054">
      <w:pPr>
        <w:spacing w:before="130" w:line="222" w:lineRule="auto"/>
        <w:ind w:left="677"/>
        <w:rPr>
          <w:rFonts w:ascii="黑体" w:hAnsi="黑体" w:eastAsia="黑体" w:cs="黑体"/>
          <w:sz w:val="20"/>
          <w:szCs w:val="20"/>
        </w:rPr>
      </w:pPr>
      <w:r>
        <w:rPr>
          <w:rFonts w:ascii="黑体" w:hAnsi="黑体" w:eastAsia="黑体" w:cs="黑体"/>
          <w:b/>
          <w:bCs/>
          <w:spacing w:val="-5"/>
          <w:sz w:val="20"/>
          <w:szCs w:val="20"/>
        </w:rPr>
        <w:t>七、常用低压电器及其控制电路</w:t>
      </w:r>
    </w:p>
    <w:p w14:paraId="7A405DD2">
      <w:pPr>
        <w:spacing w:line="169" w:lineRule="exact"/>
      </w:pPr>
    </w:p>
    <w:tbl>
      <w:tblPr>
        <w:tblStyle w:val="5"/>
        <w:tblW w:w="410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54"/>
        <w:gridCol w:w="2644"/>
        <w:gridCol w:w="229"/>
        <w:gridCol w:w="229"/>
        <w:gridCol w:w="229"/>
        <w:gridCol w:w="224"/>
      </w:tblGrid>
      <w:tr w14:paraId="7971A8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4" w:hRule="atLeast"/>
        </w:trPr>
        <w:tc>
          <w:tcPr>
            <w:tcW w:w="554" w:type="dxa"/>
            <w:vMerge w:val="restart"/>
            <w:tcBorders>
              <w:bottom w:val="nil"/>
            </w:tcBorders>
            <w:vAlign w:val="top"/>
          </w:tcPr>
          <w:p w14:paraId="6B8A548D">
            <w:pPr>
              <w:pStyle w:val="6"/>
              <w:spacing w:before="82" w:line="237" w:lineRule="auto"/>
              <w:ind w:left="17" w:right="26" w:firstLine="79"/>
            </w:pPr>
            <w:r>
              <w:rPr>
                <w:b/>
                <w:bCs/>
                <w:spacing w:val="-7"/>
              </w:rPr>
              <w:t>知识</w:t>
            </w:r>
            <w:r>
              <w:t xml:space="preserve">  </w:t>
            </w:r>
            <w:r>
              <w:rPr>
                <w:b/>
                <w:bCs/>
                <w:spacing w:val="-6"/>
              </w:rPr>
              <w:t>与技能</w:t>
            </w:r>
            <w:r>
              <w:rPr>
                <w:spacing w:val="1"/>
              </w:rPr>
              <w:t xml:space="preserve"> </w:t>
            </w:r>
            <w:r>
              <w:rPr>
                <w:b/>
                <w:bCs/>
                <w:spacing w:val="34"/>
              </w:rPr>
              <w:t>要点</w:t>
            </w:r>
          </w:p>
        </w:tc>
        <w:tc>
          <w:tcPr>
            <w:tcW w:w="2644" w:type="dxa"/>
            <w:vMerge w:val="restart"/>
            <w:tcBorders>
              <w:bottom w:val="nil"/>
            </w:tcBorders>
            <w:vAlign w:val="top"/>
          </w:tcPr>
          <w:p w14:paraId="466CEA41">
            <w:pPr>
              <w:spacing w:line="252" w:lineRule="auto"/>
              <w:rPr>
                <w:rFonts w:ascii="Arial"/>
                <w:sz w:val="21"/>
              </w:rPr>
            </w:pPr>
          </w:p>
          <w:p w14:paraId="4EBE0DEB">
            <w:pPr>
              <w:pStyle w:val="6"/>
              <w:spacing w:before="56" w:line="219" w:lineRule="auto"/>
              <w:ind w:left="1003"/>
            </w:pPr>
            <w:r>
              <w:rPr>
                <w:b/>
                <w:bCs/>
                <w:spacing w:val="5"/>
              </w:rPr>
              <w:t>考试条目</w:t>
            </w:r>
          </w:p>
        </w:tc>
        <w:tc>
          <w:tcPr>
            <w:tcW w:w="911" w:type="dxa"/>
            <w:gridSpan w:val="4"/>
            <w:vAlign w:val="top"/>
          </w:tcPr>
          <w:p w14:paraId="187B4407">
            <w:pPr>
              <w:pStyle w:val="6"/>
              <w:spacing w:before="109" w:line="219" w:lineRule="auto"/>
              <w:ind w:left="119"/>
            </w:pPr>
            <w:r>
              <w:rPr>
                <w:b/>
                <w:bCs/>
                <w:spacing w:val="-4"/>
              </w:rPr>
              <w:t>考试水平</w:t>
            </w:r>
          </w:p>
        </w:tc>
      </w:tr>
      <w:tr w14:paraId="45F491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9" w:hRule="atLeast"/>
        </w:trPr>
        <w:tc>
          <w:tcPr>
            <w:tcW w:w="554" w:type="dxa"/>
            <w:vMerge w:val="continue"/>
            <w:tcBorders>
              <w:top w:val="nil"/>
            </w:tcBorders>
            <w:vAlign w:val="top"/>
          </w:tcPr>
          <w:p w14:paraId="57ED9251">
            <w:pPr>
              <w:rPr>
                <w:rFonts w:ascii="Arial"/>
                <w:sz w:val="21"/>
              </w:rPr>
            </w:pPr>
          </w:p>
        </w:tc>
        <w:tc>
          <w:tcPr>
            <w:tcW w:w="2644" w:type="dxa"/>
            <w:vMerge w:val="continue"/>
            <w:tcBorders>
              <w:top w:val="nil"/>
            </w:tcBorders>
            <w:vAlign w:val="top"/>
          </w:tcPr>
          <w:p w14:paraId="12AB25FF">
            <w:pPr>
              <w:rPr>
                <w:rFonts w:ascii="Arial"/>
                <w:sz w:val="21"/>
              </w:rPr>
            </w:pPr>
          </w:p>
        </w:tc>
        <w:tc>
          <w:tcPr>
            <w:tcW w:w="229" w:type="dxa"/>
            <w:vAlign w:val="top"/>
          </w:tcPr>
          <w:p w14:paraId="231C6106">
            <w:pPr>
              <w:pStyle w:val="6"/>
              <w:spacing w:before="150" w:line="184" w:lineRule="auto"/>
              <w:ind w:left="16"/>
            </w:pPr>
            <w:r>
              <w:t>A</w:t>
            </w:r>
          </w:p>
        </w:tc>
        <w:tc>
          <w:tcPr>
            <w:tcW w:w="229" w:type="dxa"/>
            <w:vAlign w:val="top"/>
          </w:tcPr>
          <w:p w14:paraId="0209DB29">
            <w:pPr>
              <w:pStyle w:val="6"/>
              <w:spacing w:before="152" w:line="182" w:lineRule="auto"/>
              <w:ind w:left="67"/>
            </w:pPr>
            <w:r>
              <w:t>B</w:t>
            </w:r>
          </w:p>
        </w:tc>
        <w:tc>
          <w:tcPr>
            <w:tcW w:w="229" w:type="dxa"/>
            <w:vAlign w:val="top"/>
          </w:tcPr>
          <w:p w14:paraId="545A64E6">
            <w:pPr>
              <w:pStyle w:val="6"/>
              <w:spacing w:before="151" w:line="183" w:lineRule="auto"/>
              <w:ind w:left="19"/>
            </w:pPr>
            <w:r>
              <w:t>C</w:t>
            </w:r>
          </w:p>
        </w:tc>
        <w:tc>
          <w:tcPr>
            <w:tcW w:w="224" w:type="dxa"/>
            <w:vAlign w:val="top"/>
          </w:tcPr>
          <w:p w14:paraId="23120B0F">
            <w:pPr>
              <w:pStyle w:val="6"/>
              <w:spacing w:before="152" w:line="182" w:lineRule="auto"/>
              <w:ind w:left="19"/>
            </w:pPr>
            <w:r>
              <w:t>D</w:t>
            </w:r>
          </w:p>
        </w:tc>
      </w:tr>
      <w:tr w14:paraId="6D0985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69" w:hRule="atLeast"/>
        </w:trPr>
        <w:tc>
          <w:tcPr>
            <w:tcW w:w="554" w:type="dxa"/>
            <w:vAlign w:val="top"/>
          </w:tcPr>
          <w:p w14:paraId="30CB7A38">
            <w:pPr>
              <w:pStyle w:val="6"/>
              <w:spacing w:before="128" w:line="236" w:lineRule="auto"/>
              <w:ind w:left="94" w:right="88"/>
              <w:jc w:val="both"/>
            </w:pPr>
            <w:r>
              <w:rPr>
                <w:spacing w:val="10"/>
              </w:rPr>
              <w:t>常用</w:t>
            </w:r>
            <w:r>
              <w:t xml:space="preserve"> </w:t>
            </w:r>
            <w:r>
              <w:rPr>
                <w:spacing w:val="-3"/>
              </w:rPr>
              <w:t>低压</w:t>
            </w:r>
            <w:r>
              <w:t xml:space="preserve"> </w:t>
            </w:r>
            <w:r>
              <w:rPr>
                <w:spacing w:val="3"/>
              </w:rPr>
              <w:t>电器</w:t>
            </w:r>
          </w:p>
        </w:tc>
        <w:tc>
          <w:tcPr>
            <w:tcW w:w="2644" w:type="dxa"/>
            <w:vAlign w:val="top"/>
          </w:tcPr>
          <w:p w14:paraId="0D947079">
            <w:pPr>
              <w:pStyle w:val="6"/>
              <w:spacing w:before="129" w:line="232" w:lineRule="auto"/>
              <w:ind w:left="60" w:right="1885"/>
              <w:jc w:val="both"/>
            </w:pPr>
            <w:r>
              <w:rPr>
                <w:spacing w:val="1"/>
              </w:rPr>
              <w:t xml:space="preserve">1.开关类 </w:t>
            </w:r>
            <w:r>
              <w:rPr>
                <w:spacing w:val="-2"/>
              </w:rPr>
              <w:t>2.保护类</w:t>
            </w:r>
            <w:r>
              <w:t xml:space="preserve"> </w:t>
            </w:r>
            <w:r>
              <w:rPr>
                <w:spacing w:val="-3"/>
              </w:rPr>
              <w:t>3.控制类</w:t>
            </w:r>
          </w:p>
        </w:tc>
        <w:tc>
          <w:tcPr>
            <w:tcW w:w="229" w:type="dxa"/>
            <w:vAlign w:val="top"/>
          </w:tcPr>
          <w:p w14:paraId="7447C888">
            <w:pPr>
              <w:rPr>
                <w:rFonts w:ascii="Arial"/>
                <w:sz w:val="21"/>
              </w:rPr>
            </w:pPr>
          </w:p>
        </w:tc>
        <w:tc>
          <w:tcPr>
            <w:tcW w:w="229" w:type="dxa"/>
            <w:vAlign w:val="top"/>
          </w:tcPr>
          <w:p w14:paraId="2BA1B6E5">
            <w:pPr>
              <w:rPr>
                <w:rFonts w:ascii="Arial"/>
                <w:sz w:val="21"/>
              </w:rPr>
            </w:pPr>
          </w:p>
        </w:tc>
        <w:tc>
          <w:tcPr>
            <w:tcW w:w="229" w:type="dxa"/>
            <w:vAlign w:val="top"/>
          </w:tcPr>
          <w:p w14:paraId="35D7627B">
            <w:pPr>
              <w:rPr>
                <w:rFonts w:ascii="Arial"/>
                <w:sz w:val="21"/>
              </w:rPr>
            </w:pPr>
          </w:p>
        </w:tc>
        <w:tc>
          <w:tcPr>
            <w:tcW w:w="224" w:type="dxa"/>
            <w:vAlign w:val="top"/>
          </w:tcPr>
          <w:p w14:paraId="1A7222CF">
            <w:pPr>
              <w:rPr>
                <w:rFonts w:ascii="Arial"/>
                <w:sz w:val="21"/>
              </w:rPr>
            </w:pPr>
          </w:p>
        </w:tc>
      </w:tr>
      <w:tr w14:paraId="3220EE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797" w:hRule="atLeast"/>
        </w:trPr>
        <w:tc>
          <w:tcPr>
            <w:tcW w:w="554" w:type="dxa"/>
            <w:vAlign w:val="top"/>
          </w:tcPr>
          <w:p w14:paraId="3F4C3E60">
            <w:pPr>
              <w:pStyle w:val="6"/>
              <w:spacing w:before="42" w:line="221" w:lineRule="auto"/>
              <w:ind w:left="94"/>
            </w:pPr>
            <w:r>
              <w:rPr>
                <w:spacing w:val="6"/>
              </w:rPr>
              <w:t>三相</w:t>
            </w:r>
          </w:p>
          <w:p w14:paraId="2EDF8D40">
            <w:pPr>
              <w:pStyle w:val="6"/>
              <w:spacing w:before="14" w:line="219" w:lineRule="auto"/>
              <w:ind w:left="94"/>
            </w:pPr>
            <w:r>
              <w:rPr>
                <w:spacing w:val="-3"/>
              </w:rPr>
              <w:t>异步</w:t>
            </w:r>
          </w:p>
          <w:p w14:paraId="301D5953">
            <w:pPr>
              <w:pStyle w:val="6"/>
              <w:spacing w:before="18" w:line="220" w:lineRule="auto"/>
              <w:ind w:left="94"/>
            </w:pPr>
            <w:r>
              <w:rPr>
                <w:spacing w:val="5"/>
              </w:rPr>
              <w:t>电动</w:t>
            </w:r>
          </w:p>
          <w:p w14:paraId="35152C1D">
            <w:pPr>
              <w:pStyle w:val="6"/>
              <w:spacing w:before="15" w:line="219" w:lineRule="auto"/>
              <w:ind w:left="94"/>
            </w:pPr>
            <w:r>
              <w:rPr>
                <w:spacing w:val="-2"/>
              </w:rPr>
              <w:t>机的</w:t>
            </w:r>
          </w:p>
          <w:p w14:paraId="1DFBDDF0">
            <w:pPr>
              <w:pStyle w:val="6"/>
              <w:spacing w:before="30" w:line="221" w:lineRule="auto"/>
              <w:ind w:left="94"/>
            </w:pPr>
            <w:r>
              <w:rPr>
                <w:spacing w:val="-3"/>
              </w:rPr>
              <w:t>正反</w:t>
            </w:r>
          </w:p>
          <w:p w14:paraId="4F015061">
            <w:pPr>
              <w:pStyle w:val="6"/>
              <w:spacing w:before="6" w:line="220" w:lineRule="auto"/>
              <w:ind w:left="94"/>
            </w:pPr>
            <w:r>
              <w:rPr>
                <w:spacing w:val="-2"/>
              </w:rPr>
              <w:t>转控</w:t>
            </w:r>
          </w:p>
          <w:p w14:paraId="6836B034">
            <w:pPr>
              <w:pStyle w:val="6"/>
              <w:spacing w:before="28" w:line="220" w:lineRule="auto"/>
              <w:ind w:left="94"/>
            </w:pPr>
            <w:r>
              <w:rPr>
                <w:spacing w:val="-2"/>
              </w:rPr>
              <w:t>制电</w:t>
            </w:r>
          </w:p>
          <w:p w14:paraId="179F0E53">
            <w:pPr>
              <w:pStyle w:val="6"/>
              <w:spacing w:before="7" w:line="219" w:lineRule="auto"/>
              <w:ind w:left="184"/>
            </w:pPr>
            <w:r>
              <w:t>路</w:t>
            </w:r>
          </w:p>
        </w:tc>
        <w:tc>
          <w:tcPr>
            <w:tcW w:w="2644" w:type="dxa"/>
            <w:vAlign w:val="top"/>
          </w:tcPr>
          <w:p w14:paraId="0F439248">
            <w:pPr>
              <w:spacing w:line="329" w:lineRule="auto"/>
              <w:rPr>
                <w:rFonts w:ascii="Arial"/>
                <w:sz w:val="21"/>
              </w:rPr>
            </w:pPr>
          </w:p>
          <w:p w14:paraId="435D4B30">
            <w:pPr>
              <w:spacing w:line="330" w:lineRule="auto"/>
              <w:rPr>
                <w:rFonts w:ascii="Arial"/>
                <w:sz w:val="21"/>
              </w:rPr>
            </w:pPr>
          </w:p>
          <w:p w14:paraId="7FFA8EC1">
            <w:pPr>
              <w:pStyle w:val="6"/>
              <w:spacing w:before="56" w:line="224" w:lineRule="auto"/>
              <w:ind w:left="60" w:right="1036"/>
            </w:pPr>
            <w:r>
              <w:t>1.直接起动控制电路</w:t>
            </w:r>
            <w:r>
              <w:rPr>
                <w:spacing w:val="5"/>
              </w:rPr>
              <w:t xml:space="preserve"> </w:t>
            </w:r>
            <w:r>
              <w:rPr>
                <w:spacing w:val="-1"/>
              </w:rPr>
              <w:t>2.正、反转控制电路</w:t>
            </w:r>
          </w:p>
        </w:tc>
        <w:tc>
          <w:tcPr>
            <w:tcW w:w="229" w:type="dxa"/>
            <w:vAlign w:val="top"/>
          </w:tcPr>
          <w:p w14:paraId="47AE13C1">
            <w:pPr>
              <w:rPr>
                <w:rFonts w:ascii="Arial"/>
                <w:sz w:val="21"/>
              </w:rPr>
            </w:pPr>
          </w:p>
        </w:tc>
        <w:tc>
          <w:tcPr>
            <w:tcW w:w="229" w:type="dxa"/>
            <w:vAlign w:val="top"/>
          </w:tcPr>
          <w:p w14:paraId="461FE6A1">
            <w:pPr>
              <w:spacing w:line="259" w:lineRule="auto"/>
              <w:rPr>
                <w:rFonts w:ascii="Arial"/>
                <w:sz w:val="21"/>
              </w:rPr>
            </w:pPr>
          </w:p>
          <w:p w14:paraId="1D070ECB">
            <w:pPr>
              <w:spacing w:line="259" w:lineRule="auto"/>
              <w:rPr>
                <w:rFonts w:ascii="Arial"/>
                <w:sz w:val="21"/>
              </w:rPr>
            </w:pPr>
          </w:p>
          <w:p w14:paraId="394E7A36">
            <w:pPr>
              <w:spacing w:line="259" w:lineRule="auto"/>
              <w:rPr>
                <w:rFonts w:ascii="Arial"/>
                <w:sz w:val="21"/>
              </w:rPr>
            </w:pPr>
          </w:p>
          <w:p w14:paraId="1931840C">
            <w:pPr>
              <w:pStyle w:val="6"/>
              <w:spacing w:before="55" w:line="238" w:lineRule="auto"/>
              <w:ind w:left="28"/>
            </w:pPr>
            <w:r>
              <w:t>√</w:t>
            </w:r>
          </w:p>
        </w:tc>
        <w:tc>
          <w:tcPr>
            <w:tcW w:w="229" w:type="dxa"/>
            <w:vAlign w:val="top"/>
          </w:tcPr>
          <w:p w14:paraId="3E8CD80B">
            <w:pPr>
              <w:rPr>
                <w:rFonts w:ascii="Arial"/>
                <w:sz w:val="21"/>
              </w:rPr>
            </w:pPr>
          </w:p>
        </w:tc>
        <w:tc>
          <w:tcPr>
            <w:tcW w:w="224" w:type="dxa"/>
            <w:vAlign w:val="top"/>
          </w:tcPr>
          <w:p w14:paraId="3B0C4D85">
            <w:pPr>
              <w:rPr>
                <w:rFonts w:ascii="Arial"/>
                <w:sz w:val="21"/>
              </w:rPr>
            </w:pPr>
          </w:p>
        </w:tc>
      </w:tr>
      <w:tr w14:paraId="79E825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797" w:hRule="atLeast"/>
        </w:trPr>
        <w:tc>
          <w:tcPr>
            <w:tcW w:w="554" w:type="dxa"/>
            <w:vAlign w:val="top"/>
          </w:tcPr>
          <w:p w14:paraId="559D4C3C">
            <w:pPr>
              <w:pStyle w:val="6"/>
              <w:spacing w:before="54" w:line="215" w:lineRule="auto"/>
              <w:ind w:left="94"/>
            </w:pPr>
            <w:r>
              <w:rPr>
                <w:spacing w:val="6"/>
              </w:rPr>
              <w:t>三相</w:t>
            </w:r>
          </w:p>
          <w:p w14:paraId="339270CA">
            <w:pPr>
              <w:pStyle w:val="6"/>
              <w:spacing w:line="219" w:lineRule="auto"/>
              <w:ind w:left="94"/>
            </w:pPr>
            <w:r>
              <w:rPr>
                <w:spacing w:val="-3"/>
              </w:rPr>
              <w:t>异步</w:t>
            </w:r>
          </w:p>
          <w:p w14:paraId="7B65547F">
            <w:pPr>
              <w:pStyle w:val="6"/>
              <w:spacing w:before="38" w:line="220" w:lineRule="auto"/>
              <w:ind w:left="94"/>
            </w:pPr>
            <w:r>
              <w:rPr>
                <w:spacing w:val="5"/>
              </w:rPr>
              <w:t>电动</w:t>
            </w:r>
          </w:p>
          <w:p w14:paraId="4B9470AD">
            <w:pPr>
              <w:pStyle w:val="6"/>
              <w:spacing w:before="5" w:line="219" w:lineRule="auto"/>
              <w:ind w:left="94"/>
            </w:pPr>
            <w:r>
              <w:rPr>
                <w:spacing w:val="-2"/>
              </w:rPr>
              <w:t>机降</w:t>
            </w:r>
          </w:p>
          <w:p w14:paraId="3867FA65">
            <w:pPr>
              <w:pStyle w:val="6"/>
              <w:spacing w:before="30" w:line="220" w:lineRule="auto"/>
              <w:ind w:left="94"/>
            </w:pPr>
            <w:r>
              <w:rPr>
                <w:spacing w:val="-2"/>
              </w:rPr>
              <w:t>压起</w:t>
            </w:r>
          </w:p>
          <w:p w14:paraId="37AC6109">
            <w:pPr>
              <w:pStyle w:val="6"/>
              <w:spacing w:before="28" w:line="220" w:lineRule="auto"/>
              <w:ind w:left="94"/>
            </w:pPr>
            <w:r>
              <w:rPr>
                <w:spacing w:val="-2"/>
              </w:rPr>
              <w:t>动控</w:t>
            </w:r>
          </w:p>
          <w:p w14:paraId="6787BD22">
            <w:pPr>
              <w:pStyle w:val="6"/>
              <w:spacing w:before="7" w:line="220" w:lineRule="auto"/>
              <w:ind w:left="94"/>
            </w:pPr>
            <w:r>
              <w:rPr>
                <w:spacing w:val="-2"/>
              </w:rPr>
              <w:t>制电</w:t>
            </w:r>
          </w:p>
          <w:p w14:paraId="4E9582D1">
            <w:pPr>
              <w:pStyle w:val="6"/>
              <w:spacing w:before="17" w:line="211" w:lineRule="auto"/>
              <w:ind w:left="184"/>
            </w:pPr>
            <w:r>
              <w:t>路</w:t>
            </w:r>
          </w:p>
        </w:tc>
        <w:tc>
          <w:tcPr>
            <w:tcW w:w="2644" w:type="dxa"/>
            <w:vAlign w:val="top"/>
          </w:tcPr>
          <w:p w14:paraId="37495922">
            <w:pPr>
              <w:spacing w:line="254" w:lineRule="auto"/>
              <w:rPr>
                <w:rFonts w:ascii="Arial"/>
                <w:sz w:val="21"/>
              </w:rPr>
            </w:pPr>
          </w:p>
          <w:p w14:paraId="5F13038D">
            <w:pPr>
              <w:spacing w:line="254" w:lineRule="auto"/>
              <w:rPr>
                <w:rFonts w:ascii="Arial"/>
                <w:sz w:val="21"/>
              </w:rPr>
            </w:pPr>
          </w:p>
          <w:p w14:paraId="768C099B">
            <w:pPr>
              <w:spacing w:line="255" w:lineRule="auto"/>
              <w:rPr>
                <w:rFonts w:ascii="Arial"/>
                <w:sz w:val="21"/>
              </w:rPr>
            </w:pPr>
          </w:p>
          <w:p w14:paraId="23E714D9">
            <w:pPr>
              <w:pStyle w:val="6"/>
              <w:spacing w:before="55" w:line="219" w:lineRule="auto"/>
              <w:ind w:left="60"/>
            </w:pPr>
            <w:r>
              <w:t>串电阻降压起动电路</w:t>
            </w:r>
          </w:p>
        </w:tc>
        <w:tc>
          <w:tcPr>
            <w:tcW w:w="229" w:type="dxa"/>
            <w:vAlign w:val="top"/>
          </w:tcPr>
          <w:p w14:paraId="349A6791">
            <w:pPr>
              <w:rPr>
                <w:rFonts w:ascii="Arial"/>
                <w:sz w:val="21"/>
              </w:rPr>
            </w:pPr>
          </w:p>
        </w:tc>
        <w:tc>
          <w:tcPr>
            <w:tcW w:w="229" w:type="dxa"/>
            <w:vAlign w:val="top"/>
          </w:tcPr>
          <w:p w14:paraId="7E44BF01">
            <w:pPr>
              <w:rPr>
                <w:rFonts w:ascii="Arial"/>
                <w:sz w:val="21"/>
              </w:rPr>
            </w:pPr>
          </w:p>
        </w:tc>
        <w:tc>
          <w:tcPr>
            <w:tcW w:w="229" w:type="dxa"/>
            <w:vAlign w:val="top"/>
          </w:tcPr>
          <w:p w14:paraId="5E8242A0">
            <w:pPr>
              <w:spacing w:line="269" w:lineRule="auto"/>
              <w:rPr>
                <w:rFonts w:ascii="Arial"/>
                <w:sz w:val="21"/>
              </w:rPr>
            </w:pPr>
          </w:p>
          <w:p w14:paraId="79C453F7">
            <w:pPr>
              <w:spacing w:line="269" w:lineRule="auto"/>
              <w:rPr>
                <w:rFonts w:ascii="Arial"/>
                <w:sz w:val="21"/>
              </w:rPr>
            </w:pPr>
          </w:p>
          <w:p w14:paraId="1407C5CF">
            <w:pPr>
              <w:spacing w:line="270" w:lineRule="auto"/>
              <w:rPr>
                <w:rFonts w:ascii="Arial"/>
                <w:sz w:val="21"/>
              </w:rPr>
            </w:pPr>
          </w:p>
          <w:p w14:paraId="7B0BCA21">
            <w:pPr>
              <w:pStyle w:val="6"/>
              <w:spacing w:before="39" w:line="238" w:lineRule="auto"/>
              <w:ind w:left="19"/>
              <w:rPr>
                <w:sz w:val="12"/>
                <w:szCs w:val="12"/>
              </w:rPr>
            </w:pPr>
            <w:r>
              <w:rPr>
                <w:sz w:val="12"/>
                <w:szCs w:val="12"/>
              </w:rPr>
              <w:t>√</w:t>
            </w:r>
          </w:p>
        </w:tc>
        <w:tc>
          <w:tcPr>
            <w:tcW w:w="224" w:type="dxa"/>
            <w:vAlign w:val="top"/>
          </w:tcPr>
          <w:p w14:paraId="6859D30C">
            <w:pPr>
              <w:rPr>
                <w:rFonts w:ascii="Arial"/>
                <w:sz w:val="21"/>
              </w:rPr>
            </w:pPr>
          </w:p>
        </w:tc>
      </w:tr>
      <w:tr w14:paraId="07AA25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4" w:hRule="atLeast"/>
        </w:trPr>
        <w:tc>
          <w:tcPr>
            <w:tcW w:w="4109" w:type="dxa"/>
            <w:gridSpan w:val="6"/>
            <w:vAlign w:val="top"/>
          </w:tcPr>
          <w:p w14:paraId="5F5523BD">
            <w:pPr>
              <w:pStyle w:val="6"/>
              <w:spacing w:before="104" w:line="219" w:lineRule="auto"/>
              <w:ind w:left="254"/>
            </w:pPr>
            <w:r>
              <w:t>实验：三相异步电动机的起动和正、反转控制</w:t>
            </w:r>
          </w:p>
        </w:tc>
      </w:tr>
    </w:tbl>
    <w:p w14:paraId="17A349C5">
      <w:pPr>
        <w:spacing w:before="110" w:line="222" w:lineRule="auto"/>
        <w:ind w:left="1467"/>
        <w:rPr>
          <w:rFonts w:ascii="黑体" w:hAnsi="黑体" w:eastAsia="黑体" w:cs="黑体"/>
          <w:sz w:val="20"/>
          <w:szCs w:val="20"/>
        </w:rPr>
      </w:pPr>
      <w:r>
        <w:rPr>
          <w:rFonts w:ascii="黑体" w:hAnsi="黑体" w:eastAsia="黑体" w:cs="黑体"/>
          <w:b/>
          <w:bCs/>
          <w:spacing w:val="-7"/>
          <w:sz w:val="20"/>
          <w:szCs w:val="20"/>
        </w:rPr>
        <w:t>八、模拟电路</w:t>
      </w:r>
    </w:p>
    <w:p w14:paraId="3CC5BFC4">
      <w:pPr>
        <w:spacing w:line="158" w:lineRule="exact"/>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54"/>
        <w:gridCol w:w="2644"/>
        <w:gridCol w:w="229"/>
        <w:gridCol w:w="229"/>
        <w:gridCol w:w="229"/>
        <w:gridCol w:w="234"/>
      </w:tblGrid>
      <w:tr w14:paraId="0EABC2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3" w:hRule="atLeast"/>
        </w:trPr>
        <w:tc>
          <w:tcPr>
            <w:tcW w:w="554" w:type="dxa"/>
            <w:vMerge w:val="restart"/>
            <w:tcBorders>
              <w:bottom w:val="nil"/>
            </w:tcBorders>
            <w:vAlign w:val="top"/>
          </w:tcPr>
          <w:p w14:paraId="39499824">
            <w:pPr>
              <w:pStyle w:val="6"/>
              <w:spacing w:before="91" w:line="225" w:lineRule="auto"/>
              <w:ind w:left="17" w:firstLine="69"/>
              <w:rPr>
                <w:sz w:val="18"/>
                <w:szCs w:val="18"/>
              </w:rPr>
            </w:pPr>
            <w:r>
              <w:rPr>
                <w:b/>
                <w:bCs/>
                <w:spacing w:val="-9"/>
                <w:sz w:val="18"/>
                <w:szCs w:val="18"/>
              </w:rPr>
              <w:t>知识</w:t>
            </w:r>
            <w:r>
              <w:rPr>
                <w:sz w:val="18"/>
                <w:szCs w:val="18"/>
              </w:rPr>
              <w:t xml:space="preserve">  </w:t>
            </w:r>
            <w:r>
              <w:rPr>
                <w:b/>
                <w:bCs/>
                <w:spacing w:val="-7"/>
                <w:sz w:val="18"/>
                <w:szCs w:val="18"/>
              </w:rPr>
              <w:t>与技能</w:t>
            </w:r>
            <w:r>
              <w:rPr>
                <w:sz w:val="18"/>
                <w:szCs w:val="18"/>
              </w:rPr>
              <w:t xml:space="preserve"> </w:t>
            </w:r>
            <w:r>
              <w:rPr>
                <w:b/>
                <w:bCs/>
                <w:spacing w:val="28"/>
                <w:sz w:val="18"/>
                <w:szCs w:val="18"/>
              </w:rPr>
              <w:t>要点</w:t>
            </w:r>
          </w:p>
        </w:tc>
        <w:tc>
          <w:tcPr>
            <w:tcW w:w="2644" w:type="dxa"/>
            <w:vMerge w:val="restart"/>
            <w:tcBorders>
              <w:bottom w:val="nil"/>
            </w:tcBorders>
            <w:vAlign w:val="top"/>
          </w:tcPr>
          <w:p w14:paraId="2950FE42">
            <w:pPr>
              <w:pStyle w:val="6"/>
              <w:spacing w:before="299" w:line="219" w:lineRule="auto"/>
              <w:ind w:left="1003"/>
              <w:rPr>
                <w:sz w:val="18"/>
                <w:szCs w:val="18"/>
              </w:rPr>
            </w:pPr>
            <w:r>
              <w:rPr>
                <w:b/>
                <w:bCs/>
                <w:spacing w:val="5"/>
                <w:sz w:val="18"/>
                <w:szCs w:val="18"/>
              </w:rPr>
              <w:t>考试条目</w:t>
            </w:r>
          </w:p>
        </w:tc>
        <w:tc>
          <w:tcPr>
            <w:tcW w:w="921" w:type="dxa"/>
            <w:gridSpan w:val="4"/>
            <w:vAlign w:val="top"/>
          </w:tcPr>
          <w:p w14:paraId="5E15993A">
            <w:pPr>
              <w:pStyle w:val="6"/>
              <w:spacing w:before="109" w:line="219" w:lineRule="auto"/>
              <w:ind w:left="129"/>
              <w:rPr>
                <w:sz w:val="18"/>
                <w:szCs w:val="18"/>
              </w:rPr>
            </w:pPr>
            <w:r>
              <w:rPr>
                <w:b/>
                <w:bCs/>
                <w:spacing w:val="-4"/>
                <w:sz w:val="18"/>
                <w:szCs w:val="18"/>
              </w:rPr>
              <w:t>考试水平</w:t>
            </w:r>
          </w:p>
        </w:tc>
      </w:tr>
      <w:tr w14:paraId="065522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8" w:hRule="atLeast"/>
        </w:trPr>
        <w:tc>
          <w:tcPr>
            <w:tcW w:w="554" w:type="dxa"/>
            <w:vMerge w:val="continue"/>
            <w:tcBorders>
              <w:top w:val="nil"/>
            </w:tcBorders>
            <w:vAlign w:val="top"/>
          </w:tcPr>
          <w:p w14:paraId="618C0587">
            <w:pPr>
              <w:rPr>
                <w:rFonts w:ascii="Arial"/>
                <w:sz w:val="21"/>
              </w:rPr>
            </w:pPr>
          </w:p>
        </w:tc>
        <w:tc>
          <w:tcPr>
            <w:tcW w:w="2644" w:type="dxa"/>
            <w:vMerge w:val="continue"/>
            <w:tcBorders>
              <w:top w:val="nil"/>
            </w:tcBorders>
            <w:vAlign w:val="top"/>
          </w:tcPr>
          <w:p w14:paraId="6967CF28">
            <w:pPr>
              <w:rPr>
                <w:rFonts w:ascii="Arial"/>
                <w:sz w:val="21"/>
              </w:rPr>
            </w:pPr>
          </w:p>
        </w:tc>
        <w:tc>
          <w:tcPr>
            <w:tcW w:w="229" w:type="dxa"/>
            <w:vAlign w:val="top"/>
          </w:tcPr>
          <w:p w14:paraId="5009663B">
            <w:pPr>
              <w:pStyle w:val="6"/>
              <w:spacing w:before="144" w:line="184" w:lineRule="auto"/>
              <w:ind w:left="67"/>
              <w:rPr>
                <w:sz w:val="18"/>
                <w:szCs w:val="18"/>
              </w:rPr>
            </w:pPr>
            <w:r>
              <w:rPr>
                <w:sz w:val="18"/>
                <w:szCs w:val="18"/>
              </w:rPr>
              <w:t>A</w:t>
            </w:r>
          </w:p>
        </w:tc>
        <w:tc>
          <w:tcPr>
            <w:tcW w:w="229" w:type="dxa"/>
            <w:vAlign w:val="top"/>
          </w:tcPr>
          <w:p w14:paraId="2D08D641">
            <w:pPr>
              <w:pStyle w:val="6"/>
              <w:spacing w:before="146" w:line="182" w:lineRule="auto"/>
              <w:ind w:left="18"/>
              <w:rPr>
                <w:sz w:val="18"/>
                <w:szCs w:val="18"/>
              </w:rPr>
            </w:pPr>
            <w:r>
              <w:rPr>
                <w:sz w:val="18"/>
                <w:szCs w:val="18"/>
              </w:rPr>
              <w:t>B</w:t>
            </w:r>
          </w:p>
        </w:tc>
        <w:tc>
          <w:tcPr>
            <w:tcW w:w="229" w:type="dxa"/>
            <w:vAlign w:val="top"/>
          </w:tcPr>
          <w:p w14:paraId="439D127A">
            <w:pPr>
              <w:pStyle w:val="6"/>
              <w:spacing w:before="145" w:line="183" w:lineRule="auto"/>
              <w:ind w:left="28"/>
              <w:rPr>
                <w:sz w:val="18"/>
                <w:szCs w:val="18"/>
              </w:rPr>
            </w:pPr>
            <w:r>
              <w:rPr>
                <w:sz w:val="18"/>
                <w:szCs w:val="18"/>
              </w:rPr>
              <w:t>C</w:t>
            </w:r>
          </w:p>
        </w:tc>
        <w:tc>
          <w:tcPr>
            <w:tcW w:w="234" w:type="dxa"/>
            <w:vAlign w:val="top"/>
          </w:tcPr>
          <w:p w14:paraId="0A460BCF">
            <w:pPr>
              <w:pStyle w:val="6"/>
              <w:spacing w:before="146" w:line="182" w:lineRule="auto"/>
              <w:ind w:left="19"/>
              <w:rPr>
                <w:sz w:val="18"/>
                <w:szCs w:val="18"/>
              </w:rPr>
            </w:pPr>
            <w:r>
              <w:rPr>
                <w:sz w:val="18"/>
                <w:szCs w:val="18"/>
              </w:rPr>
              <w:t>D</w:t>
            </w:r>
          </w:p>
        </w:tc>
      </w:tr>
      <w:tr w14:paraId="28F9AA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49" w:hRule="atLeast"/>
        </w:trPr>
        <w:tc>
          <w:tcPr>
            <w:tcW w:w="554" w:type="dxa"/>
            <w:vAlign w:val="top"/>
          </w:tcPr>
          <w:p w14:paraId="25F2F50F">
            <w:pPr>
              <w:spacing w:line="291" w:lineRule="auto"/>
              <w:rPr>
                <w:rFonts w:ascii="Arial"/>
                <w:sz w:val="21"/>
              </w:rPr>
            </w:pPr>
          </w:p>
          <w:p w14:paraId="2745E114">
            <w:pPr>
              <w:pStyle w:val="6"/>
              <w:spacing w:before="59" w:line="194" w:lineRule="auto"/>
              <w:ind w:left="84"/>
              <w:rPr>
                <w:sz w:val="18"/>
                <w:szCs w:val="18"/>
              </w:rPr>
            </w:pPr>
            <w:r>
              <w:rPr>
                <w:spacing w:val="-3"/>
                <w:sz w:val="18"/>
                <w:szCs w:val="18"/>
              </w:rPr>
              <w:t>二极</w:t>
            </w:r>
          </w:p>
          <w:p w14:paraId="41FD172B">
            <w:pPr>
              <w:pStyle w:val="6"/>
              <w:spacing w:line="219" w:lineRule="auto"/>
              <w:ind w:left="175"/>
              <w:rPr>
                <w:sz w:val="18"/>
                <w:szCs w:val="18"/>
              </w:rPr>
            </w:pPr>
            <w:r>
              <w:rPr>
                <w:sz w:val="18"/>
                <w:szCs w:val="18"/>
              </w:rPr>
              <w:t>管</w:t>
            </w:r>
          </w:p>
        </w:tc>
        <w:tc>
          <w:tcPr>
            <w:tcW w:w="2644" w:type="dxa"/>
            <w:vAlign w:val="top"/>
          </w:tcPr>
          <w:p w14:paraId="485E28C0">
            <w:pPr>
              <w:pStyle w:val="6"/>
              <w:spacing w:before="220" w:line="221" w:lineRule="auto"/>
              <w:ind w:left="60" w:right="221"/>
              <w:rPr>
                <w:sz w:val="18"/>
                <w:szCs w:val="18"/>
              </w:rPr>
            </w:pPr>
            <w:r>
              <w:rPr>
                <w:sz w:val="18"/>
                <w:szCs w:val="18"/>
              </w:rPr>
              <w:t>1.二极管的外形、结构和符号</w:t>
            </w:r>
            <w:r>
              <w:rPr>
                <w:spacing w:val="10"/>
                <w:sz w:val="18"/>
                <w:szCs w:val="18"/>
              </w:rPr>
              <w:t xml:space="preserve"> </w:t>
            </w:r>
            <w:r>
              <w:rPr>
                <w:spacing w:val="1"/>
                <w:sz w:val="18"/>
                <w:szCs w:val="18"/>
              </w:rPr>
              <w:t>2.二极管的电流和电压关系</w:t>
            </w:r>
          </w:p>
          <w:p w14:paraId="40612599">
            <w:pPr>
              <w:pStyle w:val="6"/>
              <w:spacing w:line="219" w:lineRule="auto"/>
              <w:ind w:left="60"/>
              <w:rPr>
                <w:sz w:val="18"/>
                <w:szCs w:val="18"/>
              </w:rPr>
            </w:pPr>
            <w:r>
              <w:rPr>
                <w:spacing w:val="-1"/>
                <w:sz w:val="18"/>
                <w:szCs w:val="18"/>
              </w:rPr>
              <w:t>3.二极管的主要参数</w:t>
            </w:r>
          </w:p>
        </w:tc>
        <w:tc>
          <w:tcPr>
            <w:tcW w:w="229" w:type="dxa"/>
            <w:vAlign w:val="top"/>
          </w:tcPr>
          <w:p w14:paraId="5021EA6E">
            <w:pPr>
              <w:pStyle w:val="6"/>
              <w:spacing w:before="249" w:line="238" w:lineRule="auto"/>
              <w:ind w:left="16"/>
              <w:rPr>
                <w:sz w:val="18"/>
                <w:szCs w:val="18"/>
              </w:rPr>
            </w:pPr>
            <w:r>
              <w:rPr>
                <w:sz w:val="18"/>
                <w:szCs w:val="18"/>
              </w:rPr>
              <w:t>√</w:t>
            </w:r>
          </w:p>
        </w:tc>
        <w:tc>
          <w:tcPr>
            <w:tcW w:w="229" w:type="dxa"/>
            <w:vAlign w:val="top"/>
          </w:tcPr>
          <w:p w14:paraId="3BFF2D05">
            <w:pPr>
              <w:rPr>
                <w:rFonts w:ascii="Arial"/>
                <w:sz w:val="21"/>
              </w:rPr>
            </w:pPr>
          </w:p>
        </w:tc>
        <w:tc>
          <w:tcPr>
            <w:tcW w:w="229" w:type="dxa"/>
            <w:vAlign w:val="top"/>
          </w:tcPr>
          <w:p w14:paraId="6AFFC0F4">
            <w:pPr>
              <w:rPr>
                <w:rFonts w:ascii="Arial"/>
                <w:sz w:val="21"/>
              </w:rPr>
            </w:pPr>
          </w:p>
        </w:tc>
        <w:tc>
          <w:tcPr>
            <w:tcW w:w="234" w:type="dxa"/>
            <w:vAlign w:val="top"/>
          </w:tcPr>
          <w:p w14:paraId="145F5502">
            <w:pPr>
              <w:rPr>
                <w:rFonts w:ascii="Arial"/>
                <w:sz w:val="21"/>
              </w:rPr>
            </w:pPr>
          </w:p>
        </w:tc>
      </w:tr>
    </w:tbl>
    <w:p w14:paraId="325DA12A">
      <w:pPr>
        <w:pStyle w:val="2"/>
        <w:spacing w:line="104" w:lineRule="auto"/>
        <w:rPr>
          <w:sz w:val="2"/>
        </w:rPr>
      </w:pPr>
    </w:p>
    <w:p w14:paraId="25817CE5">
      <w:pPr>
        <w:pStyle w:val="2"/>
        <w:spacing w:line="14" w:lineRule="auto"/>
        <w:rPr>
          <w:sz w:val="2"/>
        </w:rPr>
      </w:pPr>
      <w:r>
        <w:rPr>
          <w:sz w:val="2"/>
          <w:szCs w:val="2"/>
        </w:rPr>
        <w:br w:type="column"/>
      </w:r>
    </w:p>
    <w:tbl>
      <w:tblPr>
        <w:tblStyle w:val="5"/>
        <w:tblW w:w="412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54"/>
        <w:gridCol w:w="2644"/>
        <w:gridCol w:w="229"/>
        <w:gridCol w:w="239"/>
        <w:gridCol w:w="220"/>
        <w:gridCol w:w="234"/>
      </w:tblGrid>
      <w:tr w14:paraId="4B1CAC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0" w:hRule="atLeast"/>
        </w:trPr>
        <w:tc>
          <w:tcPr>
            <w:tcW w:w="554" w:type="dxa"/>
            <w:vMerge w:val="restart"/>
            <w:tcBorders>
              <w:top w:val="single" w:color="000000" w:sz="2" w:space="0"/>
              <w:bottom w:val="nil"/>
            </w:tcBorders>
            <w:vAlign w:val="top"/>
          </w:tcPr>
          <w:p w14:paraId="28254343">
            <w:pPr>
              <w:pStyle w:val="6"/>
              <w:spacing w:before="97" w:line="221" w:lineRule="auto"/>
              <w:ind w:left="17" w:firstLine="69"/>
              <w:rPr>
                <w:sz w:val="18"/>
                <w:szCs w:val="18"/>
              </w:rPr>
            </w:pPr>
            <w:r>
              <w:rPr>
                <w:b/>
                <w:bCs/>
                <w:spacing w:val="-9"/>
                <w:sz w:val="18"/>
                <w:szCs w:val="18"/>
              </w:rPr>
              <w:t>知识</w:t>
            </w:r>
            <w:r>
              <w:rPr>
                <w:sz w:val="18"/>
                <w:szCs w:val="18"/>
              </w:rPr>
              <w:t xml:space="preserve">  </w:t>
            </w:r>
            <w:r>
              <w:rPr>
                <w:b/>
                <w:bCs/>
                <w:spacing w:val="-7"/>
                <w:sz w:val="18"/>
                <w:szCs w:val="18"/>
              </w:rPr>
              <w:t>与技能</w:t>
            </w:r>
            <w:r>
              <w:rPr>
                <w:sz w:val="18"/>
                <w:szCs w:val="18"/>
              </w:rPr>
              <w:t xml:space="preserve"> </w:t>
            </w:r>
            <w:r>
              <w:rPr>
                <w:b/>
                <w:bCs/>
                <w:spacing w:val="28"/>
                <w:sz w:val="18"/>
                <w:szCs w:val="18"/>
              </w:rPr>
              <w:t>要点</w:t>
            </w:r>
          </w:p>
        </w:tc>
        <w:tc>
          <w:tcPr>
            <w:tcW w:w="2644" w:type="dxa"/>
            <w:vMerge w:val="restart"/>
            <w:tcBorders>
              <w:top w:val="single" w:color="000000" w:sz="2" w:space="0"/>
              <w:bottom w:val="nil"/>
            </w:tcBorders>
            <w:vAlign w:val="top"/>
          </w:tcPr>
          <w:p w14:paraId="691EB1C3">
            <w:pPr>
              <w:spacing w:line="244" w:lineRule="auto"/>
              <w:rPr>
                <w:rFonts w:ascii="Arial"/>
                <w:sz w:val="21"/>
              </w:rPr>
            </w:pPr>
          </w:p>
          <w:p w14:paraId="225E309E">
            <w:pPr>
              <w:pStyle w:val="6"/>
              <w:spacing w:before="59" w:line="219" w:lineRule="auto"/>
              <w:ind w:left="1003"/>
              <w:rPr>
                <w:sz w:val="18"/>
                <w:szCs w:val="18"/>
              </w:rPr>
            </w:pPr>
            <w:r>
              <w:rPr>
                <w:b/>
                <w:bCs/>
                <w:spacing w:val="5"/>
                <w:sz w:val="18"/>
                <w:szCs w:val="18"/>
              </w:rPr>
              <w:t>考试条目</w:t>
            </w:r>
          </w:p>
        </w:tc>
        <w:tc>
          <w:tcPr>
            <w:tcW w:w="922" w:type="dxa"/>
            <w:gridSpan w:val="4"/>
            <w:tcBorders>
              <w:top w:val="single" w:color="000000" w:sz="2" w:space="0"/>
              <w:bottom w:val="single" w:color="000000" w:sz="2" w:space="0"/>
            </w:tcBorders>
            <w:vAlign w:val="top"/>
          </w:tcPr>
          <w:p w14:paraId="47DEB0D3">
            <w:pPr>
              <w:pStyle w:val="6"/>
              <w:spacing w:before="104" w:line="219" w:lineRule="auto"/>
              <w:ind w:left="129"/>
              <w:rPr>
                <w:sz w:val="18"/>
                <w:szCs w:val="18"/>
              </w:rPr>
            </w:pPr>
            <w:r>
              <w:rPr>
                <w:b/>
                <w:bCs/>
                <w:spacing w:val="-4"/>
                <w:sz w:val="18"/>
                <w:szCs w:val="18"/>
              </w:rPr>
              <w:t>考试水平</w:t>
            </w:r>
          </w:p>
        </w:tc>
      </w:tr>
      <w:tr w14:paraId="3812EC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5" w:hRule="atLeast"/>
        </w:trPr>
        <w:tc>
          <w:tcPr>
            <w:tcW w:w="554" w:type="dxa"/>
            <w:vMerge w:val="continue"/>
            <w:tcBorders>
              <w:top w:val="nil"/>
              <w:bottom w:val="single" w:color="000000" w:sz="2" w:space="0"/>
            </w:tcBorders>
            <w:vAlign w:val="top"/>
          </w:tcPr>
          <w:p w14:paraId="34D28EA4">
            <w:pPr>
              <w:rPr>
                <w:rFonts w:ascii="Arial"/>
                <w:sz w:val="21"/>
              </w:rPr>
            </w:pPr>
          </w:p>
        </w:tc>
        <w:tc>
          <w:tcPr>
            <w:tcW w:w="2644" w:type="dxa"/>
            <w:vMerge w:val="continue"/>
            <w:tcBorders>
              <w:top w:val="nil"/>
              <w:bottom w:val="single" w:color="000000" w:sz="2" w:space="0"/>
            </w:tcBorders>
            <w:vAlign w:val="top"/>
          </w:tcPr>
          <w:p w14:paraId="117359D2">
            <w:pPr>
              <w:rPr>
                <w:rFonts w:ascii="Arial"/>
                <w:sz w:val="21"/>
              </w:rPr>
            </w:pPr>
          </w:p>
        </w:tc>
        <w:tc>
          <w:tcPr>
            <w:tcW w:w="229" w:type="dxa"/>
            <w:tcBorders>
              <w:top w:val="single" w:color="000000" w:sz="2" w:space="0"/>
              <w:bottom w:val="single" w:color="000000" w:sz="2" w:space="0"/>
            </w:tcBorders>
            <w:vAlign w:val="top"/>
          </w:tcPr>
          <w:p w14:paraId="170B0580">
            <w:pPr>
              <w:pStyle w:val="6"/>
              <w:spacing w:before="157" w:line="184" w:lineRule="auto"/>
              <w:ind w:left="67"/>
              <w:rPr>
                <w:sz w:val="18"/>
                <w:szCs w:val="18"/>
              </w:rPr>
            </w:pPr>
            <w:r>
              <w:rPr>
                <w:sz w:val="18"/>
                <w:szCs w:val="18"/>
              </w:rPr>
              <w:t>A</w:t>
            </w:r>
          </w:p>
        </w:tc>
        <w:tc>
          <w:tcPr>
            <w:tcW w:w="239" w:type="dxa"/>
            <w:tcBorders>
              <w:top w:val="single" w:color="000000" w:sz="2" w:space="0"/>
              <w:bottom w:val="single" w:color="000000" w:sz="2" w:space="0"/>
            </w:tcBorders>
            <w:vAlign w:val="top"/>
          </w:tcPr>
          <w:p w14:paraId="4EA8C5AB">
            <w:pPr>
              <w:pStyle w:val="6"/>
              <w:spacing w:before="159" w:line="182" w:lineRule="auto"/>
              <w:ind w:left="48"/>
              <w:rPr>
                <w:sz w:val="18"/>
                <w:szCs w:val="18"/>
              </w:rPr>
            </w:pPr>
            <w:r>
              <w:rPr>
                <w:sz w:val="18"/>
                <w:szCs w:val="18"/>
              </w:rPr>
              <w:t>B</w:t>
            </w:r>
          </w:p>
        </w:tc>
        <w:tc>
          <w:tcPr>
            <w:tcW w:w="220" w:type="dxa"/>
            <w:tcBorders>
              <w:top w:val="single" w:color="000000" w:sz="2" w:space="0"/>
              <w:bottom w:val="single" w:color="000000" w:sz="2" w:space="0"/>
            </w:tcBorders>
            <w:vAlign w:val="top"/>
          </w:tcPr>
          <w:p w14:paraId="3BA982C9">
            <w:pPr>
              <w:pStyle w:val="6"/>
              <w:spacing w:before="158" w:line="183" w:lineRule="auto"/>
              <w:ind w:left="49"/>
              <w:rPr>
                <w:sz w:val="18"/>
                <w:szCs w:val="18"/>
              </w:rPr>
            </w:pPr>
            <w:r>
              <w:rPr>
                <w:sz w:val="18"/>
                <w:szCs w:val="18"/>
              </w:rPr>
              <w:t>C</w:t>
            </w:r>
          </w:p>
        </w:tc>
        <w:tc>
          <w:tcPr>
            <w:tcW w:w="234" w:type="dxa"/>
            <w:tcBorders>
              <w:top w:val="single" w:color="000000" w:sz="2" w:space="0"/>
              <w:bottom w:val="single" w:color="000000" w:sz="2" w:space="0"/>
            </w:tcBorders>
            <w:vAlign w:val="top"/>
          </w:tcPr>
          <w:p w14:paraId="3D1BE8BE">
            <w:pPr>
              <w:pStyle w:val="6"/>
              <w:spacing w:before="159" w:line="182" w:lineRule="auto"/>
              <w:ind w:left="19"/>
              <w:rPr>
                <w:sz w:val="18"/>
                <w:szCs w:val="18"/>
              </w:rPr>
            </w:pPr>
            <w:r>
              <w:rPr>
                <w:sz w:val="18"/>
                <w:szCs w:val="18"/>
              </w:rPr>
              <w:t>D</w:t>
            </w:r>
          </w:p>
        </w:tc>
      </w:tr>
      <w:tr w14:paraId="19078B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34" w:hRule="atLeast"/>
        </w:trPr>
        <w:tc>
          <w:tcPr>
            <w:tcW w:w="554" w:type="dxa"/>
            <w:tcBorders>
              <w:top w:val="single" w:color="000000" w:sz="2" w:space="0"/>
              <w:bottom w:val="single" w:color="000000" w:sz="2" w:space="0"/>
            </w:tcBorders>
            <w:vAlign w:val="top"/>
          </w:tcPr>
          <w:p w14:paraId="690BD01E">
            <w:pPr>
              <w:pStyle w:val="6"/>
              <w:spacing w:before="293" w:line="204" w:lineRule="auto"/>
              <w:ind w:left="85"/>
              <w:rPr>
                <w:sz w:val="18"/>
                <w:szCs w:val="18"/>
              </w:rPr>
            </w:pPr>
            <w:r>
              <w:rPr>
                <w:spacing w:val="-2"/>
                <w:sz w:val="18"/>
                <w:szCs w:val="18"/>
              </w:rPr>
              <w:t>三极</w:t>
            </w:r>
          </w:p>
          <w:p w14:paraId="33325FB5">
            <w:pPr>
              <w:pStyle w:val="6"/>
              <w:spacing w:line="219" w:lineRule="auto"/>
              <w:ind w:left="175"/>
              <w:rPr>
                <w:sz w:val="18"/>
                <w:szCs w:val="18"/>
              </w:rPr>
            </w:pPr>
            <w:r>
              <w:rPr>
                <w:sz w:val="18"/>
                <w:szCs w:val="18"/>
              </w:rPr>
              <w:t>管</w:t>
            </w:r>
          </w:p>
        </w:tc>
        <w:tc>
          <w:tcPr>
            <w:tcW w:w="2644" w:type="dxa"/>
            <w:tcBorders>
              <w:top w:val="single" w:color="000000" w:sz="2" w:space="0"/>
              <w:bottom w:val="single" w:color="000000" w:sz="2" w:space="0"/>
            </w:tcBorders>
            <w:vAlign w:val="top"/>
          </w:tcPr>
          <w:p w14:paraId="555E872B">
            <w:pPr>
              <w:pStyle w:val="6"/>
              <w:spacing w:before="171" w:line="226" w:lineRule="auto"/>
              <w:ind w:left="81" w:right="181" w:firstLine="20"/>
              <w:rPr>
                <w:sz w:val="18"/>
                <w:szCs w:val="18"/>
              </w:rPr>
            </w:pPr>
            <w:r>
              <w:rPr>
                <w:sz w:val="18"/>
                <w:szCs w:val="18"/>
              </w:rPr>
              <w:t>1.三极管的外形、结构和符号</w:t>
            </w:r>
            <w:r>
              <w:rPr>
                <w:spacing w:val="10"/>
                <w:sz w:val="18"/>
                <w:szCs w:val="18"/>
              </w:rPr>
              <w:t xml:space="preserve"> </w:t>
            </w:r>
            <w:r>
              <w:rPr>
                <w:spacing w:val="2"/>
                <w:sz w:val="18"/>
                <w:szCs w:val="18"/>
              </w:rPr>
              <w:t>2.三极管的放大作用</w:t>
            </w:r>
          </w:p>
          <w:p w14:paraId="079FAE82">
            <w:pPr>
              <w:pStyle w:val="6"/>
              <w:spacing w:line="219" w:lineRule="auto"/>
              <w:ind w:left="81"/>
              <w:rPr>
                <w:sz w:val="18"/>
                <w:szCs w:val="18"/>
              </w:rPr>
            </w:pPr>
            <w:r>
              <w:rPr>
                <w:spacing w:val="-2"/>
                <w:sz w:val="18"/>
                <w:szCs w:val="18"/>
              </w:rPr>
              <w:t>3.三极管的主要参数</w:t>
            </w:r>
          </w:p>
        </w:tc>
        <w:tc>
          <w:tcPr>
            <w:tcW w:w="229" w:type="dxa"/>
            <w:tcBorders>
              <w:top w:val="single" w:color="000000" w:sz="2" w:space="0"/>
              <w:bottom w:val="single" w:color="000000" w:sz="2" w:space="0"/>
            </w:tcBorders>
            <w:vAlign w:val="top"/>
          </w:tcPr>
          <w:p w14:paraId="75270272">
            <w:pPr>
              <w:pStyle w:val="6"/>
              <w:spacing w:before="170" w:line="238" w:lineRule="auto"/>
              <w:ind w:left="17"/>
              <w:rPr>
                <w:sz w:val="18"/>
                <w:szCs w:val="18"/>
              </w:rPr>
            </w:pPr>
            <w:r>
              <w:rPr>
                <w:sz w:val="18"/>
                <w:szCs w:val="18"/>
              </w:rPr>
              <w:t>√</w:t>
            </w:r>
          </w:p>
        </w:tc>
        <w:tc>
          <w:tcPr>
            <w:tcW w:w="239" w:type="dxa"/>
            <w:tcBorders>
              <w:top w:val="single" w:color="000000" w:sz="2" w:space="0"/>
              <w:bottom w:val="single" w:color="000000" w:sz="2" w:space="0"/>
            </w:tcBorders>
            <w:vAlign w:val="top"/>
          </w:tcPr>
          <w:p w14:paraId="73546DD7">
            <w:pPr>
              <w:rPr>
                <w:rFonts w:ascii="Arial"/>
                <w:sz w:val="21"/>
              </w:rPr>
            </w:pPr>
          </w:p>
        </w:tc>
        <w:tc>
          <w:tcPr>
            <w:tcW w:w="220" w:type="dxa"/>
            <w:tcBorders>
              <w:top w:val="single" w:color="000000" w:sz="2" w:space="0"/>
              <w:bottom w:val="single" w:color="000000" w:sz="2" w:space="0"/>
            </w:tcBorders>
            <w:vAlign w:val="top"/>
          </w:tcPr>
          <w:p w14:paraId="5AC335EC">
            <w:pPr>
              <w:rPr>
                <w:rFonts w:ascii="Arial"/>
                <w:sz w:val="21"/>
              </w:rPr>
            </w:pPr>
          </w:p>
        </w:tc>
        <w:tc>
          <w:tcPr>
            <w:tcW w:w="234" w:type="dxa"/>
            <w:tcBorders>
              <w:top w:val="single" w:color="000000" w:sz="2" w:space="0"/>
              <w:bottom w:val="single" w:color="000000" w:sz="2" w:space="0"/>
            </w:tcBorders>
            <w:vAlign w:val="top"/>
          </w:tcPr>
          <w:p w14:paraId="363DD5E8">
            <w:pPr>
              <w:rPr>
                <w:rFonts w:ascii="Arial"/>
                <w:sz w:val="21"/>
              </w:rPr>
            </w:pPr>
          </w:p>
        </w:tc>
      </w:tr>
      <w:tr w14:paraId="53E30B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03" w:hRule="atLeast"/>
        </w:trPr>
        <w:tc>
          <w:tcPr>
            <w:tcW w:w="554" w:type="dxa"/>
            <w:tcBorders>
              <w:top w:val="single" w:color="000000" w:sz="2" w:space="0"/>
              <w:bottom w:val="single" w:color="000000" w:sz="2" w:space="0"/>
            </w:tcBorders>
            <w:vAlign w:val="top"/>
          </w:tcPr>
          <w:p w14:paraId="089BC133">
            <w:pPr>
              <w:spacing w:line="250" w:lineRule="auto"/>
              <w:rPr>
                <w:rFonts w:ascii="Arial"/>
                <w:sz w:val="21"/>
              </w:rPr>
            </w:pPr>
          </w:p>
          <w:p w14:paraId="6AC42745">
            <w:pPr>
              <w:spacing w:line="250" w:lineRule="auto"/>
              <w:rPr>
                <w:rFonts w:ascii="Arial"/>
                <w:sz w:val="21"/>
              </w:rPr>
            </w:pPr>
          </w:p>
          <w:p w14:paraId="5EAC2422">
            <w:pPr>
              <w:spacing w:line="251" w:lineRule="auto"/>
              <w:rPr>
                <w:rFonts w:ascii="Arial"/>
                <w:sz w:val="21"/>
              </w:rPr>
            </w:pPr>
          </w:p>
          <w:p w14:paraId="3DAD1221">
            <w:pPr>
              <w:pStyle w:val="6"/>
              <w:spacing w:before="58" w:line="223" w:lineRule="auto"/>
              <w:ind w:left="85" w:right="91"/>
              <w:jc w:val="both"/>
              <w:rPr>
                <w:sz w:val="18"/>
                <w:szCs w:val="18"/>
              </w:rPr>
            </w:pPr>
            <w:r>
              <w:rPr>
                <w:spacing w:val="-5"/>
                <w:sz w:val="18"/>
                <w:szCs w:val="18"/>
              </w:rPr>
              <w:t>单极</w:t>
            </w:r>
            <w:r>
              <w:rPr>
                <w:sz w:val="18"/>
                <w:szCs w:val="18"/>
              </w:rPr>
              <w:t xml:space="preserve"> </w:t>
            </w:r>
            <w:r>
              <w:rPr>
                <w:spacing w:val="-4"/>
                <w:sz w:val="18"/>
                <w:szCs w:val="18"/>
              </w:rPr>
              <w:t>放大</w:t>
            </w:r>
            <w:r>
              <w:rPr>
                <w:sz w:val="18"/>
                <w:szCs w:val="18"/>
              </w:rPr>
              <w:t xml:space="preserve"> </w:t>
            </w:r>
            <w:r>
              <w:rPr>
                <w:spacing w:val="3"/>
                <w:sz w:val="18"/>
                <w:szCs w:val="18"/>
              </w:rPr>
              <w:t>电路</w:t>
            </w:r>
          </w:p>
        </w:tc>
        <w:tc>
          <w:tcPr>
            <w:tcW w:w="2644" w:type="dxa"/>
            <w:tcBorders>
              <w:top w:val="single" w:color="000000" w:sz="2" w:space="0"/>
              <w:bottom w:val="single" w:color="000000" w:sz="2" w:space="0"/>
            </w:tcBorders>
            <w:vAlign w:val="top"/>
          </w:tcPr>
          <w:p w14:paraId="07B62814">
            <w:pPr>
              <w:spacing w:line="312" w:lineRule="auto"/>
              <w:rPr>
                <w:rFonts w:ascii="Arial"/>
                <w:sz w:val="21"/>
              </w:rPr>
            </w:pPr>
          </w:p>
          <w:p w14:paraId="2267F99E">
            <w:pPr>
              <w:pStyle w:val="6"/>
              <w:spacing w:before="59" w:line="231" w:lineRule="auto"/>
              <w:ind w:left="81" w:right="21"/>
              <w:rPr>
                <w:sz w:val="18"/>
                <w:szCs w:val="18"/>
              </w:rPr>
            </w:pPr>
            <w:r>
              <w:rPr>
                <w:sz w:val="18"/>
                <w:szCs w:val="18"/>
              </w:rPr>
              <w:t>1.单极共发射极放大电路的结构</w:t>
            </w:r>
            <w:r>
              <w:rPr>
                <w:spacing w:val="10"/>
                <w:sz w:val="18"/>
                <w:szCs w:val="18"/>
              </w:rPr>
              <w:t xml:space="preserve"> </w:t>
            </w:r>
            <w:r>
              <w:rPr>
                <w:spacing w:val="-1"/>
                <w:sz w:val="18"/>
                <w:szCs w:val="18"/>
              </w:rPr>
              <w:t>2.单极共发射极放大电路的工</w:t>
            </w:r>
          </w:p>
          <w:p w14:paraId="067BF199">
            <w:pPr>
              <w:pStyle w:val="6"/>
              <w:spacing w:line="213" w:lineRule="auto"/>
              <w:ind w:left="81"/>
              <w:rPr>
                <w:sz w:val="18"/>
                <w:szCs w:val="18"/>
              </w:rPr>
            </w:pPr>
            <w:r>
              <w:rPr>
                <w:spacing w:val="-2"/>
                <w:sz w:val="18"/>
                <w:szCs w:val="18"/>
              </w:rPr>
              <w:t>作原理</w:t>
            </w:r>
          </w:p>
          <w:p w14:paraId="0B06B5CD">
            <w:pPr>
              <w:pStyle w:val="6"/>
              <w:spacing w:line="227" w:lineRule="auto"/>
              <w:ind w:left="81" w:right="43"/>
              <w:rPr>
                <w:sz w:val="18"/>
                <w:szCs w:val="18"/>
              </w:rPr>
            </w:pPr>
            <w:r>
              <w:rPr>
                <w:spacing w:val="-1"/>
                <w:sz w:val="18"/>
                <w:szCs w:val="18"/>
              </w:rPr>
              <w:t>3.静态工作点的选择与波形失真</w:t>
            </w:r>
            <w:r>
              <w:rPr>
                <w:spacing w:val="3"/>
                <w:sz w:val="18"/>
                <w:szCs w:val="18"/>
              </w:rPr>
              <w:t xml:space="preserve"> </w:t>
            </w:r>
            <w:r>
              <w:rPr>
                <w:spacing w:val="-1"/>
                <w:sz w:val="18"/>
                <w:szCs w:val="18"/>
              </w:rPr>
              <w:t>4.静态工作点的稳定</w:t>
            </w:r>
          </w:p>
          <w:p w14:paraId="0F4164B7">
            <w:pPr>
              <w:pStyle w:val="6"/>
              <w:spacing w:before="7" w:line="212" w:lineRule="auto"/>
              <w:ind w:left="81" w:right="188" w:firstLine="10"/>
              <w:rPr>
                <w:sz w:val="18"/>
                <w:szCs w:val="18"/>
              </w:rPr>
            </w:pPr>
            <w:r>
              <w:rPr>
                <w:spacing w:val="1"/>
                <w:sz w:val="18"/>
                <w:szCs w:val="18"/>
              </w:rPr>
              <w:t>5.电压放大倍数、输入电阻和</w:t>
            </w:r>
            <w:r>
              <w:rPr>
                <w:sz w:val="18"/>
                <w:szCs w:val="18"/>
              </w:rPr>
              <w:t xml:space="preserve"> </w:t>
            </w:r>
            <w:r>
              <w:rPr>
                <w:spacing w:val="-2"/>
                <w:sz w:val="18"/>
                <w:szCs w:val="18"/>
              </w:rPr>
              <w:t>输出电阻</w:t>
            </w:r>
          </w:p>
        </w:tc>
        <w:tc>
          <w:tcPr>
            <w:tcW w:w="229" w:type="dxa"/>
            <w:tcBorders>
              <w:top w:val="single" w:color="000000" w:sz="2" w:space="0"/>
              <w:bottom w:val="single" w:color="000000" w:sz="2" w:space="0"/>
            </w:tcBorders>
            <w:vAlign w:val="top"/>
          </w:tcPr>
          <w:p w14:paraId="6314487C">
            <w:pPr>
              <w:rPr>
                <w:rFonts w:ascii="Arial"/>
                <w:sz w:val="21"/>
              </w:rPr>
            </w:pPr>
          </w:p>
        </w:tc>
        <w:tc>
          <w:tcPr>
            <w:tcW w:w="239" w:type="dxa"/>
            <w:tcBorders>
              <w:top w:val="single" w:color="000000" w:sz="2" w:space="0"/>
              <w:bottom w:val="single" w:color="000000" w:sz="2" w:space="0"/>
            </w:tcBorders>
            <w:vAlign w:val="top"/>
          </w:tcPr>
          <w:p w14:paraId="7D4AE7F5">
            <w:pPr>
              <w:rPr>
                <w:rFonts w:ascii="Arial"/>
                <w:sz w:val="21"/>
              </w:rPr>
            </w:pPr>
          </w:p>
        </w:tc>
        <w:tc>
          <w:tcPr>
            <w:tcW w:w="220" w:type="dxa"/>
            <w:tcBorders>
              <w:top w:val="single" w:color="000000" w:sz="2" w:space="0"/>
              <w:bottom w:val="single" w:color="000000" w:sz="2" w:space="0"/>
            </w:tcBorders>
            <w:vAlign w:val="top"/>
          </w:tcPr>
          <w:p w14:paraId="5A6911E3">
            <w:pPr>
              <w:rPr>
                <w:rFonts w:ascii="Arial"/>
                <w:sz w:val="21"/>
              </w:rPr>
            </w:pPr>
          </w:p>
        </w:tc>
        <w:tc>
          <w:tcPr>
            <w:tcW w:w="234" w:type="dxa"/>
            <w:tcBorders>
              <w:top w:val="single" w:color="000000" w:sz="2" w:space="0"/>
              <w:bottom w:val="single" w:color="000000" w:sz="2" w:space="0"/>
            </w:tcBorders>
            <w:vAlign w:val="top"/>
          </w:tcPr>
          <w:p w14:paraId="17BAF60C">
            <w:pPr>
              <w:rPr>
                <w:rFonts w:ascii="Arial"/>
                <w:sz w:val="21"/>
              </w:rPr>
            </w:pPr>
          </w:p>
        </w:tc>
      </w:tr>
      <w:tr w14:paraId="122F44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54" w:hRule="atLeast"/>
        </w:trPr>
        <w:tc>
          <w:tcPr>
            <w:tcW w:w="554" w:type="dxa"/>
            <w:tcBorders>
              <w:top w:val="single" w:color="000000" w:sz="2" w:space="0"/>
              <w:bottom w:val="single" w:color="000000" w:sz="2" w:space="0"/>
            </w:tcBorders>
            <w:vAlign w:val="top"/>
          </w:tcPr>
          <w:p w14:paraId="65015FD7">
            <w:pPr>
              <w:pStyle w:val="6"/>
              <w:spacing w:before="145" w:line="223" w:lineRule="auto"/>
              <w:ind w:left="85" w:right="91"/>
              <w:jc w:val="both"/>
              <w:rPr>
                <w:sz w:val="18"/>
                <w:szCs w:val="18"/>
              </w:rPr>
            </w:pPr>
            <w:r>
              <w:rPr>
                <w:spacing w:val="3"/>
                <w:sz w:val="18"/>
                <w:szCs w:val="18"/>
              </w:rPr>
              <w:t>多极</w:t>
            </w:r>
            <w:r>
              <w:rPr>
                <w:sz w:val="18"/>
                <w:szCs w:val="18"/>
              </w:rPr>
              <w:t xml:space="preserve"> </w:t>
            </w:r>
            <w:r>
              <w:rPr>
                <w:spacing w:val="-4"/>
                <w:sz w:val="18"/>
                <w:szCs w:val="18"/>
              </w:rPr>
              <w:t>放大</w:t>
            </w:r>
            <w:r>
              <w:rPr>
                <w:sz w:val="18"/>
                <w:szCs w:val="18"/>
              </w:rPr>
              <w:t xml:space="preserve"> </w:t>
            </w:r>
            <w:r>
              <w:rPr>
                <w:spacing w:val="3"/>
                <w:sz w:val="18"/>
                <w:szCs w:val="18"/>
              </w:rPr>
              <w:t>电路</w:t>
            </w:r>
          </w:p>
        </w:tc>
        <w:tc>
          <w:tcPr>
            <w:tcW w:w="2644" w:type="dxa"/>
            <w:tcBorders>
              <w:top w:val="single" w:color="000000" w:sz="2" w:space="0"/>
              <w:bottom w:val="single" w:color="000000" w:sz="2" w:space="0"/>
            </w:tcBorders>
            <w:vAlign w:val="top"/>
          </w:tcPr>
          <w:p w14:paraId="7CFC1888">
            <w:pPr>
              <w:pStyle w:val="6"/>
              <w:spacing w:before="264" w:line="219" w:lineRule="auto"/>
              <w:ind w:left="81"/>
              <w:rPr>
                <w:sz w:val="18"/>
                <w:szCs w:val="18"/>
              </w:rPr>
            </w:pPr>
            <w:r>
              <w:rPr>
                <w:spacing w:val="1"/>
                <w:sz w:val="18"/>
                <w:szCs w:val="18"/>
              </w:rPr>
              <w:t>1.耦合方式</w:t>
            </w:r>
          </w:p>
          <w:p w14:paraId="25C6A93B">
            <w:pPr>
              <w:pStyle w:val="6"/>
              <w:spacing w:before="6" w:line="219" w:lineRule="auto"/>
              <w:ind w:left="81"/>
              <w:rPr>
                <w:sz w:val="18"/>
                <w:szCs w:val="18"/>
              </w:rPr>
            </w:pPr>
            <w:r>
              <w:rPr>
                <w:spacing w:val="-1"/>
                <w:sz w:val="18"/>
                <w:szCs w:val="18"/>
              </w:rPr>
              <w:t>2.多级放大电路的组成</w:t>
            </w:r>
          </w:p>
        </w:tc>
        <w:tc>
          <w:tcPr>
            <w:tcW w:w="229" w:type="dxa"/>
            <w:tcBorders>
              <w:top w:val="single" w:color="000000" w:sz="2" w:space="0"/>
              <w:bottom w:val="single" w:color="000000" w:sz="2" w:space="0"/>
            </w:tcBorders>
            <w:textDirection w:val="tbRlV"/>
            <w:vAlign w:val="top"/>
          </w:tcPr>
          <w:p w14:paraId="4E74398B">
            <w:pPr>
              <w:pStyle w:val="6"/>
              <w:spacing w:before="60" w:line="178" w:lineRule="exact"/>
              <w:ind w:left="264"/>
              <w:rPr>
                <w:sz w:val="23"/>
                <w:szCs w:val="23"/>
              </w:rPr>
            </w:pPr>
            <w:r>
              <w:rPr>
                <w:spacing w:val="26"/>
                <w:w w:val="150"/>
                <w:position w:val="-4"/>
                <w:sz w:val="23"/>
                <w:szCs w:val="23"/>
              </w:rPr>
              <w:t>V</w:t>
            </w:r>
          </w:p>
        </w:tc>
        <w:tc>
          <w:tcPr>
            <w:tcW w:w="239" w:type="dxa"/>
            <w:tcBorders>
              <w:top w:val="single" w:color="000000" w:sz="2" w:space="0"/>
              <w:bottom w:val="single" w:color="000000" w:sz="2" w:space="0"/>
            </w:tcBorders>
            <w:vAlign w:val="top"/>
          </w:tcPr>
          <w:p w14:paraId="2E29FF66">
            <w:pPr>
              <w:rPr>
                <w:rFonts w:ascii="Arial"/>
                <w:sz w:val="21"/>
              </w:rPr>
            </w:pPr>
          </w:p>
        </w:tc>
        <w:tc>
          <w:tcPr>
            <w:tcW w:w="220" w:type="dxa"/>
            <w:tcBorders>
              <w:top w:val="single" w:color="000000" w:sz="2" w:space="0"/>
              <w:bottom w:val="single" w:color="000000" w:sz="2" w:space="0"/>
            </w:tcBorders>
            <w:vAlign w:val="top"/>
          </w:tcPr>
          <w:p w14:paraId="453F924B">
            <w:pPr>
              <w:rPr>
                <w:rFonts w:ascii="Arial"/>
                <w:sz w:val="21"/>
              </w:rPr>
            </w:pPr>
          </w:p>
        </w:tc>
        <w:tc>
          <w:tcPr>
            <w:tcW w:w="234" w:type="dxa"/>
            <w:tcBorders>
              <w:top w:val="single" w:color="000000" w:sz="2" w:space="0"/>
              <w:bottom w:val="single" w:color="000000" w:sz="2" w:space="0"/>
            </w:tcBorders>
            <w:vAlign w:val="top"/>
          </w:tcPr>
          <w:p w14:paraId="6503A2D6">
            <w:pPr>
              <w:rPr>
                <w:rFonts w:ascii="Arial"/>
                <w:sz w:val="21"/>
              </w:rPr>
            </w:pPr>
          </w:p>
        </w:tc>
      </w:tr>
      <w:tr w14:paraId="1C108B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84" w:hRule="atLeast"/>
        </w:trPr>
        <w:tc>
          <w:tcPr>
            <w:tcW w:w="554" w:type="dxa"/>
            <w:tcBorders>
              <w:top w:val="single" w:color="000000" w:sz="2" w:space="0"/>
              <w:bottom w:val="single" w:color="000000" w:sz="2" w:space="0"/>
            </w:tcBorders>
            <w:vAlign w:val="top"/>
          </w:tcPr>
          <w:p w14:paraId="72921B77">
            <w:pPr>
              <w:pStyle w:val="6"/>
              <w:spacing w:before="176" w:line="220" w:lineRule="auto"/>
              <w:ind w:left="85"/>
              <w:rPr>
                <w:sz w:val="18"/>
                <w:szCs w:val="18"/>
              </w:rPr>
            </w:pPr>
            <w:r>
              <w:rPr>
                <w:spacing w:val="-2"/>
                <w:sz w:val="18"/>
                <w:szCs w:val="18"/>
              </w:rPr>
              <w:t>放大</w:t>
            </w:r>
          </w:p>
          <w:p w14:paraId="05FEF54A">
            <w:pPr>
              <w:pStyle w:val="6"/>
              <w:spacing w:before="14" w:line="206" w:lineRule="auto"/>
              <w:ind w:left="85"/>
              <w:rPr>
                <w:sz w:val="18"/>
                <w:szCs w:val="18"/>
              </w:rPr>
            </w:pPr>
            <w:r>
              <w:rPr>
                <w:spacing w:val="3"/>
                <w:sz w:val="18"/>
                <w:szCs w:val="18"/>
              </w:rPr>
              <w:t>电路</w:t>
            </w:r>
          </w:p>
          <w:p w14:paraId="61A4602B">
            <w:pPr>
              <w:pStyle w:val="6"/>
              <w:spacing w:line="220" w:lineRule="auto"/>
              <w:ind w:left="85"/>
              <w:rPr>
                <w:sz w:val="18"/>
                <w:szCs w:val="18"/>
              </w:rPr>
            </w:pPr>
            <w:r>
              <w:rPr>
                <w:spacing w:val="7"/>
                <w:sz w:val="18"/>
                <w:szCs w:val="18"/>
              </w:rPr>
              <w:t>中的</w:t>
            </w:r>
          </w:p>
          <w:p w14:paraId="78EF9667">
            <w:pPr>
              <w:pStyle w:val="6"/>
              <w:spacing w:before="24" w:line="216" w:lineRule="auto"/>
              <w:ind w:left="85"/>
              <w:rPr>
                <w:sz w:val="18"/>
                <w:szCs w:val="18"/>
              </w:rPr>
            </w:pPr>
            <w:r>
              <w:rPr>
                <w:spacing w:val="3"/>
                <w:sz w:val="18"/>
                <w:szCs w:val="18"/>
              </w:rPr>
              <w:t>负反</w:t>
            </w:r>
          </w:p>
          <w:p w14:paraId="00FA1E38">
            <w:pPr>
              <w:pStyle w:val="6"/>
              <w:spacing w:line="220" w:lineRule="auto"/>
              <w:ind w:left="175"/>
              <w:rPr>
                <w:sz w:val="18"/>
                <w:szCs w:val="18"/>
              </w:rPr>
            </w:pPr>
            <w:r>
              <w:rPr>
                <w:sz w:val="18"/>
                <w:szCs w:val="18"/>
              </w:rPr>
              <w:t>馈</w:t>
            </w:r>
          </w:p>
        </w:tc>
        <w:tc>
          <w:tcPr>
            <w:tcW w:w="2644" w:type="dxa"/>
            <w:tcBorders>
              <w:top w:val="single" w:color="000000" w:sz="2" w:space="0"/>
              <w:bottom w:val="single" w:color="000000" w:sz="2" w:space="0"/>
            </w:tcBorders>
            <w:vAlign w:val="top"/>
          </w:tcPr>
          <w:p w14:paraId="29C6CD22">
            <w:pPr>
              <w:pStyle w:val="6"/>
              <w:spacing w:before="195" w:line="215" w:lineRule="auto"/>
              <w:ind w:left="81"/>
              <w:rPr>
                <w:sz w:val="18"/>
                <w:szCs w:val="18"/>
              </w:rPr>
            </w:pPr>
            <w:r>
              <w:rPr>
                <w:sz w:val="18"/>
                <w:szCs w:val="18"/>
              </w:rPr>
              <w:t>1.负反馈的概念</w:t>
            </w:r>
          </w:p>
          <w:p w14:paraId="380FCFB4">
            <w:pPr>
              <w:pStyle w:val="6"/>
              <w:spacing w:line="212" w:lineRule="auto"/>
              <w:ind w:left="81" w:right="1122"/>
              <w:rPr>
                <w:sz w:val="18"/>
                <w:szCs w:val="18"/>
              </w:rPr>
            </w:pPr>
            <w:r>
              <w:rPr>
                <w:spacing w:val="-2"/>
                <w:sz w:val="18"/>
                <w:szCs w:val="18"/>
              </w:rPr>
              <w:t>2.反馈的极性判断</w:t>
            </w:r>
            <w:r>
              <w:rPr>
                <w:spacing w:val="7"/>
                <w:sz w:val="18"/>
                <w:szCs w:val="18"/>
              </w:rPr>
              <w:t xml:space="preserve"> </w:t>
            </w:r>
            <w:r>
              <w:rPr>
                <w:spacing w:val="-2"/>
                <w:sz w:val="18"/>
                <w:szCs w:val="18"/>
              </w:rPr>
              <w:t>3.直流负反馈</w:t>
            </w:r>
          </w:p>
          <w:p w14:paraId="1A7ADA6C">
            <w:pPr>
              <w:pStyle w:val="6"/>
              <w:spacing w:before="26" w:line="219" w:lineRule="auto"/>
              <w:ind w:left="81"/>
              <w:rPr>
                <w:sz w:val="18"/>
                <w:szCs w:val="18"/>
              </w:rPr>
            </w:pPr>
            <w:r>
              <w:rPr>
                <w:spacing w:val="-1"/>
                <w:sz w:val="18"/>
                <w:szCs w:val="18"/>
              </w:rPr>
              <w:t>4.负反馈放大电路的类型</w:t>
            </w:r>
          </w:p>
          <w:p w14:paraId="41B30A78">
            <w:pPr>
              <w:pStyle w:val="6"/>
              <w:spacing w:before="6" w:line="219" w:lineRule="auto"/>
              <w:ind w:left="81"/>
              <w:rPr>
                <w:sz w:val="18"/>
                <w:szCs w:val="18"/>
              </w:rPr>
            </w:pPr>
            <w:r>
              <w:rPr>
                <w:spacing w:val="1"/>
                <w:sz w:val="18"/>
                <w:szCs w:val="18"/>
              </w:rPr>
              <w:t>5.负反馈对放大器性能的影响</w:t>
            </w:r>
          </w:p>
        </w:tc>
        <w:tc>
          <w:tcPr>
            <w:tcW w:w="229" w:type="dxa"/>
            <w:tcBorders>
              <w:top w:val="single" w:color="000000" w:sz="2" w:space="0"/>
              <w:bottom w:val="single" w:color="000000" w:sz="2" w:space="0"/>
            </w:tcBorders>
            <w:vAlign w:val="top"/>
          </w:tcPr>
          <w:p w14:paraId="49C259C1">
            <w:pPr>
              <w:rPr>
                <w:rFonts w:ascii="Arial"/>
                <w:sz w:val="21"/>
              </w:rPr>
            </w:pPr>
          </w:p>
        </w:tc>
        <w:tc>
          <w:tcPr>
            <w:tcW w:w="239" w:type="dxa"/>
            <w:tcBorders>
              <w:top w:val="single" w:color="000000" w:sz="2" w:space="0"/>
              <w:bottom w:val="single" w:color="000000" w:sz="2" w:space="0"/>
            </w:tcBorders>
            <w:vAlign w:val="top"/>
          </w:tcPr>
          <w:p w14:paraId="491AC8AF">
            <w:pPr>
              <w:rPr>
                <w:rFonts w:ascii="Arial"/>
                <w:sz w:val="21"/>
              </w:rPr>
            </w:pPr>
          </w:p>
        </w:tc>
        <w:tc>
          <w:tcPr>
            <w:tcW w:w="220" w:type="dxa"/>
            <w:tcBorders>
              <w:top w:val="single" w:color="000000" w:sz="2" w:space="0"/>
              <w:bottom w:val="single" w:color="000000" w:sz="2" w:space="0"/>
            </w:tcBorders>
            <w:vAlign w:val="top"/>
          </w:tcPr>
          <w:p w14:paraId="2B159446">
            <w:pPr>
              <w:rPr>
                <w:rFonts w:ascii="Arial"/>
                <w:sz w:val="21"/>
              </w:rPr>
            </w:pPr>
          </w:p>
        </w:tc>
        <w:tc>
          <w:tcPr>
            <w:tcW w:w="234" w:type="dxa"/>
            <w:tcBorders>
              <w:top w:val="single" w:color="000000" w:sz="2" w:space="0"/>
              <w:bottom w:val="single" w:color="000000" w:sz="2" w:space="0"/>
            </w:tcBorders>
            <w:vAlign w:val="top"/>
          </w:tcPr>
          <w:p w14:paraId="38C049B5">
            <w:pPr>
              <w:rPr>
                <w:rFonts w:ascii="Arial"/>
                <w:sz w:val="21"/>
              </w:rPr>
            </w:pPr>
          </w:p>
        </w:tc>
      </w:tr>
      <w:tr w14:paraId="73B3EE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64" w:hRule="atLeast"/>
        </w:trPr>
        <w:tc>
          <w:tcPr>
            <w:tcW w:w="554" w:type="dxa"/>
            <w:tcBorders>
              <w:top w:val="single" w:color="000000" w:sz="2" w:space="0"/>
              <w:bottom w:val="single" w:color="000000" w:sz="2" w:space="0"/>
            </w:tcBorders>
            <w:vAlign w:val="top"/>
          </w:tcPr>
          <w:p w14:paraId="47D267CA">
            <w:pPr>
              <w:pStyle w:val="6"/>
              <w:spacing w:before="36" w:line="219" w:lineRule="auto"/>
              <w:ind w:left="85"/>
              <w:rPr>
                <w:sz w:val="18"/>
                <w:szCs w:val="18"/>
              </w:rPr>
            </w:pPr>
            <w:r>
              <w:rPr>
                <w:spacing w:val="-2"/>
                <w:sz w:val="18"/>
                <w:szCs w:val="18"/>
              </w:rPr>
              <w:t>集成</w:t>
            </w:r>
          </w:p>
          <w:p w14:paraId="25BA6E9D">
            <w:pPr>
              <w:pStyle w:val="6"/>
              <w:spacing w:before="6" w:line="216" w:lineRule="auto"/>
              <w:ind w:left="85"/>
              <w:rPr>
                <w:sz w:val="18"/>
                <w:szCs w:val="18"/>
              </w:rPr>
            </w:pPr>
            <w:r>
              <w:rPr>
                <w:spacing w:val="-2"/>
                <w:sz w:val="18"/>
                <w:szCs w:val="18"/>
              </w:rPr>
              <w:t>运算</w:t>
            </w:r>
          </w:p>
          <w:p w14:paraId="4D62D74E">
            <w:pPr>
              <w:pStyle w:val="6"/>
              <w:spacing w:line="209" w:lineRule="auto"/>
              <w:ind w:left="85"/>
              <w:rPr>
                <w:sz w:val="18"/>
                <w:szCs w:val="18"/>
              </w:rPr>
            </w:pPr>
            <w:r>
              <w:rPr>
                <w:spacing w:val="-2"/>
                <w:sz w:val="18"/>
                <w:szCs w:val="18"/>
              </w:rPr>
              <w:t>放大</w:t>
            </w:r>
          </w:p>
          <w:p w14:paraId="1CF67638">
            <w:pPr>
              <w:pStyle w:val="6"/>
              <w:spacing w:line="187" w:lineRule="auto"/>
              <w:ind w:left="175"/>
              <w:rPr>
                <w:sz w:val="18"/>
                <w:szCs w:val="18"/>
              </w:rPr>
            </w:pPr>
            <w:r>
              <w:rPr>
                <w:sz w:val="18"/>
                <w:szCs w:val="18"/>
              </w:rPr>
              <w:t>器</w:t>
            </w:r>
          </w:p>
        </w:tc>
        <w:tc>
          <w:tcPr>
            <w:tcW w:w="2644" w:type="dxa"/>
            <w:tcBorders>
              <w:top w:val="single" w:color="000000" w:sz="2" w:space="0"/>
              <w:bottom w:val="single" w:color="000000" w:sz="2" w:space="0"/>
            </w:tcBorders>
            <w:vAlign w:val="top"/>
          </w:tcPr>
          <w:p w14:paraId="73D0ADBA">
            <w:pPr>
              <w:pStyle w:val="6"/>
              <w:spacing w:before="156" w:line="217" w:lineRule="auto"/>
              <w:ind w:left="81" w:right="561"/>
              <w:rPr>
                <w:sz w:val="18"/>
                <w:szCs w:val="18"/>
              </w:rPr>
            </w:pPr>
            <w:r>
              <w:rPr>
                <w:sz w:val="18"/>
                <w:szCs w:val="18"/>
              </w:rPr>
              <w:t>1.集成运算放大器的结构</w:t>
            </w:r>
            <w:r>
              <w:rPr>
                <w:spacing w:val="10"/>
                <w:sz w:val="18"/>
                <w:szCs w:val="18"/>
              </w:rPr>
              <w:t xml:space="preserve"> </w:t>
            </w:r>
            <w:r>
              <w:rPr>
                <w:spacing w:val="-1"/>
                <w:sz w:val="18"/>
                <w:szCs w:val="18"/>
              </w:rPr>
              <w:t>2.集成运放的电路组成</w:t>
            </w:r>
          </w:p>
          <w:p w14:paraId="180E3CEE">
            <w:pPr>
              <w:pStyle w:val="6"/>
              <w:spacing w:before="16" w:line="219" w:lineRule="auto"/>
              <w:ind w:left="81"/>
              <w:rPr>
                <w:sz w:val="18"/>
                <w:szCs w:val="18"/>
              </w:rPr>
            </w:pPr>
            <w:r>
              <w:rPr>
                <w:spacing w:val="-2"/>
                <w:sz w:val="18"/>
                <w:szCs w:val="18"/>
              </w:rPr>
              <w:t>3.理想集成运放</w:t>
            </w:r>
          </w:p>
        </w:tc>
        <w:tc>
          <w:tcPr>
            <w:tcW w:w="229" w:type="dxa"/>
            <w:tcBorders>
              <w:top w:val="single" w:color="000000" w:sz="2" w:space="0"/>
              <w:bottom w:val="single" w:color="000000" w:sz="2" w:space="0"/>
            </w:tcBorders>
            <w:vAlign w:val="top"/>
          </w:tcPr>
          <w:p w14:paraId="28F82D7D">
            <w:pPr>
              <w:rPr>
                <w:rFonts w:ascii="Arial"/>
                <w:sz w:val="21"/>
              </w:rPr>
            </w:pPr>
          </w:p>
        </w:tc>
        <w:tc>
          <w:tcPr>
            <w:tcW w:w="239" w:type="dxa"/>
            <w:tcBorders>
              <w:top w:val="single" w:color="000000" w:sz="2" w:space="0"/>
              <w:bottom w:val="single" w:color="000000" w:sz="2" w:space="0"/>
            </w:tcBorders>
            <w:vAlign w:val="top"/>
          </w:tcPr>
          <w:p w14:paraId="02F67215">
            <w:pPr>
              <w:rPr>
                <w:rFonts w:ascii="Arial"/>
                <w:sz w:val="21"/>
              </w:rPr>
            </w:pPr>
          </w:p>
        </w:tc>
        <w:tc>
          <w:tcPr>
            <w:tcW w:w="220" w:type="dxa"/>
            <w:tcBorders>
              <w:top w:val="single" w:color="000000" w:sz="2" w:space="0"/>
              <w:bottom w:val="single" w:color="000000" w:sz="2" w:space="0"/>
            </w:tcBorders>
            <w:vAlign w:val="top"/>
          </w:tcPr>
          <w:p w14:paraId="3346E91E">
            <w:pPr>
              <w:rPr>
                <w:rFonts w:ascii="Arial"/>
                <w:sz w:val="21"/>
              </w:rPr>
            </w:pPr>
          </w:p>
        </w:tc>
        <w:tc>
          <w:tcPr>
            <w:tcW w:w="234" w:type="dxa"/>
            <w:tcBorders>
              <w:top w:val="single" w:color="000000" w:sz="2" w:space="0"/>
              <w:bottom w:val="single" w:color="000000" w:sz="2" w:space="0"/>
            </w:tcBorders>
            <w:vAlign w:val="top"/>
          </w:tcPr>
          <w:p w14:paraId="4CA39926">
            <w:pPr>
              <w:rPr>
                <w:rFonts w:ascii="Arial"/>
                <w:sz w:val="21"/>
              </w:rPr>
            </w:pPr>
          </w:p>
        </w:tc>
      </w:tr>
      <w:tr w14:paraId="267EE8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9" w:hRule="atLeast"/>
        </w:trPr>
        <w:tc>
          <w:tcPr>
            <w:tcW w:w="4120" w:type="dxa"/>
            <w:gridSpan w:val="6"/>
            <w:tcBorders>
              <w:top w:val="single" w:color="000000" w:sz="2" w:space="0"/>
              <w:bottom w:val="single" w:color="000000" w:sz="2" w:space="0"/>
            </w:tcBorders>
            <w:vAlign w:val="top"/>
          </w:tcPr>
          <w:p w14:paraId="5E9DCEA7">
            <w:pPr>
              <w:pStyle w:val="6"/>
              <w:spacing w:before="167" w:line="243" w:lineRule="auto"/>
              <w:ind w:left="884" w:right="524" w:hanging="359"/>
              <w:rPr>
                <w:sz w:val="18"/>
                <w:szCs w:val="18"/>
              </w:rPr>
            </w:pPr>
            <w:r>
              <w:rPr>
                <w:sz w:val="18"/>
                <w:szCs w:val="18"/>
              </w:rPr>
              <w:t xml:space="preserve">实验一：二极管、三极管的识别与检测 </w:t>
            </w:r>
            <w:r>
              <w:rPr>
                <w:spacing w:val="1"/>
                <w:sz w:val="18"/>
                <w:szCs w:val="18"/>
              </w:rPr>
              <w:t>实验二：常用电子仪器的使用</w:t>
            </w:r>
          </w:p>
        </w:tc>
      </w:tr>
    </w:tbl>
    <w:p w14:paraId="718B76A8">
      <w:pPr>
        <w:spacing w:before="119" w:line="222" w:lineRule="auto"/>
        <w:ind w:left="1477"/>
        <w:rPr>
          <w:rFonts w:ascii="黑体" w:hAnsi="黑体" w:eastAsia="黑体" w:cs="黑体"/>
          <w:sz w:val="20"/>
          <w:szCs w:val="20"/>
        </w:rPr>
      </w:pPr>
      <w:r>
        <w:rPr>
          <w:rFonts w:ascii="黑体" w:hAnsi="黑体" w:eastAsia="黑体" w:cs="黑体"/>
          <w:b/>
          <w:bCs/>
          <w:spacing w:val="-7"/>
          <w:sz w:val="20"/>
          <w:szCs w:val="20"/>
        </w:rPr>
        <w:t>九、数字电路</w:t>
      </w:r>
    </w:p>
    <w:p w14:paraId="443C0C33">
      <w:pPr>
        <w:spacing w:line="150" w:lineRule="exact"/>
      </w:pPr>
    </w:p>
    <w:tbl>
      <w:tblPr>
        <w:tblStyle w:val="5"/>
        <w:tblW w:w="4130" w:type="dxa"/>
        <w:tblInd w:w="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54"/>
        <w:gridCol w:w="2644"/>
        <w:gridCol w:w="229"/>
        <w:gridCol w:w="229"/>
        <w:gridCol w:w="230"/>
        <w:gridCol w:w="244"/>
      </w:tblGrid>
      <w:tr w14:paraId="77F790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3" w:hRule="atLeast"/>
        </w:trPr>
        <w:tc>
          <w:tcPr>
            <w:tcW w:w="554" w:type="dxa"/>
            <w:vMerge w:val="restart"/>
            <w:tcBorders>
              <w:bottom w:val="nil"/>
            </w:tcBorders>
            <w:vAlign w:val="top"/>
          </w:tcPr>
          <w:p w14:paraId="40539ACF">
            <w:pPr>
              <w:pStyle w:val="6"/>
              <w:spacing w:before="92" w:line="226" w:lineRule="auto"/>
              <w:ind w:left="17" w:right="26" w:firstLine="79"/>
            </w:pPr>
            <w:r>
              <w:rPr>
                <w:b/>
                <w:bCs/>
                <w:spacing w:val="-7"/>
              </w:rPr>
              <w:t>知识</w:t>
            </w:r>
            <w:r>
              <w:t xml:space="preserve">  </w:t>
            </w:r>
            <w:r>
              <w:rPr>
                <w:b/>
                <w:bCs/>
                <w:spacing w:val="-6"/>
              </w:rPr>
              <w:t>与技能</w:t>
            </w:r>
            <w:r>
              <w:rPr>
                <w:spacing w:val="1"/>
              </w:rPr>
              <w:t xml:space="preserve"> </w:t>
            </w:r>
            <w:r>
              <w:rPr>
                <w:b/>
                <w:bCs/>
                <w:spacing w:val="34"/>
              </w:rPr>
              <w:t>要点</w:t>
            </w:r>
          </w:p>
        </w:tc>
        <w:tc>
          <w:tcPr>
            <w:tcW w:w="2644" w:type="dxa"/>
            <w:vMerge w:val="restart"/>
            <w:tcBorders>
              <w:bottom w:val="nil"/>
            </w:tcBorders>
            <w:vAlign w:val="top"/>
          </w:tcPr>
          <w:p w14:paraId="3A6B4173">
            <w:pPr>
              <w:spacing w:line="252" w:lineRule="auto"/>
              <w:rPr>
                <w:rFonts w:ascii="Arial"/>
                <w:sz w:val="21"/>
              </w:rPr>
            </w:pPr>
          </w:p>
          <w:p w14:paraId="09E12804">
            <w:pPr>
              <w:pStyle w:val="6"/>
              <w:spacing w:before="56" w:line="219" w:lineRule="auto"/>
              <w:ind w:left="993"/>
            </w:pPr>
            <w:r>
              <w:rPr>
                <w:b/>
                <w:bCs/>
                <w:spacing w:val="5"/>
              </w:rPr>
              <w:t>考试条目</w:t>
            </w:r>
          </w:p>
        </w:tc>
        <w:tc>
          <w:tcPr>
            <w:tcW w:w="932" w:type="dxa"/>
            <w:gridSpan w:val="4"/>
            <w:vAlign w:val="top"/>
          </w:tcPr>
          <w:p w14:paraId="2615DA5F">
            <w:pPr>
              <w:pStyle w:val="6"/>
              <w:spacing w:before="109" w:line="219" w:lineRule="auto"/>
              <w:ind w:left="129"/>
            </w:pPr>
            <w:r>
              <w:rPr>
                <w:b/>
                <w:bCs/>
                <w:spacing w:val="-4"/>
              </w:rPr>
              <w:t>考试水平</w:t>
            </w:r>
          </w:p>
        </w:tc>
      </w:tr>
      <w:tr w14:paraId="45AE40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8" w:hRule="atLeast"/>
        </w:trPr>
        <w:tc>
          <w:tcPr>
            <w:tcW w:w="554" w:type="dxa"/>
            <w:vMerge w:val="continue"/>
            <w:tcBorders>
              <w:top w:val="nil"/>
            </w:tcBorders>
            <w:vAlign w:val="top"/>
          </w:tcPr>
          <w:p w14:paraId="7AB6742C">
            <w:pPr>
              <w:rPr>
                <w:rFonts w:ascii="Arial"/>
                <w:sz w:val="21"/>
              </w:rPr>
            </w:pPr>
          </w:p>
        </w:tc>
        <w:tc>
          <w:tcPr>
            <w:tcW w:w="2644" w:type="dxa"/>
            <w:vMerge w:val="continue"/>
            <w:tcBorders>
              <w:top w:val="nil"/>
            </w:tcBorders>
            <w:vAlign w:val="top"/>
          </w:tcPr>
          <w:p w14:paraId="0321E273">
            <w:pPr>
              <w:rPr>
                <w:rFonts w:ascii="Arial"/>
                <w:sz w:val="21"/>
              </w:rPr>
            </w:pPr>
          </w:p>
        </w:tc>
        <w:tc>
          <w:tcPr>
            <w:tcW w:w="229" w:type="dxa"/>
            <w:vAlign w:val="top"/>
          </w:tcPr>
          <w:p w14:paraId="4FD7C4B5">
            <w:pPr>
              <w:pStyle w:val="6"/>
              <w:spacing w:before="151" w:line="184" w:lineRule="auto"/>
              <w:ind w:left="47"/>
            </w:pPr>
            <w:r>
              <w:t>A</w:t>
            </w:r>
          </w:p>
        </w:tc>
        <w:tc>
          <w:tcPr>
            <w:tcW w:w="229" w:type="dxa"/>
            <w:vAlign w:val="top"/>
          </w:tcPr>
          <w:p w14:paraId="4C67C857">
            <w:pPr>
              <w:pStyle w:val="6"/>
              <w:spacing w:before="153" w:line="182" w:lineRule="auto"/>
              <w:ind w:left="18"/>
            </w:pPr>
            <w:r>
              <w:t>B</w:t>
            </w:r>
          </w:p>
        </w:tc>
        <w:tc>
          <w:tcPr>
            <w:tcW w:w="230" w:type="dxa"/>
            <w:vAlign w:val="top"/>
          </w:tcPr>
          <w:p w14:paraId="41A2784F">
            <w:pPr>
              <w:pStyle w:val="6"/>
              <w:spacing w:before="152" w:line="183" w:lineRule="auto"/>
              <w:ind w:left="48"/>
            </w:pPr>
            <w:r>
              <w:t>C</w:t>
            </w:r>
          </w:p>
        </w:tc>
        <w:tc>
          <w:tcPr>
            <w:tcW w:w="244" w:type="dxa"/>
            <w:vAlign w:val="top"/>
          </w:tcPr>
          <w:p w14:paraId="57DEF77D">
            <w:pPr>
              <w:pStyle w:val="6"/>
              <w:spacing w:before="153" w:line="182" w:lineRule="auto"/>
              <w:ind w:left="29"/>
            </w:pPr>
            <w:r>
              <w:t>D</w:t>
            </w:r>
          </w:p>
        </w:tc>
      </w:tr>
      <w:tr w14:paraId="38AFFA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17" w:hRule="atLeast"/>
        </w:trPr>
        <w:tc>
          <w:tcPr>
            <w:tcW w:w="554" w:type="dxa"/>
            <w:vAlign w:val="top"/>
          </w:tcPr>
          <w:p w14:paraId="3D375B28">
            <w:pPr>
              <w:pStyle w:val="6"/>
              <w:spacing w:before="130" w:line="224" w:lineRule="auto"/>
              <w:ind w:left="94" w:right="102"/>
            </w:pPr>
            <w:r>
              <w:rPr>
                <w:spacing w:val="-4"/>
              </w:rPr>
              <w:t>数字</w:t>
            </w:r>
            <w:r>
              <w:t xml:space="preserve"> </w:t>
            </w:r>
            <w:r>
              <w:rPr>
                <w:spacing w:val="3"/>
              </w:rPr>
              <w:t>电路</w:t>
            </w:r>
          </w:p>
        </w:tc>
        <w:tc>
          <w:tcPr>
            <w:tcW w:w="2644" w:type="dxa"/>
            <w:vAlign w:val="top"/>
          </w:tcPr>
          <w:p w14:paraId="539EF4DB">
            <w:pPr>
              <w:pStyle w:val="6"/>
              <w:spacing w:before="140" w:line="213" w:lineRule="auto"/>
              <w:ind w:left="71" w:right="1366"/>
            </w:pPr>
            <w:r>
              <w:t>1.数字电路概述</w:t>
            </w:r>
            <w:r>
              <w:rPr>
                <w:spacing w:val="5"/>
              </w:rPr>
              <w:t xml:space="preserve"> </w:t>
            </w:r>
            <w:r>
              <w:rPr>
                <w:spacing w:val="2"/>
              </w:rPr>
              <w:t>2.数制和码制</w:t>
            </w:r>
          </w:p>
        </w:tc>
        <w:tc>
          <w:tcPr>
            <w:tcW w:w="229" w:type="dxa"/>
            <w:vAlign w:val="top"/>
          </w:tcPr>
          <w:p w14:paraId="287B4AC9">
            <w:pPr>
              <w:rPr>
                <w:rFonts w:ascii="Arial"/>
                <w:sz w:val="21"/>
              </w:rPr>
            </w:pPr>
          </w:p>
        </w:tc>
        <w:tc>
          <w:tcPr>
            <w:tcW w:w="229" w:type="dxa"/>
            <w:vAlign w:val="top"/>
          </w:tcPr>
          <w:p w14:paraId="2C805465">
            <w:pPr>
              <w:rPr>
                <w:rFonts w:ascii="Arial"/>
                <w:sz w:val="21"/>
              </w:rPr>
            </w:pPr>
          </w:p>
        </w:tc>
        <w:tc>
          <w:tcPr>
            <w:tcW w:w="230" w:type="dxa"/>
            <w:vAlign w:val="top"/>
          </w:tcPr>
          <w:p w14:paraId="7228DC31">
            <w:pPr>
              <w:rPr>
                <w:rFonts w:ascii="Arial"/>
                <w:sz w:val="21"/>
              </w:rPr>
            </w:pPr>
          </w:p>
        </w:tc>
        <w:tc>
          <w:tcPr>
            <w:tcW w:w="244" w:type="dxa"/>
            <w:vAlign w:val="top"/>
          </w:tcPr>
          <w:p w14:paraId="5DF7DD31">
            <w:pPr>
              <w:rPr>
                <w:rFonts w:ascii="Arial"/>
                <w:sz w:val="21"/>
              </w:rPr>
            </w:pPr>
          </w:p>
        </w:tc>
      </w:tr>
      <w:tr w14:paraId="72FC0C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71" w:hRule="atLeast"/>
        </w:trPr>
        <w:tc>
          <w:tcPr>
            <w:tcW w:w="554" w:type="dxa"/>
            <w:vAlign w:val="top"/>
          </w:tcPr>
          <w:p w14:paraId="3F59415F">
            <w:pPr>
              <w:pStyle w:val="6"/>
              <w:spacing w:before="194" w:line="221" w:lineRule="auto"/>
              <w:ind w:left="94"/>
            </w:pPr>
            <w:r>
              <w:rPr>
                <w:spacing w:val="-2"/>
              </w:rPr>
              <w:t>逻辑</w:t>
            </w:r>
          </w:p>
          <w:p w14:paraId="35D59868">
            <w:pPr>
              <w:pStyle w:val="6"/>
              <w:spacing w:before="18" w:line="223" w:lineRule="auto"/>
              <w:ind w:left="94"/>
            </w:pPr>
            <w:r>
              <w:rPr>
                <w:spacing w:val="5"/>
              </w:rPr>
              <w:t>门电</w:t>
            </w:r>
          </w:p>
          <w:p w14:paraId="6286BC97">
            <w:pPr>
              <w:pStyle w:val="6"/>
              <w:spacing w:before="1" w:line="219" w:lineRule="auto"/>
              <w:ind w:left="185"/>
            </w:pPr>
            <w:r>
              <w:t>路</w:t>
            </w:r>
          </w:p>
        </w:tc>
        <w:tc>
          <w:tcPr>
            <w:tcW w:w="2644" w:type="dxa"/>
            <w:vAlign w:val="top"/>
          </w:tcPr>
          <w:p w14:paraId="34981455">
            <w:pPr>
              <w:pStyle w:val="6"/>
              <w:spacing w:before="106" w:line="231" w:lineRule="auto"/>
              <w:ind w:left="71" w:right="1353"/>
              <w:jc w:val="both"/>
            </w:pPr>
            <w:r>
              <w:rPr>
                <w:spacing w:val="2"/>
              </w:rPr>
              <w:t>1.与逻辑及与门 2.或逻辑及或门 3.非逻辑及非门 4.复合逻辑门</w:t>
            </w:r>
          </w:p>
        </w:tc>
        <w:tc>
          <w:tcPr>
            <w:tcW w:w="229" w:type="dxa"/>
            <w:vAlign w:val="top"/>
          </w:tcPr>
          <w:p w14:paraId="26C1237B">
            <w:pPr>
              <w:rPr>
                <w:rFonts w:ascii="Arial"/>
                <w:sz w:val="21"/>
              </w:rPr>
            </w:pPr>
          </w:p>
        </w:tc>
        <w:tc>
          <w:tcPr>
            <w:tcW w:w="229" w:type="dxa"/>
            <w:vAlign w:val="top"/>
          </w:tcPr>
          <w:p w14:paraId="4ACF9AFC">
            <w:pPr>
              <w:rPr>
                <w:rFonts w:ascii="Arial"/>
                <w:sz w:val="21"/>
              </w:rPr>
            </w:pPr>
          </w:p>
        </w:tc>
        <w:tc>
          <w:tcPr>
            <w:tcW w:w="230" w:type="dxa"/>
            <w:vAlign w:val="top"/>
          </w:tcPr>
          <w:p w14:paraId="43E367D8">
            <w:pPr>
              <w:rPr>
                <w:rFonts w:ascii="Arial"/>
                <w:sz w:val="21"/>
              </w:rPr>
            </w:pPr>
          </w:p>
        </w:tc>
        <w:tc>
          <w:tcPr>
            <w:tcW w:w="244" w:type="dxa"/>
            <w:vAlign w:val="top"/>
          </w:tcPr>
          <w:p w14:paraId="65A9848A">
            <w:pPr>
              <w:rPr>
                <w:rFonts w:ascii="Arial"/>
                <w:sz w:val="21"/>
              </w:rPr>
            </w:pPr>
          </w:p>
        </w:tc>
      </w:tr>
    </w:tbl>
    <w:p w14:paraId="55FD109D">
      <w:pPr>
        <w:spacing w:before="118" w:line="221" w:lineRule="auto"/>
        <w:ind w:left="1277"/>
        <w:rPr>
          <w:rFonts w:ascii="黑体" w:hAnsi="黑体" w:eastAsia="黑体" w:cs="黑体"/>
          <w:sz w:val="20"/>
          <w:szCs w:val="20"/>
        </w:rPr>
      </w:pPr>
      <w:r>
        <w:rPr>
          <w:rFonts w:ascii="黑体" w:hAnsi="黑体" w:eastAsia="黑体" w:cs="黑体"/>
          <w:b/>
          <w:bCs/>
          <w:spacing w:val="-5"/>
          <w:sz w:val="20"/>
          <w:szCs w:val="20"/>
        </w:rPr>
        <w:t>十、直流稳压电路</w:t>
      </w:r>
    </w:p>
    <w:p w14:paraId="22D66922">
      <w:pPr>
        <w:spacing w:line="162" w:lineRule="exact"/>
      </w:pPr>
    </w:p>
    <w:tbl>
      <w:tblPr>
        <w:tblStyle w:val="5"/>
        <w:tblW w:w="4130" w:type="dxa"/>
        <w:tblInd w:w="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54"/>
        <w:gridCol w:w="2644"/>
        <w:gridCol w:w="229"/>
        <w:gridCol w:w="229"/>
        <w:gridCol w:w="230"/>
        <w:gridCol w:w="244"/>
      </w:tblGrid>
      <w:tr w14:paraId="0DCE5A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8" w:hRule="atLeast"/>
        </w:trPr>
        <w:tc>
          <w:tcPr>
            <w:tcW w:w="554" w:type="dxa"/>
            <w:vMerge w:val="restart"/>
            <w:tcBorders>
              <w:top w:val="single" w:color="000000" w:sz="2" w:space="0"/>
              <w:bottom w:val="nil"/>
            </w:tcBorders>
            <w:vAlign w:val="top"/>
          </w:tcPr>
          <w:p w14:paraId="6F54FBB9">
            <w:pPr>
              <w:pStyle w:val="6"/>
              <w:spacing w:before="95" w:line="225" w:lineRule="auto"/>
              <w:ind w:left="17" w:firstLine="69"/>
              <w:rPr>
                <w:sz w:val="18"/>
                <w:szCs w:val="18"/>
              </w:rPr>
            </w:pPr>
            <w:r>
              <w:rPr>
                <w:b/>
                <w:bCs/>
                <w:spacing w:val="-9"/>
                <w:sz w:val="18"/>
                <w:szCs w:val="18"/>
              </w:rPr>
              <w:t>知识</w:t>
            </w:r>
            <w:r>
              <w:rPr>
                <w:sz w:val="18"/>
                <w:szCs w:val="18"/>
              </w:rPr>
              <w:t xml:space="preserve">  </w:t>
            </w:r>
            <w:r>
              <w:rPr>
                <w:b/>
                <w:bCs/>
                <w:spacing w:val="-7"/>
                <w:sz w:val="18"/>
                <w:szCs w:val="18"/>
              </w:rPr>
              <w:t>与技能</w:t>
            </w:r>
            <w:r>
              <w:rPr>
                <w:sz w:val="18"/>
                <w:szCs w:val="18"/>
              </w:rPr>
              <w:t xml:space="preserve"> </w:t>
            </w:r>
            <w:r>
              <w:rPr>
                <w:b/>
                <w:bCs/>
                <w:spacing w:val="28"/>
                <w:sz w:val="18"/>
                <w:szCs w:val="18"/>
              </w:rPr>
              <w:t>要点</w:t>
            </w:r>
          </w:p>
        </w:tc>
        <w:tc>
          <w:tcPr>
            <w:tcW w:w="2644" w:type="dxa"/>
            <w:vMerge w:val="restart"/>
            <w:tcBorders>
              <w:top w:val="single" w:color="000000" w:sz="2" w:space="0"/>
              <w:bottom w:val="nil"/>
            </w:tcBorders>
            <w:vAlign w:val="top"/>
          </w:tcPr>
          <w:p w14:paraId="236699EA">
            <w:pPr>
              <w:spacing w:line="244" w:lineRule="auto"/>
              <w:rPr>
                <w:rFonts w:ascii="Arial"/>
                <w:sz w:val="21"/>
              </w:rPr>
            </w:pPr>
          </w:p>
          <w:p w14:paraId="7F65C90A">
            <w:pPr>
              <w:pStyle w:val="6"/>
              <w:spacing w:before="58" w:line="219" w:lineRule="auto"/>
              <w:ind w:left="993"/>
              <w:rPr>
                <w:sz w:val="18"/>
                <w:szCs w:val="18"/>
              </w:rPr>
            </w:pPr>
            <w:r>
              <w:rPr>
                <w:b/>
                <w:bCs/>
                <w:spacing w:val="5"/>
                <w:sz w:val="18"/>
                <w:szCs w:val="18"/>
              </w:rPr>
              <w:t>考试条目</w:t>
            </w:r>
          </w:p>
        </w:tc>
        <w:tc>
          <w:tcPr>
            <w:tcW w:w="932" w:type="dxa"/>
            <w:gridSpan w:val="4"/>
            <w:tcBorders>
              <w:top w:val="single" w:color="000000" w:sz="2" w:space="0"/>
              <w:bottom w:val="single" w:color="000000" w:sz="2" w:space="0"/>
            </w:tcBorders>
            <w:vAlign w:val="top"/>
          </w:tcPr>
          <w:p w14:paraId="7FE01BBC">
            <w:pPr>
              <w:pStyle w:val="6"/>
              <w:spacing w:before="114" w:line="219" w:lineRule="auto"/>
              <w:ind w:left="119"/>
              <w:rPr>
                <w:sz w:val="18"/>
                <w:szCs w:val="18"/>
              </w:rPr>
            </w:pPr>
            <w:r>
              <w:rPr>
                <w:b/>
                <w:bCs/>
                <w:spacing w:val="-4"/>
                <w:sz w:val="18"/>
                <w:szCs w:val="18"/>
              </w:rPr>
              <w:t>考试水平</w:t>
            </w:r>
          </w:p>
        </w:tc>
      </w:tr>
      <w:tr w14:paraId="7A8CC8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3" w:hRule="atLeast"/>
        </w:trPr>
        <w:tc>
          <w:tcPr>
            <w:tcW w:w="554" w:type="dxa"/>
            <w:vMerge w:val="continue"/>
            <w:tcBorders>
              <w:top w:val="nil"/>
              <w:bottom w:val="single" w:color="000000" w:sz="2" w:space="0"/>
            </w:tcBorders>
            <w:vAlign w:val="top"/>
          </w:tcPr>
          <w:p w14:paraId="465BA22F">
            <w:pPr>
              <w:rPr>
                <w:rFonts w:ascii="Arial"/>
                <w:sz w:val="21"/>
              </w:rPr>
            </w:pPr>
          </w:p>
        </w:tc>
        <w:tc>
          <w:tcPr>
            <w:tcW w:w="2644" w:type="dxa"/>
            <w:vMerge w:val="continue"/>
            <w:tcBorders>
              <w:top w:val="nil"/>
              <w:bottom w:val="single" w:color="000000" w:sz="2" w:space="0"/>
            </w:tcBorders>
            <w:vAlign w:val="top"/>
          </w:tcPr>
          <w:p w14:paraId="2A14C289">
            <w:pPr>
              <w:rPr>
                <w:rFonts w:ascii="Arial"/>
                <w:sz w:val="21"/>
              </w:rPr>
            </w:pPr>
          </w:p>
        </w:tc>
        <w:tc>
          <w:tcPr>
            <w:tcW w:w="229" w:type="dxa"/>
            <w:tcBorders>
              <w:top w:val="single" w:color="000000" w:sz="2" w:space="0"/>
              <w:bottom w:val="single" w:color="000000" w:sz="2" w:space="0"/>
            </w:tcBorders>
            <w:vAlign w:val="top"/>
          </w:tcPr>
          <w:p w14:paraId="63329C14">
            <w:pPr>
              <w:pStyle w:val="6"/>
              <w:spacing w:before="149" w:line="184" w:lineRule="auto"/>
              <w:ind w:left="17"/>
              <w:rPr>
                <w:sz w:val="18"/>
                <w:szCs w:val="18"/>
              </w:rPr>
            </w:pPr>
            <w:r>
              <w:rPr>
                <w:sz w:val="18"/>
                <w:szCs w:val="18"/>
              </w:rPr>
              <w:t>A</w:t>
            </w:r>
          </w:p>
        </w:tc>
        <w:tc>
          <w:tcPr>
            <w:tcW w:w="229" w:type="dxa"/>
            <w:tcBorders>
              <w:top w:val="single" w:color="000000" w:sz="2" w:space="0"/>
              <w:bottom w:val="single" w:color="000000" w:sz="2" w:space="0"/>
            </w:tcBorders>
            <w:vAlign w:val="top"/>
          </w:tcPr>
          <w:p w14:paraId="27CFA32F">
            <w:pPr>
              <w:pStyle w:val="6"/>
              <w:spacing w:before="151" w:line="182" w:lineRule="auto"/>
              <w:ind w:left="38"/>
              <w:rPr>
                <w:sz w:val="18"/>
                <w:szCs w:val="18"/>
              </w:rPr>
            </w:pPr>
            <w:r>
              <w:rPr>
                <w:sz w:val="18"/>
                <w:szCs w:val="18"/>
              </w:rPr>
              <w:t>B</w:t>
            </w:r>
          </w:p>
        </w:tc>
        <w:tc>
          <w:tcPr>
            <w:tcW w:w="230" w:type="dxa"/>
            <w:tcBorders>
              <w:top w:val="single" w:color="000000" w:sz="2" w:space="0"/>
              <w:bottom w:val="single" w:color="000000" w:sz="2" w:space="0"/>
            </w:tcBorders>
            <w:vAlign w:val="top"/>
          </w:tcPr>
          <w:p w14:paraId="54B83D22">
            <w:pPr>
              <w:pStyle w:val="6"/>
              <w:spacing w:before="150" w:line="183" w:lineRule="auto"/>
              <w:ind w:left="59"/>
              <w:rPr>
                <w:sz w:val="18"/>
                <w:szCs w:val="18"/>
              </w:rPr>
            </w:pPr>
            <w:r>
              <w:rPr>
                <w:sz w:val="18"/>
                <w:szCs w:val="18"/>
              </w:rPr>
              <w:t>C</w:t>
            </w:r>
          </w:p>
        </w:tc>
        <w:tc>
          <w:tcPr>
            <w:tcW w:w="244" w:type="dxa"/>
            <w:tcBorders>
              <w:top w:val="single" w:color="000000" w:sz="2" w:space="0"/>
              <w:bottom w:val="single" w:color="000000" w:sz="2" w:space="0"/>
            </w:tcBorders>
            <w:vAlign w:val="top"/>
          </w:tcPr>
          <w:p w14:paraId="6994FC83">
            <w:pPr>
              <w:pStyle w:val="6"/>
              <w:spacing w:before="151" w:line="182" w:lineRule="auto"/>
              <w:ind w:left="128"/>
              <w:rPr>
                <w:sz w:val="18"/>
                <w:szCs w:val="18"/>
              </w:rPr>
            </w:pPr>
            <w:r>
              <w:rPr>
                <w:sz w:val="18"/>
                <w:szCs w:val="18"/>
              </w:rPr>
              <w:t>D</w:t>
            </w:r>
          </w:p>
        </w:tc>
      </w:tr>
      <w:tr w14:paraId="28F27F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7" w:hRule="atLeast"/>
        </w:trPr>
        <w:tc>
          <w:tcPr>
            <w:tcW w:w="554" w:type="dxa"/>
            <w:tcBorders>
              <w:top w:val="single" w:color="000000" w:sz="2" w:space="0"/>
              <w:bottom w:val="single" w:color="000000" w:sz="2" w:space="0"/>
            </w:tcBorders>
            <w:vAlign w:val="top"/>
          </w:tcPr>
          <w:p w14:paraId="7826088D">
            <w:pPr>
              <w:pStyle w:val="6"/>
              <w:spacing w:before="79" w:line="220" w:lineRule="auto"/>
              <w:ind w:left="85" w:right="91"/>
              <w:rPr>
                <w:sz w:val="18"/>
                <w:szCs w:val="18"/>
              </w:rPr>
            </w:pPr>
            <w:r>
              <w:rPr>
                <w:spacing w:val="-4"/>
                <w:sz w:val="18"/>
                <w:szCs w:val="18"/>
              </w:rPr>
              <w:t>整流</w:t>
            </w:r>
            <w:r>
              <w:rPr>
                <w:sz w:val="18"/>
                <w:szCs w:val="18"/>
              </w:rPr>
              <w:t xml:space="preserve"> </w:t>
            </w:r>
            <w:r>
              <w:rPr>
                <w:spacing w:val="3"/>
                <w:sz w:val="18"/>
                <w:szCs w:val="18"/>
              </w:rPr>
              <w:t>电路</w:t>
            </w:r>
          </w:p>
        </w:tc>
        <w:tc>
          <w:tcPr>
            <w:tcW w:w="2644" w:type="dxa"/>
            <w:tcBorders>
              <w:top w:val="single" w:color="000000" w:sz="2" w:space="0"/>
              <w:bottom w:val="single" w:color="000000" w:sz="2" w:space="0"/>
            </w:tcBorders>
            <w:vAlign w:val="top"/>
          </w:tcPr>
          <w:p w14:paraId="03E9510A">
            <w:pPr>
              <w:pStyle w:val="6"/>
              <w:spacing w:before="185" w:line="220" w:lineRule="auto"/>
              <w:ind w:left="81"/>
              <w:rPr>
                <w:sz w:val="18"/>
                <w:szCs w:val="18"/>
              </w:rPr>
            </w:pPr>
            <w:r>
              <w:rPr>
                <w:spacing w:val="-2"/>
                <w:sz w:val="18"/>
                <w:szCs w:val="18"/>
              </w:rPr>
              <w:t>单相桥式整流</w:t>
            </w:r>
          </w:p>
        </w:tc>
        <w:tc>
          <w:tcPr>
            <w:tcW w:w="229" w:type="dxa"/>
            <w:tcBorders>
              <w:top w:val="single" w:color="000000" w:sz="2" w:space="0"/>
              <w:bottom w:val="single" w:color="000000" w:sz="2" w:space="0"/>
            </w:tcBorders>
            <w:vAlign w:val="top"/>
          </w:tcPr>
          <w:p w14:paraId="5EF0D539">
            <w:pPr>
              <w:rPr>
                <w:rFonts w:ascii="Arial"/>
                <w:sz w:val="21"/>
              </w:rPr>
            </w:pPr>
          </w:p>
        </w:tc>
        <w:tc>
          <w:tcPr>
            <w:tcW w:w="229" w:type="dxa"/>
            <w:tcBorders>
              <w:top w:val="single" w:color="000000" w:sz="2" w:space="0"/>
              <w:bottom w:val="single" w:color="000000" w:sz="2" w:space="0"/>
            </w:tcBorders>
            <w:vAlign w:val="top"/>
          </w:tcPr>
          <w:p w14:paraId="6C37F698">
            <w:pPr>
              <w:rPr>
                <w:rFonts w:ascii="Arial"/>
                <w:sz w:val="21"/>
              </w:rPr>
            </w:pPr>
          </w:p>
        </w:tc>
        <w:tc>
          <w:tcPr>
            <w:tcW w:w="230" w:type="dxa"/>
            <w:tcBorders>
              <w:top w:val="single" w:color="000000" w:sz="2" w:space="0"/>
              <w:bottom w:val="single" w:color="000000" w:sz="2" w:space="0"/>
            </w:tcBorders>
            <w:vAlign w:val="top"/>
          </w:tcPr>
          <w:p w14:paraId="3D54AB91">
            <w:pPr>
              <w:rPr>
                <w:rFonts w:ascii="Arial"/>
                <w:sz w:val="21"/>
              </w:rPr>
            </w:pPr>
          </w:p>
        </w:tc>
        <w:tc>
          <w:tcPr>
            <w:tcW w:w="244" w:type="dxa"/>
            <w:tcBorders>
              <w:top w:val="single" w:color="000000" w:sz="2" w:space="0"/>
              <w:bottom w:val="single" w:color="000000" w:sz="2" w:space="0"/>
            </w:tcBorders>
            <w:vAlign w:val="top"/>
          </w:tcPr>
          <w:p w14:paraId="2F911A10">
            <w:pPr>
              <w:pStyle w:val="6"/>
              <w:spacing w:before="216" w:line="238" w:lineRule="auto"/>
              <w:ind w:left="18"/>
              <w:rPr>
                <w:sz w:val="13"/>
                <w:szCs w:val="13"/>
              </w:rPr>
            </w:pPr>
            <w:r>
              <w:rPr>
                <w:sz w:val="13"/>
                <w:szCs w:val="13"/>
              </w:rPr>
              <w:t>√</w:t>
            </w:r>
          </w:p>
        </w:tc>
      </w:tr>
    </w:tbl>
    <w:p w14:paraId="73064779">
      <w:pPr>
        <w:pStyle w:val="2"/>
        <w:spacing w:line="14" w:lineRule="auto"/>
        <w:rPr>
          <w:sz w:val="2"/>
        </w:rPr>
      </w:pPr>
    </w:p>
    <w:p w14:paraId="4D6E4086">
      <w:pPr>
        <w:spacing w:line="14" w:lineRule="auto"/>
        <w:rPr>
          <w:sz w:val="2"/>
          <w:szCs w:val="2"/>
        </w:rPr>
        <w:sectPr>
          <w:type w:val="continuous"/>
          <w:pgSz w:w="10660" w:h="15080"/>
          <w:pgMar w:top="400" w:right="885" w:bottom="925" w:left="1034" w:header="0" w:footer="705" w:gutter="0"/>
          <w:cols w:equalWidth="0" w:num="2">
            <w:col w:w="4480" w:space="100"/>
            <w:col w:w="4160"/>
          </w:cols>
        </w:sectPr>
      </w:pPr>
    </w:p>
    <w:p w14:paraId="5A2AA185">
      <w:pPr>
        <w:spacing w:before="10"/>
      </w:pPr>
      <w:r>
        <w:drawing>
          <wp:anchor distT="0" distB="0" distL="0" distR="0" simplePos="0" relativeHeight="251666432" behindDoc="1" locked="0" layoutInCell="0" allowOverlap="1">
            <wp:simplePos x="0" y="0"/>
            <wp:positionH relativeFrom="page">
              <wp:posOffset>2640330</wp:posOffset>
            </wp:positionH>
            <wp:positionV relativeFrom="page">
              <wp:posOffset>2037080</wp:posOffset>
            </wp:positionV>
            <wp:extent cx="224155" cy="287655"/>
            <wp:effectExtent l="0" t="0" r="0" b="0"/>
            <wp:wrapNone/>
            <wp:docPr id="132" name="IM 132"/>
            <wp:cNvGraphicFramePr/>
            <a:graphic xmlns:a="http://schemas.openxmlformats.org/drawingml/2006/main">
              <a:graphicData uri="http://schemas.openxmlformats.org/drawingml/2006/picture">
                <pic:pic xmlns:pic="http://schemas.openxmlformats.org/drawingml/2006/picture">
                  <pic:nvPicPr>
                    <pic:cNvPr id="132" name="IM 132"/>
                    <pic:cNvPicPr/>
                  </pic:nvPicPr>
                  <pic:blipFill>
                    <a:blip r:embed="rId231"/>
                    <a:stretch>
                      <a:fillRect/>
                    </a:stretch>
                  </pic:blipFill>
                  <pic:spPr>
                    <a:xfrm>
                      <a:off x="0" y="0"/>
                      <a:ext cx="224192" cy="287554"/>
                    </a:xfrm>
                    <a:prstGeom prst="rect">
                      <a:avLst/>
                    </a:prstGeom>
                  </pic:spPr>
                </pic:pic>
              </a:graphicData>
            </a:graphic>
          </wp:anchor>
        </w:drawing>
      </w:r>
    </w:p>
    <w:p w14:paraId="31D2B6F4">
      <w:pPr>
        <w:spacing w:before="10"/>
      </w:pPr>
    </w:p>
    <w:p w14:paraId="7A94A695">
      <w:pPr>
        <w:spacing w:before="10"/>
      </w:pPr>
    </w:p>
    <w:p w14:paraId="5F36A1C1">
      <w:pPr>
        <w:spacing w:before="9"/>
      </w:pPr>
    </w:p>
    <w:p w14:paraId="4B0E4398">
      <w:pPr>
        <w:sectPr>
          <w:footerReference r:id="rId26" w:type="default"/>
          <w:pgSz w:w="10660" w:h="15080"/>
          <w:pgMar w:top="400" w:right="1019" w:bottom="936" w:left="819" w:header="0" w:footer="715" w:gutter="0"/>
          <w:cols w:equalWidth="0" w:num="1">
            <w:col w:w="8821"/>
          </w:cols>
        </w:sectPr>
      </w:pPr>
    </w:p>
    <w:p w14:paraId="16359806">
      <w:pPr>
        <w:spacing w:line="103" w:lineRule="auto"/>
        <w:rPr>
          <w:rFonts w:ascii="Arial"/>
          <w:sz w:val="2"/>
        </w:rPr>
      </w:pPr>
    </w:p>
    <w:tbl>
      <w:tblPr>
        <w:tblStyle w:val="5"/>
        <w:tblW w:w="4130"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54"/>
        <w:gridCol w:w="2644"/>
        <w:gridCol w:w="229"/>
        <w:gridCol w:w="230"/>
        <w:gridCol w:w="229"/>
        <w:gridCol w:w="244"/>
      </w:tblGrid>
      <w:tr w14:paraId="45BF43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4" w:hRule="atLeast"/>
        </w:trPr>
        <w:tc>
          <w:tcPr>
            <w:tcW w:w="554" w:type="dxa"/>
            <w:vMerge w:val="restart"/>
            <w:tcBorders>
              <w:bottom w:val="nil"/>
            </w:tcBorders>
            <w:vAlign w:val="top"/>
          </w:tcPr>
          <w:p w14:paraId="651832E1">
            <w:pPr>
              <w:pStyle w:val="6"/>
              <w:spacing w:before="80" w:line="234" w:lineRule="auto"/>
              <w:ind w:left="17" w:right="26" w:firstLine="80"/>
            </w:pPr>
            <w:r>
              <w:rPr>
                <w:b/>
                <w:bCs/>
                <w:spacing w:val="-7"/>
              </w:rPr>
              <w:t>知识</w:t>
            </w:r>
            <w:r>
              <w:t xml:space="preserve">  </w:t>
            </w:r>
            <w:r>
              <w:rPr>
                <w:b/>
                <w:bCs/>
                <w:spacing w:val="-6"/>
              </w:rPr>
              <w:t>与技能</w:t>
            </w:r>
            <w:r>
              <w:rPr>
                <w:spacing w:val="1"/>
              </w:rPr>
              <w:t xml:space="preserve"> </w:t>
            </w:r>
            <w:r>
              <w:rPr>
                <w:b/>
                <w:bCs/>
                <w:spacing w:val="34"/>
              </w:rPr>
              <w:t>要点</w:t>
            </w:r>
          </w:p>
        </w:tc>
        <w:tc>
          <w:tcPr>
            <w:tcW w:w="2644" w:type="dxa"/>
            <w:vMerge w:val="restart"/>
            <w:tcBorders>
              <w:bottom w:val="nil"/>
            </w:tcBorders>
            <w:vAlign w:val="top"/>
          </w:tcPr>
          <w:p w14:paraId="4763E343">
            <w:pPr>
              <w:spacing w:line="252" w:lineRule="auto"/>
              <w:rPr>
                <w:rFonts w:ascii="Arial"/>
                <w:sz w:val="21"/>
              </w:rPr>
            </w:pPr>
          </w:p>
          <w:p w14:paraId="21F97454">
            <w:pPr>
              <w:pStyle w:val="6"/>
              <w:spacing w:before="56" w:line="219" w:lineRule="auto"/>
              <w:ind w:left="1003"/>
            </w:pPr>
            <w:r>
              <w:rPr>
                <w:b/>
                <w:bCs/>
                <w:spacing w:val="5"/>
              </w:rPr>
              <w:t>考试条目</w:t>
            </w:r>
          </w:p>
        </w:tc>
        <w:tc>
          <w:tcPr>
            <w:tcW w:w="932" w:type="dxa"/>
            <w:gridSpan w:val="4"/>
            <w:vAlign w:val="top"/>
          </w:tcPr>
          <w:p w14:paraId="308EA33A">
            <w:pPr>
              <w:pStyle w:val="6"/>
              <w:spacing w:before="109" w:line="219" w:lineRule="auto"/>
              <w:ind w:left="139"/>
            </w:pPr>
            <w:r>
              <w:rPr>
                <w:b/>
                <w:bCs/>
                <w:spacing w:val="-4"/>
              </w:rPr>
              <w:t>考试水平</w:t>
            </w:r>
          </w:p>
        </w:tc>
      </w:tr>
      <w:tr w14:paraId="506CFB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8" w:hRule="atLeast"/>
        </w:trPr>
        <w:tc>
          <w:tcPr>
            <w:tcW w:w="554" w:type="dxa"/>
            <w:vMerge w:val="continue"/>
            <w:tcBorders>
              <w:top w:val="nil"/>
            </w:tcBorders>
            <w:vAlign w:val="top"/>
          </w:tcPr>
          <w:p w14:paraId="5185843F">
            <w:pPr>
              <w:rPr>
                <w:rFonts w:ascii="Arial"/>
                <w:sz w:val="21"/>
              </w:rPr>
            </w:pPr>
          </w:p>
        </w:tc>
        <w:tc>
          <w:tcPr>
            <w:tcW w:w="2644" w:type="dxa"/>
            <w:vMerge w:val="continue"/>
            <w:tcBorders>
              <w:top w:val="nil"/>
            </w:tcBorders>
            <w:vAlign w:val="top"/>
          </w:tcPr>
          <w:p w14:paraId="4E78ADC5">
            <w:pPr>
              <w:rPr>
                <w:rFonts w:ascii="Arial"/>
                <w:sz w:val="21"/>
              </w:rPr>
            </w:pPr>
          </w:p>
        </w:tc>
        <w:tc>
          <w:tcPr>
            <w:tcW w:w="229" w:type="dxa"/>
            <w:vAlign w:val="top"/>
          </w:tcPr>
          <w:p w14:paraId="6E2D657C">
            <w:pPr>
              <w:pStyle w:val="6"/>
              <w:spacing w:before="150" w:line="184" w:lineRule="auto"/>
              <w:ind w:left="47"/>
            </w:pPr>
            <w:r>
              <w:t>A</w:t>
            </w:r>
          </w:p>
        </w:tc>
        <w:tc>
          <w:tcPr>
            <w:tcW w:w="230" w:type="dxa"/>
            <w:vAlign w:val="top"/>
          </w:tcPr>
          <w:p w14:paraId="5705C05A">
            <w:pPr>
              <w:pStyle w:val="6"/>
              <w:spacing w:before="152" w:line="182" w:lineRule="auto"/>
              <w:ind w:left="18"/>
            </w:pPr>
            <w:r>
              <w:t>B</w:t>
            </w:r>
          </w:p>
        </w:tc>
        <w:tc>
          <w:tcPr>
            <w:tcW w:w="229" w:type="dxa"/>
            <w:vAlign w:val="top"/>
          </w:tcPr>
          <w:p w14:paraId="2EB2642E">
            <w:pPr>
              <w:pStyle w:val="6"/>
              <w:spacing w:before="151" w:line="183" w:lineRule="auto"/>
              <w:ind w:left="17"/>
            </w:pPr>
            <w:r>
              <w:t>C</w:t>
            </w:r>
          </w:p>
        </w:tc>
        <w:tc>
          <w:tcPr>
            <w:tcW w:w="244" w:type="dxa"/>
            <w:vAlign w:val="top"/>
          </w:tcPr>
          <w:p w14:paraId="2B56318C">
            <w:pPr>
              <w:pStyle w:val="6"/>
              <w:spacing w:before="152" w:line="182" w:lineRule="auto"/>
              <w:ind w:left="18"/>
            </w:pPr>
            <w:r>
              <w:t>D</w:t>
            </w:r>
          </w:p>
        </w:tc>
      </w:tr>
      <w:tr w14:paraId="468570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7" w:hRule="atLeast"/>
        </w:trPr>
        <w:tc>
          <w:tcPr>
            <w:tcW w:w="554" w:type="dxa"/>
            <w:vAlign w:val="top"/>
          </w:tcPr>
          <w:p w14:paraId="7614703D">
            <w:pPr>
              <w:pStyle w:val="6"/>
              <w:spacing w:before="190" w:line="229" w:lineRule="auto"/>
              <w:ind w:left="94" w:right="102"/>
            </w:pPr>
            <w:r>
              <w:rPr>
                <w:spacing w:val="-4"/>
              </w:rPr>
              <w:t>滤波</w:t>
            </w:r>
            <w:r>
              <w:t xml:space="preserve"> </w:t>
            </w:r>
            <w:r>
              <w:rPr>
                <w:spacing w:val="3"/>
              </w:rPr>
              <w:t>电路</w:t>
            </w:r>
          </w:p>
        </w:tc>
        <w:tc>
          <w:tcPr>
            <w:tcW w:w="2644" w:type="dxa"/>
            <w:vAlign w:val="top"/>
          </w:tcPr>
          <w:p w14:paraId="1FE28F07">
            <w:pPr>
              <w:pStyle w:val="6"/>
              <w:spacing w:before="69" w:line="233" w:lineRule="auto"/>
              <w:ind w:left="71" w:right="1704"/>
              <w:jc w:val="both"/>
            </w:pPr>
            <w:r>
              <w:rPr>
                <w:spacing w:val="1"/>
              </w:rPr>
              <w:t xml:space="preserve">1.电容滤波 </w:t>
            </w:r>
            <w:r>
              <w:rPr>
                <w:spacing w:val="-2"/>
              </w:rPr>
              <w:t>2.电感滤波</w:t>
            </w:r>
            <w:r>
              <w:rPr>
                <w:spacing w:val="2"/>
              </w:rPr>
              <w:t xml:space="preserve"> </w:t>
            </w:r>
            <w:r>
              <w:rPr>
                <w:spacing w:val="-2"/>
              </w:rPr>
              <w:t>3.复式滤波</w:t>
            </w:r>
          </w:p>
        </w:tc>
        <w:tc>
          <w:tcPr>
            <w:tcW w:w="229" w:type="dxa"/>
            <w:vAlign w:val="top"/>
          </w:tcPr>
          <w:p w14:paraId="4481221F">
            <w:pPr>
              <w:rPr>
                <w:rFonts w:ascii="Arial"/>
                <w:sz w:val="21"/>
              </w:rPr>
            </w:pPr>
          </w:p>
        </w:tc>
        <w:tc>
          <w:tcPr>
            <w:tcW w:w="230" w:type="dxa"/>
            <w:vAlign w:val="top"/>
          </w:tcPr>
          <w:p w14:paraId="4F636D73">
            <w:pPr>
              <w:rPr>
                <w:rFonts w:ascii="Arial"/>
                <w:sz w:val="21"/>
              </w:rPr>
            </w:pPr>
          </w:p>
        </w:tc>
        <w:tc>
          <w:tcPr>
            <w:tcW w:w="229" w:type="dxa"/>
            <w:vAlign w:val="top"/>
          </w:tcPr>
          <w:p w14:paraId="1DA42D7A">
            <w:pPr>
              <w:rPr>
                <w:rFonts w:ascii="Arial"/>
                <w:sz w:val="21"/>
              </w:rPr>
            </w:pPr>
          </w:p>
        </w:tc>
        <w:tc>
          <w:tcPr>
            <w:tcW w:w="244" w:type="dxa"/>
            <w:vAlign w:val="top"/>
          </w:tcPr>
          <w:p w14:paraId="1C2C2E79">
            <w:pPr>
              <w:rPr>
                <w:rFonts w:ascii="Arial"/>
                <w:sz w:val="21"/>
              </w:rPr>
            </w:pPr>
          </w:p>
        </w:tc>
      </w:tr>
      <w:tr w14:paraId="29C505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27" w:hRule="atLeast"/>
        </w:trPr>
        <w:tc>
          <w:tcPr>
            <w:tcW w:w="554" w:type="dxa"/>
            <w:vAlign w:val="top"/>
          </w:tcPr>
          <w:p w14:paraId="2A0F0741">
            <w:pPr>
              <w:pStyle w:val="6"/>
              <w:spacing w:before="233" w:line="229" w:lineRule="auto"/>
              <w:ind w:left="94" w:right="102"/>
            </w:pPr>
            <w:r>
              <w:rPr>
                <w:spacing w:val="-4"/>
              </w:rPr>
              <w:t>稳压</w:t>
            </w:r>
            <w:r>
              <w:t xml:space="preserve"> </w:t>
            </w:r>
            <w:r>
              <w:rPr>
                <w:spacing w:val="3"/>
              </w:rPr>
              <w:t>电路</w:t>
            </w:r>
          </w:p>
        </w:tc>
        <w:tc>
          <w:tcPr>
            <w:tcW w:w="2644" w:type="dxa"/>
            <w:vAlign w:val="top"/>
          </w:tcPr>
          <w:p w14:paraId="3787640B">
            <w:pPr>
              <w:pStyle w:val="6"/>
              <w:spacing w:before="122" w:line="236" w:lineRule="auto"/>
              <w:ind w:left="71" w:right="1196"/>
              <w:jc w:val="both"/>
            </w:pPr>
            <w:r>
              <w:t>1.并联型稳压电路</w:t>
            </w:r>
            <w:r>
              <w:rPr>
                <w:spacing w:val="5"/>
              </w:rPr>
              <w:t xml:space="preserve"> </w:t>
            </w:r>
            <w:r>
              <w:rPr>
                <w:spacing w:val="-1"/>
              </w:rPr>
              <w:t>2.串联型稳压电路</w:t>
            </w:r>
            <w:r>
              <w:t xml:space="preserve"> </w:t>
            </w:r>
            <w:r>
              <w:rPr>
                <w:spacing w:val="-2"/>
              </w:rPr>
              <w:t>3.集成稳压器</w:t>
            </w:r>
          </w:p>
        </w:tc>
        <w:tc>
          <w:tcPr>
            <w:tcW w:w="229" w:type="dxa"/>
            <w:vAlign w:val="top"/>
          </w:tcPr>
          <w:p w14:paraId="4BE3509F">
            <w:pPr>
              <w:rPr>
                <w:rFonts w:ascii="Arial"/>
                <w:sz w:val="21"/>
              </w:rPr>
            </w:pPr>
          </w:p>
        </w:tc>
        <w:tc>
          <w:tcPr>
            <w:tcW w:w="230" w:type="dxa"/>
            <w:vAlign w:val="top"/>
          </w:tcPr>
          <w:p w14:paraId="74D9CF59">
            <w:pPr>
              <w:rPr>
                <w:rFonts w:ascii="Arial"/>
                <w:sz w:val="21"/>
              </w:rPr>
            </w:pPr>
          </w:p>
        </w:tc>
        <w:tc>
          <w:tcPr>
            <w:tcW w:w="229" w:type="dxa"/>
            <w:vAlign w:val="top"/>
          </w:tcPr>
          <w:p w14:paraId="3A872878">
            <w:pPr>
              <w:rPr>
                <w:rFonts w:ascii="Arial"/>
                <w:sz w:val="21"/>
              </w:rPr>
            </w:pPr>
          </w:p>
        </w:tc>
        <w:tc>
          <w:tcPr>
            <w:tcW w:w="244" w:type="dxa"/>
            <w:vAlign w:val="top"/>
          </w:tcPr>
          <w:p w14:paraId="6F30FDE7">
            <w:pPr>
              <w:rPr>
                <w:rFonts w:ascii="Arial"/>
                <w:sz w:val="21"/>
              </w:rPr>
            </w:pPr>
          </w:p>
        </w:tc>
      </w:tr>
      <w:tr w14:paraId="4D29B9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4" w:hRule="atLeast"/>
        </w:trPr>
        <w:tc>
          <w:tcPr>
            <w:tcW w:w="4130" w:type="dxa"/>
            <w:gridSpan w:val="6"/>
            <w:vAlign w:val="top"/>
          </w:tcPr>
          <w:p w14:paraId="22094A27">
            <w:pPr>
              <w:pStyle w:val="6"/>
              <w:spacing w:before="106" w:line="219" w:lineRule="auto"/>
              <w:ind w:left="1095"/>
            </w:pPr>
            <w:r>
              <w:rPr>
                <w:spacing w:val="-1"/>
              </w:rPr>
              <w:t>实验：单相桥式整流电路</w:t>
            </w:r>
          </w:p>
        </w:tc>
      </w:tr>
    </w:tbl>
    <w:p w14:paraId="56E7044A">
      <w:pPr>
        <w:spacing w:before="148" w:line="222" w:lineRule="auto"/>
        <w:ind w:left="1242"/>
        <w:rPr>
          <w:rFonts w:ascii="黑体" w:hAnsi="黑体" w:eastAsia="黑体" w:cs="黑体"/>
          <w:sz w:val="17"/>
          <w:szCs w:val="17"/>
        </w:rPr>
      </w:pPr>
      <w:r>
        <w:rPr>
          <w:rFonts w:ascii="黑体" w:hAnsi="黑体" w:eastAsia="黑体" w:cs="黑体"/>
          <w:b/>
          <w:bCs/>
          <w:spacing w:val="21"/>
          <w:sz w:val="17"/>
          <w:szCs w:val="17"/>
        </w:rPr>
        <w:t>十一</w:t>
      </w:r>
      <w:r>
        <w:rPr>
          <w:rFonts w:ascii="黑体" w:hAnsi="黑体" w:eastAsia="黑体" w:cs="黑体"/>
          <w:spacing w:val="-33"/>
          <w:sz w:val="17"/>
          <w:szCs w:val="17"/>
        </w:rPr>
        <w:t xml:space="preserve"> </w:t>
      </w:r>
      <w:r>
        <w:rPr>
          <w:rFonts w:ascii="黑体" w:hAnsi="黑体" w:eastAsia="黑体" w:cs="黑体"/>
          <w:b/>
          <w:bCs/>
          <w:spacing w:val="21"/>
          <w:sz w:val="17"/>
          <w:szCs w:val="17"/>
        </w:rPr>
        <w:t>、电力电子技术</w:t>
      </w:r>
    </w:p>
    <w:p w14:paraId="4AB54BFC">
      <w:pPr>
        <w:spacing w:line="177" w:lineRule="exact"/>
      </w:pPr>
    </w:p>
    <w:tbl>
      <w:tblPr>
        <w:tblStyle w:val="5"/>
        <w:tblW w:w="4130"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54"/>
        <w:gridCol w:w="2644"/>
        <w:gridCol w:w="229"/>
        <w:gridCol w:w="230"/>
        <w:gridCol w:w="229"/>
        <w:gridCol w:w="244"/>
      </w:tblGrid>
      <w:tr w14:paraId="5A8359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3" w:hRule="atLeast"/>
        </w:trPr>
        <w:tc>
          <w:tcPr>
            <w:tcW w:w="554" w:type="dxa"/>
            <w:vMerge w:val="restart"/>
            <w:tcBorders>
              <w:bottom w:val="nil"/>
            </w:tcBorders>
            <w:vAlign w:val="top"/>
          </w:tcPr>
          <w:p w14:paraId="66B55126">
            <w:pPr>
              <w:pStyle w:val="6"/>
              <w:spacing w:before="70" w:line="234" w:lineRule="auto"/>
              <w:ind w:left="17" w:right="26" w:firstLine="80"/>
            </w:pPr>
            <w:r>
              <w:rPr>
                <w:b/>
                <w:bCs/>
                <w:spacing w:val="-7"/>
              </w:rPr>
              <w:t>知识</w:t>
            </w:r>
            <w:r>
              <w:t xml:space="preserve">  </w:t>
            </w:r>
            <w:r>
              <w:rPr>
                <w:b/>
                <w:bCs/>
                <w:spacing w:val="-6"/>
              </w:rPr>
              <w:t>与技能</w:t>
            </w:r>
            <w:r>
              <w:rPr>
                <w:spacing w:val="1"/>
              </w:rPr>
              <w:t xml:space="preserve"> </w:t>
            </w:r>
            <w:r>
              <w:rPr>
                <w:b/>
                <w:bCs/>
                <w:spacing w:val="34"/>
              </w:rPr>
              <w:t>要点</w:t>
            </w:r>
          </w:p>
        </w:tc>
        <w:tc>
          <w:tcPr>
            <w:tcW w:w="2644" w:type="dxa"/>
            <w:vMerge w:val="restart"/>
            <w:tcBorders>
              <w:bottom w:val="nil"/>
            </w:tcBorders>
            <w:vAlign w:val="top"/>
          </w:tcPr>
          <w:p w14:paraId="61149DBA">
            <w:pPr>
              <w:spacing w:line="242" w:lineRule="auto"/>
              <w:rPr>
                <w:rFonts w:ascii="Arial"/>
                <w:sz w:val="21"/>
              </w:rPr>
            </w:pPr>
          </w:p>
          <w:p w14:paraId="314DCA36">
            <w:pPr>
              <w:pStyle w:val="6"/>
              <w:spacing w:before="56" w:line="219" w:lineRule="auto"/>
              <w:ind w:left="993"/>
            </w:pPr>
            <w:r>
              <w:rPr>
                <w:b/>
                <w:bCs/>
                <w:spacing w:val="5"/>
              </w:rPr>
              <w:t>考试条目</w:t>
            </w:r>
          </w:p>
        </w:tc>
        <w:tc>
          <w:tcPr>
            <w:tcW w:w="932" w:type="dxa"/>
            <w:gridSpan w:val="4"/>
            <w:vAlign w:val="top"/>
          </w:tcPr>
          <w:p w14:paraId="415D676E">
            <w:pPr>
              <w:pStyle w:val="6"/>
              <w:spacing w:before="109" w:line="219" w:lineRule="auto"/>
              <w:ind w:left="139"/>
            </w:pPr>
            <w:r>
              <w:rPr>
                <w:b/>
                <w:bCs/>
                <w:spacing w:val="-4"/>
              </w:rPr>
              <w:t>考试水平</w:t>
            </w:r>
          </w:p>
        </w:tc>
      </w:tr>
      <w:tr w14:paraId="3993BF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8" w:hRule="atLeast"/>
        </w:trPr>
        <w:tc>
          <w:tcPr>
            <w:tcW w:w="554" w:type="dxa"/>
            <w:vMerge w:val="continue"/>
            <w:tcBorders>
              <w:top w:val="nil"/>
            </w:tcBorders>
            <w:vAlign w:val="top"/>
          </w:tcPr>
          <w:p w14:paraId="4D7A856D">
            <w:pPr>
              <w:rPr>
                <w:rFonts w:ascii="Arial"/>
                <w:sz w:val="21"/>
              </w:rPr>
            </w:pPr>
          </w:p>
        </w:tc>
        <w:tc>
          <w:tcPr>
            <w:tcW w:w="2644" w:type="dxa"/>
            <w:vMerge w:val="continue"/>
            <w:tcBorders>
              <w:top w:val="nil"/>
            </w:tcBorders>
            <w:vAlign w:val="top"/>
          </w:tcPr>
          <w:p w14:paraId="1CAF2944">
            <w:pPr>
              <w:rPr>
                <w:rFonts w:ascii="Arial"/>
                <w:sz w:val="21"/>
              </w:rPr>
            </w:pPr>
          </w:p>
        </w:tc>
        <w:tc>
          <w:tcPr>
            <w:tcW w:w="229" w:type="dxa"/>
            <w:vAlign w:val="top"/>
          </w:tcPr>
          <w:p w14:paraId="4F45A89B">
            <w:pPr>
              <w:pStyle w:val="6"/>
              <w:spacing w:before="141" w:line="184" w:lineRule="auto"/>
              <w:ind w:left="16"/>
            </w:pPr>
            <w:r>
              <w:t>A</w:t>
            </w:r>
          </w:p>
        </w:tc>
        <w:tc>
          <w:tcPr>
            <w:tcW w:w="230" w:type="dxa"/>
            <w:vAlign w:val="top"/>
          </w:tcPr>
          <w:p w14:paraId="265A43FD">
            <w:pPr>
              <w:pStyle w:val="6"/>
              <w:spacing w:before="143" w:line="182" w:lineRule="auto"/>
              <w:ind w:left="18"/>
            </w:pPr>
            <w:r>
              <w:t>B</w:t>
            </w:r>
          </w:p>
        </w:tc>
        <w:tc>
          <w:tcPr>
            <w:tcW w:w="229" w:type="dxa"/>
            <w:vAlign w:val="top"/>
          </w:tcPr>
          <w:p w14:paraId="3C9DA322">
            <w:pPr>
              <w:pStyle w:val="6"/>
              <w:spacing w:before="142" w:line="183" w:lineRule="auto"/>
              <w:ind w:left="47"/>
            </w:pPr>
            <w:r>
              <w:t>C</w:t>
            </w:r>
          </w:p>
        </w:tc>
        <w:tc>
          <w:tcPr>
            <w:tcW w:w="244" w:type="dxa"/>
            <w:vAlign w:val="top"/>
          </w:tcPr>
          <w:p w14:paraId="5B777924">
            <w:pPr>
              <w:pStyle w:val="6"/>
              <w:spacing w:before="143" w:line="182" w:lineRule="auto"/>
              <w:ind w:left="18"/>
            </w:pPr>
            <w:r>
              <w:t>D</w:t>
            </w:r>
          </w:p>
        </w:tc>
      </w:tr>
      <w:tr w14:paraId="4C5E48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07" w:hRule="atLeast"/>
        </w:trPr>
        <w:tc>
          <w:tcPr>
            <w:tcW w:w="554" w:type="dxa"/>
            <w:vAlign w:val="top"/>
          </w:tcPr>
          <w:p w14:paraId="2BAF5919">
            <w:pPr>
              <w:pStyle w:val="6"/>
              <w:spacing w:before="223" w:line="222" w:lineRule="auto"/>
              <w:ind w:left="94"/>
            </w:pPr>
            <w:r>
              <w:rPr>
                <w:spacing w:val="8"/>
              </w:rPr>
              <w:t>晶闸</w:t>
            </w:r>
          </w:p>
          <w:p w14:paraId="74778A52">
            <w:pPr>
              <w:pStyle w:val="6"/>
              <w:spacing w:before="3" w:line="219" w:lineRule="auto"/>
              <w:ind w:left="184"/>
            </w:pPr>
            <w:r>
              <w:t>管</w:t>
            </w:r>
          </w:p>
        </w:tc>
        <w:tc>
          <w:tcPr>
            <w:tcW w:w="2644" w:type="dxa"/>
            <w:vAlign w:val="top"/>
          </w:tcPr>
          <w:p w14:paraId="1D5FE88F">
            <w:pPr>
              <w:pStyle w:val="6"/>
              <w:spacing w:before="111" w:line="236" w:lineRule="auto"/>
              <w:ind w:left="81" w:right="332"/>
            </w:pPr>
            <w:r>
              <w:t>1.晶闸管的外形、结构和符号</w:t>
            </w:r>
            <w:r>
              <w:rPr>
                <w:spacing w:val="9"/>
              </w:rPr>
              <w:t xml:space="preserve"> </w:t>
            </w:r>
            <w:r>
              <w:rPr>
                <w:spacing w:val="-1"/>
              </w:rPr>
              <w:t>2.晶闸管的工作原理</w:t>
            </w:r>
          </w:p>
          <w:p w14:paraId="0E42C4AF">
            <w:pPr>
              <w:pStyle w:val="6"/>
              <w:spacing w:before="4" w:line="219" w:lineRule="auto"/>
              <w:ind w:left="81"/>
            </w:pPr>
            <w:r>
              <w:rPr>
                <w:spacing w:val="-1"/>
              </w:rPr>
              <w:t>3.晶闸管的主要参数</w:t>
            </w:r>
          </w:p>
        </w:tc>
        <w:tc>
          <w:tcPr>
            <w:tcW w:w="229" w:type="dxa"/>
            <w:vAlign w:val="top"/>
          </w:tcPr>
          <w:p w14:paraId="285E9538">
            <w:pPr>
              <w:rPr>
                <w:rFonts w:ascii="Arial"/>
                <w:sz w:val="21"/>
              </w:rPr>
            </w:pPr>
          </w:p>
        </w:tc>
        <w:tc>
          <w:tcPr>
            <w:tcW w:w="230" w:type="dxa"/>
            <w:vAlign w:val="top"/>
          </w:tcPr>
          <w:p w14:paraId="7051F62A">
            <w:pPr>
              <w:rPr>
                <w:rFonts w:ascii="Arial"/>
                <w:sz w:val="21"/>
              </w:rPr>
            </w:pPr>
          </w:p>
        </w:tc>
        <w:tc>
          <w:tcPr>
            <w:tcW w:w="229" w:type="dxa"/>
            <w:vAlign w:val="top"/>
          </w:tcPr>
          <w:p w14:paraId="649AC646">
            <w:pPr>
              <w:rPr>
                <w:rFonts w:ascii="Arial"/>
                <w:sz w:val="21"/>
              </w:rPr>
            </w:pPr>
          </w:p>
        </w:tc>
        <w:tc>
          <w:tcPr>
            <w:tcW w:w="244" w:type="dxa"/>
            <w:vAlign w:val="top"/>
          </w:tcPr>
          <w:p w14:paraId="4BEEFD93">
            <w:pPr>
              <w:rPr>
                <w:rFonts w:ascii="Arial"/>
                <w:sz w:val="21"/>
              </w:rPr>
            </w:pPr>
          </w:p>
        </w:tc>
      </w:tr>
      <w:tr w14:paraId="6AF665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71" w:hRule="atLeast"/>
        </w:trPr>
        <w:tc>
          <w:tcPr>
            <w:tcW w:w="554" w:type="dxa"/>
            <w:vAlign w:val="top"/>
          </w:tcPr>
          <w:p w14:paraId="37C57367">
            <w:pPr>
              <w:pStyle w:val="6"/>
              <w:spacing w:before="13" w:line="230" w:lineRule="auto"/>
              <w:ind w:left="94" w:right="95"/>
              <w:jc w:val="both"/>
            </w:pPr>
            <w:r>
              <w:rPr>
                <w:spacing w:val="6"/>
              </w:rPr>
              <w:t>单相</w:t>
            </w:r>
            <w:r>
              <w:t xml:space="preserve"> </w:t>
            </w:r>
            <w:r>
              <w:rPr>
                <w:spacing w:val="-4"/>
              </w:rPr>
              <w:t>可控</w:t>
            </w:r>
            <w:r>
              <w:t xml:space="preserve"> </w:t>
            </w:r>
            <w:r>
              <w:rPr>
                <w:spacing w:val="-4"/>
              </w:rPr>
              <w:t>整流</w:t>
            </w:r>
            <w:r>
              <w:t xml:space="preserve"> </w:t>
            </w:r>
            <w:r>
              <w:rPr>
                <w:spacing w:val="3"/>
              </w:rPr>
              <w:t>电路</w:t>
            </w:r>
          </w:p>
        </w:tc>
        <w:tc>
          <w:tcPr>
            <w:tcW w:w="2644" w:type="dxa"/>
            <w:vAlign w:val="top"/>
          </w:tcPr>
          <w:p w14:paraId="3AE663A3">
            <w:pPr>
              <w:spacing w:line="296" w:lineRule="auto"/>
              <w:rPr>
                <w:rFonts w:ascii="Arial"/>
                <w:sz w:val="21"/>
              </w:rPr>
            </w:pPr>
          </w:p>
          <w:p w14:paraId="5BB6F87F">
            <w:pPr>
              <w:pStyle w:val="6"/>
              <w:spacing w:before="56" w:line="219" w:lineRule="auto"/>
              <w:ind w:left="81"/>
            </w:pPr>
            <w:r>
              <w:rPr>
                <w:spacing w:val="-1"/>
              </w:rPr>
              <w:t>单相半波可控整流电路</w:t>
            </w:r>
          </w:p>
        </w:tc>
        <w:tc>
          <w:tcPr>
            <w:tcW w:w="229" w:type="dxa"/>
            <w:vAlign w:val="top"/>
          </w:tcPr>
          <w:p w14:paraId="66CCA336">
            <w:pPr>
              <w:rPr>
                <w:rFonts w:ascii="Arial"/>
                <w:sz w:val="21"/>
              </w:rPr>
            </w:pPr>
          </w:p>
        </w:tc>
        <w:tc>
          <w:tcPr>
            <w:tcW w:w="230" w:type="dxa"/>
            <w:vAlign w:val="top"/>
          </w:tcPr>
          <w:p w14:paraId="3F994164">
            <w:pPr>
              <w:rPr>
                <w:rFonts w:ascii="Arial"/>
                <w:sz w:val="21"/>
              </w:rPr>
            </w:pPr>
          </w:p>
        </w:tc>
        <w:tc>
          <w:tcPr>
            <w:tcW w:w="229" w:type="dxa"/>
            <w:vAlign w:val="top"/>
          </w:tcPr>
          <w:p w14:paraId="22BCFEE8">
            <w:pPr>
              <w:rPr>
                <w:rFonts w:ascii="Arial"/>
                <w:sz w:val="21"/>
              </w:rPr>
            </w:pPr>
          </w:p>
        </w:tc>
        <w:tc>
          <w:tcPr>
            <w:tcW w:w="244" w:type="dxa"/>
            <w:vAlign w:val="top"/>
          </w:tcPr>
          <w:p w14:paraId="74F2AAC4">
            <w:pPr>
              <w:rPr>
                <w:rFonts w:ascii="Arial"/>
                <w:sz w:val="21"/>
              </w:rPr>
            </w:pPr>
          </w:p>
        </w:tc>
      </w:tr>
    </w:tbl>
    <w:p w14:paraId="1770AE42">
      <w:pPr>
        <w:spacing w:before="59" w:line="221" w:lineRule="auto"/>
        <w:ind w:left="3"/>
        <w:rPr>
          <w:rFonts w:ascii="黑体" w:hAnsi="黑体" w:eastAsia="黑体" w:cs="黑体"/>
          <w:sz w:val="23"/>
          <w:szCs w:val="23"/>
        </w:rPr>
      </w:pPr>
      <w:r>
        <w:rPr>
          <w:rFonts w:ascii="黑体" w:hAnsi="黑体" w:eastAsia="黑体" w:cs="黑体"/>
          <w:b/>
          <w:bCs/>
          <w:spacing w:val="-7"/>
          <w:sz w:val="23"/>
          <w:szCs w:val="23"/>
        </w:rPr>
        <w:t>四、考试形式和试卷结构</w:t>
      </w:r>
    </w:p>
    <w:p w14:paraId="7E65F0EE">
      <w:pPr>
        <w:spacing w:before="97" w:line="219" w:lineRule="auto"/>
        <w:ind w:left="440"/>
        <w:rPr>
          <w:rFonts w:ascii="宋体" w:hAnsi="宋体" w:eastAsia="宋体" w:cs="宋体"/>
          <w:sz w:val="17"/>
          <w:szCs w:val="17"/>
        </w:rPr>
      </w:pPr>
      <w:r>
        <w:rPr>
          <w:rFonts w:ascii="宋体" w:hAnsi="宋体" w:eastAsia="宋体" w:cs="宋体"/>
          <w:spacing w:val="-5"/>
          <w:sz w:val="17"/>
          <w:szCs w:val="17"/>
        </w:rPr>
        <w:t>1.考试形式：</w:t>
      </w:r>
    </w:p>
    <w:p w14:paraId="0A647E01">
      <w:pPr>
        <w:spacing w:before="77" w:line="219" w:lineRule="auto"/>
        <w:ind w:left="500"/>
        <w:rPr>
          <w:rFonts w:ascii="宋体" w:hAnsi="宋体" w:eastAsia="宋体" w:cs="宋体"/>
          <w:sz w:val="17"/>
          <w:szCs w:val="17"/>
        </w:rPr>
      </w:pPr>
      <w:r>
        <w:rPr>
          <w:rFonts w:ascii="宋体" w:hAnsi="宋体" w:eastAsia="宋体" w:cs="宋体"/>
          <w:spacing w:val="-5"/>
          <w:sz w:val="17"/>
          <w:szCs w:val="17"/>
        </w:rPr>
        <w:t>(1)考试采用闭卷笔答形式，作图部分用铅笔绘制；</w:t>
      </w:r>
    </w:p>
    <w:p w14:paraId="2833A5F6">
      <w:pPr>
        <w:spacing w:before="89" w:line="273" w:lineRule="auto"/>
        <w:ind w:left="450" w:right="845" w:firstLine="49"/>
        <w:rPr>
          <w:rFonts w:ascii="宋体" w:hAnsi="宋体" w:eastAsia="宋体" w:cs="宋体"/>
          <w:sz w:val="17"/>
          <w:szCs w:val="17"/>
        </w:rPr>
      </w:pPr>
      <w:r>
        <w:rPr>
          <w:rFonts w:ascii="宋体" w:hAnsi="宋体" w:eastAsia="宋体" w:cs="宋体"/>
          <w:spacing w:val="10"/>
          <w:sz w:val="17"/>
          <w:szCs w:val="17"/>
        </w:rPr>
        <w:t>(2)全卷满分200分，考试时间150分钟。</w:t>
      </w:r>
      <w:r>
        <w:rPr>
          <w:rFonts w:ascii="宋体" w:hAnsi="宋体" w:eastAsia="宋体" w:cs="宋体"/>
          <w:spacing w:val="18"/>
          <w:sz w:val="17"/>
          <w:szCs w:val="17"/>
        </w:rPr>
        <w:t xml:space="preserve"> </w:t>
      </w:r>
      <w:r>
        <w:rPr>
          <w:rFonts w:ascii="宋体" w:hAnsi="宋体" w:eastAsia="宋体" w:cs="宋体"/>
          <w:spacing w:val="-6"/>
          <w:sz w:val="17"/>
          <w:szCs w:val="17"/>
        </w:rPr>
        <w:t>2.试卷结构：</w:t>
      </w:r>
    </w:p>
    <w:p w14:paraId="0B2F8BBD">
      <w:pPr>
        <w:spacing w:before="65" w:line="311" w:lineRule="auto"/>
        <w:ind w:right="500" w:firstLine="400"/>
        <w:jc w:val="both"/>
        <w:rPr>
          <w:rFonts w:ascii="黑体" w:hAnsi="黑体" w:eastAsia="黑体" w:cs="黑体"/>
          <w:sz w:val="17"/>
          <w:szCs w:val="17"/>
        </w:rPr>
      </w:pPr>
      <w:r>
        <w:rPr>
          <w:rFonts w:ascii="宋体" w:hAnsi="宋体" w:eastAsia="宋体" w:cs="宋体"/>
          <w:spacing w:val="3"/>
          <w:sz w:val="17"/>
          <w:szCs w:val="17"/>
        </w:rPr>
        <w:t>装备制造大类专业理论课考试为一张试卷，涵盖</w:t>
      </w:r>
      <w:r>
        <w:rPr>
          <w:rFonts w:ascii="宋体" w:hAnsi="宋体" w:eastAsia="宋体" w:cs="宋体"/>
          <w:spacing w:val="13"/>
          <w:sz w:val="17"/>
          <w:szCs w:val="17"/>
        </w:rPr>
        <w:t xml:space="preserve"> </w:t>
      </w:r>
      <w:r>
        <w:rPr>
          <w:rFonts w:ascii="宋体" w:hAnsi="宋体" w:eastAsia="宋体" w:cs="宋体"/>
          <w:spacing w:val="-1"/>
          <w:sz w:val="17"/>
          <w:szCs w:val="17"/>
        </w:rPr>
        <w:t>《机械基础》、</w:t>
      </w:r>
      <w:r>
        <w:rPr>
          <w:rFonts w:ascii="宋体" w:hAnsi="宋体" w:eastAsia="宋体" w:cs="宋体"/>
          <w:spacing w:val="87"/>
          <w:sz w:val="17"/>
          <w:szCs w:val="17"/>
        </w:rPr>
        <w:t xml:space="preserve"> </w:t>
      </w:r>
      <w:r>
        <w:rPr>
          <w:rFonts w:ascii="宋体" w:hAnsi="宋体" w:eastAsia="宋体" w:cs="宋体"/>
          <w:spacing w:val="-1"/>
          <w:sz w:val="17"/>
          <w:szCs w:val="17"/>
        </w:rPr>
        <w:t>《机械制图》和《电工电子技术及应</w:t>
      </w:r>
      <w:r>
        <w:rPr>
          <w:rFonts w:ascii="宋体" w:hAnsi="宋体" w:eastAsia="宋体" w:cs="宋体"/>
          <w:sz w:val="17"/>
          <w:szCs w:val="17"/>
        </w:rPr>
        <w:t xml:space="preserve"> </w:t>
      </w:r>
      <w:r>
        <w:rPr>
          <w:rFonts w:ascii="宋体" w:hAnsi="宋体" w:eastAsia="宋体" w:cs="宋体"/>
          <w:spacing w:val="4"/>
          <w:sz w:val="17"/>
          <w:szCs w:val="17"/>
        </w:rPr>
        <w:t>用》三门学科的内容。考试侧重考查考生对各学科基</w:t>
      </w:r>
      <w:r>
        <w:rPr>
          <w:rFonts w:ascii="宋体" w:hAnsi="宋体" w:eastAsia="宋体" w:cs="宋体"/>
          <w:spacing w:val="14"/>
          <w:sz w:val="17"/>
          <w:szCs w:val="17"/>
        </w:rPr>
        <w:t xml:space="preserve"> </w:t>
      </w:r>
      <w:r>
        <w:rPr>
          <w:rFonts w:ascii="宋体" w:hAnsi="宋体" w:eastAsia="宋体" w:cs="宋体"/>
          <w:spacing w:val="3"/>
          <w:sz w:val="17"/>
          <w:szCs w:val="17"/>
        </w:rPr>
        <w:t>础知识、基本技能和实践能力的掌握程度，同时注意</w:t>
      </w:r>
      <w:r>
        <w:rPr>
          <w:rFonts w:ascii="宋体" w:hAnsi="宋体" w:eastAsia="宋体" w:cs="宋体"/>
          <w:spacing w:val="5"/>
          <w:sz w:val="17"/>
          <w:szCs w:val="17"/>
        </w:rPr>
        <w:t xml:space="preserve">  </w:t>
      </w:r>
      <w:r>
        <w:rPr>
          <w:rFonts w:ascii="宋体" w:hAnsi="宋体" w:eastAsia="宋体" w:cs="宋体"/>
          <w:spacing w:val="3"/>
          <w:sz w:val="17"/>
          <w:szCs w:val="17"/>
        </w:rPr>
        <w:t>考查考生综合运用所学知识分析、解决实际问题的能</w:t>
      </w:r>
      <w:r>
        <w:rPr>
          <w:rFonts w:ascii="宋体" w:hAnsi="宋体" w:eastAsia="宋体" w:cs="宋体"/>
          <w:spacing w:val="4"/>
          <w:sz w:val="17"/>
          <w:szCs w:val="17"/>
        </w:rPr>
        <w:t xml:space="preserve">  </w:t>
      </w:r>
      <w:r>
        <w:rPr>
          <w:rFonts w:ascii="黑体" w:hAnsi="黑体" w:eastAsia="黑体" w:cs="黑体"/>
          <w:spacing w:val="2"/>
          <w:sz w:val="17"/>
          <w:szCs w:val="17"/>
        </w:rPr>
        <w:t>力(占30%)。人选的试题在同一题型中相对集中。</w:t>
      </w:r>
    </w:p>
    <w:p w14:paraId="3AE6E241">
      <w:pPr>
        <w:spacing w:before="34" w:line="219" w:lineRule="auto"/>
        <w:ind w:left="500"/>
        <w:rPr>
          <w:rFonts w:ascii="宋体" w:hAnsi="宋体" w:eastAsia="宋体" w:cs="宋体"/>
          <w:sz w:val="17"/>
          <w:szCs w:val="17"/>
        </w:rPr>
      </w:pPr>
      <w:r>
        <w:rPr>
          <w:rFonts w:ascii="宋体" w:hAnsi="宋体" w:eastAsia="宋体" w:cs="宋体"/>
          <w:spacing w:val="12"/>
          <w:sz w:val="17"/>
          <w:szCs w:val="17"/>
        </w:rPr>
        <w:t>(1)按知识点分</w:t>
      </w:r>
    </w:p>
    <w:p w14:paraId="37041E4A">
      <w:pPr>
        <w:spacing w:line="106" w:lineRule="exact"/>
      </w:pPr>
    </w:p>
    <w:tbl>
      <w:tblPr>
        <w:tblStyle w:val="5"/>
        <w:tblW w:w="4119"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072"/>
        <w:gridCol w:w="3047"/>
      </w:tblGrid>
      <w:tr w14:paraId="108398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4" w:hRule="atLeast"/>
        </w:trPr>
        <w:tc>
          <w:tcPr>
            <w:tcW w:w="1072" w:type="dxa"/>
            <w:vAlign w:val="top"/>
          </w:tcPr>
          <w:p w14:paraId="63AB0123">
            <w:pPr>
              <w:pStyle w:val="6"/>
              <w:spacing w:before="78" w:line="219" w:lineRule="auto"/>
              <w:ind w:left="347"/>
              <w:rPr>
                <w:sz w:val="18"/>
                <w:szCs w:val="18"/>
              </w:rPr>
            </w:pPr>
            <w:r>
              <w:rPr>
                <w:b/>
                <w:bCs/>
                <w:spacing w:val="-5"/>
                <w:sz w:val="18"/>
                <w:szCs w:val="18"/>
              </w:rPr>
              <w:t>学科</w:t>
            </w:r>
          </w:p>
        </w:tc>
        <w:tc>
          <w:tcPr>
            <w:tcW w:w="3047" w:type="dxa"/>
            <w:vAlign w:val="top"/>
          </w:tcPr>
          <w:p w14:paraId="074B0930">
            <w:pPr>
              <w:pStyle w:val="6"/>
              <w:spacing w:before="82" w:line="221" w:lineRule="auto"/>
              <w:ind w:left="1265"/>
              <w:rPr>
                <w:sz w:val="18"/>
                <w:szCs w:val="18"/>
              </w:rPr>
            </w:pPr>
            <w:r>
              <w:rPr>
                <w:b/>
                <w:bCs/>
                <w:spacing w:val="1"/>
                <w:sz w:val="18"/>
                <w:szCs w:val="18"/>
              </w:rPr>
              <w:t>知识点</w:t>
            </w:r>
          </w:p>
        </w:tc>
      </w:tr>
      <w:tr w14:paraId="7569BD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9" w:hRule="atLeast"/>
        </w:trPr>
        <w:tc>
          <w:tcPr>
            <w:tcW w:w="1072" w:type="dxa"/>
            <w:vMerge w:val="restart"/>
            <w:tcBorders>
              <w:bottom w:val="nil"/>
            </w:tcBorders>
            <w:vAlign w:val="top"/>
          </w:tcPr>
          <w:p w14:paraId="0B4D0DAB">
            <w:pPr>
              <w:spacing w:line="258" w:lineRule="auto"/>
              <w:rPr>
                <w:rFonts w:ascii="Arial"/>
                <w:sz w:val="21"/>
              </w:rPr>
            </w:pPr>
          </w:p>
          <w:p w14:paraId="2F640D26">
            <w:pPr>
              <w:spacing w:line="258" w:lineRule="auto"/>
              <w:rPr>
                <w:rFonts w:ascii="Arial"/>
                <w:sz w:val="21"/>
              </w:rPr>
            </w:pPr>
          </w:p>
          <w:p w14:paraId="65BEDAB6">
            <w:pPr>
              <w:spacing w:line="258" w:lineRule="auto"/>
              <w:rPr>
                <w:rFonts w:ascii="Arial"/>
                <w:sz w:val="21"/>
              </w:rPr>
            </w:pPr>
          </w:p>
          <w:p w14:paraId="0885F52C">
            <w:pPr>
              <w:pStyle w:val="6"/>
              <w:spacing w:before="59" w:line="206" w:lineRule="auto"/>
              <w:ind w:left="165"/>
              <w:rPr>
                <w:sz w:val="18"/>
                <w:szCs w:val="18"/>
              </w:rPr>
            </w:pPr>
            <w:r>
              <w:rPr>
                <w:spacing w:val="-2"/>
                <w:sz w:val="18"/>
                <w:szCs w:val="18"/>
              </w:rPr>
              <w:t>机械基础</w:t>
            </w:r>
          </w:p>
          <w:p w14:paraId="4CFF46F3">
            <w:pPr>
              <w:pStyle w:val="6"/>
              <w:spacing w:line="220" w:lineRule="auto"/>
              <w:ind w:left="254"/>
              <w:rPr>
                <w:sz w:val="18"/>
                <w:szCs w:val="18"/>
              </w:rPr>
            </w:pPr>
            <w:r>
              <w:rPr>
                <w:spacing w:val="7"/>
                <w:sz w:val="18"/>
                <w:szCs w:val="18"/>
              </w:rPr>
              <w:t>(70分)</w:t>
            </w:r>
          </w:p>
        </w:tc>
        <w:tc>
          <w:tcPr>
            <w:tcW w:w="3047" w:type="dxa"/>
            <w:vAlign w:val="top"/>
          </w:tcPr>
          <w:p w14:paraId="33400CBD">
            <w:pPr>
              <w:pStyle w:val="6"/>
              <w:spacing w:before="78" w:line="219" w:lineRule="auto"/>
              <w:ind w:left="2"/>
              <w:rPr>
                <w:sz w:val="18"/>
                <w:szCs w:val="18"/>
              </w:rPr>
            </w:pPr>
            <w:r>
              <w:rPr>
                <w:spacing w:val="-2"/>
                <w:sz w:val="18"/>
                <w:szCs w:val="18"/>
              </w:rPr>
              <w:t>工程力学</w:t>
            </w:r>
          </w:p>
        </w:tc>
      </w:tr>
      <w:tr w14:paraId="04537C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9" w:hRule="atLeast"/>
        </w:trPr>
        <w:tc>
          <w:tcPr>
            <w:tcW w:w="1072" w:type="dxa"/>
            <w:vMerge w:val="continue"/>
            <w:tcBorders>
              <w:top w:val="nil"/>
              <w:bottom w:val="nil"/>
            </w:tcBorders>
            <w:vAlign w:val="top"/>
          </w:tcPr>
          <w:p w14:paraId="3CD528BB">
            <w:pPr>
              <w:rPr>
                <w:rFonts w:ascii="Arial"/>
                <w:sz w:val="21"/>
              </w:rPr>
            </w:pPr>
          </w:p>
        </w:tc>
        <w:tc>
          <w:tcPr>
            <w:tcW w:w="3047" w:type="dxa"/>
            <w:vAlign w:val="top"/>
          </w:tcPr>
          <w:p w14:paraId="37930E19">
            <w:pPr>
              <w:pStyle w:val="6"/>
              <w:spacing w:before="78" w:line="219" w:lineRule="auto"/>
              <w:ind w:left="2"/>
              <w:rPr>
                <w:sz w:val="18"/>
                <w:szCs w:val="18"/>
              </w:rPr>
            </w:pPr>
            <w:r>
              <w:rPr>
                <w:spacing w:val="-1"/>
                <w:sz w:val="18"/>
                <w:szCs w:val="18"/>
              </w:rPr>
              <w:t>机械工程材料</w:t>
            </w:r>
          </w:p>
        </w:tc>
      </w:tr>
      <w:tr w14:paraId="15CCE5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8" w:hRule="atLeast"/>
        </w:trPr>
        <w:tc>
          <w:tcPr>
            <w:tcW w:w="1072" w:type="dxa"/>
            <w:vMerge w:val="continue"/>
            <w:tcBorders>
              <w:top w:val="nil"/>
              <w:bottom w:val="nil"/>
            </w:tcBorders>
            <w:vAlign w:val="top"/>
          </w:tcPr>
          <w:p w14:paraId="084C73EC">
            <w:pPr>
              <w:rPr>
                <w:rFonts w:ascii="Arial"/>
                <w:sz w:val="21"/>
              </w:rPr>
            </w:pPr>
          </w:p>
        </w:tc>
        <w:tc>
          <w:tcPr>
            <w:tcW w:w="3047" w:type="dxa"/>
            <w:vAlign w:val="top"/>
          </w:tcPr>
          <w:p w14:paraId="74D812B6">
            <w:pPr>
              <w:pStyle w:val="6"/>
              <w:spacing w:before="79" w:line="219" w:lineRule="auto"/>
              <w:ind w:left="2"/>
              <w:rPr>
                <w:sz w:val="18"/>
                <w:szCs w:val="18"/>
              </w:rPr>
            </w:pPr>
            <w:r>
              <w:rPr>
                <w:spacing w:val="-2"/>
                <w:sz w:val="18"/>
                <w:szCs w:val="18"/>
              </w:rPr>
              <w:t>机械零件</w:t>
            </w:r>
          </w:p>
        </w:tc>
      </w:tr>
      <w:tr w14:paraId="310A17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9" w:hRule="atLeast"/>
        </w:trPr>
        <w:tc>
          <w:tcPr>
            <w:tcW w:w="1072" w:type="dxa"/>
            <w:vMerge w:val="continue"/>
            <w:tcBorders>
              <w:top w:val="nil"/>
              <w:bottom w:val="nil"/>
            </w:tcBorders>
            <w:vAlign w:val="top"/>
          </w:tcPr>
          <w:p w14:paraId="5131710A">
            <w:pPr>
              <w:rPr>
                <w:rFonts w:ascii="Arial"/>
                <w:sz w:val="21"/>
              </w:rPr>
            </w:pPr>
          </w:p>
        </w:tc>
        <w:tc>
          <w:tcPr>
            <w:tcW w:w="3047" w:type="dxa"/>
            <w:vAlign w:val="top"/>
          </w:tcPr>
          <w:p w14:paraId="11A380EE">
            <w:pPr>
              <w:pStyle w:val="6"/>
              <w:spacing w:before="81" w:line="219" w:lineRule="auto"/>
              <w:ind w:left="2"/>
              <w:rPr>
                <w:sz w:val="18"/>
                <w:szCs w:val="18"/>
              </w:rPr>
            </w:pPr>
            <w:r>
              <w:rPr>
                <w:spacing w:val="2"/>
                <w:sz w:val="18"/>
                <w:szCs w:val="18"/>
              </w:rPr>
              <w:t>常用机构</w:t>
            </w:r>
          </w:p>
        </w:tc>
      </w:tr>
      <w:tr w14:paraId="61F46D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9" w:hRule="atLeast"/>
        </w:trPr>
        <w:tc>
          <w:tcPr>
            <w:tcW w:w="1072" w:type="dxa"/>
            <w:vMerge w:val="continue"/>
            <w:tcBorders>
              <w:top w:val="nil"/>
              <w:bottom w:val="nil"/>
            </w:tcBorders>
            <w:vAlign w:val="top"/>
          </w:tcPr>
          <w:p w14:paraId="14C0D47F">
            <w:pPr>
              <w:rPr>
                <w:rFonts w:ascii="Arial"/>
                <w:sz w:val="21"/>
              </w:rPr>
            </w:pPr>
          </w:p>
        </w:tc>
        <w:tc>
          <w:tcPr>
            <w:tcW w:w="3047" w:type="dxa"/>
            <w:vAlign w:val="top"/>
          </w:tcPr>
          <w:p w14:paraId="6D208CD8">
            <w:pPr>
              <w:pStyle w:val="6"/>
              <w:spacing w:before="82" w:line="219" w:lineRule="auto"/>
              <w:ind w:left="2"/>
              <w:rPr>
                <w:sz w:val="18"/>
                <w:szCs w:val="18"/>
              </w:rPr>
            </w:pPr>
            <w:r>
              <w:rPr>
                <w:spacing w:val="-2"/>
                <w:sz w:val="18"/>
                <w:szCs w:val="18"/>
              </w:rPr>
              <w:t>机械传动</w:t>
            </w:r>
          </w:p>
        </w:tc>
      </w:tr>
      <w:tr w14:paraId="5E1505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9" w:hRule="atLeast"/>
        </w:trPr>
        <w:tc>
          <w:tcPr>
            <w:tcW w:w="1072" w:type="dxa"/>
            <w:vMerge w:val="continue"/>
            <w:tcBorders>
              <w:top w:val="nil"/>
            </w:tcBorders>
            <w:vAlign w:val="top"/>
          </w:tcPr>
          <w:p w14:paraId="3DD89C0D">
            <w:pPr>
              <w:rPr>
                <w:rFonts w:ascii="Arial"/>
                <w:sz w:val="21"/>
              </w:rPr>
            </w:pPr>
          </w:p>
        </w:tc>
        <w:tc>
          <w:tcPr>
            <w:tcW w:w="3047" w:type="dxa"/>
            <w:vAlign w:val="top"/>
          </w:tcPr>
          <w:p w14:paraId="2295C402">
            <w:pPr>
              <w:pStyle w:val="6"/>
              <w:spacing w:before="83" w:line="219" w:lineRule="auto"/>
              <w:ind w:left="2"/>
              <w:rPr>
                <w:sz w:val="18"/>
                <w:szCs w:val="18"/>
              </w:rPr>
            </w:pPr>
            <w:r>
              <w:rPr>
                <w:spacing w:val="3"/>
                <w:sz w:val="18"/>
                <w:szCs w:val="18"/>
              </w:rPr>
              <w:t>液压传动</w:t>
            </w:r>
          </w:p>
        </w:tc>
      </w:tr>
      <w:tr w14:paraId="486555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9" w:hRule="atLeast"/>
        </w:trPr>
        <w:tc>
          <w:tcPr>
            <w:tcW w:w="1072" w:type="dxa"/>
            <w:vMerge w:val="restart"/>
            <w:tcBorders>
              <w:bottom w:val="nil"/>
            </w:tcBorders>
            <w:vAlign w:val="top"/>
          </w:tcPr>
          <w:p w14:paraId="6CFCEEE3">
            <w:pPr>
              <w:pStyle w:val="6"/>
              <w:spacing w:before="165" w:line="206" w:lineRule="auto"/>
              <w:ind w:left="165"/>
              <w:rPr>
                <w:sz w:val="18"/>
                <w:szCs w:val="18"/>
              </w:rPr>
            </w:pPr>
            <w:r>
              <w:rPr>
                <w:spacing w:val="3"/>
                <w:sz w:val="18"/>
                <w:szCs w:val="18"/>
              </w:rPr>
              <w:t>机械制图</w:t>
            </w:r>
          </w:p>
          <w:p w14:paraId="332D8E55">
            <w:pPr>
              <w:pStyle w:val="6"/>
              <w:spacing w:line="220" w:lineRule="auto"/>
              <w:ind w:left="254"/>
              <w:rPr>
                <w:sz w:val="18"/>
                <w:szCs w:val="18"/>
              </w:rPr>
            </w:pPr>
            <w:r>
              <w:rPr>
                <w:spacing w:val="7"/>
                <w:sz w:val="18"/>
                <w:szCs w:val="18"/>
              </w:rPr>
              <w:t>(70分)</w:t>
            </w:r>
          </w:p>
        </w:tc>
        <w:tc>
          <w:tcPr>
            <w:tcW w:w="3047" w:type="dxa"/>
            <w:vAlign w:val="top"/>
          </w:tcPr>
          <w:p w14:paraId="6E7216E2">
            <w:pPr>
              <w:pStyle w:val="6"/>
              <w:spacing w:before="85" w:line="220" w:lineRule="auto"/>
              <w:ind w:left="2"/>
              <w:rPr>
                <w:sz w:val="18"/>
                <w:szCs w:val="18"/>
              </w:rPr>
            </w:pPr>
            <w:r>
              <w:rPr>
                <w:sz w:val="18"/>
                <w:szCs w:val="18"/>
              </w:rPr>
              <w:t>点、直线和平面的投影</w:t>
            </w:r>
          </w:p>
        </w:tc>
      </w:tr>
      <w:tr w14:paraId="1394DF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3" w:hRule="atLeast"/>
        </w:trPr>
        <w:tc>
          <w:tcPr>
            <w:tcW w:w="1072" w:type="dxa"/>
            <w:vMerge w:val="continue"/>
            <w:tcBorders>
              <w:top w:val="nil"/>
            </w:tcBorders>
            <w:vAlign w:val="top"/>
          </w:tcPr>
          <w:p w14:paraId="15790F32">
            <w:pPr>
              <w:rPr>
                <w:rFonts w:ascii="Arial"/>
                <w:sz w:val="21"/>
              </w:rPr>
            </w:pPr>
          </w:p>
        </w:tc>
        <w:tc>
          <w:tcPr>
            <w:tcW w:w="3047" w:type="dxa"/>
            <w:vAlign w:val="top"/>
          </w:tcPr>
          <w:p w14:paraId="1F3042C9">
            <w:pPr>
              <w:pStyle w:val="6"/>
              <w:spacing w:before="85" w:line="219" w:lineRule="auto"/>
              <w:ind w:left="2"/>
              <w:rPr>
                <w:sz w:val="18"/>
                <w:szCs w:val="18"/>
              </w:rPr>
            </w:pPr>
            <w:r>
              <w:rPr>
                <w:spacing w:val="-2"/>
                <w:sz w:val="18"/>
                <w:szCs w:val="18"/>
              </w:rPr>
              <w:t>基本体</w:t>
            </w:r>
          </w:p>
        </w:tc>
      </w:tr>
    </w:tbl>
    <w:p w14:paraId="17FFC8C0">
      <w:pPr>
        <w:pStyle w:val="2"/>
        <w:spacing w:line="22" w:lineRule="exact"/>
        <w:rPr>
          <w:sz w:val="2"/>
        </w:rPr>
      </w:pPr>
    </w:p>
    <w:p w14:paraId="59DC5A00">
      <w:pPr>
        <w:pStyle w:val="2"/>
        <w:spacing w:line="14" w:lineRule="auto"/>
        <w:rPr>
          <w:sz w:val="2"/>
        </w:rPr>
      </w:pPr>
      <w:r>
        <w:rPr>
          <w:sz w:val="2"/>
          <w:szCs w:val="2"/>
        </w:rPr>
        <w:br w:type="column"/>
      </w:r>
    </w:p>
    <w:tbl>
      <w:tblPr>
        <w:tblStyle w:val="5"/>
        <w:tblW w:w="4119" w:type="dxa"/>
        <w:tblInd w:w="1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082"/>
        <w:gridCol w:w="3037"/>
      </w:tblGrid>
      <w:tr w14:paraId="093988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9" w:hRule="atLeast"/>
        </w:trPr>
        <w:tc>
          <w:tcPr>
            <w:tcW w:w="1082" w:type="dxa"/>
            <w:tcBorders>
              <w:top w:val="single" w:color="000000" w:sz="2" w:space="0"/>
              <w:bottom w:val="single" w:color="000000" w:sz="2" w:space="0"/>
            </w:tcBorders>
            <w:vAlign w:val="top"/>
          </w:tcPr>
          <w:p w14:paraId="0B9A5CFD">
            <w:pPr>
              <w:pStyle w:val="6"/>
              <w:spacing w:before="83" w:line="219" w:lineRule="auto"/>
              <w:ind w:left="357"/>
              <w:rPr>
                <w:sz w:val="18"/>
                <w:szCs w:val="18"/>
              </w:rPr>
            </w:pPr>
            <w:r>
              <w:rPr>
                <w:b/>
                <w:bCs/>
                <w:spacing w:val="-5"/>
                <w:sz w:val="18"/>
                <w:szCs w:val="18"/>
              </w:rPr>
              <w:t>学科</w:t>
            </w:r>
          </w:p>
        </w:tc>
        <w:tc>
          <w:tcPr>
            <w:tcW w:w="3037" w:type="dxa"/>
            <w:tcBorders>
              <w:top w:val="single" w:color="000000" w:sz="2" w:space="0"/>
              <w:bottom w:val="single" w:color="000000" w:sz="2" w:space="0"/>
            </w:tcBorders>
            <w:vAlign w:val="top"/>
          </w:tcPr>
          <w:p w14:paraId="054E2138">
            <w:pPr>
              <w:pStyle w:val="6"/>
              <w:spacing w:before="87" w:line="221" w:lineRule="auto"/>
              <w:ind w:left="1255"/>
              <w:rPr>
                <w:sz w:val="18"/>
                <w:szCs w:val="18"/>
              </w:rPr>
            </w:pPr>
            <w:r>
              <w:rPr>
                <w:b/>
                <w:bCs/>
                <w:spacing w:val="1"/>
                <w:sz w:val="18"/>
                <w:szCs w:val="18"/>
              </w:rPr>
              <w:t>知识点</w:t>
            </w:r>
          </w:p>
        </w:tc>
      </w:tr>
      <w:tr w14:paraId="160CA5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5" w:hRule="atLeast"/>
        </w:trPr>
        <w:tc>
          <w:tcPr>
            <w:tcW w:w="1082" w:type="dxa"/>
            <w:vMerge w:val="restart"/>
            <w:tcBorders>
              <w:top w:val="single" w:color="000000" w:sz="2" w:space="0"/>
              <w:bottom w:val="nil"/>
            </w:tcBorders>
            <w:vAlign w:val="top"/>
          </w:tcPr>
          <w:p w14:paraId="0DE25DCF">
            <w:pPr>
              <w:spacing w:line="294" w:lineRule="auto"/>
              <w:rPr>
                <w:rFonts w:ascii="Arial"/>
                <w:sz w:val="21"/>
              </w:rPr>
            </w:pPr>
          </w:p>
          <w:p w14:paraId="3B3BF6E9">
            <w:pPr>
              <w:spacing w:line="295" w:lineRule="auto"/>
              <w:rPr>
                <w:rFonts w:ascii="Arial"/>
                <w:sz w:val="21"/>
              </w:rPr>
            </w:pPr>
          </w:p>
          <w:p w14:paraId="6A18EE9E">
            <w:pPr>
              <w:pStyle w:val="6"/>
              <w:spacing w:before="59" w:line="219" w:lineRule="auto"/>
              <w:ind w:left="174"/>
              <w:rPr>
                <w:sz w:val="18"/>
                <w:szCs w:val="18"/>
              </w:rPr>
            </w:pPr>
            <w:r>
              <w:rPr>
                <w:spacing w:val="3"/>
                <w:sz w:val="18"/>
                <w:szCs w:val="18"/>
              </w:rPr>
              <w:t>机械制图</w:t>
            </w:r>
          </w:p>
          <w:p w14:paraId="11DE6421">
            <w:pPr>
              <w:pStyle w:val="6"/>
              <w:spacing w:before="18" w:line="220" w:lineRule="auto"/>
              <w:ind w:left="265"/>
              <w:rPr>
                <w:sz w:val="18"/>
                <w:szCs w:val="18"/>
              </w:rPr>
            </w:pPr>
            <w:r>
              <w:rPr>
                <w:spacing w:val="7"/>
                <w:sz w:val="18"/>
                <w:szCs w:val="18"/>
              </w:rPr>
              <w:t>(70分)</w:t>
            </w:r>
          </w:p>
        </w:tc>
        <w:tc>
          <w:tcPr>
            <w:tcW w:w="3037" w:type="dxa"/>
            <w:tcBorders>
              <w:top w:val="single" w:color="000000" w:sz="2" w:space="0"/>
              <w:bottom w:val="single" w:color="000000" w:sz="2" w:space="0"/>
            </w:tcBorders>
            <w:vAlign w:val="top"/>
          </w:tcPr>
          <w:p w14:paraId="109D7444">
            <w:pPr>
              <w:pStyle w:val="6"/>
              <w:spacing w:before="83" w:line="220" w:lineRule="auto"/>
              <w:ind w:left="13"/>
              <w:rPr>
                <w:sz w:val="18"/>
                <w:szCs w:val="18"/>
              </w:rPr>
            </w:pPr>
            <w:r>
              <w:rPr>
                <w:spacing w:val="-1"/>
                <w:sz w:val="18"/>
                <w:szCs w:val="18"/>
              </w:rPr>
              <w:t>截交线与相贯线</w:t>
            </w:r>
          </w:p>
        </w:tc>
      </w:tr>
      <w:tr w14:paraId="204755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4" w:hRule="atLeast"/>
        </w:trPr>
        <w:tc>
          <w:tcPr>
            <w:tcW w:w="1082" w:type="dxa"/>
            <w:vMerge w:val="continue"/>
            <w:tcBorders>
              <w:top w:val="nil"/>
              <w:bottom w:val="nil"/>
            </w:tcBorders>
            <w:vAlign w:val="top"/>
          </w:tcPr>
          <w:p w14:paraId="7E84F314">
            <w:pPr>
              <w:rPr>
                <w:rFonts w:ascii="Arial"/>
                <w:sz w:val="21"/>
              </w:rPr>
            </w:pPr>
          </w:p>
        </w:tc>
        <w:tc>
          <w:tcPr>
            <w:tcW w:w="3037" w:type="dxa"/>
            <w:tcBorders>
              <w:top w:val="single" w:color="000000" w:sz="2" w:space="0"/>
              <w:bottom w:val="single" w:color="000000" w:sz="2" w:space="0"/>
            </w:tcBorders>
            <w:vAlign w:val="top"/>
          </w:tcPr>
          <w:p w14:paraId="458F8841">
            <w:pPr>
              <w:pStyle w:val="6"/>
              <w:spacing w:before="84" w:line="221" w:lineRule="auto"/>
              <w:ind w:left="13"/>
              <w:rPr>
                <w:sz w:val="18"/>
                <w:szCs w:val="18"/>
              </w:rPr>
            </w:pPr>
            <w:r>
              <w:rPr>
                <w:spacing w:val="-3"/>
                <w:sz w:val="18"/>
                <w:szCs w:val="18"/>
              </w:rPr>
              <w:t>组合体</w:t>
            </w:r>
          </w:p>
        </w:tc>
      </w:tr>
      <w:tr w14:paraId="663CB5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5" w:hRule="atLeast"/>
        </w:trPr>
        <w:tc>
          <w:tcPr>
            <w:tcW w:w="1082" w:type="dxa"/>
            <w:vMerge w:val="continue"/>
            <w:tcBorders>
              <w:top w:val="nil"/>
              <w:bottom w:val="nil"/>
            </w:tcBorders>
            <w:vAlign w:val="top"/>
          </w:tcPr>
          <w:p w14:paraId="0810A745">
            <w:pPr>
              <w:rPr>
                <w:rFonts w:ascii="Arial"/>
                <w:sz w:val="21"/>
              </w:rPr>
            </w:pPr>
          </w:p>
        </w:tc>
        <w:tc>
          <w:tcPr>
            <w:tcW w:w="3037" w:type="dxa"/>
            <w:tcBorders>
              <w:top w:val="single" w:color="000000" w:sz="2" w:space="0"/>
              <w:bottom w:val="single" w:color="000000" w:sz="2" w:space="0"/>
            </w:tcBorders>
            <w:vAlign w:val="top"/>
          </w:tcPr>
          <w:p w14:paraId="4D59D53A">
            <w:pPr>
              <w:pStyle w:val="6"/>
              <w:spacing w:before="84" w:line="219" w:lineRule="auto"/>
              <w:ind w:left="13"/>
              <w:rPr>
                <w:sz w:val="18"/>
                <w:szCs w:val="18"/>
              </w:rPr>
            </w:pPr>
            <w:r>
              <w:rPr>
                <w:spacing w:val="1"/>
                <w:sz w:val="18"/>
                <w:szCs w:val="18"/>
              </w:rPr>
              <w:t>图样表示法</w:t>
            </w:r>
          </w:p>
        </w:tc>
      </w:tr>
      <w:tr w14:paraId="59C686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5" w:hRule="atLeast"/>
        </w:trPr>
        <w:tc>
          <w:tcPr>
            <w:tcW w:w="1082" w:type="dxa"/>
            <w:vMerge w:val="continue"/>
            <w:tcBorders>
              <w:top w:val="nil"/>
              <w:bottom w:val="nil"/>
            </w:tcBorders>
            <w:vAlign w:val="top"/>
          </w:tcPr>
          <w:p w14:paraId="3DC0647A">
            <w:pPr>
              <w:rPr>
                <w:rFonts w:ascii="Arial"/>
                <w:sz w:val="21"/>
              </w:rPr>
            </w:pPr>
          </w:p>
        </w:tc>
        <w:tc>
          <w:tcPr>
            <w:tcW w:w="3037" w:type="dxa"/>
            <w:tcBorders>
              <w:top w:val="single" w:color="000000" w:sz="2" w:space="0"/>
              <w:bottom w:val="single" w:color="000000" w:sz="2" w:space="0"/>
            </w:tcBorders>
            <w:vAlign w:val="top"/>
          </w:tcPr>
          <w:p w14:paraId="132EA95F">
            <w:pPr>
              <w:pStyle w:val="6"/>
              <w:spacing w:before="84" w:line="219" w:lineRule="auto"/>
              <w:ind w:left="13"/>
              <w:rPr>
                <w:sz w:val="18"/>
                <w:szCs w:val="18"/>
              </w:rPr>
            </w:pPr>
            <w:r>
              <w:rPr>
                <w:spacing w:val="-2"/>
                <w:sz w:val="18"/>
                <w:szCs w:val="18"/>
              </w:rPr>
              <w:t>常用标准件表示法</w:t>
            </w:r>
          </w:p>
        </w:tc>
      </w:tr>
      <w:tr w14:paraId="2A8A9F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4" w:hRule="atLeast"/>
        </w:trPr>
        <w:tc>
          <w:tcPr>
            <w:tcW w:w="1082" w:type="dxa"/>
            <w:vMerge w:val="continue"/>
            <w:tcBorders>
              <w:top w:val="nil"/>
              <w:bottom w:val="single" w:color="000000" w:sz="2" w:space="0"/>
            </w:tcBorders>
            <w:vAlign w:val="top"/>
          </w:tcPr>
          <w:p w14:paraId="433943D7">
            <w:pPr>
              <w:rPr>
                <w:rFonts w:ascii="Arial"/>
                <w:sz w:val="21"/>
              </w:rPr>
            </w:pPr>
          </w:p>
        </w:tc>
        <w:tc>
          <w:tcPr>
            <w:tcW w:w="3037" w:type="dxa"/>
            <w:tcBorders>
              <w:top w:val="single" w:color="000000" w:sz="2" w:space="0"/>
              <w:bottom w:val="single" w:color="000000" w:sz="2" w:space="0"/>
            </w:tcBorders>
            <w:vAlign w:val="top"/>
          </w:tcPr>
          <w:p w14:paraId="61298AD2">
            <w:pPr>
              <w:pStyle w:val="6"/>
              <w:spacing w:before="84" w:line="219" w:lineRule="auto"/>
              <w:ind w:left="13"/>
              <w:rPr>
                <w:sz w:val="18"/>
                <w:szCs w:val="18"/>
              </w:rPr>
            </w:pPr>
            <w:r>
              <w:rPr>
                <w:spacing w:val="5"/>
                <w:sz w:val="18"/>
                <w:szCs w:val="18"/>
              </w:rPr>
              <w:t>零件图</w:t>
            </w:r>
          </w:p>
        </w:tc>
      </w:tr>
      <w:tr w14:paraId="692BE5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6" w:hRule="atLeast"/>
        </w:trPr>
        <w:tc>
          <w:tcPr>
            <w:tcW w:w="1082" w:type="dxa"/>
            <w:tcBorders>
              <w:top w:val="single" w:color="000000" w:sz="2" w:space="0"/>
              <w:bottom w:val="single" w:color="000000" w:sz="2" w:space="0"/>
            </w:tcBorders>
            <w:vAlign w:val="top"/>
          </w:tcPr>
          <w:p w14:paraId="4D335CEC">
            <w:pPr>
              <w:spacing w:line="247" w:lineRule="auto"/>
              <w:rPr>
                <w:rFonts w:ascii="Arial"/>
                <w:sz w:val="21"/>
              </w:rPr>
            </w:pPr>
          </w:p>
          <w:p w14:paraId="7AEF4D8F">
            <w:pPr>
              <w:spacing w:line="247" w:lineRule="auto"/>
              <w:rPr>
                <w:rFonts w:ascii="Arial"/>
                <w:sz w:val="21"/>
              </w:rPr>
            </w:pPr>
          </w:p>
          <w:p w14:paraId="54364E94">
            <w:pPr>
              <w:spacing w:line="248" w:lineRule="auto"/>
              <w:rPr>
                <w:rFonts w:ascii="Arial"/>
                <w:sz w:val="21"/>
              </w:rPr>
            </w:pPr>
          </w:p>
          <w:p w14:paraId="4A0C4F1E">
            <w:pPr>
              <w:spacing w:line="248" w:lineRule="auto"/>
              <w:rPr>
                <w:rFonts w:ascii="Arial"/>
                <w:sz w:val="21"/>
              </w:rPr>
            </w:pPr>
          </w:p>
          <w:p w14:paraId="5FE573E4">
            <w:pPr>
              <w:pStyle w:val="6"/>
              <w:spacing w:before="58" w:line="220" w:lineRule="auto"/>
              <w:ind w:left="84"/>
              <w:rPr>
                <w:sz w:val="18"/>
                <w:szCs w:val="18"/>
              </w:rPr>
            </w:pPr>
            <w:r>
              <w:rPr>
                <w:spacing w:val="1"/>
                <w:sz w:val="18"/>
                <w:szCs w:val="18"/>
              </w:rPr>
              <w:t>电工电子技</w:t>
            </w:r>
          </w:p>
          <w:p w14:paraId="6D61BD5D">
            <w:pPr>
              <w:pStyle w:val="6"/>
              <w:spacing w:before="24" w:line="216" w:lineRule="auto"/>
              <w:ind w:left="174"/>
              <w:rPr>
                <w:sz w:val="18"/>
                <w:szCs w:val="18"/>
              </w:rPr>
            </w:pPr>
            <w:r>
              <w:rPr>
                <w:spacing w:val="5"/>
                <w:sz w:val="18"/>
                <w:szCs w:val="18"/>
              </w:rPr>
              <w:t>术及应用</w:t>
            </w:r>
          </w:p>
          <w:p w14:paraId="513F03C6">
            <w:pPr>
              <w:pStyle w:val="6"/>
              <w:spacing w:line="220" w:lineRule="auto"/>
              <w:ind w:left="265"/>
              <w:rPr>
                <w:sz w:val="18"/>
                <w:szCs w:val="18"/>
              </w:rPr>
            </w:pPr>
            <w:r>
              <w:rPr>
                <w:spacing w:val="7"/>
                <w:sz w:val="18"/>
                <w:szCs w:val="18"/>
              </w:rPr>
              <w:t>(60分)</w:t>
            </w:r>
          </w:p>
        </w:tc>
        <w:tc>
          <w:tcPr>
            <w:tcW w:w="3037" w:type="dxa"/>
            <w:tcBorders>
              <w:top w:val="single" w:color="000000" w:sz="2" w:space="0"/>
              <w:bottom w:val="single" w:color="000000" w:sz="2" w:space="0"/>
            </w:tcBorders>
            <w:vAlign w:val="top"/>
          </w:tcPr>
          <w:p w14:paraId="508F6CE2">
            <w:pPr>
              <w:pStyle w:val="6"/>
              <w:spacing w:before="175" w:line="225" w:lineRule="auto"/>
              <w:ind w:left="13" w:right="2283"/>
              <w:rPr>
                <w:sz w:val="18"/>
                <w:szCs w:val="18"/>
              </w:rPr>
            </w:pPr>
            <w:r>
              <w:rPr>
                <w:spacing w:val="2"/>
                <w:sz w:val="18"/>
                <w:szCs w:val="18"/>
              </w:rPr>
              <w:t>安全用电</w:t>
            </w:r>
            <w:r>
              <w:rPr>
                <w:spacing w:val="1"/>
                <w:sz w:val="18"/>
                <w:szCs w:val="18"/>
              </w:rPr>
              <w:t xml:space="preserve"> </w:t>
            </w:r>
            <w:r>
              <w:rPr>
                <w:spacing w:val="-2"/>
                <w:sz w:val="18"/>
                <w:szCs w:val="18"/>
              </w:rPr>
              <w:t>直流电路</w:t>
            </w:r>
          </w:p>
          <w:p w14:paraId="323CB0B9">
            <w:pPr>
              <w:pStyle w:val="6"/>
              <w:spacing w:line="232" w:lineRule="auto"/>
              <w:ind w:left="13" w:right="1581"/>
              <w:jc w:val="both"/>
              <w:rPr>
                <w:sz w:val="18"/>
                <w:szCs w:val="18"/>
              </w:rPr>
            </w:pPr>
            <w:r>
              <w:rPr>
                <w:spacing w:val="-2"/>
                <w:sz w:val="18"/>
                <w:szCs w:val="18"/>
              </w:rPr>
              <w:t>单相正弦交流电路</w:t>
            </w:r>
            <w:r>
              <w:rPr>
                <w:spacing w:val="6"/>
                <w:sz w:val="18"/>
                <w:szCs w:val="18"/>
              </w:rPr>
              <w:t xml:space="preserve"> </w:t>
            </w:r>
            <w:r>
              <w:rPr>
                <w:spacing w:val="-1"/>
                <w:sz w:val="18"/>
                <w:szCs w:val="18"/>
              </w:rPr>
              <w:t>三相正弦交流电路</w:t>
            </w:r>
            <w:r>
              <w:rPr>
                <w:sz w:val="18"/>
                <w:szCs w:val="18"/>
              </w:rPr>
              <w:t xml:space="preserve"> </w:t>
            </w:r>
            <w:r>
              <w:rPr>
                <w:spacing w:val="-2"/>
                <w:sz w:val="18"/>
                <w:szCs w:val="18"/>
              </w:rPr>
              <w:t>变压器</w:t>
            </w:r>
          </w:p>
          <w:p w14:paraId="3DFC999A">
            <w:pPr>
              <w:pStyle w:val="6"/>
              <w:spacing w:line="215" w:lineRule="auto"/>
              <w:ind w:left="13"/>
              <w:rPr>
                <w:sz w:val="18"/>
                <w:szCs w:val="18"/>
              </w:rPr>
            </w:pPr>
            <w:r>
              <w:rPr>
                <w:spacing w:val="2"/>
                <w:sz w:val="18"/>
                <w:szCs w:val="18"/>
              </w:rPr>
              <w:t>电动机</w:t>
            </w:r>
          </w:p>
          <w:p w14:paraId="3D55081E">
            <w:pPr>
              <w:pStyle w:val="6"/>
              <w:spacing w:before="1" w:line="225" w:lineRule="auto"/>
              <w:ind w:left="13" w:right="865"/>
              <w:rPr>
                <w:sz w:val="18"/>
                <w:szCs w:val="18"/>
              </w:rPr>
            </w:pPr>
            <w:r>
              <w:rPr>
                <w:spacing w:val="-1"/>
                <w:sz w:val="18"/>
                <w:szCs w:val="18"/>
              </w:rPr>
              <w:t>常用低压电器及其控制电路</w:t>
            </w:r>
            <w:r>
              <w:rPr>
                <w:sz w:val="18"/>
                <w:szCs w:val="18"/>
              </w:rPr>
              <w:t xml:space="preserve"> </w:t>
            </w:r>
            <w:r>
              <w:rPr>
                <w:spacing w:val="-2"/>
                <w:sz w:val="18"/>
                <w:szCs w:val="18"/>
              </w:rPr>
              <w:t>模拟电路</w:t>
            </w:r>
          </w:p>
          <w:p w14:paraId="59B30D56">
            <w:pPr>
              <w:pStyle w:val="6"/>
              <w:spacing w:line="205" w:lineRule="auto"/>
              <w:ind w:left="13"/>
              <w:rPr>
                <w:sz w:val="18"/>
                <w:szCs w:val="18"/>
              </w:rPr>
            </w:pPr>
            <w:r>
              <w:rPr>
                <w:spacing w:val="-2"/>
                <w:sz w:val="18"/>
                <w:szCs w:val="18"/>
              </w:rPr>
              <w:t>数字电路</w:t>
            </w:r>
          </w:p>
          <w:p w14:paraId="0B450768">
            <w:pPr>
              <w:pStyle w:val="6"/>
              <w:spacing w:line="243" w:lineRule="auto"/>
              <w:ind w:left="13" w:right="1925"/>
              <w:rPr>
                <w:sz w:val="18"/>
                <w:szCs w:val="18"/>
              </w:rPr>
            </w:pPr>
            <w:r>
              <w:rPr>
                <w:spacing w:val="-2"/>
                <w:sz w:val="18"/>
                <w:szCs w:val="18"/>
              </w:rPr>
              <w:t>直流稳压电源</w:t>
            </w:r>
            <w:r>
              <w:rPr>
                <w:spacing w:val="2"/>
                <w:sz w:val="18"/>
                <w:szCs w:val="18"/>
              </w:rPr>
              <w:t xml:space="preserve"> </w:t>
            </w:r>
            <w:r>
              <w:rPr>
                <w:spacing w:val="1"/>
                <w:sz w:val="18"/>
                <w:szCs w:val="18"/>
              </w:rPr>
              <w:t>电力电子技术</w:t>
            </w:r>
          </w:p>
        </w:tc>
      </w:tr>
    </w:tbl>
    <w:p w14:paraId="65265726">
      <w:pPr>
        <w:spacing w:before="62" w:line="219" w:lineRule="auto"/>
        <w:ind w:left="420"/>
        <w:rPr>
          <w:rFonts w:ascii="宋体" w:hAnsi="宋体" w:eastAsia="宋体" w:cs="宋体"/>
          <w:sz w:val="17"/>
          <w:szCs w:val="17"/>
        </w:rPr>
      </w:pPr>
      <w:r>
        <w:rPr>
          <w:rFonts w:ascii="宋体" w:hAnsi="宋体" w:eastAsia="宋体" w:cs="宋体"/>
          <w:spacing w:val="23"/>
          <w:sz w:val="17"/>
          <w:szCs w:val="17"/>
        </w:rPr>
        <w:t>(2)按考试水平分(可上下调整2%</w:t>
      </w:r>
      <w:r>
        <w:rPr>
          <w:rFonts w:ascii="宋体" w:hAnsi="宋体" w:eastAsia="宋体" w:cs="宋体"/>
          <w:spacing w:val="-50"/>
          <w:sz w:val="17"/>
          <w:szCs w:val="17"/>
        </w:rPr>
        <w:t xml:space="preserve"> </w:t>
      </w:r>
      <w:r>
        <w:rPr>
          <w:rFonts w:ascii="宋体" w:hAnsi="宋体" w:eastAsia="宋体" w:cs="宋体"/>
          <w:spacing w:val="23"/>
          <w:sz w:val="17"/>
          <w:szCs w:val="17"/>
        </w:rPr>
        <w:t>-</w:t>
      </w:r>
      <w:r>
        <w:rPr>
          <w:rFonts w:ascii="宋体" w:hAnsi="宋体" w:eastAsia="宋体" w:cs="宋体"/>
          <w:spacing w:val="-45"/>
          <w:sz w:val="17"/>
          <w:szCs w:val="17"/>
        </w:rPr>
        <w:t xml:space="preserve"> </w:t>
      </w:r>
      <w:r>
        <w:rPr>
          <w:rFonts w:ascii="宋体" w:hAnsi="宋体" w:eastAsia="宋体" w:cs="宋体"/>
          <w:spacing w:val="23"/>
          <w:sz w:val="17"/>
          <w:szCs w:val="17"/>
        </w:rPr>
        <w:t>5</w:t>
      </w:r>
      <w:r>
        <w:rPr>
          <w:rFonts w:ascii="宋体" w:hAnsi="宋体" w:eastAsia="宋体" w:cs="宋体"/>
          <w:spacing w:val="22"/>
          <w:sz w:val="17"/>
          <w:szCs w:val="17"/>
        </w:rPr>
        <w:t>%)</w:t>
      </w:r>
    </w:p>
    <w:p w14:paraId="7C660D21">
      <w:pPr>
        <w:spacing w:line="116" w:lineRule="exact"/>
      </w:pPr>
    </w:p>
    <w:tbl>
      <w:tblPr>
        <w:tblStyle w:val="5"/>
        <w:tblW w:w="4130" w:type="dxa"/>
        <w:tblInd w:w="1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33"/>
        <w:gridCol w:w="828"/>
        <w:gridCol w:w="818"/>
        <w:gridCol w:w="828"/>
        <w:gridCol w:w="823"/>
      </w:tblGrid>
      <w:tr w14:paraId="6EED19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833" w:type="dxa"/>
            <w:vAlign w:val="top"/>
          </w:tcPr>
          <w:p w14:paraId="304210F0">
            <w:pPr>
              <w:pStyle w:val="6"/>
              <w:spacing w:before="130" w:line="220" w:lineRule="auto"/>
              <w:ind w:left="27"/>
              <w:rPr>
                <w:sz w:val="19"/>
                <w:szCs w:val="19"/>
              </w:rPr>
            </w:pPr>
            <w:r>
              <w:rPr>
                <w:b/>
                <w:bCs/>
                <w:spacing w:val="-2"/>
                <w:sz w:val="19"/>
                <w:szCs w:val="19"/>
              </w:rPr>
              <w:t>目标要求</w:t>
            </w:r>
          </w:p>
        </w:tc>
        <w:tc>
          <w:tcPr>
            <w:tcW w:w="828" w:type="dxa"/>
            <w:vAlign w:val="top"/>
          </w:tcPr>
          <w:p w14:paraId="6384B174">
            <w:pPr>
              <w:pStyle w:val="6"/>
              <w:spacing w:before="133" w:line="222" w:lineRule="auto"/>
              <w:ind w:left="74"/>
              <w:rPr>
                <w:sz w:val="19"/>
                <w:szCs w:val="19"/>
              </w:rPr>
            </w:pPr>
            <w:r>
              <w:rPr>
                <w:b/>
                <w:bCs/>
                <w:spacing w:val="4"/>
                <w:sz w:val="19"/>
                <w:szCs w:val="19"/>
              </w:rPr>
              <w:t>识记(A)</w:t>
            </w:r>
          </w:p>
        </w:tc>
        <w:tc>
          <w:tcPr>
            <w:tcW w:w="818" w:type="dxa"/>
            <w:vAlign w:val="top"/>
          </w:tcPr>
          <w:p w14:paraId="1E5237C7">
            <w:pPr>
              <w:pStyle w:val="6"/>
              <w:spacing w:before="130" w:line="220" w:lineRule="auto"/>
              <w:ind w:left="66"/>
              <w:rPr>
                <w:sz w:val="19"/>
                <w:szCs w:val="19"/>
              </w:rPr>
            </w:pPr>
            <w:r>
              <w:rPr>
                <w:b/>
                <w:bCs/>
                <w:spacing w:val="6"/>
                <w:sz w:val="19"/>
                <w:szCs w:val="19"/>
              </w:rPr>
              <w:t>理解(B)</w:t>
            </w:r>
          </w:p>
        </w:tc>
        <w:tc>
          <w:tcPr>
            <w:tcW w:w="828" w:type="dxa"/>
            <w:vAlign w:val="top"/>
          </w:tcPr>
          <w:p w14:paraId="4B4861B6">
            <w:pPr>
              <w:pStyle w:val="6"/>
              <w:spacing w:before="130" w:line="219" w:lineRule="auto"/>
              <w:ind w:left="78"/>
              <w:rPr>
                <w:sz w:val="19"/>
                <w:szCs w:val="19"/>
              </w:rPr>
            </w:pPr>
            <w:r>
              <w:rPr>
                <w:b/>
                <w:bCs/>
                <w:spacing w:val="4"/>
                <w:sz w:val="19"/>
                <w:szCs w:val="19"/>
              </w:rPr>
              <w:t>掌握(C)</w:t>
            </w:r>
          </w:p>
        </w:tc>
        <w:tc>
          <w:tcPr>
            <w:tcW w:w="823" w:type="dxa"/>
            <w:vAlign w:val="top"/>
          </w:tcPr>
          <w:p w14:paraId="21A6418F">
            <w:pPr>
              <w:pStyle w:val="6"/>
              <w:spacing w:before="30" w:line="206" w:lineRule="auto"/>
              <w:ind w:right="4"/>
              <w:jc w:val="right"/>
              <w:rPr>
                <w:sz w:val="19"/>
                <w:szCs w:val="19"/>
              </w:rPr>
            </w:pPr>
            <w:r>
              <w:rPr>
                <w:b/>
                <w:bCs/>
                <w:spacing w:val="2"/>
                <w:sz w:val="19"/>
                <w:szCs w:val="19"/>
              </w:rPr>
              <w:t>综合运用</w:t>
            </w:r>
          </w:p>
          <w:p w14:paraId="37837782">
            <w:pPr>
              <w:pStyle w:val="6"/>
              <w:spacing w:line="190" w:lineRule="auto"/>
              <w:ind w:left="260"/>
              <w:rPr>
                <w:sz w:val="19"/>
                <w:szCs w:val="19"/>
              </w:rPr>
            </w:pPr>
            <w:r>
              <w:rPr>
                <w:b/>
                <w:bCs/>
                <w:spacing w:val="-12"/>
                <w:sz w:val="19"/>
                <w:szCs w:val="19"/>
              </w:rPr>
              <w:t>(D)</w:t>
            </w:r>
          </w:p>
        </w:tc>
      </w:tr>
      <w:tr w14:paraId="4B8570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1" w:hRule="atLeast"/>
        </w:trPr>
        <w:tc>
          <w:tcPr>
            <w:tcW w:w="833" w:type="dxa"/>
            <w:vAlign w:val="top"/>
          </w:tcPr>
          <w:p w14:paraId="497AEAEA">
            <w:pPr>
              <w:pStyle w:val="6"/>
              <w:spacing w:before="42" w:line="203" w:lineRule="auto"/>
              <w:ind w:left="127"/>
              <w:rPr>
                <w:sz w:val="19"/>
                <w:szCs w:val="19"/>
              </w:rPr>
            </w:pPr>
            <w:r>
              <w:rPr>
                <w:b/>
                <w:bCs/>
                <w:sz w:val="19"/>
                <w:szCs w:val="19"/>
              </w:rPr>
              <w:t>百分比</w:t>
            </w:r>
          </w:p>
        </w:tc>
        <w:tc>
          <w:tcPr>
            <w:tcW w:w="828" w:type="dxa"/>
            <w:vAlign w:val="top"/>
          </w:tcPr>
          <w:p w14:paraId="6CEC4AC0">
            <w:pPr>
              <w:pStyle w:val="6"/>
              <w:spacing w:before="91" w:line="159" w:lineRule="exact"/>
              <w:ind w:left="264"/>
              <w:rPr>
                <w:sz w:val="19"/>
                <w:szCs w:val="19"/>
              </w:rPr>
            </w:pPr>
            <w:r>
              <w:rPr>
                <w:b/>
                <w:bCs/>
                <w:spacing w:val="-5"/>
                <w:position w:val="-2"/>
                <w:sz w:val="19"/>
                <w:szCs w:val="19"/>
              </w:rPr>
              <w:t>30%</w:t>
            </w:r>
          </w:p>
        </w:tc>
        <w:tc>
          <w:tcPr>
            <w:tcW w:w="818" w:type="dxa"/>
            <w:vAlign w:val="top"/>
          </w:tcPr>
          <w:p w14:paraId="0C6E751F">
            <w:pPr>
              <w:pStyle w:val="6"/>
              <w:spacing w:before="91" w:line="159" w:lineRule="exact"/>
              <w:ind w:left="256"/>
              <w:rPr>
                <w:sz w:val="19"/>
                <w:szCs w:val="19"/>
              </w:rPr>
            </w:pPr>
            <w:r>
              <w:rPr>
                <w:b/>
                <w:bCs/>
                <w:spacing w:val="-5"/>
                <w:position w:val="-2"/>
                <w:sz w:val="19"/>
                <w:szCs w:val="19"/>
              </w:rPr>
              <w:t>20%</w:t>
            </w:r>
          </w:p>
        </w:tc>
        <w:tc>
          <w:tcPr>
            <w:tcW w:w="828" w:type="dxa"/>
            <w:vAlign w:val="top"/>
          </w:tcPr>
          <w:p w14:paraId="0FD3317D">
            <w:pPr>
              <w:pStyle w:val="6"/>
              <w:spacing w:before="91" w:line="159" w:lineRule="exact"/>
              <w:ind w:left="268"/>
              <w:rPr>
                <w:sz w:val="19"/>
                <w:szCs w:val="19"/>
              </w:rPr>
            </w:pPr>
            <w:r>
              <w:rPr>
                <w:b/>
                <w:bCs/>
                <w:spacing w:val="-5"/>
                <w:position w:val="-2"/>
                <w:sz w:val="19"/>
                <w:szCs w:val="19"/>
              </w:rPr>
              <w:t>30%</w:t>
            </w:r>
          </w:p>
        </w:tc>
        <w:tc>
          <w:tcPr>
            <w:tcW w:w="823" w:type="dxa"/>
            <w:vAlign w:val="top"/>
          </w:tcPr>
          <w:p w14:paraId="494826E2">
            <w:pPr>
              <w:pStyle w:val="6"/>
              <w:spacing w:before="91" w:line="159" w:lineRule="exact"/>
              <w:ind w:left="260"/>
              <w:rPr>
                <w:sz w:val="19"/>
                <w:szCs w:val="19"/>
              </w:rPr>
            </w:pPr>
            <w:r>
              <w:rPr>
                <w:b/>
                <w:bCs/>
                <w:spacing w:val="-5"/>
                <w:position w:val="-2"/>
                <w:sz w:val="19"/>
                <w:szCs w:val="19"/>
              </w:rPr>
              <w:t>20%</w:t>
            </w:r>
          </w:p>
        </w:tc>
      </w:tr>
    </w:tbl>
    <w:p w14:paraId="6FCFEFA2">
      <w:pPr>
        <w:spacing w:before="50" w:line="221" w:lineRule="auto"/>
        <w:jc w:val="right"/>
        <w:rPr>
          <w:rFonts w:ascii="黑体" w:hAnsi="黑体" w:eastAsia="黑体" w:cs="黑体"/>
          <w:sz w:val="17"/>
          <w:szCs w:val="17"/>
        </w:rPr>
      </w:pPr>
      <w:r>
        <w:rPr>
          <w:rFonts w:ascii="黑体" w:hAnsi="黑体" w:eastAsia="黑体" w:cs="黑体"/>
          <w:spacing w:val="21"/>
          <w:sz w:val="17"/>
          <w:szCs w:val="17"/>
        </w:rPr>
        <w:t>(3)按试题的难易程度分(可上下调整2%-5%)</w:t>
      </w:r>
    </w:p>
    <w:p w14:paraId="32752F15">
      <w:pPr>
        <w:spacing w:line="125" w:lineRule="exact"/>
      </w:pPr>
    </w:p>
    <w:tbl>
      <w:tblPr>
        <w:tblStyle w:val="5"/>
        <w:tblW w:w="4130" w:type="dxa"/>
        <w:tblInd w:w="1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43"/>
        <w:gridCol w:w="1017"/>
        <w:gridCol w:w="1257"/>
        <w:gridCol w:w="913"/>
      </w:tblGrid>
      <w:tr w14:paraId="5EA1F7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0" w:hRule="atLeast"/>
        </w:trPr>
        <w:tc>
          <w:tcPr>
            <w:tcW w:w="943" w:type="dxa"/>
            <w:vAlign w:val="top"/>
          </w:tcPr>
          <w:p w14:paraId="36A1C5B2">
            <w:pPr>
              <w:pStyle w:val="6"/>
              <w:spacing w:before="60" w:line="220" w:lineRule="auto"/>
              <w:ind w:left="127"/>
            </w:pPr>
            <w:r>
              <w:rPr>
                <w:b/>
                <w:bCs/>
                <w:spacing w:val="-3"/>
              </w:rPr>
              <w:t>难易程度</w:t>
            </w:r>
          </w:p>
        </w:tc>
        <w:tc>
          <w:tcPr>
            <w:tcW w:w="1017" w:type="dxa"/>
            <w:vAlign w:val="top"/>
          </w:tcPr>
          <w:p w14:paraId="1DE50F48">
            <w:pPr>
              <w:pStyle w:val="6"/>
              <w:spacing w:before="61" w:line="221" w:lineRule="auto"/>
              <w:ind w:left="244"/>
            </w:pPr>
            <w:r>
              <w:rPr>
                <w:b/>
                <w:bCs/>
                <w:spacing w:val="-4"/>
              </w:rPr>
              <w:t>基础题</w:t>
            </w:r>
          </w:p>
        </w:tc>
        <w:tc>
          <w:tcPr>
            <w:tcW w:w="1257" w:type="dxa"/>
            <w:vAlign w:val="top"/>
          </w:tcPr>
          <w:p w14:paraId="6D1D1F63">
            <w:pPr>
              <w:pStyle w:val="6"/>
              <w:spacing w:before="59" w:line="219" w:lineRule="auto"/>
              <w:ind w:left="117"/>
            </w:pPr>
            <w:r>
              <w:rPr>
                <w:b/>
                <w:bCs/>
                <w:spacing w:val="-1"/>
              </w:rPr>
              <w:t>中等难易程度</w:t>
            </w:r>
          </w:p>
        </w:tc>
        <w:tc>
          <w:tcPr>
            <w:tcW w:w="913" w:type="dxa"/>
            <w:vAlign w:val="top"/>
          </w:tcPr>
          <w:p w14:paraId="4C60EC82">
            <w:pPr>
              <w:pStyle w:val="6"/>
              <w:spacing w:before="60" w:line="221" w:lineRule="auto"/>
              <w:ind w:left="280"/>
            </w:pPr>
            <w:r>
              <w:rPr>
                <w:b/>
                <w:bCs/>
                <w:spacing w:val="-4"/>
              </w:rPr>
              <w:t>难题</w:t>
            </w:r>
          </w:p>
        </w:tc>
      </w:tr>
      <w:tr w14:paraId="18DD4B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0" w:hRule="atLeast"/>
        </w:trPr>
        <w:tc>
          <w:tcPr>
            <w:tcW w:w="943" w:type="dxa"/>
            <w:vAlign w:val="top"/>
          </w:tcPr>
          <w:p w14:paraId="73BD979F">
            <w:pPr>
              <w:pStyle w:val="6"/>
              <w:spacing w:before="60" w:line="220" w:lineRule="auto"/>
              <w:ind w:left="207"/>
            </w:pPr>
            <w:r>
              <w:rPr>
                <w:b/>
                <w:bCs/>
                <w:spacing w:val="-5"/>
              </w:rPr>
              <w:t>百分比</w:t>
            </w:r>
          </w:p>
        </w:tc>
        <w:tc>
          <w:tcPr>
            <w:tcW w:w="1017" w:type="dxa"/>
            <w:vAlign w:val="top"/>
          </w:tcPr>
          <w:p w14:paraId="3E6DF186">
            <w:pPr>
              <w:pStyle w:val="6"/>
              <w:spacing w:before="104" w:line="183" w:lineRule="auto"/>
              <w:ind w:left="374"/>
            </w:pPr>
            <w:r>
              <w:rPr>
                <w:b/>
                <w:bCs/>
                <w:spacing w:val="-5"/>
              </w:rPr>
              <w:t>50%</w:t>
            </w:r>
          </w:p>
        </w:tc>
        <w:tc>
          <w:tcPr>
            <w:tcW w:w="1257" w:type="dxa"/>
            <w:vAlign w:val="top"/>
          </w:tcPr>
          <w:p w14:paraId="194DA91D">
            <w:pPr>
              <w:pStyle w:val="6"/>
              <w:spacing w:before="104" w:line="183" w:lineRule="auto"/>
              <w:ind w:left="497"/>
            </w:pPr>
            <w:r>
              <w:rPr>
                <w:b/>
                <w:bCs/>
                <w:spacing w:val="-5"/>
              </w:rPr>
              <w:t>30%</w:t>
            </w:r>
          </w:p>
        </w:tc>
        <w:tc>
          <w:tcPr>
            <w:tcW w:w="913" w:type="dxa"/>
            <w:vAlign w:val="top"/>
          </w:tcPr>
          <w:p w14:paraId="5F7CFCCF">
            <w:pPr>
              <w:pStyle w:val="6"/>
              <w:spacing w:before="104" w:line="183" w:lineRule="auto"/>
              <w:ind w:left="320"/>
            </w:pPr>
            <w:r>
              <w:rPr>
                <w:b/>
                <w:bCs/>
                <w:spacing w:val="-4"/>
              </w:rPr>
              <w:t>20%</w:t>
            </w:r>
          </w:p>
        </w:tc>
      </w:tr>
    </w:tbl>
    <w:p w14:paraId="55A8B9D8">
      <w:pPr>
        <w:spacing w:before="42" w:line="219" w:lineRule="auto"/>
        <w:ind w:left="420"/>
        <w:rPr>
          <w:rFonts w:ascii="宋体" w:hAnsi="宋体" w:eastAsia="宋体" w:cs="宋体"/>
          <w:sz w:val="17"/>
          <w:szCs w:val="17"/>
        </w:rPr>
      </w:pPr>
      <w:r>
        <w:rPr>
          <w:rFonts w:ascii="宋体" w:hAnsi="宋体" w:eastAsia="宋体" w:cs="宋体"/>
          <w:spacing w:val="24"/>
          <w:sz w:val="17"/>
          <w:szCs w:val="17"/>
        </w:rPr>
        <w:t>(4)按题型分：(可上下调整2%</w:t>
      </w:r>
      <w:r>
        <w:rPr>
          <w:rFonts w:ascii="宋体" w:hAnsi="宋体" w:eastAsia="宋体" w:cs="宋体"/>
          <w:spacing w:val="-41"/>
          <w:sz w:val="17"/>
          <w:szCs w:val="17"/>
        </w:rPr>
        <w:t xml:space="preserve"> </w:t>
      </w:r>
      <w:r>
        <w:rPr>
          <w:rFonts w:ascii="宋体" w:hAnsi="宋体" w:eastAsia="宋体" w:cs="宋体"/>
          <w:spacing w:val="24"/>
          <w:sz w:val="17"/>
          <w:szCs w:val="17"/>
        </w:rPr>
        <w:t>-</w:t>
      </w:r>
      <w:r>
        <w:rPr>
          <w:rFonts w:ascii="宋体" w:hAnsi="宋体" w:eastAsia="宋体" w:cs="宋体"/>
          <w:spacing w:val="-43"/>
          <w:sz w:val="17"/>
          <w:szCs w:val="17"/>
        </w:rPr>
        <w:t xml:space="preserve"> </w:t>
      </w:r>
      <w:r>
        <w:rPr>
          <w:rFonts w:ascii="宋体" w:hAnsi="宋体" w:eastAsia="宋体" w:cs="宋体"/>
          <w:spacing w:val="24"/>
          <w:sz w:val="17"/>
          <w:szCs w:val="17"/>
        </w:rPr>
        <w:t>5%)</w:t>
      </w:r>
    </w:p>
    <w:p w14:paraId="660C24E3">
      <w:pPr>
        <w:spacing w:line="116" w:lineRule="exact"/>
      </w:pPr>
    </w:p>
    <w:tbl>
      <w:tblPr>
        <w:tblStyle w:val="5"/>
        <w:tblW w:w="4130" w:type="dxa"/>
        <w:tblInd w:w="1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74"/>
        <w:gridCol w:w="589"/>
        <w:gridCol w:w="588"/>
        <w:gridCol w:w="539"/>
        <w:gridCol w:w="599"/>
        <w:gridCol w:w="588"/>
        <w:gridCol w:w="653"/>
      </w:tblGrid>
      <w:tr w14:paraId="732B6B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2" w:hRule="atLeast"/>
        </w:trPr>
        <w:tc>
          <w:tcPr>
            <w:tcW w:w="574" w:type="dxa"/>
            <w:vMerge w:val="restart"/>
            <w:tcBorders>
              <w:bottom w:val="nil"/>
            </w:tcBorders>
            <w:vAlign w:val="top"/>
          </w:tcPr>
          <w:p w14:paraId="48B35B49">
            <w:pPr>
              <w:spacing w:line="294" w:lineRule="auto"/>
              <w:rPr>
                <w:rFonts w:ascii="Arial"/>
                <w:sz w:val="21"/>
              </w:rPr>
            </w:pPr>
          </w:p>
          <w:p w14:paraId="3500A33E">
            <w:pPr>
              <w:pStyle w:val="6"/>
              <w:spacing w:before="56" w:line="221" w:lineRule="auto"/>
              <w:ind w:left="107"/>
            </w:pPr>
            <w:r>
              <w:rPr>
                <w:b/>
                <w:bCs/>
                <w:spacing w:val="-4"/>
              </w:rPr>
              <w:t>题型</w:t>
            </w:r>
          </w:p>
        </w:tc>
        <w:tc>
          <w:tcPr>
            <w:tcW w:w="1177" w:type="dxa"/>
            <w:gridSpan w:val="2"/>
            <w:vAlign w:val="top"/>
          </w:tcPr>
          <w:p w14:paraId="23BB1B3A">
            <w:pPr>
              <w:pStyle w:val="6"/>
              <w:spacing w:before="80" w:line="221" w:lineRule="auto"/>
              <w:ind w:left="323"/>
            </w:pPr>
            <w:r>
              <w:rPr>
                <w:b/>
                <w:bCs/>
                <w:spacing w:val="-4"/>
              </w:rPr>
              <w:t>选择题</w:t>
            </w:r>
          </w:p>
        </w:tc>
        <w:tc>
          <w:tcPr>
            <w:tcW w:w="539" w:type="dxa"/>
            <w:vMerge w:val="restart"/>
            <w:tcBorders>
              <w:bottom w:val="nil"/>
            </w:tcBorders>
            <w:vAlign w:val="top"/>
          </w:tcPr>
          <w:p w14:paraId="40955E65">
            <w:pPr>
              <w:spacing w:line="293" w:lineRule="auto"/>
              <w:rPr>
                <w:rFonts w:ascii="Arial"/>
                <w:sz w:val="21"/>
              </w:rPr>
            </w:pPr>
          </w:p>
          <w:p w14:paraId="77F94A28">
            <w:pPr>
              <w:pStyle w:val="6"/>
              <w:spacing w:before="55" w:line="220" w:lineRule="auto"/>
              <w:ind w:left="16"/>
            </w:pPr>
            <w:r>
              <w:rPr>
                <w:b/>
                <w:bCs/>
                <w:spacing w:val="-4"/>
              </w:rPr>
              <w:t>填空题</w:t>
            </w:r>
          </w:p>
        </w:tc>
        <w:tc>
          <w:tcPr>
            <w:tcW w:w="599" w:type="dxa"/>
            <w:vMerge w:val="restart"/>
            <w:tcBorders>
              <w:bottom w:val="nil"/>
            </w:tcBorders>
            <w:vAlign w:val="top"/>
          </w:tcPr>
          <w:p w14:paraId="6E2D84FF">
            <w:pPr>
              <w:spacing w:line="291" w:lineRule="auto"/>
              <w:rPr>
                <w:rFonts w:ascii="Arial"/>
                <w:sz w:val="21"/>
              </w:rPr>
            </w:pPr>
          </w:p>
          <w:p w14:paraId="7F98F82A">
            <w:pPr>
              <w:pStyle w:val="6"/>
              <w:spacing w:before="55" w:line="219" w:lineRule="auto"/>
              <w:ind w:left="37"/>
            </w:pPr>
            <w:r>
              <w:rPr>
                <w:b/>
                <w:bCs/>
                <w:spacing w:val="-5"/>
              </w:rPr>
              <w:t>简述与</w:t>
            </w:r>
          </w:p>
        </w:tc>
        <w:tc>
          <w:tcPr>
            <w:tcW w:w="588" w:type="dxa"/>
            <w:vMerge w:val="restart"/>
            <w:tcBorders>
              <w:bottom w:val="nil"/>
            </w:tcBorders>
            <w:vAlign w:val="top"/>
          </w:tcPr>
          <w:p w14:paraId="7EBDAC9F">
            <w:pPr>
              <w:spacing w:line="293" w:lineRule="auto"/>
              <w:rPr>
                <w:rFonts w:ascii="Arial"/>
                <w:sz w:val="21"/>
              </w:rPr>
            </w:pPr>
          </w:p>
          <w:p w14:paraId="34C363A4">
            <w:pPr>
              <w:pStyle w:val="6"/>
              <w:spacing w:before="55" w:line="220" w:lineRule="auto"/>
              <w:ind w:left="38"/>
            </w:pPr>
            <w:r>
              <w:rPr>
                <w:b/>
                <w:bCs/>
                <w:spacing w:val="-4"/>
              </w:rPr>
              <w:t>作图题</w:t>
            </w:r>
          </w:p>
        </w:tc>
        <w:tc>
          <w:tcPr>
            <w:tcW w:w="653" w:type="dxa"/>
            <w:vMerge w:val="restart"/>
            <w:tcBorders>
              <w:bottom w:val="nil"/>
            </w:tcBorders>
            <w:vAlign w:val="top"/>
          </w:tcPr>
          <w:p w14:paraId="3CC9818C">
            <w:pPr>
              <w:spacing w:line="292" w:lineRule="auto"/>
              <w:rPr>
                <w:rFonts w:ascii="Arial"/>
                <w:sz w:val="21"/>
              </w:rPr>
            </w:pPr>
          </w:p>
          <w:p w14:paraId="1C25FE60">
            <w:pPr>
              <w:pStyle w:val="6"/>
              <w:spacing w:before="55" w:line="219" w:lineRule="auto"/>
              <w:ind w:left="70"/>
            </w:pPr>
            <w:r>
              <w:rPr>
                <w:b/>
                <w:bCs/>
                <w:spacing w:val="-4"/>
              </w:rPr>
              <w:t>读图题</w:t>
            </w:r>
          </w:p>
        </w:tc>
      </w:tr>
      <w:tr w14:paraId="7891A4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5" w:hRule="atLeast"/>
        </w:trPr>
        <w:tc>
          <w:tcPr>
            <w:tcW w:w="574" w:type="dxa"/>
            <w:vMerge w:val="continue"/>
            <w:tcBorders>
              <w:top w:val="nil"/>
            </w:tcBorders>
            <w:vAlign w:val="top"/>
          </w:tcPr>
          <w:p w14:paraId="096409D0">
            <w:pPr>
              <w:rPr>
                <w:rFonts w:ascii="Arial"/>
                <w:sz w:val="21"/>
              </w:rPr>
            </w:pPr>
          </w:p>
        </w:tc>
        <w:tc>
          <w:tcPr>
            <w:tcW w:w="589" w:type="dxa"/>
            <w:vAlign w:val="top"/>
          </w:tcPr>
          <w:p w14:paraId="40D5BD7B">
            <w:pPr>
              <w:pStyle w:val="6"/>
              <w:spacing w:before="180" w:line="220" w:lineRule="auto"/>
              <w:ind w:left="111"/>
            </w:pPr>
            <w:r>
              <w:rPr>
                <w:spacing w:val="-2"/>
              </w:rPr>
              <w:t>单选</w:t>
            </w:r>
          </w:p>
        </w:tc>
        <w:tc>
          <w:tcPr>
            <w:tcW w:w="588" w:type="dxa"/>
            <w:vAlign w:val="top"/>
          </w:tcPr>
          <w:p w14:paraId="2A61834D">
            <w:pPr>
              <w:pStyle w:val="6"/>
              <w:spacing w:before="180" w:line="221" w:lineRule="auto"/>
              <w:ind w:left="111"/>
            </w:pPr>
            <w:r>
              <w:rPr>
                <w:spacing w:val="3"/>
              </w:rPr>
              <w:t>多选</w:t>
            </w:r>
          </w:p>
        </w:tc>
        <w:tc>
          <w:tcPr>
            <w:tcW w:w="539" w:type="dxa"/>
            <w:vMerge w:val="continue"/>
            <w:tcBorders>
              <w:top w:val="nil"/>
            </w:tcBorders>
            <w:vAlign w:val="top"/>
          </w:tcPr>
          <w:p w14:paraId="65C41D07">
            <w:pPr>
              <w:rPr>
                <w:rFonts w:ascii="Arial"/>
                <w:sz w:val="21"/>
              </w:rPr>
            </w:pPr>
          </w:p>
        </w:tc>
        <w:tc>
          <w:tcPr>
            <w:tcW w:w="599" w:type="dxa"/>
            <w:vMerge w:val="continue"/>
            <w:tcBorders>
              <w:top w:val="nil"/>
            </w:tcBorders>
            <w:vAlign w:val="top"/>
          </w:tcPr>
          <w:p w14:paraId="7D03A4EE">
            <w:pPr>
              <w:rPr>
                <w:rFonts w:ascii="Arial"/>
                <w:sz w:val="21"/>
              </w:rPr>
            </w:pPr>
          </w:p>
        </w:tc>
        <w:tc>
          <w:tcPr>
            <w:tcW w:w="588" w:type="dxa"/>
            <w:vMerge w:val="continue"/>
            <w:tcBorders>
              <w:top w:val="nil"/>
            </w:tcBorders>
            <w:vAlign w:val="top"/>
          </w:tcPr>
          <w:p w14:paraId="7545D6D8">
            <w:pPr>
              <w:rPr>
                <w:rFonts w:ascii="Arial"/>
                <w:sz w:val="21"/>
              </w:rPr>
            </w:pPr>
          </w:p>
        </w:tc>
        <w:tc>
          <w:tcPr>
            <w:tcW w:w="653" w:type="dxa"/>
            <w:vMerge w:val="continue"/>
            <w:tcBorders>
              <w:top w:val="nil"/>
            </w:tcBorders>
            <w:vAlign w:val="top"/>
          </w:tcPr>
          <w:p w14:paraId="530A4759">
            <w:pPr>
              <w:rPr>
                <w:rFonts w:ascii="Arial"/>
                <w:sz w:val="21"/>
              </w:rPr>
            </w:pPr>
          </w:p>
        </w:tc>
      </w:tr>
      <w:tr w14:paraId="5767F7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3" w:hRule="atLeast"/>
        </w:trPr>
        <w:tc>
          <w:tcPr>
            <w:tcW w:w="574" w:type="dxa"/>
            <w:vAlign w:val="top"/>
          </w:tcPr>
          <w:p w14:paraId="2EAF9AED">
            <w:pPr>
              <w:pStyle w:val="6"/>
              <w:spacing w:before="65" w:line="220" w:lineRule="auto"/>
              <w:ind w:left="24"/>
            </w:pPr>
            <w:r>
              <w:rPr>
                <w:spacing w:val="3"/>
              </w:rPr>
              <w:t>百分比</w:t>
            </w:r>
          </w:p>
        </w:tc>
        <w:tc>
          <w:tcPr>
            <w:tcW w:w="589" w:type="dxa"/>
            <w:vAlign w:val="top"/>
          </w:tcPr>
          <w:p w14:paraId="7DCD00A6">
            <w:pPr>
              <w:pStyle w:val="6"/>
              <w:spacing w:before="108" w:line="183" w:lineRule="auto"/>
              <w:ind w:left="150"/>
            </w:pPr>
            <w:r>
              <w:rPr>
                <w:spacing w:val="-2"/>
              </w:rPr>
              <w:t>20%</w:t>
            </w:r>
          </w:p>
        </w:tc>
        <w:tc>
          <w:tcPr>
            <w:tcW w:w="588" w:type="dxa"/>
            <w:vAlign w:val="top"/>
          </w:tcPr>
          <w:p w14:paraId="1ACDCDA5">
            <w:pPr>
              <w:pStyle w:val="6"/>
              <w:spacing w:before="108" w:line="183" w:lineRule="auto"/>
              <w:ind w:left="202"/>
            </w:pPr>
            <w:r>
              <w:rPr>
                <w:spacing w:val="-3"/>
              </w:rPr>
              <w:t>5%</w:t>
            </w:r>
          </w:p>
        </w:tc>
        <w:tc>
          <w:tcPr>
            <w:tcW w:w="539" w:type="dxa"/>
            <w:vAlign w:val="top"/>
          </w:tcPr>
          <w:p w14:paraId="48F45CBF">
            <w:pPr>
              <w:pStyle w:val="6"/>
              <w:spacing w:before="108" w:line="183" w:lineRule="auto"/>
              <w:ind w:left="84"/>
            </w:pPr>
            <w:r>
              <w:rPr>
                <w:spacing w:val="-2"/>
              </w:rPr>
              <w:t>20%</w:t>
            </w:r>
          </w:p>
        </w:tc>
        <w:tc>
          <w:tcPr>
            <w:tcW w:w="599" w:type="dxa"/>
            <w:vAlign w:val="top"/>
          </w:tcPr>
          <w:p w14:paraId="3C3314A2">
            <w:pPr>
              <w:pStyle w:val="6"/>
              <w:spacing w:before="108" w:line="183" w:lineRule="auto"/>
              <w:ind w:left="165"/>
            </w:pPr>
            <w:r>
              <w:rPr>
                <w:spacing w:val="-2"/>
              </w:rPr>
              <w:t>25%</w:t>
            </w:r>
          </w:p>
        </w:tc>
        <w:tc>
          <w:tcPr>
            <w:tcW w:w="588" w:type="dxa"/>
            <w:vAlign w:val="top"/>
          </w:tcPr>
          <w:p w14:paraId="0A44B515">
            <w:pPr>
              <w:pStyle w:val="6"/>
              <w:spacing w:before="108" w:line="183" w:lineRule="auto"/>
              <w:ind w:left="156"/>
            </w:pPr>
            <w:r>
              <w:rPr>
                <w:spacing w:val="-2"/>
              </w:rPr>
              <w:t>20%</w:t>
            </w:r>
          </w:p>
        </w:tc>
        <w:tc>
          <w:tcPr>
            <w:tcW w:w="653" w:type="dxa"/>
            <w:vAlign w:val="top"/>
          </w:tcPr>
          <w:p w14:paraId="0ACA4627">
            <w:pPr>
              <w:pStyle w:val="6"/>
              <w:spacing w:before="107" w:line="184" w:lineRule="auto"/>
              <w:ind w:left="188"/>
            </w:pPr>
            <w:r>
              <w:rPr>
                <w:spacing w:val="-5"/>
              </w:rPr>
              <w:t>10%</w:t>
            </w:r>
          </w:p>
        </w:tc>
      </w:tr>
    </w:tbl>
    <w:p w14:paraId="743B0C79">
      <w:pPr>
        <w:pStyle w:val="2"/>
        <w:spacing w:line="363" w:lineRule="auto"/>
      </w:pPr>
    </w:p>
    <w:p w14:paraId="3EE659B0">
      <w:pPr>
        <w:spacing w:before="95" w:line="221" w:lineRule="auto"/>
        <w:ind w:left="4"/>
        <w:outlineLvl w:val="0"/>
        <w:rPr>
          <w:rFonts w:ascii="黑体" w:hAnsi="黑体" w:eastAsia="黑体" w:cs="黑体"/>
          <w:sz w:val="29"/>
          <w:szCs w:val="29"/>
        </w:rPr>
      </w:pPr>
      <w:bookmarkStart w:id="31" w:name="bookmark4"/>
      <w:bookmarkEnd w:id="31"/>
      <w:r>
        <w:rPr>
          <w:rFonts w:ascii="黑体" w:hAnsi="黑体" w:eastAsia="黑体" w:cs="黑体"/>
          <w:b/>
          <w:bCs/>
          <w:spacing w:val="1"/>
          <w:sz w:val="29"/>
          <w:szCs w:val="29"/>
        </w:rPr>
        <w:t>财经商贸大类专业理论考试纲要</w:t>
      </w:r>
    </w:p>
    <w:p w14:paraId="2FB8B5A9">
      <w:pPr>
        <w:pStyle w:val="2"/>
        <w:spacing w:line="364" w:lineRule="auto"/>
      </w:pPr>
    </w:p>
    <w:p w14:paraId="3DCE7821">
      <w:pPr>
        <w:spacing w:before="75" w:line="221" w:lineRule="auto"/>
        <w:ind w:left="3"/>
        <w:rPr>
          <w:rFonts w:ascii="黑体" w:hAnsi="黑体" w:eastAsia="黑体" w:cs="黑体"/>
          <w:sz w:val="23"/>
          <w:szCs w:val="23"/>
        </w:rPr>
      </w:pPr>
      <w:r>
        <w:rPr>
          <w:rFonts w:ascii="黑体" w:hAnsi="黑体" w:eastAsia="黑体" w:cs="黑体"/>
          <w:b/>
          <w:bCs/>
          <w:spacing w:val="-5"/>
          <w:sz w:val="23"/>
          <w:szCs w:val="23"/>
        </w:rPr>
        <w:t>一、考试范围和内容</w:t>
      </w:r>
    </w:p>
    <w:p w14:paraId="372C367E">
      <w:pPr>
        <w:spacing w:before="75" w:line="302" w:lineRule="auto"/>
        <w:ind w:right="30" w:firstLine="359"/>
        <w:jc w:val="both"/>
        <w:rPr>
          <w:rFonts w:ascii="宋体" w:hAnsi="宋体" w:eastAsia="宋体" w:cs="宋体"/>
          <w:sz w:val="17"/>
          <w:szCs w:val="17"/>
        </w:rPr>
      </w:pPr>
      <w:r>
        <w:rPr>
          <w:rFonts w:ascii="宋体" w:hAnsi="宋体" w:eastAsia="宋体" w:cs="宋体"/>
          <w:spacing w:val="1"/>
          <w:sz w:val="17"/>
          <w:szCs w:val="17"/>
        </w:rPr>
        <w:t>本纲要规定的考试范围和内容，以《中等职业学校</w:t>
      </w:r>
      <w:r>
        <w:rPr>
          <w:rFonts w:ascii="宋体" w:hAnsi="宋体" w:eastAsia="宋体" w:cs="宋体"/>
          <w:spacing w:val="3"/>
          <w:sz w:val="17"/>
          <w:szCs w:val="17"/>
        </w:rPr>
        <w:t xml:space="preserve"> </w:t>
      </w:r>
      <w:r>
        <w:rPr>
          <w:rFonts w:ascii="宋体" w:hAnsi="宋体" w:eastAsia="宋体" w:cs="宋体"/>
          <w:spacing w:val="2"/>
          <w:sz w:val="17"/>
          <w:szCs w:val="17"/>
        </w:rPr>
        <w:t>财经类专业基础会计教学基本要求》、《中等职</w:t>
      </w:r>
      <w:r>
        <w:rPr>
          <w:rFonts w:ascii="宋体" w:hAnsi="宋体" w:eastAsia="宋体" w:cs="宋体"/>
          <w:spacing w:val="1"/>
          <w:sz w:val="17"/>
          <w:szCs w:val="17"/>
        </w:rPr>
        <w:t>业学校</w:t>
      </w:r>
      <w:r>
        <w:rPr>
          <w:rFonts w:ascii="宋体" w:hAnsi="宋体" w:eastAsia="宋体" w:cs="宋体"/>
          <w:sz w:val="17"/>
          <w:szCs w:val="17"/>
        </w:rPr>
        <w:t xml:space="preserve"> </w:t>
      </w:r>
      <w:r>
        <w:rPr>
          <w:rFonts w:ascii="宋体" w:hAnsi="宋体" w:eastAsia="宋体" w:cs="宋体"/>
          <w:spacing w:val="2"/>
          <w:sz w:val="17"/>
          <w:szCs w:val="17"/>
        </w:rPr>
        <w:t>财经类专业统计基础知识教学基本要求》、《中</w:t>
      </w:r>
      <w:r>
        <w:rPr>
          <w:rFonts w:ascii="宋体" w:hAnsi="宋体" w:eastAsia="宋体" w:cs="宋体"/>
          <w:spacing w:val="1"/>
          <w:sz w:val="17"/>
          <w:szCs w:val="17"/>
        </w:rPr>
        <w:t>等职业</w:t>
      </w:r>
      <w:r>
        <w:rPr>
          <w:rFonts w:ascii="宋体" w:hAnsi="宋体" w:eastAsia="宋体" w:cs="宋体"/>
          <w:sz w:val="17"/>
          <w:szCs w:val="17"/>
        </w:rPr>
        <w:t xml:space="preserve"> </w:t>
      </w:r>
      <w:r>
        <w:rPr>
          <w:rFonts w:ascii="宋体" w:hAnsi="宋体" w:eastAsia="宋体" w:cs="宋体"/>
          <w:spacing w:val="2"/>
          <w:sz w:val="17"/>
          <w:szCs w:val="17"/>
        </w:rPr>
        <w:t>学校财经类专业税收基础教学基本要求》所规定</w:t>
      </w:r>
      <w:r>
        <w:rPr>
          <w:rFonts w:ascii="宋体" w:hAnsi="宋体" w:eastAsia="宋体" w:cs="宋体"/>
          <w:spacing w:val="1"/>
          <w:sz w:val="17"/>
          <w:szCs w:val="17"/>
        </w:rPr>
        <w:t>的课程</w:t>
      </w:r>
      <w:r>
        <w:rPr>
          <w:rFonts w:ascii="宋体" w:hAnsi="宋体" w:eastAsia="宋体" w:cs="宋体"/>
          <w:sz w:val="17"/>
          <w:szCs w:val="17"/>
        </w:rPr>
        <w:t xml:space="preserve"> </w:t>
      </w:r>
      <w:r>
        <w:rPr>
          <w:rFonts w:ascii="宋体" w:hAnsi="宋体" w:eastAsia="宋体" w:cs="宋体"/>
          <w:spacing w:val="2"/>
          <w:sz w:val="17"/>
          <w:szCs w:val="17"/>
        </w:rPr>
        <w:t>内容为准，考试主要参考由高等教育出版社出版的</w:t>
      </w:r>
      <w:r>
        <w:rPr>
          <w:rFonts w:ascii="宋体" w:hAnsi="宋体" w:eastAsia="宋体" w:cs="宋体"/>
          <w:spacing w:val="1"/>
          <w:sz w:val="17"/>
          <w:szCs w:val="17"/>
        </w:rPr>
        <w:t>中等</w:t>
      </w:r>
      <w:r>
        <w:rPr>
          <w:rFonts w:ascii="宋体" w:hAnsi="宋体" w:eastAsia="宋体" w:cs="宋体"/>
          <w:sz w:val="17"/>
          <w:szCs w:val="17"/>
        </w:rPr>
        <w:t xml:space="preserve"> </w:t>
      </w:r>
      <w:r>
        <w:rPr>
          <w:rFonts w:ascii="宋体" w:hAnsi="宋体" w:eastAsia="宋体" w:cs="宋体"/>
          <w:spacing w:val="-5"/>
          <w:sz w:val="17"/>
          <w:szCs w:val="17"/>
        </w:rPr>
        <w:t>职业学校国家规划教材《基础会计》(第六版)、《统计基</w:t>
      </w:r>
      <w:r>
        <w:rPr>
          <w:rFonts w:ascii="宋体" w:hAnsi="宋体" w:eastAsia="宋体" w:cs="宋体"/>
          <w:spacing w:val="6"/>
          <w:sz w:val="17"/>
          <w:szCs w:val="17"/>
        </w:rPr>
        <w:t xml:space="preserve"> </w:t>
      </w:r>
      <w:r>
        <w:rPr>
          <w:rFonts w:ascii="宋体" w:hAnsi="宋体" w:eastAsia="宋体" w:cs="宋体"/>
          <w:spacing w:val="2"/>
          <w:sz w:val="17"/>
          <w:szCs w:val="17"/>
        </w:rPr>
        <w:t>础知识》(第四版)、《税收基础》(第六版)</w:t>
      </w:r>
      <w:r>
        <w:rPr>
          <w:rFonts w:ascii="宋体" w:hAnsi="宋体" w:eastAsia="宋体" w:cs="宋体"/>
          <w:spacing w:val="1"/>
          <w:sz w:val="17"/>
          <w:szCs w:val="17"/>
        </w:rPr>
        <w:t>。考试侧重</w:t>
      </w:r>
      <w:r>
        <w:rPr>
          <w:rFonts w:ascii="宋体" w:hAnsi="宋体" w:eastAsia="宋体" w:cs="宋体"/>
          <w:sz w:val="17"/>
          <w:szCs w:val="17"/>
        </w:rPr>
        <w:t xml:space="preserve"> </w:t>
      </w:r>
      <w:r>
        <w:rPr>
          <w:rFonts w:ascii="宋体" w:hAnsi="宋体" w:eastAsia="宋体" w:cs="宋体"/>
          <w:spacing w:val="2"/>
          <w:sz w:val="17"/>
          <w:szCs w:val="17"/>
        </w:rPr>
        <w:t>考查考试对专业课基础知识、基本技能和实践能力的掌</w:t>
      </w:r>
      <w:r>
        <w:rPr>
          <w:rFonts w:ascii="宋体" w:hAnsi="宋体" w:eastAsia="宋体" w:cs="宋体"/>
          <w:sz w:val="17"/>
          <w:szCs w:val="17"/>
        </w:rPr>
        <w:t xml:space="preserve"> </w:t>
      </w:r>
      <w:r>
        <w:rPr>
          <w:rFonts w:ascii="宋体" w:hAnsi="宋体" w:eastAsia="宋体" w:cs="宋体"/>
          <w:spacing w:val="2"/>
          <w:sz w:val="17"/>
          <w:szCs w:val="17"/>
        </w:rPr>
        <w:t>握程度，同时注意考查学生运用所学专业知识</w:t>
      </w:r>
      <w:r>
        <w:rPr>
          <w:rFonts w:ascii="宋体" w:hAnsi="宋体" w:eastAsia="宋体" w:cs="宋体"/>
          <w:spacing w:val="1"/>
          <w:sz w:val="17"/>
          <w:szCs w:val="17"/>
        </w:rPr>
        <w:t>分析，解</w:t>
      </w:r>
    </w:p>
    <w:p w14:paraId="7F41E814">
      <w:pPr>
        <w:spacing w:line="302" w:lineRule="auto"/>
        <w:rPr>
          <w:rFonts w:ascii="宋体" w:hAnsi="宋体" w:eastAsia="宋体" w:cs="宋体"/>
          <w:sz w:val="17"/>
          <w:szCs w:val="17"/>
        </w:rPr>
        <w:sectPr>
          <w:type w:val="continuous"/>
          <w:pgSz w:w="10660" w:h="15080"/>
          <w:pgMar w:top="400" w:right="1019" w:bottom="936" w:left="819" w:header="0" w:footer="715" w:gutter="0"/>
          <w:cols w:equalWidth="0" w:num="2">
            <w:col w:w="4561" w:space="100"/>
            <w:col w:w="4161"/>
          </w:cols>
        </w:sectPr>
      </w:pPr>
    </w:p>
    <w:p w14:paraId="3D546EBE">
      <w:pPr>
        <w:spacing w:before="2"/>
      </w:pPr>
    </w:p>
    <w:p w14:paraId="1900484D">
      <w:pPr>
        <w:spacing w:before="2"/>
      </w:pPr>
    </w:p>
    <w:p w14:paraId="75EE3AFB">
      <w:pPr>
        <w:spacing w:before="1"/>
      </w:pPr>
    </w:p>
    <w:p w14:paraId="25842D12">
      <w:pPr>
        <w:spacing w:before="1"/>
      </w:pPr>
    </w:p>
    <w:p w14:paraId="4BCB8D34">
      <w:pPr>
        <w:sectPr>
          <w:footerReference r:id="rId27" w:type="default"/>
          <w:pgSz w:w="10660" w:h="15080"/>
          <w:pgMar w:top="400" w:right="832" w:bottom="925" w:left="1019" w:header="0" w:footer="705" w:gutter="0"/>
          <w:cols w:equalWidth="0" w:num="1">
            <w:col w:w="8808"/>
          </w:cols>
        </w:sectPr>
      </w:pPr>
    </w:p>
    <w:p w14:paraId="625918C0">
      <w:pPr>
        <w:spacing w:before="34" w:line="219" w:lineRule="auto"/>
        <w:rPr>
          <w:rFonts w:ascii="宋体" w:hAnsi="宋体" w:eastAsia="宋体" w:cs="宋体"/>
          <w:sz w:val="17"/>
          <w:szCs w:val="17"/>
        </w:rPr>
      </w:pPr>
      <w:r>
        <w:rPr>
          <w:rFonts w:ascii="宋体" w:hAnsi="宋体" w:eastAsia="宋体" w:cs="宋体"/>
          <w:spacing w:val="-2"/>
          <w:sz w:val="17"/>
          <w:szCs w:val="17"/>
        </w:rPr>
        <w:t>实际问题的能力。</w:t>
      </w:r>
    </w:p>
    <w:p w14:paraId="2EF3A7CA">
      <w:pPr>
        <w:spacing w:before="85" w:line="311" w:lineRule="auto"/>
        <w:ind w:right="254" w:firstLine="370"/>
        <w:rPr>
          <w:rFonts w:ascii="宋体" w:hAnsi="宋体" w:eastAsia="宋体" w:cs="宋体"/>
          <w:sz w:val="17"/>
          <w:szCs w:val="17"/>
        </w:rPr>
      </w:pPr>
      <w:r>
        <w:rPr>
          <w:rFonts w:ascii="宋体" w:hAnsi="宋体" w:eastAsia="宋体" w:cs="宋体"/>
          <w:sz w:val="17"/>
          <w:szCs w:val="17"/>
        </w:rPr>
        <w:t>考试纲要内容与现行法规不吻合的部分，以现行法</w:t>
      </w:r>
      <w:r>
        <w:rPr>
          <w:rFonts w:ascii="宋体" w:hAnsi="宋体" w:eastAsia="宋体" w:cs="宋体"/>
          <w:spacing w:val="7"/>
          <w:sz w:val="17"/>
          <w:szCs w:val="17"/>
        </w:rPr>
        <w:t xml:space="preserve">  </w:t>
      </w:r>
      <w:r>
        <w:rPr>
          <w:rFonts w:ascii="宋体" w:hAnsi="宋体" w:eastAsia="宋体" w:cs="宋体"/>
          <w:spacing w:val="-1"/>
          <w:sz w:val="17"/>
          <w:szCs w:val="17"/>
        </w:rPr>
        <w:t>规为准。现行法规：《基础会计》以《小企业会计准则》</w:t>
      </w:r>
      <w:r>
        <w:rPr>
          <w:rFonts w:ascii="宋体" w:hAnsi="宋体" w:eastAsia="宋体" w:cs="宋体"/>
          <w:spacing w:val="10"/>
          <w:sz w:val="17"/>
          <w:szCs w:val="17"/>
        </w:rPr>
        <w:t xml:space="preserve"> </w:t>
      </w:r>
      <w:r>
        <w:rPr>
          <w:rFonts w:ascii="宋体" w:hAnsi="宋体" w:eastAsia="宋体" w:cs="宋体"/>
          <w:spacing w:val="9"/>
          <w:sz w:val="17"/>
          <w:szCs w:val="17"/>
        </w:rPr>
        <w:t>(2011年)为依据、《税收基础》中对居民个人取得的</w:t>
      </w:r>
      <w:r>
        <w:rPr>
          <w:rFonts w:ascii="宋体" w:hAnsi="宋体" w:eastAsia="宋体" w:cs="宋体"/>
          <w:spacing w:val="4"/>
          <w:sz w:val="17"/>
          <w:szCs w:val="17"/>
        </w:rPr>
        <w:t xml:space="preserve">  </w:t>
      </w:r>
      <w:r>
        <w:rPr>
          <w:rFonts w:ascii="宋体" w:hAnsi="宋体" w:eastAsia="宋体" w:cs="宋体"/>
          <w:spacing w:val="2"/>
          <w:sz w:val="17"/>
          <w:szCs w:val="17"/>
        </w:rPr>
        <w:t>2023年综合所得征税时，专项附加扣除标准</w:t>
      </w:r>
      <w:r>
        <w:rPr>
          <w:rFonts w:ascii="宋体" w:hAnsi="宋体" w:eastAsia="宋体" w:cs="宋体"/>
          <w:spacing w:val="1"/>
          <w:sz w:val="17"/>
          <w:szCs w:val="17"/>
        </w:rPr>
        <w:t>按照《国务</w:t>
      </w:r>
      <w:r>
        <w:rPr>
          <w:rFonts w:ascii="宋体" w:hAnsi="宋体" w:eastAsia="宋体" w:cs="宋体"/>
          <w:sz w:val="17"/>
          <w:szCs w:val="17"/>
        </w:rPr>
        <w:t xml:space="preserve">  </w:t>
      </w:r>
      <w:r>
        <w:rPr>
          <w:rFonts w:ascii="宋体" w:hAnsi="宋体" w:eastAsia="宋体" w:cs="宋体"/>
          <w:spacing w:val="2"/>
          <w:sz w:val="17"/>
          <w:szCs w:val="17"/>
        </w:rPr>
        <w:t>院关于提高个人所得税有关专项附加扣除标准的通知》</w:t>
      </w:r>
      <w:r>
        <w:rPr>
          <w:rFonts w:ascii="宋体" w:hAnsi="宋体" w:eastAsia="宋体" w:cs="宋体"/>
          <w:spacing w:val="8"/>
          <w:sz w:val="17"/>
          <w:szCs w:val="17"/>
        </w:rPr>
        <w:t xml:space="preserve">  </w:t>
      </w:r>
      <w:r>
        <w:rPr>
          <w:rFonts w:ascii="宋体" w:hAnsi="宋体" w:eastAsia="宋体" w:cs="宋体"/>
          <w:spacing w:val="12"/>
          <w:sz w:val="17"/>
          <w:szCs w:val="17"/>
        </w:rPr>
        <w:t>(国发〔2023〕13号)执行。</w:t>
      </w:r>
    </w:p>
    <w:p w14:paraId="511123A2">
      <w:pPr>
        <w:spacing w:before="33" w:line="219" w:lineRule="auto"/>
        <w:ind w:left="3"/>
        <w:rPr>
          <w:rFonts w:ascii="宋体" w:hAnsi="宋体" w:eastAsia="宋体" w:cs="宋体"/>
          <w:sz w:val="23"/>
          <w:szCs w:val="23"/>
        </w:rPr>
      </w:pPr>
      <w:r>
        <w:rPr>
          <w:rFonts w:ascii="宋体" w:hAnsi="宋体" w:eastAsia="宋体" w:cs="宋体"/>
          <w:b/>
          <w:bCs/>
          <w:spacing w:val="-6"/>
          <w:sz w:val="23"/>
          <w:szCs w:val="23"/>
        </w:rPr>
        <w:t>二、考试目标和水平层次</w:t>
      </w:r>
    </w:p>
    <w:p w14:paraId="7E1807F4">
      <w:pPr>
        <w:spacing w:before="85" w:line="311" w:lineRule="auto"/>
        <w:ind w:right="357" w:firstLine="370"/>
        <w:rPr>
          <w:rFonts w:ascii="宋体" w:hAnsi="宋体" w:eastAsia="宋体" w:cs="宋体"/>
          <w:sz w:val="17"/>
          <w:szCs w:val="17"/>
        </w:rPr>
      </w:pPr>
      <w:r>
        <w:rPr>
          <w:rFonts w:ascii="宋体" w:hAnsi="宋体" w:eastAsia="宋体" w:cs="宋体"/>
          <w:sz w:val="17"/>
          <w:szCs w:val="17"/>
        </w:rPr>
        <w:t>本纲要确定的考试目标由知识与技能要点、考试条</w:t>
      </w:r>
      <w:r>
        <w:rPr>
          <w:rFonts w:ascii="宋体" w:hAnsi="宋体" w:eastAsia="宋体" w:cs="宋体"/>
          <w:spacing w:val="16"/>
          <w:sz w:val="17"/>
          <w:szCs w:val="17"/>
        </w:rPr>
        <w:t xml:space="preserve"> </w:t>
      </w:r>
      <w:r>
        <w:rPr>
          <w:rFonts w:ascii="宋体" w:hAnsi="宋体" w:eastAsia="宋体" w:cs="宋体"/>
          <w:spacing w:val="2"/>
          <w:sz w:val="17"/>
          <w:szCs w:val="17"/>
        </w:rPr>
        <w:t>目和考试水平三部分构成。“知识与技能要点”是考查</w:t>
      </w:r>
      <w:r>
        <w:rPr>
          <w:rFonts w:ascii="宋体" w:hAnsi="宋体" w:eastAsia="宋体" w:cs="宋体"/>
          <w:sz w:val="17"/>
          <w:szCs w:val="17"/>
        </w:rPr>
        <w:t xml:space="preserve"> </w:t>
      </w:r>
      <w:r>
        <w:rPr>
          <w:rFonts w:ascii="宋体" w:hAnsi="宋体" w:eastAsia="宋体" w:cs="宋体"/>
          <w:spacing w:val="-11"/>
          <w:sz w:val="17"/>
          <w:szCs w:val="17"/>
        </w:rPr>
        <w:t>考生应知应会的基础知识和基本技能；“考试条目”</w:t>
      </w:r>
      <w:r>
        <w:rPr>
          <w:rFonts w:ascii="宋体" w:hAnsi="宋体" w:eastAsia="宋体" w:cs="宋体"/>
          <w:spacing w:val="-12"/>
          <w:sz w:val="17"/>
          <w:szCs w:val="17"/>
        </w:rPr>
        <w:t>是“知</w:t>
      </w:r>
      <w:r>
        <w:rPr>
          <w:rFonts w:ascii="宋体" w:hAnsi="宋体" w:eastAsia="宋体" w:cs="宋体"/>
          <w:sz w:val="17"/>
          <w:szCs w:val="17"/>
        </w:rPr>
        <w:t xml:space="preserve"> </w:t>
      </w:r>
      <w:r>
        <w:rPr>
          <w:rFonts w:ascii="宋体" w:hAnsi="宋体" w:eastAsia="宋体" w:cs="宋体"/>
          <w:spacing w:val="-12"/>
          <w:sz w:val="17"/>
          <w:szCs w:val="17"/>
        </w:rPr>
        <w:t>识与技能要点”内容的细化，是应知应会的具体项目；“考</w:t>
      </w:r>
      <w:r>
        <w:rPr>
          <w:rFonts w:ascii="宋体" w:hAnsi="宋体" w:eastAsia="宋体" w:cs="宋体"/>
          <w:spacing w:val="17"/>
          <w:sz w:val="17"/>
          <w:szCs w:val="17"/>
        </w:rPr>
        <w:t xml:space="preserve"> </w:t>
      </w:r>
      <w:r>
        <w:rPr>
          <w:rFonts w:ascii="宋体" w:hAnsi="宋体" w:eastAsia="宋体" w:cs="宋体"/>
          <w:spacing w:val="2"/>
          <w:sz w:val="17"/>
          <w:szCs w:val="17"/>
        </w:rPr>
        <w:t>试水平”是具体确定所考查的应知应会知识以及</w:t>
      </w:r>
      <w:r>
        <w:rPr>
          <w:rFonts w:ascii="宋体" w:hAnsi="宋体" w:eastAsia="宋体" w:cs="宋体"/>
          <w:spacing w:val="1"/>
          <w:sz w:val="17"/>
          <w:szCs w:val="17"/>
        </w:rPr>
        <w:t>分析解</w:t>
      </w:r>
      <w:r>
        <w:rPr>
          <w:rFonts w:ascii="宋体" w:hAnsi="宋体" w:eastAsia="宋体" w:cs="宋体"/>
          <w:sz w:val="17"/>
          <w:szCs w:val="17"/>
        </w:rPr>
        <w:t xml:space="preserve"> </w:t>
      </w:r>
      <w:r>
        <w:rPr>
          <w:rFonts w:ascii="宋体" w:hAnsi="宋体" w:eastAsia="宋体" w:cs="宋体"/>
          <w:spacing w:val="-3"/>
          <w:sz w:val="17"/>
          <w:szCs w:val="17"/>
        </w:rPr>
        <w:t>决实际问题能力的水平和层次。</w:t>
      </w:r>
    </w:p>
    <w:p w14:paraId="2848546D">
      <w:pPr>
        <w:spacing w:before="35" w:line="291" w:lineRule="auto"/>
        <w:ind w:right="344" w:firstLine="370"/>
        <w:rPr>
          <w:rFonts w:ascii="宋体" w:hAnsi="宋体" w:eastAsia="宋体" w:cs="宋体"/>
          <w:sz w:val="17"/>
          <w:szCs w:val="17"/>
        </w:rPr>
      </w:pPr>
      <w:r>
        <w:rPr>
          <w:rFonts w:ascii="宋体" w:hAnsi="宋体" w:eastAsia="宋体" w:cs="宋体"/>
          <w:spacing w:val="-2"/>
          <w:sz w:val="17"/>
          <w:szCs w:val="17"/>
        </w:rPr>
        <w:t>本纲要的考试水平分为四个层次：</w:t>
      </w:r>
      <w:r>
        <w:rPr>
          <w:rFonts w:ascii="Times New Roman" w:hAnsi="Times New Roman" w:eastAsia="Times New Roman" w:cs="Times New Roman"/>
          <w:spacing w:val="-2"/>
          <w:sz w:val="17"/>
          <w:szCs w:val="17"/>
        </w:rPr>
        <w:t>A</w:t>
      </w:r>
      <w:r>
        <w:rPr>
          <w:rFonts w:ascii="宋体" w:hAnsi="宋体" w:eastAsia="宋体" w:cs="宋体"/>
          <w:spacing w:val="-2"/>
          <w:sz w:val="17"/>
          <w:szCs w:val="17"/>
        </w:rPr>
        <w:t>(识记)、</w:t>
      </w:r>
      <w:r>
        <w:rPr>
          <w:rFonts w:ascii="Times New Roman" w:hAnsi="Times New Roman" w:eastAsia="Times New Roman" w:cs="Times New Roman"/>
          <w:spacing w:val="-2"/>
          <w:sz w:val="17"/>
          <w:szCs w:val="17"/>
        </w:rPr>
        <w:t>B</w:t>
      </w:r>
      <w:r>
        <w:rPr>
          <w:rFonts w:ascii="宋体" w:hAnsi="宋体" w:eastAsia="宋体" w:cs="宋体"/>
          <w:spacing w:val="-2"/>
          <w:sz w:val="17"/>
          <w:szCs w:val="17"/>
        </w:rPr>
        <w:t>(</w:t>
      </w:r>
      <w:r>
        <w:rPr>
          <w:rFonts w:ascii="宋体" w:hAnsi="宋体" w:eastAsia="宋体" w:cs="宋体"/>
          <w:spacing w:val="-4"/>
          <w:sz w:val="17"/>
          <w:szCs w:val="17"/>
        </w:rPr>
        <w:t xml:space="preserve"> </w:t>
      </w:r>
      <w:r>
        <w:rPr>
          <w:rFonts w:ascii="宋体" w:hAnsi="宋体" w:eastAsia="宋体" w:cs="宋体"/>
          <w:spacing w:val="-2"/>
          <w:sz w:val="17"/>
          <w:szCs w:val="17"/>
        </w:rPr>
        <w:t>理</w:t>
      </w:r>
      <w:r>
        <w:rPr>
          <w:rFonts w:ascii="宋体" w:hAnsi="宋体" w:eastAsia="宋体" w:cs="宋体"/>
          <w:sz w:val="17"/>
          <w:szCs w:val="17"/>
        </w:rPr>
        <w:t xml:space="preserve"> </w:t>
      </w:r>
      <w:r>
        <w:rPr>
          <w:rFonts w:ascii="宋体" w:hAnsi="宋体" w:eastAsia="宋体" w:cs="宋体"/>
          <w:spacing w:val="-3"/>
          <w:sz w:val="17"/>
          <w:szCs w:val="17"/>
        </w:rPr>
        <w:t>解</w:t>
      </w:r>
      <w:r>
        <w:rPr>
          <w:rFonts w:ascii="宋体" w:hAnsi="宋体" w:eastAsia="宋体" w:cs="宋体"/>
          <w:spacing w:val="-11"/>
          <w:sz w:val="17"/>
          <w:szCs w:val="17"/>
        </w:rPr>
        <w:t xml:space="preserve"> </w:t>
      </w:r>
      <w:r>
        <w:rPr>
          <w:rFonts w:ascii="宋体" w:hAnsi="宋体" w:eastAsia="宋体" w:cs="宋体"/>
          <w:spacing w:val="-3"/>
          <w:sz w:val="17"/>
          <w:szCs w:val="17"/>
        </w:rPr>
        <w:t>)</w:t>
      </w:r>
      <w:r>
        <w:rPr>
          <w:rFonts w:ascii="宋体" w:hAnsi="宋体" w:eastAsia="宋体" w:cs="宋体"/>
          <w:spacing w:val="-30"/>
          <w:sz w:val="17"/>
          <w:szCs w:val="17"/>
        </w:rPr>
        <w:t xml:space="preserve"> </w:t>
      </w:r>
      <w:r>
        <w:rPr>
          <w:rFonts w:ascii="宋体" w:hAnsi="宋体" w:eastAsia="宋体" w:cs="宋体"/>
          <w:spacing w:val="-3"/>
          <w:sz w:val="17"/>
          <w:szCs w:val="17"/>
        </w:rPr>
        <w:t>、</w:t>
      </w:r>
      <w:r>
        <w:rPr>
          <w:rFonts w:ascii="Times New Roman" w:hAnsi="Times New Roman" w:eastAsia="Times New Roman" w:cs="Times New Roman"/>
          <w:spacing w:val="-3"/>
          <w:sz w:val="17"/>
          <w:szCs w:val="17"/>
        </w:rPr>
        <w:t>C</w:t>
      </w:r>
      <w:r>
        <w:rPr>
          <w:rFonts w:ascii="宋体" w:hAnsi="宋体" w:eastAsia="宋体" w:cs="宋体"/>
          <w:spacing w:val="-3"/>
          <w:sz w:val="17"/>
          <w:szCs w:val="17"/>
        </w:rPr>
        <w:t>(</w:t>
      </w:r>
      <w:r>
        <w:rPr>
          <w:rFonts w:ascii="宋体" w:hAnsi="宋体" w:eastAsia="宋体" w:cs="宋体"/>
          <w:spacing w:val="-29"/>
          <w:sz w:val="17"/>
          <w:szCs w:val="17"/>
        </w:rPr>
        <w:t xml:space="preserve"> </w:t>
      </w:r>
      <w:r>
        <w:rPr>
          <w:rFonts w:ascii="宋体" w:hAnsi="宋体" w:eastAsia="宋体" w:cs="宋体"/>
          <w:spacing w:val="-3"/>
          <w:sz w:val="17"/>
          <w:szCs w:val="17"/>
        </w:rPr>
        <w:t>掌</w:t>
      </w:r>
      <w:r>
        <w:rPr>
          <w:rFonts w:ascii="宋体" w:hAnsi="宋体" w:eastAsia="宋体" w:cs="宋体"/>
          <w:spacing w:val="-35"/>
          <w:sz w:val="17"/>
          <w:szCs w:val="17"/>
        </w:rPr>
        <w:t xml:space="preserve"> </w:t>
      </w:r>
      <w:r>
        <w:rPr>
          <w:rFonts w:ascii="宋体" w:hAnsi="宋体" w:eastAsia="宋体" w:cs="宋体"/>
          <w:spacing w:val="-3"/>
          <w:sz w:val="17"/>
          <w:szCs w:val="17"/>
        </w:rPr>
        <w:t>握</w:t>
      </w:r>
      <w:r>
        <w:rPr>
          <w:rFonts w:ascii="宋体" w:hAnsi="宋体" w:eastAsia="宋体" w:cs="宋体"/>
          <w:spacing w:val="-33"/>
          <w:sz w:val="17"/>
          <w:szCs w:val="17"/>
        </w:rPr>
        <w:t xml:space="preserve"> </w:t>
      </w:r>
      <w:r>
        <w:rPr>
          <w:rFonts w:ascii="宋体" w:hAnsi="宋体" w:eastAsia="宋体" w:cs="宋体"/>
          <w:spacing w:val="-3"/>
          <w:sz w:val="17"/>
          <w:szCs w:val="17"/>
        </w:rPr>
        <w:t>)</w:t>
      </w:r>
      <w:r>
        <w:rPr>
          <w:rFonts w:ascii="宋体" w:hAnsi="宋体" w:eastAsia="宋体" w:cs="宋体"/>
          <w:spacing w:val="-41"/>
          <w:sz w:val="17"/>
          <w:szCs w:val="17"/>
        </w:rPr>
        <w:t xml:space="preserve"> </w:t>
      </w:r>
      <w:r>
        <w:rPr>
          <w:rFonts w:ascii="宋体" w:hAnsi="宋体" w:eastAsia="宋体" w:cs="宋体"/>
          <w:spacing w:val="-3"/>
          <w:sz w:val="17"/>
          <w:szCs w:val="17"/>
        </w:rPr>
        <w:t>、</w:t>
      </w:r>
      <w:r>
        <w:rPr>
          <w:rFonts w:ascii="Times New Roman" w:hAnsi="Times New Roman" w:eastAsia="Times New Roman" w:cs="Times New Roman"/>
          <w:spacing w:val="-3"/>
          <w:sz w:val="17"/>
          <w:szCs w:val="17"/>
        </w:rPr>
        <w:t>D</w:t>
      </w:r>
      <w:r>
        <w:rPr>
          <w:rFonts w:ascii="宋体" w:hAnsi="宋体" w:eastAsia="宋体" w:cs="宋体"/>
          <w:spacing w:val="-3"/>
          <w:sz w:val="17"/>
          <w:szCs w:val="17"/>
        </w:rPr>
        <w:t>(综合运用)。它们的含义分别为：</w:t>
      </w:r>
    </w:p>
    <w:p w14:paraId="799A8239">
      <w:pPr>
        <w:spacing w:before="29" w:line="313" w:lineRule="auto"/>
        <w:ind w:right="340" w:firstLine="370"/>
        <w:rPr>
          <w:rFonts w:ascii="宋体" w:hAnsi="宋体" w:eastAsia="宋体" w:cs="宋体"/>
          <w:sz w:val="17"/>
          <w:szCs w:val="17"/>
        </w:rPr>
      </w:pPr>
      <w:r>
        <w:rPr>
          <w:rFonts w:ascii="Times New Roman" w:hAnsi="Times New Roman" w:eastAsia="Times New Roman" w:cs="Times New Roman"/>
          <w:spacing w:val="15"/>
          <w:sz w:val="17"/>
          <w:szCs w:val="17"/>
        </w:rPr>
        <w:t>A</w:t>
      </w:r>
      <w:r>
        <w:rPr>
          <w:rFonts w:ascii="宋体" w:hAnsi="宋体" w:eastAsia="宋体" w:cs="宋体"/>
          <w:spacing w:val="15"/>
          <w:sz w:val="17"/>
          <w:szCs w:val="17"/>
        </w:rPr>
        <w:t>(识记):主要考查学生对所学专业综合课知识</w:t>
      </w:r>
      <w:r>
        <w:rPr>
          <w:rFonts w:ascii="宋体" w:hAnsi="宋体" w:eastAsia="宋体" w:cs="宋体"/>
          <w:spacing w:val="11"/>
          <w:sz w:val="17"/>
          <w:szCs w:val="17"/>
        </w:rPr>
        <w:t xml:space="preserve"> </w:t>
      </w:r>
      <w:r>
        <w:rPr>
          <w:rFonts w:ascii="宋体" w:hAnsi="宋体" w:eastAsia="宋体" w:cs="宋体"/>
          <w:spacing w:val="2"/>
          <w:sz w:val="17"/>
          <w:szCs w:val="17"/>
        </w:rPr>
        <w:t>的识别和记忆能力。要求考生能够识别本专业各学科的</w:t>
      </w:r>
      <w:r>
        <w:rPr>
          <w:rFonts w:ascii="宋体" w:hAnsi="宋体" w:eastAsia="宋体" w:cs="宋体"/>
          <w:spacing w:val="4"/>
          <w:sz w:val="17"/>
          <w:szCs w:val="17"/>
        </w:rPr>
        <w:t xml:space="preserve"> </w:t>
      </w:r>
      <w:r>
        <w:rPr>
          <w:rFonts w:ascii="宋体" w:hAnsi="宋体" w:eastAsia="宋体" w:cs="宋体"/>
          <w:spacing w:val="2"/>
          <w:sz w:val="17"/>
          <w:szCs w:val="17"/>
        </w:rPr>
        <w:t>基本内容，能够按照题目要求复述所学过的专业基础知</w:t>
      </w:r>
      <w:r>
        <w:rPr>
          <w:rFonts w:ascii="宋体" w:hAnsi="宋体" w:eastAsia="宋体" w:cs="宋体"/>
          <w:spacing w:val="4"/>
          <w:sz w:val="17"/>
          <w:szCs w:val="17"/>
        </w:rPr>
        <w:t xml:space="preserve"> </w:t>
      </w:r>
      <w:r>
        <w:rPr>
          <w:rFonts w:ascii="宋体" w:hAnsi="宋体" w:eastAsia="宋体" w:cs="宋体"/>
          <w:spacing w:val="2"/>
          <w:sz w:val="17"/>
          <w:szCs w:val="17"/>
        </w:rPr>
        <w:t>识，能够记住所学过的专业术语。如在《基础会计》学</w:t>
      </w:r>
      <w:r>
        <w:rPr>
          <w:rFonts w:ascii="宋体" w:hAnsi="宋体" w:eastAsia="宋体" w:cs="宋体"/>
          <w:sz w:val="17"/>
          <w:szCs w:val="17"/>
        </w:rPr>
        <w:t xml:space="preserve"> </w:t>
      </w:r>
      <w:r>
        <w:rPr>
          <w:rFonts w:ascii="宋体" w:hAnsi="宋体" w:eastAsia="宋体" w:cs="宋体"/>
          <w:spacing w:val="2"/>
          <w:sz w:val="17"/>
          <w:szCs w:val="17"/>
        </w:rPr>
        <w:t>科中，考生能够识记其中的会计科目和账户的分类</w:t>
      </w:r>
      <w:r>
        <w:rPr>
          <w:rFonts w:ascii="宋体" w:hAnsi="宋体" w:eastAsia="宋体" w:cs="宋体"/>
          <w:spacing w:val="1"/>
          <w:sz w:val="17"/>
          <w:szCs w:val="17"/>
        </w:rPr>
        <w:t>、会</w:t>
      </w:r>
      <w:r>
        <w:rPr>
          <w:rFonts w:ascii="宋体" w:hAnsi="宋体" w:eastAsia="宋体" w:cs="宋体"/>
          <w:sz w:val="17"/>
          <w:szCs w:val="17"/>
        </w:rPr>
        <w:t xml:space="preserve"> </w:t>
      </w:r>
      <w:r>
        <w:rPr>
          <w:rFonts w:ascii="宋体" w:hAnsi="宋体" w:eastAsia="宋体" w:cs="宋体"/>
          <w:spacing w:val="2"/>
          <w:sz w:val="17"/>
          <w:szCs w:val="17"/>
        </w:rPr>
        <w:t>计凭证与会计账簿以及财务会计报告的种类。财产清查</w:t>
      </w:r>
      <w:r>
        <w:rPr>
          <w:rFonts w:ascii="宋体" w:hAnsi="宋体" w:eastAsia="宋体" w:cs="宋体"/>
          <w:sz w:val="17"/>
          <w:szCs w:val="17"/>
        </w:rPr>
        <w:t xml:space="preserve"> </w:t>
      </w:r>
      <w:r>
        <w:rPr>
          <w:rFonts w:ascii="宋体" w:hAnsi="宋体" w:eastAsia="宋体" w:cs="宋体"/>
          <w:spacing w:val="2"/>
          <w:sz w:val="17"/>
          <w:szCs w:val="17"/>
        </w:rPr>
        <w:t>的方法、会计工作的组织形式等；在《统计基础知识》</w:t>
      </w:r>
      <w:r>
        <w:rPr>
          <w:rFonts w:ascii="宋体" w:hAnsi="宋体" w:eastAsia="宋体" w:cs="宋体"/>
          <w:spacing w:val="16"/>
          <w:sz w:val="17"/>
          <w:szCs w:val="17"/>
        </w:rPr>
        <w:t xml:space="preserve"> </w:t>
      </w:r>
      <w:r>
        <w:rPr>
          <w:rFonts w:ascii="宋体" w:hAnsi="宋体" w:eastAsia="宋体" w:cs="宋体"/>
          <w:spacing w:val="2"/>
          <w:sz w:val="17"/>
          <w:szCs w:val="17"/>
        </w:rPr>
        <w:t>学科中，考生应能够识记其中的统计数据采集的</w:t>
      </w:r>
      <w:r>
        <w:rPr>
          <w:rFonts w:ascii="宋体" w:hAnsi="宋体" w:eastAsia="宋体" w:cs="宋体"/>
          <w:spacing w:val="1"/>
          <w:sz w:val="17"/>
          <w:szCs w:val="17"/>
        </w:rPr>
        <w:t>基本方</w:t>
      </w:r>
      <w:r>
        <w:rPr>
          <w:rFonts w:ascii="宋体" w:hAnsi="宋体" w:eastAsia="宋体" w:cs="宋体"/>
          <w:sz w:val="17"/>
          <w:szCs w:val="17"/>
        </w:rPr>
        <w:t xml:space="preserve"> </w:t>
      </w:r>
      <w:r>
        <w:rPr>
          <w:rFonts w:ascii="宋体" w:hAnsi="宋体" w:eastAsia="宋体" w:cs="宋体"/>
          <w:spacing w:val="1"/>
          <w:sz w:val="17"/>
          <w:szCs w:val="17"/>
        </w:rPr>
        <w:t>法、统计指数的种类和作用、时间数列编制的原则等；</w:t>
      </w:r>
      <w:r>
        <w:rPr>
          <w:rFonts w:ascii="宋体" w:hAnsi="宋体" w:eastAsia="宋体" w:cs="宋体"/>
          <w:sz w:val="17"/>
          <w:szCs w:val="17"/>
        </w:rPr>
        <w:t xml:space="preserve"> </w:t>
      </w:r>
      <w:r>
        <w:rPr>
          <w:rFonts w:ascii="宋体" w:hAnsi="宋体" w:eastAsia="宋体" w:cs="宋体"/>
          <w:spacing w:val="2"/>
          <w:sz w:val="17"/>
          <w:szCs w:val="17"/>
        </w:rPr>
        <w:t>在《税收基础》学科中，考生应能够识记其中的税</w:t>
      </w:r>
      <w:r>
        <w:rPr>
          <w:rFonts w:ascii="宋体" w:hAnsi="宋体" w:eastAsia="宋体" w:cs="宋体"/>
          <w:spacing w:val="1"/>
          <w:sz w:val="17"/>
          <w:szCs w:val="17"/>
        </w:rPr>
        <w:t>法体</w:t>
      </w:r>
      <w:r>
        <w:rPr>
          <w:rFonts w:ascii="宋体" w:hAnsi="宋体" w:eastAsia="宋体" w:cs="宋体"/>
          <w:sz w:val="17"/>
          <w:szCs w:val="17"/>
        </w:rPr>
        <w:t xml:space="preserve"> </w:t>
      </w:r>
      <w:r>
        <w:rPr>
          <w:rFonts w:ascii="宋体" w:hAnsi="宋体" w:eastAsia="宋体" w:cs="宋体"/>
          <w:spacing w:val="-2"/>
          <w:sz w:val="17"/>
          <w:szCs w:val="17"/>
        </w:rPr>
        <w:t>系的构成以及相关税种的概念、特点等。</w:t>
      </w:r>
    </w:p>
    <w:p w14:paraId="405AC742">
      <w:pPr>
        <w:spacing w:before="13" w:line="313" w:lineRule="auto"/>
        <w:ind w:right="356" w:firstLine="370"/>
        <w:rPr>
          <w:rFonts w:ascii="宋体" w:hAnsi="宋体" w:eastAsia="宋体" w:cs="宋体"/>
          <w:sz w:val="17"/>
          <w:szCs w:val="17"/>
        </w:rPr>
      </w:pPr>
      <w:r>
        <w:rPr>
          <w:rFonts w:ascii="Times New Roman" w:hAnsi="Times New Roman" w:eastAsia="Times New Roman" w:cs="Times New Roman"/>
          <w:spacing w:val="15"/>
          <w:sz w:val="17"/>
          <w:szCs w:val="17"/>
        </w:rPr>
        <w:t>B</w:t>
      </w:r>
      <w:r>
        <w:rPr>
          <w:rFonts w:ascii="宋体" w:hAnsi="宋体" w:eastAsia="宋体" w:cs="宋体"/>
          <w:spacing w:val="15"/>
          <w:sz w:val="17"/>
          <w:szCs w:val="17"/>
        </w:rPr>
        <w:t>(理解):主要是考查考生对所学专业综合课知</w:t>
      </w:r>
      <w:r>
        <w:rPr>
          <w:rFonts w:ascii="宋体" w:hAnsi="宋体" w:eastAsia="宋体" w:cs="宋体"/>
          <w:spacing w:val="3"/>
          <w:sz w:val="17"/>
          <w:szCs w:val="17"/>
        </w:rPr>
        <w:t xml:space="preserve"> </w:t>
      </w:r>
      <w:r>
        <w:rPr>
          <w:rFonts w:ascii="宋体" w:hAnsi="宋体" w:eastAsia="宋体" w:cs="宋体"/>
          <w:spacing w:val="2"/>
          <w:sz w:val="17"/>
          <w:szCs w:val="17"/>
        </w:rPr>
        <w:t>识的理解程度以及对该学科内在知识的联系能力。要求</w:t>
      </w:r>
      <w:r>
        <w:rPr>
          <w:rFonts w:ascii="宋体" w:hAnsi="宋体" w:eastAsia="宋体" w:cs="宋体"/>
          <w:sz w:val="17"/>
          <w:szCs w:val="17"/>
        </w:rPr>
        <w:t xml:space="preserve"> </w:t>
      </w:r>
      <w:r>
        <w:rPr>
          <w:rFonts w:ascii="宋体" w:hAnsi="宋体" w:eastAsia="宋体" w:cs="宋体"/>
          <w:spacing w:val="2"/>
          <w:sz w:val="17"/>
          <w:szCs w:val="17"/>
        </w:rPr>
        <w:t>考生在识记的基础上，正确理解所学知识的意义，正确</w:t>
      </w:r>
      <w:r>
        <w:rPr>
          <w:rFonts w:ascii="宋体" w:hAnsi="宋体" w:eastAsia="宋体" w:cs="宋体"/>
          <w:spacing w:val="4"/>
          <w:sz w:val="17"/>
          <w:szCs w:val="17"/>
        </w:rPr>
        <w:t xml:space="preserve"> </w:t>
      </w:r>
      <w:r>
        <w:rPr>
          <w:rFonts w:ascii="宋体" w:hAnsi="宋体" w:eastAsia="宋体" w:cs="宋体"/>
          <w:spacing w:val="1"/>
          <w:sz w:val="17"/>
          <w:szCs w:val="17"/>
        </w:rPr>
        <w:t>领会该学科知识的内在联系。如《基础会计》学科中，</w:t>
      </w:r>
      <w:r>
        <w:rPr>
          <w:rFonts w:ascii="宋体" w:hAnsi="宋体" w:eastAsia="宋体" w:cs="宋体"/>
          <w:sz w:val="17"/>
          <w:szCs w:val="17"/>
        </w:rPr>
        <w:t xml:space="preserve"> </w:t>
      </w:r>
      <w:r>
        <w:rPr>
          <w:rFonts w:ascii="宋体" w:hAnsi="宋体" w:eastAsia="宋体" w:cs="宋体"/>
          <w:spacing w:val="2"/>
          <w:sz w:val="17"/>
          <w:szCs w:val="17"/>
        </w:rPr>
        <w:t>考生应能够根据已发生的经济业务，正确分析经济业务</w:t>
      </w:r>
      <w:r>
        <w:rPr>
          <w:rFonts w:ascii="宋体" w:hAnsi="宋体" w:eastAsia="宋体" w:cs="宋体"/>
          <w:sz w:val="17"/>
          <w:szCs w:val="17"/>
        </w:rPr>
        <w:t xml:space="preserve"> </w:t>
      </w:r>
      <w:r>
        <w:rPr>
          <w:rFonts w:ascii="宋体" w:hAnsi="宋体" w:eastAsia="宋体" w:cs="宋体"/>
          <w:spacing w:val="2"/>
          <w:sz w:val="17"/>
          <w:szCs w:val="17"/>
        </w:rPr>
        <w:t>的性质，确定所用的会计科目；能够按照会计凭证</w:t>
      </w:r>
      <w:r>
        <w:rPr>
          <w:rFonts w:ascii="宋体" w:hAnsi="宋体" w:eastAsia="宋体" w:cs="宋体"/>
          <w:spacing w:val="1"/>
          <w:sz w:val="17"/>
          <w:szCs w:val="17"/>
        </w:rPr>
        <w:t>的填</w:t>
      </w:r>
      <w:r>
        <w:rPr>
          <w:rFonts w:ascii="宋体" w:hAnsi="宋体" w:eastAsia="宋体" w:cs="宋体"/>
          <w:sz w:val="17"/>
          <w:szCs w:val="17"/>
        </w:rPr>
        <w:t xml:space="preserve"> </w:t>
      </w:r>
      <w:r>
        <w:rPr>
          <w:rFonts w:ascii="宋体" w:hAnsi="宋体" w:eastAsia="宋体" w:cs="宋体"/>
          <w:spacing w:val="2"/>
          <w:sz w:val="17"/>
          <w:szCs w:val="17"/>
        </w:rPr>
        <w:t>制要求和会计账簿的登记要求，正确地进行经济业务的</w:t>
      </w:r>
      <w:r>
        <w:rPr>
          <w:rFonts w:ascii="宋体" w:hAnsi="宋体" w:eastAsia="宋体" w:cs="宋体"/>
          <w:spacing w:val="4"/>
          <w:sz w:val="17"/>
          <w:szCs w:val="17"/>
        </w:rPr>
        <w:t xml:space="preserve"> </w:t>
      </w:r>
      <w:r>
        <w:rPr>
          <w:rFonts w:ascii="宋体" w:hAnsi="宋体" w:eastAsia="宋体" w:cs="宋体"/>
          <w:spacing w:val="2"/>
          <w:sz w:val="17"/>
          <w:szCs w:val="17"/>
        </w:rPr>
        <w:t>会计处理；能够根据会计平衡公式理论来解释会计</w:t>
      </w:r>
      <w:r>
        <w:rPr>
          <w:rFonts w:ascii="宋体" w:hAnsi="宋体" w:eastAsia="宋体" w:cs="宋体"/>
          <w:spacing w:val="1"/>
          <w:sz w:val="17"/>
          <w:szCs w:val="17"/>
        </w:rPr>
        <w:t>账务</w:t>
      </w:r>
      <w:r>
        <w:rPr>
          <w:rFonts w:ascii="宋体" w:hAnsi="宋体" w:eastAsia="宋体" w:cs="宋体"/>
          <w:sz w:val="17"/>
          <w:szCs w:val="17"/>
        </w:rPr>
        <w:t xml:space="preserve"> </w:t>
      </w:r>
      <w:r>
        <w:rPr>
          <w:rFonts w:ascii="宋体" w:hAnsi="宋体" w:eastAsia="宋体" w:cs="宋体"/>
          <w:spacing w:val="2"/>
          <w:sz w:val="17"/>
          <w:szCs w:val="17"/>
        </w:rPr>
        <w:t>处理的基本原理等。在《统计基础知识》学科中，</w:t>
      </w:r>
      <w:r>
        <w:rPr>
          <w:rFonts w:ascii="宋体" w:hAnsi="宋体" w:eastAsia="宋体" w:cs="宋体"/>
          <w:spacing w:val="1"/>
          <w:sz w:val="17"/>
          <w:szCs w:val="17"/>
        </w:rPr>
        <w:t>考生</w:t>
      </w:r>
      <w:r>
        <w:rPr>
          <w:rFonts w:ascii="宋体" w:hAnsi="宋体" w:eastAsia="宋体" w:cs="宋体"/>
          <w:sz w:val="17"/>
          <w:szCs w:val="17"/>
        </w:rPr>
        <w:t xml:space="preserve"> </w:t>
      </w:r>
      <w:r>
        <w:rPr>
          <w:rFonts w:ascii="宋体" w:hAnsi="宋体" w:eastAsia="宋体" w:cs="宋体"/>
          <w:spacing w:val="1"/>
          <w:sz w:val="17"/>
          <w:szCs w:val="17"/>
        </w:rPr>
        <w:t>应能够根据有关统计指标来分析、解释社会经济现象；</w:t>
      </w:r>
      <w:r>
        <w:rPr>
          <w:rFonts w:ascii="宋体" w:hAnsi="宋体" w:eastAsia="宋体" w:cs="宋体"/>
          <w:sz w:val="17"/>
          <w:szCs w:val="17"/>
        </w:rPr>
        <w:t xml:space="preserve"> </w:t>
      </w:r>
      <w:r>
        <w:rPr>
          <w:rFonts w:ascii="宋体" w:hAnsi="宋体" w:eastAsia="宋体" w:cs="宋体"/>
          <w:spacing w:val="2"/>
          <w:sz w:val="17"/>
          <w:szCs w:val="17"/>
        </w:rPr>
        <w:t>能够理解统计整理的基本程序；能够进行统计指标</w:t>
      </w:r>
      <w:r>
        <w:rPr>
          <w:rFonts w:ascii="宋体" w:hAnsi="宋体" w:eastAsia="宋体" w:cs="宋体"/>
          <w:spacing w:val="1"/>
          <w:sz w:val="17"/>
          <w:szCs w:val="17"/>
        </w:rPr>
        <w:t>计算</w:t>
      </w:r>
      <w:r>
        <w:rPr>
          <w:rFonts w:ascii="宋体" w:hAnsi="宋体" w:eastAsia="宋体" w:cs="宋体"/>
          <w:sz w:val="17"/>
          <w:szCs w:val="17"/>
        </w:rPr>
        <w:t xml:space="preserve"> </w:t>
      </w:r>
      <w:r>
        <w:rPr>
          <w:rFonts w:ascii="宋体" w:hAnsi="宋体" w:eastAsia="宋体" w:cs="宋体"/>
          <w:spacing w:val="2"/>
          <w:sz w:val="17"/>
          <w:szCs w:val="17"/>
        </w:rPr>
        <w:t>等。在《税收基础》学科中，考生应能够根据</w:t>
      </w:r>
      <w:r>
        <w:rPr>
          <w:rFonts w:ascii="宋体" w:hAnsi="宋体" w:eastAsia="宋体" w:cs="宋体"/>
          <w:spacing w:val="1"/>
          <w:sz w:val="17"/>
          <w:szCs w:val="17"/>
        </w:rPr>
        <w:t>相关原理</w:t>
      </w:r>
      <w:r>
        <w:rPr>
          <w:rFonts w:ascii="宋体" w:hAnsi="宋体" w:eastAsia="宋体" w:cs="宋体"/>
          <w:sz w:val="17"/>
          <w:szCs w:val="17"/>
        </w:rPr>
        <w:t xml:space="preserve"> </w:t>
      </w:r>
      <w:r>
        <w:rPr>
          <w:rFonts w:ascii="宋体" w:hAnsi="宋体" w:eastAsia="宋体" w:cs="宋体"/>
          <w:spacing w:val="-2"/>
          <w:sz w:val="17"/>
          <w:szCs w:val="17"/>
        </w:rPr>
        <w:t>与知识对税收税务现象予以解释和说明。</w:t>
      </w:r>
    </w:p>
    <w:p w14:paraId="7EF96AC2">
      <w:pPr>
        <w:spacing w:before="25" w:line="271" w:lineRule="auto"/>
        <w:ind w:right="341" w:firstLine="370"/>
        <w:rPr>
          <w:rFonts w:ascii="宋体" w:hAnsi="宋体" w:eastAsia="宋体" w:cs="宋体"/>
          <w:sz w:val="17"/>
          <w:szCs w:val="17"/>
        </w:rPr>
      </w:pPr>
      <w:r>
        <w:rPr>
          <w:rFonts w:ascii="Times New Roman" w:hAnsi="Times New Roman" w:eastAsia="Times New Roman" w:cs="Times New Roman"/>
          <w:spacing w:val="15"/>
          <w:sz w:val="17"/>
          <w:szCs w:val="17"/>
        </w:rPr>
        <w:t>C</w:t>
      </w:r>
      <w:r>
        <w:rPr>
          <w:rFonts w:ascii="宋体" w:hAnsi="宋体" w:eastAsia="宋体" w:cs="宋体"/>
          <w:spacing w:val="15"/>
          <w:sz w:val="17"/>
          <w:szCs w:val="17"/>
        </w:rPr>
        <w:t>(掌握):主要是考查考生对所学专业综</w:t>
      </w:r>
      <w:r>
        <w:rPr>
          <w:rFonts w:ascii="宋体" w:hAnsi="宋体" w:eastAsia="宋体" w:cs="宋体"/>
          <w:spacing w:val="14"/>
          <w:sz w:val="17"/>
          <w:szCs w:val="17"/>
        </w:rPr>
        <w:t>合课基</w:t>
      </w:r>
      <w:r>
        <w:rPr>
          <w:rFonts w:ascii="宋体" w:hAnsi="宋体" w:eastAsia="宋体" w:cs="宋体"/>
          <w:sz w:val="17"/>
          <w:szCs w:val="17"/>
        </w:rPr>
        <w:t xml:space="preserve"> </w:t>
      </w:r>
      <w:r>
        <w:rPr>
          <w:rFonts w:ascii="宋体" w:hAnsi="宋体" w:eastAsia="宋体" w:cs="宋体"/>
          <w:spacing w:val="2"/>
          <w:sz w:val="17"/>
          <w:szCs w:val="17"/>
        </w:rPr>
        <w:t>本知识、基本技能的初步应用能力和技术处理能力。要</w:t>
      </w:r>
      <w:r>
        <w:rPr>
          <w:rFonts w:ascii="宋体" w:hAnsi="宋体" w:eastAsia="宋体" w:cs="宋体"/>
          <w:sz w:val="17"/>
          <w:szCs w:val="17"/>
        </w:rPr>
        <w:t xml:space="preserve"> </w:t>
      </w:r>
      <w:r>
        <w:rPr>
          <w:rFonts w:ascii="宋体" w:hAnsi="宋体" w:eastAsia="宋体" w:cs="宋体"/>
          <w:spacing w:val="3"/>
          <w:sz w:val="17"/>
          <w:szCs w:val="17"/>
        </w:rPr>
        <w:t>求考生在理解的基础上运用所学的专业知识</w:t>
      </w:r>
      <w:r>
        <w:rPr>
          <w:rFonts w:ascii="宋体" w:hAnsi="宋体" w:eastAsia="宋体" w:cs="宋体"/>
          <w:spacing w:val="2"/>
          <w:sz w:val="17"/>
          <w:szCs w:val="17"/>
        </w:rPr>
        <w:t>和技能进行</w:t>
      </w:r>
    </w:p>
    <w:p w14:paraId="1C3DDF3A">
      <w:pPr>
        <w:pStyle w:val="2"/>
        <w:spacing w:line="14" w:lineRule="auto"/>
        <w:rPr>
          <w:sz w:val="2"/>
        </w:rPr>
      </w:pPr>
      <w:r>
        <w:rPr>
          <w:sz w:val="2"/>
          <w:szCs w:val="2"/>
        </w:rPr>
        <w:br w:type="column"/>
      </w:r>
    </w:p>
    <w:p w14:paraId="6EB787BB">
      <w:pPr>
        <w:spacing w:before="32" w:line="311" w:lineRule="auto"/>
        <w:ind w:right="14"/>
        <w:jc w:val="both"/>
        <w:rPr>
          <w:rFonts w:ascii="宋体" w:hAnsi="宋体" w:eastAsia="宋体" w:cs="宋体"/>
          <w:sz w:val="17"/>
          <w:szCs w:val="17"/>
        </w:rPr>
      </w:pPr>
      <w:r>
        <w:rPr>
          <w:rFonts w:ascii="宋体" w:hAnsi="宋体" w:eastAsia="宋体" w:cs="宋体"/>
          <w:spacing w:val="2"/>
          <w:sz w:val="17"/>
          <w:szCs w:val="17"/>
        </w:rPr>
        <w:t>业务技术处理。如在《基础会计》学科中，考生应能够</w:t>
      </w:r>
      <w:r>
        <w:rPr>
          <w:rFonts w:ascii="宋体" w:hAnsi="宋体" w:eastAsia="宋体" w:cs="宋体"/>
          <w:sz w:val="17"/>
          <w:szCs w:val="17"/>
        </w:rPr>
        <w:t xml:space="preserve">  </w:t>
      </w:r>
      <w:r>
        <w:rPr>
          <w:rFonts w:ascii="宋体" w:hAnsi="宋体" w:eastAsia="宋体" w:cs="宋体"/>
          <w:spacing w:val="9"/>
          <w:sz w:val="17"/>
          <w:szCs w:val="17"/>
        </w:rPr>
        <w:t>正确填制会计凭证、登记账簿，熟练地运用对账、结</w:t>
      </w:r>
      <w:r>
        <w:rPr>
          <w:rFonts w:ascii="宋体" w:hAnsi="宋体" w:eastAsia="宋体" w:cs="宋体"/>
          <w:spacing w:val="6"/>
          <w:sz w:val="17"/>
          <w:szCs w:val="17"/>
        </w:rPr>
        <w:t xml:space="preserve">  </w:t>
      </w:r>
      <w:r>
        <w:rPr>
          <w:rFonts w:ascii="宋体" w:hAnsi="宋体" w:eastAsia="宋体" w:cs="宋体"/>
          <w:spacing w:val="-2"/>
          <w:sz w:val="17"/>
          <w:szCs w:val="17"/>
        </w:rPr>
        <w:t>账、更正错账等会计技术。在《统计基础知识》学科中，</w:t>
      </w:r>
      <w:r>
        <w:rPr>
          <w:rFonts w:ascii="宋体" w:hAnsi="宋体" w:eastAsia="宋体" w:cs="宋体"/>
          <w:spacing w:val="1"/>
          <w:sz w:val="17"/>
          <w:szCs w:val="17"/>
        </w:rPr>
        <w:t xml:space="preserve"> </w:t>
      </w:r>
      <w:r>
        <w:rPr>
          <w:rFonts w:ascii="宋体" w:hAnsi="宋体" w:eastAsia="宋体" w:cs="宋体"/>
          <w:spacing w:val="9"/>
          <w:sz w:val="17"/>
          <w:szCs w:val="17"/>
        </w:rPr>
        <w:t>考生应能够进行综合指标分析、时间数列分析、指数</w:t>
      </w:r>
      <w:r>
        <w:rPr>
          <w:rFonts w:ascii="宋体" w:hAnsi="宋体" w:eastAsia="宋体" w:cs="宋体"/>
          <w:spacing w:val="4"/>
          <w:sz w:val="17"/>
          <w:szCs w:val="17"/>
        </w:rPr>
        <w:t xml:space="preserve">  </w:t>
      </w:r>
      <w:r>
        <w:rPr>
          <w:rFonts w:ascii="宋体" w:hAnsi="宋体" w:eastAsia="宋体" w:cs="宋体"/>
          <w:spacing w:val="9"/>
          <w:sz w:val="17"/>
          <w:szCs w:val="17"/>
        </w:rPr>
        <w:t>分析、抽样推断等。在《税收基础》学科中，考生应</w:t>
      </w:r>
      <w:r>
        <w:rPr>
          <w:rFonts w:ascii="宋体" w:hAnsi="宋体" w:eastAsia="宋体" w:cs="宋体"/>
          <w:spacing w:val="4"/>
          <w:sz w:val="17"/>
          <w:szCs w:val="17"/>
        </w:rPr>
        <w:t xml:space="preserve">  </w:t>
      </w:r>
      <w:r>
        <w:rPr>
          <w:rFonts w:ascii="宋体" w:hAnsi="宋体" w:eastAsia="宋体" w:cs="宋体"/>
          <w:spacing w:val="2"/>
          <w:sz w:val="17"/>
          <w:szCs w:val="17"/>
        </w:rPr>
        <w:t>能够正确地运用所学知识与原理，对基本的经济</w:t>
      </w:r>
      <w:r>
        <w:rPr>
          <w:rFonts w:ascii="宋体" w:hAnsi="宋体" w:eastAsia="宋体" w:cs="宋体"/>
          <w:spacing w:val="1"/>
          <w:sz w:val="17"/>
          <w:szCs w:val="17"/>
        </w:rPr>
        <w:t>活动进</w:t>
      </w:r>
      <w:r>
        <w:rPr>
          <w:rFonts w:ascii="宋体" w:hAnsi="宋体" w:eastAsia="宋体" w:cs="宋体"/>
          <w:sz w:val="17"/>
          <w:szCs w:val="17"/>
        </w:rPr>
        <w:t xml:space="preserve">  </w:t>
      </w:r>
      <w:r>
        <w:rPr>
          <w:rFonts w:ascii="宋体" w:hAnsi="宋体" w:eastAsia="宋体" w:cs="宋体"/>
          <w:spacing w:val="-5"/>
          <w:sz w:val="17"/>
          <w:szCs w:val="17"/>
        </w:rPr>
        <w:t>行恰当分析。</w:t>
      </w:r>
    </w:p>
    <w:p w14:paraId="20396889">
      <w:pPr>
        <w:spacing w:before="24" w:line="313" w:lineRule="auto"/>
        <w:ind w:firstLine="370"/>
        <w:rPr>
          <w:rFonts w:ascii="宋体" w:hAnsi="宋体" w:eastAsia="宋体" w:cs="宋体"/>
          <w:sz w:val="17"/>
          <w:szCs w:val="17"/>
        </w:rPr>
      </w:pPr>
      <w:r>
        <w:rPr>
          <w:rFonts w:ascii="Times New Roman" w:hAnsi="Times New Roman" w:eastAsia="Times New Roman" w:cs="Times New Roman"/>
          <w:spacing w:val="14"/>
          <w:sz w:val="17"/>
          <w:szCs w:val="17"/>
        </w:rPr>
        <w:t>D</w:t>
      </w:r>
      <w:r>
        <w:rPr>
          <w:rFonts w:ascii="宋体" w:hAnsi="宋体" w:eastAsia="宋体" w:cs="宋体"/>
          <w:spacing w:val="14"/>
          <w:sz w:val="17"/>
          <w:szCs w:val="17"/>
        </w:rPr>
        <w:t>(综合运用):主要是考查考生对所学专业综合</w:t>
      </w:r>
      <w:r>
        <w:rPr>
          <w:rFonts w:ascii="宋体" w:hAnsi="宋体" w:eastAsia="宋体" w:cs="宋体"/>
          <w:spacing w:val="5"/>
          <w:sz w:val="17"/>
          <w:szCs w:val="17"/>
        </w:rPr>
        <w:t xml:space="preserve">  </w:t>
      </w:r>
      <w:r>
        <w:rPr>
          <w:rFonts w:ascii="宋体" w:hAnsi="宋体" w:eastAsia="宋体" w:cs="宋体"/>
          <w:spacing w:val="2"/>
          <w:sz w:val="17"/>
          <w:szCs w:val="17"/>
        </w:rPr>
        <w:t>课知识的综合运用能力。要求考生在对专业综合课知识</w:t>
      </w:r>
      <w:r>
        <w:rPr>
          <w:rFonts w:ascii="宋体" w:hAnsi="宋体" w:eastAsia="宋体" w:cs="宋体"/>
          <w:sz w:val="17"/>
          <w:szCs w:val="17"/>
        </w:rPr>
        <w:t xml:space="preserve">  </w:t>
      </w:r>
      <w:r>
        <w:rPr>
          <w:rFonts w:ascii="宋体" w:hAnsi="宋体" w:eastAsia="宋体" w:cs="宋体"/>
          <w:spacing w:val="-8"/>
          <w:sz w:val="17"/>
          <w:szCs w:val="17"/>
        </w:rPr>
        <w:t>掌握的基础上，有系统的、灵活的、较强的综合运用能力。</w:t>
      </w:r>
      <w:r>
        <w:rPr>
          <w:rFonts w:ascii="宋体" w:hAnsi="宋体" w:eastAsia="宋体" w:cs="宋体"/>
          <w:spacing w:val="4"/>
          <w:sz w:val="17"/>
          <w:szCs w:val="17"/>
        </w:rPr>
        <w:t xml:space="preserve"> </w:t>
      </w:r>
      <w:r>
        <w:rPr>
          <w:rFonts w:ascii="宋体" w:hAnsi="宋体" w:eastAsia="宋体" w:cs="宋体"/>
          <w:spacing w:val="2"/>
          <w:sz w:val="17"/>
          <w:szCs w:val="17"/>
        </w:rPr>
        <w:t>如在《基础会计》学科中，考生应能够系统地运用一整</w:t>
      </w:r>
      <w:r>
        <w:rPr>
          <w:rFonts w:ascii="宋体" w:hAnsi="宋体" w:eastAsia="宋体" w:cs="宋体"/>
          <w:sz w:val="17"/>
          <w:szCs w:val="17"/>
        </w:rPr>
        <w:t xml:space="preserve">  </w:t>
      </w:r>
      <w:r>
        <w:rPr>
          <w:rFonts w:ascii="宋体" w:hAnsi="宋体" w:eastAsia="宋体" w:cs="宋体"/>
          <w:spacing w:val="2"/>
          <w:sz w:val="17"/>
          <w:szCs w:val="17"/>
        </w:rPr>
        <w:t>套会计核算的专门方法，针对较为复杂的综合性</w:t>
      </w:r>
      <w:r>
        <w:rPr>
          <w:rFonts w:ascii="宋体" w:hAnsi="宋体" w:eastAsia="宋体" w:cs="宋体"/>
          <w:spacing w:val="1"/>
          <w:sz w:val="17"/>
          <w:szCs w:val="17"/>
        </w:rPr>
        <w:t>经济业</w:t>
      </w:r>
      <w:r>
        <w:rPr>
          <w:rFonts w:ascii="宋体" w:hAnsi="宋体" w:eastAsia="宋体" w:cs="宋体"/>
          <w:sz w:val="17"/>
          <w:szCs w:val="17"/>
        </w:rPr>
        <w:t xml:space="preserve">  </w:t>
      </w:r>
      <w:r>
        <w:rPr>
          <w:rFonts w:ascii="宋体" w:hAnsi="宋体" w:eastAsia="宋体" w:cs="宋体"/>
          <w:spacing w:val="-2"/>
          <w:sz w:val="17"/>
          <w:szCs w:val="17"/>
        </w:rPr>
        <w:t>务做出正确完整的会计处理，并具有一定的审查、核对、</w:t>
      </w:r>
      <w:r>
        <w:rPr>
          <w:rFonts w:ascii="宋体" w:hAnsi="宋体" w:eastAsia="宋体" w:cs="宋体"/>
          <w:spacing w:val="16"/>
          <w:sz w:val="17"/>
          <w:szCs w:val="17"/>
        </w:rPr>
        <w:t xml:space="preserve"> </w:t>
      </w:r>
      <w:r>
        <w:rPr>
          <w:rFonts w:ascii="宋体" w:hAnsi="宋体" w:eastAsia="宋体" w:cs="宋体"/>
          <w:spacing w:val="-5"/>
          <w:sz w:val="17"/>
          <w:szCs w:val="17"/>
        </w:rPr>
        <w:t>纠错的能力；能够熟练编制资产负债表和利润表。在《统</w:t>
      </w:r>
      <w:r>
        <w:rPr>
          <w:rFonts w:ascii="宋体" w:hAnsi="宋体" w:eastAsia="宋体" w:cs="宋体"/>
          <w:sz w:val="17"/>
          <w:szCs w:val="17"/>
        </w:rPr>
        <w:t xml:space="preserve">  </w:t>
      </w:r>
      <w:r>
        <w:rPr>
          <w:rFonts w:ascii="宋体" w:hAnsi="宋体" w:eastAsia="宋体" w:cs="宋体"/>
          <w:spacing w:val="2"/>
          <w:sz w:val="17"/>
          <w:szCs w:val="17"/>
        </w:rPr>
        <w:t>计基础知识》学科中，考生应能够根据已掌握的统计知  识，对不同的统计资料进行综合分析，运用各种统计指</w:t>
      </w:r>
      <w:r>
        <w:rPr>
          <w:rFonts w:ascii="宋体" w:hAnsi="宋体" w:eastAsia="宋体" w:cs="宋体"/>
          <w:spacing w:val="1"/>
          <w:sz w:val="17"/>
          <w:szCs w:val="17"/>
        </w:rPr>
        <w:t xml:space="preserve">  </w:t>
      </w:r>
      <w:r>
        <w:rPr>
          <w:rFonts w:ascii="宋体" w:hAnsi="宋体" w:eastAsia="宋体" w:cs="宋体"/>
          <w:spacing w:val="3"/>
          <w:sz w:val="17"/>
          <w:szCs w:val="17"/>
        </w:rPr>
        <w:t>标分析社会经济领域发生的典型案例。在《税收基础》</w:t>
      </w:r>
      <w:r>
        <w:rPr>
          <w:rFonts w:ascii="宋体" w:hAnsi="宋体" w:eastAsia="宋体" w:cs="宋体"/>
          <w:spacing w:val="1"/>
          <w:sz w:val="17"/>
          <w:szCs w:val="17"/>
        </w:rPr>
        <w:t xml:space="preserve"> </w:t>
      </w:r>
      <w:r>
        <w:rPr>
          <w:rFonts w:ascii="宋体" w:hAnsi="宋体" w:eastAsia="宋体" w:cs="宋体"/>
          <w:spacing w:val="2"/>
          <w:sz w:val="17"/>
          <w:szCs w:val="17"/>
        </w:rPr>
        <w:t>学科中考生应能够根据我国现行增值税、消费税</w:t>
      </w:r>
      <w:r>
        <w:rPr>
          <w:rFonts w:ascii="宋体" w:hAnsi="宋体" w:eastAsia="宋体" w:cs="宋体"/>
          <w:spacing w:val="1"/>
          <w:sz w:val="17"/>
          <w:szCs w:val="17"/>
        </w:rPr>
        <w:t>及所得</w:t>
      </w:r>
      <w:r>
        <w:rPr>
          <w:rFonts w:ascii="宋体" w:hAnsi="宋体" w:eastAsia="宋体" w:cs="宋体"/>
          <w:sz w:val="17"/>
          <w:szCs w:val="17"/>
        </w:rPr>
        <w:t xml:space="preserve">  </w:t>
      </w:r>
      <w:r>
        <w:rPr>
          <w:rFonts w:ascii="宋体" w:hAnsi="宋体" w:eastAsia="宋体" w:cs="宋体"/>
          <w:spacing w:val="1"/>
          <w:sz w:val="17"/>
          <w:szCs w:val="17"/>
        </w:rPr>
        <w:t>税等税收法规制度，针对企业或个人发生的相关业务，</w:t>
      </w:r>
      <w:r>
        <w:rPr>
          <w:rFonts w:ascii="宋体" w:hAnsi="宋体" w:eastAsia="宋体" w:cs="宋体"/>
          <w:sz w:val="17"/>
          <w:szCs w:val="17"/>
        </w:rPr>
        <w:t xml:space="preserve">  </w:t>
      </w:r>
      <w:r>
        <w:rPr>
          <w:rFonts w:ascii="宋体" w:hAnsi="宋体" w:eastAsia="宋体" w:cs="宋体"/>
          <w:spacing w:val="-2"/>
          <w:sz w:val="17"/>
          <w:szCs w:val="17"/>
        </w:rPr>
        <w:t>正确分析计算企业或个人应缴纳的各种税金。</w:t>
      </w:r>
    </w:p>
    <w:p w14:paraId="0D0521F9">
      <w:pPr>
        <w:spacing w:before="24" w:line="306" w:lineRule="auto"/>
        <w:ind w:right="65" w:firstLine="389"/>
        <w:rPr>
          <w:rFonts w:ascii="宋体" w:hAnsi="宋体" w:eastAsia="宋体" w:cs="宋体"/>
          <w:sz w:val="17"/>
          <w:szCs w:val="17"/>
        </w:rPr>
      </w:pPr>
      <w:r>
        <w:rPr>
          <w:rFonts w:ascii="宋体" w:hAnsi="宋体" w:eastAsia="宋体" w:cs="宋体"/>
          <w:spacing w:val="1"/>
          <w:sz w:val="17"/>
          <w:szCs w:val="17"/>
        </w:rPr>
        <w:t>以上四个层次的考试水平由简单到复杂，由低级到</w:t>
      </w:r>
      <w:r>
        <w:rPr>
          <w:rFonts w:ascii="宋体" w:hAnsi="宋体" w:eastAsia="宋体" w:cs="宋体"/>
          <w:sz w:val="17"/>
          <w:szCs w:val="17"/>
        </w:rPr>
        <w:t xml:space="preserve"> </w:t>
      </w:r>
      <w:r>
        <w:rPr>
          <w:rFonts w:ascii="宋体" w:hAnsi="宋体" w:eastAsia="宋体" w:cs="宋体"/>
          <w:spacing w:val="2"/>
          <w:sz w:val="17"/>
          <w:szCs w:val="17"/>
        </w:rPr>
        <w:t xml:space="preserve">高级，每一较高层次考试水平的要求都包含了它的较低 </w:t>
      </w:r>
      <w:r>
        <w:rPr>
          <w:rFonts w:ascii="宋体" w:hAnsi="宋体" w:eastAsia="宋体" w:cs="宋体"/>
          <w:spacing w:val="-3"/>
          <w:sz w:val="17"/>
          <w:szCs w:val="17"/>
        </w:rPr>
        <w:t>层次考试水平的要求。</w:t>
      </w:r>
    </w:p>
    <w:p w14:paraId="2465B668">
      <w:pPr>
        <w:spacing w:line="306" w:lineRule="auto"/>
        <w:rPr>
          <w:rFonts w:ascii="宋体" w:hAnsi="宋体" w:eastAsia="宋体" w:cs="宋体"/>
          <w:sz w:val="17"/>
          <w:szCs w:val="17"/>
        </w:rPr>
        <w:sectPr>
          <w:type w:val="continuous"/>
          <w:pgSz w:w="10660" w:h="15080"/>
          <w:pgMar w:top="400" w:right="832" w:bottom="925" w:left="1019" w:header="0" w:footer="705" w:gutter="0"/>
          <w:cols w:equalWidth="0" w:num="2">
            <w:col w:w="4491" w:space="100"/>
            <w:col w:w="4218"/>
          </w:cols>
        </w:sectPr>
      </w:pPr>
    </w:p>
    <w:p w14:paraId="6358F8EE">
      <w:pPr>
        <w:spacing w:before="13"/>
      </w:pPr>
    </w:p>
    <w:p w14:paraId="251FF03E">
      <w:pPr>
        <w:spacing w:before="12"/>
      </w:pPr>
    </w:p>
    <w:p w14:paraId="7D4CA59F">
      <w:pPr>
        <w:spacing w:before="12"/>
      </w:pPr>
    </w:p>
    <w:p w14:paraId="4D113FCD">
      <w:pPr>
        <w:spacing w:before="12"/>
      </w:pPr>
    </w:p>
    <w:p w14:paraId="2953ADBE">
      <w:pPr>
        <w:sectPr>
          <w:footerReference r:id="rId28" w:type="default"/>
          <w:pgSz w:w="10660" w:h="15080"/>
          <w:pgMar w:top="400" w:right="1024" w:bottom="925" w:left="819" w:header="0" w:footer="705" w:gutter="0"/>
          <w:cols w:equalWidth="0" w:num="1">
            <w:col w:w="8816"/>
          </w:cols>
        </w:sectPr>
      </w:pPr>
    </w:p>
    <w:p w14:paraId="42AA4C7A">
      <w:pPr>
        <w:spacing w:before="8" w:line="221" w:lineRule="auto"/>
        <w:ind w:left="93"/>
        <w:rPr>
          <w:rFonts w:ascii="黑体" w:hAnsi="黑体" w:eastAsia="黑体" w:cs="黑体"/>
          <w:sz w:val="21"/>
          <w:szCs w:val="21"/>
        </w:rPr>
      </w:pPr>
      <w:r>
        <w:rPr>
          <w:rFonts w:ascii="黑体" w:hAnsi="黑体" w:eastAsia="黑体" w:cs="黑体"/>
          <w:b/>
          <w:bCs/>
          <w:spacing w:val="4"/>
          <w:sz w:val="21"/>
          <w:szCs w:val="21"/>
        </w:rPr>
        <w:t>三</w:t>
      </w:r>
      <w:r>
        <w:rPr>
          <w:rFonts w:ascii="黑体" w:hAnsi="黑体" w:eastAsia="黑体" w:cs="黑体"/>
          <w:spacing w:val="-53"/>
          <w:sz w:val="21"/>
          <w:szCs w:val="21"/>
        </w:rPr>
        <w:t xml:space="preserve"> </w:t>
      </w:r>
      <w:r>
        <w:rPr>
          <w:rFonts w:ascii="黑体" w:hAnsi="黑体" w:eastAsia="黑体" w:cs="黑体"/>
          <w:b/>
          <w:bCs/>
          <w:spacing w:val="4"/>
          <w:sz w:val="21"/>
          <w:szCs w:val="21"/>
        </w:rPr>
        <w:t>、考试目标</w:t>
      </w:r>
    </w:p>
    <w:p w14:paraId="461E9E34">
      <w:pPr>
        <w:pStyle w:val="2"/>
        <w:spacing w:line="427" w:lineRule="auto"/>
      </w:pPr>
    </w:p>
    <w:p w14:paraId="7B6756AA">
      <w:pPr>
        <w:spacing w:before="68" w:line="221" w:lineRule="auto"/>
        <w:ind w:left="1262"/>
        <w:rPr>
          <w:rFonts w:ascii="黑体" w:hAnsi="黑体" w:eastAsia="黑体" w:cs="黑体"/>
          <w:sz w:val="21"/>
          <w:szCs w:val="21"/>
        </w:rPr>
      </w:pPr>
      <w:r>
        <w:rPr>
          <w:rFonts w:ascii="黑体" w:hAnsi="黑体" w:eastAsia="黑体" w:cs="黑体"/>
          <w:b/>
          <w:bCs/>
          <w:spacing w:val="-12"/>
          <w:sz w:val="21"/>
          <w:szCs w:val="21"/>
        </w:rPr>
        <w:t>第一部分</w:t>
      </w:r>
      <w:r>
        <w:rPr>
          <w:rFonts w:ascii="黑体" w:hAnsi="黑体" w:eastAsia="黑体" w:cs="黑体"/>
          <w:spacing w:val="-12"/>
          <w:sz w:val="21"/>
          <w:szCs w:val="21"/>
        </w:rPr>
        <w:t xml:space="preserve">  </w:t>
      </w:r>
      <w:r>
        <w:rPr>
          <w:rFonts w:ascii="黑体" w:hAnsi="黑体" w:eastAsia="黑体" w:cs="黑体"/>
          <w:b/>
          <w:bCs/>
          <w:spacing w:val="-12"/>
          <w:sz w:val="21"/>
          <w:szCs w:val="21"/>
        </w:rPr>
        <w:t>基础会计</w:t>
      </w:r>
    </w:p>
    <w:p w14:paraId="0BE1B073">
      <w:pPr>
        <w:pStyle w:val="2"/>
        <w:spacing w:line="268" w:lineRule="auto"/>
      </w:pPr>
    </w:p>
    <w:p w14:paraId="73DC64A0">
      <w:pPr>
        <w:spacing w:before="69" w:line="221" w:lineRule="auto"/>
        <w:ind w:left="1733"/>
        <w:rPr>
          <w:rFonts w:ascii="黑体" w:hAnsi="黑体" w:eastAsia="黑体" w:cs="黑体"/>
          <w:sz w:val="21"/>
          <w:szCs w:val="21"/>
        </w:rPr>
      </w:pPr>
      <w:r>
        <w:rPr>
          <w:rFonts w:ascii="黑体" w:hAnsi="黑体" w:eastAsia="黑体" w:cs="黑体"/>
          <w:b/>
          <w:bCs/>
          <w:spacing w:val="12"/>
          <w:sz w:val="21"/>
          <w:szCs w:val="21"/>
        </w:rPr>
        <w:t>(一)概述</w:t>
      </w:r>
    </w:p>
    <w:p w14:paraId="58ED061B">
      <w:pPr>
        <w:spacing w:line="159" w:lineRule="exact"/>
      </w:pPr>
    </w:p>
    <w:tbl>
      <w:tblPr>
        <w:tblStyle w:val="5"/>
        <w:tblW w:w="4140" w:type="dxa"/>
        <w:tblInd w:w="7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23"/>
        <w:gridCol w:w="2294"/>
        <w:gridCol w:w="230"/>
        <w:gridCol w:w="230"/>
        <w:gridCol w:w="239"/>
        <w:gridCol w:w="224"/>
      </w:tblGrid>
      <w:tr w14:paraId="0BC0E1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4" w:hRule="atLeast"/>
        </w:trPr>
        <w:tc>
          <w:tcPr>
            <w:tcW w:w="923" w:type="dxa"/>
            <w:vMerge w:val="restart"/>
            <w:tcBorders>
              <w:bottom w:val="nil"/>
            </w:tcBorders>
            <w:vAlign w:val="top"/>
          </w:tcPr>
          <w:p w14:paraId="1C5473D1">
            <w:pPr>
              <w:pStyle w:val="6"/>
              <w:spacing w:before="191" w:line="221" w:lineRule="auto"/>
              <w:ind w:left="287"/>
            </w:pPr>
            <w:r>
              <w:rPr>
                <w:b/>
                <w:bCs/>
                <w:spacing w:val="-5"/>
              </w:rPr>
              <w:t>知识</w:t>
            </w:r>
          </w:p>
          <w:p w14:paraId="4D949B40">
            <w:pPr>
              <w:pStyle w:val="6"/>
              <w:spacing w:before="15" w:line="221" w:lineRule="auto"/>
              <w:ind w:left="27"/>
            </w:pPr>
            <w:r>
              <w:rPr>
                <w:b/>
                <w:bCs/>
              </w:rPr>
              <w:t>与技能要点</w:t>
            </w:r>
          </w:p>
        </w:tc>
        <w:tc>
          <w:tcPr>
            <w:tcW w:w="2294" w:type="dxa"/>
            <w:vMerge w:val="restart"/>
            <w:tcBorders>
              <w:bottom w:val="nil"/>
            </w:tcBorders>
            <w:vAlign w:val="top"/>
          </w:tcPr>
          <w:p w14:paraId="1ACAD651">
            <w:pPr>
              <w:spacing w:line="242" w:lineRule="auto"/>
              <w:rPr>
                <w:rFonts w:ascii="Arial"/>
                <w:sz w:val="21"/>
              </w:rPr>
            </w:pPr>
          </w:p>
          <w:p w14:paraId="2B4BE2BB">
            <w:pPr>
              <w:pStyle w:val="6"/>
              <w:spacing w:before="56" w:line="219" w:lineRule="auto"/>
              <w:ind w:left="834"/>
            </w:pPr>
            <w:r>
              <w:rPr>
                <w:b/>
                <w:bCs/>
                <w:spacing w:val="5"/>
              </w:rPr>
              <w:t>考试条目</w:t>
            </w:r>
          </w:p>
        </w:tc>
        <w:tc>
          <w:tcPr>
            <w:tcW w:w="923" w:type="dxa"/>
            <w:gridSpan w:val="4"/>
            <w:vAlign w:val="top"/>
          </w:tcPr>
          <w:p w14:paraId="5A43B8E9">
            <w:pPr>
              <w:pStyle w:val="6"/>
              <w:spacing w:before="109" w:line="219" w:lineRule="auto"/>
              <w:ind w:left="140"/>
            </w:pPr>
            <w:r>
              <w:rPr>
                <w:b/>
                <w:bCs/>
                <w:spacing w:val="-4"/>
              </w:rPr>
              <w:t>考试水平</w:t>
            </w:r>
          </w:p>
        </w:tc>
      </w:tr>
      <w:tr w14:paraId="5E6D70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9" w:hRule="atLeast"/>
        </w:trPr>
        <w:tc>
          <w:tcPr>
            <w:tcW w:w="923" w:type="dxa"/>
            <w:vMerge w:val="continue"/>
            <w:tcBorders>
              <w:top w:val="nil"/>
            </w:tcBorders>
            <w:vAlign w:val="top"/>
          </w:tcPr>
          <w:p w14:paraId="713DD2EE">
            <w:pPr>
              <w:rPr>
                <w:rFonts w:ascii="Arial"/>
                <w:sz w:val="21"/>
              </w:rPr>
            </w:pPr>
          </w:p>
        </w:tc>
        <w:tc>
          <w:tcPr>
            <w:tcW w:w="2294" w:type="dxa"/>
            <w:vMerge w:val="continue"/>
            <w:tcBorders>
              <w:top w:val="nil"/>
            </w:tcBorders>
            <w:vAlign w:val="top"/>
          </w:tcPr>
          <w:p w14:paraId="12CDA0CD">
            <w:pPr>
              <w:rPr>
                <w:rFonts w:ascii="Arial"/>
                <w:sz w:val="21"/>
              </w:rPr>
            </w:pPr>
          </w:p>
        </w:tc>
        <w:tc>
          <w:tcPr>
            <w:tcW w:w="230" w:type="dxa"/>
            <w:vAlign w:val="top"/>
          </w:tcPr>
          <w:p w14:paraId="4FC40434">
            <w:pPr>
              <w:pStyle w:val="6"/>
              <w:spacing w:before="140" w:line="184" w:lineRule="auto"/>
              <w:ind w:left="67"/>
            </w:pPr>
            <w:r>
              <w:t>A</w:t>
            </w:r>
          </w:p>
        </w:tc>
        <w:tc>
          <w:tcPr>
            <w:tcW w:w="230" w:type="dxa"/>
            <w:vAlign w:val="top"/>
          </w:tcPr>
          <w:p w14:paraId="39CED58F">
            <w:pPr>
              <w:pStyle w:val="6"/>
              <w:spacing w:before="142" w:line="182" w:lineRule="auto"/>
              <w:ind w:left="37"/>
            </w:pPr>
            <w:r>
              <w:t>B</w:t>
            </w:r>
          </w:p>
        </w:tc>
        <w:tc>
          <w:tcPr>
            <w:tcW w:w="239" w:type="dxa"/>
            <w:vAlign w:val="top"/>
          </w:tcPr>
          <w:p w14:paraId="03E8318C">
            <w:pPr>
              <w:pStyle w:val="6"/>
              <w:spacing w:before="141" w:line="183" w:lineRule="auto"/>
              <w:jc w:val="right"/>
            </w:pPr>
            <w:r>
              <w:rPr>
                <w:spacing w:val="-6"/>
              </w:rPr>
              <w:t>C</w:t>
            </w:r>
          </w:p>
        </w:tc>
        <w:tc>
          <w:tcPr>
            <w:tcW w:w="224" w:type="dxa"/>
            <w:vAlign w:val="top"/>
          </w:tcPr>
          <w:p w14:paraId="48868F8A">
            <w:pPr>
              <w:pStyle w:val="6"/>
              <w:spacing w:before="142" w:line="182" w:lineRule="auto"/>
              <w:ind w:left="19"/>
            </w:pPr>
            <w:r>
              <w:t>D</w:t>
            </w:r>
          </w:p>
        </w:tc>
      </w:tr>
      <w:tr w14:paraId="13147F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923" w:type="dxa"/>
            <w:vMerge w:val="restart"/>
            <w:tcBorders>
              <w:bottom w:val="nil"/>
            </w:tcBorders>
            <w:vAlign w:val="top"/>
          </w:tcPr>
          <w:p w14:paraId="04D9A19B">
            <w:pPr>
              <w:pStyle w:val="6"/>
              <w:spacing w:before="228" w:line="247" w:lineRule="auto"/>
              <w:ind w:left="194" w:right="123" w:hanging="79"/>
            </w:pPr>
            <w:r>
              <w:rPr>
                <w:spacing w:val="-2"/>
              </w:rPr>
              <w:t>会计的基</w:t>
            </w:r>
            <w:r>
              <w:rPr>
                <w:spacing w:val="1"/>
              </w:rPr>
              <w:t xml:space="preserve"> </w:t>
            </w:r>
            <w:r>
              <w:rPr>
                <w:spacing w:val="-2"/>
              </w:rPr>
              <w:t>本知识</w:t>
            </w:r>
          </w:p>
        </w:tc>
        <w:tc>
          <w:tcPr>
            <w:tcW w:w="2294" w:type="dxa"/>
            <w:vAlign w:val="top"/>
          </w:tcPr>
          <w:p w14:paraId="515C1707">
            <w:pPr>
              <w:pStyle w:val="6"/>
              <w:spacing w:before="47" w:line="219" w:lineRule="auto"/>
              <w:ind w:left="61"/>
            </w:pPr>
            <w:r>
              <w:rPr>
                <w:spacing w:val="1"/>
              </w:rPr>
              <w:t>1.什么是会计</w:t>
            </w:r>
          </w:p>
        </w:tc>
        <w:tc>
          <w:tcPr>
            <w:tcW w:w="230" w:type="dxa"/>
            <w:vAlign w:val="top"/>
          </w:tcPr>
          <w:p w14:paraId="481E4345">
            <w:pPr>
              <w:pStyle w:val="6"/>
              <w:spacing w:before="88" w:line="238" w:lineRule="auto"/>
              <w:ind w:left="47"/>
              <w:rPr>
                <w:sz w:val="12"/>
                <w:szCs w:val="12"/>
              </w:rPr>
            </w:pPr>
            <w:r>
              <w:rPr>
                <w:sz w:val="12"/>
                <w:szCs w:val="12"/>
              </w:rPr>
              <w:t>√</w:t>
            </w:r>
          </w:p>
        </w:tc>
        <w:tc>
          <w:tcPr>
            <w:tcW w:w="230" w:type="dxa"/>
            <w:vAlign w:val="top"/>
          </w:tcPr>
          <w:p w14:paraId="6470C0DF">
            <w:pPr>
              <w:rPr>
                <w:rFonts w:ascii="Arial"/>
                <w:sz w:val="21"/>
              </w:rPr>
            </w:pPr>
          </w:p>
        </w:tc>
        <w:tc>
          <w:tcPr>
            <w:tcW w:w="239" w:type="dxa"/>
            <w:vAlign w:val="top"/>
          </w:tcPr>
          <w:p w14:paraId="2F7E675B">
            <w:pPr>
              <w:rPr>
                <w:rFonts w:ascii="Arial"/>
                <w:sz w:val="21"/>
              </w:rPr>
            </w:pPr>
          </w:p>
        </w:tc>
        <w:tc>
          <w:tcPr>
            <w:tcW w:w="224" w:type="dxa"/>
            <w:vAlign w:val="top"/>
          </w:tcPr>
          <w:p w14:paraId="491AF556">
            <w:pPr>
              <w:rPr>
                <w:rFonts w:ascii="Arial"/>
                <w:sz w:val="21"/>
              </w:rPr>
            </w:pPr>
          </w:p>
        </w:tc>
      </w:tr>
      <w:tr w14:paraId="2299C3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9" w:hRule="atLeast"/>
        </w:trPr>
        <w:tc>
          <w:tcPr>
            <w:tcW w:w="923" w:type="dxa"/>
            <w:vMerge w:val="continue"/>
            <w:tcBorders>
              <w:top w:val="nil"/>
              <w:bottom w:val="nil"/>
            </w:tcBorders>
            <w:vAlign w:val="top"/>
          </w:tcPr>
          <w:p w14:paraId="62273128">
            <w:pPr>
              <w:rPr>
                <w:rFonts w:ascii="Arial"/>
                <w:sz w:val="21"/>
              </w:rPr>
            </w:pPr>
          </w:p>
        </w:tc>
        <w:tc>
          <w:tcPr>
            <w:tcW w:w="2294" w:type="dxa"/>
            <w:vAlign w:val="top"/>
          </w:tcPr>
          <w:p w14:paraId="383F211D">
            <w:pPr>
              <w:pStyle w:val="6"/>
              <w:spacing w:before="58" w:line="219" w:lineRule="auto"/>
              <w:ind w:left="61"/>
            </w:pPr>
            <w:r>
              <w:rPr>
                <w:spacing w:val="-1"/>
              </w:rPr>
              <w:t>2.会计的基本职能</w:t>
            </w:r>
          </w:p>
        </w:tc>
        <w:tc>
          <w:tcPr>
            <w:tcW w:w="230" w:type="dxa"/>
            <w:vAlign w:val="top"/>
          </w:tcPr>
          <w:p w14:paraId="669705F5">
            <w:pPr>
              <w:rPr>
                <w:rFonts w:ascii="Arial"/>
                <w:sz w:val="21"/>
              </w:rPr>
            </w:pPr>
          </w:p>
        </w:tc>
        <w:tc>
          <w:tcPr>
            <w:tcW w:w="230" w:type="dxa"/>
            <w:vAlign w:val="top"/>
          </w:tcPr>
          <w:p w14:paraId="7020B77A">
            <w:pPr>
              <w:pStyle w:val="6"/>
              <w:spacing w:before="89" w:line="238" w:lineRule="auto"/>
              <w:ind w:left="8"/>
              <w:rPr>
                <w:sz w:val="12"/>
                <w:szCs w:val="12"/>
              </w:rPr>
            </w:pPr>
            <w:r>
              <w:rPr>
                <w:sz w:val="12"/>
                <w:szCs w:val="12"/>
              </w:rPr>
              <w:t>√</w:t>
            </w:r>
          </w:p>
        </w:tc>
        <w:tc>
          <w:tcPr>
            <w:tcW w:w="239" w:type="dxa"/>
            <w:vAlign w:val="top"/>
          </w:tcPr>
          <w:p w14:paraId="74BDC579">
            <w:pPr>
              <w:rPr>
                <w:rFonts w:ascii="Arial"/>
                <w:sz w:val="21"/>
              </w:rPr>
            </w:pPr>
          </w:p>
        </w:tc>
        <w:tc>
          <w:tcPr>
            <w:tcW w:w="224" w:type="dxa"/>
            <w:vAlign w:val="top"/>
          </w:tcPr>
          <w:p w14:paraId="47D6723E">
            <w:pPr>
              <w:rPr>
                <w:rFonts w:ascii="Arial"/>
                <w:sz w:val="21"/>
              </w:rPr>
            </w:pPr>
          </w:p>
        </w:tc>
      </w:tr>
      <w:tr w14:paraId="14FAE9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trPr>
        <w:tc>
          <w:tcPr>
            <w:tcW w:w="923" w:type="dxa"/>
            <w:vMerge w:val="continue"/>
            <w:tcBorders>
              <w:top w:val="nil"/>
            </w:tcBorders>
            <w:vAlign w:val="top"/>
          </w:tcPr>
          <w:p w14:paraId="65C89628">
            <w:pPr>
              <w:rPr>
                <w:rFonts w:ascii="Arial"/>
                <w:sz w:val="21"/>
              </w:rPr>
            </w:pPr>
          </w:p>
        </w:tc>
        <w:tc>
          <w:tcPr>
            <w:tcW w:w="2294" w:type="dxa"/>
            <w:vAlign w:val="top"/>
          </w:tcPr>
          <w:p w14:paraId="11A6BE4C">
            <w:pPr>
              <w:pStyle w:val="6"/>
              <w:spacing w:before="49" w:line="219" w:lineRule="auto"/>
              <w:ind w:left="61"/>
            </w:pPr>
            <w:r>
              <w:rPr>
                <w:spacing w:val="2"/>
              </w:rPr>
              <w:t>3.会计的特点</w:t>
            </w:r>
          </w:p>
        </w:tc>
        <w:tc>
          <w:tcPr>
            <w:tcW w:w="230" w:type="dxa"/>
            <w:vAlign w:val="top"/>
          </w:tcPr>
          <w:p w14:paraId="653C3325">
            <w:pPr>
              <w:rPr>
                <w:rFonts w:ascii="Arial"/>
                <w:sz w:val="21"/>
              </w:rPr>
            </w:pPr>
          </w:p>
        </w:tc>
        <w:tc>
          <w:tcPr>
            <w:tcW w:w="230" w:type="dxa"/>
            <w:vAlign w:val="top"/>
          </w:tcPr>
          <w:p w14:paraId="5D956CC1">
            <w:pPr>
              <w:rPr>
                <w:rFonts w:ascii="Arial"/>
                <w:sz w:val="21"/>
              </w:rPr>
            </w:pPr>
          </w:p>
        </w:tc>
        <w:tc>
          <w:tcPr>
            <w:tcW w:w="239" w:type="dxa"/>
            <w:vAlign w:val="top"/>
          </w:tcPr>
          <w:p w14:paraId="7D1223A2">
            <w:pPr>
              <w:pStyle w:val="6"/>
              <w:spacing w:before="90" w:line="238" w:lineRule="auto"/>
              <w:ind w:left="27"/>
              <w:rPr>
                <w:sz w:val="12"/>
                <w:szCs w:val="12"/>
              </w:rPr>
            </w:pPr>
            <w:r>
              <w:rPr>
                <w:sz w:val="12"/>
                <w:szCs w:val="12"/>
              </w:rPr>
              <w:t>√</w:t>
            </w:r>
          </w:p>
        </w:tc>
        <w:tc>
          <w:tcPr>
            <w:tcW w:w="224" w:type="dxa"/>
            <w:vAlign w:val="top"/>
          </w:tcPr>
          <w:p w14:paraId="37338439">
            <w:pPr>
              <w:rPr>
                <w:rFonts w:ascii="Arial"/>
                <w:sz w:val="21"/>
              </w:rPr>
            </w:pPr>
          </w:p>
        </w:tc>
      </w:tr>
      <w:tr w14:paraId="0ABA2A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69" w:hRule="atLeast"/>
        </w:trPr>
        <w:tc>
          <w:tcPr>
            <w:tcW w:w="923" w:type="dxa"/>
            <w:vMerge w:val="restart"/>
            <w:tcBorders>
              <w:bottom w:val="nil"/>
            </w:tcBorders>
            <w:vAlign w:val="top"/>
          </w:tcPr>
          <w:p w14:paraId="752C6466">
            <w:pPr>
              <w:pStyle w:val="6"/>
              <w:spacing w:before="20" w:line="227" w:lineRule="auto"/>
              <w:ind w:left="115" w:right="125"/>
              <w:jc w:val="both"/>
            </w:pPr>
            <w:r>
              <w:rPr>
                <w:spacing w:val="-2"/>
              </w:rPr>
              <w:t>我国会计</w:t>
            </w:r>
            <w:r>
              <w:t xml:space="preserve"> </w:t>
            </w:r>
            <w:r>
              <w:rPr>
                <w:spacing w:val="-3"/>
              </w:rPr>
              <w:t>工作的管</w:t>
            </w:r>
            <w:r>
              <w:rPr>
                <w:spacing w:val="2"/>
              </w:rPr>
              <w:t xml:space="preserve"> </w:t>
            </w:r>
            <w:r>
              <w:rPr>
                <w:spacing w:val="31"/>
              </w:rPr>
              <w:t>理体制</w:t>
            </w:r>
          </w:p>
        </w:tc>
        <w:tc>
          <w:tcPr>
            <w:tcW w:w="2294" w:type="dxa"/>
            <w:vAlign w:val="top"/>
          </w:tcPr>
          <w:p w14:paraId="58DD8C64">
            <w:pPr>
              <w:pStyle w:val="6"/>
              <w:spacing w:before="49" w:line="219" w:lineRule="auto"/>
              <w:jc w:val="right"/>
            </w:pPr>
            <w:r>
              <w:rPr>
                <w:spacing w:val="-14"/>
              </w:rPr>
              <w:t>1</w:t>
            </w:r>
            <w:r>
              <w:rPr>
                <w:spacing w:val="-13"/>
              </w:rPr>
              <w:t>.我国会计工作的管理体制结</w:t>
            </w:r>
            <w:r>
              <w:rPr>
                <w:spacing w:val="-12"/>
              </w:rPr>
              <w:t>构</w:t>
            </w:r>
          </w:p>
        </w:tc>
        <w:tc>
          <w:tcPr>
            <w:tcW w:w="230" w:type="dxa"/>
            <w:vAlign w:val="top"/>
          </w:tcPr>
          <w:p w14:paraId="14AD196E">
            <w:pPr>
              <w:pStyle w:val="6"/>
              <w:spacing w:before="90" w:line="238" w:lineRule="auto"/>
              <w:ind w:left="17"/>
              <w:rPr>
                <w:sz w:val="12"/>
                <w:szCs w:val="12"/>
              </w:rPr>
            </w:pPr>
            <w:r>
              <w:rPr>
                <w:sz w:val="12"/>
                <w:szCs w:val="12"/>
              </w:rPr>
              <w:t>√</w:t>
            </w:r>
          </w:p>
        </w:tc>
        <w:tc>
          <w:tcPr>
            <w:tcW w:w="230" w:type="dxa"/>
            <w:vAlign w:val="top"/>
          </w:tcPr>
          <w:p w14:paraId="75447406">
            <w:pPr>
              <w:rPr>
                <w:rFonts w:ascii="Arial"/>
                <w:sz w:val="21"/>
              </w:rPr>
            </w:pPr>
          </w:p>
        </w:tc>
        <w:tc>
          <w:tcPr>
            <w:tcW w:w="239" w:type="dxa"/>
            <w:vAlign w:val="top"/>
          </w:tcPr>
          <w:p w14:paraId="43F4C92E">
            <w:pPr>
              <w:rPr>
                <w:rFonts w:ascii="Arial"/>
                <w:sz w:val="21"/>
              </w:rPr>
            </w:pPr>
          </w:p>
        </w:tc>
        <w:tc>
          <w:tcPr>
            <w:tcW w:w="224" w:type="dxa"/>
            <w:vAlign w:val="top"/>
          </w:tcPr>
          <w:p w14:paraId="0BA4398C">
            <w:pPr>
              <w:rPr>
                <w:rFonts w:ascii="Arial"/>
                <w:sz w:val="21"/>
              </w:rPr>
            </w:pPr>
          </w:p>
        </w:tc>
      </w:tr>
      <w:tr w14:paraId="01A4F9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9" w:hRule="atLeast"/>
        </w:trPr>
        <w:tc>
          <w:tcPr>
            <w:tcW w:w="923" w:type="dxa"/>
            <w:vMerge w:val="continue"/>
            <w:tcBorders>
              <w:top w:val="nil"/>
            </w:tcBorders>
            <w:vAlign w:val="top"/>
          </w:tcPr>
          <w:p w14:paraId="56AB75D7">
            <w:pPr>
              <w:rPr>
                <w:rFonts w:ascii="Arial"/>
                <w:sz w:val="21"/>
              </w:rPr>
            </w:pPr>
          </w:p>
        </w:tc>
        <w:tc>
          <w:tcPr>
            <w:tcW w:w="2294" w:type="dxa"/>
            <w:vAlign w:val="top"/>
          </w:tcPr>
          <w:p w14:paraId="38360ECE">
            <w:pPr>
              <w:pStyle w:val="6"/>
              <w:spacing w:before="112" w:line="219" w:lineRule="auto"/>
              <w:ind w:left="61"/>
            </w:pPr>
            <w:r>
              <w:rPr>
                <w:spacing w:val="-1"/>
              </w:rPr>
              <w:t>2.财政部的管理职责</w:t>
            </w:r>
          </w:p>
        </w:tc>
        <w:tc>
          <w:tcPr>
            <w:tcW w:w="230" w:type="dxa"/>
            <w:vAlign w:val="top"/>
          </w:tcPr>
          <w:p w14:paraId="185E4803">
            <w:pPr>
              <w:pStyle w:val="6"/>
              <w:spacing w:before="141" w:line="238" w:lineRule="auto"/>
              <w:ind w:left="47"/>
              <w:rPr>
                <w:sz w:val="12"/>
                <w:szCs w:val="12"/>
              </w:rPr>
            </w:pPr>
            <w:r>
              <w:rPr>
                <w:sz w:val="12"/>
                <w:szCs w:val="12"/>
              </w:rPr>
              <w:t>√</w:t>
            </w:r>
          </w:p>
        </w:tc>
        <w:tc>
          <w:tcPr>
            <w:tcW w:w="230" w:type="dxa"/>
            <w:vAlign w:val="top"/>
          </w:tcPr>
          <w:p w14:paraId="165AB0D7">
            <w:pPr>
              <w:rPr>
                <w:rFonts w:ascii="Arial"/>
                <w:sz w:val="21"/>
              </w:rPr>
            </w:pPr>
          </w:p>
        </w:tc>
        <w:tc>
          <w:tcPr>
            <w:tcW w:w="239" w:type="dxa"/>
            <w:vAlign w:val="top"/>
          </w:tcPr>
          <w:p w14:paraId="6596CD96">
            <w:pPr>
              <w:rPr>
                <w:rFonts w:ascii="Arial"/>
                <w:sz w:val="21"/>
              </w:rPr>
            </w:pPr>
          </w:p>
        </w:tc>
        <w:tc>
          <w:tcPr>
            <w:tcW w:w="224" w:type="dxa"/>
            <w:vAlign w:val="top"/>
          </w:tcPr>
          <w:p w14:paraId="17B14CAB">
            <w:pPr>
              <w:rPr>
                <w:rFonts w:ascii="Arial"/>
                <w:sz w:val="21"/>
              </w:rPr>
            </w:pPr>
          </w:p>
        </w:tc>
      </w:tr>
      <w:tr w14:paraId="1179B3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trPr>
        <w:tc>
          <w:tcPr>
            <w:tcW w:w="923" w:type="dxa"/>
            <w:vMerge w:val="restart"/>
            <w:tcBorders>
              <w:bottom w:val="nil"/>
            </w:tcBorders>
            <w:vAlign w:val="top"/>
          </w:tcPr>
          <w:p w14:paraId="1B64710D">
            <w:pPr>
              <w:pStyle w:val="6"/>
              <w:spacing w:before="134" w:line="224" w:lineRule="auto"/>
              <w:ind w:left="115" w:right="104"/>
              <w:jc w:val="both"/>
            </w:pPr>
            <w:r>
              <w:rPr>
                <w:spacing w:val="-3"/>
              </w:rPr>
              <w:t>企业的经</w:t>
            </w:r>
            <w:r>
              <w:rPr>
                <w:spacing w:val="1"/>
              </w:rPr>
              <w:t xml:space="preserve"> </w:t>
            </w:r>
            <w:r>
              <w:rPr>
                <w:spacing w:val="3"/>
              </w:rPr>
              <w:t>济业务与</w:t>
            </w:r>
            <w:r>
              <w:t xml:space="preserve"> </w:t>
            </w:r>
            <w:r>
              <w:rPr>
                <w:spacing w:val="-2"/>
              </w:rPr>
              <w:t>会计对象</w:t>
            </w:r>
          </w:p>
        </w:tc>
        <w:tc>
          <w:tcPr>
            <w:tcW w:w="2294" w:type="dxa"/>
            <w:vAlign w:val="top"/>
          </w:tcPr>
          <w:p w14:paraId="2BDCAF96">
            <w:pPr>
              <w:pStyle w:val="6"/>
              <w:spacing w:before="53" w:line="220" w:lineRule="auto"/>
              <w:ind w:left="61"/>
            </w:pPr>
            <w:r>
              <w:rPr>
                <w:spacing w:val="1"/>
              </w:rPr>
              <w:t>1.企业的经济活动</w:t>
            </w:r>
          </w:p>
        </w:tc>
        <w:tc>
          <w:tcPr>
            <w:tcW w:w="230" w:type="dxa"/>
            <w:vAlign w:val="top"/>
          </w:tcPr>
          <w:p w14:paraId="52304DE3">
            <w:pPr>
              <w:rPr>
                <w:rFonts w:ascii="Arial"/>
                <w:sz w:val="21"/>
              </w:rPr>
            </w:pPr>
          </w:p>
        </w:tc>
        <w:tc>
          <w:tcPr>
            <w:tcW w:w="230" w:type="dxa"/>
            <w:vAlign w:val="top"/>
          </w:tcPr>
          <w:p w14:paraId="4CD277DD">
            <w:pPr>
              <w:rPr>
                <w:rFonts w:ascii="Arial"/>
                <w:sz w:val="21"/>
              </w:rPr>
            </w:pPr>
          </w:p>
        </w:tc>
        <w:tc>
          <w:tcPr>
            <w:tcW w:w="239" w:type="dxa"/>
            <w:vAlign w:val="top"/>
          </w:tcPr>
          <w:p w14:paraId="7A9E9083">
            <w:pPr>
              <w:rPr>
                <w:rFonts w:ascii="Arial"/>
                <w:sz w:val="21"/>
              </w:rPr>
            </w:pPr>
          </w:p>
        </w:tc>
        <w:tc>
          <w:tcPr>
            <w:tcW w:w="224" w:type="dxa"/>
            <w:vAlign w:val="top"/>
          </w:tcPr>
          <w:p w14:paraId="0E50DA44">
            <w:pPr>
              <w:rPr>
                <w:rFonts w:ascii="Arial"/>
                <w:sz w:val="21"/>
              </w:rPr>
            </w:pPr>
          </w:p>
        </w:tc>
      </w:tr>
      <w:tr w14:paraId="29C428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923" w:type="dxa"/>
            <w:vMerge w:val="continue"/>
            <w:tcBorders>
              <w:top w:val="nil"/>
              <w:bottom w:val="nil"/>
            </w:tcBorders>
            <w:vAlign w:val="top"/>
          </w:tcPr>
          <w:p w14:paraId="359A8850">
            <w:pPr>
              <w:rPr>
                <w:rFonts w:ascii="Arial"/>
                <w:sz w:val="21"/>
              </w:rPr>
            </w:pPr>
          </w:p>
        </w:tc>
        <w:tc>
          <w:tcPr>
            <w:tcW w:w="2294" w:type="dxa"/>
            <w:vAlign w:val="top"/>
          </w:tcPr>
          <w:p w14:paraId="223611F8">
            <w:pPr>
              <w:pStyle w:val="6"/>
              <w:spacing w:before="53" w:line="219" w:lineRule="auto"/>
              <w:ind w:left="61"/>
            </w:pPr>
            <w:r>
              <w:rPr>
                <w:spacing w:val="-1"/>
              </w:rPr>
              <w:t>2.企业的经济业务</w:t>
            </w:r>
          </w:p>
        </w:tc>
        <w:tc>
          <w:tcPr>
            <w:tcW w:w="230" w:type="dxa"/>
            <w:vAlign w:val="top"/>
          </w:tcPr>
          <w:p w14:paraId="55A0141D">
            <w:pPr>
              <w:rPr>
                <w:rFonts w:ascii="Arial"/>
                <w:sz w:val="21"/>
              </w:rPr>
            </w:pPr>
          </w:p>
        </w:tc>
        <w:tc>
          <w:tcPr>
            <w:tcW w:w="230" w:type="dxa"/>
            <w:vAlign w:val="top"/>
          </w:tcPr>
          <w:p w14:paraId="0678A598">
            <w:pPr>
              <w:rPr>
                <w:rFonts w:ascii="Arial"/>
                <w:sz w:val="21"/>
              </w:rPr>
            </w:pPr>
          </w:p>
        </w:tc>
        <w:tc>
          <w:tcPr>
            <w:tcW w:w="239" w:type="dxa"/>
            <w:vAlign w:val="top"/>
          </w:tcPr>
          <w:p w14:paraId="273AB3A7">
            <w:pPr>
              <w:rPr>
                <w:rFonts w:ascii="Arial"/>
                <w:sz w:val="21"/>
              </w:rPr>
            </w:pPr>
          </w:p>
        </w:tc>
        <w:tc>
          <w:tcPr>
            <w:tcW w:w="224" w:type="dxa"/>
            <w:vAlign w:val="top"/>
          </w:tcPr>
          <w:p w14:paraId="48F1B523">
            <w:pPr>
              <w:rPr>
                <w:rFonts w:ascii="Arial"/>
                <w:sz w:val="21"/>
              </w:rPr>
            </w:pPr>
          </w:p>
        </w:tc>
      </w:tr>
      <w:tr w14:paraId="0FCFDE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9" w:hRule="atLeast"/>
        </w:trPr>
        <w:tc>
          <w:tcPr>
            <w:tcW w:w="923" w:type="dxa"/>
            <w:vMerge w:val="continue"/>
            <w:tcBorders>
              <w:top w:val="nil"/>
            </w:tcBorders>
            <w:vAlign w:val="top"/>
          </w:tcPr>
          <w:p w14:paraId="2D79A19A">
            <w:pPr>
              <w:rPr>
                <w:rFonts w:ascii="Arial"/>
                <w:sz w:val="21"/>
              </w:rPr>
            </w:pPr>
          </w:p>
        </w:tc>
        <w:tc>
          <w:tcPr>
            <w:tcW w:w="2294" w:type="dxa"/>
            <w:vAlign w:val="top"/>
          </w:tcPr>
          <w:p w14:paraId="1C84BD4D">
            <w:pPr>
              <w:pStyle w:val="6"/>
              <w:spacing w:before="62" w:line="219" w:lineRule="auto"/>
              <w:ind w:left="61"/>
            </w:pPr>
            <w:r>
              <w:rPr>
                <w:spacing w:val="-2"/>
              </w:rPr>
              <w:t>3.会计对象</w:t>
            </w:r>
          </w:p>
        </w:tc>
        <w:tc>
          <w:tcPr>
            <w:tcW w:w="230" w:type="dxa"/>
            <w:vAlign w:val="top"/>
          </w:tcPr>
          <w:p w14:paraId="79176277">
            <w:pPr>
              <w:rPr>
                <w:rFonts w:ascii="Arial"/>
                <w:sz w:val="21"/>
              </w:rPr>
            </w:pPr>
          </w:p>
        </w:tc>
        <w:tc>
          <w:tcPr>
            <w:tcW w:w="230" w:type="dxa"/>
            <w:vAlign w:val="top"/>
          </w:tcPr>
          <w:p w14:paraId="2618F3A3">
            <w:pPr>
              <w:rPr>
                <w:rFonts w:ascii="Arial"/>
                <w:sz w:val="21"/>
              </w:rPr>
            </w:pPr>
          </w:p>
        </w:tc>
        <w:tc>
          <w:tcPr>
            <w:tcW w:w="239" w:type="dxa"/>
            <w:vAlign w:val="top"/>
          </w:tcPr>
          <w:p w14:paraId="397D0F94">
            <w:pPr>
              <w:rPr>
                <w:rFonts w:ascii="Arial"/>
                <w:sz w:val="21"/>
              </w:rPr>
            </w:pPr>
          </w:p>
        </w:tc>
        <w:tc>
          <w:tcPr>
            <w:tcW w:w="224" w:type="dxa"/>
            <w:vAlign w:val="top"/>
          </w:tcPr>
          <w:p w14:paraId="021853D4">
            <w:pPr>
              <w:rPr>
                <w:rFonts w:ascii="Arial"/>
                <w:sz w:val="21"/>
              </w:rPr>
            </w:pPr>
          </w:p>
        </w:tc>
      </w:tr>
      <w:tr w14:paraId="499C3D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trPr>
        <w:tc>
          <w:tcPr>
            <w:tcW w:w="923" w:type="dxa"/>
            <w:vMerge w:val="restart"/>
            <w:tcBorders>
              <w:bottom w:val="nil"/>
            </w:tcBorders>
            <w:vAlign w:val="top"/>
          </w:tcPr>
          <w:p w14:paraId="0FA4B631">
            <w:pPr>
              <w:pStyle w:val="6"/>
              <w:spacing w:before="83" w:line="219" w:lineRule="auto"/>
              <w:ind w:left="24"/>
            </w:pPr>
            <w:r>
              <w:rPr>
                <w:spacing w:val="-1"/>
              </w:rPr>
              <w:t>会计机构与</w:t>
            </w:r>
          </w:p>
          <w:p w14:paraId="615593E9">
            <w:pPr>
              <w:pStyle w:val="6"/>
              <w:spacing w:before="18" w:line="219" w:lineRule="auto"/>
              <w:ind w:left="115"/>
            </w:pPr>
            <w:r>
              <w:rPr>
                <w:spacing w:val="5"/>
              </w:rPr>
              <w:t>会计人员</w:t>
            </w:r>
          </w:p>
        </w:tc>
        <w:tc>
          <w:tcPr>
            <w:tcW w:w="2294" w:type="dxa"/>
            <w:vAlign w:val="top"/>
          </w:tcPr>
          <w:p w14:paraId="4AE0BB23">
            <w:pPr>
              <w:pStyle w:val="6"/>
              <w:spacing w:before="53" w:line="219" w:lineRule="auto"/>
              <w:ind w:left="61"/>
            </w:pPr>
            <w:r>
              <w:rPr>
                <w:spacing w:val="1"/>
              </w:rPr>
              <w:t>1.会计机构</w:t>
            </w:r>
          </w:p>
        </w:tc>
        <w:tc>
          <w:tcPr>
            <w:tcW w:w="230" w:type="dxa"/>
            <w:vAlign w:val="top"/>
          </w:tcPr>
          <w:p w14:paraId="34B092FE">
            <w:pPr>
              <w:rPr>
                <w:rFonts w:ascii="Arial"/>
                <w:sz w:val="21"/>
              </w:rPr>
            </w:pPr>
          </w:p>
        </w:tc>
        <w:tc>
          <w:tcPr>
            <w:tcW w:w="230" w:type="dxa"/>
            <w:vAlign w:val="top"/>
          </w:tcPr>
          <w:p w14:paraId="7A55DAC5">
            <w:pPr>
              <w:rPr>
                <w:rFonts w:ascii="Arial"/>
                <w:sz w:val="21"/>
              </w:rPr>
            </w:pPr>
          </w:p>
        </w:tc>
        <w:tc>
          <w:tcPr>
            <w:tcW w:w="239" w:type="dxa"/>
            <w:vAlign w:val="top"/>
          </w:tcPr>
          <w:p w14:paraId="16AC9AC8">
            <w:pPr>
              <w:rPr>
                <w:rFonts w:ascii="Arial"/>
                <w:sz w:val="21"/>
              </w:rPr>
            </w:pPr>
          </w:p>
        </w:tc>
        <w:tc>
          <w:tcPr>
            <w:tcW w:w="224" w:type="dxa"/>
            <w:vAlign w:val="top"/>
          </w:tcPr>
          <w:p w14:paraId="714A0FEB">
            <w:pPr>
              <w:rPr>
                <w:rFonts w:ascii="Arial"/>
                <w:sz w:val="21"/>
              </w:rPr>
            </w:pPr>
          </w:p>
        </w:tc>
      </w:tr>
      <w:tr w14:paraId="6A0C14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923" w:type="dxa"/>
            <w:vMerge w:val="continue"/>
            <w:tcBorders>
              <w:top w:val="nil"/>
            </w:tcBorders>
            <w:vAlign w:val="top"/>
          </w:tcPr>
          <w:p w14:paraId="1A3AB19B">
            <w:pPr>
              <w:rPr>
                <w:rFonts w:ascii="Arial"/>
                <w:sz w:val="21"/>
              </w:rPr>
            </w:pPr>
          </w:p>
        </w:tc>
        <w:tc>
          <w:tcPr>
            <w:tcW w:w="2294" w:type="dxa"/>
            <w:vAlign w:val="top"/>
          </w:tcPr>
          <w:p w14:paraId="71CCB7B7">
            <w:pPr>
              <w:pStyle w:val="6"/>
              <w:spacing w:before="53" w:line="219" w:lineRule="auto"/>
              <w:ind w:left="61"/>
            </w:pPr>
            <w:r>
              <w:rPr>
                <w:spacing w:val="3"/>
              </w:rPr>
              <w:t>2.会计人员</w:t>
            </w:r>
          </w:p>
        </w:tc>
        <w:tc>
          <w:tcPr>
            <w:tcW w:w="230" w:type="dxa"/>
            <w:vAlign w:val="top"/>
          </w:tcPr>
          <w:p w14:paraId="7269A106">
            <w:pPr>
              <w:rPr>
                <w:rFonts w:ascii="Arial"/>
                <w:sz w:val="21"/>
              </w:rPr>
            </w:pPr>
          </w:p>
        </w:tc>
        <w:tc>
          <w:tcPr>
            <w:tcW w:w="230" w:type="dxa"/>
            <w:vAlign w:val="top"/>
          </w:tcPr>
          <w:p w14:paraId="41DC6528">
            <w:pPr>
              <w:rPr>
                <w:rFonts w:ascii="Arial"/>
                <w:sz w:val="21"/>
              </w:rPr>
            </w:pPr>
          </w:p>
        </w:tc>
        <w:tc>
          <w:tcPr>
            <w:tcW w:w="239" w:type="dxa"/>
            <w:vAlign w:val="top"/>
          </w:tcPr>
          <w:p w14:paraId="15D5AC54">
            <w:pPr>
              <w:rPr>
                <w:rFonts w:ascii="Arial"/>
                <w:sz w:val="21"/>
              </w:rPr>
            </w:pPr>
          </w:p>
        </w:tc>
        <w:tc>
          <w:tcPr>
            <w:tcW w:w="224" w:type="dxa"/>
            <w:vAlign w:val="top"/>
          </w:tcPr>
          <w:p w14:paraId="6A4A7021">
            <w:pPr>
              <w:rPr>
                <w:rFonts w:ascii="Arial"/>
                <w:sz w:val="21"/>
              </w:rPr>
            </w:pPr>
          </w:p>
        </w:tc>
      </w:tr>
      <w:tr w14:paraId="3926C8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9" w:hRule="atLeast"/>
        </w:trPr>
        <w:tc>
          <w:tcPr>
            <w:tcW w:w="923" w:type="dxa"/>
            <w:vMerge w:val="restart"/>
            <w:tcBorders>
              <w:bottom w:val="nil"/>
            </w:tcBorders>
            <w:vAlign w:val="top"/>
          </w:tcPr>
          <w:p w14:paraId="41285EA3">
            <w:pPr>
              <w:pStyle w:val="6"/>
              <w:spacing w:before="245" w:line="220" w:lineRule="auto"/>
              <w:ind w:left="115" w:right="101"/>
            </w:pPr>
            <w:r>
              <w:rPr>
                <w:spacing w:val="-2"/>
              </w:rPr>
              <w:t>会计法律</w:t>
            </w:r>
            <w:r>
              <w:rPr>
                <w:spacing w:val="1"/>
              </w:rPr>
              <w:t xml:space="preserve"> </w:t>
            </w:r>
            <w:r>
              <w:rPr>
                <w:spacing w:val="3"/>
              </w:rPr>
              <w:t>规范体系</w:t>
            </w:r>
          </w:p>
        </w:tc>
        <w:tc>
          <w:tcPr>
            <w:tcW w:w="2294" w:type="dxa"/>
            <w:vAlign w:val="top"/>
          </w:tcPr>
          <w:p w14:paraId="1F4B0B2B">
            <w:pPr>
              <w:pStyle w:val="6"/>
              <w:spacing w:before="64" w:line="219" w:lineRule="auto"/>
              <w:ind w:left="61"/>
            </w:pPr>
            <w:r>
              <w:rPr>
                <w:spacing w:val="1"/>
              </w:rPr>
              <w:t>1.会计法律</w:t>
            </w:r>
          </w:p>
        </w:tc>
        <w:tc>
          <w:tcPr>
            <w:tcW w:w="230" w:type="dxa"/>
            <w:vAlign w:val="top"/>
          </w:tcPr>
          <w:p w14:paraId="418A8ED2">
            <w:pPr>
              <w:rPr>
                <w:rFonts w:ascii="Arial"/>
                <w:sz w:val="21"/>
              </w:rPr>
            </w:pPr>
          </w:p>
        </w:tc>
        <w:tc>
          <w:tcPr>
            <w:tcW w:w="230" w:type="dxa"/>
            <w:vAlign w:val="top"/>
          </w:tcPr>
          <w:p w14:paraId="4557A7DF">
            <w:pPr>
              <w:rPr>
                <w:rFonts w:ascii="Arial"/>
                <w:sz w:val="21"/>
              </w:rPr>
            </w:pPr>
          </w:p>
        </w:tc>
        <w:tc>
          <w:tcPr>
            <w:tcW w:w="239" w:type="dxa"/>
            <w:vAlign w:val="top"/>
          </w:tcPr>
          <w:p w14:paraId="4A41119D">
            <w:pPr>
              <w:rPr>
                <w:rFonts w:ascii="Arial"/>
                <w:sz w:val="21"/>
              </w:rPr>
            </w:pPr>
          </w:p>
        </w:tc>
        <w:tc>
          <w:tcPr>
            <w:tcW w:w="224" w:type="dxa"/>
            <w:vAlign w:val="top"/>
          </w:tcPr>
          <w:p w14:paraId="012C7D80">
            <w:pPr>
              <w:rPr>
                <w:rFonts w:ascii="Arial"/>
                <w:sz w:val="21"/>
              </w:rPr>
            </w:pPr>
          </w:p>
        </w:tc>
      </w:tr>
      <w:tr w14:paraId="3BBE04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trPr>
        <w:tc>
          <w:tcPr>
            <w:tcW w:w="923" w:type="dxa"/>
            <w:vMerge w:val="continue"/>
            <w:tcBorders>
              <w:top w:val="nil"/>
              <w:bottom w:val="nil"/>
            </w:tcBorders>
            <w:vAlign w:val="top"/>
          </w:tcPr>
          <w:p w14:paraId="6D888661">
            <w:pPr>
              <w:rPr>
                <w:rFonts w:ascii="Arial"/>
                <w:sz w:val="21"/>
              </w:rPr>
            </w:pPr>
          </w:p>
        </w:tc>
        <w:tc>
          <w:tcPr>
            <w:tcW w:w="2294" w:type="dxa"/>
            <w:vAlign w:val="top"/>
          </w:tcPr>
          <w:p w14:paraId="24F01C6B">
            <w:pPr>
              <w:pStyle w:val="6"/>
              <w:spacing w:before="55" w:line="219" w:lineRule="auto"/>
              <w:ind w:left="61"/>
            </w:pPr>
            <w:r>
              <w:rPr>
                <w:spacing w:val="-2"/>
              </w:rPr>
              <w:t>2.会计法规</w:t>
            </w:r>
          </w:p>
        </w:tc>
        <w:tc>
          <w:tcPr>
            <w:tcW w:w="230" w:type="dxa"/>
            <w:vAlign w:val="top"/>
          </w:tcPr>
          <w:p w14:paraId="3C193D22">
            <w:pPr>
              <w:rPr>
                <w:rFonts w:ascii="Arial"/>
                <w:sz w:val="21"/>
              </w:rPr>
            </w:pPr>
          </w:p>
        </w:tc>
        <w:tc>
          <w:tcPr>
            <w:tcW w:w="230" w:type="dxa"/>
            <w:vAlign w:val="top"/>
          </w:tcPr>
          <w:p w14:paraId="5AD257EB">
            <w:pPr>
              <w:rPr>
                <w:rFonts w:ascii="Arial"/>
                <w:sz w:val="21"/>
              </w:rPr>
            </w:pPr>
          </w:p>
        </w:tc>
        <w:tc>
          <w:tcPr>
            <w:tcW w:w="239" w:type="dxa"/>
            <w:vAlign w:val="top"/>
          </w:tcPr>
          <w:p w14:paraId="4782CD18">
            <w:pPr>
              <w:rPr>
                <w:rFonts w:ascii="Arial"/>
                <w:sz w:val="21"/>
              </w:rPr>
            </w:pPr>
          </w:p>
        </w:tc>
        <w:tc>
          <w:tcPr>
            <w:tcW w:w="224" w:type="dxa"/>
            <w:vAlign w:val="top"/>
          </w:tcPr>
          <w:p w14:paraId="79DA8215">
            <w:pPr>
              <w:rPr>
                <w:rFonts w:ascii="Arial"/>
                <w:sz w:val="21"/>
              </w:rPr>
            </w:pPr>
          </w:p>
        </w:tc>
      </w:tr>
      <w:tr w14:paraId="2A4D52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4" w:hRule="atLeast"/>
        </w:trPr>
        <w:tc>
          <w:tcPr>
            <w:tcW w:w="923" w:type="dxa"/>
            <w:vMerge w:val="continue"/>
            <w:tcBorders>
              <w:top w:val="nil"/>
            </w:tcBorders>
            <w:vAlign w:val="top"/>
          </w:tcPr>
          <w:p w14:paraId="70AC8223">
            <w:pPr>
              <w:rPr>
                <w:rFonts w:ascii="Arial"/>
                <w:sz w:val="21"/>
              </w:rPr>
            </w:pPr>
          </w:p>
        </w:tc>
        <w:tc>
          <w:tcPr>
            <w:tcW w:w="2294" w:type="dxa"/>
            <w:vAlign w:val="top"/>
          </w:tcPr>
          <w:p w14:paraId="10889867">
            <w:pPr>
              <w:pStyle w:val="6"/>
              <w:spacing w:before="55" w:line="219" w:lineRule="auto"/>
              <w:ind w:left="61"/>
            </w:pPr>
            <w:r>
              <w:rPr>
                <w:spacing w:val="2"/>
              </w:rPr>
              <w:t>3.会计规章</w:t>
            </w:r>
          </w:p>
        </w:tc>
        <w:tc>
          <w:tcPr>
            <w:tcW w:w="230" w:type="dxa"/>
            <w:vAlign w:val="top"/>
          </w:tcPr>
          <w:p w14:paraId="14FE9D3D">
            <w:pPr>
              <w:rPr>
                <w:rFonts w:ascii="Arial"/>
                <w:sz w:val="21"/>
              </w:rPr>
            </w:pPr>
          </w:p>
        </w:tc>
        <w:tc>
          <w:tcPr>
            <w:tcW w:w="230" w:type="dxa"/>
            <w:vAlign w:val="top"/>
          </w:tcPr>
          <w:p w14:paraId="627523DC">
            <w:pPr>
              <w:rPr>
                <w:rFonts w:ascii="Arial"/>
                <w:sz w:val="21"/>
              </w:rPr>
            </w:pPr>
          </w:p>
        </w:tc>
        <w:tc>
          <w:tcPr>
            <w:tcW w:w="239" w:type="dxa"/>
            <w:vAlign w:val="top"/>
          </w:tcPr>
          <w:p w14:paraId="43E42C23">
            <w:pPr>
              <w:rPr>
                <w:rFonts w:ascii="Arial"/>
                <w:sz w:val="21"/>
              </w:rPr>
            </w:pPr>
          </w:p>
        </w:tc>
        <w:tc>
          <w:tcPr>
            <w:tcW w:w="224" w:type="dxa"/>
            <w:vAlign w:val="top"/>
          </w:tcPr>
          <w:p w14:paraId="04A2B526">
            <w:pPr>
              <w:rPr>
                <w:rFonts w:ascii="Arial"/>
                <w:sz w:val="21"/>
              </w:rPr>
            </w:pPr>
          </w:p>
        </w:tc>
      </w:tr>
    </w:tbl>
    <w:p w14:paraId="286E43CE">
      <w:pPr>
        <w:spacing w:before="121" w:line="222" w:lineRule="auto"/>
        <w:ind w:left="832"/>
        <w:rPr>
          <w:rFonts w:ascii="黑体" w:hAnsi="黑体" w:eastAsia="黑体" w:cs="黑体"/>
          <w:sz w:val="21"/>
          <w:szCs w:val="21"/>
        </w:rPr>
      </w:pPr>
      <w:r>
        <w:rPr>
          <w:rFonts w:ascii="黑体" w:hAnsi="黑体" w:eastAsia="黑体" w:cs="黑体"/>
          <w:b/>
          <w:bCs/>
          <w:spacing w:val="-4"/>
          <w:sz w:val="21"/>
          <w:szCs w:val="21"/>
        </w:rPr>
        <w:t>(二)会计要素及会计平衡公式</w:t>
      </w:r>
    </w:p>
    <w:p w14:paraId="6E00050B">
      <w:pPr>
        <w:spacing w:line="74" w:lineRule="auto"/>
        <w:rPr>
          <w:rFonts w:ascii="Arial"/>
          <w:sz w:val="2"/>
        </w:rPr>
      </w:pPr>
    </w:p>
    <w:tbl>
      <w:tblPr>
        <w:tblStyle w:val="5"/>
        <w:tblW w:w="4140"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43"/>
        <w:gridCol w:w="2284"/>
        <w:gridCol w:w="220"/>
        <w:gridCol w:w="229"/>
        <w:gridCol w:w="230"/>
        <w:gridCol w:w="234"/>
      </w:tblGrid>
      <w:tr w14:paraId="6EF00E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4" w:hRule="atLeast"/>
        </w:trPr>
        <w:tc>
          <w:tcPr>
            <w:tcW w:w="943" w:type="dxa"/>
            <w:vMerge w:val="restart"/>
            <w:tcBorders>
              <w:bottom w:val="nil"/>
            </w:tcBorders>
            <w:vAlign w:val="top"/>
          </w:tcPr>
          <w:p w14:paraId="1069F40A">
            <w:pPr>
              <w:pStyle w:val="6"/>
              <w:spacing w:before="171" w:line="224" w:lineRule="auto"/>
              <w:ind w:left="127" w:right="132" w:firstLine="80"/>
            </w:pPr>
            <w:r>
              <w:rPr>
                <w:b/>
                <w:bCs/>
                <w:spacing w:val="-6"/>
              </w:rPr>
              <w:t>知识与</w:t>
            </w:r>
            <w:r>
              <w:t xml:space="preserve">  </w:t>
            </w:r>
            <w:r>
              <w:rPr>
                <w:b/>
                <w:bCs/>
                <w:spacing w:val="-4"/>
              </w:rPr>
              <w:t>技能要点</w:t>
            </w:r>
          </w:p>
        </w:tc>
        <w:tc>
          <w:tcPr>
            <w:tcW w:w="2284" w:type="dxa"/>
            <w:vMerge w:val="restart"/>
            <w:tcBorders>
              <w:bottom w:val="nil"/>
            </w:tcBorders>
            <w:vAlign w:val="top"/>
          </w:tcPr>
          <w:p w14:paraId="4E9FB0C5">
            <w:pPr>
              <w:pStyle w:val="6"/>
              <w:spacing w:before="269" w:line="219" w:lineRule="auto"/>
              <w:ind w:left="824"/>
            </w:pPr>
            <w:r>
              <w:rPr>
                <w:b/>
                <w:bCs/>
                <w:spacing w:val="5"/>
              </w:rPr>
              <w:t>考试条目</w:t>
            </w:r>
          </w:p>
        </w:tc>
        <w:tc>
          <w:tcPr>
            <w:tcW w:w="913" w:type="dxa"/>
            <w:gridSpan w:val="4"/>
            <w:vAlign w:val="top"/>
          </w:tcPr>
          <w:p w14:paraId="32C21F56">
            <w:pPr>
              <w:pStyle w:val="6"/>
              <w:spacing w:before="99" w:line="219" w:lineRule="auto"/>
              <w:ind w:left="110"/>
            </w:pPr>
            <w:r>
              <w:rPr>
                <w:b/>
                <w:bCs/>
                <w:spacing w:val="-4"/>
              </w:rPr>
              <w:t>考试水平</w:t>
            </w:r>
          </w:p>
        </w:tc>
      </w:tr>
      <w:tr w14:paraId="645C29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9" w:hRule="atLeast"/>
        </w:trPr>
        <w:tc>
          <w:tcPr>
            <w:tcW w:w="943" w:type="dxa"/>
            <w:vMerge w:val="continue"/>
            <w:tcBorders>
              <w:top w:val="nil"/>
            </w:tcBorders>
            <w:vAlign w:val="top"/>
          </w:tcPr>
          <w:p w14:paraId="4F48775D">
            <w:pPr>
              <w:rPr>
                <w:rFonts w:ascii="Arial"/>
                <w:sz w:val="21"/>
              </w:rPr>
            </w:pPr>
          </w:p>
        </w:tc>
        <w:tc>
          <w:tcPr>
            <w:tcW w:w="2284" w:type="dxa"/>
            <w:vMerge w:val="continue"/>
            <w:tcBorders>
              <w:top w:val="nil"/>
            </w:tcBorders>
            <w:vAlign w:val="top"/>
          </w:tcPr>
          <w:p w14:paraId="160AE7A0">
            <w:pPr>
              <w:rPr>
                <w:rFonts w:ascii="Arial"/>
                <w:sz w:val="21"/>
              </w:rPr>
            </w:pPr>
          </w:p>
        </w:tc>
        <w:tc>
          <w:tcPr>
            <w:tcW w:w="220" w:type="dxa"/>
            <w:vAlign w:val="top"/>
          </w:tcPr>
          <w:p w14:paraId="1D73B88D">
            <w:pPr>
              <w:pStyle w:val="6"/>
              <w:spacing w:before="121" w:line="184" w:lineRule="auto"/>
              <w:ind w:left="20"/>
            </w:pPr>
            <w:r>
              <w:rPr>
                <w:b/>
                <w:bCs/>
                <w:spacing w:val="-2"/>
              </w:rPr>
              <w:t>A</w:t>
            </w:r>
          </w:p>
        </w:tc>
        <w:tc>
          <w:tcPr>
            <w:tcW w:w="229" w:type="dxa"/>
            <w:vAlign w:val="top"/>
          </w:tcPr>
          <w:p w14:paraId="0600D327">
            <w:pPr>
              <w:pStyle w:val="6"/>
              <w:spacing w:before="122" w:line="182" w:lineRule="auto"/>
              <w:ind w:left="20"/>
            </w:pPr>
            <w:r>
              <w:rPr>
                <w:b/>
                <w:bCs/>
                <w:spacing w:val="-2"/>
              </w:rPr>
              <w:t>B</w:t>
            </w:r>
          </w:p>
        </w:tc>
        <w:tc>
          <w:tcPr>
            <w:tcW w:w="230" w:type="dxa"/>
            <w:vAlign w:val="top"/>
          </w:tcPr>
          <w:p w14:paraId="2A41CA70">
            <w:pPr>
              <w:pStyle w:val="6"/>
              <w:spacing w:before="124" w:line="183" w:lineRule="auto"/>
              <w:ind w:left="58"/>
              <w:rPr>
                <w:sz w:val="18"/>
                <w:szCs w:val="18"/>
              </w:rPr>
            </w:pPr>
            <w:r>
              <w:rPr>
                <w:sz w:val="18"/>
                <w:szCs w:val="18"/>
              </w:rPr>
              <w:t>C</w:t>
            </w:r>
          </w:p>
        </w:tc>
        <w:tc>
          <w:tcPr>
            <w:tcW w:w="234" w:type="dxa"/>
            <w:vAlign w:val="top"/>
          </w:tcPr>
          <w:p w14:paraId="0F4EC3AB">
            <w:pPr>
              <w:pStyle w:val="6"/>
              <w:spacing w:before="122" w:line="182" w:lineRule="auto"/>
              <w:ind w:left="19"/>
            </w:pPr>
            <w:r>
              <w:t>D</w:t>
            </w:r>
          </w:p>
        </w:tc>
      </w:tr>
      <w:tr w14:paraId="635A9D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943" w:type="dxa"/>
            <w:vMerge w:val="restart"/>
            <w:tcBorders>
              <w:bottom w:val="nil"/>
            </w:tcBorders>
            <w:vAlign w:val="top"/>
          </w:tcPr>
          <w:p w14:paraId="71D039FD">
            <w:pPr>
              <w:spacing w:line="262" w:lineRule="auto"/>
              <w:rPr>
                <w:rFonts w:ascii="Arial"/>
                <w:sz w:val="21"/>
              </w:rPr>
            </w:pPr>
          </w:p>
          <w:p w14:paraId="0985E0FD">
            <w:pPr>
              <w:spacing w:line="262" w:lineRule="auto"/>
              <w:rPr>
                <w:rFonts w:ascii="Arial"/>
                <w:sz w:val="21"/>
              </w:rPr>
            </w:pPr>
          </w:p>
          <w:p w14:paraId="0E6FB3CB">
            <w:pPr>
              <w:spacing w:line="263" w:lineRule="auto"/>
              <w:rPr>
                <w:rFonts w:ascii="Arial"/>
                <w:sz w:val="21"/>
              </w:rPr>
            </w:pPr>
          </w:p>
          <w:p w14:paraId="17DBA936">
            <w:pPr>
              <w:pStyle w:val="6"/>
              <w:spacing w:before="56" w:line="219" w:lineRule="auto"/>
              <w:ind w:left="124"/>
            </w:pPr>
            <w:r>
              <w:rPr>
                <w:spacing w:val="-2"/>
              </w:rPr>
              <w:t>会计要素</w:t>
            </w:r>
          </w:p>
        </w:tc>
        <w:tc>
          <w:tcPr>
            <w:tcW w:w="2284" w:type="dxa"/>
            <w:vAlign w:val="top"/>
          </w:tcPr>
          <w:p w14:paraId="1C7E00AA">
            <w:pPr>
              <w:pStyle w:val="6"/>
              <w:spacing w:before="69" w:line="219" w:lineRule="auto"/>
              <w:ind w:left="11"/>
            </w:pPr>
            <w:r>
              <w:rPr>
                <w:spacing w:val="3"/>
              </w:rPr>
              <w:t>1.资产</w:t>
            </w:r>
          </w:p>
        </w:tc>
        <w:tc>
          <w:tcPr>
            <w:tcW w:w="220" w:type="dxa"/>
            <w:vAlign w:val="top"/>
          </w:tcPr>
          <w:p w14:paraId="0847DA40">
            <w:pPr>
              <w:rPr>
                <w:rFonts w:ascii="Arial"/>
                <w:sz w:val="21"/>
              </w:rPr>
            </w:pPr>
          </w:p>
        </w:tc>
        <w:tc>
          <w:tcPr>
            <w:tcW w:w="229" w:type="dxa"/>
            <w:vAlign w:val="top"/>
          </w:tcPr>
          <w:p w14:paraId="74329142">
            <w:pPr>
              <w:rPr>
                <w:rFonts w:ascii="Arial"/>
                <w:sz w:val="21"/>
              </w:rPr>
            </w:pPr>
          </w:p>
        </w:tc>
        <w:tc>
          <w:tcPr>
            <w:tcW w:w="230" w:type="dxa"/>
            <w:vAlign w:val="top"/>
          </w:tcPr>
          <w:p w14:paraId="5520966F">
            <w:pPr>
              <w:pStyle w:val="6"/>
              <w:spacing w:before="99" w:line="238" w:lineRule="auto"/>
              <w:ind w:left="18"/>
              <w:rPr>
                <w:sz w:val="12"/>
                <w:szCs w:val="12"/>
              </w:rPr>
            </w:pPr>
            <w:r>
              <w:rPr>
                <w:sz w:val="12"/>
                <w:szCs w:val="12"/>
              </w:rPr>
              <w:t>√</w:t>
            </w:r>
          </w:p>
        </w:tc>
        <w:tc>
          <w:tcPr>
            <w:tcW w:w="234" w:type="dxa"/>
            <w:vAlign w:val="top"/>
          </w:tcPr>
          <w:p w14:paraId="07521609">
            <w:pPr>
              <w:rPr>
                <w:rFonts w:ascii="Arial"/>
                <w:sz w:val="21"/>
              </w:rPr>
            </w:pPr>
          </w:p>
        </w:tc>
      </w:tr>
      <w:tr w14:paraId="2D4BC2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943" w:type="dxa"/>
            <w:vMerge w:val="continue"/>
            <w:tcBorders>
              <w:top w:val="nil"/>
              <w:bottom w:val="nil"/>
            </w:tcBorders>
            <w:vAlign w:val="top"/>
          </w:tcPr>
          <w:p w14:paraId="5BA824CF">
            <w:pPr>
              <w:rPr>
                <w:rFonts w:ascii="Arial"/>
                <w:sz w:val="21"/>
              </w:rPr>
            </w:pPr>
          </w:p>
        </w:tc>
        <w:tc>
          <w:tcPr>
            <w:tcW w:w="2284" w:type="dxa"/>
            <w:vAlign w:val="top"/>
          </w:tcPr>
          <w:p w14:paraId="6CE5E083">
            <w:pPr>
              <w:pStyle w:val="6"/>
              <w:spacing w:before="70" w:line="219" w:lineRule="auto"/>
              <w:ind w:left="11"/>
            </w:pPr>
            <w:r>
              <w:rPr>
                <w:spacing w:val="-1"/>
              </w:rPr>
              <w:t>2.负债</w:t>
            </w:r>
          </w:p>
        </w:tc>
        <w:tc>
          <w:tcPr>
            <w:tcW w:w="220" w:type="dxa"/>
            <w:vAlign w:val="top"/>
          </w:tcPr>
          <w:p w14:paraId="0A380BB3">
            <w:pPr>
              <w:rPr>
                <w:rFonts w:ascii="Arial"/>
                <w:sz w:val="21"/>
              </w:rPr>
            </w:pPr>
          </w:p>
        </w:tc>
        <w:tc>
          <w:tcPr>
            <w:tcW w:w="229" w:type="dxa"/>
            <w:vAlign w:val="top"/>
          </w:tcPr>
          <w:p w14:paraId="16081683">
            <w:pPr>
              <w:rPr>
                <w:rFonts w:ascii="Arial"/>
                <w:sz w:val="21"/>
              </w:rPr>
            </w:pPr>
          </w:p>
        </w:tc>
        <w:tc>
          <w:tcPr>
            <w:tcW w:w="230" w:type="dxa"/>
            <w:vAlign w:val="top"/>
          </w:tcPr>
          <w:p w14:paraId="7CEE7447">
            <w:pPr>
              <w:pStyle w:val="6"/>
              <w:spacing w:before="100" w:line="238" w:lineRule="auto"/>
              <w:ind w:left="18"/>
              <w:rPr>
                <w:sz w:val="12"/>
                <w:szCs w:val="12"/>
              </w:rPr>
            </w:pPr>
            <w:r>
              <w:rPr>
                <w:sz w:val="12"/>
                <w:szCs w:val="12"/>
              </w:rPr>
              <w:t>√</w:t>
            </w:r>
          </w:p>
        </w:tc>
        <w:tc>
          <w:tcPr>
            <w:tcW w:w="234" w:type="dxa"/>
            <w:vAlign w:val="top"/>
          </w:tcPr>
          <w:p w14:paraId="1E4CAE25">
            <w:pPr>
              <w:rPr>
                <w:rFonts w:ascii="Arial"/>
                <w:sz w:val="21"/>
              </w:rPr>
            </w:pPr>
          </w:p>
        </w:tc>
      </w:tr>
      <w:tr w14:paraId="20884C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943" w:type="dxa"/>
            <w:vMerge w:val="continue"/>
            <w:tcBorders>
              <w:top w:val="nil"/>
              <w:bottom w:val="nil"/>
            </w:tcBorders>
            <w:vAlign w:val="top"/>
          </w:tcPr>
          <w:p w14:paraId="7F01918B">
            <w:pPr>
              <w:rPr>
                <w:rFonts w:ascii="Arial"/>
                <w:sz w:val="21"/>
              </w:rPr>
            </w:pPr>
          </w:p>
        </w:tc>
        <w:tc>
          <w:tcPr>
            <w:tcW w:w="2284" w:type="dxa"/>
            <w:vAlign w:val="top"/>
          </w:tcPr>
          <w:p w14:paraId="50E6681D">
            <w:pPr>
              <w:pStyle w:val="6"/>
              <w:spacing w:before="70" w:line="219" w:lineRule="auto"/>
              <w:ind w:left="11"/>
            </w:pPr>
            <w:r>
              <w:rPr>
                <w:spacing w:val="-2"/>
              </w:rPr>
              <w:t>3.所有者权益</w:t>
            </w:r>
          </w:p>
        </w:tc>
        <w:tc>
          <w:tcPr>
            <w:tcW w:w="220" w:type="dxa"/>
            <w:vAlign w:val="top"/>
          </w:tcPr>
          <w:p w14:paraId="1F3DC5CA">
            <w:pPr>
              <w:rPr>
                <w:rFonts w:ascii="Arial"/>
                <w:sz w:val="21"/>
              </w:rPr>
            </w:pPr>
          </w:p>
        </w:tc>
        <w:tc>
          <w:tcPr>
            <w:tcW w:w="229" w:type="dxa"/>
            <w:vAlign w:val="top"/>
          </w:tcPr>
          <w:p w14:paraId="1A7F62C9">
            <w:pPr>
              <w:rPr>
                <w:rFonts w:ascii="Arial"/>
                <w:sz w:val="21"/>
              </w:rPr>
            </w:pPr>
          </w:p>
        </w:tc>
        <w:tc>
          <w:tcPr>
            <w:tcW w:w="230" w:type="dxa"/>
            <w:vAlign w:val="top"/>
          </w:tcPr>
          <w:p w14:paraId="1088D8E4">
            <w:pPr>
              <w:pStyle w:val="6"/>
              <w:spacing w:before="99" w:line="238" w:lineRule="auto"/>
              <w:ind w:left="18"/>
              <w:rPr>
                <w:sz w:val="12"/>
                <w:szCs w:val="12"/>
              </w:rPr>
            </w:pPr>
            <w:r>
              <w:rPr>
                <w:sz w:val="12"/>
                <w:szCs w:val="12"/>
              </w:rPr>
              <w:t>√</w:t>
            </w:r>
          </w:p>
        </w:tc>
        <w:tc>
          <w:tcPr>
            <w:tcW w:w="234" w:type="dxa"/>
            <w:vAlign w:val="top"/>
          </w:tcPr>
          <w:p w14:paraId="328545EE">
            <w:pPr>
              <w:rPr>
                <w:rFonts w:ascii="Arial"/>
                <w:sz w:val="21"/>
              </w:rPr>
            </w:pPr>
          </w:p>
        </w:tc>
      </w:tr>
      <w:tr w14:paraId="7267BE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0" w:hRule="atLeast"/>
        </w:trPr>
        <w:tc>
          <w:tcPr>
            <w:tcW w:w="943" w:type="dxa"/>
            <w:vMerge w:val="continue"/>
            <w:tcBorders>
              <w:top w:val="nil"/>
              <w:bottom w:val="nil"/>
            </w:tcBorders>
            <w:vAlign w:val="top"/>
          </w:tcPr>
          <w:p w14:paraId="759A3E05">
            <w:pPr>
              <w:rPr>
                <w:rFonts w:ascii="Arial"/>
                <w:sz w:val="21"/>
              </w:rPr>
            </w:pPr>
          </w:p>
        </w:tc>
        <w:tc>
          <w:tcPr>
            <w:tcW w:w="2284" w:type="dxa"/>
            <w:vAlign w:val="top"/>
          </w:tcPr>
          <w:p w14:paraId="1809E113">
            <w:pPr>
              <w:pStyle w:val="6"/>
              <w:spacing w:before="71" w:line="219" w:lineRule="auto"/>
              <w:ind w:left="11"/>
            </w:pPr>
            <w:r>
              <w:t>4.收入</w:t>
            </w:r>
          </w:p>
        </w:tc>
        <w:tc>
          <w:tcPr>
            <w:tcW w:w="220" w:type="dxa"/>
            <w:vAlign w:val="top"/>
          </w:tcPr>
          <w:p w14:paraId="6F238E06">
            <w:pPr>
              <w:rPr>
                <w:rFonts w:ascii="Arial"/>
                <w:sz w:val="21"/>
              </w:rPr>
            </w:pPr>
          </w:p>
        </w:tc>
        <w:tc>
          <w:tcPr>
            <w:tcW w:w="229" w:type="dxa"/>
            <w:vAlign w:val="top"/>
          </w:tcPr>
          <w:p w14:paraId="6AEAFD05">
            <w:pPr>
              <w:rPr>
                <w:rFonts w:ascii="Arial"/>
                <w:sz w:val="21"/>
              </w:rPr>
            </w:pPr>
          </w:p>
        </w:tc>
        <w:tc>
          <w:tcPr>
            <w:tcW w:w="230" w:type="dxa"/>
            <w:vAlign w:val="top"/>
          </w:tcPr>
          <w:p w14:paraId="251475C4">
            <w:pPr>
              <w:pStyle w:val="6"/>
              <w:spacing w:before="110" w:line="238" w:lineRule="auto"/>
              <w:ind w:left="18"/>
              <w:rPr>
                <w:sz w:val="12"/>
                <w:szCs w:val="12"/>
              </w:rPr>
            </w:pPr>
            <w:r>
              <w:rPr>
                <w:sz w:val="12"/>
                <w:szCs w:val="12"/>
              </w:rPr>
              <w:t>√</w:t>
            </w:r>
          </w:p>
        </w:tc>
        <w:tc>
          <w:tcPr>
            <w:tcW w:w="234" w:type="dxa"/>
            <w:vAlign w:val="top"/>
          </w:tcPr>
          <w:p w14:paraId="1E3BECDD">
            <w:pPr>
              <w:rPr>
                <w:rFonts w:ascii="Arial"/>
                <w:sz w:val="21"/>
              </w:rPr>
            </w:pPr>
          </w:p>
        </w:tc>
      </w:tr>
      <w:tr w14:paraId="50B51C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943" w:type="dxa"/>
            <w:vMerge w:val="continue"/>
            <w:tcBorders>
              <w:top w:val="nil"/>
              <w:bottom w:val="nil"/>
            </w:tcBorders>
            <w:vAlign w:val="top"/>
          </w:tcPr>
          <w:p w14:paraId="01B56F8D">
            <w:pPr>
              <w:rPr>
                <w:rFonts w:ascii="Arial"/>
                <w:sz w:val="21"/>
              </w:rPr>
            </w:pPr>
          </w:p>
        </w:tc>
        <w:tc>
          <w:tcPr>
            <w:tcW w:w="2284" w:type="dxa"/>
            <w:vAlign w:val="top"/>
          </w:tcPr>
          <w:p w14:paraId="2238026F">
            <w:pPr>
              <w:pStyle w:val="6"/>
              <w:spacing w:before="71" w:line="220" w:lineRule="auto"/>
              <w:ind w:left="11"/>
            </w:pPr>
            <w:r>
              <w:rPr>
                <w:spacing w:val="5"/>
              </w:rPr>
              <w:t>5.费用</w:t>
            </w:r>
          </w:p>
        </w:tc>
        <w:tc>
          <w:tcPr>
            <w:tcW w:w="220" w:type="dxa"/>
            <w:vAlign w:val="top"/>
          </w:tcPr>
          <w:p w14:paraId="1C801F97">
            <w:pPr>
              <w:rPr>
                <w:rFonts w:ascii="Arial"/>
                <w:sz w:val="21"/>
              </w:rPr>
            </w:pPr>
          </w:p>
        </w:tc>
        <w:tc>
          <w:tcPr>
            <w:tcW w:w="229" w:type="dxa"/>
            <w:vAlign w:val="top"/>
          </w:tcPr>
          <w:p w14:paraId="6528EA29">
            <w:pPr>
              <w:rPr>
                <w:rFonts w:ascii="Arial"/>
                <w:sz w:val="21"/>
              </w:rPr>
            </w:pPr>
          </w:p>
        </w:tc>
        <w:tc>
          <w:tcPr>
            <w:tcW w:w="230" w:type="dxa"/>
            <w:vAlign w:val="top"/>
          </w:tcPr>
          <w:p w14:paraId="15312030">
            <w:pPr>
              <w:rPr>
                <w:rFonts w:ascii="Arial"/>
                <w:sz w:val="21"/>
              </w:rPr>
            </w:pPr>
          </w:p>
        </w:tc>
        <w:tc>
          <w:tcPr>
            <w:tcW w:w="234" w:type="dxa"/>
            <w:vAlign w:val="top"/>
          </w:tcPr>
          <w:p w14:paraId="48F55841">
            <w:pPr>
              <w:rPr>
                <w:rFonts w:ascii="Arial"/>
                <w:sz w:val="21"/>
              </w:rPr>
            </w:pPr>
          </w:p>
        </w:tc>
      </w:tr>
      <w:tr w14:paraId="6568FD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943" w:type="dxa"/>
            <w:vMerge w:val="continue"/>
            <w:tcBorders>
              <w:top w:val="nil"/>
            </w:tcBorders>
            <w:vAlign w:val="top"/>
          </w:tcPr>
          <w:p w14:paraId="26B727FA">
            <w:pPr>
              <w:rPr>
                <w:rFonts w:ascii="Arial"/>
                <w:sz w:val="21"/>
              </w:rPr>
            </w:pPr>
          </w:p>
        </w:tc>
        <w:tc>
          <w:tcPr>
            <w:tcW w:w="2284" w:type="dxa"/>
            <w:vAlign w:val="top"/>
          </w:tcPr>
          <w:p w14:paraId="0860CEE8">
            <w:pPr>
              <w:pStyle w:val="6"/>
              <w:spacing w:before="72" w:line="220" w:lineRule="auto"/>
              <w:ind w:left="11"/>
            </w:pPr>
            <w:r>
              <w:rPr>
                <w:spacing w:val="3"/>
              </w:rPr>
              <w:t>6.利润</w:t>
            </w:r>
          </w:p>
        </w:tc>
        <w:tc>
          <w:tcPr>
            <w:tcW w:w="220" w:type="dxa"/>
            <w:vAlign w:val="top"/>
          </w:tcPr>
          <w:p w14:paraId="71E3BCD8">
            <w:pPr>
              <w:rPr>
                <w:rFonts w:ascii="Arial"/>
                <w:sz w:val="21"/>
              </w:rPr>
            </w:pPr>
          </w:p>
        </w:tc>
        <w:tc>
          <w:tcPr>
            <w:tcW w:w="229" w:type="dxa"/>
            <w:vAlign w:val="top"/>
          </w:tcPr>
          <w:p w14:paraId="6CE0548A">
            <w:pPr>
              <w:rPr>
                <w:rFonts w:ascii="Arial"/>
                <w:sz w:val="21"/>
              </w:rPr>
            </w:pPr>
          </w:p>
        </w:tc>
        <w:tc>
          <w:tcPr>
            <w:tcW w:w="230" w:type="dxa"/>
            <w:vAlign w:val="top"/>
          </w:tcPr>
          <w:p w14:paraId="2D30D0DD">
            <w:pPr>
              <w:rPr>
                <w:rFonts w:ascii="Arial"/>
                <w:sz w:val="21"/>
              </w:rPr>
            </w:pPr>
          </w:p>
        </w:tc>
        <w:tc>
          <w:tcPr>
            <w:tcW w:w="234" w:type="dxa"/>
            <w:vAlign w:val="top"/>
          </w:tcPr>
          <w:p w14:paraId="70D6CBE7">
            <w:pPr>
              <w:rPr>
                <w:rFonts w:ascii="Arial"/>
                <w:sz w:val="21"/>
              </w:rPr>
            </w:pPr>
          </w:p>
        </w:tc>
      </w:tr>
      <w:tr w14:paraId="523DE0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943" w:type="dxa"/>
            <w:vMerge w:val="restart"/>
            <w:tcBorders>
              <w:bottom w:val="nil"/>
            </w:tcBorders>
            <w:vAlign w:val="top"/>
          </w:tcPr>
          <w:p w14:paraId="76D43458">
            <w:pPr>
              <w:pStyle w:val="6"/>
              <w:spacing w:before="131" w:line="219" w:lineRule="auto"/>
              <w:ind w:left="205" w:right="223"/>
            </w:pPr>
            <w:r>
              <w:rPr>
                <w:spacing w:val="-2"/>
              </w:rPr>
              <w:t>会计核</w:t>
            </w:r>
            <w:r>
              <w:t xml:space="preserve"> </w:t>
            </w:r>
            <w:r>
              <w:rPr>
                <w:spacing w:val="-3"/>
              </w:rPr>
              <w:t>算方法</w:t>
            </w:r>
          </w:p>
        </w:tc>
        <w:tc>
          <w:tcPr>
            <w:tcW w:w="2284" w:type="dxa"/>
            <w:vAlign w:val="top"/>
          </w:tcPr>
          <w:p w14:paraId="31004526">
            <w:pPr>
              <w:pStyle w:val="6"/>
              <w:spacing w:before="71" w:line="219" w:lineRule="auto"/>
              <w:ind w:left="11"/>
            </w:pPr>
            <w:r>
              <w:t>1.会计核算方法的内容</w:t>
            </w:r>
          </w:p>
        </w:tc>
        <w:tc>
          <w:tcPr>
            <w:tcW w:w="220" w:type="dxa"/>
            <w:vAlign w:val="top"/>
          </w:tcPr>
          <w:p w14:paraId="6F407365">
            <w:pPr>
              <w:rPr>
                <w:rFonts w:ascii="Arial"/>
                <w:sz w:val="21"/>
              </w:rPr>
            </w:pPr>
          </w:p>
        </w:tc>
        <w:tc>
          <w:tcPr>
            <w:tcW w:w="229" w:type="dxa"/>
            <w:vAlign w:val="top"/>
          </w:tcPr>
          <w:p w14:paraId="15885AEB">
            <w:pPr>
              <w:rPr>
                <w:rFonts w:ascii="Arial"/>
                <w:sz w:val="21"/>
              </w:rPr>
            </w:pPr>
          </w:p>
        </w:tc>
        <w:tc>
          <w:tcPr>
            <w:tcW w:w="230" w:type="dxa"/>
            <w:vAlign w:val="top"/>
          </w:tcPr>
          <w:p w14:paraId="1CA68BAD">
            <w:pPr>
              <w:rPr>
                <w:rFonts w:ascii="Arial"/>
                <w:sz w:val="21"/>
              </w:rPr>
            </w:pPr>
          </w:p>
        </w:tc>
        <w:tc>
          <w:tcPr>
            <w:tcW w:w="234" w:type="dxa"/>
            <w:vAlign w:val="top"/>
          </w:tcPr>
          <w:p w14:paraId="0BA5D5C7">
            <w:pPr>
              <w:rPr>
                <w:rFonts w:ascii="Arial"/>
                <w:sz w:val="21"/>
              </w:rPr>
            </w:pPr>
          </w:p>
        </w:tc>
      </w:tr>
      <w:tr w14:paraId="5B014B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943" w:type="dxa"/>
            <w:vMerge w:val="continue"/>
            <w:tcBorders>
              <w:top w:val="nil"/>
            </w:tcBorders>
            <w:vAlign w:val="top"/>
          </w:tcPr>
          <w:p w14:paraId="10BE197A">
            <w:pPr>
              <w:rPr>
                <w:rFonts w:ascii="Arial"/>
                <w:sz w:val="21"/>
              </w:rPr>
            </w:pPr>
          </w:p>
        </w:tc>
        <w:tc>
          <w:tcPr>
            <w:tcW w:w="2284" w:type="dxa"/>
            <w:vAlign w:val="top"/>
          </w:tcPr>
          <w:p w14:paraId="76CBF06F">
            <w:pPr>
              <w:pStyle w:val="6"/>
              <w:spacing w:before="72" w:line="219" w:lineRule="auto"/>
              <w:ind w:left="11"/>
            </w:pPr>
            <w:r>
              <w:rPr>
                <w:spacing w:val="1"/>
              </w:rPr>
              <w:t>2.会计核算方法体系</w:t>
            </w:r>
          </w:p>
        </w:tc>
        <w:tc>
          <w:tcPr>
            <w:tcW w:w="220" w:type="dxa"/>
            <w:vAlign w:val="top"/>
          </w:tcPr>
          <w:p w14:paraId="7A178B14">
            <w:pPr>
              <w:rPr>
                <w:rFonts w:ascii="Arial"/>
                <w:sz w:val="21"/>
              </w:rPr>
            </w:pPr>
          </w:p>
        </w:tc>
        <w:tc>
          <w:tcPr>
            <w:tcW w:w="229" w:type="dxa"/>
            <w:vAlign w:val="top"/>
          </w:tcPr>
          <w:p w14:paraId="2EA31287">
            <w:pPr>
              <w:rPr>
                <w:rFonts w:ascii="Arial"/>
                <w:sz w:val="21"/>
              </w:rPr>
            </w:pPr>
          </w:p>
        </w:tc>
        <w:tc>
          <w:tcPr>
            <w:tcW w:w="230" w:type="dxa"/>
            <w:vAlign w:val="top"/>
          </w:tcPr>
          <w:p w14:paraId="4D45469E">
            <w:pPr>
              <w:rPr>
                <w:rFonts w:ascii="Arial"/>
                <w:sz w:val="21"/>
              </w:rPr>
            </w:pPr>
          </w:p>
        </w:tc>
        <w:tc>
          <w:tcPr>
            <w:tcW w:w="234" w:type="dxa"/>
            <w:vAlign w:val="top"/>
          </w:tcPr>
          <w:p w14:paraId="397BA7D0">
            <w:pPr>
              <w:rPr>
                <w:rFonts w:ascii="Arial"/>
                <w:sz w:val="21"/>
              </w:rPr>
            </w:pPr>
          </w:p>
        </w:tc>
      </w:tr>
      <w:tr w14:paraId="09140D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9" w:hRule="atLeast"/>
        </w:trPr>
        <w:tc>
          <w:tcPr>
            <w:tcW w:w="943" w:type="dxa"/>
            <w:vMerge w:val="restart"/>
            <w:tcBorders>
              <w:bottom w:val="nil"/>
            </w:tcBorders>
            <w:vAlign w:val="top"/>
          </w:tcPr>
          <w:p w14:paraId="37BD78E9">
            <w:pPr>
              <w:pStyle w:val="6"/>
              <w:spacing w:before="34" w:line="225" w:lineRule="auto"/>
              <w:ind w:left="124" w:right="120"/>
              <w:jc w:val="both"/>
            </w:pPr>
            <w:r>
              <w:rPr>
                <w:spacing w:val="-2"/>
              </w:rPr>
              <w:t>会计要素</w:t>
            </w:r>
            <w:r>
              <w:rPr>
                <w:spacing w:val="1"/>
              </w:rPr>
              <w:t xml:space="preserve"> 的相互关</w:t>
            </w:r>
            <w:r>
              <w:rPr>
                <w:spacing w:val="2"/>
              </w:rPr>
              <w:t xml:space="preserve"> </w:t>
            </w:r>
            <w:r>
              <w:rPr>
                <w:spacing w:val="-3"/>
              </w:rPr>
              <w:t>系与会计</w:t>
            </w:r>
            <w:r>
              <w:t xml:space="preserve"> </w:t>
            </w:r>
            <w:r>
              <w:rPr>
                <w:spacing w:val="-2"/>
              </w:rPr>
              <w:t>平衡公式</w:t>
            </w:r>
          </w:p>
        </w:tc>
        <w:tc>
          <w:tcPr>
            <w:tcW w:w="2284" w:type="dxa"/>
            <w:vAlign w:val="top"/>
          </w:tcPr>
          <w:p w14:paraId="11625C8C">
            <w:pPr>
              <w:pStyle w:val="6"/>
              <w:spacing w:before="134" w:line="219" w:lineRule="auto"/>
              <w:ind w:left="11"/>
            </w:pPr>
            <w:r>
              <w:rPr>
                <w:spacing w:val="1"/>
              </w:rPr>
              <w:t>1.会计要素的相互关系</w:t>
            </w:r>
          </w:p>
        </w:tc>
        <w:tc>
          <w:tcPr>
            <w:tcW w:w="220" w:type="dxa"/>
            <w:vAlign w:val="top"/>
          </w:tcPr>
          <w:p w14:paraId="47635D27">
            <w:pPr>
              <w:rPr>
                <w:rFonts w:ascii="Arial"/>
                <w:sz w:val="21"/>
              </w:rPr>
            </w:pPr>
          </w:p>
        </w:tc>
        <w:tc>
          <w:tcPr>
            <w:tcW w:w="229" w:type="dxa"/>
            <w:vAlign w:val="top"/>
          </w:tcPr>
          <w:p w14:paraId="13BD3284">
            <w:pPr>
              <w:rPr>
                <w:rFonts w:ascii="Arial"/>
                <w:sz w:val="21"/>
              </w:rPr>
            </w:pPr>
          </w:p>
        </w:tc>
        <w:tc>
          <w:tcPr>
            <w:tcW w:w="230" w:type="dxa"/>
            <w:vAlign w:val="top"/>
          </w:tcPr>
          <w:p w14:paraId="6E786FB6">
            <w:pPr>
              <w:pStyle w:val="6"/>
              <w:spacing w:before="165" w:line="238" w:lineRule="auto"/>
              <w:ind w:left="18"/>
              <w:rPr>
                <w:sz w:val="12"/>
                <w:szCs w:val="12"/>
              </w:rPr>
            </w:pPr>
            <w:r>
              <w:rPr>
                <w:sz w:val="12"/>
                <w:szCs w:val="12"/>
              </w:rPr>
              <w:t>√</w:t>
            </w:r>
          </w:p>
        </w:tc>
        <w:tc>
          <w:tcPr>
            <w:tcW w:w="234" w:type="dxa"/>
            <w:vAlign w:val="top"/>
          </w:tcPr>
          <w:p w14:paraId="267C6794">
            <w:pPr>
              <w:rPr>
                <w:rFonts w:ascii="Arial"/>
                <w:sz w:val="21"/>
              </w:rPr>
            </w:pPr>
          </w:p>
        </w:tc>
      </w:tr>
      <w:tr w14:paraId="4D36C4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4" w:hRule="atLeast"/>
        </w:trPr>
        <w:tc>
          <w:tcPr>
            <w:tcW w:w="943" w:type="dxa"/>
            <w:vMerge w:val="continue"/>
            <w:tcBorders>
              <w:top w:val="nil"/>
            </w:tcBorders>
            <w:vAlign w:val="top"/>
          </w:tcPr>
          <w:p w14:paraId="34B25E39">
            <w:pPr>
              <w:rPr>
                <w:rFonts w:ascii="Arial"/>
                <w:sz w:val="21"/>
              </w:rPr>
            </w:pPr>
          </w:p>
        </w:tc>
        <w:tc>
          <w:tcPr>
            <w:tcW w:w="2284" w:type="dxa"/>
            <w:vAlign w:val="top"/>
          </w:tcPr>
          <w:p w14:paraId="7737B659">
            <w:pPr>
              <w:pStyle w:val="6"/>
              <w:spacing w:before="144" w:line="219" w:lineRule="auto"/>
              <w:ind w:left="11"/>
            </w:pPr>
            <w:r>
              <w:rPr>
                <w:spacing w:val="1"/>
              </w:rPr>
              <w:t>2.会计平衡公式关系</w:t>
            </w:r>
          </w:p>
        </w:tc>
        <w:tc>
          <w:tcPr>
            <w:tcW w:w="220" w:type="dxa"/>
            <w:vAlign w:val="top"/>
          </w:tcPr>
          <w:p w14:paraId="023F6D95">
            <w:pPr>
              <w:rPr>
                <w:rFonts w:ascii="Arial"/>
                <w:sz w:val="21"/>
              </w:rPr>
            </w:pPr>
          </w:p>
        </w:tc>
        <w:tc>
          <w:tcPr>
            <w:tcW w:w="229" w:type="dxa"/>
            <w:vAlign w:val="top"/>
          </w:tcPr>
          <w:p w14:paraId="365E7AEE">
            <w:pPr>
              <w:rPr>
                <w:rFonts w:ascii="Arial"/>
                <w:sz w:val="21"/>
              </w:rPr>
            </w:pPr>
          </w:p>
        </w:tc>
        <w:tc>
          <w:tcPr>
            <w:tcW w:w="230" w:type="dxa"/>
            <w:vAlign w:val="top"/>
          </w:tcPr>
          <w:p w14:paraId="12D79864">
            <w:pPr>
              <w:rPr>
                <w:rFonts w:ascii="Arial"/>
                <w:sz w:val="21"/>
              </w:rPr>
            </w:pPr>
          </w:p>
        </w:tc>
        <w:tc>
          <w:tcPr>
            <w:tcW w:w="234" w:type="dxa"/>
            <w:vAlign w:val="top"/>
          </w:tcPr>
          <w:p w14:paraId="71758F9A">
            <w:pPr>
              <w:pStyle w:val="6"/>
              <w:spacing w:before="176" w:line="238" w:lineRule="auto"/>
              <w:ind w:left="9"/>
              <w:rPr>
                <w:sz w:val="12"/>
                <w:szCs w:val="12"/>
              </w:rPr>
            </w:pPr>
            <w:r>
              <w:rPr>
                <w:sz w:val="12"/>
                <w:szCs w:val="12"/>
              </w:rPr>
              <w:t>√</w:t>
            </w:r>
          </w:p>
        </w:tc>
      </w:tr>
    </w:tbl>
    <w:p w14:paraId="61450738">
      <w:pPr>
        <w:spacing w:before="118" w:line="221" w:lineRule="auto"/>
        <w:ind w:left="1223"/>
        <w:rPr>
          <w:rFonts w:ascii="黑体" w:hAnsi="黑体" w:eastAsia="黑体" w:cs="黑体"/>
          <w:sz w:val="21"/>
          <w:szCs w:val="21"/>
        </w:rPr>
      </w:pPr>
      <w:r>
        <w:rPr>
          <w:rFonts w:ascii="黑体" w:hAnsi="黑体" w:eastAsia="黑体" w:cs="黑体"/>
          <w:b/>
          <w:bCs/>
          <w:spacing w:val="-1"/>
          <w:sz w:val="21"/>
          <w:szCs w:val="21"/>
        </w:rPr>
        <w:t>(三)账户与复式记账</w:t>
      </w:r>
    </w:p>
    <w:p w14:paraId="42F035D3">
      <w:pPr>
        <w:spacing w:line="20" w:lineRule="exact"/>
      </w:pPr>
    </w:p>
    <w:tbl>
      <w:tblPr>
        <w:tblStyle w:val="5"/>
        <w:tblW w:w="4130"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43"/>
        <w:gridCol w:w="2274"/>
        <w:gridCol w:w="230"/>
        <w:gridCol w:w="229"/>
        <w:gridCol w:w="220"/>
        <w:gridCol w:w="234"/>
      </w:tblGrid>
      <w:tr w14:paraId="41D60B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2" w:hRule="atLeast"/>
        </w:trPr>
        <w:tc>
          <w:tcPr>
            <w:tcW w:w="943" w:type="dxa"/>
            <w:vMerge w:val="restart"/>
            <w:tcBorders>
              <w:bottom w:val="nil"/>
            </w:tcBorders>
            <w:vAlign w:val="top"/>
          </w:tcPr>
          <w:p w14:paraId="357F1E9E">
            <w:pPr>
              <w:pStyle w:val="6"/>
              <w:spacing w:before="132" w:line="229" w:lineRule="auto"/>
              <w:ind w:left="127" w:right="132" w:firstLine="80"/>
            </w:pPr>
            <w:r>
              <w:rPr>
                <w:b/>
                <w:bCs/>
                <w:spacing w:val="-6"/>
              </w:rPr>
              <w:t>知识与</w:t>
            </w:r>
            <w:r>
              <w:t xml:space="preserve">  </w:t>
            </w:r>
            <w:r>
              <w:rPr>
                <w:b/>
                <w:bCs/>
                <w:spacing w:val="-4"/>
              </w:rPr>
              <w:t>技能要点</w:t>
            </w:r>
          </w:p>
        </w:tc>
        <w:tc>
          <w:tcPr>
            <w:tcW w:w="2274" w:type="dxa"/>
            <w:vMerge w:val="restart"/>
            <w:tcBorders>
              <w:bottom w:val="nil"/>
            </w:tcBorders>
            <w:vAlign w:val="top"/>
          </w:tcPr>
          <w:p w14:paraId="078D2EB1">
            <w:pPr>
              <w:pStyle w:val="6"/>
              <w:spacing w:before="239" w:line="219" w:lineRule="auto"/>
              <w:ind w:left="824"/>
            </w:pPr>
            <w:r>
              <w:rPr>
                <w:b/>
                <w:bCs/>
                <w:spacing w:val="5"/>
              </w:rPr>
              <w:t>考试条目</w:t>
            </w:r>
          </w:p>
        </w:tc>
        <w:tc>
          <w:tcPr>
            <w:tcW w:w="913" w:type="dxa"/>
            <w:gridSpan w:val="4"/>
            <w:vAlign w:val="top"/>
          </w:tcPr>
          <w:p w14:paraId="6AF64EED">
            <w:pPr>
              <w:pStyle w:val="6"/>
              <w:spacing w:before="89" w:line="219" w:lineRule="auto"/>
              <w:ind w:left="130"/>
            </w:pPr>
            <w:r>
              <w:rPr>
                <w:b/>
                <w:bCs/>
                <w:spacing w:val="-4"/>
              </w:rPr>
              <w:t>考试水平</w:t>
            </w:r>
          </w:p>
        </w:tc>
      </w:tr>
      <w:tr w14:paraId="6685DA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8" w:hRule="atLeast"/>
        </w:trPr>
        <w:tc>
          <w:tcPr>
            <w:tcW w:w="943" w:type="dxa"/>
            <w:vMerge w:val="continue"/>
            <w:tcBorders>
              <w:top w:val="nil"/>
            </w:tcBorders>
            <w:vAlign w:val="top"/>
          </w:tcPr>
          <w:p w14:paraId="41964F1D">
            <w:pPr>
              <w:rPr>
                <w:rFonts w:ascii="Arial"/>
                <w:sz w:val="21"/>
              </w:rPr>
            </w:pPr>
          </w:p>
        </w:tc>
        <w:tc>
          <w:tcPr>
            <w:tcW w:w="2274" w:type="dxa"/>
            <w:vMerge w:val="continue"/>
            <w:tcBorders>
              <w:top w:val="nil"/>
            </w:tcBorders>
            <w:vAlign w:val="top"/>
          </w:tcPr>
          <w:p w14:paraId="7534EF6C">
            <w:pPr>
              <w:rPr>
                <w:rFonts w:ascii="Arial"/>
                <w:sz w:val="21"/>
              </w:rPr>
            </w:pPr>
          </w:p>
        </w:tc>
        <w:tc>
          <w:tcPr>
            <w:tcW w:w="230" w:type="dxa"/>
            <w:vAlign w:val="top"/>
          </w:tcPr>
          <w:p w14:paraId="25FC81FC">
            <w:pPr>
              <w:pStyle w:val="6"/>
              <w:spacing w:before="112" w:line="184" w:lineRule="auto"/>
              <w:ind w:left="70"/>
            </w:pPr>
            <w:r>
              <w:rPr>
                <w:b/>
                <w:bCs/>
                <w:spacing w:val="-2"/>
              </w:rPr>
              <w:t>A</w:t>
            </w:r>
          </w:p>
        </w:tc>
        <w:tc>
          <w:tcPr>
            <w:tcW w:w="229" w:type="dxa"/>
            <w:vAlign w:val="top"/>
          </w:tcPr>
          <w:p w14:paraId="19536155">
            <w:pPr>
              <w:pStyle w:val="6"/>
              <w:spacing w:before="114" w:line="182" w:lineRule="auto"/>
              <w:ind w:left="20"/>
            </w:pPr>
            <w:r>
              <w:rPr>
                <w:b/>
                <w:bCs/>
                <w:spacing w:val="-2"/>
              </w:rPr>
              <w:t>B</w:t>
            </w:r>
          </w:p>
        </w:tc>
        <w:tc>
          <w:tcPr>
            <w:tcW w:w="220" w:type="dxa"/>
            <w:vAlign w:val="top"/>
          </w:tcPr>
          <w:p w14:paraId="0DC5F47D">
            <w:pPr>
              <w:pStyle w:val="6"/>
              <w:spacing w:before="113" w:line="183" w:lineRule="auto"/>
              <w:ind w:left="39"/>
            </w:pPr>
            <w:r>
              <w:t>C</w:t>
            </w:r>
          </w:p>
        </w:tc>
        <w:tc>
          <w:tcPr>
            <w:tcW w:w="234" w:type="dxa"/>
            <w:vAlign w:val="top"/>
          </w:tcPr>
          <w:p w14:paraId="21EBB60B">
            <w:pPr>
              <w:pStyle w:val="6"/>
              <w:spacing w:before="114" w:line="182" w:lineRule="auto"/>
              <w:ind w:left="21"/>
            </w:pPr>
            <w:r>
              <w:rPr>
                <w:b/>
                <w:bCs/>
                <w:spacing w:val="-2"/>
              </w:rPr>
              <w:t>D</w:t>
            </w:r>
          </w:p>
        </w:tc>
      </w:tr>
      <w:tr w14:paraId="3FD30F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8" w:hRule="atLeast"/>
        </w:trPr>
        <w:tc>
          <w:tcPr>
            <w:tcW w:w="943" w:type="dxa"/>
            <w:vMerge w:val="restart"/>
            <w:tcBorders>
              <w:bottom w:val="nil"/>
            </w:tcBorders>
            <w:vAlign w:val="top"/>
          </w:tcPr>
          <w:p w14:paraId="32B3E0CB">
            <w:pPr>
              <w:pStyle w:val="6"/>
              <w:spacing w:before="151" w:line="238" w:lineRule="auto"/>
              <w:ind w:left="204" w:right="95" w:hanging="80"/>
            </w:pPr>
            <w:r>
              <w:rPr>
                <w:spacing w:val="8"/>
              </w:rPr>
              <w:t>会计科目</w:t>
            </w:r>
            <w:r>
              <w:t xml:space="preserve"> </w:t>
            </w:r>
            <w:r>
              <w:rPr>
                <w:spacing w:val="7"/>
              </w:rPr>
              <w:t>与账户</w:t>
            </w:r>
          </w:p>
        </w:tc>
        <w:tc>
          <w:tcPr>
            <w:tcW w:w="2274" w:type="dxa"/>
            <w:vAlign w:val="top"/>
          </w:tcPr>
          <w:p w14:paraId="5A33EC05">
            <w:pPr>
              <w:pStyle w:val="6"/>
              <w:spacing w:before="81" w:line="219" w:lineRule="auto"/>
              <w:ind w:left="11"/>
            </w:pPr>
            <w:r>
              <w:rPr>
                <w:spacing w:val="5"/>
              </w:rPr>
              <w:t>1.会计科目</w:t>
            </w:r>
          </w:p>
        </w:tc>
        <w:tc>
          <w:tcPr>
            <w:tcW w:w="230" w:type="dxa"/>
            <w:vAlign w:val="top"/>
          </w:tcPr>
          <w:p w14:paraId="18EBF4E2">
            <w:pPr>
              <w:pStyle w:val="6"/>
              <w:spacing w:before="112" w:line="238" w:lineRule="auto"/>
              <w:ind w:left="47"/>
              <w:rPr>
                <w:sz w:val="12"/>
                <w:szCs w:val="12"/>
              </w:rPr>
            </w:pPr>
            <w:r>
              <w:rPr>
                <w:sz w:val="12"/>
                <w:szCs w:val="12"/>
              </w:rPr>
              <w:t>√</w:t>
            </w:r>
          </w:p>
        </w:tc>
        <w:tc>
          <w:tcPr>
            <w:tcW w:w="229" w:type="dxa"/>
            <w:vAlign w:val="top"/>
          </w:tcPr>
          <w:p w14:paraId="631AC3D9">
            <w:pPr>
              <w:rPr>
                <w:rFonts w:ascii="Arial"/>
                <w:sz w:val="21"/>
              </w:rPr>
            </w:pPr>
          </w:p>
        </w:tc>
        <w:tc>
          <w:tcPr>
            <w:tcW w:w="220" w:type="dxa"/>
            <w:vAlign w:val="top"/>
          </w:tcPr>
          <w:p w14:paraId="26C05DB5">
            <w:pPr>
              <w:rPr>
                <w:rFonts w:ascii="Arial"/>
                <w:sz w:val="21"/>
              </w:rPr>
            </w:pPr>
          </w:p>
        </w:tc>
        <w:tc>
          <w:tcPr>
            <w:tcW w:w="234" w:type="dxa"/>
            <w:vAlign w:val="top"/>
          </w:tcPr>
          <w:p w14:paraId="3BCBBE6C">
            <w:pPr>
              <w:rPr>
                <w:rFonts w:ascii="Arial"/>
                <w:sz w:val="21"/>
              </w:rPr>
            </w:pPr>
          </w:p>
        </w:tc>
      </w:tr>
      <w:tr w14:paraId="30D607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2" w:hRule="atLeast"/>
        </w:trPr>
        <w:tc>
          <w:tcPr>
            <w:tcW w:w="943" w:type="dxa"/>
            <w:vMerge w:val="continue"/>
            <w:tcBorders>
              <w:top w:val="nil"/>
            </w:tcBorders>
            <w:vAlign w:val="top"/>
          </w:tcPr>
          <w:p w14:paraId="4C20741C">
            <w:pPr>
              <w:rPr>
                <w:rFonts w:ascii="Arial"/>
                <w:sz w:val="21"/>
              </w:rPr>
            </w:pPr>
          </w:p>
        </w:tc>
        <w:tc>
          <w:tcPr>
            <w:tcW w:w="2274" w:type="dxa"/>
            <w:vAlign w:val="top"/>
          </w:tcPr>
          <w:p w14:paraId="7C60469D">
            <w:pPr>
              <w:pStyle w:val="6"/>
              <w:spacing w:before="84" w:line="220" w:lineRule="auto"/>
              <w:ind w:left="11"/>
            </w:pPr>
            <w:r>
              <w:rPr>
                <w:spacing w:val="5"/>
              </w:rPr>
              <w:t>2.账户</w:t>
            </w:r>
          </w:p>
        </w:tc>
        <w:tc>
          <w:tcPr>
            <w:tcW w:w="230" w:type="dxa"/>
            <w:vAlign w:val="top"/>
          </w:tcPr>
          <w:p w14:paraId="155E056C">
            <w:pPr>
              <w:pStyle w:val="6"/>
              <w:spacing w:before="124" w:line="238" w:lineRule="auto"/>
              <w:ind w:left="47"/>
              <w:rPr>
                <w:sz w:val="12"/>
                <w:szCs w:val="12"/>
              </w:rPr>
            </w:pPr>
            <w:r>
              <w:rPr>
                <w:sz w:val="12"/>
                <w:szCs w:val="12"/>
              </w:rPr>
              <w:t>√</w:t>
            </w:r>
          </w:p>
        </w:tc>
        <w:tc>
          <w:tcPr>
            <w:tcW w:w="229" w:type="dxa"/>
            <w:vAlign w:val="top"/>
          </w:tcPr>
          <w:p w14:paraId="54EA6FF7">
            <w:pPr>
              <w:rPr>
                <w:rFonts w:ascii="Arial"/>
                <w:sz w:val="21"/>
              </w:rPr>
            </w:pPr>
          </w:p>
        </w:tc>
        <w:tc>
          <w:tcPr>
            <w:tcW w:w="220" w:type="dxa"/>
            <w:vAlign w:val="top"/>
          </w:tcPr>
          <w:p w14:paraId="3C529948">
            <w:pPr>
              <w:rPr>
                <w:rFonts w:ascii="Arial"/>
                <w:sz w:val="21"/>
              </w:rPr>
            </w:pPr>
          </w:p>
        </w:tc>
        <w:tc>
          <w:tcPr>
            <w:tcW w:w="234" w:type="dxa"/>
            <w:vAlign w:val="top"/>
          </w:tcPr>
          <w:p w14:paraId="1C61606E">
            <w:pPr>
              <w:rPr>
                <w:rFonts w:ascii="Arial"/>
                <w:sz w:val="21"/>
              </w:rPr>
            </w:pPr>
          </w:p>
        </w:tc>
      </w:tr>
    </w:tbl>
    <w:p w14:paraId="10834B29">
      <w:pPr>
        <w:pStyle w:val="2"/>
        <w:spacing w:line="104" w:lineRule="auto"/>
        <w:rPr>
          <w:sz w:val="2"/>
        </w:rPr>
      </w:pPr>
    </w:p>
    <w:p w14:paraId="3B124ED5">
      <w:pPr>
        <w:pStyle w:val="2"/>
        <w:spacing w:line="14" w:lineRule="auto"/>
        <w:rPr>
          <w:sz w:val="2"/>
        </w:rPr>
      </w:pPr>
      <w:r>
        <w:rPr>
          <w:sz w:val="2"/>
          <w:szCs w:val="2"/>
        </w:rPr>
        <w:br w:type="column"/>
      </w:r>
    </w:p>
    <w:tbl>
      <w:tblPr>
        <w:tblStyle w:val="5"/>
        <w:tblW w:w="414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43"/>
        <w:gridCol w:w="2274"/>
        <w:gridCol w:w="230"/>
        <w:gridCol w:w="230"/>
        <w:gridCol w:w="219"/>
        <w:gridCol w:w="244"/>
      </w:tblGrid>
      <w:tr w14:paraId="72F536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9" w:hRule="atLeast"/>
        </w:trPr>
        <w:tc>
          <w:tcPr>
            <w:tcW w:w="943" w:type="dxa"/>
            <w:vMerge w:val="restart"/>
            <w:tcBorders>
              <w:top w:val="single" w:color="000000" w:sz="2" w:space="0"/>
              <w:bottom w:val="nil"/>
            </w:tcBorders>
            <w:vAlign w:val="top"/>
          </w:tcPr>
          <w:p w14:paraId="1761EAF8">
            <w:pPr>
              <w:pStyle w:val="6"/>
              <w:spacing w:before="27" w:line="220" w:lineRule="auto"/>
              <w:ind w:left="105"/>
              <w:rPr>
                <w:sz w:val="18"/>
                <w:szCs w:val="18"/>
              </w:rPr>
            </w:pPr>
            <w:r>
              <w:rPr>
                <w:spacing w:val="2"/>
                <w:sz w:val="18"/>
                <w:szCs w:val="18"/>
              </w:rPr>
              <w:t>复式记账</w:t>
            </w:r>
          </w:p>
          <w:p w14:paraId="1E77BE75">
            <w:pPr>
              <w:pStyle w:val="6"/>
              <w:spacing w:before="4" w:line="218" w:lineRule="auto"/>
              <w:ind w:left="105"/>
              <w:rPr>
                <w:sz w:val="18"/>
                <w:szCs w:val="18"/>
              </w:rPr>
            </w:pPr>
            <w:r>
              <w:rPr>
                <w:spacing w:val="-2"/>
                <w:sz w:val="18"/>
                <w:szCs w:val="18"/>
              </w:rPr>
              <w:t>与借贷记</w:t>
            </w:r>
          </w:p>
          <w:p w14:paraId="0AEE919C">
            <w:pPr>
              <w:pStyle w:val="6"/>
              <w:spacing w:before="28" w:line="184" w:lineRule="auto"/>
              <w:ind w:left="284"/>
              <w:rPr>
                <w:sz w:val="18"/>
                <w:szCs w:val="18"/>
              </w:rPr>
            </w:pPr>
            <w:r>
              <w:rPr>
                <w:spacing w:val="-3"/>
                <w:sz w:val="18"/>
                <w:szCs w:val="18"/>
              </w:rPr>
              <w:t>账法</w:t>
            </w:r>
          </w:p>
        </w:tc>
        <w:tc>
          <w:tcPr>
            <w:tcW w:w="2274" w:type="dxa"/>
            <w:tcBorders>
              <w:top w:val="single" w:color="000000" w:sz="2" w:space="0"/>
              <w:bottom w:val="single" w:color="000000" w:sz="2" w:space="0"/>
            </w:tcBorders>
            <w:vAlign w:val="top"/>
          </w:tcPr>
          <w:p w14:paraId="05A8B9D2">
            <w:pPr>
              <w:pStyle w:val="6"/>
              <w:spacing w:before="87" w:line="220" w:lineRule="auto"/>
              <w:ind w:left="12"/>
              <w:rPr>
                <w:sz w:val="18"/>
                <w:szCs w:val="18"/>
              </w:rPr>
            </w:pPr>
            <w:r>
              <w:rPr>
                <w:spacing w:val="1"/>
                <w:sz w:val="18"/>
                <w:szCs w:val="18"/>
              </w:rPr>
              <w:t>1.复式记账</w:t>
            </w:r>
          </w:p>
        </w:tc>
        <w:tc>
          <w:tcPr>
            <w:tcW w:w="230" w:type="dxa"/>
            <w:tcBorders>
              <w:top w:val="single" w:color="000000" w:sz="2" w:space="0"/>
              <w:bottom w:val="single" w:color="000000" w:sz="2" w:space="0"/>
            </w:tcBorders>
            <w:vAlign w:val="top"/>
          </w:tcPr>
          <w:p w14:paraId="747988AF">
            <w:pPr>
              <w:rPr>
                <w:rFonts w:ascii="Arial"/>
                <w:sz w:val="21"/>
              </w:rPr>
            </w:pPr>
          </w:p>
        </w:tc>
        <w:tc>
          <w:tcPr>
            <w:tcW w:w="230" w:type="dxa"/>
            <w:tcBorders>
              <w:top w:val="single" w:color="000000" w:sz="2" w:space="0"/>
              <w:bottom w:val="single" w:color="000000" w:sz="2" w:space="0"/>
            </w:tcBorders>
            <w:vAlign w:val="top"/>
          </w:tcPr>
          <w:p w14:paraId="4EDF1202">
            <w:pPr>
              <w:pStyle w:val="6"/>
              <w:spacing w:before="134" w:line="182" w:lineRule="auto"/>
              <w:ind w:left="18"/>
              <w:rPr>
                <w:sz w:val="18"/>
                <w:szCs w:val="18"/>
              </w:rPr>
            </w:pPr>
            <w:r>
              <w:rPr>
                <w:sz w:val="18"/>
                <w:szCs w:val="18"/>
              </w:rPr>
              <w:t>V</w:t>
            </w:r>
          </w:p>
        </w:tc>
        <w:tc>
          <w:tcPr>
            <w:tcW w:w="219" w:type="dxa"/>
            <w:tcBorders>
              <w:top w:val="single" w:color="000000" w:sz="2" w:space="0"/>
              <w:bottom w:val="single" w:color="000000" w:sz="2" w:space="0"/>
            </w:tcBorders>
            <w:vAlign w:val="top"/>
          </w:tcPr>
          <w:p w14:paraId="79A0F733">
            <w:pPr>
              <w:rPr>
                <w:rFonts w:ascii="Arial"/>
                <w:sz w:val="21"/>
              </w:rPr>
            </w:pPr>
          </w:p>
        </w:tc>
        <w:tc>
          <w:tcPr>
            <w:tcW w:w="244" w:type="dxa"/>
            <w:tcBorders>
              <w:top w:val="single" w:color="000000" w:sz="2" w:space="0"/>
              <w:bottom w:val="single" w:color="000000" w:sz="2" w:space="0"/>
            </w:tcBorders>
            <w:vAlign w:val="top"/>
          </w:tcPr>
          <w:p w14:paraId="01B69E39">
            <w:pPr>
              <w:rPr>
                <w:rFonts w:ascii="Arial"/>
                <w:sz w:val="21"/>
              </w:rPr>
            </w:pPr>
          </w:p>
        </w:tc>
      </w:tr>
      <w:tr w14:paraId="27CF48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4" w:hRule="atLeast"/>
        </w:trPr>
        <w:tc>
          <w:tcPr>
            <w:tcW w:w="943" w:type="dxa"/>
            <w:vMerge w:val="continue"/>
            <w:tcBorders>
              <w:top w:val="nil"/>
              <w:bottom w:val="single" w:color="000000" w:sz="2" w:space="0"/>
            </w:tcBorders>
            <w:vAlign w:val="top"/>
          </w:tcPr>
          <w:p w14:paraId="0BF9A1F5">
            <w:pPr>
              <w:rPr>
                <w:rFonts w:ascii="Arial"/>
                <w:sz w:val="21"/>
              </w:rPr>
            </w:pPr>
          </w:p>
        </w:tc>
        <w:tc>
          <w:tcPr>
            <w:tcW w:w="2274" w:type="dxa"/>
            <w:tcBorders>
              <w:top w:val="single" w:color="000000" w:sz="2" w:space="0"/>
              <w:bottom w:val="single" w:color="000000" w:sz="2" w:space="0"/>
            </w:tcBorders>
            <w:vAlign w:val="top"/>
          </w:tcPr>
          <w:p w14:paraId="56C9B613">
            <w:pPr>
              <w:pStyle w:val="6"/>
              <w:spacing w:before="82" w:line="218" w:lineRule="auto"/>
              <w:ind w:left="12"/>
              <w:rPr>
                <w:sz w:val="18"/>
                <w:szCs w:val="18"/>
              </w:rPr>
            </w:pPr>
            <w:r>
              <w:rPr>
                <w:spacing w:val="-2"/>
                <w:sz w:val="18"/>
                <w:szCs w:val="18"/>
              </w:rPr>
              <w:t>2.借贷记账法</w:t>
            </w:r>
          </w:p>
        </w:tc>
        <w:tc>
          <w:tcPr>
            <w:tcW w:w="230" w:type="dxa"/>
            <w:tcBorders>
              <w:top w:val="single" w:color="000000" w:sz="2" w:space="0"/>
              <w:bottom w:val="single" w:color="000000" w:sz="2" w:space="0"/>
            </w:tcBorders>
            <w:vAlign w:val="top"/>
          </w:tcPr>
          <w:p w14:paraId="276C36C9">
            <w:pPr>
              <w:rPr>
                <w:rFonts w:ascii="Arial"/>
                <w:sz w:val="21"/>
              </w:rPr>
            </w:pPr>
          </w:p>
        </w:tc>
        <w:tc>
          <w:tcPr>
            <w:tcW w:w="230" w:type="dxa"/>
            <w:tcBorders>
              <w:top w:val="single" w:color="000000" w:sz="2" w:space="0"/>
              <w:bottom w:val="single" w:color="000000" w:sz="2" w:space="0"/>
            </w:tcBorders>
            <w:vAlign w:val="top"/>
          </w:tcPr>
          <w:p w14:paraId="4827E450">
            <w:pPr>
              <w:rPr>
                <w:rFonts w:ascii="Arial"/>
                <w:sz w:val="21"/>
              </w:rPr>
            </w:pPr>
          </w:p>
        </w:tc>
        <w:tc>
          <w:tcPr>
            <w:tcW w:w="219" w:type="dxa"/>
            <w:tcBorders>
              <w:top w:val="single" w:color="000000" w:sz="2" w:space="0"/>
              <w:bottom w:val="single" w:color="000000" w:sz="2" w:space="0"/>
            </w:tcBorders>
            <w:vAlign w:val="top"/>
          </w:tcPr>
          <w:p w14:paraId="3B50545D">
            <w:pPr>
              <w:rPr>
                <w:rFonts w:ascii="Arial"/>
                <w:sz w:val="21"/>
              </w:rPr>
            </w:pPr>
          </w:p>
        </w:tc>
        <w:tc>
          <w:tcPr>
            <w:tcW w:w="244" w:type="dxa"/>
            <w:tcBorders>
              <w:top w:val="single" w:color="000000" w:sz="2" w:space="0"/>
              <w:bottom w:val="single" w:color="000000" w:sz="2" w:space="0"/>
            </w:tcBorders>
            <w:vAlign w:val="top"/>
          </w:tcPr>
          <w:p w14:paraId="1B2D01E8">
            <w:pPr>
              <w:pStyle w:val="6"/>
              <w:spacing w:before="113" w:line="238" w:lineRule="auto"/>
              <w:ind w:left="19"/>
              <w:rPr>
                <w:sz w:val="13"/>
                <w:szCs w:val="13"/>
              </w:rPr>
            </w:pPr>
            <w:r>
              <w:rPr>
                <w:sz w:val="13"/>
                <w:szCs w:val="13"/>
              </w:rPr>
              <w:t>√</w:t>
            </w:r>
          </w:p>
        </w:tc>
      </w:tr>
      <w:tr w14:paraId="718100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3" w:hRule="atLeast"/>
        </w:trPr>
        <w:tc>
          <w:tcPr>
            <w:tcW w:w="943" w:type="dxa"/>
            <w:vMerge w:val="restart"/>
            <w:tcBorders>
              <w:top w:val="single" w:color="000000" w:sz="2" w:space="0"/>
              <w:bottom w:val="nil"/>
            </w:tcBorders>
            <w:vAlign w:val="top"/>
          </w:tcPr>
          <w:p w14:paraId="1C1906C0">
            <w:pPr>
              <w:pStyle w:val="6"/>
              <w:spacing w:before="153" w:line="219" w:lineRule="auto"/>
              <w:ind w:left="105"/>
              <w:rPr>
                <w:sz w:val="18"/>
                <w:szCs w:val="18"/>
              </w:rPr>
            </w:pPr>
            <w:r>
              <w:rPr>
                <w:spacing w:val="2"/>
                <w:sz w:val="18"/>
                <w:szCs w:val="18"/>
              </w:rPr>
              <w:t>总分类账</w:t>
            </w:r>
          </w:p>
          <w:p w14:paraId="5A171DCC">
            <w:pPr>
              <w:pStyle w:val="6"/>
              <w:spacing w:before="6" w:line="219" w:lineRule="auto"/>
              <w:ind w:left="105"/>
              <w:rPr>
                <w:sz w:val="18"/>
                <w:szCs w:val="18"/>
              </w:rPr>
            </w:pPr>
            <w:r>
              <w:rPr>
                <w:spacing w:val="-2"/>
                <w:sz w:val="18"/>
                <w:szCs w:val="18"/>
              </w:rPr>
              <w:t>户与明细</w:t>
            </w:r>
          </w:p>
          <w:p w14:paraId="7D77CAD5">
            <w:pPr>
              <w:pStyle w:val="6"/>
              <w:spacing w:before="16" w:line="220" w:lineRule="auto"/>
              <w:ind w:left="105"/>
              <w:rPr>
                <w:sz w:val="18"/>
                <w:szCs w:val="18"/>
              </w:rPr>
            </w:pPr>
            <w:r>
              <w:rPr>
                <w:spacing w:val="-2"/>
                <w:sz w:val="18"/>
                <w:szCs w:val="18"/>
              </w:rPr>
              <w:t>账户的平</w:t>
            </w:r>
          </w:p>
          <w:p w14:paraId="655B6349">
            <w:pPr>
              <w:pStyle w:val="6"/>
              <w:spacing w:before="15" w:line="220" w:lineRule="auto"/>
              <w:ind w:left="194"/>
              <w:rPr>
                <w:sz w:val="18"/>
                <w:szCs w:val="18"/>
              </w:rPr>
            </w:pPr>
            <w:r>
              <w:rPr>
                <w:spacing w:val="-3"/>
                <w:sz w:val="18"/>
                <w:szCs w:val="18"/>
              </w:rPr>
              <w:t>行登记</w:t>
            </w:r>
          </w:p>
        </w:tc>
        <w:tc>
          <w:tcPr>
            <w:tcW w:w="2274" w:type="dxa"/>
            <w:tcBorders>
              <w:top w:val="single" w:color="000000" w:sz="2" w:space="0"/>
              <w:bottom w:val="single" w:color="000000" w:sz="2" w:space="0"/>
            </w:tcBorders>
            <w:vAlign w:val="top"/>
          </w:tcPr>
          <w:p w14:paraId="4FCDDE21">
            <w:pPr>
              <w:pStyle w:val="6"/>
              <w:spacing w:before="44" w:line="194" w:lineRule="auto"/>
              <w:ind w:left="12" w:right="82"/>
              <w:rPr>
                <w:sz w:val="18"/>
                <w:szCs w:val="18"/>
              </w:rPr>
            </w:pPr>
            <w:r>
              <w:rPr>
                <w:sz w:val="18"/>
                <w:szCs w:val="18"/>
              </w:rPr>
              <w:t>1.总分类账户与明细分类账</w:t>
            </w:r>
            <w:r>
              <w:rPr>
                <w:spacing w:val="8"/>
                <w:sz w:val="18"/>
                <w:szCs w:val="18"/>
              </w:rPr>
              <w:t xml:space="preserve"> </w:t>
            </w:r>
            <w:r>
              <w:rPr>
                <w:spacing w:val="2"/>
                <w:sz w:val="18"/>
                <w:szCs w:val="18"/>
              </w:rPr>
              <w:t>户之间的关系</w:t>
            </w:r>
          </w:p>
        </w:tc>
        <w:tc>
          <w:tcPr>
            <w:tcW w:w="230" w:type="dxa"/>
            <w:tcBorders>
              <w:top w:val="single" w:color="000000" w:sz="2" w:space="0"/>
              <w:bottom w:val="single" w:color="000000" w:sz="2" w:space="0"/>
            </w:tcBorders>
            <w:vAlign w:val="top"/>
          </w:tcPr>
          <w:p w14:paraId="06D4C89A">
            <w:pPr>
              <w:rPr>
                <w:rFonts w:ascii="Arial"/>
                <w:sz w:val="21"/>
              </w:rPr>
            </w:pPr>
          </w:p>
        </w:tc>
        <w:tc>
          <w:tcPr>
            <w:tcW w:w="230" w:type="dxa"/>
            <w:tcBorders>
              <w:top w:val="single" w:color="000000" w:sz="2" w:space="0"/>
              <w:bottom w:val="single" w:color="000000" w:sz="2" w:space="0"/>
            </w:tcBorders>
            <w:vAlign w:val="top"/>
          </w:tcPr>
          <w:p w14:paraId="58CA3503">
            <w:pPr>
              <w:rPr>
                <w:rFonts w:ascii="Arial"/>
                <w:sz w:val="21"/>
              </w:rPr>
            </w:pPr>
          </w:p>
        </w:tc>
        <w:tc>
          <w:tcPr>
            <w:tcW w:w="219" w:type="dxa"/>
            <w:tcBorders>
              <w:top w:val="single" w:color="000000" w:sz="2" w:space="0"/>
              <w:bottom w:val="single" w:color="000000" w:sz="2" w:space="0"/>
            </w:tcBorders>
            <w:vAlign w:val="top"/>
          </w:tcPr>
          <w:p w14:paraId="04BE25AC">
            <w:pPr>
              <w:pStyle w:val="6"/>
              <w:spacing w:before="164" w:line="238" w:lineRule="auto"/>
              <w:ind w:left="17"/>
              <w:rPr>
                <w:sz w:val="13"/>
                <w:szCs w:val="13"/>
              </w:rPr>
            </w:pPr>
            <w:r>
              <w:rPr>
                <w:sz w:val="13"/>
                <w:szCs w:val="13"/>
              </w:rPr>
              <w:t>√</w:t>
            </w:r>
          </w:p>
        </w:tc>
        <w:tc>
          <w:tcPr>
            <w:tcW w:w="244" w:type="dxa"/>
            <w:tcBorders>
              <w:top w:val="single" w:color="000000" w:sz="2" w:space="0"/>
              <w:bottom w:val="single" w:color="000000" w:sz="2" w:space="0"/>
            </w:tcBorders>
            <w:vAlign w:val="top"/>
          </w:tcPr>
          <w:p w14:paraId="43476AC0">
            <w:pPr>
              <w:rPr>
                <w:rFonts w:ascii="Arial"/>
                <w:sz w:val="21"/>
              </w:rPr>
            </w:pPr>
          </w:p>
        </w:tc>
      </w:tr>
      <w:tr w14:paraId="3E85F3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3" w:hRule="atLeast"/>
        </w:trPr>
        <w:tc>
          <w:tcPr>
            <w:tcW w:w="943" w:type="dxa"/>
            <w:vMerge w:val="continue"/>
            <w:tcBorders>
              <w:top w:val="nil"/>
              <w:bottom w:val="nil"/>
            </w:tcBorders>
            <w:vAlign w:val="top"/>
          </w:tcPr>
          <w:p w14:paraId="5310F970">
            <w:pPr>
              <w:rPr>
                <w:rFonts w:ascii="Arial"/>
                <w:sz w:val="21"/>
              </w:rPr>
            </w:pPr>
          </w:p>
        </w:tc>
        <w:tc>
          <w:tcPr>
            <w:tcW w:w="2274" w:type="dxa"/>
            <w:tcBorders>
              <w:top w:val="single" w:color="000000" w:sz="2" w:space="0"/>
              <w:bottom w:val="single" w:color="000000" w:sz="2" w:space="0"/>
            </w:tcBorders>
            <w:vAlign w:val="top"/>
          </w:tcPr>
          <w:p w14:paraId="15E12792">
            <w:pPr>
              <w:pStyle w:val="6"/>
              <w:spacing w:before="86" w:line="220" w:lineRule="auto"/>
              <w:ind w:left="12"/>
              <w:rPr>
                <w:sz w:val="18"/>
                <w:szCs w:val="18"/>
              </w:rPr>
            </w:pPr>
            <w:r>
              <w:rPr>
                <w:spacing w:val="2"/>
                <w:sz w:val="18"/>
                <w:szCs w:val="18"/>
              </w:rPr>
              <w:t>2.平行登记要点</w:t>
            </w:r>
          </w:p>
        </w:tc>
        <w:tc>
          <w:tcPr>
            <w:tcW w:w="230" w:type="dxa"/>
            <w:tcBorders>
              <w:top w:val="single" w:color="000000" w:sz="2" w:space="0"/>
              <w:bottom w:val="single" w:color="000000" w:sz="2" w:space="0"/>
            </w:tcBorders>
            <w:vAlign w:val="top"/>
          </w:tcPr>
          <w:p w14:paraId="7BF0E51C">
            <w:pPr>
              <w:rPr>
                <w:rFonts w:ascii="Arial"/>
                <w:sz w:val="21"/>
              </w:rPr>
            </w:pPr>
          </w:p>
        </w:tc>
        <w:tc>
          <w:tcPr>
            <w:tcW w:w="230" w:type="dxa"/>
            <w:tcBorders>
              <w:top w:val="single" w:color="000000" w:sz="2" w:space="0"/>
              <w:bottom w:val="single" w:color="000000" w:sz="2" w:space="0"/>
            </w:tcBorders>
            <w:vAlign w:val="top"/>
          </w:tcPr>
          <w:p w14:paraId="340A28CF">
            <w:pPr>
              <w:rPr>
                <w:rFonts w:ascii="Arial"/>
                <w:sz w:val="21"/>
              </w:rPr>
            </w:pPr>
          </w:p>
        </w:tc>
        <w:tc>
          <w:tcPr>
            <w:tcW w:w="219" w:type="dxa"/>
            <w:tcBorders>
              <w:top w:val="single" w:color="000000" w:sz="2" w:space="0"/>
              <w:bottom w:val="single" w:color="000000" w:sz="2" w:space="0"/>
            </w:tcBorders>
            <w:vAlign w:val="top"/>
          </w:tcPr>
          <w:p w14:paraId="0DF52C3A">
            <w:pPr>
              <w:pStyle w:val="6"/>
              <w:spacing w:before="116" w:line="238" w:lineRule="auto"/>
              <w:ind w:left="38"/>
              <w:rPr>
                <w:sz w:val="13"/>
                <w:szCs w:val="13"/>
              </w:rPr>
            </w:pPr>
            <w:r>
              <w:rPr>
                <w:sz w:val="13"/>
                <w:szCs w:val="13"/>
              </w:rPr>
              <w:t>√</w:t>
            </w:r>
          </w:p>
        </w:tc>
        <w:tc>
          <w:tcPr>
            <w:tcW w:w="244" w:type="dxa"/>
            <w:tcBorders>
              <w:top w:val="single" w:color="000000" w:sz="2" w:space="0"/>
              <w:bottom w:val="single" w:color="000000" w:sz="2" w:space="0"/>
            </w:tcBorders>
            <w:vAlign w:val="top"/>
          </w:tcPr>
          <w:p w14:paraId="60501ED9">
            <w:pPr>
              <w:rPr>
                <w:rFonts w:ascii="Arial"/>
                <w:sz w:val="21"/>
              </w:rPr>
            </w:pPr>
          </w:p>
        </w:tc>
      </w:tr>
      <w:tr w14:paraId="526174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9" w:hRule="atLeast"/>
        </w:trPr>
        <w:tc>
          <w:tcPr>
            <w:tcW w:w="943" w:type="dxa"/>
            <w:vMerge w:val="continue"/>
            <w:tcBorders>
              <w:top w:val="nil"/>
              <w:bottom w:val="single" w:color="000000" w:sz="2" w:space="0"/>
            </w:tcBorders>
            <w:vAlign w:val="top"/>
          </w:tcPr>
          <w:p w14:paraId="37E6A006">
            <w:pPr>
              <w:rPr>
                <w:rFonts w:ascii="Arial"/>
                <w:sz w:val="21"/>
              </w:rPr>
            </w:pPr>
          </w:p>
        </w:tc>
        <w:tc>
          <w:tcPr>
            <w:tcW w:w="2274" w:type="dxa"/>
            <w:tcBorders>
              <w:top w:val="single" w:color="000000" w:sz="2" w:space="0"/>
              <w:bottom w:val="single" w:color="000000" w:sz="2" w:space="0"/>
            </w:tcBorders>
            <w:vAlign w:val="top"/>
          </w:tcPr>
          <w:p w14:paraId="4CA0C5D0">
            <w:pPr>
              <w:pStyle w:val="6"/>
              <w:spacing w:before="86" w:line="218" w:lineRule="auto"/>
              <w:ind w:left="12"/>
              <w:rPr>
                <w:sz w:val="18"/>
                <w:szCs w:val="18"/>
              </w:rPr>
            </w:pPr>
            <w:r>
              <w:rPr>
                <w:spacing w:val="1"/>
                <w:sz w:val="18"/>
                <w:szCs w:val="18"/>
              </w:rPr>
              <w:t>3.平行登记举例</w:t>
            </w:r>
          </w:p>
        </w:tc>
        <w:tc>
          <w:tcPr>
            <w:tcW w:w="230" w:type="dxa"/>
            <w:tcBorders>
              <w:top w:val="single" w:color="000000" w:sz="2" w:space="0"/>
              <w:bottom w:val="single" w:color="000000" w:sz="2" w:space="0"/>
            </w:tcBorders>
            <w:vAlign w:val="top"/>
          </w:tcPr>
          <w:p w14:paraId="35EA539F">
            <w:pPr>
              <w:rPr>
                <w:rFonts w:ascii="Arial"/>
                <w:sz w:val="21"/>
              </w:rPr>
            </w:pPr>
          </w:p>
        </w:tc>
        <w:tc>
          <w:tcPr>
            <w:tcW w:w="230" w:type="dxa"/>
            <w:tcBorders>
              <w:top w:val="single" w:color="000000" w:sz="2" w:space="0"/>
              <w:bottom w:val="single" w:color="000000" w:sz="2" w:space="0"/>
            </w:tcBorders>
            <w:vAlign w:val="top"/>
          </w:tcPr>
          <w:p w14:paraId="39FFD8A2">
            <w:pPr>
              <w:rPr>
                <w:rFonts w:ascii="Arial"/>
                <w:sz w:val="21"/>
              </w:rPr>
            </w:pPr>
          </w:p>
        </w:tc>
        <w:tc>
          <w:tcPr>
            <w:tcW w:w="219" w:type="dxa"/>
            <w:tcBorders>
              <w:top w:val="single" w:color="000000" w:sz="2" w:space="0"/>
              <w:bottom w:val="single" w:color="000000" w:sz="2" w:space="0"/>
            </w:tcBorders>
            <w:vAlign w:val="top"/>
          </w:tcPr>
          <w:p w14:paraId="3F60CD18">
            <w:pPr>
              <w:pStyle w:val="6"/>
              <w:spacing w:before="118" w:line="238" w:lineRule="auto"/>
              <w:ind w:left="38"/>
              <w:rPr>
                <w:sz w:val="13"/>
                <w:szCs w:val="13"/>
              </w:rPr>
            </w:pPr>
            <w:r>
              <w:rPr>
                <w:sz w:val="13"/>
                <w:szCs w:val="13"/>
              </w:rPr>
              <w:t>√</w:t>
            </w:r>
          </w:p>
        </w:tc>
        <w:tc>
          <w:tcPr>
            <w:tcW w:w="244" w:type="dxa"/>
            <w:tcBorders>
              <w:top w:val="single" w:color="000000" w:sz="2" w:space="0"/>
              <w:bottom w:val="single" w:color="000000" w:sz="2" w:space="0"/>
            </w:tcBorders>
            <w:vAlign w:val="top"/>
          </w:tcPr>
          <w:p w14:paraId="3A410EEC">
            <w:pPr>
              <w:rPr>
                <w:rFonts w:ascii="Arial"/>
                <w:sz w:val="21"/>
              </w:rPr>
            </w:pPr>
          </w:p>
        </w:tc>
      </w:tr>
    </w:tbl>
    <w:p w14:paraId="25341315">
      <w:pPr>
        <w:spacing w:before="108" w:line="221" w:lineRule="auto"/>
        <w:ind w:left="1457"/>
        <w:rPr>
          <w:rFonts w:ascii="黑体" w:hAnsi="黑体" w:eastAsia="黑体" w:cs="黑体"/>
          <w:sz w:val="21"/>
          <w:szCs w:val="21"/>
        </w:rPr>
      </w:pPr>
      <w:r>
        <w:rPr>
          <w:rFonts w:ascii="黑体" w:hAnsi="黑体" w:eastAsia="黑体" w:cs="黑体"/>
          <w:b/>
          <w:bCs/>
          <w:spacing w:val="3"/>
          <w:sz w:val="21"/>
          <w:szCs w:val="21"/>
        </w:rPr>
        <w:t>(四)会计凭证</w:t>
      </w:r>
    </w:p>
    <w:p w14:paraId="62630F79">
      <w:pPr>
        <w:spacing w:line="79" w:lineRule="exact"/>
      </w:pPr>
    </w:p>
    <w:tbl>
      <w:tblPr>
        <w:tblStyle w:val="5"/>
        <w:tblW w:w="413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43"/>
        <w:gridCol w:w="2274"/>
        <w:gridCol w:w="230"/>
        <w:gridCol w:w="220"/>
        <w:gridCol w:w="229"/>
        <w:gridCol w:w="234"/>
      </w:tblGrid>
      <w:tr w14:paraId="7CC838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5" w:hRule="atLeast"/>
        </w:trPr>
        <w:tc>
          <w:tcPr>
            <w:tcW w:w="943" w:type="dxa"/>
            <w:vMerge w:val="restart"/>
            <w:tcBorders>
              <w:bottom w:val="nil"/>
            </w:tcBorders>
            <w:vAlign w:val="top"/>
          </w:tcPr>
          <w:p w14:paraId="0053E965">
            <w:pPr>
              <w:pStyle w:val="6"/>
              <w:spacing w:before="132" w:line="229" w:lineRule="auto"/>
              <w:ind w:left="127" w:right="132" w:firstLine="80"/>
            </w:pPr>
            <w:r>
              <w:rPr>
                <w:b/>
                <w:bCs/>
                <w:spacing w:val="-6"/>
              </w:rPr>
              <w:t>知识与</w:t>
            </w:r>
            <w:r>
              <w:t xml:space="preserve">  </w:t>
            </w:r>
            <w:r>
              <w:rPr>
                <w:b/>
                <w:bCs/>
                <w:spacing w:val="-4"/>
              </w:rPr>
              <w:t>技能要点</w:t>
            </w:r>
          </w:p>
        </w:tc>
        <w:tc>
          <w:tcPr>
            <w:tcW w:w="2274" w:type="dxa"/>
            <w:vMerge w:val="restart"/>
            <w:tcBorders>
              <w:bottom w:val="nil"/>
            </w:tcBorders>
            <w:vAlign w:val="top"/>
          </w:tcPr>
          <w:p w14:paraId="3A3139E4">
            <w:pPr>
              <w:pStyle w:val="6"/>
              <w:spacing w:before="239" w:line="219" w:lineRule="auto"/>
              <w:ind w:left="824"/>
            </w:pPr>
            <w:r>
              <w:rPr>
                <w:b/>
                <w:bCs/>
                <w:spacing w:val="5"/>
              </w:rPr>
              <w:t>考试条目</w:t>
            </w:r>
          </w:p>
        </w:tc>
        <w:tc>
          <w:tcPr>
            <w:tcW w:w="913" w:type="dxa"/>
            <w:gridSpan w:val="4"/>
            <w:vAlign w:val="top"/>
          </w:tcPr>
          <w:p w14:paraId="039C9FC1">
            <w:pPr>
              <w:pStyle w:val="6"/>
              <w:spacing w:before="79" w:line="219" w:lineRule="auto"/>
              <w:ind w:left="120"/>
            </w:pPr>
            <w:r>
              <w:rPr>
                <w:b/>
                <w:bCs/>
                <w:spacing w:val="-4"/>
              </w:rPr>
              <w:t>考试水平</w:t>
            </w:r>
          </w:p>
        </w:tc>
      </w:tr>
      <w:tr w14:paraId="5EECC8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943" w:type="dxa"/>
            <w:vMerge w:val="continue"/>
            <w:tcBorders>
              <w:top w:val="nil"/>
            </w:tcBorders>
            <w:vAlign w:val="top"/>
          </w:tcPr>
          <w:p w14:paraId="7D33C7BF">
            <w:pPr>
              <w:rPr>
                <w:rFonts w:ascii="Arial"/>
                <w:sz w:val="21"/>
              </w:rPr>
            </w:pPr>
          </w:p>
        </w:tc>
        <w:tc>
          <w:tcPr>
            <w:tcW w:w="2274" w:type="dxa"/>
            <w:vMerge w:val="continue"/>
            <w:tcBorders>
              <w:top w:val="nil"/>
            </w:tcBorders>
            <w:vAlign w:val="top"/>
          </w:tcPr>
          <w:p w14:paraId="107C797F">
            <w:pPr>
              <w:rPr>
                <w:rFonts w:ascii="Arial"/>
                <w:sz w:val="21"/>
              </w:rPr>
            </w:pPr>
          </w:p>
        </w:tc>
        <w:tc>
          <w:tcPr>
            <w:tcW w:w="230" w:type="dxa"/>
            <w:vAlign w:val="top"/>
          </w:tcPr>
          <w:p w14:paraId="5DAF2EED">
            <w:pPr>
              <w:pStyle w:val="6"/>
              <w:spacing w:before="109" w:line="184" w:lineRule="auto"/>
              <w:ind w:left="70"/>
            </w:pPr>
            <w:r>
              <w:rPr>
                <w:b/>
                <w:bCs/>
                <w:spacing w:val="-2"/>
              </w:rPr>
              <w:t>A</w:t>
            </w:r>
          </w:p>
        </w:tc>
        <w:tc>
          <w:tcPr>
            <w:tcW w:w="220" w:type="dxa"/>
            <w:vAlign w:val="top"/>
          </w:tcPr>
          <w:p w14:paraId="2E377FF3">
            <w:pPr>
              <w:pStyle w:val="6"/>
              <w:spacing w:before="111" w:line="182" w:lineRule="auto"/>
              <w:ind w:left="60"/>
            </w:pPr>
            <w:r>
              <w:rPr>
                <w:b/>
                <w:bCs/>
                <w:spacing w:val="-2"/>
              </w:rPr>
              <w:t>B</w:t>
            </w:r>
          </w:p>
        </w:tc>
        <w:tc>
          <w:tcPr>
            <w:tcW w:w="229" w:type="dxa"/>
            <w:vAlign w:val="top"/>
          </w:tcPr>
          <w:p w14:paraId="684E39E5">
            <w:pPr>
              <w:pStyle w:val="6"/>
              <w:spacing w:before="109" w:line="183" w:lineRule="auto"/>
              <w:ind w:left="70"/>
            </w:pPr>
            <w:r>
              <w:rPr>
                <w:b/>
                <w:bCs/>
                <w:spacing w:val="-2"/>
              </w:rPr>
              <w:t>C</w:t>
            </w:r>
          </w:p>
        </w:tc>
        <w:tc>
          <w:tcPr>
            <w:tcW w:w="234" w:type="dxa"/>
            <w:vAlign w:val="top"/>
          </w:tcPr>
          <w:p w14:paraId="507D7258">
            <w:pPr>
              <w:pStyle w:val="6"/>
              <w:spacing w:before="111" w:line="182" w:lineRule="auto"/>
              <w:ind w:left="71"/>
            </w:pPr>
            <w:r>
              <w:rPr>
                <w:b/>
                <w:bCs/>
                <w:spacing w:val="-2"/>
              </w:rPr>
              <w:t>D</w:t>
            </w:r>
          </w:p>
        </w:tc>
      </w:tr>
      <w:tr w14:paraId="36A29A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943" w:type="dxa"/>
            <w:vMerge w:val="restart"/>
            <w:tcBorders>
              <w:bottom w:val="nil"/>
            </w:tcBorders>
            <w:vAlign w:val="top"/>
          </w:tcPr>
          <w:p w14:paraId="0E31DFB9">
            <w:pPr>
              <w:pStyle w:val="6"/>
              <w:spacing w:before="126" w:line="248" w:lineRule="auto"/>
              <w:ind w:left="294" w:right="134" w:hanging="170"/>
            </w:pPr>
            <w:r>
              <w:rPr>
                <w:spacing w:val="-2"/>
              </w:rPr>
              <w:t>会计凭证</w:t>
            </w:r>
            <w:r>
              <w:rPr>
                <w:spacing w:val="1"/>
              </w:rPr>
              <w:t xml:space="preserve"> </w:t>
            </w:r>
            <w:r>
              <w:rPr>
                <w:spacing w:val="-2"/>
              </w:rPr>
              <w:t>概述</w:t>
            </w:r>
          </w:p>
        </w:tc>
        <w:tc>
          <w:tcPr>
            <w:tcW w:w="2274" w:type="dxa"/>
            <w:vAlign w:val="top"/>
          </w:tcPr>
          <w:p w14:paraId="3EE942FB">
            <w:pPr>
              <w:pStyle w:val="6"/>
              <w:spacing w:before="66" w:line="219" w:lineRule="auto"/>
              <w:ind w:left="2"/>
            </w:pPr>
            <w:r>
              <w:t>1.会计凭证的概念</w:t>
            </w:r>
          </w:p>
        </w:tc>
        <w:tc>
          <w:tcPr>
            <w:tcW w:w="230" w:type="dxa"/>
            <w:vAlign w:val="top"/>
          </w:tcPr>
          <w:p w14:paraId="4846B065">
            <w:pPr>
              <w:pStyle w:val="6"/>
              <w:spacing w:before="99" w:line="238" w:lineRule="auto"/>
              <w:ind w:left="47"/>
              <w:rPr>
                <w:sz w:val="13"/>
                <w:szCs w:val="13"/>
              </w:rPr>
            </w:pPr>
            <w:r>
              <w:rPr>
                <w:sz w:val="13"/>
                <w:szCs w:val="13"/>
              </w:rPr>
              <w:t>√</w:t>
            </w:r>
          </w:p>
        </w:tc>
        <w:tc>
          <w:tcPr>
            <w:tcW w:w="220" w:type="dxa"/>
            <w:vAlign w:val="top"/>
          </w:tcPr>
          <w:p w14:paraId="423999A8">
            <w:pPr>
              <w:rPr>
                <w:rFonts w:ascii="Arial"/>
                <w:sz w:val="21"/>
              </w:rPr>
            </w:pPr>
          </w:p>
        </w:tc>
        <w:tc>
          <w:tcPr>
            <w:tcW w:w="229" w:type="dxa"/>
            <w:vAlign w:val="top"/>
          </w:tcPr>
          <w:p w14:paraId="6A9302B9">
            <w:pPr>
              <w:rPr>
                <w:rFonts w:ascii="Arial"/>
                <w:sz w:val="21"/>
              </w:rPr>
            </w:pPr>
          </w:p>
        </w:tc>
        <w:tc>
          <w:tcPr>
            <w:tcW w:w="234" w:type="dxa"/>
            <w:vAlign w:val="top"/>
          </w:tcPr>
          <w:p w14:paraId="6CBA8B9D">
            <w:pPr>
              <w:rPr>
                <w:rFonts w:ascii="Arial"/>
                <w:sz w:val="21"/>
              </w:rPr>
            </w:pPr>
          </w:p>
        </w:tc>
      </w:tr>
      <w:tr w14:paraId="477EF0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0" w:hRule="atLeast"/>
        </w:trPr>
        <w:tc>
          <w:tcPr>
            <w:tcW w:w="943" w:type="dxa"/>
            <w:vMerge w:val="continue"/>
            <w:tcBorders>
              <w:top w:val="nil"/>
            </w:tcBorders>
            <w:vAlign w:val="top"/>
          </w:tcPr>
          <w:p w14:paraId="454F0B29">
            <w:pPr>
              <w:rPr>
                <w:rFonts w:ascii="Arial"/>
                <w:sz w:val="21"/>
              </w:rPr>
            </w:pPr>
          </w:p>
        </w:tc>
        <w:tc>
          <w:tcPr>
            <w:tcW w:w="2274" w:type="dxa"/>
            <w:vAlign w:val="top"/>
          </w:tcPr>
          <w:p w14:paraId="587F9018">
            <w:pPr>
              <w:pStyle w:val="6"/>
              <w:spacing w:before="77" w:line="219" w:lineRule="auto"/>
              <w:ind w:left="2"/>
            </w:pPr>
            <w:r>
              <w:rPr>
                <w:spacing w:val="-1"/>
              </w:rPr>
              <w:t>2.会计凭证的种类</w:t>
            </w:r>
          </w:p>
        </w:tc>
        <w:tc>
          <w:tcPr>
            <w:tcW w:w="230" w:type="dxa"/>
            <w:vAlign w:val="top"/>
          </w:tcPr>
          <w:p w14:paraId="67316817">
            <w:pPr>
              <w:pStyle w:val="6"/>
              <w:spacing w:before="110" w:line="238" w:lineRule="auto"/>
              <w:ind w:left="47"/>
              <w:rPr>
                <w:sz w:val="13"/>
                <w:szCs w:val="13"/>
              </w:rPr>
            </w:pPr>
            <w:r>
              <w:rPr>
                <w:sz w:val="13"/>
                <w:szCs w:val="13"/>
              </w:rPr>
              <w:t>√</w:t>
            </w:r>
          </w:p>
        </w:tc>
        <w:tc>
          <w:tcPr>
            <w:tcW w:w="220" w:type="dxa"/>
            <w:vAlign w:val="top"/>
          </w:tcPr>
          <w:p w14:paraId="36C0AEBF">
            <w:pPr>
              <w:rPr>
                <w:rFonts w:ascii="Arial"/>
                <w:sz w:val="21"/>
              </w:rPr>
            </w:pPr>
          </w:p>
        </w:tc>
        <w:tc>
          <w:tcPr>
            <w:tcW w:w="229" w:type="dxa"/>
            <w:vAlign w:val="top"/>
          </w:tcPr>
          <w:p w14:paraId="6971B560">
            <w:pPr>
              <w:rPr>
                <w:rFonts w:ascii="Arial"/>
                <w:sz w:val="21"/>
              </w:rPr>
            </w:pPr>
          </w:p>
        </w:tc>
        <w:tc>
          <w:tcPr>
            <w:tcW w:w="234" w:type="dxa"/>
            <w:vAlign w:val="top"/>
          </w:tcPr>
          <w:p w14:paraId="217DF89A">
            <w:pPr>
              <w:rPr>
                <w:rFonts w:ascii="Arial"/>
                <w:sz w:val="21"/>
              </w:rPr>
            </w:pPr>
          </w:p>
        </w:tc>
      </w:tr>
      <w:tr w14:paraId="1A6FFF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943" w:type="dxa"/>
            <w:vMerge w:val="restart"/>
            <w:tcBorders>
              <w:bottom w:val="nil"/>
            </w:tcBorders>
            <w:vAlign w:val="top"/>
          </w:tcPr>
          <w:p w14:paraId="67F301DF">
            <w:pPr>
              <w:spacing w:line="324" w:lineRule="auto"/>
              <w:rPr>
                <w:rFonts w:ascii="Arial"/>
                <w:sz w:val="21"/>
              </w:rPr>
            </w:pPr>
          </w:p>
          <w:p w14:paraId="1CA846E8">
            <w:pPr>
              <w:spacing w:line="325" w:lineRule="auto"/>
              <w:rPr>
                <w:rFonts w:ascii="Arial"/>
                <w:sz w:val="21"/>
              </w:rPr>
            </w:pPr>
          </w:p>
          <w:p w14:paraId="432722C0">
            <w:pPr>
              <w:pStyle w:val="6"/>
              <w:spacing w:before="56" w:line="219" w:lineRule="auto"/>
              <w:ind w:left="124"/>
            </w:pPr>
            <w:r>
              <w:rPr>
                <w:spacing w:val="-3"/>
              </w:rPr>
              <w:t>原始凭证</w:t>
            </w:r>
          </w:p>
        </w:tc>
        <w:tc>
          <w:tcPr>
            <w:tcW w:w="2274" w:type="dxa"/>
            <w:vAlign w:val="top"/>
          </w:tcPr>
          <w:p w14:paraId="7E690358">
            <w:pPr>
              <w:pStyle w:val="6"/>
              <w:spacing w:before="69" w:line="219" w:lineRule="auto"/>
              <w:ind w:left="2"/>
            </w:pPr>
            <w:r>
              <w:t>1.原始凭证的概念</w:t>
            </w:r>
          </w:p>
        </w:tc>
        <w:tc>
          <w:tcPr>
            <w:tcW w:w="230" w:type="dxa"/>
            <w:vAlign w:val="top"/>
          </w:tcPr>
          <w:p w14:paraId="1453A5CF">
            <w:pPr>
              <w:pStyle w:val="6"/>
              <w:spacing w:before="100" w:line="238" w:lineRule="auto"/>
              <w:ind w:left="47"/>
              <w:rPr>
                <w:sz w:val="13"/>
                <w:szCs w:val="13"/>
              </w:rPr>
            </w:pPr>
            <w:r>
              <w:rPr>
                <w:sz w:val="13"/>
                <w:szCs w:val="13"/>
              </w:rPr>
              <w:t>√</w:t>
            </w:r>
          </w:p>
        </w:tc>
        <w:tc>
          <w:tcPr>
            <w:tcW w:w="220" w:type="dxa"/>
            <w:vAlign w:val="top"/>
          </w:tcPr>
          <w:p w14:paraId="028CF6DE">
            <w:pPr>
              <w:rPr>
                <w:rFonts w:ascii="Arial"/>
                <w:sz w:val="21"/>
              </w:rPr>
            </w:pPr>
          </w:p>
        </w:tc>
        <w:tc>
          <w:tcPr>
            <w:tcW w:w="229" w:type="dxa"/>
            <w:vAlign w:val="top"/>
          </w:tcPr>
          <w:p w14:paraId="15481326">
            <w:pPr>
              <w:rPr>
                <w:rFonts w:ascii="Arial"/>
                <w:sz w:val="21"/>
              </w:rPr>
            </w:pPr>
          </w:p>
        </w:tc>
        <w:tc>
          <w:tcPr>
            <w:tcW w:w="234" w:type="dxa"/>
            <w:vAlign w:val="top"/>
          </w:tcPr>
          <w:p w14:paraId="0A95F4BE">
            <w:pPr>
              <w:rPr>
                <w:rFonts w:ascii="Arial"/>
                <w:sz w:val="21"/>
              </w:rPr>
            </w:pPr>
          </w:p>
        </w:tc>
      </w:tr>
      <w:tr w14:paraId="2B4DA2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943" w:type="dxa"/>
            <w:vMerge w:val="continue"/>
            <w:tcBorders>
              <w:top w:val="nil"/>
              <w:bottom w:val="nil"/>
            </w:tcBorders>
            <w:vAlign w:val="top"/>
          </w:tcPr>
          <w:p w14:paraId="1E588E96">
            <w:pPr>
              <w:rPr>
                <w:rFonts w:ascii="Arial"/>
                <w:sz w:val="21"/>
              </w:rPr>
            </w:pPr>
          </w:p>
        </w:tc>
        <w:tc>
          <w:tcPr>
            <w:tcW w:w="2274" w:type="dxa"/>
            <w:vAlign w:val="top"/>
          </w:tcPr>
          <w:p w14:paraId="4AF63227">
            <w:pPr>
              <w:pStyle w:val="6"/>
              <w:spacing w:before="70" w:line="219" w:lineRule="auto"/>
              <w:ind w:left="2"/>
            </w:pPr>
            <w:r>
              <w:rPr>
                <w:spacing w:val="-1"/>
              </w:rPr>
              <w:t>2.原始凭证的种类</w:t>
            </w:r>
          </w:p>
        </w:tc>
        <w:tc>
          <w:tcPr>
            <w:tcW w:w="230" w:type="dxa"/>
            <w:vAlign w:val="top"/>
          </w:tcPr>
          <w:p w14:paraId="5CA153D7">
            <w:pPr>
              <w:rPr>
                <w:rFonts w:ascii="Arial"/>
                <w:sz w:val="21"/>
              </w:rPr>
            </w:pPr>
          </w:p>
        </w:tc>
        <w:tc>
          <w:tcPr>
            <w:tcW w:w="220" w:type="dxa"/>
            <w:vAlign w:val="top"/>
          </w:tcPr>
          <w:p w14:paraId="697BD802">
            <w:pPr>
              <w:pStyle w:val="6"/>
              <w:spacing w:before="114" w:line="182" w:lineRule="auto"/>
              <w:ind w:left="18"/>
            </w:pPr>
            <w:r>
              <w:t>V</w:t>
            </w:r>
          </w:p>
        </w:tc>
        <w:tc>
          <w:tcPr>
            <w:tcW w:w="229" w:type="dxa"/>
            <w:vAlign w:val="top"/>
          </w:tcPr>
          <w:p w14:paraId="2202D1CB">
            <w:pPr>
              <w:rPr>
                <w:rFonts w:ascii="Arial"/>
                <w:sz w:val="21"/>
              </w:rPr>
            </w:pPr>
          </w:p>
        </w:tc>
        <w:tc>
          <w:tcPr>
            <w:tcW w:w="234" w:type="dxa"/>
            <w:vAlign w:val="top"/>
          </w:tcPr>
          <w:p w14:paraId="7D74C453">
            <w:pPr>
              <w:rPr>
                <w:rFonts w:ascii="Arial"/>
                <w:sz w:val="21"/>
              </w:rPr>
            </w:pPr>
          </w:p>
        </w:tc>
      </w:tr>
      <w:tr w14:paraId="49C8B3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943" w:type="dxa"/>
            <w:vMerge w:val="continue"/>
            <w:tcBorders>
              <w:top w:val="nil"/>
              <w:bottom w:val="nil"/>
            </w:tcBorders>
            <w:vAlign w:val="top"/>
          </w:tcPr>
          <w:p w14:paraId="5AC6A3E6">
            <w:pPr>
              <w:rPr>
                <w:rFonts w:ascii="Arial"/>
                <w:sz w:val="21"/>
              </w:rPr>
            </w:pPr>
          </w:p>
        </w:tc>
        <w:tc>
          <w:tcPr>
            <w:tcW w:w="2274" w:type="dxa"/>
            <w:vAlign w:val="top"/>
          </w:tcPr>
          <w:p w14:paraId="0F53BBF2">
            <w:pPr>
              <w:pStyle w:val="6"/>
              <w:spacing w:before="69" w:line="219" w:lineRule="auto"/>
              <w:ind w:left="2"/>
            </w:pPr>
            <w:r>
              <w:rPr>
                <w:spacing w:val="-1"/>
              </w:rPr>
              <w:t>3.原始凭证的基本内容</w:t>
            </w:r>
          </w:p>
        </w:tc>
        <w:tc>
          <w:tcPr>
            <w:tcW w:w="230" w:type="dxa"/>
            <w:vAlign w:val="top"/>
          </w:tcPr>
          <w:p w14:paraId="4C2A6EE6">
            <w:pPr>
              <w:rPr>
                <w:rFonts w:ascii="Arial"/>
                <w:sz w:val="21"/>
              </w:rPr>
            </w:pPr>
          </w:p>
        </w:tc>
        <w:tc>
          <w:tcPr>
            <w:tcW w:w="220" w:type="dxa"/>
            <w:vAlign w:val="top"/>
          </w:tcPr>
          <w:p w14:paraId="1EA5DEC9">
            <w:pPr>
              <w:pStyle w:val="6"/>
              <w:spacing w:before="115" w:line="182" w:lineRule="auto"/>
              <w:ind w:left="18"/>
            </w:pPr>
            <w:r>
              <w:t>V</w:t>
            </w:r>
          </w:p>
        </w:tc>
        <w:tc>
          <w:tcPr>
            <w:tcW w:w="229" w:type="dxa"/>
            <w:vAlign w:val="top"/>
          </w:tcPr>
          <w:p w14:paraId="313E6984">
            <w:pPr>
              <w:rPr>
                <w:rFonts w:ascii="Arial"/>
                <w:sz w:val="21"/>
              </w:rPr>
            </w:pPr>
          </w:p>
        </w:tc>
        <w:tc>
          <w:tcPr>
            <w:tcW w:w="234" w:type="dxa"/>
            <w:vAlign w:val="top"/>
          </w:tcPr>
          <w:p w14:paraId="4FBC9A84">
            <w:pPr>
              <w:rPr>
                <w:rFonts w:ascii="Arial"/>
                <w:sz w:val="21"/>
              </w:rPr>
            </w:pPr>
          </w:p>
        </w:tc>
      </w:tr>
      <w:tr w14:paraId="598561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0" w:hRule="atLeast"/>
        </w:trPr>
        <w:tc>
          <w:tcPr>
            <w:tcW w:w="943" w:type="dxa"/>
            <w:vMerge w:val="continue"/>
            <w:tcBorders>
              <w:top w:val="nil"/>
              <w:bottom w:val="nil"/>
            </w:tcBorders>
            <w:vAlign w:val="top"/>
          </w:tcPr>
          <w:p w14:paraId="57F84818">
            <w:pPr>
              <w:rPr>
                <w:rFonts w:ascii="Arial"/>
                <w:sz w:val="21"/>
              </w:rPr>
            </w:pPr>
          </w:p>
        </w:tc>
        <w:tc>
          <w:tcPr>
            <w:tcW w:w="2274" w:type="dxa"/>
            <w:vAlign w:val="top"/>
          </w:tcPr>
          <w:p w14:paraId="733EC4AE">
            <w:pPr>
              <w:pStyle w:val="6"/>
              <w:spacing w:before="82" w:line="219" w:lineRule="auto"/>
              <w:ind w:left="2"/>
            </w:pPr>
            <w:r>
              <w:rPr>
                <w:spacing w:val="1"/>
              </w:rPr>
              <w:t>4.原始凭证的填制</w:t>
            </w:r>
          </w:p>
        </w:tc>
        <w:tc>
          <w:tcPr>
            <w:tcW w:w="230" w:type="dxa"/>
            <w:vAlign w:val="top"/>
          </w:tcPr>
          <w:p w14:paraId="2151EE73">
            <w:pPr>
              <w:rPr>
                <w:rFonts w:ascii="Arial"/>
                <w:sz w:val="21"/>
              </w:rPr>
            </w:pPr>
          </w:p>
        </w:tc>
        <w:tc>
          <w:tcPr>
            <w:tcW w:w="220" w:type="dxa"/>
            <w:vAlign w:val="top"/>
          </w:tcPr>
          <w:p w14:paraId="6F9BC19B">
            <w:pPr>
              <w:rPr>
                <w:rFonts w:ascii="Arial"/>
                <w:sz w:val="21"/>
              </w:rPr>
            </w:pPr>
          </w:p>
        </w:tc>
        <w:tc>
          <w:tcPr>
            <w:tcW w:w="229" w:type="dxa"/>
            <w:vAlign w:val="top"/>
          </w:tcPr>
          <w:p w14:paraId="7AC62CF8">
            <w:pPr>
              <w:rPr>
                <w:rFonts w:ascii="Arial"/>
                <w:sz w:val="21"/>
              </w:rPr>
            </w:pPr>
          </w:p>
        </w:tc>
        <w:tc>
          <w:tcPr>
            <w:tcW w:w="234" w:type="dxa"/>
            <w:vAlign w:val="top"/>
          </w:tcPr>
          <w:p w14:paraId="34ED38F3">
            <w:pPr>
              <w:pStyle w:val="6"/>
              <w:spacing w:before="113" w:line="238" w:lineRule="auto"/>
              <w:ind w:left="48"/>
              <w:rPr>
                <w:sz w:val="13"/>
                <w:szCs w:val="13"/>
              </w:rPr>
            </w:pPr>
            <w:r>
              <w:rPr>
                <w:sz w:val="13"/>
                <w:szCs w:val="13"/>
              </w:rPr>
              <w:t>√</w:t>
            </w:r>
          </w:p>
        </w:tc>
      </w:tr>
      <w:tr w14:paraId="441B17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943" w:type="dxa"/>
            <w:vMerge w:val="continue"/>
            <w:tcBorders>
              <w:top w:val="nil"/>
            </w:tcBorders>
            <w:vAlign w:val="top"/>
          </w:tcPr>
          <w:p w14:paraId="333047F0">
            <w:pPr>
              <w:rPr>
                <w:rFonts w:ascii="Arial"/>
                <w:sz w:val="21"/>
              </w:rPr>
            </w:pPr>
          </w:p>
        </w:tc>
        <w:tc>
          <w:tcPr>
            <w:tcW w:w="2274" w:type="dxa"/>
            <w:vAlign w:val="top"/>
          </w:tcPr>
          <w:p w14:paraId="7C899F8F">
            <w:pPr>
              <w:pStyle w:val="6"/>
              <w:spacing w:before="72" w:line="219" w:lineRule="auto"/>
              <w:ind w:left="2"/>
            </w:pPr>
            <w:r>
              <w:rPr>
                <w:spacing w:val="1"/>
              </w:rPr>
              <w:t>5.原始凭证的审核</w:t>
            </w:r>
          </w:p>
        </w:tc>
        <w:tc>
          <w:tcPr>
            <w:tcW w:w="230" w:type="dxa"/>
            <w:vAlign w:val="top"/>
          </w:tcPr>
          <w:p w14:paraId="4F5F0AF7">
            <w:pPr>
              <w:rPr>
                <w:rFonts w:ascii="Arial"/>
                <w:sz w:val="21"/>
              </w:rPr>
            </w:pPr>
          </w:p>
        </w:tc>
        <w:tc>
          <w:tcPr>
            <w:tcW w:w="220" w:type="dxa"/>
            <w:vAlign w:val="top"/>
          </w:tcPr>
          <w:p w14:paraId="2FBA61D9">
            <w:pPr>
              <w:rPr>
                <w:rFonts w:ascii="Arial"/>
                <w:sz w:val="21"/>
              </w:rPr>
            </w:pPr>
          </w:p>
        </w:tc>
        <w:tc>
          <w:tcPr>
            <w:tcW w:w="229" w:type="dxa"/>
            <w:vAlign w:val="top"/>
          </w:tcPr>
          <w:p w14:paraId="1A409144">
            <w:pPr>
              <w:pStyle w:val="6"/>
              <w:spacing w:before="116" w:line="182" w:lineRule="auto"/>
              <w:ind w:left="67"/>
            </w:pPr>
            <w:r>
              <w:t>V</w:t>
            </w:r>
          </w:p>
        </w:tc>
        <w:tc>
          <w:tcPr>
            <w:tcW w:w="234" w:type="dxa"/>
            <w:vAlign w:val="top"/>
          </w:tcPr>
          <w:p w14:paraId="092727E7">
            <w:pPr>
              <w:rPr>
                <w:rFonts w:ascii="Arial"/>
                <w:sz w:val="21"/>
              </w:rPr>
            </w:pPr>
          </w:p>
        </w:tc>
      </w:tr>
      <w:tr w14:paraId="04595D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943" w:type="dxa"/>
            <w:vMerge w:val="restart"/>
            <w:tcBorders>
              <w:bottom w:val="nil"/>
            </w:tcBorders>
            <w:vAlign w:val="top"/>
          </w:tcPr>
          <w:p w14:paraId="385850C6">
            <w:pPr>
              <w:spacing w:line="326" w:lineRule="auto"/>
              <w:rPr>
                <w:rFonts w:ascii="Arial"/>
                <w:sz w:val="21"/>
              </w:rPr>
            </w:pPr>
          </w:p>
          <w:p w14:paraId="2C85E221">
            <w:pPr>
              <w:spacing w:line="327" w:lineRule="auto"/>
              <w:rPr>
                <w:rFonts w:ascii="Arial"/>
                <w:sz w:val="21"/>
              </w:rPr>
            </w:pPr>
          </w:p>
          <w:p w14:paraId="77BE5654">
            <w:pPr>
              <w:pStyle w:val="6"/>
              <w:spacing w:before="56" w:line="219" w:lineRule="auto"/>
              <w:ind w:left="124"/>
            </w:pPr>
            <w:r>
              <w:rPr>
                <w:spacing w:val="-2"/>
              </w:rPr>
              <w:t>记账凭证</w:t>
            </w:r>
          </w:p>
        </w:tc>
        <w:tc>
          <w:tcPr>
            <w:tcW w:w="2274" w:type="dxa"/>
            <w:vAlign w:val="top"/>
          </w:tcPr>
          <w:p w14:paraId="2FB0BBB1">
            <w:pPr>
              <w:pStyle w:val="6"/>
              <w:spacing w:before="73" w:line="219" w:lineRule="auto"/>
              <w:ind w:left="2"/>
            </w:pPr>
            <w:r>
              <w:t>1.记账凭证的概念</w:t>
            </w:r>
          </w:p>
        </w:tc>
        <w:tc>
          <w:tcPr>
            <w:tcW w:w="230" w:type="dxa"/>
            <w:vAlign w:val="top"/>
          </w:tcPr>
          <w:p w14:paraId="26CA97FF">
            <w:pPr>
              <w:pStyle w:val="6"/>
              <w:spacing w:before="104" w:line="238" w:lineRule="auto"/>
              <w:ind w:left="47"/>
              <w:rPr>
                <w:sz w:val="13"/>
                <w:szCs w:val="13"/>
              </w:rPr>
            </w:pPr>
            <w:r>
              <w:rPr>
                <w:sz w:val="13"/>
                <w:szCs w:val="13"/>
              </w:rPr>
              <w:t>√</w:t>
            </w:r>
          </w:p>
        </w:tc>
        <w:tc>
          <w:tcPr>
            <w:tcW w:w="220" w:type="dxa"/>
            <w:vAlign w:val="top"/>
          </w:tcPr>
          <w:p w14:paraId="47F21826">
            <w:pPr>
              <w:rPr>
                <w:rFonts w:ascii="Arial"/>
                <w:sz w:val="21"/>
              </w:rPr>
            </w:pPr>
          </w:p>
        </w:tc>
        <w:tc>
          <w:tcPr>
            <w:tcW w:w="229" w:type="dxa"/>
            <w:vAlign w:val="top"/>
          </w:tcPr>
          <w:p w14:paraId="44059B96">
            <w:pPr>
              <w:rPr>
                <w:rFonts w:ascii="Arial"/>
                <w:sz w:val="21"/>
              </w:rPr>
            </w:pPr>
          </w:p>
        </w:tc>
        <w:tc>
          <w:tcPr>
            <w:tcW w:w="234" w:type="dxa"/>
            <w:vAlign w:val="top"/>
          </w:tcPr>
          <w:p w14:paraId="2063D21F">
            <w:pPr>
              <w:rPr>
                <w:rFonts w:ascii="Arial"/>
                <w:sz w:val="21"/>
              </w:rPr>
            </w:pPr>
          </w:p>
        </w:tc>
      </w:tr>
      <w:tr w14:paraId="7D176F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0" w:hRule="atLeast"/>
        </w:trPr>
        <w:tc>
          <w:tcPr>
            <w:tcW w:w="943" w:type="dxa"/>
            <w:vMerge w:val="continue"/>
            <w:tcBorders>
              <w:top w:val="nil"/>
              <w:bottom w:val="nil"/>
            </w:tcBorders>
            <w:vAlign w:val="top"/>
          </w:tcPr>
          <w:p w14:paraId="7BDBB6F4">
            <w:pPr>
              <w:rPr>
                <w:rFonts w:ascii="Arial"/>
                <w:sz w:val="21"/>
              </w:rPr>
            </w:pPr>
          </w:p>
        </w:tc>
        <w:tc>
          <w:tcPr>
            <w:tcW w:w="2274" w:type="dxa"/>
            <w:vAlign w:val="top"/>
          </w:tcPr>
          <w:p w14:paraId="1F62C896">
            <w:pPr>
              <w:pStyle w:val="6"/>
              <w:spacing w:before="74" w:line="219" w:lineRule="auto"/>
              <w:ind w:left="2"/>
            </w:pPr>
            <w:r>
              <w:rPr>
                <w:spacing w:val="-1"/>
              </w:rPr>
              <w:t>2.记账凭证的种类</w:t>
            </w:r>
          </w:p>
        </w:tc>
        <w:tc>
          <w:tcPr>
            <w:tcW w:w="230" w:type="dxa"/>
            <w:vAlign w:val="top"/>
          </w:tcPr>
          <w:p w14:paraId="33442B98">
            <w:pPr>
              <w:rPr>
                <w:rFonts w:ascii="Arial"/>
                <w:sz w:val="21"/>
              </w:rPr>
            </w:pPr>
          </w:p>
        </w:tc>
        <w:tc>
          <w:tcPr>
            <w:tcW w:w="220" w:type="dxa"/>
            <w:vAlign w:val="top"/>
          </w:tcPr>
          <w:p w14:paraId="3E7961A7">
            <w:pPr>
              <w:pStyle w:val="6"/>
              <w:spacing w:before="90" w:line="227" w:lineRule="auto"/>
              <w:ind w:left="18"/>
            </w:pPr>
            <w:r>
              <w:t>√</w:t>
            </w:r>
          </w:p>
        </w:tc>
        <w:tc>
          <w:tcPr>
            <w:tcW w:w="229" w:type="dxa"/>
            <w:vAlign w:val="top"/>
          </w:tcPr>
          <w:p w14:paraId="7ABA98B7">
            <w:pPr>
              <w:rPr>
                <w:rFonts w:ascii="Arial"/>
                <w:sz w:val="21"/>
              </w:rPr>
            </w:pPr>
          </w:p>
        </w:tc>
        <w:tc>
          <w:tcPr>
            <w:tcW w:w="234" w:type="dxa"/>
            <w:vAlign w:val="top"/>
          </w:tcPr>
          <w:p w14:paraId="43A2DB8F">
            <w:pPr>
              <w:rPr>
                <w:rFonts w:ascii="Arial"/>
                <w:sz w:val="21"/>
              </w:rPr>
            </w:pPr>
          </w:p>
        </w:tc>
      </w:tr>
      <w:tr w14:paraId="16821A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943" w:type="dxa"/>
            <w:vMerge w:val="continue"/>
            <w:tcBorders>
              <w:top w:val="nil"/>
              <w:bottom w:val="nil"/>
            </w:tcBorders>
            <w:vAlign w:val="top"/>
          </w:tcPr>
          <w:p w14:paraId="46C3FAD7">
            <w:pPr>
              <w:rPr>
                <w:rFonts w:ascii="Arial"/>
                <w:sz w:val="21"/>
              </w:rPr>
            </w:pPr>
          </w:p>
        </w:tc>
        <w:tc>
          <w:tcPr>
            <w:tcW w:w="2274" w:type="dxa"/>
            <w:vAlign w:val="top"/>
          </w:tcPr>
          <w:p w14:paraId="47722C14">
            <w:pPr>
              <w:pStyle w:val="6"/>
              <w:spacing w:before="84" w:line="219" w:lineRule="auto"/>
              <w:ind w:left="2"/>
            </w:pPr>
            <w:r>
              <w:rPr>
                <w:spacing w:val="-2"/>
              </w:rPr>
              <w:t>3.记账凭证的内容</w:t>
            </w:r>
          </w:p>
        </w:tc>
        <w:tc>
          <w:tcPr>
            <w:tcW w:w="230" w:type="dxa"/>
            <w:vAlign w:val="top"/>
          </w:tcPr>
          <w:p w14:paraId="33D56A4F">
            <w:pPr>
              <w:rPr>
                <w:rFonts w:ascii="Arial"/>
                <w:sz w:val="21"/>
              </w:rPr>
            </w:pPr>
          </w:p>
        </w:tc>
        <w:tc>
          <w:tcPr>
            <w:tcW w:w="220" w:type="dxa"/>
            <w:vAlign w:val="top"/>
          </w:tcPr>
          <w:p w14:paraId="09CEBF1E">
            <w:pPr>
              <w:pStyle w:val="6"/>
              <w:spacing w:before="100" w:line="226" w:lineRule="auto"/>
              <w:ind w:left="18"/>
            </w:pPr>
            <w:r>
              <w:t>√</w:t>
            </w:r>
          </w:p>
        </w:tc>
        <w:tc>
          <w:tcPr>
            <w:tcW w:w="229" w:type="dxa"/>
            <w:vAlign w:val="top"/>
          </w:tcPr>
          <w:p w14:paraId="0731DDC5">
            <w:pPr>
              <w:rPr>
                <w:rFonts w:ascii="Arial"/>
                <w:sz w:val="21"/>
              </w:rPr>
            </w:pPr>
          </w:p>
        </w:tc>
        <w:tc>
          <w:tcPr>
            <w:tcW w:w="234" w:type="dxa"/>
            <w:vAlign w:val="top"/>
          </w:tcPr>
          <w:p w14:paraId="3EF1C93A">
            <w:pPr>
              <w:rPr>
                <w:rFonts w:ascii="Arial"/>
                <w:sz w:val="21"/>
              </w:rPr>
            </w:pPr>
          </w:p>
        </w:tc>
      </w:tr>
      <w:tr w14:paraId="3F7DDE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0" w:hRule="atLeast"/>
        </w:trPr>
        <w:tc>
          <w:tcPr>
            <w:tcW w:w="943" w:type="dxa"/>
            <w:vMerge w:val="continue"/>
            <w:tcBorders>
              <w:top w:val="nil"/>
              <w:bottom w:val="nil"/>
            </w:tcBorders>
            <w:vAlign w:val="top"/>
          </w:tcPr>
          <w:p w14:paraId="4CF0CE34">
            <w:pPr>
              <w:rPr>
                <w:rFonts w:ascii="Arial"/>
                <w:sz w:val="21"/>
              </w:rPr>
            </w:pPr>
          </w:p>
        </w:tc>
        <w:tc>
          <w:tcPr>
            <w:tcW w:w="2274" w:type="dxa"/>
            <w:vAlign w:val="top"/>
          </w:tcPr>
          <w:p w14:paraId="036B2699">
            <w:pPr>
              <w:pStyle w:val="6"/>
              <w:spacing w:before="75" w:line="219" w:lineRule="auto"/>
              <w:ind w:left="2"/>
            </w:pPr>
            <w:r>
              <w:rPr>
                <w:spacing w:val="1"/>
              </w:rPr>
              <w:t>4.记账凭证的填制</w:t>
            </w:r>
          </w:p>
        </w:tc>
        <w:tc>
          <w:tcPr>
            <w:tcW w:w="230" w:type="dxa"/>
            <w:vAlign w:val="top"/>
          </w:tcPr>
          <w:p w14:paraId="118F0EDF">
            <w:pPr>
              <w:rPr>
                <w:rFonts w:ascii="Arial"/>
                <w:sz w:val="21"/>
              </w:rPr>
            </w:pPr>
          </w:p>
        </w:tc>
        <w:tc>
          <w:tcPr>
            <w:tcW w:w="220" w:type="dxa"/>
            <w:vAlign w:val="top"/>
          </w:tcPr>
          <w:p w14:paraId="7FA3D855">
            <w:pPr>
              <w:rPr>
                <w:rFonts w:ascii="Arial"/>
                <w:sz w:val="21"/>
              </w:rPr>
            </w:pPr>
          </w:p>
        </w:tc>
        <w:tc>
          <w:tcPr>
            <w:tcW w:w="229" w:type="dxa"/>
            <w:vAlign w:val="top"/>
          </w:tcPr>
          <w:p w14:paraId="3B73C8CE">
            <w:pPr>
              <w:rPr>
                <w:rFonts w:ascii="Arial"/>
                <w:sz w:val="21"/>
              </w:rPr>
            </w:pPr>
          </w:p>
        </w:tc>
        <w:tc>
          <w:tcPr>
            <w:tcW w:w="234" w:type="dxa"/>
            <w:vAlign w:val="top"/>
          </w:tcPr>
          <w:p w14:paraId="26874D0B">
            <w:pPr>
              <w:rPr>
                <w:rFonts w:ascii="Arial"/>
                <w:sz w:val="21"/>
              </w:rPr>
            </w:pPr>
          </w:p>
        </w:tc>
      </w:tr>
      <w:tr w14:paraId="0519CE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943" w:type="dxa"/>
            <w:vMerge w:val="continue"/>
            <w:tcBorders>
              <w:top w:val="nil"/>
            </w:tcBorders>
            <w:vAlign w:val="top"/>
          </w:tcPr>
          <w:p w14:paraId="360F2974">
            <w:pPr>
              <w:rPr>
                <w:rFonts w:ascii="Arial"/>
                <w:sz w:val="21"/>
              </w:rPr>
            </w:pPr>
          </w:p>
        </w:tc>
        <w:tc>
          <w:tcPr>
            <w:tcW w:w="2274" w:type="dxa"/>
            <w:vAlign w:val="top"/>
          </w:tcPr>
          <w:p w14:paraId="12E8533A">
            <w:pPr>
              <w:pStyle w:val="6"/>
              <w:spacing w:before="75" w:line="219" w:lineRule="auto"/>
              <w:ind w:left="2"/>
            </w:pPr>
            <w:r>
              <w:rPr>
                <w:spacing w:val="1"/>
              </w:rPr>
              <w:t>5.记账凭证的审核</w:t>
            </w:r>
          </w:p>
        </w:tc>
        <w:tc>
          <w:tcPr>
            <w:tcW w:w="230" w:type="dxa"/>
            <w:vAlign w:val="top"/>
          </w:tcPr>
          <w:p w14:paraId="5EBB1FDC">
            <w:pPr>
              <w:rPr>
                <w:rFonts w:ascii="Arial"/>
                <w:sz w:val="21"/>
              </w:rPr>
            </w:pPr>
          </w:p>
        </w:tc>
        <w:tc>
          <w:tcPr>
            <w:tcW w:w="220" w:type="dxa"/>
            <w:vAlign w:val="top"/>
          </w:tcPr>
          <w:p w14:paraId="2A2AC615">
            <w:pPr>
              <w:rPr>
                <w:rFonts w:ascii="Arial"/>
                <w:sz w:val="21"/>
              </w:rPr>
            </w:pPr>
          </w:p>
        </w:tc>
        <w:tc>
          <w:tcPr>
            <w:tcW w:w="229" w:type="dxa"/>
            <w:vAlign w:val="top"/>
          </w:tcPr>
          <w:p w14:paraId="5CA1590A">
            <w:pPr>
              <w:pStyle w:val="6"/>
              <w:spacing w:before="106" w:line="238" w:lineRule="auto"/>
              <w:ind w:left="48"/>
              <w:rPr>
                <w:sz w:val="13"/>
                <w:szCs w:val="13"/>
              </w:rPr>
            </w:pPr>
            <w:r>
              <w:rPr>
                <w:sz w:val="13"/>
                <w:szCs w:val="13"/>
              </w:rPr>
              <w:t>√</w:t>
            </w:r>
          </w:p>
        </w:tc>
        <w:tc>
          <w:tcPr>
            <w:tcW w:w="234" w:type="dxa"/>
            <w:vAlign w:val="top"/>
          </w:tcPr>
          <w:p w14:paraId="356403C3">
            <w:pPr>
              <w:rPr>
                <w:rFonts w:ascii="Arial"/>
                <w:sz w:val="21"/>
              </w:rPr>
            </w:pPr>
          </w:p>
        </w:tc>
      </w:tr>
      <w:tr w14:paraId="01AE2F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943" w:type="dxa"/>
            <w:vMerge w:val="restart"/>
            <w:tcBorders>
              <w:bottom w:val="nil"/>
            </w:tcBorders>
            <w:vAlign w:val="top"/>
          </w:tcPr>
          <w:p w14:paraId="1C1FC865">
            <w:pPr>
              <w:pStyle w:val="6"/>
              <w:spacing w:before="194" w:line="217" w:lineRule="auto"/>
              <w:ind w:left="124"/>
            </w:pPr>
            <w:r>
              <w:rPr>
                <w:spacing w:val="-2"/>
              </w:rPr>
              <w:t>会计凭证</w:t>
            </w:r>
          </w:p>
          <w:p w14:paraId="1B8AC672">
            <w:pPr>
              <w:pStyle w:val="6"/>
              <w:spacing w:line="218" w:lineRule="auto"/>
              <w:ind w:left="34"/>
            </w:pPr>
            <w:r>
              <w:rPr>
                <w:spacing w:val="1"/>
              </w:rPr>
              <w:t>的传递、装</w:t>
            </w:r>
          </w:p>
          <w:p w14:paraId="2D8FDE50">
            <w:pPr>
              <w:pStyle w:val="6"/>
              <w:spacing w:before="29" w:line="219" w:lineRule="auto"/>
              <w:ind w:left="124"/>
            </w:pPr>
            <w:r>
              <w:rPr>
                <w:spacing w:val="-2"/>
              </w:rPr>
              <w:t>订与保管</w:t>
            </w:r>
          </w:p>
        </w:tc>
        <w:tc>
          <w:tcPr>
            <w:tcW w:w="2274" w:type="dxa"/>
            <w:vAlign w:val="top"/>
          </w:tcPr>
          <w:p w14:paraId="0EA21389">
            <w:pPr>
              <w:pStyle w:val="6"/>
              <w:spacing w:before="73" w:line="219" w:lineRule="auto"/>
              <w:ind w:left="2"/>
            </w:pPr>
            <w:r>
              <w:t>1.会计凭证的传递</w:t>
            </w:r>
          </w:p>
        </w:tc>
        <w:tc>
          <w:tcPr>
            <w:tcW w:w="230" w:type="dxa"/>
            <w:vAlign w:val="top"/>
          </w:tcPr>
          <w:p w14:paraId="0F3CDBDE">
            <w:pPr>
              <w:pStyle w:val="6"/>
              <w:spacing w:before="106" w:line="238" w:lineRule="auto"/>
              <w:ind w:left="47"/>
              <w:rPr>
                <w:sz w:val="13"/>
                <w:szCs w:val="13"/>
              </w:rPr>
            </w:pPr>
            <w:r>
              <w:rPr>
                <w:sz w:val="13"/>
                <w:szCs w:val="13"/>
              </w:rPr>
              <w:t>√</w:t>
            </w:r>
          </w:p>
        </w:tc>
        <w:tc>
          <w:tcPr>
            <w:tcW w:w="220" w:type="dxa"/>
            <w:vAlign w:val="top"/>
          </w:tcPr>
          <w:p w14:paraId="77B9EED8">
            <w:pPr>
              <w:rPr>
                <w:rFonts w:ascii="Arial"/>
                <w:sz w:val="21"/>
              </w:rPr>
            </w:pPr>
          </w:p>
        </w:tc>
        <w:tc>
          <w:tcPr>
            <w:tcW w:w="229" w:type="dxa"/>
            <w:vAlign w:val="top"/>
          </w:tcPr>
          <w:p w14:paraId="7EADEAF0">
            <w:pPr>
              <w:rPr>
                <w:rFonts w:ascii="Arial"/>
                <w:sz w:val="21"/>
              </w:rPr>
            </w:pPr>
          </w:p>
        </w:tc>
        <w:tc>
          <w:tcPr>
            <w:tcW w:w="234" w:type="dxa"/>
            <w:vAlign w:val="top"/>
          </w:tcPr>
          <w:p w14:paraId="58245FD0">
            <w:pPr>
              <w:rPr>
                <w:rFonts w:ascii="Arial"/>
                <w:sz w:val="21"/>
              </w:rPr>
            </w:pPr>
          </w:p>
        </w:tc>
      </w:tr>
      <w:tr w14:paraId="07348C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943" w:type="dxa"/>
            <w:vMerge w:val="continue"/>
            <w:tcBorders>
              <w:top w:val="nil"/>
              <w:bottom w:val="nil"/>
            </w:tcBorders>
            <w:vAlign w:val="top"/>
          </w:tcPr>
          <w:p w14:paraId="695172A9">
            <w:pPr>
              <w:rPr>
                <w:rFonts w:ascii="Arial"/>
                <w:sz w:val="21"/>
              </w:rPr>
            </w:pPr>
          </w:p>
        </w:tc>
        <w:tc>
          <w:tcPr>
            <w:tcW w:w="2274" w:type="dxa"/>
            <w:vAlign w:val="top"/>
          </w:tcPr>
          <w:p w14:paraId="4CD532BE">
            <w:pPr>
              <w:pStyle w:val="6"/>
              <w:spacing w:before="84" w:line="219" w:lineRule="auto"/>
              <w:ind w:left="2"/>
            </w:pPr>
            <w:r>
              <w:rPr>
                <w:spacing w:val="-1"/>
              </w:rPr>
              <w:t>2.会计凭证的装订</w:t>
            </w:r>
          </w:p>
        </w:tc>
        <w:tc>
          <w:tcPr>
            <w:tcW w:w="230" w:type="dxa"/>
            <w:vAlign w:val="top"/>
          </w:tcPr>
          <w:p w14:paraId="3A4247F8">
            <w:pPr>
              <w:rPr>
                <w:rFonts w:ascii="Arial"/>
                <w:sz w:val="21"/>
              </w:rPr>
            </w:pPr>
          </w:p>
        </w:tc>
        <w:tc>
          <w:tcPr>
            <w:tcW w:w="220" w:type="dxa"/>
            <w:vAlign w:val="top"/>
          </w:tcPr>
          <w:p w14:paraId="57DF23F0">
            <w:pPr>
              <w:pStyle w:val="6"/>
              <w:spacing w:before="130" w:line="182" w:lineRule="auto"/>
              <w:ind w:left="58"/>
            </w:pPr>
            <w:r>
              <w:t>V</w:t>
            </w:r>
          </w:p>
        </w:tc>
        <w:tc>
          <w:tcPr>
            <w:tcW w:w="229" w:type="dxa"/>
            <w:vAlign w:val="top"/>
          </w:tcPr>
          <w:p w14:paraId="49C2D715">
            <w:pPr>
              <w:rPr>
                <w:rFonts w:ascii="Arial"/>
                <w:sz w:val="21"/>
              </w:rPr>
            </w:pPr>
          </w:p>
        </w:tc>
        <w:tc>
          <w:tcPr>
            <w:tcW w:w="234" w:type="dxa"/>
            <w:vAlign w:val="top"/>
          </w:tcPr>
          <w:p w14:paraId="2F84A8BD">
            <w:pPr>
              <w:rPr>
                <w:rFonts w:ascii="Arial"/>
                <w:sz w:val="21"/>
              </w:rPr>
            </w:pPr>
          </w:p>
        </w:tc>
      </w:tr>
      <w:tr w14:paraId="5F164A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5" w:hRule="atLeast"/>
        </w:trPr>
        <w:tc>
          <w:tcPr>
            <w:tcW w:w="943" w:type="dxa"/>
            <w:vMerge w:val="continue"/>
            <w:tcBorders>
              <w:top w:val="nil"/>
            </w:tcBorders>
            <w:vAlign w:val="top"/>
          </w:tcPr>
          <w:p w14:paraId="051899FC">
            <w:pPr>
              <w:rPr>
                <w:rFonts w:ascii="Arial"/>
                <w:sz w:val="21"/>
              </w:rPr>
            </w:pPr>
          </w:p>
        </w:tc>
        <w:tc>
          <w:tcPr>
            <w:tcW w:w="2274" w:type="dxa"/>
            <w:vAlign w:val="top"/>
          </w:tcPr>
          <w:p w14:paraId="462D06A6">
            <w:pPr>
              <w:pStyle w:val="6"/>
              <w:spacing w:before="75" w:line="219" w:lineRule="auto"/>
              <w:ind w:left="2"/>
            </w:pPr>
            <w:r>
              <w:rPr>
                <w:spacing w:val="-2"/>
              </w:rPr>
              <w:t>3.会计凭证的保管</w:t>
            </w:r>
          </w:p>
        </w:tc>
        <w:tc>
          <w:tcPr>
            <w:tcW w:w="230" w:type="dxa"/>
            <w:vAlign w:val="top"/>
          </w:tcPr>
          <w:p w14:paraId="694C6F3A">
            <w:pPr>
              <w:rPr>
                <w:rFonts w:ascii="Arial"/>
                <w:sz w:val="21"/>
              </w:rPr>
            </w:pPr>
          </w:p>
        </w:tc>
        <w:tc>
          <w:tcPr>
            <w:tcW w:w="220" w:type="dxa"/>
            <w:vAlign w:val="top"/>
          </w:tcPr>
          <w:p w14:paraId="56396A80">
            <w:pPr>
              <w:pStyle w:val="6"/>
              <w:spacing w:before="121" w:line="182" w:lineRule="auto"/>
              <w:ind w:left="58"/>
            </w:pPr>
            <w:r>
              <w:t>V</w:t>
            </w:r>
          </w:p>
        </w:tc>
        <w:tc>
          <w:tcPr>
            <w:tcW w:w="229" w:type="dxa"/>
            <w:vAlign w:val="top"/>
          </w:tcPr>
          <w:p w14:paraId="4F042ED9">
            <w:pPr>
              <w:rPr>
                <w:rFonts w:ascii="Arial"/>
                <w:sz w:val="21"/>
              </w:rPr>
            </w:pPr>
          </w:p>
        </w:tc>
        <w:tc>
          <w:tcPr>
            <w:tcW w:w="234" w:type="dxa"/>
            <w:vAlign w:val="top"/>
          </w:tcPr>
          <w:p w14:paraId="0DEC346E">
            <w:pPr>
              <w:rPr>
                <w:rFonts w:ascii="Arial"/>
                <w:sz w:val="21"/>
              </w:rPr>
            </w:pPr>
          </w:p>
        </w:tc>
      </w:tr>
    </w:tbl>
    <w:p w14:paraId="2CAD350F">
      <w:pPr>
        <w:spacing w:before="129" w:line="210" w:lineRule="auto"/>
        <w:ind w:left="1458"/>
        <w:rPr>
          <w:rFonts w:ascii="宋体" w:hAnsi="宋体" w:eastAsia="宋体" w:cs="宋体"/>
          <w:sz w:val="22"/>
          <w:szCs w:val="22"/>
        </w:rPr>
      </w:pPr>
      <w:r>
        <w:rPr>
          <w:rFonts w:ascii="宋体" w:hAnsi="宋体" w:eastAsia="宋体" w:cs="宋体"/>
          <w:b/>
          <w:bCs/>
          <w:spacing w:val="-2"/>
          <w:sz w:val="22"/>
          <w:szCs w:val="22"/>
        </w:rPr>
        <w:t>(五)会计账簿</w:t>
      </w:r>
    </w:p>
    <w:tbl>
      <w:tblPr>
        <w:tblStyle w:val="5"/>
        <w:tblW w:w="4130" w:type="dxa"/>
        <w:tblInd w:w="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63"/>
        <w:gridCol w:w="2354"/>
        <w:gridCol w:w="230"/>
        <w:gridCol w:w="220"/>
        <w:gridCol w:w="229"/>
        <w:gridCol w:w="234"/>
      </w:tblGrid>
      <w:tr w14:paraId="1EAB25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9" w:hRule="atLeast"/>
        </w:trPr>
        <w:tc>
          <w:tcPr>
            <w:tcW w:w="863" w:type="dxa"/>
            <w:vMerge w:val="restart"/>
            <w:tcBorders>
              <w:top w:val="single" w:color="000000" w:sz="2" w:space="0"/>
              <w:bottom w:val="nil"/>
            </w:tcBorders>
            <w:vAlign w:val="top"/>
          </w:tcPr>
          <w:p w14:paraId="311F30E1">
            <w:pPr>
              <w:pStyle w:val="6"/>
              <w:spacing w:before="146" w:line="223" w:lineRule="auto"/>
              <w:ind w:left="67" w:right="73" w:firstLine="90"/>
              <w:rPr>
                <w:sz w:val="18"/>
                <w:szCs w:val="18"/>
              </w:rPr>
            </w:pPr>
            <w:r>
              <w:rPr>
                <w:b/>
                <w:bCs/>
                <w:spacing w:val="1"/>
                <w:sz w:val="18"/>
                <w:szCs w:val="18"/>
              </w:rPr>
              <w:t>知识与</w:t>
            </w:r>
            <w:r>
              <w:rPr>
                <w:sz w:val="18"/>
                <w:szCs w:val="18"/>
              </w:rPr>
              <w:t xml:space="preserve">  </w:t>
            </w:r>
            <w:r>
              <w:rPr>
                <w:b/>
                <w:bCs/>
                <w:spacing w:val="-4"/>
                <w:sz w:val="18"/>
                <w:szCs w:val="18"/>
              </w:rPr>
              <w:t>技能要点</w:t>
            </w:r>
          </w:p>
        </w:tc>
        <w:tc>
          <w:tcPr>
            <w:tcW w:w="2354" w:type="dxa"/>
            <w:vMerge w:val="restart"/>
            <w:tcBorders>
              <w:top w:val="single" w:color="000000" w:sz="2" w:space="0"/>
              <w:bottom w:val="nil"/>
            </w:tcBorders>
            <w:vAlign w:val="top"/>
          </w:tcPr>
          <w:p w14:paraId="2519EE6E">
            <w:pPr>
              <w:pStyle w:val="6"/>
              <w:spacing w:before="254" w:line="219" w:lineRule="auto"/>
              <w:ind w:left="854"/>
              <w:rPr>
                <w:sz w:val="18"/>
                <w:szCs w:val="18"/>
              </w:rPr>
            </w:pPr>
            <w:r>
              <w:rPr>
                <w:b/>
                <w:bCs/>
                <w:spacing w:val="5"/>
                <w:sz w:val="18"/>
                <w:szCs w:val="18"/>
              </w:rPr>
              <w:t>考试条目</w:t>
            </w:r>
          </w:p>
        </w:tc>
        <w:tc>
          <w:tcPr>
            <w:tcW w:w="913" w:type="dxa"/>
            <w:gridSpan w:val="4"/>
            <w:tcBorders>
              <w:top w:val="single" w:color="000000" w:sz="2" w:space="0"/>
              <w:bottom w:val="single" w:color="000000" w:sz="2" w:space="0"/>
            </w:tcBorders>
            <w:vAlign w:val="top"/>
          </w:tcPr>
          <w:p w14:paraId="6430BD18">
            <w:pPr>
              <w:pStyle w:val="6"/>
              <w:spacing w:before="84" w:line="219" w:lineRule="auto"/>
              <w:ind w:left="140"/>
              <w:rPr>
                <w:sz w:val="18"/>
                <w:szCs w:val="18"/>
              </w:rPr>
            </w:pPr>
            <w:r>
              <w:rPr>
                <w:b/>
                <w:bCs/>
                <w:spacing w:val="-4"/>
                <w:sz w:val="18"/>
                <w:szCs w:val="18"/>
              </w:rPr>
              <w:t>考试水平</w:t>
            </w:r>
          </w:p>
        </w:tc>
      </w:tr>
      <w:tr w14:paraId="474E8C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4" w:hRule="atLeast"/>
        </w:trPr>
        <w:tc>
          <w:tcPr>
            <w:tcW w:w="863" w:type="dxa"/>
            <w:vMerge w:val="continue"/>
            <w:tcBorders>
              <w:top w:val="nil"/>
              <w:bottom w:val="single" w:color="000000" w:sz="2" w:space="0"/>
            </w:tcBorders>
            <w:vAlign w:val="top"/>
          </w:tcPr>
          <w:p w14:paraId="086F8352">
            <w:pPr>
              <w:rPr>
                <w:rFonts w:ascii="Arial"/>
                <w:sz w:val="21"/>
              </w:rPr>
            </w:pPr>
          </w:p>
        </w:tc>
        <w:tc>
          <w:tcPr>
            <w:tcW w:w="2354" w:type="dxa"/>
            <w:vMerge w:val="continue"/>
            <w:tcBorders>
              <w:top w:val="nil"/>
              <w:bottom w:val="single" w:color="000000" w:sz="2" w:space="0"/>
            </w:tcBorders>
            <w:vAlign w:val="top"/>
          </w:tcPr>
          <w:p w14:paraId="77571746">
            <w:pPr>
              <w:rPr>
                <w:rFonts w:ascii="Arial"/>
                <w:sz w:val="21"/>
              </w:rPr>
            </w:pPr>
          </w:p>
        </w:tc>
        <w:tc>
          <w:tcPr>
            <w:tcW w:w="230" w:type="dxa"/>
            <w:tcBorders>
              <w:top w:val="single" w:color="000000" w:sz="2" w:space="0"/>
              <w:bottom w:val="single" w:color="000000" w:sz="2" w:space="0"/>
            </w:tcBorders>
            <w:vAlign w:val="top"/>
          </w:tcPr>
          <w:p w14:paraId="0FBEF04D">
            <w:pPr>
              <w:pStyle w:val="6"/>
              <w:spacing w:before="118" w:line="184" w:lineRule="auto"/>
              <w:ind w:left="70"/>
              <w:rPr>
                <w:sz w:val="18"/>
                <w:szCs w:val="18"/>
              </w:rPr>
            </w:pPr>
            <w:r>
              <w:rPr>
                <w:b/>
                <w:bCs/>
                <w:spacing w:val="-2"/>
                <w:sz w:val="18"/>
                <w:szCs w:val="18"/>
              </w:rPr>
              <w:t>A</w:t>
            </w:r>
          </w:p>
        </w:tc>
        <w:tc>
          <w:tcPr>
            <w:tcW w:w="220" w:type="dxa"/>
            <w:tcBorders>
              <w:top w:val="single" w:color="000000" w:sz="2" w:space="0"/>
              <w:bottom w:val="single" w:color="000000" w:sz="2" w:space="0"/>
            </w:tcBorders>
            <w:vAlign w:val="top"/>
          </w:tcPr>
          <w:p w14:paraId="6720F622">
            <w:pPr>
              <w:pStyle w:val="6"/>
              <w:spacing w:before="120" w:line="182" w:lineRule="auto"/>
              <w:ind w:left="50"/>
              <w:rPr>
                <w:sz w:val="18"/>
                <w:szCs w:val="18"/>
              </w:rPr>
            </w:pPr>
            <w:r>
              <w:rPr>
                <w:b/>
                <w:bCs/>
                <w:spacing w:val="-2"/>
                <w:sz w:val="18"/>
                <w:szCs w:val="18"/>
              </w:rPr>
              <w:t>B</w:t>
            </w:r>
          </w:p>
        </w:tc>
        <w:tc>
          <w:tcPr>
            <w:tcW w:w="229" w:type="dxa"/>
            <w:tcBorders>
              <w:top w:val="single" w:color="000000" w:sz="2" w:space="0"/>
              <w:bottom w:val="single" w:color="000000" w:sz="2" w:space="0"/>
            </w:tcBorders>
            <w:vAlign w:val="top"/>
          </w:tcPr>
          <w:p w14:paraId="77D85727">
            <w:pPr>
              <w:pStyle w:val="6"/>
              <w:spacing w:before="118" w:line="183" w:lineRule="auto"/>
              <w:jc w:val="right"/>
              <w:rPr>
                <w:sz w:val="18"/>
                <w:szCs w:val="18"/>
              </w:rPr>
            </w:pPr>
            <w:r>
              <w:rPr>
                <w:b/>
                <w:bCs/>
                <w:spacing w:val="-10"/>
                <w:w w:val="96"/>
                <w:sz w:val="18"/>
                <w:szCs w:val="18"/>
              </w:rPr>
              <w:t>C</w:t>
            </w:r>
          </w:p>
        </w:tc>
        <w:tc>
          <w:tcPr>
            <w:tcW w:w="234" w:type="dxa"/>
            <w:tcBorders>
              <w:top w:val="single" w:color="000000" w:sz="2" w:space="0"/>
              <w:bottom w:val="single" w:color="000000" w:sz="2" w:space="0"/>
            </w:tcBorders>
            <w:vAlign w:val="top"/>
          </w:tcPr>
          <w:p w14:paraId="1423142E">
            <w:pPr>
              <w:pStyle w:val="6"/>
              <w:spacing w:before="120" w:line="182" w:lineRule="auto"/>
              <w:ind w:left="21"/>
              <w:rPr>
                <w:sz w:val="18"/>
                <w:szCs w:val="18"/>
              </w:rPr>
            </w:pPr>
            <w:r>
              <w:rPr>
                <w:b/>
                <w:bCs/>
                <w:spacing w:val="-2"/>
                <w:sz w:val="18"/>
                <w:szCs w:val="18"/>
              </w:rPr>
              <w:t>D</w:t>
            </w:r>
          </w:p>
        </w:tc>
      </w:tr>
      <w:tr w14:paraId="6D69C5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5" w:hRule="atLeast"/>
        </w:trPr>
        <w:tc>
          <w:tcPr>
            <w:tcW w:w="863" w:type="dxa"/>
            <w:vMerge w:val="restart"/>
            <w:tcBorders>
              <w:top w:val="single" w:color="000000" w:sz="2" w:space="0"/>
              <w:bottom w:val="nil"/>
            </w:tcBorders>
            <w:vAlign w:val="top"/>
          </w:tcPr>
          <w:p w14:paraId="4B68EB5C">
            <w:pPr>
              <w:pStyle w:val="6"/>
              <w:spacing w:before="252" w:line="219" w:lineRule="auto"/>
              <w:ind w:left="64"/>
              <w:rPr>
                <w:sz w:val="18"/>
                <w:szCs w:val="18"/>
              </w:rPr>
            </w:pPr>
            <w:r>
              <w:rPr>
                <w:spacing w:val="-2"/>
                <w:sz w:val="18"/>
                <w:szCs w:val="18"/>
              </w:rPr>
              <w:t>账簿概述</w:t>
            </w:r>
          </w:p>
        </w:tc>
        <w:tc>
          <w:tcPr>
            <w:tcW w:w="2354" w:type="dxa"/>
            <w:tcBorders>
              <w:top w:val="single" w:color="000000" w:sz="2" w:space="0"/>
              <w:bottom w:val="single" w:color="000000" w:sz="2" w:space="0"/>
            </w:tcBorders>
            <w:vAlign w:val="top"/>
          </w:tcPr>
          <w:p w14:paraId="6A1E03AD">
            <w:pPr>
              <w:pStyle w:val="6"/>
              <w:spacing w:before="82" w:line="219" w:lineRule="auto"/>
              <w:ind w:left="11"/>
              <w:rPr>
                <w:sz w:val="18"/>
                <w:szCs w:val="18"/>
              </w:rPr>
            </w:pPr>
            <w:r>
              <w:rPr>
                <w:spacing w:val="1"/>
                <w:sz w:val="18"/>
                <w:szCs w:val="18"/>
              </w:rPr>
              <w:t>1.账簿的概念</w:t>
            </w:r>
          </w:p>
        </w:tc>
        <w:tc>
          <w:tcPr>
            <w:tcW w:w="230" w:type="dxa"/>
            <w:tcBorders>
              <w:top w:val="single" w:color="000000" w:sz="2" w:space="0"/>
              <w:bottom w:val="single" w:color="000000" w:sz="2" w:space="0"/>
            </w:tcBorders>
            <w:vAlign w:val="top"/>
          </w:tcPr>
          <w:p w14:paraId="6A2E091B">
            <w:pPr>
              <w:pStyle w:val="6"/>
              <w:spacing w:before="115" w:line="238" w:lineRule="auto"/>
              <w:ind w:left="47"/>
              <w:rPr>
                <w:sz w:val="13"/>
                <w:szCs w:val="13"/>
              </w:rPr>
            </w:pPr>
            <w:r>
              <w:rPr>
                <w:sz w:val="13"/>
                <w:szCs w:val="13"/>
              </w:rPr>
              <w:t>√</w:t>
            </w:r>
          </w:p>
        </w:tc>
        <w:tc>
          <w:tcPr>
            <w:tcW w:w="220" w:type="dxa"/>
            <w:tcBorders>
              <w:top w:val="single" w:color="000000" w:sz="2" w:space="0"/>
              <w:bottom w:val="single" w:color="000000" w:sz="2" w:space="0"/>
            </w:tcBorders>
            <w:vAlign w:val="top"/>
          </w:tcPr>
          <w:p w14:paraId="4E9539BA">
            <w:pPr>
              <w:rPr>
                <w:rFonts w:ascii="Arial"/>
                <w:sz w:val="21"/>
              </w:rPr>
            </w:pPr>
          </w:p>
        </w:tc>
        <w:tc>
          <w:tcPr>
            <w:tcW w:w="229" w:type="dxa"/>
            <w:tcBorders>
              <w:top w:val="single" w:color="000000" w:sz="2" w:space="0"/>
              <w:bottom w:val="single" w:color="000000" w:sz="2" w:space="0"/>
            </w:tcBorders>
            <w:vAlign w:val="top"/>
          </w:tcPr>
          <w:p w14:paraId="53DDA6D4">
            <w:pPr>
              <w:rPr>
                <w:rFonts w:ascii="Arial"/>
                <w:sz w:val="21"/>
              </w:rPr>
            </w:pPr>
          </w:p>
        </w:tc>
        <w:tc>
          <w:tcPr>
            <w:tcW w:w="234" w:type="dxa"/>
            <w:tcBorders>
              <w:top w:val="single" w:color="000000" w:sz="2" w:space="0"/>
              <w:bottom w:val="single" w:color="000000" w:sz="2" w:space="0"/>
            </w:tcBorders>
            <w:vAlign w:val="top"/>
          </w:tcPr>
          <w:p w14:paraId="033F5F7B">
            <w:pPr>
              <w:rPr>
                <w:rFonts w:ascii="Arial"/>
                <w:sz w:val="21"/>
              </w:rPr>
            </w:pPr>
          </w:p>
        </w:tc>
      </w:tr>
      <w:tr w14:paraId="278313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5" w:hRule="atLeast"/>
        </w:trPr>
        <w:tc>
          <w:tcPr>
            <w:tcW w:w="863" w:type="dxa"/>
            <w:vMerge w:val="continue"/>
            <w:tcBorders>
              <w:top w:val="nil"/>
              <w:bottom w:val="single" w:color="000000" w:sz="2" w:space="0"/>
            </w:tcBorders>
            <w:vAlign w:val="top"/>
          </w:tcPr>
          <w:p w14:paraId="248A4958">
            <w:pPr>
              <w:rPr>
                <w:rFonts w:ascii="Arial"/>
                <w:sz w:val="21"/>
              </w:rPr>
            </w:pPr>
          </w:p>
        </w:tc>
        <w:tc>
          <w:tcPr>
            <w:tcW w:w="2354" w:type="dxa"/>
            <w:tcBorders>
              <w:top w:val="single" w:color="000000" w:sz="2" w:space="0"/>
              <w:bottom w:val="single" w:color="000000" w:sz="2" w:space="0"/>
            </w:tcBorders>
            <w:vAlign w:val="top"/>
          </w:tcPr>
          <w:p w14:paraId="2556D9B4">
            <w:pPr>
              <w:pStyle w:val="6"/>
              <w:spacing w:before="82" w:line="219" w:lineRule="auto"/>
              <w:ind w:left="11"/>
              <w:rPr>
                <w:sz w:val="18"/>
                <w:szCs w:val="18"/>
              </w:rPr>
            </w:pPr>
            <w:r>
              <w:rPr>
                <w:spacing w:val="-2"/>
                <w:sz w:val="18"/>
                <w:szCs w:val="18"/>
              </w:rPr>
              <w:t>2.账簿的种类</w:t>
            </w:r>
          </w:p>
        </w:tc>
        <w:tc>
          <w:tcPr>
            <w:tcW w:w="230" w:type="dxa"/>
            <w:tcBorders>
              <w:top w:val="single" w:color="000000" w:sz="2" w:space="0"/>
              <w:bottom w:val="single" w:color="000000" w:sz="2" w:space="0"/>
            </w:tcBorders>
            <w:vAlign w:val="top"/>
          </w:tcPr>
          <w:p w14:paraId="2BEBE4B6">
            <w:pPr>
              <w:pStyle w:val="6"/>
              <w:spacing w:before="114" w:line="238" w:lineRule="auto"/>
              <w:ind w:left="47"/>
              <w:rPr>
                <w:sz w:val="13"/>
                <w:szCs w:val="13"/>
              </w:rPr>
            </w:pPr>
            <w:r>
              <w:rPr>
                <w:sz w:val="13"/>
                <w:szCs w:val="13"/>
              </w:rPr>
              <w:t>√</w:t>
            </w:r>
          </w:p>
        </w:tc>
        <w:tc>
          <w:tcPr>
            <w:tcW w:w="220" w:type="dxa"/>
            <w:tcBorders>
              <w:top w:val="single" w:color="000000" w:sz="2" w:space="0"/>
              <w:bottom w:val="single" w:color="000000" w:sz="2" w:space="0"/>
            </w:tcBorders>
            <w:vAlign w:val="top"/>
          </w:tcPr>
          <w:p w14:paraId="2B679356">
            <w:pPr>
              <w:rPr>
                <w:rFonts w:ascii="Arial"/>
                <w:sz w:val="21"/>
              </w:rPr>
            </w:pPr>
          </w:p>
        </w:tc>
        <w:tc>
          <w:tcPr>
            <w:tcW w:w="229" w:type="dxa"/>
            <w:tcBorders>
              <w:top w:val="single" w:color="000000" w:sz="2" w:space="0"/>
              <w:bottom w:val="single" w:color="000000" w:sz="2" w:space="0"/>
            </w:tcBorders>
            <w:vAlign w:val="top"/>
          </w:tcPr>
          <w:p w14:paraId="64076980">
            <w:pPr>
              <w:rPr>
                <w:rFonts w:ascii="Arial"/>
                <w:sz w:val="21"/>
              </w:rPr>
            </w:pPr>
          </w:p>
        </w:tc>
        <w:tc>
          <w:tcPr>
            <w:tcW w:w="234" w:type="dxa"/>
            <w:tcBorders>
              <w:top w:val="single" w:color="000000" w:sz="2" w:space="0"/>
              <w:bottom w:val="single" w:color="000000" w:sz="2" w:space="0"/>
            </w:tcBorders>
            <w:vAlign w:val="top"/>
          </w:tcPr>
          <w:p w14:paraId="749AC19F">
            <w:pPr>
              <w:rPr>
                <w:rFonts w:ascii="Arial"/>
                <w:sz w:val="21"/>
              </w:rPr>
            </w:pPr>
          </w:p>
        </w:tc>
      </w:tr>
      <w:tr w14:paraId="2951B9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4" w:hRule="atLeast"/>
        </w:trPr>
        <w:tc>
          <w:tcPr>
            <w:tcW w:w="863" w:type="dxa"/>
            <w:vMerge w:val="restart"/>
            <w:tcBorders>
              <w:top w:val="single" w:color="000000" w:sz="2" w:space="0"/>
              <w:bottom w:val="nil"/>
            </w:tcBorders>
            <w:vAlign w:val="top"/>
          </w:tcPr>
          <w:p w14:paraId="60E5B766">
            <w:pPr>
              <w:pStyle w:val="6"/>
              <w:spacing w:before="142" w:line="229" w:lineRule="auto"/>
              <w:ind w:left="244" w:right="46" w:hanging="180"/>
              <w:rPr>
                <w:sz w:val="18"/>
                <w:szCs w:val="18"/>
              </w:rPr>
            </w:pPr>
            <w:r>
              <w:rPr>
                <w:spacing w:val="5"/>
                <w:sz w:val="18"/>
                <w:szCs w:val="18"/>
              </w:rPr>
              <w:t>账簿使用</w:t>
            </w:r>
            <w:r>
              <w:rPr>
                <w:sz w:val="18"/>
                <w:szCs w:val="18"/>
              </w:rPr>
              <w:t xml:space="preserve"> </w:t>
            </w:r>
            <w:r>
              <w:rPr>
                <w:spacing w:val="8"/>
                <w:sz w:val="18"/>
                <w:szCs w:val="18"/>
              </w:rPr>
              <w:t>规则</w:t>
            </w:r>
          </w:p>
        </w:tc>
        <w:tc>
          <w:tcPr>
            <w:tcW w:w="2354" w:type="dxa"/>
            <w:tcBorders>
              <w:top w:val="single" w:color="000000" w:sz="2" w:space="0"/>
              <w:bottom w:val="single" w:color="000000" w:sz="2" w:space="0"/>
            </w:tcBorders>
            <w:vAlign w:val="top"/>
          </w:tcPr>
          <w:p w14:paraId="283163EC">
            <w:pPr>
              <w:pStyle w:val="6"/>
              <w:spacing w:before="82" w:line="219" w:lineRule="auto"/>
              <w:ind w:left="11"/>
              <w:rPr>
                <w:sz w:val="18"/>
                <w:szCs w:val="18"/>
              </w:rPr>
            </w:pPr>
            <w:r>
              <w:rPr>
                <w:spacing w:val="1"/>
                <w:sz w:val="18"/>
                <w:szCs w:val="18"/>
              </w:rPr>
              <w:t>1.账簿的启用规则</w:t>
            </w:r>
          </w:p>
        </w:tc>
        <w:tc>
          <w:tcPr>
            <w:tcW w:w="230" w:type="dxa"/>
            <w:tcBorders>
              <w:top w:val="single" w:color="000000" w:sz="2" w:space="0"/>
              <w:bottom w:val="single" w:color="000000" w:sz="2" w:space="0"/>
            </w:tcBorders>
            <w:vAlign w:val="top"/>
          </w:tcPr>
          <w:p w14:paraId="1929600B">
            <w:pPr>
              <w:pStyle w:val="6"/>
              <w:spacing w:before="114" w:line="238" w:lineRule="auto"/>
              <w:ind w:left="47"/>
              <w:rPr>
                <w:sz w:val="13"/>
                <w:szCs w:val="13"/>
              </w:rPr>
            </w:pPr>
            <w:r>
              <w:rPr>
                <w:sz w:val="13"/>
                <w:szCs w:val="13"/>
              </w:rPr>
              <w:t>√</w:t>
            </w:r>
          </w:p>
        </w:tc>
        <w:tc>
          <w:tcPr>
            <w:tcW w:w="220" w:type="dxa"/>
            <w:tcBorders>
              <w:top w:val="single" w:color="000000" w:sz="2" w:space="0"/>
              <w:bottom w:val="single" w:color="000000" w:sz="2" w:space="0"/>
            </w:tcBorders>
            <w:vAlign w:val="top"/>
          </w:tcPr>
          <w:p w14:paraId="27E28885">
            <w:pPr>
              <w:rPr>
                <w:rFonts w:ascii="Arial"/>
                <w:sz w:val="21"/>
              </w:rPr>
            </w:pPr>
          </w:p>
        </w:tc>
        <w:tc>
          <w:tcPr>
            <w:tcW w:w="229" w:type="dxa"/>
            <w:tcBorders>
              <w:top w:val="single" w:color="000000" w:sz="2" w:space="0"/>
              <w:bottom w:val="single" w:color="000000" w:sz="2" w:space="0"/>
            </w:tcBorders>
            <w:vAlign w:val="top"/>
          </w:tcPr>
          <w:p w14:paraId="0111037B">
            <w:pPr>
              <w:rPr>
                <w:rFonts w:ascii="Arial"/>
                <w:sz w:val="21"/>
              </w:rPr>
            </w:pPr>
          </w:p>
        </w:tc>
        <w:tc>
          <w:tcPr>
            <w:tcW w:w="234" w:type="dxa"/>
            <w:tcBorders>
              <w:top w:val="single" w:color="000000" w:sz="2" w:space="0"/>
              <w:bottom w:val="single" w:color="000000" w:sz="2" w:space="0"/>
            </w:tcBorders>
            <w:vAlign w:val="top"/>
          </w:tcPr>
          <w:p w14:paraId="3372B2A7">
            <w:pPr>
              <w:rPr>
                <w:rFonts w:ascii="Arial"/>
                <w:sz w:val="21"/>
              </w:rPr>
            </w:pPr>
          </w:p>
        </w:tc>
      </w:tr>
      <w:tr w14:paraId="4ACBAB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5" w:hRule="atLeast"/>
        </w:trPr>
        <w:tc>
          <w:tcPr>
            <w:tcW w:w="863" w:type="dxa"/>
            <w:vMerge w:val="continue"/>
            <w:tcBorders>
              <w:top w:val="nil"/>
              <w:bottom w:val="single" w:color="000000" w:sz="2" w:space="0"/>
            </w:tcBorders>
            <w:vAlign w:val="top"/>
          </w:tcPr>
          <w:p w14:paraId="58DE9F5C">
            <w:pPr>
              <w:rPr>
                <w:rFonts w:ascii="Arial"/>
                <w:sz w:val="21"/>
              </w:rPr>
            </w:pPr>
          </w:p>
        </w:tc>
        <w:tc>
          <w:tcPr>
            <w:tcW w:w="2354" w:type="dxa"/>
            <w:tcBorders>
              <w:top w:val="single" w:color="000000" w:sz="2" w:space="0"/>
              <w:bottom w:val="single" w:color="000000" w:sz="2" w:space="0"/>
            </w:tcBorders>
            <w:vAlign w:val="top"/>
          </w:tcPr>
          <w:p w14:paraId="3B8A465A">
            <w:pPr>
              <w:pStyle w:val="6"/>
              <w:spacing w:before="83" w:line="219" w:lineRule="auto"/>
              <w:ind w:left="11"/>
              <w:rPr>
                <w:sz w:val="18"/>
                <w:szCs w:val="18"/>
              </w:rPr>
            </w:pPr>
            <w:r>
              <w:rPr>
                <w:spacing w:val="1"/>
                <w:sz w:val="18"/>
                <w:szCs w:val="18"/>
              </w:rPr>
              <w:t>2.账簿的登记规则</w:t>
            </w:r>
          </w:p>
        </w:tc>
        <w:tc>
          <w:tcPr>
            <w:tcW w:w="230" w:type="dxa"/>
            <w:tcBorders>
              <w:top w:val="single" w:color="000000" w:sz="2" w:space="0"/>
              <w:bottom w:val="single" w:color="000000" w:sz="2" w:space="0"/>
            </w:tcBorders>
            <w:vAlign w:val="top"/>
          </w:tcPr>
          <w:p w14:paraId="6E1CFCDA">
            <w:pPr>
              <w:rPr>
                <w:rFonts w:ascii="Arial"/>
                <w:sz w:val="21"/>
              </w:rPr>
            </w:pPr>
          </w:p>
        </w:tc>
        <w:tc>
          <w:tcPr>
            <w:tcW w:w="220" w:type="dxa"/>
            <w:tcBorders>
              <w:top w:val="single" w:color="000000" w:sz="2" w:space="0"/>
              <w:bottom w:val="single" w:color="000000" w:sz="2" w:space="0"/>
            </w:tcBorders>
            <w:vAlign w:val="top"/>
          </w:tcPr>
          <w:p w14:paraId="37E5AD7F">
            <w:pPr>
              <w:pStyle w:val="6"/>
              <w:spacing w:before="132" w:line="182" w:lineRule="auto"/>
              <w:ind w:left="17"/>
              <w:rPr>
                <w:sz w:val="18"/>
                <w:szCs w:val="18"/>
              </w:rPr>
            </w:pPr>
            <w:r>
              <w:rPr>
                <w:sz w:val="18"/>
                <w:szCs w:val="18"/>
              </w:rPr>
              <w:t>V</w:t>
            </w:r>
          </w:p>
        </w:tc>
        <w:tc>
          <w:tcPr>
            <w:tcW w:w="229" w:type="dxa"/>
            <w:tcBorders>
              <w:top w:val="single" w:color="000000" w:sz="2" w:space="0"/>
              <w:bottom w:val="single" w:color="000000" w:sz="2" w:space="0"/>
            </w:tcBorders>
            <w:vAlign w:val="top"/>
          </w:tcPr>
          <w:p w14:paraId="45937137">
            <w:pPr>
              <w:rPr>
                <w:rFonts w:ascii="Arial"/>
                <w:sz w:val="21"/>
              </w:rPr>
            </w:pPr>
          </w:p>
        </w:tc>
        <w:tc>
          <w:tcPr>
            <w:tcW w:w="234" w:type="dxa"/>
            <w:tcBorders>
              <w:top w:val="single" w:color="000000" w:sz="2" w:space="0"/>
              <w:bottom w:val="single" w:color="000000" w:sz="2" w:space="0"/>
            </w:tcBorders>
            <w:vAlign w:val="top"/>
          </w:tcPr>
          <w:p w14:paraId="52DE1076">
            <w:pPr>
              <w:rPr>
                <w:rFonts w:ascii="Arial"/>
                <w:sz w:val="21"/>
              </w:rPr>
            </w:pPr>
          </w:p>
        </w:tc>
      </w:tr>
      <w:tr w14:paraId="72DAD8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4" w:hRule="atLeast"/>
        </w:trPr>
        <w:tc>
          <w:tcPr>
            <w:tcW w:w="863" w:type="dxa"/>
            <w:vMerge w:val="restart"/>
            <w:tcBorders>
              <w:top w:val="single" w:color="000000" w:sz="2" w:space="0"/>
              <w:bottom w:val="nil"/>
            </w:tcBorders>
            <w:vAlign w:val="top"/>
          </w:tcPr>
          <w:p w14:paraId="58F1F1E4">
            <w:pPr>
              <w:spacing w:line="263" w:lineRule="auto"/>
              <w:rPr>
                <w:rFonts w:ascii="Arial"/>
                <w:sz w:val="21"/>
              </w:rPr>
            </w:pPr>
          </w:p>
          <w:p w14:paraId="566A0822">
            <w:pPr>
              <w:pStyle w:val="6"/>
              <w:spacing w:before="58" w:line="215" w:lineRule="auto"/>
              <w:ind w:left="64" w:right="73"/>
              <w:rPr>
                <w:sz w:val="18"/>
                <w:szCs w:val="18"/>
              </w:rPr>
            </w:pPr>
            <w:r>
              <w:rPr>
                <w:spacing w:val="-3"/>
                <w:sz w:val="18"/>
                <w:szCs w:val="18"/>
              </w:rPr>
              <w:t>账簿的设</w:t>
            </w:r>
            <w:r>
              <w:rPr>
                <w:spacing w:val="1"/>
                <w:sz w:val="18"/>
                <w:szCs w:val="18"/>
              </w:rPr>
              <w:t xml:space="preserve"> </w:t>
            </w:r>
            <w:r>
              <w:rPr>
                <w:spacing w:val="-2"/>
                <w:sz w:val="18"/>
                <w:szCs w:val="18"/>
              </w:rPr>
              <w:t>置与登记</w:t>
            </w:r>
          </w:p>
        </w:tc>
        <w:tc>
          <w:tcPr>
            <w:tcW w:w="2354" w:type="dxa"/>
            <w:tcBorders>
              <w:top w:val="single" w:color="000000" w:sz="2" w:space="0"/>
              <w:bottom w:val="single" w:color="000000" w:sz="2" w:space="0"/>
            </w:tcBorders>
            <w:vAlign w:val="top"/>
          </w:tcPr>
          <w:p w14:paraId="732CFEAD">
            <w:pPr>
              <w:pStyle w:val="6"/>
              <w:spacing w:before="85" w:line="221" w:lineRule="auto"/>
              <w:ind w:left="11"/>
              <w:rPr>
                <w:sz w:val="18"/>
                <w:szCs w:val="18"/>
              </w:rPr>
            </w:pPr>
            <w:r>
              <w:rPr>
                <w:spacing w:val="-3"/>
                <w:sz w:val="18"/>
                <w:szCs w:val="18"/>
              </w:rPr>
              <w:t>1.</w:t>
            </w:r>
            <w:r>
              <w:rPr>
                <w:spacing w:val="-45"/>
                <w:sz w:val="18"/>
                <w:szCs w:val="18"/>
              </w:rPr>
              <w:t xml:space="preserve"> </w:t>
            </w:r>
            <w:r>
              <w:rPr>
                <w:spacing w:val="-3"/>
                <w:sz w:val="18"/>
                <w:szCs w:val="18"/>
              </w:rPr>
              <w:t>日记账的设置与登记方法</w:t>
            </w:r>
          </w:p>
        </w:tc>
        <w:tc>
          <w:tcPr>
            <w:tcW w:w="230" w:type="dxa"/>
            <w:tcBorders>
              <w:top w:val="single" w:color="000000" w:sz="2" w:space="0"/>
              <w:bottom w:val="single" w:color="000000" w:sz="2" w:space="0"/>
            </w:tcBorders>
            <w:vAlign w:val="top"/>
          </w:tcPr>
          <w:p w14:paraId="1F0E3216">
            <w:pPr>
              <w:rPr>
                <w:rFonts w:ascii="Arial"/>
                <w:sz w:val="21"/>
              </w:rPr>
            </w:pPr>
          </w:p>
        </w:tc>
        <w:tc>
          <w:tcPr>
            <w:tcW w:w="220" w:type="dxa"/>
            <w:tcBorders>
              <w:top w:val="single" w:color="000000" w:sz="2" w:space="0"/>
              <w:bottom w:val="single" w:color="000000" w:sz="2" w:space="0"/>
            </w:tcBorders>
            <w:vAlign w:val="top"/>
          </w:tcPr>
          <w:p w14:paraId="0EED631D">
            <w:pPr>
              <w:rPr>
                <w:rFonts w:ascii="Arial"/>
                <w:sz w:val="21"/>
              </w:rPr>
            </w:pPr>
          </w:p>
        </w:tc>
        <w:tc>
          <w:tcPr>
            <w:tcW w:w="229" w:type="dxa"/>
            <w:tcBorders>
              <w:top w:val="single" w:color="000000" w:sz="2" w:space="0"/>
              <w:bottom w:val="single" w:color="000000" w:sz="2" w:space="0"/>
            </w:tcBorders>
            <w:vAlign w:val="top"/>
          </w:tcPr>
          <w:p w14:paraId="30515A36">
            <w:pPr>
              <w:rPr>
                <w:rFonts w:ascii="Arial"/>
                <w:sz w:val="21"/>
              </w:rPr>
            </w:pPr>
          </w:p>
        </w:tc>
        <w:tc>
          <w:tcPr>
            <w:tcW w:w="234" w:type="dxa"/>
            <w:tcBorders>
              <w:top w:val="single" w:color="000000" w:sz="2" w:space="0"/>
              <w:bottom w:val="single" w:color="000000" w:sz="2" w:space="0"/>
            </w:tcBorders>
            <w:vAlign w:val="top"/>
          </w:tcPr>
          <w:p w14:paraId="23274018">
            <w:pPr>
              <w:pStyle w:val="6"/>
              <w:spacing w:before="115" w:line="238" w:lineRule="auto"/>
              <w:ind w:left="19"/>
              <w:rPr>
                <w:sz w:val="13"/>
                <w:szCs w:val="13"/>
              </w:rPr>
            </w:pPr>
            <w:r>
              <w:rPr>
                <w:sz w:val="13"/>
                <w:szCs w:val="13"/>
              </w:rPr>
              <w:t>√</w:t>
            </w:r>
          </w:p>
        </w:tc>
      </w:tr>
      <w:tr w14:paraId="53F31B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5" w:hRule="atLeast"/>
        </w:trPr>
        <w:tc>
          <w:tcPr>
            <w:tcW w:w="863" w:type="dxa"/>
            <w:vMerge w:val="continue"/>
            <w:tcBorders>
              <w:top w:val="nil"/>
              <w:bottom w:val="nil"/>
            </w:tcBorders>
            <w:vAlign w:val="top"/>
          </w:tcPr>
          <w:p w14:paraId="1597F322">
            <w:pPr>
              <w:rPr>
                <w:rFonts w:ascii="Arial"/>
                <w:sz w:val="21"/>
              </w:rPr>
            </w:pPr>
          </w:p>
        </w:tc>
        <w:tc>
          <w:tcPr>
            <w:tcW w:w="2354" w:type="dxa"/>
            <w:tcBorders>
              <w:top w:val="single" w:color="000000" w:sz="2" w:space="0"/>
              <w:bottom w:val="single" w:color="000000" w:sz="2" w:space="0"/>
            </w:tcBorders>
            <w:vAlign w:val="top"/>
          </w:tcPr>
          <w:p w14:paraId="6499781B">
            <w:pPr>
              <w:pStyle w:val="6"/>
              <w:spacing w:before="85" w:line="219" w:lineRule="auto"/>
              <w:ind w:left="11"/>
              <w:rPr>
                <w:sz w:val="18"/>
                <w:szCs w:val="18"/>
              </w:rPr>
            </w:pPr>
            <w:r>
              <w:rPr>
                <w:spacing w:val="-1"/>
                <w:sz w:val="18"/>
                <w:szCs w:val="18"/>
              </w:rPr>
              <w:t>2.分类账的设置与登记方法</w:t>
            </w:r>
          </w:p>
        </w:tc>
        <w:tc>
          <w:tcPr>
            <w:tcW w:w="230" w:type="dxa"/>
            <w:tcBorders>
              <w:top w:val="single" w:color="000000" w:sz="2" w:space="0"/>
              <w:bottom w:val="single" w:color="000000" w:sz="2" w:space="0"/>
            </w:tcBorders>
            <w:vAlign w:val="top"/>
          </w:tcPr>
          <w:p w14:paraId="65D1CB55">
            <w:pPr>
              <w:rPr>
                <w:rFonts w:ascii="Arial"/>
                <w:sz w:val="21"/>
              </w:rPr>
            </w:pPr>
          </w:p>
        </w:tc>
        <w:tc>
          <w:tcPr>
            <w:tcW w:w="220" w:type="dxa"/>
            <w:tcBorders>
              <w:top w:val="single" w:color="000000" w:sz="2" w:space="0"/>
              <w:bottom w:val="single" w:color="000000" w:sz="2" w:space="0"/>
            </w:tcBorders>
            <w:vAlign w:val="top"/>
          </w:tcPr>
          <w:p w14:paraId="6171AA0B">
            <w:pPr>
              <w:rPr>
                <w:rFonts w:ascii="Arial"/>
                <w:sz w:val="21"/>
              </w:rPr>
            </w:pPr>
          </w:p>
        </w:tc>
        <w:tc>
          <w:tcPr>
            <w:tcW w:w="229" w:type="dxa"/>
            <w:tcBorders>
              <w:top w:val="single" w:color="000000" w:sz="2" w:space="0"/>
              <w:bottom w:val="single" w:color="000000" w:sz="2" w:space="0"/>
            </w:tcBorders>
            <w:vAlign w:val="top"/>
          </w:tcPr>
          <w:p w14:paraId="107F2F86">
            <w:pPr>
              <w:rPr>
                <w:rFonts w:ascii="Arial"/>
                <w:sz w:val="21"/>
              </w:rPr>
            </w:pPr>
          </w:p>
        </w:tc>
        <w:tc>
          <w:tcPr>
            <w:tcW w:w="234" w:type="dxa"/>
            <w:tcBorders>
              <w:top w:val="single" w:color="000000" w:sz="2" w:space="0"/>
              <w:bottom w:val="single" w:color="000000" w:sz="2" w:space="0"/>
            </w:tcBorders>
            <w:vAlign w:val="top"/>
          </w:tcPr>
          <w:p w14:paraId="5A8C0D33">
            <w:pPr>
              <w:pStyle w:val="6"/>
              <w:spacing w:before="116" w:line="238" w:lineRule="auto"/>
              <w:ind w:left="19"/>
              <w:rPr>
                <w:sz w:val="13"/>
                <w:szCs w:val="13"/>
              </w:rPr>
            </w:pPr>
            <w:r>
              <w:rPr>
                <w:sz w:val="13"/>
                <w:szCs w:val="13"/>
              </w:rPr>
              <w:t>√</w:t>
            </w:r>
          </w:p>
        </w:tc>
      </w:tr>
      <w:tr w14:paraId="7DC91F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4" w:hRule="atLeast"/>
        </w:trPr>
        <w:tc>
          <w:tcPr>
            <w:tcW w:w="863" w:type="dxa"/>
            <w:vMerge w:val="continue"/>
            <w:tcBorders>
              <w:top w:val="nil"/>
              <w:bottom w:val="single" w:color="000000" w:sz="2" w:space="0"/>
            </w:tcBorders>
            <w:vAlign w:val="top"/>
          </w:tcPr>
          <w:p w14:paraId="1CF2CA76">
            <w:pPr>
              <w:rPr>
                <w:rFonts w:ascii="Arial"/>
                <w:sz w:val="21"/>
              </w:rPr>
            </w:pPr>
          </w:p>
        </w:tc>
        <w:tc>
          <w:tcPr>
            <w:tcW w:w="2354" w:type="dxa"/>
            <w:tcBorders>
              <w:top w:val="single" w:color="000000" w:sz="2" w:space="0"/>
              <w:bottom w:val="single" w:color="000000" w:sz="2" w:space="0"/>
            </w:tcBorders>
            <w:vAlign w:val="top"/>
          </w:tcPr>
          <w:p w14:paraId="17808479">
            <w:pPr>
              <w:pStyle w:val="6"/>
              <w:spacing w:before="86" w:line="221" w:lineRule="auto"/>
              <w:ind w:left="11"/>
              <w:rPr>
                <w:sz w:val="18"/>
                <w:szCs w:val="18"/>
              </w:rPr>
            </w:pPr>
            <w:r>
              <w:rPr>
                <w:spacing w:val="-1"/>
                <w:sz w:val="18"/>
                <w:szCs w:val="18"/>
              </w:rPr>
              <w:t>3.备查账的设置与登记方法</w:t>
            </w:r>
          </w:p>
        </w:tc>
        <w:tc>
          <w:tcPr>
            <w:tcW w:w="230" w:type="dxa"/>
            <w:tcBorders>
              <w:top w:val="single" w:color="000000" w:sz="2" w:space="0"/>
              <w:bottom w:val="single" w:color="000000" w:sz="2" w:space="0"/>
            </w:tcBorders>
            <w:vAlign w:val="top"/>
          </w:tcPr>
          <w:p w14:paraId="379F0BAB">
            <w:pPr>
              <w:rPr>
                <w:rFonts w:ascii="Arial"/>
                <w:sz w:val="21"/>
              </w:rPr>
            </w:pPr>
          </w:p>
        </w:tc>
        <w:tc>
          <w:tcPr>
            <w:tcW w:w="220" w:type="dxa"/>
            <w:tcBorders>
              <w:top w:val="single" w:color="000000" w:sz="2" w:space="0"/>
              <w:bottom w:val="single" w:color="000000" w:sz="2" w:space="0"/>
            </w:tcBorders>
            <w:vAlign w:val="top"/>
          </w:tcPr>
          <w:p w14:paraId="7667B08D">
            <w:pPr>
              <w:pStyle w:val="6"/>
              <w:spacing w:before="132" w:line="182" w:lineRule="auto"/>
              <w:ind w:left="17"/>
              <w:rPr>
                <w:sz w:val="18"/>
                <w:szCs w:val="18"/>
              </w:rPr>
            </w:pPr>
            <w:r>
              <w:rPr>
                <w:sz w:val="18"/>
                <w:szCs w:val="18"/>
              </w:rPr>
              <w:t>V</w:t>
            </w:r>
          </w:p>
        </w:tc>
        <w:tc>
          <w:tcPr>
            <w:tcW w:w="229" w:type="dxa"/>
            <w:tcBorders>
              <w:top w:val="single" w:color="000000" w:sz="2" w:space="0"/>
              <w:bottom w:val="single" w:color="000000" w:sz="2" w:space="0"/>
            </w:tcBorders>
            <w:vAlign w:val="top"/>
          </w:tcPr>
          <w:p w14:paraId="4C702FB6">
            <w:pPr>
              <w:rPr>
                <w:rFonts w:ascii="Arial"/>
                <w:sz w:val="21"/>
              </w:rPr>
            </w:pPr>
          </w:p>
        </w:tc>
        <w:tc>
          <w:tcPr>
            <w:tcW w:w="234" w:type="dxa"/>
            <w:tcBorders>
              <w:top w:val="single" w:color="000000" w:sz="2" w:space="0"/>
              <w:bottom w:val="single" w:color="000000" w:sz="2" w:space="0"/>
            </w:tcBorders>
            <w:vAlign w:val="top"/>
          </w:tcPr>
          <w:p w14:paraId="0DFA6C0C">
            <w:pPr>
              <w:rPr>
                <w:rFonts w:ascii="Arial"/>
                <w:sz w:val="21"/>
              </w:rPr>
            </w:pPr>
          </w:p>
        </w:tc>
      </w:tr>
      <w:tr w14:paraId="718A7A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4" w:hRule="atLeast"/>
        </w:trPr>
        <w:tc>
          <w:tcPr>
            <w:tcW w:w="863" w:type="dxa"/>
            <w:vMerge w:val="restart"/>
            <w:tcBorders>
              <w:top w:val="single" w:color="000000" w:sz="2" w:space="0"/>
              <w:bottom w:val="nil"/>
            </w:tcBorders>
            <w:vAlign w:val="top"/>
          </w:tcPr>
          <w:p w14:paraId="030E8513">
            <w:pPr>
              <w:pStyle w:val="6"/>
              <w:spacing w:before="148" w:line="228" w:lineRule="auto"/>
              <w:ind w:left="244" w:right="75" w:hanging="180"/>
              <w:rPr>
                <w:sz w:val="18"/>
                <w:szCs w:val="18"/>
              </w:rPr>
            </w:pPr>
            <w:r>
              <w:rPr>
                <w:spacing w:val="-2"/>
                <w:sz w:val="18"/>
                <w:szCs w:val="18"/>
              </w:rPr>
              <w:t>错账更正</w:t>
            </w:r>
            <w:r>
              <w:rPr>
                <w:sz w:val="18"/>
                <w:szCs w:val="18"/>
              </w:rPr>
              <w:t xml:space="preserve"> </w:t>
            </w:r>
            <w:r>
              <w:rPr>
                <w:spacing w:val="-2"/>
                <w:sz w:val="18"/>
                <w:szCs w:val="18"/>
              </w:rPr>
              <w:t>方法</w:t>
            </w:r>
          </w:p>
        </w:tc>
        <w:tc>
          <w:tcPr>
            <w:tcW w:w="2354" w:type="dxa"/>
            <w:tcBorders>
              <w:top w:val="single" w:color="000000" w:sz="2" w:space="0"/>
              <w:bottom w:val="single" w:color="000000" w:sz="2" w:space="0"/>
            </w:tcBorders>
            <w:vAlign w:val="top"/>
          </w:tcPr>
          <w:p w14:paraId="19216769">
            <w:pPr>
              <w:pStyle w:val="6"/>
              <w:spacing w:before="86" w:line="220" w:lineRule="auto"/>
              <w:ind w:left="11"/>
              <w:rPr>
                <w:sz w:val="18"/>
                <w:szCs w:val="18"/>
              </w:rPr>
            </w:pPr>
            <w:r>
              <w:rPr>
                <w:sz w:val="18"/>
                <w:szCs w:val="18"/>
              </w:rPr>
              <w:t>1.查找错账方法</w:t>
            </w:r>
          </w:p>
        </w:tc>
        <w:tc>
          <w:tcPr>
            <w:tcW w:w="230" w:type="dxa"/>
            <w:tcBorders>
              <w:top w:val="single" w:color="000000" w:sz="2" w:space="0"/>
              <w:bottom w:val="single" w:color="000000" w:sz="2" w:space="0"/>
            </w:tcBorders>
            <w:vAlign w:val="top"/>
          </w:tcPr>
          <w:p w14:paraId="1122E50E">
            <w:pPr>
              <w:rPr>
                <w:rFonts w:ascii="Arial"/>
                <w:sz w:val="21"/>
              </w:rPr>
            </w:pPr>
          </w:p>
        </w:tc>
        <w:tc>
          <w:tcPr>
            <w:tcW w:w="220" w:type="dxa"/>
            <w:tcBorders>
              <w:top w:val="single" w:color="000000" w:sz="2" w:space="0"/>
              <w:bottom w:val="single" w:color="000000" w:sz="2" w:space="0"/>
            </w:tcBorders>
            <w:vAlign w:val="top"/>
          </w:tcPr>
          <w:p w14:paraId="3C15CA7C">
            <w:pPr>
              <w:pStyle w:val="6"/>
              <w:spacing w:before="133" w:line="182" w:lineRule="auto"/>
              <w:ind w:left="17"/>
              <w:rPr>
                <w:sz w:val="18"/>
                <w:szCs w:val="18"/>
              </w:rPr>
            </w:pPr>
            <w:r>
              <w:rPr>
                <w:sz w:val="18"/>
                <w:szCs w:val="18"/>
              </w:rPr>
              <w:t>V</w:t>
            </w:r>
          </w:p>
        </w:tc>
        <w:tc>
          <w:tcPr>
            <w:tcW w:w="229" w:type="dxa"/>
            <w:tcBorders>
              <w:top w:val="single" w:color="000000" w:sz="2" w:space="0"/>
              <w:bottom w:val="single" w:color="000000" w:sz="2" w:space="0"/>
            </w:tcBorders>
            <w:vAlign w:val="top"/>
          </w:tcPr>
          <w:p w14:paraId="06A75D18">
            <w:pPr>
              <w:rPr>
                <w:rFonts w:ascii="Arial"/>
                <w:sz w:val="21"/>
              </w:rPr>
            </w:pPr>
          </w:p>
        </w:tc>
        <w:tc>
          <w:tcPr>
            <w:tcW w:w="234" w:type="dxa"/>
            <w:tcBorders>
              <w:top w:val="single" w:color="000000" w:sz="2" w:space="0"/>
              <w:bottom w:val="single" w:color="000000" w:sz="2" w:space="0"/>
            </w:tcBorders>
            <w:vAlign w:val="top"/>
          </w:tcPr>
          <w:p w14:paraId="68FBEE9C">
            <w:pPr>
              <w:rPr>
                <w:rFonts w:ascii="Arial"/>
                <w:sz w:val="21"/>
              </w:rPr>
            </w:pPr>
          </w:p>
        </w:tc>
      </w:tr>
      <w:tr w14:paraId="799A6B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5" w:hRule="atLeast"/>
        </w:trPr>
        <w:tc>
          <w:tcPr>
            <w:tcW w:w="863" w:type="dxa"/>
            <w:vMerge w:val="continue"/>
            <w:tcBorders>
              <w:top w:val="nil"/>
              <w:bottom w:val="single" w:color="000000" w:sz="2" w:space="0"/>
            </w:tcBorders>
            <w:vAlign w:val="top"/>
          </w:tcPr>
          <w:p w14:paraId="42AB7C59">
            <w:pPr>
              <w:rPr>
                <w:rFonts w:ascii="Arial"/>
                <w:sz w:val="21"/>
              </w:rPr>
            </w:pPr>
          </w:p>
        </w:tc>
        <w:tc>
          <w:tcPr>
            <w:tcW w:w="2354" w:type="dxa"/>
            <w:tcBorders>
              <w:top w:val="single" w:color="000000" w:sz="2" w:space="0"/>
              <w:bottom w:val="single" w:color="000000" w:sz="2" w:space="0"/>
            </w:tcBorders>
            <w:vAlign w:val="top"/>
          </w:tcPr>
          <w:p w14:paraId="5D2936E5">
            <w:pPr>
              <w:pStyle w:val="6"/>
              <w:spacing w:before="88" w:line="221" w:lineRule="auto"/>
              <w:ind w:left="11"/>
              <w:rPr>
                <w:sz w:val="18"/>
                <w:szCs w:val="18"/>
              </w:rPr>
            </w:pPr>
            <w:r>
              <w:rPr>
                <w:spacing w:val="-2"/>
                <w:sz w:val="18"/>
                <w:szCs w:val="18"/>
              </w:rPr>
              <w:t>2.错账更正方法</w:t>
            </w:r>
          </w:p>
        </w:tc>
        <w:tc>
          <w:tcPr>
            <w:tcW w:w="230" w:type="dxa"/>
            <w:tcBorders>
              <w:top w:val="single" w:color="000000" w:sz="2" w:space="0"/>
              <w:bottom w:val="single" w:color="000000" w:sz="2" w:space="0"/>
            </w:tcBorders>
            <w:vAlign w:val="top"/>
          </w:tcPr>
          <w:p w14:paraId="1F0D84C9">
            <w:pPr>
              <w:rPr>
                <w:rFonts w:ascii="Arial"/>
                <w:sz w:val="21"/>
              </w:rPr>
            </w:pPr>
          </w:p>
        </w:tc>
        <w:tc>
          <w:tcPr>
            <w:tcW w:w="220" w:type="dxa"/>
            <w:tcBorders>
              <w:top w:val="single" w:color="000000" w:sz="2" w:space="0"/>
              <w:bottom w:val="single" w:color="000000" w:sz="2" w:space="0"/>
            </w:tcBorders>
            <w:vAlign w:val="top"/>
          </w:tcPr>
          <w:p w14:paraId="494FE099">
            <w:pPr>
              <w:pStyle w:val="6"/>
              <w:spacing w:before="134" w:line="182" w:lineRule="auto"/>
              <w:ind w:left="17"/>
              <w:rPr>
                <w:sz w:val="18"/>
                <w:szCs w:val="18"/>
              </w:rPr>
            </w:pPr>
            <w:r>
              <w:rPr>
                <w:sz w:val="18"/>
                <w:szCs w:val="18"/>
              </w:rPr>
              <w:t>V</w:t>
            </w:r>
          </w:p>
        </w:tc>
        <w:tc>
          <w:tcPr>
            <w:tcW w:w="229" w:type="dxa"/>
            <w:tcBorders>
              <w:top w:val="single" w:color="000000" w:sz="2" w:space="0"/>
              <w:bottom w:val="single" w:color="000000" w:sz="2" w:space="0"/>
            </w:tcBorders>
            <w:vAlign w:val="top"/>
          </w:tcPr>
          <w:p w14:paraId="4A2A7F40">
            <w:pPr>
              <w:rPr>
                <w:rFonts w:ascii="Arial"/>
                <w:sz w:val="21"/>
              </w:rPr>
            </w:pPr>
          </w:p>
        </w:tc>
        <w:tc>
          <w:tcPr>
            <w:tcW w:w="234" w:type="dxa"/>
            <w:tcBorders>
              <w:top w:val="single" w:color="000000" w:sz="2" w:space="0"/>
              <w:bottom w:val="single" w:color="000000" w:sz="2" w:space="0"/>
            </w:tcBorders>
            <w:vAlign w:val="top"/>
          </w:tcPr>
          <w:p w14:paraId="2F5E0E10">
            <w:pPr>
              <w:rPr>
                <w:rFonts w:ascii="Arial"/>
                <w:sz w:val="21"/>
              </w:rPr>
            </w:pPr>
          </w:p>
        </w:tc>
      </w:tr>
      <w:tr w14:paraId="177904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5" w:hRule="atLeast"/>
        </w:trPr>
        <w:tc>
          <w:tcPr>
            <w:tcW w:w="863" w:type="dxa"/>
            <w:vMerge w:val="restart"/>
            <w:tcBorders>
              <w:top w:val="single" w:color="000000" w:sz="2" w:space="0"/>
              <w:bottom w:val="nil"/>
            </w:tcBorders>
            <w:vAlign w:val="top"/>
          </w:tcPr>
          <w:p w14:paraId="3C82E132">
            <w:pPr>
              <w:pStyle w:val="6"/>
              <w:spacing w:before="168" w:line="221" w:lineRule="auto"/>
              <w:ind w:left="155"/>
              <w:rPr>
                <w:sz w:val="18"/>
                <w:szCs w:val="18"/>
              </w:rPr>
            </w:pPr>
            <w:r>
              <w:rPr>
                <w:spacing w:val="4"/>
                <w:sz w:val="18"/>
                <w:szCs w:val="18"/>
              </w:rPr>
              <w:t>对账与</w:t>
            </w:r>
          </w:p>
          <w:p w14:paraId="09BC30D4">
            <w:pPr>
              <w:pStyle w:val="6"/>
              <w:spacing w:before="4" w:line="221" w:lineRule="auto"/>
              <w:ind w:left="244"/>
              <w:rPr>
                <w:sz w:val="18"/>
                <w:szCs w:val="18"/>
              </w:rPr>
            </w:pPr>
            <w:r>
              <w:rPr>
                <w:spacing w:val="4"/>
                <w:sz w:val="18"/>
                <w:szCs w:val="18"/>
              </w:rPr>
              <w:t>结账</w:t>
            </w:r>
          </w:p>
        </w:tc>
        <w:tc>
          <w:tcPr>
            <w:tcW w:w="2354" w:type="dxa"/>
            <w:tcBorders>
              <w:top w:val="single" w:color="000000" w:sz="2" w:space="0"/>
              <w:bottom w:val="single" w:color="000000" w:sz="2" w:space="0"/>
            </w:tcBorders>
            <w:vAlign w:val="top"/>
          </w:tcPr>
          <w:p w14:paraId="49E77E15">
            <w:pPr>
              <w:pStyle w:val="6"/>
              <w:spacing w:before="88" w:line="221" w:lineRule="auto"/>
              <w:ind w:left="11"/>
              <w:rPr>
                <w:sz w:val="18"/>
                <w:szCs w:val="18"/>
              </w:rPr>
            </w:pPr>
            <w:r>
              <w:rPr>
                <w:spacing w:val="2"/>
                <w:sz w:val="18"/>
                <w:szCs w:val="18"/>
              </w:rPr>
              <w:t>1.对账</w:t>
            </w:r>
          </w:p>
        </w:tc>
        <w:tc>
          <w:tcPr>
            <w:tcW w:w="230" w:type="dxa"/>
            <w:tcBorders>
              <w:top w:val="single" w:color="000000" w:sz="2" w:space="0"/>
              <w:bottom w:val="single" w:color="000000" w:sz="2" w:space="0"/>
            </w:tcBorders>
            <w:vAlign w:val="top"/>
          </w:tcPr>
          <w:p w14:paraId="7A2045B9">
            <w:pPr>
              <w:rPr>
                <w:rFonts w:ascii="Arial"/>
                <w:sz w:val="21"/>
              </w:rPr>
            </w:pPr>
          </w:p>
        </w:tc>
        <w:tc>
          <w:tcPr>
            <w:tcW w:w="220" w:type="dxa"/>
            <w:tcBorders>
              <w:top w:val="single" w:color="000000" w:sz="2" w:space="0"/>
              <w:bottom w:val="single" w:color="000000" w:sz="2" w:space="0"/>
            </w:tcBorders>
            <w:vAlign w:val="top"/>
          </w:tcPr>
          <w:p w14:paraId="004FA3FA">
            <w:pPr>
              <w:rPr>
                <w:rFonts w:ascii="Arial"/>
                <w:sz w:val="21"/>
              </w:rPr>
            </w:pPr>
          </w:p>
        </w:tc>
        <w:tc>
          <w:tcPr>
            <w:tcW w:w="229" w:type="dxa"/>
            <w:tcBorders>
              <w:top w:val="single" w:color="000000" w:sz="2" w:space="0"/>
              <w:bottom w:val="single" w:color="000000" w:sz="2" w:space="0"/>
            </w:tcBorders>
            <w:vAlign w:val="top"/>
          </w:tcPr>
          <w:p w14:paraId="5118CF19">
            <w:pPr>
              <w:pStyle w:val="6"/>
              <w:spacing w:before="118" w:line="238" w:lineRule="auto"/>
              <w:ind w:left="27"/>
              <w:rPr>
                <w:sz w:val="13"/>
                <w:szCs w:val="13"/>
              </w:rPr>
            </w:pPr>
            <w:r>
              <w:rPr>
                <w:sz w:val="13"/>
                <w:szCs w:val="13"/>
              </w:rPr>
              <w:t>√</w:t>
            </w:r>
          </w:p>
        </w:tc>
        <w:tc>
          <w:tcPr>
            <w:tcW w:w="234" w:type="dxa"/>
            <w:tcBorders>
              <w:top w:val="single" w:color="000000" w:sz="2" w:space="0"/>
              <w:bottom w:val="single" w:color="000000" w:sz="2" w:space="0"/>
            </w:tcBorders>
            <w:vAlign w:val="top"/>
          </w:tcPr>
          <w:p w14:paraId="094918B4">
            <w:pPr>
              <w:rPr>
                <w:rFonts w:ascii="Arial"/>
                <w:sz w:val="21"/>
              </w:rPr>
            </w:pPr>
          </w:p>
        </w:tc>
      </w:tr>
      <w:tr w14:paraId="10C842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9" w:hRule="atLeast"/>
        </w:trPr>
        <w:tc>
          <w:tcPr>
            <w:tcW w:w="863" w:type="dxa"/>
            <w:vMerge w:val="continue"/>
            <w:tcBorders>
              <w:top w:val="nil"/>
              <w:bottom w:val="single" w:color="000000" w:sz="2" w:space="0"/>
            </w:tcBorders>
            <w:vAlign w:val="top"/>
          </w:tcPr>
          <w:p w14:paraId="13C0F316">
            <w:pPr>
              <w:rPr>
                <w:rFonts w:ascii="Arial"/>
                <w:sz w:val="21"/>
              </w:rPr>
            </w:pPr>
          </w:p>
        </w:tc>
        <w:tc>
          <w:tcPr>
            <w:tcW w:w="2354" w:type="dxa"/>
            <w:tcBorders>
              <w:top w:val="single" w:color="000000" w:sz="2" w:space="0"/>
              <w:bottom w:val="single" w:color="000000" w:sz="2" w:space="0"/>
            </w:tcBorders>
            <w:vAlign w:val="top"/>
          </w:tcPr>
          <w:p w14:paraId="3EC19B96">
            <w:pPr>
              <w:pStyle w:val="6"/>
              <w:spacing w:before="88" w:line="221" w:lineRule="auto"/>
              <w:ind w:left="11"/>
              <w:rPr>
                <w:sz w:val="18"/>
                <w:szCs w:val="18"/>
              </w:rPr>
            </w:pPr>
            <w:r>
              <w:rPr>
                <w:spacing w:val="-1"/>
                <w:sz w:val="18"/>
                <w:szCs w:val="18"/>
              </w:rPr>
              <w:t>2.结账</w:t>
            </w:r>
          </w:p>
        </w:tc>
        <w:tc>
          <w:tcPr>
            <w:tcW w:w="230" w:type="dxa"/>
            <w:tcBorders>
              <w:top w:val="single" w:color="000000" w:sz="2" w:space="0"/>
              <w:bottom w:val="single" w:color="000000" w:sz="2" w:space="0"/>
            </w:tcBorders>
            <w:vAlign w:val="top"/>
          </w:tcPr>
          <w:p w14:paraId="71CFE271">
            <w:pPr>
              <w:rPr>
                <w:rFonts w:ascii="Arial"/>
                <w:sz w:val="21"/>
              </w:rPr>
            </w:pPr>
          </w:p>
        </w:tc>
        <w:tc>
          <w:tcPr>
            <w:tcW w:w="220" w:type="dxa"/>
            <w:tcBorders>
              <w:top w:val="single" w:color="000000" w:sz="2" w:space="0"/>
              <w:bottom w:val="single" w:color="000000" w:sz="2" w:space="0"/>
            </w:tcBorders>
            <w:vAlign w:val="top"/>
          </w:tcPr>
          <w:p w14:paraId="212305A5">
            <w:pPr>
              <w:rPr>
                <w:rFonts w:ascii="Arial"/>
                <w:sz w:val="21"/>
              </w:rPr>
            </w:pPr>
          </w:p>
        </w:tc>
        <w:tc>
          <w:tcPr>
            <w:tcW w:w="229" w:type="dxa"/>
            <w:tcBorders>
              <w:top w:val="single" w:color="000000" w:sz="2" w:space="0"/>
              <w:bottom w:val="single" w:color="000000" w:sz="2" w:space="0"/>
            </w:tcBorders>
            <w:vAlign w:val="top"/>
          </w:tcPr>
          <w:p w14:paraId="1CEE33F5">
            <w:pPr>
              <w:rPr>
                <w:rFonts w:ascii="Arial"/>
                <w:sz w:val="21"/>
              </w:rPr>
            </w:pPr>
          </w:p>
        </w:tc>
        <w:tc>
          <w:tcPr>
            <w:tcW w:w="234" w:type="dxa"/>
            <w:tcBorders>
              <w:top w:val="single" w:color="000000" w:sz="2" w:space="0"/>
              <w:bottom w:val="single" w:color="000000" w:sz="2" w:space="0"/>
            </w:tcBorders>
            <w:vAlign w:val="top"/>
          </w:tcPr>
          <w:p w14:paraId="1459D5C8">
            <w:pPr>
              <w:pStyle w:val="6"/>
              <w:spacing w:before="118" w:line="238" w:lineRule="auto"/>
              <w:ind w:left="19"/>
              <w:rPr>
                <w:sz w:val="13"/>
                <w:szCs w:val="13"/>
              </w:rPr>
            </w:pPr>
            <w:r>
              <w:rPr>
                <w:sz w:val="13"/>
                <w:szCs w:val="13"/>
              </w:rPr>
              <w:t>√</w:t>
            </w:r>
          </w:p>
        </w:tc>
      </w:tr>
    </w:tbl>
    <w:p w14:paraId="740AD17A">
      <w:pPr>
        <w:pStyle w:val="2"/>
        <w:spacing w:line="14" w:lineRule="auto"/>
        <w:rPr>
          <w:sz w:val="2"/>
        </w:rPr>
      </w:pPr>
    </w:p>
    <w:p w14:paraId="3FD51058">
      <w:pPr>
        <w:spacing w:line="14" w:lineRule="auto"/>
        <w:rPr>
          <w:sz w:val="2"/>
          <w:szCs w:val="2"/>
        </w:rPr>
        <w:sectPr>
          <w:type w:val="continuous"/>
          <w:pgSz w:w="10660" w:h="15080"/>
          <w:pgMar w:top="400" w:right="1024" w:bottom="925" w:left="819" w:header="0" w:footer="705" w:gutter="0"/>
          <w:cols w:equalWidth="0" w:num="2">
            <w:col w:w="4566" w:space="100"/>
            <w:col w:w="4151"/>
          </w:cols>
        </w:sectPr>
      </w:pPr>
    </w:p>
    <w:p w14:paraId="63EB0FE1">
      <w:pPr>
        <w:spacing w:before="10"/>
      </w:pPr>
    </w:p>
    <w:p w14:paraId="26530253">
      <w:pPr>
        <w:spacing w:before="9"/>
      </w:pPr>
    </w:p>
    <w:p w14:paraId="48947468">
      <w:pPr>
        <w:spacing w:before="9"/>
      </w:pPr>
    </w:p>
    <w:p w14:paraId="4A3F3633">
      <w:pPr>
        <w:spacing w:before="9"/>
      </w:pPr>
    </w:p>
    <w:p w14:paraId="42A8513B">
      <w:pPr>
        <w:sectPr>
          <w:footerReference r:id="rId29" w:type="default"/>
          <w:pgSz w:w="10660" w:h="15080"/>
          <w:pgMar w:top="400" w:right="885" w:bottom="925" w:left="1034" w:header="0" w:footer="705" w:gutter="0"/>
          <w:cols w:equalWidth="0" w:num="1">
            <w:col w:w="8740"/>
          </w:cols>
        </w:sectPr>
      </w:pPr>
    </w:p>
    <w:p w14:paraId="18992BF5">
      <w:pPr>
        <w:spacing w:line="220" w:lineRule="auto"/>
        <w:ind w:left="937"/>
        <w:rPr>
          <w:rFonts w:ascii="黑体" w:hAnsi="黑体" w:eastAsia="黑体" w:cs="黑体"/>
          <w:sz w:val="21"/>
          <w:szCs w:val="21"/>
        </w:rPr>
      </w:pPr>
      <w:r>
        <w:rPr>
          <w:rFonts w:ascii="黑体" w:hAnsi="黑体" w:eastAsia="黑体" w:cs="黑体"/>
          <w:b/>
          <w:bCs/>
          <w:spacing w:val="-3"/>
          <w:sz w:val="21"/>
          <w:szCs w:val="21"/>
        </w:rPr>
        <w:t>(六)主要经济业务的核算</w:t>
      </w:r>
    </w:p>
    <w:p w14:paraId="36214B3E">
      <w:pPr>
        <w:spacing w:line="69" w:lineRule="exact"/>
      </w:pPr>
    </w:p>
    <w:tbl>
      <w:tblPr>
        <w:tblStyle w:val="5"/>
        <w:tblW w:w="410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63"/>
        <w:gridCol w:w="2334"/>
        <w:gridCol w:w="229"/>
        <w:gridCol w:w="229"/>
        <w:gridCol w:w="220"/>
        <w:gridCol w:w="234"/>
      </w:tblGrid>
      <w:tr w14:paraId="63AF2C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4" w:hRule="atLeast"/>
        </w:trPr>
        <w:tc>
          <w:tcPr>
            <w:tcW w:w="863" w:type="dxa"/>
            <w:vMerge w:val="restart"/>
            <w:tcBorders>
              <w:bottom w:val="nil"/>
            </w:tcBorders>
            <w:vAlign w:val="top"/>
          </w:tcPr>
          <w:p w14:paraId="2075DC97">
            <w:pPr>
              <w:pStyle w:val="6"/>
              <w:spacing w:before="131" w:line="223" w:lineRule="auto"/>
              <w:ind w:left="67" w:right="73" w:firstLine="89"/>
              <w:rPr>
                <w:sz w:val="18"/>
                <w:szCs w:val="18"/>
              </w:rPr>
            </w:pPr>
            <w:r>
              <w:rPr>
                <w:b/>
                <w:bCs/>
                <w:spacing w:val="1"/>
                <w:sz w:val="18"/>
                <w:szCs w:val="18"/>
              </w:rPr>
              <w:t>知识与</w:t>
            </w:r>
            <w:r>
              <w:rPr>
                <w:sz w:val="18"/>
                <w:szCs w:val="18"/>
              </w:rPr>
              <w:t xml:space="preserve">  </w:t>
            </w:r>
            <w:r>
              <w:rPr>
                <w:b/>
                <w:bCs/>
                <w:spacing w:val="-4"/>
                <w:sz w:val="18"/>
                <w:szCs w:val="18"/>
              </w:rPr>
              <w:t>技能要点</w:t>
            </w:r>
          </w:p>
        </w:tc>
        <w:tc>
          <w:tcPr>
            <w:tcW w:w="2334" w:type="dxa"/>
            <w:vMerge w:val="restart"/>
            <w:tcBorders>
              <w:bottom w:val="nil"/>
            </w:tcBorders>
            <w:vAlign w:val="top"/>
          </w:tcPr>
          <w:p w14:paraId="3C25861F">
            <w:pPr>
              <w:pStyle w:val="6"/>
              <w:spacing w:before="239" w:line="219" w:lineRule="auto"/>
              <w:ind w:left="854"/>
              <w:rPr>
                <w:sz w:val="18"/>
                <w:szCs w:val="18"/>
              </w:rPr>
            </w:pPr>
            <w:r>
              <w:rPr>
                <w:b/>
                <w:bCs/>
                <w:spacing w:val="5"/>
                <w:sz w:val="18"/>
                <w:szCs w:val="18"/>
              </w:rPr>
              <w:t>考试条目</w:t>
            </w:r>
          </w:p>
        </w:tc>
        <w:tc>
          <w:tcPr>
            <w:tcW w:w="912" w:type="dxa"/>
            <w:gridSpan w:val="4"/>
            <w:vAlign w:val="top"/>
          </w:tcPr>
          <w:p w14:paraId="10F8B4D2">
            <w:pPr>
              <w:pStyle w:val="6"/>
              <w:spacing w:before="79" w:line="219" w:lineRule="auto"/>
              <w:ind w:left="140"/>
              <w:rPr>
                <w:sz w:val="18"/>
                <w:szCs w:val="18"/>
              </w:rPr>
            </w:pPr>
            <w:r>
              <w:rPr>
                <w:b/>
                <w:bCs/>
                <w:spacing w:val="-4"/>
                <w:sz w:val="18"/>
                <w:szCs w:val="18"/>
              </w:rPr>
              <w:t>考试水平</w:t>
            </w:r>
          </w:p>
        </w:tc>
      </w:tr>
      <w:tr w14:paraId="4E3A90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0" w:hRule="atLeast"/>
        </w:trPr>
        <w:tc>
          <w:tcPr>
            <w:tcW w:w="863" w:type="dxa"/>
            <w:vMerge w:val="continue"/>
            <w:tcBorders>
              <w:top w:val="nil"/>
            </w:tcBorders>
            <w:vAlign w:val="top"/>
          </w:tcPr>
          <w:p w14:paraId="6446682E">
            <w:pPr>
              <w:rPr>
                <w:rFonts w:ascii="Arial"/>
                <w:sz w:val="21"/>
              </w:rPr>
            </w:pPr>
          </w:p>
        </w:tc>
        <w:tc>
          <w:tcPr>
            <w:tcW w:w="2334" w:type="dxa"/>
            <w:vMerge w:val="continue"/>
            <w:tcBorders>
              <w:top w:val="nil"/>
            </w:tcBorders>
            <w:vAlign w:val="top"/>
          </w:tcPr>
          <w:p w14:paraId="2D86B47A">
            <w:pPr>
              <w:rPr>
                <w:rFonts w:ascii="Arial"/>
                <w:sz w:val="21"/>
              </w:rPr>
            </w:pPr>
          </w:p>
        </w:tc>
        <w:tc>
          <w:tcPr>
            <w:tcW w:w="229" w:type="dxa"/>
            <w:vAlign w:val="top"/>
          </w:tcPr>
          <w:p w14:paraId="0DCAE876">
            <w:pPr>
              <w:pStyle w:val="6"/>
              <w:spacing w:before="113" w:line="184" w:lineRule="auto"/>
              <w:ind w:left="70"/>
              <w:rPr>
                <w:sz w:val="18"/>
                <w:szCs w:val="18"/>
              </w:rPr>
            </w:pPr>
            <w:r>
              <w:rPr>
                <w:b/>
                <w:bCs/>
                <w:spacing w:val="-2"/>
                <w:sz w:val="18"/>
                <w:szCs w:val="18"/>
              </w:rPr>
              <w:t>A</w:t>
            </w:r>
          </w:p>
        </w:tc>
        <w:tc>
          <w:tcPr>
            <w:tcW w:w="229" w:type="dxa"/>
            <w:vAlign w:val="top"/>
          </w:tcPr>
          <w:p w14:paraId="0124E416">
            <w:pPr>
              <w:pStyle w:val="6"/>
              <w:spacing w:before="115" w:line="182" w:lineRule="auto"/>
              <w:ind w:left="71"/>
              <w:rPr>
                <w:sz w:val="18"/>
                <w:szCs w:val="18"/>
              </w:rPr>
            </w:pPr>
            <w:r>
              <w:rPr>
                <w:b/>
                <w:bCs/>
                <w:spacing w:val="-2"/>
                <w:sz w:val="18"/>
                <w:szCs w:val="18"/>
              </w:rPr>
              <w:t>B</w:t>
            </w:r>
          </w:p>
        </w:tc>
        <w:tc>
          <w:tcPr>
            <w:tcW w:w="220" w:type="dxa"/>
            <w:vAlign w:val="top"/>
          </w:tcPr>
          <w:p w14:paraId="320992D4">
            <w:pPr>
              <w:pStyle w:val="6"/>
              <w:spacing w:before="106" w:line="183" w:lineRule="auto"/>
              <w:ind w:left="62"/>
              <w:rPr>
                <w:sz w:val="19"/>
                <w:szCs w:val="19"/>
              </w:rPr>
            </w:pPr>
            <w:r>
              <w:rPr>
                <w:b/>
                <w:bCs/>
                <w:spacing w:val="-2"/>
                <w:sz w:val="19"/>
                <w:szCs w:val="19"/>
              </w:rPr>
              <w:t>C</w:t>
            </w:r>
          </w:p>
        </w:tc>
        <w:tc>
          <w:tcPr>
            <w:tcW w:w="234" w:type="dxa"/>
            <w:vAlign w:val="top"/>
          </w:tcPr>
          <w:p w14:paraId="311985A0">
            <w:pPr>
              <w:pStyle w:val="6"/>
              <w:spacing w:before="115" w:line="182" w:lineRule="auto"/>
              <w:ind w:left="70"/>
              <w:rPr>
                <w:sz w:val="18"/>
                <w:szCs w:val="18"/>
              </w:rPr>
            </w:pPr>
            <w:r>
              <w:rPr>
                <w:sz w:val="18"/>
                <w:szCs w:val="18"/>
              </w:rPr>
              <w:t>D</w:t>
            </w:r>
          </w:p>
        </w:tc>
      </w:tr>
      <w:tr w14:paraId="0089F1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0" w:hRule="atLeast"/>
        </w:trPr>
        <w:tc>
          <w:tcPr>
            <w:tcW w:w="863" w:type="dxa"/>
            <w:vMerge w:val="restart"/>
            <w:tcBorders>
              <w:bottom w:val="nil"/>
            </w:tcBorders>
            <w:vAlign w:val="top"/>
          </w:tcPr>
          <w:p w14:paraId="52AC1A88">
            <w:pPr>
              <w:pStyle w:val="6"/>
              <w:spacing w:before="68" w:line="219" w:lineRule="auto"/>
              <w:ind w:left="65"/>
              <w:rPr>
                <w:sz w:val="18"/>
                <w:szCs w:val="18"/>
              </w:rPr>
            </w:pPr>
            <w:r>
              <w:rPr>
                <w:spacing w:val="-2"/>
                <w:sz w:val="18"/>
                <w:szCs w:val="18"/>
              </w:rPr>
              <w:t>企业筹集</w:t>
            </w:r>
          </w:p>
          <w:p w14:paraId="01178A84">
            <w:pPr>
              <w:pStyle w:val="6"/>
              <w:spacing w:before="47" w:line="193" w:lineRule="auto"/>
              <w:ind w:left="155"/>
              <w:rPr>
                <w:sz w:val="18"/>
                <w:szCs w:val="18"/>
              </w:rPr>
            </w:pPr>
            <w:r>
              <w:rPr>
                <w:spacing w:val="4"/>
                <w:sz w:val="18"/>
                <w:szCs w:val="18"/>
              </w:rPr>
              <w:t>资金的</w:t>
            </w:r>
          </w:p>
          <w:p w14:paraId="6BD8CC9B">
            <w:pPr>
              <w:pStyle w:val="6"/>
              <w:spacing w:line="219" w:lineRule="auto"/>
              <w:ind w:left="244"/>
              <w:rPr>
                <w:sz w:val="18"/>
                <w:szCs w:val="18"/>
              </w:rPr>
            </w:pPr>
            <w:r>
              <w:rPr>
                <w:spacing w:val="-3"/>
                <w:sz w:val="18"/>
                <w:szCs w:val="18"/>
              </w:rPr>
              <w:t>核算</w:t>
            </w:r>
          </w:p>
        </w:tc>
        <w:tc>
          <w:tcPr>
            <w:tcW w:w="2334" w:type="dxa"/>
            <w:vAlign w:val="top"/>
          </w:tcPr>
          <w:p w14:paraId="48E87610">
            <w:pPr>
              <w:pStyle w:val="6"/>
              <w:spacing w:before="67" w:line="219" w:lineRule="auto"/>
              <w:ind w:left="11"/>
              <w:rPr>
                <w:sz w:val="18"/>
                <w:szCs w:val="18"/>
              </w:rPr>
            </w:pPr>
            <w:r>
              <w:rPr>
                <w:spacing w:val="2"/>
                <w:sz w:val="18"/>
                <w:szCs w:val="18"/>
              </w:rPr>
              <w:t>1.应设置的主要会计科目</w:t>
            </w:r>
          </w:p>
        </w:tc>
        <w:tc>
          <w:tcPr>
            <w:tcW w:w="229" w:type="dxa"/>
            <w:vAlign w:val="top"/>
          </w:tcPr>
          <w:p w14:paraId="78EAC8B6">
            <w:pPr>
              <w:rPr>
                <w:rFonts w:ascii="Arial"/>
                <w:sz w:val="21"/>
              </w:rPr>
            </w:pPr>
          </w:p>
        </w:tc>
        <w:tc>
          <w:tcPr>
            <w:tcW w:w="229" w:type="dxa"/>
            <w:vAlign w:val="top"/>
          </w:tcPr>
          <w:p w14:paraId="5FDE9D42">
            <w:pPr>
              <w:rPr>
                <w:rFonts w:ascii="Arial"/>
                <w:sz w:val="21"/>
              </w:rPr>
            </w:pPr>
          </w:p>
        </w:tc>
        <w:tc>
          <w:tcPr>
            <w:tcW w:w="220" w:type="dxa"/>
            <w:vAlign w:val="top"/>
          </w:tcPr>
          <w:p w14:paraId="628478C7">
            <w:pPr>
              <w:pStyle w:val="6"/>
              <w:spacing w:before="107" w:line="238" w:lineRule="auto"/>
              <w:ind w:left="49"/>
              <w:rPr>
                <w:sz w:val="12"/>
                <w:szCs w:val="12"/>
              </w:rPr>
            </w:pPr>
            <w:r>
              <w:rPr>
                <w:sz w:val="12"/>
                <w:szCs w:val="12"/>
              </w:rPr>
              <w:t>√</w:t>
            </w:r>
          </w:p>
        </w:tc>
        <w:tc>
          <w:tcPr>
            <w:tcW w:w="234" w:type="dxa"/>
            <w:vAlign w:val="top"/>
          </w:tcPr>
          <w:p w14:paraId="5C22CB89">
            <w:pPr>
              <w:rPr>
                <w:rFonts w:ascii="Arial"/>
                <w:sz w:val="21"/>
              </w:rPr>
            </w:pPr>
          </w:p>
        </w:tc>
      </w:tr>
      <w:tr w14:paraId="6E0ACA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863" w:type="dxa"/>
            <w:vMerge w:val="continue"/>
            <w:tcBorders>
              <w:top w:val="nil"/>
            </w:tcBorders>
            <w:vAlign w:val="top"/>
          </w:tcPr>
          <w:p w14:paraId="4A28C507">
            <w:pPr>
              <w:rPr>
                <w:rFonts w:ascii="Arial"/>
                <w:sz w:val="21"/>
              </w:rPr>
            </w:pPr>
          </w:p>
        </w:tc>
        <w:tc>
          <w:tcPr>
            <w:tcW w:w="2334" w:type="dxa"/>
            <w:vAlign w:val="top"/>
          </w:tcPr>
          <w:p w14:paraId="7972B8AD">
            <w:pPr>
              <w:pStyle w:val="6"/>
              <w:spacing w:before="27" w:line="211" w:lineRule="auto"/>
              <w:ind w:left="11" w:right="161"/>
              <w:rPr>
                <w:sz w:val="18"/>
                <w:szCs w:val="18"/>
              </w:rPr>
            </w:pPr>
            <w:r>
              <w:rPr>
                <w:spacing w:val="-1"/>
                <w:sz w:val="18"/>
                <w:szCs w:val="18"/>
              </w:rPr>
              <w:t>2.投入资本业务与借入资金</w:t>
            </w:r>
            <w:r>
              <w:rPr>
                <w:spacing w:val="2"/>
                <w:sz w:val="18"/>
                <w:szCs w:val="18"/>
              </w:rPr>
              <w:t xml:space="preserve"> </w:t>
            </w:r>
            <w:r>
              <w:rPr>
                <w:spacing w:val="-2"/>
                <w:sz w:val="18"/>
                <w:szCs w:val="18"/>
              </w:rPr>
              <w:t>业务的核算</w:t>
            </w:r>
          </w:p>
        </w:tc>
        <w:tc>
          <w:tcPr>
            <w:tcW w:w="229" w:type="dxa"/>
            <w:vAlign w:val="top"/>
          </w:tcPr>
          <w:p w14:paraId="4ECCD9CF">
            <w:pPr>
              <w:rPr>
                <w:rFonts w:ascii="Arial"/>
                <w:sz w:val="21"/>
              </w:rPr>
            </w:pPr>
          </w:p>
        </w:tc>
        <w:tc>
          <w:tcPr>
            <w:tcW w:w="229" w:type="dxa"/>
            <w:vAlign w:val="top"/>
          </w:tcPr>
          <w:p w14:paraId="7F720B81">
            <w:pPr>
              <w:rPr>
                <w:rFonts w:ascii="Arial"/>
                <w:sz w:val="21"/>
              </w:rPr>
            </w:pPr>
          </w:p>
        </w:tc>
        <w:tc>
          <w:tcPr>
            <w:tcW w:w="220" w:type="dxa"/>
            <w:vAlign w:val="top"/>
          </w:tcPr>
          <w:p w14:paraId="531CE62E">
            <w:pPr>
              <w:rPr>
                <w:rFonts w:ascii="Arial"/>
                <w:sz w:val="21"/>
              </w:rPr>
            </w:pPr>
          </w:p>
        </w:tc>
        <w:tc>
          <w:tcPr>
            <w:tcW w:w="234" w:type="dxa"/>
            <w:vAlign w:val="top"/>
          </w:tcPr>
          <w:p w14:paraId="2945FA18">
            <w:pPr>
              <w:pStyle w:val="6"/>
              <w:spacing w:before="156" w:line="238" w:lineRule="auto"/>
              <w:ind w:left="19"/>
              <w:rPr>
                <w:sz w:val="18"/>
                <w:szCs w:val="18"/>
              </w:rPr>
            </w:pPr>
            <w:r>
              <w:rPr>
                <w:sz w:val="18"/>
                <w:szCs w:val="18"/>
              </w:rPr>
              <w:t>√</w:t>
            </w:r>
          </w:p>
        </w:tc>
      </w:tr>
      <w:tr w14:paraId="6152C4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9" w:hRule="atLeast"/>
        </w:trPr>
        <w:tc>
          <w:tcPr>
            <w:tcW w:w="863" w:type="dxa"/>
            <w:vMerge w:val="restart"/>
            <w:tcBorders>
              <w:bottom w:val="nil"/>
            </w:tcBorders>
            <w:vAlign w:val="top"/>
          </w:tcPr>
          <w:p w14:paraId="76DB0993">
            <w:pPr>
              <w:pStyle w:val="6"/>
              <w:spacing w:before="258" w:line="219" w:lineRule="auto"/>
              <w:ind w:left="65"/>
              <w:rPr>
                <w:sz w:val="18"/>
                <w:szCs w:val="18"/>
              </w:rPr>
            </w:pPr>
            <w:r>
              <w:rPr>
                <w:spacing w:val="-2"/>
                <w:sz w:val="18"/>
                <w:szCs w:val="18"/>
              </w:rPr>
              <w:t>供应过程</w:t>
            </w:r>
          </w:p>
          <w:p w14:paraId="5608BEC5">
            <w:pPr>
              <w:pStyle w:val="6"/>
              <w:spacing w:before="7" w:line="219" w:lineRule="auto"/>
              <w:ind w:left="155"/>
              <w:rPr>
                <w:sz w:val="18"/>
                <w:szCs w:val="18"/>
              </w:rPr>
            </w:pPr>
            <w:r>
              <w:rPr>
                <w:spacing w:val="2"/>
                <w:sz w:val="18"/>
                <w:szCs w:val="18"/>
              </w:rPr>
              <w:t>的核算</w:t>
            </w:r>
          </w:p>
        </w:tc>
        <w:tc>
          <w:tcPr>
            <w:tcW w:w="2334" w:type="dxa"/>
            <w:vAlign w:val="top"/>
          </w:tcPr>
          <w:p w14:paraId="41DF9CF4">
            <w:pPr>
              <w:pStyle w:val="6"/>
              <w:spacing w:before="58" w:line="219" w:lineRule="auto"/>
              <w:ind w:left="11"/>
              <w:rPr>
                <w:sz w:val="18"/>
                <w:szCs w:val="18"/>
              </w:rPr>
            </w:pPr>
            <w:r>
              <w:rPr>
                <w:spacing w:val="2"/>
                <w:sz w:val="18"/>
                <w:szCs w:val="18"/>
              </w:rPr>
              <w:t>1.应设置的主要会计科目</w:t>
            </w:r>
          </w:p>
        </w:tc>
        <w:tc>
          <w:tcPr>
            <w:tcW w:w="229" w:type="dxa"/>
            <w:vAlign w:val="top"/>
          </w:tcPr>
          <w:p w14:paraId="66A5A284">
            <w:pPr>
              <w:rPr>
                <w:rFonts w:ascii="Arial"/>
                <w:sz w:val="21"/>
              </w:rPr>
            </w:pPr>
          </w:p>
        </w:tc>
        <w:tc>
          <w:tcPr>
            <w:tcW w:w="229" w:type="dxa"/>
            <w:vAlign w:val="top"/>
          </w:tcPr>
          <w:p w14:paraId="102113B8">
            <w:pPr>
              <w:rPr>
                <w:rFonts w:ascii="Arial"/>
                <w:sz w:val="21"/>
              </w:rPr>
            </w:pPr>
          </w:p>
        </w:tc>
        <w:tc>
          <w:tcPr>
            <w:tcW w:w="220" w:type="dxa"/>
            <w:vAlign w:val="top"/>
          </w:tcPr>
          <w:p w14:paraId="5C3F7CEE">
            <w:pPr>
              <w:pStyle w:val="6"/>
              <w:spacing w:before="98" w:line="238" w:lineRule="auto"/>
              <w:ind w:left="49"/>
              <w:rPr>
                <w:sz w:val="12"/>
                <w:szCs w:val="12"/>
              </w:rPr>
            </w:pPr>
            <w:r>
              <w:rPr>
                <w:sz w:val="12"/>
                <w:szCs w:val="12"/>
              </w:rPr>
              <w:t>√</w:t>
            </w:r>
          </w:p>
        </w:tc>
        <w:tc>
          <w:tcPr>
            <w:tcW w:w="234" w:type="dxa"/>
            <w:vAlign w:val="top"/>
          </w:tcPr>
          <w:p w14:paraId="63AE2470">
            <w:pPr>
              <w:rPr>
                <w:rFonts w:ascii="Arial"/>
                <w:sz w:val="21"/>
              </w:rPr>
            </w:pPr>
          </w:p>
        </w:tc>
      </w:tr>
      <w:tr w14:paraId="57BE48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863" w:type="dxa"/>
            <w:vMerge w:val="continue"/>
            <w:tcBorders>
              <w:top w:val="nil"/>
              <w:bottom w:val="nil"/>
            </w:tcBorders>
            <w:vAlign w:val="top"/>
          </w:tcPr>
          <w:p w14:paraId="57DA1821">
            <w:pPr>
              <w:rPr>
                <w:rFonts w:ascii="Arial"/>
                <w:sz w:val="21"/>
              </w:rPr>
            </w:pPr>
          </w:p>
        </w:tc>
        <w:tc>
          <w:tcPr>
            <w:tcW w:w="2334" w:type="dxa"/>
            <w:vAlign w:val="top"/>
          </w:tcPr>
          <w:p w14:paraId="73E7C44A">
            <w:pPr>
              <w:pStyle w:val="6"/>
              <w:spacing w:before="59" w:line="219" w:lineRule="auto"/>
              <w:jc w:val="right"/>
              <w:rPr>
                <w:sz w:val="18"/>
                <w:szCs w:val="18"/>
              </w:rPr>
            </w:pPr>
            <w:r>
              <w:rPr>
                <w:spacing w:val="-15"/>
                <w:sz w:val="18"/>
                <w:szCs w:val="18"/>
              </w:rPr>
              <w:t>2.供应过</w:t>
            </w:r>
            <w:r>
              <w:rPr>
                <w:spacing w:val="-14"/>
                <w:sz w:val="18"/>
                <w:szCs w:val="18"/>
              </w:rPr>
              <w:t>程主要经济业务的核</w:t>
            </w:r>
            <w:r>
              <w:rPr>
                <w:spacing w:val="-9"/>
                <w:sz w:val="18"/>
                <w:szCs w:val="18"/>
              </w:rPr>
              <w:t>算</w:t>
            </w:r>
          </w:p>
        </w:tc>
        <w:tc>
          <w:tcPr>
            <w:tcW w:w="229" w:type="dxa"/>
            <w:vAlign w:val="top"/>
          </w:tcPr>
          <w:p w14:paraId="25C26CAA">
            <w:pPr>
              <w:rPr>
                <w:rFonts w:ascii="Arial"/>
                <w:sz w:val="21"/>
              </w:rPr>
            </w:pPr>
          </w:p>
        </w:tc>
        <w:tc>
          <w:tcPr>
            <w:tcW w:w="229" w:type="dxa"/>
            <w:vAlign w:val="top"/>
          </w:tcPr>
          <w:p w14:paraId="008B4B6F">
            <w:pPr>
              <w:rPr>
                <w:rFonts w:ascii="Arial"/>
                <w:sz w:val="21"/>
              </w:rPr>
            </w:pPr>
          </w:p>
        </w:tc>
        <w:tc>
          <w:tcPr>
            <w:tcW w:w="220" w:type="dxa"/>
            <w:vAlign w:val="top"/>
          </w:tcPr>
          <w:p w14:paraId="039F3FDE">
            <w:pPr>
              <w:rPr>
                <w:rFonts w:ascii="Arial"/>
                <w:sz w:val="21"/>
              </w:rPr>
            </w:pPr>
          </w:p>
        </w:tc>
        <w:tc>
          <w:tcPr>
            <w:tcW w:w="234" w:type="dxa"/>
            <w:vAlign w:val="top"/>
          </w:tcPr>
          <w:p w14:paraId="0BAC61C5">
            <w:pPr>
              <w:pStyle w:val="6"/>
              <w:spacing w:before="107" w:line="182" w:lineRule="auto"/>
              <w:ind w:left="70"/>
              <w:rPr>
                <w:sz w:val="18"/>
                <w:szCs w:val="18"/>
              </w:rPr>
            </w:pPr>
            <w:r>
              <w:rPr>
                <w:sz w:val="18"/>
                <w:szCs w:val="18"/>
              </w:rPr>
              <w:t>V</w:t>
            </w:r>
          </w:p>
        </w:tc>
      </w:tr>
      <w:tr w14:paraId="3C894D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863" w:type="dxa"/>
            <w:vMerge w:val="continue"/>
            <w:tcBorders>
              <w:top w:val="nil"/>
            </w:tcBorders>
            <w:vAlign w:val="top"/>
          </w:tcPr>
          <w:p w14:paraId="3825019A">
            <w:pPr>
              <w:rPr>
                <w:rFonts w:ascii="Arial"/>
                <w:sz w:val="21"/>
              </w:rPr>
            </w:pPr>
          </w:p>
        </w:tc>
        <w:tc>
          <w:tcPr>
            <w:tcW w:w="2334" w:type="dxa"/>
            <w:vAlign w:val="top"/>
          </w:tcPr>
          <w:p w14:paraId="52A26B9A">
            <w:pPr>
              <w:pStyle w:val="6"/>
              <w:spacing w:before="59" w:line="219" w:lineRule="auto"/>
              <w:ind w:left="11"/>
              <w:rPr>
                <w:sz w:val="18"/>
                <w:szCs w:val="18"/>
              </w:rPr>
            </w:pPr>
            <w:r>
              <w:rPr>
                <w:sz w:val="18"/>
                <w:szCs w:val="18"/>
              </w:rPr>
              <w:t>3.供应过程的核算程序</w:t>
            </w:r>
          </w:p>
        </w:tc>
        <w:tc>
          <w:tcPr>
            <w:tcW w:w="229" w:type="dxa"/>
            <w:vAlign w:val="top"/>
          </w:tcPr>
          <w:p w14:paraId="380A1140">
            <w:pPr>
              <w:pStyle w:val="6"/>
              <w:spacing w:before="99" w:line="238" w:lineRule="auto"/>
              <w:ind w:left="17"/>
              <w:rPr>
                <w:sz w:val="12"/>
                <w:szCs w:val="12"/>
              </w:rPr>
            </w:pPr>
            <w:r>
              <w:rPr>
                <w:sz w:val="12"/>
                <w:szCs w:val="12"/>
              </w:rPr>
              <w:t>√</w:t>
            </w:r>
          </w:p>
        </w:tc>
        <w:tc>
          <w:tcPr>
            <w:tcW w:w="229" w:type="dxa"/>
            <w:vAlign w:val="top"/>
          </w:tcPr>
          <w:p w14:paraId="6D13D5FD">
            <w:pPr>
              <w:rPr>
                <w:rFonts w:ascii="Arial"/>
                <w:sz w:val="21"/>
              </w:rPr>
            </w:pPr>
          </w:p>
        </w:tc>
        <w:tc>
          <w:tcPr>
            <w:tcW w:w="220" w:type="dxa"/>
            <w:vAlign w:val="top"/>
          </w:tcPr>
          <w:p w14:paraId="594A43D2">
            <w:pPr>
              <w:rPr>
                <w:rFonts w:ascii="Arial"/>
                <w:sz w:val="21"/>
              </w:rPr>
            </w:pPr>
          </w:p>
        </w:tc>
        <w:tc>
          <w:tcPr>
            <w:tcW w:w="234" w:type="dxa"/>
            <w:vAlign w:val="top"/>
          </w:tcPr>
          <w:p w14:paraId="1E375377">
            <w:pPr>
              <w:rPr>
                <w:rFonts w:ascii="Arial"/>
                <w:sz w:val="21"/>
              </w:rPr>
            </w:pPr>
          </w:p>
        </w:tc>
      </w:tr>
      <w:tr w14:paraId="2BB82D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863" w:type="dxa"/>
            <w:vMerge w:val="restart"/>
            <w:tcBorders>
              <w:bottom w:val="nil"/>
            </w:tcBorders>
            <w:vAlign w:val="top"/>
          </w:tcPr>
          <w:p w14:paraId="0091FD0A">
            <w:pPr>
              <w:spacing w:line="410" w:lineRule="auto"/>
              <w:rPr>
                <w:rFonts w:ascii="Arial"/>
                <w:sz w:val="21"/>
              </w:rPr>
            </w:pPr>
          </w:p>
          <w:p w14:paraId="232A3CEA">
            <w:pPr>
              <w:pStyle w:val="6"/>
              <w:spacing w:before="59" w:line="219" w:lineRule="auto"/>
              <w:ind w:left="65"/>
              <w:rPr>
                <w:sz w:val="18"/>
                <w:szCs w:val="18"/>
              </w:rPr>
            </w:pPr>
            <w:r>
              <w:rPr>
                <w:spacing w:val="-2"/>
                <w:sz w:val="18"/>
                <w:szCs w:val="18"/>
              </w:rPr>
              <w:t>生产过程</w:t>
            </w:r>
          </w:p>
          <w:p w14:paraId="42445FE8">
            <w:pPr>
              <w:pStyle w:val="6"/>
              <w:spacing w:before="6" w:line="219" w:lineRule="auto"/>
              <w:ind w:left="155"/>
              <w:rPr>
                <w:sz w:val="18"/>
                <w:szCs w:val="18"/>
              </w:rPr>
            </w:pPr>
            <w:r>
              <w:rPr>
                <w:spacing w:val="2"/>
                <w:sz w:val="18"/>
                <w:szCs w:val="18"/>
              </w:rPr>
              <w:t>的核算</w:t>
            </w:r>
          </w:p>
        </w:tc>
        <w:tc>
          <w:tcPr>
            <w:tcW w:w="2334" w:type="dxa"/>
            <w:vAlign w:val="top"/>
          </w:tcPr>
          <w:p w14:paraId="36A10F16">
            <w:pPr>
              <w:pStyle w:val="6"/>
              <w:spacing w:before="60" w:line="219" w:lineRule="auto"/>
              <w:ind w:left="11"/>
              <w:rPr>
                <w:sz w:val="18"/>
                <w:szCs w:val="18"/>
              </w:rPr>
            </w:pPr>
            <w:r>
              <w:rPr>
                <w:spacing w:val="2"/>
                <w:sz w:val="18"/>
                <w:szCs w:val="18"/>
              </w:rPr>
              <w:t>1.应设置的主要会计科目</w:t>
            </w:r>
          </w:p>
        </w:tc>
        <w:tc>
          <w:tcPr>
            <w:tcW w:w="229" w:type="dxa"/>
            <w:vAlign w:val="top"/>
          </w:tcPr>
          <w:p w14:paraId="2DDB789A">
            <w:pPr>
              <w:rPr>
                <w:rFonts w:ascii="Arial"/>
                <w:sz w:val="21"/>
              </w:rPr>
            </w:pPr>
          </w:p>
        </w:tc>
        <w:tc>
          <w:tcPr>
            <w:tcW w:w="229" w:type="dxa"/>
            <w:vAlign w:val="top"/>
          </w:tcPr>
          <w:p w14:paraId="2656729A">
            <w:pPr>
              <w:rPr>
                <w:rFonts w:ascii="Arial"/>
                <w:sz w:val="21"/>
              </w:rPr>
            </w:pPr>
          </w:p>
        </w:tc>
        <w:tc>
          <w:tcPr>
            <w:tcW w:w="220" w:type="dxa"/>
            <w:vAlign w:val="top"/>
          </w:tcPr>
          <w:p w14:paraId="5D35A073">
            <w:pPr>
              <w:pStyle w:val="6"/>
              <w:spacing w:before="101" w:line="238" w:lineRule="auto"/>
              <w:ind w:left="49"/>
              <w:rPr>
                <w:sz w:val="12"/>
                <w:szCs w:val="12"/>
              </w:rPr>
            </w:pPr>
            <w:r>
              <w:rPr>
                <w:sz w:val="12"/>
                <w:szCs w:val="12"/>
              </w:rPr>
              <w:t>√</w:t>
            </w:r>
          </w:p>
        </w:tc>
        <w:tc>
          <w:tcPr>
            <w:tcW w:w="234" w:type="dxa"/>
            <w:vAlign w:val="top"/>
          </w:tcPr>
          <w:p w14:paraId="61734F7E">
            <w:pPr>
              <w:rPr>
                <w:rFonts w:ascii="Arial"/>
                <w:sz w:val="21"/>
              </w:rPr>
            </w:pPr>
          </w:p>
        </w:tc>
      </w:tr>
      <w:tr w14:paraId="0ACA1C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49" w:hRule="atLeast"/>
        </w:trPr>
        <w:tc>
          <w:tcPr>
            <w:tcW w:w="863" w:type="dxa"/>
            <w:vMerge w:val="continue"/>
            <w:tcBorders>
              <w:top w:val="nil"/>
              <w:bottom w:val="nil"/>
            </w:tcBorders>
            <w:vAlign w:val="top"/>
          </w:tcPr>
          <w:p w14:paraId="3D014850">
            <w:pPr>
              <w:rPr>
                <w:rFonts w:ascii="Arial"/>
                <w:sz w:val="21"/>
              </w:rPr>
            </w:pPr>
          </w:p>
        </w:tc>
        <w:tc>
          <w:tcPr>
            <w:tcW w:w="2334" w:type="dxa"/>
            <w:vAlign w:val="top"/>
          </w:tcPr>
          <w:p w14:paraId="46DF69BF">
            <w:pPr>
              <w:pStyle w:val="6"/>
              <w:spacing w:before="51" w:line="201" w:lineRule="auto"/>
              <w:ind w:left="11" w:right="137"/>
              <w:rPr>
                <w:sz w:val="18"/>
                <w:szCs w:val="18"/>
              </w:rPr>
            </w:pPr>
            <w:r>
              <w:rPr>
                <w:spacing w:val="1"/>
                <w:sz w:val="18"/>
                <w:szCs w:val="18"/>
              </w:rPr>
              <w:t>2.生产过程主要经济业务的</w:t>
            </w:r>
            <w:r>
              <w:rPr>
                <w:sz w:val="18"/>
                <w:szCs w:val="18"/>
              </w:rPr>
              <w:t xml:space="preserve"> </w:t>
            </w:r>
            <w:r>
              <w:rPr>
                <w:spacing w:val="-1"/>
                <w:sz w:val="18"/>
                <w:szCs w:val="18"/>
              </w:rPr>
              <w:t>核算(增加权责发生制与收</w:t>
            </w:r>
            <w:r>
              <w:rPr>
                <w:sz w:val="18"/>
                <w:szCs w:val="18"/>
              </w:rPr>
              <w:t xml:space="preserve">  </w:t>
            </w:r>
            <w:r>
              <w:rPr>
                <w:spacing w:val="7"/>
                <w:sz w:val="18"/>
                <w:szCs w:val="18"/>
              </w:rPr>
              <w:t>付实现制)</w:t>
            </w:r>
          </w:p>
        </w:tc>
        <w:tc>
          <w:tcPr>
            <w:tcW w:w="229" w:type="dxa"/>
            <w:vAlign w:val="top"/>
          </w:tcPr>
          <w:p w14:paraId="34A44682">
            <w:pPr>
              <w:rPr>
                <w:rFonts w:ascii="Arial"/>
                <w:sz w:val="21"/>
              </w:rPr>
            </w:pPr>
          </w:p>
        </w:tc>
        <w:tc>
          <w:tcPr>
            <w:tcW w:w="229" w:type="dxa"/>
            <w:vAlign w:val="top"/>
          </w:tcPr>
          <w:p w14:paraId="11B528DC">
            <w:pPr>
              <w:rPr>
                <w:rFonts w:ascii="Arial"/>
                <w:sz w:val="21"/>
              </w:rPr>
            </w:pPr>
          </w:p>
        </w:tc>
        <w:tc>
          <w:tcPr>
            <w:tcW w:w="220" w:type="dxa"/>
            <w:vAlign w:val="top"/>
          </w:tcPr>
          <w:p w14:paraId="364D82FF">
            <w:pPr>
              <w:rPr>
                <w:rFonts w:ascii="Arial"/>
                <w:sz w:val="21"/>
              </w:rPr>
            </w:pPr>
          </w:p>
        </w:tc>
        <w:tc>
          <w:tcPr>
            <w:tcW w:w="234" w:type="dxa"/>
            <w:vAlign w:val="top"/>
          </w:tcPr>
          <w:p w14:paraId="17C0A9F4">
            <w:pPr>
              <w:rPr>
                <w:rFonts w:ascii="Arial"/>
                <w:sz w:val="21"/>
              </w:rPr>
            </w:pPr>
          </w:p>
        </w:tc>
      </w:tr>
      <w:tr w14:paraId="0ECF79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0" w:hRule="atLeast"/>
        </w:trPr>
        <w:tc>
          <w:tcPr>
            <w:tcW w:w="863" w:type="dxa"/>
            <w:vMerge w:val="continue"/>
            <w:tcBorders>
              <w:top w:val="nil"/>
            </w:tcBorders>
            <w:vAlign w:val="top"/>
          </w:tcPr>
          <w:p w14:paraId="795C2004">
            <w:pPr>
              <w:rPr>
                <w:rFonts w:ascii="Arial"/>
                <w:sz w:val="21"/>
              </w:rPr>
            </w:pPr>
          </w:p>
        </w:tc>
        <w:tc>
          <w:tcPr>
            <w:tcW w:w="2334" w:type="dxa"/>
            <w:vAlign w:val="top"/>
          </w:tcPr>
          <w:p w14:paraId="57B8D234">
            <w:pPr>
              <w:pStyle w:val="6"/>
              <w:spacing w:before="72" w:line="219" w:lineRule="auto"/>
              <w:ind w:left="11"/>
              <w:rPr>
                <w:sz w:val="18"/>
                <w:szCs w:val="18"/>
              </w:rPr>
            </w:pPr>
            <w:r>
              <w:rPr>
                <w:sz w:val="18"/>
                <w:szCs w:val="18"/>
              </w:rPr>
              <w:t>3.生产过程的核算程序</w:t>
            </w:r>
          </w:p>
        </w:tc>
        <w:tc>
          <w:tcPr>
            <w:tcW w:w="229" w:type="dxa"/>
            <w:vAlign w:val="top"/>
          </w:tcPr>
          <w:p w14:paraId="2D6223B3">
            <w:pPr>
              <w:pStyle w:val="6"/>
              <w:spacing w:before="112" w:line="238" w:lineRule="auto"/>
              <w:ind w:left="48"/>
              <w:rPr>
                <w:sz w:val="12"/>
                <w:szCs w:val="12"/>
              </w:rPr>
            </w:pPr>
            <w:r>
              <w:rPr>
                <w:sz w:val="12"/>
                <w:szCs w:val="12"/>
              </w:rPr>
              <w:t>√</w:t>
            </w:r>
          </w:p>
        </w:tc>
        <w:tc>
          <w:tcPr>
            <w:tcW w:w="229" w:type="dxa"/>
            <w:vAlign w:val="top"/>
          </w:tcPr>
          <w:p w14:paraId="6574FB97">
            <w:pPr>
              <w:rPr>
                <w:rFonts w:ascii="Arial"/>
                <w:sz w:val="21"/>
              </w:rPr>
            </w:pPr>
          </w:p>
        </w:tc>
        <w:tc>
          <w:tcPr>
            <w:tcW w:w="220" w:type="dxa"/>
            <w:vAlign w:val="top"/>
          </w:tcPr>
          <w:p w14:paraId="1798865E">
            <w:pPr>
              <w:rPr>
                <w:rFonts w:ascii="Arial"/>
                <w:sz w:val="21"/>
              </w:rPr>
            </w:pPr>
          </w:p>
        </w:tc>
        <w:tc>
          <w:tcPr>
            <w:tcW w:w="234" w:type="dxa"/>
            <w:vAlign w:val="top"/>
          </w:tcPr>
          <w:p w14:paraId="02775EBB">
            <w:pPr>
              <w:rPr>
                <w:rFonts w:ascii="Arial"/>
                <w:sz w:val="21"/>
              </w:rPr>
            </w:pPr>
          </w:p>
        </w:tc>
      </w:tr>
      <w:tr w14:paraId="30BBC0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863" w:type="dxa"/>
            <w:vMerge w:val="restart"/>
            <w:tcBorders>
              <w:bottom w:val="nil"/>
            </w:tcBorders>
            <w:vAlign w:val="top"/>
          </w:tcPr>
          <w:p w14:paraId="7D4DFC19">
            <w:pPr>
              <w:pStyle w:val="6"/>
              <w:spacing w:before="173" w:line="220" w:lineRule="auto"/>
              <w:ind w:left="65"/>
              <w:rPr>
                <w:sz w:val="18"/>
                <w:szCs w:val="18"/>
              </w:rPr>
            </w:pPr>
            <w:r>
              <w:rPr>
                <w:spacing w:val="-2"/>
                <w:sz w:val="18"/>
                <w:szCs w:val="18"/>
              </w:rPr>
              <w:t>销售过程</w:t>
            </w:r>
          </w:p>
          <w:p w14:paraId="05809EC4">
            <w:pPr>
              <w:pStyle w:val="6"/>
              <w:spacing w:before="15" w:line="219" w:lineRule="auto"/>
              <w:ind w:left="155"/>
              <w:rPr>
                <w:sz w:val="18"/>
                <w:szCs w:val="18"/>
              </w:rPr>
            </w:pPr>
            <w:r>
              <w:rPr>
                <w:spacing w:val="2"/>
                <w:sz w:val="18"/>
                <w:szCs w:val="18"/>
              </w:rPr>
              <w:t>的核算</w:t>
            </w:r>
          </w:p>
        </w:tc>
        <w:tc>
          <w:tcPr>
            <w:tcW w:w="2334" w:type="dxa"/>
            <w:vAlign w:val="top"/>
          </w:tcPr>
          <w:p w14:paraId="21AEAC37">
            <w:pPr>
              <w:pStyle w:val="6"/>
              <w:spacing w:before="61" w:line="219" w:lineRule="auto"/>
              <w:ind w:left="11"/>
              <w:rPr>
                <w:sz w:val="18"/>
                <w:szCs w:val="18"/>
              </w:rPr>
            </w:pPr>
            <w:r>
              <w:rPr>
                <w:spacing w:val="2"/>
                <w:sz w:val="18"/>
                <w:szCs w:val="18"/>
              </w:rPr>
              <w:t>1.应设置的主要会计科目</w:t>
            </w:r>
          </w:p>
        </w:tc>
        <w:tc>
          <w:tcPr>
            <w:tcW w:w="229" w:type="dxa"/>
            <w:vAlign w:val="top"/>
          </w:tcPr>
          <w:p w14:paraId="6413E363">
            <w:pPr>
              <w:rPr>
                <w:rFonts w:ascii="Arial"/>
                <w:sz w:val="21"/>
              </w:rPr>
            </w:pPr>
          </w:p>
        </w:tc>
        <w:tc>
          <w:tcPr>
            <w:tcW w:w="229" w:type="dxa"/>
            <w:vAlign w:val="top"/>
          </w:tcPr>
          <w:p w14:paraId="742AEC80">
            <w:pPr>
              <w:rPr>
                <w:rFonts w:ascii="Arial"/>
                <w:sz w:val="21"/>
              </w:rPr>
            </w:pPr>
          </w:p>
        </w:tc>
        <w:tc>
          <w:tcPr>
            <w:tcW w:w="220" w:type="dxa"/>
            <w:vAlign w:val="top"/>
          </w:tcPr>
          <w:p w14:paraId="59E797A8">
            <w:pPr>
              <w:pStyle w:val="6"/>
              <w:spacing w:before="101" w:line="238" w:lineRule="auto"/>
              <w:ind w:left="49"/>
              <w:rPr>
                <w:sz w:val="12"/>
                <w:szCs w:val="12"/>
              </w:rPr>
            </w:pPr>
            <w:r>
              <w:rPr>
                <w:sz w:val="12"/>
                <w:szCs w:val="12"/>
              </w:rPr>
              <w:t>√</w:t>
            </w:r>
          </w:p>
        </w:tc>
        <w:tc>
          <w:tcPr>
            <w:tcW w:w="234" w:type="dxa"/>
            <w:vAlign w:val="top"/>
          </w:tcPr>
          <w:p w14:paraId="384B9B9A">
            <w:pPr>
              <w:rPr>
                <w:rFonts w:ascii="Arial"/>
                <w:sz w:val="21"/>
              </w:rPr>
            </w:pPr>
          </w:p>
        </w:tc>
      </w:tr>
      <w:tr w14:paraId="4CB7CC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9" w:hRule="atLeast"/>
        </w:trPr>
        <w:tc>
          <w:tcPr>
            <w:tcW w:w="863" w:type="dxa"/>
            <w:vMerge w:val="continue"/>
            <w:tcBorders>
              <w:top w:val="nil"/>
            </w:tcBorders>
            <w:vAlign w:val="top"/>
          </w:tcPr>
          <w:p w14:paraId="2AB94F8B">
            <w:pPr>
              <w:rPr>
                <w:rFonts w:ascii="Arial"/>
                <w:sz w:val="21"/>
              </w:rPr>
            </w:pPr>
          </w:p>
        </w:tc>
        <w:tc>
          <w:tcPr>
            <w:tcW w:w="2334" w:type="dxa"/>
            <w:vAlign w:val="top"/>
          </w:tcPr>
          <w:p w14:paraId="1ECFA04B">
            <w:pPr>
              <w:pStyle w:val="6"/>
              <w:spacing w:before="23" w:line="203" w:lineRule="auto"/>
              <w:ind w:left="11" w:right="137"/>
              <w:rPr>
                <w:sz w:val="18"/>
                <w:szCs w:val="18"/>
              </w:rPr>
            </w:pPr>
            <w:r>
              <w:rPr>
                <w:spacing w:val="1"/>
                <w:sz w:val="18"/>
                <w:szCs w:val="18"/>
              </w:rPr>
              <w:t>2.销售过程主要经济业务的</w:t>
            </w:r>
            <w:r>
              <w:rPr>
                <w:sz w:val="18"/>
                <w:szCs w:val="18"/>
              </w:rPr>
              <w:t xml:space="preserve"> </w:t>
            </w:r>
            <w:r>
              <w:rPr>
                <w:spacing w:val="-3"/>
                <w:sz w:val="18"/>
                <w:szCs w:val="18"/>
              </w:rPr>
              <w:t>核算</w:t>
            </w:r>
          </w:p>
        </w:tc>
        <w:tc>
          <w:tcPr>
            <w:tcW w:w="229" w:type="dxa"/>
            <w:vAlign w:val="top"/>
          </w:tcPr>
          <w:p w14:paraId="7994258C">
            <w:pPr>
              <w:rPr>
                <w:rFonts w:ascii="Arial"/>
                <w:sz w:val="21"/>
              </w:rPr>
            </w:pPr>
          </w:p>
        </w:tc>
        <w:tc>
          <w:tcPr>
            <w:tcW w:w="229" w:type="dxa"/>
            <w:vAlign w:val="top"/>
          </w:tcPr>
          <w:p w14:paraId="7AC5E381">
            <w:pPr>
              <w:rPr>
                <w:rFonts w:ascii="Arial"/>
                <w:sz w:val="21"/>
              </w:rPr>
            </w:pPr>
          </w:p>
        </w:tc>
        <w:tc>
          <w:tcPr>
            <w:tcW w:w="220" w:type="dxa"/>
            <w:vAlign w:val="top"/>
          </w:tcPr>
          <w:p w14:paraId="715BB501">
            <w:pPr>
              <w:rPr>
                <w:rFonts w:ascii="Arial"/>
                <w:sz w:val="21"/>
              </w:rPr>
            </w:pPr>
          </w:p>
        </w:tc>
        <w:tc>
          <w:tcPr>
            <w:tcW w:w="234" w:type="dxa"/>
            <w:vAlign w:val="top"/>
          </w:tcPr>
          <w:p w14:paraId="0CDC14BC">
            <w:pPr>
              <w:pStyle w:val="6"/>
              <w:spacing w:before="172" w:line="238" w:lineRule="auto"/>
              <w:ind w:left="50"/>
              <w:rPr>
                <w:sz w:val="12"/>
                <w:szCs w:val="12"/>
              </w:rPr>
            </w:pPr>
            <w:r>
              <w:rPr>
                <w:sz w:val="12"/>
                <w:szCs w:val="12"/>
              </w:rPr>
              <w:t>√</w:t>
            </w:r>
          </w:p>
        </w:tc>
      </w:tr>
      <w:tr w14:paraId="289ABB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0" w:hRule="atLeast"/>
        </w:trPr>
        <w:tc>
          <w:tcPr>
            <w:tcW w:w="863" w:type="dxa"/>
            <w:vMerge w:val="restart"/>
            <w:tcBorders>
              <w:bottom w:val="nil"/>
            </w:tcBorders>
            <w:vAlign w:val="top"/>
          </w:tcPr>
          <w:p w14:paraId="6225AB3E">
            <w:pPr>
              <w:pStyle w:val="6"/>
              <w:spacing w:before="234" w:line="220" w:lineRule="auto"/>
              <w:ind w:left="65"/>
              <w:rPr>
                <w:sz w:val="18"/>
                <w:szCs w:val="18"/>
              </w:rPr>
            </w:pPr>
            <w:r>
              <w:rPr>
                <w:spacing w:val="-2"/>
                <w:sz w:val="18"/>
                <w:szCs w:val="18"/>
              </w:rPr>
              <w:t>利润形成</w:t>
            </w:r>
          </w:p>
          <w:p w14:paraId="3CDDD1B9">
            <w:pPr>
              <w:pStyle w:val="6"/>
              <w:spacing w:before="35" w:line="194" w:lineRule="auto"/>
              <w:ind w:left="65"/>
              <w:rPr>
                <w:sz w:val="18"/>
                <w:szCs w:val="18"/>
              </w:rPr>
            </w:pPr>
            <w:r>
              <w:rPr>
                <w:spacing w:val="-2"/>
                <w:sz w:val="18"/>
                <w:szCs w:val="18"/>
              </w:rPr>
              <w:t>及其分配</w:t>
            </w:r>
          </w:p>
          <w:p w14:paraId="5B4ADB7F">
            <w:pPr>
              <w:pStyle w:val="6"/>
              <w:spacing w:line="219" w:lineRule="auto"/>
              <w:ind w:left="155"/>
              <w:rPr>
                <w:sz w:val="18"/>
                <w:szCs w:val="18"/>
              </w:rPr>
            </w:pPr>
            <w:r>
              <w:rPr>
                <w:spacing w:val="2"/>
                <w:sz w:val="18"/>
                <w:szCs w:val="18"/>
              </w:rPr>
              <w:t>的核算</w:t>
            </w:r>
          </w:p>
        </w:tc>
        <w:tc>
          <w:tcPr>
            <w:tcW w:w="2334" w:type="dxa"/>
            <w:vAlign w:val="top"/>
          </w:tcPr>
          <w:p w14:paraId="66393316">
            <w:pPr>
              <w:pStyle w:val="6"/>
              <w:spacing w:before="73" w:line="219" w:lineRule="auto"/>
              <w:ind w:left="11"/>
              <w:rPr>
                <w:sz w:val="18"/>
                <w:szCs w:val="18"/>
              </w:rPr>
            </w:pPr>
            <w:r>
              <w:rPr>
                <w:spacing w:val="2"/>
                <w:sz w:val="18"/>
                <w:szCs w:val="18"/>
              </w:rPr>
              <w:t>1.应设置的主要会计科目</w:t>
            </w:r>
          </w:p>
        </w:tc>
        <w:tc>
          <w:tcPr>
            <w:tcW w:w="229" w:type="dxa"/>
            <w:vAlign w:val="top"/>
          </w:tcPr>
          <w:p w14:paraId="69C209B9">
            <w:pPr>
              <w:rPr>
                <w:rFonts w:ascii="Arial"/>
                <w:sz w:val="21"/>
              </w:rPr>
            </w:pPr>
          </w:p>
        </w:tc>
        <w:tc>
          <w:tcPr>
            <w:tcW w:w="229" w:type="dxa"/>
            <w:vAlign w:val="top"/>
          </w:tcPr>
          <w:p w14:paraId="111697C1">
            <w:pPr>
              <w:rPr>
                <w:rFonts w:ascii="Arial"/>
                <w:sz w:val="21"/>
              </w:rPr>
            </w:pPr>
          </w:p>
        </w:tc>
        <w:tc>
          <w:tcPr>
            <w:tcW w:w="220" w:type="dxa"/>
            <w:vAlign w:val="top"/>
          </w:tcPr>
          <w:p w14:paraId="529F0D4F">
            <w:pPr>
              <w:pStyle w:val="6"/>
              <w:spacing w:before="113" w:line="238" w:lineRule="auto"/>
              <w:ind w:left="49"/>
              <w:rPr>
                <w:sz w:val="12"/>
                <w:szCs w:val="12"/>
              </w:rPr>
            </w:pPr>
            <w:r>
              <w:rPr>
                <w:sz w:val="12"/>
                <w:szCs w:val="12"/>
              </w:rPr>
              <w:t>√</w:t>
            </w:r>
          </w:p>
        </w:tc>
        <w:tc>
          <w:tcPr>
            <w:tcW w:w="234" w:type="dxa"/>
            <w:vAlign w:val="top"/>
          </w:tcPr>
          <w:p w14:paraId="44906805">
            <w:pPr>
              <w:rPr>
                <w:rFonts w:ascii="Arial"/>
                <w:sz w:val="21"/>
              </w:rPr>
            </w:pPr>
          </w:p>
        </w:tc>
      </w:tr>
      <w:tr w14:paraId="346D99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863" w:type="dxa"/>
            <w:vMerge w:val="continue"/>
            <w:tcBorders>
              <w:top w:val="nil"/>
              <w:bottom w:val="nil"/>
            </w:tcBorders>
            <w:vAlign w:val="top"/>
          </w:tcPr>
          <w:p w14:paraId="000C3B53">
            <w:pPr>
              <w:rPr>
                <w:rFonts w:ascii="Arial"/>
                <w:sz w:val="21"/>
              </w:rPr>
            </w:pPr>
          </w:p>
        </w:tc>
        <w:tc>
          <w:tcPr>
            <w:tcW w:w="2334" w:type="dxa"/>
            <w:vAlign w:val="top"/>
          </w:tcPr>
          <w:p w14:paraId="58C72BC0">
            <w:pPr>
              <w:pStyle w:val="6"/>
              <w:spacing w:before="45" w:line="202" w:lineRule="auto"/>
              <w:ind w:left="11" w:right="161"/>
              <w:rPr>
                <w:sz w:val="18"/>
                <w:szCs w:val="18"/>
              </w:rPr>
            </w:pPr>
            <w:r>
              <w:rPr>
                <w:spacing w:val="-1"/>
                <w:sz w:val="18"/>
                <w:szCs w:val="18"/>
              </w:rPr>
              <w:t>2.利润的形成及其分配业务</w:t>
            </w:r>
            <w:r>
              <w:rPr>
                <w:spacing w:val="2"/>
                <w:sz w:val="18"/>
                <w:szCs w:val="18"/>
              </w:rPr>
              <w:t xml:space="preserve"> 的核算</w:t>
            </w:r>
          </w:p>
        </w:tc>
        <w:tc>
          <w:tcPr>
            <w:tcW w:w="229" w:type="dxa"/>
            <w:vAlign w:val="top"/>
          </w:tcPr>
          <w:p w14:paraId="2C2FC149">
            <w:pPr>
              <w:rPr>
                <w:rFonts w:ascii="Arial"/>
                <w:sz w:val="21"/>
              </w:rPr>
            </w:pPr>
          </w:p>
        </w:tc>
        <w:tc>
          <w:tcPr>
            <w:tcW w:w="229" w:type="dxa"/>
            <w:vAlign w:val="top"/>
          </w:tcPr>
          <w:p w14:paraId="381BBF8E">
            <w:pPr>
              <w:rPr>
                <w:rFonts w:ascii="Arial"/>
                <w:sz w:val="21"/>
              </w:rPr>
            </w:pPr>
          </w:p>
        </w:tc>
        <w:tc>
          <w:tcPr>
            <w:tcW w:w="220" w:type="dxa"/>
            <w:vAlign w:val="top"/>
          </w:tcPr>
          <w:p w14:paraId="5ACF061B">
            <w:pPr>
              <w:rPr>
                <w:rFonts w:ascii="Arial"/>
                <w:sz w:val="21"/>
              </w:rPr>
            </w:pPr>
          </w:p>
        </w:tc>
        <w:tc>
          <w:tcPr>
            <w:tcW w:w="234" w:type="dxa"/>
            <w:vAlign w:val="top"/>
          </w:tcPr>
          <w:p w14:paraId="35A0B6E3">
            <w:pPr>
              <w:pStyle w:val="6"/>
              <w:spacing w:before="191" w:line="182" w:lineRule="auto"/>
              <w:ind w:left="70"/>
              <w:rPr>
                <w:sz w:val="18"/>
                <w:szCs w:val="18"/>
              </w:rPr>
            </w:pPr>
            <w:r>
              <w:rPr>
                <w:sz w:val="18"/>
                <w:szCs w:val="18"/>
              </w:rPr>
              <w:t>V</w:t>
            </w:r>
          </w:p>
        </w:tc>
      </w:tr>
      <w:tr w14:paraId="585511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9" w:hRule="atLeast"/>
        </w:trPr>
        <w:tc>
          <w:tcPr>
            <w:tcW w:w="863" w:type="dxa"/>
            <w:vMerge w:val="continue"/>
            <w:tcBorders>
              <w:top w:val="nil"/>
            </w:tcBorders>
            <w:vAlign w:val="top"/>
          </w:tcPr>
          <w:p w14:paraId="25202CA7">
            <w:pPr>
              <w:rPr>
                <w:rFonts w:ascii="Arial"/>
                <w:sz w:val="21"/>
              </w:rPr>
            </w:pPr>
          </w:p>
        </w:tc>
        <w:tc>
          <w:tcPr>
            <w:tcW w:w="2334" w:type="dxa"/>
            <w:vAlign w:val="top"/>
          </w:tcPr>
          <w:p w14:paraId="2E8F6924">
            <w:pPr>
              <w:pStyle w:val="6"/>
              <w:spacing w:before="65" w:line="219" w:lineRule="auto"/>
              <w:jc w:val="right"/>
              <w:rPr>
                <w:sz w:val="18"/>
                <w:szCs w:val="18"/>
              </w:rPr>
            </w:pPr>
            <w:r>
              <w:rPr>
                <w:spacing w:val="-2"/>
                <w:sz w:val="18"/>
                <w:szCs w:val="18"/>
              </w:rPr>
              <w:t>3.销售过程与利润的核算程序</w:t>
            </w:r>
          </w:p>
        </w:tc>
        <w:tc>
          <w:tcPr>
            <w:tcW w:w="229" w:type="dxa"/>
            <w:vAlign w:val="top"/>
          </w:tcPr>
          <w:p w14:paraId="77D95408">
            <w:pPr>
              <w:pStyle w:val="6"/>
              <w:spacing w:before="104" w:line="238" w:lineRule="auto"/>
              <w:ind w:left="48"/>
              <w:rPr>
                <w:sz w:val="12"/>
                <w:szCs w:val="12"/>
              </w:rPr>
            </w:pPr>
            <w:r>
              <w:rPr>
                <w:sz w:val="12"/>
                <w:szCs w:val="12"/>
              </w:rPr>
              <w:t>√</w:t>
            </w:r>
          </w:p>
        </w:tc>
        <w:tc>
          <w:tcPr>
            <w:tcW w:w="229" w:type="dxa"/>
            <w:vAlign w:val="top"/>
          </w:tcPr>
          <w:p w14:paraId="514ED351">
            <w:pPr>
              <w:rPr>
                <w:rFonts w:ascii="Arial"/>
                <w:sz w:val="21"/>
              </w:rPr>
            </w:pPr>
          </w:p>
        </w:tc>
        <w:tc>
          <w:tcPr>
            <w:tcW w:w="220" w:type="dxa"/>
            <w:vAlign w:val="top"/>
          </w:tcPr>
          <w:p w14:paraId="2F3B460E">
            <w:pPr>
              <w:rPr>
                <w:rFonts w:ascii="Arial"/>
                <w:sz w:val="21"/>
              </w:rPr>
            </w:pPr>
          </w:p>
        </w:tc>
        <w:tc>
          <w:tcPr>
            <w:tcW w:w="234" w:type="dxa"/>
            <w:vAlign w:val="top"/>
          </w:tcPr>
          <w:p w14:paraId="12E19026">
            <w:pPr>
              <w:rPr>
                <w:rFonts w:ascii="Arial"/>
                <w:sz w:val="21"/>
              </w:rPr>
            </w:pPr>
          </w:p>
        </w:tc>
      </w:tr>
      <w:tr w14:paraId="6B2F5B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863" w:type="dxa"/>
            <w:vMerge w:val="restart"/>
            <w:tcBorders>
              <w:bottom w:val="nil"/>
            </w:tcBorders>
            <w:vAlign w:val="top"/>
          </w:tcPr>
          <w:p w14:paraId="700E02F8">
            <w:pPr>
              <w:spacing w:line="311" w:lineRule="auto"/>
              <w:rPr>
                <w:rFonts w:ascii="Arial"/>
                <w:sz w:val="21"/>
              </w:rPr>
            </w:pPr>
          </w:p>
          <w:p w14:paraId="6A065D8A">
            <w:pPr>
              <w:spacing w:line="311" w:lineRule="auto"/>
              <w:rPr>
                <w:rFonts w:ascii="Arial"/>
                <w:sz w:val="21"/>
              </w:rPr>
            </w:pPr>
          </w:p>
          <w:p w14:paraId="278BD069">
            <w:pPr>
              <w:pStyle w:val="6"/>
              <w:spacing w:before="59" w:line="219" w:lineRule="auto"/>
              <w:ind w:left="65"/>
              <w:rPr>
                <w:sz w:val="18"/>
                <w:szCs w:val="18"/>
              </w:rPr>
            </w:pPr>
            <w:r>
              <w:rPr>
                <w:spacing w:val="-2"/>
                <w:sz w:val="18"/>
                <w:szCs w:val="18"/>
              </w:rPr>
              <w:t>成本计算</w:t>
            </w:r>
          </w:p>
        </w:tc>
        <w:tc>
          <w:tcPr>
            <w:tcW w:w="2334" w:type="dxa"/>
            <w:vAlign w:val="top"/>
          </w:tcPr>
          <w:p w14:paraId="5794416A">
            <w:pPr>
              <w:pStyle w:val="6"/>
              <w:spacing w:before="65" w:line="219" w:lineRule="auto"/>
              <w:ind w:left="11"/>
              <w:rPr>
                <w:sz w:val="18"/>
                <w:szCs w:val="18"/>
              </w:rPr>
            </w:pPr>
            <w:r>
              <w:rPr>
                <w:sz w:val="18"/>
                <w:szCs w:val="18"/>
              </w:rPr>
              <w:t>1.成本计算的概念</w:t>
            </w:r>
          </w:p>
        </w:tc>
        <w:tc>
          <w:tcPr>
            <w:tcW w:w="229" w:type="dxa"/>
            <w:vAlign w:val="top"/>
          </w:tcPr>
          <w:p w14:paraId="1774DF92">
            <w:pPr>
              <w:pStyle w:val="6"/>
              <w:spacing w:before="106" w:line="238" w:lineRule="auto"/>
              <w:ind w:left="48"/>
              <w:rPr>
                <w:sz w:val="12"/>
                <w:szCs w:val="12"/>
              </w:rPr>
            </w:pPr>
            <w:r>
              <w:rPr>
                <w:sz w:val="12"/>
                <w:szCs w:val="12"/>
              </w:rPr>
              <w:t>√</w:t>
            </w:r>
          </w:p>
        </w:tc>
        <w:tc>
          <w:tcPr>
            <w:tcW w:w="229" w:type="dxa"/>
            <w:vAlign w:val="top"/>
          </w:tcPr>
          <w:p w14:paraId="7F02972F">
            <w:pPr>
              <w:rPr>
                <w:rFonts w:ascii="Arial"/>
                <w:sz w:val="21"/>
              </w:rPr>
            </w:pPr>
          </w:p>
        </w:tc>
        <w:tc>
          <w:tcPr>
            <w:tcW w:w="220" w:type="dxa"/>
            <w:vAlign w:val="top"/>
          </w:tcPr>
          <w:p w14:paraId="5212D91A">
            <w:pPr>
              <w:rPr>
                <w:rFonts w:ascii="Arial"/>
                <w:sz w:val="21"/>
              </w:rPr>
            </w:pPr>
          </w:p>
        </w:tc>
        <w:tc>
          <w:tcPr>
            <w:tcW w:w="234" w:type="dxa"/>
            <w:vAlign w:val="top"/>
          </w:tcPr>
          <w:p w14:paraId="7F9C31D9">
            <w:pPr>
              <w:rPr>
                <w:rFonts w:ascii="Arial"/>
                <w:sz w:val="21"/>
              </w:rPr>
            </w:pPr>
          </w:p>
        </w:tc>
      </w:tr>
      <w:tr w14:paraId="2612A8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863" w:type="dxa"/>
            <w:vMerge w:val="continue"/>
            <w:tcBorders>
              <w:top w:val="nil"/>
              <w:bottom w:val="nil"/>
            </w:tcBorders>
            <w:vAlign w:val="top"/>
          </w:tcPr>
          <w:p w14:paraId="688421F8">
            <w:pPr>
              <w:rPr>
                <w:rFonts w:ascii="Arial"/>
                <w:sz w:val="21"/>
              </w:rPr>
            </w:pPr>
          </w:p>
        </w:tc>
        <w:tc>
          <w:tcPr>
            <w:tcW w:w="2334" w:type="dxa"/>
            <w:vAlign w:val="top"/>
          </w:tcPr>
          <w:p w14:paraId="1C390A0E">
            <w:pPr>
              <w:pStyle w:val="6"/>
              <w:spacing w:before="65" w:line="219" w:lineRule="auto"/>
              <w:ind w:left="11"/>
              <w:rPr>
                <w:sz w:val="18"/>
                <w:szCs w:val="18"/>
              </w:rPr>
            </w:pPr>
            <w:r>
              <w:rPr>
                <w:spacing w:val="1"/>
                <w:sz w:val="18"/>
                <w:szCs w:val="18"/>
              </w:rPr>
              <w:t>2.成本费用的区别与联系</w:t>
            </w:r>
          </w:p>
        </w:tc>
        <w:tc>
          <w:tcPr>
            <w:tcW w:w="229" w:type="dxa"/>
            <w:vAlign w:val="top"/>
          </w:tcPr>
          <w:p w14:paraId="36A0468D">
            <w:pPr>
              <w:rPr>
                <w:rFonts w:ascii="Arial"/>
                <w:sz w:val="21"/>
              </w:rPr>
            </w:pPr>
          </w:p>
        </w:tc>
        <w:tc>
          <w:tcPr>
            <w:tcW w:w="229" w:type="dxa"/>
            <w:vAlign w:val="top"/>
          </w:tcPr>
          <w:p w14:paraId="20919ED6">
            <w:pPr>
              <w:pStyle w:val="6"/>
              <w:spacing w:before="114" w:line="179" w:lineRule="auto"/>
              <w:ind w:left="68"/>
              <w:rPr>
                <w:sz w:val="18"/>
                <w:szCs w:val="18"/>
              </w:rPr>
            </w:pPr>
            <w:r>
              <w:rPr>
                <w:sz w:val="18"/>
                <w:szCs w:val="18"/>
              </w:rPr>
              <w:t>V</w:t>
            </w:r>
          </w:p>
        </w:tc>
        <w:tc>
          <w:tcPr>
            <w:tcW w:w="220" w:type="dxa"/>
            <w:vAlign w:val="top"/>
          </w:tcPr>
          <w:p w14:paraId="7E0666E6">
            <w:pPr>
              <w:rPr>
                <w:rFonts w:ascii="Arial"/>
                <w:sz w:val="21"/>
              </w:rPr>
            </w:pPr>
          </w:p>
        </w:tc>
        <w:tc>
          <w:tcPr>
            <w:tcW w:w="234" w:type="dxa"/>
            <w:vAlign w:val="top"/>
          </w:tcPr>
          <w:p w14:paraId="45CDD7CE">
            <w:pPr>
              <w:rPr>
                <w:rFonts w:ascii="Arial"/>
                <w:sz w:val="21"/>
              </w:rPr>
            </w:pPr>
          </w:p>
        </w:tc>
      </w:tr>
      <w:tr w14:paraId="0CA66F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0" w:hRule="atLeast"/>
        </w:trPr>
        <w:tc>
          <w:tcPr>
            <w:tcW w:w="863" w:type="dxa"/>
            <w:vMerge w:val="continue"/>
            <w:tcBorders>
              <w:top w:val="nil"/>
              <w:bottom w:val="nil"/>
            </w:tcBorders>
            <w:vAlign w:val="top"/>
          </w:tcPr>
          <w:p w14:paraId="37092652">
            <w:pPr>
              <w:rPr>
                <w:rFonts w:ascii="Arial"/>
                <w:sz w:val="21"/>
              </w:rPr>
            </w:pPr>
          </w:p>
        </w:tc>
        <w:tc>
          <w:tcPr>
            <w:tcW w:w="2334" w:type="dxa"/>
            <w:vAlign w:val="top"/>
          </w:tcPr>
          <w:p w14:paraId="2F0ADF61">
            <w:pPr>
              <w:pStyle w:val="6"/>
              <w:spacing w:before="76" w:line="219" w:lineRule="auto"/>
              <w:ind w:left="11"/>
              <w:rPr>
                <w:sz w:val="18"/>
                <w:szCs w:val="18"/>
              </w:rPr>
            </w:pPr>
            <w:r>
              <w:rPr>
                <w:spacing w:val="-1"/>
                <w:sz w:val="18"/>
                <w:szCs w:val="18"/>
              </w:rPr>
              <w:t>3.材料采购成本的计算</w:t>
            </w:r>
          </w:p>
        </w:tc>
        <w:tc>
          <w:tcPr>
            <w:tcW w:w="229" w:type="dxa"/>
            <w:vAlign w:val="top"/>
          </w:tcPr>
          <w:p w14:paraId="5D705306">
            <w:pPr>
              <w:rPr>
                <w:rFonts w:ascii="Arial"/>
                <w:sz w:val="21"/>
              </w:rPr>
            </w:pPr>
          </w:p>
        </w:tc>
        <w:tc>
          <w:tcPr>
            <w:tcW w:w="229" w:type="dxa"/>
            <w:vAlign w:val="top"/>
          </w:tcPr>
          <w:p w14:paraId="2396ECEF">
            <w:pPr>
              <w:rPr>
                <w:rFonts w:ascii="Arial"/>
                <w:sz w:val="21"/>
              </w:rPr>
            </w:pPr>
          </w:p>
        </w:tc>
        <w:tc>
          <w:tcPr>
            <w:tcW w:w="220" w:type="dxa"/>
            <w:vAlign w:val="top"/>
          </w:tcPr>
          <w:p w14:paraId="7EB085A8">
            <w:pPr>
              <w:rPr>
                <w:rFonts w:ascii="Arial"/>
                <w:sz w:val="21"/>
              </w:rPr>
            </w:pPr>
          </w:p>
        </w:tc>
        <w:tc>
          <w:tcPr>
            <w:tcW w:w="234" w:type="dxa"/>
            <w:vAlign w:val="top"/>
          </w:tcPr>
          <w:p w14:paraId="02A6B3A2">
            <w:pPr>
              <w:pStyle w:val="6"/>
              <w:spacing w:before="116" w:line="238" w:lineRule="auto"/>
              <w:ind w:left="50"/>
              <w:rPr>
                <w:sz w:val="12"/>
                <w:szCs w:val="12"/>
              </w:rPr>
            </w:pPr>
            <w:r>
              <w:rPr>
                <w:sz w:val="12"/>
                <w:szCs w:val="12"/>
              </w:rPr>
              <w:t>√</w:t>
            </w:r>
          </w:p>
        </w:tc>
      </w:tr>
      <w:tr w14:paraId="02AE97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863" w:type="dxa"/>
            <w:vMerge w:val="continue"/>
            <w:tcBorders>
              <w:top w:val="nil"/>
              <w:bottom w:val="nil"/>
            </w:tcBorders>
            <w:vAlign w:val="top"/>
          </w:tcPr>
          <w:p w14:paraId="5FD27FBF">
            <w:pPr>
              <w:rPr>
                <w:rFonts w:ascii="Arial"/>
                <w:sz w:val="21"/>
              </w:rPr>
            </w:pPr>
          </w:p>
        </w:tc>
        <w:tc>
          <w:tcPr>
            <w:tcW w:w="2334" w:type="dxa"/>
            <w:vAlign w:val="top"/>
          </w:tcPr>
          <w:p w14:paraId="78A11D2F">
            <w:pPr>
              <w:pStyle w:val="6"/>
              <w:spacing w:before="66" w:line="219" w:lineRule="auto"/>
              <w:ind w:left="11"/>
              <w:rPr>
                <w:sz w:val="18"/>
                <w:szCs w:val="18"/>
              </w:rPr>
            </w:pPr>
            <w:r>
              <w:rPr>
                <w:spacing w:val="-1"/>
                <w:sz w:val="18"/>
                <w:szCs w:val="18"/>
              </w:rPr>
              <w:t>4.产品生产成本的计算</w:t>
            </w:r>
          </w:p>
        </w:tc>
        <w:tc>
          <w:tcPr>
            <w:tcW w:w="229" w:type="dxa"/>
            <w:vAlign w:val="top"/>
          </w:tcPr>
          <w:p w14:paraId="318A4F97">
            <w:pPr>
              <w:rPr>
                <w:rFonts w:ascii="Arial"/>
                <w:sz w:val="21"/>
              </w:rPr>
            </w:pPr>
          </w:p>
        </w:tc>
        <w:tc>
          <w:tcPr>
            <w:tcW w:w="229" w:type="dxa"/>
            <w:vAlign w:val="top"/>
          </w:tcPr>
          <w:p w14:paraId="59353FD6">
            <w:pPr>
              <w:rPr>
                <w:rFonts w:ascii="Arial"/>
                <w:sz w:val="21"/>
              </w:rPr>
            </w:pPr>
          </w:p>
        </w:tc>
        <w:tc>
          <w:tcPr>
            <w:tcW w:w="220" w:type="dxa"/>
            <w:vAlign w:val="top"/>
          </w:tcPr>
          <w:p w14:paraId="456CABB5">
            <w:pPr>
              <w:rPr>
                <w:rFonts w:ascii="Arial"/>
                <w:sz w:val="21"/>
              </w:rPr>
            </w:pPr>
          </w:p>
        </w:tc>
        <w:tc>
          <w:tcPr>
            <w:tcW w:w="234" w:type="dxa"/>
            <w:vAlign w:val="top"/>
          </w:tcPr>
          <w:p w14:paraId="6B57B864">
            <w:pPr>
              <w:pStyle w:val="6"/>
              <w:spacing w:before="115" w:line="179" w:lineRule="auto"/>
              <w:ind w:left="70"/>
              <w:rPr>
                <w:sz w:val="18"/>
                <w:szCs w:val="18"/>
              </w:rPr>
            </w:pPr>
            <w:r>
              <w:rPr>
                <w:sz w:val="18"/>
                <w:szCs w:val="18"/>
              </w:rPr>
              <w:t>V</w:t>
            </w:r>
          </w:p>
        </w:tc>
      </w:tr>
      <w:tr w14:paraId="2E82F1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4" w:hRule="atLeast"/>
        </w:trPr>
        <w:tc>
          <w:tcPr>
            <w:tcW w:w="863" w:type="dxa"/>
            <w:vMerge w:val="continue"/>
            <w:tcBorders>
              <w:top w:val="nil"/>
            </w:tcBorders>
            <w:vAlign w:val="top"/>
          </w:tcPr>
          <w:p w14:paraId="4AD7EC21">
            <w:pPr>
              <w:rPr>
                <w:rFonts w:ascii="Arial"/>
                <w:sz w:val="21"/>
              </w:rPr>
            </w:pPr>
          </w:p>
        </w:tc>
        <w:tc>
          <w:tcPr>
            <w:tcW w:w="2334" w:type="dxa"/>
            <w:vAlign w:val="top"/>
          </w:tcPr>
          <w:p w14:paraId="01093B5C">
            <w:pPr>
              <w:pStyle w:val="6"/>
              <w:spacing w:before="66" w:line="219" w:lineRule="auto"/>
              <w:ind w:left="11"/>
              <w:rPr>
                <w:sz w:val="18"/>
                <w:szCs w:val="18"/>
              </w:rPr>
            </w:pPr>
            <w:r>
              <w:rPr>
                <w:spacing w:val="-1"/>
                <w:sz w:val="18"/>
                <w:szCs w:val="18"/>
              </w:rPr>
              <w:t>5.产品销售成本的计算</w:t>
            </w:r>
          </w:p>
        </w:tc>
        <w:tc>
          <w:tcPr>
            <w:tcW w:w="229" w:type="dxa"/>
            <w:vAlign w:val="top"/>
          </w:tcPr>
          <w:p w14:paraId="67AD36A4">
            <w:pPr>
              <w:rPr>
                <w:rFonts w:ascii="Arial"/>
                <w:sz w:val="21"/>
              </w:rPr>
            </w:pPr>
          </w:p>
        </w:tc>
        <w:tc>
          <w:tcPr>
            <w:tcW w:w="229" w:type="dxa"/>
            <w:vAlign w:val="top"/>
          </w:tcPr>
          <w:p w14:paraId="6D94BB09">
            <w:pPr>
              <w:rPr>
                <w:rFonts w:ascii="Arial"/>
                <w:sz w:val="21"/>
              </w:rPr>
            </w:pPr>
          </w:p>
        </w:tc>
        <w:tc>
          <w:tcPr>
            <w:tcW w:w="220" w:type="dxa"/>
            <w:vAlign w:val="top"/>
          </w:tcPr>
          <w:p w14:paraId="50BC1AC2">
            <w:pPr>
              <w:pStyle w:val="6"/>
              <w:spacing w:before="115" w:line="173" w:lineRule="auto"/>
              <w:ind w:left="60"/>
              <w:rPr>
                <w:sz w:val="18"/>
                <w:szCs w:val="18"/>
              </w:rPr>
            </w:pPr>
            <w:r>
              <w:rPr>
                <w:sz w:val="18"/>
                <w:szCs w:val="18"/>
              </w:rPr>
              <w:t>V</w:t>
            </w:r>
          </w:p>
        </w:tc>
        <w:tc>
          <w:tcPr>
            <w:tcW w:w="234" w:type="dxa"/>
            <w:vAlign w:val="top"/>
          </w:tcPr>
          <w:p w14:paraId="6096CFFE">
            <w:pPr>
              <w:rPr>
                <w:rFonts w:ascii="Arial"/>
                <w:sz w:val="21"/>
              </w:rPr>
            </w:pPr>
          </w:p>
        </w:tc>
      </w:tr>
    </w:tbl>
    <w:p w14:paraId="11B19724">
      <w:pPr>
        <w:spacing w:before="122" w:line="223" w:lineRule="auto"/>
        <w:ind w:left="1438"/>
        <w:rPr>
          <w:rFonts w:ascii="黑体" w:hAnsi="黑体" w:eastAsia="黑体" w:cs="黑体"/>
          <w:sz w:val="21"/>
          <w:szCs w:val="21"/>
        </w:rPr>
      </w:pPr>
      <w:r>
        <w:rPr>
          <w:rFonts w:ascii="黑体" w:hAnsi="黑体" w:eastAsia="黑体" w:cs="黑体"/>
          <w:b/>
          <w:bCs/>
          <w:spacing w:val="3"/>
          <w:sz w:val="21"/>
          <w:szCs w:val="21"/>
        </w:rPr>
        <w:t>(七)财产清查</w:t>
      </w:r>
    </w:p>
    <w:p w14:paraId="5BE2B16B">
      <w:pPr>
        <w:spacing w:line="65" w:lineRule="exact"/>
      </w:pPr>
    </w:p>
    <w:tbl>
      <w:tblPr>
        <w:tblStyle w:val="5"/>
        <w:tblW w:w="410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63"/>
        <w:gridCol w:w="2334"/>
        <w:gridCol w:w="220"/>
        <w:gridCol w:w="229"/>
        <w:gridCol w:w="229"/>
        <w:gridCol w:w="234"/>
      </w:tblGrid>
      <w:tr w14:paraId="30A264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4" w:hRule="atLeast"/>
        </w:trPr>
        <w:tc>
          <w:tcPr>
            <w:tcW w:w="863" w:type="dxa"/>
            <w:vMerge w:val="restart"/>
            <w:tcBorders>
              <w:bottom w:val="nil"/>
            </w:tcBorders>
            <w:vAlign w:val="top"/>
          </w:tcPr>
          <w:p w14:paraId="2AE167A6">
            <w:pPr>
              <w:pStyle w:val="6"/>
              <w:spacing w:before="161" w:line="223" w:lineRule="auto"/>
              <w:ind w:left="67" w:right="73" w:firstLine="89"/>
              <w:rPr>
                <w:sz w:val="18"/>
                <w:szCs w:val="18"/>
              </w:rPr>
            </w:pPr>
            <w:r>
              <w:rPr>
                <w:b/>
                <w:bCs/>
                <w:spacing w:val="1"/>
                <w:sz w:val="18"/>
                <w:szCs w:val="18"/>
              </w:rPr>
              <w:t>知识与</w:t>
            </w:r>
            <w:r>
              <w:rPr>
                <w:sz w:val="18"/>
                <w:szCs w:val="18"/>
              </w:rPr>
              <w:t xml:space="preserve">  </w:t>
            </w:r>
            <w:r>
              <w:rPr>
                <w:b/>
                <w:bCs/>
                <w:spacing w:val="-4"/>
                <w:sz w:val="18"/>
                <w:szCs w:val="18"/>
              </w:rPr>
              <w:t>技能要点</w:t>
            </w:r>
          </w:p>
        </w:tc>
        <w:tc>
          <w:tcPr>
            <w:tcW w:w="2334" w:type="dxa"/>
            <w:vMerge w:val="restart"/>
            <w:tcBorders>
              <w:bottom w:val="nil"/>
            </w:tcBorders>
            <w:vAlign w:val="top"/>
          </w:tcPr>
          <w:p w14:paraId="09E2CD1B">
            <w:pPr>
              <w:pStyle w:val="6"/>
              <w:spacing w:before="259" w:line="219" w:lineRule="auto"/>
              <w:ind w:left="844"/>
              <w:rPr>
                <w:sz w:val="18"/>
                <w:szCs w:val="18"/>
              </w:rPr>
            </w:pPr>
            <w:r>
              <w:rPr>
                <w:b/>
                <w:bCs/>
                <w:spacing w:val="5"/>
                <w:sz w:val="18"/>
                <w:szCs w:val="18"/>
              </w:rPr>
              <w:t>考试条目</w:t>
            </w:r>
          </w:p>
        </w:tc>
        <w:tc>
          <w:tcPr>
            <w:tcW w:w="912" w:type="dxa"/>
            <w:gridSpan w:val="4"/>
            <w:vAlign w:val="top"/>
          </w:tcPr>
          <w:p w14:paraId="02A31665">
            <w:pPr>
              <w:pStyle w:val="6"/>
              <w:spacing w:before="89" w:line="219" w:lineRule="auto"/>
              <w:ind w:left="150"/>
              <w:rPr>
                <w:sz w:val="18"/>
                <w:szCs w:val="18"/>
              </w:rPr>
            </w:pPr>
            <w:r>
              <w:rPr>
                <w:b/>
                <w:bCs/>
                <w:spacing w:val="-4"/>
                <w:sz w:val="18"/>
                <w:szCs w:val="18"/>
              </w:rPr>
              <w:t>考试水平</w:t>
            </w:r>
          </w:p>
        </w:tc>
      </w:tr>
      <w:tr w14:paraId="5A428E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9" w:hRule="atLeast"/>
        </w:trPr>
        <w:tc>
          <w:tcPr>
            <w:tcW w:w="863" w:type="dxa"/>
            <w:vMerge w:val="continue"/>
            <w:tcBorders>
              <w:top w:val="nil"/>
            </w:tcBorders>
            <w:vAlign w:val="top"/>
          </w:tcPr>
          <w:p w14:paraId="6B00914A">
            <w:pPr>
              <w:rPr>
                <w:rFonts w:ascii="Arial"/>
                <w:sz w:val="21"/>
              </w:rPr>
            </w:pPr>
          </w:p>
        </w:tc>
        <w:tc>
          <w:tcPr>
            <w:tcW w:w="2334" w:type="dxa"/>
            <w:vMerge w:val="continue"/>
            <w:tcBorders>
              <w:top w:val="nil"/>
            </w:tcBorders>
            <w:vAlign w:val="top"/>
          </w:tcPr>
          <w:p w14:paraId="2B469CE8">
            <w:pPr>
              <w:rPr>
                <w:rFonts w:ascii="Arial"/>
                <w:sz w:val="21"/>
              </w:rPr>
            </w:pPr>
          </w:p>
        </w:tc>
        <w:tc>
          <w:tcPr>
            <w:tcW w:w="220" w:type="dxa"/>
            <w:vAlign w:val="top"/>
          </w:tcPr>
          <w:p w14:paraId="270018BC">
            <w:pPr>
              <w:pStyle w:val="6"/>
              <w:spacing w:before="123" w:line="184" w:lineRule="auto"/>
              <w:ind w:left="20"/>
              <w:rPr>
                <w:sz w:val="18"/>
                <w:szCs w:val="18"/>
              </w:rPr>
            </w:pPr>
            <w:r>
              <w:rPr>
                <w:b/>
                <w:bCs/>
                <w:spacing w:val="-2"/>
                <w:sz w:val="18"/>
                <w:szCs w:val="18"/>
              </w:rPr>
              <w:t>A</w:t>
            </w:r>
          </w:p>
        </w:tc>
        <w:tc>
          <w:tcPr>
            <w:tcW w:w="229" w:type="dxa"/>
            <w:vAlign w:val="top"/>
          </w:tcPr>
          <w:p w14:paraId="76BA9A6F">
            <w:pPr>
              <w:pStyle w:val="6"/>
              <w:spacing w:before="125" w:line="182" w:lineRule="auto"/>
              <w:jc w:val="right"/>
              <w:rPr>
                <w:sz w:val="18"/>
                <w:szCs w:val="18"/>
              </w:rPr>
            </w:pPr>
            <w:r>
              <w:rPr>
                <w:b/>
                <w:bCs/>
                <w:spacing w:val="-5"/>
                <w:sz w:val="18"/>
                <w:szCs w:val="18"/>
              </w:rPr>
              <w:t>B</w:t>
            </w:r>
          </w:p>
        </w:tc>
        <w:tc>
          <w:tcPr>
            <w:tcW w:w="229" w:type="dxa"/>
            <w:vAlign w:val="top"/>
          </w:tcPr>
          <w:p w14:paraId="34DAA1E8">
            <w:pPr>
              <w:pStyle w:val="6"/>
              <w:spacing w:before="123" w:line="183" w:lineRule="auto"/>
              <w:ind w:left="21"/>
              <w:rPr>
                <w:sz w:val="18"/>
                <w:szCs w:val="18"/>
              </w:rPr>
            </w:pPr>
            <w:r>
              <w:rPr>
                <w:b/>
                <w:bCs/>
                <w:spacing w:val="-2"/>
                <w:sz w:val="18"/>
                <w:szCs w:val="18"/>
              </w:rPr>
              <w:t>C</w:t>
            </w:r>
          </w:p>
        </w:tc>
        <w:tc>
          <w:tcPr>
            <w:tcW w:w="234" w:type="dxa"/>
            <w:vAlign w:val="top"/>
          </w:tcPr>
          <w:p w14:paraId="7F52AA19">
            <w:pPr>
              <w:pStyle w:val="6"/>
              <w:spacing w:before="125" w:line="182" w:lineRule="auto"/>
              <w:ind w:left="72"/>
              <w:rPr>
                <w:sz w:val="18"/>
                <w:szCs w:val="18"/>
              </w:rPr>
            </w:pPr>
            <w:r>
              <w:rPr>
                <w:b/>
                <w:bCs/>
                <w:spacing w:val="-2"/>
                <w:sz w:val="18"/>
                <w:szCs w:val="18"/>
              </w:rPr>
              <w:t>D</w:t>
            </w:r>
          </w:p>
        </w:tc>
      </w:tr>
      <w:tr w14:paraId="766F9C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863" w:type="dxa"/>
            <w:vMerge w:val="restart"/>
            <w:tcBorders>
              <w:bottom w:val="nil"/>
            </w:tcBorders>
            <w:vAlign w:val="top"/>
          </w:tcPr>
          <w:p w14:paraId="7BFA1B40">
            <w:pPr>
              <w:pStyle w:val="6"/>
              <w:spacing w:before="228" w:line="228" w:lineRule="auto"/>
              <w:ind w:left="244" w:right="75" w:hanging="179"/>
              <w:rPr>
                <w:sz w:val="18"/>
                <w:szCs w:val="18"/>
              </w:rPr>
            </w:pPr>
            <w:r>
              <w:rPr>
                <w:spacing w:val="-2"/>
                <w:sz w:val="18"/>
                <w:szCs w:val="18"/>
              </w:rPr>
              <w:t>财产清查</w:t>
            </w:r>
            <w:r>
              <w:rPr>
                <w:sz w:val="18"/>
                <w:szCs w:val="18"/>
              </w:rPr>
              <w:t xml:space="preserve"> </w:t>
            </w:r>
            <w:r>
              <w:rPr>
                <w:spacing w:val="-2"/>
                <w:sz w:val="18"/>
                <w:szCs w:val="18"/>
              </w:rPr>
              <w:t>概述</w:t>
            </w:r>
          </w:p>
        </w:tc>
        <w:tc>
          <w:tcPr>
            <w:tcW w:w="2334" w:type="dxa"/>
            <w:vAlign w:val="top"/>
          </w:tcPr>
          <w:p w14:paraId="1B27BF8B">
            <w:pPr>
              <w:pStyle w:val="6"/>
              <w:spacing w:before="49" w:line="215" w:lineRule="auto"/>
              <w:ind w:left="11"/>
              <w:rPr>
                <w:sz w:val="18"/>
                <w:szCs w:val="18"/>
              </w:rPr>
            </w:pPr>
            <w:r>
              <w:rPr>
                <w:sz w:val="18"/>
                <w:szCs w:val="18"/>
              </w:rPr>
              <w:t>1.财产清查的概念</w:t>
            </w:r>
          </w:p>
        </w:tc>
        <w:tc>
          <w:tcPr>
            <w:tcW w:w="220" w:type="dxa"/>
            <w:vAlign w:val="top"/>
          </w:tcPr>
          <w:p w14:paraId="797B9E6E">
            <w:pPr>
              <w:pStyle w:val="6"/>
              <w:spacing w:before="80" w:line="238" w:lineRule="auto"/>
              <w:ind w:left="17"/>
              <w:rPr>
                <w:sz w:val="13"/>
                <w:szCs w:val="13"/>
              </w:rPr>
            </w:pPr>
            <w:r>
              <w:rPr>
                <w:sz w:val="13"/>
                <w:szCs w:val="13"/>
              </w:rPr>
              <w:t>√</w:t>
            </w:r>
          </w:p>
        </w:tc>
        <w:tc>
          <w:tcPr>
            <w:tcW w:w="229" w:type="dxa"/>
            <w:vAlign w:val="top"/>
          </w:tcPr>
          <w:p w14:paraId="678748B8">
            <w:pPr>
              <w:rPr>
                <w:rFonts w:ascii="Arial"/>
                <w:sz w:val="21"/>
              </w:rPr>
            </w:pPr>
          </w:p>
        </w:tc>
        <w:tc>
          <w:tcPr>
            <w:tcW w:w="229" w:type="dxa"/>
            <w:vAlign w:val="top"/>
          </w:tcPr>
          <w:p w14:paraId="5FA7903C">
            <w:pPr>
              <w:rPr>
                <w:rFonts w:ascii="Arial"/>
                <w:sz w:val="21"/>
              </w:rPr>
            </w:pPr>
          </w:p>
        </w:tc>
        <w:tc>
          <w:tcPr>
            <w:tcW w:w="234" w:type="dxa"/>
            <w:vAlign w:val="top"/>
          </w:tcPr>
          <w:p w14:paraId="76035CD2">
            <w:pPr>
              <w:rPr>
                <w:rFonts w:ascii="Arial"/>
                <w:sz w:val="21"/>
              </w:rPr>
            </w:pPr>
          </w:p>
        </w:tc>
      </w:tr>
      <w:tr w14:paraId="729A95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9" w:hRule="atLeast"/>
        </w:trPr>
        <w:tc>
          <w:tcPr>
            <w:tcW w:w="863" w:type="dxa"/>
            <w:vMerge w:val="continue"/>
            <w:tcBorders>
              <w:top w:val="nil"/>
              <w:bottom w:val="nil"/>
            </w:tcBorders>
            <w:vAlign w:val="top"/>
          </w:tcPr>
          <w:p w14:paraId="08534502">
            <w:pPr>
              <w:rPr>
                <w:rFonts w:ascii="Arial"/>
                <w:sz w:val="21"/>
              </w:rPr>
            </w:pPr>
          </w:p>
        </w:tc>
        <w:tc>
          <w:tcPr>
            <w:tcW w:w="2334" w:type="dxa"/>
            <w:vAlign w:val="top"/>
          </w:tcPr>
          <w:p w14:paraId="7F8B38F7">
            <w:pPr>
              <w:pStyle w:val="6"/>
              <w:spacing w:before="50" w:line="219" w:lineRule="auto"/>
              <w:ind w:left="11"/>
              <w:rPr>
                <w:sz w:val="18"/>
                <w:szCs w:val="18"/>
              </w:rPr>
            </w:pPr>
            <w:r>
              <w:rPr>
                <w:spacing w:val="-2"/>
                <w:sz w:val="18"/>
                <w:szCs w:val="18"/>
              </w:rPr>
              <w:t>2.财产清查的种类</w:t>
            </w:r>
          </w:p>
        </w:tc>
        <w:tc>
          <w:tcPr>
            <w:tcW w:w="220" w:type="dxa"/>
            <w:vAlign w:val="top"/>
          </w:tcPr>
          <w:p w14:paraId="3637FFF5">
            <w:pPr>
              <w:rPr>
                <w:rFonts w:ascii="Arial"/>
                <w:sz w:val="21"/>
              </w:rPr>
            </w:pPr>
          </w:p>
        </w:tc>
        <w:tc>
          <w:tcPr>
            <w:tcW w:w="229" w:type="dxa"/>
            <w:vAlign w:val="top"/>
          </w:tcPr>
          <w:p w14:paraId="0893D73A">
            <w:pPr>
              <w:rPr>
                <w:rFonts w:ascii="Arial"/>
                <w:sz w:val="21"/>
              </w:rPr>
            </w:pPr>
          </w:p>
        </w:tc>
        <w:tc>
          <w:tcPr>
            <w:tcW w:w="229" w:type="dxa"/>
            <w:vAlign w:val="top"/>
          </w:tcPr>
          <w:p w14:paraId="2BE7ED19">
            <w:pPr>
              <w:rPr>
                <w:rFonts w:ascii="Arial"/>
                <w:sz w:val="21"/>
              </w:rPr>
            </w:pPr>
          </w:p>
        </w:tc>
        <w:tc>
          <w:tcPr>
            <w:tcW w:w="234" w:type="dxa"/>
            <w:vAlign w:val="top"/>
          </w:tcPr>
          <w:p w14:paraId="180424EC">
            <w:pPr>
              <w:rPr>
                <w:rFonts w:ascii="Arial"/>
                <w:sz w:val="21"/>
              </w:rPr>
            </w:pPr>
          </w:p>
        </w:tc>
      </w:tr>
      <w:tr w14:paraId="6A4D9B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863" w:type="dxa"/>
            <w:vMerge w:val="continue"/>
            <w:tcBorders>
              <w:top w:val="nil"/>
            </w:tcBorders>
            <w:vAlign w:val="top"/>
          </w:tcPr>
          <w:p w14:paraId="23780F2D">
            <w:pPr>
              <w:rPr>
                <w:rFonts w:ascii="Arial"/>
                <w:sz w:val="21"/>
              </w:rPr>
            </w:pPr>
          </w:p>
        </w:tc>
        <w:tc>
          <w:tcPr>
            <w:tcW w:w="2334" w:type="dxa"/>
            <w:vAlign w:val="top"/>
          </w:tcPr>
          <w:p w14:paraId="38C8A3FA">
            <w:pPr>
              <w:pStyle w:val="6"/>
              <w:spacing w:before="51" w:line="213" w:lineRule="auto"/>
              <w:ind w:left="11"/>
              <w:rPr>
                <w:sz w:val="18"/>
                <w:szCs w:val="18"/>
              </w:rPr>
            </w:pPr>
            <w:r>
              <w:rPr>
                <w:spacing w:val="1"/>
                <w:sz w:val="18"/>
                <w:szCs w:val="18"/>
              </w:rPr>
              <w:t>3.财产清查的范围</w:t>
            </w:r>
          </w:p>
        </w:tc>
        <w:tc>
          <w:tcPr>
            <w:tcW w:w="220" w:type="dxa"/>
            <w:vAlign w:val="top"/>
          </w:tcPr>
          <w:p w14:paraId="6F67B13F">
            <w:pPr>
              <w:rPr>
                <w:rFonts w:ascii="Arial"/>
                <w:sz w:val="21"/>
              </w:rPr>
            </w:pPr>
          </w:p>
        </w:tc>
        <w:tc>
          <w:tcPr>
            <w:tcW w:w="229" w:type="dxa"/>
            <w:vAlign w:val="top"/>
          </w:tcPr>
          <w:p w14:paraId="1490B458">
            <w:pPr>
              <w:pStyle w:val="6"/>
              <w:spacing w:before="90" w:line="238" w:lineRule="auto"/>
              <w:ind w:left="17"/>
              <w:rPr>
                <w:sz w:val="12"/>
                <w:szCs w:val="12"/>
              </w:rPr>
            </w:pPr>
            <w:r>
              <w:rPr>
                <w:sz w:val="12"/>
                <w:szCs w:val="12"/>
              </w:rPr>
              <w:t>√</w:t>
            </w:r>
          </w:p>
        </w:tc>
        <w:tc>
          <w:tcPr>
            <w:tcW w:w="229" w:type="dxa"/>
            <w:vAlign w:val="top"/>
          </w:tcPr>
          <w:p w14:paraId="1DED7794">
            <w:pPr>
              <w:rPr>
                <w:rFonts w:ascii="Arial"/>
                <w:sz w:val="21"/>
              </w:rPr>
            </w:pPr>
          </w:p>
        </w:tc>
        <w:tc>
          <w:tcPr>
            <w:tcW w:w="234" w:type="dxa"/>
            <w:vAlign w:val="top"/>
          </w:tcPr>
          <w:p w14:paraId="4DE6A678">
            <w:pPr>
              <w:rPr>
                <w:rFonts w:ascii="Arial"/>
                <w:sz w:val="21"/>
              </w:rPr>
            </w:pPr>
          </w:p>
        </w:tc>
      </w:tr>
      <w:tr w14:paraId="3A76A2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863" w:type="dxa"/>
            <w:vMerge w:val="restart"/>
            <w:tcBorders>
              <w:bottom w:val="nil"/>
            </w:tcBorders>
            <w:vAlign w:val="top"/>
          </w:tcPr>
          <w:p w14:paraId="5FB33895">
            <w:pPr>
              <w:pStyle w:val="6"/>
              <w:spacing w:before="222" w:line="219" w:lineRule="auto"/>
              <w:ind w:left="65"/>
              <w:rPr>
                <w:sz w:val="18"/>
                <w:szCs w:val="18"/>
              </w:rPr>
            </w:pPr>
            <w:r>
              <w:rPr>
                <w:spacing w:val="-2"/>
                <w:sz w:val="18"/>
                <w:szCs w:val="18"/>
              </w:rPr>
              <w:t>财产清查</w:t>
            </w:r>
          </w:p>
          <w:p w14:paraId="627F7139">
            <w:pPr>
              <w:pStyle w:val="6"/>
              <w:spacing w:before="27" w:line="221" w:lineRule="auto"/>
              <w:ind w:left="155"/>
              <w:rPr>
                <w:sz w:val="18"/>
                <w:szCs w:val="18"/>
              </w:rPr>
            </w:pPr>
            <w:r>
              <w:rPr>
                <w:spacing w:val="2"/>
                <w:sz w:val="18"/>
                <w:szCs w:val="18"/>
              </w:rPr>
              <w:t>的方法</w:t>
            </w:r>
          </w:p>
        </w:tc>
        <w:tc>
          <w:tcPr>
            <w:tcW w:w="2334" w:type="dxa"/>
            <w:vAlign w:val="top"/>
          </w:tcPr>
          <w:p w14:paraId="7ED7C9C5">
            <w:pPr>
              <w:pStyle w:val="6"/>
              <w:spacing w:before="52" w:line="212" w:lineRule="auto"/>
              <w:ind w:left="11"/>
              <w:rPr>
                <w:sz w:val="18"/>
                <w:szCs w:val="18"/>
              </w:rPr>
            </w:pPr>
            <w:r>
              <w:rPr>
                <w:sz w:val="18"/>
                <w:szCs w:val="18"/>
              </w:rPr>
              <w:t>1.财产物资的盘存制度</w:t>
            </w:r>
          </w:p>
        </w:tc>
        <w:tc>
          <w:tcPr>
            <w:tcW w:w="220" w:type="dxa"/>
            <w:vAlign w:val="top"/>
          </w:tcPr>
          <w:p w14:paraId="60DCE7DA">
            <w:pPr>
              <w:rPr>
                <w:rFonts w:ascii="Arial"/>
                <w:sz w:val="21"/>
              </w:rPr>
            </w:pPr>
          </w:p>
        </w:tc>
        <w:tc>
          <w:tcPr>
            <w:tcW w:w="229" w:type="dxa"/>
            <w:vAlign w:val="top"/>
          </w:tcPr>
          <w:p w14:paraId="787CCD35">
            <w:pPr>
              <w:rPr>
                <w:rFonts w:ascii="Arial"/>
                <w:sz w:val="21"/>
              </w:rPr>
            </w:pPr>
          </w:p>
        </w:tc>
        <w:tc>
          <w:tcPr>
            <w:tcW w:w="229" w:type="dxa"/>
            <w:vAlign w:val="top"/>
          </w:tcPr>
          <w:p w14:paraId="63E7530C">
            <w:pPr>
              <w:pStyle w:val="6"/>
              <w:spacing w:before="91" w:line="238" w:lineRule="auto"/>
              <w:ind w:left="9"/>
              <w:rPr>
                <w:sz w:val="12"/>
                <w:szCs w:val="12"/>
              </w:rPr>
            </w:pPr>
            <w:r>
              <w:rPr>
                <w:sz w:val="12"/>
                <w:szCs w:val="12"/>
              </w:rPr>
              <w:t>√</w:t>
            </w:r>
          </w:p>
        </w:tc>
        <w:tc>
          <w:tcPr>
            <w:tcW w:w="234" w:type="dxa"/>
            <w:vAlign w:val="top"/>
          </w:tcPr>
          <w:p w14:paraId="741293CD">
            <w:pPr>
              <w:rPr>
                <w:rFonts w:ascii="Arial"/>
                <w:sz w:val="21"/>
              </w:rPr>
            </w:pPr>
          </w:p>
        </w:tc>
      </w:tr>
      <w:tr w14:paraId="2A1F61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9" w:hRule="atLeast"/>
        </w:trPr>
        <w:tc>
          <w:tcPr>
            <w:tcW w:w="863" w:type="dxa"/>
            <w:vMerge w:val="continue"/>
            <w:tcBorders>
              <w:top w:val="nil"/>
              <w:bottom w:val="nil"/>
            </w:tcBorders>
            <w:vAlign w:val="top"/>
          </w:tcPr>
          <w:p w14:paraId="5D20813B">
            <w:pPr>
              <w:rPr>
                <w:rFonts w:ascii="Arial"/>
                <w:sz w:val="21"/>
              </w:rPr>
            </w:pPr>
          </w:p>
        </w:tc>
        <w:tc>
          <w:tcPr>
            <w:tcW w:w="2334" w:type="dxa"/>
            <w:vAlign w:val="top"/>
          </w:tcPr>
          <w:p w14:paraId="491B1293">
            <w:pPr>
              <w:pStyle w:val="6"/>
              <w:spacing w:before="53" w:line="219" w:lineRule="auto"/>
              <w:ind w:left="11"/>
              <w:rPr>
                <w:sz w:val="18"/>
                <w:szCs w:val="18"/>
              </w:rPr>
            </w:pPr>
            <w:r>
              <w:rPr>
                <w:spacing w:val="1"/>
                <w:sz w:val="18"/>
                <w:szCs w:val="18"/>
              </w:rPr>
              <w:t>2.财产清查的准备工作</w:t>
            </w:r>
          </w:p>
        </w:tc>
        <w:tc>
          <w:tcPr>
            <w:tcW w:w="220" w:type="dxa"/>
            <w:vAlign w:val="top"/>
          </w:tcPr>
          <w:p w14:paraId="1BA9EB49">
            <w:pPr>
              <w:pStyle w:val="6"/>
              <w:spacing w:before="94" w:line="238" w:lineRule="auto"/>
              <w:ind w:left="17"/>
              <w:rPr>
                <w:sz w:val="13"/>
                <w:szCs w:val="13"/>
              </w:rPr>
            </w:pPr>
            <w:r>
              <w:rPr>
                <w:sz w:val="13"/>
                <w:szCs w:val="13"/>
              </w:rPr>
              <w:t>√</w:t>
            </w:r>
          </w:p>
        </w:tc>
        <w:tc>
          <w:tcPr>
            <w:tcW w:w="229" w:type="dxa"/>
            <w:vAlign w:val="top"/>
          </w:tcPr>
          <w:p w14:paraId="011B9218">
            <w:pPr>
              <w:rPr>
                <w:rFonts w:ascii="Arial"/>
                <w:sz w:val="21"/>
              </w:rPr>
            </w:pPr>
          </w:p>
        </w:tc>
        <w:tc>
          <w:tcPr>
            <w:tcW w:w="229" w:type="dxa"/>
            <w:vAlign w:val="top"/>
          </w:tcPr>
          <w:p w14:paraId="4699ACF5">
            <w:pPr>
              <w:rPr>
                <w:rFonts w:ascii="Arial"/>
                <w:sz w:val="21"/>
              </w:rPr>
            </w:pPr>
          </w:p>
        </w:tc>
        <w:tc>
          <w:tcPr>
            <w:tcW w:w="234" w:type="dxa"/>
            <w:vAlign w:val="top"/>
          </w:tcPr>
          <w:p w14:paraId="4EDFB9AD">
            <w:pPr>
              <w:rPr>
                <w:rFonts w:ascii="Arial"/>
                <w:sz w:val="21"/>
              </w:rPr>
            </w:pPr>
          </w:p>
        </w:tc>
      </w:tr>
      <w:tr w14:paraId="005DB3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863" w:type="dxa"/>
            <w:vMerge w:val="continue"/>
            <w:tcBorders>
              <w:top w:val="nil"/>
            </w:tcBorders>
            <w:vAlign w:val="top"/>
          </w:tcPr>
          <w:p w14:paraId="26BC17C4">
            <w:pPr>
              <w:rPr>
                <w:rFonts w:ascii="Arial"/>
                <w:sz w:val="21"/>
              </w:rPr>
            </w:pPr>
          </w:p>
        </w:tc>
        <w:tc>
          <w:tcPr>
            <w:tcW w:w="2334" w:type="dxa"/>
            <w:vAlign w:val="top"/>
          </w:tcPr>
          <w:p w14:paraId="0C6FD208">
            <w:pPr>
              <w:pStyle w:val="6"/>
              <w:spacing w:before="54" w:line="210" w:lineRule="auto"/>
              <w:ind w:left="11"/>
              <w:rPr>
                <w:sz w:val="18"/>
                <w:szCs w:val="18"/>
              </w:rPr>
            </w:pPr>
            <w:r>
              <w:rPr>
                <w:spacing w:val="-2"/>
                <w:sz w:val="18"/>
                <w:szCs w:val="18"/>
              </w:rPr>
              <w:t>3.财产清查的方法</w:t>
            </w:r>
          </w:p>
        </w:tc>
        <w:tc>
          <w:tcPr>
            <w:tcW w:w="220" w:type="dxa"/>
            <w:vAlign w:val="top"/>
          </w:tcPr>
          <w:p w14:paraId="0335AF44">
            <w:pPr>
              <w:rPr>
                <w:rFonts w:ascii="Arial"/>
                <w:sz w:val="21"/>
              </w:rPr>
            </w:pPr>
          </w:p>
        </w:tc>
        <w:tc>
          <w:tcPr>
            <w:tcW w:w="229" w:type="dxa"/>
            <w:vAlign w:val="top"/>
          </w:tcPr>
          <w:p w14:paraId="03AA2771">
            <w:pPr>
              <w:rPr>
                <w:rFonts w:ascii="Arial"/>
                <w:sz w:val="21"/>
              </w:rPr>
            </w:pPr>
          </w:p>
        </w:tc>
        <w:tc>
          <w:tcPr>
            <w:tcW w:w="229" w:type="dxa"/>
            <w:vAlign w:val="top"/>
          </w:tcPr>
          <w:p w14:paraId="63971893">
            <w:pPr>
              <w:rPr>
                <w:rFonts w:ascii="Arial"/>
                <w:sz w:val="21"/>
              </w:rPr>
            </w:pPr>
          </w:p>
        </w:tc>
        <w:tc>
          <w:tcPr>
            <w:tcW w:w="234" w:type="dxa"/>
            <w:vAlign w:val="top"/>
          </w:tcPr>
          <w:p w14:paraId="40494589">
            <w:pPr>
              <w:pStyle w:val="6"/>
              <w:spacing w:before="102" w:line="161" w:lineRule="auto"/>
              <w:ind w:left="70"/>
              <w:rPr>
                <w:sz w:val="18"/>
                <w:szCs w:val="18"/>
              </w:rPr>
            </w:pPr>
            <w:r>
              <w:rPr>
                <w:sz w:val="18"/>
                <w:szCs w:val="18"/>
              </w:rPr>
              <w:t>V</w:t>
            </w:r>
          </w:p>
        </w:tc>
      </w:tr>
      <w:tr w14:paraId="4F7B4C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863" w:type="dxa"/>
            <w:vMerge w:val="restart"/>
            <w:tcBorders>
              <w:bottom w:val="nil"/>
            </w:tcBorders>
            <w:vAlign w:val="top"/>
          </w:tcPr>
          <w:p w14:paraId="17C11679">
            <w:pPr>
              <w:pStyle w:val="6"/>
              <w:spacing w:before="84" w:line="235" w:lineRule="auto"/>
              <w:ind w:left="15" w:right="2" w:firstLine="49"/>
              <w:rPr>
                <w:sz w:val="18"/>
                <w:szCs w:val="18"/>
              </w:rPr>
            </w:pPr>
            <w:r>
              <w:rPr>
                <w:spacing w:val="-2"/>
                <w:sz w:val="18"/>
                <w:szCs w:val="18"/>
              </w:rPr>
              <w:t>财产清查</w:t>
            </w:r>
            <w:r>
              <w:rPr>
                <w:sz w:val="18"/>
                <w:szCs w:val="18"/>
              </w:rPr>
              <w:t xml:space="preserve">  </w:t>
            </w:r>
            <w:r>
              <w:rPr>
                <w:spacing w:val="-14"/>
                <w:sz w:val="18"/>
                <w:szCs w:val="18"/>
              </w:rPr>
              <w:t>结果的处</w:t>
            </w:r>
            <w:r>
              <w:rPr>
                <w:spacing w:val="-9"/>
                <w:sz w:val="18"/>
                <w:szCs w:val="18"/>
              </w:rPr>
              <w:t>理</w:t>
            </w:r>
          </w:p>
        </w:tc>
        <w:tc>
          <w:tcPr>
            <w:tcW w:w="2334" w:type="dxa"/>
            <w:vAlign w:val="top"/>
          </w:tcPr>
          <w:p w14:paraId="647F9ECF">
            <w:pPr>
              <w:pStyle w:val="6"/>
              <w:spacing w:before="55" w:line="209" w:lineRule="auto"/>
              <w:ind w:left="11"/>
              <w:rPr>
                <w:sz w:val="18"/>
                <w:szCs w:val="18"/>
              </w:rPr>
            </w:pPr>
            <w:r>
              <w:rPr>
                <w:sz w:val="18"/>
                <w:szCs w:val="18"/>
              </w:rPr>
              <w:t>1.财产清查结果的处理要求</w:t>
            </w:r>
          </w:p>
        </w:tc>
        <w:tc>
          <w:tcPr>
            <w:tcW w:w="220" w:type="dxa"/>
            <w:vAlign w:val="top"/>
          </w:tcPr>
          <w:p w14:paraId="563A67CD">
            <w:pPr>
              <w:pStyle w:val="6"/>
              <w:spacing w:before="86" w:line="238" w:lineRule="auto"/>
              <w:ind w:left="17"/>
              <w:rPr>
                <w:sz w:val="13"/>
                <w:szCs w:val="13"/>
              </w:rPr>
            </w:pPr>
            <w:r>
              <w:rPr>
                <w:sz w:val="13"/>
                <w:szCs w:val="13"/>
              </w:rPr>
              <w:t>√</w:t>
            </w:r>
          </w:p>
        </w:tc>
        <w:tc>
          <w:tcPr>
            <w:tcW w:w="229" w:type="dxa"/>
            <w:vAlign w:val="top"/>
          </w:tcPr>
          <w:p w14:paraId="5850276E">
            <w:pPr>
              <w:rPr>
                <w:rFonts w:ascii="Arial"/>
                <w:sz w:val="21"/>
              </w:rPr>
            </w:pPr>
          </w:p>
        </w:tc>
        <w:tc>
          <w:tcPr>
            <w:tcW w:w="229" w:type="dxa"/>
            <w:vAlign w:val="top"/>
          </w:tcPr>
          <w:p w14:paraId="0A4D4B49">
            <w:pPr>
              <w:rPr>
                <w:rFonts w:ascii="Arial"/>
                <w:sz w:val="21"/>
              </w:rPr>
            </w:pPr>
          </w:p>
        </w:tc>
        <w:tc>
          <w:tcPr>
            <w:tcW w:w="234" w:type="dxa"/>
            <w:vAlign w:val="top"/>
          </w:tcPr>
          <w:p w14:paraId="48F86063">
            <w:pPr>
              <w:rPr>
                <w:rFonts w:ascii="Arial"/>
                <w:sz w:val="21"/>
              </w:rPr>
            </w:pPr>
          </w:p>
        </w:tc>
      </w:tr>
      <w:tr w14:paraId="6E5870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4" w:hRule="atLeast"/>
        </w:trPr>
        <w:tc>
          <w:tcPr>
            <w:tcW w:w="863" w:type="dxa"/>
            <w:vMerge w:val="continue"/>
            <w:tcBorders>
              <w:top w:val="nil"/>
            </w:tcBorders>
            <w:vAlign w:val="top"/>
          </w:tcPr>
          <w:p w14:paraId="792C12A8">
            <w:pPr>
              <w:rPr>
                <w:rFonts w:ascii="Arial"/>
                <w:sz w:val="21"/>
              </w:rPr>
            </w:pPr>
          </w:p>
        </w:tc>
        <w:tc>
          <w:tcPr>
            <w:tcW w:w="2334" w:type="dxa"/>
            <w:vAlign w:val="top"/>
          </w:tcPr>
          <w:p w14:paraId="642F6221">
            <w:pPr>
              <w:pStyle w:val="6"/>
              <w:spacing w:before="56" w:line="213" w:lineRule="auto"/>
              <w:ind w:left="11"/>
              <w:rPr>
                <w:sz w:val="18"/>
                <w:szCs w:val="18"/>
              </w:rPr>
            </w:pPr>
            <w:r>
              <w:rPr>
                <w:spacing w:val="-1"/>
                <w:sz w:val="18"/>
                <w:szCs w:val="18"/>
              </w:rPr>
              <w:t>2.财产清查结果的处理方法</w:t>
            </w:r>
          </w:p>
        </w:tc>
        <w:tc>
          <w:tcPr>
            <w:tcW w:w="220" w:type="dxa"/>
            <w:vAlign w:val="top"/>
          </w:tcPr>
          <w:p w14:paraId="086A5EBA">
            <w:pPr>
              <w:rPr>
                <w:rFonts w:ascii="Arial"/>
                <w:sz w:val="21"/>
              </w:rPr>
            </w:pPr>
          </w:p>
        </w:tc>
        <w:tc>
          <w:tcPr>
            <w:tcW w:w="229" w:type="dxa"/>
            <w:vAlign w:val="top"/>
          </w:tcPr>
          <w:p w14:paraId="6A3CC3BF">
            <w:pPr>
              <w:rPr>
                <w:rFonts w:ascii="Arial"/>
                <w:sz w:val="21"/>
              </w:rPr>
            </w:pPr>
          </w:p>
        </w:tc>
        <w:tc>
          <w:tcPr>
            <w:tcW w:w="229" w:type="dxa"/>
            <w:vAlign w:val="top"/>
          </w:tcPr>
          <w:p w14:paraId="6CAC9CD3">
            <w:pPr>
              <w:rPr>
                <w:rFonts w:ascii="Arial"/>
                <w:sz w:val="21"/>
              </w:rPr>
            </w:pPr>
          </w:p>
        </w:tc>
        <w:tc>
          <w:tcPr>
            <w:tcW w:w="234" w:type="dxa"/>
            <w:vAlign w:val="top"/>
          </w:tcPr>
          <w:p w14:paraId="1F833417">
            <w:pPr>
              <w:pStyle w:val="6"/>
              <w:spacing w:before="87" w:line="238" w:lineRule="auto"/>
              <w:ind w:left="50"/>
              <w:rPr>
                <w:sz w:val="13"/>
                <w:szCs w:val="13"/>
              </w:rPr>
            </w:pPr>
            <w:r>
              <w:rPr>
                <w:sz w:val="13"/>
                <w:szCs w:val="13"/>
              </w:rPr>
              <w:t>√</w:t>
            </w:r>
          </w:p>
        </w:tc>
      </w:tr>
    </w:tbl>
    <w:p w14:paraId="6A950721">
      <w:pPr>
        <w:spacing w:before="59" w:line="222" w:lineRule="auto"/>
        <w:ind w:left="1247"/>
        <w:rPr>
          <w:rFonts w:ascii="黑体" w:hAnsi="黑体" w:eastAsia="黑体" w:cs="黑体"/>
          <w:sz w:val="21"/>
          <w:szCs w:val="21"/>
        </w:rPr>
      </w:pPr>
      <w:r>
        <w:rPr>
          <w:rFonts w:ascii="黑体" w:hAnsi="黑体" w:eastAsia="黑体" w:cs="黑体"/>
          <w:b/>
          <w:bCs/>
          <w:spacing w:val="-1"/>
          <w:sz w:val="21"/>
          <w:szCs w:val="21"/>
        </w:rPr>
        <w:t>(八)会计核算程序</w:t>
      </w:r>
    </w:p>
    <w:p w14:paraId="6EB2E9A0">
      <w:pPr>
        <w:spacing w:line="78" w:lineRule="exact"/>
      </w:pPr>
    </w:p>
    <w:tbl>
      <w:tblPr>
        <w:tblStyle w:val="5"/>
        <w:tblW w:w="410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53"/>
        <w:gridCol w:w="2344"/>
        <w:gridCol w:w="229"/>
        <w:gridCol w:w="220"/>
        <w:gridCol w:w="229"/>
        <w:gridCol w:w="234"/>
      </w:tblGrid>
      <w:tr w14:paraId="57D8BC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2" w:hRule="atLeast"/>
        </w:trPr>
        <w:tc>
          <w:tcPr>
            <w:tcW w:w="853" w:type="dxa"/>
            <w:vMerge w:val="restart"/>
            <w:tcBorders>
              <w:bottom w:val="nil"/>
            </w:tcBorders>
            <w:vAlign w:val="top"/>
          </w:tcPr>
          <w:p w14:paraId="48A6A950">
            <w:pPr>
              <w:pStyle w:val="6"/>
              <w:spacing w:before="132" w:line="229" w:lineRule="auto"/>
              <w:ind w:left="77" w:right="92" w:firstLine="89"/>
            </w:pPr>
            <w:r>
              <w:rPr>
                <w:b/>
                <w:bCs/>
                <w:spacing w:val="-6"/>
              </w:rPr>
              <w:t>知识与</w:t>
            </w:r>
            <w:r>
              <w:t xml:space="preserve">  </w:t>
            </w:r>
            <w:r>
              <w:rPr>
                <w:b/>
                <w:bCs/>
                <w:spacing w:val="-4"/>
              </w:rPr>
              <w:t>技能要点</w:t>
            </w:r>
          </w:p>
        </w:tc>
        <w:tc>
          <w:tcPr>
            <w:tcW w:w="2344" w:type="dxa"/>
            <w:vMerge w:val="restart"/>
            <w:tcBorders>
              <w:bottom w:val="nil"/>
            </w:tcBorders>
            <w:vAlign w:val="top"/>
          </w:tcPr>
          <w:p w14:paraId="3C89B775">
            <w:pPr>
              <w:pStyle w:val="6"/>
              <w:spacing w:before="239" w:line="219" w:lineRule="auto"/>
              <w:ind w:left="864"/>
            </w:pPr>
            <w:r>
              <w:rPr>
                <w:b/>
                <w:bCs/>
                <w:spacing w:val="5"/>
              </w:rPr>
              <w:t>考试条目</w:t>
            </w:r>
          </w:p>
        </w:tc>
        <w:tc>
          <w:tcPr>
            <w:tcW w:w="912" w:type="dxa"/>
            <w:gridSpan w:val="4"/>
            <w:vAlign w:val="top"/>
          </w:tcPr>
          <w:p w14:paraId="3288E68A">
            <w:pPr>
              <w:pStyle w:val="6"/>
              <w:spacing w:before="79" w:line="219" w:lineRule="auto"/>
              <w:ind w:left="150"/>
            </w:pPr>
            <w:r>
              <w:rPr>
                <w:b/>
                <w:bCs/>
                <w:spacing w:val="-4"/>
              </w:rPr>
              <w:t>考试水平</w:t>
            </w:r>
          </w:p>
        </w:tc>
      </w:tr>
      <w:tr w14:paraId="64EAF6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8" w:hRule="atLeast"/>
        </w:trPr>
        <w:tc>
          <w:tcPr>
            <w:tcW w:w="853" w:type="dxa"/>
            <w:vMerge w:val="continue"/>
            <w:tcBorders>
              <w:top w:val="nil"/>
            </w:tcBorders>
            <w:vAlign w:val="top"/>
          </w:tcPr>
          <w:p w14:paraId="2B58E94D">
            <w:pPr>
              <w:rPr>
                <w:rFonts w:ascii="Arial"/>
                <w:sz w:val="21"/>
              </w:rPr>
            </w:pPr>
          </w:p>
        </w:tc>
        <w:tc>
          <w:tcPr>
            <w:tcW w:w="2344" w:type="dxa"/>
            <w:vMerge w:val="continue"/>
            <w:tcBorders>
              <w:top w:val="nil"/>
            </w:tcBorders>
            <w:vAlign w:val="top"/>
          </w:tcPr>
          <w:p w14:paraId="295EF5B3">
            <w:pPr>
              <w:rPr>
                <w:rFonts w:ascii="Arial"/>
                <w:sz w:val="21"/>
              </w:rPr>
            </w:pPr>
          </w:p>
        </w:tc>
        <w:tc>
          <w:tcPr>
            <w:tcW w:w="229" w:type="dxa"/>
            <w:vAlign w:val="top"/>
          </w:tcPr>
          <w:p w14:paraId="337BE23A">
            <w:pPr>
              <w:pStyle w:val="6"/>
              <w:spacing w:before="112" w:line="184" w:lineRule="auto"/>
              <w:ind w:left="70"/>
            </w:pPr>
            <w:r>
              <w:rPr>
                <w:b/>
                <w:bCs/>
                <w:spacing w:val="-2"/>
              </w:rPr>
              <w:t>A</w:t>
            </w:r>
          </w:p>
        </w:tc>
        <w:tc>
          <w:tcPr>
            <w:tcW w:w="220" w:type="dxa"/>
            <w:vAlign w:val="top"/>
          </w:tcPr>
          <w:p w14:paraId="6D18D40F">
            <w:pPr>
              <w:pStyle w:val="6"/>
              <w:spacing w:before="114" w:line="182" w:lineRule="auto"/>
              <w:ind w:left="61"/>
            </w:pPr>
            <w:r>
              <w:rPr>
                <w:b/>
                <w:bCs/>
                <w:spacing w:val="-2"/>
              </w:rPr>
              <w:t>B</w:t>
            </w:r>
          </w:p>
        </w:tc>
        <w:tc>
          <w:tcPr>
            <w:tcW w:w="229" w:type="dxa"/>
            <w:vAlign w:val="top"/>
          </w:tcPr>
          <w:p w14:paraId="13E00C07">
            <w:pPr>
              <w:pStyle w:val="6"/>
              <w:spacing w:before="112" w:line="183" w:lineRule="auto"/>
              <w:ind w:left="21"/>
            </w:pPr>
            <w:r>
              <w:rPr>
                <w:b/>
                <w:bCs/>
                <w:spacing w:val="-2"/>
              </w:rPr>
              <w:t>C</w:t>
            </w:r>
          </w:p>
        </w:tc>
        <w:tc>
          <w:tcPr>
            <w:tcW w:w="234" w:type="dxa"/>
            <w:vAlign w:val="top"/>
          </w:tcPr>
          <w:p w14:paraId="4A215157">
            <w:pPr>
              <w:pStyle w:val="6"/>
              <w:spacing w:before="114" w:line="182" w:lineRule="auto"/>
              <w:ind w:left="22"/>
            </w:pPr>
            <w:r>
              <w:rPr>
                <w:b/>
                <w:bCs/>
                <w:spacing w:val="-2"/>
              </w:rPr>
              <w:t>D</w:t>
            </w:r>
          </w:p>
        </w:tc>
      </w:tr>
      <w:tr w14:paraId="2F0796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8" w:hRule="atLeast"/>
        </w:trPr>
        <w:tc>
          <w:tcPr>
            <w:tcW w:w="853" w:type="dxa"/>
            <w:vMerge w:val="restart"/>
            <w:tcBorders>
              <w:bottom w:val="nil"/>
            </w:tcBorders>
            <w:vAlign w:val="top"/>
          </w:tcPr>
          <w:p w14:paraId="051350D7">
            <w:pPr>
              <w:pStyle w:val="6"/>
              <w:spacing w:before="20" w:line="228" w:lineRule="auto"/>
              <w:ind w:left="75" w:right="93"/>
              <w:jc w:val="both"/>
            </w:pPr>
            <w:r>
              <w:rPr>
                <w:spacing w:val="-2"/>
              </w:rPr>
              <w:t>会计核算</w:t>
            </w:r>
            <w:r>
              <w:rPr>
                <w:spacing w:val="1"/>
              </w:rPr>
              <w:t xml:space="preserve"> </w:t>
            </w:r>
            <w:r>
              <w:rPr>
                <w:spacing w:val="-2"/>
              </w:rPr>
              <w:t>程序的概</w:t>
            </w:r>
            <w:r>
              <w:rPr>
                <w:spacing w:val="1"/>
              </w:rPr>
              <w:t xml:space="preserve"> </w:t>
            </w:r>
            <w:r>
              <w:rPr>
                <w:spacing w:val="-2"/>
              </w:rPr>
              <w:t>念与选择</w:t>
            </w:r>
          </w:p>
        </w:tc>
        <w:tc>
          <w:tcPr>
            <w:tcW w:w="2344" w:type="dxa"/>
            <w:vAlign w:val="top"/>
          </w:tcPr>
          <w:p w14:paraId="3DE5DAC9">
            <w:pPr>
              <w:pStyle w:val="6"/>
              <w:spacing w:before="70" w:line="219" w:lineRule="auto"/>
              <w:ind w:left="2"/>
            </w:pPr>
            <w:r>
              <w:t>1.会计核算程序的概念</w:t>
            </w:r>
          </w:p>
        </w:tc>
        <w:tc>
          <w:tcPr>
            <w:tcW w:w="229" w:type="dxa"/>
            <w:vAlign w:val="top"/>
          </w:tcPr>
          <w:p w14:paraId="092D919A">
            <w:pPr>
              <w:rPr>
                <w:rFonts w:ascii="Arial"/>
                <w:sz w:val="21"/>
              </w:rPr>
            </w:pPr>
          </w:p>
        </w:tc>
        <w:tc>
          <w:tcPr>
            <w:tcW w:w="220" w:type="dxa"/>
            <w:vAlign w:val="top"/>
          </w:tcPr>
          <w:p w14:paraId="52B19053">
            <w:pPr>
              <w:pStyle w:val="6"/>
              <w:spacing w:before="112" w:line="238" w:lineRule="auto"/>
              <w:ind w:left="49"/>
              <w:rPr>
                <w:sz w:val="12"/>
                <w:szCs w:val="12"/>
              </w:rPr>
            </w:pPr>
            <w:r>
              <w:rPr>
                <w:sz w:val="12"/>
                <w:szCs w:val="12"/>
              </w:rPr>
              <w:t>√</w:t>
            </w:r>
          </w:p>
        </w:tc>
        <w:tc>
          <w:tcPr>
            <w:tcW w:w="229" w:type="dxa"/>
            <w:vAlign w:val="top"/>
          </w:tcPr>
          <w:p w14:paraId="0584ACFF">
            <w:pPr>
              <w:rPr>
                <w:rFonts w:ascii="Arial"/>
                <w:sz w:val="21"/>
              </w:rPr>
            </w:pPr>
          </w:p>
        </w:tc>
        <w:tc>
          <w:tcPr>
            <w:tcW w:w="234" w:type="dxa"/>
            <w:vAlign w:val="top"/>
          </w:tcPr>
          <w:p w14:paraId="03F04C66">
            <w:pPr>
              <w:rPr>
                <w:rFonts w:ascii="Arial"/>
                <w:sz w:val="21"/>
              </w:rPr>
            </w:pPr>
          </w:p>
        </w:tc>
      </w:tr>
      <w:tr w14:paraId="3925FD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2" w:hRule="atLeast"/>
        </w:trPr>
        <w:tc>
          <w:tcPr>
            <w:tcW w:w="853" w:type="dxa"/>
            <w:vMerge w:val="continue"/>
            <w:tcBorders>
              <w:top w:val="nil"/>
            </w:tcBorders>
            <w:vAlign w:val="top"/>
          </w:tcPr>
          <w:p w14:paraId="3066FC3B">
            <w:pPr>
              <w:rPr>
                <w:rFonts w:ascii="Arial"/>
                <w:sz w:val="21"/>
              </w:rPr>
            </w:pPr>
          </w:p>
        </w:tc>
        <w:tc>
          <w:tcPr>
            <w:tcW w:w="2344" w:type="dxa"/>
            <w:vAlign w:val="top"/>
          </w:tcPr>
          <w:p w14:paraId="02078F5C">
            <w:pPr>
              <w:pStyle w:val="6"/>
              <w:spacing w:before="92" w:line="219" w:lineRule="auto"/>
              <w:ind w:left="2"/>
            </w:pPr>
            <w:r>
              <w:rPr>
                <w:spacing w:val="-1"/>
              </w:rPr>
              <w:t>2.会计核算程序的选择</w:t>
            </w:r>
          </w:p>
        </w:tc>
        <w:tc>
          <w:tcPr>
            <w:tcW w:w="229" w:type="dxa"/>
            <w:vAlign w:val="top"/>
          </w:tcPr>
          <w:p w14:paraId="6F41FED7">
            <w:pPr>
              <w:pStyle w:val="6"/>
              <w:spacing w:before="123" w:line="238" w:lineRule="auto"/>
              <w:ind w:left="48"/>
              <w:rPr>
                <w:sz w:val="12"/>
                <w:szCs w:val="12"/>
              </w:rPr>
            </w:pPr>
            <w:r>
              <w:rPr>
                <w:sz w:val="12"/>
                <w:szCs w:val="12"/>
              </w:rPr>
              <w:t>√</w:t>
            </w:r>
          </w:p>
        </w:tc>
        <w:tc>
          <w:tcPr>
            <w:tcW w:w="220" w:type="dxa"/>
            <w:vAlign w:val="top"/>
          </w:tcPr>
          <w:p w14:paraId="55BDCC18">
            <w:pPr>
              <w:rPr>
                <w:rFonts w:ascii="Arial"/>
                <w:sz w:val="21"/>
              </w:rPr>
            </w:pPr>
          </w:p>
        </w:tc>
        <w:tc>
          <w:tcPr>
            <w:tcW w:w="229" w:type="dxa"/>
            <w:vAlign w:val="top"/>
          </w:tcPr>
          <w:p w14:paraId="269FBFE5">
            <w:pPr>
              <w:rPr>
                <w:rFonts w:ascii="Arial"/>
                <w:sz w:val="21"/>
              </w:rPr>
            </w:pPr>
          </w:p>
        </w:tc>
        <w:tc>
          <w:tcPr>
            <w:tcW w:w="234" w:type="dxa"/>
            <w:vAlign w:val="top"/>
          </w:tcPr>
          <w:p w14:paraId="6F3C4052">
            <w:pPr>
              <w:rPr>
                <w:rFonts w:ascii="Arial"/>
                <w:sz w:val="21"/>
              </w:rPr>
            </w:pPr>
          </w:p>
        </w:tc>
      </w:tr>
    </w:tbl>
    <w:p w14:paraId="3C8CFCEE">
      <w:pPr>
        <w:pStyle w:val="2"/>
        <w:spacing w:line="104" w:lineRule="auto"/>
        <w:rPr>
          <w:sz w:val="2"/>
        </w:rPr>
      </w:pPr>
    </w:p>
    <w:p w14:paraId="3758A459">
      <w:pPr>
        <w:pStyle w:val="2"/>
        <w:spacing w:line="14" w:lineRule="auto"/>
        <w:rPr>
          <w:sz w:val="2"/>
        </w:rPr>
      </w:pPr>
      <w:r>
        <w:rPr>
          <w:sz w:val="2"/>
          <w:szCs w:val="2"/>
        </w:rPr>
        <w:br w:type="column"/>
      </w:r>
    </w:p>
    <w:p w14:paraId="14F48775">
      <w:pPr>
        <w:spacing w:line="101" w:lineRule="auto"/>
        <w:rPr>
          <w:rFonts w:ascii="Arial"/>
          <w:sz w:val="2"/>
        </w:rPr>
      </w:pPr>
    </w:p>
    <w:tbl>
      <w:tblPr>
        <w:tblStyle w:val="5"/>
        <w:tblW w:w="4110" w:type="dxa"/>
        <w:tblInd w:w="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63"/>
        <w:gridCol w:w="2334"/>
        <w:gridCol w:w="230"/>
        <w:gridCol w:w="229"/>
        <w:gridCol w:w="220"/>
        <w:gridCol w:w="234"/>
      </w:tblGrid>
      <w:tr w14:paraId="31D2CF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4" w:hRule="atLeast"/>
        </w:trPr>
        <w:tc>
          <w:tcPr>
            <w:tcW w:w="863" w:type="dxa"/>
            <w:vMerge w:val="restart"/>
            <w:tcBorders>
              <w:bottom w:val="nil"/>
            </w:tcBorders>
            <w:vAlign w:val="top"/>
          </w:tcPr>
          <w:p w14:paraId="6FA80D1F">
            <w:pPr>
              <w:spacing w:line="325" w:lineRule="auto"/>
              <w:rPr>
                <w:rFonts w:ascii="Arial"/>
                <w:sz w:val="21"/>
              </w:rPr>
            </w:pPr>
          </w:p>
          <w:p w14:paraId="18E058CD">
            <w:pPr>
              <w:pStyle w:val="6"/>
              <w:spacing w:before="55" w:line="218" w:lineRule="auto"/>
              <w:ind w:left="85" w:right="93"/>
            </w:pPr>
            <w:r>
              <w:rPr>
                <w:spacing w:val="-2"/>
              </w:rPr>
              <w:t>记账凭证</w:t>
            </w:r>
            <w:r>
              <w:rPr>
                <w:spacing w:val="1"/>
              </w:rPr>
              <w:t xml:space="preserve"> </w:t>
            </w:r>
            <w:r>
              <w:rPr>
                <w:spacing w:val="-2"/>
              </w:rPr>
              <w:t>核算程序</w:t>
            </w:r>
          </w:p>
        </w:tc>
        <w:tc>
          <w:tcPr>
            <w:tcW w:w="2334" w:type="dxa"/>
            <w:vAlign w:val="top"/>
          </w:tcPr>
          <w:p w14:paraId="6A2ECA78">
            <w:pPr>
              <w:pStyle w:val="6"/>
              <w:spacing w:before="52" w:line="219" w:lineRule="auto"/>
              <w:ind w:left="142"/>
            </w:pPr>
            <w:r>
              <w:rPr>
                <w:spacing w:val="1"/>
              </w:rPr>
              <w:t>1.记账凭证核算程序的特点</w:t>
            </w:r>
          </w:p>
        </w:tc>
        <w:tc>
          <w:tcPr>
            <w:tcW w:w="230" w:type="dxa"/>
            <w:vAlign w:val="top"/>
          </w:tcPr>
          <w:p w14:paraId="31301AEE">
            <w:pPr>
              <w:rPr>
                <w:rFonts w:ascii="Arial"/>
                <w:sz w:val="21"/>
              </w:rPr>
            </w:pPr>
          </w:p>
        </w:tc>
        <w:tc>
          <w:tcPr>
            <w:tcW w:w="229" w:type="dxa"/>
            <w:vAlign w:val="top"/>
          </w:tcPr>
          <w:p w14:paraId="1C9A4032">
            <w:pPr>
              <w:pStyle w:val="6"/>
              <w:spacing w:before="92" w:line="238" w:lineRule="auto"/>
              <w:ind w:left="48"/>
              <w:rPr>
                <w:sz w:val="12"/>
                <w:szCs w:val="12"/>
              </w:rPr>
            </w:pPr>
            <w:r>
              <w:rPr>
                <w:sz w:val="12"/>
                <w:szCs w:val="12"/>
              </w:rPr>
              <w:t>√</w:t>
            </w:r>
          </w:p>
        </w:tc>
        <w:tc>
          <w:tcPr>
            <w:tcW w:w="220" w:type="dxa"/>
            <w:vAlign w:val="top"/>
          </w:tcPr>
          <w:p w14:paraId="2D9D46B2">
            <w:pPr>
              <w:rPr>
                <w:rFonts w:ascii="Arial"/>
                <w:sz w:val="21"/>
              </w:rPr>
            </w:pPr>
          </w:p>
        </w:tc>
        <w:tc>
          <w:tcPr>
            <w:tcW w:w="234" w:type="dxa"/>
            <w:vAlign w:val="top"/>
          </w:tcPr>
          <w:p w14:paraId="774C5CC8">
            <w:pPr>
              <w:rPr>
                <w:rFonts w:ascii="Arial"/>
                <w:sz w:val="21"/>
              </w:rPr>
            </w:pPr>
          </w:p>
        </w:tc>
      </w:tr>
      <w:tr w14:paraId="663A67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863" w:type="dxa"/>
            <w:vMerge w:val="continue"/>
            <w:tcBorders>
              <w:top w:val="nil"/>
              <w:bottom w:val="nil"/>
            </w:tcBorders>
            <w:vAlign w:val="top"/>
          </w:tcPr>
          <w:p w14:paraId="69D8A75A">
            <w:pPr>
              <w:rPr>
                <w:rFonts w:ascii="Arial"/>
                <w:sz w:val="21"/>
              </w:rPr>
            </w:pPr>
          </w:p>
        </w:tc>
        <w:tc>
          <w:tcPr>
            <w:tcW w:w="2334" w:type="dxa"/>
            <w:vAlign w:val="top"/>
          </w:tcPr>
          <w:p w14:paraId="39D5DCF4">
            <w:pPr>
              <w:pStyle w:val="6"/>
              <w:spacing w:before="48" w:line="219" w:lineRule="auto"/>
              <w:jc w:val="right"/>
            </w:pPr>
            <w:r>
              <w:rPr>
                <w:spacing w:val="-5"/>
              </w:rPr>
              <w:t>2.记账凭证核算程序的记账程序</w:t>
            </w:r>
          </w:p>
        </w:tc>
        <w:tc>
          <w:tcPr>
            <w:tcW w:w="230" w:type="dxa"/>
            <w:vAlign w:val="top"/>
          </w:tcPr>
          <w:p w14:paraId="2790FB5A">
            <w:pPr>
              <w:rPr>
                <w:rFonts w:ascii="Arial"/>
                <w:sz w:val="21"/>
              </w:rPr>
            </w:pPr>
          </w:p>
        </w:tc>
        <w:tc>
          <w:tcPr>
            <w:tcW w:w="229" w:type="dxa"/>
            <w:vAlign w:val="top"/>
          </w:tcPr>
          <w:p w14:paraId="46551592">
            <w:pPr>
              <w:rPr>
                <w:rFonts w:ascii="Arial"/>
                <w:sz w:val="21"/>
              </w:rPr>
            </w:pPr>
          </w:p>
        </w:tc>
        <w:tc>
          <w:tcPr>
            <w:tcW w:w="220" w:type="dxa"/>
            <w:vAlign w:val="top"/>
          </w:tcPr>
          <w:p w14:paraId="574EC49F">
            <w:pPr>
              <w:pStyle w:val="6"/>
              <w:spacing w:before="64" w:line="211" w:lineRule="auto"/>
              <w:ind w:left="19"/>
            </w:pPr>
            <w:r>
              <w:t>√</w:t>
            </w:r>
          </w:p>
        </w:tc>
        <w:tc>
          <w:tcPr>
            <w:tcW w:w="234" w:type="dxa"/>
            <w:vAlign w:val="top"/>
          </w:tcPr>
          <w:p w14:paraId="45C3A794">
            <w:pPr>
              <w:rPr>
                <w:rFonts w:ascii="Arial"/>
                <w:sz w:val="21"/>
              </w:rPr>
            </w:pPr>
          </w:p>
        </w:tc>
      </w:tr>
      <w:tr w14:paraId="1B8E38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9" w:hRule="atLeast"/>
        </w:trPr>
        <w:tc>
          <w:tcPr>
            <w:tcW w:w="863" w:type="dxa"/>
            <w:vMerge w:val="continue"/>
            <w:tcBorders>
              <w:top w:val="nil"/>
              <w:bottom w:val="nil"/>
            </w:tcBorders>
            <w:vAlign w:val="top"/>
          </w:tcPr>
          <w:p w14:paraId="70F43651">
            <w:pPr>
              <w:rPr>
                <w:rFonts w:ascii="Arial"/>
                <w:sz w:val="21"/>
              </w:rPr>
            </w:pPr>
          </w:p>
        </w:tc>
        <w:tc>
          <w:tcPr>
            <w:tcW w:w="2334" w:type="dxa"/>
            <w:vAlign w:val="top"/>
          </w:tcPr>
          <w:p w14:paraId="7CFBD2EB">
            <w:pPr>
              <w:pStyle w:val="6"/>
              <w:spacing w:before="59" w:line="219" w:lineRule="auto"/>
              <w:ind w:left="142"/>
            </w:pPr>
            <w:r>
              <w:rPr>
                <w:spacing w:val="1"/>
              </w:rPr>
              <w:t>3.记账凭证核算程序的应用</w:t>
            </w:r>
          </w:p>
        </w:tc>
        <w:tc>
          <w:tcPr>
            <w:tcW w:w="230" w:type="dxa"/>
            <w:vAlign w:val="top"/>
          </w:tcPr>
          <w:p w14:paraId="1E2F0DD8">
            <w:pPr>
              <w:rPr>
                <w:rFonts w:ascii="Arial"/>
                <w:sz w:val="21"/>
              </w:rPr>
            </w:pPr>
          </w:p>
        </w:tc>
        <w:tc>
          <w:tcPr>
            <w:tcW w:w="229" w:type="dxa"/>
            <w:vAlign w:val="top"/>
          </w:tcPr>
          <w:p w14:paraId="2CBFCE6D">
            <w:pPr>
              <w:rPr>
                <w:rFonts w:ascii="Arial"/>
                <w:sz w:val="21"/>
              </w:rPr>
            </w:pPr>
          </w:p>
        </w:tc>
        <w:tc>
          <w:tcPr>
            <w:tcW w:w="220" w:type="dxa"/>
            <w:vAlign w:val="top"/>
          </w:tcPr>
          <w:p w14:paraId="2149B163">
            <w:pPr>
              <w:rPr>
                <w:rFonts w:ascii="Arial"/>
                <w:sz w:val="21"/>
              </w:rPr>
            </w:pPr>
          </w:p>
        </w:tc>
        <w:tc>
          <w:tcPr>
            <w:tcW w:w="234" w:type="dxa"/>
            <w:vAlign w:val="top"/>
          </w:tcPr>
          <w:p w14:paraId="1D198C4C">
            <w:pPr>
              <w:pStyle w:val="6"/>
              <w:spacing w:before="89" w:line="238" w:lineRule="auto"/>
              <w:ind w:left="49"/>
              <w:rPr>
                <w:sz w:val="12"/>
                <w:szCs w:val="12"/>
              </w:rPr>
            </w:pPr>
            <w:r>
              <w:rPr>
                <w:sz w:val="12"/>
                <w:szCs w:val="12"/>
              </w:rPr>
              <w:t>√</w:t>
            </w:r>
          </w:p>
        </w:tc>
      </w:tr>
      <w:tr w14:paraId="37CEA1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863" w:type="dxa"/>
            <w:vMerge w:val="continue"/>
            <w:tcBorders>
              <w:top w:val="nil"/>
            </w:tcBorders>
            <w:vAlign w:val="top"/>
          </w:tcPr>
          <w:p w14:paraId="6EA67242">
            <w:pPr>
              <w:rPr>
                <w:rFonts w:ascii="Arial"/>
                <w:sz w:val="21"/>
              </w:rPr>
            </w:pPr>
          </w:p>
        </w:tc>
        <w:tc>
          <w:tcPr>
            <w:tcW w:w="2334" w:type="dxa"/>
            <w:vAlign w:val="top"/>
          </w:tcPr>
          <w:p w14:paraId="4A026DD7">
            <w:pPr>
              <w:pStyle w:val="6"/>
              <w:spacing w:before="50" w:line="219" w:lineRule="auto"/>
              <w:ind w:left="52"/>
            </w:pPr>
            <w:r>
              <w:rPr>
                <w:spacing w:val="1"/>
              </w:rPr>
              <w:t>4.记账凭证核算程序的优缺点</w:t>
            </w:r>
          </w:p>
        </w:tc>
        <w:tc>
          <w:tcPr>
            <w:tcW w:w="230" w:type="dxa"/>
            <w:vAlign w:val="top"/>
          </w:tcPr>
          <w:p w14:paraId="24C947AE">
            <w:pPr>
              <w:rPr>
                <w:rFonts w:ascii="Arial"/>
                <w:sz w:val="21"/>
              </w:rPr>
            </w:pPr>
          </w:p>
        </w:tc>
        <w:tc>
          <w:tcPr>
            <w:tcW w:w="229" w:type="dxa"/>
            <w:vAlign w:val="top"/>
          </w:tcPr>
          <w:p w14:paraId="35C4867D">
            <w:pPr>
              <w:rPr>
                <w:rFonts w:ascii="Arial"/>
                <w:sz w:val="21"/>
              </w:rPr>
            </w:pPr>
          </w:p>
        </w:tc>
        <w:tc>
          <w:tcPr>
            <w:tcW w:w="220" w:type="dxa"/>
            <w:vAlign w:val="top"/>
          </w:tcPr>
          <w:p w14:paraId="52209D73">
            <w:pPr>
              <w:pStyle w:val="6"/>
              <w:spacing w:before="67" w:line="208" w:lineRule="auto"/>
              <w:ind w:left="19"/>
            </w:pPr>
            <w:r>
              <w:t>√</w:t>
            </w:r>
          </w:p>
        </w:tc>
        <w:tc>
          <w:tcPr>
            <w:tcW w:w="234" w:type="dxa"/>
            <w:vAlign w:val="top"/>
          </w:tcPr>
          <w:p w14:paraId="2C3749B0">
            <w:pPr>
              <w:rPr>
                <w:rFonts w:ascii="Arial"/>
                <w:sz w:val="21"/>
              </w:rPr>
            </w:pPr>
          </w:p>
        </w:tc>
      </w:tr>
      <w:tr w14:paraId="0F3628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863" w:type="dxa"/>
            <w:vMerge w:val="restart"/>
            <w:tcBorders>
              <w:bottom w:val="nil"/>
            </w:tcBorders>
            <w:vAlign w:val="top"/>
          </w:tcPr>
          <w:p w14:paraId="2AE00C6D">
            <w:pPr>
              <w:pStyle w:val="6"/>
              <w:spacing w:before="270" w:line="219" w:lineRule="auto"/>
              <w:ind w:left="85"/>
            </w:pPr>
            <w:r>
              <w:rPr>
                <w:spacing w:val="3"/>
              </w:rPr>
              <w:t>科目汇总</w:t>
            </w:r>
          </w:p>
          <w:p w14:paraId="1310A5D6">
            <w:pPr>
              <w:pStyle w:val="6"/>
              <w:spacing w:before="8" w:line="238" w:lineRule="auto"/>
              <w:ind w:left="254" w:right="183" w:hanging="89"/>
            </w:pPr>
            <w:r>
              <w:rPr>
                <w:spacing w:val="-2"/>
              </w:rPr>
              <w:t>表核算</w:t>
            </w:r>
            <w:r>
              <w:t xml:space="preserve"> </w:t>
            </w:r>
            <w:r>
              <w:rPr>
                <w:spacing w:val="-2"/>
              </w:rPr>
              <w:t>程序</w:t>
            </w:r>
          </w:p>
        </w:tc>
        <w:tc>
          <w:tcPr>
            <w:tcW w:w="2334" w:type="dxa"/>
            <w:vAlign w:val="top"/>
          </w:tcPr>
          <w:p w14:paraId="1E188043">
            <w:pPr>
              <w:pStyle w:val="6"/>
              <w:spacing w:before="50" w:line="219" w:lineRule="auto"/>
              <w:ind w:left="52"/>
            </w:pPr>
            <w:r>
              <w:rPr>
                <w:spacing w:val="1"/>
              </w:rPr>
              <w:t>1.科目汇总表核算程序的特点</w:t>
            </w:r>
          </w:p>
        </w:tc>
        <w:tc>
          <w:tcPr>
            <w:tcW w:w="230" w:type="dxa"/>
            <w:vAlign w:val="top"/>
          </w:tcPr>
          <w:p w14:paraId="1CDEEBB1">
            <w:pPr>
              <w:rPr>
                <w:rFonts w:ascii="Arial"/>
                <w:sz w:val="21"/>
              </w:rPr>
            </w:pPr>
          </w:p>
        </w:tc>
        <w:tc>
          <w:tcPr>
            <w:tcW w:w="229" w:type="dxa"/>
            <w:vAlign w:val="top"/>
          </w:tcPr>
          <w:p w14:paraId="0F1C256E">
            <w:pPr>
              <w:pStyle w:val="6"/>
              <w:spacing w:before="68" w:line="207" w:lineRule="auto"/>
              <w:ind w:left="28"/>
            </w:pPr>
            <w:r>
              <w:t>√</w:t>
            </w:r>
          </w:p>
        </w:tc>
        <w:tc>
          <w:tcPr>
            <w:tcW w:w="220" w:type="dxa"/>
            <w:vAlign w:val="top"/>
          </w:tcPr>
          <w:p w14:paraId="658309F1">
            <w:pPr>
              <w:rPr>
                <w:rFonts w:ascii="Arial"/>
                <w:sz w:val="21"/>
              </w:rPr>
            </w:pPr>
          </w:p>
        </w:tc>
        <w:tc>
          <w:tcPr>
            <w:tcW w:w="234" w:type="dxa"/>
            <w:vAlign w:val="top"/>
          </w:tcPr>
          <w:p w14:paraId="0271ECBD">
            <w:pPr>
              <w:rPr>
                <w:rFonts w:ascii="Arial"/>
                <w:sz w:val="21"/>
              </w:rPr>
            </w:pPr>
          </w:p>
        </w:tc>
      </w:tr>
      <w:tr w14:paraId="13E93F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8" w:hRule="atLeast"/>
        </w:trPr>
        <w:tc>
          <w:tcPr>
            <w:tcW w:w="863" w:type="dxa"/>
            <w:vMerge w:val="continue"/>
            <w:tcBorders>
              <w:top w:val="nil"/>
              <w:bottom w:val="nil"/>
            </w:tcBorders>
            <w:vAlign w:val="top"/>
          </w:tcPr>
          <w:p w14:paraId="6AE13C92">
            <w:pPr>
              <w:rPr>
                <w:rFonts w:ascii="Arial"/>
                <w:sz w:val="21"/>
              </w:rPr>
            </w:pPr>
          </w:p>
        </w:tc>
        <w:tc>
          <w:tcPr>
            <w:tcW w:w="2334" w:type="dxa"/>
            <w:vAlign w:val="top"/>
          </w:tcPr>
          <w:p w14:paraId="57CDDDD2">
            <w:pPr>
              <w:pStyle w:val="6"/>
              <w:spacing w:before="61" w:line="219" w:lineRule="auto"/>
              <w:jc w:val="right"/>
            </w:pPr>
            <w:r>
              <w:rPr>
                <w:spacing w:val="-16"/>
              </w:rPr>
              <w:t>2.科目汇</w:t>
            </w:r>
            <w:r>
              <w:rPr>
                <w:spacing w:val="-15"/>
              </w:rPr>
              <w:t>总表核算程序的记账程</w:t>
            </w:r>
            <w:r>
              <w:rPr>
                <w:spacing w:val="-10"/>
              </w:rPr>
              <w:t>序</w:t>
            </w:r>
          </w:p>
        </w:tc>
        <w:tc>
          <w:tcPr>
            <w:tcW w:w="230" w:type="dxa"/>
            <w:vAlign w:val="top"/>
          </w:tcPr>
          <w:p w14:paraId="47F4CCFB">
            <w:pPr>
              <w:rPr>
                <w:rFonts w:ascii="Arial"/>
                <w:sz w:val="21"/>
              </w:rPr>
            </w:pPr>
          </w:p>
        </w:tc>
        <w:tc>
          <w:tcPr>
            <w:tcW w:w="229" w:type="dxa"/>
            <w:vAlign w:val="top"/>
          </w:tcPr>
          <w:p w14:paraId="48209D8C">
            <w:pPr>
              <w:rPr>
                <w:rFonts w:ascii="Arial"/>
                <w:sz w:val="21"/>
              </w:rPr>
            </w:pPr>
          </w:p>
        </w:tc>
        <w:tc>
          <w:tcPr>
            <w:tcW w:w="220" w:type="dxa"/>
            <w:vAlign w:val="top"/>
          </w:tcPr>
          <w:p w14:paraId="43A4A982">
            <w:pPr>
              <w:pStyle w:val="6"/>
              <w:spacing w:before="106" w:line="175" w:lineRule="auto"/>
              <w:ind w:left="19"/>
            </w:pPr>
            <w:r>
              <w:t>V</w:t>
            </w:r>
          </w:p>
        </w:tc>
        <w:tc>
          <w:tcPr>
            <w:tcW w:w="234" w:type="dxa"/>
            <w:vAlign w:val="top"/>
          </w:tcPr>
          <w:p w14:paraId="2D4C21E6">
            <w:pPr>
              <w:rPr>
                <w:rFonts w:ascii="Arial"/>
                <w:sz w:val="21"/>
              </w:rPr>
            </w:pPr>
          </w:p>
        </w:tc>
      </w:tr>
      <w:tr w14:paraId="711ADD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8" w:hRule="atLeast"/>
        </w:trPr>
        <w:tc>
          <w:tcPr>
            <w:tcW w:w="863" w:type="dxa"/>
            <w:vMerge w:val="continue"/>
            <w:tcBorders>
              <w:top w:val="nil"/>
              <w:bottom w:val="nil"/>
            </w:tcBorders>
            <w:vAlign w:val="top"/>
          </w:tcPr>
          <w:p w14:paraId="3FAFC4A1">
            <w:pPr>
              <w:rPr>
                <w:rFonts w:ascii="Arial"/>
                <w:sz w:val="21"/>
              </w:rPr>
            </w:pPr>
          </w:p>
        </w:tc>
        <w:tc>
          <w:tcPr>
            <w:tcW w:w="2334" w:type="dxa"/>
            <w:vAlign w:val="top"/>
          </w:tcPr>
          <w:p w14:paraId="58703CD2">
            <w:pPr>
              <w:pStyle w:val="6"/>
              <w:spacing w:before="53" w:line="219" w:lineRule="auto"/>
              <w:ind w:left="52"/>
            </w:pPr>
            <w:r>
              <w:rPr>
                <w:spacing w:val="1"/>
              </w:rPr>
              <w:t>3.科目汇总表核算程序的应用</w:t>
            </w:r>
          </w:p>
        </w:tc>
        <w:tc>
          <w:tcPr>
            <w:tcW w:w="230" w:type="dxa"/>
            <w:vAlign w:val="top"/>
          </w:tcPr>
          <w:p w14:paraId="22167479">
            <w:pPr>
              <w:rPr>
                <w:rFonts w:ascii="Arial"/>
                <w:sz w:val="21"/>
              </w:rPr>
            </w:pPr>
          </w:p>
        </w:tc>
        <w:tc>
          <w:tcPr>
            <w:tcW w:w="229" w:type="dxa"/>
            <w:vAlign w:val="top"/>
          </w:tcPr>
          <w:p w14:paraId="6A9FB622">
            <w:pPr>
              <w:rPr>
                <w:rFonts w:ascii="Arial"/>
                <w:sz w:val="21"/>
              </w:rPr>
            </w:pPr>
          </w:p>
        </w:tc>
        <w:tc>
          <w:tcPr>
            <w:tcW w:w="220" w:type="dxa"/>
            <w:vAlign w:val="top"/>
          </w:tcPr>
          <w:p w14:paraId="373F25B6">
            <w:pPr>
              <w:rPr>
                <w:rFonts w:ascii="Arial"/>
                <w:sz w:val="21"/>
              </w:rPr>
            </w:pPr>
          </w:p>
        </w:tc>
        <w:tc>
          <w:tcPr>
            <w:tcW w:w="234" w:type="dxa"/>
            <w:vAlign w:val="top"/>
          </w:tcPr>
          <w:p w14:paraId="20BD6C34">
            <w:pPr>
              <w:pStyle w:val="6"/>
              <w:spacing w:before="94" w:line="238" w:lineRule="auto"/>
              <w:ind w:left="49"/>
              <w:rPr>
                <w:sz w:val="12"/>
                <w:szCs w:val="12"/>
              </w:rPr>
            </w:pPr>
            <w:r>
              <w:rPr>
                <w:sz w:val="12"/>
                <w:szCs w:val="12"/>
              </w:rPr>
              <w:t>√</w:t>
            </w:r>
          </w:p>
        </w:tc>
      </w:tr>
      <w:tr w14:paraId="265C6A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4" w:hRule="atLeast"/>
        </w:trPr>
        <w:tc>
          <w:tcPr>
            <w:tcW w:w="863" w:type="dxa"/>
            <w:vMerge w:val="continue"/>
            <w:tcBorders>
              <w:top w:val="nil"/>
            </w:tcBorders>
            <w:vAlign w:val="top"/>
          </w:tcPr>
          <w:p w14:paraId="3DD9E6FB">
            <w:pPr>
              <w:rPr>
                <w:rFonts w:ascii="Arial"/>
                <w:sz w:val="21"/>
              </w:rPr>
            </w:pPr>
          </w:p>
        </w:tc>
        <w:tc>
          <w:tcPr>
            <w:tcW w:w="2334" w:type="dxa"/>
            <w:vAlign w:val="top"/>
          </w:tcPr>
          <w:p w14:paraId="2743B38D">
            <w:pPr>
              <w:pStyle w:val="6"/>
              <w:spacing w:before="54" w:line="219" w:lineRule="auto"/>
              <w:jc w:val="right"/>
            </w:pPr>
            <w:r>
              <w:rPr>
                <w:spacing w:val="-5"/>
              </w:rPr>
              <w:t>4.科目汇总表核算程序的优缺点</w:t>
            </w:r>
          </w:p>
        </w:tc>
        <w:tc>
          <w:tcPr>
            <w:tcW w:w="230" w:type="dxa"/>
            <w:vAlign w:val="top"/>
          </w:tcPr>
          <w:p w14:paraId="44602D31">
            <w:pPr>
              <w:rPr>
                <w:rFonts w:ascii="Arial"/>
                <w:sz w:val="21"/>
              </w:rPr>
            </w:pPr>
          </w:p>
        </w:tc>
        <w:tc>
          <w:tcPr>
            <w:tcW w:w="229" w:type="dxa"/>
            <w:vAlign w:val="top"/>
          </w:tcPr>
          <w:p w14:paraId="054EC3A6">
            <w:pPr>
              <w:rPr>
                <w:rFonts w:ascii="Arial"/>
                <w:sz w:val="21"/>
              </w:rPr>
            </w:pPr>
          </w:p>
        </w:tc>
        <w:tc>
          <w:tcPr>
            <w:tcW w:w="220" w:type="dxa"/>
            <w:vAlign w:val="top"/>
          </w:tcPr>
          <w:p w14:paraId="5A3E810D">
            <w:pPr>
              <w:pStyle w:val="6"/>
              <w:spacing w:before="101" w:line="177" w:lineRule="auto"/>
              <w:ind w:left="29"/>
            </w:pPr>
            <w:r>
              <w:t>V</w:t>
            </w:r>
          </w:p>
        </w:tc>
        <w:tc>
          <w:tcPr>
            <w:tcW w:w="234" w:type="dxa"/>
            <w:vAlign w:val="top"/>
          </w:tcPr>
          <w:p w14:paraId="4AE44C1D">
            <w:pPr>
              <w:rPr>
                <w:rFonts w:ascii="Arial"/>
                <w:sz w:val="21"/>
              </w:rPr>
            </w:pPr>
          </w:p>
        </w:tc>
      </w:tr>
    </w:tbl>
    <w:p w14:paraId="3249CEDD">
      <w:pPr>
        <w:spacing w:before="60" w:line="219" w:lineRule="auto"/>
        <w:ind w:left="1458"/>
        <w:rPr>
          <w:rFonts w:ascii="宋体" w:hAnsi="宋体" w:eastAsia="宋体" w:cs="宋体"/>
          <w:sz w:val="21"/>
          <w:szCs w:val="21"/>
        </w:rPr>
      </w:pPr>
      <w:r>
        <w:rPr>
          <w:rFonts w:ascii="宋体" w:hAnsi="宋体" w:eastAsia="宋体" w:cs="宋体"/>
          <w:b/>
          <w:bCs/>
          <w:spacing w:val="-2"/>
          <w:sz w:val="21"/>
          <w:szCs w:val="21"/>
        </w:rPr>
        <w:t>(九)财务报表</w:t>
      </w:r>
    </w:p>
    <w:p w14:paraId="69A8FD08">
      <w:pPr>
        <w:spacing w:line="105" w:lineRule="auto"/>
        <w:rPr>
          <w:rFonts w:ascii="Arial"/>
          <w:sz w:val="2"/>
        </w:rPr>
      </w:pPr>
    </w:p>
    <w:tbl>
      <w:tblPr>
        <w:tblStyle w:val="5"/>
        <w:tblW w:w="4119" w:type="dxa"/>
        <w:tblInd w:w="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53"/>
        <w:gridCol w:w="2344"/>
        <w:gridCol w:w="229"/>
        <w:gridCol w:w="229"/>
        <w:gridCol w:w="220"/>
        <w:gridCol w:w="244"/>
      </w:tblGrid>
      <w:tr w14:paraId="1591E3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4" w:hRule="atLeast"/>
        </w:trPr>
        <w:tc>
          <w:tcPr>
            <w:tcW w:w="853" w:type="dxa"/>
            <w:vMerge w:val="restart"/>
            <w:tcBorders>
              <w:bottom w:val="nil"/>
            </w:tcBorders>
            <w:vAlign w:val="top"/>
          </w:tcPr>
          <w:p w14:paraId="072BE13E">
            <w:pPr>
              <w:pStyle w:val="6"/>
              <w:spacing w:before="122" w:line="229" w:lineRule="auto"/>
              <w:ind w:left="77" w:right="92" w:firstLine="89"/>
            </w:pPr>
            <w:r>
              <w:rPr>
                <w:b/>
                <w:bCs/>
                <w:spacing w:val="-6"/>
              </w:rPr>
              <w:t>知识与</w:t>
            </w:r>
            <w:r>
              <w:t xml:space="preserve">  </w:t>
            </w:r>
            <w:r>
              <w:rPr>
                <w:b/>
                <w:bCs/>
                <w:spacing w:val="-4"/>
              </w:rPr>
              <w:t>技能要点</w:t>
            </w:r>
          </w:p>
        </w:tc>
        <w:tc>
          <w:tcPr>
            <w:tcW w:w="2344" w:type="dxa"/>
            <w:vMerge w:val="restart"/>
            <w:tcBorders>
              <w:bottom w:val="nil"/>
            </w:tcBorders>
            <w:vAlign w:val="top"/>
          </w:tcPr>
          <w:p w14:paraId="4FEA2843">
            <w:pPr>
              <w:pStyle w:val="6"/>
              <w:spacing w:before="239" w:line="219" w:lineRule="auto"/>
              <w:ind w:left="854"/>
            </w:pPr>
            <w:r>
              <w:rPr>
                <w:b/>
                <w:bCs/>
                <w:spacing w:val="5"/>
              </w:rPr>
              <w:t>考试条目</w:t>
            </w:r>
          </w:p>
        </w:tc>
        <w:tc>
          <w:tcPr>
            <w:tcW w:w="922" w:type="dxa"/>
            <w:gridSpan w:val="4"/>
            <w:vAlign w:val="top"/>
          </w:tcPr>
          <w:p w14:paraId="118F5BC7">
            <w:pPr>
              <w:pStyle w:val="6"/>
              <w:spacing w:before="79" w:line="219" w:lineRule="auto"/>
              <w:ind w:left="160"/>
            </w:pPr>
            <w:r>
              <w:rPr>
                <w:b/>
                <w:bCs/>
                <w:spacing w:val="-4"/>
              </w:rPr>
              <w:t>考试水平</w:t>
            </w:r>
          </w:p>
        </w:tc>
      </w:tr>
      <w:tr w14:paraId="7D502B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853" w:type="dxa"/>
            <w:vMerge w:val="continue"/>
            <w:tcBorders>
              <w:top w:val="nil"/>
            </w:tcBorders>
            <w:vAlign w:val="top"/>
          </w:tcPr>
          <w:p w14:paraId="2A192F9D">
            <w:pPr>
              <w:rPr>
                <w:rFonts w:ascii="Arial"/>
                <w:sz w:val="21"/>
              </w:rPr>
            </w:pPr>
          </w:p>
        </w:tc>
        <w:tc>
          <w:tcPr>
            <w:tcW w:w="2344" w:type="dxa"/>
            <w:vMerge w:val="continue"/>
            <w:tcBorders>
              <w:top w:val="nil"/>
            </w:tcBorders>
            <w:vAlign w:val="top"/>
          </w:tcPr>
          <w:p w14:paraId="7706C17D">
            <w:pPr>
              <w:rPr>
                <w:rFonts w:ascii="Arial"/>
                <w:sz w:val="21"/>
              </w:rPr>
            </w:pPr>
          </w:p>
        </w:tc>
        <w:tc>
          <w:tcPr>
            <w:tcW w:w="229" w:type="dxa"/>
            <w:vAlign w:val="top"/>
          </w:tcPr>
          <w:p w14:paraId="31E199B6">
            <w:pPr>
              <w:pStyle w:val="6"/>
              <w:spacing w:before="110" w:line="184" w:lineRule="auto"/>
              <w:ind w:left="70"/>
            </w:pPr>
            <w:r>
              <w:rPr>
                <w:b/>
                <w:bCs/>
                <w:spacing w:val="-2"/>
              </w:rPr>
              <w:t>A</w:t>
            </w:r>
          </w:p>
        </w:tc>
        <w:tc>
          <w:tcPr>
            <w:tcW w:w="229" w:type="dxa"/>
            <w:vAlign w:val="top"/>
          </w:tcPr>
          <w:p w14:paraId="2C0428EC">
            <w:pPr>
              <w:pStyle w:val="6"/>
              <w:spacing w:before="112" w:line="182" w:lineRule="auto"/>
              <w:ind w:left="71"/>
            </w:pPr>
            <w:r>
              <w:rPr>
                <w:b/>
                <w:bCs/>
                <w:spacing w:val="-2"/>
              </w:rPr>
              <w:t>B</w:t>
            </w:r>
          </w:p>
        </w:tc>
        <w:tc>
          <w:tcPr>
            <w:tcW w:w="220" w:type="dxa"/>
            <w:vAlign w:val="top"/>
          </w:tcPr>
          <w:p w14:paraId="2BB978BE">
            <w:pPr>
              <w:pStyle w:val="6"/>
              <w:spacing w:before="110" w:line="183" w:lineRule="auto"/>
              <w:ind w:left="52"/>
            </w:pPr>
            <w:r>
              <w:rPr>
                <w:b/>
                <w:bCs/>
                <w:spacing w:val="-2"/>
              </w:rPr>
              <w:t>C</w:t>
            </w:r>
          </w:p>
        </w:tc>
        <w:tc>
          <w:tcPr>
            <w:tcW w:w="244" w:type="dxa"/>
            <w:vAlign w:val="top"/>
          </w:tcPr>
          <w:p w14:paraId="7865FDE7">
            <w:pPr>
              <w:pStyle w:val="6"/>
              <w:spacing w:before="105" w:line="182" w:lineRule="auto"/>
              <w:ind w:left="72"/>
              <w:rPr>
                <w:sz w:val="18"/>
                <w:szCs w:val="18"/>
              </w:rPr>
            </w:pPr>
            <w:r>
              <w:rPr>
                <w:b/>
                <w:bCs/>
                <w:spacing w:val="-2"/>
                <w:sz w:val="18"/>
                <w:szCs w:val="18"/>
              </w:rPr>
              <w:t>D</w:t>
            </w:r>
          </w:p>
        </w:tc>
      </w:tr>
      <w:tr w14:paraId="06053E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853" w:type="dxa"/>
            <w:vMerge w:val="restart"/>
            <w:tcBorders>
              <w:bottom w:val="nil"/>
            </w:tcBorders>
            <w:vAlign w:val="top"/>
          </w:tcPr>
          <w:p w14:paraId="1723C075">
            <w:pPr>
              <w:pStyle w:val="6"/>
              <w:spacing w:before="219" w:line="236" w:lineRule="auto"/>
              <w:ind w:left="244" w:right="95" w:hanging="169"/>
            </w:pPr>
            <w:r>
              <w:rPr>
                <w:spacing w:val="-2"/>
              </w:rPr>
              <w:t>财务报表</w:t>
            </w:r>
            <w:r>
              <w:t xml:space="preserve"> </w:t>
            </w:r>
            <w:r>
              <w:rPr>
                <w:spacing w:val="-2"/>
              </w:rPr>
              <w:t>概述</w:t>
            </w:r>
          </w:p>
        </w:tc>
        <w:tc>
          <w:tcPr>
            <w:tcW w:w="2344" w:type="dxa"/>
            <w:vAlign w:val="top"/>
          </w:tcPr>
          <w:p w14:paraId="391CE3A5">
            <w:pPr>
              <w:pStyle w:val="6"/>
              <w:spacing w:before="49" w:line="219" w:lineRule="auto"/>
              <w:ind w:left="12"/>
            </w:pPr>
            <w:r>
              <w:t>1.财务报表的概念</w:t>
            </w:r>
          </w:p>
        </w:tc>
        <w:tc>
          <w:tcPr>
            <w:tcW w:w="229" w:type="dxa"/>
            <w:vAlign w:val="top"/>
          </w:tcPr>
          <w:p w14:paraId="28AE82E6">
            <w:pPr>
              <w:pStyle w:val="6"/>
              <w:spacing w:before="80" w:line="238" w:lineRule="auto"/>
              <w:ind w:left="48"/>
              <w:rPr>
                <w:sz w:val="13"/>
                <w:szCs w:val="13"/>
              </w:rPr>
            </w:pPr>
            <w:r>
              <w:rPr>
                <w:sz w:val="13"/>
                <w:szCs w:val="13"/>
              </w:rPr>
              <w:t>√</w:t>
            </w:r>
          </w:p>
        </w:tc>
        <w:tc>
          <w:tcPr>
            <w:tcW w:w="229" w:type="dxa"/>
            <w:vAlign w:val="top"/>
          </w:tcPr>
          <w:p w14:paraId="6050DAB3">
            <w:pPr>
              <w:rPr>
                <w:rFonts w:ascii="Arial"/>
                <w:sz w:val="21"/>
              </w:rPr>
            </w:pPr>
          </w:p>
        </w:tc>
        <w:tc>
          <w:tcPr>
            <w:tcW w:w="220" w:type="dxa"/>
            <w:vAlign w:val="top"/>
          </w:tcPr>
          <w:p w14:paraId="7D6D5EF3">
            <w:pPr>
              <w:rPr>
                <w:rFonts w:ascii="Arial"/>
                <w:sz w:val="21"/>
              </w:rPr>
            </w:pPr>
          </w:p>
        </w:tc>
        <w:tc>
          <w:tcPr>
            <w:tcW w:w="244" w:type="dxa"/>
            <w:vAlign w:val="top"/>
          </w:tcPr>
          <w:p w14:paraId="33C64125">
            <w:pPr>
              <w:rPr>
                <w:rFonts w:ascii="Arial"/>
                <w:sz w:val="21"/>
              </w:rPr>
            </w:pPr>
          </w:p>
        </w:tc>
      </w:tr>
      <w:tr w14:paraId="270271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853" w:type="dxa"/>
            <w:vMerge w:val="continue"/>
            <w:tcBorders>
              <w:top w:val="nil"/>
              <w:bottom w:val="nil"/>
            </w:tcBorders>
            <w:vAlign w:val="top"/>
          </w:tcPr>
          <w:p w14:paraId="6B9429F8">
            <w:pPr>
              <w:rPr>
                <w:rFonts w:ascii="Arial"/>
                <w:sz w:val="21"/>
              </w:rPr>
            </w:pPr>
          </w:p>
        </w:tc>
        <w:tc>
          <w:tcPr>
            <w:tcW w:w="2344" w:type="dxa"/>
            <w:vAlign w:val="top"/>
          </w:tcPr>
          <w:p w14:paraId="11AB5669">
            <w:pPr>
              <w:pStyle w:val="6"/>
              <w:spacing w:before="50" w:line="219" w:lineRule="auto"/>
              <w:ind w:left="12"/>
            </w:pPr>
            <w:r>
              <w:rPr>
                <w:spacing w:val="-1"/>
              </w:rPr>
              <w:t>2.财务报表的种类</w:t>
            </w:r>
          </w:p>
        </w:tc>
        <w:tc>
          <w:tcPr>
            <w:tcW w:w="229" w:type="dxa"/>
            <w:vAlign w:val="top"/>
          </w:tcPr>
          <w:p w14:paraId="03C127D2">
            <w:pPr>
              <w:pStyle w:val="6"/>
              <w:spacing w:before="81" w:line="238" w:lineRule="auto"/>
              <w:ind w:left="48"/>
              <w:rPr>
                <w:sz w:val="13"/>
                <w:szCs w:val="13"/>
              </w:rPr>
            </w:pPr>
            <w:r>
              <w:rPr>
                <w:sz w:val="13"/>
                <w:szCs w:val="13"/>
              </w:rPr>
              <w:t>√</w:t>
            </w:r>
          </w:p>
        </w:tc>
        <w:tc>
          <w:tcPr>
            <w:tcW w:w="229" w:type="dxa"/>
            <w:vAlign w:val="top"/>
          </w:tcPr>
          <w:p w14:paraId="640A3647">
            <w:pPr>
              <w:rPr>
                <w:rFonts w:ascii="Arial"/>
                <w:sz w:val="21"/>
              </w:rPr>
            </w:pPr>
          </w:p>
        </w:tc>
        <w:tc>
          <w:tcPr>
            <w:tcW w:w="220" w:type="dxa"/>
            <w:vAlign w:val="top"/>
          </w:tcPr>
          <w:p w14:paraId="49200929">
            <w:pPr>
              <w:rPr>
                <w:rFonts w:ascii="Arial"/>
                <w:sz w:val="21"/>
              </w:rPr>
            </w:pPr>
          </w:p>
        </w:tc>
        <w:tc>
          <w:tcPr>
            <w:tcW w:w="244" w:type="dxa"/>
            <w:vAlign w:val="top"/>
          </w:tcPr>
          <w:p w14:paraId="54ACF682">
            <w:pPr>
              <w:rPr>
                <w:rFonts w:ascii="Arial"/>
                <w:sz w:val="21"/>
              </w:rPr>
            </w:pPr>
          </w:p>
        </w:tc>
      </w:tr>
      <w:tr w14:paraId="5296A7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9" w:hRule="atLeast"/>
        </w:trPr>
        <w:tc>
          <w:tcPr>
            <w:tcW w:w="853" w:type="dxa"/>
            <w:vMerge w:val="continue"/>
            <w:tcBorders>
              <w:top w:val="nil"/>
            </w:tcBorders>
            <w:vAlign w:val="top"/>
          </w:tcPr>
          <w:p w14:paraId="75EA1641">
            <w:pPr>
              <w:rPr>
                <w:rFonts w:ascii="Arial"/>
                <w:sz w:val="21"/>
              </w:rPr>
            </w:pPr>
          </w:p>
        </w:tc>
        <w:tc>
          <w:tcPr>
            <w:tcW w:w="2344" w:type="dxa"/>
            <w:vAlign w:val="top"/>
          </w:tcPr>
          <w:p w14:paraId="176A0249">
            <w:pPr>
              <w:pStyle w:val="6"/>
              <w:spacing w:before="61" w:line="219" w:lineRule="auto"/>
              <w:ind w:left="12"/>
            </w:pPr>
            <w:r>
              <w:rPr>
                <w:spacing w:val="-1"/>
              </w:rPr>
              <w:t>3.财务报表的编制要求</w:t>
            </w:r>
          </w:p>
        </w:tc>
        <w:tc>
          <w:tcPr>
            <w:tcW w:w="229" w:type="dxa"/>
            <w:vAlign w:val="top"/>
          </w:tcPr>
          <w:p w14:paraId="59FC8823">
            <w:pPr>
              <w:rPr>
                <w:rFonts w:ascii="Arial"/>
                <w:sz w:val="21"/>
              </w:rPr>
            </w:pPr>
          </w:p>
        </w:tc>
        <w:tc>
          <w:tcPr>
            <w:tcW w:w="229" w:type="dxa"/>
            <w:vAlign w:val="top"/>
          </w:tcPr>
          <w:p w14:paraId="39D35B4B">
            <w:pPr>
              <w:pStyle w:val="6"/>
              <w:spacing w:before="90" w:line="238" w:lineRule="auto"/>
              <w:ind w:left="49"/>
              <w:rPr>
                <w:sz w:val="12"/>
                <w:szCs w:val="12"/>
              </w:rPr>
            </w:pPr>
            <w:r>
              <w:rPr>
                <w:sz w:val="12"/>
                <w:szCs w:val="12"/>
              </w:rPr>
              <w:t>√</w:t>
            </w:r>
          </w:p>
        </w:tc>
        <w:tc>
          <w:tcPr>
            <w:tcW w:w="220" w:type="dxa"/>
            <w:vAlign w:val="top"/>
          </w:tcPr>
          <w:p w14:paraId="0C3650BA">
            <w:pPr>
              <w:rPr>
                <w:rFonts w:ascii="Arial"/>
                <w:sz w:val="21"/>
              </w:rPr>
            </w:pPr>
          </w:p>
        </w:tc>
        <w:tc>
          <w:tcPr>
            <w:tcW w:w="244" w:type="dxa"/>
            <w:vAlign w:val="top"/>
          </w:tcPr>
          <w:p w14:paraId="5C39EE9A">
            <w:pPr>
              <w:rPr>
                <w:rFonts w:ascii="Arial"/>
                <w:sz w:val="21"/>
              </w:rPr>
            </w:pPr>
          </w:p>
        </w:tc>
      </w:tr>
      <w:tr w14:paraId="5BFE53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853" w:type="dxa"/>
            <w:vMerge w:val="restart"/>
            <w:tcBorders>
              <w:bottom w:val="nil"/>
            </w:tcBorders>
            <w:vAlign w:val="top"/>
          </w:tcPr>
          <w:p w14:paraId="40840729">
            <w:pPr>
              <w:pStyle w:val="6"/>
              <w:spacing w:before="81" w:line="219" w:lineRule="auto"/>
              <w:ind w:left="75"/>
            </w:pPr>
            <w:r>
              <w:rPr>
                <w:spacing w:val="-2"/>
              </w:rPr>
              <w:t>财务报表</w:t>
            </w:r>
          </w:p>
          <w:p w14:paraId="0BB80BBA">
            <w:pPr>
              <w:pStyle w:val="6"/>
              <w:spacing w:before="48" w:line="219" w:lineRule="auto"/>
              <w:ind w:left="165"/>
            </w:pPr>
            <w:r>
              <w:rPr>
                <w:spacing w:val="4"/>
              </w:rPr>
              <w:t>的编制</w:t>
            </w:r>
          </w:p>
        </w:tc>
        <w:tc>
          <w:tcPr>
            <w:tcW w:w="2344" w:type="dxa"/>
            <w:vAlign w:val="top"/>
          </w:tcPr>
          <w:p w14:paraId="2DDB50EF">
            <w:pPr>
              <w:pStyle w:val="6"/>
              <w:spacing w:before="51" w:line="219" w:lineRule="auto"/>
              <w:ind w:left="12"/>
            </w:pPr>
            <w:r>
              <w:rPr>
                <w:spacing w:val="1"/>
              </w:rPr>
              <w:t>1.资产负债表</w:t>
            </w:r>
          </w:p>
        </w:tc>
        <w:tc>
          <w:tcPr>
            <w:tcW w:w="229" w:type="dxa"/>
            <w:vAlign w:val="top"/>
          </w:tcPr>
          <w:p w14:paraId="456F94BC">
            <w:pPr>
              <w:rPr>
                <w:rFonts w:ascii="Arial"/>
                <w:sz w:val="21"/>
              </w:rPr>
            </w:pPr>
          </w:p>
        </w:tc>
        <w:tc>
          <w:tcPr>
            <w:tcW w:w="229" w:type="dxa"/>
            <w:vAlign w:val="top"/>
          </w:tcPr>
          <w:p w14:paraId="7B188E98">
            <w:pPr>
              <w:rPr>
                <w:rFonts w:ascii="Arial"/>
                <w:sz w:val="21"/>
              </w:rPr>
            </w:pPr>
          </w:p>
        </w:tc>
        <w:tc>
          <w:tcPr>
            <w:tcW w:w="220" w:type="dxa"/>
            <w:vAlign w:val="top"/>
          </w:tcPr>
          <w:p w14:paraId="7323A427">
            <w:pPr>
              <w:rPr>
                <w:rFonts w:ascii="Arial"/>
                <w:sz w:val="21"/>
              </w:rPr>
            </w:pPr>
          </w:p>
        </w:tc>
        <w:tc>
          <w:tcPr>
            <w:tcW w:w="244" w:type="dxa"/>
            <w:vAlign w:val="top"/>
          </w:tcPr>
          <w:p w14:paraId="64FE587B">
            <w:pPr>
              <w:pStyle w:val="6"/>
              <w:spacing w:before="83" w:line="238" w:lineRule="auto"/>
              <w:ind w:left="50"/>
              <w:rPr>
                <w:sz w:val="13"/>
                <w:szCs w:val="13"/>
              </w:rPr>
            </w:pPr>
            <w:r>
              <w:rPr>
                <w:sz w:val="13"/>
                <w:szCs w:val="13"/>
              </w:rPr>
              <w:t>√</w:t>
            </w:r>
          </w:p>
        </w:tc>
      </w:tr>
      <w:tr w14:paraId="08B0B2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853" w:type="dxa"/>
            <w:vMerge w:val="continue"/>
            <w:tcBorders>
              <w:top w:val="nil"/>
            </w:tcBorders>
            <w:vAlign w:val="top"/>
          </w:tcPr>
          <w:p w14:paraId="5B12AC6E">
            <w:pPr>
              <w:rPr>
                <w:rFonts w:ascii="Arial"/>
                <w:sz w:val="21"/>
              </w:rPr>
            </w:pPr>
          </w:p>
        </w:tc>
        <w:tc>
          <w:tcPr>
            <w:tcW w:w="2344" w:type="dxa"/>
            <w:vAlign w:val="top"/>
          </w:tcPr>
          <w:p w14:paraId="7E80EB42">
            <w:pPr>
              <w:pStyle w:val="6"/>
              <w:spacing w:before="53" w:line="220" w:lineRule="auto"/>
              <w:ind w:left="12"/>
            </w:pPr>
            <w:r>
              <w:rPr>
                <w:spacing w:val="-2"/>
              </w:rPr>
              <w:t>2.利润表</w:t>
            </w:r>
          </w:p>
        </w:tc>
        <w:tc>
          <w:tcPr>
            <w:tcW w:w="229" w:type="dxa"/>
            <w:vAlign w:val="top"/>
          </w:tcPr>
          <w:p w14:paraId="5FDE60D1">
            <w:pPr>
              <w:rPr>
                <w:rFonts w:ascii="Arial"/>
                <w:sz w:val="21"/>
              </w:rPr>
            </w:pPr>
          </w:p>
        </w:tc>
        <w:tc>
          <w:tcPr>
            <w:tcW w:w="229" w:type="dxa"/>
            <w:vAlign w:val="top"/>
          </w:tcPr>
          <w:p w14:paraId="5283B304">
            <w:pPr>
              <w:rPr>
                <w:rFonts w:ascii="Arial"/>
                <w:sz w:val="21"/>
              </w:rPr>
            </w:pPr>
          </w:p>
        </w:tc>
        <w:tc>
          <w:tcPr>
            <w:tcW w:w="220" w:type="dxa"/>
            <w:vAlign w:val="top"/>
          </w:tcPr>
          <w:p w14:paraId="7DBF6D0C">
            <w:pPr>
              <w:rPr>
                <w:rFonts w:ascii="Arial"/>
                <w:sz w:val="21"/>
              </w:rPr>
            </w:pPr>
          </w:p>
        </w:tc>
        <w:tc>
          <w:tcPr>
            <w:tcW w:w="244" w:type="dxa"/>
            <w:vAlign w:val="top"/>
          </w:tcPr>
          <w:p w14:paraId="46A7A623">
            <w:pPr>
              <w:pStyle w:val="6"/>
              <w:spacing w:before="84" w:line="238" w:lineRule="auto"/>
              <w:ind w:left="50"/>
              <w:rPr>
                <w:sz w:val="13"/>
                <w:szCs w:val="13"/>
              </w:rPr>
            </w:pPr>
            <w:r>
              <w:rPr>
                <w:sz w:val="13"/>
                <w:szCs w:val="13"/>
              </w:rPr>
              <w:t>√</w:t>
            </w:r>
          </w:p>
        </w:tc>
      </w:tr>
      <w:tr w14:paraId="05077B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853" w:type="dxa"/>
            <w:vMerge w:val="restart"/>
            <w:tcBorders>
              <w:bottom w:val="nil"/>
            </w:tcBorders>
            <w:vAlign w:val="top"/>
          </w:tcPr>
          <w:p w14:paraId="7C9FD1B6">
            <w:pPr>
              <w:pStyle w:val="6"/>
              <w:spacing w:before="54" w:line="219" w:lineRule="auto"/>
              <w:ind w:left="75"/>
            </w:pPr>
            <w:r>
              <w:rPr>
                <w:spacing w:val="-2"/>
              </w:rPr>
              <w:t>财务报表</w:t>
            </w:r>
          </w:p>
          <w:p w14:paraId="2E3342BF">
            <w:pPr>
              <w:pStyle w:val="6"/>
              <w:spacing w:before="48" w:line="207" w:lineRule="auto"/>
              <w:ind w:left="75"/>
            </w:pPr>
            <w:r>
              <w:rPr>
                <w:spacing w:val="3"/>
              </w:rPr>
              <w:t>的报送与</w:t>
            </w:r>
          </w:p>
          <w:p w14:paraId="6DCC60D0">
            <w:pPr>
              <w:pStyle w:val="6"/>
              <w:spacing w:line="220" w:lineRule="auto"/>
              <w:ind w:left="244"/>
            </w:pPr>
            <w:r>
              <w:rPr>
                <w:spacing w:val="3"/>
              </w:rPr>
              <w:t>审批</w:t>
            </w:r>
          </w:p>
        </w:tc>
        <w:tc>
          <w:tcPr>
            <w:tcW w:w="2344" w:type="dxa"/>
            <w:vAlign w:val="top"/>
          </w:tcPr>
          <w:p w14:paraId="29E91E96">
            <w:pPr>
              <w:pStyle w:val="6"/>
              <w:spacing w:before="103" w:line="219" w:lineRule="auto"/>
              <w:ind w:left="12"/>
            </w:pPr>
            <w:r>
              <w:t>1.财务报表的报送</w:t>
            </w:r>
          </w:p>
        </w:tc>
        <w:tc>
          <w:tcPr>
            <w:tcW w:w="229" w:type="dxa"/>
            <w:vAlign w:val="top"/>
          </w:tcPr>
          <w:p w14:paraId="41C22BDB">
            <w:pPr>
              <w:pStyle w:val="6"/>
              <w:spacing w:before="135" w:line="238" w:lineRule="auto"/>
              <w:ind w:left="48"/>
              <w:rPr>
                <w:sz w:val="13"/>
                <w:szCs w:val="13"/>
              </w:rPr>
            </w:pPr>
            <w:r>
              <w:rPr>
                <w:sz w:val="13"/>
                <w:szCs w:val="13"/>
              </w:rPr>
              <w:t>√</w:t>
            </w:r>
          </w:p>
        </w:tc>
        <w:tc>
          <w:tcPr>
            <w:tcW w:w="229" w:type="dxa"/>
            <w:vAlign w:val="top"/>
          </w:tcPr>
          <w:p w14:paraId="527817C6">
            <w:pPr>
              <w:rPr>
                <w:rFonts w:ascii="Arial"/>
                <w:sz w:val="21"/>
              </w:rPr>
            </w:pPr>
          </w:p>
        </w:tc>
        <w:tc>
          <w:tcPr>
            <w:tcW w:w="220" w:type="dxa"/>
            <w:vAlign w:val="top"/>
          </w:tcPr>
          <w:p w14:paraId="7214C704">
            <w:pPr>
              <w:rPr>
                <w:rFonts w:ascii="Arial"/>
                <w:sz w:val="21"/>
              </w:rPr>
            </w:pPr>
          </w:p>
        </w:tc>
        <w:tc>
          <w:tcPr>
            <w:tcW w:w="244" w:type="dxa"/>
            <w:vAlign w:val="top"/>
          </w:tcPr>
          <w:p w14:paraId="5E7D31F4">
            <w:pPr>
              <w:rPr>
                <w:rFonts w:ascii="Arial"/>
                <w:sz w:val="21"/>
              </w:rPr>
            </w:pPr>
          </w:p>
        </w:tc>
      </w:tr>
      <w:tr w14:paraId="46A0B4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9" w:hRule="atLeast"/>
        </w:trPr>
        <w:tc>
          <w:tcPr>
            <w:tcW w:w="853" w:type="dxa"/>
            <w:vMerge w:val="continue"/>
            <w:tcBorders>
              <w:top w:val="nil"/>
            </w:tcBorders>
            <w:vAlign w:val="top"/>
          </w:tcPr>
          <w:p w14:paraId="1138D48A">
            <w:pPr>
              <w:rPr>
                <w:rFonts w:ascii="Arial"/>
                <w:sz w:val="21"/>
              </w:rPr>
            </w:pPr>
          </w:p>
        </w:tc>
        <w:tc>
          <w:tcPr>
            <w:tcW w:w="2344" w:type="dxa"/>
            <w:vAlign w:val="top"/>
          </w:tcPr>
          <w:p w14:paraId="0043A718">
            <w:pPr>
              <w:pStyle w:val="6"/>
              <w:spacing w:before="95" w:line="219" w:lineRule="auto"/>
              <w:ind w:left="12"/>
            </w:pPr>
            <w:r>
              <w:rPr>
                <w:spacing w:val="-1"/>
              </w:rPr>
              <w:t>2.财务报表的审批</w:t>
            </w:r>
          </w:p>
        </w:tc>
        <w:tc>
          <w:tcPr>
            <w:tcW w:w="229" w:type="dxa"/>
            <w:vAlign w:val="top"/>
          </w:tcPr>
          <w:p w14:paraId="49A60467">
            <w:pPr>
              <w:pStyle w:val="6"/>
              <w:spacing w:before="126" w:line="238" w:lineRule="auto"/>
              <w:ind w:left="48"/>
              <w:rPr>
                <w:sz w:val="13"/>
                <w:szCs w:val="13"/>
              </w:rPr>
            </w:pPr>
            <w:r>
              <w:rPr>
                <w:sz w:val="13"/>
                <w:szCs w:val="13"/>
              </w:rPr>
              <w:t>√</w:t>
            </w:r>
          </w:p>
        </w:tc>
        <w:tc>
          <w:tcPr>
            <w:tcW w:w="229" w:type="dxa"/>
            <w:vAlign w:val="top"/>
          </w:tcPr>
          <w:p w14:paraId="657CE7AB">
            <w:pPr>
              <w:rPr>
                <w:rFonts w:ascii="Arial"/>
                <w:sz w:val="21"/>
              </w:rPr>
            </w:pPr>
          </w:p>
        </w:tc>
        <w:tc>
          <w:tcPr>
            <w:tcW w:w="220" w:type="dxa"/>
            <w:vAlign w:val="top"/>
          </w:tcPr>
          <w:p w14:paraId="01FD4587">
            <w:pPr>
              <w:rPr>
                <w:rFonts w:ascii="Arial"/>
                <w:sz w:val="21"/>
              </w:rPr>
            </w:pPr>
          </w:p>
        </w:tc>
        <w:tc>
          <w:tcPr>
            <w:tcW w:w="244" w:type="dxa"/>
            <w:vAlign w:val="top"/>
          </w:tcPr>
          <w:p w14:paraId="63970A50">
            <w:pPr>
              <w:rPr>
                <w:rFonts w:ascii="Arial"/>
                <w:sz w:val="21"/>
              </w:rPr>
            </w:pPr>
          </w:p>
        </w:tc>
      </w:tr>
      <w:tr w14:paraId="59FAEC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9" w:hRule="atLeast"/>
        </w:trPr>
        <w:tc>
          <w:tcPr>
            <w:tcW w:w="853" w:type="dxa"/>
            <w:vMerge w:val="restart"/>
            <w:tcBorders>
              <w:bottom w:val="nil"/>
            </w:tcBorders>
            <w:vAlign w:val="top"/>
          </w:tcPr>
          <w:p w14:paraId="2BA99E0C">
            <w:pPr>
              <w:pStyle w:val="6"/>
              <w:spacing w:before="105" w:line="229" w:lineRule="auto"/>
              <w:ind w:left="244" w:right="93" w:hanging="169"/>
            </w:pPr>
            <w:r>
              <w:rPr>
                <w:spacing w:val="-2"/>
              </w:rPr>
              <w:t>会计档案</w:t>
            </w:r>
            <w:r>
              <w:rPr>
                <w:spacing w:val="1"/>
              </w:rPr>
              <w:t xml:space="preserve"> </w:t>
            </w:r>
            <w:r>
              <w:rPr>
                <w:spacing w:val="-3"/>
              </w:rPr>
              <w:t>管理</w:t>
            </w:r>
          </w:p>
        </w:tc>
        <w:tc>
          <w:tcPr>
            <w:tcW w:w="2344" w:type="dxa"/>
            <w:vAlign w:val="top"/>
          </w:tcPr>
          <w:p w14:paraId="3DAC2E1A">
            <w:pPr>
              <w:pStyle w:val="6"/>
              <w:spacing w:before="64" w:line="219" w:lineRule="auto"/>
              <w:ind w:left="12"/>
            </w:pPr>
            <w:r>
              <w:t>1.建立健全会计档案管理制度</w:t>
            </w:r>
          </w:p>
        </w:tc>
        <w:tc>
          <w:tcPr>
            <w:tcW w:w="229" w:type="dxa"/>
            <w:vAlign w:val="top"/>
          </w:tcPr>
          <w:p w14:paraId="1BE9EB6A">
            <w:pPr>
              <w:pStyle w:val="6"/>
              <w:spacing w:before="97" w:line="238" w:lineRule="auto"/>
              <w:ind w:left="48"/>
              <w:rPr>
                <w:sz w:val="13"/>
                <w:szCs w:val="13"/>
              </w:rPr>
            </w:pPr>
            <w:r>
              <w:rPr>
                <w:sz w:val="13"/>
                <w:szCs w:val="13"/>
              </w:rPr>
              <w:t>√</w:t>
            </w:r>
          </w:p>
        </w:tc>
        <w:tc>
          <w:tcPr>
            <w:tcW w:w="229" w:type="dxa"/>
            <w:vAlign w:val="top"/>
          </w:tcPr>
          <w:p w14:paraId="2F67C008">
            <w:pPr>
              <w:rPr>
                <w:rFonts w:ascii="Arial"/>
                <w:sz w:val="21"/>
              </w:rPr>
            </w:pPr>
          </w:p>
        </w:tc>
        <w:tc>
          <w:tcPr>
            <w:tcW w:w="220" w:type="dxa"/>
            <w:vAlign w:val="top"/>
          </w:tcPr>
          <w:p w14:paraId="091330B8">
            <w:pPr>
              <w:rPr>
                <w:rFonts w:ascii="Arial"/>
                <w:sz w:val="21"/>
              </w:rPr>
            </w:pPr>
          </w:p>
        </w:tc>
        <w:tc>
          <w:tcPr>
            <w:tcW w:w="244" w:type="dxa"/>
            <w:vAlign w:val="top"/>
          </w:tcPr>
          <w:p w14:paraId="27A3DC05">
            <w:pPr>
              <w:rPr>
                <w:rFonts w:ascii="Arial"/>
                <w:sz w:val="21"/>
              </w:rPr>
            </w:pPr>
          </w:p>
        </w:tc>
      </w:tr>
      <w:tr w14:paraId="62CBFD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4" w:hRule="atLeast"/>
        </w:trPr>
        <w:tc>
          <w:tcPr>
            <w:tcW w:w="853" w:type="dxa"/>
            <w:vMerge w:val="continue"/>
            <w:tcBorders>
              <w:top w:val="nil"/>
            </w:tcBorders>
            <w:vAlign w:val="top"/>
          </w:tcPr>
          <w:p w14:paraId="26293285">
            <w:pPr>
              <w:rPr>
                <w:rFonts w:ascii="Arial"/>
                <w:sz w:val="21"/>
              </w:rPr>
            </w:pPr>
          </w:p>
        </w:tc>
        <w:tc>
          <w:tcPr>
            <w:tcW w:w="2344" w:type="dxa"/>
            <w:vAlign w:val="top"/>
          </w:tcPr>
          <w:p w14:paraId="36C97C65">
            <w:pPr>
              <w:pStyle w:val="6"/>
              <w:spacing w:before="56" w:line="215" w:lineRule="auto"/>
              <w:ind w:left="12"/>
            </w:pPr>
            <w:r>
              <w:rPr>
                <w:spacing w:val="-1"/>
              </w:rPr>
              <w:t>2.会计工作的交接手续</w:t>
            </w:r>
          </w:p>
        </w:tc>
        <w:tc>
          <w:tcPr>
            <w:tcW w:w="229" w:type="dxa"/>
            <w:vAlign w:val="top"/>
          </w:tcPr>
          <w:p w14:paraId="689C4197">
            <w:pPr>
              <w:pStyle w:val="6"/>
              <w:spacing w:before="88" w:line="235" w:lineRule="auto"/>
              <w:ind w:left="48"/>
              <w:rPr>
                <w:sz w:val="13"/>
                <w:szCs w:val="13"/>
              </w:rPr>
            </w:pPr>
            <w:r>
              <w:rPr>
                <w:sz w:val="13"/>
                <w:szCs w:val="13"/>
              </w:rPr>
              <w:t>√</w:t>
            </w:r>
          </w:p>
        </w:tc>
        <w:tc>
          <w:tcPr>
            <w:tcW w:w="229" w:type="dxa"/>
            <w:vAlign w:val="top"/>
          </w:tcPr>
          <w:p w14:paraId="443BCEE0">
            <w:pPr>
              <w:rPr>
                <w:rFonts w:ascii="Arial"/>
                <w:sz w:val="21"/>
              </w:rPr>
            </w:pPr>
          </w:p>
        </w:tc>
        <w:tc>
          <w:tcPr>
            <w:tcW w:w="220" w:type="dxa"/>
            <w:vAlign w:val="top"/>
          </w:tcPr>
          <w:p w14:paraId="419168F5">
            <w:pPr>
              <w:rPr>
                <w:rFonts w:ascii="Arial"/>
                <w:sz w:val="21"/>
              </w:rPr>
            </w:pPr>
          </w:p>
        </w:tc>
        <w:tc>
          <w:tcPr>
            <w:tcW w:w="244" w:type="dxa"/>
            <w:vAlign w:val="top"/>
          </w:tcPr>
          <w:p w14:paraId="091A349D">
            <w:pPr>
              <w:rPr>
                <w:rFonts w:ascii="Arial"/>
                <w:sz w:val="21"/>
              </w:rPr>
            </w:pPr>
          </w:p>
        </w:tc>
      </w:tr>
    </w:tbl>
    <w:p w14:paraId="7D6163D4">
      <w:pPr>
        <w:spacing w:before="118" w:line="221" w:lineRule="auto"/>
        <w:ind w:left="1087"/>
        <w:rPr>
          <w:rFonts w:ascii="黑体" w:hAnsi="黑体" w:eastAsia="黑体" w:cs="黑体"/>
          <w:sz w:val="21"/>
          <w:szCs w:val="21"/>
        </w:rPr>
      </w:pPr>
      <w:r>
        <w:rPr>
          <w:rFonts w:ascii="黑体" w:hAnsi="黑体" w:eastAsia="黑体" w:cs="黑体"/>
          <w:b/>
          <w:bCs/>
          <w:spacing w:val="-13"/>
          <w:sz w:val="21"/>
          <w:szCs w:val="21"/>
        </w:rPr>
        <w:t>第二部分统计基础知识</w:t>
      </w:r>
    </w:p>
    <w:p w14:paraId="63425024">
      <w:pPr>
        <w:spacing w:before="269" w:line="221" w:lineRule="auto"/>
        <w:ind w:left="1638"/>
        <w:rPr>
          <w:rFonts w:ascii="黑体" w:hAnsi="黑体" w:eastAsia="黑体" w:cs="黑体"/>
          <w:sz w:val="21"/>
          <w:szCs w:val="21"/>
        </w:rPr>
      </w:pPr>
      <w:r>
        <w:rPr>
          <w:rFonts w:ascii="黑体" w:hAnsi="黑体" w:eastAsia="黑体" w:cs="黑体"/>
          <w:b/>
          <w:bCs/>
          <w:spacing w:val="12"/>
          <w:sz w:val="21"/>
          <w:szCs w:val="21"/>
        </w:rPr>
        <w:t>(一)概述</w:t>
      </w:r>
    </w:p>
    <w:p w14:paraId="7E9577E5">
      <w:pPr>
        <w:spacing w:line="230" w:lineRule="exact"/>
      </w:pPr>
    </w:p>
    <w:tbl>
      <w:tblPr>
        <w:tblStyle w:val="5"/>
        <w:tblW w:w="4130" w:type="dxa"/>
        <w:tblInd w:w="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43"/>
        <w:gridCol w:w="2374"/>
        <w:gridCol w:w="219"/>
        <w:gridCol w:w="230"/>
        <w:gridCol w:w="230"/>
        <w:gridCol w:w="234"/>
      </w:tblGrid>
      <w:tr w14:paraId="224B29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4" w:hRule="atLeast"/>
        </w:trPr>
        <w:tc>
          <w:tcPr>
            <w:tcW w:w="843" w:type="dxa"/>
            <w:vMerge w:val="restart"/>
            <w:tcBorders>
              <w:bottom w:val="nil"/>
            </w:tcBorders>
            <w:vAlign w:val="top"/>
          </w:tcPr>
          <w:p w14:paraId="02352522">
            <w:pPr>
              <w:pStyle w:val="6"/>
              <w:spacing w:before="151" w:line="223" w:lineRule="auto"/>
              <w:ind w:left="87" w:right="33" w:firstLine="79"/>
              <w:rPr>
                <w:sz w:val="18"/>
                <w:szCs w:val="18"/>
              </w:rPr>
            </w:pPr>
            <w:r>
              <w:rPr>
                <w:b/>
                <w:bCs/>
                <w:spacing w:val="1"/>
                <w:sz w:val="18"/>
                <w:szCs w:val="18"/>
              </w:rPr>
              <w:t>知识与</w:t>
            </w:r>
            <w:r>
              <w:rPr>
                <w:sz w:val="18"/>
                <w:szCs w:val="18"/>
              </w:rPr>
              <w:t xml:space="preserve">  </w:t>
            </w:r>
            <w:r>
              <w:rPr>
                <w:b/>
                <w:bCs/>
                <w:spacing w:val="-4"/>
                <w:sz w:val="18"/>
                <w:szCs w:val="18"/>
              </w:rPr>
              <w:t>技能要点</w:t>
            </w:r>
          </w:p>
        </w:tc>
        <w:tc>
          <w:tcPr>
            <w:tcW w:w="2374" w:type="dxa"/>
            <w:vMerge w:val="restart"/>
            <w:tcBorders>
              <w:bottom w:val="nil"/>
            </w:tcBorders>
            <w:vAlign w:val="top"/>
          </w:tcPr>
          <w:p w14:paraId="6217C2AA">
            <w:pPr>
              <w:pStyle w:val="6"/>
              <w:spacing w:before="259" w:line="219" w:lineRule="auto"/>
              <w:ind w:left="854"/>
              <w:rPr>
                <w:sz w:val="18"/>
                <w:szCs w:val="18"/>
              </w:rPr>
            </w:pPr>
            <w:r>
              <w:rPr>
                <w:b/>
                <w:bCs/>
                <w:spacing w:val="5"/>
                <w:sz w:val="18"/>
                <w:szCs w:val="18"/>
              </w:rPr>
              <w:t>考试条目</w:t>
            </w:r>
          </w:p>
        </w:tc>
        <w:tc>
          <w:tcPr>
            <w:tcW w:w="913" w:type="dxa"/>
            <w:gridSpan w:val="4"/>
            <w:vAlign w:val="top"/>
          </w:tcPr>
          <w:p w14:paraId="469F585D">
            <w:pPr>
              <w:pStyle w:val="6"/>
              <w:spacing w:before="89" w:line="219" w:lineRule="auto"/>
              <w:ind w:left="130"/>
              <w:rPr>
                <w:sz w:val="18"/>
                <w:szCs w:val="18"/>
              </w:rPr>
            </w:pPr>
            <w:r>
              <w:rPr>
                <w:b/>
                <w:bCs/>
                <w:spacing w:val="-4"/>
                <w:sz w:val="18"/>
                <w:szCs w:val="18"/>
              </w:rPr>
              <w:t>考试水平</w:t>
            </w:r>
          </w:p>
        </w:tc>
      </w:tr>
      <w:tr w14:paraId="023425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9" w:hRule="atLeast"/>
        </w:trPr>
        <w:tc>
          <w:tcPr>
            <w:tcW w:w="843" w:type="dxa"/>
            <w:vMerge w:val="continue"/>
            <w:tcBorders>
              <w:top w:val="nil"/>
            </w:tcBorders>
            <w:vAlign w:val="top"/>
          </w:tcPr>
          <w:p w14:paraId="4FD2DE32">
            <w:pPr>
              <w:rPr>
                <w:rFonts w:ascii="Arial"/>
                <w:sz w:val="21"/>
              </w:rPr>
            </w:pPr>
          </w:p>
        </w:tc>
        <w:tc>
          <w:tcPr>
            <w:tcW w:w="2374" w:type="dxa"/>
            <w:vMerge w:val="continue"/>
            <w:tcBorders>
              <w:top w:val="nil"/>
            </w:tcBorders>
            <w:vAlign w:val="top"/>
          </w:tcPr>
          <w:p w14:paraId="04CEAC9E">
            <w:pPr>
              <w:rPr>
                <w:rFonts w:ascii="Arial"/>
                <w:sz w:val="21"/>
              </w:rPr>
            </w:pPr>
          </w:p>
        </w:tc>
        <w:tc>
          <w:tcPr>
            <w:tcW w:w="219" w:type="dxa"/>
            <w:vAlign w:val="top"/>
          </w:tcPr>
          <w:p w14:paraId="15C6CDB8">
            <w:pPr>
              <w:pStyle w:val="6"/>
              <w:spacing w:before="123" w:line="184" w:lineRule="auto"/>
              <w:ind w:left="60"/>
              <w:rPr>
                <w:sz w:val="18"/>
                <w:szCs w:val="18"/>
              </w:rPr>
            </w:pPr>
            <w:r>
              <w:rPr>
                <w:b/>
                <w:bCs/>
                <w:spacing w:val="-2"/>
                <w:sz w:val="18"/>
                <w:szCs w:val="18"/>
              </w:rPr>
              <w:t>A</w:t>
            </w:r>
          </w:p>
        </w:tc>
        <w:tc>
          <w:tcPr>
            <w:tcW w:w="230" w:type="dxa"/>
            <w:vAlign w:val="top"/>
          </w:tcPr>
          <w:p w14:paraId="2D6F53DC">
            <w:pPr>
              <w:pStyle w:val="6"/>
              <w:spacing w:before="125" w:line="182" w:lineRule="auto"/>
              <w:ind w:left="71"/>
              <w:rPr>
                <w:sz w:val="18"/>
                <w:szCs w:val="18"/>
              </w:rPr>
            </w:pPr>
            <w:r>
              <w:rPr>
                <w:b/>
                <w:bCs/>
                <w:spacing w:val="-2"/>
                <w:sz w:val="18"/>
                <w:szCs w:val="18"/>
              </w:rPr>
              <w:t>B</w:t>
            </w:r>
          </w:p>
        </w:tc>
        <w:tc>
          <w:tcPr>
            <w:tcW w:w="230" w:type="dxa"/>
            <w:vAlign w:val="top"/>
          </w:tcPr>
          <w:p w14:paraId="42D1AE3B">
            <w:pPr>
              <w:pStyle w:val="6"/>
              <w:spacing w:before="123" w:line="183" w:lineRule="auto"/>
              <w:jc w:val="right"/>
              <w:rPr>
                <w:sz w:val="18"/>
                <w:szCs w:val="18"/>
              </w:rPr>
            </w:pPr>
            <w:r>
              <w:rPr>
                <w:b/>
                <w:bCs/>
                <w:spacing w:val="-10"/>
                <w:w w:val="96"/>
                <w:sz w:val="18"/>
                <w:szCs w:val="18"/>
              </w:rPr>
              <w:t>C</w:t>
            </w:r>
          </w:p>
        </w:tc>
        <w:tc>
          <w:tcPr>
            <w:tcW w:w="234" w:type="dxa"/>
            <w:vAlign w:val="top"/>
          </w:tcPr>
          <w:p w14:paraId="0E6970C1">
            <w:pPr>
              <w:pStyle w:val="6"/>
              <w:spacing w:before="125" w:line="182" w:lineRule="auto"/>
              <w:ind w:left="21"/>
              <w:rPr>
                <w:sz w:val="18"/>
                <w:szCs w:val="18"/>
              </w:rPr>
            </w:pPr>
            <w:r>
              <w:rPr>
                <w:b/>
                <w:bCs/>
                <w:spacing w:val="-2"/>
                <w:sz w:val="18"/>
                <w:szCs w:val="18"/>
              </w:rPr>
              <w:t>D</w:t>
            </w:r>
          </w:p>
        </w:tc>
      </w:tr>
      <w:tr w14:paraId="23B255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843" w:type="dxa"/>
            <w:vMerge w:val="restart"/>
            <w:tcBorders>
              <w:bottom w:val="nil"/>
            </w:tcBorders>
            <w:vAlign w:val="top"/>
          </w:tcPr>
          <w:p w14:paraId="0A0CD8A0">
            <w:pPr>
              <w:spacing w:line="254" w:lineRule="auto"/>
              <w:rPr>
                <w:rFonts w:ascii="Arial"/>
                <w:sz w:val="21"/>
              </w:rPr>
            </w:pPr>
          </w:p>
          <w:p w14:paraId="5CE75C5F">
            <w:pPr>
              <w:spacing w:line="255" w:lineRule="auto"/>
              <w:rPr>
                <w:rFonts w:ascii="Arial"/>
                <w:sz w:val="21"/>
              </w:rPr>
            </w:pPr>
          </w:p>
          <w:p w14:paraId="41F82EFF">
            <w:pPr>
              <w:pStyle w:val="6"/>
              <w:spacing w:before="58" w:line="212" w:lineRule="auto"/>
              <w:ind w:left="15" w:right="83"/>
              <w:rPr>
                <w:sz w:val="18"/>
                <w:szCs w:val="18"/>
              </w:rPr>
            </w:pPr>
            <w:r>
              <w:rPr>
                <w:spacing w:val="3"/>
                <w:sz w:val="18"/>
                <w:szCs w:val="18"/>
              </w:rPr>
              <w:t>统计学和</w:t>
            </w:r>
            <w:r>
              <w:rPr>
                <w:spacing w:val="1"/>
                <w:sz w:val="18"/>
                <w:szCs w:val="18"/>
              </w:rPr>
              <w:t xml:space="preserve"> </w:t>
            </w:r>
            <w:r>
              <w:rPr>
                <w:spacing w:val="3"/>
                <w:sz w:val="18"/>
                <w:szCs w:val="18"/>
              </w:rPr>
              <w:t>统计活动</w:t>
            </w:r>
          </w:p>
        </w:tc>
        <w:tc>
          <w:tcPr>
            <w:tcW w:w="2374" w:type="dxa"/>
            <w:vAlign w:val="top"/>
          </w:tcPr>
          <w:p w14:paraId="61DA890A">
            <w:pPr>
              <w:pStyle w:val="6"/>
              <w:spacing w:before="49" w:line="215" w:lineRule="auto"/>
              <w:ind w:left="12"/>
              <w:rPr>
                <w:sz w:val="18"/>
                <w:szCs w:val="18"/>
              </w:rPr>
            </w:pPr>
            <w:r>
              <w:rPr>
                <w:sz w:val="18"/>
                <w:szCs w:val="18"/>
              </w:rPr>
              <w:t>1.统计和统计学的含义</w:t>
            </w:r>
          </w:p>
        </w:tc>
        <w:tc>
          <w:tcPr>
            <w:tcW w:w="219" w:type="dxa"/>
            <w:vAlign w:val="top"/>
          </w:tcPr>
          <w:p w14:paraId="582B4408">
            <w:pPr>
              <w:pStyle w:val="6"/>
              <w:spacing w:before="80" w:line="238" w:lineRule="auto"/>
              <w:ind w:left="38"/>
              <w:rPr>
                <w:sz w:val="13"/>
                <w:szCs w:val="13"/>
              </w:rPr>
            </w:pPr>
            <w:r>
              <w:rPr>
                <w:sz w:val="13"/>
                <w:szCs w:val="13"/>
              </w:rPr>
              <w:t>√</w:t>
            </w:r>
          </w:p>
        </w:tc>
        <w:tc>
          <w:tcPr>
            <w:tcW w:w="230" w:type="dxa"/>
            <w:vAlign w:val="top"/>
          </w:tcPr>
          <w:p w14:paraId="287FD4EE">
            <w:pPr>
              <w:rPr>
                <w:rFonts w:ascii="Arial"/>
                <w:sz w:val="21"/>
              </w:rPr>
            </w:pPr>
          </w:p>
        </w:tc>
        <w:tc>
          <w:tcPr>
            <w:tcW w:w="230" w:type="dxa"/>
            <w:vAlign w:val="top"/>
          </w:tcPr>
          <w:p w14:paraId="14EA9F33">
            <w:pPr>
              <w:rPr>
                <w:rFonts w:ascii="Arial"/>
                <w:sz w:val="21"/>
              </w:rPr>
            </w:pPr>
          </w:p>
        </w:tc>
        <w:tc>
          <w:tcPr>
            <w:tcW w:w="234" w:type="dxa"/>
            <w:vAlign w:val="top"/>
          </w:tcPr>
          <w:p w14:paraId="3135EE86">
            <w:pPr>
              <w:rPr>
                <w:rFonts w:ascii="Arial"/>
                <w:sz w:val="21"/>
              </w:rPr>
            </w:pPr>
          </w:p>
        </w:tc>
      </w:tr>
      <w:tr w14:paraId="095BD2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9" w:hRule="atLeast"/>
        </w:trPr>
        <w:tc>
          <w:tcPr>
            <w:tcW w:w="843" w:type="dxa"/>
            <w:vMerge w:val="continue"/>
            <w:tcBorders>
              <w:top w:val="nil"/>
              <w:bottom w:val="nil"/>
            </w:tcBorders>
            <w:vAlign w:val="top"/>
          </w:tcPr>
          <w:p w14:paraId="49143756">
            <w:pPr>
              <w:rPr>
                <w:rFonts w:ascii="Arial"/>
                <w:sz w:val="21"/>
              </w:rPr>
            </w:pPr>
          </w:p>
        </w:tc>
        <w:tc>
          <w:tcPr>
            <w:tcW w:w="2374" w:type="dxa"/>
            <w:vAlign w:val="top"/>
          </w:tcPr>
          <w:p w14:paraId="40752C04">
            <w:pPr>
              <w:pStyle w:val="6"/>
              <w:spacing w:before="39" w:line="200" w:lineRule="auto"/>
              <w:ind w:left="12" w:right="201"/>
              <w:rPr>
                <w:sz w:val="18"/>
                <w:szCs w:val="18"/>
              </w:rPr>
            </w:pPr>
            <w:r>
              <w:rPr>
                <w:spacing w:val="-1"/>
                <w:sz w:val="18"/>
                <w:szCs w:val="18"/>
              </w:rPr>
              <w:t>2.统计学的研究对象及社会</w:t>
            </w:r>
            <w:r>
              <w:rPr>
                <w:spacing w:val="2"/>
                <w:sz w:val="18"/>
                <w:szCs w:val="18"/>
              </w:rPr>
              <w:t xml:space="preserve"> 经济统计的特点</w:t>
            </w:r>
          </w:p>
        </w:tc>
        <w:tc>
          <w:tcPr>
            <w:tcW w:w="219" w:type="dxa"/>
            <w:vAlign w:val="top"/>
          </w:tcPr>
          <w:p w14:paraId="46F22C7E">
            <w:pPr>
              <w:rPr>
                <w:rFonts w:ascii="Arial"/>
                <w:sz w:val="21"/>
              </w:rPr>
            </w:pPr>
          </w:p>
        </w:tc>
        <w:tc>
          <w:tcPr>
            <w:tcW w:w="230" w:type="dxa"/>
            <w:vAlign w:val="top"/>
          </w:tcPr>
          <w:p w14:paraId="069F2B33">
            <w:pPr>
              <w:rPr>
                <w:rFonts w:ascii="Arial"/>
                <w:sz w:val="21"/>
              </w:rPr>
            </w:pPr>
          </w:p>
        </w:tc>
        <w:tc>
          <w:tcPr>
            <w:tcW w:w="230" w:type="dxa"/>
            <w:vAlign w:val="top"/>
          </w:tcPr>
          <w:p w14:paraId="59B8EC2A">
            <w:pPr>
              <w:rPr>
                <w:rFonts w:ascii="Arial"/>
                <w:sz w:val="21"/>
              </w:rPr>
            </w:pPr>
          </w:p>
        </w:tc>
        <w:tc>
          <w:tcPr>
            <w:tcW w:w="234" w:type="dxa"/>
            <w:vAlign w:val="top"/>
          </w:tcPr>
          <w:p w14:paraId="14BC50B8">
            <w:pPr>
              <w:rPr>
                <w:rFonts w:ascii="Arial"/>
                <w:sz w:val="21"/>
              </w:rPr>
            </w:pPr>
          </w:p>
        </w:tc>
      </w:tr>
      <w:tr w14:paraId="4DC07C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9" w:hRule="atLeast"/>
        </w:trPr>
        <w:tc>
          <w:tcPr>
            <w:tcW w:w="843" w:type="dxa"/>
            <w:vMerge w:val="continue"/>
            <w:tcBorders>
              <w:top w:val="nil"/>
              <w:bottom w:val="nil"/>
            </w:tcBorders>
            <w:vAlign w:val="top"/>
          </w:tcPr>
          <w:p w14:paraId="5DF19074">
            <w:pPr>
              <w:rPr>
                <w:rFonts w:ascii="Arial"/>
                <w:sz w:val="21"/>
              </w:rPr>
            </w:pPr>
          </w:p>
        </w:tc>
        <w:tc>
          <w:tcPr>
            <w:tcW w:w="2374" w:type="dxa"/>
            <w:vAlign w:val="top"/>
          </w:tcPr>
          <w:p w14:paraId="49D69141">
            <w:pPr>
              <w:pStyle w:val="6"/>
              <w:spacing w:before="31" w:line="204" w:lineRule="auto"/>
              <w:ind w:left="12" w:right="202"/>
              <w:rPr>
                <w:sz w:val="18"/>
                <w:szCs w:val="18"/>
              </w:rPr>
            </w:pPr>
            <w:r>
              <w:rPr>
                <w:spacing w:val="-1"/>
                <w:sz w:val="18"/>
                <w:szCs w:val="18"/>
              </w:rPr>
              <w:t>3.统计工作过程和统计的基</w:t>
            </w:r>
            <w:r>
              <w:rPr>
                <w:spacing w:val="1"/>
                <w:sz w:val="18"/>
                <w:szCs w:val="18"/>
              </w:rPr>
              <w:t xml:space="preserve"> </w:t>
            </w:r>
            <w:r>
              <w:rPr>
                <w:spacing w:val="-2"/>
                <w:sz w:val="18"/>
                <w:szCs w:val="18"/>
              </w:rPr>
              <w:t>本职能</w:t>
            </w:r>
          </w:p>
        </w:tc>
        <w:tc>
          <w:tcPr>
            <w:tcW w:w="219" w:type="dxa"/>
            <w:vAlign w:val="top"/>
          </w:tcPr>
          <w:p w14:paraId="61DDF11A">
            <w:pPr>
              <w:rPr>
                <w:rFonts w:ascii="Arial"/>
                <w:sz w:val="21"/>
              </w:rPr>
            </w:pPr>
          </w:p>
        </w:tc>
        <w:tc>
          <w:tcPr>
            <w:tcW w:w="230" w:type="dxa"/>
            <w:vAlign w:val="top"/>
          </w:tcPr>
          <w:p w14:paraId="459AFCB3">
            <w:pPr>
              <w:pStyle w:val="6"/>
              <w:spacing w:before="172" w:line="238" w:lineRule="auto"/>
              <w:ind w:left="48"/>
              <w:rPr>
                <w:sz w:val="13"/>
                <w:szCs w:val="13"/>
              </w:rPr>
            </w:pPr>
            <w:r>
              <w:rPr>
                <w:sz w:val="13"/>
                <w:szCs w:val="13"/>
              </w:rPr>
              <w:t>√</w:t>
            </w:r>
          </w:p>
        </w:tc>
        <w:tc>
          <w:tcPr>
            <w:tcW w:w="230" w:type="dxa"/>
            <w:vAlign w:val="top"/>
          </w:tcPr>
          <w:p w14:paraId="513A4424">
            <w:pPr>
              <w:rPr>
                <w:rFonts w:ascii="Arial"/>
                <w:sz w:val="21"/>
              </w:rPr>
            </w:pPr>
          </w:p>
        </w:tc>
        <w:tc>
          <w:tcPr>
            <w:tcW w:w="234" w:type="dxa"/>
            <w:vAlign w:val="top"/>
          </w:tcPr>
          <w:p w14:paraId="635B1B1E">
            <w:pPr>
              <w:rPr>
                <w:rFonts w:ascii="Arial"/>
                <w:sz w:val="21"/>
              </w:rPr>
            </w:pPr>
          </w:p>
        </w:tc>
      </w:tr>
      <w:tr w14:paraId="1790A7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843" w:type="dxa"/>
            <w:vMerge w:val="continue"/>
            <w:tcBorders>
              <w:top w:val="nil"/>
            </w:tcBorders>
            <w:vAlign w:val="top"/>
          </w:tcPr>
          <w:p w14:paraId="27A6C9DF">
            <w:pPr>
              <w:rPr>
                <w:rFonts w:ascii="Arial"/>
                <w:sz w:val="21"/>
              </w:rPr>
            </w:pPr>
          </w:p>
        </w:tc>
        <w:tc>
          <w:tcPr>
            <w:tcW w:w="2374" w:type="dxa"/>
            <w:vAlign w:val="top"/>
          </w:tcPr>
          <w:p w14:paraId="1C026785">
            <w:pPr>
              <w:pStyle w:val="6"/>
              <w:spacing w:before="61" w:line="219" w:lineRule="auto"/>
              <w:ind w:left="12"/>
              <w:rPr>
                <w:sz w:val="18"/>
                <w:szCs w:val="18"/>
              </w:rPr>
            </w:pPr>
            <w:r>
              <w:rPr>
                <w:spacing w:val="-1"/>
                <w:sz w:val="18"/>
                <w:szCs w:val="18"/>
              </w:rPr>
              <w:t>4.统计研究的具体方法</w:t>
            </w:r>
          </w:p>
        </w:tc>
        <w:tc>
          <w:tcPr>
            <w:tcW w:w="219" w:type="dxa"/>
            <w:vAlign w:val="top"/>
          </w:tcPr>
          <w:p w14:paraId="4EF7F8D1">
            <w:pPr>
              <w:rPr>
                <w:rFonts w:ascii="Arial"/>
                <w:sz w:val="21"/>
              </w:rPr>
            </w:pPr>
          </w:p>
        </w:tc>
        <w:tc>
          <w:tcPr>
            <w:tcW w:w="230" w:type="dxa"/>
            <w:vAlign w:val="top"/>
          </w:tcPr>
          <w:p w14:paraId="5F32C476">
            <w:pPr>
              <w:rPr>
                <w:rFonts w:ascii="Arial"/>
                <w:sz w:val="21"/>
              </w:rPr>
            </w:pPr>
          </w:p>
        </w:tc>
        <w:tc>
          <w:tcPr>
            <w:tcW w:w="230" w:type="dxa"/>
            <w:vAlign w:val="top"/>
          </w:tcPr>
          <w:p w14:paraId="1EF8206F">
            <w:pPr>
              <w:rPr>
                <w:rFonts w:ascii="Arial"/>
                <w:sz w:val="21"/>
              </w:rPr>
            </w:pPr>
          </w:p>
        </w:tc>
        <w:tc>
          <w:tcPr>
            <w:tcW w:w="234" w:type="dxa"/>
            <w:vAlign w:val="top"/>
          </w:tcPr>
          <w:p w14:paraId="20C13F7B">
            <w:pPr>
              <w:rPr>
                <w:rFonts w:ascii="Arial"/>
                <w:sz w:val="21"/>
              </w:rPr>
            </w:pPr>
          </w:p>
        </w:tc>
      </w:tr>
      <w:tr w14:paraId="2EA8C0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843" w:type="dxa"/>
            <w:vMerge w:val="restart"/>
            <w:tcBorders>
              <w:bottom w:val="nil"/>
            </w:tcBorders>
            <w:vAlign w:val="top"/>
          </w:tcPr>
          <w:p w14:paraId="37D49DC8">
            <w:pPr>
              <w:spacing w:line="260" w:lineRule="auto"/>
              <w:rPr>
                <w:rFonts w:ascii="Arial"/>
                <w:sz w:val="21"/>
              </w:rPr>
            </w:pPr>
          </w:p>
          <w:p w14:paraId="211AFA85">
            <w:pPr>
              <w:spacing w:line="261" w:lineRule="auto"/>
              <w:rPr>
                <w:rFonts w:ascii="Arial"/>
                <w:sz w:val="21"/>
              </w:rPr>
            </w:pPr>
          </w:p>
          <w:p w14:paraId="28E09252">
            <w:pPr>
              <w:pStyle w:val="6"/>
              <w:spacing w:before="59" w:line="223" w:lineRule="auto"/>
              <w:ind w:left="15" w:right="78"/>
              <w:jc w:val="both"/>
              <w:rPr>
                <w:sz w:val="18"/>
                <w:szCs w:val="18"/>
              </w:rPr>
            </w:pPr>
            <w:r>
              <w:rPr>
                <w:spacing w:val="4"/>
                <w:sz w:val="18"/>
                <w:szCs w:val="18"/>
              </w:rPr>
              <w:t>统计学中</w:t>
            </w:r>
            <w:r>
              <w:rPr>
                <w:spacing w:val="2"/>
                <w:sz w:val="18"/>
                <w:szCs w:val="18"/>
              </w:rPr>
              <w:t xml:space="preserve"> </w:t>
            </w:r>
            <w:r>
              <w:rPr>
                <w:spacing w:val="-3"/>
                <w:sz w:val="18"/>
                <w:szCs w:val="18"/>
              </w:rPr>
              <w:t>常用的基</w:t>
            </w:r>
            <w:r>
              <w:rPr>
                <w:sz w:val="18"/>
                <w:szCs w:val="18"/>
              </w:rPr>
              <w:t xml:space="preserve"> </w:t>
            </w:r>
            <w:r>
              <w:rPr>
                <w:spacing w:val="-2"/>
                <w:sz w:val="18"/>
                <w:szCs w:val="18"/>
              </w:rPr>
              <w:t>本概念</w:t>
            </w:r>
          </w:p>
        </w:tc>
        <w:tc>
          <w:tcPr>
            <w:tcW w:w="2374" w:type="dxa"/>
            <w:vAlign w:val="top"/>
          </w:tcPr>
          <w:p w14:paraId="12B6BB40">
            <w:pPr>
              <w:pStyle w:val="6"/>
              <w:spacing w:before="63" w:line="220" w:lineRule="auto"/>
              <w:ind w:left="12"/>
              <w:rPr>
                <w:sz w:val="18"/>
                <w:szCs w:val="18"/>
              </w:rPr>
            </w:pPr>
            <w:r>
              <w:rPr>
                <w:sz w:val="18"/>
                <w:szCs w:val="18"/>
              </w:rPr>
              <w:t>1.统计总体与总体单位</w:t>
            </w:r>
          </w:p>
        </w:tc>
        <w:tc>
          <w:tcPr>
            <w:tcW w:w="219" w:type="dxa"/>
            <w:vAlign w:val="top"/>
          </w:tcPr>
          <w:p w14:paraId="0B048C70">
            <w:pPr>
              <w:rPr>
                <w:rFonts w:ascii="Arial"/>
                <w:sz w:val="21"/>
              </w:rPr>
            </w:pPr>
          </w:p>
        </w:tc>
        <w:tc>
          <w:tcPr>
            <w:tcW w:w="230" w:type="dxa"/>
            <w:vAlign w:val="top"/>
          </w:tcPr>
          <w:p w14:paraId="47420375">
            <w:pPr>
              <w:rPr>
                <w:rFonts w:ascii="Arial"/>
                <w:sz w:val="21"/>
              </w:rPr>
            </w:pPr>
          </w:p>
        </w:tc>
        <w:tc>
          <w:tcPr>
            <w:tcW w:w="230" w:type="dxa"/>
            <w:vAlign w:val="top"/>
          </w:tcPr>
          <w:p w14:paraId="192D5F13">
            <w:pPr>
              <w:rPr>
                <w:rFonts w:ascii="Arial"/>
                <w:sz w:val="21"/>
              </w:rPr>
            </w:pPr>
          </w:p>
        </w:tc>
        <w:tc>
          <w:tcPr>
            <w:tcW w:w="234" w:type="dxa"/>
            <w:vAlign w:val="top"/>
          </w:tcPr>
          <w:p w14:paraId="4AD02D72">
            <w:pPr>
              <w:rPr>
                <w:rFonts w:ascii="Arial"/>
                <w:sz w:val="21"/>
              </w:rPr>
            </w:pPr>
          </w:p>
        </w:tc>
      </w:tr>
      <w:tr w14:paraId="1209A5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843" w:type="dxa"/>
            <w:vMerge w:val="continue"/>
            <w:tcBorders>
              <w:top w:val="nil"/>
              <w:bottom w:val="nil"/>
            </w:tcBorders>
            <w:vAlign w:val="top"/>
          </w:tcPr>
          <w:p w14:paraId="7AC1A58B">
            <w:pPr>
              <w:rPr>
                <w:rFonts w:ascii="Arial"/>
                <w:sz w:val="21"/>
              </w:rPr>
            </w:pPr>
          </w:p>
        </w:tc>
        <w:tc>
          <w:tcPr>
            <w:tcW w:w="2374" w:type="dxa"/>
            <w:vAlign w:val="top"/>
          </w:tcPr>
          <w:p w14:paraId="0DC290EB">
            <w:pPr>
              <w:pStyle w:val="6"/>
              <w:spacing w:before="64" w:line="220" w:lineRule="auto"/>
              <w:ind w:left="12"/>
              <w:rPr>
                <w:sz w:val="18"/>
                <w:szCs w:val="18"/>
              </w:rPr>
            </w:pPr>
            <w:r>
              <w:rPr>
                <w:spacing w:val="-1"/>
                <w:sz w:val="18"/>
                <w:szCs w:val="18"/>
              </w:rPr>
              <w:t>2.统计标志与统计指标</w:t>
            </w:r>
          </w:p>
        </w:tc>
        <w:tc>
          <w:tcPr>
            <w:tcW w:w="219" w:type="dxa"/>
            <w:vAlign w:val="top"/>
          </w:tcPr>
          <w:p w14:paraId="0916C558">
            <w:pPr>
              <w:rPr>
                <w:rFonts w:ascii="Arial"/>
                <w:sz w:val="21"/>
              </w:rPr>
            </w:pPr>
          </w:p>
        </w:tc>
        <w:tc>
          <w:tcPr>
            <w:tcW w:w="230" w:type="dxa"/>
            <w:vAlign w:val="top"/>
          </w:tcPr>
          <w:p w14:paraId="6E013AD9">
            <w:pPr>
              <w:rPr>
                <w:rFonts w:ascii="Arial"/>
                <w:sz w:val="21"/>
              </w:rPr>
            </w:pPr>
          </w:p>
        </w:tc>
        <w:tc>
          <w:tcPr>
            <w:tcW w:w="230" w:type="dxa"/>
            <w:vAlign w:val="top"/>
          </w:tcPr>
          <w:p w14:paraId="17E97B90">
            <w:pPr>
              <w:rPr>
                <w:rFonts w:ascii="Arial"/>
                <w:sz w:val="21"/>
              </w:rPr>
            </w:pPr>
          </w:p>
        </w:tc>
        <w:tc>
          <w:tcPr>
            <w:tcW w:w="234" w:type="dxa"/>
            <w:vAlign w:val="top"/>
          </w:tcPr>
          <w:p w14:paraId="148CA372">
            <w:pPr>
              <w:rPr>
                <w:rFonts w:ascii="Arial"/>
                <w:sz w:val="21"/>
              </w:rPr>
            </w:pPr>
          </w:p>
        </w:tc>
      </w:tr>
      <w:tr w14:paraId="7C77A6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843" w:type="dxa"/>
            <w:vMerge w:val="continue"/>
            <w:tcBorders>
              <w:top w:val="nil"/>
              <w:bottom w:val="nil"/>
            </w:tcBorders>
            <w:vAlign w:val="top"/>
          </w:tcPr>
          <w:p w14:paraId="194D1388">
            <w:pPr>
              <w:rPr>
                <w:rFonts w:ascii="Arial"/>
                <w:sz w:val="21"/>
              </w:rPr>
            </w:pPr>
          </w:p>
        </w:tc>
        <w:tc>
          <w:tcPr>
            <w:tcW w:w="2374" w:type="dxa"/>
            <w:vAlign w:val="top"/>
          </w:tcPr>
          <w:p w14:paraId="6F00CD5E">
            <w:pPr>
              <w:pStyle w:val="6"/>
              <w:spacing w:before="65" w:line="220" w:lineRule="auto"/>
              <w:ind w:left="12"/>
              <w:rPr>
                <w:sz w:val="18"/>
                <w:szCs w:val="18"/>
              </w:rPr>
            </w:pPr>
            <w:r>
              <w:rPr>
                <w:spacing w:val="2"/>
                <w:sz w:val="18"/>
                <w:szCs w:val="18"/>
              </w:rPr>
              <w:t>3.统计指标体系</w:t>
            </w:r>
          </w:p>
        </w:tc>
        <w:tc>
          <w:tcPr>
            <w:tcW w:w="219" w:type="dxa"/>
            <w:vAlign w:val="top"/>
          </w:tcPr>
          <w:p w14:paraId="6910BD52">
            <w:pPr>
              <w:rPr>
                <w:rFonts w:ascii="Arial"/>
                <w:sz w:val="21"/>
              </w:rPr>
            </w:pPr>
          </w:p>
        </w:tc>
        <w:tc>
          <w:tcPr>
            <w:tcW w:w="230" w:type="dxa"/>
            <w:vAlign w:val="top"/>
          </w:tcPr>
          <w:p w14:paraId="670039FB">
            <w:pPr>
              <w:pStyle w:val="6"/>
              <w:spacing w:before="73" w:line="221" w:lineRule="auto"/>
              <w:ind w:left="19"/>
              <w:rPr>
                <w:sz w:val="18"/>
                <w:szCs w:val="18"/>
              </w:rPr>
            </w:pPr>
            <w:r>
              <w:rPr>
                <w:sz w:val="18"/>
                <w:szCs w:val="18"/>
              </w:rPr>
              <w:t>√</w:t>
            </w:r>
          </w:p>
        </w:tc>
        <w:tc>
          <w:tcPr>
            <w:tcW w:w="230" w:type="dxa"/>
            <w:vAlign w:val="top"/>
          </w:tcPr>
          <w:p w14:paraId="64C1102A">
            <w:pPr>
              <w:rPr>
                <w:rFonts w:ascii="Arial"/>
                <w:sz w:val="21"/>
              </w:rPr>
            </w:pPr>
          </w:p>
        </w:tc>
        <w:tc>
          <w:tcPr>
            <w:tcW w:w="234" w:type="dxa"/>
            <w:vAlign w:val="top"/>
          </w:tcPr>
          <w:p w14:paraId="3978BFC7">
            <w:pPr>
              <w:rPr>
                <w:rFonts w:ascii="Arial"/>
                <w:sz w:val="21"/>
              </w:rPr>
            </w:pPr>
          </w:p>
        </w:tc>
      </w:tr>
      <w:tr w14:paraId="0A9581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843" w:type="dxa"/>
            <w:vMerge w:val="continue"/>
            <w:tcBorders>
              <w:top w:val="nil"/>
              <w:bottom w:val="nil"/>
            </w:tcBorders>
            <w:vAlign w:val="top"/>
          </w:tcPr>
          <w:p w14:paraId="72859E6A">
            <w:pPr>
              <w:rPr>
                <w:rFonts w:ascii="Arial"/>
                <w:sz w:val="21"/>
              </w:rPr>
            </w:pPr>
          </w:p>
        </w:tc>
        <w:tc>
          <w:tcPr>
            <w:tcW w:w="2374" w:type="dxa"/>
            <w:vAlign w:val="top"/>
          </w:tcPr>
          <w:p w14:paraId="5C145E96">
            <w:pPr>
              <w:pStyle w:val="6"/>
              <w:spacing w:before="66" w:line="219" w:lineRule="auto"/>
              <w:ind w:left="12"/>
              <w:rPr>
                <w:sz w:val="18"/>
                <w:szCs w:val="18"/>
              </w:rPr>
            </w:pPr>
            <w:r>
              <w:rPr>
                <w:spacing w:val="-1"/>
                <w:sz w:val="18"/>
                <w:szCs w:val="18"/>
              </w:rPr>
              <w:t>4.变异与变量</w:t>
            </w:r>
          </w:p>
        </w:tc>
        <w:tc>
          <w:tcPr>
            <w:tcW w:w="219" w:type="dxa"/>
            <w:vAlign w:val="top"/>
          </w:tcPr>
          <w:p w14:paraId="0B3299D3">
            <w:pPr>
              <w:rPr>
                <w:rFonts w:ascii="Arial"/>
                <w:sz w:val="21"/>
              </w:rPr>
            </w:pPr>
          </w:p>
        </w:tc>
        <w:tc>
          <w:tcPr>
            <w:tcW w:w="230" w:type="dxa"/>
            <w:vAlign w:val="top"/>
          </w:tcPr>
          <w:p w14:paraId="6187DEA7">
            <w:pPr>
              <w:rPr>
                <w:rFonts w:ascii="Arial"/>
                <w:sz w:val="21"/>
              </w:rPr>
            </w:pPr>
          </w:p>
        </w:tc>
        <w:tc>
          <w:tcPr>
            <w:tcW w:w="230" w:type="dxa"/>
            <w:vAlign w:val="top"/>
          </w:tcPr>
          <w:p w14:paraId="5C60B1CA">
            <w:pPr>
              <w:pStyle w:val="6"/>
              <w:spacing w:before="105" w:line="238" w:lineRule="auto"/>
              <w:ind w:left="19"/>
              <w:rPr>
                <w:sz w:val="12"/>
                <w:szCs w:val="12"/>
              </w:rPr>
            </w:pPr>
            <w:r>
              <w:rPr>
                <w:sz w:val="12"/>
                <w:szCs w:val="12"/>
              </w:rPr>
              <w:t>√</w:t>
            </w:r>
          </w:p>
        </w:tc>
        <w:tc>
          <w:tcPr>
            <w:tcW w:w="234" w:type="dxa"/>
            <w:vAlign w:val="top"/>
          </w:tcPr>
          <w:p w14:paraId="57062947">
            <w:pPr>
              <w:rPr>
                <w:rFonts w:ascii="Arial"/>
                <w:sz w:val="21"/>
              </w:rPr>
            </w:pPr>
          </w:p>
        </w:tc>
      </w:tr>
      <w:tr w14:paraId="2E482C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4" w:hRule="atLeast"/>
        </w:trPr>
        <w:tc>
          <w:tcPr>
            <w:tcW w:w="843" w:type="dxa"/>
            <w:vMerge w:val="continue"/>
            <w:tcBorders>
              <w:top w:val="nil"/>
            </w:tcBorders>
            <w:vAlign w:val="top"/>
          </w:tcPr>
          <w:p w14:paraId="46ADBCD1">
            <w:pPr>
              <w:rPr>
                <w:rFonts w:ascii="Arial"/>
                <w:sz w:val="21"/>
              </w:rPr>
            </w:pPr>
          </w:p>
        </w:tc>
        <w:tc>
          <w:tcPr>
            <w:tcW w:w="2374" w:type="dxa"/>
            <w:vAlign w:val="top"/>
          </w:tcPr>
          <w:p w14:paraId="6F7AC7FD">
            <w:pPr>
              <w:pStyle w:val="6"/>
              <w:spacing w:before="67" w:line="219" w:lineRule="auto"/>
              <w:ind w:left="12"/>
              <w:rPr>
                <w:sz w:val="18"/>
                <w:szCs w:val="18"/>
              </w:rPr>
            </w:pPr>
            <w:r>
              <w:rPr>
                <w:sz w:val="18"/>
                <w:szCs w:val="18"/>
              </w:rPr>
              <w:t>5.度量与统计数据的类型</w:t>
            </w:r>
          </w:p>
        </w:tc>
        <w:tc>
          <w:tcPr>
            <w:tcW w:w="219" w:type="dxa"/>
            <w:vAlign w:val="top"/>
          </w:tcPr>
          <w:p w14:paraId="028433B2">
            <w:pPr>
              <w:rPr>
                <w:rFonts w:ascii="Arial"/>
                <w:sz w:val="21"/>
              </w:rPr>
            </w:pPr>
          </w:p>
        </w:tc>
        <w:tc>
          <w:tcPr>
            <w:tcW w:w="230" w:type="dxa"/>
            <w:vAlign w:val="top"/>
          </w:tcPr>
          <w:p w14:paraId="4B78B499">
            <w:pPr>
              <w:pStyle w:val="6"/>
              <w:spacing w:before="108" w:line="238" w:lineRule="auto"/>
              <w:ind w:left="48"/>
              <w:rPr>
                <w:sz w:val="13"/>
                <w:szCs w:val="13"/>
              </w:rPr>
            </w:pPr>
            <w:r>
              <w:rPr>
                <w:sz w:val="13"/>
                <w:szCs w:val="13"/>
              </w:rPr>
              <w:t>√</w:t>
            </w:r>
          </w:p>
        </w:tc>
        <w:tc>
          <w:tcPr>
            <w:tcW w:w="230" w:type="dxa"/>
            <w:vAlign w:val="top"/>
          </w:tcPr>
          <w:p w14:paraId="42441A0C">
            <w:pPr>
              <w:rPr>
                <w:rFonts w:ascii="Arial"/>
                <w:sz w:val="21"/>
              </w:rPr>
            </w:pPr>
          </w:p>
        </w:tc>
        <w:tc>
          <w:tcPr>
            <w:tcW w:w="234" w:type="dxa"/>
            <w:vAlign w:val="top"/>
          </w:tcPr>
          <w:p w14:paraId="250A21DA">
            <w:pPr>
              <w:rPr>
                <w:rFonts w:ascii="Arial"/>
                <w:sz w:val="21"/>
              </w:rPr>
            </w:pPr>
          </w:p>
        </w:tc>
      </w:tr>
    </w:tbl>
    <w:p w14:paraId="1CE21ADF">
      <w:pPr>
        <w:spacing w:before="118" w:line="221" w:lineRule="auto"/>
        <w:ind w:left="958"/>
        <w:rPr>
          <w:rFonts w:ascii="黑体" w:hAnsi="黑体" w:eastAsia="黑体" w:cs="黑体"/>
          <w:sz w:val="21"/>
          <w:szCs w:val="21"/>
        </w:rPr>
      </w:pPr>
      <w:r>
        <w:rPr>
          <w:rFonts w:ascii="黑体" w:hAnsi="黑体" w:eastAsia="黑体" w:cs="黑体"/>
          <w:b/>
          <w:bCs/>
          <w:spacing w:val="-6"/>
          <w:sz w:val="21"/>
          <w:szCs w:val="21"/>
        </w:rPr>
        <w:t>(二)统计调查与统计整理</w:t>
      </w:r>
    </w:p>
    <w:p w14:paraId="68C64F98">
      <w:pPr>
        <w:spacing w:line="70" w:lineRule="exact"/>
      </w:pPr>
    </w:p>
    <w:tbl>
      <w:tblPr>
        <w:tblStyle w:val="5"/>
        <w:tblW w:w="412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83"/>
        <w:gridCol w:w="2334"/>
        <w:gridCol w:w="229"/>
        <w:gridCol w:w="220"/>
        <w:gridCol w:w="230"/>
        <w:gridCol w:w="224"/>
      </w:tblGrid>
      <w:tr w14:paraId="04DB1F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8" w:hRule="atLeast"/>
        </w:trPr>
        <w:tc>
          <w:tcPr>
            <w:tcW w:w="883" w:type="dxa"/>
            <w:vMerge w:val="restart"/>
            <w:tcBorders>
              <w:top w:val="single" w:color="000000" w:sz="2" w:space="0"/>
              <w:bottom w:val="nil"/>
            </w:tcBorders>
            <w:vAlign w:val="top"/>
          </w:tcPr>
          <w:p w14:paraId="5590A924">
            <w:pPr>
              <w:pStyle w:val="6"/>
              <w:spacing w:before="155" w:line="223" w:lineRule="auto"/>
              <w:ind w:left="77" w:right="83" w:firstLine="89"/>
              <w:rPr>
                <w:sz w:val="18"/>
                <w:szCs w:val="18"/>
              </w:rPr>
            </w:pPr>
            <w:r>
              <w:rPr>
                <w:b/>
                <w:bCs/>
                <w:spacing w:val="1"/>
                <w:sz w:val="18"/>
                <w:szCs w:val="18"/>
              </w:rPr>
              <w:t>知识与</w:t>
            </w:r>
            <w:r>
              <w:rPr>
                <w:sz w:val="18"/>
                <w:szCs w:val="18"/>
              </w:rPr>
              <w:t xml:space="preserve">  </w:t>
            </w:r>
            <w:r>
              <w:rPr>
                <w:b/>
                <w:bCs/>
                <w:spacing w:val="-4"/>
                <w:sz w:val="18"/>
                <w:szCs w:val="18"/>
              </w:rPr>
              <w:t>技能要点</w:t>
            </w:r>
          </w:p>
        </w:tc>
        <w:tc>
          <w:tcPr>
            <w:tcW w:w="2334" w:type="dxa"/>
            <w:vMerge w:val="restart"/>
            <w:tcBorders>
              <w:top w:val="single" w:color="000000" w:sz="2" w:space="0"/>
              <w:bottom w:val="nil"/>
            </w:tcBorders>
            <w:vAlign w:val="top"/>
          </w:tcPr>
          <w:p w14:paraId="77ACAE22">
            <w:pPr>
              <w:pStyle w:val="6"/>
              <w:spacing w:before="264" w:line="219" w:lineRule="auto"/>
              <w:ind w:left="844"/>
              <w:rPr>
                <w:sz w:val="18"/>
                <w:szCs w:val="18"/>
              </w:rPr>
            </w:pPr>
            <w:r>
              <w:rPr>
                <w:b/>
                <w:bCs/>
                <w:spacing w:val="5"/>
                <w:sz w:val="18"/>
                <w:szCs w:val="18"/>
              </w:rPr>
              <w:t>考试条目</w:t>
            </w:r>
          </w:p>
        </w:tc>
        <w:tc>
          <w:tcPr>
            <w:tcW w:w="903" w:type="dxa"/>
            <w:gridSpan w:val="4"/>
            <w:tcBorders>
              <w:top w:val="single" w:color="000000" w:sz="2" w:space="0"/>
              <w:bottom w:val="single" w:color="000000" w:sz="2" w:space="0"/>
            </w:tcBorders>
            <w:vAlign w:val="top"/>
          </w:tcPr>
          <w:p w14:paraId="73812928">
            <w:pPr>
              <w:pStyle w:val="6"/>
              <w:spacing w:before="94" w:line="219" w:lineRule="auto"/>
              <w:ind w:left="140"/>
              <w:rPr>
                <w:sz w:val="18"/>
                <w:szCs w:val="18"/>
              </w:rPr>
            </w:pPr>
            <w:r>
              <w:rPr>
                <w:b/>
                <w:bCs/>
                <w:spacing w:val="-4"/>
                <w:sz w:val="18"/>
                <w:szCs w:val="18"/>
              </w:rPr>
              <w:t>考试水平</w:t>
            </w:r>
          </w:p>
        </w:tc>
      </w:tr>
      <w:tr w14:paraId="4DF71F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3" w:hRule="atLeast"/>
        </w:trPr>
        <w:tc>
          <w:tcPr>
            <w:tcW w:w="883" w:type="dxa"/>
            <w:vMerge w:val="continue"/>
            <w:tcBorders>
              <w:top w:val="nil"/>
              <w:bottom w:val="single" w:color="000000" w:sz="2" w:space="0"/>
            </w:tcBorders>
            <w:vAlign w:val="top"/>
          </w:tcPr>
          <w:p w14:paraId="34C74880">
            <w:pPr>
              <w:rPr>
                <w:rFonts w:ascii="Arial"/>
                <w:sz w:val="21"/>
              </w:rPr>
            </w:pPr>
          </w:p>
        </w:tc>
        <w:tc>
          <w:tcPr>
            <w:tcW w:w="2334" w:type="dxa"/>
            <w:vMerge w:val="continue"/>
            <w:tcBorders>
              <w:top w:val="nil"/>
              <w:bottom w:val="single" w:color="000000" w:sz="2" w:space="0"/>
            </w:tcBorders>
            <w:vAlign w:val="top"/>
          </w:tcPr>
          <w:p w14:paraId="02C1CF23">
            <w:pPr>
              <w:rPr>
                <w:rFonts w:ascii="Arial"/>
                <w:sz w:val="21"/>
              </w:rPr>
            </w:pPr>
          </w:p>
        </w:tc>
        <w:tc>
          <w:tcPr>
            <w:tcW w:w="229" w:type="dxa"/>
            <w:tcBorders>
              <w:top w:val="single" w:color="000000" w:sz="2" w:space="0"/>
              <w:bottom w:val="single" w:color="000000" w:sz="2" w:space="0"/>
            </w:tcBorders>
            <w:vAlign w:val="top"/>
          </w:tcPr>
          <w:p w14:paraId="38E3974A">
            <w:pPr>
              <w:pStyle w:val="6"/>
              <w:spacing w:before="129" w:line="184" w:lineRule="auto"/>
              <w:ind w:left="70"/>
              <w:rPr>
                <w:sz w:val="18"/>
                <w:szCs w:val="18"/>
              </w:rPr>
            </w:pPr>
            <w:r>
              <w:rPr>
                <w:b/>
                <w:bCs/>
                <w:spacing w:val="-2"/>
                <w:sz w:val="18"/>
                <w:szCs w:val="18"/>
              </w:rPr>
              <w:t>A</w:t>
            </w:r>
          </w:p>
        </w:tc>
        <w:tc>
          <w:tcPr>
            <w:tcW w:w="220" w:type="dxa"/>
            <w:tcBorders>
              <w:top w:val="single" w:color="000000" w:sz="2" w:space="0"/>
              <w:bottom w:val="single" w:color="000000" w:sz="2" w:space="0"/>
            </w:tcBorders>
            <w:vAlign w:val="top"/>
          </w:tcPr>
          <w:p w14:paraId="27C14037">
            <w:pPr>
              <w:pStyle w:val="6"/>
              <w:spacing w:before="131" w:line="182" w:lineRule="auto"/>
              <w:ind w:left="61"/>
              <w:rPr>
                <w:sz w:val="18"/>
                <w:szCs w:val="18"/>
              </w:rPr>
            </w:pPr>
            <w:r>
              <w:rPr>
                <w:b/>
                <w:bCs/>
                <w:spacing w:val="-2"/>
                <w:sz w:val="18"/>
                <w:szCs w:val="18"/>
              </w:rPr>
              <w:t>B</w:t>
            </w:r>
          </w:p>
        </w:tc>
        <w:tc>
          <w:tcPr>
            <w:tcW w:w="230" w:type="dxa"/>
            <w:tcBorders>
              <w:top w:val="single" w:color="000000" w:sz="2" w:space="0"/>
              <w:bottom w:val="single" w:color="000000" w:sz="2" w:space="0"/>
            </w:tcBorders>
            <w:vAlign w:val="top"/>
          </w:tcPr>
          <w:p w14:paraId="76FFE8AC">
            <w:pPr>
              <w:pStyle w:val="6"/>
              <w:spacing w:before="129" w:line="183" w:lineRule="auto"/>
              <w:ind w:left="21"/>
              <w:rPr>
                <w:sz w:val="18"/>
                <w:szCs w:val="18"/>
              </w:rPr>
            </w:pPr>
            <w:r>
              <w:rPr>
                <w:b/>
                <w:bCs/>
                <w:spacing w:val="-2"/>
                <w:sz w:val="18"/>
                <w:szCs w:val="18"/>
              </w:rPr>
              <w:t>C</w:t>
            </w:r>
          </w:p>
        </w:tc>
        <w:tc>
          <w:tcPr>
            <w:tcW w:w="224" w:type="dxa"/>
            <w:tcBorders>
              <w:top w:val="single" w:color="000000" w:sz="2" w:space="0"/>
              <w:bottom w:val="single" w:color="000000" w:sz="2" w:space="0"/>
            </w:tcBorders>
            <w:vAlign w:val="top"/>
          </w:tcPr>
          <w:p w14:paraId="7FFC84B5">
            <w:pPr>
              <w:pStyle w:val="6"/>
              <w:spacing w:before="131" w:line="182" w:lineRule="auto"/>
              <w:ind w:left="21"/>
              <w:rPr>
                <w:sz w:val="18"/>
                <w:szCs w:val="18"/>
              </w:rPr>
            </w:pPr>
            <w:r>
              <w:rPr>
                <w:b/>
                <w:bCs/>
                <w:spacing w:val="-2"/>
                <w:sz w:val="18"/>
                <w:szCs w:val="18"/>
              </w:rPr>
              <w:t>D</w:t>
            </w:r>
          </w:p>
        </w:tc>
      </w:tr>
      <w:tr w14:paraId="1F0602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3" w:hRule="atLeast"/>
        </w:trPr>
        <w:tc>
          <w:tcPr>
            <w:tcW w:w="883" w:type="dxa"/>
            <w:vMerge w:val="restart"/>
            <w:tcBorders>
              <w:top w:val="single" w:color="000000" w:sz="2" w:space="0"/>
              <w:bottom w:val="nil"/>
            </w:tcBorders>
            <w:vAlign w:val="top"/>
          </w:tcPr>
          <w:p w14:paraId="4661DBBB">
            <w:pPr>
              <w:pStyle w:val="6"/>
              <w:spacing w:before="186" w:line="221" w:lineRule="auto"/>
              <w:ind w:left="75"/>
              <w:rPr>
                <w:sz w:val="18"/>
                <w:szCs w:val="18"/>
              </w:rPr>
            </w:pPr>
            <w:r>
              <w:rPr>
                <w:spacing w:val="2"/>
                <w:sz w:val="18"/>
                <w:szCs w:val="18"/>
              </w:rPr>
              <w:t>统计调查</w:t>
            </w:r>
          </w:p>
        </w:tc>
        <w:tc>
          <w:tcPr>
            <w:tcW w:w="2334" w:type="dxa"/>
            <w:tcBorders>
              <w:top w:val="single" w:color="000000" w:sz="2" w:space="0"/>
              <w:bottom w:val="single" w:color="000000" w:sz="2" w:space="0"/>
            </w:tcBorders>
            <w:vAlign w:val="top"/>
          </w:tcPr>
          <w:p w14:paraId="73E90F9E">
            <w:pPr>
              <w:pStyle w:val="6"/>
              <w:spacing w:before="55" w:line="213" w:lineRule="auto"/>
              <w:ind w:left="12"/>
              <w:rPr>
                <w:sz w:val="18"/>
                <w:szCs w:val="18"/>
              </w:rPr>
            </w:pPr>
            <w:r>
              <w:rPr>
                <w:sz w:val="18"/>
                <w:szCs w:val="18"/>
              </w:rPr>
              <w:t>1.统计调查的概念与种类</w:t>
            </w:r>
          </w:p>
        </w:tc>
        <w:tc>
          <w:tcPr>
            <w:tcW w:w="229" w:type="dxa"/>
            <w:tcBorders>
              <w:top w:val="single" w:color="000000" w:sz="2" w:space="0"/>
              <w:bottom w:val="single" w:color="000000" w:sz="2" w:space="0"/>
            </w:tcBorders>
            <w:vAlign w:val="top"/>
          </w:tcPr>
          <w:p w14:paraId="14C64B5F">
            <w:pPr>
              <w:pStyle w:val="6"/>
              <w:spacing w:before="94" w:line="238" w:lineRule="auto"/>
              <w:ind w:left="48"/>
              <w:rPr>
                <w:sz w:val="12"/>
                <w:szCs w:val="12"/>
              </w:rPr>
            </w:pPr>
            <w:r>
              <w:rPr>
                <w:sz w:val="12"/>
                <w:szCs w:val="12"/>
              </w:rPr>
              <w:t>√</w:t>
            </w:r>
          </w:p>
        </w:tc>
        <w:tc>
          <w:tcPr>
            <w:tcW w:w="220" w:type="dxa"/>
            <w:tcBorders>
              <w:top w:val="single" w:color="000000" w:sz="2" w:space="0"/>
              <w:bottom w:val="single" w:color="000000" w:sz="2" w:space="0"/>
            </w:tcBorders>
            <w:vAlign w:val="top"/>
          </w:tcPr>
          <w:p w14:paraId="3409AA14">
            <w:pPr>
              <w:rPr>
                <w:rFonts w:ascii="Arial"/>
                <w:sz w:val="21"/>
              </w:rPr>
            </w:pPr>
          </w:p>
        </w:tc>
        <w:tc>
          <w:tcPr>
            <w:tcW w:w="230" w:type="dxa"/>
            <w:tcBorders>
              <w:top w:val="single" w:color="000000" w:sz="2" w:space="0"/>
              <w:bottom w:val="single" w:color="000000" w:sz="2" w:space="0"/>
            </w:tcBorders>
            <w:vAlign w:val="top"/>
          </w:tcPr>
          <w:p w14:paraId="50612E45">
            <w:pPr>
              <w:rPr>
                <w:rFonts w:ascii="Arial"/>
                <w:sz w:val="21"/>
              </w:rPr>
            </w:pPr>
          </w:p>
        </w:tc>
        <w:tc>
          <w:tcPr>
            <w:tcW w:w="224" w:type="dxa"/>
            <w:tcBorders>
              <w:top w:val="single" w:color="000000" w:sz="2" w:space="0"/>
              <w:bottom w:val="single" w:color="000000" w:sz="2" w:space="0"/>
            </w:tcBorders>
            <w:vAlign w:val="top"/>
          </w:tcPr>
          <w:p w14:paraId="29B1C172">
            <w:pPr>
              <w:rPr>
                <w:rFonts w:ascii="Arial"/>
                <w:sz w:val="21"/>
              </w:rPr>
            </w:pPr>
          </w:p>
        </w:tc>
      </w:tr>
      <w:tr w14:paraId="2DA698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83" w:type="dxa"/>
            <w:vMerge w:val="continue"/>
            <w:tcBorders>
              <w:top w:val="nil"/>
              <w:bottom w:val="single" w:color="000000" w:sz="2" w:space="0"/>
            </w:tcBorders>
            <w:vAlign w:val="top"/>
          </w:tcPr>
          <w:p w14:paraId="268A2022">
            <w:pPr>
              <w:rPr>
                <w:rFonts w:ascii="Arial"/>
                <w:sz w:val="21"/>
              </w:rPr>
            </w:pPr>
          </w:p>
        </w:tc>
        <w:tc>
          <w:tcPr>
            <w:tcW w:w="2334" w:type="dxa"/>
            <w:tcBorders>
              <w:top w:val="single" w:color="000000" w:sz="2" w:space="0"/>
              <w:bottom w:val="single" w:color="000000" w:sz="2" w:space="0"/>
            </w:tcBorders>
            <w:vAlign w:val="top"/>
          </w:tcPr>
          <w:p w14:paraId="510630AF">
            <w:pPr>
              <w:pStyle w:val="6"/>
              <w:spacing w:before="46" w:line="208" w:lineRule="auto"/>
              <w:ind w:left="12"/>
              <w:rPr>
                <w:sz w:val="18"/>
                <w:szCs w:val="18"/>
              </w:rPr>
            </w:pPr>
            <w:r>
              <w:rPr>
                <w:spacing w:val="-1"/>
                <w:sz w:val="18"/>
                <w:szCs w:val="18"/>
              </w:rPr>
              <w:t>2.统计调查的基本要求</w:t>
            </w:r>
          </w:p>
        </w:tc>
        <w:tc>
          <w:tcPr>
            <w:tcW w:w="229" w:type="dxa"/>
            <w:tcBorders>
              <w:top w:val="single" w:color="000000" w:sz="2" w:space="0"/>
              <w:bottom w:val="single" w:color="000000" w:sz="2" w:space="0"/>
            </w:tcBorders>
            <w:vAlign w:val="top"/>
          </w:tcPr>
          <w:p w14:paraId="6D47FB31">
            <w:pPr>
              <w:rPr>
                <w:rFonts w:ascii="Arial"/>
                <w:sz w:val="21"/>
              </w:rPr>
            </w:pPr>
          </w:p>
        </w:tc>
        <w:tc>
          <w:tcPr>
            <w:tcW w:w="220" w:type="dxa"/>
            <w:tcBorders>
              <w:top w:val="single" w:color="000000" w:sz="2" w:space="0"/>
              <w:bottom w:val="single" w:color="000000" w:sz="2" w:space="0"/>
            </w:tcBorders>
            <w:vAlign w:val="top"/>
          </w:tcPr>
          <w:p w14:paraId="7F091DEE">
            <w:pPr>
              <w:pStyle w:val="6"/>
              <w:spacing w:before="86" w:line="238" w:lineRule="auto"/>
              <w:ind w:left="48"/>
              <w:rPr>
                <w:sz w:val="12"/>
                <w:szCs w:val="12"/>
              </w:rPr>
            </w:pPr>
            <w:r>
              <w:rPr>
                <w:sz w:val="12"/>
                <w:szCs w:val="12"/>
              </w:rPr>
              <w:t>√</w:t>
            </w:r>
          </w:p>
        </w:tc>
        <w:tc>
          <w:tcPr>
            <w:tcW w:w="230" w:type="dxa"/>
            <w:tcBorders>
              <w:top w:val="single" w:color="000000" w:sz="2" w:space="0"/>
              <w:bottom w:val="single" w:color="000000" w:sz="2" w:space="0"/>
            </w:tcBorders>
            <w:vAlign w:val="top"/>
          </w:tcPr>
          <w:p w14:paraId="785F3CF6">
            <w:pPr>
              <w:rPr>
                <w:rFonts w:ascii="Arial"/>
                <w:sz w:val="21"/>
              </w:rPr>
            </w:pPr>
          </w:p>
        </w:tc>
        <w:tc>
          <w:tcPr>
            <w:tcW w:w="224" w:type="dxa"/>
            <w:tcBorders>
              <w:top w:val="single" w:color="000000" w:sz="2" w:space="0"/>
              <w:bottom w:val="single" w:color="000000" w:sz="2" w:space="0"/>
            </w:tcBorders>
            <w:vAlign w:val="top"/>
          </w:tcPr>
          <w:p w14:paraId="0C206F20">
            <w:pPr>
              <w:rPr>
                <w:rFonts w:ascii="Arial"/>
                <w:sz w:val="21"/>
              </w:rPr>
            </w:pPr>
          </w:p>
        </w:tc>
      </w:tr>
    </w:tbl>
    <w:p w14:paraId="4283954E">
      <w:pPr>
        <w:pStyle w:val="2"/>
        <w:spacing w:line="14" w:lineRule="auto"/>
        <w:rPr>
          <w:sz w:val="2"/>
        </w:rPr>
      </w:pPr>
    </w:p>
    <w:p w14:paraId="0C9D342D">
      <w:pPr>
        <w:spacing w:line="14" w:lineRule="auto"/>
        <w:rPr>
          <w:sz w:val="2"/>
          <w:szCs w:val="2"/>
        </w:rPr>
        <w:sectPr>
          <w:type w:val="continuous"/>
          <w:pgSz w:w="10660" w:h="15080"/>
          <w:pgMar w:top="400" w:right="885" w:bottom="925" w:left="1034" w:header="0" w:footer="705" w:gutter="0"/>
          <w:cols w:equalWidth="0" w:num="2">
            <w:col w:w="4480" w:space="100"/>
            <w:col w:w="4160"/>
          </w:cols>
        </w:sectPr>
      </w:pPr>
    </w:p>
    <w:p w14:paraId="70F393B3">
      <w:pPr>
        <w:spacing w:before="10"/>
      </w:pPr>
    </w:p>
    <w:p w14:paraId="7327E813">
      <w:pPr>
        <w:spacing w:before="10"/>
      </w:pPr>
    </w:p>
    <w:p w14:paraId="151DF7A3">
      <w:pPr>
        <w:spacing w:before="10"/>
      </w:pPr>
    </w:p>
    <w:p w14:paraId="0E9AF9EC">
      <w:pPr>
        <w:spacing w:before="9"/>
      </w:pPr>
    </w:p>
    <w:p w14:paraId="27EC51BA">
      <w:pPr>
        <w:sectPr>
          <w:footerReference r:id="rId30" w:type="default"/>
          <w:pgSz w:w="10660" w:h="15080"/>
          <w:pgMar w:top="400" w:right="1034" w:bottom="927" w:left="819" w:header="0" w:footer="719" w:gutter="0"/>
          <w:cols w:equalWidth="0" w:num="1">
            <w:col w:w="8806"/>
          </w:cols>
        </w:sectPr>
      </w:pPr>
    </w:p>
    <w:tbl>
      <w:tblPr>
        <w:tblStyle w:val="5"/>
        <w:tblW w:w="4130"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83"/>
        <w:gridCol w:w="2324"/>
        <w:gridCol w:w="230"/>
        <w:gridCol w:w="230"/>
        <w:gridCol w:w="229"/>
        <w:gridCol w:w="234"/>
      </w:tblGrid>
      <w:tr w14:paraId="22E18F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4" w:hRule="atLeast"/>
        </w:trPr>
        <w:tc>
          <w:tcPr>
            <w:tcW w:w="883" w:type="dxa"/>
            <w:vMerge w:val="restart"/>
            <w:tcBorders>
              <w:bottom w:val="nil"/>
            </w:tcBorders>
            <w:vAlign w:val="top"/>
          </w:tcPr>
          <w:p w14:paraId="3733535E">
            <w:pPr>
              <w:pStyle w:val="6"/>
              <w:spacing w:before="161" w:line="218" w:lineRule="auto"/>
              <w:ind w:left="77" w:right="83" w:firstLine="90"/>
              <w:rPr>
                <w:sz w:val="18"/>
                <w:szCs w:val="18"/>
              </w:rPr>
            </w:pPr>
            <w:r>
              <w:rPr>
                <w:b/>
                <w:bCs/>
                <w:spacing w:val="1"/>
                <w:sz w:val="18"/>
                <w:szCs w:val="18"/>
              </w:rPr>
              <w:t>知识与</w:t>
            </w:r>
            <w:r>
              <w:rPr>
                <w:sz w:val="18"/>
                <w:szCs w:val="18"/>
              </w:rPr>
              <w:t xml:space="preserve">  </w:t>
            </w:r>
            <w:r>
              <w:rPr>
                <w:b/>
                <w:bCs/>
                <w:spacing w:val="-4"/>
                <w:sz w:val="18"/>
                <w:szCs w:val="18"/>
              </w:rPr>
              <w:t>技能要点</w:t>
            </w:r>
          </w:p>
        </w:tc>
        <w:tc>
          <w:tcPr>
            <w:tcW w:w="2324" w:type="dxa"/>
            <w:vMerge w:val="restart"/>
            <w:tcBorders>
              <w:bottom w:val="nil"/>
            </w:tcBorders>
            <w:vAlign w:val="top"/>
          </w:tcPr>
          <w:p w14:paraId="3768D53E">
            <w:pPr>
              <w:pStyle w:val="6"/>
              <w:spacing w:before="259" w:line="219" w:lineRule="auto"/>
              <w:ind w:left="844"/>
              <w:rPr>
                <w:sz w:val="18"/>
                <w:szCs w:val="18"/>
              </w:rPr>
            </w:pPr>
            <w:r>
              <w:rPr>
                <w:b/>
                <w:bCs/>
                <w:spacing w:val="5"/>
                <w:sz w:val="18"/>
                <w:szCs w:val="18"/>
              </w:rPr>
              <w:t>考试条目</w:t>
            </w:r>
          </w:p>
        </w:tc>
        <w:tc>
          <w:tcPr>
            <w:tcW w:w="923" w:type="dxa"/>
            <w:gridSpan w:val="4"/>
            <w:vAlign w:val="top"/>
          </w:tcPr>
          <w:p w14:paraId="08DFE5EC">
            <w:pPr>
              <w:pStyle w:val="6"/>
              <w:spacing w:before="90" w:line="219" w:lineRule="auto"/>
              <w:ind w:left="140"/>
              <w:rPr>
                <w:sz w:val="18"/>
                <w:szCs w:val="18"/>
              </w:rPr>
            </w:pPr>
            <w:r>
              <w:rPr>
                <w:b/>
                <w:bCs/>
                <w:spacing w:val="-4"/>
                <w:sz w:val="18"/>
                <w:szCs w:val="18"/>
              </w:rPr>
              <w:t>考试水平</w:t>
            </w:r>
          </w:p>
        </w:tc>
      </w:tr>
      <w:tr w14:paraId="70C386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9" w:hRule="atLeast"/>
        </w:trPr>
        <w:tc>
          <w:tcPr>
            <w:tcW w:w="883" w:type="dxa"/>
            <w:vMerge w:val="continue"/>
            <w:tcBorders>
              <w:top w:val="nil"/>
            </w:tcBorders>
            <w:vAlign w:val="top"/>
          </w:tcPr>
          <w:p w14:paraId="0F3B201B">
            <w:pPr>
              <w:rPr>
                <w:rFonts w:ascii="Arial"/>
                <w:sz w:val="21"/>
              </w:rPr>
            </w:pPr>
          </w:p>
        </w:tc>
        <w:tc>
          <w:tcPr>
            <w:tcW w:w="2324" w:type="dxa"/>
            <w:vMerge w:val="continue"/>
            <w:tcBorders>
              <w:top w:val="nil"/>
            </w:tcBorders>
            <w:vAlign w:val="top"/>
          </w:tcPr>
          <w:p w14:paraId="5705A122">
            <w:pPr>
              <w:rPr>
                <w:rFonts w:ascii="Arial"/>
                <w:sz w:val="21"/>
              </w:rPr>
            </w:pPr>
          </w:p>
        </w:tc>
        <w:tc>
          <w:tcPr>
            <w:tcW w:w="230" w:type="dxa"/>
            <w:vAlign w:val="top"/>
          </w:tcPr>
          <w:p w14:paraId="00570082">
            <w:pPr>
              <w:pStyle w:val="6"/>
              <w:spacing w:before="123" w:line="184" w:lineRule="auto"/>
              <w:ind w:left="70"/>
              <w:rPr>
                <w:sz w:val="18"/>
                <w:szCs w:val="18"/>
              </w:rPr>
            </w:pPr>
            <w:r>
              <w:rPr>
                <w:b/>
                <w:bCs/>
                <w:spacing w:val="-2"/>
                <w:sz w:val="18"/>
                <w:szCs w:val="18"/>
              </w:rPr>
              <w:t>A</w:t>
            </w:r>
          </w:p>
        </w:tc>
        <w:tc>
          <w:tcPr>
            <w:tcW w:w="230" w:type="dxa"/>
            <w:vAlign w:val="top"/>
          </w:tcPr>
          <w:p w14:paraId="08FBB09E">
            <w:pPr>
              <w:pStyle w:val="6"/>
              <w:spacing w:before="125" w:line="182" w:lineRule="auto"/>
              <w:ind w:left="70"/>
              <w:rPr>
                <w:sz w:val="18"/>
                <w:szCs w:val="18"/>
              </w:rPr>
            </w:pPr>
            <w:r>
              <w:rPr>
                <w:b/>
                <w:bCs/>
                <w:spacing w:val="-2"/>
                <w:sz w:val="18"/>
                <w:szCs w:val="18"/>
              </w:rPr>
              <w:t>B</w:t>
            </w:r>
          </w:p>
        </w:tc>
        <w:tc>
          <w:tcPr>
            <w:tcW w:w="229" w:type="dxa"/>
            <w:vAlign w:val="top"/>
          </w:tcPr>
          <w:p w14:paraId="7965D2AD">
            <w:pPr>
              <w:pStyle w:val="6"/>
              <w:spacing w:before="123" w:line="183" w:lineRule="auto"/>
              <w:ind w:left="50"/>
              <w:rPr>
                <w:sz w:val="18"/>
                <w:szCs w:val="18"/>
              </w:rPr>
            </w:pPr>
            <w:r>
              <w:rPr>
                <w:b/>
                <w:bCs/>
                <w:spacing w:val="-2"/>
                <w:sz w:val="18"/>
                <w:szCs w:val="18"/>
              </w:rPr>
              <w:t>C</w:t>
            </w:r>
          </w:p>
        </w:tc>
        <w:tc>
          <w:tcPr>
            <w:tcW w:w="234" w:type="dxa"/>
            <w:vAlign w:val="top"/>
          </w:tcPr>
          <w:p w14:paraId="5CC58B82">
            <w:pPr>
              <w:pStyle w:val="6"/>
              <w:spacing w:before="125" w:line="182" w:lineRule="auto"/>
              <w:ind w:left="21"/>
              <w:rPr>
                <w:sz w:val="18"/>
                <w:szCs w:val="18"/>
              </w:rPr>
            </w:pPr>
            <w:r>
              <w:rPr>
                <w:b/>
                <w:bCs/>
                <w:spacing w:val="-2"/>
                <w:sz w:val="18"/>
                <w:szCs w:val="18"/>
              </w:rPr>
              <w:t>D</w:t>
            </w:r>
          </w:p>
        </w:tc>
      </w:tr>
      <w:tr w14:paraId="637AF5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9" w:hRule="atLeast"/>
        </w:trPr>
        <w:tc>
          <w:tcPr>
            <w:tcW w:w="883" w:type="dxa"/>
            <w:vMerge w:val="restart"/>
            <w:tcBorders>
              <w:bottom w:val="nil"/>
            </w:tcBorders>
            <w:vAlign w:val="top"/>
          </w:tcPr>
          <w:p w14:paraId="7D2A75D4">
            <w:pPr>
              <w:spacing w:line="358" w:lineRule="auto"/>
              <w:rPr>
                <w:rFonts w:ascii="Arial"/>
                <w:sz w:val="21"/>
              </w:rPr>
            </w:pPr>
          </w:p>
          <w:p w14:paraId="59685041">
            <w:pPr>
              <w:spacing w:line="359" w:lineRule="auto"/>
              <w:rPr>
                <w:rFonts w:ascii="Arial"/>
                <w:sz w:val="21"/>
              </w:rPr>
            </w:pPr>
          </w:p>
          <w:p w14:paraId="5AC96F67">
            <w:pPr>
              <w:pStyle w:val="6"/>
              <w:spacing w:before="58" w:line="221" w:lineRule="auto"/>
              <w:ind w:left="74"/>
              <w:rPr>
                <w:sz w:val="18"/>
                <w:szCs w:val="18"/>
              </w:rPr>
            </w:pPr>
            <w:r>
              <w:rPr>
                <w:spacing w:val="2"/>
                <w:sz w:val="18"/>
                <w:szCs w:val="18"/>
              </w:rPr>
              <w:t>统计调查</w:t>
            </w:r>
          </w:p>
        </w:tc>
        <w:tc>
          <w:tcPr>
            <w:tcW w:w="2324" w:type="dxa"/>
            <w:vAlign w:val="top"/>
          </w:tcPr>
          <w:p w14:paraId="592CAB1F">
            <w:pPr>
              <w:pStyle w:val="6"/>
              <w:spacing w:before="29" w:line="205" w:lineRule="auto"/>
              <w:ind w:left="2" w:right="142"/>
              <w:rPr>
                <w:sz w:val="18"/>
                <w:szCs w:val="18"/>
              </w:rPr>
            </w:pPr>
            <w:r>
              <w:rPr>
                <w:sz w:val="18"/>
                <w:szCs w:val="18"/>
              </w:rPr>
              <w:t>3.我国常用的几种调查组织</w:t>
            </w:r>
            <w:r>
              <w:rPr>
                <w:spacing w:val="8"/>
                <w:sz w:val="18"/>
                <w:szCs w:val="18"/>
              </w:rPr>
              <w:t xml:space="preserve"> </w:t>
            </w:r>
            <w:r>
              <w:rPr>
                <w:spacing w:val="-2"/>
                <w:sz w:val="18"/>
                <w:szCs w:val="18"/>
              </w:rPr>
              <w:t>方式</w:t>
            </w:r>
          </w:p>
        </w:tc>
        <w:tc>
          <w:tcPr>
            <w:tcW w:w="230" w:type="dxa"/>
            <w:vAlign w:val="top"/>
          </w:tcPr>
          <w:p w14:paraId="007D4117">
            <w:pPr>
              <w:rPr>
                <w:rFonts w:ascii="Arial"/>
                <w:sz w:val="21"/>
              </w:rPr>
            </w:pPr>
          </w:p>
        </w:tc>
        <w:tc>
          <w:tcPr>
            <w:tcW w:w="230" w:type="dxa"/>
            <w:vAlign w:val="top"/>
          </w:tcPr>
          <w:p w14:paraId="3D4814B4">
            <w:pPr>
              <w:rPr>
                <w:rFonts w:ascii="Arial"/>
                <w:sz w:val="21"/>
              </w:rPr>
            </w:pPr>
          </w:p>
        </w:tc>
        <w:tc>
          <w:tcPr>
            <w:tcW w:w="229" w:type="dxa"/>
            <w:vAlign w:val="top"/>
          </w:tcPr>
          <w:p w14:paraId="02F05071">
            <w:pPr>
              <w:pStyle w:val="6"/>
              <w:spacing w:before="170" w:line="238" w:lineRule="auto"/>
              <w:ind w:left="17"/>
              <w:rPr>
                <w:sz w:val="13"/>
                <w:szCs w:val="13"/>
              </w:rPr>
            </w:pPr>
            <w:r>
              <w:rPr>
                <w:sz w:val="13"/>
                <w:szCs w:val="13"/>
              </w:rPr>
              <w:t>√</w:t>
            </w:r>
          </w:p>
        </w:tc>
        <w:tc>
          <w:tcPr>
            <w:tcW w:w="234" w:type="dxa"/>
            <w:vAlign w:val="top"/>
          </w:tcPr>
          <w:p w14:paraId="1E8254B1">
            <w:pPr>
              <w:rPr>
                <w:rFonts w:ascii="Arial"/>
                <w:sz w:val="21"/>
              </w:rPr>
            </w:pPr>
          </w:p>
        </w:tc>
      </w:tr>
      <w:tr w14:paraId="3B286A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trPr>
        <w:tc>
          <w:tcPr>
            <w:tcW w:w="883" w:type="dxa"/>
            <w:vMerge w:val="continue"/>
            <w:tcBorders>
              <w:top w:val="nil"/>
              <w:bottom w:val="nil"/>
            </w:tcBorders>
            <w:vAlign w:val="top"/>
          </w:tcPr>
          <w:p w14:paraId="1BD07A4E">
            <w:pPr>
              <w:rPr>
                <w:rFonts w:ascii="Arial"/>
                <w:sz w:val="21"/>
              </w:rPr>
            </w:pPr>
          </w:p>
        </w:tc>
        <w:tc>
          <w:tcPr>
            <w:tcW w:w="2324" w:type="dxa"/>
            <w:vAlign w:val="top"/>
          </w:tcPr>
          <w:p w14:paraId="268B0916">
            <w:pPr>
              <w:pStyle w:val="6"/>
              <w:spacing w:before="51" w:line="214" w:lineRule="auto"/>
              <w:ind w:left="2"/>
              <w:rPr>
                <w:sz w:val="18"/>
                <w:szCs w:val="18"/>
              </w:rPr>
            </w:pPr>
            <w:r>
              <w:rPr>
                <w:spacing w:val="-1"/>
                <w:sz w:val="18"/>
                <w:szCs w:val="18"/>
              </w:rPr>
              <w:t>4.统计调查方案</w:t>
            </w:r>
          </w:p>
        </w:tc>
        <w:tc>
          <w:tcPr>
            <w:tcW w:w="230" w:type="dxa"/>
            <w:vAlign w:val="top"/>
          </w:tcPr>
          <w:p w14:paraId="2E8D24DA">
            <w:pPr>
              <w:rPr>
                <w:rFonts w:ascii="Arial"/>
                <w:sz w:val="21"/>
              </w:rPr>
            </w:pPr>
          </w:p>
        </w:tc>
        <w:tc>
          <w:tcPr>
            <w:tcW w:w="230" w:type="dxa"/>
            <w:vAlign w:val="top"/>
          </w:tcPr>
          <w:p w14:paraId="7008C325">
            <w:pPr>
              <w:rPr>
                <w:rFonts w:ascii="Arial"/>
                <w:sz w:val="21"/>
              </w:rPr>
            </w:pPr>
          </w:p>
        </w:tc>
        <w:tc>
          <w:tcPr>
            <w:tcW w:w="229" w:type="dxa"/>
            <w:vAlign w:val="top"/>
          </w:tcPr>
          <w:p w14:paraId="2C326F6C">
            <w:pPr>
              <w:pStyle w:val="6"/>
              <w:spacing w:before="81" w:line="238" w:lineRule="auto"/>
              <w:ind w:left="17"/>
              <w:rPr>
                <w:sz w:val="13"/>
                <w:szCs w:val="13"/>
              </w:rPr>
            </w:pPr>
            <w:r>
              <w:rPr>
                <w:sz w:val="13"/>
                <w:szCs w:val="13"/>
              </w:rPr>
              <w:t>√</w:t>
            </w:r>
          </w:p>
        </w:tc>
        <w:tc>
          <w:tcPr>
            <w:tcW w:w="234" w:type="dxa"/>
            <w:vAlign w:val="top"/>
          </w:tcPr>
          <w:p w14:paraId="31CF63EF">
            <w:pPr>
              <w:rPr>
                <w:rFonts w:ascii="Arial"/>
                <w:sz w:val="21"/>
              </w:rPr>
            </w:pPr>
          </w:p>
        </w:tc>
      </w:tr>
      <w:tr w14:paraId="5248C7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883" w:type="dxa"/>
            <w:vMerge w:val="continue"/>
            <w:tcBorders>
              <w:top w:val="nil"/>
              <w:bottom w:val="nil"/>
            </w:tcBorders>
            <w:vAlign w:val="top"/>
          </w:tcPr>
          <w:p w14:paraId="7D5A564A">
            <w:pPr>
              <w:rPr>
                <w:rFonts w:ascii="Arial"/>
                <w:sz w:val="21"/>
              </w:rPr>
            </w:pPr>
          </w:p>
        </w:tc>
        <w:tc>
          <w:tcPr>
            <w:tcW w:w="2324" w:type="dxa"/>
            <w:vAlign w:val="top"/>
          </w:tcPr>
          <w:p w14:paraId="48E885C9">
            <w:pPr>
              <w:pStyle w:val="6"/>
              <w:spacing w:before="50" w:line="214" w:lineRule="auto"/>
              <w:ind w:left="2"/>
              <w:rPr>
                <w:sz w:val="18"/>
                <w:szCs w:val="18"/>
              </w:rPr>
            </w:pPr>
            <w:r>
              <w:rPr>
                <w:spacing w:val="-1"/>
                <w:sz w:val="18"/>
                <w:szCs w:val="18"/>
              </w:rPr>
              <w:t>5.统计资料收集的方法</w:t>
            </w:r>
          </w:p>
        </w:tc>
        <w:tc>
          <w:tcPr>
            <w:tcW w:w="230" w:type="dxa"/>
            <w:vAlign w:val="top"/>
          </w:tcPr>
          <w:p w14:paraId="2E09A059">
            <w:pPr>
              <w:rPr>
                <w:rFonts w:ascii="Arial"/>
                <w:sz w:val="21"/>
              </w:rPr>
            </w:pPr>
          </w:p>
        </w:tc>
        <w:tc>
          <w:tcPr>
            <w:tcW w:w="230" w:type="dxa"/>
            <w:vAlign w:val="top"/>
          </w:tcPr>
          <w:p w14:paraId="437046EB">
            <w:pPr>
              <w:rPr>
                <w:rFonts w:ascii="Arial"/>
                <w:sz w:val="21"/>
              </w:rPr>
            </w:pPr>
          </w:p>
        </w:tc>
        <w:tc>
          <w:tcPr>
            <w:tcW w:w="229" w:type="dxa"/>
            <w:vAlign w:val="top"/>
          </w:tcPr>
          <w:p w14:paraId="7FC209EB">
            <w:pPr>
              <w:pStyle w:val="6"/>
              <w:spacing w:before="102" w:line="182" w:lineRule="auto"/>
              <w:ind w:left="17"/>
              <w:rPr>
                <w:sz w:val="13"/>
                <w:szCs w:val="13"/>
              </w:rPr>
            </w:pPr>
            <w:r>
              <w:rPr>
                <w:sz w:val="13"/>
                <w:szCs w:val="13"/>
              </w:rPr>
              <w:t>V</w:t>
            </w:r>
          </w:p>
        </w:tc>
        <w:tc>
          <w:tcPr>
            <w:tcW w:w="234" w:type="dxa"/>
            <w:vAlign w:val="top"/>
          </w:tcPr>
          <w:p w14:paraId="70FACB30">
            <w:pPr>
              <w:rPr>
                <w:rFonts w:ascii="Arial"/>
                <w:sz w:val="21"/>
              </w:rPr>
            </w:pPr>
          </w:p>
        </w:tc>
      </w:tr>
      <w:tr w14:paraId="04894F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9" w:hRule="atLeast"/>
        </w:trPr>
        <w:tc>
          <w:tcPr>
            <w:tcW w:w="883" w:type="dxa"/>
            <w:vMerge w:val="continue"/>
            <w:tcBorders>
              <w:top w:val="nil"/>
              <w:bottom w:val="nil"/>
            </w:tcBorders>
            <w:vAlign w:val="top"/>
          </w:tcPr>
          <w:p w14:paraId="3A076C9F">
            <w:pPr>
              <w:rPr>
                <w:rFonts w:ascii="Arial"/>
                <w:sz w:val="21"/>
              </w:rPr>
            </w:pPr>
          </w:p>
        </w:tc>
        <w:tc>
          <w:tcPr>
            <w:tcW w:w="2324" w:type="dxa"/>
            <w:vAlign w:val="top"/>
          </w:tcPr>
          <w:p w14:paraId="61C1D271">
            <w:pPr>
              <w:pStyle w:val="6"/>
              <w:spacing w:before="42" w:line="198" w:lineRule="auto"/>
              <w:ind w:left="2" w:right="138"/>
              <w:rPr>
                <w:sz w:val="18"/>
                <w:szCs w:val="18"/>
              </w:rPr>
            </w:pPr>
            <w:r>
              <w:rPr>
                <w:spacing w:val="1"/>
                <w:sz w:val="18"/>
                <w:szCs w:val="18"/>
              </w:rPr>
              <w:t>6.企业事业单位统计资料的</w:t>
            </w:r>
            <w:r>
              <w:rPr>
                <w:sz w:val="18"/>
                <w:szCs w:val="18"/>
              </w:rPr>
              <w:t xml:space="preserve"> </w:t>
            </w:r>
            <w:r>
              <w:rPr>
                <w:spacing w:val="3"/>
                <w:sz w:val="18"/>
                <w:szCs w:val="18"/>
              </w:rPr>
              <w:t>收集</w:t>
            </w:r>
          </w:p>
        </w:tc>
        <w:tc>
          <w:tcPr>
            <w:tcW w:w="230" w:type="dxa"/>
            <w:vAlign w:val="top"/>
          </w:tcPr>
          <w:p w14:paraId="7A308211">
            <w:pPr>
              <w:rPr>
                <w:rFonts w:ascii="Arial"/>
                <w:sz w:val="21"/>
              </w:rPr>
            </w:pPr>
          </w:p>
        </w:tc>
        <w:tc>
          <w:tcPr>
            <w:tcW w:w="230" w:type="dxa"/>
            <w:vAlign w:val="top"/>
          </w:tcPr>
          <w:p w14:paraId="0FF71751">
            <w:pPr>
              <w:rPr>
                <w:rFonts w:ascii="Arial"/>
                <w:sz w:val="21"/>
              </w:rPr>
            </w:pPr>
          </w:p>
        </w:tc>
        <w:tc>
          <w:tcPr>
            <w:tcW w:w="229" w:type="dxa"/>
            <w:vAlign w:val="top"/>
          </w:tcPr>
          <w:p w14:paraId="4869C76D">
            <w:pPr>
              <w:pStyle w:val="6"/>
              <w:spacing w:before="172" w:line="238" w:lineRule="auto"/>
              <w:ind w:left="17"/>
              <w:rPr>
                <w:sz w:val="13"/>
                <w:szCs w:val="13"/>
              </w:rPr>
            </w:pPr>
            <w:r>
              <w:rPr>
                <w:sz w:val="13"/>
                <w:szCs w:val="13"/>
              </w:rPr>
              <w:t>√</w:t>
            </w:r>
          </w:p>
        </w:tc>
        <w:tc>
          <w:tcPr>
            <w:tcW w:w="234" w:type="dxa"/>
            <w:vAlign w:val="top"/>
          </w:tcPr>
          <w:p w14:paraId="22B2BDC2">
            <w:pPr>
              <w:rPr>
                <w:rFonts w:ascii="Arial"/>
                <w:sz w:val="21"/>
              </w:rPr>
            </w:pPr>
          </w:p>
        </w:tc>
      </w:tr>
      <w:tr w14:paraId="1A986E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trPr>
        <w:tc>
          <w:tcPr>
            <w:tcW w:w="883" w:type="dxa"/>
            <w:vMerge w:val="continue"/>
            <w:tcBorders>
              <w:top w:val="nil"/>
            </w:tcBorders>
            <w:vAlign w:val="top"/>
          </w:tcPr>
          <w:p w14:paraId="01B791CD">
            <w:pPr>
              <w:rPr>
                <w:rFonts w:ascii="Arial"/>
                <w:sz w:val="21"/>
              </w:rPr>
            </w:pPr>
          </w:p>
        </w:tc>
        <w:tc>
          <w:tcPr>
            <w:tcW w:w="2324" w:type="dxa"/>
            <w:vAlign w:val="top"/>
          </w:tcPr>
          <w:p w14:paraId="533AEB74">
            <w:pPr>
              <w:pStyle w:val="6"/>
              <w:spacing w:before="53" w:line="212" w:lineRule="auto"/>
              <w:ind w:left="2"/>
              <w:rPr>
                <w:sz w:val="18"/>
                <w:szCs w:val="18"/>
              </w:rPr>
            </w:pPr>
            <w:r>
              <w:rPr>
                <w:spacing w:val="1"/>
                <w:sz w:val="18"/>
                <w:szCs w:val="18"/>
              </w:rPr>
              <w:t>7.统计调查误差</w:t>
            </w:r>
          </w:p>
        </w:tc>
        <w:tc>
          <w:tcPr>
            <w:tcW w:w="230" w:type="dxa"/>
            <w:vAlign w:val="top"/>
          </w:tcPr>
          <w:p w14:paraId="3D6278B4">
            <w:pPr>
              <w:pStyle w:val="6"/>
              <w:spacing w:before="83" w:line="238" w:lineRule="auto"/>
              <w:ind w:left="47"/>
              <w:rPr>
                <w:sz w:val="13"/>
                <w:szCs w:val="13"/>
              </w:rPr>
            </w:pPr>
            <w:r>
              <w:rPr>
                <w:sz w:val="13"/>
                <w:szCs w:val="13"/>
              </w:rPr>
              <w:t>√</w:t>
            </w:r>
          </w:p>
        </w:tc>
        <w:tc>
          <w:tcPr>
            <w:tcW w:w="230" w:type="dxa"/>
            <w:vAlign w:val="top"/>
          </w:tcPr>
          <w:p w14:paraId="0707147D">
            <w:pPr>
              <w:rPr>
                <w:rFonts w:ascii="Arial"/>
                <w:sz w:val="21"/>
              </w:rPr>
            </w:pPr>
          </w:p>
        </w:tc>
        <w:tc>
          <w:tcPr>
            <w:tcW w:w="229" w:type="dxa"/>
            <w:vAlign w:val="top"/>
          </w:tcPr>
          <w:p w14:paraId="1C228D54">
            <w:pPr>
              <w:rPr>
                <w:rFonts w:ascii="Arial"/>
                <w:sz w:val="21"/>
              </w:rPr>
            </w:pPr>
          </w:p>
        </w:tc>
        <w:tc>
          <w:tcPr>
            <w:tcW w:w="234" w:type="dxa"/>
            <w:vAlign w:val="top"/>
          </w:tcPr>
          <w:p w14:paraId="5C9C76A1">
            <w:pPr>
              <w:rPr>
                <w:rFonts w:ascii="Arial"/>
                <w:sz w:val="21"/>
              </w:rPr>
            </w:pPr>
          </w:p>
        </w:tc>
      </w:tr>
      <w:tr w14:paraId="752935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9" w:hRule="atLeast"/>
        </w:trPr>
        <w:tc>
          <w:tcPr>
            <w:tcW w:w="883" w:type="dxa"/>
            <w:vMerge w:val="restart"/>
            <w:tcBorders>
              <w:bottom w:val="nil"/>
            </w:tcBorders>
            <w:vAlign w:val="top"/>
          </w:tcPr>
          <w:p w14:paraId="0AC242AF">
            <w:pPr>
              <w:pStyle w:val="6"/>
              <w:spacing w:before="193" w:line="221" w:lineRule="auto"/>
              <w:ind w:left="14"/>
              <w:rPr>
                <w:sz w:val="18"/>
                <w:szCs w:val="18"/>
              </w:rPr>
            </w:pPr>
            <w:r>
              <w:rPr>
                <w:spacing w:val="-3"/>
                <w:sz w:val="18"/>
                <w:szCs w:val="18"/>
              </w:rPr>
              <w:t>统计整理</w:t>
            </w:r>
          </w:p>
        </w:tc>
        <w:tc>
          <w:tcPr>
            <w:tcW w:w="2324" w:type="dxa"/>
            <w:vAlign w:val="top"/>
          </w:tcPr>
          <w:p w14:paraId="176F4F4B">
            <w:pPr>
              <w:pStyle w:val="6"/>
              <w:spacing w:before="52" w:line="219" w:lineRule="auto"/>
              <w:ind w:left="2"/>
              <w:rPr>
                <w:sz w:val="18"/>
                <w:szCs w:val="18"/>
              </w:rPr>
            </w:pPr>
            <w:r>
              <w:rPr>
                <w:sz w:val="18"/>
                <w:szCs w:val="18"/>
              </w:rPr>
              <w:t>1.统计整理的概念和意义</w:t>
            </w:r>
          </w:p>
        </w:tc>
        <w:tc>
          <w:tcPr>
            <w:tcW w:w="230" w:type="dxa"/>
            <w:vAlign w:val="top"/>
          </w:tcPr>
          <w:p w14:paraId="50A453C7">
            <w:pPr>
              <w:pStyle w:val="6"/>
              <w:spacing w:before="93" w:line="238" w:lineRule="auto"/>
              <w:ind w:left="47"/>
              <w:rPr>
                <w:sz w:val="13"/>
                <w:szCs w:val="13"/>
              </w:rPr>
            </w:pPr>
            <w:r>
              <w:rPr>
                <w:sz w:val="13"/>
                <w:szCs w:val="13"/>
              </w:rPr>
              <w:t>√</w:t>
            </w:r>
          </w:p>
        </w:tc>
        <w:tc>
          <w:tcPr>
            <w:tcW w:w="230" w:type="dxa"/>
            <w:vAlign w:val="top"/>
          </w:tcPr>
          <w:p w14:paraId="5782398E">
            <w:pPr>
              <w:rPr>
                <w:rFonts w:ascii="Arial"/>
                <w:sz w:val="21"/>
              </w:rPr>
            </w:pPr>
          </w:p>
        </w:tc>
        <w:tc>
          <w:tcPr>
            <w:tcW w:w="229" w:type="dxa"/>
            <w:vAlign w:val="top"/>
          </w:tcPr>
          <w:p w14:paraId="3644702E">
            <w:pPr>
              <w:rPr>
                <w:rFonts w:ascii="Arial"/>
                <w:sz w:val="21"/>
              </w:rPr>
            </w:pPr>
          </w:p>
        </w:tc>
        <w:tc>
          <w:tcPr>
            <w:tcW w:w="234" w:type="dxa"/>
            <w:vAlign w:val="top"/>
          </w:tcPr>
          <w:p w14:paraId="4AC76F17">
            <w:pPr>
              <w:rPr>
                <w:rFonts w:ascii="Arial"/>
                <w:sz w:val="21"/>
              </w:rPr>
            </w:pPr>
          </w:p>
        </w:tc>
      </w:tr>
      <w:tr w14:paraId="381F59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883" w:type="dxa"/>
            <w:vMerge w:val="continue"/>
            <w:tcBorders>
              <w:top w:val="nil"/>
            </w:tcBorders>
            <w:vAlign w:val="top"/>
          </w:tcPr>
          <w:p w14:paraId="540385E3">
            <w:pPr>
              <w:rPr>
                <w:rFonts w:ascii="Arial"/>
                <w:sz w:val="21"/>
              </w:rPr>
            </w:pPr>
          </w:p>
        </w:tc>
        <w:tc>
          <w:tcPr>
            <w:tcW w:w="2324" w:type="dxa"/>
            <w:vAlign w:val="top"/>
          </w:tcPr>
          <w:p w14:paraId="39B714B6">
            <w:pPr>
              <w:pStyle w:val="6"/>
              <w:spacing w:before="53" w:line="211" w:lineRule="auto"/>
              <w:ind w:left="2"/>
              <w:rPr>
                <w:sz w:val="18"/>
                <w:szCs w:val="18"/>
              </w:rPr>
            </w:pPr>
            <w:r>
              <w:rPr>
                <w:spacing w:val="-1"/>
                <w:sz w:val="18"/>
                <w:szCs w:val="18"/>
              </w:rPr>
              <w:t>2.统计整理的内容</w:t>
            </w:r>
          </w:p>
        </w:tc>
        <w:tc>
          <w:tcPr>
            <w:tcW w:w="230" w:type="dxa"/>
            <w:vAlign w:val="top"/>
          </w:tcPr>
          <w:p w14:paraId="1FE21730">
            <w:pPr>
              <w:rPr>
                <w:rFonts w:ascii="Arial"/>
                <w:sz w:val="21"/>
              </w:rPr>
            </w:pPr>
          </w:p>
        </w:tc>
        <w:tc>
          <w:tcPr>
            <w:tcW w:w="230" w:type="dxa"/>
            <w:vAlign w:val="top"/>
          </w:tcPr>
          <w:p w14:paraId="4BC2C360">
            <w:pPr>
              <w:pStyle w:val="6"/>
              <w:spacing w:before="92" w:line="238" w:lineRule="auto"/>
              <w:ind w:left="47"/>
              <w:rPr>
                <w:sz w:val="12"/>
                <w:szCs w:val="12"/>
              </w:rPr>
            </w:pPr>
            <w:r>
              <w:rPr>
                <w:sz w:val="12"/>
                <w:szCs w:val="12"/>
              </w:rPr>
              <w:t>√</w:t>
            </w:r>
          </w:p>
        </w:tc>
        <w:tc>
          <w:tcPr>
            <w:tcW w:w="229" w:type="dxa"/>
            <w:vAlign w:val="top"/>
          </w:tcPr>
          <w:p w14:paraId="22C7328A">
            <w:pPr>
              <w:rPr>
                <w:rFonts w:ascii="Arial"/>
                <w:sz w:val="21"/>
              </w:rPr>
            </w:pPr>
          </w:p>
        </w:tc>
        <w:tc>
          <w:tcPr>
            <w:tcW w:w="234" w:type="dxa"/>
            <w:vAlign w:val="top"/>
          </w:tcPr>
          <w:p w14:paraId="299D6F53">
            <w:pPr>
              <w:rPr>
                <w:rFonts w:ascii="Arial"/>
                <w:sz w:val="21"/>
              </w:rPr>
            </w:pPr>
          </w:p>
        </w:tc>
      </w:tr>
      <w:tr w14:paraId="019386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883" w:type="dxa"/>
            <w:vMerge w:val="restart"/>
            <w:tcBorders>
              <w:bottom w:val="nil"/>
            </w:tcBorders>
            <w:vAlign w:val="top"/>
          </w:tcPr>
          <w:p w14:paraId="215EA89C">
            <w:pPr>
              <w:spacing w:line="414" w:lineRule="auto"/>
              <w:rPr>
                <w:rFonts w:ascii="Arial"/>
                <w:sz w:val="21"/>
              </w:rPr>
            </w:pPr>
          </w:p>
          <w:p w14:paraId="613BF49A">
            <w:pPr>
              <w:pStyle w:val="6"/>
              <w:spacing w:before="58" w:line="221" w:lineRule="auto"/>
              <w:ind w:left="14"/>
              <w:rPr>
                <w:sz w:val="18"/>
                <w:szCs w:val="18"/>
              </w:rPr>
            </w:pPr>
            <w:r>
              <w:rPr>
                <w:spacing w:val="-3"/>
                <w:sz w:val="18"/>
                <w:szCs w:val="18"/>
              </w:rPr>
              <w:t>统计整理</w:t>
            </w:r>
          </w:p>
        </w:tc>
        <w:tc>
          <w:tcPr>
            <w:tcW w:w="2324" w:type="dxa"/>
            <w:vAlign w:val="top"/>
          </w:tcPr>
          <w:p w14:paraId="4B9E6A53">
            <w:pPr>
              <w:pStyle w:val="6"/>
              <w:spacing w:before="54" w:line="210" w:lineRule="auto"/>
              <w:ind w:left="2"/>
              <w:rPr>
                <w:sz w:val="18"/>
                <w:szCs w:val="18"/>
              </w:rPr>
            </w:pPr>
            <w:r>
              <w:rPr>
                <w:spacing w:val="-1"/>
                <w:sz w:val="18"/>
                <w:szCs w:val="18"/>
              </w:rPr>
              <w:t>3.统计整理的方法与步骤</w:t>
            </w:r>
          </w:p>
        </w:tc>
        <w:tc>
          <w:tcPr>
            <w:tcW w:w="230" w:type="dxa"/>
            <w:vAlign w:val="top"/>
          </w:tcPr>
          <w:p w14:paraId="33C2928D">
            <w:pPr>
              <w:rPr>
                <w:rFonts w:ascii="Arial"/>
                <w:sz w:val="21"/>
              </w:rPr>
            </w:pPr>
          </w:p>
        </w:tc>
        <w:tc>
          <w:tcPr>
            <w:tcW w:w="230" w:type="dxa"/>
            <w:vAlign w:val="top"/>
          </w:tcPr>
          <w:p w14:paraId="2ED8B44C">
            <w:pPr>
              <w:rPr>
                <w:rFonts w:ascii="Arial"/>
                <w:sz w:val="21"/>
              </w:rPr>
            </w:pPr>
          </w:p>
        </w:tc>
        <w:tc>
          <w:tcPr>
            <w:tcW w:w="229" w:type="dxa"/>
            <w:vAlign w:val="top"/>
          </w:tcPr>
          <w:p w14:paraId="588F20D5">
            <w:pPr>
              <w:pStyle w:val="6"/>
              <w:spacing w:before="85" w:line="238" w:lineRule="auto"/>
              <w:ind w:left="17"/>
              <w:rPr>
                <w:sz w:val="13"/>
                <w:szCs w:val="13"/>
              </w:rPr>
            </w:pPr>
            <w:r>
              <w:rPr>
                <w:sz w:val="13"/>
                <w:szCs w:val="13"/>
              </w:rPr>
              <w:t>√</w:t>
            </w:r>
          </w:p>
        </w:tc>
        <w:tc>
          <w:tcPr>
            <w:tcW w:w="234" w:type="dxa"/>
            <w:vAlign w:val="top"/>
          </w:tcPr>
          <w:p w14:paraId="11E37E21">
            <w:pPr>
              <w:rPr>
                <w:rFonts w:ascii="Arial"/>
                <w:sz w:val="21"/>
              </w:rPr>
            </w:pPr>
          </w:p>
        </w:tc>
      </w:tr>
      <w:tr w14:paraId="1267A3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9" w:hRule="atLeast"/>
        </w:trPr>
        <w:tc>
          <w:tcPr>
            <w:tcW w:w="883" w:type="dxa"/>
            <w:vMerge w:val="continue"/>
            <w:tcBorders>
              <w:top w:val="nil"/>
              <w:bottom w:val="nil"/>
            </w:tcBorders>
            <w:vAlign w:val="top"/>
          </w:tcPr>
          <w:p w14:paraId="57A27731">
            <w:pPr>
              <w:rPr>
                <w:rFonts w:ascii="Arial"/>
                <w:sz w:val="21"/>
              </w:rPr>
            </w:pPr>
          </w:p>
        </w:tc>
        <w:tc>
          <w:tcPr>
            <w:tcW w:w="2324" w:type="dxa"/>
            <w:vAlign w:val="top"/>
          </w:tcPr>
          <w:p w14:paraId="3F3D5DBE">
            <w:pPr>
              <w:pStyle w:val="6"/>
              <w:spacing w:before="55" w:line="219" w:lineRule="auto"/>
              <w:ind w:left="2"/>
              <w:rPr>
                <w:sz w:val="18"/>
                <w:szCs w:val="18"/>
              </w:rPr>
            </w:pPr>
            <w:r>
              <w:rPr>
                <w:spacing w:val="-1"/>
                <w:sz w:val="18"/>
                <w:szCs w:val="18"/>
              </w:rPr>
              <w:t>4.品质数据的整理</w:t>
            </w:r>
          </w:p>
        </w:tc>
        <w:tc>
          <w:tcPr>
            <w:tcW w:w="230" w:type="dxa"/>
            <w:vAlign w:val="top"/>
          </w:tcPr>
          <w:p w14:paraId="4F228BED">
            <w:pPr>
              <w:rPr>
                <w:rFonts w:ascii="Arial"/>
                <w:sz w:val="21"/>
              </w:rPr>
            </w:pPr>
          </w:p>
        </w:tc>
        <w:tc>
          <w:tcPr>
            <w:tcW w:w="230" w:type="dxa"/>
            <w:vAlign w:val="top"/>
          </w:tcPr>
          <w:p w14:paraId="0121192A">
            <w:pPr>
              <w:rPr>
                <w:rFonts w:ascii="Arial"/>
                <w:sz w:val="21"/>
              </w:rPr>
            </w:pPr>
          </w:p>
        </w:tc>
        <w:tc>
          <w:tcPr>
            <w:tcW w:w="229" w:type="dxa"/>
            <w:vAlign w:val="top"/>
          </w:tcPr>
          <w:p w14:paraId="568C3C76">
            <w:pPr>
              <w:pStyle w:val="6"/>
              <w:spacing w:before="96" w:line="238" w:lineRule="auto"/>
              <w:ind w:left="17"/>
              <w:rPr>
                <w:sz w:val="13"/>
                <w:szCs w:val="13"/>
              </w:rPr>
            </w:pPr>
            <w:r>
              <w:rPr>
                <w:sz w:val="13"/>
                <w:szCs w:val="13"/>
              </w:rPr>
              <w:t>√</w:t>
            </w:r>
          </w:p>
        </w:tc>
        <w:tc>
          <w:tcPr>
            <w:tcW w:w="234" w:type="dxa"/>
            <w:vAlign w:val="top"/>
          </w:tcPr>
          <w:p w14:paraId="1E552164">
            <w:pPr>
              <w:rPr>
                <w:rFonts w:ascii="Arial"/>
                <w:sz w:val="21"/>
              </w:rPr>
            </w:pPr>
          </w:p>
        </w:tc>
      </w:tr>
      <w:tr w14:paraId="4680D2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trPr>
        <w:tc>
          <w:tcPr>
            <w:tcW w:w="883" w:type="dxa"/>
            <w:vMerge w:val="continue"/>
            <w:tcBorders>
              <w:top w:val="nil"/>
              <w:bottom w:val="nil"/>
            </w:tcBorders>
            <w:vAlign w:val="top"/>
          </w:tcPr>
          <w:p w14:paraId="7B3D06BB">
            <w:pPr>
              <w:rPr>
                <w:rFonts w:ascii="Arial"/>
                <w:sz w:val="21"/>
              </w:rPr>
            </w:pPr>
          </w:p>
        </w:tc>
        <w:tc>
          <w:tcPr>
            <w:tcW w:w="2324" w:type="dxa"/>
            <w:vAlign w:val="top"/>
          </w:tcPr>
          <w:p w14:paraId="1167DBF7">
            <w:pPr>
              <w:pStyle w:val="6"/>
              <w:spacing w:before="56" w:line="209" w:lineRule="auto"/>
              <w:ind w:left="2"/>
              <w:rPr>
                <w:sz w:val="18"/>
                <w:szCs w:val="18"/>
              </w:rPr>
            </w:pPr>
            <w:r>
              <w:rPr>
                <w:spacing w:val="-2"/>
                <w:sz w:val="18"/>
                <w:szCs w:val="18"/>
              </w:rPr>
              <w:t>5.变量数据的整理</w:t>
            </w:r>
          </w:p>
        </w:tc>
        <w:tc>
          <w:tcPr>
            <w:tcW w:w="230" w:type="dxa"/>
            <w:vAlign w:val="top"/>
          </w:tcPr>
          <w:p w14:paraId="60C560E9">
            <w:pPr>
              <w:rPr>
                <w:rFonts w:ascii="Arial"/>
                <w:sz w:val="21"/>
              </w:rPr>
            </w:pPr>
          </w:p>
        </w:tc>
        <w:tc>
          <w:tcPr>
            <w:tcW w:w="230" w:type="dxa"/>
            <w:vAlign w:val="top"/>
          </w:tcPr>
          <w:p w14:paraId="5D38AF46">
            <w:pPr>
              <w:rPr>
                <w:rFonts w:ascii="Arial"/>
                <w:sz w:val="21"/>
              </w:rPr>
            </w:pPr>
          </w:p>
        </w:tc>
        <w:tc>
          <w:tcPr>
            <w:tcW w:w="229" w:type="dxa"/>
            <w:vAlign w:val="top"/>
          </w:tcPr>
          <w:p w14:paraId="35061F9B">
            <w:pPr>
              <w:pStyle w:val="6"/>
              <w:spacing w:before="87" w:line="238" w:lineRule="auto"/>
              <w:ind w:left="17"/>
              <w:rPr>
                <w:sz w:val="13"/>
                <w:szCs w:val="13"/>
              </w:rPr>
            </w:pPr>
            <w:r>
              <w:rPr>
                <w:sz w:val="13"/>
                <w:szCs w:val="13"/>
              </w:rPr>
              <w:t>√</w:t>
            </w:r>
          </w:p>
        </w:tc>
        <w:tc>
          <w:tcPr>
            <w:tcW w:w="234" w:type="dxa"/>
            <w:vAlign w:val="top"/>
          </w:tcPr>
          <w:p w14:paraId="55D5F9FA">
            <w:pPr>
              <w:rPr>
                <w:rFonts w:ascii="Arial"/>
                <w:sz w:val="21"/>
              </w:rPr>
            </w:pPr>
          </w:p>
        </w:tc>
      </w:tr>
      <w:tr w14:paraId="62692F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4" w:hRule="atLeast"/>
        </w:trPr>
        <w:tc>
          <w:tcPr>
            <w:tcW w:w="883" w:type="dxa"/>
            <w:vMerge w:val="continue"/>
            <w:tcBorders>
              <w:top w:val="nil"/>
            </w:tcBorders>
            <w:vAlign w:val="top"/>
          </w:tcPr>
          <w:p w14:paraId="57B7BEA1">
            <w:pPr>
              <w:rPr>
                <w:rFonts w:ascii="Arial"/>
                <w:sz w:val="21"/>
              </w:rPr>
            </w:pPr>
          </w:p>
        </w:tc>
        <w:tc>
          <w:tcPr>
            <w:tcW w:w="2324" w:type="dxa"/>
            <w:vAlign w:val="top"/>
          </w:tcPr>
          <w:p w14:paraId="3FA7E095">
            <w:pPr>
              <w:pStyle w:val="6"/>
              <w:spacing w:before="57" w:line="212" w:lineRule="auto"/>
              <w:ind w:left="2"/>
              <w:rPr>
                <w:sz w:val="18"/>
                <w:szCs w:val="18"/>
              </w:rPr>
            </w:pPr>
            <w:r>
              <w:rPr>
                <w:spacing w:val="-1"/>
                <w:sz w:val="18"/>
                <w:szCs w:val="18"/>
              </w:rPr>
              <w:t>6.统计表</w:t>
            </w:r>
          </w:p>
        </w:tc>
        <w:tc>
          <w:tcPr>
            <w:tcW w:w="230" w:type="dxa"/>
            <w:vAlign w:val="top"/>
          </w:tcPr>
          <w:p w14:paraId="290FEFB0">
            <w:pPr>
              <w:rPr>
                <w:rFonts w:ascii="Arial"/>
                <w:sz w:val="21"/>
              </w:rPr>
            </w:pPr>
          </w:p>
        </w:tc>
        <w:tc>
          <w:tcPr>
            <w:tcW w:w="230" w:type="dxa"/>
            <w:vAlign w:val="top"/>
          </w:tcPr>
          <w:p w14:paraId="123B4889">
            <w:pPr>
              <w:rPr>
                <w:rFonts w:ascii="Arial"/>
                <w:sz w:val="21"/>
              </w:rPr>
            </w:pPr>
          </w:p>
        </w:tc>
        <w:tc>
          <w:tcPr>
            <w:tcW w:w="229" w:type="dxa"/>
            <w:vAlign w:val="top"/>
          </w:tcPr>
          <w:p w14:paraId="2B02E4E2">
            <w:pPr>
              <w:pStyle w:val="6"/>
              <w:spacing w:before="87" w:line="238" w:lineRule="auto"/>
              <w:ind w:left="17"/>
              <w:rPr>
                <w:sz w:val="13"/>
                <w:szCs w:val="13"/>
              </w:rPr>
            </w:pPr>
            <w:r>
              <w:rPr>
                <w:sz w:val="13"/>
                <w:szCs w:val="13"/>
              </w:rPr>
              <w:t>√</w:t>
            </w:r>
          </w:p>
        </w:tc>
        <w:tc>
          <w:tcPr>
            <w:tcW w:w="234" w:type="dxa"/>
            <w:vAlign w:val="top"/>
          </w:tcPr>
          <w:p w14:paraId="1657CA1B">
            <w:pPr>
              <w:rPr>
                <w:rFonts w:ascii="Arial"/>
                <w:sz w:val="21"/>
              </w:rPr>
            </w:pPr>
          </w:p>
        </w:tc>
      </w:tr>
    </w:tbl>
    <w:p w14:paraId="1DD7474F">
      <w:pPr>
        <w:spacing w:before="131" w:line="220" w:lineRule="auto"/>
        <w:ind w:left="1333"/>
        <w:rPr>
          <w:rFonts w:ascii="宋体" w:hAnsi="宋体" w:eastAsia="宋体" w:cs="宋体"/>
          <w:sz w:val="21"/>
          <w:szCs w:val="21"/>
        </w:rPr>
      </w:pPr>
      <w:r>
        <w:rPr>
          <w:rFonts w:ascii="宋体" w:hAnsi="宋体" w:eastAsia="宋体" w:cs="宋体"/>
          <w:b/>
          <w:bCs/>
          <w:spacing w:val="-2"/>
          <w:sz w:val="21"/>
          <w:szCs w:val="21"/>
        </w:rPr>
        <w:t>(三)统计综合指标</w:t>
      </w:r>
    </w:p>
    <w:p w14:paraId="55C3669D">
      <w:pPr>
        <w:spacing w:line="58" w:lineRule="exact"/>
      </w:pPr>
    </w:p>
    <w:tbl>
      <w:tblPr>
        <w:tblStyle w:val="5"/>
        <w:tblW w:w="4130"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83"/>
        <w:gridCol w:w="2334"/>
        <w:gridCol w:w="230"/>
        <w:gridCol w:w="220"/>
        <w:gridCol w:w="229"/>
        <w:gridCol w:w="234"/>
      </w:tblGrid>
      <w:tr w14:paraId="1DE6EE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4" w:hRule="atLeast"/>
        </w:trPr>
        <w:tc>
          <w:tcPr>
            <w:tcW w:w="883" w:type="dxa"/>
            <w:vMerge w:val="restart"/>
            <w:tcBorders>
              <w:bottom w:val="nil"/>
            </w:tcBorders>
            <w:vAlign w:val="top"/>
          </w:tcPr>
          <w:p w14:paraId="67835616">
            <w:pPr>
              <w:pStyle w:val="6"/>
              <w:spacing w:before="141" w:line="218" w:lineRule="auto"/>
              <w:ind w:left="77" w:right="83" w:firstLine="90"/>
              <w:rPr>
                <w:sz w:val="18"/>
                <w:szCs w:val="18"/>
              </w:rPr>
            </w:pPr>
            <w:r>
              <w:rPr>
                <w:b/>
                <w:bCs/>
                <w:spacing w:val="1"/>
                <w:sz w:val="18"/>
                <w:szCs w:val="18"/>
              </w:rPr>
              <w:t>知识与</w:t>
            </w:r>
            <w:r>
              <w:rPr>
                <w:sz w:val="18"/>
                <w:szCs w:val="18"/>
              </w:rPr>
              <w:t xml:space="preserve">  </w:t>
            </w:r>
            <w:r>
              <w:rPr>
                <w:b/>
                <w:bCs/>
                <w:spacing w:val="-4"/>
                <w:sz w:val="18"/>
                <w:szCs w:val="18"/>
              </w:rPr>
              <w:t>技能要点</w:t>
            </w:r>
          </w:p>
        </w:tc>
        <w:tc>
          <w:tcPr>
            <w:tcW w:w="2334" w:type="dxa"/>
            <w:vMerge w:val="restart"/>
            <w:tcBorders>
              <w:bottom w:val="nil"/>
            </w:tcBorders>
            <w:vAlign w:val="top"/>
          </w:tcPr>
          <w:p w14:paraId="27F68D41">
            <w:pPr>
              <w:pStyle w:val="6"/>
              <w:spacing w:before="239" w:line="219" w:lineRule="auto"/>
              <w:ind w:left="854"/>
              <w:rPr>
                <w:sz w:val="18"/>
                <w:szCs w:val="18"/>
              </w:rPr>
            </w:pPr>
            <w:r>
              <w:rPr>
                <w:b/>
                <w:bCs/>
                <w:spacing w:val="5"/>
                <w:sz w:val="18"/>
                <w:szCs w:val="18"/>
              </w:rPr>
              <w:t>考试条目</w:t>
            </w:r>
          </w:p>
        </w:tc>
        <w:tc>
          <w:tcPr>
            <w:tcW w:w="913" w:type="dxa"/>
            <w:gridSpan w:val="4"/>
            <w:vAlign w:val="top"/>
          </w:tcPr>
          <w:p w14:paraId="524AF3AE">
            <w:pPr>
              <w:pStyle w:val="6"/>
              <w:spacing w:before="79" w:line="219" w:lineRule="auto"/>
              <w:ind w:left="130"/>
              <w:rPr>
                <w:sz w:val="18"/>
                <w:szCs w:val="18"/>
              </w:rPr>
            </w:pPr>
            <w:r>
              <w:rPr>
                <w:b/>
                <w:bCs/>
                <w:spacing w:val="-4"/>
                <w:sz w:val="18"/>
                <w:szCs w:val="18"/>
              </w:rPr>
              <w:t>考试水平</w:t>
            </w:r>
          </w:p>
        </w:tc>
      </w:tr>
      <w:tr w14:paraId="29A859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883" w:type="dxa"/>
            <w:vMerge w:val="continue"/>
            <w:tcBorders>
              <w:top w:val="nil"/>
            </w:tcBorders>
            <w:vAlign w:val="top"/>
          </w:tcPr>
          <w:p w14:paraId="7A6D83F7">
            <w:pPr>
              <w:rPr>
                <w:rFonts w:ascii="Arial"/>
                <w:sz w:val="21"/>
              </w:rPr>
            </w:pPr>
          </w:p>
        </w:tc>
        <w:tc>
          <w:tcPr>
            <w:tcW w:w="2334" w:type="dxa"/>
            <w:vMerge w:val="continue"/>
            <w:tcBorders>
              <w:top w:val="nil"/>
            </w:tcBorders>
            <w:vAlign w:val="top"/>
          </w:tcPr>
          <w:p w14:paraId="59EADAFE">
            <w:pPr>
              <w:rPr>
                <w:rFonts w:ascii="Arial"/>
                <w:sz w:val="21"/>
              </w:rPr>
            </w:pPr>
          </w:p>
        </w:tc>
        <w:tc>
          <w:tcPr>
            <w:tcW w:w="230" w:type="dxa"/>
            <w:vAlign w:val="top"/>
          </w:tcPr>
          <w:p w14:paraId="381EE900">
            <w:pPr>
              <w:pStyle w:val="6"/>
              <w:spacing w:before="113" w:line="184" w:lineRule="auto"/>
              <w:ind w:left="70"/>
              <w:rPr>
                <w:sz w:val="18"/>
                <w:szCs w:val="18"/>
              </w:rPr>
            </w:pPr>
            <w:r>
              <w:rPr>
                <w:b/>
                <w:bCs/>
                <w:spacing w:val="-2"/>
                <w:sz w:val="18"/>
                <w:szCs w:val="18"/>
              </w:rPr>
              <w:t>A</w:t>
            </w:r>
          </w:p>
        </w:tc>
        <w:tc>
          <w:tcPr>
            <w:tcW w:w="220" w:type="dxa"/>
            <w:vAlign w:val="top"/>
          </w:tcPr>
          <w:p w14:paraId="302D195F">
            <w:pPr>
              <w:pStyle w:val="6"/>
              <w:spacing w:before="115" w:line="182" w:lineRule="auto"/>
              <w:ind w:left="20"/>
              <w:rPr>
                <w:sz w:val="18"/>
                <w:szCs w:val="18"/>
              </w:rPr>
            </w:pPr>
            <w:r>
              <w:rPr>
                <w:b/>
                <w:bCs/>
                <w:spacing w:val="-2"/>
                <w:sz w:val="18"/>
                <w:szCs w:val="18"/>
              </w:rPr>
              <w:t>B</w:t>
            </w:r>
          </w:p>
        </w:tc>
        <w:tc>
          <w:tcPr>
            <w:tcW w:w="229" w:type="dxa"/>
            <w:vAlign w:val="top"/>
          </w:tcPr>
          <w:p w14:paraId="6EF5F53C">
            <w:pPr>
              <w:pStyle w:val="6"/>
              <w:spacing w:before="116" w:line="183" w:lineRule="auto"/>
              <w:ind w:left="60"/>
              <w:rPr>
                <w:sz w:val="19"/>
                <w:szCs w:val="19"/>
              </w:rPr>
            </w:pPr>
            <w:r>
              <w:rPr>
                <w:b/>
                <w:bCs/>
                <w:spacing w:val="-2"/>
                <w:sz w:val="19"/>
                <w:szCs w:val="19"/>
              </w:rPr>
              <w:t>C</w:t>
            </w:r>
          </w:p>
        </w:tc>
        <w:tc>
          <w:tcPr>
            <w:tcW w:w="234" w:type="dxa"/>
            <w:vAlign w:val="top"/>
          </w:tcPr>
          <w:p w14:paraId="519758EE">
            <w:pPr>
              <w:pStyle w:val="6"/>
              <w:spacing w:before="115" w:line="182" w:lineRule="auto"/>
              <w:ind w:left="21"/>
              <w:rPr>
                <w:sz w:val="18"/>
                <w:szCs w:val="18"/>
              </w:rPr>
            </w:pPr>
            <w:r>
              <w:rPr>
                <w:b/>
                <w:bCs/>
                <w:spacing w:val="-2"/>
                <w:sz w:val="18"/>
                <w:szCs w:val="18"/>
              </w:rPr>
              <w:t>D</w:t>
            </w:r>
          </w:p>
        </w:tc>
      </w:tr>
      <w:tr w14:paraId="73351B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9" w:hRule="atLeast"/>
        </w:trPr>
        <w:tc>
          <w:tcPr>
            <w:tcW w:w="883" w:type="dxa"/>
            <w:vMerge w:val="restart"/>
            <w:tcBorders>
              <w:bottom w:val="nil"/>
            </w:tcBorders>
            <w:vAlign w:val="top"/>
          </w:tcPr>
          <w:p w14:paraId="04DAE1D9">
            <w:pPr>
              <w:spacing w:line="249" w:lineRule="auto"/>
              <w:rPr>
                <w:rFonts w:ascii="Arial"/>
                <w:sz w:val="21"/>
              </w:rPr>
            </w:pPr>
          </w:p>
          <w:p w14:paraId="3219B18B">
            <w:pPr>
              <w:spacing w:line="249" w:lineRule="auto"/>
              <w:rPr>
                <w:rFonts w:ascii="Arial"/>
                <w:sz w:val="21"/>
              </w:rPr>
            </w:pPr>
          </w:p>
          <w:p w14:paraId="0AC62914">
            <w:pPr>
              <w:pStyle w:val="6"/>
              <w:spacing w:before="58" w:line="220" w:lineRule="auto"/>
              <w:ind w:left="74"/>
              <w:rPr>
                <w:sz w:val="18"/>
                <w:szCs w:val="18"/>
              </w:rPr>
            </w:pPr>
            <w:r>
              <w:rPr>
                <w:spacing w:val="-3"/>
                <w:sz w:val="18"/>
                <w:szCs w:val="18"/>
              </w:rPr>
              <w:t>总量指标</w:t>
            </w:r>
          </w:p>
        </w:tc>
        <w:tc>
          <w:tcPr>
            <w:tcW w:w="2334" w:type="dxa"/>
            <w:vAlign w:val="top"/>
          </w:tcPr>
          <w:p w14:paraId="24A6E39D">
            <w:pPr>
              <w:pStyle w:val="6"/>
              <w:spacing w:before="49" w:line="219" w:lineRule="auto"/>
              <w:ind w:left="12"/>
              <w:rPr>
                <w:sz w:val="18"/>
                <w:szCs w:val="18"/>
              </w:rPr>
            </w:pPr>
            <w:r>
              <w:rPr>
                <w:sz w:val="18"/>
                <w:szCs w:val="18"/>
              </w:rPr>
              <w:t>1.总量指标的概念</w:t>
            </w:r>
          </w:p>
        </w:tc>
        <w:tc>
          <w:tcPr>
            <w:tcW w:w="230" w:type="dxa"/>
            <w:vAlign w:val="top"/>
          </w:tcPr>
          <w:p w14:paraId="7FAF62F2">
            <w:pPr>
              <w:pStyle w:val="6"/>
              <w:spacing w:before="90" w:line="238" w:lineRule="auto"/>
              <w:ind w:left="47"/>
              <w:rPr>
                <w:sz w:val="13"/>
                <w:szCs w:val="13"/>
              </w:rPr>
            </w:pPr>
            <w:r>
              <w:rPr>
                <w:sz w:val="13"/>
                <w:szCs w:val="13"/>
              </w:rPr>
              <w:t>√</w:t>
            </w:r>
          </w:p>
        </w:tc>
        <w:tc>
          <w:tcPr>
            <w:tcW w:w="220" w:type="dxa"/>
            <w:vAlign w:val="top"/>
          </w:tcPr>
          <w:p w14:paraId="3E470858">
            <w:pPr>
              <w:rPr>
                <w:rFonts w:ascii="Arial"/>
                <w:sz w:val="21"/>
              </w:rPr>
            </w:pPr>
          </w:p>
        </w:tc>
        <w:tc>
          <w:tcPr>
            <w:tcW w:w="229" w:type="dxa"/>
            <w:vAlign w:val="top"/>
          </w:tcPr>
          <w:p w14:paraId="0BC76B87">
            <w:pPr>
              <w:rPr>
                <w:rFonts w:ascii="Arial"/>
                <w:sz w:val="21"/>
              </w:rPr>
            </w:pPr>
          </w:p>
        </w:tc>
        <w:tc>
          <w:tcPr>
            <w:tcW w:w="234" w:type="dxa"/>
            <w:vAlign w:val="top"/>
          </w:tcPr>
          <w:p w14:paraId="29EA1B87">
            <w:pPr>
              <w:rPr>
                <w:rFonts w:ascii="Arial"/>
                <w:sz w:val="21"/>
              </w:rPr>
            </w:pPr>
          </w:p>
        </w:tc>
      </w:tr>
      <w:tr w14:paraId="7ABDF3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trPr>
        <w:tc>
          <w:tcPr>
            <w:tcW w:w="883" w:type="dxa"/>
            <w:vMerge w:val="continue"/>
            <w:tcBorders>
              <w:top w:val="nil"/>
              <w:bottom w:val="nil"/>
            </w:tcBorders>
            <w:vAlign w:val="top"/>
          </w:tcPr>
          <w:p w14:paraId="14395167">
            <w:pPr>
              <w:rPr>
                <w:rFonts w:ascii="Arial"/>
                <w:sz w:val="21"/>
              </w:rPr>
            </w:pPr>
          </w:p>
        </w:tc>
        <w:tc>
          <w:tcPr>
            <w:tcW w:w="2334" w:type="dxa"/>
            <w:vAlign w:val="top"/>
          </w:tcPr>
          <w:p w14:paraId="24D7C927">
            <w:pPr>
              <w:pStyle w:val="6"/>
              <w:spacing w:before="50" w:line="215" w:lineRule="auto"/>
              <w:ind w:left="12"/>
              <w:rPr>
                <w:sz w:val="18"/>
                <w:szCs w:val="18"/>
              </w:rPr>
            </w:pPr>
            <w:r>
              <w:rPr>
                <w:spacing w:val="-1"/>
                <w:sz w:val="18"/>
                <w:szCs w:val="18"/>
              </w:rPr>
              <w:t>2.总量指标的种类</w:t>
            </w:r>
          </w:p>
        </w:tc>
        <w:tc>
          <w:tcPr>
            <w:tcW w:w="230" w:type="dxa"/>
            <w:vAlign w:val="top"/>
          </w:tcPr>
          <w:p w14:paraId="58AD4332">
            <w:pPr>
              <w:pStyle w:val="6"/>
              <w:spacing w:before="81" w:line="238" w:lineRule="auto"/>
              <w:ind w:left="18"/>
              <w:rPr>
                <w:sz w:val="13"/>
                <w:szCs w:val="13"/>
              </w:rPr>
            </w:pPr>
            <w:r>
              <w:rPr>
                <w:sz w:val="13"/>
                <w:szCs w:val="13"/>
              </w:rPr>
              <w:t>√</w:t>
            </w:r>
          </w:p>
        </w:tc>
        <w:tc>
          <w:tcPr>
            <w:tcW w:w="220" w:type="dxa"/>
            <w:vAlign w:val="top"/>
          </w:tcPr>
          <w:p w14:paraId="5E27EC36">
            <w:pPr>
              <w:rPr>
                <w:rFonts w:ascii="Arial"/>
                <w:sz w:val="21"/>
              </w:rPr>
            </w:pPr>
          </w:p>
        </w:tc>
        <w:tc>
          <w:tcPr>
            <w:tcW w:w="229" w:type="dxa"/>
            <w:vAlign w:val="top"/>
          </w:tcPr>
          <w:p w14:paraId="78F4A42E">
            <w:pPr>
              <w:rPr>
                <w:rFonts w:ascii="Arial"/>
                <w:sz w:val="21"/>
              </w:rPr>
            </w:pPr>
          </w:p>
        </w:tc>
        <w:tc>
          <w:tcPr>
            <w:tcW w:w="234" w:type="dxa"/>
            <w:vAlign w:val="top"/>
          </w:tcPr>
          <w:p w14:paraId="62120C11">
            <w:pPr>
              <w:rPr>
                <w:rFonts w:ascii="Arial"/>
                <w:sz w:val="21"/>
              </w:rPr>
            </w:pPr>
          </w:p>
        </w:tc>
      </w:tr>
      <w:tr w14:paraId="77D3C9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883" w:type="dxa"/>
            <w:vMerge w:val="continue"/>
            <w:tcBorders>
              <w:top w:val="nil"/>
              <w:bottom w:val="nil"/>
            </w:tcBorders>
            <w:vAlign w:val="top"/>
          </w:tcPr>
          <w:p w14:paraId="66B1DE89">
            <w:pPr>
              <w:rPr>
                <w:rFonts w:ascii="Arial"/>
                <w:sz w:val="21"/>
              </w:rPr>
            </w:pPr>
          </w:p>
        </w:tc>
        <w:tc>
          <w:tcPr>
            <w:tcW w:w="2334" w:type="dxa"/>
            <w:vAlign w:val="top"/>
          </w:tcPr>
          <w:p w14:paraId="6B2AFAC5">
            <w:pPr>
              <w:pStyle w:val="6"/>
              <w:spacing w:before="51" w:line="213" w:lineRule="auto"/>
              <w:ind w:left="12"/>
              <w:rPr>
                <w:sz w:val="18"/>
                <w:szCs w:val="18"/>
              </w:rPr>
            </w:pPr>
            <w:r>
              <w:rPr>
                <w:spacing w:val="-1"/>
                <w:sz w:val="18"/>
                <w:szCs w:val="18"/>
              </w:rPr>
              <w:t>3.总量指标的计量单位</w:t>
            </w:r>
          </w:p>
        </w:tc>
        <w:tc>
          <w:tcPr>
            <w:tcW w:w="230" w:type="dxa"/>
            <w:vAlign w:val="top"/>
          </w:tcPr>
          <w:p w14:paraId="3F700230">
            <w:pPr>
              <w:rPr>
                <w:rFonts w:ascii="Arial"/>
                <w:sz w:val="21"/>
              </w:rPr>
            </w:pPr>
          </w:p>
        </w:tc>
        <w:tc>
          <w:tcPr>
            <w:tcW w:w="220" w:type="dxa"/>
            <w:vAlign w:val="top"/>
          </w:tcPr>
          <w:p w14:paraId="2D074BAF">
            <w:pPr>
              <w:pStyle w:val="6"/>
              <w:spacing w:before="81" w:line="238" w:lineRule="auto"/>
              <w:ind w:left="17"/>
              <w:rPr>
                <w:sz w:val="13"/>
                <w:szCs w:val="13"/>
              </w:rPr>
            </w:pPr>
            <w:r>
              <w:rPr>
                <w:sz w:val="13"/>
                <w:szCs w:val="13"/>
              </w:rPr>
              <w:t>√</w:t>
            </w:r>
          </w:p>
        </w:tc>
        <w:tc>
          <w:tcPr>
            <w:tcW w:w="229" w:type="dxa"/>
            <w:vAlign w:val="top"/>
          </w:tcPr>
          <w:p w14:paraId="64D4B1E8">
            <w:pPr>
              <w:rPr>
                <w:rFonts w:ascii="Arial"/>
                <w:sz w:val="21"/>
              </w:rPr>
            </w:pPr>
          </w:p>
        </w:tc>
        <w:tc>
          <w:tcPr>
            <w:tcW w:w="234" w:type="dxa"/>
            <w:vAlign w:val="top"/>
          </w:tcPr>
          <w:p w14:paraId="4D5D41BC">
            <w:pPr>
              <w:rPr>
                <w:rFonts w:ascii="Arial"/>
                <w:sz w:val="21"/>
              </w:rPr>
            </w:pPr>
          </w:p>
        </w:tc>
      </w:tr>
      <w:tr w14:paraId="4321DA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9" w:hRule="atLeast"/>
        </w:trPr>
        <w:tc>
          <w:tcPr>
            <w:tcW w:w="883" w:type="dxa"/>
            <w:vMerge w:val="continue"/>
            <w:tcBorders>
              <w:top w:val="nil"/>
            </w:tcBorders>
            <w:vAlign w:val="top"/>
          </w:tcPr>
          <w:p w14:paraId="16C8DC81">
            <w:pPr>
              <w:rPr>
                <w:rFonts w:ascii="Arial"/>
                <w:sz w:val="21"/>
              </w:rPr>
            </w:pPr>
          </w:p>
        </w:tc>
        <w:tc>
          <w:tcPr>
            <w:tcW w:w="2334" w:type="dxa"/>
            <w:vAlign w:val="top"/>
          </w:tcPr>
          <w:p w14:paraId="4B101FF4">
            <w:pPr>
              <w:pStyle w:val="6"/>
              <w:spacing w:before="40" w:line="199" w:lineRule="auto"/>
              <w:ind w:left="12" w:right="158"/>
              <w:rPr>
                <w:sz w:val="18"/>
                <w:szCs w:val="18"/>
              </w:rPr>
            </w:pPr>
            <w:r>
              <w:rPr>
                <w:spacing w:val="-1"/>
                <w:sz w:val="18"/>
                <w:szCs w:val="18"/>
              </w:rPr>
              <w:t>4.计算和使用总量指标应注</w:t>
            </w:r>
            <w:r>
              <w:rPr>
                <w:spacing w:val="5"/>
                <w:sz w:val="18"/>
                <w:szCs w:val="18"/>
              </w:rPr>
              <w:t xml:space="preserve"> </w:t>
            </w:r>
            <w:r>
              <w:rPr>
                <w:spacing w:val="2"/>
                <w:sz w:val="18"/>
                <w:szCs w:val="18"/>
              </w:rPr>
              <w:t>意的问题</w:t>
            </w:r>
          </w:p>
        </w:tc>
        <w:tc>
          <w:tcPr>
            <w:tcW w:w="230" w:type="dxa"/>
            <w:vAlign w:val="top"/>
          </w:tcPr>
          <w:p w14:paraId="642123B1">
            <w:pPr>
              <w:rPr>
                <w:rFonts w:ascii="Arial"/>
                <w:sz w:val="21"/>
              </w:rPr>
            </w:pPr>
          </w:p>
        </w:tc>
        <w:tc>
          <w:tcPr>
            <w:tcW w:w="220" w:type="dxa"/>
            <w:vAlign w:val="top"/>
          </w:tcPr>
          <w:p w14:paraId="48D01180">
            <w:pPr>
              <w:pStyle w:val="6"/>
              <w:spacing w:before="172" w:line="238" w:lineRule="auto"/>
              <w:ind w:left="17"/>
              <w:rPr>
                <w:sz w:val="13"/>
                <w:szCs w:val="13"/>
              </w:rPr>
            </w:pPr>
            <w:r>
              <w:rPr>
                <w:sz w:val="13"/>
                <w:szCs w:val="13"/>
              </w:rPr>
              <w:t>√</w:t>
            </w:r>
          </w:p>
        </w:tc>
        <w:tc>
          <w:tcPr>
            <w:tcW w:w="229" w:type="dxa"/>
            <w:vAlign w:val="top"/>
          </w:tcPr>
          <w:p w14:paraId="5DC004A4">
            <w:pPr>
              <w:rPr>
                <w:rFonts w:ascii="Arial"/>
                <w:sz w:val="21"/>
              </w:rPr>
            </w:pPr>
          </w:p>
        </w:tc>
        <w:tc>
          <w:tcPr>
            <w:tcW w:w="234" w:type="dxa"/>
            <w:vAlign w:val="top"/>
          </w:tcPr>
          <w:p w14:paraId="5C6FF645">
            <w:pPr>
              <w:rPr>
                <w:rFonts w:ascii="Arial"/>
                <w:sz w:val="21"/>
              </w:rPr>
            </w:pPr>
          </w:p>
        </w:tc>
      </w:tr>
      <w:tr w14:paraId="4150E7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trPr>
        <w:tc>
          <w:tcPr>
            <w:tcW w:w="883" w:type="dxa"/>
            <w:vMerge w:val="restart"/>
            <w:tcBorders>
              <w:bottom w:val="nil"/>
            </w:tcBorders>
            <w:vAlign w:val="top"/>
          </w:tcPr>
          <w:p w14:paraId="5A121B98">
            <w:pPr>
              <w:spacing w:line="411" w:lineRule="auto"/>
              <w:rPr>
                <w:rFonts w:ascii="Arial"/>
                <w:sz w:val="21"/>
              </w:rPr>
            </w:pPr>
          </w:p>
          <w:p w14:paraId="043971D8">
            <w:pPr>
              <w:pStyle w:val="6"/>
              <w:spacing w:before="59" w:line="220" w:lineRule="auto"/>
              <w:ind w:left="74"/>
              <w:rPr>
                <w:sz w:val="18"/>
                <w:szCs w:val="18"/>
              </w:rPr>
            </w:pPr>
            <w:r>
              <w:rPr>
                <w:spacing w:val="-2"/>
                <w:sz w:val="18"/>
                <w:szCs w:val="18"/>
              </w:rPr>
              <w:t>相对指标</w:t>
            </w:r>
          </w:p>
        </w:tc>
        <w:tc>
          <w:tcPr>
            <w:tcW w:w="2334" w:type="dxa"/>
            <w:vAlign w:val="top"/>
          </w:tcPr>
          <w:p w14:paraId="39B5D76B">
            <w:pPr>
              <w:pStyle w:val="6"/>
              <w:spacing w:before="52" w:line="213" w:lineRule="auto"/>
              <w:ind w:left="12"/>
              <w:rPr>
                <w:sz w:val="18"/>
                <w:szCs w:val="18"/>
              </w:rPr>
            </w:pPr>
            <w:r>
              <w:rPr>
                <w:sz w:val="18"/>
                <w:szCs w:val="18"/>
              </w:rPr>
              <w:t>1.相对指标的概念</w:t>
            </w:r>
          </w:p>
        </w:tc>
        <w:tc>
          <w:tcPr>
            <w:tcW w:w="230" w:type="dxa"/>
            <w:vAlign w:val="top"/>
          </w:tcPr>
          <w:p w14:paraId="75343EFD">
            <w:pPr>
              <w:pStyle w:val="6"/>
              <w:spacing w:before="83" w:line="238" w:lineRule="auto"/>
              <w:ind w:left="47"/>
              <w:rPr>
                <w:sz w:val="13"/>
                <w:szCs w:val="13"/>
              </w:rPr>
            </w:pPr>
            <w:r>
              <w:rPr>
                <w:sz w:val="13"/>
                <w:szCs w:val="13"/>
              </w:rPr>
              <w:t>√</w:t>
            </w:r>
          </w:p>
        </w:tc>
        <w:tc>
          <w:tcPr>
            <w:tcW w:w="220" w:type="dxa"/>
            <w:vAlign w:val="top"/>
          </w:tcPr>
          <w:p w14:paraId="36F3D8FE">
            <w:pPr>
              <w:rPr>
                <w:rFonts w:ascii="Arial"/>
                <w:sz w:val="21"/>
              </w:rPr>
            </w:pPr>
          </w:p>
        </w:tc>
        <w:tc>
          <w:tcPr>
            <w:tcW w:w="229" w:type="dxa"/>
            <w:vAlign w:val="top"/>
          </w:tcPr>
          <w:p w14:paraId="185770B3">
            <w:pPr>
              <w:rPr>
                <w:rFonts w:ascii="Arial"/>
                <w:sz w:val="21"/>
              </w:rPr>
            </w:pPr>
          </w:p>
        </w:tc>
        <w:tc>
          <w:tcPr>
            <w:tcW w:w="234" w:type="dxa"/>
            <w:vAlign w:val="top"/>
          </w:tcPr>
          <w:p w14:paraId="7B13F54C">
            <w:pPr>
              <w:rPr>
                <w:rFonts w:ascii="Arial"/>
                <w:sz w:val="21"/>
              </w:rPr>
            </w:pPr>
          </w:p>
        </w:tc>
      </w:tr>
      <w:tr w14:paraId="32C16D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9" w:hRule="atLeast"/>
        </w:trPr>
        <w:tc>
          <w:tcPr>
            <w:tcW w:w="883" w:type="dxa"/>
            <w:vMerge w:val="continue"/>
            <w:tcBorders>
              <w:top w:val="nil"/>
              <w:bottom w:val="nil"/>
            </w:tcBorders>
            <w:vAlign w:val="top"/>
          </w:tcPr>
          <w:p w14:paraId="73A38E6C">
            <w:pPr>
              <w:rPr>
                <w:rFonts w:ascii="Arial"/>
                <w:sz w:val="21"/>
              </w:rPr>
            </w:pPr>
          </w:p>
        </w:tc>
        <w:tc>
          <w:tcPr>
            <w:tcW w:w="2334" w:type="dxa"/>
            <w:vAlign w:val="top"/>
          </w:tcPr>
          <w:p w14:paraId="1F9F8E58">
            <w:pPr>
              <w:pStyle w:val="6"/>
              <w:spacing w:before="52" w:line="219" w:lineRule="auto"/>
              <w:ind w:left="12"/>
              <w:rPr>
                <w:sz w:val="18"/>
                <w:szCs w:val="18"/>
              </w:rPr>
            </w:pPr>
            <w:r>
              <w:rPr>
                <w:spacing w:val="-1"/>
                <w:sz w:val="18"/>
                <w:szCs w:val="18"/>
              </w:rPr>
              <w:t>2.相对指标数值的计量形式</w:t>
            </w:r>
          </w:p>
        </w:tc>
        <w:tc>
          <w:tcPr>
            <w:tcW w:w="230" w:type="dxa"/>
            <w:vAlign w:val="top"/>
          </w:tcPr>
          <w:p w14:paraId="7805DE69">
            <w:pPr>
              <w:rPr>
                <w:rFonts w:ascii="Arial"/>
                <w:sz w:val="21"/>
              </w:rPr>
            </w:pPr>
          </w:p>
        </w:tc>
        <w:tc>
          <w:tcPr>
            <w:tcW w:w="220" w:type="dxa"/>
            <w:vAlign w:val="top"/>
          </w:tcPr>
          <w:p w14:paraId="273A12D9">
            <w:pPr>
              <w:rPr>
                <w:rFonts w:ascii="Arial"/>
                <w:sz w:val="21"/>
              </w:rPr>
            </w:pPr>
          </w:p>
        </w:tc>
        <w:tc>
          <w:tcPr>
            <w:tcW w:w="229" w:type="dxa"/>
            <w:vAlign w:val="top"/>
          </w:tcPr>
          <w:p w14:paraId="11CFE175">
            <w:pPr>
              <w:pStyle w:val="6"/>
              <w:spacing w:before="93" w:line="238" w:lineRule="auto"/>
              <w:ind w:left="48"/>
              <w:rPr>
                <w:sz w:val="13"/>
                <w:szCs w:val="13"/>
              </w:rPr>
            </w:pPr>
            <w:r>
              <w:rPr>
                <w:sz w:val="13"/>
                <w:szCs w:val="13"/>
              </w:rPr>
              <w:t>√</w:t>
            </w:r>
          </w:p>
        </w:tc>
        <w:tc>
          <w:tcPr>
            <w:tcW w:w="234" w:type="dxa"/>
            <w:vAlign w:val="top"/>
          </w:tcPr>
          <w:p w14:paraId="3DC8D826">
            <w:pPr>
              <w:rPr>
                <w:rFonts w:ascii="Arial"/>
                <w:sz w:val="21"/>
              </w:rPr>
            </w:pPr>
          </w:p>
        </w:tc>
      </w:tr>
      <w:tr w14:paraId="3F5CB1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883" w:type="dxa"/>
            <w:vMerge w:val="continue"/>
            <w:tcBorders>
              <w:top w:val="nil"/>
              <w:bottom w:val="nil"/>
            </w:tcBorders>
            <w:vAlign w:val="top"/>
          </w:tcPr>
          <w:p w14:paraId="513243FB">
            <w:pPr>
              <w:rPr>
                <w:rFonts w:ascii="Arial"/>
                <w:sz w:val="21"/>
              </w:rPr>
            </w:pPr>
          </w:p>
        </w:tc>
        <w:tc>
          <w:tcPr>
            <w:tcW w:w="2334" w:type="dxa"/>
            <w:vAlign w:val="top"/>
          </w:tcPr>
          <w:p w14:paraId="64FF96E4">
            <w:pPr>
              <w:pStyle w:val="6"/>
              <w:spacing w:before="53" w:line="211" w:lineRule="auto"/>
              <w:jc w:val="right"/>
              <w:rPr>
                <w:sz w:val="18"/>
                <w:szCs w:val="18"/>
              </w:rPr>
            </w:pPr>
            <w:r>
              <w:rPr>
                <w:spacing w:val="-3"/>
                <w:sz w:val="18"/>
                <w:szCs w:val="18"/>
              </w:rPr>
              <w:t>3.相对指标的种类及计算方法</w:t>
            </w:r>
          </w:p>
        </w:tc>
        <w:tc>
          <w:tcPr>
            <w:tcW w:w="230" w:type="dxa"/>
            <w:vAlign w:val="top"/>
          </w:tcPr>
          <w:p w14:paraId="5DAEFAE9">
            <w:pPr>
              <w:rPr>
                <w:rFonts w:ascii="Arial"/>
                <w:sz w:val="21"/>
              </w:rPr>
            </w:pPr>
          </w:p>
        </w:tc>
        <w:tc>
          <w:tcPr>
            <w:tcW w:w="220" w:type="dxa"/>
            <w:vAlign w:val="top"/>
          </w:tcPr>
          <w:p w14:paraId="00BC78CC">
            <w:pPr>
              <w:rPr>
                <w:rFonts w:ascii="Arial"/>
                <w:sz w:val="21"/>
              </w:rPr>
            </w:pPr>
          </w:p>
        </w:tc>
        <w:tc>
          <w:tcPr>
            <w:tcW w:w="229" w:type="dxa"/>
            <w:vAlign w:val="top"/>
          </w:tcPr>
          <w:p w14:paraId="30BC7353">
            <w:pPr>
              <w:rPr>
                <w:rFonts w:ascii="Arial"/>
                <w:sz w:val="21"/>
              </w:rPr>
            </w:pPr>
          </w:p>
        </w:tc>
        <w:tc>
          <w:tcPr>
            <w:tcW w:w="234" w:type="dxa"/>
            <w:vAlign w:val="top"/>
          </w:tcPr>
          <w:p w14:paraId="6A8C9FE5">
            <w:pPr>
              <w:pStyle w:val="6"/>
              <w:spacing w:before="84" w:line="238" w:lineRule="auto"/>
              <w:ind w:left="19"/>
              <w:rPr>
                <w:sz w:val="13"/>
                <w:szCs w:val="13"/>
              </w:rPr>
            </w:pPr>
            <w:r>
              <w:rPr>
                <w:sz w:val="13"/>
                <w:szCs w:val="13"/>
              </w:rPr>
              <w:t>√</w:t>
            </w:r>
          </w:p>
        </w:tc>
      </w:tr>
      <w:tr w14:paraId="628226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883" w:type="dxa"/>
            <w:vMerge w:val="continue"/>
            <w:tcBorders>
              <w:top w:val="nil"/>
            </w:tcBorders>
            <w:vAlign w:val="top"/>
          </w:tcPr>
          <w:p w14:paraId="1E375B93">
            <w:pPr>
              <w:rPr>
                <w:rFonts w:ascii="Arial"/>
                <w:sz w:val="21"/>
              </w:rPr>
            </w:pPr>
          </w:p>
        </w:tc>
        <w:tc>
          <w:tcPr>
            <w:tcW w:w="2334" w:type="dxa"/>
            <w:vAlign w:val="top"/>
          </w:tcPr>
          <w:p w14:paraId="3B921931">
            <w:pPr>
              <w:pStyle w:val="6"/>
              <w:spacing w:before="54" w:line="210" w:lineRule="auto"/>
              <w:ind w:left="12"/>
              <w:rPr>
                <w:sz w:val="18"/>
                <w:szCs w:val="18"/>
              </w:rPr>
            </w:pPr>
            <w:r>
              <w:rPr>
                <w:spacing w:val="1"/>
                <w:sz w:val="18"/>
                <w:szCs w:val="18"/>
              </w:rPr>
              <w:t>4.计算相对指标的原则</w:t>
            </w:r>
          </w:p>
        </w:tc>
        <w:tc>
          <w:tcPr>
            <w:tcW w:w="230" w:type="dxa"/>
            <w:vAlign w:val="top"/>
          </w:tcPr>
          <w:p w14:paraId="08FDE274">
            <w:pPr>
              <w:rPr>
                <w:rFonts w:ascii="Arial"/>
                <w:sz w:val="21"/>
              </w:rPr>
            </w:pPr>
          </w:p>
        </w:tc>
        <w:tc>
          <w:tcPr>
            <w:tcW w:w="220" w:type="dxa"/>
            <w:vAlign w:val="top"/>
          </w:tcPr>
          <w:p w14:paraId="31E2DA63">
            <w:pPr>
              <w:rPr>
                <w:rFonts w:ascii="Arial"/>
                <w:sz w:val="21"/>
              </w:rPr>
            </w:pPr>
          </w:p>
        </w:tc>
        <w:tc>
          <w:tcPr>
            <w:tcW w:w="229" w:type="dxa"/>
            <w:vAlign w:val="top"/>
          </w:tcPr>
          <w:p w14:paraId="45A8A485">
            <w:pPr>
              <w:pStyle w:val="6"/>
              <w:spacing w:before="85" w:line="238" w:lineRule="auto"/>
              <w:ind w:left="48"/>
              <w:rPr>
                <w:sz w:val="13"/>
                <w:szCs w:val="13"/>
              </w:rPr>
            </w:pPr>
            <w:r>
              <w:rPr>
                <w:sz w:val="13"/>
                <w:szCs w:val="13"/>
              </w:rPr>
              <w:t>√</w:t>
            </w:r>
          </w:p>
        </w:tc>
        <w:tc>
          <w:tcPr>
            <w:tcW w:w="234" w:type="dxa"/>
            <w:vAlign w:val="top"/>
          </w:tcPr>
          <w:p w14:paraId="2454C572">
            <w:pPr>
              <w:rPr>
                <w:rFonts w:ascii="Arial"/>
                <w:sz w:val="21"/>
              </w:rPr>
            </w:pPr>
          </w:p>
        </w:tc>
      </w:tr>
      <w:tr w14:paraId="5B6937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9" w:hRule="atLeast"/>
        </w:trPr>
        <w:tc>
          <w:tcPr>
            <w:tcW w:w="883" w:type="dxa"/>
            <w:vMerge w:val="restart"/>
            <w:tcBorders>
              <w:bottom w:val="nil"/>
            </w:tcBorders>
            <w:vAlign w:val="top"/>
          </w:tcPr>
          <w:p w14:paraId="4C402D6D">
            <w:pPr>
              <w:pStyle w:val="6"/>
              <w:spacing w:before="266" w:line="215" w:lineRule="auto"/>
              <w:ind w:left="74"/>
              <w:rPr>
                <w:sz w:val="18"/>
                <w:szCs w:val="18"/>
              </w:rPr>
            </w:pPr>
            <w:r>
              <w:rPr>
                <w:spacing w:val="-2"/>
                <w:sz w:val="18"/>
                <w:szCs w:val="18"/>
              </w:rPr>
              <w:t>平均指标</w:t>
            </w:r>
          </w:p>
          <w:p w14:paraId="47F3810F">
            <w:pPr>
              <w:pStyle w:val="6"/>
              <w:spacing w:line="220" w:lineRule="auto"/>
              <w:ind w:left="74"/>
              <w:rPr>
                <w:sz w:val="18"/>
                <w:szCs w:val="18"/>
              </w:rPr>
            </w:pPr>
            <w:r>
              <w:rPr>
                <w:spacing w:val="-2"/>
                <w:sz w:val="18"/>
                <w:szCs w:val="18"/>
              </w:rPr>
              <w:t>与标志变</w:t>
            </w:r>
          </w:p>
          <w:p w14:paraId="2E2355DF">
            <w:pPr>
              <w:pStyle w:val="6"/>
              <w:spacing w:before="35" w:line="219" w:lineRule="auto"/>
              <w:ind w:left="165"/>
              <w:rPr>
                <w:sz w:val="18"/>
                <w:szCs w:val="18"/>
              </w:rPr>
            </w:pPr>
            <w:r>
              <w:rPr>
                <w:spacing w:val="-3"/>
                <w:sz w:val="18"/>
                <w:szCs w:val="18"/>
              </w:rPr>
              <w:t>异指标</w:t>
            </w:r>
          </w:p>
        </w:tc>
        <w:tc>
          <w:tcPr>
            <w:tcW w:w="2334" w:type="dxa"/>
            <w:vAlign w:val="top"/>
          </w:tcPr>
          <w:p w14:paraId="6215ED3C">
            <w:pPr>
              <w:pStyle w:val="6"/>
              <w:spacing w:before="105" w:line="223" w:lineRule="auto"/>
              <w:ind w:left="12" w:right="140"/>
              <w:rPr>
                <w:sz w:val="18"/>
                <w:szCs w:val="18"/>
              </w:rPr>
            </w:pPr>
            <w:r>
              <w:rPr>
                <w:sz w:val="18"/>
                <w:szCs w:val="18"/>
              </w:rPr>
              <w:t>1.集中趋势的测度——平均</w:t>
            </w:r>
            <w:r>
              <w:rPr>
                <w:spacing w:val="10"/>
                <w:sz w:val="18"/>
                <w:szCs w:val="18"/>
              </w:rPr>
              <w:t xml:space="preserve"> </w:t>
            </w:r>
            <w:r>
              <w:rPr>
                <w:spacing w:val="-3"/>
                <w:sz w:val="18"/>
                <w:szCs w:val="18"/>
              </w:rPr>
              <w:t>指标</w:t>
            </w:r>
          </w:p>
        </w:tc>
        <w:tc>
          <w:tcPr>
            <w:tcW w:w="230" w:type="dxa"/>
            <w:vAlign w:val="top"/>
          </w:tcPr>
          <w:p w14:paraId="4020C4FA">
            <w:pPr>
              <w:rPr>
                <w:rFonts w:ascii="Arial"/>
                <w:sz w:val="21"/>
              </w:rPr>
            </w:pPr>
          </w:p>
        </w:tc>
        <w:tc>
          <w:tcPr>
            <w:tcW w:w="220" w:type="dxa"/>
            <w:vAlign w:val="top"/>
          </w:tcPr>
          <w:p w14:paraId="720FDE59">
            <w:pPr>
              <w:rPr>
                <w:rFonts w:ascii="Arial"/>
                <w:sz w:val="21"/>
              </w:rPr>
            </w:pPr>
          </w:p>
        </w:tc>
        <w:tc>
          <w:tcPr>
            <w:tcW w:w="229" w:type="dxa"/>
            <w:vAlign w:val="top"/>
          </w:tcPr>
          <w:p w14:paraId="0CC926A2">
            <w:pPr>
              <w:rPr>
                <w:rFonts w:ascii="Arial"/>
                <w:sz w:val="21"/>
              </w:rPr>
            </w:pPr>
          </w:p>
        </w:tc>
        <w:tc>
          <w:tcPr>
            <w:tcW w:w="234" w:type="dxa"/>
            <w:vAlign w:val="top"/>
          </w:tcPr>
          <w:p w14:paraId="0DBF0C27">
            <w:pPr>
              <w:pStyle w:val="6"/>
              <w:spacing w:before="236" w:line="238" w:lineRule="auto"/>
              <w:ind w:left="19"/>
              <w:rPr>
                <w:sz w:val="13"/>
                <w:szCs w:val="13"/>
              </w:rPr>
            </w:pPr>
            <w:r>
              <w:rPr>
                <w:sz w:val="13"/>
                <w:szCs w:val="13"/>
              </w:rPr>
              <w:t>√</w:t>
            </w:r>
          </w:p>
        </w:tc>
      </w:tr>
      <w:tr w14:paraId="32D8E5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4" w:hRule="atLeast"/>
        </w:trPr>
        <w:tc>
          <w:tcPr>
            <w:tcW w:w="883" w:type="dxa"/>
            <w:vMerge w:val="continue"/>
            <w:tcBorders>
              <w:top w:val="nil"/>
            </w:tcBorders>
            <w:vAlign w:val="top"/>
          </w:tcPr>
          <w:p w14:paraId="5ACE2A14">
            <w:pPr>
              <w:rPr>
                <w:rFonts w:ascii="Arial"/>
                <w:sz w:val="21"/>
              </w:rPr>
            </w:pPr>
          </w:p>
        </w:tc>
        <w:tc>
          <w:tcPr>
            <w:tcW w:w="2334" w:type="dxa"/>
            <w:vAlign w:val="top"/>
          </w:tcPr>
          <w:p w14:paraId="288A836D">
            <w:pPr>
              <w:pStyle w:val="6"/>
              <w:spacing w:before="96" w:line="217" w:lineRule="auto"/>
              <w:ind w:left="12" w:right="140"/>
              <w:rPr>
                <w:sz w:val="18"/>
                <w:szCs w:val="18"/>
              </w:rPr>
            </w:pPr>
            <w:r>
              <w:rPr>
                <w:sz w:val="18"/>
                <w:szCs w:val="18"/>
              </w:rPr>
              <w:t>2.离中趋势的测度——标志</w:t>
            </w:r>
            <w:r>
              <w:rPr>
                <w:spacing w:val="10"/>
                <w:sz w:val="18"/>
                <w:szCs w:val="18"/>
              </w:rPr>
              <w:t xml:space="preserve"> </w:t>
            </w:r>
            <w:r>
              <w:rPr>
                <w:spacing w:val="-2"/>
                <w:sz w:val="18"/>
                <w:szCs w:val="18"/>
              </w:rPr>
              <w:t>变异指标</w:t>
            </w:r>
          </w:p>
        </w:tc>
        <w:tc>
          <w:tcPr>
            <w:tcW w:w="230" w:type="dxa"/>
            <w:vAlign w:val="top"/>
          </w:tcPr>
          <w:p w14:paraId="6AF0D78C">
            <w:pPr>
              <w:rPr>
                <w:rFonts w:ascii="Arial"/>
                <w:sz w:val="21"/>
              </w:rPr>
            </w:pPr>
          </w:p>
        </w:tc>
        <w:tc>
          <w:tcPr>
            <w:tcW w:w="220" w:type="dxa"/>
            <w:vAlign w:val="top"/>
          </w:tcPr>
          <w:p w14:paraId="3AE4F78C">
            <w:pPr>
              <w:rPr>
                <w:rFonts w:ascii="Arial"/>
                <w:sz w:val="21"/>
              </w:rPr>
            </w:pPr>
          </w:p>
        </w:tc>
        <w:tc>
          <w:tcPr>
            <w:tcW w:w="229" w:type="dxa"/>
            <w:vAlign w:val="top"/>
          </w:tcPr>
          <w:p w14:paraId="5BEA120F">
            <w:pPr>
              <w:rPr>
                <w:rFonts w:ascii="Arial"/>
                <w:sz w:val="21"/>
              </w:rPr>
            </w:pPr>
          </w:p>
        </w:tc>
        <w:tc>
          <w:tcPr>
            <w:tcW w:w="234" w:type="dxa"/>
            <w:vAlign w:val="top"/>
          </w:tcPr>
          <w:p w14:paraId="40499C88">
            <w:pPr>
              <w:pStyle w:val="6"/>
              <w:spacing w:before="227" w:line="238" w:lineRule="auto"/>
              <w:ind w:left="19"/>
              <w:rPr>
                <w:sz w:val="13"/>
                <w:szCs w:val="13"/>
              </w:rPr>
            </w:pPr>
            <w:r>
              <w:rPr>
                <w:sz w:val="13"/>
                <w:szCs w:val="13"/>
              </w:rPr>
              <w:t>√</w:t>
            </w:r>
          </w:p>
        </w:tc>
      </w:tr>
    </w:tbl>
    <w:p w14:paraId="4BCC7742">
      <w:pPr>
        <w:spacing w:before="130" w:line="209" w:lineRule="auto"/>
        <w:ind w:left="1523"/>
        <w:rPr>
          <w:rFonts w:ascii="宋体" w:hAnsi="宋体" w:eastAsia="宋体" w:cs="宋体"/>
          <w:sz w:val="22"/>
          <w:szCs w:val="22"/>
        </w:rPr>
      </w:pPr>
      <w:r>
        <w:rPr>
          <w:rFonts w:ascii="宋体" w:hAnsi="宋体" w:eastAsia="宋体" w:cs="宋体"/>
          <w:b/>
          <w:bCs/>
          <w:spacing w:val="-2"/>
          <w:sz w:val="22"/>
          <w:szCs w:val="22"/>
        </w:rPr>
        <w:t>(四)抽样技术</w:t>
      </w:r>
    </w:p>
    <w:tbl>
      <w:tblPr>
        <w:tblStyle w:val="5"/>
        <w:tblW w:w="4119"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73"/>
        <w:gridCol w:w="2334"/>
        <w:gridCol w:w="229"/>
        <w:gridCol w:w="220"/>
        <w:gridCol w:w="229"/>
        <w:gridCol w:w="234"/>
      </w:tblGrid>
      <w:tr w14:paraId="7039E5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9" w:hRule="atLeast"/>
        </w:trPr>
        <w:tc>
          <w:tcPr>
            <w:tcW w:w="873" w:type="dxa"/>
            <w:vMerge w:val="restart"/>
            <w:tcBorders>
              <w:top w:val="single" w:color="000000" w:sz="2" w:space="0"/>
              <w:bottom w:val="nil"/>
            </w:tcBorders>
            <w:vAlign w:val="top"/>
          </w:tcPr>
          <w:p w14:paraId="0111D7E1">
            <w:pPr>
              <w:pStyle w:val="6"/>
              <w:spacing w:before="146" w:line="229" w:lineRule="auto"/>
              <w:ind w:left="87" w:right="102" w:firstLine="89"/>
            </w:pPr>
            <w:r>
              <w:rPr>
                <w:b/>
                <w:bCs/>
                <w:spacing w:val="-6"/>
              </w:rPr>
              <w:t>知识与</w:t>
            </w:r>
            <w:r>
              <w:t xml:space="preserve">  </w:t>
            </w:r>
            <w:r>
              <w:rPr>
                <w:b/>
                <w:bCs/>
                <w:spacing w:val="-4"/>
              </w:rPr>
              <w:t>技能要点</w:t>
            </w:r>
          </w:p>
        </w:tc>
        <w:tc>
          <w:tcPr>
            <w:tcW w:w="2334" w:type="dxa"/>
            <w:vMerge w:val="restart"/>
            <w:tcBorders>
              <w:top w:val="single" w:color="000000" w:sz="2" w:space="0"/>
              <w:bottom w:val="nil"/>
            </w:tcBorders>
            <w:vAlign w:val="top"/>
          </w:tcPr>
          <w:p w14:paraId="50CC16C1">
            <w:pPr>
              <w:pStyle w:val="6"/>
              <w:spacing w:before="254" w:line="219" w:lineRule="auto"/>
              <w:ind w:left="854"/>
            </w:pPr>
            <w:r>
              <w:rPr>
                <w:b/>
                <w:bCs/>
                <w:spacing w:val="5"/>
              </w:rPr>
              <w:t>考试条目</w:t>
            </w:r>
          </w:p>
        </w:tc>
        <w:tc>
          <w:tcPr>
            <w:tcW w:w="912" w:type="dxa"/>
            <w:gridSpan w:val="4"/>
            <w:tcBorders>
              <w:top w:val="single" w:color="000000" w:sz="2" w:space="0"/>
              <w:bottom w:val="single" w:color="000000" w:sz="2" w:space="0"/>
            </w:tcBorders>
            <w:vAlign w:val="top"/>
          </w:tcPr>
          <w:p w14:paraId="5DB76170">
            <w:pPr>
              <w:pStyle w:val="6"/>
              <w:spacing w:before="84" w:line="219" w:lineRule="auto"/>
              <w:ind w:left="130"/>
            </w:pPr>
            <w:r>
              <w:rPr>
                <w:b/>
                <w:bCs/>
                <w:spacing w:val="-4"/>
              </w:rPr>
              <w:t>考试水平</w:t>
            </w:r>
          </w:p>
        </w:tc>
      </w:tr>
      <w:tr w14:paraId="58D6C9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4" w:hRule="atLeast"/>
        </w:trPr>
        <w:tc>
          <w:tcPr>
            <w:tcW w:w="873" w:type="dxa"/>
            <w:vMerge w:val="continue"/>
            <w:tcBorders>
              <w:top w:val="nil"/>
              <w:bottom w:val="single" w:color="000000" w:sz="2" w:space="0"/>
            </w:tcBorders>
            <w:vAlign w:val="top"/>
          </w:tcPr>
          <w:p w14:paraId="35DD6F3E">
            <w:pPr>
              <w:rPr>
                <w:rFonts w:ascii="Arial"/>
                <w:sz w:val="21"/>
              </w:rPr>
            </w:pPr>
          </w:p>
        </w:tc>
        <w:tc>
          <w:tcPr>
            <w:tcW w:w="2334" w:type="dxa"/>
            <w:vMerge w:val="continue"/>
            <w:tcBorders>
              <w:top w:val="nil"/>
              <w:bottom w:val="single" w:color="000000" w:sz="2" w:space="0"/>
            </w:tcBorders>
            <w:vAlign w:val="top"/>
          </w:tcPr>
          <w:p w14:paraId="028DAA71">
            <w:pPr>
              <w:rPr>
                <w:rFonts w:ascii="Arial"/>
                <w:sz w:val="21"/>
              </w:rPr>
            </w:pPr>
          </w:p>
        </w:tc>
        <w:tc>
          <w:tcPr>
            <w:tcW w:w="229" w:type="dxa"/>
            <w:tcBorders>
              <w:top w:val="single" w:color="000000" w:sz="2" w:space="0"/>
              <w:bottom w:val="single" w:color="000000" w:sz="2" w:space="0"/>
            </w:tcBorders>
            <w:vAlign w:val="top"/>
          </w:tcPr>
          <w:p w14:paraId="73090556">
            <w:pPr>
              <w:pStyle w:val="6"/>
              <w:spacing w:before="128" w:line="184" w:lineRule="auto"/>
              <w:ind w:left="20"/>
              <w:rPr>
                <w:sz w:val="18"/>
                <w:szCs w:val="18"/>
              </w:rPr>
            </w:pPr>
            <w:r>
              <w:rPr>
                <w:b/>
                <w:bCs/>
                <w:spacing w:val="-2"/>
                <w:sz w:val="18"/>
                <w:szCs w:val="18"/>
              </w:rPr>
              <w:t>A</w:t>
            </w:r>
          </w:p>
        </w:tc>
        <w:tc>
          <w:tcPr>
            <w:tcW w:w="220" w:type="dxa"/>
            <w:tcBorders>
              <w:top w:val="single" w:color="000000" w:sz="2" w:space="0"/>
              <w:bottom w:val="single" w:color="000000" w:sz="2" w:space="0"/>
            </w:tcBorders>
            <w:vAlign w:val="top"/>
          </w:tcPr>
          <w:p w14:paraId="449F57B4">
            <w:pPr>
              <w:pStyle w:val="6"/>
              <w:spacing w:before="127" w:line="182" w:lineRule="auto"/>
              <w:ind w:left="61"/>
            </w:pPr>
            <w:r>
              <w:rPr>
                <w:b/>
                <w:bCs/>
                <w:spacing w:val="-2"/>
              </w:rPr>
              <w:t>B</w:t>
            </w:r>
          </w:p>
        </w:tc>
        <w:tc>
          <w:tcPr>
            <w:tcW w:w="229" w:type="dxa"/>
            <w:tcBorders>
              <w:top w:val="single" w:color="000000" w:sz="2" w:space="0"/>
              <w:bottom w:val="single" w:color="000000" w:sz="2" w:space="0"/>
            </w:tcBorders>
            <w:vAlign w:val="top"/>
          </w:tcPr>
          <w:p w14:paraId="6F8F63D9">
            <w:pPr>
              <w:pStyle w:val="6"/>
              <w:spacing w:before="125" w:line="183" w:lineRule="auto"/>
              <w:ind w:left="21"/>
            </w:pPr>
            <w:r>
              <w:rPr>
                <w:b/>
                <w:bCs/>
                <w:spacing w:val="-2"/>
              </w:rPr>
              <w:t>C</w:t>
            </w:r>
          </w:p>
        </w:tc>
        <w:tc>
          <w:tcPr>
            <w:tcW w:w="234" w:type="dxa"/>
            <w:tcBorders>
              <w:top w:val="single" w:color="000000" w:sz="2" w:space="0"/>
              <w:bottom w:val="single" w:color="000000" w:sz="2" w:space="0"/>
            </w:tcBorders>
            <w:vAlign w:val="top"/>
          </w:tcPr>
          <w:p w14:paraId="5EE7E55F">
            <w:pPr>
              <w:pStyle w:val="6"/>
              <w:spacing w:before="127" w:line="182" w:lineRule="auto"/>
              <w:ind w:left="69"/>
            </w:pPr>
            <w:r>
              <w:t>D</w:t>
            </w:r>
          </w:p>
        </w:tc>
      </w:tr>
      <w:tr w14:paraId="0A261D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873" w:type="dxa"/>
            <w:vMerge w:val="restart"/>
            <w:tcBorders>
              <w:top w:val="single" w:color="000000" w:sz="2" w:space="0"/>
              <w:bottom w:val="nil"/>
            </w:tcBorders>
            <w:vAlign w:val="top"/>
          </w:tcPr>
          <w:p w14:paraId="78F3B7FC">
            <w:pPr>
              <w:spacing w:line="286" w:lineRule="auto"/>
              <w:rPr>
                <w:rFonts w:ascii="Arial"/>
                <w:sz w:val="21"/>
              </w:rPr>
            </w:pPr>
          </w:p>
          <w:p w14:paraId="1C8BC84C">
            <w:pPr>
              <w:pStyle w:val="6"/>
              <w:spacing w:before="55" w:line="219" w:lineRule="auto"/>
              <w:ind w:left="84"/>
            </w:pPr>
            <w:r>
              <w:rPr>
                <w:spacing w:val="-2"/>
              </w:rPr>
              <w:t>抽样调查</w:t>
            </w:r>
          </w:p>
        </w:tc>
        <w:tc>
          <w:tcPr>
            <w:tcW w:w="2334" w:type="dxa"/>
            <w:tcBorders>
              <w:top w:val="single" w:color="000000" w:sz="2" w:space="0"/>
              <w:bottom w:val="single" w:color="000000" w:sz="2" w:space="0"/>
            </w:tcBorders>
            <w:vAlign w:val="top"/>
          </w:tcPr>
          <w:p w14:paraId="7856811A">
            <w:pPr>
              <w:pStyle w:val="6"/>
              <w:spacing w:before="53" w:line="219" w:lineRule="auto"/>
              <w:ind w:left="12"/>
            </w:pPr>
            <w:r>
              <w:rPr>
                <w:spacing w:val="1"/>
              </w:rPr>
              <w:t>1.抽样调查的概念与特点</w:t>
            </w:r>
          </w:p>
        </w:tc>
        <w:tc>
          <w:tcPr>
            <w:tcW w:w="229" w:type="dxa"/>
            <w:tcBorders>
              <w:top w:val="single" w:color="000000" w:sz="2" w:space="0"/>
              <w:bottom w:val="single" w:color="000000" w:sz="2" w:space="0"/>
            </w:tcBorders>
            <w:vAlign w:val="top"/>
          </w:tcPr>
          <w:p w14:paraId="5BC64C9E">
            <w:pPr>
              <w:pStyle w:val="6"/>
              <w:spacing w:before="93" w:line="238" w:lineRule="auto"/>
              <w:ind w:left="17"/>
              <w:rPr>
                <w:sz w:val="12"/>
                <w:szCs w:val="12"/>
              </w:rPr>
            </w:pPr>
            <w:r>
              <w:rPr>
                <w:sz w:val="12"/>
                <w:szCs w:val="12"/>
              </w:rPr>
              <w:t>√</w:t>
            </w:r>
          </w:p>
        </w:tc>
        <w:tc>
          <w:tcPr>
            <w:tcW w:w="220" w:type="dxa"/>
            <w:tcBorders>
              <w:top w:val="single" w:color="000000" w:sz="2" w:space="0"/>
              <w:bottom w:val="single" w:color="000000" w:sz="2" w:space="0"/>
            </w:tcBorders>
            <w:vAlign w:val="top"/>
          </w:tcPr>
          <w:p w14:paraId="03026898">
            <w:pPr>
              <w:rPr>
                <w:rFonts w:ascii="Arial"/>
                <w:sz w:val="21"/>
              </w:rPr>
            </w:pPr>
          </w:p>
        </w:tc>
        <w:tc>
          <w:tcPr>
            <w:tcW w:w="229" w:type="dxa"/>
            <w:tcBorders>
              <w:top w:val="single" w:color="000000" w:sz="2" w:space="0"/>
              <w:bottom w:val="single" w:color="000000" w:sz="2" w:space="0"/>
            </w:tcBorders>
            <w:vAlign w:val="top"/>
          </w:tcPr>
          <w:p w14:paraId="55EDE14A">
            <w:pPr>
              <w:rPr>
                <w:rFonts w:ascii="Arial"/>
                <w:sz w:val="21"/>
              </w:rPr>
            </w:pPr>
          </w:p>
        </w:tc>
        <w:tc>
          <w:tcPr>
            <w:tcW w:w="234" w:type="dxa"/>
            <w:tcBorders>
              <w:top w:val="single" w:color="000000" w:sz="2" w:space="0"/>
              <w:bottom w:val="single" w:color="000000" w:sz="2" w:space="0"/>
            </w:tcBorders>
            <w:vAlign w:val="top"/>
          </w:tcPr>
          <w:p w14:paraId="435B2171">
            <w:pPr>
              <w:rPr>
                <w:rFonts w:ascii="Arial"/>
                <w:sz w:val="21"/>
              </w:rPr>
            </w:pPr>
          </w:p>
        </w:tc>
      </w:tr>
      <w:tr w14:paraId="352A59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84" w:hRule="atLeast"/>
        </w:trPr>
        <w:tc>
          <w:tcPr>
            <w:tcW w:w="873" w:type="dxa"/>
            <w:vMerge w:val="continue"/>
            <w:tcBorders>
              <w:top w:val="nil"/>
              <w:bottom w:val="nil"/>
            </w:tcBorders>
            <w:vAlign w:val="top"/>
          </w:tcPr>
          <w:p w14:paraId="3866BAB3">
            <w:pPr>
              <w:rPr>
                <w:rFonts w:ascii="Arial"/>
                <w:sz w:val="21"/>
              </w:rPr>
            </w:pPr>
          </w:p>
        </w:tc>
        <w:tc>
          <w:tcPr>
            <w:tcW w:w="2334" w:type="dxa"/>
            <w:tcBorders>
              <w:top w:val="single" w:color="000000" w:sz="2" w:space="0"/>
              <w:bottom w:val="single" w:color="000000" w:sz="2" w:space="0"/>
            </w:tcBorders>
            <w:vAlign w:val="top"/>
          </w:tcPr>
          <w:p w14:paraId="79B4747D">
            <w:pPr>
              <w:pStyle w:val="6"/>
              <w:spacing w:before="63" w:line="219" w:lineRule="auto"/>
              <w:ind w:left="12"/>
            </w:pPr>
            <w:r>
              <w:rPr>
                <w:spacing w:val="-1"/>
              </w:rPr>
              <w:t>2.抽样调查的种类</w:t>
            </w:r>
          </w:p>
        </w:tc>
        <w:tc>
          <w:tcPr>
            <w:tcW w:w="229" w:type="dxa"/>
            <w:tcBorders>
              <w:top w:val="single" w:color="000000" w:sz="2" w:space="0"/>
              <w:bottom w:val="single" w:color="000000" w:sz="2" w:space="0"/>
            </w:tcBorders>
            <w:vAlign w:val="top"/>
          </w:tcPr>
          <w:p w14:paraId="587CA29A">
            <w:pPr>
              <w:rPr>
                <w:rFonts w:ascii="Arial"/>
                <w:sz w:val="21"/>
              </w:rPr>
            </w:pPr>
          </w:p>
        </w:tc>
        <w:tc>
          <w:tcPr>
            <w:tcW w:w="220" w:type="dxa"/>
            <w:tcBorders>
              <w:top w:val="single" w:color="000000" w:sz="2" w:space="0"/>
              <w:bottom w:val="single" w:color="000000" w:sz="2" w:space="0"/>
            </w:tcBorders>
            <w:vAlign w:val="top"/>
          </w:tcPr>
          <w:p w14:paraId="14F388CB">
            <w:pPr>
              <w:pStyle w:val="6"/>
              <w:spacing w:before="93" w:line="238" w:lineRule="auto"/>
              <w:ind w:left="48"/>
              <w:rPr>
                <w:sz w:val="12"/>
                <w:szCs w:val="12"/>
              </w:rPr>
            </w:pPr>
            <w:r>
              <w:rPr>
                <w:sz w:val="12"/>
                <w:szCs w:val="12"/>
              </w:rPr>
              <w:t>√</w:t>
            </w:r>
          </w:p>
        </w:tc>
        <w:tc>
          <w:tcPr>
            <w:tcW w:w="229" w:type="dxa"/>
            <w:tcBorders>
              <w:top w:val="single" w:color="000000" w:sz="2" w:space="0"/>
              <w:bottom w:val="single" w:color="000000" w:sz="2" w:space="0"/>
            </w:tcBorders>
            <w:vAlign w:val="top"/>
          </w:tcPr>
          <w:p w14:paraId="64E5D239">
            <w:pPr>
              <w:rPr>
                <w:rFonts w:ascii="Arial"/>
                <w:sz w:val="21"/>
              </w:rPr>
            </w:pPr>
          </w:p>
        </w:tc>
        <w:tc>
          <w:tcPr>
            <w:tcW w:w="234" w:type="dxa"/>
            <w:tcBorders>
              <w:top w:val="single" w:color="000000" w:sz="2" w:space="0"/>
              <w:bottom w:val="single" w:color="000000" w:sz="2" w:space="0"/>
            </w:tcBorders>
            <w:vAlign w:val="top"/>
          </w:tcPr>
          <w:p w14:paraId="0910FA36">
            <w:pPr>
              <w:rPr>
                <w:rFonts w:ascii="Arial"/>
                <w:sz w:val="21"/>
              </w:rPr>
            </w:pPr>
          </w:p>
        </w:tc>
      </w:tr>
      <w:tr w14:paraId="398A54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4" w:hRule="atLeast"/>
        </w:trPr>
        <w:tc>
          <w:tcPr>
            <w:tcW w:w="873" w:type="dxa"/>
            <w:vMerge w:val="continue"/>
            <w:tcBorders>
              <w:top w:val="nil"/>
              <w:bottom w:val="single" w:color="000000" w:sz="2" w:space="0"/>
            </w:tcBorders>
            <w:vAlign w:val="top"/>
          </w:tcPr>
          <w:p w14:paraId="6BA9FDFC">
            <w:pPr>
              <w:rPr>
                <w:rFonts w:ascii="Arial"/>
                <w:sz w:val="21"/>
              </w:rPr>
            </w:pPr>
          </w:p>
        </w:tc>
        <w:tc>
          <w:tcPr>
            <w:tcW w:w="2334" w:type="dxa"/>
            <w:tcBorders>
              <w:top w:val="single" w:color="000000" w:sz="2" w:space="0"/>
              <w:bottom w:val="single" w:color="000000" w:sz="2" w:space="0"/>
            </w:tcBorders>
            <w:vAlign w:val="top"/>
          </w:tcPr>
          <w:p w14:paraId="619D4E1D">
            <w:pPr>
              <w:pStyle w:val="6"/>
              <w:spacing w:before="63" w:line="219" w:lineRule="auto"/>
              <w:ind w:left="12"/>
            </w:pPr>
            <w:r>
              <w:rPr>
                <w:spacing w:val="-1"/>
              </w:rPr>
              <w:t>3.抽样调查中的几个基本概念</w:t>
            </w:r>
          </w:p>
        </w:tc>
        <w:tc>
          <w:tcPr>
            <w:tcW w:w="229" w:type="dxa"/>
            <w:tcBorders>
              <w:top w:val="single" w:color="000000" w:sz="2" w:space="0"/>
              <w:bottom w:val="single" w:color="000000" w:sz="2" w:space="0"/>
            </w:tcBorders>
            <w:vAlign w:val="top"/>
          </w:tcPr>
          <w:p w14:paraId="6C60FCF4">
            <w:pPr>
              <w:rPr>
                <w:rFonts w:ascii="Arial"/>
                <w:sz w:val="21"/>
              </w:rPr>
            </w:pPr>
          </w:p>
        </w:tc>
        <w:tc>
          <w:tcPr>
            <w:tcW w:w="220" w:type="dxa"/>
            <w:tcBorders>
              <w:top w:val="single" w:color="000000" w:sz="2" w:space="0"/>
              <w:bottom w:val="single" w:color="000000" w:sz="2" w:space="0"/>
            </w:tcBorders>
            <w:vAlign w:val="top"/>
          </w:tcPr>
          <w:p w14:paraId="0271393E">
            <w:pPr>
              <w:pStyle w:val="6"/>
              <w:spacing w:before="94" w:line="238" w:lineRule="auto"/>
              <w:ind w:left="48"/>
              <w:rPr>
                <w:sz w:val="12"/>
                <w:szCs w:val="12"/>
              </w:rPr>
            </w:pPr>
            <w:r>
              <w:rPr>
                <w:sz w:val="12"/>
                <w:szCs w:val="12"/>
              </w:rPr>
              <w:t>√</w:t>
            </w:r>
          </w:p>
        </w:tc>
        <w:tc>
          <w:tcPr>
            <w:tcW w:w="229" w:type="dxa"/>
            <w:tcBorders>
              <w:top w:val="single" w:color="000000" w:sz="2" w:space="0"/>
              <w:bottom w:val="single" w:color="000000" w:sz="2" w:space="0"/>
            </w:tcBorders>
            <w:vAlign w:val="top"/>
          </w:tcPr>
          <w:p w14:paraId="54F72A43">
            <w:pPr>
              <w:rPr>
                <w:rFonts w:ascii="Arial"/>
                <w:sz w:val="21"/>
              </w:rPr>
            </w:pPr>
          </w:p>
        </w:tc>
        <w:tc>
          <w:tcPr>
            <w:tcW w:w="234" w:type="dxa"/>
            <w:tcBorders>
              <w:top w:val="single" w:color="000000" w:sz="2" w:space="0"/>
              <w:bottom w:val="single" w:color="000000" w:sz="2" w:space="0"/>
            </w:tcBorders>
            <w:vAlign w:val="top"/>
          </w:tcPr>
          <w:p w14:paraId="793662D1">
            <w:pPr>
              <w:rPr>
                <w:rFonts w:ascii="Arial"/>
                <w:sz w:val="21"/>
              </w:rPr>
            </w:pPr>
          </w:p>
        </w:tc>
      </w:tr>
      <w:tr w14:paraId="21A99B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4" w:hRule="atLeast"/>
        </w:trPr>
        <w:tc>
          <w:tcPr>
            <w:tcW w:w="873" w:type="dxa"/>
            <w:vMerge w:val="restart"/>
            <w:tcBorders>
              <w:top w:val="single" w:color="000000" w:sz="2" w:space="0"/>
              <w:bottom w:val="nil"/>
            </w:tcBorders>
            <w:vAlign w:val="top"/>
          </w:tcPr>
          <w:p w14:paraId="6755A3A4">
            <w:pPr>
              <w:spacing w:line="298" w:lineRule="auto"/>
              <w:rPr>
                <w:rFonts w:ascii="Arial"/>
                <w:sz w:val="21"/>
              </w:rPr>
            </w:pPr>
          </w:p>
          <w:p w14:paraId="1B3B710A">
            <w:pPr>
              <w:pStyle w:val="6"/>
              <w:spacing w:before="55" w:line="219" w:lineRule="auto"/>
              <w:ind w:left="84"/>
            </w:pPr>
            <w:r>
              <w:rPr>
                <w:spacing w:val="-2"/>
              </w:rPr>
              <w:t>抽样误差</w:t>
            </w:r>
          </w:p>
        </w:tc>
        <w:tc>
          <w:tcPr>
            <w:tcW w:w="2334" w:type="dxa"/>
            <w:tcBorders>
              <w:top w:val="single" w:color="000000" w:sz="2" w:space="0"/>
              <w:bottom w:val="single" w:color="000000" w:sz="2" w:space="0"/>
            </w:tcBorders>
            <w:vAlign w:val="top"/>
          </w:tcPr>
          <w:p w14:paraId="1AE45DB0">
            <w:pPr>
              <w:pStyle w:val="6"/>
              <w:spacing w:before="65" w:line="219" w:lineRule="auto"/>
              <w:ind w:left="12"/>
            </w:pPr>
            <w:r>
              <w:t>1.抽样误差的概念</w:t>
            </w:r>
          </w:p>
        </w:tc>
        <w:tc>
          <w:tcPr>
            <w:tcW w:w="229" w:type="dxa"/>
            <w:tcBorders>
              <w:top w:val="single" w:color="000000" w:sz="2" w:space="0"/>
              <w:bottom w:val="single" w:color="000000" w:sz="2" w:space="0"/>
            </w:tcBorders>
            <w:vAlign w:val="top"/>
          </w:tcPr>
          <w:p w14:paraId="08507CA2">
            <w:pPr>
              <w:pStyle w:val="6"/>
              <w:spacing w:before="95" w:line="238" w:lineRule="auto"/>
              <w:ind w:left="17"/>
              <w:rPr>
                <w:sz w:val="12"/>
                <w:szCs w:val="12"/>
              </w:rPr>
            </w:pPr>
            <w:r>
              <w:rPr>
                <w:sz w:val="12"/>
                <w:szCs w:val="12"/>
              </w:rPr>
              <w:t>√</w:t>
            </w:r>
          </w:p>
        </w:tc>
        <w:tc>
          <w:tcPr>
            <w:tcW w:w="220" w:type="dxa"/>
            <w:tcBorders>
              <w:top w:val="single" w:color="000000" w:sz="2" w:space="0"/>
              <w:bottom w:val="single" w:color="000000" w:sz="2" w:space="0"/>
            </w:tcBorders>
            <w:vAlign w:val="top"/>
          </w:tcPr>
          <w:p w14:paraId="2E6141CA">
            <w:pPr>
              <w:rPr>
                <w:rFonts w:ascii="Arial"/>
                <w:sz w:val="21"/>
              </w:rPr>
            </w:pPr>
          </w:p>
        </w:tc>
        <w:tc>
          <w:tcPr>
            <w:tcW w:w="229" w:type="dxa"/>
            <w:tcBorders>
              <w:top w:val="single" w:color="000000" w:sz="2" w:space="0"/>
              <w:bottom w:val="single" w:color="000000" w:sz="2" w:space="0"/>
            </w:tcBorders>
            <w:vAlign w:val="top"/>
          </w:tcPr>
          <w:p w14:paraId="3C34FBEA">
            <w:pPr>
              <w:rPr>
                <w:rFonts w:ascii="Arial"/>
                <w:sz w:val="21"/>
              </w:rPr>
            </w:pPr>
          </w:p>
        </w:tc>
        <w:tc>
          <w:tcPr>
            <w:tcW w:w="234" w:type="dxa"/>
            <w:tcBorders>
              <w:top w:val="single" w:color="000000" w:sz="2" w:space="0"/>
              <w:bottom w:val="single" w:color="000000" w:sz="2" w:space="0"/>
            </w:tcBorders>
            <w:vAlign w:val="top"/>
          </w:tcPr>
          <w:p w14:paraId="10826F33">
            <w:pPr>
              <w:rPr>
                <w:rFonts w:ascii="Arial"/>
                <w:sz w:val="21"/>
              </w:rPr>
            </w:pPr>
          </w:p>
        </w:tc>
      </w:tr>
      <w:tr w14:paraId="334BA7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5" w:hRule="atLeast"/>
        </w:trPr>
        <w:tc>
          <w:tcPr>
            <w:tcW w:w="873" w:type="dxa"/>
            <w:vMerge w:val="continue"/>
            <w:tcBorders>
              <w:top w:val="nil"/>
              <w:bottom w:val="nil"/>
            </w:tcBorders>
            <w:vAlign w:val="top"/>
          </w:tcPr>
          <w:p w14:paraId="46A22137">
            <w:pPr>
              <w:rPr>
                <w:rFonts w:ascii="Arial"/>
                <w:sz w:val="21"/>
              </w:rPr>
            </w:pPr>
          </w:p>
        </w:tc>
        <w:tc>
          <w:tcPr>
            <w:tcW w:w="2334" w:type="dxa"/>
            <w:tcBorders>
              <w:top w:val="single" w:color="000000" w:sz="2" w:space="0"/>
              <w:bottom w:val="single" w:color="000000" w:sz="2" w:space="0"/>
            </w:tcBorders>
            <w:vAlign w:val="top"/>
          </w:tcPr>
          <w:p w14:paraId="7C1EF752">
            <w:pPr>
              <w:pStyle w:val="6"/>
              <w:spacing w:before="66" w:line="219" w:lineRule="auto"/>
              <w:ind w:left="12"/>
            </w:pPr>
            <w:r>
              <w:rPr>
                <w:spacing w:val="-2"/>
              </w:rPr>
              <w:t>2.抽样平均误差</w:t>
            </w:r>
          </w:p>
        </w:tc>
        <w:tc>
          <w:tcPr>
            <w:tcW w:w="229" w:type="dxa"/>
            <w:tcBorders>
              <w:top w:val="single" w:color="000000" w:sz="2" w:space="0"/>
              <w:bottom w:val="single" w:color="000000" w:sz="2" w:space="0"/>
            </w:tcBorders>
            <w:vAlign w:val="top"/>
          </w:tcPr>
          <w:p w14:paraId="4857671B">
            <w:pPr>
              <w:rPr>
                <w:rFonts w:ascii="Arial"/>
                <w:sz w:val="21"/>
              </w:rPr>
            </w:pPr>
          </w:p>
        </w:tc>
        <w:tc>
          <w:tcPr>
            <w:tcW w:w="220" w:type="dxa"/>
            <w:tcBorders>
              <w:top w:val="single" w:color="000000" w:sz="2" w:space="0"/>
              <w:bottom w:val="single" w:color="000000" w:sz="2" w:space="0"/>
            </w:tcBorders>
            <w:vAlign w:val="top"/>
          </w:tcPr>
          <w:p w14:paraId="6AC08418">
            <w:pPr>
              <w:rPr>
                <w:rFonts w:ascii="Arial"/>
                <w:sz w:val="21"/>
              </w:rPr>
            </w:pPr>
          </w:p>
        </w:tc>
        <w:tc>
          <w:tcPr>
            <w:tcW w:w="229" w:type="dxa"/>
            <w:tcBorders>
              <w:top w:val="single" w:color="000000" w:sz="2" w:space="0"/>
              <w:bottom w:val="single" w:color="000000" w:sz="2" w:space="0"/>
            </w:tcBorders>
            <w:vAlign w:val="top"/>
          </w:tcPr>
          <w:p w14:paraId="10ECAA88">
            <w:pPr>
              <w:rPr>
                <w:rFonts w:ascii="Arial"/>
                <w:sz w:val="21"/>
              </w:rPr>
            </w:pPr>
          </w:p>
        </w:tc>
        <w:tc>
          <w:tcPr>
            <w:tcW w:w="234" w:type="dxa"/>
            <w:tcBorders>
              <w:top w:val="single" w:color="000000" w:sz="2" w:space="0"/>
              <w:bottom w:val="single" w:color="000000" w:sz="2" w:space="0"/>
            </w:tcBorders>
            <w:vAlign w:val="top"/>
          </w:tcPr>
          <w:p w14:paraId="7391F43F">
            <w:pPr>
              <w:pStyle w:val="6"/>
              <w:spacing w:before="96" w:line="238" w:lineRule="auto"/>
              <w:ind w:left="49"/>
              <w:rPr>
                <w:sz w:val="12"/>
                <w:szCs w:val="12"/>
              </w:rPr>
            </w:pPr>
            <w:r>
              <w:rPr>
                <w:sz w:val="12"/>
                <w:szCs w:val="12"/>
              </w:rPr>
              <w:t>√</w:t>
            </w:r>
          </w:p>
        </w:tc>
      </w:tr>
      <w:tr w14:paraId="371EFC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4" w:hRule="atLeast"/>
        </w:trPr>
        <w:tc>
          <w:tcPr>
            <w:tcW w:w="873" w:type="dxa"/>
            <w:vMerge w:val="continue"/>
            <w:tcBorders>
              <w:top w:val="nil"/>
              <w:bottom w:val="single" w:color="000000" w:sz="2" w:space="0"/>
            </w:tcBorders>
            <w:vAlign w:val="top"/>
          </w:tcPr>
          <w:p w14:paraId="5326169B">
            <w:pPr>
              <w:rPr>
                <w:rFonts w:ascii="Arial"/>
                <w:sz w:val="21"/>
              </w:rPr>
            </w:pPr>
          </w:p>
        </w:tc>
        <w:tc>
          <w:tcPr>
            <w:tcW w:w="2334" w:type="dxa"/>
            <w:tcBorders>
              <w:top w:val="single" w:color="000000" w:sz="2" w:space="0"/>
              <w:bottom w:val="single" w:color="000000" w:sz="2" w:space="0"/>
            </w:tcBorders>
            <w:vAlign w:val="top"/>
          </w:tcPr>
          <w:p w14:paraId="24872867">
            <w:pPr>
              <w:pStyle w:val="6"/>
              <w:spacing w:before="66" w:line="219" w:lineRule="auto"/>
              <w:ind w:left="12"/>
            </w:pPr>
            <w:r>
              <w:rPr>
                <w:spacing w:val="-2"/>
              </w:rPr>
              <w:t>3.抽样极限误差</w:t>
            </w:r>
          </w:p>
        </w:tc>
        <w:tc>
          <w:tcPr>
            <w:tcW w:w="229" w:type="dxa"/>
            <w:tcBorders>
              <w:top w:val="single" w:color="000000" w:sz="2" w:space="0"/>
              <w:bottom w:val="single" w:color="000000" w:sz="2" w:space="0"/>
            </w:tcBorders>
            <w:vAlign w:val="top"/>
          </w:tcPr>
          <w:p w14:paraId="5AF959B2">
            <w:pPr>
              <w:rPr>
                <w:rFonts w:ascii="Arial"/>
                <w:sz w:val="21"/>
              </w:rPr>
            </w:pPr>
          </w:p>
        </w:tc>
        <w:tc>
          <w:tcPr>
            <w:tcW w:w="220" w:type="dxa"/>
            <w:tcBorders>
              <w:top w:val="single" w:color="000000" w:sz="2" w:space="0"/>
              <w:bottom w:val="single" w:color="000000" w:sz="2" w:space="0"/>
            </w:tcBorders>
            <w:vAlign w:val="top"/>
          </w:tcPr>
          <w:p w14:paraId="29EA9407">
            <w:pPr>
              <w:rPr>
                <w:rFonts w:ascii="Arial"/>
                <w:sz w:val="21"/>
              </w:rPr>
            </w:pPr>
          </w:p>
        </w:tc>
        <w:tc>
          <w:tcPr>
            <w:tcW w:w="229" w:type="dxa"/>
            <w:tcBorders>
              <w:top w:val="single" w:color="000000" w:sz="2" w:space="0"/>
              <w:bottom w:val="single" w:color="000000" w:sz="2" w:space="0"/>
            </w:tcBorders>
            <w:vAlign w:val="top"/>
          </w:tcPr>
          <w:p w14:paraId="6511DC09">
            <w:pPr>
              <w:rPr>
                <w:rFonts w:ascii="Arial"/>
                <w:sz w:val="21"/>
              </w:rPr>
            </w:pPr>
          </w:p>
        </w:tc>
        <w:tc>
          <w:tcPr>
            <w:tcW w:w="234" w:type="dxa"/>
            <w:tcBorders>
              <w:top w:val="single" w:color="000000" w:sz="2" w:space="0"/>
              <w:bottom w:val="single" w:color="000000" w:sz="2" w:space="0"/>
            </w:tcBorders>
            <w:vAlign w:val="top"/>
          </w:tcPr>
          <w:p w14:paraId="448F4505">
            <w:pPr>
              <w:pStyle w:val="6"/>
              <w:spacing w:before="95" w:line="238" w:lineRule="auto"/>
              <w:ind w:left="19"/>
              <w:rPr>
                <w:sz w:val="12"/>
                <w:szCs w:val="12"/>
              </w:rPr>
            </w:pPr>
            <w:r>
              <w:rPr>
                <w:sz w:val="12"/>
                <w:szCs w:val="12"/>
              </w:rPr>
              <w:t>√</w:t>
            </w:r>
          </w:p>
        </w:tc>
      </w:tr>
      <w:tr w14:paraId="16FF40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4" w:hRule="atLeast"/>
        </w:trPr>
        <w:tc>
          <w:tcPr>
            <w:tcW w:w="873" w:type="dxa"/>
            <w:vMerge w:val="restart"/>
            <w:tcBorders>
              <w:top w:val="single" w:color="000000" w:sz="2" w:space="0"/>
              <w:bottom w:val="nil"/>
            </w:tcBorders>
            <w:vAlign w:val="top"/>
          </w:tcPr>
          <w:p w14:paraId="2F8D2309">
            <w:pPr>
              <w:spacing w:line="298" w:lineRule="auto"/>
              <w:rPr>
                <w:rFonts w:ascii="Arial"/>
                <w:sz w:val="21"/>
              </w:rPr>
            </w:pPr>
          </w:p>
          <w:p w14:paraId="694FA0D6">
            <w:pPr>
              <w:pStyle w:val="6"/>
              <w:spacing w:before="55" w:line="218" w:lineRule="auto"/>
              <w:ind w:left="84"/>
            </w:pPr>
            <w:r>
              <w:rPr>
                <w:spacing w:val="-2"/>
              </w:rPr>
              <w:t>参数估计</w:t>
            </w:r>
          </w:p>
        </w:tc>
        <w:tc>
          <w:tcPr>
            <w:tcW w:w="2334" w:type="dxa"/>
            <w:tcBorders>
              <w:top w:val="single" w:color="000000" w:sz="2" w:space="0"/>
              <w:bottom w:val="single" w:color="000000" w:sz="2" w:space="0"/>
            </w:tcBorders>
            <w:vAlign w:val="top"/>
          </w:tcPr>
          <w:p w14:paraId="03C282A8">
            <w:pPr>
              <w:pStyle w:val="6"/>
              <w:spacing w:before="65" w:line="218" w:lineRule="auto"/>
              <w:ind w:left="12"/>
            </w:pPr>
            <w:r>
              <w:rPr>
                <w:spacing w:val="1"/>
              </w:rPr>
              <w:t>1.点估计</w:t>
            </w:r>
          </w:p>
        </w:tc>
        <w:tc>
          <w:tcPr>
            <w:tcW w:w="229" w:type="dxa"/>
            <w:tcBorders>
              <w:top w:val="single" w:color="000000" w:sz="2" w:space="0"/>
              <w:bottom w:val="single" w:color="000000" w:sz="2" w:space="0"/>
            </w:tcBorders>
            <w:vAlign w:val="top"/>
          </w:tcPr>
          <w:p w14:paraId="25671909">
            <w:pPr>
              <w:rPr>
                <w:rFonts w:ascii="Arial"/>
                <w:sz w:val="21"/>
              </w:rPr>
            </w:pPr>
          </w:p>
        </w:tc>
        <w:tc>
          <w:tcPr>
            <w:tcW w:w="220" w:type="dxa"/>
            <w:tcBorders>
              <w:top w:val="single" w:color="000000" w:sz="2" w:space="0"/>
              <w:bottom w:val="single" w:color="000000" w:sz="2" w:space="0"/>
            </w:tcBorders>
            <w:vAlign w:val="top"/>
          </w:tcPr>
          <w:p w14:paraId="0F47C069">
            <w:pPr>
              <w:rPr>
                <w:rFonts w:ascii="Arial"/>
                <w:sz w:val="21"/>
              </w:rPr>
            </w:pPr>
          </w:p>
        </w:tc>
        <w:tc>
          <w:tcPr>
            <w:tcW w:w="229" w:type="dxa"/>
            <w:tcBorders>
              <w:top w:val="single" w:color="000000" w:sz="2" w:space="0"/>
              <w:bottom w:val="single" w:color="000000" w:sz="2" w:space="0"/>
            </w:tcBorders>
            <w:vAlign w:val="top"/>
          </w:tcPr>
          <w:p w14:paraId="04A941D4">
            <w:pPr>
              <w:rPr>
                <w:rFonts w:ascii="Arial"/>
                <w:sz w:val="21"/>
              </w:rPr>
            </w:pPr>
          </w:p>
        </w:tc>
        <w:tc>
          <w:tcPr>
            <w:tcW w:w="234" w:type="dxa"/>
            <w:tcBorders>
              <w:top w:val="single" w:color="000000" w:sz="2" w:space="0"/>
              <w:bottom w:val="single" w:color="000000" w:sz="2" w:space="0"/>
            </w:tcBorders>
            <w:vAlign w:val="top"/>
          </w:tcPr>
          <w:p w14:paraId="6EFD8FD9">
            <w:pPr>
              <w:rPr>
                <w:rFonts w:ascii="Arial"/>
                <w:sz w:val="21"/>
              </w:rPr>
            </w:pPr>
          </w:p>
        </w:tc>
      </w:tr>
      <w:tr w14:paraId="5BFDFA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5" w:hRule="atLeast"/>
        </w:trPr>
        <w:tc>
          <w:tcPr>
            <w:tcW w:w="873" w:type="dxa"/>
            <w:vMerge w:val="continue"/>
            <w:tcBorders>
              <w:top w:val="nil"/>
              <w:bottom w:val="nil"/>
            </w:tcBorders>
            <w:vAlign w:val="top"/>
          </w:tcPr>
          <w:p w14:paraId="3E13B586">
            <w:pPr>
              <w:rPr>
                <w:rFonts w:ascii="Arial"/>
                <w:sz w:val="21"/>
              </w:rPr>
            </w:pPr>
          </w:p>
        </w:tc>
        <w:tc>
          <w:tcPr>
            <w:tcW w:w="2334" w:type="dxa"/>
            <w:tcBorders>
              <w:top w:val="single" w:color="000000" w:sz="2" w:space="0"/>
              <w:bottom w:val="single" w:color="000000" w:sz="2" w:space="0"/>
            </w:tcBorders>
            <w:vAlign w:val="top"/>
          </w:tcPr>
          <w:p w14:paraId="4B7632A1">
            <w:pPr>
              <w:pStyle w:val="6"/>
              <w:spacing w:before="66" w:line="218" w:lineRule="auto"/>
              <w:ind w:left="12"/>
            </w:pPr>
            <w:r>
              <w:rPr>
                <w:spacing w:val="-1"/>
              </w:rPr>
              <w:t>2.区间估计</w:t>
            </w:r>
          </w:p>
        </w:tc>
        <w:tc>
          <w:tcPr>
            <w:tcW w:w="229" w:type="dxa"/>
            <w:tcBorders>
              <w:top w:val="single" w:color="000000" w:sz="2" w:space="0"/>
              <w:bottom w:val="single" w:color="000000" w:sz="2" w:space="0"/>
            </w:tcBorders>
            <w:vAlign w:val="top"/>
          </w:tcPr>
          <w:p w14:paraId="2F40096A">
            <w:pPr>
              <w:rPr>
                <w:rFonts w:ascii="Arial"/>
                <w:sz w:val="21"/>
              </w:rPr>
            </w:pPr>
          </w:p>
        </w:tc>
        <w:tc>
          <w:tcPr>
            <w:tcW w:w="220" w:type="dxa"/>
            <w:tcBorders>
              <w:top w:val="single" w:color="000000" w:sz="2" w:space="0"/>
              <w:bottom w:val="single" w:color="000000" w:sz="2" w:space="0"/>
            </w:tcBorders>
            <w:vAlign w:val="top"/>
          </w:tcPr>
          <w:p w14:paraId="429A1D66">
            <w:pPr>
              <w:rPr>
                <w:rFonts w:ascii="Arial"/>
                <w:sz w:val="21"/>
              </w:rPr>
            </w:pPr>
          </w:p>
        </w:tc>
        <w:tc>
          <w:tcPr>
            <w:tcW w:w="229" w:type="dxa"/>
            <w:tcBorders>
              <w:top w:val="single" w:color="000000" w:sz="2" w:space="0"/>
              <w:bottom w:val="single" w:color="000000" w:sz="2" w:space="0"/>
            </w:tcBorders>
            <w:vAlign w:val="top"/>
          </w:tcPr>
          <w:p w14:paraId="5053420F">
            <w:pPr>
              <w:rPr>
                <w:rFonts w:ascii="Arial"/>
                <w:sz w:val="21"/>
              </w:rPr>
            </w:pPr>
          </w:p>
        </w:tc>
        <w:tc>
          <w:tcPr>
            <w:tcW w:w="234" w:type="dxa"/>
            <w:tcBorders>
              <w:top w:val="single" w:color="000000" w:sz="2" w:space="0"/>
              <w:bottom w:val="single" w:color="000000" w:sz="2" w:space="0"/>
            </w:tcBorders>
            <w:vAlign w:val="top"/>
          </w:tcPr>
          <w:p w14:paraId="2C8C7815">
            <w:pPr>
              <w:rPr>
                <w:rFonts w:ascii="Arial"/>
                <w:sz w:val="21"/>
              </w:rPr>
            </w:pPr>
          </w:p>
        </w:tc>
      </w:tr>
      <w:tr w14:paraId="62A8CD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873" w:type="dxa"/>
            <w:vMerge w:val="continue"/>
            <w:tcBorders>
              <w:top w:val="nil"/>
              <w:bottom w:val="single" w:color="000000" w:sz="2" w:space="0"/>
            </w:tcBorders>
            <w:vAlign w:val="top"/>
          </w:tcPr>
          <w:p w14:paraId="013DA0DA">
            <w:pPr>
              <w:rPr>
                <w:rFonts w:ascii="Arial"/>
                <w:sz w:val="21"/>
              </w:rPr>
            </w:pPr>
          </w:p>
        </w:tc>
        <w:tc>
          <w:tcPr>
            <w:tcW w:w="2334" w:type="dxa"/>
            <w:tcBorders>
              <w:top w:val="single" w:color="000000" w:sz="2" w:space="0"/>
              <w:bottom w:val="single" w:color="000000" w:sz="2" w:space="0"/>
            </w:tcBorders>
            <w:vAlign w:val="top"/>
          </w:tcPr>
          <w:p w14:paraId="0D45DB21">
            <w:pPr>
              <w:pStyle w:val="6"/>
              <w:spacing w:before="66" w:line="219" w:lineRule="auto"/>
              <w:ind w:left="12"/>
            </w:pPr>
            <w:r>
              <w:rPr>
                <w:spacing w:val="2"/>
              </w:rPr>
              <w:t>3.综合举例</w:t>
            </w:r>
          </w:p>
        </w:tc>
        <w:tc>
          <w:tcPr>
            <w:tcW w:w="229" w:type="dxa"/>
            <w:tcBorders>
              <w:top w:val="single" w:color="000000" w:sz="2" w:space="0"/>
              <w:bottom w:val="single" w:color="000000" w:sz="2" w:space="0"/>
            </w:tcBorders>
            <w:vAlign w:val="top"/>
          </w:tcPr>
          <w:p w14:paraId="77670131">
            <w:pPr>
              <w:rPr>
                <w:rFonts w:ascii="Arial"/>
                <w:sz w:val="21"/>
              </w:rPr>
            </w:pPr>
          </w:p>
        </w:tc>
        <w:tc>
          <w:tcPr>
            <w:tcW w:w="220" w:type="dxa"/>
            <w:tcBorders>
              <w:top w:val="single" w:color="000000" w:sz="2" w:space="0"/>
              <w:bottom w:val="single" w:color="000000" w:sz="2" w:space="0"/>
            </w:tcBorders>
            <w:vAlign w:val="top"/>
          </w:tcPr>
          <w:p w14:paraId="503A3434">
            <w:pPr>
              <w:rPr>
                <w:rFonts w:ascii="Arial"/>
                <w:sz w:val="21"/>
              </w:rPr>
            </w:pPr>
          </w:p>
        </w:tc>
        <w:tc>
          <w:tcPr>
            <w:tcW w:w="229" w:type="dxa"/>
            <w:tcBorders>
              <w:top w:val="single" w:color="000000" w:sz="2" w:space="0"/>
              <w:bottom w:val="single" w:color="000000" w:sz="2" w:space="0"/>
            </w:tcBorders>
            <w:vAlign w:val="top"/>
          </w:tcPr>
          <w:p w14:paraId="0BFA254D">
            <w:pPr>
              <w:rPr>
                <w:rFonts w:ascii="Arial"/>
                <w:sz w:val="21"/>
              </w:rPr>
            </w:pPr>
          </w:p>
        </w:tc>
        <w:tc>
          <w:tcPr>
            <w:tcW w:w="234" w:type="dxa"/>
            <w:tcBorders>
              <w:top w:val="single" w:color="000000" w:sz="2" w:space="0"/>
              <w:bottom w:val="single" w:color="000000" w:sz="2" w:space="0"/>
            </w:tcBorders>
            <w:vAlign w:val="top"/>
          </w:tcPr>
          <w:p w14:paraId="263E9175">
            <w:pPr>
              <w:rPr>
                <w:rFonts w:ascii="Arial"/>
                <w:sz w:val="21"/>
              </w:rPr>
            </w:pPr>
          </w:p>
        </w:tc>
      </w:tr>
    </w:tbl>
    <w:p w14:paraId="512EBDEE">
      <w:pPr>
        <w:pStyle w:val="2"/>
        <w:spacing w:line="14" w:lineRule="auto"/>
        <w:rPr>
          <w:sz w:val="2"/>
        </w:rPr>
      </w:pPr>
    </w:p>
    <w:p w14:paraId="66954A09">
      <w:pPr>
        <w:pStyle w:val="2"/>
        <w:spacing w:line="14" w:lineRule="auto"/>
        <w:rPr>
          <w:sz w:val="2"/>
        </w:rPr>
      </w:pPr>
      <w:r>
        <w:rPr>
          <w:sz w:val="2"/>
          <w:szCs w:val="2"/>
        </w:rPr>
        <w:br w:type="column"/>
      </w:r>
    </w:p>
    <w:p w14:paraId="68C338CC">
      <w:pPr>
        <w:spacing w:before="19" w:line="210" w:lineRule="auto"/>
        <w:ind w:left="1257"/>
        <w:rPr>
          <w:rFonts w:ascii="宋体" w:hAnsi="宋体" w:eastAsia="宋体" w:cs="宋体"/>
          <w:sz w:val="21"/>
          <w:szCs w:val="21"/>
        </w:rPr>
      </w:pPr>
      <w:r>
        <w:rPr>
          <w:rFonts w:ascii="宋体" w:hAnsi="宋体" w:eastAsia="宋体" w:cs="宋体"/>
          <w:b/>
          <w:bCs/>
          <w:spacing w:val="-2"/>
          <w:sz w:val="21"/>
          <w:szCs w:val="21"/>
        </w:rPr>
        <w:t>(五)时间序列分析</w:t>
      </w:r>
    </w:p>
    <w:tbl>
      <w:tblPr>
        <w:tblStyle w:val="5"/>
        <w:tblW w:w="413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24"/>
        <w:gridCol w:w="230"/>
        <w:gridCol w:w="230"/>
        <w:gridCol w:w="219"/>
        <w:gridCol w:w="234"/>
      </w:tblGrid>
      <w:tr w14:paraId="696D6F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4" w:hRule="atLeast"/>
        </w:trPr>
        <w:tc>
          <w:tcPr>
            <w:tcW w:w="893" w:type="dxa"/>
            <w:vMerge w:val="restart"/>
            <w:tcBorders>
              <w:bottom w:val="nil"/>
            </w:tcBorders>
            <w:vAlign w:val="top"/>
          </w:tcPr>
          <w:p w14:paraId="087F139D">
            <w:pPr>
              <w:pStyle w:val="6"/>
              <w:spacing w:before="142" w:line="229" w:lineRule="auto"/>
              <w:ind w:left="97" w:right="112" w:firstLine="89"/>
            </w:pPr>
            <w:r>
              <w:rPr>
                <w:b/>
                <w:bCs/>
                <w:spacing w:val="-6"/>
              </w:rPr>
              <w:t>知识与</w:t>
            </w:r>
            <w:r>
              <w:t xml:space="preserve">  </w:t>
            </w:r>
            <w:r>
              <w:rPr>
                <w:b/>
                <w:bCs/>
                <w:spacing w:val="-4"/>
              </w:rPr>
              <w:t>技能要点</w:t>
            </w:r>
          </w:p>
        </w:tc>
        <w:tc>
          <w:tcPr>
            <w:tcW w:w="2324" w:type="dxa"/>
            <w:vMerge w:val="restart"/>
            <w:tcBorders>
              <w:bottom w:val="nil"/>
            </w:tcBorders>
            <w:vAlign w:val="top"/>
          </w:tcPr>
          <w:p w14:paraId="2150A273">
            <w:pPr>
              <w:pStyle w:val="6"/>
              <w:spacing w:before="259" w:line="219" w:lineRule="auto"/>
              <w:ind w:left="844"/>
            </w:pPr>
            <w:r>
              <w:rPr>
                <w:b/>
                <w:bCs/>
                <w:spacing w:val="5"/>
              </w:rPr>
              <w:t>考试条目</w:t>
            </w:r>
          </w:p>
        </w:tc>
        <w:tc>
          <w:tcPr>
            <w:tcW w:w="913" w:type="dxa"/>
            <w:gridSpan w:val="4"/>
            <w:vAlign w:val="top"/>
          </w:tcPr>
          <w:p w14:paraId="34B5B42E">
            <w:pPr>
              <w:pStyle w:val="6"/>
              <w:spacing w:before="79" w:line="219" w:lineRule="auto"/>
              <w:ind w:left="130"/>
            </w:pPr>
            <w:r>
              <w:rPr>
                <w:b/>
                <w:bCs/>
                <w:spacing w:val="-4"/>
              </w:rPr>
              <w:t>考试水平</w:t>
            </w:r>
          </w:p>
        </w:tc>
      </w:tr>
      <w:tr w14:paraId="5739F7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9" w:hRule="atLeast"/>
        </w:trPr>
        <w:tc>
          <w:tcPr>
            <w:tcW w:w="893" w:type="dxa"/>
            <w:vMerge w:val="continue"/>
            <w:tcBorders>
              <w:top w:val="nil"/>
            </w:tcBorders>
            <w:vAlign w:val="top"/>
          </w:tcPr>
          <w:p w14:paraId="6132C4F6">
            <w:pPr>
              <w:rPr>
                <w:rFonts w:ascii="Arial"/>
                <w:sz w:val="21"/>
              </w:rPr>
            </w:pPr>
          </w:p>
        </w:tc>
        <w:tc>
          <w:tcPr>
            <w:tcW w:w="2324" w:type="dxa"/>
            <w:vMerge w:val="continue"/>
            <w:tcBorders>
              <w:top w:val="nil"/>
            </w:tcBorders>
            <w:vAlign w:val="top"/>
          </w:tcPr>
          <w:p w14:paraId="2819AE63">
            <w:pPr>
              <w:rPr>
                <w:rFonts w:ascii="Arial"/>
                <w:sz w:val="21"/>
              </w:rPr>
            </w:pPr>
          </w:p>
        </w:tc>
        <w:tc>
          <w:tcPr>
            <w:tcW w:w="230" w:type="dxa"/>
            <w:vAlign w:val="top"/>
          </w:tcPr>
          <w:p w14:paraId="55934431">
            <w:pPr>
              <w:pStyle w:val="6"/>
              <w:spacing w:before="123" w:line="184" w:lineRule="auto"/>
              <w:ind w:left="18"/>
              <w:rPr>
                <w:sz w:val="18"/>
                <w:szCs w:val="18"/>
              </w:rPr>
            </w:pPr>
            <w:r>
              <w:rPr>
                <w:sz w:val="18"/>
                <w:szCs w:val="18"/>
              </w:rPr>
              <w:t>A</w:t>
            </w:r>
          </w:p>
        </w:tc>
        <w:tc>
          <w:tcPr>
            <w:tcW w:w="230" w:type="dxa"/>
            <w:vAlign w:val="top"/>
          </w:tcPr>
          <w:p w14:paraId="5D83F825">
            <w:pPr>
              <w:pStyle w:val="6"/>
              <w:spacing w:before="125" w:line="182" w:lineRule="auto"/>
              <w:ind w:left="70"/>
              <w:rPr>
                <w:sz w:val="18"/>
                <w:szCs w:val="18"/>
              </w:rPr>
            </w:pPr>
            <w:r>
              <w:rPr>
                <w:b/>
                <w:bCs/>
                <w:spacing w:val="-2"/>
                <w:sz w:val="18"/>
                <w:szCs w:val="18"/>
              </w:rPr>
              <w:t>B</w:t>
            </w:r>
          </w:p>
        </w:tc>
        <w:tc>
          <w:tcPr>
            <w:tcW w:w="219" w:type="dxa"/>
            <w:vAlign w:val="top"/>
          </w:tcPr>
          <w:p w14:paraId="3D26CF9F">
            <w:pPr>
              <w:pStyle w:val="6"/>
              <w:spacing w:before="123" w:line="183" w:lineRule="auto"/>
              <w:ind w:left="60"/>
              <w:rPr>
                <w:sz w:val="18"/>
                <w:szCs w:val="18"/>
              </w:rPr>
            </w:pPr>
            <w:r>
              <w:rPr>
                <w:b/>
                <w:bCs/>
                <w:spacing w:val="-2"/>
                <w:sz w:val="18"/>
                <w:szCs w:val="18"/>
              </w:rPr>
              <w:t>C</w:t>
            </w:r>
          </w:p>
        </w:tc>
        <w:tc>
          <w:tcPr>
            <w:tcW w:w="234" w:type="dxa"/>
            <w:vAlign w:val="top"/>
          </w:tcPr>
          <w:p w14:paraId="0831AD9E">
            <w:pPr>
              <w:pStyle w:val="6"/>
              <w:spacing w:before="132" w:line="182" w:lineRule="auto"/>
              <w:ind w:left="41"/>
            </w:pPr>
            <w:r>
              <w:rPr>
                <w:b/>
                <w:bCs/>
                <w:spacing w:val="-2"/>
              </w:rPr>
              <w:t>D</w:t>
            </w:r>
          </w:p>
        </w:tc>
      </w:tr>
      <w:tr w14:paraId="7D3ADD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893" w:type="dxa"/>
            <w:vMerge w:val="restart"/>
            <w:tcBorders>
              <w:bottom w:val="nil"/>
            </w:tcBorders>
            <w:vAlign w:val="top"/>
          </w:tcPr>
          <w:p w14:paraId="37C9ED71">
            <w:pPr>
              <w:spacing w:line="392" w:lineRule="auto"/>
              <w:rPr>
                <w:rFonts w:ascii="Arial"/>
                <w:sz w:val="21"/>
              </w:rPr>
            </w:pPr>
          </w:p>
          <w:p w14:paraId="63A5107D">
            <w:pPr>
              <w:pStyle w:val="6"/>
              <w:spacing w:before="55" w:line="235" w:lineRule="auto"/>
              <w:ind w:left="264" w:right="94" w:hanging="170"/>
            </w:pPr>
            <w:r>
              <w:rPr>
                <w:spacing w:val="3"/>
              </w:rPr>
              <w:t>时间序列</w:t>
            </w:r>
            <w:r>
              <w:t xml:space="preserve"> </w:t>
            </w:r>
            <w:r>
              <w:rPr>
                <w:spacing w:val="-2"/>
              </w:rPr>
              <w:t>概述</w:t>
            </w:r>
          </w:p>
        </w:tc>
        <w:tc>
          <w:tcPr>
            <w:tcW w:w="2324" w:type="dxa"/>
            <w:vAlign w:val="top"/>
          </w:tcPr>
          <w:p w14:paraId="56D23991">
            <w:pPr>
              <w:pStyle w:val="6"/>
              <w:spacing w:before="69" w:line="219" w:lineRule="auto"/>
              <w:ind w:left="2"/>
            </w:pPr>
            <w:r>
              <w:t>1.时间序列的概念</w:t>
            </w:r>
          </w:p>
        </w:tc>
        <w:tc>
          <w:tcPr>
            <w:tcW w:w="230" w:type="dxa"/>
            <w:vAlign w:val="top"/>
          </w:tcPr>
          <w:p w14:paraId="6FAF65AA">
            <w:pPr>
              <w:pStyle w:val="6"/>
              <w:spacing w:before="98" w:line="238" w:lineRule="auto"/>
              <w:ind w:left="7"/>
              <w:rPr>
                <w:sz w:val="12"/>
                <w:szCs w:val="12"/>
              </w:rPr>
            </w:pPr>
            <w:r>
              <w:rPr>
                <w:sz w:val="12"/>
                <w:szCs w:val="12"/>
              </w:rPr>
              <w:t>√</w:t>
            </w:r>
          </w:p>
        </w:tc>
        <w:tc>
          <w:tcPr>
            <w:tcW w:w="230" w:type="dxa"/>
            <w:vAlign w:val="top"/>
          </w:tcPr>
          <w:p w14:paraId="35F2C2E4">
            <w:pPr>
              <w:rPr>
                <w:rFonts w:ascii="Arial"/>
                <w:sz w:val="21"/>
              </w:rPr>
            </w:pPr>
          </w:p>
        </w:tc>
        <w:tc>
          <w:tcPr>
            <w:tcW w:w="219" w:type="dxa"/>
            <w:vAlign w:val="top"/>
          </w:tcPr>
          <w:p w14:paraId="7B465D6B">
            <w:pPr>
              <w:rPr>
                <w:rFonts w:ascii="Arial"/>
                <w:sz w:val="21"/>
              </w:rPr>
            </w:pPr>
          </w:p>
        </w:tc>
        <w:tc>
          <w:tcPr>
            <w:tcW w:w="234" w:type="dxa"/>
            <w:vAlign w:val="top"/>
          </w:tcPr>
          <w:p w14:paraId="0E77BB36">
            <w:pPr>
              <w:rPr>
                <w:rFonts w:ascii="Arial"/>
                <w:sz w:val="21"/>
              </w:rPr>
            </w:pPr>
          </w:p>
        </w:tc>
      </w:tr>
      <w:tr w14:paraId="06E165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893" w:type="dxa"/>
            <w:vMerge w:val="continue"/>
            <w:tcBorders>
              <w:top w:val="nil"/>
              <w:bottom w:val="nil"/>
            </w:tcBorders>
            <w:vAlign w:val="top"/>
          </w:tcPr>
          <w:p w14:paraId="2A457931">
            <w:pPr>
              <w:rPr>
                <w:rFonts w:ascii="Arial"/>
                <w:sz w:val="21"/>
              </w:rPr>
            </w:pPr>
          </w:p>
        </w:tc>
        <w:tc>
          <w:tcPr>
            <w:tcW w:w="2324" w:type="dxa"/>
            <w:vAlign w:val="top"/>
          </w:tcPr>
          <w:p w14:paraId="0722E544">
            <w:pPr>
              <w:pStyle w:val="6"/>
              <w:spacing w:before="80" w:line="219" w:lineRule="auto"/>
              <w:ind w:left="2"/>
            </w:pPr>
            <w:r>
              <w:rPr>
                <w:spacing w:val="1"/>
              </w:rPr>
              <w:t>2.时间序列的种类与作用</w:t>
            </w:r>
          </w:p>
        </w:tc>
        <w:tc>
          <w:tcPr>
            <w:tcW w:w="230" w:type="dxa"/>
            <w:vAlign w:val="top"/>
          </w:tcPr>
          <w:p w14:paraId="52B66479">
            <w:pPr>
              <w:pStyle w:val="6"/>
              <w:spacing w:before="109" w:line="238" w:lineRule="auto"/>
              <w:ind w:left="7"/>
              <w:rPr>
                <w:sz w:val="12"/>
                <w:szCs w:val="12"/>
              </w:rPr>
            </w:pPr>
            <w:r>
              <w:rPr>
                <w:sz w:val="12"/>
                <w:szCs w:val="12"/>
              </w:rPr>
              <w:t>√</w:t>
            </w:r>
          </w:p>
        </w:tc>
        <w:tc>
          <w:tcPr>
            <w:tcW w:w="230" w:type="dxa"/>
            <w:vAlign w:val="top"/>
          </w:tcPr>
          <w:p w14:paraId="2EB6B3E1">
            <w:pPr>
              <w:rPr>
                <w:rFonts w:ascii="Arial"/>
                <w:sz w:val="21"/>
              </w:rPr>
            </w:pPr>
          </w:p>
        </w:tc>
        <w:tc>
          <w:tcPr>
            <w:tcW w:w="219" w:type="dxa"/>
            <w:vAlign w:val="top"/>
          </w:tcPr>
          <w:p w14:paraId="6E9E32D9">
            <w:pPr>
              <w:rPr>
                <w:rFonts w:ascii="Arial"/>
                <w:sz w:val="21"/>
              </w:rPr>
            </w:pPr>
          </w:p>
        </w:tc>
        <w:tc>
          <w:tcPr>
            <w:tcW w:w="234" w:type="dxa"/>
            <w:vAlign w:val="top"/>
          </w:tcPr>
          <w:p w14:paraId="3C1EE6F9">
            <w:pPr>
              <w:rPr>
                <w:rFonts w:ascii="Arial"/>
                <w:sz w:val="21"/>
              </w:rPr>
            </w:pPr>
          </w:p>
        </w:tc>
      </w:tr>
      <w:tr w14:paraId="0B0F54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893" w:type="dxa"/>
            <w:vMerge w:val="continue"/>
            <w:tcBorders>
              <w:top w:val="nil"/>
              <w:bottom w:val="nil"/>
            </w:tcBorders>
            <w:vAlign w:val="top"/>
          </w:tcPr>
          <w:p w14:paraId="2764647A">
            <w:pPr>
              <w:rPr>
                <w:rFonts w:ascii="Arial"/>
                <w:sz w:val="21"/>
              </w:rPr>
            </w:pPr>
          </w:p>
        </w:tc>
        <w:tc>
          <w:tcPr>
            <w:tcW w:w="2324" w:type="dxa"/>
            <w:vAlign w:val="top"/>
          </w:tcPr>
          <w:p w14:paraId="40360CAE">
            <w:pPr>
              <w:pStyle w:val="6"/>
              <w:spacing w:before="71" w:line="220" w:lineRule="auto"/>
              <w:ind w:left="2"/>
            </w:pPr>
            <w:r>
              <w:rPr>
                <w:spacing w:val="1"/>
              </w:rPr>
              <w:t>3.总量指标时间序列</w:t>
            </w:r>
          </w:p>
        </w:tc>
        <w:tc>
          <w:tcPr>
            <w:tcW w:w="230" w:type="dxa"/>
            <w:vAlign w:val="top"/>
          </w:tcPr>
          <w:p w14:paraId="1B3F2A77">
            <w:pPr>
              <w:rPr>
                <w:rFonts w:ascii="Arial"/>
                <w:sz w:val="21"/>
              </w:rPr>
            </w:pPr>
          </w:p>
        </w:tc>
        <w:tc>
          <w:tcPr>
            <w:tcW w:w="230" w:type="dxa"/>
            <w:vAlign w:val="top"/>
          </w:tcPr>
          <w:p w14:paraId="5B6CE8D6">
            <w:pPr>
              <w:pStyle w:val="6"/>
              <w:spacing w:before="111" w:line="238" w:lineRule="auto"/>
              <w:ind w:left="18"/>
              <w:rPr>
                <w:sz w:val="12"/>
                <w:szCs w:val="12"/>
              </w:rPr>
            </w:pPr>
            <w:r>
              <w:rPr>
                <w:sz w:val="12"/>
                <w:szCs w:val="12"/>
              </w:rPr>
              <w:t>√</w:t>
            </w:r>
          </w:p>
        </w:tc>
        <w:tc>
          <w:tcPr>
            <w:tcW w:w="219" w:type="dxa"/>
            <w:vAlign w:val="top"/>
          </w:tcPr>
          <w:p w14:paraId="1617E08B">
            <w:pPr>
              <w:rPr>
                <w:rFonts w:ascii="Arial"/>
                <w:sz w:val="21"/>
              </w:rPr>
            </w:pPr>
          </w:p>
        </w:tc>
        <w:tc>
          <w:tcPr>
            <w:tcW w:w="234" w:type="dxa"/>
            <w:vAlign w:val="top"/>
          </w:tcPr>
          <w:p w14:paraId="2363AD7E">
            <w:pPr>
              <w:rPr>
                <w:rFonts w:ascii="Arial"/>
                <w:sz w:val="21"/>
              </w:rPr>
            </w:pPr>
          </w:p>
        </w:tc>
      </w:tr>
      <w:tr w14:paraId="75D98B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9" w:hRule="atLeast"/>
        </w:trPr>
        <w:tc>
          <w:tcPr>
            <w:tcW w:w="893" w:type="dxa"/>
            <w:vMerge w:val="continue"/>
            <w:tcBorders>
              <w:top w:val="nil"/>
            </w:tcBorders>
            <w:vAlign w:val="top"/>
          </w:tcPr>
          <w:p w14:paraId="388997DF">
            <w:pPr>
              <w:rPr>
                <w:rFonts w:ascii="Arial"/>
                <w:sz w:val="21"/>
              </w:rPr>
            </w:pPr>
          </w:p>
        </w:tc>
        <w:tc>
          <w:tcPr>
            <w:tcW w:w="2324" w:type="dxa"/>
            <w:vAlign w:val="top"/>
          </w:tcPr>
          <w:p w14:paraId="67E9E633">
            <w:pPr>
              <w:pStyle w:val="6"/>
              <w:spacing w:before="92" w:line="219" w:lineRule="auto"/>
              <w:ind w:left="2"/>
            </w:pPr>
            <w:r>
              <w:rPr>
                <w:spacing w:val="1"/>
              </w:rPr>
              <w:t>4.编制时间序列的原则</w:t>
            </w:r>
          </w:p>
        </w:tc>
        <w:tc>
          <w:tcPr>
            <w:tcW w:w="230" w:type="dxa"/>
            <w:vAlign w:val="top"/>
          </w:tcPr>
          <w:p w14:paraId="3114B6A3">
            <w:pPr>
              <w:rPr>
                <w:rFonts w:ascii="Arial"/>
                <w:sz w:val="21"/>
              </w:rPr>
            </w:pPr>
          </w:p>
        </w:tc>
        <w:tc>
          <w:tcPr>
            <w:tcW w:w="230" w:type="dxa"/>
            <w:vAlign w:val="top"/>
          </w:tcPr>
          <w:p w14:paraId="25BEED77">
            <w:pPr>
              <w:pStyle w:val="6"/>
              <w:spacing w:before="121" w:line="238" w:lineRule="auto"/>
              <w:ind w:left="47"/>
              <w:rPr>
                <w:sz w:val="12"/>
                <w:szCs w:val="12"/>
              </w:rPr>
            </w:pPr>
            <w:r>
              <w:rPr>
                <w:sz w:val="12"/>
                <w:szCs w:val="12"/>
              </w:rPr>
              <w:t>√</w:t>
            </w:r>
          </w:p>
        </w:tc>
        <w:tc>
          <w:tcPr>
            <w:tcW w:w="219" w:type="dxa"/>
            <w:vAlign w:val="top"/>
          </w:tcPr>
          <w:p w14:paraId="254B23A7">
            <w:pPr>
              <w:rPr>
                <w:rFonts w:ascii="Arial"/>
                <w:sz w:val="21"/>
              </w:rPr>
            </w:pPr>
          </w:p>
        </w:tc>
        <w:tc>
          <w:tcPr>
            <w:tcW w:w="234" w:type="dxa"/>
            <w:vAlign w:val="top"/>
          </w:tcPr>
          <w:p w14:paraId="259ACC7D">
            <w:pPr>
              <w:rPr>
                <w:rFonts w:ascii="Arial"/>
                <w:sz w:val="21"/>
              </w:rPr>
            </w:pPr>
          </w:p>
        </w:tc>
      </w:tr>
      <w:tr w14:paraId="072B61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trPr>
        <w:tc>
          <w:tcPr>
            <w:tcW w:w="893" w:type="dxa"/>
            <w:vMerge w:val="restart"/>
            <w:tcBorders>
              <w:bottom w:val="nil"/>
            </w:tcBorders>
            <w:vAlign w:val="top"/>
          </w:tcPr>
          <w:p w14:paraId="2EA8C578">
            <w:pPr>
              <w:pStyle w:val="6"/>
              <w:spacing w:before="114" w:line="221" w:lineRule="auto"/>
              <w:ind w:left="94"/>
            </w:pPr>
            <w:r>
              <w:rPr>
                <w:spacing w:val="3"/>
              </w:rPr>
              <w:t>时间序列</w:t>
            </w:r>
          </w:p>
          <w:p w14:paraId="0D97850B">
            <w:pPr>
              <w:pStyle w:val="6"/>
              <w:spacing w:before="46" w:line="224" w:lineRule="auto"/>
              <w:ind w:left="264" w:right="179" w:hanging="80"/>
            </w:pPr>
            <w:r>
              <w:rPr>
                <w:spacing w:val="2"/>
              </w:rPr>
              <w:t>的水平</w:t>
            </w:r>
            <w:r>
              <w:rPr>
                <w:spacing w:val="1"/>
              </w:rPr>
              <w:t xml:space="preserve"> </w:t>
            </w:r>
            <w:r>
              <w:rPr>
                <w:spacing w:val="-3"/>
              </w:rPr>
              <w:t>分析</w:t>
            </w:r>
          </w:p>
        </w:tc>
        <w:tc>
          <w:tcPr>
            <w:tcW w:w="2324" w:type="dxa"/>
            <w:vAlign w:val="top"/>
          </w:tcPr>
          <w:p w14:paraId="540A34E9">
            <w:pPr>
              <w:pStyle w:val="6"/>
              <w:spacing w:before="53" w:line="219" w:lineRule="auto"/>
              <w:ind w:left="2"/>
            </w:pPr>
            <w:r>
              <w:rPr>
                <w:spacing w:val="1"/>
              </w:rPr>
              <w:t>1.发展水平</w:t>
            </w:r>
          </w:p>
        </w:tc>
        <w:tc>
          <w:tcPr>
            <w:tcW w:w="230" w:type="dxa"/>
            <w:vAlign w:val="top"/>
          </w:tcPr>
          <w:p w14:paraId="7780B6E3">
            <w:pPr>
              <w:rPr>
                <w:rFonts w:ascii="Arial"/>
                <w:sz w:val="21"/>
              </w:rPr>
            </w:pPr>
          </w:p>
        </w:tc>
        <w:tc>
          <w:tcPr>
            <w:tcW w:w="230" w:type="dxa"/>
            <w:vAlign w:val="top"/>
          </w:tcPr>
          <w:p w14:paraId="6BF66379">
            <w:pPr>
              <w:rPr>
                <w:rFonts w:ascii="Arial"/>
                <w:sz w:val="21"/>
              </w:rPr>
            </w:pPr>
          </w:p>
        </w:tc>
        <w:tc>
          <w:tcPr>
            <w:tcW w:w="219" w:type="dxa"/>
            <w:vAlign w:val="top"/>
          </w:tcPr>
          <w:p w14:paraId="63DA7F97">
            <w:pPr>
              <w:pStyle w:val="6"/>
              <w:spacing w:before="92" w:line="238" w:lineRule="auto"/>
              <w:ind w:left="17"/>
              <w:rPr>
                <w:sz w:val="12"/>
                <w:szCs w:val="12"/>
              </w:rPr>
            </w:pPr>
            <w:r>
              <w:rPr>
                <w:sz w:val="12"/>
                <w:szCs w:val="12"/>
              </w:rPr>
              <w:t>√</w:t>
            </w:r>
          </w:p>
        </w:tc>
        <w:tc>
          <w:tcPr>
            <w:tcW w:w="234" w:type="dxa"/>
            <w:vAlign w:val="top"/>
          </w:tcPr>
          <w:p w14:paraId="2C4FFAFC">
            <w:pPr>
              <w:rPr>
                <w:rFonts w:ascii="Arial"/>
                <w:sz w:val="21"/>
              </w:rPr>
            </w:pPr>
          </w:p>
        </w:tc>
      </w:tr>
      <w:tr w14:paraId="11B9EB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893" w:type="dxa"/>
            <w:vMerge w:val="continue"/>
            <w:tcBorders>
              <w:top w:val="nil"/>
              <w:bottom w:val="nil"/>
            </w:tcBorders>
            <w:vAlign w:val="top"/>
          </w:tcPr>
          <w:p w14:paraId="5E18F309">
            <w:pPr>
              <w:rPr>
                <w:rFonts w:ascii="Arial"/>
                <w:sz w:val="21"/>
              </w:rPr>
            </w:pPr>
          </w:p>
        </w:tc>
        <w:tc>
          <w:tcPr>
            <w:tcW w:w="2324" w:type="dxa"/>
            <w:vAlign w:val="top"/>
          </w:tcPr>
          <w:p w14:paraId="198FCEEA">
            <w:pPr>
              <w:pStyle w:val="6"/>
              <w:spacing w:before="53" w:line="219" w:lineRule="auto"/>
              <w:ind w:left="2"/>
            </w:pPr>
            <w:r>
              <w:rPr>
                <w:spacing w:val="-2"/>
              </w:rPr>
              <w:t>2.平均发展水平</w:t>
            </w:r>
          </w:p>
        </w:tc>
        <w:tc>
          <w:tcPr>
            <w:tcW w:w="230" w:type="dxa"/>
            <w:vAlign w:val="top"/>
          </w:tcPr>
          <w:p w14:paraId="7D70CCF1">
            <w:pPr>
              <w:rPr>
                <w:rFonts w:ascii="Arial"/>
                <w:sz w:val="21"/>
              </w:rPr>
            </w:pPr>
          </w:p>
        </w:tc>
        <w:tc>
          <w:tcPr>
            <w:tcW w:w="230" w:type="dxa"/>
            <w:vAlign w:val="top"/>
          </w:tcPr>
          <w:p w14:paraId="6030AF70">
            <w:pPr>
              <w:rPr>
                <w:rFonts w:ascii="Arial"/>
                <w:sz w:val="21"/>
              </w:rPr>
            </w:pPr>
          </w:p>
        </w:tc>
        <w:tc>
          <w:tcPr>
            <w:tcW w:w="219" w:type="dxa"/>
            <w:vAlign w:val="top"/>
          </w:tcPr>
          <w:p w14:paraId="09FB969A">
            <w:pPr>
              <w:pStyle w:val="6"/>
              <w:spacing w:before="93" w:line="238" w:lineRule="auto"/>
              <w:ind w:left="48"/>
              <w:rPr>
                <w:sz w:val="12"/>
                <w:szCs w:val="12"/>
              </w:rPr>
            </w:pPr>
            <w:r>
              <w:rPr>
                <w:sz w:val="12"/>
                <w:szCs w:val="12"/>
              </w:rPr>
              <w:t>√</w:t>
            </w:r>
          </w:p>
        </w:tc>
        <w:tc>
          <w:tcPr>
            <w:tcW w:w="234" w:type="dxa"/>
            <w:vAlign w:val="top"/>
          </w:tcPr>
          <w:p w14:paraId="59759700">
            <w:pPr>
              <w:rPr>
                <w:rFonts w:ascii="Arial"/>
                <w:sz w:val="21"/>
              </w:rPr>
            </w:pPr>
          </w:p>
        </w:tc>
      </w:tr>
      <w:tr w14:paraId="3E2A27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0" w:hRule="atLeast"/>
        </w:trPr>
        <w:tc>
          <w:tcPr>
            <w:tcW w:w="893" w:type="dxa"/>
            <w:vMerge w:val="continue"/>
            <w:tcBorders>
              <w:top w:val="nil"/>
            </w:tcBorders>
            <w:vAlign w:val="top"/>
          </w:tcPr>
          <w:p w14:paraId="753C1AEA">
            <w:pPr>
              <w:rPr>
                <w:rFonts w:ascii="Arial"/>
                <w:sz w:val="21"/>
              </w:rPr>
            </w:pPr>
          </w:p>
        </w:tc>
        <w:tc>
          <w:tcPr>
            <w:tcW w:w="2324" w:type="dxa"/>
            <w:vAlign w:val="top"/>
          </w:tcPr>
          <w:p w14:paraId="62E0AD14">
            <w:pPr>
              <w:pStyle w:val="6"/>
              <w:spacing w:before="64" w:line="220" w:lineRule="auto"/>
              <w:ind w:left="2"/>
            </w:pPr>
            <w:r>
              <w:rPr>
                <w:spacing w:val="-1"/>
              </w:rPr>
              <w:t>3.增长量和平均增长量</w:t>
            </w:r>
          </w:p>
        </w:tc>
        <w:tc>
          <w:tcPr>
            <w:tcW w:w="230" w:type="dxa"/>
            <w:vAlign w:val="top"/>
          </w:tcPr>
          <w:p w14:paraId="75BB1D78">
            <w:pPr>
              <w:rPr>
                <w:rFonts w:ascii="Arial"/>
                <w:sz w:val="21"/>
              </w:rPr>
            </w:pPr>
          </w:p>
        </w:tc>
        <w:tc>
          <w:tcPr>
            <w:tcW w:w="230" w:type="dxa"/>
            <w:vAlign w:val="top"/>
          </w:tcPr>
          <w:p w14:paraId="2A167513">
            <w:pPr>
              <w:rPr>
                <w:rFonts w:ascii="Arial"/>
                <w:sz w:val="21"/>
              </w:rPr>
            </w:pPr>
          </w:p>
        </w:tc>
        <w:tc>
          <w:tcPr>
            <w:tcW w:w="219" w:type="dxa"/>
            <w:vAlign w:val="top"/>
          </w:tcPr>
          <w:p w14:paraId="4419E3E1">
            <w:pPr>
              <w:pStyle w:val="6"/>
              <w:spacing w:before="104" w:line="238" w:lineRule="auto"/>
              <w:ind w:left="48"/>
              <w:rPr>
                <w:sz w:val="12"/>
                <w:szCs w:val="12"/>
              </w:rPr>
            </w:pPr>
            <w:r>
              <w:rPr>
                <w:sz w:val="12"/>
                <w:szCs w:val="12"/>
              </w:rPr>
              <w:t>√</w:t>
            </w:r>
          </w:p>
        </w:tc>
        <w:tc>
          <w:tcPr>
            <w:tcW w:w="234" w:type="dxa"/>
            <w:vAlign w:val="top"/>
          </w:tcPr>
          <w:p w14:paraId="0A0AD1DD">
            <w:pPr>
              <w:rPr>
                <w:rFonts w:ascii="Arial"/>
                <w:sz w:val="21"/>
              </w:rPr>
            </w:pPr>
          </w:p>
        </w:tc>
      </w:tr>
      <w:tr w14:paraId="7017FD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trPr>
        <w:tc>
          <w:tcPr>
            <w:tcW w:w="893" w:type="dxa"/>
            <w:vMerge w:val="restart"/>
            <w:tcBorders>
              <w:bottom w:val="nil"/>
            </w:tcBorders>
            <w:vAlign w:val="top"/>
          </w:tcPr>
          <w:p w14:paraId="31E289AA">
            <w:pPr>
              <w:pStyle w:val="6"/>
              <w:spacing w:before="255" w:line="221" w:lineRule="auto"/>
              <w:ind w:left="94"/>
            </w:pPr>
            <w:r>
              <w:rPr>
                <w:spacing w:val="3"/>
              </w:rPr>
              <w:t>时间序列</w:t>
            </w:r>
          </w:p>
          <w:p w14:paraId="6B16ABD9">
            <w:pPr>
              <w:pStyle w:val="6"/>
              <w:spacing w:before="36" w:line="224" w:lineRule="auto"/>
              <w:ind w:left="264" w:right="177" w:hanging="80"/>
            </w:pPr>
            <w:r>
              <w:rPr>
                <w:spacing w:val="3"/>
              </w:rPr>
              <w:t>的速度</w:t>
            </w:r>
            <w:r>
              <w:t xml:space="preserve"> </w:t>
            </w:r>
            <w:r>
              <w:rPr>
                <w:spacing w:val="-3"/>
              </w:rPr>
              <w:t>分析</w:t>
            </w:r>
          </w:p>
        </w:tc>
        <w:tc>
          <w:tcPr>
            <w:tcW w:w="2324" w:type="dxa"/>
            <w:vAlign w:val="top"/>
          </w:tcPr>
          <w:p w14:paraId="5CA7D6C6">
            <w:pPr>
              <w:pStyle w:val="6"/>
              <w:spacing w:before="54" w:line="220" w:lineRule="auto"/>
              <w:ind w:left="2"/>
            </w:pPr>
            <w:r>
              <w:rPr>
                <w:spacing w:val="1"/>
              </w:rPr>
              <w:t>1.发展速度</w:t>
            </w:r>
          </w:p>
        </w:tc>
        <w:tc>
          <w:tcPr>
            <w:tcW w:w="230" w:type="dxa"/>
            <w:vAlign w:val="top"/>
          </w:tcPr>
          <w:p w14:paraId="28E49841">
            <w:pPr>
              <w:rPr>
                <w:rFonts w:ascii="Arial"/>
                <w:sz w:val="21"/>
              </w:rPr>
            </w:pPr>
          </w:p>
        </w:tc>
        <w:tc>
          <w:tcPr>
            <w:tcW w:w="230" w:type="dxa"/>
            <w:vAlign w:val="top"/>
          </w:tcPr>
          <w:p w14:paraId="46821DEB">
            <w:pPr>
              <w:rPr>
                <w:rFonts w:ascii="Arial"/>
                <w:sz w:val="21"/>
              </w:rPr>
            </w:pPr>
          </w:p>
        </w:tc>
        <w:tc>
          <w:tcPr>
            <w:tcW w:w="219" w:type="dxa"/>
            <w:vAlign w:val="top"/>
          </w:tcPr>
          <w:p w14:paraId="5351CA4D">
            <w:pPr>
              <w:rPr>
                <w:rFonts w:ascii="Arial"/>
                <w:sz w:val="21"/>
              </w:rPr>
            </w:pPr>
          </w:p>
        </w:tc>
        <w:tc>
          <w:tcPr>
            <w:tcW w:w="234" w:type="dxa"/>
            <w:vAlign w:val="top"/>
          </w:tcPr>
          <w:p w14:paraId="36530BB8">
            <w:pPr>
              <w:rPr>
                <w:rFonts w:ascii="Arial"/>
                <w:sz w:val="21"/>
              </w:rPr>
            </w:pPr>
          </w:p>
        </w:tc>
      </w:tr>
      <w:tr w14:paraId="7EE778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893" w:type="dxa"/>
            <w:vMerge w:val="continue"/>
            <w:tcBorders>
              <w:top w:val="nil"/>
              <w:bottom w:val="nil"/>
            </w:tcBorders>
            <w:vAlign w:val="top"/>
          </w:tcPr>
          <w:p w14:paraId="5893CF14">
            <w:pPr>
              <w:rPr>
                <w:rFonts w:ascii="Arial"/>
                <w:sz w:val="21"/>
              </w:rPr>
            </w:pPr>
          </w:p>
        </w:tc>
        <w:tc>
          <w:tcPr>
            <w:tcW w:w="2324" w:type="dxa"/>
            <w:vAlign w:val="top"/>
          </w:tcPr>
          <w:p w14:paraId="1E88E1A3">
            <w:pPr>
              <w:pStyle w:val="6"/>
              <w:spacing w:before="54" w:line="220" w:lineRule="auto"/>
              <w:ind w:left="2"/>
            </w:pPr>
            <w:r>
              <w:rPr>
                <w:spacing w:val="-2"/>
              </w:rPr>
              <w:t>2.增长速度</w:t>
            </w:r>
          </w:p>
        </w:tc>
        <w:tc>
          <w:tcPr>
            <w:tcW w:w="230" w:type="dxa"/>
            <w:vAlign w:val="top"/>
          </w:tcPr>
          <w:p w14:paraId="2BB40CB7">
            <w:pPr>
              <w:rPr>
                <w:rFonts w:ascii="Arial"/>
                <w:sz w:val="21"/>
              </w:rPr>
            </w:pPr>
          </w:p>
        </w:tc>
        <w:tc>
          <w:tcPr>
            <w:tcW w:w="230" w:type="dxa"/>
            <w:vAlign w:val="top"/>
          </w:tcPr>
          <w:p w14:paraId="0AC78084">
            <w:pPr>
              <w:rPr>
                <w:rFonts w:ascii="Arial"/>
                <w:sz w:val="21"/>
              </w:rPr>
            </w:pPr>
          </w:p>
        </w:tc>
        <w:tc>
          <w:tcPr>
            <w:tcW w:w="219" w:type="dxa"/>
            <w:vAlign w:val="top"/>
          </w:tcPr>
          <w:p w14:paraId="0CABABEA">
            <w:pPr>
              <w:rPr>
                <w:rFonts w:ascii="Arial"/>
                <w:sz w:val="21"/>
              </w:rPr>
            </w:pPr>
          </w:p>
        </w:tc>
        <w:tc>
          <w:tcPr>
            <w:tcW w:w="234" w:type="dxa"/>
            <w:vAlign w:val="top"/>
          </w:tcPr>
          <w:p w14:paraId="3019746E">
            <w:pPr>
              <w:rPr>
                <w:rFonts w:ascii="Arial"/>
                <w:sz w:val="21"/>
              </w:rPr>
            </w:pPr>
          </w:p>
        </w:tc>
      </w:tr>
      <w:tr w14:paraId="4F0FFC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trPr>
        <w:tc>
          <w:tcPr>
            <w:tcW w:w="893" w:type="dxa"/>
            <w:vMerge w:val="continue"/>
            <w:tcBorders>
              <w:top w:val="nil"/>
              <w:bottom w:val="nil"/>
            </w:tcBorders>
            <w:vAlign w:val="top"/>
          </w:tcPr>
          <w:p w14:paraId="34CD07CA">
            <w:pPr>
              <w:rPr>
                <w:rFonts w:ascii="Arial"/>
                <w:sz w:val="21"/>
              </w:rPr>
            </w:pPr>
          </w:p>
        </w:tc>
        <w:tc>
          <w:tcPr>
            <w:tcW w:w="2324" w:type="dxa"/>
            <w:vAlign w:val="top"/>
          </w:tcPr>
          <w:p w14:paraId="1177EF35">
            <w:pPr>
              <w:pStyle w:val="6"/>
              <w:spacing w:before="55" w:line="220" w:lineRule="auto"/>
              <w:ind w:left="2"/>
            </w:pPr>
            <w:r>
              <w:rPr>
                <w:spacing w:val="1"/>
              </w:rPr>
              <w:t>3.平均发展速度</w:t>
            </w:r>
          </w:p>
        </w:tc>
        <w:tc>
          <w:tcPr>
            <w:tcW w:w="230" w:type="dxa"/>
            <w:vAlign w:val="top"/>
          </w:tcPr>
          <w:p w14:paraId="21BFF0FB">
            <w:pPr>
              <w:rPr>
                <w:rFonts w:ascii="Arial"/>
                <w:sz w:val="21"/>
              </w:rPr>
            </w:pPr>
          </w:p>
        </w:tc>
        <w:tc>
          <w:tcPr>
            <w:tcW w:w="230" w:type="dxa"/>
            <w:vAlign w:val="top"/>
          </w:tcPr>
          <w:p w14:paraId="35EF15E4">
            <w:pPr>
              <w:rPr>
                <w:rFonts w:ascii="Arial"/>
                <w:sz w:val="21"/>
              </w:rPr>
            </w:pPr>
          </w:p>
        </w:tc>
        <w:tc>
          <w:tcPr>
            <w:tcW w:w="219" w:type="dxa"/>
            <w:vAlign w:val="top"/>
          </w:tcPr>
          <w:p w14:paraId="1BA7F247">
            <w:pPr>
              <w:rPr>
                <w:rFonts w:ascii="Arial"/>
                <w:sz w:val="21"/>
              </w:rPr>
            </w:pPr>
          </w:p>
        </w:tc>
        <w:tc>
          <w:tcPr>
            <w:tcW w:w="234" w:type="dxa"/>
            <w:vAlign w:val="top"/>
          </w:tcPr>
          <w:p w14:paraId="6C45E3E2">
            <w:pPr>
              <w:rPr>
                <w:rFonts w:ascii="Arial"/>
                <w:sz w:val="21"/>
              </w:rPr>
            </w:pPr>
          </w:p>
        </w:tc>
      </w:tr>
      <w:tr w14:paraId="331D22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trPr>
        <w:tc>
          <w:tcPr>
            <w:tcW w:w="893" w:type="dxa"/>
            <w:vMerge w:val="continue"/>
            <w:tcBorders>
              <w:top w:val="nil"/>
            </w:tcBorders>
            <w:vAlign w:val="top"/>
          </w:tcPr>
          <w:p w14:paraId="7AB32561">
            <w:pPr>
              <w:rPr>
                <w:rFonts w:ascii="Arial"/>
                <w:sz w:val="21"/>
              </w:rPr>
            </w:pPr>
          </w:p>
        </w:tc>
        <w:tc>
          <w:tcPr>
            <w:tcW w:w="2324" w:type="dxa"/>
            <w:vAlign w:val="top"/>
          </w:tcPr>
          <w:p w14:paraId="1D4B644F">
            <w:pPr>
              <w:pStyle w:val="6"/>
              <w:spacing w:before="55" w:line="220" w:lineRule="auto"/>
              <w:ind w:left="2"/>
            </w:pPr>
            <w:r>
              <w:rPr>
                <w:spacing w:val="-1"/>
              </w:rPr>
              <w:t>4.平均增长速度</w:t>
            </w:r>
          </w:p>
        </w:tc>
        <w:tc>
          <w:tcPr>
            <w:tcW w:w="230" w:type="dxa"/>
            <w:vAlign w:val="top"/>
          </w:tcPr>
          <w:p w14:paraId="5765D4A1">
            <w:pPr>
              <w:rPr>
                <w:rFonts w:ascii="Arial"/>
                <w:sz w:val="21"/>
              </w:rPr>
            </w:pPr>
          </w:p>
        </w:tc>
        <w:tc>
          <w:tcPr>
            <w:tcW w:w="230" w:type="dxa"/>
            <w:vAlign w:val="top"/>
          </w:tcPr>
          <w:p w14:paraId="6DC5BB41">
            <w:pPr>
              <w:rPr>
                <w:rFonts w:ascii="Arial"/>
                <w:sz w:val="21"/>
              </w:rPr>
            </w:pPr>
          </w:p>
        </w:tc>
        <w:tc>
          <w:tcPr>
            <w:tcW w:w="219" w:type="dxa"/>
            <w:vAlign w:val="top"/>
          </w:tcPr>
          <w:p w14:paraId="2FEE0DEE">
            <w:pPr>
              <w:rPr>
                <w:rFonts w:ascii="Arial"/>
                <w:sz w:val="21"/>
              </w:rPr>
            </w:pPr>
          </w:p>
        </w:tc>
        <w:tc>
          <w:tcPr>
            <w:tcW w:w="234" w:type="dxa"/>
            <w:vAlign w:val="top"/>
          </w:tcPr>
          <w:p w14:paraId="23DE1562">
            <w:pPr>
              <w:rPr>
                <w:rFonts w:ascii="Arial"/>
                <w:sz w:val="21"/>
              </w:rPr>
            </w:pPr>
          </w:p>
        </w:tc>
      </w:tr>
      <w:tr w14:paraId="7B59AA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trPr>
        <w:tc>
          <w:tcPr>
            <w:tcW w:w="893" w:type="dxa"/>
            <w:vMerge w:val="restart"/>
            <w:tcBorders>
              <w:bottom w:val="nil"/>
            </w:tcBorders>
            <w:vAlign w:val="top"/>
          </w:tcPr>
          <w:p w14:paraId="0A34DD83">
            <w:pPr>
              <w:pStyle w:val="6"/>
              <w:spacing w:before="45" w:line="234" w:lineRule="auto"/>
              <w:ind w:left="55" w:right="30" w:firstLine="39"/>
            </w:pPr>
            <w:r>
              <w:rPr>
                <w:spacing w:val="3"/>
              </w:rPr>
              <w:t>长期趋势</w:t>
            </w:r>
            <w:r>
              <w:t xml:space="preserve"> </w:t>
            </w:r>
            <w:r>
              <w:rPr>
                <w:spacing w:val="8"/>
              </w:rPr>
              <w:t>和季节变</w:t>
            </w:r>
            <w:r>
              <w:t xml:space="preserve">  </w:t>
            </w:r>
            <w:r>
              <w:rPr>
                <w:spacing w:val="-2"/>
              </w:rPr>
              <w:t>动分析(选</w:t>
            </w:r>
            <w:r>
              <w:rPr>
                <w:spacing w:val="1"/>
              </w:rPr>
              <w:t xml:space="preserve"> </w:t>
            </w:r>
            <w:r>
              <w:rPr>
                <w:spacing w:val="21"/>
              </w:rPr>
              <w:t>学内容，</w:t>
            </w:r>
            <w:r>
              <w:t xml:space="preserve"> </w:t>
            </w:r>
            <w:r>
              <w:rPr>
                <w:spacing w:val="6"/>
              </w:rPr>
              <w:t>不用要求)</w:t>
            </w:r>
          </w:p>
        </w:tc>
        <w:tc>
          <w:tcPr>
            <w:tcW w:w="2324" w:type="dxa"/>
            <w:vAlign w:val="top"/>
          </w:tcPr>
          <w:p w14:paraId="4B7CD36C">
            <w:pPr>
              <w:pStyle w:val="6"/>
              <w:spacing w:before="55" w:line="219" w:lineRule="auto"/>
              <w:ind w:left="2"/>
            </w:pPr>
            <w:r>
              <w:t>1.时间序列变动的因素分析</w:t>
            </w:r>
          </w:p>
        </w:tc>
        <w:tc>
          <w:tcPr>
            <w:tcW w:w="230" w:type="dxa"/>
            <w:vAlign w:val="top"/>
          </w:tcPr>
          <w:p w14:paraId="69D939BB">
            <w:pPr>
              <w:rPr>
                <w:rFonts w:ascii="Arial"/>
                <w:sz w:val="21"/>
              </w:rPr>
            </w:pPr>
          </w:p>
        </w:tc>
        <w:tc>
          <w:tcPr>
            <w:tcW w:w="230" w:type="dxa"/>
            <w:vAlign w:val="top"/>
          </w:tcPr>
          <w:p w14:paraId="70641B60">
            <w:pPr>
              <w:rPr>
                <w:rFonts w:ascii="Arial"/>
                <w:sz w:val="21"/>
              </w:rPr>
            </w:pPr>
          </w:p>
        </w:tc>
        <w:tc>
          <w:tcPr>
            <w:tcW w:w="219" w:type="dxa"/>
            <w:vAlign w:val="top"/>
          </w:tcPr>
          <w:p w14:paraId="24B01E17">
            <w:pPr>
              <w:rPr>
                <w:rFonts w:ascii="Arial"/>
                <w:sz w:val="21"/>
              </w:rPr>
            </w:pPr>
          </w:p>
        </w:tc>
        <w:tc>
          <w:tcPr>
            <w:tcW w:w="234" w:type="dxa"/>
            <w:vAlign w:val="top"/>
          </w:tcPr>
          <w:p w14:paraId="50FB0266">
            <w:pPr>
              <w:rPr>
                <w:rFonts w:ascii="Arial"/>
                <w:sz w:val="21"/>
              </w:rPr>
            </w:pPr>
          </w:p>
        </w:tc>
      </w:tr>
      <w:tr w14:paraId="103B5A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9" w:hRule="atLeast"/>
        </w:trPr>
        <w:tc>
          <w:tcPr>
            <w:tcW w:w="893" w:type="dxa"/>
            <w:vMerge w:val="continue"/>
            <w:tcBorders>
              <w:top w:val="nil"/>
              <w:bottom w:val="nil"/>
            </w:tcBorders>
            <w:vAlign w:val="top"/>
          </w:tcPr>
          <w:p w14:paraId="3A3C020A">
            <w:pPr>
              <w:rPr>
                <w:rFonts w:ascii="Arial"/>
                <w:sz w:val="21"/>
              </w:rPr>
            </w:pPr>
          </w:p>
        </w:tc>
        <w:tc>
          <w:tcPr>
            <w:tcW w:w="2324" w:type="dxa"/>
            <w:vAlign w:val="top"/>
          </w:tcPr>
          <w:p w14:paraId="6FEEE110">
            <w:pPr>
              <w:pStyle w:val="6"/>
              <w:spacing w:before="66" w:line="221" w:lineRule="auto"/>
              <w:ind w:left="2"/>
            </w:pPr>
            <w:r>
              <w:rPr>
                <w:spacing w:val="-1"/>
              </w:rPr>
              <w:t>2.时间序列的形态描述</w:t>
            </w:r>
          </w:p>
        </w:tc>
        <w:tc>
          <w:tcPr>
            <w:tcW w:w="230" w:type="dxa"/>
            <w:vAlign w:val="top"/>
          </w:tcPr>
          <w:p w14:paraId="1B6A0AD4">
            <w:pPr>
              <w:rPr>
                <w:rFonts w:ascii="Arial"/>
                <w:sz w:val="21"/>
              </w:rPr>
            </w:pPr>
          </w:p>
        </w:tc>
        <w:tc>
          <w:tcPr>
            <w:tcW w:w="230" w:type="dxa"/>
            <w:vAlign w:val="top"/>
          </w:tcPr>
          <w:p w14:paraId="3398C013">
            <w:pPr>
              <w:rPr>
                <w:rFonts w:ascii="Arial"/>
                <w:sz w:val="21"/>
              </w:rPr>
            </w:pPr>
          </w:p>
        </w:tc>
        <w:tc>
          <w:tcPr>
            <w:tcW w:w="219" w:type="dxa"/>
            <w:vAlign w:val="top"/>
          </w:tcPr>
          <w:p w14:paraId="7577650F">
            <w:pPr>
              <w:rPr>
                <w:rFonts w:ascii="Arial"/>
                <w:sz w:val="21"/>
              </w:rPr>
            </w:pPr>
          </w:p>
        </w:tc>
        <w:tc>
          <w:tcPr>
            <w:tcW w:w="234" w:type="dxa"/>
            <w:vAlign w:val="top"/>
          </w:tcPr>
          <w:p w14:paraId="3388BAC4">
            <w:pPr>
              <w:rPr>
                <w:rFonts w:ascii="Arial"/>
                <w:sz w:val="21"/>
              </w:rPr>
            </w:pPr>
          </w:p>
        </w:tc>
      </w:tr>
      <w:tr w14:paraId="74F2C3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trPr>
        <w:tc>
          <w:tcPr>
            <w:tcW w:w="893" w:type="dxa"/>
            <w:vMerge w:val="continue"/>
            <w:tcBorders>
              <w:top w:val="nil"/>
              <w:bottom w:val="nil"/>
            </w:tcBorders>
            <w:vAlign w:val="top"/>
          </w:tcPr>
          <w:p w14:paraId="309ACAFE">
            <w:pPr>
              <w:rPr>
                <w:rFonts w:ascii="Arial"/>
                <w:sz w:val="21"/>
              </w:rPr>
            </w:pPr>
          </w:p>
        </w:tc>
        <w:tc>
          <w:tcPr>
            <w:tcW w:w="2324" w:type="dxa"/>
            <w:vAlign w:val="top"/>
          </w:tcPr>
          <w:p w14:paraId="39BFC8DD">
            <w:pPr>
              <w:pStyle w:val="6"/>
              <w:spacing w:before="56" w:line="219" w:lineRule="auto"/>
              <w:ind w:left="2"/>
            </w:pPr>
            <w:r>
              <w:rPr>
                <w:spacing w:val="-2"/>
              </w:rPr>
              <w:t>3.长期趋势分析</w:t>
            </w:r>
          </w:p>
        </w:tc>
        <w:tc>
          <w:tcPr>
            <w:tcW w:w="230" w:type="dxa"/>
            <w:vAlign w:val="top"/>
          </w:tcPr>
          <w:p w14:paraId="7073B046">
            <w:pPr>
              <w:rPr>
                <w:rFonts w:ascii="Arial"/>
                <w:sz w:val="21"/>
              </w:rPr>
            </w:pPr>
          </w:p>
        </w:tc>
        <w:tc>
          <w:tcPr>
            <w:tcW w:w="230" w:type="dxa"/>
            <w:vAlign w:val="top"/>
          </w:tcPr>
          <w:p w14:paraId="2F30FA7E">
            <w:pPr>
              <w:rPr>
                <w:rFonts w:ascii="Arial"/>
                <w:sz w:val="21"/>
              </w:rPr>
            </w:pPr>
          </w:p>
        </w:tc>
        <w:tc>
          <w:tcPr>
            <w:tcW w:w="219" w:type="dxa"/>
            <w:vAlign w:val="top"/>
          </w:tcPr>
          <w:p w14:paraId="11F8374D">
            <w:pPr>
              <w:rPr>
                <w:rFonts w:ascii="Arial"/>
                <w:sz w:val="21"/>
              </w:rPr>
            </w:pPr>
          </w:p>
        </w:tc>
        <w:tc>
          <w:tcPr>
            <w:tcW w:w="234" w:type="dxa"/>
            <w:vAlign w:val="top"/>
          </w:tcPr>
          <w:p w14:paraId="686439B2">
            <w:pPr>
              <w:rPr>
                <w:rFonts w:ascii="Arial"/>
                <w:sz w:val="21"/>
              </w:rPr>
            </w:pPr>
          </w:p>
        </w:tc>
      </w:tr>
      <w:tr w14:paraId="0CD21C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4" w:hRule="atLeast"/>
        </w:trPr>
        <w:tc>
          <w:tcPr>
            <w:tcW w:w="893" w:type="dxa"/>
            <w:vMerge w:val="continue"/>
            <w:tcBorders>
              <w:top w:val="nil"/>
            </w:tcBorders>
            <w:vAlign w:val="top"/>
          </w:tcPr>
          <w:p w14:paraId="04343EEE">
            <w:pPr>
              <w:rPr>
                <w:rFonts w:ascii="Arial"/>
                <w:sz w:val="21"/>
              </w:rPr>
            </w:pPr>
          </w:p>
        </w:tc>
        <w:tc>
          <w:tcPr>
            <w:tcW w:w="2324" w:type="dxa"/>
            <w:vAlign w:val="top"/>
          </w:tcPr>
          <w:p w14:paraId="3F37973A">
            <w:pPr>
              <w:pStyle w:val="6"/>
              <w:spacing w:before="56" w:line="219" w:lineRule="auto"/>
              <w:ind w:left="2"/>
            </w:pPr>
            <w:r>
              <w:rPr>
                <w:spacing w:val="-1"/>
              </w:rPr>
              <w:t>4.季节变动分析</w:t>
            </w:r>
          </w:p>
        </w:tc>
        <w:tc>
          <w:tcPr>
            <w:tcW w:w="230" w:type="dxa"/>
            <w:vAlign w:val="top"/>
          </w:tcPr>
          <w:p w14:paraId="557B5346">
            <w:pPr>
              <w:rPr>
                <w:rFonts w:ascii="Arial"/>
                <w:sz w:val="21"/>
              </w:rPr>
            </w:pPr>
          </w:p>
        </w:tc>
        <w:tc>
          <w:tcPr>
            <w:tcW w:w="230" w:type="dxa"/>
            <w:vAlign w:val="top"/>
          </w:tcPr>
          <w:p w14:paraId="53A77FD8">
            <w:pPr>
              <w:rPr>
                <w:rFonts w:ascii="Arial"/>
                <w:sz w:val="21"/>
              </w:rPr>
            </w:pPr>
          </w:p>
        </w:tc>
        <w:tc>
          <w:tcPr>
            <w:tcW w:w="219" w:type="dxa"/>
            <w:vAlign w:val="top"/>
          </w:tcPr>
          <w:p w14:paraId="3D36B4A3">
            <w:pPr>
              <w:rPr>
                <w:rFonts w:ascii="Arial"/>
                <w:sz w:val="21"/>
              </w:rPr>
            </w:pPr>
          </w:p>
        </w:tc>
        <w:tc>
          <w:tcPr>
            <w:tcW w:w="234" w:type="dxa"/>
            <w:vAlign w:val="top"/>
          </w:tcPr>
          <w:p w14:paraId="3D119E6A">
            <w:pPr>
              <w:rPr>
                <w:rFonts w:ascii="Arial"/>
                <w:sz w:val="21"/>
              </w:rPr>
            </w:pPr>
          </w:p>
        </w:tc>
      </w:tr>
    </w:tbl>
    <w:p w14:paraId="6E654A20">
      <w:pPr>
        <w:spacing w:before="118" w:line="221" w:lineRule="auto"/>
        <w:ind w:left="1257"/>
        <w:rPr>
          <w:rFonts w:ascii="黑体" w:hAnsi="黑体" w:eastAsia="黑体" w:cs="黑体"/>
          <w:sz w:val="20"/>
          <w:szCs w:val="20"/>
        </w:rPr>
      </w:pPr>
      <w:r>
        <w:rPr>
          <w:rFonts w:ascii="黑体" w:hAnsi="黑体" w:eastAsia="黑体" w:cs="黑体"/>
          <w:b/>
          <w:bCs/>
          <w:spacing w:val="13"/>
          <w:sz w:val="20"/>
          <w:szCs w:val="20"/>
        </w:rPr>
        <w:t>(六)统计指数</w:t>
      </w:r>
    </w:p>
    <w:p w14:paraId="3F0C3878">
      <w:pPr>
        <w:spacing w:line="71" w:lineRule="exact"/>
      </w:pPr>
    </w:p>
    <w:tbl>
      <w:tblPr>
        <w:tblStyle w:val="5"/>
        <w:tblW w:w="413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83"/>
        <w:gridCol w:w="2334"/>
        <w:gridCol w:w="230"/>
        <w:gridCol w:w="220"/>
        <w:gridCol w:w="229"/>
        <w:gridCol w:w="234"/>
      </w:tblGrid>
      <w:tr w14:paraId="68A3CD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3" w:hRule="atLeast"/>
        </w:trPr>
        <w:tc>
          <w:tcPr>
            <w:tcW w:w="883" w:type="dxa"/>
            <w:vMerge w:val="restart"/>
            <w:tcBorders>
              <w:bottom w:val="nil"/>
            </w:tcBorders>
            <w:vAlign w:val="top"/>
          </w:tcPr>
          <w:p w14:paraId="5240132C">
            <w:pPr>
              <w:pStyle w:val="6"/>
              <w:spacing w:before="141" w:line="218" w:lineRule="auto"/>
              <w:ind w:left="77" w:right="83" w:firstLine="90"/>
              <w:rPr>
                <w:sz w:val="18"/>
                <w:szCs w:val="18"/>
              </w:rPr>
            </w:pPr>
            <w:r>
              <w:rPr>
                <w:b/>
                <w:bCs/>
                <w:spacing w:val="1"/>
                <w:sz w:val="18"/>
                <w:szCs w:val="18"/>
              </w:rPr>
              <w:t>知识与</w:t>
            </w:r>
            <w:r>
              <w:rPr>
                <w:sz w:val="18"/>
                <w:szCs w:val="18"/>
              </w:rPr>
              <w:t xml:space="preserve">  </w:t>
            </w:r>
            <w:r>
              <w:rPr>
                <w:b/>
                <w:bCs/>
                <w:spacing w:val="-4"/>
                <w:sz w:val="18"/>
                <w:szCs w:val="18"/>
              </w:rPr>
              <w:t>技能要点</w:t>
            </w:r>
          </w:p>
        </w:tc>
        <w:tc>
          <w:tcPr>
            <w:tcW w:w="2334" w:type="dxa"/>
            <w:vMerge w:val="restart"/>
            <w:tcBorders>
              <w:bottom w:val="nil"/>
            </w:tcBorders>
            <w:vAlign w:val="top"/>
          </w:tcPr>
          <w:p w14:paraId="3D1FF532">
            <w:pPr>
              <w:pStyle w:val="6"/>
              <w:spacing w:before="250" w:line="219" w:lineRule="auto"/>
              <w:ind w:left="844"/>
              <w:rPr>
                <w:sz w:val="18"/>
                <w:szCs w:val="18"/>
              </w:rPr>
            </w:pPr>
            <w:r>
              <w:rPr>
                <w:b/>
                <w:bCs/>
                <w:spacing w:val="5"/>
                <w:sz w:val="18"/>
                <w:szCs w:val="18"/>
              </w:rPr>
              <w:t>考试条目</w:t>
            </w:r>
          </w:p>
        </w:tc>
        <w:tc>
          <w:tcPr>
            <w:tcW w:w="913" w:type="dxa"/>
            <w:gridSpan w:val="4"/>
            <w:vAlign w:val="top"/>
          </w:tcPr>
          <w:p w14:paraId="5782CBBE">
            <w:pPr>
              <w:pStyle w:val="6"/>
              <w:spacing w:before="79" w:line="219" w:lineRule="auto"/>
              <w:ind w:left="140"/>
              <w:rPr>
                <w:sz w:val="18"/>
                <w:szCs w:val="18"/>
              </w:rPr>
            </w:pPr>
            <w:r>
              <w:rPr>
                <w:b/>
                <w:bCs/>
                <w:spacing w:val="-4"/>
                <w:sz w:val="18"/>
                <w:szCs w:val="18"/>
              </w:rPr>
              <w:t>考试水平</w:t>
            </w:r>
          </w:p>
        </w:tc>
      </w:tr>
      <w:tr w14:paraId="77E898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883" w:type="dxa"/>
            <w:vMerge w:val="continue"/>
            <w:tcBorders>
              <w:top w:val="nil"/>
            </w:tcBorders>
            <w:vAlign w:val="top"/>
          </w:tcPr>
          <w:p w14:paraId="23D8F93B">
            <w:pPr>
              <w:rPr>
                <w:rFonts w:ascii="Arial"/>
                <w:sz w:val="21"/>
              </w:rPr>
            </w:pPr>
          </w:p>
        </w:tc>
        <w:tc>
          <w:tcPr>
            <w:tcW w:w="2334" w:type="dxa"/>
            <w:vMerge w:val="continue"/>
            <w:tcBorders>
              <w:top w:val="nil"/>
            </w:tcBorders>
            <w:vAlign w:val="top"/>
          </w:tcPr>
          <w:p w14:paraId="68B9553E">
            <w:pPr>
              <w:rPr>
                <w:rFonts w:ascii="Arial"/>
                <w:sz w:val="21"/>
              </w:rPr>
            </w:pPr>
          </w:p>
        </w:tc>
        <w:tc>
          <w:tcPr>
            <w:tcW w:w="230" w:type="dxa"/>
            <w:vAlign w:val="top"/>
          </w:tcPr>
          <w:p w14:paraId="6E3E3893">
            <w:pPr>
              <w:pStyle w:val="6"/>
              <w:spacing w:before="114" w:line="184" w:lineRule="auto"/>
              <w:ind w:left="20"/>
              <w:rPr>
                <w:sz w:val="18"/>
                <w:szCs w:val="18"/>
              </w:rPr>
            </w:pPr>
            <w:r>
              <w:rPr>
                <w:b/>
                <w:bCs/>
                <w:spacing w:val="-2"/>
                <w:sz w:val="18"/>
                <w:szCs w:val="18"/>
              </w:rPr>
              <w:t>A</w:t>
            </w:r>
          </w:p>
        </w:tc>
        <w:tc>
          <w:tcPr>
            <w:tcW w:w="220" w:type="dxa"/>
            <w:vAlign w:val="top"/>
          </w:tcPr>
          <w:p w14:paraId="03C2E8AB">
            <w:pPr>
              <w:pStyle w:val="6"/>
              <w:spacing w:before="116" w:line="182" w:lineRule="auto"/>
              <w:ind w:left="50"/>
              <w:rPr>
                <w:sz w:val="18"/>
                <w:szCs w:val="18"/>
              </w:rPr>
            </w:pPr>
            <w:r>
              <w:rPr>
                <w:b/>
                <w:bCs/>
                <w:spacing w:val="-2"/>
                <w:sz w:val="18"/>
                <w:szCs w:val="18"/>
              </w:rPr>
              <w:t>B</w:t>
            </w:r>
          </w:p>
        </w:tc>
        <w:tc>
          <w:tcPr>
            <w:tcW w:w="229" w:type="dxa"/>
            <w:vAlign w:val="top"/>
          </w:tcPr>
          <w:p w14:paraId="297DBE95">
            <w:pPr>
              <w:pStyle w:val="6"/>
              <w:spacing w:before="114" w:line="183" w:lineRule="auto"/>
              <w:ind w:left="70"/>
              <w:rPr>
                <w:sz w:val="18"/>
                <w:szCs w:val="18"/>
              </w:rPr>
            </w:pPr>
            <w:r>
              <w:rPr>
                <w:b/>
                <w:bCs/>
                <w:spacing w:val="-2"/>
                <w:sz w:val="18"/>
                <w:szCs w:val="18"/>
              </w:rPr>
              <w:t>C</w:t>
            </w:r>
          </w:p>
        </w:tc>
        <w:tc>
          <w:tcPr>
            <w:tcW w:w="234" w:type="dxa"/>
            <w:vAlign w:val="top"/>
          </w:tcPr>
          <w:p w14:paraId="71398C8F">
            <w:pPr>
              <w:pStyle w:val="6"/>
              <w:spacing w:before="116" w:line="182" w:lineRule="auto"/>
              <w:ind w:left="51"/>
              <w:rPr>
                <w:sz w:val="18"/>
                <w:szCs w:val="18"/>
              </w:rPr>
            </w:pPr>
            <w:r>
              <w:rPr>
                <w:b/>
                <w:bCs/>
                <w:spacing w:val="-2"/>
                <w:sz w:val="18"/>
                <w:szCs w:val="18"/>
              </w:rPr>
              <w:t>D</w:t>
            </w:r>
          </w:p>
        </w:tc>
      </w:tr>
      <w:tr w14:paraId="155C85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9" w:hRule="atLeast"/>
        </w:trPr>
        <w:tc>
          <w:tcPr>
            <w:tcW w:w="883" w:type="dxa"/>
            <w:vMerge w:val="restart"/>
            <w:tcBorders>
              <w:bottom w:val="nil"/>
            </w:tcBorders>
            <w:vAlign w:val="top"/>
          </w:tcPr>
          <w:p w14:paraId="6B83C45E">
            <w:pPr>
              <w:pStyle w:val="6"/>
              <w:spacing w:before="251" w:line="217" w:lineRule="auto"/>
              <w:ind w:left="254" w:right="89" w:hanging="180"/>
              <w:rPr>
                <w:sz w:val="18"/>
                <w:szCs w:val="18"/>
              </w:rPr>
            </w:pPr>
            <w:r>
              <w:rPr>
                <w:spacing w:val="-3"/>
                <w:sz w:val="18"/>
                <w:szCs w:val="18"/>
              </w:rPr>
              <w:t>统计指数</w:t>
            </w:r>
            <w:r>
              <w:rPr>
                <w:sz w:val="18"/>
                <w:szCs w:val="18"/>
              </w:rPr>
              <w:t xml:space="preserve"> </w:t>
            </w:r>
            <w:r>
              <w:rPr>
                <w:spacing w:val="-2"/>
                <w:sz w:val="18"/>
                <w:szCs w:val="18"/>
              </w:rPr>
              <w:t>概述</w:t>
            </w:r>
          </w:p>
        </w:tc>
        <w:tc>
          <w:tcPr>
            <w:tcW w:w="2334" w:type="dxa"/>
            <w:vAlign w:val="top"/>
          </w:tcPr>
          <w:p w14:paraId="1861D06C">
            <w:pPr>
              <w:pStyle w:val="6"/>
              <w:spacing w:before="50" w:line="219" w:lineRule="auto"/>
              <w:ind w:left="12"/>
              <w:rPr>
                <w:sz w:val="18"/>
                <w:szCs w:val="18"/>
              </w:rPr>
            </w:pPr>
            <w:r>
              <w:rPr>
                <w:sz w:val="18"/>
                <w:szCs w:val="18"/>
              </w:rPr>
              <w:t>1.统计指数的概念</w:t>
            </w:r>
          </w:p>
        </w:tc>
        <w:tc>
          <w:tcPr>
            <w:tcW w:w="230" w:type="dxa"/>
            <w:vAlign w:val="top"/>
          </w:tcPr>
          <w:p w14:paraId="41BD1201">
            <w:pPr>
              <w:pStyle w:val="6"/>
              <w:spacing w:before="91" w:line="238" w:lineRule="auto"/>
              <w:ind w:left="18"/>
              <w:rPr>
                <w:sz w:val="13"/>
                <w:szCs w:val="13"/>
              </w:rPr>
            </w:pPr>
            <w:r>
              <w:rPr>
                <w:sz w:val="13"/>
                <w:szCs w:val="13"/>
              </w:rPr>
              <w:t>√</w:t>
            </w:r>
          </w:p>
        </w:tc>
        <w:tc>
          <w:tcPr>
            <w:tcW w:w="220" w:type="dxa"/>
            <w:vAlign w:val="top"/>
          </w:tcPr>
          <w:p w14:paraId="1F4E2816">
            <w:pPr>
              <w:rPr>
                <w:rFonts w:ascii="Arial"/>
                <w:sz w:val="21"/>
              </w:rPr>
            </w:pPr>
          </w:p>
        </w:tc>
        <w:tc>
          <w:tcPr>
            <w:tcW w:w="229" w:type="dxa"/>
            <w:vAlign w:val="top"/>
          </w:tcPr>
          <w:p w14:paraId="495B7161">
            <w:pPr>
              <w:rPr>
                <w:rFonts w:ascii="Arial"/>
                <w:sz w:val="21"/>
              </w:rPr>
            </w:pPr>
          </w:p>
        </w:tc>
        <w:tc>
          <w:tcPr>
            <w:tcW w:w="234" w:type="dxa"/>
            <w:vAlign w:val="top"/>
          </w:tcPr>
          <w:p w14:paraId="6D1FC2C0">
            <w:pPr>
              <w:rPr>
                <w:rFonts w:ascii="Arial"/>
                <w:sz w:val="21"/>
              </w:rPr>
            </w:pPr>
          </w:p>
        </w:tc>
      </w:tr>
      <w:tr w14:paraId="596AEB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9" w:hRule="atLeast"/>
        </w:trPr>
        <w:tc>
          <w:tcPr>
            <w:tcW w:w="883" w:type="dxa"/>
            <w:vMerge w:val="continue"/>
            <w:tcBorders>
              <w:top w:val="nil"/>
              <w:bottom w:val="nil"/>
            </w:tcBorders>
            <w:vAlign w:val="top"/>
          </w:tcPr>
          <w:p w14:paraId="6131FE02">
            <w:pPr>
              <w:rPr>
                <w:rFonts w:ascii="Arial"/>
                <w:sz w:val="21"/>
              </w:rPr>
            </w:pPr>
          </w:p>
        </w:tc>
        <w:tc>
          <w:tcPr>
            <w:tcW w:w="2334" w:type="dxa"/>
            <w:vAlign w:val="top"/>
          </w:tcPr>
          <w:p w14:paraId="75AB010E">
            <w:pPr>
              <w:pStyle w:val="6"/>
              <w:spacing w:before="51" w:line="219" w:lineRule="auto"/>
              <w:ind w:left="12"/>
              <w:rPr>
                <w:sz w:val="18"/>
                <w:szCs w:val="18"/>
              </w:rPr>
            </w:pPr>
            <w:r>
              <w:rPr>
                <w:spacing w:val="-1"/>
                <w:sz w:val="18"/>
                <w:szCs w:val="18"/>
              </w:rPr>
              <w:t>2.统计指数的种类</w:t>
            </w:r>
          </w:p>
        </w:tc>
        <w:tc>
          <w:tcPr>
            <w:tcW w:w="230" w:type="dxa"/>
            <w:vAlign w:val="top"/>
          </w:tcPr>
          <w:p w14:paraId="5253F5EE">
            <w:pPr>
              <w:pStyle w:val="6"/>
              <w:spacing w:before="92" w:line="238" w:lineRule="auto"/>
              <w:ind w:left="18"/>
              <w:rPr>
                <w:sz w:val="13"/>
                <w:szCs w:val="13"/>
              </w:rPr>
            </w:pPr>
            <w:r>
              <w:rPr>
                <w:sz w:val="13"/>
                <w:szCs w:val="13"/>
              </w:rPr>
              <w:t>√</w:t>
            </w:r>
          </w:p>
        </w:tc>
        <w:tc>
          <w:tcPr>
            <w:tcW w:w="220" w:type="dxa"/>
            <w:vAlign w:val="top"/>
          </w:tcPr>
          <w:p w14:paraId="503BFB5D">
            <w:pPr>
              <w:rPr>
                <w:rFonts w:ascii="Arial"/>
                <w:sz w:val="21"/>
              </w:rPr>
            </w:pPr>
          </w:p>
        </w:tc>
        <w:tc>
          <w:tcPr>
            <w:tcW w:w="229" w:type="dxa"/>
            <w:vAlign w:val="top"/>
          </w:tcPr>
          <w:p w14:paraId="00FB9009">
            <w:pPr>
              <w:rPr>
                <w:rFonts w:ascii="Arial"/>
                <w:sz w:val="21"/>
              </w:rPr>
            </w:pPr>
          </w:p>
        </w:tc>
        <w:tc>
          <w:tcPr>
            <w:tcW w:w="234" w:type="dxa"/>
            <w:vAlign w:val="top"/>
          </w:tcPr>
          <w:p w14:paraId="47FAA94F">
            <w:pPr>
              <w:rPr>
                <w:rFonts w:ascii="Arial"/>
                <w:sz w:val="21"/>
              </w:rPr>
            </w:pPr>
          </w:p>
        </w:tc>
      </w:tr>
      <w:tr w14:paraId="786825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9" w:hRule="atLeast"/>
        </w:trPr>
        <w:tc>
          <w:tcPr>
            <w:tcW w:w="883" w:type="dxa"/>
            <w:vMerge w:val="continue"/>
            <w:tcBorders>
              <w:top w:val="nil"/>
            </w:tcBorders>
            <w:vAlign w:val="top"/>
          </w:tcPr>
          <w:p w14:paraId="2CBA076A">
            <w:pPr>
              <w:rPr>
                <w:rFonts w:ascii="Arial"/>
                <w:sz w:val="21"/>
              </w:rPr>
            </w:pPr>
          </w:p>
        </w:tc>
        <w:tc>
          <w:tcPr>
            <w:tcW w:w="2334" w:type="dxa"/>
            <w:vAlign w:val="top"/>
          </w:tcPr>
          <w:p w14:paraId="582BD97F">
            <w:pPr>
              <w:pStyle w:val="6"/>
              <w:spacing w:before="52" w:line="219" w:lineRule="auto"/>
              <w:ind w:left="12"/>
              <w:rPr>
                <w:sz w:val="18"/>
                <w:szCs w:val="18"/>
              </w:rPr>
            </w:pPr>
            <w:r>
              <w:rPr>
                <w:spacing w:val="2"/>
                <w:sz w:val="18"/>
                <w:szCs w:val="18"/>
              </w:rPr>
              <w:t>3.统计指数的作用</w:t>
            </w:r>
          </w:p>
        </w:tc>
        <w:tc>
          <w:tcPr>
            <w:tcW w:w="230" w:type="dxa"/>
            <w:vAlign w:val="top"/>
          </w:tcPr>
          <w:p w14:paraId="437E7FCE">
            <w:pPr>
              <w:pStyle w:val="6"/>
              <w:spacing w:before="93" w:line="238" w:lineRule="auto"/>
              <w:ind w:left="18"/>
              <w:rPr>
                <w:sz w:val="13"/>
                <w:szCs w:val="13"/>
              </w:rPr>
            </w:pPr>
            <w:r>
              <w:rPr>
                <w:sz w:val="13"/>
                <w:szCs w:val="13"/>
              </w:rPr>
              <w:t>√</w:t>
            </w:r>
          </w:p>
        </w:tc>
        <w:tc>
          <w:tcPr>
            <w:tcW w:w="220" w:type="dxa"/>
            <w:vAlign w:val="top"/>
          </w:tcPr>
          <w:p w14:paraId="6A2BA2ED">
            <w:pPr>
              <w:rPr>
                <w:rFonts w:ascii="Arial"/>
                <w:sz w:val="21"/>
              </w:rPr>
            </w:pPr>
          </w:p>
        </w:tc>
        <w:tc>
          <w:tcPr>
            <w:tcW w:w="229" w:type="dxa"/>
            <w:vAlign w:val="top"/>
          </w:tcPr>
          <w:p w14:paraId="3EBCABC3">
            <w:pPr>
              <w:rPr>
                <w:rFonts w:ascii="Arial"/>
                <w:sz w:val="21"/>
              </w:rPr>
            </w:pPr>
          </w:p>
        </w:tc>
        <w:tc>
          <w:tcPr>
            <w:tcW w:w="234" w:type="dxa"/>
            <w:vAlign w:val="top"/>
          </w:tcPr>
          <w:p w14:paraId="37A917D3">
            <w:pPr>
              <w:rPr>
                <w:rFonts w:ascii="Arial"/>
                <w:sz w:val="21"/>
              </w:rPr>
            </w:pPr>
          </w:p>
        </w:tc>
      </w:tr>
      <w:tr w14:paraId="1998A6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9" w:hRule="atLeast"/>
        </w:trPr>
        <w:tc>
          <w:tcPr>
            <w:tcW w:w="883" w:type="dxa"/>
            <w:vMerge w:val="restart"/>
            <w:tcBorders>
              <w:bottom w:val="nil"/>
            </w:tcBorders>
            <w:vAlign w:val="top"/>
          </w:tcPr>
          <w:p w14:paraId="77AAF068">
            <w:pPr>
              <w:pStyle w:val="6"/>
              <w:spacing w:before="204" w:line="220" w:lineRule="auto"/>
              <w:ind w:left="74"/>
              <w:rPr>
                <w:sz w:val="18"/>
                <w:szCs w:val="18"/>
              </w:rPr>
            </w:pPr>
            <w:r>
              <w:rPr>
                <w:spacing w:val="3"/>
                <w:sz w:val="18"/>
                <w:szCs w:val="18"/>
              </w:rPr>
              <w:t>综合法总</w:t>
            </w:r>
          </w:p>
          <w:p w14:paraId="537C8484">
            <w:pPr>
              <w:pStyle w:val="6"/>
              <w:spacing w:before="35" w:line="215" w:lineRule="auto"/>
              <w:ind w:left="165"/>
              <w:rPr>
                <w:sz w:val="18"/>
                <w:szCs w:val="18"/>
              </w:rPr>
            </w:pPr>
            <w:r>
              <w:rPr>
                <w:spacing w:val="4"/>
                <w:sz w:val="18"/>
                <w:szCs w:val="18"/>
              </w:rPr>
              <w:t>指数的</w:t>
            </w:r>
          </w:p>
          <w:p w14:paraId="6E3BE75D">
            <w:pPr>
              <w:pStyle w:val="6"/>
              <w:spacing w:line="219" w:lineRule="auto"/>
              <w:ind w:left="254"/>
              <w:rPr>
                <w:sz w:val="18"/>
                <w:szCs w:val="18"/>
              </w:rPr>
            </w:pPr>
            <w:r>
              <w:rPr>
                <w:spacing w:val="7"/>
                <w:sz w:val="18"/>
                <w:szCs w:val="18"/>
              </w:rPr>
              <w:t>编制</w:t>
            </w:r>
          </w:p>
        </w:tc>
        <w:tc>
          <w:tcPr>
            <w:tcW w:w="2334" w:type="dxa"/>
            <w:vAlign w:val="top"/>
          </w:tcPr>
          <w:p w14:paraId="10C33F40">
            <w:pPr>
              <w:pStyle w:val="6"/>
              <w:spacing w:before="53" w:line="219" w:lineRule="auto"/>
              <w:ind w:left="12"/>
              <w:rPr>
                <w:sz w:val="18"/>
                <w:szCs w:val="18"/>
              </w:rPr>
            </w:pPr>
            <w:r>
              <w:rPr>
                <w:sz w:val="18"/>
                <w:szCs w:val="18"/>
              </w:rPr>
              <w:t>1.综合法总指数的概念</w:t>
            </w:r>
          </w:p>
        </w:tc>
        <w:tc>
          <w:tcPr>
            <w:tcW w:w="230" w:type="dxa"/>
            <w:vAlign w:val="top"/>
          </w:tcPr>
          <w:p w14:paraId="09A8F24B">
            <w:pPr>
              <w:pStyle w:val="6"/>
              <w:spacing w:before="94" w:line="238" w:lineRule="auto"/>
              <w:ind w:left="18"/>
              <w:rPr>
                <w:sz w:val="13"/>
                <w:szCs w:val="13"/>
              </w:rPr>
            </w:pPr>
            <w:r>
              <w:rPr>
                <w:sz w:val="13"/>
                <w:szCs w:val="13"/>
              </w:rPr>
              <w:t>√</w:t>
            </w:r>
          </w:p>
        </w:tc>
        <w:tc>
          <w:tcPr>
            <w:tcW w:w="220" w:type="dxa"/>
            <w:vAlign w:val="top"/>
          </w:tcPr>
          <w:p w14:paraId="5FC9C580">
            <w:pPr>
              <w:rPr>
                <w:rFonts w:ascii="Arial"/>
                <w:sz w:val="21"/>
              </w:rPr>
            </w:pPr>
          </w:p>
        </w:tc>
        <w:tc>
          <w:tcPr>
            <w:tcW w:w="229" w:type="dxa"/>
            <w:vAlign w:val="top"/>
          </w:tcPr>
          <w:p w14:paraId="3074903C">
            <w:pPr>
              <w:rPr>
                <w:rFonts w:ascii="Arial"/>
                <w:sz w:val="21"/>
              </w:rPr>
            </w:pPr>
          </w:p>
        </w:tc>
        <w:tc>
          <w:tcPr>
            <w:tcW w:w="234" w:type="dxa"/>
            <w:vAlign w:val="top"/>
          </w:tcPr>
          <w:p w14:paraId="1208F9DE">
            <w:pPr>
              <w:rPr>
                <w:rFonts w:ascii="Arial"/>
                <w:sz w:val="21"/>
              </w:rPr>
            </w:pPr>
          </w:p>
        </w:tc>
      </w:tr>
      <w:tr w14:paraId="65090D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9" w:hRule="atLeast"/>
        </w:trPr>
        <w:tc>
          <w:tcPr>
            <w:tcW w:w="883" w:type="dxa"/>
            <w:vMerge w:val="continue"/>
            <w:tcBorders>
              <w:top w:val="nil"/>
              <w:bottom w:val="nil"/>
            </w:tcBorders>
            <w:vAlign w:val="top"/>
          </w:tcPr>
          <w:p w14:paraId="38A8D667">
            <w:pPr>
              <w:rPr>
                <w:rFonts w:ascii="Arial"/>
                <w:sz w:val="21"/>
              </w:rPr>
            </w:pPr>
          </w:p>
        </w:tc>
        <w:tc>
          <w:tcPr>
            <w:tcW w:w="2334" w:type="dxa"/>
            <w:vAlign w:val="top"/>
          </w:tcPr>
          <w:p w14:paraId="7209626E">
            <w:pPr>
              <w:pStyle w:val="6"/>
              <w:spacing w:before="64" w:line="219" w:lineRule="auto"/>
              <w:ind w:left="12"/>
              <w:rPr>
                <w:sz w:val="18"/>
                <w:szCs w:val="18"/>
              </w:rPr>
            </w:pPr>
            <w:r>
              <w:rPr>
                <w:spacing w:val="-1"/>
                <w:sz w:val="18"/>
                <w:szCs w:val="18"/>
              </w:rPr>
              <w:t>2.综合法总指数的编制方法</w:t>
            </w:r>
          </w:p>
        </w:tc>
        <w:tc>
          <w:tcPr>
            <w:tcW w:w="230" w:type="dxa"/>
            <w:vAlign w:val="top"/>
          </w:tcPr>
          <w:p w14:paraId="0B2E6B91">
            <w:pPr>
              <w:rPr>
                <w:rFonts w:ascii="Arial"/>
                <w:sz w:val="21"/>
              </w:rPr>
            </w:pPr>
          </w:p>
        </w:tc>
        <w:tc>
          <w:tcPr>
            <w:tcW w:w="220" w:type="dxa"/>
            <w:vAlign w:val="top"/>
          </w:tcPr>
          <w:p w14:paraId="6C08E5B9">
            <w:pPr>
              <w:rPr>
                <w:rFonts w:ascii="Arial"/>
                <w:sz w:val="21"/>
              </w:rPr>
            </w:pPr>
          </w:p>
        </w:tc>
        <w:tc>
          <w:tcPr>
            <w:tcW w:w="229" w:type="dxa"/>
            <w:vAlign w:val="top"/>
          </w:tcPr>
          <w:p w14:paraId="5F082579">
            <w:pPr>
              <w:pStyle w:val="6"/>
              <w:spacing w:before="112" w:line="171" w:lineRule="auto"/>
              <w:ind w:left="67"/>
              <w:rPr>
                <w:sz w:val="18"/>
                <w:szCs w:val="18"/>
              </w:rPr>
            </w:pPr>
            <w:r>
              <w:rPr>
                <w:sz w:val="18"/>
                <w:szCs w:val="18"/>
              </w:rPr>
              <w:t>V</w:t>
            </w:r>
          </w:p>
        </w:tc>
        <w:tc>
          <w:tcPr>
            <w:tcW w:w="234" w:type="dxa"/>
            <w:vAlign w:val="top"/>
          </w:tcPr>
          <w:p w14:paraId="2F475CF7">
            <w:pPr>
              <w:rPr>
                <w:rFonts w:ascii="Arial"/>
                <w:sz w:val="21"/>
              </w:rPr>
            </w:pPr>
          </w:p>
        </w:tc>
      </w:tr>
      <w:tr w14:paraId="3C70A4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3" w:hRule="atLeast"/>
        </w:trPr>
        <w:tc>
          <w:tcPr>
            <w:tcW w:w="883" w:type="dxa"/>
            <w:vMerge w:val="continue"/>
            <w:tcBorders>
              <w:top w:val="nil"/>
            </w:tcBorders>
            <w:vAlign w:val="top"/>
          </w:tcPr>
          <w:p w14:paraId="41B6A7A7">
            <w:pPr>
              <w:rPr>
                <w:rFonts w:ascii="Arial"/>
                <w:sz w:val="21"/>
              </w:rPr>
            </w:pPr>
          </w:p>
        </w:tc>
        <w:tc>
          <w:tcPr>
            <w:tcW w:w="2334" w:type="dxa"/>
            <w:vAlign w:val="top"/>
          </w:tcPr>
          <w:p w14:paraId="25378D12">
            <w:pPr>
              <w:pStyle w:val="6"/>
              <w:spacing w:before="34" w:line="199" w:lineRule="auto"/>
              <w:ind w:left="12" w:right="133"/>
              <w:rPr>
                <w:sz w:val="18"/>
                <w:szCs w:val="18"/>
              </w:rPr>
            </w:pPr>
            <w:r>
              <w:rPr>
                <w:spacing w:val="1"/>
                <w:sz w:val="18"/>
                <w:szCs w:val="18"/>
              </w:rPr>
              <w:t>3.综合法总指数体系及其因</w:t>
            </w:r>
            <w:r>
              <w:rPr>
                <w:spacing w:val="4"/>
                <w:sz w:val="18"/>
                <w:szCs w:val="18"/>
              </w:rPr>
              <w:t xml:space="preserve"> </w:t>
            </w:r>
            <w:r>
              <w:rPr>
                <w:spacing w:val="-3"/>
                <w:sz w:val="18"/>
                <w:szCs w:val="18"/>
              </w:rPr>
              <w:t>素分析</w:t>
            </w:r>
          </w:p>
        </w:tc>
        <w:tc>
          <w:tcPr>
            <w:tcW w:w="230" w:type="dxa"/>
            <w:vAlign w:val="top"/>
          </w:tcPr>
          <w:p w14:paraId="36B861BE">
            <w:pPr>
              <w:rPr>
                <w:rFonts w:ascii="Arial"/>
                <w:sz w:val="21"/>
              </w:rPr>
            </w:pPr>
          </w:p>
        </w:tc>
        <w:tc>
          <w:tcPr>
            <w:tcW w:w="220" w:type="dxa"/>
            <w:vAlign w:val="top"/>
          </w:tcPr>
          <w:p w14:paraId="57618F24">
            <w:pPr>
              <w:rPr>
                <w:rFonts w:ascii="Arial"/>
                <w:sz w:val="21"/>
              </w:rPr>
            </w:pPr>
          </w:p>
        </w:tc>
        <w:tc>
          <w:tcPr>
            <w:tcW w:w="229" w:type="dxa"/>
            <w:vAlign w:val="top"/>
          </w:tcPr>
          <w:p w14:paraId="74864C5E">
            <w:pPr>
              <w:pStyle w:val="6"/>
              <w:spacing w:before="175" w:line="238" w:lineRule="auto"/>
              <w:ind w:left="48"/>
              <w:rPr>
                <w:sz w:val="12"/>
                <w:szCs w:val="12"/>
              </w:rPr>
            </w:pPr>
            <w:r>
              <w:rPr>
                <w:sz w:val="12"/>
                <w:szCs w:val="12"/>
              </w:rPr>
              <w:t>√</w:t>
            </w:r>
          </w:p>
        </w:tc>
        <w:tc>
          <w:tcPr>
            <w:tcW w:w="234" w:type="dxa"/>
            <w:vAlign w:val="top"/>
          </w:tcPr>
          <w:p w14:paraId="7708402C">
            <w:pPr>
              <w:rPr>
                <w:rFonts w:ascii="Arial"/>
                <w:sz w:val="21"/>
              </w:rPr>
            </w:pPr>
          </w:p>
        </w:tc>
      </w:tr>
    </w:tbl>
    <w:p w14:paraId="497A6616">
      <w:pPr>
        <w:pStyle w:val="2"/>
        <w:spacing w:line="361" w:lineRule="auto"/>
      </w:pPr>
    </w:p>
    <w:p w14:paraId="1D6DDA55">
      <w:pPr>
        <w:spacing w:before="65" w:line="221" w:lineRule="auto"/>
        <w:ind w:left="1257"/>
        <w:rPr>
          <w:rFonts w:ascii="黑体" w:hAnsi="黑体" w:eastAsia="黑体" w:cs="黑体"/>
          <w:sz w:val="20"/>
          <w:szCs w:val="20"/>
        </w:rPr>
      </w:pPr>
      <w:r>
        <w:rPr>
          <w:rFonts w:ascii="黑体" w:hAnsi="黑体" w:eastAsia="黑体" w:cs="黑体"/>
          <w:b/>
          <w:bCs/>
          <w:spacing w:val="-6"/>
          <w:sz w:val="20"/>
          <w:szCs w:val="20"/>
        </w:rPr>
        <w:t>第三部分税收基础</w:t>
      </w:r>
    </w:p>
    <w:p w14:paraId="74AA3095">
      <w:pPr>
        <w:pStyle w:val="2"/>
        <w:spacing w:line="273" w:lineRule="auto"/>
      </w:pPr>
    </w:p>
    <w:p w14:paraId="54FFA9C1">
      <w:pPr>
        <w:spacing w:before="66" w:line="221" w:lineRule="auto"/>
        <w:ind w:left="1257"/>
        <w:rPr>
          <w:rFonts w:ascii="黑体" w:hAnsi="黑体" w:eastAsia="黑体" w:cs="黑体"/>
          <w:sz w:val="20"/>
          <w:szCs w:val="20"/>
        </w:rPr>
      </w:pPr>
      <w:r>
        <w:rPr>
          <w:rFonts w:ascii="黑体" w:hAnsi="黑体" w:eastAsia="黑体" w:cs="黑体"/>
          <w:b/>
          <w:bCs/>
          <w:spacing w:val="10"/>
          <w:sz w:val="20"/>
          <w:szCs w:val="20"/>
        </w:rPr>
        <w:t>(一)税收基础知识</w:t>
      </w:r>
    </w:p>
    <w:p w14:paraId="45138335">
      <w:pPr>
        <w:spacing w:line="82" w:lineRule="exact"/>
      </w:pPr>
    </w:p>
    <w:tbl>
      <w:tblPr>
        <w:tblStyle w:val="5"/>
        <w:tblW w:w="413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83"/>
        <w:gridCol w:w="2334"/>
        <w:gridCol w:w="230"/>
        <w:gridCol w:w="220"/>
        <w:gridCol w:w="229"/>
        <w:gridCol w:w="234"/>
      </w:tblGrid>
      <w:tr w14:paraId="5FAAF8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9" w:hRule="atLeast"/>
        </w:trPr>
        <w:tc>
          <w:tcPr>
            <w:tcW w:w="883" w:type="dxa"/>
            <w:vMerge w:val="restart"/>
            <w:tcBorders>
              <w:top w:val="single" w:color="000000" w:sz="2" w:space="0"/>
              <w:bottom w:val="nil"/>
            </w:tcBorders>
            <w:vAlign w:val="top"/>
          </w:tcPr>
          <w:p w14:paraId="6BF7A532">
            <w:pPr>
              <w:pStyle w:val="6"/>
              <w:spacing w:before="146" w:line="224" w:lineRule="auto"/>
              <w:ind w:left="97" w:right="102" w:firstLine="79"/>
            </w:pPr>
            <w:r>
              <w:rPr>
                <w:b/>
                <w:bCs/>
                <w:spacing w:val="-6"/>
              </w:rPr>
              <w:t>知识与</w:t>
            </w:r>
            <w:r>
              <w:t xml:space="preserve">  </w:t>
            </w:r>
            <w:r>
              <w:rPr>
                <w:b/>
                <w:bCs/>
                <w:spacing w:val="-4"/>
              </w:rPr>
              <w:t>技能要点</w:t>
            </w:r>
          </w:p>
        </w:tc>
        <w:tc>
          <w:tcPr>
            <w:tcW w:w="2334" w:type="dxa"/>
            <w:vMerge w:val="restart"/>
            <w:tcBorders>
              <w:top w:val="single" w:color="000000" w:sz="2" w:space="0"/>
              <w:bottom w:val="nil"/>
            </w:tcBorders>
            <w:vAlign w:val="top"/>
          </w:tcPr>
          <w:p w14:paraId="5FEF181D">
            <w:pPr>
              <w:pStyle w:val="6"/>
              <w:spacing w:before="254" w:line="219" w:lineRule="auto"/>
              <w:ind w:left="844"/>
            </w:pPr>
            <w:r>
              <w:rPr>
                <w:b/>
                <w:bCs/>
                <w:spacing w:val="5"/>
              </w:rPr>
              <w:t>考试条目</w:t>
            </w:r>
          </w:p>
        </w:tc>
        <w:tc>
          <w:tcPr>
            <w:tcW w:w="913" w:type="dxa"/>
            <w:gridSpan w:val="4"/>
            <w:tcBorders>
              <w:top w:val="single" w:color="000000" w:sz="2" w:space="0"/>
              <w:bottom w:val="single" w:color="000000" w:sz="2" w:space="0"/>
            </w:tcBorders>
            <w:vAlign w:val="top"/>
          </w:tcPr>
          <w:p w14:paraId="3C88A5B2">
            <w:pPr>
              <w:pStyle w:val="6"/>
              <w:spacing w:before="84" w:line="219" w:lineRule="auto"/>
              <w:ind w:left="140"/>
            </w:pPr>
            <w:r>
              <w:rPr>
                <w:b/>
                <w:bCs/>
                <w:spacing w:val="-4"/>
              </w:rPr>
              <w:t>考试水平</w:t>
            </w:r>
          </w:p>
        </w:tc>
      </w:tr>
      <w:tr w14:paraId="237C13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4" w:hRule="atLeast"/>
        </w:trPr>
        <w:tc>
          <w:tcPr>
            <w:tcW w:w="883" w:type="dxa"/>
            <w:vMerge w:val="continue"/>
            <w:tcBorders>
              <w:top w:val="nil"/>
              <w:bottom w:val="single" w:color="000000" w:sz="2" w:space="0"/>
            </w:tcBorders>
            <w:vAlign w:val="top"/>
          </w:tcPr>
          <w:p w14:paraId="17756912">
            <w:pPr>
              <w:rPr>
                <w:rFonts w:ascii="Arial"/>
                <w:sz w:val="21"/>
              </w:rPr>
            </w:pPr>
          </w:p>
        </w:tc>
        <w:tc>
          <w:tcPr>
            <w:tcW w:w="2334" w:type="dxa"/>
            <w:vMerge w:val="continue"/>
            <w:tcBorders>
              <w:top w:val="nil"/>
              <w:bottom w:val="single" w:color="000000" w:sz="2" w:space="0"/>
            </w:tcBorders>
            <w:vAlign w:val="top"/>
          </w:tcPr>
          <w:p w14:paraId="1DD74BF6">
            <w:pPr>
              <w:rPr>
                <w:rFonts w:ascii="Arial"/>
                <w:sz w:val="21"/>
              </w:rPr>
            </w:pPr>
          </w:p>
        </w:tc>
        <w:tc>
          <w:tcPr>
            <w:tcW w:w="230" w:type="dxa"/>
            <w:tcBorders>
              <w:top w:val="single" w:color="000000" w:sz="2" w:space="0"/>
              <w:bottom w:val="single" w:color="000000" w:sz="2" w:space="0"/>
            </w:tcBorders>
            <w:vAlign w:val="top"/>
          </w:tcPr>
          <w:p w14:paraId="15C47493">
            <w:pPr>
              <w:pStyle w:val="6"/>
              <w:spacing w:before="125" w:line="184" w:lineRule="auto"/>
              <w:ind w:left="70"/>
            </w:pPr>
            <w:r>
              <w:rPr>
                <w:b/>
                <w:bCs/>
                <w:spacing w:val="-2"/>
              </w:rPr>
              <w:t>A</w:t>
            </w:r>
          </w:p>
        </w:tc>
        <w:tc>
          <w:tcPr>
            <w:tcW w:w="220" w:type="dxa"/>
            <w:tcBorders>
              <w:top w:val="single" w:color="000000" w:sz="2" w:space="0"/>
              <w:bottom w:val="single" w:color="000000" w:sz="2" w:space="0"/>
            </w:tcBorders>
            <w:vAlign w:val="top"/>
          </w:tcPr>
          <w:p w14:paraId="48B1490E">
            <w:pPr>
              <w:pStyle w:val="6"/>
              <w:spacing w:before="127" w:line="182" w:lineRule="auto"/>
              <w:ind w:left="60"/>
            </w:pPr>
            <w:r>
              <w:rPr>
                <w:b/>
                <w:bCs/>
                <w:spacing w:val="-2"/>
              </w:rPr>
              <w:t>B</w:t>
            </w:r>
          </w:p>
        </w:tc>
        <w:tc>
          <w:tcPr>
            <w:tcW w:w="229" w:type="dxa"/>
            <w:tcBorders>
              <w:top w:val="single" w:color="000000" w:sz="2" w:space="0"/>
              <w:bottom w:val="single" w:color="000000" w:sz="2" w:space="0"/>
            </w:tcBorders>
            <w:vAlign w:val="top"/>
          </w:tcPr>
          <w:p w14:paraId="099B5076">
            <w:pPr>
              <w:pStyle w:val="6"/>
              <w:spacing w:before="125" w:line="183" w:lineRule="auto"/>
              <w:ind w:left="70"/>
            </w:pPr>
            <w:r>
              <w:rPr>
                <w:b/>
                <w:bCs/>
                <w:spacing w:val="-2"/>
              </w:rPr>
              <w:t>C</w:t>
            </w:r>
          </w:p>
        </w:tc>
        <w:tc>
          <w:tcPr>
            <w:tcW w:w="234" w:type="dxa"/>
            <w:tcBorders>
              <w:top w:val="single" w:color="000000" w:sz="2" w:space="0"/>
              <w:bottom w:val="single" w:color="000000" w:sz="2" w:space="0"/>
            </w:tcBorders>
            <w:vAlign w:val="top"/>
          </w:tcPr>
          <w:p w14:paraId="7D4B01F5">
            <w:pPr>
              <w:pStyle w:val="6"/>
              <w:spacing w:before="127" w:line="182" w:lineRule="auto"/>
              <w:ind w:left="51"/>
            </w:pPr>
            <w:r>
              <w:rPr>
                <w:b/>
                <w:bCs/>
                <w:spacing w:val="-2"/>
              </w:rPr>
              <w:t>D</w:t>
            </w:r>
          </w:p>
        </w:tc>
      </w:tr>
      <w:tr w14:paraId="47D28B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4" w:hRule="atLeast"/>
        </w:trPr>
        <w:tc>
          <w:tcPr>
            <w:tcW w:w="883" w:type="dxa"/>
            <w:vMerge w:val="restart"/>
            <w:tcBorders>
              <w:top w:val="single" w:color="000000" w:sz="2" w:space="0"/>
              <w:bottom w:val="nil"/>
            </w:tcBorders>
            <w:vAlign w:val="top"/>
          </w:tcPr>
          <w:p w14:paraId="3DC8EC26">
            <w:pPr>
              <w:spacing w:line="435" w:lineRule="auto"/>
              <w:rPr>
                <w:rFonts w:ascii="Arial"/>
                <w:sz w:val="21"/>
              </w:rPr>
            </w:pPr>
          </w:p>
          <w:p w14:paraId="68B3A930">
            <w:pPr>
              <w:pStyle w:val="6"/>
              <w:spacing w:before="55" w:line="219" w:lineRule="auto"/>
              <w:ind w:left="5"/>
            </w:pPr>
            <w:r>
              <w:rPr>
                <w:spacing w:val="-1"/>
              </w:rPr>
              <w:t>税收与税收</w:t>
            </w:r>
          </w:p>
          <w:p w14:paraId="2B517E81">
            <w:pPr>
              <w:pStyle w:val="6"/>
              <w:spacing w:before="18" w:line="219" w:lineRule="auto"/>
              <w:ind w:left="94"/>
            </w:pPr>
            <w:r>
              <w:rPr>
                <w:spacing w:val="3"/>
              </w:rPr>
              <w:t>法律关系</w:t>
            </w:r>
          </w:p>
        </w:tc>
        <w:tc>
          <w:tcPr>
            <w:tcW w:w="2334" w:type="dxa"/>
            <w:tcBorders>
              <w:top w:val="single" w:color="000000" w:sz="2" w:space="0"/>
              <w:bottom w:val="single" w:color="000000" w:sz="2" w:space="0"/>
            </w:tcBorders>
            <w:vAlign w:val="top"/>
          </w:tcPr>
          <w:p w14:paraId="4898330E">
            <w:pPr>
              <w:pStyle w:val="6"/>
              <w:spacing w:before="93" w:line="219" w:lineRule="auto"/>
              <w:ind w:left="2"/>
            </w:pPr>
            <w:r>
              <w:rPr>
                <w:spacing w:val="1"/>
              </w:rPr>
              <w:t>1.税收的概念</w:t>
            </w:r>
          </w:p>
        </w:tc>
        <w:tc>
          <w:tcPr>
            <w:tcW w:w="230" w:type="dxa"/>
            <w:tcBorders>
              <w:top w:val="single" w:color="000000" w:sz="2" w:space="0"/>
              <w:bottom w:val="single" w:color="000000" w:sz="2" w:space="0"/>
            </w:tcBorders>
            <w:vAlign w:val="top"/>
          </w:tcPr>
          <w:p w14:paraId="4BECE9A7">
            <w:pPr>
              <w:rPr>
                <w:rFonts w:ascii="Arial"/>
                <w:sz w:val="21"/>
              </w:rPr>
            </w:pPr>
          </w:p>
        </w:tc>
        <w:tc>
          <w:tcPr>
            <w:tcW w:w="220" w:type="dxa"/>
            <w:tcBorders>
              <w:top w:val="single" w:color="000000" w:sz="2" w:space="0"/>
              <w:bottom w:val="single" w:color="000000" w:sz="2" w:space="0"/>
            </w:tcBorders>
            <w:vAlign w:val="top"/>
          </w:tcPr>
          <w:p w14:paraId="466F11A4">
            <w:pPr>
              <w:pStyle w:val="6"/>
              <w:spacing w:before="123" w:line="238" w:lineRule="auto"/>
              <w:ind w:left="47"/>
              <w:rPr>
                <w:sz w:val="12"/>
                <w:szCs w:val="12"/>
              </w:rPr>
            </w:pPr>
            <w:r>
              <w:rPr>
                <w:sz w:val="12"/>
                <w:szCs w:val="12"/>
              </w:rPr>
              <w:t>√</w:t>
            </w:r>
          </w:p>
        </w:tc>
        <w:tc>
          <w:tcPr>
            <w:tcW w:w="229" w:type="dxa"/>
            <w:tcBorders>
              <w:top w:val="single" w:color="000000" w:sz="2" w:space="0"/>
              <w:bottom w:val="single" w:color="000000" w:sz="2" w:space="0"/>
            </w:tcBorders>
            <w:vAlign w:val="top"/>
          </w:tcPr>
          <w:p w14:paraId="2690DB9F">
            <w:pPr>
              <w:rPr>
                <w:rFonts w:ascii="Arial"/>
                <w:sz w:val="21"/>
              </w:rPr>
            </w:pPr>
          </w:p>
        </w:tc>
        <w:tc>
          <w:tcPr>
            <w:tcW w:w="234" w:type="dxa"/>
            <w:tcBorders>
              <w:top w:val="single" w:color="000000" w:sz="2" w:space="0"/>
              <w:bottom w:val="single" w:color="000000" w:sz="2" w:space="0"/>
            </w:tcBorders>
            <w:vAlign w:val="top"/>
          </w:tcPr>
          <w:p w14:paraId="7B82EC52">
            <w:pPr>
              <w:rPr>
                <w:rFonts w:ascii="Arial"/>
                <w:sz w:val="21"/>
              </w:rPr>
            </w:pPr>
          </w:p>
        </w:tc>
      </w:tr>
      <w:tr w14:paraId="502211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4" w:hRule="atLeast"/>
        </w:trPr>
        <w:tc>
          <w:tcPr>
            <w:tcW w:w="883" w:type="dxa"/>
            <w:vMerge w:val="continue"/>
            <w:tcBorders>
              <w:top w:val="nil"/>
              <w:bottom w:val="nil"/>
            </w:tcBorders>
            <w:vAlign w:val="top"/>
          </w:tcPr>
          <w:p w14:paraId="58971B78">
            <w:pPr>
              <w:rPr>
                <w:rFonts w:ascii="Arial"/>
                <w:sz w:val="21"/>
              </w:rPr>
            </w:pPr>
          </w:p>
        </w:tc>
        <w:tc>
          <w:tcPr>
            <w:tcW w:w="2334" w:type="dxa"/>
            <w:tcBorders>
              <w:top w:val="single" w:color="000000" w:sz="2" w:space="0"/>
              <w:bottom w:val="single" w:color="000000" w:sz="2" w:space="0"/>
            </w:tcBorders>
            <w:vAlign w:val="top"/>
          </w:tcPr>
          <w:p w14:paraId="721EB4F4">
            <w:pPr>
              <w:pStyle w:val="6"/>
              <w:spacing w:before="83" w:line="219" w:lineRule="auto"/>
              <w:ind w:left="2"/>
            </w:pPr>
            <w:r>
              <w:rPr>
                <w:spacing w:val="2"/>
              </w:rPr>
              <w:t>2.税收的本质</w:t>
            </w:r>
          </w:p>
        </w:tc>
        <w:tc>
          <w:tcPr>
            <w:tcW w:w="230" w:type="dxa"/>
            <w:tcBorders>
              <w:top w:val="single" w:color="000000" w:sz="2" w:space="0"/>
              <w:bottom w:val="single" w:color="000000" w:sz="2" w:space="0"/>
            </w:tcBorders>
            <w:vAlign w:val="top"/>
          </w:tcPr>
          <w:p w14:paraId="59CC8BF3">
            <w:pPr>
              <w:rPr>
                <w:rFonts w:ascii="Arial"/>
                <w:sz w:val="21"/>
              </w:rPr>
            </w:pPr>
          </w:p>
        </w:tc>
        <w:tc>
          <w:tcPr>
            <w:tcW w:w="220" w:type="dxa"/>
            <w:tcBorders>
              <w:top w:val="single" w:color="000000" w:sz="2" w:space="0"/>
              <w:bottom w:val="single" w:color="000000" w:sz="2" w:space="0"/>
            </w:tcBorders>
            <w:vAlign w:val="top"/>
          </w:tcPr>
          <w:p w14:paraId="45B1D305">
            <w:pPr>
              <w:pStyle w:val="6"/>
              <w:spacing w:before="124" w:line="238" w:lineRule="auto"/>
              <w:ind w:left="47"/>
              <w:rPr>
                <w:sz w:val="12"/>
                <w:szCs w:val="12"/>
              </w:rPr>
            </w:pPr>
            <w:r>
              <w:rPr>
                <w:sz w:val="12"/>
                <w:szCs w:val="12"/>
              </w:rPr>
              <w:t>√</w:t>
            </w:r>
          </w:p>
        </w:tc>
        <w:tc>
          <w:tcPr>
            <w:tcW w:w="229" w:type="dxa"/>
            <w:tcBorders>
              <w:top w:val="single" w:color="000000" w:sz="2" w:space="0"/>
              <w:bottom w:val="single" w:color="000000" w:sz="2" w:space="0"/>
            </w:tcBorders>
            <w:vAlign w:val="top"/>
          </w:tcPr>
          <w:p w14:paraId="21AE5653">
            <w:pPr>
              <w:rPr>
                <w:rFonts w:ascii="Arial"/>
                <w:sz w:val="21"/>
              </w:rPr>
            </w:pPr>
          </w:p>
        </w:tc>
        <w:tc>
          <w:tcPr>
            <w:tcW w:w="234" w:type="dxa"/>
            <w:tcBorders>
              <w:top w:val="single" w:color="000000" w:sz="2" w:space="0"/>
              <w:bottom w:val="single" w:color="000000" w:sz="2" w:space="0"/>
            </w:tcBorders>
            <w:vAlign w:val="top"/>
          </w:tcPr>
          <w:p w14:paraId="1D2D2F85">
            <w:pPr>
              <w:rPr>
                <w:rFonts w:ascii="Arial"/>
                <w:sz w:val="21"/>
              </w:rPr>
            </w:pPr>
          </w:p>
        </w:tc>
      </w:tr>
      <w:tr w14:paraId="44D066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4" w:hRule="atLeast"/>
        </w:trPr>
        <w:tc>
          <w:tcPr>
            <w:tcW w:w="883" w:type="dxa"/>
            <w:vMerge w:val="continue"/>
            <w:tcBorders>
              <w:top w:val="nil"/>
              <w:bottom w:val="nil"/>
            </w:tcBorders>
            <w:vAlign w:val="top"/>
          </w:tcPr>
          <w:p w14:paraId="407F2E45">
            <w:pPr>
              <w:rPr>
                <w:rFonts w:ascii="Arial"/>
                <w:sz w:val="21"/>
              </w:rPr>
            </w:pPr>
          </w:p>
        </w:tc>
        <w:tc>
          <w:tcPr>
            <w:tcW w:w="2334" w:type="dxa"/>
            <w:tcBorders>
              <w:top w:val="single" w:color="000000" w:sz="2" w:space="0"/>
              <w:bottom w:val="single" w:color="000000" w:sz="2" w:space="0"/>
            </w:tcBorders>
            <w:vAlign w:val="top"/>
          </w:tcPr>
          <w:p w14:paraId="77C181EB">
            <w:pPr>
              <w:pStyle w:val="6"/>
              <w:spacing w:before="95" w:line="219" w:lineRule="auto"/>
              <w:ind w:left="2"/>
            </w:pPr>
            <w:r>
              <w:rPr>
                <w:spacing w:val="-2"/>
              </w:rPr>
              <w:t>3.税收的特征</w:t>
            </w:r>
          </w:p>
        </w:tc>
        <w:tc>
          <w:tcPr>
            <w:tcW w:w="230" w:type="dxa"/>
            <w:tcBorders>
              <w:top w:val="single" w:color="000000" w:sz="2" w:space="0"/>
              <w:bottom w:val="single" w:color="000000" w:sz="2" w:space="0"/>
            </w:tcBorders>
            <w:vAlign w:val="top"/>
          </w:tcPr>
          <w:p w14:paraId="0EAFBDB6">
            <w:pPr>
              <w:rPr>
                <w:rFonts w:ascii="Arial"/>
                <w:sz w:val="21"/>
              </w:rPr>
            </w:pPr>
          </w:p>
        </w:tc>
        <w:tc>
          <w:tcPr>
            <w:tcW w:w="220" w:type="dxa"/>
            <w:tcBorders>
              <w:top w:val="single" w:color="000000" w:sz="2" w:space="0"/>
              <w:bottom w:val="single" w:color="000000" w:sz="2" w:space="0"/>
            </w:tcBorders>
            <w:vAlign w:val="top"/>
          </w:tcPr>
          <w:p w14:paraId="180893F6">
            <w:pPr>
              <w:pStyle w:val="6"/>
              <w:spacing w:before="125" w:line="238" w:lineRule="auto"/>
              <w:ind w:left="18"/>
              <w:rPr>
                <w:sz w:val="12"/>
                <w:szCs w:val="12"/>
              </w:rPr>
            </w:pPr>
            <w:r>
              <w:rPr>
                <w:sz w:val="12"/>
                <w:szCs w:val="12"/>
              </w:rPr>
              <w:t>√</w:t>
            </w:r>
          </w:p>
        </w:tc>
        <w:tc>
          <w:tcPr>
            <w:tcW w:w="229" w:type="dxa"/>
            <w:tcBorders>
              <w:top w:val="single" w:color="000000" w:sz="2" w:space="0"/>
              <w:bottom w:val="single" w:color="000000" w:sz="2" w:space="0"/>
            </w:tcBorders>
            <w:vAlign w:val="top"/>
          </w:tcPr>
          <w:p w14:paraId="12E6E740">
            <w:pPr>
              <w:rPr>
                <w:rFonts w:ascii="Arial"/>
                <w:sz w:val="21"/>
              </w:rPr>
            </w:pPr>
          </w:p>
        </w:tc>
        <w:tc>
          <w:tcPr>
            <w:tcW w:w="234" w:type="dxa"/>
            <w:tcBorders>
              <w:top w:val="single" w:color="000000" w:sz="2" w:space="0"/>
              <w:bottom w:val="single" w:color="000000" w:sz="2" w:space="0"/>
            </w:tcBorders>
            <w:vAlign w:val="top"/>
          </w:tcPr>
          <w:p w14:paraId="621B01AE">
            <w:pPr>
              <w:rPr>
                <w:rFonts w:ascii="Arial"/>
                <w:sz w:val="21"/>
              </w:rPr>
            </w:pPr>
          </w:p>
        </w:tc>
      </w:tr>
      <w:tr w14:paraId="284FAE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4" w:hRule="atLeast"/>
        </w:trPr>
        <w:tc>
          <w:tcPr>
            <w:tcW w:w="883" w:type="dxa"/>
            <w:vMerge w:val="continue"/>
            <w:tcBorders>
              <w:top w:val="nil"/>
              <w:bottom w:val="single" w:color="000000" w:sz="2" w:space="0"/>
            </w:tcBorders>
            <w:vAlign w:val="top"/>
          </w:tcPr>
          <w:p w14:paraId="40FE1B40">
            <w:pPr>
              <w:rPr>
                <w:rFonts w:ascii="Arial"/>
                <w:sz w:val="21"/>
              </w:rPr>
            </w:pPr>
          </w:p>
        </w:tc>
        <w:tc>
          <w:tcPr>
            <w:tcW w:w="2334" w:type="dxa"/>
            <w:tcBorders>
              <w:top w:val="single" w:color="000000" w:sz="2" w:space="0"/>
              <w:bottom w:val="single" w:color="000000" w:sz="2" w:space="0"/>
            </w:tcBorders>
            <w:vAlign w:val="top"/>
          </w:tcPr>
          <w:p w14:paraId="7EEDA508">
            <w:pPr>
              <w:pStyle w:val="6"/>
              <w:spacing w:before="96" w:line="219" w:lineRule="auto"/>
              <w:ind w:left="2"/>
            </w:pPr>
            <w:r>
              <w:rPr>
                <w:spacing w:val="1"/>
              </w:rPr>
              <w:t>4.税收法律关系</w:t>
            </w:r>
          </w:p>
        </w:tc>
        <w:tc>
          <w:tcPr>
            <w:tcW w:w="230" w:type="dxa"/>
            <w:tcBorders>
              <w:top w:val="single" w:color="000000" w:sz="2" w:space="0"/>
              <w:bottom w:val="single" w:color="000000" w:sz="2" w:space="0"/>
            </w:tcBorders>
            <w:vAlign w:val="top"/>
          </w:tcPr>
          <w:p w14:paraId="54D11B61">
            <w:pPr>
              <w:pStyle w:val="6"/>
              <w:spacing w:before="126" w:line="238" w:lineRule="auto"/>
              <w:ind w:left="47"/>
              <w:rPr>
                <w:sz w:val="12"/>
                <w:szCs w:val="12"/>
              </w:rPr>
            </w:pPr>
            <w:r>
              <w:rPr>
                <w:sz w:val="12"/>
                <w:szCs w:val="12"/>
              </w:rPr>
              <w:t>√</w:t>
            </w:r>
          </w:p>
        </w:tc>
        <w:tc>
          <w:tcPr>
            <w:tcW w:w="220" w:type="dxa"/>
            <w:tcBorders>
              <w:top w:val="single" w:color="000000" w:sz="2" w:space="0"/>
              <w:bottom w:val="single" w:color="000000" w:sz="2" w:space="0"/>
            </w:tcBorders>
            <w:vAlign w:val="top"/>
          </w:tcPr>
          <w:p w14:paraId="3670802C">
            <w:pPr>
              <w:rPr>
                <w:rFonts w:ascii="Arial"/>
                <w:sz w:val="21"/>
              </w:rPr>
            </w:pPr>
          </w:p>
        </w:tc>
        <w:tc>
          <w:tcPr>
            <w:tcW w:w="229" w:type="dxa"/>
            <w:tcBorders>
              <w:top w:val="single" w:color="000000" w:sz="2" w:space="0"/>
              <w:bottom w:val="single" w:color="000000" w:sz="2" w:space="0"/>
            </w:tcBorders>
            <w:vAlign w:val="top"/>
          </w:tcPr>
          <w:p w14:paraId="496620EE">
            <w:pPr>
              <w:rPr>
                <w:rFonts w:ascii="Arial"/>
                <w:sz w:val="21"/>
              </w:rPr>
            </w:pPr>
          </w:p>
        </w:tc>
        <w:tc>
          <w:tcPr>
            <w:tcW w:w="234" w:type="dxa"/>
            <w:tcBorders>
              <w:top w:val="single" w:color="000000" w:sz="2" w:space="0"/>
              <w:bottom w:val="single" w:color="000000" w:sz="2" w:space="0"/>
            </w:tcBorders>
            <w:vAlign w:val="top"/>
          </w:tcPr>
          <w:p w14:paraId="3B94598B">
            <w:pPr>
              <w:rPr>
                <w:rFonts w:ascii="Arial"/>
                <w:sz w:val="21"/>
              </w:rPr>
            </w:pPr>
          </w:p>
        </w:tc>
      </w:tr>
      <w:tr w14:paraId="47DD18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5" w:hRule="atLeast"/>
        </w:trPr>
        <w:tc>
          <w:tcPr>
            <w:tcW w:w="883" w:type="dxa"/>
            <w:vMerge w:val="restart"/>
            <w:tcBorders>
              <w:top w:val="single" w:color="000000" w:sz="2" w:space="0"/>
              <w:bottom w:val="nil"/>
            </w:tcBorders>
            <w:vAlign w:val="top"/>
          </w:tcPr>
          <w:p w14:paraId="5108FF5A">
            <w:pPr>
              <w:pStyle w:val="6"/>
              <w:spacing w:before="186" w:line="219" w:lineRule="auto"/>
              <w:ind w:left="94" w:right="77"/>
            </w:pPr>
            <w:r>
              <w:rPr>
                <w:spacing w:val="-2"/>
              </w:rPr>
              <w:t>税收的职</w:t>
            </w:r>
            <w:r>
              <w:rPr>
                <w:spacing w:val="1"/>
              </w:rPr>
              <w:t xml:space="preserve"> </w:t>
            </w:r>
            <w:r>
              <w:rPr>
                <w:spacing w:val="5"/>
              </w:rPr>
              <w:t>能与作用</w:t>
            </w:r>
          </w:p>
        </w:tc>
        <w:tc>
          <w:tcPr>
            <w:tcW w:w="2334" w:type="dxa"/>
            <w:tcBorders>
              <w:top w:val="single" w:color="000000" w:sz="2" w:space="0"/>
              <w:bottom w:val="single" w:color="000000" w:sz="2" w:space="0"/>
            </w:tcBorders>
            <w:vAlign w:val="top"/>
          </w:tcPr>
          <w:p w14:paraId="2714EC9D">
            <w:pPr>
              <w:pStyle w:val="6"/>
              <w:spacing w:before="97" w:line="219" w:lineRule="auto"/>
              <w:ind w:left="2"/>
            </w:pPr>
            <w:r>
              <w:rPr>
                <w:spacing w:val="1"/>
              </w:rPr>
              <w:t>1.税收的职能</w:t>
            </w:r>
          </w:p>
        </w:tc>
        <w:tc>
          <w:tcPr>
            <w:tcW w:w="230" w:type="dxa"/>
            <w:tcBorders>
              <w:top w:val="single" w:color="000000" w:sz="2" w:space="0"/>
              <w:bottom w:val="single" w:color="000000" w:sz="2" w:space="0"/>
            </w:tcBorders>
            <w:vAlign w:val="top"/>
          </w:tcPr>
          <w:p w14:paraId="6D747DCB">
            <w:pPr>
              <w:rPr>
                <w:rFonts w:ascii="Arial"/>
                <w:sz w:val="21"/>
              </w:rPr>
            </w:pPr>
          </w:p>
        </w:tc>
        <w:tc>
          <w:tcPr>
            <w:tcW w:w="220" w:type="dxa"/>
            <w:tcBorders>
              <w:top w:val="single" w:color="000000" w:sz="2" w:space="0"/>
              <w:bottom w:val="single" w:color="000000" w:sz="2" w:space="0"/>
            </w:tcBorders>
            <w:vAlign w:val="top"/>
          </w:tcPr>
          <w:p w14:paraId="307B51F5">
            <w:pPr>
              <w:pStyle w:val="6"/>
              <w:spacing w:before="136" w:line="238" w:lineRule="auto"/>
              <w:ind w:left="47"/>
              <w:rPr>
                <w:sz w:val="12"/>
                <w:szCs w:val="12"/>
              </w:rPr>
            </w:pPr>
            <w:r>
              <w:rPr>
                <w:sz w:val="12"/>
                <w:szCs w:val="12"/>
              </w:rPr>
              <w:t>√</w:t>
            </w:r>
          </w:p>
        </w:tc>
        <w:tc>
          <w:tcPr>
            <w:tcW w:w="229" w:type="dxa"/>
            <w:tcBorders>
              <w:top w:val="single" w:color="000000" w:sz="2" w:space="0"/>
              <w:bottom w:val="single" w:color="000000" w:sz="2" w:space="0"/>
            </w:tcBorders>
            <w:vAlign w:val="top"/>
          </w:tcPr>
          <w:p w14:paraId="287A7827">
            <w:pPr>
              <w:rPr>
                <w:rFonts w:ascii="Arial"/>
                <w:sz w:val="21"/>
              </w:rPr>
            </w:pPr>
          </w:p>
        </w:tc>
        <w:tc>
          <w:tcPr>
            <w:tcW w:w="234" w:type="dxa"/>
            <w:tcBorders>
              <w:top w:val="single" w:color="000000" w:sz="2" w:space="0"/>
              <w:bottom w:val="single" w:color="000000" w:sz="2" w:space="0"/>
            </w:tcBorders>
            <w:vAlign w:val="top"/>
          </w:tcPr>
          <w:p w14:paraId="198AC62A">
            <w:pPr>
              <w:rPr>
                <w:rFonts w:ascii="Arial"/>
                <w:sz w:val="21"/>
              </w:rPr>
            </w:pPr>
          </w:p>
        </w:tc>
      </w:tr>
      <w:tr w14:paraId="578868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9" w:hRule="atLeast"/>
        </w:trPr>
        <w:tc>
          <w:tcPr>
            <w:tcW w:w="883" w:type="dxa"/>
            <w:vMerge w:val="continue"/>
            <w:tcBorders>
              <w:top w:val="nil"/>
              <w:bottom w:val="single" w:color="000000" w:sz="2" w:space="0"/>
            </w:tcBorders>
            <w:vAlign w:val="top"/>
          </w:tcPr>
          <w:p w14:paraId="342C6244">
            <w:pPr>
              <w:rPr>
                <w:rFonts w:ascii="Arial"/>
                <w:sz w:val="21"/>
              </w:rPr>
            </w:pPr>
          </w:p>
        </w:tc>
        <w:tc>
          <w:tcPr>
            <w:tcW w:w="2334" w:type="dxa"/>
            <w:tcBorders>
              <w:top w:val="single" w:color="000000" w:sz="2" w:space="0"/>
              <w:bottom w:val="single" w:color="000000" w:sz="2" w:space="0"/>
            </w:tcBorders>
            <w:vAlign w:val="top"/>
          </w:tcPr>
          <w:p w14:paraId="6AA083EE">
            <w:pPr>
              <w:pStyle w:val="6"/>
              <w:spacing w:before="96" w:line="219" w:lineRule="auto"/>
              <w:ind w:left="2"/>
            </w:pPr>
            <w:r>
              <w:rPr>
                <w:spacing w:val="2"/>
              </w:rPr>
              <w:t>2.税收的作用</w:t>
            </w:r>
          </w:p>
        </w:tc>
        <w:tc>
          <w:tcPr>
            <w:tcW w:w="230" w:type="dxa"/>
            <w:tcBorders>
              <w:top w:val="single" w:color="000000" w:sz="2" w:space="0"/>
              <w:bottom w:val="single" w:color="000000" w:sz="2" w:space="0"/>
            </w:tcBorders>
            <w:vAlign w:val="top"/>
          </w:tcPr>
          <w:p w14:paraId="53B63D39">
            <w:pPr>
              <w:rPr>
                <w:rFonts w:ascii="Arial"/>
                <w:sz w:val="21"/>
              </w:rPr>
            </w:pPr>
          </w:p>
        </w:tc>
        <w:tc>
          <w:tcPr>
            <w:tcW w:w="220" w:type="dxa"/>
            <w:tcBorders>
              <w:top w:val="single" w:color="000000" w:sz="2" w:space="0"/>
              <w:bottom w:val="single" w:color="000000" w:sz="2" w:space="0"/>
            </w:tcBorders>
            <w:vAlign w:val="top"/>
          </w:tcPr>
          <w:p w14:paraId="7C70FA63">
            <w:pPr>
              <w:rPr>
                <w:rFonts w:ascii="Arial"/>
                <w:sz w:val="21"/>
              </w:rPr>
            </w:pPr>
          </w:p>
        </w:tc>
        <w:tc>
          <w:tcPr>
            <w:tcW w:w="229" w:type="dxa"/>
            <w:tcBorders>
              <w:top w:val="single" w:color="000000" w:sz="2" w:space="0"/>
              <w:bottom w:val="single" w:color="000000" w:sz="2" w:space="0"/>
            </w:tcBorders>
            <w:vAlign w:val="top"/>
          </w:tcPr>
          <w:p w14:paraId="3522EF5A">
            <w:pPr>
              <w:pStyle w:val="6"/>
              <w:spacing w:before="126" w:line="238" w:lineRule="auto"/>
              <w:ind w:left="48"/>
              <w:rPr>
                <w:sz w:val="12"/>
                <w:szCs w:val="12"/>
              </w:rPr>
            </w:pPr>
            <w:r>
              <w:rPr>
                <w:sz w:val="12"/>
                <w:szCs w:val="12"/>
              </w:rPr>
              <w:t>√</w:t>
            </w:r>
          </w:p>
        </w:tc>
        <w:tc>
          <w:tcPr>
            <w:tcW w:w="234" w:type="dxa"/>
            <w:tcBorders>
              <w:top w:val="single" w:color="000000" w:sz="2" w:space="0"/>
              <w:bottom w:val="single" w:color="000000" w:sz="2" w:space="0"/>
            </w:tcBorders>
            <w:vAlign w:val="top"/>
          </w:tcPr>
          <w:p w14:paraId="6DAB93EB">
            <w:pPr>
              <w:rPr>
                <w:rFonts w:ascii="Arial"/>
                <w:sz w:val="21"/>
              </w:rPr>
            </w:pPr>
          </w:p>
        </w:tc>
      </w:tr>
    </w:tbl>
    <w:p w14:paraId="72EB43EE">
      <w:pPr>
        <w:pStyle w:val="2"/>
        <w:spacing w:line="14" w:lineRule="auto"/>
        <w:rPr>
          <w:sz w:val="2"/>
        </w:rPr>
      </w:pPr>
    </w:p>
    <w:p w14:paraId="6C931953">
      <w:pPr>
        <w:spacing w:line="14" w:lineRule="auto"/>
        <w:rPr>
          <w:sz w:val="2"/>
          <w:szCs w:val="2"/>
        </w:rPr>
        <w:sectPr>
          <w:type w:val="continuous"/>
          <w:pgSz w:w="10660" w:h="15080"/>
          <w:pgMar w:top="400" w:right="1034" w:bottom="927" w:left="819" w:header="0" w:footer="719" w:gutter="0"/>
          <w:cols w:equalWidth="0" w:num="2">
            <w:col w:w="4566" w:space="100"/>
            <w:col w:w="4141"/>
          </w:cols>
        </w:sectPr>
      </w:pPr>
    </w:p>
    <w:p w14:paraId="3C65D9D0">
      <w:pPr>
        <w:spacing w:before="10"/>
      </w:pPr>
    </w:p>
    <w:p w14:paraId="3663D7D0">
      <w:pPr>
        <w:spacing w:before="9"/>
      </w:pPr>
    </w:p>
    <w:p w14:paraId="5A5B875A">
      <w:pPr>
        <w:spacing w:before="9"/>
      </w:pPr>
    </w:p>
    <w:p w14:paraId="6F2A48C9">
      <w:pPr>
        <w:spacing w:before="9"/>
      </w:pPr>
    </w:p>
    <w:p w14:paraId="2C169C44">
      <w:pPr>
        <w:sectPr>
          <w:footerReference r:id="rId31" w:type="default"/>
          <w:pgSz w:w="10660" w:h="15080"/>
          <w:pgMar w:top="400" w:right="885" w:bottom="925" w:left="1024" w:header="0" w:footer="704" w:gutter="0"/>
          <w:cols w:equalWidth="0" w:num="1">
            <w:col w:w="8750"/>
          </w:cols>
        </w:sectPr>
      </w:pPr>
    </w:p>
    <w:p w14:paraId="664B1619">
      <w:pPr>
        <w:spacing w:line="116" w:lineRule="auto"/>
        <w:rPr>
          <w:rFonts w:ascii="Arial"/>
          <w:sz w:val="2"/>
        </w:rPr>
      </w:pPr>
    </w:p>
    <w:tbl>
      <w:tblPr>
        <w:tblStyle w:val="5"/>
        <w:tblW w:w="414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24"/>
        <w:gridCol w:w="229"/>
        <w:gridCol w:w="230"/>
        <w:gridCol w:w="220"/>
        <w:gridCol w:w="244"/>
      </w:tblGrid>
      <w:tr w14:paraId="37ECD3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3" w:hRule="atLeast"/>
        </w:trPr>
        <w:tc>
          <w:tcPr>
            <w:tcW w:w="893" w:type="dxa"/>
            <w:vMerge w:val="restart"/>
            <w:tcBorders>
              <w:bottom w:val="nil"/>
            </w:tcBorders>
            <w:vAlign w:val="top"/>
          </w:tcPr>
          <w:p w14:paraId="701207E4">
            <w:pPr>
              <w:pStyle w:val="6"/>
              <w:spacing w:before="202" w:line="219" w:lineRule="auto"/>
              <w:ind w:left="94"/>
            </w:pPr>
            <w:r>
              <w:rPr>
                <w:spacing w:val="-2"/>
              </w:rPr>
              <w:t>税收制度</w:t>
            </w:r>
          </w:p>
          <w:p w14:paraId="2B7C8B0D">
            <w:pPr>
              <w:pStyle w:val="6"/>
              <w:spacing w:before="39" w:line="216" w:lineRule="auto"/>
              <w:ind w:left="94"/>
            </w:pPr>
            <w:r>
              <w:rPr>
                <w:spacing w:val="-2"/>
              </w:rPr>
              <w:t>及其构成</w:t>
            </w:r>
          </w:p>
          <w:p w14:paraId="7F179A95">
            <w:pPr>
              <w:pStyle w:val="6"/>
              <w:spacing w:line="219" w:lineRule="auto"/>
              <w:ind w:left="265"/>
            </w:pPr>
            <w:r>
              <w:rPr>
                <w:spacing w:val="-2"/>
              </w:rPr>
              <w:t>要素</w:t>
            </w:r>
          </w:p>
        </w:tc>
        <w:tc>
          <w:tcPr>
            <w:tcW w:w="2324" w:type="dxa"/>
            <w:vAlign w:val="top"/>
          </w:tcPr>
          <w:p w14:paraId="03A74D13">
            <w:pPr>
              <w:pStyle w:val="6"/>
              <w:spacing w:before="82" w:line="219" w:lineRule="auto"/>
              <w:ind w:left="12"/>
            </w:pPr>
            <w:r>
              <w:t>1.税收制度的概念</w:t>
            </w:r>
          </w:p>
        </w:tc>
        <w:tc>
          <w:tcPr>
            <w:tcW w:w="229" w:type="dxa"/>
            <w:vAlign w:val="top"/>
          </w:tcPr>
          <w:p w14:paraId="3C441EFF">
            <w:pPr>
              <w:rPr>
                <w:rFonts w:ascii="Arial"/>
                <w:sz w:val="21"/>
              </w:rPr>
            </w:pPr>
          </w:p>
        </w:tc>
        <w:tc>
          <w:tcPr>
            <w:tcW w:w="230" w:type="dxa"/>
            <w:vAlign w:val="top"/>
          </w:tcPr>
          <w:p w14:paraId="1EADB485">
            <w:pPr>
              <w:rPr>
                <w:rFonts w:ascii="Arial"/>
                <w:sz w:val="21"/>
              </w:rPr>
            </w:pPr>
          </w:p>
        </w:tc>
        <w:tc>
          <w:tcPr>
            <w:tcW w:w="220" w:type="dxa"/>
            <w:vAlign w:val="top"/>
          </w:tcPr>
          <w:p w14:paraId="5D44F689">
            <w:pPr>
              <w:rPr>
                <w:rFonts w:ascii="Arial"/>
                <w:sz w:val="21"/>
              </w:rPr>
            </w:pPr>
          </w:p>
        </w:tc>
        <w:tc>
          <w:tcPr>
            <w:tcW w:w="244" w:type="dxa"/>
            <w:vAlign w:val="top"/>
          </w:tcPr>
          <w:p w14:paraId="78B968BD">
            <w:pPr>
              <w:rPr>
                <w:rFonts w:ascii="Arial"/>
                <w:sz w:val="21"/>
              </w:rPr>
            </w:pPr>
          </w:p>
        </w:tc>
      </w:tr>
      <w:tr w14:paraId="4B8B43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8" w:hRule="atLeast"/>
        </w:trPr>
        <w:tc>
          <w:tcPr>
            <w:tcW w:w="893" w:type="dxa"/>
            <w:vMerge w:val="continue"/>
            <w:tcBorders>
              <w:top w:val="nil"/>
              <w:bottom w:val="nil"/>
            </w:tcBorders>
            <w:vAlign w:val="top"/>
          </w:tcPr>
          <w:p w14:paraId="71EAC645">
            <w:pPr>
              <w:rPr>
                <w:rFonts w:ascii="Arial"/>
                <w:sz w:val="21"/>
              </w:rPr>
            </w:pPr>
          </w:p>
        </w:tc>
        <w:tc>
          <w:tcPr>
            <w:tcW w:w="2324" w:type="dxa"/>
            <w:vAlign w:val="top"/>
          </w:tcPr>
          <w:p w14:paraId="391DA060">
            <w:pPr>
              <w:pStyle w:val="6"/>
              <w:spacing w:before="79" w:line="219" w:lineRule="auto"/>
              <w:ind w:left="12"/>
            </w:pPr>
            <w:r>
              <w:rPr>
                <w:spacing w:val="1"/>
              </w:rPr>
              <w:t>2.我国税收制度建立的原则</w:t>
            </w:r>
          </w:p>
        </w:tc>
        <w:tc>
          <w:tcPr>
            <w:tcW w:w="229" w:type="dxa"/>
            <w:vAlign w:val="top"/>
          </w:tcPr>
          <w:p w14:paraId="7FD058B4">
            <w:pPr>
              <w:rPr>
                <w:rFonts w:ascii="Arial"/>
                <w:sz w:val="21"/>
              </w:rPr>
            </w:pPr>
          </w:p>
        </w:tc>
        <w:tc>
          <w:tcPr>
            <w:tcW w:w="230" w:type="dxa"/>
            <w:vAlign w:val="top"/>
          </w:tcPr>
          <w:p w14:paraId="3A1AE9F5">
            <w:pPr>
              <w:rPr>
                <w:rFonts w:ascii="Arial"/>
                <w:sz w:val="21"/>
              </w:rPr>
            </w:pPr>
          </w:p>
        </w:tc>
        <w:tc>
          <w:tcPr>
            <w:tcW w:w="220" w:type="dxa"/>
            <w:vAlign w:val="top"/>
          </w:tcPr>
          <w:p w14:paraId="22084FF7">
            <w:pPr>
              <w:rPr>
                <w:rFonts w:ascii="Arial"/>
                <w:sz w:val="21"/>
              </w:rPr>
            </w:pPr>
          </w:p>
        </w:tc>
        <w:tc>
          <w:tcPr>
            <w:tcW w:w="244" w:type="dxa"/>
            <w:vAlign w:val="top"/>
          </w:tcPr>
          <w:p w14:paraId="72EDEFA9">
            <w:pPr>
              <w:rPr>
                <w:rFonts w:ascii="Arial"/>
                <w:sz w:val="21"/>
              </w:rPr>
            </w:pPr>
          </w:p>
        </w:tc>
      </w:tr>
      <w:tr w14:paraId="23236F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8" w:hRule="atLeast"/>
        </w:trPr>
        <w:tc>
          <w:tcPr>
            <w:tcW w:w="893" w:type="dxa"/>
            <w:vMerge w:val="continue"/>
            <w:tcBorders>
              <w:top w:val="nil"/>
            </w:tcBorders>
            <w:vAlign w:val="top"/>
          </w:tcPr>
          <w:p w14:paraId="2A6876B4">
            <w:pPr>
              <w:rPr>
                <w:rFonts w:ascii="Arial"/>
                <w:sz w:val="21"/>
              </w:rPr>
            </w:pPr>
          </w:p>
        </w:tc>
        <w:tc>
          <w:tcPr>
            <w:tcW w:w="2324" w:type="dxa"/>
            <w:vAlign w:val="top"/>
          </w:tcPr>
          <w:p w14:paraId="3103C64F">
            <w:pPr>
              <w:pStyle w:val="6"/>
              <w:spacing w:before="81" w:line="219" w:lineRule="auto"/>
              <w:ind w:left="12"/>
            </w:pPr>
            <w:r>
              <w:rPr>
                <w:spacing w:val="-1"/>
              </w:rPr>
              <w:t>3.税收制度的构成要素</w:t>
            </w:r>
          </w:p>
        </w:tc>
        <w:tc>
          <w:tcPr>
            <w:tcW w:w="229" w:type="dxa"/>
            <w:vAlign w:val="top"/>
          </w:tcPr>
          <w:p w14:paraId="53292FBA">
            <w:pPr>
              <w:rPr>
                <w:rFonts w:ascii="Arial"/>
                <w:sz w:val="21"/>
              </w:rPr>
            </w:pPr>
          </w:p>
        </w:tc>
        <w:tc>
          <w:tcPr>
            <w:tcW w:w="230" w:type="dxa"/>
            <w:vAlign w:val="top"/>
          </w:tcPr>
          <w:p w14:paraId="7B9E9C7B">
            <w:pPr>
              <w:rPr>
                <w:rFonts w:ascii="Arial"/>
                <w:sz w:val="21"/>
              </w:rPr>
            </w:pPr>
          </w:p>
        </w:tc>
        <w:tc>
          <w:tcPr>
            <w:tcW w:w="220" w:type="dxa"/>
            <w:vAlign w:val="top"/>
          </w:tcPr>
          <w:p w14:paraId="3B1806CE">
            <w:pPr>
              <w:rPr>
                <w:rFonts w:ascii="Arial"/>
                <w:sz w:val="21"/>
              </w:rPr>
            </w:pPr>
          </w:p>
        </w:tc>
        <w:tc>
          <w:tcPr>
            <w:tcW w:w="244" w:type="dxa"/>
            <w:vAlign w:val="top"/>
          </w:tcPr>
          <w:p w14:paraId="46468C7C">
            <w:pPr>
              <w:rPr>
                <w:rFonts w:ascii="Arial"/>
                <w:sz w:val="21"/>
              </w:rPr>
            </w:pPr>
          </w:p>
        </w:tc>
      </w:tr>
      <w:tr w14:paraId="37466A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8" w:hRule="atLeast"/>
        </w:trPr>
        <w:tc>
          <w:tcPr>
            <w:tcW w:w="893" w:type="dxa"/>
            <w:vMerge w:val="restart"/>
            <w:tcBorders>
              <w:bottom w:val="nil"/>
            </w:tcBorders>
            <w:vAlign w:val="top"/>
          </w:tcPr>
          <w:p w14:paraId="0EC9D907">
            <w:pPr>
              <w:pStyle w:val="6"/>
              <w:spacing w:before="152" w:line="219" w:lineRule="auto"/>
              <w:ind w:left="94" w:right="23" w:hanging="79"/>
            </w:pPr>
            <w:r>
              <w:rPr>
                <w:spacing w:val="-2"/>
              </w:rPr>
              <w:t>税收分类与</w:t>
            </w:r>
            <w:r>
              <w:rPr>
                <w:spacing w:val="3"/>
              </w:rPr>
              <w:t xml:space="preserve"> </w:t>
            </w:r>
            <w:r>
              <w:rPr>
                <w:spacing w:val="4"/>
              </w:rPr>
              <w:t>税法体系</w:t>
            </w:r>
          </w:p>
        </w:tc>
        <w:tc>
          <w:tcPr>
            <w:tcW w:w="2324" w:type="dxa"/>
            <w:vAlign w:val="top"/>
          </w:tcPr>
          <w:p w14:paraId="07F67D76">
            <w:pPr>
              <w:pStyle w:val="6"/>
              <w:spacing w:before="83" w:line="219" w:lineRule="auto"/>
              <w:ind w:left="12"/>
            </w:pPr>
            <w:r>
              <w:rPr>
                <w:spacing w:val="1"/>
              </w:rPr>
              <w:t>1.税收分类</w:t>
            </w:r>
          </w:p>
        </w:tc>
        <w:tc>
          <w:tcPr>
            <w:tcW w:w="229" w:type="dxa"/>
            <w:vAlign w:val="top"/>
          </w:tcPr>
          <w:p w14:paraId="7CD9971F">
            <w:pPr>
              <w:rPr>
                <w:rFonts w:ascii="Arial"/>
                <w:sz w:val="21"/>
              </w:rPr>
            </w:pPr>
          </w:p>
        </w:tc>
        <w:tc>
          <w:tcPr>
            <w:tcW w:w="230" w:type="dxa"/>
            <w:vAlign w:val="top"/>
          </w:tcPr>
          <w:p w14:paraId="7766B196">
            <w:pPr>
              <w:pStyle w:val="6"/>
              <w:spacing w:before="123" w:line="238" w:lineRule="auto"/>
              <w:ind w:left="19"/>
              <w:rPr>
                <w:sz w:val="12"/>
                <w:szCs w:val="12"/>
              </w:rPr>
            </w:pPr>
            <w:r>
              <w:rPr>
                <w:sz w:val="12"/>
                <w:szCs w:val="12"/>
              </w:rPr>
              <w:t>√</w:t>
            </w:r>
          </w:p>
        </w:tc>
        <w:tc>
          <w:tcPr>
            <w:tcW w:w="220" w:type="dxa"/>
            <w:vAlign w:val="top"/>
          </w:tcPr>
          <w:p w14:paraId="68DD37CF">
            <w:pPr>
              <w:rPr>
                <w:rFonts w:ascii="Arial"/>
                <w:sz w:val="21"/>
              </w:rPr>
            </w:pPr>
          </w:p>
        </w:tc>
        <w:tc>
          <w:tcPr>
            <w:tcW w:w="244" w:type="dxa"/>
            <w:vAlign w:val="top"/>
          </w:tcPr>
          <w:p w14:paraId="450D6C44">
            <w:pPr>
              <w:rPr>
                <w:rFonts w:ascii="Arial"/>
                <w:sz w:val="21"/>
              </w:rPr>
            </w:pPr>
          </w:p>
        </w:tc>
      </w:tr>
      <w:tr w14:paraId="618FB6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3" w:hRule="atLeast"/>
        </w:trPr>
        <w:tc>
          <w:tcPr>
            <w:tcW w:w="893" w:type="dxa"/>
            <w:vMerge w:val="continue"/>
            <w:tcBorders>
              <w:top w:val="nil"/>
            </w:tcBorders>
            <w:vAlign w:val="top"/>
          </w:tcPr>
          <w:p w14:paraId="34ACEFB4">
            <w:pPr>
              <w:rPr>
                <w:rFonts w:ascii="Arial"/>
                <w:sz w:val="21"/>
              </w:rPr>
            </w:pPr>
          </w:p>
        </w:tc>
        <w:tc>
          <w:tcPr>
            <w:tcW w:w="2324" w:type="dxa"/>
            <w:vAlign w:val="top"/>
          </w:tcPr>
          <w:p w14:paraId="7A890A80">
            <w:pPr>
              <w:pStyle w:val="6"/>
              <w:spacing w:before="75" w:line="220" w:lineRule="auto"/>
              <w:ind w:left="12"/>
            </w:pPr>
            <w:r>
              <w:rPr>
                <w:spacing w:val="1"/>
              </w:rPr>
              <w:t>2.我国现行税法体系</w:t>
            </w:r>
          </w:p>
        </w:tc>
        <w:tc>
          <w:tcPr>
            <w:tcW w:w="229" w:type="dxa"/>
            <w:vAlign w:val="top"/>
          </w:tcPr>
          <w:p w14:paraId="5522D004">
            <w:pPr>
              <w:pStyle w:val="6"/>
              <w:spacing w:before="105" w:line="238" w:lineRule="auto"/>
              <w:ind w:left="17"/>
              <w:rPr>
                <w:sz w:val="12"/>
                <w:szCs w:val="12"/>
              </w:rPr>
            </w:pPr>
            <w:r>
              <w:rPr>
                <w:sz w:val="12"/>
                <w:szCs w:val="12"/>
              </w:rPr>
              <w:t>√</w:t>
            </w:r>
          </w:p>
        </w:tc>
        <w:tc>
          <w:tcPr>
            <w:tcW w:w="230" w:type="dxa"/>
            <w:vAlign w:val="top"/>
          </w:tcPr>
          <w:p w14:paraId="1F6C139D">
            <w:pPr>
              <w:rPr>
                <w:rFonts w:ascii="Arial"/>
                <w:sz w:val="21"/>
              </w:rPr>
            </w:pPr>
          </w:p>
        </w:tc>
        <w:tc>
          <w:tcPr>
            <w:tcW w:w="220" w:type="dxa"/>
            <w:vAlign w:val="top"/>
          </w:tcPr>
          <w:p w14:paraId="65DC981E">
            <w:pPr>
              <w:rPr>
                <w:rFonts w:ascii="Arial"/>
                <w:sz w:val="21"/>
              </w:rPr>
            </w:pPr>
          </w:p>
        </w:tc>
        <w:tc>
          <w:tcPr>
            <w:tcW w:w="244" w:type="dxa"/>
            <w:vAlign w:val="top"/>
          </w:tcPr>
          <w:p w14:paraId="6AA4643D">
            <w:pPr>
              <w:rPr>
                <w:rFonts w:ascii="Arial"/>
                <w:sz w:val="21"/>
              </w:rPr>
            </w:pPr>
          </w:p>
        </w:tc>
      </w:tr>
    </w:tbl>
    <w:p w14:paraId="485F9D94">
      <w:pPr>
        <w:spacing w:before="108" w:line="221" w:lineRule="auto"/>
        <w:ind w:left="1557"/>
        <w:rPr>
          <w:rFonts w:ascii="黑体" w:hAnsi="黑体" w:eastAsia="黑体" w:cs="黑体"/>
          <w:sz w:val="20"/>
          <w:szCs w:val="20"/>
        </w:rPr>
      </w:pPr>
      <w:r>
        <w:rPr>
          <w:rFonts w:ascii="黑体" w:hAnsi="黑体" w:eastAsia="黑体" w:cs="黑体"/>
          <w:b/>
          <w:bCs/>
          <w:spacing w:val="13"/>
          <w:sz w:val="20"/>
          <w:szCs w:val="20"/>
        </w:rPr>
        <w:t>(二)增值税</w:t>
      </w:r>
    </w:p>
    <w:p w14:paraId="3839FD51">
      <w:pPr>
        <w:spacing w:line="82" w:lineRule="exact"/>
      </w:pPr>
    </w:p>
    <w:tbl>
      <w:tblPr>
        <w:tblStyle w:val="5"/>
        <w:tblW w:w="4119" w:type="dxa"/>
        <w:tblInd w:w="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83"/>
        <w:gridCol w:w="2324"/>
        <w:gridCol w:w="229"/>
        <w:gridCol w:w="220"/>
        <w:gridCol w:w="239"/>
        <w:gridCol w:w="224"/>
      </w:tblGrid>
      <w:tr w14:paraId="23F538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4" w:hRule="atLeast"/>
        </w:trPr>
        <w:tc>
          <w:tcPr>
            <w:tcW w:w="883" w:type="dxa"/>
            <w:vMerge w:val="restart"/>
            <w:tcBorders>
              <w:bottom w:val="nil"/>
            </w:tcBorders>
            <w:vAlign w:val="top"/>
          </w:tcPr>
          <w:p w14:paraId="5854FE87">
            <w:pPr>
              <w:pStyle w:val="6"/>
              <w:spacing w:before="163" w:line="213" w:lineRule="auto"/>
              <w:ind w:left="75" w:right="61" w:firstLine="89"/>
              <w:rPr>
                <w:sz w:val="18"/>
                <w:szCs w:val="18"/>
              </w:rPr>
            </w:pPr>
            <w:r>
              <w:rPr>
                <w:spacing w:val="4"/>
                <w:sz w:val="18"/>
                <w:szCs w:val="18"/>
              </w:rPr>
              <w:t>知识与</w:t>
            </w:r>
            <w:r>
              <w:rPr>
                <w:sz w:val="18"/>
                <w:szCs w:val="18"/>
              </w:rPr>
              <w:t xml:space="preserve">  </w:t>
            </w:r>
            <w:r>
              <w:rPr>
                <w:spacing w:val="4"/>
                <w:sz w:val="18"/>
                <w:szCs w:val="18"/>
              </w:rPr>
              <w:t>技能要点</w:t>
            </w:r>
          </w:p>
        </w:tc>
        <w:tc>
          <w:tcPr>
            <w:tcW w:w="2324" w:type="dxa"/>
            <w:vMerge w:val="restart"/>
            <w:tcBorders>
              <w:bottom w:val="nil"/>
            </w:tcBorders>
            <w:vAlign w:val="top"/>
          </w:tcPr>
          <w:p w14:paraId="58311D86">
            <w:pPr>
              <w:pStyle w:val="6"/>
              <w:spacing w:before="252" w:line="219" w:lineRule="auto"/>
              <w:ind w:left="2"/>
              <w:rPr>
                <w:sz w:val="18"/>
                <w:szCs w:val="18"/>
              </w:rPr>
            </w:pPr>
            <w:r>
              <w:rPr>
                <w:spacing w:val="8"/>
                <w:sz w:val="18"/>
                <w:szCs w:val="18"/>
              </w:rPr>
              <w:t>考试条目</w:t>
            </w:r>
          </w:p>
        </w:tc>
        <w:tc>
          <w:tcPr>
            <w:tcW w:w="912" w:type="dxa"/>
            <w:gridSpan w:val="4"/>
            <w:vAlign w:val="top"/>
          </w:tcPr>
          <w:p w14:paraId="5AB9D49B">
            <w:pPr>
              <w:pStyle w:val="6"/>
              <w:spacing w:before="82" w:line="219" w:lineRule="auto"/>
              <w:ind w:left="28"/>
              <w:rPr>
                <w:sz w:val="18"/>
                <w:szCs w:val="18"/>
              </w:rPr>
            </w:pPr>
            <w:r>
              <w:rPr>
                <w:spacing w:val="-2"/>
                <w:sz w:val="18"/>
                <w:szCs w:val="18"/>
              </w:rPr>
              <w:t>考试水平</w:t>
            </w:r>
          </w:p>
        </w:tc>
      </w:tr>
      <w:tr w14:paraId="288F53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9" w:hRule="atLeast"/>
        </w:trPr>
        <w:tc>
          <w:tcPr>
            <w:tcW w:w="883" w:type="dxa"/>
            <w:vMerge w:val="continue"/>
            <w:tcBorders>
              <w:top w:val="nil"/>
            </w:tcBorders>
            <w:vAlign w:val="top"/>
          </w:tcPr>
          <w:p w14:paraId="45AB42BE">
            <w:pPr>
              <w:rPr>
                <w:rFonts w:ascii="Arial"/>
                <w:sz w:val="21"/>
              </w:rPr>
            </w:pPr>
          </w:p>
        </w:tc>
        <w:tc>
          <w:tcPr>
            <w:tcW w:w="2324" w:type="dxa"/>
            <w:vMerge w:val="continue"/>
            <w:tcBorders>
              <w:top w:val="nil"/>
            </w:tcBorders>
            <w:vAlign w:val="top"/>
          </w:tcPr>
          <w:p w14:paraId="77933B02">
            <w:pPr>
              <w:rPr>
                <w:rFonts w:ascii="Arial"/>
                <w:sz w:val="21"/>
              </w:rPr>
            </w:pPr>
          </w:p>
        </w:tc>
        <w:tc>
          <w:tcPr>
            <w:tcW w:w="229" w:type="dxa"/>
            <w:vAlign w:val="top"/>
          </w:tcPr>
          <w:p w14:paraId="70B655DD">
            <w:pPr>
              <w:pStyle w:val="6"/>
              <w:spacing w:before="123" w:line="184" w:lineRule="auto"/>
              <w:ind w:left="17"/>
              <w:rPr>
                <w:sz w:val="18"/>
                <w:szCs w:val="18"/>
              </w:rPr>
            </w:pPr>
            <w:r>
              <w:rPr>
                <w:sz w:val="18"/>
                <w:szCs w:val="18"/>
              </w:rPr>
              <w:t>A</w:t>
            </w:r>
          </w:p>
        </w:tc>
        <w:tc>
          <w:tcPr>
            <w:tcW w:w="220" w:type="dxa"/>
            <w:vAlign w:val="top"/>
          </w:tcPr>
          <w:p w14:paraId="3F6165CB">
            <w:pPr>
              <w:pStyle w:val="6"/>
              <w:spacing w:before="125" w:line="182" w:lineRule="auto"/>
              <w:ind w:left="19"/>
              <w:rPr>
                <w:sz w:val="18"/>
                <w:szCs w:val="18"/>
              </w:rPr>
            </w:pPr>
            <w:r>
              <w:rPr>
                <w:sz w:val="18"/>
                <w:szCs w:val="18"/>
              </w:rPr>
              <w:t>B</w:t>
            </w:r>
          </w:p>
        </w:tc>
        <w:tc>
          <w:tcPr>
            <w:tcW w:w="239" w:type="dxa"/>
            <w:vAlign w:val="top"/>
          </w:tcPr>
          <w:p w14:paraId="602DEC7D">
            <w:pPr>
              <w:pStyle w:val="6"/>
              <w:spacing w:before="124" w:line="183" w:lineRule="auto"/>
              <w:ind w:left="69"/>
              <w:rPr>
                <w:sz w:val="18"/>
                <w:szCs w:val="18"/>
              </w:rPr>
            </w:pPr>
            <w:r>
              <w:rPr>
                <w:sz w:val="18"/>
                <w:szCs w:val="18"/>
              </w:rPr>
              <w:t>C</w:t>
            </w:r>
          </w:p>
        </w:tc>
        <w:tc>
          <w:tcPr>
            <w:tcW w:w="224" w:type="dxa"/>
            <w:vAlign w:val="top"/>
          </w:tcPr>
          <w:p w14:paraId="4665B2BA">
            <w:pPr>
              <w:pStyle w:val="6"/>
              <w:spacing w:before="125" w:line="182" w:lineRule="auto"/>
              <w:ind w:left="20"/>
              <w:rPr>
                <w:sz w:val="18"/>
                <w:szCs w:val="18"/>
              </w:rPr>
            </w:pPr>
            <w:r>
              <w:rPr>
                <w:sz w:val="18"/>
                <w:szCs w:val="18"/>
              </w:rPr>
              <w:t>D</w:t>
            </w:r>
          </w:p>
        </w:tc>
      </w:tr>
      <w:tr w14:paraId="6181CF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0" w:hRule="atLeast"/>
        </w:trPr>
        <w:tc>
          <w:tcPr>
            <w:tcW w:w="883" w:type="dxa"/>
            <w:vMerge w:val="restart"/>
            <w:tcBorders>
              <w:bottom w:val="nil"/>
            </w:tcBorders>
            <w:vAlign w:val="top"/>
          </w:tcPr>
          <w:p w14:paraId="7EBF8D30">
            <w:pPr>
              <w:spacing w:line="273" w:lineRule="auto"/>
              <w:rPr>
                <w:rFonts w:ascii="Arial"/>
                <w:sz w:val="21"/>
              </w:rPr>
            </w:pPr>
          </w:p>
          <w:p w14:paraId="7BC73898">
            <w:pPr>
              <w:spacing w:line="273" w:lineRule="auto"/>
              <w:rPr>
                <w:rFonts w:ascii="Arial"/>
                <w:sz w:val="21"/>
              </w:rPr>
            </w:pPr>
          </w:p>
          <w:p w14:paraId="5AE0220D">
            <w:pPr>
              <w:pStyle w:val="6"/>
              <w:spacing w:before="59" w:line="217" w:lineRule="auto"/>
              <w:ind w:left="75" w:right="63"/>
              <w:rPr>
                <w:sz w:val="18"/>
                <w:szCs w:val="18"/>
              </w:rPr>
            </w:pPr>
            <w:r>
              <w:rPr>
                <w:spacing w:val="3"/>
                <w:sz w:val="18"/>
                <w:szCs w:val="18"/>
              </w:rPr>
              <w:t>增值税的</w:t>
            </w:r>
            <w:r>
              <w:rPr>
                <w:spacing w:val="1"/>
                <w:sz w:val="18"/>
                <w:szCs w:val="18"/>
              </w:rPr>
              <w:t xml:space="preserve"> </w:t>
            </w:r>
            <w:r>
              <w:rPr>
                <w:spacing w:val="-2"/>
                <w:sz w:val="18"/>
                <w:szCs w:val="18"/>
              </w:rPr>
              <w:t>基本内容</w:t>
            </w:r>
          </w:p>
        </w:tc>
        <w:tc>
          <w:tcPr>
            <w:tcW w:w="2324" w:type="dxa"/>
            <w:vAlign w:val="top"/>
          </w:tcPr>
          <w:p w14:paraId="3CBCCAE7">
            <w:pPr>
              <w:pStyle w:val="6"/>
              <w:spacing w:before="49" w:line="219" w:lineRule="auto"/>
              <w:jc w:val="right"/>
              <w:rPr>
                <w:sz w:val="18"/>
                <w:szCs w:val="18"/>
              </w:rPr>
            </w:pPr>
            <w:r>
              <w:rPr>
                <w:spacing w:val="-3"/>
                <w:sz w:val="18"/>
                <w:szCs w:val="18"/>
              </w:rPr>
              <w:t>1.增值税的概念、特点与类型</w:t>
            </w:r>
          </w:p>
        </w:tc>
        <w:tc>
          <w:tcPr>
            <w:tcW w:w="229" w:type="dxa"/>
            <w:vAlign w:val="top"/>
          </w:tcPr>
          <w:p w14:paraId="228CB6BB">
            <w:pPr>
              <w:pStyle w:val="6"/>
              <w:spacing w:before="90" w:line="238" w:lineRule="auto"/>
              <w:ind w:left="48"/>
              <w:rPr>
                <w:sz w:val="13"/>
                <w:szCs w:val="13"/>
              </w:rPr>
            </w:pPr>
            <w:r>
              <w:rPr>
                <w:sz w:val="13"/>
                <w:szCs w:val="13"/>
              </w:rPr>
              <w:t>√</w:t>
            </w:r>
          </w:p>
        </w:tc>
        <w:tc>
          <w:tcPr>
            <w:tcW w:w="220" w:type="dxa"/>
            <w:vAlign w:val="top"/>
          </w:tcPr>
          <w:p w14:paraId="7865D1E9">
            <w:pPr>
              <w:rPr>
                <w:rFonts w:ascii="Arial"/>
                <w:sz w:val="21"/>
              </w:rPr>
            </w:pPr>
          </w:p>
        </w:tc>
        <w:tc>
          <w:tcPr>
            <w:tcW w:w="239" w:type="dxa"/>
            <w:vAlign w:val="top"/>
          </w:tcPr>
          <w:p w14:paraId="1209D943">
            <w:pPr>
              <w:rPr>
                <w:rFonts w:ascii="Arial"/>
                <w:sz w:val="21"/>
              </w:rPr>
            </w:pPr>
          </w:p>
        </w:tc>
        <w:tc>
          <w:tcPr>
            <w:tcW w:w="224" w:type="dxa"/>
            <w:vAlign w:val="top"/>
          </w:tcPr>
          <w:p w14:paraId="253D569C">
            <w:pPr>
              <w:rPr>
                <w:rFonts w:ascii="Arial"/>
                <w:sz w:val="21"/>
              </w:rPr>
            </w:pPr>
          </w:p>
        </w:tc>
      </w:tr>
      <w:tr w14:paraId="04517E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9" w:hRule="atLeast"/>
        </w:trPr>
        <w:tc>
          <w:tcPr>
            <w:tcW w:w="883" w:type="dxa"/>
            <w:vMerge w:val="continue"/>
            <w:tcBorders>
              <w:top w:val="nil"/>
              <w:bottom w:val="nil"/>
            </w:tcBorders>
            <w:vAlign w:val="top"/>
          </w:tcPr>
          <w:p w14:paraId="75AEDC03">
            <w:pPr>
              <w:rPr>
                <w:rFonts w:ascii="Arial"/>
                <w:sz w:val="21"/>
              </w:rPr>
            </w:pPr>
          </w:p>
        </w:tc>
        <w:tc>
          <w:tcPr>
            <w:tcW w:w="2324" w:type="dxa"/>
            <w:vAlign w:val="top"/>
          </w:tcPr>
          <w:p w14:paraId="7FA64E2A">
            <w:pPr>
              <w:pStyle w:val="6"/>
              <w:spacing w:before="29" w:line="200" w:lineRule="auto"/>
              <w:ind w:left="2" w:right="161"/>
              <w:rPr>
                <w:sz w:val="18"/>
                <w:szCs w:val="18"/>
              </w:rPr>
            </w:pPr>
            <w:r>
              <w:rPr>
                <w:spacing w:val="-1"/>
                <w:sz w:val="18"/>
                <w:szCs w:val="18"/>
              </w:rPr>
              <w:t>2.增值税的纳税人和登记管</w:t>
            </w:r>
            <w:r>
              <w:rPr>
                <w:spacing w:val="2"/>
                <w:sz w:val="18"/>
                <w:szCs w:val="18"/>
              </w:rPr>
              <w:t xml:space="preserve"> </w:t>
            </w:r>
            <w:r>
              <w:rPr>
                <w:spacing w:val="-3"/>
                <w:sz w:val="18"/>
                <w:szCs w:val="18"/>
              </w:rPr>
              <w:t>理制度</w:t>
            </w:r>
          </w:p>
        </w:tc>
        <w:tc>
          <w:tcPr>
            <w:tcW w:w="229" w:type="dxa"/>
            <w:vAlign w:val="top"/>
          </w:tcPr>
          <w:p w14:paraId="7AD490CE">
            <w:pPr>
              <w:rPr>
                <w:rFonts w:ascii="Arial"/>
                <w:sz w:val="21"/>
              </w:rPr>
            </w:pPr>
          </w:p>
        </w:tc>
        <w:tc>
          <w:tcPr>
            <w:tcW w:w="220" w:type="dxa"/>
            <w:vAlign w:val="top"/>
          </w:tcPr>
          <w:p w14:paraId="4DB5DED9">
            <w:pPr>
              <w:pStyle w:val="6"/>
              <w:spacing w:before="160" w:line="238" w:lineRule="auto"/>
              <w:ind w:left="39"/>
              <w:rPr>
                <w:sz w:val="13"/>
                <w:szCs w:val="13"/>
              </w:rPr>
            </w:pPr>
            <w:r>
              <w:rPr>
                <w:sz w:val="13"/>
                <w:szCs w:val="13"/>
              </w:rPr>
              <w:t>√</w:t>
            </w:r>
          </w:p>
        </w:tc>
        <w:tc>
          <w:tcPr>
            <w:tcW w:w="239" w:type="dxa"/>
            <w:vAlign w:val="top"/>
          </w:tcPr>
          <w:p w14:paraId="0D6018E2">
            <w:pPr>
              <w:rPr>
                <w:rFonts w:ascii="Arial"/>
                <w:sz w:val="21"/>
              </w:rPr>
            </w:pPr>
          </w:p>
        </w:tc>
        <w:tc>
          <w:tcPr>
            <w:tcW w:w="224" w:type="dxa"/>
            <w:vAlign w:val="top"/>
          </w:tcPr>
          <w:p w14:paraId="14AEBC9B">
            <w:pPr>
              <w:rPr>
                <w:rFonts w:ascii="Arial"/>
                <w:sz w:val="21"/>
              </w:rPr>
            </w:pPr>
          </w:p>
        </w:tc>
      </w:tr>
      <w:tr w14:paraId="4044EE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9" w:hRule="atLeast"/>
        </w:trPr>
        <w:tc>
          <w:tcPr>
            <w:tcW w:w="883" w:type="dxa"/>
            <w:vMerge w:val="continue"/>
            <w:tcBorders>
              <w:top w:val="nil"/>
              <w:bottom w:val="nil"/>
            </w:tcBorders>
            <w:vAlign w:val="top"/>
          </w:tcPr>
          <w:p w14:paraId="264A4170">
            <w:pPr>
              <w:rPr>
                <w:rFonts w:ascii="Arial"/>
                <w:sz w:val="21"/>
              </w:rPr>
            </w:pPr>
          </w:p>
        </w:tc>
        <w:tc>
          <w:tcPr>
            <w:tcW w:w="2324" w:type="dxa"/>
            <w:vAlign w:val="top"/>
          </w:tcPr>
          <w:p w14:paraId="3CE78259">
            <w:pPr>
              <w:pStyle w:val="6"/>
              <w:spacing w:before="60" w:line="219" w:lineRule="auto"/>
              <w:ind w:left="2"/>
              <w:rPr>
                <w:sz w:val="18"/>
                <w:szCs w:val="18"/>
              </w:rPr>
            </w:pPr>
            <w:r>
              <w:rPr>
                <w:spacing w:val="1"/>
                <w:sz w:val="18"/>
                <w:szCs w:val="18"/>
              </w:rPr>
              <w:t>3.增值税的征税范围</w:t>
            </w:r>
          </w:p>
        </w:tc>
        <w:tc>
          <w:tcPr>
            <w:tcW w:w="229" w:type="dxa"/>
            <w:vAlign w:val="top"/>
          </w:tcPr>
          <w:p w14:paraId="60B65F34">
            <w:pPr>
              <w:rPr>
                <w:rFonts w:ascii="Arial"/>
                <w:sz w:val="21"/>
              </w:rPr>
            </w:pPr>
          </w:p>
        </w:tc>
        <w:tc>
          <w:tcPr>
            <w:tcW w:w="220" w:type="dxa"/>
            <w:vAlign w:val="top"/>
          </w:tcPr>
          <w:p w14:paraId="54E6D203">
            <w:pPr>
              <w:rPr>
                <w:rFonts w:ascii="Arial"/>
                <w:sz w:val="21"/>
              </w:rPr>
            </w:pPr>
          </w:p>
        </w:tc>
        <w:tc>
          <w:tcPr>
            <w:tcW w:w="239" w:type="dxa"/>
            <w:vAlign w:val="top"/>
          </w:tcPr>
          <w:p w14:paraId="4EEE8B05">
            <w:pPr>
              <w:pStyle w:val="6"/>
              <w:spacing w:before="91" w:line="238" w:lineRule="auto"/>
              <w:ind w:left="48"/>
              <w:rPr>
                <w:sz w:val="13"/>
                <w:szCs w:val="13"/>
              </w:rPr>
            </w:pPr>
            <w:r>
              <w:rPr>
                <w:sz w:val="13"/>
                <w:szCs w:val="13"/>
              </w:rPr>
              <w:t>√</w:t>
            </w:r>
          </w:p>
        </w:tc>
        <w:tc>
          <w:tcPr>
            <w:tcW w:w="224" w:type="dxa"/>
            <w:vAlign w:val="top"/>
          </w:tcPr>
          <w:p w14:paraId="32E96C36">
            <w:pPr>
              <w:rPr>
                <w:rFonts w:ascii="Arial"/>
                <w:sz w:val="21"/>
              </w:rPr>
            </w:pPr>
          </w:p>
        </w:tc>
      </w:tr>
      <w:tr w14:paraId="1DFA0C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0" w:hRule="atLeast"/>
        </w:trPr>
        <w:tc>
          <w:tcPr>
            <w:tcW w:w="883" w:type="dxa"/>
            <w:vMerge w:val="continue"/>
            <w:tcBorders>
              <w:top w:val="nil"/>
              <w:bottom w:val="nil"/>
            </w:tcBorders>
            <w:vAlign w:val="top"/>
          </w:tcPr>
          <w:p w14:paraId="19CEAA55">
            <w:pPr>
              <w:rPr>
                <w:rFonts w:ascii="Arial"/>
                <w:sz w:val="21"/>
              </w:rPr>
            </w:pPr>
          </w:p>
        </w:tc>
        <w:tc>
          <w:tcPr>
            <w:tcW w:w="2324" w:type="dxa"/>
            <w:vAlign w:val="top"/>
          </w:tcPr>
          <w:p w14:paraId="3B596AFD">
            <w:pPr>
              <w:pStyle w:val="6"/>
              <w:spacing w:before="51" w:line="219" w:lineRule="auto"/>
              <w:ind w:left="2"/>
              <w:rPr>
                <w:sz w:val="18"/>
                <w:szCs w:val="18"/>
              </w:rPr>
            </w:pPr>
            <w:r>
              <w:rPr>
                <w:spacing w:val="-1"/>
                <w:sz w:val="18"/>
                <w:szCs w:val="18"/>
              </w:rPr>
              <w:t>4.增值税的税率与征收率</w:t>
            </w:r>
          </w:p>
        </w:tc>
        <w:tc>
          <w:tcPr>
            <w:tcW w:w="229" w:type="dxa"/>
            <w:vAlign w:val="top"/>
          </w:tcPr>
          <w:p w14:paraId="63EE2FEC">
            <w:pPr>
              <w:rPr>
                <w:rFonts w:ascii="Arial"/>
                <w:sz w:val="21"/>
              </w:rPr>
            </w:pPr>
          </w:p>
        </w:tc>
        <w:tc>
          <w:tcPr>
            <w:tcW w:w="220" w:type="dxa"/>
            <w:vAlign w:val="top"/>
          </w:tcPr>
          <w:p w14:paraId="60AFBA99">
            <w:pPr>
              <w:rPr>
                <w:rFonts w:ascii="Arial"/>
                <w:sz w:val="21"/>
              </w:rPr>
            </w:pPr>
          </w:p>
        </w:tc>
        <w:tc>
          <w:tcPr>
            <w:tcW w:w="239" w:type="dxa"/>
            <w:vAlign w:val="top"/>
          </w:tcPr>
          <w:p w14:paraId="4220CBF9">
            <w:pPr>
              <w:pStyle w:val="6"/>
              <w:spacing w:before="92" w:line="238" w:lineRule="auto"/>
              <w:ind w:left="48"/>
              <w:rPr>
                <w:sz w:val="13"/>
                <w:szCs w:val="13"/>
              </w:rPr>
            </w:pPr>
            <w:r>
              <w:rPr>
                <w:sz w:val="13"/>
                <w:szCs w:val="13"/>
              </w:rPr>
              <w:t>√</w:t>
            </w:r>
          </w:p>
        </w:tc>
        <w:tc>
          <w:tcPr>
            <w:tcW w:w="224" w:type="dxa"/>
            <w:vAlign w:val="top"/>
          </w:tcPr>
          <w:p w14:paraId="7DD1C06A">
            <w:pPr>
              <w:rPr>
                <w:rFonts w:ascii="Arial"/>
                <w:sz w:val="21"/>
              </w:rPr>
            </w:pPr>
          </w:p>
        </w:tc>
      </w:tr>
      <w:tr w14:paraId="72A469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9" w:hRule="atLeast"/>
        </w:trPr>
        <w:tc>
          <w:tcPr>
            <w:tcW w:w="883" w:type="dxa"/>
            <w:vMerge w:val="continue"/>
            <w:tcBorders>
              <w:top w:val="nil"/>
            </w:tcBorders>
            <w:vAlign w:val="top"/>
          </w:tcPr>
          <w:p w14:paraId="47183C5C">
            <w:pPr>
              <w:rPr>
                <w:rFonts w:ascii="Arial"/>
                <w:sz w:val="21"/>
              </w:rPr>
            </w:pPr>
          </w:p>
        </w:tc>
        <w:tc>
          <w:tcPr>
            <w:tcW w:w="2324" w:type="dxa"/>
            <w:vAlign w:val="top"/>
          </w:tcPr>
          <w:p w14:paraId="71F6ACC0">
            <w:pPr>
              <w:pStyle w:val="6"/>
              <w:spacing w:before="51" w:line="219" w:lineRule="auto"/>
              <w:ind w:left="2"/>
              <w:rPr>
                <w:sz w:val="18"/>
                <w:szCs w:val="18"/>
              </w:rPr>
            </w:pPr>
            <w:r>
              <w:rPr>
                <w:spacing w:val="-1"/>
                <w:sz w:val="18"/>
                <w:szCs w:val="18"/>
              </w:rPr>
              <w:t>5.增值税的起征点与减免税</w:t>
            </w:r>
          </w:p>
        </w:tc>
        <w:tc>
          <w:tcPr>
            <w:tcW w:w="229" w:type="dxa"/>
            <w:vAlign w:val="top"/>
          </w:tcPr>
          <w:p w14:paraId="3FB0A0DB">
            <w:pPr>
              <w:rPr>
                <w:rFonts w:ascii="Arial"/>
                <w:sz w:val="21"/>
              </w:rPr>
            </w:pPr>
          </w:p>
        </w:tc>
        <w:tc>
          <w:tcPr>
            <w:tcW w:w="220" w:type="dxa"/>
            <w:vAlign w:val="top"/>
          </w:tcPr>
          <w:p w14:paraId="2F11952C">
            <w:pPr>
              <w:rPr>
                <w:rFonts w:ascii="Arial"/>
                <w:sz w:val="21"/>
              </w:rPr>
            </w:pPr>
          </w:p>
        </w:tc>
        <w:tc>
          <w:tcPr>
            <w:tcW w:w="239" w:type="dxa"/>
            <w:vAlign w:val="top"/>
          </w:tcPr>
          <w:p w14:paraId="60B77E9F">
            <w:pPr>
              <w:pStyle w:val="6"/>
              <w:spacing w:before="113" w:line="182" w:lineRule="auto"/>
              <w:ind w:left="79"/>
              <w:rPr>
                <w:sz w:val="13"/>
                <w:szCs w:val="13"/>
              </w:rPr>
            </w:pPr>
            <w:r>
              <w:rPr>
                <w:sz w:val="13"/>
                <w:szCs w:val="13"/>
              </w:rPr>
              <w:t>V</w:t>
            </w:r>
          </w:p>
        </w:tc>
        <w:tc>
          <w:tcPr>
            <w:tcW w:w="224" w:type="dxa"/>
            <w:vAlign w:val="top"/>
          </w:tcPr>
          <w:p w14:paraId="353499A9">
            <w:pPr>
              <w:rPr>
                <w:rFonts w:ascii="Arial"/>
                <w:sz w:val="21"/>
              </w:rPr>
            </w:pPr>
          </w:p>
        </w:tc>
      </w:tr>
      <w:tr w14:paraId="7DD67F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9" w:hRule="atLeast"/>
        </w:trPr>
        <w:tc>
          <w:tcPr>
            <w:tcW w:w="883" w:type="dxa"/>
            <w:vMerge w:val="restart"/>
            <w:tcBorders>
              <w:bottom w:val="nil"/>
            </w:tcBorders>
            <w:vAlign w:val="top"/>
          </w:tcPr>
          <w:p w14:paraId="54B21211">
            <w:pPr>
              <w:pStyle w:val="6"/>
              <w:spacing w:before="272" w:line="207" w:lineRule="auto"/>
              <w:ind w:left="254" w:right="63" w:hanging="179"/>
              <w:rPr>
                <w:sz w:val="18"/>
                <w:szCs w:val="18"/>
              </w:rPr>
            </w:pPr>
            <w:r>
              <w:rPr>
                <w:spacing w:val="3"/>
                <w:sz w:val="18"/>
                <w:szCs w:val="18"/>
              </w:rPr>
              <w:t>增值税的</w:t>
            </w:r>
            <w:r>
              <w:rPr>
                <w:spacing w:val="1"/>
                <w:sz w:val="18"/>
                <w:szCs w:val="18"/>
              </w:rPr>
              <w:t xml:space="preserve"> </w:t>
            </w:r>
            <w:r>
              <w:rPr>
                <w:spacing w:val="-2"/>
                <w:sz w:val="18"/>
                <w:szCs w:val="18"/>
              </w:rPr>
              <w:t>计算</w:t>
            </w:r>
          </w:p>
        </w:tc>
        <w:tc>
          <w:tcPr>
            <w:tcW w:w="2324" w:type="dxa"/>
            <w:vAlign w:val="top"/>
          </w:tcPr>
          <w:p w14:paraId="07E4C462">
            <w:pPr>
              <w:pStyle w:val="6"/>
              <w:spacing w:before="42" w:line="198" w:lineRule="auto"/>
              <w:ind w:left="2" w:right="134" w:firstLine="10"/>
              <w:rPr>
                <w:sz w:val="18"/>
                <w:szCs w:val="18"/>
              </w:rPr>
            </w:pPr>
            <w:r>
              <w:rPr>
                <w:sz w:val="18"/>
                <w:szCs w:val="18"/>
              </w:rPr>
              <w:t>1.一般计税方法下增值税应</w:t>
            </w:r>
            <w:r>
              <w:rPr>
                <w:spacing w:val="6"/>
                <w:sz w:val="18"/>
                <w:szCs w:val="18"/>
              </w:rPr>
              <w:t xml:space="preserve"> </w:t>
            </w:r>
            <w:r>
              <w:rPr>
                <w:spacing w:val="-2"/>
                <w:sz w:val="18"/>
                <w:szCs w:val="18"/>
              </w:rPr>
              <w:t>纳税额的计算</w:t>
            </w:r>
          </w:p>
        </w:tc>
        <w:tc>
          <w:tcPr>
            <w:tcW w:w="229" w:type="dxa"/>
            <w:vAlign w:val="top"/>
          </w:tcPr>
          <w:p w14:paraId="442277CB">
            <w:pPr>
              <w:rPr>
                <w:rFonts w:ascii="Arial"/>
                <w:sz w:val="21"/>
              </w:rPr>
            </w:pPr>
          </w:p>
        </w:tc>
        <w:tc>
          <w:tcPr>
            <w:tcW w:w="220" w:type="dxa"/>
            <w:vAlign w:val="top"/>
          </w:tcPr>
          <w:p w14:paraId="36D47270">
            <w:pPr>
              <w:rPr>
                <w:rFonts w:ascii="Arial"/>
                <w:sz w:val="21"/>
              </w:rPr>
            </w:pPr>
          </w:p>
        </w:tc>
        <w:tc>
          <w:tcPr>
            <w:tcW w:w="239" w:type="dxa"/>
            <w:vAlign w:val="top"/>
          </w:tcPr>
          <w:p w14:paraId="7975783F">
            <w:pPr>
              <w:rPr>
                <w:rFonts w:ascii="Arial"/>
                <w:sz w:val="21"/>
              </w:rPr>
            </w:pPr>
          </w:p>
        </w:tc>
        <w:tc>
          <w:tcPr>
            <w:tcW w:w="224" w:type="dxa"/>
            <w:vAlign w:val="top"/>
          </w:tcPr>
          <w:p w14:paraId="3EC1FD0E">
            <w:pPr>
              <w:pStyle w:val="6"/>
              <w:spacing w:before="173" w:line="238" w:lineRule="auto"/>
              <w:ind w:left="40"/>
              <w:rPr>
                <w:sz w:val="13"/>
                <w:szCs w:val="13"/>
              </w:rPr>
            </w:pPr>
            <w:r>
              <w:rPr>
                <w:sz w:val="13"/>
                <w:szCs w:val="13"/>
              </w:rPr>
              <w:t>√</w:t>
            </w:r>
          </w:p>
        </w:tc>
      </w:tr>
      <w:tr w14:paraId="2FBDD4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9" w:hRule="atLeast"/>
        </w:trPr>
        <w:tc>
          <w:tcPr>
            <w:tcW w:w="883" w:type="dxa"/>
            <w:vMerge w:val="continue"/>
            <w:tcBorders>
              <w:top w:val="nil"/>
            </w:tcBorders>
            <w:vAlign w:val="top"/>
          </w:tcPr>
          <w:p w14:paraId="4FF920D1">
            <w:pPr>
              <w:rPr>
                <w:rFonts w:ascii="Arial"/>
                <w:sz w:val="21"/>
              </w:rPr>
            </w:pPr>
          </w:p>
        </w:tc>
        <w:tc>
          <w:tcPr>
            <w:tcW w:w="2324" w:type="dxa"/>
            <w:vAlign w:val="top"/>
          </w:tcPr>
          <w:p w14:paraId="67EF097C">
            <w:pPr>
              <w:pStyle w:val="6"/>
              <w:spacing w:before="42" w:line="198" w:lineRule="auto"/>
              <w:ind w:left="2" w:right="161"/>
              <w:rPr>
                <w:sz w:val="18"/>
                <w:szCs w:val="18"/>
              </w:rPr>
            </w:pPr>
            <w:r>
              <w:rPr>
                <w:spacing w:val="-1"/>
                <w:sz w:val="18"/>
                <w:szCs w:val="18"/>
              </w:rPr>
              <w:t>2.简易计税方法下增值税应</w:t>
            </w:r>
            <w:r>
              <w:rPr>
                <w:spacing w:val="2"/>
                <w:sz w:val="18"/>
                <w:szCs w:val="18"/>
              </w:rPr>
              <w:t xml:space="preserve"> </w:t>
            </w:r>
            <w:r>
              <w:rPr>
                <w:spacing w:val="-2"/>
                <w:sz w:val="18"/>
                <w:szCs w:val="18"/>
              </w:rPr>
              <w:t>纳税额的计算</w:t>
            </w:r>
          </w:p>
        </w:tc>
        <w:tc>
          <w:tcPr>
            <w:tcW w:w="229" w:type="dxa"/>
            <w:vAlign w:val="top"/>
          </w:tcPr>
          <w:p w14:paraId="16ED63C2">
            <w:pPr>
              <w:rPr>
                <w:rFonts w:ascii="Arial"/>
                <w:sz w:val="21"/>
              </w:rPr>
            </w:pPr>
          </w:p>
        </w:tc>
        <w:tc>
          <w:tcPr>
            <w:tcW w:w="220" w:type="dxa"/>
            <w:vAlign w:val="top"/>
          </w:tcPr>
          <w:p w14:paraId="69DDAF14">
            <w:pPr>
              <w:rPr>
                <w:rFonts w:ascii="Arial"/>
                <w:sz w:val="21"/>
              </w:rPr>
            </w:pPr>
          </w:p>
        </w:tc>
        <w:tc>
          <w:tcPr>
            <w:tcW w:w="239" w:type="dxa"/>
            <w:vAlign w:val="top"/>
          </w:tcPr>
          <w:p w14:paraId="10D17728">
            <w:pPr>
              <w:rPr>
                <w:rFonts w:ascii="Arial"/>
                <w:sz w:val="21"/>
              </w:rPr>
            </w:pPr>
          </w:p>
        </w:tc>
        <w:tc>
          <w:tcPr>
            <w:tcW w:w="224" w:type="dxa"/>
            <w:vAlign w:val="top"/>
          </w:tcPr>
          <w:p w14:paraId="1C4E6D24">
            <w:pPr>
              <w:pStyle w:val="6"/>
              <w:spacing w:before="174" w:line="238" w:lineRule="auto"/>
              <w:ind w:left="40"/>
              <w:rPr>
                <w:sz w:val="13"/>
                <w:szCs w:val="13"/>
              </w:rPr>
            </w:pPr>
            <w:r>
              <w:rPr>
                <w:sz w:val="13"/>
                <w:szCs w:val="13"/>
              </w:rPr>
              <w:t>√</w:t>
            </w:r>
          </w:p>
        </w:tc>
      </w:tr>
      <w:tr w14:paraId="055CFE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0" w:hRule="atLeast"/>
        </w:trPr>
        <w:tc>
          <w:tcPr>
            <w:tcW w:w="883" w:type="dxa"/>
            <w:vMerge w:val="restart"/>
            <w:tcBorders>
              <w:bottom w:val="nil"/>
            </w:tcBorders>
            <w:vAlign w:val="top"/>
          </w:tcPr>
          <w:p w14:paraId="3F3D1083">
            <w:pPr>
              <w:spacing w:line="402" w:lineRule="auto"/>
              <w:rPr>
                <w:rFonts w:ascii="Arial"/>
                <w:sz w:val="21"/>
              </w:rPr>
            </w:pPr>
          </w:p>
          <w:p w14:paraId="09659779">
            <w:pPr>
              <w:pStyle w:val="6"/>
              <w:spacing w:before="59" w:line="233" w:lineRule="auto"/>
              <w:ind w:left="75" w:right="63"/>
              <w:rPr>
                <w:sz w:val="18"/>
                <w:szCs w:val="18"/>
              </w:rPr>
            </w:pPr>
            <w:r>
              <w:rPr>
                <w:spacing w:val="3"/>
                <w:sz w:val="18"/>
                <w:szCs w:val="18"/>
              </w:rPr>
              <w:t>增值税的</w:t>
            </w:r>
            <w:r>
              <w:rPr>
                <w:spacing w:val="1"/>
                <w:sz w:val="18"/>
                <w:szCs w:val="18"/>
              </w:rPr>
              <w:t xml:space="preserve"> </w:t>
            </w:r>
            <w:r>
              <w:rPr>
                <w:spacing w:val="-2"/>
                <w:sz w:val="18"/>
                <w:szCs w:val="18"/>
              </w:rPr>
              <w:t>纳税申报</w:t>
            </w:r>
          </w:p>
        </w:tc>
        <w:tc>
          <w:tcPr>
            <w:tcW w:w="2324" w:type="dxa"/>
            <w:vAlign w:val="top"/>
          </w:tcPr>
          <w:p w14:paraId="79B8EF49">
            <w:pPr>
              <w:pStyle w:val="6"/>
              <w:spacing w:before="54" w:line="219" w:lineRule="auto"/>
              <w:jc w:val="right"/>
              <w:rPr>
                <w:sz w:val="18"/>
                <w:szCs w:val="18"/>
              </w:rPr>
            </w:pPr>
            <w:r>
              <w:rPr>
                <w:spacing w:val="-3"/>
                <w:sz w:val="18"/>
                <w:szCs w:val="18"/>
              </w:rPr>
              <w:t>1.增值税的纳税义务发生时间</w:t>
            </w:r>
          </w:p>
        </w:tc>
        <w:tc>
          <w:tcPr>
            <w:tcW w:w="229" w:type="dxa"/>
            <w:vAlign w:val="top"/>
          </w:tcPr>
          <w:p w14:paraId="40D283B7">
            <w:pPr>
              <w:rPr>
                <w:rFonts w:ascii="Arial"/>
                <w:sz w:val="21"/>
              </w:rPr>
            </w:pPr>
          </w:p>
        </w:tc>
        <w:tc>
          <w:tcPr>
            <w:tcW w:w="220" w:type="dxa"/>
            <w:vAlign w:val="top"/>
          </w:tcPr>
          <w:p w14:paraId="41FDE7BA">
            <w:pPr>
              <w:pStyle w:val="6"/>
              <w:spacing w:before="95" w:line="238" w:lineRule="auto"/>
              <w:ind w:left="39"/>
              <w:rPr>
                <w:sz w:val="13"/>
                <w:szCs w:val="13"/>
              </w:rPr>
            </w:pPr>
            <w:r>
              <w:rPr>
                <w:sz w:val="13"/>
                <w:szCs w:val="13"/>
              </w:rPr>
              <w:t>√</w:t>
            </w:r>
          </w:p>
        </w:tc>
        <w:tc>
          <w:tcPr>
            <w:tcW w:w="239" w:type="dxa"/>
            <w:vAlign w:val="top"/>
          </w:tcPr>
          <w:p w14:paraId="26BE0C99">
            <w:pPr>
              <w:rPr>
                <w:rFonts w:ascii="Arial"/>
                <w:sz w:val="21"/>
              </w:rPr>
            </w:pPr>
          </w:p>
        </w:tc>
        <w:tc>
          <w:tcPr>
            <w:tcW w:w="224" w:type="dxa"/>
            <w:vAlign w:val="top"/>
          </w:tcPr>
          <w:p w14:paraId="462BFA51">
            <w:pPr>
              <w:rPr>
                <w:rFonts w:ascii="Arial"/>
                <w:sz w:val="21"/>
              </w:rPr>
            </w:pPr>
          </w:p>
        </w:tc>
      </w:tr>
      <w:tr w14:paraId="6A0642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9" w:hRule="atLeast"/>
        </w:trPr>
        <w:tc>
          <w:tcPr>
            <w:tcW w:w="883" w:type="dxa"/>
            <w:vMerge w:val="continue"/>
            <w:tcBorders>
              <w:top w:val="nil"/>
              <w:bottom w:val="nil"/>
            </w:tcBorders>
            <w:vAlign w:val="top"/>
          </w:tcPr>
          <w:p w14:paraId="5FBED56C">
            <w:pPr>
              <w:rPr>
                <w:rFonts w:ascii="Arial"/>
                <w:sz w:val="21"/>
              </w:rPr>
            </w:pPr>
          </w:p>
        </w:tc>
        <w:tc>
          <w:tcPr>
            <w:tcW w:w="2324" w:type="dxa"/>
            <w:vAlign w:val="top"/>
          </w:tcPr>
          <w:p w14:paraId="38721A07">
            <w:pPr>
              <w:pStyle w:val="6"/>
              <w:spacing w:before="64" w:line="219" w:lineRule="auto"/>
              <w:ind w:left="2"/>
              <w:rPr>
                <w:sz w:val="18"/>
                <w:szCs w:val="18"/>
              </w:rPr>
            </w:pPr>
            <w:r>
              <w:rPr>
                <w:spacing w:val="1"/>
                <w:sz w:val="18"/>
                <w:szCs w:val="18"/>
              </w:rPr>
              <w:t>2.增值税的纳税地点</w:t>
            </w:r>
          </w:p>
        </w:tc>
        <w:tc>
          <w:tcPr>
            <w:tcW w:w="229" w:type="dxa"/>
            <w:vAlign w:val="top"/>
          </w:tcPr>
          <w:p w14:paraId="5B3A47E6">
            <w:pPr>
              <w:rPr>
                <w:rFonts w:ascii="Arial"/>
                <w:sz w:val="21"/>
              </w:rPr>
            </w:pPr>
          </w:p>
        </w:tc>
        <w:tc>
          <w:tcPr>
            <w:tcW w:w="220" w:type="dxa"/>
            <w:vAlign w:val="top"/>
          </w:tcPr>
          <w:p w14:paraId="6F206B56">
            <w:pPr>
              <w:pStyle w:val="6"/>
              <w:spacing w:before="116" w:line="182" w:lineRule="auto"/>
              <w:ind w:left="69"/>
              <w:rPr>
                <w:sz w:val="13"/>
                <w:szCs w:val="13"/>
              </w:rPr>
            </w:pPr>
            <w:r>
              <w:rPr>
                <w:sz w:val="13"/>
                <w:szCs w:val="13"/>
              </w:rPr>
              <w:t>V</w:t>
            </w:r>
          </w:p>
        </w:tc>
        <w:tc>
          <w:tcPr>
            <w:tcW w:w="239" w:type="dxa"/>
            <w:vAlign w:val="top"/>
          </w:tcPr>
          <w:p w14:paraId="319DAE5B">
            <w:pPr>
              <w:rPr>
                <w:rFonts w:ascii="Arial"/>
                <w:sz w:val="21"/>
              </w:rPr>
            </w:pPr>
          </w:p>
        </w:tc>
        <w:tc>
          <w:tcPr>
            <w:tcW w:w="224" w:type="dxa"/>
            <w:vAlign w:val="top"/>
          </w:tcPr>
          <w:p w14:paraId="50B14DCB">
            <w:pPr>
              <w:rPr>
                <w:rFonts w:ascii="Arial"/>
                <w:sz w:val="21"/>
              </w:rPr>
            </w:pPr>
          </w:p>
        </w:tc>
      </w:tr>
      <w:tr w14:paraId="0860A6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0" w:hRule="atLeast"/>
        </w:trPr>
        <w:tc>
          <w:tcPr>
            <w:tcW w:w="883" w:type="dxa"/>
            <w:vMerge w:val="continue"/>
            <w:tcBorders>
              <w:top w:val="nil"/>
              <w:bottom w:val="nil"/>
            </w:tcBorders>
            <w:vAlign w:val="top"/>
          </w:tcPr>
          <w:p w14:paraId="32B45BF3">
            <w:pPr>
              <w:rPr>
                <w:rFonts w:ascii="Arial"/>
                <w:sz w:val="21"/>
              </w:rPr>
            </w:pPr>
          </w:p>
        </w:tc>
        <w:tc>
          <w:tcPr>
            <w:tcW w:w="2324" w:type="dxa"/>
            <w:vAlign w:val="top"/>
          </w:tcPr>
          <w:p w14:paraId="79FE0304">
            <w:pPr>
              <w:pStyle w:val="6"/>
              <w:spacing w:before="55" w:line="219" w:lineRule="auto"/>
              <w:ind w:left="2"/>
              <w:rPr>
                <w:sz w:val="18"/>
                <w:szCs w:val="18"/>
              </w:rPr>
            </w:pPr>
            <w:r>
              <w:rPr>
                <w:sz w:val="18"/>
                <w:szCs w:val="18"/>
              </w:rPr>
              <w:t>3.增值税的纳税期限</w:t>
            </w:r>
          </w:p>
        </w:tc>
        <w:tc>
          <w:tcPr>
            <w:tcW w:w="229" w:type="dxa"/>
            <w:vAlign w:val="top"/>
          </w:tcPr>
          <w:p w14:paraId="16D4CF61">
            <w:pPr>
              <w:rPr>
                <w:rFonts w:ascii="Arial"/>
                <w:sz w:val="21"/>
              </w:rPr>
            </w:pPr>
          </w:p>
        </w:tc>
        <w:tc>
          <w:tcPr>
            <w:tcW w:w="220" w:type="dxa"/>
            <w:vAlign w:val="top"/>
          </w:tcPr>
          <w:p w14:paraId="5E499919">
            <w:pPr>
              <w:pStyle w:val="6"/>
              <w:spacing w:before="96" w:line="238" w:lineRule="auto"/>
              <w:ind w:left="39"/>
              <w:rPr>
                <w:sz w:val="13"/>
                <w:szCs w:val="13"/>
              </w:rPr>
            </w:pPr>
            <w:r>
              <w:rPr>
                <w:sz w:val="13"/>
                <w:szCs w:val="13"/>
              </w:rPr>
              <w:t>√</w:t>
            </w:r>
          </w:p>
        </w:tc>
        <w:tc>
          <w:tcPr>
            <w:tcW w:w="239" w:type="dxa"/>
            <w:vAlign w:val="top"/>
          </w:tcPr>
          <w:p w14:paraId="7573C874">
            <w:pPr>
              <w:rPr>
                <w:rFonts w:ascii="Arial"/>
                <w:sz w:val="21"/>
              </w:rPr>
            </w:pPr>
          </w:p>
        </w:tc>
        <w:tc>
          <w:tcPr>
            <w:tcW w:w="224" w:type="dxa"/>
            <w:vAlign w:val="top"/>
          </w:tcPr>
          <w:p w14:paraId="3BB160ED">
            <w:pPr>
              <w:rPr>
                <w:rFonts w:ascii="Arial"/>
                <w:sz w:val="21"/>
              </w:rPr>
            </w:pPr>
          </w:p>
        </w:tc>
      </w:tr>
      <w:tr w14:paraId="37B561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9" w:hRule="atLeast"/>
        </w:trPr>
        <w:tc>
          <w:tcPr>
            <w:tcW w:w="883" w:type="dxa"/>
            <w:vMerge w:val="continue"/>
            <w:tcBorders>
              <w:top w:val="nil"/>
            </w:tcBorders>
            <w:vAlign w:val="top"/>
          </w:tcPr>
          <w:p w14:paraId="5910BFB0">
            <w:pPr>
              <w:rPr>
                <w:rFonts w:ascii="Arial"/>
                <w:sz w:val="21"/>
              </w:rPr>
            </w:pPr>
          </w:p>
        </w:tc>
        <w:tc>
          <w:tcPr>
            <w:tcW w:w="2324" w:type="dxa"/>
            <w:vAlign w:val="top"/>
          </w:tcPr>
          <w:p w14:paraId="751E211C">
            <w:pPr>
              <w:pStyle w:val="6"/>
              <w:spacing w:before="44" w:line="197" w:lineRule="auto"/>
              <w:ind w:left="2" w:right="127" w:firstLine="10"/>
              <w:rPr>
                <w:sz w:val="18"/>
                <w:szCs w:val="18"/>
              </w:rPr>
            </w:pPr>
            <w:r>
              <w:rPr>
                <w:spacing w:val="1"/>
                <w:sz w:val="18"/>
                <w:szCs w:val="18"/>
              </w:rPr>
              <w:t>4.增值税的纳税申报资料和</w:t>
            </w:r>
            <w:r>
              <w:rPr>
                <w:sz w:val="18"/>
                <w:szCs w:val="18"/>
              </w:rPr>
              <w:t xml:space="preserve"> </w:t>
            </w:r>
            <w:r>
              <w:rPr>
                <w:spacing w:val="1"/>
                <w:sz w:val="18"/>
                <w:szCs w:val="18"/>
              </w:rPr>
              <w:t>申报流程</w:t>
            </w:r>
          </w:p>
        </w:tc>
        <w:tc>
          <w:tcPr>
            <w:tcW w:w="229" w:type="dxa"/>
            <w:vAlign w:val="top"/>
          </w:tcPr>
          <w:p w14:paraId="4182A078">
            <w:pPr>
              <w:pStyle w:val="6"/>
              <w:spacing w:before="176" w:line="238" w:lineRule="auto"/>
              <w:ind w:left="48"/>
              <w:rPr>
                <w:sz w:val="13"/>
                <w:szCs w:val="13"/>
              </w:rPr>
            </w:pPr>
            <w:r>
              <w:rPr>
                <w:sz w:val="13"/>
                <w:szCs w:val="13"/>
              </w:rPr>
              <w:t>√</w:t>
            </w:r>
          </w:p>
        </w:tc>
        <w:tc>
          <w:tcPr>
            <w:tcW w:w="220" w:type="dxa"/>
            <w:vAlign w:val="top"/>
          </w:tcPr>
          <w:p w14:paraId="305594DD">
            <w:pPr>
              <w:rPr>
                <w:rFonts w:ascii="Arial"/>
                <w:sz w:val="21"/>
              </w:rPr>
            </w:pPr>
          </w:p>
        </w:tc>
        <w:tc>
          <w:tcPr>
            <w:tcW w:w="239" w:type="dxa"/>
            <w:vAlign w:val="top"/>
          </w:tcPr>
          <w:p w14:paraId="72E4B331">
            <w:pPr>
              <w:rPr>
                <w:rFonts w:ascii="Arial"/>
                <w:sz w:val="21"/>
              </w:rPr>
            </w:pPr>
          </w:p>
        </w:tc>
        <w:tc>
          <w:tcPr>
            <w:tcW w:w="224" w:type="dxa"/>
            <w:vAlign w:val="top"/>
          </w:tcPr>
          <w:p w14:paraId="5A8DC3AC">
            <w:pPr>
              <w:rPr>
                <w:rFonts w:ascii="Arial"/>
                <w:sz w:val="21"/>
              </w:rPr>
            </w:pPr>
          </w:p>
        </w:tc>
      </w:tr>
      <w:tr w14:paraId="799F10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9" w:hRule="atLeast"/>
        </w:trPr>
        <w:tc>
          <w:tcPr>
            <w:tcW w:w="883" w:type="dxa"/>
            <w:vMerge w:val="restart"/>
            <w:tcBorders>
              <w:bottom w:val="nil"/>
            </w:tcBorders>
            <w:vAlign w:val="top"/>
          </w:tcPr>
          <w:p w14:paraId="280296D6">
            <w:pPr>
              <w:spacing w:line="246" w:lineRule="auto"/>
              <w:rPr>
                <w:rFonts w:ascii="Arial"/>
                <w:sz w:val="21"/>
              </w:rPr>
            </w:pPr>
          </w:p>
          <w:p w14:paraId="52B52AF7">
            <w:pPr>
              <w:pStyle w:val="6"/>
              <w:spacing w:before="58" w:line="195" w:lineRule="auto"/>
              <w:jc w:val="right"/>
              <w:rPr>
                <w:sz w:val="18"/>
                <w:szCs w:val="18"/>
              </w:rPr>
            </w:pPr>
            <w:r>
              <w:rPr>
                <w:spacing w:val="-9"/>
                <w:sz w:val="18"/>
                <w:szCs w:val="18"/>
              </w:rPr>
              <w:t>增值税专用</w:t>
            </w:r>
          </w:p>
          <w:p w14:paraId="5385DFD3">
            <w:pPr>
              <w:pStyle w:val="6"/>
              <w:spacing w:line="219" w:lineRule="auto"/>
              <w:jc w:val="right"/>
              <w:rPr>
                <w:sz w:val="18"/>
                <w:szCs w:val="18"/>
              </w:rPr>
            </w:pPr>
            <w:r>
              <w:rPr>
                <w:spacing w:val="-9"/>
                <w:sz w:val="18"/>
                <w:szCs w:val="18"/>
              </w:rPr>
              <w:t>发票的使用</w:t>
            </w:r>
          </w:p>
          <w:p w14:paraId="65E6E894">
            <w:pPr>
              <w:pStyle w:val="6"/>
              <w:spacing w:before="16" w:line="219" w:lineRule="auto"/>
              <w:ind w:left="165"/>
              <w:rPr>
                <w:sz w:val="18"/>
                <w:szCs w:val="18"/>
              </w:rPr>
            </w:pPr>
            <w:r>
              <w:rPr>
                <w:spacing w:val="-2"/>
                <w:sz w:val="18"/>
                <w:szCs w:val="18"/>
              </w:rPr>
              <w:t>和管理</w:t>
            </w:r>
          </w:p>
        </w:tc>
        <w:tc>
          <w:tcPr>
            <w:tcW w:w="2324" w:type="dxa"/>
            <w:vAlign w:val="top"/>
          </w:tcPr>
          <w:p w14:paraId="2DA19D44">
            <w:pPr>
              <w:pStyle w:val="6"/>
              <w:spacing w:before="56" w:line="218" w:lineRule="auto"/>
              <w:ind w:left="2"/>
              <w:rPr>
                <w:sz w:val="18"/>
                <w:szCs w:val="18"/>
              </w:rPr>
            </w:pPr>
            <w:r>
              <w:rPr>
                <w:sz w:val="18"/>
                <w:szCs w:val="18"/>
              </w:rPr>
              <w:t>1.增值税专用发票</w:t>
            </w:r>
          </w:p>
        </w:tc>
        <w:tc>
          <w:tcPr>
            <w:tcW w:w="229" w:type="dxa"/>
            <w:vAlign w:val="top"/>
          </w:tcPr>
          <w:p w14:paraId="51BB723C">
            <w:pPr>
              <w:rPr>
                <w:rFonts w:ascii="Arial"/>
                <w:sz w:val="21"/>
              </w:rPr>
            </w:pPr>
          </w:p>
        </w:tc>
        <w:tc>
          <w:tcPr>
            <w:tcW w:w="220" w:type="dxa"/>
            <w:vAlign w:val="top"/>
          </w:tcPr>
          <w:p w14:paraId="54DADDB2">
            <w:pPr>
              <w:pStyle w:val="6"/>
              <w:spacing w:before="97" w:line="238" w:lineRule="auto"/>
              <w:ind w:left="19"/>
              <w:rPr>
                <w:sz w:val="13"/>
                <w:szCs w:val="13"/>
              </w:rPr>
            </w:pPr>
            <w:r>
              <w:rPr>
                <w:sz w:val="13"/>
                <w:szCs w:val="13"/>
              </w:rPr>
              <w:t>√</w:t>
            </w:r>
          </w:p>
        </w:tc>
        <w:tc>
          <w:tcPr>
            <w:tcW w:w="239" w:type="dxa"/>
            <w:vAlign w:val="top"/>
          </w:tcPr>
          <w:p w14:paraId="4684EEB9">
            <w:pPr>
              <w:rPr>
                <w:rFonts w:ascii="Arial"/>
                <w:sz w:val="21"/>
              </w:rPr>
            </w:pPr>
          </w:p>
        </w:tc>
        <w:tc>
          <w:tcPr>
            <w:tcW w:w="224" w:type="dxa"/>
            <w:vAlign w:val="top"/>
          </w:tcPr>
          <w:p w14:paraId="0BB6E70A">
            <w:pPr>
              <w:rPr>
                <w:rFonts w:ascii="Arial"/>
                <w:sz w:val="21"/>
              </w:rPr>
            </w:pPr>
          </w:p>
        </w:tc>
      </w:tr>
      <w:tr w14:paraId="0843B5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883" w:type="dxa"/>
            <w:vMerge w:val="continue"/>
            <w:tcBorders>
              <w:top w:val="nil"/>
              <w:bottom w:val="nil"/>
            </w:tcBorders>
            <w:vAlign w:val="top"/>
          </w:tcPr>
          <w:p w14:paraId="4C81C120">
            <w:pPr>
              <w:rPr>
                <w:rFonts w:ascii="Arial"/>
                <w:sz w:val="21"/>
              </w:rPr>
            </w:pPr>
          </w:p>
        </w:tc>
        <w:tc>
          <w:tcPr>
            <w:tcW w:w="2324" w:type="dxa"/>
            <w:vAlign w:val="top"/>
          </w:tcPr>
          <w:p w14:paraId="024E1D4B">
            <w:pPr>
              <w:pStyle w:val="6"/>
              <w:spacing w:before="67" w:line="219" w:lineRule="auto"/>
              <w:ind w:left="2"/>
              <w:rPr>
                <w:sz w:val="18"/>
                <w:szCs w:val="18"/>
              </w:rPr>
            </w:pPr>
            <w:r>
              <w:rPr>
                <w:spacing w:val="-2"/>
                <w:sz w:val="18"/>
                <w:szCs w:val="18"/>
              </w:rPr>
              <w:t>2.增值税普通发票</w:t>
            </w:r>
          </w:p>
        </w:tc>
        <w:tc>
          <w:tcPr>
            <w:tcW w:w="229" w:type="dxa"/>
            <w:vAlign w:val="top"/>
          </w:tcPr>
          <w:p w14:paraId="3F31581B">
            <w:pPr>
              <w:pStyle w:val="6"/>
              <w:spacing w:before="108" w:line="238" w:lineRule="auto"/>
              <w:ind w:left="48"/>
              <w:rPr>
                <w:sz w:val="13"/>
                <w:szCs w:val="13"/>
              </w:rPr>
            </w:pPr>
            <w:r>
              <w:rPr>
                <w:sz w:val="13"/>
                <w:szCs w:val="13"/>
              </w:rPr>
              <w:t>√</w:t>
            </w:r>
          </w:p>
        </w:tc>
        <w:tc>
          <w:tcPr>
            <w:tcW w:w="220" w:type="dxa"/>
            <w:vAlign w:val="top"/>
          </w:tcPr>
          <w:p w14:paraId="4B52A95F">
            <w:pPr>
              <w:rPr>
                <w:rFonts w:ascii="Arial"/>
                <w:sz w:val="21"/>
              </w:rPr>
            </w:pPr>
          </w:p>
        </w:tc>
        <w:tc>
          <w:tcPr>
            <w:tcW w:w="239" w:type="dxa"/>
            <w:vAlign w:val="top"/>
          </w:tcPr>
          <w:p w14:paraId="4595FF6F">
            <w:pPr>
              <w:rPr>
                <w:rFonts w:ascii="Arial"/>
                <w:sz w:val="21"/>
              </w:rPr>
            </w:pPr>
          </w:p>
        </w:tc>
        <w:tc>
          <w:tcPr>
            <w:tcW w:w="224" w:type="dxa"/>
            <w:vAlign w:val="top"/>
          </w:tcPr>
          <w:p w14:paraId="59ECDCB4">
            <w:pPr>
              <w:rPr>
                <w:rFonts w:ascii="Arial"/>
                <w:sz w:val="21"/>
              </w:rPr>
            </w:pPr>
          </w:p>
        </w:tc>
      </w:tr>
      <w:tr w14:paraId="3B93A3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0" w:hRule="atLeast"/>
        </w:trPr>
        <w:tc>
          <w:tcPr>
            <w:tcW w:w="883" w:type="dxa"/>
            <w:vMerge w:val="continue"/>
            <w:tcBorders>
              <w:top w:val="nil"/>
              <w:bottom w:val="nil"/>
            </w:tcBorders>
            <w:vAlign w:val="top"/>
          </w:tcPr>
          <w:p w14:paraId="125B1930">
            <w:pPr>
              <w:rPr>
                <w:rFonts w:ascii="Arial"/>
                <w:sz w:val="21"/>
              </w:rPr>
            </w:pPr>
          </w:p>
        </w:tc>
        <w:tc>
          <w:tcPr>
            <w:tcW w:w="2324" w:type="dxa"/>
            <w:vAlign w:val="top"/>
          </w:tcPr>
          <w:p w14:paraId="35F7C220">
            <w:pPr>
              <w:pStyle w:val="6"/>
              <w:spacing w:before="57" w:line="218" w:lineRule="auto"/>
              <w:ind w:left="2"/>
              <w:rPr>
                <w:sz w:val="18"/>
                <w:szCs w:val="18"/>
              </w:rPr>
            </w:pPr>
            <w:r>
              <w:rPr>
                <w:spacing w:val="-2"/>
                <w:sz w:val="18"/>
                <w:szCs w:val="18"/>
              </w:rPr>
              <w:t>3.增值税电子发票</w:t>
            </w:r>
          </w:p>
        </w:tc>
        <w:tc>
          <w:tcPr>
            <w:tcW w:w="229" w:type="dxa"/>
            <w:vAlign w:val="top"/>
          </w:tcPr>
          <w:p w14:paraId="4B565FA2">
            <w:pPr>
              <w:pStyle w:val="6"/>
              <w:spacing w:before="98" w:line="238" w:lineRule="auto"/>
              <w:ind w:left="48"/>
              <w:rPr>
                <w:sz w:val="13"/>
                <w:szCs w:val="13"/>
              </w:rPr>
            </w:pPr>
            <w:r>
              <w:rPr>
                <w:sz w:val="13"/>
                <w:szCs w:val="13"/>
              </w:rPr>
              <w:t>√</w:t>
            </w:r>
          </w:p>
        </w:tc>
        <w:tc>
          <w:tcPr>
            <w:tcW w:w="220" w:type="dxa"/>
            <w:vAlign w:val="top"/>
          </w:tcPr>
          <w:p w14:paraId="1A1678CC">
            <w:pPr>
              <w:rPr>
                <w:rFonts w:ascii="Arial"/>
                <w:sz w:val="21"/>
              </w:rPr>
            </w:pPr>
          </w:p>
        </w:tc>
        <w:tc>
          <w:tcPr>
            <w:tcW w:w="239" w:type="dxa"/>
            <w:vAlign w:val="top"/>
          </w:tcPr>
          <w:p w14:paraId="0403D61F">
            <w:pPr>
              <w:rPr>
                <w:rFonts w:ascii="Arial"/>
                <w:sz w:val="21"/>
              </w:rPr>
            </w:pPr>
          </w:p>
        </w:tc>
        <w:tc>
          <w:tcPr>
            <w:tcW w:w="224" w:type="dxa"/>
            <w:vAlign w:val="top"/>
          </w:tcPr>
          <w:p w14:paraId="7C4F9D92">
            <w:pPr>
              <w:rPr>
                <w:rFonts w:ascii="Arial"/>
                <w:sz w:val="21"/>
              </w:rPr>
            </w:pPr>
          </w:p>
        </w:tc>
      </w:tr>
      <w:tr w14:paraId="05F3EF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883" w:type="dxa"/>
            <w:vMerge w:val="continue"/>
            <w:tcBorders>
              <w:top w:val="nil"/>
            </w:tcBorders>
            <w:vAlign w:val="top"/>
          </w:tcPr>
          <w:p w14:paraId="25F881C2">
            <w:pPr>
              <w:rPr>
                <w:rFonts w:ascii="Arial"/>
                <w:sz w:val="21"/>
              </w:rPr>
            </w:pPr>
          </w:p>
        </w:tc>
        <w:tc>
          <w:tcPr>
            <w:tcW w:w="2324" w:type="dxa"/>
            <w:vAlign w:val="top"/>
          </w:tcPr>
          <w:p w14:paraId="02C9D5D9">
            <w:pPr>
              <w:pStyle w:val="6"/>
              <w:spacing w:before="56" w:line="214" w:lineRule="auto"/>
              <w:ind w:left="2"/>
              <w:rPr>
                <w:sz w:val="18"/>
                <w:szCs w:val="18"/>
              </w:rPr>
            </w:pPr>
            <w:r>
              <w:rPr>
                <w:spacing w:val="-1"/>
                <w:sz w:val="18"/>
                <w:szCs w:val="18"/>
              </w:rPr>
              <w:t>4.机动车销售统一发票</w:t>
            </w:r>
          </w:p>
        </w:tc>
        <w:tc>
          <w:tcPr>
            <w:tcW w:w="229" w:type="dxa"/>
            <w:vAlign w:val="top"/>
          </w:tcPr>
          <w:p w14:paraId="73873DEE">
            <w:pPr>
              <w:pStyle w:val="6"/>
              <w:spacing w:before="88" w:line="238" w:lineRule="auto"/>
              <w:ind w:left="17"/>
              <w:rPr>
                <w:sz w:val="13"/>
                <w:szCs w:val="13"/>
              </w:rPr>
            </w:pPr>
            <w:r>
              <w:rPr>
                <w:sz w:val="13"/>
                <w:szCs w:val="13"/>
              </w:rPr>
              <w:t>√</w:t>
            </w:r>
          </w:p>
        </w:tc>
        <w:tc>
          <w:tcPr>
            <w:tcW w:w="220" w:type="dxa"/>
            <w:vAlign w:val="top"/>
          </w:tcPr>
          <w:p w14:paraId="4FDAB4D7">
            <w:pPr>
              <w:rPr>
                <w:rFonts w:ascii="Arial"/>
                <w:sz w:val="21"/>
              </w:rPr>
            </w:pPr>
          </w:p>
        </w:tc>
        <w:tc>
          <w:tcPr>
            <w:tcW w:w="239" w:type="dxa"/>
            <w:vAlign w:val="top"/>
          </w:tcPr>
          <w:p w14:paraId="46A0CB86">
            <w:pPr>
              <w:rPr>
                <w:rFonts w:ascii="Arial"/>
                <w:sz w:val="21"/>
              </w:rPr>
            </w:pPr>
          </w:p>
        </w:tc>
        <w:tc>
          <w:tcPr>
            <w:tcW w:w="224" w:type="dxa"/>
            <w:vAlign w:val="top"/>
          </w:tcPr>
          <w:p w14:paraId="618BC7EF">
            <w:pPr>
              <w:rPr>
                <w:rFonts w:ascii="Arial"/>
                <w:sz w:val="21"/>
              </w:rPr>
            </w:pPr>
          </w:p>
        </w:tc>
      </w:tr>
    </w:tbl>
    <w:p w14:paraId="7A3230AF">
      <w:pPr>
        <w:spacing w:before="128" w:line="221" w:lineRule="auto"/>
        <w:ind w:left="1557"/>
        <w:rPr>
          <w:rFonts w:ascii="黑体" w:hAnsi="黑体" w:eastAsia="黑体" w:cs="黑体"/>
          <w:sz w:val="20"/>
          <w:szCs w:val="20"/>
        </w:rPr>
      </w:pPr>
      <w:r>
        <w:rPr>
          <w:rFonts w:ascii="黑体" w:hAnsi="黑体" w:eastAsia="黑体" w:cs="黑体"/>
          <w:b/>
          <w:bCs/>
          <w:spacing w:val="13"/>
          <w:sz w:val="20"/>
          <w:szCs w:val="20"/>
        </w:rPr>
        <w:t>(三)消费税</w:t>
      </w:r>
    </w:p>
    <w:p w14:paraId="66DBDE91">
      <w:pPr>
        <w:spacing w:line="72" w:lineRule="exact"/>
      </w:pPr>
    </w:p>
    <w:tbl>
      <w:tblPr>
        <w:tblStyle w:val="5"/>
        <w:tblW w:w="413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24"/>
        <w:gridCol w:w="229"/>
        <w:gridCol w:w="230"/>
        <w:gridCol w:w="220"/>
        <w:gridCol w:w="234"/>
      </w:tblGrid>
      <w:tr w14:paraId="7F6EC0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4" w:hRule="atLeast"/>
        </w:trPr>
        <w:tc>
          <w:tcPr>
            <w:tcW w:w="893" w:type="dxa"/>
            <w:vMerge w:val="restart"/>
            <w:tcBorders>
              <w:bottom w:val="nil"/>
            </w:tcBorders>
            <w:vAlign w:val="top"/>
          </w:tcPr>
          <w:p w14:paraId="0B10A64B">
            <w:pPr>
              <w:pStyle w:val="6"/>
              <w:spacing w:before="141" w:line="223" w:lineRule="auto"/>
              <w:ind w:left="77" w:right="93" w:firstLine="89"/>
              <w:rPr>
                <w:sz w:val="18"/>
                <w:szCs w:val="18"/>
              </w:rPr>
            </w:pPr>
            <w:r>
              <w:rPr>
                <w:b/>
                <w:bCs/>
                <w:spacing w:val="1"/>
                <w:sz w:val="18"/>
                <w:szCs w:val="18"/>
              </w:rPr>
              <w:t>知识与</w:t>
            </w:r>
            <w:r>
              <w:rPr>
                <w:sz w:val="18"/>
                <w:szCs w:val="18"/>
              </w:rPr>
              <w:t xml:space="preserve">  </w:t>
            </w:r>
            <w:r>
              <w:rPr>
                <w:b/>
                <w:bCs/>
                <w:spacing w:val="-4"/>
                <w:sz w:val="18"/>
                <w:szCs w:val="18"/>
              </w:rPr>
              <w:t>技能要点</w:t>
            </w:r>
          </w:p>
        </w:tc>
        <w:tc>
          <w:tcPr>
            <w:tcW w:w="2324" w:type="dxa"/>
            <w:vMerge w:val="restart"/>
            <w:tcBorders>
              <w:bottom w:val="nil"/>
            </w:tcBorders>
            <w:vAlign w:val="top"/>
          </w:tcPr>
          <w:p w14:paraId="4D14463A">
            <w:pPr>
              <w:pStyle w:val="6"/>
              <w:spacing w:before="249" w:line="219" w:lineRule="auto"/>
              <w:ind w:left="844"/>
              <w:rPr>
                <w:sz w:val="18"/>
                <w:szCs w:val="18"/>
              </w:rPr>
            </w:pPr>
            <w:r>
              <w:rPr>
                <w:b/>
                <w:bCs/>
                <w:spacing w:val="5"/>
                <w:sz w:val="18"/>
                <w:szCs w:val="18"/>
              </w:rPr>
              <w:t>考试条目</w:t>
            </w:r>
          </w:p>
        </w:tc>
        <w:tc>
          <w:tcPr>
            <w:tcW w:w="913" w:type="dxa"/>
            <w:gridSpan w:val="4"/>
            <w:vAlign w:val="top"/>
          </w:tcPr>
          <w:p w14:paraId="30A947CB">
            <w:pPr>
              <w:pStyle w:val="6"/>
              <w:spacing w:before="79" w:line="219" w:lineRule="auto"/>
              <w:ind w:left="140"/>
              <w:rPr>
                <w:sz w:val="18"/>
                <w:szCs w:val="18"/>
              </w:rPr>
            </w:pPr>
            <w:r>
              <w:rPr>
                <w:b/>
                <w:bCs/>
                <w:spacing w:val="-4"/>
                <w:sz w:val="18"/>
                <w:szCs w:val="18"/>
              </w:rPr>
              <w:t>考试水平</w:t>
            </w:r>
          </w:p>
        </w:tc>
      </w:tr>
      <w:tr w14:paraId="310B9E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893" w:type="dxa"/>
            <w:vMerge w:val="continue"/>
            <w:tcBorders>
              <w:top w:val="nil"/>
            </w:tcBorders>
            <w:vAlign w:val="top"/>
          </w:tcPr>
          <w:p w14:paraId="408F04F2">
            <w:pPr>
              <w:rPr>
                <w:rFonts w:ascii="Arial"/>
                <w:sz w:val="21"/>
              </w:rPr>
            </w:pPr>
          </w:p>
        </w:tc>
        <w:tc>
          <w:tcPr>
            <w:tcW w:w="2324" w:type="dxa"/>
            <w:vMerge w:val="continue"/>
            <w:tcBorders>
              <w:top w:val="nil"/>
            </w:tcBorders>
            <w:vAlign w:val="top"/>
          </w:tcPr>
          <w:p w14:paraId="243908FD">
            <w:pPr>
              <w:rPr>
                <w:rFonts w:ascii="Arial"/>
                <w:sz w:val="21"/>
              </w:rPr>
            </w:pPr>
          </w:p>
        </w:tc>
        <w:tc>
          <w:tcPr>
            <w:tcW w:w="229" w:type="dxa"/>
            <w:vAlign w:val="top"/>
          </w:tcPr>
          <w:p w14:paraId="5AE1785B">
            <w:pPr>
              <w:pStyle w:val="6"/>
              <w:spacing w:before="113" w:line="184" w:lineRule="auto"/>
              <w:ind w:left="70"/>
              <w:rPr>
                <w:sz w:val="18"/>
                <w:szCs w:val="18"/>
              </w:rPr>
            </w:pPr>
            <w:r>
              <w:rPr>
                <w:b/>
                <w:bCs/>
                <w:spacing w:val="-2"/>
                <w:sz w:val="18"/>
                <w:szCs w:val="18"/>
              </w:rPr>
              <w:t>A</w:t>
            </w:r>
          </w:p>
        </w:tc>
        <w:tc>
          <w:tcPr>
            <w:tcW w:w="230" w:type="dxa"/>
            <w:vAlign w:val="top"/>
          </w:tcPr>
          <w:p w14:paraId="37466AFC">
            <w:pPr>
              <w:pStyle w:val="6"/>
              <w:spacing w:before="123" w:line="182" w:lineRule="auto"/>
              <w:ind w:left="81"/>
              <w:rPr>
                <w:sz w:val="14"/>
                <w:szCs w:val="14"/>
              </w:rPr>
            </w:pPr>
            <w:r>
              <w:rPr>
                <w:b/>
                <w:bCs/>
                <w:spacing w:val="-2"/>
                <w:sz w:val="14"/>
                <w:szCs w:val="14"/>
              </w:rPr>
              <w:t>B</w:t>
            </w:r>
          </w:p>
        </w:tc>
        <w:tc>
          <w:tcPr>
            <w:tcW w:w="220" w:type="dxa"/>
            <w:vAlign w:val="top"/>
          </w:tcPr>
          <w:p w14:paraId="33E1309C">
            <w:pPr>
              <w:pStyle w:val="6"/>
              <w:spacing w:before="114" w:line="183" w:lineRule="auto"/>
              <w:ind w:left="49"/>
              <w:rPr>
                <w:sz w:val="18"/>
                <w:szCs w:val="18"/>
              </w:rPr>
            </w:pPr>
            <w:r>
              <w:rPr>
                <w:sz w:val="18"/>
                <w:szCs w:val="18"/>
              </w:rPr>
              <w:t>C</w:t>
            </w:r>
          </w:p>
        </w:tc>
        <w:tc>
          <w:tcPr>
            <w:tcW w:w="234" w:type="dxa"/>
            <w:vAlign w:val="top"/>
          </w:tcPr>
          <w:p w14:paraId="6CE1373C">
            <w:pPr>
              <w:pStyle w:val="6"/>
              <w:spacing w:before="115" w:line="182" w:lineRule="auto"/>
              <w:ind w:left="71"/>
              <w:rPr>
                <w:sz w:val="18"/>
                <w:szCs w:val="18"/>
              </w:rPr>
            </w:pPr>
            <w:r>
              <w:rPr>
                <w:b/>
                <w:bCs/>
                <w:spacing w:val="-2"/>
                <w:sz w:val="18"/>
                <w:szCs w:val="18"/>
              </w:rPr>
              <w:t>D</w:t>
            </w:r>
          </w:p>
        </w:tc>
      </w:tr>
      <w:tr w14:paraId="3AEF17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893" w:type="dxa"/>
            <w:vMerge w:val="restart"/>
            <w:tcBorders>
              <w:bottom w:val="nil"/>
            </w:tcBorders>
            <w:vAlign w:val="top"/>
          </w:tcPr>
          <w:p w14:paraId="0799AFBD">
            <w:pPr>
              <w:spacing w:line="284" w:lineRule="auto"/>
              <w:rPr>
                <w:rFonts w:ascii="Arial"/>
                <w:sz w:val="21"/>
              </w:rPr>
            </w:pPr>
          </w:p>
          <w:p w14:paraId="363CAAA6">
            <w:pPr>
              <w:spacing w:line="284" w:lineRule="auto"/>
              <w:rPr>
                <w:rFonts w:ascii="Arial"/>
                <w:sz w:val="21"/>
              </w:rPr>
            </w:pPr>
          </w:p>
          <w:p w14:paraId="2FFD3A17">
            <w:pPr>
              <w:pStyle w:val="6"/>
              <w:spacing w:before="59" w:line="221" w:lineRule="auto"/>
              <w:ind w:left="75" w:right="73"/>
              <w:rPr>
                <w:sz w:val="18"/>
                <w:szCs w:val="18"/>
              </w:rPr>
            </w:pPr>
            <w:r>
              <w:rPr>
                <w:spacing w:val="3"/>
                <w:sz w:val="18"/>
                <w:szCs w:val="18"/>
              </w:rPr>
              <w:t>消费税的</w:t>
            </w:r>
            <w:r>
              <w:rPr>
                <w:spacing w:val="1"/>
                <w:sz w:val="18"/>
                <w:szCs w:val="18"/>
              </w:rPr>
              <w:t xml:space="preserve"> </w:t>
            </w:r>
            <w:r>
              <w:rPr>
                <w:spacing w:val="-2"/>
                <w:sz w:val="18"/>
                <w:szCs w:val="18"/>
              </w:rPr>
              <w:t>基本内容</w:t>
            </w:r>
          </w:p>
        </w:tc>
        <w:tc>
          <w:tcPr>
            <w:tcW w:w="2324" w:type="dxa"/>
            <w:vAlign w:val="top"/>
          </w:tcPr>
          <w:p w14:paraId="234D713A">
            <w:pPr>
              <w:pStyle w:val="6"/>
              <w:spacing w:before="49" w:line="215" w:lineRule="auto"/>
              <w:ind w:left="12"/>
              <w:rPr>
                <w:sz w:val="18"/>
                <w:szCs w:val="18"/>
              </w:rPr>
            </w:pPr>
            <w:r>
              <w:rPr>
                <w:sz w:val="18"/>
                <w:szCs w:val="18"/>
              </w:rPr>
              <w:t>1.消费税的概念与特征</w:t>
            </w:r>
          </w:p>
        </w:tc>
        <w:tc>
          <w:tcPr>
            <w:tcW w:w="229" w:type="dxa"/>
            <w:vAlign w:val="top"/>
          </w:tcPr>
          <w:p w14:paraId="13BB8462">
            <w:pPr>
              <w:pStyle w:val="6"/>
              <w:spacing w:before="81" w:line="234" w:lineRule="auto"/>
              <w:ind w:left="38"/>
              <w:rPr>
                <w:sz w:val="14"/>
                <w:szCs w:val="14"/>
              </w:rPr>
            </w:pPr>
            <w:r>
              <w:rPr>
                <w:sz w:val="14"/>
                <w:szCs w:val="14"/>
              </w:rPr>
              <w:t>√</w:t>
            </w:r>
          </w:p>
        </w:tc>
        <w:tc>
          <w:tcPr>
            <w:tcW w:w="230" w:type="dxa"/>
            <w:vAlign w:val="top"/>
          </w:tcPr>
          <w:p w14:paraId="57F91E48">
            <w:pPr>
              <w:rPr>
                <w:rFonts w:ascii="Arial"/>
                <w:sz w:val="21"/>
              </w:rPr>
            </w:pPr>
          </w:p>
        </w:tc>
        <w:tc>
          <w:tcPr>
            <w:tcW w:w="220" w:type="dxa"/>
            <w:vAlign w:val="top"/>
          </w:tcPr>
          <w:p w14:paraId="07AAE71D">
            <w:pPr>
              <w:rPr>
                <w:rFonts w:ascii="Arial"/>
                <w:sz w:val="21"/>
              </w:rPr>
            </w:pPr>
          </w:p>
        </w:tc>
        <w:tc>
          <w:tcPr>
            <w:tcW w:w="234" w:type="dxa"/>
            <w:vAlign w:val="top"/>
          </w:tcPr>
          <w:p w14:paraId="7719CDAA">
            <w:pPr>
              <w:rPr>
                <w:rFonts w:ascii="Arial"/>
                <w:sz w:val="21"/>
              </w:rPr>
            </w:pPr>
          </w:p>
        </w:tc>
      </w:tr>
      <w:tr w14:paraId="243BE7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continue"/>
            <w:tcBorders>
              <w:top w:val="nil"/>
              <w:bottom w:val="nil"/>
            </w:tcBorders>
            <w:vAlign w:val="top"/>
          </w:tcPr>
          <w:p w14:paraId="29855ABF">
            <w:pPr>
              <w:rPr>
                <w:rFonts w:ascii="Arial"/>
                <w:sz w:val="21"/>
              </w:rPr>
            </w:pPr>
          </w:p>
        </w:tc>
        <w:tc>
          <w:tcPr>
            <w:tcW w:w="2324" w:type="dxa"/>
            <w:vAlign w:val="top"/>
          </w:tcPr>
          <w:p w14:paraId="02B8FEDC">
            <w:pPr>
              <w:pStyle w:val="6"/>
              <w:spacing w:before="40" w:line="214" w:lineRule="auto"/>
              <w:ind w:left="12"/>
              <w:rPr>
                <w:sz w:val="18"/>
                <w:szCs w:val="18"/>
              </w:rPr>
            </w:pPr>
            <w:r>
              <w:rPr>
                <w:spacing w:val="1"/>
                <w:sz w:val="18"/>
                <w:szCs w:val="18"/>
              </w:rPr>
              <w:t>2.消费税与增值税的关系</w:t>
            </w:r>
          </w:p>
        </w:tc>
        <w:tc>
          <w:tcPr>
            <w:tcW w:w="229" w:type="dxa"/>
            <w:vAlign w:val="top"/>
          </w:tcPr>
          <w:p w14:paraId="3799D763">
            <w:pPr>
              <w:rPr>
                <w:rFonts w:ascii="Arial"/>
                <w:sz w:val="21"/>
              </w:rPr>
            </w:pPr>
          </w:p>
        </w:tc>
        <w:tc>
          <w:tcPr>
            <w:tcW w:w="230" w:type="dxa"/>
            <w:vAlign w:val="top"/>
          </w:tcPr>
          <w:p w14:paraId="7EBCE19C">
            <w:pPr>
              <w:pStyle w:val="6"/>
              <w:spacing w:before="73" w:line="232" w:lineRule="auto"/>
              <w:ind w:left="39"/>
              <w:rPr>
                <w:sz w:val="14"/>
                <w:szCs w:val="14"/>
              </w:rPr>
            </w:pPr>
            <w:r>
              <w:rPr>
                <w:sz w:val="14"/>
                <w:szCs w:val="14"/>
              </w:rPr>
              <w:t>√</w:t>
            </w:r>
          </w:p>
        </w:tc>
        <w:tc>
          <w:tcPr>
            <w:tcW w:w="220" w:type="dxa"/>
            <w:vAlign w:val="top"/>
          </w:tcPr>
          <w:p w14:paraId="5B34FBA7">
            <w:pPr>
              <w:rPr>
                <w:rFonts w:ascii="Arial"/>
                <w:sz w:val="21"/>
              </w:rPr>
            </w:pPr>
          </w:p>
        </w:tc>
        <w:tc>
          <w:tcPr>
            <w:tcW w:w="234" w:type="dxa"/>
            <w:vAlign w:val="top"/>
          </w:tcPr>
          <w:p w14:paraId="0A29BD53">
            <w:pPr>
              <w:rPr>
                <w:rFonts w:ascii="Arial"/>
                <w:sz w:val="21"/>
              </w:rPr>
            </w:pPr>
          </w:p>
        </w:tc>
      </w:tr>
      <w:tr w14:paraId="352FF0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893" w:type="dxa"/>
            <w:vMerge w:val="continue"/>
            <w:tcBorders>
              <w:top w:val="nil"/>
              <w:bottom w:val="nil"/>
            </w:tcBorders>
            <w:vAlign w:val="top"/>
          </w:tcPr>
          <w:p w14:paraId="12536A83">
            <w:pPr>
              <w:rPr>
                <w:rFonts w:ascii="Arial"/>
                <w:sz w:val="21"/>
              </w:rPr>
            </w:pPr>
          </w:p>
        </w:tc>
        <w:tc>
          <w:tcPr>
            <w:tcW w:w="2324" w:type="dxa"/>
            <w:vAlign w:val="top"/>
          </w:tcPr>
          <w:p w14:paraId="5E9D3BC4">
            <w:pPr>
              <w:pStyle w:val="6"/>
              <w:spacing w:before="52" w:line="212" w:lineRule="auto"/>
              <w:ind w:left="12"/>
              <w:rPr>
                <w:sz w:val="18"/>
                <w:szCs w:val="18"/>
              </w:rPr>
            </w:pPr>
            <w:r>
              <w:rPr>
                <w:spacing w:val="-2"/>
                <w:sz w:val="18"/>
                <w:szCs w:val="18"/>
              </w:rPr>
              <w:t>3.消费税的纳税人</w:t>
            </w:r>
          </w:p>
        </w:tc>
        <w:tc>
          <w:tcPr>
            <w:tcW w:w="229" w:type="dxa"/>
            <w:vAlign w:val="top"/>
          </w:tcPr>
          <w:p w14:paraId="2464D003">
            <w:pPr>
              <w:rPr>
                <w:rFonts w:ascii="Arial"/>
                <w:sz w:val="21"/>
              </w:rPr>
            </w:pPr>
          </w:p>
        </w:tc>
        <w:tc>
          <w:tcPr>
            <w:tcW w:w="230" w:type="dxa"/>
            <w:vAlign w:val="top"/>
          </w:tcPr>
          <w:p w14:paraId="7B83EDDA">
            <w:pPr>
              <w:pStyle w:val="6"/>
              <w:spacing w:before="83" w:line="231" w:lineRule="auto"/>
              <w:ind w:left="39"/>
              <w:rPr>
                <w:sz w:val="14"/>
                <w:szCs w:val="14"/>
              </w:rPr>
            </w:pPr>
            <w:r>
              <w:rPr>
                <w:sz w:val="14"/>
                <w:szCs w:val="14"/>
              </w:rPr>
              <w:t>√</w:t>
            </w:r>
          </w:p>
        </w:tc>
        <w:tc>
          <w:tcPr>
            <w:tcW w:w="220" w:type="dxa"/>
            <w:vAlign w:val="top"/>
          </w:tcPr>
          <w:p w14:paraId="5178C893">
            <w:pPr>
              <w:rPr>
                <w:rFonts w:ascii="Arial"/>
                <w:sz w:val="21"/>
              </w:rPr>
            </w:pPr>
          </w:p>
        </w:tc>
        <w:tc>
          <w:tcPr>
            <w:tcW w:w="234" w:type="dxa"/>
            <w:vAlign w:val="top"/>
          </w:tcPr>
          <w:p w14:paraId="700F8B68">
            <w:pPr>
              <w:rPr>
                <w:rFonts w:ascii="Arial"/>
                <w:sz w:val="21"/>
              </w:rPr>
            </w:pPr>
          </w:p>
        </w:tc>
      </w:tr>
      <w:tr w14:paraId="0F712B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893" w:type="dxa"/>
            <w:vMerge w:val="continue"/>
            <w:tcBorders>
              <w:top w:val="nil"/>
              <w:bottom w:val="nil"/>
            </w:tcBorders>
            <w:vAlign w:val="top"/>
          </w:tcPr>
          <w:p w14:paraId="5F7AEBFA">
            <w:pPr>
              <w:rPr>
                <w:rFonts w:ascii="Arial"/>
                <w:sz w:val="21"/>
              </w:rPr>
            </w:pPr>
          </w:p>
        </w:tc>
        <w:tc>
          <w:tcPr>
            <w:tcW w:w="2324" w:type="dxa"/>
            <w:vAlign w:val="top"/>
          </w:tcPr>
          <w:p w14:paraId="4212747A">
            <w:pPr>
              <w:pStyle w:val="6"/>
              <w:spacing w:before="52" w:line="212" w:lineRule="auto"/>
              <w:ind w:left="12"/>
              <w:rPr>
                <w:sz w:val="18"/>
                <w:szCs w:val="18"/>
              </w:rPr>
            </w:pPr>
            <w:r>
              <w:rPr>
                <w:spacing w:val="2"/>
                <w:sz w:val="18"/>
                <w:szCs w:val="18"/>
              </w:rPr>
              <w:t>4.消费税的征收范围与税目</w:t>
            </w:r>
          </w:p>
        </w:tc>
        <w:tc>
          <w:tcPr>
            <w:tcW w:w="229" w:type="dxa"/>
            <w:vAlign w:val="top"/>
          </w:tcPr>
          <w:p w14:paraId="697352E1">
            <w:pPr>
              <w:rPr>
                <w:rFonts w:ascii="Arial"/>
                <w:sz w:val="21"/>
              </w:rPr>
            </w:pPr>
          </w:p>
        </w:tc>
        <w:tc>
          <w:tcPr>
            <w:tcW w:w="230" w:type="dxa"/>
            <w:vAlign w:val="top"/>
          </w:tcPr>
          <w:p w14:paraId="7D1E3A2E">
            <w:pPr>
              <w:rPr>
                <w:rFonts w:ascii="Arial"/>
                <w:sz w:val="21"/>
              </w:rPr>
            </w:pPr>
          </w:p>
        </w:tc>
        <w:tc>
          <w:tcPr>
            <w:tcW w:w="220" w:type="dxa"/>
            <w:vAlign w:val="top"/>
          </w:tcPr>
          <w:p w14:paraId="3CBCBE0B">
            <w:pPr>
              <w:pStyle w:val="6"/>
              <w:spacing w:before="69" w:line="194" w:lineRule="auto"/>
              <w:ind w:left="18"/>
              <w:rPr>
                <w:sz w:val="18"/>
                <w:szCs w:val="18"/>
              </w:rPr>
            </w:pPr>
            <w:r>
              <w:rPr>
                <w:sz w:val="18"/>
                <w:szCs w:val="18"/>
              </w:rPr>
              <w:t>√</w:t>
            </w:r>
          </w:p>
        </w:tc>
        <w:tc>
          <w:tcPr>
            <w:tcW w:w="234" w:type="dxa"/>
            <w:vAlign w:val="top"/>
          </w:tcPr>
          <w:p w14:paraId="096B0EC7">
            <w:pPr>
              <w:rPr>
                <w:rFonts w:ascii="Arial"/>
                <w:sz w:val="21"/>
              </w:rPr>
            </w:pPr>
          </w:p>
        </w:tc>
      </w:tr>
      <w:tr w14:paraId="72FEA7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trPr>
        <w:tc>
          <w:tcPr>
            <w:tcW w:w="893" w:type="dxa"/>
            <w:vMerge w:val="continue"/>
            <w:tcBorders>
              <w:top w:val="nil"/>
              <w:bottom w:val="nil"/>
            </w:tcBorders>
            <w:vAlign w:val="top"/>
          </w:tcPr>
          <w:p w14:paraId="4EB82B7A">
            <w:pPr>
              <w:rPr>
                <w:rFonts w:ascii="Arial"/>
                <w:sz w:val="21"/>
              </w:rPr>
            </w:pPr>
          </w:p>
        </w:tc>
        <w:tc>
          <w:tcPr>
            <w:tcW w:w="2324" w:type="dxa"/>
            <w:vAlign w:val="top"/>
          </w:tcPr>
          <w:p w14:paraId="0CAA5AC1">
            <w:pPr>
              <w:pStyle w:val="6"/>
              <w:spacing w:before="53" w:line="212" w:lineRule="auto"/>
              <w:ind w:left="12"/>
              <w:rPr>
                <w:sz w:val="18"/>
                <w:szCs w:val="18"/>
              </w:rPr>
            </w:pPr>
            <w:r>
              <w:rPr>
                <w:spacing w:val="-2"/>
                <w:sz w:val="18"/>
                <w:szCs w:val="18"/>
              </w:rPr>
              <w:t>5.消费税的税率</w:t>
            </w:r>
          </w:p>
        </w:tc>
        <w:tc>
          <w:tcPr>
            <w:tcW w:w="229" w:type="dxa"/>
            <w:vAlign w:val="top"/>
          </w:tcPr>
          <w:p w14:paraId="101808BB">
            <w:pPr>
              <w:rPr>
                <w:rFonts w:ascii="Arial"/>
                <w:sz w:val="21"/>
              </w:rPr>
            </w:pPr>
          </w:p>
        </w:tc>
        <w:tc>
          <w:tcPr>
            <w:tcW w:w="230" w:type="dxa"/>
            <w:vAlign w:val="top"/>
          </w:tcPr>
          <w:p w14:paraId="3080F2AE">
            <w:pPr>
              <w:rPr>
                <w:rFonts w:ascii="Arial"/>
                <w:sz w:val="21"/>
              </w:rPr>
            </w:pPr>
          </w:p>
        </w:tc>
        <w:tc>
          <w:tcPr>
            <w:tcW w:w="220" w:type="dxa"/>
            <w:vAlign w:val="top"/>
          </w:tcPr>
          <w:p w14:paraId="2325A2A0">
            <w:pPr>
              <w:pStyle w:val="6"/>
              <w:spacing w:before="71" w:line="193" w:lineRule="auto"/>
              <w:ind w:left="18"/>
              <w:rPr>
                <w:sz w:val="18"/>
                <w:szCs w:val="18"/>
              </w:rPr>
            </w:pPr>
            <w:r>
              <w:rPr>
                <w:sz w:val="18"/>
                <w:szCs w:val="18"/>
              </w:rPr>
              <w:t>√</w:t>
            </w:r>
          </w:p>
        </w:tc>
        <w:tc>
          <w:tcPr>
            <w:tcW w:w="234" w:type="dxa"/>
            <w:vAlign w:val="top"/>
          </w:tcPr>
          <w:p w14:paraId="7FAA519F">
            <w:pPr>
              <w:rPr>
                <w:rFonts w:ascii="Arial"/>
                <w:sz w:val="21"/>
              </w:rPr>
            </w:pPr>
          </w:p>
        </w:tc>
      </w:tr>
      <w:tr w14:paraId="3960DE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continue"/>
            <w:tcBorders>
              <w:top w:val="nil"/>
            </w:tcBorders>
            <w:vAlign w:val="top"/>
          </w:tcPr>
          <w:p w14:paraId="70017120">
            <w:pPr>
              <w:rPr>
                <w:rFonts w:ascii="Arial"/>
                <w:sz w:val="21"/>
              </w:rPr>
            </w:pPr>
          </w:p>
        </w:tc>
        <w:tc>
          <w:tcPr>
            <w:tcW w:w="2324" w:type="dxa"/>
            <w:vAlign w:val="top"/>
          </w:tcPr>
          <w:p w14:paraId="388D4E05">
            <w:pPr>
              <w:pStyle w:val="6"/>
              <w:spacing w:before="44" w:line="210" w:lineRule="auto"/>
              <w:ind w:left="12"/>
              <w:rPr>
                <w:sz w:val="18"/>
                <w:szCs w:val="18"/>
              </w:rPr>
            </w:pPr>
            <w:r>
              <w:rPr>
                <w:spacing w:val="-1"/>
                <w:sz w:val="18"/>
                <w:szCs w:val="18"/>
              </w:rPr>
              <w:t>6.消费税的减免</w:t>
            </w:r>
          </w:p>
        </w:tc>
        <w:tc>
          <w:tcPr>
            <w:tcW w:w="229" w:type="dxa"/>
            <w:vAlign w:val="top"/>
          </w:tcPr>
          <w:p w14:paraId="4C6A3A8D">
            <w:pPr>
              <w:rPr>
                <w:rFonts w:ascii="Arial"/>
                <w:sz w:val="21"/>
              </w:rPr>
            </w:pPr>
          </w:p>
        </w:tc>
        <w:tc>
          <w:tcPr>
            <w:tcW w:w="230" w:type="dxa"/>
            <w:vAlign w:val="top"/>
          </w:tcPr>
          <w:p w14:paraId="7C098656">
            <w:pPr>
              <w:rPr>
                <w:rFonts w:ascii="Arial"/>
                <w:sz w:val="21"/>
              </w:rPr>
            </w:pPr>
          </w:p>
        </w:tc>
        <w:tc>
          <w:tcPr>
            <w:tcW w:w="220" w:type="dxa"/>
            <w:vAlign w:val="top"/>
          </w:tcPr>
          <w:p w14:paraId="2E4F20C0">
            <w:pPr>
              <w:rPr>
                <w:rFonts w:ascii="Arial"/>
                <w:sz w:val="21"/>
              </w:rPr>
            </w:pPr>
          </w:p>
        </w:tc>
        <w:tc>
          <w:tcPr>
            <w:tcW w:w="234" w:type="dxa"/>
            <w:vAlign w:val="top"/>
          </w:tcPr>
          <w:p w14:paraId="630C165B">
            <w:pPr>
              <w:rPr>
                <w:rFonts w:ascii="Arial"/>
                <w:sz w:val="21"/>
              </w:rPr>
            </w:pPr>
          </w:p>
        </w:tc>
      </w:tr>
      <w:tr w14:paraId="208FD2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trPr>
        <w:tc>
          <w:tcPr>
            <w:tcW w:w="893" w:type="dxa"/>
            <w:vMerge w:val="restart"/>
            <w:tcBorders>
              <w:bottom w:val="nil"/>
            </w:tcBorders>
            <w:vAlign w:val="top"/>
          </w:tcPr>
          <w:p w14:paraId="3FC3BEEC">
            <w:pPr>
              <w:pStyle w:val="6"/>
              <w:spacing w:before="85" w:line="227" w:lineRule="auto"/>
              <w:ind w:left="254" w:right="73" w:hanging="179"/>
              <w:rPr>
                <w:sz w:val="18"/>
                <w:szCs w:val="18"/>
              </w:rPr>
            </w:pPr>
            <w:r>
              <w:rPr>
                <w:spacing w:val="3"/>
                <w:sz w:val="18"/>
                <w:szCs w:val="18"/>
              </w:rPr>
              <w:t>消费税的</w:t>
            </w:r>
            <w:r>
              <w:rPr>
                <w:spacing w:val="1"/>
                <w:sz w:val="18"/>
                <w:szCs w:val="18"/>
              </w:rPr>
              <w:t xml:space="preserve"> </w:t>
            </w:r>
            <w:r>
              <w:rPr>
                <w:spacing w:val="-2"/>
                <w:sz w:val="18"/>
                <w:szCs w:val="18"/>
              </w:rPr>
              <w:t>计算</w:t>
            </w:r>
          </w:p>
        </w:tc>
        <w:tc>
          <w:tcPr>
            <w:tcW w:w="2324" w:type="dxa"/>
            <w:vAlign w:val="top"/>
          </w:tcPr>
          <w:p w14:paraId="5B979CE9">
            <w:pPr>
              <w:pStyle w:val="6"/>
              <w:spacing w:before="54" w:line="211" w:lineRule="auto"/>
              <w:ind w:left="12"/>
              <w:rPr>
                <w:sz w:val="18"/>
                <w:szCs w:val="18"/>
              </w:rPr>
            </w:pPr>
            <w:r>
              <w:rPr>
                <w:sz w:val="18"/>
                <w:szCs w:val="18"/>
              </w:rPr>
              <w:t>1.消费税的计征方法</w:t>
            </w:r>
          </w:p>
        </w:tc>
        <w:tc>
          <w:tcPr>
            <w:tcW w:w="229" w:type="dxa"/>
            <w:vAlign w:val="top"/>
          </w:tcPr>
          <w:p w14:paraId="38CB10BD">
            <w:pPr>
              <w:rPr>
                <w:rFonts w:ascii="Arial"/>
                <w:sz w:val="21"/>
              </w:rPr>
            </w:pPr>
          </w:p>
        </w:tc>
        <w:tc>
          <w:tcPr>
            <w:tcW w:w="230" w:type="dxa"/>
            <w:vAlign w:val="top"/>
          </w:tcPr>
          <w:p w14:paraId="2DDFBCDF">
            <w:pPr>
              <w:rPr>
                <w:rFonts w:ascii="Arial"/>
                <w:sz w:val="21"/>
              </w:rPr>
            </w:pPr>
          </w:p>
        </w:tc>
        <w:tc>
          <w:tcPr>
            <w:tcW w:w="220" w:type="dxa"/>
            <w:vAlign w:val="top"/>
          </w:tcPr>
          <w:p w14:paraId="02C3A624">
            <w:pPr>
              <w:spacing w:before="108" w:line="93" w:lineRule="exact"/>
              <w:ind w:firstLine="40"/>
            </w:pPr>
            <w:r>
              <w:rPr>
                <w:position w:val="-1"/>
              </w:rPr>
              <w:drawing>
                <wp:inline distT="0" distB="0" distL="0" distR="0">
                  <wp:extent cx="79375" cy="58420"/>
                  <wp:effectExtent l="0" t="0" r="0" b="0"/>
                  <wp:docPr id="134" name="IM 134"/>
                  <wp:cNvGraphicFramePr/>
                  <a:graphic xmlns:a="http://schemas.openxmlformats.org/drawingml/2006/main">
                    <a:graphicData uri="http://schemas.openxmlformats.org/drawingml/2006/picture">
                      <pic:pic xmlns:pic="http://schemas.openxmlformats.org/drawingml/2006/picture">
                        <pic:nvPicPr>
                          <pic:cNvPr id="134" name="IM 134"/>
                          <pic:cNvPicPr/>
                        </pic:nvPicPr>
                        <pic:blipFill>
                          <a:blip r:embed="rId232"/>
                          <a:stretch>
                            <a:fillRect/>
                          </a:stretch>
                        </pic:blipFill>
                        <pic:spPr>
                          <a:xfrm>
                            <a:off x="0" y="0"/>
                            <a:ext cx="79401" cy="58959"/>
                          </a:xfrm>
                          <a:prstGeom prst="rect">
                            <a:avLst/>
                          </a:prstGeom>
                        </pic:spPr>
                      </pic:pic>
                    </a:graphicData>
                  </a:graphic>
                </wp:inline>
              </w:drawing>
            </w:r>
          </w:p>
        </w:tc>
        <w:tc>
          <w:tcPr>
            <w:tcW w:w="234" w:type="dxa"/>
            <w:vAlign w:val="top"/>
          </w:tcPr>
          <w:p w14:paraId="7D3B55A2">
            <w:pPr>
              <w:rPr>
                <w:rFonts w:ascii="Arial"/>
                <w:sz w:val="21"/>
              </w:rPr>
            </w:pPr>
          </w:p>
        </w:tc>
      </w:tr>
      <w:tr w14:paraId="3C2C1E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893" w:type="dxa"/>
            <w:vMerge w:val="continue"/>
            <w:tcBorders>
              <w:top w:val="nil"/>
            </w:tcBorders>
            <w:vAlign w:val="top"/>
          </w:tcPr>
          <w:p w14:paraId="2C3EAFEE">
            <w:pPr>
              <w:rPr>
                <w:rFonts w:ascii="Arial"/>
                <w:sz w:val="21"/>
              </w:rPr>
            </w:pPr>
          </w:p>
        </w:tc>
        <w:tc>
          <w:tcPr>
            <w:tcW w:w="2324" w:type="dxa"/>
            <w:vAlign w:val="top"/>
          </w:tcPr>
          <w:p w14:paraId="2F7EA4A3">
            <w:pPr>
              <w:pStyle w:val="6"/>
              <w:spacing w:before="54" w:line="210" w:lineRule="auto"/>
              <w:ind w:left="12"/>
              <w:rPr>
                <w:sz w:val="18"/>
                <w:szCs w:val="18"/>
              </w:rPr>
            </w:pPr>
            <w:r>
              <w:rPr>
                <w:spacing w:val="-1"/>
                <w:sz w:val="18"/>
                <w:szCs w:val="18"/>
              </w:rPr>
              <w:t>2.消费税应纳税额的计算</w:t>
            </w:r>
          </w:p>
        </w:tc>
        <w:tc>
          <w:tcPr>
            <w:tcW w:w="229" w:type="dxa"/>
            <w:vAlign w:val="top"/>
          </w:tcPr>
          <w:p w14:paraId="6A7EEC99">
            <w:pPr>
              <w:rPr>
                <w:rFonts w:ascii="Arial"/>
                <w:sz w:val="21"/>
              </w:rPr>
            </w:pPr>
          </w:p>
        </w:tc>
        <w:tc>
          <w:tcPr>
            <w:tcW w:w="230" w:type="dxa"/>
            <w:vAlign w:val="top"/>
          </w:tcPr>
          <w:p w14:paraId="61D88CDF">
            <w:pPr>
              <w:rPr>
                <w:rFonts w:ascii="Arial"/>
                <w:sz w:val="21"/>
              </w:rPr>
            </w:pPr>
          </w:p>
        </w:tc>
        <w:tc>
          <w:tcPr>
            <w:tcW w:w="220" w:type="dxa"/>
            <w:vAlign w:val="top"/>
          </w:tcPr>
          <w:p w14:paraId="467673CF">
            <w:pPr>
              <w:rPr>
                <w:rFonts w:ascii="Arial"/>
                <w:sz w:val="21"/>
              </w:rPr>
            </w:pPr>
          </w:p>
        </w:tc>
        <w:tc>
          <w:tcPr>
            <w:tcW w:w="234" w:type="dxa"/>
            <w:vAlign w:val="top"/>
          </w:tcPr>
          <w:p w14:paraId="0F3FDF03">
            <w:pPr>
              <w:pStyle w:val="6"/>
              <w:spacing w:before="85" w:line="238" w:lineRule="auto"/>
              <w:ind w:left="49"/>
              <w:rPr>
                <w:sz w:val="13"/>
                <w:szCs w:val="13"/>
              </w:rPr>
            </w:pPr>
            <w:r>
              <w:rPr>
                <w:sz w:val="13"/>
                <w:szCs w:val="13"/>
              </w:rPr>
              <w:t>√</w:t>
            </w:r>
          </w:p>
        </w:tc>
      </w:tr>
      <w:tr w14:paraId="10623F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893" w:type="dxa"/>
            <w:vMerge w:val="restart"/>
            <w:tcBorders>
              <w:bottom w:val="nil"/>
            </w:tcBorders>
            <w:vAlign w:val="top"/>
          </w:tcPr>
          <w:p w14:paraId="2632F3F5">
            <w:pPr>
              <w:spacing w:line="385" w:lineRule="auto"/>
              <w:rPr>
                <w:rFonts w:ascii="Arial"/>
                <w:sz w:val="21"/>
              </w:rPr>
            </w:pPr>
          </w:p>
          <w:p w14:paraId="55CECE0F">
            <w:pPr>
              <w:pStyle w:val="6"/>
              <w:spacing w:before="58" w:line="222" w:lineRule="auto"/>
              <w:ind w:left="75" w:right="73"/>
              <w:rPr>
                <w:sz w:val="18"/>
                <w:szCs w:val="18"/>
              </w:rPr>
            </w:pPr>
            <w:r>
              <w:rPr>
                <w:spacing w:val="3"/>
                <w:sz w:val="18"/>
                <w:szCs w:val="18"/>
              </w:rPr>
              <w:t>消费税的</w:t>
            </w:r>
            <w:r>
              <w:rPr>
                <w:spacing w:val="1"/>
                <w:sz w:val="18"/>
                <w:szCs w:val="18"/>
              </w:rPr>
              <w:t xml:space="preserve"> </w:t>
            </w:r>
            <w:r>
              <w:rPr>
                <w:spacing w:val="-2"/>
                <w:sz w:val="18"/>
                <w:szCs w:val="18"/>
              </w:rPr>
              <w:t>纳税申报</w:t>
            </w:r>
          </w:p>
        </w:tc>
        <w:tc>
          <w:tcPr>
            <w:tcW w:w="2324" w:type="dxa"/>
            <w:vAlign w:val="top"/>
          </w:tcPr>
          <w:p w14:paraId="59BA4E68">
            <w:pPr>
              <w:pStyle w:val="6"/>
              <w:spacing w:before="55" w:line="209" w:lineRule="auto"/>
              <w:jc w:val="right"/>
              <w:rPr>
                <w:sz w:val="18"/>
                <w:szCs w:val="18"/>
              </w:rPr>
            </w:pPr>
            <w:r>
              <w:rPr>
                <w:spacing w:val="-3"/>
                <w:sz w:val="18"/>
                <w:szCs w:val="18"/>
              </w:rPr>
              <w:t>1.消费税的纳税义务发生时间</w:t>
            </w:r>
          </w:p>
        </w:tc>
        <w:tc>
          <w:tcPr>
            <w:tcW w:w="229" w:type="dxa"/>
            <w:vAlign w:val="top"/>
          </w:tcPr>
          <w:p w14:paraId="362B8DD6">
            <w:pPr>
              <w:rPr>
                <w:rFonts w:ascii="Arial"/>
                <w:sz w:val="21"/>
              </w:rPr>
            </w:pPr>
          </w:p>
        </w:tc>
        <w:tc>
          <w:tcPr>
            <w:tcW w:w="230" w:type="dxa"/>
            <w:vAlign w:val="top"/>
          </w:tcPr>
          <w:p w14:paraId="1B5F0B17">
            <w:pPr>
              <w:spacing w:before="109" w:line="93" w:lineRule="exact"/>
              <w:ind w:firstLine="54"/>
            </w:pPr>
            <w:r>
              <w:rPr>
                <w:position w:val="-1"/>
              </w:rPr>
              <w:drawing>
                <wp:inline distT="0" distB="0" distL="0" distR="0">
                  <wp:extent cx="71120" cy="58420"/>
                  <wp:effectExtent l="0" t="0" r="0" b="0"/>
                  <wp:docPr id="136" name="IM 136"/>
                  <wp:cNvGraphicFramePr/>
                  <a:graphic xmlns:a="http://schemas.openxmlformats.org/drawingml/2006/main">
                    <a:graphicData uri="http://schemas.openxmlformats.org/drawingml/2006/picture">
                      <pic:pic xmlns:pic="http://schemas.openxmlformats.org/drawingml/2006/picture">
                        <pic:nvPicPr>
                          <pic:cNvPr id="136" name="IM 136"/>
                          <pic:cNvPicPr/>
                        </pic:nvPicPr>
                        <pic:blipFill>
                          <a:blip r:embed="rId233"/>
                          <a:stretch>
                            <a:fillRect/>
                          </a:stretch>
                        </pic:blipFill>
                        <pic:spPr>
                          <a:xfrm>
                            <a:off x="0" y="0"/>
                            <a:ext cx="71430" cy="58959"/>
                          </a:xfrm>
                          <a:prstGeom prst="rect">
                            <a:avLst/>
                          </a:prstGeom>
                        </pic:spPr>
                      </pic:pic>
                    </a:graphicData>
                  </a:graphic>
                </wp:inline>
              </w:drawing>
            </w:r>
          </w:p>
        </w:tc>
        <w:tc>
          <w:tcPr>
            <w:tcW w:w="220" w:type="dxa"/>
            <w:vAlign w:val="top"/>
          </w:tcPr>
          <w:p w14:paraId="0DA5441B">
            <w:pPr>
              <w:rPr>
                <w:rFonts w:ascii="Arial"/>
                <w:sz w:val="21"/>
              </w:rPr>
            </w:pPr>
          </w:p>
        </w:tc>
        <w:tc>
          <w:tcPr>
            <w:tcW w:w="234" w:type="dxa"/>
            <w:vAlign w:val="top"/>
          </w:tcPr>
          <w:p w14:paraId="572756C7">
            <w:pPr>
              <w:rPr>
                <w:rFonts w:ascii="Arial"/>
                <w:sz w:val="21"/>
              </w:rPr>
            </w:pPr>
          </w:p>
        </w:tc>
      </w:tr>
      <w:tr w14:paraId="5C8DC5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893" w:type="dxa"/>
            <w:vMerge w:val="continue"/>
            <w:tcBorders>
              <w:top w:val="nil"/>
              <w:bottom w:val="nil"/>
            </w:tcBorders>
            <w:vAlign w:val="top"/>
          </w:tcPr>
          <w:p w14:paraId="624F898D">
            <w:pPr>
              <w:rPr>
                <w:rFonts w:ascii="Arial"/>
                <w:sz w:val="21"/>
              </w:rPr>
            </w:pPr>
          </w:p>
        </w:tc>
        <w:tc>
          <w:tcPr>
            <w:tcW w:w="2324" w:type="dxa"/>
            <w:vAlign w:val="top"/>
          </w:tcPr>
          <w:p w14:paraId="0C3040F5">
            <w:pPr>
              <w:pStyle w:val="6"/>
              <w:spacing w:before="57" w:line="207" w:lineRule="auto"/>
              <w:ind w:left="12"/>
              <w:rPr>
                <w:sz w:val="18"/>
                <w:szCs w:val="18"/>
              </w:rPr>
            </w:pPr>
            <w:r>
              <w:rPr>
                <w:spacing w:val="-1"/>
                <w:sz w:val="18"/>
                <w:szCs w:val="18"/>
              </w:rPr>
              <w:t>2.消费税的纳税期限</w:t>
            </w:r>
          </w:p>
        </w:tc>
        <w:tc>
          <w:tcPr>
            <w:tcW w:w="229" w:type="dxa"/>
            <w:vAlign w:val="top"/>
          </w:tcPr>
          <w:p w14:paraId="564FC31A">
            <w:pPr>
              <w:rPr>
                <w:rFonts w:ascii="Arial"/>
                <w:sz w:val="21"/>
              </w:rPr>
            </w:pPr>
          </w:p>
        </w:tc>
        <w:tc>
          <w:tcPr>
            <w:tcW w:w="230" w:type="dxa"/>
            <w:vAlign w:val="top"/>
          </w:tcPr>
          <w:p w14:paraId="6727FBE9">
            <w:pPr>
              <w:pStyle w:val="6"/>
              <w:spacing w:before="88" w:line="225" w:lineRule="auto"/>
              <w:ind w:left="39"/>
              <w:rPr>
                <w:sz w:val="14"/>
                <w:szCs w:val="14"/>
              </w:rPr>
            </w:pPr>
            <w:r>
              <w:rPr>
                <w:sz w:val="14"/>
                <w:szCs w:val="14"/>
              </w:rPr>
              <w:t>√</w:t>
            </w:r>
          </w:p>
        </w:tc>
        <w:tc>
          <w:tcPr>
            <w:tcW w:w="220" w:type="dxa"/>
            <w:vAlign w:val="top"/>
          </w:tcPr>
          <w:p w14:paraId="3523E790">
            <w:pPr>
              <w:rPr>
                <w:rFonts w:ascii="Arial"/>
                <w:sz w:val="21"/>
              </w:rPr>
            </w:pPr>
          </w:p>
        </w:tc>
        <w:tc>
          <w:tcPr>
            <w:tcW w:w="234" w:type="dxa"/>
            <w:vAlign w:val="top"/>
          </w:tcPr>
          <w:p w14:paraId="1E0DB4DE">
            <w:pPr>
              <w:rPr>
                <w:rFonts w:ascii="Arial"/>
                <w:sz w:val="21"/>
              </w:rPr>
            </w:pPr>
          </w:p>
        </w:tc>
      </w:tr>
      <w:tr w14:paraId="36AA76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 w:hRule="atLeast"/>
        </w:trPr>
        <w:tc>
          <w:tcPr>
            <w:tcW w:w="893" w:type="dxa"/>
            <w:vMerge w:val="continue"/>
            <w:tcBorders>
              <w:top w:val="nil"/>
              <w:bottom w:val="nil"/>
            </w:tcBorders>
            <w:vAlign w:val="top"/>
          </w:tcPr>
          <w:p w14:paraId="4CC3D0BE">
            <w:pPr>
              <w:rPr>
                <w:rFonts w:ascii="Arial"/>
                <w:sz w:val="21"/>
              </w:rPr>
            </w:pPr>
          </w:p>
        </w:tc>
        <w:tc>
          <w:tcPr>
            <w:tcW w:w="2324" w:type="dxa"/>
            <w:vAlign w:val="top"/>
          </w:tcPr>
          <w:p w14:paraId="67B8503F">
            <w:pPr>
              <w:pStyle w:val="6"/>
              <w:spacing w:before="48" w:line="207" w:lineRule="auto"/>
              <w:ind w:left="12"/>
              <w:rPr>
                <w:sz w:val="18"/>
                <w:szCs w:val="18"/>
              </w:rPr>
            </w:pPr>
            <w:r>
              <w:rPr>
                <w:spacing w:val="1"/>
                <w:sz w:val="18"/>
                <w:szCs w:val="18"/>
              </w:rPr>
              <w:t>3.消费税的纳税地点</w:t>
            </w:r>
          </w:p>
        </w:tc>
        <w:tc>
          <w:tcPr>
            <w:tcW w:w="229" w:type="dxa"/>
            <w:vAlign w:val="top"/>
          </w:tcPr>
          <w:p w14:paraId="660E0D6C">
            <w:pPr>
              <w:rPr>
                <w:rFonts w:ascii="Arial"/>
                <w:sz w:val="21"/>
              </w:rPr>
            </w:pPr>
          </w:p>
        </w:tc>
        <w:tc>
          <w:tcPr>
            <w:tcW w:w="230" w:type="dxa"/>
            <w:vAlign w:val="top"/>
          </w:tcPr>
          <w:p w14:paraId="79AF65AC">
            <w:pPr>
              <w:spacing w:before="76" w:line="135" w:lineRule="exact"/>
              <w:ind w:firstLine="59"/>
            </w:pPr>
            <w:r>
              <w:rPr>
                <w:position w:val="-2"/>
              </w:rPr>
              <w:drawing>
                <wp:inline distT="0" distB="0" distL="0" distR="0">
                  <wp:extent cx="75565" cy="85090"/>
                  <wp:effectExtent l="0" t="0" r="0" b="0"/>
                  <wp:docPr id="138" name="IM 138"/>
                  <wp:cNvGraphicFramePr/>
                  <a:graphic xmlns:a="http://schemas.openxmlformats.org/drawingml/2006/main">
                    <a:graphicData uri="http://schemas.openxmlformats.org/drawingml/2006/picture">
                      <pic:pic xmlns:pic="http://schemas.openxmlformats.org/drawingml/2006/picture">
                        <pic:nvPicPr>
                          <pic:cNvPr id="138" name="IM 138"/>
                          <pic:cNvPicPr/>
                        </pic:nvPicPr>
                        <pic:blipFill>
                          <a:blip r:embed="rId234"/>
                          <a:stretch>
                            <a:fillRect/>
                          </a:stretch>
                        </pic:blipFill>
                        <pic:spPr>
                          <a:xfrm>
                            <a:off x="0" y="0"/>
                            <a:ext cx="76181" cy="85703"/>
                          </a:xfrm>
                          <a:prstGeom prst="rect">
                            <a:avLst/>
                          </a:prstGeom>
                        </pic:spPr>
                      </pic:pic>
                    </a:graphicData>
                  </a:graphic>
                </wp:inline>
              </w:drawing>
            </w:r>
          </w:p>
        </w:tc>
        <w:tc>
          <w:tcPr>
            <w:tcW w:w="220" w:type="dxa"/>
            <w:vAlign w:val="top"/>
          </w:tcPr>
          <w:p w14:paraId="67604359">
            <w:pPr>
              <w:rPr>
                <w:rFonts w:ascii="Arial"/>
                <w:sz w:val="21"/>
              </w:rPr>
            </w:pPr>
          </w:p>
        </w:tc>
        <w:tc>
          <w:tcPr>
            <w:tcW w:w="234" w:type="dxa"/>
            <w:vAlign w:val="top"/>
          </w:tcPr>
          <w:p w14:paraId="77F7A46E">
            <w:pPr>
              <w:rPr>
                <w:rFonts w:ascii="Arial"/>
                <w:sz w:val="21"/>
              </w:rPr>
            </w:pPr>
          </w:p>
        </w:tc>
      </w:tr>
      <w:tr w14:paraId="1B6BBB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7" w:hRule="atLeast"/>
        </w:trPr>
        <w:tc>
          <w:tcPr>
            <w:tcW w:w="893" w:type="dxa"/>
            <w:vMerge w:val="continue"/>
            <w:tcBorders>
              <w:top w:val="nil"/>
            </w:tcBorders>
            <w:vAlign w:val="top"/>
          </w:tcPr>
          <w:p w14:paraId="6502703A">
            <w:pPr>
              <w:rPr>
                <w:rFonts w:ascii="Arial"/>
                <w:sz w:val="21"/>
              </w:rPr>
            </w:pPr>
          </w:p>
        </w:tc>
        <w:tc>
          <w:tcPr>
            <w:tcW w:w="2324" w:type="dxa"/>
            <w:vAlign w:val="top"/>
          </w:tcPr>
          <w:p w14:paraId="07233421">
            <w:pPr>
              <w:pStyle w:val="6"/>
              <w:spacing w:before="46" w:line="195" w:lineRule="auto"/>
              <w:ind w:left="12" w:right="148"/>
              <w:rPr>
                <w:sz w:val="18"/>
                <w:szCs w:val="18"/>
              </w:rPr>
            </w:pPr>
            <w:r>
              <w:rPr>
                <w:spacing w:val="-1"/>
                <w:sz w:val="18"/>
                <w:szCs w:val="18"/>
              </w:rPr>
              <w:t>4.消费税的申报资料和申报</w:t>
            </w:r>
            <w:r>
              <w:rPr>
                <w:spacing w:val="5"/>
                <w:sz w:val="18"/>
                <w:szCs w:val="18"/>
              </w:rPr>
              <w:t xml:space="preserve"> </w:t>
            </w:r>
            <w:r>
              <w:rPr>
                <w:spacing w:val="-2"/>
                <w:sz w:val="18"/>
                <w:szCs w:val="18"/>
              </w:rPr>
              <w:t>流程</w:t>
            </w:r>
          </w:p>
        </w:tc>
        <w:tc>
          <w:tcPr>
            <w:tcW w:w="229" w:type="dxa"/>
            <w:vAlign w:val="top"/>
          </w:tcPr>
          <w:p w14:paraId="227A1D27">
            <w:pPr>
              <w:pStyle w:val="6"/>
              <w:spacing w:before="169" w:line="238" w:lineRule="auto"/>
              <w:ind w:left="38"/>
              <w:rPr>
                <w:sz w:val="14"/>
                <w:szCs w:val="14"/>
              </w:rPr>
            </w:pPr>
            <w:r>
              <w:rPr>
                <w:sz w:val="14"/>
                <w:szCs w:val="14"/>
              </w:rPr>
              <w:t>√</w:t>
            </w:r>
          </w:p>
        </w:tc>
        <w:tc>
          <w:tcPr>
            <w:tcW w:w="230" w:type="dxa"/>
            <w:vAlign w:val="top"/>
          </w:tcPr>
          <w:p w14:paraId="4610C60D">
            <w:pPr>
              <w:rPr>
                <w:rFonts w:ascii="Arial"/>
                <w:sz w:val="21"/>
              </w:rPr>
            </w:pPr>
          </w:p>
        </w:tc>
        <w:tc>
          <w:tcPr>
            <w:tcW w:w="220" w:type="dxa"/>
            <w:vAlign w:val="top"/>
          </w:tcPr>
          <w:p w14:paraId="5005241F">
            <w:pPr>
              <w:rPr>
                <w:rFonts w:ascii="Arial"/>
                <w:sz w:val="21"/>
              </w:rPr>
            </w:pPr>
          </w:p>
        </w:tc>
        <w:tc>
          <w:tcPr>
            <w:tcW w:w="234" w:type="dxa"/>
            <w:vAlign w:val="top"/>
          </w:tcPr>
          <w:p w14:paraId="71A0013E">
            <w:pPr>
              <w:rPr>
                <w:rFonts w:ascii="Arial"/>
                <w:sz w:val="21"/>
              </w:rPr>
            </w:pPr>
          </w:p>
        </w:tc>
      </w:tr>
    </w:tbl>
    <w:p w14:paraId="6A456EFF">
      <w:pPr>
        <w:pStyle w:val="2"/>
        <w:spacing w:line="17" w:lineRule="exact"/>
        <w:rPr>
          <w:sz w:val="2"/>
        </w:rPr>
      </w:pPr>
    </w:p>
    <w:p w14:paraId="3E7F1AE1">
      <w:pPr>
        <w:pStyle w:val="2"/>
        <w:spacing w:line="14" w:lineRule="auto"/>
        <w:rPr>
          <w:sz w:val="2"/>
        </w:rPr>
      </w:pPr>
      <w:r>
        <w:rPr>
          <w:sz w:val="2"/>
          <w:szCs w:val="2"/>
        </w:rPr>
        <w:br w:type="column"/>
      </w:r>
    </w:p>
    <w:p w14:paraId="0C809BB9">
      <w:pPr>
        <w:spacing w:line="219" w:lineRule="auto"/>
        <w:ind w:left="1637"/>
        <w:rPr>
          <w:rFonts w:ascii="黑体" w:hAnsi="黑体" w:eastAsia="黑体" w:cs="黑体"/>
          <w:sz w:val="20"/>
          <w:szCs w:val="20"/>
        </w:rPr>
      </w:pPr>
      <w:r>
        <w:rPr>
          <w:rFonts w:ascii="黑体" w:hAnsi="黑体" w:eastAsia="黑体" w:cs="黑体"/>
          <w:b/>
          <w:bCs/>
          <w:spacing w:val="24"/>
          <w:sz w:val="20"/>
          <w:szCs w:val="20"/>
        </w:rPr>
        <w:t>(四)关税</w:t>
      </w:r>
    </w:p>
    <w:p w14:paraId="5D62218E">
      <w:pPr>
        <w:spacing w:line="91" w:lineRule="exact"/>
      </w:pPr>
    </w:p>
    <w:tbl>
      <w:tblPr>
        <w:tblStyle w:val="5"/>
        <w:tblW w:w="413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34"/>
        <w:gridCol w:w="219"/>
        <w:gridCol w:w="230"/>
        <w:gridCol w:w="230"/>
        <w:gridCol w:w="224"/>
      </w:tblGrid>
      <w:tr w14:paraId="58E91A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4" w:hRule="atLeast"/>
        </w:trPr>
        <w:tc>
          <w:tcPr>
            <w:tcW w:w="893" w:type="dxa"/>
            <w:vMerge w:val="restart"/>
            <w:tcBorders>
              <w:bottom w:val="nil"/>
            </w:tcBorders>
            <w:vAlign w:val="top"/>
          </w:tcPr>
          <w:p w14:paraId="20463DC3">
            <w:pPr>
              <w:pStyle w:val="6"/>
              <w:spacing w:before="132" w:line="229" w:lineRule="auto"/>
              <w:ind w:left="97" w:right="112" w:firstLine="89"/>
            </w:pPr>
            <w:r>
              <w:rPr>
                <w:b/>
                <w:bCs/>
                <w:spacing w:val="-6"/>
              </w:rPr>
              <w:t>知识与</w:t>
            </w:r>
            <w:r>
              <w:t xml:space="preserve">  </w:t>
            </w:r>
            <w:r>
              <w:rPr>
                <w:b/>
                <w:bCs/>
                <w:spacing w:val="-4"/>
              </w:rPr>
              <w:t>技能要点</w:t>
            </w:r>
          </w:p>
        </w:tc>
        <w:tc>
          <w:tcPr>
            <w:tcW w:w="2334" w:type="dxa"/>
            <w:vMerge w:val="restart"/>
            <w:tcBorders>
              <w:bottom w:val="nil"/>
            </w:tcBorders>
            <w:vAlign w:val="top"/>
          </w:tcPr>
          <w:p w14:paraId="5C0EAC36">
            <w:pPr>
              <w:pStyle w:val="6"/>
              <w:spacing w:before="249" w:line="219" w:lineRule="auto"/>
              <w:ind w:left="844"/>
            </w:pPr>
            <w:r>
              <w:rPr>
                <w:b/>
                <w:bCs/>
                <w:spacing w:val="5"/>
              </w:rPr>
              <w:t>考试条目</w:t>
            </w:r>
          </w:p>
        </w:tc>
        <w:tc>
          <w:tcPr>
            <w:tcW w:w="903" w:type="dxa"/>
            <w:gridSpan w:val="4"/>
            <w:vAlign w:val="top"/>
          </w:tcPr>
          <w:p w14:paraId="25DAFB02">
            <w:pPr>
              <w:pStyle w:val="6"/>
              <w:spacing w:before="79" w:line="219" w:lineRule="auto"/>
              <w:ind w:left="130"/>
            </w:pPr>
            <w:r>
              <w:rPr>
                <w:b/>
                <w:bCs/>
                <w:spacing w:val="-4"/>
              </w:rPr>
              <w:t>考试水平</w:t>
            </w:r>
          </w:p>
        </w:tc>
      </w:tr>
      <w:tr w14:paraId="6904A2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893" w:type="dxa"/>
            <w:vMerge w:val="continue"/>
            <w:tcBorders>
              <w:top w:val="nil"/>
            </w:tcBorders>
            <w:vAlign w:val="top"/>
          </w:tcPr>
          <w:p w14:paraId="2189F651">
            <w:pPr>
              <w:rPr>
                <w:rFonts w:ascii="Arial"/>
                <w:sz w:val="21"/>
              </w:rPr>
            </w:pPr>
          </w:p>
        </w:tc>
        <w:tc>
          <w:tcPr>
            <w:tcW w:w="2334" w:type="dxa"/>
            <w:vMerge w:val="continue"/>
            <w:tcBorders>
              <w:top w:val="nil"/>
            </w:tcBorders>
            <w:vAlign w:val="top"/>
          </w:tcPr>
          <w:p w14:paraId="1F85360F">
            <w:pPr>
              <w:rPr>
                <w:rFonts w:ascii="Arial"/>
                <w:sz w:val="21"/>
              </w:rPr>
            </w:pPr>
          </w:p>
        </w:tc>
        <w:tc>
          <w:tcPr>
            <w:tcW w:w="219" w:type="dxa"/>
            <w:vAlign w:val="top"/>
          </w:tcPr>
          <w:p w14:paraId="43B687FC">
            <w:pPr>
              <w:pStyle w:val="6"/>
              <w:spacing w:before="120" w:line="184" w:lineRule="auto"/>
              <w:ind w:left="60"/>
            </w:pPr>
            <w:r>
              <w:rPr>
                <w:b/>
                <w:bCs/>
                <w:spacing w:val="-2"/>
              </w:rPr>
              <w:t>A</w:t>
            </w:r>
          </w:p>
        </w:tc>
        <w:tc>
          <w:tcPr>
            <w:tcW w:w="230" w:type="dxa"/>
            <w:vAlign w:val="top"/>
          </w:tcPr>
          <w:p w14:paraId="6DEB59DD">
            <w:pPr>
              <w:pStyle w:val="6"/>
              <w:spacing w:before="122" w:line="182" w:lineRule="auto"/>
              <w:ind w:left="71"/>
            </w:pPr>
            <w:r>
              <w:rPr>
                <w:b/>
                <w:bCs/>
                <w:spacing w:val="-2"/>
              </w:rPr>
              <w:t>B</w:t>
            </w:r>
          </w:p>
        </w:tc>
        <w:tc>
          <w:tcPr>
            <w:tcW w:w="230" w:type="dxa"/>
            <w:vAlign w:val="top"/>
          </w:tcPr>
          <w:p w14:paraId="5216493C">
            <w:pPr>
              <w:pStyle w:val="6"/>
              <w:spacing w:before="120" w:line="183" w:lineRule="auto"/>
              <w:ind w:left="71"/>
            </w:pPr>
            <w:r>
              <w:rPr>
                <w:b/>
                <w:bCs/>
                <w:spacing w:val="-2"/>
              </w:rPr>
              <w:t>C</w:t>
            </w:r>
          </w:p>
        </w:tc>
        <w:tc>
          <w:tcPr>
            <w:tcW w:w="224" w:type="dxa"/>
            <w:vAlign w:val="top"/>
          </w:tcPr>
          <w:p w14:paraId="2C24AA0B">
            <w:pPr>
              <w:pStyle w:val="6"/>
              <w:spacing w:before="122" w:line="182" w:lineRule="auto"/>
              <w:ind w:left="21"/>
            </w:pPr>
            <w:r>
              <w:rPr>
                <w:b/>
                <w:bCs/>
                <w:spacing w:val="-2"/>
              </w:rPr>
              <w:t>D</w:t>
            </w:r>
          </w:p>
        </w:tc>
      </w:tr>
      <w:tr w14:paraId="2C3964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893" w:type="dxa"/>
            <w:vMerge w:val="restart"/>
            <w:tcBorders>
              <w:bottom w:val="nil"/>
            </w:tcBorders>
            <w:vAlign w:val="top"/>
          </w:tcPr>
          <w:p w14:paraId="33A205CD">
            <w:pPr>
              <w:spacing w:line="282" w:lineRule="auto"/>
              <w:rPr>
                <w:rFonts w:ascii="Arial"/>
                <w:sz w:val="21"/>
              </w:rPr>
            </w:pPr>
          </w:p>
          <w:p w14:paraId="7A5C2632">
            <w:pPr>
              <w:pStyle w:val="6"/>
              <w:spacing w:before="55" w:line="220" w:lineRule="auto"/>
              <w:ind w:left="95"/>
            </w:pPr>
            <w:r>
              <w:rPr>
                <w:spacing w:val="-2"/>
              </w:rPr>
              <w:t>关税的基</w:t>
            </w:r>
          </w:p>
          <w:p w14:paraId="24AA3AA1">
            <w:pPr>
              <w:pStyle w:val="6"/>
              <w:spacing w:before="55" w:line="219" w:lineRule="auto"/>
              <w:ind w:left="185"/>
            </w:pPr>
            <w:r>
              <w:rPr>
                <w:spacing w:val="-2"/>
              </w:rPr>
              <w:t>本内容</w:t>
            </w:r>
          </w:p>
        </w:tc>
        <w:tc>
          <w:tcPr>
            <w:tcW w:w="2334" w:type="dxa"/>
            <w:vAlign w:val="top"/>
          </w:tcPr>
          <w:p w14:paraId="11967AF7">
            <w:pPr>
              <w:pStyle w:val="6"/>
              <w:spacing w:before="49" w:line="219" w:lineRule="auto"/>
              <w:ind w:left="12"/>
            </w:pPr>
            <w:r>
              <w:t>1.关税的概念、特征与种类</w:t>
            </w:r>
          </w:p>
        </w:tc>
        <w:tc>
          <w:tcPr>
            <w:tcW w:w="219" w:type="dxa"/>
            <w:vAlign w:val="top"/>
          </w:tcPr>
          <w:p w14:paraId="201E19D5">
            <w:pPr>
              <w:pStyle w:val="6"/>
              <w:spacing w:before="89" w:line="238" w:lineRule="auto"/>
              <w:ind w:left="48"/>
              <w:rPr>
                <w:sz w:val="12"/>
                <w:szCs w:val="12"/>
              </w:rPr>
            </w:pPr>
            <w:r>
              <w:rPr>
                <w:sz w:val="12"/>
                <w:szCs w:val="12"/>
              </w:rPr>
              <w:t>√</w:t>
            </w:r>
          </w:p>
        </w:tc>
        <w:tc>
          <w:tcPr>
            <w:tcW w:w="230" w:type="dxa"/>
            <w:vAlign w:val="top"/>
          </w:tcPr>
          <w:p w14:paraId="03F0DE73">
            <w:pPr>
              <w:rPr>
                <w:rFonts w:ascii="Arial"/>
                <w:sz w:val="21"/>
              </w:rPr>
            </w:pPr>
          </w:p>
        </w:tc>
        <w:tc>
          <w:tcPr>
            <w:tcW w:w="230" w:type="dxa"/>
            <w:vAlign w:val="top"/>
          </w:tcPr>
          <w:p w14:paraId="03FFBAD9">
            <w:pPr>
              <w:rPr>
                <w:rFonts w:ascii="Arial"/>
                <w:sz w:val="21"/>
              </w:rPr>
            </w:pPr>
          </w:p>
        </w:tc>
        <w:tc>
          <w:tcPr>
            <w:tcW w:w="224" w:type="dxa"/>
            <w:vAlign w:val="top"/>
          </w:tcPr>
          <w:p w14:paraId="53285AB5">
            <w:pPr>
              <w:rPr>
                <w:rFonts w:ascii="Arial"/>
                <w:sz w:val="21"/>
              </w:rPr>
            </w:pPr>
          </w:p>
        </w:tc>
      </w:tr>
      <w:tr w14:paraId="7524FC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 w:hRule="atLeast"/>
        </w:trPr>
        <w:tc>
          <w:tcPr>
            <w:tcW w:w="893" w:type="dxa"/>
            <w:vMerge w:val="continue"/>
            <w:tcBorders>
              <w:top w:val="nil"/>
              <w:bottom w:val="nil"/>
            </w:tcBorders>
            <w:vAlign w:val="top"/>
          </w:tcPr>
          <w:p w14:paraId="180BDAE8">
            <w:pPr>
              <w:rPr>
                <w:rFonts w:ascii="Arial"/>
                <w:sz w:val="21"/>
              </w:rPr>
            </w:pPr>
          </w:p>
        </w:tc>
        <w:tc>
          <w:tcPr>
            <w:tcW w:w="2334" w:type="dxa"/>
            <w:vAlign w:val="top"/>
          </w:tcPr>
          <w:p w14:paraId="348F899F">
            <w:pPr>
              <w:pStyle w:val="6"/>
              <w:spacing w:before="50" w:line="217" w:lineRule="auto"/>
              <w:ind w:left="12"/>
            </w:pPr>
            <w:r>
              <w:rPr>
                <w:spacing w:val="-1"/>
              </w:rPr>
              <w:t>2.关税的征税对象及纳税人</w:t>
            </w:r>
          </w:p>
        </w:tc>
        <w:tc>
          <w:tcPr>
            <w:tcW w:w="219" w:type="dxa"/>
            <w:vAlign w:val="top"/>
          </w:tcPr>
          <w:p w14:paraId="088652FD">
            <w:pPr>
              <w:rPr>
                <w:rFonts w:ascii="Arial"/>
                <w:sz w:val="21"/>
              </w:rPr>
            </w:pPr>
          </w:p>
        </w:tc>
        <w:tc>
          <w:tcPr>
            <w:tcW w:w="230" w:type="dxa"/>
            <w:vAlign w:val="top"/>
          </w:tcPr>
          <w:p w14:paraId="7F1FAEF1">
            <w:pPr>
              <w:pStyle w:val="6"/>
              <w:spacing w:before="80" w:line="238" w:lineRule="auto"/>
              <w:ind w:left="48"/>
              <w:rPr>
                <w:sz w:val="12"/>
                <w:szCs w:val="12"/>
              </w:rPr>
            </w:pPr>
            <w:r>
              <w:rPr>
                <w:sz w:val="12"/>
                <w:szCs w:val="12"/>
              </w:rPr>
              <w:t>√</w:t>
            </w:r>
          </w:p>
        </w:tc>
        <w:tc>
          <w:tcPr>
            <w:tcW w:w="230" w:type="dxa"/>
            <w:vAlign w:val="top"/>
          </w:tcPr>
          <w:p w14:paraId="54C12E6F">
            <w:pPr>
              <w:rPr>
                <w:rFonts w:ascii="Arial"/>
                <w:sz w:val="21"/>
              </w:rPr>
            </w:pPr>
          </w:p>
        </w:tc>
        <w:tc>
          <w:tcPr>
            <w:tcW w:w="224" w:type="dxa"/>
            <w:vAlign w:val="top"/>
          </w:tcPr>
          <w:p w14:paraId="58028013">
            <w:pPr>
              <w:rPr>
                <w:rFonts w:ascii="Arial"/>
                <w:sz w:val="21"/>
              </w:rPr>
            </w:pPr>
          </w:p>
        </w:tc>
      </w:tr>
      <w:tr w14:paraId="1BA76B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continue"/>
            <w:tcBorders>
              <w:top w:val="nil"/>
              <w:bottom w:val="nil"/>
            </w:tcBorders>
            <w:vAlign w:val="top"/>
          </w:tcPr>
          <w:p w14:paraId="6A3671E6">
            <w:pPr>
              <w:rPr>
                <w:rFonts w:ascii="Arial"/>
                <w:sz w:val="21"/>
              </w:rPr>
            </w:pPr>
          </w:p>
        </w:tc>
        <w:tc>
          <w:tcPr>
            <w:tcW w:w="2334" w:type="dxa"/>
            <w:vAlign w:val="top"/>
          </w:tcPr>
          <w:p w14:paraId="7B1656E1">
            <w:pPr>
              <w:pStyle w:val="6"/>
              <w:spacing w:before="50" w:line="216" w:lineRule="auto"/>
              <w:ind w:left="12"/>
            </w:pPr>
            <w:r>
              <w:rPr>
                <w:spacing w:val="-1"/>
              </w:rPr>
              <w:t>3.关税的税目及税率</w:t>
            </w:r>
          </w:p>
        </w:tc>
        <w:tc>
          <w:tcPr>
            <w:tcW w:w="219" w:type="dxa"/>
            <w:vAlign w:val="top"/>
          </w:tcPr>
          <w:p w14:paraId="0EE21077">
            <w:pPr>
              <w:rPr>
                <w:rFonts w:ascii="Arial"/>
                <w:sz w:val="21"/>
              </w:rPr>
            </w:pPr>
          </w:p>
        </w:tc>
        <w:tc>
          <w:tcPr>
            <w:tcW w:w="230" w:type="dxa"/>
            <w:vAlign w:val="top"/>
          </w:tcPr>
          <w:p w14:paraId="6D08C909">
            <w:pPr>
              <w:rPr>
                <w:rFonts w:ascii="Arial"/>
                <w:sz w:val="21"/>
              </w:rPr>
            </w:pPr>
          </w:p>
        </w:tc>
        <w:tc>
          <w:tcPr>
            <w:tcW w:w="230" w:type="dxa"/>
            <w:vAlign w:val="top"/>
          </w:tcPr>
          <w:p w14:paraId="102D3450">
            <w:pPr>
              <w:pStyle w:val="6"/>
              <w:spacing w:before="80" w:line="238" w:lineRule="auto"/>
              <w:ind w:left="19"/>
              <w:rPr>
                <w:sz w:val="12"/>
                <w:szCs w:val="12"/>
              </w:rPr>
            </w:pPr>
            <w:r>
              <w:rPr>
                <w:sz w:val="12"/>
                <w:szCs w:val="12"/>
              </w:rPr>
              <w:t>√</w:t>
            </w:r>
          </w:p>
        </w:tc>
        <w:tc>
          <w:tcPr>
            <w:tcW w:w="224" w:type="dxa"/>
            <w:vAlign w:val="top"/>
          </w:tcPr>
          <w:p w14:paraId="62CFF3B0">
            <w:pPr>
              <w:rPr>
                <w:rFonts w:ascii="Arial"/>
                <w:sz w:val="21"/>
              </w:rPr>
            </w:pPr>
          </w:p>
        </w:tc>
      </w:tr>
      <w:tr w14:paraId="4E0F69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continue"/>
            <w:tcBorders>
              <w:top w:val="nil"/>
            </w:tcBorders>
            <w:vAlign w:val="top"/>
          </w:tcPr>
          <w:p w14:paraId="7D249424">
            <w:pPr>
              <w:rPr>
                <w:rFonts w:ascii="Arial"/>
                <w:sz w:val="21"/>
              </w:rPr>
            </w:pPr>
          </w:p>
        </w:tc>
        <w:tc>
          <w:tcPr>
            <w:tcW w:w="2334" w:type="dxa"/>
            <w:vAlign w:val="top"/>
          </w:tcPr>
          <w:p w14:paraId="4E6F5DA9">
            <w:pPr>
              <w:pStyle w:val="6"/>
              <w:spacing w:before="51" w:line="214" w:lineRule="auto"/>
              <w:ind w:left="12"/>
            </w:pPr>
            <w:r>
              <w:rPr>
                <w:spacing w:val="-1"/>
              </w:rPr>
              <w:t>4.关税的减免税</w:t>
            </w:r>
          </w:p>
        </w:tc>
        <w:tc>
          <w:tcPr>
            <w:tcW w:w="219" w:type="dxa"/>
            <w:vAlign w:val="top"/>
          </w:tcPr>
          <w:p w14:paraId="47D778A4">
            <w:pPr>
              <w:rPr>
                <w:rFonts w:ascii="Arial"/>
                <w:sz w:val="21"/>
              </w:rPr>
            </w:pPr>
          </w:p>
        </w:tc>
        <w:tc>
          <w:tcPr>
            <w:tcW w:w="230" w:type="dxa"/>
            <w:vAlign w:val="top"/>
          </w:tcPr>
          <w:p w14:paraId="5EDD4BB9">
            <w:pPr>
              <w:rPr>
                <w:rFonts w:ascii="Arial"/>
                <w:sz w:val="21"/>
              </w:rPr>
            </w:pPr>
          </w:p>
        </w:tc>
        <w:tc>
          <w:tcPr>
            <w:tcW w:w="230" w:type="dxa"/>
            <w:vAlign w:val="top"/>
          </w:tcPr>
          <w:p w14:paraId="295E8B82">
            <w:pPr>
              <w:pStyle w:val="6"/>
              <w:spacing w:before="96" w:line="166" w:lineRule="auto"/>
              <w:ind w:left="69"/>
            </w:pPr>
            <w:r>
              <w:t>V</w:t>
            </w:r>
          </w:p>
        </w:tc>
        <w:tc>
          <w:tcPr>
            <w:tcW w:w="224" w:type="dxa"/>
            <w:vAlign w:val="top"/>
          </w:tcPr>
          <w:p w14:paraId="1A0A510E">
            <w:pPr>
              <w:rPr>
                <w:rFonts w:ascii="Arial"/>
                <w:sz w:val="21"/>
              </w:rPr>
            </w:pPr>
          </w:p>
        </w:tc>
      </w:tr>
      <w:tr w14:paraId="329497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restart"/>
            <w:tcBorders>
              <w:bottom w:val="nil"/>
            </w:tcBorders>
            <w:vAlign w:val="top"/>
          </w:tcPr>
          <w:p w14:paraId="571CF1F3">
            <w:pPr>
              <w:pStyle w:val="6"/>
              <w:spacing w:before="92" w:line="218" w:lineRule="auto"/>
              <w:ind w:left="264" w:right="174" w:hanging="79"/>
            </w:pPr>
            <w:r>
              <w:rPr>
                <w:spacing w:val="4"/>
              </w:rPr>
              <w:t>关税的</w:t>
            </w:r>
            <w:r>
              <w:t xml:space="preserve"> </w:t>
            </w:r>
            <w:r>
              <w:rPr>
                <w:spacing w:val="-2"/>
              </w:rPr>
              <w:t>计算</w:t>
            </w:r>
          </w:p>
        </w:tc>
        <w:tc>
          <w:tcPr>
            <w:tcW w:w="2334" w:type="dxa"/>
            <w:vAlign w:val="top"/>
          </w:tcPr>
          <w:p w14:paraId="167B8C0D">
            <w:pPr>
              <w:pStyle w:val="6"/>
              <w:spacing w:before="51" w:line="215" w:lineRule="auto"/>
              <w:ind w:left="12"/>
            </w:pPr>
            <w:r>
              <w:rPr>
                <w:spacing w:val="1"/>
              </w:rPr>
              <w:t>1.关税完税价格的确定</w:t>
            </w:r>
          </w:p>
        </w:tc>
        <w:tc>
          <w:tcPr>
            <w:tcW w:w="219" w:type="dxa"/>
            <w:vAlign w:val="top"/>
          </w:tcPr>
          <w:p w14:paraId="1A5EA11F">
            <w:pPr>
              <w:rPr>
                <w:rFonts w:ascii="Arial"/>
                <w:sz w:val="21"/>
              </w:rPr>
            </w:pPr>
          </w:p>
        </w:tc>
        <w:tc>
          <w:tcPr>
            <w:tcW w:w="230" w:type="dxa"/>
            <w:vAlign w:val="top"/>
          </w:tcPr>
          <w:p w14:paraId="767AB211">
            <w:pPr>
              <w:rPr>
                <w:rFonts w:ascii="Arial"/>
                <w:sz w:val="21"/>
              </w:rPr>
            </w:pPr>
          </w:p>
        </w:tc>
        <w:tc>
          <w:tcPr>
            <w:tcW w:w="230" w:type="dxa"/>
            <w:vAlign w:val="top"/>
          </w:tcPr>
          <w:p w14:paraId="43AE7B65">
            <w:pPr>
              <w:rPr>
                <w:rFonts w:ascii="Arial"/>
                <w:sz w:val="21"/>
              </w:rPr>
            </w:pPr>
          </w:p>
        </w:tc>
        <w:tc>
          <w:tcPr>
            <w:tcW w:w="224" w:type="dxa"/>
            <w:vAlign w:val="top"/>
          </w:tcPr>
          <w:p w14:paraId="73DAA57C">
            <w:pPr>
              <w:pStyle w:val="6"/>
              <w:spacing w:before="97" w:line="165" w:lineRule="auto"/>
              <w:ind w:left="19"/>
            </w:pPr>
            <w:r>
              <w:t>V</w:t>
            </w:r>
          </w:p>
        </w:tc>
      </w:tr>
      <w:tr w14:paraId="662475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893" w:type="dxa"/>
            <w:vMerge w:val="continue"/>
            <w:tcBorders>
              <w:top w:val="nil"/>
            </w:tcBorders>
            <w:vAlign w:val="top"/>
          </w:tcPr>
          <w:p w14:paraId="52E3A5F4">
            <w:pPr>
              <w:rPr>
                <w:rFonts w:ascii="Arial"/>
                <w:sz w:val="21"/>
              </w:rPr>
            </w:pPr>
          </w:p>
        </w:tc>
        <w:tc>
          <w:tcPr>
            <w:tcW w:w="2334" w:type="dxa"/>
            <w:vAlign w:val="top"/>
          </w:tcPr>
          <w:p w14:paraId="4736291D">
            <w:pPr>
              <w:pStyle w:val="6"/>
              <w:spacing w:before="53" w:line="219" w:lineRule="auto"/>
              <w:ind w:left="12"/>
            </w:pPr>
            <w:r>
              <w:rPr>
                <w:spacing w:val="-1"/>
              </w:rPr>
              <w:t>2.关税应纳税额的计算</w:t>
            </w:r>
          </w:p>
        </w:tc>
        <w:tc>
          <w:tcPr>
            <w:tcW w:w="219" w:type="dxa"/>
            <w:vAlign w:val="top"/>
          </w:tcPr>
          <w:p w14:paraId="573ACE91">
            <w:pPr>
              <w:rPr>
                <w:rFonts w:ascii="Arial"/>
                <w:sz w:val="21"/>
              </w:rPr>
            </w:pPr>
          </w:p>
        </w:tc>
        <w:tc>
          <w:tcPr>
            <w:tcW w:w="230" w:type="dxa"/>
            <w:vAlign w:val="top"/>
          </w:tcPr>
          <w:p w14:paraId="13299FD5">
            <w:pPr>
              <w:rPr>
                <w:rFonts w:ascii="Arial"/>
                <w:sz w:val="21"/>
              </w:rPr>
            </w:pPr>
          </w:p>
        </w:tc>
        <w:tc>
          <w:tcPr>
            <w:tcW w:w="230" w:type="dxa"/>
            <w:vAlign w:val="top"/>
          </w:tcPr>
          <w:p w14:paraId="18D7F5D9">
            <w:pPr>
              <w:rPr>
                <w:rFonts w:ascii="Arial"/>
                <w:sz w:val="21"/>
              </w:rPr>
            </w:pPr>
          </w:p>
        </w:tc>
        <w:tc>
          <w:tcPr>
            <w:tcW w:w="224" w:type="dxa"/>
            <w:vAlign w:val="top"/>
          </w:tcPr>
          <w:p w14:paraId="23DA8656">
            <w:pPr>
              <w:pStyle w:val="6"/>
              <w:spacing w:before="97" w:line="175" w:lineRule="auto"/>
              <w:ind w:left="19"/>
            </w:pPr>
            <w:r>
              <w:t>V</w:t>
            </w:r>
          </w:p>
        </w:tc>
      </w:tr>
      <w:tr w14:paraId="672F8F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restart"/>
            <w:tcBorders>
              <w:bottom w:val="nil"/>
            </w:tcBorders>
            <w:vAlign w:val="top"/>
          </w:tcPr>
          <w:p w14:paraId="5B9EDF30">
            <w:pPr>
              <w:spacing w:line="426" w:lineRule="auto"/>
              <w:rPr>
                <w:rFonts w:ascii="Arial"/>
                <w:sz w:val="21"/>
              </w:rPr>
            </w:pPr>
          </w:p>
          <w:p w14:paraId="7972E69C">
            <w:pPr>
              <w:pStyle w:val="6"/>
              <w:spacing w:before="55" w:line="220" w:lineRule="auto"/>
              <w:ind w:left="95"/>
            </w:pPr>
            <w:r>
              <w:rPr>
                <w:spacing w:val="2"/>
              </w:rPr>
              <w:t>关税的纳</w:t>
            </w:r>
          </w:p>
          <w:p w14:paraId="0A04CF09">
            <w:pPr>
              <w:pStyle w:val="6"/>
              <w:spacing w:before="17" w:line="219" w:lineRule="auto"/>
              <w:ind w:left="185"/>
            </w:pPr>
            <w:r>
              <w:rPr>
                <w:spacing w:val="-2"/>
              </w:rPr>
              <w:t>税申报</w:t>
            </w:r>
          </w:p>
        </w:tc>
        <w:tc>
          <w:tcPr>
            <w:tcW w:w="2334" w:type="dxa"/>
            <w:vAlign w:val="top"/>
          </w:tcPr>
          <w:p w14:paraId="7654DC5B">
            <w:pPr>
              <w:pStyle w:val="6"/>
              <w:spacing w:before="53" w:line="212" w:lineRule="auto"/>
              <w:ind w:left="12"/>
            </w:pPr>
            <w:r>
              <w:t>1.关税纳税申报的流程和资料</w:t>
            </w:r>
          </w:p>
        </w:tc>
        <w:tc>
          <w:tcPr>
            <w:tcW w:w="219" w:type="dxa"/>
            <w:vAlign w:val="top"/>
          </w:tcPr>
          <w:p w14:paraId="574619CF">
            <w:pPr>
              <w:pStyle w:val="6"/>
              <w:spacing w:before="84" w:line="238" w:lineRule="auto"/>
              <w:ind w:left="48"/>
              <w:rPr>
                <w:sz w:val="12"/>
                <w:szCs w:val="12"/>
              </w:rPr>
            </w:pPr>
            <w:r>
              <w:rPr>
                <w:sz w:val="12"/>
                <w:szCs w:val="12"/>
              </w:rPr>
              <w:t>√</w:t>
            </w:r>
          </w:p>
        </w:tc>
        <w:tc>
          <w:tcPr>
            <w:tcW w:w="230" w:type="dxa"/>
            <w:vAlign w:val="top"/>
          </w:tcPr>
          <w:p w14:paraId="52B368BD">
            <w:pPr>
              <w:rPr>
                <w:rFonts w:ascii="Arial"/>
                <w:sz w:val="21"/>
              </w:rPr>
            </w:pPr>
          </w:p>
        </w:tc>
        <w:tc>
          <w:tcPr>
            <w:tcW w:w="230" w:type="dxa"/>
            <w:vAlign w:val="top"/>
          </w:tcPr>
          <w:p w14:paraId="0AFD172F">
            <w:pPr>
              <w:rPr>
                <w:rFonts w:ascii="Arial"/>
                <w:sz w:val="21"/>
              </w:rPr>
            </w:pPr>
          </w:p>
        </w:tc>
        <w:tc>
          <w:tcPr>
            <w:tcW w:w="224" w:type="dxa"/>
            <w:vAlign w:val="top"/>
          </w:tcPr>
          <w:p w14:paraId="3E0D1D30">
            <w:pPr>
              <w:rPr>
                <w:rFonts w:ascii="Arial"/>
                <w:sz w:val="21"/>
              </w:rPr>
            </w:pPr>
          </w:p>
        </w:tc>
      </w:tr>
      <w:tr w14:paraId="29DA7C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 w:hRule="atLeast"/>
        </w:trPr>
        <w:tc>
          <w:tcPr>
            <w:tcW w:w="893" w:type="dxa"/>
            <w:vMerge w:val="continue"/>
            <w:tcBorders>
              <w:top w:val="nil"/>
              <w:bottom w:val="nil"/>
            </w:tcBorders>
            <w:vAlign w:val="top"/>
          </w:tcPr>
          <w:p w14:paraId="1A106521">
            <w:pPr>
              <w:rPr>
                <w:rFonts w:ascii="Arial"/>
                <w:sz w:val="21"/>
              </w:rPr>
            </w:pPr>
          </w:p>
        </w:tc>
        <w:tc>
          <w:tcPr>
            <w:tcW w:w="2334" w:type="dxa"/>
            <w:vAlign w:val="top"/>
          </w:tcPr>
          <w:p w14:paraId="074018B5">
            <w:pPr>
              <w:pStyle w:val="6"/>
              <w:spacing w:before="54" w:line="212" w:lineRule="auto"/>
              <w:ind w:left="12"/>
            </w:pPr>
            <w:r>
              <w:rPr>
                <w:spacing w:val="1"/>
              </w:rPr>
              <w:t>2.关税的纳税期限与申报地点</w:t>
            </w:r>
          </w:p>
        </w:tc>
        <w:tc>
          <w:tcPr>
            <w:tcW w:w="219" w:type="dxa"/>
            <w:vAlign w:val="top"/>
          </w:tcPr>
          <w:p w14:paraId="09344007">
            <w:pPr>
              <w:rPr>
                <w:rFonts w:ascii="Arial"/>
                <w:sz w:val="21"/>
              </w:rPr>
            </w:pPr>
          </w:p>
        </w:tc>
        <w:tc>
          <w:tcPr>
            <w:tcW w:w="230" w:type="dxa"/>
            <w:vAlign w:val="top"/>
          </w:tcPr>
          <w:p w14:paraId="247FB0C2">
            <w:pPr>
              <w:pStyle w:val="6"/>
              <w:spacing w:before="85" w:line="238" w:lineRule="auto"/>
              <w:ind w:left="19"/>
              <w:rPr>
                <w:sz w:val="12"/>
                <w:szCs w:val="12"/>
              </w:rPr>
            </w:pPr>
            <w:r>
              <w:rPr>
                <w:sz w:val="12"/>
                <w:szCs w:val="12"/>
              </w:rPr>
              <w:t>√</w:t>
            </w:r>
          </w:p>
        </w:tc>
        <w:tc>
          <w:tcPr>
            <w:tcW w:w="230" w:type="dxa"/>
            <w:vAlign w:val="top"/>
          </w:tcPr>
          <w:p w14:paraId="0A69A4F9">
            <w:pPr>
              <w:rPr>
                <w:rFonts w:ascii="Arial"/>
                <w:sz w:val="21"/>
              </w:rPr>
            </w:pPr>
          </w:p>
        </w:tc>
        <w:tc>
          <w:tcPr>
            <w:tcW w:w="224" w:type="dxa"/>
            <w:vAlign w:val="top"/>
          </w:tcPr>
          <w:p w14:paraId="1740DAD9">
            <w:pPr>
              <w:rPr>
                <w:rFonts w:ascii="Arial"/>
                <w:sz w:val="21"/>
              </w:rPr>
            </w:pPr>
          </w:p>
        </w:tc>
      </w:tr>
      <w:tr w14:paraId="08896C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continue"/>
            <w:tcBorders>
              <w:top w:val="nil"/>
              <w:bottom w:val="nil"/>
            </w:tcBorders>
            <w:vAlign w:val="top"/>
          </w:tcPr>
          <w:p w14:paraId="42AB8033">
            <w:pPr>
              <w:rPr>
                <w:rFonts w:ascii="Arial"/>
                <w:sz w:val="21"/>
              </w:rPr>
            </w:pPr>
          </w:p>
        </w:tc>
        <w:tc>
          <w:tcPr>
            <w:tcW w:w="2334" w:type="dxa"/>
            <w:vAlign w:val="top"/>
          </w:tcPr>
          <w:p w14:paraId="2A953E04">
            <w:pPr>
              <w:pStyle w:val="6"/>
              <w:spacing w:before="54" w:line="211" w:lineRule="auto"/>
              <w:ind w:left="12"/>
            </w:pPr>
            <w:r>
              <w:rPr>
                <w:spacing w:val="-1"/>
              </w:rPr>
              <w:t>3.关税的强制执行</w:t>
            </w:r>
          </w:p>
        </w:tc>
        <w:tc>
          <w:tcPr>
            <w:tcW w:w="219" w:type="dxa"/>
            <w:vAlign w:val="top"/>
          </w:tcPr>
          <w:p w14:paraId="3D79343C">
            <w:pPr>
              <w:rPr>
                <w:rFonts w:ascii="Arial"/>
                <w:sz w:val="21"/>
              </w:rPr>
            </w:pPr>
          </w:p>
        </w:tc>
        <w:tc>
          <w:tcPr>
            <w:tcW w:w="230" w:type="dxa"/>
            <w:vAlign w:val="top"/>
          </w:tcPr>
          <w:p w14:paraId="09716B79">
            <w:pPr>
              <w:pStyle w:val="6"/>
              <w:spacing w:before="85" w:line="238" w:lineRule="auto"/>
              <w:ind w:left="19"/>
              <w:rPr>
                <w:sz w:val="12"/>
                <w:szCs w:val="12"/>
              </w:rPr>
            </w:pPr>
            <w:r>
              <w:rPr>
                <w:sz w:val="12"/>
                <w:szCs w:val="12"/>
              </w:rPr>
              <w:t>√</w:t>
            </w:r>
          </w:p>
        </w:tc>
        <w:tc>
          <w:tcPr>
            <w:tcW w:w="230" w:type="dxa"/>
            <w:vAlign w:val="top"/>
          </w:tcPr>
          <w:p w14:paraId="65739008">
            <w:pPr>
              <w:rPr>
                <w:rFonts w:ascii="Arial"/>
                <w:sz w:val="21"/>
              </w:rPr>
            </w:pPr>
          </w:p>
        </w:tc>
        <w:tc>
          <w:tcPr>
            <w:tcW w:w="224" w:type="dxa"/>
            <w:vAlign w:val="top"/>
          </w:tcPr>
          <w:p w14:paraId="54B35771">
            <w:pPr>
              <w:rPr>
                <w:rFonts w:ascii="Arial"/>
                <w:sz w:val="21"/>
              </w:rPr>
            </w:pPr>
          </w:p>
        </w:tc>
      </w:tr>
      <w:tr w14:paraId="48FCF2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 w:hRule="atLeast"/>
        </w:trPr>
        <w:tc>
          <w:tcPr>
            <w:tcW w:w="893" w:type="dxa"/>
            <w:vMerge w:val="continue"/>
            <w:tcBorders>
              <w:top w:val="nil"/>
              <w:bottom w:val="nil"/>
            </w:tcBorders>
            <w:vAlign w:val="top"/>
          </w:tcPr>
          <w:p w14:paraId="6A30F60C">
            <w:pPr>
              <w:rPr>
                <w:rFonts w:ascii="Arial"/>
                <w:sz w:val="21"/>
              </w:rPr>
            </w:pPr>
          </w:p>
        </w:tc>
        <w:tc>
          <w:tcPr>
            <w:tcW w:w="2334" w:type="dxa"/>
            <w:vAlign w:val="top"/>
          </w:tcPr>
          <w:p w14:paraId="53858498">
            <w:pPr>
              <w:pStyle w:val="6"/>
              <w:spacing w:before="56" w:line="210" w:lineRule="auto"/>
              <w:ind w:left="12"/>
            </w:pPr>
            <w:r>
              <w:rPr>
                <w:spacing w:val="-1"/>
              </w:rPr>
              <w:t>4.关税退还</w:t>
            </w:r>
          </w:p>
        </w:tc>
        <w:tc>
          <w:tcPr>
            <w:tcW w:w="219" w:type="dxa"/>
            <w:vAlign w:val="top"/>
          </w:tcPr>
          <w:p w14:paraId="4492FDEE">
            <w:pPr>
              <w:rPr>
                <w:rFonts w:ascii="Arial"/>
                <w:sz w:val="21"/>
              </w:rPr>
            </w:pPr>
          </w:p>
        </w:tc>
        <w:tc>
          <w:tcPr>
            <w:tcW w:w="230" w:type="dxa"/>
            <w:vAlign w:val="top"/>
          </w:tcPr>
          <w:p w14:paraId="6F694597">
            <w:pPr>
              <w:pStyle w:val="6"/>
              <w:spacing w:before="86" w:line="238" w:lineRule="auto"/>
              <w:ind w:left="48"/>
              <w:rPr>
                <w:sz w:val="12"/>
                <w:szCs w:val="12"/>
              </w:rPr>
            </w:pPr>
            <w:r>
              <w:rPr>
                <w:sz w:val="12"/>
                <w:szCs w:val="12"/>
              </w:rPr>
              <w:t>√</w:t>
            </w:r>
          </w:p>
        </w:tc>
        <w:tc>
          <w:tcPr>
            <w:tcW w:w="230" w:type="dxa"/>
            <w:vAlign w:val="top"/>
          </w:tcPr>
          <w:p w14:paraId="7E72EA7D">
            <w:pPr>
              <w:rPr>
                <w:rFonts w:ascii="Arial"/>
                <w:sz w:val="21"/>
              </w:rPr>
            </w:pPr>
          </w:p>
        </w:tc>
        <w:tc>
          <w:tcPr>
            <w:tcW w:w="224" w:type="dxa"/>
            <w:vAlign w:val="top"/>
          </w:tcPr>
          <w:p w14:paraId="2EB57F1C">
            <w:pPr>
              <w:rPr>
                <w:rFonts w:ascii="Arial"/>
                <w:sz w:val="21"/>
              </w:rPr>
            </w:pPr>
          </w:p>
        </w:tc>
      </w:tr>
      <w:tr w14:paraId="54529C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4" w:hRule="atLeast"/>
        </w:trPr>
        <w:tc>
          <w:tcPr>
            <w:tcW w:w="893" w:type="dxa"/>
            <w:vMerge w:val="continue"/>
            <w:tcBorders>
              <w:top w:val="nil"/>
            </w:tcBorders>
            <w:vAlign w:val="top"/>
          </w:tcPr>
          <w:p w14:paraId="6EB5CE63">
            <w:pPr>
              <w:rPr>
                <w:rFonts w:ascii="Arial"/>
                <w:sz w:val="21"/>
              </w:rPr>
            </w:pPr>
          </w:p>
        </w:tc>
        <w:tc>
          <w:tcPr>
            <w:tcW w:w="2334" w:type="dxa"/>
            <w:vAlign w:val="top"/>
          </w:tcPr>
          <w:p w14:paraId="41C5208F">
            <w:pPr>
              <w:pStyle w:val="6"/>
              <w:spacing w:before="56" w:line="215" w:lineRule="auto"/>
              <w:ind w:left="12"/>
            </w:pPr>
            <w:r>
              <w:rPr>
                <w:spacing w:val="-1"/>
              </w:rPr>
              <w:t>5.关税追征与补征</w:t>
            </w:r>
          </w:p>
        </w:tc>
        <w:tc>
          <w:tcPr>
            <w:tcW w:w="219" w:type="dxa"/>
            <w:vAlign w:val="top"/>
          </w:tcPr>
          <w:p w14:paraId="2FD10A24">
            <w:pPr>
              <w:rPr>
                <w:rFonts w:ascii="Arial"/>
                <w:sz w:val="21"/>
              </w:rPr>
            </w:pPr>
          </w:p>
        </w:tc>
        <w:tc>
          <w:tcPr>
            <w:tcW w:w="230" w:type="dxa"/>
            <w:vAlign w:val="top"/>
          </w:tcPr>
          <w:p w14:paraId="521A349E">
            <w:pPr>
              <w:pStyle w:val="6"/>
              <w:spacing w:before="86" w:line="238" w:lineRule="auto"/>
              <w:ind w:left="48"/>
              <w:rPr>
                <w:sz w:val="12"/>
                <w:szCs w:val="12"/>
              </w:rPr>
            </w:pPr>
            <w:r>
              <w:rPr>
                <w:sz w:val="12"/>
                <w:szCs w:val="12"/>
              </w:rPr>
              <w:t>√</w:t>
            </w:r>
          </w:p>
        </w:tc>
        <w:tc>
          <w:tcPr>
            <w:tcW w:w="230" w:type="dxa"/>
            <w:vAlign w:val="top"/>
          </w:tcPr>
          <w:p w14:paraId="0443F2F8">
            <w:pPr>
              <w:rPr>
                <w:rFonts w:ascii="Arial"/>
                <w:sz w:val="21"/>
              </w:rPr>
            </w:pPr>
          </w:p>
        </w:tc>
        <w:tc>
          <w:tcPr>
            <w:tcW w:w="224" w:type="dxa"/>
            <w:vAlign w:val="top"/>
          </w:tcPr>
          <w:p w14:paraId="332B0F8C">
            <w:pPr>
              <w:rPr>
                <w:rFonts w:ascii="Arial"/>
                <w:sz w:val="21"/>
              </w:rPr>
            </w:pPr>
          </w:p>
        </w:tc>
      </w:tr>
    </w:tbl>
    <w:p w14:paraId="5A36ECE0">
      <w:pPr>
        <w:spacing w:before="118" w:line="221" w:lineRule="auto"/>
        <w:ind w:left="1347"/>
        <w:rPr>
          <w:rFonts w:ascii="黑体" w:hAnsi="黑体" w:eastAsia="黑体" w:cs="黑体"/>
          <w:sz w:val="20"/>
          <w:szCs w:val="20"/>
        </w:rPr>
      </w:pPr>
      <w:r>
        <w:rPr>
          <w:rFonts w:ascii="黑体" w:hAnsi="黑体" w:eastAsia="黑体" w:cs="黑体"/>
          <w:b/>
          <w:bCs/>
          <w:spacing w:val="10"/>
          <w:sz w:val="20"/>
          <w:szCs w:val="20"/>
        </w:rPr>
        <w:t>(五)企业所得税</w:t>
      </w:r>
    </w:p>
    <w:p w14:paraId="1CE87FEC">
      <w:pPr>
        <w:spacing w:line="73" w:lineRule="exact"/>
      </w:pPr>
    </w:p>
    <w:tbl>
      <w:tblPr>
        <w:tblStyle w:val="5"/>
        <w:tblW w:w="413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34"/>
        <w:gridCol w:w="219"/>
        <w:gridCol w:w="230"/>
        <w:gridCol w:w="230"/>
        <w:gridCol w:w="224"/>
      </w:tblGrid>
      <w:tr w14:paraId="6E5140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4" w:hRule="atLeast"/>
        </w:trPr>
        <w:tc>
          <w:tcPr>
            <w:tcW w:w="893" w:type="dxa"/>
            <w:vMerge w:val="restart"/>
            <w:tcBorders>
              <w:bottom w:val="nil"/>
            </w:tcBorders>
            <w:vAlign w:val="top"/>
          </w:tcPr>
          <w:p w14:paraId="1FA8F3D6">
            <w:pPr>
              <w:pStyle w:val="6"/>
              <w:spacing w:before="141" w:line="223" w:lineRule="auto"/>
              <w:ind w:left="77" w:right="93" w:firstLine="89"/>
              <w:rPr>
                <w:sz w:val="18"/>
                <w:szCs w:val="18"/>
              </w:rPr>
            </w:pPr>
            <w:r>
              <w:rPr>
                <w:b/>
                <w:bCs/>
                <w:spacing w:val="1"/>
                <w:sz w:val="18"/>
                <w:szCs w:val="18"/>
              </w:rPr>
              <w:t>知识与</w:t>
            </w:r>
            <w:r>
              <w:rPr>
                <w:sz w:val="18"/>
                <w:szCs w:val="18"/>
              </w:rPr>
              <w:t xml:space="preserve">  </w:t>
            </w:r>
            <w:r>
              <w:rPr>
                <w:b/>
                <w:bCs/>
                <w:spacing w:val="-4"/>
                <w:sz w:val="18"/>
                <w:szCs w:val="18"/>
              </w:rPr>
              <w:t>技能要点</w:t>
            </w:r>
          </w:p>
        </w:tc>
        <w:tc>
          <w:tcPr>
            <w:tcW w:w="2334" w:type="dxa"/>
            <w:vMerge w:val="restart"/>
            <w:tcBorders>
              <w:bottom w:val="nil"/>
            </w:tcBorders>
            <w:vAlign w:val="top"/>
          </w:tcPr>
          <w:p w14:paraId="7EEA7C0C">
            <w:pPr>
              <w:pStyle w:val="6"/>
              <w:spacing w:before="249" w:line="219" w:lineRule="auto"/>
              <w:ind w:left="844"/>
              <w:rPr>
                <w:sz w:val="18"/>
                <w:szCs w:val="18"/>
              </w:rPr>
            </w:pPr>
            <w:r>
              <w:rPr>
                <w:b/>
                <w:bCs/>
                <w:spacing w:val="5"/>
                <w:sz w:val="18"/>
                <w:szCs w:val="18"/>
              </w:rPr>
              <w:t>考试条目</w:t>
            </w:r>
          </w:p>
        </w:tc>
        <w:tc>
          <w:tcPr>
            <w:tcW w:w="903" w:type="dxa"/>
            <w:gridSpan w:val="4"/>
            <w:vAlign w:val="top"/>
          </w:tcPr>
          <w:p w14:paraId="53C5B0B8">
            <w:pPr>
              <w:pStyle w:val="6"/>
              <w:spacing w:before="79" w:line="219" w:lineRule="auto"/>
              <w:ind w:left="130"/>
              <w:rPr>
                <w:sz w:val="18"/>
                <w:szCs w:val="18"/>
              </w:rPr>
            </w:pPr>
            <w:r>
              <w:rPr>
                <w:b/>
                <w:bCs/>
                <w:spacing w:val="-4"/>
                <w:sz w:val="18"/>
                <w:szCs w:val="18"/>
              </w:rPr>
              <w:t>考试水平</w:t>
            </w:r>
          </w:p>
        </w:tc>
      </w:tr>
      <w:tr w14:paraId="67A392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893" w:type="dxa"/>
            <w:vMerge w:val="continue"/>
            <w:tcBorders>
              <w:top w:val="nil"/>
            </w:tcBorders>
            <w:vAlign w:val="top"/>
          </w:tcPr>
          <w:p w14:paraId="08C3C481">
            <w:pPr>
              <w:rPr>
                <w:rFonts w:ascii="Arial"/>
                <w:sz w:val="21"/>
              </w:rPr>
            </w:pPr>
          </w:p>
        </w:tc>
        <w:tc>
          <w:tcPr>
            <w:tcW w:w="2334" w:type="dxa"/>
            <w:vMerge w:val="continue"/>
            <w:tcBorders>
              <w:top w:val="nil"/>
            </w:tcBorders>
            <w:vAlign w:val="top"/>
          </w:tcPr>
          <w:p w14:paraId="66277CBF">
            <w:pPr>
              <w:rPr>
                <w:rFonts w:ascii="Arial"/>
                <w:sz w:val="21"/>
              </w:rPr>
            </w:pPr>
          </w:p>
        </w:tc>
        <w:tc>
          <w:tcPr>
            <w:tcW w:w="219" w:type="dxa"/>
            <w:vAlign w:val="top"/>
          </w:tcPr>
          <w:p w14:paraId="55ABF91F">
            <w:pPr>
              <w:pStyle w:val="6"/>
              <w:spacing w:before="113" w:line="184" w:lineRule="auto"/>
              <w:ind w:left="60"/>
              <w:rPr>
                <w:sz w:val="18"/>
                <w:szCs w:val="18"/>
              </w:rPr>
            </w:pPr>
            <w:r>
              <w:rPr>
                <w:b/>
                <w:bCs/>
                <w:spacing w:val="-2"/>
                <w:sz w:val="18"/>
                <w:szCs w:val="18"/>
              </w:rPr>
              <w:t>A</w:t>
            </w:r>
          </w:p>
        </w:tc>
        <w:tc>
          <w:tcPr>
            <w:tcW w:w="230" w:type="dxa"/>
            <w:vAlign w:val="top"/>
          </w:tcPr>
          <w:p w14:paraId="695990AD">
            <w:pPr>
              <w:pStyle w:val="6"/>
              <w:spacing w:before="115" w:line="182" w:lineRule="auto"/>
              <w:ind w:left="21"/>
              <w:rPr>
                <w:sz w:val="18"/>
                <w:szCs w:val="18"/>
              </w:rPr>
            </w:pPr>
            <w:r>
              <w:rPr>
                <w:b/>
                <w:bCs/>
                <w:spacing w:val="-2"/>
                <w:sz w:val="18"/>
                <w:szCs w:val="18"/>
              </w:rPr>
              <w:t>B</w:t>
            </w:r>
          </w:p>
        </w:tc>
        <w:tc>
          <w:tcPr>
            <w:tcW w:w="230" w:type="dxa"/>
            <w:vAlign w:val="top"/>
          </w:tcPr>
          <w:p w14:paraId="7C77C54C">
            <w:pPr>
              <w:pStyle w:val="6"/>
              <w:spacing w:before="113" w:line="183" w:lineRule="auto"/>
              <w:ind w:left="21"/>
              <w:rPr>
                <w:sz w:val="18"/>
                <w:szCs w:val="18"/>
              </w:rPr>
            </w:pPr>
            <w:r>
              <w:rPr>
                <w:b/>
                <w:bCs/>
                <w:spacing w:val="-2"/>
                <w:sz w:val="18"/>
                <w:szCs w:val="18"/>
              </w:rPr>
              <w:t>C</w:t>
            </w:r>
          </w:p>
        </w:tc>
        <w:tc>
          <w:tcPr>
            <w:tcW w:w="224" w:type="dxa"/>
            <w:vAlign w:val="top"/>
          </w:tcPr>
          <w:p w14:paraId="6F661805">
            <w:pPr>
              <w:pStyle w:val="6"/>
              <w:spacing w:before="115" w:line="182" w:lineRule="auto"/>
              <w:ind w:left="61"/>
              <w:rPr>
                <w:sz w:val="18"/>
                <w:szCs w:val="18"/>
              </w:rPr>
            </w:pPr>
            <w:r>
              <w:rPr>
                <w:b/>
                <w:bCs/>
                <w:spacing w:val="-2"/>
                <w:sz w:val="18"/>
                <w:szCs w:val="18"/>
              </w:rPr>
              <w:t>D</w:t>
            </w:r>
          </w:p>
        </w:tc>
      </w:tr>
      <w:tr w14:paraId="65FB29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9" w:hRule="atLeast"/>
        </w:trPr>
        <w:tc>
          <w:tcPr>
            <w:tcW w:w="893" w:type="dxa"/>
            <w:vMerge w:val="restart"/>
            <w:tcBorders>
              <w:bottom w:val="nil"/>
            </w:tcBorders>
            <w:vAlign w:val="top"/>
          </w:tcPr>
          <w:p w14:paraId="2954388D">
            <w:pPr>
              <w:spacing w:line="427" w:lineRule="auto"/>
              <w:rPr>
                <w:rFonts w:ascii="Arial"/>
                <w:sz w:val="21"/>
              </w:rPr>
            </w:pPr>
          </w:p>
          <w:p w14:paraId="15FC2B23">
            <w:pPr>
              <w:pStyle w:val="6"/>
              <w:spacing w:before="59" w:line="215" w:lineRule="auto"/>
              <w:ind w:left="75"/>
              <w:rPr>
                <w:sz w:val="18"/>
                <w:szCs w:val="18"/>
              </w:rPr>
            </w:pPr>
            <w:r>
              <w:rPr>
                <w:spacing w:val="-2"/>
                <w:sz w:val="18"/>
                <w:szCs w:val="18"/>
              </w:rPr>
              <w:t>企业所得</w:t>
            </w:r>
          </w:p>
          <w:p w14:paraId="47CEDE16">
            <w:pPr>
              <w:pStyle w:val="6"/>
              <w:spacing w:line="218" w:lineRule="auto"/>
              <w:ind w:left="75"/>
              <w:rPr>
                <w:sz w:val="18"/>
                <w:szCs w:val="18"/>
              </w:rPr>
            </w:pPr>
            <w:r>
              <w:rPr>
                <w:spacing w:val="-2"/>
                <w:sz w:val="18"/>
                <w:szCs w:val="18"/>
              </w:rPr>
              <w:t>税的基本</w:t>
            </w:r>
          </w:p>
          <w:p w14:paraId="704C1D2E">
            <w:pPr>
              <w:pStyle w:val="6"/>
              <w:spacing w:before="27" w:line="219" w:lineRule="auto"/>
              <w:ind w:left="254"/>
              <w:rPr>
                <w:sz w:val="18"/>
                <w:szCs w:val="18"/>
              </w:rPr>
            </w:pPr>
            <w:r>
              <w:rPr>
                <w:spacing w:val="4"/>
                <w:sz w:val="18"/>
                <w:szCs w:val="18"/>
              </w:rPr>
              <w:t>内容</w:t>
            </w:r>
          </w:p>
        </w:tc>
        <w:tc>
          <w:tcPr>
            <w:tcW w:w="2334" w:type="dxa"/>
            <w:vAlign w:val="top"/>
          </w:tcPr>
          <w:p w14:paraId="094B9B56">
            <w:pPr>
              <w:pStyle w:val="6"/>
              <w:spacing w:before="39" w:line="205" w:lineRule="auto"/>
              <w:ind w:left="12"/>
              <w:rPr>
                <w:sz w:val="18"/>
                <w:szCs w:val="18"/>
              </w:rPr>
            </w:pPr>
            <w:r>
              <w:rPr>
                <w:sz w:val="18"/>
                <w:szCs w:val="18"/>
              </w:rPr>
              <w:t>1.企业所得税的概念</w:t>
            </w:r>
          </w:p>
        </w:tc>
        <w:tc>
          <w:tcPr>
            <w:tcW w:w="219" w:type="dxa"/>
            <w:vAlign w:val="top"/>
          </w:tcPr>
          <w:p w14:paraId="2892BB63">
            <w:pPr>
              <w:pStyle w:val="6"/>
              <w:spacing w:before="70" w:line="238" w:lineRule="auto"/>
              <w:ind w:left="38"/>
              <w:rPr>
                <w:sz w:val="13"/>
                <w:szCs w:val="13"/>
              </w:rPr>
            </w:pPr>
            <w:r>
              <w:rPr>
                <w:sz w:val="13"/>
                <w:szCs w:val="13"/>
              </w:rPr>
              <w:t>√</w:t>
            </w:r>
          </w:p>
        </w:tc>
        <w:tc>
          <w:tcPr>
            <w:tcW w:w="230" w:type="dxa"/>
            <w:vAlign w:val="top"/>
          </w:tcPr>
          <w:p w14:paraId="47DCB436">
            <w:pPr>
              <w:spacing w:line="239" w:lineRule="exact"/>
              <w:rPr>
                <w:rFonts w:ascii="Arial"/>
                <w:sz w:val="20"/>
              </w:rPr>
            </w:pPr>
          </w:p>
        </w:tc>
        <w:tc>
          <w:tcPr>
            <w:tcW w:w="230" w:type="dxa"/>
            <w:vAlign w:val="top"/>
          </w:tcPr>
          <w:p w14:paraId="71DC735B">
            <w:pPr>
              <w:spacing w:line="239" w:lineRule="exact"/>
              <w:rPr>
                <w:rFonts w:ascii="Arial"/>
                <w:sz w:val="20"/>
              </w:rPr>
            </w:pPr>
          </w:p>
        </w:tc>
        <w:tc>
          <w:tcPr>
            <w:tcW w:w="224" w:type="dxa"/>
            <w:vAlign w:val="top"/>
          </w:tcPr>
          <w:p w14:paraId="6DC8DE7F">
            <w:pPr>
              <w:spacing w:line="239" w:lineRule="exact"/>
              <w:rPr>
                <w:rFonts w:ascii="Arial"/>
                <w:sz w:val="20"/>
              </w:rPr>
            </w:pPr>
          </w:p>
        </w:tc>
      </w:tr>
      <w:tr w14:paraId="70F66D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 w:hRule="atLeast"/>
        </w:trPr>
        <w:tc>
          <w:tcPr>
            <w:tcW w:w="893" w:type="dxa"/>
            <w:vMerge w:val="continue"/>
            <w:tcBorders>
              <w:top w:val="nil"/>
              <w:bottom w:val="nil"/>
            </w:tcBorders>
            <w:vAlign w:val="top"/>
          </w:tcPr>
          <w:p w14:paraId="5096BABC">
            <w:pPr>
              <w:rPr>
                <w:rFonts w:ascii="Arial"/>
                <w:sz w:val="21"/>
              </w:rPr>
            </w:pPr>
          </w:p>
        </w:tc>
        <w:tc>
          <w:tcPr>
            <w:tcW w:w="2334" w:type="dxa"/>
            <w:vAlign w:val="top"/>
          </w:tcPr>
          <w:p w14:paraId="5D0D673F">
            <w:pPr>
              <w:pStyle w:val="6"/>
              <w:spacing w:before="40" w:line="215" w:lineRule="auto"/>
              <w:ind w:left="12"/>
              <w:rPr>
                <w:sz w:val="18"/>
                <w:szCs w:val="18"/>
              </w:rPr>
            </w:pPr>
            <w:r>
              <w:rPr>
                <w:spacing w:val="1"/>
                <w:sz w:val="18"/>
                <w:szCs w:val="18"/>
              </w:rPr>
              <w:t>2.企业所得税的特点</w:t>
            </w:r>
          </w:p>
        </w:tc>
        <w:tc>
          <w:tcPr>
            <w:tcW w:w="219" w:type="dxa"/>
            <w:vAlign w:val="top"/>
          </w:tcPr>
          <w:p w14:paraId="76531B05">
            <w:pPr>
              <w:pStyle w:val="6"/>
              <w:spacing w:before="81" w:line="238" w:lineRule="auto"/>
              <w:ind w:left="38"/>
              <w:rPr>
                <w:sz w:val="13"/>
                <w:szCs w:val="13"/>
              </w:rPr>
            </w:pPr>
            <w:r>
              <w:rPr>
                <w:sz w:val="13"/>
                <w:szCs w:val="13"/>
              </w:rPr>
              <w:t>√</w:t>
            </w:r>
          </w:p>
        </w:tc>
        <w:tc>
          <w:tcPr>
            <w:tcW w:w="230" w:type="dxa"/>
            <w:vAlign w:val="top"/>
          </w:tcPr>
          <w:p w14:paraId="5CA88C5B">
            <w:pPr>
              <w:rPr>
                <w:rFonts w:ascii="Arial"/>
                <w:sz w:val="21"/>
              </w:rPr>
            </w:pPr>
          </w:p>
        </w:tc>
        <w:tc>
          <w:tcPr>
            <w:tcW w:w="230" w:type="dxa"/>
            <w:vAlign w:val="top"/>
          </w:tcPr>
          <w:p w14:paraId="22C69F21">
            <w:pPr>
              <w:rPr>
                <w:rFonts w:ascii="Arial"/>
                <w:sz w:val="21"/>
              </w:rPr>
            </w:pPr>
          </w:p>
        </w:tc>
        <w:tc>
          <w:tcPr>
            <w:tcW w:w="224" w:type="dxa"/>
            <w:vAlign w:val="top"/>
          </w:tcPr>
          <w:p w14:paraId="32A766A3">
            <w:pPr>
              <w:rPr>
                <w:rFonts w:ascii="Arial"/>
                <w:sz w:val="21"/>
              </w:rPr>
            </w:pPr>
          </w:p>
        </w:tc>
      </w:tr>
      <w:tr w14:paraId="6DF700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continue"/>
            <w:tcBorders>
              <w:top w:val="nil"/>
              <w:bottom w:val="nil"/>
            </w:tcBorders>
            <w:vAlign w:val="top"/>
          </w:tcPr>
          <w:p w14:paraId="6408E0D8">
            <w:pPr>
              <w:rPr>
                <w:rFonts w:ascii="Arial"/>
                <w:sz w:val="21"/>
              </w:rPr>
            </w:pPr>
          </w:p>
        </w:tc>
        <w:tc>
          <w:tcPr>
            <w:tcW w:w="2334" w:type="dxa"/>
            <w:vAlign w:val="top"/>
          </w:tcPr>
          <w:p w14:paraId="5493CAFF">
            <w:pPr>
              <w:pStyle w:val="6"/>
              <w:spacing w:before="40" w:line="214" w:lineRule="auto"/>
              <w:ind w:left="12"/>
              <w:rPr>
                <w:sz w:val="18"/>
                <w:szCs w:val="18"/>
              </w:rPr>
            </w:pPr>
            <w:r>
              <w:rPr>
                <w:spacing w:val="-1"/>
                <w:sz w:val="18"/>
                <w:szCs w:val="18"/>
              </w:rPr>
              <w:t>3.企业所得税的纳税人</w:t>
            </w:r>
          </w:p>
        </w:tc>
        <w:tc>
          <w:tcPr>
            <w:tcW w:w="219" w:type="dxa"/>
            <w:vAlign w:val="top"/>
          </w:tcPr>
          <w:p w14:paraId="3ACF1F8E">
            <w:pPr>
              <w:rPr>
                <w:rFonts w:ascii="Arial"/>
                <w:sz w:val="21"/>
              </w:rPr>
            </w:pPr>
          </w:p>
        </w:tc>
        <w:tc>
          <w:tcPr>
            <w:tcW w:w="230" w:type="dxa"/>
            <w:vAlign w:val="top"/>
          </w:tcPr>
          <w:p w14:paraId="3080F5EF">
            <w:pPr>
              <w:rPr>
                <w:rFonts w:ascii="Arial"/>
                <w:sz w:val="21"/>
              </w:rPr>
            </w:pPr>
          </w:p>
        </w:tc>
        <w:tc>
          <w:tcPr>
            <w:tcW w:w="230" w:type="dxa"/>
            <w:vAlign w:val="top"/>
          </w:tcPr>
          <w:p w14:paraId="41872D83">
            <w:pPr>
              <w:rPr>
                <w:rFonts w:ascii="Arial"/>
                <w:sz w:val="21"/>
              </w:rPr>
            </w:pPr>
          </w:p>
        </w:tc>
        <w:tc>
          <w:tcPr>
            <w:tcW w:w="224" w:type="dxa"/>
            <w:vAlign w:val="top"/>
          </w:tcPr>
          <w:p w14:paraId="1A0421C7">
            <w:pPr>
              <w:rPr>
                <w:rFonts w:ascii="Arial"/>
                <w:sz w:val="21"/>
              </w:rPr>
            </w:pPr>
          </w:p>
        </w:tc>
      </w:tr>
      <w:tr w14:paraId="1430DA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9" w:hRule="atLeast"/>
        </w:trPr>
        <w:tc>
          <w:tcPr>
            <w:tcW w:w="893" w:type="dxa"/>
            <w:vMerge w:val="continue"/>
            <w:tcBorders>
              <w:top w:val="nil"/>
              <w:bottom w:val="nil"/>
            </w:tcBorders>
            <w:vAlign w:val="top"/>
          </w:tcPr>
          <w:p w14:paraId="66CC11A1">
            <w:pPr>
              <w:rPr>
                <w:rFonts w:ascii="Arial"/>
                <w:sz w:val="21"/>
              </w:rPr>
            </w:pPr>
          </w:p>
        </w:tc>
        <w:tc>
          <w:tcPr>
            <w:tcW w:w="2334" w:type="dxa"/>
            <w:vAlign w:val="top"/>
          </w:tcPr>
          <w:p w14:paraId="1D85546E">
            <w:pPr>
              <w:pStyle w:val="6"/>
              <w:spacing w:before="41" w:line="203" w:lineRule="auto"/>
              <w:ind w:left="12"/>
              <w:rPr>
                <w:sz w:val="18"/>
                <w:szCs w:val="18"/>
              </w:rPr>
            </w:pPr>
            <w:r>
              <w:rPr>
                <w:spacing w:val="-1"/>
                <w:sz w:val="18"/>
                <w:szCs w:val="18"/>
              </w:rPr>
              <w:t>4.企业所得税的征税对象</w:t>
            </w:r>
          </w:p>
        </w:tc>
        <w:tc>
          <w:tcPr>
            <w:tcW w:w="219" w:type="dxa"/>
            <w:vAlign w:val="top"/>
          </w:tcPr>
          <w:p w14:paraId="7D573F2B">
            <w:pPr>
              <w:spacing w:line="239" w:lineRule="exact"/>
              <w:rPr>
                <w:rFonts w:ascii="Arial"/>
                <w:sz w:val="20"/>
              </w:rPr>
            </w:pPr>
          </w:p>
        </w:tc>
        <w:tc>
          <w:tcPr>
            <w:tcW w:w="230" w:type="dxa"/>
            <w:vAlign w:val="top"/>
          </w:tcPr>
          <w:p w14:paraId="3A0FA7F8">
            <w:pPr>
              <w:spacing w:line="239" w:lineRule="exact"/>
              <w:rPr>
                <w:rFonts w:ascii="Arial"/>
                <w:sz w:val="20"/>
              </w:rPr>
            </w:pPr>
          </w:p>
        </w:tc>
        <w:tc>
          <w:tcPr>
            <w:tcW w:w="230" w:type="dxa"/>
            <w:vAlign w:val="top"/>
          </w:tcPr>
          <w:p w14:paraId="33245443">
            <w:pPr>
              <w:pStyle w:val="6"/>
              <w:spacing w:before="80" w:line="238" w:lineRule="auto"/>
              <w:ind w:left="19"/>
              <w:rPr>
                <w:sz w:val="12"/>
                <w:szCs w:val="12"/>
              </w:rPr>
            </w:pPr>
            <w:r>
              <w:rPr>
                <w:sz w:val="12"/>
                <w:szCs w:val="12"/>
              </w:rPr>
              <w:t>√</w:t>
            </w:r>
          </w:p>
        </w:tc>
        <w:tc>
          <w:tcPr>
            <w:tcW w:w="224" w:type="dxa"/>
            <w:vAlign w:val="top"/>
          </w:tcPr>
          <w:p w14:paraId="19440682">
            <w:pPr>
              <w:spacing w:line="239" w:lineRule="exact"/>
              <w:rPr>
                <w:rFonts w:ascii="Arial"/>
                <w:sz w:val="20"/>
              </w:rPr>
            </w:pPr>
          </w:p>
        </w:tc>
      </w:tr>
      <w:tr w14:paraId="27AEF9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 w:hRule="atLeast"/>
        </w:trPr>
        <w:tc>
          <w:tcPr>
            <w:tcW w:w="893" w:type="dxa"/>
            <w:vMerge w:val="continue"/>
            <w:tcBorders>
              <w:top w:val="nil"/>
              <w:bottom w:val="nil"/>
            </w:tcBorders>
            <w:vAlign w:val="top"/>
          </w:tcPr>
          <w:p w14:paraId="74F1CAB4">
            <w:pPr>
              <w:rPr>
                <w:rFonts w:ascii="Arial"/>
                <w:sz w:val="21"/>
              </w:rPr>
            </w:pPr>
          </w:p>
        </w:tc>
        <w:tc>
          <w:tcPr>
            <w:tcW w:w="2334" w:type="dxa"/>
            <w:vAlign w:val="top"/>
          </w:tcPr>
          <w:p w14:paraId="68D76E9F">
            <w:pPr>
              <w:pStyle w:val="6"/>
              <w:spacing w:before="42" w:line="213" w:lineRule="auto"/>
              <w:ind w:left="12"/>
              <w:rPr>
                <w:sz w:val="18"/>
                <w:szCs w:val="18"/>
              </w:rPr>
            </w:pPr>
            <w:r>
              <w:rPr>
                <w:spacing w:val="-1"/>
                <w:sz w:val="18"/>
                <w:szCs w:val="18"/>
              </w:rPr>
              <w:t>5.企业所得税的税率</w:t>
            </w:r>
          </w:p>
        </w:tc>
        <w:tc>
          <w:tcPr>
            <w:tcW w:w="219" w:type="dxa"/>
            <w:vAlign w:val="top"/>
          </w:tcPr>
          <w:p w14:paraId="66BC90D7">
            <w:pPr>
              <w:rPr>
                <w:rFonts w:ascii="Arial"/>
                <w:sz w:val="21"/>
              </w:rPr>
            </w:pPr>
          </w:p>
        </w:tc>
        <w:tc>
          <w:tcPr>
            <w:tcW w:w="230" w:type="dxa"/>
            <w:vAlign w:val="top"/>
          </w:tcPr>
          <w:p w14:paraId="6AC07555">
            <w:pPr>
              <w:rPr>
                <w:rFonts w:ascii="Arial"/>
                <w:sz w:val="21"/>
              </w:rPr>
            </w:pPr>
          </w:p>
        </w:tc>
        <w:tc>
          <w:tcPr>
            <w:tcW w:w="230" w:type="dxa"/>
            <w:vAlign w:val="top"/>
          </w:tcPr>
          <w:p w14:paraId="5049C556">
            <w:pPr>
              <w:pStyle w:val="6"/>
              <w:spacing w:before="67" w:line="182" w:lineRule="exact"/>
              <w:ind w:left="19"/>
              <w:rPr>
                <w:sz w:val="27"/>
                <w:szCs w:val="27"/>
              </w:rPr>
            </w:pPr>
            <w:r>
              <w:rPr>
                <w:position w:val="-4"/>
                <w:sz w:val="27"/>
                <w:szCs w:val="27"/>
              </w:rPr>
              <w:t>V</w:t>
            </w:r>
          </w:p>
        </w:tc>
        <w:tc>
          <w:tcPr>
            <w:tcW w:w="224" w:type="dxa"/>
            <w:vAlign w:val="top"/>
          </w:tcPr>
          <w:p w14:paraId="7DCC86AC">
            <w:pPr>
              <w:rPr>
                <w:rFonts w:ascii="Arial"/>
                <w:sz w:val="21"/>
              </w:rPr>
            </w:pPr>
          </w:p>
        </w:tc>
      </w:tr>
      <w:tr w14:paraId="4C63E3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continue"/>
            <w:tcBorders>
              <w:top w:val="nil"/>
            </w:tcBorders>
            <w:vAlign w:val="top"/>
          </w:tcPr>
          <w:p w14:paraId="3BCCF86B">
            <w:pPr>
              <w:rPr>
                <w:rFonts w:ascii="Arial"/>
                <w:sz w:val="21"/>
              </w:rPr>
            </w:pPr>
          </w:p>
        </w:tc>
        <w:tc>
          <w:tcPr>
            <w:tcW w:w="2334" w:type="dxa"/>
            <w:vAlign w:val="top"/>
          </w:tcPr>
          <w:p w14:paraId="1ABCD61A">
            <w:pPr>
              <w:pStyle w:val="6"/>
              <w:spacing w:before="42" w:line="212" w:lineRule="auto"/>
              <w:ind w:left="12"/>
              <w:rPr>
                <w:sz w:val="18"/>
                <w:szCs w:val="18"/>
              </w:rPr>
            </w:pPr>
            <w:r>
              <w:rPr>
                <w:spacing w:val="1"/>
                <w:sz w:val="18"/>
                <w:szCs w:val="18"/>
              </w:rPr>
              <w:t>6.企业所得税的税收优惠</w:t>
            </w:r>
          </w:p>
        </w:tc>
        <w:tc>
          <w:tcPr>
            <w:tcW w:w="219" w:type="dxa"/>
            <w:vAlign w:val="top"/>
          </w:tcPr>
          <w:p w14:paraId="7921BB03">
            <w:pPr>
              <w:rPr>
                <w:rFonts w:ascii="Arial"/>
                <w:sz w:val="21"/>
              </w:rPr>
            </w:pPr>
          </w:p>
        </w:tc>
        <w:tc>
          <w:tcPr>
            <w:tcW w:w="230" w:type="dxa"/>
            <w:vAlign w:val="top"/>
          </w:tcPr>
          <w:p w14:paraId="369CFDE2">
            <w:pPr>
              <w:rPr>
                <w:rFonts w:ascii="Arial"/>
                <w:sz w:val="21"/>
              </w:rPr>
            </w:pPr>
          </w:p>
        </w:tc>
        <w:tc>
          <w:tcPr>
            <w:tcW w:w="230" w:type="dxa"/>
            <w:vAlign w:val="top"/>
          </w:tcPr>
          <w:p w14:paraId="0EEAFAC1">
            <w:pPr>
              <w:rPr>
                <w:rFonts w:ascii="Arial"/>
                <w:sz w:val="21"/>
              </w:rPr>
            </w:pPr>
          </w:p>
        </w:tc>
        <w:tc>
          <w:tcPr>
            <w:tcW w:w="224" w:type="dxa"/>
            <w:vAlign w:val="top"/>
          </w:tcPr>
          <w:p w14:paraId="6CA708C3">
            <w:pPr>
              <w:rPr>
                <w:rFonts w:ascii="Arial"/>
                <w:sz w:val="21"/>
              </w:rPr>
            </w:pPr>
          </w:p>
        </w:tc>
      </w:tr>
      <w:tr w14:paraId="35A98F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9" w:hRule="atLeast"/>
        </w:trPr>
        <w:tc>
          <w:tcPr>
            <w:tcW w:w="893" w:type="dxa"/>
            <w:vMerge w:val="restart"/>
            <w:tcBorders>
              <w:bottom w:val="nil"/>
            </w:tcBorders>
            <w:vAlign w:val="top"/>
          </w:tcPr>
          <w:p w14:paraId="1386E5A3">
            <w:pPr>
              <w:spacing w:line="271" w:lineRule="auto"/>
              <w:rPr>
                <w:rFonts w:ascii="Arial"/>
                <w:sz w:val="21"/>
              </w:rPr>
            </w:pPr>
          </w:p>
          <w:p w14:paraId="5A754FAC">
            <w:pPr>
              <w:spacing w:line="271" w:lineRule="auto"/>
              <w:rPr>
                <w:rFonts w:ascii="Arial"/>
                <w:sz w:val="21"/>
              </w:rPr>
            </w:pPr>
          </w:p>
          <w:p w14:paraId="27D944DA">
            <w:pPr>
              <w:pStyle w:val="6"/>
              <w:spacing w:before="58" w:line="222" w:lineRule="auto"/>
              <w:ind w:left="75" w:right="94"/>
              <w:rPr>
                <w:sz w:val="18"/>
                <w:szCs w:val="18"/>
              </w:rPr>
            </w:pPr>
            <w:r>
              <w:rPr>
                <w:spacing w:val="-3"/>
                <w:sz w:val="18"/>
                <w:szCs w:val="18"/>
              </w:rPr>
              <w:t>企业所得</w:t>
            </w:r>
            <w:r>
              <w:rPr>
                <w:spacing w:val="1"/>
                <w:sz w:val="18"/>
                <w:szCs w:val="18"/>
              </w:rPr>
              <w:t xml:space="preserve"> </w:t>
            </w:r>
            <w:r>
              <w:rPr>
                <w:spacing w:val="-2"/>
                <w:sz w:val="18"/>
                <w:szCs w:val="18"/>
              </w:rPr>
              <w:t>税的计算</w:t>
            </w:r>
          </w:p>
        </w:tc>
        <w:tc>
          <w:tcPr>
            <w:tcW w:w="2334" w:type="dxa"/>
            <w:vAlign w:val="top"/>
          </w:tcPr>
          <w:p w14:paraId="77D408BF">
            <w:pPr>
              <w:pStyle w:val="6"/>
              <w:spacing w:before="43" w:line="201" w:lineRule="auto"/>
              <w:ind w:left="12"/>
              <w:rPr>
                <w:sz w:val="18"/>
                <w:szCs w:val="18"/>
              </w:rPr>
            </w:pPr>
            <w:r>
              <w:rPr>
                <w:spacing w:val="1"/>
                <w:sz w:val="18"/>
                <w:szCs w:val="18"/>
              </w:rPr>
              <w:t>1.收入总额</w:t>
            </w:r>
          </w:p>
        </w:tc>
        <w:tc>
          <w:tcPr>
            <w:tcW w:w="219" w:type="dxa"/>
            <w:vAlign w:val="top"/>
          </w:tcPr>
          <w:p w14:paraId="0066BAEE">
            <w:pPr>
              <w:spacing w:line="239" w:lineRule="exact"/>
              <w:rPr>
                <w:rFonts w:ascii="Arial"/>
                <w:sz w:val="20"/>
              </w:rPr>
            </w:pPr>
          </w:p>
        </w:tc>
        <w:tc>
          <w:tcPr>
            <w:tcW w:w="230" w:type="dxa"/>
            <w:vAlign w:val="top"/>
          </w:tcPr>
          <w:p w14:paraId="1B49DB25">
            <w:pPr>
              <w:spacing w:line="239" w:lineRule="exact"/>
              <w:rPr>
                <w:rFonts w:ascii="Arial"/>
                <w:sz w:val="20"/>
              </w:rPr>
            </w:pPr>
          </w:p>
        </w:tc>
        <w:tc>
          <w:tcPr>
            <w:tcW w:w="230" w:type="dxa"/>
            <w:vAlign w:val="top"/>
          </w:tcPr>
          <w:p w14:paraId="15783F27">
            <w:pPr>
              <w:spacing w:line="239" w:lineRule="exact"/>
              <w:rPr>
                <w:rFonts w:ascii="Arial"/>
                <w:sz w:val="20"/>
              </w:rPr>
            </w:pPr>
          </w:p>
        </w:tc>
        <w:tc>
          <w:tcPr>
            <w:tcW w:w="224" w:type="dxa"/>
            <w:vAlign w:val="top"/>
          </w:tcPr>
          <w:p w14:paraId="6046D9B5">
            <w:pPr>
              <w:spacing w:line="239" w:lineRule="exact"/>
              <w:rPr>
                <w:rFonts w:ascii="Arial"/>
                <w:sz w:val="20"/>
              </w:rPr>
            </w:pPr>
          </w:p>
        </w:tc>
      </w:tr>
      <w:tr w14:paraId="3F3110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 w:hRule="atLeast"/>
        </w:trPr>
        <w:tc>
          <w:tcPr>
            <w:tcW w:w="893" w:type="dxa"/>
            <w:vMerge w:val="continue"/>
            <w:tcBorders>
              <w:top w:val="nil"/>
              <w:bottom w:val="nil"/>
            </w:tcBorders>
            <w:vAlign w:val="top"/>
          </w:tcPr>
          <w:p w14:paraId="09C13E35">
            <w:pPr>
              <w:rPr>
                <w:rFonts w:ascii="Arial"/>
                <w:sz w:val="21"/>
              </w:rPr>
            </w:pPr>
          </w:p>
        </w:tc>
        <w:tc>
          <w:tcPr>
            <w:tcW w:w="2334" w:type="dxa"/>
            <w:vAlign w:val="top"/>
          </w:tcPr>
          <w:p w14:paraId="679668AF">
            <w:pPr>
              <w:pStyle w:val="6"/>
              <w:spacing w:before="44" w:line="211" w:lineRule="auto"/>
              <w:ind w:left="12"/>
              <w:rPr>
                <w:sz w:val="18"/>
                <w:szCs w:val="18"/>
              </w:rPr>
            </w:pPr>
            <w:r>
              <w:rPr>
                <w:spacing w:val="-1"/>
                <w:sz w:val="18"/>
                <w:szCs w:val="18"/>
              </w:rPr>
              <w:t>2.不征税收入和免税收入</w:t>
            </w:r>
          </w:p>
        </w:tc>
        <w:tc>
          <w:tcPr>
            <w:tcW w:w="219" w:type="dxa"/>
            <w:vAlign w:val="top"/>
          </w:tcPr>
          <w:p w14:paraId="2E3FE295">
            <w:pPr>
              <w:rPr>
                <w:rFonts w:ascii="Arial"/>
                <w:sz w:val="21"/>
              </w:rPr>
            </w:pPr>
          </w:p>
        </w:tc>
        <w:tc>
          <w:tcPr>
            <w:tcW w:w="230" w:type="dxa"/>
            <w:vAlign w:val="top"/>
          </w:tcPr>
          <w:p w14:paraId="42C1C987">
            <w:pPr>
              <w:rPr>
                <w:rFonts w:ascii="Arial"/>
                <w:sz w:val="21"/>
              </w:rPr>
            </w:pPr>
          </w:p>
        </w:tc>
        <w:tc>
          <w:tcPr>
            <w:tcW w:w="230" w:type="dxa"/>
            <w:vAlign w:val="top"/>
          </w:tcPr>
          <w:p w14:paraId="504EA2F0">
            <w:pPr>
              <w:rPr>
                <w:rFonts w:ascii="Arial"/>
                <w:sz w:val="21"/>
              </w:rPr>
            </w:pPr>
          </w:p>
        </w:tc>
        <w:tc>
          <w:tcPr>
            <w:tcW w:w="224" w:type="dxa"/>
            <w:vAlign w:val="top"/>
          </w:tcPr>
          <w:p w14:paraId="7309C42C">
            <w:pPr>
              <w:rPr>
                <w:rFonts w:ascii="Arial"/>
                <w:sz w:val="21"/>
              </w:rPr>
            </w:pPr>
          </w:p>
        </w:tc>
      </w:tr>
      <w:tr w14:paraId="206107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continue"/>
            <w:tcBorders>
              <w:top w:val="nil"/>
              <w:bottom w:val="nil"/>
            </w:tcBorders>
            <w:vAlign w:val="top"/>
          </w:tcPr>
          <w:p w14:paraId="469E431A">
            <w:pPr>
              <w:rPr>
                <w:rFonts w:ascii="Arial"/>
                <w:sz w:val="21"/>
              </w:rPr>
            </w:pPr>
          </w:p>
        </w:tc>
        <w:tc>
          <w:tcPr>
            <w:tcW w:w="2334" w:type="dxa"/>
            <w:vAlign w:val="top"/>
          </w:tcPr>
          <w:p w14:paraId="3B18184E">
            <w:pPr>
              <w:pStyle w:val="6"/>
              <w:spacing w:before="44" w:line="210" w:lineRule="auto"/>
              <w:ind w:left="12"/>
              <w:rPr>
                <w:sz w:val="18"/>
                <w:szCs w:val="18"/>
              </w:rPr>
            </w:pPr>
            <w:r>
              <w:rPr>
                <w:spacing w:val="5"/>
                <w:sz w:val="18"/>
                <w:szCs w:val="18"/>
              </w:rPr>
              <w:t>3.扣除项目</w:t>
            </w:r>
          </w:p>
        </w:tc>
        <w:tc>
          <w:tcPr>
            <w:tcW w:w="219" w:type="dxa"/>
            <w:vAlign w:val="top"/>
          </w:tcPr>
          <w:p w14:paraId="2806E5A0">
            <w:pPr>
              <w:rPr>
                <w:rFonts w:ascii="Arial"/>
                <w:sz w:val="21"/>
              </w:rPr>
            </w:pPr>
          </w:p>
        </w:tc>
        <w:tc>
          <w:tcPr>
            <w:tcW w:w="230" w:type="dxa"/>
            <w:vAlign w:val="top"/>
          </w:tcPr>
          <w:p w14:paraId="6BF8F90B">
            <w:pPr>
              <w:rPr>
                <w:rFonts w:ascii="Arial"/>
                <w:sz w:val="21"/>
              </w:rPr>
            </w:pPr>
          </w:p>
        </w:tc>
        <w:tc>
          <w:tcPr>
            <w:tcW w:w="230" w:type="dxa"/>
            <w:vAlign w:val="top"/>
          </w:tcPr>
          <w:p w14:paraId="25A2B015">
            <w:pPr>
              <w:rPr>
                <w:rFonts w:ascii="Arial"/>
                <w:sz w:val="21"/>
              </w:rPr>
            </w:pPr>
          </w:p>
        </w:tc>
        <w:tc>
          <w:tcPr>
            <w:tcW w:w="224" w:type="dxa"/>
            <w:vAlign w:val="top"/>
          </w:tcPr>
          <w:p w14:paraId="47022CD2">
            <w:pPr>
              <w:rPr>
                <w:rFonts w:ascii="Arial"/>
                <w:sz w:val="21"/>
              </w:rPr>
            </w:pPr>
          </w:p>
        </w:tc>
      </w:tr>
      <w:tr w14:paraId="6C1E53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0" w:hRule="atLeast"/>
        </w:trPr>
        <w:tc>
          <w:tcPr>
            <w:tcW w:w="893" w:type="dxa"/>
            <w:vMerge w:val="continue"/>
            <w:tcBorders>
              <w:top w:val="nil"/>
              <w:bottom w:val="nil"/>
            </w:tcBorders>
            <w:vAlign w:val="top"/>
          </w:tcPr>
          <w:p w14:paraId="08EBAD27">
            <w:pPr>
              <w:rPr>
                <w:rFonts w:ascii="Arial"/>
                <w:sz w:val="21"/>
              </w:rPr>
            </w:pPr>
          </w:p>
        </w:tc>
        <w:tc>
          <w:tcPr>
            <w:tcW w:w="2334" w:type="dxa"/>
            <w:vAlign w:val="top"/>
          </w:tcPr>
          <w:p w14:paraId="2F87AEAE">
            <w:pPr>
              <w:pStyle w:val="6"/>
              <w:spacing w:before="45" w:line="200" w:lineRule="auto"/>
              <w:ind w:left="12"/>
              <w:rPr>
                <w:sz w:val="18"/>
                <w:szCs w:val="18"/>
              </w:rPr>
            </w:pPr>
            <w:r>
              <w:rPr>
                <w:spacing w:val="4"/>
                <w:sz w:val="18"/>
                <w:szCs w:val="18"/>
              </w:rPr>
              <w:t>4.不得扣除项目</w:t>
            </w:r>
          </w:p>
        </w:tc>
        <w:tc>
          <w:tcPr>
            <w:tcW w:w="219" w:type="dxa"/>
            <w:vAlign w:val="top"/>
          </w:tcPr>
          <w:p w14:paraId="5FA630B7">
            <w:pPr>
              <w:spacing w:line="240" w:lineRule="exact"/>
              <w:rPr>
                <w:rFonts w:ascii="Arial"/>
                <w:sz w:val="20"/>
              </w:rPr>
            </w:pPr>
          </w:p>
        </w:tc>
        <w:tc>
          <w:tcPr>
            <w:tcW w:w="230" w:type="dxa"/>
            <w:vAlign w:val="top"/>
          </w:tcPr>
          <w:p w14:paraId="3AA7B170">
            <w:pPr>
              <w:spacing w:line="240" w:lineRule="exact"/>
              <w:rPr>
                <w:rFonts w:ascii="Arial"/>
                <w:sz w:val="20"/>
              </w:rPr>
            </w:pPr>
          </w:p>
        </w:tc>
        <w:tc>
          <w:tcPr>
            <w:tcW w:w="230" w:type="dxa"/>
            <w:vAlign w:val="top"/>
          </w:tcPr>
          <w:p w14:paraId="34956033">
            <w:pPr>
              <w:spacing w:line="240" w:lineRule="exact"/>
              <w:rPr>
                <w:rFonts w:ascii="Arial"/>
                <w:sz w:val="20"/>
              </w:rPr>
            </w:pPr>
          </w:p>
        </w:tc>
        <w:tc>
          <w:tcPr>
            <w:tcW w:w="224" w:type="dxa"/>
            <w:vAlign w:val="top"/>
          </w:tcPr>
          <w:p w14:paraId="7A1D0EF1">
            <w:pPr>
              <w:spacing w:line="240" w:lineRule="exact"/>
              <w:rPr>
                <w:rFonts w:ascii="Arial"/>
                <w:sz w:val="20"/>
              </w:rPr>
            </w:pPr>
          </w:p>
        </w:tc>
      </w:tr>
      <w:tr w14:paraId="589510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 w:hRule="atLeast"/>
        </w:trPr>
        <w:tc>
          <w:tcPr>
            <w:tcW w:w="893" w:type="dxa"/>
            <w:vMerge w:val="continue"/>
            <w:tcBorders>
              <w:top w:val="nil"/>
              <w:bottom w:val="nil"/>
            </w:tcBorders>
            <w:vAlign w:val="top"/>
          </w:tcPr>
          <w:p w14:paraId="1EAAAE93">
            <w:pPr>
              <w:rPr>
                <w:rFonts w:ascii="Arial"/>
                <w:sz w:val="21"/>
              </w:rPr>
            </w:pPr>
          </w:p>
        </w:tc>
        <w:tc>
          <w:tcPr>
            <w:tcW w:w="2334" w:type="dxa"/>
            <w:vAlign w:val="top"/>
          </w:tcPr>
          <w:p w14:paraId="2C00F3D5">
            <w:pPr>
              <w:pStyle w:val="6"/>
              <w:spacing w:before="46" w:line="209" w:lineRule="auto"/>
              <w:ind w:left="12"/>
              <w:rPr>
                <w:sz w:val="18"/>
                <w:szCs w:val="18"/>
              </w:rPr>
            </w:pPr>
            <w:r>
              <w:rPr>
                <w:spacing w:val="2"/>
                <w:sz w:val="18"/>
                <w:szCs w:val="18"/>
              </w:rPr>
              <w:t>5.亏损弥补</w:t>
            </w:r>
          </w:p>
        </w:tc>
        <w:tc>
          <w:tcPr>
            <w:tcW w:w="219" w:type="dxa"/>
            <w:vAlign w:val="top"/>
          </w:tcPr>
          <w:p w14:paraId="6F55992B">
            <w:pPr>
              <w:rPr>
                <w:rFonts w:ascii="Arial"/>
                <w:sz w:val="21"/>
              </w:rPr>
            </w:pPr>
          </w:p>
        </w:tc>
        <w:tc>
          <w:tcPr>
            <w:tcW w:w="230" w:type="dxa"/>
            <w:vAlign w:val="top"/>
          </w:tcPr>
          <w:p w14:paraId="700CF9C6">
            <w:pPr>
              <w:rPr>
                <w:rFonts w:ascii="Arial"/>
                <w:sz w:val="21"/>
              </w:rPr>
            </w:pPr>
          </w:p>
        </w:tc>
        <w:tc>
          <w:tcPr>
            <w:tcW w:w="230" w:type="dxa"/>
            <w:vAlign w:val="top"/>
          </w:tcPr>
          <w:p w14:paraId="50E9C723">
            <w:pPr>
              <w:rPr>
                <w:rFonts w:ascii="Arial"/>
                <w:sz w:val="21"/>
              </w:rPr>
            </w:pPr>
          </w:p>
        </w:tc>
        <w:tc>
          <w:tcPr>
            <w:tcW w:w="224" w:type="dxa"/>
            <w:vAlign w:val="top"/>
          </w:tcPr>
          <w:p w14:paraId="5501ED51">
            <w:pPr>
              <w:rPr>
                <w:rFonts w:ascii="Arial"/>
                <w:sz w:val="21"/>
              </w:rPr>
            </w:pPr>
          </w:p>
        </w:tc>
      </w:tr>
      <w:tr w14:paraId="5E2B83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continue"/>
            <w:tcBorders>
              <w:top w:val="nil"/>
            </w:tcBorders>
            <w:vAlign w:val="top"/>
          </w:tcPr>
          <w:p w14:paraId="50795CB4">
            <w:pPr>
              <w:rPr>
                <w:rFonts w:ascii="Arial"/>
                <w:sz w:val="21"/>
              </w:rPr>
            </w:pPr>
          </w:p>
        </w:tc>
        <w:tc>
          <w:tcPr>
            <w:tcW w:w="2334" w:type="dxa"/>
            <w:vAlign w:val="top"/>
          </w:tcPr>
          <w:p w14:paraId="1ADA398E">
            <w:pPr>
              <w:pStyle w:val="6"/>
              <w:spacing w:before="45" w:line="209" w:lineRule="auto"/>
              <w:jc w:val="right"/>
              <w:rPr>
                <w:sz w:val="18"/>
                <w:szCs w:val="18"/>
              </w:rPr>
            </w:pPr>
            <w:r>
              <w:rPr>
                <w:spacing w:val="-3"/>
                <w:sz w:val="18"/>
                <w:szCs w:val="18"/>
              </w:rPr>
              <w:t>6.企业所得税应纳税额的计算</w:t>
            </w:r>
          </w:p>
        </w:tc>
        <w:tc>
          <w:tcPr>
            <w:tcW w:w="219" w:type="dxa"/>
            <w:vAlign w:val="top"/>
          </w:tcPr>
          <w:p w14:paraId="5613ADA4">
            <w:pPr>
              <w:rPr>
                <w:rFonts w:ascii="Arial"/>
                <w:sz w:val="21"/>
              </w:rPr>
            </w:pPr>
          </w:p>
        </w:tc>
        <w:tc>
          <w:tcPr>
            <w:tcW w:w="230" w:type="dxa"/>
            <w:vAlign w:val="top"/>
          </w:tcPr>
          <w:p w14:paraId="02C1F5CD">
            <w:pPr>
              <w:rPr>
                <w:rFonts w:ascii="Arial"/>
                <w:sz w:val="21"/>
              </w:rPr>
            </w:pPr>
          </w:p>
        </w:tc>
        <w:tc>
          <w:tcPr>
            <w:tcW w:w="230" w:type="dxa"/>
            <w:vAlign w:val="top"/>
          </w:tcPr>
          <w:p w14:paraId="0D4EBFF0">
            <w:pPr>
              <w:rPr>
                <w:rFonts w:ascii="Arial"/>
                <w:sz w:val="21"/>
              </w:rPr>
            </w:pPr>
          </w:p>
        </w:tc>
        <w:tc>
          <w:tcPr>
            <w:tcW w:w="224" w:type="dxa"/>
            <w:vAlign w:val="top"/>
          </w:tcPr>
          <w:p w14:paraId="2F2CA4C7">
            <w:pPr>
              <w:pStyle w:val="6"/>
              <w:spacing w:before="86" w:line="231" w:lineRule="auto"/>
              <w:ind w:left="39"/>
              <w:rPr>
                <w:sz w:val="13"/>
                <w:szCs w:val="13"/>
              </w:rPr>
            </w:pPr>
            <w:r>
              <w:rPr>
                <w:sz w:val="13"/>
                <w:szCs w:val="13"/>
              </w:rPr>
              <w:t>√</w:t>
            </w:r>
          </w:p>
        </w:tc>
      </w:tr>
      <w:tr w14:paraId="610045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0" w:hRule="atLeast"/>
        </w:trPr>
        <w:tc>
          <w:tcPr>
            <w:tcW w:w="893" w:type="dxa"/>
            <w:vMerge w:val="restart"/>
            <w:tcBorders>
              <w:bottom w:val="nil"/>
            </w:tcBorders>
            <w:vAlign w:val="top"/>
          </w:tcPr>
          <w:p w14:paraId="7D317B7B">
            <w:pPr>
              <w:pStyle w:val="6"/>
              <w:spacing w:before="196" w:line="219" w:lineRule="auto"/>
              <w:ind w:left="75"/>
              <w:rPr>
                <w:sz w:val="18"/>
                <w:szCs w:val="18"/>
              </w:rPr>
            </w:pPr>
            <w:r>
              <w:rPr>
                <w:spacing w:val="-2"/>
                <w:sz w:val="18"/>
                <w:szCs w:val="18"/>
              </w:rPr>
              <w:t>企业所得</w:t>
            </w:r>
          </w:p>
          <w:p w14:paraId="430A69DF">
            <w:pPr>
              <w:pStyle w:val="6"/>
              <w:spacing w:before="17" w:line="204" w:lineRule="auto"/>
              <w:ind w:left="75"/>
              <w:rPr>
                <w:sz w:val="18"/>
                <w:szCs w:val="18"/>
              </w:rPr>
            </w:pPr>
            <w:r>
              <w:rPr>
                <w:spacing w:val="-2"/>
                <w:sz w:val="18"/>
                <w:szCs w:val="18"/>
              </w:rPr>
              <w:t>税的纳税</w:t>
            </w:r>
          </w:p>
          <w:p w14:paraId="00CFE3C3">
            <w:pPr>
              <w:pStyle w:val="6"/>
              <w:spacing w:line="219" w:lineRule="auto"/>
              <w:ind w:left="254"/>
              <w:rPr>
                <w:sz w:val="18"/>
                <w:szCs w:val="18"/>
              </w:rPr>
            </w:pPr>
            <w:r>
              <w:rPr>
                <w:spacing w:val="4"/>
                <w:sz w:val="18"/>
                <w:szCs w:val="18"/>
              </w:rPr>
              <w:t>申报</w:t>
            </w:r>
          </w:p>
        </w:tc>
        <w:tc>
          <w:tcPr>
            <w:tcW w:w="2334" w:type="dxa"/>
            <w:vAlign w:val="top"/>
          </w:tcPr>
          <w:p w14:paraId="40EBCD97">
            <w:pPr>
              <w:pStyle w:val="6"/>
              <w:spacing w:before="45" w:line="199" w:lineRule="auto"/>
              <w:ind w:left="12"/>
              <w:rPr>
                <w:sz w:val="18"/>
                <w:szCs w:val="18"/>
              </w:rPr>
            </w:pPr>
            <w:r>
              <w:rPr>
                <w:spacing w:val="1"/>
                <w:sz w:val="18"/>
                <w:szCs w:val="18"/>
              </w:rPr>
              <w:t>1.企业所得税的纳税地点</w:t>
            </w:r>
          </w:p>
        </w:tc>
        <w:tc>
          <w:tcPr>
            <w:tcW w:w="219" w:type="dxa"/>
            <w:vAlign w:val="top"/>
          </w:tcPr>
          <w:p w14:paraId="1349AD62">
            <w:pPr>
              <w:spacing w:line="240" w:lineRule="exact"/>
              <w:rPr>
                <w:rFonts w:ascii="Arial"/>
                <w:sz w:val="20"/>
              </w:rPr>
            </w:pPr>
          </w:p>
        </w:tc>
        <w:tc>
          <w:tcPr>
            <w:tcW w:w="230" w:type="dxa"/>
            <w:vAlign w:val="top"/>
          </w:tcPr>
          <w:p w14:paraId="0EE82C8C">
            <w:pPr>
              <w:pStyle w:val="6"/>
              <w:spacing w:before="77" w:line="231" w:lineRule="auto"/>
              <w:ind w:left="19"/>
              <w:rPr>
                <w:sz w:val="13"/>
                <w:szCs w:val="13"/>
              </w:rPr>
            </w:pPr>
            <w:r>
              <w:rPr>
                <w:sz w:val="13"/>
                <w:szCs w:val="13"/>
              </w:rPr>
              <w:t>√</w:t>
            </w:r>
          </w:p>
        </w:tc>
        <w:tc>
          <w:tcPr>
            <w:tcW w:w="230" w:type="dxa"/>
            <w:vAlign w:val="top"/>
          </w:tcPr>
          <w:p w14:paraId="50FB86C6">
            <w:pPr>
              <w:spacing w:line="240" w:lineRule="exact"/>
              <w:rPr>
                <w:rFonts w:ascii="Arial"/>
                <w:sz w:val="20"/>
              </w:rPr>
            </w:pPr>
          </w:p>
        </w:tc>
        <w:tc>
          <w:tcPr>
            <w:tcW w:w="224" w:type="dxa"/>
            <w:vAlign w:val="top"/>
          </w:tcPr>
          <w:p w14:paraId="023970EA">
            <w:pPr>
              <w:spacing w:line="240" w:lineRule="exact"/>
              <w:rPr>
                <w:rFonts w:ascii="Arial"/>
                <w:sz w:val="20"/>
              </w:rPr>
            </w:pPr>
          </w:p>
        </w:tc>
      </w:tr>
      <w:tr w14:paraId="648F97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 w:hRule="atLeast"/>
        </w:trPr>
        <w:tc>
          <w:tcPr>
            <w:tcW w:w="893" w:type="dxa"/>
            <w:vMerge w:val="continue"/>
            <w:tcBorders>
              <w:top w:val="nil"/>
              <w:bottom w:val="nil"/>
            </w:tcBorders>
            <w:vAlign w:val="top"/>
          </w:tcPr>
          <w:p w14:paraId="0BC33F60">
            <w:pPr>
              <w:rPr>
                <w:rFonts w:ascii="Arial"/>
                <w:sz w:val="21"/>
              </w:rPr>
            </w:pPr>
          </w:p>
        </w:tc>
        <w:tc>
          <w:tcPr>
            <w:tcW w:w="2334" w:type="dxa"/>
            <w:vAlign w:val="top"/>
          </w:tcPr>
          <w:p w14:paraId="505988D5">
            <w:pPr>
              <w:pStyle w:val="6"/>
              <w:spacing w:before="46" w:line="209" w:lineRule="auto"/>
              <w:ind w:left="12"/>
              <w:rPr>
                <w:sz w:val="18"/>
                <w:szCs w:val="18"/>
              </w:rPr>
            </w:pPr>
            <w:r>
              <w:rPr>
                <w:spacing w:val="-1"/>
                <w:sz w:val="18"/>
                <w:szCs w:val="18"/>
              </w:rPr>
              <w:t>2.企业所得税的纳税期限</w:t>
            </w:r>
          </w:p>
        </w:tc>
        <w:tc>
          <w:tcPr>
            <w:tcW w:w="219" w:type="dxa"/>
            <w:vAlign w:val="top"/>
          </w:tcPr>
          <w:p w14:paraId="35CC1364">
            <w:pPr>
              <w:rPr>
                <w:rFonts w:ascii="Arial"/>
                <w:sz w:val="21"/>
              </w:rPr>
            </w:pPr>
          </w:p>
        </w:tc>
        <w:tc>
          <w:tcPr>
            <w:tcW w:w="230" w:type="dxa"/>
            <w:vAlign w:val="top"/>
          </w:tcPr>
          <w:p w14:paraId="56764193">
            <w:pPr>
              <w:pStyle w:val="6"/>
              <w:spacing w:before="87" w:line="231" w:lineRule="auto"/>
              <w:ind w:left="19"/>
              <w:rPr>
                <w:sz w:val="13"/>
                <w:szCs w:val="13"/>
              </w:rPr>
            </w:pPr>
            <w:r>
              <w:rPr>
                <w:sz w:val="13"/>
                <w:szCs w:val="13"/>
              </w:rPr>
              <w:t>√</w:t>
            </w:r>
          </w:p>
        </w:tc>
        <w:tc>
          <w:tcPr>
            <w:tcW w:w="230" w:type="dxa"/>
            <w:vAlign w:val="top"/>
          </w:tcPr>
          <w:p w14:paraId="183128B5">
            <w:pPr>
              <w:rPr>
                <w:rFonts w:ascii="Arial"/>
                <w:sz w:val="21"/>
              </w:rPr>
            </w:pPr>
          </w:p>
        </w:tc>
        <w:tc>
          <w:tcPr>
            <w:tcW w:w="224" w:type="dxa"/>
            <w:vAlign w:val="top"/>
          </w:tcPr>
          <w:p w14:paraId="2532CD27">
            <w:pPr>
              <w:rPr>
                <w:rFonts w:ascii="Arial"/>
                <w:sz w:val="21"/>
              </w:rPr>
            </w:pPr>
          </w:p>
        </w:tc>
      </w:tr>
      <w:tr w14:paraId="60582E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4" w:hRule="atLeast"/>
        </w:trPr>
        <w:tc>
          <w:tcPr>
            <w:tcW w:w="893" w:type="dxa"/>
            <w:vMerge w:val="continue"/>
            <w:tcBorders>
              <w:top w:val="nil"/>
            </w:tcBorders>
            <w:vAlign w:val="top"/>
          </w:tcPr>
          <w:p w14:paraId="330E7D90">
            <w:pPr>
              <w:rPr>
                <w:rFonts w:ascii="Arial"/>
                <w:sz w:val="21"/>
              </w:rPr>
            </w:pPr>
          </w:p>
        </w:tc>
        <w:tc>
          <w:tcPr>
            <w:tcW w:w="2334" w:type="dxa"/>
            <w:vAlign w:val="top"/>
          </w:tcPr>
          <w:p w14:paraId="0BB0E0EB">
            <w:pPr>
              <w:pStyle w:val="6"/>
              <w:spacing w:before="35" w:line="199" w:lineRule="auto"/>
              <w:ind w:left="12" w:right="138"/>
              <w:rPr>
                <w:sz w:val="18"/>
                <w:szCs w:val="18"/>
              </w:rPr>
            </w:pPr>
            <w:r>
              <w:rPr>
                <w:spacing w:val="1"/>
                <w:sz w:val="18"/>
                <w:szCs w:val="18"/>
              </w:rPr>
              <w:t>3.企业所得税的纳税申报资</w:t>
            </w:r>
            <w:r>
              <w:rPr>
                <w:sz w:val="18"/>
                <w:szCs w:val="18"/>
              </w:rPr>
              <w:t xml:space="preserve"> </w:t>
            </w:r>
            <w:r>
              <w:rPr>
                <w:spacing w:val="-1"/>
                <w:sz w:val="18"/>
                <w:szCs w:val="18"/>
              </w:rPr>
              <w:t>料和申报流程</w:t>
            </w:r>
          </w:p>
        </w:tc>
        <w:tc>
          <w:tcPr>
            <w:tcW w:w="219" w:type="dxa"/>
            <w:vAlign w:val="top"/>
          </w:tcPr>
          <w:p w14:paraId="7C4A70A0">
            <w:pPr>
              <w:pStyle w:val="6"/>
              <w:spacing w:before="167" w:line="238" w:lineRule="auto"/>
              <w:ind w:left="38"/>
              <w:rPr>
                <w:sz w:val="13"/>
                <w:szCs w:val="13"/>
              </w:rPr>
            </w:pPr>
            <w:r>
              <w:rPr>
                <w:sz w:val="13"/>
                <w:szCs w:val="13"/>
              </w:rPr>
              <w:t>√</w:t>
            </w:r>
          </w:p>
        </w:tc>
        <w:tc>
          <w:tcPr>
            <w:tcW w:w="230" w:type="dxa"/>
            <w:vAlign w:val="top"/>
          </w:tcPr>
          <w:p w14:paraId="38AAE149">
            <w:pPr>
              <w:rPr>
                <w:rFonts w:ascii="Arial"/>
                <w:sz w:val="21"/>
              </w:rPr>
            </w:pPr>
          </w:p>
        </w:tc>
        <w:tc>
          <w:tcPr>
            <w:tcW w:w="230" w:type="dxa"/>
            <w:vAlign w:val="top"/>
          </w:tcPr>
          <w:p w14:paraId="7343D222">
            <w:pPr>
              <w:rPr>
                <w:rFonts w:ascii="Arial"/>
                <w:sz w:val="21"/>
              </w:rPr>
            </w:pPr>
          </w:p>
        </w:tc>
        <w:tc>
          <w:tcPr>
            <w:tcW w:w="224" w:type="dxa"/>
            <w:vAlign w:val="top"/>
          </w:tcPr>
          <w:p w14:paraId="349E3540">
            <w:pPr>
              <w:rPr>
                <w:rFonts w:ascii="Arial"/>
                <w:sz w:val="21"/>
              </w:rPr>
            </w:pPr>
          </w:p>
        </w:tc>
      </w:tr>
    </w:tbl>
    <w:p w14:paraId="242BEC28">
      <w:pPr>
        <w:spacing w:before="128" w:line="221" w:lineRule="auto"/>
        <w:ind w:left="1347"/>
        <w:rPr>
          <w:rFonts w:ascii="黑体" w:hAnsi="黑体" w:eastAsia="黑体" w:cs="黑体"/>
          <w:sz w:val="20"/>
          <w:szCs w:val="20"/>
        </w:rPr>
      </w:pPr>
      <w:r>
        <w:rPr>
          <w:rFonts w:ascii="黑体" w:hAnsi="黑体" w:eastAsia="黑体" w:cs="黑体"/>
          <w:b/>
          <w:bCs/>
          <w:spacing w:val="10"/>
          <w:sz w:val="20"/>
          <w:szCs w:val="20"/>
        </w:rPr>
        <w:t>(六)个人所得税</w:t>
      </w:r>
    </w:p>
    <w:p w14:paraId="3F2F95F8">
      <w:pPr>
        <w:spacing w:line="82" w:lineRule="exact"/>
      </w:pPr>
    </w:p>
    <w:tbl>
      <w:tblPr>
        <w:tblStyle w:val="5"/>
        <w:tblW w:w="4130" w:type="dxa"/>
        <w:tblInd w:w="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24"/>
        <w:gridCol w:w="229"/>
        <w:gridCol w:w="230"/>
        <w:gridCol w:w="220"/>
        <w:gridCol w:w="234"/>
      </w:tblGrid>
      <w:tr w14:paraId="248BBF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9" w:hRule="atLeast"/>
        </w:trPr>
        <w:tc>
          <w:tcPr>
            <w:tcW w:w="893" w:type="dxa"/>
            <w:vMerge w:val="restart"/>
            <w:tcBorders>
              <w:top w:val="single" w:color="000000" w:sz="2" w:space="0"/>
              <w:bottom w:val="nil"/>
            </w:tcBorders>
            <w:vAlign w:val="top"/>
          </w:tcPr>
          <w:p w14:paraId="58CFB7B2">
            <w:pPr>
              <w:pStyle w:val="6"/>
              <w:spacing w:before="137" w:line="236" w:lineRule="auto"/>
              <w:ind w:left="97" w:right="112" w:firstLine="90"/>
            </w:pPr>
            <w:r>
              <w:rPr>
                <w:b/>
                <w:bCs/>
                <w:spacing w:val="-6"/>
              </w:rPr>
              <w:t>知识与</w:t>
            </w:r>
            <w:r>
              <w:t xml:space="preserve">  </w:t>
            </w:r>
            <w:r>
              <w:rPr>
                <w:b/>
                <w:bCs/>
                <w:spacing w:val="-4"/>
              </w:rPr>
              <w:t>技能要点</w:t>
            </w:r>
          </w:p>
        </w:tc>
        <w:tc>
          <w:tcPr>
            <w:tcW w:w="2324" w:type="dxa"/>
            <w:vMerge w:val="restart"/>
            <w:tcBorders>
              <w:top w:val="single" w:color="000000" w:sz="2" w:space="0"/>
              <w:bottom w:val="nil"/>
            </w:tcBorders>
            <w:vAlign w:val="top"/>
          </w:tcPr>
          <w:p w14:paraId="49D89406">
            <w:pPr>
              <w:pStyle w:val="6"/>
              <w:spacing w:before="254" w:line="219" w:lineRule="auto"/>
              <w:ind w:left="844"/>
            </w:pPr>
            <w:r>
              <w:rPr>
                <w:b/>
                <w:bCs/>
                <w:spacing w:val="5"/>
              </w:rPr>
              <w:t>考试条目</w:t>
            </w:r>
          </w:p>
        </w:tc>
        <w:tc>
          <w:tcPr>
            <w:tcW w:w="913" w:type="dxa"/>
            <w:gridSpan w:val="4"/>
            <w:tcBorders>
              <w:top w:val="single" w:color="000000" w:sz="2" w:space="0"/>
              <w:bottom w:val="single" w:color="000000" w:sz="2" w:space="0"/>
            </w:tcBorders>
            <w:vAlign w:val="top"/>
          </w:tcPr>
          <w:p w14:paraId="2775226E">
            <w:pPr>
              <w:pStyle w:val="6"/>
              <w:spacing w:before="94" w:line="219" w:lineRule="auto"/>
              <w:ind w:left="130"/>
            </w:pPr>
            <w:r>
              <w:rPr>
                <w:b/>
                <w:bCs/>
                <w:spacing w:val="-4"/>
              </w:rPr>
              <w:t>考试水平</w:t>
            </w:r>
          </w:p>
        </w:tc>
      </w:tr>
      <w:tr w14:paraId="34ECEC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4" w:hRule="atLeast"/>
        </w:trPr>
        <w:tc>
          <w:tcPr>
            <w:tcW w:w="893" w:type="dxa"/>
            <w:vMerge w:val="continue"/>
            <w:tcBorders>
              <w:top w:val="nil"/>
              <w:bottom w:val="single" w:color="000000" w:sz="2" w:space="0"/>
            </w:tcBorders>
            <w:vAlign w:val="top"/>
          </w:tcPr>
          <w:p w14:paraId="631223DF">
            <w:pPr>
              <w:rPr>
                <w:rFonts w:ascii="Arial"/>
                <w:sz w:val="21"/>
              </w:rPr>
            </w:pPr>
          </w:p>
        </w:tc>
        <w:tc>
          <w:tcPr>
            <w:tcW w:w="2324" w:type="dxa"/>
            <w:vMerge w:val="continue"/>
            <w:tcBorders>
              <w:top w:val="nil"/>
              <w:bottom w:val="single" w:color="000000" w:sz="2" w:space="0"/>
            </w:tcBorders>
            <w:vAlign w:val="top"/>
          </w:tcPr>
          <w:p w14:paraId="33414EE6">
            <w:pPr>
              <w:rPr>
                <w:rFonts w:ascii="Arial"/>
                <w:sz w:val="21"/>
              </w:rPr>
            </w:pPr>
          </w:p>
        </w:tc>
        <w:tc>
          <w:tcPr>
            <w:tcW w:w="229" w:type="dxa"/>
            <w:tcBorders>
              <w:top w:val="single" w:color="000000" w:sz="2" w:space="0"/>
              <w:bottom w:val="single" w:color="000000" w:sz="2" w:space="0"/>
            </w:tcBorders>
            <w:vAlign w:val="top"/>
          </w:tcPr>
          <w:p w14:paraId="674D6788">
            <w:pPr>
              <w:pStyle w:val="6"/>
              <w:spacing w:before="125" w:line="184" w:lineRule="auto"/>
              <w:ind w:left="70"/>
            </w:pPr>
            <w:r>
              <w:rPr>
                <w:b/>
                <w:bCs/>
                <w:spacing w:val="-2"/>
              </w:rPr>
              <w:t>A</w:t>
            </w:r>
          </w:p>
        </w:tc>
        <w:tc>
          <w:tcPr>
            <w:tcW w:w="230" w:type="dxa"/>
            <w:tcBorders>
              <w:top w:val="single" w:color="000000" w:sz="2" w:space="0"/>
              <w:bottom w:val="single" w:color="000000" w:sz="2" w:space="0"/>
            </w:tcBorders>
            <w:vAlign w:val="top"/>
          </w:tcPr>
          <w:p w14:paraId="45557403">
            <w:pPr>
              <w:pStyle w:val="6"/>
              <w:spacing w:before="120" w:line="182" w:lineRule="auto"/>
              <w:ind w:left="71"/>
              <w:rPr>
                <w:sz w:val="18"/>
                <w:szCs w:val="18"/>
              </w:rPr>
            </w:pPr>
            <w:r>
              <w:rPr>
                <w:b/>
                <w:bCs/>
                <w:spacing w:val="-2"/>
                <w:sz w:val="18"/>
                <w:szCs w:val="18"/>
              </w:rPr>
              <w:t>B</w:t>
            </w:r>
          </w:p>
        </w:tc>
        <w:tc>
          <w:tcPr>
            <w:tcW w:w="220" w:type="dxa"/>
            <w:tcBorders>
              <w:top w:val="single" w:color="000000" w:sz="2" w:space="0"/>
              <w:bottom w:val="single" w:color="000000" w:sz="2" w:space="0"/>
            </w:tcBorders>
            <w:vAlign w:val="top"/>
          </w:tcPr>
          <w:p w14:paraId="1CFD229D">
            <w:pPr>
              <w:pStyle w:val="6"/>
              <w:spacing w:before="125" w:line="183" w:lineRule="auto"/>
              <w:ind w:left="61"/>
            </w:pPr>
            <w:r>
              <w:rPr>
                <w:b/>
                <w:bCs/>
                <w:spacing w:val="-2"/>
              </w:rPr>
              <w:t>C</w:t>
            </w:r>
          </w:p>
        </w:tc>
        <w:tc>
          <w:tcPr>
            <w:tcW w:w="234" w:type="dxa"/>
            <w:tcBorders>
              <w:top w:val="single" w:color="000000" w:sz="2" w:space="0"/>
              <w:bottom w:val="single" w:color="000000" w:sz="2" w:space="0"/>
            </w:tcBorders>
            <w:vAlign w:val="top"/>
          </w:tcPr>
          <w:p w14:paraId="49700960">
            <w:pPr>
              <w:pStyle w:val="6"/>
              <w:spacing w:before="127" w:line="182" w:lineRule="auto"/>
              <w:ind w:left="51"/>
            </w:pPr>
            <w:r>
              <w:rPr>
                <w:b/>
                <w:bCs/>
                <w:spacing w:val="-2"/>
              </w:rPr>
              <w:t>D</w:t>
            </w:r>
          </w:p>
        </w:tc>
      </w:tr>
      <w:tr w14:paraId="0E2CF8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4" w:hRule="atLeast"/>
        </w:trPr>
        <w:tc>
          <w:tcPr>
            <w:tcW w:w="893" w:type="dxa"/>
            <w:vMerge w:val="restart"/>
            <w:tcBorders>
              <w:top w:val="single" w:color="000000" w:sz="2" w:space="0"/>
              <w:bottom w:val="nil"/>
            </w:tcBorders>
            <w:vAlign w:val="top"/>
          </w:tcPr>
          <w:p w14:paraId="6DBD2113">
            <w:pPr>
              <w:spacing w:line="257" w:lineRule="auto"/>
              <w:rPr>
                <w:rFonts w:ascii="Arial"/>
                <w:sz w:val="21"/>
              </w:rPr>
            </w:pPr>
          </w:p>
          <w:p w14:paraId="20D9A482">
            <w:pPr>
              <w:spacing w:line="258" w:lineRule="auto"/>
              <w:rPr>
                <w:rFonts w:ascii="Arial"/>
                <w:sz w:val="21"/>
              </w:rPr>
            </w:pPr>
          </w:p>
          <w:p w14:paraId="06BC45D4">
            <w:pPr>
              <w:spacing w:line="258" w:lineRule="auto"/>
              <w:rPr>
                <w:rFonts w:ascii="Arial"/>
                <w:sz w:val="21"/>
              </w:rPr>
            </w:pPr>
          </w:p>
          <w:p w14:paraId="582628AA">
            <w:pPr>
              <w:pStyle w:val="6"/>
              <w:spacing w:before="55" w:line="219" w:lineRule="auto"/>
              <w:ind w:left="94"/>
            </w:pPr>
            <w:r>
              <w:rPr>
                <w:spacing w:val="-2"/>
              </w:rPr>
              <w:t>个人所得</w:t>
            </w:r>
          </w:p>
          <w:p w14:paraId="310A102D">
            <w:pPr>
              <w:pStyle w:val="6"/>
              <w:spacing w:before="6" w:line="219" w:lineRule="auto"/>
              <w:ind w:left="94"/>
            </w:pPr>
            <w:r>
              <w:rPr>
                <w:spacing w:val="-2"/>
              </w:rPr>
              <w:t>税的基本</w:t>
            </w:r>
          </w:p>
          <w:p w14:paraId="138B6EFF">
            <w:pPr>
              <w:pStyle w:val="6"/>
              <w:spacing w:before="29" w:line="219" w:lineRule="auto"/>
              <w:ind w:left="265"/>
            </w:pPr>
            <w:r>
              <w:rPr>
                <w:spacing w:val="4"/>
              </w:rPr>
              <w:t>内容</w:t>
            </w:r>
          </w:p>
        </w:tc>
        <w:tc>
          <w:tcPr>
            <w:tcW w:w="2324" w:type="dxa"/>
            <w:tcBorders>
              <w:top w:val="single" w:color="000000" w:sz="2" w:space="0"/>
              <w:bottom w:val="single" w:color="000000" w:sz="2" w:space="0"/>
            </w:tcBorders>
            <w:vAlign w:val="top"/>
          </w:tcPr>
          <w:p w14:paraId="246D1EE3">
            <w:pPr>
              <w:pStyle w:val="6"/>
              <w:spacing w:before="43" w:line="218" w:lineRule="auto"/>
              <w:ind w:left="2"/>
            </w:pPr>
            <w:r>
              <w:t>1.个人所得税的概念</w:t>
            </w:r>
          </w:p>
        </w:tc>
        <w:tc>
          <w:tcPr>
            <w:tcW w:w="229" w:type="dxa"/>
            <w:tcBorders>
              <w:top w:val="single" w:color="000000" w:sz="2" w:space="0"/>
              <w:bottom w:val="single" w:color="000000" w:sz="2" w:space="0"/>
            </w:tcBorders>
            <w:vAlign w:val="top"/>
          </w:tcPr>
          <w:p w14:paraId="68A05AE7">
            <w:pPr>
              <w:pStyle w:val="6"/>
              <w:spacing w:before="83" w:line="238" w:lineRule="auto"/>
              <w:ind w:left="48"/>
              <w:rPr>
                <w:sz w:val="12"/>
                <w:szCs w:val="12"/>
              </w:rPr>
            </w:pPr>
            <w:r>
              <w:rPr>
                <w:sz w:val="12"/>
                <w:szCs w:val="12"/>
              </w:rPr>
              <w:t>√</w:t>
            </w:r>
          </w:p>
        </w:tc>
        <w:tc>
          <w:tcPr>
            <w:tcW w:w="230" w:type="dxa"/>
            <w:tcBorders>
              <w:top w:val="single" w:color="000000" w:sz="2" w:space="0"/>
              <w:bottom w:val="single" w:color="000000" w:sz="2" w:space="0"/>
            </w:tcBorders>
            <w:vAlign w:val="top"/>
          </w:tcPr>
          <w:p w14:paraId="2FDA878A">
            <w:pPr>
              <w:rPr>
                <w:rFonts w:ascii="Arial"/>
                <w:sz w:val="21"/>
              </w:rPr>
            </w:pPr>
          </w:p>
        </w:tc>
        <w:tc>
          <w:tcPr>
            <w:tcW w:w="220" w:type="dxa"/>
            <w:tcBorders>
              <w:top w:val="single" w:color="000000" w:sz="2" w:space="0"/>
              <w:bottom w:val="single" w:color="000000" w:sz="2" w:space="0"/>
            </w:tcBorders>
            <w:vAlign w:val="top"/>
          </w:tcPr>
          <w:p w14:paraId="60613CB5">
            <w:pPr>
              <w:rPr>
                <w:rFonts w:ascii="Arial"/>
                <w:sz w:val="21"/>
              </w:rPr>
            </w:pPr>
          </w:p>
        </w:tc>
        <w:tc>
          <w:tcPr>
            <w:tcW w:w="234" w:type="dxa"/>
            <w:tcBorders>
              <w:top w:val="single" w:color="000000" w:sz="2" w:space="0"/>
              <w:bottom w:val="single" w:color="000000" w:sz="2" w:space="0"/>
            </w:tcBorders>
            <w:vAlign w:val="top"/>
          </w:tcPr>
          <w:p w14:paraId="605FC9AD">
            <w:pPr>
              <w:rPr>
                <w:rFonts w:ascii="Arial"/>
                <w:sz w:val="21"/>
              </w:rPr>
            </w:pPr>
          </w:p>
        </w:tc>
      </w:tr>
      <w:tr w14:paraId="38151B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4" w:hRule="atLeast"/>
        </w:trPr>
        <w:tc>
          <w:tcPr>
            <w:tcW w:w="893" w:type="dxa"/>
            <w:vMerge w:val="continue"/>
            <w:tcBorders>
              <w:top w:val="nil"/>
              <w:bottom w:val="nil"/>
            </w:tcBorders>
            <w:vAlign w:val="top"/>
          </w:tcPr>
          <w:p w14:paraId="1270875B">
            <w:pPr>
              <w:rPr>
                <w:rFonts w:ascii="Arial"/>
                <w:sz w:val="21"/>
              </w:rPr>
            </w:pPr>
          </w:p>
        </w:tc>
        <w:tc>
          <w:tcPr>
            <w:tcW w:w="2324" w:type="dxa"/>
            <w:tcBorders>
              <w:top w:val="single" w:color="000000" w:sz="2" w:space="0"/>
              <w:bottom w:val="single" w:color="000000" w:sz="2" w:space="0"/>
            </w:tcBorders>
            <w:vAlign w:val="top"/>
          </w:tcPr>
          <w:p w14:paraId="22062E02">
            <w:pPr>
              <w:pStyle w:val="6"/>
              <w:spacing w:before="43" w:line="212" w:lineRule="auto"/>
              <w:ind w:left="2" w:right="257"/>
            </w:pPr>
            <w:r>
              <w:rPr>
                <w:spacing w:val="1"/>
              </w:rPr>
              <w:t>2.个人所得税的纳税人和扣</w:t>
            </w:r>
            <w:r>
              <w:t xml:space="preserve"> </w:t>
            </w:r>
            <w:r>
              <w:rPr>
                <w:spacing w:val="-1"/>
              </w:rPr>
              <w:t>缴义务人</w:t>
            </w:r>
          </w:p>
        </w:tc>
        <w:tc>
          <w:tcPr>
            <w:tcW w:w="229" w:type="dxa"/>
            <w:tcBorders>
              <w:top w:val="single" w:color="000000" w:sz="2" w:space="0"/>
              <w:bottom w:val="single" w:color="000000" w:sz="2" w:space="0"/>
            </w:tcBorders>
            <w:vAlign w:val="top"/>
          </w:tcPr>
          <w:p w14:paraId="20D0D081">
            <w:pPr>
              <w:rPr>
                <w:rFonts w:ascii="Arial"/>
                <w:sz w:val="21"/>
              </w:rPr>
            </w:pPr>
          </w:p>
        </w:tc>
        <w:tc>
          <w:tcPr>
            <w:tcW w:w="230" w:type="dxa"/>
            <w:tcBorders>
              <w:top w:val="single" w:color="000000" w:sz="2" w:space="0"/>
              <w:bottom w:val="single" w:color="000000" w:sz="2" w:space="0"/>
            </w:tcBorders>
            <w:vAlign w:val="top"/>
          </w:tcPr>
          <w:p w14:paraId="7F752FE2">
            <w:pPr>
              <w:pStyle w:val="6"/>
              <w:spacing w:before="174" w:line="238" w:lineRule="auto"/>
              <w:ind w:left="48"/>
              <w:rPr>
                <w:sz w:val="12"/>
                <w:szCs w:val="12"/>
              </w:rPr>
            </w:pPr>
            <w:r>
              <w:rPr>
                <w:sz w:val="12"/>
                <w:szCs w:val="12"/>
              </w:rPr>
              <w:t>√</w:t>
            </w:r>
          </w:p>
        </w:tc>
        <w:tc>
          <w:tcPr>
            <w:tcW w:w="220" w:type="dxa"/>
            <w:tcBorders>
              <w:top w:val="single" w:color="000000" w:sz="2" w:space="0"/>
              <w:bottom w:val="single" w:color="000000" w:sz="2" w:space="0"/>
            </w:tcBorders>
            <w:vAlign w:val="top"/>
          </w:tcPr>
          <w:p w14:paraId="3DA53E12">
            <w:pPr>
              <w:rPr>
                <w:rFonts w:ascii="Arial"/>
                <w:sz w:val="21"/>
              </w:rPr>
            </w:pPr>
          </w:p>
        </w:tc>
        <w:tc>
          <w:tcPr>
            <w:tcW w:w="234" w:type="dxa"/>
            <w:tcBorders>
              <w:top w:val="single" w:color="000000" w:sz="2" w:space="0"/>
              <w:bottom w:val="single" w:color="000000" w:sz="2" w:space="0"/>
            </w:tcBorders>
            <w:vAlign w:val="top"/>
          </w:tcPr>
          <w:p w14:paraId="09141347">
            <w:pPr>
              <w:rPr>
                <w:rFonts w:ascii="Arial"/>
                <w:sz w:val="21"/>
              </w:rPr>
            </w:pPr>
          </w:p>
        </w:tc>
      </w:tr>
      <w:tr w14:paraId="789876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5" w:hRule="atLeast"/>
        </w:trPr>
        <w:tc>
          <w:tcPr>
            <w:tcW w:w="893" w:type="dxa"/>
            <w:vMerge w:val="continue"/>
            <w:tcBorders>
              <w:top w:val="nil"/>
              <w:bottom w:val="nil"/>
            </w:tcBorders>
            <w:vAlign w:val="top"/>
          </w:tcPr>
          <w:p w14:paraId="1A1A4634">
            <w:pPr>
              <w:rPr>
                <w:rFonts w:ascii="Arial"/>
                <w:sz w:val="21"/>
              </w:rPr>
            </w:pPr>
          </w:p>
        </w:tc>
        <w:tc>
          <w:tcPr>
            <w:tcW w:w="2324" w:type="dxa"/>
            <w:tcBorders>
              <w:top w:val="single" w:color="000000" w:sz="2" w:space="0"/>
              <w:bottom w:val="single" w:color="000000" w:sz="2" w:space="0"/>
            </w:tcBorders>
            <w:vAlign w:val="top"/>
          </w:tcPr>
          <w:p w14:paraId="13039F19">
            <w:pPr>
              <w:pStyle w:val="6"/>
              <w:spacing w:before="55" w:line="217" w:lineRule="auto"/>
              <w:ind w:left="2"/>
            </w:pPr>
            <w:r>
              <w:rPr>
                <w:spacing w:val="1"/>
              </w:rPr>
              <w:t>3.个人所得税的征税范围</w:t>
            </w:r>
          </w:p>
        </w:tc>
        <w:tc>
          <w:tcPr>
            <w:tcW w:w="229" w:type="dxa"/>
            <w:tcBorders>
              <w:top w:val="single" w:color="000000" w:sz="2" w:space="0"/>
              <w:bottom w:val="single" w:color="000000" w:sz="2" w:space="0"/>
            </w:tcBorders>
            <w:vAlign w:val="top"/>
          </w:tcPr>
          <w:p w14:paraId="33777BAF">
            <w:pPr>
              <w:rPr>
                <w:rFonts w:ascii="Arial"/>
                <w:sz w:val="21"/>
              </w:rPr>
            </w:pPr>
          </w:p>
        </w:tc>
        <w:tc>
          <w:tcPr>
            <w:tcW w:w="230" w:type="dxa"/>
            <w:tcBorders>
              <w:top w:val="single" w:color="000000" w:sz="2" w:space="0"/>
              <w:bottom w:val="single" w:color="000000" w:sz="2" w:space="0"/>
            </w:tcBorders>
            <w:vAlign w:val="top"/>
          </w:tcPr>
          <w:p w14:paraId="61C34784">
            <w:pPr>
              <w:pStyle w:val="6"/>
              <w:spacing w:before="85" w:line="238" w:lineRule="auto"/>
              <w:ind w:left="48"/>
              <w:rPr>
                <w:sz w:val="12"/>
                <w:szCs w:val="12"/>
              </w:rPr>
            </w:pPr>
            <w:r>
              <w:rPr>
                <w:sz w:val="12"/>
                <w:szCs w:val="12"/>
              </w:rPr>
              <w:t>√</w:t>
            </w:r>
          </w:p>
        </w:tc>
        <w:tc>
          <w:tcPr>
            <w:tcW w:w="220" w:type="dxa"/>
            <w:tcBorders>
              <w:top w:val="single" w:color="000000" w:sz="2" w:space="0"/>
              <w:bottom w:val="single" w:color="000000" w:sz="2" w:space="0"/>
            </w:tcBorders>
            <w:vAlign w:val="top"/>
          </w:tcPr>
          <w:p w14:paraId="4448F4F4">
            <w:pPr>
              <w:rPr>
                <w:rFonts w:ascii="Arial"/>
                <w:sz w:val="21"/>
              </w:rPr>
            </w:pPr>
          </w:p>
        </w:tc>
        <w:tc>
          <w:tcPr>
            <w:tcW w:w="234" w:type="dxa"/>
            <w:tcBorders>
              <w:top w:val="single" w:color="000000" w:sz="2" w:space="0"/>
              <w:bottom w:val="single" w:color="000000" w:sz="2" w:space="0"/>
            </w:tcBorders>
            <w:vAlign w:val="top"/>
          </w:tcPr>
          <w:p w14:paraId="6A9EBC6D">
            <w:pPr>
              <w:rPr>
                <w:rFonts w:ascii="Arial"/>
                <w:sz w:val="21"/>
              </w:rPr>
            </w:pPr>
          </w:p>
        </w:tc>
      </w:tr>
      <w:tr w14:paraId="143545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4" w:hRule="atLeast"/>
        </w:trPr>
        <w:tc>
          <w:tcPr>
            <w:tcW w:w="893" w:type="dxa"/>
            <w:vMerge w:val="continue"/>
            <w:tcBorders>
              <w:top w:val="nil"/>
              <w:bottom w:val="nil"/>
            </w:tcBorders>
            <w:vAlign w:val="top"/>
          </w:tcPr>
          <w:p w14:paraId="5AB99423">
            <w:pPr>
              <w:rPr>
                <w:rFonts w:ascii="Arial"/>
                <w:sz w:val="21"/>
              </w:rPr>
            </w:pPr>
          </w:p>
        </w:tc>
        <w:tc>
          <w:tcPr>
            <w:tcW w:w="2324" w:type="dxa"/>
            <w:tcBorders>
              <w:top w:val="single" w:color="000000" w:sz="2" w:space="0"/>
              <w:bottom w:val="single" w:color="000000" w:sz="2" w:space="0"/>
            </w:tcBorders>
            <w:vAlign w:val="top"/>
          </w:tcPr>
          <w:p w14:paraId="62544020">
            <w:pPr>
              <w:pStyle w:val="6"/>
              <w:spacing w:before="45" w:line="216" w:lineRule="auto"/>
              <w:ind w:left="2"/>
            </w:pPr>
            <w:r>
              <w:rPr>
                <w:spacing w:val="-1"/>
              </w:rPr>
              <w:t>4.个人所得税税率</w:t>
            </w:r>
          </w:p>
        </w:tc>
        <w:tc>
          <w:tcPr>
            <w:tcW w:w="229" w:type="dxa"/>
            <w:tcBorders>
              <w:top w:val="single" w:color="000000" w:sz="2" w:space="0"/>
              <w:bottom w:val="single" w:color="000000" w:sz="2" w:space="0"/>
            </w:tcBorders>
            <w:vAlign w:val="top"/>
          </w:tcPr>
          <w:p w14:paraId="5C696BD6">
            <w:pPr>
              <w:rPr>
                <w:rFonts w:ascii="Arial"/>
                <w:sz w:val="21"/>
              </w:rPr>
            </w:pPr>
          </w:p>
        </w:tc>
        <w:tc>
          <w:tcPr>
            <w:tcW w:w="230" w:type="dxa"/>
            <w:tcBorders>
              <w:top w:val="single" w:color="000000" w:sz="2" w:space="0"/>
              <w:bottom w:val="single" w:color="000000" w:sz="2" w:space="0"/>
            </w:tcBorders>
            <w:vAlign w:val="top"/>
          </w:tcPr>
          <w:p w14:paraId="5E9E4A8F">
            <w:pPr>
              <w:rPr>
                <w:rFonts w:ascii="Arial"/>
                <w:sz w:val="21"/>
              </w:rPr>
            </w:pPr>
          </w:p>
        </w:tc>
        <w:tc>
          <w:tcPr>
            <w:tcW w:w="220" w:type="dxa"/>
            <w:tcBorders>
              <w:top w:val="single" w:color="000000" w:sz="2" w:space="0"/>
              <w:bottom w:val="single" w:color="000000" w:sz="2" w:space="0"/>
            </w:tcBorders>
            <w:vAlign w:val="top"/>
          </w:tcPr>
          <w:p w14:paraId="2FCCD703">
            <w:pPr>
              <w:pStyle w:val="6"/>
              <w:spacing w:before="90" w:line="167" w:lineRule="auto"/>
              <w:ind w:left="59"/>
            </w:pPr>
            <w:r>
              <w:t>V</w:t>
            </w:r>
          </w:p>
        </w:tc>
        <w:tc>
          <w:tcPr>
            <w:tcW w:w="234" w:type="dxa"/>
            <w:tcBorders>
              <w:top w:val="single" w:color="000000" w:sz="2" w:space="0"/>
              <w:bottom w:val="single" w:color="000000" w:sz="2" w:space="0"/>
            </w:tcBorders>
            <w:vAlign w:val="top"/>
          </w:tcPr>
          <w:p w14:paraId="15EB1F1C">
            <w:pPr>
              <w:rPr>
                <w:rFonts w:ascii="Arial"/>
                <w:sz w:val="21"/>
              </w:rPr>
            </w:pPr>
          </w:p>
        </w:tc>
      </w:tr>
      <w:tr w14:paraId="1F042F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5" w:hRule="atLeast"/>
        </w:trPr>
        <w:tc>
          <w:tcPr>
            <w:tcW w:w="893" w:type="dxa"/>
            <w:vMerge w:val="continue"/>
            <w:tcBorders>
              <w:top w:val="nil"/>
              <w:bottom w:val="nil"/>
            </w:tcBorders>
            <w:vAlign w:val="top"/>
          </w:tcPr>
          <w:p w14:paraId="34A6F559">
            <w:pPr>
              <w:rPr>
                <w:rFonts w:ascii="Arial"/>
                <w:sz w:val="21"/>
              </w:rPr>
            </w:pPr>
          </w:p>
        </w:tc>
        <w:tc>
          <w:tcPr>
            <w:tcW w:w="2324" w:type="dxa"/>
            <w:tcBorders>
              <w:top w:val="single" w:color="000000" w:sz="2" w:space="0"/>
              <w:bottom w:val="single" w:color="000000" w:sz="2" w:space="0"/>
            </w:tcBorders>
            <w:vAlign w:val="top"/>
          </w:tcPr>
          <w:p w14:paraId="10DA88A7">
            <w:pPr>
              <w:pStyle w:val="6"/>
              <w:spacing w:before="56" w:line="216" w:lineRule="auto"/>
              <w:ind w:left="2"/>
            </w:pPr>
            <w:r>
              <w:rPr>
                <w:spacing w:val="-1"/>
              </w:rPr>
              <w:t>5.个人所得税的征税方法</w:t>
            </w:r>
          </w:p>
        </w:tc>
        <w:tc>
          <w:tcPr>
            <w:tcW w:w="229" w:type="dxa"/>
            <w:tcBorders>
              <w:top w:val="single" w:color="000000" w:sz="2" w:space="0"/>
              <w:bottom w:val="single" w:color="000000" w:sz="2" w:space="0"/>
            </w:tcBorders>
            <w:vAlign w:val="top"/>
          </w:tcPr>
          <w:p w14:paraId="6900F80F">
            <w:pPr>
              <w:rPr>
                <w:rFonts w:ascii="Arial"/>
                <w:sz w:val="21"/>
              </w:rPr>
            </w:pPr>
          </w:p>
        </w:tc>
        <w:tc>
          <w:tcPr>
            <w:tcW w:w="230" w:type="dxa"/>
            <w:tcBorders>
              <w:top w:val="single" w:color="000000" w:sz="2" w:space="0"/>
              <w:bottom w:val="single" w:color="000000" w:sz="2" w:space="0"/>
            </w:tcBorders>
            <w:vAlign w:val="top"/>
          </w:tcPr>
          <w:p w14:paraId="0D7257DB">
            <w:pPr>
              <w:rPr>
                <w:rFonts w:ascii="Arial"/>
                <w:sz w:val="21"/>
              </w:rPr>
            </w:pPr>
          </w:p>
        </w:tc>
        <w:tc>
          <w:tcPr>
            <w:tcW w:w="220" w:type="dxa"/>
            <w:tcBorders>
              <w:top w:val="single" w:color="000000" w:sz="2" w:space="0"/>
              <w:bottom w:val="single" w:color="000000" w:sz="2" w:space="0"/>
            </w:tcBorders>
            <w:vAlign w:val="top"/>
          </w:tcPr>
          <w:p w14:paraId="75B745F4">
            <w:pPr>
              <w:pStyle w:val="6"/>
              <w:spacing w:before="101" w:line="167" w:lineRule="auto"/>
              <w:ind w:left="59"/>
            </w:pPr>
            <w:r>
              <w:t>V</w:t>
            </w:r>
          </w:p>
        </w:tc>
        <w:tc>
          <w:tcPr>
            <w:tcW w:w="234" w:type="dxa"/>
            <w:tcBorders>
              <w:top w:val="single" w:color="000000" w:sz="2" w:space="0"/>
              <w:bottom w:val="single" w:color="000000" w:sz="2" w:space="0"/>
            </w:tcBorders>
            <w:vAlign w:val="top"/>
          </w:tcPr>
          <w:p w14:paraId="7C603D0C">
            <w:pPr>
              <w:rPr>
                <w:rFonts w:ascii="Arial"/>
                <w:sz w:val="21"/>
              </w:rPr>
            </w:pPr>
          </w:p>
        </w:tc>
      </w:tr>
      <w:tr w14:paraId="32C646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4" w:hRule="atLeast"/>
        </w:trPr>
        <w:tc>
          <w:tcPr>
            <w:tcW w:w="893" w:type="dxa"/>
            <w:vMerge w:val="continue"/>
            <w:tcBorders>
              <w:top w:val="nil"/>
              <w:bottom w:val="nil"/>
            </w:tcBorders>
            <w:vAlign w:val="top"/>
          </w:tcPr>
          <w:p w14:paraId="24BBB55B">
            <w:pPr>
              <w:rPr>
                <w:rFonts w:ascii="Arial"/>
                <w:sz w:val="21"/>
              </w:rPr>
            </w:pPr>
          </w:p>
        </w:tc>
        <w:tc>
          <w:tcPr>
            <w:tcW w:w="2324" w:type="dxa"/>
            <w:tcBorders>
              <w:top w:val="single" w:color="000000" w:sz="2" w:space="0"/>
              <w:bottom w:val="single" w:color="000000" w:sz="2" w:space="0"/>
            </w:tcBorders>
            <w:vAlign w:val="top"/>
          </w:tcPr>
          <w:p w14:paraId="7514C210">
            <w:pPr>
              <w:pStyle w:val="6"/>
              <w:spacing w:before="45" w:line="216" w:lineRule="auto"/>
              <w:ind w:left="2"/>
            </w:pPr>
            <w:r>
              <w:rPr>
                <w:spacing w:val="-1"/>
              </w:rPr>
              <w:t>6.个人所得税的计税依据</w:t>
            </w:r>
          </w:p>
        </w:tc>
        <w:tc>
          <w:tcPr>
            <w:tcW w:w="229" w:type="dxa"/>
            <w:tcBorders>
              <w:top w:val="single" w:color="000000" w:sz="2" w:space="0"/>
              <w:bottom w:val="single" w:color="000000" w:sz="2" w:space="0"/>
            </w:tcBorders>
            <w:vAlign w:val="top"/>
          </w:tcPr>
          <w:p w14:paraId="3302E3AB">
            <w:pPr>
              <w:rPr>
                <w:rFonts w:ascii="Arial"/>
                <w:sz w:val="21"/>
              </w:rPr>
            </w:pPr>
          </w:p>
        </w:tc>
        <w:tc>
          <w:tcPr>
            <w:tcW w:w="230" w:type="dxa"/>
            <w:tcBorders>
              <w:top w:val="single" w:color="000000" w:sz="2" w:space="0"/>
              <w:bottom w:val="single" w:color="000000" w:sz="2" w:space="0"/>
            </w:tcBorders>
            <w:vAlign w:val="top"/>
          </w:tcPr>
          <w:p w14:paraId="5AFC8FF0">
            <w:pPr>
              <w:rPr>
                <w:rFonts w:ascii="Arial"/>
                <w:sz w:val="21"/>
              </w:rPr>
            </w:pPr>
          </w:p>
        </w:tc>
        <w:tc>
          <w:tcPr>
            <w:tcW w:w="220" w:type="dxa"/>
            <w:tcBorders>
              <w:top w:val="single" w:color="000000" w:sz="2" w:space="0"/>
              <w:bottom w:val="single" w:color="000000" w:sz="2" w:space="0"/>
            </w:tcBorders>
            <w:vAlign w:val="top"/>
          </w:tcPr>
          <w:p w14:paraId="5BE488C6">
            <w:pPr>
              <w:pStyle w:val="6"/>
              <w:spacing w:before="62" w:line="197" w:lineRule="auto"/>
              <w:ind w:left="18"/>
            </w:pPr>
            <w:r>
              <w:t>√</w:t>
            </w:r>
          </w:p>
        </w:tc>
        <w:tc>
          <w:tcPr>
            <w:tcW w:w="234" w:type="dxa"/>
            <w:tcBorders>
              <w:top w:val="single" w:color="000000" w:sz="2" w:space="0"/>
              <w:bottom w:val="single" w:color="000000" w:sz="2" w:space="0"/>
            </w:tcBorders>
            <w:vAlign w:val="top"/>
          </w:tcPr>
          <w:p w14:paraId="3808567E">
            <w:pPr>
              <w:rPr>
                <w:rFonts w:ascii="Arial"/>
                <w:sz w:val="21"/>
              </w:rPr>
            </w:pPr>
          </w:p>
        </w:tc>
      </w:tr>
      <w:tr w14:paraId="203B9E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893" w:type="dxa"/>
            <w:vMerge w:val="continue"/>
            <w:tcBorders>
              <w:top w:val="nil"/>
              <w:bottom w:val="single" w:color="000000" w:sz="2" w:space="0"/>
            </w:tcBorders>
            <w:vAlign w:val="top"/>
          </w:tcPr>
          <w:p w14:paraId="775B0046">
            <w:pPr>
              <w:rPr>
                <w:rFonts w:ascii="Arial"/>
                <w:sz w:val="21"/>
              </w:rPr>
            </w:pPr>
          </w:p>
        </w:tc>
        <w:tc>
          <w:tcPr>
            <w:tcW w:w="2324" w:type="dxa"/>
            <w:tcBorders>
              <w:top w:val="single" w:color="000000" w:sz="2" w:space="0"/>
              <w:bottom w:val="single" w:color="000000" w:sz="2" w:space="0"/>
            </w:tcBorders>
            <w:vAlign w:val="top"/>
          </w:tcPr>
          <w:p w14:paraId="559249A4">
            <w:pPr>
              <w:pStyle w:val="6"/>
              <w:spacing w:before="56" w:line="219" w:lineRule="auto"/>
              <w:ind w:left="2"/>
            </w:pPr>
            <w:r>
              <w:rPr>
                <w:spacing w:val="-2"/>
              </w:rPr>
              <w:t>7.个人所得税的减免</w:t>
            </w:r>
          </w:p>
        </w:tc>
        <w:tc>
          <w:tcPr>
            <w:tcW w:w="229" w:type="dxa"/>
            <w:tcBorders>
              <w:top w:val="single" w:color="000000" w:sz="2" w:space="0"/>
              <w:bottom w:val="single" w:color="000000" w:sz="2" w:space="0"/>
            </w:tcBorders>
            <w:vAlign w:val="top"/>
          </w:tcPr>
          <w:p w14:paraId="717AE99B">
            <w:pPr>
              <w:rPr>
                <w:rFonts w:ascii="Arial"/>
                <w:sz w:val="21"/>
              </w:rPr>
            </w:pPr>
          </w:p>
        </w:tc>
        <w:tc>
          <w:tcPr>
            <w:tcW w:w="230" w:type="dxa"/>
            <w:tcBorders>
              <w:top w:val="single" w:color="000000" w:sz="2" w:space="0"/>
              <w:bottom w:val="single" w:color="000000" w:sz="2" w:space="0"/>
            </w:tcBorders>
            <w:vAlign w:val="top"/>
          </w:tcPr>
          <w:p w14:paraId="33D89800">
            <w:pPr>
              <w:rPr>
                <w:rFonts w:ascii="Arial"/>
                <w:sz w:val="21"/>
              </w:rPr>
            </w:pPr>
          </w:p>
        </w:tc>
        <w:tc>
          <w:tcPr>
            <w:tcW w:w="220" w:type="dxa"/>
            <w:tcBorders>
              <w:top w:val="single" w:color="000000" w:sz="2" w:space="0"/>
              <w:bottom w:val="single" w:color="000000" w:sz="2" w:space="0"/>
            </w:tcBorders>
            <w:vAlign w:val="top"/>
          </w:tcPr>
          <w:p w14:paraId="530A74E0">
            <w:pPr>
              <w:pStyle w:val="6"/>
              <w:spacing w:before="86" w:line="238" w:lineRule="auto"/>
              <w:ind w:left="18"/>
              <w:rPr>
                <w:sz w:val="12"/>
                <w:szCs w:val="12"/>
              </w:rPr>
            </w:pPr>
            <w:r>
              <w:rPr>
                <w:sz w:val="12"/>
                <w:szCs w:val="12"/>
              </w:rPr>
              <w:t>√</w:t>
            </w:r>
          </w:p>
        </w:tc>
        <w:tc>
          <w:tcPr>
            <w:tcW w:w="234" w:type="dxa"/>
            <w:tcBorders>
              <w:top w:val="single" w:color="000000" w:sz="2" w:space="0"/>
              <w:bottom w:val="single" w:color="000000" w:sz="2" w:space="0"/>
            </w:tcBorders>
            <w:vAlign w:val="top"/>
          </w:tcPr>
          <w:p w14:paraId="077CA42F">
            <w:pPr>
              <w:rPr>
                <w:rFonts w:ascii="Arial"/>
                <w:sz w:val="21"/>
              </w:rPr>
            </w:pPr>
          </w:p>
        </w:tc>
      </w:tr>
    </w:tbl>
    <w:p w14:paraId="6B4BE9D1">
      <w:pPr>
        <w:pStyle w:val="2"/>
        <w:spacing w:line="14" w:lineRule="auto"/>
        <w:rPr>
          <w:sz w:val="2"/>
        </w:rPr>
      </w:pPr>
    </w:p>
    <w:p w14:paraId="078D48B8">
      <w:pPr>
        <w:spacing w:line="14" w:lineRule="auto"/>
        <w:rPr>
          <w:sz w:val="2"/>
          <w:szCs w:val="2"/>
        </w:rPr>
        <w:sectPr>
          <w:type w:val="continuous"/>
          <w:pgSz w:w="10660" w:h="15080"/>
          <w:pgMar w:top="400" w:right="885" w:bottom="925" w:left="1024" w:header="0" w:footer="704" w:gutter="0"/>
          <w:cols w:equalWidth="0" w:num="2">
            <w:col w:w="4490" w:space="100"/>
            <w:col w:w="4160"/>
          </w:cols>
        </w:sectPr>
      </w:pPr>
    </w:p>
    <w:p w14:paraId="7DA878EE">
      <w:pPr>
        <w:spacing w:before="10"/>
      </w:pPr>
    </w:p>
    <w:p w14:paraId="03551396">
      <w:pPr>
        <w:spacing w:before="10"/>
      </w:pPr>
    </w:p>
    <w:p w14:paraId="6879F73D">
      <w:pPr>
        <w:spacing w:before="10"/>
      </w:pPr>
    </w:p>
    <w:p w14:paraId="64B94A6D">
      <w:pPr>
        <w:spacing w:before="9"/>
      </w:pPr>
    </w:p>
    <w:p w14:paraId="5893287B">
      <w:pPr>
        <w:sectPr>
          <w:footerReference r:id="rId32" w:type="default"/>
          <w:pgSz w:w="10660" w:h="15080"/>
          <w:pgMar w:top="400" w:right="985" w:bottom="925" w:left="809" w:header="0" w:footer="704" w:gutter="0"/>
          <w:cols w:equalWidth="0" w:num="1">
            <w:col w:w="8865"/>
          </w:cols>
        </w:sectPr>
      </w:pPr>
    </w:p>
    <w:tbl>
      <w:tblPr>
        <w:tblStyle w:val="5"/>
        <w:tblW w:w="4140" w:type="dxa"/>
        <w:tblInd w:w="9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83"/>
        <w:gridCol w:w="2334"/>
        <w:gridCol w:w="230"/>
        <w:gridCol w:w="229"/>
        <w:gridCol w:w="220"/>
        <w:gridCol w:w="244"/>
      </w:tblGrid>
      <w:tr w14:paraId="62EADC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4" w:hRule="atLeast"/>
        </w:trPr>
        <w:tc>
          <w:tcPr>
            <w:tcW w:w="883" w:type="dxa"/>
            <w:vMerge w:val="restart"/>
            <w:tcBorders>
              <w:bottom w:val="nil"/>
            </w:tcBorders>
            <w:vAlign w:val="top"/>
          </w:tcPr>
          <w:p w14:paraId="75FF49A9">
            <w:pPr>
              <w:pStyle w:val="6"/>
              <w:spacing w:before="131" w:line="228" w:lineRule="auto"/>
              <w:ind w:left="77" w:right="83" w:firstLine="90"/>
              <w:rPr>
                <w:sz w:val="18"/>
                <w:szCs w:val="18"/>
              </w:rPr>
            </w:pPr>
            <w:bookmarkStart w:id="32" w:name="bookmark30"/>
            <w:bookmarkEnd w:id="32"/>
            <w:r>
              <w:rPr>
                <w:b/>
                <w:bCs/>
                <w:spacing w:val="1"/>
                <w:sz w:val="18"/>
                <w:szCs w:val="18"/>
              </w:rPr>
              <w:t>知识与</w:t>
            </w:r>
            <w:r>
              <w:rPr>
                <w:sz w:val="18"/>
                <w:szCs w:val="18"/>
              </w:rPr>
              <w:t xml:space="preserve">  </w:t>
            </w:r>
            <w:r>
              <w:rPr>
                <w:b/>
                <w:bCs/>
                <w:spacing w:val="-4"/>
                <w:sz w:val="18"/>
                <w:szCs w:val="18"/>
              </w:rPr>
              <w:t>技能要点</w:t>
            </w:r>
          </w:p>
        </w:tc>
        <w:tc>
          <w:tcPr>
            <w:tcW w:w="2334" w:type="dxa"/>
            <w:vMerge w:val="restart"/>
            <w:tcBorders>
              <w:bottom w:val="nil"/>
            </w:tcBorders>
            <w:vAlign w:val="top"/>
          </w:tcPr>
          <w:p w14:paraId="288C9DFF">
            <w:pPr>
              <w:pStyle w:val="6"/>
              <w:spacing w:before="250" w:line="219" w:lineRule="auto"/>
              <w:ind w:left="854"/>
              <w:rPr>
                <w:sz w:val="18"/>
                <w:szCs w:val="18"/>
              </w:rPr>
            </w:pPr>
            <w:r>
              <w:rPr>
                <w:b/>
                <w:bCs/>
                <w:spacing w:val="5"/>
                <w:sz w:val="18"/>
                <w:szCs w:val="18"/>
              </w:rPr>
              <w:t>考试条目</w:t>
            </w:r>
          </w:p>
        </w:tc>
        <w:tc>
          <w:tcPr>
            <w:tcW w:w="923" w:type="dxa"/>
            <w:gridSpan w:val="4"/>
            <w:vAlign w:val="top"/>
          </w:tcPr>
          <w:p w14:paraId="7E410801">
            <w:pPr>
              <w:pStyle w:val="6"/>
              <w:spacing w:before="79" w:line="219" w:lineRule="auto"/>
              <w:ind w:left="140"/>
              <w:rPr>
                <w:sz w:val="18"/>
                <w:szCs w:val="18"/>
              </w:rPr>
            </w:pPr>
            <w:r>
              <w:rPr>
                <w:b/>
                <w:bCs/>
                <w:spacing w:val="-4"/>
                <w:sz w:val="18"/>
                <w:szCs w:val="18"/>
              </w:rPr>
              <w:t>考试水平</w:t>
            </w:r>
          </w:p>
        </w:tc>
      </w:tr>
      <w:tr w14:paraId="60EF86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883" w:type="dxa"/>
            <w:vMerge w:val="continue"/>
            <w:tcBorders>
              <w:top w:val="nil"/>
            </w:tcBorders>
            <w:vAlign w:val="top"/>
          </w:tcPr>
          <w:p w14:paraId="7835DBF5">
            <w:pPr>
              <w:rPr>
                <w:rFonts w:ascii="Arial"/>
                <w:sz w:val="21"/>
              </w:rPr>
            </w:pPr>
          </w:p>
        </w:tc>
        <w:tc>
          <w:tcPr>
            <w:tcW w:w="2334" w:type="dxa"/>
            <w:vMerge w:val="continue"/>
            <w:tcBorders>
              <w:top w:val="nil"/>
            </w:tcBorders>
            <w:vAlign w:val="top"/>
          </w:tcPr>
          <w:p w14:paraId="4D4C096E">
            <w:pPr>
              <w:rPr>
                <w:rFonts w:ascii="Arial"/>
                <w:sz w:val="21"/>
              </w:rPr>
            </w:pPr>
          </w:p>
        </w:tc>
        <w:tc>
          <w:tcPr>
            <w:tcW w:w="230" w:type="dxa"/>
            <w:vAlign w:val="top"/>
          </w:tcPr>
          <w:p w14:paraId="1488EE0D">
            <w:pPr>
              <w:pStyle w:val="6"/>
              <w:spacing w:before="113" w:line="184" w:lineRule="auto"/>
              <w:ind w:left="70"/>
              <w:rPr>
                <w:sz w:val="18"/>
                <w:szCs w:val="18"/>
              </w:rPr>
            </w:pPr>
            <w:r>
              <w:rPr>
                <w:b/>
                <w:bCs/>
                <w:spacing w:val="-2"/>
                <w:sz w:val="18"/>
                <w:szCs w:val="18"/>
              </w:rPr>
              <w:t>A</w:t>
            </w:r>
          </w:p>
        </w:tc>
        <w:tc>
          <w:tcPr>
            <w:tcW w:w="229" w:type="dxa"/>
            <w:vAlign w:val="top"/>
          </w:tcPr>
          <w:p w14:paraId="69D33AE5">
            <w:pPr>
              <w:pStyle w:val="6"/>
              <w:spacing w:before="115" w:line="182" w:lineRule="auto"/>
              <w:ind w:left="70"/>
              <w:rPr>
                <w:sz w:val="18"/>
                <w:szCs w:val="18"/>
              </w:rPr>
            </w:pPr>
            <w:r>
              <w:rPr>
                <w:b/>
                <w:bCs/>
                <w:spacing w:val="-2"/>
                <w:sz w:val="18"/>
                <w:szCs w:val="18"/>
              </w:rPr>
              <w:t>B</w:t>
            </w:r>
          </w:p>
        </w:tc>
        <w:tc>
          <w:tcPr>
            <w:tcW w:w="220" w:type="dxa"/>
            <w:vAlign w:val="top"/>
          </w:tcPr>
          <w:p w14:paraId="34BCFF13">
            <w:pPr>
              <w:pStyle w:val="6"/>
              <w:spacing w:before="114" w:line="183" w:lineRule="auto"/>
              <w:ind w:left="18"/>
              <w:rPr>
                <w:sz w:val="18"/>
                <w:szCs w:val="18"/>
              </w:rPr>
            </w:pPr>
            <w:r>
              <w:rPr>
                <w:sz w:val="18"/>
                <w:szCs w:val="18"/>
              </w:rPr>
              <w:t>C</w:t>
            </w:r>
          </w:p>
        </w:tc>
        <w:tc>
          <w:tcPr>
            <w:tcW w:w="244" w:type="dxa"/>
            <w:vAlign w:val="top"/>
          </w:tcPr>
          <w:p w14:paraId="3D11E6B2">
            <w:pPr>
              <w:pStyle w:val="6"/>
              <w:spacing w:before="115" w:line="182" w:lineRule="auto"/>
              <w:ind w:left="71"/>
              <w:rPr>
                <w:sz w:val="18"/>
                <w:szCs w:val="18"/>
              </w:rPr>
            </w:pPr>
            <w:r>
              <w:rPr>
                <w:b/>
                <w:bCs/>
                <w:spacing w:val="-2"/>
                <w:sz w:val="18"/>
                <w:szCs w:val="18"/>
              </w:rPr>
              <w:t>D</w:t>
            </w:r>
          </w:p>
        </w:tc>
      </w:tr>
      <w:tr w14:paraId="622788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9" w:hRule="atLeast"/>
        </w:trPr>
        <w:tc>
          <w:tcPr>
            <w:tcW w:w="883" w:type="dxa"/>
            <w:vMerge w:val="restart"/>
            <w:tcBorders>
              <w:bottom w:val="nil"/>
            </w:tcBorders>
            <w:vAlign w:val="top"/>
          </w:tcPr>
          <w:p w14:paraId="69AE798E">
            <w:pPr>
              <w:spacing w:line="273" w:lineRule="auto"/>
              <w:rPr>
                <w:rFonts w:ascii="Arial"/>
                <w:sz w:val="21"/>
              </w:rPr>
            </w:pPr>
          </w:p>
          <w:p w14:paraId="17F06245">
            <w:pPr>
              <w:spacing w:line="274" w:lineRule="auto"/>
              <w:rPr>
                <w:rFonts w:ascii="Arial"/>
                <w:sz w:val="21"/>
              </w:rPr>
            </w:pPr>
          </w:p>
          <w:p w14:paraId="752EFFED">
            <w:pPr>
              <w:pStyle w:val="6"/>
              <w:spacing w:before="58" w:line="233" w:lineRule="auto"/>
              <w:ind w:left="74" w:right="84"/>
              <w:rPr>
                <w:sz w:val="18"/>
                <w:szCs w:val="18"/>
              </w:rPr>
            </w:pPr>
            <w:r>
              <w:rPr>
                <w:spacing w:val="-2"/>
                <w:sz w:val="18"/>
                <w:szCs w:val="18"/>
              </w:rPr>
              <w:t>个人所得</w:t>
            </w:r>
            <w:r>
              <w:rPr>
                <w:sz w:val="18"/>
                <w:szCs w:val="18"/>
              </w:rPr>
              <w:t xml:space="preserve"> </w:t>
            </w:r>
            <w:r>
              <w:rPr>
                <w:spacing w:val="-2"/>
                <w:sz w:val="18"/>
                <w:szCs w:val="18"/>
              </w:rPr>
              <w:t>税的计算</w:t>
            </w:r>
          </w:p>
        </w:tc>
        <w:tc>
          <w:tcPr>
            <w:tcW w:w="2334" w:type="dxa"/>
            <w:vAlign w:val="top"/>
          </w:tcPr>
          <w:p w14:paraId="5EC2449E">
            <w:pPr>
              <w:pStyle w:val="6"/>
              <w:spacing w:before="29" w:line="205" w:lineRule="auto"/>
              <w:ind w:left="2" w:right="144" w:firstLine="10"/>
              <w:rPr>
                <w:sz w:val="18"/>
                <w:szCs w:val="18"/>
              </w:rPr>
            </w:pPr>
            <w:r>
              <w:rPr>
                <w:sz w:val="18"/>
                <w:szCs w:val="18"/>
              </w:rPr>
              <w:t>1.居民个人综合所得应纳税</w:t>
            </w:r>
            <w:r>
              <w:rPr>
                <w:spacing w:val="6"/>
                <w:sz w:val="18"/>
                <w:szCs w:val="18"/>
              </w:rPr>
              <w:t xml:space="preserve"> </w:t>
            </w:r>
            <w:r>
              <w:rPr>
                <w:spacing w:val="-2"/>
                <w:sz w:val="18"/>
                <w:szCs w:val="18"/>
              </w:rPr>
              <w:t>额的计算</w:t>
            </w:r>
          </w:p>
        </w:tc>
        <w:tc>
          <w:tcPr>
            <w:tcW w:w="230" w:type="dxa"/>
            <w:vAlign w:val="top"/>
          </w:tcPr>
          <w:p w14:paraId="07F22AA4">
            <w:pPr>
              <w:rPr>
                <w:rFonts w:ascii="Arial"/>
                <w:sz w:val="21"/>
              </w:rPr>
            </w:pPr>
          </w:p>
        </w:tc>
        <w:tc>
          <w:tcPr>
            <w:tcW w:w="229" w:type="dxa"/>
            <w:vAlign w:val="top"/>
          </w:tcPr>
          <w:p w14:paraId="5FBE4C81">
            <w:pPr>
              <w:rPr>
                <w:rFonts w:ascii="Arial"/>
                <w:sz w:val="21"/>
              </w:rPr>
            </w:pPr>
          </w:p>
        </w:tc>
        <w:tc>
          <w:tcPr>
            <w:tcW w:w="220" w:type="dxa"/>
            <w:vAlign w:val="top"/>
          </w:tcPr>
          <w:p w14:paraId="4202EE4A">
            <w:pPr>
              <w:rPr>
                <w:rFonts w:ascii="Arial"/>
                <w:sz w:val="21"/>
              </w:rPr>
            </w:pPr>
          </w:p>
        </w:tc>
        <w:tc>
          <w:tcPr>
            <w:tcW w:w="244" w:type="dxa"/>
            <w:vAlign w:val="top"/>
          </w:tcPr>
          <w:p w14:paraId="1D0B0A7F">
            <w:pPr>
              <w:pStyle w:val="6"/>
              <w:spacing w:before="170" w:line="238" w:lineRule="auto"/>
              <w:ind w:left="48"/>
              <w:rPr>
                <w:sz w:val="13"/>
                <w:szCs w:val="13"/>
              </w:rPr>
            </w:pPr>
            <w:r>
              <w:rPr>
                <w:sz w:val="13"/>
                <w:szCs w:val="13"/>
              </w:rPr>
              <w:t>√</w:t>
            </w:r>
          </w:p>
        </w:tc>
      </w:tr>
      <w:tr w14:paraId="5EC521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97" w:hRule="atLeast"/>
        </w:trPr>
        <w:tc>
          <w:tcPr>
            <w:tcW w:w="883" w:type="dxa"/>
            <w:vMerge w:val="continue"/>
            <w:tcBorders>
              <w:top w:val="nil"/>
              <w:bottom w:val="nil"/>
            </w:tcBorders>
            <w:vAlign w:val="top"/>
          </w:tcPr>
          <w:p w14:paraId="710269A7">
            <w:pPr>
              <w:rPr>
                <w:rFonts w:ascii="Arial"/>
                <w:sz w:val="21"/>
              </w:rPr>
            </w:pPr>
          </w:p>
        </w:tc>
        <w:tc>
          <w:tcPr>
            <w:tcW w:w="2334" w:type="dxa"/>
            <w:vAlign w:val="top"/>
          </w:tcPr>
          <w:p w14:paraId="5AC259B2">
            <w:pPr>
              <w:pStyle w:val="6"/>
              <w:spacing w:before="21" w:line="222" w:lineRule="auto"/>
              <w:ind w:left="2" w:right="159" w:firstLine="10"/>
              <w:jc w:val="both"/>
              <w:rPr>
                <w:sz w:val="18"/>
                <w:szCs w:val="18"/>
              </w:rPr>
            </w:pPr>
            <w:r>
              <w:rPr>
                <w:spacing w:val="-1"/>
                <w:sz w:val="18"/>
                <w:szCs w:val="18"/>
              </w:rPr>
              <w:t>2.非居民个人工资、薪金所</w:t>
            </w:r>
            <w:r>
              <w:rPr>
                <w:spacing w:val="2"/>
                <w:sz w:val="18"/>
                <w:szCs w:val="18"/>
              </w:rPr>
              <w:t xml:space="preserve"> </w:t>
            </w:r>
            <w:r>
              <w:rPr>
                <w:sz w:val="18"/>
                <w:szCs w:val="18"/>
              </w:rPr>
              <w:t>得，劳务报酬所得，稿酬所</w:t>
            </w:r>
            <w:r>
              <w:rPr>
                <w:spacing w:val="1"/>
                <w:sz w:val="18"/>
                <w:szCs w:val="18"/>
              </w:rPr>
              <w:t xml:space="preserve"> </w:t>
            </w:r>
            <w:r>
              <w:rPr>
                <w:sz w:val="18"/>
                <w:szCs w:val="18"/>
              </w:rPr>
              <w:t>得和特许权使用费所得应纳</w:t>
            </w:r>
            <w:r>
              <w:rPr>
                <w:spacing w:val="1"/>
                <w:sz w:val="18"/>
                <w:szCs w:val="18"/>
              </w:rPr>
              <w:t xml:space="preserve"> </w:t>
            </w:r>
            <w:r>
              <w:rPr>
                <w:spacing w:val="-2"/>
                <w:sz w:val="18"/>
                <w:szCs w:val="18"/>
              </w:rPr>
              <w:t>税额的计算</w:t>
            </w:r>
          </w:p>
        </w:tc>
        <w:tc>
          <w:tcPr>
            <w:tcW w:w="230" w:type="dxa"/>
            <w:vAlign w:val="top"/>
          </w:tcPr>
          <w:p w14:paraId="65C8A26C">
            <w:pPr>
              <w:rPr>
                <w:rFonts w:ascii="Arial"/>
                <w:sz w:val="21"/>
              </w:rPr>
            </w:pPr>
          </w:p>
        </w:tc>
        <w:tc>
          <w:tcPr>
            <w:tcW w:w="229" w:type="dxa"/>
            <w:vAlign w:val="top"/>
          </w:tcPr>
          <w:p w14:paraId="56C99159">
            <w:pPr>
              <w:rPr>
                <w:rFonts w:ascii="Arial"/>
                <w:sz w:val="21"/>
              </w:rPr>
            </w:pPr>
          </w:p>
        </w:tc>
        <w:tc>
          <w:tcPr>
            <w:tcW w:w="220" w:type="dxa"/>
            <w:vAlign w:val="top"/>
          </w:tcPr>
          <w:p w14:paraId="12570636">
            <w:pPr>
              <w:rPr>
                <w:rFonts w:ascii="Arial"/>
                <w:sz w:val="21"/>
              </w:rPr>
            </w:pPr>
          </w:p>
        </w:tc>
        <w:tc>
          <w:tcPr>
            <w:tcW w:w="244" w:type="dxa"/>
            <w:vAlign w:val="top"/>
          </w:tcPr>
          <w:p w14:paraId="6A2DBB33">
            <w:pPr>
              <w:spacing w:line="356" w:lineRule="auto"/>
              <w:rPr>
                <w:rFonts w:ascii="Arial"/>
                <w:sz w:val="21"/>
              </w:rPr>
            </w:pPr>
          </w:p>
          <w:p w14:paraId="37D1DB33">
            <w:pPr>
              <w:pStyle w:val="6"/>
              <w:spacing w:before="43" w:line="238" w:lineRule="auto"/>
              <w:ind w:left="48"/>
              <w:rPr>
                <w:sz w:val="13"/>
                <w:szCs w:val="13"/>
              </w:rPr>
            </w:pPr>
            <w:r>
              <w:rPr>
                <w:sz w:val="13"/>
                <w:szCs w:val="13"/>
              </w:rPr>
              <w:t>√</w:t>
            </w:r>
          </w:p>
        </w:tc>
      </w:tr>
      <w:tr w14:paraId="2E8CB1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83" w:type="dxa"/>
            <w:vMerge w:val="continue"/>
            <w:tcBorders>
              <w:top w:val="nil"/>
            </w:tcBorders>
            <w:vAlign w:val="top"/>
          </w:tcPr>
          <w:p w14:paraId="02ACE93E">
            <w:pPr>
              <w:rPr>
                <w:rFonts w:ascii="Arial"/>
                <w:sz w:val="21"/>
              </w:rPr>
            </w:pPr>
          </w:p>
        </w:tc>
        <w:tc>
          <w:tcPr>
            <w:tcW w:w="2334" w:type="dxa"/>
            <w:vAlign w:val="top"/>
          </w:tcPr>
          <w:p w14:paraId="0643DFE6">
            <w:pPr>
              <w:pStyle w:val="6"/>
              <w:spacing w:before="43" w:line="211" w:lineRule="auto"/>
              <w:ind w:left="2"/>
              <w:rPr>
                <w:sz w:val="18"/>
                <w:szCs w:val="18"/>
              </w:rPr>
            </w:pPr>
            <w:r>
              <w:rPr>
                <w:spacing w:val="-1"/>
                <w:sz w:val="18"/>
                <w:szCs w:val="18"/>
              </w:rPr>
              <w:t>3.分类所得应纳税额的计算</w:t>
            </w:r>
          </w:p>
        </w:tc>
        <w:tc>
          <w:tcPr>
            <w:tcW w:w="230" w:type="dxa"/>
            <w:vAlign w:val="top"/>
          </w:tcPr>
          <w:p w14:paraId="0584D1FC">
            <w:pPr>
              <w:rPr>
                <w:rFonts w:ascii="Arial"/>
                <w:sz w:val="21"/>
              </w:rPr>
            </w:pPr>
          </w:p>
        </w:tc>
        <w:tc>
          <w:tcPr>
            <w:tcW w:w="229" w:type="dxa"/>
            <w:vAlign w:val="top"/>
          </w:tcPr>
          <w:p w14:paraId="6585A0BA">
            <w:pPr>
              <w:rPr>
                <w:rFonts w:ascii="Arial"/>
                <w:sz w:val="21"/>
              </w:rPr>
            </w:pPr>
          </w:p>
        </w:tc>
        <w:tc>
          <w:tcPr>
            <w:tcW w:w="220" w:type="dxa"/>
            <w:vAlign w:val="top"/>
          </w:tcPr>
          <w:p w14:paraId="134E58A6">
            <w:pPr>
              <w:rPr>
                <w:rFonts w:ascii="Arial"/>
                <w:sz w:val="21"/>
              </w:rPr>
            </w:pPr>
          </w:p>
        </w:tc>
        <w:tc>
          <w:tcPr>
            <w:tcW w:w="244" w:type="dxa"/>
            <w:vAlign w:val="top"/>
          </w:tcPr>
          <w:p w14:paraId="5BBB5603">
            <w:pPr>
              <w:pStyle w:val="6"/>
              <w:spacing w:before="84" w:line="234" w:lineRule="auto"/>
              <w:ind w:left="48"/>
              <w:rPr>
                <w:sz w:val="13"/>
                <w:szCs w:val="13"/>
              </w:rPr>
            </w:pPr>
            <w:r>
              <w:rPr>
                <w:sz w:val="13"/>
                <w:szCs w:val="13"/>
              </w:rPr>
              <w:t>√</w:t>
            </w:r>
          </w:p>
        </w:tc>
      </w:tr>
      <w:tr w14:paraId="5B3E5E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83" w:type="dxa"/>
            <w:vMerge w:val="restart"/>
            <w:tcBorders>
              <w:bottom w:val="nil"/>
            </w:tcBorders>
            <w:vAlign w:val="top"/>
          </w:tcPr>
          <w:p w14:paraId="3541E4A2">
            <w:pPr>
              <w:pStyle w:val="6"/>
              <w:spacing w:before="184" w:line="219" w:lineRule="auto"/>
              <w:ind w:left="74"/>
              <w:rPr>
                <w:sz w:val="18"/>
                <w:szCs w:val="18"/>
              </w:rPr>
            </w:pPr>
            <w:r>
              <w:rPr>
                <w:spacing w:val="-2"/>
                <w:sz w:val="18"/>
                <w:szCs w:val="18"/>
              </w:rPr>
              <w:t>个人所得</w:t>
            </w:r>
          </w:p>
          <w:p w14:paraId="46FC2DAD">
            <w:pPr>
              <w:pStyle w:val="6"/>
              <w:spacing w:before="27" w:line="204" w:lineRule="auto"/>
              <w:ind w:left="74"/>
              <w:rPr>
                <w:sz w:val="18"/>
                <w:szCs w:val="18"/>
              </w:rPr>
            </w:pPr>
            <w:r>
              <w:rPr>
                <w:spacing w:val="-2"/>
                <w:sz w:val="18"/>
                <w:szCs w:val="18"/>
              </w:rPr>
              <w:t>税的纳税</w:t>
            </w:r>
          </w:p>
          <w:p w14:paraId="2522C6E8">
            <w:pPr>
              <w:pStyle w:val="6"/>
              <w:spacing w:line="219" w:lineRule="auto"/>
              <w:ind w:left="254"/>
              <w:rPr>
                <w:sz w:val="18"/>
                <w:szCs w:val="18"/>
              </w:rPr>
            </w:pPr>
            <w:r>
              <w:rPr>
                <w:spacing w:val="4"/>
                <w:sz w:val="18"/>
                <w:szCs w:val="18"/>
              </w:rPr>
              <w:t>申报</w:t>
            </w:r>
          </w:p>
        </w:tc>
        <w:tc>
          <w:tcPr>
            <w:tcW w:w="2334" w:type="dxa"/>
            <w:vAlign w:val="top"/>
          </w:tcPr>
          <w:p w14:paraId="79F326A2">
            <w:pPr>
              <w:pStyle w:val="6"/>
              <w:spacing w:before="44" w:line="210" w:lineRule="auto"/>
              <w:ind w:left="2"/>
              <w:rPr>
                <w:sz w:val="18"/>
                <w:szCs w:val="18"/>
              </w:rPr>
            </w:pPr>
            <w:r>
              <w:rPr>
                <w:spacing w:val="-4"/>
                <w:sz w:val="18"/>
                <w:szCs w:val="18"/>
              </w:rPr>
              <w:t>1.</w:t>
            </w:r>
            <w:r>
              <w:rPr>
                <w:spacing w:val="-49"/>
                <w:sz w:val="18"/>
                <w:szCs w:val="18"/>
              </w:rPr>
              <w:t xml:space="preserve"> </w:t>
            </w:r>
            <w:r>
              <w:rPr>
                <w:spacing w:val="-4"/>
                <w:sz w:val="18"/>
                <w:szCs w:val="18"/>
              </w:rPr>
              <w:t>自行申报纳税</w:t>
            </w:r>
          </w:p>
        </w:tc>
        <w:tc>
          <w:tcPr>
            <w:tcW w:w="230" w:type="dxa"/>
            <w:vAlign w:val="top"/>
          </w:tcPr>
          <w:p w14:paraId="0060E1AF">
            <w:pPr>
              <w:rPr>
                <w:rFonts w:ascii="Arial"/>
                <w:sz w:val="21"/>
              </w:rPr>
            </w:pPr>
          </w:p>
        </w:tc>
        <w:tc>
          <w:tcPr>
            <w:tcW w:w="229" w:type="dxa"/>
            <w:vAlign w:val="top"/>
          </w:tcPr>
          <w:p w14:paraId="1928151F">
            <w:pPr>
              <w:pStyle w:val="6"/>
              <w:spacing w:before="85" w:line="232" w:lineRule="auto"/>
              <w:ind w:left="17"/>
              <w:rPr>
                <w:sz w:val="13"/>
                <w:szCs w:val="13"/>
              </w:rPr>
            </w:pPr>
            <w:r>
              <w:rPr>
                <w:sz w:val="13"/>
                <w:szCs w:val="13"/>
              </w:rPr>
              <w:t>√</w:t>
            </w:r>
          </w:p>
        </w:tc>
        <w:tc>
          <w:tcPr>
            <w:tcW w:w="220" w:type="dxa"/>
            <w:vAlign w:val="top"/>
          </w:tcPr>
          <w:p w14:paraId="4D66F71C">
            <w:pPr>
              <w:rPr>
                <w:rFonts w:ascii="Arial"/>
                <w:sz w:val="21"/>
              </w:rPr>
            </w:pPr>
          </w:p>
        </w:tc>
        <w:tc>
          <w:tcPr>
            <w:tcW w:w="244" w:type="dxa"/>
            <w:vAlign w:val="top"/>
          </w:tcPr>
          <w:p w14:paraId="20AEB680">
            <w:pPr>
              <w:rPr>
                <w:rFonts w:ascii="Arial"/>
                <w:sz w:val="21"/>
              </w:rPr>
            </w:pPr>
          </w:p>
        </w:tc>
      </w:tr>
      <w:tr w14:paraId="47B1BA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83" w:type="dxa"/>
            <w:vMerge w:val="continue"/>
            <w:tcBorders>
              <w:top w:val="nil"/>
              <w:bottom w:val="nil"/>
            </w:tcBorders>
            <w:vAlign w:val="top"/>
          </w:tcPr>
          <w:p w14:paraId="7E15B33E">
            <w:pPr>
              <w:rPr>
                <w:rFonts w:ascii="Arial"/>
                <w:sz w:val="21"/>
              </w:rPr>
            </w:pPr>
          </w:p>
        </w:tc>
        <w:tc>
          <w:tcPr>
            <w:tcW w:w="2334" w:type="dxa"/>
            <w:vAlign w:val="top"/>
          </w:tcPr>
          <w:p w14:paraId="548EC1BC">
            <w:pPr>
              <w:pStyle w:val="6"/>
              <w:spacing w:before="45" w:line="209" w:lineRule="auto"/>
              <w:ind w:left="2"/>
              <w:rPr>
                <w:sz w:val="18"/>
                <w:szCs w:val="18"/>
              </w:rPr>
            </w:pPr>
            <w:r>
              <w:rPr>
                <w:spacing w:val="-2"/>
                <w:sz w:val="18"/>
                <w:szCs w:val="18"/>
              </w:rPr>
              <w:t>2.代扣代缴纳税</w:t>
            </w:r>
          </w:p>
        </w:tc>
        <w:tc>
          <w:tcPr>
            <w:tcW w:w="230" w:type="dxa"/>
            <w:vAlign w:val="top"/>
          </w:tcPr>
          <w:p w14:paraId="565C15C4">
            <w:pPr>
              <w:rPr>
                <w:rFonts w:ascii="Arial"/>
                <w:sz w:val="21"/>
              </w:rPr>
            </w:pPr>
          </w:p>
        </w:tc>
        <w:tc>
          <w:tcPr>
            <w:tcW w:w="229" w:type="dxa"/>
            <w:vAlign w:val="top"/>
          </w:tcPr>
          <w:p w14:paraId="6F9F0EF6">
            <w:pPr>
              <w:pStyle w:val="6"/>
              <w:spacing w:before="86" w:line="231" w:lineRule="auto"/>
              <w:ind w:left="47"/>
              <w:rPr>
                <w:sz w:val="13"/>
                <w:szCs w:val="13"/>
              </w:rPr>
            </w:pPr>
            <w:r>
              <w:rPr>
                <w:sz w:val="13"/>
                <w:szCs w:val="13"/>
              </w:rPr>
              <w:t>√</w:t>
            </w:r>
          </w:p>
        </w:tc>
        <w:tc>
          <w:tcPr>
            <w:tcW w:w="220" w:type="dxa"/>
            <w:vAlign w:val="top"/>
          </w:tcPr>
          <w:p w14:paraId="14014563">
            <w:pPr>
              <w:rPr>
                <w:rFonts w:ascii="Arial"/>
                <w:sz w:val="21"/>
              </w:rPr>
            </w:pPr>
          </w:p>
        </w:tc>
        <w:tc>
          <w:tcPr>
            <w:tcW w:w="244" w:type="dxa"/>
            <w:vAlign w:val="top"/>
          </w:tcPr>
          <w:p w14:paraId="2374D24D">
            <w:pPr>
              <w:rPr>
                <w:rFonts w:ascii="Arial"/>
                <w:sz w:val="21"/>
              </w:rPr>
            </w:pPr>
          </w:p>
        </w:tc>
      </w:tr>
      <w:tr w14:paraId="266292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4" w:hRule="atLeast"/>
        </w:trPr>
        <w:tc>
          <w:tcPr>
            <w:tcW w:w="883" w:type="dxa"/>
            <w:vMerge w:val="continue"/>
            <w:tcBorders>
              <w:top w:val="nil"/>
            </w:tcBorders>
            <w:vAlign w:val="top"/>
          </w:tcPr>
          <w:p w14:paraId="57288687">
            <w:pPr>
              <w:rPr>
                <w:rFonts w:ascii="Arial"/>
                <w:sz w:val="21"/>
              </w:rPr>
            </w:pPr>
          </w:p>
        </w:tc>
        <w:tc>
          <w:tcPr>
            <w:tcW w:w="2334" w:type="dxa"/>
            <w:vAlign w:val="top"/>
          </w:tcPr>
          <w:p w14:paraId="33CBC01B">
            <w:pPr>
              <w:pStyle w:val="6"/>
              <w:spacing w:before="26" w:line="204" w:lineRule="auto"/>
              <w:ind w:left="2" w:right="138" w:firstLine="10"/>
              <w:rPr>
                <w:sz w:val="18"/>
                <w:szCs w:val="18"/>
              </w:rPr>
            </w:pPr>
            <w:r>
              <w:rPr>
                <w:spacing w:val="1"/>
                <w:sz w:val="18"/>
                <w:szCs w:val="18"/>
              </w:rPr>
              <w:t>3.个人所得税的纳税申报资</w:t>
            </w:r>
            <w:r>
              <w:rPr>
                <w:sz w:val="18"/>
                <w:szCs w:val="18"/>
              </w:rPr>
              <w:t xml:space="preserve"> </w:t>
            </w:r>
            <w:r>
              <w:rPr>
                <w:spacing w:val="-1"/>
                <w:sz w:val="18"/>
                <w:szCs w:val="18"/>
              </w:rPr>
              <w:t>料和申报流程</w:t>
            </w:r>
          </w:p>
        </w:tc>
        <w:tc>
          <w:tcPr>
            <w:tcW w:w="230" w:type="dxa"/>
            <w:vAlign w:val="top"/>
          </w:tcPr>
          <w:p w14:paraId="07B391B4">
            <w:pPr>
              <w:pStyle w:val="6"/>
              <w:spacing w:before="167" w:line="238" w:lineRule="auto"/>
              <w:ind w:left="47"/>
              <w:rPr>
                <w:sz w:val="13"/>
                <w:szCs w:val="13"/>
              </w:rPr>
            </w:pPr>
            <w:r>
              <w:rPr>
                <w:sz w:val="13"/>
                <w:szCs w:val="13"/>
              </w:rPr>
              <w:t>√</w:t>
            </w:r>
          </w:p>
        </w:tc>
        <w:tc>
          <w:tcPr>
            <w:tcW w:w="229" w:type="dxa"/>
            <w:vAlign w:val="top"/>
          </w:tcPr>
          <w:p w14:paraId="52C4F5C2">
            <w:pPr>
              <w:rPr>
                <w:rFonts w:ascii="Arial"/>
                <w:sz w:val="21"/>
              </w:rPr>
            </w:pPr>
          </w:p>
        </w:tc>
        <w:tc>
          <w:tcPr>
            <w:tcW w:w="220" w:type="dxa"/>
            <w:vAlign w:val="top"/>
          </w:tcPr>
          <w:p w14:paraId="28EA89CC">
            <w:pPr>
              <w:rPr>
                <w:rFonts w:ascii="Arial"/>
                <w:sz w:val="21"/>
              </w:rPr>
            </w:pPr>
          </w:p>
        </w:tc>
        <w:tc>
          <w:tcPr>
            <w:tcW w:w="244" w:type="dxa"/>
            <w:vAlign w:val="top"/>
          </w:tcPr>
          <w:p w14:paraId="491C2BD3">
            <w:pPr>
              <w:rPr>
                <w:rFonts w:ascii="Arial"/>
                <w:sz w:val="21"/>
              </w:rPr>
            </w:pPr>
          </w:p>
        </w:tc>
      </w:tr>
    </w:tbl>
    <w:p w14:paraId="0B96F2B9">
      <w:pPr>
        <w:spacing w:before="141" w:line="209" w:lineRule="auto"/>
        <w:ind w:left="1533"/>
        <w:rPr>
          <w:rFonts w:ascii="宋体" w:hAnsi="宋体" w:eastAsia="宋体" w:cs="宋体"/>
          <w:sz w:val="22"/>
          <w:szCs w:val="22"/>
        </w:rPr>
      </w:pPr>
      <w:r>
        <w:rPr>
          <w:rFonts w:ascii="宋体" w:hAnsi="宋体" w:eastAsia="宋体" w:cs="宋体"/>
          <w:b/>
          <w:bCs/>
          <w:spacing w:val="-1"/>
          <w:sz w:val="22"/>
          <w:szCs w:val="22"/>
        </w:rPr>
        <w:t>(七)其他税种</w:t>
      </w:r>
    </w:p>
    <w:tbl>
      <w:tblPr>
        <w:tblStyle w:val="5"/>
        <w:tblW w:w="4130" w:type="dxa"/>
        <w:tblInd w:w="9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83"/>
        <w:gridCol w:w="2334"/>
        <w:gridCol w:w="230"/>
        <w:gridCol w:w="229"/>
        <w:gridCol w:w="220"/>
        <w:gridCol w:w="234"/>
      </w:tblGrid>
      <w:tr w14:paraId="2C32F9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4" w:hRule="atLeast"/>
        </w:trPr>
        <w:tc>
          <w:tcPr>
            <w:tcW w:w="883" w:type="dxa"/>
            <w:vMerge w:val="restart"/>
            <w:tcBorders>
              <w:bottom w:val="nil"/>
            </w:tcBorders>
            <w:vAlign w:val="top"/>
          </w:tcPr>
          <w:p w14:paraId="0E227506">
            <w:pPr>
              <w:pStyle w:val="6"/>
              <w:spacing w:before="132" w:line="236" w:lineRule="auto"/>
              <w:ind w:left="97" w:right="102" w:firstLine="79"/>
            </w:pPr>
            <w:r>
              <w:rPr>
                <w:b/>
                <w:bCs/>
                <w:spacing w:val="-6"/>
              </w:rPr>
              <w:t>知识与</w:t>
            </w:r>
            <w:r>
              <w:t xml:space="preserve">  </w:t>
            </w:r>
            <w:r>
              <w:rPr>
                <w:b/>
                <w:bCs/>
                <w:spacing w:val="-4"/>
              </w:rPr>
              <w:t>技能要点</w:t>
            </w:r>
          </w:p>
        </w:tc>
        <w:tc>
          <w:tcPr>
            <w:tcW w:w="2334" w:type="dxa"/>
            <w:vMerge w:val="restart"/>
            <w:tcBorders>
              <w:bottom w:val="nil"/>
            </w:tcBorders>
            <w:vAlign w:val="top"/>
          </w:tcPr>
          <w:p w14:paraId="4840FB5E">
            <w:pPr>
              <w:pStyle w:val="6"/>
              <w:spacing w:before="249" w:line="219" w:lineRule="auto"/>
              <w:ind w:left="844"/>
            </w:pPr>
            <w:r>
              <w:rPr>
                <w:b/>
                <w:bCs/>
                <w:spacing w:val="5"/>
              </w:rPr>
              <w:t>考试条目</w:t>
            </w:r>
          </w:p>
        </w:tc>
        <w:tc>
          <w:tcPr>
            <w:tcW w:w="913" w:type="dxa"/>
            <w:gridSpan w:val="4"/>
            <w:vAlign w:val="top"/>
          </w:tcPr>
          <w:p w14:paraId="548EDA56">
            <w:pPr>
              <w:pStyle w:val="6"/>
              <w:spacing w:before="79" w:line="219" w:lineRule="auto"/>
              <w:ind w:left="140"/>
            </w:pPr>
            <w:r>
              <w:rPr>
                <w:b/>
                <w:bCs/>
                <w:spacing w:val="-4"/>
              </w:rPr>
              <w:t>考试水平</w:t>
            </w:r>
          </w:p>
        </w:tc>
      </w:tr>
      <w:tr w14:paraId="5C0E30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883" w:type="dxa"/>
            <w:vMerge w:val="continue"/>
            <w:tcBorders>
              <w:top w:val="nil"/>
            </w:tcBorders>
            <w:vAlign w:val="top"/>
          </w:tcPr>
          <w:p w14:paraId="1B4C01E5">
            <w:pPr>
              <w:rPr>
                <w:rFonts w:ascii="Arial"/>
                <w:sz w:val="21"/>
              </w:rPr>
            </w:pPr>
          </w:p>
        </w:tc>
        <w:tc>
          <w:tcPr>
            <w:tcW w:w="2334" w:type="dxa"/>
            <w:vMerge w:val="continue"/>
            <w:tcBorders>
              <w:top w:val="nil"/>
            </w:tcBorders>
            <w:vAlign w:val="top"/>
          </w:tcPr>
          <w:p w14:paraId="6BC2BC88">
            <w:pPr>
              <w:rPr>
                <w:rFonts w:ascii="Arial"/>
                <w:sz w:val="21"/>
              </w:rPr>
            </w:pPr>
          </w:p>
        </w:tc>
        <w:tc>
          <w:tcPr>
            <w:tcW w:w="230" w:type="dxa"/>
            <w:vAlign w:val="top"/>
          </w:tcPr>
          <w:p w14:paraId="4686E027">
            <w:pPr>
              <w:pStyle w:val="6"/>
              <w:spacing w:before="120" w:line="184" w:lineRule="auto"/>
              <w:ind w:left="20"/>
            </w:pPr>
            <w:r>
              <w:rPr>
                <w:b/>
                <w:bCs/>
                <w:spacing w:val="-2"/>
              </w:rPr>
              <w:t>A</w:t>
            </w:r>
          </w:p>
        </w:tc>
        <w:tc>
          <w:tcPr>
            <w:tcW w:w="229" w:type="dxa"/>
            <w:vAlign w:val="top"/>
          </w:tcPr>
          <w:p w14:paraId="1453221B">
            <w:pPr>
              <w:pStyle w:val="6"/>
              <w:spacing w:before="122" w:line="182" w:lineRule="auto"/>
              <w:ind w:left="70"/>
            </w:pPr>
            <w:r>
              <w:rPr>
                <w:b/>
                <w:bCs/>
                <w:spacing w:val="-2"/>
              </w:rPr>
              <w:t>B</w:t>
            </w:r>
          </w:p>
        </w:tc>
        <w:tc>
          <w:tcPr>
            <w:tcW w:w="220" w:type="dxa"/>
            <w:vAlign w:val="top"/>
          </w:tcPr>
          <w:p w14:paraId="7E3AAB45">
            <w:pPr>
              <w:pStyle w:val="6"/>
              <w:spacing w:before="117" w:line="183" w:lineRule="auto"/>
              <w:jc w:val="right"/>
              <w:rPr>
                <w:sz w:val="19"/>
                <w:szCs w:val="19"/>
              </w:rPr>
            </w:pPr>
            <w:r>
              <w:rPr>
                <w:spacing w:val="-6"/>
                <w:sz w:val="19"/>
                <w:szCs w:val="19"/>
              </w:rPr>
              <w:t>C</w:t>
            </w:r>
          </w:p>
        </w:tc>
        <w:tc>
          <w:tcPr>
            <w:tcW w:w="234" w:type="dxa"/>
            <w:vAlign w:val="top"/>
          </w:tcPr>
          <w:p w14:paraId="77E12FD4">
            <w:pPr>
              <w:pStyle w:val="6"/>
              <w:spacing w:before="122" w:line="182" w:lineRule="auto"/>
              <w:ind w:left="19"/>
            </w:pPr>
            <w:r>
              <w:t>D</w:t>
            </w:r>
          </w:p>
        </w:tc>
      </w:tr>
      <w:tr w14:paraId="60C733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83" w:type="dxa"/>
            <w:vMerge w:val="restart"/>
            <w:tcBorders>
              <w:bottom w:val="nil"/>
            </w:tcBorders>
            <w:vAlign w:val="top"/>
          </w:tcPr>
          <w:p w14:paraId="4BE54D5E">
            <w:pPr>
              <w:pStyle w:val="6"/>
              <w:spacing w:before="249" w:line="220" w:lineRule="auto"/>
              <w:ind w:left="94"/>
            </w:pPr>
            <w:r>
              <w:rPr>
                <w:spacing w:val="3"/>
              </w:rPr>
              <w:t>资源税和</w:t>
            </w:r>
          </w:p>
          <w:p w14:paraId="5E8823A0">
            <w:pPr>
              <w:pStyle w:val="6"/>
              <w:spacing w:before="7" w:line="220" w:lineRule="auto"/>
              <w:ind w:left="94"/>
            </w:pPr>
            <w:r>
              <w:rPr>
                <w:spacing w:val="-2"/>
              </w:rPr>
              <w:t>环境保护</w:t>
            </w:r>
          </w:p>
          <w:p w14:paraId="5103EAB9">
            <w:pPr>
              <w:pStyle w:val="6"/>
              <w:spacing w:before="27" w:line="219" w:lineRule="auto"/>
              <w:ind w:left="265"/>
            </w:pPr>
            <w:r>
              <w:rPr>
                <w:spacing w:val="-2"/>
              </w:rPr>
              <w:t>税类</w:t>
            </w:r>
          </w:p>
        </w:tc>
        <w:tc>
          <w:tcPr>
            <w:tcW w:w="2334" w:type="dxa"/>
            <w:vAlign w:val="top"/>
          </w:tcPr>
          <w:p w14:paraId="07BA2558">
            <w:pPr>
              <w:pStyle w:val="6"/>
              <w:spacing w:before="49" w:line="217" w:lineRule="auto"/>
              <w:ind w:left="12"/>
            </w:pPr>
            <w:r>
              <w:rPr>
                <w:spacing w:val="1"/>
              </w:rPr>
              <w:t>1.资源税</w:t>
            </w:r>
          </w:p>
        </w:tc>
        <w:tc>
          <w:tcPr>
            <w:tcW w:w="230" w:type="dxa"/>
            <w:vAlign w:val="top"/>
          </w:tcPr>
          <w:p w14:paraId="2619230C">
            <w:pPr>
              <w:rPr>
                <w:rFonts w:ascii="Arial"/>
                <w:sz w:val="21"/>
              </w:rPr>
            </w:pPr>
          </w:p>
        </w:tc>
        <w:tc>
          <w:tcPr>
            <w:tcW w:w="229" w:type="dxa"/>
            <w:vAlign w:val="top"/>
          </w:tcPr>
          <w:p w14:paraId="021C5362">
            <w:pPr>
              <w:rPr>
                <w:rFonts w:ascii="Arial"/>
                <w:sz w:val="21"/>
              </w:rPr>
            </w:pPr>
          </w:p>
        </w:tc>
        <w:tc>
          <w:tcPr>
            <w:tcW w:w="220" w:type="dxa"/>
            <w:vAlign w:val="top"/>
          </w:tcPr>
          <w:p w14:paraId="3B2BFA97">
            <w:pPr>
              <w:rPr>
                <w:rFonts w:ascii="Arial"/>
                <w:sz w:val="21"/>
              </w:rPr>
            </w:pPr>
          </w:p>
        </w:tc>
        <w:tc>
          <w:tcPr>
            <w:tcW w:w="234" w:type="dxa"/>
            <w:vAlign w:val="top"/>
          </w:tcPr>
          <w:p w14:paraId="6CA2FC96">
            <w:pPr>
              <w:rPr>
                <w:rFonts w:ascii="Arial"/>
                <w:sz w:val="21"/>
              </w:rPr>
            </w:pPr>
          </w:p>
        </w:tc>
      </w:tr>
      <w:tr w14:paraId="7A7BC2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883" w:type="dxa"/>
            <w:vMerge w:val="continue"/>
            <w:tcBorders>
              <w:top w:val="nil"/>
              <w:bottom w:val="nil"/>
            </w:tcBorders>
            <w:vAlign w:val="top"/>
          </w:tcPr>
          <w:p w14:paraId="4C52B766">
            <w:pPr>
              <w:rPr>
                <w:rFonts w:ascii="Arial"/>
                <w:sz w:val="21"/>
              </w:rPr>
            </w:pPr>
          </w:p>
        </w:tc>
        <w:tc>
          <w:tcPr>
            <w:tcW w:w="2334" w:type="dxa"/>
            <w:vAlign w:val="top"/>
          </w:tcPr>
          <w:p w14:paraId="0F00BD90">
            <w:pPr>
              <w:pStyle w:val="6"/>
              <w:spacing w:before="50" w:line="220" w:lineRule="auto"/>
              <w:ind w:left="12"/>
            </w:pPr>
            <w:r>
              <w:rPr>
                <w:spacing w:val="-2"/>
              </w:rPr>
              <w:t>2.环境保护税</w:t>
            </w:r>
          </w:p>
        </w:tc>
        <w:tc>
          <w:tcPr>
            <w:tcW w:w="230" w:type="dxa"/>
            <w:vAlign w:val="top"/>
          </w:tcPr>
          <w:p w14:paraId="7307E35D">
            <w:pPr>
              <w:rPr>
                <w:rFonts w:ascii="Arial"/>
                <w:sz w:val="21"/>
              </w:rPr>
            </w:pPr>
          </w:p>
        </w:tc>
        <w:tc>
          <w:tcPr>
            <w:tcW w:w="229" w:type="dxa"/>
            <w:vAlign w:val="top"/>
          </w:tcPr>
          <w:p w14:paraId="78CFD479">
            <w:pPr>
              <w:rPr>
                <w:rFonts w:ascii="Arial"/>
                <w:sz w:val="21"/>
              </w:rPr>
            </w:pPr>
          </w:p>
        </w:tc>
        <w:tc>
          <w:tcPr>
            <w:tcW w:w="220" w:type="dxa"/>
            <w:vAlign w:val="top"/>
          </w:tcPr>
          <w:p w14:paraId="3FD10D74">
            <w:pPr>
              <w:rPr>
                <w:rFonts w:ascii="Arial"/>
                <w:sz w:val="21"/>
              </w:rPr>
            </w:pPr>
          </w:p>
        </w:tc>
        <w:tc>
          <w:tcPr>
            <w:tcW w:w="234" w:type="dxa"/>
            <w:vAlign w:val="top"/>
          </w:tcPr>
          <w:p w14:paraId="33E5FF49">
            <w:pPr>
              <w:rPr>
                <w:rFonts w:ascii="Arial"/>
                <w:sz w:val="21"/>
              </w:rPr>
            </w:pPr>
          </w:p>
        </w:tc>
      </w:tr>
      <w:tr w14:paraId="0C6687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83" w:type="dxa"/>
            <w:vMerge w:val="continue"/>
            <w:tcBorders>
              <w:top w:val="nil"/>
              <w:bottom w:val="nil"/>
            </w:tcBorders>
            <w:vAlign w:val="top"/>
          </w:tcPr>
          <w:p w14:paraId="5E557CD6">
            <w:pPr>
              <w:rPr>
                <w:rFonts w:ascii="Arial"/>
                <w:sz w:val="21"/>
              </w:rPr>
            </w:pPr>
          </w:p>
        </w:tc>
        <w:tc>
          <w:tcPr>
            <w:tcW w:w="2334" w:type="dxa"/>
            <w:vAlign w:val="top"/>
          </w:tcPr>
          <w:p w14:paraId="0B6DDC46">
            <w:pPr>
              <w:pStyle w:val="6"/>
              <w:spacing w:before="51" w:line="215" w:lineRule="auto"/>
              <w:ind w:left="12"/>
            </w:pPr>
            <w:r>
              <w:rPr>
                <w:spacing w:val="-2"/>
              </w:rPr>
              <w:t>3.城镇土地使用税</w:t>
            </w:r>
          </w:p>
        </w:tc>
        <w:tc>
          <w:tcPr>
            <w:tcW w:w="230" w:type="dxa"/>
            <w:vAlign w:val="top"/>
          </w:tcPr>
          <w:p w14:paraId="4CAAE50E">
            <w:pPr>
              <w:rPr>
                <w:rFonts w:ascii="Arial"/>
                <w:sz w:val="21"/>
              </w:rPr>
            </w:pPr>
          </w:p>
        </w:tc>
        <w:tc>
          <w:tcPr>
            <w:tcW w:w="229" w:type="dxa"/>
            <w:vAlign w:val="top"/>
          </w:tcPr>
          <w:p w14:paraId="6AF6ACA0">
            <w:pPr>
              <w:rPr>
                <w:rFonts w:ascii="Arial"/>
                <w:sz w:val="21"/>
              </w:rPr>
            </w:pPr>
          </w:p>
        </w:tc>
        <w:tc>
          <w:tcPr>
            <w:tcW w:w="220" w:type="dxa"/>
            <w:vAlign w:val="top"/>
          </w:tcPr>
          <w:p w14:paraId="4551942D">
            <w:pPr>
              <w:pStyle w:val="6"/>
              <w:spacing w:before="82" w:line="237" w:lineRule="auto"/>
              <w:ind w:left="18"/>
              <w:rPr>
                <w:sz w:val="13"/>
                <w:szCs w:val="13"/>
              </w:rPr>
            </w:pPr>
            <w:r>
              <w:rPr>
                <w:sz w:val="13"/>
                <w:szCs w:val="13"/>
              </w:rPr>
              <w:t>√</w:t>
            </w:r>
          </w:p>
        </w:tc>
        <w:tc>
          <w:tcPr>
            <w:tcW w:w="234" w:type="dxa"/>
            <w:vAlign w:val="top"/>
          </w:tcPr>
          <w:p w14:paraId="136D080B">
            <w:pPr>
              <w:rPr>
                <w:rFonts w:ascii="Arial"/>
                <w:sz w:val="21"/>
              </w:rPr>
            </w:pPr>
          </w:p>
        </w:tc>
      </w:tr>
      <w:tr w14:paraId="33CF09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 w:hRule="atLeast"/>
        </w:trPr>
        <w:tc>
          <w:tcPr>
            <w:tcW w:w="883" w:type="dxa"/>
            <w:vMerge w:val="continue"/>
            <w:tcBorders>
              <w:top w:val="nil"/>
            </w:tcBorders>
            <w:vAlign w:val="top"/>
          </w:tcPr>
          <w:p w14:paraId="676C166A">
            <w:pPr>
              <w:rPr>
                <w:rFonts w:ascii="Arial"/>
                <w:sz w:val="21"/>
              </w:rPr>
            </w:pPr>
          </w:p>
        </w:tc>
        <w:tc>
          <w:tcPr>
            <w:tcW w:w="2334" w:type="dxa"/>
            <w:vAlign w:val="top"/>
          </w:tcPr>
          <w:p w14:paraId="57177F9F">
            <w:pPr>
              <w:pStyle w:val="6"/>
              <w:spacing w:before="52" w:line="215" w:lineRule="auto"/>
              <w:ind w:left="12"/>
            </w:pPr>
            <w:r>
              <w:rPr>
                <w:spacing w:val="-1"/>
              </w:rPr>
              <w:t>4.土地增值税</w:t>
            </w:r>
          </w:p>
        </w:tc>
        <w:tc>
          <w:tcPr>
            <w:tcW w:w="230" w:type="dxa"/>
            <w:vAlign w:val="top"/>
          </w:tcPr>
          <w:p w14:paraId="65563E46">
            <w:pPr>
              <w:rPr>
                <w:rFonts w:ascii="Arial"/>
                <w:sz w:val="21"/>
              </w:rPr>
            </w:pPr>
          </w:p>
        </w:tc>
        <w:tc>
          <w:tcPr>
            <w:tcW w:w="229" w:type="dxa"/>
            <w:vAlign w:val="top"/>
          </w:tcPr>
          <w:p w14:paraId="79AB2FCB">
            <w:pPr>
              <w:rPr>
                <w:rFonts w:ascii="Arial"/>
                <w:sz w:val="21"/>
              </w:rPr>
            </w:pPr>
          </w:p>
        </w:tc>
        <w:tc>
          <w:tcPr>
            <w:tcW w:w="220" w:type="dxa"/>
            <w:vAlign w:val="top"/>
          </w:tcPr>
          <w:p w14:paraId="6D653F8C">
            <w:pPr>
              <w:pStyle w:val="6"/>
              <w:spacing w:before="83" w:line="237" w:lineRule="auto"/>
              <w:ind w:left="18"/>
              <w:rPr>
                <w:sz w:val="13"/>
                <w:szCs w:val="13"/>
              </w:rPr>
            </w:pPr>
            <w:r>
              <w:rPr>
                <w:sz w:val="13"/>
                <w:szCs w:val="13"/>
              </w:rPr>
              <w:t>√</w:t>
            </w:r>
          </w:p>
        </w:tc>
        <w:tc>
          <w:tcPr>
            <w:tcW w:w="234" w:type="dxa"/>
            <w:vAlign w:val="top"/>
          </w:tcPr>
          <w:p w14:paraId="6584F62C">
            <w:pPr>
              <w:rPr>
                <w:rFonts w:ascii="Arial"/>
                <w:sz w:val="21"/>
              </w:rPr>
            </w:pPr>
          </w:p>
        </w:tc>
      </w:tr>
      <w:tr w14:paraId="0C2831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83" w:type="dxa"/>
            <w:vMerge w:val="restart"/>
            <w:tcBorders>
              <w:bottom w:val="nil"/>
            </w:tcBorders>
            <w:vAlign w:val="top"/>
          </w:tcPr>
          <w:p w14:paraId="658C6963">
            <w:pPr>
              <w:spacing w:line="305" w:lineRule="auto"/>
              <w:rPr>
                <w:rFonts w:ascii="Arial"/>
                <w:sz w:val="21"/>
              </w:rPr>
            </w:pPr>
          </w:p>
          <w:p w14:paraId="75E3F4A9">
            <w:pPr>
              <w:pStyle w:val="6"/>
              <w:spacing w:before="55" w:line="218" w:lineRule="auto"/>
              <w:ind w:left="94" w:right="107" w:firstLine="79"/>
            </w:pPr>
            <w:r>
              <w:rPr>
                <w:spacing w:val="4"/>
              </w:rPr>
              <w:t>财产和</w:t>
            </w:r>
            <w:r>
              <w:t xml:space="preserve">  </w:t>
            </w:r>
            <w:r>
              <w:rPr>
                <w:spacing w:val="-3"/>
              </w:rPr>
              <w:t>行为税类</w:t>
            </w:r>
          </w:p>
        </w:tc>
        <w:tc>
          <w:tcPr>
            <w:tcW w:w="2334" w:type="dxa"/>
            <w:vAlign w:val="top"/>
          </w:tcPr>
          <w:p w14:paraId="1F1D8F70">
            <w:pPr>
              <w:pStyle w:val="6"/>
              <w:spacing w:before="51" w:line="214" w:lineRule="auto"/>
              <w:ind w:left="12"/>
            </w:pPr>
            <w:r>
              <w:rPr>
                <w:spacing w:val="1"/>
              </w:rPr>
              <w:t>1.房产税</w:t>
            </w:r>
          </w:p>
        </w:tc>
        <w:tc>
          <w:tcPr>
            <w:tcW w:w="230" w:type="dxa"/>
            <w:vAlign w:val="top"/>
          </w:tcPr>
          <w:p w14:paraId="2F30DEBA">
            <w:pPr>
              <w:rPr>
                <w:rFonts w:ascii="Arial"/>
                <w:sz w:val="21"/>
              </w:rPr>
            </w:pPr>
          </w:p>
        </w:tc>
        <w:tc>
          <w:tcPr>
            <w:tcW w:w="229" w:type="dxa"/>
            <w:vAlign w:val="top"/>
          </w:tcPr>
          <w:p w14:paraId="0A224B82">
            <w:pPr>
              <w:rPr>
                <w:rFonts w:ascii="Arial"/>
                <w:sz w:val="21"/>
              </w:rPr>
            </w:pPr>
          </w:p>
        </w:tc>
        <w:tc>
          <w:tcPr>
            <w:tcW w:w="220" w:type="dxa"/>
            <w:vAlign w:val="top"/>
          </w:tcPr>
          <w:p w14:paraId="050057FF">
            <w:pPr>
              <w:pStyle w:val="6"/>
              <w:spacing w:before="83" w:line="235" w:lineRule="auto"/>
              <w:ind w:left="18"/>
              <w:rPr>
                <w:sz w:val="13"/>
                <w:szCs w:val="13"/>
              </w:rPr>
            </w:pPr>
            <w:r>
              <w:rPr>
                <w:sz w:val="13"/>
                <w:szCs w:val="13"/>
              </w:rPr>
              <w:t>√</w:t>
            </w:r>
          </w:p>
        </w:tc>
        <w:tc>
          <w:tcPr>
            <w:tcW w:w="234" w:type="dxa"/>
            <w:vAlign w:val="top"/>
          </w:tcPr>
          <w:p w14:paraId="1F583827">
            <w:pPr>
              <w:rPr>
                <w:rFonts w:ascii="Arial"/>
                <w:sz w:val="21"/>
              </w:rPr>
            </w:pPr>
          </w:p>
        </w:tc>
      </w:tr>
      <w:tr w14:paraId="0D3609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883" w:type="dxa"/>
            <w:vMerge w:val="continue"/>
            <w:tcBorders>
              <w:top w:val="nil"/>
              <w:bottom w:val="nil"/>
            </w:tcBorders>
            <w:vAlign w:val="top"/>
          </w:tcPr>
          <w:p w14:paraId="617C4EAD">
            <w:pPr>
              <w:rPr>
                <w:rFonts w:ascii="Arial"/>
                <w:sz w:val="21"/>
              </w:rPr>
            </w:pPr>
          </w:p>
        </w:tc>
        <w:tc>
          <w:tcPr>
            <w:tcW w:w="2334" w:type="dxa"/>
            <w:vAlign w:val="top"/>
          </w:tcPr>
          <w:p w14:paraId="3907DD56">
            <w:pPr>
              <w:pStyle w:val="6"/>
              <w:spacing w:before="53" w:line="219" w:lineRule="auto"/>
              <w:ind w:left="12"/>
            </w:pPr>
            <w:r>
              <w:rPr>
                <w:spacing w:val="-2"/>
              </w:rPr>
              <w:t>2.车船税</w:t>
            </w:r>
          </w:p>
        </w:tc>
        <w:tc>
          <w:tcPr>
            <w:tcW w:w="230" w:type="dxa"/>
            <w:vAlign w:val="top"/>
          </w:tcPr>
          <w:p w14:paraId="7C55ED7B">
            <w:pPr>
              <w:rPr>
                <w:rFonts w:ascii="Arial"/>
                <w:sz w:val="21"/>
              </w:rPr>
            </w:pPr>
          </w:p>
        </w:tc>
        <w:tc>
          <w:tcPr>
            <w:tcW w:w="229" w:type="dxa"/>
            <w:vAlign w:val="top"/>
          </w:tcPr>
          <w:p w14:paraId="5BA3484F">
            <w:pPr>
              <w:rPr>
                <w:rFonts w:ascii="Arial"/>
                <w:sz w:val="21"/>
              </w:rPr>
            </w:pPr>
          </w:p>
        </w:tc>
        <w:tc>
          <w:tcPr>
            <w:tcW w:w="220" w:type="dxa"/>
            <w:vAlign w:val="top"/>
          </w:tcPr>
          <w:p w14:paraId="2065CED5">
            <w:pPr>
              <w:pStyle w:val="6"/>
              <w:spacing w:before="84" w:line="238" w:lineRule="auto"/>
              <w:jc w:val="right"/>
              <w:rPr>
                <w:sz w:val="13"/>
                <w:szCs w:val="13"/>
              </w:rPr>
            </w:pPr>
            <w:r>
              <w:rPr>
                <w:spacing w:val="-38"/>
                <w:sz w:val="13"/>
                <w:szCs w:val="13"/>
              </w:rPr>
              <w:t>√</w:t>
            </w:r>
          </w:p>
        </w:tc>
        <w:tc>
          <w:tcPr>
            <w:tcW w:w="234" w:type="dxa"/>
            <w:vAlign w:val="top"/>
          </w:tcPr>
          <w:p w14:paraId="4A121C43">
            <w:pPr>
              <w:rPr>
                <w:rFonts w:ascii="Arial"/>
                <w:sz w:val="21"/>
              </w:rPr>
            </w:pPr>
          </w:p>
        </w:tc>
      </w:tr>
      <w:tr w14:paraId="496049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83" w:type="dxa"/>
            <w:vMerge w:val="continue"/>
            <w:tcBorders>
              <w:top w:val="nil"/>
              <w:bottom w:val="nil"/>
            </w:tcBorders>
            <w:vAlign w:val="top"/>
          </w:tcPr>
          <w:p w14:paraId="2CA2ED82">
            <w:pPr>
              <w:rPr>
                <w:rFonts w:ascii="Arial"/>
                <w:sz w:val="21"/>
              </w:rPr>
            </w:pPr>
          </w:p>
        </w:tc>
        <w:tc>
          <w:tcPr>
            <w:tcW w:w="2334" w:type="dxa"/>
            <w:vAlign w:val="top"/>
          </w:tcPr>
          <w:p w14:paraId="5D828533">
            <w:pPr>
              <w:pStyle w:val="6"/>
              <w:spacing w:before="53" w:line="212" w:lineRule="auto"/>
              <w:ind w:left="12"/>
            </w:pPr>
            <w:r>
              <w:rPr>
                <w:spacing w:val="-1"/>
              </w:rPr>
              <w:t>3.印花税</w:t>
            </w:r>
          </w:p>
        </w:tc>
        <w:tc>
          <w:tcPr>
            <w:tcW w:w="230" w:type="dxa"/>
            <w:vAlign w:val="top"/>
          </w:tcPr>
          <w:p w14:paraId="2E01ACE0">
            <w:pPr>
              <w:rPr>
                <w:rFonts w:ascii="Arial"/>
                <w:sz w:val="21"/>
              </w:rPr>
            </w:pPr>
          </w:p>
        </w:tc>
        <w:tc>
          <w:tcPr>
            <w:tcW w:w="229" w:type="dxa"/>
            <w:vAlign w:val="top"/>
          </w:tcPr>
          <w:p w14:paraId="00A8F061">
            <w:pPr>
              <w:rPr>
                <w:rFonts w:ascii="Arial"/>
                <w:sz w:val="21"/>
              </w:rPr>
            </w:pPr>
          </w:p>
        </w:tc>
        <w:tc>
          <w:tcPr>
            <w:tcW w:w="220" w:type="dxa"/>
            <w:vAlign w:val="top"/>
          </w:tcPr>
          <w:p w14:paraId="66B8CE97">
            <w:pPr>
              <w:rPr>
                <w:rFonts w:ascii="Arial"/>
                <w:sz w:val="21"/>
              </w:rPr>
            </w:pPr>
          </w:p>
        </w:tc>
        <w:tc>
          <w:tcPr>
            <w:tcW w:w="234" w:type="dxa"/>
            <w:vAlign w:val="top"/>
          </w:tcPr>
          <w:p w14:paraId="5B79551A">
            <w:pPr>
              <w:rPr>
                <w:rFonts w:ascii="Arial"/>
                <w:sz w:val="21"/>
              </w:rPr>
            </w:pPr>
          </w:p>
        </w:tc>
      </w:tr>
      <w:tr w14:paraId="0F2D40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 w:hRule="atLeast"/>
        </w:trPr>
        <w:tc>
          <w:tcPr>
            <w:tcW w:w="883" w:type="dxa"/>
            <w:vMerge w:val="continue"/>
            <w:tcBorders>
              <w:top w:val="nil"/>
            </w:tcBorders>
            <w:vAlign w:val="top"/>
          </w:tcPr>
          <w:p w14:paraId="456453CB">
            <w:pPr>
              <w:rPr>
                <w:rFonts w:ascii="Arial"/>
                <w:sz w:val="21"/>
              </w:rPr>
            </w:pPr>
          </w:p>
        </w:tc>
        <w:tc>
          <w:tcPr>
            <w:tcW w:w="2334" w:type="dxa"/>
            <w:vAlign w:val="top"/>
          </w:tcPr>
          <w:p w14:paraId="4DEE941E">
            <w:pPr>
              <w:pStyle w:val="6"/>
              <w:spacing w:before="54" w:line="212" w:lineRule="auto"/>
              <w:ind w:left="12"/>
            </w:pPr>
            <w:r>
              <w:rPr>
                <w:spacing w:val="-1"/>
              </w:rPr>
              <w:t>4.契税</w:t>
            </w:r>
          </w:p>
        </w:tc>
        <w:tc>
          <w:tcPr>
            <w:tcW w:w="230" w:type="dxa"/>
            <w:vAlign w:val="top"/>
          </w:tcPr>
          <w:p w14:paraId="61A5354C">
            <w:pPr>
              <w:rPr>
                <w:rFonts w:ascii="Arial"/>
                <w:sz w:val="21"/>
              </w:rPr>
            </w:pPr>
          </w:p>
        </w:tc>
        <w:tc>
          <w:tcPr>
            <w:tcW w:w="229" w:type="dxa"/>
            <w:vAlign w:val="top"/>
          </w:tcPr>
          <w:p w14:paraId="553A6BCB">
            <w:pPr>
              <w:rPr>
                <w:rFonts w:ascii="Arial"/>
                <w:sz w:val="21"/>
              </w:rPr>
            </w:pPr>
          </w:p>
        </w:tc>
        <w:tc>
          <w:tcPr>
            <w:tcW w:w="220" w:type="dxa"/>
            <w:vAlign w:val="top"/>
          </w:tcPr>
          <w:p w14:paraId="455F775B">
            <w:pPr>
              <w:rPr>
                <w:rFonts w:ascii="Arial"/>
                <w:sz w:val="21"/>
              </w:rPr>
            </w:pPr>
          </w:p>
        </w:tc>
        <w:tc>
          <w:tcPr>
            <w:tcW w:w="234" w:type="dxa"/>
            <w:vAlign w:val="top"/>
          </w:tcPr>
          <w:p w14:paraId="04F47C6E">
            <w:pPr>
              <w:rPr>
                <w:rFonts w:ascii="Arial"/>
                <w:sz w:val="21"/>
              </w:rPr>
            </w:pPr>
          </w:p>
        </w:tc>
      </w:tr>
      <w:tr w14:paraId="398C78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9" w:hRule="atLeast"/>
        </w:trPr>
        <w:tc>
          <w:tcPr>
            <w:tcW w:w="883" w:type="dxa"/>
            <w:vMerge w:val="restart"/>
            <w:tcBorders>
              <w:bottom w:val="nil"/>
            </w:tcBorders>
            <w:vAlign w:val="top"/>
          </w:tcPr>
          <w:p w14:paraId="0AC0D1B6">
            <w:pPr>
              <w:pStyle w:val="6"/>
              <w:spacing w:before="295" w:line="236" w:lineRule="auto"/>
              <w:ind w:left="264" w:right="104" w:hanging="170"/>
            </w:pPr>
            <w:r>
              <w:rPr>
                <w:spacing w:val="-2"/>
              </w:rPr>
              <w:t>特定目的</w:t>
            </w:r>
            <w:r>
              <w:t xml:space="preserve"> </w:t>
            </w:r>
            <w:r>
              <w:rPr>
                <w:spacing w:val="-2"/>
              </w:rPr>
              <w:t>税类</w:t>
            </w:r>
          </w:p>
        </w:tc>
        <w:tc>
          <w:tcPr>
            <w:tcW w:w="2334" w:type="dxa"/>
            <w:vAlign w:val="top"/>
          </w:tcPr>
          <w:p w14:paraId="5CB71C33">
            <w:pPr>
              <w:pStyle w:val="6"/>
              <w:spacing w:before="44" w:line="209" w:lineRule="auto"/>
              <w:ind w:left="12" w:right="261"/>
            </w:pPr>
            <w:r>
              <w:t>1.城市维护建设税及教育费</w:t>
            </w:r>
            <w:r>
              <w:rPr>
                <w:spacing w:val="9"/>
              </w:rPr>
              <w:t xml:space="preserve"> </w:t>
            </w:r>
            <w:r>
              <w:rPr>
                <w:spacing w:val="6"/>
              </w:rPr>
              <w:t>附加</w:t>
            </w:r>
          </w:p>
        </w:tc>
        <w:tc>
          <w:tcPr>
            <w:tcW w:w="230" w:type="dxa"/>
            <w:vAlign w:val="top"/>
          </w:tcPr>
          <w:p w14:paraId="73896B6E">
            <w:pPr>
              <w:rPr>
                <w:rFonts w:ascii="Arial"/>
                <w:sz w:val="21"/>
              </w:rPr>
            </w:pPr>
          </w:p>
        </w:tc>
        <w:tc>
          <w:tcPr>
            <w:tcW w:w="229" w:type="dxa"/>
            <w:vAlign w:val="top"/>
          </w:tcPr>
          <w:p w14:paraId="5FB47A48">
            <w:pPr>
              <w:rPr>
                <w:rFonts w:ascii="Arial"/>
                <w:sz w:val="21"/>
              </w:rPr>
            </w:pPr>
          </w:p>
        </w:tc>
        <w:tc>
          <w:tcPr>
            <w:tcW w:w="220" w:type="dxa"/>
            <w:vAlign w:val="top"/>
          </w:tcPr>
          <w:p w14:paraId="18F4E9E0">
            <w:pPr>
              <w:pStyle w:val="6"/>
              <w:spacing w:before="176" w:line="238" w:lineRule="auto"/>
              <w:jc w:val="right"/>
              <w:rPr>
                <w:sz w:val="13"/>
                <w:szCs w:val="13"/>
              </w:rPr>
            </w:pPr>
            <w:r>
              <w:rPr>
                <w:spacing w:val="-38"/>
                <w:sz w:val="13"/>
                <w:szCs w:val="13"/>
              </w:rPr>
              <w:t>√</w:t>
            </w:r>
          </w:p>
        </w:tc>
        <w:tc>
          <w:tcPr>
            <w:tcW w:w="234" w:type="dxa"/>
            <w:vAlign w:val="top"/>
          </w:tcPr>
          <w:p w14:paraId="0B04E2B3">
            <w:pPr>
              <w:rPr>
                <w:rFonts w:ascii="Arial"/>
                <w:sz w:val="21"/>
              </w:rPr>
            </w:pPr>
          </w:p>
        </w:tc>
      </w:tr>
      <w:tr w14:paraId="2CD69A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83" w:type="dxa"/>
            <w:vMerge w:val="continue"/>
            <w:tcBorders>
              <w:top w:val="nil"/>
              <w:bottom w:val="nil"/>
            </w:tcBorders>
            <w:vAlign w:val="top"/>
          </w:tcPr>
          <w:p w14:paraId="2EB4AEF2">
            <w:pPr>
              <w:rPr>
                <w:rFonts w:ascii="Arial"/>
                <w:sz w:val="21"/>
              </w:rPr>
            </w:pPr>
          </w:p>
        </w:tc>
        <w:tc>
          <w:tcPr>
            <w:tcW w:w="2334" w:type="dxa"/>
            <w:vAlign w:val="top"/>
          </w:tcPr>
          <w:p w14:paraId="01600EB2">
            <w:pPr>
              <w:pStyle w:val="6"/>
              <w:spacing w:before="55" w:line="210" w:lineRule="auto"/>
              <w:ind w:left="12"/>
            </w:pPr>
            <w:r>
              <w:rPr>
                <w:spacing w:val="-2"/>
              </w:rPr>
              <w:t>2.耕地占用税</w:t>
            </w:r>
          </w:p>
        </w:tc>
        <w:tc>
          <w:tcPr>
            <w:tcW w:w="230" w:type="dxa"/>
            <w:vAlign w:val="top"/>
          </w:tcPr>
          <w:p w14:paraId="624A1B11">
            <w:pPr>
              <w:rPr>
                <w:rFonts w:ascii="Arial"/>
                <w:sz w:val="21"/>
              </w:rPr>
            </w:pPr>
          </w:p>
        </w:tc>
        <w:tc>
          <w:tcPr>
            <w:tcW w:w="229" w:type="dxa"/>
            <w:vAlign w:val="top"/>
          </w:tcPr>
          <w:p w14:paraId="5679E11B">
            <w:pPr>
              <w:pStyle w:val="6"/>
              <w:spacing w:before="87" w:line="230" w:lineRule="auto"/>
              <w:ind w:left="47"/>
              <w:rPr>
                <w:sz w:val="13"/>
                <w:szCs w:val="13"/>
              </w:rPr>
            </w:pPr>
            <w:r>
              <w:rPr>
                <w:sz w:val="13"/>
                <w:szCs w:val="13"/>
              </w:rPr>
              <w:t>√</w:t>
            </w:r>
          </w:p>
        </w:tc>
        <w:tc>
          <w:tcPr>
            <w:tcW w:w="220" w:type="dxa"/>
            <w:vAlign w:val="top"/>
          </w:tcPr>
          <w:p w14:paraId="4B41AA89">
            <w:pPr>
              <w:rPr>
                <w:rFonts w:ascii="Arial"/>
                <w:sz w:val="21"/>
              </w:rPr>
            </w:pPr>
          </w:p>
        </w:tc>
        <w:tc>
          <w:tcPr>
            <w:tcW w:w="234" w:type="dxa"/>
            <w:vAlign w:val="top"/>
          </w:tcPr>
          <w:p w14:paraId="232EF15C">
            <w:pPr>
              <w:rPr>
                <w:rFonts w:ascii="Arial"/>
                <w:sz w:val="21"/>
              </w:rPr>
            </w:pPr>
          </w:p>
        </w:tc>
      </w:tr>
      <w:tr w14:paraId="21CAFA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4" w:hRule="atLeast"/>
        </w:trPr>
        <w:tc>
          <w:tcPr>
            <w:tcW w:w="883" w:type="dxa"/>
            <w:vMerge w:val="continue"/>
            <w:tcBorders>
              <w:top w:val="nil"/>
            </w:tcBorders>
            <w:vAlign w:val="top"/>
          </w:tcPr>
          <w:p w14:paraId="0941E9BE">
            <w:pPr>
              <w:rPr>
                <w:rFonts w:ascii="Arial"/>
                <w:sz w:val="21"/>
              </w:rPr>
            </w:pPr>
          </w:p>
        </w:tc>
        <w:tc>
          <w:tcPr>
            <w:tcW w:w="2334" w:type="dxa"/>
            <w:vAlign w:val="top"/>
          </w:tcPr>
          <w:p w14:paraId="6A0B1B40">
            <w:pPr>
              <w:pStyle w:val="6"/>
              <w:spacing w:before="56" w:line="214" w:lineRule="auto"/>
              <w:ind w:left="12"/>
            </w:pPr>
            <w:r>
              <w:rPr>
                <w:spacing w:val="-2"/>
              </w:rPr>
              <w:t>3.车辆购置税</w:t>
            </w:r>
          </w:p>
        </w:tc>
        <w:tc>
          <w:tcPr>
            <w:tcW w:w="230" w:type="dxa"/>
            <w:vAlign w:val="top"/>
          </w:tcPr>
          <w:p w14:paraId="35C9A076">
            <w:pPr>
              <w:rPr>
                <w:rFonts w:ascii="Arial"/>
                <w:sz w:val="21"/>
              </w:rPr>
            </w:pPr>
          </w:p>
        </w:tc>
        <w:tc>
          <w:tcPr>
            <w:tcW w:w="229" w:type="dxa"/>
            <w:vAlign w:val="top"/>
          </w:tcPr>
          <w:p w14:paraId="7713E5FA">
            <w:pPr>
              <w:pStyle w:val="6"/>
              <w:spacing w:before="88" w:line="235" w:lineRule="auto"/>
              <w:ind w:left="47"/>
              <w:rPr>
                <w:sz w:val="13"/>
                <w:szCs w:val="13"/>
              </w:rPr>
            </w:pPr>
            <w:r>
              <w:rPr>
                <w:sz w:val="13"/>
                <w:szCs w:val="13"/>
              </w:rPr>
              <w:t>√</w:t>
            </w:r>
          </w:p>
        </w:tc>
        <w:tc>
          <w:tcPr>
            <w:tcW w:w="220" w:type="dxa"/>
            <w:vAlign w:val="top"/>
          </w:tcPr>
          <w:p w14:paraId="6F448370">
            <w:pPr>
              <w:rPr>
                <w:rFonts w:ascii="Arial"/>
                <w:sz w:val="21"/>
              </w:rPr>
            </w:pPr>
          </w:p>
        </w:tc>
        <w:tc>
          <w:tcPr>
            <w:tcW w:w="234" w:type="dxa"/>
            <w:vAlign w:val="top"/>
          </w:tcPr>
          <w:p w14:paraId="26F9B4EB">
            <w:pPr>
              <w:rPr>
                <w:rFonts w:ascii="Arial"/>
                <w:sz w:val="21"/>
              </w:rPr>
            </w:pPr>
          </w:p>
        </w:tc>
      </w:tr>
    </w:tbl>
    <w:p w14:paraId="3B6C9719">
      <w:pPr>
        <w:spacing w:before="69" w:line="221" w:lineRule="auto"/>
        <w:ind w:left="63"/>
        <w:rPr>
          <w:rFonts w:ascii="黑体" w:hAnsi="黑体" w:eastAsia="黑体" w:cs="黑体"/>
          <w:sz w:val="23"/>
          <w:szCs w:val="23"/>
        </w:rPr>
      </w:pPr>
      <w:r>
        <w:rPr>
          <w:rFonts w:ascii="黑体" w:hAnsi="黑体" w:eastAsia="黑体" w:cs="黑体"/>
          <w:b/>
          <w:bCs/>
          <w:spacing w:val="-7"/>
          <w:sz w:val="23"/>
          <w:szCs w:val="23"/>
        </w:rPr>
        <w:t>四、考试形式和试卷结构</w:t>
      </w:r>
    </w:p>
    <w:p w14:paraId="47236E53">
      <w:pPr>
        <w:spacing w:before="77" w:line="219" w:lineRule="auto"/>
        <w:ind w:left="440"/>
        <w:rPr>
          <w:rFonts w:ascii="宋体" w:hAnsi="宋体" w:eastAsia="宋体" w:cs="宋体"/>
          <w:sz w:val="17"/>
          <w:szCs w:val="17"/>
        </w:rPr>
      </w:pPr>
      <w:r>
        <w:rPr>
          <w:rFonts w:ascii="宋体" w:hAnsi="宋体" w:eastAsia="宋体" w:cs="宋体"/>
          <w:spacing w:val="-5"/>
          <w:sz w:val="17"/>
          <w:szCs w:val="17"/>
        </w:rPr>
        <w:t>1.考试形式：</w:t>
      </w:r>
    </w:p>
    <w:p w14:paraId="6CFE9121">
      <w:pPr>
        <w:spacing w:before="97" w:line="302" w:lineRule="auto"/>
        <w:ind w:left="60" w:right="369" w:firstLine="380"/>
        <w:rPr>
          <w:rFonts w:ascii="宋体" w:hAnsi="宋体" w:eastAsia="宋体" w:cs="宋体"/>
          <w:sz w:val="17"/>
          <w:szCs w:val="17"/>
        </w:rPr>
      </w:pPr>
      <w:r>
        <w:rPr>
          <w:rFonts w:ascii="宋体" w:hAnsi="宋体" w:eastAsia="宋体" w:cs="宋体"/>
          <w:spacing w:val="4"/>
          <w:sz w:val="17"/>
          <w:szCs w:val="17"/>
        </w:rPr>
        <w:t>考试采用书面答卷、闭卷方式。卷面总分20</w:t>
      </w:r>
      <w:r>
        <w:rPr>
          <w:rFonts w:ascii="宋体" w:hAnsi="宋体" w:eastAsia="宋体" w:cs="宋体"/>
          <w:spacing w:val="3"/>
          <w:sz w:val="17"/>
          <w:szCs w:val="17"/>
        </w:rPr>
        <w:t>0分，</w:t>
      </w:r>
      <w:r>
        <w:rPr>
          <w:rFonts w:ascii="宋体" w:hAnsi="宋体" w:eastAsia="宋体" w:cs="宋体"/>
          <w:sz w:val="17"/>
          <w:szCs w:val="17"/>
        </w:rPr>
        <w:t xml:space="preserve"> </w:t>
      </w:r>
      <w:r>
        <w:rPr>
          <w:rFonts w:ascii="宋体" w:hAnsi="宋体" w:eastAsia="宋体" w:cs="宋体"/>
          <w:spacing w:val="5"/>
          <w:sz w:val="17"/>
          <w:szCs w:val="17"/>
        </w:rPr>
        <w:t>考试时间为150分钟。</w:t>
      </w:r>
    </w:p>
    <w:p w14:paraId="427663A8">
      <w:pPr>
        <w:spacing w:before="3" w:line="321" w:lineRule="auto"/>
        <w:ind w:left="60" w:right="348" w:firstLine="380"/>
        <w:rPr>
          <w:rFonts w:ascii="宋体" w:hAnsi="宋体" w:eastAsia="宋体" w:cs="宋体"/>
          <w:sz w:val="17"/>
          <w:szCs w:val="17"/>
        </w:rPr>
      </w:pPr>
      <w:r>
        <w:rPr>
          <w:rFonts w:ascii="宋体" w:hAnsi="宋体" w:eastAsia="宋体" w:cs="宋体"/>
          <w:spacing w:val="1"/>
          <w:sz w:val="17"/>
          <w:szCs w:val="17"/>
        </w:rPr>
        <w:t>2.考试计算工具：考试可以使用无储存功能及其他</w:t>
      </w:r>
      <w:r>
        <w:rPr>
          <w:rFonts w:ascii="宋体" w:hAnsi="宋体" w:eastAsia="宋体" w:cs="宋体"/>
          <w:spacing w:val="2"/>
          <w:sz w:val="17"/>
          <w:szCs w:val="17"/>
        </w:rPr>
        <w:t xml:space="preserve"> </w:t>
      </w:r>
      <w:r>
        <w:rPr>
          <w:rFonts w:ascii="宋体" w:hAnsi="宋体" w:eastAsia="宋体" w:cs="宋体"/>
          <w:spacing w:val="-1"/>
          <w:sz w:val="17"/>
          <w:szCs w:val="17"/>
        </w:rPr>
        <w:t>功能的计算器。</w:t>
      </w:r>
    </w:p>
    <w:p w14:paraId="39759D8F">
      <w:pPr>
        <w:spacing w:line="220" w:lineRule="auto"/>
        <w:ind w:left="440"/>
        <w:rPr>
          <w:rFonts w:ascii="宋体" w:hAnsi="宋体" w:eastAsia="宋体" w:cs="宋体"/>
          <w:sz w:val="17"/>
          <w:szCs w:val="17"/>
        </w:rPr>
      </w:pPr>
      <w:r>
        <w:rPr>
          <w:rFonts w:ascii="宋体" w:hAnsi="宋体" w:eastAsia="宋体" w:cs="宋体"/>
          <w:spacing w:val="-6"/>
          <w:sz w:val="17"/>
          <w:szCs w:val="17"/>
        </w:rPr>
        <w:t>3.试卷结构：</w:t>
      </w:r>
    </w:p>
    <w:p w14:paraId="3AC718F3">
      <w:pPr>
        <w:spacing w:before="87" w:line="219" w:lineRule="auto"/>
        <w:ind w:left="520"/>
        <w:rPr>
          <w:rFonts w:ascii="宋体" w:hAnsi="宋体" w:eastAsia="宋体" w:cs="宋体"/>
          <w:sz w:val="18"/>
          <w:szCs w:val="18"/>
        </w:rPr>
      </w:pPr>
      <w:r>
        <w:rPr>
          <w:rFonts w:ascii="宋体" w:hAnsi="宋体" w:eastAsia="宋体" w:cs="宋体"/>
          <w:spacing w:val="-1"/>
          <w:sz w:val="18"/>
          <w:szCs w:val="18"/>
        </w:rPr>
        <w:t>(1)按知识点分：</w:t>
      </w:r>
    </w:p>
    <w:p w14:paraId="3AE43B11">
      <w:pPr>
        <w:spacing w:line="14" w:lineRule="exact"/>
      </w:pPr>
    </w:p>
    <w:tbl>
      <w:tblPr>
        <w:tblStyle w:val="5"/>
        <w:tblW w:w="4119" w:type="dxa"/>
        <w:tblInd w:w="9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321"/>
        <w:gridCol w:w="2798"/>
      </w:tblGrid>
      <w:tr w14:paraId="14A675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1321" w:type="dxa"/>
            <w:tcBorders>
              <w:top w:val="single" w:color="000000" w:sz="2" w:space="0"/>
              <w:bottom w:val="single" w:color="000000" w:sz="2" w:space="0"/>
            </w:tcBorders>
            <w:vAlign w:val="top"/>
          </w:tcPr>
          <w:p w14:paraId="3EE20842">
            <w:pPr>
              <w:pStyle w:val="6"/>
              <w:spacing w:before="43" w:line="219" w:lineRule="auto"/>
              <w:ind w:left="477"/>
              <w:rPr>
                <w:sz w:val="18"/>
                <w:szCs w:val="18"/>
              </w:rPr>
            </w:pPr>
            <w:r>
              <w:rPr>
                <w:b/>
                <w:bCs/>
                <w:spacing w:val="-5"/>
                <w:sz w:val="18"/>
                <w:szCs w:val="18"/>
              </w:rPr>
              <w:t>学科</w:t>
            </w:r>
          </w:p>
        </w:tc>
        <w:tc>
          <w:tcPr>
            <w:tcW w:w="2798" w:type="dxa"/>
            <w:tcBorders>
              <w:top w:val="single" w:color="000000" w:sz="2" w:space="0"/>
              <w:bottom w:val="single" w:color="000000" w:sz="2" w:space="0"/>
            </w:tcBorders>
            <w:vAlign w:val="top"/>
          </w:tcPr>
          <w:p w14:paraId="44CBEBCF">
            <w:pPr>
              <w:pStyle w:val="6"/>
              <w:spacing w:before="46" w:line="218" w:lineRule="auto"/>
              <w:ind w:left="1146"/>
              <w:rPr>
                <w:sz w:val="18"/>
                <w:szCs w:val="18"/>
              </w:rPr>
            </w:pPr>
            <w:r>
              <w:rPr>
                <w:b/>
                <w:bCs/>
                <w:spacing w:val="1"/>
                <w:sz w:val="18"/>
                <w:szCs w:val="18"/>
              </w:rPr>
              <w:t>知识点</w:t>
            </w:r>
          </w:p>
        </w:tc>
      </w:tr>
      <w:tr w14:paraId="3AACAD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5" w:hRule="atLeast"/>
        </w:trPr>
        <w:tc>
          <w:tcPr>
            <w:tcW w:w="1321" w:type="dxa"/>
            <w:vMerge w:val="restart"/>
            <w:tcBorders>
              <w:top w:val="single" w:color="000000" w:sz="2" w:space="0"/>
              <w:bottom w:val="nil"/>
            </w:tcBorders>
            <w:vAlign w:val="top"/>
          </w:tcPr>
          <w:p w14:paraId="7279CBBF">
            <w:pPr>
              <w:spacing w:line="302" w:lineRule="auto"/>
              <w:rPr>
                <w:rFonts w:ascii="Arial"/>
                <w:sz w:val="21"/>
              </w:rPr>
            </w:pPr>
          </w:p>
          <w:p w14:paraId="6CCDFC09">
            <w:pPr>
              <w:spacing w:line="302" w:lineRule="auto"/>
              <w:rPr>
                <w:rFonts w:ascii="Arial"/>
                <w:sz w:val="21"/>
              </w:rPr>
            </w:pPr>
          </w:p>
          <w:p w14:paraId="722AFB59">
            <w:pPr>
              <w:spacing w:line="303" w:lineRule="auto"/>
              <w:rPr>
                <w:rFonts w:ascii="Arial"/>
                <w:sz w:val="21"/>
              </w:rPr>
            </w:pPr>
          </w:p>
          <w:p w14:paraId="6C6C9C90">
            <w:pPr>
              <w:pStyle w:val="6"/>
              <w:spacing w:before="58" w:line="219" w:lineRule="auto"/>
              <w:ind w:left="294"/>
              <w:rPr>
                <w:sz w:val="18"/>
                <w:szCs w:val="18"/>
              </w:rPr>
            </w:pPr>
            <w:r>
              <w:rPr>
                <w:spacing w:val="-2"/>
                <w:sz w:val="18"/>
                <w:szCs w:val="18"/>
              </w:rPr>
              <w:t>基础会计</w:t>
            </w:r>
          </w:p>
          <w:p w14:paraId="68120D0F">
            <w:pPr>
              <w:pStyle w:val="6"/>
              <w:spacing w:before="5" w:line="216" w:lineRule="auto"/>
              <w:ind w:left="74"/>
              <w:rPr>
                <w:sz w:val="18"/>
                <w:szCs w:val="18"/>
              </w:rPr>
            </w:pPr>
            <w:r>
              <w:rPr>
                <w:spacing w:val="-11"/>
                <w:sz w:val="18"/>
                <w:szCs w:val="18"/>
              </w:rPr>
              <w:t>(</w:t>
            </w:r>
            <w:r>
              <w:rPr>
                <w:spacing w:val="-37"/>
                <w:sz w:val="18"/>
                <w:szCs w:val="18"/>
              </w:rPr>
              <w:t xml:space="preserve"> </w:t>
            </w:r>
            <w:r>
              <w:rPr>
                <w:spacing w:val="-11"/>
                <w:sz w:val="18"/>
                <w:szCs w:val="18"/>
              </w:rPr>
              <w:t>4</w:t>
            </w:r>
            <w:r>
              <w:rPr>
                <w:spacing w:val="-37"/>
                <w:sz w:val="18"/>
                <w:szCs w:val="18"/>
              </w:rPr>
              <w:t xml:space="preserve"> </w:t>
            </w:r>
            <w:r>
              <w:rPr>
                <w:spacing w:val="-11"/>
                <w:sz w:val="18"/>
                <w:szCs w:val="18"/>
              </w:rPr>
              <w:t>5</w:t>
            </w:r>
            <w:r>
              <w:rPr>
                <w:spacing w:val="-46"/>
                <w:sz w:val="18"/>
                <w:szCs w:val="18"/>
              </w:rPr>
              <w:t xml:space="preserve"> </w:t>
            </w:r>
            <w:r>
              <w:rPr>
                <w:spacing w:val="-11"/>
                <w:sz w:val="18"/>
                <w:szCs w:val="18"/>
              </w:rPr>
              <w:t>%</w:t>
            </w:r>
            <w:r>
              <w:rPr>
                <w:spacing w:val="-38"/>
                <w:sz w:val="18"/>
                <w:szCs w:val="18"/>
              </w:rPr>
              <w:t xml:space="preserve"> </w:t>
            </w:r>
            <w:r>
              <w:rPr>
                <w:spacing w:val="-11"/>
                <w:sz w:val="18"/>
                <w:szCs w:val="18"/>
              </w:rPr>
              <w:t>,</w:t>
            </w:r>
            <w:r>
              <w:rPr>
                <w:spacing w:val="-40"/>
                <w:sz w:val="18"/>
                <w:szCs w:val="18"/>
              </w:rPr>
              <w:t xml:space="preserve"> </w:t>
            </w:r>
            <w:r>
              <w:rPr>
                <w:spacing w:val="-11"/>
                <w:sz w:val="18"/>
                <w:szCs w:val="18"/>
              </w:rPr>
              <w:t>9</w:t>
            </w:r>
            <w:r>
              <w:rPr>
                <w:spacing w:val="-39"/>
                <w:sz w:val="18"/>
                <w:szCs w:val="18"/>
              </w:rPr>
              <w:t xml:space="preserve"> </w:t>
            </w:r>
            <w:r>
              <w:rPr>
                <w:spacing w:val="-11"/>
                <w:sz w:val="18"/>
                <w:szCs w:val="18"/>
              </w:rPr>
              <w:t>0</w:t>
            </w:r>
            <w:r>
              <w:rPr>
                <w:spacing w:val="-38"/>
                <w:sz w:val="18"/>
                <w:szCs w:val="18"/>
              </w:rPr>
              <w:t xml:space="preserve"> </w:t>
            </w:r>
            <w:r>
              <w:rPr>
                <w:spacing w:val="-11"/>
                <w:sz w:val="18"/>
                <w:szCs w:val="18"/>
              </w:rPr>
              <w:t>分</w:t>
            </w:r>
            <w:r>
              <w:rPr>
                <w:spacing w:val="-40"/>
                <w:sz w:val="18"/>
                <w:szCs w:val="18"/>
              </w:rPr>
              <w:t xml:space="preserve"> </w:t>
            </w:r>
            <w:r>
              <w:rPr>
                <w:spacing w:val="-11"/>
                <w:sz w:val="18"/>
                <w:szCs w:val="18"/>
              </w:rPr>
              <w:t>)</w:t>
            </w:r>
          </w:p>
        </w:tc>
        <w:tc>
          <w:tcPr>
            <w:tcW w:w="2798" w:type="dxa"/>
            <w:tcBorders>
              <w:top w:val="single" w:color="000000" w:sz="2" w:space="0"/>
              <w:bottom w:val="single" w:color="000000" w:sz="2" w:space="0"/>
            </w:tcBorders>
            <w:vAlign w:val="top"/>
          </w:tcPr>
          <w:p w14:paraId="7FD929E5">
            <w:pPr>
              <w:pStyle w:val="6"/>
              <w:spacing w:before="43" w:line="207" w:lineRule="auto"/>
              <w:ind w:left="3"/>
              <w:rPr>
                <w:sz w:val="18"/>
                <w:szCs w:val="18"/>
              </w:rPr>
            </w:pPr>
            <w:r>
              <w:rPr>
                <w:spacing w:val="-2"/>
                <w:sz w:val="18"/>
                <w:szCs w:val="18"/>
              </w:rPr>
              <w:t>概述</w:t>
            </w:r>
          </w:p>
        </w:tc>
      </w:tr>
      <w:tr w14:paraId="571729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4" w:hRule="atLeast"/>
        </w:trPr>
        <w:tc>
          <w:tcPr>
            <w:tcW w:w="1321" w:type="dxa"/>
            <w:vMerge w:val="continue"/>
            <w:tcBorders>
              <w:top w:val="nil"/>
              <w:bottom w:val="nil"/>
            </w:tcBorders>
            <w:vAlign w:val="top"/>
          </w:tcPr>
          <w:p w14:paraId="30A9AFFA">
            <w:pPr>
              <w:rPr>
                <w:rFonts w:ascii="Arial"/>
                <w:sz w:val="21"/>
              </w:rPr>
            </w:pPr>
          </w:p>
        </w:tc>
        <w:tc>
          <w:tcPr>
            <w:tcW w:w="2798" w:type="dxa"/>
            <w:tcBorders>
              <w:top w:val="single" w:color="000000" w:sz="2" w:space="0"/>
              <w:bottom w:val="single" w:color="000000" w:sz="2" w:space="0"/>
            </w:tcBorders>
            <w:vAlign w:val="top"/>
          </w:tcPr>
          <w:p w14:paraId="59FBE697">
            <w:pPr>
              <w:pStyle w:val="6"/>
              <w:spacing w:before="42" w:line="207" w:lineRule="auto"/>
              <w:ind w:left="3"/>
              <w:rPr>
                <w:sz w:val="18"/>
                <w:szCs w:val="18"/>
              </w:rPr>
            </w:pPr>
            <w:r>
              <w:rPr>
                <w:spacing w:val="-1"/>
                <w:sz w:val="18"/>
                <w:szCs w:val="18"/>
              </w:rPr>
              <w:t>会计要素及会计平衡公式</w:t>
            </w:r>
          </w:p>
        </w:tc>
      </w:tr>
      <w:tr w14:paraId="6CBE8B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5" w:hRule="atLeast"/>
        </w:trPr>
        <w:tc>
          <w:tcPr>
            <w:tcW w:w="1321" w:type="dxa"/>
            <w:vMerge w:val="continue"/>
            <w:tcBorders>
              <w:top w:val="nil"/>
              <w:bottom w:val="nil"/>
            </w:tcBorders>
            <w:vAlign w:val="top"/>
          </w:tcPr>
          <w:p w14:paraId="3BC1D0F8">
            <w:pPr>
              <w:rPr>
                <w:rFonts w:ascii="Arial"/>
                <w:sz w:val="21"/>
              </w:rPr>
            </w:pPr>
          </w:p>
        </w:tc>
        <w:tc>
          <w:tcPr>
            <w:tcW w:w="2798" w:type="dxa"/>
            <w:tcBorders>
              <w:top w:val="single" w:color="000000" w:sz="2" w:space="0"/>
              <w:bottom w:val="single" w:color="000000" w:sz="2" w:space="0"/>
            </w:tcBorders>
            <w:vAlign w:val="top"/>
          </w:tcPr>
          <w:p w14:paraId="4898DEA0">
            <w:pPr>
              <w:pStyle w:val="6"/>
              <w:spacing w:before="44" w:line="206" w:lineRule="auto"/>
              <w:ind w:left="3"/>
              <w:rPr>
                <w:sz w:val="18"/>
                <w:szCs w:val="18"/>
              </w:rPr>
            </w:pPr>
            <w:r>
              <w:rPr>
                <w:spacing w:val="-2"/>
                <w:sz w:val="18"/>
                <w:szCs w:val="18"/>
              </w:rPr>
              <w:t>账户与复式记账</w:t>
            </w:r>
          </w:p>
        </w:tc>
      </w:tr>
      <w:tr w14:paraId="5CBEF3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4" w:hRule="atLeast"/>
        </w:trPr>
        <w:tc>
          <w:tcPr>
            <w:tcW w:w="1321" w:type="dxa"/>
            <w:vMerge w:val="continue"/>
            <w:tcBorders>
              <w:top w:val="nil"/>
              <w:bottom w:val="nil"/>
            </w:tcBorders>
            <w:vAlign w:val="top"/>
          </w:tcPr>
          <w:p w14:paraId="25CCBFBD">
            <w:pPr>
              <w:rPr>
                <w:rFonts w:ascii="Arial"/>
                <w:sz w:val="21"/>
              </w:rPr>
            </w:pPr>
          </w:p>
        </w:tc>
        <w:tc>
          <w:tcPr>
            <w:tcW w:w="2798" w:type="dxa"/>
            <w:tcBorders>
              <w:top w:val="single" w:color="000000" w:sz="2" w:space="0"/>
              <w:bottom w:val="single" w:color="000000" w:sz="2" w:space="0"/>
            </w:tcBorders>
            <w:vAlign w:val="top"/>
          </w:tcPr>
          <w:p w14:paraId="11E84617">
            <w:pPr>
              <w:pStyle w:val="6"/>
              <w:spacing w:before="43" w:line="206" w:lineRule="auto"/>
              <w:ind w:left="3"/>
              <w:rPr>
                <w:sz w:val="18"/>
                <w:szCs w:val="18"/>
              </w:rPr>
            </w:pPr>
            <w:r>
              <w:rPr>
                <w:spacing w:val="-2"/>
                <w:sz w:val="18"/>
                <w:szCs w:val="18"/>
              </w:rPr>
              <w:t>会计凭证</w:t>
            </w:r>
          </w:p>
        </w:tc>
      </w:tr>
      <w:tr w14:paraId="1DEC09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4" w:hRule="atLeast"/>
        </w:trPr>
        <w:tc>
          <w:tcPr>
            <w:tcW w:w="1321" w:type="dxa"/>
            <w:vMerge w:val="continue"/>
            <w:tcBorders>
              <w:top w:val="nil"/>
              <w:bottom w:val="nil"/>
            </w:tcBorders>
            <w:vAlign w:val="top"/>
          </w:tcPr>
          <w:p w14:paraId="2F22EA61">
            <w:pPr>
              <w:rPr>
                <w:rFonts w:ascii="Arial"/>
                <w:sz w:val="21"/>
              </w:rPr>
            </w:pPr>
          </w:p>
        </w:tc>
        <w:tc>
          <w:tcPr>
            <w:tcW w:w="2798" w:type="dxa"/>
            <w:tcBorders>
              <w:top w:val="single" w:color="000000" w:sz="2" w:space="0"/>
              <w:bottom w:val="single" w:color="000000" w:sz="2" w:space="0"/>
            </w:tcBorders>
            <w:vAlign w:val="top"/>
          </w:tcPr>
          <w:p w14:paraId="5600372E">
            <w:pPr>
              <w:pStyle w:val="6"/>
              <w:spacing w:before="44" w:line="205" w:lineRule="auto"/>
              <w:ind w:left="3"/>
              <w:rPr>
                <w:sz w:val="18"/>
                <w:szCs w:val="18"/>
              </w:rPr>
            </w:pPr>
            <w:r>
              <w:rPr>
                <w:spacing w:val="-2"/>
                <w:sz w:val="18"/>
                <w:szCs w:val="18"/>
              </w:rPr>
              <w:t>会计账簿</w:t>
            </w:r>
          </w:p>
        </w:tc>
      </w:tr>
      <w:tr w14:paraId="3B050E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4" w:hRule="atLeast"/>
        </w:trPr>
        <w:tc>
          <w:tcPr>
            <w:tcW w:w="1321" w:type="dxa"/>
            <w:vMerge w:val="continue"/>
            <w:tcBorders>
              <w:top w:val="nil"/>
              <w:bottom w:val="nil"/>
            </w:tcBorders>
            <w:vAlign w:val="top"/>
          </w:tcPr>
          <w:p w14:paraId="402FE324">
            <w:pPr>
              <w:rPr>
                <w:rFonts w:ascii="Arial"/>
                <w:sz w:val="21"/>
              </w:rPr>
            </w:pPr>
          </w:p>
        </w:tc>
        <w:tc>
          <w:tcPr>
            <w:tcW w:w="2798" w:type="dxa"/>
            <w:tcBorders>
              <w:top w:val="single" w:color="000000" w:sz="2" w:space="0"/>
              <w:bottom w:val="single" w:color="000000" w:sz="2" w:space="0"/>
            </w:tcBorders>
            <w:vAlign w:val="top"/>
          </w:tcPr>
          <w:p w14:paraId="5F9CD669">
            <w:pPr>
              <w:pStyle w:val="6"/>
              <w:spacing w:before="45" w:line="204" w:lineRule="auto"/>
              <w:ind w:left="3"/>
              <w:rPr>
                <w:sz w:val="18"/>
                <w:szCs w:val="18"/>
              </w:rPr>
            </w:pPr>
            <w:r>
              <w:rPr>
                <w:spacing w:val="-1"/>
                <w:sz w:val="18"/>
                <w:szCs w:val="18"/>
              </w:rPr>
              <w:t>主要经济业务的核算</w:t>
            </w:r>
          </w:p>
        </w:tc>
      </w:tr>
      <w:tr w14:paraId="19745E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4" w:hRule="atLeast"/>
        </w:trPr>
        <w:tc>
          <w:tcPr>
            <w:tcW w:w="1321" w:type="dxa"/>
            <w:vMerge w:val="continue"/>
            <w:tcBorders>
              <w:top w:val="nil"/>
              <w:bottom w:val="nil"/>
            </w:tcBorders>
            <w:vAlign w:val="top"/>
          </w:tcPr>
          <w:p w14:paraId="5AF0DB54">
            <w:pPr>
              <w:rPr>
                <w:rFonts w:ascii="Arial"/>
                <w:sz w:val="21"/>
              </w:rPr>
            </w:pPr>
          </w:p>
        </w:tc>
        <w:tc>
          <w:tcPr>
            <w:tcW w:w="2798" w:type="dxa"/>
            <w:tcBorders>
              <w:top w:val="single" w:color="000000" w:sz="2" w:space="0"/>
              <w:bottom w:val="single" w:color="000000" w:sz="2" w:space="0"/>
            </w:tcBorders>
            <w:vAlign w:val="top"/>
          </w:tcPr>
          <w:p w14:paraId="3E21821F">
            <w:pPr>
              <w:pStyle w:val="6"/>
              <w:spacing w:before="46" w:line="203" w:lineRule="auto"/>
              <w:ind w:left="3"/>
              <w:rPr>
                <w:sz w:val="18"/>
                <w:szCs w:val="18"/>
              </w:rPr>
            </w:pPr>
            <w:r>
              <w:rPr>
                <w:spacing w:val="-2"/>
                <w:sz w:val="18"/>
                <w:szCs w:val="18"/>
              </w:rPr>
              <w:t>财产清查</w:t>
            </w:r>
          </w:p>
        </w:tc>
      </w:tr>
      <w:tr w14:paraId="491070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5" w:hRule="atLeast"/>
        </w:trPr>
        <w:tc>
          <w:tcPr>
            <w:tcW w:w="1321" w:type="dxa"/>
            <w:vMerge w:val="continue"/>
            <w:tcBorders>
              <w:top w:val="nil"/>
              <w:bottom w:val="nil"/>
            </w:tcBorders>
            <w:vAlign w:val="top"/>
          </w:tcPr>
          <w:p w14:paraId="305AA131">
            <w:pPr>
              <w:rPr>
                <w:rFonts w:ascii="Arial"/>
                <w:sz w:val="21"/>
              </w:rPr>
            </w:pPr>
          </w:p>
        </w:tc>
        <w:tc>
          <w:tcPr>
            <w:tcW w:w="2798" w:type="dxa"/>
            <w:tcBorders>
              <w:top w:val="single" w:color="000000" w:sz="2" w:space="0"/>
              <w:bottom w:val="single" w:color="000000" w:sz="2" w:space="0"/>
            </w:tcBorders>
            <w:vAlign w:val="top"/>
          </w:tcPr>
          <w:p w14:paraId="78F2B296">
            <w:pPr>
              <w:pStyle w:val="6"/>
              <w:spacing w:before="46" w:line="214" w:lineRule="auto"/>
              <w:ind w:left="3"/>
              <w:rPr>
                <w:sz w:val="18"/>
                <w:szCs w:val="18"/>
              </w:rPr>
            </w:pPr>
            <w:r>
              <w:rPr>
                <w:spacing w:val="-1"/>
                <w:sz w:val="18"/>
                <w:szCs w:val="18"/>
              </w:rPr>
              <w:t>会计核算程序</w:t>
            </w:r>
          </w:p>
        </w:tc>
      </w:tr>
      <w:tr w14:paraId="1A62CA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1321" w:type="dxa"/>
            <w:vMerge w:val="continue"/>
            <w:tcBorders>
              <w:top w:val="nil"/>
              <w:bottom w:val="single" w:color="000000" w:sz="2" w:space="0"/>
            </w:tcBorders>
            <w:vAlign w:val="top"/>
          </w:tcPr>
          <w:p w14:paraId="432CA6F6">
            <w:pPr>
              <w:rPr>
                <w:rFonts w:ascii="Arial"/>
                <w:sz w:val="21"/>
              </w:rPr>
            </w:pPr>
          </w:p>
        </w:tc>
        <w:tc>
          <w:tcPr>
            <w:tcW w:w="2798" w:type="dxa"/>
            <w:tcBorders>
              <w:top w:val="single" w:color="000000" w:sz="2" w:space="0"/>
              <w:bottom w:val="single" w:color="000000" w:sz="2" w:space="0"/>
            </w:tcBorders>
            <w:vAlign w:val="top"/>
          </w:tcPr>
          <w:p w14:paraId="46EE0EE0">
            <w:pPr>
              <w:pStyle w:val="6"/>
              <w:spacing w:before="47" w:line="207" w:lineRule="auto"/>
              <w:ind w:left="3"/>
              <w:rPr>
                <w:sz w:val="18"/>
                <w:szCs w:val="18"/>
              </w:rPr>
            </w:pPr>
            <w:r>
              <w:rPr>
                <w:spacing w:val="-2"/>
                <w:sz w:val="18"/>
                <w:szCs w:val="18"/>
              </w:rPr>
              <w:t>财务报表</w:t>
            </w:r>
          </w:p>
        </w:tc>
      </w:tr>
    </w:tbl>
    <w:p w14:paraId="25FF0443">
      <w:pPr>
        <w:pStyle w:val="2"/>
        <w:spacing w:line="14" w:lineRule="auto"/>
        <w:rPr>
          <w:sz w:val="2"/>
        </w:rPr>
      </w:pPr>
    </w:p>
    <w:p w14:paraId="48AD7A8E">
      <w:pPr>
        <w:pStyle w:val="2"/>
        <w:spacing w:line="14" w:lineRule="auto"/>
        <w:rPr>
          <w:sz w:val="2"/>
        </w:rPr>
      </w:pPr>
      <w:r>
        <w:rPr>
          <w:sz w:val="2"/>
          <w:szCs w:val="2"/>
        </w:rPr>
        <w:br w:type="column"/>
      </w:r>
    </w:p>
    <w:p w14:paraId="5B911486">
      <w:pPr>
        <w:spacing w:line="89" w:lineRule="auto"/>
        <w:rPr>
          <w:rFonts w:ascii="Arial"/>
          <w:sz w:val="2"/>
        </w:rPr>
      </w:pPr>
    </w:p>
    <w:tbl>
      <w:tblPr>
        <w:tblStyle w:val="5"/>
        <w:tblW w:w="4119" w:type="dxa"/>
        <w:tblInd w:w="24"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341"/>
        <w:gridCol w:w="2778"/>
      </w:tblGrid>
      <w:tr w14:paraId="449C7E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4" w:hRule="atLeast"/>
        </w:trPr>
        <w:tc>
          <w:tcPr>
            <w:tcW w:w="1341" w:type="dxa"/>
            <w:vMerge w:val="restart"/>
            <w:tcBorders>
              <w:bottom w:val="nil"/>
            </w:tcBorders>
            <w:vAlign w:val="top"/>
          </w:tcPr>
          <w:p w14:paraId="56C7C14E">
            <w:pPr>
              <w:spacing w:line="251" w:lineRule="auto"/>
              <w:rPr>
                <w:rFonts w:ascii="Arial"/>
                <w:sz w:val="21"/>
              </w:rPr>
            </w:pPr>
          </w:p>
          <w:p w14:paraId="28721C27">
            <w:pPr>
              <w:spacing w:line="251" w:lineRule="auto"/>
              <w:rPr>
                <w:rFonts w:ascii="Arial"/>
                <w:sz w:val="21"/>
              </w:rPr>
            </w:pPr>
          </w:p>
          <w:p w14:paraId="0B5AF280">
            <w:pPr>
              <w:pStyle w:val="6"/>
              <w:spacing w:before="58" w:line="224" w:lineRule="auto"/>
              <w:ind w:left="94" w:right="56" w:firstLine="29"/>
              <w:rPr>
                <w:sz w:val="18"/>
                <w:szCs w:val="18"/>
              </w:rPr>
            </w:pPr>
            <w:r>
              <w:rPr>
                <w:spacing w:val="1"/>
                <w:sz w:val="18"/>
                <w:szCs w:val="18"/>
              </w:rPr>
              <w:t>统计基础知识</w:t>
            </w:r>
            <w:r>
              <w:rPr>
                <w:spacing w:val="3"/>
                <w:sz w:val="18"/>
                <w:szCs w:val="18"/>
              </w:rPr>
              <w:t xml:space="preserve"> </w:t>
            </w:r>
            <w:r>
              <w:rPr>
                <w:spacing w:val="16"/>
                <w:w w:val="115"/>
                <w:sz w:val="18"/>
                <w:szCs w:val="18"/>
              </w:rPr>
              <w:t>(25%,50分)</w:t>
            </w:r>
          </w:p>
        </w:tc>
        <w:tc>
          <w:tcPr>
            <w:tcW w:w="2778" w:type="dxa"/>
            <w:vAlign w:val="top"/>
          </w:tcPr>
          <w:p w14:paraId="6C42C671">
            <w:pPr>
              <w:pStyle w:val="6"/>
              <w:spacing w:before="32" w:line="207" w:lineRule="auto"/>
              <w:ind w:left="14"/>
              <w:rPr>
                <w:sz w:val="18"/>
                <w:szCs w:val="18"/>
              </w:rPr>
            </w:pPr>
            <w:r>
              <w:rPr>
                <w:spacing w:val="-2"/>
                <w:sz w:val="18"/>
                <w:szCs w:val="18"/>
              </w:rPr>
              <w:t>概述</w:t>
            </w:r>
          </w:p>
        </w:tc>
      </w:tr>
      <w:tr w14:paraId="2E79DC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9" w:hRule="atLeast"/>
        </w:trPr>
        <w:tc>
          <w:tcPr>
            <w:tcW w:w="1341" w:type="dxa"/>
            <w:vMerge w:val="continue"/>
            <w:tcBorders>
              <w:top w:val="nil"/>
              <w:bottom w:val="nil"/>
            </w:tcBorders>
            <w:vAlign w:val="top"/>
          </w:tcPr>
          <w:p w14:paraId="294CB245">
            <w:pPr>
              <w:rPr>
                <w:rFonts w:ascii="Arial"/>
                <w:sz w:val="21"/>
              </w:rPr>
            </w:pPr>
          </w:p>
        </w:tc>
        <w:tc>
          <w:tcPr>
            <w:tcW w:w="2778" w:type="dxa"/>
            <w:vAlign w:val="top"/>
          </w:tcPr>
          <w:p w14:paraId="4AFD862B">
            <w:pPr>
              <w:pStyle w:val="6"/>
              <w:spacing w:before="40" w:line="204" w:lineRule="auto"/>
              <w:ind w:left="14"/>
              <w:rPr>
                <w:sz w:val="18"/>
                <w:szCs w:val="18"/>
              </w:rPr>
            </w:pPr>
            <w:r>
              <w:rPr>
                <w:spacing w:val="-2"/>
                <w:sz w:val="18"/>
                <w:szCs w:val="18"/>
              </w:rPr>
              <w:t>统计调查与统计整理</w:t>
            </w:r>
          </w:p>
        </w:tc>
      </w:tr>
      <w:tr w14:paraId="6AD693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9" w:hRule="atLeast"/>
        </w:trPr>
        <w:tc>
          <w:tcPr>
            <w:tcW w:w="1341" w:type="dxa"/>
            <w:vMerge w:val="continue"/>
            <w:tcBorders>
              <w:top w:val="nil"/>
              <w:bottom w:val="nil"/>
            </w:tcBorders>
            <w:vAlign w:val="top"/>
          </w:tcPr>
          <w:p w14:paraId="4D77191F">
            <w:pPr>
              <w:rPr>
                <w:rFonts w:ascii="Arial"/>
                <w:sz w:val="21"/>
              </w:rPr>
            </w:pPr>
          </w:p>
        </w:tc>
        <w:tc>
          <w:tcPr>
            <w:tcW w:w="2778" w:type="dxa"/>
            <w:vAlign w:val="top"/>
          </w:tcPr>
          <w:p w14:paraId="4F7FC51E">
            <w:pPr>
              <w:pStyle w:val="6"/>
              <w:spacing w:before="30" w:line="204" w:lineRule="auto"/>
              <w:ind w:left="14"/>
              <w:rPr>
                <w:sz w:val="18"/>
                <w:szCs w:val="18"/>
              </w:rPr>
            </w:pPr>
            <w:r>
              <w:rPr>
                <w:spacing w:val="-2"/>
                <w:sz w:val="18"/>
                <w:szCs w:val="18"/>
              </w:rPr>
              <w:t>统计综合指标</w:t>
            </w:r>
          </w:p>
        </w:tc>
      </w:tr>
      <w:tr w14:paraId="07A17F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9" w:hRule="atLeast"/>
        </w:trPr>
        <w:tc>
          <w:tcPr>
            <w:tcW w:w="1341" w:type="dxa"/>
            <w:vMerge w:val="continue"/>
            <w:tcBorders>
              <w:top w:val="nil"/>
              <w:bottom w:val="nil"/>
            </w:tcBorders>
            <w:vAlign w:val="top"/>
          </w:tcPr>
          <w:p w14:paraId="2E2F7F20">
            <w:pPr>
              <w:rPr>
                <w:rFonts w:ascii="Arial"/>
                <w:sz w:val="21"/>
              </w:rPr>
            </w:pPr>
          </w:p>
        </w:tc>
        <w:tc>
          <w:tcPr>
            <w:tcW w:w="2778" w:type="dxa"/>
            <w:vAlign w:val="top"/>
          </w:tcPr>
          <w:p w14:paraId="15330BEF">
            <w:pPr>
              <w:pStyle w:val="6"/>
              <w:spacing w:before="40" w:line="204" w:lineRule="auto"/>
              <w:ind w:left="14"/>
              <w:rPr>
                <w:sz w:val="18"/>
                <w:szCs w:val="18"/>
              </w:rPr>
            </w:pPr>
            <w:r>
              <w:rPr>
                <w:spacing w:val="-2"/>
                <w:sz w:val="18"/>
                <w:szCs w:val="18"/>
              </w:rPr>
              <w:t>抽样技术</w:t>
            </w:r>
          </w:p>
        </w:tc>
      </w:tr>
      <w:tr w14:paraId="2C7D12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9" w:hRule="atLeast"/>
        </w:trPr>
        <w:tc>
          <w:tcPr>
            <w:tcW w:w="1341" w:type="dxa"/>
            <w:vMerge w:val="continue"/>
            <w:tcBorders>
              <w:top w:val="nil"/>
              <w:bottom w:val="nil"/>
            </w:tcBorders>
            <w:vAlign w:val="top"/>
          </w:tcPr>
          <w:p w14:paraId="20EAE575">
            <w:pPr>
              <w:rPr>
                <w:rFonts w:ascii="Arial"/>
                <w:sz w:val="21"/>
              </w:rPr>
            </w:pPr>
          </w:p>
        </w:tc>
        <w:tc>
          <w:tcPr>
            <w:tcW w:w="2778" w:type="dxa"/>
            <w:vAlign w:val="top"/>
          </w:tcPr>
          <w:p w14:paraId="17EF41E1">
            <w:pPr>
              <w:pStyle w:val="6"/>
              <w:spacing w:before="32" w:line="202" w:lineRule="auto"/>
              <w:ind w:left="14"/>
              <w:rPr>
                <w:sz w:val="18"/>
                <w:szCs w:val="18"/>
              </w:rPr>
            </w:pPr>
            <w:r>
              <w:rPr>
                <w:spacing w:val="1"/>
                <w:sz w:val="18"/>
                <w:szCs w:val="18"/>
              </w:rPr>
              <w:t>时间序列分析</w:t>
            </w:r>
          </w:p>
        </w:tc>
      </w:tr>
      <w:tr w14:paraId="48412F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0" w:hRule="atLeast"/>
        </w:trPr>
        <w:tc>
          <w:tcPr>
            <w:tcW w:w="1341" w:type="dxa"/>
            <w:vMerge w:val="continue"/>
            <w:tcBorders>
              <w:top w:val="nil"/>
            </w:tcBorders>
            <w:vAlign w:val="top"/>
          </w:tcPr>
          <w:p w14:paraId="595D1CB7">
            <w:pPr>
              <w:rPr>
                <w:rFonts w:ascii="Arial"/>
                <w:sz w:val="21"/>
              </w:rPr>
            </w:pPr>
          </w:p>
        </w:tc>
        <w:tc>
          <w:tcPr>
            <w:tcW w:w="2778" w:type="dxa"/>
            <w:vAlign w:val="top"/>
          </w:tcPr>
          <w:p w14:paraId="040A415C">
            <w:pPr>
              <w:pStyle w:val="6"/>
              <w:spacing w:before="21" w:line="193" w:lineRule="auto"/>
              <w:ind w:left="14"/>
              <w:rPr>
                <w:sz w:val="18"/>
                <w:szCs w:val="18"/>
              </w:rPr>
            </w:pPr>
            <w:r>
              <w:rPr>
                <w:spacing w:val="-3"/>
                <w:sz w:val="18"/>
                <w:szCs w:val="18"/>
              </w:rPr>
              <w:t>统计指数</w:t>
            </w:r>
          </w:p>
        </w:tc>
      </w:tr>
      <w:tr w14:paraId="66CAF2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0" w:hRule="atLeast"/>
        </w:trPr>
        <w:tc>
          <w:tcPr>
            <w:tcW w:w="1341" w:type="dxa"/>
            <w:vMerge w:val="restart"/>
            <w:tcBorders>
              <w:bottom w:val="nil"/>
            </w:tcBorders>
            <w:vAlign w:val="top"/>
          </w:tcPr>
          <w:p w14:paraId="73B3D65C">
            <w:pPr>
              <w:spacing w:line="310" w:lineRule="auto"/>
              <w:rPr>
                <w:rFonts w:ascii="Arial"/>
                <w:sz w:val="21"/>
              </w:rPr>
            </w:pPr>
          </w:p>
          <w:p w14:paraId="632BE0C2">
            <w:pPr>
              <w:spacing w:line="310" w:lineRule="auto"/>
              <w:rPr>
                <w:rFonts w:ascii="Arial"/>
                <w:sz w:val="21"/>
              </w:rPr>
            </w:pPr>
          </w:p>
          <w:p w14:paraId="72A6B18D">
            <w:pPr>
              <w:pStyle w:val="6"/>
              <w:spacing w:before="58" w:line="219" w:lineRule="auto"/>
              <w:ind w:left="304"/>
              <w:rPr>
                <w:sz w:val="18"/>
                <w:szCs w:val="18"/>
              </w:rPr>
            </w:pPr>
            <w:r>
              <w:rPr>
                <w:spacing w:val="-2"/>
                <w:sz w:val="18"/>
                <w:szCs w:val="18"/>
              </w:rPr>
              <w:t>税收基础</w:t>
            </w:r>
          </w:p>
          <w:p w14:paraId="40147853">
            <w:pPr>
              <w:pStyle w:val="6"/>
              <w:spacing w:before="14" w:line="216" w:lineRule="auto"/>
              <w:ind w:left="84"/>
              <w:rPr>
                <w:sz w:val="18"/>
                <w:szCs w:val="18"/>
              </w:rPr>
            </w:pPr>
            <w:r>
              <w:rPr>
                <w:spacing w:val="-11"/>
                <w:sz w:val="18"/>
                <w:szCs w:val="18"/>
              </w:rPr>
              <w:t>(</w:t>
            </w:r>
            <w:r>
              <w:rPr>
                <w:spacing w:val="-36"/>
                <w:sz w:val="18"/>
                <w:szCs w:val="18"/>
              </w:rPr>
              <w:t xml:space="preserve"> </w:t>
            </w:r>
            <w:r>
              <w:rPr>
                <w:spacing w:val="-11"/>
                <w:sz w:val="18"/>
                <w:szCs w:val="18"/>
              </w:rPr>
              <w:t>3</w:t>
            </w:r>
            <w:r>
              <w:rPr>
                <w:spacing w:val="-39"/>
                <w:sz w:val="18"/>
                <w:szCs w:val="18"/>
              </w:rPr>
              <w:t xml:space="preserve"> </w:t>
            </w:r>
            <w:r>
              <w:rPr>
                <w:spacing w:val="-11"/>
                <w:sz w:val="18"/>
                <w:szCs w:val="18"/>
              </w:rPr>
              <w:t>0</w:t>
            </w:r>
            <w:r>
              <w:rPr>
                <w:spacing w:val="-45"/>
                <w:sz w:val="18"/>
                <w:szCs w:val="18"/>
              </w:rPr>
              <w:t xml:space="preserve"> </w:t>
            </w:r>
            <w:r>
              <w:rPr>
                <w:spacing w:val="-11"/>
                <w:sz w:val="18"/>
                <w:szCs w:val="18"/>
              </w:rPr>
              <w:t>%</w:t>
            </w:r>
            <w:r>
              <w:rPr>
                <w:spacing w:val="-38"/>
                <w:sz w:val="18"/>
                <w:szCs w:val="18"/>
              </w:rPr>
              <w:t xml:space="preserve"> </w:t>
            </w:r>
            <w:r>
              <w:rPr>
                <w:spacing w:val="-11"/>
                <w:sz w:val="18"/>
                <w:szCs w:val="18"/>
              </w:rPr>
              <w:t>,</w:t>
            </w:r>
            <w:r>
              <w:rPr>
                <w:spacing w:val="-40"/>
                <w:sz w:val="18"/>
                <w:szCs w:val="18"/>
              </w:rPr>
              <w:t xml:space="preserve"> </w:t>
            </w:r>
            <w:r>
              <w:rPr>
                <w:spacing w:val="-11"/>
                <w:sz w:val="18"/>
                <w:szCs w:val="18"/>
              </w:rPr>
              <w:t>6</w:t>
            </w:r>
            <w:r>
              <w:rPr>
                <w:spacing w:val="-39"/>
                <w:sz w:val="18"/>
                <w:szCs w:val="18"/>
              </w:rPr>
              <w:t xml:space="preserve"> </w:t>
            </w:r>
            <w:r>
              <w:rPr>
                <w:spacing w:val="-11"/>
                <w:sz w:val="18"/>
                <w:szCs w:val="18"/>
              </w:rPr>
              <w:t>0</w:t>
            </w:r>
            <w:r>
              <w:rPr>
                <w:spacing w:val="-38"/>
                <w:sz w:val="18"/>
                <w:szCs w:val="18"/>
              </w:rPr>
              <w:t xml:space="preserve"> </w:t>
            </w:r>
            <w:r>
              <w:rPr>
                <w:spacing w:val="-11"/>
                <w:sz w:val="18"/>
                <w:szCs w:val="18"/>
              </w:rPr>
              <w:t>分</w:t>
            </w:r>
            <w:r>
              <w:rPr>
                <w:spacing w:val="-40"/>
                <w:sz w:val="18"/>
                <w:szCs w:val="18"/>
              </w:rPr>
              <w:t xml:space="preserve"> </w:t>
            </w:r>
            <w:r>
              <w:rPr>
                <w:spacing w:val="-11"/>
                <w:sz w:val="18"/>
                <w:szCs w:val="18"/>
              </w:rPr>
              <w:t>)</w:t>
            </w:r>
          </w:p>
        </w:tc>
        <w:tc>
          <w:tcPr>
            <w:tcW w:w="2778" w:type="dxa"/>
            <w:vAlign w:val="top"/>
          </w:tcPr>
          <w:p w14:paraId="32E43096">
            <w:pPr>
              <w:pStyle w:val="6"/>
              <w:spacing w:before="32" w:line="203" w:lineRule="auto"/>
              <w:ind w:left="14"/>
              <w:rPr>
                <w:sz w:val="18"/>
                <w:szCs w:val="18"/>
              </w:rPr>
            </w:pPr>
            <w:r>
              <w:rPr>
                <w:spacing w:val="-1"/>
                <w:sz w:val="18"/>
                <w:szCs w:val="18"/>
              </w:rPr>
              <w:t>税收基础知识</w:t>
            </w:r>
          </w:p>
        </w:tc>
      </w:tr>
      <w:tr w14:paraId="147C7B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9" w:hRule="atLeast"/>
        </w:trPr>
        <w:tc>
          <w:tcPr>
            <w:tcW w:w="1341" w:type="dxa"/>
            <w:vMerge w:val="continue"/>
            <w:tcBorders>
              <w:top w:val="nil"/>
              <w:bottom w:val="nil"/>
            </w:tcBorders>
            <w:vAlign w:val="top"/>
          </w:tcPr>
          <w:p w14:paraId="42476563">
            <w:pPr>
              <w:rPr>
                <w:rFonts w:ascii="Arial"/>
                <w:sz w:val="21"/>
              </w:rPr>
            </w:pPr>
          </w:p>
        </w:tc>
        <w:tc>
          <w:tcPr>
            <w:tcW w:w="2778" w:type="dxa"/>
            <w:vAlign w:val="top"/>
          </w:tcPr>
          <w:p w14:paraId="4A162996">
            <w:pPr>
              <w:pStyle w:val="6"/>
              <w:spacing w:before="42" w:line="202" w:lineRule="auto"/>
              <w:ind w:left="14"/>
              <w:rPr>
                <w:sz w:val="18"/>
                <w:szCs w:val="18"/>
              </w:rPr>
            </w:pPr>
            <w:r>
              <w:rPr>
                <w:spacing w:val="-2"/>
                <w:sz w:val="18"/>
                <w:szCs w:val="18"/>
              </w:rPr>
              <w:t>增值税</w:t>
            </w:r>
          </w:p>
        </w:tc>
      </w:tr>
      <w:tr w14:paraId="5197AA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9" w:hRule="atLeast"/>
        </w:trPr>
        <w:tc>
          <w:tcPr>
            <w:tcW w:w="1341" w:type="dxa"/>
            <w:vMerge w:val="continue"/>
            <w:tcBorders>
              <w:top w:val="nil"/>
              <w:bottom w:val="nil"/>
            </w:tcBorders>
            <w:vAlign w:val="top"/>
          </w:tcPr>
          <w:p w14:paraId="03F957F1">
            <w:pPr>
              <w:rPr>
                <w:rFonts w:ascii="Arial"/>
                <w:sz w:val="21"/>
              </w:rPr>
            </w:pPr>
          </w:p>
        </w:tc>
        <w:tc>
          <w:tcPr>
            <w:tcW w:w="2778" w:type="dxa"/>
            <w:vAlign w:val="top"/>
          </w:tcPr>
          <w:p w14:paraId="01976C12">
            <w:pPr>
              <w:pStyle w:val="6"/>
              <w:spacing w:before="34" w:line="200" w:lineRule="auto"/>
              <w:ind w:left="14"/>
              <w:rPr>
                <w:sz w:val="18"/>
                <w:szCs w:val="18"/>
              </w:rPr>
            </w:pPr>
            <w:r>
              <w:rPr>
                <w:spacing w:val="-3"/>
                <w:sz w:val="18"/>
                <w:szCs w:val="18"/>
              </w:rPr>
              <w:t>消费税</w:t>
            </w:r>
          </w:p>
        </w:tc>
      </w:tr>
      <w:tr w14:paraId="1E741D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9" w:hRule="atLeast"/>
        </w:trPr>
        <w:tc>
          <w:tcPr>
            <w:tcW w:w="1341" w:type="dxa"/>
            <w:vMerge w:val="continue"/>
            <w:tcBorders>
              <w:top w:val="nil"/>
              <w:bottom w:val="nil"/>
            </w:tcBorders>
            <w:vAlign w:val="top"/>
          </w:tcPr>
          <w:p w14:paraId="5D234BDB">
            <w:pPr>
              <w:rPr>
                <w:rFonts w:ascii="Arial"/>
                <w:sz w:val="21"/>
              </w:rPr>
            </w:pPr>
          </w:p>
        </w:tc>
        <w:tc>
          <w:tcPr>
            <w:tcW w:w="2778" w:type="dxa"/>
            <w:vAlign w:val="top"/>
          </w:tcPr>
          <w:p w14:paraId="56FFAC93">
            <w:pPr>
              <w:pStyle w:val="6"/>
              <w:spacing w:before="44" w:line="199" w:lineRule="auto"/>
              <w:ind w:left="14"/>
              <w:rPr>
                <w:sz w:val="18"/>
                <w:szCs w:val="18"/>
              </w:rPr>
            </w:pPr>
            <w:r>
              <w:rPr>
                <w:spacing w:val="-3"/>
                <w:sz w:val="18"/>
                <w:szCs w:val="18"/>
              </w:rPr>
              <w:t>关税</w:t>
            </w:r>
          </w:p>
        </w:tc>
      </w:tr>
      <w:tr w14:paraId="586B72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0" w:hRule="atLeast"/>
        </w:trPr>
        <w:tc>
          <w:tcPr>
            <w:tcW w:w="1341" w:type="dxa"/>
            <w:vMerge w:val="continue"/>
            <w:tcBorders>
              <w:top w:val="nil"/>
              <w:bottom w:val="nil"/>
            </w:tcBorders>
            <w:vAlign w:val="top"/>
          </w:tcPr>
          <w:p w14:paraId="305CAD12">
            <w:pPr>
              <w:rPr>
                <w:rFonts w:ascii="Arial"/>
                <w:sz w:val="21"/>
              </w:rPr>
            </w:pPr>
          </w:p>
        </w:tc>
        <w:tc>
          <w:tcPr>
            <w:tcW w:w="2778" w:type="dxa"/>
            <w:vAlign w:val="top"/>
          </w:tcPr>
          <w:p w14:paraId="7450B84B">
            <w:pPr>
              <w:pStyle w:val="6"/>
              <w:spacing w:before="35" w:line="200" w:lineRule="auto"/>
              <w:ind w:left="14"/>
              <w:rPr>
                <w:sz w:val="18"/>
                <w:szCs w:val="18"/>
              </w:rPr>
            </w:pPr>
            <w:r>
              <w:rPr>
                <w:spacing w:val="-2"/>
                <w:sz w:val="18"/>
                <w:szCs w:val="18"/>
              </w:rPr>
              <w:t>企业所得税</w:t>
            </w:r>
          </w:p>
        </w:tc>
      </w:tr>
      <w:tr w14:paraId="7C393B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9" w:hRule="atLeast"/>
        </w:trPr>
        <w:tc>
          <w:tcPr>
            <w:tcW w:w="1341" w:type="dxa"/>
            <w:vMerge w:val="continue"/>
            <w:tcBorders>
              <w:top w:val="nil"/>
              <w:bottom w:val="nil"/>
            </w:tcBorders>
            <w:vAlign w:val="top"/>
          </w:tcPr>
          <w:p w14:paraId="1490C4E8">
            <w:pPr>
              <w:rPr>
                <w:rFonts w:ascii="Arial"/>
                <w:sz w:val="21"/>
              </w:rPr>
            </w:pPr>
          </w:p>
        </w:tc>
        <w:tc>
          <w:tcPr>
            <w:tcW w:w="2778" w:type="dxa"/>
            <w:vAlign w:val="top"/>
          </w:tcPr>
          <w:p w14:paraId="17CC267F">
            <w:pPr>
              <w:pStyle w:val="6"/>
              <w:spacing w:before="44" w:line="199" w:lineRule="auto"/>
              <w:ind w:left="14"/>
              <w:rPr>
                <w:sz w:val="18"/>
                <w:szCs w:val="18"/>
              </w:rPr>
            </w:pPr>
            <w:r>
              <w:rPr>
                <w:spacing w:val="-2"/>
                <w:sz w:val="18"/>
                <w:szCs w:val="18"/>
              </w:rPr>
              <w:t>个人所得税</w:t>
            </w:r>
          </w:p>
        </w:tc>
      </w:tr>
      <w:tr w14:paraId="40FF53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4" w:hRule="atLeast"/>
        </w:trPr>
        <w:tc>
          <w:tcPr>
            <w:tcW w:w="1341" w:type="dxa"/>
            <w:vMerge w:val="continue"/>
            <w:tcBorders>
              <w:top w:val="nil"/>
            </w:tcBorders>
            <w:vAlign w:val="top"/>
          </w:tcPr>
          <w:p w14:paraId="2112DB76">
            <w:pPr>
              <w:rPr>
                <w:rFonts w:ascii="Arial"/>
                <w:sz w:val="21"/>
              </w:rPr>
            </w:pPr>
          </w:p>
        </w:tc>
        <w:tc>
          <w:tcPr>
            <w:tcW w:w="2778" w:type="dxa"/>
            <w:vAlign w:val="top"/>
          </w:tcPr>
          <w:p w14:paraId="4964AC14">
            <w:pPr>
              <w:pStyle w:val="6"/>
              <w:spacing w:before="37" w:line="202" w:lineRule="auto"/>
              <w:ind w:left="14"/>
              <w:rPr>
                <w:sz w:val="18"/>
                <w:szCs w:val="18"/>
              </w:rPr>
            </w:pPr>
            <w:r>
              <w:rPr>
                <w:spacing w:val="3"/>
                <w:sz w:val="18"/>
                <w:szCs w:val="18"/>
              </w:rPr>
              <w:t>其他税种</w:t>
            </w:r>
          </w:p>
        </w:tc>
      </w:tr>
    </w:tbl>
    <w:p w14:paraId="3E94DFFD">
      <w:pPr>
        <w:tabs>
          <w:tab w:val="left" w:pos="455"/>
        </w:tabs>
        <w:spacing w:before="62" w:line="219" w:lineRule="auto"/>
        <w:ind w:left="14"/>
        <w:rPr>
          <w:rFonts w:ascii="宋体" w:hAnsi="宋体" w:eastAsia="宋体" w:cs="宋体"/>
          <w:sz w:val="18"/>
          <w:szCs w:val="18"/>
        </w:rPr>
      </w:pPr>
      <w:r>
        <w:rPr>
          <w:rFonts w:ascii="宋体" w:hAnsi="宋体" w:eastAsia="宋体" w:cs="宋体"/>
          <w:sz w:val="18"/>
          <w:szCs w:val="18"/>
          <w:u w:val="single" w:color="auto"/>
        </w:rPr>
        <w:tab/>
      </w:r>
      <w:r>
        <w:rPr>
          <w:rFonts w:ascii="宋体" w:hAnsi="宋体" w:eastAsia="宋体" w:cs="宋体"/>
          <w:sz w:val="18"/>
          <w:szCs w:val="18"/>
          <w:u w:val="single" w:color="auto"/>
        </w:rPr>
        <w:t xml:space="preserve">(2)按考试水平分                         </w:t>
      </w:r>
    </w:p>
    <w:p w14:paraId="33D48044">
      <w:pPr>
        <w:spacing w:line="144" w:lineRule="auto"/>
        <w:rPr>
          <w:rFonts w:ascii="Arial"/>
          <w:sz w:val="2"/>
        </w:rPr>
      </w:pPr>
    </w:p>
    <w:tbl>
      <w:tblPr>
        <w:tblStyle w:val="5"/>
        <w:tblW w:w="4130" w:type="dxa"/>
        <w:tblInd w:w="24"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03"/>
        <w:gridCol w:w="798"/>
        <w:gridCol w:w="788"/>
        <w:gridCol w:w="788"/>
        <w:gridCol w:w="953"/>
      </w:tblGrid>
      <w:tr w14:paraId="13425D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0" w:hRule="atLeast"/>
        </w:trPr>
        <w:tc>
          <w:tcPr>
            <w:tcW w:w="803" w:type="dxa"/>
            <w:vAlign w:val="top"/>
          </w:tcPr>
          <w:p w14:paraId="617D1572">
            <w:pPr>
              <w:pStyle w:val="6"/>
              <w:spacing w:before="130" w:line="220" w:lineRule="auto"/>
              <w:ind w:left="37"/>
              <w:rPr>
                <w:sz w:val="18"/>
                <w:szCs w:val="18"/>
              </w:rPr>
            </w:pPr>
            <w:r>
              <w:rPr>
                <w:b/>
                <w:bCs/>
                <w:spacing w:val="-2"/>
                <w:sz w:val="18"/>
                <w:szCs w:val="18"/>
              </w:rPr>
              <w:t>目标要求</w:t>
            </w:r>
          </w:p>
        </w:tc>
        <w:tc>
          <w:tcPr>
            <w:tcW w:w="798" w:type="dxa"/>
            <w:vAlign w:val="top"/>
          </w:tcPr>
          <w:p w14:paraId="09CF9EDB">
            <w:pPr>
              <w:pStyle w:val="6"/>
              <w:spacing w:before="132" w:line="222" w:lineRule="auto"/>
              <w:ind w:left="74"/>
              <w:rPr>
                <w:sz w:val="18"/>
                <w:szCs w:val="18"/>
              </w:rPr>
            </w:pPr>
            <w:r>
              <w:rPr>
                <w:b/>
                <w:bCs/>
                <w:spacing w:val="4"/>
                <w:sz w:val="18"/>
                <w:szCs w:val="18"/>
              </w:rPr>
              <w:t>识记(A)</w:t>
            </w:r>
          </w:p>
        </w:tc>
        <w:tc>
          <w:tcPr>
            <w:tcW w:w="788" w:type="dxa"/>
            <w:vAlign w:val="top"/>
          </w:tcPr>
          <w:p w14:paraId="3D0795E0">
            <w:pPr>
              <w:pStyle w:val="6"/>
              <w:spacing w:before="130" w:line="220" w:lineRule="auto"/>
              <w:ind w:left="16"/>
              <w:rPr>
                <w:sz w:val="18"/>
                <w:szCs w:val="18"/>
              </w:rPr>
            </w:pPr>
            <w:r>
              <w:rPr>
                <w:b/>
                <w:bCs/>
                <w:spacing w:val="4"/>
                <w:sz w:val="18"/>
                <w:szCs w:val="18"/>
              </w:rPr>
              <w:t>理解(B)</w:t>
            </w:r>
          </w:p>
        </w:tc>
        <w:tc>
          <w:tcPr>
            <w:tcW w:w="788" w:type="dxa"/>
            <w:vAlign w:val="top"/>
          </w:tcPr>
          <w:p w14:paraId="14733EE3">
            <w:pPr>
              <w:pStyle w:val="6"/>
              <w:spacing w:before="129" w:line="219" w:lineRule="auto"/>
              <w:ind w:left="8"/>
              <w:rPr>
                <w:sz w:val="18"/>
                <w:szCs w:val="18"/>
              </w:rPr>
            </w:pPr>
            <w:r>
              <w:rPr>
                <w:b/>
                <w:bCs/>
                <w:spacing w:val="4"/>
                <w:sz w:val="18"/>
                <w:szCs w:val="18"/>
              </w:rPr>
              <w:t>掌握(C)</w:t>
            </w:r>
          </w:p>
        </w:tc>
        <w:tc>
          <w:tcPr>
            <w:tcW w:w="953" w:type="dxa"/>
            <w:vAlign w:val="top"/>
          </w:tcPr>
          <w:p w14:paraId="5B431FE5">
            <w:pPr>
              <w:pStyle w:val="6"/>
              <w:spacing w:before="20" w:line="220" w:lineRule="auto"/>
              <w:ind w:left="110"/>
              <w:rPr>
                <w:sz w:val="18"/>
                <w:szCs w:val="18"/>
              </w:rPr>
            </w:pPr>
            <w:r>
              <w:rPr>
                <w:b/>
                <w:bCs/>
                <w:spacing w:val="2"/>
                <w:sz w:val="18"/>
                <w:szCs w:val="18"/>
              </w:rPr>
              <w:t>综合运用</w:t>
            </w:r>
          </w:p>
          <w:p w14:paraId="00B9964C">
            <w:pPr>
              <w:pStyle w:val="6"/>
              <w:spacing w:before="7" w:line="192" w:lineRule="auto"/>
              <w:ind w:left="340"/>
              <w:rPr>
                <w:sz w:val="18"/>
                <w:szCs w:val="18"/>
              </w:rPr>
            </w:pPr>
            <w:r>
              <w:rPr>
                <w:b/>
                <w:bCs/>
                <w:spacing w:val="-11"/>
                <w:sz w:val="18"/>
                <w:szCs w:val="18"/>
              </w:rPr>
              <w:t>(D)</w:t>
            </w:r>
          </w:p>
        </w:tc>
      </w:tr>
      <w:tr w14:paraId="14938C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7" w:hRule="atLeast"/>
        </w:trPr>
        <w:tc>
          <w:tcPr>
            <w:tcW w:w="803" w:type="dxa"/>
            <w:vMerge w:val="restart"/>
            <w:tcBorders>
              <w:bottom w:val="nil"/>
            </w:tcBorders>
            <w:vAlign w:val="top"/>
          </w:tcPr>
          <w:p w14:paraId="14A7AF73">
            <w:pPr>
              <w:pStyle w:val="6"/>
              <w:spacing w:before="133" w:line="220" w:lineRule="auto"/>
              <w:ind w:left="124"/>
              <w:rPr>
                <w:sz w:val="18"/>
                <w:szCs w:val="18"/>
              </w:rPr>
            </w:pPr>
            <w:r>
              <w:rPr>
                <w:spacing w:val="3"/>
                <w:sz w:val="18"/>
                <w:szCs w:val="18"/>
              </w:rPr>
              <w:t>百分比</w:t>
            </w:r>
          </w:p>
        </w:tc>
        <w:tc>
          <w:tcPr>
            <w:tcW w:w="798" w:type="dxa"/>
            <w:vAlign w:val="top"/>
          </w:tcPr>
          <w:p w14:paraId="1ABAF3A9">
            <w:pPr>
              <w:pStyle w:val="6"/>
              <w:spacing w:before="68" w:line="139" w:lineRule="exact"/>
              <w:ind w:left="252"/>
              <w:rPr>
                <w:sz w:val="18"/>
                <w:szCs w:val="18"/>
              </w:rPr>
            </w:pPr>
            <w:r>
              <w:rPr>
                <w:spacing w:val="-3"/>
                <w:position w:val="-2"/>
                <w:sz w:val="18"/>
                <w:szCs w:val="18"/>
              </w:rPr>
              <w:t>35%</w:t>
            </w:r>
          </w:p>
        </w:tc>
        <w:tc>
          <w:tcPr>
            <w:tcW w:w="788" w:type="dxa"/>
            <w:vAlign w:val="top"/>
          </w:tcPr>
          <w:p w14:paraId="0917C6B2">
            <w:pPr>
              <w:pStyle w:val="6"/>
              <w:spacing w:before="68" w:line="139" w:lineRule="exact"/>
              <w:ind w:left="213"/>
              <w:rPr>
                <w:sz w:val="18"/>
                <w:szCs w:val="18"/>
              </w:rPr>
            </w:pPr>
            <w:r>
              <w:rPr>
                <w:spacing w:val="-3"/>
                <w:position w:val="-2"/>
                <w:sz w:val="18"/>
                <w:szCs w:val="18"/>
              </w:rPr>
              <w:t>20%</w:t>
            </w:r>
          </w:p>
        </w:tc>
        <w:tc>
          <w:tcPr>
            <w:tcW w:w="788" w:type="dxa"/>
            <w:vAlign w:val="top"/>
          </w:tcPr>
          <w:p w14:paraId="08B5E389">
            <w:pPr>
              <w:pStyle w:val="6"/>
              <w:spacing w:before="68" w:line="139" w:lineRule="exact"/>
              <w:ind w:left="226"/>
              <w:rPr>
                <w:sz w:val="18"/>
                <w:szCs w:val="18"/>
              </w:rPr>
            </w:pPr>
            <w:r>
              <w:rPr>
                <w:spacing w:val="-3"/>
                <w:position w:val="-2"/>
                <w:sz w:val="18"/>
                <w:szCs w:val="18"/>
              </w:rPr>
              <w:t>25%</w:t>
            </w:r>
          </w:p>
        </w:tc>
        <w:tc>
          <w:tcPr>
            <w:tcW w:w="953" w:type="dxa"/>
            <w:vAlign w:val="top"/>
          </w:tcPr>
          <w:p w14:paraId="4D39D0FB">
            <w:pPr>
              <w:pStyle w:val="6"/>
              <w:spacing w:before="68" w:line="139" w:lineRule="exact"/>
              <w:ind w:left="338"/>
              <w:rPr>
                <w:sz w:val="18"/>
                <w:szCs w:val="18"/>
              </w:rPr>
            </w:pPr>
            <w:r>
              <w:rPr>
                <w:spacing w:val="-3"/>
                <w:position w:val="-2"/>
                <w:sz w:val="18"/>
                <w:szCs w:val="18"/>
              </w:rPr>
              <w:t>20%</w:t>
            </w:r>
          </w:p>
        </w:tc>
      </w:tr>
      <w:tr w14:paraId="6B4D61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3" w:hRule="atLeast"/>
        </w:trPr>
        <w:tc>
          <w:tcPr>
            <w:tcW w:w="803" w:type="dxa"/>
            <w:vMerge w:val="continue"/>
            <w:tcBorders>
              <w:top w:val="nil"/>
            </w:tcBorders>
            <w:vAlign w:val="top"/>
          </w:tcPr>
          <w:p w14:paraId="687F0782">
            <w:pPr>
              <w:rPr>
                <w:rFonts w:ascii="Arial"/>
                <w:sz w:val="21"/>
              </w:rPr>
            </w:pPr>
          </w:p>
        </w:tc>
        <w:tc>
          <w:tcPr>
            <w:tcW w:w="3327" w:type="dxa"/>
            <w:gridSpan w:val="4"/>
            <w:vAlign w:val="top"/>
          </w:tcPr>
          <w:p w14:paraId="0F54991F">
            <w:pPr>
              <w:pStyle w:val="6"/>
              <w:spacing w:before="24" w:line="183" w:lineRule="auto"/>
              <w:ind w:left="1182"/>
              <w:rPr>
                <w:sz w:val="18"/>
                <w:szCs w:val="18"/>
              </w:rPr>
            </w:pPr>
            <w:r>
              <w:rPr>
                <w:spacing w:val="-1"/>
                <w:sz w:val="18"/>
                <w:szCs w:val="18"/>
              </w:rPr>
              <w:t>机动范围3%</w:t>
            </w:r>
          </w:p>
        </w:tc>
      </w:tr>
    </w:tbl>
    <w:p w14:paraId="2F10A54F">
      <w:pPr>
        <w:spacing w:before="52" w:line="219" w:lineRule="auto"/>
        <w:ind w:left="455"/>
        <w:rPr>
          <w:rFonts w:ascii="宋体" w:hAnsi="宋体" w:eastAsia="宋体" w:cs="宋体"/>
          <w:sz w:val="17"/>
          <w:szCs w:val="17"/>
        </w:rPr>
      </w:pPr>
      <w:r>
        <w:rPr>
          <w:rFonts w:ascii="宋体" w:hAnsi="宋体" w:eastAsia="宋体" w:cs="宋体"/>
          <w:spacing w:val="8"/>
          <w:sz w:val="17"/>
          <w:szCs w:val="17"/>
        </w:rPr>
        <w:t>(3)按题型分：</w:t>
      </w:r>
    </w:p>
    <w:p w14:paraId="7A704435">
      <w:pPr>
        <w:spacing w:line="26" w:lineRule="exact"/>
      </w:pPr>
    </w:p>
    <w:tbl>
      <w:tblPr>
        <w:tblStyle w:val="5"/>
        <w:tblW w:w="4130" w:type="dxa"/>
        <w:tblInd w:w="24"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83"/>
        <w:gridCol w:w="678"/>
        <w:gridCol w:w="678"/>
        <w:gridCol w:w="679"/>
        <w:gridCol w:w="679"/>
        <w:gridCol w:w="733"/>
      </w:tblGrid>
      <w:tr w14:paraId="74279F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2" w:hRule="atLeast"/>
        </w:trPr>
        <w:tc>
          <w:tcPr>
            <w:tcW w:w="683" w:type="dxa"/>
            <w:vMerge w:val="restart"/>
            <w:tcBorders>
              <w:bottom w:val="nil"/>
            </w:tcBorders>
            <w:vAlign w:val="top"/>
          </w:tcPr>
          <w:p w14:paraId="052EC5D5">
            <w:pPr>
              <w:pStyle w:val="6"/>
              <w:spacing w:before="261" w:line="221" w:lineRule="auto"/>
              <w:ind w:left="177"/>
              <w:rPr>
                <w:sz w:val="16"/>
                <w:szCs w:val="16"/>
              </w:rPr>
            </w:pPr>
            <w:r>
              <w:rPr>
                <w:b/>
                <w:bCs/>
                <w:spacing w:val="-4"/>
                <w:sz w:val="16"/>
                <w:szCs w:val="16"/>
              </w:rPr>
              <w:t>题型</w:t>
            </w:r>
          </w:p>
        </w:tc>
        <w:tc>
          <w:tcPr>
            <w:tcW w:w="3447" w:type="dxa"/>
            <w:gridSpan w:val="5"/>
            <w:vAlign w:val="top"/>
          </w:tcPr>
          <w:p w14:paraId="13149F3B">
            <w:pPr>
              <w:pStyle w:val="6"/>
              <w:spacing w:before="29" w:line="221" w:lineRule="auto"/>
              <w:ind w:left="414"/>
              <w:rPr>
                <w:sz w:val="16"/>
                <w:szCs w:val="16"/>
              </w:rPr>
            </w:pPr>
            <w:r>
              <w:rPr>
                <w:b/>
                <w:bCs/>
                <w:spacing w:val="-1"/>
                <w:sz w:val="16"/>
                <w:szCs w:val="16"/>
              </w:rPr>
              <w:t>选择题</w:t>
            </w:r>
            <w:r>
              <w:rPr>
                <w:spacing w:val="-1"/>
                <w:sz w:val="16"/>
                <w:szCs w:val="16"/>
              </w:rPr>
              <w:t xml:space="preserve">               </w:t>
            </w:r>
            <w:r>
              <w:rPr>
                <w:b/>
                <w:bCs/>
                <w:spacing w:val="-1"/>
                <w:sz w:val="16"/>
                <w:szCs w:val="16"/>
              </w:rPr>
              <w:t>非选择题</w:t>
            </w:r>
          </w:p>
        </w:tc>
      </w:tr>
      <w:tr w14:paraId="066DCE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683" w:type="dxa"/>
            <w:vMerge w:val="continue"/>
            <w:tcBorders>
              <w:top w:val="nil"/>
            </w:tcBorders>
            <w:vAlign w:val="top"/>
          </w:tcPr>
          <w:p w14:paraId="53DECABF">
            <w:pPr>
              <w:rPr>
                <w:rFonts w:ascii="Arial"/>
                <w:sz w:val="21"/>
              </w:rPr>
            </w:pPr>
          </w:p>
        </w:tc>
        <w:tc>
          <w:tcPr>
            <w:tcW w:w="678" w:type="dxa"/>
            <w:vAlign w:val="top"/>
          </w:tcPr>
          <w:p w14:paraId="7E3CAFDE">
            <w:pPr>
              <w:pStyle w:val="6"/>
              <w:spacing w:before="137" w:line="220" w:lineRule="auto"/>
              <w:ind w:left="174"/>
              <w:rPr>
                <w:sz w:val="16"/>
                <w:szCs w:val="16"/>
              </w:rPr>
            </w:pPr>
            <w:r>
              <w:rPr>
                <w:b/>
                <w:bCs/>
                <w:spacing w:val="-4"/>
                <w:sz w:val="16"/>
                <w:szCs w:val="16"/>
              </w:rPr>
              <w:t>单选</w:t>
            </w:r>
          </w:p>
        </w:tc>
        <w:tc>
          <w:tcPr>
            <w:tcW w:w="678" w:type="dxa"/>
            <w:vAlign w:val="top"/>
          </w:tcPr>
          <w:p w14:paraId="07F3E417">
            <w:pPr>
              <w:pStyle w:val="6"/>
              <w:spacing w:before="138" w:line="221" w:lineRule="auto"/>
              <w:ind w:left="176"/>
              <w:rPr>
                <w:sz w:val="16"/>
                <w:szCs w:val="16"/>
              </w:rPr>
            </w:pPr>
            <w:r>
              <w:rPr>
                <w:b/>
                <w:bCs/>
                <w:spacing w:val="-6"/>
                <w:sz w:val="16"/>
                <w:szCs w:val="16"/>
              </w:rPr>
              <w:t>多选</w:t>
            </w:r>
          </w:p>
        </w:tc>
        <w:tc>
          <w:tcPr>
            <w:tcW w:w="679" w:type="dxa"/>
            <w:vAlign w:val="top"/>
          </w:tcPr>
          <w:p w14:paraId="46CD1C3E">
            <w:pPr>
              <w:pStyle w:val="6"/>
              <w:spacing w:before="137" w:line="219" w:lineRule="auto"/>
              <w:ind w:left="178"/>
              <w:rPr>
                <w:sz w:val="16"/>
                <w:szCs w:val="16"/>
              </w:rPr>
            </w:pPr>
            <w:r>
              <w:rPr>
                <w:b/>
                <w:bCs/>
                <w:spacing w:val="-4"/>
                <w:sz w:val="16"/>
                <w:szCs w:val="16"/>
              </w:rPr>
              <w:t>判断</w:t>
            </w:r>
          </w:p>
        </w:tc>
        <w:tc>
          <w:tcPr>
            <w:tcW w:w="679" w:type="dxa"/>
            <w:vAlign w:val="top"/>
          </w:tcPr>
          <w:p w14:paraId="29E9FB32">
            <w:pPr>
              <w:pStyle w:val="6"/>
              <w:spacing w:before="136" w:line="219" w:lineRule="auto"/>
              <w:ind w:left="179"/>
              <w:rPr>
                <w:sz w:val="16"/>
                <w:szCs w:val="16"/>
              </w:rPr>
            </w:pPr>
            <w:r>
              <w:rPr>
                <w:b/>
                <w:bCs/>
                <w:spacing w:val="-5"/>
                <w:sz w:val="16"/>
                <w:szCs w:val="16"/>
              </w:rPr>
              <w:t>简答</w:t>
            </w:r>
          </w:p>
        </w:tc>
        <w:tc>
          <w:tcPr>
            <w:tcW w:w="733" w:type="dxa"/>
            <w:vAlign w:val="top"/>
          </w:tcPr>
          <w:p w14:paraId="49A5E367">
            <w:pPr>
              <w:pStyle w:val="6"/>
              <w:spacing w:before="18" w:line="229" w:lineRule="auto"/>
              <w:ind w:left="200" w:right="208"/>
              <w:rPr>
                <w:sz w:val="16"/>
                <w:szCs w:val="16"/>
              </w:rPr>
            </w:pPr>
            <w:r>
              <w:rPr>
                <w:b/>
                <w:bCs/>
                <w:spacing w:val="-6"/>
                <w:sz w:val="16"/>
                <w:szCs w:val="16"/>
              </w:rPr>
              <w:t>综合</w:t>
            </w:r>
            <w:r>
              <w:rPr>
                <w:sz w:val="16"/>
                <w:szCs w:val="16"/>
              </w:rPr>
              <w:t xml:space="preserve"> </w:t>
            </w:r>
            <w:r>
              <w:rPr>
                <w:b/>
                <w:bCs/>
                <w:spacing w:val="-5"/>
                <w:sz w:val="16"/>
                <w:szCs w:val="16"/>
              </w:rPr>
              <w:t>业务</w:t>
            </w:r>
          </w:p>
        </w:tc>
      </w:tr>
      <w:tr w14:paraId="6C123E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2" w:hRule="atLeast"/>
        </w:trPr>
        <w:tc>
          <w:tcPr>
            <w:tcW w:w="683" w:type="dxa"/>
            <w:vAlign w:val="top"/>
          </w:tcPr>
          <w:p w14:paraId="55AAA818">
            <w:pPr>
              <w:pStyle w:val="6"/>
              <w:spacing w:before="33" w:line="195" w:lineRule="auto"/>
              <w:ind w:left="97"/>
              <w:rPr>
                <w:sz w:val="16"/>
                <w:szCs w:val="16"/>
              </w:rPr>
            </w:pPr>
            <w:r>
              <w:rPr>
                <w:b/>
                <w:bCs/>
                <w:spacing w:val="-5"/>
                <w:sz w:val="16"/>
                <w:szCs w:val="16"/>
              </w:rPr>
              <w:t>百分比</w:t>
            </w:r>
          </w:p>
        </w:tc>
        <w:tc>
          <w:tcPr>
            <w:tcW w:w="678" w:type="dxa"/>
            <w:vAlign w:val="top"/>
          </w:tcPr>
          <w:p w14:paraId="3AE4294D">
            <w:pPr>
              <w:pStyle w:val="6"/>
              <w:spacing w:before="75" w:line="127" w:lineRule="exact"/>
              <w:ind w:left="212"/>
              <w:rPr>
                <w:sz w:val="16"/>
                <w:szCs w:val="16"/>
              </w:rPr>
            </w:pPr>
            <w:r>
              <w:rPr>
                <w:spacing w:val="-2"/>
                <w:position w:val="-2"/>
                <w:sz w:val="16"/>
                <w:szCs w:val="16"/>
              </w:rPr>
              <w:t>20%</w:t>
            </w:r>
          </w:p>
        </w:tc>
        <w:tc>
          <w:tcPr>
            <w:tcW w:w="678" w:type="dxa"/>
            <w:vAlign w:val="top"/>
          </w:tcPr>
          <w:p w14:paraId="4B61D7E8">
            <w:pPr>
              <w:pStyle w:val="6"/>
              <w:spacing w:before="75" w:line="127" w:lineRule="exact"/>
              <w:ind w:left="214"/>
              <w:rPr>
                <w:sz w:val="16"/>
                <w:szCs w:val="16"/>
              </w:rPr>
            </w:pPr>
            <w:r>
              <w:rPr>
                <w:spacing w:val="-2"/>
                <w:position w:val="-2"/>
                <w:sz w:val="16"/>
                <w:szCs w:val="16"/>
              </w:rPr>
              <w:t>20%</w:t>
            </w:r>
          </w:p>
        </w:tc>
        <w:tc>
          <w:tcPr>
            <w:tcW w:w="679" w:type="dxa"/>
            <w:vAlign w:val="top"/>
          </w:tcPr>
          <w:p w14:paraId="76D5B52A">
            <w:pPr>
              <w:pStyle w:val="6"/>
              <w:spacing w:before="75" w:line="127" w:lineRule="exact"/>
              <w:ind w:left="216"/>
              <w:rPr>
                <w:sz w:val="16"/>
                <w:szCs w:val="16"/>
              </w:rPr>
            </w:pPr>
            <w:r>
              <w:rPr>
                <w:spacing w:val="-5"/>
                <w:position w:val="-2"/>
                <w:sz w:val="16"/>
                <w:szCs w:val="16"/>
              </w:rPr>
              <w:t>10%</w:t>
            </w:r>
          </w:p>
        </w:tc>
        <w:tc>
          <w:tcPr>
            <w:tcW w:w="679" w:type="dxa"/>
            <w:vAlign w:val="top"/>
          </w:tcPr>
          <w:p w14:paraId="18561D9C">
            <w:pPr>
              <w:pStyle w:val="6"/>
              <w:spacing w:before="75" w:line="127" w:lineRule="exact"/>
              <w:ind w:left="217"/>
              <w:rPr>
                <w:sz w:val="16"/>
                <w:szCs w:val="16"/>
              </w:rPr>
            </w:pPr>
            <w:r>
              <w:rPr>
                <w:spacing w:val="-5"/>
                <w:position w:val="-2"/>
                <w:sz w:val="16"/>
                <w:szCs w:val="16"/>
              </w:rPr>
              <w:t>10%</w:t>
            </w:r>
          </w:p>
        </w:tc>
        <w:tc>
          <w:tcPr>
            <w:tcW w:w="733" w:type="dxa"/>
            <w:vAlign w:val="top"/>
          </w:tcPr>
          <w:p w14:paraId="16C3DCEE">
            <w:pPr>
              <w:pStyle w:val="6"/>
              <w:spacing w:before="75" w:line="127" w:lineRule="exact"/>
              <w:ind w:left="237"/>
              <w:rPr>
                <w:sz w:val="16"/>
                <w:szCs w:val="16"/>
              </w:rPr>
            </w:pPr>
            <w:r>
              <w:rPr>
                <w:spacing w:val="-2"/>
                <w:position w:val="-2"/>
                <w:sz w:val="16"/>
                <w:szCs w:val="16"/>
              </w:rPr>
              <w:t>40%</w:t>
            </w:r>
          </w:p>
        </w:tc>
      </w:tr>
    </w:tbl>
    <w:p w14:paraId="62B6CB6E">
      <w:pPr>
        <w:spacing w:before="70" w:line="307" w:lineRule="auto"/>
        <w:ind w:left="4" w:firstLine="370"/>
        <w:jc w:val="both"/>
        <w:rPr>
          <w:rFonts w:ascii="宋体" w:hAnsi="宋体" w:eastAsia="宋体" w:cs="宋体"/>
          <w:sz w:val="17"/>
          <w:szCs w:val="17"/>
        </w:rPr>
      </w:pPr>
      <w:r>
        <w:rPr>
          <w:rFonts w:ascii="宋体" w:hAnsi="宋体" w:eastAsia="宋体" w:cs="宋体"/>
          <w:spacing w:val="12"/>
          <w:sz w:val="17"/>
          <w:szCs w:val="17"/>
        </w:rPr>
        <w:t>说明：试题中的70%侧重考查基础知识、基本技</w:t>
      </w:r>
      <w:r>
        <w:rPr>
          <w:rFonts w:ascii="宋体" w:hAnsi="宋体" w:eastAsia="宋体" w:cs="宋体"/>
          <w:spacing w:val="3"/>
          <w:sz w:val="17"/>
          <w:szCs w:val="17"/>
        </w:rPr>
        <w:t xml:space="preserve">  </w:t>
      </w:r>
      <w:r>
        <w:rPr>
          <w:rFonts w:ascii="宋体" w:hAnsi="宋体" w:eastAsia="宋体" w:cs="宋体"/>
          <w:spacing w:val="12"/>
          <w:sz w:val="17"/>
          <w:szCs w:val="17"/>
        </w:rPr>
        <w:t>能和实际能力的掌握程度，30%侧重考查综合运用所</w:t>
      </w:r>
      <w:r>
        <w:rPr>
          <w:rFonts w:ascii="宋体" w:hAnsi="宋体" w:eastAsia="宋体" w:cs="宋体"/>
          <w:spacing w:val="5"/>
          <w:sz w:val="17"/>
          <w:szCs w:val="17"/>
        </w:rPr>
        <w:t xml:space="preserve">  </w:t>
      </w:r>
      <w:r>
        <w:rPr>
          <w:rFonts w:ascii="宋体" w:hAnsi="宋体" w:eastAsia="宋体" w:cs="宋体"/>
          <w:spacing w:val="9"/>
          <w:sz w:val="17"/>
          <w:szCs w:val="17"/>
        </w:rPr>
        <w:t>学知识分析、解决实际问题的能力。其中，难题约占</w:t>
      </w:r>
      <w:r>
        <w:rPr>
          <w:rFonts w:ascii="宋体" w:hAnsi="宋体" w:eastAsia="宋体" w:cs="宋体"/>
          <w:spacing w:val="8"/>
          <w:sz w:val="17"/>
          <w:szCs w:val="17"/>
        </w:rPr>
        <w:t xml:space="preserve">  </w:t>
      </w:r>
      <w:r>
        <w:rPr>
          <w:rFonts w:ascii="宋体" w:hAnsi="宋体" w:eastAsia="宋体" w:cs="宋体"/>
          <w:spacing w:val="10"/>
          <w:sz w:val="17"/>
          <w:szCs w:val="17"/>
        </w:rPr>
        <w:t>20%,中等难度约占40%,基础题约占40%,</w:t>
      </w:r>
      <w:r>
        <w:rPr>
          <w:rFonts w:ascii="宋体" w:hAnsi="宋体" w:eastAsia="宋体" w:cs="宋体"/>
          <w:spacing w:val="9"/>
          <w:sz w:val="17"/>
          <w:szCs w:val="17"/>
        </w:rPr>
        <w:t>机动范围3%。</w:t>
      </w:r>
    </w:p>
    <w:p w14:paraId="78281896">
      <w:pPr>
        <w:spacing w:before="238" w:line="246" w:lineRule="auto"/>
        <w:ind w:left="1057" w:right="224" w:hanging="819"/>
        <w:rPr>
          <w:rFonts w:ascii="宋体" w:hAnsi="宋体" w:eastAsia="宋体" w:cs="宋体"/>
          <w:sz w:val="27"/>
          <w:szCs w:val="27"/>
        </w:rPr>
      </w:pPr>
      <w:r>
        <w:rPr>
          <w:rFonts w:ascii="黑体" w:hAnsi="黑体" w:eastAsia="黑体" w:cs="黑体"/>
          <w:b/>
          <w:bCs/>
          <w:spacing w:val="14"/>
          <w:sz w:val="27"/>
          <w:szCs w:val="27"/>
        </w:rPr>
        <w:t>电子与信息大类(电子信息类)</w:t>
      </w:r>
      <w:r>
        <w:rPr>
          <w:rFonts w:ascii="黑体" w:hAnsi="黑体" w:eastAsia="黑体" w:cs="黑体"/>
          <w:sz w:val="27"/>
          <w:szCs w:val="27"/>
        </w:rPr>
        <w:t xml:space="preserve"> </w:t>
      </w:r>
      <w:r>
        <w:rPr>
          <w:rFonts w:ascii="宋体" w:hAnsi="宋体" w:eastAsia="宋体" w:cs="宋体"/>
          <w:b/>
          <w:bCs/>
          <w:spacing w:val="1"/>
          <w:sz w:val="27"/>
          <w:szCs w:val="27"/>
        </w:rPr>
        <w:t>专业理论考试纲要</w:t>
      </w:r>
    </w:p>
    <w:p w14:paraId="7BFDB0F5">
      <w:pPr>
        <w:spacing w:before="249" w:line="221" w:lineRule="auto"/>
        <w:ind w:left="8"/>
        <w:rPr>
          <w:rFonts w:ascii="黑体" w:hAnsi="黑体" w:eastAsia="黑体" w:cs="黑体"/>
          <w:sz w:val="23"/>
          <w:szCs w:val="23"/>
        </w:rPr>
      </w:pPr>
      <w:r>
        <w:rPr>
          <w:rFonts w:ascii="黑体" w:hAnsi="黑体" w:eastAsia="黑体" w:cs="黑体"/>
          <w:b/>
          <w:bCs/>
          <w:spacing w:val="-5"/>
          <w:sz w:val="23"/>
          <w:szCs w:val="23"/>
        </w:rPr>
        <w:t>一、考试范围和内容</w:t>
      </w:r>
    </w:p>
    <w:p w14:paraId="7FB67385">
      <w:pPr>
        <w:spacing w:before="102" w:line="312" w:lineRule="auto"/>
        <w:ind w:right="64" w:firstLine="374"/>
        <w:jc w:val="both"/>
        <w:rPr>
          <w:rFonts w:ascii="宋体" w:hAnsi="宋体" w:eastAsia="宋体" w:cs="宋体"/>
          <w:sz w:val="17"/>
          <w:szCs w:val="17"/>
        </w:rPr>
      </w:pPr>
      <w:r>
        <w:rPr>
          <w:rFonts w:ascii="宋体" w:hAnsi="宋体" w:eastAsia="宋体" w:cs="宋体"/>
          <w:sz w:val="17"/>
          <w:szCs w:val="17"/>
        </w:rPr>
        <w:t>本纲要的制定以教育部颁发的中等职业学校《电子</w:t>
      </w:r>
      <w:r>
        <w:rPr>
          <w:rFonts w:ascii="宋体" w:hAnsi="宋体" w:eastAsia="宋体" w:cs="宋体"/>
          <w:spacing w:val="16"/>
          <w:sz w:val="17"/>
          <w:szCs w:val="17"/>
        </w:rPr>
        <w:t xml:space="preserve"> </w:t>
      </w:r>
      <w:r>
        <w:rPr>
          <w:rFonts w:ascii="宋体" w:hAnsi="宋体" w:eastAsia="宋体" w:cs="宋体"/>
          <w:spacing w:val="2"/>
          <w:sz w:val="17"/>
          <w:szCs w:val="17"/>
        </w:rPr>
        <w:t>技术应用专业教学指导方案》为依据，主要参考高等教 育出版社版、周绍敏主编的中等职业教育规划教材《电</w:t>
      </w:r>
      <w:r>
        <w:rPr>
          <w:rFonts w:ascii="宋体" w:hAnsi="宋体" w:eastAsia="宋体" w:cs="宋体"/>
          <w:spacing w:val="6"/>
          <w:sz w:val="17"/>
          <w:szCs w:val="17"/>
        </w:rPr>
        <w:t xml:space="preserve"> </w:t>
      </w:r>
      <w:r>
        <w:rPr>
          <w:rFonts w:ascii="宋体" w:hAnsi="宋体" w:eastAsia="宋体" w:cs="宋体"/>
          <w:spacing w:val="5"/>
          <w:sz w:val="17"/>
          <w:szCs w:val="17"/>
        </w:rPr>
        <w:t>工技术基础与技能》,高等教育出版社出版、陈振源主</w:t>
      </w:r>
      <w:r>
        <w:rPr>
          <w:rFonts w:ascii="宋体" w:hAnsi="宋体" w:eastAsia="宋体" w:cs="宋体"/>
          <w:spacing w:val="18"/>
          <w:sz w:val="17"/>
          <w:szCs w:val="17"/>
        </w:rPr>
        <w:t xml:space="preserve"> </w:t>
      </w:r>
      <w:r>
        <w:rPr>
          <w:rFonts w:ascii="宋体" w:hAnsi="宋体" w:eastAsia="宋体" w:cs="宋体"/>
          <w:spacing w:val="4"/>
          <w:sz w:val="17"/>
          <w:szCs w:val="17"/>
        </w:rPr>
        <w:t>编的中等职业教育规划教材《电子技术基础与技能》,</w:t>
      </w:r>
      <w:r>
        <w:rPr>
          <w:rFonts w:ascii="宋体" w:hAnsi="宋体" w:eastAsia="宋体" w:cs="宋体"/>
          <w:spacing w:val="5"/>
          <w:sz w:val="17"/>
          <w:szCs w:val="17"/>
        </w:rPr>
        <w:t xml:space="preserve"> </w:t>
      </w:r>
      <w:r>
        <w:rPr>
          <w:rFonts w:ascii="宋体" w:hAnsi="宋体" w:eastAsia="宋体" w:cs="宋体"/>
          <w:spacing w:val="2"/>
          <w:sz w:val="17"/>
          <w:szCs w:val="17"/>
        </w:rPr>
        <w:t>电子工业出版社出版、高卫斌主编的中等职业教育规划</w:t>
      </w:r>
      <w:r>
        <w:rPr>
          <w:rFonts w:ascii="宋体" w:hAnsi="宋体" w:eastAsia="宋体" w:cs="宋体"/>
          <w:spacing w:val="8"/>
          <w:sz w:val="17"/>
          <w:szCs w:val="17"/>
        </w:rPr>
        <w:t xml:space="preserve"> </w:t>
      </w:r>
      <w:r>
        <w:rPr>
          <w:rFonts w:ascii="宋体" w:hAnsi="宋体" w:eastAsia="宋体" w:cs="宋体"/>
          <w:spacing w:val="6"/>
          <w:sz w:val="17"/>
          <w:szCs w:val="17"/>
        </w:rPr>
        <w:t>教材《电子线路》;同时参考了高等教育出版社版、周</w:t>
      </w:r>
      <w:r>
        <w:rPr>
          <w:rFonts w:ascii="宋体" w:hAnsi="宋体" w:eastAsia="宋体" w:cs="宋体"/>
          <w:spacing w:val="4"/>
          <w:sz w:val="17"/>
          <w:szCs w:val="17"/>
        </w:rPr>
        <w:t xml:space="preserve"> </w:t>
      </w:r>
      <w:r>
        <w:rPr>
          <w:rFonts w:ascii="宋体" w:hAnsi="宋体" w:eastAsia="宋体" w:cs="宋体"/>
          <w:spacing w:val="5"/>
          <w:sz w:val="17"/>
          <w:szCs w:val="17"/>
        </w:rPr>
        <w:t>绍敏主编的中等职业教育规划教材《电工基础》,高等</w:t>
      </w:r>
      <w:r>
        <w:rPr>
          <w:rFonts w:ascii="宋体" w:hAnsi="宋体" w:eastAsia="宋体" w:cs="宋体"/>
          <w:spacing w:val="16"/>
          <w:sz w:val="17"/>
          <w:szCs w:val="17"/>
        </w:rPr>
        <w:t xml:space="preserve"> </w:t>
      </w:r>
      <w:r>
        <w:rPr>
          <w:rFonts w:ascii="宋体" w:hAnsi="宋体" w:eastAsia="宋体" w:cs="宋体"/>
          <w:spacing w:val="2"/>
          <w:sz w:val="17"/>
          <w:szCs w:val="17"/>
        </w:rPr>
        <w:t>教育出版社出版、张龙兴主编的中等职业教育规划教材 《电子技术基础》。同时，还参考了其他中</w:t>
      </w:r>
      <w:r>
        <w:rPr>
          <w:rFonts w:ascii="宋体" w:hAnsi="宋体" w:eastAsia="宋体" w:cs="宋体"/>
          <w:spacing w:val="1"/>
          <w:sz w:val="17"/>
          <w:szCs w:val="17"/>
        </w:rPr>
        <w:t>等职业教育</w:t>
      </w:r>
      <w:r>
        <w:rPr>
          <w:rFonts w:ascii="宋体" w:hAnsi="宋体" w:eastAsia="宋体" w:cs="宋体"/>
          <w:sz w:val="17"/>
          <w:szCs w:val="17"/>
        </w:rPr>
        <w:t xml:space="preserve"> </w:t>
      </w:r>
      <w:r>
        <w:rPr>
          <w:rFonts w:ascii="宋体" w:hAnsi="宋体" w:eastAsia="宋体" w:cs="宋体"/>
          <w:spacing w:val="-1"/>
          <w:sz w:val="17"/>
          <w:szCs w:val="17"/>
        </w:rPr>
        <w:t>同类教材，对部分章程和知识点做了调整。</w:t>
      </w:r>
    </w:p>
    <w:p w14:paraId="38BA3C0B">
      <w:pPr>
        <w:spacing w:before="13" w:line="221" w:lineRule="auto"/>
        <w:ind w:left="8"/>
        <w:rPr>
          <w:rFonts w:ascii="黑体" w:hAnsi="黑体" w:eastAsia="黑体" w:cs="黑体"/>
          <w:sz w:val="23"/>
          <w:szCs w:val="23"/>
        </w:rPr>
      </w:pPr>
      <w:r>
        <w:rPr>
          <w:rFonts w:ascii="黑体" w:hAnsi="黑体" w:eastAsia="黑体" w:cs="黑体"/>
          <w:b/>
          <w:bCs/>
          <w:spacing w:val="-6"/>
          <w:sz w:val="23"/>
          <w:szCs w:val="23"/>
        </w:rPr>
        <w:t>二、考试目标和水平层次</w:t>
      </w:r>
    </w:p>
    <w:p w14:paraId="13F82871">
      <w:pPr>
        <w:spacing w:before="97" w:line="291" w:lineRule="auto"/>
        <w:ind w:left="4" w:right="71" w:firstLine="370"/>
        <w:rPr>
          <w:rFonts w:ascii="宋体" w:hAnsi="宋体" w:eastAsia="宋体" w:cs="宋体"/>
          <w:sz w:val="17"/>
          <w:szCs w:val="17"/>
        </w:rPr>
      </w:pPr>
      <w:r>
        <w:rPr>
          <w:rFonts w:ascii="宋体" w:hAnsi="宋体" w:eastAsia="宋体" w:cs="宋体"/>
          <w:sz w:val="17"/>
          <w:szCs w:val="17"/>
        </w:rPr>
        <w:t>本纲要考试目标以章为序，包括知识要点、考试条</w:t>
      </w:r>
      <w:r>
        <w:rPr>
          <w:rFonts w:ascii="宋体" w:hAnsi="宋体" w:eastAsia="宋体" w:cs="宋体"/>
          <w:spacing w:val="16"/>
          <w:sz w:val="17"/>
          <w:szCs w:val="17"/>
        </w:rPr>
        <w:t xml:space="preserve"> </w:t>
      </w:r>
      <w:r>
        <w:rPr>
          <w:rFonts w:ascii="宋体" w:hAnsi="宋体" w:eastAsia="宋体" w:cs="宋体"/>
          <w:spacing w:val="2"/>
          <w:sz w:val="17"/>
          <w:szCs w:val="17"/>
        </w:rPr>
        <w:t>目和考试水平三个部分。其中“知识要点”是学生应知</w:t>
      </w:r>
    </w:p>
    <w:p w14:paraId="648B71D1">
      <w:pPr>
        <w:spacing w:line="291" w:lineRule="auto"/>
        <w:rPr>
          <w:rFonts w:ascii="宋体" w:hAnsi="宋体" w:eastAsia="宋体" w:cs="宋体"/>
          <w:sz w:val="17"/>
          <w:szCs w:val="17"/>
        </w:rPr>
        <w:sectPr>
          <w:type w:val="continuous"/>
          <w:pgSz w:w="10660" w:h="15080"/>
          <w:pgMar w:top="400" w:right="985" w:bottom="925" w:left="809" w:header="0" w:footer="704" w:gutter="0"/>
          <w:cols w:equalWidth="0" w:num="2">
            <w:col w:w="4556" w:space="100"/>
            <w:col w:w="4210"/>
          </w:cols>
        </w:sectPr>
      </w:pPr>
    </w:p>
    <w:p w14:paraId="720C2C25">
      <w:pPr>
        <w:spacing w:before="10"/>
      </w:pPr>
    </w:p>
    <w:p w14:paraId="242F1C9F">
      <w:pPr>
        <w:spacing w:before="10"/>
      </w:pPr>
    </w:p>
    <w:p w14:paraId="5A59DEC1">
      <w:pPr>
        <w:spacing w:before="10"/>
      </w:pPr>
    </w:p>
    <w:p w14:paraId="6EFB86E0">
      <w:pPr>
        <w:spacing w:before="10"/>
      </w:pPr>
    </w:p>
    <w:p w14:paraId="2D24E989">
      <w:pPr>
        <w:sectPr>
          <w:footerReference r:id="rId33" w:type="default"/>
          <w:pgSz w:w="10660" w:h="15080"/>
          <w:pgMar w:top="400" w:right="885" w:bottom="925" w:left="1010" w:header="0" w:footer="705" w:gutter="0"/>
          <w:cols w:equalWidth="0" w:num="1">
            <w:col w:w="8765"/>
          </w:cols>
        </w:sectPr>
      </w:pPr>
    </w:p>
    <w:p w14:paraId="2FEA3BD0">
      <w:pPr>
        <w:spacing w:line="310" w:lineRule="auto"/>
        <w:ind w:right="357"/>
        <w:rPr>
          <w:rFonts w:ascii="宋体" w:hAnsi="宋体" w:eastAsia="宋体" w:cs="宋体"/>
          <w:sz w:val="17"/>
          <w:szCs w:val="17"/>
        </w:rPr>
      </w:pPr>
      <w:r>
        <w:rPr>
          <w:rFonts w:ascii="宋体" w:hAnsi="宋体" w:eastAsia="宋体" w:cs="宋体"/>
          <w:spacing w:val="2"/>
          <w:sz w:val="17"/>
          <w:szCs w:val="17"/>
        </w:rPr>
        <w:t>应会的基础知识和基本技能，“试考条目”是知识要点</w:t>
      </w:r>
      <w:r>
        <w:rPr>
          <w:rFonts w:ascii="宋体" w:hAnsi="宋体" w:eastAsia="宋体" w:cs="宋体"/>
          <w:spacing w:val="6"/>
          <w:sz w:val="17"/>
          <w:szCs w:val="17"/>
        </w:rPr>
        <w:t xml:space="preserve"> </w:t>
      </w:r>
      <w:r>
        <w:rPr>
          <w:rFonts w:ascii="宋体" w:hAnsi="宋体" w:eastAsia="宋体" w:cs="宋体"/>
          <w:spacing w:val="1"/>
          <w:sz w:val="17"/>
          <w:szCs w:val="17"/>
        </w:rPr>
        <w:t>的细化条目，“考试水平”是对考试条目的要求层次。</w:t>
      </w:r>
      <w:r>
        <w:rPr>
          <w:rFonts w:ascii="宋体" w:hAnsi="宋体" w:eastAsia="宋体" w:cs="宋体"/>
          <w:spacing w:val="9"/>
          <w:sz w:val="17"/>
          <w:szCs w:val="17"/>
        </w:rPr>
        <w:t xml:space="preserve"> </w:t>
      </w:r>
      <w:r>
        <w:rPr>
          <w:rFonts w:ascii="宋体" w:hAnsi="宋体" w:eastAsia="宋体" w:cs="宋体"/>
          <w:spacing w:val="-5"/>
          <w:sz w:val="17"/>
          <w:szCs w:val="17"/>
        </w:rPr>
        <w:t>电子类综合学科的考试水平为四个层次：A (</w:t>
      </w:r>
      <w:r>
        <w:rPr>
          <w:rFonts w:ascii="宋体" w:hAnsi="宋体" w:eastAsia="宋体" w:cs="宋体"/>
          <w:spacing w:val="-20"/>
          <w:sz w:val="17"/>
          <w:szCs w:val="17"/>
        </w:rPr>
        <w:t xml:space="preserve"> </w:t>
      </w:r>
      <w:r>
        <w:rPr>
          <w:rFonts w:ascii="宋体" w:hAnsi="宋体" w:eastAsia="宋体" w:cs="宋体"/>
          <w:spacing w:val="-5"/>
          <w:sz w:val="17"/>
          <w:szCs w:val="17"/>
        </w:rPr>
        <w:t>识</w:t>
      </w:r>
      <w:r>
        <w:rPr>
          <w:rFonts w:ascii="宋体" w:hAnsi="宋体" w:eastAsia="宋体" w:cs="宋体"/>
          <w:spacing w:val="-30"/>
          <w:sz w:val="17"/>
          <w:szCs w:val="17"/>
        </w:rPr>
        <w:t xml:space="preserve"> </w:t>
      </w:r>
      <w:r>
        <w:rPr>
          <w:rFonts w:ascii="宋体" w:hAnsi="宋体" w:eastAsia="宋体" w:cs="宋体"/>
          <w:spacing w:val="-5"/>
          <w:sz w:val="17"/>
          <w:szCs w:val="17"/>
        </w:rPr>
        <w:t>记</w:t>
      </w:r>
      <w:r>
        <w:rPr>
          <w:rFonts w:ascii="宋体" w:hAnsi="宋体" w:eastAsia="宋体" w:cs="宋体"/>
          <w:spacing w:val="-28"/>
          <w:sz w:val="17"/>
          <w:szCs w:val="17"/>
        </w:rPr>
        <w:t xml:space="preserve"> </w:t>
      </w:r>
      <w:r>
        <w:rPr>
          <w:rFonts w:ascii="宋体" w:hAnsi="宋体" w:eastAsia="宋体" w:cs="宋体"/>
          <w:spacing w:val="-5"/>
          <w:sz w:val="17"/>
          <w:szCs w:val="17"/>
        </w:rPr>
        <w:t>)</w:t>
      </w:r>
      <w:r>
        <w:rPr>
          <w:rFonts w:ascii="宋体" w:hAnsi="宋体" w:eastAsia="宋体" w:cs="宋体"/>
          <w:spacing w:val="-36"/>
          <w:sz w:val="17"/>
          <w:szCs w:val="17"/>
        </w:rPr>
        <w:t xml:space="preserve"> </w:t>
      </w:r>
      <w:r>
        <w:rPr>
          <w:rFonts w:ascii="宋体" w:hAnsi="宋体" w:eastAsia="宋体" w:cs="宋体"/>
          <w:spacing w:val="-5"/>
          <w:sz w:val="17"/>
          <w:szCs w:val="17"/>
        </w:rPr>
        <w:t>、B</w:t>
      </w:r>
      <w:r>
        <w:rPr>
          <w:rFonts w:ascii="宋体" w:hAnsi="宋体" w:eastAsia="宋体" w:cs="宋体"/>
          <w:sz w:val="17"/>
          <w:szCs w:val="17"/>
        </w:rPr>
        <w:t xml:space="preserve"> </w:t>
      </w:r>
      <w:r>
        <w:rPr>
          <w:rFonts w:ascii="宋体" w:hAnsi="宋体" w:eastAsia="宋体" w:cs="宋体"/>
          <w:spacing w:val="3"/>
          <w:sz w:val="17"/>
          <w:szCs w:val="17"/>
        </w:rPr>
        <w:t>(</w:t>
      </w:r>
      <w:r>
        <w:rPr>
          <w:rFonts w:ascii="宋体" w:hAnsi="宋体" w:eastAsia="宋体" w:cs="宋体"/>
          <w:spacing w:val="-27"/>
          <w:sz w:val="17"/>
          <w:szCs w:val="17"/>
        </w:rPr>
        <w:t xml:space="preserve"> </w:t>
      </w:r>
      <w:r>
        <w:rPr>
          <w:rFonts w:ascii="宋体" w:hAnsi="宋体" w:eastAsia="宋体" w:cs="宋体"/>
          <w:spacing w:val="3"/>
          <w:sz w:val="17"/>
          <w:szCs w:val="17"/>
        </w:rPr>
        <w:t>理</w:t>
      </w:r>
      <w:r>
        <w:rPr>
          <w:rFonts w:ascii="宋体" w:hAnsi="宋体" w:eastAsia="宋体" w:cs="宋体"/>
          <w:spacing w:val="-35"/>
          <w:sz w:val="17"/>
          <w:szCs w:val="17"/>
        </w:rPr>
        <w:t xml:space="preserve"> </w:t>
      </w:r>
      <w:r>
        <w:rPr>
          <w:rFonts w:ascii="宋体" w:hAnsi="宋体" w:eastAsia="宋体" w:cs="宋体"/>
          <w:spacing w:val="3"/>
          <w:sz w:val="17"/>
          <w:szCs w:val="17"/>
        </w:rPr>
        <w:t>解</w:t>
      </w:r>
      <w:r>
        <w:rPr>
          <w:rFonts w:ascii="宋体" w:hAnsi="宋体" w:eastAsia="宋体" w:cs="宋体"/>
          <w:spacing w:val="-33"/>
          <w:sz w:val="17"/>
          <w:szCs w:val="17"/>
        </w:rPr>
        <w:t xml:space="preserve"> </w:t>
      </w:r>
      <w:r>
        <w:rPr>
          <w:rFonts w:ascii="宋体" w:hAnsi="宋体" w:eastAsia="宋体" w:cs="宋体"/>
          <w:spacing w:val="3"/>
          <w:sz w:val="17"/>
          <w:szCs w:val="17"/>
        </w:rPr>
        <w:t>)</w:t>
      </w:r>
      <w:r>
        <w:rPr>
          <w:rFonts w:ascii="宋体" w:hAnsi="宋体" w:eastAsia="宋体" w:cs="宋体"/>
          <w:spacing w:val="-41"/>
          <w:sz w:val="17"/>
          <w:szCs w:val="17"/>
        </w:rPr>
        <w:t xml:space="preserve"> </w:t>
      </w:r>
      <w:r>
        <w:rPr>
          <w:rFonts w:ascii="宋体" w:hAnsi="宋体" w:eastAsia="宋体" w:cs="宋体"/>
          <w:spacing w:val="3"/>
          <w:sz w:val="17"/>
          <w:szCs w:val="17"/>
        </w:rPr>
        <w:t>、</w:t>
      </w:r>
      <w:r>
        <w:rPr>
          <w:rFonts w:ascii="Times New Roman" w:hAnsi="Times New Roman" w:eastAsia="Times New Roman" w:cs="Times New Roman"/>
          <w:spacing w:val="3"/>
          <w:sz w:val="17"/>
          <w:szCs w:val="17"/>
        </w:rPr>
        <w:t>C</w:t>
      </w:r>
      <w:r>
        <w:rPr>
          <w:rFonts w:ascii="宋体" w:hAnsi="宋体" w:eastAsia="宋体" w:cs="宋体"/>
          <w:spacing w:val="3"/>
          <w:sz w:val="17"/>
          <w:szCs w:val="17"/>
        </w:rPr>
        <w:t>(</w:t>
      </w:r>
      <w:r>
        <w:rPr>
          <w:rFonts w:ascii="宋体" w:hAnsi="宋体" w:eastAsia="宋体" w:cs="宋体"/>
          <w:spacing w:val="-22"/>
          <w:sz w:val="17"/>
          <w:szCs w:val="17"/>
        </w:rPr>
        <w:t xml:space="preserve"> </w:t>
      </w:r>
      <w:r>
        <w:rPr>
          <w:rFonts w:ascii="宋体" w:hAnsi="宋体" w:eastAsia="宋体" w:cs="宋体"/>
          <w:spacing w:val="3"/>
          <w:sz w:val="17"/>
          <w:szCs w:val="17"/>
        </w:rPr>
        <w:t>掌</w:t>
      </w:r>
      <w:r>
        <w:rPr>
          <w:rFonts w:ascii="宋体" w:hAnsi="宋体" w:eastAsia="宋体" w:cs="宋体"/>
          <w:spacing w:val="-27"/>
          <w:sz w:val="17"/>
          <w:szCs w:val="17"/>
        </w:rPr>
        <w:t xml:space="preserve"> </w:t>
      </w:r>
      <w:r>
        <w:rPr>
          <w:rFonts w:ascii="宋体" w:hAnsi="宋体" w:eastAsia="宋体" w:cs="宋体"/>
          <w:spacing w:val="3"/>
          <w:sz w:val="17"/>
          <w:szCs w:val="17"/>
        </w:rPr>
        <w:t>握</w:t>
      </w:r>
      <w:r>
        <w:rPr>
          <w:rFonts w:ascii="宋体" w:hAnsi="宋体" w:eastAsia="宋体" w:cs="宋体"/>
          <w:spacing w:val="-26"/>
          <w:sz w:val="17"/>
          <w:szCs w:val="17"/>
        </w:rPr>
        <w:t xml:space="preserve"> </w:t>
      </w:r>
      <w:r>
        <w:rPr>
          <w:rFonts w:ascii="宋体" w:hAnsi="宋体" w:eastAsia="宋体" w:cs="宋体"/>
          <w:spacing w:val="3"/>
          <w:sz w:val="17"/>
          <w:szCs w:val="17"/>
        </w:rPr>
        <w:t>)</w:t>
      </w:r>
      <w:r>
        <w:rPr>
          <w:rFonts w:ascii="宋体" w:hAnsi="宋体" w:eastAsia="宋体" w:cs="宋体"/>
          <w:spacing w:val="-34"/>
          <w:sz w:val="17"/>
          <w:szCs w:val="17"/>
        </w:rPr>
        <w:t xml:space="preserve"> </w:t>
      </w:r>
      <w:r>
        <w:rPr>
          <w:rFonts w:ascii="宋体" w:hAnsi="宋体" w:eastAsia="宋体" w:cs="宋体"/>
          <w:spacing w:val="3"/>
          <w:sz w:val="17"/>
          <w:szCs w:val="17"/>
        </w:rPr>
        <w:t>、</w:t>
      </w:r>
      <w:r>
        <w:rPr>
          <w:rFonts w:ascii="Times New Roman" w:hAnsi="Times New Roman" w:eastAsia="Times New Roman" w:cs="Times New Roman"/>
          <w:spacing w:val="3"/>
          <w:sz w:val="17"/>
          <w:szCs w:val="17"/>
        </w:rPr>
        <w:t>D</w:t>
      </w:r>
      <w:r>
        <w:rPr>
          <w:rFonts w:ascii="宋体" w:hAnsi="宋体" w:eastAsia="宋体" w:cs="宋体"/>
          <w:spacing w:val="3"/>
          <w:sz w:val="17"/>
          <w:szCs w:val="17"/>
        </w:rPr>
        <w:t>(综合运用)。它们的基本含</w:t>
      </w:r>
      <w:r>
        <w:rPr>
          <w:rFonts w:ascii="宋体" w:hAnsi="宋体" w:eastAsia="宋体" w:cs="宋体"/>
          <w:sz w:val="17"/>
          <w:szCs w:val="17"/>
        </w:rPr>
        <w:t xml:space="preserve"> </w:t>
      </w:r>
      <w:r>
        <w:rPr>
          <w:rFonts w:ascii="宋体" w:hAnsi="宋体" w:eastAsia="宋体" w:cs="宋体"/>
          <w:spacing w:val="-5"/>
          <w:sz w:val="17"/>
          <w:szCs w:val="17"/>
        </w:rPr>
        <w:t>义如下：</w:t>
      </w:r>
    </w:p>
    <w:p w14:paraId="472E2763">
      <w:pPr>
        <w:spacing w:before="40" w:line="300" w:lineRule="auto"/>
        <w:ind w:right="299" w:firstLine="370"/>
        <w:jc w:val="both"/>
        <w:rPr>
          <w:rFonts w:ascii="宋体" w:hAnsi="宋体" w:eastAsia="宋体" w:cs="宋体"/>
          <w:sz w:val="17"/>
          <w:szCs w:val="17"/>
        </w:rPr>
      </w:pPr>
      <w:r>
        <w:rPr>
          <w:rFonts w:ascii="Times New Roman" w:hAnsi="Times New Roman" w:eastAsia="Times New Roman" w:cs="Times New Roman"/>
          <w:spacing w:val="2"/>
          <w:sz w:val="17"/>
          <w:szCs w:val="17"/>
        </w:rPr>
        <w:t>A</w:t>
      </w:r>
      <w:r>
        <w:rPr>
          <w:rFonts w:ascii="宋体" w:hAnsi="宋体" w:eastAsia="宋体" w:cs="宋体"/>
          <w:spacing w:val="2"/>
          <w:sz w:val="17"/>
          <w:szCs w:val="17"/>
        </w:rPr>
        <w:t>(识记):考查学生对基础知识的识别和记忆能力。</w:t>
      </w:r>
      <w:r>
        <w:rPr>
          <w:rFonts w:ascii="宋体" w:hAnsi="宋体" w:eastAsia="宋体" w:cs="宋体"/>
          <w:spacing w:val="8"/>
          <w:sz w:val="17"/>
          <w:szCs w:val="17"/>
        </w:rPr>
        <w:t xml:space="preserve"> </w:t>
      </w:r>
      <w:r>
        <w:rPr>
          <w:rFonts w:ascii="宋体" w:hAnsi="宋体" w:eastAsia="宋体" w:cs="宋体"/>
          <w:spacing w:val="2"/>
          <w:sz w:val="17"/>
          <w:szCs w:val="17"/>
        </w:rPr>
        <w:t>具体为：能够记住相应课程中规定的有关知识点的主要</w:t>
      </w:r>
      <w:r>
        <w:rPr>
          <w:rFonts w:ascii="宋体" w:hAnsi="宋体" w:eastAsia="宋体" w:cs="宋体"/>
          <w:sz w:val="17"/>
          <w:szCs w:val="17"/>
        </w:rPr>
        <w:t xml:space="preserve">  </w:t>
      </w:r>
      <w:r>
        <w:rPr>
          <w:rFonts w:ascii="宋体" w:hAnsi="宋体" w:eastAsia="宋体" w:cs="宋体"/>
          <w:spacing w:val="1"/>
          <w:sz w:val="17"/>
          <w:szCs w:val="17"/>
        </w:rPr>
        <w:t>内容(如定义、基本概念、符号、参数、表达式、公式、</w:t>
      </w:r>
      <w:r>
        <w:rPr>
          <w:rFonts w:ascii="宋体" w:hAnsi="宋体" w:eastAsia="宋体" w:cs="宋体"/>
          <w:spacing w:val="13"/>
          <w:sz w:val="17"/>
          <w:szCs w:val="17"/>
        </w:rPr>
        <w:t xml:space="preserve"> </w:t>
      </w:r>
      <w:r>
        <w:rPr>
          <w:rFonts w:ascii="宋体" w:hAnsi="宋体" w:eastAsia="宋体" w:cs="宋体"/>
          <w:spacing w:val="10"/>
          <w:sz w:val="17"/>
          <w:szCs w:val="17"/>
        </w:rPr>
        <w:t>结论、方法、步骤及特征、特点等),能够根据考核的</w:t>
      </w:r>
      <w:r>
        <w:rPr>
          <w:rFonts w:ascii="宋体" w:hAnsi="宋体" w:eastAsia="宋体" w:cs="宋体"/>
          <w:spacing w:val="2"/>
          <w:sz w:val="17"/>
          <w:szCs w:val="17"/>
        </w:rPr>
        <w:t xml:space="preserve"> 不同要求，做出表述和选择。例如：稳压二极管</w:t>
      </w:r>
      <w:r>
        <w:rPr>
          <w:rFonts w:ascii="宋体" w:hAnsi="宋体" w:eastAsia="宋体" w:cs="宋体"/>
          <w:spacing w:val="1"/>
          <w:sz w:val="17"/>
          <w:szCs w:val="17"/>
        </w:rPr>
        <w:t>在电路</w:t>
      </w:r>
      <w:r>
        <w:rPr>
          <w:rFonts w:ascii="宋体" w:hAnsi="宋体" w:eastAsia="宋体" w:cs="宋体"/>
          <w:sz w:val="17"/>
          <w:szCs w:val="17"/>
        </w:rPr>
        <w:t xml:space="preserve">  </w:t>
      </w:r>
      <w:r>
        <w:rPr>
          <w:rFonts w:ascii="宋体" w:hAnsi="宋体" w:eastAsia="宋体" w:cs="宋体"/>
          <w:spacing w:val="-2"/>
          <w:sz w:val="17"/>
          <w:szCs w:val="17"/>
        </w:rPr>
        <w:t>中起稳压作用时，它应处于什么状态?</w:t>
      </w:r>
    </w:p>
    <w:p w14:paraId="1AEEFB7B">
      <w:pPr>
        <w:spacing w:before="84" w:line="300" w:lineRule="auto"/>
        <w:ind w:right="299" w:firstLine="370"/>
        <w:jc w:val="both"/>
        <w:rPr>
          <w:rFonts w:ascii="宋体" w:hAnsi="宋体" w:eastAsia="宋体" w:cs="宋体"/>
          <w:sz w:val="17"/>
          <w:szCs w:val="17"/>
        </w:rPr>
      </w:pPr>
      <w:r>
        <w:rPr>
          <w:rFonts w:ascii="Times New Roman" w:hAnsi="Times New Roman" w:eastAsia="Times New Roman" w:cs="Times New Roman"/>
          <w:spacing w:val="16"/>
          <w:sz w:val="17"/>
          <w:szCs w:val="17"/>
        </w:rPr>
        <w:t>B</w:t>
      </w:r>
      <w:r>
        <w:rPr>
          <w:rFonts w:ascii="宋体" w:hAnsi="宋体" w:eastAsia="宋体" w:cs="宋体"/>
          <w:spacing w:val="16"/>
          <w:sz w:val="17"/>
          <w:szCs w:val="17"/>
        </w:rPr>
        <w:t>(理解):考查学生对基础知识的理解程</w:t>
      </w:r>
      <w:r>
        <w:rPr>
          <w:rFonts w:ascii="宋体" w:hAnsi="宋体" w:eastAsia="宋体" w:cs="宋体"/>
          <w:spacing w:val="15"/>
          <w:sz w:val="17"/>
          <w:szCs w:val="17"/>
        </w:rPr>
        <w:t>度，要</w:t>
      </w:r>
      <w:r>
        <w:rPr>
          <w:rFonts w:ascii="宋体" w:hAnsi="宋体" w:eastAsia="宋体" w:cs="宋体"/>
          <w:sz w:val="17"/>
          <w:szCs w:val="17"/>
        </w:rPr>
        <w:t xml:space="preserve"> </w:t>
      </w:r>
      <w:r>
        <w:rPr>
          <w:rFonts w:ascii="宋体" w:hAnsi="宋体" w:eastAsia="宋体" w:cs="宋体"/>
          <w:spacing w:val="2"/>
          <w:sz w:val="17"/>
          <w:szCs w:val="17"/>
        </w:rPr>
        <w:t>求考生在识记与记忆的基础上，理解所学知识的具体含</w:t>
      </w:r>
      <w:r>
        <w:rPr>
          <w:rFonts w:ascii="宋体" w:hAnsi="宋体" w:eastAsia="宋体" w:cs="宋体"/>
          <w:sz w:val="17"/>
          <w:szCs w:val="17"/>
        </w:rPr>
        <w:t xml:space="preserve">  </w:t>
      </w:r>
      <w:r>
        <w:rPr>
          <w:rFonts w:ascii="宋体" w:hAnsi="宋体" w:eastAsia="宋体" w:cs="宋体"/>
          <w:spacing w:val="2"/>
          <w:sz w:val="17"/>
          <w:szCs w:val="17"/>
        </w:rPr>
        <w:t>义，并能运用它进行简单的计算。要求能够领悟</w:t>
      </w:r>
      <w:r>
        <w:rPr>
          <w:rFonts w:ascii="宋体" w:hAnsi="宋体" w:eastAsia="宋体" w:cs="宋体"/>
          <w:spacing w:val="1"/>
          <w:sz w:val="17"/>
          <w:szCs w:val="17"/>
        </w:rPr>
        <w:t>和理解</w:t>
      </w:r>
      <w:r>
        <w:rPr>
          <w:rFonts w:ascii="宋体" w:hAnsi="宋体" w:eastAsia="宋体" w:cs="宋体"/>
          <w:sz w:val="17"/>
          <w:szCs w:val="17"/>
        </w:rPr>
        <w:t xml:space="preserve">  </w:t>
      </w:r>
      <w:r>
        <w:rPr>
          <w:rFonts w:ascii="宋体" w:hAnsi="宋体" w:eastAsia="宋体" w:cs="宋体"/>
          <w:spacing w:val="2"/>
          <w:sz w:val="17"/>
          <w:szCs w:val="17"/>
        </w:rPr>
        <w:t>相应课程中规定的有关知识点的内涵和外延，以及</w:t>
      </w:r>
      <w:r>
        <w:rPr>
          <w:rFonts w:ascii="宋体" w:hAnsi="宋体" w:eastAsia="宋体" w:cs="宋体"/>
          <w:spacing w:val="1"/>
          <w:sz w:val="17"/>
          <w:szCs w:val="17"/>
        </w:rPr>
        <w:t>与其</w:t>
      </w:r>
      <w:r>
        <w:rPr>
          <w:rFonts w:ascii="宋体" w:hAnsi="宋体" w:eastAsia="宋体" w:cs="宋体"/>
          <w:sz w:val="17"/>
          <w:szCs w:val="17"/>
        </w:rPr>
        <w:t xml:space="preserve">  </w:t>
      </w:r>
      <w:r>
        <w:rPr>
          <w:rFonts w:ascii="宋体" w:hAnsi="宋体" w:eastAsia="宋体" w:cs="宋体"/>
          <w:spacing w:val="2"/>
          <w:sz w:val="17"/>
          <w:szCs w:val="17"/>
        </w:rPr>
        <w:t>他知识点的区别和联系，并能根据考核的不同要求，做</w:t>
      </w:r>
      <w:r>
        <w:rPr>
          <w:rFonts w:ascii="宋体" w:hAnsi="宋体" w:eastAsia="宋体" w:cs="宋体"/>
          <w:sz w:val="17"/>
          <w:szCs w:val="17"/>
        </w:rPr>
        <w:t xml:space="preserve">  </w:t>
      </w:r>
      <w:r>
        <w:rPr>
          <w:rFonts w:ascii="宋体" w:hAnsi="宋体" w:eastAsia="宋体" w:cs="宋体"/>
          <w:spacing w:val="-9"/>
          <w:sz w:val="17"/>
          <w:szCs w:val="17"/>
        </w:rPr>
        <w:t>出正确的解释、选择、说明和论述。如：电容器在充电时，</w:t>
      </w:r>
      <w:r>
        <w:rPr>
          <w:rFonts w:ascii="宋体" w:hAnsi="宋体" w:eastAsia="宋体" w:cs="宋体"/>
          <w:spacing w:val="17"/>
          <w:sz w:val="17"/>
          <w:szCs w:val="17"/>
        </w:rPr>
        <w:t xml:space="preserve"> </w:t>
      </w:r>
      <w:r>
        <w:rPr>
          <w:rFonts w:ascii="宋体" w:hAnsi="宋体" w:eastAsia="宋体" w:cs="宋体"/>
          <w:spacing w:val="-1"/>
          <w:sz w:val="17"/>
          <w:szCs w:val="17"/>
        </w:rPr>
        <w:t>电流的变化和两极板电压的变化。</w:t>
      </w:r>
    </w:p>
    <w:p w14:paraId="0ACCF772">
      <w:pPr>
        <w:spacing w:before="77" w:line="308" w:lineRule="auto"/>
        <w:ind w:right="306" w:firstLine="370"/>
        <w:jc w:val="both"/>
        <w:rPr>
          <w:rFonts w:ascii="宋体" w:hAnsi="宋体" w:eastAsia="宋体" w:cs="宋体"/>
          <w:sz w:val="17"/>
          <w:szCs w:val="17"/>
        </w:rPr>
      </w:pPr>
      <w:r>
        <w:rPr>
          <w:rFonts w:ascii="Times New Roman" w:hAnsi="Times New Roman" w:eastAsia="Times New Roman" w:cs="Times New Roman"/>
          <w:spacing w:val="15"/>
          <w:sz w:val="17"/>
          <w:szCs w:val="17"/>
        </w:rPr>
        <w:t>C</w:t>
      </w:r>
      <w:r>
        <w:rPr>
          <w:rFonts w:ascii="宋体" w:hAnsi="宋体" w:eastAsia="宋体" w:cs="宋体"/>
          <w:spacing w:val="15"/>
          <w:sz w:val="17"/>
          <w:szCs w:val="17"/>
        </w:rPr>
        <w:t>(掌握):考查考生对所学基础知识的初步应用</w:t>
      </w:r>
      <w:r>
        <w:rPr>
          <w:rFonts w:ascii="宋体" w:hAnsi="宋体" w:eastAsia="宋体" w:cs="宋体"/>
          <w:spacing w:val="11"/>
          <w:sz w:val="17"/>
          <w:szCs w:val="17"/>
        </w:rPr>
        <w:t xml:space="preserve"> </w:t>
      </w:r>
      <w:r>
        <w:rPr>
          <w:rFonts w:ascii="宋体" w:hAnsi="宋体" w:eastAsia="宋体" w:cs="宋体"/>
          <w:spacing w:val="-2"/>
          <w:sz w:val="17"/>
          <w:szCs w:val="17"/>
        </w:rPr>
        <w:t>能力，要求考生能够运用相应课程中规定的少量知</w:t>
      </w:r>
      <w:r>
        <w:rPr>
          <w:rFonts w:ascii="宋体" w:hAnsi="宋体" w:eastAsia="宋体" w:cs="宋体"/>
          <w:spacing w:val="-3"/>
          <w:sz w:val="17"/>
          <w:szCs w:val="17"/>
        </w:rPr>
        <w:t>识点，</w:t>
      </w:r>
      <w:r>
        <w:rPr>
          <w:rFonts w:ascii="宋体" w:hAnsi="宋体" w:eastAsia="宋体" w:cs="宋体"/>
          <w:sz w:val="17"/>
          <w:szCs w:val="17"/>
        </w:rPr>
        <w:t xml:space="preserve"> </w:t>
      </w:r>
      <w:r>
        <w:rPr>
          <w:rFonts w:ascii="宋体" w:hAnsi="宋体" w:eastAsia="宋体" w:cs="宋体"/>
          <w:spacing w:val="2"/>
          <w:sz w:val="17"/>
          <w:szCs w:val="17"/>
        </w:rPr>
        <w:t>分析和解决一般应用问题，如简单的计算、绘图和</w:t>
      </w:r>
      <w:r>
        <w:rPr>
          <w:rFonts w:ascii="宋体" w:hAnsi="宋体" w:eastAsia="宋体" w:cs="宋体"/>
          <w:spacing w:val="1"/>
          <w:sz w:val="17"/>
          <w:szCs w:val="17"/>
        </w:rPr>
        <w:t>分析</w:t>
      </w:r>
      <w:r>
        <w:rPr>
          <w:rFonts w:ascii="宋体" w:hAnsi="宋体" w:eastAsia="宋体" w:cs="宋体"/>
          <w:sz w:val="17"/>
          <w:szCs w:val="17"/>
        </w:rPr>
        <w:t xml:space="preserve">  </w:t>
      </w:r>
      <w:r>
        <w:rPr>
          <w:rFonts w:ascii="宋体" w:hAnsi="宋体" w:eastAsia="宋体" w:cs="宋体"/>
          <w:spacing w:val="-1"/>
          <w:sz w:val="17"/>
          <w:szCs w:val="17"/>
        </w:rPr>
        <w:t>论证等。</w:t>
      </w:r>
    </w:p>
    <w:p w14:paraId="7AF581D5">
      <w:pPr>
        <w:spacing w:before="27" w:line="310" w:lineRule="auto"/>
        <w:ind w:right="299" w:firstLine="370"/>
        <w:jc w:val="both"/>
        <w:rPr>
          <w:rFonts w:ascii="宋体" w:hAnsi="宋体" w:eastAsia="宋体" w:cs="宋体"/>
          <w:sz w:val="17"/>
          <w:szCs w:val="17"/>
        </w:rPr>
      </w:pPr>
      <w:r>
        <w:rPr>
          <w:rFonts w:ascii="Times New Roman" w:hAnsi="Times New Roman" w:eastAsia="Times New Roman" w:cs="Times New Roman"/>
          <w:spacing w:val="15"/>
          <w:sz w:val="17"/>
          <w:szCs w:val="17"/>
        </w:rPr>
        <w:t>D</w:t>
      </w:r>
      <w:r>
        <w:rPr>
          <w:rFonts w:ascii="宋体" w:hAnsi="宋体" w:eastAsia="宋体" w:cs="宋体"/>
          <w:spacing w:val="15"/>
          <w:sz w:val="17"/>
          <w:szCs w:val="17"/>
        </w:rPr>
        <w:t>(综合运用):考查考生对所学知识的综合运用</w:t>
      </w:r>
      <w:r>
        <w:rPr>
          <w:rFonts w:ascii="宋体" w:hAnsi="宋体" w:eastAsia="宋体" w:cs="宋体"/>
          <w:spacing w:val="1"/>
          <w:sz w:val="17"/>
          <w:szCs w:val="17"/>
        </w:rPr>
        <w:t xml:space="preserve"> </w:t>
      </w:r>
      <w:r>
        <w:rPr>
          <w:rFonts w:ascii="宋体" w:hAnsi="宋体" w:eastAsia="宋体" w:cs="宋体"/>
          <w:spacing w:val="-2"/>
          <w:sz w:val="17"/>
          <w:szCs w:val="17"/>
        </w:rPr>
        <w:t>能力。要求考生能够运用所学课程中规定的多个知识点，</w:t>
      </w:r>
      <w:r>
        <w:rPr>
          <w:rFonts w:ascii="宋体" w:hAnsi="宋体" w:eastAsia="宋体" w:cs="宋体"/>
          <w:spacing w:val="4"/>
          <w:sz w:val="17"/>
          <w:szCs w:val="17"/>
        </w:rPr>
        <w:t xml:space="preserve"> </w:t>
      </w:r>
      <w:r>
        <w:rPr>
          <w:rFonts w:ascii="宋体" w:hAnsi="宋体" w:eastAsia="宋体" w:cs="宋体"/>
          <w:spacing w:val="2"/>
          <w:sz w:val="17"/>
          <w:szCs w:val="17"/>
        </w:rPr>
        <w:t>分析和解决较复杂的应用问题，如计算、绘图、简</w:t>
      </w:r>
      <w:r>
        <w:rPr>
          <w:rFonts w:ascii="宋体" w:hAnsi="宋体" w:eastAsia="宋体" w:cs="宋体"/>
          <w:spacing w:val="1"/>
          <w:sz w:val="17"/>
          <w:szCs w:val="17"/>
        </w:rPr>
        <w:t>单设</w:t>
      </w:r>
      <w:r>
        <w:rPr>
          <w:rFonts w:ascii="宋体" w:hAnsi="宋体" w:eastAsia="宋体" w:cs="宋体"/>
          <w:sz w:val="17"/>
          <w:szCs w:val="17"/>
        </w:rPr>
        <w:t xml:space="preserve">  </w:t>
      </w:r>
      <w:r>
        <w:rPr>
          <w:rFonts w:ascii="宋体" w:hAnsi="宋体" w:eastAsia="宋体" w:cs="宋体"/>
          <w:spacing w:val="-2"/>
          <w:sz w:val="17"/>
          <w:szCs w:val="17"/>
        </w:rPr>
        <w:t>计、分析、论证等。同时还要求考生在解决上述问题时，</w:t>
      </w:r>
      <w:r>
        <w:rPr>
          <w:rFonts w:ascii="宋体" w:hAnsi="宋体" w:eastAsia="宋体" w:cs="宋体"/>
          <w:spacing w:val="4"/>
          <w:sz w:val="17"/>
          <w:szCs w:val="17"/>
        </w:rPr>
        <w:t xml:space="preserve"> </w:t>
      </w:r>
      <w:r>
        <w:rPr>
          <w:rFonts w:ascii="宋体" w:hAnsi="宋体" w:eastAsia="宋体" w:cs="宋体"/>
          <w:spacing w:val="2"/>
          <w:sz w:val="17"/>
          <w:szCs w:val="17"/>
        </w:rPr>
        <w:t>综合运用电子类三门专业学科的知识点，分析和解决较</w:t>
      </w:r>
      <w:r>
        <w:rPr>
          <w:rFonts w:ascii="宋体" w:hAnsi="宋体" w:eastAsia="宋体" w:cs="宋体"/>
          <w:spacing w:val="18"/>
          <w:sz w:val="17"/>
          <w:szCs w:val="17"/>
        </w:rPr>
        <w:t xml:space="preserve"> </w:t>
      </w:r>
      <w:r>
        <w:rPr>
          <w:rFonts w:ascii="宋体" w:hAnsi="宋体" w:eastAsia="宋体" w:cs="宋体"/>
          <w:spacing w:val="-4"/>
          <w:sz w:val="17"/>
          <w:szCs w:val="17"/>
        </w:rPr>
        <w:t>复杂的应用问题。</w:t>
      </w:r>
    </w:p>
    <w:p w14:paraId="2BB46A9B">
      <w:pPr>
        <w:spacing w:before="25" w:line="306" w:lineRule="auto"/>
        <w:ind w:right="357" w:firstLine="370"/>
        <w:jc w:val="both"/>
        <w:rPr>
          <w:rFonts w:ascii="宋体" w:hAnsi="宋体" w:eastAsia="宋体" w:cs="宋体"/>
          <w:sz w:val="17"/>
          <w:szCs w:val="17"/>
        </w:rPr>
      </w:pPr>
      <w:r>
        <w:rPr>
          <w:rFonts w:ascii="宋体" w:hAnsi="宋体" w:eastAsia="宋体" w:cs="宋体"/>
          <w:spacing w:val="1"/>
          <w:sz w:val="17"/>
          <w:szCs w:val="17"/>
        </w:rPr>
        <w:t>这四个层次的考试水平由简单到复杂、有低级到高</w:t>
      </w:r>
      <w:r>
        <w:rPr>
          <w:rFonts w:ascii="宋体" w:hAnsi="宋体" w:eastAsia="宋体" w:cs="宋体"/>
          <w:spacing w:val="14"/>
          <w:sz w:val="17"/>
          <w:szCs w:val="17"/>
        </w:rPr>
        <w:t xml:space="preserve"> </w:t>
      </w:r>
      <w:r>
        <w:rPr>
          <w:rFonts w:ascii="宋体" w:hAnsi="宋体" w:eastAsia="宋体" w:cs="宋体"/>
          <w:spacing w:val="2"/>
          <w:sz w:val="17"/>
          <w:szCs w:val="17"/>
        </w:rPr>
        <w:t>级，每一较高层次的考试水平都同时包括了它的较低层</w:t>
      </w:r>
      <w:r>
        <w:rPr>
          <w:rFonts w:ascii="宋体" w:hAnsi="宋体" w:eastAsia="宋体" w:cs="宋体"/>
          <w:sz w:val="17"/>
          <w:szCs w:val="17"/>
        </w:rPr>
        <w:t xml:space="preserve"> </w:t>
      </w:r>
      <w:r>
        <w:rPr>
          <w:rFonts w:ascii="宋体" w:hAnsi="宋体" w:eastAsia="宋体" w:cs="宋体"/>
          <w:spacing w:val="-4"/>
          <w:sz w:val="17"/>
          <w:szCs w:val="17"/>
        </w:rPr>
        <w:t>次的考试水平要求。</w:t>
      </w:r>
    </w:p>
    <w:p w14:paraId="08FA754A">
      <w:pPr>
        <w:spacing w:before="22" w:line="221" w:lineRule="auto"/>
        <w:ind w:left="3"/>
        <w:rPr>
          <w:rFonts w:ascii="黑体" w:hAnsi="黑体" w:eastAsia="黑体" w:cs="黑体"/>
          <w:sz w:val="23"/>
          <w:szCs w:val="23"/>
        </w:rPr>
      </w:pPr>
      <w:r>
        <w:rPr>
          <w:rFonts w:ascii="黑体" w:hAnsi="黑体" w:eastAsia="黑体" w:cs="黑体"/>
          <w:b/>
          <w:bCs/>
          <w:spacing w:val="-7"/>
          <w:sz w:val="23"/>
          <w:szCs w:val="23"/>
        </w:rPr>
        <w:t>三、考试目标</w:t>
      </w:r>
    </w:p>
    <w:p w14:paraId="5C53049F">
      <w:pPr>
        <w:pStyle w:val="2"/>
        <w:spacing w:line="415" w:lineRule="auto"/>
      </w:pPr>
    </w:p>
    <w:p w14:paraId="2CA15B55">
      <w:pPr>
        <w:spacing w:before="56" w:line="221" w:lineRule="auto"/>
        <w:ind w:left="1182"/>
        <w:rPr>
          <w:rFonts w:ascii="黑体" w:hAnsi="黑体" w:eastAsia="黑体" w:cs="黑体"/>
          <w:sz w:val="17"/>
          <w:szCs w:val="17"/>
        </w:rPr>
      </w:pPr>
      <w:r>
        <w:rPr>
          <w:rFonts w:ascii="黑体" w:hAnsi="黑体" w:eastAsia="黑体" w:cs="黑体"/>
          <w:b/>
          <w:bCs/>
          <w:spacing w:val="-5"/>
          <w:sz w:val="17"/>
          <w:szCs w:val="17"/>
        </w:rPr>
        <w:t>第</w:t>
      </w:r>
      <w:r>
        <w:rPr>
          <w:rFonts w:ascii="黑体" w:hAnsi="黑体" w:eastAsia="黑体" w:cs="黑体"/>
          <w:spacing w:val="-38"/>
          <w:sz w:val="17"/>
          <w:szCs w:val="17"/>
        </w:rPr>
        <w:t xml:space="preserve"> </w:t>
      </w:r>
      <w:r>
        <w:rPr>
          <w:rFonts w:ascii="黑体" w:hAnsi="黑体" w:eastAsia="黑体" w:cs="黑体"/>
          <w:b/>
          <w:bCs/>
          <w:spacing w:val="-5"/>
          <w:sz w:val="17"/>
          <w:szCs w:val="17"/>
        </w:rPr>
        <w:t>一</w:t>
      </w:r>
      <w:r>
        <w:rPr>
          <w:rFonts w:ascii="黑体" w:hAnsi="黑体" w:eastAsia="黑体" w:cs="黑体"/>
          <w:spacing w:val="-39"/>
          <w:sz w:val="17"/>
          <w:szCs w:val="17"/>
        </w:rPr>
        <w:t xml:space="preserve"> </w:t>
      </w:r>
      <w:r>
        <w:rPr>
          <w:rFonts w:ascii="黑体" w:hAnsi="黑体" w:eastAsia="黑体" w:cs="黑体"/>
          <w:b/>
          <w:bCs/>
          <w:spacing w:val="-5"/>
          <w:sz w:val="17"/>
          <w:szCs w:val="17"/>
        </w:rPr>
        <w:t>部分</w:t>
      </w:r>
      <w:r>
        <w:rPr>
          <w:rFonts w:ascii="黑体" w:hAnsi="黑体" w:eastAsia="黑体" w:cs="黑体"/>
          <w:spacing w:val="24"/>
          <w:w w:val="101"/>
          <w:sz w:val="17"/>
          <w:szCs w:val="17"/>
        </w:rPr>
        <w:t xml:space="preserve">  </w:t>
      </w:r>
      <w:r>
        <w:rPr>
          <w:rFonts w:ascii="黑体" w:hAnsi="黑体" w:eastAsia="黑体" w:cs="黑体"/>
          <w:b/>
          <w:bCs/>
          <w:spacing w:val="-5"/>
          <w:sz w:val="17"/>
          <w:szCs w:val="17"/>
        </w:rPr>
        <w:t>电</w:t>
      </w:r>
      <w:r>
        <w:rPr>
          <w:rFonts w:ascii="黑体" w:hAnsi="黑体" w:eastAsia="黑体" w:cs="黑体"/>
          <w:spacing w:val="-37"/>
          <w:sz w:val="17"/>
          <w:szCs w:val="17"/>
        </w:rPr>
        <w:t xml:space="preserve"> </w:t>
      </w:r>
      <w:r>
        <w:rPr>
          <w:rFonts w:ascii="黑体" w:hAnsi="黑体" w:eastAsia="黑体" w:cs="黑体"/>
          <w:b/>
          <w:bCs/>
          <w:spacing w:val="-5"/>
          <w:sz w:val="17"/>
          <w:szCs w:val="17"/>
        </w:rPr>
        <w:t>工</w:t>
      </w:r>
      <w:r>
        <w:rPr>
          <w:rFonts w:ascii="黑体" w:hAnsi="黑体" w:eastAsia="黑体" w:cs="黑体"/>
          <w:spacing w:val="-37"/>
          <w:sz w:val="17"/>
          <w:szCs w:val="17"/>
        </w:rPr>
        <w:t xml:space="preserve"> </w:t>
      </w:r>
      <w:r>
        <w:rPr>
          <w:rFonts w:ascii="黑体" w:hAnsi="黑体" w:eastAsia="黑体" w:cs="黑体"/>
          <w:b/>
          <w:bCs/>
          <w:spacing w:val="-5"/>
          <w:sz w:val="17"/>
          <w:szCs w:val="17"/>
        </w:rPr>
        <w:t>基</w:t>
      </w:r>
      <w:r>
        <w:rPr>
          <w:rFonts w:ascii="黑体" w:hAnsi="黑体" w:eastAsia="黑体" w:cs="黑体"/>
          <w:spacing w:val="-38"/>
          <w:sz w:val="17"/>
          <w:szCs w:val="17"/>
        </w:rPr>
        <w:t xml:space="preserve"> </w:t>
      </w:r>
      <w:r>
        <w:rPr>
          <w:rFonts w:ascii="黑体" w:hAnsi="黑体" w:eastAsia="黑体" w:cs="黑体"/>
          <w:b/>
          <w:bCs/>
          <w:spacing w:val="-5"/>
          <w:sz w:val="17"/>
          <w:szCs w:val="17"/>
        </w:rPr>
        <w:t>础</w:t>
      </w:r>
    </w:p>
    <w:p w14:paraId="03177039">
      <w:pPr>
        <w:pStyle w:val="2"/>
        <w:spacing w:line="329" w:lineRule="auto"/>
      </w:pPr>
    </w:p>
    <w:p w14:paraId="37E0C1ED">
      <w:pPr>
        <w:spacing w:before="55" w:line="221" w:lineRule="auto"/>
        <w:ind w:left="1002"/>
        <w:rPr>
          <w:rFonts w:ascii="黑体" w:hAnsi="黑体" w:eastAsia="黑体" w:cs="黑体"/>
          <w:sz w:val="17"/>
          <w:szCs w:val="17"/>
        </w:rPr>
      </w:pPr>
      <w:r>
        <w:rPr>
          <w:rFonts w:ascii="黑体" w:hAnsi="黑体" w:eastAsia="黑体" w:cs="黑体"/>
          <w:b/>
          <w:bCs/>
          <w:spacing w:val="15"/>
          <w:sz w:val="17"/>
          <w:szCs w:val="17"/>
        </w:rPr>
        <w:t>第</w:t>
      </w:r>
      <w:r>
        <w:rPr>
          <w:rFonts w:ascii="黑体" w:hAnsi="黑体" w:eastAsia="黑体" w:cs="黑体"/>
          <w:spacing w:val="-42"/>
          <w:sz w:val="17"/>
          <w:szCs w:val="17"/>
        </w:rPr>
        <w:t xml:space="preserve"> </w:t>
      </w:r>
      <w:r>
        <w:rPr>
          <w:rFonts w:ascii="黑体" w:hAnsi="黑体" w:eastAsia="黑体" w:cs="黑体"/>
          <w:b/>
          <w:bCs/>
          <w:spacing w:val="15"/>
          <w:sz w:val="17"/>
          <w:szCs w:val="17"/>
        </w:rPr>
        <w:t>一</w:t>
      </w:r>
      <w:r>
        <w:rPr>
          <w:rFonts w:ascii="黑体" w:hAnsi="黑体" w:eastAsia="黑体" w:cs="黑体"/>
          <w:spacing w:val="-44"/>
          <w:sz w:val="17"/>
          <w:szCs w:val="17"/>
        </w:rPr>
        <w:t xml:space="preserve"> </w:t>
      </w:r>
      <w:r>
        <w:rPr>
          <w:rFonts w:ascii="黑体" w:hAnsi="黑体" w:eastAsia="黑体" w:cs="黑体"/>
          <w:b/>
          <w:bCs/>
          <w:spacing w:val="15"/>
          <w:sz w:val="17"/>
          <w:szCs w:val="17"/>
        </w:rPr>
        <w:t>章</w:t>
      </w:r>
      <w:r>
        <w:rPr>
          <w:rFonts w:ascii="黑体" w:hAnsi="黑体" w:eastAsia="黑体" w:cs="黑体"/>
          <w:spacing w:val="24"/>
          <w:sz w:val="17"/>
          <w:szCs w:val="17"/>
        </w:rPr>
        <w:t xml:space="preserve">  </w:t>
      </w:r>
      <w:r>
        <w:rPr>
          <w:rFonts w:ascii="黑体" w:hAnsi="黑体" w:eastAsia="黑体" w:cs="黑体"/>
          <w:b/>
          <w:bCs/>
          <w:spacing w:val="15"/>
          <w:sz w:val="17"/>
          <w:szCs w:val="17"/>
        </w:rPr>
        <w:t>电路的基本概念</w:t>
      </w:r>
    </w:p>
    <w:p w14:paraId="076C28B1">
      <w:pPr>
        <w:spacing w:line="29" w:lineRule="exact"/>
      </w:pPr>
    </w:p>
    <w:tbl>
      <w:tblPr>
        <w:tblStyle w:val="5"/>
        <w:tblW w:w="4140" w:type="dxa"/>
        <w:tblInd w:w="1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03"/>
        <w:gridCol w:w="2334"/>
        <w:gridCol w:w="220"/>
        <w:gridCol w:w="230"/>
        <w:gridCol w:w="229"/>
        <w:gridCol w:w="224"/>
      </w:tblGrid>
      <w:tr w14:paraId="5C591C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903" w:type="dxa"/>
            <w:vMerge w:val="restart"/>
            <w:tcBorders>
              <w:top w:val="single" w:color="000000" w:sz="2" w:space="0"/>
              <w:bottom w:val="nil"/>
            </w:tcBorders>
            <w:vAlign w:val="top"/>
          </w:tcPr>
          <w:p w14:paraId="2295DA05">
            <w:pPr>
              <w:pStyle w:val="6"/>
              <w:spacing w:before="95" w:line="231" w:lineRule="auto"/>
              <w:ind w:left="276" w:right="35" w:hanging="259"/>
            </w:pPr>
            <w:r>
              <w:rPr>
                <w:b/>
                <w:bCs/>
                <w:spacing w:val="-4"/>
              </w:rPr>
              <w:t>知识与技能</w:t>
            </w:r>
            <w:r>
              <w:t xml:space="preserve"> </w:t>
            </w:r>
            <w:r>
              <w:rPr>
                <w:b/>
                <w:bCs/>
                <w:spacing w:val="-4"/>
              </w:rPr>
              <w:t>要点</w:t>
            </w:r>
          </w:p>
        </w:tc>
        <w:tc>
          <w:tcPr>
            <w:tcW w:w="2334" w:type="dxa"/>
            <w:vMerge w:val="restart"/>
            <w:tcBorders>
              <w:top w:val="single" w:color="000000" w:sz="2" w:space="0"/>
              <w:bottom w:val="nil"/>
            </w:tcBorders>
            <w:vAlign w:val="top"/>
          </w:tcPr>
          <w:p w14:paraId="730F553F">
            <w:pPr>
              <w:pStyle w:val="6"/>
              <w:spacing w:before="214" w:line="219" w:lineRule="auto"/>
              <w:ind w:left="844"/>
            </w:pPr>
            <w:r>
              <w:rPr>
                <w:b/>
                <w:bCs/>
                <w:spacing w:val="5"/>
              </w:rPr>
              <w:t>考试条目</w:t>
            </w:r>
          </w:p>
        </w:tc>
        <w:tc>
          <w:tcPr>
            <w:tcW w:w="903" w:type="dxa"/>
            <w:gridSpan w:val="4"/>
            <w:tcBorders>
              <w:top w:val="single" w:color="000000" w:sz="2" w:space="0"/>
              <w:bottom w:val="single" w:color="000000" w:sz="2" w:space="0"/>
            </w:tcBorders>
            <w:vAlign w:val="top"/>
          </w:tcPr>
          <w:p w14:paraId="63CBC0F6">
            <w:pPr>
              <w:pStyle w:val="6"/>
              <w:spacing w:before="104" w:line="219" w:lineRule="auto"/>
              <w:ind w:left="130"/>
            </w:pPr>
            <w:r>
              <w:rPr>
                <w:b/>
                <w:bCs/>
                <w:spacing w:val="-4"/>
              </w:rPr>
              <w:t>考试水平</w:t>
            </w:r>
          </w:p>
        </w:tc>
      </w:tr>
      <w:tr w14:paraId="65A4A0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4" w:hRule="atLeast"/>
        </w:trPr>
        <w:tc>
          <w:tcPr>
            <w:tcW w:w="903" w:type="dxa"/>
            <w:vMerge w:val="continue"/>
            <w:tcBorders>
              <w:top w:val="nil"/>
              <w:bottom w:val="single" w:color="000000" w:sz="2" w:space="0"/>
            </w:tcBorders>
            <w:vAlign w:val="top"/>
          </w:tcPr>
          <w:p w14:paraId="578392BE">
            <w:pPr>
              <w:rPr>
                <w:rFonts w:ascii="Arial"/>
                <w:sz w:val="21"/>
              </w:rPr>
            </w:pPr>
          </w:p>
        </w:tc>
        <w:tc>
          <w:tcPr>
            <w:tcW w:w="2334" w:type="dxa"/>
            <w:vMerge w:val="continue"/>
            <w:tcBorders>
              <w:top w:val="nil"/>
              <w:bottom w:val="single" w:color="000000" w:sz="2" w:space="0"/>
            </w:tcBorders>
            <w:vAlign w:val="top"/>
          </w:tcPr>
          <w:p w14:paraId="59CF400E">
            <w:pPr>
              <w:rPr>
                <w:rFonts w:ascii="Arial"/>
                <w:sz w:val="21"/>
              </w:rPr>
            </w:pPr>
          </w:p>
        </w:tc>
        <w:tc>
          <w:tcPr>
            <w:tcW w:w="220" w:type="dxa"/>
            <w:tcBorders>
              <w:top w:val="single" w:color="000000" w:sz="2" w:space="0"/>
              <w:bottom w:val="single" w:color="000000" w:sz="2" w:space="0"/>
            </w:tcBorders>
            <w:vAlign w:val="top"/>
          </w:tcPr>
          <w:p w14:paraId="65494917">
            <w:pPr>
              <w:pStyle w:val="6"/>
              <w:spacing w:before="65" w:line="138" w:lineRule="exact"/>
              <w:ind w:left="20"/>
            </w:pPr>
            <w:r>
              <w:rPr>
                <w:b/>
                <w:bCs/>
                <w:spacing w:val="-2"/>
                <w:position w:val="-2"/>
              </w:rPr>
              <w:t>A</w:t>
            </w:r>
          </w:p>
        </w:tc>
        <w:tc>
          <w:tcPr>
            <w:tcW w:w="230" w:type="dxa"/>
            <w:tcBorders>
              <w:top w:val="single" w:color="000000" w:sz="2" w:space="0"/>
              <w:bottom w:val="single" w:color="000000" w:sz="2" w:space="0"/>
            </w:tcBorders>
            <w:vAlign w:val="top"/>
          </w:tcPr>
          <w:p w14:paraId="754B389F">
            <w:pPr>
              <w:pStyle w:val="6"/>
              <w:spacing w:before="67" w:line="136" w:lineRule="exact"/>
              <w:ind w:left="50"/>
            </w:pPr>
            <w:r>
              <w:rPr>
                <w:b/>
                <w:bCs/>
                <w:spacing w:val="-2"/>
                <w:position w:val="-2"/>
              </w:rPr>
              <w:t>B</w:t>
            </w:r>
          </w:p>
        </w:tc>
        <w:tc>
          <w:tcPr>
            <w:tcW w:w="229" w:type="dxa"/>
            <w:tcBorders>
              <w:top w:val="single" w:color="000000" w:sz="2" w:space="0"/>
              <w:bottom w:val="single" w:color="000000" w:sz="2" w:space="0"/>
            </w:tcBorders>
            <w:vAlign w:val="top"/>
          </w:tcPr>
          <w:p w14:paraId="7FB85E26">
            <w:pPr>
              <w:pStyle w:val="6"/>
              <w:spacing w:before="66" w:line="137" w:lineRule="exact"/>
              <w:ind w:left="17"/>
            </w:pPr>
            <w:r>
              <w:rPr>
                <w:position w:val="-2"/>
              </w:rPr>
              <w:t>C</w:t>
            </w:r>
          </w:p>
        </w:tc>
        <w:tc>
          <w:tcPr>
            <w:tcW w:w="224" w:type="dxa"/>
            <w:tcBorders>
              <w:top w:val="single" w:color="000000" w:sz="2" w:space="0"/>
              <w:bottom w:val="single" w:color="000000" w:sz="2" w:space="0"/>
            </w:tcBorders>
            <w:vAlign w:val="top"/>
          </w:tcPr>
          <w:p w14:paraId="0D34E3AE">
            <w:pPr>
              <w:pStyle w:val="6"/>
              <w:spacing w:before="67" w:line="136" w:lineRule="exact"/>
              <w:ind w:left="41"/>
            </w:pPr>
            <w:r>
              <w:rPr>
                <w:b/>
                <w:bCs/>
                <w:spacing w:val="-2"/>
                <w:position w:val="-2"/>
              </w:rPr>
              <w:t>D</w:t>
            </w:r>
          </w:p>
        </w:tc>
      </w:tr>
      <w:tr w14:paraId="1A70C5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2" w:hRule="atLeast"/>
        </w:trPr>
        <w:tc>
          <w:tcPr>
            <w:tcW w:w="903" w:type="dxa"/>
            <w:tcBorders>
              <w:top w:val="single" w:color="000000" w:sz="2" w:space="0"/>
              <w:bottom w:val="single" w:color="000000" w:sz="2" w:space="0"/>
            </w:tcBorders>
            <w:vAlign w:val="top"/>
          </w:tcPr>
          <w:p w14:paraId="6E87303B">
            <w:pPr>
              <w:pStyle w:val="6"/>
              <w:spacing w:before="293" w:line="219" w:lineRule="auto"/>
              <w:ind w:left="275"/>
            </w:pPr>
            <w:r>
              <w:rPr>
                <w:spacing w:val="3"/>
              </w:rPr>
              <w:t>电路</w:t>
            </w:r>
          </w:p>
        </w:tc>
        <w:tc>
          <w:tcPr>
            <w:tcW w:w="2334" w:type="dxa"/>
            <w:tcBorders>
              <w:top w:val="single" w:color="000000" w:sz="2" w:space="0"/>
              <w:bottom w:val="single" w:color="000000" w:sz="2" w:space="0"/>
            </w:tcBorders>
            <w:vAlign w:val="top"/>
          </w:tcPr>
          <w:p w14:paraId="308A7932">
            <w:pPr>
              <w:pStyle w:val="6"/>
              <w:spacing w:before="93" w:line="231" w:lineRule="auto"/>
              <w:ind w:left="2" w:right="1294"/>
              <w:jc w:val="both"/>
            </w:pPr>
            <w:r>
              <w:rPr>
                <w:spacing w:val="1"/>
              </w:rPr>
              <w:t>1.电路的组成</w:t>
            </w:r>
            <w:r>
              <w:t xml:space="preserve"> </w:t>
            </w:r>
            <w:r>
              <w:rPr>
                <w:spacing w:val="-2"/>
              </w:rPr>
              <w:t>2.电路的状态</w:t>
            </w:r>
            <w:r>
              <w:rPr>
                <w:spacing w:val="4"/>
              </w:rPr>
              <w:t xml:space="preserve"> </w:t>
            </w:r>
            <w:r>
              <w:rPr>
                <w:spacing w:val="3"/>
              </w:rPr>
              <w:t>3.电路图</w:t>
            </w:r>
          </w:p>
        </w:tc>
        <w:tc>
          <w:tcPr>
            <w:tcW w:w="220" w:type="dxa"/>
            <w:tcBorders>
              <w:top w:val="single" w:color="000000" w:sz="2" w:space="0"/>
              <w:bottom w:val="single" w:color="000000" w:sz="2" w:space="0"/>
            </w:tcBorders>
            <w:vAlign w:val="top"/>
          </w:tcPr>
          <w:p w14:paraId="37B715E3">
            <w:pPr>
              <w:pStyle w:val="6"/>
              <w:spacing w:before="74" w:line="238" w:lineRule="auto"/>
              <w:ind w:left="18"/>
              <w:rPr>
                <w:sz w:val="13"/>
                <w:szCs w:val="13"/>
              </w:rPr>
            </w:pPr>
            <w:r>
              <w:rPr>
                <w:sz w:val="13"/>
                <w:szCs w:val="13"/>
              </w:rPr>
              <w:t>√</w:t>
            </w:r>
          </w:p>
        </w:tc>
        <w:tc>
          <w:tcPr>
            <w:tcW w:w="230" w:type="dxa"/>
            <w:tcBorders>
              <w:top w:val="single" w:color="000000" w:sz="2" w:space="0"/>
              <w:bottom w:val="single" w:color="000000" w:sz="2" w:space="0"/>
            </w:tcBorders>
            <w:vAlign w:val="top"/>
          </w:tcPr>
          <w:p w14:paraId="665FA393">
            <w:pPr>
              <w:rPr>
                <w:rFonts w:ascii="Arial"/>
                <w:sz w:val="21"/>
              </w:rPr>
            </w:pPr>
          </w:p>
        </w:tc>
        <w:tc>
          <w:tcPr>
            <w:tcW w:w="229" w:type="dxa"/>
            <w:tcBorders>
              <w:top w:val="single" w:color="000000" w:sz="2" w:space="0"/>
              <w:bottom w:val="single" w:color="000000" w:sz="2" w:space="0"/>
            </w:tcBorders>
            <w:vAlign w:val="top"/>
          </w:tcPr>
          <w:p w14:paraId="0671A1B8">
            <w:pPr>
              <w:rPr>
                <w:rFonts w:ascii="Arial"/>
                <w:sz w:val="21"/>
              </w:rPr>
            </w:pPr>
          </w:p>
        </w:tc>
        <w:tc>
          <w:tcPr>
            <w:tcW w:w="224" w:type="dxa"/>
            <w:tcBorders>
              <w:top w:val="single" w:color="000000" w:sz="2" w:space="0"/>
              <w:bottom w:val="single" w:color="000000" w:sz="2" w:space="0"/>
            </w:tcBorders>
            <w:vAlign w:val="top"/>
          </w:tcPr>
          <w:p w14:paraId="26F56075">
            <w:pPr>
              <w:rPr>
                <w:rFonts w:ascii="Arial"/>
                <w:sz w:val="21"/>
              </w:rPr>
            </w:pPr>
          </w:p>
        </w:tc>
      </w:tr>
      <w:tr w14:paraId="05549D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8" w:hRule="atLeast"/>
        </w:trPr>
        <w:tc>
          <w:tcPr>
            <w:tcW w:w="903" w:type="dxa"/>
            <w:tcBorders>
              <w:top w:val="single" w:color="000000" w:sz="2" w:space="0"/>
              <w:bottom w:val="single" w:color="000000" w:sz="2" w:space="0"/>
            </w:tcBorders>
            <w:vAlign w:val="top"/>
          </w:tcPr>
          <w:p w14:paraId="552A13E2">
            <w:pPr>
              <w:pStyle w:val="6"/>
              <w:spacing w:before="188" w:line="223" w:lineRule="auto"/>
              <w:ind w:left="275"/>
            </w:pPr>
            <w:r>
              <w:rPr>
                <w:spacing w:val="3"/>
              </w:rPr>
              <w:t>电流</w:t>
            </w:r>
          </w:p>
        </w:tc>
        <w:tc>
          <w:tcPr>
            <w:tcW w:w="2334" w:type="dxa"/>
            <w:tcBorders>
              <w:top w:val="single" w:color="000000" w:sz="2" w:space="0"/>
              <w:bottom w:val="single" w:color="000000" w:sz="2" w:space="0"/>
            </w:tcBorders>
            <w:vAlign w:val="top"/>
          </w:tcPr>
          <w:p w14:paraId="30CDD99E">
            <w:pPr>
              <w:pStyle w:val="6"/>
              <w:spacing w:before="87" w:line="239" w:lineRule="auto"/>
              <w:ind w:left="2" w:right="1294"/>
            </w:pPr>
            <w:r>
              <w:rPr>
                <w:spacing w:val="1"/>
              </w:rPr>
              <w:t>1.电流的形成</w:t>
            </w:r>
            <w:r>
              <w:t xml:space="preserve"> </w:t>
            </w:r>
            <w:r>
              <w:rPr>
                <w:spacing w:val="1"/>
              </w:rPr>
              <w:t>2.电流</w:t>
            </w:r>
          </w:p>
        </w:tc>
        <w:tc>
          <w:tcPr>
            <w:tcW w:w="220" w:type="dxa"/>
            <w:tcBorders>
              <w:top w:val="single" w:color="000000" w:sz="2" w:space="0"/>
              <w:bottom w:val="single" w:color="000000" w:sz="2" w:space="0"/>
            </w:tcBorders>
            <w:vAlign w:val="top"/>
          </w:tcPr>
          <w:p w14:paraId="62CCAEDC">
            <w:pPr>
              <w:spacing w:line="263" w:lineRule="auto"/>
              <w:rPr>
                <w:rFonts w:ascii="Arial"/>
                <w:sz w:val="21"/>
              </w:rPr>
            </w:pPr>
          </w:p>
          <w:p w14:paraId="20C58EA3">
            <w:pPr>
              <w:pStyle w:val="6"/>
              <w:spacing w:before="42" w:line="238" w:lineRule="auto"/>
              <w:ind w:left="18"/>
              <w:rPr>
                <w:sz w:val="13"/>
                <w:szCs w:val="13"/>
              </w:rPr>
            </w:pPr>
            <w:r>
              <w:rPr>
                <w:sz w:val="13"/>
                <w:szCs w:val="13"/>
              </w:rPr>
              <w:t>√</w:t>
            </w:r>
          </w:p>
        </w:tc>
        <w:tc>
          <w:tcPr>
            <w:tcW w:w="230" w:type="dxa"/>
            <w:tcBorders>
              <w:top w:val="single" w:color="000000" w:sz="2" w:space="0"/>
              <w:bottom w:val="single" w:color="000000" w:sz="2" w:space="0"/>
            </w:tcBorders>
            <w:vAlign w:val="top"/>
          </w:tcPr>
          <w:p w14:paraId="3AA493DC">
            <w:pPr>
              <w:rPr>
                <w:rFonts w:ascii="Arial"/>
                <w:sz w:val="21"/>
              </w:rPr>
            </w:pPr>
          </w:p>
        </w:tc>
        <w:tc>
          <w:tcPr>
            <w:tcW w:w="229" w:type="dxa"/>
            <w:tcBorders>
              <w:top w:val="single" w:color="000000" w:sz="2" w:space="0"/>
              <w:bottom w:val="single" w:color="000000" w:sz="2" w:space="0"/>
            </w:tcBorders>
            <w:vAlign w:val="top"/>
          </w:tcPr>
          <w:p w14:paraId="65A1BAD8">
            <w:pPr>
              <w:pStyle w:val="6"/>
              <w:spacing w:before="67" w:line="238" w:lineRule="auto"/>
              <w:ind w:left="17"/>
              <w:rPr>
                <w:sz w:val="13"/>
                <w:szCs w:val="13"/>
              </w:rPr>
            </w:pPr>
            <w:r>
              <w:rPr>
                <w:sz w:val="13"/>
                <w:szCs w:val="13"/>
              </w:rPr>
              <w:t>√</w:t>
            </w:r>
          </w:p>
        </w:tc>
        <w:tc>
          <w:tcPr>
            <w:tcW w:w="224" w:type="dxa"/>
            <w:tcBorders>
              <w:top w:val="single" w:color="000000" w:sz="2" w:space="0"/>
              <w:bottom w:val="single" w:color="000000" w:sz="2" w:space="0"/>
            </w:tcBorders>
            <w:vAlign w:val="top"/>
          </w:tcPr>
          <w:p w14:paraId="6C04CF0F">
            <w:pPr>
              <w:rPr>
                <w:rFonts w:ascii="Arial"/>
                <w:sz w:val="21"/>
              </w:rPr>
            </w:pPr>
          </w:p>
        </w:tc>
      </w:tr>
    </w:tbl>
    <w:p w14:paraId="4455415D">
      <w:pPr>
        <w:pStyle w:val="2"/>
        <w:spacing w:line="14" w:lineRule="auto"/>
        <w:rPr>
          <w:sz w:val="2"/>
        </w:rPr>
      </w:pPr>
    </w:p>
    <w:p w14:paraId="30CC5DB2">
      <w:pPr>
        <w:pStyle w:val="2"/>
        <w:spacing w:line="14" w:lineRule="auto"/>
        <w:rPr>
          <w:sz w:val="2"/>
        </w:rPr>
      </w:pPr>
      <w:r>
        <w:rPr>
          <w:sz w:val="2"/>
          <w:szCs w:val="2"/>
        </w:rPr>
        <w:br w:type="column"/>
      </w:r>
    </w:p>
    <w:p w14:paraId="1AE183E5">
      <w:pPr>
        <w:spacing w:line="76" w:lineRule="auto"/>
        <w:rPr>
          <w:rFonts w:ascii="Arial"/>
          <w:sz w:val="2"/>
        </w:rPr>
      </w:pPr>
    </w:p>
    <w:tbl>
      <w:tblPr>
        <w:tblStyle w:val="5"/>
        <w:tblW w:w="4130" w:type="dxa"/>
        <w:tblInd w:w="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83"/>
        <w:gridCol w:w="2334"/>
        <w:gridCol w:w="229"/>
        <w:gridCol w:w="220"/>
        <w:gridCol w:w="230"/>
        <w:gridCol w:w="234"/>
      </w:tblGrid>
      <w:tr w14:paraId="2CE8D0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2" w:hRule="atLeast"/>
        </w:trPr>
        <w:tc>
          <w:tcPr>
            <w:tcW w:w="883" w:type="dxa"/>
            <w:vAlign w:val="top"/>
          </w:tcPr>
          <w:p w14:paraId="33557136">
            <w:pPr>
              <w:pStyle w:val="6"/>
              <w:spacing w:before="183" w:line="221" w:lineRule="auto"/>
              <w:ind w:left="254"/>
              <w:rPr>
                <w:sz w:val="18"/>
                <w:szCs w:val="18"/>
              </w:rPr>
            </w:pPr>
            <w:r>
              <w:rPr>
                <w:spacing w:val="3"/>
                <w:sz w:val="18"/>
                <w:szCs w:val="18"/>
              </w:rPr>
              <w:t>电阻</w:t>
            </w:r>
          </w:p>
        </w:tc>
        <w:tc>
          <w:tcPr>
            <w:tcW w:w="2334" w:type="dxa"/>
            <w:vAlign w:val="top"/>
          </w:tcPr>
          <w:p w14:paraId="271B6343">
            <w:pPr>
              <w:pStyle w:val="6"/>
              <w:spacing w:before="93" w:line="215" w:lineRule="auto"/>
              <w:ind w:left="12"/>
              <w:rPr>
                <w:sz w:val="18"/>
                <w:szCs w:val="18"/>
              </w:rPr>
            </w:pPr>
            <w:r>
              <w:rPr>
                <w:spacing w:val="-6"/>
                <w:sz w:val="18"/>
                <w:szCs w:val="18"/>
              </w:rPr>
              <w:t>1.</w:t>
            </w:r>
            <w:r>
              <w:rPr>
                <w:spacing w:val="-52"/>
                <w:sz w:val="18"/>
                <w:szCs w:val="18"/>
              </w:rPr>
              <w:t xml:space="preserve"> </w:t>
            </w:r>
            <w:r>
              <w:rPr>
                <w:spacing w:val="-6"/>
                <w:sz w:val="18"/>
                <w:szCs w:val="18"/>
              </w:rPr>
              <w:t>电阻</w:t>
            </w:r>
          </w:p>
          <w:p w14:paraId="3D4C62D6">
            <w:pPr>
              <w:pStyle w:val="6"/>
              <w:spacing w:line="220" w:lineRule="auto"/>
              <w:ind w:left="12"/>
              <w:rPr>
                <w:sz w:val="18"/>
                <w:szCs w:val="18"/>
              </w:rPr>
            </w:pPr>
            <w:r>
              <w:rPr>
                <w:spacing w:val="1"/>
                <w:sz w:val="18"/>
                <w:szCs w:val="18"/>
              </w:rPr>
              <w:t>2.电阻与温度的关系</w:t>
            </w:r>
          </w:p>
        </w:tc>
        <w:tc>
          <w:tcPr>
            <w:tcW w:w="229" w:type="dxa"/>
            <w:textDirection w:val="tbRlV"/>
            <w:vAlign w:val="top"/>
          </w:tcPr>
          <w:p w14:paraId="6F85EB5E">
            <w:pPr>
              <w:pStyle w:val="6"/>
              <w:spacing w:before="28" w:line="207" w:lineRule="auto"/>
              <w:ind w:left="9"/>
              <w:rPr>
                <w:sz w:val="18"/>
                <w:szCs w:val="18"/>
              </w:rPr>
            </w:pPr>
            <w:r>
              <w:rPr>
                <w:spacing w:val="28"/>
                <w:sz w:val="18"/>
                <w:szCs w:val="18"/>
              </w:rPr>
              <w:t>v 之</w:t>
            </w:r>
          </w:p>
        </w:tc>
        <w:tc>
          <w:tcPr>
            <w:tcW w:w="220" w:type="dxa"/>
            <w:vAlign w:val="top"/>
          </w:tcPr>
          <w:p w14:paraId="149F1700">
            <w:pPr>
              <w:rPr>
                <w:rFonts w:ascii="Arial"/>
                <w:sz w:val="21"/>
              </w:rPr>
            </w:pPr>
          </w:p>
        </w:tc>
        <w:tc>
          <w:tcPr>
            <w:tcW w:w="230" w:type="dxa"/>
            <w:vAlign w:val="top"/>
          </w:tcPr>
          <w:p w14:paraId="6DAAE189">
            <w:pPr>
              <w:rPr>
                <w:rFonts w:ascii="Arial"/>
                <w:sz w:val="21"/>
              </w:rPr>
            </w:pPr>
          </w:p>
        </w:tc>
        <w:tc>
          <w:tcPr>
            <w:tcW w:w="234" w:type="dxa"/>
            <w:vAlign w:val="top"/>
          </w:tcPr>
          <w:p w14:paraId="6A6E95AB">
            <w:pPr>
              <w:rPr>
                <w:rFonts w:ascii="Arial"/>
                <w:sz w:val="21"/>
              </w:rPr>
            </w:pPr>
          </w:p>
        </w:tc>
      </w:tr>
      <w:tr w14:paraId="530073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55" w:hRule="atLeast"/>
        </w:trPr>
        <w:tc>
          <w:tcPr>
            <w:tcW w:w="883" w:type="dxa"/>
            <w:vAlign w:val="top"/>
          </w:tcPr>
          <w:p w14:paraId="66FD4ED8">
            <w:pPr>
              <w:pStyle w:val="6"/>
              <w:spacing w:before="119" w:line="231" w:lineRule="auto"/>
              <w:ind w:left="254" w:right="87" w:hanging="179"/>
              <w:rPr>
                <w:sz w:val="18"/>
                <w:szCs w:val="18"/>
              </w:rPr>
            </w:pPr>
            <w:r>
              <w:rPr>
                <w:spacing w:val="-3"/>
                <w:sz w:val="18"/>
                <w:szCs w:val="18"/>
              </w:rPr>
              <w:t>部分电路</w:t>
            </w:r>
            <w:r>
              <w:rPr>
                <w:spacing w:val="1"/>
                <w:sz w:val="18"/>
                <w:szCs w:val="18"/>
              </w:rPr>
              <w:t xml:space="preserve"> </w:t>
            </w:r>
            <w:r>
              <w:rPr>
                <w:spacing w:val="3"/>
                <w:sz w:val="18"/>
                <w:szCs w:val="18"/>
              </w:rPr>
              <w:t>欧姆</w:t>
            </w:r>
          </w:p>
          <w:p w14:paraId="00D78E0A">
            <w:pPr>
              <w:pStyle w:val="6"/>
              <w:spacing w:line="219" w:lineRule="auto"/>
              <w:ind w:left="254"/>
              <w:rPr>
                <w:sz w:val="18"/>
                <w:szCs w:val="18"/>
              </w:rPr>
            </w:pPr>
            <w:r>
              <w:rPr>
                <w:spacing w:val="-3"/>
                <w:sz w:val="18"/>
                <w:szCs w:val="18"/>
              </w:rPr>
              <w:t>定律</w:t>
            </w:r>
          </w:p>
        </w:tc>
        <w:tc>
          <w:tcPr>
            <w:tcW w:w="2334" w:type="dxa"/>
            <w:vAlign w:val="top"/>
          </w:tcPr>
          <w:p w14:paraId="0BF1233E">
            <w:pPr>
              <w:pStyle w:val="6"/>
              <w:spacing w:before="260" w:line="215" w:lineRule="auto"/>
              <w:ind w:left="12"/>
              <w:rPr>
                <w:sz w:val="18"/>
                <w:szCs w:val="18"/>
              </w:rPr>
            </w:pPr>
            <w:r>
              <w:rPr>
                <w:spacing w:val="1"/>
                <w:sz w:val="18"/>
                <w:szCs w:val="18"/>
              </w:rPr>
              <w:t>1.欧姆定律</w:t>
            </w:r>
          </w:p>
          <w:p w14:paraId="742B69DF">
            <w:pPr>
              <w:pStyle w:val="6"/>
              <w:spacing w:line="218" w:lineRule="auto"/>
              <w:ind w:left="12"/>
              <w:rPr>
                <w:sz w:val="18"/>
                <w:szCs w:val="18"/>
              </w:rPr>
            </w:pPr>
            <w:r>
              <w:rPr>
                <w:spacing w:val="1"/>
                <w:sz w:val="18"/>
                <w:szCs w:val="18"/>
              </w:rPr>
              <w:t>2.伏安特性曲线</w:t>
            </w:r>
          </w:p>
        </w:tc>
        <w:tc>
          <w:tcPr>
            <w:tcW w:w="229" w:type="dxa"/>
            <w:vAlign w:val="top"/>
          </w:tcPr>
          <w:p w14:paraId="13373A01">
            <w:pPr>
              <w:rPr>
                <w:rFonts w:ascii="Arial"/>
                <w:sz w:val="21"/>
              </w:rPr>
            </w:pPr>
          </w:p>
        </w:tc>
        <w:tc>
          <w:tcPr>
            <w:tcW w:w="220" w:type="dxa"/>
            <w:vAlign w:val="top"/>
          </w:tcPr>
          <w:p w14:paraId="72B34797">
            <w:pPr>
              <w:spacing w:line="426" w:lineRule="auto"/>
              <w:rPr>
                <w:rFonts w:ascii="Arial"/>
                <w:sz w:val="21"/>
              </w:rPr>
            </w:pPr>
          </w:p>
          <w:p w14:paraId="535ED12F">
            <w:pPr>
              <w:pStyle w:val="6"/>
              <w:spacing w:before="42" w:line="238" w:lineRule="auto"/>
              <w:ind w:left="19"/>
              <w:rPr>
                <w:sz w:val="13"/>
                <w:szCs w:val="13"/>
              </w:rPr>
            </w:pPr>
            <w:r>
              <w:rPr>
                <w:sz w:val="13"/>
                <w:szCs w:val="13"/>
              </w:rPr>
              <w:t>√</w:t>
            </w:r>
          </w:p>
        </w:tc>
        <w:tc>
          <w:tcPr>
            <w:tcW w:w="230" w:type="dxa"/>
            <w:vAlign w:val="top"/>
          </w:tcPr>
          <w:p w14:paraId="51D17C59">
            <w:pPr>
              <w:rPr>
                <w:rFonts w:ascii="Arial"/>
                <w:sz w:val="21"/>
              </w:rPr>
            </w:pPr>
          </w:p>
        </w:tc>
        <w:tc>
          <w:tcPr>
            <w:tcW w:w="234" w:type="dxa"/>
            <w:vAlign w:val="top"/>
          </w:tcPr>
          <w:p w14:paraId="36735D92">
            <w:pPr>
              <w:spacing w:line="337" w:lineRule="auto"/>
              <w:rPr>
                <w:rFonts w:ascii="Arial"/>
                <w:sz w:val="21"/>
              </w:rPr>
            </w:pPr>
          </w:p>
          <w:p w14:paraId="4B9C0FA4">
            <w:pPr>
              <w:pStyle w:val="6"/>
              <w:spacing w:before="42" w:line="238" w:lineRule="auto"/>
              <w:ind w:left="19"/>
              <w:rPr>
                <w:sz w:val="13"/>
                <w:szCs w:val="13"/>
              </w:rPr>
            </w:pPr>
            <w:r>
              <w:rPr>
                <w:sz w:val="13"/>
                <w:szCs w:val="13"/>
              </w:rPr>
              <w:t>√</w:t>
            </w:r>
          </w:p>
        </w:tc>
      </w:tr>
      <w:tr w14:paraId="51907E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2" w:hRule="atLeast"/>
        </w:trPr>
        <w:tc>
          <w:tcPr>
            <w:tcW w:w="883" w:type="dxa"/>
            <w:vAlign w:val="top"/>
          </w:tcPr>
          <w:p w14:paraId="038E521A">
            <w:pPr>
              <w:pStyle w:val="6"/>
              <w:spacing w:before="105" w:line="219" w:lineRule="auto"/>
              <w:ind w:left="75"/>
              <w:rPr>
                <w:sz w:val="18"/>
                <w:szCs w:val="18"/>
              </w:rPr>
            </w:pPr>
            <w:r>
              <w:rPr>
                <w:spacing w:val="1"/>
                <w:sz w:val="18"/>
                <w:szCs w:val="18"/>
              </w:rPr>
              <w:t>电工元件</w:t>
            </w:r>
          </w:p>
        </w:tc>
        <w:tc>
          <w:tcPr>
            <w:tcW w:w="2334" w:type="dxa"/>
            <w:vAlign w:val="top"/>
          </w:tcPr>
          <w:p w14:paraId="2B37A0E8">
            <w:pPr>
              <w:pStyle w:val="6"/>
              <w:spacing w:before="106" w:line="221" w:lineRule="auto"/>
              <w:ind w:left="12"/>
              <w:rPr>
                <w:sz w:val="18"/>
                <w:szCs w:val="18"/>
              </w:rPr>
            </w:pPr>
            <w:r>
              <w:rPr>
                <w:spacing w:val="2"/>
                <w:sz w:val="18"/>
                <w:szCs w:val="18"/>
              </w:rPr>
              <w:t>电阻器</w:t>
            </w:r>
          </w:p>
        </w:tc>
        <w:tc>
          <w:tcPr>
            <w:tcW w:w="229" w:type="dxa"/>
            <w:vAlign w:val="top"/>
          </w:tcPr>
          <w:p w14:paraId="69D3F9B8">
            <w:pPr>
              <w:pStyle w:val="6"/>
              <w:spacing w:before="136" w:line="238" w:lineRule="auto"/>
              <w:ind w:left="48"/>
              <w:rPr>
                <w:sz w:val="13"/>
                <w:szCs w:val="13"/>
              </w:rPr>
            </w:pPr>
            <w:r>
              <w:rPr>
                <w:sz w:val="13"/>
                <w:szCs w:val="13"/>
              </w:rPr>
              <w:t>√</w:t>
            </w:r>
          </w:p>
        </w:tc>
        <w:tc>
          <w:tcPr>
            <w:tcW w:w="220" w:type="dxa"/>
            <w:vAlign w:val="top"/>
          </w:tcPr>
          <w:p w14:paraId="2C8D2EC5">
            <w:pPr>
              <w:rPr>
                <w:rFonts w:ascii="Arial"/>
                <w:sz w:val="21"/>
              </w:rPr>
            </w:pPr>
          </w:p>
        </w:tc>
        <w:tc>
          <w:tcPr>
            <w:tcW w:w="230" w:type="dxa"/>
            <w:vAlign w:val="top"/>
          </w:tcPr>
          <w:p w14:paraId="08AA5308">
            <w:pPr>
              <w:rPr>
                <w:rFonts w:ascii="Arial"/>
                <w:sz w:val="21"/>
              </w:rPr>
            </w:pPr>
          </w:p>
        </w:tc>
        <w:tc>
          <w:tcPr>
            <w:tcW w:w="234" w:type="dxa"/>
            <w:vAlign w:val="top"/>
          </w:tcPr>
          <w:p w14:paraId="48B96779">
            <w:pPr>
              <w:rPr>
                <w:rFonts w:ascii="Arial"/>
                <w:sz w:val="21"/>
              </w:rPr>
            </w:pPr>
          </w:p>
        </w:tc>
      </w:tr>
    </w:tbl>
    <w:p w14:paraId="487694DF">
      <w:pPr>
        <w:spacing w:before="139" w:line="219" w:lineRule="auto"/>
        <w:ind w:left="1087"/>
        <w:rPr>
          <w:rFonts w:ascii="宋体" w:hAnsi="宋体" w:eastAsia="宋体" w:cs="宋体"/>
          <w:sz w:val="19"/>
          <w:szCs w:val="19"/>
        </w:rPr>
      </w:pPr>
      <w:r>
        <w:rPr>
          <w:rFonts w:ascii="宋体" w:hAnsi="宋体" w:eastAsia="宋体" w:cs="宋体"/>
          <w:b/>
          <w:bCs/>
          <w:spacing w:val="-3"/>
          <w:sz w:val="19"/>
          <w:szCs w:val="19"/>
        </w:rPr>
        <w:t>第二章</w:t>
      </w:r>
      <w:r>
        <w:rPr>
          <w:rFonts w:ascii="宋体" w:hAnsi="宋体" w:eastAsia="宋体" w:cs="宋体"/>
          <w:spacing w:val="-3"/>
          <w:sz w:val="19"/>
          <w:szCs w:val="19"/>
        </w:rPr>
        <w:t xml:space="preserve">  </w:t>
      </w:r>
      <w:r>
        <w:rPr>
          <w:rFonts w:ascii="宋体" w:hAnsi="宋体" w:eastAsia="宋体" w:cs="宋体"/>
          <w:b/>
          <w:bCs/>
          <w:spacing w:val="-3"/>
          <w:sz w:val="19"/>
          <w:szCs w:val="19"/>
        </w:rPr>
        <w:t>简单直流电路</w:t>
      </w:r>
    </w:p>
    <w:p w14:paraId="2126327E">
      <w:pPr>
        <w:spacing w:line="15" w:lineRule="exact"/>
      </w:pPr>
    </w:p>
    <w:tbl>
      <w:tblPr>
        <w:tblStyle w:val="5"/>
        <w:tblW w:w="4110" w:type="dxa"/>
        <w:tblInd w:w="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73"/>
        <w:gridCol w:w="2334"/>
        <w:gridCol w:w="239"/>
        <w:gridCol w:w="220"/>
        <w:gridCol w:w="220"/>
        <w:gridCol w:w="224"/>
      </w:tblGrid>
      <w:tr w14:paraId="0A68EA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5" w:hRule="atLeast"/>
        </w:trPr>
        <w:tc>
          <w:tcPr>
            <w:tcW w:w="873" w:type="dxa"/>
            <w:vMerge w:val="restart"/>
            <w:tcBorders>
              <w:bottom w:val="nil"/>
            </w:tcBorders>
            <w:vAlign w:val="top"/>
          </w:tcPr>
          <w:p w14:paraId="533DE2C4">
            <w:pPr>
              <w:pStyle w:val="6"/>
              <w:spacing w:before="9" w:line="210" w:lineRule="auto"/>
              <w:ind w:left="256" w:right="5" w:hanging="239"/>
            </w:pPr>
            <w:r>
              <w:rPr>
                <w:b/>
                <w:bCs/>
                <w:spacing w:val="-4"/>
              </w:rPr>
              <w:t>知识与技能</w:t>
            </w:r>
            <w:r>
              <w:t xml:space="preserve"> </w:t>
            </w:r>
            <w:r>
              <w:rPr>
                <w:b/>
                <w:bCs/>
                <w:spacing w:val="-4"/>
              </w:rPr>
              <w:t>要点</w:t>
            </w:r>
          </w:p>
        </w:tc>
        <w:tc>
          <w:tcPr>
            <w:tcW w:w="2334" w:type="dxa"/>
            <w:vMerge w:val="restart"/>
            <w:tcBorders>
              <w:bottom w:val="nil"/>
            </w:tcBorders>
            <w:vAlign w:val="top"/>
          </w:tcPr>
          <w:p w14:paraId="6DA7B1D6">
            <w:pPr>
              <w:pStyle w:val="6"/>
              <w:spacing w:before="129" w:line="219" w:lineRule="auto"/>
              <w:ind w:left="854"/>
            </w:pPr>
            <w:r>
              <w:rPr>
                <w:b/>
                <w:bCs/>
                <w:spacing w:val="5"/>
              </w:rPr>
              <w:t>考试条目</w:t>
            </w:r>
          </w:p>
        </w:tc>
        <w:tc>
          <w:tcPr>
            <w:tcW w:w="903" w:type="dxa"/>
            <w:gridSpan w:val="4"/>
            <w:vAlign w:val="top"/>
          </w:tcPr>
          <w:p w14:paraId="41C4E629">
            <w:pPr>
              <w:pStyle w:val="6"/>
              <w:spacing w:before="28" w:line="202" w:lineRule="auto"/>
              <w:ind w:left="130"/>
            </w:pPr>
            <w:r>
              <w:rPr>
                <w:b/>
                <w:bCs/>
                <w:spacing w:val="-4"/>
              </w:rPr>
              <w:t>考试水平</w:t>
            </w:r>
          </w:p>
        </w:tc>
      </w:tr>
      <w:tr w14:paraId="16E9EA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99" w:hRule="atLeast"/>
        </w:trPr>
        <w:tc>
          <w:tcPr>
            <w:tcW w:w="873" w:type="dxa"/>
            <w:vMerge w:val="continue"/>
            <w:tcBorders>
              <w:top w:val="nil"/>
            </w:tcBorders>
            <w:vAlign w:val="top"/>
          </w:tcPr>
          <w:p w14:paraId="2380CD33">
            <w:pPr>
              <w:rPr>
                <w:rFonts w:ascii="Arial"/>
                <w:sz w:val="21"/>
              </w:rPr>
            </w:pPr>
          </w:p>
        </w:tc>
        <w:tc>
          <w:tcPr>
            <w:tcW w:w="2334" w:type="dxa"/>
            <w:vMerge w:val="continue"/>
            <w:tcBorders>
              <w:top w:val="nil"/>
            </w:tcBorders>
            <w:vAlign w:val="top"/>
          </w:tcPr>
          <w:p w14:paraId="4F7CE5C2">
            <w:pPr>
              <w:rPr>
                <w:rFonts w:ascii="Arial"/>
                <w:sz w:val="21"/>
              </w:rPr>
            </w:pPr>
          </w:p>
        </w:tc>
        <w:tc>
          <w:tcPr>
            <w:tcW w:w="239" w:type="dxa"/>
            <w:vAlign w:val="top"/>
          </w:tcPr>
          <w:p w14:paraId="6F9DD070">
            <w:pPr>
              <w:pStyle w:val="6"/>
              <w:spacing w:before="59" w:line="130" w:lineRule="exact"/>
              <w:ind w:right="3"/>
              <w:jc w:val="right"/>
            </w:pPr>
            <w:r>
              <w:rPr>
                <w:b/>
                <w:bCs/>
                <w:spacing w:val="-2"/>
                <w:position w:val="-2"/>
              </w:rPr>
              <w:t>A</w:t>
            </w:r>
          </w:p>
        </w:tc>
        <w:tc>
          <w:tcPr>
            <w:tcW w:w="220" w:type="dxa"/>
            <w:vAlign w:val="top"/>
          </w:tcPr>
          <w:p w14:paraId="475B0EC9">
            <w:pPr>
              <w:pStyle w:val="6"/>
              <w:spacing w:before="61" w:line="128" w:lineRule="exact"/>
              <w:ind w:left="61"/>
            </w:pPr>
            <w:r>
              <w:rPr>
                <w:b/>
                <w:bCs/>
                <w:spacing w:val="-2"/>
                <w:position w:val="-2"/>
              </w:rPr>
              <w:t>B</w:t>
            </w:r>
          </w:p>
        </w:tc>
        <w:tc>
          <w:tcPr>
            <w:tcW w:w="220" w:type="dxa"/>
            <w:vAlign w:val="top"/>
          </w:tcPr>
          <w:p w14:paraId="5279D00D">
            <w:pPr>
              <w:pStyle w:val="6"/>
              <w:spacing w:before="59" w:line="130" w:lineRule="exact"/>
              <w:jc w:val="right"/>
            </w:pPr>
            <w:r>
              <w:rPr>
                <w:b/>
                <w:bCs/>
                <w:spacing w:val="-9"/>
                <w:position w:val="-2"/>
              </w:rPr>
              <w:t>C</w:t>
            </w:r>
          </w:p>
        </w:tc>
        <w:tc>
          <w:tcPr>
            <w:tcW w:w="224" w:type="dxa"/>
            <w:vAlign w:val="top"/>
          </w:tcPr>
          <w:p w14:paraId="556A98F4">
            <w:pPr>
              <w:pStyle w:val="6"/>
              <w:spacing w:before="61" w:line="128" w:lineRule="exact"/>
              <w:ind w:left="61"/>
            </w:pPr>
            <w:r>
              <w:rPr>
                <w:b/>
                <w:bCs/>
                <w:spacing w:val="-2"/>
                <w:position w:val="-2"/>
              </w:rPr>
              <w:t>D</w:t>
            </w:r>
          </w:p>
        </w:tc>
      </w:tr>
      <w:tr w14:paraId="761F5A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68" w:hRule="atLeast"/>
        </w:trPr>
        <w:tc>
          <w:tcPr>
            <w:tcW w:w="873" w:type="dxa"/>
            <w:vAlign w:val="top"/>
          </w:tcPr>
          <w:p w14:paraId="4B9E96D1">
            <w:pPr>
              <w:pStyle w:val="6"/>
              <w:spacing w:before="278" w:line="232" w:lineRule="auto"/>
              <w:ind w:left="85" w:right="12"/>
              <w:jc w:val="both"/>
            </w:pPr>
            <w:r>
              <w:rPr>
                <w:spacing w:val="9"/>
              </w:rPr>
              <w:t>电动势</w:t>
            </w:r>
            <w:r>
              <w:rPr>
                <w:spacing w:val="-37"/>
              </w:rPr>
              <w:t xml:space="preserve"> </w:t>
            </w:r>
            <w:r>
              <w:rPr>
                <w:spacing w:val="9"/>
              </w:rPr>
              <w:t>、</w:t>
            </w:r>
            <w:r>
              <w:t xml:space="preserve"> </w:t>
            </w:r>
            <w:r>
              <w:rPr>
                <w:spacing w:val="1"/>
              </w:rPr>
              <w:t>闭合电路</w:t>
            </w:r>
            <w:r>
              <w:t xml:space="preserve">  </w:t>
            </w:r>
            <w:r>
              <w:rPr>
                <w:spacing w:val="-3"/>
              </w:rPr>
              <w:t>欧姆定律</w:t>
            </w:r>
          </w:p>
        </w:tc>
        <w:tc>
          <w:tcPr>
            <w:tcW w:w="2334" w:type="dxa"/>
            <w:vAlign w:val="top"/>
          </w:tcPr>
          <w:p w14:paraId="6D782EAD">
            <w:pPr>
              <w:pStyle w:val="6"/>
              <w:spacing w:before="168" w:line="219" w:lineRule="auto"/>
              <w:ind w:left="12"/>
            </w:pPr>
            <w:r>
              <w:rPr>
                <w:spacing w:val="-4"/>
              </w:rPr>
              <w:t>1.</w:t>
            </w:r>
            <w:r>
              <w:rPr>
                <w:spacing w:val="-50"/>
              </w:rPr>
              <w:t xml:space="preserve"> </w:t>
            </w:r>
            <w:r>
              <w:rPr>
                <w:spacing w:val="-4"/>
              </w:rPr>
              <w:t>电动势</w:t>
            </w:r>
          </w:p>
          <w:p w14:paraId="548E5DB1">
            <w:pPr>
              <w:pStyle w:val="6"/>
              <w:spacing w:before="38" w:line="233" w:lineRule="auto"/>
              <w:ind w:left="12" w:right="790"/>
            </w:pPr>
            <w:r>
              <w:rPr>
                <w:spacing w:val="-1"/>
              </w:rPr>
              <w:t>2.闭合电路欧姆定律</w:t>
            </w:r>
            <w:r>
              <w:t xml:space="preserve"> </w:t>
            </w:r>
            <w:r>
              <w:rPr>
                <w:spacing w:val="-2"/>
              </w:rPr>
              <w:t>3.路端电压</w:t>
            </w:r>
          </w:p>
          <w:p w14:paraId="771E6F65">
            <w:pPr>
              <w:pStyle w:val="6"/>
              <w:spacing w:line="219" w:lineRule="auto"/>
              <w:ind w:left="12"/>
            </w:pPr>
            <w:r>
              <w:rPr>
                <w:spacing w:val="-1"/>
              </w:rPr>
              <w:t>4.电源向负载输出的功率</w:t>
            </w:r>
          </w:p>
        </w:tc>
        <w:tc>
          <w:tcPr>
            <w:tcW w:w="239" w:type="dxa"/>
            <w:vAlign w:val="top"/>
          </w:tcPr>
          <w:p w14:paraId="61452965">
            <w:pPr>
              <w:rPr>
                <w:rFonts w:ascii="Arial"/>
                <w:sz w:val="21"/>
              </w:rPr>
            </w:pPr>
          </w:p>
        </w:tc>
        <w:tc>
          <w:tcPr>
            <w:tcW w:w="220" w:type="dxa"/>
            <w:vAlign w:val="top"/>
          </w:tcPr>
          <w:p w14:paraId="2C26F8BE">
            <w:pPr>
              <w:pStyle w:val="6"/>
              <w:spacing w:before="209" w:line="238" w:lineRule="auto"/>
              <w:ind w:left="38"/>
              <w:rPr>
                <w:sz w:val="13"/>
                <w:szCs w:val="13"/>
              </w:rPr>
            </w:pPr>
            <w:r>
              <w:rPr>
                <w:sz w:val="13"/>
                <w:szCs w:val="13"/>
              </w:rPr>
              <w:t>√</w:t>
            </w:r>
          </w:p>
        </w:tc>
        <w:tc>
          <w:tcPr>
            <w:tcW w:w="220" w:type="dxa"/>
            <w:vAlign w:val="top"/>
          </w:tcPr>
          <w:p w14:paraId="7B2F4780">
            <w:pPr>
              <w:spacing w:line="326" w:lineRule="auto"/>
              <w:rPr>
                <w:rFonts w:ascii="Arial"/>
                <w:sz w:val="21"/>
              </w:rPr>
            </w:pPr>
          </w:p>
          <w:p w14:paraId="5C18516F">
            <w:pPr>
              <w:spacing w:line="327" w:lineRule="auto"/>
              <w:rPr>
                <w:rFonts w:ascii="Arial"/>
                <w:sz w:val="21"/>
              </w:rPr>
            </w:pPr>
          </w:p>
          <w:p w14:paraId="3BCA48D4">
            <w:pPr>
              <w:spacing w:line="286" w:lineRule="exact"/>
              <w:ind w:firstLine="46"/>
            </w:pPr>
            <w:r>
              <w:rPr>
                <w:position w:val="-5"/>
              </w:rPr>
              <w:drawing>
                <wp:inline distT="0" distB="0" distL="0" distR="0">
                  <wp:extent cx="85725" cy="181610"/>
                  <wp:effectExtent l="0" t="0" r="0" b="0"/>
                  <wp:docPr id="140" name="IM 140"/>
                  <wp:cNvGraphicFramePr/>
                  <a:graphic xmlns:a="http://schemas.openxmlformats.org/drawingml/2006/main">
                    <a:graphicData uri="http://schemas.openxmlformats.org/drawingml/2006/picture">
                      <pic:pic xmlns:pic="http://schemas.openxmlformats.org/drawingml/2006/picture">
                        <pic:nvPicPr>
                          <pic:cNvPr id="140" name="IM 140"/>
                          <pic:cNvPicPr/>
                        </pic:nvPicPr>
                        <pic:blipFill>
                          <a:blip r:embed="rId235"/>
                          <a:stretch>
                            <a:fillRect/>
                          </a:stretch>
                        </pic:blipFill>
                        <pic:spPr>
                          <a:xfrm>
                            <a:off x="0" y="0"/>
                            <a:ext cx="85922" cy="181831"/>
                          </a:xfrm>
                          <a:prstGeom prst="rect">
                            <a:avLst/>
                          </a:prstGeom>
                        </pic:spPr>
                      </pic:pic>
                    </a:graphicData>
                  </a:graphic>
                </wp:inline>
              </w:drawing>
            </w:r>
          </w:p>
        </w:tc>
        <w:tc>
          <w:tcPr>
            <w:tcW w:w="224" w:type="dxa"/>
            <w:vAlign w:val="top"/>
          </w:tcPr>
          <w:p w14:paraId="2066E86E">
            <w:pPr>
              <w:spacing w:line="344" w:lineRule="auto"/>
              <w:rPr>
                <w:rFonts w:ascii="Arial"/>
                <w:sz w:val="21"/>
              </w:rPr>
            </w:pPr>
          </w:p>
          <w:p w14:paraId="19E88116">
            <w:pPr>
              <w:pStyle w:val="6"/>
              <w:spacing w:before="43" w:line="238" w:lineRule="auto"/>
              <w:ind w:left="39"/>
              <w:rPr>
                <w:sz w:val="13"/>
                <w:szCs w:val="13"/>
              </w:rPr>
            </w:pPr>
            <w:r>
              <w:rPr>
                <w:sz w:val="13"/>
                <w:szCs w:val="13"/>
              </w:rPr>
              <w:t>√</w:t>
            </w:r>
          </w:p>
        </w:tc>
      </w:tr>
      <w:tr w14:paraId="271833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9" w:hRule="atLeast"/>
        </w:trPr>
        <w:tc>
          <w:tcPr>
            <w:tcW w:w="873" w:type="dxa"/>
            <w:vAlign w:val="top"/>
          </w:tcPr>
          <w:p w14:paraId="4B72DDC5">
            <w:pPr>
              <w:pStyle w:val="6"/>
              <w:spacing w:before="195" w:line="225" w:lineRule="auto"/>
              <w:ind w:left="175"/>
            </w:pPr>
            <w:r>
              <w:rPr>
                <w:spacing w:val="1"/>
              </w:rPr>
              <w:t>电池组</w:t>
            </w:r>
          </w:p>
        </w:tc>
        <w:tc>
          <w:tcPr>
            <w:tcW w:w="2334" w:type="dxa"/>
            <w:vAlign w:val="top"/>
          </w:tcPr>
          <w:p w14:paraId="073A0005">
            <w:pPr>
              <w:pStyle w:val="6"/>
              <w:spacing w:before="100" w:line="229" w:lineRule="auto"/>
              <w:ind w:left="12" w:right="1285"/>
            </w:pPr>
            <w:r>
              <w:t>1.电池的串联</w:t>
            </w:r>
            <w:r>
              <w:rPr>
                <w:spacing w:val="5"/>
              </w:rPr>
              <w:t xml:space="preserve"> </w:t>
            </w:r>
            <w:r>
              <w:rPr>
                <w:spacing w:val="-1"/>
              </w:rPr>
              <w:t>2.电池的并联</w:t>
            </w:r>
          </w:p>
        </w:tc>
        <w:tc>
          <w:tcPr>
            <w:tcW w:w="239" w:type="dxa"/>
            <w:vAlign w:val="top"/>
          </w:tcPr>
          <w:p w14:paraId="31B3B2C4">
            <w:pPr>
              <w:rPr>
                <w:rFonts w:ascii="Arial"/>
                <w:sz w:val="21"/>
              </w:rPr>
            </w:pPr>
          </w:p>
        </w:tc>
        <w:tc>
          <w:tcPr>
            <w:tcW w:w="220" w:type="dxa"/>
            <w:vAlign w:val="top"/>
          </w:tcPr>
          <w:p w14:paraId="6AD901D9">
            <w:pPr>
              <w:rPr>
                <w:rFonts w:ascii="Arial"/>
                <w:sz w:val="21"/>
              </w:rPr>
            </w:pPr>
          </w:p>
        </w:tc>
        <w:tc>
          <w:tcPr>
            <w:tcW w:w="220" w:type="dxa"/>
            <w:vAlign w:val="top"/>
          </w:tcPr>
          <w:p w14:paraId="596C05AF">
            <w:pPr>
              <w:rPr>
                <w:rFonts w:ascii="Arial"/>
                <w:sz w:val="21"/>
              </w:rPr>
            </w:pPr>
          </w:p>
        </w:tc>
        <w:tc>
          <w:tcPr>
            <w:tcW w:w="224" w:type="dxa"/>
            <w:vAlign w:val="top"/>
          </w:tcPr>
          <w:p w14:paraId="355C6BBE">
            <w:pPr>
              <w:rPr>
                <w:rFonts w:ascii="Arial"/>
                <w:sz w:val="21"/>
              </w:rPr>
            </w:pPr>
          </w:p>
        </w:tc>
      </w:tr>
      <w:tr w14:paraId="5DC154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49" w:hRule="atLeast"/>
        </w:trPr>
        <w:tc>
          <w:tcPr>
            <w:tcW w:w="873" w:type="dxa"/>
            <w:vAlign w:val="top"/>
          </w:tcPr>
          <w:p w14:paraId="6E9EC1A3">
            <w:pPr>
              <w:pStyle w:val="6"/>
              <w:spacing w:before="162" w:line="218" w:lineRule="auto"/>
              <w:ind w:left="254" w:right="164" w:hanging="79"/>
            </w:pPr>
            <w:r>
              <w:rPr>
                <w:spacing w:val="4"/>
              </w:rPr>
              <w:t>电阻的</w:t>
            </w:r>
            <w:r>
              <w:t xml:space="preserve"> </w:t>
            </w:r>
            <w:r>
              <w:rPr>
                <w:spacing w:val="3"/>
              </w:rPr>
              <w:t>串联</w:t>
            </w:r>
          </w:p>
        </w:tc>
        <w:tc>
          <w:tcPr>
            <w:tcW w:w="2334" w:type="dxa"/>
            <w:vAlign w:val="top"/>
          </w:tcPr>
          <w:p w14:paraId="0AC95368">
            <w:pPr>
              <w:pStyle w:val="6"/>
              <w:spacing w:before="150" w:line="223" w:lineRule="auto"/>
              <w:ind w:left="12" w:right="1115"/>
            </w:pPr>
            <w:r>
              <w:t>1.电阻串联电路</w:t>
            </w:r>
            <w:r>
              <w:rPr>
                <w:spacing w:val="5"/>
              </w:rPr>
              <w:t xml:space="preserve"> </w:t>
            </w:r>
            <w:r>
              <w:rPr>
                <w:spacing w:val="-2"/>
              </w:rPr>
              <w:t>2.伏特表</w:t>
            </w:r>
          </w:p>
        </w:tc>
        <w:tc>
          <w:tcPr>
            <w:tcW w:w="239" w:type="dxa"/>
            <w:vAlign w:val="top"/>
          </w:tcPr>
          <w:p w14:paraId="6B36C06E">
            <w:pPr>
              <w:rPr>
                <w:rFonts w:ascii="Arial"/>
                <w:sz w:val="21"/>
              </w:rPr>
            </w:pPr>
          </w:p>
        </w:tc>
        <w:tc>
          <w:tcPr>
            <w:tcW w:w="220" w:type="dxa"/>
            <w:vAlign w:val="top"/>
          </w:tcPr>
          <w:p w14:paraId="07E69802">
            <w:pPr>
              <w:rPr>
                <w:rFonts w:ascii="Arial"/>
                <w:sz w:val="21"/>
              </w:rPr>
            </w:pPr>
          </w:p>
        </w:tc>
        <w:tc>
          <w:tcPr>
            <w:tcW w:w="220" w:type="dxa"/>
            <w:vAlign w:val="top"/>
          </w:tcPr>
          <w:p w14:paraId="024D22E1">
            <w:pPr>
              <w:rPr>
                <w:rFonts w:ascii="Arial"/>
                <w:sz w:val="21"/>
              </w:rPr>
            </w:pPr>
          </w:p>
        </w:tc>
        <w:tc>
          <w:tcPr>
            <w:tcW w:w="224" w:type="dxa"/>
            <w:vAlign w:val="top"/>
          </w:tcPr>
          <w:p w14:paraId="3CAE2690">
            <w:pPr>
              <w:rPr>
                <w:rFonts w:ascii="Arial"/>
                <w:sz w:val="21"/>
              </w:rPr>
            </w:pPr>
          </w:p>
        </w:tc>
      </w:tr>
      <w:tr w14:paraId="335A96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9" w:hRule="atLeast"/>
        </w:trPr>
        <w:tc>
          <w:tcPr>
            <w:tcW w:w="873" w:type="dxa"/>
            <w:vAlign w:val="top"/>
          </w:tcPr>
          <w:p w14:paraId="7B34EF2D">
            <w:pPr>
              <w:pStyle w:val="6"/>
              <w:spacing w:before="133" w:line="212" w:lineRule="auto"/>
              <w:ind w:left="254" w:right="164" w:hanging="79"/>
            </w:pPr>
            <w:r>
              <w:rPr>
                <w:spacing w:val="4"/>
              </w:rPr>
              <w:t>电阻的</w:t>
            </w:r>
            <w:r>
              <w:t xml:space="preserve"> </w:t>
            </w:r>
            <w:r>
              <w:rPr>
                <w:spacing w:val="-3"/>
              </w:rPr>
              <w:t>并联</w:t>
            </w:r>
          </w:p>
        </w:tc>
        <w:tc>
          <w:tcPr>
            <w:tcW w:w="2334" w:type="dxa"/>
            <w:vAlign w:val="top"/>
          </w:tcPr>
          <w:p w14:paraId="4D9CFC91">
            <w:pPr>
              <w:pStyle w:val="6"/>
              <w:spacing w:before="132" w:line="214" w:lineRule="auto"/>
              <w:ind w:left="12" w:right="1115"/>
            </w:pPr>
            <w:r>
              <w:t>1.电阻并联电路</w:t>
            </w:r>
            <w:r>
              <w:rPr>
                <w:spacing w:val="5"/>
              </w:rPr>
              <w:t xml:space="preserve"> </w:t>
            </w:r>
            <w:r>
              <w:rPr>
                <w:spacing w:val="-2"/>
              </w:rPr>
              <w:t>2.安培表</w:t>
            </w:r>
          </w:p>
        </w:tc>
        <w:tc>
          <w:tcPr>
            <w:tcW w:w="239" w:type="dxa"/>
            <w:vAlign w:val="top"/>
          </w:tcPr>
          <w:p w14:paraId="67C40CF4">
            <w:pPr>
              <w:rPr>
                <w:rFonts w:ascii="Arial"/>
                <w:sz w:val="21"/>
              </w:rPr>
            </w:pPr>
          </w:p>
        </w:tc>
        <w:tc>
          <w:tcPr>
            <w:tcW w:w="220" w:type="dxa"/>
            <w:vAlign w:val="top"/>
          </w:tcPr>
          <w:p w14:paraId="640921C0">
            <w:pPr>
              <w:rPr>
                <w:rFonts w:ascii="Arial"/>
                <w:sz w:val="21"/>
              </w:rPr>
            </w:pPr>
          </w:p>
        </w:tc>
        <w:tc>
          <w:tcPr>
            <w:tcW w:w="220" w:type="dxa"/>
            <w:vAlign w:val="top"/>
          </w:tcPr>
          <w:p w14:paraId="2E8C3E59">
            <w:pPr>
              <w:rPr>
                <w:rFonts w:ascii="Arial"/>
                <w:sz w:val="21"/>
              </w:rPr>
            </w:pPr>
          </w:p>
        </w:tc>
        <w:tc>
          <w:tcPr>
            <w:tcW w:w="224" w:type="dxa"/>
            <w:vAlign w:val="top"/>
          </w:tcPr>
          <w:p w14:paraId="3DE4E9C3">
            <w:pPr>
              <w:pStyle w:val="6"/>
              <w:spacing w:before="243" w:line="238" w:lineRule="auto"/>
              <w:ind w:left="39"/>
              <w:rPr>
                <w:sz w:val="13"/>
                <w:szCs w:val="13"/>
              </w:rPr>
            </w:pPr>
            <w:r>
              <w:rPr>
                <w:sz w:val="13"/>
                <w:szCs w:val="13"/>
              </w:rPr>
              <w:t>√</w:t>
            </w:r>
          </w:p>
        </w:tc>
      </w:tr>
      <w:tr w14:paraId="1FDD15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57" w:hRule="atLeast"/>
        </w:trPr>
        <w:tc>
          <w:tcPr>
            <w:tcW w:w="873" w:type="dxa"/>
            <w:vAlign w:val="top"/>
          </w:tcPr>
          <w:p w14:paraId="6687360E">
            <w:pPr>
              <w:spacing w:line="242" w:lineRule="auto"/>
              <w:rPr>
                <w:rFonts w:ascii="Arial"/>
                <w:sz w:val="21"/>
              </w:rPr>
            </w:pPr>
          </w:p>
          <w:p w14:paraId="096DE530">
            <w:pPr>
              <w:spacing w:line="243" w:lineRule="auto"/>
              <w:rPr>
                <w:rFonts w:ascii="Arial"/>
                <w:sz w:val="21"/>
              </w:rPr>
            </w:pPr>
          </w:p>
          <w:p w14:paraId="2C244D5C">
            <w:pPr>
              <w:pStyle w:val="6"/>
              <w:spacing w:before="55" w:line="220" w:lineRule="auto"/>
              <w:ind w:left="85"/>
            </w:pPr>
            <w:r>
              <w:rPr>
                <w:spacing w:val="-3"/>
              </w:rPr>
              <w:t>万用电表</w:t>
            </w:r>
          </w:p>
          <w:p w14:paraId="0084B404">
            <w:pPr>
              <w:pStyle w:val="6"/>
              <w:spacing w:before="5" w:line="219" w:lineRule="auto"/>
              <w:ind w:left="175"/>
            </w:pPr>
            <w:r>
              <w:rPr>
                <w:spacing w:val="2"/>
              </w:rPr>
              <w:t>的基本</w:t>
            </w:r>
          </w:p>
          <w:p w14:paraId="54972A4B">
            <w:pPr>
              <w:pStyle w:val="6"/>
              <w:spacing w:before="42" w:line="224" w:lineRule="auto"/>
              <w:ind w:left="254"/>
            </w:pPr>
            <w:r>
              <w:rPr>
                <w:spacing w:val="-3"/>
              </w:rPr>
              <w:t>原理</w:t>
            </w:r>
          </w:p>
        </w:tc>
        <w:tc>
          <w:tcPr>
            <w:tcW w:w="2334" w:type="dxa"/>
            <w:vAlign w:val="top"/>
          </w:tcPr>
          <w:p w14:paraId="56B76587">
            <w:pPr>
              <w:pStyle w:val="6"/>
              <w:spacing w:before="223" w:line="219" w:lineRule="auto"/>
              <w:ind w:left="12"/>
            </w:pPr>
            <w:r>
              <w:rPr>
                <w:spacing w:val="2"/>
              </w:rPr>
              <w:t>1.表头</w:t>
            </w:r>
          </w:p>
          <w:p w14:paraId="572836B4">
            <w:pPr>
              <w:pStyle w:val="6"/>
              <w:spacing w:before="17" w:line="229" w:lineRule="auto"/>
              <w:ind w:left="12" w:right="1297"/>
            </w:pPr>
            <w:r>
              <w:rPr>
                <w:spacing w:val="-2"/>
              </w:rPr>
              <w:t>2.直流电压表</w:t>
            </w:r>
            <w:r>
              <w:rPr>
                <w:spacing w:val="4"/>
              </w:rPr>
              <w:t xml:space="preserve"> </w:t>
            </w:r>
            <w:r>
              <w:rPr>
                <w:spacing w:val="-2"/>
              </w:rPr>
              <w:t>3.交流电压表</w:t>
            </w:r>
            <w:r>
              <w:rPr>
                <w:spacing w:val="2"/>
              </w:rPr>
              <w:t xml:space="preserve"> </w:t>
            </w:r>
            <w:r>
              <w:rPr>
                <w:spacing w:val="-1"/>
              </w:rPr>
              <w:t>4.直流电流表</w:t>
            </w:r>
            <w:r>
              <w:t xml:space="preserve"> </w:t>
            </w:r>
            <w:r>
              <w:rPr>
                <w:spacing w:val="-2"/>
              </w:rPr>
              <w:t>5.欧姆表</w:t>
            </w:r>
          </w:p>
          <w:p w14:paraId="3DFD4ECC">
            <w:pPr>
              <w:pStyle w:val="6"/>
              <w:spacing w:before="26" w:line="219" w:lineRule="auto"/>
              <w:ind w:left="12"/>
            </w:pPr>
            <w:r>
              <w:rPr>
                <w:spacing w:val="-1"/>
              </w:rPr>
              <w:t>6.使用万用表注意事项</w:t>
            </w:r>
          </w:p>
        </w:tc>
        <w:tc>
          <w:tcPr>
            <w:tcW w:w="239" w:type="dxa"/>
            <w:vAlign w:val="top"/>
          </w:tcPr>
          <w:p w14:paraId="1A49202D">
            <w:pPr>
              <w:pStyle w:val="6"/>
              <w:spacing w:before="154" w:line="238" w:lineRule="auto"/>
              <w:ind w:left="17"/>
              <w:rPr>
                <w:sz w:val="13"/>
                <w:szCs w:val="13"/>
              </w:rPr>
            </w:pPr>
            <w:r>
              <w:rPr>
                <w:sz w:val="13"/>
                <w:szCs w:val="13"/>
              </w:rPr>
              <w:t>√</w:t>
            </w:r>
          </w:p>
        </w:tc>
        <w:tc>
          <w:tcPr>
            <w:tcW w:w="220" w:type="dxa"/>
            <w:vAlign w:val="top"/>
          </w:tcPr>
          <w:p w14:paraId="07CAE3A4">
            <w:pPr>
              <w:rPr>
                <w:rFonts w:ascii="Arial"/>
                <w:sz w:val="21"/>
              </w:rPr>
            </w:pPr>
          </w:p>
        </w:tc>
        <w:tc>
          <w:tcPr>
            <w:tcW w:w="220" w:type="dxa"/>
            <w:vAlign w:val="top"/>
          </w:tcPr>
          <w:p w14:paraId="107EEF3A">
            <w:pPr>
              <w:rPr>
                <w:rFonts w:ascii="Arial"/>
                <w:sz w:val="21"/>
              </w:rPr>
            </w:pPr>
          </w:p>
        </w:tc>
        <w:tc>
          <w:tcPr>
            <w:tcW w:w="224" w:type="dxa"/>
            <w:vAlign w:val="top"/>
          </w:tcPr>
          <w:p w14:paraId="67A4B9F3">
            <w:pPr>
              <w:rPr>
                <w:rFonts w:ascii="Arial"/>
                <w:sz w:val="21"/>
              </w:rPr>
            </w:pPr>
          </w:p>
        </w:tc>
      </w:tr>
      <w:tr w14:paraId="773611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9" w:hRule="atLeast"/>
        </w:trPr>
        <w:tc>
          <w:tcPr>
            <w:tcW w:w="873" w:type="dxa"/>
            <w:vAlign w:val="top"/>
          </w:tcPr>
          <w:p w14:paraId="06D62763">
            <w:pPr>
              <w:pStyle w:val="6"/>
              <w:spacing w:before="58" w:line="196" w:lineRule="auto"/>
              <w:ind w:left="254" w:right="164" w:hanging="79"/>
            </w:pPr>
            <w:r>
              <w:rPr>
                <w:spacing w:val="4"/>
              </w:rPr>
              <w:t>电阻的</w:t>
            </w:r>
            <w:r>
              <w:t xml:space="preserve"> </w:t>
            </w:r>
            <w:r>
              <w:rPr>
                <w:spacing w:val="-2"/>
              </w:rPr>
              <w:t>测量</w:t>
            </w:r>
          </w:p>
        </w:tc>
        <w:tc>
          <w:tcPr>
            <w:tcW w:w="2334" w:type="dxa"/>
            <w:vAlign w:val="top"/>
          </w:tcPr>
          <w:p w14:paraId="3D0A1588">
            <w:pPr>
              <w:pStyle w:val="6"/>
              <w:spacing w:before="54" w:line="208" w:lineRule="auto"/>
              <w:ind w:left="12"/>
            </w:pPr>
            <w:r>
              <w:rPr>
                <w:spacing w:val="1"/>
              </w:rPr>
              <w:t>1.伏安法</w:t>
            </w:r>
          </w:p>
          <w:p w14:paraId="76E89553">
            <w:pPr>
              <w:pStyle w:val="6"/>
              <w:spacing w:line="187" w:lineRule="auto"/>
              <w:ind w:left="12"/>
            </w:pPr>
            <w:r>
              <w:rPr>
                <w:spacing w:val="-1"/>
              </w:rPr>
              <w:t>2.惠斯通电桥</w:t>
            </w:r>
          </w:p>
        </w:tc>
        <w:tc>
          <w:tcPr>
            <w:tcW w:w="239" w:type="dxa"/>
            <w:vAlign w:val="top"/>
          </w:tcPr>
          <w:p w14:paraId="2B022187">
            <w:pPr>
              <w:rPr>
                <w:rFonts w:ascii="Arial"/>
                <w:sz w:val="21"/>
              </w:rPr>
            </w:pPr>
          </w:p>
        </w:tc>
        <w:tc>
          <w:tcPr>
            <w:tcW w:w="220" w:type="dxa"/>
            <w:vAlign w:val="top"/>
          </w:tcPr>
          <w:p w14:paraId="2FBE8634">
            <w:pPr>
              <w:pStyle w:val="6"/>
              <w:spacing w:before="247" w:line="238" w:lineRule="auto"/>
              <w:ind w:left="38"/>
              <w:rPr>
                <w:sz w:val="13"/>
                <w:szCs w:val="13"/>
              </w:rPr>
            </w:pPr>
            <w:r>
              <w:rPr>
                <w:sz w:val="13"/>
                <w:szCs w:val="13"/>
              </w:rPr>
              <w:t>√</w:t>
            </w:r>
          </w:p>
        </w:tc>
        <w:tc>
          <w:tcPr>
            <w:tcW w:w="220" w:type="dxa"/>
            <w:vAlign w:val="top"/>
          </w:tcPr>
          <w:p w14:paraId="336C48DC">
            <w:pPr>
              <w:rPr>
                <w:rFonts w:ascii="Arial"/>
                <w:sz w:val="21"/>
              </w:rPr>
            </w:pPr>
          </w:p>
        </w:tc>
        <w:tc>
          <w:tcPr>
            <w:tcW w:w="224" w:type="dxa"/>
            <w:vAlign w:val="top"/>
          </w:tcPr>
          <w:p w14:paraId="6E264AA1">
            <w:pPr>
              <w:pStyle w:val="6"/>
              <w:spacing w:before="167" w:line="238" w:lineRule="auto"/>
              <w:ind w:left="39"/>
              <w:rPr>
                <w:sz w:val="13"/>
                <w:szCs w:val="13"/>
              </w:rPr>
            </w:pPr>
            <w:r>
              <w:rPr>
                <w:sz w:val="13"/>
                <w:szCs w:val="13"/>
              </w:rPr>
              <w:t>√</w:t>
            </w:r>
          </w:p>
        </w:tc>
      </w:tr>
      <w:tr w14:paraId="5B75BC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34" w:hRule="atLeast"/>
        </w:trPr>
        <w:tc>
          <w:tcPr>
            <w:tcW w:w="873" w:type="dxa"/>
            <w:vAlign w:val="top"/>
          </w:tcPr>
          <w:p w14:paraId="3E48B2F6">
            <w:pPr>
              <w:pStyle w:val="6"/>
              <w:spacing w:before="67" w:line="219" w:lineRule="auto"/>
              <w:ind w:left="85"/>
            </w:pPr>
            <w:r>
              <w:rPr>
                <w:spacing w:val="1"/>
              </w:rPr>
              <w:t>电路中各</w:t>
            </w:r>
          </w:p>
          <w:p w14:paraId="14268CC1">
            <w:pPr>
              <w:pStyle w:val="6"/>
              <w:spacing w:before="29" w:line="221" w:lineRule="auto"/>
              <w:ind w:left="85"/>
            </w:pPr>
            <w:r>
              <w:rPr>
                <w:spacing w:val="3"/>
              </w:rPr>
              <w:t>点电位的</w:t>
            </w:r>
          </w:p>
          <w:p w14:paraId="47CBB91C">
            <w:pPr>
              <w:pStyle w:val="6"/>
              <w:spacing w:before="5" w:line="219" w:lineRule="auto"/>
              <w:ind w:left="254"/>
            </w:pPr>
            <w:r>
              <w:rPr>
                <w:spacing w:val="-2"/>
              </w:rPr>
              <w:t>计算</w:t>
            </w:r>
          </w:p>
        </w:tc>
        <w:tc>
          <w:tcPr>
            <w:tcW w:w="2334" w:type="dxa"/>
            <w:vAlign w:val="top"/>
          </w:tcPr>
          <w:p w14:paraId="7EE1FAE7">
            <w:pPr>
              <w:pStyle w:val="6"/>
              <w:spacing w:before="207" w:line="205" w:lineRule="auto"/>
              <w:ind w:left="12"/>
            </w:pPr>
            <w:r>
              <w:rPr>
                <w:spacing w:val="-5"/>
              </w:rPr>
              <w:t>1.</w:t>
            </w:r>
            <w:r>
              <w:rPr>
                <w:spacing w:val="-50"/>
              </w:rPr>
              <w:t xml:space="preserve"> </w:t>
            </w:r>
            <w:r>
              <w:rPr>
                <w:spacing w:val="-5"/>
              </w:rPr>
              <w:t>电位</w:t>
            </w:r>
          </w:p>
          <w:p w14:paraId="2246EBE0">
            <w:pPr>
              <w:pStyle w:val="6"/>
              <w:spacing w:line="219" w:lineRule="auto"/>
              <w:ind w:left="12"/>
            </w:pPr>
            <w:r>
              <w:rPr>
                <w:spacing w:val="-1"/>
              </w:rPr>
              <w:t>2.电位计算</w:t>
            </w:r>
          </w:p>
        </w:tc>
        <w:tc>
          <w:tcPr>
            <w:tcW w:w="239" w:type="dxa"/>
            <w:vAlign w:val="top"/>
          </w:tcPr>
          <w:p w14:paraId="3DECD124">
            <w:pPr>
              <w:rPr>
                <w:rFonts w:ascii="Arial"/>
                <w:sz w:val="21"/>
              </w:rPr>
            </w:pPr>
          </w:p>
        </w:tc>
        <w:tc>
          <w:tcPr>
            <w:tcW w:w="220" w:type="dxa"/>
            <w:vAlign w:val="top"/>
          </w:tcPr>
          <w:p w14:paraId="1C64BDFC">
            <w:pPr>
              <w:rPr>
                <w:rFonts w:ascii="Arial"/>
                <w:sz w:val="21"/>
              </w:rPr>
            </w:pPr>
          </w:p>
        </w:tc>
        <w:tc>
          <w:tcPr>
            <w:tcW w:w="220" w:type="dxa"/>
            <w:vAlign w:val="top"/>
          </w:tcPr>
          <w:p w14:paraId="00212D75">
            <w:pPr>
              <w:pStyle w:val="6"/>
              <w:spacing w:before="158" w:line="238" w:lineRule="auto"/>
              <w:jc w:val="right"/>
              <w:rPr>
                <w:sz w:val="13"/>
                <w:szCs w:val="13"/>
              </w:rPr>
            </w:pPr>
            <w:r>
              <w:rPr>
                <w:spacing w:val="-38"/>
                <w:sz w:val="13"/>
                <w:szCs w:val="13"/>
              </w:rPr>
              <w:t>√</w:t>
            </w:r>
          </w:p>
        </w:tc>
        <w:tc>
          <w:tcPr>
            <w:tcW w:w="224" w:type="dxa"/>
            <w:vAlign w:val="top"/>
          </w:tcPr>
          <w:p w14:paraId="02FFF5FB">
            <w:pPr>
              <w:spacing w:line="314" w:lineRule="auto"/>
              <w:rPr>
                <w:rFonts w:ascii="Arial"/>
                <w:sz w:val="21"/>
              </w:rPr>
            </w:pPr>
          </w:p>
          <w:p w14:paraId="229F88F2">
            <w:pPr>
              <w:pStyle w:val="6"/>
              <w:spacing w:before="42" w:line="238" w:lineRule="auto"/>
              <w:ind w:left="39"/>
              <w:rPr>
                <w:sz w:val="13"/>
                <w:szCs w:val="13"/>
              </w:rPr>
            </w:pPr>
            <w:r>
              <w:rPr>
                <w:sz w:val="13"/>
                <w:szCs w:val="13"/>
              </w:rPr>
              <w:t>√</w:t>
            </w:r>
          </w:p>
        </w:tc>
      </w:tr>
    </w:tbl>
    <w:p w14:paraId="3B453BD7">
      <w:pPr>
        <w:spacing w:before="138" w:line="219" w:lineRule="auto"/>
        <w:ind w:left="1077"/>
        <w:rPr>
          <w:rFonts w:ascii="宋体" w:hAnsi="宋体" w:eastAsia="宋体" w:cs="宋体"/>
          <w:sz w:val="17"/>
          <w:szCs w:val="17"/>
        </w:rPr>
      </w:pPr>
      <w:r>
        <w:rPr>
          <w:rFonts w:ascii="宋体" w:hAnsi="宋体" w:eastAsia="宋体" w:cs="宋体"/>
          <w:b/>
          <w:bCs/>
          <w:spacing w:val="24"/>
          <w:sz w:val="17"/>
          <w:szCs w:val="17"/>
        </w:rPr>
        <w:t>第三章</w:t>
      </w:r>
      <w:r>
        <w:rPr>
          <w:rFonts w:ascii="宋体" w:hAnsi="宋体" w:eastAsia="宋体" w:cs="宋体"/>
          <w:spacing w:val="24"/>
          <w:sz w:val="17"/>
          <w:szCs w:val="17"/>
        </w:rPr>
        <w:t xml:space="preserve">  </w:t>
      </w:r>
      <w:r>
        <w:rPr>
          <w:rFonts w:ascii="宋体" w:hAnsi="宋体" w:eastAsia="宋体" w:cs="宋体"/>
          <w:b/>
          <w:bCs/>
          <w:spacing w:val="24"/>
          <w:sz w:val="17"/>
          <w:szCs w:val="17"/>
        </w:rPr>
        <w:t>复杂直流电路</w:t>
      </w:r>
    </w:p>
    <w:p w14:paraId="7B37806C">
      <w:pPr>
        <w:spacing w:line="89" w:lineRule="exact"/>
      </w:pPr>
    </w:p>
    <w:tbl>
      <w:tblPr>
        <w:tblStyle w:val="5"/>
        <w:tblW w:w="414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03"/>
        <w:gridCol w:w="2324"/>
        <w:gridCol w:w="219"/>
        <w:gridCol w:w="230"/>
        <w:gridCol w:w="230"/>
        <w:gridCol w:w="234"/>
      </w:tblGrid>
      <w:tr w14:paraId="5C3C7F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4" w:hRule="atLeast"/>
        </w:trPr>
        <w:tc>
          <w:tcPr>
            <w:tcW w:w="903" w:type="dxa"/>
            <w:vMerge w:val="restart"/>
            <w:tcBorders>
              <w:bottom w:val="nil"/>
            </w:tcBorders>
            <w:vAlign w:val="top"/>
          </w:tcPr>
          <w:p w14:paraId="214FD3D8">
            <w:pPr>
              <w:pStyle w:val="6"/>
              <w:spacing w:before="100" w:line="215" w:lineRule="auto"/>
              <w:ind w:left="276" w:right="35" w:hanging="259"/>
            </w:pPr>
            <w:r>
              <w:rPr>
                <w:b/>
                <w:bCs/>
                <w:spacing w:val="-4"/>
              </w:rPr>
              <w:t>知识与技能</w:t>
            </w:r>
            <w:r>
              <w:t xml:space="preserve"> </w:t>
            </w:r>
            <w:r>
              <w:rPr>
                <w:b/>
                <w:bCs/>
                <w:spacing w:val="-4"/>
              </w:rPr>
              <w:t>要点</w:t>
            </w:r>
          </w:p>
        </w:tc>
        <w:tc>
          <w:tcPr>
            <w:tcW w:w="2324" w:type="dxa"/>
            <w:vMerge w:val="restart"/>
            <w:tcBorders>
              <w:bottom w:val="nil"/>
            </w:tcBorders>
            <w:vAlign w:val="top"/>
          </w:tcPr>
          <w:p w14:paraId="59D63D84">
            <w:pPr>
              <w:pStyle w:val="6"/>
              <w:spacing w:before="209" w:line="219" w:lineRule="auto"/>
              <w:ind w:left="844"/>
            </w:pPr>
            <w:r>
              <w:rPr>
                <w:b/>
                <w:bCs/>
                <w:spacing w:val="5"/>
              </w:rPr>
              <w:t>考试条目</w:t>
            </w:r>
          </w:p>
        </w:tc>
        <w:tc>
          <w:tcPr>
            <w:tcW w:w="913" w:type="dxa"/>
            <w:gridSpan w:val="4"/>
            <w:vAlign w:val="top"/>
          </w:tcPr>
          <w:p w14:paraId="21718B46">
            <w:pPr>
              <w:pStyle w:val="6"/>
              <w:spacing w:before="99" w:line="219" w:lineRule="auto"/>
              <w:ind w:left="140"/>
            </w:pPr>
            <w:r>
              <w:rPr>
                <w:b/>
                <w:bCs/>
                <w:spacing w:val="-4"/>
              </w:rPr>
              <w:t>考试水平</w:t>
            </w:r>
          </w:p>
        </w:tc>
      </w:tr>
      <w:tr w14:paraId="2F516D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9" w:hRule="atLeast"/>
        </w:trPr>
        <w:tc>
          <w:tcPr>
            <w:tcW w:w="903" w:type="dxa"/>
            <w:vMerge w:val="continue"/>
            <w:tcBorders>
              <w:top w:val="nil"/>
            </w:tcBorders>
            <w:vAlign w:val="top"/>
          </w:tcPr>
          <w:p w14:paraId="387CACBC">
            <w:pPr>
              <w:rPr>
                <w:rFonts w:ascii="Arial"/>
                <w:sz w:val="21"/>
              </w:rPr>
            </w:pPr>
          </w:p>
        </w:tc>
        <w:tc>
          <w:tcPr>
            <w:tcW w:w="2324" w:type="dxa"/>
            <w:vMerge w:val="continue"/>
            <w:tcBorders>
              <w:top w:val="nil"/>
            </w:tcBorders>
            <w:vAlign w:val="top"/>
          </w:tcPr>
          <w:p w14:paraId="5744CF47">
            <w:pPr>
              <w:rPr>
                <w:rFonts w:ascii="Arial"/>
                <w:sz w:val="21"/>
              </w:rPr>
            </w:pPr>
          </w:p>
        </w:tc>
        <w:tc>
          <w:tcPr>
            <w:tcW w:w="219" w:type="dxa"/>
            <w:vAlign w:val="top"/>
          </w:tcPr>
          <w:p w14:paraId="6E9CD761">
            <w:pPr>
              <w:pStyle w:val="6"/>
              <w:spacing w:before="60" w:line="138" w:lineRule="exact"/>
              <w:ind w:left="28"/>
            </w:pPr>
            <w:r>
              <w:rPr>
                <w:position w:val="-2"/>
              </w:rPr>
              <w:t>A</w:t>
            </w:r>
          </w:p>
        </w:tc>
        <w:tc>
          <w:tcPr>
            <w:tcW w:w="230" w:type="dxa"/>
            <w:vAlign w:val="top"/>
          </w:tcPr>
          <w:p w14:paraId="45502FAF">
            <w:pPr>
              <w:pStyle w:val="6"/>
              <w:spacing w:before="62" w:line="136" w:lineRule="exact"/>
              <w:ind w:left="71"/>
            </w:pPr>
            <w:r>
              <w:rPr>
                <w:b/>
                <w:bCs/>
                <w:spacing w:val="-2"/>
                <w:position w:val="-2"/>
              </w:rPr>
              <w:t>B</w:t>
            </w:r>
          </w:p>
        </w:tc>
        <w:tc>
          <w:tcPr>
            <w:tcW w:w="230" w:type="dxa"/>
            <w:vAlign w:val="top"/>
          </w:tcPr>
          <w:p w14:paraId="17AF9DF6">
            <w:pPr>
              <w:pStyle w:val="6"/>
              <w:spacing w:before="60" w:line="138" w:lineRule="exact"/>
              <w:ind w:right="3"/>
              <w:jc w:val="right"/>
            </w:pPr>
            <w:r>
              <w:rPr>
                <w:b/>
                <w:bCs/>
                <w:spacing w:val="-2"/>
                <w:position w:val="-2"/>
              </w:rPr>
              <w:t>C</w:t>
            </w:r>
          </w:p>
        </w:tc>
        <w:tc>
          <w:tcPr>
            <w:tcW w:w="234" w:type="dxa"/>
            <w:vAlign w:val="top"/>
          </w:tcPr>
          <w:p w14:paraId="4F79094B">
            <w:pPr>
              <w:pStyle w:val="6"/>
              <w:spacing w:before="62" w:line="136" w:lineRule="exact"/>
              <w:ind w:right="7"/>
              <w:jc w:val="right"/>
            </w:pPr>
            <w:r>
              <w:rPr>
                <w:b/>
                <w:bCs/>
                <w:spacing w:val="-2"/>
                <w:position w:val="-2"/>
              </w:rPr>
              <w:t>D</w:t>
            </w:r>
          </w:p>
        </w:tc>
      </w:tr>
      <w:tr w14:paraId="2A60A2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88" w:hRule="atLeast"/>
        </w:trPr>
        <w:tc>
          <w:tcPr>
            <w:tcW w:w="903" w:type="dxa"/>
            <w:vAlign w:val="top"/>
          </w:tcPr>
          <w:p w14:paraId="037C4BF7">
            <w:pPr>
              <w:pStyle w:val="6"/>
              <w:spacing w:before="198" w:line="247" w:lineRule="auto"/>
              <w:ind w:left="275" w:right="114" w:hanging="170"/>
            </w:pPr>
            <w:r>
              <w:rPr>
                <w:spacing w:val="-2"/>
              </w:rPr>
              <w:t>基尔霍夫</w:t>
            </w:r>
            <w:r>
              <w:t xml:space="preserve"> </w:t>
            </w:r>
            <w:r>
              <w:rPr>
                <w:spacing w:val="-3"/>
              </w:rPr>
              <w:t>定律</w:t>
            </w:r>
          </w:p>
        </w:tc>
        <w:tc>
          <w:tcPr>
            <w:tcW w:w="2324" w:type="dxa"/>
            <w:vAlign w:val="top"/>
          </w:tcPr>
          <w:p w14:paraId="3DCF8557">
            <w:pPr>
              <w:pStyle w:val="6"/>
              <w:spacing w:before="109" w:line="219" w:lineRule="auto"/>
              <w:ind w:left="12"/>
            </w:pPr>
            <w:r>
              <w:t>1.支路节点和回路</w:t>
            </w:r>
          </w:p>
          <w:p w14:paraId="6BFA6744">
            <w:pPr>
              <w:pStyle w:val="6"/>
              <w:spacing w:before="8" w:line="236" w:lineRule="auto"/>
              <w:ind w:left="12" w:right="780"/>
            </w:pPr>
            <w:r>
              <w:rPr>
                <w:spacing w:val="-1"/>
              </w:rPr>
              <w:t>2.基尔霍夫电流定律</w:t>
            </w:r>
            <w:r>
              <w:t xml:space="preserve"> </w:t>
            </w:r>
            <w:r>
              <w:rPr>
                <w:spacing w:val="-2"/>
              </w:rPr>
              <w:t>3.基尔霍夫电压定律</w:t>
            </w:r>
          </w:p>
        </w:tc>
        <w:tc>
          <w:tcPr>
            <w:tcW w:w="219" w:type="dxa"/>
            <w:vAlign w:val="top"/>
          </w:tcPr>
          <w:p w14:paraId="580FE2BE">
            <w:pPr>
              <w:rPr>
                <w:rFonts w:ascii="Arial"/>
                <w:sz w:val="21"/>
              </w:rPr>
            </w:pPr>
          </w:p>
        </w:tc>
        <w:tc>
          <w:tcPr>
            <w:tcW w:w="230" w:type="dxa"/>
            <w:vAlign w:val="top"/>
          </w:tcPr>
          <w:p w14:paraId="6997B35E">
            <w:pPr>
              <w:pStyle w:val="6"/>
              <w:spacing w:before="98" w:line="238" w:lineRule="auto"/>
              <w:ind w:left="48"/>
              <w:rPr>
                <w:sz w:val="12"/>
                <w:szCs w:val="12"/>
              </w:rPr>
            </w:pPr>
            <w:r>
              <w:rPr>
                <w:sz w:val="12"/>
                <w:szCs w:val="12"/>
              </w:rPr>
              <w:t>√</w:t>
            </w:r>
          </w:p>
        </w:tc>
        <w:tc>
          <w:tcPr>
            <w:tcW w:w="230" w:type="dxa"/>
            <w:vAlign w:val="top"/>
          </w:tcPr>
          <w:p w14:paraId="24ED2663">
            <w:pPr>
              <w:rPr>
                <w:rFonts w:ascii="Arial"/>
                <w:sz w:val="21"/>
              </w:rPr>
            </w:pPr>
          </w:p>
        </w:tc>
        <w:tc>
          <w:tcPr>
            <w:tcW w:w="234" w:type="dxa"/>
            <w:vAlign w:val="top"/>
          </w:tcPr>
          <w:p w14:paraId="72549742">
            <w:pPr>
              <w:rPr>
                <w:rFonts w:ascii="Arial"/>
                <w:sz w:val="21"/>
              </w:rPr>
            </w:pPr>
          </w:p>
        </w:tc>
      </w:tr>
      <w:tr w14:paraId="696ED7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58" w:hRule="atLeast"/>
        </w:trPr>
        <w:tc>
          <w:tcPr>
            <w:tcW w:w="903" w:type="dxa"/>
            <w:vAlign w:val="top"/>
          </w:tcPr>
          <w:p w14:paraId="251F703C">
            <w:pPr>
              <w:pStyle w:val="6"/>
              <w:spacing w:before="21" w:line="220" w:lineRule="auto"/>
              <w:ind w:left="105"/>
            </w:pPr>
            <w:r>
              <w:rPr>
                <w:spacing w:val="-2"/>
              </w:rPr>
              <w:t>基尔霍夫</w:t>
            </w:r>
          </w:p>
          <w:p w14:paraId="31232732">
            <w:pPr>
              <w:pStyle w:val="6"/>
              <w:spacing w:before="56" w:line="219" w:lineRule="auto"/>
              <w:ind w:left="185"/>
            </w:pPr>
            <w:r>
              <w:rPr>
                <w:spacing w:val="4"/>
              </w:rPr>
              <w:t>定律的</w:t>
            </w:r>
          </w:p>
          <w:p w14:paraId="54A62BCD">
            <w:pPr>
              <w:pStyle w:val="6"/>
              <w:spacing w:line="180" w:lineRule="auto"/>
              <w:ind w:left="275"/>
            </w:pPr>
            <w:r>
              <w:rPr>
                <w:spacing w:val="10"/>
              </w:rPr>
              <w:t>应用</w:t>
            </w:r>
          </w:p>
        </w:tc>
        <w:tc>
          <w:tcPr>
            <w:tcW w:w="2324" w:type="dxa"/>
            <w:vAlign w:val="top"/>
          </w:tcPr>
          <w:p w14:paraId="238053A0">
            <w:pPr>
              <w:pStyle w:val="6"/>
              <w:spacing w:before="251" w:line="219" w:lineRule="auto"/>
              <w:ind w:left="12"/>
            </w:pPr>
            <w:r>
              <w:rPr>
                <w:spacing w:val="-2"/>
              </w:rPr>
              <w:t>支路电流法</w:t>
            </w:r>
          </w:p>
        </w:tc>
        <w:tc>
          <w:tcPr>
            <w:tcW w:w="219" w:type="dxa"/>
            <w:vAlign w:val="top"/>
          </w:tcPr>
          <w:p w14:paraId="4D4ED29D">
            <w:pPr>
              <w:rPr>
                <w:rFonts w:ascii="Arial"/>
                <w:sz w:val="21"/>
              </w:rPr>
            </w:pPr>
          </w:p>
        </w:tc>
        <w:tc>
          <w:tcPr>
            <w:tcW w:w="230" w:type="dxa"/>
            <w:vAlign w:val="top"/>
          </w:tcPr>
          <w:p w14:paraId="67172C48">
            <w:pPr>
              <w:rPr>
                <w:rFonts w:ascii="Arial"/>
                <w:sz w:val="21"/>
              </w:rPr>
            </w:pPr>
          </w:p>
        </w:tc>
        <w:tc>
          <w:tcPr>
            <w:tcW w:w="230" w:type="dxa"/>
            <w:vAlign w:val="top"/>
          </w:tcPr>
          <w:p w14:paraId="0A72C688">
            <w:pPr>
              <w:rPr>
                <w:rFonts w:ascii="Arial"/>
                <w:sz w:val="21"/>
              </w:rPr>
            </w:pPr>
          </w:p>
        </w:tc>
        <w:tc>
          <w:tcPr>
            <w:tcW w:w="234" w:type="dxa"/>
            <w:vAlign w:val="top"/>
          </w:tcPr>
          <w:p w14:paraId="36371A8D">
            <w:pPr>
              <w:rPr>
                <w:rFonts w:ascii="Arial"/>
                <w:sz w:val="21"/>
              </w:rPr>
            </w:pPr>
          </w:p>
          <w:p w14:paraId="13F0A7A1">
            <w:pPr>
              <w:pStyle w:val="6"/>
              <w:spacing w:before="39" w:line="238" w:lineRule="auto"/>
              <w:ind w:left="19"/>
              <w:rPr>
                <w:sz w:val="12"/>
                <w:szCs w:val="12"/>
              </w:rPr>
            </w:pPr>
            <w:r>
              <w:rPr>
                <w:sz w:val="12"/>
                <w:szCs w:val="12"/>
              </w:rPr>
              <w:t>√</w:t>
            </w:r>
          </w:p>
        </w:tc>
      </w:tr>
      <w:tr w14:paraId="4C15BF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9" w:hRule="atLeast"/>
        </w:trPr>
        <w:tc>
          <w:tcPr>
            <w:tcW w:w="903" w:type="dxa"/>
            <w:vAlign w:val="top"/>
          </w:tcPr>
          <w:p w14:paraId="207EC839">
            <w:pPr>
              <w:pStyle w:val="6"/>
              <w:spacing w:before="45" w:line="208" w:lineRule="auto"/>
              <w:ind w:left="275" w:right="264"/>
            </w:pPr>
            <w:r>
              <w:rPr>
                <w:spacing w:val="6"/>
              </w:rPr>
              <w:t>叠加</w:t>
            </w:r>
            <w:r>
              <w:t xml:space="preserve"> </w:t>
            </w:r>
            <w:r>
              <w:rPr>
                <w:spacing w:val="-3"/>
              </w:rPr>
              <w:t>原理</w:t>
            </w:r>
          </w:p>
        </w:tc>
        <w:tc>
          <w:tcPr>
            <w:tcW w:w="2324" w:type="dxa"/>
            <w:vAlign w:val="top"/>
          </w:tcPr>
          <w:p w14:paraId="4ADCF324">
            <w:pPr>
              <w:pStyle w:val="6"/>
              <w:spacing w:before="146" w:line="223" w:lineRule="auto"/>
              <w:ind w:left="12"/>
            </w:pPr>
            <w:r>
              <w:rPr>
                <w:spacing w:val="-2"/>
              </w:rPr>
              <w:t>叠加原理</w:t>
            </w:r>
          </w:p>
        </w:tc>
        <w:tc>
          <w:tcPr>
            <w:tcW w:w="219" w:type="dxa"/>
            <w:vAlign w:val="top"/>
          </w:tcPr>
          <w:p w14:paraId="1F5DA202">
            <w:pPr>
              <w:rPr>
                <w:rFonts w:ascii="Arial"/>
                <w:sz w:val="21"/>
              </w:rPr>
            </w:pPr>
          </w:p>
        </w:tc>
        <w:tc>
          <w:tcPr>
            <w:tcW w:w="230" w:type="dxa"/>
            <w:vAlign w:val="top"/>
          </w:tcPr>
          <w:p w14:paraId="7C3DC815">
            <w:pPr>
              <w:rPr>
                <w:rFonts w:ascii="Arial"/>
                <w:sz w:val="21"/>
              </w:rPr>
            </w:pPr>
          </w:p>
        </w:tc>
        <w:tc>
          <w:tcPr>
            <w:tcW w:w="230" w:type="dxa"/>
            <w:vAlign w:val="top"/>
          </w:tcPr>
          <w:p w14:paraId="16AF41C3">
            <w:pPr>
              <w:rPr>
                <w:rFonts w:ascii="Arial"/>
                <w:sz w:val="21"/>
              </w:rPr>
            </w:pPr>
          </w:p>
        </w:tc>
        <w:tc>
          <w:tcPr>
            <w:tcW w:w="234" w:type="dxa"/>
            <w:vAlign w:val="top"/>
          </w:tcPr>
          <w:p w14:paraId="6BA4D34C">
            <w:pPr>
              <w:rPr>
                <w:rFonts w:ascii="Arial"/>
                <w:sz w:val="21"/>
              </w:rPr>
            </w:pPr>
          </w:p>
        </w:tc>
      </w:tr>
      <w:tr w14:paraId="73C5A4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8" w:hRule="atLeast"/>
        </w:trPr>
        <w:tc>
          <w:tcPr>
            <w:tcW w:w="903" w:type="dxa"/>
            <w:vAlign w:val="top"/>
          </w:tcPr>
          <w:p w14:paraId="768F37B8">
            <w:pPr>
              <w:pStyle w:val="6"/>
              <w:spacing w:before="64" w:line="220" w:lineRule="auto"/>
              <w:ind w:left="185"/>
            </w:pPr>
            <w:r>
              <w:rPr>
                <w:spacing w:val="-3"/>
              </w:rPr>
              <w:t>戴维南</w:t>
            </w:r>
          </w:p>
          <w:p w14:paraId="534F6128">
            <w:pPr>
              <w:pStyle w:val="6"/>
              <w:spacing w:before="17" w:line="220" w:lineRule="auto"/>
              <w:ind w:left="275"/>
            </w:pPr>
            <w:r>
              <w:rPr>
                <w:spacing w:val="-3"/>
              </w:rPr>
              <w:t>定理</w:t>
            </w:r>
          </w:p>
        </w:tc>
        <w:tc>
          <w:tcPr>
            <w:tcW w:w="2324" w:type="dxa"/>
            <w:vAlign w:val="top"/>
          </w:tcPr>
          <w:p w14:paraId="199364B7">
            <w:pPr>
              <w:pStyle w:val="6"/>
              <w:spacing w:before="74" w:line="219" w:lineRule="auto"/>
              <w:ind w:left="12"/>
            </w:pPr>
            <w:r>
              <w:rPr>
                <w:spacing w:val="1"/>
              </w:rPr>
              <w:t>1.二端网路</w:t>
            </w:r>
          </w:p>
          <w:p w14:paraId="79AFB541">
            <w:pPr>
              <w:pStyle w:val="6"/>
              <w:spacing w:before="8" w:line="220" w:lineRule="auto"/>
              <w:ind w:left="12"/>
            </w:pPr>
            <w:r>
              <w:rPr>
                <w:spacing w:val="-1"/>
              </w:rPr>
              <w:t>2.戴维南定理</w:t>
            </w:r>
          </w:p>
        </w:tc>
        <w:tc>
          <w:tcPr>
            <w:tcW w:w="219" w:type="dxa"/>
            <w:vAlign w:val="top"/>
          </w:tcPr>
          <w:p w14:paraId="2A5C503E">
            <w:pPr>
              <w:rPr>
                <w:rFonts w:ascii="Arial"/>
                <w:sz w:val="21"/>
              </w:rPr>
            </w:pPr>
          </w:p>
        </w:tc>
        <w:tc>
          <w:tcPr>
            <w:tcW w:w="230" w:type="dxa"/>
            <w:vAlign w:val="top"/>
          </w:tcPr>
          <w:p w14:paraId="0D347213">
            <w:pPr>
              <w:rPr>
                <w:rFonts w:ascii="Arial"/>
                <w:sz w:val="21"/>
              </w:rPr>
            </w:pPr>
          </w:p>
        </w:tc>
        <w:tc>
          <w:tcPr>
            <w:tcW w:w="230" w:type="dxa"/>
            <w:textDirection w:val="tbRlV"/>
            <w:vAlign w:val="top"/>
          </w:tcPr>
          <w:p w14:paraId="25177233">
            <w:pPr>
              <w:pStyle w:val="6"/>
              <w:spacing w:before="39" w:line="197" w:lineRule="auto"/>
              <w:ind w:left="154"/>
            </w:pPr>
            <w:r>
              <w:t>八</w:t>
            </w:r>
          </w:p>
        </w:tc>
        <w:tc>
          <w:tcPr>
            <w:tcW w:w="234" w:type="dxa"/>
            <w:vAlign w:val="top"/>
          </w:tcPr>
          <w:p w14:paraId="4885B563">
            <w:pPr>
              <w:rPr>
                <w:rFonts w:ascii="Arial"/>
                <w:sz w:val="21"/>
              </w:rPr>
            </w:pPr>
          </w:p>
        </w:tc>
      </w:tr>
      <w:tr w14:paraId="44551E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3" w:hRule="atLeast"/>
        </w:trPr>
        <w:tc>
          <w:tcPr>
            <w:tcW w:w="903" w:type="dxa"/>
            <w:vAlign w:val="top"/>
          </w:tcPr>
          <w:p w14:paraId="4815A082">
            <w:pPr>
              <w:pStyle w:val="6"/>
              <w:spacing w:before="76" w:line="218" w:lineRule="auto"/>
              <w:ind w:left="275" w:right="115" w:hanging="170"/>
            </w:pPr>
            <w:r>
              <w:rPr>
                <w:spacing w:val="-2"/>
              </w:rPr>
              <w:t>两种电源</w:t>
            </w:r>
            <w:r>
              <w:t xml:space="preserve"> </w:t>
            </w:r>
            <w:r>
              <w:rPr>
                <w:spacing w:val="-2"/>
              </w:rPr>
              <w:t>模型</w:t>
            </w:r>
          </w:p>
        </w:tc>
        <w:tc>
          <w:tcPr>
            <w:tcW w:w="2324" w:type="dxa"/>
            <w:vAlign w:val="top"/>
          </w:tcPr>
          <w:p w14:paraId="236B133D">
            <w:pPr>
              <w:pStyle w:val="6"/>
              <w:spacing w:before="77" w:line="220" w:lineRule="auto"/>
              <w:ind w:left="12" w:right="1784"/>
            </w:pPr>
            <w:r>
              <w:rPr>
                <w:spacing w:val="2"/>
              </w:rPr>
              <w:t>电压源</w:t>
            </w:r>
            <w:r>
              <w:t xml:space="preserve"> </w:t>
            </w:r>
            <w:r>
              <w:rPr>
                <w:spacing w:val="2"/>
              </w:rPr>
              <w:t>电流源</w:t>
            </w:r>
          </w:p>
        </w:tc>
        <w:tc>
          <w:tcPr>
            <w:tcW w:w="219" w:type="dxa"/>
            <w:vAlign w:val="top"/>
          </w:tcPr>
          <w:p w14:paraId="65C78CC9">
            <w:pPr>
              <w:rPr>
                <w:rFonts w:ascii="Arial"/>
                <w:sz w:val="21"/>
              </w:rPr>
            </w:pPr>
          </w:p>
        </w:tc>
        <w:tc>
          <w:tcPr>
            <w:tcW w:w="230" w:type="dxa"/>
            <w:vAlign w:val="top"/>
          </w:tcPr>
          <w:p w14:paraId="2F32782B">
            <w:pPr>
              <w:rPr>
                <w:rFonts w:ascii="Arial"/>
                <w:sz w:val="21"/>
              </w:rPr>
            </w:pPr>
          </w:p>
        </w:tc>
        <w:tc>
          <w:tcPr>
            <w:tcW w:w="230" w:type="dxa"/>
            <w:vAlign w:val="top"/>
          </w:tcPr>
          <w:p w14:paraId="171BE2BF">
            <w:pPr>
              <w:rPr>
                <w:rFonts w:ascii="Arial"/>
                <w:sz w:val="21"/>
              </w:rPr>
            </w:pPr>
          </w:p>
        </w:tc>
        <w:tc>
          <w:tcPr>
            <w:tcW w:w="234" w:type="dxa"/>
            <w:vAlign w:val="top"/>
          </w:tcPr>
          <w:p w14:paraId="6BD0B124">
            <w:pPr>
              <w:rPr>
                <w:rFonts w:ascii="Arial"/>
                <w:sz w:val="21"/>
              </w:rPr>
            </w:pPr>
          </w:p>
        </w:tc>
      </w:tr>
    </w:tbl>
    <w:p w14:paraId="66912B4E">
      <w:pPr>
        <w:pStyle w:val="2"/>
        <w:spacing w:line="20" w:lineRule="exact"/>
        <w:rPr>
          <w:sz w:val="2"/>
        </w:rPr>
      </w:pPr>
    </w:p>
    <w:p w14:paraId="51719081">
      <w:pPr>
        <w:spacing w:line="20" w:lineRule="exact"/>
        <w:rPr>
          <w:sz w:val="2"/>
          <w:szCs w:val="2"/>
        </w:rPr>
        <w:sectPr>
          <w:type w:val="continuous"/>
          <w:pgSz w:w="10660" w:h="15080"/>
          <w:pgMar w:top="400" w:right="885" w:bottom="925" w:left="1010" w:header="0" w:footer="705" w:gutter="0"/>
          <w:cols w:equalWidth="0" w:num="2">
            <w:col w:w="4505" w:space="100"/>
            <w:col w:w="4160"/>
          </w:cols>
        </w:sectPr>
      </w:pPr>
    </w:p>
    <w:p w14:paraId="52B99AB1">
      <w:pPr>
        <w:spacing w:before="80"/>
      </w:pPr>
    </w:p>
    <w:p w14:paraId="278D231F">
      <w:pPr>
        <w:spacing w:before="80"/>
      </w:pPr>
    </w:p>
    <w:p w14:paraId="3EEB2980">
      <w:pPr>
        <w:spacing w:before="79"/>
      </w:pPr>
    </w:p>
    <w:p w14:paraId="040262BC">
      <w:pPr>
        <w:sectPr>
          <w:footerReference r:id="rId34" w:type="default"/>
          <w:pgSz w:w="10660" w:h="15080"/>
          <w:pgMar w:top="400" w:right="1034" w:bottom="925" w:left="819" w:header="0" w:footer="704" w:gutter="0"/>
          <w:cols w:equalWidth="0" w:num="1">
            <w:col w:w="8806"/>
          </w:cols>
        </w:sectPr>
      </w:pPr>
    </w:p>
    <w:p w14:paraId="435940EA">
      <w:pPr>
        <w:spacing w:before="40" w:line="222" w:lineRule="auto"/>
        <w:ind w:left="1552"/>
        <w:rPr>
          <w:rFonts w:ascii="黑体" w:hAnsi="黑体" w:eastAsia="黑体" w:cs="黑体"/>
          <w:sz w:val="20"/>
          <w:szCs w:val="20"/>
        </w:rPr>
      </w:pPr>
      <w:r>
        <w:rPr>
          <w:rFonts w:ascii="黑体" w:hAnsi="黑体" w:eastAsia="黑体" w:cs="黑体"/>
          <w:b/>
          <w:bCs/>
          <w:spacing w:val="-10"/>
          <w:sz w:val="20"/>
          <w:szCs w:val="20"/>
        </w:rPr>
        <w:t>第四章</w:t>
      </w:r>
      <w:r>
        <w:rPr>
          <w:rFonts w:ascii="黑体" w:hAnsi="黑体" w:eastAsia="黑体" w:cs="黑体"/>
          <w:spacing w:val="14"/>
          <w:sz w:val="20"/>
          <w:szCs w:val="20"/>
        </w:rPr>
        <w:t xml:space="preserve">  </w:t>
      </w:r>
      <w:r>
        <w:rPr>
          <w:rFonts w:ascii="黑体" w:hAnsi="黑体" w:eastAsia="黑体" w:cs="黑体"/>
          <w:b/>
          <w:bCs/>
          <w:spacing w:val="-10"/>
          <w:sz w:val="20"/>
          <w:szCs w:val="20"/>
        </w:rPr>
        <w:t>电容</w:t>
      </w:r>
    </w:p>
    <w:p w14:paraId="58652596">
      <w:pPr>
        <w:spacing w:line="80" w:lineRule="exact"/>
      </w:pPr>
    </w:p>
    <w:tbl>
      <w:tblPr>
        <w:tblStyle w:val="5"/>
        <w:tblW w:w="4130"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34"/>
        <w:gridCol w:w="220"/>
        <w:gridCol w:w="220"/>
        <w:gridCol w:w="229"/>
        <w:gridCol w:w="234"/>
      </w:tblGrid>
      <w:tr w14:paraId="3C0846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4" w:hRule="atLeast"/>
        </w:trPr>
        <w:tc>
          <w:tcPr>
            <w:tcW w:w="893" w:type="dxa"/>
            <w:vMerge w:val="restart"/>
            <w:tcBorders>
              <w:bottom w:val="nil"/>
            </w:tcBorders>
            <w:vAlign w:val="top"/>
          </w:tcPr>
          <w:p w14:paraId="72FBF9F8">
            <w:pPr>
              <w:pStyle w:val="6"/>
              <w:spacing w:before="31" w:line="218" w:lineRule="auto"/>
              <w:ind w:left="267" w:right="25" w:hanging="250"/>
            </w:pPr>
            <w:r>
              <w:rPr>
                <w:b/>
                <w:bCs/>
                <w:spacing w:val="-4"/>
              </w:rPr>
              <w:t>知识与技能</w:t>
            </w:r>
            <w:r>
              <w:t xml:space="preserve"> </w:t>
            </w:r>
            <w:r>
              <w:rPr>
                <w:b/>
                <w:bCs/>
                <w:spacing w:val="-4"/>
              </w:rPr>
              <w:t>要点</w:t>
            </w:r>
          </w:p>
        </w:tc>
        <w:tc>
          <w:tcPr>
            <w:tcW w:w="2334" w:type="dxa"/>
            <w:vMerge w:val="restart"/>
            <w:tcBorders>
              <w:bottom w:val="nil"/>
            </w:tcBorders>
            <w:vAlign w:val="top"/>
          </w:tcPr>
          <w:p w14:paraId="11AA55B1">
            <w:pPr>
              <w:pStyle w:val="6"/>
              <w:spacing w:before="139" w:line="219" w:lineRule="auto"/>
              <w:ind w:left="844"/>
            </w:pPr>
            <w:r>
              <w:rPr>
                <w:b/>
                <w:bCs/>
                <w:spacing w:val="5"/>
              </w:rPr>
              <w:t>考试条目</w:t>
            </w:r>
          </w:p>
        </w:tc>
        <w:tc>
          <w:tcPr>
            <w:tcW w:w="903" w:type="dxa"/>
            <w:gridSpan w:val="4"/>
            <w:vAlign w:val="top"/>
          </w:tcPr>
          <w:p w14:paraId="1C0D3E44">
            <w:pPr>
              <w:pStyle w:val="6"/>
              <w:spacing w:before="28" w:line="201" w:lineRule="auto"/>
              <w:ind w:left="120"/>
            </w:pPr>
            <w:r>
              <w:rPr>
                <w:b/>
                <w:bCs/>
                <w:spacing w:val="-4"/>
              </w:rPr>
              <w:t>考试水平</w:t>
            </w:r>
          </w:p>
        </w:tc>
      </w:tr>
      <w:tr w14:paraId="4C087D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9" w:hRule="atLeast"/>
        </w:trPr>
        <w:tc>
          <w:tcPr>
            <w:tcW w:w="893" w:type="dxa"/>
            <w:vMerge w:val="continue"/>
            <w:tcBorders>
              <w:top w:val="nil"/>
            </w:tcBorders>
            <w:vAlign w:val="top"/>
          </w:tcPr>
          <w:p w14:paraId="6722775C">
            <w:pPr>
              <w:rPr>
                <w:rFonts w:ascii="Arial"/>
                <w:sz w:val="21"/>
              </w:rPr>
            </w:pPr>
          </w:p>
        </w:tc>
        <w:tc>
          <w:tcPr>
            <w:tcW w:w="2334" w:type="dxa"/>
            <w:vMerge w:val="continue"/>
            <w:tcBorders>
              <w:top w:val="nil"/>
            </w:tcBorders>
            <w:vAlign w:val="top"/>
          </w:tcPr>
          <w:p w14:paraId="57DCA645">
            <w:pPr>
              <w:rPr>
                <w:rFonts w:ascii="Arial"/>
                <w:sz w:val="21"/>
              </w:rPr>
            </w:pPr>
          </w:p>
        </w:tc>
        <w:tc>
          <w:tcPr>
            <w:tcW w:w="220" w:type="dxa"/>
            <w:vAlign w:val="top"/>
          </w:tcPr>
          <w:p w14:paraId="1DE6BEDF">
            <w:pPr>
              <w:pStyle w:val="6"/>
              <w:spacing w:before="60" w:line="139" w:lineRule="exact"/>
              <w:ind w:left="20"/>
            </w:pPr>
            <w:r>
              <w:rPr>
                <w:b/>
                <w:bCs/>
                <w:spacing w:val="-2"/>
                <w:position w:val="-2"/>
              </w:rPr>
              <w:t>A</w:t>
            </w:r>
          </w:p>
        </w:tc>
        <w:tc>
          <w:tcPr>
            <w:tcW w:w="220" w:type="dxa"/>
            <w:vAlign w:val="top"/>
          </w:tcPr>
          <w:p w14:paraId="4101B287">
            <w:pPr>
              <w:pStyle w:val="6"/>
              <w:spacing w:before="62" w:line="137" w:lineRule="exact"/>
              <w:ind w:left="60"/>
            </w:pPr>
            <w:r>
              <w:rPr>
                <w:b/>
                <w:bCs/>
                <w:spacing w:val="-2"/>
                <w:position w:val="-2"/>
              </w:rPr>
              <w:t>B</w:t>
            </w:r>
          </w:p>
        </w:tc>
        <w:tc>
          <w:tcPr>
            <w:tcW w:w="229" w:type="dxa"/>
            <w:vAlign w:val="top"/>
          </w:tcPr>
          <w:p w14:paraId="71C8C9D6">
            <w:pPr>
              <w:pStyle w:val="6"/>
              <w:spacing w:before="47" w:line="152" w:lineRule="exact"/>
              <w:ind w:left="17"/>
              <w:rPr>
                <w:sz w:val="19"/>
                <w:szCs w:val="19"/>
              </w:rPr>
            </w:pPr>
            <w:r>
              <w:rPr>
                <w:position w:val="-2"/>
                <w:sz w:val="19"/>
                <w:szCs w:val="19"/>
              </w:rPr>
              <w:t>C</w:t>
            </w:r>
          </w:p>
        </w:tc>
        <w:tc>
          <w:tcPr>
            <w:tcW w:w="234" w:type="dxa"/>
            <w:vAlign w:val="top"/>
          </w:tcPr>
          <w:p w14:paraId="2A21BB76">
            <w:pPr>
              <w:pStyle w:val="6"/>
              <w:spacing w:before="62" w:line="137" w:lineRule="exact"/>
              <w:ind w:left="21"/>
            </w:pPr>
            <w:r>
              <w:rPr>
                <w:b/>
                <w:bCs/>
                <w:spacing w:val="-2"/>
                <w:position w:val="-2"/>
              </w:rPr>
              <w:t>D</w:t>
            </w:r>
          </w:p>
        </w:tc>
      </w:tr>
      <w:tr w14:paraId="662BD1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58" w:hRule="atLeast"/>
        </w:trPr>
        <w:tc>
          <w:tcPr>
            <w:tcW w:w="893" w:type="dxa"/>
            <w:vAlign w:val="top"/>
          </w:tcPr>
          <w:p w14:paraId="163C8584">
            <w:pPr>
              <w:pStyle w:val="6"/>
              <w:spacing w:before="180" w:line="229" w:lineRule="auto"/>
              <w:ind w:left="264" w:right="94" w:hanging="170"/>
            </w:pPr>
            <w:r>
              <w:rPr>
                <w:spacing w:val="3"/>
              </w:rPr>
              <w:t>电容器和</w:t>
            </w:r>
            <w:r>
              <w:t xml:space="preserve"> </w:t>
            </w:r>
            <w:r>
              <w:rPr>
                <w:spacing w:val="4"/>
              </w:rPr>
              <w:t>电容</w:t>
            </w:r>
          </w:p>
        </w:tc>
        <w:tc>
          <w:tcPr>
            <w:tcW w:w="2334" w:type="dxa"/>
            <w:vAlign w:val="top"/>
          </w:tcPr>
          <w:p w14:paraId="00EBAD18">
            <w:pPr>
              <w:pStyle w:val="6"/>
              <w:spacing w:before="68" w:line="244" w:lineRule="auto"/>
              <w:ind w:left="11" w:right="1624"/>
            </w:pPr>
            <w:r>
              <w:rPr>
                <w:spacing w:val="1"/>
              </w:rPr>
              <w:t>1.电容器 2.电容</w:t>
            </w:r>
          </w:p>
          <w:p w14:paraId="14D3D85C">
            <w:pPr>
              <w:pStyle w:val="6"/>
              <w:spacing w:line="218" w:lineRule="auto"/>
              <w:ind w:left="11"/>
            </w:pPr>
            <w:r>
              <w:rPr>
                <w:spacing w:val="-1"/>
              </w:rPr>
              <w:t>3.平行板电容器的电容</w:t>
            </w:r>
          </w:p>
        </w:tc>
        <w:tc>
          <w:tcPr>
            <w:tcW w:w="220" w:type="dxa"/>
            <w:vAlign w:val="top"/>
          </w:tcPr>
          <w:p w14:paraId="348B5615">
            <w:pPr>
              <w:pStyle w:val="6"/>
              <w:spacing w:before="69" w:line="238" w:lineRule="auto"/>
              <w:ind w:left="18"/>
              <w:rPr>
                <w:sz w:val="12"/>
                <w:szCs w:val="12"/>
              </w:rPr>
            </w:pPr>
            <w:r>
              <w:rPr>
                <w:sz w:val="12"/>
                <w:szCs w:val="12"/>
              </w:rPr>
              <w:t>√</w:t>
            </w:r>
          </w:p>
        </w:tc>
        <w:tc>
          <w:tcPr>
            <w:tcW w:w="220" w:type="dxa"/>
            <w:vAlign w:val="top"/>
          </w:tcPr>
          <w:p w14:paraId="579EB8B8">
            <w:pPr>
              <w:spacing w:line="288" w:lineRule="auto"/>
              <w:rPr>
                <w:rFonts w:ascii="Arial"/>
                <w:sz w:val="21"/>
              </w:rPr>
            </w:pPr>
          </w:p>
          <w:p w14:paraId="25DD523F">
            <w:pPr>
              <w:pStyle w:val="6"/>
              <w:spacing w:before="39" w:line="238" w:lineRule="auto"/>
              <w:ind w:left="47"/>
              <w:rPr>
                <w:sz w:val="12"/>
                <w:szCs w:val="12"/>
              </w:rPr>
            </w:pPr>
            <w:r>
              <w:rPr>
                <w:sz w:val="12"/>
                <w:szCs w:val="12"/>
              </w:rPr>
              <w:t>√</w:t>
            </w:r>
          </w:p>
        </w:tc>
        <w:tc>
          <w:tcPr>
            <w:tcW w:w="229" w:type="dxa"/>
            <w:vAlign w:val="top"/>
          </w:tcPr>
          <w:p w14:paraId="08DE9F6B">
            <w:pPr>
              <w:spacing w:line="427" w:lineRule="auto"/>
              <w:rPr>
                <w:rFonts w:ascii="Arial"/>
                <w:sz w:val="21"/>
              </w:rPr>
            </w:pPr>
          </w:p>
          <w:p w14:paraId="5704A091">
            <w:pPr>
              <w:pStyle w:val="6"/>
              <w:spacing w:before="39" w:line="238" w:lineRule="auto"/>
              <w:ind w:left="17"/>
              <w:rPr>
                <w:sz w:val="12"/>
                <w:szCs w:val="12"/>
              </w:rPr>
            </w:pPr>
            <w:r>
              <w:rPr>
                <w:sz w:val="12"/>
                <w:szCs w:val="12"/>
              </w:rPr>
              <w:t>√</w:t>
            </w:r>
          </w:p>
        </w:tc>
        <w:tc>
          <w:tcPr>
            <w:tcW w:w="234" w:type="dxa"/>
            <w:vAlign w:val="top"/>
          </w:tcPr>
          <w:p w14:paraId="6E3FEFD0">
            <w:pPr>
              <w:rPr>
                <w:rFonts w:ascii="Arial"/>
                <w:sz w:val="21"/>
              </w:rPr>
            </w:pPr>
          </w:p>
        </w:tc>
      </w:tr>
      <w:tr w14:paraId="2F07C7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8" w:hRule="atLeast"/>
        </w:trPr>
        <w:tc>
          <w:tcPr>
            <w:tcW w:w="893" w:type="dxa"/>
            <w:vAlign w:val="top"/>
          </w:tcPr>
          <w:p w14:paraId="247090AF">
            <w:pPr>
              <w:pStyle w:val="6"/>
              <w:spacing w:before="121" w:line="237" w:lineRule="auto"/>
              <w:ind w:left="184" w:right="180" w:firstLine="80"/>
            </w:pPr>
            <w:r>
              <w:rPr>
                <w:spacing w:val="10"/>
              </w:rPr>
              <w:t>常用</w:t>
            </w:r>
            <w:r>
              <w:t xml:space="preserve">  </w:t>
            </w:r>
            <w:r>
              <w:rPr>
                <w:spacing w:val="2"/>
              </w:rPr>
              <w:t>电容器</w:t>
            </w:r>
          </w:p>
        </w:tc>
        <w:tc>
          <w:tcPr>
            <w:tcW w:w="2334" w:type="dxa"/>
            <w:vAlign w:val="top"/>
          </w:tcPr>
          <w:p w14:paraId="5276E9AB">
            <w:pPr>
              <w:pStyle w:val="6"/>
              <w:spacing w:before="121" w:line="229" w:lineRule="auto"/>
              <w:ind w:left="11" w:right="944"/>
            </w:pPr>
            <w:r>
              <w:t>1.常用电容器种类</w:t>
            </w:r>
            <w:r>
              <w:rPr>
                <w:spacing w:val="6"/>
              </w:rPr>
              <w:t xml:space="preserve"> </w:t>
            </w:r>
            <w:r>
              <w:rPr>
                <w:spacing w:val="-1"/>
              </w:rPr>
              <w:t>2.电容器的额定值</w:t>
            </w:r>
          </w:p>
        </w:tc>
        <w:tc>
          <w:tcPr>
            <w:tcW w:w="220" w:type="dxa"/>
            <w:vAlign w:val="top"/>
          </w:tcPr>
          <w:p w14:paraId="0FD5C517">
            <w:pPr>
              <w:rPr>
                <w:rFonts w:ascii="Arial"/>
                <w:sz w:val="21"/>
              </w:rPr>
            </w:pPr>
          </w:p>
        </w:tc>
        <w:tc>
          <w:tcPr>
            <w:tcW w:w="220" w:type="dxa"/>
            <w:vAlign w:val="top"/>
          </w:tcPr>
          <w:p w14:paraId="4E4B53AE">
            <w:pPr>
              <w:rPr>
                <w:rFonts w:ascii="Arial"/>
                <w:sz w:val="21"/>
              </w:rPr>
            </w:pPr>
          </w:p>
        </w:tc>
        <w:tc>
          <w:tcPr>
            <w:tcW w:w="229" w:type="dxa"/>
            <w:vAlign w:val="top"/>
          </w:tcPr>
          <w:p w14:paraId="3A259409">
            <w:pPr>
              <w:rPr>
                <w:rFonts w:ascii="Arial"/>
                <w:sz w:val="21"/>
              </w:rPr>
            </w:pPr>
          </w:p>
          <w:p w14:paraId="2038B019">
            <w:pPr>
              <w:pStyle w:val="6"/>
              <w:spacing w:before="39" w:line="238" w:lineRule="auto"/>
              <w:ind w:left="27"/>
              <w:rPr>
                <w:sz w:val="12"/>
                <w:szCs w:val="12"/>
              </w:rPr>
            </w:pPr>
            <w:r>
              <w:rPr>
                <w:sz w:val="12"/>
                <w:szCs w:val="12"/>
              </w:rPr>
              <w:t>√</w:t>
            </w:r>
          </w:p>
        </w:tc>
        <w:tc>
          <w:tcPr>
            <w:tcW w:w="234" w:type="dxa"/>
            <w:vAlign w:val="top"/>
          </w:tcPr>
          <w:p w14:paraId="36203F3B">
            <w:pPr>
              <w:rPr>
                <w:rFonts w:ascii="Arial"/>
                <w:sz w:val="21"/>
              </w:rPr>
            </w:pPr>
          </w:p>
        </w:tc>
      </w:tr>
      <w:tr w14:paraId="2376C7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8" w:hRule="atLeast"/>
        </w:trPr>
        <w:tc>
          <w:tcPr>
            <w:tcW w:w="893" w:type="dxa"/>
            <w:vAlign w:val="top"/>
          </w:tcPr>
          <w:p w14:paraId="483B600D">
            <w:pPr>
              <w:pStyle w:val="6"/>
              <w:spacing w:before="143" w:line="225" w:lineRule="auto"/>
              <w:ind w:left="264" w:right="94" w:hanging="170"/>
            </w:pPr>
            <w:r>
              <w:rPr>
                <w:spacing w:val="3"/>
              </w:rPr>
              <w:t>电容器的</w:t>
            </w:r>
            <w:r>
              <w:t xml:space="preserve"> </w:t>
            </w:r>
            <w:r>
              <w:rPr>
                <w:spacing w:val="-2"/>
              </w:rPr>
              <w:t>联接</w:t>
            </w:r>
          </w:p>
        </w:tc>
        <w:tc>
          <w:tcPr>
            <w:tcW w:w="2334" w:type="dxa"/>
            <w:vAlign w:val="top"/>
          </w:tcPr>
          <w:p w14:paraId="4034554A">
            <w:pPr>
              <w:pStyle w:val="6"/>
              <w:spacing w:before="154" w:line="223" w:lineRule="auto"/>
              <w:ind w:left="11" w:right="1115"/>
            </w:pPr>
            <w:r>
              <w:t>1.电容器的串联</w:t>
            </w:r>
            <w:r>
              <w:rPr>
                <w:spacing w:val="5"/>
              </w:rPr>
              <w:t xml:space="preserve"> </w:t>
            </w:r>
            <w:r>
              <w:rPr>
                <w:spacing w:val="-1"/>
              </w:rPr>
              <w:t>2.电容器的并联</w:t>
            </w:r>
          </w:p>
        </w:tc>
        <w:tc>
          <w:tcPr>
            <w:tcW w:w="220" w:type="dxa"/>
            <w:vAlign w:val="top"/>
          </w:tcPr>
          <w:p w14:paraId="13046072">
            <w:pPr>
              <w:rPr>
                <w:rFonts w:ascii="Arial"/>
                <w:sz w:val="21"/>
              </w:rPr>
            </w:pPr>
          </w:p>
        </w:tc>
        <w:tc>
          <w:tcPr>
            <w:tcW w:w="220" w:type="dxa"/>
            <w:vAlign w:val="top"/>
          </w:tcPr>
          <w:p w14:paraId="0A312EF8">
            <w:pPr>
              <w:rPr>
                <w:rFonts w:ascii="Arial"/>
                <w:sz w:val="21"/>
              </w:rPr>
            </w:pPr>
          </w:p>
        </w:tc>
        <w:tc>
          <w:tcPr>
            <w:tcW w:w="229" w:type="dxa"/>
            <w:vAlign w:val="top"/>
          </w:tcPr>
          <w:p w14:paraId="23DE9692">
            <w:pPr>
              <w:rPr>
                <w:rFonts w:ascii="Arial"/>
                <w:sz w:val="21"/>
              </w:rPr>
            </w:pPr>
          </w:p>
        </w:tc>
        <w:tc>
          <w:tcPr>
            <w:tcW w:w="234" w:type="dxa"/>
            <w:vAlign w:val="top"/>
          </w:tcPr>
          <w:p w14:paraId="08F684CD">
            <w:pPr>
              <w:rPr>
                <w:rFonts w:ascii="Arial"/>
                <w:sz w:val="21"/>
              </w:rPr>
            </w:pPr>
          </w:p>
        </w:tc>
      </w:tr>
      <w:tr w14:paraId="31705C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03" w:hRule="atLeast"/>
        </w:trPr>
        <w:tc>
          <w:tcPr>
            <w:tcW w:w="893" w:type="dxa"/>
            <w:vAlign w:val="top"/>
          </w:tcPr>
          <w:p w14:paraId="495E3AC9">
            <w:pPr>
              <w:pStyle w:val="6"/>
              <w:spacing w:before="125" w:line="220" w:lineRule="auto"/>
              <w:ind w:left="94"/>
            </w:pPr>
            <w:r>
              <w:rPr>
                <w:spacing w:val="3"/>
              </w:rPr>
              <w:t>电容器的</w:t>
            </w:r>
          </w:p>
          <w:p w14:paraId="64CEFD00">
            <w:pPr>
              <w:pStyle w:val="6"/>
              <w:spacing w:before="8" w:line="248" w:lineRule="auto"/>
              <w:ind w:left="264" w:right="174" w:hanging="80"/>
            </w:pPr>
            <w:r>
              <w:rPr>
                <w:spacing w:val="4"/>
              </w:rPr>
              <w:t>充电和</w:t>
            </w:r>
            <w:r>
              <w:t xml:space="preserve"> </w:t>
            </w:r>
            <w:r>
              <w:rPr>
                <w:spacing w:val="-2"/>
              </w:rPr>
              <w:t>放电</w:t>
            </w:r>
          </w:p>
        </w:tc>
        <w:tc>
          <w:tcPr>
            <w:tcW w:w="2334" w:type="dxa"/>
            <w:vAlign w:val="top"/>
          </w:tcPr>
          <w:p w14:paraId="2EBD47A8">
            <w:pPr>
              <w:pStyle w:val="6"/>
              <w:spacing w:before="125" w:line="237" w:lineRule="auto"/>
              <w:ind w:left="11" w:right="1130"/>
            </w:pPr>
            <w:r>
              <w:rPr>
                <w:spacing w:val="1"/>
              </w:rPr>
              <w:t>1.电容器充电</w:t>
            </w:r>
            <w:r>
              <w:t xml:space="preserve">   </w:t>
            </w:r>
            <w:r>
              <w:rPr>
                <w:spacing w:val="-2"/>
              </w:rPr>
              <w:t>2.电容器的放电</w:t>
            </w:r>
          </w:p>
          <w:p w14:paraId="271463C9">
            <w:pPr>
              <w:pStyle w:val="6"/>
              <w:spacing w:before="3" w:line="220" w:lineRule="auto"/>
              <w:ind w:left="11"/>
            </w:pPr>
            <w:r>
              <w:rPr>
                <w:spacing w:val="1"/>
              </w:rPr>
              <w:t>3.电容器的质量判别</w:t>
            </w:r>
          </w:p>
        </w:tc>
        <w:tc>
          <w:tcPr>
            <w:tcW w:w="220" w:type="dxa"/>
            <w:vAlign w:val="top"/>
          </w:tcPr>
          <w:p w14:paraId="6AE52754">
            <w:pPr>
              <w:rPr>
                <w:rFonts w:ascii="Arial"/>
                <w:sz w:val="21"/>
              </w:rPr>
            </w:pPr>
          </w:p>
        </w:tc>
        <w:tc>
          <w:tcPr>
            <w:tcW w:w="220" w:type="dxa"/>
            <w:vAlign w:val="top"/>
          </w:tcPr>
          <w:p w14:paraId="77F01850">
            <w:pPr>
              <w:pStyle w:val="6"/>
              <w:spacing w:before="275" w:line="220" w:lineRule="auto"/>
              <w:ind w:left="17"/>
            </w:pPr>
            <w:r>
              <w:t>说</w:t>
            </w:r>
          </w:p>
        </w:tc>
        <w:tc>
          <w:tcPr>
            <w:tcW w:w="229" w:type="dxa"/>
            <w:vAlign w:val="top"/>
          </w:tcPr>
          <w:p w14:paraId="31ACD2DD">
            <w:pPr>
              <w:rPr>
                <w:rFonts w:ascii="Arial"/>
                <w:sz w:val="21"/>
              </w:rPr>
            </w:pPr>
          </w:p>
        </w:tc>
        <w:tc>
          <w:tcPr>
            <w:tcW w:w="234" w:type="dxa"/>
            <w:vAlign w:val="top"/>
          </w:tcPr>
          <w:p w14:paraId="3A08F06E">
            <w:pPr>
              <w:rPr>
                <w:rFonts w:ascii="Arial"/>
                <w:sz w:val="21"/>
              </w:rPr>
            </w:pPr>
          </w:p>
        </w:tc>
      </w:tr>
    </w:tbl>
    <w:p w14:paraId="6E97F694">
      <w:pPr>
        <w:spacing w:before="129" w:line="222" w:lineRule="auto"/>
        <w:ind w:left="1262"/>
        <w:rPr>
          <w:rFonts w:ascii="黑体" w:hAnsi="黑体" w:eastAsia="黑体" w:cs="黑体"/>
          <w:sz w:val="20"/>
          <w:szCs w:val="20"/>
        </w:rPr>
      </w:pPr>
      <w:r>
        <w:rPr>
          <w:rFonts w:ascii="黑体" w:hAnsi="黑体" w:eastAsia="黑体" w:cs="黑体"/>
          <w:b/>
          <w:bCs/>
          <w:spacing w:val="-8"/>
          <w:sz w:val="20"/>
          <w:szCs w:val="20"/>
        </w:rPr>
        <w:t>第五章</w:t>
      </w:r>
      <w:r>
        <w:rPr>
          <w:rFonts w:ascii="黑体" w:hAnsi="黑体" w:eastAsia="黑体" w:cs="黑体"/>
          <w:spacing w:val="10"/>
          <w:sz w:val="20"/>
          <w:szCs w:val="20"/>
        </w:rPr>
        <w:t xml:space="preserve">  </w:t>
      </w:r>
      <w:r>
        <w:rPr>
          <w:rFonts w:ascii="黑体" w:hAnsi="黑体" w:eastAsia="黑体" w:cs="黑体"/>
          <w:b/>
          <w:bCs/>
          <w:spacing w:val="-8"/>
          <w:sz w:val="20"/>
          <w:szCs w:val="20"/>
        </w:rPr>
        <w:t>磁场和磁路</w:t>
      </w:r>
    </w:p>
    <w:p w14:paraId="234725ED">
      <w:pPr>
        <w:spacing w:line="90" w:lineRule="exact"/>
      </w:pPr>
    </w:p>
    <w:tbl>
      <w:tblPr>
        <w:tblStyle w:val="5"/>
        <w:tblW w:w="4130"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34"/>
        <w:gridCol w:w="220"/>
        <w:gridCol w:w="220"/>
        <w:gridCol w:w="229"/>
        <w:gridCol w:w="234"/>
      </w:tblGrid>
      <w:tr w14:paraId="546965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4" w:hRule="atLeast"/>
        </w:trPr>
        <w:tc>
          <w:tcPr>
            <w:tcW w:w="893" w:type="dxa"/>
            <w:vMerge w:val="restart"/>
            <w:tcBorders>
              <w:bottom w:val="nil"/>
            </w:tcBorders>
            <w:vAlign w:val="top"/>
          </w:tcPr>
          <w:p w14:paraId="10DF0C76">
            <w:pPr>
              <w:pStyle w:val="6"/>
              <w:spacing w:before="21" w:line="218" w:lineRule="auto"/>
              <w:ind w:left="267" w:right="25" w:hanging="250"/>
            </w:pPr>
            <w:r>
              <w:rPr>
                <w:b/>
                <w:bCs/>
                <w:spacing w:val="-4"/>
              </w:rPr>
              <w:t>知识与技能</w:t>
            </w:r>
            <w:r>
              <w:t xml:space="preserve"> </w:t>
            </w:r>
            <w:r>
              <w:rPr>
                <w:b/>
                <w:bCs/>
                <w:spacing w:val="-4"/>
              </w:rPr>
              <w:t>要点</w:t>
            </w:r>
          </w:p>
        </w:tc>
        <w:tc>
          <w:tcPr>
            <w:tcW w:w="2334" w:type="dxa"/>
            <w:vMerge w:val="restart"/>
            <w:tcBorders>
              <w:bottom w:val="nil"/>
            </w:tcBorders>
            <w:vAlign w:val="top"/>
          </w:tcPr>
          <w:p w14:paraId="464227AA">
            <w:pPr>
              <w:pStyle w:val="6"/>
              <w:spacing w:before="129" w:line="219" w:lineRule="auto"/>
              <w:ind w:left="844"/>
            </w:pPr>
            <w:r>
              <w:rPr>
                <w:b/>
                <w:bCs/>
                <w:spacing w:val="5"/>
              </w:rPr>
              <w:t>考试条目</w:t>
            </w:r>
          </w:p>
        </w:tc>
        <w:tc>
          <w:tcPr>
            <w:tcW w:w="903" w:type="dxa"/>
            <w:gridSpan w:val="4"/>
            <w:vAlign w:val="top"/>
          </w:tcPr>
          <w:p w14:paraId="29D4D7AF">
            <w:pPr>
              <w:pStyle w:val="6"/>
              <w:spacing w:before="28" w:line="201" w:lineRule="auto"/>
              <w:ind w:left="120"/>
            </w:pPr>
            <w:r>
              <w:rPr>
                <w:b/>
                <w:bCs/>
                <w:spacing w:val="-4"/>
              </w:rPr>
              <w:t>考试水平</w:t>
            </w:r>
          </w:p>
        </w:tc>
      </w:tr>
      <w:tr w14:paraId="5A4F66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99" w:hRule="atLeast"/>
        </w:trPr>
        <w:tc>
          <w:tcPr>
            <w:tcW w:w="893" w:type="dxa"/>
            <w:vMerge w:val="continue"/>
            <w:tcBorders>
              <w:top w:val="nil"/>
            </w:tcBorders>
            <w:vAlign w:val="top"/>
          </w:tcPr>
          <w:p w14:paraId="27CDC9B8">
            <w:pPr>
              <w:rPr>
                <w:rFonts w:ascii="Arial"/>
                <w:sz w:val="21"/>
              </w:rPr>
            </w:pPr>
          </w:p>
        </w:tc>
        <w:tc>
          <w:tcPr>
            <w:tcW w:w="2334" w:type="dxa"/>
            <w:vMerge w:val="continue"/>
            <w:tcBorders>
              <w:top w:val="nil"/>
            </w:tcBorders>
            <w:vAlign w:val="top"/>
          </w:tcPr>
          <w:p w14:paraId="7D2F6530">
            <w:pPr>
              <w:rPr>
                <w:rFonts w:ascii="Arial"/>
                <w:sz w:val="21"/>
              </w:rPr>
            </w:pPr>
          </w:p>
        </w:tc>
        <w:tc>
          <w:tcPr>
            <w:tcW w:w="220" w:type="dxa"/>
            <w:vAlign w:val="top"/>
          </w:tcPr>
          <w:p w14:paraId="0A468BB5">
            <w:pPr>
              <w:pStyle w:val="6"/>
              <w:spacing w:before="60" w:line="129" w:lineRule="exact"/>
              <w:ind w:left="20"/>
            </w:pPr>
            <w:r>
              <w:rPr>
                <w:b/>
                <w:bCs/>
                <w:spacing w:val="-2"/>
                <w:position w:val="-2"/>
              </w:rPr>
              <w:t>A</w:t>
            </w:r>
          </w:p>
        </w:tc>
        <w:tc>
          <w:tcPr>
            <w:tcW w:w="220" w:type="dxa"/>
            <w:vAlign w:val="top"/>
          </w:tcPr>
          <w:p w14:paraId="37D6CA70">
            <w:pPr>
              <w:pStyle w:val="6"/>
              <w:spacing w:before="62" w:line="127" w:lineRule="exact"/>
              <w:ind w:left="20"/>
            </w:pPr>
            <w:r>
              <w:rPr>
                <w:b/>
                <w:bCs/>
                <w:spacing w:val="-2"/>
                <w:position w:val="-2"/>
              </w:rPr>
              <w:t>B</w:t>
            </w:r>
          </w:p>
        </w:tc>
        <w:tc>
          <w:tcPr>
            <w:tcW w:w="229" w:type="dxa"/>
            <w:vAlign w:val="top"/>
          </w:tcPr>
          <w:p w14:paraId="68D412D6">
            <w:pPr>
              <w:pStyle w:val="6"/>
              <w:spacing w:before="61" w:line="128" w:lineRule="exact"/>
              <w:ind w:left="48"/>
            </w:pPr>
            <w:r>
              <w:rPr>
                <w:position w:val="-2"/>
              </w:rPr>
              <w:t>C</w:t>
            </w:r>
          </w:p>
        </w:tc>
        <w:tc>
          <w:tcPr>
            <w:tcW w:w="234" w:type="dxa"/>
            <w:vAlign w:val="top"/>
          </w:tcPr>
          <w:p w14:paraId="236C0267">
            <w:pPr>
              <w:pStyle w:val="6"/>
              <w:spacing w:before="62" w:line="127" w:lineRule="exact"/>
              <w:ind w:left="21"/>
            </w:pPr>
            <w:r>
              <w:rPr>
                <w:b/>
                <w:bCs/>
                <w:spacing w:val="-2"/>
                <w:position w:val="-2"/>
              </w:rPr>
              <w:t>D</w:t>
            </w:r>
          </w:p>
        </w:tc>
      </w:tr>
      <w:tr w14:paraId="1E1911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7" w:hRule="atLeast"/>
        </w:trPr>
        <w:tc>
          <w:tcPr>
            <w:tcW w:w="893" w:type="dxa"/>
            <w:vAlign w:val="top"/>
          </w:tcPr>
          <w:p w14:paraId="2592C6AC">
            <w:pPr>
              <w:pStyle w:val="6"/>
              <w:spacing w:before="260" w:line="246" w:lineRule="auto"/>
              <w:ind w:left="264" w:right="100" w:hanging="170"/>
            </w:pPr>
            <w:r>
              <w:rPr>
                <w:spacing w:val="1"/>
              </w:rPr>
              <w:t>电流的磁</w:t>
            </w:r>
            <w:r>
              <w:rPr>
                <w:spacing w:val="2"/>
              </w:rPr>
              <w:t xml:space="preserve"> </w:t>
            </w:r>
            <w:r>
              <w:rPr>
                <w:spacing w:val="-3"/>
              </w:rPr>
              <w:t>效应</w:t>
            </w:r>
          </w:p>
        </w:tc>
        <w:tc>
          <w:tcPr>
            <w:tcW w:w="2334" w:type="dxa"/>
            <w:vAlign w:val="top"/>
          </w:tcPr>
          <w:p w14:paraId="5E708A02">
            <w:pPr>
              <w:pStyle w:val="6"/>
              <w:spacing w:before="179" w:line="217" w:lineRule="auto"/>
              <w:ind w:left="2"/>
            </w:pPr>
            <w:r>
              <w:rPr>
                <w:spacing w:val="2"/>
              </w:rPr>
              <w:t>1.磁场</w:t>
            </w:r>
          </w:p>
          <w:p w14:paraId="34E4B10B">
            <w:pPr>
              <w:pStyle w:val="6"/>
              <w:spacing w:before="1" w:line="247" w:lineRule="auto"/>
              <w:ind w:left="2" w:right="610"/>
            </w:pPr>
            <w:r>
              <w:rPr>
                <w:spacing w:val="1"/>
              </w:rPr>
              <w:t>2.磁场的方向和磁感线</w:t>
            </w:r>
            <w:r>
              <w:t xml:space="preserve"> </w:t>
            </w:r>
            <w:r>
              <w:rPr>
                <w:spacing w:val="1"/>
              </w:rPr>
              <w:t>3.电流的磁场</w:t>
            </w:r>
          </w:p>
        </w:tc>
        <w:tc>
          <w:tcPr>
            <w:tcW w:w="220" w:type="dxa"/>
            <w:vAlign w:val="top"/>
          </w:tcPr>
          <w:p w14:paraId="2F07D907">
            <w:pPr>
              <w:rPr>
                <w:rFonts w:ascii="Arial"/>
                <w:sz w:val="21"/>
              </w:rPr>
            </w:pPr>
          </w:p>
        </w:tc>
        <w:tc>
          <w:tcPr>
            <w:tcW w:w="220" w:type="dxa"/>
            <w:vAlign w:val="top"/>
          </w:tcPr>
          <w:p w14:paraId="4E6B21A7">
            <w:pPr>
              <w:rPr>
                <w:rFonts w:ascii="Arial"/>
                <w:sz w:val="21"/>
              </w:rPr>
            </w:pPr>
          </w:p>
        </w:tc>
        <w:tc>
          <w:tcPr>
            <w:tcW w:w="229" w:type="dxa"/>
            <w:vAlign w:val="top"/>
          </w:tcPr>
          <w:p w14:paraId="11CD6CA4">
            <w:pPr>
              <w:rPr>
                <w:rFonts w:ascii="Arial"/>
                <w:sz w:val="21"/>
              </w:rPr>
            </w:pPr>
          </w:p>
        </w:tc>
        <w:tc>
          <w:tcPr>
            <w:tcW w:w="234" w:type="dxa"/>
            <w:vAlign w:val="top"/>
          </w:tcPr>
          <w:p w14:paraId="2D81E351">
            <w:pPr>
              <w:rPr>
                <w:rFonts w:ascii="Arial"/>
                <w:sz w:val="21"/>
              </w:rPr>
            </w:pPr>
          </w:p>
        </w:tc>
      </w:tr>
      <w:tr w14:paraId="5664E3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76" w:hRule="atLeast"/>
        </w:trPr>
        <w:tc>
          <w:tcPr>
            <w:tcW w:w="893" w:type="dxa"/>
            <w:vAlign w:val="top"/>
          </w:tcPr>
          <w:p w14:paraId="0DC9BF94">
            <w:pPr>
              <w:spacing w:line="304" w:lineRule="auto"/>
              <w:rPr>
                <w:rFonts w:ascii="Arial"/>
                <w:sz w:val="21"/>
              </w:rPr>
            </w:pPr>
          </w:p>
          <w:p w14:paraId="039D48AF">
            <w:pPr>
              <w:pStyle w:val="6"/>
              <w:spacing w:before="56" w:line="235" w:lineRule="auto"/>
              <w:ind w:left="94" w:right="114"/>
            </w:pPr>
            <w:r>
              <w:rPr>
                <w:spacing w:val="-2"/>
              </w:rPr>
              <w:t>磁场的基</w:t>
            </w:r>
            <w:r>
              <w:t xml:space="preserve"> </w:t>
            </w:r>
            <w:r>
              <w:rPr>
                <w:spacing w:val="-2"/>
              </w:rPr>
              <w:t>本物理量</w:t>
            </w:r>
          </w:p>
        </w:tc>
        <w:tc>
          <w:tcPr>
            <w:tcW w:w="2334" w:type="dxa"/>
            <w:vAlign w:val="top"/>
          </w:tcPr>
          <w:p w14:paraId="0EE4DACF">
            <w:pPr>
              <w:pStyle w:val="6"/>
              <w:spacing w:before="152" w:line="220" w:lineRule="auto"/>
              <w:ind w:left="2"/>
            </w:pPr>
            <w:r>
              <w:rPr>
                <w:spacing w:val="1"/>
              </w:rPr>
              <w:t>1.磁感应强度</w:t>
            </w:r>
          </w:p>
          <w:p w14:paraId="55634EEC">
            <w:pPr>
              <w:pStyle w:val="6"/>
              <w:spacing w:before="32" w:line="222" w:lineRule="auto"/>
              <w:ind w:left="2"/>
            </w:pPr>
            <w:r>
              <w:rPr>
                <w:spacing w:val="-2"/>
              </w:rPr>
              <w:t>2.磁通</w:t>
            </w:r>
          </w:p>
          <w:p w14:paraId="7F93F974">
            <w:pPr>
              <w:pStyle w:val="6"/>
              <w:spacing w:line="219" w:lineRule="auto"/>
              <w:ind w:left="2"/>
            </w:pPr>
            <w:r>
              <w:rPr>
                <w:spacing w:val="-3"/>
              </w:rPr>
              <w:t>3.磁导率</w:t>
            </w:r>
          </w:p>
          <w:p w14:paraId="78DE8269">
            <w:pPr>
              <w:pStyle w:val="6"/>
              <w:spacing w:before="8" w:line="220" w:lineRule="auto"/>
              <w:ind w:left="2"/>
            </w:pPr>
            <w:r>
              <w:rPr>
                <w:spacing w:val="-1"/>
              </w:rPr>
              <w:t>4.磁场强度</w:t>
            </w:r>
          </w:p>
        </w:tc>
        <w:tc>
          <w:tcPr>
            <w:tcW w:w="220" w:type="dxa"/>
            <w:vAlign w:val="top"/>
          </w:tcPr>
          <w:p w14:paraId="14A5970B">
            <w:pPr>
              <w:spacing w:line="284" w:lineRule="auto"/>
              <w:rPr>
                <w:rFonts w:ascii="Arial"/>
                <w:sz w:val="21"/>
              </w:rPr>
            </w:pPr>
          </w:p>
          <w:p w14:paraId="0132CFB1">
            <w:pPr>
              <w:spacing w:line="285" w:lineRule="auto"/>
              <w:rPr>
                <w:rFonts w:ascii="Arial"/>
                <w:sz w:val="21"/>
              </w:rPr>
            </w:pPr>
          </w:p>
          <w:p w14:paraId="2AD80922">
            <w:pPr>
              <w:spacing w:line="353" w:lineRule="exact"/>
              <w:ind w:firstLine="42"/>
            </w:pPr>
            <w:r>
              <w:rPr>
                <w:position w:val="-7"/>
              </w:rPr>
              <w:drawing>
                <wp:inline distT="0" distB="0" distL="0" distR="0">
                  <wp:extent cx="93980" cy="224155"/>
                  <wp:effectExtent l="0" t="0" r="0" b="0"/>
                  <wp:docPr id="142" name="IM 142"/>
                  <wp:cNvGraphicFramePr/>
                  <a:graphic xmlns:a="http://schemas.openxmlformats.org/drawingml/2006/main">
                    <a:graphicData uri="http://schemas.openxmlformats.org/drawingml/2006/picture">
                      <pic:pic xmlns:pic="http://schemas.openxmlformats.org/drawingml/2006/picture">
                        <pic:nvPicPr>
                          <pic:cNvPr id="142" name="IM 142"/>
                          <pic:cNvPicPr/>
                        </pic:nvPicPr>
                        <pic:blipFill>
                          <a:blip r:embed="rId236"/>
                          <a:stretch>
                            <a:fillRect/>
                          </a:stretch>
                        </pic:blipFill>
                        <pic:spPr>
                          <a:xfrm>
                            <a:off x="0" y="0"/>
                            <a:ext cx="94341" cy="224206"/>
                          </a:xfrm>
                          <a:prstGeom prst="rect">
                            <a:avLst/>
                          </a:prstGeom>
                        </pic:spPr>
                      </pic:pic>
                    </a:graphicData>
                  </a:graphic>
                </wp:inline>
              </w:drawing>
            </w:r>
          </w:p>
        </w:tc>
        <w:tc>
          <w:tcPr>
            <w:tcW w:w="220" w:type="dxa"/>
            <w:vAlign w:val="top"/>
          </w:tcPr>
          <w:p w14:paraId="1621DDB3">
            <w:pPr>
              <w:rPr>
                <w:rFonts w:ascii="Arial"/>
                <w:sz w:val="21"/>
              </w:rPr>
            </w:pPr>
          </w:p>
        </w:tc>
        <w:tc>
          <w:tcPr>
            <w:tcW w:w="229" w:type="dxa"/>
            <w:vAlign w:val="top"/>
          </w:tcPr>
          <w:p w14:paraId="3FCEFC59">
            <w:pPr>
              <w:rPr>
                <w:rFonts w:ascii="Arial"/>
                <w:sz w:val="21"/>
              </w:rPr>
            </w:pPr>
          </w:p>
        </w:tc>
        <w:tc>
          <w:tcPr>
            <w:tcW w:w="234" w:type="dxa"/>
            <w:vAlign w:val="top"/>
          </w:tcPr>
          <w:p w14:paraId="0E0D6C70">
            <w:pPr>
              <w:rPr>
                <w:rFonts w:ascii="Arial"/>
                <w:sz w:val="21"/>
              </w:rPr>
            </w:pPr>
          </w:p>
        </w:tc>
      </w:tr>
      <w:tr w14:paraId="1DF14A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63" w:hRule="atLeast"/>
        </w:trPr>
        <w:tc>
          <w:tcPr>
            <w:tcW w:w="893" w:type="dxa"/>
            <w:vAlign w:val="top"/>
          </w:tcPr>
          <w:p w14:paraId="0A1517E3">
            <w:pPr>
              <w:pStyle w:val="6"/>
              <w:spacing w:before="46" w:line="233" w:lineRule="auto"/>
              <w:ind w:left="264" w:right="114" w:hanging="170"/>
            </w:pPr>
            <w:r>
              <w:rPr>
                <w:spacing w:val="-2"/>
              </w:rPr>
              <w:t>磁场对电</w:t>
            </w:r>
            <w:r>
              <w:t xml:space="preserve"> </w:t>
            </w:r>
            <w:r>
              <w:rPr>
                <w:spacing w:val="6"/>
              </w:rPr>
              <w:t>流的</w:t>
            </w:r>
          </w:p>
          <w:p w14:paraId="7FCBF5DF">
            <w:pPr>
              <w:pStyle w:val="6"/>
              <w:spacing w:line="192" w:lineRule="auto"/>
              <w:ind w:left="184"/>
            </w:pPr>
            <w:r>
              <w:rPr>
                <w:spacing w:val="4"/>
              </w:rPr>
              <w:t>作用力</w:t>
            </w:r>
          </w:p>
        </w:tc>
        <w:tc>
          <w:tcPr>
            <w:tcW w:w="2334" w:type="dxa"/>
            <w:vAlign w:val="top"/>
          </w:tcPr>
          <w:p w14:paraId="6D8E26C6">
            <w:pPr>
              <w:pStyle w:val="6"/>
              <w:spacing w:before="155" w:line="230" w:lineRule="auto"/>
              <w:ind w:left="2" w:right="607"/>
            </w:pPr>
            <w:r>
              <w:rPr>
                <w:spacing w:val="1"/>
              </w:rPr>
              <w:t>1.磁场对电流的作用力</w:t>
            </w:r>
            <w:r>
              <w:rPr>
                <w:spacing w:val="2"/>
              </w:rPr>
              <w:t xml:space="preserve"> </w:t>
            </w:r>
            <w:r>
              <w:rPr>
                <w:spacing w:val="-1"/>
              </w:rPr>
              <w:t>2.电流表的工作原理</w:t>
            </w:r>
          </w:p>
        </w:tc>
        <w:tc>
          <w:tcPr>
            <w:tcW w:w="220" w:type="dxa"/>
            <w:vAlign w:val="top"/>
          </w:tcPr>
          <w:p w14:paraId="0097DA85">
            <w:pPr>
              <w:rPr>
                <w:rFonts w:ascii="Arial"/>
                <w:sz w:val="21"/>
              </w:rPr>
            </w:pPr>
          </w:p>
        </w:tc>
        <w:tc>
          <w:tcPr>
            <w:tcW w:w="220" w:type="dxa"/>
            <w:vAlign w:val="top"/>
          </w:tcPr>
          <w:p w14:paraId="2380F348">
            <w:pPr>
              <w:rPr>
                <w:rFonts w:ascii="Arial"/>
                <w:sz w:val="21"/>
              </w:rPr>
            </w:pPr>
          </w:p>
        </w:tc>
        <w:tc>
          <w:tcPr>
            <w:tcW w:w="229" w:type="dxa"/>
            <w:vAlign w:val="top"/>
          </w:tcPr>
          <w:p w14:paraId="26A7E0BE">
            <w:pPr>
              <w:rPr>
                <w:rFonts w:ascii="Arial"/>
                <w:sz w:val="21"/>
              </w:rPr>
            </w:pPr>
          </w:p>
        </w:tc>
        <w:tc>
          <w:tcPr>
            <w:tcW w:w="234" w:type="dxa"/>
            <w:vAlign w:val="top"/>
          </w:tcPr>
          <w:p w14:paraId="774327EB">
            <w:pPr>
              <w:rPr>
                <w:rFonts w:ascii="Arial"/>
                <w:sz w:val="21"/>
              </w:rPr>
            </w:pPr>
          </w:p>
        </w:tc>
      </w:tr>
    </w:tbl>
    <w:p w14:paraId="79FEAFA2">
      <w:pPr>
        <w:spacing w:before="109" w:line="222" w:lineRule="auto"/>
        <w:ind w:left="1362"/>
        <w:rPr>
          <w:rFonts w:ascii="黑体" w:hAnsi="黑体" w:eastAsia="黑体" w:cs="黑体"/>
          <w:sz w:val="20"/>
          <w:szCs w:val="20"/>
        </w:rPr>
      </w:pPr>
      <w:r>
        <w:rPr>
          <w:rFonts w:ascii="黑体" w:hAnsi="黑体" w:eastAsia="黑体" w:cs="黑体"/>
          <w:b/>
          <w:bCs/>
          <w:spacing w:val="-10"/>
          <w:sz w:val="20"/>
          <w:szCs w:val="20"/>
        </w:rPr>
        <w:t>第六章</w:t>
      </w:r>
      <w:r>
        <w:rPr>
          <w:rFonts w:ascii="黑体" w:hAnsi="黑体" w:eastAsia="黑体" w:cs="黑体"/>
          <w:spacing w:val="14"/>
          <w:sz w:val="20"/>
          <w:szCs w:val="20"/>
        </w:rPr>
        <w:t xml:space="preserve">  </w:t>
      </w:r>
      <w:r>
        <w:rPr>
          <w:rFonts w:ascii="黑体" w:hAnsi="黑体" w:eastAsia="黑体" w:cs="黑体"/>
          <w:b/>
          <w:bCs/>
          <w:spacing w:val="-10"/>
          <w:sz w:val="20"/>
          <w:szCs w:val="20"/>
        </w:rPr>
        <w:t>电磁感应</w:t>
      </w:r>
    </w:p>
    <w:p w14:paraId="40CA0A5A">
      <w:pPr>
        <w:spacing w:line="80" w:lineRule="exact"/>
      </w:pPr>
    </w:p>
    <w:tbl>
      <w:tblPr>
        <w:tblStyle w:val="5"/>
        <w:tblW w:w="4130"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83"/>
        <w:gridCol w:w="2334"/>
        <w:gridCol w:w="230"/>
        <w:gridCol w:w="220"/>
        <w:gridCol w:w="229"/>
        <w:gridCol w:w="234"/>
      </w:tblGrid>
      <w:tr w14:paraId="6734DB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0" w:hRule="atLeast"/>
        </w:trPr>
        <w:tc>
          <w:tcPr>
            <w:tcW w:w="883" w:type="dxa"/>
            <w:vMerge w:val="restart"/>
            <w:tcBorders>
              <w:top w:val="single" w:color="000000" w:sz="2" w:space="0"/>
              <w:bottom w:val="nil"/>
            </w:tcBorders>
            <w:vAlign w:val="top"/>
          </w:tcPr>
          <w:p w14:paraId="02FC6338">
            <w:pPr>
              <w:pStyle w:val="6"/>
              <w:spacing w:before="26" w:line="212" w:lineRule="auto"/>
              <w:ind w:left="257" w:right="1" w:hanging="240"/>
              <w:rPr>
                <w:sz w:val="18"/>
                <w:szCs w:val="18"/>
              </w:rPr>
            </w:pPr>
            <w:r>
              <w:rPr>
                <w:b/>
                <w:bCs/>
                <w:spacing w:val="-13"/>
                <w:sz w:val="18"/>
                <w:szCs w:val="18"/>
              </w:rPr>
              <w:t>知</w:t>
            </w:r>
            <w:r>
              <w:rPr>
                <w:b/>
                <w:bCs/>
                <w:spacing w:val="-12"/>
                <w:sz w:val="18"/>
                <w:szCs w:val="18"/>
              </w:rPr>
              <w:t>识与技</w:t>
            </w:r>
            <w:r>
              <w:rPr>
                <w:b/>
                <w:bCs/>
                <w:spacing w:val="-11"/>
                <w:sz w:val="18"/>
                <w:szCs w:val="18"/>
              </w:rPr>
              <w:t>能</w:t>
            </w:r>
            <w:r>
              <w:rPr>
                <w:spacing w:val="3"/>
                <w:sz w:val="18"/>
                <w:szCs w:val="18"/>
              </w:rPr>
              <w:t xml:space="preserve"> </w:t>
            </w:r>
            <w:r>
              <w:rPr>
                <w:b/>
                <w:bCs/>
                <w:spacing w:val="-4"/>
                <w:sz w:val="18"/>
                <w:szCs w:val="18"/>
              </w:rPr>
              <w:t>要点</w:t>
            </w:r>
          </w:p>
        </w:tc>
        <w:tc>
          <w:tcPr>
            <w:tcW w:w="2334" w:type="dxa"/>
            <w:vMerge w:val="restart"/>
            <w:tcBorders>
              <w:top w:val="single" w:color="000000" w:sz="2" w:space="0"/>
              <w:bottom w:val="nil"/>
            </w:tcBorders>
            <w:vAlign w:val="top"/>
          </w:tcPr>
          <w:p w14:paraId="2A4AB3B5">
            <w:pPr>
              <w:pStyle w:val="6"/>
              <w:spacing w:before="134" w:line="219" w:lineRule="auto"/>
              <w:ind w:left="844"/>
              <w:rPr>
                <w:sz w:val="18"/>
                <w:szCs w:val="18"/>
              </w:rPr>
            </w:pPr>
            <w:r>
              <w:rPr>
                <w:b/>
                <w:bCs/>
                <w:spacing w:val="5"/>
                <w:sz w:val="18"/>
                <w:szCs w:val="18"/>
              </w:rPr>
              <w:t>考试条目</w:t>
            </w:r>
          </w:p>
        </w:tc>
        <w:tc>
          <w:tcPr>
            <w:tcW w:w="913" w:type="dxa"/>
            <w:gridSpan w:val="4"/>
            <w:tcBorders>
              <w:top w:val="single" w:color="000000" w:sz="2" w:space="0"/>
              <w:bottom w:val="single" w:color="000000" w:sz="2" w:space="0"/>
            </w:tcBorders>
            <w:vAlign w:val="top"/>
          </w:tcPr>
          <w:p w14:paraId="151E2A84">
            <w:pPr>
              <w:pStyle w:val="6"/>
              <w:spacing w:before="25" w:line="200" w:lineRule="auto"/>
              <w:ind w:left="130"/>
              <w:rPr>
                <w:sz w:val="18"/>
                <w:szCs w:val="18"/>
              </w:rPr>
            </w:pPr>
            <w:r>
              <w:rPr>
                <w:b/>
                <w:bCs/>
                <w:spacing w:val="-4"/>
                <w:sz w:val="18"/>
                <w:szCs w:val="18"/>
              </w:rPr>
              <w:t>考试水平</w:t>
            </w:r>
          </w:p>
        </w:tc>
      </w:tr>
      <w:tr w14:paraId="781789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5" w:hRule="atLeast"/>
        </w:trPr>
        <w:tc>
          <w:tcPr>
            <w:tcW w:w="883" w:type="dxa"/>
            <w:vMerge w:val="continue"/>
            <w:tcBorders>
              <w:top w:val="nil"/>
              <w:bottom w:val="single" w:color="000000" w:sz="2" w:space="0"/>
            </w:tcBorders>
            <w:vAlign w:val="top"/>
          </w:tcPr>
          <w:p w14:paraId="0AE59342">
            <w:pPr>
              <w:rPr>
                <w:rFonts w:ascii="Arial"/>
                <w:sz w:val="21"/>
              </w:rPr>
            </w:pPr>
          </w:p>
        </w:tc>
        <w:tc>
          <w:tcPr>
            <w:tcW w:w="2334" w:type="dxa"/>
            <w:vMerge w:val="continue"/>
            <w:tcBorders>
              <w:top w:val="nil"/>
              <w:bottom w:val="single" w:color="000000" w:sz="2" w:space="0"/>
            </w:tcBorders>
            <w:vAlign w:val="top"/>
          </w:tcPr>
          <w:p w14:paraId="427F4A49">
            <w:pPr>
              <w:rPr>
                <w:rFonts w:ascii="Arial"/>
                <w:sz w:val="21"/>
              </w:rPr>
            </w:pPr>
          </w:p>
        </w:tc>
        <w:tc>
          <w:tcPr>
            <w:tcW w:w="230" w:type="dxa"/>
            <w:tcBorders>
              <w:top w:val="single" w:color="000000" w:sz="2" w:space="0"/>
              <w:bottom w:val="single" w:color="000000" w:sz="2" w:space="0"/>
            </w:tcBorders>
            <w:vAlign w:val="top"/>
          </w:tcPr>
          <w:p w14:paraId="32AAC466">
            <w:pPr>
              <w:pStyle w:val="6"/>
              <w:spacing w:before="67" w:line="138" w:lineRule="exact"/>
              <w:ind w:left="20"/>
              <w:rPr>
                <w:sz w:val="18"/>
                <w:szCs w:val="18"/>
              </w:rPr>
            </w:pPr>
            <w:r>
              <w:rPr>
                <w:b/>
                <w:bCs/>
                <w:spacing w:val="-2"/>
                <w:position w:val="-2"/>
                <w:sz w:val="18"/>
                <w:szCs w:val="18"/>
              </w:rPr>
              <w:t>A</w:t>
            </w:r>
          </w:p>
        </w:tc>
        <w:tc>
          <w:tcPr>
            <w:tcW w:w="220" w:type="dxa"/>
            <w:tcBorders>
              <w:top w:val="single" w:color="000000" w:sz="2" w:space="0"/>
              <w:bottom w:val="single" w:color="000000" w:sz="2" w:space="0"/>
            </w:tcBorders>
            <w:vAlign w:val="top"/>
          </w:tcPr>
          <w:p w14:paraId="7D502BF1">
            <w:pPr>
              <w:pStyle w:val="6"/>
              <w:spacing w:before="70" w:line="135" w:lineRule="exact"/>
              <w:ind w:left="17"/>
              <w:rPr>
                <w:sz w:val="18"/>
                <w:szCs w:val="18"/>
              </w:rPr>
            </w:pPr>
            <w:r>
              <w:rPr>
                <w:position w:val="-2"/>
                <w:sz w:val="18"/>
                <w:szCs w:val="18"/>
              </w:rPr>
              <w:t>B</w:t>
            </w:r>
          </w:p>
        </w:tc>
        <w:tc>
          <w:tcPr>
            <w:tcW w:w="229" w:type="dxa"/>
            <w:tcBorders>
              <w:top w:val="single" w:color="000000" w:sz="2" w:space="0"/>
              <w:bottom w:val="single" w:color="000000" w:sz="2" w:space="0"/>
            </w:tcBorders>
            <w:vAlign w:val="top"/>
          </w:tcPr>
          <w:p w14:paraId="668F1A2D">
            <w:pPr>
              <w:pStyle w:val="6"/>
              <w:spacing w:before="68" w:line="136" w:lineRule="exact"/>
              <w:ind w:left="17"/>
              <w:rPr>
                <w:sz w:val="18"/>
                <w:szCs w:val="18"/>
              </w:rPr>
            </w:pPr>
            <w:r>
              <w:rPr>
                <w:position w:val="-2"/>
                <w:sz w:val="18"/>
                <w:szCs w:val="18"/>
              </w:rPr>
              <w:t>C</w:t>
            </w:r>
          </w:p>
        </w:tc>
        <w:tc>
          <w:tcPr>
            <w:tcW w:w="234" w:type="dxa"/>
            <w:tcBorders>
              <w:top w:val="single" w:color="000000" w:sz="2" w:space="0"/>
              <w:bottom w:val="single" w:color="000000" w:sz="2" w:space="0"/>
            </w:tcBorders>
            <w:vAlign w:val="top"/>
          </w:tcPr>
          <w:p w14:paraId="60C10D95">
            <w:pPr>
              <w:pStyle w:val="6"/>
              <w:spacing w:before="70" w:line="135" w:lineRule="exact"/>
              <w:ind w:left="21"/>
              <w:rPr>
                <w:sz w:val="18"/>
                <w:szCs w:val="18"/>
              </w:rPr>
            </w:pPr>
            <w:r>
              <w:rPr>
                <w:b/>
                <w:bCs/>
                <w:spacing w:val="-2"/>
                <w:position w:val="-2"/>
                <w:sz w:val="18"/>
                <w:szCs w:val="18"/>
              </w:rPr>
              <w:t>D</w:t>
            </w:r>
          </w:p>
        </w:tc>
      </w:tr>
      <w:tr w14:paraId="1751F4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4" w:hRule="atLeast"/>
        </w:trPr>
        <w:tc>
          <w:tcPr>
            <w:tcW w:w="883" w:type="dxa"/>
            <w:tcBorders>
              <w:top w:val="single" w:color="000000" w:sz="2" w:space="0"/>
              <w:bottom w:val="single" w:color="000000" w:sz="2" w:space="0"/>
            </w:tcBorders>
            <w:vAlign w:val="top"/>
          </w:tcPr>
          <w:p w14:paraId="3DCE1297">
            <w:pPr>
              <w:pStyle w:val="6"/>
              <w:spacing w:before="14" w:line="210" w:lineRule="auto"/>
              <w:ind w:left="254" w:right="70" w:hanging="180"/>
              <w:rPr>
                <w:sz w:val="18"/>
                <w:szCs w:val="18"/>
              </w:rPr>
            </w:pPr>
            <w:r>
              <w:rPr>
                <w:spacing w:val="1"/>
                <w:sz w:val="18"/>
                <w:szCs w:val="18"/>
              </w:rPr>
              <w:t>电磁感应</w:t>
            </w:r>
            <w:r>
              <w:rPr>
                <w:spacing w:val="2"/>
                <w:sz w:val="18"/>
                <w:szCs w:val="18"/>
              </w:rPr>
              <w:t xml:space="preserve"> </w:t>
            </w:r>
            <w:r>
              <w:rPr>
                <w:spacing w:val="-3"/>
                <w:sz w:val="18"/>
                <w:szCs w:val="18"/>
              </w:rPr>
              <w:t>现象</w:t>
            </w:r>
          </w:p>
        </w:tc>
        <w:tc>
          <w:tcPr>
            <w:tcW w:w="2334" w:type="dxa"/>
            <w:tcBorders>
              <w:top w:val="single" w:color="000000" w:sz="2" w:space="0"/>
              <w:bottom w:val="single" w:color="000000" w:sz="2" w:space="0"/>
            </w:tcBorders>
            <w:vAlign w:val="top"/>
          </w:tcPr>
          <w:p w14:paraId="3C8F93E8">
            <w:pPr>
              <w:pStyle w:val="6"/>
              <w:spacing w:before="132" w:line="219" w:lineRule="auto"/>
              <w:ind w:left="2"/>
              <w:rPr>
                <w:sz w:val="18"/>
                <w:szCs w:val="18"/>
              </w:rPr>
            </w:pPr>
            <w:r>
              <w:rPr>
                <w:spacing w:val="1"/>
                <w:sz w:val="18"/>
                <w:szCs w:val="18"/>
              </w:rPr>
              <w:t>电磁感应现象</w:t>
            </w:r>
          </w:p>
        </w:tc>
        <w:tc>
          <w:tcPr>
            <w:tcW w:w="230" w:type="dxa"/>
            <w:tcBorders>
              <w:top w:val="single" w:color="000000" w:sz="2" w:space="0"/>
              <w:bottom w:val="single" w:color="000000" w:sz="2" w:space="0"/>
            </w:tcBorders>
            <w:vAlign w:val="top"/>
          </w:tcPr>
          <w:p w14:paraId="1FC3E62E">
            <w:pPr>
              <w:rPr>
                <w:rFonts w:ascii="Arial"/>
                <w:sz w:val="21"/>
              </w:rPr>
            </w:pPr>
          </w:p>
        </w:tc>
        <w:tc>
          <w:tcPr>
            <w:tcW w:w="220" w:type="dxa"/>
            <w:tcBorders>
              <w:top w:val="single" w:color="000000" w:sz="2" w:space="0"/>
              <w:bottom w:val="single" w:color="000000" w:sz="2" w:space="0"/>
            </w:tcBorders>
            <w:vAlign w:val="top"/>
          </w:tcPr>
          <w:p w14:paraId="7519B00B">
            <w:pPr>
              <w:pStyle w:val="6"/>
              <w:spacing w:before="120" w:line="238" w:lineRule="auto"/>
              <w:ind w:left="17"/>
              <w:rPr>
                <w:sz w:val="18"/>
                <w:szCs w:val="18"/>
              </w:rPr>
            </w:pPr>
            <w:r>
              <w:rPr>
                <w:sz w:val="18"/>
                <w:szCs w:val="18"/>
              </w:rPr>
              <w:t>√</w:t>
            </w:r>
          </w:p>
        </w:tc>
        <w:tc>
          <w:tcPr>
            <w:tcW w:w="229" w:type="dxa"/>
            <w:tcBorders>
              <w:top w:val="single" w:color="000000" w:sz="2" w:space="0"/>
              <w:bottom w:val="single" w:color="000000" w:sz="2" w:space="0"/>
            </w:tcBorders>
            <w:vAlign w:val="top"/>
          </w:tcPr>
          <w:p w14:paraId="788C04E1">
            <w:pPr>
              <w:rPr>
                <w:rFonts w:ascii="Arial"/>
                <w:sz w:val="21"/>
              </w:rPr>
            </w:pPr>
          </w:p>
        </w:tc>
        <w:tc>
          <w:tcPr>
            <w:tcW w:w="234" w:type="dxa"/>
            <w:tcBorders>
              <w:top w:val="single" w:color="000000" w:sz="2" w:space="0"/>
              <w:bottom w:val="single" w:color="000000" w:sz="2" w:space="0"/>
            </w:tcBorders>
            <w:vAlign w:val="top"/>
          </w:tcPr>
          <w:p w14:paraId="11B717A3">
            <w:pPr>
              <w:rPr>
                <w:rFonts w:ascii="Arial"/>
                <w:sz w:val="21"/>
              </w:rPr>
            </w:pPr>
          </w:p>
        </w:tc>
      </w:tr>
      <w:tr w14:paraId="1B8712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4" w:hRule="atLeast"/>
        </w:trPr>
        <w:tc>
          <w:tcPr>
            <w:tcW w:w="883" w:type="dxa"/>
            <w:tcBorders>
              <w:top w:val="single" w:color="000000" w:sz="2" w:space="0"/>
              <w:bottom w:val="single" w:color="000000" w:sz="2" w:space="0"/>
            </w:tcBorders>
            <w:vAlign w:val="top"/>
          </w:tcPr>
          <w:p w14:paraId="3CFFB328">
            <w:pPr>
              <w:pStyle w:val="6"/>
              <w:spacing w:before="75" w:line="221" w:lineRule="auto"/>
              <w:ind w:left="74"/>
              <w:rPr>
                <w:sz w:val="18"/>
                <w:szCs w:val="18"/>
              </w:rPr>
            </w:pPr>
            <w:r>
              <w:rPr>
                <w:spacing w:val="-2"/>
                <w:sz w:val="18"/>
                <w:szCs w:val="18"/>
              </w:rPr>
              <w:t>感应电流</w:t>
            </w:r>
          </w:p>
          <w:p w14:paraId="46489337">
            <w:pPr>
              <w:pStyle w:val="6"/>
              <w:spacing w:before="23" w:line="215" w:lineRule="auto"/>
              <w:ind w:left="165"/>
              <w:rPr>
                <w:sz w:val="18"/>
                <w:szCs w:val="18"/>
              </w:rPr>
            </w:pPr>
            <w:r>
              <w:rPr>
                <w:spacing w:val="6"/>
                <w:sz w:val="18"/>
                <w:szCs w:val="18"/>
              </w:rPr>
              <w:t>的方向</w:t>
            </w:r>
          </w:p>
        </w:tc>
        <w:tc>
          <w:tcPr>
            <w:tcW w:w="2334" w:type="dxa"/>
            <w:tcBorders>
              <w:top w:val="single" w:color="000000" w:sz="2" w:space="0"/>
              <w:bottom w:val="single" w:color="000000" w:sz="2" w:space="0"/>
            </w:tcBorders>
            <w:vAlign w:val="top"/>
          </w:tcPr>
          <w:p w14:paraId="6A01E478">
            <w:pPr>
              <w:pStyle w:val="6"/>
              <w:spacing w:before="93" w:line="221" w:lineRule="auto"/>
              <w:ind w:left="2" w:right="1405"/>
              <w:rPr>
                <w:sz w:val="18"/>
                <w:szCs w:val="18"/>
              </w:rPr>
            </w:pPr>
            <w:r>
              <w:rPr>
                <w:spacing w:val="2"/>
                <w:sz w:val="18"/>
                <w:szCs w:val="18"/>
              </w:rPr>
              <w:t>1.右手定则</w:t>
            </w:r>
            <w:r>
              <w:rPr>
                <w:spacing w:val="3"/>
                <w:sz w:val="18"/>
                <w:szCs w:val="18"/>
              </w:rPr>
              <w:t xml:space="preserve"> </w:t>
            </w:r>
            <w:r>
              <w:rPr>
                <w:spacing w:val="-2"/>
                <w:sz w:val="18"/>
                <w:szCs w:val="18"/>
              </w:rPr>
              <w:t>2.楞次定律</w:t>
            </w:r>
          </w:p>
        </w:tc>
        <w:tc>
          <w:tcPr>
            <w:tcW w:w="230" w:type="dxa"/>
            <w:tcBorders>
              <w:top w:val="single" w:color="000000" w:sz="2" w:space="0"/>
              <w:bottom w:val="single" w:color="000000" w:sz="2" w:space="0"/>
            </w:tcBorders>
            <w:vAlign w:val="top"/>
          </w:tcPr>
          <w:p w14:paraId="0DEA7898">
            <w:pPr>
              <w:rPr>
                <w:rFonts w:ascii="Arial"/>
                <w:sz w:val="21"/>
              </w:rPr>
            </w:pPr>
          </w:p>
        </w:tc>
        <w:tc>
          <w:tcPr>
            <w:tcW w:w="220" w:type="dxa"/>
            <w:tcBorders>
              <w:top w:val="single" w:color="000000" w:sz="2" w:space="0"/>
              <w:bottom w:val="single" w:color="000000" w:sz="2" w:space="0"/>
            </w:tcBorders>
            <w:vAlign w:val="top"/>
          </w:tcPr>
          <w:p w14:paraId="31218142">
            <w:pPr>
              <w:rPr>
                <w:rFonts w:ascii="Arial"/>
                <w:sz w:val="21"/>
              </w:rPr>
            </w:pPr>
          </w:p>
        </w:tc>
        <w:tc>
          <w:tcPr>
            <w:tcW w:w="229" w:type="dxa"/>
            <w:tcBorders>
              <w:top w:val="single" w:color="000000" w:sz="2" w:space="0"/>
              <w:bottom w:val="single" w:color="000000" w:sz="2" w:space="0"/>
            </w:tcBorders>
            <w:textDirection w:val="tbRlV"/>
            <w:vAlign w:val="top"/>
          </w:tcPr>
          <w:p w14:paraId="633A3BF9">
            <w:pPr>
              <w:pStyle w:val="6"/>
              <w:spacing w:before="94" w:line="178" w:lineRule="exact"/>
              <w:ind w:left="103"/>
              <w:rPr>
                <w:sz w:val="23"/>
                <w:szCs w:val="23"/>
              </w:rPr>
            </w:pPr>
            <w:r>
              <w:rPr>
                <w:spacing w:val="26"/>
                <w:w w:val="150"/>
                <w:position w:val="-4"/>
                <w:sz w:val="23"/>
                <w:szCs w:val="23"/>
              </w:rPr>
              <w:t>V</w:t>
            </w:r>
          </w:p>
        </w:tc>
        <w:tc>
          <w:tcPr>
            <w:tcW w:w="234" w:type="dxa"/>
            <w:tcBorders>
              <w:top w:val="single" w:color="000000" w:sz="2" w:space="0"/>
              <w:bottom w:val="single" w:color="000000" w:sz="2" w:space="0"/>
            </w:tcBorders>
            <w:vAlign w:val="top"/>
          </w:tcPr>
          <w:p w14:paraId="02DBF4CB">
            <w:pPr>
              <w:rPr>
                <w:rFonts w:ascii="Arial"/>
                <w:sz w:val="21"/>
              </w:rPr>
            </w:pPr>
          </w:p>
        </w:tc>
      </w:tr>
      <w:tr w14:paraId="451324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74" w:hRule="atLeast"/>
        </w:trPr>
        <w:tc>
          <w:tcPr>
            <w:tcW w:w="883" w:type="dxa"/>
            <w:tcBorders>
              <w:top w:val="single" w:color="000000" w:sz="2" w:space="0"/>
              <w:bottom w:val="single" w:color="000000" w:sz="2" w:space="0"/>
            </w:tcBorders>
            <w:vAlign w:val="top"/>
          </w:tcPr>
          <w:p w14:paraId="07B84ADE">
            <w:pPr>
              <w:pStyle w:val="6"/>
              <w:spacing w:before="266" w:line="216" w:lineRule="auto"/>
              <w:ind w:left="254" w:right="70" w:hanging="180"/>
              <w:rPr>
                <w:sz w:val="18"/>
                <w:szCs w:val="18"/>
              </w:rPr>
            </w:pPr>
            <w:r>
              <w:rPr>
                <w:spacing w:val="1"/>
                <w:sz w:val="18"/>
                <w:szCs w:val="18"/>
              </w:rPr>
              <w:t>电磁感应</w:t>
            </w:r>
            <w:r>
              <w:rPr>
                <w:spacing w:val="2"/>
                <w:sz w:val="18"/>
                <w:szCs w:val="18"/>
              </w:rPr>
              <w:t xml:space="preserve"> </w:t>
            </w:r>
            <w:r>
              <w:rPr>
                <w:spacing w:val="-3"/>
                <w:sz w:val="18"/>
                <w:szCs w:val="18"/>
              </w:rPr>
              <w:t>定律</w:t>
            </w:r>
          </w:p>
        </w:tc>
        <w:tc>
          <w:tcPr>
            <w:tcW w:w="2334" w:type="dxa"/>
            <w:tcBorders>
              <w:top w:val="single" w:color="000000" w:sz="2" w:space="0"/>
              <w:bottom w:val="single" w:color="000000" w:sz="2" w:space="0"/>
            </w:tcBorders>
            <w:vAlign w:val="top"/>
          </w:tcPr>
          <w:p w14:paraId="53AC7C44">
            <w:pPr>
              <w:pStyle w:val="6"/>
              <w:spacing w:before="134" w:line="219" w:lineRule="auto"/>
              <w:ind w:left="2"/>
              <w:rPr>
                <w:sz w:val="18"/>
                <w:szCs w:val="18"/>
              </w:rPr>
            </w:pPr>
            <w:r>
              <w:rPr>
                <w:spacing w:val="1"/>
                <w:sz w:val="18"/>
                <w:szCs w:val="18"/>
              </w:rPr>
              <w:t>1.感应电动势</w:t>
            </w:r>
          </w:p>
          <w:p w14:paraId="49BBFB56">
            <w:pPr>
              <w:pStyle w:val="6"/>
              <w:spacing w:before="16" w:line="217" w:lineRule="auto"/>
              <w:ind w:left="2"/>
              <w:rPr>
                <w:sz w:val="18"/>
                <w:szCs w:val="18"/>
              </w:rPr>
            </w:pPr>
            <w:r>
              <w:rPr>
                <w:spacing w:val="-2"/>
                <w:sz w:val="18"/>
                <w:szCs w:val="18"/>
              </w:rPr>
              <w:t>2.切割磁感线时的感应电动势</w:t>
            </w:r>
            <w:r>
              <w:rPr>
                <w:spacing w:val="8"/>
                <w:sz w:val="18"/>
                <w:szCs w:val="18"/>
              </w:rPr>
              <w:t xml:space="preserve"> </w:t>
            </w:r>
            <w:r>
              <w:rPr>
                <w:spacing w:val="-2"/>
                <w:sz w:val="18"/>
                <w:szCs w:val="18"/>
              </w:rPr>
              <w:t>3.电磁感应定律</w:t>
            </w:r>
          </w:p>
        </w:tc>
        <w:tc>
          <w:tcPr>
            <w:tcW w:w="230" w:type="dxa"/>
            <w:tcBorders>
              <w:top w:val="single" w:color="000000" w:sz="2" w:space="0"/>
              <w:bottom w:val="single" w:color="000000" w:sz="2" w:space="0"/>
            </w:tcBorders>
            <w:vAlign w:val="top"/>
          </w:tcPr>
          <w:p w14:paraId="7B9A25B4">
            <w:pPr>
              <w:rPr>
                <w:rFonts w:ascii="Arial"/>
                <w:sz w:val="21"/>
              </w:rPr>
            </w:pPr>
          </w:p>
        </w:tc>
        <w:tc>
          <w:tcPr>
            <w:tcW w:w="220" w:type="dxa"/>
            <w:tcBorders>
              <w:top w:val="single" w:color="000000" w:sz="2" w:space="0"/>
              <w:bottom w:val="single" w:color="000000" w:sz="2" w:space="0"/>
            </w:tcBorders>
            <w:vAlign w:val="top"/>
          </w:tcPr>
          <w:p w14:paraId="72A1DBA8">
            <w:pPr>
              <w:spacing w:before="171" w:line="327" w:lineRule="exact"/>
              <w:ind w:firstLine="38"/>
            </w:pPr>
            <w:r>
              <w:rPr>
                <w:position w:val="-6"/>
              </w:rPr>
              <w:drawing>
                <wp:inline distT="0" distB="0" distL="0" distR="0">
                  <wp:extent cx="89535" cy="207010"/>
                  <wp:effectExtent l="0" t="0" r="0" b="0"/>
                  <wp:docPr id="144" name="IM 144"/>
                  <wp:cNvGraphicFramePr/>
                  <a:graphic xmlns:a="http://schemas.openxmlformats.org/drawingml/2006/main">
                    <a:graphicData uri="http://schemas.openxmlformats.org/drawingml/2006/picture">
                      <pic:pic xmlns:pic="http://schemas.openxmlformats.org/drawingml/2006/picture">
                        <pic:nvPicPr>
                          <pic:cNvPr id="144" name="IM 144"/>
                          <pic:cNvPicPr/>
                        </pic:nvPicPr>
                        <pic:blipFill>
                          <a:blip r:embed="rId237"/>
                          <a:stretch>
                            <a:fillRect/>
                          </a:stretch>
                        </pic:blipFill>
                        <pic:spPr>
                          <a:xfrm>
                            <a:off x="0" y="0"/>
                            <a:ext cx="89670" cy="207559"/>
                          </a:xfrm>
                          <a:prstGeom prst="rect">
                            <a:avLst/>
                          </a:prstGeom>
                        </pic:spPr>
                      </pic:pic>
                    </a:graphicData>
                  </a:graphic>
                </wp:inline>
              </w:drawing>
            </w:r>
          </w:p>
        </w:tc>
        <w:tc>
          <w:tcPr>
            <w:tcW w:w="229" w:type="dxa"/>
            <w:tcBorders>
              <w:top w:val="single" w:color="000000" w:sz="2" w:space="0"/>
              <w:bottom w:val="single" w:color="000000" w:sz="2" w:space="0"/>
            </w:tcBorders>
            <w:vAlign w:val="top"/>
          </w:tcPr>
          <w:p w14:paraId="66F16B5F">
            <w:pPr>
              <w:rPr>
                <w:rFonts w:ascii="Arial"/>
                <w:sz w:val="21"/>
              </w:rPr>
            </w:pPr>
          </w:p>
        </w:tc>
        <w:tc>
          <w:tcPr>
            <w:tcW w:w="234" w:type="dxa"/>
            <w:tcBorders>
              <w:top w:val="single" w:color="000000" w:sz="2" w:space="0"/>
              <w:bottom w:val="single" w:color="000000" w:sz="2" w:space="0"/>
            </w:tcBorders>
            <w:vAlign w:val="top"/>
          </w:tcPr>
          <w:p w14:paraId="124A019E">
            <w:pPr>
              <w:rPr>
                <w:rFonts w:ascii="Arial"/>
                <w:sz w:val="21"/>
              </w:rPr>
            </w:pPr>
          </w:p>
        </w:tc>
      </w:tr>
      <w:tr w14:paraId="64E711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13" w:hRule="atLeast"/>
        </w:trPr>
        <w:tc>
          <w:tcPr>
            <w:tcW w:w="883" w:type="dxa"/>
            <w:tcBorders>
              <w:top w:val="single" w:color="000000" w:sz="2" w:space="0"/>
              <w:bottom w:val="single" w:color="000000" w:sz="2" w:space="0"/>
            </w:tcBorders>
            <w:vAlign w:val="top"/>
          </w:tcPr>
          <w:p w14:paraId="0BDDA049">
            <w:pPr>
              <w:spacing w:line="463" w:lineRule="auto"/>
              <w:rPr>
                <w:rFonts w:ascii="Arial"/>
                <w:sz w:val="21"/>
              </w:rPr>
            </w:pPr>
          </w:p>
          <w:p w14:paraId="43A327E0">
            <w:pPr>
              <w:pStyle w:val="6"/>
              <w:spacing w:before="58" w:line="219" w:lineRule="auto"/>
              <w:ind w:left="74"/>
              <w:rPr>
                <w:sz w:val="18"/>
                <w:szCs w:val="18"/>
              </w:rPr>
            </w:pPr>
            <w:r>
              <w:rPr>
                <w:spacing w:val="1"/>
                <w:sz w:val="18"/>
                <w:szCs w:val="18"/>
              </w:rPr>
              <w:t>自感现象</w:t>
            </w:r>
          </w:p>
        </w:tc>
        <w:tc>
          <w:tcPr>
            <w:tcW w:w="2334" w:type="dxa"/>
            <w:tcBorders>
              <w:top w:val="single" w:color="000000" w:sz="2" w:space="0"/>
              <w:bottom w:val="single" w:color="000000" w:sz="2" w:space="0"/>
            </w:tcBorders>
            <w:vAlign w:val="top"/>
          </w:tcPr>
          <w:p w14:paraId="7BF8455A">
            <w:pPr>
              <w:pStyle w:val="6"/>
              <w:spacing w:before="195" w:line="222" w:lineRule="auto"/>
              <w:ind w:left="2" w:right="1414"/>
              <w:rPr>
                <w:sz w:val="18"/>
                <w:szCs w:val="18"/>
              </w:rPr>
            </w:pPr>
            <w:r>
              <w:rPr>
                <w:spacing w:val="-6"/>
                <w:sz w:val="18"/>
                <w:szCs w:val="18"/>
              </w:rPr>
              <w:t>1.</w:t>
            </w:r>
            <w:r>
              <w:rPr>
                <w:spacing w:val="-48"/>
                <w:sz w:val="18"/>
                <w:szCs w:val="18"/>
              </w:rPr>
              <w:t xml:space="preserve"> </w:t>
            </w:r>
            <w:r>
              <w:rPr>
                <w:spacing w:val="-6"/>
                <w:sz w:val="18"/>
                <w:szCs w:val="18"/>
              </w:rPr>
              <w:t>自感现象</w:t>
            </w:r>
            <w:r>
              <w:rPr>
                <w:sz w:val="18"/>
                <w:szCs w:val="18"/>
              </w:rPr>
              <w:t xml:space="preserve"> </w:t>
            </w:r>
            <w:r>
              <w:rPr>
                <w:spacing w:val="-7"/>
                <w:sz w:val="18"/>
                <w:szCs w:val="18"/>
              </w:rPr>
              <w:t>2.</w:t>
            </w:r>
            <w:r>
              <w:rPr>
                <w:spacing w:val="-50"/>
                <w:sz w:val="18"/>
                <w:szCs w:val="18"/>
              </w:rPr>
              <w:t xml:space="preserve"> </w:t>
            </w:r>
            <w:r>
              <w:rPr>
                <w:spacing w:val="-7"/>
                <w:sz w:val="18"/>
                <w:szCs w:val="18"/>
              </w:rPr>
              <w:t>自感系数</w:t>
            </w:r>
          </w:p>
          <w:p w14:paraId="573E76A3">
            <w:pPr>
              <w:pStyle w:val="6"/>
              <w:spacing w:before="26" w:line="205" w:lineRule="auto"/>
              <w:ind w:left="2"/>
              <w:rPr>
                <w:sz w:val="18"/>
                <w:szCs w:val="18"/>
              </w:rPr>
            </w:pPr>
            <w:r>
              <w:rPr>
                <w:spacing w:val="-4"/>
                <w:sz w:val="18"/>
                <w:szCs w:val="18"/>
              </w:rPr>
              <w:t>3.</w:t>
            </w:r>
            <w:r>
              <w:rPr>
                <w:spacing w:val="-45"/>
                <w:sz w:val="18"/>
                <w:szCs w:val="18"/>
              </w:rPr>
              <w:t xml:space="preserve"> </w:t>
            </w:r>
            <w:r>
              <w:rPr>
                <w:spacing w:val="-4"/>
                <w:sz w:val="18"/>
                <w:szCs w:val="18"/>
              </w:rPr>
              <w:t>自感电动势</w:t>
            </w:r>
          </w:p>
          <w:p w14:paraId="1DF9CBEF">
            <w:pPr>
              <w:pStyle w:val="6"/>
              <w:spacing w:line="219" w:lineRule="auto"/>
              <w:ind w:left="2"/>
              <w:rPr>
                <w:sz w:val="18"/>
                <w:szCs w:val="18"/>
              </w:rPr>
            </w:pPr>
            <w:r>
              <w:rPr>
                <w:spacing w:val="-2"/>
                <w:sz w:val="18"/>
                <w:szCs w:val="18"/>
              </w:rPr>
              <w:t>4.</w:t>
            </w:r>
            <w:r>
              <w:rPr>
                <w:spacing w:val="-50"/>
                <w:sz w:val="18"/>
                <w:szCs w:val="18"/>
              </w:rPr>
              <w:t xml:space="preserve"> </w:t>
            </w:r>
            <w:r>
              <w:rPr>
                <w:spacing w:val="-2"/>
                <w:sz w:val="18"/>
                <w:szCs w:val="18"/>
              </w:rPr>
              <w:t>自感现象应用</w:t>
            </w:r>
          </w:p>
        </w:tc>
        <w:tc>
          <w:tcPr>
            <w:tcW w:w="230" w:type="dxa"/>
            <w:tcBorders>
              <w:top w:val="single" w:color="000000" w:sz="2" w:space="0"/>
              <w:bottom w:val="single" w:color="000000" w:sz="2" w:space="0"/>
            </w:tcBorders>
            <w:vAlign w:val="top"/>
          </w:tcPr>
          <w:p w14:paraId="5487692B">
            <w:pPr>
              <w:rPr>
                <w:rFonts w:ascii="Arial"/>
                <w:sz w:val="21"/>
              </w:rPr>
            </w:pPr>
          </w:p>
        </w:tc>
        <w:tc>
          <w:tcPr>
            <w:tcW w:w="220" w:type="dxa"/>
            <w:tcBorders>
              <w:top w:val="single" w:color="000000" w:sz="2" w:space="0"/>
              <w:bottom w:val="single" w:color="000000" w:sz="2" w:space="0"/>
            </w:tcBorders>
            <w:vAlign w:val="top"/>
          </w:tcPr>
          <w:p w14:paraId="100A0676">
            <w:pPr>
              <w:rPr>
                <w:rFonts w:ascii="Arial"/>
                <w:sz w:val="21"/>
              </w:rPr>
            </w:pPr>
          </w:p>
        </w:tc>
        <w:tc>
          <w:tcPr>
            <w:tcW w:w="229" w:type="dxa"/>
            <w:tcBorders>
              <w:top w:val="single" w:color="000000" w:sz="2" w:space="0"/>
              <w:bottom w:val="single" w:color="000000" w:sz="2" w:space="0"/>
            </w:tcBorders>
            <w:vAlign w:val="top"/>
          </w:tcPr>
          <w:p w14:paraId="169272F4">
            <w:pPr>
              <w:rPr>
                <w:rFonts w:ascii="Arial"/>
                <w:sz w:val="21"/>
              </w:rPr>
            </w:pPr>
          </w:p>
        </w:tc>
        <w:tc>
          <w:tcPr>
            <w:tcW w:w="234" w:type="dxa"/>
            <w:tcBorders>
              <w:top w:val="single" w:color="000000" w:sz="2" w:space="0"/>
              <w:bottom w:val="single" w:color="000000" w:sz="2" w:space="0"/>
            </w:tcBorders>
            <w:vAlign w:val="top"/>
          </w:tcPr>
          <w:p w14:paraId="5E836A2A">
            <w:pPr>
              <w:rPr>
                <w:rFonts w:ascii="Arial"/>
                <w:sz w:val="21"/>
              </w:rPr>
            </w:pPr>
          </w:p>
        </w:tc>
      </w:tr>
      <w:tr w14:paraId="5CA52B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4" w:hRule="atLeast"/>
        </w:trPr>
        <w:tc>
          <w:tcPr>
            <w:tcW w:w="883" w:type="dxa"/>
            <w:tcBorders>
              <w:top w:val="single" w:color="000000" w:sz="2" w:space="0"/>
              <w:bottom w:val="single" w:color="000000" w:sz="2" w:space="0"/>
            </w:tcBorders>
            <w:vAlign w:val="top"/>
          </w:tcPr>
          <w:p w14:paraId="74FFD3B5">
            <w:pPr>
              <w:pStyle w:val="6"/>
              <w:spacing w:before="136" w:line="219" w:lineRule="auto"/>
              <w:ind w:left="74"/>
              <w:rPr>
                <w:sz w:val="18"/>
                <w:szCs w:val="18"/>
              </w:rPr>
            </w:pPr>
            <w:r>
              <w:rPr>
                <w:spacing w:val="-2"/>
                <w:sz w:val="18"/>
                <w:szCs w:val="18"/>
              </w:rPr>
              <w:t>互感现象</w:t>
            </w:r>
          </w:p>
        </w:tc>
        <w:tc>
          <w:tcPr>
            <w:tcW w:w="2334" w:type="dxa"/>
            <w:tcBorders>
              <w:top w:val="single" w:color="000000" w:sz="2" w:space="0"/>
              <w:bottom w:val="single" w:color="000000" w:sz="2" w:space="0"/>
            </w:tcBorders>
            <w:vAlign w:val="top"/>
          </w:tcPr>
          <w:p w14:paraId="3880989B">
            <w:pPr>
              <w:pStyle w:val="6"/>
              <w:spacing w:before="136" w:line="219" w:lineRule="auto"/>
              <w:ind w:left="2"/>
              <w:rPr>
                <w:sz w:val="18"/>
                <w:szCs w:val="18"/>
              </w:rPr>
            </w:pPr>
            <w:r>
              <w:rPr>
                <w:spacing w:val="-2"/>
                <w:sz w:val="18"/>
                <w:szCs w:val="18"/>
              </w:rPr>
              <w:t>互感现象</w:t>
            </w:r>
          </w:p>
        </w:tc>
        <w:tc>
          <w:tcPr>
            <w:tcW w:w="230" w:type="dxa"/>
            <w:tcBorders>
              <w:top w:val="single" w:color="000000" w:sz="2" w:space="0"/>
              <w:bottom w:val="single" w:color="000000" w:sz="2" w:space="0"/>
            </w:tcBorders>
            <w:vAlign w:val="top"/>
          </w:tcPr>
          <w:p w14:paraId="7A2E65B8">
            <w:pPr>
              <w:rPr>
                <w:rFonts w:ascii="Arial"/>
                <w:sz w:val="21"/>
              </w:rPr>
            </w:pPr>
          </w:p>
        </w:tc>
        <w:tc>
          <w:tcPr>
            <w:tcW w:w="220" w:type="dxa"/>
            <w:tcBorders>
              <w:top w:val="single" w:color="000000" w:sz="2" w:space="0"/>
              <w:bottom w:val="single" w:color="000000" w:sz="2" w:space="0"/>
            </w:tcBorders>
            <w:vAlign w:val="top"/>
          </w:tcPr>
          <w:p w14:paraId="7D216746">
            <w:pPr>
              <w:rPr>
                <w:rFonts w:ascii="Arial"/>
                <w:sz w:val="21"/>
              </w:rPr>
            </w:pPr>
          </w:p>
        </w:tc>
        <w:tc>
          <w:tcPr>
            <w:tcW w:w="229" w:type="dxa"/>
            <w:tcBorders>
              <w:top w:val="single" w:color="000000" w:sz="2" w:space="0"/>
              <w:bottom w:val="single" w:color="000000" w:sz="2" w:space="0"/>
            </w:tcBorders>
            <w:vAlign w:val="top"/>
          </w:tcPr>
          <w:p w14:paraId="7227AB91">
            <w:pPr>
              <w:rPr>
                <w:rFonts w:ascii="Arial"/>
                <w:sz w:val="21"/>
              </w:rPr>
            </w:pPr>
          </w:p>
        </w:tc>
        <w:tc>
          <w:tcPr>
            <w:tcW w:w="234" w:type="dxa"/>
            <w:tcBorders>
              <w:top w:val="single" w:color="000000" w:sz="2" w:space="0"/>
              <w:bottom w:val="single" w:color="000000" w:sz="2" w:space="0"/>
            </w:tcBorders>
            <w:vAlign w:val="top"/>
          </w:tcPr>
          <w:p w14:paraId="753230D3">
            <w:pPr>
              <w:rPr>
                <w:rFonts w:ascii="Arial"/>
                <w:sz w:val="21"/>
              </w:rPr>
            </w:pPr>
          </w:p>
        </w:tc>
      </w:tr>
      <w:tr w14:paraId="25EFF1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89" w:hRule="atLeast"/>
        </w:trPr>
        <w:tc>
          <w:tcPr>
            <w:tcW w:w="883" w:type="dxa"/>
            <w:tcBorders>
              <w:top w:val="single" w:color="000000" w:sz="2" w:space="0"/>
              <w:bottom w:val="single" w:color="000000" w:sz="2" w:space="0"/>
            </w:tcBorders>
            <w:vAlign w:val="top"/>
          </w:tcPr>
          <w:p w14:paraId="6DACBAB7">
            <w:pPr>
              <w:pStyle w:val="6"/>
              <w:spacing w:before="249" w:line="221" w:lineRule="auto"/>
              <w:ind w:left="74"/>
              <w:rPr>
                <w:sz w:val="18"/>
                <w:szCs w:val="18"/>
              </w:rPr>
            </w:pPr>
            <w:r>
              <w:rPr>
                <w:spacing w:val="1"/>
                <w:sz w:val="18"/>
                <w:szCs w:val="18"/>
              </w:rPr>
              <w:t>电磁感应</w:t>
            </w:r>
          </w:p>
          <w:p w14:paraId="15B31764">
            <w:pPr>
              <w:pStyle w:val="6"/>
              <w:spacing w:before="22" w:line="221" w:lineRule="auto"/>
              <w:ind w:left="165"/>
              <w:rPr>
                <w:sz w:val="18"/>
                <w:szCs w:val="18"/>
              </w:rPr>
            </w:pPr>
            <w:r>
              <w:rPr>
                <w:spacing w:val="7"/>
                <w:sz w:val="18"/>
                <w:szCs w:val="18"/>
              </w:rPr>
              <w:t>的应用</w:t>
            </w:r>
          </w:p>
        </w:tc>
        <w:tc>
          <w:tcPr>
            <w:tcW w:w="2334" w:type="dxa"/>
            <w:tcBorders>
              <w:top w:val="single" w:color="000000" w:sz="2" w:space="0"/>
              <w:bottom w:val="single" w:color="000000" w:sz="2" w:space="0"/>
            </w:tcBorders>
            <w:vAlign w:val="top"/>
          </w:tcPr>
          <w:p w14:paraId="46F7DAD9">
            <w:pPr>
              <w:pStyle w:val="6"/>
              <w:spacing w:before="148" w:line="221" w:lineRule="auto"/>
              <w:ind w:left="2"/>
              <w:rPr>
                <w:sz w:val="18"/>
                <w:szCs w:val="18"/>
              </w:rPr>
            </w:pPr>
            <w:r>
              <w:rPr>
                <w:spacing w:val="2"/>
                <w:sz w:val="18"/>
                <w:szCs w:val="18"/>
              </w:rPr>
              <w:t>1.涡流</w:t>
            </w:r>
          </w:p>
          <w:p w14:paraId="41739254">
            <w:pPr>
              <w:pStyle w:val="6"/>
              <w:spacing w:before="3" w:line="217" w:lineRule="auto"/>
              <w:ind w:left="2" w:right="1230"/>
              <w:rPr>
                <w:sz w:val="18"/>
                <w:szCs w:val="18"/>
              </w:rPr>
            </w:pPr>
            <w:r>
              <w:rPr>
                <w:spacing w:val="1"/>
                <w:sz w:val="18"/>
                <w:szCs w:val="18"/>
              </w:rPr>
              <w:t>2.动圈式话筒</w:t>
            </w:r>
            <w:r>
              <w:rPr>
                <w:spacing w:val="3"/>
                <w:sz w:val="18"/>
                <w:szCs w:val="18"/>
              </w:rPr>
              <w:t xml:space="preserve"> </w:t>
            </w:r>
            <w:r>
              <w:rPr>
                <w:spacing w:val="-3"/>
                <w:sz w:val="18"/>
                <w:szCs w:val="18"/>
              </w:rPr>
              <w:t>3.磁屏蔽</w:t>
            </w:r>
          </w:p>
        </w:tc>
        <w:tc>
          <w:tcPr>
            <w:tcW w:w="230" w:type="dxa"/>
            <w:tcBorders>
              <w:top w:val="single" w:color="000000" w:sz="2" w:space="0"/>
              <w:bottom w:val="single" w:color="000000" w:sz="2" w:space="0"/>
            </w:tcBorders>
            <w:vAlign w:val="top"/>
          </w:tcPr>
          <w:p w14:paraId="1619CB48">
            <w:pPr>
              <w:rPr>
                <w:rFonts w:ascii="Arial"/>
                <w:sz w:val="21"/>
              </w:rPr>
            </w:pPr>
          </w:p>
        </w:tc>
        <w:tc>
          <w:tcPr>
            <w:tcW w:w="220" w:type="dxa"/>
            <w:tcBorders>
              <w:top w:val="single" w:color="000000" w:sz="2" w:space="0"/>
              <w:bottom w:val="single" w:color="000000" w:sz="2" w:space="0"/>
            </w:tcBorders>
            <w:vAlign w:val="top"/>
          </w:tcPr>
          <w:p w14:paraId="04A98B7B">
            <w:pPr>
              <w:spacing w:line="309" w:lineRule="auto"/>
              <w:rPr>
                <w:rFonts w:ascii="Arial"/>
                <w:sz w:val="21"/>
              </w:rPr>
            </w:pPr>
          </w:p>
          <w:p w14:paraId="3352E225">
            <w:pPr>
              <w:spacing w:line="302" w:lineRule="exact"/>
              <w:ind w:firstLine="33"/>
            </w:pPr>
            <w:r>
              <w:rPr>
                <w:position w:val="-6"/>
              </w:rPr>
              <w:drawing>
                <wp:inline distT="0" distB="0" distL="0" distR="0">
                  <wp:extent cx="94615" cy="191770"/>
                  <wp:effectExtent l="0" t="0" r="0" b="0"/>
                  <wp:docPr id="146" name="IM 146"/>
                  <wp:cNvGraphicFramePr/>
                  <a:graphic xmlns:a="http://schemas.openxmlformats.org/drawingml/2006/main">
                    <a:graphicData uri="http://schemas.openxmlformats.org/drawingml/2006/picture">
                      <pic:pic xmlns:pic="http://schemas.openxmlformats.org/drawingml/2006/picture">
                        <pic:nvPicPr>
                          <pic:cNvPr id="146" name="IM 146"/>
                          <pic:cNvPicPr/>
                        </pic:nvPicPr>
                        <pic:blipFill>
                          <a:blip r:embed="rId238"/>
                          <a:stretch>
                            <a:fillRect/>
                          </a:stretch>
                        </pic:blipFill>
                        <pic:spPr>
                          <a:xfrm>
                            <a:off x="0" y="0"/>
                            <a:ext cx="95241" cy="191858"/>
                          </a:xfrm>
                          <a:prstGeom prst="rect">
                            <a:avLst/>
                          </a:prstGeom>
                        </pic:spPr>
                      </pic:pic>
                    </a:graphicData>
                  </a:graphic>
                </wp:inline>
              </w:drawing>
            </w:r>
          </w:p>
        </w:tc>
        <w:tc>
          <w:tcPr>
            <w:tcW w:w="229" w:type="dxa"/>
            <w:tcBorders>
              <w:top w:val="single" w:color="000000" w:sz="2" w:space="0"/>
              <w:bottom w:val="single" w:color="000000" w:sz="2" w:space="0"/>
            </w:tcBorders>
            <w:vAlign w:val="top"/>
          </w:tcPr>
          <w:p w14:paraId="7568E7DF">
            <w:pPr>
              <w:rPr>
                <w:rFonts w:ascii="Arial"/>
                <w:sz w:val="21"/>
              </w:rPr>
            </w:pPr>
          </w:p>
        </w:tc>
        <w:tc>
          <w:tcPr>
            <w:tcW w:w="234" w:type="dxa"/>
            <w:tcBorders>
              <w:top w:val="single" w:color="000000" w:sz="2" w:space="0"/>
              <w:bottom w:val="single" w:color="000000" w:sz="2" w:space="0"/>
            </w:tcBorders>
            <w:vAlign w:val="top"/>
          </w:tcPr>
          <w:p w14:paraId="6B90154F">
            <w:pPr>
              <w:rPr>
                <w:rFonts w:ascii="Arial"/>
                <w:sz w:val="21"/>
              </w:rPr>
            </w:pPr>
          </w:p>
        </w:tc>
      </w:tr>
    </w:tbl>
    <w:p w14:paraId="44A17D53">
      <w:pPr>
        <w:pStyle w:val="2"/>
        <w:spacing w:line="14" w:lineRule="auto"/>
        <w:rPr>
          <w:sz w:val="2"/>
        </w:rPr>
      </w:pPr>
    </w:p>
    <w:p w14:paraId="2D7CBA8C">
      <w:pPr>
        <w:pStyle w:val="2"/>
        <w:spacing w:line="14" w:lineRule="auto"/>
        <w:rPr>
          <w:sz w:val="2"/>
        </w:rPr>
      </w:pPr>
      <w:r>
        <w:rPr>
          <w:sz w:val="2"/>
          <w:szCs w:val="2"/>
        </w:rPr>
        <w:br w:type="column"/>
      </w:r>
    </w:p>
    <w:p w14:paraId="2625EFF1">
      <w:pPr>
        <w:spacing w:before="48" w:line="221" w:lineRule="auto"/>
        <w:ind w:left="677"/>
        <w:rPr>
          <w:rFonts w:ascii="黑体" w:hAnsi="黑体" w:eastAsia="黑体" w:cs="黑体"/>
          <w:sz w:val="20"/>
          <w:szCs w:val="20"/>
        </w:rPr>
      </w:pPr>
      <w:r>
        <w:rPr>
          <w:rFonts w:ascii="黑体" w:hAnsi="黑体" w:eastAsia="黑体" w:cs="黑体"/>
          <w:b/>
          <w:bCs/>
          <w:spacing w:val="-4"/>
          <w:sz w:val="20"/>
          <w:szCs w:val="20"/>
        </w:rPr>
        <w:t>第七章</w:t>
      </w:r>
      <w:r>
        <w:rPr>
          <w:rFonts w:ascii="黑体" w:hAnsi="黑体" w:eastAsia="黑体" w:cs="黑体"/>
          <w:spacing w:val="-4"/>
          <w:sz w:val="20"/>
          <w:szCs w:val="20"/>
        </w:rPr>
        <w:t xml:space="preserve">  </w:t>
      </w:r>
      <w:r>
        <w:rPr>
          <w:rFonts w:ascii="黑体" w:hAnsi="黑体" w:eastAsia="黑体" w:cs="黑体"/>
          <w:b/>
          <w:bCs/>
          <w:spacing w:val="-4"/>
          <w:sz w:val="20"/>
          <w:szCs w:val="20"/>
        </w:rPr>
        <w:t>正弦交流电的基本概念</w:t>
      </w:r>
    </w:p>
    <w:p w14:paraId="2440573A">
      <w:pPr>
        <w:spacing w:line="72" w:lineRule="exact"/>
      </w:pPr>
    </w:p>
    <w:tbl>
      <w:tblPr>
        <w:tblStyle w:val="5"/>
        <w:tblW w:w="413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83"/>
        <w:gridCol w:w="2334"/>
        <w:gridCol w:w="230"/>
        <w:gridCol w:w="220"/>
        <w:gridCol w:w="229"/>
        <w:gridCol w:w="234"/>
      </w:tblGrid>
      <w:tr w14:paraId="68F54C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4" w:hRule="atLeast"/>
        </w:trPr>
        <w:tc>
          <w:tcPr>
            <w:tcW w:w="883" w:type="dxa"/>
            <w:vMerge w:val="restart"/>
            <w:tcBorders>
              <w:bottom w:val="nil"/>
            </w:tcBorders>
            <w:vAlign w:val="top"/>
          </w:tcPr>
          <w:p w14:paraId="063D488A">
            <w:pPr>
              <w:pStyle w:val="6"/>
              <w:spacing w:before="31" w:line="218" w:lineRule="auto"/>
              <w:ind w:left="266" w:right="25" w:hanging="259"/>
            </w:pPr>
            <w:r>
              <w:rPr>
                <w:b/>
                <w:bCs/>
                <w:spacing w:val="-4"/>
              </w:rPr>
              <w:t>知识与技能</w:t>
            </w:r>
            <w:r>
              <w:t xml:space="preserve"> </w:t>
            </w:r>
            <w:r>
              <w:rPr>
                <w:b/>
                <w:bCs/>
                <w:spacing w:val="-4"/>
              </w:rPr>
              <w:t>要点</w:t>
            </w:r>
          </w:p>
        </w:tc>
        <w:tc>
          <w:tcPr>
            <w:tcW w:w="2334" w:type="dxa"/>
            <w:vMerge w:val="restart"/>
            <w:tcBorders>
              <w:bottom w:val="nil"/>
            </w:tcBorders>
            <w:vAlign w:val="top"/>
          </w:tcPr>
          <w:p w14:paraId="19880D4C">
            <w:pPr>
              <w:pStyle w:val="6"/>
              <w:spacing w:before="139" w:line="219" w:lineRule="auto"/>
              <w:ind w:left="844"/>
            </w:pPr>
            <w:r>
              <w:rPr>
                <w:b/>
                <w:bCs/>
                <w:spacing w:val="5"/>
              </w:rPr>
              <w:t>考试条目</w:t>
            </w:r>
          </w:p>
        </w:tc>
        <w:tc>
          <w:tcPr>
            <w:tcW w:w="913" w:type="dxa"/>
            <w:gridSpan w:val="4"/>
            <w:vAlign w:val="top"/>
          </w:tcPr>
          <w:p w14:paraId="70AD5F31">
            <w:pPr>
              <w:pStyle w:val="6"/>
              <w:spacing w:before="28" w:line="201" w:lineRule="auto"/>
              <w:ind w:left="120"/>
            </w:pPr>
            <w:r>
              <w:rPr>
                <w:b/>
                <w:bCs/>
                <w:spacing w:val="-4"/>
              </w:rPr>
              <w:t>考试水平</w:t>
            </w:r>
          </w:p>
        </w:tc>
      </w:tr>
      <w:tr w14:paraId="6C28A4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9" w:hRule="atLeast"/>
        </w:trPr>
        <w:tc>
          <w:tcPr>
            <w:tcW w:w="883" w:type="dxa"/>
            <w:vMerge w:val="continue"/>
            <w:tcBorders>
              <w:top w:val="nil"/>
            </w:tcBorders>
            <w:vAlign w:val="top"/>
          </w:tcPr>
          <w:p w14:paraId="5B072113">
            <w:pPr>
              <w:rPr>
                <w:rFonts w:ascii="Arial"/>
                <w:sz w:val="21"/>
              </w:rPr>
            </w:pPr>
          </w:p>
        </w:tc>
        <w:tc>
          <w:tcPr>
            <w:tcW w:w="2334" w:type="dxa"/>
            <w:vMerge w:val="continue"/>
            <w:tcBorders>
              <w:top w:val="nil"/>
            </w:tcBorders>
            <w:vAlign w:val="top"/>
          </w:tcPr>
          <w:p w14:paraId="2AE8F3FD">
            <w:pPr>
              <w:rPr>
                <w:rFonts w:ascii="Arial"/>
                <w:sz w:val="21"/>
              </w:rPr>
            </w:pPr>
          </w:p>
        </w:tc>
        <w:tc>
          <w:tcPr>
            <w:tcW w:w="230" w:type="dxa"/>
            <w:vAlign w:val="top"/>
          </w:tcPr>
          <w:p w14:paraId="2AE524C3">
            <w:pPr>
              <w:pStyle w:val="6"/>
              <w:spacing w:before="60" w:line="139" w:lineRule="exact"/>
              <w:ind w:left="20"/>
            </w:pPr>
            <w:r>
              <w:rPr>
                <w:b/>
                <w:bCs/>
                <w:spacing w:val="-2"/>
                <w:position w:val="-2"/>
              </w:rPr>
              <w:t>A</w:t>
            </w:r>
          </w:p>
        </w:tc>
        <w:tc>
          <w:tcPr>
            <w:tcW w:w="220" w:type="dxa"/>
            <w:vAlign w:val="top"/>
          </w:tcPr>
          <w:p w14:paraId="07FB4B3E">
            <w:pPr>
              <w:pStyle w:val="6"/>
              <w:spacing w:before="62" w:line="137" w:lineRule="exact"/>
              <w:ind w:left="40"/>
            </w:pPr>
            <w:r>
              <w:rPr>
                <w:b/>
                <w:bCs/>
                <w:spacing w:val="-2"/>
                <w:position w:val="-2"/>
              </w:rPr>
              <w:t>B</w:t>
            </w:r>
          </w:p>
        </w:tc>
        <w:tc>
          <w:tcPr>
            <w:tcW w:w="229" w:type="dxa"/>
            <w:vAlign w:val="top"/>
          </w:tcPr>
          <w:p w14:paraId="7ACA9F04">
            <w:pPr>
              <w:pStyle w:val="6"/>
              <w:spacing w:before="60" w:line="139" w:lineRule="exact"/>
              <w:ind w:left="20"/>
            </w:pPr>
            <w:r>
              <w:rPr>
                <w:b/>
                <w:bCs/>
                <w:spacing w:val="-2"/>
                <w:position w:val="-2"/>
              </w:rPr>
              <w:t>C</w:t>
            </w:r>
          </w:p>
        </w:tc>
        <w:tc>
          <w:tcPr>
            <w:tcW w:w="234" w:type="dxa"/>
            <w:vAlign w:val="top"/>
          </w:tcPr>
          <w:p w14:paraId="0647E86A">
            <w:pPr>
              <w:pStyle w:val="6"/>
              <w:spacing w:before="62" w:line="137" w:lineRule="exact"/>
              <w:ind w:left="21"/>
            </w:pPr>
            <w:r>
              <w:rPr>
                <w:b/>
                <w:bCs/>
                <w:spacing w:val="-2"/>
                <w:position w:val="-2"/>
              </w:rPr>
              <w:t>D</w:t>
            </w:r>
          </w:p>
        </w:tc>
      </w:tr>
      <w:tr w14:paraId="3D40CF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7" w:hRule="atLeast"/>
        </w:trPr>
        <w:tc>
          <w:tcPr>
            <w:tcW w:w="883" w:type="dxa"/>
            <w:vAlign w:val="top"/>
          </w:tcPr>
          <w:p w14:paraId="19D8FAA0">
            <w:pPr>
              <w:spacing w:line="323" w:lineRule="auto"/>
              <w:rPr>
                <w:rFonts w:ascii="Arial"/>
                <w:sz w:val="21"/>
              </w:rPr>
            </w:pPr>
          </w:p>
          <w:p w14:paraId="68A69FE1">
            <w:pPr>
              <w:pStyle w:val="6"/>
              <w:spacing w:before="55" w:line="228" w:lineRule="auto"/>
              <w:ind w:left="264" w:right="84" w:hanging="170"/>
            </w:pPr>
            <w:r>
              <w:rPr>
                <w:spacing w:val="3"/>
              </w:rPr>
              <w:t>交流电的</w:t>
            </w:r>
            <w:r>
              <w:t xml:space="preserve"> </w:t>
            </w:r>
            <w:r>
              <w:rPr>
                <w:spacing w:val="-2"/>
              </w:rPr>
              <w:t>产生</w:t>
            </w:r>
          </w:p>
        </w:tc>
        <w:tc>
          <w:tcPr>
            <w:tcW w:w="2334" w:type="dxa"/>
            <w:vAlign w:val="top"/>
          </w:tcPr>
          <w:p w14:paraId="6F65A79F">
            <w:pPr>
              <w:pStyle w:val="6"/>
              <w:spacing w:before="169" w:line="221" w:lineRule="auto"/>
              <w:ind w:left="2"/>
            </w:pPr>
            <w:r>
              <w:rPr>
                <w:spacing w:val="1"/>
              </w:rPr>
              <w:t>1.正弦交流电</w:t>
            </w:r>
          </w:p>
          <w:p w14:paraId="4216B1CE">
            <w:pPr>
              <w:pStyle w:val="6"/>
              <w:spacing w:before="25" w:line="218" w:lineRule="auto"/>
              <w:ind w:left="2"/>
            </w:pPr>
            <w:r>
              <w:rPr>
                <w:spacing w:val="-1"/>
              </w:rPr>
              <w:t>2.交流电的产生</w:t>
            </w:r>
          </w:p>
          <w:p w14:paraId="41028983">
            <w:pPr>
              <w:pStyle w:val="6"/>
              <w:spacing w:before="1" w:line="245" w:lineRule="auto"/>
              <w:ind w:left="2" w:right="947"/>
            </w:pPr>
            <w:r>
              <w:rPr>
                <w:spacing w:val="1"/>
              </w:rPr>
              <w:t>3.交流电的波形图</w:t>
            </w:r>
            <w:r>
              <w:rPr>
                <w:spacing w:val="4"/>
              </w:rPr>
              <w:t xml:space="preserve"> </w:t>
            </w:r>
            <w:r>
              <w:rPr>
                <w:spacing w:val="-1"/>
              </w:rPr>
              <w:t>4.交流电发电机</w:t>
            </w:r>
          </w:p>
        </w:tc>
        <w:tc>
          <w:tcPr>
            <w:tcW w:w="230" w:type="dxa"/>
            <w:vAlign w:val="top"/>
          </w:tcPr>
          <w:p w14:paraId="00156102">
            <w:pPr>
              <w:rPr>
                <w:rFonts w:ascii="Arial"/>
                <w:sz w:val="21"/>
              </w:rPr>
            </w:pPr>
          </w:p>
        </w:tc>
        <w:tc>
          <w:tcPr>
            <w:tcW w:w="220" w:type="dxa"/>
            <w:vAlign w:val="top"/>
          </w:tcPr>
          <w:p w14:paraId="2059124F">
            <w:pPr>
              <w:rPr>
                <w:rFonts w:ascii="Arial"/>
                <w:sz w:val="21"/>
              </w:rPr>
            </w:pPr>
          </w:p>
        </w:tc>
        <w:tc>
          <w:tcPr>
            <w:tcW w:w="229" w:type="dxa"/>
            <w:vAlign w:val="top"/>
          </w:tcPr>
          <w:p w14:paraId="1506E574">
            <w:pPr>
              <w:rPr>
                <w:rFonts w:ascii="Arial"/>
                <w:sz w:val="21"/>
              </w:rPr>
            </w:pPr>
          </w:p>
        </w:tc>
        <w:tc>
          <w:tcPr>
            <w:tcW w:w="234" w:type="dxa"/>
            <w:vAlign w:val="top"/>
          </w:tcPr>
          <w:p w14:paraId="5060B228">
            <w:pPr>
              <w:rPr>
                <w:rFonts w:ascii="Arial"/>
                <w:sz w:val="21"/>
              </w:rPr>
            </w:pPr>
          </w:p>
        </w:tc>
      </w:tr>
      <w:tr w14:paraId="5B0DCC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57" w:hRule="atLeast"/>
        </w:trPr>
        <w:tc>
          <w:tcPr>
            <w:tcW w:w="883" w:type="dxa"/>
            <w:vAlign w:val="top"/>
          </w:tcPr>
          <w:p w14:paraId="36C308B0">
            <w:pPr>
              <w:pStyle w:val="6"/>
              <w:spacing w:before="131" w:line="241" w:lineRule="auto"/>
              <w:ind w:left="264" w:right="103" w:hanging="170"/>
            </w:pPr>
            <w:r>
              <w:rPr>
                <w:spacing w:val="-2"/>
              </w:rPr>
              <w:t>表征交流</w:t>
            </w:r>
            <w:r>
              <w:rPr>
                <w:spacing w:val="1"/>
              </w:rPr>
              <w:t xml:space="preserve"> </w:t>
            </w:r>
            <w:r>
              <w:rPr>
                <w:spacing w:val="16"/>
              </w:rPr>
              <w:t>电的</w:t>
            </w:r>
          </w:p>
          <w:p w14:paraId="456EB6A0">
            <w:pPr>
              <w:pStyle w:val="6"/>
              <w:spacing w:before="17" w:line="221" w:lineRule="auto"/>
              <w:ind w:left="174"/>
            </w:pPr>
            <w:r>
              <w:rPr>
                <w:spacing w:val="-2"/>
              </w:rPr>
              <w:t>物理量</w:t>
            </w:r>
          </w:p>
        </w:tc>
        <w:tc>
          <w:tcPr>
            <w:tcW w:w="2334" w:type="dxa"/>
            <w:vAlign w:val="top"/>
          </w:tcPr>
          <w:p w14:paraId="7B497222">
            <w:pPr>
              <w:pStyle w:val="6"/>
              <w:spacing w:before="152" w:line="219" w:lineRule="auto"/>
              <w:ind w:left="2"/>
            </w:pPr>
            <w:r>
              <w:rPr>
                <w:spacing w:val="1"/>
              </w:rPr>
              <w:t>1.周期和频率</w:t>
            </w:r>
          </w:p>
          <w:p w14:paraId="0A5C159F">
            <w:pPr>
              <w:pStyle w:val="6"/>
              <w:spacing w:before="8" w:line="225" w:lineRule="auto"/>
              <w:ind w:left="2" w:right="970"/>
            </w:pPr>
            <w:r>
              <w:rPr>
                <w:spacing w:val="-1"/>
              </w:rPr>
              <w:t>2.最大值和有效值</w:t>
            </w:r>
            <w:r>
              <w:t xml:space="preserve"> </w:t>
            </w:r>
            <w:r>
              <w:rPr>
                <w:spacing w:val="-2"/>
              </w:rPr>
              <w:t>3.相位和相位差</w:t>
            </w:r>
          </w:p>
        </w:tc>
        <w:tc>
          <w:tcPr>
            <w:tcW w:w="230" w:type="dxa"/>
            <w:vAlign w:val="top"/>
          </w:tcPr>
          <w:p w14:paraId="7BE47C5A">
            <w:pPr>
              <w:rPr>
                <w:rFonts w:ascii="Arial"/>
                <w:sz w:val="21"/>
              </w:rPr>
            </w:pPr>
          </w:p>
        </w:tc>
        <w:tc>
          <w:tcPr>
            <w:tcW w:w="220" w:type="dxa"/>
            <w:vAlign w:val="top"/>
          </w:tcPr>
          <w:p w14:paraId="55C3687B">
            <w:pPr>
              <w:rPr>
                <w:rFonts w:ascii="Arial"/>
                <w:sz w:val="21"/>
              </w:rPr>
            </w:pPr>
          </w:p>
        </w:tc>
        <w:tc>
          <w:tcPr>
            <w:tcW w:w="229" w:type="dxa"/>
            <w:vAlign w:val="top"/>
          </w:tcPr>
          <w:p w14:paraId="39721980">
            <w:pPr>
              <w:rPr>
                <w:rFonts w:ascii="Arial"/>
                <w:sz w:val="21"/>
              </w:rPr>
            </w:pPr>
          </w:p>
        </w:tc>
        <w:tc>
          <w:tcPr>
            <w:tcW w:w="234" w:type="dxa"/>
            <w:vAlign w:val="top"/>
          </w:tcPr>
          <w:p w14:paraId="7E4BA056">
            <w:pPr>
              <w:rPr>
                <w:rFonts w:ascii="Arial"/>
                <w:sz w:val="21"/>
              </w:rPr>
            </w:pPr>
          </w:p>
        </w:tc>
      </w:tr>
      <w:tr w14:paraId="26E923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43" w:hRule="atLeast"/>
        </w:trPr>
        <w:tc>
          <w:tcPr>
            <w:tcW w:w="883" w:type="dxa"/>
            <w:vAlign w:val="top"/>
          </w:tcPr>
          <w:p w14:paraId="2163DFE0">
            <w:pPr>
              <w:pStyle w:val="6"/>
              <w:spacing w:before="246" w:line="224" w:lineRule="auto"/>
              <w:ind w:left="173" w:right="84" w:hanging="79"/>
            </w:pPr>
            <w:r>
              <w:rPr>
                <w:spacing w:val="3"/>
              </w:rPr>
              <w:t>交流电的</w:t>
            </w:r>
            <w:r>
              <w:t xml:space="preserve"> </w:t>
            </w:r>
            <w:r>
              <w:rPr>
                <w:spacing w:val="-2"/>
              </w:rPr>
              <w:t>表示法</w:t>
            </w:r>
          </w:p>
        </w:tc>
        <w:tc>
          <w:tcPr>
            <w:tcW w:w="2334" w:type="dxa"/>
            <w:vAlign w:val="top"/>
          </w:tcPr>
          <w:p w14:paraId="52AEB1F9">
            <w:pPr>
              <w:pStyle w:val="6"/>
              <w:spacing w:before="145" w:line="233" w:lineRule="auto"/>
              <w:ind w:left="2" w:right="1126"/>
              <w:jc w:val="both"/>
            </w:pPr>
            <w:r>
              <w:t>1.解析式表示法</w:t>
            </w:r>
            <w:r>
              <w:rPr>
                <w:spacing w:val="4"/>
              </w:rPr>
              <w:t xml:space="preserve"> </w:t>
            </w:r>
            <w:r>
              <w:rPr>
                <w:spacing w:val="-2"/>
              </w:rPr>
              <w:t>2.波形图表示法</w:t>
            </w:r>
            <w:r>
              <w:rPr>
                <w:spacing w:val="6"/>
              </w:rPr>
              <w:t xml:space="preserve"> </w:t>
            </w:r>
            <w:r>
              <w:rPr>
                <w:spacing w:val="-2"/>
              </w:rPr>
              <w:t>3.相量表示法</w:t>
            </w:r>
          </w:p>
        </w:tc>
        <w:tc>
          <w:tcPr>
            <w:tcW w:w="230" w:type="dxa"/>
            <w:vAlign w:val="top"/>
          </w:tcPr>
          <w:p w14:paraId="7BB1334F">
            <w:pPr>
              <w:rPr>
                <w:rFonts w:ascii="Arial"/>
                <w:sz w:val="21"/>
              </w:rPr>
            </w:pPr>
          </w:p>
        </w:tc>
        <w:tc>
          <w:tcPr>
            <w:tcW w:w="220" w:type="dxa"/>
            <w:vAlign w:val="top"/>
          </w:tcPr>
          <w:p w14:paraId="02D8671C">
            <w:pPr>
              <w:spacing w:before="169" w:line="113" w:lineRule="exact"/>
              <w:ind w:firstLine="45"/>
            </w:pPr>
            <w:r>
              <w:rPr>
                <w:position w:val="-2"/>
              </w:rPr>
              <w:drawing>
                <wp:inline distT="0" distB="0" distL="0" distR="0">
                  <wp:extent cx="73025" cy="71120"/>
                  <wp:effectExtent l="0" t="0" r="0" b="0"/>
                  <wp:docPr id="148" name="IM 148"/>
                  <wp:cNvGraphicFramePr/>
                  <a:graphic xmlns:a="http://schemas.openxmlformats.org/drawingml/2006/main">
                    <a:graphicData uri="http://schemas.openxmlformats.org/drawingml/2006/picture">
                      <pic:pic xmlns:pic="http://schemas.openxmlformats.org/drawingml/2006/picture">
                        <pic:nvPicPr>
                          <pic:cNvPr id="148" name="IM 148"/>
                          <pic:cNvPicPr/>
                        </pic:nvPicPr>
                        <pic:blipFill>
                          <a:blip r:embed="rId239"/>
                          <a:stretch>
                            <a:fillRect/>
                          </a:stretch>
                        </pic:blipFill>
                        <pic:spPr>
                          <a:xfrm>
                            <a:off x="0" y="0"/>
                            <a:ext cx="73483" cy="71128"/>
                          </a:xfrm>
                          <a:prstGeom prst="rect">
                            <a:avLst/>
                          </a:prstGeom>
                        </pic:spPr>
                      </pic:pic>
                    </a:graphicData>
                  </a:graphic>
                </wp:inline>
              </w:drawing>
            </w:r>
          </w:p>
        </w:tc>
        <w:tc>
          <w:tcPr>
            <w:tcW w:w="229" w:type="dxa"/>
            <w:vAlign w:val="top"/>
          </w:tcPr>
          <w:p w14:paraId="6A589F5B">
            <w:pPr>
              <w:spacing w:line="383" w:lineRule="auto"/>
              <w:rPr>
                <w:rFonts w:ascii="Arial"/>
                <w:sz w:val="21"/>
              </w:rPr>
            </w:pPr>
          </w:p>
          <w:p w14:paraId="6A4C71C4">
            <w:pPr>
              <w:spacing w:line="333" w:lineRule="exact"/>
              <w:ind w:firstLine="52"/>
            </w:pPr>
            <w:r>
              <w:rPr>
                <w:position w:val="-6"/>
              </w:rPr>
              <w:drawing>
                <wp:inline distT="0" distB="0" distL="0" distR="0">
                  <wp:extent cx="81915" cy="210820"/>
                  <wp:effectExtent l="0" t="0" r="0" b="0"/>
                  <wp:docPr id="150" name="IM 150"/>
                  <wp:cNvGraphicFramePr/>
                  <a:graphic xmlns:a="http://schemas.openxmlformats.org/drawingml/2006/main">
                    <a:graphicData uri="http://schemas.openxmlformats.org/drawingml/2006/picture">
                      <pic:pic xmlns:pic="http://schemas.openxmlformats.org/drawingml/2006/picture">
                        <pic:nvPicPr>
                          <pic:cNvPr id="150" name="IM 150"/>
                          <pic:cNvPicPr/>
                        </pic:nvPicPr>
                        <pic:blipFill>
                          <a:blip r:embed="rId240"/>
                          <a:stretch>
                            <a:fillRect/>
                          </a:stretch>
                        </pic:blipFill>
                        <pic:spPr>
                          <a:xfrm>
                            <a:off x="0" y="0"/>
                            <a:ext cx="82549" cy="211354"/>
                          </a:xfrm>
                          <a:prstGeom prst="rect">
                            <a:avLst/>
                          </a:prstGeom>
                        </pic:spPr>
                      </pic:pic>
                    </a:graphicData>
                  </a:graphic>
                </wp:inline>
              </w:drawing>
            </w:r>
          </w:p>
        </w:tc>
        <w:tc>
          <w:tcPr>
            <w:tcW w:w="234" w:type="dxa"/>
            <w:vAlign w:val="top"/>
          </w:tcPr>
          <w:p w14:paraId="7B3B430B">
            <w:pPr>
              <w:rPr>
                <w:rFonts w:ascii="Arial"/>
                <w:sz w:val="21"/>
              </w:rPr>
            </w:pPr>
          </w:p>
        </w:tc>
      </w:tr>
    </w:tbl>
    <w:p w14:paraId="16E2C861">
      <w:pPr>
        <w:spacing w:before="128" w:line="221" w:lineRule="auto"/>
        <w:ind w:left="1187"/>
        <w:rPr>
          <w:rFonts w:ascii="黑体" w:hAnsi="黑体" w:eastAsia="黑体" w:cs="黑体"/>
          <w:sz w:val="20"/>
          <w:szCs w:val="20"/>
        </w:rPr>
      </w:pPr>
      <w:r>
        <w:drawing>
          <wp:anchor distT="0" distB="0" distL="0" distR="0" simplePos="0" relativeHeight="251667456" behindDoc="1" locked="0" layoutInCell="1" allowOverlap="1">
            <wp:simplePos x="0" y="0"/>
            <wp:positionH relativeFrom="column">
              <wp:posOffset>2211705</wp:posOffset>
            </wp:positionH>
            <wp:positionV relativeFrom="paragraph">
              <wp:posOffset>1780540</wp:posOffset>
            </wp:positionV>
            <wp:extent cx="248920" cy="342900"/>
            <wp:effectExtent l="0" t="0" r="0" b="0"/>
            <wp:wrapNone/>
            <wp:docPr id="152" name="IM 152"/>
            <wp:cNvGraphicFramePr/>
            <a:graphic xmlns:a="http://schemas.openxmlformats.org/drawingml/2006/main">
              <a:graphicData uri="http://schemas.openxmlformats.org/drawingml/2006/picture">
                <pic:pic xmlns:pic="http://schemas.openxmlformats.org/drawingml/2006/picture">
                  <pic:nvPicPr>
                    <pic:cNvPr id="152" name="IM 152"/>
                    <pic:cNvPicPr/>
                  </pic:nvPicPr>
                  <pic:blipFill>
                    <a:blip r:embed="rId241"/>
                    <a:stretch>
                      <a:fillRect/>
                    </a:stretch>
                  </pic:blipFill>
                  <pic:spPr>
                    <a:xfrm>
                      <a:off x="0" y="0"/>
                      <a:ext cx="249103" cy="342878"/>
                    </a:xfrm>
                    <a:prstGeom prst="rect">
                      <a:avLst/>
                    </a:prstGeom>
                  </pic:spPr>
                </pic:pic>
              </a:graphicData>
            </a:graphic>
          </wp:anchor>
        </w:drawing>
      </w:r>
      <w:r>
        <w:rPr>
          <w:rFonts w:ascii="黑体" w:hAnsi="黑体" w:eastAsia="黑体" w:cs="黑体"/>
          <w:b/>
          <w:bCs/>
          <w:spacing w:val="-9"/>
          <w:sz w:val="20"/>
          <w:szCs w:val="20"/>
        </w:rPr>
        <w:t>第八章</w:t>
      </w:r>
      <w:r>
        <w:rPr>
          <w:rFonts w:ascii="黑体" w:hAnsi="黑体" w:eastAsia="黑体" w:cs="黑体"/>
          <w:spacing w:val="12"/>
          <w:sz w:val="20"/>
          <w:szCs w:val="20"/>
        </w:rPr>
        <w:t xml:space="preserve">  </w:t>
      </w:r>
      <w:r>
        <w:rPr>
          <w:rFonts w:ascii="黑体" w:hAnsi="黑体" w:eastAsia="黑体" w:cs="黑体"/>
          <w:b/>
          <w:bCs/>
          <w:spacing w:val="-9"/>
          <w:sz w:val="20"/>
          <w:szCs w:val="20"/>
        </w:rPr>
        <w:t>正弦交流电</w:t>
      </w:r>
    </w:p>
    <w:p w14:paraId="78F57277">
      <w:pPr>
        <w:spacing w:line="72" w:lineRule="exact"/>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83"/>
        <w:gridCol w:w="2344"/>
        <w:gridCol w:w="200"/>
        <w:gridCol w:w="239"/>
        <w:gridCol w:w="229"/>
        <w:gridCol w:w="224"/>
      </w:tblGrid>
      <w:tr w14:paraId="45B620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0" w:hRule="atLeast"/>
        </w:trPr>
        <w:tc>
          <w:tcPr>
            <w:tcW w:w="883" w:type="dxa"/>
            <w:vMerge w:val="restart"/>
            <w:tcBorders>
              <w:top w:val="single" w:color="000000" w:sz="2" w:space="0"/>
              <w:bottom w:val="nil"/>
            </w:tcBorders>
            <w:vAlign w:val="top"/>
          </w:tcPr>
          <w:p w14:paraId="01F02DB5">
            <w:pPr>
              <w:pStyle w:val="6"/>
              <w:spacing w:before="36" w:line="212" w:lineRule="auto"/>
              <w:ind w:left="257" w:right="1" w:hanging="240"/>
              <w:rPr>
                <w:sz w:val="18"/>
                <w:szCs w:val="18"/>
              </w:rPr>
            </w:pPr>
            <w:r>
              <w:rPr>
                <w:b/>
                <w:bCs/>
                <w:spacing w:val="-13"/>
                <w:sz w:val="18"/>
                <w:szCs w:val="18"/>
              </w:rPr>
              <w:t>知</w:t>
            </w:r>
            <w:r>
              <w:rPr>
                <w:b/>
                <w:bCs/>
                <w:spacing w:val="-12"/>
                <w:sz w:val="18"/>
                <w:szCs w:val="18"/>
              </w:rPr>
              <w:t>识与技</w:t>
            </w:r>
            <w:r>
              <w:rPr>
                <w:b/>
                <w:bCs/>
                <w:spacing w:val="-11"/>
                <w:sz w:val="18"/>
                <w:szCs w:val="18"/>
              </w:rPr>
              <w:t>能</w:t>
            </w:r>
            <w:r>
              <w:rPr>
                <w:spacing w:val="3"/>
                <w:sz w:val="18"/>
                <w:szCs w:val="18"/>
              </w:rPr>
              <w:t xml:space="preserve"> </w:t>
            </w:r>
            <w:r>
              <w:rPr>
                <w:b/>
                <w:bCs/>
                <w:spacing w:val="-4"/>
                <w:sz w:val="18"/>
                <w:szCs w:val="18"/>
              </w:rPr>
              <w:t>要点</w:t>
            </w:r>
          </w:p>
        </w:tc>
        <w:tc>
          <w:tcPr>
            <w:tcW w:w="2344" w:type="dxa"/>
            <w:vMerge w:val="restart"/>
            <w:tcBorders>
              <w:top w:val="single" w:color="000000" w:sz="2" w:space="0"/>
              <w:bottom w:val="nil"/>
            </w:tcBorders>
            <w:vAlign w:val="top"/>
          </w:tcPr>
          <w:p w14:paraId="06921F49">
            <w:pPr>
              <w:pStyle w:val="6"/>
              <w:spacing w:before="144" w:line="219" w:lineRule="auto"/>
              <w:ind w:left="844"/>
              <w:rPr>
                <w:sz w:val="18"/>
                <w:szCs w:val="18"/>
              </w:rPr>
            </w:pPr>
            <w:r>
              <w:rPr>
                <w:b/>
                <w:bCs/>
                <w:spacing w:val="5"/>
                <w:sz w:val="18"/>
                <w:szCs w:val="18"/>
              </w:rPr>
              <w:t>考试条目</w:t>
            </w:r>
          </w:p>
        </w:tc>
        <w:tc>
          <w:tcPr>
            <w:tcW w:w="892" w:type="dxa"/>
            <w:gridSpan w:val="4"/>
            <w:tcBorders>
              <w:top w:val="single" w:color="000000" w:sz="2" w:space="0"/>
              <w:bottom w:val="single" w:color="000000" w:sz="2" w:space="0"/>
            </w:tcBorders>
            <w:vAlign w:val="top"/>
          </w:tcPr>
          <w:p w14:paraId="26C246C2">
            <w:pPr>
              <w:pStyle w:val="6"/>
              <w:spacing w:before="24" w:line="190" w:lineRule="auto"/>
              <w:ind w:left="110"/>
              <w:rPr>
                <w:sz w:val="18"/>
                <w:szCs w:val="18"/>
              </w:rPr>
            </w:pPr>
            <w:r>
              <w:rPr>
                <w:b/>
                <w:bCs/>
                <w:spacing w:val="-4"/>
                <w:sz w:val="18"/>
                <w:szCs w:val="18"/>
              </w:rPr>
              <w:t>考试水平</w:t>
            </w:r>
          </w:p>
        </w:tc>
      </w:tr>
      <w:tr w14:paraId="49792F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5" w:hRule="atLeast"/>
        </w:trPr>
        <w:tc>
          <w:tcPr>
            <w:tcW w:w="883" w:type="dxa"/>
            <w:vMerge w:val="continue"/>
            <w:tcBorders>
              <w:top w:val="nil"/>
              <w:bottom w:val="single" w:color="000000" w:sz="2" w:space="0"/>
            </w:tcBorders>
            <w:vAlign w:val="top"/>
          </w:tcPr>
          <w:p w14:paraId="6FFA5D3E">
            <w:pPr>
              <w:rPr>
                <w:rFonts w:ascii="Arial"/>
                <w:sz w:val="21"/>
              </w:rPr>
            </w:pPr>
          </w:p>
        </w:tc>
        <w:tc>
          <w:tcPr>
            <w:tcW w:w="2344" w:type="dxa"/>
            <w:vMerge w:val="continue"/>
            <w:tcBorders>
              <w:top w:val="nil"/>
              <w:bottom w:val="single" w:color="000000" w:sz="2" w:space="0"/>
            </w:tcBorders>
            <w:vAlign w:val="top"/>
          </w:tcPr>
          <w:p w14:paraId="13473D75">
            <w:pPr>
              <w:rPr>
                <w:rFonts w:ascii="Arial"/>
                <w:sz w:val="21"/>
              </w:rPr>
            </w:pPr>
          </w:p>
        </w:tc>
        <w:tc>
          <w:tcPr>
            <w:tcW w:w="200" w:type="dxa"/>
            <w:tcBorders>
              <w:top w:val="single" w:color="000000" w:sz="2" w:space="0"/>
              <w:bottom w:val="single" w:color="000000" w:sz="2" w:space="0"/>
            </w:tcBorders>
            <w:vAlign w:val="top"/>
          </w:tcPr>
          <w:p w14:paraId="46264136">
            <w:pPr>
              <w:pStyle w:val="6"/>
              <w:spacing w:before="77" w:line="148" w:lineRule="exact"/>
              <w:ind w:left="37"/>
              <w:rPr>
                <w:sz w:val="18"/>
                <w:szCs w:val="18"/>
              </w:rPr>
            </w:pPr>
            <w:r>
              <w:rPr>
                <w:position w:val="-2"/>
                <w:sz w:val="18"/>
                <w:szCs w:val="18"/>
              </w:rPr>
              <w:t>A</w:t>
            </w:r>
          </w:p>
        </w:tc>
        <w:tc>
          <w:tcPr>
            <w:tcW w:w="239" w:type="dxa"/>
            <w:tcBorders>
              <w:top w:val="single" w:color="000000" w:sz="2" w:space="0"/>
              <w:bottom w:val="single" w:color="000000" w:sz="2" w:space="0"/>
            </w:tcBorders>
            <w:vAlign w:val="top"/>
          </w:tcPr>
          <w:p w14:paraId="7D417DF9">
            <w:pPr>
              <w:pStyle w:val="6"/>
              <w:spacing w:before="80" w:line="145" w:lineRule="exact"/>
              <w:ind w:left="60"/>
              <w:rPr>
                <w:sz w:val="18"/>
                <w:szCs w:val="18"/>
              </w:rPr>
            </w:pPr>
            <w:r>
              <w:rPr>
                <w:b/>
                <w:bCs/>
                <w:spacing w:val="-2"/>
                <w:position w:val="-2"/>
                <w:sz w:val="18"/>
                <w:szCs w:val="18"/>
              </w:rPr>
              <w:t>B</w:t>
            </w:r>
          </w:p>
        </w:tc>
        <w:tc>
          <w:tcPr>
            <w:tcW w:w="229" w:type="dxa"/>
            <w:tcBorders>
              <w:top w:val="single" w:color="000000" w:sz="2" w:space="0"/>
              <w:bottom w:val="single" w:color="000000" w:sz="2" w:space="0"/>
            </w:tcBorders>
            <w:vAlign w:val="top"/>
          </w:tcPr>
          <w:p w14:paraId="737AA254">
            <w:pPr>
              <w:pStyle w:val="6"/>
              <w:spacing w:before="78" w:line="146" w:lineRule="exact"/>
              <w:ind w:left="59"/>
              <w:rPr>
                <w:sz w:val="18"/>
                <w:szCs w:val="18"/>
              </w:rPr>
            </w:pPr>
            <w:r>
              <w:rPr>
                <w:position w:val="-2"/>
                <w:sz w:val="18"/>
                <w:szCs w:val="18"/>
              </w:rPr>
              <w:t>C</w:t>
            </w:r>
          </w:p>
        </w:tc>
        <w:tc>
          <w:tcPr>
            <w:tcW w:w="224" w:type="dxa"/>
            <w:tcBorders>
              <w:top w:val="single" w:color="000000" w:sz="2" w:space="0"/>
              <w:bottom w:val="single" w:color="000000" w:sz="2" w:space="0"/>
            </w:tcBorders>
            <w:vAlign w:val="top"/>
          </w:tcPr>
          <w:p w14:paraId="6B62642C">
            <w:pPr>
              <w:pStyle w:val="6"/>
              <w:spacing w:before="80" w:line="145" w:lineRule="exact"/>
              <w:ind w:left="22"/>
              <w:rPr>
                <w:sz w:val="18"/>
                <w:szCs w:val="18"/>
              </w:rPr>
            </w:pPr>
            <w:r>
              <w:rPr>
                <w:b/>
                <w:bCs/>
                <w:spacing w:val="-2"/>
                <w:position w:val="-2"/>
                <w:sz w:val="18"/>
                <w:szCs w:val="18"/>
              </w:rPr>
              <w:t>D</w:t>
            </w:r>
          </w:p>
        </w:tc>
      </w:tr>
      <w:tr w14:paraId="1D0441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5" w:hRule="atLeast"/>
        </w:trPr>
        <w:tc>
          <w:tcPr>
            <w:tcW w:w="883" w:type="dxa"/>
            <w:tcBorders>
              <w:top w:val="single" w:color="000000" w:sz="2" w:space="0"/>
              <w:bottom w:val="single" w:color="000000" w:sz="2" w:space="0"/>
            </w:tcBorders>
            <w:vAlign w:val="top"/>
          </w:tcPr>
          <w:p w14:paraId="55162A6D">
            <w:pPr>
              <w:pStyle w:val="6"/>
              <w:spacing w:before="183" w:line="221" w:lineRule="auto"/>
              <w:ind w:left="165"/>
              <w:rPr>
                <w:sz w:val="18"/>
                <w:szCs w:val="18"/>
              </w:rPr>
            </w:pPr>
            <w:r>
              <w:rPr>
                <w:spacing w:val="-3"/>
                <w:sz w:val="18"/>
                <w:szCs w:val="18"/>
              </w:rPr>
              <w:t>纯电阻</w:t>
            </w:r>
          </w:p>
          <w:p w14:paraId="39E1B80C">
            <w:pPr>
              <w:pStyle w:val="6"/>
              <w:spacing w:before="3" w:line="219" w:lineRule="auto"/>
              <w:ind w:left="254"/>
              <w:rPr>
                <w:sz w:val="18"/>
                <w:szCs w:val="18"/>
              </w:rPr>
            </w:pPr>
            <w:r>
              <w:rPr>
                <w:spacing w:val="3"/>
                <w:sz w:val="18"/>
                <w:szCs w:val="18"/>
              </w:rPr>
              <w:t>电路</w:t>
            </w:r>
          </w:p>
        </w:tc>
        <w:tc>
          <w:tcPr>
            <w:tcW w:w="2344" w:type="dxa"/>
            <w:tcBorders>
              <w:top w:val="single" w:color="000000" w:sz="2" w:space="0"/>
              <w:bottom w:val="single" w:color="000000" w:sz="2" w:space="0"/>
            </w:tcBorders>
            <w:vAlign w:val="top"/>
          </w:tcPr>
          <w:p w14:paraId="18B9BC94">
            <w:pPr>
              <w:pStyle w:val="6"/>
              <w:spacing w:before="202" w:line="205" w:lineRule="auto"/>
              <w:ind w:left="12"/>
              <w:rPr>
                <w:sz w:val="18"/>
                <w:szCs w:val="18"/>
              </w:rPr>
            </w:pPr>
            <w:r>
              <w:rPr>
                <w:spacing w:val="1"/>
                <w:sz w:val="18"/>
                <w:szCs w:val="18"/>
              </w:rPr>
              <w:t>1.纯电阻电路</w:t>
            </w:r>
          </w:p>
          <w:p w14:paraId="42054ACA">
            <w:pPr>
              <w:pStyle w:val="6"/>
              <w:spacing w:line="219" w:lineRule="auto"/>
              <w:jc w:val="right"/>
              <w:rPr>
                <w:sz w:val="18"/>
                <w:szCs w:val="18"/>
              </w:rPr>
            </w:pPr>
            <w:r>
              <w:rPr>
                <w:spacing w:val="-2"/>
                <w:sz w:val="18"/>
                <w:szCs w:val="18"/>
              </w:rPr>
              <w:t>2.纯电阻电路电压与电流关系</w:t>
            </w:r>
          </w:p>
        </w:tc>
        <w:tc>
          <w:tcPr>
            <w:tcW w:w="200" w:type="dxa"/>
            <w:tcBorders>
              <w:top w:val="single" w:color="000000" w:sz="2" w:space="0"/>
              <w:bottom w:val="single" w:color="000000" w:sz="2" w:space="0"/>
            </w:tcBorders>
            <w:vAlign w:val="top"/>
          </w:tcPr>
          <w:p w14:paraId="39065B2E">
            <w:pPr>
              <w:spacing w:before="162" w:line="108" w:lineRule="exact"/>
              <w:ind w:firstLine="40"/>
            </w:pPr>
            <w:r>
              <w:rPr>
                <w:position w:val="-2"/>
              </w:rPr>
              <w:drawing>
                <wp:inline distT="0" distB="0" distL="0" distR="0">
                  <wp:extent cx="80010" cy="68580"/>
                  <wp:effectExtent l="0" t="0" r="0" b="0"/>
                  <wp:docPr id="154" name="IM 154"/>
                  <wp:cNvGraphicFramePr/>
                  <a:graphic xmlns:a="http://schemas.openxmlformats.org/drawingml/2006/main">
                    <a:graphicData uri="http://schemas.openxmlformats.org/drawingml/2006/picture">
                      <pic:pic xmlns:pic="http://schemas.openxmlformats.org/drawingml/2006/picture">
                        <pic:nvPicPr>
                          <pic:cNvPr id="154" name="IM 154"/>
                          <pic:cNvPicPr/>
                        </pic:nvPicPr>
                        <pic:blipFill>
                          <a:blip r:embed="rId242"/>
                          <a:stretch>
                            <a:fillRect/>
                          </a:stretch>
                        </pic:blipFill>
                        <pic:spPr>
                          <a:xfrm>
                            <a:off x="0" y="0"/>
                            <a:ext cx="80015" cy="68589"/>
                          </a:xfrm>
                          <a:prstGeom prst="rect">
                            <a:avLst/>
                          </a:prstGeom>
                        </pic:spPr>
                      </pic:pic>
                    </a:graphicData>
                  </a:graphic>
                </wp:inline>
              </w:drawing>
            </w:r>
          </w:p>
        </w:tc>
        <w:tc>
          <w:tcPr>
            <w:tcW w:w="239" w:type="dxa"/>
            <w:tcBorders>
              <w:top w:val="single" w:color="000000" w:sz="2" w:space="0"/>
              <w:bottom w:val="single" w:color="000000" w:sz="2" w:space="0"/>
            </w:tcBorders>
            <w:vAlign w:val="top"/>
          </w:tcPr>
          <w:p w14:paraId="22E78CD1">
            <w:pPr>
              <w:rPr>
                <w:rFonts w:ascii="Arial"/>
                <w:sz w:val="21"/>
              </w:rPr>
            </w:pPr>
          </w:p>
        </w:tc>
        <w:tc>
          <w:tcPr>
            <w:tcW w:w="229" w:type="dxa"/>
            <w:tcBorders>
              <w:top w:val="single" w:color="000000" w:sz="2" w:space="0"/>
              <w:bottom w:val="single" w:color="000000" w:sz="2" w:space="0"/>
            </w:tcBorders>
            <w:vAlign w:val="top"/>
          </w:tcPr>
          <w:p w14:paraId="30244037">
            <w:pPr>
              <w:spacing w:line="299" w:lineRule="auto"/>
              <w:rPr>
                <w:rFonts w:ascii="Arial"/>
                <w:sz w:val="21"/>
              </w:rPr>
            </w:pPr>
          </w:p>
          <w:p w14:paraId="77B0E145">
            <w:pPr>
              <w:pStyle w:val="6"/>
              <w:spacing w:before="59" w:line="238" w:lineRule="auto"/>
              <w:ind w:left="18"/>
              <w:rPr>
                <w:sz w:val="18"/>
                <w:szCs w:val="18"/>
              </w:rPr>
            </w:pPr>
            <w:r>
              <w:rPr>
                <w:sz w:val="18"/>
                <w:szCs w:val="18"/>
              </w:rPr>
              <w:t>√</w:t>
            </w:r>
          </w:p>
        </w:tc>
        <w:tc>
          <w:tcPr>
            <w:tcW w:w="224" w:type="dxa"/>
            <w:tcBorders>
              <w:top w:val="single" w:color="000000" w:sz="2" w:space="0"/>
              <w:bottom w:val="single" w:color="000000" w:sz="2" w:space="0"/>
            </w:tcBorders>
            <w:vAlign w:val="top"/>
          </w:tcPr>
          <w:p w14:paraId="5EDC6C3D">
            <w:pPr>
              <w:rPr>
                <w:rFonts w:ascii="Arial"/>
                <w:sz w:val="21"/>
              </w:rPr>
            </w:pPr>
          </w:p>
        </w:tc>
      </w:tr>
      <w:tr w14:paraId="0A22DA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14" w:hRule="atLeast"/>
        </w:trPr>
        <w:tc>
          <w:tcPr>
            <w:tcW w:w="883" w:type="dxa"/>
            <w:tcBorders>
              <w:top w:val="single" w:color="000000" w:sz="2" w:space="0"/>
              <w:bottom w:val="single" w:color="000000" w:sz="2" w:space="0"/>
            </w:tcBorders>
            <w:vAlign w:val="top"/>
          </w:tcPr>
          <w:p w14:paraId="12C86EB2">
            <w:pPr>
              <w:pStyle w:val="6"/>
              <w:spacing w:before="265" w:line="224" w:lineRule="auto"/>
              <w:ind w:left="165"/>
              <w:rPr>
                <w:sz w:val="18"/>
                <w:szCs w:val="18"/>
              </w:rPr>
            </w:pPr>
            <w:r>
              <w:rPr>
                <w:spacing w:val="-3"/>
                <w:sz w:val="18"/>
                <w:szCs w:val="18"/>
              </w:rPr>
              <w:t>纯电感</w:t>
            </w:r>
          </w:p>
          <w:p w14:paraId="0321BF6D">
            <w:pPr>
              <w:pStyle w:val="6"/>
              <w:spacing w:before="7" w:line="219" w:lineRule="auto"/>
              <w:ind w:left="254"/>
              <w:rPr>
                <w:sz w:val="18"/>
                <w:szCs w:val="18"/>
              </w:rPr>
            </w:pPr>
            <w:r>
              <w:rPr>
                <w:spacing w:val="3"/>
                <w:sz w:val="18"/>
                <w:szCs w:val="18"/>
              </w:rPr>
              <w:t>电路</w:t>
            </w:r>
          </w:p>
        </w:tc>
        <w:tc>
          <w:tcPr>
            <w:tcW w:w="2344" w:type="dxa"/>
            <w:tcBorders>
              <w:top w:val="single" w:color="000000" w:sz="2" w:space="0"/>
              <w:bottom w:val="single" w:color="000000" w:sz="2" w:space="0"/>
            </w:tcBorders>
            <w:vAlign w:val="top"/>
          </w:tcPr>
          <w:p w14:paraId="5679AD1A">
            <w:pPr>
              <w:pStyle w:val="6"/>
              <w:spacing w:before="173" w:line="213" w:lineRule="auto"/>
              <w:ind w:left="12" w:right="140"/>
              <w:rPr>
                <w:sz w:val="18"/>
                <w:szCs w:val="18"/>
              </w:rPr>
            </w:pPr>
            <w:r>
              <w:rPr>
                <w:spacing w:val="1"/>
                <w:sz w:val="18"/>
                <w:szCs w:val="18"/>
              </w:rPr>
              <w:t>1.电感对交流电的阻碍作用</w:t>
            </w:r>
            <w:r>
              <w:rPr>
                <w:spacing w:val="7"/>
                <w:sz w:val="18"/>
                <w:szCs w:val="18"/>
              </w:rPr>
              <w:t xml:space="preserve"> </w:t>
            </w:r>
            <w:r>
              <w:rPr>
                <w:spacing w:val="3"/>
                <w:sz w:val="18"/>
                <w:szCs w:val="18"/>
              </w:rPr>
              <w:t>2.扼流圈</w:t>
            </w:r>
          </w:p>
          <w:p w14:paraId="55B2B725">
            <w:pPr>
              <w:pStyle w:val="6"/>
              <w:spacing w:before="14" w:line="220" w:lineRule="auto"/>
              <w:ind w:left="12"/>
              <w:rPr>
                <w:sz w:val="18"/>
                <w:szCs w:val="18"/>
              </w:rPr>
            </w:pPr>
            <w:r>
              <w:rPr>
                <w:spacing w:val="1"/>
                <w:sz w:val="18"/>
                <w:szCs w:val="18"/>
              </w:rPr>
              <w:t>3.电压与电流的关系</w:t>
            </w:r>
          </w:p>
        </w:tc>
        <w:tc>
          <w:tcPr>
            <w:tcW w:w="200" w:type="dxa"/>
            <w:tcBorders>
              <w:top w:val="single" w:color="000000" w:sz="2" w:space="0"/>
              <w:bottom w:val="single" w:color="000000" w:sz="2" w:space="0"/>
            </w:tcBorders>
            <w:vAlign w:val="top"/>
          </w:tcPr>
          <w:p w14:paraId="7EC3F9C2">
            <w:pPr>
              <w:spacing w:before="172" w:line="313" w:lineRule="exact"/>
              <w:ind w:firstLine="35"/>
            </w:pPr>
            <w:r>
              <w:rPr>
                <w:position w:val="-6"/>
              </w:rPr>
              <w:drawing>
                <wp:inline distT="0" distB="0" distL="0" distR="0">
                  <wp:extent cx="85725" cy="198755"/>
                  <wp:effectExtent l="0" t="0" r="0" b="0"/>
                  <wp:docPr id="156" name="IM 156"/>
                  <wp:cNvGraphicFramePr/>
                  <a:graphic xmlns:a="http://schemas.openxmlformats.org/drawingml/2006/main">
                    <a:graphicData uri="http://schemas.openxmlformats.org/drawingml/2006/picture">
                      <pic:pic xmlns:pic="http://schemas.openxmlformats.org/drawingml/2006/picture">
                        <pic:nvPicPr>
                          <pic:cNvPr id="156" name="IM 156"/>
                          <pic:cNvPicPr/>
                        </pic:nvPicPr>
                        <pic:blipFill>
                          <a:blip r:embed="rId243"/>
                          <a:stretch>
                            <a:fillRect/>
                          </a:stretch>
                        </pic:blipFill>
                        <pic:spPr>
                          <a:xfrm>
                            <a:off x="0" y="0"/>
                            <a:ext cx="85922" cy="199082"/>
                          </a:xfrm>
                          <a:prstGeom prst="rect">
                            <a:avLst/>
                          </a:prstGeom>
                        </pic:spPr>
                      </pic:pic>
                    </a:graphicData>
                  </a:graphic>
                </wp:inline>
              </w:drawing>
            </w:r>
          </w:p>
        </w:tc>
        <w:tc>
          <w:tcPr>
            <w:tcW w:w="239" w:type="dxa"/>
            <w:tcBorders>
              <w:top w:val="single" w:color="000000" w:sz="2" w:space="0"/>
              <w:bottom w:val="single" w:color="000000" w:sz="2" w:space="0"/>
            </w:tcBorders>
            <w:vAlign w:val="top"/>
          </w:tcPr>
          <w:p w14:paraId="6B34DE87">
            <w:pPr>
              <w:rPr>
                <w:rFonts w:ascii="Arial"/>
                <w:sz w:val="21"/>
              </w:rPr>
            </w:pPr>
          </w:p>
        </w:tc>
        <w:tc>
          <w:tcPr>
            <w:tcW w:w="229" w:type="dxa"/>
            <w:tcBorders>
              <w:top w:val="single" w:color="000000" w:sz="2" w:space="0"/>
              <w:bottom w:val="single" w:color="000000" w:sz="2" w:space="0"/>
            </w:tcBorders>
            <w:vAlign w:val="top"/>
          </w:tcPr>
          <w:p w14:paraId="0DFFC557">
            <w:pPr>
              <w:spacing w:line="278" w:lineRule="auto"/>
              <w:rPr>
                <w:rFonts w:ascii="Arial"/>
                <w:sz w:val="21"/>
              </w:rPr>
            </w:pPr>
          </w:p>
          <w:p w14:paraId="23875FE5">
            <w:pPr>
              <w:spacing w:line="279" w:lineRule="auto"/>
              <w:rPr>
                <w:rFonts w:ascii="Arial"/>
                <w:sz w:val="21"/>
              </w:rPr>
            </w:pPr>
          </w:p>
          <w:p w14:paraId="5FBE1F53">
            <w:pPr>
              <w:spacing w:before="1" w:line="135" w:lineRule="exact"/>
              <w:ind w:firstLine="48"/>
            </w:pPr>
            <w:r>
              <w:rPr>
                <w:position w:val="-2"/>
              </w:rPr>
              <w:drawing>
                <wp:inline distT="0" distB="0" distL="0" distR="0">
                  <wp:extent cx="88900" cy="85725"/>
                  <wp:effectExtent l="0" t="0" r="0" b="0"/>
                  <wp:docPr id="158" name="IM 158"/>
                  <wp:cNvGraphicFramePr/>
                  <a:graphic xmlns:a="http://schemas.openxmlformats.org/drawingml/2006/main">
                    <a:graphicData uri="http://schemas.openxmlformats.org/drawingml/2006/picture">
                      <pic:pic xmlns:pic="http://schemas.openxmlformats.org/drawingml/2006/picture">
                        <pic:nvPicPr>
                          <pic:cNvPr id="158" name="IM 158"/>
                          <pic:cNvPicPr/>
                        </pic:nvPicPr>
                        <pic:blipFill>
                          <a:blip r:embed="rId244"/>
                          <a:stretch>
                            <a:fillRect/>
                          </a:stretch>
                        </pic:blipFill>
                        <pic:spPr>
                          <a:xfrm>
                            <a:off x="0" y="0"/>
                            <a:ext cx="88912" cy="85919"/>
                          </a:xfrm>
                          <a:prstGeom prst="rect">
                            <a:avLst/>
                          </a:prstGeom>
                        </pic:spPr>
                      </pic:pic>
                    </a:graphicData>
                  </a:graphic>
                </wp:inline>
              </w:drawing>
            </w:r>
          </w:p>
        </w:tc>
        <w:tc>
          <w:tcPr>
            <w:tcW w:w="224" w:type="dxa"/>
            <w:tcBorders>
              <w:top w:val="single" w:color="000000" w:sz="2" w:space="0"/>
              <w:bottom w:val="single" w:color="000000" w:sz="2" w:space="0"/>
            </w:tcBorders>
            <w:vAlign w:val="top"/>
          </w:tcPr>
          <w:p w14:paraId="125E8B71">
            <w:pPr>
              <w:rPr>
                <w:rFonts w:ascii="Arial"/>
                <w:sz w:val="21"/>
              </w:rPr>
            </w:pPr>
          </w:p>
        </w:tc>
      </w:tr>
      <w:tr w14:paraId="5C6180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14" w:hRule="atLeast"/>
        </w:trPr>
        <w:tc>
          <w:tcPr>
            <w:tcW w:w="883" w:type="dxa"/>
            <w:tcBorders>
              <w:top w:val="single" w:color="000000" w:sz="2" w:space="0"/>
              <w:bottom w:val="single" w:color="000000" w:sz="2" w:space="0"/>
            </w:tcBorders>
            <w:vAlign w:val="top"/>
          </w:tcPr>
          <w:p w14:paraId="41E527C4">
            <w:pPr>
              <w:spacing w:line="253" w:lineRule="auto"/>
              <w:rPr>
                <w:rFonts w:ascii="Arial"/>
                <w:sz w:val="21"/>
              </w:rPr>
            </w:pPr>
          </w:p>
          <w:p w14:paraId="3687D4E5">
            <w:pPr>
              <w:pStyle w:val="6"/>
              <w:spacing w:before="58" w:line="220" w:lineRule="auto"/>
              <w:ind w:left="165"/>
              <w:rPr>
                <w:sz w:val="18"/>
                <w:szCs w:val="18"/>
              </w:rPr>
            </w:pPr>
            <w:r>
              <w:rPr>
                <w:spacing w:val="-3"/>
                <w:sz w:val="18"/>
                <w:szCs w:val="18"/>
              </w:rPr>
              <w:t>纯电容</w:t>
            </w:r>
          </w:p>
          <w:p w14:paraId="5CD8CA48">
            <w:pPr>
              <w:pStyle w:val="6"/>
              <w:spacing w:before="25" w:line="219" w:lineRule="auto"/>
              <w:ind w:left="254"/>
              <w:rPr>
                <w:sz w:val="18"/>
                <w:szCs w:val="18"/>
              </w:rPr>
            </w:pPr>
            <w:r>
              <w:rPr>
                <w:spacing w:val="3"/>
                <w:sz w:val="18"/>
                <w:szCs w:val="18"/>
              </w:rPr>
              <w:t>电路</w:t>
            </w:r>
          </w:p>
        </w:tc>
        <w:tc>
          <w:tcPr>
            <w:tcW w:w="2344" w:type="dxa"/>
            <w:tcBorders>
              <w:top w:val="single" w:color="000000" w:sz="2" w:space="0"/>
              <w:bottom w:val="single" w:color="000000" w:sz="2" w:space="0"/>
            </w:tcBorders>
            <w:vAlign w:val="top"/>
          </w:tcPr>
          <w:p w14:paraId="76E5E113">
            <w:pPr>
              <w:pStyle w:val="6"/>
              <w:spacing w:before="213" w:line="222" w:lineRule="auto"/>
              <w:ind w:left="12" w:right="140"/>
              <w:rPr>
                <w:sz w:val="18"/>
                <w:szCs w:val="18"/>
              </w:rPr>
            </w:pPr>
            <w:r>
              <w:rPr>
                <w:spacing w:val="1"/>
                <w:sz w:val="18"/>
                <w:szCs w:val="18"/>
              </w:rPr>
              <w:t>1.电容对交流电的阻碍作用</w:t>
            </w:r>
            <w:r>
              <w:rPr>
                <w:spacing w:val="7"/>
                <w:sz w:val="18"/>
                <w:szCs w:val="18"/>
              </w:rPr>
              <w:t xml:space="preserve"> </w:t>
            </w:r>
            <w:r>
              <w:rPr>
                <w:spacing w:val="-1"/>
                <w:sz w:val="18"/>
                <w:szCs w:val="18"/>
              </w:rPr>
              <w:t>2.隔直电容和旁路电容</w:t>
            </w:r>
          </w:p>
          <w:p w14:paraId="14B7AF15">
            <w:pPr>
              <w:pStyle w:val="6"/>
              <w:spacing w:before="6" w:line="220" w:lineRule="auto"/>
              <w:ind w:left="12"/>
              <w:rPr>
                <w:sz w:val="18"/>
                <w:szCs w:val="18"/>
              </w:rPr>
            </w:pPr>
            <w:r>
              <w:rPr>
                <w:spacing w:val="1"/>
                <w:sz w:val="18"/>
                <w:szCs w:val="18"/>
              </w:rPr>
              <w:t>3.电压与电流的关系</w:t>
            </w:r>
          </w:p>
        </w:tc>
        <w:tc>
          <w:tcPr>
            <w:tcW w:w="200" w:type="dxa"/>
            <w:tcBorders>
              <w:top w:val="single" w:color="000000" w:sz="2" w:space="0"/>
              <w:bottom w:val="single" w:color="000000" w:sz="2" w:space="0"/>
            </w:tcBorders>
            <w:vAlign w:val="top"/>
          </w:tcPr>
          <w:p w14:paraId="7F78ECFB">
            <w:pPr>
              <w:rPr>
                <w:rFonts w:ascii="Arial"/>
                <w:sz w:val="21"/>
              </w:rPr>
            </w:pPr>
          </w:p>
        </w:tc>
        <w:tc>
          <w:tcPr>
            <w:tcW w:w="239" w:type="dxa"/>
            <w:tcBorders>
              <w:top w:val="single" w:color="000000" w:sz="2" w:space="0"/>
              <w:bottom w:val="single" w:color="000000" w:sz="2" w:space="0"/>
            </w:tcBorders>
            <w:vAlign w:val="top"/>
          </w:tcPr>
          <w:p w14:paraId="65D8E299">
            <w:pPr>
              <w:rPr>
                <w:rFonts w:ascii="Arial"/>
                <w:sz w:val="21"/>
              </w:rPr>
            </w:pPr>
          </w:p>
        </w:tc>
        <w:tc>
          <w:tcPr>
            <w:tcW w:w="229" w:type="dxa"/>
            <w:tcBorders>
              <w:top w:val="single" w:color="000000" w:sz="2" w:space="0"/>
              <w:bottom w:val="single" w:color="000000" w:sz="2" w:space="0"/>
            </w:tcBorders>
            <w:vAlign w:val="top"/>
          </w:tcPr>
          <w:p w14:paraId="5730F369">
            <w:pPr>
              <w:rPr>
                <w:rFonts w:ascii="Arial"/>
                <w:sz w:val="21"/>
              </w:rPr>
            </w:pPr>
          </w:p>
        </w:tc>
        <w:tc>
          <w:tcPr>
            <w:tcW w:w="224" w:type="dxa"/>
            <w:tcBorders>
              <w:top w:val="single" w:color="000000" w:sz="2" w:space="0"/>
              <w:bottom w:val="single" w:color="000000" w:sz="2" w:space="0"/>
            </w:tcBorders>
            <w:vAlign w:val="top"/>
          </w:tcPr>
          <w:p w14:paraId="0742926F">
            <w:pPr>
              <w:rPr>
                <w:rFonts w:ascii="Arial"/>
                <w:sz w:val="21"/>
              </w:rPr>
            </w:pPr>
          </w:p>
        </w:tc>
      </w:tr>
      <w:tr w14:paraId="7317ED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24" w:hRule="atLeast"/>
        </w:trPr>
        <w:tc>
          <w:tcPr>
            <w:tcW w:w="883" w:type="dxa"/>
            <w:tcBorders>
              <w:top w:val="single" w:color="000000" w:sz="2" w:space="0"/>
              <w:bottom w:val="single" w:color="000000" w:sz="2" w:space="0"/>
            </w:tcBorders>
            <w:vAlign w:val="top"/>
          </w:tcPr>
          <w:p w14:paraId="587CED1F">
            <w:pPr>
              <w:spacing w:line="255" w:lineRule="auto"/>
              <w:rPr>
                <w:rFonts w:ascii="Arial"/>
                <w:sz w:val="21"/>
              </w:rPr>
            </w:pPr>
          </w:p>
          <w:p w14:paraId="2CC04D2B">
            <w:pPr>
              <w:pStyle w:val="6"/>
              <w:spacing w:before="58" w:line="204" w:lineRule="auto"/>
              <w:ind w:left="74"/>
              <w:rPr>
                <w:sz w:val="18"/>
                <w:szCs w:val="18"/>
              </w:rPr>
            </w:pPr>
            <w:r>
              <w:rPr>
                <w:spacing w:val="2"/>
                <w:sz w:val="18"/>
                <w:szCs w:val="18"/>
              </w:rPr>
              <w:t>电阻、电</w:t>
            </w:r>
          </w:p>
          <w:p w14:paraId="4FE21C8A">
            <w:pPr>
              <w:pStyle w:val="6"/>
              <w:spacing w:line="220" w:lineRule="auto"/>
              <w:ind w:left="74"/>
              <w:rPr>
                <w:sz w:val="18"/>
                <w:szCs w:val="18"/>
              </w:rPr>
            </w:pPr>
            <w:r>
              <w:rPr>
                <w:spacing w:val="-2"/>
                <w:sz w:val="18"/>
                <w:szCs w:val="18"/>
              </w:rPr>
              <w:t>感、电容</w:t>
            </w:r>
          </w:p>
          <w:p w14:paraId="091A91E5">
            <w:pPr>
              <w:pStyle w:val="6"/>
              <w:spacing w:before="25" w:line="220" w:lineRule="auto"/>
              <w:ind w:left="165"/>
              <w:rPr>
                <w:sz w:val="18"/>
                <w:szCs w:val="18"/>
              </w:rPr>
            </w:pPr>
            <w:r>
              <w:rPr>
                <w:spacing w:val="2"/>
                <w:sz w:val="18"/>
                <w:szCs w:val="18"/>
              </w:rPr>
              <w:t>的串联</w:t>
            </w:r>
          </w:p>
          <w:p w14:paraId="43B0794D">
            <w:pPr>
              <w:pStyle w:val="6"/>
              <w:spacing w:before="5" w:line="219" w:lineRule="auto"/>
              <w:ind w:left="254"/>
              <w:rPr>
                <w:sz w:val="18"/>
                <w:szCs w:val="18"/>
              </w:rPr>
            </w:pPr>
            <w:r>
              <w:rPr>
                <w:spacing w:val="3"/>
                <w:sz w:val="18"/>
                <w:szCs w:val="18"/>
              </w:rPr>
              <w:t>电路</w:t>
            </w:r>
          </w:p>
        </w:tc>
        <w:tc>
          <w:tcPr>
            <w:tcW w:w="2344" w:type="dxa"/>
            <w:tcBorders>
              <w:top w:val="single" w:color="000000" w:sz="2" w:space="0"/>
              <w:bottom w:val="single" w:color="000000" w:sz="2" w:space="0"/>
            </w:tcBorders>
            <w:vAlign w:val="top"/>
          </w:tcPr>
          <w:p w14:paraId="319993BC">
            <w:pPr>
              <w:spacing w:line="253" w:lineRule="auto"/>
              <w:rPr>
                <w:rFonts w:ascii="Arial"/>
                <w:sz w:val="21"/>
              </w:rPr>
            </w:pPr>
          </w:p>
          <w:p w14:paraId="66514876">
            <w:pPr>
              <w:pStyle w:val="6"/>
              <w:spacing w:before="59" w:line="224" w:lineRule="auto"/>
              <w:ind w:left="12" w:right="145"/>
              <w:rPr>
                <w:sz w:val="18"/>
                <w:szCs w:val="18"/>
              </w:rPr>
            </w:pPr>
            <w:r>
              <w:rPr>
                <w:spacing w:val="1"/>
                <w:sz w:val="18"/>
                <w:szCs w:val="18"/>
              </w:rPr>
              <w:t>1.端电压与电流的相位关系</w:t>
            </w:r>
            <w:r>
              <w:rPr>
                <w:spacing w:val="2"/>
                <w:sz w:val="18"/>
                <w:szCs w:val="18"/>
              </w:rPr>
              <w:t xml:space="preserve"> </w:t>
            </w:r>
            <w:r>
              <w:rPr>
                <w:spacing w:val="1"/>
                <w:sz w:val="18"/>
                <w:szCs w:val="18"/>
              </w:rPr>
              <w:t>2.端电压与电流的大小关系</w:t>
            </w:r>
            <w:r>
              <w:rPr>
                <w:spacing w:val="2"/>
                <w:sz w:val="18"/>
                <w:szCs w:val="18"/>
              </w:rPr>
              <w:t xml:space="preserve"> </w:t>
            </w:r>
            <w:r>
              <w:rPr>
                <w:spacing w:val="-1"/>
                <w:sz w:val="18"/>
                <w:szCs w:val="18"/>
              </w:rPr>
              <w:t>3.RLC串联电路的两个特征</w:t>
            </w:r>
            <w:r>
              <w:rPr>
                <w:spacing w:val="1"/>
                <w:sz w:val="18"/>
                <w:szCs w:val="18"/>
              </w:rPr>
              <w:t xml:space="preserve">  </w:t>
            </w:r>
            <w:r>
              <w:rPr>
                <w:spacing w:val="-1"/>
                <w:sz w:val="18"/>
                <w:szCs w:val="18"/>
              </w:rPr>
              <w:t>4.串联谐振的定义和条件</w:t>
            </w:r>
          </w:p>
        </w:tc>
        <w:tc>
          <w:tcPr>
            <w:tcW w:w="200" w:type="dxa"/>
            <w:tcBorders>
              <w:top w:val="single" w:color="000000" w:sz="2" w:space="0"/>
              <w:bottom w:val="single" w:color="000000" w:sz="2" w:space="0"/>
            </w:tcBorders>
            <w:vAlign w:val="top"/>
          </w:tcPr>
          <w:p w14:paraId="74BC969F">
            <w:pPr>
              <w:rPr>
                <w:rFonts w:ascii="Arial"/>
                <w:sz w:val="21"/>
              </w:rPr>
            </w:pPr>
          </w:p>
        </w:tc>
        <w:tc>
          <w:tcPr>
            <w:tcW w:w="239" w:type="dxa"/>
            <w:tcBorders>
              <w:top w:val="single" w:color="000000" w:sz="2" w:space="0"/>
              <w:bottom w:val="single" w:color="000000" w:sz="2" w:space="0"/>
            </w:tcBorders>
            <w:vAlign w:val="top"/>
          </w:tcPr>
          <w:p w14:paraId="5B706329">
            <w:pPr>
              <w:spacing w:line="299" w:lineRule="auto"/>
              <w:rPr>
                <w:rFonts w:ascii="Arial"/>
                <w:sz w:val="21"/>
              </w:rPr>
            </w:pPr>
          </w:p>
          <w:p w14:paraId="1919E385">
            <w:pPr>
              <w:spacing w:line="327" w:lineRule="exact"/>
              <w:ind w:firstLine="59"/>
            </w:pPr>
            <w:r>
              <w:rPr>
                <w:position w:val="-6"/>
              </w:rPr>
              <w:drawing>
                <wp:inline distT="0" distB="0" distL="0" distR="0">
                  <wp:extent cx="92075" cy="207645"/>
                  <wp:effectExtent l="0" t="0" r="0" b="0"/>
                  <wp:docPr id="160" name="IM 160"/>
                  <wp:cNvGraphicFramePr/>
                  <a:graphic xmlns:a="http://schemas.openxmlformats.org/drawingml/2006/main">
                    <a:graphicData uri="http://schemas.openxmlformats.org/drawingml/2006/picture">
                      <pic:pic xmlns:pic="http://schemas.openxmlformats.org/drawingml/2006/picture">
                        <pic:nvPicPr>
                          <pic:cNvPr id="160" name="IM 160"/>
                          <pic:cNvPicPr/>
                        </pic:nvPicPr>
                        <pic:blipFill>
                          <a:blip r:embed="rId245"/>
                          <a:stretch>
                            <a:fillRect/>
                          </a:stretch>
                        </pic:blipFill>
                        <pic:spPr>
                          <a:xfrm>
                            <a:off x="0" y="0"/>
                            <a:ext cx="92633" cy="207852"/>
                          </a:xfrm>
                          <a:prstGeom prst="rect">
                            <a:avLst/>
                          </a:prstGeom>
                        </pic:spPr>
                      </pic:pic>
                    </a:graphicData>
                  </a:graphic>
                </wp:inline>
              </w:drawing>
            </w:r>
          </w:p>
        </w:tc>
        <w:tc>
          <w:tcPr>
            <w:tcW w:w="229" w:type="dxa"/>
            <w:tcBorders>
              <w:top w:val="single" w:color="000000" w:sz="2" w:space="0"/>
              <w:bottom w:val="single" w:color="000000" w:sz="2" w:space="0"/>
            </w:tcBorders>
            <w:vAlign w:val="top"/>
          </w:tcPr>
          <w:p w14:paraId="3B0D01FA">
            <w:pPr>
              <w:rPr>
                <w:rFonts w:ascii="Arial"/>
                <w:sz w:val="21"/>
              </w:rPr>
            </w:pPr>
          </w:p>
        </w:tc>
        <w:tc>
          <w:tcPr>
            <w:tcW w:w="224" w:type="dxa"/>
            <w:tcBorders>
              <w:top w:val="single" w:color="000000" w:sz="2" w:space="0"/>
              <w:bottom w:val="single" w:color="000000" w:sz="2" w:space="0"/>
            </w:tcBorders>
            <w:vAlign w:val="top"/>
          </w:tcPr>
          <w:p w14:paraId="34AE836D">
            <w:pPr>
              <w:spacing w:line="249" w:lineRule="auto"/>
              <w:rPr>
                <w:rFonts w:ascii="Arial"/>
                <w:sz w:val="21"/>
              </w:rPr>
            </w:pPr>
          </w:p>
          <w:p w14:paraId="04769FBB">
            <w:pPr>
              <w:spacing w:line="250" w:lineRule="auto"/>
              <w:rPr>
                <w:rFonts w:ascii="Arial"/>
                <w:sz w:val="21"/>
              </w:rPr>
            </w:pPr>
          </w:p>
          <w:p w14:paraId="29CE9E23">
            <w:pPr>
              <w:spacing w:line="250" w:lineRule="auto"/>
              <w:rPr>
                <w:rFonts w:ascii="Arial"/>
                <w:sz w:val="21"/>
              </w:rPr>
            </w:pPr>
          </w:p>
          <w:p w14:paraId="1BE053A3">
            <w:pPr>
              <w:spacing w:line="313" w:lineRule="exact"/>
              <w:ind w:firstLine="47"/>
            </w:pPr>
            <w:r>
              <w:rPr>
                <w:position w:val="-6"/>
              </w:rPr>
              <w:drawing>
                <wp:inline distT="0" distB="0" distL="0" distR="0">
                  <wp:extent cx="97790" cy="198755"/>
                  <wp:effectExtent l="0" t="0" r="0" b="0"/>
                  <wp:docPr id="162" name="IM 162"/>
                  <wp:cNvGraphicFramePr/>
                  <a:graphic xmlns:a="http://schemas.openxmlformats.org/drawingml/2006/main">
                    <a:graphicData uri="http://schemas.openxmlformats.org/drawingml/2006/picture">
                      <pic:pic xmlns:pic="http://schemas.openxmlformats.org/drawingml/2006/picture">
                        <pic:nvPicPr>
                          <pic:cNvPr id="162" name="IM 162"/>
                          <pic:cNvPicPr/>
                        </pic:nvPicPr>
                        <pic:blipFill>
                          <a:blip r:embed="rId246"/>
                          <a:stretch>
                            <a:fillRect/>
                          </a:stretch>
                        </pic:blipFill>
                        <pic:spPr>
                          <a:xfrm>
                            <a:off x="0" y="0"/>
                            <a:ext cx="98197" cy="199082"/>
                          </a:xfrm>
                          <a:prstGeom prst="rect">
                            <a:avLst/>
                          </a:prstGeom>
                        </pic:spPr>
                      </pic:pic>
                    </a:graphicData>
                  </a:graphic>
                </wp:inline>
              </w:drawing>
            </w:r>
          </w:p>
        </w:tc>
      </w:tr>
      <w:tr w14:paraId="0E67C8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74" w:hRule="atLeast"/>
        </w:trPr>
        <w:tc>
          <w:tcPr>
            <w:tcW w:w="883" w:type="dxa"/>
            <w:tcBorders>
              <w:top w:val="single" w:color="000000" w:sz="2" w:space="0"/>
              <w:bottom w:val="single" w:color="000000" w:sz="2" w:space="0"/>
            </w:tcBorders>
            <w:vAlign w:val="top"/>
          </w:tcPr>
          <w:p w14:paraId="69C9C00E">
            <w:pPr>
              <w:pStyle w:val="6"/>
              <w:spacing w:before="65" w:line="221" w:lineRule="auto"/>
              <w:ind w:left="74"/>
              <w:rPr>
                <w:sz w:val="18"/>
                <w:szCs w:val="18"/>
              </w:rPr>
            </w:pPr>
            <w:r>
              <w:rPr>
                <w:spacing w:val="2"/>
                <w:sz w:val="18"/>
                <w:szCs w:val="18"/>
              </w:rPr>
              <w:t>电阻、电</w:t>
            </w:r>
          </w:p>
          <w:p w14:paraId="2E291F70">
            <w:pPr>
              <w:pStyle w:val="6"/>
              <w:spacing w:before="24" w:line="220" w:lineRule="auto"/>
              <w:ind w:left="74"/>
              <w:rPr>
                <w:sz w:val="18"/>
                <w:szCs w:val="18"/>
              </w:rPr>
            </w:pPr>
            <w:r>
              <w:rPr>
                <w:spacing w:val="-2"/>
                <w:sz w:val="18"/>
                <w:szCs w:val="18"/>
              </w:rPr>
              <w:t>感、电容</w:t>
            </w:r>
          </w:p>
          <w:p w14:paraId="0861BB9E">
            <w:pPr>
              <w:pStyle w:val="6"/>
              <w:spacing w:before="4" w:line="219" w:lineRule="auto"/>
              <w:ind w:left="165"/>
              <w:rPr>
                <w:sz w:val="18"/>
                <w:szCs w:val="18"/>
              </w:rPr>
            </w:pPr>
            <w:r>
              <w:rPr>
                <w:spacing w:val="2"/>
                <w:sz w:val="18"/>
                <w:szCs w:val="18"/>
              </w:rPr>
              <w:t>的并联</w:t>
            </w:r>
          </w:p>
          <w:p w14:paraId="4B3669A8">
            <w:pPr>
              <w:pStyle w:val="6"/>
              <w:spacing w:before="6" w:line="219" w:lineRule="auto"/>
              <w:ind w:left="254"/>
              <w:rPr>
                <w:sz w:val="18"/>
                <w:szCs w:val="18"/>
              </w:rPr>
            </w:pPr>
            <w:r>
              <w:rPr>
                <w:spacing w:val="3"/>
                <w:sz w:val="18"/>
                <w:szCs w:val="18"/>
              </w:rPr>
              <w:t>电路</w:t>
            </w:r>
          </w:p>
        </w:tc>
        <w:tc>
          <w:tcPr>
            <w:tcW w:w="2344" w:type="dxa"/>
            <w:tcBorders>
              <w:top w:val="single" w:color="000000" w:sz="2" w:space="0"/>
              <w:bottom w:val="single" w:color="000000" w:sz="2" w:space="0"/>
            </w:tcBorders>
            <w:vAlign w:val="top"/>
          </w:tcPr>
          <w:p w14:paraId="4ED0ACE6">
            <w:pPr>
              <w:spacing w:line="244" w:lineRule="auto"/>
              <w:rPr>
                <w:rFonts w:ascii="Arial"/>
                <w:sz w:val="21"/>
              </w:rPr>
            </w:pPr>
          </w:p>
          <w:p w14:paraId="0398394E">
            <w:pPr>
              <w:pStyle w:val="6"/>
              <w:spacing w:before="59" w:line="223" w:lineRule="auto"/>
              <w:ind w:left="12" w:right="145"/>
              <w:rPr>
                <w:sz w:val="18"/>
                <w:szCs w:val="18"/>
              </w:rPr>
            </w:pPr>
            <w:r>
              <w:rPr>
                <w:spacing w:val="1"/>
                <w:sz w:val="18"/>
                <w:szCs w:val="18"/>
              </w:rPr>
              <w:t>1.总电流和电压的相位关系</w:t>
            </w:r>
            <w:r>
              <w:rPr>
                <w:spacing w:val="2"/>
                <w:sz w:val="18"/>
                <w:szCs w:val="18"/>
              </w:rPr>
              <w:t xml:space="preserve"> </w:t>
            </w:r>
            <w:r>
              <w:rPr>
                <w:spacing w:val="1"/>
                <w:sz w:val="18"/>
                <w:szCs w:val="18"/>
              </w:rPr>
              <w:t>2.总电流和电压的大小关系</w:t>
            </w:r>
          </w:p>
        </w:tc>
        <w:tc>
          <w:tcPr>
            <w:tcW w:w="200" w:type="dxa"/>
            <w:tcBorders>
              <w:top w:val="single" w:color="000000" w:sz="2" w:space="0"/>
              <w:bottom w:val="single" w:color="000000" w:sz="2" w:space="0"/>
            </w:tcBorders>
            <w:vAlign w:val="top"/>
          </w:tcPr>
          <w:p w14:paraId="4B52B317">
            <w:pPr>
              <w:rPr>
                <w:rFonts w:ascii="Arial"/>
                <w:sz w:val="21"/>
              </w:rPr>
            </w:pPr>
          </w:p>
        </w:tc>
        <w:tc>
          <w:tcPr>
            <w:tcW w:w="239" w:type="dxa"/>
            <w:tcBorders>
              <w:top w:val="single" w:color="000000" w:sz="2" w:space="0"/>
              <w:bottom w:val="single" w:color="000000" w:sz="2" w:space="0"/>
            </w:tcBorders>
            <w:vAlign w:val="top"/>
          </w:tcPr>
          <w:p w14:paraId="2291EC8C">
            <w:pPr>
              <w:rPr>
                <w:rFonts w:ascii="Arial"/>
                <w:sz w:val="21"/>
              </w:rPr>
            </w:pPr>
          </w:p>
        </w:tc>
        <w:tc>
          <w:tcPr>
            <w:tcW w:w="229" w:type="dxa"/>
            <w:tcBorders>
              <w:top w:val="single" w:color="000000" w:sz="2" w:space="0"/>
              <w:bottom w:val="single" w:color="000000" w:sz="2" w:space="0"/>
            </w:tcBorders>
            <w:vAlign w:val="top"/>
          </w:tcPr>
          <w:p w14:paraId="751AE463">
            <w:pPr>
              <w:rPr>
                <w:rFonts w:ascii="Arial"/>
                <w:sz w:val="21"/>
              </w:rPr>
            </w:pPr>
          </w:p>
        </w:tc>
        <w:tc>
          <w:tcPr>
            <w:tcW w:w="224" w:type="dxa"/>
            <w:tcBorders>
              <w:top w:val="single" w:color="000000" w:sz="2" w:space="0"/>
              <w:bottom w:val="single" w:color="000000" w:sz="2" w:space="0"/>
            </w:tcBorders>
            <w:vAlign w:val="top"/>
          </w:tcPr>
          <w:p w14:paraId="565E8173">
            <w:pPr>
              <w:rPr>
                <w:rFonts w:ascii="Arial"/>
                <w:sz w:val="21"/>
              </w:rPr>
            </w:pPr>
          </w:p>
        </w:tc>
      </w:tr>
      <w:tr w14:paraId="75783F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94" w:hRule="atLeast"/>
        </w:trPr>
        <w:tc>
          <w:tcPr>
            <w:tcW w:w="883" w:type="dxa"/>
            <w:tcBorders>
              <w:top w:val="single" w:color="000000" w:sz="2" w:space="0"/>
              <w:bottom w:val="single" w:color="000000" w:sz="2" w:space="0"/>
            </w:tcBorders>
            <w:vAlign w:val="top"/>
          </w:tcPr>
          <w:p w14:paraId="3E3F9F5F">
            <w:pPr>
              <w:pStyle w:val="6"/>
              <w:spacing w:before="146" w:line="223" w:lineRule="auto"/>
              <w:ind w:left="74" w:right="60"/>
              <w:jc w:val="both"/>
              <w:rPr>
                <w:sz w:val="18"/>
                <w:szCs w:val="18"/>
              </w:rPr>
            </w:pPr>
            <w:r>
              <w:rPr>
                <w:spacing w:val="4"/>
                <w:sz w:val="18"/>
                <w:szCs w:val="18"/>
              </w:rPr>
              <w:t>电感线圈</w:t>
            </w:r>
            <w:r>
              <w:rPr>
                <w:sz w:val="18"/>
                <w:szCs w:val="18"/>
              </w:rPr>
              <w:t xml:space="preserve"> </w:t>
            </w:r>
            <w:r>
              <w:rPr>
                <w:spacing w:val="-3"/>
                <w:sz w:val="18"/>
                <w:szCs w:val="18"/>
              </w:rPr>
              <w:t>与电容器</w:t>
            </w:r>
            <w:r>
              <w:rPr>
                <w:sz w:val="18"/>
                <w:szCs w:val="18"/>
              </w:rPr>
              <w:t xml:space="preserve"> </w:t>
            </w:r>
            <w:r>
              <w:rPr>
                <w:spacing w:val="-3"/>
                <w:sz w:val="18"/>
                <w:szCs w:val="18"/>
              </w:rPr>
              <w:t>并联电路</w:t>
            </w:r>
          </w:p>
        </w:tc>
        <w:tc>
          <w:tcPr>
            <w:tcW w:w="2344" w:type="dxa"/>
            <w:tcBorders>
              <w:top w:val="single" w:color="000000" w:sz="2" w:space="0"/>
              <w:bottom w:val="single" w:color="000000" w:sz="2" w:space="0"/>
            </w:tcBorders>
            <w:vAlign w:val="top"/>
          </w:tcPr>
          <w:p w14:paraId="15E62E98">
            <w:pPr>
              <w:pStyle w:val="6"/>
              <w:spacing w:before="145" w:line="235" w:lineRule="auto"/>
              <w:ind w:left="12" w:right="1586"/>
              <w:rPr>
                <w:sz w:val="18"/>
                <w:szCs w:val="18"/>
              </w:rPr>
            </w:pPr>
            <w:r>
              <w:rPr>
                <w:spacing w:val="-5"/>
                <w:sz w:val="18"/>
                <w:szCs w:val="18"/>
              </w:rPr>
              <w:t>1.</w:t>
            </w:r>
            <w:r>
              <w:rPr>
                <w:spacing w:val="-51"/>
                <w:sz w:val="18"/>
                <w:szCs w:val="18"/>
              </w:rPr>
              <w:t xml:space="preserve"> </w:t>
            </w:r>
            <w:r>
              <w:rPr>
                <w:spacing w:val="-5"/>
                <w:sz w:val="18"/>
                <w:szCs w:val="18"/>
              </w:rPr>
              <w:t>电路图</w:t>
            </w:r>
            <w:r>
              <w:rPr>
                <w:sz w:val="18"/>
                <w:szCs w:val="18"/>
              </w:rPr>
              <w:t xml:space="preserve"> </w:t>
            </w:r>
            <w:r>
              <w:rPr>
                <w:spacing w:val="3"/>
                <w:sz w:val="18"/>
                <w:szCs w:val="18"/>
              </w:rPr>
              <w:t>2.相量图</w:t>
            </w:r>
          </w:p>
          <w:p w14:paraId="5FA0A51A">
            <w:pPr>
              <w:pStyle w:val="6"/>
              <w:spacing w:before="1" w:line="219" w:lineRule="auto"/>
              <w:ind w:left="12"/>
              <w:rPr>
                <w:sz w:val="18"/>
                <w:szCs w:val="18"/>
              </w:rPr>
            </w:pPr>
            <w:r>
              <w:rPr>
                <w:spacing w:val="-1"/>
                <w:sz w:val="18"/>
                <w:szCs w:val="18"/>
              </w:rPr>
              <w:t>3.并联谐振的定义和条件</w:t>
            </w:r>
          </w:p>
        </w:tc>
        <w:tc>
          <w:tcPr>
            <w:tcW w:w="200" w:type="dxa"/>
            <w:tcBorders>
              <w:top w:val="single" w:color="000000" w:sz="2" w:space="0"/>
              <w:bottom w:val="single" w:color="000000" w:sz="2" w:space="0"/>
            </w:tcBorders>
            <w:vAlign w:val="top"/>
          </w:tcPr>
          <w:p w14:paraId="2FA50658">
            <w:pPr>
              <w:rPr>
                <w:rFonts w:ascii="Arial"/>
                <w:sz w:val="21"/>
              </w:rPr>
            </w:pPr>
          </w:p>
        </w:tc>
        <w:tc>
          <w:tcPr>
            <w:tcW w:w="239" w:type="dxa"/>
            <w:tcBorders>
              <w:top w:val="single" w:color="000000" w:sz="2" w:space="0"/>
              <w:bottom w:val="single" w:color="000000" w:sz="2" w:space="0"/>
            </w:tcBorders>
            <w:vAlign w:val="top"/>
          </w:tcPr>
          <w:p w14:paraId="38635890">
            <w:pPr>
              <w:rPr>
                <w:rFonts w:ascii="Arial"/>
                <w:sz w:val="21"/>
              </w:rPr>
            </w:pPr>
          </w:p>
        </w:tc>
        <w:tc>
          <w:tcPr>
            <w:tcW w:w="229" w:type="dxa"/>
            <w:tcBorders>
              <w:top w:val="single" w:color="000000" w:sz="2" w:space="0"/>
              <w:bottom w:val="single" w:color="000000" w:sz="2" w:space="0"/>
            </w:tcBorders>
            <w:vAlign w:val="top"/>
          </w:tcPr>
          <w:p w14:paraId="36E600F5">
            <w:pPr>
              <w:rPr>
                <w:rFonts w:ascii="Arial"/>
                <w:sz w:val="21"/>
              </w:rPr>
            </w:pPr>
          </w:p>
        </w:tc>
        <w:tc>
          <w:tcPr>
            <w:tcW w:w="224" w:type="dxa"/>
            <w:tcBorders>
              <w:top w:val="single" w:color="000000" w:sz="2" w:space="0"/>
              <w:bottom w:val="single" w:color="000000" w:sz="2" w:space="0"/>
            </w:tcBorders>
            <w:vAlign w:val="top"/>
          </w:tcPr>
          <w:p w14:paraId="2E87BD18">
            <w:pPr>
              <w:rPr>
                <w:rFonts w:ascii="Arial"/>
                <w:sz w:val="21"/>
              </w:rPr>
            </w:pPr>
          </w:p>
        </w:tc>
      </w:tr>
      <w:tr w14:paraId="02A878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14" w:hRule="atLeast"/>
        </w:trPr>
        <w:tc>
          <w:tcPr>
            <w:tcW w:w="883" w:type="dxa"/>
            <w:tcBorders>
              <w:top w:val="single" w:color="000000" w:sz="2" w:space="0"/>
              <w:bottom w:val="single" w:color="000000" w:sz="2" w:space="0"/>
            </w:tcBorders>
            <w:vAlign w:val="top"/>
          </w:tcPr>
          <w:p w14:paraId="14E78BEB">
            <w:pPr>
              <w:pStyle w:val="6"/>
              <w:spacing w:before="266" w:line="219" w:lineRule="auto"/>
              <w:ind w:left="74"/>
              <w:rPr>
                <w:sz w:val="18"/>
                <w:szCs w:val="18"/>
              </w:rPr>
            </w:pPr>
            <w:r>
              <w:rPr>
                <w:spacing w:val="-2"/>
                <w:sz w:val="18"/>
                <w:szCs w:val="18"/>
              </w:rPr>
              <w:t>交流电路</w:t>
            </w:r>
          </w:p>
          <w:p w14:paraId="63F96F97">
            <w:pPr>
              <w:pStyle w:val="6"/>
              <w:spacing w:before="36" w:line="219" w:lineRule="auto"/>
              <w:ind w:left="165"/>
              <w:rPr>
                <w:sz w:val="18"/>
                <w:szCs w:val="18"/>
              </w:rPr>
            </w:pPr>
            <w:r>
              <w:rPr>
                <w:spacing w:val="2"/>
                <w:sz w:val="18"/>
                <w:szCs w:val="18"/>
              </w:rPr>
              <w:t>的功率</w:t>
            </w:r>
          </w:p>
        </w:tc>
        <w:tc>
          <w:tcPr>
            <w:tcW w:w="2344" w:type="dxa"/>
            <w:tcBorders>
              <w:top w:val="single" w:color="000000" w:sz="2" w:space="0"/>
              <w:bottom w:val="single" w:color="000000" w:sz="2" w:space="0"/>
            </w:tcBorders>
            <w:vAlign w:val="top"/>
          </w:tcPr>
          <w:p w14:paraId="030F3676">
            <w:pPr>
              <w:pStyle w:val="6"/>
              <w:spacing w:before="176" w:line="217" w:lineRule="auto"/>
              <w:ind w:left="12" w:right="873"/>
              <w:rPr>
                <w:sz w:val="18"/>
                <w:szCs w:val="18"/>
              </w:rPr>
            </w:pPr>
            <w:r>
              <w:rPr>
                <w:sz w:val="18"/>
                <w:szCs w:val="18"/>
              </w:rPr>
              <w:t>1.交流电路的功率</w:t>
            </w:r>
            <w:r>
              <w:rPr>
                <w:spacing w:val="7"/>
                <w:sz w:val="18"/>
                <w:szCs w:val="18"/>
              </w:rPr>
              <w:t xml:space="preserve"> </w:t>
            </w:r>
            <w:r>
              <w:rPr>
                <w:spacing w:val="-2"/>
                <w:sz w:val="18"/>
                <w:szCs w:val="18"/>
              </w:rPr>
              <w:t>2.功率因数</w:t>
            </w:r>
          </w:p>
          <w:p w14:paraId="42E692F1">
            <w:pPr>
              <w:pStyle w:val="6"/>
              <w:spacing w:before="16" w:line="219" w:lineRule="auto"/>
              <w:jc w:val="right"/>
              <w:rPr>
                <w:sz w:val="18"/>
                <w:szCs w:val="18"/>
              </w:rPr>
            </w:pPr>
            <w:r>
              <w:rPr>
                <w:spacing w:val="-2"/>
                <w:sz w:val="18"/>
                <w:szCs w:val="18"/>
              </w:rPr>
              <w:t>3.提高功率因数的意义和方法</w:t>
            </w:r>
          </w:p>
        </w:tc>
        <w:tc>
          <w:tcPr>
            <w:tcW w:w="200" w:type="dxa"/>
            <w:tcBorders>
              <w:top w:val="single" w:color="000000" w:sz="2" w:space="0"/>
              <w:bottom w:val="single" w:color="000000" w:sz="2" w:space="0"/>
            </w:tcBorders>
            <w:vAlign w:val="top"/>
          </w:tcPr>
          <w:p w14:paraId="29B261FE">
            <w:pPr>
              <w:rPr>
                <w:rFonts w:ascii="Arial"/>
                <w:sz w:val="21"/>
              </w:rPr>
            </w:pPr>
          </w:p>
        </w:tc>
        <w:tc>
          <w:tcPr>
            <w:tcW w:w="239" w:type="dxa"/>
            <w:tcBorders>
              <w:top w:val="single" w:color="000000" w:sz="2" w:space="0"/>
              <w:bottom w:val="single" w:color="000000" w:sz="2" w:space="0"/>
            </w:tcBorders>
            <w:vAlign w:val="top"/>
          </w:tcPr>
          <w:p w14:paraId="5DB24825">
            <w:pPr>
              <w:rPr>
                <w:rFonts w:ascii="Arial"/>
                <w:sz w:val="21"/>
              </w:rPr>
            </w:pPr>
          </w:p>
        </w:tc>
        <w:tc>
          <w:tcPr>
            <w:tcW w:w="229" w:type="dxa"/>
            <w:tcBorders>
              <w:top w:val="single" w:color="000000" w:sz="2" w:space="0"/>
              <w:bottom w:val="single" w:color="000000" w:sz="2" w:space="0"/>
            </w:tcBorders>
            <w:vAlign w:val="top"/>
          </w:tcPr>
          <w:p w14:paraId="5BAB75ED">
            <w:pPr>
              <w:rPr>
                <w:rFonts w:ascii="Arial"/>
                <w:sz w:val="21"/>
              </w:rPr>
            </w:pPr>
          </w:p>
        </w:tc>
        <w:tc>
          <w:tcPr>
            <w:tcW w:w="224" w:type="dxa"/>
            <w:tcBorders>
              <w:top w:val="single" w:color="000000" w:sz="2" w:space="0"/>
              <w:bottom w:val="single" w:color="000000" w:sz="2" w:space="0"/>
            </w:tcBorders>
            <w:vAlign w:val="top"/>
          </w:tcPr>
          <w:p w14:paraId="764A763F">
            <w:pPr>
              <w:rPr>
                <w:rFonts w:ascii="Arial"/>
                <w:sz w:val="21"/>
              </w:rPr>
            </w:pPr>
          </w:p>
        </w:tc>
      </w:tr>
      <w:tr w14:paraId="332AE8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39" w:hRule="atLeast"/>
        </w:trPr>
        <w:tc>
          <w:tcPr>
            <w:tcW w:w="883" w:type="dxa"/>
            <w:tcBorders>
              <w:top w:val="single" w:color="000000" w:sz="2" w:space="0"/>
              <w:bottom w:val="single" w:color="000000" w:sz="2" w:space="0"/>
            </w:tcBorders>
            <w:vAlign w:val="top"/>
          </w:tcPr>
          <w:p w14:paraId="4E5A3F01">
            <w:pPr>
              <w:pStyle w:val="6"/>
              <w:spacing w:before="227" w:line="219" w:lineRule="auto"/>
              <w:ind w:left="74"/>
              <w:rPr>
                <w:sz w:val="18"/>
                <w:szCs w:val="18"/>
              </w:rPr>
            </w:pPr>
            <w:r>
              <w:rPr>
                <w:spacing w:val="-2"/>
                <w:sz w:val="18"/>
                <w:szCs w:val="18"/>
              </w:rPr>
              <w:t>交流电路</w:t>
            </w:r>
          </w:p>
          <w:p w14:paraId="3742E125">
            <w:pPr>
              <w:pStyle w:val="6"/>
              <w:spacing w:before="16" w:line="215" w:lineRule="auto"/>
              <w:ind w:left="165"/>
              <w:rPr>
                <w:sz w:val="18"/>
                <w:szCs w:val="18"/>
              </w:rPr>
            </w:pPr>
            <w:r>
              <w:rPr>
                <w:spacing w:val="2"/>
                <w:sz w:val="18"/>
                <w:szCs w:val="18"/>
              </w:rPr>
              <w:t>的实际</w:t>
            </w:r>
          </w:p>
          <w:p w14:paraId="36C2605E">
            <w:pPr>
              <w:pStyle w:val="6"/>
              <w:spacing w:line="219" w:lineRule="auto"/>
              <w:ind w:left="254"/>
              <w:rPr>
                <w:sz w:val="18"/>
                <w:szCs w:val="18"/>
              </w:rPr>
            </w:pPr>
            <w:r>
              <w:rPr>
                <w:spacing w:val="-3"/>
                <w:sz w:val="18"/>
                <w:szCs w:val="18"/>
              </w:rPr>
              <w:t>元件</w:t>
            </w:r>
          </w:p>
        </w:tc>
        <w:tc>
          <w:tcPr>
            <w:tcW w:w="2344" w:type="dxa"/>
            <w:tcBorders>
              <w:top w:val="single" w:color="000000" w:sz="2" w:space="0"/>
              <w:bottom w:val="single" w:color="000000" w:sz="2" w:space="0"/>
            </w:tcBorders>
            <w:vAlign w:val="top"/>
          </w:tcPr>
          <w:p w14:paraId="01AA2684">
            <w:pPr>
              <w:pStyle w:val="6"/>
              <w:spacing w:before="248" w:line="215" w:lineRule="auto"/>
              <w:ind w:left="12" w:right="1235"/>
              <w:rPr>
                <w:sz w:val="18"/>
                <w:szCs w:val="18"/>
              </w:rPr>
            </w:pPr>
            <w:r>
              <w:rPr>
                <w:sz w:val="18"/>
                <w:szCs w:val="18"/>
              </w:rPr>
              <w:t>1.导体的电阻</w:t>
            </w:r>
            <w:r>
              <w:rPr>
                <w:spacing w:val="5"/>
                <w:sz w:val="18"/>
                <w:szCs w:val="18"/>
              </w:rPr>
              <w:t xml:space="preserve"> </w:t>
            </w:r>
            <w:r>
              <w:rPr>
                <w:spacing w:val="3"/>
                <w:sz w:val="18"/>
                <w:szCs w:val="18"/>
              </w:rPr>
              <w:t>2.电感线圈</w:t>
            </w:r>
          </w:p>
          <w:p w14:paraId="7CC49C9E">
            <w:pPr>
              <w:pStyle w:val="6"/>
              <w:spacing w:line="220" w:lineRule="auto"/>
              <w:ind w:left="12"/>
              <w:rPr>
                <w:sz w:val="18"/>
                <w:szCs w:val="18"/>
              </w:rPr>
            </w:pPr>
            <w:r>
              <w:rPr>
                <w:spacing w:val="-1"/>
                <w:sz w:val="18"/>
                <w:szCs w:val="18"/>
              </w:rPr>
              <w:t>3.电容器</w:t>
            </w:r>
          </w:p>
        </w:tc>
        <w:tc>
          <w:tcPr>
            <w:tcW w:w="200" w:type="dxa"/>
            <w:tcBorders>
              <w:top w:val="single" w:color="000000" w:sz="2" w:space="0"/>
              <w:bottom w:val="single" w:color="000000" w:sz="2" w:space="0"/>
            </w:tcBorders>
            <w:vAlign w:val="top"/>
          </w:tcPr>
          <w:p w14:paraId="77CCE718">
            <w:pPr>
              <w:spacing w:line="266" w:lineRule="auto"/>
              <w:rPr>
                <w:rFonts w:ascii="Arial"/>
                <w:sz w:val="21"/>
              </w:rPr>
            </w:pPr>
          </w:p>
          <w:p w14:paraId="5FBE69D7">
            <w:pPr>
              <w:spacing w:line="532" w:lineRule="exact"/>
              <w:ind w:firstLine="20"/>
            </w:pPr>
            <w:r>
              <w:rPr>
                <w:position w:val="-10"/>
              </w:rPr>
              <w:drawing>
                <wp:inline distT="0" distB="0" distL="0" distR="0">
                  <wp:extent cx="92075" cy="337820"/>
                  <wp:effectExtent l="0" t="0" r="0" b="0"/>
                  <wp:docPr id="164" name="IM 164"/>
                  <wp:cNvGraphicFramePr/>
                  <a:graphic xmlns:a="http://schemas.openxmlformats.org/drawingml/2006/main">
                    <a:graphicData uri="http://schemas.openxmlformats.org/drawingml/2006/picture">
                      <pic:pic xmlns:pic="http://schemas.openxmlformats.org/drawingml/2006/picture">
                        <pic:nvPicPr>
                          <pic:cNvPr id="164" name="IM 164"/>
                          <pic:cNvPicPr/>
                        </pic:nvPicPr>
                        <pic:blipFill>
                          <a:blip r:embed="rId247"/>
                          <a:stretch>
                            <a:fillRect/>
                          </a:stretch>
                        </pic:blipFill>
                        <pic:spPr>
                          <a:xfrm>
                            <a:off x="0" y="0"/>
                            <a:ext cx="92093" cy="338066"/>
                          </a:xfrm>
                          <a:prstGeom prst="rect">
                            <a:avLst/>
                          </a:prstGeom>
                        </pic:spPr>
                      </pic:pic>
                    </a:graphicData>
                  </a:graphic>
                </wp:inline>
              </w:drawing>
            </w:r>
          </w:p>
        </w:tc>
        <w:tc>
          <w:tcPr>
            <w:tcW w:w="239" w:type="dxa"/>
            <w:tcBorders>
              <w:top w:val="single" w:color="000000" w:sz="2" w:space="0"/>
              <w:bottom w:val="single" w:color="000000" w:sz="2" w:space="0"/>
            </w:tcBorders>
            <w:vAlign w:val="top"/>
          </w:tcPr>
          <w:p w14:paraId="0783CCDD">
            <w:pPr>
              <w:rPr>
                <w:rFonts w:ascii="Arial"/>
                <w:sz w:val="21"/>
              </w:rPr>
            </w:pPr>
          </w:p>
        </w:tc>
        <w:tc>
          <w:tcPr>
            <w:tcW w:w="229" w:type="dxa"/>
            <w:tcBorders>
              <w:top w:val="single" w:color="000000" w:sz="2" w:space="0"/>
              <w:bottom w:val="single" w:color="000000" w:sz="2" w:space="0"/>
            </w:tcBorders>
            <w:vAlign w:val="top"/>
          </w:tcPr>
          <w:p w14:paraId="4DB773B7">
            <w:pPr>
              <w:rPr>
                <w:rFonts w:ascii="Arial"/>
                <w:sz w:val="21"/>
              </w:rPr>
            </w:pPr>
          </w:p>
        </w:tc>
        <w:tc>
          <w:tcPr>
            <w:tcW w:w="224" w:type="dxa"/>
            <w:tcBorders>
              <w:top w:val="single" w:color="000000" w:sz="2" w:space="0"/>
              <w:bottom w:val="single" w:color="000000" w:sz="2" w:space="0"/>
            </w:tcBorders>
            <w:vAlign w:val="top"/>
          </w:tcPr>
          <w:p w14:paraId="3E2E81A0">
            <w:pPr>
              <w:rPr>
                <w:rFonts w:ascii="Arial"/>
                <w:sz w:val="21"/>
              </w:rPr>
            </w:pPr>
          </w:p>
        </w:tc>
      </w:tr>
    </w:tbl>
    <w:p w14:paraId="68A1B4A7">
      <w:pPr>
        <w:pStyle w:val="2"/>
        <w:spacing w:line="14" w:lineRule="auto"/>
        <w:rPr>
          <w:sz w:val="2"/>
        </w:rPr>
      </w:pPr>
    </w:p>
    <w:p w14:paraId="0C48910E">
      <w:pPr>
        <w:spacing w:line="14" w:lineRule="auto"/>
        <w:rPr>
          <w:sz w:val="2"/>
          <w:szCs w:val="2"/>
        </w:rPr>
        <w:sectPr>
          <w:type w:val="continuous"/>
          <w:pgSz w:w="10660" w:h="15080"/>
          <w:pgMar w:top="400" w:right="1034" w:bottom="925" w:left="819" w:header="0" w:footer="704" w:gutter="0"/>
          <w:cols w:equalWidth="0" w:num="2">
            <w:col w:w="4566" w:space="100"/>
            <w:col w:w="4141"/>
          </w:cols>
        </w:sectPr>
      </w:pPr>
    </w:p>
    <w:p w14:paraId="3C8BC833">
      <w:pPr>
        <w:spacing w:before="2"/>
      </w:pPr>
    </w:p>
    <w:p w14:paraId="02ABF867">
      <w:pPr>
        <w:spacing w:before="2"/>
      </w:pPr>
    </w:p>
    <w:p w14:paraId="50DB5B15">
      <w:pPr>
        <w:spacing w:before="2"/>
      </w:pPr>
    </w:p>
    <w:p w14:paraId="03F13093">
      <w:pPr>
        <w:spacing w:before="1"/>
      </w:pPr>
    </w:p>
    <w:p w14:paraId="27A286BC">
      <w:pPr>
        <w:sectPr>
          <w:footerReference r:id="rId35" w:type="default"/>
          <w:pgSz w:w="10660" w:h="15080"/>
          <w:pgMar w:top="400" w:right="885" w:bottom="925" w:left="1014" w:header="0" w:footer="705" w:gutter="0"/>
          <w:cols w:equalWidth="0" w:num="1">
            <w:col w:w="8760"/>
          </w:cols>
        </w:sectPr>
      </w:pPr>
    </w:p>
    <w:p w14:paraId="594B5657">
      <w:pPr>
        <w:spacing w:before="40" w:line="221" w:lineRule="auto"/>
        <w:ind w:left="887"/>
        <w:rPr>
          <w:rFonts w:ascii="黑体" w:hAnsi="黑体" w:eastAsia="黑体" w:cs="黑体"/>
          <w:sz w:val="20"/>
          <w:szCs w:val="20"/>
        </w:rPr>
      </w:pPr>
      <w:r>
        <w:rPr>
          <w:rFonts w:ascii="黑体" w:hAnsi="黑体" w:eastAsia="黑体" w:cs="黑体"/>
          <w:b/>
          <w:bCs/>
          <w:spacing w:val="-5"/>
          <w:sz w:val="20"/>
          <w:szCs w:val="20"/>
        </w:rPr>
        <w:t>第九章</w:t>
      </w:r>
      <w:r>
        <w:rPr>
          <w:rFonts w:ascii="黑体" w:hAnsi="黑体" w:eastAsia="黑体" w:cs="黑体"/>
          <w:spacing w:val="-5"/>
          <w:sz w:val="20"/>
          <w:szCs w:val="20"/>
        </w:rPr>
        <w:t xml:space="preserve">  </w:t>
      </w:r>
      <w:r>
        <w:rPr>
          <w:rFonts w:ascii="黑体" w:hAnsi="黑体" w:eastAsia="黑体" w:cs="黑体"/>
          <w:b/>
          <w:bCs/>
          <w:spacing w:val="-5"/>
          <w:sz w:val="20"/>
          <w:szCs w:val="20"/>
        </w:rPr>
        <w:t>三相正弦交流电路</w:t>
      </w:r>
    </w:p>
    <w:p w14:paraId="69A2D303">
      <w:pPr>
        <w:spacing w:line="82" w:lineRule="exact"/>
      </w:pPr>
    </w:p>
    <w:tbl>
      <w:tblPr>
        <w:tblStyle w:val="5"/>
        <w:tblW w:w="4140" w:type="dxa"/>
        <w:tblInd w:w="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24"/>
        <w:gridCol w:w="229"/>
        <w:gridCol w:w="230"/>
        <w:gridCol w:w="220"/>
        <w:gridCol w:w="244"/>
      </w:tblGrid>
      <w:tr w14:paraId="635918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5" w:hRule="atLeast"/>
        </w:trPr>
        <w:tc>
          <w:tcPr>
            <w:tcW w:w="893" w:type="dxa"/>
            <w:vMerge w:val="restart"/>
            <w:tcBorders>
              <w:bottom w:val="nil"/>
            </w:tcBorders>
            <w:vAlign w:val="top"/>
          </w:tcPr>
          <w:p w14:paraId="4760EC9A">
            <w:pPr>
              <w:pStyle w:val="6"/>
              <w:spacing w:before="30" w:line="219" w:lineRule="auto"/>
              <w:ind w:left="266" w:right="25" w:hanging="249"/>
            </w:pPr>
            <w:r>
              <w:rPr>
                <w:b/>
                <w:bCs/>
                <w:spacing w:val="-4"/>
              </w:rPr>
              <w:t>知识与技能</w:t>
            </w:r>
            <w:r>
              <w:t xml:space="preserve"> </w:t>
            </w:r>
            <w:r>
              <w:rPr>
                <w:b/>
                <w:bCs/>
                <w:spacing w:val="-4"/>
              </w:rPr>
              <w:t>要点</w:t>
            </w:r>
          </w:p>
        </w:tc>
        <w:tc>
          <w:tcPr>
            <w:tcW w:w="2324" w:type="dxa"/>
            <w:vMerge w:val="restart"/>
            <w:tcBorders>
              <w:bottom w:val="nil"/>
            </w:tcBorders>
            <w:vAlign w:val="top"/>
          </w:tcPr>
          <w:p w14:paraId="642380CF">
            <w:pPr>
              <w:pStyle w:val="6"/>
              <w:spacing w:before="139" w:line="219" w:lineRule="auto"/>
              <w:ind w:left="854"/>
            </w:pPr>
            <w:r>
              <w:rPr>
                <w:b/>
                <w:bCs/>
                <w:spacing w:val="5"/>
              </w:rPr>
              <w:t>考试条目</w:t>
            </w:r>
          </w:p>
        </w:tc>
        <w:tc>
          <w:tcPr>
            <w:tcW w:w="923" w:type="dxa"/>
            <w:gridSpan w:val="4"/>
            <w:vAlign w:val="top"/>
          </w:tcPr>
          <w:p w14:paraId="12168152">
            <w:pPr>
              <w:pStyle w:val="6"/>
              <w:spacing w:before="29" w:line="201" w:lineRule="auto"/>
              <w:ind w:left="140"/>
            </w:pPr>
            <w:r>
              <w:rPr>
                <w:b/>
                <w:bCs/>
                <w:spacing w:val="-4"/>
              </w:rPr>
              <w:t>考试水平</w:t>
            </w:r>
          </w:p>
        </w:tc>
      </w:tr>
      <w:tr w14:paraId="544724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9" w:hRule="atLeast"/>
        </w:trPr>
        <w:tc>
          <w:tcPr>
            <w:tcW w:w="893" w:type="dxa"/>
            <w:vMerge w:val="continue"/>
            <w:tcBorders>
              <w:top w:val="nil"/>
            </w:tcBorders>
            <w:vAlign w:val="top"/>
          </w:tcPr>
          <w:p w14:paraId="284058CA">
            <w:pPr>
              <w:rPr>
                <w:rFonts w:ascii="Arial"/>
                <w:sz w:val="21"/>
              </w:rPr>
            </w:pPr>
          </w:p>
        </w:tc>
        <w:tc>
          <w:tcPr>
            <w:tcW w:w="2324" w:type="dxa"/>
            <w:vMerge w:val="continue"/>
            <w:tcBorders>
              <w:top w:val="nil"/>
            </w:tcBorders>
            <w:vAlign w:val="top"/>
          </w:tcPr>
          <w:p w14:paraId="74A6BD6C">
            <w:pPr>
              <w:rPr>
                <w:rFonts w:ascii="Arial"/>
                <w:sz w:val="21"/>
              </w:rPr>
            </w:pPr>
          </w:p>
        </w:tc>
        <w:tc>
          <w:tcPr>
            <w:tcW w:w="229" w:type="dxa"/>
            <w:vAlign w:val="top"/>
          </w:tcPr>
          <w:p w14:paraId="1A8B1938">
            <w:pPr>
              <w:pStyle w:val="6"/>
              <w:spacing w:before="59" w:line="140" w:lineRule="exact"/>
              <w:ind w:left="50"/>
            </w:pPr>
            <w:r>
              <w:rPr>
                <w:b/>
                <w:bCs/>
                <w:spacing w:val="-2"/>
                <w:position w:val="-2"/>
              </w:rPr>
              <w:t>A</w:t>
            </w:r>
          </w:p>
        </w:tc>
        <w:tc>
          <w:tcPr>
            <w:tcW w:w="230" w:type="dxa"/>
            <w:vAlign w:val="top"/>
          </w:tcPr>
          <w:p w14:paraId="6A50DF75">
            <w:pPr>
              <w:pStyle w:val="6"/>
              <w:spacing w:before="62" w:line="137" w:lineRule="exact"/>
              <w:ind w:left="21"/>
            </w:pPr>
            <w:r>
              <w:rPr>
                <w:b/>
                <w:bCs/>
                <w:spacing w:val="-2"/>
                <w:position w:val="-2"/>
              </w:rPr>
              <w:t>B</w:t>
            </w:r>
          </w:p>
        </w:tc>
        <w:tc>
          <w:tcPr>
            <w:tcW w:w="220" w:type="dxa"/>
            <w:vAlign w:val="top"/>
          </w:tcPr>
          <w:p w14:paraId="62B7E377">
            <w:pPr>
              <w:pStyle w:val="6"/>
              <w:spacing w:before="60" w:line="139" w:lineRule="exact"/>
              <w:ind w:left="18"/>
            </w:pPr>
            <w:r>
              <w:rPr>
                <w:position w:val="-2"/>
              </w:rPr>
              <w:t>C</w:t>
            </w:r>
          </w:p>
        </w:tc>
        <w:tc>
          <w:tcPr>
            <w:tcW w:w="244" w:type="dxa"/>
            <w:vAlign w:val="top"/>
          </w:tcPr>
          <w:p w14:paraId="6637C14E">
            <w:pPr>
              <w:pStyle w:val="6"/>
              <w:spacing w:before="62" w:line="137" w:lineRule="exact"/>
              <w:ind w:left="31"/>
            </w:pPr>
            <w:r>
              <w:rPr>
                <w:b/>
                <w:bCs/>
                <w:spacing w:val="-2"/>
                <w:position w:val="-2"/>
              </w:rPr>
              <w:t>D</w:t>
            </w:r>
          </w:p>
        </w:tc>
      </w:tr>
      <w:tr w14:paraId="2D6A99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27" w:hRule="atLeast"/>
        </w:trPr>
        <w:tc>
          <w:tcPr>
            <w:tcW w:w="893" w:type="dxa"/>
            <w:vAlign w:val="top"/>
          </w:tcPr>
          <w:p w14:paraId="7BA330BB">
            <w:pPr>
              <w:spacing w:line="362" w:lineRule="auto"/>
              <w:rPr>
                <w:rFonts w:ascii="Arial"/>
                <w:sz w:val="21"/>
              </w:rPr>
            </w:pPr>
          </w:p>
          <w:p w14:paraId="7732B949">
            <w:pPr>
              <w:pStyle w:val="6"/>
              <w:spacing w:before="55" w:line="228" w:lineRule="auto"/>
              <w:ind w:left="94" w:right="100"/>
            </w:pPr>
            <w:r>
              <w:rPr>
                <w:spacing w:val="-2"/>
              </w:rPr>
              <w:t>三相交流</w:t>
            </w:r>
            <w:r>
              <w:t xml:space="preserve"> </w:t>
            </w:r>
            <w:r>
              <w:rPr>
                <w:spacing w:val="1"/>
              </w:rPr>
              <w:t>电的产生</w:t>
            </w:r>
          </w:p>
        </w:tc>
        <w:tc>
          <w:tcPr>
            <w:tcW w:w="2324" w:type="dxa"/>
            <w:vAlign w:val="top"/>
          </w:tcPr>
          <w:p w14:paraId="0407FFE8">
            <w:pPr>
              <w:spacing w:line="371" w:lineRule="auto"/>
              <w:rPr>
                <w:rFonts w:ascii="Arial"/>
                <w:sz w:val="21"/>
              </w:rPr>
            </w:pPr>
          </w:p>
          <w:p w14:paraId="7714CC57">
            <w:pPr>
              <w:pStyle w:val="6"/>
              <w:spacing w:before="55" w:line="221" w:lineRule="auto"/>
              <w:ind w:left="12"/>
            </w:pPr>
            <w:r>
              <w:rPr>
                <w:spacing w:val="1"/>
              </w:rPr>
              <w:t>1.三相交流电</w:t>
            </w:r>
          </w:p>
          <w:p w14:paraId="04EF6F7F">
            <w:pPr>
              <w:pStyle w:val="6"/>
              <w:spacing w:before="15" w:line="219" w:lineRule="auto"/>
              <w:ind w:left="12"/>
            </w:pPr>
            <w:r>
              <w:rPr>
                <w:spacing w:val="-1"/>
              </w:rPr>
              <w:t>2.三相交流电的产生</w:t>
            </w:r>
          </w:p>
        </w:tc>
        <w:tc>
          <w:tcPr>
            <w:tcW w:w="229" w:type="dxa"/>
            <w:vAlign w:val="top"/>
          </w:tcPr>
          <w:p w14:paraId="7B56CCD2">
            <w:pPr>
              <w:rPr>
                <w:rFonts w:ascii="Arial"/>
                <w:sz w:val="21"/>
              </w:rPr>
            </w:pPr>
          </w:p>
        </w:tc>
        <w:tc>
          <w:tcPr>
            <w:tcW w:w="230" w:type="dxa"/>
            <w:vAlign w:val="top"/>
          </w:tcPr>
          <w:p w14:paraId="55DC5934">
            <w:pPr>
              <w:rPr>
                <w:rFonts w:ascii="Arial"/>
                <w:sz w:val="21"/>
              </w:rPr>
            </w:pPr>
          </w:p>
        </w:tc>
        <w:tc>
          <w:tcPr>
            <w:tcW w:w="220" w:type="dxa"/>
            <w:vAlign w:val="top"/>
          </w:tcPr>
          <w:p w14:paraId="0CBBF1F5">
            <w:pPr>
              <w:rPr>
                <w:rFonts w:ascii="Arial"/>
                <w:sz w:val="21"/>
              </w:rPr>
            </w:pPr>
          </w:p>
        </w:tc>
        <w:tc>
          <w:tcPr>
            <w:tcW w:w="244" w:type="dxa"/>
            <w:vAlign w:val="top"/>
          </w:tcPr>
          <w:p w14:paraId="43A664E7">
            <w:pPr>
              <w:rPr>
                <w:rFonts w:ascii="Arial"/>
                <w:sz w:val="21"/>
              </w:rPr>
            </w:pPr>
          </w:p>
        </w:tc>
      </w:tr>
      <w:tr w14:paraId="61F890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9" w:hRule="atLeast"/>
        </w:trPr>
        <w:tc>
          <w:tcPr>
            <w:tcW w:w="893" w:type="dxa"/>
            <w:vAlign w:val="top"/>
          </w:tcPr>
          <w:p w14:paraId="4F88F37D">
            <w:pPr>
              <w:pStyle w:val="6"/>
              <w:spacing w:before="43" w:line="216" w:lineRule="auto"/>
              <w:ind w:left="94"/>
            </w:pPr>
            <w:r>
              <w:rPr>
                <w:spacing w:val="-2"/>
              </w:rPr>
              <w:t>三相电源</w:t>
            </w:r>
          </w:p>
          <w:p w14:paraId="21E7EA26">
            <w:pPr>
              <w:pStyle w:val="6"/>
              <w:spacing w:line="192" w:lineRule="auto"/>
              <w:ind w:left="185"/>
            </w:pPr>
            <w:r>
              <w:rPr>
                <w:spacing w:val="2"/>
              </w:rPr>
              <w:t>的联接</w:t>
            </w:r>
          </w:p>
        </w:tc>
        <w:tc>
          <w:tcPr>
            <w:tcW w:w="2324" w:type="dxa"/>
            <w:vAlign w:val="top"/>
          </w:tcPr>
          <w:p w14:paraId="7A9E1B9E">
            <w:pPr>
              <w:pStyle w:val="6"/>
              <w:spacing w:before="132" w:line="221" w:lineRule="auto"/>
              <w:ind w:left="12"/>
            </w:pPr>
            <w:r>
              <w:rPr>
                <w:spacing w:val="-1"/>
              </w:rPr>
              <w:t>三相电源的星形联接</w:t>
            </w:r>
          </w:p>
        </w:tc>
        <w:tc>
          <w:tcPr>
            <w:tcW w:w="229" w:type="dxa"/>
            <w:vAlign w:val="top"/>
          </w:tcPr>
          <w:p w14:paraId="30AC4F27">
            <w:pPr>
              <w:rPr>
                <w:rFonts w:ascii="Arial"/>
                <w:sz w:val="21"/>
              </w:rPr>
            </w:pPr>
          </w:p>
        </w:tc>
        <w:tc>
          <w:tcPr>
            <w:tcW w:w="230" w:type="dxa"/>
            <w:vAlign w:val="top"/>
          </w:tcPr>
          <w:p w14:paraId="6FD36911">
            <w:pPr>
              <w:rPr>
                <w:rFonts w:ascii="Arial"/>
                <w:sz w:val="21"/>
              </w:rPr>
            </w:pPr>
          </w:p>
        </w:tc>
        <w:tc>
          <w:tcPr>
            <w:tcW w:w="220" w:type="dxa"/>
            <w:vAlign w:val="top"/>
          </w:tcPr>
          <w:p w14:paraId="294E7535">
            <w:pPr>
              <w:rPr>
                <w:rFonts w:ascii="Arial"/>
                <w:sz w:val="21"/>
              </w:rPr>
            </w:pPr>
          </w:p>
        </w:tc>
        <w:tc>
          <w:tcPr>
            <w:tcW w:w="244" w:type="dxa"/>
            <w:vAlign w:val="top"/>
          </w:tcPr>
          <w:p w14:paraId="3FB32ED8">
            <w:pPr>
              <w:rPr>
                <w:rFonts w:ascii="Arial"/>
                <w:sz w:val="21"/>
              </w:rPr>
            </w:pPr>
          </w:p>
        </w:tc>
      </w:tr>
      <w:tr w14:paraId="5771EB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87" w:hRule="atLeast"/>
        </w:trPr>
        <w:tc>
          <w:tcPr>
            <w:tcW w:w="893" w:type="dxa"/>
            <w:vAlign w:val="top"/>
          </w:tcPr>
          <w:p w14:paraId="7E42D0FA">
            <w:pPr>
              <w:spacing w:line="256" w:lineRule="auto"/>
              <w:rPr>
                <w:rFonts w:ascii="Arial"/>
                <w:sz w:val="21"/>
              </w:rPr>
            </w:pPr>
          </w:p>
          <w:p w14:paraId="1BF5E560">
            <w:pPr>
              <w:spacing w:line="257" w:lineRule="auto"/>
              <w:rPr>
                <w:rFonts w:ascii="Arial"/>
                <w:sz w:val="21"/>
              </w:rPr>
            </w:pPr>
          </w:p>
          <w:p w14:paraId="661FAA3E">
            <w:pPr>
              <w:pStyle w:val="6"/>
              <w:spacing w:before="55" w:line="219" w:lineRule="auto"/>
              <w:ind w:left="94"/>
            </w:pPr>
            <w:r>
              <w:rPr>
                <w:spacing w:val="-2"/>
              </w:rPr>
              <w:t>三相负载</w:t>
            </w:r>
          </w:p>
          <w:p w14:paraId="75F14098">
            <w:pPr>
              <w:pStyle w:val="6"/>
              <w:spacing w:before="19" w:line="221" w:lineRule="auto"/>
              <w:ind w:left="185"/>
            </w:pPr>
            <w:r>
              <w:rPr>
                <w:spacing w:val="3"/>
              </w:rPr>
              <w:t>的联结</w:t>
            </w:r>
          </w:p>
        </w:tc>
        <w:tc>
          <w:tcPr>
            <w:tcW w:w="2324" w:type="dxa"/>
            <w:vAlign w:val="top"/>
          </w:tcPr>
          <w:p w14:paraId="06F9D4BF">
            <w:pPr>
              <w:spacing w:line="275" w:lineRule="auto"/>
              <w:rPr>
                <w:rFonts w:ascii="Arial"/>
                <w:sz w:val="21"/>
              </w:rPr>
            </w:pPr>
          </w:p>
          <w:p w14:paraId="32CCBF59">
            <w:pPr>
              <w:pStyle w:val="6"/>
              <w:spacing w:before="55" w:line="219" w:lineRule="auto"/>
              <w:ind w:left="12"/>
            </w:pPr>
            <w:r>
              <w:rPr>
                <w:spacing w:val="1"/>
              </w:rPr>
              <w:t>1.三相负载</w:t>
            </w:r>
          </w:p>
          <w:p w14:paraId="2E679C42">
            <w:pPr>
              <w:pStyle w:val="6"/>
              <w:spacing w:before="48" w:line="219" w:lineRule="auto"/>
              <w:ind w:left="12"/>
            </w:pPr>
            <w:r>
              <w:rPr>
                <w:spacing w:val="-1"/>
              </w:rPr>
              <w:t>2.三相负载的星形联接</w:t>
            </w:r>
          </w:p>
          <w:p w14:paraId="38DEF9E8">
            <w:pPr>
              <w:pStyle w:val="6"/>
              <w:spacing w:before="7" w:line="230" w:lineRule="auto"/>
              <w:ind w:left="12" w:right="441"/>
            </w:pPr>
            <w:r>
              <w:rPr>
                <w:spacing w:val="-1"/>
              </w:rPr>
              <w:t>3.三相负载的三角形联接</w:t>
            </w:r>
            <w:r>
              <w:t xml:space="preserve"> </w:t>
            </w:r>
            <w:r>
              <w:rPr>
                <w:spacing w:val="2"/>
              </w:rPr>
              <w:t>4.中性线的作用</w:t>
            </w:r>
          </w:p>
        </w:tc>
        <w:tc>
          <w:tcPr>
            <w:tcW w:w="229" w:type="dxa"/>
            <w:vAlign w:val="top"/>
          </w:tcPr>
          <w:p w14:paraId="718E6D68">
            <w:pPr>
              <w:rPr>
                <w:rFonts w:ascii="Arial"/>
                <w:sz w:val="21"/>
              </w:rPr>
            </w:pPr>
          </w:p>
        </w:tc>
        <w:tc>
          <w:tcPr>
            <w:tcW w:w="230" w:type="dxa"/>
            <w:vAlign w:val="top"/>
          </w:tcPr>
          <w:p w14:paraId="2215F12A">
            <w:pPr>
              <w:rPr>
                <w:rFonts w:ascii="Arial"/>
                <w:sz w:val="21"/>
              </w:rPr>
            </w:pPr>
          </w:p>
        </w:tc>
        <w:tc>
          <w:tcPr>
            <w:tcW w:w="220" w:type="dxa"/>
            <w:vAlign w:val="top"/>
          </w:tcPr>
          <w:p w14:paraId="4DA9317C">
            <w:pPr>
              <w:rPr>
                <w:rFonts w:ascii="Arial"/>
                <w:sz w:val="21"/>
              </w:rPr>
            </w:pPr>
          </w:p>
        </w:tc>
        <w:tc>
          <w:tcPr>
            <w:tcW w:w="244" w:type="dxa"/>
            <w:vAlign w:val="top"/>
          </w:tcPr>
          <w:p w14:paraId="3023E08F">
            <w:pPr>
              <w:spacing w:line="260" w:lineRule="auto"/>
              <w:rPr>
                <w:rFonts w:ascii="Arial"/>
                <w:sz w:val="21"/>
              </w:rPr>
            </w:pPr>
          </w:p>
          <w:p w14:paraId="13D53308">
            <w:pPr>
              <w:spacing w:line="261" w:lineRule="auto"/>
              <w:rPr>
                <w:rFonts w:ascii="Arial"/>
                <w:sz w:val="21"/>
              </w:rPr>
            </w:pPr>
          </w:p>
          <w:p w14:paraId="74711206">
            <w:pPr>
              <w:spacing w:line="300" w:lineRule="exact"/>
              <w:ind w:firstLine="51"/>
            </w:pPr>
            <w:r>
              <w:rPr>
                <w:position w:val="-5"/>
              </w:rPr>
              <w:drawing>
                <wp:inline distT="0" distB="0" distL="0" distR="0">
                  <wp:extent cx="91440" cy="189865"/>
                  <wp:effectExtent l="0" t="0" r="0" b="0"/>
                  <wp:docPr id="166" name="IM 166"/>
                  <wp:cNvGraphicFramePr/>
                  <a:graphic xmlns:a="http://schemas.openxmlformats.org/drawingml/2006/main">
                    <a:graphicData uri="http://schemas.openxmlformats.org/drawingml/2006/picture">
                      <pic:pic xmlns:pic="http://schemas.openxmlformats.org/drawingml/2006/picture">
                        <pic:nvPicPr>
                          <pic:cNvPr id="166" name="IM 166"/>
                          <pic:cNvPicPr/>
                        </pic:nvPicPr>
                        <pic:blipFill>
                          <a:blip r:embed="rId248"/>
                          <a:stretch>
                            <a:fillRect/>
                          </a:stretch>
                        </pic:blipFill>
                        <pic:spPr>
                          <a:xfrm>
                            <a:off x="0" y="0"/>
                            <a:ext cx="91446" cy="190474"/>
                          </a:xfrm>
                          <a:prstGeom prst="rect">
                            <a:avLst/>
                          </a:prstGeom>
                        </pic:spPr>
                      </pic:pic>
                    </a:graphicData>
                  </a:graphic>
                </wp:inline>
              </w:drawing>
            </w:r>
          </w:p>
        </w:tc>
      </w:tr>
      <w:tr w14:paraId="2ADC47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53" w:hRule="atLeast"/>
        </w:trPr>
        <w:tc>
          <w:tcPr>
            <w:tcW w:w="893" w:type="dxa"/>
            <w:vAlign w:val="top"/>
          </w:tcPr>
          <w:p w14:paraId="45684DC5">
            <w:pPr>
              <w:pStyle w:val="6"/>
              <w:spacing w:before="235" w:line="219" w:lineRule="auto"/>
              <w:ind w:left="94"/>
            </w:pPr>
            <w:r>
              <w:rPr>
                <w:spacing w:val="-2"/>
              </w:rPr>
              <w:t>三相电路</w:t>
            </w:r>
          </w:p>
          <w:p w14:paraId="29D5C00F">
            <w:pPr>
              <w:pStyle w:val="6"/>
              <w:spacing w:before="38" w:line="219" w:lineRule="auto"/>
              <w:ind w:left="185"/>
            </w:pPr>
            <w:r>
              <w:rPr>
                <w:spacing w:val="2"/>
              </w:rPr>
              <w:t>的功率</w:t>
            </w:r>
          </w:p>
        </w:tc>
        <w:tc>
          <w:tcPr>
            <w:tcW w:w="2324" w:type="dxa"/>
            <w:vAlign w:val="top"/>
          </w:tcPr>
          <w:p w14:paraId="093176E5">
            <w:pPr>
              <w:spacing w:line="288" w:lineRule="auto"/>
              <w:rPr>
                <w:rFonts w:ascii="Arial"/>
                <w:sz w:val="21"/>
              </w:rPr>
            </w:pPr>
          </w:p>
          <w:p w14:paraId="7CE6B874">
            <w:pPr>
              <w:pStyle w:val="6"/>
              <w:spacing w:before="55" w:line="219" w:lineRule="auto"/>
              <w:ind w:left="12"/>
            </w:pPr>
            <w:r>
              <w:rPr>
                <w:spacing w:val="-1"/>
              </w:rPr>
              <w:t>三相电路功率</w:t>
            </w:r>
          </w:p>
        </w:tc>
        <w:tc>
          <w:tcPr>
            <w:tcW w:w="229" w:type="dxa"/>
            <w:vAlign w:val="top"/>
          </w:tcPr>
          <w:p w14:paraId="546E0420">
            <w:pPr>
              <w:rPr>
                <w:rFonts w:ascii="Arial"/>
                <w:sz w:val="21"/>
              </w:rPr>
            </w:pPr>
          </w:p>
        </w:tc>
        <w:tc>
          <w:tcPr>
            <w:tcW w:w="230" w:type="dxa"/>
            <w:vAlign w:val="top"/>
          </w:tcPr>
          <w:p w14:paraId="6ADC8677">
            <w:pPr>
              <w:rPr>
                <w:rFonts w:ascii="Arial"/>
                <w:sz w:val="21"/>
              </w:rPr>
            </w:pPr>
          </w:p>
        </w:tc>
        <w:tc>
          <w:tcPr>
            <w:tcW w:w="220" w:type="dxa"/>
            <w:vAlign w:val="top"/>
          </w:tcPr>
          <w:p w14:paraId="4060B858">
            <w:pPr>
              <w:rPr>
                <w:rFonts w:ascii="Arial"/>
                <w:sz w:val="21"/>
              </w:rPr>
            </w:pPr>
          </w:p>
        </w:tc>
        <w:tc>
          <w:tcPr>
            <w:tcW w:w="244" w:type="dxa"/>
            <w:vAlign w:val="top"/>
          </w:tcPr>
          <w:p w14:paraId="5E733650">
            <w:pPr>
              <w:rPr>
                <w:rFonts w:ascii="Arial"/>
                <w:sz w:val="21"/>
              </w:rPr>
            </w:pPr>
          </w:p>
        </w:tc>
      </w:tr>
    </w:tbl>
    <w:p w14:paraId="2F434B7F">
      <w:pPr>
        <w:spacing w:before="118" w:line="221" w:lineRule="auto"/>
        <w:ind w:left="387"/>
        <w:rPr>
          <w:rFonts w:ascii="黑体" w:hAnsi="黑体" w:eastAsia="黑体" w:cs="黑体"/>
          <w:sz w:val="20"/>
          <w:szCs w:val="20"/>
        </w:rPr>
      </w:pPr>
      <w:r>
        <w:rPr>
          <w:rFonts w:ascii="黑体" w:hAnsi="黑体" w:eastAsia="黑体" w:cs="黑体"/>
          <w:b/>
          <w:bCs/>
          <w:spacing w:val="-4"/>
          <w:sz w:val="20"/>
          <w:szCs w:val="20"/>
        </w:rPr>
        <w:t>第十章</w:t>
      </w:r>
      <w:r>
        <w:rPr>
          <w:rFonts w:ascii="黑体" w:hAnsi="黑体" w:eastAsia="黑体" w:cs="黑体"/>
          <w:spacing w:val="-4"/>
          <w:sz w:val="20"/>
          <w:szCs w:val="20"/>
        </w:rPr>
        <w:t xml:space="preserve">  </w:t>
      </w:r>
      <w:r>
        <w:rPr>
          <w:rFonts w:ascii="黑体" w:hAnsi="黑体" w:eastAsia="黑体" w:cs="黑体"/>
          <w:b/>
          <w:bCs/>
          <w:spacing w:val="-4"/>
          <w:sz w:val="20"/>
          <w:szCs w:val="20"/>
        </w:rPr>
        <w:t>变压器和三相异步交流电动机</w:t>
      </w:r>
    </w:p>
    <w:p w14:paraId="7ACDABA9">
      <w:pPr>
        <w:spacing w:line="81" w:lineRule="exact"/>
      </w:pPr>
    </w:p>
    <w:tbl>
      <w:tblPr>
        <w:tblStyle w:val="5"/>
        <w:tblW w:w="414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34"/>
        <w:gridCol w:w="219"/>
        <w:gridCol w:w="230"/>
        <w:gridCol w:w="230"/>
        <w:gridCol w:w="234"/>
      </w:tblGrid>
      <w:tr w14:paraId="0A9A36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5" w:hRule="atLeast"/>
        </w:trPr>
        <w:tc>
          <w:tcPr>
            <w:tcW w:w="893" w:type="dxa"/>
            <w:vMerge w:val="restart"/>
            <w:tcBorders>
              <w:bottom w:val="nil"/>
            </w:tcBorders>
            <w:vAlign w:val="top"/>
          </w:tcPr>
          <w:p w14:paraId="6E0C4FC3">
            <w:pPr>
              <w:pStyle w:val="6"/>
              <w:spacing w:before="21" w:line="224" w:lineRule="auto"/>
              <w:ind w:left="266" w:right="25" w:hanging="249"/>
            </w:pPr>
            <w:r>
              <w:rPr>
                <w:b/>
                <w:bCs/>
                <w:spacing w:val="-4"/>
              </w:rPr>
              <w:t>知识与技能</w:t>
            </w:r>
            <w:r>
              <w:t xml:space="preserve"> </w:t>
            </w:r>
            <w:r>
              <w:rPr>
                <w:b/>
                <w:bCs/>
                <w:spacing w:val="-4"/>
              </w:rPr>
              <w:t>要点</w:t>
            </w:r>
          </w:p>
        </w:tc>
        <w:tc>
          <w:tcPr>
            <w:tcW w:w="2334" w:type="dxa"/>
            <w:vMerge w:val="restart"/>
            <w:tcBorders>
              <w:bottom w:val="nil"/>
            </w:tcBorders>
            <w:vAlign w:val="top"/>
          </w:tcPr>
          <w:p w14:paraId="2336B1CD">
            <w:pPr>
              <w:pStyle w:val="6"/>
              <w:spacing w:before="139" w:line="219" w:lineRule="auto"/>
              <w:ind w:left="854"/>
            </w:pPr>
            <w:r>
              <w:rPr>
                <w:b/>
                <w:bCs/>
                <w:spacing w:val="5"/>
              </w:rPr>
              <w:t>考试条目</w:t>
            </w:r>
          </w:p>
        </w:tc>
        <w:tc>
          <w:tcPr>
            <w:tcW w:w="913" w:type="dxa"/>
            <w:gridSpan w:val="4"/>
            <w:vAlign w:val="top"/>
          </w:tcPr>
          <w:p w14:paraId="1B0EDAD7">
            <w:pPr>
              <w:pStyle w:val="6"/>
              <w:spacing w:before="18" w:line="202" w:lineRule="auto"/>
              <w:ind w:left="140"/>
            </w:pPr>
            <w:r>
              <w:rPr>
                <w:b/>
                <w:bCs/>
                <w:spacing w:val="-4"/>
              </w:rPr>
              <w:t>考试水平</w:t>
            </w:r>
          </w:p>
        </w:tc>
      </w:tr>
      <w:tr w14:paraId="4B49D6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9" w:hRule="atLeast"/>
        </w:trPr>
        <w:tc>
          <w:tcPr>
            <w:tcW w:w="893" w:type="dxa"/>
            <w:vMerge w:val="continue"/>
            <w:tcBorders>
              <w:top w:val="nil"/>
            </w:tcBorders>
            <w:vAlign w:val="top"/>
          </w:tcPr>
          <w:p w14:paraId="3DEA9210">
            <w:pPr>
              <w:rPr>
                <w:rFonts w:ascii="Arial"/>
                <w:sz w:val="21"/>
              </w:rPr>
            </w:pPr>
          </w:p>
        </w:tc>
        <w:tc>
          <w:tcPr>
            <w:tcW w:w="2334" w:type="dxa"/>
            <w:vMerge w:val="continue"/>
            <w:tcBorders>
              <w:top w:val="nil"/>
            </w:tcBorders>
            <w:vAlign w:val="top"/>
          </w:tcPr>
          <w:p w14:paraId="29307089">
            <w:pPr>
              <w:rPr>
                <w:rFonts w:ascii="Arial"/>
                <w:sz w:val="21"/>
              </w:rPr>
            </w:pPr>
          </w:p>
        </w:tc>
        <w:tc>
          <w:tcPr>
            <w:tcW w:w="219" w:type="dxa"/>
            <w:vAlign w:val="top"/>
          </w:tcPr>
          <w:p w14:paraId="63FE16B6">
            <w:pPr>
              <w:pStyle w:val="6"/>
              <w:spacing w:before="69" w:line="140" w:lineRule="exact"/>
              <w:ind w:left="20"/>
            </w:pPr>
            <w:r>
              <w:rPr>
                <w:b/>
                <w:bCs/>
                <w:spacing w:val="-2"/>
                <w:position w:val="-2"/>
              </w:rPr>
              <w:t>A</w:t>
            </w:r>
          </w:p>
        </w:tc>
        <w:tc>
          <w:tcPr>
            <w:tcW w:w="230" w:type="dxa"/>
            <w:vAlign w:val="top"/>
          </w:tcPr>
          <w:p w14:paraId="05C96A73">
            <w:pPr>
              <w:pStyle w:val="6"/>
              <w:spacing w:before="71" w:line="138" w:lineRule="exact"/>
              <w:ind w:left="21"/>
            </w:pPr>
            <w:r>
              <w:rPr>
                <w:b/>
                <w:bCs/>
                <w:spacing w:val="-2"/>
                <w:position w:val="-2"/>
              </w:rPr>
              <w:t>B</w:t>
            </w:r>
          </w:p>
        </w:tc>
        <w:tc>
          <w:tcPr>
            <w:tcW w:w="230" w:type="dxa"/>
            <w:vAlign w:val="top"/>
          </w:tcPr>
          <w:p w14:paraId="179035FF">
            <w:pPr>
              <w:pStyle w:val="6"/>
              <w:spacing w:before="69" w:line="140" w:lineRule="exact"/>
              <w:ind w:left="21"/>
            </w:pPr>
            <w:r>
              <w:rPr>
                <w:b/>
                <w:bCs/>
                <w:spacing w:val="-2"/>
                <w:position w:val="-2"/>
              </w:rPr>
              <w:t>C</w:t>
            </w:r>
          </w:p>
        </w:tc>
        <w:tc>
          <w:tcPr>
            <w:tcW w:w="234" w:type="dxa"/>
            <w:vAlign w:val="top"/>
          </w:tcPr>
          <w:p w14:paraId="5031B484">
            <w:pPr>
              <w:pStyle w:val="6"/>
              <w:spacing w:before="71" w:line="138" w:lineRule="exact"/>
              <w:ind w:left="21"/>
            </w:pPr>
            <w:r>
              <w:rPr>
                <w:b/>
                <w:bCs/>
                <w:spacing w:val="-2"/>
                <w:position w:val="-2"/>
              </w:rPr>
              <w:t>D</w:t>
            </w:r>
          </w:p>
        </w:tc>
      </w:tr>
      <w:tr w14:paraId="0DFD83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59" w:hRule="atLeast"/>
        </w:trPr>
        <w:tc>
          <w:tcPr>
            <w:tcW w:w="893" w:type="dxa"/>
            <w:vAlign w:val="top"/>
          </w:tcPr>
          <w:p w14:paraId="103A8BEB">
            <w:pPr>
              <w:pStyle w:val="6"/>
              <w:spacing w:before="139" w:line="229" w:lineRule="auto"/>
              <w:ind w:left="264" w:right="114" w:hanging="169"/>
            </w:pPr>
            <w:r>
              <w:rPr>
                <w:spacing w:val="-2"/>
              </w:rPr>
              <w:t>变压器的</w:t>
            </w:r>
            <w:r>
              <w:t xml:space="preserve"> </w:t>
            </w:r>
            <w:r>
              <w:rPr>
                <w:spacing w:val="-3"/>
              </w:rPr>
              <w:t>构造</w:t>
            </w:r>
          </w:p>
        </w:tc>
        <w:tc>
          <w:tcPr>
            <w:tcW w:w="2334" w:type="dxa"/>
            <w:vAlign w:val="top"/>
          </w:tcPr>
          <w:p w14:paraId="34BE5F53">
            <w:pPr>
              <w:pStyle w:val="6"/>
              <w:spacing w:before="138" w:line="228" w:lineRule="auto"/>
              <w:ind w:left="2" w:right="614"/>
            </w:pPr>
            <w:r>
              <w:t>1.变压器的用途及种类</w:t>
            </w:r>
            <w:r>
              <w:rPr>
                <w:spacing w:val="6"/>
              </w:rPr>
              <w:t xml:space="preserve"> </w:t>
            </w:r>
            <w:r>
              <w:rPr>
                <w:spacing w:val="-1"/>
              </w:rPr>
              <w:t>2.变压器的基本结构</w:t>
            </w:r>
          </w:p>
        </w:tc>
        <w:tc>
          <w:tcPr>
            <w:tcW w:w="219" w:type="dxa"/>
            <w:vAlign w:val="top"/>
          </w:tcPr>
          <w:p w14:paraId="2BC3C8C0">
            <w:pPr>
              <w:rPr>
                <w:rFonts w:ascii="Arial"/>
                <w:sz w:val="21"/>
              </w:rPr>
            </w:pPr>
          </w:p>
        </w:tc>
        <w:tc>
          <w:tcPr>
            <w:tcW w:w="230" w:type="dxa"/>
            <w:vAlign w:val="top"/>
          </w:tcPr>
          <w:p w14:paraId="7362AF64">
            <w:pPr>
              <w:rPr>
                <w:rFonts w:ascii="Arial"/>
                <w:sz w:val="21"/>
              </w:rPr>
            </w:pPr>
          </w:p>
        </w:tc>
        <w:tc>
          <w:tcPr>
            <w:tcW w:w="230" w:type="dxa"/>
            <w:vAlign w:val="top"/>
          </w:tcPr>
          <w:p w14:paraId="40DED3EF">
            <w:pPr>
              <w:rPr>
                <w:rFonts w:ascii="Arial"/>
                <w:sz w:val="21"/>
              </w:rPr>
            </w:pPr>
          </w:p>
        </w:tc>
        <w:tc>
          <w:tcPr>
            <w:tcW w:w="234" w:type="dxa"/>
            <w:vAlign w:val="top"/>
          </w:tcPr>
          <w:p w14:paraId="3369AC30">
            <w:pPr>
              <w:rPr>
                <w:rFonts w:ascii="Arial"/>
                <w:sz w:val="21"/>
              </w:rPr>
            </w:pPr>
          </w:p>
        </w:tc>
      </w:tr>
      <w:tr w14:paraId="113207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58" w:hRule="atLeast"/>
        </w:trPr>
        <w:tc>
          <w:tcPr>
            <w:tcW w:w="893" w:type="dxa"/>
            <w:vAlign w:val="top"/>
          </w:tcPr>
          <w:p w14:paraId="6098EFDB">
            <w:pPr>
              <w:spacing w:line="382" w:lineRule="auto"/>
              <w:rPr>
                <w:rFonts w:ascii="Arial"/>
                <w:sz w:val="21"/>
              </w:rPr>
            </w:pPr>
          </w:p>
          <w:p w14:paraId="3D6117CC">
            <w:pPr>
              <w:pStyle w:val="6"/>
              <w:spacing w:before="55" w:line="258" w:lineRule="auto"/>
              <w:ind w:left="95" w:right="114"/>
            </w:pPr>
            <w:r>
              <w:rPr>
                <w:spacing w:val="-2"/>
              </w:rPr>
              <w:t>变压器的</w:t>
            </w:r>
            <w:r>
              <w:t xml:space="preserve"> </w:t>
            </w:r>
            <w:r>
              <w:rPr>
                <w:spacing w:val="-3"/>
              </w:rPr>
              <w:t>工作原理</w:t>
            </w:r>
          </w:p>
        </w:tc>
        <w:tc>
          <w:tcPr>
            <w:tcW w:w="2334" w:type="dxa"/>
            <w:vAlign w:val="top"/>
          </w:tcPr>
          <w:p w14:paraId="419886EE">
            <w:pPr>
              <w:pStyle w:val="6"/>
              <w:spacing w:before="127" w:line="232" w:lineRule="auto"/>
              <w:ind w:left="2" w:right="1124"/>
              <w:jc w:val="both"/>
            </w:pPr>
            <w:r>
              <w:t>1.改变交流电压</w:t>
            </w:r>
            <w:r>
              <w:rPr>
                <w:spacing w:val="6"/>
              </w:rPr>
              <w:t xml:space="preserve"> </w:t>
            </w:r>
            <w:r>
              <w:rPr>
                <w:spacing w:val="-2"/>
              </w:rPr>
              <w:t>2.改变交流电流</w:t>
            </w:r>
            <w:r>
              <w:rPr>
                <w:spacing w:val="6"/>
              </w:rPr>
              <w:t xml:space="preserve"> </w:t>
            </w:r>
            <w:r>
              <w:rPr>
                <w:spacing w:val="-2"/>
              </w:rPr>
              <w:t>3.变换交流阻抗</w:t>
            </w:r>
          </w:p>
          <w:p w14:paraId="5E35DECA">
            <w:pPr>
              <w:pStyle w:val="6"/>
              <w:spacing w:line="247" w:lineRule="auto"/>
              <w:ind w:left="2" w:right="287"/>
            </w:pPr>
            <w:r>
              <w:rPr>
                <w:spacing w:val="-1"/>
              </w:rPr>
              <w:t>4.变压器的外特性和电压变</w:t>
            </w:r>
            <w:r>
              <w:rPr>
                <w:spacing w:val="6"/>
              </w:rPr>
              <w:t xml:space="preserve"> </w:t>
            </w:r>
            <w:r>
              <w:rPr>
                <w:spacing w:val="-2"/>
              </w:rPr>
              <w:t>化率</w:t>
            </w:r>
          </w:p>
        </w:tc>
        <w:tc>
          <w:tcPr>
            <w:tcW w:w="219" w:type="dxa"/>
            <w:vAlign w:val="top"/>
          </w:tcPr>
          <w:p w14:paraId="4AD60910">
            <w:pPr>
              <w:rPr>
                <w:rFonts w:ascii="Arial"/>
                <w:sz w:val="21"/>
              </w:rPr>
            </w:pPr>
          </w:p>
        </w:tc>
        <w:tc>
          <w:tcPr>
            <w:tcW w:w="230" w:type="dxa"/>
            <w:vAlign w:val="top"/>
          </w:tcPr>
          <w:p w14:paraId="0AD1CE0C">
            <w:pPr>
              <w:rPr>
                <w:rFonts w:ascii="Arial"/>
                <w:sz w:val="21"/>
              </w:rPr>
            </w:pPr>
          </w:p>
        </w:tc>
        <w:tc>
          <w:tcPr>
            <w:tcW w:w="230" w:type="dxa"/>
            <w:vAlign w:val="top"/>
          </w:tcPr>
          <w:p w14:paraId="526DACC0">
            <w:pPr>
              <w:spacing w:before="159" w:line="382" w:lineRule="exact"/>
              <w:ind w:firstLine="42"/>
            </w:pPr>
            <w:r>
              <w:rPr>
                <w:position w:val="-7"/>
              </w:rPr>
              <w:drawing>
                <wp:inline distT="0" distB="0" distL="0" distR="0">
                  <wp:extent cx="89535" cy="242570"/>
                  <wp:effectExtent l="0" t="0" r="0" b="0"/>
                  <wp:docPr id="168" name="IM 168"/>
                  <wp:cNvGraphicFramePr/>
                  <a:graphic xmlns:a="http://schemas.openxmlformats.org/drawingml/2006/main">
                    <a:graphicData uri="http://schemas.openxmlformats.org/drawingml/2006/picture">
                      <pic:pic xmlns:pic="http://schemas.openxmlformats.org/drawingml/2006/picture">
                        <pic:nvPicPr>
                          <pic:cNvPr id="168" name="IM 168"/>
                          <pic:cNvPicPr/>
                        </pic:nvPicPr>
                        <pic:blipFill>
                          <a:blip r:embed="rId249"/>
                          <a:stretch>
                            <a:fillRect/>
                          </a:stretch>
                        </pic:blipFill>
                        <pic:spPr>
                          <a:xfrm>
                            <a:off x="0" y="0"/>
                            <a:ext cx="89893" cy="242892"/>
                          </a:xfrm>
                          <a:prstGeom prst="rect">
                            <a:avLst/>
                          </a:prstGeom>
                        </pic:spPr>
                      </pic:pic>
                    </a:graphicData>
                  </a:graphic>
                </wp:inline>
              </w:drawing>
            </w:r>
          </w:p>
        </w:tc>
        <w:tc>
          <w:tcPr>
            <w:tcW w:w="234" w:type="dxa"/>
            <w:vAlign w:val="top"/>
          </w:tcPr>
          <w:p w14:paraId="2F38CAFB">
            <w:pPr>
              <w:rPr>
                <w:rFonts w:ascii="Arial"/>
                <w:sz w:val="21"/>
              </w:rPr>
            </w:pPr>
          </w:p>
        </w:tc>
      </w:tr>
      <w:tr w14:paraId="349EEA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9" w:hRule="atLeast"/>
        </w:trPr>
        <w:tc>
          <w:tcPr>
            <w:tcW w:w="893" w:type="dxa"/>
            <w:vAlign w:val="top"/>
          </w:tcPr>
          <w:p w14:paraId="27F3CFCA">
            <w:pPr>
              <w:pStyle w:val="6"/>
              <w:spacing w:before="112" w:line="221" w:lineRule="auto"/>
              <w:ind w:left="95"/>
            </w:pPr>
            <w:r>
              <w:rPr>
                <w:spacing w:val="-2"/>
              </w:rPr>
              <w:t>变压器的</w:t>
            </w:r>
          </w:p>
          <w:p w14:paraId="57A15E77">
            <w:pPr>
              <w:pStyle w:val="6"/>
              <w:spacing w:before="5" w:line="219" w:lineRule="auto"/>
              <w:ind w:left="185"/>
            </w:pPr>
            <w:r>
              <w:rPr>
                <w:spacing w:val="4"/>
              </w:rPr>
              <w:t>功率和</w:t>
            </w:r>
          </w:p>
          <w:p w14:paraId="4F9A5EDB">
            <w:pPr>
              <w:pStyle w:val="6"/>
              <w:spacing w:before="8" w:line="219" w:lineRule="auto"/>
              <w:ind w:left="265"/>
            </w:pPr>
            <w:r>
              <w:rPr>
                <w:spacing w:val="-3"/>
              </w:rPr>
              <w:t>效率</w:t>
            </w:r>
          </w:p>
        </w:tc>
        <w:tc>
          <w:tcPr>
            <w:tcW w:w="2334" w:type="dxa"/>
            <w:vAlign w:val="top"/>
          </w:tcPr>
          <w:p w14:paraId="49132F63">
            <w:pPr>
              <w:pStyle w:val="6"/>
              <w:spacing w:before="221" w:line="236" w:lineRule="auto"/>
              <w:ind w:left="2" w:right="1124"/>
            </w:pPr>
            <w:r>
              <w:t>1.变压器的功率</w:t>
            </w:r>
            <w:r>
              <w:rPr>
                <w:spacing w:val="6"/>
              </w:rPr>
              <w:t xml:space="preserve"> </w:t>
            </w:r>
            <w:r>
              <w:rPr>
                <w:spacing w:val="-2"/>
              </w:rPr>
              <w:t>2.变压器的效率</w:t>
            </w:r>
          </w:p>
        </w:tc>
        <w:tc>
          <w:tcPr>
            <w:tcW w:w="219" w:type="dxa"/>
            <w:vAlign w:val="top"/>
          </w:tcPr>
          <w:p w14:paraId="5E4F41B5">
            <w:pPr>
              <w:rPr>
                <w:rFonts w:ascii="Arial"/>
                <w:sz w:val="21"/>
              </w:rPr>
            </w:pPr>
          </w:p>
        </w:tc>
        <w:tc>
          <w:tcPr>
            <w:tcW w:w="230" w:type="dxa"/>
            <w:vAlign w:val="top"/>
          </w:tcPr>
          <w:p w14:paraId="1C524AC4">
            <w:pPr>
              <w:spacing w:line="262" w:lineRule="auto"/>
              <w:rPr>
                <w:rFonts w:ascii="Arial"/>
                <w:sz w:val="21"/>
              </w:rPr>
            </w:pPr>
          </w:p>
          <w:p w14:paraId="282F0F54">
            <w:pPr>
              <w:spacing w:line="300" w:lineRule="exact"/>
              <w:ind w:firstLine="50"/>
            </w:pPr>
            <w:r>
              <w:rPr>
                <w:position w:val="-5"/>
              </w:rPr>
              <w:drawing>
                <wp:inline distT="0" distB="0" distL="0" distR="0">
                  <wp:extent cx="92710" cy="189865"/>
                  <wp:effectExtent l="0" t="0" r="0" b="0"/>
                  <wp:docPr id="170" name="IM 170"/>
                  <wp:cNvGraphicFramePr/>
                  <a:graphic xmlns:a="http://schemas.openxmlformats.org/drawingml/2006/main">
                    <a:graphicData uri="http://schemas.openxmlformats.org/drawingml/2006/picture">
                      <pic:pic xmlns:pic="http://schemas.openxmlformats.org/drawingml/2006/picture">
                        <pic:nvPicPr>
                          <pic:cNvPr id="170" name="IM 170"/>
                          <pic:cNvPicPr/>
                        </pic:nvPicPr>
                        <pic:blipFill>
                          <a:blip r:embed="rId250"/>
                          <a:stretch>
                            <a:fillRect/>
                          </a:stretch>
                        </pic:blipFill>
                        <pic:spPr>
                          <a:xfrm>
                            <a:off x="0" y="0"/>
                            <a:ext cx="93142" cy="190484"/>
                          </a:xfrm>
                          <a:prstGeom prst="rect">
                            <a:avLst/>
                          </a:prstGeom>
                        </pic:spPr>
                      </pic:pic>
                    </a:graphicData>
                  </a:graphic>
                </wp:inline>
              </w:drawing>
            </w:r>
          </w:p>
        </w:tc>
        <w:tc>
          <w:tcPr>
            <w:tcW w:w="230" w:type="dxa"/>
            <w:vAlign w:val="top"/>
          </w:tcPr>
          <w:p w14:paraId="20E8C619">
            <w:pPr>
              <w:rPr>
                <w:rFonts w:ascii="Arial"/>
                <w:sz w:val="21"/>
              </w:rPr>
            </w:pPr>
          </w:p>
        </w:tc>
        <w:tc>
          <w:tcPr>
            <w:tcW w:w="234" w:type="dxa"/>
            <w:vAlign w:val="top"/>
          </w:tcPr>
          <w:p w14:paraId="0E4594F5">
            <w:pPr>
              <w:rPr>
                <w:rFonts w:ascii="Arial"/>
                <w:sz w:val="21"/>
              </w:rPr>
            </w:pPr>
          </w:p>
        </w:tc>
      </w:tr>
      <w:tr w14:paraId="16A8D8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99" w:hRule="atLeast"/>
        </w:trPr>
        <w:tc>
          <w:tcPr>
            <w:tcW w:w="893" w:type="dxa"/>
            <w:vAlign w:val="top"/>
          </w:tcPr>
          <w:p w14:paraId="2DF212CF">
            <w:pPr>
              <w:spacing w:line="266" w:lineRule="auto"/>
              <w:rPr>
                <w:rFonts w:ascii="Arial"/>
                <w:sz w:val="21"/>
              </w:rPr>
            </w:pPr>
          </w:p>
          <w:p w14:paraId="60D1CCA2">
            <w:pPr>
              <w:pStyle w:val="6"/>
              <w:spacing w:before="55" w:line="232" w:lineRule="auto"/>
              <w:ind w:left="264" w:right="198" w:hanging="79"/>
            </w:pPr>
            <w:r>
              <w:rPr>
                <w:spacing w:val="-4"/>
              </w:rPr>
              <w:t>常用变</w:t>
            </w:r>
            <w:r>
              <w:t xml:space="preserve"> </w:t>
            </w:r>
            <w:r>
              <w:rPr>
                <w:spacing w:val="-2"/>
              </w:rPr>
              <w:t>压器</w:t>
            </w:r>
          </w:p>
        </w:tc>
        <w:tc>
          <w:tcPr>
            <w:tcW w:w="2334" w:type="dxa"/>
            <w:vAlign w:val="top"/>
          </w:tcPr>
          <w:p w14:paraId="7B68108B">
            <w:pPr>
              <w:pStyle w:val="6"/>
              <w:spacing w:before="92" w:line="219" w:lineRule="auto"/>
              <w:ind w:left="2"/>
            </w:pPr>
            <w:r>
              <w:rPr>
                <w:spacing w:val="-5"/>
              </w:rPr>
              <w:t>1.</w:t>
            </w:r>
            <w:r>
              <w:rPr>
                <w:spacing w:val="-41"/>
              </w:rPr>
              <w:t xml:space="preserve"> </w:t>
            </w:r>
            <w:r>
              <w:rPr>
                <w:spacing w:val="-5"/>
              </w:rPr>
              <w:t>自耦变压器</w:t>
            </w:r>
          </w:p>
          <w:p w14:paraId="7D84DE78">
            <w:pPr>
              <w:pStyle w:val="6"/>
              <w:spacing w:before="39" w:line="222" w:lineRule="auto"/>
              <w:ind w:left="2" w:right="1140"/>
            </w:pPr>
            <w:r>
              <w:rPr>
                <w:spacing w:val="-2"/>
              </w:rPr>
              <w:t>2.多绕组变压器</w:t>
            </w:r>
            <w:r>
              <w:rPr>
                <w:spacing w:val="6"/>
              </w:rPr>
              <w:t xml:space="preserve"> </w:t>
            </w:r>
            <w:r>
              <w:rPr>
                <w:spacing w:val="-2"/>
              </w:rPr>
              <w:t>3.互感器</w:t>
            </w:r>
          </w:p>
          <w:p w14:paraId="30212312">
            <w:pPr>
              <w:pStyle w:val="6"/>
              <w:spacing w:before="31" w:line="221" w:lineRule="auto"/>
              <w:ind w:left="2"/>
            </w:pPr>
            <w:r>
              <w:rPr>
                <w:spacing w:val="-1"/>
              </w:rPr>
              <w:t>4.三相变压器</w:t>
            </w:r>
          </w:p>
        </w:tc>
        <w:tc>
          <w:tcPr>
            <w:tcW w:w="219" w:type="dxa"/>
            <w:vAlign w:val="top"/>
          </w:tcPr>
          <w:p w14:paraId="1CDBC48A">
            <w:pPr>
              <w:rPr>
                <w:rFonts w:ascii="Arial"/>
                <w:sz w:val="21"/>
              </w:rPr>
            </w:pPr>
          </w:p>
        </w:tc>
        <w:tc>
          <w:tcPr>
            <w:tcW w:w="230" w:type="dxa"/>
            <w:vAlign w:val="top"/>
          </w:tcPr>
          <w:p w14:paraId="3FDF1FAC">
            <w:pPr>
              <w:rPr>
                <w:rFonts w:ascii="Arial"/>
                <w:sz w:val="21"/>
              </w:rPr>
            </w:pPr>
          </w:p>
        </w:tc>
        <w:tc>
          <w:tcPr>
            <w:tcW w:w="230" w:type="dxa"/>
            <w:vAlign w:val="top"/>
          </w:tcPr>
          <w:p w14:paraId="0284A1D1">
            <w:pPr>
              <w:rPr>
                <w:rFonts w:ascii="Arial"/>
                <w:sz w:val="21"/>
              </w:rPr>
            </w:pPr>
          </w:p>
        </w:tc>
        <w:tc>
          <w:tcPr>
            <w:tcW w:w="234" w:type="dxa"/>
            <w:vAlign w:val="top"/>
          </w:tcPr>
          <w:p w14:paraId="24DF0570">
            <w:pPr>
              <w:rPr>
                <w:rFonts w:ascii="Arial"/>
                <w:sz w:val="21"/>
              </w:rPr>
            </w:pPr>
          </w:p>
        </w:tc>
      </w:tr>
      <w:tr w14:paraId="0867F8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99" w:hRule="atLeast"/>
        </w:trPr>
        <w:tc>
          <w:tcPr>
            <w:tcW w:w="893" w:type="dxa"/>
            <w:vAlign w:val="top"/>
          </w:tcPr>
          <w:p w14:paraId="26E3B25E">
            <w:pPr>
              <w:pStyle w:val="6"/>
              <w:spacing w:before="103" w:line="221" w:lineRule="auto"/>
              <w:ind w:left="95"/>
            </w:pPr>
            <w:r>
              <w:rPr>
                <w:spacing w:val="-2"/>
              </w:rPr>
              <w:t>变压器的</w:t>
            </w:r>
          </w:p>
          <w:p w14:paraId="289C8ED6">
            <w:pPr>
              <w:pStyle w:val="6"/>
              <w:spacing w:before="15" w:line="219" w:lineRule="auto"/>
              <w:ind w:left="95"/>
            </w:pPr>
            <w:r>
              <w:rPr>
                <w:spacing w:val="3"/>
              </w:rPr>
              <w:t>额定值和</w:t>
            </w:r>
          </w:p>
          <w:p w14:paraId="289924B3">
            <w:pPr>
              <w:pStyle w:val="6"/>
              <w:spacing w:before="18" w:line="219" w:lineRule="auto"/>
              <w:ind w:left="265"/>
            </w:pPr>
            <w:r>
              <w:rPr>
                <w:spacing w:val="-2"/>
              </w:rPr>
              <w:t>检验</w:t>
            </w:r>
          </w:p>
        </w:tc>
        <w:tc>
          <w:tcPr>
            <w:tcW w:w="2334" w:type="dxa"/>
            <w:vAlign w:val="top"/>
          </w:tcPr>
          <w:p w14:paraId="50240EB9">
            <w:pPr>
              <w:spacing w:line="266" w:lineRule="auto"/>
              <w:rPr>
                <w:rFonts w:ascii="Arial"/>
                <w:sz w:val="21"/>
              </w:rPr>
            </w:pPr>
          </w:p>
          <w:p w14:paraId="029A411B">
            <w:pPr>
              <w:pStyle w:val="6"/>
              <w:spacing w:before="55" w:line="219" w:lineRule="auto"/>
              <w:ind w:left="2"/>
            </w:pPr>
            <w:r>
              <w:t>1.变压器的额定值</w:t>
            </w:r>
          </w:p>
        </w:tc>
        <w:tc>
          <w:tcPr>
            <w:tcW w:w="219" w:type="dxa"/>
            <w:vAlign w:val="top"/>
          </w:tcPr>
          <w:p w14:paraId="1AF55A04">
            <w:pPr>
              <w:rPr>
                <w:rFonts w:ascii="Arial"/>
                <w:sz w:val="21"/>
              </w:rPr>
            </w:pPr>
          </w:p>
        </w:tc>
        <w:tc>
          <w:tcPr>
            <w:tcW w:w="230" w:type="dxa"/>
            <w:vAlign w:val="top"/>
          </w:tcPr>
          <w:p w14:paraId="2A7EB0B5">
            <w:pPr>
              <w:spacing w:line="335" w:lineRule="auto"/>
              <w:rPr>
                <w:rFonts w:ascii="Arial"/>
                <w:sz w:val="21"/>
              </w:rPr>
            </w:pPr>
          </w:p>
          <w:p w14:paraId="5E11FDEE">
            <w:pPr>
              <w:spacing w:line="112" w:lineRule="exact"/>
              <w:ind w:firstLine="44"/>
            </w:pPr>
            <w:r>
              <w:rPr>
                <w:position w:val="-2"/>
              </w:rPr>
              <w:drawing>
                <wp:inline distT="0" distB="0" distL="0" distR="0">
                  <wp:extent cx="83185" cy="71120"/>
                  <wp:effectExtent l="0" t="0" r="0" b="0"/>
                  <wp:docPr id="172" name="IM 172"/>
                  <wp:cNvGraphicFramePr/>
                  <a:graphic xmlns:a="http://schemas.openxmlformats.org/drawingml/2006/main">
                    <a:graphicData uri="http://schemas.openxmlformats.org/drawingml/2006/picture">
                      <pic:pic xmlns:pic="http://schemas.openxmlformats.org/drawingml/2006/picture">
                        <pic:nvPicPr>
                          <pic:cNvPr id="172" name="IM 172"/>
                          <pic:cNvPicPr/>
                        </pic:nvPicPr>
                        <pic:blipFill>
                          <a:blip r:embed="rId251"/>
                          <a:stretch>
                            <a:fillRect/>
                          </a:stretch>
                        </pic:blipFill>
                        <pic:spPr>
                          <a:xfrm>
                            <a:off x="0" y="0"/>
                            <a:ext cx="83335" cy="71459"/>
                          </a:xfrm>
                          <a:prstGeom prst="rect">
                            <a:avLst/>
                          </a:prstGeom>
                        </pic:spPr>
                      </pic:pic>
                    </a:graphicData>
                  </a:graphic>
                </wp:inline>
              </w:drawing>
            </w:r>
          </w:p>
        </w:tc>
        <w:tc>
          <w:tcPr>
            <w:tcW w:w="230" w:type="dxa"/>
            <w:vAlign w:val="top"/>
          </w:tcPr>
          <w:p w14:paraId="74B0E902">
            <w:pPr>
              <w:rPr>
                <w:rFonts w:ascii="Arial"/>
                <w:sz w:val="21"/>
              </w:rPr>
            </w:pPr>
          </w:p>
        </w:tc>
        <w:tc>
          <w:tcPr>
            <w:tcW w:w="234" w:type="dxa"/>
            <w:vAlign w:val="top"/>
          </w:tcPr>
          <w:p w14:paraId="46E7039B">
            <w:pPr>
              <w:rPr>
                <w:rFonts w:ascii="Arial"/>
                <w:sz w:val="21"/>
              </w:rPr>
            </w:pPr>
          </w:p>
        </w:tc>
      </w:tr>
      <w:tr w14:paraId="38FE61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87" w:hRule="atLeast"/>
        </w:trPr>
        <w:tc>
          <w:tcPr>
            <w:tcW w:w="893" w:type="dxa"/>
            <w:vAlign w:val="top"/>
          </w:tcPr>
          <w:p w14:paraId="24781A72">
            <w:pPr>
              <w:spacing w:line="297" w:lineRule="auto"/>
              <w:rPr>
                <w:rFonts w:ascii="Arial"/>
                <w:sz w:val="21"/>
              </w:rPr>
            </w:pPr>
          </w:p>
          <w:p w14:paraId="6AB9A16C">
            <w:pPr>
              <w:spacing w:line="298" w:lineRule="auto"/>
              <w:rPr>
                <w:rFonts w:ascii="Arial"/>
                <w:sz w:val="21"/>
              </w:rPr>
            </w:pPr>
          </w:p>
          <w:p w14:paraId="4432C20B">
            <w:pPr>
              <w:pStyle w:val="6"/>
              <w:spacing w:before="55" w:line="219" w:lineRule="auto"/>
              <w:ind w:left="95"/>
            </w:pPr>
            <w:r>
              <w:rPr>
                <w:spacing w:val="-2"/>
              </w:rPr>
              <w:t>三相异步</w:t>
            </w:r>
          </w:p>
          <w:p w14:paraId="3113B161">
            <w:pPr>
              <w:pStyle w:val="6"/>
              <w:spacing w:before="37" w:line="219" w:lineRule="auto"/>
              <w:ind w:left="185"/>
            </w:pPr>
            <w:r>
              <w:rPr>
                <w:spacing w:val="2"/>
              </w:rPr>
              <w:t>电动机</w:t>
            </w:r>
          </w:p>
        </w:tc>
        <w:tc>
          <w:tcPr>
            <w:tcW w:w="2334" w:type="dxa"/>
            <w:vAlign w:val="top"/>
          </w:tcPr>
          <w:p w14:paraId="3B8799C3">
            <w:pPr>
              <w:pStyle w:val="6"/>
              <w:spacing w:before="223" w:line="229" w:lineRule="auto"/>
              <w:ind w:left="2" w:right="440"/>
            </w:pPr>
            <w:r>
              <w:t>1.三相异步电动机的结构</w:t>
            </w:r>
            <w:r>
              <w:rPr>
                <w:spacing w:val="10"/>
              </w:rPr>
              <w:t xml:space="preserve"> </w:t>
            </w:r>
            <w:r>
              <w:rPr>
                <w:spacing w:val="-1"/>
              </w:rPr>
              <w:t>2.旋转磁场的产生</w:t>
            </w:r>
          </w:p>
          <w:p w14:paraId="62BB6D4A">
            <w:pPr>
              <w:pStyle w:val="6"/>
              <w:spacing w:before="17" w:line="229" w:lineRule="auto"/>
              <w:ind w:left="2" w:right="122"/>
            </w:pPr>
            <w:r>
              <w:rPr>
                <w:spacing w:val="-1"/>
              </w:rPr>
              <w:t>3.三相异步电动机的工作原理</w:t>
            </w:r>
            <w:r>
              <w:rPr>
                <w:spacing w:val="2"/>
              </w:rPr>
              <w:t xml:space="preserve"> </w:t>
            </w:r>
            <w:r>
              <w:rPr>
                <w:spacing w:val="-1"/>
              </w:rPr>
              <w:t>4.三相异步电动机的极数和</w:t>
            </w:r>
          </w:p>
          <w:p w14:paraId="4D3027F3">
            <w:pPr>
              <w:pStyle w:val="6"/>
              <w:spacing w:before="19" w:line="216" w:lineRule="auto"/>
              <w:ind w:left="2"/>
            </w:pPr>
            <w:r>
              <w:rPr>
                <w:spacing w:val="-2"/>
              </w:rPr>
              <w:t>转速</w:t>
            </w:r>
          </w:p>
          <w:p w14:paraId="5F460302">
            <w:pPr>
              <w:pStyle w:val="6"/>
              <w:spacing w:line="218" w:lineRule="auto"/>
              <w:ind w:left="2"/>
            </w:pPr>
            <w:r>
              <w:rPr>
                <w:spacing w:val="-1"/>
              </w:rPr>
              <w:t>5.三相异步电动机铭牌</w:t>
            </w:r>
          </w:p>
        </w:tc>
        <w:tc>
          <w:tcPr>
            <w:tcW w:w="219" w:type="dxa"/>
            <w:vAlign w:val="top"/>
          </w:tcPr>
          <w:p w14:paraId="5A5393DC">
            <w:pPr>
              <w:spacing w:line="302" w:lineRule="auto"/>
              <w:rPr>
                <w:rFonts w:ascii="Arial"/>
                <w:sz w:val="21"/>
              </w:rPr>
            </w:pPr>
          </w:p>
          <w:p w14:paraId="76431009">
            <w:pPr>
              <w:spacing w:line="744" w:lineRule="exact"/>
            </w:pPr>
            <w:r>
              <w:rPr>
                <w:position w:val="-14"/>
              </w:rPr>
              <w:drawing>
                <wp:inline distT="0" distB="0" distL="0" distR="0">
                  <wp:extent cx="128905" cy="472440"/>
                  <wp:effectExtent l="0" t="0" r="0" b="0"/>
                  <wp:docPr id="174" name="IM 174"/>
                  <wp:cNvGraphicFramePr/>
                  <a:graphic xmlns:a="http://schemas.openxmlformats.org/drawingml/2006/main">
                    <a:graphicData uri="http://schemas.openxmlformats.org/drawingml/2006/picture">
                      <pic:pic xmlns:pic="http://schemas.openxmlformats.org/drawingml/2006/picture">
                        <pic:nvPicPr>
                          <pic:cNvPr id="174" name="IM 174"/>
                          <pic:cNvPicPr/>
                        </pic:nvPicPr>
                        <pic:blipFill>
                          <a:blip r:embed="rId252"/>
                          <a:stretch>
                            <a:fillRect/>
                          </a:stretch>
                        </pic:blipFill>
                        <pic:spPr>
                          <a:xfrm>
                            <a:off x="0" y="0"/>
                            <a:ext cx="129348" cy="472747"/>
                          </a:xfrm>
                          <a:prstGeom prst="rect">
                            <a:avLst/>
                          </a:prstGeom>
                        </pic:spPr>
                      </pic:pic>
                    </a:graphicData>
                  </a:graphic>
                </wp:inline>
              </w:drawing>
            </w:r>
          </w:p>
        </w:tc>
        <w:tc>
          <w:tcPr>
            <w:tcW w:w="230" w:type="dxa"/>
            <w:vAlign w:val="top"/>
          </w:tcPr>
          <w:p w14:paraId="78B76AA3">
            <w:pPr>
              <w:rPr>
                <w:rFonts w:ascii="Arial"/>
                <w:sz w:val="21"/>
              </w:rPr>
            </w:pPr>
          </w:p>
        </w:tc>
        <w:tc>
          <w:tcPr>
            <w:tcW w:w="230" w:type="dxa"/>
            <w:vAlign w:val="top"/>
          </w:tcPr>
          <w:p w14:paraId="0DE67C94">
            <w:pPr>
              <w:rPr>
                <w:rFonts w:ascii="Arial"/>
                <w:sz w:val="21"/>
              </w:rPr>
            </w:pPr>
          </w:p>
        </w:tc>
        <w:tc>
          <w:tcPr>
            <w:tcW w:w="234" w:type="dxa"/>
            <w:vAlign w:val="top"/>
          </w:tcPr>
          <w:p w14:paraId="5EC85E2E">
            <w:pPr>
              <w:rPr>
                <w:rFonts w:ascii="Arial"/>
                <w:sz w:val="21"/>
              </w:rPr>
            </w:pPr>
          </w:p>
        </w:tc>
      </w:tr>
      <w:tr w14:paraId="1D36AD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4" w:hRule="atLeast"/>
        </w:trPr>
        <w:tc>
          <w:tcPr>
            <w:tcW w:w="893" w:type="dxa"/>
            <w:vAlign w:val="top"/>
          </w:tcPr>
          <w:p w14:paraId="7702EBA4">
            <w:pPr>
              <w:pStyle w:val="6"/>
              <w:spacing w:before="97" w:line="219" w:lineRule="auto"/>
              <w:ind w:left="95"/>
            </w:pPr>
            <w:r>
              <w:rPr>
                <w:spacing w:val="-2"/>
              </w:rPr>
              <w:t>单相异步</w:t>
            </w:r>
          </w:p>
          <w:p w14:paraId="1977A201">
            <w:pPr>
              <w:pStyle w:val="6"/>
              <w:spacing w:before="27" w:line="219" w:lineRule="auto"/>
              <w:ind w:left="185"/>
            </w:pPr>
            <w:r>
              <w:rPr>
                <w:spacing w:val="2"/>
              </w:rPr>
              <w:t>电动机</w:t>
            </w:r>
          </w:p>
        </w:tc>
        <w:tc>
          <w:tcPr>
            <w:tcW w:w="2334" w:type="dxa"/>
            <w:vAlign w:val="top"/>
          </w:tcPr>
          <w:p w14:paraId="60611467">
            <w:pPr>
              <w:pStyle w:val="6"/>
              <w:spacing w:before="106" w:line="218" w:lineRule="auto"/>
              <w:ind w:left="2" w:right="105"/>
            </w:pPr>
            <w:r>
              <w:t>1.单相异步电动机的工作原理</w:t>
            </w:r>
            <w:r>
              <w:rPr>
                <w:spacing w:val="5"/>
              </w:rPr>
              <w:t xml:space="preserve"> </w:t>
            </w:r>
            <w:r>
              <w:rPr>
                <w:spacing w:val="-1"/>
              </w:rPr>
              <w:t>2.单相电容式异步电动机</w:t>
            </w:r>
          </w:p>
        </w:tc>
        <w:tc>
          <w:tcPr>
            <w:tcW w:w="219" w:type="dxa"/>
            <w:vAlign w:val="top"/>
          </w:tcPr>
          <w:p w14:paraId="255CF78E">
            <w:pPr>
              <w:spacing w:before="157" w:line="314" w:lineRule="exact"/>
              <w:ind w:firstLine="55"/>
            </w:pPr>
            <w:r>
              <w:rPr>
                <w:position w:val="-6"/>
              </w:rPr>
              <w:drawing>
                <wp:inline distT="0" distB="0" distL="0" distR="0">
                  <wp:extent cx="33020" cy="199390"/>
                  <wp:effectExtent l="0" t="0" r="0" b="0"/>
                  <wp:docPr id="176" name="IM 176"/>
                  <wp:cNvGraphicFramePr/>
                  <a:graphic xmlns:a="http://schemas.openxmlformats.org/drawingml/2006/main">
                    <a:graphicData uri="http://schemas.openxmlformats.org/drawingml/2006/picture">
                      <pic:pic xmlns:pic="http://schemas.openxmlformats.org/drawingml/2006/picture">
                        <pic:nvPicPr>
                          <pic:cNvPr id="176" name="IM 176"/>
                          <pic:cNvPicPr/>
                        </pic:nvPicPr>
                        <pic:blipFill>
                          <a:blip r:embed="rId253"/>
                          <a:stretch>
                            <a:fillRect/>
                          </a:stretch>
                        </pic:blipFill>
                        <pic:spPr>
                          <a:xfrm>
                            <a:off x="0" y="0"/>
                            <a:ext cx="33342" cy="199559"/>
                          </a:xfrm>
                          <a:prstGeom prst="rect">
                            <a:avLst/>
                          </a:prstGeom>
                        </pic:spPr>
                      </pic:pic>
                    </a:graphicData>
                  </a:graphic>
                </wp:inline>
              </w:drawing>
            </w:r>
          </w:p>
        </w:tc>
        <w:tc>
          <w:tcPr>
            <w:tcW w:w="230" w:type="dxa"/>
            <w:vAlign w:val="top"/>
          </w:tcPr>
          <w:p w14:paraId="0C87138F">
            <w:pPr>
              <w:rPr>
                <w:rFonts w:ascii="Arial"/>
                <w:sz w:val="21"/>
              </w:rPr>
            </w:pPr>
          </w:p>
        </w:tc>
        <w:tc>
          <w:tcPr>
            <w:tcW w:w="230" w:type="dxa"/>
            <w:vAlign w:val="top"/>
          </w:tcPr>
          <w:p w14:paraId="66F55DDB">
            <w:pPr>
              <w:rPr>
                <w:rFonts w:ascii="Arial"/>
                <w:sz w:val="21"/>
              </w:rPr>
            </w:pPr>
          </w:p>
        </w:tc>
        <w:tc>
          <w:tcPr>
            <w:tcW w:w="234" w:type="dxa"/>
            <w:vAlign w:val="top"/>
          </w:tcPr>
          <w:p w14:paraId="51057C96">
            <w:pPr>
              <w:rPr>
                <w:rFonts w:ascii="Arial"/>
                <w:sz w:val="21"/>
              </w:rPr>
            </w:pPr>
          </w:p>
        </w:tc>
      </w:tr>
    </w:tbl>
    <w:p w14:paraId="5C382176">
      <w:pPr>
        <w:pStyle w:val="2"/>
        <w:spacing w:line="105" w:lineRule="auto"/>
        <w:rPr>
          <w:sz w:val="2"/>
        </w:rPr>
      </w:pPr>
    </w:p>
    <w:p w14:paraId="09FAE120">
      <w:pPr>
        <w:pStyle w:val="2"/>
        <w:spacing w:line="14" w:lineRule="auto"/>
        <w:rPr>
          <w:sz w:val="2"/>
        </w:rPr>
      </w:pPr>
      <w:r>
        <w:rPr>
          <w:sz w:val="2"/>
          <w:szCs w:val="2"/>
        </w:rPr>
        <w:br w:type="column"/>
      </w:r>
    </w:p>
    <w:p w14:paraId="5A6B744B">
      <w:pPr>
        <w:spacing w:before="39" w:line="221" w:lineRule="auto"/>
        <w:ind w:left="787"/>
        <w:rPr>
          <w:rFonts w:ascii="黑体" w:hAnsi="黑体" w:eastAsia="黑体" w:cs="黑体"/>
          <w:sz w:val="20"/>
          <w:szCs w:val="20"/>
        </w:rPr>
      </w:pPr>
      <w:r>
        <w:rPr>
          <w:rFonts w:ascii="黑体" w:hAnsi="黑体" w:eastAsia="黑体" w:cs="黑体"/>
          <w:b/>
          <w:bCs/>
          <w:spacing w:val="-5"/>
          <w:sz w:val="20"/>
          <w:szCs w:val="20"/>
        </w:rPr>
        <w:t>第十一章照明电路和安全用电</w:t>
      </w:r>
    </w:p>
    <w:p w14:paraId="1780A76E">
      <w:pPr>
        <w:spacing w:line="72" w:lineRule="exact"/>
      </w:pPr>
    </w:p>
    <w:tbl>
      <w:tblPr>
        <w:tblStyle w:val="5"/>
        <w:tblW w:w="414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34"/>
        <w:gridCol w:w="219"/>
        <w:gridCol w:w="230"/>
        <w:gridCol w:w="230"/>
        <w:gridCol w:w="234"/>
      </w:tblGrid>
      <w:tr w14:paraId="62AF02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4" w:hRule="atLeast"/>
        </w:trPr>
        <w:tc>
          <w:tcPr>
            <w:tcW w:w="893" w:type="dxa"/>
            <w:vMerge w:val="restart"/>
            <w:tcBorders>
              <w:bottom w:val="nil"/>
            </w:tcBorders>
            <w:vAlign w:val="top"/>
          </w:tcPr>
          <w:p w14:paraId="6C1699EA">
            <w:pPr>
              <w:pStyle w:val="6"/>
              <w:spacing w:before="20" w:line="224" w:lineRule="auto"/>
              <w:ind w:left="266" w:right="25" w:hanging="249"/>
            </w:pPr>
            <w:r>
              <w:rPr>
                <w:b/>
                <w:bCs/>
                <w:spacing w:val="-4"/>
              </w:rPr>
              <w:t>知识与技能</w:t>
            </w:r>
            <w:r>
              <w:t xml:space="preserve"> </w:t>
            </w:r>
            <w:r>
              <w:rPr>
                <w:b/>
                <w:bCs/>
                <w:spacing w:val="-4"/>
              </w:rPr>
              <w:t>要点</w:t>
            </w:r>
          </w:p>
        </w:tc>
        <w:tc>
          <w:tcPr>
            <w:tcW w:w="2334" w:type="dxa"/>
            <w:vMerge w:val="restart"/>
            <w:tcBorders>
              <w:bottom w:val="nil"/>
            </w:tcBorders>
            <w:vAlign w:val="top"/>
          </w:tcPr>
          <w:p w14:paraId="6D608360">
            <w:pPr>
              <w:pStyle w:val="6"/>
              <w:spacing w:before="139" w:line="219" w:lineRule="auto"/>
              <w:ind w:left="854"/>
            </w:pPr>
            <w:r>
              <w:rPr>
                <w:b/>
                <w:bCs/>
                <w:spacing w:val="5"/>
              </w:rPr>
              <w:t>考试条目</w:t>
            </w:r>
          </w:p>
        </w:tc>
        <w:tc>
          <w:tcPr>
            <w:tcW w:w="913" w:type="dxa"/>
            <w:gridSpan w:val="4"/>
            <w:vAlign w:val="top"/>
          </w:tcPr>
          <w:p w14:paraId="54069E69">
            <w:pPr>
              <w:pStyle w:val="6"/>
              <w:spacing w:before="28" w:line="201" w:lineRule="auto"/>
              <w:ind w:left="130"/>
            </w:pPr>
            <w:r>
              <w:rPr>
                <w:b/>
                <w:bCs/>
                <w:spacing w:val="-4"/>
              </w:rPr>
              <w:t>考试水平</w:t>
            </w:r>
          </w:p>
        </w:tc>
      </w:tr>
      <w:tr w14:paraId="506D4D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9" w:hRule="atLeast"/>
        </w:trPr>
        <w:tc>
          <w:tcPr>
            <w:tcW w:w="893" w:type="dxa"/>
            <w:vMerge w:val="continue"/>
            <w:tcBorders>
              <w:top w:val="nil"/>
            </w:tcBorders>
            <w:vAlign w:val="top"/>
          </w:tcPr>
          <w:p w14:paraId="4A261626">
            <w:pPr>
              <w:rPr>
                <w:rFonts w:ascii="Arial"/>
                <w:sz w:val="21"/>
              </w:rPr>
            </w:pPr>
          </w:p>
        </w:tc>
        <w:tc>
          <w:tcPr>
            <w:tcW w:w="2334" w:type="dxa"/>
            <w:vMerge w:val="continue"/>
            <w:tcBorders>
              <w:top w:val="nil"/>
            </w:tcBorders>
            <w:vAlign w:val="top"/>
          </w:tcPr>
          <w:p w14:paraId="4A2FD75A">
            <w:pPr>
              <w:rPr>
                <w:rFonts w:ascii="Arial"/>
                <w:sz w:val="21"/>
              </w:rPr>
            </w:pPr>
          </w:p>
        </w:tc>
        <w:tc>
          <w:tcPr>
            <w:tcW w:w="219" w:type="dxa"/>
            <w:vAlign w:val="top"/>
          </w:tcPr>
          <w:p w14:paraId="384E2F9E">
            <w:pPr>
              <w:pStyle w:val="6"/>
              <w:spacing w:before="60" w:line="139" w:lineRule="exact"/>
              <w:ind w:left="20"/>
            </w:pPr>
            <w:r>
              <w:rPr>
                <w:b/>
                <w:bCs/>
                <w:spacing w:val="-2"/>
                <w:position w:val="-2"/>
              </w:rPr>
              <w:t>A</w:t>
            </w:r>
          </w:p>
        </w:tc>
        <w:tc>
          <w:tcPr>
            <w:tcW w:w="230" w:type="dxa"/>
            <w:vAlign w:val="top"/>
          </w:tcPr>
          <w:p w14:paraId="4F4184A0">
            <w:pPr>
              <w:pStyle w:val="6"/>
              <w:spacing w:before="62" w:line="137" w:lineRule="exact"/>
              <w:ind w:left="21"/>
            </w:pPr>
            <w:r>
              <w:rPr>
                <w:b/>
                <w:bCs/>
                <w:spacing w:val="-2"/>
                <w:position w:val="-2"/>
              </w:rPr>
              <w:t>B</w:t>
            </w:r>
          </w:p>
        </w:tc>
        <w:tc>
          <w:tcPr>
            <w:tcW w:w="230" w:type="dxa"/>
            <w:vAlign w:val="top"/>
          </w:tcPr>
          <w:p w14:paraId="0F8E9656">
            <w:pPr>
              <w:pStyle w:val="6"/>
              <w:spacing w:before="61" w:line="138" w:lineRule="exact"/>
              <w:ind w:left="19"/>
            </w:pPr>
            <w:r>
              <w:rPr>
                <w:position w:val="-2"/>
              </w:rPr>
              <w:t>C</w:t>
            </w:r>
          </w:p>
        </w:tc>
        <w:tc>
          <w:tcPr>
            <w:tcW w:w="234" w:type="dxa"/>
            <w:vAlign w:val="top"/>
          </w:tcPr>
          <w:p w14:paraId="4606F959">
            <w:pPr>
              <w:pStyle w:val="6"/>
              <w:spacing w:before="62" w:line="137" w:lineRule="exact"/>
              <w:ind w:left="21"/>
            </w:pPr>
            <w:r>
              <w:rPr>
                <w:b/>
                <w:bCs/>
                <w:spacing w:val="-2"/>
                <w:position w:val="-2"/>
              </w:rPr>
              <w:t>D</w:t>
            </w:r>
          </w:p>
        </w:tc>
      </w:tr>
      <w:tr w14:paraId="3D9CF3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97" w:hRule="atLeast"/>
        </w:trPr>
        <w:tc>
          <w:tcPr>
            <w:tcW w:w="893" w:type="dxa"/>
            <w:vAlign w:val="top"/>
          </w:tcPr>
          <w:p w14:paraId="5F993BCF">
            <w:pPr>
              <w:pStyle w:val="6"/>
              <w:spacing w:before="229" w:line="220" w:lineRule="auto"/>
              <w:ind w:left="95"/>
            </w:pPr>
            <w:r>
              <w:rPr>
                <w:spacing w:val="3"/>
              </w:rPr>
              <w:t>白炽灯照</w:t>
            </w:r>
          </w:p>
          <w:p w14:paraId="540BD3D9">
            <w:pPr>
              <w:pStyle w:val="6"/>
              <w:spacing w:before="17" w:line="219" w:lineRule="auto"/>
              <w:ind w:left="185"/>
            </w:pPr>
            <w:r>
              <w:rPr>
                <w:spacing w:val="2"/>
              </w:rPr>
              <w:t>明电路</w:t>
            </w:r>
          </w:p>
        </w:tc>
        <w:tc>
          <w:tcPr>
            <w:tcW w:w="2334" w:type="dxa"/>
            <w:vAlign w:val="top"/>
          </w:tcPr>
          <w:p w14:paraId="3756760A">
            <w:pPr>
              <w:pStyle w:val="6"/>
              <w:spacing w:before="119" w:line="220" w:lineRule="auto"/>
              <w:ind w:left="2"/>
            </w:pPr>
            <w:r>
              <w:rPr>
                <w:spacing w:val="1"/>
              </w:rPr>
              <w:t>1.灯泡和开关</w:t>
            </w:r>
          </w:p>
          <w:p w14:paraId="755D2D8C">
            <w:pPr>
              <w:pStyle w:val="6"/>
              <w:spacing w:before="16" w:line="224" w:lineRule="auto"/>
              <w:ind w:left="2" w:right="431"/>
            </w:pPr>
            <w:r>
              <w:rPr>
                <w:spacing w:val="1"/>
              </w:rPr>
              <w:t>2.单联、双联开关的使用</w:t>
            </w:r>
            <w:r>
              <w:rPr>
                <w:spacing w:val="7"/>
              </w:rPr>
              <w:t xml:space="preserve"> </w:t>
            </w:r>
            <w:r>
              <w:rPr>
                <w:spacing w:val="-1"/>
              </w:rPr>
              <w:t>3.常用白炽灯照明电路</w:t>
            </w:r>
          </w:p>
        </w:tc>
        <w:tc>
          <w:tcPr>
            <w:tcW w:w="219" w:type="dxa"/>
            <w:vAlign w:val="top"/>
          </w:tcPr>
          <w:p w14:paraId="3EBF67C0">
            <w:pPr>
              <w:rPr>
                <w:rFonts w:ascii="Arial"/>
                <w:sz w:val="21"/>
              </w:rPr>
            </w:pPr>
          </w:p>
        </w:tc>
        <w:tc>
          <w:tcPr>
            <w:tcW w:w="230" w:type="dxa"/>
            <w:vAlign w:val="top"/>
          </w:tcPr>
          <w:p w14:paraId="5B423E6B">
            <w:pPr>
              <w:rPr>
                <w:rFonts w:ascii="Arial"/>
                <w:sz w:val="21"/>
              </w:rPr>
            </w:pPr>
          </w:p>
        </w:tc>
        <w:tc>
          <w:tcPr>
            <w:tcW w:w="230" w:type="dxa"/>
            <w:vAlign w:val="top"/>
          </w:tcPr>
          <w:p w14:paraId="73CFA1A4">
            <w:pPr>
              <w:rPr>
                <w:rFonts w:ascii="Arial"/>
                <w:sz w:val="21"/>
              </w:rPr>
            </w:pPr>
          </w:p>
        </w:tc>
        <w:tc>
          <w:tcPr>
            <w:tcW w:w="234" w:type="dxa"/>
            <w:vAlign w:val="top"/>
          </w:tcPr>
          <w:p w14:paraId="41F4EE52">
            <w:pPr>
              <w:rPr>
                <w:rFonts w:ascii="Arial"/>
                <w:sz w:val="21"/>
              </w:rPr>
            </w:pPr>
          </w:p>
        </w:tc>
      </w:tr>
      <w:tr w14:paraId="09523B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07" w:hRule="atLeast"/>
        </w:trPr>
        <w:tc>
          <w:tcPr>
            <w:tcW w:w="893" w:type="dxa"/>
            <w:vAlign w:val="top"/>
          </w:tcPr>
          <w:p w14:paraId="51638131">
            <w:pPr>
              <w:pStyle w:val="6"/>
              <w:spacing w:before="232" w:line="219" w:lineRule="auto"/>
              <w:ind w:left="95"/>
            </w:pPr>
            <w:r>
              <w:rPr>
                <w:spacing w:val="3"/>
              </w:rPr>
              <w:t>日光灯照</w:t>
            </w:r>
          </w:p>
          <w:p w14:paraId="0CC29681">
            <w:pPr>
              <w:pStyle w:val="6"/>
              <w:spacing w:before="18" w:line="219" w:lineRule="auto"/>
              <w:ind w:left="185"/>
            </w:pPr>
            <w:r>
              <w:rPr>
                <w:spacing w:val="2"/>
              </w:rPr>
              <w:t>明电路</w:t>
            </w:r>
          </w:p>
        </w:tc>
        <w:tc>
          <w:tcPr>
            <w:tcW w:w="2334" w:type="dxa"/>
            <w:vAlign w:val="top"/>
          </w:tcPr>
          <w:p w14:paraId="31FCB6E8">
            <w:pPr>
              <w:pStyle w:val="6"/>
              <w:spacing w:before="122" w:line="217" w:lineRule="auto"/>
              <w:ind w:left="2"/>
            </w:pPr>
            <w:r>
              <w:rPr>
                <w:spacing w:val="-4"/>
              </w:rPr>
              <w:t>1.</w:t>
            </w:r>
            <w:r>
              <w:rPr>
                <w:spacing w:val="-44"/>
              </w:rPr>
              <w:t xml:space="preserve"> </w:t>
            </w:r>
            <w:r>
              <w:rPr>
                <w:spacing w:val="-4"/>
              </w:rPr>
              <w:t>日光灯的组成</w:t>
            </w:r>
          </w:p>
          <w:p w14:paraId="77D66930">
            <w:pPr>
              <w:pStyle w:val="6"/>
              <w:spacing w:line="248" w:lineRule="auto"/>
              <w:ind w:left="2" w:right="280" w:firstLine="10"/>
            </w:pPr>
            <w:r>
              <w:rPr>
                <w:spacing w:val="-1"/>
              </w:rPr>
              <w:t>2.启辉器、镇流器的工作过</w:t>
            </w:r>
            <w:r>
              <w:rPr>
                <w:spacing w:val="3"/>
              </w:rPr>
              <w:t xml:space="preserve"> </w:t>
            </w:r>
            <w:r>
              <w:rPr>
                <w:spacing w:val="5"/>
              </w:rPr>
              <w:t>程及作用</w:t>
            </w:r>
          </w:p>
        </w:tc>
        <w:tc>
          <w:tcPr>
            <w:tcW w:w="219" w:type="dxa"/>
            <w:vAlign w:val="top"/>
          </w:tcPr>
          <w:p w14:paraId="23FAB489">
            <w:pPr>
              <w:rPr>
                <w:rFonts w:ascii="Arial"/>
                <w:sz w:val="21"/>
              </w:rPr>
            </w:pPr>
          </w:p>
        </w:tc>
        <w:tc>
          <w:tcPr>
            <w:tcW w:w="230" w:type="dxa"/>
            <w:vAlign w:val="top"/>
          </w:tcPr>
          <w:p w14:paraId="76634203">
            <w:pPr>
              <w:rPr>
                <w:rFonts w:ascii="Arial"/>
                <w:sz w:val="21"/>
              </w:rPr>
            </w:pPr>
          </w:p>
        </w:tc>
        <w:tc>
          <w:tcPr>
            <w:tcW w:w="230" w:type="dxa"/>
            <w:vAlign w:val="top"/>
          </w:tcPr>
          <w:p w14:paraId="4DB8259D">
            <w:pPr>
              <w:rPr>
                <w:rFonts w:ascii="Arial"/>
                <w:sz w:val="21"/>
              </w:rPr>
            </w:pPr>
          </w:p>
        </w:tc>
        <w:tc>
          <w:tcPr>
            <w:tcW w:w="234" w:type="dxa"/>
            <w:vAlign w:val="top"/>
          </w:tcPr>
          <w:p w14:paraId="6C7FFE15">
            <w:pPr>
              <w:rPr>
                <w:rFonts w:ascii="Arial"/>
                <w:sz w:val="21"/>
              </w:rPr>
            </w:pPr>
          </w:p>
        </w:tc>
      </w:tr>
      <w:tr w14:paraId="387375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52" w:hRule="atLeast"/>
        </w:trPr>
        <w:tc>
          <w:tcPr>
            <w:tcW w:w="893" w:type="dxa"/>
            <w:vAlign w:val="top"/>
          </w:tcPr>
          <w:p w14:paraId="12D636CE">
            <w:pPr>
              <w:spacing w:line="288" w:lineRule="auto"/>
              <w:rPr>
                <w:rFonts w:ascii="Arial"/>
                <w:sz w:val="21"/>
              </w:rPr>
            </w:pPr>
          </w:p>
          <w:p w14:paraId="0998560B">
            <w:pPr>
              <w:pStyle w:val="6"/>
              <w:spacing w:before="56" w:line="221" w:lineRule="auto"/>
              <w:ind w:left="95"/>
            </w:pPr>
            <w:r>
              <w:rPr>
                <w:spacing w:val="2"/>
              </w:rPr>
              <w:t>安全用电</w:t>
            </w:r>
          </w:p>
        </w:tc>
        <w:tc>
          <w:tcPr>
            <w:tcW w:w="2334" w:type="dxa"/>
            <w:vAlign w:val="top"/>
          </w:tcPr>
          <w:p w14:paraId="206945B4">
            <w:pPr>
              <w:pStyle w:val="6"/>
              <w:spacing w:before="155" w:line="217" w:lineRule="auto"/>
              <w:ind w:left="2"/>
            </w:pPr>
            <w:r>
              <w:rPr>
                <w:spacing w:val="2"/>
              </w:rPr>
              <w:t>1.触电</w:t>
            </w:r>
          </w:p>
          <w:p w14:paraId="46989F8B">
            <w:pPr>
              <w:pStyle w:val="6"/>
              <w:spacing w:before="1" w:line="247" w:lineRule="auto"/>
              <w:ind w:left="2" w:right="270"/>
            </w:pPr>
            <w:r>
              <w:t>2.保护性接地和保护接中线</w:t>
            </w:r>
            <w:r>
              <w:rPr>
                <w:spacing w:val="10"/>
              </w:rPr>
              <w:t xml:space="preserve"> </w:t>
            </w:r>
            <w:r>
              <w:rPr>
                <w:spacing w:val="1"/>
              </w:rPr>
              <w:t>3.安全用电常识</w:t>
            </w:r>
          </w:p>
        </w:tc>
        <w:tc>
          <w:tcPr>
            <w:tcW w:w="219" w:type="dxa"/>
            <w:vAlign w:val="top"/>
          </w:tcPr>
          <w:p w14:paraId="1DA9129E">
            <w:pPr>
              <w:rPr>
                <w:rFonts w:ascii="Arial"/>
                <w:sz w:val="21"/>
              </w:rPr>
            </w:pPr>
          </w:p>
        </w:tc>
        <w:tc>
          <w:tcPr>
            <w:tcW w:w="230" w:type="dxa"/>
            <w:vAlign w:val="top"/>
          </w:tcPr>
          <w:p w14:paraId="0CD5C3E2">
            <w:pPr>
              <w:rPr>
                <w:rFonts w:ascii="Arial"/>
                <w:sz w:val="21"/>
              </w:rPr>
            </w:pPr>
          </w:p>
        </w:tc>
        <w:tc>
          <w:tcPr>
            <w:tcW w:w="230" w:type="dxa"/>
            <w:vAlign w:val="top"/>
          </w:tcPr>
          <w:p w14:paraId="20EC75EE">
            <w:pPr>
              <w:rPr>
                <w:rFonts w:ascii="Arial"/>
                <w:sz w:val="21"/>
              </w:rPr>
            </w:pPr>
          </w:p>
        </w:tc>
        <w:tc>
          <w:tcPr>
            <w:tcW w:w="234" w:type="dxa"/>
            <w:vAlign w:val="top"/>
          </w:tcPr>
          <w:p w14:paraId="089DF574">
            <w:pPr>
              <w:rPr>
                <w:rFonts w:ascii="Arial"/>
                <w:sz w:val="21"/>
              </w:rPr>
            </w:pPr>
          </w:p>
        </w:tc>
      </w:tr>
    </w:tbl>
    <w:p w14:paraId="7E36E63A">
      <w:pPr>
        <w:spacing w:before="118" w:line="221" w:lineRule="auto"/>
        <w:ind w:left="787"/>
        <w:rPr>
          <w:rFonts w:ascii="黑体" w:hAnsi="黑体" w:eastAsia="黑体" w:cs="黑体"/>
          <w:sz w:val="20"/>
          <w:szCs w:val="20"/>
        </w:rPr>
      </w:pPr>
      <w:r>
        <w:rPr>
          <w:rFonts w:ascii="黑体" w:hAnsi="黑体" w:eastAsia="黑体" w:cs="黑体"/>
          <w:b/>
          <w:bCs/>
          <w:spacing w:val="-4"/>
          <w:sz w:val="20"/>
          <w:szCs w:val="20"/>
        </w:rPr>
        <w:t>第二部分</w:t>
      </w:r>
      <w:r>
        <w:rPr>
          <w:rFonts w:ascii="黑体" w:hAnsi="黑体" w:eastAsia="黑体" w:cs="黑体"/>
          <w:spacing w:val="-4"/>
          <w:sz w:val="20"/>
          <w:szCs w:val="20"/>
        </w:rPr>
        <w:t xml:space="preserve">  </w:t>
      </w:r>
      <w:r>
        <w:rPr>
          <w:rFonts w:ascii="黑体" w:hAnsi="黑体" w:eastAsia="黑体" w:cs="黑体"/>
          <w:b/>
          <w:bCs/>
          <w:spacing w:val="-4"/>
          <w:sz w:val="20"/>
          <w:szCs w:val="20"/>
        </w:rPr>
        <w:t>电子技术基础概述</w:t>
      </w:r>
    </w:p>
    <w:p w14:paraId="3AF65F6D">
      <w:pPr>
        <w:spacing w:line="82" w:lineRule="exact"/>
      </w:pPr>
    </w:p>
    <w:tbl>
      <w:tblPr>
        <w:tblStyle w:val="5"/>
        <w:tblW w:w="414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34"/>
        <w:gridCol w:w="219"/>
        <w:gridCol w:w="230"/>
        <w:gridCol w:w="230"/>
        <w:gridCol w:w="234"/>
      </w:tblGrid>
      <w:tr w14:paraId="3608B3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3" w:hRule="atLeast"/>
        </w:trPr>
        <w:tc>
          <w:tcPr>
            <w:tcW w:w="893" w:type="dxa"/>
            <w:vMerge w:val="restart"/>
            <w:tcBorders>
              <w:bottom w:val="nil"/>
            </w:tcBorders>
            <w:vAlign w:val="top"/>
          </w:tcPr>
          <w:p w14:paraId="3DF77FD9">
            <w:pPr>
              <w:pStyle w:val="6"/>
              <w:spacing w:before="11" w:line="215" w:lineRule="auto"/>
              <w:ind w:left="257" w:right="1" w:hanging="240"/>
              <w:rPr>
                <w:sz w:val="18"/>
                <w:szCs w:val="18"/>
              </w:rPr>
            </w:pPr>
            <w:r>
              <w:rPr>
                <w:b/>
                <w:bCs/>
                <w:spacing w:val="-10"/>
                <w:sz w:val="18"/>
                <w:szCs w:val="18"/>
              </w:rPr>
              <w:t>知识与技能</w:t>
            </w:r>
            <w:r>
              <w:rPr>
                <w:spacing w:val="3"/>
                <w:sz w:val="18"/>
                <w:szCs w:val="18"/>
              </w:rPr>
              <w:t xml:space="preserve"> </w:t>
            </w:r>
            <w:r>
              <w:rPr>
                <w:b/>
                <w:bCs/>
                <w:spacing w:val="-4"/>
                <w:sz w:val="18"/>
                <w:szCs w:val="18"/>
              </w:rPr>
              <w:t>要点</w:t>
            </w:r>
          </w:p>
        </w:tc>
        <w:tc>
          <w:tcPr>
            <w:tcW w:w="2334" w:type="dxa"/>
            <w:vMerge w:val="restart"/>
            <w:tcBorders>
              <w:bottom w:val="nil"/>
            </w:tcBorders>
            <w:vAlign w:val="top"/>
          </w:tcPr>
          <w:p w14:paraId="13C0BCA9">
            <w:pPr>
              <w:pStyle w:val="6"/>
              <w:spacing w:before="129" w:line="219" w:lineRule="auto"/>
              <w:ind w:left="844"/>
              <w:rPr>
                <w:sz w:val="18"/>
                <w:szCs w:val="18"/>
              </w:rPr>
            </w:pPr>
            <w:r>
              <w:rPr>
                <w:b/>
                <w:bCs/>
                <w:spacing w:val="5"/>
                <w:sz w:val="18"/>
                <w:szCs w:val="18"/>
              </w:rPr>
              <w:t>考试条目</w:t>
            </w:r>
          </w:p>
        </w:tc>
        <w:tc>
          <w:tcPr>
            <w:tcW w:w="913" w:type="dxa"/>
            <w:gridSpan w:val="4"/>
            <w:vAlign w:val="top"/>
          </w:tcPr>
          <w:p w14:paraId="70336A31">
            <w:pPr>
              <w:pStyle w:val="6"/>
              <w:spacing w:before="19" w:line="198" w:lineRule="auto"/>
              <w:ind w:left="130"/>
              <w:rPr>
                <w:sz w:val="18"/>
                <w:szCs w:val="18"/>
              </w:rPr>
            </w:pPr>
            <w:r>
              <w:rPr>
                <w:b/>
                <w:bCs/>
                <w:spacing w:val="-4"/>
                <w:sz w:val="18"/>
                <w:szCs w:val="18"/>
              </w:rPr>
              <w:t>考试水平</w:t>
            </w:r>
          </w:p>
        </w:tc>
      </w:tr>
      <w:tr w14:paraId="5DEE97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8" w:hRule="atLeast"/>
        </w:trPr>
        <w:tc>
          <w:tcPr>
            <w:tcW w:w="893" w:type="dxa"/>
            <w:vMerge w:val="continue"/>
            <w:tcBorders>
              <w:top w:val="nil"/>
            </w:tcBorders>
            <w:vAlign w:val="top"/>
          </w:tcPr>
          <w:p w14:paraId="3BBFD87E">
            <w:pPr>
              <w:rPr>
                <w:rFonts w:ascii="Arial"/>
                <w:sz w:val="21"/>
              </w:rPr>
            </w:pPr>
          </w:p>
        </w:tc>
        <w:tc>
          <w:tcPr>
            <w:tcW w:w="2334" w:type="dxa"/>
            <w:vMerge w:val="continue"/>
            <w:tcBorders>
              <w:top w:val="nil"/>
            </w:tcBorders>
            <w:vAlign w:val="top"/>
          </w:tcPr>
          <w:p w14:paraId="33B90E63">
            <w:pPr>
              <w:rPr>
                <w:rFonts w:ascii="Arial"/>
                <w:sz w:val="21"/>
              </w:rPr>
            </w:pPr>
          </w:p>
        </w:tc>
        <w:tc>
          <w:tcPr>
            <w:tcW w:w="219" w:type="dxa"/>
            <w:vAlign w:val="top"/>
          </w:tcPr>
          <w:p w14:paraId="76224E39">
            <w:pPr>
              <w:pStyle w:val="6"/>
              <w:spacing w:before="64" w:line="133" w:lineRule="exact"/>
              <w:ind w:left="60"/>
              <w:rPr>
                <w:sz w:val="18"/>
                <w:szCs w:val="18"/>
              </w:rPr>
            </w:pPr>
            <w:r>
              <w:rPr>
                <w:b/>
                <w:bCs/>
                <w:spacing w:val="-2"/>
                <w:position w:val="-2"/>
                <w:sz w:val="18"/>
                <w:szCs w:val="18"/>
              </w:rPr>
              <w:t>A</w:t>
            </w:r>
          </w:p>
        </w:tc>
        <w:tc>
          <w:tcPr>
            <w:tcW w:w="230" w:type="dxa"/>
            <w:vAlign w:val="top"/>
          </w:tcPr>
          <w:p w14:paraId="62AADB45">
            <w:pPr>
              <w:pStyle w:val="6"/>
              <w:spacing w:before="67" w:line="130" w:lineRule="exact"/>
              <w:ind w:left="21"/>
              <w:rPr>
                <w:sz w:val="18"/>
                <w:szCs w:val="18"/>
              </w:rPr>
            </w:pPr>
            <w:r>
              <w:rPr>
                <w:b/>
                <w:bCs/>
                <w:spacing w:val="-2"/>
                <w:position w:val="-2"/>
                <w:sz w:val="18"/>
                <w:szCs w:val="18"/>
              </w:rPr>
              <w:t>B</w:t>
            </w:r>
          </w:p>
        </w:tc>
        <w:tc>
          <w:tcPr>
            <w:tcW w:w="230" w:type="dxa"/>
            <w:vAlign w:val="top"/>
          </w:tcPr>
          <w:p w14:paraId="5F4BD8FD">
            <w:pPr>
              <w:pStyle w:val="6"/>
              <w:spacing w:before="65" w:line="132" w:lineRule="exact"/>
              <w:ind w:left="19"/>
              <w:rPr>
                <w:sz w:val="18"/>
                <w:szCs w:val="18"/>
              </w:rPr>
            </w:pPr>
            <w:r>
              <w:rPr>
                <w:position w:val="-2"/>
                <w:sz w:val="18"/>
                <w:szCs w:val="18"/>
              </w:rPr>
              <w:t>C</w:t>
            </w:r>
          </w:p>
        </w:tc>
        <w:tc>
          <w:tcPr>
            <w:tcW w:w="234" w:type="dxa"/>
            <w:vAlign w:val="top"/>
          </w:tcPr>
          <w:p w14:paraId="67076275">
            <w:pPr>
              <w:pStyle w:val="6"/>
              <w:spacing w:before="67" w:line="130" w:lineRule="exact"/>
              <w:ind w:left="21"/>
              <w:rPr>
                <w:sz w:val="18"/>
                <w:szCs w:val="18"/>
              </w:rPr>
            </w:pPr>
            <w:r>
              <w:rPr>
                <w:b/>
                <w:bCs/>
                <w:spacing w:val="-2"/>
                <w:position w:val="-2"/>
                <w:sz w:val="18"/>
                <w:szCs w:val="18"/>
              </w:rPr>
              <w:t>D</w:t>
            </w:r>
          </w:p>
        </w:tc>
      </w:tr>
      <w:tr w14:paraId="16D018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9" w:hRule="atLeast"/>
        </w:trPr>
        <w:tc>
          <w:tcPr>
            <w:tcW w:w="893" w:type="dxa"/>
            <w:vAlign w:val="top"/>
          </w:tcPr>
          <w:p w14:paraId="770F4EE3">
            <w:pPr>
              <w:pStyle w:val="6"/>
              <w:spacing w:before="219" w:line="219" w:lineRule="auto"/>
              <w:ind w:left="257"/>
              <w:rPr>
                <w:sz w:val="18"/>
                <w:szCs w:val="18"/>
              </w:rPr>
            </w:pPr>
            <w:r>
              <w:rPr>
                <w:b/>
                <w:bCs/>
                <w:spacing w:val="-4"/>
                <w:sz w:val="18"/>
                <w:szCs w:val="18"/>
              </w:rPr>
              <w:t>概述</w:t>
            </w:r>
          </w:p>
        </w:tc>
        <w:tc>
          <w:tcPr>
            <w:tcW w:w="2334" w:type="dxa"/>
            <w:vAlign w:val="top"/>
          </w:tcPr>
          <w:p w14:paraId="048054B0">
            <w:pPr>
              <w:pStyle w:val="6"/>
              <w:spacing w:before="118" w:line="233" w:lineRule="auto"/>
              <w:ind w:left="4" w:right="513"/>
              <w:rPr>
                <w:sz w:val="18"/>
                <w:szCs w:val="18"/>
              </w:rPr>
            </w:pPr>
            <w:r>
              <w:rPr>
                <w:b/>
                <w:bCs/>
                <w:spacing w:val="-2"/>
                <w:sz w:val="18"/>
                <w:szCs w:val="18"/>
              </w:rPr>
              <w:t>1.模拟信号和数字信号</w:t>
            </w:r>
            <w:r>
              <w:rPr>
                <w:spacing w:val="6"/>
                <w:sz w:val="18"/>
                <w:szCs w:val="18"/>
              </w:rPr>
              <w:t xml:space="preserve"> </w:t>
            </w:r>
            <w:r>
              <w:rPr>
                <w:b/>
                <w:bCs/>
                <w:spacing w:val="-3"/>
                <w:sz w:val="18"/>
                <w:szCs w:val="18"/>
              </w:rPr>
              <w:t>2.输入信号和输出信号</w:t>
            </w:r>
          </w:p>
        </w:tc>
        <w:tc>
          <w:tcPr>
            <w:tcW w:w="219" w:type="dxa"/>
            <w:vAlign w:val="top"/>
          </w:tcPr>
          <w:p w14:paraId="069AE793">
            <w:pPr>
              <w:spacing w:line="320" w:lineRule="auto"/>
              <w:rPr>
                <w:rFonts w:ascii="Arial"/>
                <w:sz w:val="21"/>
              </w:rPr>
            </w:pPr>
          </w:p>
          <w:p w14:paraId="5A2828F3">
            <w:pPr>
              <w:pStyle w:val="6"/>
              <w:spacing w:before="39" w:line="238" w:lineRule="auto"/>
              <w:ind w:left="48"/>
              <w:rPr>
                <w:sz w:val="12"/>
                <w:szCs w:val="12"/>
              </w:rPr>
            </w:pPr>
            <w:r>
              <w:rPr>
                <w:sz w:val="12"/>
                <w:szCs w:val="12"/>
              </w:rPr>
              <w:t>√</w:t>
            </w:r>
          </w:p>
        </w:tc>
        <w:tc>
          <w:tcPr>
            <w:tcW w:w="230" w:type="dxa"/>
            <w:vAlign w:val="top"/>
          </w:tcPr>
          <w:p w14:paraId="02B7FDA5">
            <w:pPr>
              <w:rPr>
                <w:rFonts w:ascii="Arial"/>
                <w:sz w:val="21"/>
              </w:rPr>
            </w:pPr>
          </w:p>
        </w:tc>
        <w:tc>
          <w:tcPr>
            <w:tcW w:w="230" w:type="dxa"/>
            <w:vAlign w:val="top"/>
          </w:tcPr>
          <w:p w14:paraId="4EB8B7A2">
            <w:pPr>
              <w:rPr>
                <w:rFonts w:ascii="Arial"/>
                <w:sz w:val="21"/>
              </w:rPr>
            </w:pPr>
          </w:p>
        </w:tc>
        <w:tc>
          <w:tcPr>
            <w:tcW w:w="234" w:type="dxa"/>
            <w:vAlign w:val="top"/>
          </w:tcPr>
          <w:p w14:paraId="2E7A5016">
            <w:pPr>
              <w:rPr>
                <w:rFonts w:ascii="Arial"/>
                <w:sz w:val="21"/>
              </w:rPr>
            </w:pPr>
          </w:p>
        </w:tc>
      </w:tr>
    </w:tbl>
    <w:p w14:paraId="56520BC4">
      <w:pPr>
        <w:spacing w:before="128" w:line="221" w:lineRule="auto"/>
        <w:ind w:left="687"/>
        <w:rPr>
          <w:rFonts w:ascii="黑体" w:hAnsi="黑体" w:eastAsia="黑体" w:cs="黑体"/>
          <w:sz w:val="20"/>
          <w:szCs w:val="20"/>
        </w:rPr>
      </w:pPr>
      <w:r>
        <w:rPr>
          <w:rFonts w:ascii="黑体" w:hAnsi="黑体" w:eastAsia="黑体" w:cs="黑体"/>
          <w:b/>
          <w:bCs/>
          <w:spacing w:val="-4"/>
          <w:sz w:val="20"/>
          <w:szCs w:val="20"/>
        </w:rPr>
        <w:t>第一章</w:t>
      </w:r>
      <w:r>
        <w:rPr>
          <w:rFonts w:ascii="黑体" w:hAnsi="黑体" w:eastAsia="黑体" w:cs="黑体"/>
          <w:spacing w:val="-4"/>
          <w:sz w:val="20"/>
          <w:szCs w:val="20"/>
        </w:rPr>
        <w:t xml:space="preserve">  </w:t>
      </w:r>
      <w:r>
        <w:rPr>
          <w:rFonts w:ascii="黑体" w:hAnsi="黑体" w:eastAsia="黑体" w:cs="黑体"/>
          <w:b/>
          <w:bCs/>
          <w:spacing w:val="-4"/>
          <w:sz w:val="20"/>
          <w:szCs w:val="20"/>
        </w:rPr>
        <w:t>半导体器件的基础知识</w:t>
      </w:r>
    </w:p>
    <w:p w14:paraId="2477EF8F">
      <w:pPr>
        <w:spacing w:line="72" w:lineRule="exact"/>
      </w:pPr>
    </w:p>
    <w:tbl>
      <w:tblPr>
        <w:tblStyle w:val="5"/>
        <w:tblW w:w="414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34"/>
        <w:gridCol w:w="219"/>
        <w:gridCol w:w="230"/>
        <w:gridCol w:w="230"/>
        <w:gridCol w:w="234"/>
      </w:tblGrid>
      <w:tr w14:paraId="753DC3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5" w:hRule="atLeast"/>
        </w:trPr>
        <w:tc>
          <w:tcPr>
            <w:tcW w:w="893" w:type="dxa"/>
            <w:vMerge w:val="restart"/>
            <w:tcBorders>
              <w:bottom w:val="nil"/>
            </w:tcBorders>
            <w:vAlign w:val="top"/>
          </w:tcPr>
          <w:p w14:paraId="6832D352">
            <w:pPr>
              <w:pStyle w:val="6"/>
              <w:spacing w:before="21" w:line="212" w:lineRule="auto"/>
              <w:ind w:left="257" w:right="1" w:hanging="240"/>
              <w:rPr>
                <w:sz w:val="18"/>
                <w:szCs w:val="18"/>
              </w:rPr>
            </w:pPr>
            <w:r>
              <w:rPr>
                <w:b/>
                <w:bCs/>
                <w:spacing w:val="-10"/>
                <w:sz w:val="18"/>
                <w:szCs w:val="18"/>
              </w:rPr>
              <w:t>知识与技能</w:t>
            </w:r>
            <w:r>
              <w:rPr>
                <w:spacing w:val="3"/>
                <w:sz w:val="18"/>
                <w:szCs w:val="18"/>
              </w:rPr>
              <w:t xml:space="preserve"> </w:t>
            </w:r>
            <w:r>
              <w:rPr>
                <w:b/>
                <w:bCs/>
                <w:spacing w:val="-4"/>
                <w:sz w:val="18"/>
                <w:szCs w:val="18"/>
              </w:rPr>
              <w:t>要点</w:t>
            </w:r>
          </w:p>
        </w:tc>
        <w:tc>
          <w:tcPr>
            <w:tcW w:w="2334" w:type="dxa"/>
            <w:vMerge w:val="restart"/>
            <w:tcBorders>
              <w:bottom w:val="nil"/>
            </w:tcBorders>
            <w:vAlign w:val="top"/>
          </w:tcPr>
          <w:p w14:paraId="23A1C6AF">
            <w:pPr>
              <w:pStyle w:val="6"/>
              <w:spacing w:before="129" w:line="219" w:lineRule="auto"/>
              <w:ind w:left="844"/>
              <w:rPr>
                <w:sz w:val="18"/>
                <w:szCs w:val="18"/>
              </w:rPr>
            </w:pPr>
            <w:r>
              <w:rPr>
                <w:b/>
                <w:bCs/>
                <w:spacing w:val="5"/>
                <w:sz w:val="18"/>
                <w:szCs w:val="18"/>
              </w:rPr>
              <w:t>考试条目</w:t>
            </w:r>
          </w:p>
        </w:tc>
        <w:tc>
          <w:tcPr>
            <w:tcW w:w="913" w:type="dxa"/>
            <w:gridSpan w:val="4"/>
            <w:vAlign w:val="top"/>
          </w:tcPr>
          <w:p w14:paraId="79E81373">
            <w:pPr>
              <w:pStyle w:val="6"/>
              <w:spacing w:before="20" w:line="200" w:lineRule="auto"/>
              <w:ind w:left="140"/>
              <w:rPr>
                <w:sz w:val="18"/>
                <w:szCs w:val="18"/>
              </w:rPr>
            </w:pPr>
            <w:r>
              <w:rPr>
                <w:b/>
                <w:bCs/>
                <w:spacing w:val="-4"/>
                <w:sz w:val="18"/>
                <w:szCs w:val="18"/>
              </w:rPr>
              <w:t>考试水平</w:t>
            </w:r>
          </w:p>
        </w:tc>
      </w:tr>
      <w:tr w14:paraId="49FC96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0" w:hRule="atLeast"/>
        </w:trPr>
        <w:tc>
          <w:tcPr>
            <w:tcW w:w="893" w:type="dxa"/>
            <w:vMerge w:val="continue"/>
            <w:tcBorders>
              <w:top w:val="nil"/>
            </w:tcBorders>
            <w:vAlign w:val="top"/>
          </w:tcPr>
          <w:p w14:paraId="65C5B63D">
            <w:pPr>
              <w:rPr>
                <w:rFonts w:ascii="Arial"/>
                <w:sz w:val="21"/>
              </w:rPr>
            </w:pPr>
          </w:p>
        </w:tc>
        <w:tc>
          <w:tcPr>
            <w:tcW w:w="2334" w:type="dxa"/>
            <w:vMerge w:val="continue"/>
            <w:tcBorders>
              <w:top w:val="nil"/>
            </w:tcBorders>
            <w:vAlign w:val="top"/>
          </w:tcPr>
          <w:p w14:paraId="38E1DCE4">
            <w:pPr>
              <w:rPr>
                <w:rFonts w:ascii="Arial"/>
                <w:sz w:val="21"/>
              </w:rPr>
            </w:pPr>
          </w:p>
        </w:tc>
        <w:tc>
          <w:tcPr>
            <w:tcW w:w="219" w:type="dxa"/>
            <w:vAlign w:val="top"/>
          </w:tcPr>
          <w:p w14:paraId="35A10F9D">
            <w:pPr>
              <w:pStyle w:val="6"/>
              <w:spacing w:before="62" w:line="138" w:lineRule="exact"/>
              <w:ind w:left="60"/>
              <w:rPr>
                <w:sz w:val="18"/>
                <w:szCs w:val="18"/>
              </w:rPr>
            </w:pPr>
            <w:r>
              <w:rPr>
                <w:b/>
                <w:bCs/>
                <w:spacing w:val="-2"/>
                <w:position w:val="-2"/>
                <w:sz w:val="18"/>
                <w:szCs w:val="18"/>
              </w:rPr>
              <w:t>A</w:t>
            </w:r>
          </w:p>
        </w:tc>
        <w:tc>
          <w:tcPr>
            <w:tcW w:w="230" w:type="dxa"/>
            <w:vAlign w:val="top"/>
          </w:tcPr>
          <w:p w14:paraId="730648F9">
            <w:pPr>
              <w:pStyle w:val="6"/>
              <w:spacing w:before="65" w:line="135" w:lineRule="exact"/>
              <w:ind w:left="31"/>
              <w:rPr>
                <w:sz w:val="18"/>
                <w:szCs w:val="18"/>
              </w:rPr>
            </w:pPr>
            <w:r>
              <w:rPr>
                <w:b/>
                <w:bCs/>
                <w:spacing w:val="-2"/>
                <w:position w:val="-2"/>
                <w:sz w:val="18"/>
                <w:szCs w:val="18"/>
              </w:rPr>
              <w:t>B</w:t>
            </w:r>
          </w:p>
        </w:tc>
        <w:tc>
          <w:tcPr>
            <w:tcW w:w="230" w:type="dxa"/>
            <w:vAlign w:val="top"/>
          </w:tcPr>
          <w:p w14:paraId="3ABCA103">
            <w:pPr>
              <w:pStyle w:val="6"/>
              <w:spacing w:before="62" w:line="138" w:lineRule="exact"/>
              <w:ind w:left="21"/>
              <w:rPr>
                <w:sz w:val="18"/>
                <w:szCs w:val="18"/>
              </w:rPr>
            </w:pPr>
            <w:r>
              <w:rPr>
                <w:b/>
                <w:bCs/>
                <w:spacing w:val="-2"/>
                <w:position w:val="-2"/>
                <w:sz w:val="18"/>
                <w:szCs w:val="18"/>
              </w:rPr>
              <w:t>C</w:t>
            </w:r>
          </w:p>
        </w:tc>
        <w:tc>
          <w:tcPr>
            <w:tcW w:w="234" w:type="dxa"/>
            <w:vAlign w:val="top"/>
          </w:tcPr>
          <w:p w14:paraId="39184641">
            <w:pPr>
              <w:pStyle w:val="6"/>
              <w:spacing w:before="65" w:line="135" w:lineRule="exact"/>
              <w:ind w:left="21"/>
              <w:rPr>
                <w:sz w:val="18"/>
                <w:szCs w:val="18"/>
              </w:rPr>
            </w:pPr>
            <w:r>
              <w:rPr>
                <w:b/>
                <w:bCs/>
                <w:spacing w:val="-2"/>
                <w:position w:val="-2"/>
                <w:sz w:val="18"/>
                <w:szCs w:val="18"/>
              </w:rPr>
              <w:t>D</w:t>
            </w:r>
          </w:p>
        </w:tc>
      </w:tr>
      <w:tr w14:paraId="0E9A8B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17" w:hRule="atLeast"/>
        </w:trPr>
        <w:tc>
          <w:tcPr>
            <w:tcW w:w="893" w:type="dxa"/>
            <w:vAlign w:val="top"/>
          </w:tcPr>
          <w:p w14:paraId="6D14F42C">
            <w:pPr>
              <w:spacing w:line="407" w:lineRule="auto"/>
              <w:rPr>
                <w:rFonts w:ascii="Arial"/>
                <w:sz w:val="21"/>
              </w:rPr>
            </w:pPr>
          </w:p>
          <w:p w14:paraId="7E6C004E">
            <w:pPr>
              <w:pStyle w:val="6"/>
              <w:spacing w:before="58" w:line="222" w:lineRule="auto"/>
              <w:ind w:left="254" w:right="97" w:hanging="179"/>
              <w:rPr>
                <w:sz w:val="18"/>
                <w:szCs w:val="18"/>
              </w:rPr>
            </w:pPr>
            <w:r>
              <w:rPr>
                <w:spacing w:val="-3"/>
                <w:sz w:val="18"/>
                <w:szCs w:val="18"/>
              </w:rPr>
              <w:t>半导体二</w:t>
            </w:r>
            <w:r>
              <w:rPr>
                <w:spacing w:val="1"/>
                <w:sz w:val="18"/>
                <w:szCs w:val="18"/>
              </w:rPr>
              <w:t xml:space="preserve"> </w:t>
            </w:r>
            <w:r>
              <w:rPr>
                <w:spacing w:val="-3"/>
                <w:sz w:val="18"/>
                <w:szCs w:val="18"/>
              </w:rPr>
              <w:t>极管</w:t>
            </w:r>
          </w:p>
        </w:tc>
        <w:tc>
          <w:tcPr>
            <w:tcW w:w="2334" w:type="dxa"/>
            <w:vAlign w:val="top"/>
          </w:tcPr>
          <w:p w14:paraId="243CC71A">
            <w:pPr>
              <w:pStyle w:val="6"/>
              <w:spacing w:before="157" w:line="216" w:lineRule="auto"/>
              <w:ind w:left="12"/>
              <w:rPr>
                <w:sz w:val="18"/>
                <w:szCs w:val="18"/>
              </w:rPr>
            </w:pPr>
            <w:r>
              <w:rPr>
                <w:sz w:val="18"/>
                <w:szCs w:val="18"/>
              </w:rPr>
              <w:t>1.半导体的概念</w:t>
            </w:r>
          </w:p>
          <w:p w14:paraId="0B773C18">
            <w:pPr>
              <w:pStyle w:val="6"/>
              <w:spacing w:before="3" w:line="223" w:lineRule="auto"/>
              <w:ind w:left="12" w:right="680"/>
              <w:rPr>
                <w:sz w:val="18"/>
                <w:szCs w:val="18"/>
              </w:rPr>
            </w:pPr>
            <w:r>
              <w:rPr>
                <w:spacing w:val="-1"/>
                <w:sz w:val="18"/>
                <w:szCs w:val="18"/>
              </w:rPr>
              <w:t>2.PN结的单向导电性</w:t>
            </w:r>
            <w:r>
              <w:rPr>
                <w:sz w:val="18"/>
                <w:szCs w:val="18"/>
              </w:rPr>
              <w:t xml:space="preserve"> </w:t>
            </w:r>
            <w:r>
              <w:rPr>
                <w:spacing w:val="1"/>
                <w:sz w:val="18"/>
                <w:szCs w:val="18"/>
              </w:rPr>
              <w:t>3.二极管的基本结构</w:t>
            </w:r>
            <w:r>
              <w:rPr>
                <w:sz w:val="18"/>
                <w:szCs w:val="18"/>
              </w:rPr>
              <w:t xml:space="preserve"> </w:t>
            </w:r>
            <w:r>
              <w:rPr>
                <w:spacing w:val="-1"/>
                <w:sz w:val="18"/>
                <w:szCs w:val="18"/>
              </w:rPr>
              <w:t>4.二极管的伏安特性</w:t>
            </w:r>
            <w:r>
              <w:rPr>
                <w:spacing w:val="2"/>
                <w:sz w:val="18"/>
                <w:szCs w:val="18"/>
              </w:rPr>
              <w:t xml:space="preserve"> </w:t>
            </w:r>
            <w:r>
              <w:rPr>
                <w:spacing w:val="-1"/>
                <w:sz w:val="18"/>
                <w:szCs w:val="18"/>
              </w:rPr>
              <w:t>5.二极管的主要参数</w:t>
            </w:r>
          </w:p>
        </w:tc>
        <w:tc>
          <w:tcPr>
            <w:tcW w:w="219" w:type="dxa"/>
            <w:vAlign w:val="top"/>
          </w:tcPr>
          <w:p w14:paraId="0C504C76">
            <w:pPr>
              <w:pStyle w:val="6"/>
              <w:spacing w:before="148" w:line="238" w:lineRule="auto"/>
              <w:ind w:left="38"/>
              <w:rPr>
                <w:sz w:val="13"/>
                <w:szCs w:val="13"/>
              </w:rPr>
            </w:pPr>
            <w:r>
              <w:rPr>
                <w:sz w:val="13"/>
                <w:szCs w:val="13"/>
              </w:rPr>
              <w:t>√</w:t>
            </w:r>
          </w:p>
          <w:p w14:paraId="093D9B3A">
            <w:pPr>
              <w:pStyle w:val="6"/>
              <w:spacing w:before="262" w:line="238" w:lineRule="auto"/>
              <w:ind w:left="38"/>
              <w:rPr>
                <w:sz w:val="13"/>
                <w:szCs w:val="13"/>
              </w:rPr>
            </w:pPr>
            <w:r>
              <w:rPr>
                <w:sz w:val="13"/>
                <w:szCs w:val="13"/>
              </w:rPr>
              <w:t>√</w:t>
            </w:r>
          </w:p>
        </w:tc>
        <w:tc>
          <w:tcPr>
            <w:tcW w:w="230" w:type="dxa"/>
            <w:vAlign w:val="top"/>
          </w:tcPr>
          <w:p w14:paraId="3E46EECC">
            <w:pPr>
              <w:rPr>
                <w:rFonts w:ascii="Arial"/>
                <w:sz w:val="21"/>
              </w:rPr>
            </w:pPr>
          </w:p>
        </w:tc>
        <w:tc>
          <w:tcPr>
            <w:tcW w:w="230" w:type="dxa"/>
            <w:vAlign w:val="top"/>
          </w:tcPr>
          <w:p w14:paraId="69AB5C33">
            <w:pPr>
              <w:rPr>
                <w:rFonts w:ascii="Arial"/>
                <w:sz w:val="21"/>
              </w:rPr>
            </w:pPr>
          </w:p>
        </w:tc>
        <w:tc>
          <w:tcPr>
            <w:tcW w:w="234" w:type="dxa"/>
            <w:vAlign w:val="top"/>
          </w:tcPr>
          <w:p w14:paraId="7D5DEE90">
            <w:pPr>
              <w:rPr>
                <w:rFonts w:ascii="Arial"/>
                <w:sz w:val="21"/>
              </w:rPr>
            </w:pPr>
          </w:p>
        </w:tc>
      </w:tr>
      <w:tr w14:paraId="697E97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76" w:hRule="atLeast"/>
        </w:trPr>
        <w:tc>
          <w:tcPr>
            <w:tcW w:w="893" w:type="dxa"/>
            <w:vAlign w:val="top"/>
          </w:tcPr>
          <w:p w14:paraId="56B43FCE">
            <w:pPr>
              <w:spacing w:line="289" w:lineRule="auto"/>
              <w:rPr>
                <w:rFonts w:ascii="Arial"/>
                <w:sz w:val="21"/>
              </w:rPr>
            </w:pPr>
          </w:p>
          <w:p w14:paraId="452F8D5F">
            <w:pPr>
              <w:spacing w:line="290" w:lineRule="auto"/>
              <w:rPr>
                <w:rFonts w:ascii="Arial"/>
                <w:sz w:val="21"/>
              </w:rPr>
            </w:pPr>
          </w:p>
          <w:p w14:paraId="56D2287F">
            <w:pPr>
              <w:pStyle w:val="6"/>
              <w:spacing w:before="58" w:line="227" w:lineRule="auto"/>
              <w:ind w:left="254" w:right="97" w:hanging="179"/>
              <w:rPr>
                <w:sz w:val="18"/>
                <w:szCs w:val="18"/>
              </w:rPr>
            </w:pPr>
            <w:r>
              <w:rPr>
                <w:spacing w:val="-3"/>
                <w:sz w:val="18"/>
                <w:szCs w:val="18"/>
              </w:rPr>
              <w:t>半导体三</w:t>
            </w:r>
            <w:r>
              <w:rPr>
                <w:spacing w:val="1"/>
                <w:sz w:val="18"/>
                <w:szCs w:val="18"/>
              </w:rPr>
              <w:t xml:space="preserve"> </w:t>
            </w:r>
            <w:r>
              <w:rPr>
                <w:spacing w:val="-3"/>
                <w:sz w:val="18"/>
                <w:szCs w:val="18"/>
              </w:rPr>
              <w:t>极管</w:t>
            </w:r>
          </w:p>
        </w:tc>
        <w:tc>
          <w:tcPr>
            <w:tcW w:w="2334" w:type="dxa"/>
            <w:vAlign w:val="top"/>
          </w:tcPr>
          <w:p w14:paraId="3029D322">
            <w:pPr>
              <w:pStyle w:val="6"/>
              <w:spacing w:before="108" w:line="218" w:lineRule="auto"/>
              <w:ind w:left="12" w:right="144"/>
              <w:rPr>
                <w:sz w:val="18"/>
                <w:szCs w:val="18"/>
              </w:rPr>
            </w:pPr>
            <w:r>
              <w:rPr>
                <w:sz w:val="18"/>
                <w:szCs w:val="18"/>
              </w:rPr>
              <w:t>1.三极管的基本结构和分类</w:t>
            </w:r>
            <w:r>
              <w:rPr>
                <w:spacing w:val="6"/>
                <w:sz w:val="18"/>
                <w:szCs w:val="18"/>
              </w:rPr>
              <w:t xml:space="preserve"> </w:t>
            </w:r>
            <w:r>
              <w:rPr>
                <w:spacing w:val="1"/>
                <w:sz w:val="18"/>
                <w:szCs w:val="18"/>
              </w:rPr>
              <w:t>2.三极管的电流分配关系</w:t>
            </w:r>
          </w:p>
          <w:p w14:paraId="0957D1FA">
            <w:pPr>
              <w:pStyle w:val="6"/>
              <w:spacing w:before="16" w:line="215" w:lineRule="auto"/>
              <w:ind w:left="12"/>
              <w:rPr>
                <w:sz w:val="18"/>
                <w:szCs w:val="18"/>
              </w:rPr>
            </w:pPr>
            <w:r>
              <w:rPr>
                <w:spacing w:val="2"/>
                <w:sz w:val="18"/>
                <w:szCs w:val="18"/>
              </w:rPr>
              <w:t>3.三极管的放大作用</w:t>
            </w:r>
          </w:p>
          <w:p w14:paraId="52232239">
            <w:pPr>
              <w:pStyle w:val="6"/>
              <w:spacing w:before="1" w:line="225" w:lineRule="auto"/>
              <w:ind w:left="12"/>
              <w:rPr>
                <w:sz w:val="18"/>
                <w:szCs w:val="18"/>
              </w:rPr>
            </w:pPr>
            <w:r>
              <w:rPr>
                <w:spacing w:val="-3"/>
                <w:sz w:val="18"/>
                <w:szCs w:val="18"/>
              </w:rPr>
              <w:t>4.三极管的三种基本连接方式</w:t>
            </w:r>
            <w:r>
              <w:rPr>
                <w:spacing w:val="12"/>
                <w:sz w:val="18"/>
                <w:szCs w:val="18"/>
              </w:rPr>
              <w:t xml:space="preserve"> </w:t>
            </w:r>
            <w:r>
              <w:rPr>
                <w:spacing w:val="-1"/>
                <w:sz w:val="18"/>
                <w:szCs w:val="18"/>
              </w:rPr>
              <w:t>5.三极管的输入特性曲线</w:t>
            </w:r>
          </w:p>
          <w:p w14:paraId="1F2D5765">
            <w:pPr>
              <w:pStyle w:val="6"/>
              <w:spacing w:before="1" w:line="227" w:lineRule="auto"/>
              <w:ind w:left="12" w:right="319"/>
              <w:rPr>
                <w:sz w:val="18"/>
                <w:szCs w:val="18"/>
              </w:rPr>
            </w:pPr>
            <w:r>
              <w:rPr>
                <w:spacing w:val="1"/>
                <w:sz w:val="18"/>
                <w:szCs w:val="18"/>
              </w:rPr>
              <w:t>6.三极管的输出特性曲线</w:t>
            </w:r>
            <w:r>
              <w:rPr>
                <w:sz w:val="18"/>
                <w:szCs w:val="18"/>
              </w:rPr>
              <w:t xml:space="preserve"> </w:t>
            </w:r>
            <w:r>
              <w:rPr>
                <w:spacing w:val="-2"/>
                <w:sz w:val="18"/>
                <w:szCs w:val="18"/>
              </w:rPr>
              <w:t>7.三极管的主要参数</w:t>
            </w:r>
          </w:p>
        </w:tc>
        <w:tc>
          <w:tcPr>
            <w:tcW w:w="219" w:type="dxa"/>
            <w:vAlign w:val="top"/>
          </w:tcPr>
          <w:p w14:paraId="14BB5141">
            <w:pPr>
              <w:rPr>
                <w:rFonts w:ascii="Arial"/>
                <w:sz w:val="21"/>
              </w:rPr>
            </w:pPr>
          </w:p>
        </w:tc>
        <w:tc>
          <w:tcPr>
            <w:tcW w:w="230" w:type="dxa"/>
            <w:vAlign w:val="top"/>
          </w:tcPr>
          <w:p w14:paraId="5A8C1A2C">
            <w:pPr>
              <w:rPr>
                <w:rFonts w:ascii="Arial"/>
                <w:sz w:val="21"/>
              </w:rPr>
            </w:pPr>
          </w:p>
        </w:tc>
        <w:tc>
          <w:tcPr>
            <w:tcW w:w="230" w:type="dxa"/>
            <w:vAlign w:val="top"/>
          </w:tcPr>
          <w:p w14:paraId="555159A9">
            <w:pPr>
              <w:rPr>
                <w:rFonts w:ascii="Arial"/>
                <w:sz w:val="21"/>
              </w:rPr>
            </w:pPr>
          </w:p>
        </w:tc>
        <w:tc>
          <w:tcPr>
            <w:tcW w:w="234" w:type="dxa"/>
            <w:vAlign w:val="top"/>
          </w:tcPr>
          <w:p w14:paraId="70391649">
            <w:pPr>
              <w:rPr>
                <w:rFonts w:ascii="Arial"/>
                <w:sz w:val="21"/>
              </w:rPr>
            </w:pPr>
          </w:p>
        </w:tc>
      </w:tr>
      <w:tr w14:paraId="2DD997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42" w:hRule="atLeast"/>
        </w:trPr>
        <w:tc>
          <w:tcPr>
            <w:tcW w:w="893" w:type="dxa"/>
            <w:vAlign w:val="top"/>
          </w:tcPr>
          <w:p w14:paraId="272E6F7F">
            <w:pPr>
              <w:spacing w:line="261" w:lineRule="auto"/>
              <w:rPr>
                <w:rFonts w:ascii="Arial"/>
                <w:sz w:val="21"/>
              </w:rPr>
            </w:pPr>
          </w:p>
          <w:p w14:paraId="62AAA6F5">
            <w:pPr>
              <w:spacing w:line="261" w:lineRule="auto"/>
              <w:rPr>
                <w:rFonts w:ascii="Arial"/>
                <w:sz w:val="21"/>
              </w:rPr>
            </w:pPr>
          </w:p>
          <w:p w14:paraId="518F7691">
            <w:pPr>
              <w:pStyle w:val="6"/>
              <w:spacing w:before="59" w:line="219" w:lineRule="auto"/>
              <w:ind w:left="75"/>
              <w:rPr>
                <w:sz w:val="18"/>
                <w:szCs w:val="18"/>
              </w:rPr>
            </w:pPr>
            <w:r>
              <w:rPr>
                <w:spacing w:val="-2"/>
                <w:sz w:val="18"/>
                <w:szCs w:val="18"/>
              </w:rPr>
              <w:t>场效应管</w:t>
            </w:r>
          </w:p>
        </w:tc>
        <w:tc>
          <w:tcPr>
            <w:tcW w:w="2334" w:type="dxa"/>
            <w:vAlign w:val="top"/>
          </w:tcPr>
          <w:p w14:paraId="0C8C4522">
            <w:pPr>
              <w:pStyle w:val="6"/>
              <w:spacing w:before="153" w:line="226" w:lineRule="auto"/>
              <w:ind w:left="12" w:right="142"/>
              <w:rPr>
                <w:sz w:val="18"/>
                <w:szCs w:val="18"/>
              </w:rPr>
            </w:pPr>
            <w:r>
              <w:rPr>
                <w:sz w:val="18"/>
                <w:szCs w:val="18"/>
              </w:rPr>
              <w:t>1.场效应管与半导体三极管</w:t>
            </w:r>
            <w:r>
              <w:rPr>
                <w:spacing w:val="8"/>
                <w:sz w:val="18"/>
                <w:szCs w:val="18"/>
              </w:rPr>
              <w:t xml:space="preserve"> </w:t>
            </w:r>
            <w:r>
              <w:rPr>
                <w:spacing w:val="2"/>
                <w:sz w:val="18"/>
                <w:szCs w:val="18"/>
              </w:rPr>
              <w:t>的性能区别</w:t>
            </w:r>
          </w:p>
          <w:p w14:paraId="7315523D">
            <w:pPr>
              <w:pStyle w:val="6"/>
              <w:spacing w:line="222" w:lineRule="auto"/>
              <w:ind w:left="12" w:right="137"/>
              <w:rPr>
                <w:sz w:val="18"/>
                <w:szCs w:val="18"/>
              </w:rPr>
            </w:pPr>
            <w:r>
              <w:rPr>
                <w:spacing w:val="1"/>
                <w:sz w:val="18"/>
                <w:szCs w:val="18"/>
              </w:rPr>
              <w:t>2.场效应管的结构、分类与</w:t>
            </w:r>
            <w:r>
              <w:rPr>
                <w:sz w:val="18"/>
                <w:szCs w:val="18"/>
              </w:rPr>
              <w:t xml:space="preserve"> </w:t>
            </w:r>
            <w:r>
              <w:rPr>
                <w:spacing w:val="-3"/>
                <w:sz w:val="18"/>
                <w:szCs w:val="18"/>
              </w:rPr>
              <w:t>符号</w:t>
            </w:r>
          </w:p>
          <w:p w14:paraId="2B8B3D9F">
            <w:pPr>
              <w:pStyle w:val="6"/>
              <w:spacing w:before="6" w:line="219" w:lineRule="auto"/>
              <w:ind w:left="12"/>
              <w:rPr>
                <w:sz w:val="18"/>
                <w:szCs w:val="18"/>
              </w:rPr>
            </w:pPr>
            <w:r>
              <w:rPr>
                <w:spacing w:val="1"/>
                <w:sz w:val="18"/>
                <w:szCs w:val="18"/>
              </w:rPr>
              <w:t>3.场效应管的电压放大作用</w:t>
            </w:r>
          </w:p>
        </w:tc>
        <w:tc>
          <w:tcPr>
            <w:tcW w:w="219" w:type="dxa"/>
            <w:vAlign w:val="top"/>
          </w:tcPr>
          <w:p w14:paraId="7A969488">
            <w:pPr>
              <w:rPr>
                <w:rFonts w:ascii="Arial"/>
                <w:sz w:val="21"/>
              </w:rPr>
            </w:pPr>
          </w:p>
        </w:tc>
        <w:tc>
          <w:tcPr>
            <w:tcW w:w="230" w:type="dxa"/>
            <w:vAlign w:val="top"/>
          </w:tcPr>
          <w:p w14:paraId="04F2B2D5">
            <w:pPr>
              <w:rPr>
                <w:rFonts w:ascii="Arial"/>
                <w:sz w:val="21"/>
              </w:rPr>
            </w:pPr>
          </w:p>
        </w:tc>
        <w:tc>
          <w:tcPr>
            <w:tcW w:w="230" w:type="dxa"/>
            <w:vAlign w:val="top"/>
          </w:tcPr>
          <w:p w14:paraId="1FBC8E9B">
            <w:pPr>
              <w:rPr>
                <w:rFonts w:ascii="Arial"/>
                <w:sz w:val="21"/>
              </w:rPr>
            </w:pPr>
          </w:p>
        </w:tc>
        <w:tc>
          <w:tcPr>
            <w:tcW w:w="234" w:type="dxa"/>
            <w:vAlign w:val="top"/>
          </w:tcPr>
          <w:p w14:paraId="6BBC4D8B">
            <w:pPr>
              <w:rPr>
                <w:rFonts w:ascii="Arial"/>
                <w:sz w:val="21"/>
              </w:rPr>
            </w:pPr>
          </w:p>
        </w:tc>
      </w:tr>
    </w:tbl>
    <w:p w14:paraId="3BC61DC6">
      <w:pPr>
        <w:spacing w:before="129" w:line="222" w:lineRule="auto"/>
        <w:ind w:left="787"/>
        <w:rPr>
          <w:rFonts w:ascii="黑体" w:hAnsi="黑体" w:eastAsia="黑体" w:cs="黑体"/>
          <w:sz w:val="20"/>
          <w:szCs w:val="20"/>
        </w:rPr>
      </w:pPr>
      <w:r>
        <w:rPr>
          <w:rFonts w:ascii="黑体" w:hAnsi="黑体" w:eastAsia="黑体" w:cs="黑体"/>
          <w:b/>
          <w:bCs/>
          <w:spacing w:val="-7"/>
          <w:sz w:val="20"/>
          <w:szCs w:val="20"/>
        </w:rPr>
        <w:t>第二章</w:t>
      </w:r>
      <w:r>
        <w:rPr>
          <w:rFonts w:ascii="黑体" w:hAnsi="黑体" w:eastAsia="黑体" w:cs="黑体"/>
          <w:spacing w:val="16"/>
          <w:sz w:val="20"/>
          <w:szCs w:val="20"/>
        </w:rPr>
        <w:t xml:space="preserve">  </w:t>
      </w:r>
      <w:r>
        <w:rPr>
          <w:rFonts w:ascii="黑体" w:hAnsi="黑体" w:eastAsia="黑体" w:cs="黑体"/>
          <w:b/>
          <w:bCs/>
          <w:spacing w:val="-7"/>
          <w:sz w:val="20"/>
          <w:szCs w:val="20"/>
        </w:rPr>
        <w:t>晶体二极管应用电路</w:t>
      </w:r>
    </w:p>
    <w:p w14:paraId="752AC5A3">
      <w:pPr>
        <w:spacing w:line="70" w:lineRule="exact"/>
      </w:pPr>
    </w:p>
    <w:tbl>
      <w:tblPr>
        <w:tblStyle w:val="5"/>
        <w:tblW w:w="4130" w:type="dxa"/>
        <w:tblInd w:w="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34"/>
        <w:gridCol w:w="230"/>
        <w:gridCol w:w="230"/>
        <w:gridCol w:w="219"/>
        <w:gridCol w:w="224"/>
      </w:tblGrid>
      <w:tr w14:paraId="477276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9" w:hRule="atLeast"/>
        </w:trPr>
        <w:tc>
          <w:tcPr>
            <w:tcW w:w="893" w:type="dxa"/>
            <w:vMerge w:val="restart"/>
            <w:tcBorders>
              <w:top w:val="single" w:color="000000" w:sz="2" w:space="0"/>
              <w:bottom w:val="nil"/>
            </w:tcBorders>
            <w:vAlign w:val="top"/>
          </w:tcPr>
          <w:p w14:paraId="0EC3B93C">
            <w:pPr>
              <w:pStyle w:val="6"/>
              <w:spacing w:before="26" w:line="211" w:lineRule="auto"/>
              <w:ind w:left="257" w:right="1" w:hanging="240"/>
              <w:rPr>
                <w:sz w:val="18"/>
                <w:szCs w:val="18"/>
              </w:rPr>
            </w:pPr>
            <w:r>
              <w:rPr>
                <w:b/>
                <w:bCs/>
                <w:spacing w:val="-10"/>
                <w:sz w:val="18"/>
                <w:szCs w:val="18"/>
              </w:rPr>
              <w:t>知识与技能</w:t>
            </w:r>
            <w:r>
              <w:rPr>
                <w:spacing w:val="3"/>
                <w:sz w:val="18"/>
                <w:szCs w:val="18"/>
              </w:rPr>
              <w:t xml:space="preserve"> </w:t>
            </w:r>
            <w:r>
              <w:rPr>
                <w:b/>
                <w:bCs/>
                <w:spacing w:val="-4"/>
                <w:sz w:val="18"/>
                <w:szCs w:val="18"/>
              </w:rPr>
              <w:t>要点</w:t>
            </w:r>
          </w:p>
        </w:tc>
        <w:tc>
          <w:tcPr>
            <w:tcW w:w="2334" w:type="dxa"/>
            <w:vMerge w:val="restart"/>
            <w:tcBorders>
              <w:top w:val="single" w:color="000000" w:sz="2" w:space="0"/>
              <w:bottom w:val="nil"/>
            </w:tcBorders>
            <w:vAlign w:val="top"/>
          </w:tcPr>
          <w:p w14:paraId="3F100274">
            <w:pPr>
              <w:pStyle w:val="6"/>
              <w:spacing w:before="134" w:line="219" w:lineRule="auto"/>
              <w:ind w:left="854"/>
              <w:rPr>
                <w:sz w:val="18"/>
                <w:szCs w:val="18"/>
              </w:rPr>
            </w:pPr>
            <w:r>
              <w:rPr>
                <w:b/>
                <w:bCs/>
                <w:spacing w:val="5"/>
                <w:sz w:val="18"/>
                <w:szCs w:val="18"/>
              </w:rPr>
              <w:t>考试条目</w:t>
            </w:r>
          </w:p>
        </w:tc>
        <w:tc>
          <w:tcPr>
            <w:tcW w:w="903" w:type="dxa"/>
            <w:gridSpan w:val="4"/>
            <w:tcBorders>
              <w:top w:val="single" w:color="000000" w:sz="2" w:space="0"/>
              <w:bottom w:val="single" w:color="000000" w:sz="2" w:space="0"/>
            </w:tcBorders>
            <w:vAlign w:val="top"/>
          </w:tcPr>
          <w:p w14:paraId="26701AB2">
            <w:pPr>
              <w:pStyle w:val="6"/>
              <w:spacing w:before="24" w:line="199" w:lineRule="auto"/>
              <w:ind w:left="130"/>
              <w:rPr>
                <w:sz w:val="18"/>
                <w:szCs w:val="18"/>
              </w:rPr>
            </w:pPr>
            <w:r>
              <w:rPr>
                <w:b/>
                <w:bCs/>
                <w:spacing w:val="-4"/>
                <w:sz w:val="18"/>
                <w:szCs w:val="18"/>
              </w:rPr>
              <w:t>考试水平</w:t>
            </w:r>
          </w:p>
        </w:tc>
      </w:tr>
      <w:tr w14:paraId="48ACC4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4" w:hRule="atLeast"/>
        </w:trPr>
        <w:tc>
          <w:tcPr>
            <w:tcW w:w="893" w:type="dxa"/>
            <w:vMerge w:val="continue"/>
            <w:tcBorders>
              <w:top w:val="nil"/>
              <w:bottom w:val="single" w:color="000000" w:sz="2" w:space="0"/>
            </w:tcBorders>
            <w:vAlign w:val="top"/>
          </w:tcPr>
          <w:p w14:paraId="013AD0A1">
            <w:pPr>
              <w:rPr>
                <w:rFonts w:ascii="Arial"/>
                <w:sz w:val="21"/>
              </w:rPr>
            </w:pPr>
          </w:p>
        </w:tc>
        <w:tc>
          <w:tcPr>
            <w:tcW w:w="2334" w:type="dxa"/>
            <w:vMerge w:val="continue"/>
            <w:tcBorders>
              <w:top w:val="nil"/>
              <w:bottom w:val="single" w:color="000000" w:sz="2" w:space="0"/>
            </w:tcBorders>
            <w:vAlign w:val="top"/>
          </w:tcPr>
          <w:p w14:paraId="33FD1C32">
            <w:pPr>
              <w:rPr>
                <w:rFonts w:ascii="Arial"/>
                <w:sz w:val="21"/>
              </w:rPr>
            </w:pPr>
          </w:p>
        </w:tc>
        <w:tc>
          <w:tcPr>
            <w:tcW w:w="230" w:type="dxa"/>
            <w:tcBorders>
              <w:top w:val="single" w:color="000000" w:sz="2" w:space="0"/>
              <w:bottom w:val="single" w:color="000000" w:sz="2" w:space="0"/>
            </w:tcBorders>
            <w:vAlign w:val="top"/>
          </w:tcPr>
          <w:p w14:paraId="1C9BCAF0">
            <w:pPr>
              <w:pStyle w:val="6"/>
              <w:spacing w:before="68" w:line="135" w:lineRule="exact"/>
              <w:ind w:left="18"/>
              <w:rPr>
                <w:sz w:val="18"/>
                <w:szCs w:val="18"/>
              </w:rPr>
            </w:pPr>
            <w:r>
              <w:rPr>
                <w:position w:val="-2"/>
                <w:sz w:val="18"/>
                <w:szCs w:val="18"/>
              </w:rPr>
              <w:t>A</w:t>
            </w:r>
          </w:p>
        </w:tc>
        <w:tc>
          <w:tcPr>
            <w:tcW w:w="230" w:type="dxa"/>
            <w:tcBorders>
              <w:top w:val="single" w:color="000000" w:sz="2" w:space="0"/>
              <w:bottom w:val="single" w:color="000000" w:sz="2" w:space="0"/>
            </w:tcBorders>
            <w:vAlign w:val="top"/>
          </w:tcPr>
          <w:p w14:paraId="13012D4F">
            <w:pPr>
              <w:pStyle w:val="6"/>
              <w:spacing w:before="70" w:line="133" w:lineRule="exact"/>
              <w:ind w:left="20"/>
              <w:rPr>
                <w:sz w:val="18"/>
                <w:szCs w:val="18"/>
              </w:rPr>
            </w:pPr>
            <w:r>
              <w:rPr>
                <w:b/>
                <w:bCs/>
                <w:spacing w:val="-2"/>
                <w:position w:val="-2"/>
                <w:sz w:val="18"/>
                <w:szCs w:val="18"/>
              </w:rPr>
              <w:t>B</w:t>
            </w:r>
          </w:p>
        </w:tc>
        <w:tc>
          <w:tcPr>
            <w:tcW w:w="219" w:type="dxa"/>
            <w:tcBorders>
              <w:top w:val="single" w:color="000000" w:sz="2" w:space="0"/>
              <w:bottom w:val="single" w:color="000000" w:sz="2" w:space="0"/>
            </w:tcBorders>
            <w:vAlign w:val="top"/>
          </w:tcPr>
          <w:p w14:paraId="3CE79F3B">
            <w:pPr>
              <w:pStyle w:val="6"/>
              <w:spacing w:before="69" w:line="134" w:lineRule="exact"/>
              <w:ind w:left="18"/>
              <w:rPr>
                <w:sz w:val="18"/>
                <w:szCs w:val="18"/>
              </w:rPr>
            </w:pPr>
            <w:r>
              <w:rPr>
                <w:position w:val="-2"/>
                <w:sz w:val="18"/>
                <w:szCs w:val="18"/>
              </w:rPr>
              <w:t>C</w:t>
            </w:r>
          </w:p>
        </w:tc>
        <w:tc>
          <w:tcPr>
            <w:tcW w:w="224" w:type="dxa"/>
            <w:tcBorders>
              <w:top w:val="single" w:color="000000" w:sz="2" w:space="0"/>
              <w:bottom w:val="single" w:color="000000" w:sz="2" w:space="0"/>
            </w:tcBorders>
            <w:vAlign w:val="top"/>
          </w:tcPr>
          <w:p w14:paraId="6FA0D24D">
            <w:pPr>
              <w:pStyle w:val="6"/>
              <w:spacing w:before="70" w:line="133" w:lineRule="exact"/>
              <w:ind w:left="61"/>
              <w:rPr>
                <w:sz w:val="18"/>
                <w:szCs w:val="18"/>
              </w:rPr>
            </w:pPr>
            <w:r>
              <w:rPr>
                <w:b/>
                <w:bCs/>
                <w:spacing w:val="-2"/>
                <w:position w:val="-2"/>
                <w:sz w:val="18"/>
                <w:szCs w:val="18"/>
              </w:rPr>
              <w:t>D</w:t>
            </w:r>
          </w:p>
        </w:tc>
      </w:tr>
      <w:tr w14:paraId="58F118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85" w:hRule="atLeast"/>
        </w:trPr>
        <w:tc>
          <w:tcPr>
            <w:tcW w:w="893" w:type="dxa"/>
            <w:tcBorders>
              <w:top w:val="single" w:color="000000" w:sz="2" w:space="0"/>
              <w:bottom w:val="single" w:color="000000" w:sz="2" w:space="0"/>
            </w:tcBorders>
            <w:vAlign w:val="top"/>
          </w:tcPr>
          <w:p w14:paraId="748AEEF3">
            <w:pPr>
              <w:spacing w:line="271" w:lineRule="auto"/>
              <w:rPr>
                <w:rFonts w:ascii="Arial"/>
                <w:sz w:val="21"/>
              </w:rPr>
            </w:pPr>
          </w:p>
          <w:p w14:paraId="1F1BA7AA">
            <w:pPr>
              <w:spacing w:line="271" w:lineRule="auto"/>
              <w:rPr>
                <w:rFonts w:ascii="Arial"/>
                <w:sz w:val="21"/>
              </w:rPr>
            </w:pPr>
          </w:p>
          <w:p w14:paraId="103BB5F5">
            <w:pPr>
              <w:pStyle w:val="6"/>
              <w:spacing w:before="58" w:line="227" w:lineRule="auto"/>
              <w:ind w:left="254" w:right="96" w:hanging="179"/>
              <w:rPr>
                <w:sz w:val="18"/>
                <w:szCs w:val="18"/>
              </w:rPr>
            </w:pPr>
            <w:r>
              <w:rPr>
                <w:spacing w:val="-3"/>
                <w:sz w:val="18"/>
                <w:szCs w:val="18"/>
              </w:rPr>
              <w:t>单相整流</w:t>
            </w:r>
            <w:r>
              <w:rPr>
                <w:spacing w:val="2"/>
                <w:sz w:val="18"/>
                <w:szCs w:val="18"/>
              </w:rPr>
              <w:t xml:space="preserve"> </w:t>
            </w:r>
            <w:r>
              <w:rPr>
                <w:spacing w:val="3"/>
                <w:sz w:val="18"/>
                <w:szCs w:val="18"/>
              </w:rPr>
              <w:t>电路</w:t>
            </w:r>
          </w:p>
        </w:tc>
        <w:tc>
          <w:tcPr>
            <w:tcW w:w="2334" w:type="dxa"/>
            <w:tcBorders>
              <w:top w:val="single" w:color="000000" w:sz="2" w:space="0"/>
              <w:bottom w:val="single" w:color="000000" w:sz="2" w:space="0"/>
            </w:tcBorders>
            <w:vAlign w:val="top"/>
          </w:tcPr>
          <w:p w14:paraId="5466ABB5">
            <w:pPr>
              <w:pStyle w:val="6"/>
              <w:spacing w:before="70" w:line="206" w:lineRule="auto"/>
              <w:ind w:left="14"/>
              <w:rPr>
                <w:sz w:val="18"/>
                <w:szCs w:val="18"/>
              </w:rPr>
            </w:pPr>
            <w:r>
              <w:rPr>
                <w:b/>
                <w:bCs/>
                <w:spacing w:val="-2"/>
                <w:sz w:val="18"/>
                <w:szCs w:val="18"/>
              </w:rPr>
              <w:t>1.整流、整流器的概念</w:t>
            </w:r>
          </w:p>
          <w:p w14:paraId="339A3FB3">
            <w:pPr>
              <w:pStyle w:val="6"/>
              <w:spacing w:line="225" w:lineRule="auto"/>
              <w:ind w:left="14" w:right="158"/>
              <w:rPr>
                <w:sz w:val="18"/>
                <w:szCs w:val="18"/>
              </w:rPr>
            </w:pPr>
            <w:r>
              <w:rPr>
                <w:b/>
                <w:bCs/>
                <w:spacing w:val="-3"/>
                <w:sz w:val="18"/>
                <w:szCs w:val="18"/>
              </w:rPr>
              <w:t>2.单相半波整流和全波整流</w:t>
            </w:r>
            <w:r>
              <w:rPr>
                <w:spacing w:val="4"/>
                <w:sz w:val="18"/>
                <w:szCs w:val="18"/>
              </w:rPr>
              <w:t xml:space="preserve"> </w:t>
            </w:r>
            <w:r>
              <w:rPr>
                <w:b/>
                <w:bCs/>
                <w:spacing w:val="-1"/>
                <w:sz w:val="18"/>
                <w:szCs w:val="18"/>
              </w:rPr>
              <w:t>电路组成、波形图</w:t>
            </w:r>
          </w:p>
          <w:p w14:paraId="34175619">
            <w:pPr>
              <w:pStyle w:val="6"/>
              <w:spacing w:line="221" w:lineRule="auto"/>
              <w:ind w:left="23" w:hanging="9"/>
              <w:rPr>
                <w:sz w:val="18"/>
                <w:szCs w:val="18"/>
              </w:rPr>
            </w:pPr>
            <w:r>
              <w:rPr>
                <w:b/>
                <w:bCs/>
                <w:spacing w:val="-5"/>
                <w:sz w:val="18"/>
                <w:szCs w:val="18"/>
              </w:rPr>
              <w:t>3.桥式整流电路组成、电路图</w:t>
            </w:r>
            <w:r>
              <w:rPr>
                <w:spacing w:val="11"/>
                <w:sz w:val="18"/>
                <w:szCs w:val="18"/>
              </w:rPr>
              <w:t xml:space="preserve"> </w:t>
            </w:r>
            <w:r>
              <w:rPr>
                <w:b/>
                <w:bCs/>
                <w:spacing w:val="-4"/>
                <w:sz w:val="18"/>
                <w:szCs w:val="18"/>
              </w:rPr>
              <w:t>4.桥式整流电路二极管承受</w:t>
            </w:r>
          </w:p>
          <w:p w14:paraId="2720B4D0">
            <w:pPr>
              <w:pStyle w:val="6"/>
              <w:spacing w:line="220" w:lineRule="auto"/>
              <w:ind w:left="14"/>
              <w:rPr>
                <w:sz w:val="18"/>
                <w:szCs w:val="18"/>
              </w:rPr>
            </w:pPr>
            <w:r>
              <w:rPr>
                <w:b/>
                <w:bCs/>
                <w:spacing w:val="-4"/>
                <w:sz w:val="18"/>
                <w:szCs w:val="18"/>
              </w:rPr>
              <w:t>反压</w:t>
            </w:r>
          </w:p>
          <w:p w14:paraId="0E624C60">
            <w:pPr>
              <w:pStyle w:val="6"/>
              <w:spacing w:before="33" w:line="189" w:lineRule="auto"/>
              <w:ind w:left="14"/>
              <w:rPr>
                <w:sz w:val="18"/>
                <w:szCs w:val="18"/>
              </w:rPr>
            </w:pPr>
            <w:r>
              <w:rPr>
                <w:b/>
                <w:bCs/>
                <w:spacing w:val="-2"/>
                <w:sz w:val="18"/>
                <w:szCs w:val="18"/>
              </w:rPr>
              <w:t>5.滤波电路类型、电路图</w:t>
            </w:r>
          </w:p>
        </w:tc>
        <w:tc>
          <w:tcPr>
            <w:tcW w:w="230" w:type="dxa"/>
            <w:tcBorders>
              <w:top w:val="single" w:color="000000" w:sz="2" w:space="0"/>
              <w:bottom w:val="single" w:color="000000" w:sz="2" w:space="0"/>
            </w:tcBorders>
            <w:vAlign w:val="top"/>
          </w:tcPr>
          <w:p w14:paraId="2C178E8A">
            <w:pPr>
              <w:pStyle w:val="6"/>
              <w:spacing w:before="81" w:line="238" w:lineRule="auto"/>
              <w:ind w:left="18"/>
              <w:rPr>
                <w:sz w:val="18"/>
                <w:szCs w:val="18"/>
              </w:rPr>
            </w:pPr>
            <w:r>
              <w:rPr>
                <w:sz w:val="18"/>
                <w:szCs w:val="18"/>
              </w:rPr>
              <w:t>√</w:t>
            </w:r>
          </w:p>
        </w:tc>
        <w:tc>
          <w:tcPr>
            <w:tcW w:w="230" w:type="dxa"/>
            <w:tcBorders>
              <w:top w:val="single" w:color="000000" w:sz="2" w:space="0"/>
              <w:bottom w:val="single" w:color="000000" w:sz="2" w:space="0"/>
            </w:tcBorders>
            <w:vAlign w:val="top"/>
          </w:tcPr>
          <w:p w14:paraId="108B4BD5">
            <w:pPr>
              <w:rPr>
                <w:rFonts w:ascii="Arial"/>
                <w:sz w:val="21"/>
              </w:rPr>
            </w:pPr>
          </w:p>
        </w:tc>
        <w:tc>
          <w:tcPr>
            <w:tcW w:w="219" w:type="dxa"/>
            <w:tcBorders>
              <w:top w:val="single" w:color="000000" w:sz="2" w:space="0"/>
              <w:bottom w:val="single" w:color="000000" w:sz="2" w:space="0"/>
            </w:tcBorders>
            <w:vAlign w:val="top"/>
          </w:tcPr>
          <w:p w14:paraId="7694CF82">
            <w:pPr>
              <w:rPr>
                <w:rFonts w:ascii="Arial"/>
                <w:sz w:val="21"/>
              </w:rPr>
            </w:pPr>
          </w:p>
        </w:tc>
        <w:tc>
          <w:tcPr>
            <w:tcW w:w="224" w:type="dxa"/>
            <w:tcBorders>
              <w:top w:val="single" w:color="000000" w:sz="2" w:space="0"/>
              <w:bottom w:val="single" w:color="000000" w:sz="2" w:space="0"/>
            </w:tcBorders>
            <w:vAlign w:val="top"/>
          </w:tcPr>
          <w:p w14:paraId="6EFAFE75">
            <w:pPr>
              <w:spacing w:line="348" w:lineRule="auto"/>
              <w:rPr>
                <w:rFonts w:ascii="Arial"/>
                <w:sz w:val="21"/>
              </w:rPr>
            </w:pPr>
          </w:p>
          <w:p w14:paraId="684A7BCE">
            <w:pPr>
              <w:spacing w:line="349" w:lineRule="auto"/>
              <w:rPr>
                <w:rFonts w:ascii="Arial"/>
                <w:sz w:val="21"/>
              </w:rPr>
            </w:pPr>
          </w:p>
          <w:p w14:paraId="17372420">
            <w:pPr>
              <w:pStyle w:val="6"/>
              <w:spacing w:before="43" w:line="238" w:lineRule="auto"/>
              <w:ind w:left="39"/>
              <w:rPr>
                <w:sz w:val="13"/>
                <w:szCs w:val="13"/>
              </w:rPr>
            </w:pPr>
            <w:r>
              <w:rPr>
                <w:sz w:val="13"/>
                <w:szCs w:val="13"/>
              </w:rPr>
              <w:t>√</w:t>
            </w:r>
          </w:p>
        </w:tc>
      </w:tr>
    </w:tbl>
    <w:p w14:paraId="4CB04E6B">
      <w:pPr>
        <w:pStyle w:val="2"/>
        <w:spacing w:line="14" w:lineRule="auto"/>
        <w:rPr>
          <w:sz w:val="2"/>
        </w:rPr>
      </w:pPr>
    </w:p>
    <w:p w14:paraId="36575D11">
      <w:pPr>
        <w:spacing w:line="14" w:lineRule="auto"/>
        <w:rPr>
          <w:sz w:val="2"/>
          <w:szCs w:val="2"/>
        </w:rPr>
        <w:sectPr>
          <w:type w:val="continuous"/>
          <w:pgSz w:w="10660" w:h="15080"/>
          <w:pgMar w:top="400" w:right="885" w:bottom="925" w:left="1014" w:header="0" w:footer="705" w:gutter="0"/>
          <w:cols w:equalWidth="0" w:num="2">
            <w:col w:w="4501" w:space="100"/>
            <w:col w:w="4160"/>
          </w:cols>
        </w:sectPr>
      </w:pPr>
    </w:p>
    <w:p w14:paraId="51AE59A0">
      <w:pPr>
        <w:spacing w:before="10"/>
      </w:pPr>
    </w:p>
    <w:p w14:paraId="3B227B12">
      <w:pPr>
        <w:spacing w:before="10"/>
      </w:pPr>
    </w:p>
    <w:p w14:paraId="66E6F6F2">
      <w:pPr>
        <w:spacing w:before="10"/>
      </w:pPr>
    </w:p>
    <w:p w14:paraId="282A8A29">
      <w:pPr>
        <w:spacing w:before="9"/>
      </w:pPr>
    </w:p>
    <w:p w14:paraId="5AC7B643">
      <w:pPr>
        <w:sectPr>
          <w:footerReference r:id="rId36" w:type="default"/>
          <w:pgSz w:w="10660" w:h="15080"/>
          <w:pgMar w:top="400" w:right="1024" w:bottom="936" w:left="819" w:header="0" w:footer="715" w:gutter="0"/>
          <w:cols w:equalWidth="0" w:num="1">
            <w:col w:w="8816"/>
          </w:cols>
        </w:sectPr>
      </w:pPr>
    </w:p>
    <w:tbl>
      <w:tblPr>
        <w:tblStyle w:val="5"/>
        <w:tblW w:w="4140"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03"/>
        <w:gridCol w:w="2334"/>
        <w:gridCol w:w="220"/>
        <w:gridCol w:w="229"/>
        <w:gridCol w:w="230"/>
        <w:gridCol w:w="224"/>
      </w:tblGrid>
      <w:tr w14:paraId="075D98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3" w:hRule="atLeast"/>
        </w:trPr>
        <w:tc>
          <w:tcPr>
            <w:tcW w:w="903" w:type="dxa"/>
            <w:vMerge w:val="restart"/>
            <w:tcBorders>
              <w:bottom w:val="nil"/>
            </w:tcBorders>
            <w:vAlign w:val="top"/>
          </w:tcPr>
          <w:p w14:paraId="036E8399">
            <w:pPr>
              <w:pStyle w:val="6"/>
              <w:spacing w:before="22" w:line="199" w:lineRule="auto"/>
              <w:ind w:left="257" w:right="1" w:hanging="240"/>
              <w:rPr>
                <w:sz w:val="19"/>
                <w:szCs w:val="19"/>
              </w:rPr>
            </w:pPr>
            <w:r>
              <w:rPr>
                <w:b/>
                <w:bCs/>
                <w:spacing w:val="-20"/>
                <w:sz w:val="19"/>
                <w:szCs w:val="19"/>
              </w:rPr>
              <w:t>知识</w:t>
            </w:r>
            <w:r>
              <w:rPr>
                <w:b/>
                <w:bCs/>
                <w:spacing w:val="-19"/>
                <w:sz w:val="19"/>
                <w:szCs w:val="19"/>
              </w:rPr>
              <w:t>与技</w:t>
            </w:r>
            <w:r>
              <w:rPr>
                <w:b/>
                <w:bCs/>
                <w:spacing w:val="-12"/>
                <w:sz w:val="19"/>
                <w:szCs w:val="19"/>
              </w:rPr>
              <w:t>能</w:t>
            </w:r>
            <w:r>
              <w:rPr>
                <w:spacing w:val="3"/>
                <w:sz w:val="19"/>
                <w:szCs w:val="19"/>
              </w:rPr>
              <w:t xml:space="preserve"> </w:t>
            </w:r>
            <w:r>
              <w:rPr>
                <w:b/>
                <w:bCs/>
                <w:spacing w:val="-5"/>
                <w:sz w:val="19"/>
                <w:szCs w:val="19"/>
              </w:rPr>
              <w:t>要点</w:t>
            </w:r>
          </w:p>
        </w:tc>
        <w:tc>
          <w:tcPr>
            <w:tcW w:w="2334" w:type="dxa"/>
            <w:vMerge w:val="restart"/>
            <w:tcBorders>
              <w:bottom w:val="nil"/>
            </w:tcBorders>
            <w:vAlign w:val="top"/>
          </w:tcPr>
          <w:p w14:paraId="08B577E2">
            <w:pPr>
              <w:pStyle w:val="6"/>
              <w:spacing w:before="130" w:line="219" w:lineRule="auto"/>
              <w:ind w:left="854"/>
              <w:rPr>
                <w:sz w:val="19"/>
                <w:szCs w:val="19"/>
              </w:rPr>
            </w:pPr>
            <w:r>
              <w:rPr>
                <w:b/>
                <w:bCs/>
                <w:spacing w:val="5"/>
                <w:sz w:val="19"/>
                <w:szCs w:val="19"/>
              </w:rPr>
              <w:t>考试条目</w:t>
            </w:r>
          </w:p>
        </w:tc>
        <w:tc>
          <w:tcPr>
            <w:tcW w:w="903" w:type="dxa"/>
            <w:gridSpan w:val="4"/>
            <w:vAlign w:val="top"/>
          </w:tcPr>
          <w:p w14:paraId="559541CF">
            <w:pPr>
              <w:pStyle w:val="6"/>
              <w:spacing w:before="20" w:line="197" w:lineRule="auto"/>
              <w:ind w:right="17"/>
              <w:jc w:val="right"/>
              <w:rPr>
                <w:sz w:val="19"/>
                <w:szCs w:val="19"/>
              </w:rPr>
            </w:pPr>
            <w:r>
              <w:rPr>
                <w:b/>
                <w:bCs/>
                <w:spacing w:val="-4"/>
                <w:sz w:val="19"/>
                <w:szCs w:val="19"/>
              </w:rPr>
              <w:t>考试水平</w:t>
            </w:r>
          </w:p>
        </w:tc>
      </w:tr>
      <w:tr w14:paraId="6C0D1D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99" w:hRule="atLeast"/>
        </w:trPr>
        <w:tc>
          <w:tcPr>
            <w:tcW w:w="903" w:type="dxa"/>
            <w:vMerge w:val="continue"/>
            <w:tcBorders>
              <w:top w:val="nil"/>
            </w:tcBorders>
            <w:vAlign w:val="top"/>
          </w:tcPr>
          <w:p w14:paraId="2D27C0D5">
            <w:pPr>
              <w:rPr>
                <w:rFonts w:ascii="Arial"/>
                <w:sz w:val="21"/>
              </w:rPr>
            </w:pPr>
          </w:p>
        </w:tc>
        <w:tc>
          <w:tcPr>
            <w:tcW w:w="2334" w:type="dxa"/>
            <w:vMerge w:val="continue"/>
            <w:tcBorders>
              <w:top w:val="nil"/>
            </w:tcBorders>
            <w:vAlign w:val="top"/>
          </w:tcPr>
          <w:p w14:paraId="2073B677">
            <w:pPr>
              <w:rPr>
                <w:rFonts w:ascii="Arial"/>
                <w:sz w:val="21"/>
              </w:rPr>
            </w:pPr>
          </w:p>
        </w:tc>
        <w:tc>
          <w:tcPr>
            <w:tcW w:w="220" w:type="dxa"/>
            <w:vAlign w:val="top"/>
          </w:tcPr>
          <w:p w14:paraId="25C0BCC4">
            <w:pPr>
              <w:pStyle w:val="6"/>
              <w:spacing w:before="67" w:line="122" w:lineRule="exact"/>
              <w:ind w:left="17"/>
              <w:rPr>
                <w:sz w:val="19"/>
                <w:szCs w:val="19"/>
              </w:rPr>
            </w:pPr>
            <w:r>
              <w:rPr>
                <w:position w:val="-3"/>
                <w:sz w:val="19"/>
                <w:szCs w:val="19"/>
              </w:rPr>
              <w:t>A</w:t>
            </w:r>
          </w:p>
        </w:tc>
        <w:tc>
          <w:tcPr>
            <w:tcW w:w="229" w:type="dxa"/>
            <w:vAlign w:val="top"/>
          </w:tcPr>
          <w:p w14:paraId="392EE010">
            <w:pPr>
              <w:pStyle w:val="6"/>
              <w:spacing w:before="70" w:line="119" w:lineRule="exact"/>
              <w:ind w:left="60"/>
              <w:rPr>
                <w:sz w:val="19"/>
                <w:szCs w:val="19"/>
              </w:rPr>
            </w:pPr>
            <w:r>
              <w:rPr>
                <w:b/>
                <w:bCs/>
                <w:spacing w:val="-2"/>
                <w:position w:val="-3"/>
                <w:sz w:val="19"/>
                <w:szCs w:val="19"/>
              </w:rPr>
              <w:t>B</w:t>
            </w:r>
          </w:p>
        </w:tc>
        <w:tc>
          <w:tcPr>
            <w:tcW w:w="230" w:type="dxa"/>
            <w:vAlign w:val="top"/>
          </w:tcPr>
          <w:p w14:paraId="22B32FC7">
            <w:pPr>
              <w:pStyle w:val="6"/>
              <w:spacing w:before="68" w:line="121" w:lineRule="exact"/>
              <w:ind w:left="48"/>
              <w:rPr>
                <w:sz w:val="19"/>
                <w:szCs w:val="19"/>
              </w:rPr>
            </w:pPr>
            <w:r>
              <w:rPr>
                <w:position w:val="-3"/>
                <w:sz w:val="19"/>
                <w:szCs w:val="19"/>
              </w:rPr>
              <w:t>C</w:t>
            </w:r>
          </w:p>
        </w:tc>
        <w:tc>
          <w:tcPr>
            <w:tcW w:w="224" w:type="dxa"/>
            <w:vAlign w:val="top"/>
          </w:tcPr>
          <w:p w14:paraId="42BB71C0">
            <w:pPr>
              <w:pStyle w:val="6"/>
              <w:spacing w:before="70" w:line="119" w:lineRule="exact"/>
              <w:ind w:left="21"/>
              <w:rPr>
                <w:sz w:val="19"/>
                <w:szCs w:val="19"/>
              </w:rPr>
            </w:pPr>
            <w:r>
              <w:rPr>
                <w:b/>
                <w:bCs/>
                <w:spacing w:val="-2"/>
                <w:position w:val="-3"/>
                <w:sz w:val="19"/>
                <w:szCs w:val="19"/>
              </w:rPr>
              <w:t>D</w:t>
            </w:r>
          </w:p>
        </w:tc>
      </w:tr>
      <w:tr w14:paraId="14ACE5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37" w:hRule="atLeast"/>
        </w:trPr>
        <w:tc>
          <w:tcPr>
            <w:tcW w:w="903" w:type="dxa"/>
            <w:vAlign w:val="top"/>
          </w:tcPr>
          <w:p w14:paraId="167D3F59">
            <w:pPr>
              <w:spacing w:line="447" w:lineRule="auto"/>
              <w:rPr>
                <w:rFonts w:ascii="Arial"/>
                <w:sz w:val="21"/>
              </w:rPr>
            </w:pPr>
          </w:p>
          <w:p w14:paraId="29968D08">
            <w:pPr>
              <w:pStyle w:val="6"/>
              <w:spacing w:before="62" w:line="206" w:lineRule="auto"/>
              <w:ind w:left="155" w:right="157" w:firstLine="99"/>
              <w:rPr>
                <w:sz w:val="19"/>
                <w:szCs w:val="19"/>
              </w:rPr>
            </w:pPr>
            <w:r>
              <w:rPr>
                <w:spacing w:val="-5"/>
                <w:sz w:val="19"/>
                <w:szCs w:val="19"/>
              </w:rPr>
              <w:t>其他</w:t>
            </w:r>
            <w:r>
              <w:rPr>
                <w:sz w:val="19"/>
                <w:szCs w:val="19"/>
              </w:rPr>
              <w:t xml:space="preserve">  </w:t>
            </w:r>
            <w:r>
              <w:rPr>
                <w:spacing w:val="3"/>
                <w:sz w:val="19"/>
                <w:szCs w:val="19"/>
              </w:rPr>
              <w:t>二极管</w:t>
            </w:r>
          </w:p>
        </w:tc>
        <w:tc>
          <w:tcPr>
            <w:tcW w:w="2334" w:type="dxa"/>
            <w:vAlign w:val="top"/>
          </w:tcPr>
          <w:p w14:paraId="51D526EA">
            <w:pPr>
              <w:pStyle w:val="6"/>
              <w:spacing w:before="157" w:line="212" w:lineRule="auto"/>
              <w:ind w:left="14" w:right="335"/>
              <w:rPr>
                <w:sz w:val="19"/>
                <w:szCs w:val="19"/>
              </w:rPr>
            </w:pPr>
            <w:r>
              <w:rPr>
                <w:b/>
                <w:bCs/>
                <w:spacing w:val="-4"/>
                <w:sz w:val="19"/>
                <w:szCs w:val="19"/>
              </w:rPr>
              <w:t>1.发光二极管(LED)电路</w:t>
            </w:r>
            <w:r>
              <w:rPr>
                <w:spacing w:val="5"/>
                <w:sz w:val="19"/>
                <w:szCs w:val="19"/>
              </w:rPr>
              <w:t xml:space="preserve"> </w:t>
            </w:r>
            <w:r>
              <w:rPr>
                <w:b/>
                <w:bCs/>
                <w:spacing w:val="-4"/>
                <w:sz w:val="19"/>
                <w:szCs w:val="19"/>
              </w:rPr>
              <w:t>符号、特性</w:t>
            </w:r>
          </w:p>
          <w:p w14:paraId="3206EF04">
            <w:pPr>
              <w:pStyle w:val="6"/>
              <w:spacing w:before="3" w:line="214" w:lineRule="auto"/>
              <w:ind w:left="14" w:right="39"/>
              <w:rPr>
                <w:sz w:val="19"/>
                <w:szCs w:val="19"/>
              </w:rPr>
            </w:pPr>
            <w:r>
              <w:rPr>
                <w:b/>
                <w:bCs/>
                <w:spacing w:val="-3"/>
                <w:sz w:val="19"/>
                <w:szCs w:val="19"/>
              </w:rPr>
              <w:t>2.稳压二极管电路符号、主</w:t>
            </w:r>
            <w:r>
              <w:rPr>
                <w:spacing w:val="2"/>
                <w:sz w:val="19"/>
                <w:szCs w:val="19"/>
              </w:rPr>
              <w:t xml:space="preserve"> </w:t>
            </w:r>
            <w:r>
              <w:rPr>
                <w:b/>
                <w:bCs/>
                <w:spacing w:val="-4"/>
                <w:sz w:val="19"/>
                <w:szCs w:val="19"/>
              </w:rPr>
              <w:t>要参数</w:t>
            </w:r>
          </w:p>
          <w:p w14:paraId="41FD75EB">
            <w:pPr>
              <w:pStyle w:val="6"/>
              <w:spacing w:line="219" w:lineRule="auto"/>
              <w:ind w:left="14"/>
              <w:rPr>
                <w:sz w:val="19"/>
                <w:szCs w:val="19"/>
              </w:rPr>
            </w:pPr>
            <w:r>
              <w:rPr>
                <w:b/>
                <w:bCs/>
                <w:spacing w:val="-3"/>
                <w:sz w:val="19"/>
                <w:szCs w:val="19"/>
              </w:rPr>
              <w:t>3.光敏二极管的电路符号</w:t>
            </w:r>
          </w:p>
        </w:tc>
        <w:tc>
          <w:tcPr>
            <w:tcW w:w="220" w:type="dxa"/>
            <w:vAlign w:val="top"/>
          </w:tcPr>
          <w:p w14:paraId="10382C66">
            <w:pPr>
              <w:rPr>
                <w:rFonts w:ascii="Arial"/>
                <w:sz w:val="21"/>
              </w:rPr>
            </w:pPr>
          </w:p>
        </w:tc>
        <w:tc>
          <w:tcPr>
            <w:tcW w:w="229" w:type="dxa"/>
            <w:vAlign w:val="top"/>
          </w:tcPr>
          <w:p w14:paraId="0BA1A907">
            <w:pPr>
              <w:pStyle w:val="6"/>
              <w:spacing w:before="141" w:line="238" w:lineRule="auto"/>
              <w:ind w:left="48"/>
              <w:rPr>
                <w:sz w:val="13"/>
                <w:szCs w:val="13"/>
              </w:rPr>
            </w:pPr>
            <w:r>
              <w:rPr>
                <w:sz w:val="13"/>
                <w:szCs w:val="13"/>
              </w:rPr>
              <w:t>√</w:t>
            </w:r>
          </w:p>
          <w:p w14:paraId="2E8E2CE9">
            <w:pPr>
              <w:spacing w:line="352" w:lineRule="auto"/>
              <w:rPr>
                <w:rFonts w:ascii="Arial"/>
                <w:sz w:val="21"/>
              </w:rPr>
            </w:pPr>
          </w:p>
          <w:p w14:paraId="2A719F5A">
            <w:pPr>
              <w:spacing w:line="353" w:lineRule="auto"/>
              <w:rPr>
                <w:rFonts w:ascii="Arial"/>
                <w:sz w:val="21"/>
              </w:rPr>
            </w:pPr>
          </w:p>
          <w:p w14:paraId="3C9171D0">
            <w:pPr>
              <w:pStyle w:val="6"/>
              <w:spacing w:before="43" w:line="238" w:lineRule="auto"/>
              <w:ind w:left="48"/>
              <w:rPr>
                <w:sz w:val="13"/>
                <w:szCs w:val="13"/>
              </w:rPr>
            </w:pPr>
            <w:r>
              <w:rPr>
                <w:sz w:val="13"/>
                <w:szCs w:val="13"/>
              </w:rPr>
              <w:t>√</w:t>
            </w:r>
          </w:p>
        </w:tc>
        <w:tc>
          <w:tcPr>
            <w:tcW w:w="230" w:type="dxa"/>
            <w:vAlign w:val="top"/>
          </w:tcPr>
          <w:p w14:paraId="0ADD98D8">
            <w:pPr>
              <w:spacing w:line="287" w:lineRule="auto"/>
              <w:rPr>
                <w:rFonts w:ascii="Arial"/>
                <w:sz w:val="21"/>
              </w:rPr>
            </w:pPr>
          </w:p>
          <w:p w14:paraId="5DFFBC6D">
            <w:pPr>
              <w:spacing w:line="288" w:lineRule="auto"/>
              <w:rPr>
                <w:rFonts w:ascii="Arial"/>
                <w:sz w:val="21"/>
              </w:rPr>
            </w:pPr>
          </w:p>
          <w:p w14:paraId="11913FEE">
            <w:pPr>
              <w:pStyle w:val="6"/>
              <w:spacing w:before="42" w:line="238" w:lineRule="auto"/>
              <w:ind w:left="18"/>
              <w:rPr>
                <w:sz w:val="13"/>
                <w:szCs w:val="13"/>
              </w:rPr>
            </w:pPr>
            <w:r>
              <w:rPr>
                <w:sz w:val="13"/>
                <w:szCs w:val="13"/>
              </w:rPr>
              <w:t>√</w:t>
            </w:r>
          </w:p>
        </w:tc>
        <w:tc>
          <w:tcPr>
            <w:tcW w:w="224" w:type="dxa"/>
            <w:vAlign w:val="top"/>
          </w:tcPr>
          <w:p w14:paraId="68CB22A7">
            <w:pPr>
              <w:rPr>
                <w:rFonts w:ascii="Arial"/>
                <w:sz w:val="21"/>
              </w:rPr>
            </w:pPr>
          </w:p>
        </w:tc>
      </w:tr>
    </w:tbl>
    <w:p w14:paraId="0BEB1DC0">
      <w:pPr>
        <w:spacing w:before="129" w:line="222" w:lineRule="auto"/>
        <w:ind w:left="862"/>
        <w:rPr>
          <w:rFonts w:ascii="黑体" w:hAnsi="黑体" w:eastAsia="黑体" w:cs="黑体"/>
          <w:sz w:val="20"/>
          <w:szCs w:val="20"/>
        </w:rPr>
      </w:pPr>
      <w:r>
        <w:rPr>
          <w:rFonts w:ascii="黑体" w:hAnsi="黑体" w:eastAsia="黑体" w:cs="黑体"/>
          <w:b/>
          <w:bCs/>
          <w:spacing w:val="-7"/>
          <w:sz w:val="20"/>
          <w:szCs w:val="20"/>
        </w:rPr>
        <w:t>第三章</w:t>
      </w:r>
      <w:r>
        <w:rPr>
          <w:rFonts w:ascii="黑体" w:hAnsi="黑体" w:eastAsia="黑体" w:cs="黑体"/>
          <w:spacing w:val="14"/>
          <w:sz w:val="20"/>
          <w:szCs w:val="20"/>
        </w:rPr>
        <w:t xml:space="preserve">  </w:t>
      </w:r>
      <w:r>
        <w:rPr>
          <w:rFonts w:ascii="黑体" w:hAnsi="黑体" w:eastAsia="黑体" w:cs="黑体"/>
          <w:b/>
          <w:bCs/>
          <w:spacing w:val="-7"/>
          <w:sz w:val="20"/>
          <w:szCs w:val="20"/>
        </w:rPr>
        <w:t>三极管基本放大电路</w:t>
      </w:r>
    </w:p>
    <w:p w14:paraId="1308E8C0">
      <w:pPr>
        <w:spacing w:line="70" w:lineRule="exact"/>
      </w:pPr>
    </w:p>
    <w:tbl>
      <w:tblPr>
        <w:tblStyle w:val="5"/>
        <w:tblW w:w="4130" w:type="dxa"/>
        <w:tblInd w:w="7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83"/>
        <w:gridCol w:w="2344"/>
        <w:gridCol w:w="230"/>
        <w:gridCol w:w="220"/>
        <w:gridCol w:w="219"/>
        <w:gridCol w:w="234"/>
      </w:tblGrid>
      <w:tr w14:paraId="196163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4" w:hRule="atLeast"/>
        </w:trPr>
        <w:tc>
          <w:tcPr>
            <w:tcW w:w="883" w:type="dxa"/>
            <w:vMerge w:val="restart"/>
            <w:tcBorders>
              <w:bottom w:val="nil"/>
            </w:tcBorders>
            <w:vAlign w:val="top"/>
          </w:tcPr>
          <w:p w14:paraId="29069E53">
            <w:pPr>
              <w:pStyle w:val="6"/>
              <w:spacing w:before="30" w:line="207" w:lineRule="auto"/>
              <w:ind w:left="257" w:right="1" w:hanging="240"/>
              <w:rPr>
                <w:sz w:val="18"/>
                <w:szCs w:val="18"/>
              </w:rPr>
            </w:pPr>
            <w:r>
              <w:rPr>
                <w:b/>
                <w:bCs/>
                <w:spacing w:val="-13"/>
                <w:sz w:val="18"/>
                <w:szCs w:val="18"/>
              </w:rPr>
              <w:t>知</w:t>
            </w:r>
            <w:r>
              <w:rPr>
                <w:b/>
                <w:bCs/>
                <w:spacing w:val="-12"/>
                <w:sz w:val="18"/>
                <w:szCs w:val="18"/>
              </w:rPr>
              <w:t>识与技</w:t>
            </w:r>
            <w:r>
              <w:rPr>
                <w:b/>
                <w:bCs/>
                <w:spacing w:val="-11"/>
                <w:sz w:val="18"/>
                <w:szCs w:val="18"/>
              </w:rPr>
              <w:t>能</w:t>
            </w:r>
            <w:r>
              <w:rPr>
                <w:spacing w:val="3"/>
                <w:sz w:val="18"/>
                <w:szCs w:val="18"/>
              </w:rPr>
              <w:t xml:space="preserve"> </w:t>
            </w:r>
            <w:r>
              <w:rPr>
                <w:b/>
                <w:bCs/>
                <w:spacing w:val="-4"/>
                <w:sz w:val="18"/>
                <w:szCs w:val="18"/>
              </w:rPr>
              <w:t>要点</w:t>
            </w:r>
          </w:p>
        </w:tc>
        <w:tc>
          <w:tcPr>
            <w:tcW w:w="2344" w:type="dxa"/>
            <w:vMerge w:val="restart"/>
            <w:tcBorders>
              <w:bottom w:val="nil"/>
            </w:tcBorders>
            <w:vAlign w:val="top"/>
          </w:tcPr>
          <w:p w14:paraId="6721053A">
            <w:pPr>
              <w:pStyle w:val="6"/>
              <w:spacing w:before="129" w:line="219" w:lineRule="auto"/>
              <w:ind w:left="864"/>
              <w:rPr>
                <w:sz w:val="18"/>
                <w:szCs w:val="18"/>
              </w:rPr>
            </w:pPr>
            <w:r>
              <w:rPr>
                <w:b/>
                <w:bCs/>
                <w:spacing w:val="5"/>
                <w:sz w:val="18"/>
                <w:szCs w:val="18"/>
              </w:rPr>
              <w:t>考试条目</w:t>
            </w:r>
          </w:p>
        </w:tc>
        <w:tc>
          <w:tcPr>
            <w:tcW w:w="903" w:type="dxa"/>
            <w:gridSpan w:val="4"/>
            <w:vAlign w:val="top"/>
          </w:tcPr>
          <w:p w14:paraId="6BEA3124">
            <w:pPr>
              <w:pStyle w:val="6"/>
              <w:spacing w:before="19" w:line="199" w:lineRule="auto"/>
              <w:ind w:left="130"/>
              <w:rPr>
                <w:sz w:val="18"/>
                <w:szCs w:val="18"/>
              </w:rPr>
            </w:pPr>
            <w:r>
              <w:rPr>
                <w:b/>
                <w:bCs/>
                <w:spacing w:val="-4"/>
                <w:sz w:val="18"/>
                <w:szCs w:val="18"/>
              </w:rPr>
              <w:t>考试水平</w:t>
            </w:r>
          </w:p>
        </w:tc>
      </w:tr>
      <w:tr w14:paraId="564774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0" w:hRule="atLeast"/>
        </w:trPr>
        <w:tc>
          <w:tcPr>
            <w:tcW w:w="883" w:type="dxa"/>
            <w:vMerge w:val="continue"/>
            <w:tcBorders>
              <w:top w:val="nil"/>
            </w:tcBorders>
            <w:vAlign w:val="top"/>
          </w:tcPr>
          <w:p w14:paraId="68534281">
            <w:pPr>
              <w:rPr>
                <w:rFonts w:ascii="Arial"/>
                <w:sz w:val="21"/>
              </w:rPr>
            </w:pPr>
          </w:p>
        </w:tc>
        <w:tc>
          <w:tcPr>
            <w:tcW w:w="2344" w:type="dxa"/>
            <w:vMerge w:val="continue"/>
            <w:tcBorders>
              <w:top w:val="nil"/>
            </w:tcBorders>
            <w:vAlign w:val="top"/>
          </w:tcPr>
          <w:p w14:paraId="7E3C08BC">
            <w:pPr>
              <w:rPr>
                <w:rFonts w:ascii="Arial"/>
                <w:sz w:val="21"/>
              </w:rPr>
            </w:pPr>
          </w:p>
        </w:tc>
        <w:tc>
          <w:tcPr>
            <w:tcW w:w="230" w:type="dxa"/>
            <w:vAlign w:val="top"/>
          </w:tcPr>
          <w:p w14:paraId="6F3DE8DA">
            <w:pPr>
              <w:pStyle w:val="6"/>
              <w:spacing w:before="63" w:line="136" w:lineRule="exact"/>
              <w:ind w:left="70"/>
              <w:rPr>
                <w:sz w:val="18"/>
                <w:szCs w:val="18"/>
              </w:rPr>
            </w:pPr>
            <w:r>
              <w:rPr>
                <w:b/>
                <w:bCs/>
                <w:spacing w:val="-2"/>
                <w:position w:val="-2"/>
                <w:sz w:val="18"/>
                <w:szCs w:val="18"/>
              </w:rPr>
              <w:t>A</w:t>
            </w:r>
          </w:p>
        </w:tc>
        <w:tc>
          <w:tcPr>
            <w:tcW w:w="220" w:type="dxa"/>
            <w:vAlign w:val="top"/>
          </w:tcPr>
          <w:p w14:paraId="2F6F4717">
            <w:pPr>
              <w:pStyle w:val="6"/>
              <w:spacing w:before="66" w:line="133" w:lineRule="exact"/>
              <w:ind w:left="20"/>
              <w:rPr>
                <w:sz w:val="18"/>
                <w:szCs w:val="18"/>
              </w:rPr>
            </w:pPr>
            <w:r>
              <w:rPr>
                <w:b/>
                <w:bCs/>
                <w:spacing w:val="-2"/>
                <w:position w:val="-2"/>
                <w:sz w:val="18"/>
                <w:szCs w:val="18"/>
              </w:rPr>
              <w:t>B</w:t>
            </w:r>
          </w:p>
        </w:tc>
        <w:tc>
          <w:tcPr>
            <w:tcW w:w="219" w:type="dxa"/>
            <w:vAlign w:val="top"/>
          </w:tcPr>
          <w:p w14:paraId="70E7C2A2">
            <w:pPr>
              <w:pStyle w:val="6"/>
              <w:spacing w:before="63" w:line="136" w:lineRule="exact"/>
              <w:ind w:left="60"/>
              <w:rPr>
                <w:sz w:val="18"/>
                <w:szCs w:val="18"/>
              </w:rPr>
            </w:pPr>
            <w:r>
              <w:rPr>
                <w:b/>
                <w:bCs/>
                <w:spacing w:val="-2"/>
                <w:position w:val="-2"/>
                <w:sz w:val="18"/>
                <w:szCs w:val="18"/>
              </w:rPr>
              <w:t>C</w:t>
            </w:r>
          </w:p>
        </w:tc>
        <w:tc>
          <w:tcPr>
            <w:tcW w:w="234" w:type="dxa"/>
            <w:vAlign w:val="top"/>
          </w:tcPr>
          <w:p w14:paraId="1DA09CFD">
            <w:pPr>
              <w:pStyle w:val="6"/>
              <w:spacing w:before="66" w:line="133" w:lineRule="exact"/>
              <w:ind w:left="51"/>
              <w:rPr>
                <w:sz w:val="18"/>
                <w:szCs w:val="18"/>
              </w:rPr>
            </w:pPr>
            <w:r>
              <w:rPr>
                <w:b/>
                <w:bCs/>
                <w:spacing w:val="-2"/>
                <w:position w:val="-2"/>
                <w:sz w:val="18"/>
                <w:szCs w:val="18"/>
              </w:rPr>
              <w:t>D</w:t>
            </w:r>
          </w:p>
        </w:tc>
      </w:tr>
      <w:tr w14:paraId="3927F8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78" w:hRule="atLeast"/>
        </w:trPr>
        <w:tc>
          <w:tcPr>
            <w:tcW w:w="883" w:type="dxa"/>
            <w:vAlign w:val="top"/>
          </w:tcPr>
          <w:p w14:paraId="5A72BF00">
            <w:pPr>
              <w:pStyle w:val="6"/>
              <w:spacing w:before="147" w:line="233" w:lineRule="auto"/>
              <w:ind w:left="254" w:right="85" w:hanging="180"/>
              <w:rPr>
                <w:sz w:val="18"/>
                <w:szCs w:val="18"/>
              </w:rPr>
            </w:pPr>
            <w:r>
              <w:rPr>
                <w:spacing w:val="-2"/>
                <w:sz w:val="18"/>
                <w:szCs w:val="18"/>
              </w:rPr>
              <w:t>放大电路</w:t>
            </w:r>
            <w:r>
              <w:rPr>
                <w:sz w:val="18"/>
                <w:szCs w:val="18"/>
              </w:rPr>
              <w:t xml:space="preserve"> </w:t>
            </w:r>
            <w:r>
              <w:rPr>
                <w:spacing w:val="-2"/>
                <w:sz w:val="18"/>
                <w:szCs w:val="18"/>
              </w:rPr>
              <w:t>概述</w:t>
            </w:r>
          </w:p>
        </w:tc>
        <w:tc>
          <w:tcPr>
            <w:tcW w:w="2344" w:type="dxa"/>
            <w:vAlign w:val="top"/>
          </w:tcPr>
          <w:p w14:paraId="5DB3745F">
            <w:pPr>
              <w:pStyle w:val="6"/>
              <w:spacing w:before="157" w:line="215" w:lineRule="auto"/>
              <w:ind w:left="12"/>
              <w:rPr>
                <w:sz w:val="18"/>
                <w:szCs w:val="18"/>
              </w:rPr>
            </w:pPr>
            <w:r>
              <w:rPr>
                <w:sz w:val="18"/>
                <w:szCs w:val="18"/>
              </w:rPr>
              <w:t>1.放大器的两个条件</w:t>
            </w:r>
          </w:p>
          <w:p w14:paraId="538BB622">
            <w:pPr>
              <w:pStyle w:val="6"/>
              <w:spacing w:line="218" w:lineRule="auto"/>
              <w:ind w:left="12"/>
              <w:rPr>
                <w:sz w:val="18"/>
                <w:szCs w:val="18"/>
              </w:rPr>
            </w:pPr>
            <w:r>
              <w:rPr>
                <w:spacing w:val="-1"/>
                <w:sz w:val="18"/>
                <w:szCs w:val="18"/>
              </w:rPr>
              <w:t>2.对放大器的两个基本要求</w:t>
            </w:r>
          </w:p>
        </w:tc>
        <w:tc>
          <w:tcPr>
            <w:tcW w:w="230" w:type="dxa"/>
            <w:vAlign w:val="top"/>
          </w:tcPr>
          <w:p w14:paraId="144CC4FF">
            <w:pPr>
              <w:rPr>
                <w:rFonts w:ascii="Arial"/>
                <w:sz w:val="21"/>
              </w:rPr>
            </w:pPr>
          </w:p>
        </w:tc>
        <w:tc>
          <w:tcPr>
            <w:tcW w:w="220" w:type="dxa"/>
            <w:vAlign w:val="top"/>
          </w:tcPr>
          <w:p w14:paraId="5E90F7EB">
            <w:pPr>
              <w:rPr>
                <w:rFonts w:ascii="Arial"/>
                <w:sz w:val="21"/>
              </w:rPr>
            </w:pPr>
          </w:p>
        </w:tc>
        <w:tc>
          <w:tcPr>
            <w:tcW w:w="219" w:type="dxa"/>
            <w:vAlign w:val="top"/>
          </w:tcPr>
          <w:p w14:paraId="468C4C53">
            <w:pPr>
              <w:rPr>
                <w:rFonts w:ascii="Arial"/>
                <w:sz w:val="21"/>
              </w:rPr>
            </w:pPr>
          </w:p>
        </w:tc>
        <w:tc>
          <w:tcPr>
            <w:tcW w:w="234" w:type="dxa"/>
            <w:vAlign w:val="top"/>
          </w:tcPr>
          <w:p w14:paraId="1CDE22BF">
            <w:pPr>
              <w:rPr>
                <w:rFonts w:ascii="Arial"/>
                <w:sz w:val="21"/>
              </w:rPr>
            </w:pPr>
          </w:p>
        </w:tc>
      </w:tr>
      <w:tr w14:paraId="3D8E85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16" w:hRule="atLeast"/>
        </w:trPr>
        <w:tc>
          <w:tcPr>
            <w:tcW w:w="883" w:type="dxa"/>
            <w:vAlign w:val="top"/>
          </w:tcPr>
          <w:p w14:paraId="489A6D03">
            <w:pPr>
              <w:spacing w:line="348" w:lineRule="auto"/>
              <w:rPr>
                <w:rFonts w:ascii="Arial"/>
                <w:sz w:val="21"/>
              </w:rPr>
            </w:pPr>
          </w:p>
          <w:p w14:paraId="341868A4">
            <w:pPr>
              <w:spacing w:line="349" w:lineRule="auto"/>
              <w:rPr>
                <w:rFonts w:ascii="Arial"/>
                <w:sz w:val="21"/>
              </w:rPr>
            </w:pPr>
          </w:p>
          <w:p w14:paraId="1DB621AC">
            <w:pPr>
              <w:pStyle w:val="6"/>
              <w:spacing w:before="59" w:line="219" w:lineRule="auto"/>
              <w:ind w:left="74"/>
              <w:rPr>
                <w:sz w:val="18"/>
                <w:szCs w:val="18"/>
              </w:rPr>
            </w:pPr>
            <w:r>
              <w:rPr>
                <w:spacing w:val="-2"/>
                <w:sz w:val="18"/>
                <w:szCs w:val="18"/>
              </w:rPr>
              <w:t>三极管基</w:t>
            </w:r>
          </w:p>
          <w:p w14:paraId="17F0502B">
            <w:pPr>
              <w:pStyle w:val="6"/>
              <w:spacing w:before="25" w:line="216" w:lineRule="auto"/>
              <w:ind w:left="165"/>
              <w:rPr>
                <w:sz w:val="18"/>
                <w:szCs w:val="18"/>
              </w:rPr>
            </w:pPr>
            <w:r>
              <w:rPr>
                <w:spacing w:val="-2"/>
                <w:sz w:val="18"/>
                <w:szCs w:val="18"/>
              </w:rPr>
              <w:t>本放大</w:t>
            </w:r>
          </w:p>
          <w:p w14:paraId="227B1A31">
            <w:pPr>
              <w:pStyle w:val="6"/>
              <w:spacing w:line="219" w:lineRule="auto"/>
              <w:ind w:left="254"/>
              <w:rPr>
                <w:sz w:val="18"/>
                <w:szCs w:val="18"/>
              </w:rPr>
            </w:pPr>
            <w:r>
              <w:rPr>
                <w:spacing w:val="3"/>
                <w:sz w:val="18"/>
                <w:szCs w:val="18"/>
              </w:rPr>
              <w:t>电路</w:t>
            </w:r>
          </w:p>
        </w:tc>
        <w:tc>
          <w:tcPr>
            <w:tcW w:w="2344" w:type="dxa"/>
            <w:vAlign w:val="top"/>
          </w:tcPr>
          <w:p w14:paraId="69580E6D">
            <w:pPr>
              <w:pStyle w:val="6"/>
              <w:spacing w:before="110" w:line="229" w:lineRule="auto"/>
              <w:ind w:left="12" w:right="334"/>
              <w:rPr>
                <w:sz w:val="18"/>
                <w:szCs w:val="18"/>
              </w:rPr>
            </w:pPr>
            <w:r>
              <w:rPr>
                <w:sz w:val="18"/>
                <w:szCs w:val="18"/>
              </w:rPr>
              <w:t>1.基本(共射极)放大电路</w:t>
            </w:r>
            <w:r>
              <w:rPr>
                <w:spacing w:val="6"/>
                <w:sz w:val="18"/>
                <w:szCs w:val="18"/>
              </w:rPr>
              <w:t xml:space="preserve"> </w:t>
            </w:r>
            <w:r>
              <w:rPr>
                <w:spacing w:val="2"/>
                <w:sz w:val="18"/>
                <w:szCs w:val="18"/>
              </w:rPr>
              <w:t>的组成</w:t>
            </w:r>
          </w:p>
          <w:p w14:paraId="3DB26220">
            <w:pPr>
              <w:pStyle w:val="6"/>
              <w:spacing w:before="3" w:line="215" w:lineRule="auto"/>
              <w:ind w:left="12"/>
              <w:rPr>
                <w:sz w:val="18"/>
                <w:szCs w:val="18"/>
              </w:rPr>
            </w:pPr>
            <w:r>
              <w:rPr>
                <w:spacing w:val="-1"/>
                <w:sz w:val="18"/>
                <w:szCs w:val="18"/>
              </w:rPr>
              <w:t>2.基本放大电路的原理</w:t>
            </w:r>
          </w:p>
          <w:p w14:paraId="415F3FF6">
            <w:pPr>
              <w:pStyle w:val="6"/>
              <w:spacing w:before="1" w:line="222" w:lineRule="auto"/>
              <w:ind w:left="12"/>
              <w:rPr>
                <w:sz w:val="18"/>
                <w:szCs w:val="18"/>
              </w:rPr>
            </w:pPr>
            <w:r>
              <w:rPr>
                <w:spacing w:val="-2"/>
                <w:sz w:val="18"/>
                <w:szCs w:val="18"/>
              </w:rPr>
              <w:t>3.基本放大电器的直流通路、</w:t>
            </w:r>
            <w:r>
              <w:rPr>
                <w:spacing w:val="8"/>
                <w:sz w:val="18"/>
                <w:szCs w:val="18"/>
              </w:rPr>
              <w:t xml:space="preserve"> </w:t>
            </w:r>
            <w:r>
              <w:rPr>
                <w:spacing w:val="-7"/>
                <w:sz w:val="18"/>
                <w:szCs w:val="18"/>
              </w:rPr>
              <w:t>交流通路电路</w:t>
            </w:r>
          </w:p>
          <w:p w14:paraId="512CDB71">
            <w:pPr>
              <w:pStyle w:val="6"/>
              <w:spacing w:before="6" w:line="219" w:lineRule="auto"/>
              <w:ind w:left="12"/>
              <w:rPr>
                <w:sz w:val="18"/>
                <w:szCs w:val="18"/>
              </w:rPr>
            </w:pPr>
            <w:r>
              <w:rPr>
                <w:spacing w:val="-1"/>
                <w:sz w:val="18"/>
                <w:szCs w:val="18"/>
              </w:rPr>
              <w:t>4.放大电路的性能指标</w:t>
            </w:r>
          </w:p>
          <w:p w14:paraId="622B3B64">
            <w:pPr>
              <w:pStyle w:val="6"/>
              <w:spacing w:before="25" w:line="216" w:lineRule="auto"/>
              <w:ind w:left="12" w:right="130" w:firstLine="10"/>
              <w:jc w:val="both"/>
              <w:rPr>
                <w:sz w:val="18"/>
                <w:szCs w:val="18"/>
              </w:rPr>
            </w:pPr>
            <w:r>
              <w:rPr>
                <w:spacing w:val="1"/>
                <w:sz w:val="18"/>
                <w:szCs w:val="18"/>
              </w:rPr>
              <w:t>5.放大器的输入电阻、输出</w:t>
            </w:r>
            <w:r>
              <w:rPr>
                <w:spacing w:val="7"/>
                <w:sz w:val="18"/>
                <w:szCs w:val="18"/>
              </w:rPr>
              <w:t xml:space="preserve"> </w:t>
            </w:r>
            <w:r>
              <w:rPr>
                <w:spacing w:val="2"/>
                <w:sz w:val="18"/>
                <w:szCs w:val="18"/>
              </w:rPr>
              <w:t xml:space="preserve">电阻、静态工作点、放大倍 </w:t>
            </w:r>
            <w:r>
              <w:rPr>
                <w:spacing w:val="-2"/>
                <w:sz w:val="18"/>
                <w:szCs w:val="18"/>
              </w:rPr>
              <w:t>数的估算</w:t>
            </w:r>
          </w:p>
        </w:tc>
        <w:tc>
          <w:tcPr>
            <w:tcW w:w="230" w:type="dxa"/>
            <w:vAlign w:val="top"/>
          </w:tcPr>
          <w:p w14:paraId="649490B0">
            <w:pPr>
              <w:rPr>
                <w:rFonts w:ascii="Arial"/>
                <w:sz w:val="21"/>
              </w:rPr>
            </w:pPr>
          </w:p>
        </w:tc>
        <w:tc>
          <w:tcPr>
            <w:tcW w:w="220" w:type="dxa"/>
            <w:vAlign w:val="top"/>
          </w:tcPr>
          <w:p w14:paraId="10DD13A9">
            <w:pPr>
              <w:rPr>
                <w:rFonts w:ascii="Arial"/>
                <w:sz w:val="21"/>
              </w:rPr>
            </w:pPr>
          </w:p>
        </w:tc>
        <w:tc>
          <w:tcPr>
            <w:tcW w:w="219" w:type="dxa"/>
            <w:vAlign w:val="top"/>
          </w:tcPr>
          <w:p w14:paraId="1D95356A">
            <w:pPr>
              <w:rPr>
                <w:rFonts w:ascii="Arial"/>
                <w:sz w:val="21"/>
              </w:rPr>
            </w:pPr>
          </w:p>
        </w:tc>
        <w:tc>
          <w:tcPr>
            <w:tcW w:w="234" w:type="dxa"/>
            <w:vAlign w:val="top"/>
          </w:tcPr>
          <w:p w14:paraId="3BC487A6">
            <w:pPr>
              <w:rPr>
                <w:rFonts w:ascii="Arial"/>
                <w:sz w:val="21"/>
              </w:rPr>
            </w:pPr>
          </w:p>
        </w:tc>
      </w:tr>
      <w:tr w14:paraId="70F15E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98" w:hRule="atLeast"/>
        </w:trPr>
        <w:tc>
          <w:tcPr>
            <w:tcW w:w="883" w:type="dxa"/>
            <w:vAlign w:val="top"/>
          </w:tcPr>
          <w:p w14:paraId="08C1D85B">
            <w:pPr>
              <w:pStyle w:val="6"/>
              <w:spacing w:before="122" w:line="224" w:lineRule="auto"/>
              <w:ind w:left="74" w:right="63"/>
              <w:jc w:val="both"/>
              <w:rPr>
                <w:sz w:val="18"/>
                <w:szCs w:val="18"/>
              </w:rPr>
            </w:pPr>
            <w:r>
              <w:rPr>
                <w:spacing w:val="2"/>
                <w:sz w:val="18"/>
                <w:szCs w:val="18"/>
              </w:rPr>
              <w:t xml:space="preserve">具有稳定 </w:t>
            </w:r>
            <w:r>
              <w:rPr>
                <w:spacing w:val="3"/>
                <w:sz w:val="18"/>
                <w:szCs w:val="18"/>
              </w:rPr>
              <w:t>工作点的</w:t>
            </w:r>
            <w:r>
              <w:rPr>
                <w:spacing w:val="1"/>
                <w:sz w:val="18"/>
                <w:szCs w:val="18"/>
              </w:rPr>
              <w:t xml:space="preserve"> </w:t>
            </w:r>
            <w:r>
              <w:rPr>
                <w:spacing w:val="-2"/>
                <w:sz w:val="18"/>
                <w:szCs w:val="18"/>
              </w:rPr>
              <w:t>放大电路</w:t>
            </w:r>
          </w:p>
        </w:tc>
        <w:tc>
          <w:tcPr>
            <w:tcW w:w="2344" w:type="dxa"/>
            <w:vAlign w:val="top"/>
          </w:tcPr>
          <w:p w14:paraId="3D60CD91">
            <w:pPr>
              <w:pStyle w:val="6"/>
              <w:spacing w:before="114" w:line="213" w:lineRule="auto"/>
              <w:ind w:left="12" w:right="152"/>
              <w:rPr>
                <w:sz w:val="18"/>
                <w:szCs w:val="18"/>
              </w:rPr>
            </w:pPr>
            <w:r>
              <w:rPr>
                <w:sz w:val="18"/>
                <w:szCs w:val="18"/>
              </w:rPr>
              <w:t>1.分压式偏置电路的结构及</w:t>
            </w:r>
            <w:r>
              <w:rPr>
                <w:spacing w:val="8"/>
                <w:sz w:val="18"/>
                <w:szCs w:val="18"/>
              </w:rPr>
              <w:t xml:space="preserve"> </w:t>
            </w:r>
            <w:r>
              <w:rPr>
                <w:spacing w:val="-2"/>
                <w:sz w:val="18"/>
                <w:szCs w:val="18"/>
              </w:rPr>
              <w:t>工作原理</w:t>
            </w:r>
          </w:p>
          <w:p w14:paraId="0611FAAD">
            <w:pPr>
              <w:pStyle w:val="6"/>
              <w:spacing w:before="23" w:line="219" w:lineRule="auto"/>
              <w:ind w:left="12"/>
              <w:rPr>
                <w:sz w:val="18"/>
                <w:szCs w:val="18"/>
              </w:rPr>
            </w:pPr>
            <w:r>
              <w:rPr>
                <w:spacing w:val="-1"/>
                <w:sz w:val="18"/>
                <w:szCs w:val="18"/>
              </w:rPr>
              <w:t>2.静态工作点的计算</w:t>
            </w:r>
          </w:p>
        </w:tc>
        <w:tc>
          <w:tcPr>
            <w:tcW w:w="230" w:type="dxa"/>
            <w:vAlign w:val="top"/>
          </w:tcPr>
          <w:p w14:paraId="4C21AF17">
            <w:pPr>
              <w:rPr>
                <w:rFonts w:ascii="Arial"/>
                <w:sz w:val="21"/>
              </w:rPr>
            </w:pPr>
          </w:p>
        </w:tc>
        <w:tc>
          <w:tcPr>
            <w:tcW w:w="220" w:type="dxa"/>
            <w:vAlign w:val="top"/>
          </w:tcPr>
          <w:p w14:paraId="3824766D">
            <w:pPr>
              <w:rPr>
                <w:rFonts w:ascii="Arial"/>
                <w:sz w:val="21"/>
              </w:rPr>
            </w:pPr>
          </w:p>
        </w:tc>
        <w:tc>
          <w:tcPr>
            <w:tcW w:w="219" w:type="dxa"/>
            <w:vAlign w:val="top"/>
          </w:tcPr>
          <w:p w14:paraId="758998F0">
            <w:pPr>
              <w:rPr>
                <w:rFonts w:ascii="Arial"/>
                <w:sz w:val="21"/>
              </w:rPr>
            </w:pPr>
          </w:p>
        </w:tc>
        <w:tc>
          <w:tcPr>
            <w:tcW w:w="234" w:type="dxa"/>
            <w:vAlign w:val="top"/>
          </w:tcPr>
          <w:p w14:paraId="241C480C">
            <w:pPr>
              <w:rPr>
                <w:rFonts w:ascii="Arial"/>
                <w:sz w:val="21"/>
              </w:rPr>
            </w:pPr>
          </w:p>
        </w:tc>
      </w:tr>
      <w:tr w14:paraId="3A0325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73" w:hRule="atLeast"/>
        </w:trPr>
        <w:tc>
          <w:tcPr>
            <w:tcW w:w="883" w:type="dxa"/>
            <w:vAlign w:val="top"/>
          </w:tcPr>
          <w:p w14:paraId="00E432FA">
            <w:pPr>
              <w:pStyle w:val="6"/>
              <w:spacing w:before="236" w:line="219" w:lineRule="auto"/>
              <w:ind w:left="74"/>
              <w:rPr>
                <w:sz w:val="18"/>
                <w:szCs w:val="18"/>
              </w:rPr>
            </w:pPr>
            <w:r>
              <w:rPr>
                <w:spacing w:val="-2"/>
                <w:sz w:val="18"/>
                <w:szCs w:val="18"/>
              </w:rPr>
              <w:t>共集、共</w:t>
            </w:r>
          </w:p>
          <w:p w14:paraId="24DAFA87">
            <w:pPr>
              <w:pStyle w:val="6"/>
              <w:spacing w:before="16" w:line="220" w:lineRule="auto"/>
              <w:ind w:left="165"/>
              <w:rPr>
                <w:sz w:val="18"/>
                <w:szCs w:val="18"/>
              </w:rPr>
            </w:pPr>
            <w:r>
              <w:rPr>
                <w:spacing w:val="-2"/>
                <w:sz w:val="18"/>
                <w:szCs w:val="18"/>
              </w:rPr>
              <w:t>基放大</w:t>
            </w:r>
          </w:p>
          <w:p w14:paraId="665B6FEE">
            <w:pPr>
              <w:pStyle w:val="6"/>
              <w:spacing w:before="25" w:line="219" w:lineRule="auto"/>
              <w:ind w:left="254"/>
              <w:rPr>
                <w:sz w:val="18"/>
                <w:szCs w:val="18"/>
              </w:rPr>
            </w:pPr>
            <w:r>
              <w:rPr>
                <w:spacing w:val="3"/>
                <w:sz w:val="18"/>
                <w:szCs w:val="18"/>
              </w:rPr>
              <w:t>电路</w:t>
            </w:r>
          </w:p>
        </w:tc>
        <w:tc>
          <w:tcPr>
            <w:tcW w:w="2344" w:type="dxa"/>
            <w:vAlign w:val="top"/>
          </w:tcPr>
          <w:p w14:paraId="502B6120">
            <w:pPr>
              <w:pStyle w:val="6"/>
              <w:spacing w:before="136" w:line="219" w:lineRule="auto"/>
              <w:ind w:left="12"/>
              <w:rPr>
                <w:sz w:val="18"/>
                <w:szCs w:val="18"/>
              </w:rPr>
            </w:pPr>
            <w:r>
              <w:rPr>
                <w:sz w:val="18"/>
                <w:szCs w:val="18"/>
              </w:rPr>
              <w:t>1.共集电极放大电路典型电</w:t>
            </w:r>
          </w:p>
          <w:p w14:paraId="72E4FC5D">
            <w:pPr>
              <w:pStyle w:val="6"/>
              <w:spacing w:before="5" w:line="228" w:lineRule="auto"/>
              <w:ind w:left="22"/>
              <w:rPr>
                <w:sz w:val="18"/>
                <w:szCs w:val="18"/>
              </w:rPr>
            </w:pPr>
            <w:r>
              <w:rPr>
                <w:spacing w:val="-3"/>
                <w:sz w:val="18"/>
                <w:szCs w:val="18"/>
              </w:rPr>
              <w:t>路、直流通路、交流通路特点</w:t>
            </w:r>
            <w:r>
              <w:rPr>
                <w:spacing w:val="9"/>
                <w:sz w:val="18"/>
                <w:szCs w:val="18"/>
              </w:rPr>
              <w:t xml:space="preserve"> </w:t>
            </w:r>
            <w:r>
              <w:rPr>
                <w:spacing w:val="-2"/>
                <w:sz w:val="18"/>
                <w:szCs w:val="18"/>
              </w:rPr>
              <w:t>2.共基电极放大电路交流通</w:t>
            </w:r>
          </w:p>
          <w:p w14:paraId="3EBB53B4">
            <w:pPr>
              <w:pStyle w:val="6"/>
              <w:spacing w:before="16" w:line="219" w:lineRule="auto"/>
              <w:ind w:left="12"/>
              <w:rPr>
                <w:sz w:val="18"/>
                <w:szCs w:val="18"/>
              </w:rPr>
            </w:pPr>
            <w:r>
              <w:rPr>
                <w:spacing w:val="5"/>
                <w:sz w:val="18"/>
                <w:szCs w:val="18"/>
              </w:rPr>
              <w:t>路特点</w:t>
            </w:r>
          </w:p>
        </w:tc>
        <w:tc>
          <w:tcPr>
            <w:tcW w:w="230" w:type="dxa"/>
            <w:vAlign w:val="top"/>
          </w:tcPr>
          <w:p w14:paraId="57C1FAB5">
            <w:pPr>
              <w:spacing w:line="285" w:lineRule="auto"/>
              <w:rPr>
                <w:rFonts w:ascii="Arial"/>
                <w:sz w:val="21"/>
              </w:rPr>
            </w:pPr>
          </w:p>
          <w:p w14:paraId="6EEC1484">
            <w:pPr>
              <w:spacing w:line="286" w:lineRule="auto"/>
              <w:rPr>
                <w:rFonts w:ascii="Arial"/>
                <w:sz w:val="21"/>
              </w:rPr>
            </w:pPr>
          </w:p>
          <w:p w14:paraId="79808C90">
            <w:pPr>
              <w:pStyle w:val="6"/>
              <w:spacing w:before="59" w:line="182" w:lineRule="auto"/>
              <w:ind w:left="68"/>
              <w:rPr>
                <w:sz w:val="18"/>
                <w:szCs w:val="18"/>
              </w:rPr>
            </w:pPr>
            <w:r>
              <w:rPr>
                <w:sz w:val="18"/>
                <w:szCs w:val="18"/>
              </w:rPr>
              <w:t>V</w:t>
            </w:r>
          </w:p>
        </w:tc>
        <w:tc>
          <w:tcPr>
            <w:tcW w:w="220" w:type="dxa"/>
            <w:vAlign w:val="top"/>
          </w:tcPr>
          <w:p w14:paraId="3362E2C1">
            <w:pPr>
              <w:rPr>
                <w:rFonts w:ascii="Arial"/>
                <w:sz w:val="21"/>
              </w:rPr>
            </w:pPr>
          </w:p>
        </w:tc>
        <w:tc>
          <w:tcPr>
            <w:tcW w:w="219" w:type="dxa"/>
            <w:vAlign w:val="top"/>
          </w:tcPr>
          <w:p w14:paraId="59490B01">
            <w:pPr>
              <w:pStyle w:val="6"/>
              <w:spacing w:before="115" w:line="238" w:lineRule="auto"/>
              <w:ind w:left="48"/>
              <w:rPr>
                <w:sz w:val="12"/>
                <w:szCs w:val="12"/>
              </w:rPr>
            </w:pPr>
            <w:r>
              <w:rPr>
                <w:sz w:val="12"/>
                <w:szCs w:val="12"/>
              </w:rPr>
              <w:t>√</w:t>
            </w:r>
          </w:p>
        </w:tc>
        <w:tc>
          <w:tcPr>
            <w:tcW w:w="234" w:type="dxa"/>
            <w:vAlign w:val="top"/>
          </w:tcPr>
          <w:p w14:paraId="69C5264E">
            <w:pPr>
              <w:rPr>
                <w:rFonts w:ascii="Arial"/>
                <w:sz w:val="21"/>
              </w:rPr>
            </w:pPr>
          </w:p>
        </w:tc>
      </w:tr>
    </w:tbl>
    <w:p w14:paraId="4A99CFBA">
      <w:pPr>
        <w:spacing w:before="118" w:line="221" w:lineRule="auto"/>
        <w:ind w:left="1062"/>
        <w:rPr>
          <w:rFonts w:ascii="黑体" w:hAnsi="黑体" w:eastAsia="黑体" w:cs="黑体"/>
          <w:sz w:val="20"/>
          <w:szCs w:val="20"/>
        </w:rPr>
      </w:pPr>
      <w:r>
        <w:rPr>
          <w:rFonts w:ascii="黑体" w:hAnsi="黑体" w:eastAsia="黑体" w:cs="黑体"/>
          <w:b/>
          <w:bCs/>
          <w:spacing w:val="-8"/>
          <w:sz w:val="20"/>
          <w:szCs w:val="20"/>
        </w:rPr>
        <w:t>第四章</w:t>
      </w:r>
      <w:r>
        <w:rPr>
          <w:rFonts w:ascii="黑体" w:hAnsi="黑体" w:eastAsia="黑体" w:cs="黑体"/>
          <w:spacing w:val="15"/>
          <w:sz w:val="20"/>
          <w:szCs w:val="20"/>
        </w:rPr>
        <w:t xml:space="preserve">  </w:t>
      </w:r>
      <w:r>
        <w:rPr>
          <w:rFonts w:ascii="黑体" w:hAnsi="黑体" w:eastAsia="黑体" w:cs="黑体"/>
          <w:b/>
          <w:bCs/>
          <w:spacing w:val="-8"/>
          <w:sz w:val="20"/>
          <w:szCs w:val="20"/>
        </w:rPr>
        <w:t>负反馈放大电路</w:t>
      </w:r>
    </w:p>
    <w:p w14:paraId="39C79E90">
      <w:pPr>
        <w:spacing w:line="72" w:lineRule="exact"/>
      </w:pPr>
    </w:p>
    <w:tbl>
      <w:tblPr>
        <w:tblStyle w:val="5"/>
        <w:tblW w:w="4130"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34"/>
        <w:gridCol w:w="220"/>
        <w:gridCol w:w="229"/>
        <w:gridCol w:w="230"/>
        <w:gridCol w:w="224"/>
      </w:tblGrid>
      <w:tr w14:paraId="467D2F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9" w:hRule="atLeast"/>
        </w:trPr>
        <w:tc>
          <w:tcPr>
            <w:tcW w:w="893" w:type="dxa"/>
            <w:vMerge w:val="restart"/>
            <w:tcBorders>
              <w:top w:val="single" w:color="000000" w:sz="2" w:space="0"/>
              <w:bottom w:val="nil"/>
            </w:tcBorders>
            <w:vAlign w:val="top"/>
          </w:tcPr>
          <w:p w14:paraId="779C5058">
            <w:pPr>
              <w:pStyle w:val="6"/>
              <w:spacing w:before="35" w:line="202" w:lineRule="auto"/>
              <w:ind w:left="257" w:right="1" w:hanging="240"/>
              <w:rPr>
                <w:sz w:val="18"/>
                <w:szCs w:val="18"/>
              </w:rPr>
            </w:pPr>
            <w:r>
              <w:rPr>
                <w:b/>
                <w:bCs/>
                <w:spacing w:val="-10"/>
                <w:sz w:val="18"/>
                <w:szCs w:val="18"/>
              </w:rPr>
              <w:t>知识与技能</w:t>
            </w:r>
            <w:r>
              <w:rPr>
                <w:spacing w:val="3"/>
                <w:sz w:val="18"/>
                <w:szCs w:val="18"/>
              </w:rPr>
              <w:t xml:space="preserve"> </w:t>
            </w:r>
            <w:r>
              <w:rPr>
                <w:b/>
                <w:bCs/>
                <w:spacing w:val="-4"/>
                <w:sz w:val="18"/>
                <w:szCs w:val="18"/>
              </w:rPr>
              <w:t>要点</w:t>
            </w:r>
          </w:p>
        </w:tc>
        <w:tc>
          <w:tcPr>
            <w:tcW w:w="2334" w:type="dxa"/>
            <w:vMerge w:val="restart"/>
            <w:tcBorders>
              <w:top w:val="single" w:color="000000" w:sz="2" w:space="0"/>
              <w:bottom w:val="nil"/>
            </w:tcBorders>
            <w:vAlign w:val="top"/>
          </w:tcPr>
          <w:p w14:paraId="68A308EB">
            <w:pPr>
              <w:pStyle w:val="6"/>
              <w:spacing w:before="134" w:line="219" w:lineRule="auto"/>
              <w:ind w:left="844"/>
              <w:rPr>
                <w:sz w:val="18"/>
                <w:szCs w:val="18"/>
              </w:rPr>
            </w:pPr>
            <w:r>
              <w:rPr>
                <w:b/>
                <w:bCs/>
                <w:spacing w:val="5"/>
                <w:sz w:val="18"/>
                <w:szCs w:val="18"/>
              </w:rPr>
              <w:t>考试条目</w:t>
            </w:r>
          </w:p>
        </w:tc>
        <w:tc>
          <w:tcPr>
            <w:tcW w:w="903" w:type="dxa"/>
            <w:gridSpan w:val="4"/>
            <w:tcBorders>
              <w:top w:val="single" w:color="000000" w:sz="2" w:space="0"/>
              <w:bottom w:val="single" w:color="000000" w:sz="2" w:space="0"/>
            </w:tcBorders>
            <w:vAlign w:val="top"/>
          </w:tcPr>
          <w:p w14:paraId="1E171949">
            <w:pPr>
              <w:pStyle w:val="6"/>
              <w:spacing w:before="24" w:line="199" w:lineRule="auto"/>
              <w:ind w:left="130"/>
              <w:rPr>
                <w:sz w:val="18"/>
                <w:szCs w:val="18"/>
              </w:rPr>
            </w:pPr>
            <w:r>
              <w:rPr>
                <w:b/>
                <w:bCs/>
                <w:spacing w:val="-4"/>
                <w:sz w:val="18"/>
                <w:szCs w:val="18"/>
              </w:rPr>
              <w:t>考试水平</w:t>
            </w:r>
          </w:p>
        </w:tc>
      </w:tr>
      <w:tr w14:paraId="573BD9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5" w:hRule="atLeast"/>
        </w:trPr>
        <w:tc>
          <w:tcPr>
            <w:tcW w:w="893" w:type="dxa"/>
            <w:vMerge w:val="continue"/>
            <w:tcBorders>
              <w:top w:val="nil"/>
              <w:bottom w:val="single" w:color="000000" w:sz="2" w:space="0"/>
            </w:tcBorders>
            <w:vAlign w:val="top"/>
          </w:tcPr>
          <w:p w14:paraId="5E3F0EA9">
            <w:pPr>
              <w:rPr>
                <w:rFonts w:ascii="Arial"/>
                <w:sz w:val="21"/>
              </w:rPr>
            </w:pPr>
          </w:p>
        </w:tc>
        <w:tc>
          <w:tcPr>
            <w:tcW w:w="2334" w:type="dxa"/>
            <w:vMerge w:val="continue"/>
            <w:tcBorders>
              <w:top w:val="nil"/>
              <w:bottom w:val="single" w:color="000000" w:sz="2" w:space="0"/>
            </w:tcBorders>
            <w:vAlign w:val="top"/>
          </w:tcPr>
          <w:p w14:paraId="411E7BE1">
            <w:pPr>
              <w:rPr>
                <w:rFonts w:ascii="Arial"/>
                <w:sz w:val="21"/>
              </w:rPr>
            </w:pPr>
          </w:p>
        </w:tc>
        <w:tc>
          <w:tcPr>
            <w:tcW w:w="220" w:type="dxa"/>
            <w:tcBorders>
              <w:top w:val="single" w:color="000000" w:sz="2" w:space="0"/>
              <w:bottom w:val="single" w:color="000000" w:sz="2" w:space="0"/>
            </w:tcBorders>
            <w:vAlign w:val="top"/>
          </w:tcPr>
          <w:p w14:paraId="48FF071C">
            <w:pPr>
              <w:pStyle w:val="6"/>
              <w:spacing w:before="48" w:line="146" w:lineRule="exact"/>
              <w:ind w:left="37"/>
              <w:rPr>
                <w:sz w:val="18"/>
                <w:szCs w:val="18"/>
              </w:rPr>
            </w:pPr>
            <w:r>
              <w:rPr>
                <w:position w:val="-2"/>
                <w:sz w:val="18"/>
                <w:szCs w:val="18"/>
              </w:rPr>
              <w:t>A</w:t>
            </w:r>
          </w:p>
        </w:tc>
        <w:tc>
          <w:tcPr>
            <w:tcW w:w="229" w:type="dxa"/>
            <w:tcBorders>
              <w:top w:val="single" w:color="000000" w:sz="2" w:space="0"/>
              <w:bottom w:val="single" w:color="000000" w:sz="2" w:space="0"/>
            </w:tcBorders>
            <w:vAlign w:val="top"/>
          </w:tcPr>
          <w:p w14:paraId="6BDA7353">
            <w:pPr>
              <w:pStyle w:val="6"/>
              <w:spacing w:before="51" w:line="143" w:lineRule="exact"/>
              <w:ind w:left="17"/>
              <w:rPr>
                <w:sz w:val="18"/>
                <w:szCs w:val="18"/>
              </w:rPr>
            </w:pPr>
            <w:r>
              <w:rPr>
                <w:position w:val="-2"/>
                <w:sz w:val="18"/>
                <w:szCs w:val="18"/>
              </w:rPr>
              <w:t>B</w:t>
            </w:r>
          </w:p>
        </w:tc>
        <w:tc>
          <w:tcPr>
            <w:tcW w:w="230" w:type="dxa"/>
            <w:tcBorders>
              <w:top w:val="single" w:color="000000" w:sz="2" w:space="0"/>
              <w:bottom w:val="single" w:color="000000" w:sz="2" w:space="0"/>
            </w:tcBorders>
            <w:vAlign w:val="top"/>
          </w:tcPr>
          <w:p w14:paraId="2B5C2503">
            <w:pPr>
              <w:pStyle w:val="6"/>
              <w:spacing w:before="49" w:line="146" w:lineRule="exact"/>
              <w:ind w:left="48"/>
              <w:rPr>
                <w:sz w:val="18"/>
                <w:szCs w:val="18"/>
              </w:rPr>
            </w:pPr>
            <w:r>
              <w:rPr>
                <w:position w:val="-2"/>
                <w:sz w:val="18"/>
                <w:szCs w:val="18"/>
              </w:rPr>
              <w:t>C</w:t>
            </w:r>
          </w:p>
        </w:tc>
        <w:tc>
          <w:tcPr>
            <w:tcW w:w="224" w:type="dxa"/>
            <w:tcBorders>
              <w:top w:val="single" w:color="000000" w:sz="2" w:space="0"/>
              <w:bottom w:val="single" w:color="000000" w:sz="2" w:space="0"/>
            </w:tcBorders>
            <w:vAlign w:val="top"/>
          </w:tcPr>
          <w:p w14:paraId="253FE85E">
            <w:pPr>
              <w:pStyle w:val="6"/>
              <w:spacing w:before="51" w:line="143" w:lineRule="exact"/>
              <w:ind w:left="48"/>
              <w:rPr>
                <w:sz w:val="18"/>
                <w:szCs w:val="18"/>
              </w:rPr>
            </w:pPr>
            <w:r>
              <w:rPr>
                <w:position w:val="-2"/>
                <w:sz w:val="18"/>
                <w:szCs w:val="18"/>
              </w:rPr>
              <w:t>D</w:t>
            </w:r>
          </w:p>
        </w:tc>
      </w:tr>
      <w:tr w14:paraId="18D73E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34" w:hRule="atLeast"/>
        </w:trPr>
        <w:tc>
          <w:tcPr>
            <w:tcW w:w="893" w:type="dxa"/>
            <w:tcBorders>
              <w:top w:val="single" w:color="000000" w:sz="2" w:space="0"/>
              <w:bottom w:val="single" w:color="000000" w:sz="2" w:space="0"/>
            </w:tcBorders>
            <w:vAlign w:val="top"/>
          </w:tcPr>
          <w:p w14:paraId="0730C67A">
            <w:pPr>
              <w:pStyle w:val="6"/>
              <w:spacing w:before="273" w:line="220" w:lineRule="auto"/>
              <w:ind w:left="74"/>
              <w:rPr>
                <w:sz w:val="18"/>
                <w:szCs w:val="18"/>
              </w:rPr>
            </w:pPr>
            <w:r>
              <w:rPr>
                <w:spacing w:val="-2"/>
                <w:sz w:val="18"/>
                <w:szCs w:val="18"/>
              </w:rPr>
              <w:t>反馈的基</w:t>
            </w:r>
          </w:p>
          <w:p w14:paraId="7E8049CC">
            <w:pPr>
              <w:pStyle w:val="6"/>
              <w:spacing w:before="33" w:line="219" w:lineRule="auto"/>
              <w:ind w:left="165"/>
              <w:rPr>
                <w:sz w:val="18"/>
                <w:szCs w:val="18"/>
              </w:rPr>
            </w:pPr>
            <w:r>
              <w:rPr>
                <w:spacing w:val="-2"/>
                <w:sz w:val="18"/>
                <w:szCs w:val="18"/>
              </w:rPr>
              <w:t>本概念</w:t>
            </w:r>
          </w:p>
        </w:tc>
        <w:tc>
          <w:tcPr>
            <w:tcW w:w="2334" w:type="dxa"/>
            <w:tcBorders>
              <w:top w:val="single" w:color="000000" w:sz="2" w:space="0"/>
              <w:bottom w:val="single" w:color="000000" w:sz="2" w:space="0"/>
            </w:tcBorders>
            <w:vAlign w:val="top"/>
          </w:tcPr>
          <w:p w14:paraId="6DFFE9F4">
            <w:pPr>
              <w:pStyle w:val="6"/>
              <w:spacing w:before="293" w:line="219" w:lineRule="auto"/>
              <w:ind w:left="11"/>
              <w:rPr>
                <w:sz w:val="18"/>
                <w:szCs w:val="18"/>
              </w:rPr>
            </w:pPr>
            <w:r>
              <w:rPr>
                <w:sz w:val="18"/>
                <w:szCs w:val="18"/>
              </w:rPr>
              <w:t>1.反馈放大电路的概念</w:t>
            </w:r>
          </w:p>
          <w:p w14:paraId="04C3B597">
            <w:pPr>
              <w:pStyle w:val="6"/>
              <w:spacing w:before="6" w:line="219" w:lineRule="auto"/>
              <w:jc w:val="right"/>
              <w:rPr>
                <w:sz w:val="18"/>
                <w:szCs w:val="18"/>
              </w:rPr>
            </w:pPr>
            <w:r>
              <w:rPr>
                <w:spacing w:val="-2"/>
                <w:sz w:val="18"/>
                <w:szCs w:val="18"/>
              </w:rPr>
              <w:t>2.反馈放大电路的形式及作用</w:t>
            </w:r>
          </w:p>
        </w:tc>
        <w:tc>
          <w:tcPr>
            <w:tcW w:w="220" w:type="dxa"/>
            <w:tcBorders>
              <w:top w:val="single" w:color="000000" w:sz="2" w:space="0"/>
              <w:bottom w:val="single" w:color="000000" w:sz="2" w:space="0"/>
            </w:tcBorders>
            <w:vAlign w:val="top"/>
          </w:tcPr>
          <w:p w14:paraId="1427EC8C">
            <w:pPr>
              <w:rPr>
                <w:rFonts w:ascii="Arial"/>
                <w:sz w:val="21"/>
              </w:rPr>
            </w:pPr>
          </w:p>
        </w:tc>
        <w:tc>
          <w:tcPr>
            <w:tcW w:w="229" w:type="dxa"/>
            <w:tcBorders>
              <w:top w:val="single" w:color="000000" w:sz="2" w:space="0"/>
              <w:bottom w:val="single" w:color="000000" w:sz="2" w:space="0"/>
            </w:tcBorders>
            <w:vAlign w:val="top"/>
          </w:tcPr>
          <w:p w14:paraId="577BE3BB">
            <w:pPr>
              <w:rPr>
                <w:rFonts w:ascii="Arial"/>
                <w:sz w:val="21"/>
              </w:rPr>
            </w:pPr>
          </w:p>
        </w:tc>
        <w:tc>
          <w:tcPr>
            <w:tcW w:w="230" w:type="dxa"/>
            <w:tcBorders>
              <w:top w:val="single" w:color="000000" w:sz="2" w:space="0"/>
              <w:bottom w:val="single" w:color="000000" w:sz="2" w:space="0"/>
            </w:tcBorders>
            <w:vAlign w:val="top"/>
          </w:tcPr>
          <w:p w14:paraId="29A051F3">
            <w:pPr>
              <w:rPr>
                <w:rFonts w:ascii="Arial"/>
                <w:sz w:val="21"/>
              </w:rPr>
            </w:pPr>
          </w:p>
        </w:tc>
        <w:tc>
          <w:tcPr>
            <w:tcW w:w="224" w:type="dxa"/>
            <w:tcBorders>
              <w:top w:val="single" w:color="000000" w:sz="2" w:space="0"/>
              <w:bottom w:val="single" w:color="000000" w:sz="2" w:space="0"/>
            </w:tcBorders>
            <w:vAlign w:val="top"/>
          </w:tcPr>
          <w:p w14:paraId="40B60B31">
            <w:pPr>
              <w:rPr>
                <w:rFonts w:ascii="Arial"/>
                <w:sz w:val="21"/>
              </w:rPr>
            </w:pPr>
          </w:p>
        </w:tc>
      </w:tr>
      <w:tr w14:paraId="20E41C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53" w:hRule="atLeast"/>
        </w:trPr>
        <w:tc>
          <w:tcPr>
            <w:tcW w:w="893" w:type="dxa"/>
            <w:tcBorders>
              <w:top w:val="single" w:color="000000" w:sz="2" w:space="0"/>
              <w:bottom w:val="single" w:color="000000" w:sz="2" w:space="0"/>
            </w:tcBorders>
            <w:vAlign w:val="top"/>
          </w:tcPr>
          <w:p w14:paraId="10BF409F">
            <w:pPr>
              <w:spacing w:line="264" w:lineRule="auto"/>
              <w:rPr>
                <w:rFonts w:ascii="Arial"/>
                <w:sz w:val="21"/>
              </w:rPr>
            </w:pPr>
          </w:p>
          <w:p w14:paraId="496BE40F">
            <w:pPr>
              <w:pStyle w:val="6"/>
              <w:spacing w:before="59" w:line="224" w:lineRule="auto"/>
              <w:ind w:left="74" w:right="73"/>
              <w:jc w:val="both"/>
              <w:rPr>
                <w:sz w:val="18"/>
                <w:szCs w:val="18"/>
              </w:rPr>
            </w:pPr>
            <w:r>
              <w:rPr>
                <w:spacing w:val="1"/>
                <w:sz w:val="18"/>
                <w:szCs w:val="18"/>
              </w:rPr>
              <w:t>负反馈对</w:t>
            </w:r>
            <w:r>
              <w:rPr>
                <w:spacing w:val="2"/>
                <w:sz w:val="18"/>
                <w:szCs w:val="18"/>
              </w:rPr>
              <w:t xml:space="preserve"> </w:t>
            </w:r>
            <w:r>
              <w:rPr>
                <w:spacing w:val="-2"/>
                <w:sz w:val="18"/>
                <w:szCs w:val="18"/>
              </w:rPr>
              <w:t>放大器性</w:t>
            </w:r>
            <w:r>
              <w:rPr>
                <w:sz w:val="18"/>
                <w:szCs w:val="18"/>
              </w:rPr>
              <w:t xml:space="preserve"> </w:t>
            </w:r>
            <w:r>
              <w:rPr>
                <w:spacing w:val="3"/>
                <w:sz w:val="18"/>
                <w:szCs w:val="18"/>
              </w:rPr>
              <w:t>能的影响</w:t>
            </w:r>
          </w:p>
        </w:tc>
        <w:tc>
          <w:tcPr>
            <w:tcW w:w="2334" w:type="dxa"/>
            <w:tcBorders>
              <w:top w:val="single" w:color="000000" w:sz="2" w:space="0"/>
              <w:bottom w:val="single" w:color="000000" w:sz="2" w:space="0"/>
            </w:tcBorders>
            <w:vAlign w:val="top"/>
          </w:tcPr>
          <w:p w14:paraId="3F7A9EC9">
            <w:pPr>
              <w:pStyle w:val="6"/>
              <w:spacing w:before="113" w:line="219" w:lineRule="auto"/>
              <w:ind w:left="11"/>
              <w:rPr>
                <w:sz w:val="18"/>
                <w:szCs w:val="18"/>
              </w:rPr>
            </w:pPr>
            <w:r>
              <w:rPr>
                <w:sz w:val="18"/>
                <w:szCs w:val="18"/>
              </w:rPr>
              <w:t>1.提高放大信号的稳定性</w:t>
            </w:r>
          </w:p>
          <w:p w14:paraId="6C9D7B3C">
            <w:pPr>
              <w:pStyle w:val="6"/>
              <w:spacing w:before="16" w:line="212" w:lineRule="auto"/>
              <w:ind w:left="11" w:right="881"/>
              <w:rPr>
                <w:sz w:val="18"/>
                <w:szCs w:val="18"/>
              </w:rPr>
            </w:pPr>
            <w:r>
              <w:rPr>
                <w:spacing w:val="-2"/>
                <w:sz w:val="18"/>
                <w:szCs w:val="18"/>
              </w:rPr>
              <w:t>2.减少非线性失真</w:t>
            </w:r>
            <w:r>
              <w:rPr>
                <w:spacing w:val="7"/>
                <w:sz w:val="18"/>
                <w:szCs w:val="18"/>
              </w:rPr>
              <w:t xml:space="preserve"> </w:t>
            </w:r>
            <w:r>
              <w:rPr>
                <w:spacing w:val="-2"/>
                <w:sz w:val="18"/>
                <w:szCs w:val="18"/>
              </w:rPr>
              <w:t>3.展宽频带</w:t>
            </w:r>
          </w:p>
          <w:p w14:paraId="698A9EFC">
            <w:pPr>
              <w:pStyle w:val="6"/>
              <w:spacing w:before="15" w:line="230" w:lineRule="auto"/>
              <w:ind w:left="11" w:right="137"/>
              <w:rPr>
                <w:sz w:val="18"/>
                <w:szCs w:val="18"/>
              </w:rPr>
            </w:pPr>
            <w:r>
              <w:rPr>
                <w:spacing w:val="1"/>
                <w:sz w:val="18"/>
                <w:szCs w:val="18"/>
              </w:rPr>
              <w:t>4.对输入电阻、输出电阻的</w:t>
            </w:r>
            <w:r>
              <w:rPr>
                <w:sz w:val="18"/>
                <w:szCs w:val="18"/>
              </w:rPr>
              <w:t xml:space="preserve"> </w:t>
            </w:r>
            <w:r>
              <w:rPr>
                <w:spacing w:val="7"/>
                <w:sz w:val="18"/>
                <w:szCs w:val="18"/>
              </w:rPr>
              <w:t>影响</w:t>
            </w:r>
          </w:p>
        </w:tc>
        <w:tc>
          <w:tcPr>
            <w:tcW w:w="220" w:type="dxa"/>
            <w:tcBorders>
              <w:top w:val="single" w:color="000000" w:sz="2" w:space="0"/>
              <w:bottom w:val="single" w:color="000000" w:sz="2" w:space="0"/>
            </w:tcBorders>
            <w:vAlign w:val="top"/>
          </w:tcPr>
          <w:p w14:paraId="3107D2AE">
            <w:pPr>
              <w:spacing w:before="132" w:line="767" w:lineRule="exact"/>
            </w:pPr>
            <w:r>
              <w:rPr>
                <w:position w:val="-15"/>
              </w:rPr>
              <w:drawing>
                <wp:inline distT="0" distB="0" distL="0" distR="0">
                  <wp:extent cx="118745" cy="487045"/>
                  <wp:effectExtent l="0" t="0" r="0" b="0"/>
                  <wp:docPr id="178" name="IM 178"/>
                  <wp:cNvGraphicFramePr/>
                  <a:graphic xmlns:a="http://schemas.openxmlformats.org/drawingml/2006/main">
                    <a:graphicData uri="http://schemas.openxmlformats.org/drawingml/2006/picture">
                      <pic:pic xmlns:pic="http://schemas.openxmlformats.org/drawingml/2006/picture">
                        <pic:nvPicPr>
                          <pic:cNvPr id="178" name="IM 178"/>
                          <pic:cNvPicPr/>
                        </pic:nvPicPr>
                        <pic:blipFill>
                          <a:blip r:embed="rId254"/>
                          <a:stretch>
                            <a:fillRect/>
                          </a:stretch>
                        </pic:blipFill>
                        <pic:spPr>
                          <a:xfrm>
                            <a:off x="0" y="0"/>
                            <a:ext cx="119361" cy="487166"/>
                          </a:xfrm>
                          <a:prstGeom prst="rect">
                            <a:avLst/>
                          </a:prstGeom>
                        </pic:spPr>
                      </pic:pic>
                    </a:graphicData>
                  </a:graphic>
                </wp:inline>
              </w:drawing>
            </w:r>
          </w:p>
        </w:tc>
        <w:tc>
          <w:tcPr>
            <w:tcW w:w="229" w:type="dxa"/>
            <w:tcBorders>
              <w:top w:val="single" w:color="000000" w:sz="2" w:space="0"/>
              <w:bottom w:val="single" w:color="000000" w:sz="2" w:space="0"/>
            </w:tcBorders>
            <w:vAlign w:val="top"/>
          </w:tcPr>
          <w:p w14:paraId="4CD7F7B6">
            <w:pPr>
              <w:rPr>
                <w:rFonts w:ascii="Arial"/>
                <w:sz w:val="21"/>
              </w:rPr>
            </w:pPr>
          </w:p>
        </w:tc>
        <w:tc>
          <w:tcPr>
            <w:tcW w:w="230" w:type="dxa"/>
            <w:tcBorders>
              <w:top w:val="single" w:color="000000" w:sz="2" w:space="0"/>
              <w:bottom w:val="single" w:color="000000" w:sz="2" w:space="0"/>
            </w:tcBorders>
            <w:vAlign w:val="top"/>
          </w:tcPr>
          <w:p w14:paraId="2348D5E4">
            <w:pPr>
              <w:rPr>
                <w:rFonts w:ascii="Arial"/>
                <w:sz w:val="21"/>
              </w:rPr>
            </w:pPr>
          </w:p>
        </w:tc>
        <w:tc>
          <w:tcPr>
            <w:tcW w:w="224" w:type="dxa"/>
            <w:tcBorders>
              <w:top w:val="single" w:color="000000" w:sz="2" w:space="0"/>
              <w:bottom w:val="single" w:color="000000" w:sz="2" w:space="0"/>
            </w:tcBorders>
            <w:vAlign w:val="top"/>
          </w:tcPr>
          <w:p w14:paraId="161563D3">
            <w:pPr>
              <w:rPr>
                <w:rFonts w:ascii="Arial"/>
                <w:sz w:val="21"/>
              </w:rPr>
            </w:pPr>
          </w:p>
        </w:tc>
      </w:tr>
      <w:tr w14:paraId="035D2F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83" w:hRule="atLeast"/>
        </w:trPr>
        <w:tc>
          <w:tcPr>
            <w:tcW w:w="893" w:type="dxa"/>
            <w:tcBorders>
              <w:top w:val="single" w:color="000000" w:sz="2" w:space="0"/>
              <w:bottom w:val="single" w:color="000000" w:sz="2" w:space="0"/>
            </w:tcBorders>
            <w:vAlign w:val="top"/>
          </w:tcPr>
          <w:p w14:paraId="74F5994E">
            <w:pPr>
              <w:pStyle w:val="6"/>
              <w:spacing w:before="296" w:line="232" w:lineRule="auto"/>
              <w:ind w:left="74" w:right="81"/>
              <w:jc w:val="both"/>
              <w:rPr>
                <w:sz w:val="18"/>
                <w:szCs w:val="18"/>
              </w:rPr>
            </w:pPr>
            <w:r>
              <w:rPr>
                <w:spacing w:val="-2"/>
                <w:sz w:val="18"/>
                <w:szCs w:val="18"/>
              </w:rPr>
              <w:t>振荡电路</w:t>
            </w:r>
            <w:r>
              <w:rPr>
                <w:sz w:val="18"/>
                <w:szCs w:val="18"/>
              </w:rPr>
              <w:t xml:space="preserve"> </w:t>
            </w:r>
            <w:r>
              <w:rPr>
                <w:spacing w:val="1"/>
                <w:sz w:val="18"/>
                <w:szCs w:val="18"/>
              </w:rPr>
              <w:t>的基本概</w:t>
            </w:r>
            <w:r>
              <w:rPr>
                <w:spacing w:val="2"/>
                <w:sz w:val="18"/>
                <w:szCs w:val="18"/>
              </w:rPr>
              <w:t xml:space="preserve"> </w:t>
            </w:r>
            <w:r>
              <w:rPr>
                <w:spacing w:val="-2"/>
                <w:sz w:val="18"/>
                <w:szCs w:val="18"/>
              </w:rPr>
              <w:t>念和原理</w:t>
            </w:r>
          </w:p>
        </w:tc>
        <w:tc>
          <w:tcPr>
            <w:tcW w:w="2334" w:type="dxa"/>
            <w:tcBorders>
              <w:top w:val="single" w:color="000000" w:sz="2" w:space="0"/>
              <w:bottom w:val="single" w:color="000000" w:sz="2" w:space="0"/>
            </w:tcBorders>
            <w:vAlign w:val="top"/>
          </w:tcPr>
          <w:p w14:paraId="17C20A23">
            <w:pPr>
              <w:pStyle w:val="6"/>
              <w:spacing w:before="194" w:line="219" w:lineRule="auto"/>
              <w:jc w:val="right"/>
              <w:rPr>
                <w:sz w:val="18"/>
                <w:szCs w:val="18"/>
              </w:rPr>
            </w:pPr>
            <w:r>
              <w:rPr>
                <w:spacing w:val="-2"/>
                <w:sz w:val="18"/>
                <w:szCs w:val="18"/>
              </w:rPr>
              <w:t>1.正弦波振荡电路的工作原理</w:t>
            </w:r>
          </w:p>
          <w:p w14:paraId="565E0A15">
            <w:pPr>
              <w:pStyle w:val="6"/>
              <w:spacing w:before="6" w:line="219" w:lineRule="auto"/>
              <w:ind w:left="11"/>
              <w:rPr>
                <w:sz w:val="18"/>
                <w:szCs w:val="18"/>
              </w:rPr>
            </w:pPr>
            <w:r>
              <w:rPr>
                <w:spacing w:val="-1"/>
                <w:sz w:val="18"/>
                <w:szCs w:val="18"/>
              </w:rPr>
              <w:t>2.产生振荡的判断方法</w:t>
            </w:r>
          </w:p>
          <w:p w14:paraId="36D0A99B">
            <w:pPr>
              <w:pStyle w:val="6"/>
              <w:spacing w:before="6" w:line="217" w:lineRule="auto"/>
              <w:ind w:left="11"/>
              <w:rPr>
                <w:sz w:val="18"/>
                <w:szCs w:val="18"/>
              </w:rPr>
            </w:pPr>
            <w:r>
              <w:rPr>
                <w:spacing w:val="-2"/>
                <w:sz w:val="18"/>
                <w:szCs w:val="18"/>
              </w:rPr>
              <w:t>3.LC振荡器产生的正弦波频率</w:t>
            </w:r>
            <w:r>
              <w:rPr>
                <w:spacing w:val="1"/>
                <w:sz w:val="18"/>
                <w:szCs w:val="18"/>
              </w:rPr>
              <w:t xml:space="preserve"> </w:t>
            </w:r>
            <w:r>
              <w:rPr>
                <w:spacing w:val="-2"/>
                <w:sz w:val="18"/>
                <w:szCs w:val="18"/>
              </w:rPr>
              <w:t>4RC振荡器产生的正弦波频率</w:t>
            </w:r>
          </w:p>
        </w:tc>
        <w:tc>
          <w:tcPr>
            <w:tcW w:w="220" w:type="dxa"/>
            <w:tcBorders>
              <w:top w:val="single" w:color="000000" w:sz="2" w:space="0"/>
              <w:bottom w:val="single" w:color="000000" w:sz="2" w:space="0"/>
            </w:tcBorders>
            <w:vAlign w:val="top"/>
          </w:tcPr>
          <w:p w14:paraId="303E091B">
            <w:pPr>
              <w:rPr>
                <w:rFonts w:ascii="Arial"/>
                <w:sz w:val="21"/>
              </w:rPr>
            </w:pPr>
          </w:p>
        </w:tc>
        <w:tc>
          <w:tcPr>
            <w:tcW w:w="229" w:type="dxa"/>
            <w:tcBorders>
              <w:top w:val="single" w:color="000000" w:sz="2" w:space="0"/>
              <w:bottom w:val="single" w:color="000000" w:sz="2" w:space="0"/>
            </w:tcBorders>
            <w:vAlign w:val="top"/>
          </w:tcPr>
          <w:p w14:paraId="66C6F4FB">
            <w:pPr>
              <w:spacing w:before="198" w:line="120" w:lineRule="exact"/>
              <w:ind w:firstLine="37"/>
            </w:pPr>
            <w:r>
              <w:rPr>
                <w:position w:val="-2"/>
              </w:rPr>
              <w:drawing>
                <wp:inline distT="0" distB="0" distL="0" distR="0">
                  <wp:extent cx="88900" cy="75565"/>
                  <wp:effectExtent l="0" t="0" r="0" b="0"/>
                  <wp:docPr id="180" name="IM 180"/>
                  <wp:cNvGraphicFramePr/>
                  <a:graphic xmlns:a="http://schemas.openxmlformats.org/drawingml/2006/main">
                    <a:graphicData uri="http://schemas.openxmlformats.org/drawingml/2006/picture">
                      <pic:pic xmlns:pic="http://schemas.openxmlformats.org/drawingml/2006/picture">
                        <pic:nvPicPr>
                          <pic:cNvPr id="180" name="IM 180"/>
                          <pic:cNvPicPr/>
                        </pic:nvPicPr>
                        <pic:blipFill>
                          <a:blip r:embed="rId255"/>
                          <a:stretch>
                            <a:fillRect/>
                          </a:stretch>
                        </pic:blipFill>
                        <pic:spPr>
                          <a:xfrm>
                            <a:off x="0" y="0"/>
                            <a:ext cx="88912" cy="76146"/>
                          </a:xfrm>
                          <a:prstGeom prst="rect">
                            <a:avLst/>
                          </a:prstGeom>
                        </pic:spPr>
                      </pic:pic>
                    </a:graphicData>
                  </a:graphic>
                </wp:inline>
              </w:drawing>
            </w:r>
          </w:p>
        </w:tc>
        <w:tc>
          <w:tcPr>
            <w:tcW w:w="230" w:type="dxa"/>
            <w:tcBorders>
              <w:top w:val="single" w:color="000000" w:sz="2" w:space="0"/>
              <w:bottom w:val="single" w:color="000000" w:sz="2" w:space="0"/>
            </w:tcBorders>
            <w:vAlign w:val="top"/>
          </w:tcPr>
          <w:p w14:paraId="76907E5F">
            <w:pPr>
              <w:spacing w:line="443" w:lineRule="auto"/>
              <w:rPr>
                <w:rFonts w:ascii="Arial"/>
                <w:sz w:val="21"/>
              </w:rPr>
            </w:pPr>
          </w:p>
          <w:p w14:paraId="7B8DB77D">
            <w:pPr>
              <w:spacing w:line="532" w:lineRule="exact"/>
              <w:ind w:firstLine="43"/>
            </w:pPr>
            <w:r>
              <w:rPr>
                <w:position w:val="-10"/>
              </w:rPr>
              <w:drawing>
                <wp:inline distT="0" distB="0" distL="0" distR="0">
                  <wp:extent cx="94615" cy="337820"/>
                  <wp:effectExtent l="0" t="0" r="0" b="0"/>
                  <wp:docPr id="182" name="IM 182"/>
                  <wp:cNvGraphicFramePr/>
                  <a:graphic xmlns:a="http://schemas.openxmlformats.org/drawingml/2006/main">
                    <a:graphicData uri="http://schemas.openxmlformats.org/drawingml/2006/picture">
                      <pic:pic xmlns:pic="http://schemas.openxmlformats.org/drawingml/2006/picture">
                        <pic:nvPicPr>
                          <pic:cNvPr id="182" name="IM 182"/>
                          <pic:cNvPicPr/>
                        </pic:nvPicPr>
                        <pic:blipFill>
                          <a:blip r:embed="rId256"/>
                          <a:stretch>
                            <a:fillRect/>
                          </a:stretch>
                        </pic:blipFill>
                        <pic:spPr>
                          <a:xfrm>
                            <a:off x="0" y="0"/>
                            <a:ext cx="95241" cy="338177"/>
                          </a:xfrm>
                          <a:prstGeom prst="rect">
                            <a:avLst/>
                          </a:prstGeom>
                        </pic:spPr>
                      </pic:pic>
                    </a:graphicData>
                  </a:graphic>
                </wp:inline>
              </w:drawing>
            </w:r>
          </w:p>
        </w:tc>
        <w:tc>
          <w:tcPr>
            <w:tcW w:w="224" w:type="dxa"/>
            <w:tcBorders>
              <w:top w:val="single" w:color="000000" w:sz="2" w:space="0"/>
              <w:bottom w:val="single" w:color="000000" w:sz="2" w:space="0"/>
            </w:tcBorders>
            <w:vAlign w:val="top"/>
          </w:tcPr>
          <w:p w14:paraId="62AC47F7">
            <w:pPr>
              <w:rPr>
                <w:rFonts w:ascii="Arial"/>
                <w:sz w:val="21"/>
              </w:rPr>
            </w:pPr>
          </w:p>
        </w:tc>
      </w:tr>
      <w:tr w14:paraId="63F296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39" w:hRule="atLeast"/>
        </w:trPr>
        <w:tc>
          <w:tcPr>
            <w:tcW w:w="893" w:type="dxa"/>
            <w:tcBorders>
              <w:top w:val="single" w:color="000000" w:sz="2" w:space="0"/>
              <w:bottom w:val="single" w:color="000000" w:sz="2" w:space="0"/>
            </w:tcBorders>
            <w:vAlign w:val="top"/>
          </w:tcPr>
          <w:p w14:paraId="10B56221">
            <w:pPr>
              <w:pStyle w:val="6"/>
              <w:spacing w:before="237" w:line="220" w:lineRule="auto"/>
              <w:ind w:left="74"/>
              <w:rPr>
                <w:sz w:val="18"/>
                <w:szCs w:val="18"/>
              </w:rPr>
            </w:pPr>
            <w:r>
              <w:rPr>
                <w:spacing w:val="-2"/>
                <w:sz w:val="18"/>
                <w:szCs w:val="18"/>
              </w:rPr>
              <w:t>石英晶体</w:t>
            </w:r>
          </w:p>
          <w:p w14:paraId="689CB16C">
            <w:pPr>
              <w:pStyle w:val="6"/>
              <w:spacing w:before="23" w:line="219" w:lineRule="auto"/>
              <w:ind w:left="165"/>
              <w:rPr>
                <w:sz w:val="18"/>
                <w:szCs w:val="18"/>
              </w:rPr>
            </w:pPr>
            <w:r>
              <w:rPr>
                <w:spacing w:val="-2"/>
                <w:sz w:val="18"/>
                <w:szCs w:val="18"/>
              </w:rPr>
              <w:t>振荡器</w:t>
            </w:r>
          </w:p>
        </w:tc>
        <w:tc>
          <w:tcPr>
            <w:tcW w:w="2334" w:type="dxa"/>
            <w:tcBorders>
              <w:top w:val="single" w:color="000000" w:sz="2" w:space="0"/>
              <w:bottom w:val="single" w:color="000000" w:sz="2" w:space="0"/>
            </w:tcBorders>
            <w:vAlign w:val="top"/>
          </w:tcPr>
          <w:p w14:paraId="275D6430">
            <w:pPr>
              <w:pStyle w:val="6"/>
              <w:spacing w:before="236" w:line="228" w:lineRule="auto"/>
              <w:ind w:left="11" w:firstLine="19"/>
              <w:rPr>
                <w:sz w:val="18"/>
                <w:szCs w:val="18"/>
              </w:rPr>
            </w:pPr>
            <w:r>
              <w:rPr>
                <w:spacing w:val="-5"/>
                <w:sz w:val="18"/>
                <w:szCs w:val="18"/>
              </w:rPr>
              <w:t>1.振荡器振荡频率稳定的概念</w:t>
            </w:r>
            <w:r>
              <w:rPr>
                <w:spacing w:val="8"/>
                <w:sz w:val="18"/>
                <w:szCs w:val="18"/>
              </w:rPr>
              <w:t xml:space="preserve"> </w:t>
            </w:r>
            <w:r>
              <w:rPr>
                <w:spacing w:val="-2"/>
                <w:sz w:val="18"/>
                <w:szCs w:val="18"/>
              </w:rPr>
              <w:t>2.石英晶体的符号、压电效应</w:t>
            </w:r>
          </w:p>
        </w:tc>
        <w:tc>
          <w:tcPr>
            <w:tcW w:w="220" w:type="dxa"/>
            <w:tcBorders>
              <w:top w:val="single" w:color="000000" w:sz="2" w:space="0"/>
              <w:bottom w:val="single" w:color="000000" w:sz="2" w:space="0"/>
            </w:tcBorders>
            <w:vAlign w:val="top"/>
          </w:tcPr>
          <w:p w14:paraId="7A8D8AFE">
            <w:pPr>
              <w:rPr>
                <w:rFonts w:ascii="Arial"/>
                <w:sz w:val="21"/>
              </w:rPr>
            </w:pPr>
          </w:p>
        </w:tc>
        <w:tc>
          <w:tcPr>
            <w:tcW w:w="229" w:type="dxa"/>
            <w:tcBorders>
              <w:top w:val="single" w:color="000000" w:sz="2" w:space="0"/>
              <w:bottom w:val="single" w:color="000000" w:sz="2" w:space="0"/>
            </w:tcBorders>
            <w:vAlign w:val="top"/>
          </w:tcPr>
          <w:p w14:paraId="46691A84">
            <w:pPr>
              <w:rPr>
                <w:rFonts w:ascii="Arial"/>
                <w:sz w:val="21"/>
              </w:rPr>
            </w:pPr>
          </w:p>
        </w:tc>
        <w:tc>
          <w:tcPr>
            <w:tcW w:w="230" w:type="dxa"/>
            <w:tcBorders>
              <w:top w:val="single" w:color="000000" w:sz="2" w:space="0"/>
              <w:bottom w:val="single" w:color="000000" w:sz="2" w:space="0"/>
            </w:tcBorders>
            <w:vAlign w:val="top"/>
          </w:tcPr>
          <w:p w14:paraId="77B75E95">
            <w:pPr>
              <w:rPr>
                <w:rFonts w:ascii="Arial"/>
                <w:sz w:val="21"/>
              </w:rPr>
            </w:pPr>
          </w:p>
        </w:tc>
        <w:tc>
          <w:tcPr>
            <w:tcW w:w="224" w:type="dxa"/>
            <w:tcBorders>
              <w:top w:val="single" w:color="000000" w:sz="2" w:space="0"/>
              <w:bottom w:val="single" w:color="000000" w:sz="2" w:space="0"/>
            </w:tcBorders>
            <w:vAlign w:val="top"/>
          </w:tcPr>
          <w:p w14:paraId="76A80101">
            <w:pPr>
              <w:rPr>
                <w:rFonts w:ascii="Arial"/>
                <w:sz w:val="21"/>
              </w:rPr>
            </w:pPr>
          </w:p>
        </w:tc>
      </w:tr>
    </w:tbl>
    <w:p w14:paraId="4C0F44D2">
      <w:pPr>
        <w:pStyle w:val="2"/>
        <w:spacing w:line="14" w:lineRule="auto"/>
        <w:rPr>
          <w:sz w:val="2"/>
        </w:rPr>
      </w:pPr>
    </w:p>
    <w:p w14:paraId="0FD49018">
      <w:pPr>
        <w:pStyle w:val="2"/>
        <w:spacing w:line="14" w:lineRule="auto"/>
        <w:rPr>
          <w:sz w:val="2"/>
        </w:rPr>
      </w:pPr>
      <w:r>
        <w:rPr>
          <w:sz w:val="2"/>
          <w:szCs w:val="2"/>
        </w:rPr>
        <w:br w:type="column"/>
      </w:r>
    </w:p>
    <w:p w14:paraId="1B920B1F">
      <w:pPr>
        <w:spacing w:before="7" w:line="222" w:lineRule="auto"/>
        <w:ind w:left="987"/>
        <w:rPr>
          <w:rFonts w:ascii="黑体" w:hAnsi="黑体" w:eastAsia="黑体" w:cs="黑体"/>
          <w:sz w:val="20"/>
          <w:szCs w:val="20"/>
        </w:rPr>
      </w:pPr>
      <w:r>
        <w:rPr>
          <w:rFonts w:ascii="黑体" w:hAnsi="黑体" w:eastAsia="黑体" w:cs="黑体"/>
          <w:b/>
          <w:bCs/>
          <w:spacing w:val="-7"/>
          <w:sz w:val="20"/>
          <w:szCs w:val="20"/>
        </w:rPr>
        <w:t>第五章</w:t>
      </w:r>
      <w:r>
        <w:rPr>
          <w:rFonts w:ascii="黑体" w:hAnsi="黑体" w:eastAsia="黑体" w:cs="黑体"/>
          <w:spacing w:val="10"/>
          <w:sz w:val="20"/>
          <w:szCs w:val="20"/>
        </w:rPr>
        <w:t xml:space="preserve">  </w:t>
      </w:r>
      <w:r>
        <w:rPr>
          <w:rFonts w:ascii="黑体" w:hAnsi="黑体" w:eastAsia="黑体" w:cs="黑体"/>
          <w:b/>
          <w:bCs/>
          <w:spacing w:val="-7"/>
          <w:sz w:val="20"/>
          <w:szCs w:val="20"/>
        </w:rPr>
        <w:t>集成运算放大器</w:t>
      </w:r>
    </w:p>
    <w:p w14:paraId="16AC2B04">
      <w:pPr>
        <w:spacing w:line="70" w:lineRule="exact"/>
      </w:pPr>
    </w:p>
    <w:tbl>
      <w:tblPr>
        <w:tblStyle w:val="5"/>
        <w:tblW w:w="414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34"/>
        <w:gridCol w:w="230"/>
        <w:gridCol w:w="229"/>
        <w:gridCol w:w="220"/>
        <w:gridCol w:w="234"/>
      </w:tblGrid>
      <w:tr w14:paraId="776A7B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4" w:hRule="atLeast"/>
        </w:trPr>
        <w:tc>
          <w:tcPr>
            <w:tcW w:w="893" w:type="dxa"/>
            <w:vMerge w:val="restart"/>
            <w:tcBorders>
              <w:bottom w:val="nil"/>
            </w:tcBorders>
            <w:vAlign w:val="top"/>
          </w:tcPr>
          <w:p w14:paraId="5E468C38">
            <w:pPr>
              <w:pStyle w:val="6"/>
              <w:spacing w:before="140" w:line="230" w:lineRule="auto"/>
              <w:ind w:left="257" w:right="1" w:hanging="240"/>
              <w:rPr>
                <w:sz w:val="18"/>
                <w:szCs w:val="18"/>
              </w:rPr>
            </w:pPr>
            <w:r>
              <w:rPr>
                <w:b/>
                <w:bCs/>
                <w:spacing w:val="-10"/>
                <w:sz w:val="18"/>
                <w:szCs w:val="18"/>
              </w:rPr>
              <w:t>知识与技能</w:t>
            </w:r>
            <w:r>
              <w:rPr>
                <w:spacing w:val="3"/>
                <w:sz w:val="18"/>
                <w:szCs w:val="18"/>
              </w:rPr>
              <w:t xml:space="preserve"> </w:t>
            </w:r>
            <w:r>
              <w:rPr>
                <w:b/>
                <w:bCs/>
                <w:spacing w:val="-4"/>
                <w:sz w:val="18"/>
                <w:szCs w:val="18"/>
              </w:rPr>
              <w:t>要点</w:t>
            </w:r>
          </w:p>
        </w:tc>
        <w:tc>
          <w:tcPr>
            <w:tcW w:w="2334" w:type="dxa"/>
            <w:vMerge w:val="restart"/>
            <w:tcBorders>
              <w:bottom w:val="nil"/>
            </w:tcBorders>
            <w:vAlign w:val="top"/>
          </w:tcPr>
          <w:p w14:paraId="3AAE57A5">
            <w:pPr>
              <w:pStyle w:val="6"/>
              <w:spacing w:before="250" w:line="219" w:lineRule="auto"/>
              <w:ind w:left="844"/>
              <w:rPr>
                <w:sz w:val="18"/>
                <w:szCs w:val="18"/>
              </w:rPr>
            </w:pPr>
            <w:r>
              <w:rPr>
                <w:b/>
                <w:bCs/>
                <w:spacing w:val="5"/>
                <w:sz w:val="18"/>
                <w:szCs w:val="18"/>
              </w:rPr>
              <w:t>考试条目</w:t>
            </w:r>
          </w:p>
        </w:tc>
        <w:tc>
          <w:tcPr>
            <w:tcW w:w="913" w:type="dxa"/>
            <w:gridSpan w:val="4"/>
            <w:vAlign w:val="top"/>
          </w:tcPr>
          <w:p w14:paraId="68568619">
            <w:pPr>
              <w:pStyle w:val="6"/>
              <w:spacing w:before="79" w:line="219" w:lineRule="auto"/>
              <w:ind w:left="130"/>
              <w:rPr>
                <w:sz w:val="18"/>
                <w:szCs w:val="18"/>
              </w:rPr>
            </w:pPr>
            <w:r>
              <w:rPr>
                <w:b/>
                <w:bCs/>
                <w:spacing w:val="-4"/>
                <w:sz w:val="18"/>
                <w:szCs w:val="18"/>
              </w:rPr>
              <w:t>考试水平</w:t>
            </w:r>
          </w:p>
        </w:tc>
      </w:tr>
      <w:tr w14:paraId="2B1512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893" w:type="dxa"/>
            <w:vMerge w:val="continue"/>
            <w:tcBorders>
              <w:top w:val="nil"/>
            </w:tcBorders>
            <w:vAlign w:val="top"/>
          </w:tcPr>
          <w:p w14:paraId="4B06BF1D">
            <w:pPr>
              <w:rPr>
                <w:rFonts w:ascii="Arial"/>
                <w:sz w:val="21"/>
              </w:rPr>
            </w:pPr>
          </w:p>
        </w:tc>
        <w:tc>
          <w:tcPr>
            <w:tcW w:w="2334" w:type="dxa"/>
            <w:vMerge w:val="continue"/>
            <w:tcBorders>
              <w:top w:val="nil"/>
            </w:tcBorders>
            <w:vAlign w:val="top"/>
          </w:tcPr>
          <w:p w14:paraId="2EA9A502">
            <w:pPr>
              <w:rPr>
                <w:rFonts w:ascii="Arial"/>
                <w:sz w:val="21"/>
              </w:rPr>
            </w:pPr>
          </w:p>
        </w:tc>
        <w:tc>
          <w:tcPr>
            <w:tcW w:w="230" w:type="dxa"/>
            <w:vAlign w:val="top"/>
          </w:tcPr>
          <w:p w14:paraId="71C5C191">
            <w:pPr>
              <w:pStyle w:val="6"/>
              <w:spacing w:before="113" w:line="184" w:lineRule="auto"/>
              <w:ind w:left="70"/>
              <w:rPr>
                <w:sz w:val="18"/>
                <w:szCs w:val="18"/>
              </w:rPr>
            </w:pPr>
            <w:r>
              <w:rPr>
                <w:b/>
                <w:bCs/>
                <w:spacing w:val="-2"/>
                <w:sz w:val="18"/>
                <w:szCs w:val="18"/>
              </w:rPr>
              <w:t>A</w:t>
            </w:r>
          </w:p>
        </w:tc>
        <w:tc>
          <w:tcPr>
            <w:tcW w:w="229" w:type="dxa"/>
            <w:vAlign w:val="top"/>
          </w:tcPr>
          <w:p w14:paraId="1D5801C6">
            <w:pPr>
              <w:pStyle w:val="6"/>
              <w:spacing w:before="115" w:line="182" w:lineRule="auto"/>
              <w:ind w:left="20"/>
              <w:rPr>
                <w:sz w:val="18"/>
                <w:szCs w:val="18"/>
              </w:rPr>
            </w:pPr>
            <w:r>
              <w:rPr>
                <w:b/>
                <w:bCs/>
                <w:spacing w:val="-2"/>
                <w:sz w:val="18"/>
                <w:szCs w:val="18"/>
              </w:rPr>
              <w:t>B</w:t>
            </w:r>
          </w:p>
        </w:tc>
        <w:tc>
          <w:tcPr>
            <w:tcW w:w="220" w:type="dxa"/>
            <w:vAlign w:val="top"/>
          </w:tcPr>
          <w:p w14:paraId="3616C59F">
            <w:pPr>
              <w:pStyle w:val="6"/>
              <w:spacing w:before="114" w:line="183" w:lineRule="auto"/>
              <w:ind w:left="58"/>
              <w:rPr>
                <w:sz w:val="18"/>
                <w:szCs w:val="18"/>
              </w:rPr>
            </w:pPr>
            <w:r>
              <w:rPr>
                <w:sz w:val="18"/>
                <w:szCs w:val="18"/>
              </w:rPr>
              <w:t>C</w:t>
            </w:r>
          </w:p>
        </w:tc>
        <w:tc>
          <w:tcPr>
            <w:tcW w:w="234" w:type="dxa"/>
            <w:vAlign w:val="top"/>
          </w:tcPr>
          <w:p w14:paraId="5E0C1F35">
            <w:pPr>
              <w:pStyle w:val="6"/>
              <w:spacing w:before="115" w:line="182" w:lineRule="auto"/>
              <w:ind w:left="21"/>
              <w:rPr>
                <w:sz w:val="18"/>
                <w:szCs w:val="18"/>
              </w:rPr>
            </w:pPr>
            <w:r>
              <w:rPr>
                <w:b/>
                <w:bCs/>
                <w:spacing w:val="-2"/>
                <w:sz w:val="18"/>
                <w:szCs w:val="18"/>
              </w:rPr>
              <w:t>D</w:t>
            </w:r>
          </w:p>
        </w:tc>
      </w:tr>
      <w:tr w14:paraId="198565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58" w:hRule="atLeast"/>
        </w:trPr>
        <w:tc>
          <w:tcPr>
            <w:tcW w:w="893" w:type="dxa"/>
            <w:vAlign w:val="top"/>
          </w:tcPr>
          <w:p w14:paraId="0E9199FC">
            <w:pPr>
              <w:pStyle w:val="6"/>
              <w:spacing w:before="160" w:line="215" w:lineRule="auto"/>
              <w:ind w:left="165"/>
              <w:rPr>
                <w:sz w:val="18"/>
                <w:szCs w:val="18"/>
              </w:rPr>
            </w:pPr>
            <w:r>
              <w:rPr>
                <w:spacing w:val="-2"/>
                <w:sz w:val="18"/>
                <w:szCs w:val="18"/>
              </w:rPr>
              <w:t>直流放</w:t>
            </w:r>
          </w:p>
          <w:p w14:paraId="025EBFEF">
            <w:pPr>
              <w:pStyle w:val="6"/>
              <w:spacing w:line="220" w:lineRule="auto"/>
              <w:ind w:left="254"/>
              <w:rPr>
                <w:sz w:val="18"/>
                <w:szCs w:val="18"/>
              </w:rPr>
            </w:pPr>
            <w:r>
              <w:rPr>
                <w:spacing w:val="-3"/>
                <w:sz w:val="18"/>
                <w:szCs w:val="18"/>
              </w:rPr>
              <w:t>大器</w:t>
            </w:r>
          </w:p>
        </w:tc>
        <w:tc>
          <w:tcPr>
            <w:tcW w:w="2334" w:type="dxa"/>
            <w:vAlign w:val="top"/>
          </w:tcPr>
          <w:p w14:paraId="781CD6C0">
            <w:pPr>
              <w:pStyle w:val="6"/>
              <w:spacing w:before="39" w:line="215" w:lineRule="auto"/>
              <w:ind w:left="2"/>
              <w:rPr>
                <w:sz w:val="18"/>
                <w:szCs w:val="18"/>
              </w:rPr>
            </w:pPr>
            <w:r>
              <w:rPr>
                <w:sz w:val="18"/>
                <w:szCs w:val="18"/>
              </w:rPr>
              <w:t>1.直流放大器的概念</w:t>
            </w:r>
          </w:p>
          <w:p w14:paraId="5A0F731B">
            <w:pPr>
              <w:pStyle w:val="6"/>
              <w:spacing w:line="204" w:lineRule="auto"/>
              <w:ind w:left="2" w:right="151" w:firstLine="19"/>
              <w:rPr>
                <w:sz w:val="18"/>
                <w:szCs w:val="18"/>
              </w:rPr>
            </w:pPr>
            <w:r>
              <w:rPr>
                <w:spacing w:val="-1"/>
                <w:sz w:val="18"/>
                <w:szCs w:val="18"/>
              </w:rPr>
              <w:t>2.零点漂移概念、抑制零漂</w:t>
            </w:r>
            <w:r>
              <w:rPr>
                <w:spacing w:val="2"/>
                <w:sz w:val="18"/>
                <w:szCs w:val="18"/>
              </w:rPr>
              <w:t xml:space="preserve"> 的措施</w:t>
            </w:r>
          </w:p>
        </w:tc>
        <w:tc>
          <w:tcPr>
            <w:tcW w:w="230" w:type="dxa"/>
            <w:vAlign w:val="top"/>
          </w:tcPr>
          <w:p w14:paraId="6F52992A">
            <w:pPr>
              <w:rPr>
                <w:rFonts w:ascii="Arial"/>
                <w:sz w:val="21"/>
              </w:rPr>
            </w:pPr>
          </w:p>
        </w:tc>
        <w:tc>
          <w:tcPr>
            <w:tcW w:w="229" w:type="dxa"/>
            <w:vAlign w:val="top"/>
          </w:tcPr>
          <w:p w14:paraId="7F2DB3F3">
            <w:pPr>
              <w:rPr>
                <w:rFonts w:ascii="Arial"/>
                <w:sz w:val="21"/>
              </w:rPr>
            </w:pPr>
          </w:p>
        </w:tc>
        <w:tc>
          <w:tcPr>
            <w:tcW w:w="220" w:type="dxa"/>
            <w:vAlign w:val="top"/>
          </w:tcPr>
          <w:p w14:paraId="36E03D52">
            <w:pPr>
              <w:rPr>
                <w:rFonts w:ascii="Arial"/>
                <w:sz w:val="21"/>
              </w:rPr>
            </w:pPr>
          </w:p>
        </w:tc>
        <w:tc>
          <w:tcPr>
            <w:tcW w:w="234" w:type="dxa"/>
            <w:vAlign w:val="top"/>
          </w:tcPr>
          <w:p w14:paraId="4A043A7F">
            <w:pPr>
              <w:rPr>
                <w:rFonts w:ascii="Arial"/>
                <w:sz w:val="21"/>
              </w:rPr>
            </w:pPr>
          </w:p>
        </w:tc>
      </w:tr>
      <w:tr w14:paraId="2E1C1C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48" w:hRule="atLeast"/>
        </w:trPr>
        <w:tc>
          <w:tcPr>
            <w:tcW w:w="893" w:type="dxa"/>
            <w:vAlign w:val="top"/>
          </w:tcPr>
          <w:p w14:paraId="05258430">
            <w:pPr>
              <w:pStyle w:val="6"/>
              <w:spacing w:before="132" w:line="227" w:lineRule="auto"/>
              <w:ind w:left="254" w:right="97" w:hanging="180"/>
              <w:rPr>
                <w:sz w:val="18"/>
                <w:szCs w:val="18"/>
              </w:rPr>
            </w:pPr>
            <w:r>
              <w:rPr>
                <w:spacing w:val="-3"/>
                <w:sz w:val="18"/>
                <w:szCs w:val="18"/>
              </w:rPr>
              <w:t>差分放大</w:t>
            </w:r>
            <w:r>
              <w:rPr>
                <w:spacing w:val="1"/>
                <w:sz w:val="18"/>
                <w:szCs w:val="18"/>
              </w:rPr>
              <w:t xml:space="preserve"> </w:t>
            </w:r>
            <w:r>
              <w:rPr>
                <w:spacing w:val="3"/>
                <w:sz w:val="18"/>
                <w:szCs w:val="18"/>
              </w:rPr>
              <w:t>电路</w:t>
            </w:r>
          </w:p>
        </w:tc>
        <w:tc>
          <w:tcPr>
            <w:tcW w:w="2334" w:type="dxa"/>
            <w:vAlign w:val="top"/>
          </w:tcPr>
          <w:p w14:paraId="711BB379">
            <w:pPr>
              <w:pStyle w:val="6"/>
              <w:spacing w:before="40" w:line="216" w:lineRule="auto"/>
              <w:ind w:left="2"/>
              <w:rPr>
                <w:sz w:val="18"/>
                <w:szCs w:val="18"/>
              </w:rPr>
            </w:pPr>
            <w:r>
              <w:rPr>
                <w:spacing w:val="1"/>
                <w:sz w:val="18"/>
                <w:szCs w:val="18"/>
              </w:rPr>
              <w:t>1.电路的基本形成、特点</w:t>
            </w:r>
          </w:p>
          <w:p w14:paraId="491E8AAA">
            <w:pPr>
              <w:pStyle w:val="6"/>
              <w:spacing w:line="198" w:lineRule="auto"/>
              <w:ind w:left="2" w:right="151" w:firstLine="19"/>
              <w:rPr>
                <w:sz w:val="18"/>
                <w:szCs w:val="18"/>
              </w:rPr>
            </w:pPr>
            <w:r>
              <w:rPr>
                <w:spacing w:val="-1"/>
                <w:sz w:val="18"/>
                <w:szCs w:val="18"/>
              </w:rPr>
              <w:t>2.差模、共模放大倍数和共</w:t>
            </w:r>
            <w:r>
              <w:rPr>
                <w:spacing w:val="2"/>
                <w:sz w:val="18"/>
                <w:szCs w:val="18"/>
              </w:rPr>
              <w:t xml:space="preserve"> </w:t>
            </w:r>
            <w:r>
              <w:rPr>
                <w:spacing w:val="-2"/>
                <w:sz w:val="18"/>
                <w:szCs w:val="18"/>
              </w:rPr>
              <w:t>模抑制比</w:t>
            </w:r>
          </w:p>
        </w:tc>
        <w:tc>
          <w:tcPr>
            <w:tcW w:w="230" w:type="dxa"/>
            <w:vAlign w:val="top"/>
          </w:tcPr>
          <w:p w14:paraId="6C97F5F1">
            <w:pPr>
              <w:rPr>
                <w:rFonts w:ascii="Arial"/>
                <w:sz w:val="21"/>
              </w:rPr>
            </w:pPr>
          </w:p>
        </w:tc>
        <w:tc>
          <w:tcPr>
            <w:tcW w:w="229" w:type="dxa"/>
            <w:vAlign w:val="top"/>
          </w:tcPr>
          <w:p w14:paraId="280F24CF">
            <w:pPr>
              <w:rPr>
                <w:rFonts w:ascii="Arial"/>
                <w:sz w:val="21"/>
              </w:rPr>
            </w:pPr>
          </w:p>
        </w:tc>
        <w:tc>
          <w:tcPr>
            <w:tcW w:w="220" w:type="dxa"/>
            <w:vAlign w:val="top"/>
          </w:tcPr>
          <w:p w14:paraId="50E6EBDB">
            <w:pPr>
              <w:rPr>
                <w:rFonts w:ascii="Arial"/>
                <w:sz w:val="21"/>
              </w:rPr>
            </w:pPr>
          </w:p>
          <w:p w14:paraId="18654680">
            <w:pPr>
              <w:pStyle w:val="6"/>
              <w:spacing w:before="39" w:line="238" w:lineRule="auto"/>
              <w:ind w:left="48"/>
              <w:rPr>
                <w:sz w:val="12"/>
                <w:szCs w:val="12"/>
              </w:rPr>
            </w:pPr>
            <w:r>
              <w:rPr>
                <w:sz w:val="12"/>
                <w:szCs w:val="12"/>
              </w:rPr>
              <w:t>√</w:t>
            </w:r>
          </w:p>
        </w:tc>
        <w:tc>
          <w:tcPr>
            <w:tcW w:w="234" w:type="dxa"/>
            <w:vAlign w:val="top"/>
          </w:tcPr>
          <w:p w14:paraId="3BC084E1">
            <w:pPr>
              <w:rPr>
                <w:rFonts w:ascii="Arial"/>
                <w:sz w:val="21"/>
              </w:rPr>
            </w:pPr>
          </w:p>
        </w:tc>
      </w:tr>
      <w:tr w14:paraId="30AE7E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980" w:hRule="atLeast"/>
        </w:trPr>
        <w:tc>
          <w:tcPr>
            <w:tcW w:w="893" w:type="dxa"/>
            <w:vAlign w:val="top"/>
          </w:tcPr>
          <w:p w14:paraId="0C8A2C00">
            <w:pPr>
              <w:spacing w:line="243" w:lineRule="auto"/>
              <w:rPr>
                <w:rFonts w:ascii="Arial"/>
                <w:sz w:val="21"/>
              </w:rPr>
            </w:pPr>
          </w:p>
          <w:p w14:paraId="0F3F7AB7">
            <w:pPr>
              <w:spacing w:line="243" w:lineRule="auto"/>
              <w:rPr>
                <w:rFonts w:ascii="Arial"/>
                <w:sz w:val="21"/>
              </w:rPr>
            </w:pPr>
          </w:p>
          <w:p w14:paraId="1B19336C">
            <w:pPr>
              <w:spacing w:line="244" w:lineRule="auto"/>
              <w:rPr>
                <w:rFonts w:ascii="Arial"/>
                <w:sz w:val="21"/>
              </w:rPr>
            </w:pPr>
          </w:p>
          <w:p w14:paraId="1C4E5E46">
            <w:pPr>
              <w:pStyle w:val="6"/>
              <w:spacing w:before="58" w:line="219" w:lineRule="auto"/>
              <w:ind w:left="74"/>
              <w:rPr>
                <w:sz w:val="18"/>
                <w:szCs w:val="18"/>
              </w:rPr>
            </w:pPr>
            <w:r>
              <w:rPr>
                <w:spacing w:val="-2"/>
                <w:sz w:val="18"/>
                <w:szCs w:val="18"/>
              </w:rPr>
              <w:t>集成运算</w:t>
            </w:r>
          </w:p>
          <w:p w14:paraId="2E92396E">
            <w:pPr>
              <w:pStyle w:val="6"/>
              <w:spacing w:before="47" w:line="220" w:lineRule="auto"/>
              <w:ind w:left="165"/>
              <w:rPr>
                <w:sz w:val="18"/>
                <w:szCs w:val="18"/>
              </w:rPr>
            </w:pPr>
            <w:r>
              <w:rPr>
                <w:spacing w:val="-2"/>
                <w:sz w:val="18"/>
                <w:szCs w:val="18"/>
              </w:rPr>
              <w:t>放大器</w:t>
            </w:r>
          </w:p>
        </w:tc>
        <w:tc>
          <w:tcPr>
            <w:tcW w:w="2334" w:type="dxa"/>
            <w:vAlign w:val="top"/>
          </w:tcPr>
          <w:p w14:paraId="71DAE89C">
            <w:pPr>
              <w:pStyle w:val="6"/>
              <w:spacing w:before="34" w:line="222" w:lineRule="auto"/>
              <w:ind w:left="2" w:right="135" w:firstLine="19"/>
              <w:rPr>
                <w:sz w:val="18"/>
                <w:szCs w:val="18"/>
              </w:rPr>
            </w:pPr>
            <w:r>
              <w:rPr>
                <w:sz w:val="18"/>
                <w:szCs w:val="18"/>
              </w:rPr>
              <w:t>1.集成运算放大器的组成框</w:t>
            </w:r>
            <w:r>
              <w:rPr>
                <w:spacing w:val="6"/>
                <w:sz w:val="18"/>
                <w:szCs w:val="18"/>
              </w:rPr>
              <w:t xml:space="preserve"> </w:t>
            </w:r>
            <w:r>
              <w:rPr>
                <w:spacing w:val="2"/>
                <w:sz w:val="18"/>
                <w:szCs w:val="18"/>
              </w:rPr>
              <w:t>图、符号</w:t>
            </w:r>
          </w:p>
          <w:p w14:paraId="79291897">
            <w:pPr>
              <w:pStyle w:val="6"/>
              <w:spacing w:before="14" w:line="226" w:lineRule="auto"/>
              <w:ind w:left="2" w:right="152"/>
              <w:jc w:val="both"/>
              <w:rPr>
                <w:sz w:val="18"/>
                <w:szCs w:val="18"/>
              </w:rPr>
            </w:pPr>
            <w:r>
              <w:rPr>
                <w:spacing w:val="-1"/>
                <w:sz w:val="18"/>
                <w:szCs w:val="18"/>
              </w:rPr>
              <w:t>2.理想集成运算放大器特征</w:t>
            </w:r>
            <w:r>
              <w:rPr>
                <w:spacing w:val="2"/>
                <w:sz w:val="18"/>
                <w:szCs w:val="18"/>
              </w:rPr>
              <w:t xml:space="preserve"> </w:t>
            </w:r>
            <w:r>
              <w:rPr>
                <w:sz w:val="18"/>
                <w:szCs w:val="18"/>
              </w:rPr>
              <w:t>3.集成运算放大器的两种基</w:t>
            </w:r>
            <w:r>
              <w:rPr>
                <w:spacing w:val="8"/>
                <w:sz w:val="18"/>
                <w:szCs w:val="18"/>
              </w:rPr>
              <w:t xml:space="preserve"> </w:t>
            </w:r>
            <w:r>
              <w:rPr>
                <w:spacing w:val="-2"/>
                <w:sz w:val="18"/>
                <w:szCs w:val="18"/>
              </w:rPr>
              <w:t>本电路</w:t>
            </w:r>
          </w:p>
          <w:p w14:paraId="346E9C87">
            <w:pPr>
              <w:pStyle w:val="6"/>
              <w:spacing w:before="1" w:line="225" w:lineRule="auto"/>
              <w:ind w:left="2" w:right="71"/>
              <w:rPr>
                <w:sz w:val="18"/>
                <w:szCs w:val="18"/>
              </w:rPr>
            </w:pPr>
            <w:r>
              <w:rPr>
                <w:spacing w:val="6"/>
                <w:sz w:val="18"/>
                <w:szCs w:val="18"/>
              </w:rPr>
              <w:t>4.集成运放构成的加法器、</w:t>
            </w:r>
            <w:r>
              <w:rPr>
                <w:spacing w:val="11"/>
                <w:sz w:val="18"/>
                <w:szCs w:val="18"/>
              </w:rPr>
              <w:t xml:space="preserve"> </w:t>
            </w:r>
            <w:r>
              <w:rPr>
                <w:spacing w:val="-1"/>
                <w:sz w:val="18"/>
                <w:szCs w:val="18"/>
              </w:rPr>
              <w:t>减法器、比例器</w:t>
            </w:r>
          </w:p>
          <w:p w14:paraId="523C8E24">
            <w:pPr>
              <w:pStyle w:val="6"/>
              <w:spacing w:line="198" w:lineRule="auto"/>
              <w:ind w:left="2"/>
              <w:rPr>
                <w:sz w:val="18"/>
                <w:szCs w:val="18"/>
              </w:rPr>
            </w:pPr>
            <w:r>
              <w:rPr>
                <w:spacing w:val="-2"/>
                <w:sz w:val="18"/>
                <w:szCs w:val="18"/>
              </w:rPr>
              <w:t>5.集成运放使用的保护措施、</w:t>
            </w:r>
            <w:r>
              <w:rPr>
                <w:spacing w:val="8"/>
                <w:sz w:val="18"/>
                <w:szCs w:val="18"/>
              </w:rPr>
              <w:t xml:space="preserve"> </w:t>
            </w:r>
            <w:r>
              <w:rPr>
                <w:spacing w:val="-7"/>
                <w:sz w:val="18"/>
                <w:szCs w:val="18"/>
              </w:rPr>
              <w:t>故障分析</w:t>
            </w:r>
          </w:p>
        </w:tc>
        <w:tc>
          <w:tcPr>
            <w:tcW w:w="230" w:type="dxa"/>
            <w:vAlign w:val="top"/>
          </w:tcPr>
          <w:p w14:paraId="5CD09881">
            <w:pPr>
              <w:pStyle w:val="6"/>
              <w:spacing w:before="43" w:line="238" w:lineRule="auto"/>
              <w:ind w:left="47"/>
              <w:rPr>
                <w:sz w:val="12"/>
                <w:szCs w:val="12"/>
              </w:rPr>
            </w:pPr>
            <w:r>
              <w:rPr>
                <w:sz w:val="12"/>
                <w:szCs w:val="12"/>
              </w:rPr>
              <w:t>√</w:t>
            </w:r>
          </w:p>
        </w:tc>
        <w:tc>
          <w:tcPr>
            <w:tcW w:w="229" w:type="dxa"/>
            <w:vAlign w:val="top"/>
          </w:tcPr>
          <w:p w14:paraId="44749D47">
            <w:pPr>
              <w:rPr>
                <w:rFonts w:ascii="Arial"/>
                <w:sz w:val="21"/>
              </w:rPr>
            </w:pPr>
          </w:p>
        </w:tc>
        <w:tc>
          <w:tcPr>
            <w:tcW w:w="220" w:type="dxa"/>
            <w:vAlign w:val="top"/>
          </w:tcPr>
          <w:p w14:paraId="3B5FFF6A">
            <w:pPr>
              <w:rPr>
                <w:rFonts w:ascii="Arial"/>
                <w:sz w:val="21"/>
              </w:rPr>
            </w:pPr>
          </w:p>
        </w:tc>
        <w:tc>
          <w:tcPr>
            <w:tcW w:w="234" w:type="dxa"/>
            <w:vAlign w:val="top"/>
          </w:tcPr>
          <w:p w14:paraId="0A331681">
            <w:pPr>
              <w:rPr>
                <w:rFonts w:ascii="Arial"/>
                <w:sz w:val="21"/>
              </w:rPr>
            </w:pPr>
          </w:p>
        </w:tc>
      </w:tr>
    </w:tbl>
    <w:p w14:paraId="75DE7DB2">
      <w:pPr>
        <w:spacing w:before="119" w:line="222" w:lineRule="auto"/>
        <w:ind w:left="1177"/>
        <w:rPr>
          <w:rFonts w:ascii="黑体" w:hAnsi="黑体" w:eastAsia="黑体" w:cs="黑体"/>
          <w:sz w:val="20"/>
          <w:szCs w:val="20"/>
        </w:rPr>
      </w:pPr>
      <w:r>
        <w:rPr>
          <w:rFonts w:ascii="黑体" w:hAnsi="黑体" w:eastAsia="黑体" w:cs="黑体"/>
          <w:b/>
          <w:bCs/>
          <w:spacing w:val="-5"/>
          <w:sz w:val="20"/>
          <w:szCs w:val="20"/>
        </w:rPr>
        <w:t>第六章</w:t>
      </w:r>
      <w:r>
        <w:rPr>
          <w:rFonts w:ascii="黑体" w:hAnsi="黑体" w:eastAsia="黑体" w:cs="黑体"/>
          <w:spacing w:val="-5"/>
          <w:sz w:val="20"/>
          <w:szCs w:val="20"/>
        </w:rPr>
        <w:t xml:space="preserve">  </w:t>
      </w:r>
      <w:r>
        <w:rPr>
          <w:rFonts w:ascii="黑体" w:hAnsi="黑体" w:eastAsia="黑体" w:cs="黑体"/>
          <w:b/>
          <w:bCs/>
          <w:spacing w:val="-5"/>
          <w:sz w:val="20"/>
          <w:szCs w:val="20"/>
        </w:rPr>
        <w:t>功率放大器</w:t>
      </w:r>
    </w:p>
    <w:p w14:paraId="634023FC">
      <w:pPr>
        <w:spacing w:line="80" w:lineRule="exact"/>
      </w:pPr>
    </w:p>
    <w:tbl>
      <w:tblPr>
        <w:tblStyle w:val="5"/>
        <w:tblW w:w="414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83"/>
        <w:gridCol w:w="2334"/>
        <w:gridCol w:w="230"/>
        <w:gridCol w:w="230"/>
        <w:gridCol w:w="219"/>
        <w:gridCol w:w="244"/>
      </w:tblGrid>
      <w:tr w14:paraId="4AEE88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3" w:hRule="atLeast"/>
        </w:trPr>
        <w:tc>
          <w:tcPr>
            <w:tcW w:w="883" w:type="dxa"/>
            <w:vMerge w:val="restart"/>
            <w:tcBorders>
              <w:bottom w:val="nil"/>
            </w:tcBorders>
            <w:vAlign w:val="top"/>
          </w:tcPr>
          <w:p w14:paraId="094C71A0">
            <w:pPr>
              <w:pStyle w:val="6"/>
              <w:spacing w:before="130" w:line="226" w:lineRule="auto"/>
              <w:ind w:left="266" w:right="25" w:hanging="259"/>
            </w:pPr>
            <w:r>
              <w:rPr>
                <w:b/>
                <w:bCs/>
                <w:spacing w:val="-4"/>
              </w:rPr>
              <w:t>知识与技能</w:t>
            </w:r>
            <w:r>
              <w:t xml:space="preserve"> </w:t>
            </w:r>
            <w:r>
              <w:rPr>
                <w:b/>
                <w:bCs/>
                <w:spacing w:val="-4"/>
              </w:rPr>
              <w:t>要点</w:t>
            </w:r>
          </w:p>
        </w:tc>
        <w:tc>
          <w:tcPr>
            <w:tcW w:w="2334" w:type="dxa"/>
            <w:vMerge w:val="restart"/>
            <w:tcBorders>
              <w:bottom w:val="nil"/>
            </w:tcBorders>
            <w:vAlign w:val="top"/>
          </w:tcPr>
          <w:p w14:paraId="4ABE7974">
            <w:pPr>
              <w:pStyle w:val="6"/>
              <w:spacing w:before="239" w:line="219" w:lineRule="auto"/>
              <w:ind w:left="844"/>
            </w:pPr>
            <w:r>
              <w:rPr>
                <w:b/>
                <w:bCs/>
                <w:spacing w:val="5"/>
              </w:rPr>
              <w:t>考试条目</w:t>
            </w:r>
          </w:p>
        </w:tc>
        <w:tc>
          <w:tcPr>
            <w:tcW w:w="923" w:type="dxa"/>
            <w:gridSpan w:val="4"/>
            <w:vAlign w:val="top"/>
          </w:tcPr>
          <w:p w14:paraId="0532C13C">
            <w:pPr>
              <w:pStyle w:val="6"/>
              <w:spacing w:before="79" w:line="219" w:lineRule="auto"/>
              <w:ind w:left="140"/>
            </w:pPr>
            <w:r>
              <w:rPr>
                <w:b/>
                <w:bCs/>
                <w:spacing w:val="-4"/>
              </w:rPr>
              <w:t>考试水平</w:t>
            </w:r>
          </w:p>
        </w:tc>
      </w:tr>
      <w:tr w14:paraId="08DD5E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883" w:type="dxa"/>
            <w:vMerge w:val="continue"/>
            <w:tcBorders>
              <w:top w:val="nil"/>
            </w:tcBorders>
            <w:vAlign w:val="top"/>
          </w:tcPr>
          <w:p w14:paraId="4F6D607C">
            <w:pPr>
              <w:rPr>
                <w:rFonts w:ascii="Arial"/>
                <w:sz w:val="21"/>
              </w:rPr>
            </w:pPr>
          </w:p>
        </w:tc>
        <w:tc>
          <w:tcPr>
            <w:tcW w:w="2334" w:type="dxa"/>
            <w:vMerge w:val="continue"/>
            <w:tcBorders>
              <w:top w:val="nil"/>
            </w:tcBorders>
            <w:vAlign w:val="top"/>
          </w:tcPr>
          <w:p w14:paraId="3B9468A8">
            <w:pPr>
              <w:rPr>
                <w:rFonts w:ascii="Arial"/>
                <w:sz w:val="21"/>
              </w:rPr>
            </w:pPr>
          </w:p>
        </w:tc>
        <w:tc>
          <w:tcPr>
            <w:tcW w:w="230" w:type="dxa"/>
            <w:vAlign w:val="top"/>
          </w:tcPr>
          <w:p w14:paraId="78145B8B">
            <w:pPr>
              <w:pStyle w:val="6"/>
              <w:spacing w:before="112" w:line="184" w:lineRule="auto"/>
              <w:ind w:left="20"/>
            </w:pPr>
            <w:r>
              <w:rPr>
                <w:b/>
                <w:bCs/>
                <w:spacing w:val="-2"/>
              </w:rPr>
              <w:t>A</w:t>
            </w:r>
          </w:p>
        </w:tc>
        <w:tc>
          <w:tcPr>
            <w:tcW w:w="230" w:type="dxa"/>
            <w:vAlign w:val="top"/>
          </w:tcPr>
          <w:p w14:paraId="405812DD">
            <w:pPr>
              <w:pStyle w:val="6"/>
              <w:spacing w:before="113" w:line="182" w:lineRule="auto"/>
              <w:ind w:left="20"/>
            </w:pPr>
            <w:r>
              <w:rPr>
                <w:b/>
                <w:bCs/>
                <w:spacing w:val="-2"/>
              </w:rPr>
              <w:t>B</w:t>
            </w:r>
          </w:p>
        </w:tc>
        <w:tc>
          <w:tcPr>
            <w:tcW w:w="219" w:type="dxa"/>
            <w:vAlign w:val="top"/>
          </w:tcPr>
          <w:p w14:paraId="2F26A319">
            <w:pPr>
              <w:pStyle w:val="6"/>
              <w:spacing w:before="111" w:line="183" w:lineRule="auto"/>
              <w:ind w:left="50"/>
            </w:pPr>
            <w:r>
              <w:rPr>
                <w:b/>
                <w:bCs/>
                <w:spacing w:val="-2"/>
              </w:rPr>
              <w:t>C</w:t>
            </w:r>
          </w:p>
        </w:tc>
        <w:tc>
          <w:tcPr>
            <w:tcW w:w="244" w:type="dxa"/>
            <w:vAlign w:val="top"/>
          </w:tcPr>
          <w:p w14:paraId="301ED294">
            <w:pPr>
              <w:pStyle w:val="6"/>
              <w:spacing w:before="113" w:line="182" w:lineRule="auto"/>
              <w:ind w:left="31"/>
            </w:pPr>
            <w:r>
              <w:rPr>
                <w:b/>
                <w:bCs/>
                <w:spacing w:val="-2"/>
              </w:rPr>
              <w:t>D</w:t>
            </w:r>
          </w:p>
        </w:tc>
      </w:tr>
      <w:tr w14:paraId="11160D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7" w:hRule="atLeast"/>
        </w:trPr>
        <w:tc>
          <w:tcPr>
            <w:tcW w:w="883" w:type="dxa"/>
            <w:vAlign w:val="top"/>
          </w:tcPr>
          <w:p w14:paraId="31F3879A">
            <w:pPr>
              <w:pStyle w:val="6"/>
              <w:spacing w:before="170" w:line="247" w:lineRule="auto"/>
              <w:ind w:left="173" w:right="107" w:hanging="79"/>
            </w:pPr>
            <w:r>
              <w:rPr>
                <w:spacing w:val="-3"/>
              </w:rPr>
              <w:t>功率放大</w:t>
            </w:r>
            <w:r>
              <w:rPr>
                <w:spacing w:val="1"/>
              </w:rPr>
              <w:t xml:space="preserve"> </w:t>
            </w:r>
            <w:r>
              <w:rPr>
                <w:spacing w:val="2"/>
              </w:rPr>
              <w:t>的概念</w:t>
            </w:r>
          </w:p>
        </w:tc>
        <w:tc>
          <w:tcPr>
            <w:tcW w:w="2334" w:type="dxa"/>
            <w:vAlign w:val="top"/>
          </w:tcPr>
          <w:p w14:paraId="42B64DEF">
            <w:pPr>
              <w:pStyle w:val="6"/>
              <w:spacing w:before="190" w:line="229" w:lineRule="auto"/>
              <w:ind w:left="12" w:right="774"/>
            </w:pPr>
            <w:r>
              <w:t>1.功率放大器的要求</w:t>
            </w:r>
            <w:r>
              <w:rPr>
                <w:spacing w:val="6"/>
              </w:rPr>
              <w:t xml:space="preserve"> </w:t>
            </w:r>
            <w:r>
              <w:rPr>
                <w:spacing w:val="-1"/>
              </w:rPr>
              <w:t>2.功率放大器的分类</w:t>
            </w:r>
          </w:p>
        </w:tc>
        <w:tc>
          <w:tcPr>
            <w:tcW w:w="230" w:type="dxa"/>
            <w:vAlign w:val="top"/>
          </w:tcPr>
          <w:p w14:paraId="7D29DB6C">
            <w:pPr>
              <w:rPr>
                <w:rFonts w:ascii="Arial"/>
                <w:sz w:val="21"/>
              </w:rPr>
            </w:pPr>
          </w:p>
        </w:tc>
        <w:tc>
          <w:tcPr>
            <w:tcW w:w="230" w:type="dxa"/>
            <w:vAlign w:val="top"/>
          </w:tcPr>
          <w:p w14:paraId="1DF795D5">
            <w:pPr>
              <w:rPr>
                <w:rFonts w:ascii="Arial"/>
                <w:sz w:val="21"/>
              </w:rPr>
            </w:pPr>
          </w:p>
        </w:tc>
        <w:tc>
          <w:tcPr>
            <w:tcW w:w="219" w:type="dxa"/>
            <w:vAlign w:val="top"/>
          </w:tcPr>
          <w:p w14:paraId="4EDF2DC8">
            <w:pPr>
              <w:rPr>
                <w:rFonts w:ascii="Arial"/>
                <w:sz w:val="21"/>
              </w:rPr>
            </w:pPr>
          </w:p>
        </w:tc>
        <w:tc>
          <w:tcPr>
            <w:tcW w:w="244" w:type="dxa"/>
            <w:vAlign w:val="top"/>
          </w:tcPr>
          <w:p w14:paraId="76B828B2">
            <w:pPr>
              <w:rPr>
                <w:rFonts w:ascii="Arial"/>
                <w:sz w:val="21"/>
              </w:rPr>
            </w:pPr>
          </w:p>
        </w:tc>
      </w:tr>
      <w:tr w14:paraId="5FFE26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51" w:hRule="atLeast"/>
        </w:trPr>
        <w:tc>
          <w:tcPr>
            <w:tcW w:w="883" w:type="dxa"/>
            <w:vAlign w:val="top"/>
          </w:tcPr>
          <w:p w14:paraId="0AED17BC">
            <w:pPr>
              <w:pStyle w:val="6"/>
              <w:spacing w:before="193" w:line="220" w:lineRule="auto"/>
              <w:ind w:left="94"/>
            </w:pPr>
            <w:r>
              <w:rPr>
                <w:spacing w:val="-2"/>
              </w:rPr>
              <w:t>互补对称</w:t>
            </w:r>
          </w:p>
          <w:p w14:paraId="313BEAE8">
            <w:pPr>
              <w:pStyle w:val="6"/>
              <w:spacing w:before="26" w:line="212" w:lineRule="auto"/>
              <w:ind w:left="94"/>
            </w:pPr>
            <w:r>
              <w:rPr>
                <w:spacing w:val="-2"/>
              </w:rPr>
              <w:t>功率放大</w:t>
            </w:r>
          </w:p>
          <w:p w14:paraId="54E7D484">
            <w:pPr>
              <w:pStyle w:val="6"/>
              <w:spacing w:line="224" w:lineRule="auto"/>
              <w:ind w:left="344"/>
            </w:pPr>
            <w:r>
              <w:t>器</w:t>
            </w:r>
          </w:p>
        </w:tc>
        <w:tc>
          <w:tcPr>
            <w:tcW w:w="2334" w:type="dxa"/>
            <w:vAlign w:val="top"/>
          </w:tcPr>
          <w:p w14:paraId="795500A1">
            <w:pPr>
              <w:pStyle w:val="6"/>
              <w:spacing w:before="192" w:line="229" w:lineRule="auto"/>
              <w:ind w:left="12" w:right="176" w:firstLine="10"/>
              <w:jc w:val="both"/>
            </w:pPr>
            <w:r>
              <w:t xml:space="preserve">1.0CL电路的组成和工作原理 2.OTL电路的组成和工作原理 </w:t>
            </w:r>
            <w:r>
              <w:rPr>
                <w:spacing w:val="-1"/>
              </w:rPr>
              <w:t>3.复合三极管组合方式</w:t>
            </w:r>
          </w:p>
        </w:tc>
        <w:tc>
          <w:tcPr>
            <w:tcW w:w="230" w:type="dxa"/>
            <w:vAlign w:val="top"/>
          </w:tcPr>
          <w:p w14:paraId="4C94C991">
            <w:pPr>
              <w:rPr>
                <w:rFonts w:ascii="Arial"/>
                <w:sz w:val="21"/>
              </w:rPr>
            </w:pPr>
          </w:p>
        </w:tc>
        <w:tc>
          <w:tcPr>
            <w:tcW w:w="230" w:type="dxa"/>
            <w:vAlign w:val="top"/>
          </w:tcPr>
          <w:p w14:paraId="2B8BC18E">
            <w:pPr>
              <w:rPr>
                <w:rFonts w:ascii="Arial"/>
                <w:sz w:val="21"/>
              </w:rPr>
            </w:pPr>
          </w:p>
        </w:tc>
        <w:tc>
          <w:tcPr>
            <w:tcW w:w="219" w:type="dxa"/>
            <w:vAlign w:val="top"/>
          </w:tcPr>
          <w:p w14:paraId="202782C8">
            <w:pPr>
              <w:rPr>
                <w:rFonts w:ascii="Arial"/>
                <w:sz w:val="21"/>
              </w:rPr>
            </w:pPr>
          </w:p>
        </w:tc>
        <w:tc>
          <w:tcPr>
            <w:tcW w:w="244" w:type="dxa"/>
            <w:vAlign w:val="top"/>
          </w:tcPr>
          <w:p w14:paraId="381581CF">
            <w:pPr>
              <w:rPr>
                <w:rFonts w:ascii="Arial"/>
                <w:sz w:val="21"/>
              </w:rPr>
            </w:pPr>
          </w:p>
        </w:tc>
      </w:tr>
    </w:tbl>
    <w:p w14:paraId="03DD8E0F">
      <w:pPr>
        <w:spacing w:before="118" w:line="221" w:lineRule="auto"/>
        <w:ind w:left="1077"/>
        <w:rPr>
          <w:rFonts w:ascii="黑体" w:hAnsi="黑体" w:eastAsia="黑体" w:cs="黑体"/>
          <w:sz w:val="20"/>
          <w:szCs w:val="20"/>
        </w:rPr>
      </w:pPr>
      <w:r>
        <w:rPr>
          <w:rFonts w:ascii="黑体" w:hAnsi="黑体" w:eastAsia="黑体" w:cs="黑体"/>
          <w:b/>
          <w:bCs/>
          <w:spacing w:val="-8"/>
          <w:sz w:val="20"/>
          <w:szCs w:val="20"/>
        </w:rPr>
        <w:t>第七章</w:t>
      </w:r>
      <w:r>
        <w:rPr>
          <w:rFonts w:ascii="黑体" w:hAnsi="黑体" w:eastAsia="黑体" w:cs="黑体"/>
          <w:spacing w:val="16"/>
          <w:sz w:val="20"/>
          <w:szCs w:val="20"/>
        </w:rPr>
        <w:t xml:space="preserve">  </w:t>
      </w:r>
      <w:r>
        <w:rPr>
          <w:rFonts w:ascii="黑体" w:hAnsi="黑体" w:eastAsia="黑体" w:cs="黑体"/>
          <w:b/>
          <w:bCs/>
          <w:spacing w:val="-8"/>
          <w:sz w:val="20"/>
          <w:szCs w:val="20"/>
        </w:rPr>
        <w:t>直流稳压电源</w:t>
      </w:r>
    </w:p>
    <w:p w14:paraId="78DD4D1C">
      <w:pPr>
        <w:spacing w:line="82" w:lineRule="exact"/>
      </w:pPr>
    </w:p>
    <w:tbl>
      <w:tblPr>
        <w:tblStyle w:val="5"/>
        <w:tblW w:w="414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34"/>
        <w:gridCol w:w="230"/>
        <w:gridCol w:w="229"/>
        <w:gridCol w:w="220"/>
        <w:gridCol w:w="234"/>
      </w:tblGrid>
      <w:tr w14:paraId="312434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3" w:hRule="atLeast"/>
        </w:trPr>
        <w:tc>
          <w:tcPr>
            <w:tcW w:w="893" w:type="dxa"/>
            <w:vMerge w:val="restart"/>
            <w:tcBorders>
              <w:bottom w:val="nil"/>
            </w:tcBorders>
            <w:vAlign w:val="top"/>
          </w:tcPr>
          <w:p w14:paraId="2AF105D7">
            <w:pPr>
              <w:pStyle w:val="6"/>
              <w:spacing w:before="140" w:line="225" w:lineRule="auto"/>
              <w:ind w:left="257" w:right="1" w:hanging="240"/>
              <w:rPr>
                <w:sz w:val="18"/>
                <w:szCs w:val="18"/>
              </w:rPr>
            </w:pPr>
            <w:r>
              <w:rPr>
                <w:b/>
                <w:bCs/>
                <w:spacing w:val="-10"/>
                <w:sz w:val="18"/>
                <w:szCs w:val="18"/>
              </w:rPr>
              <w:t>知识与技能</w:t>
            </w:r>
            <w:r>
              <w:rPr>
                <w:spacing w:val="3"/>
                <w:sz w:val="18"/>
                <w:szCs w:val="18"/>
              </w:rPr>
              <w:t xml:space="preserve"> </w:t>
            </w:r>
            <w:r>
              <w:rPr>
                <w:b/>
                <w:bCs/>
                <w:spacing w:val="-4"/>
                <w:sz w:val="18"/>
                <w:szCs w:val="18"/>
              </w:rPr>
              <w:t>要点</w:t>
            </w:r>
          </w:p>
        </w:tc>
        <w:tc>
          <w:tcPr>
            <w:tcW w:w="2334" w:type="dxa"/>
            <w:vMerge w:val="restart"/>
            <w:tcBorders>
              <w:bottom w:val="nil"/>
            </w:tcBorders>
            <w:vAlign w:val="top"/>
          </w:tcPr>
          <w:p w14:paraId="6E966CF0">
            <w:pPr>
              <w:pStyle w:val="6"/>
              <w:spacing w:before="240" w:line="219" w:lineRule="auto"/>
              <w:ind w:left="844"/>
              <w:rPr>
                <w:sz w:val="18"/>
                <w:szCs w:val="18"/>
              </w:rPr>
            </w:pPr>
            <w:r>
              <w:rPr>
                <w:b/>
                <w:bCs/>
                <w:spacing w:val="5"/>
                <w:sz w:val="18"/>
                <w:szCs w:val="18"/>
              </w:rPr>
              <w:t>考试条目</w:t>
            </w:r>
          </w:p>
        </w:tc>
        <w:tc>
          <w:tcPr>
            <w:tcW w:w="913" w:type="dxa"/>
            <w:gridSpan w:val="4"/>
            <w:vAlign w:val="top"/>
          </w:tcPr>
          <w:p w14:paraId="38E7B0B1">
            <w:pPr>
              <w:pStyle w:val="6"/>
              <w:spacing w:before="80" w:line="219" w:lineRule="auto"/>
              <w:ind w:left="130"/>
              <w:rPr>
                <w:sz w:val="18"/>
                <w:szCs w:val="18"/>
              </w:rPr>
            </w:pPr>
            <w:r>
              <w:rPr>
                <w:b/>
                <w:bCs/>
                <w:spacing w:val="-4"/>
                <w:sz w:val="18"/>
                <w:szCs w:val="18"/>
              </w:rPr>
              <w:t>考试水平</w:t>
            </w:r>
          </w:p>
        </w:tc>
      </w:tr>
      <w:tr w14:paraId="6048DB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8" w:hRule="atLeast"/>
        </w:trPr>
        <w:tc>
          <w:tcPr>
            <w:tcW w:w="893" w:type="dxa"/>
            <w:vMerge w:val="continue"/>
            <w:tcBorders>
              <w:top w:val="nil"/>
            </w:tcBorders>
            <w:vAlign w:val="top"/>
          </w:tcPr>
          <w:p w14:paraId="01719662">
            <w:pPr>
              <w:rPr>
                <w:rFonts w:ascii="Arial"/>
                <w:sz w:val="21"/>
              </w:rPr>
            </w:pPr>
          </w:p>
        </w:tc>
        <w:tc>
          <w:tcPr>
            <w:tcW w:w="2334" w:type="dxa"/>
            <w:vMerge w:val="continue"/>
            <w:tcBorders>
              <w:top w:val="nil"/>
            </w:tcBorders>
            <w:vAlign w:val="top"/>
          </w:tcPr>
          <w:p w14:paraId="46C747D9">
            <w:pPr>
              <w:rPr>
                <w:rFonts w:ascii="Arial"/>
                <w:sz w:val="21"/>
              </w:rPr>
            </w:pPr>
          </w:p>
        </w:tc>
        <w:tc>
          <w:tcPr>
            <w:tcW w:w="230" w:type="dxa"/>
            <w:vAlign w:val="top"/>
          </w:tcPr>
          <w:p w14:paraId="4E149E97">
            <w:pPr>
              <w:pStyle w:val="6"/>
              <w:spacing w:before="114" w:line="184" w:lineRule="auto"/>
              <w:ind w:left="20"/>
              <w:rPr>
                <w:sz w:val="18"/>
                <w:szCs w:val="18"/>
              </w:rPr>
            </w:pPr>
            <w:r>
              <w:rPr>
                <w:b/>
                <w:bCs/>
                <w:spacing w:val="-2"/>
                <w:sz w:val="18"/>
                <w:szCs w:val="18"/>
              </w:rPr>
              <w:t>A</w:t>
            </w:r>
          </w:p>
        </w:tc>
        <w:tc>
          <w:tcPr>
            <w:tcW w:w="229" w:type="dxa"/>
            <w:vAlign w:val="top"/>
          </w:tcPr>
          <w:p w14:paraId="5EEE4810">
            <w:pPr>
              <w:pStyle w:val="6"/>
              <w:spacing w:before="116" w:line="182" w:lineRule="auto"/>
              <w:ind w:left="10"/>
              <w:rPr>
                <w:sz w:val="18"/>
                <w:szCs w:val="18"/>
              </w:rPr>
            </w:pPr>
            <w:r>
              <w:rPr>
                <w:b/>
                <w:bCs/>
                <w:spacing w:val="-2"/>
                <w:sz w:val="18"/>
                <w:szCs w:val="18"/>
              </w:rPr>
              <w:t>B</w:t>
            </w:r>
          </w:p>
        </w:tc>
        <w:tc>
          <w:tcPr>
            <w:tcW w:w="220" w:type="dxa"/>
            <w:vAlign w:val="top"/>
          </w:tcPr>
          <w:p w14:paraId="3861E2C4">
            <w:pPr>
              <w:pStyle w:val="6"/>
              <w:spacing w:before="114" w:line="183" w:lineRule="auto"/>
              <w:ind w:left="51"/>
              <w:rPr>
                <w:sz w:val="18"/>
                <w:szCs w:val="18"/>
              </w:rPr>
            </w:pPr>
            <w:r>
              <w:rPr>
                <w:b/>
                <w:bCs/>
                <w:spacing w:val="-2"/>
                <w:sz w:val="18"/>
                <w:szCs w:val="18"/>
              </w:rPr>
              <w:t>C</w:t>
            </w:r>
          </w:p>
        </w:tc>
        <w:tc>
          <w:tcPr>
            <w:tcW w:w="234" w:type="dxa"/>
            <w:vAlign w:val="top"/>
          </w:tcPr>
          <w:p w14:paraId="779464E5">
            <w:pPr>
              <w:pStyle w:val="6"/>
              <w:spacing w:before="116" w:line="182" w:lineRule="auto"/>
              <w:ind w:right="2"/>
              <w:jc w:val="right"/>
              <w:rPr>
                <w:sz w:val="18"/>
                <w:szCs w:val="18"/>
              </w:rPr>
            </w:pPr>
            <w:r>
              <w:rPr>
                <w:b/>
                <w:bCs/>
                <w:spacing w:val="-2"/>
                <w:sz w:val="18"/>
                <w:szCs w:val="18"/>
              </w:rPr>
              <w:t>D</w:t>
            </w:r>
          </w:p>
        </w:tc>
      </w:tr>
      <w:tr w14:paraId="4B85F9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19" w:hRule="atLeast"/>
        </w:trPr>
        <w:tc>
          <w:tcPr>
            <w:tcW w:w="893" w:type="dxa"/>
            <w:vAlign w:val="top"/>
          </w:tcPr>
          <w:p w14:paraId="0DB47E23">
            <w:pPr>
              <w:spacing w:line="378" w:lineRule="auto"/>
              <w:rPr>
                <w:rFonts w:ascii="Arial"/>
                <w:sz w:val="21"/>
              </w:rPr>
            </w:pPr>
          </w:p>
          <w:p w14:paraId="33A2E047">
            <w:pPr>
              <w:pStyle w:val="6"/>
              <w:spacing w:before="58" w:line="215" w:lineRule="auto"/>
              <w:ind w:left="37" w:right="93" w:firstLine="39"/>
              <w:rPr>
                <w:sz w:val="18"/>
                <w:szCs w:val="18"/>
              </w:rPr>
            </w:pPr>
            <w:r>
              <w:rPr>
                <w:b/>
                <w:bCs/>
                <w:spacing w:val="-5"/>
                <w:sz w:val="18"/>
                <w:szCs w:val="18"/>
              </w:rPr>
              <w:t>直流稳压</w:t>
            </w:r>
            <w:r>
              <w:rPr>
                <w:spacing w:val="2"/>
                <w:sz w:val="18"/>
                <w:szCs w:val="18"/>
              </w:rPr>
              <w:t xml:space="preserve"> </w:t>
            </w:r>
            <w:r>
              <w:rPr>
                <w:b/>
                <w:bCs/>
                <w:spacing w:val="-1"/>
                <w:sz w:val="18"/>
                <w:szCs w:val="18"/>
              </w:rPr>
              <w:t>电源</w:t>
            </w:r>
          </w:p>
        </w:tc>
        <w:tc>
          <w:tcPr>
            <w:tcW w:w="2334" w:type="dxa"/>
            <w:vAlign w:val="top"/>
          </w:tcPr>
          <w:p w14:paraId="7FD6AD04">
            <w:pPr>
              <w:pStyle w:val="6"/>
              <w:spacing w:before="99" w:line="215" w:lineRule="auto"/>
              <w:ind w:left="4"/>
              <w:rPr>
                <w:sz w:val="18"/>
                <w:szCs w:val="18"/>
              </w:rPr>
            </w:pPr>
            <w:r>
              <w:rPr>
                <w:b/>
                <w:bCs/>
                <w:spacing w:val="-2"/>
                <w:sz w:val="18"/>
                <w:szCs w:val="18"/>
              </w:rPr>
              <w:t>1.并联型稳压电路</w:t>
            </w:r>
          </w:p>
          <w:p w14:paraId="36026C0B">
            <w:pPr>
              <w:pStyle w:val="6"/>
              <w:spacing w:before="1" w:line="227" w:lineRule="auto"/>
              <w:ind w:left="4" w:right="148" w:firstLine="19"/>
              <w:rPr>
                <w:sz w:val="18"/>
                <w:szCs w:val="18"/>
              </w:rPr>
            </w:pPr>
            <w:r>
              <w:rPr>
                <w:b/>
                <w:bCs/>
                <w:spacing w:val="-3"/>
                <w:sz w:val="18"/>
                <w:szCs w:val="18"/>
              </w:rPr>
              <w:t>2.具有放大环节的串联型稳</w:t>
            </w:r>
            <w:r>
              <w:rPr>
                <w:spacing w:val="4"/>
                <w:sz w:val="18"/>
                <w:szCs w:val="18"/>
              </w:rPr>
              <w:t xml:space="preserve"> </w:t>
            </w:r>
            <w:r>
              <w:rPr>
                <w:b/>
                <w:bCs/>
                <w:sz w:val="18"/>
                <w:szCs w:val="18"/>
              </w:rPr>
              <w:t>压电路(组成、工作原理)</w:t>
            </w:r>
            <w:r>
              <w:rPr>
                <w:spacing w:val="5"/>
                <w:sz w:val="18"/>
                <w:szCs w:val="18"/>
              </w:rPr>
              <w:t xml:space="preserve">  </w:t>
            </w:r>
            <w:r>
              <w:rPr>
                <w:b/>
                <w:bCs/>
                <w:spacing w:val="-2"/>
                <w:sz w:val="18"/>
                <w:szCs w:val="18"/>
              </w:rPr>
              <w:t>3.三端集成稳压电源的测试</w:t>
            </w:r>
            <w:r>
              <w:rPr>
                <w:spacing w:val="9"/>
                <w:sz w:val="18"/>
                <w:szCs w:val="18"/>
              </w:rPr>
              <w:t xml:space="preserve"> </w:t>
            </w:r>
            <w:r>
              <w:rPr>
                <w:b/>
                <w:bCs/>
                <w:spacing w:val="-4"/>
                <w:sz w:val="18"/>
                <w:szCs w:val="18"/>
              </w:rPr>
              <w:t>方法</w:t>
            </w:r>
          </w:p>
        </w:tc>
        <w:tc>
          <w:tcPr>
            <w:tcW w:w="230" w:type="dxa"/>
            <w:vAlign w:val="top"/>
          </w:tcPr>
          <w:p w14:paraId="2B9EB206">
            <w:pPr>
              <w:rPr>
                <w:rFonts w:ascii="Arial"/>
                <w:sz w:val="21"/>
              </w:rPr>
            </w:pPr>
          </w:p>
        </w:tc>
        <w:tc>
          <w:tcPr>
            <w:tcW w:w="229" w:type="dxa"/>
            <w:vAlign w:val="top"/>
          </w:tcPr>
          <w:p w14:paraId="132203FB">
            <w:pPr>
              <w:pStyle w:val="6"/>
              <w:spacing w:before="102" w:line="238" w:lineRule="auto"/>
              <w:ind w:left="8"/>
              <w:rPr>
                <w:sz w:val="13"/>
                <w:szCs w:val="13"/>
              </w:rPr>
            </w:pPr>
            <w:r>
              <w:rPr>
                <w:sz w:val="13"/>
                <w:szCs w:val="13"/>
              </w:rPr>
              <w:t>√</w:t>
            </w:r>
          </w:p>
          <w:p w14:paraId="24853570">
            <w:pPr>
              <w:spacing w:line="457" w:lineRule="auto"/>
              <w:rPr>
                <w:rFonts w:ascii="Arial"/>
                <w:sz w:val="21"/>
              </w:rPr>
            </w:pPr>
          </w:p>
          <w:p w14:paraId="2DB56D22">
            <w:pPr>
              <w:pStyle w:val="6"/>
              <w:spacing w:before="42" w:line="238" w:lineRule="auto"/>
              <w:ind w:left="8"/>
              <w:rPr>
                <w:sz w:val="13"/>
                <w:szCs w:val="13"/>
              </w:rPr>
            </w:pPr>
            <w:r>
              <w:rPr>
                <w:sz w:val="13"/>
                <w:szCs w:val="13"/>
              </w:rPr>
              <w:t>√</w:t>
            </w:r>
          </w:p>
        </w:tc>
        <w:tc>
          <w:tcPr>
            <w:tcW w:w="220" w:type="dxa"/>
            <w:vAlign w:val="top"/>
          </w:tcPr>
          <w:p w14:paraId="1964FBD4">
            <w:pPr>
              <w:rPr>
                <w:rFonts w:ascii="Arial"/>
                <w:sz w:val="21"/>
              </w:rPr>
            </w:pPr>
          </w:p>
        </w:tc>
        <w:tc>
          <w:tcPr>
            <w:tcW w:w="234" w:type="dxa"/>
            <w:vAlign w:val="top"/>
          </w:tcPr>
          <w:p w14:paraId="2746A636">
            <w:pPr>
              <w:spacing w:line="248" w:lineRule="auto"/>
              <w:rPr>
                <w:rFonts w:ascii="Arial"/>
                <w:sz w:val="21"/>
              </w:rPr>
            </w:pPr>
          </w:p>
          <w:p w14:paraId="78C8F907">
            <w:pPr>
              <w:pStyle w:val="6"/>
              <w:spacing w:before="42" w:line="238" w:lineRule="auto"/>
              <w:ind w:left="29"/>
              <w:rPr>
                <w:sz w:val="13"/>
                <w:szCs w:val="13"/>
              </w:rPr>
            </w:pPr>
            <w:r>
              <w:rPr>
                <w:sz w:val="13"/>
                <w:szCs w:val="13"/>
              </w:rPr>
              <w:t>√</w:t>
            </w:r>
          </w:p>
        </w:tc>
      </w:tr>
    </w:tbl>
    <w:p w14:paraId="10D8A9B7">
      <w:pPr>
        <w:spacing w:before="129" w:line="222" w:lineRule="auto"/>
        <w:ind w:left="687"/>
        <w:rPr>
          <w:rFonts w:ascii="黑体" w:hAnsi="黑体" w:eastAsia="黑体" w:cs="黑体"/>
          <w:sz w:val="20"/>
          <w:szCs w:val="20"/>
        </w:rPr>
      </w:pPr>
      <w:r>
        <w:rPr>
          <w:rFonts w:ascii="黑体" w:hAnsi="黑体" w:eastAsia="黑体" w:cs="黑体"/>
          <w:b/>
          <w:bCs/>
          <w:spacing w:val="-4"/>
          <w:sz w:val="20"/>
          <w:szCs w:val="20"/>
        </w:rPr>
        <w:t>第八章</w:t>
      </w:r>
      <w:r>
        <w:rPr>
          <w:rFonts w:ascii="黑体" w:hAnsi="黑体" w:eastAsia="黑体" w:cs="黑体"/>
          <w:spacing w:val="-4"/>
          <w:sz w:val="20"/>
          <w:szCs w:val="20"/>
        </w:rPr>
        <w:t xml:space="preserve">  </w:t>
      </w:r>
      <w:r>
        <w:rPr>
          <w:rFonts w:ascii="黑体" w:hAnsi="黑体" w:eastAsia="黑体" w:cs="黑体"/>
          <w:b/>
          <w:bCs/>
          <w:spacing w:val="-4"/>
          <w:sz w:val="20"/>
          <w:szCs w:val="20"/>
        </w:rPr>
        <w:t>脉冲波形的产生和整形</w:t>
      </w:r>
    </w:p>
    <w:p w14:paraId="5EE4D960">
      <w:pPr>
        <w:spacing w:line="70" w:lineRule="exact"/>
      </w:pPr>
    </w:p>
    <w:tbl>
      <w:tblPr>
        <w:tblStyle w:val="5"/>
        <w:tblW w:w="4119" w:type="dxa"/>
        <w:tblInd w:w="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14"/>
        <w:gridCol w:w="220"/>
        <w:gridCol w:w="229"/>
        <w:gridCol w:w="229"/>
        <w:gridCol w:w="234"/>
      </w:tblGrid>
      <w:tr w14:paraId="44150A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3" w:hRule="atLeast"/>
        </w:trPr>
        <w:tc>
          <w:tcPr>
            <w:tcW w:w="893" w:type="dxa"/>
            <w:vMerge w:val="restart"/>
            <w:tcBorders>
              <w:bottom w:val="nil"/>
            </w:tcBorders>
            <w:vAlign w:val="top"/>
          </w:tcPr>
          <w:p w14:paraId="10A75271">
            <w:pPr>
              <w:pStyle w:val="6"/>
              <w:spacing w:before="130" w:line="225" w:lineRule="auto"/>
              <w:ind w:left="257" w:right="1" w:hanging="240"/>
              <w:rPr>
                <w:sz w:val="18"/>
                <w:szCs w:val="18"/>
              </w:rPr>
            </w:pPr>
            <w:r>
              <w:rPr>
                <w:b/>
                <w:bCs/>
                <w:spacing w:val="-10"/>
                <w:sz w:val="18"/>
                <w:szCs w:val="18"/>
              </w:rPr>
              <w:t>知识与技能</w:t>
            </w:r>
            <w:r>
              <w:rPr>
                <w:spacing w:val="3"/>
                <w:sz w:val="18"/>
                <w:szCs w:val="18"/>
              </w:rPr>
              <w:t xml:space="preserve"> </w:t>
            </w:r>
            <w:r>
              <w:rPr>
                <w:b/>
                <w:bCs/>
                <w:spacing w:val="-4"/>
                <w:sz w:val="18"/>
                <w:szCs w:val="18"/>
              </w:rPr>
              <w:t>要点</w:t>
            </w:r>
          </w:p>
        </w:tc>
        <w:tc>
          <w:tcPr>
            <w:tcW w:w="2314" w:type="dxa"/>
            <w:vMerge w:val="restart"/>
            <w:tcBorders>
              <w:bottom w:val="nil"/>
            </w:tcBorders>
            <w:vAlign w:val="top"/>
          </w:tcPr>
          <w:p w14:paraId="29857F72">
            <w:pPr>
              <w:pStyle w:val="6"/>
              <w:spacing w:before="239" w:line="219" w:lineRule="auto"/>
              <w:ind w:left="834"/>
              <w:rPr>
                <w:sz w:val="18"/>
                <w:szCs w:val="18"/>
              </w:rPr>
            </w:pPr>
            <w:r>
              <w:rPr>
                <w:b/>
                <w:bCs/>
                <w:spacing w:val="5"/>
                <w:sz w:val="18"/>
                <w:szCs w:val="18"/>
              </w:rPr>
              <w:t>考试条目</w:t>
            </w:r>
          </w:p>
        </w:tc>
        <w:tc>
          <w:tcPr>
            <w:tcW w:w="912" w:type="dxa"/>
            <w:gridSpan w:val="4"/>
            <w:vAlign w:val="top"/>
          </w:tcPr>
          <w:p w14:paraId="3504978A">
            <w:pPr>
              <w:pStyle w:val="6"/>
              <w:spacing w:before="69" w:line="219" w:lineRule="auto"/>
              <w:ind w:left="130"/>
              <w:rPr>
                <w:sz w:val="18"/>
                <w:szCs w:val="18"/>
              </w:rPr>
            </w:pPr>
            <w:r>
              <w:rPr>
                <w:b/>
                <w:bCs/>
                <w:spacing w:val="-4"/>
                <w:sz w:val="18"/>
                <w:szCs w:val="18"/>
              </w:rPr>
              <w:t>考试水平</w:t>
            </w:r>
          </w:p>
        </w:tc>
      </w:tr>
      <w:tr w14:paraId="425E59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893" w:type="dxa"/>
            <w:vMerge w:val="continue"/>
            <w:tcBorders>
              <w:top w:val="nil"/>
            </w:tcBorders>
            <w:vAlign w:val="top"/>
          </w:tcPr>
          <w:p w14:paraId="60DFD905">
            <w:pPr>
              <w:rPr>
                <w:rFonts w:ascii="Arial"/>
                <w:sz w:val="21"/>
              </w:rPr>
            </w:pPr>
          </w:p>
        </w:tc>
        <w:tc>
          <w:tcPr>
            <w:tcW w:w="2314" w:type="dxa"/>
            <w:vMerge w:val="continue"/>
            <w:tcBorders>
              <w:top w:val="nil"/>
            </w:tcBorders>
            <w:vAlign w:val="top"/>
          </w:tcPr>
          <w:p w14:paraId="5520CB82">
            <w:pPr>
              <w:rPr>
                <w:rFonts w:ascii="Arial"/>
                <w:sz w:val="21"/>
              </w:rPr>
            </w:pPr>
          </w:p>
        </w:tc>
        <w:tc>
          <w:tcPr>
            <w:tcW w:w="220" w:type="dxa"/>
            <w:vAlign w:val="top"/>
          </w:tcPr>
          <w:p w14:paraId="2CE8E0A1">
            <w:pPr>
              <w:pStyle w:val="6"/>
              <w:spacing w:before="114" w:line="184" w:lineRule="auto"/>
              <w:ind w:left="60"/>
              <w:rPr>
                <w:sz w:val="18"/>
                <w:szCs w:val="18"/>
              </w:rPr>
            </w:pPr>
            <w:r>
              <w:rPr>
                <w:b/>
                <w:bCs/>
                <w:spacing w:val="-2"/>
                <w:sz w:val="18"/>
                <w:szCs w:val="18"/>
              </w:rPr>
              <w:t>A</w:t>
            </w:r>
          </w:p>
        </w:tc>
        <w:tc>
          <w:tcPr>
            <w:tcW w:w="229" w:type="dxa"/>
            <w:vAlign w:val="top"/>
          </w:tcPr>
          <w:p w14:paraId="342EAA1C">
            <w:pPr>
              <w:pStyle w:val="6"/>
              <w:spacing w:before="116" w:line="182" w:lineRule="auto"/>
              <w:ind w:left="20"/>
              <w:rPr>
                <w:sz w:val="18"/>
                <w:szCs w:val="18"/>
              </w:rPr>
            </w:pPr>
            <w:r>
              <w:rPr>
                <w:b/>
                <w:bCs/>
                <w:spacing w:val="-2"/>
                <w:sz w:val="18"/>
                <w:szCs w:val="18"/>
              </w:rPr>
              <w:t>B</w:t>
            </w:r>
          </w:p>
        </w:tc>
        <w:tc>
          <w:tcPr>
            <w:tcW w:w="229" w:type="dxa"/>
            <w:vAlign w:val="top"/>
          </w:tcPr>
          <w:p w14:paraId="684A5E59">
            <w:pPr>
              <w:pStyle w:val="6"/>
              <w:spacing w:before="114" w:line="183" w:lineRule="auto"/>
              <w:ind w:left="21"/>
              <w:rPr>
                <w:sz w:val="18"/>
                <w:szCs w:val="18"/>
              </w:rPr>
            </w:pPr>
            <w:r>
              <w:rPr>
                <w:b/>
                <w:bCs/>
                <w:spacing w:val="-2"/>
                <w:sz w:val="18"/>
                <w:szCs w:val="18"/>
              </w:rPr>
              <w:t>C</w:t>
            </w:r>
          </w:p>
        </w:tc>
        <w:tc>
          <w:tcPr>
            <w:tcW w:w="234" w:type="dxa"/>
            <w:vAlign w:val="top"/>
          </w:tcPr>
          <w:p w14:paraId="4557C5C5">
            <w:pPr>
              <w:pStyle w:val="6"/>
              <w:spacing w:before="116" w:line="182" w:lineRule="auto"/>
              <w:ind w:left="22"/>
              <w:rPr>
                <w:sz w:val="18"/>
                <w:szCs w:val="18"/>
              </w:rPr>
            </w:pPr>
            <w:r>
              <w:rPr>
                <w:b/>
                <w:bCs/>
                <w:spacing w:val="-2"/>
                <w:sz w:val="18"/>
                <w:szCs w:val="18"/>
              </w:rPr>
              <w:t>D</w:t>
            </w:r>
          </w:p>
        </w:tc>
      </w:tr>
      <w:tr w14:paraId="22C64A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97" w:hRule="atLeast"/>
        </w:trPr>
        <w:tc>
          <w:tcPr>
            <w:tcW w:w="893" w:type="dxa"/>
            <w:vAlign w:val="top"/>
          </w:tcPr>
          <w:p w14:paraId="24377583">
            <w:pPr>
              <w:pStyle w:val="6"/>
              <w:spacing w:before="221" w:line="221" w:lineRule="auto"/>
              <w:ind w:left="74"/>
              <w:rPr>
                <w:sz w:val="18"/>
                <w:szCs w:val="18"/>
              </w:rPr>
            </w:pPr>
            <w:r>
              <w:rPr>
                <w:spacing w:val="-2"/>
                <w:sz w:val="18"/>
                <w:szCs w:val="18"/>
              </w:rPr>
              <w:t>脉冲的基</w:t>
            </w:r>
          </w:p>
          <w:p w14:paraId="4051F03A">
            <w:pPr>
              <w:pStyle w:val="6"/>
              <w:spacing w:before="12" w:line="219" w:lineRule="auto"/>
              <w:ind w:left="164"/>
              <w:rPr>
                <w:sz w:val="18"/>
                <w:szCs w:val="18"/>
              </w:rPr>
            </w:pPr>
            <w:r>
              <w:rPr>
                <w:spacing w:val="-2"/>
                <w:sz w:val="18"/>
                <w:szCs w:val="18"/>
              </w:rPr>
              <w:t>本概念</w:t>
            </w:r>
          </w:p>
        </w:tc>
        <w:tc>
          <w:tcPr>
            <w:tcW w:w="2314" w:type="dxa"/>
            <w:vAlign w:val="top"/>
          </w:tcPr>
          <w:p w14:paraId="3353F67A">
            <w:pPr>
              <w:pStyle w:val="6"/>
              <w:spacing w:before="228" w:line="218" w:lineRule="auto"/>
              <w:ind w:left="2" w:right="493"/>
              <w:rPr>
                <w:sz w:val="18"/>
                <w:szCs w:val="18"/>
              </w:rPr>
            </w:pPr>
            <w:r>
              <w:rPr>
                <w:sz w:val="18"/>
                <w:szCs w:val="18"/>
              </w:rPr>
              <w:t>1.几种常见的脉冲波形</w:t>
            </w:r>
            <w:r>
              <w:rPr>
                <w:spacing w:val="7"/>
                <w:sz w:val="18"/>
                <w:szCs w:val="18"/>
              </w:rPr>
              <w:t xml:space="preserve"> </w:t>
            </w:r>
            <w:r>
              <w:rPr>
                <w:spacing w:val="-1"/>
                <w:sz w:val="18"/>
                <w:szCs w:val="18"/>
              </w:rPr>
              <w:t>2.矩形脉冲波形参数</w:t>
            </w:r>
          </w:p>
        </w:tc>
        <w:tc>
          <w:tcPr>
            <w:tcW w:w="220" w:type="dxa"/>
            <w:textDirection w:val="tbRlV"/>
            <w:vAlign w:val="top"/>
          </w:tcPr>
          <w:p w14:paraId="008AE129">
            <w:pPr>
              <w:pStyle w:val="6"/>
              <w:spacing w:before="20" w:line="197" w:lineRule="auto"/>
              <w:ind w:left="183"/>
              <w:rPr>
                <w:sz w:val="18"/>
                <w:szCs w:val="18"/>
              </w:rPr>
            </w:pPr>
            <w:r>
              <w:rPr>
                <w:spacing w:val="14"/>
                <w:w w:val="135"/>
                <w:sz w:val="18"/>
                <w:szCs w:val="18"/>
              </w:rPr>
              <w:t>&lt;八</w:t>
            </w:r>
          </w:p>
        </w:tc>
        <w:tc>
          <w:tcPr>
            <w:tcW w:w="229" w:type="dxa"/>
            <w:vAlign w:val="top"/>
          </w:tcPr>
          <w:p w14:paraId="6A111D7B">
            <w:pPr>
              <w:rPr>
                <w:rFonts w:ascii="Arial"/>
                <w:sz w:val="21"/>
              </w:rPr>
            </w:pPr>
          </w:p>
        </w:tc>
        <w:tc>
          <w:tcPr>
            <w:tcW w:w="229" w:type="dxa"/>
            <w:vAlign w:val="top"/>
          </w:tcPr>
          <w:p w14:paraId="031FC27E">
            <w:pPr>
              <w:rPr>
                <w:rFonts w:ascii="Arial"/>
                <w:sz w:val="21"/>
              </w:rPr>
            </w:pPr>
          </w:p>
        </w:tc>
        <w:tc>
          <w:tcPr>
            <w:tcW w:w="234" w:type="dxa"/>
            <w:vAlign w:val="top"/>
          </w:tcPr>
          <w:p w14:paraId="7D0C4A69">
            <w:pPr>
              <w:rPr>
                <w:rFonts w:ascii="Arial"/>
                <w:sz w:val="21"/>
              </w:rPr>
            </w:pPr>
          </w:p>
        </w:tc>
      </w:tr>
      <w:tr w14:paraId="11C58D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01" w:hRule="atLeast"/>
        </w:trPr>
        <w:tc>
          <w:tcPr>
            <w:tcW w:w="893" w:type="dxa"/>
            <w:vAlign w:val="top"/>
          </w:tcPr>
          <w:p w14:paraId="05C12AE2">
            <w:pPr>
              <w:spacing w:line="293" w:lineRule="auto"/>
              <w:rPr>
                <w:rFonts w:ascii="Arial"/>
                <w:sz w:val="21"/>
              </w:rPr>
            </w:pPr>
          </w:p>
          <w:p w14:paraId="1D681DD3">
            <w:pPr>
              <w:pStyle w:val="6"/>
              <w:spacing w:before="59" w:line="222" w:lineRule="auto"/>
              <w:ind w:left="74" w:right="89" w:firstLine="10"/>
              <w:rPr>
                <w:sz w:val="18"/>
                <w:szCs w:val="18"/>
              </w:rPr>
            </w:pPr>
            <w:r>
              <w:rPr>
                <w:spacing w:val="-8"/>
                <w:sz w:val="18"/>
                <w:szCs w:val="18"/>
              </w:rPr>
              <w:t>R</w:t>
            </w:r>
            <w:r>
              <w:rPr>
                <w:spacing w:val="-24"/>
                <w:sz w:val="18"/>
                <w:szCs w:val="18"/>
              </w:rPr>
              <w:t xml:space="preserve"> </w:t>
            </w:r>
            <w:r>
              <w:rPr>
                <w:spacing w:val="-8"/>
                <w:sz w:val="18"/>
                <w:szCs w:val="18"/>
              </w:rPr>
              <w:t>C</w:t>
            </w:r>
            <w:r>
              <w:rPr>
                <w:spacing w:val="-24"/>
                <w:sz w:val="18"/>
                <w:szCs w:val="18"/>
              </w:rPr>
              <w:t xml:space="preserve"> </w:t>
            </w:r>
            <w:r>
              <w:rPr>
                <w:spacing w:val="-8"/>
                <w:sz w:val="18"/>
                <w:szCs w:val="18"/>
              </w:rPr>
              <w:t>波</w:t>
            </w:r>
            <w:r>
              <w:rPr>
                <w:spacing w:val="-23"/>
                <w:sz w:val="18"/>
                <w:szCs w:val="18"/>
              </w:rPr>
              <w:t xml:space="preserve"> </w:t>
            </w:r>
            <w:r>
              <w:rPr>
                <w:spacing w:val="-8"/>
                <w:sz w:val="18"/>
                <w:szCs w:val="18"/>
              </w:rPr>
              <w:t>形</w:t>
            </w:r>
            <w:r>
              <w:rPr>
                <w:sz w:val="18"/>
                <w:szCs w:val="18"/>
              </w:rPr>
              <w:t xml:space="preserve"> </w:t>
            </w:r>
            <w:r>
              <w:rPr>
                <w:spacing w:val="-2"/>
                <w:sz w:val="18"/>
                <w:szCs w:val="18"/>
              </w:rPr>
              <w:t>变化电路</w:t>
            </w:r>
          </w:p>
        </w:tc>
        <w:tc>
          <w:tcPr>
            <w:tcW w:w="2314" w:type="dxa"/>
            <w:vAlign w:val="top"/>
          </w:tcPr>
          <w:p w14:paraId="6A7F6F42">
            <w:pPr>
              <w:pStyle w:val="6"/>
              <w:spacing w:before="153" w:line="217" w:lineRule="auto"/>
              <w:ind w:left="2" w:right="204" w:firstLine="9"/>
              <w:rPr>
                <w:sz w:val="18"/>
                <w:szCs w:val="18"/>
              </w:rPr>
            </w:pPr>
            <w:r>
              <w:rPr>
                <w:spacing w:val="1"/>
                <w:sz w:val="18"/>
                <w:szCs w:val="18"/>
              </w:rPr>
              <w:t>1.</w:t>
            </w:r>
            <w:r>
              <w:rPr>
                <w:sz w:val="18"/>
                <w:szCs w:val="18"/>
              </w:rPr>
              <w:t>RC</w:t>
            </w:r>
            <w:r>
              <w:rPr>
                <w:spacing w:val="1"/>
                <w:sz w:val="18"/>
                <w:szCs w:val="18"/>
              </w:rPr>
              <w:t>微分电路(组成、时间</w:t>
            </w:r>
            <w:r>
              <w:rPr>
                <w:spacing w:val="4"/>
                <w:sz w:val="18"/>
                <w:szCs w:val="18"/>
              </w:rPr>
              <w:t xml:space="preserve"> 常数、输出波形)</w:t>
            </w:r>
          </w:p>
          <w:p w14:paraId="3DB5B8CA">
            <w:pPr>
              <w:pStyle w:val="6"/>
              <w:spacing w:before="16" w:line="217" w:lineRule="auto"/>
              <w:ind w:left="2" w:right="214"/>
              <w:rPr>
                <w:sz w:val="18"/>
                <w:szCs w:val="18"/>
              </w:rPr>
            </w:pPr>
            <w:r>
              <w:rPr>
                <w:spacing w:val="1"/>
                <w:sz w:val="18"/>
                <w:szCs w:val="18"/>
              </w:rPr>
              <w:t>2.</w:t>
            </w:r>
            <w:r>
              <w:rPr>
                <w:sz w:val="18"/>
                <w:szCs w:val="18"/>
              </w:rPr>
              <w:t>RC</w:t>
            </w:r>
            <w:r>
              <w:rPr>
                <w:spacing w:val="1"/>
                <w:sz w:val="18"/>
                <w:szCs w:val="18"/>
              </w:rPr>
              <w:t>积分电路(组成、时间</w:t>
            </w:r>
            <w:r>
              <w:rPr>
                <w:spacing w:val="4"/>
                <w:sz w:val="18"/>
                <w:szCs w:val="18"/>
              </w:rPr>
              <w:t xml:space="preserve"> 常数、输出波形)</w:t>
            </w:r>
          </w:p>
        </w:tc>
        <w:tc>
          <w:tcPr>
            <w:tcW w:w="220" w:type="dxa"/>
            <w:vAlign w:val="top"/>
          </w:tcPr>
          <w:p w14:paraId="1E182365">
            <w:pPr>
              <w:rPr>
                <w:rFonts w:ascii="Arial"/>
                <w:sz w:val="21"/>
              </w:rPr>
            </w:pPr>
          </w:p>
        </w:tc>
        <w:tc>
          <w:tcPr>
            <w:tcW w:w="229" w:type="dxa"/>
            <w:vAlign w:val="top"/>
          </w:tcPr>
          <w:p w14:paraId="1EB4613F">
            <w:pPr>
              <w:rPr>
                <w:rFonts w:ascii="Arial"/>
                <w:sz w:val="21"/>
              </w:rPr>
            </w:pPr>
          </w:p>
        </w:tc>
        <w:tc>
          <w:tcPr>
            <w:tcW w:w="229" w:type="dxa"/>
            <w:vAlign w:val="top"/>
          </w:tcPr>
          <w:p w14:paraId="09A71493">
            <w:pPr>
              <w:rPr>
                <w:rFonts w:ascii="Arial"/>
                <w:sz w:val="21"/>
              </w:rPr>
            </w:pPr>
          </w:p>
        </w:tc>
        <w:tc>
          <w:tcPr>
            <w:tcW w:w="234" w:type="dxa"/>
            <w:vAlign w:val="top"/>
          </w:tcPr>
          <w:p w14:paraId="2512CD05">
            <w:pPr>
              <w:rPr>
                <w:rFonts w:ascii="Arial"/>
                <w:sz w:val="21"/>
              </w:rPr>
            </w:pPr>
          </w:p>
        </w:tc>
      </w:tr>
    </w:tbl>
    <w:p w14:paraId="3C579DC9">
      <w:pPr>
        <w:pStyle w:val="2"/>
        <w:spacing w:line="104" w:lineRule="auto"/>
        <w:rPr>
          <w:sz w:val="2"/>
        </w:rPr>
      </w:pPr>
    </w:p>
    <w:p w14:paraId="618BDDF4">
      <w:pPr>
        <w:spacing w:line="104" w:lineRule="auto"/>
        <w:rPr>
          <w:sz w:val="2"/>
          <w:szCs w:val="2"/>
        </w:rPr>
        <w:sectPr>
          <w:type w:val="continuous"/>
          <w:pgSz w:w="10660" w:h="15080"/>
          <w:pgMar w:top="400" w:right="1024" w:bottom="936" w:left="819" w:header="0" w:footer="715" w:gutter="0"/>
          <w:cols w:equalWidth="0" w:num="2">
            <w:col w:w="4566" w:space="100"/>
            <w:col w:w="4151"/>
          </w:cols>
        </w:sectPr>
      </w:pPr>
    </w:p>
    <w:p w14:paraId="62D30D71">
      <w:pPr>
        <w:spacing w:before="12"/>
      </w:pPr>
    </w:p>
    <w:p w14:paraId="66D9A9C8">
      <w:pPr>
        <w:spacing w:before="12"/>
      </w:pPr>
    </w:p>
    <w:p w14:paraId="0595FBA0">
      <w:pPr>
        <w:spacing w:before="12"/>
      </w:pPr>
    </w:p>
    <w:p w14:paraId="085C868B">
      <w:pPr>
        <w:spacing w:before="12"/>
      </w:pPr>
    </w:p>
    <w:p w14:paraId="25152AA1">
      <w:pPr>
        <w:sectPr>
          <w:footerReference r:id="rId37" w:type="default"/>
          <w:pgSz w:w="10660" w:h="15080"/>
          <w:pgMar w:top="400" w:right="905" w:bottom="917" w:left="1034" w:header="0" w:footer="709" w:gutter="0"/>
          <w:cols w:equalWidth="0" w:num="1">
            <w:col w:w="8720"/>
          </w:cols>
        </w:sectPr>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03"/>
        <w:gridCol w:w="2314"/>
        <w:gridCol w:w="229"/>
        <w:gridCol w:w="220"/>
        <w:gridCol w:w="229"/>
        <w:gridCol w:w="224"/>
      </w:tblGrid>
      <w:tr w14:paraId="5FD45C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70" w:hRule="atLeast"/>
        </w:trPr>
        <w:tc>
          <w:tcPr>
            <w:tcW w:w="903" w:type="dxa"/>
            <w:vAlign w:val="top"/>
          </w:tcPr>
          <w:p w14:paraId="2BB42DC3">
            <w:pPr>
              <w:spacing w:line="285" w:lineRule="auto"/>
              <w:rPr>
                <w:rFonts w:ascii="Arial"/>
                <w:sz w:val="21"/>
              </w:rPr>
            </w:pPr>
          </w:p>
          <w:p w14:paraId="2590C5A0">
            <w:pPr>
              <w:pStyle w:val="6"/>
              <w:spacing w:before="55" w:line="229" w:lineRule="auto"/>
              <w:ind w:left="105" w:right="94"/>
            </w:pPr>
            <w:r>
              <w:rPr>
                <w:spacing w:val="3"/>
              </w:rPr>
              <w:t>晶体管的</w:t>
            </w:r>
            <w:r>
              <w:t xml:space="preserve"> </w:t>
            </w:r>
            <w:r>
              <w:rPr>
                <w:spacing w:val="-2"/>
              </w:rPr>
              <w:t>开关特性</w:t>
            </w:r>
          </w:p>
        </w:tc>
        <w:tc>
          <w:tcPr>
            <w:tcW w:w="2314" w:type="dxa"/>
            <w:vAlign w:val="top"/>
          </w:tcPr>
          <w:p w14:paraId="5E48D8EA">
            <w:pPr>
              <w:spacing w:line="295" w:lineRule="auto"/>
              <w:rPr>
                <w:rFonts w:ascii="Arial"/>
                <w:sz w:val="21"/>
              </w:rPr>
            </w:pPr>
          </w:p>
          <w:p w14:paraId="2E22B4C4">
            <w:pPr>
              <w:pStyle w:val="6"/>
              <w:spacing w:before="55" w:line="236" w:lineRule="auto"/>
              <w:ind w:left="11" w:right="61"/>
            </w:pPr>
            <w:r>
              <w:rPr>
                <w:spacing w:val="1"/>
              </w:rPr>
              <w:t>1.二极管的开关特性及其应用</w:t>
            </w:r>
            <w:r>
              <w:rPr>
                <w:spacing w:val="5"/>
              </w:rPr>
              <w:t xml:space="preserve"> </w:t>
            </w:r>
            <w:r>
              <w:rPr>
                <w:spacing w:val="1"/>
              </w:rPr>
              <w:t>2.三极管的开关特性及其应用</w:t>
            </w:r>
          </w:p>
        </w:tc>
        <w:tc>
          <w:tcPr>
            <w:tcW w:w="229" w:type="dxa"/>
            <w:vAlign w:val="top"/>
          </w:tcPr>
          <w:p w14:paraId="5A695ABA">
            <w:pPr>
              <w:rPr>
                <w:rFonts w:ascii="Arial"/>
                <w:sz w:val="21"/>
              </w:rPr>
            </w:pPr>
          </w:p>
        </w:tc>
        <w:tc>
          <w:tcPr>
            <w:tcW w:w="220" w:type="dxa"/>
            <w:vAlign w:val="top"/>
          </w:tcPr>
          <w:p w14:paraId="286630BC">
            <w:pPr>
              <w:rPr>
                <w:rFonts w:ascii="Arial"/>
                <w:sz w:val="21"/>
              </w:rPr>
            </w:pPr>
          </w:p>
        </w:tc>
        <w:tc>
          <w:tcPr>
            <w:tcW w:w="229" w:type="dxa"/>
            <w:vAlign w:val="top"/>
          </w:tcPr>
          <w:p w14:paraId="5ECAD044">
            <w:pPr>
              <w:rPr>
                <w:rFonts w:ascii="Arial"/>
                <w:sz w:val="21"/>
              </w:rPr>
            </w:pPr>
          </w:p>
        </w:tc>
        <w:tc>
          <w:tcPr>
            <w:tcW w:w="224" w:type="dxa"/>
            <w:vAlign w:val="top"/>
          </w:tcPr>
          <w:p w14:paraId="0D5226E2">
            <w:pPr>
              <w:spacing w:line="397" w:lineRule="auto"/>
              <w:rPr>
                <w:rFonts w:ascii="Arial"/>
                <w:sz w:val="21"/>
              </w:rPr>
            </w:pPr>
          </w:p>
          <w:p w14:paraId="2478D0B9">
            <w:pPr>
              <w:spacing w:line="307" w:lineRule="exact"/>
              <w:ind w:firstLine="42"/>
            </w:pPr>
            <w:r>
              <w:rPr>
                <w:position w:val="-6"/>
              </w:rPr>
              <w:drawing>
                <wp:inline distT="0" distB="0" distL="0" distR="0">
                  <wp:extent cx="91440" cy="194945"/>
                  <wp:effectExtent l="0" t="0" r="0" b="0"/>
                  <wp:docPr id="184" name="IM 184"/>
                  <wp:cNvGraphicFramePr/>
                  <a:graphic xmlns:a="http://schemas.openxmlformats.org/drawingml/2006/main">
                    <a:graphicData uri="http://schemas.openxmlformats.org/drawingml/2006/picture">
                      <pic:pic xmlns:pic="http://schemas.openxmlformats.org/drawingml/2006/picture">
                        <pic:nvPicPr>
                          <pic:cNvPr id="184" name="IM 184"/>
                          <pic:cNvPicPr/>
                        </pic:nvPicPr>
                        <pic:blipFill>
                          <a:blip r:embed="rId257"/>
                          <a:stretch>
                            <a:fillRect/>
                          </a:stretch>
                        </pic:blipFill>
                        <pic:spPr>
                          <a:xfrm>
                            <a:off x="0" y="0"/>
                            <a:ext cx="91446" cy="195405"/>
                          </a:xfrm>
                          <a:prstGeom prst="rect">
                            <a:avLst/>
                          </a:prstGeom>
                        </pic:spPr>
                      </pic:pic>
                    </a:graphicData>
                  </a:graphic>
                </wp:inline>
              </w:drawing>
            </w:r>
          </w:p>
        </w:tc>
      </w:tr>
      <w:tr w14:paraId="596D9A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70" w:hRule="atLeast"/>
        </w:trPr>
        <w:tc>
          <w:tcPr>
            <w:tcW w:w="903" w:type="dxa"/>
            <w:vAlign w:val="top"/>
          </w:tcPr>
          <w:p w14:paraId="417EBF9F">
            <w:pPr>
              <w:pStyle w:val="6"/>
              <w:spacing w:before="242" w:line="216" w:lineRule="auto"/>
              <w:ind w:left="105"/>
            </w:pPr>
            <w:r>
              <w:rPr>
                <w:spacing w:val="-2"/>
              </w:rPr>
              <w:t>脉冲波形</w:t>
            </w:r>
          </w:p>
          <w:p w14:paraId="2392582E">
            <w:pPr>
              <w:pStyle w:val="6"/>
              <w:spacing w:line="219" w:lineRule="auto"/>
              <w:ind w:left="105"/>
            </w:pPr>
            <w:r>
              <w:rPr>
                <w:spacing w:val="3"/>
              </w:rPr>
              <w:t>的产生和</w:t>
            </w:r>
          </w:p>
          <w:p w14:paraId="053EB080">
            <w:pPr>
              <w:pStyle w:val="6"/>
              <w:spacing w:before="40" w:line="221" w:lineRule="auto"/>
              <w:ind w:left="275"/>
            </w:pPr>
            <w:r>
              <w:rPr>
                <w:spacing w:val="-2"/>
              </w:rPr>
              <w:t>整形</w:t>
            </w:r>
          </w:p>
        </w:tc>
        <w:tc>
          <w:tcPr>
            <w:tcW w:w="2314" w:type="dxa"/>
            <w:vAlign w:val="top"/>
          </w:tcPr>
          <w:p w14:paraId="4FE7D2FB">
            <w:pPr>
              <w:spacing w:line="294" w:lineRule="auto"/>
              <w:rPr>
                <w:rFonts w:ascii="Arial"/>
                <w:sz w:val="21"/>
              </w:rPr>
            </w:pPr>
          </w:p>
          <w:p w14:paraId="58004B6E">
            <w:pPr>
              <w:pStyle w:val="6"/>
              <w:spacing w:before="55" w:line="224" w:lineRule="auto"/>
              <w:ind w:left="11" w:right="600"/>
            </w:pPr>
            <w:r>
              <w:t>1.多谐振荡器的功能</w:t>
            </w:r>
            <w:r>
              <w:rPr>
                <w:spacing w:val="2"/>
              </w:rPr>
              <w:t xml:space="preserve">   </w:t>
            </w:r>
            <w:r>
              <w:rPr>
                <w:spacing w:val="-1"/>
              </w:rPr>
              <w:t>2.单稳态触发器的功能</w:t>
            </w:r>
          </w:p>
        </w:tc>
        <w:tc>
          <w:tcPr>
            <w:tcW w:w="229" w:type="dxa"/>
            <w:vAlign w:val="top"/>
          </w:tcPr>
          <w:p w14:paraId="3BCDF395">
            <w:pPr>
              <w:spacing w:line="397" w:lineRule="auto"/>
              <w:rPr>
                <w:rFonts w:ascii="Arial"/>
                <w:sz w:val="21"/>
              </w:rPr>
            </w:pPr>
          </w:p>
          <w:p w14:paraId="0607021D">
            <w:pPr>
              <w:spacing w:line="307" w:lineRule="exact"/>
              <w:ind w:firstLine="42"/>
            </w:pPr>
            <w:r>
              <w:rPr>
                <w:position w:val="-6"/>
              </w:rPr>
              <w:drawing>
                <wp:inline distT="0" distB="0" distL="0" distR="0">
                  <wp:extent cx="94615" cy="194945"/>
                  <wp:effectExtent l="0" t="0" r="0" b="0"/>
                  <wp:docPr id="186" name="IM 186"/>
                  <wp:cNvGraphicFramePr/>
                  <a:graphic xmlns:a="http://schemas.openxmlformats.org/drawingml/2006/main">
                    <a:graphicData uri="http://schemas.openxmlformats.org/drawingml/2006/picture">
                      <pic:pic xmlns:pic="http://schemas.openxmlformats.org/drawingml/2006/picture">
                        <pic:nvPicPr>
                          <pic:cNvPr id="186" name="IM 186"/>
                          <pic:cNvPicPr/>
                        </pic:nvPicPr>
                        <pic:blipFill>
                          <a:blip r:embed="rId258"/>
                          <a:stretch>
                            <a:fillRect/>
                          </a:stretch>
                        </pic:blipFill>
                        <pic:spPr>
                          <a:xfrm>
                            <a:off x="0" y="0"/>
                            <a:ext cx="94839" cy="195346"/>
                          </a:xfrm>
                          <a:prstGeom prst="rect">
                            <a:avLst/>
                          </a:prstGeom>
                        </pic:spPr>
                      </pic:pic>
                    </a:graphicData>
                  </a:graphic>
                </wp:inline>
              </w:drawing>
            </w:r>
          </w:p>
        </w:tc>
        <w:tc>
          <w:tcPr>
            <w:tcW w:w="220" w:type="dxa"/>
            <w:vAlign w:val="top"/>
          </w:tcPr>
          <w:p w14:paraId="612C1D13">
            <w:pPr>
              <w:rPr>
                <w:rFonts w:ascii="Arial"/>
                <w:sz w:val="21"/>
              </w:rPr>
            </w:pPr>
          </w:p>
        </w:tc>
        <w:tc>
          <w:tcPr>
            <w:tcW w:w="229" w:type="dxa"/>
            <w:vAlign w:val="top"/>
          </w:tcPr>
          <w:p w14:paraId="113B696F">
            <w:pPr>
              <w:rPr>
                <w:rFonts w:ascii="Arial"/>
                <w:sz w:val="21"/>
              </w:rPr>
            </w:pPr>
          </w:p>
        </w:tc>
        <w:tc>
          <w:tcPr>
            <w:tcW w:w="224" w:type="dxa"/>
            <w:vAlign w:val="top"/>
          </w:tcPr>
          <w:p w14:paraId="5996349D">
            <w:pPr>
              <w:rPr>
                <w:rFonts w:ascii="Arial"/>
                <w:sz w:val="21"/>
              </w:rPr>
            </w:pPr>
          </w:p>
        </w:tc>
      </w:tr>
    </w:tbl>
    <w:p w14:paraId="0FB244B0">
      <w:pPr>
        <w:spacing w:before="117" w:line="219" w:lineRule="auto"/>
        <w:ind w:left="1167"/>
        <w:rPr>
          <w:rFonts w:ascii="黑体" w:hAnsi="黑体" w:eastAsia="黑体" w:cs="黑体"/>
          <w:sz w:val="20"/>
          <w:szCs w:val="20"/>
        </w:rPr>
      </w:pPr>
      <w:r>
        <w:rPr>
          <w:rFonts w:ascii="黑体" w:hAnsi="黑体" w:eastAsia="黑体" w:cs="黑体"/>
          <w:b/>
          <w:bCs/>
          <w:spacing w:val="-5"/>
          <w:sz w:val="20"/>
          <w:szCs w:val="20"/>
        </w:rPr>
        <w:t>第三部分</w:t>
      </w:r>
      <w:r>
        <w:rPr>
          <w:rFonts w:ascii="黑体" w:hAnsi="黑体" w:eastAsia="黑体" w:cs="黑体"/>
          <w:spacing w:val="-5"/>
          <w:sz w:val="20"/>
          <w:szCs w:val="20"/>
        </w:rPr>
        <w:t xml:space="preserve">  </w:t>
      </w:r>
      <w:r>
        <w:rPr>
          <w:rFonts w:ascii="黑体" w:hAnsi="黑体" w:eastAsia="黑体" w:cs="黑体"/>
          <w:b/>
          <w:bCs/>
          <w:spacing w:val="-5"/>
          <w:sz w:val="20"/>
          <w:szCs w:val="20"/>
        </w:rPr>
        <w:t>电子线路</w:t>
      </w:r>
    </w:p>
    <w:p w14:paraId="4E18B235">
      <w:pPr>
        <w:pStyle w:val="2"/>
        <w:spacing w:line="287" w:lineRule="auto"/>
      </w:pPr>
    </w:p>
    <w:p w14:paraId="5FF12ABD">
      <w:pPr>
        <w:spacing w:before="65" w:line="222" w:lineRule="auto"/>
        <w:ind w:left="987"/>
        <w:rPr>
          <w:rFonts w:ascii="黑体" w:hAnsi="黑体" w:eastAsia="黑体" w:cs="黑体"/>
          <w:sz w:val="20"/>
          <w:szCs w:val="20"/>
        </w:rPr>
      </w:pPr>
      <w:r>
        <w:rPr>
          <w:rFonts w:ascii="黑体" w:hAnsi="黑体" w:eastAsia="黑体" w:cs="黑体"/>
          <w:b/>
          <w:bCs/>
          <w:spacing w:val="-8"/>
          <w:sz w:val="20"/>
          <w:szCs w:val="20"/>
        </w:rPr>
        <w:t>第一章</w:t>
      </w:r>
      <w:r>
        <w:rPr>
          <w:rFonts w:ascii="黑体" w:hAnsi="黑体" w:eastAsia="黑体" w:cs="黑体"/>
          <w:spacing w:val="15"/>
          <w:sz w:val="20"/>
          <w:szCs w:val="20"/>
        </w:rPr>
        <w:t xml:space="preserve">  </w:t>
      </w:r>
      <w:r>
        <w:rPr>
          <w:rFonts w:ascii="黑体" w:hAnsi="黑体" w:eastAsia="黑体" w:cs="黑体"/>
          <w:b/>
          <w:bCs/>
          <w:spacing w:val="-8"/>
          <w:sz w:val="20"/>
          <w:szCs w:val="20"/>
        </w:rPr>
        <w:t>数制与逻辑代数</w:t>
      </w:r>
    </w:p>
    <w:p w14:paraId="3CCDF017">
      <w:pPr>
        <w:spacing w:line="70" w:lineRule="exact"/>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14"/>
        <w:gridCol w:w="229"/>
        <w:gridCol w:w="229"/>
        <w:gridCol w:w="220"/>
        <w:gridCol w:w="234"/>
      </w:tblGrid>
      <w:tr w14:paraId="213361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4" w:hRule="atLeast"/>
        </w:trPr>
        <w:tc>
          <w:tcPr>
            <w:tcW w:w="893" w:type="dxa"/>
            <w:vMerge w:val="restart"/>
            <w:tcBorders>
              <w:bottom w:val="nil"/>
            </w:tcBorders>
            <w:vAlign w:val="top"/>
          </w:tcPr>
          <w:p w14:paraId="06B2324D">
            <w:pPr>
              <w:pStyle w:val="6"/>
              <w:spacing w:before="130" w:line="225" w:lineRule="auto"/>
              <w:ind w:left="257" w:right="1" w:hanging="240"/>
              <w:rPr>
                <w:sz w:val="18"/>
                <w:szCs w:val="18"/>
              </w:rPr>
            </w:pPr>
            <w:r>
              <w:rPr>
                <w:b/>
                <w:bCs/>
                <w:spacing w:val="-10"/>
                <w:sz w:val="18"/>
                <w:szCs w:val="18"/>
              </w:rPr>
              <w:t>知识与技能</w:t>
            </w:r>
            <w:r>
              <w:rPr>
                <w:spacing w:val="3"/>
                <w:sz w:val="18"/>
                <w:szCs w:val="18"/>
              </w:rPr>
              <w:t xml:space="preserve"> </w:t>
            </w:r>
            <w:r>
              <w:rPr>
                <w:b/>
                <w:bCs/>
                <w:spacing w:val="-4"/>
                <w:sz w:val="18"/>
                <w:szCs w:val="18"/>
              </w:rPr>
              <w:t>要点</w:t>
            </w:r>
          </w:p>
        </w:tc>
        <w:tc>
          <w:tcPr>
            <w:tcW w:w="2314" w:type="dxa"/>
            <w:vMerge w:val="restart"/>
            <w:tcBorders>
              <w:bottom w:val="nil"/>
            </w:tcBorders>
            <w:vAlign w:val="top"/>
          </w:tcPr>
          <w:p w14:paraId="2402C4E6">
            <w:pPr>
              <w:pStyle w:val="6"/>
              <w:spacing w:before="239" w:line="219" w:lineRule="auto"/>
              <w:ind w:left="824"/>
              <w:rPr>
                <w:sz w:val="18"/>
                <w:szCs w:val="18"/>
              </w:rPr>
            </w:pPr>
            <w:r>
              <w:rPr>
                <w:b/>
                <w:bCs/>
                <w:spacing w:val="5"/>
                <w:sz w:val="18"/>
                <w:szCs w:val="18"/>
              </w:rPr>
              <w:t>考试条目</w:t>
            </w:r>
          </w:p>
        </w:tc>
        <w:tc>
          <w:tcPr>
            <w:tcW w:w="912" w:type="dxa"/>
            <w:gridSpan w:val="4"/>
            <w:vAlign w:val="top"/>
          </w:tcPr>
          <w:p w14:paraId="1D29451A">
            <w:pPr>
              <w:pStyle w:val="6"/>
              <w:spacing w:before="69" w:line="219" w:lineRule="auto"/>
              <w:ind w:left="150"/>
              <w:rPr>
                <w:sz w:val="18"/>
                <w:szCs w:val="18"/>
              </w:rPr>
            </w:pPr>
            <w:r>
              <w:rPr>
                <w:b/>
                <w:bCs/>
                <w:spacing w:val="-4"/>
                <w:sz w:val="18"/>
                <w:szCs w:val="18"/>
              </w:rPr>
              <w:t>考试水平</w:t>
            </w:r>
          </w:p>
        </w:tc>
      </w:tr>
      <w:tr w14:paraId="7A8B69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9" w:hRule="atLeast"/>
        </w:trPr>
        <w:tc>
          <w:tcPr>
            <w:tcW w:w="893" w:type="dxa"/>
            <w:vMerge w:val="continue"/>
            <w:tcBorders>
              <w:top w:val="nil"/>
            </w:tcBorders>
            <w:vAlign w:val="top"/>
          </w:tcPr>
          <w:p w14:paraId="132E282A">
            <w:pPr>
              <w:rPr>
                <w:rFonts w:ascii="Arial"/>
                <w:sz w:val="21"/>
              </w:rPr>
            </w:pPr>
          </w:p>
        </w:tc>
        <w:tc>
          <w:tcPr>
            <w:tcW w:w="2314" w:type="dxa"/>
            <w:vMerge w:val="continue"/>
            <w:tcBorders>
              <w:top w:val="nil"/>
            </w:tcBorders>
            <w:vAlign w:val="top"/>
          </w:tcPr>
          <w:p w14:paraId="050DD5FC">
            <w:pPr>
              <w:rPr>
                <w:rFonts w:ascii="Arial"/>
                <w:sz w:val="21"/>
              </w:rPr>
            </w:pPr>
          </w:p>
        </w:tc>
        <w:tc>
          <w:tcPr>
            <w:tcW w:w="229" w:type="dxa"/>
            <w:vAlign w:val="top"/>
          </w:tcPr>
          <w:p w14:paraId="7DCC180D">
            <w:pPr>
              <w:pStyle w:val="6"/>
              <w:spacing w:before="123" w:line="184" w:lineRule="auto"/>
              <w:ind w:left="20"/>
              <w:rPr>
                <w:sz w:val="18"/>
                <w:szCs w:val="18"/>
              </w:rPr>
            </w:pPr>
            <w:r>
              <w:rPr>
                <w:b/>
                <w:bCs/>
                <w:spacing w:val="-2"/>
                <w:sz w:val="18"/>
                <w:szCs w:val="18"/>
              </w:rPr>
              <w:t>A</w:t>
            </w:r>
          </w:p>
        </w:tc>
        <w:tc>
          <w:tcPr>
            <w:tcW w:w="229" w:type="dxa"/>
            <w:vAlign w:val="top"/>
          </w:tcPr>
          <w:p w14:paraId="7C486466">
            <w:pPr>
              <w:pStyle w:val="6"/>
              <w:spacing w:before="125" w:line="182" w:lineRule="auto"/>
              <w:ind w:left="31"/>
              <w:rPr>
                <w:sz w:val="18"/>
                <w:szCs w:val="18"/>
              </w:rPr>
            </w:pPr>
            <w:r>
              <w:rPr>
                <w:b/>
                <w:bCs/>
                <w:spacing w:val="-2"/>
                <w:sz w:val="18"/>
                <w:szCs w:val="18"/>
              </w:rPr>
              <w:t>B</w:t>
            </w:r>
          </w:p>
        </w:tc>
        <w:tc>
          <w:tcPr>
            <w:tcW w:w="220" w:type="dxa"/>
            <w:vAlign w:val="top"/>
          </w:tcPr>
          <w:p w14:paraId="1EC83463">
            <w:pPr>
              <w:pStyle w:val="6"/>
              <w:spacing w:before="124" w:line="183" w:lineRule="auto"/>
              <w:ind w:left="19"/>
              <w:rPr>
                <w:sz w:val="18"/>
                <w:szCs w:val="18"/>
              </w:rPr>
            </w:pPr>
            <w:r>
              <w:rPr>
                <w:sz w:val="18"/>
                <w:szCs w:val="18"/>
              </w:rPr>
              <w:t>C</w:t>
            </w:r>
          </w:p>
        </w:tc>
        <w:tc>
          <w:tcPr>
            <w:tcW w:w="234" w:type="dxa"/>
            <w:vAlign w:val="top"/>
          </w:tcPr>
          <w:p w14:paraId="439C77C5">
            <w:pPr>
              <w:pStyle w:val="6"/>
              <w:spacing w:before="125" w:line="182" w:lineRule="auto"/>
              <w:ind w:left="72"/>
              <w:rPr>
                <w:sz w:val="18"/>
                <w:szCs w:val="18"/>
              </w:rPr>
            </w:pPr>
            <w:r>
              <w:rPr>
                <w:b/>
                <w:bCs/>
                <w:spacing w:val="-2"/>
                <w:sz w:val="18"/>
                <w:szCs w:val="18"/>
              </w:rPr>
              <w:t>D</w:t>
            </w:r>
          </w:p>
        </w:tc>
      </w:tr>
      <w:tr w14:paraId="187ED1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68" w:hRule="atLeast"/>
        </w:trPr>
        <w:tc>
          <w:tcPr>
            <w:tcW w:w="893" w:type="dxa"/>
            <w:vAlign w:val="top"/>
          </w:tcPr>
          <w:p w14:paraId="3E222970">
            <w:pPr>
              <w:spacing w:line="299" w:lineRule="auto"/>
              <w:rPr>
                <w:rFonts w:ascii="Arial"/>
                <w:sz w:val="21"/>
              </w:rPr>
            </w:pPr>
          </w:p>
          <w:p w14:paraId="2C1D5C7D">
            <w:pPr>
              <w:pStyle w:val="6"/>
              <w:spacing w:before="58" w:line="219" w:lineRule="auto"/>
              <w:ind w:left="165"/>
              <w:rPr>
                <w:sz w:val="18"/>
                <w:szCs w:val="18"/>
              </w:rPr>
            </w:pPr>
            <w:r>
              <w:rPr>
                <w:spacing w:val="4"/>
                <w:sz w:val="18"/>
                <w:szCs w:val="18"/>
              </w:rPr>
              <w:t>数制与</w:t>
            </w:r>
          </w:p>
          <w:p w14:paraId="6876E469">
            <w:pPr>
              <w:pStyle w:val="6"/>
              <w:spacing w:before="6" w:line="220" w:lineRule="auto"/>
              <w:ind w:left="254"/>
              <w:rPr>
                <w:sz w:val="18"/>
                <w:szCs w:val="18"/>
              </w:rPr>
            </w:pPr>
            <w:r>
              <w:rPr>
                <w:spacing w:val="7"/>
                <w:sz w:val="18"/>
                <w:szCs w:val="18"/>
              </w:rPr>
              <w:t>码制</w:t>
            </w:r>
          </w:p>
        </w:tc>
        <w:tc>
          <w:tcPr>
            <w:tcW w:w="2314" w:type="dxa"/>
            <w:vAlign w:val="top"/>
          </w:tcPr>
          <w:p w14:paraId="4E841FD7">
            <w:pPr>
              <w:pStyle w:val="6"/>
              <w:spacing w:before="219" w:line="236" w:lineRule="auto"/>
              <w:ind w:left="12" w:right="117"/>
              <w:rPr>
                <w:sz w:val="18"/>
                <w:szCs w:val="18"/>
              </w:rPr>
            </w:pPr>
            <w:r>
              <w:rPr>
                <w:spacing w:val="1"/>
                <w:sz w:val="18"/>
                <w:szCs w:val="18"/>
              </w:rPr>
              <w:t>1.二进制、十进制数及其相</w:t>
            </w:r>
            <w:r>
              <w:rPr>
                <w:sz w:val="18"/>
                <w:szCs w:val="18"/>
              </w:rPr>
              <w:t xml:space="preserve"> </w:t>
            </w:r>
            <w:r>
              <w:rPr>
                <w:spacing w:val="-3"/>
                <w:sz w:val="18"/>
                <w:szCs w:val="18"/>
              </w:rPr>
              <w:t>互转换</w:t>
            </w:r>
          </w:p>
          <w:p w14:paraId="43B453AA">
            <w:pPr>
              <w:pStyle w:val="6"/>
              <w:spacing w:line="219" w:lineRule="auto"/>
              <w:ind w:left="12"/>
              <w:rPr>
                <w:sz w:val="18"/>
                <w:szCs w:val="18"/>
              </w:rPr>
            </w:pPr>
            <w:r>
              <w:rPr>
                <w:spacing w:val="-1"/>
                <w:sz w:val="18"/>
                <w:szCs w:val="18"/>
              </w:rPr>
              <w:t>2.8421BCD码、格雷码</w:t>
            </w:r>
          </w:p>
        </w:tc>
        <w:tc>
          <w:tcPr>
            <w:tcW w:w="229" w:type="dxa"/>
            <w:vAlign w:val="top"/>
          </w:tcPr>
          <w:p w14:paraId="76776341">
            <w:pPr>
              <w:spacing w:line="287" w:lineRule="auto"/>
              <w:rPr>
                <w:rFonts w:ascii="Arial"/>
                <w:sz w:val="21"/>
              </w:rPr>
            </w:pPr>
          </w:p>
          <w:p w14:paraId="146D076E">
            <w:pPr>
              <w:spacing w:line="288" w:lineRule="auto"/>
              <w:rPr>
                <w:rFonts w:ascii="Arial"/>
                <w:sz w:val="21"/>
              </w:rPr>
            </w:pPr>
          </w:p>
          <w:p w14:paraId="48A8AA35">
            <w:pPr>
              <w:pStyle w:val="6"/>
              <w:spacing w:before="58" w:line="238" w:lineRule="auto"/>
              <w:ind w:left="17"/>
              <w:rPr>
                <w:sz w:val="18"/>
                <w:szCs w:val="18"/>
              </w:rPr>
            </w:pPr>
            <w:r>
              <w:rPr>
                <w:sz w:val="18"/>
                <w:szCs w:val="18"/>
              </w:rPr>
              <w:t>√</w:t>
            </w:r>
          </w:p>
        </w:tc>
        <w:tc>
          <w:tcPr>
            <w:tcW w:w="229" w:type="dxa"/>
            <w:vAlign w:val="top"/>
          </w:tcPr>
          <w:p w14:paraId="45B8B4C8">
            <w:pPr>
              <w:spacing w:line="267" w:lineRule="auto"/>
              <w:rPr>
                <w:rFonts w:ascii="Arial"/>
                <w:sz w:val="21"/>
              </w:rPr>
            </w:pPr>
          </w:p>
          <w:p w14:paraId="4C8CCD15">
            <w:pPr>
              <w:spacing w:line="135" w:lineRule="exact"/>
              <w:ind w:firstLine="49"/>
            </w:pPr>
            <w:r>
              <w:rPr>
                <w:position w:val="-2"/>
              </w:rPr>
              <w:drawing>
                <wp:inline distT="0" distB="0" distL="0" distR="0">
                  <wp:extent cx="80010" cy="85725"/>
                  <wp:effectExtent l="0" t="0" r="0" b="0"/>
                  <wp:docPr id="188" name="IM 188"/>
                  <wp:cNvGraphicFramePr/>
                  <a:graphic xmlns:a="http://schemas.openxmlformats.org/drawingml/2006/main">
                    <a:graphicData uri="http://schemas.openxmlformats.org/drawingml/2006/picture">
                      <pic:pic xmlns:pic="http://schemas.openxmlformats.org/drawingml/2006/picture">
                        <pic:nvPicPr>
                          <pic:cNvPr id="188" name="IM 188"/>
                          <pic:cNvPicPr/>
                        </pic:nvPicPr>
                        <pic:blipFill>
                          <a:blip r:embed="rId259"/>
                          <a:stretch>
                            <a:fillRect/>
                          </a:stretch>
                        </pic:blipFill>
                        <pic:spPr>
                          <a:xfrm>
                            <a:off x="0" y="0"/>
                            <a:ext cx="80552" cy="85933"/>
                          </a:xfrm>
                          <a:prstGeom prst="rect">
                            <a:avLst/>
                          </a:prstGeom>
                        </pic:spPr>
                      </pic:pic>
                    </a:graphicData>
                  </a:graphic>
                </wp:inline>
              </w:drawing>
            </w:r>
          </w:p>
        </w:tc>
        <w:tc>
          <w:tcPr>
            <w:tcW w:w="220" w:type="dxa"/>
            <w:vAlign w:val="top"/>
          </w:tcPr>
          <w:p w14:paraId="706A5F14">
            <w:pPr>
              <w:rPr>
                <w:rFonts w:ascii="Arial"/>
                <w:sz w:val="21"/>
              </w:rPr>
            </w:pPr>
          </w:p>
        </w:tc>
        <w:tc>
          <w:tcPr>
            <w:tcW w:w="234" w:type="dxa"/>
            <w:vAlign w:val="top"/>
          </w:tcPr>
          <w:p w14:paraId="17F4299E">
            <w:pPr>
              <w:rPr>
                <w:rFonts w:ascii="Arial"/>
                <w:sz w:val="21"/>
              </w:rPr>
            </w:pPr>
          </w:p>
        </w:tc>
      </w:tr>
      <w:tr w14:paraId="46245F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78" w:hRule="atLeast"/>
        </w:trPr>
        <w:tc>
          <w:tcPr>
            <w:tcW w:w="893" w:type="dxa"/>
            <w:vAlign w:val="top"/>
          </w:tcPr>
          <w:p w14:paraId="31DF55B3">
            <w:pPr>
              <w:pStyle w:val="6"/>
              <w:spacing w:before="160" w:line="217" w:lineRule="auto"/>
              <w:ind w:left="75" w:right="71"/>
              <w:jc w:val="both"/>
              <w:rPr>
                <w:sz w:val="18"/>
                <w:szCs w:val="18"/>
              </w:rPr>
            </w:pPr>
            <w:r>
              <w:rPr>
                <w:spacing w:val="-2"/>
                <w:sz w:val="18"/>
                <w:szCs w:val="18"/>
              </w:rPr>
              <w:t>逻辑代数</w:t>
            </w:r>
            <w:r>
              <w:rPr>
                <w:sz w:val="18"/>
                <w:szCs w:val="18"/>
              </w:rPr>
              <w:t xml:space="preserve"> </w:t>
            </w:r>
            <w:r>
              <w:rPr>
                <w:spacing w:val="1"/>
                <w:sz w:val="18"/>
                <w:szCs w:val="18"/>
              </w:rPr>
              <w:t>的基本运</w:t>
            </w:r>
            <w:r>
              <w:rPr>
                <w:spacing w:val="2"/>
                <w:sz w:val="18"/>
                <w:szCs w:val="18"/>
              </w:rPr>
              <w:t xml:space="preserve"> </w:t>
            </w:r>
            <w:r>
              <w:rPr>
                <w:spacing w:val="4"/>
                <w:sz w:val="18"/>
                <w:szCs w:val="18"/>
              </w:rPr>
              <w:t>算及规则</w:t>
            </w:r>
          </w:p>
        </w:tc>
        <w:tc>
          <w:tcPr>
            <w:tcW w:w="2314" w:type="dxa"/>
            <w:vAlign w:val="top"/>
          </w:tcPr>
          <w:p w14:paraId="14F71BC6">
            <w:pPr>
              <w:pStyle w:val="6"/>
              <w:spacing w:before="261" w:line="215" w:lineRule="auto"/>
              <w:ind w:left="12"/>
              <w:rPr>
                <w:sz w:val="18"/>
                <w:szCs w:val="18"/>
              </w:rPr>
            </w:pPr>
            <w:r>
              <w:rPr>
                <w:sz w:val="18"/>
                <w:szCs w:val="18"/>
              </w:rPr>
              <w:t>1.逻辑代数的基本运算</w:t>
            </w:r>
          </w:p>
          <w:p w14:paraId="71C3440C">
            <w:pPr>
              <w:pStyle w:val="6"/>
              <w:spacing w:line="218" w:lineRule="auto"/>
              <w:jc w:val="right"/>
              <w:rPr>
                <w:sz w:val="18"/>
                <w:szCs w:val="18"/>
              </w:rPr>
            </w:pPr>
            <w:r>
              <w:rPr>
                <w:spacing w:val="-4"/>
                <w:sz w:val="18"/>
                <w:szCs w:val="18"/>
              </w:rPr>
              <w:t>2.逻辑代数的基本定律及规则</w:t>
            </w:r>
          </w:p>
        </w:tc>
        <w:tc>
          <w:tcPr>
            <w:tcW w:w="229" w:type="dxa"/>
            <w:vAlign w:val="top"/>
          </w:tcPr>
          <w:p w14:paraId="4CC3DBCC">
            <w:pPr>
              <w:rPr>
                <w:rFonts w:ascii="Arial"/>
                <w:sz w:val="21"/>
              </w:rPr>
            </w:pPr>
          </w:p>
        </w:tc>
        <w:tc>
          <w:tcPr>
            <w:tcW w:w="229" w:type="dxa"/>
            <w:vAlign w:val="top"/>
          </w:tcPr>
          <w:p w14:paraId="4E047047">
            <w:pPr>
              <w:rPr>
                <w:rFonts w:ascii="Arial"/>
                <w:sz w:val="21"/>
              </w:rPr>
            </w:pPr>
          </w:p>
        </w:tc>
        <w:tc>
          <w:tcPr>
            <w:tcW w:w="220" w:type="dxa"/>
            <w:vAlign w:val="top"/>
          </w:tcPr>
          <w:p w14:paraId="1D20F4FD">
            <w:pPr>
              <w:spacing w:line="312" w:lineRule="auto"/>
              <w:rPr>
                <w:rFonts w:ascii="Arial"/>
                <w:sz w:val="21"/>
              </w:rPr>
            </w:pPr>
          </w:p>
          <w:p w14:paraId="03E5BDC2">
            <w:pPr>
              <w:spacing w:line="300" w:lineRule="exact"/>
              <w:ind w:firstLine="36"/>
            </w:pPr>
            <w:r>
              <w:rPr>
                <w:position w:val="-5"/>
              </w:rPr>
              <w:drawing>
                <wp:inline distT="0" distB="0" distL="0" distR="0">
                  <wp:extent cx="85725" cy="189865"/>
                  <wp:effectExtent l="0" t="0" r="0" b="0"/>
                  <wp:docPr id="190" name="IM 190"/>
                  <wp:cNvGraphicFramePr/>
                  <a:graphic xmlns:a="http://schemas.openxmlformats.org/drawingml/2006/main">
                    <a:graphicData uri="http://schemas.openxmlformats.org/drawingml/2006/picture">
                      <pic:pic xmlns:pic="http://schemas.openxmlformats.org/drawingml/2006/picture">
                        <pic:nvPicPr>
                          <pic:cNvPr id="190" name="IM 190"/>
                          <pic:cNvPicPr/>
                        </pic:nvPicPr>
                        <pic:blipFill>
                          <a:blip r:embed="rId260"/>
                          <a:stretch>
                            <a:fillRect/>
                          </a:stretch>
                        </pic:blipFill>
                        <pic:spPr>
                          <a:xfrm>
                            <a:off x="0" y="0"/>
                            <a:ext cx="86119" cy="190462"/>
                          </a:xfrm>
                          <a:prstGeom prst="rect">
                            <a:avLst/>
                          </a:prstGeom>
                        </pic:spPr>
                      </pic:pic>
                    </a:graphicData>
                  </a:graphic>
                </wp:inline>
              </w:drawing>
            </w:r>
          </w:p>
        </w:tc>
        <w:tc>
          <w:tcPr>
            <w:tcW w:w="234" w:type="dxa"/>
            <w:vAlign w:val="top"/>
          </w:tcPr>
          <w:p w14:paraId="336B5894">
            <w:pPr>
              <w:rPr>
                <w:rFonts w:ascii="Arial"/>
                <w:sz w:val="21"/>
              </w:rPr>
            </w:pPr>
          </w:p>
        </w:tc>
      </w:tr>
      <w:tr w14:paraId="2FDACF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0" w:hRule="atLeast"/>
        </w:trPr>
        <w:tc>
          <w:tcPr>
            <w:tcW w:w="893" w:type="dxa"/>
            <w:vMerge w:val="restart"/>
            <w:tcBorders>
              <w:bottom w:val="nil"/>
            </w:tcBorders>
            <w:vAlign w:val="top"/>
          </w:tcPr>
          <w:p w14:paraId="0C5FA823">
            <w:pPr>
              <w:spacing w:line="293" w:lineRule="auto"/>
              <w:rPr>
                <w:rFonts w:ascii="Arial"/>
                <w:sz w:val="21"/>
              </w:rPr>
            </w:pPr>
          </w:p>
          <w:p w14:paraId="02302C24">
            <w:pPr>
              <w:pStyle w:val="6"/>
              <w:spacing w:before="58" w:line="219" w:lineRule="auto"/>
              <w:ind w:left="75"/>
              <w:rPr>
                <w:sz w:val="18"/>
                <w:szCs w:val="18"/>
              </w:rPr>
            </w:pPr>
            <w:r>
              <w:rPr>
                <w:spacing w:val="-2"/>
                <w:sz w:val="18"/>
                <w:szCs w:val="18"/>
              </w:rPr>
              <w:t>逻辑函数</w:t>
            </w:r>
          </w:p>
          <w:p w14:paraId="23FBAE15">
            <w:pPr>
              <w:pStyle w:val="6"/>
              <w:spacing w:before="27" w:line="205" w:lineRule="auto"/>
              <w:ind w:left="75"/>
              <w:rPr>
                <w:sz w:val="18"/>
                <w:szCs w:val="18"/>
              </w:rPr>
            </w:pPr>
            <w:r>
              <w:rPr>
                <w:spacing w:val="-2"/>
                <w:sz w:val="18"/>
                <w:szCs w:val="18"/>
              </w:rPr>
              <w:t>及其表示</w:t>
            </w:r>
          </w:p>
          <w:p w14:paraId="26191852">
            <w:pPr>
              <w:pStyle w:val="6"/>
              <w:spacing w:line="220" w:lineRule="auto"/>
              <w:ind w:left="254"/>
              <w:rPr>
                <w:sz w:val="18"/>
                <w:szCs w:val="18"/>
              </w:rPr>
            </w:pPr>
            <w:r>
              <w:rPr>
                <w:spacing w:val="-2"/>
                <w:sz w:val="18"/>
                <w:szCs w:val="18"/>
              </w:rPr>
              <w:t>方法</w:t>
            </w:r>
          </w:p>
        </w:tc>
        <w:tc>
          <w:tcPr>
            <w:tcW w:w="2314" w:type="dxa"/>
            <w:tcBorders>
              <w:bottom w:val="nil"/>
            </w:tcBorders>
            <w:vAlign w:val="top"/>
          </w:tcPr>
          <w:p w14:paraId="0AF03473">
            <w:pPr>
              <w:pStyle w:val="6"/>
              <w:spacing w:before="253" w:line="181" w:lineRule="auto"/>
              <w:ind w:left="12"/>
              <w:rPr>
                <w:sz w:val="18"/>
                <w:szCs w:val="18"/>
              </w:rPr>
            </w:pPr>
            <w:r>
              <w:rPr>
                <w:spacing w:val="1"/>
                <w:sz w:val="18"/>
                <w:szCs w:val="18"/>
              </w:rPr>
              <w:t>1.逻辑函数的定义</w:t>
            </w:r>
          </w:p>
        </w:tc>
        <w:tc>
          <w:tcPr>
            <w:tcW w:w="229" w:type="dxa"/>
            <w:tcBorders>
              <w:bottom w:val="nil"/>
            </w:tcBorders>
            <w:vAlign w:val="top"/>
          </w:tcPr>
          <w:p w14:paraId="398048BC">
            <w:pPr>
              <w:rPr>
                <w:rFonts w:ascii="Arial"/>
                <w:sz w:val="21"/>
              </w:rPr>
            </w:pPr>
          </w:p>
        </w:tc>
        <w:tc>
          <w:tcPr>
            <w:tcW w:w="229" w:type="dxa"/>
            <w:tcBorders>
              <w:bottom w:val="nil"/>
            </w:tcBorders>
            <w:vAlign w:val="top"/>
          </w:tcPr>
          <w:p w14:paraId="46C25BBB">
            <w:pPr>
              <w:rPr>
                <w:rFonts w:ascii="Arial"/>
                <w:sz w:val="21"/>
              </w:rPr>
            </w:pPr>
          </w:p>
        </w:tc>
        <w:tc>
          <w:tcPr>
            <w:tcW w:w="220" w:type="dxa"/>
            <w:tcBorders>
              <w:bottom w:val="nil"/>
            </w:tcBorders>
            <w:vAlign w:val="top"/>
          </w:tcPr>
          <w:p w14:paraId="53A76C0E">
            <w:pPr>
              <w:rPr>
                <w:rFonts w:ascii="Arial"/>
                <w:sz w:val="21"/>
              </w:rPr>
            </w:pPr>
          </w:p>
        </w:tc>
        <w:tc>
          <w:tcPr>
            <w:tcW w:w="234" w:type="dxa"/>
            <w:tcBorders>
              <w:bottom w:val="nil"/>
            </w:tcBorders>
            <w:vAlign w:val="top"/>
          </w:tcPr>
          <w:p w14:paraId="79666BFA">
            <w:pPr>
              <w:rPr>
                <w:rFonts w:ascii="Arial"/>
                <w:sz w:val="21"/>
              </w:rPr>
            </w:pPr>
          </w:p>
        </w:tc>
      </w:tr>
      <w:tr w14:paraId="1845C8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trPr>
        <w:tc>
          <w:tcPr>
            <w:tcW w:w="893" w:type="dxa"/>
            <w:vMerge w:val="continue"/>
            <w:tcBorders>
              <w:top w:val="nil"/>
              <w:bottom w:val="nil"/>
            </w:tcBorders>
            <w:vAlign w:val="top"/>
          </w:tcPr>
          <w:p w14:paraId="28EA7DCA">
            <w:pPr>
              <w:rPr>
                <w:rFonts w:ascii="Arial"/>
                <w:sz w:val="21"/>
              </w:rPr>
            </w:pPr>
          </w:p>
        </w:tc>
        <w:tc>
          <w:tcPr>
            <w:tcW w:w="2314" w:type="dxa"/>
            <w:tcBorders>
              <w:top w:val="nil"/>
              <w:bottom w:val="nil"/>
            </w:tcBorders>
            <w:vAlign w:val="top"/>
          </w:tcPr>
          <w:p w14:paraId="19C3F564">
            <w:pPr>
              <w:pStyle w:val="6"/>
              <w:spacing w:before="23" w:line="219" w:lineRule="auto"/>
              <w:ind w:left="12"/>
              <w:rPr>
                <w:sz w:val="18"/>
                <w:szCs w:val="18"/>
              </w:rPr>
            </w:pPr>
            <w:r>
              <w:rPr>
                <w:spacing w:val="-1"/>
                <w:sz w:val="18"/>
                <w:szCs w:val="18"/>
              </w:rPr>
              <w:t>2.逻辑函数的表示方法(真</w:t>
            </w:r>
          </w:p>
          <w:p w14:paraId="1E9DC0AA">
            <w:pPr>
              <w:pStyle w:val="6"/>
              <w:spacing w:before="15" w:line="196" w:lineRule="auto"/>
              <w:ind w:left="12"/>
              <w:rPr>
                <w:sz w:val="18"/>
                <w:szCs w:val="18"/>
              </w:rPr>
            </w:pPr>
            <w:r>
              <w:rPr>
                <w:spacing w:val="3"/>
                <w:sz w:val="18"/>
                <w:szCs w:val="18"/>
              </w:rPr>
              <w:t>值表、逻辑函数式、逻辑图)</w:t>
            </w:r>
          </w:p>
        </w:tc>
        <w:tc>
          <w:tcPr>
            <w:tcW w:w="229" w:type="dxa"/>
            <w:tcBorders>
              <w:top w:val="nil"/>
              <w:bottom w:val="nil"/>
            </w:tcBorders>
            <w:vAlign w:val="top"/>
          </w:tcPr>
          <w:p w14:paraId="7628068B">
            <w:pPr>
              <w:rPr>
                <w:rFonts w:ascii="Arial"/>
                <w:sz w:val="21"/>
              </w:rPr>
            </w:pPr>
          </w:p>
        </w:tc>
        <w:tc>
          <w:tcPr>
            <w:tcW w:w="229" w:type="dxa"/>
            <w:tcBorders>
              <w:top w:val="nil"/>
              <w:bottom w:val="nil"/>
            </w:tcBorders>
            <w:vAlign w:val="top"/>
          </w:tcPr>
          <w:p w14:paraId="51262DB1">
            <w:pPr>
              <w:rPr>
                <w:rFonts w:ascii="Arial"/>
                <w:sz w:val="21"/>
              </w:rPr>
            </w:pPr>
          </w:p>
        </w:tc>
        <w:tc>
          <w:tcPr>
            <w:tcW w:w="220" w:type="dxa"/>
            <w:tcBorders>
              <w:top w:val="nil"/>
              <w:bottom w:val="nil"/>
            </w:tcBorders>
            <w:vAlign w:val="top"/>
          </w:tcPr>
          <w:p w14:paraId="1FC56A4D">
            <w:pPr>
              <w:rPr>
                <w:rFonts w:ascii="Arial"/>
                <w:sz w:val="21"/>
              </w:rPr>
            </w:pPr>
          </w:p>
        </w:tc>
        <w:tc>
          <w:tcPr>
            <w:tcW w:w="234" w:type="dxa"/>
            <w:tcBorders>
              <w:top w:val="nil"/>
              <w:bottom w:val="nil"/>
            </w:tcBorders>
            <w:vAlign w:val="top"/>
          </w:tcPr>
          <w:p w14:paraId="4681E9D9">
            <w:pPr>
              <w:rPr>
                <w:rFonts w:ascii="Arial"/>
                <w:sz w:val="21"/>
              </w:rPr>
            </w:pPr>
          </w:p>
        </w:tc>
      </w:tr>
      <w:tr w14:paraId="4C184C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03" w:hRule="atLeast"/>
        </w:trPr>
        <w:tc>
          <w:tcPr>
            <w:tcW w:w="893" w:type="dxa"/>
            <w:vMerge w:val="continue"/>
            <w:tcBorders>
              <w:top w:val="nil"/>
            </w:tcBorders>
            <w:vAlign w:val="top"/>
          </w:tcPr>
          <w:p w14:paraId="78DA2190">
            <w:pPr>
              <w:rPr>
                <w:rFonts w:ascii="Arial"/>
                <w:sz w:val="21"/>
              </w:rPr>
            </w:pPr>
          </w:p>
        </w:tc>
        <w:tc>
          <w:tcPr>
            <w:tcW w:w="2314" w:type="dxa"/>
            <w:tcBorders>
              <w:top w:val="nil"/>
            </w:tcBorders>
            <w:vAlign w:val="top"/>
          </w:tcPr>
          <w:p w14:paraId="4F6230ED">
            <w:pPr>
              <w:pStyle w:val="6"/>
              <w:spacing w:before="40" w:line="220" w:lineRule="auto"/>
              <w:ind w:left="12"/>
              <w:rPr>
                <w:sz w:val="18"/>
                <w:szCs w:val="18"/>
              </w:rPr>
            </w:pPr>
            <w:r>
              <w:rPr>
                <w:spacing w:val="-1"/>
                <w:sz w:val="18"/>
                <w:szCs w:val="18"/>
              </w:rPr>
              <w:t>3.各种表示方法的相互转换</w:t>
            </w:r>
          </w:p>
        </w:tc>
        <w:tc>
          <w:tcPr>
            <w:tcW w:w="229" w:type="dxa"/>
            <w:tcBorders>
              <w:top w:val="nil"/>
            </w:tcBorders>
            <w:vAlign w:val="top"/>
          </w:tcPr>
          <w:p w14:paraId="73840686">
            <w:pPr>
              <w:rPr>
                <w:rFonts w:ascii="Arial"/>
                <w:sz w:val="21"/>
              </w:rPr>
            </w:pPr>
          </w:p>
        </w:tc>
        <w:tc>
          <w:tcPr>
            <w:tcW w:w="229" w:type="dxa"/>
            <w:tcBorders>
              <w:top w:val="nil"/>
            </w:tcBorders>
            <w:vAlign w:val="top"/>
          </w:tcPr>
          <w:p w14:paraId="0E9C35BD">
            <w:pPr>
              <w:rPr>
                <w:rFonts w:ascii="Arial"/>
                <w:sz w:val="21"/>
              </w:rPr>
            </w:pPr>
          </w:p>
        </w:tc>
        <w:tc>
          <w:tcPr>
            <w:tcW w:w="220" w:type="dxa"/>
            <w:tcBorders>
              <w:top w:val="nil"/>
            </w:tcBorders>
            <w:vAlign w:val="top"/>
          </w:tcPr>
          <w:p w14:paraId="28A60E89">
            <w:pPr>
              <w:rPr>
                <w:rFonts w:ascii="Arial"/>
                <w:sz w:val="21"/>
              </w:rPr>
            </w:pPr>
          </w:p>
        </w:tc>
        <w:tc>
          <w:tcPr>
            <w:tcW w:w="234" w:type="dxa"/>
            <w:tcBorders>
              <w:top w:val="nil"/>
            </w:tcBorders>
            <w:vAlign w:val="top"/>
          </w:tcPr>
          <w:p w14:paraId="1D903FF1">
            <w:pPr>
              <w:rPr>
                <w:rFonts w:ascii="Arial"/>
                <w:sz w:val="21"/>
              </w:rPr>
            </w:pPr>
          </w:p>
        </w:tc>
      </w:tr>
      <w:tr w14:paraId="721116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44" w:hRule="atLeast"/>
        </w:trPr>
        <w:tc>
          <w:tcPr>
            <w:tcW w:w="893" w:type="dxa"/>
            <w:vAlign w:val="top"/>
          </w:tcPr>
          <w:p w14:paraId="3939A61A">
            <w:pPr>
              <w:pStyle w:val="6"/>
              <w:spacing w:before="106" w:line="215" w:lineRule="auto"/>
              <w:ind w:left="75"/>
              <w:rPr>
                <w:sz w:val="18"/>
                <w:szCs w:val="18"/>
              </w:rPr>
            </w:pPr>
            <w:r>
              <w:rPr>
                <w:spacing w:val="-2"/>
                <w:sz w:val="18"/>
                <w:szCs w:val="18"/>
              </w:rPr>
              <w:t>逻辑函数</w:t>
            </w:r>
          </w:p>
          <w:p w14:paraId="4928A943">
            <w:pPr>
              <w:pStyle w:val="6"/>
              <w:spacing w:line="218" w:lineRule="auto"/>
              <w:ind w:left="165"/>
              <w:rPr>
                <w:sz w:val="18"/>
                <w:szCs w:val="18"/>
              </w:rPr>
            </w:pPr>
            <w:r>
              <w:rPr>
                <w:spacing w:val="4"/>
                <w:sz w:val="18"/>
                <w:szCs w:val="18"/>
              </w:rPr>
              <w:t>的化简</w:t>
            </w:r>
          </w:p>
        </w:tc>
        <w:tc>
          <w:tcPr>
            <w:tcW w:w="2314" w:type="dxa"/>
            <w:vAlign w:val="top"/>
          </w:tcPr>
          <w:p w14:paraId="3F89DA2A">
            <w:pPr>
              <w:pStyle w:val="6"/>
              <w:spacing w:before="185" w:line="219" w:lineRule="auto"/>
              <w:ind w:left="12"/>
              <w:rPr>
                <w:sz w:val="18"/>
                <w:szCs w:val="18"/>
              </w:rPr>
            </w:pPr>
            <w:r>
              <w:rPr>
                <w:spacing w:val="-1"/>
                <w:sz w:val="18"/>
                <w:szCs w:val="18"/>
              </w:rPr>
              <w:t>逻辑函数的公式法化简</w:t>
            </w:r>
          </w:p>
        </w:tc>
        <w:tc>
          <w:tcPr>
            <w:tcW w:w="229" w:type="dxa"/>
            <w:vAlign w:val="top"/>
          </w:tcPr>
          <w:p w14:paraId="42482AAF">
            <w:pPr>
              <w:rPr>
                <w:rFonts w:ascii="Arial"/>
                <w:sz w:val="21"/>
              </w:rPr>
            </w:pPr>
          </w:p>
        </w:tc>
        <w:tc>
          <w:tcPr>
            <w:tcW w:w="229" w:type="dxa"/>
            <w:vAlign w:val="top"/>
          </w:tcPr>
          <w:p w14:paraId="3F13C749">
            <w:pPr>
              <w:rPr>
                <w:rFonts w:ascii="Arial"/>
                <w:sz w:val="21"/>
              </w:rPr>
            </w:pPr>
          </w:p>
        </w:tc>
        <w:tc>
          <w:tcPr>
            <w:tcW w:w="220" w:type="dxa"/>
            <w:vAlign w:val="top"/>
          </w:tcPr>
          <w:p w14:paraId="19E0985C">
            <w:pPr>
              <w:rPr>
                <w:rFonts w:ascii="Arial"/>
                <w:sz w:val="21"/>
              </w:rPr>
            </w:pPr>
          </w:p>
        </w:tc>
        <w:tc>
          <w:tcPr>
            <w:tcW w:w="234" w:type="dxa"/>
            <w:vAlign w:val="top"/>
          </w:tcPr>
          <w:p w14:paraId="2AB70DA3">
            <w:pPr>
              <w:pStyle w:val="6"/>
              <w:spacing w:before="225" w:line="238" w:lineRule="auto"/>
              <w:ind w:left="50"/>
              <w:rPr>
                <w:sz w:val="12"/>
                <w:szCs w:val="12"/>
              </w:rPr>
            </w:pPr>
            <w:r>
              <w:rPr>
                <w:sz w:val="12"/>
                <w:szCs w:val="12"/>
              </w:rPr>
              <w:t>√</w:t>
            </w:r>
          </w:p>
        </w:tc>
      </w:tr>
    </w:tbl>
    <w:p w14:paraId="5EC1D1AB">
      <w:pPr>
        <w:spacing w:before="119" w:line="222" w:lineRule="auto"/>
        <w:ind w:left="1187"/>
        <w:rPr>
          <w:rFonts w:ascii="黑体" w:hAnsi="黑体" w:eastAsia="黑体" w:cs="黑体"/>
          <w:sz w:val="20"/>
          <w:szCs w:val="20"/>
        </w:rPr>
      </w:pPr>
      <w:r>
        <w:rPr>
          <w:rFonts w:ascii="黑体" w:hAnsi="黑体" w:eastAsia="黑体" w:cs="黑体"/>
          <w:b/>
          <w:bCs/>
          <w:spacing w:val="-8"/>
          <w:sz w:val="20"/>
          <w:szCs w:val="20"/>
        </w:rPr>
        <w:t>第二章</w:t>
      </w:r>
      <w:r>
        <w:rPr>
          <w:rFonts w:ascii="黑体" w:hAnsi="黑体" w:eastAsia="黑体" w:cs="黑体"/>
          <w:spacing w:val="10"/>
          <w:sz w:val="20"/>
          <w:szCs w:val="20"/>
        </w:rPr>
        <w:t xml:space="preserve">  </w:t>
      </w:r>
      <w:r>
        <w:rPr>
          <w:rFonts w:ascii="黑体" w:hAnsi="黑体" w:eastAsia="黑体" w:cs="黑体"/>
          <w:b/>
          <w:bCs/>
          <w:spacing w:val="-8"/>
          <w:sz w:val="20"/>
          <w:szCs w:val="20"/>
        </w:rPr>
        <w:t>逻辑门电路</w:t>
      </w:r>
    </w:p>
    <w:p w14:paraId="7126BF61">
      <w:pPr>
        <w:spacing w:line="70" w:lineRule="exact"/>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14"/>
        <w:gridCol w:w="229"/>
        <w:gridCol w:w="229"/>
        <w:gridCol w:w="220"/>
        <w:gridCol w:w="234"/>
      </w:tblGrid>
      <w:tr w14:paraId="5609ED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9" w:hRule="atLeast"/>
        </w:trPr>
        <w:tc>
          <w:tcPr>
            <w:tcW w:w="893" w:type="dxa"/>
            <w:vMerge w:val="restart"/>
            <w:tcBorders>
              <w:top w:val="single" w:color="000000" w:sz="2" w:space="0"/>
              <w:bottom w:val="nil"/>
            </w:tcBorders>
            <w:vAlign w:val="top"/>
          </w:tcPr>
          <w:p w14:paraId="19C482BA">
            <w:pPr>
              <w:pStyle w:val="6"/>
              <w:spacing w:before="135" w:line="224" w:lineRule="auto"/>
              <w:ind w:left="247" w:right="1" w:hanging="230"/>
              <w:rPr>
                <w:sz w:val="19"/>
                <w:szCs w:val="19"/>
              </w:rPr>
            </w:pPr>
            <w:r>
              <w:rPr>
                <w:b/>
                <w:bCs/>
                <w:spacing w:val="-22"/>
                <w:sz w:val="19"/>
                <w:szCs w:val="19"/>
              </w:rPr>
              <w:t>知识与技</w:t>
            </w:r>
            <w:r>
              <w:rPr>
                <w:b/>
                <w:bCs/>
                <w:spacing w:val="-12"/>
                <w:sz w:val="19"/>
                <w:szCs w:val="19"/>
              </w:rPr>
              <w:t>能</w:t>
            </w:r>
            <w:r>
              <w:rPr>
                <w:spacing w:val="2"/>
                <w:sz w:val="19"/>
                <w:szCs w:val="19"/>
              </w:rPr>
              <w:t xml:space="preserve"> </w:t>
            </w:r>
            <w:r>
              <w:rPr>
                <w:b/>
                <w:bCs/>
                <w:spacing w:val="-5"/>
                <w:sz w:val="19"/>
                <w:szCs w:val="19"/>
              </w:rPr>
              <w:t>要点</w:t>
            </w:r>
          </w:p>
        </w:tc>
        <w:tc>
          <w:tcPr>
            <w:tcW w:w="2314" w:type="dxa"/>
            <w:vMerge w:val="restart"/>
            <w:tcBorders>
              <w:top w:val="single" w:color="000000" w:sz="2" w:space="0"/>
              <w:bottom w:val="nil"/>
            </w:tcBorders>
            <w:vAlign w:val="top"/>
          </w:tcPr>
          <w:p w14:paraId="47F66269">
            <w:pPr>
              <w:pStyle w:val="6"/>
              <w:spacing w:before="235" w:line="219" w:lineRule="auto"/>
              <w:ind w:left="824"/>
              <w:rPr>
                <w:sz w:val="19"/>
                <w:szCs w:val="19"/>
              </w:rPr>
            </w:pPr>
            <w:r>
              <w:rPr>
                <w:b/>
                <w:bCs/>
                <w:spacing w:val="5"/>
                <w:sz w:val="19"/>
                <w:szCs w:val="19"/>
              </w:rPr>
              <w:t>考试条目</w:t>
            </w:r>
          </w:p>
        </w:tc>
        <w:tc>
          <w:tcPr>
            <w:tcW w:w="912" w:type="dxa"/>
            <w:gridSpan w:val="4"/>
            <w:tcBorders>
              <w:top w:val="single" w:color="000000" w:sz="2" w:space="0"/>
              <w:bottom w:val="single" w:color="000000" w:sz="2" w:space="0"/>
            </w:tcBorders>
            <w:vAlign w:val="top"/>
          </w:tcPr>
          <w:p w14:paraId="77FD0172">
            <w:pPr>
              <w:pStyle w:val="6"/>
              <w:spacing w:before="75" w:line="219" w:lineRule="auto"/>
              <w:ind w:left="120"/>
              <w:rPr>
                <w:sz w:val="19"/>
                <w:szCs w:val="19"/>
              </w:rPr>
            </w:pPr>
            <w:r>
              <w:rPr>
                <w:b/>
                <w:bCs/>
                <w:spacing w:val="-4"/>
                <w:sz w:val="19"/>
                <w:szCs w:val="19"/>
              </w:rPr>
              <w:t>考试水平</w:t>
            </w:r>
          </w:p>
        </w:tc>
      </w:tr>
      <w:tr w14:paraId="58B911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4" w:hRule="atLeast"/>
        </w:trPr>
        <w:tc>
          <w:tcPr>
            <w:tcW w:w="893" w:type="dxa"/>
            <w:vMerge w:val="continue"/>
            <w:tcBorders>
              <w:top w:val="nil"/>
              <w:bottom w:val="single" w:color="000000" w:sz="2" w:space="0"/>
            </w:tcBorders>
            <w:vAlign w:val="top"/>
          </w:tcPr>
          <w:p w14:paraId="39695D6E">
            <w:pPr>
              <w:rPr>
                <w:rFonts w:ascii="Arial"/>
                <w:sz w:val="21"/>
              </w:rPr>
            </w:pPr>
          </w:p>
        </w:tc>
        <w:tc>
          <w:tcPr>
            <w:tcW w:w="2314" w:type="dxa"/>
            <w:vMerge w:val="continue"/>
            <w:tcBorders>
              <w:top w:val="nil"/>
              <w:bottom w:val="single" w:color="000000" w:sz="2" w:space="0"/>
            </w:tcBorders>
            <w:vAlign w:val="top"/>
          </w:tcPr>
          <w:p w14:paraId="6C437870">
            <w:pPr>
              <w:rPr>
                <w:rFonts w:ascii="Arial"/>
                <w:sz w:val="21"/>
              </w:rPr>
            </w:pPr>
          </w:p>
        </w:tc>
        <w:tc>
          <w:tcPr>
            <w:tcW w:w="229" w:type="dxa"/>
            <w:tcBorders>
              <w:top w:val="single" w:color="000000" w:sz="2" w:space="0"/>
              <w:bottom w:val="single" w:color="000000" w:sz="2" w:space="0"/>
            </w:tcBorders>
            <w:vAlign w:val="top"/>
          </w:tcPr>
          <w:p w14:paraId="2405EA60">
            <w:pPr>
              <w:pStyle w:val="6"/>
              <w:spacing w:before="111" w:line="184" w:lineRule="auto"/>
              <w:ind w:left="20"/>
              <w:rPr>
                <w:sz w:val="19"/>
                <w:szCs w:val="19"/>
              </w:rPr>
            </w:pPr>
            <w:r>
              <w:rPr>
                <w:b/>
                <w:bCs/>
                <w:spacing w:val="-2"/>
                <w:sz w:val="19"/>
                <w:szCs w:val="19"/>
              </w:rPr>
              <w:t>A</w:t>
            </w:r>
          </w:p>
        </w:tc>
        <w:tc>
          <w:tcPr>
            <w:tcW w:w="229" w:type="dxa"/>
            <w:tcBorders>
              <w:top w:val="single" w:color="000000" w:sz="2" w:space="0"/>
              <w:bottom w:val="single" w:color="000000" w:sz="2" w:space="0"/>
            </w:tcBorders>
            <w:vAlign w:val="top"/>
          </w:tcPr>
          <w:p w14:paraId="0EFA1DF8">
            <w:pPr>
              <w:pStyle w:val="6"/>
              <w:spacing w:before="113" w:line="182" w:lineRule="auto"/>
              <w:ind w:left="21"/>
              <w:rPr>
                <w:sz w:val="19"/>
                <w:szCs w:val="19"/>
              </w:rPr>
            </w:pPr>
            <w:r>
              <w:rPr>
                <w:b/>
                <w:bCs/>
                <w:spacing w:val="-2"/>
                <w:sz w:val="19"/>
                <w:szCs w:val="19"/>
              </w:rPr>
              <w:t>B</w:t>
            </w:r>
          </w:p>
        </w:tc>
        <w:tc>
          <w:tcPr>
            <w:tcW w:w="220" w:type="dxa"/>
            <w:tcBorders>
              <w:top w:val="single" w:color="000000" w:sz="2" w:space="0"/>
              <w:bottom w:val="single" w:color="000000" w:sz="2" w:space="0"/>
            </w:tcBorders>
            <w:vAlign w:val="top"/>
          </w:tcPr>
          <w:p w14:paraId="19656B6A">
            <w:pPr>
              <w:pStyle w:val="6"/>
              <w:spacing w:before="112" w:line="183" w:lineRule="auto"/>
              <w:ind w:left="19"/>
              <w:rPr>
                <w:sz w:val="19"/>
                <w:szCs w:val="19"/>
              </w:rPr>
            </w:pPr>
            <w:r>
              <w:rPr>
                <w:sz w:val="19"/>
                <w:szCs w:val="19"/>
              </w:rPr>
              <w:t>C</w:t>
            </w:r>
          </w:p>
        </w:tc>
        <w:tc>
          <w:tcPr>
            <w:tcW w:w="234" w:type="dxa"/>
            <w:tcBorders>
              <w:top w:val="single" w:color="000000" w:sz="2" w:space="0"/>
              <w:bottom w:val="single" w:color="000000" w:sz="2" w:space="0"/>
            </w:tcBorders>
            <w:vAlign w:val="top"/>
          </w:tcPr>
          <w:p w14:paraId="6E0FDA35">
            <w:pPr>
              <w:pStyle w:val="6"/>
              <w:spacing w:before="113" w:line="182" w:lineRule="auto"/>
              <w:ind w:left="62"/>
              <w:rPr>
                <w:sz w:val="19"/>
                <w:szCs w:val="19"/>
              </w:rPr>
            </w:pPr>
            <w:r>
              <w:rPr>
                <w:b/>
                <w:bCs/>
                <w:spacing w:val="-2"/>
                <w:sz w:val="19"/>
                <w:szCs w:val="19"/>
              </w:rPr>
              <w:t>D</w:t>
            </w:r>
          </w:p>
        </w:tc>
      </w:tr>
      <w:tr w14:paraId="5B6ACA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74" w:hRule="atLeast"/>
        </w:trPr>
        <w:tc>
          <w:tcPr>
            <w:tcW w:w="893" w:type="dxa"/>
            <w:tcBorders>
              <w:top w:val="single" w:color="000000" w:sz="2" w:space="0"/>
              <w:bottom w:val="single" w:color="000000" w:sz="2" w:space="0"/>
            </w:tcBorders>
            <w:vAlign w:val="top"/>
          </w:tcPr>
          <w:p w14:paraId="6AB74548">
            <w:pPr>
              <w:pStyle w:val="6"/>
              <w:spacing w:before="253" w:line="219" w:lineRule="auto"/>
              <w:ind w:left="55"/>
              <w:rPr>
                <w:sz w:val="19"/>
                <w:szCs w:val="19"/>
              </w:rPr>
            </w:pPr>
            <w:r>
              <w:rPr>
                <w:spacing w:val="3"/>
                <w:sz w:val="19"/>
                <w:szCs w:val="19"/>
              </w:rPr>
              <w:t>最简单的</w:t>
            </w:r>
          </w:p>
          <w:p w14:paraId="6F4A46C0">
            <w:pPr>
              <w:pStyle w:val="6"/>
              <w:spacing w:before="15" w:line="219" w:lineRule="auto"/>
              <w:ind w:left="155"/>
              <w:rPr>
                <w:sz w:val="19"/>
                <w:szCs w:val="19"/>
              </w:rPr>
            </w:pPr>
            <w:r>
              <w:rPr>
                <w:spacing w:val="2"/>
                <w:sz w:val="19"/>
                <w:szCs w:val="19"/>
              </w:rPr>
              <w:t>门电路</w:t>
            </w:r>
          </w:p>
        </w:tc>
        <w:tc>
          <w:tcPr>
            <w:tcW w:w="2314" w:type="dxa"/>
            <w:tcBorders>
              <w:top w:val="single" w:color="000000" w:sz="2" w:space="0"/>
              <w:bottom w:val="single" w:color="000000" w:sz="2" w:space="0"/>
            </w:tcBorders>
            <w:vAlign w:val="top"/>
          </w:tcPr>
          <w:p w14:paraId="466F1AEF">
            <w:pPr>
              <w:pStyle w:val="6"/>
              <w:spacing w:before="264" w:line="213" w:lineRule="auto"/>
              <w:ind w:left="12"/>
              <w:rPr>
                <w:sz w:val="19"/>
                <w:szCs w:val="19"/>
              </w:rPr>
            </w:pPr>
            <w:r>
              <w:rPr>
                <w:spacing w:val="-14"/>
                <w:sz w:val="19"/>
                <w:szCs w:val="19"/>
              </w:rPr>
              <w:t>二极管的与门、或门、非门、</w:t>
            </w:r>
            <w:r>
              <w:rPr>
                <w:spacing w:val="2"/>
                <w:sz w:val="19"/>
                <w:szCs w:val="19"/>
              </w:rPr>
              <w:t xml:space="preserve"> </w:t>
            </w:r>
            <w:r>
              <w:rPr>
                <w:spacing w:val="-8"/>
                <w:sz w:val="19"/>
                <w:szCs w:val="19"/>
              </w:rPr>
              <w:t>组合逻辑门的逻辑功能</w:t>
            </w:r>
          </w:p>
        </w:tc>
        <w:tc>
          <w:tcPr>
            <w:tcW w:w="229" w:type="dxa"/>
            <w:tcBorders>
              <w:top w:val="single" w:color="000000" w:sz="2" w:space="0"/>
              <w:bottom w:val="single" w:color="000000" w:sz="2" w:space="0"/>
            </w:tcBorders>
            <w:vAlign w:val="top"/>
          </w:tcPr>
          <w:p w14:paraId="23B5362B">
            <w:pPr>
              <w:rPr>
                <w:rFonts w:ascii="Arial"/>
                <w:sz w:val="21"/>
              </w:rPr>
            </w:pPr>
          </w:p>
        </w:tc>
        <w:tc>
          <w:tcPr>
            <w:tcW w:w="229" w:type="dxa"/>
            <w:tcBorders>
              <w:top w:val="single" w:color="000000" w:sz="2" w:space="0"/>
              <w:bottom w:val="single" w:color="000000" w:sz="2" w:space="0"/>
            </w:tcBorders>
            <w:vAlign w:val="top"/>
          </w:tcPr>
          <w:p w14:paraId="4C877C00">
            <w:pPr>
              <w:rPr>
                <w:rFonts w:ascii="Arial"/>
                <w:sz w:val="21"/>
              </w:rPr>
            </w:pPr>
          </w:p>
        </w:tc>
        <w:tc>
          <w:tcPr>
            <w:tcW w:w="220" w:type="dxa"/>
            <w:tcBorders>
              <w:top w:val="single" w:color="000000" w:sz="2" w:space="0"/>
              <w:bottom w:val="single" w:color="000000" w:sz="2" w:space="0"/>
            </w:tcBorders>
            <w:vAlign w:val="top"/>
          </w:tcPr>
          <w:p w14:paraId="07E676F9">
            <w:pPr>
              <w:rPr>
                <w:rFonts w:ascii="Arial"/>
                <w:sz w:val="21"/>
              </w:rPr>
            </w:pPr>
          </w:p>
        </w:tc>
        <w:tc>
          <w:tcPr>
            <w:tcW w:w="234" w:type="dxa"/>
            <w:tcBorders>
              <w:top w:val="single" w:color="000000" w:sz="2" w:space="0"/>
              <w:bottom w:val="single" w:color="000000" w:sz="2" w:space="0"/>
            </w:tcBorders>
            <w:vAlign w:val="top"/>
          </w:tcPr>
          <w:p w14:paraId="547ADFF8">
            <w:pPr>
              <w:spacing w:line="340" w:lineRule="auto"/>
              <w:rPr>
                <w:rFonts w:ascii="Arial"/>
                <w:sz w:val="21"/>
              </w:rPr>
            </w:pPr>
          </w:p>
          <w:p w14:paraId="7F93F093">
            <w:pPr>
              <w:pStyle w:val="6"/>
              <w:spacing w:before="42" w:line="238" w:lineRule="auto"/>
              <w:ind w:left="50"/>
              <w:rPr>
                <w:sz w:val="13"/>
                <w:szCs w:val="13"/>
              </w:rPr>
            </w:pPr>
            <w:r>
              <w:rPr>
                <w:sz w:val="13"/>
                <w:szCs w:val="13"/>
              </w:rPr>
              <w:t>√</w:t>
            </w:r>
          </w:p>
        </w:tc>
      </w:tr>
      <w:tr w14:paraId="6AB137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43" w:hRule="atLeast"/>
        </w:trPr>
        <w:tc>
          <w:tcPr>
            <w:tcW w:w="893" w:type="dxa"/>
            <w:tcBorders>
              <w:top w:val="single" w:color="000000" w:sz="2" w:space="0"/>
              <w:bottom w:val="single" w:color="000000" w:sz="2" w:space="0"/>
            </w:tcBorders>
            <w:vAlign w:val="top"/>
          </w:tcPr>
          <w:p w14:paraId="40118810">
            <w:pPr>
              <w:spacing w:line="245" w:lineRule="auto"/>
              <w:rPr>
                <w:rFonts w:ascii="Arial"/>
                <w:sz w:val="21"/>
              </w:rPr>
            </w:pPr>
          </w:p>
          <w:p w14:paraId="643DAEF2">
            <w:pPr>
              <w:spacing w:line="246" w:lineRule="auto"/>
              <w:rPr>
                <w:rFonts w:ascii="Arial"/>
                <w:sz w:val="21"/>
              </w:rPr>
            </w:pPr>
          </w:p>
          <w:p w14:paraId="2DFABB56">
            <w:pPr>
              <w:pStyle w:val="6"/>
              <w:spacing w:before="61" w:line="216" w:lineRule="auto"/>
              <w:ind w:left="154" w:right="120" w:hanging="49"/>
              <w:rPr>
                <w:sz w:val="19"/>
                <w:szCs w:val="19"/>
              </w:rPr>
            </w:pPr>
            <w:r>
              <w:rPr>
                <w:spacing w:val="-2"/>
                <w:sz w:val="19"/>
                <w:szCs w:val="19"/>
              </w:rPr>
              <w:t>集成TTL</w:t>
            </w:r>
            <w:r>
              <w:rPr>
                <w:spacing w:val="1"/>
                <w:sz w:val="19"/>
                <w:szCs w:val="19"/>
              </w:rPr>
              <w:t xml:space="preserve"> </w:t>
            </w:r>
            <w:r>
              <w:rPr>
                <w:spacing w:val="2"/>
                <w:sz w:val="19"/>
                <w:szCs w:val="19"/>
              </w:rPr>
              <w:t>门电路</w:t>
            </w:r>
          </w:p>
        </w:tc>
        <w:tc>
          <w:tcPr>
            <w:tcW w:w="2314" w:type="dxa"/>
            <w:tcBorders>
              <w:top w:val="single" w:color="000000" w:sz="2" w:space="0"/>
              <w:bottom w:val="single" w:color="000000" w:sz="2" w:space="0"/>
            </w:tcBorders>
            <w:vAlign w:val="top"/>
          </w:tcPr>
          <w:p w14:paraId="59EF6775">
            <w:pPr>
              <w:pStyle w:val="6"/>
              <w:spacing w:before="215" w:line="204" w:lineRule="auto"/>
              <w:ind w:left="12" w:right="101"/>
              <w:rPr>
                <w:sz w:val="19"/>
                <w:szCs w:val="19"/>
              </w:rPr>
            </w:pPr>
            <w:r>
              <w:rPr>
                <w:sz w:val="19"/>
                <w:szCs w:val="19"/>
              </w:rPr>
              <w:t>1.TTL与非门的典型电路及</w:t>
            </w:r>
            <w:r>
              <w:rPr>
                <w:spacing w:val="4"/>
                <w:sz w:val="19"/>
                <w:szCs w:val="19"/>
              </w:rPr>
              <w:t xml:space="preserve"> </w:t>
            </w:r>
            <w:r>
              <w:rPr>
                <w:spacing w:val="-2"/>
                <w:sz w:val="19"/>
                <w:szCs w:val="19"/>
              </w:rPr>
              <w:t>逻辑符号</w:t>
            </w:r>
          </w:p>
          <w:p w14:paraId="76776A5E">
            <w:pPr>
              <w:pStyle w:val="6"/>
              <w:spacing w:line="223" w:lineRule="auto"/>
              <w:ind w:left="12" w:right="116"/>
              <w:rPr>
                <w:sz w:val="19"/>
                <w:szCs w:val="19"/>
              </w:rPr>
            </w:pPr>
            <w:r>
              <w:rPr>
                <w:spacing w:val="-1"/>
                <w:sz w:val="19"/>
                <w:szCs w:val="19"/>
              </w:rPr>
              <w:t>2.TTL与非门的功能、特性</w:t>
            </w:r>
            <w:r>
              <w:rPr>
                <w:spacing w:val="3"/>
                <w:sz w:val="19"/>
                <w:szCs w:val="19"/>
              </w:rPr>
              <w:t xml:space="preserve"> </w:t>
            </w:r>
            <w:r>
              <w:rPr>
                <w:spacing w:val="4"/>
                <w:sz w:val="19"/>
                <w:szCs w:val="19"/>
              </w:rPr>
              <w:t>及典型应用</w:t>
            </w:r>
          </w:p>
          <w:p w14:paraId="3BA39414">
            <w:pPr>
              <w:pStyle w:val="6"/>
              <w:spacing w:line="219" w:lineRule="auto"/>
              <w:ind w:left="12"/>
              <w:rPr>
                <w:sz w:val="19"/>
                <w:szCs w:val="19"/>
              </w:rPr>
            </w:pPr>
            <w:r>
              <w:rPr>
                <w:spacing w:val="1"/>
                <w:sz w:val="19"/>
                <w:szCs w:val="19"/>
              </w:rPr>
              <w:t>3.</w:t>
            </w:r>
            <w:r>
              <w:rPr>
                <w:sz w:val="19"/>
                <w:szCs w:val="19"/>
              </w:rPr>
              <w:t>TTL</w:t>
            </w:r>
            <w:r>
              <w:rPr>
                <w:spacing w:val="1"/>
                <w:sz w:val="19"/>
                <w:szCs w:val="19"/>
              </w:rPr>
              <w:t>门电路的使用规则</w:t>
            </w:r>
          </w:p>
        </w:tc>
        <w:tc>
          <w:tcPr>
            <w:tcW w:w="229" w:type="dxa"/>
            <w:tcBorders>
              <w:top w:val="single" w:color="000000" w:sz="2" w:space="0"/>
              <w:bottom w:val="single" w:color="000000" w:sz="2" w:space="0"/>
            </w:tcBorders>
            <w:vAlign w:val="top"/>
          </w:tcPr>
          <w:p w14:paraId="4D7F262B">
            <w:pPr>
              <w:rPr>
                <w:rFonts w:ascii="Arial"/>
                <w:sz w:val="21"/>
              </w:rPr>
            </w:pPr>
          </w:p>
        </w:tc>
        <w:tc>
          <w:tcPr>
            <w:tcW w:w="229" w:type="dxa"/>
            <w:tcBorders>
              <w:top w:val="single" w:color="000000" w:sz="2" w:space="0"/>
              <w:bottom w:val="single" w:color="000000" w:sz="2" w:space="0"/>
            </w:tcBorders>
            <w:vAlign w:val="top"/>
          </w:tcPr>
          <w:p w14:paraId="4BE4D240">
            <w:pPr>
              <w:rPr>
                <w:rFonts w:ascii="Arial"/>
                <w:sz w:val="21"/>
              </w:rPr>
            </w:pPr>
          </w:p>
        </w:tc>
        <w:tc>
          <w:tcPr>
            <w:tcW w:w="220" w:type="dxa"/>
            <w:tcBorders>
              <w:top w:val="single" w:color="000000" w:sz="2" w:space="0"/>
              <w:bottom w:val="single" w:color="000000" w:sz="2" w:space="0"/>
            </w:tcBorders>
            <w:vAlign w:val="top"/>
          </w:tcPr>
          <w:p w14:paraId="1AA4F58B">
            <w:pPr>
              <w:rPr>
                <w:rFonts w:ascii="Arial"/>
                <w:sz w:val="21"/>
              </w:rPr>
            </w:pPr>
          </w:p>
        </w:tc>
        <w:tc>
          <w:tcPr>
            <w:tcW w:w="234" w:type="dxa"/>
            <w:tcBorders>
              <w:top w:val="single" w:color="000000" w:sz="2" w:space="0"/>
              <w:bottom w:val="single" w:color="000000" w:sz="2" w:space="0"/>
            </w:tcBorders>
            <w:vAlign w:val="top"/>
          </w:tcPr>
          <w:p w14:paraId="4FFE799C">
            <w:pPr>
              <w:rPr>
                <w:rFonts w:ascii="Arial"/>
                <w:sz w:val="21"/>
              </w:rPr>
            </w:pPr>
          </w:p>
        </w:tc>
      </w:tr>
      <w:tr w14:paraId="7F2965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88" w:hRule="atLeast"/>
        </w:trPr>
        <w:tc>
          <w:tcPr>
            <w:tcW w:w="893" w:type="dxa"/>
            <w:tcBorders>
              <w:top w:val="single" w:color="000000" w:sz="2" w:space="0"/>
              <w:bottom w:val="single" w:color="000000" w:sz="2" w:space="0"/>
            </w:tcBorders>
            <w:vAlign w:val="top"/>
          </w:tcPr>
          <w:p w14:paraId="50D04151">
            <w:pPr>
              <w:spacing w:line="260" w:lineRule="auto"/>
              <w:rPr>
                <w:rFonts w:ascii="Arial"/>
                <w:sz w:val="21"/>
              </w:rPr>
            </w:pPr>
          </w:p>
          <w:p w14:paraId="38A2D601">
            <w:pPr>
              <w:spacing w:line="260" w:lineRule="auto"/>
              <w:rPr>
                <w:rFonts w:ascii="Arial"/>
                <w:sz w:val="21"/>
              </w:rPr>
            </w:pPr>
          </w:p>
          <w:p w14:paraId="08DCD757">
            <w:pPr>
              <w:pStyle w:val="6"/>
              <w:spacing w:before="61" w:line="188" w:lineRule="auto"/>
              <w:ind w:left="155" w:right="150" w:firstLine="89"/>
              <w:rPr>
                <w:sz w:val="19"/>
                <w:szCs w:val="19"/>
              </w:rPr>
            </w:pPr>
            <w:r>
              <w:rPr>
                <w:spacing w:val="-2"/>
                <w:sz w:val="19"/>
                <w:szCs w:val="19"/>
              </w:rPr>
              <w:t>CMOS</w:t>
            </w:r>
            <w:r>
              <w:rPr>
                <w:sz w:val="19"/>
                <w:szCs w:val="19"/>
              </w:rPr>
              <w:t xml:space="preserve">  </w:t>
            </w:r>
            <w:r>
              <w:rPr>
                <w:spacing w:val="2"/>
                <w:sz w:val="19"/>
                <w:szCs w:val="19"/>
              </w:rPr>
              <w:t>门电路</w:t>
            </w:r>
          </w:p>
        </w:tc>
        <w:tc>
          <w:tcPr>
            <w:tcW w:w="2314" w:type="dxa"/>
            <w:tcBorders>
              <w:top w:val="single" w:color="000000" w:sz="2" w:space="0"/>
              <w:bottom w:val="single" w:color="000000" w:sz="2" w:space="0"/>
            </w:tcBorders>
            <w:vAlign w:val="top"/>
          </w:tcPr>
          <w:p w14:paraId="736BBE82">
            <w:pPr>
              <w:pStyle w:val="6"/>
              <w:spacing w:before="186" w:line="209" w:lineRule="auto"/>
              <w:ind w:left="12" w:right="185" w:firstLine="9"/>
              <w:rPr>
                <w:sz w:val="19"/>
                <w:szCs w:val="19"/>
              </w:rPr>
            </w:pPr>
            <w:r>
              <w:rPr>
                <w:sz w:val="19"/>
                <w:szCs w:val="19"/>
              </w:rPr>
              <w:t>1.CMOS门电路的功能、特</w:t>
            </w:r>
            <w:r>
              <w:rPr>
                <w:spacing w:val="5"/>
                <w:sz w:val="19"/>
                <w:szCs w:val="19"/>
              </w:rPr>
              <w:t xml:space="preserve"> </w:t>
            </w:r>
            <w:r>
              <w:rPr>
                <w:spacing w:val="3"/>
                <w:sz w:val="19"/>
                <w:szCs w:val="19"/>
              </w:rPr>
              <w:t>性及典型应用</w:t>
            </w:r>
          </w:p>
          <w:p w14:paraId="0AE60360">
            <w:pPr>
              <w:pStyle w:val="6"/>
              <w:spacing w:before="2" w:line="218" w:lineRule="auto"/>
              <w:ind w:left="12" w:right="184"/>
              <w:rPr>
                <w:sz w:val="19"/>
                <w:szCs w:val="19"/>
              </w:rPr>
            </w:pPr>
            <w:r>
              <w:rPr>
                <w:spacing w:val="1"/>
                <w:sz w:val="19"/>
                <w:szCs w:val="19"/>
              </w:rPr>
              <w:t>2.</w:t>
            </w:r>
            <w:r>
              <w:rPr>
                <w:sz w:val="19"/>
                <w:szCs w:val="19"/>
              </w:rPr>
              <w:t>CMOS</w:t>
            </w:r>
            <w:r>
              <w:rPr>
                <w:spacing w:val="1"/>
                <w:sz w:val="19"/>
                <w:szCs w:val="19"/>
              </w:rPr>
              <w:t>门电路的使用规则</w:t>
            </w:r>
            <w:r>
              <w:rPr>
                <w:spacing w:val="6"/>
                <w:sz w:val="19"/>
                <w:szCs w:val="19"/>
              </w:rPr>
              <w:t xml:space="preserve"> </w:t>
            </w:r>
            <w:r>
              <w:rPr>
                <w:spacing w:val="1"/>
                <w:sz w:val="19"/>
                <w:szCs w:val="19"/>
              </w:rPr>
              <w:t>3.</w:t>
            </w:r>
            <w:r>
              <w:rPr>
                <w:sz w:val="19"/>
                <w:szCs w:val="19"/>
              </w:rPr>
              <w:t>TTL</w:t>
            </w:r>
            <w:r>
              <w:rPr>
                <w:spacing w:val="1"/>
                <w:sz w:val="19"/>
                <w:szCs w:val="19"/>
              </w:rPr>
              <w:t>与</w:t>
            </w:r>
            <w:r>
              <w:rPr>
                <w:sz w:val="19"/>
                <w:szCs w:val="19"/>
              </w:rPr>
              <w:t>CMOS</w:t>
            </w:r>
            <w:r>
              <w:rPr>
                <w:spacing w:val="1"/>
                <w:sz w:val="19"/>
                <w:szCs w:val="19"/>
              </w:rPr>
              <w:t>门电路之间</w:t>
            </w:r>
            <w:r>
              <w:rPr>
                <w:spacing w:val="2"/>
                <w:sz w:val="19"/>
                <w:szCs w:val="19"/>
              </w:rPr>
              <w:t xml:space="preserve">  </w:t>
            </w:r>
            <w:r>
              <w:rPr>
                <w:spacing w:val="1"/>
                <w:sz w:val="19"/>
                <w:szCs w:val="19"/>
              </w:rPr>
              <w:t>的接口技术</w:t>
            </w:r>
          </w:p>
        </w:tc>
        <w:tc>
          <w:tcPr>
            <w:tcW w:w="229" w:type="dxa"/>
            <w:tcBorders>
              <w:top w:val="single" w:color="000000" w:sz="2" w:space="0"/>
              <w:bottom w:val="single" w:color="000000" w:sz="2" w:space="0"/>
            </w:tcBorders>
            <w:vAlign w:val="top"/>
          </w:tcPr>
          <w:p w14:paraId="0C979B72">
            <w:pPr>
              <w:rPr>
                <w:rFonts w:ascii="Arial"/>
                <w:sz w:val="21"/>
              </w:rPr>
            </w:pPr>
          </w:p>
        </w:tc>
        <w:tc>
          <w:tcPr>
            <w:tcW w:w="229" w:type="dxa"/>
            <w:tcBorders>
              <w:top w:val="single" w:color="000000" w:sz="2" w:space="0"/>
              <w:bottom w:val="single" w:color="000000" w:sz="2" w:space="0"/>
            </w:tcBorders>
            <w:vAlign w:val="top"/>
          </w:tcPr>
          <w:p w14:paraId="7D99668B">
            <w:pPr>
              <w:rPr>
                <w:rFonts w:ascii="Arial"/>
                <w:sz w:val="21"/>
              </w:rPr>
            </w:pPr>
          </w:p>
        </w:tc>
        <w:tc>
          <w:tcPr>
            <w:tcW w:w="220" w:type="dxa"/>
            <w:tcBorders>
              <w:top w:val="single" w:color="000000" w:sz="2" w:space="0"/>
              <w:bottom w:val="single" w:color="000000" w:sz="2" w:space="0"/>
            </w:tcBorders>
            <w:vAlign w:val="top"/>
          </w:tcPr>
          <w:p w14:paraId="56841B45">
            <w:pPr>
              <w:rPr>
                <w:rFonts w:ascii="Arial"/>
                <w:sz w:val="21"/>
              </w:rPr>
            </w:pPr>
          </w:p>
        </w:tc>
        <w:tc>
          <w:tcPr>
            <w:tcW w:w="234" w:type="dxa"/>
            <w:tcBorders>
              <w:top w:val="single" w:color="000000" w:sz="2" w:space="0"/>
              <w:bottom w:val="single" w:color="000000" w:sz="2" w:space="0"/>
            </w:tcBorders>
            <w:vAlign w:val="top"/>
          </w:tcPr>
          <w:p w14:paraId="20BF62A9">
            <w:pPr>
              <w:rPr>
                <w:rFonts w:ascii="Arial"/>
                <w:sz w:val="21"/>
              </w:rPr>
            </w:pPr>
          </w:p>
        </w:tc>
      </w:tr>
    </w:tbl>
    <w:p w14:paraId="3F591818">
      <w:pPr>
        <w:pStyle w:val="2"/>
        <w:spacing w:line="14" w:lineRule="auto"/>
        <w:rPr>
          <w:sz w:val="2"/>
        </w:rPr>
      </w:pPr>
    </w:p>
    <w:p w14:paraId="6543C478">
      <w:pPr>
        <w:pStyle w:val="2"/>
        <w:spacing w:line="14" w:lineRule="auto"/>
        <w:rPr>
          <w:sz w:val="2"/>
        </w:rPr>
      </w:pPr>
      <w:r>
        <w:rPr>
          <w:sz w:val="2"/>
          <w:szCs w:val="2"/>
        </w:rPr>
        <w:br w:type="column"/>
      </w:r>
    </w:p>
    <w:p w14:paraId="681119DE">
      <w:pPr>
        <w:spacing w:line="220" w:lineRule="auto"/>
        <w:ind w:left="1077"/>
        <w:rPr>
          <w:rFonts w:ascii="黑体" w:hAnsi="黑体" w:eastAsia="黑体" w:cs="黑体"/>
          <w:sz w:val="20"/>
          <w:szCs w:val="20"/>
        </w:rPr>
      </w:pPr>
      <w:r>
        <w:rPr>
          <w:rFonts w:ascii="黑体" w:hAnsi="黑体" w:eastAsia="黑体" w:cs="黑体"/>
          <w:b/>
          <w:bCs/>
          <w:spacing w:val="-7"/>
          <w:sz w:val="20"/>
          <w:szCs w:val="20"/>
        </w:rPr>
        <w:t>第三章</w:t>
      </w:r>
      <w:r>
        <w:rPr>
          <w:rFonts w:ascii="黑体" w:hAnsi="黑体" w:eastAsia="黑体" w:cs="黑体"/>
          <w:spacing w:val="14"/>
          <w:sz w:val="20"/>
          <w:szCs w:val="20"/>
        </w:rPr>
        <w:t xml:space="preserve">  </w:t>
      </w:r>
      <w:r>
        <w:rPr>
          <w:rFonts w:ascii="黑体" w:hAnsi="黑体" w:eastAsia="黑体" w:cs="黑体"/>
          <w:b/>
          <w:bCs/>
          <w:spacing w:val="-7"/>
          <w:sz w:val="20"/>
          <w:szCs w:val="20"/>
        </w:rPr>
        <w:t>组合逻辑电路</w:t>
      </w:r>
    </w:p>
    <w:p w14:paraId="7D86D55F">
      <w:pPr>
        <w:spacing w:line="70" w:lineRule="exact"/>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24"/>
        <w:gridCol w:w="219"/>
        <w:gridCol w:w="229"/>
        <w:gridCol w:w="230"/>
        <w:gridCol w:w="224"/>
      </w:tblGrid>
      <w:tr w14:paraId="7D8344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3" w:hRule="atLeast"/>
        </w:trPr>
        <w:tc>
          <w:tcPr>
            <w:tcW w:w="893" w:type="dxa"/>
            <w:vMerge w:val="restart"/>
            <w:tcBorders>
              <w:bottom w:val="nil"/>
            </w:tcBorders>
            <w:vAlign w:val="top"/>
          </w:tcPr>
          <w:p w14:paraId="5DE3446D">
            <w:pPr>
              <w:pStyle w:val="6"/>
              <w:spacing w:before="131" w:line="214" w:lineRule="auto"/>
              <w:ind w:left="257" w:right="1" w:hanging="240"/>
              <w:rPr>
                <w:sz w:val="18"/>
                <w:szCs w:val="18"/>
              </w:rPr>
            </w:pPr>
            <w:r>
              <w:rPr>
                <w:b/>
                <w:bCs/>
                <w:spacing w:val="-10"/>
                <w:sz w:val="18"/>
                <w:szCs w:val="18"/>
              </w:rPr>
              <w:t>知识与技能</w:t>
            </w:r>
            <w:r>
              <w:rPr>
                <w:spacing w:val="3"/>
                <w:sz w:val="18"/>
                <w:szCs w:val="18"/>
              </w:rPr>
              <w:t xml:space="preserve"> </w:t>
            </w:r>
            <w:r>
              <w:rPr>
                <w:b/>
                <w:bCs/>
                <w:spacing w:val="-4"/>
                <w:sz w:val="18"/>
                <w:szCs w:val="18"/>
              </w:rPr>
              <w:t>要点</w:t>
            </w:r>
          </w:p>
        </w:tc>
        <w:tc>
          <w:tcPr>
            <w:tcW w:w="2324" w:type="dxa"/>
            <w:vMerge w:val="restart"/>
            <w:tcBorders>
              <w:bottom w:val="nil"/>
            </w:tcBorders>
            <w:vAlign w:val="top"/>
          </w:tcPr>
          <w:p w14:paraId="1ABB55E5">
            <w:pPr>
              <w:pStyle w:val="6"/>
              <w:spacing w:before="238" w:line="219" w:lineRule="auto"/>
              <w:ind w:left="844"/>
              <w:rPr>
                <w:sz w:val="18"/>
                <w:szCs w:val="18"/>
              </w:rPr>
            </w:pPr>
            <w:r>
              <w:rPr>
                <w:b/>
                <w:bCs/>
                <w:spacing w:val="5"/>
                <w:sz w:val="18"/>
                <w:szCs w:val="18"/>
              </w:rPr>
              <w:t>考试科目</w:t>
            </w:r>
          </w:p>
        </w:tc>
        <w:tc>
          <w:tcPr>
            <w:tcW w:w="902" w:type="dxa"/>
            <w:gridSpan w:val="4"/>
            <w:vAlign w:val="top"/>
          </w:tcPr>
          <w:p w14:paraId="221BFE2C">
            <w:pPr>
              <w:pStyle w:val="6"/>
              <w:spacing w:before="69" w:line="219" w:lineRule="auto"/>
              <w:ind w:left="130"/>
              <w:rPr>
                <w:sz w:val="18"/>
                <w:szCs w:val="18"/>
              </w:rPr>
            </w:pPr>
            <w:r>
              <w:rPr>
                <w:b/>
                <w:bCs/>
                <w:spacing w:val="-4"/>
                <w:sz w:val="18"/>
                <w:szCs w:val="18"/>
              </w:rPr>
              <w:t>考试水平</w:t>
            </w:r>
          </w:p>
        </w:tc>
      </w:tr>
      <w:tr w14:paraId="563330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893" w:type="dxa"/>
            <w:vMerge w:val="continue"/>
            <w:tcBorders>
              <w:top w:val="nil"/>
            </w:tcBorders>
            <w:vAlign w:val="top"/>
          </w:tcPr>
          <w:p w14:paraId="5A4CA5B1">
            <w:pPr>
              <w:rPr>
                <w:rFonts w:ascii="Arial"/>
                <w:sz w:val="21"/>
              </w:rPr>
            </w:pPr>
          </w:p>
        </w:tc>
        <w:tc>
          <w:tcPr>
            <w:tcW w:w="2324" w:type="dxa"/>
            <w:vMerge w:val="continue"/>
            <w:tcBorders>
              <w:top w:val="nil"/>
            </w:tcBorders>
            <w:vAlign w:val="top"/>
          </w:tcPr>
          <w:p w14:paraId="6341C8F3">
            <w:pPr>
              <w:rPr>
                <w:rFonts w:ascii="Arial"/>
                <w:sz w:val="21"/>
              </w:rPr>
            </w:pPr>
          </w:p>
        </w:tc>
        <w:tc>
          <w:tcPr>
            <w:tcW w:w="219" w:type="dxa"/>
            <w:vAlign w:val="top"/>
          </w:tcPr>
          <w:p w14:paraId="652C7832">
            <w:pPr>
              <w:pStyle w:val="6"/>
              <w:spacing w:before="114" w:line="184" w:lineRule="auto"/>
              <w:ind w:left="20"/>
              <w:rPr>
                <w:sz w:val="18"/>
                <w:szCs w:val="18"/>
              </w:rPr>
            </w:pPr>
            <w:r>
              <w:rPr>
                <w:b/>
                <w:bCs/>
                <w:spacing w:val="-2"/>
                <w:sz w:val="18"/>
                <w:szCs w:val="18"/>
              </w:rPr>
              <w:t>A</w:t>
            </w:r>
          </w:p>
        </w:tc>
        <w:tc>
          <w:tcPr>
            <w:tcW w:w="229" w:type="dxa"/>
            <w:vAlign w:val="top"/>
          </w:tcPr>
          <w:p w14:paraId="353F1C43">
            <w:pPr>
              <w:pStyle w:val="6"/>
              <w:spacing w:before="116" w:line="182" w:lineRule="auto"/>
              <w:ind w:left="71"/>
              <w:rPr>
                <w:sz w:val="18"/>
                <w:szCs w:val="18"/>
              </w:rPr>
            </w:pPr>
            <w:r>
              <w:rPr>
                <w:b/>
                <w:bCs/>
                <w:spacing w:val="-2"/>
                <w:sz w:val="18"/>
                <w:szCs w:val="18"/>
              </w:rPr>
              <w:t>B</w:t>
            </w:r>
          </w:p>
        </w:tc>
        <w:tc>
          <w:tcPr>
            <w:tcW w:w="230" w:type="dxa"/>
            <w:vAlign w:val="top"/>
          </w:tcPr>
          <w:p w14:paraId="059BA690">
            <w:pPr>
              <w:pStyle w:val="6"/>
              <w:spacing w:before="114" w:line="183" w:lineRule="auto"/>
              <w:jc w:val="right"/>
              <w:rPr>
                <w:sz w:val="18"/>
                <w:szCs w:val="18"/>
              </w:rPr>
            </w:pPr>
            <w:r>
              <w:rPr>
                <w:b/>
                <w:bCs/>
                <w:spacing w:val="-8"/>
                <w:sz w:val="18"/>
                <w:szCs w:val="18"/>
              </w:rPr>
              <w:t>C</w:t>
            </w:r>
          </w:p>
        </w:tc>
        <w:tc>
          <w:tcPr>
            <w:tcW w:w="224" w:type="dxa"/>
            <w:vAlign w:val="top"/>
          </w:tcPr>
          <w:p w14:paraId="298AAE04">
            <w:pPr>
              <w:pStyle w:val="6"/>
              <w:spacing w:before="116" w:line="182" w:lineRule="auto"/>
              <w:ind w:left="62"/>
              <w:rPr>
                <w:sz w:val="18"/>
                <w:szCs w:val="18"/>
              </w:rPr>
            </w:pPr>
            <w:r>
              <w:rPr>
                <w:b/>
                <w:bCs/>
                <w:spacing w:val="-2"/>
                <w:sz w:val="18"/>
                <w:szCs w:val="18"/>
              </w:rPr>
              <w:t>D</w:t>
            </w:r>
          </w:p>
        </w:tc>
      </w:tr>
      <w:tr w14:paraId="625F99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16" w:hRule="atLeast"/>
        </w:trPr>
        <w:tc>
          <w:tcPr>
            <w:tcW w:w="893" w:type="dxa"/>
            <w:vAlign w:val="top"/>
          </w:tcPr>
          <w:p w14:paraId="0B13B7DD">
            <w:pPr>
              <w:pStyle w:val="6"/>
              <w:spacing w:before="111" w:line="221" w:lineRule="auto"/>
              <w:ind w:left="75"/>
              <w:rPr>
                <w:sz w:val="18"/>
                <w:szCs w:val="18"/>
              </w:rPr>
            </w:pPr>
            <w:r>
              <w:rPr>
                <w:spacing w:val="-2"/>
                <w:sz w:val="18"/>
                <w:szCs w:val="18"/>
              </w:rPr>
              <w:t>组合逻辑</w:t>
            </w:r>
          </w:p>
          <w:p w14:paraId="3E320F9C">
            <w:pPr>
              <w:pStyle w:val="6"/>
              <w:spacing w:before="3" w:line="219" w:lineRule="auto"/>
              <w:ind w:left="75"/>
              <w:rPr>
                <w:sz w:val="18"/>
                <w:szCs w:val="18"/>
              </w:rPr>
            </w:pPr>
            <w:r>
              <w:rPr>
                <w:spacing w:val="1"/>
                <w:sz w:val="18"/>
                <w:szCs w:val="18"/>
              </w:rPr>
              <w:t>电路的基</w:t>
            </w:r>
          </w:p>
          <w:p w14:paraId="1DB4DA07">
            <w:pPr>
              <w:pStyle w:val="6"/>
              <w:spacing w:before="25" w:line="219" w:lineRule="auto"/>
              <w:ind w:left="165"/>
              <w:rPr>
                <w:sz w:val="18"/>
                <w:szCs w:val="18"/>
              </w:rPr>
            </w:pPr>
            <w:r>
              <w:rPr>
                <w:spacing w:val="-2"/>
                <w:sz w:val="18"/>
                <w:szCs w:val="18"/>
              </w:rPr>
              <w:t>本知识</w:t>
            </w:r>
          </w:p>
        </w:tc>
        <w:tc>
          <w:tcPr>
            <w:tcW w:w="2324" w:type="dxa"/>
            <w:vAlign w:val="top"/>
          </w:tcPr>
          <w:p w14:paraId="0E16F244">
            <w:pPr>
              <w:pStyle w:val="6"/>
              <w:spacing w:before="120" w:line="219" w:lineRule="auto"/>
              <w:ind w:left="2"/>
              <w:rPr>
                <w:sz w:val="18"/>
                <w:szCs w:val="18"/>
              </w:rPr>
            </w:pPr>
            <w:r>
              <w:rPr>
                <w:spacing w:val="1"/>
                <w:sz w:val="18"/>
                <w:szCs w:val="18"/>
              </w:rPr>
              <w:t>1.组合逻辑电路的特点</w:t>
            </w:r>
          </w:p>
          <w:p w14:paraId="7508D592">
            <w:pPr>
              <w:pStyle w:val="6"/>
              <w:spacing w:before="5" w:line="228" w:lineRule="auto"/>
              <w:ind w:left="2" w:right="161"/>
              <w:rPr>
                <w:sz w:val="18"/>
                <w:szCs w:val="18"/>
              </w:rPr>
            </w:pPr>
            <w:r>
              <w:rPr>
                <w:spacing w:val="-1"/>
                <w:sz w:val="18"/>
                <w:szCs w:val="18"/>
              </w:rPr>
              <w:t>2.组合逻辑电路的分析方法</w:t>
            </w:r>
            <w:r>
              <w:rPr>
                <w:spacing w:val="2"/>
                <w:sz w:val="18"/>
                <w:szCs w:val="18"/>
              </w:rPr>
              <w:t xml:space="preserve"> </w:t>
            </w:r>
            <w:r>
              <w:rPr>
                <w:spacing w:val="3"/>
                <w:sz w:val="18"/>
                <w:szCs w:val="18"/>
              </w:rPr>
              <w:t>及分析框图</w:t>
            </w:r>
          </w:p>
        </w:tc>
        <w:tc>
          <w:tcPr>
            <w:tcW w:w="219" w:type="dxa"/>
            <w:vAlign w:val="top"/>
          </w:tcPr>
          <w:p w14:paraId="17BB64FF">
            <w:pPr>
              <w:rPr>
                <w:rFonts w:ascii="Arial"/>
                <w:sz w:val="21"/>
              </w:rPr>
            </w:pPr>
          </w:p>
        </w:tc>
        <w:tc>
          <w:tcPr>
            <w:tcW w:w="229" w:type="dxa"/>
            <w:vAlign w:val="top"/>
          </w:tcPr>
          <w:p w14:paraId="20A98B99">
            <w:pPr>
              <w:pStyle w:val="6"/>
              <w:spacing w:before="121" w:line="238" w:lineRule="auto"/>
              <w:ind w:left="48"/>
              <w:rPr>
                <w:sz w:val="13"/>
                <w:szCs w:val="13"/>
              </w:rPr>
            </w:pPr>
            <w:r>
              <w:rPr>
                <w:sz w:val="13"/>
                <w:szCs w:val="13"/>
              </w:rPr>
              <w:t>√</w:t>
            </w:r>
          </w:p>
        </w:tc>
        <w:tc>
          <w:tcPr>
            <w:tcW w:w="230" w:type="dxa"/>
            <w:vAlign w:val="top"/>
          </w:tcPr>
          <w:p w14:paraId="48BE53CC">
            <w:pPr>
              <w:rPr>
                <w:rFonts w:ascii="Arial"/>
                <w:sz w:val="21"/>
              </w:rPr>
            </w:pPr>
          </w:p>
        </w:tc>
        <w:tc>
          <w:tcPr>
            <w:tcW w:w="224" w:type="dxa"/>
            <w:vAlign w:val="top"/>
          </w:tcPr>
          <w:p w14:paraId="3428B074">
            <w:pPr>
              <w:spacing w:line="305" w:lineRule="auto"/>
              <w:rPr>
                <w:rFonts w:ascii="Arial"/>
                <w:sz w:val="21"/>
              </w:rPr>
            </w:pPr>
          </w:p>
          <w:p w14:paraId="5060B115">
            <w:pPr>
              <w:pStyle w:val="6"/>
              <w:spacing w:before="45" w:line="238" w:lineRule="auto"/>
              <w:ind w:left="40"/>
              <w:rPr>
                <w:sz w:val="14"/>
                <w:szCs w:val="14"/>
              </w:rPr>
            </w:pPr>
            <w:r>
              <w:rPr>
                <w:sz w:val="14"/>
                <w:szCs w:val="14"/>
              </w:rPr>
              <w:t>√</w:t>
            </w:r>
          </w:p>
        </w:tc>
      </w:tr>
      <w:tr w14:paraId="28D26D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71" w:hRule="atLeast"/>
        </w:trPr>
        <w:tc>
          <w:tcPr>
            <w:tcW w:w="893" w:type="dxa"/>
            <w:vAlign w:val="top"/>
          </w:tcPr>
          <w:p w14:paraId="338B7732">
            <w:pPr>
              <w:pStyle w:val="6"/>
              <w:spacing w:before="194" w:line="219" w:lineRule="auto"/>
              <w:ind w:left="75"/>
              <w:rPr>
                <w:sz w:val="18"/>
                <w:szCs w:val="18"/>
              </w:rPr>
            </w:pPr>
            <w:r>
              <w:rPr>
                <w:spacing w:val="-3"/>
                <w:sz w:val="18"/>
                <w:szCs w:val="18"/>
              </w:rPr>
              <w:t>常见的组</w:t>
            </w:r>
          </w:p>
          <w:p w14:paraId="39D13851">
            <w:pPr>
              <w:pStyle w:val="6"/>
              <w:spacing w:before="7" w:line="221" w:lineRule="auto"/>
              <w:ind w:left="165"/>
              <w:rPr>
                <w:sz w:val="18"/>
                <w:szCs w:val="18"/>
              </w:rPr>
            </w:pPr>
            <w:r>
              <w:rPr>
                <w:spacing w:val="-2"/>
                <w:sz w:val="18"/>
                <w:szCs w:val="18"/>
              </w:rPr>
              <w:t>合逻辑</w:t>
            </w:r>
          </w:p>
          <w:p w14:paraId="5FF06920">
            <w:pPr>
              <w:pStyle w:val="6"/>
              <w:spacing w:before="3" w:line="219" w:lineRule="auto"/>
              <w:ind w:left="254"/>
              <w:rPr>
                <w:sz w:val="18"/>
                <w:szCs w:val="18"/>
              </w:rPr>
            </w:pPr>
            <w:r>
              <w:rPr>
                <w:spacing w:val="3"/>
                <w:sz w:val="18"/>
                <w:szCs w:val="18"/>
              </w:rPr>
              <w:t>电路</w:t>
            </w:r>
          </w:p>
        </w:tc>
        <w:tc>
          <w:tcPr>
            <w:tcW w:w="2324" w:type="dxa"/>
            <w:vAlign w:val="top"/>
          </w:tcPr>
          <w:p w14:paraId="468AB458">
            <w:pPr>
              <w:pStyle w:val="6"/>
              <w:spacing w:before="94" w:line="215" w:lineRule="auto"/>
              <w:ind w:left="2"/>
              <w:rPr>
                <w:sz w:val="18"/>
                <w:szCs w:val="18"/>
              </w:rPr>
            </w:pPr>
            <w:r>
              <w:rPr>
                <w:sz w:val="18"/>
                <w:szCs w:val="18"/>
              </w:rPr>
              <w:t>1.二—十进制编码器</w:t>
            </w:r>
          </w:p>
          <w:p w14:paraId="644AEB84">
            <w:pPr>
              <w:pStyle w:val="6"/>
              <w:spacing w:before="1" w:line="224" w:lineRule="auto"/>
              <w:ind w:left="2" w:right="202" w:firstLine="10"/>
              <w:jc w:val="both"/>
              <w:rPr>
                <w:sz w:val="18"/>
                <w:szCs w:val="18"/>
              </w:rPr>
            </w:pPr>
            <w:r>
              <w:rPr>
                <w:sz w:val="18"/>
                <w:szCs w:val="18"/>
              </w:rPr>
              <w:t>2.显示译码器(七段数码显</w:t>
            </w:r>
            <w:r>
              <w:rPr>
                <w:spacing w:val="10"/>
                <w:sz w:val="18"/>
                <w:szCs w:val="18"/>
              </w:rPr>
              <w:t xml:space="preserve"> </w:t>
            </w:r>
            <w:r>
              <w:rPr>
                <w:spacing w:val="3"/>
                <w:sz w:val="18"/>
                <w:szCs w:val="18"/>
              </w:rPr>
              <w:t>示器件、构成、工作原理)</w:t>
            </w:r>
            <w:r>
              <w:rPr>
                <w:spacing w:val="2"/>
                <w:sz w:val="18"/>
                <w:szCs w:val="18"/>
              </w:rPr>
              <w:t xml:space="preserve"> </w:t>
            </w:r>
            <w:r>
              <w:rPr>
                <w:spacing w:val="-1"/>
                <w:sz w:val="18"/>
                <w:szCs w:val="18"/>
              </w:rPr>
              <w:t>3.数码选择器与分配器</w:t>
            </w:r>
          </w:p>
        </w:tc>
        <w:tc>
          <w:tcPr>
            <w:tcW w:w="219" w:type="dxa"/>
            <w:vAlign w:val="top"/>
          </w:tcPr>
          <w:p w14:paraId="3D2CE239">
            <w:pPr>
              <w:rPr>
                <w:rFonts w:ascii="Arial"/>
                <w:sz w:val="21"/>
              </w:rPr>
            </w:pPr>
          </w:p>
        </w:tc>
        <w:tc>
          <w:tcPr>
            <w:tcW w:w="229" w:type="dxa"/>
            <w:vAlign w:val="top"/>
          </w:tcPr>
          <w:p w14:paraId="0AB23F91">
            <w:pPr>
              <w:rPr>
                <w:rFonts w:ascii="Arial"/>
                <w:sz w:val="21"/>
              </w:rPr>
            </w:pPr>
          </w:p>
        </w:tc>
        <w:tc>
          <w:tcPr>
            <w:tcW w:w="230" w:type="dxa"/>
            <w:vAlign w:val="top"/>
          </w:tcPr>
          <w:p w14:paraId="10D234EB">
            <w:pPr>
              <w:pStyle w:val="6"/>
              <w:spacing w:before="266" w:line="238" w:lineRule="auto"/>
              <w:ind w:left="29"/>
              <w:rPr>
                <w:sz w:val="14"/>
                <w:szCs w:val="14"/>
              </w:rPr>
            </w:pPr>
            <w:r>
              <w:rPr>
                <w:sz w:val="14"/>
                <w:szCs w:val="14"/>
              </w:rPr>
              <w:t>√</w:t>
            </w:r>
          </w:p>
        </w:tc>
        <w:tc>
          <w:tcPr>
            <w:tcW w:w="224" w:type="dxa"/>
            <w:vAlign w:val="top"/>
          </w:tcPr>
          <w:p w14:paraId="289D9DBD">
            <w:pPr>
              <w:rPr>
                <w:rFonts w:ascii="Arial"/>
                <w:sz w:val="21"/>
              </w:rPr>
            </w:pPr>
          </w:p>
        </w:tc>
      </w:tr>
    </w:tbl>
    <w:p w14:paraId="2135B6F5">
      <w:pPr>
        <w:spacing w:before="118" w:line="221" w:lineRule="auto"/>
        <w:ind w:left="1187"/>
        <w:rPr>
          <w:rFonts w:ascii="黑体" w:hAnsi="黑体" w:eastAsia="黑体" w:cs="黑体"/>
          <w:sz w:val="20"/>
          <w:szCs w:val="20"/>
        </w:rPr>
      </w:pPr>
      <w:r>
        <w:rPr>
          <w:rFonts w:ascii="黑体" w:hAnsi="黑体" w:eastAsia="黑体" w:cs="黑体"/>
          <w:b/>
          <w:bCs/>
          <w:spacing w:val="-8"/>
          <w:sz w:val="20"/>
          <w:szCs w:val="20"/>
        </w:rPr>
        <w:t>第四章</w:t>
      </w:r>
      <w:r>
        <w:rPr>
          <w:rFonts w:ascii="黑体" w:hAnsi="黑体" w:eastAsia="黑体" w:cs="黑体"/>
          <w:spacing w:val="14"/>
          <w:sz w:val="20"/>
          <w:szCs w:val="20"/>
        </w:rPr>
        <w:t xml:space="preserve">  </w:t>
      </w:r>
      <w:r>
        <w:rPr>
          <w:rFonts w:ascii="黑体" w:hAnsi="黑体" w:eastAsia="黑体" w:cs="黑体"/>
          <w:b/>
          <w:bCs/>
          <w:spacing w:val="-8"/>
          <w:sz w:val="20"/>
          <w:szCs w:val="20"/>
        </w:rPr>
        <w:t>集成触发器</w:t>
      </w:r>
    </w:p>
    <w:p w14:paraId="18AAA314">
      <w:pPr>
        <w:spacing w:line="82" w:lineRule="exact"/>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24"/>
        <w:gridCol w:w="219"/>
        <w:gridCol w:w="229"/>
        <w:gridCol w:w="230"/>
        <w:gridCol w:w="224"/>
      </w:tblGrid>
      <w:tr w14:paraId="2C547F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4" w:hRule="atLeast"/>
        </w:trPr>
        <w:tc>
          <w:tcPr>
            <w:tcW w:w="893" w:type="dxa"/>
            <w:vMerge w:val="restart"/>
            <w:tcBorders>
              <w:bottom w:val="nil"/>
            </w:tcBorders>
            <w:vAlign w:val="top"/>
          </w:tcPr>
          <w:p w14:paraId="5B632FCB">
            <w:pPr>
              <w:pStyle w:val="6"/>
              <w:spacing w:before="120" w:line="225" w:lineRule="auto"/>
              <w:ind w:left="257" w:right="1" w:hanging="240"/>
              <w:rPr>
                <w:sz w:val="18"/>
                <w:szCs w:val="18"/>
              </w:rPr>
            </w:pPr>
            <w:r>
              <w:rPr>
                <w:b/>
                <w:bCs/>
                <w:spacing w:val="-10"/>
                <w:sz w:val="18"/>
                <w:szCs w:val="18"/>
              </w:rPr>
              <w:t>知识与技能</w:t>
            </w:r>
            <w:r>
              <w:rPr>
                <w:spacing w:val="3"/>
                <w:sz w:val="18"/>
                <w:szCs w:val="18"/>
              </w:rPr>
              <w:t xml:space="preserve"> </w:t>
            </w:r>
            <w:r>
              <w:rPr>
                <w:b/>
                <w:bCs/>
                <w:spacing w:val="-4"/>
                <w:sz w:val="18"/>
                <w:szCs w:val="18"/>
              </w:rPr>
              <w:t>要点</w:t>
            </w:r>
          </w:p>
        </w:tc>
        <w:tc>
          <w:tcPr>
            <w:tcW w:w="2324" w:type="dxa"/>
            <w:vMerge w:val="restart"/>
            <w:tcBorders>
              <w:bottom w:val="nil"/>
            </w:tcBorders>
            <w:vAlign w:val="top"/>
          </w:tcPr>
          <w:p w14:paraId="394940CA">
            <w:pPr>
              <w:pStyle w:val="6"/>
              <w:spacing w:before="228" w:line="219" w:lineRule="auto"/>
              <w:ind w:left="844"/>
              <w:rPr>
                <w:sz w:val="18"/>
                <w:szCs w:val="18"/>
              </w:rPr>
            </w:pPr>
            <w:r>
              <w:rPr>
                <w:b/>
                <w:bCs/>
                <w:spacing w:val="5"/>
                <w:sz w:val="18"/>
                <w:szCs w:val="18"/>
              </w:rPr>
              <w:t>考试科目</w:t>
            </w:r>
          </w:p>
        </w:tc>
        <w:tc>
          <w:tcPr>
            <w:tcW w:w="902" w:type="dxa"/>
            <w:gridSpan w:val="4"/>
            <w:vAlign w:val="top"/>
          </w:tcPr>
          <w:p w14:paraId="48E351FE">
            <w:pPr>
              <w:pStyle w:val="6"/>
              <w:spacing w:before="69" w:line="219" w:lineRule="auto"/>
              <w:ind w:left="130"/>
              <w:rPr>
                <w:sz w:val="18"/>
                <w:szCs w:val="18"/>
              </w:rPr>
            </w:pPr>
            <w:r>
              <w:rPr>
                <w:b/>
                <w:bCs/>
                <w:spacing w:val="-4"/>
                <w:sz w:val="18"/>
                <w:szCs w:val="18"/>
              </w:rPr>
              <w:t>考试水平</w:t>
            </w:r>
          </w:p>
        </w:tc>
      </w:tr>
      <w:tr w14:paraId="1D8F9B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893" w:type="dxa"/>
            <w:vMerge w:val="continue"/>
            <w:tcBorders>
              <w:top w:val="nil"/>
            </w:tcBorders>
            <w:vAlign w:val="top"/>
          </w:tcPr>
          <w:p w14:paraId="2A71064E">
            <w:pPr>
              <w:rPr>
                <w:rFonts w:ascii="Arial"/>
                <w:sz w:val="21"/>
              </w:rPr>
            </w:pPr>
          </w:p>
        </w:tc>
        <w:tc>
          <w:tcPr>
            <w:tcW w:w="2324" w:type="dxa"/>
            <w:vMerge w:val="continue"/>
            <w:tcBorders>
              <w:top w:val="nil"/>
            </w:tcBorders>
            <w:vAlign w:val="top"/>
          </w:tcPr>
          <w:p w14:paraId="27C622FB">
            <w:pPr>
              <w:rPr>
                <w:rFonts w:ascii="Arial"/>
                <w:sz w:val="21"/>
              </w:rPr>
            </w:pPr>
          </w:p>
        </w:tc>
        <w:tc>
          <w:tcPr>
            <w:tcW w:w="219" w:type="dxa"/>
            <w:vAlign w:val="top"/>
          </w:tcPr>
          <w:p w14:paraId="521A42FB">
            <w:pPr>
              <w:pStyle w:val="6"/>
              <w:spacing w:before="113" w:line="184" w:lineRule="auto"/>
              <w:ind w:left="20"/>
              <w:rPr>
                <w:sz w:val="18"/>
                <w:szCs w:val="18"/>
              </w:rPr>
            </w:pPr>
            <w:r>
              <w:rPr>
                <w:b/>
                <w:bCs/>
                <w:spacing w:val="-2"/>
                <w:sz w:val="18"/>
                <w:szCs w:val="18"/>
              </w:rPr>
              <w:t>A</w:t>
            </w:r>
          </w:p>
        </w:tc>
        <w:tc>
          <w:tcPr>
            <w:tcW w:w="229" w:type="dxa"/>
            <w:vAlign w:val="top"/>
          </w:tcPr>
          <w:p w14:paraId="166DF167">
            <w:pPr>
              <w:pStyle w:val="6"/>
              <w:spacing w:before="115" w:line="182" w:lineRule="auto"/>
              <w:ind w:left="71"/>
              <w:rPr>
                <w:sz w:val="18"/>
                <w:szCs w:val="18"/>
              </w:rPr>
            </w:pPr>
            <w:r>
              <w:rPr>
                <w:b/>
                <w:bCs/>
                <w:spacing w:val="-2"/>
                <w:sz w:val="18"/>
                <w:szCs w:val="18"/>
              </w:rPr>
              <w:t>B</w:t>
            </w:r>
          </w:p>
        </w:tc>
        <w:tc>
          <w:tcPr>
            <w:tcW w:w="230" w:type="dxa"/>
            <w:vAlign w:val="top"/>
          </w:tcPr>
          <w:p w14:paraId="631CE102">
            <w:pPr>
              <w:pStyle w:val="6"/>
              <w:spacing w:before="113" w:line="183" w:lineRule="auto"/>
              <w:ind w:left="22"/>
              <w:rPr>
                <w:sz w:val="18"/>
                <w:szCs w:val="18"/>
              </w:rPr>
            </w:pPr>
            <w:r>
              <w:rPr>
                <w:b/>
                <w:bCs/>
                <w:spacing w:val="-2"/>
                <w:sz w:val="18"/>
                <w:szCs w:val="18"/>
              </w:rPr>
              <w:t>C</w:t>
            </w:r>
          </w:p>
        </w:tc>
        <w:tc>
          <w:tcPr>
            <w:tcW w:w="224" w:type="dxa"/>
            <w:vAlign w:val="top"/>
          </w:tcPr>
          <w:p w14:paraId="49C26348">
            <w:pPr>
              <w:pStyle w:val="6"/>
              <w:spacing w:before="115" w:line="182" w:lineRule="auto"/>
              <w:ind w:left="22"/>
              <w:rPr>
                <w:sz w:val="18"/>
                <w:szCs w:val="18"/>
              </w:rPr>
            </w:pPr>
            <w:r>
              <w:rPr>
                <w:b/>
                <w:bCs/>
                <w:spacing w:val="-2"/>
                <w:sz w:val="18"/>
                <w:szCs w:val="18"/>
              </w:rPr>
              <w:t>D</w:t>
            </w:r>
          </w:p>
        </w:tc>
      </w:tr>
      <w:tr w14:paraId="0FACEA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16" w:hRule="atLeast"/>
        </w:trPr>
        <w:tc>
          <w:tcPr>
            <w:tcW w:w="893" w:type="dxa"/>
            <w:vAlign w:val="top"/>
          </w:tcPr>
          <w:p w14:paraId="0AB8DFE3">
            <w:pPr>
              <w:spacing w:line="408" w:lineRule="auto"/>
              <w:rPr>
                <w:rFonts w:ascii="Arial"/>
                <w:sz w:val="21"/>
              </w:rPr>
            </w:pPr>
          </w:p>
          <w:p w14:paraId="2B222197">
            <w:pPr>
              <w:pStyle w:val="6"/>
              <w:spacing w:before="59" w:line="220" w:lineRule="auto"/>
              <w:ind w:left="75"/>
              <w:rPr>
                <w:sz w:val="18"/>
                <w:szCs w:val="18"/>
              </w:rPr>
            </w:pPr>
            <w:r>
              <w:rPr>
                <w:spacing w:val="-1"/>
                <w:sz w:val="18"/>
                <w:szCs w:val="18"/>
              </w:rPr>
              <w:t>RS触发器</w:t>
            </w:r>
          </w:p>
        </w:tc>
        <w:tc>
          <w:tcPr>
            <w:tcW w:w="2324" w:type="dxa"/>
            <w:vAlign w:val="top"/>
          </w:tcPr>
          <w:p w14:paraId="220D02F6">
            <w:pPr>
              <w:pStyle w:val="6"/>
              <w:spacing w:before="179" w:line="213" w:lineRule="auto"/>
              <w:ind w:left="12" w:right="305" w:firstLine="10"/>
              <w:rPr>
                <w:sz w:val="18"/>
                <w:szCs w:val="18"/>
              </w:rPr>
            </w:pPr>
            <w:r>
              <w:rPr>
                <w:sz w:val="18"/>
                <w:szCs w:val="18"/>
              </w:rPr>
              <w:t>1.基本RS触发器的电路组</w:t>
            </w:r>
            <w:r>
              <w:rPr>
                <w:spacing w:val="5"/>
                <w:sz w:val="18"/>
                <w:szCs w:val="18"/>
              </w:rPr>
              <w:t xml:space="preserve"> </w:t>
            </w:r>
            <w:r>
              <w:rPr>
                <w:spacing w:val="-1"/>
                <w:sz w:val="18"/>
                <w:szCs w:val="18"/>
              </w:rPr>
              <w:t>成及逻辑功能分析</w:t>
            </w:r>
          </w:p>
          <w:p w14:paraId="263BCEFD">
            <w:pPr>
              <w:pStyle w:val="6"/>
              <w:spacing w:before="5" w:line="223" w:lineRule="auto"/>
              <w:ind w:left="12" w:right="331"/>
              <w:rPr>
                <w:sz w:val="18"/>
                <w:szCs w:val="18"/>
              </w:rPr>
            </w:pPr>
            <w:r>
              <w:rPr>
                <w:spacing w:val="-1"/>
                <w:sz w:val="18"/>
                <w:szCs w:val="18"/>
              </w:rPr>
              <w:t>2.同步RS触发器的电路组</w:t>
            </w:r>
            <w:r>
              <w:rPr>
                <w:spacing w:val="2"/>
                <w:sz w:val="18"/>
                <w:szCs w:val="18"/>
              </w:rPr>
              <w:t xml:space="preserve"> </w:t>
            </w:r>
            <w:r>
              <w:rPr>
                <w:spacing w:val="-1"/>
                <w:sz w:val="18"/>
                <w:szCs w:val="18"/>
              </w:rPr>
              <w:t>成及逻辑功能分析</w:t>
            </w:r>
          </w:p>
        </w:tc>
        <w:tc>
          <w:tcPr>
            <w:tcW w:w="219" w:type="dxa"/>
            <w:vAlign w:val="top"/>
          </w:tcPr>
          <w:p w14:paraId="323CC737">
            <w:pPr>
              <w:rPr>
                <w:rFonts w:ascii="Arial"/>
                <w:sz w:val="21"/>
              </w:rPr>
            </w:pPr>
          </w:p>
        </w:tc>
        <w:tc>
          <w:tcPr>
            <w:tcW w:w="229" w:type="dxa"/>
            <w:vAlign w:val="top"/>
          </w:tcPr>
          <w:p w14:paraId="0A008140">
            <w:pPr>
              <w:pStyle w:val="6"/>
              <w:spacing w:before="150" w:line="238" w:lineRule="auto"/>
              <w:ind w:left="48"/>
              <w:rPr>
                <w:sz w:val="13"/>
                <w:szCs w:val="13"/>
              </w:rPr>
            </w:pPr>
            <w:r>
              <w:rPr>
                <w:sz w:val="13"/>
                <w:szCs w:val="13"/>
              </w:rPr>
              <w:t>√</w:t>
            </w:r>
          </w:p>
        </w:tc>
        <w:tc>
          <w:tcPr>
            <w:tcW w:w="230" w:type="dxa"/>
            <w:vAlign w:val="top"/>
          </w:tcPr>
          <w:p w14:paraId="1A289F5C">
            <w:pPr>
              <w:rPr>
                <w:rFonts w:ascii="Arial"/>
                <w:sz w:val="21"/>
              </w:rPr>
            </w:pPr>
          </w:p>
        </w:tc>
        <w:tc>
          <w:tcPr>
            <w:tcW w:w="224" w:type="dxa"/>
            <w:vAlign w:val="top"/>
          </w:tcPr>
          <w:p w14:paraId="1C49230F">
            <w:pPr>
              <w:rPr>
                <w:rFonts w:ascii="Arial"/>
                <w:sz w:val="21"/>
              </w:rPr>
            </w:pPr>
          </w:p>
        </w:tc>
      </w:tr>
      <w:tr w14:paraId="2D5492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50" w:hRule="atLeast"/>
        </w:trPr>
        <w:tc>
          <w:tcPr>
            <w:tcW w:w="893" w:type="dxa"/>
            <w:vAlign w:val="top"/>
          </w:tcPr>
          <w:p w14:paraId="3EB90948">
            <w:pPr>
              <w:spacing w:line="250" w:lineRule="auto"/>
              <w:rPr>
                <w:rFonts w:ascii="Arial"/>
                <w:sz w:val="21"/>
              </w:rPr>
            </w:pPr>
          </w:p>
          <w:p w14:paraId="6CC68FD3">
            <w:pPr>
              <w:spacing w:line="251" w:lineRule="auto"/>
              <w:rPr>
                <w:rFonts w:ascii="Arial"/>
                <w:sz w:val="21"/>
              </w:rPr>
            </w:pPr>
          </w:p>
          <w:p w14:paraId="7261121F">
            <w:pPr>
              <w:pStyle w:val="6"/>
              <w:spacing w:before="58" w:line="208" w:lineRule="auto"/>
              <w:ind w:left="75" w:right="80"/>
              <w:rPr>
                <w:sz w:val="18"/>
                <w:szCs w:val="18"/>
              </w:rPr>
            </w:pPr>
            <w:r>
              <w:rPr>
                <w:spacing w:val="-3"/>
                <w:sz w:val="18"/>
                <w:szCs w:val="18"/>
              </w:rPr>
              <w:t>几种常见</w:t>
            </w:r>
            <w:r>
              <w:rPr>
                <w:sz w:val="18"/>
                <w:szCs w:val="18"/>
              </w:rPr>
              <w:t xml:space="preserve"> </w:t>
            </w:r>
            <w:r>
              <w:rPr>
                <w:spacing w:val="1"/>
                <w:sz w:val="18"/>
                <w:szCs w:val="18"/>
              </w:rPr>
              <w:t>的触发器</w:t>
            </w:r>
          </w:p>
        </w:tc>
        <w:tc>
          <w:tcPr>
            <w:tcW w:w="2324" w:type="dxa"/>
            <w:vAlign w:val="top"/>
          </w:tcPr>
          <w:p w14:paraId="7F3E357C">
            <w:pPr>
              <w:pStyle w:val="6"/>
              <w:spacing w:before="122" w:line="220" w:lineRule="auto"/>
              <w:ind w:left="12" w:firstLine="9"/>
              <w:rPr>
                <w:sz w:val="18"/>
                <w:szCs w:val="18"/>
              </w:rPr>
            </w:pPr>
            <w:r>
              <w:rPr>
                <w:spacing w:val="3"/>
                <w:sz w:val="18"/>
                <w:szCs w:val="18"/>
              </w:rPr>
              <w:t>1.边沿D触发器的逻辑功能、</w:t>
            </w:r>
            <w:r>
              <w:rPr>
                <w:sz w:val="18"/>
                <w:szCs w:val="18"/>
              </w:rPr>
              <w:t xml:space="preserve"> </w:t>
            </w:r>
            <w:r>
              <w:rPr>
                <w:spacing w:val="-4"/>
                <w:sz w:val="18"/>
                <w:szCs w:val="18"/>
              </w:rPr>
              <w:t>触发方式和工作波形</w:t>
            </w:r>
          </w:p>
          <w:p w14:paraId="3E0F6782">
            <w:pPr>
              <w:pStyle w:val="6"/>
              <w:spacing w:line="217" w:lineRule="auto"/>
              <w:ind w:left="12"/>
              <w:rPr>
                <w:sz w:val="18"/>
                <w:szCs w:val="18"/>
              </w:rPr>
            </w:pPr>
            <w:r>
              <w:rPr>
                <w:spacing w:val="1"/>
                <w:sz w:val="18"/>
                <w:szCs w:val="18"/>
              </w:rPr>
              <w:t>2.边沿</w:t>
            </w:r>
            <w:r>
              <w:rPr>
                <w:sz w:val="18"/>
                <w:szCs w:val="18"/>
              </w:rPr>
              <w:t>JK</w:t>
            </w:r>
            <w:r>
              <w:rPr>
                <w:spacing w:val="1"/>
                <w:sz w:val="18"/>
                <w:szCs w:val="18"/>
              </w:rPr>
              <w:t>触发器的逻辑功</w:t>
            </w:r>
          </w:p>
          <w:p w14:paraId="1A4F3EA1">
            <w:pPr>
              <w:pStyle w:val="6"/>
              <w:spacing w:line="220" w:lineRule="auto"/>
              <w:ind w:left="12"/>
              <w:rPr>
                <w:sz w:val="18"/>
                <w:szCs w:val="18"/>
              </w:rPr>
            </w:pPr>
            <w:r>
              <w:rPr>
                <w:sz w:val="18"/>
                <w:szCs w:val="18"/>
              </w:rPr>
              <w:t>能、触发方式和工作波形</w:t>
            </w:r>
          </w:p>
          <w:p w14:paraId="3A69CB46">
            <w:pPr>
              <w:pStyle w:val="6"/>
              <w:spacing w:before="5" w:line="223" w:lineRule="auto"/>
              <w:ind w:left="12"/>
              <w:rPr>
                <w:sz w:val="18"/>
                <w:szCs w:val="18"/>
              </w:rPr>
            </w:pPr>
            <w:r>
              <w:rPr>
                <w:spacing w:val="3"/>
                <w:sz w:val="18"/>
                <w:szCs w:val="18"/>
              </w:rPr>
              <w:t>3.T和T'触发器的逻辑功能、</w:t>
            </w:r>
            <w:r>
              <w:rPr>
                <w:spacing w:val="5"/>
                <w:sz w:val="18"/>
                <w:szCs w:val="18"/>
              </w:rPr>
              <w:t xml:space="preserve"> </w:t>
            </w:r>
            <w:r>
              <w:rPr>
                <w:spacing w:val="-4"/>
                <w:sz w:val="18"/>
                <w:szCs w:val="18"/>
              </w:rPr>
              <w:t>触发方式和工作波形</w:t>
            </w:r>
          </w:p>
        </w:tc>
        <w:tc>
          <w:tcPr>
            <w:tcW w:w="219" w:type="dxa"/>
            <w:vAlign w:val="top"/>
          </w:tcPr>
          <w:p w14:paraId="61ED645E">
            <w:pPr>
              <w:rPr>
                <w:rFonts w:ascii="Arial"/>
                <w:sz w:val="21"/>
              </w:rPr>
            </w:pPr>
          </w:p>
        </w:tc>
        <w:tc>
          <w:tcPr>
            <w:tcW w:w="229" w:type="dxa"/>
            <w:vAlign w:val="top"/>
          </w:tcPr>
          <w:p w14:paraId="76A8150A">
            <w:pPr>
              <w:rPr>
                <w:rFonts w:ascii="Arial"/>
                <w:sz w:val="21"/>
              </w:rPr>
            </w:pPr>
          </w:p>
        </w:tc>
        <w:tc>
          <w:tcPr>
            <w:tcW w:w="230" w:type="dxa"/>
            <w:vAlign w:val="top"/>
          </w:tcPr>
          <w:p w14:paraId="5D69DD85">
            <w:pPr>
              <w:rPr>
                <w:rFonts w:ascii="Arial"/>
                <w:sz w:val="21"/>
              </w:rPr>
            </w:pPr>
          </w:p>
        </w:tc>
        <w:tc>
          <w:tcPr>
            <w:tcW w:w="224" w:type="dxa"/>
            <w:vAlign w:val="top"/>
          </w:tcPr>
          <w:p w14:paraId="2AAA23B0">
            <w:pPr>
              <w:rPr>
                <w:rFonts w:ascii="Arial"/>
                <w:sz w:val="21"/>
              </w:rPr>
            </w:pPr>
          </w:p>
        </w:tc>
      </w:tr>
    </w:tbl>
    <w:p w14:paraId="06473585">
      <w:pPr>
        <w:spacing w:before="129" w:line="222" w:lineRule="auto"/>
        <w:ind w:left="1077"/>
        <w:rPr>
          <w:rFonts w:ascii="黑体" w:hAnsi="黑体" w:eastAsia="黑体" w:cs="黑体"/>
          <w:sz w:val="20"/>
          <w:szCs w:val="20"/>
        </w:rPr>
      </w:pPr>
      <w:r>
        <w:rPr>
          <w:rFonts w:ascii="黑体" w:hAnsi="黑体" w:eastAsia="黑体" w:cs="黑体"/>
          <w:b/>
          <w:bCs/>
          <w:spacing w:val="-8"/>
          <w:sz w:val="20"/>
          <w:szCs w:val="20"/>
        </w:rPr>
        <w:t>第五章</w:t>
      </w:r>
      <w:r>
        <w:rPr>
          <w:rFonts w:ascii="黑体" w:hAnsi="黑体" w:eastAsia="黑体" w:cs="黑体"/>
          <w:spacing w:val="9"/>
          <w:sz w:val="20"/>
          <w:szCs w:val="20"/>
        </w:rPr>
        <w:t xml:space="preserve">  </w:t>
      </w:r>
      <w:r>
        <w:rPr>
          <w:rFonts w:ascii="黑体" w:hAnsi="黑体" w:eastAsia="黑体" w:cs="黑体"/>
          <w:b/>
          <w:bCs/>
          <w:spacing w:val="-8"/>
          <w:sz w:val="20"/>
          <w:szCs w:val="20"/>
        </w:rPr>
        <w:t>时序逻辑电路</w:t>
      </w:r>
    </w:p>
    <w:p w14:paraId="7608F64C">
      <w:pPr>
        <w:spacing w:line="70" w:lineRule="exact"/>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24"/>
        <w:gridCol w:w="219"/>
        <w:gridCol w:w="229"/>
        <w:gridCol w:w="230"/>
        <w:gridCol w:w="224"/>
      </w:tblGrid>
      <w:tr w14:paraId="042204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4" w:hRule="atLeast"/>
        </w:trPr>
        <w:tc>
          <w:tcPr>
            <w:tcW w:w="893" w:type="dxa"/>
            <w:vMerge w:val="restart"/>
            <w:tcBorders>
              <w:bottom w:val="nil"/>
            </w:tcBorders>
            <w:vAlign w:val="top"/>
          </w:tcPr>
          <w:p w14:paraId="57532F5A">
            <w:pPr>
              <w:pStyle w:val="6"/>
              <w:spacing w:before="150" w:line="230" w:lineRule="auto"/>
              <w:ind w:left="257" w:right="1" w:hanging="240"/>
              <w:rPr>
                <w:sz w:val="18"/>
                <w:szCs w:val="18"/>
              </w:rPr>
            </w:pPr>
            <w:r>
              <w:rPr>
                <w:b/>
                <w:bCs/>
                <w:spacing w:val="-10"/>
                <w:sz w:val="18"/>
                <w:szCs w:val="18"/>
              </w:rPr>
              <w:t>知识与技能</w:t>
            </w:r>
            <w:r>
              <w:rPr>
                <w:spacing w:val="3"/>
                <w:sz w:val="18"/>
                <w:szCs w:val="18"/>
              </w:rPr>
              <w:t xml:space="preserve"> </w:t>
            </w:r>
            <w:r>
              <w:rPr>
                <w:b/>
                <w:bCs/>
                <w:spacing w:val="-4"/>
                <w:sz w:val="18"/>
                <w:szCs w:val="18"/>
              </w:rPr>
              <w:t>要点</w:t>
            </w:r>
          </w:p>
        </w:tc>
        <w:tc>
          <w:tcPr>
            <w:tcW w:w="2324" w:type="dxa"/>
            <w:vMerge w:val="restart"/>
            <w:tcBorders>
              <w:bottom w:val="nil"/>
            </w:tcBorders>
            <w:vAlign w:val="top"/>
          </w:tcPr>
          <w:p w14:paraId="7E15A93B">
            <w:pPr>
              <w:pStyle w:val="6"/>
              <w:spacing w:before="259" w:line="219" w:lineRule="auto"/>
              <w:ind w:left="844"/>
              <w:rPr>
                <w:sz w:val="18"/>
                <w:szCs w:val="18"/>
              </w:rPr>
            </w:pPr>
            <w:r>
              <w:rPr>
                <w:b/>
                <w:bCs/>
                <w:spacing w:val="5"/>
                <w:sz w:val="18"/>
                <w:szCs w:val="18"/>
              </w:rPr>
              <w:t>考试条目</w:t>
            </w:r>
          </w:p>
        </w:tc>
        <w:tc>
          <w:tcPr>
            <w:tcW w:w="902" w:type="dxa"/>
            <w:gridSpan w:val="4"/>
            <w:vAlign w:val="top"/>
          </w:tcPr>
          <w:p w14:paraId="607E04A1">
            <w:pPr>
              <w:pStyle w:val="6"/>
              <w:spacing w:before="69" w:line="219" w:lineRule="auto"/>
              <w:ind w:left="130"/>
              <w:rPr>
                <w:sz w:val="18"/>
                <w:szCs w:val="18"/>
              </w:rPr>
            </w:pPr>
            <w:r>
              <w:rPr>
                <w:b/>
                <w:bCs/>
                <w:spacing w:val="-4"/>
                <w:sz w:val="18"/>
                <w:szCs w:val="18"/>
              </w:rPr>
              <w:t>考试水平</w:t>
            </w:r>
          </w:p>
        </w:tc>
      </w:tr>
      <w:tr w14:paraId="7CBD76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9" w:hRule="atLeast"/>
        </w:trPr>
        <w:tc>
          <w:tcPr>
            <w:tcW w:w="893" w:type="dxa"/>
            <w:vMerge w:val="continue"/>
            <w:tcBorders>
              <w:top w:val="nil"/>
            </w:tcBorders>
            <w:vAlign w:val="top"/>
          </w:tcPr>
          <w:p w14:paraId="247E6317">
            <w:pPr>
              <w:rPr>
                <w:rFonts w:ascii="Arial"/>
                <w:sz w:val="21"/>
              </w:rPr>
            </w:pPr>
          </w:p>
        </w:tc>
        <w:tc>
          <w:tcPr>
            <w:tcW w:w="2324" w:type="dxa"/>
            <w:vMerge w:val="continue"/>
            <w:tcBorders>
              <w:top w:val="nil"/>
            </w:tcBorders>
            <w:vAlign w:val="top"/>
          </w:tcPr>
          <w:p w14:paraId="62F99C04">
            <w:pPr>
              <w:rPr>
                <w:rFonts w:ascii="Arial"/>
                <w:sz w:val="21"/>
              </w:rPr>
            </w:pPr>
          </w:p>
        </w:tc>
        <w:tc>
          <w:tcPr>
            <w:tcW w:w="219" w:type="dxa"/>
            <w:vAlign w:val="top"/>
          </w:tcPr>
          <w:p w14:paraId="514F6C96">
            <w:pPr>
              <w:pStyle w:val="6"/>
              <w:spacing w:before="143" w:line="184" w:lineRule="auto"/>
              <w:ind w:left="20"/>
              <w:rPr>
                <w:sz w:val="18"/>
                <w:szCs w:val="18"/>
              </w:rPr>
            </w:pPr>
            <w:r>
              <w:rPr>
                <w:b/>
                <w:bCs/>
                <w:spacing w:val="-2"/>
                <w:sz w:val="18"/>
                <w:szCs w:val="18"/>
              </w:rPr>
              <w:t>A</w:t>
            </w:r>
          </w:p>
        </w:tc>
        <w:tc>
          <w:tcPr>
            <w:tcW w:w="229" w:type="dxa"/>
            <w:vAlign w:val="top"/>
          </w:tcPr>
          <w:p w14:paraId="0E426198">
            <w:pPr>
              <w:pStyle w:val="6"/>
              <w:spacing w:before="145" w:line="182" w:lineRule="auto"/>
              <w:ind w:left="21"/>
              <w:rPr>
                <w:sz w:val="18"/>
                <w:szCs w:val="18"/>
              </w:rPr>
            </w:pPr>
            <w:r>
              <w:rPr>
                <w:b/>
                <w:bCs/>
                <w:spacing w:val="-2"/>
                <w:sz w:val="18"/>
                <w:szCs w:val="18"/>
              </w:rPr>
              <w:t>B</w:t>
            </w:r>
          </w:p>
        </w:tc>
        <w:tc>
          <w:tcPr>
            <w:tcW w:w="230" w:type="dxa"/>
            <w:vAlign w:val="top"/>
          </w:tcPr>
          <w:p w14:paraId="21E88F6C">
            <w:pPr>
              <w:pStyle w:val="6"/>
              <w:spacing w:before="143" w:line="183" w:lineRule="auto"/>
              <w:ind w:left="22"/>
              <w:rPr>
                <w:sz w:val="18"/>
                <w:szCs w:val="18"/>
              </w:rPr>
            </w:pPr>
            <w:r>
              <w:rPr>
                <w:b/>
                <w:bCs/>
                <w:spacing w:val="-2"/>
                <w:sz w:val="18"/>
                <w:szCs w:val="18"/>
              </w:rPr>
              <w:t>C</w:t>
            </w:r>
          </w:p>
        </w:tc>
        <w:tc>
          <w:tcPr>
            <w:tcW w:w="224" w:type="dxa"/>
            <w:vAlign w:val="top"/>
          </w:tcPr>
          <w:p w14:paraId="0B114B81">
            <w:pPr>
              <w:pStyle w:val="6"/>
              <w:spacing w:before="145" w:line="182" w:lineRule="auto"/>
              <w:ind w:left="22"/>
              <w:rPr>
                <w:sz w:val="18"/>
                <w:szCs w:val="18"/>
              </w:rPr>
            </w:pPr>
            <w:r>
              <w:rPr>
                <w:b/>
                <w:bCs/>
                <w:spacing w:val="-2"/>
                <w:sz w:val="18"/>
                <w:szCs w:val="18"/>
              </w:rPr>
              <w:t>D</w:t>
            </w:r>
          </w:p>
        </w:tc>
      </w:tr>
      <w:tr w14:paraId="14B00E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38" w:hRule="atLeast"/>
        </w:trPr>
        <w:tc>
          <w:tcPr>
            <w:tcW w:w="893" w:type="dxa"/>
            <w:vAlign w:val="top"/>
          </w:tcPr>
          <w:p w14:paraId="00F40B68">
            <w:pPr>
              <w:pStyle w:val="6"/>
              <w:spacing w:before="291" w:line="211" w:lineRule="auto"/>
              <w:ind w:left="75" w:right="80"/>
              <w:rPr>
                <w:sz w:val="18"/>
                <w:szCs w:val="18"/>
              </w:rPr>
            </w:pPr>
            <w:r>
              <w:rPr>
                <w:spacing w:val="1"/>
                <w:sz w:val="18"/>
                <w:szCs w:val="18"/>
              </w:rPr>
              <w:t>时序逻辑</w:t>
            </w:r>
            <w:r>
              <w:rPr>
                <w:spacing w:val="2"/>
                <w:sz w:val="18"/>
                <w:szCs w:val="18"/>
              </w:rPr>
              <w:t xml:space="preserve"> </w:t>
            </w:r>
            <w:r>
              <w:rPr>
                <w:spacing w:val="1"/>
                <w:sz w:val="18"/>
                <w:szCs w:val="18"/>
              </w:rPr>
              <w:t>电路概述</w:t>
            </w:r>
          </w:p>
        </w:tc>
        <w:tc>
          <w:tcPr>
            <w:tcW w:w="2324" w:type="dxa"/>
            <w:vAlign w:val="top"/>
          </w:tcPr>
          <w:p w14:paraId="08F82BD7">
            <w:pPr>
              <w:pStyle w:val="6"/>
              <w:spacing w:before="170" w:line="230" w:lineRule="auto"/>
              <w:ind w:left="12" w:right="845"/>
              <w:jc w:val="both"/>
              <w:rPr>
                <w:sz w:val="18"/>
                <w:szCs w:val="18"/>
              </w:rPr>
            </w:pPr>
            <w:r>
              <w:rPr>
                <w:spacing w:val="1"/>
                <w:sz w:val="18"/>
                <w:szCs w:val="18"/>
              </w:rPr>
              <w:t>1.时序电路的特点</w:t>
            </w:r>
            <w:r>
              <w:rPr>
                <w:spacing w:val="6"/>
                <w:sz w:val="18"/>
                <w:szCs w:val="18"/>
              </w:rPr>
              <w:t xml:space="preserve"> </w:t>
            </w:r>
            <w:r>
              <w:rPr>
                <w:spacing w:val="-2"/>
                <w:sz w:val="18"/>
                <w:szCs w:val="18"/>
              </w:rPr>
              <w:t>2.时序电路的组成</w:t>
            </w:r>
            <w:r>
              <w:rPr>
                <w:spacing w:val="7"/>
                <w:sz w:val="18"/>
                <w:szCs w:val="18"/>
              </w:rPr>
              <w:t xml:space="preserve"> </w:t>
            </w:r>
            <w:r>
              <w:rPr>
                <w:spacing w:val="-1"/>
                <w:sz w:val="18"/>
                <w:szCs w:val="18"/>
              </w:rPr>
              <w:t>3.时序电路的分类</w:t>
            </w:r>
          </w:p>
        </w:tc>
        <w:tc>
          <w:tcPr>
            <w:tcW w:w="219" w:type="dxa"/>
            <w:vAlign w:val="top"/>
          </w:tcPr>
          <w:p w14:paraId="1299D3B8">
            <w:pPr>
              <w:rPr>
                <w:rFonts w:ascii="Arial"/>
                <w:sz w:val="21"/>
              </w:rPr>
            </w:pPr>
          </w:p>
        </w:tc>
        <w:tc>
          <w:tcPr>
            <w:tcW w:w="229" w:type="dxa"/>
            <w:vAlign w:val="top"/>
          </w:tcPr>
          <w:p w14:paraId="3D93E763">
            <w:pPr>
              <w:rPr>
                <w:rFonts w:ascii="Arial"/>
                <w:sz w:val="21"/>
              </w:rPr>
            </w:pPr>
          </w:p>
        </w:tc>
        <w:tc>
          <w:tcPr>
            <w:tcW w:w="230" w:type="dxa"/>
            <w:vAlign w:val="top"/>
          </w:tcPr>
          <w:p w14:paraId="6495431B">
            <w:pPr>
              <w:rPr>
                <w:rFonts w:ascii="Arial"/>
                <w:sz w:val="21"/>
              </w:rPr>
            </w:pPr>
          </w:p>
        </w:tc>
        <w:tc>
          <w:tcPr>
            <w:tcW w:w="224" w:type="dxa"/>
            <w:vAlign w:val="top"/>
          </w:tcPr>
          <w:p w14:paraId="336D0645">
            <w:pPr>
              <w:rPr>
                <w:rFonts w:ascii="Arial"/>
                <w:sz w:val="21"/>
              </w:rPr>
            </w:pPr>
          </w:p>
        </w:tc>
      </w:tr>
      <w:tr w14:paraId="1EB0A7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8" w:hRule="atLeast"/>
        </w:trPr>
        <w:tc>
          <w:tcPr>
            <w:tcW w:w="893" w:type="dxa"/>
            <w:vAlign w:val="top"/>
          </w:tcPr>
          <w:p w14:paraId="742A9D72">
            <w:pPr>
              <w:pStyle w:val="6"/>
              <w:spacing w:before="171" w:line="219" w:lineRule="auto"/>
              <w:ind w:left="165"/>
              <w:rPr>
                <w:sz w:val="18"/>
                <w:szCs w:val="18"/>
              </w:rPr>
            </w:pPr>
            <w:r>
              <w:rPr>
                <w:spacing w:val="-3"/>
                <w:sz w:val="18"/>
                <w:szCs w:val="18"/>
              </w:rPr>
              <w:t>寄存器</w:t>
            </w:r>
          </w:p>
        </w:tc>
        <w:tc>
          <w:tcPr>
            <w:tcW w:w="2324" w:type="dxa"/>
            <w:vAlign w:val="top"/>
          </w:tcPr>
          <w:p w14:paraId="4EC1F352">
            <w:pPr>
              <w:pStyle w:val="6"/>
              <w:spacing w:before="171" w:line="219" w:lineRule="auto"/>
              <w:ind w:left="12"/>
              <w:rPr>
                <w:sz w:val="18"/>
                <w:szCs w:val="18"/>
              </w:rPr>
            </w:pPr>
            <w:r>
              <w:rPr>
                <w:spacing w:val="1"/>
                <w:sz w:val="18"/>
                <w:szCs w:val="18"/>
              </w:rPr>
              <w:t>数码寄存器的定义、逻辑图</w:t>
            </w:r>
          </w:p>
        </w:tc>
        <w:tc>
          <w:tcPr>
            <w:tcW w:w="219" w:type="dxa"/>
            <w:vAlign w:val="top"/>
          </w:tcPr>
          <w:p w14:paraId="0F9C1F70">
            <w:pPr>
              <w:rPr>
                <w:rFonts w:ascii="Arial"/>
                <w:sz w:val="21"/>
              </w:rPr>
            </w:pPr>
          </w:p>
        </w:tc>
        <w:tc>
          <w:tcPr>
            <w:tcW w:w="229" w:type="dxa"/>
            <w:vAlign w:val="top"/>
          </w:tcPr>
          <w:p w14:paraId="37240D46">
            <w:pPr>
              <w:rPr>
                <w:rFonts w:ascii="Arial"/>
                <w:sz w:val="21"/>
              </w:rPr>
            </w:pPr>
          </w:p>
        </w:tc>
        <w:tc>
          <w:tcPr>
            <w:tcW w:w="230" w:type="dxa"/>
            <w:vAlign w:val="top"/>
          </w:tcPr>
          <w:p w14:paraId="38D28BF1">
            <w:pPr>
              <w:rPr>
                <w:rFonts w:ascii="Arial"/>
                <w:sz w:val="21"/>
              </w:rPr>
            </w:pPr>
          </w:p>
        </w:tc>
        <w:tc>
          <w:tcPr>
            <w:tcW w:w="224" w:type="dxa"/>
            <w:vAlign w:val="top"/>
          </w:tcPr>
          <w:p w14:paraId="59F455EE">
            <w:pPr>
              <w:rPr>
                <w:rFonts w:ascii="Arial"/>
                <w:sz w:val="21"/>
              </w:rPr>
            </w:pPr>
          </w:p>
        </w:tc>
      </w:tr>
      <w:tr w14:paraId="02958D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780" w:hRule="atLeast"/>
        </w:trPr>
        <w:tc>
          <w:tcPr>
            <w:tcW w:w="893" w:type="dxa"/>
            <w:vAlign w:val="top"/>
          </w:tcPr>
          <w:p w14:paraId="70619540">
            <w:pPr>
              <w:spacing w:line="246" w:lineRule="auto"/>
              <w:rPr>
                <w:rFonts w:ascii="Arial"/>
                <w:sz w:val="21"/>
              </w:rPr>
            </w:pPr>
          </w:p>
          <w:p w14:paraId="1CCA12DD">
            <w:pPr>
              <w:spacing w:line="247" w:lineRule="auto"/>
              <w:rPr>
                <w:rFonts w:ascii="Arial"/>
                <w:sz w:val="21"/>
              </w:rPr>
            </w:pPr>
          </w:p>
          <w:p w14:paraId="2E7F3613">
            <w:pPr>
              <w:spacing w:line="247" w:lineRule="auto"/>
              <w:rPr>
                <w:rFonts w:ascii="Arial"/>
                <w:sz w:val="21"/>
              </w:rPr>
            </w:pPr>
          </w:p>
          <w:p w14:paraId="79EF0D65">
            <w:pPr>
              <w:pStyle w:val="6"/>
              <w:spacing w:before="58" w:line="219" w:lineRule="auto"/>
              <w:ind w:left="165"/>
              <w:rPr>
                <w:sz w:val="18"/>
                <w:szCs w:val="18"/>
              </w:rPr>
            </w:pPr>
            <w:r>
              <w:rPr>
                <w:spacing w:val="-2"/>
                <w:sz w:val="18"/>
                <w:szCs w:val="18"/>
              </w:rPr>
              <w:t>计数器</w:t>
            </w:r>
          </w:p>
        </w:tc>
        <w:tc>
          <w:tcPr>
            <w:tcW w:w="2324" w:type="dxa"/>
            <w:vAlign w:val="top"/>
          </w:tcPr>
          <w:p w14:paraId="4F8FD64E">
            <w:pPr>
              <w:pStyle w:val="6"/>
              <w:spacing w:before="162" w:line="226" w:lineRule="auto"/>
              <w:ind w:left="12" w:right="132"/>
              <w:rPr>
                <w:sz w:val="18"/>
                <w:szCs w:val="18"/>
              </w:rPr>
            </w:pPr>
            <w:r>
              <w:rPr>
                <w:sz w:val="18"/>
                <w:szCs w:val="18"/>
              </w:rPr>
              <w:t>1.二进制计数器的逻辑功能</w:t>
            </w:r>
            <w:r>
              <w:rPr>
                <w:spacing w:val="8"/>
                <w:sz w:val="18"/>
                <w:szCs w:val="18"/>
              </w:rPr>
              <w:t xml:space="preserve"> </w:t>
            </w:r>
            <w:r>
              <w:rPr>
                <w:spacing w:val="5"/>
                <w:sz w:val="18"/>
                <w:szCs w:val="18"/>
              </w:rPr>
              <w:t>(同步、异步)</w:t>
            </w:r>
          </w:p>
          <w:p w14:paraId="7D724D81">
            <w:pPr>
              <w:pStyle w:val="6"/>
              <w:spacing w:before="1" w:line="220" w:lineRule="auto"/>
              <w:ind w:left="12" w:right="127"/>
              <w:rPr>
                <w:sz w:val="18"/>
                <w:szCs w:val="18"/>
              </w:rPr>
            </w:pPr>
            <w:r>
              <w:rPr>
                <w:spacing w:val="1"/>
                <w:sz w:val="18"/>
                <w:szCs w:val="18"/>
              </w:rPr>
              <w:t>2.异步二进制加法计数器和</w:t>
            </w:r>
            <w:r>
              <w:rPr>
                <w:sz w:val="18"/>
                <w:szCs w:val="18"/>
              </w:rPr>
              <w:t xml:space="preserve"> </w:t>
            </w:r>
            <w:r>
              <w:rPr>
                <w:spacing w:val="-1"/>
                <w:sz w:val="18"/>
                <w:szCs w:val="18"/>
              </w:rPr>
              <w:t>减法计数器的连接</w:t>
            </w:r>
          </w:p>
          <w:p w14:paraId="62A931FA">
            <w:pPr>
              <w:pStyle w:val="6"/>
              <w:spacing w:line="219" w:lineRule="auto"/>
              <w:ind w:left="12"/>
              <w:rPr>
                <w:sz w:val="18"/>
                <w:szCs w:val="18"/>
              </w:rPr>
            </w:pPr>
            <w:r>
              <w:rPr>
                <w:spacing w:val="-2"/>
                <w:sz w:val="18"/>
                <w:szCs w:val="18"/>
              </w:rPr>
              <w:t>3.十进制的计数器</w:t>
            </w:r>
          </w:p>
          <w:p w14:paraId="41FB1F8C">
            <w:pPr>
              <w:pStyle w:val="6"/>
              <w:spacing w:before="16" w:line="217" w:lineRule="auto"/>
              <w:ind w:left="12" w:right="192"/>
              <w:rPr>
                <w:sz w:val="18"/>
                <w:szCs w:val="18"/>
              </w:rPr>
            </w:pPr>
            <w:r>
              <w:rPr>
                <w:spacing w:val="-1"/>
                <w:sz w:val="18"/>
                <w:szCs w:val="18"/>
              </w:rPr>
              <w:t>4.计数器的应用(数字钟电</w:t>
            </w:r>
            <w:r>
              <w:rPr>
                <w:spacing w:val="5"/>
                <w:sz w:val="18"/>
                <w:szCs w:val="18"/>
              </w:rPr>
              <w:t xml:space="preserve"> </w:t>
            </w:r>
            <w:r>
              <w:rPr>
                <w:spacing w:val="3"/>
                <w:sz w:val="18"/>
                <w:szCs w:val="18"/>
              </w:rPr>
              <w:t>路、测量脉冲频率和周期)</w:t>
            </w:r>
          </w:p>
        </w:tc>
        <w:tc>
          <w:tcPr>
            <w:tcW w:w="219" w:type="dxa"/>
            <w:vAlign w:val="top"/>
          </w:tcPr>
          <w:p w14:paraId="28F8C614">
            <w:pPr>
              <w:rPr>
                <w:rFonts w:ascii="Arial"/>
                <w:sz w:val="21"/>
              </w:rPr>
            </w:pPr>
          </w:p>
        </w:tc>
        <w:tc>
          <w:tcPr>
            <w:tcW w:w="229" w:type="dxa"/>
            <w:vAlign w:val="top"/>
          </w:tcPr>
          <w:p w14:paraId="09BC8AFC">
            <w:pPr>
              <w:rPr>
                <w:rFonts w:ascii="Arial"/>
                <w:sz w:val="21"/>
              </w:rPr>
            </w:pPr>
          </w:p>
        </w:tc>
        <w:tc>
          <w:tcPr>
            <w:tcW w:w="230" w:type="dxa"/>
            <w:vAlign w:val="top"/>
          </w:tcPr>
          <w:p w14:paraId="4F040AA7">
            <w:pPr>
              <w:rPr>
                <w:rFonts w:ascii="Arial"/>
                <w:sz w:val="21"/>
              </w:rPr>
            </w:pPr>
          </w:p>
        </w:tc>
        <w:tc>
          <w:tcPr>
            <w:tcW w:w="224" w:type="dxa"/>
            <w:vAlign w:val="top"/>
          </w:tcPr>
          <w:p w14:paraId="0E761C1B">
            <w:pPr>
              <w:rPr>
                <w:rFonts w:ascii="Arial"/>
                <w:sz w:val="21"/>
              </w:rPr>
            </w:pPr>
          </w:p>
        </w:tc>
      </w:tr>
    </w:tbl>
    <w:p w14:paraId="55FBB100">
      <w:pPr>
        <w:spacing w:before="59" w:line="221" w:lineRule="auto"/>
        <w:ind w:left="18"/>
        <w:rPr>
          <w:rFonts w:ascii="黑体" w:hAnsi="黑体" w:eastAsia="黑体" w:cs="黑体"/>
          <w:sz w:val="23"/>
          <w:szCs w:val="23"/>
        </w:rPr>
      </w:pPr>
      <w:r>
        <w:rPr>
          <w:rFonts w:ascii="黑体" w:hAnsi="黑体" w:eastAsia="黑体" w:cs="黑体"/>
          <w:b/>
          <w:bCs/>
          <w:spacing w:val="-6"/>
          <w:sz w:val="23"/>
          <w:szCs w:val="23"/>
        </w:rPr>
        <w:t>四、考试形式和试卷结构</w:t>
      </w:r>
    </w:p>
    <w:p w14:paraId="113E76F5">
      <w:pPr>
        <w:spacing w:before="97" w:line="219" w:lineRule="auto"/>
        <w:ind w:left="345"/>
        <w:rPr>
          <w:rFonts w:ascii="宋体" w:hAnsi="宋体" w:eastAsia="宋体" w:cs="宋体"/>
          <w:sz w:val="16"/>
          <w:szCs w:val="16"/>
        </w:rPr>
      </w:pPr>
      <w:r>
        <w:rPr>
          <w:rFonts w:ascii="宋体" w:hAnsi="宋体" w:eastAsia="宋体" w:cs="宋体"/>
          <w:spacing w:val="2"/>
          <w:sz w:val="16"/>
          <w:szCs w:val="16"/>
        </w:rPr>
        <w:t>1.考试形式：</w:t>
      </w:r>
    </w:p>
    <w:p w14:paraId="02CB42B3">
      <w:pPr>
        <w:spacing w:before="111" w:line="311" w:lineRule="auto"/>
        <w:ind w:left="345" w:right="224"/>
        <w:rPr>
          <w:rFonts w:ascii="宋体" w:hAnsi="宋体" w:eastAsia="宋体" w:cs="宋体"/>
          <w:sz w:val="16"/>
          <w:szCs w:val="16"/>
        </w:rPr>
      </w:pPr>
      <w:r>
        <w:rPr>
          <w:rFonts w:ascii="宋体" w:hAnsi="宋体" w:eastAsia="宋体" w:cs="宋体"/>
          <w:spacing w:val="12"/>
          <w:sz w:val="16"/>
          <w:szCs w:val="16"/>
        </w:rPr>
        <w:t>考试采用闭卷笔答形式。考试时间为150分钟。</w:t>
      </w:r>
      <w:r>
        <w:rPr>
          <w:rFonts w:ascii="宋体" w:hAnsi="宋体" w:eastAsia="宋体" w:cs="宋体"/>
          <w:spacing w:val="15"/>
          <w:sz w:val="16"/>
          <w:szCs w:val="16"/>
        </w:rPr>
        <w:t xml:space="preserve"> </w:t>
      </w:r>
      <w:r>
        <w:rPr>
          <w:rFonts w:ascii="宋体" w:hAnsi="宋体" w:eastAsia="宋体" w:cs="宋体"/>
          <w:spacing w:val="5"/>
          <w:sz w:val="16"/>
          <w:szCs w:val="16"/>
        </w:rPr>
        <w:t>2.试卷结构：</w:t>
      </w:r>
    </w:p>
    <w:p w14:paraId="15DFBDE3">
      <w:pPr>
        <w:spacing w:before="31" w:line="219" w:lineRule="auto"/>
        <w:ind w:left="425"/>
        <w:rPr>
          <w:rFonts w:ascii="宋体" w:hAnsi="宋体" w:eastAsia="宋体" w:cs="宋体"/>
          <w:sz w:val="16"/>
          <w:szCs w:val="16"/>
        </w:rPr>
      </w:pPr>
      <w:r>
        <w:rPr>
          <w:rFonts w:ascii="宋体" w:hAnsi="宋体" w:eastAsia="宋体" w:cs="宋体"/>
          <w:spacing w:val="17"/>
          <w:sz w:val="16"/>
          <w:szCs w:val="16"/>
        </w:rPr>
        <w:t>(1)按知识内容分：</w:t>
      </w:r>
    </w:p>
    <w:p w14:paraId="07D561AA">
      <w:pPr>
        <w:spacing w:line="219" w:lineRule="auto"/>
        <w:rPr>
          <w:rFonts w:ascii="宋体" w:hAnsi="宋体" w:eastAsia="宋体" w:cs="宋体"/>
          <w:sz w:val="16"/>
          <w:szCs w:val="16"/>
        </w:rPr>
        <w:sectPr>
          <w:type w:val="continuous"/>
          <w:pgSz w:w="10660" w:h="15080"/>
          <w:pgMar w:top="400" w:right="905" w:bottom="917" w:left="1034" w:header="0" w:footer="709" w:gutter="0"/>
          <w:cols w:equalWidth="0" w:num="2">
            <w:col w:w="4490" w:space="100"/>
            <w:col w:w="4130"/>
          </w:cols>
        </w:sectPr>
      </w:pPr>
    </w:p>
    <w:p w14:paraId="74FB698E">
      <w:pPr>
        <w:spacing w:before="72"/>
      </w:pPr>
    </w:p>
    <w:p w14:paraId="412BFEC7">
      <w:pPr>
        <w:spacing w:before="72"/>
      </w:pPr>
    </w:p>
    <w:p w14:paraId="0D3A0303">
      <w:pPr>
        <w:spacing w:before="71"/>
      </w:pPr>
    </w:p>
    <w:p w14:paraId="6964BECB">
      <w:pPr>
        <w:sectPr>
          <w:footerReference r:id="rId38" w:type="default"/>
          <w:pgSz w:w="10660" w:h="15080"/>
          <w:pgMar w:top="400" w:right="964" w:bottom="925" w:left="819" w:header="0" w:footer="705" w:gutter="0"/>
          <w:cols w:equalWidth="0" w:num="1">
            <w:col w:w="8876"/>
          </w:cols>
        </w:sectPr>
      </w:pPr>
    </w:p>
    <w:p w14:paraId="48B74019">
      <w:pPr>
        <w:spacing w:before="56" w:line="314" w:lineRule="auto"/>
        <w:ind w:left="49" w:right="337" w:firstLine="400"/>
        <w:rPr>
          <w:rFonts w:ascii="黑体" w:hAnsi="黑体" w:eastAsia="黑体" w:cs="黑体"/>
          <w:sz w:val="17"/>
          <w:szCs w:val="17"/>
        </w:rPr>
      </w:pPr>
      <w:r>
        <w:rPr>
          <w:rFonts w:ascii="黑体" w:hAnsi="黑体" w:eastAsia="黑体" w:cs="黑体"/>
          <w:spacing w:val="-1"/>
          <w:sz w:val="17"/>
          <w:szCs w:val="17"/>
        </w:rPr>
        <w:t>专业综合课考试为一张试卷，含三个科目的内容，</w:t>
      </w:r>
      <w:r>
        <w:rPr>
          <w:rFonts w:ascii="黑体" w:hAnsi="黑体" w:eastAsia="黑体" w:cs="黑体"/>
          <w:spacing w:val="15"/>
          <w:sz w:val="17"/>
          <w:szCs w:val="17"/>
        </w:rPr>
        <w:t xml:space="preserve"> </w:t>
      </w:r>
      <w:r>
        <w:rPr>
          <w:rFonts w:ascii="宋体" w:hAnsi="宋体" w:eastAsia="宋体" w:cs="宋体"/>
          <w:spacing w:val="5"/>
          <w:sz w:val="17"/>
          <w:szCs w:val="17"/>
        </w:rPr>
        <w:t>满分共200分。试卷中知识要点充分考虑到重点章节，</w:t>
      </w:r>
      <w:r>
        <w:rPr>
          <w:rFonts w:ascii="宋体" w:hAnsi="宋体" w:eastAsia="宋体" w:cs="宋体"/>
          <w:spacing w:val="14"/>
          <w:sz w:val="17"/>
          <w:szCs w:val="17"/>
        </w:rPr>
        <w:t xml:space="preserve"> </w:t>
      </w:r>
      <w:r>
        <w:rPr>
          <w:rFonts w:ascii="宋体" w:hAnsi="宋体" w:eastAsia="宋体" w:cs="宋体"/>
          <w:spacing w:val="9"/>
          <w:sz w:val="17"/>
          <w:szCs w:val="17"/>
        </w:rPr>
        <w:t>重要知识点的比例不少于50%,部分综合和三科综合各</w:t>
      </w:r>
      <w:r>
        <w:rPr>
          <w:rFonts w:ascii="宋体" w:hAnsi="宋体" w:eastAsia="宋体" w:cs="宋体"/>
          <w:spacing w:val="1"/>
          <w:sz w:val="17"/>
          <w:szCs w:val="17"/>
        </w:rPr>
        <w:t xml:space="preserve"> </w:t>
      </w:r>
      <w:r>
        <w:rPr>
          <w:rFonts w:ascii="黑体" w:hAnsi="黑体" w:eastAsia="黑体" w:cs="黑体"/>
          <w:spacing w:val="13"/>
          <w:sz w:val="17"/>
          <w:szCs w:val="17"/>
        </w:rPr>
        <w:t>占15%。</w:t>
      </w:r>
    </w:p>
    <w:p w14:paraId="2C69B7C4">
      <w:pPr>
        <w:spacing w:before="22" w:line="219" w:lineRule="auto"/>
        <w:ind w:left="440"/>
        <w:rPr>
          <w:rFonts w:ascii="宋体" w:hAnsi="宋体" w:eastAsia="宋体" w:cs="宋体"/>
          <w:sz w:val="18"/>
          <w:szCs w:val="18"/>
        </w:rPr>
      </w:pPr>
      <w:r>
        <w:rPr>
          <w:rFonts w:ascii="宋体" w:hAnsi="宋体" w:eastAsia="宋体" w:cs="宋体"/>
          <w:sz w:val="18"/>
          <w:szCs w:val="18"/>
        </w:rPr>
        <w:t>各部分内容及章节所占比例如下：</w:t>
      </w:r>
    </w:p>
    <w:p w14:paraId="70FEAE40">
      <w:pPr>
        <w:spacing w:line="57" w:lineRule="auto"/>
        <w:rPr>
          <w:rFonts w:ascii="Arial"/>
          <w:sz w:val="2"/>
        </w:rPr>
      </w:pPr>
    </w:p>
    <w:tbl>
      <w:tblPr>
        <w:tblStyle w:val="5"/>
        <w:tblW w:w="4130" w:type="dxa"/>
        <w:tblInd w:w="6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53"/>
        <w:gridCol w:w="2664"/>
        <w:gridCol w:w="613"/>
      </w:tblGrid>
      <w:tr w14:paraId="49267B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4" w:hRule="atLeast"/>
        </w:trPr>
        <w:tc>
          <w:tcPr>
            <w:tcW w:w="853" w:type="dxa"/>
            <w:vAlign w:val="top"/>
          </w:tcPr>
          <w:p w14:paraId="6B56D3AE">
            <w:pPr>
              <w:pStyle w:val="6"/>
              <w:spacing w:before="48" w:line="219" w:lineRule="auto"/>
              <w:ind w:left="257"/>
              <w:rPr>
                <w:sz w:val="18"/>
                <w:szCs w:val="18"/>
              </w:rPr>
            </w:pPr>
            <w:r>
              <w:rPr>
                <w:b/>
                <w:bCs/>
                <w:spacing w:val="-5"/>
                <w:sz w:val="18"/>
                <w:szCs w:val="18"/>
              </w:rPr>
              <w:t>学科</w:t>
            </w:r>
          </w:p>
        </w:tc>
        <w:tc>
          <w:tcPr>
            <w:tcW w:w="2664" w:type="dxa"/>
            <w:vAlign w:val="top"/>
          </w:tcPr>
          <w:p w14:paraId="4F297E02">
            <w:pPr>
              <w:pStyle w:val="6"/>
              <w:spacing w:before="51" w:line="218" w:lineRule="auto"/>
              <w:ind w:left="774"/>
              <w:rPr>
                <w:sz w:val="18"/>
                <w:szCs w:val="18"/>
              </w:rPr>
            </w:pPr>
            <w:r>
              <w:rPr>
                <w:b/>
                <w:bCs/>
                <w:spacing w:val="-1"/>
                <w:sz w:val="18"/>
                <w:szCs w:val="18"/>
              </w:rPr>
              <w:t>知识与技能要点</w:t>
            </w:r>
          </w:p>
        </w:tc>
        <w:tc>
          <w:tcPr>
            <w:tcW w:w="613" w:type="dxa"/>
            <w:vAlign w:val="top"/>
          </w:tcPr>
          <w:p w14:paraId="006E5AA1">
            <w:pPr>
              <w:pStyle w:val="6"/>
              <w:spacing w:before="51" w:line="218" w:lineRule="auto"/>
              <w:ind w:left="120"/>
              <w:rPr>
                <w:sz w:val="18"/>
                <w:szCs w:val="18"/>
              </w:rPr>
            </w:pPr>
            <w:r>
              <w:rPr>
                <w:b/>
                <w:bCs/>
                <w:spacing w:val="-5"/>
                <w:sz w:val="18"/>
                <w:szCs w:val="18"/>
              </w:rPr>
              <w:t>小计</w:t>
            </w:r>
          </w:p>
        </w:tc>
      </w:tr>
      <w:tr w14:paraId="48E4BB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0" w:hRule="atLeast"/>
        </w:trPr>
        <w:tc>
          <w:tcPr>
            <w:tcW w:w="853" w:type="dxa"/>
            <w:vMerge w:val="restart"/>
            <w:tcBorders>
              <w:bottom w:val="nil"/>
            </w:tcBorders>
            <w:vAlign w:val="top"/>
          </w:tcPr>
          <w:p w14:paraId="0030BE91">
            <w:pPr>
              <w:spacing w:line="247" w:lineRule="auto"/>
              <w:rPr>
                <w:rFonts w:ascii="Arial"/>
                <w:sz w:val="21"/>
              </w:rPr>
            </w:pPr>
          </w:p>
          <w:p w14:paraId="604DDCBE">
            <w:pPr>
              <w:spacing w:line="247" w:lineRule="auto"/>
              <w:rPr>
                <w:rFonts w:ascii="Arial"/>
                <w:sz w:val="21"/>
              </w:rPr>
            </w:pPr>
          </w:p>
          <w:p w14:paraId="2CE3214C">
            <w:pPr>
              <w:spacing w:line="248" w:lineRule="auto"/>
              <w:rPr>
                <w:rFonts w:ascii="Arial"/>
                <w:sz w:val="21"/>
              </w:rPr>
            </w:pPr>
          </w:p>
          <w:p w14:paraId="551E6AB1">
            <w:pPr>
              <w:spacing w:line="248" w:lineRule="auto"/>
              <w:rPr>
                <w:rFonts w:ascii="Arial"/>
                <w:sz w:val="21"/>
              </w:rPr>
            </w:pPr>
          </w:p>
          <w:p w14:paraId="38703401">
            <w:pPr>
              <w:spacing w:line="248" w:lineRule="auto"/>
              <w:rPr>
                <w:rFonts w:ascii="Arial"/>
                <w:sz w:val="21"/>
              </w:rPr>
            </w:pPr>
          </w:p>
          <w:p w14:paraId="0D2A85E6">
            <w:pPr>
              <w:spacing w:line="248" w:lineRule="auto"/>
              <w:rPr>
                <w:rFonts w:ascii="Arial"/>
                <w:sz w:val="21"/>
              </w:rPr>
            </w:pPr>
          </w:p>
          <w:p w14:paraId="5ED67C5B">
            <w:pPr>
              <w:pStyle w:val="6"/>
              <w:spacing w:before="58" w:line="225" w:lineRule="auto"/>
              <w:ind w:left="15"/>
              <w:rPr>
                <w:sz w:val="18"/>
                <w:szCs w:val="18"/>
              </w:rPr>
            </w:pPr>
            <w:r>
              <w:rPr>
                <w:spacing w:val="2"/>
                <w:sz w:val="18"/>
                <w:szCs w:val="18"/>
              </w:rPr>
              <w:t>电工基础</w:t>
            </w:r>
          </w:p>
        </w:tc>
        <w:tc>
          <w:tcPr>
            <w:tcW w:w="2664" w:type="dxa"/>
            <w:vAlign w:val="top"/>
          </w:tcPr>
          <w:p w14:paraId="2C5C349F">
            <w:pPr>
              <w:pStyle w:val="6"/>
              <w:spacing w:before="47" w:line="219" w:lineRule="auto"/>
              <w:ind w:left="12"/>
              <w:rPr>
                <w:sz w:val="18"/>
                <w:szCs w:val="18"/>
              </w:rPr>
            </w:pPr>
            <w:r>
              <w:rPr>
                <w:spacing w:val="-4"/>
                <w:sz w:val="18"/>
                <w:szCs w:val="18"/>
              </w:rPr>
              <w:t>第一章</w:t>
            </w:r>
            <w:r>
              <w:rPr>
                <w:spacing w:val="35"/>
                <w:w w:val="101"/>
                <w:sz w:val="18"/>
                <w:szCs w:val="18"/>
              </w:rPr>
              <w:t xml:space="preserve"> </w:t>
            </w:r>
            <w:r>
              <w:rPr>
                <w:spacing w:val="-4"/>
                <w:sz w:val="18"/>
                <w:szCs w:val="18"/>
              </w:rPr>
              <w:t>电路的基本概念</w:t>
            </w:r>
          </w:p>
        </w:tc>
        <w:tc>
          <w:tcPr>
            <w:tcW w:w="613" w:type="dxa"/>
            <w:vMerge w:val="restart"/>
            <w:tcBorders>
              <w:bottom w:val="nil"/>
            </w:tcBorders>
            <w:vAlign w:val="top"/>
          </w:tcPr>
          <w:p w14:paraId="4C6E1115">
            <w:pPr>
              <w:spacing w:line="254" w:lineRule="auto"/>
              <w:rPr>
                <w:rFonts w:ascii="Arial"/>
                <w:sz w:val="21"/>
              </w:rPr>
            </w:pPr>
          </w:p>
          <w:p w14:paraId="1146A8EB">
            <w:pPr>
              <w:spacing w:line="254" w:lineRule="auto"/>
              <w:rPr>
                <w:rFonts w:ascii="Arial"/>
                <w:sz w:val="21"/>
              </w:rPr>
            </w:pPr>
          </w:p>
          <w:p w14:paraId="6B99CF5D">
            <w:pPr>
              <w:spacing w:line="254" w:lineRule="auto"/>
              <w:rPr>
                <w:rFonts w:ascii="Arial"/>
                <w:sz w:val="21"/>
              </w:rPr>
            </w:pPr>
          </w:p>
          <w:p w14:paraId="19D5D574">
            <w:pPr>
              <w:spacing w:line="254" w:lineRule="auto"/>
              <w:rPr>
                <w:rFonts w:ascii="Arial"/>
                <w:sz w:val="21"/>
              </w:rPr>
            </w:pPr>
          </w:p>
          <w:p w14:paraId="2A594148">
            <w:pPr>
              <w:spacing w:line="255" w:lineRule="auto"/>
              <w:rPr>
                <w:rFonts w:ascii="Arial"/>
                <w:sz w:val="21"/>
              </w:rPr>
            </w:pPr>
          </w:p>
          <w:p w14:paraId="4760396D">
            <w:pPr>
              <w:spacing w:line="255" w:lineRule="auto"/>
              <w:rPr>
                <w:rFonts w:ascii="Arial"/>
                <w:sz w:val="21"/>
              </w:rPr>
            </w:pPr>
          </w:p>
          <w:p w14:paraId="1DF4F309">
            <w:pPr>
              <w:pStyle w:val="6"/>
              <w:spacing w:before="59" w:line="183" w:lineRule="auto"/>
              <w:ind w:left="168"/>
              <w:rPr>
                <w:sz w:val="18"/>
                <w:szCs w:val="18"/>
              </w:rPr>
            </w:pPr>
            <w:r>
              <w:rPr>
                <w:spacing w:val="-3"/>
                <w:sz w:val="18"/>
                <w:szCs w:val="18"/>
              </w:rPr>
              <w:t>35%</w:t>
            </w:r>
          </w:p>
        </w:tc>
      </w:tr>
      <w:tr w14:paraId="5D426C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trPr>
        <w:tc>
          <w:tcPr>
            <w:tcW w:w="853" w:type="dxa"/>
            <w:vMerge w:val="continue"/>
            <w:tcBorders>
              <w:top w:val="nil"/>
              <w:bottom w:val="nil"/>
            </w:tcBorders>
            <w:vAlign w:val="top"/>
          </w:tcPr>
          <w:p w14:paraId="716BABFB">
            <w:pPr>
              <w:rPr>
                <w:rFonts w:ascii="Arial"/>
                <w:sz w:val="21"/>
              </w:rPr>
            </w:pPr>
          </w:p>
        </w:tc>
        <w:tc>
          <w:tcPr>
            <w:tcW w:w="2664" w:type="dxa"/>
            <w:vAlign w:val="top"/>
          </w:tcPr>
          <w:p w14:paraId="20A092F8">
            <w:pPr>
              <w:pStyle w:val="6"/>
              <w:spacing w:before="47" w:line="218" w:lineRule="auto"/>
              <w:ind w:left="12"/>
              <w:rPr>
                <w:sz w:val="18"/>
                <w:szCs w:val="18"/>
              </w:rPr>
            </w:pPr>
            <w:r>
              <w:rPr>
                <w:spacing w:val="-1"/>
                <w:sz w:val="18"/>
                <w:szCs w:val="18"/>
              </w:rPr>
              <w:t>第二章  简单直流电路</w:t>
            </w:r>
          </w:p>
        </w:tc>
        <w:tc>
          <w:tcPr>
            <w:tcW w:w="613" w:type="dxa"/>
            <w:vMerge w:val="continue"/>
            <w:tcBorders>
              <w:top w:val="nil"/>
              <w:bottom w:val="nil"/>
            </w:tcBorders>
            <w:vAlign w:val="top"/>
          </w:tcPr>
          <w:p w14:paraId="09118E7C">
            <w:pPr>
              <w:rPr>
                <w:rFonts w:ascii="Arial"/>
                <w:sz w:val="21"/>
              </w:rPr>
            </w:pPr>
          </w:p>
        </w:tc>
      </w:tr>
      <w:tr w14:paraId="27DEB2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9" w:hRule="atLeast"/>
        </w:trPr>
        <w:tc>
          <w:tcPr>
            <w:tcW w:w="853" w:type="dxa"/>
            <w:vMerge w:val="continue"/>
            <w:tcBorders>
              <w:top w:val="nil"/>
              <w:bottom w:val="nil"/>
            </w:tcBorders>
            <w:vAlign w:val="top"/>
          </w:tcPr>
          <w:p w14:paraId="0739AAD9">
            <w:pPr>
              <w:rPr>
                <w:rFonts w:ascii="Arial"/>
                <w:sz w:val="21"/>
              </w:rPr>
            </w:pPr>
          </w:p>
        </w:tc>
        <w:tc>
          <w:tcPr>
            <w:tcW w:w="2664" w:type="dxa"/>
            <w:vAlign w:val="top"/>
          </w:tcPr>
          <w:p w14:paraId="752BDBD7">
            <w:pPr>
              <w:pStyle w:val="6"/>
              <w:spacing w:before="47" w:line="219" w:lineRule="auto"/>
              <w:ind w:left="12"/>
              <w:rPr>
                <w:sz w:val="18"/>
                <w:szCs w:val="18"/>
              </w:rPr>
            </w:pPr>
            <w:r>
              <w:rPr>
                <w:spacing w:val="-1"/>
                <w:sz w:val="18"/>
                <w:szCs w:val="18"/>
              </w:rPr>
              <w:t>第三章  复杂直流电路</w:t>
            </w:r>
          </w:p>
        </w:tc>
        <w:tc>
          <w:tcPr>
            <w:tcW w:w="613" w:type="dxa"/>
            <w:vMerge w:val="continue"/>
            <w:tcBorders>
              <w:top w:val="nil"/>
              <w:bottom w:val="nil"/>
            </w:tcBorders>
            <w:vAlign w:val="top"/>
          </w:tcPr>
          <w:p w14:paraId="418555A1">
            <w:pPr>
              <w:rPr>
                <w:rFonts w:ascii="Arial"/>
                <w:sz w:val="21"/>
              </w:rPr>
            </w:pPr>
          </w:p>
        </w:tc>
      </w:tr>
      <w:tr w14:paraId="14042F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trPr>
        <w:tc>
          <w:tcPr>
            <w:tcW w:w="853" w:type="dxa"/>
            <w:vMerge w:val="continue"/>
            <w:tcBorders>
              <w:top w:val="nil"/>
              <w:bottom w:val="nil"/>
            </w:tcBorders>
            <w:vAlign w:val="top"/>
          </w:tcPr>
          <w:p w14:paraId="70E61584">
            <w:pPr>
              <w:rPr>
                <w:rFonts w:ascii="Arial"/>
                <w:sz w:val="21"/>
              </w:rPr>
            </w:pPr>
          </w:p>
        </w:tc>
        <w:tc>
          <w:tcPr>
            <w:tcW w:w="2664" w:type="dxa"/>
            <w:vAlign w:val="top"/>
          </w:tcPr>
          <w:p w14:paraId="658E2FA5">
            <w:pPr>
              <w:pStyle w:val="6"/>
              <w:spacing w:before="48" w:line="217" w:lineRule="auto"/>
              <w:ind w:left="12"/>
              <w:rPr>
                <w:sz w:val="18"/>
                <w:szCs w:val="18"/>
              </w:rPr>
            </w:pPr>
            <w:r>
              <w:rPr>
                <w:spacing w:val="-5"/>
                <w:sz w:val="18"/>
                <w:szCs w:val="18"/>
              </w:rPr>
              <w:t>第四章</w:t>
            </w:r>
            <w:r>
              <w:rPr>
                <w:spacing w:val="15"/>
                <w:sz w:val="18"/>
                <w:szCs w:val="18"/>
              </w:rPr>
              <w:t xml:space="preserve">  </w:t>
            </w:r>
            <w:r>
              <w:rPr>
                <w:spacing w:val="-5"/>
                <w:sz w:val="18"/>
                <w:szCs w:val="18"/>
              </w:rPr>
              <w:t>电容</w:t>
            </w:r>
          </w:p>
        </w:tc>
        <w:tc>
          <w:tcPr>
            <w:tcW w:w="613" w:type="dxa"/>
            <w:vMerge w:val="continue"/>
            <w:tcBorders>
              <w:top w:val="nil"/>
              <w:bottom w:val="nil"/>
            </w:tcBorders>
            <w:vAlign w:val="top"/>
          </w:tcPr>
          <w:p w14:paraId="199BA588">
            <w:pPr>
              <w:rPr>
                <w:rFonts w:ascii="Arial"/>
                <w:sz w:val="21"/>
              </w:rPr>
            </w:pPr>
          </w:p>
        </w:tc>
      </w:tr>
      <w:tr w14:paraId="708E9A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 w:hRule="atLeast"/>
        </w:trPr>
        <w:tc>
          <w:tcPr>
            <w:tcW w:w="853" w:type="dxa"/>
            <w:vMerge w:val="continue"/>
            <w:tcBorders>
              <w:top w:val="nil"/>
              <w:bottom w:val="nil"/>
            </w:tcBorders>
            <w:vAlign w:val="top"/>
          </w:tcPr>
          <w:p w14:paraId="65D7742B">
            <w:pPr>
              <w:rPr>
                <w:rFonts w:ascii="Arial"/>
                <w:sz w:val="21"/>
              </w:rPr>
            </w:pPr>
          </w:p>
        </w:tc>
        <w:tc>
          <w:tcPr>
            <w:tcW w:w="2664" w:type="dxa"/>
            <w:vAlign w:val="top"/>
          </w:tcPr>
          <w:p w14:paraId="623EE809">
            <w:pPr>
              <w:pStyle w:val="6"/>
              <w:spacing w:before="38" w:line="217" w:lineRule="auto"/>
              <w:ind w:left="12"/>
              <w:rPr>
                <w:sz w:val="18"/>
                <w:szCs w:val="18"/>
              </w:rPr>
            </w:pPr>
            <w:r>
              <w:rPr>
                <w:spacing w:val="-1"/>
                <w:sz w:val="18"/>
                <w:szCs w:val="18"/>
              </w:rPr>
              <w:t>第五章  磁场和磁路</w:t>
            </w:r>
          </w:p>
        </w:tc>
        <w:tc>
          <w:tcPr>
            <w:tcW w:w="613" w:type="dxa"/>
            <w:vMerge w:val="continue"/>
            <w:tcBorders>
              <w:top w:val="nil"/>
              <w:bottom w:val="nil"/>
            </w:tcBorders>
            <w:vAlign w:val="top"/>
          </w:tcPr>
          <w:p w14:paraId="7BC65514">
            <w:pPr>
              <w:rPr>
                <w:rFonts w:ascii="Arial"/>
                <w:sz w:val="21"/>
              </w:rPr>
            </w:pPr>
          </w:p>
        </w:tc>
      </w:tr>
      <w:tr w14:paraId="74744C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9" w:hRule="atLeast"/>
        </w:trPr>
        <w:tc>
          <w:tcPr>
            <w:tcW w:w="853" w:type="dxa"/>
            <w:vMerge w:val="continue"/>
            <w:tcBorders>
              <w:top w:val="nil"/>
              <w:bottom w:val="nil"/>
            </w:tcBorders>
            <w:vAlign w:val="top"/>
          </w:tcPr>
          <w:p w14:paraId="13CE458A">
            <w:pPr>
              <w:rPr>
                <w:rFonts w:ascii="Arial"/>
                <w:sz w:val="21"/>
              </w:rPr>
            </w:pPr>
          </w:p>
        </w:tc>
        <w:tc>
          <w:tcPr>
            <w:tcW w:w="2664" w:type="dxa"/>
            <w:vAlign w:val="top"/>
          </w:tcPr>
          <w:p w14:paraId="4E2AF34A">
            <w:pPr>
              <w:pStyle w:val="6"/>
              <w:spacing w:before="58" w:line="219" w:lineRule="auto"/>
              <w:ind w:left="12"/>
              <w:rPr>
                <w:sz w:val="18"/>
                <w:szCs w:val="18"/>
              </w:rPr>
            </w:pPr>
            <w:r>
              <w:rPr>
                <w:spacing w:val="-5"/>
                <w:sz w:val="18"/>
                <w:szCs w:val="18"/>
              </w:rPr>
              <w:t>第六章</w:t>
            </w:r>
            <w:r>
              <w:rPr>
                <w:spacing w:val="33"/>
                <w:w w:val="101"/>
                <w:sz w:val="18"/>
                <w:szCs w:val="18"/>
              </w:rPr>
              <w:t xml:space="preserve"> </w:t>
            </w:r>
            <w:r>
              <w:rPr>
                <w:spacing w:val="-5"/>
                <w:sz w:val="18"/>
                <w:szCs w:val="18"/>
              </w:rPr>
              <w:t>电磁感应</w:t>
            </w:r>
          </w:p>
        </w:tc>
        <w:tc>
          <w:tcPr>
            <w:tcW w:w="613" w:type="dxa"/>
            <w:vMerge w:val="continue"/>
            <w:tcBorders>
              <w:top w:val="nil"/>
              <w:bottom w:val="nil"/>
            </w:tcBorders>
            <w:vAlign w:val="top"/>
          </w:tcPr>
          <w:p w14:paraId="3351833C">
            <w:pPr>
              <w:rPr>
                <w:rFonts w:ascii="Arial"/>
                <w:sz w:val="21"/>
              </w:rPr>
            </w:pPr>
          </w:p>
        </w:tc>
      </w:tr>
      <w:tr w14:paraId="384C8E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53" w:type="dxa"/>
            <w:vMerge w:val="continue"/>
            <w:tcBorders>
              <w:top w:val="nil"/>
              <w:bottom w:val="nil"/>
            </w:tcBorders>
            <w:vAlign w:val="top"/>
          </w:tcPr>
          <w:p w14:paraId="5E55831F">
            <w:pPr>
              <w:rPr>
                <w:rFonts w:ascii="Arial"/>
                <w:sz w:val="21"/>
              </w:rPr>
            </w:pPr>
          </w:p>
        </w:tc>
        <w:tc>
          <w:tcPr>
            <w:tcW w:w="2664" w:type="dxa"/>
            <w:vAlign w:val="top"/>
          </w:tcPr>
          <w:p w14:paraId="43480FE0">
            <w:pPr>
              <w:pStyle w:val="6"/>
              <w:spacing w:before="39" w:line="215" w:lineRule="auto"/>
              <w:ind w:left="12"/>
              <w:rPr>
                <w:sz w:val="18"/>
                <w:szCs w:val="18"/>
              </w:rPr>
            </w:pPr>
            <w:r>
              <w:rPr>
                <w:spacing w:val="-1"/>
                <w:sz w:val="18"/>
                <w:szCs w:val="18"/>
              </w:rPr>
              <w:t>第七章  正弦交流电的基本概念</w:t>
            </w:r>
          </w:p>
        </w:tc>
        <w:tc>
          <w:tcPr>
            <w:tcW w:w="613" w:type="dxa"/>
            <w:vMerge w:val="continue"/>
            <w:tcBorders>
              <w:top w:val="nil"/>
              <w:bottom w:val="nil"/>
            </w:tcBorders>
            <w:vAlign w:val="top"/>
          </w:tcPr>
          <w:p w14:paraId="7CC5166F">
            <w:pPr>
              <w:rPr>
                <w:rFonts w:ascii="Arial"/>
                <w:sz w:val="21"/>
              </w:rPr>
            </w:pPr>
          </w:p>
        </w:tc>
      </w:tr>
      <w:tr w14:paraId="1AF7B4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trPr>
        <w:tc>
          <w:tcPr>
            <w:tcW w:w="853" w:type="dxa"/>
            <w:vMerge w:val="continue"/>
            <w:tcBorders>
              <w:top w:val="nil"/>
              <w:bottom w:val="nil"/>
            </w:tcBorders>
            <w:vAlign w:val="top"/>
          </w:tcPr>
          <w:p w14:paraId="239431C3">
            <w:pPr>
              <w:rPr>
                <w:rFonts w:ascii="Arial"/>
                <w:sz w:val="21"/>
              </w:rPr>
            </w:pPr>
          </w:p>
        </w:tc>
        <w:tc>
          <w:tcPr>
            <w:tcW w:w="2664" w:type="dxa"/>
            <w:vAlign w:val="top"/>
          </w:tcPr>
          <w:p w14:paraId="4471887F">
            <w:pPr>
              <w:pStyle w:val="6"/>
              <w:spacing w:before="50" w:line="215" w:lineRule="auto"/>
              <w:ind w:left="12"/>
              <w:rPr>
                <w:sz w:val="18"/>
                <w:szCs w:val="18"/>
              </w:rPr>
            </w:pPr>
            <w:r>
              <w:rPr>
                <w:spacing w:val="-1"/>
                <w:sz w:val="18"/>
                <w:szCs w:val="18"/>
              </w:rPr>
              <w:t>第八章  正弦交流电</w:t>
            </w:r>
          </w:p>
        </w:tc>
        <w:tc>
          <w:tcPr>
            <w:tcW w:w="613" w:type="dxa"/>
            <w:vMerge w:val="continue"/>
            <w:tcBorders>
              <w:top w:val="nil"/>
              <w:bottom w:val="nil"/>
            </w:tcBorders>
            <w:vAlign w:val="top"/>
          </w:tcPr>
          <w:p w14:paraId="470C387C">
            <w:pPr>
              <w:rPr>
                <w:rFonts w:ascii="Arial"/>
                <w:sz w:val="21"/>
              </w:rPr>
            </w:pPr>
          </w:p>
        </w:tc>
      </w:tr>
      <w:tr w14:paraId="02D5B1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0" w:hRule="atLeast"/>
        </w:trPr>
        <w:tc>
          <w:tcPr>
            <w:tcW w:w="853" w:type="dxa"/>
            <w:vMerge w:val="continue"/>
            <w:tcBorders>
              <w:top w:val="nil"/>
              <w:bottom w:val="nil"/>
            </w:tcBorders>
            <w:vAlign w:val="top"/>
          </w:tcPr>
          <w:p w14:paraId="41729553">
            <w:pPr>
              <w:rPr>
                <w:rFonts w:ascii="Arial"/>
                <w:sz w:val="21"/>
              </w:rPr>
            </w:pPr>
          </w:p>
        </w:tc>
        <w:tc>
          <w:tcPr>
            <w:tcW w:w="2664" w:type="dxa"/>
            <w:vAlign w:val="top"/>
          </w:tcPr>
          <w:p w14:paraId="0571AA5B">
            <w:pPr>
              <w:pStyle w:val="6"/>
              <w:spacing w:before="50" w:line="219" w:lineRule="auto"/>
              <w:ind w:left="12"/>
              <w:rPr>
                <w:sz w:val="18"/>
                <w:szCs w:val="18"/>
              </w:rPr>
            </w:pPr>
            <w:r>
              <w:rPr>
                <w:spacing w:val="-1"/>
                <w:sz w:val="18"/>
                <w:szCs w:val="18"/>
              </w:rPr>
              <w:t>第九章  三相正弦交流电</w:t>
            </w:r>
          </w:p>
        </w:tc>
        <w:tc>
          <w:tcPr>
            <w:tcW w:w="613" w:type="dxa"/>
            <w:vMerge w:val="continue"/>
            <w:tcBorders>
              <w:top w:val="nil"/>
              <w:bottom w:val="nil"/>
            </w:tcBorders>
            <w:vAlign w:val="top"/>
          </w:tcPr>
          <w:p w14:paraId="5FF68183">
            <w:pPr>
              <w:rPr>
                <w:rFonts w:ascii="Arial"/>
                <w:sz w:val="21"/>
              </w:rPr>
            </w:pPr>
          </w:p>
        </w:tc>
      </w:tr>
      <w:tr w14:paraId="092162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9" w:hRule="atLeast"/>
        </w:trPr>
        <w:tc>
          <w:tcPr>
            <w:tcW w:w="853" w:type="dxa"/>
            <w:vMerge w:val="continue"/>
            <w:tcBorders>
              <w:top w:val="nil"/>
              <w:bottom w:val="nil"/>
            </w:tcBorders>
            <w:vAlign w:val="top"/>
          </w:tcPr>
          <w:p w14:paraId="60F033D1">
            <w:pPr>
              <w:rPr>
                <w:rFonts w:ascii="Arial"/>
                <w:sz w:val="21"/>
              </w:rPr>
            </w:pPr>
          </w:p>
        </w:tc>
        <w:tc>
          <w:tcPr>
            <w:tcW w:w="2664" w:type="dxa"/>
            <w:vAlign w:val="top"/>
          </w:tcPr>
          <w:p w14:paraId="580119A9">
            <w:pPr>
              <w:pStyle w:val="6"/>
              <w:spacing w:before="30" w:line="215" w:lineRule="auto"/>
              <w:ind w:left="52"/>
              <w:rPr>
                <w:sz w:val="18"/>
                <w:szCs w:val="18"/>
              </w:rPr>
            </w:pPr>
            <w:r>
              <w:rPr>
                <w:spacing w:val="-1"/>
                <w:sz w:val="18"/>
                <w:szCs w:val="18"/>
              </w:rPr>
              <w:t>第十章  变压器和三相异步交流</w:t>
            </w:r>
          </w:p>
          <w:p w14:paraId="4CE9C224">
            <w:pPr>
              <w:pStyle w:val="6"/>
              <w:spacing w:line="193" w:lineRule="auto"/>
              <w:ind w:left="12"/>
              <w:rPr>
                <w:sz w:val="18"/>
                <w:szCs w:val="18"/>
              </w:rPr>
            </w:pPr>
            <w:r>
              <w:rPr>
                <w:spacing w:val="2"/>
                <w:sz w:val="18"/>
                <w:szCs w:val="18"/>
              </w:rPr>
              <w:t>电动机</w:t>
            </w:r>
          </w:p>
        </w:tc>
        <w:tc>
          <w:tcPr>
            <w:tcW w:w="613" w:type="dxa"/>
            <w:vMerge w:val="continue"/>
            <w:tcBorders>
              <w:top w:val="nil"/>
              <w:bottom w:val="nil"/>
            </w:tcBorders>
            <w:vAlign w:val="top"/>
          </w:tcPr>
          <w:p w14:paraId="22F07ED4">
            <w:pPr>
              <w:rPr>
                <w:rFonts w:ascii="Arial"/>
                <w:sz w:val="21"/>
              </w:rPr>
            </w:pPr>
          </w:p>
        </w:tc>
      </w:tr>
      <w:tr w14:paraId="4B7D06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trPr>
        <w:tc>
          <w:tcPr>
            <w:tcW w:w="853" w:type="dxa"/>
            <w:vMerge w:val="continue"/>
            <w:tcBorders>
              <w:top w:val="nil"/>
            </w:tcBorders>
            <w:vAlign w:val="top"/>
          </w:tcPr>
          <w:p w14:paraId="4AD7F728">
            <w:pPr>
              <w:rPr>
                <w:rFonts w:ascii="Arial"/>
                <w:sz w:val="21"/>
              </w:rPr>
            </w:pPr>
          </w:p>
        </w:tc>
        <w:tc>
          <w:tcPr>
            <w:tcW w:w="2664" w:type="dxa"/>
            <w:vAlign w:val="top"/>
          </w:tcPr>
          <w:p w14:paraId="42BAC3D4">
            <w:pPr>
              <w:pStyle w:val="6"/>
              <w:spacing w:before="51" w:line="214" w:lineRule="auto"/>
              <w:ind w:left="12"/>
              <w:rPr>
                <w:sz w:val="18"/>
                <w:szCs w:val="18"/>
              </w:rPr>
            </w:pPr>
            <w:r>
              <w:rPr>
                <w:spacing w:val="-1"/>
                <w:sz w:val="18"/>
                <w:szCs w:val="18"/>
              </w:rPr>
              <w:t>第十一章  照明电路和安全用电</w:t>
            </w:r>
          </w:p>
        </w:tc>
        <w:tc>
          <w:tcPr>
            <w:tcW w:w="613" w:type="dxa"/>
            <w:vMerge w:val="continue"/>
            <w:tcBorders>
              <w:top w:val="nil"/>
            </w:tcBorders>
            <w:vAlign w:val="top"/>
          </w:tcPr>
          <w:p w14:paraId="25EB0026">
            <w:pPr>
              <w:rPr>
                <w:rFonts w:ascii="Arial"/>
                <w:sz w:val="21"/>
              </w:rPr>
            </w:pPr>
          </w:p>
        </w:tc>
      </w:tr>
      <w:tr w14:paraId="082B1F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0" w:hRule="atLeast"/>
        </w:trPr>
        <w:tc>
          <w:tcPr>
            <w:tcW w:w="853" w:type="dxa"/>
            <w:vMerge w:val="restart"/>
            <w:tcBorders>
              <w:bottom w:val="nil"/>
            </w:tcBorders>
            <w:vAlign w:val="top"/>
          </w:tcPr>
          <w:p w14:paraId="0B63BA5E">
            <w:pPr>
              <w:spacing w:line="280" w:lineRule="auto"/>
              <w:rPr>
                <w:rFonts w:ascii="Arial"/>
                <w:sz w:val="21"/>
              </w:rPr>
            </w:pPr>
          </w:p>
          <w:p w14:paraId="6816AD29">
            <w:pPr>
              <w:spacing w:line="280" w:lineRule="auto"/>
              <w:rPr>
                <w:rFonts w:ascii="Arial"/>
                <w:sz w:val="21"/>
              </w:rPr>
            </w:pPr>
          </w:p>
          <w:p w14:paraId="71A44ED4">
            <w:pPr>
              <w:pStyle w:val="6"/>
              <w:spacing w:before="59" w:line="219" w:lineRule="auto"/>
              <w:ind w:left="15"/>
              <w:rPr>
                <w:sz w:val="18"/>
                <w:szCs w:val="18"/>
              </w:rPr>
            </w:pPr>
            <w:r>
              <w:rPr>
                <w:spacing w:val="1"/>
                <w:sz w:val="18"/>
                <w:szCs w:val="18"/>
              </w:rPr>
              <w:t>电子线路</w:t>
            </w:r>
          </w:p>
        </w:tc>
        <w:tc>
          <w:tcPr>
            <w:tcW w:w="2664" w:type="dxa"/>
            <w:vAlign w:val="top"/>
          </w:tcPr>
          <w:p w14:paraId="119B71BF">
            <w:pPr>
              <w:pStyle w:val="6"/>
              <w:spacing w:before="51" w:line="219" w:lineRule="auto"/>
              <w:ind w:left="12"/>
              <w:rPr>
                <w:sz w:val="18"/>
                <w:szCs w:val="18"/>
              </w:rPr>
            </w:pPr>
            <w:r>
              <w:rPr>
                <w:spacing w:val="-1"/>
                <w:sz w:val="18"/>
                <w:szCs w:val="18"/>
              </w:rPr>
              <w:t>第一章  数制与逻辑代数</w:t>
            </w:r>
          </w:p>
        </w:tc>
        <w:tc>
          <w:tcPr>
            <w:tcW w:w="613" w:type="dxa"/>
            <w:vMerge w:val="restart"/>
            <w:tcBorders>
              <w:bottom w:val="nil"/>
            </w:tcBorders>
            <w:vAlign w:val="top"/>
          </w:tcPr>
          <w:p w14:paraId="108CAB38">
            <w:pPr>
              <w:spacing w:line="303" w:lineRule="auto"/>
              <w:rPr>
                <w:rFonts w:ascii="Arial"/>
                <w:sz w:val="21"/>
              </w:rPr>
            </w:pPr>
          </w:p>
          <w:p w14:paraId="4B6424E2">
            <w:pPr>
              <w:spacing w:line="303" w:lineRule="auto"/>
              <w:rPr>
                <w:rFonts w:ascii="Arial"/>
                <w:sz w:val="21"/>
              </w:rPr>
            </w:pPr>
          </w:p>
          <w:p w14:paraId="3662109D">
            <w:pPr>
              <w:pStyle w:val="6"/>
              <w:spacing w:before="59" w:line="183" w:lineRule="auto"/>
              <w:ind w:left="168"/>
              <w:rPr>
                <w:sz w:val="18"/>
                <w:szCs w:val="18"/>
              </w:rPr>
            </w:pPr>
            <w:r>
              <w:rPr>
                <w:spacing w:val="-3"/>
                <w:sz w:val="18"/>
                <w:szCs w:val="18"/>
              </w:rPr>
              <w:t>30%</w:t>
            </w:r>
          </w:p>
        </w:tc>
      </w:tr>
      <w:tr w14:paraId="254908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 w:hRule="atLeast"/>
        </w:trPr>
        <w:tc>
          <w:tcPr>
            <w:tcW w:w="853" w:type="dxa"/>
            <w:vMerge w:val="continue"/>
            <w:tcBorders>
              <w:top w:val="nil"/>
              <w:bottom w:val="nil"/>
            </w:tcBorders>
            <w:vAlign w:val="top"/>
          </w:tcPr>
          <w:p w14:paraId="27D7DC06">
            <w:pPr>
              <w:rPr>
                <w:rFonts w:ascii="Arial"/>
                <w:sz w:val="21"/>
              </w:rPr>
            </w:pPr>
          </w:p>
        </w:tc>
        <w:tc>
          <w:tcPr>
            <w:tcW w:w="2664" w:type="dxa"/>
            <w:vAlign w:val="top"/>
          </w:tcPr>
          <w:p w14:paraId="55D2BF45">
            <w:pPr>
              <w:pStyle w:val="6"/>
              <w:spacing w:before="41" w:line="214" w:lineRule="auto"/>
              <w:ind w:left="12"/>
              <w:rPr>
                <w:sz w:val="18"/>
                <w:szCs w:val="18"/>
              </w:rPr>
            </w:pPr>
            <w:r>
              <w:rPr>
                <w:spacing w:val="-1"/>
                <w:sz w:val="18"/>
                <w:szCs w:val="18"/>
              </w:rPr>
              <w:t>第二章  逻辑门电路</w:t>
            </w:r>
          </w:p>
        </w:tc>
        <w:tc>
          <w:tcPr>
            <w:tcW w:w="613" w:type="dxa"/>
            <w:vMerge w:val="continue"/>
            <w:tcBorders>
              <w:top w:val="nil"/>
              <w:bottom w:val="nil"/>
            </w:tcBorders>
            <w:vAlign w:val="top"/>
          </w:tcPr>
          <w:p w14:paraId="3C39C17A">
            <w:pPr>
              <w:rPr>
                <w:rFonts w:ascii="Arial"/>
                <w:sz w:val="21"/>
              </w:rPr>
            </w:pPr>
          </w:p>
        </w:tc>
      </w:tr>
      <w:tr w14:paraId="0070BD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9" w:hRule="atLeast"/>
        </w:trPr>
        <w:tc>
          <w:tcPr>
            <w:tcW w:w="853" w:type="dxa"/>
            <w:vMerge w:val="continue"/>
            <w:tcBorders>
              <w:top w:val="nil"/>
              <w:bottom w:val="nil"/>
            </w:tcBorders>
            <w:vAlign w:val="top"/>
          </w:tcPr>
          <w:p w14:paraId="6AC61B45">
            <w:pPr>
              <w:rPr>
                <w:rFonts w:ascii="Arial"/>
                <w:sz w:val="21"/>
              </w:rPr>
            </w:pPr>
          </w:p>
        </w:tc>
        <w:tc>
          <w:tcPr>
            <w:tcW w:w="2664" w:type="dxa"/>
            <w:vAlign w:val="top"/>
          </w:tcPr>
          <w:p w14:paraId="1AF33E88">
            <w:pPr>
              <w:pStyle w:val="6"/>
              <w:spacing w:before="61" w:line="219" w:lineRule="auto"/>
              <w:ind w:left="12"/>
              <w:rPr>
                <w:sz w:val="18"/>
                <w:szCs w:val="18"/>
              </w:rPr>
            </w:pPr>
            <w:r>
              <w:rPr>
                <w:spacing w:val="-1"/>
                <w:sz w:val="18"/>
                <w:szCs w:val="18"/>
              </w:rPr>
              <w:t>第三章  组合逻辑电路</w:t>
            </w:r>
          </w:p>
        </w:tc>
        <w:tc>
          <w:tcPr>
            <w:tcW w:w="613" w:type="dxa"/>
            <w:vMerge w:val="continue"/>
            <w:tcBorders>
              <w:top w:val="nil"/>
              <w:bottom w:val="nil"/>
            </w:tcBorders>
            <w:vAlign w:val="top"/>
          </w:tcPr>
          <w:p w14:paraId="3EABD060">
            <w:pPr>
              <w:rPr>
                <w:rFonts w:ascii="Arial"/>
                <w:sz w:val="21"/>
              </w:rPr>
            </w:pPr>
          </w:p>
        </w:tc>
      </w:tr>
      <w:tr w14:paraId="518032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53" w:type="dxa"/>
            <w:vMerge w:val="continue"/>
            <w:tcBorders>
              <w:top w:val="nil"/>
              <w:bottom w:val="nil"/>
            </w:tcBorders>
            <w:vAlign w:val="top"/>
          </w:tcPr>
          <w:p w14:paraId="45C1C34D">
            <w:pPr>
              <w:rPr>
                <w:rFonts w:ascii="Arial"/>
                <w:sz w:val="21"/>
              </w:rPr>
            </w:pPr>
          </w:p>
        </w:tc>
        <w:tc>
          <w:tcPr>
            <w:tcW w:w="2664" w:type="dxa"/>
            <w:vAlign w:val="top"/>
          </w:tcPr>
          <w:p w14:paraId="4E0701C3">
            <w:pPr>
              <w:pStyle w:val="6"/>
              <w:spacing w:before="42" w:line="212" w:lineRule="auto"/>
              <w:ind w:left="12"/>
              <w:rPr>
                <w:sz w:val="18"/>
                <w:szCs w:val="18"/>
              </w:rPr>
            </w:pPr>
            <w:r>
              <w:rPr>
                <w:spacing w:val="-1"/>
                <w:sz w:val="18"/>
                <w:szCs w:val="18"/>
              </w:rPr>
              <w:t>第四章  集成触发器</w:t>
            </w:r>
          </w:p>
        </w:tc>
        <w:tc>
          <w:tcPr>
            <w:tcW w:w="613" w:type="dxa"/>
            <w:vMerge w:val="continue"/>
            <w:tcBorders>
              <w:top w:val="nil"/>
              <w:bottom w:val="nil"/>
            </w:tcBorders>
            <w:vAlign w:val="top"/>
          </w:tcPr>
          <w:p w14:paraId="726A3FD2">
            <w:pPr>
              <w:rPr>
                <w:rFonts w:ascii="Arial"/>
                <w:sz w:val="21"/>
              </w:rPr>
            </w:pPr>
          </w:p>
        </w:tc>
      </w:tr>
      <w:tr w14:paraId="103023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0" w:hRule="atLeast"/>
        </w:trPr>
        <w:tc>
          <w:tcPr>
            <w:tcW w:w="853" w:type="dxa"/>
            <w:vMerge w:val="continue"/>
            <w:tcBorders>
              <w:top w:val="nil"/>
            </w:tcBorders>
            <w:vAlign w:val="top"/>
          </w:tcPr>
          <w:p w14:paraId="244723BF">
            <w:pPr>
              <w:rPr>
                <w:rFonts w:ascii="Arial"/>
                <w:sz w:val="21"/>
              </w:rPr>
            </w:pPr>
          </w:p>
        </w:tc>
        <w:tc>
          <w:tcPr>
            <w:tcW w:w="2664" w:type="dxa"/>
            <w:vAlign w:val="top"/>
          </w:tcPr>
          <w:p w14:paraId="5E8BE915">
            <w:pPr>
              <w:pStyle w:val="6"/>
              <w:spacing w:before="63" w:line="219" w:lineRule="auto"/>
              <w:ind w:left="12"/>
              <w:rPr>
                <w:sz w:val="18"/>
                <w:szCs w:val="18"/>
              </w:rPr>
            </w:pPr>
            <w:r>
              <w:rPr>
                <w:spacing w:val="-3"/>
                <w:sz w:val="18"/>
                <w:szCs w:val="18"/>
              </w:rPr>
              <w:t>第五章</w:t>
            </w:r>
            <w:r>
              <w:rPr>
                <w:spacing w:val="10"/>
                <w:sz w:val="18"/>
                <w:szCs w:val="18"/>
              </w:rPr>
              <w:t xml:space="preserve">  </w:t>
            </w:r>
            <w:r>
              <w:rPr>
                <w:spacing w:val="-3"/>
                <w:sz w:val="18"/>
                <w:szCs w:val="18"/>
              </w:rPr>
              <w:t>时序逻辑电路</w:t>
            </w:r>
          </w:p>
        </w:tc>
        <w:tc>
          <w:tcPr>
            <w:tcW w:w="613" w:type="dxa"/>
            <w:vMerge w:val="continue"/>
            <w:tcBorders>
              <w:top w:val="nil"/>
            </w:tcBorders>
            <w:vAlign w:val="top"/>
          </w:tcPr>
          <w:p w14:paraId="32304D22">
            <w:pPr>
              <w:rPr>
                <w:rFonts w:ascii="Arial"/>
                <w:sz w:val="21"/>
              </w:rPr>
            </w:pPr>
          </w:p>
        </w:tc>
      </w:tr>
      <w:tr w14:paraId="1F474A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53" w:type="dxa"/>
            <w:vMerge w:val="restart"/>
            <w:tcBorders>
              <w:bottom w:val="nil"/>
            </w:tcBorders>
            <w:vAlign w:val="top"/>
          </w:tcPr>
          <w:p w14:paraId="29C196C1">
            <w:pPr>
              <w:spacing w:line="252" w:lineRule="auto"/>
              <w:rPr>
                <w:rFonts w:ascii="Arial"/>
                <w:sz w:val="21"/>
              </w:rPr>
            </w:pPr>
          </w:p>
          <w:p w14:paraId="6FF1E4E2">
            <w:pPr>
              <w:spacing w:line="252" w:lineRule="auto"/>
              <w:rPr>
                <w:rFonts w:ascii="Arial"/>
                <w:sz w:val="21"/>
              </w:rPr>
            </w:pPr>
          </w:p>
          <w:p w14:paraId="21838F72">
            <w:pPr>
              <w:spacing w:line="253" w:lineRule="auto"/>
              <w:rPr>
                <w:rFonts w:ascii="Arial"/>
                <w:sz w:val="21"/>
              </w:rPr>
            </w:pPr>
          </w:p>
          <w:p w14:paraId="2EAE2E64">
            <w:pPr>
              <w:spacing w:line="253" w:lineRule="auto"/>
              <w:rPr>
                <w:rFonts w:ascii="Arial"/>
                <w:sz w:val="21"/>
              </w:rPr>
            </w:pPr>
          </w:p>
          <w:p w14:paraId="71434FFC">
            <w:pPr>
              <w:pStyle w:val="6"/>
              <w:spacing w:before="58" w:line="233" w:lineRule="auto"/>
              <w:ind w:left="15" w:right="99"/>
              <w:rPr>
                <w:sz w:val="18"/>
                <w:szCs w:val="18"/>
              </w:rPr>
            </w:pPr>
            <w:r>
              <w:rPr>
                <w:spacing w:val="2"/>
                <w:sz w:val="18"/>
                <w:szCs w:val="18"/>
              </w:rPr>
              <w:t>电子技术</w:t>
            </w:r>
            <w:r>
              <w:rPr>
                <w:sz w:val="18"/>
                <w:szCs w:val="18"/>
              </w:rPr>
              <w:t xml:space="preserve"> </w:t>
            </w:r>
            <w:r>
              <w:rPr>
                <w:spacing w:val="-2"/>
                <w:sz w:val="18"/>
                <w:szCs w:val="18"/>
              </w:rPr>
              <w:t>基础</w:t>
            </w:r>
          </w:p>
        </w:tc>
        <w:tc>
          <w:tcPr>
            <w:tcW w:w="2664" w:type="dxa"/>
            <w:vAlign w:val="top"/>
          </w:tcPr>
          <w:p w14:paraId="484C467B">
            <w:pPr>
              <w:pStyle w:val="6"/>
              <w:spacing w:before="44" w:line="210" w:lineRule="auto"/>
              <w:ind w:left="12"/>
              <w:rPr>
                <w:sz w:val="18"/>
                <w:szCs w:val="18"/>
              </w:rPr>
            </w:pPr>
            <w:r>
              <w:rPr>
                <w:spacing w:val="-2"/>
                <w:sz w:val="18"/>
                <w:szCs w:val="18"/>
              </w:rPr>
              <w:t>概述</w:t>
            </w:r>
          </w:p>
        </w:tc>
        <w:tc>
          <w:tcPr>
            <w:tcW w:w="613" w:type="dxa"/>
            <w:vMerge w:val="restart"/>
            <w:tcBorders>
              <w:bottom w:val="nil"/>
            </w:tcBorders>
            <w:vAlign w:val="top"/>
          </w:tcPr>
          <w:p w14:paraId="770B9E3B">
            <w:pPr>
              <w:spacing w:line="288" w:lineRule="auto"/>
              <w:rPr>
                <w:rFonts w:ascii="Arial"/>
                <w:sz w:val="21"/>
              </w:rPr>
            </w:pPr>
          </w:p>
          <w:p w14:paraId="25676519">
            <w:pPr>
              <w:spacing w:line="289" w:lineRule="auto"/>
              <w:rPr>
                <w:rFonts w:ascii="Arial"/>
                <w:sz w:val="21"/>
              </w:rPr>
            </w:pPr>
          </w:p>
          <w:p w14:paraId="3C29EE4B">
            <w:pPr>
              <w:spacing w:line="289" w:lineRule="auto"/>
              <w:rPr>
                <w:rFonts w:ascii="Arial"/>
                <w:sz w:val="21"/>
              </w:rPr>
            </w:pPr>
          </w:p>
          <w:p w14:paraId="7905C8A7">
            <w:pPr>
              <w:spacing w:line="289" w:lineRule="auto"/>
              <w:rPr>
                <w:rFonts w:ascii="Arial"/>
                <w:sz w:val="21"/>
              </w:rPr>
            </w:pPr>
          </w:p>
          <w:p w14:paraId="3DE01F5E">
            <w:pPr>
              <w:pStyle w:val="6"/>
              <w:spacing w:before="58" w:line="183" w:lineRule="auto"/>
              <w:ind w:left="168"/>
              <w:rPr>
                <w:sz w:val="18"/>
                <w:szCs w:val="18"/>
              </w:rPr>
            </w:pPr>
            <w:r>
              <w:rPr>
                <w:spacing w:val="-3"/>
                <w:sz w:val="18"/>
                <w:szCs w:val="18"/>
              </w:rPr>
              <w:t>35%</w:t>
            </w:r>
          </w:p>
        </w:tc>
      </w:tr>
      <w:tr w14:paraId="3DA06A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trPr>
        <w:tc>
          <w:tcPr>
            <w:tcW w:w="853" w:type="dxa"/>
            <w:vMerge w:val="continue"/>
            <w:tcBorders>
              <w:top w:val="nil"/>
              <w:bottom w:val="nil"/>
            </w:tcBorders>
            <w:vAlign w:val="top"/>
          </w:tcPr>
          <w:p w14:paraId="1F9E8AC0">
            <w:pPr>
              <w:rPr>
                <w:rFonts w:ascii="Arial"/>
                <w:sz w:val="21"/>
              </w:rPr>
            </w:pPr>
          </w:p>
        </w:tc>
        <w:tc>
          <w:tcPr>
            <w:tcW w:w="2664" w:type="dxa"/>
            <w:vAlign w:val="top"/>
          </w:tcPr>
          <w:p w14:paraId="39BD9162">
            <w:pPr>
              <w:pStyle w:val="6"/>
              <w:spacing w:before="54" w:line="211" w:lineRule="auto"/>
              <w:ind w:left="12"/>
              <w:rPr>
                <w:sz w:val="18"/>
                <w:szCs w:val="18"/>
              </w:rPr>
            </w:pPr>
            <w:r>
              <w:rPr>
                <w:spacing w:val="-1"/>
                <w:sz w:val="18"/>
                <w:szCs w:val="18"/>
              </w:rPr>
              <w:t>第一章  半导体器件的基础知识</w:t>
            </w:r>
          </w:p>
        </w:tc>
        <w:tc>
          <w:tcPr>
            <w:tcW w:w="613" w:type="dxa"/>
            <w:vMerge w:val="continue"/>
            <w:tcBorders>
              <w:top w:val="nil"/>
              <w:bottom w:val="nil"/>
            </w:tcBorders>
            <w:vAlign w:val="top"/>
          </w:tcPr>
          <w:p w14:paraId="17A1FB3E">
            <w:pPr>
              <w:rPr>
                <w:rFonts w:ascii="Arial"/>
                <w:sz w:val="21"/>
              </w:rPr>
            </w:pPr>
          </w:p>
        </w:tc>
      </w:tr>
      <w:tr w14:paraId="00EF0B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0" w:hRule="atLeast"/>
        </w:trPr>
        <w:tc>
          <w:tcPr>
            <w:tcW w:w="853" w:type="dxa"/>
            <w:vMerge w:val="continue"/>
            <w:tcBorders>
              <w:top w:val="nil"/>
              <w:bottom w:val="nil"/>
            </w:tcBorders>
            <w:vAlign w:val="top"/>
          </w:tcPr>
          <w:p w14:paraId="0A2DECA2">
            <w:pPr>
              <w:rPr>
                <w:rFonts w:ascii="Arial"/>
                <w:sz w:val="21"/>
              </w:rPr>
            </w:pPr>
          </w:p>
        </w:tc>
        <w:tc>
          <w:tcPr>
            <w:tcW w:w="2664" w:type="dxa"/>
            <w:vAlign w:val="top"/>
          </w:tcPr>
          <w:p w14:paraId="565F9764">
            <w:pPr>
              <w:pStyle w:val="6"/>
              <w:spacing w:before="54" w:line="219" w:lineRule="auto"/>
              <w:ind w:left="12"/>
              <w:rPr>
                <w:sz w:val="18"/>
                <w:szCs w:val="18"/>
              </w:rPr>
            </w:pPr>
            <w:r>
              <w:rPr>
                <w:spacing w:val="-3"/>
                <w:sz w:val="18"/>
                <w:szCs w:val="18"/>
              </w:rPr>
              <w:t>第二章</w:t>
            </w:r>
            <w:r>
              <w:rPr>
                <w:spacing w:val="15"/>
                <w:sz w:val="18"/>
                <w:szCs w:val="18"/>
              </w:rPr>
              <w:t xml:space="preserve">  </w:t>
            </w:r>
            <w:r>
              <w:rPr>
                <w:spacing w:val="-3"/>
                <w:sz w:val="18"/>
                <w:szCs w:val="18"/>
              </w:rPr>
              <w:t>晶体二极管应用电路</w:t>
            </w:r>
          </w:p>
        </w:tc>
        <w:tc>
          <w:tcPr>
            <w:tcW w:w="613" w:type="dxa"/>
            <w:vMerge w:val="continue"/>
            <w:tcBorders>
              <w:top w:val="nil"/>
              <w:bottom w:val="nil"/>
            </w:tcBorders>
            <w:vAlign w:val="top"/>
          </w:tcPr>
          <w:p w14:paraId="38C27326">
            <w:pPr>
              <w:rPr>
                <w:rFonts w:ascii="Arial"/>
                <w:sz w:val="21"/>
              </w:rPr>
            </w:pPr>
          </w:p>
        </w:tc>
      </w:tr>
      <w:tr w14:paraId="609543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trPr>
        <w:tc>
          <w:tcPr>
            <w:tcW w:w="853" w:type="dxa"/>
            <w:vMerge w:val="continue"/>
            <w:tcBorders>
              <w:top w:val="nil"/>
              <w:bottom w:val="nil"/>
            </w:tcBorders>
            <w:vAlign w:val="top"/>
          </w:tcPr>
          <w:p w14:paraId="53DAF534">
            <w:pPr>
              <w:rPr>
                <w:rFonts w:ascii="Arial"/>
                <w:sz w:val="21"/>
              </w:rPr>
            </w:pPr>
          </w:p>
        </w:tc>
        <w:tc>
          <w:tcPr>
            <w:tcW w:w="2664" w:type="dxa"/>
            <w:vAlign w:val="top"/>
          </w:tcPr>
          <w:p w14:paraId="65495522">
            <w:pPr>
              <w:pStyle w:val="6"/>
              <w:spacing w:before="54" w:line="211" w:lineRule="auto"/>
              <w:ind w:left="12"/>
              <w:rPr>
                <w:sz w:val="18"/>
                <w:szCs w:val="18"/>
              </w:rPr>
            </w:pPr>
            <w:r>
              <w:rPr>
                <w:spacing w:val="-1"/>
                <w:sz w:val="18"/>
                <w:szCs w:val="18"/>
              </w:rPr>
              <w:t>第三章  三极管基本放大电路</w:t>
            </w:r>
          </w:p>
        </w:tc>
        <w:tc>
          <w:tcPr>
            <w:tcW w:w="613" w:type="dxa"/>
            <w:vMerge w:val="continue"/>
            <w:tcBorders>
              <w:top w:val="nil"/>
              <w:bottom w:val="nil"/>
            </w:tcBorders>
            <w:vAlign w:val="top"/>
          </w:tcPr>
          <w:p w14:paraId="4F25C2CE">
            <w:pPr>
              <w:rPr>
                <w:rFonts w:ascii="Arial"/>
                <w:sz w:val="21"/>
              </w:rPr>
            </w:pPr>
          </w:p>
        </w:tc>
      </w:tr>
      <w:tr w14:paraId="261D49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53" w:type="dxa"/>
            <w:vMerge w:val="continue"/>
            <w:tcBorders>
              <w:top w:val="nil"/>
              <w:bottom w:val="nil"/>
            </w:tcBorders>
            <w:vAlign w:val="top"/>
          </w:tcPr>
          <w:p w14:paraId="0C45DEFC">
            <w:pPr>
              <w:rPr>
                <w:rFonts w:ascii="Arial"/>
                <w:sz w:val="21"/>
              </w:rPr>
            </w:pPr>
          </w:p>
        </w:tc>
        <w:tc>
          <w:tcPr>
            <w:tcW w:w="2664" w:type="dxa"/>
            <w:vAlign w:val="top"/>
          </w:tcPr>
          <w:p w14:paraId="7C99B266">
            <w:pPr>
              <w:pStyle w:val="6"/>
              <w:spacing w:before="44" w:line="210" w:lineRule="auto"/>
              <w:ind w:left="12"/>
              <w:rPr>
                <w:sz w:val="18"/>
                <w:szCs w:val="18"/>
              </w:rPr>
            </w:pPr>
            <w:r>
              <w:rPr>
                <w:spacing w:val="-1"/>
                <w:sz w:val="18"/>
                <w:szCs w:val="18"/>
              </w:rPr>
              <w:t>第四章  负反馈放大电路</w:t>
            </w:r>
          </w:p>
        </w:tc>
        <w:tc>
          <w:tcPr>
            <w:tcW w:w="613" w:type="dxa"/>
            <w:vMerge w:val="continue"/>
            <w:tcBorders>
              <w:top w:val="nil"/>
              <w:bottom w:val="nil"/>
            </w:tcBorders>
            <w:vAlign w:val="top"/>
          </w:tcPr>
          <w:p w14:paraId="674691B3">
            <w:pPr>
              <w:rPr>
                <w:rFonts w:ascii="Arial"/>
                <w:sz w:val="21"/>
              </w:rPr>
            </w:pPr>
          </w:p>
        </w:tc>
      </w:tr>
      <w:tr w14:paraId="1BF621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0" w:hRule="atLeast"/>
        </w:trPr>
        <w:tc>
          <w:tcPr>
            <w:tcW w:w="853" w:type="dxa"/>
            <w:vMerge w:val="continue"/>
            <w:tcBorders>
              <w:top w:val="nil"/>
              <w:bottom w:val="nil"/>
            </w:tcBorders>
            <w:vAlign w:val="top"/>
          </w:tcPr>
          <w:p w14:paraId="7F5499B0">
            <w:pPr>
              <w:rPr>
                <w:rFonts w:ascii="Arial"/>
                <w:sz w:val="21"/>
              </w:rPr>
            </w:pPr>
          </w:p>
        </w:tc>
        <w:tc>
          <w:tcPr>
            <w:tcW w:w="2664" w:type="dxa"/>
            <w:vAlign w:val="top"/>
          </w:tcPr>
          <w:p w14:paraId="0796C06D">
            <w:pPr>
              <w:pStyle w:val="6"/>
              <w:spacing w:before="65" w:line="219" w:lineRule="auto"/>
              <w:ind w:left="12"/>
              <w:rPr>
                <w:sz w:val="18"/>
                <w:szCs w:val="18"/>
              </w:rPr>
            </w:pPr>
            <w:r>
              <w:rPr>
                <w:spacing w:val="-1"/>
                <w:sz w:val="18"/>
                <w:szCs w:val="18"/>
              </w:rPr>
              <w:t>第五章  集成运算放大器</w:t>
            </w:r>
          </w:p>
        </w:tc>
        <w:tc>
          <w:tcPr>
            <w:tcW w:w="613" w:type="dxa"/>
            <w:vMerge w:val="continue"/>
            <w:tcBorders>
              <w:top w:val="nil"/>
              <w:bottom w:val="nil"/>
            </w:tcBorders>
            <w:vAlign w:val="top"/>
          </w:tcPr>
          <w:p w14:paraId="430C8CD9">
            <w:pPr>
              <w:rPr>
                <w:rFonts w:ascii="Arial"/>
                <w:sz w:val="21"/>
              </w:rPr>
            </w:pPr>
          </w:p>
        </w:tc>
      </w:tr>
      <w:tr w14:paraId="28D1AA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53" w:type="dxa"/>
            <w:vMerge w:val="continue"/>
            <w:tcBorders>
              <w:top w:val="nil"/>
              <w:bottom w:val="nil"/>
            </w:tcBorders>
            <w:vAlign w:val="top"/>
          </w:tcPr>
          <w:p w14:paraId="4F7AA7C1">
            <w:pPr>
              <w:rPr>
                <w:rFonts w:ascii="Arial"/>
                <w:sz w:val="21"/>
              </w:rPr>
            </w:pPr>
          </w:p>
        </w:tc>
        <w:tc>
          <w:tcPr>
            <w:tcW w:w="2664" w:type="dxa"/>
            <w:vAlign w:val="top"/>
          </w:tcPr>
          <w:p w14:paraId="37B41D3C">
            <w:pPr>
              <w:pStyle w:val="6"/>
              <w:spacing w:before="45" w:line="209" w:lineRule="auto"/>
              <w:ind w:left="12"/>
              <w:rPr>
                <w:sz w:val="18"/>
                <w:szCs w:val="18"/>
              </w:rPr>
            </w:pPr>
            <w:r>
              <w:rPr>
                <w:spacing w:val="-1"/>
                <w:sz w:val="18"/>
                <w:szCs w:val="18"/>
              </w:rPr>
              <w:t>第六章  功率放大电路</w:t>
            </w:r>
          </w:p>
        </w:tc>
        <w:tc>
          <w:tcPr>
            <w:tcW w:w="613" w:type="dxa"/>
            <w:vMerge w:val="continue"/>
            <w:tcBorders>
              <w:top w:val="nil"/>
              <w:bottom w:val="nil"/>
            </w:tcBorders>
            <w:vAlign w:val="top"/>
          </w:tcPr>
          <w:p w14:paraId="55977982">
            <w:pPr>
              <w:rPr>
                <w:rFonts w:ascii="Arial"/>
                <w:sz w:val="21"/>
              </w:rPr>
            </w:pPr>
          </w:p>
        </w:tc>
      </w:tr>
      <w:tr w14:paraId="73DD03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0" w:hRule="atLeast"/>
        </w:trPr>
        <w:tc>
          <w:tcPr>
            <w:tcW w:w="853" w:type="dxa"/>
            <w:vMerge w:val="continue"/>
            <w:tcBorders>
              <w:top w:val="nil"/>
              <w:bottom w:val="nil"/>
            </w:tcBorders>
            <w:vAlign w:val="top"/>
          </w:tcPr>
          <w:p w14:paraId="0FF3C8BD">
            <w:pPr>
              <w:rPr>
                <w:rFonts w:ascii="Arial"/>
                <w:sz w:val="21"/>
              </w:rPr>
            </w:pPr>
          </w:p>
        </w:tc>
        <w:tc>
          <w:tcPr>
            <w:tcW w:w="2664" w:type="dxa"/>
            <w:vAlign w:val="top"/>
          </w:tcPr>
          <w:p w14:paraId="6DF4E2A0">
            <w:pPr>
              <w:pStyle w:val="6"/>
              <w:spacing w:before="66" w:line="219" w:lineRule="auto"/>
              <w:ind w:left="12"/>
              <w:rPr>
                <w:sz w:val="18"/>
                <w:szCs w:val="18"/>
              </w:rPr>
            </w:pPr>
            <w:r>
              <w:rPr>
                <w:spacing w:val="-1"/>
                <w:sz w:val="18"/>
                <w:szCs w:val="18"/>
              </w:rPr>
              <w:t>第七章  直流稳压电源</w:t>
            </w:r>
          </w:p>
        </w:tc>
        <w:tc>
          <w:tcPr>
            <w:tcW w:w="613" w:type="dxa"/>
            <w:vMerge w:val="continue"/>
            <w:tcBorders>
              <w:top w:val="nil"/>
              <w:bottom w:val="nil"/>
            </w:tcBorders>
            <w:vAlign w:val="top"/>
          </w:tcPr>
          <w:p w14:paraId="39834F84">
            <w:pPr>
              <w:rPr>
                <w:rFonts w:ascii="Arial"/>
                <w:sz w:val="21"/>
              </w:rPr>
            </w:pPr>
          </w:p>
        </w:tc>
      </w:tr>
      <w:tr w14:paraId="6D0B90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4" w:hRule="atLeast"/>
        </w:trPr>
        <w:tc>
          <w:tcPr>
            <w:tcW w:w="853" w:type="dxa"/>
            <w:vMerge w:val="continue"/>
            <w:tcBorders>
              <w:top w:val="nil"/>
            </w:tcBorders>
            <w:vAlign w:val="top"/>
          </w:tcPr>
          <w:p w14:paraId="25272FE2">
            <w:pPr>
              <w:rPr>
                <w:rFonts w:ascii="Arial"/>
                <w:sz w:val="21"/>
              </w:rPr>
            </w:pPr>
          </w:p>
        </w:tc>
        <w:tc>
          <w:tcPr>
            <w:tcW w:w="2664" w:type="dxa"/>
            <w:vAlign w:val="top"/>
          </w:tcPr>
          <w:p w14:paraId="1E2F1AAC">
            <w:pPr>
              <w:pStyle w:val="6"/>
              <w:spacing w:before="46" w:line="213" w:lineRule="auto"/>
              <w:ind w:left="12"/>
              <w:rPr>
                <w:sz w:val="18"/>
                <w:szCs w:val="18"/>
              </w:rPr>
            </w:pPr>
            <w:r>
              <w:rPr>
                <w:spacing w:val="-1"/>
                <w:sz w:val="18"/>
                <w:szCs w:val="18"/>
              </w:rPr>
              <w:t>第八章  脉冲波形的产生和整形</w:t>
            </w:r>
          </w:p>
        </w:tc>
        <w:tc>
          <w:tcPr>
            <w:tcW w:w="613" w:type="dxa"/>
            <w:vMerge w:val="continue"/>
            <w:tcBorders>
              <w:top w:val="nil"/>
            </w:tcBorders>
            <w:vAlign w:val="top"/>
          </w:tcPr>
          <w:p w14:paraId="2EFA1231">
            <w:pPr>
              <w:rPr>
                <w:rFonts w:ascii="Arial"/>
                <w:sz w:val="21"/>
              </w:rPr>
            </w:pPr>
          </w:p>
        </w:tc>
      </w:tr>
    </w:tbl>
    <w:p w14:paraId="0C99BF07">
      <w:pPr>
        <w:spacing w:before="72" w:line="219" w:lineRule="auto"/>
        <w:ind w:left="500"/>
        <w:rPr>
          <w:rFonts w:ascii="宋体" w:hAnsi="宋体" w:eastAsia="宋体" w:cs="宋体"/>
          <w:sz w:val="18"/>
          <w:szCs w:val="18"/>
        </w:rPr>
      </w:pPr>
      <w:r>
        <w:rPr>
          <w:rFonts w:ascii="宋体" w:hAnsi="宋体" w:eastAsia="宋体" w:cs="宋体"/>
          <w:spacing w:val="1"/>
          <w:sz w:val="18"/>
          <w:szCs w:val="18"/>
        </w:rPr>
        <w:t>(2)按考试水平分：(可上下整2%—5%)</w:t>
      </w:r>
    </w:p>
    <w:p w14:paraId="4A32E8D7">
      <w:pPr>
        <w:spacing w:line="46" w:lineRule="auto"/>
        <w:rPr>
          <w:rFonts w:ascii="Arial"/>
          <w:sz w:val="2"/>
        </w:rPr>
      </w:pPr>
    </w:p>
    <w:tbl>
      <w:tblPr>
        <w:tblStyle w:val="5"/>
        <w:tblW w:w="4130" w:type="dxa"/>
        <w:tblInd w:w="6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53"/>
        <w:gridCol w:w="808"/>
        <w:gridCol w:w="818"/>
        <w:gridCol w:w="848"/>
        <w:gridCol w:w="803"/>
      </w:tblGrid>
      <w:tr w14:paraId="4A2A54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0" w:hRule="atLeast"/>
        </w:trPr>
        <w:tc>
          <w:tcPr>
            <w:tcW w:w="853" w:type="dxa"/>
            <w:vAlign w:val="top"/>
          </w:tcPr>
          <w:p w14:paraId="680E702E">
            <w:pPr>
              <w:pStyle w:val="6"/>
              <w:spacing w:before="132" w:line="220" w:lineRule="auto"/>
              <w:ind w:left="75"/>
            </w:pPr>
            <w:r>
              <w:rPr>
                <w:spacing w:val="1"/>
              </w:rPr>
              <w:t>目标要求</w:t>
            </w:r>
          </w:p>
        </w:tc>
        <w:tc>
          <w:tcPr>
            <w:tcW w:w="808" w:type="dxa"/>
            <w:vAlign w:val="top"/>
          </w:tcPr>
          <w:p w14:paraId="44816F61">
            <w:pPr>
              <w:pStyle w:val="6"/>
              <w:spacing w:before="175" w:line="184" w:lineRule="auto"/>
              <w:ind w:left="352"/>
            </w:pPr>
            <w:r>
              <w:t>A</w:t>
            </w:r>
          </w:p>
        </w:tc>
        <w:tc>
          <w:tcPr>
            <w:tcW w:w="818" w:type="dxa"/>
            <w:vAlign w:val="top"/>
          </w:tcPr>
          <w:p w14:paraId="6F6C26BE">
            <w:pPr>
              <w:pStyle w:val="6"/>
              <w:spacing w:before="176" w:line="182" w:lineRule="auto"/>
              <w:ind w:left="354"/>
            </w:pPr>
            <w:r>
              <w:t>B</w:t>
            </w:r>
          </w:p>
        </w:tc>
        <w:tc>
          <w:tcPr>
            <w:tcW w:w="848" w:type="dxa"/>
            <w:vAlign w:val="top"/>
          </w:tcPr>
          <w:p w14:paraId="0467A5A7">
            <w:pPr>
              <w:pStyle w:val="6"/>
              <w:spacing w:before="175" w:line="183" w:lineRule="auto"/>
              <w:ind w:left="375"/>
            </w:pPr>
            <w:r>
              <w:t>C</w:t>
            </w:r>
          </w:p>
        </w:tc>
        <w:tc>
          <w:tcPr>
            <w:tcW w:w="803" w:type="dxa"/>
            <w:vAlign w:val="top"/>
          </w:tcPr>
          <w:p w14:paraId="01CD4473">
            <w:pPr>
              <w:pStyle w:val="6"/>
              <w:spacing w:before="176" w:line="182" w:lineRule="auto"/>
              <w:ind w:left="348"/>
            </w:pPr>
            <w:r>
              <w:t>D</w:t>
            </w:r>
          </w:p>
        </w:tc>
      </w:tr>
      <w:tr w14:paraId="20AE8A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0" w:hRule="atLeast"/>
        </w:trPr>
        <w:tc>
          <w:tcPr>
            <w:tcW w:w="853" w:type="dxa"/>
            <w:vAlign w:val="top"/>
          </w:tcPr>
          <w:p w14:paraId="3DC916D3">
            <w:pPr>
              <w:pStyle w:val="6"/>
              <w:spacing w:before="152" w:line="220" w:lineRule="auto"/>
              <w:ind w:left="165"/>
            </w:pPr>
            <w:r>
              <w:rPr>
                <w:spacing w:val="3"/>
              </w:rPr>
              <w:t>百分比</w:t>
            </w:r>
          </w:p>
        </w:tc>
        <w:tc>
          <w:tcPr>
            <w:tcW w:w="808" w:type="dxa"/>
            <w:vAlign w:val="top"/>
          </w:tcPr>
          <w:p w14:paraId="5897248D">
            <w:pPr>
              <w:pStyle w:val="6"/>
              <w:spacing w:before="195" w:line="183" w:lineRule="auto"/>
              <w:ind w:left="262"/>
            </w:pPr>
            <w:r>
              <w:rPr>
                <w:spacing w:val="-3"/>
              </w:rPr>
              <w:t>30%</w:t>
            </w:r>
          </w:p>
        </w:tc>
        <w:tc>
          <w:tcPr>
            <w:tcW w:w="818" w:type="dxa"/>
            <w:vAlign w:val="top"/>
          </w:tcPr>
          <w:p w14:paraId="7B566A0B">
            <w:pPr>
              <w:pStyle w:val="6"/>
              <w:spacing w:before="195" w:line="183" w:lineRule="auto"/>
              <w:ind w:left="274"/>
            </w:pPr>
            <w:r>
              <w:rPr>
                <w:spacing w:val="-2"/>
              </w:rPr>
              <w:t>20%</w:t>
            </w:r>
          </w:p>
        </w:tc>
        <w:tc>
          <w:tcPr>
            <w:tcW w:w="848" w:type="dxa"/>
            <w:vAlign w:val="top"/>
          </w:tcPr>
          <w:p w14:paraId="7F1141DA">
            <w:pPr>
              <w:pStyle w:val="6"/>
              <w:spacing w:before="195" w:line="183" w:lineRule="auto"/>
              <w:ind w:left="286"/>
            </w:pPr>
            <w:r>
              <w:rPr>
                <w:spacing w:val="-3"/>
              </w:rPr>
              <w:t>30%</w:t>
            </w:r>
          </w:p>
        </w:tc>
        <w:tc>
          <w:tcPr>
            <w:tcW w:w="803" w:type="dxa"/>
            <w:vAlign w:val="top"/>
          </w:tcPr>
          <w:p w14:paraId="1356224B">
            <w:pPr>
              <w:pStyle w:val="6"/>
              <w:spacing w:before="195" w:line="183" w:lineRule="auto"/>
              <w:ind w:left="267"/>
            </w:pPr>
            <w:r>
              <w:rPr>
                <w:spacing w:val="-2"/>
              </w:rPr>
              <w:t>20%</w:t>
            </w:r>
          </w:p>
        </w:tc>
      </w:tr>
    </w:tbl>
    <w:p w14:paraId="4E48B230">
      <w:pPr>
        <w:spacing w:before="62" w:line="223" w:lineRule="auto"/>
        <w:ind w:left="500"/>
        <w:rPr>
          <w:rFonts w:ascii="宋体" w:hAnsi="宋体" w:eastAsia="宋体" w:cs="宋体"/>
          <w:sz w:val="18"/>
          <w:szCs w:val="18"/>
        </w:rPr>
      </w:pPr>
      <w:r>
        <w:rPr>
          <w:rFonts w:ascii="宋体" w:hAnsi="宋体" w:eastAsia="宋体" w:cs="宋体"/>
          <w:spacing w:val="1"/>
          <w:position w:val="1"/>
          <w:sz w:val="18"/>
          <w:szCs w:val="18"/>
        </w:rPr>
        <w:t>(3)按题型分：</w:t>
      </w:r>
      <w:r>
        <w:rPr>
          <w:rFonts w:ascii="宋体" w:hAnsi="宋体" w:eastAsia="宋体" w:cs="宋体"/>
          <w:spacing w:val="-2"/>
          <w:position w:val="1"/>
          <w:sz w:val="18"/>
          <w:szCs w:val="18"/>
        </w:rPr>
        <w:t xml:space="preserve"> </w:t>
      </w:r>
      <w:r>
        <w:rPr>
          <w:rFonts w:ascii="宋体" w:hAnsi="宋体" w:eastAsia="宋体" w:cs="宋体"/>
          <w:spacing w:val="1"/>
          <w:sz w:val="18"/>
          <w:szCs w:val="18"/>
        </w:rPr>
        <w:t>(可上下调整2%—5%)</w:t>
      </w:r>
    </w:p>
    <w:tbl>
      <w:tblPr>
        <w:tblStyle w:val="5"/>
        <w:tblW w:w="4130" w:type="dxa"/>
        <w:tblInd w:w="6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464"/>
        <w:gridCol w:w="638"/>
        <w:gridCol w:w="559"/>
        <w:gridCol w:w="638"/>
        <w:gridCol w:w="589"/>
        <w:gridCol w:w="629"/>
        <w:gridCol w:w="613"/>
      </w:tblGrid>
      <w:tr w14:paraId="5E3E3B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39" w:hRule="atLeast"/>
        </w:trPr>
        <w:tc>
          <w:tcPr>
            <w:tcW w:w="464" w:type="dxa"/>
            <w:vAlign w:val="top"/>
          </w:tcPr>
          <w:p w14:paraId="6BC7A30B">
            <w:pPr>
              <w:pStyle w:val="6"/>
              <w:spacing w:before="243" w:line="221" w:lineRule="auto"/>
              <w:ind w:left="65"/>
              <w:rPr>
                <w:sz w:val="16"/>
                <w:szCs w:val="16"/>
              </w:rPr>
            </w:pPr>
            <w:r>
              <w:rPr>
                <w:spacing w:val="-2"/>
                <w:sz w:val="16"/>
                <w:szCs w:val="16"/>
              </w:rPr>
              <w:t>题型</w:t>
            </w:r>
          </w:p>
        </w:tc>
        <w:tc>
          <w:tcPr>
            <w:tcW w:w="638" w:type="dxa"/>
            <w:vAlign w:val="top"/>
          </w:tcPr>
          <w:p w14:paraId="2C5337F0">
            <w:pPr>
              <w:pStyle w:val="6"/>
              <w:spacing w:before="242" w:line="220" w:lineRule="auto"/>
              <w:ind w:left="71"/>
              <w:rPr>
                <w:sz w:val="16"/>
                <w:szCs w:val="16"/>
              </w:rPr>
            </w:pPr>
            <w:r>
              <w:rPr>
                <w:spacing w:val="-2"/>
                <w:sz w:val="16"/>
                <w:szCs w:val="16"/>
              </w:rPr>
              <w:t>填空题</w:t>
            </w:r>
          </w:p>
        </w:tc>
        <w:tc>
          <w:tcPr>
            <w:tcW w:w="559" w:type="dxa"/>
            <w:vAlign w:val="top"/>
          </w:tcPr>
          <w:p w14:paraId="48B6EC6B">
            <w:pPr>
              <w:pStyle w:val="6"/>
              <w:spacing w:before="132" w:line="221" w:lineRule="auto"/>
              <w:ind w:left="113"/>
              <w:rPr>
                <w:sz w:val="16"/>
                <w:szCs w:val="16"/>
              </w:rPr>
            </w:pPr>
            <w:r>
              <w:rPr>
                <w:spacing w:val="-2"/>
                <w:sz w:val="16"/>
                <w:szCs w:val="16"/>
              </w:rPr>
              <w:t>选择</w:t>
            </w:r>
          </w:p>
          <w:p w14:paraId="3106B0B0">
            <w:pPr>
              <w:pStyle w:val="6"/>
              <w:spacing w:before="29" w:line="221" w:lineRule="auto"/>
              <w:ind w:left="192"/>
              <w:rPr>
                <w:sz w:val="16"/>
                <w:szCs w:val="16"/>
              </w:rPr>
            </w:pPr>
            <w:r>
              <w:rPr>
                <w:sz w:val="16"/>
                <w:szCs w:val="16"/>
              </w:rPr>
              <w:t>题</w:t>
            </w:r>
          </w:p>
        </w:tc>
        <w:tc>
          <w:tcPr>
            <w:tcW w:w="638" w:type="dxa"/>
            <w:vAlign w:val="top"/>
          </w:tcPr>
          <w:p w14:paraId="1594D4AE">
            <w:pPr>
              <w:pStyle w:val="6"/>
              <w:spacing w:before="141" w:line="254" w:lineRule="auto"/>
              <w:ind w:left="74" w:right="79" w:firstLine="79"/>
              <w:rPr>
                <w:sz w:val="16"/>
                <w:szCs w:val="16"/>
              </w:rPr>
            </w:pPr>
            <w:r>
              <w:rPr>
                <w:spacing w:val="-4"/>
                <w:sz w:val="16"/>
                <w:szCs w:val="16"/>
              </w:rPr>
              <w:t>双项</w:t>
            </w:r>
            <w:r>
              <w:rPr>
                <w:sz w:val="16"/>
                <w:szCs w:val="16"/>
              </w:rPr>
              <w:t xml:space="preserve">  </w:t>
            </w:r>
            <w:r>
              <w:rPr>
                <w:spacing w:val="-2"/>
                <w:sz w:val="16"/>
                <w:szCs w:val="16"/>
              </w:rPr>
              <w:t>选择题</w:t>
            </w:r>
          </w:p>
        </w:tc>
        <w:tc>
          <w:tcPr>
            <w:tcW w:w="589" w:type="dxa"/>
            <w:vAlign w:val="top"/>
          </w:tcPr>
          <w:p w14:paraId="302B561F">
            <w:pPr>
              <w:pStyle w:val="6"/>
              <w:spacing w:before="241" w:line="219" w:lineRule="auto"/>
              <w:ind w:left="45"/>
              <w:rPr>
                <w:sz w:val="16"/>
                <w:szCs w:val="16"/>
              </w:rPr>
            </w:pPr>
            <w:r>
              <w:rPr>
                <w:spacing w:val="-2"/>
                <w:sz w:val="16"/>
                <w:szCs w:val="16"/>
              </w:rPr>
              <w:t>判断题</w:t>
            </w:r>
          </w:p>
        </w:tc>
        <w:tc>
          <w:tcPr>
            <w:tcW w:w="629" w:type="dxa"/>
            <w:vAlign w:val="top"/>
          </w:tcPr>
          <w:p w14:paraId="1596461C">
            <w:pPr>
              <w:pStyle w:val="6"/>
              <w:spacing w:before="151" w:line="220" w:lineRule="auto"/>
              <w:ind w:left="67"/>
              <w:rPr>
                <w:sz w:val="16"/>
                <w:szCs w:val="16"/>
              </w:rPr>
            </w:pPr>
            <w:r>
              <w:rPr>
                <w:spacing w:val="-2"/>
                <w:sz w:val="16"/>
                <w:szCs w:val="16"/>
              </w:rPr>
              <w:t>作图分</w:t>
            </w:r>
          </w:p>
          <w:p w14:paraId="30FA303F">
            <w:pPr>
              <w:pStyle w:val="6"/>
              <w:spacing w:before="29" w:line="220" w:lineRule="auto"/>
              <w:ind w:left="147"/>
              <w:rPr>
                <w:sz w:val="16"/>
                <w:szCs w:val="16"/>
              </w:rPr>
            </w:pPr>
            <w:r>
              <w:rPr>
                <w:spacing w:val="-2"/>
                <w:sz w:val="16"/>
                <w:szCs w:val="16"/>
              </w:rPr>
              <w:t>析题</w:t>
            </w:r>
          </w:p>
        </w:tc>
        <w:tc>
          <w:tcPr>
            <w:tcW w:w="613" w:type="dxa"/>
            <w:vAlign w:val="top"/>
          </w:tcPr>
          <w:p w14:paraId="0B0FB433">
            <w:pPr>
              <w:pStyle w:val="6"/>
              <w:spacing w:before="41" w:line="226" w:lineRule="auto"/>
              <w:ind w:left="58" w:right="57"/>
              <w:jc w:val="both"/>
              <w:rPr>
                <w:sz w:val="16"/>
                <w:szCs w:val="16"/>
              </w:rPr>
            </w:pPr>
            <w:r>
              <w:rPr>
                <w:spacing w:val="-4"/>
                <w:sz w:val="16"/>
                <w:szCs w:val="16"/>
              </w:rPr>
              <w:t>简述或</w:t>
            </w:r>
            <w:r>
              <w:rPr>
                <w:spacing w:val="1"/>
                <w:sz w:val="16"/>
                <w:szCs w:val="16"/>
              </w:rPr>
              <w:t xml:space="preserve"> </w:t>
            </w:r>
            <w:r>
              <w:rPr>
                <w:spacing w:val="2"/>
                <w:sz w:val="16"/>
                <w:szCs w:val="16"/>
              </w:rPr>
              <w:t>问答或</w:t>
            </w:r>
            <w:r>
              <w:rPr>
                <w:sz w:val="16"/>
                <w:szCs w:val="16"/>
              </w:rPr>
              <w:t xml:space="preserve"> </w:t>
            </w:r>
            <w:r>
              <w:rPr>
                <w:spacing w:val="-2"/>
                <w:sz w:val="16"/>
                <w:szCs w:val="16"/>
              </w:rPr>
              <w:t>计算题</w:t>
            </w:r>
          </w:p>
        </w:tc>
      </w:tr>
      <w:tr w14:paraId="598CF4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0" w:hRule="atLeast"/>
        </w:trPr>
        <w:tc>
          <w:tcPr>
            <w:tcW w:w="464" w:type="dxa"/>
            <w:vAlign w:val="top"/>
          </w:tcPr>
          <w:p w14:paraId="3731EB85">
            <w:pPr>
              <w:pStyle w:val="6"/>
              <w:spacing w:before="73" w:line="220" w:lineRule="auto"/>
              <w:ind w:left="65"/>
              <w:rPr>
                <w:sz w:val="16"/>
                <w:szCs w:val="16"/>
              </w:rPr>
            </w:pPr>
            <w:r>
              <w:rPr>
                <w:spacing w:val="-3"/>
                <w:sz w:val="16"/>
                <w:szCs w:val="16"/>
              </w:rPr>
              <w:t>百分</w:t>
            </w:r>
          </w:p>
          <w:p w14:paraId="3437C623">
            <w:pPr>
              <w:pStyle w:val="6"/>
              <w:spacing w:before="29" w:line="193" w:lineRule="auto"/>
              <w:ind w:left="144"/>
              <w:rPr>
                <w:sz w:val="16"/>
                <w:szCs w:val="16"/>
              </w:rPr>
            </w:pPr>
            <w:r>
              <w:rPr>
                <w:sz w:val="16"/>
                <w:szCs w:val="16"/>
              </w:rPr>
              <w:t>比</w:t>
            </w:r>
          </w:p>
        </w:tc>
        <w:tc>
          <w:tcPr>
            <w:tcW w:w="638" w:type="dxa"/>
            <w:vAlign w:val="top"/>
          </w:tcPr>
          <w:p w14:paraId="226004A5">
            <w:pPr>
              <w:pStyle w:val="6"/>
              <w:spacing w:before="203" w:line="183" w:lineRule="auto"/>
              <w:ind w:left="191"/>
              <w:rPr>
                <w:sz w:val="16"/>
                <w:szCs w:val="16"/>
              </w:rPr>
            </w:pPr>
            <w:r>
              <w:rPr>
                <w:spacing w:val="-3"/>
                <w:sz w:val="16"/>
                <w:szCs w:val="16"/>
              </w:rPr>
              <w:t>30%</w:t>
            </w:r>
          </w:p>
        </w:tc>
        <w:tc>
          <w:tcPr>
            <w:tcW w:w="559" w:type="dxa"/>
            <w:vAlign w:val="top"/>
          </w:tcPr>
          <w:p w14:paraId="1EBFC883">
            <w:pPr>
              <w:pStyle w:val="6"/>
              <w:spacing w:before="203" w:line="183" w:lineRule="auto"/>
              <w:ind w:left="153"/>
              <w:rPr>
                <w:sz w:val="16"/>
                <w:szCs w:val="16"/>
              </w:rPr>
            </w:pPr>
            <w:r>
              <w:rPr>
                <w:spacing w:val="-2"/>
                <w:sz w:val="16"/>
                <w:szCs w:val="16"/>
              </w:rPr>
              <w:t>25%</w:t>
            </w:r>
          </w:p>
        </w:tc>
        <w:tc>
          <w:tcPr>
            <w:tcW w:w="638" w:type="dxa"/>
            <w:vAlign w:val="top"/>
          </w:tcPr>
          <w:p w14:paraId="2F459E59">
            <w:pPr>
              <w:pStyle w:val="6"/>
              <w:spacing w:before="203" w:line="183" w:lineRule="auto"/>
              <w:ind w:left="234"/>
              <w:rPr>
                <w:sz w:val="16"/>
                <w:szCs w:val="16"/>
              </w:rPr>
            </w:pPr>
            <w:r>
              <w:rPr>
                <w:spacing w:val="-2"/>
                <w:sz w:val="16"/>
                <w:szCs w:val="16"/>
              </w:rPr>
              <w:t>4%</w:t>
            </w:r>
          </w:p>
        </w:tc>
        <w:tc>
          <w:tcPr>
            <w:tcW w:w="589" w:type="dxa"/>
            <w:vAlign w:val="top"/>
          </w:tcPr>
          <w:p w14:paraId="484F1E71">
            <w:pPr>
              <w:pStyle w:val="6"/>
              <w:spacing w:before="203" w:line="183" w:lineRule="auto"/>
              <w:ind w:left="206"/>
              <w:rPr>
                <w:sz w:val="16"/>
                <w:szCs w:val="16"/>
              </w:rPr>
            </w:pPr>
            <w:r>
              <w:rPr>
                <w:spacing w:val="-2"/>
                <w:sz w:val="16"/>
                <w:szCs w:val="16"/>
              </w:rPr>
              <w:t>8%</w:t>
            </w:r>
          </w:p>
        </w:tc>
        <w:tc>
          <w:tcPr>
            <w:tcW w:w="629" w:type="dxa"/>
            <w:vAlign w:val="top"/>
          </w:tcPr>
          <w:p w14:paraId="3B671771">
            <w:pPr>
              <w:pStyle w:val="6"/>
              <w:spacing w:before="203" w:line="183" w:lineRule="auto"/>
              <w:ind w:left="226"/>
              <w:rPr>
                <w:sz w:val="16"/>
                <w:szCs w:val="16"/>
              </w:rPr>
            </w:pPr>
            <w:r>
              <w:rPr>
                <w:spacing w:val="-2"/>
                <w:sz w:val="16"/>
                <w:szCs w:val="16"/>
              </w:rPr>
              <w:t>8%</w:t>
            </w:r>
          </w:p>
        </w:tc>
        <w:tc>
          <w:tcPr>
            <w:tcW w:w="613" w:type="dxa"/>
            <w:vAlign w:val="top"/>
          </w:tcPr>
          <w:p w14:paraId="07D6A316">
            <w:pPr>
              <w:pStyle w:val="6"/>
              <w:spacing w:before="203" w:line="183" w:lineRule="auto"/>
              <w:ind w:left="177"/>
              <w:rPr>
                <w:sz w:val="16"/>
                <w:szCs w:val="16"/>
              </w:rPr>
            </w:pPr>
            <w:r>
              <w:rPr>
                <w:spacing w:val="-2"/>
                <w:sz w:val="16"/>
                <w:szCs w:val="16"/>
              </w:rPr>
              <w:t>25%</w:t>
            </w:r>
          </w:p>
        </w:tc>
      </w:tr>
    </w:tbl>
    <w:p w14:paraId="63664388">
      <w:pPr>
        <w:pStyle w:val="2"/>
      </w:pPr>
    </w:p>
    <w:p w14:paraId="7A58ECDB">
      <w:pPr>
        <w:pStyle w:val="2"/>
        <w:spacing w:line="14" w:lineRule="auto"/>
        <w:rPr>
          <w:sz w:val="2"/>
        </w:rPr>
      </w:pPr>
      <w:r>
        <w:rPr>
          <w:sz w:val="2"/>
          <w:szCs w:val="2"/>
        </w:rPr>
        <w:br w:type="column"/>
      </w:r>
    </w:p>
    <w:p w14:paraId="37F7D9A7">
      <w:pPr>
        <w:spacing w:before="53" w:line="221" w:lineRule="auto"/>
        <w:ind w:left="18"/>
        <w:rPr>
          <w:rFonts w:ascii="黑体" w:hAnsi="黑体" w:eastAsia="黑体" w:cs="黑体"/>
          <w:sz w:val="27"/>
          <w:szCs w:val="27"/>
        </w:rPr>
      </w:pPr>
      <w:bookmarkStart w:id="33" w:name="bookmark31"/>
      <w:bookmarkEnd w:id="33"/>
      <w:r>
        <w:rPr>
          <w:rFonts w:ascii="黑体" w:hAnsi="黑体" w:eastAsia="黑体" w:cs="黑体"/>
          <w:b/>
          <w:bCs/>
          <w:spacing w:val="19"/>
          <w:sz w:val="27"/>
          <w:szCs w:val="27"/>
        </w:rPr>
        <w:t>电子与信息大类(计算机类)专业</w:t>
      </w:r>
    </w:p>
    <w:p w14:paraId="55BE0F37">
      <w:pPr>
        <w:spacing w:before="86" w:line="221" w:lineRule="auto"/>
        <w:ind w:left="1258"/>
        <w:outlineLvl w:val="0"/>
        <w:rPr>
          <w:rFonts w:ascii="黑体" w:hAnsi="黑体" w:eastAsia="黑体" w:cs="黑体"/>
          <w:sz w:val="27"/>
          <w:szCs w:val="27"/>
        </w:rPr>
      </w:pPr>
      <w:bookmarkStart w:id="34" w:name="bookmark5"/>
      <w:bookmarkEnd w:id="34"/>
      <w:r>
        <w:rPr>
          <w:rFonts w:ascii="黑体" w:hAnsi="黑体" w:eastAsia="黑体" w:cs="黑体"/>
          <w:b/>
          <w:bCs/>
          <w:sz w:val="27"/>
          <w:szCs w:val="27"/>
        </w:rPr>
        <w:t>理论考试纲要</w:t>
      </w:r>
    </w:p>
    <w:p w14:paraId="34E84DB7">
      <w:pPr>
        <w:spacing w:before="236" w:line="221" w:lineRule="auto"/>
        <w:ind w:left="18"/>
        <w:rPr>
          <w:rFonts w:ascii="黑体" w:hAnsi="黑体" w:eastAsia="黑体" w:cs="黑体"/>
          <w:sz w:val="23"/>
          <w:szCs w:val="23"/>
        </w:rPr>
      </w:pPr>
      <w:r>
        <w:rPr>
          <w:rFonts w:ascii="黑体" w:hAnsi="黑体" w:eastAsia="黑体" w:cs="黑体"/>
          <w:b/>
          <w:bCs/>
          <w:spacing w:val="-5"/>
          <w:sz w:val="23"/>
          <w:szCs w:val="23"/>
        </w:rPr>
        <w:t>一、考试范围和内容</w:t>
      </w:r>
    </w:p>
    <w:p w14:paraId="7B4D0326">
      <w:pPr>
        <w:tabs>
          <w:tab w:val="left" w:pos="105"/>
        </w:tabs>
        <w:spacing w:before="82" w:line="313" w:lineRule="auto"/>
        <w:ind w:firstLine="394"/>
        <w:rPr>
          <w:rFonts w:ascii="宋体" w:hAnsi="宋体" w:eastAsia="宋体" w:cs="宋体"/>
          <w:sz w:val="17"/>
          <w:szCs w:val="17"/>
        </w:rPr>
      </w:pPr>
      <w:r>
        <w:rPr>
          <w:rFonts w:ascii="宋体" w:hAnsi="宋体" w:eastAsia="宋体" w:cs="宋体"/>
          <w:spacing w:val="9"/>
          <w:sz w:val="17"/>
          <w:szCs w:val="17"/>
        </w:rPr>
        <w:t>本纲要依据教育部颁发的中等职业学校《计算机</w:t>
      </w:r>
      <w:r>
        <w:rPr>
          <w:rFonts w:ascii="宋体" w:hAnsi="宋体" w:eastAsia="宋体" w:cs="宋体"/>
          <w:spacing w:val="8"/>
          <w:sz w:val="17"/>
          <w:szCs w:val="17"/>
        </w:rPr>
        <w:t xml:space="preserve">  </w:t>
      </w:r>
      <w:r>
        <w:rPr>
          <w:rFonts w:ascii="宋体" w:hAnsi="宋体" w:eastAsia="宋体" w:cs="宋体"/>
          <w:spacing w:val="15"/>
          <w:sz w:val="17"/>
          <w:szCs w:val="17"/>
        </w:rPr>
        <w:t>应用专业教学标准》(2017)制订，根据教育部2019</w:t>
      </w:r>
      <w:r>
        <w:rPr>
          <w:rFonts w:ascii="宋体" w:hAnsi="宋体" w:eastAsia="宋体" w:cs="宋体"/>
          <w:spacing w:val="4"/>
          <w:sz w:val="17"/>
          <w:szCs w:val="17"/>
        </w:rPr>
        <w:t xml:space="preserve">  </w:t>
      </w:r>
      <w:r>
        <w:rPr>
          <w:rFonts w:ascii="宋体" w:hAnsi="宋体" w:eastAsia="宋体" w:cs="宋体"/>
          <w:spacing w:val="3"/>
          <w:sz w:val="17"/>
          <w:szCs w:val="17"/>
        </w:rPr>
        <w:t>年颁发的《中等职业学校信息技术课程标准》和中等职</w:t>
      </w:r>
      <w:r>
        <w:rPr>
          <w:rFonts w:ascii="宋体" w:hAnsi="宋体" w:eastAsia="宋体" w:cs="宋体"/>
          <w:sz w:val="17"/>
          <w:szCs w:val="17"/>
        </w:rPr>
        <w:t xml:space="preserve">  </w:t>
      </w:r>
      <w:r>
        <w:rPr>
          <w:rFonts w:ascii="宋体" w:hAnsi="宋体" w:eastAsia="宋体" w:cs="宋体"/>
          <w:spacing w:val="-7"/>
          <w:sz w:val="17"/>
          <w:szCs w:val="17"/>
        </w:rPr>
        <w:t>业教育国家规划教材《计算机网络基础》、《信息技术》、</w:t>
      </w:r>
      <w:r>
        <w:rPr>
          <w:rFonts w:ascii="宋体" w:hAnsi="宋体" w:eastAsia="宋体" w:cs="宋体"/>
          <w:spacing w:val="11"/>
          <w:sz w:val="17"/>
          <w:szCs w:val="17"/>
        </w:rPr>
        <w:t xml:space="preserve"> </w:t>
      </w:r>
      <w:r>
        <w:rPr>
          <w:rFonts w:ascii="宋体" w:hAnsi="宋体" w:eastAsia="宋体" w:cs="宋体"/>
          <w:spacing w:val="6"/>
          <w:sz w:val="17"/>
          <w:szCs w:val="17"/>
        </w:rPr>
        <w:t>《计算机编程基础—</w:t>
      </w:r>
      <w:r>
        <w:rPr>
          <w:rFonts w:ascii="Times New Roman" w:hAnsi="Times New Roman" w:eastAsia="Times New Roman" w:cs="Times New Roman"/>
          <w:sz w:val="17"/>
          <w:szCs w:val="17"/>
        </w:rPr>
        <w:t>Python</w:t>
      </w:r>
      <w:r>
        <w:rPr>
          <w:rFonts w:ascii="Times New Roman" w:hAnsi="Times New Roman" w:eastAsia="Times New Roman" w:cs="Times New Roman"/>
          <w:spacing w:val="6"/>
          <w:sz w:val="17"/>
          <w:szCs w:val="17"/>
        </w:rPr>
        <w:t xml:space="preserve"> </w:t>
      </w:r>
      <w:r>
        <w:rPr>
          <w:rFonts w:ascii="宋体" w:hAnsi="宋体" w:eastAsia="宋体" w:cs="宋体"/>
          <w:spacing w:val="6"/>
          <w:sz w:val="17"/>
          <w:szCs w:val="17"/>
        </w:rPr>
        <w:t>语言》和《关于公布&lt;2021</w:t>
      </w:r>
      <w:r>
        <w:rPr>
          <w:rFonts w:ascii="宋体" w:hAnsi="宋体" w:eastAsia="宋体" w:cs="宋体"/>
          <w:spacing w:val="4"/>
          <w:sz w:val="17"/>
          <w:szCs w:val="17"/>
        </w:rPr>
        <w:t xml:space="preserve">  </w:t>
      </w:r>
      <w:r>
        <w:rPr>
          <w:rFonts w:ascii="宋体" w:hAnsi="宋体" w:eastAsia="宋体" w:cs="宋体"/>
          <w:spacing w:val="7"/>
          <w:sz w:val="17"/>
          <w:szCs w:val="17"/>
        </w:rPr>
        <w:t>年安徽省普通高校对口招生考试纲要&gt;更新内容的函》</w:t>
      </w:r>
      <w:r>
        <w:rPr>
          <w:rFonts w:ascii="宋体" w:hAnsi="宋体" w:eastAsia="宋体" w:cs="宋体"/>
          <w:spacing w:val="3"/>
          <w:sz w:val="17"/>
          <w:szCs w:val="17"/>
        </w:rPr>
        <w:t xml:space="preserve">  </w:t>
      </w:r>
      <w:r>
        <w:rPr>
          <w:rFonts w:ascii="宋体" w:hAnsi="宋体" w:eastAsia="宋体" w:cs="宋体"/>
          <w:spacing w:val="11"/>
          <w:sz w:val="17"/>
          <w:szCs w:val="17"/>
        </w:rPr>
        <w:t>修订。</w:t>
      </w:r>
      <w:r>
        <w:rPr>
          <w:rFonts w:ascii="Times New Roman" w:hAnsi="Times New Roman" w:eastAsia="Times New Roman" w:cs="Times New Roman"/>
          <w:sz w:val="17"/>
          <w:szCs w:val="17"/>
        </w:rPr>
        <w:t>Windows</w:t>
      </w:r>
      <w:r>
        <w:rPr>
          <w:rFonts w:ascii="Times New Roman" w:hAnsi="Times New Roman" w:eastAsia="Times New Roman" w:cs="Times New Roman"/>
          <w:spacing w:val="11"/>
          <w:sz w:val="17"/>
          <w:szCs w:val="17"/>
        </w:rPr>
        <w:t xml:space="preserve"> </w:t>
      </w:r>
      <w:r>
        <w:rPr>
          <w:rFonts w:ascii="宋体" w:hAnsi="宋体" w:eastAsia="宋体" w:cs="宋体"/>
          <w:spacing w:val="11"/>
          <w:sz w:val="17"/>
          <w:szCs w:val="17"/>
        </w:rPr>
        <w:t>的操作系统版本为</w:t>
      </w:r>
      <w:r>
        <w:rPr>
          <w:rFonts w:ascii="Times New Roman" w:hAnsi="Times New Roman" w:eastAsia="Times New Roman" w:cs="Times New Roman"/>
          <w:sz w:val="17"/>
          <w:szCs w:val="17"/>
        </w:rPr>
        <w:t>Windows</w:t>
      </w:r>
      <w:r>
        <w:rPr>
          <w:rFonts w:ascii="Times New Roman" w:hAnsi="Times New Roman" w:eastAsia="Times New Roman" w:cs="Times New Roman"/>
          <w:spacing w:val="11"/>
          <w:sz w:val="17"/>
          <w:szCs w:val="17"/>
        </w:rPr>
        <w:t>10,</w:t>
      </w:r>
      <w:r>
        <w:rPr>
          <w:rFonts w:ascii="Times New Roman" w:hAnsi="Times New Roman" w:eastAsia="Times New Roman" w:cs="Times New Roman"/>
          <w:sz w:val="17"/>
          <w:szCs w:val="17"/>
        </w:rPr>
        <w:t xml:space="preserve">Office      </w:t>
      </w:r>
      <w:r>
        <w:rPr>
          <w:rFonts w:ascii="宋体" w:hAnsi="宋体" w:eastAsia="宋体" w:cs="宋体"/>
          <w:spacing w:val="8"/>
          <w:sz w:val="17"/>
          <w:szCs w:val="17"/>
        </w:rPr>
        <w:t>的软件版本为</w:t>
      </w:r>
      <w:r>
        <w:rPr>
          <w:rFonts w:ascii="Times New Roman" w:hAnsi="Times New Roman" w:eastAsia="Times New Roman" w:cs="Times New Roman"/>
          <w:sz w:val="17"/>
          <w:szCs w:val="17"/>
        </w:rPr>
        <w:t>Office</w:t>
      </w:r>
      <w:r>
        <w:rPr>
          <w:rFonts w:ascii="Times New Roman" w:hAnsi="Times New Roman" w:eastAsia="Times New Roman" w:cs="Times New Roman"/>
          <w:spacing w:val="8"/>
          <w:sz w:val="17"/>
          <w:szCs w:val="17"/>
        </w:rPr>
        <w:t>2016,</w:t>
      </w:r>
      <w:r>
        <w:rPr>
          <w:rFonts w:ascii="Times New Roman" w:hAnsi="Times New Roman" w:eastAsia="Times New Roman" w:cs="Times New Roman"/>
          <w:sz w:val="17"/>
          <w:szCs w:val="17"/>
        </w:rPr>
        <w:t>Python</w:t>
      </w:r>
      <w:r>
        <w:rPr>
          <w:rFonts w:ascii="Times New Roman" w:hAnsi="Times New Roman" w:eastAsia="Times New Roman" w:cs="Times New Roman"/>
          <w:spacing w:val="8"/>
          <w:sz w:val="17"/>
          <w:szCs w:val="17"/>
        </w:rPr>
        <w:t xml:space="preserve">    </w:t>
      </w:r>
      <w:r>
        <w:rPr>
          <w:rFonts w:ascii="宋体" w:hAnsi="宋体" w:eastAsia="宋体" w:cs="宋体"/>
          <w:spacing w:val="8"/>
          <w:sz w:val="17"/>
          <w:szCs w:val="17"/>
        </w:rPr>
        <w:t>的软件版本为3.8。</w:t>
      </w:r>
      <w:r>
        <w:rPr>
          <w:rFonts w:ascii="宋体" w:hAnsi="宋体" w:eastAsia="宋体" w:cs="宋体"/>
          <w:spacing w:val="2"/>
          <w:sz w:val="17"/>
          <w:szCs w:val="17"/>
        </w:rPr>
        <w:t xml:space="preserve">  </w:t>
      </w:r>
      <w:r>
        <w:rPr>
          <w:rFonts w:ascii="宋体" w:hAnsi="宋体" w:eastAsia="宋体" w:cs="宋体"/>
          <w:spacing w:val="10"/>
          <w:sz w:val="17"/>
          <w:szCs w:val="17"/>
        </w:rPr>
        <w:t>参考版本主要有：《计算机网络基础》教材主要依据</w:t>
      </w:r>
      <w:r>
        <w:rPr>
          <w:rFonts w:ascii="宋体" w:hAnsi="宋体" w:eastAsia="宋体" w:cs="宋体"/>
          <w:spacing w:val="7"/>
          <w:sz w:val="17"/>
          <w:szCs w:val="17"/>
        </w:rPr>
        <w:t xml:space="preserve">  </w:t>
      </w:r>
      <w:r>
        <w:rPr>
          <w:rFonts w:ascii="宋体" w:hAnsi="宋体" w:eastAsia="宋体" w:cs="宋体"/>
          <w:spacing w:val="10"/>
          <w:sz w:val="17"/>
          <w:szCs w:val="17"/>
        </w:rPr>
        <w:t>高等教育出版社《中等职业教育国家规划教材：计算</w:t>
      </w:r>
      <w:r>
        <w:rPr>
          <w:rFonts w:ascii="宋体" w:hAnsi="宋体" w:eastAsia="宋体" w:cs="宋体"/>
          <w:spacing w:val="5"/>
          <w:sz w:val="17"/>
          <w:szCs w:val="17"/>
        </w:rPr>
        <w:t xml:space="preserve">  </w:t>
      </w:r>
      <w:r>
        <w:rPr>
          <w:rFonts w:ascii="宋体" w:hAnsi="宋体" w:eastAsia="宋体" w:cs="宋体"/>
          <w:spacing w:val="21"/>
          <w:sz w:val="17"/>
          <w:szCs w:val="17"/>
        </w:rPr>
        <w:t>机网络基础(第2版)》(钱锋主编)、《信息技术》</w:t>
      </w:r>
      <w:r>
        <w:rPr>
          <w:rFonts w:ascii="宋体" w:hAnsi="宋体" w:eastAsia="宋体" w:cs="宋体"/>
          <w:spacing w:val="4"/>
          <w:sz w:val="17"/>
          <w:szCs w:val="17"/>
        </w:rPr>
        <w:t xml:space="preserve">  </w:t>
      </w:r>
      <w:r>
        <w:rPr>
          <w:rFonts w:ascii="宋体" w:hAnsi="宋体" w:eastAsia="宋体" w:cs="宋体"/>
          <w:spacing w:val="10"/>
          <w:sz w:val="17"/>
          <w:szCs w:val="17"/>
        </w:rPr>
        <w:t>教材主要依据“十四五”职业教育国家规划教材之高</w:t>
      </w:r>
      <w:r>
        <w:rPr>
          <w:rFonts w:ascii="宋体" w:hAnsi="宋体" w:eastAsia="宋体" w:cs="宋体"/>
          <w:spacing w:val="5"/>
          <w:sz w:val="17"/>
          <w:szCs w:val="17"/>
        </w:rPr>
        <w:t xml:space="preserve">  </w:t>
      </w:r>
      <w:r>
        <w:rPr>
          <w:rFonts w:ascii="宋体" w:hAnsi="宋体" w:eastAsia="宋体" w:cs="宋体"/>
          <w:spacing w:val="2"/>
          <w:sz w:val="17"/>
          <w:szCs w:val="17"/>
        </w:rPr>
        <w:t>等教育出版社《信息技术：基础模块》和《信息技术：</w:t>
      </w:r>
      <w:r>
        <w:rPr>
          <w:rFonts w:ascii="宋体" w:hAnsi="宋体" w:eastAsia="宋体" w:cs="宋体"/>
          <w:spacing w:val="5"/>
          <w:sz w:val="17"/>
          <w:szCs w:val="17"/>
        </w:rPr>
        <w:t xml:space="preserve">  </w:t>
      </w:r>
      <w:r>
        <w:rPr>
          <w:rFonts w:ascii="宋体" w:hAnsi="宋体" w:eastAsia="宋体" w:cs="宋体"/>
          <w:spacing w:val="18"/>
          <w:sz w:val="17"/>
          <w:szCs w:val="17"/>
        </w:rPr>
        <w:t>拓展模块——办公应用》(徐维祥主编)、</w:t>
      </w:r>
      <w:r>
        <w:rPr>
          <w:rFonts w:ascii="宋体" w:hAnsi="宋体" w:eastAsia="宋体" w:cs="宋体"/>
          <w:spacing w:val="17"/>
          <w:sz w:val="17"/>
          <w:szCs w:val="17"/>
        </w:rPr>
        <w:t>《计算机</w:t>
      </w:r>
      <w:r>
        <w:rPr>
          <w:rFonts w:ascii="宋体" w:hAnsi="宋体" w:eastAsia="宋体" w:cs="宋体"/>
          <w:sz w:val="17"/>
          <w:szCs w:val="17"/>
        </w:rPr>
        <w:t xml:space="preserve">  </w:t>
      </w:r>
      <w:r>
        <w:rPr>
          <w:rFonts w:ascii="宋体" w:hAnsi="宋体" w:eastAsia="宋体" w:cs="宋体"/>
          <w:spacing w:val="11"/>
          <w:sz w:val="17"/>
          <w:szCs w:val="17"/>
        </w:rPr>
        <w:t>编程基础—</w:t>
      </w:r>
      <w:r>
        <w:rPr>
          <w:rFonts w:ascii="Times New Roman" w:hAnsi="Times New Roman" w:eastAsia="Times New Roman" w:cs="Times New Roman"/>
          <w:sz w:val="17"/>
          <w:szCs w:val="17"/>
        </w:rPr>
        <w:t>Python</w:t>
      </w:r>
      <w:r>
        <w:rPr>
          <w:rFonts w:ascii="Times New Roman" w:hAnsi="Times New Roman" w:eastAsia="Times New Roman" w:cs="Times New Roman"/>
          <w:spacing w:val="6"/>
          <w:sz w:val="17"/>
          <w:szCs w:val="17"/>
        </w:rPr>
        <w:t xml:space="preserve"> </w:t>
      </w:r>
      <w:r>
        <w:rPr>
          <w:rFonts w:ascii="宋体" w:hAnsi="宋体" w:eastAsia="宋体" w:cs="宋体"/>
          <w:spacing w:val="11"/>
          <w:sz w:val="17"/>
          <w:szCs w:val="17"/>
        </w:rPr>
        <w:t>语言》教材主要依据高等教育出版</w:t>
      </w:r>
      <w:r>
        <w:rPr>
          <w:rFonts w:ascii="宋体" w:hAnsi="宋体" w:eastAsia="宋体" w:cs="宋体"/>
          <w:sz w:val="17"/>
          <w:szCs w:val="17"/>
        </w:rPr>
        <w:t xml:space="preserve">  社《中等职业教育国家规划教材：Python程序编写入门》 </w:t>
      </w:r>
      <w:r>
        <w:rPr>
          <w:rFonts w:ascii="宋体" w:hAnsi="宋体" w:eastAsia="宋体" w:cs="宋体"/>
          <w:sz w:val="17"/>
          <w:szCs w:val="17"/>
        </w:rPr>
        <w:tab/>
      </w:r>
      <w:r>
        <w:rPr>
          <w:rFonts w:ascii="宋体" w:hAnsi="宋体" w:eastAsia="宋体" w:cs="宋体"/>
          <w:spacing w:val="6"/>
          <w:sz w:val="17"/>
          <w:szCs w:val="17"/>
        </w:rPr>
        <w:t>(苏东伟主编)和高等教育出版社《程序设计基础——</w:t>
      </w:r>
      <w:r>
        <w:rPr>
          <w:rFonts w:ascii="宋体" w:hAnsi="宋体" w:eastAsia="宋体" w:cs="宋体"/>
          <w:spacing w:val="4"/>
          <w:sz w:val="17"/>
          <w:szCs w:val="17"/>
        </w:rPr>
        <w:t xml:space="preserve">  </w:t>
      </w:r>
      <w:r>
        <w:rPr>
          <w:rFonts w:ascii="宋体" w:hAnsi="宋体" w:eastAsia="宋体" w:cs="宋体"/>
          <w:sz w:val="17"/>
          <w:szCs w:val="17"/>
        </w:rPr>
        <w:t>Python</w:t>
      </w:r>
      <w:r>
        <w:rPr>
          <w:rFonts w:ascii="宋体" w:hAnsi="宋体" w:eastAsia="宋体" w:cs="宋体"/>
          <w:spacing w:val="12"/>
          <w:sz w:val="17"/>
          <w:szCs w:val="17"/>
        </w:rPr>
        <w:t>》(段红、张继辉、朱丹主编)。</w:t>
      </w:r>
    </w:p>
    <w:p w14:paraId="0D6901D9">
      <w:pPr>
        <w:spacing w:before="34" w:line="221" w:lineRule="auto"/>
        <w:ind w:left="18"/>
        <w:rPr>
          <w:rFonts w:ascii="黑体" w:hAnsi="黑体" w:eastAsia="黑体" w:cs="黑体"/>
          <w:sz w:val="23"/>
          <w:szCs w:val="23"/>
        </w:rPr>
      </w:pPr>
      <w:r>
        <w:rPr>
          <w:rFonts w:ascii="黑体" w:hAnsi="黑体" w:eastAsia="黑体" w:cs="黑体"/>
          <w:b/>
          <w:bCs/>
          <w:spacing w:val="-6"/>
          <w:sz w:val="23"/>
          <w:szCs w:val="23"/>
        </w:rPr>
        <w:t>二、考试目标的水平层次</w:t>
      </w:r>
    </w:p>
    <w:p w14:paraId="57E86FC4">
      <w:pPr>
        <w:spacing w:before="88" w:line="311" w:lineRule="auto"/>
        <w:ind w:left="15" w:right="20" w:firstLine="379"/>
        <w:jc w:val="both"/>
        <w:rPr>
          <w:rFonts w:ascii="宋体" w:hAnsi="宋体" w:eastAsia="宋体" w:cs="宋体"/>
          <w:sz w:val="17"/>
          <w:szCs w:val="17"/>
        </w:rPr>
      </w:pPr>
      <w:r>
        <w:rPr>
          <w:rFonts w:ascii="宋体" w:hAnsi="宋体" w:eastAsia="宋体" w:cs="宋体"/>
          <w:spacing w:val="9"/>
          <w:sz w:val="17"/>
          <w:szCs w:val="17"/>
        </w:rPr>
        <w:t>本纲要考试目标包括知识与技能要点、考试条目</w:t>
      </w:r>
      <w:r>
        <w:rPr>
          <w:rFonts w:ascii="宋体" w:hAnsi="宋体" w:eastAsia="宋体" w:cs="宋体"/>
          <w:spacing w:val="1"/>
          <w:sz w:val="17"/>
          <w:szCs w:val="17"/>
        </w:rPr>
        <w:t xml:space="preserve">  </w:t>
      </w:r>
      <w:r>
        <w:rPr>
          <w:rFonts w:ascii="宋体" w:hAnsi="宋体" w:eastAsia="宋体" w:cs="宋体"/>
          <w:spacing w:val="10"/>
          <w:sz w:val="17"/>
          <w:szCs w:val="17"/>
        </w:rPr>
        <w:t>和考试水平三部分。其中“知识与技能”要点</w:t>
      </w:r>
      <w:r>
        <w:rPr>
          <w:rFonts w:ascii="宋体" w:hAnsi="宋体" w:eastAsia="宋体" w:cs="宋体"/>
          <w:spacing w:val="9"/>
          <w:sz w:val="17"/>
          <w:szCs w:val="17"/>
        </w:rPr>
        <w:t>是考生</w:t>
      </w:r>
      <w:r>
        <w:rPr>
          <w:rFonts w:ascii="宋体" w:hAnsi="宋体" w:eastAsia="宋体" w:cs="宋体"/>
          <w:sz w:val="17"/>
          <w:szCs w:val="17"/>
        </w:rPr>
        <w:t xml:space="preserve">  </w:t>
      </w:r>
      <w:r>
        <w:rPr>
          <w:rFonts w:ascii="宋体" w:hAnsi="宋体" w:eastAsia="宋体" w:cs="宋体"/>
          <w:spacing w:val="10"/>
          <w:sz w:val="17"/>
          <w:szCs w:val="17"/>
        </w:rPr>
        <w:t>应知应会的基础知识和基本技能，“考试条目”是知</w:t>
      </w:r>
      <w:r>
        <w:rPr>
          <w:rFonts w:ascii="宋体" w:hAnsi="宋体" w:eastAsia="宋体" w:cs="宋体"/>
          <w:spacing w:val="1"/>
          <w:sz w:val="17"/>
          <w:szCs w:val="17"/>
        </w:rPr>
        <w:t xml:space="preserve">  </w:t>
      </w:r>
      <w:r>
        <w:rPr>
          <w:rFonts w:ascii="宋体" w:hAnsi="宋体" w:eastAsia="宋体" w:cs="宋体"/>
          <w:spacing w:val="10"/>
          <w:sz w:val="17"/>
          <w:szCs w:val="17"/>
        </w:rPr>
        <w:t>识与技能要点的细化条目，“考试水平”是</w:t>
      </w:r>
      <w:r>
        <w:rPr>
          <w:rFonts w:ascii="宋体" w:hAnsi="宋体" w:eastAsia="宋体" w:cs="宋体"/>
          <w:spacing w:val="9"/>
          <w:sz w:val="17"/>
          <w:szCs w:val="17"/>
        </w:rPr>
        <w:t>对考试条</w:t>
      </w:r>
      <w:r>
        <w:rPr>
          <w:rFonts w:ascii="宋体" w:hAnsi="宋体" w:eastAsia="宋体" w:cs="宋体"/>
          <w:sz w:val="17"/>
          <w:szCs w:val="17"/>
        </w:rPr>
        <w:t xml:space="preserve">  </w:t>
      </w:r>
      <w:r>
        <w:rPr>
          <w:rFonts w:ascii="宋体" w:hAnsi="宋体" w:eastAsia="宋体" w:cs="宋体"/>
          <w:spacing w:val="9"/>
          <w:sz w:val="17"/>
          <w:szCs w:val="17"/>
        </w:rPr>
        <w:t>目的要求层次。信息技术类专业考试水平分为四个层</w:t>
      </w:r>
      <w:r>
        <w:rPr>
          <w:rFonts w:ascii="宋体" w:hAnsi="宋体" w:eastAsia="宋体" w:cs="宋体"/>
          <w:sz w:val="17"/>
          <w:szCs w:val="17"/>
        </w:rPr>
        <w:t xml:space="preserve">  </w:t>
      </w:r>
      <w:r>
        <w:rPr>
          <w:rFonts w:ascii="宋体" w:hAnsi="宋体" w:eastAsia="宋体" w:cs="宋体"/>
          <w:spacing w:val="-9"/>
          <w:sz w:val="17"/>
          <w:szCs w:val="17"/>
        </w:rPr>
        <w:t>次：</w:t>
      </w:r>
      <w:r>
        <w:rPr>
          <w:rFonts w:ascii="Times New Roman" w:hAnsi="Times New Roman" w:eastAsia="Times New Roman" w:cs="Times New Roman"/>
          <w:spacing w:val="-9"/>
          <w:sz w:val="17"/>
          <w:szCs w:val="17"/>
        </w:rPr>
        <w:t>A</w:t>
      </w:r>
      <w:r>
        <w:rPr>
          <w:rFonts w:ascii="宋体" w:hAnsi="宋体" w:eastAsia="宋体" w:cs="宋体"/>
          <w:spacing w:val="-9"/>
          <w:sz w:val="17"/>
          <w:szCs w:val="17"/>
        </w:rPr>
        <w:t>(</w:t>
      </w:r>
      <w:r>
        <w:rPr>
          <w:rFonts w:ascii="宋体" w:hAnsi="宋体" w:eastAsia="宋体" w:cs="宋体"/>
          <w:spacing w:val="-19"/>
          <w:sz w:val="17"/>
          <w:szCs w:val="17"/>
        </w:rPr>
        <w:t xml:space="preserve"> </w:t>
      </w:r>
      <w:r>
        <w:rPr>
          <w:rFonts w:ascii="宋体" w:hAnsi="宋体" w:eastAsia="宋体" w:cs="宋体"/>
          <w:spacing w:val="-9"/>
          <w:sz w:val="17"/>
          <w:szCs w:val="17"/>
        </w:rPr>
        <w:t>识</w:t>
      </w:r>
      <w:r>
        <w:rPr>
          <w:rFonts w:ascii="宋体" w:hAnsi="宋体" w:eastAsia="宋体" w:cs="宋体"/>
          <w:spacing w:val="-38"/>
          <w:sz w:val="17"/>
          <w:szCs w:val="17"/>
        </w:rPr>
        <w:t xml:space="preserve"> </w:t>
      </w:r>
      <w:r>
        <w:rPr>
          <w:rFonts w:ascii="宋体" w:hAnsi="宋体" w:eastAsia="宋体" w:cs="宋体"/>
          <w:spacing w:val="-9"/>
          <w:sz w:val="17"/>
          <w:szCs w:val="17"/>
        </w:rPr>
        <w:t>记</w:t>
      </w:r>
      <w:r>
        <w:rPr>
          <w:rFonts w:ascii="宋体" w:hAnsi="宋体" w:eastAsia="宋体" w:cs="宋体"/>
          <w:spacing w:val="-36"/>
          <w:sz w:val="17"/>
          <w:szCs w:val="17"/>
        </w:rPr>
        <w:t xml:space="preserve"> </w:t>
      </w:r>
      <w:r>
        <w:rPr>
          <w:rFonts w:ascii="宋体" w:hAnsi="宋体" w:eastAsia="宋体" w:cs="宋体"/>
          <w:spacing w:val="-9"/>
          <w:sz w:val="17"/>
          <w:szCs w:val="17"/>
        </w:rPr>
        <w:t>)</w:t>
      </w:r>
      <w:r>
        <w:rPr>
          <w:rFonts w:ascii="宋体" w:hAnsi="宋体" w:eastAsia="宋体" w:cs="宋体"/>
          <w:spacing w:val="-43"/>
          <w:sz w:val="17"/>
          <w:szCs w:val="17"/>
        </w:rPr>
        <w:t xml:space="preserve"> </w:t>
      </w:r>
      <w:r>
        <w:rPr>
          <w:rFonts w:ascii="宋体" w:hAnsi="宋体" w:eastAsia="宋体" w:cs="宋体"/>
          <w:spacing w:val="-9"/>
          <w:sz w:val="17"/>
          <w:szCs w:val="17"/>
        </w:rPr>
        <w:t>、</w:t>
      </w:r>
      <w:r>
        <w:rPr>
          <w:rFonts w:ascii="Times New Roman" w:hAnsi="Times New Roman" w:eastAsia="Times New Roman" w:cs="Times New Roman"/>
          <w:spacing w:val="-9"/>
          <w:sz w:val="17"/>
          <w:szCs w:val="17"/>
        </w:rPr>
        <w:t>B</w:t>
      </w:r>
      <w:r>
        <w:rPr>
          <w:rFonts w:ascii="宋体" w:hAnsi="宋体" w:eastAsia="宋体" w:cs="宋体"/>
          <w:spacing w:val="-9"/>
          <w:sz w:val="17"/>
          <w:szCs w:val="17"/>
        </w:rPr>
        <w:t>(</w:t>
      </w:r>
      <w:r>
        <w:rPr>
          <w:rFonts w:ascii="宋体" w:hAnsi="宋体" w:eastAsia="宋体" w:cs="宋体"/>
          <w:spacing w:val="-35"/>
          <w:sz w:val="17"/>
          <w:szCs w:val="17"/>
        </w:rPr>
        <w:t xml:space="preserve"> </w:t>
      </w:r>
      <w:r>
        <w:rPr>
          <w:rFonts w:ascii="宋体" w:hAnsi="宋体" w:eastAsia="宋体" w:cs="宋体"/>
          <w:spacing w:val="-9"/>
          <w:sz w:val="17"/>
          <w:szCs w:val="17"/>
        </w:rPr>
        <w:t>理</w:t>
      </w:r>
      <w:r>
        <w:rPr>
          <w:rFonts w:ascii="宋体" w:hAnsi="宋体" w:eastAsia="宋体" w:cs="宋体"/>
          <w:spacing w:val="-38"/>
          <w:sz w:val="17"/>
          <w:szCs w:val="17"/>
        </w:rPr>
        <w:t xml:space="preserve"> </w:t>
      </w:r>
      <w:r>
        <w:rPr>
          <w:rFonts w:ascii="宋体" w:hAnsi="宋体" w:eastAsia="宋体" w:cs="宋体"/>
          <w:spacing w:val="-9"/>
          <w:sz w:val="17"/>
          <w:szCs w:val="17"/>
        </w:rPr>
        <w:t>解</w:t>
      </w:r>
      <w:r>
        <w:rPr>
          <w:rFonts w:ascii="宋体" w:hAnsi="宋体" w:eastAsia="宋体" w:cs="宋体"/>
          <w:spacing w:val="-36"/>
          <w:sz w:val="17"/>
          <w:szCs w:val="17"/>
        </w:rPr>
        <w:t xml:space="preserve"> </w:t>
      </w:r>
      <w:r>
        <w:rPr>
          <w:rFonts w:ascii="宋体" w:hAnsi="宋体" w:eastAsia="宋体" w:cs="宋体"/>
          <w:spacing w:val="-9"/>
          <w:sz w:val="17"/>
          <w:szCs w:val="17"/>
        </w:rPr>
        <w:t>)</w:t>
      </w:r>
      <w:r>
        <w:rPr>
          <w:rFonts w:ascii="宋体" w:hAnsi="宋体" w:eastAsia="宋体" w:cs="宋体"/>
          <w:spacing w:val="-43"/>
          <w:sz w:val="17"/>
          <w:szCs w:val="17"/>
        </w:rPr>
        <w:t xml:space="preserve"> </w:t>
      </w:r>
      <w:r>
        <w:rPr>
          <w:rFonts w:ascii="宋体" w:hAnsi="宋体" w:eastAsia="宋体" w:cs="宋体"/>
          <w:spacing w:val="-9"/>
          <w:sz w:val="17"/>
          <w:szCs w:val="17"/>
        </w:rPr>
        <w:t>、</w:t>
      </w:r>
      <w:r>
        <w:rPr>
          <w:rFonts w:ascii="Times New Roman" w:hAnsi="Times New Roman" w:eastAsia="Times New Roman" w:cs="Times New Roman"/>
          <w:spacing w:val="-9"/>
          <w:sz w:val="17"/>
          <w:szCs w:val="17"/>
        </w:rPr>
        <w:t>C</w:t>
      </w:r>
      <w:r>
        <w:rPr>
          <w:rFonts w:ascii="宋体" w:hAnsi="宋体" w:eastAsia="宋体" w:cs="宋体"/>
          <w:spacing w:val="-9"/>
          <w:sz w:val="17"/>
          <w:szCs w:val="17"/>
        </w:rPr>
        <w:t>(</w:t>
      </w:r>
      <w:r>
        <w:rPr>
          <w:rFonts w:ascii="宋体" w:hAnsi="宋体" w:eastAsia="宋体" w:cs="宋体"/>
          <w:spacing w:val="-30"/>
          <w:sz w:val="17"/>
          <w:szCs w:val="17"/>
        </w:rPr>
        <w:t xml:space="preserve"> </w:t>
      </w:r>
      <w:r>
        <w:rPr>
          <w:rFonts w:ascii="宋体" w:hAnsi="宋体" w:eastAsia="宋体" w:cs="宋体"/>
          <w:spacing w:val="-9"/>
          <w:sz w:val="17"/>
          <w:szCs w:val="17"/>
        </w:rPr>
        <w:t>掌</w:t>
      </w:r>
      <w:r>
        <w:rPr>
          <w:rFonts w:ascii="宋体" w:hAnsi="宋体" w:eastAsia="宋体" w:cs="宋体"/>
          <w:spacing w:val="-34"/>
          <w:sz w:val="17"/>
          <w:szCs w:val="17"/>
        </w:rPr>
        <w:t xml:space="preserve"> </w:t>
      </w:r>
      <w:r>
        <w:rPr>
          <w:rFonts w:ascii="宋体" w:hAnsi="宋体" w:eastAsia="宋体" w:cs="宋体"/>
          <w:spacing w:val="-9"/>
          <w:sz w:val="17"/>
          <w:szCs w:val="17"/>
        </w:rPr>
        <w:t>握</w:t>
      </w:r>
      <w:r>
        <w:rPr>
          <w:rFonts w:ascii="宋体" w:hAnsi="宋体" w:eastAsia="宋体" w:cs="宋体"/>
          <w:spacing w:val="-34"/>
          <w:sz w:val="17"/>
          <w:szCs w:val="17"/>
        </w:rPr>
        <w:t xml:space="preserve"> </w:t>
      </w:r>
      <w:r>
        <w:rPr>
          <w:rFonts w:ascii="宋体" w:hAnsi="宋体" w:eastAsia="宋体" w:cs="宋体"/>
          <w:spacing w:val="-9"/>
          <w:sz w:val="17"/>
          <w:szCs w:val="17"/>
        </w:rPr>
        <w:t>)</w:t>
      </w:r>
      <w:r>
        <w:rPr>
          <w:rFonts w:ascii="宋体" w:hAnsi="宋体" w:eastAsia="宋体" w:cs="宋体"/>
          <w:spacing w:val="-41"/>
          <w:sz w:val="17"/>
          <w:szCs w:val="17"/>
        </w:rPr>
        <w:t xml:space="preserve"> </w:t>
      </w:r>
      <w:r>
        <w:rPr>
          <w:rFonts w:ascii="宋体" w:hAnsi="宋体" w:eastAsia="宋体" w:cs="宋体"/>
          <w:spacing w:val="-9"/>
          <w:sz w:val="17"/>
          <w:szCs w:val="17"/>
        </w:rPr>
        <w:t>、</w:t>
      </w:r>
      <w:r>
        <w:rPr>
          <w:rFonts w:ascii="Times New Roman" w:hAnsi="Times New Roman" w:eastAsia="Times New Roman" w:cs="Times New Roman"/>
          <w:spacing w:val="-9"/>
          <w:sz w:val="17"/>
          <w:szCs w:val="17"/>
        </w:rPr>
        <w:t>D</w:t>
      </w:r>
      <w:r>
        <w:rPr>
          <w:rFonts w:ascii="宋体" w:hAnsi="宋体" w:eastAsia="宋体" w:cs="宋体"/>
          <w:spacing w:val="-9"/>
          <w:sz w:val="17"/>
          <w:szCs w:val="17"/>
        </w:rPr>
        <w:t>(综合应用)。</w:t>
      </w:r>
      <w:r>
        <w:rPr>
          <w:rFonts w:ascii="宋体" w:hAnsi="宋体" w:eastAsia="宋体" w:cs="宋体"/>
          <w:sz w:val="17"/>
          <w:szCs w:val="17"/>
        </w:rPr>
        <w:t xml:space="preserve"> </w:t>
      </w:r>
      <w:r>
        <w:rPr>
          <w:rFonts w:ascii="宋体" w:hAnsi="宋体" w:eastAsia="宋体" w:cs="宋体"/>
          <w:spacing w:val="-2"/>
          <w:sz w:val="17"/>
          <w:szCs w:val="17"/>
        </w:rPr>
        <w:t>其具体含义如下：</w:t>
      </w:r>
    </w:p>
    <w:p w14:paraId="1EB7DC08">
      <w:pPr>
        <w:spacing w:before="26" w:line="308" w:lineRule="auto"/>
        <w:ind w:left="15" w:right="95" w:firstLine="379"/>
        <w:jc w:val="both"/>
        <w:rPr>
          <w:rFonts w:ascii="宋体" w:hAnsi="宋体" w:eastAsia="宋体" w:cs="宋体"/>
          <w:sz w:val="17"/>
          <w:szCs w:val="17"/>
        </w:rPr>
      </w:pPr>
      <w:r>
        <w:rPr>
          <w:rFonts w:ascii="Times New Roman" w:hAnsi="Times New Roman" w:eastAsia="Times New Roman" w:cs="Times New Roman"/>
          <w:spacing w:val="14"/>
          <w:sz w:val="17"/>
          <w:szCs w:val="17"/>
        </w:rPr>
        <w:t>A</w:t>
      </w:r>
      <w:r>
        <w:rPr>
          <w:rFonts w:ascii="宋体" w:hAnsi="宋体" w:eastAsia="宋体" w:cs="宋体"/>
          <w:spacing w:val="14"/>
          <w:sz w:val="17"/>
          <w:szCs w:val="17"/>
        </w:rPr>
        <w:t>(识记):考查考生对信息技术、计算机网络基</w:t>
      </w:r>
      <w:r>
        <w:rPr>
          <w:rFonts w:ascii="宋体" w:hAnsi="宋体" w:eastAsia="宋体" w:cs="宋体"/>
          <w:spacing w:val="10"/>
          <w:sz w:val="17"/>
          <w:szCs w:val="17"/>
        </w:rPr>
        <w:t xml:space="preserve"> </w:t>
      </w:r>
      <w:r>
        <w:rPr>
          <w:rFonts w:ascii="宋体" w:hAnsi="宋体" w:eastAsia="宋体" w:cs="宋体"/>
          <w:spacing w:val="9"/>
          <w:sz w:val="17"/>
          <w:szCs w:val="17"/>
        </w:rPr>
        <w:t>础和计算机编程基础的识别和记忆能力。要求考生能</w:t>
      </w:r>
      <w:r>
        <w:rPr>
          <w:rFonts w:ascii="宋体" w:hAnsi="宋体" w:eastAsia="宋体" w:cs="宋体"/>
          <w:sz w:val="17"/>
          <w:szCs w:val="17"/>
        </w:rPr>
        <w:t xml:space="preserve"> </w:t>
      </w:r>
      <w:r>
        <w:rPr>
          <w:rFonts w:ascii="宋体" w:hAnsi="宋体" w:eastAsia="宋体" w:cs="宋体"/>
          <w:spacing w:val="10"/>
          <w:sz w:val="17"/>
          <w:szCs w:val="17"/>
        </w:rPr>
        <w:t>够识别并记住相关基础知识和基本操作中的概念</w:t>
      </w:r>
      <w:r>
        <w:rPr>
          <w:rFonts w:ascii="宋体" w:hAnsi="宋体" w:eastAsia="宋体" w:cs="宋体"/>
          <w:spacing w:val="9"/>
          <w:sz w:val="17"/>
          <w:szCs w:val="17"/>
        </w:rPr>
        <w:t>、专</w:t>
      </w:r>
      <w:r>
        <w:rPr>
          <w:rFonts w:ascii="宋体" w:hAnsi="宋体" w:eastAsia="宋体" w:cs="宋体"/>
          <w:sz w:val="17"/>
          <w:szCs w:val="17"/>
        </w:rPr>
        <w:t xml:space="preserve"> </w:t>
      </w:r>
      <w:r>
        <w:rPr>
          <w:rFonts w:ascii="宋体" w:hAnsi="宋体" w:eastAsia="宋体" w:cs="宋体"/>
          <w:spacing w:val="1"/>
          <w:sz w:val="17"/>
          <w:szCs w:val="17"/>
        </w:rPr>
        <w:t>用名词及其解释。</w:t>
      </w:r>
    </w:p>
    <w:p w14:paraId="5902F03D">
      <w:pPr>
        <w:spacing w:before="23" w:line="306" w:lineRule="auto"/>
        <w:ind w:left="15" w:right="98" w:firstLine="379"/>
        <w:jc w:val="both"/>
        <w:rPr>
          <w:rFonts w:ascii="宋体" w:hAnsi="宋体" w:eastAsia="宋体" w:cs="宋体"/>
          <w:sz w:val="17"/>
          <w:szCs w:val="17"/>
        </w:rPr>
      </w:pPr>
      <w:r>
        <w:rPr>
          <w:rFonts w:ascii="Times New Roman" w:hAnsi="Times New Roman" w:eastAsia="Times New Roman" w:cs="Times New Roman"/>
          <w:spacing w:val="14"/>
          <w:sz w:val="17"/>
          <w:szCs w:val="17"/>
        </w:rPr>
        <w:t>B</w:t>
      </w:r>
      <w:r>
        <w:rPr>
          <w:rFonts w:ascii="宋体" w:hAnsi="宋体" w:eastAsia="宋体" w:cs="宋体"/>
          <w:spacing w:val="14"/>
          <w:sz w:val="17"/>
          <w:szCs w:val="17"/>
        </w:rPr>
        <w:t>(理解):考查考生对所学课程相关知识的理解</w:t>
      </w:r>
      <w:r>
        <w:rPr>
          <w:rFonts w:ascii="宋体" w:hAnsi="宋体" w:eastAsia="宋体" w:cs="宋体"/>
          <w:spacing w:val="18"/>
          <w:sz w:val="17"/>
          <w:szCs w:val="17"/>
        </w:rPr>
        <w:t xml:space="preserve"> </w:t>
      </w:r>
      <w:r>
        <w:rPr>
          <w:rFonts w:ascii="宋体" w:hAnsi="宋体" w:eastAsia="宋体" w:cs="宋体"/>
          <w:spacing w:val="9"/>
          <w:sz w:val="17"/>
          <w:szCs w:val="17"/>
        </w:rPr>
        <w:t>程度，要求考生在“识别和记忆”的基础上，理解所</w:t>
      </w:r>
      <w:r>
        <w:rPr>
          <w:rFonts w:ascii="宋体" w:hAnsi="宋体" w:eastAsia="宋体" w:cs="宋体"/>
          <w:spacing w:val="17"/>
          <w:sz w:val="17"/>
          <w:szCs w:val="17"/>
        </w:rPr>
        <w:t xml:space="preserve"> </w:t>
      </w:r>
      <w:r>
        <w:rPr>
          <w:rFonts w:ascii="宋体" w:hAnsi="宋体" w:eastAsia="宋体" w:cs="宋体"/>
          <w:spacing w:val="2"/>
          <w:sz w:val="17"/>
          <w:szCs w:val="17"/>
        </w:rPr>
        <w:t>学知识和基本操作的具体含义及特点。</w:t>
      </w:r>
    </w:p>
    <w:p w14:paraId="36600B3D">
      <w:pPr>
        <w:spacing w:before="25" w:line="302" w:lineRule="auto"/>
        <w:ind w:left="15" w:right="96" w:firstLine="379"/>
        <w:rPr>
          <w:rFonts w:ascii="宋体" w:hAnsi="宋体" w:eastAsia="宋体" w:cs="宋体"/>
          <w:sz w:val="17"/>
          <w:szCs w:val="17"/>
        </w:rPr>
      </w:pPr>
      <w:r>
        <w:rPr>
          <w:rFonts w:ascii="Times New Roman" w:hAnsi="Times New Roman" w:eastAsia="Times New Roman" w:cs="Times New Roman"/>
          <w:spacing w:val="15"/>
          <w:sz w:val="17"/>
          <w:szCs w:val="17"/>
        </w:rPr>
        <w:t>C</w:t>
      </w:r>
      <w:r>
        <w:rPr>
          <w:rFonts w:ascii="宋体" w:hAnsi="宋体" w:eastAsia="宋体" w:cs="宋体"/>
          <w:spacing w:val="15"/>
          <w:sz w:val="17"/>
          <w:szCs w:val="17"/>
        </w:rPr>
        <w:t>(掌握):考查考生对所学课程相关知识的初步</w:t>
      </w:r>
      <w:r>
        <w:rPr>
          <w:rFonts w:ascii="宋体" w:hAnsi="宋体" w:eastAsia="宋体" w:cs="宋体"/>
          <w:sz w:val="17"/>
          <w:szCs w:val="17"/>
        </w:rPr>
        <w:t xml:space="preserve"> </w:t>
      </w:r>
      <w:r>
        <w:rPr>
          <w:rFonts w:ascii="宋体" w:hAnsi="宋体" w:eastAsia="宋体" w:cs="宋体"/>
          <w:spacing w:val="10"/>
          <w:sz w:val="17"/>
          <w:szCs w:val="17"/>
        </w:rPr>
        <w:t>应用能力。具体包括：能灵活地运用所理解</w:t>
      </w:r>
      <w:r>
        <w:rPr>
          <w:rFonts w:ascii="宋体" w:hAnsi="宋体" w:eastAsia="宋体" w:cs="宋体"/>
          <w:spacing w:val="9"/>
          <w:sz w:val="17"/>
          <w:szCs w:val="17"/>
        </w:rPr>
        <w:t>的信息技</w:t>
      </w:r>
    </w:p>
    <w:p w14:paraId="0DCE249C">
      <w:pPr>
        <w:spacing w:before="23" w:line="271" w:lineRule="auto"/>
        <w:ind w:left="17" w:right="13"/>
        <w:jc w:val="both"/>
        <w:rPr>
          <w:rFonts w:ascii="宋体" w:hAnsi="宋体" w:eastAsia="宋体" w:cs="宋体"/>
          <w:sz w:val="17"/>
          <w:szCs w:val="17"/>
        </w:rPr>
      </w:pPr>
      <w:r>
        <w:rPr>
          <w:rFonts w:ascii="宋体" w:hAnsi="宋体" w:eastAsia="宋体" w:cs="宋体"/>
          <w:b/>
          <w:bCs/>
          <w:spacing w:val="8"/>
          <w:sz w:val="17"/>
          <w:szCs w:val="17"/>
        </w:rPr>
        <w:t>术基础知识，正确地完成有关的应用操作，并</w:t>
      </w:r>
      <w:r>
        <w:rPr>
          <w:rFonts w:ascii="宋体" w:hAnsi="宋体" w:eastAsia="宋体" w:cs="宋体"/>
          <w:b/>
          <w:bCs/>
          <w:spacing w:val="7"/>
          <w:sz w:val="17"/>
          <w:szCs w:val="17"/>
        </w:rPr>
        <w:t>能解释</w:t>
      </w:r>
      <w:r>
        <w:rPr>
          <w:rFonts w:ascii="宋体" w:hAnsi="宋体" w:eastAsia="宋体" w:cs="宋体"/>
          <w:sz w:val="17"/>
          <w:szCs w:val="17"/>
        </w:rPr>
        <w:t xml:space="preserve">  </w:t>
      </w:r>
      <w:r>
        <w:rPr>
          <w:rFonts w:ascii="宋体" w:hAnsi="宋体" w:eastAsia="宋体" w:cs="宋体"/>
          <w:b/>
          <w:bCs/>
          <w:spacing w:val="-3"/>
          <w:sz w:val="17"/>
          <w:szCs w:val="17"/>
        </w:rPr>
        <w:t>操作所产生的结果；能通过对计算机网络的理解，分</w:t>
      </w:r>
      <w:r>
        <w:rPr>
          <w:rFonts w:ascii="宋体" w:hAnsi="宋体" w:eastAsia="宋体" w:cs="宋体"/>
          <w:b/>
          <w:bCs/>
          <w:spacing w:val="-4"/>
          <w:sz w:val="17"/>
          <w:szCs w:val="17"/>
        </w:rPr>
        <w:t>析、</w:t>
      </w:r>
      <w:r>
        <w:rPr>
          <w:rFonts w:ascii="宋体" w:hAnsi="宋体" w:eastAsia="宋体" w:cs="宋体"/>
          <w:sz w:val="17"/>
          <w:szCs w:val="17"/>
        </w:rPr>
        <w:t xml:space="preserve"> </w:t>
      </w:r>
      <w:r>
        <w:rPr>
          <w:rFonts w:ascii="宋体" w:hAnsi="宋体" w:eastAsia="宋体" w:cs="宋体"/>
          <w:b/>
          <w:bCs/>
          <w:spacing w:val="8"/>
          <w:sz w:val="17"/>
          <w:szCs w:val="17"/>
        </w:rPr>
        <w:t>初步设计和解答与应用相关的问题；具有阅读程序和</w:t>
      </w:r>
    </w:p>
    <w:p w14:paraId="0F0C511B">
      <w:pPr>
        <w:spacing w:line="271" w:lineRule="auto"/>
        <w:rPr>
          <w:rFonts w:ascii="宋体" w:hAnsi="宋体" w:eastAsia="宋体" w:cs="宋体"/>
          <w:sz w:val="17"/>
          <w:szCs w:val="17"/>
        </w:rPr>
        <w:sectPr>
          <w:type w:val="continuous"/>
          <w:pgSz w:w="10660" w:h="15080"/>
          <w:pgMar w:top="400" w:right="964" w:bottom="925" w:left="819" w:header="0" w:footer="705" w:gutter="0"/>
          <w:cols w:equalWidth="0" w:num="2">
            <w:col w:w="4526" w:space="100"/>
            <w:col w:w="4251"/>
          </w:cols>
        </w:sectPr>
      </w:pPr>
    </w:p>
    <w:p w14:paraId="71FC68B6">
      <w:pPr>
        <w:spacing w:before="12"/>
      </w:pPr>
    </w:p>
    <w:p w14:paraId="76261B47">
      <w:pPr>
        <w:spacing w:before="12"/>
      </w:pPr>
    </w:p>
    <w:p w14:paraId="61BE237C">
      <w:pPr>
        <w:spacing w:before="12"/>
      </w:pPr>
    </w:p>
    <w:p w14:paraId="116389C9">
      <w:pPr>
        <w:spacing w:before="11"/>
      </w:pPr>
    </w:p>
    <w:p w14:paraId="77F4EB95">
      <w:pPr>
        <w:sectPr>
          <w:footerReference r:id="rId39" w:type="default"/>
          <w:pgSz w:w="10660" w:h="15080"/>
          <w:pgMar w:top="400" w:right="884" w:bottom="925" w:left="1019" w:header="0" w:footer="705" w:gutter="0"/>
          <w:cols w:equalWidth="0" w:num="1">
            <w:col w:w="8756"/>
          </w:cols>
        </w:sectPr>
      </w:pPr>
    </w:p>
    <w:p w14:paraId="1B62969E">
      <w:pPr>
        <w:spacing w:line="218" w:lineRule="auto"/>
        <w:ind w:left="2"/>
        <w:rPr>
          <w:rFonts w:ascii="宋体" w:hAnsi="宋体" w:eastAsia="宋体" w:cs="宋体"/>
          <w:sz w:val="17"/>
          <w:szCs w:val="17"/>
        </w:rPr>
      </w:pPr>
      <w:r>
        <w:rPr>
          <w:rFonts w:ascii="宋体" w:hAnsi="宋体" w:eastAsia="宋体" w:cs="宋体"/>
          <w:b/>
          <w:bCs/>
          <w:spacing w:val="-1"/>
          <w:sz w:val="17"/>
          <w:szCs w:val="17"/>
        </w:rPr>
        <w:t>编写程序的基本能力。</w:t>
      </w:r>
    </w:p>
    <w:p w14:paraId="2426BC92">
      <w:pPr>
        <w:spacing w:before="82" w:line="308" w:lineRule="auto"/>
        <w:ind w:right="364" w:firstLine="370"/>
        <w:rPr>
          <w:rFonts w:ascii="宋体" w:hAnsi="宋体" w:eastAsia="宋体" w:cs="宋体"/>
          <w:sz w:val="17"/>
          <w:szCs w:val="17"/>
        </w:rPr>
      </w:pPr>
      <w:r>
        <w:rPr>
          <w:rFonts w:ascii="Times New Roman" w:hAnsi="Times New Roman" w:eastAsia="Times New Roman" w:cs="Times New Roman"/>
          <w:spacing w:val="15"/>
          <w:sz w:val="17"/>
          <w:szCs w:val="17"/>
        </w:rPr>
        <w:t>D</w:t>
      </w:r>
      <w:r>
        <w:rPr>
          <w:rFonts w:ascii="宋体" w:hAnsi="宋体" w:eastAsia="宋体" w:cs="宋体"/>
          <w:spacing w:val="15"/>
          <w:sz w:val="17"/>
          <w:szCs w:val="17"/>
        </w:rPr>
        <w:t>(综合应用):考查考生对所学知识的综合应用</w:t>
      </w:r>
      <w:r>
        <w:rPr>
          <w:rFonts w:ascii="宋体" w:hAnsi="宋体" w:eastAsia="宋体" w:cs="宋体"/>
          <w:spacing w:val="1"/>
          <w:sz w:val="17"/>
          <w:szCs w:val="17"/>
        </w:rPr>
        <w:t xml:space="preserve"> </w:t>
      </w:r>
      <w:r>
        <w:rPr>
          <w:rFonts w:ascii="宋体" w:hAnsi="宋体" w:eastAsia="宋体" w:cs="宋体"/>
          <w:spacing w:val="9"/>
          <w:sz w:val="17"/>
          <w:szCs w:val="17"/>
        </w:rPr>
        <w:t>能力，即要求考生能够灵活地应用所学课程</w:t>
      </w:r>
      <w:r>
        <w:rPr>
          <w:rFonts w:ascii="宋体" w:hAnsi="宋体" w:eastAsia="宋体" w:cs="宋体"/>
          <w:spacing w:val="8"/>
          <w:sz w:val="17"/>
          <w:szCs w:val="17"/>
        </w:rPr>
        <w:t>的知识，</w:t>
      </w:r>
      <w:r>
        <w:rPr>
          <w:rFonts w:ascii="宋体" w:hAnsi="宋体" w:eastAsia="宋体" w:cs="宋体"/>
          <w:sz w:val="17"/>
          <w:szCs w:val="17"/>
        </w:rPr>
        <w:t xml:space="preserve"> </w:t>
      </w:r>
      <w:r>
        <w:rPr>
          <w:rFonts w:ascii="宋体" w:hAnsi="宋体" w:eastAsia="宋体" w:cs="宋体"/>
          <w:spacing w:val="9"/>
          <w:sz w:val="17"/>
          <w:szCs w:val="17"/>
        </w:rPr>
        <w:t>分析、判断、综合解决实际问题。这是对考生理论与</w:t>
      </w:r>
      <w:r>
        <w:rPr>
          <w:rFonts w:ascii="宋体" w:hAnsi="宋体" w:eastAsia="宋体" w:cs="宋体"/>
          <w:spacing w:val="16"/>
          <w:sz w:val="17"/>
          <w:szCs w:val="17"/>
        </w:rPr>
        <w:t xml:space="preserve"> </w:t>
      </w:r>
      <w:r>
        <w:rPr>
          <w:rFonts w:ascii="宋体" w:hAnsi="宋体" w:eastAsia="宋体" w:cs="宋体"/>
          <w:spacing w:val="1"/>
          <w:sz w:val="17"/>
          <w:szCs w:val="17"/>
        </w:rPr>
        <w:t>实践能力的综合考查。</w:t>
      </w:r>
    </w:p>
    <w:p w14:paraId="28CF615B">
      <w:pPr>
        <w:spacing w:before="25" w:line="306" w:lineRule="auto"/>
        <w:ind w:right="373" w:firstLine="380"/>
        <w:jc w:val="both"/>
        <w:rPr>
          <w:rFonts w:ascii="宋体" w:hAnsi="宋体" w:eastAsia="宋体" w:cs="宋体"/>
          <w:sz w:val="17"/>
          <w:szCs w:val="17"/>
        </w:rPr>
      </w:pPr>
      <w:r>
        <w:rPr>
          <w:rFonts w:ascii="宋体" w:hAnsi="宋体" w:eastAsia="宋体" w:cs="宋体"/>
          <w:spacing w:val="8"/>
          <w:sz w:val="17"/>
          <w:szCs w:val="17"/>
        </w:rPr>
        <w:t>考试纲要中的考试水平由简单到复杂，由低级到</w:t>
      </w:r>
      <w:r>
        <w:rPr>
          <w:rFonts w:ascii="宋体" w:hAnsi="宋体" w:eastAsia="宋体" w:cs="宋体"/>
          <w:spacing w:val="12"/>
          <w:sz w:val="17"/>
          <w:szCs w:val="17"/>
        </w:rPr>
        <w:t xml:space="preserve"> </w:t>
      </w:r>
      <w:r>
        <w:rPr>
          <w:rFonts w:ascii="宋体" w:hAnsi="宋体" w:eastAsia="宋体" w:cs="宋体"/>
          <w:spacing w:val="9"/>
          <w:sz w:val="17"/>
          <w:szCs w:val="17"/>
        </w:rPr>
        <w:t>高级，每一较高层次考试水平都同时包含了它的较低</w:t>
      </w:r>
      <w:r>
        <w:rPr>
          <w:rFonts w:ascii="宋体" w:hAnsi="宋体" w:eastAsia="宋体" w:cs="宋体"/>
          <w:spacing w:val="13"/>
          <w:sz w:val="17"/>
          <w:szCs w:val="17"/>
        </w:rPr>
        <w:t xml:space="preserve"> </w:t>
      </w:r>
      <w:r>
        <w:rPr>
          <w:rFonts w:ascii="宋体" w:hAnsi="宋体" w:eastAsia="宋体" w:cs="宋体"/>
          <w:sz w:val="17"/>
          <w:szCs w:val="17"/>
        </w:rPr>
        <w:t>层次考试水平要求。</w:t>
      </w:r>
    </w:p>
    <w:p w14:paraId="0411CD86">
      <w:pPr>
        <w:spacing w:before="21" w:line="221" w:lineRule="auto"/>
        <w:ind w:left="3"/>
        <w:rPr>
          <w:rFonts w:ascii="黑体" w:hAnsi="黑体" w:eastAsia="黑体" w:cs="黑体"/>
          <w:sz w:val="23"/>
          <w:szCs w:val="23"/>
        </w:rPr>
      </w:pPr>
      <w:r>
        <w:rPr>
          <w:rFonts w:ascii="黑体" w:hAnsi="黑体" w:eastAsia="黑体" w:cs="黑体"/>
          <w:b/>
          <w:bCs/>
          <w:spacing w:val="-7"/>
          <w:sz w:val="23"/>
          <w:szCs w:val="23"/>
        </w:rPr>
        <w:t>三、考试目标</w:t>
      </w:r>
    </w:p>
    <w:p w14:paraId="2B264B1A">
      <w:pPr>
        <w:pStyle w:val="2"/>
        <w:spacing w:line="298" w:lineRule="auto"/>
      </w:pPr>
    </w:p>
    <w:p w14:paraId="7F5F0080">
      <w:pPr>
        <w:spacing w:before="75" w:line="221" w:lineRule="auto"/>
        <w:ind w:left="723"/>
        <w:rPr>
          <w:rFonts w:ascii="黑体" w:hAnsi="黑体" w:eastAsia="黑体" w:cs="黑体"/>
          <w:sz w:val="23"/>
          <w:szCs w:val="23"/>
        </w:rPr>
      </w:pPr>
      <w:r>
        <w:rPr>
          <w:rFonts w:ascii="黑体" w:hAnsi="黑体" w:eastAsia="黑体" w:cs="黑体"/>
          <w:b/>
          <w:bCs/>
          <w:spacing w:val="-6"/>
          <w:sz w:val="23"/>
          <w:szCs w:val="23"/>
        </w:rPr>
        <w:t>第一部分</w:t>
      </w:r>
      <w:r>
        <w:rPr>
          <w:rFonts w:ascii="黑体" w:hAnsi="黑体" w:eastAsia="黑体" w:cs="黑体"/>
          <w:spacing w:val="-6"/>
          <w:sz w:val="23"/>
          <w:szCs w:val="23"/>
        </w:rPr>
        <w:t xml:space="preserve">  </w:t>
      </w:r>
      <w:r>
        <w:rPr>
          <w:rFonts w:ascii="黑体" w:hAnsi="黑体" w:eastAsia="黑体" w:cs="黑体"/>
          <w:b/>
          <w:bCs/>
          <w:spacing w:val="-6"/>
          <w:sz w:val="23"/>
          <w:szCs w:val="23"/>
        </w:rPr>
        <w:t>计算机网络基础</w:t>
      </w:r>
    </w:p>
    <w:p w14:paraId="5FD39950">
      <w:pPr>
        <w:pStyle w:val="2"/>
        <w:spacing w:line="263" w:lineRule="auto"/>
      </w:pPr>
    </w:p>
    <w:p w14:paraId="3E542C83">
      <w:pPr>
        <w:spacing w:before="55" w:line="221" w:lineRule="auto"/>
        <w:ind w:left="440"/>
        <w:rPr>
          <w:rFonts w:ascii="宋体" w:hAnsi="宋体" w:eastAsia="宋体" w:cs="宋体"/>
          <w:sz w:val="17"/>
          <w:szCs w:val="17"/>
        </w:rPr>
      </w:pPr>
      <w:r>
        <w:rPr>
          <w:rFonts w:ascii="宋体" w:hAnsi="宋体" w:eastAsia="宋体" w:cs="宋体"/>
          <w:spacing w:val="14"/>
          <w:sz w:val="17"/>
          <w:szCs w:val="17"/>
        </w:rPr>
        <w:t>(一)网络基础知识</w:t>
      </w:r>
    </w:p>
    <w:p w14:paraId="2F21E355">
      <w:pPr>
        <w:spacing w:line="122" w:lineRule="exact"/>
      </w:pPr>
    </w:p>
    <w:tbl>
      <w:tblPr>
        <w:tblStyle w:val="5"/>
        <w:tblW w:w="4130" w:type="dxa"/>
        <w:tblInd w:w="2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33"/>
        <w:gridCol w:w="2484"/>
        <w:gridCol w:w="220"/>
        <w:gridCol w:w="230"/>
        <w:gridCol w:w="229"/>
        <w:gridCol w:w="234"/>
      </w:tblGrid>
      <w:tr w14:paraId="5DF745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4" w:hRule="atLeast"/>
        </w:trPr>
        <w:tc>
          <w:tcPr>
            <w:tcW w:w="733" w:type="dxa"/>
            <w:vMerge w:val="restart"/>
            <w:tcBorders>
              <w:bottom w:val="nil"/>
            </w:tcBorders>
            <w:vAlign w:val="top"/>
          </w:tcPr>
          <w:p w14:paraId="12C999C5">
            <w:pPr>
              <w:pStyle w:val="6"/>
              <w:spacing w:before="21" w:line="211" w:lineRule="auto"/>
              <w:ind w:left="86" w:hanging="69"/>
              <w:rPr>
                <w:sz w:val="18"/>
                <w:szCs w:val="18"/>
              </w:rPr>
            </w:pPr>
            <w:r>
              <w:rPr>
                <w:b/>
                <w:bCs/>
                <w:spacing w:val="-6"/>
                <w:sz w:val="18"/>
                <w:szCs w:val="18"/>
              </w:rPr>
              <w:t>知识与技</w:t>
            </w:r>
            <w:r>
              <w:rPr>
                <w:sz w:val="18"/>
                <w:szCs w:val="18"/>
              </w:rPr>
              <w:t xml:space="preserve"> </w:t>
            </w:r>
            <w:r>
              <w:rPr>
                <w:b/>
                <w:bCs/>
                <w:sz w:val="18"/>
                <w:szCs w:val="18"/>
              </w:rPr>
              <w:t>能要点</w:t>
            </w:r>
          </w:p>
        </w:tc>
        <w:tc>
          <w:tcPr>
            <w:tcW w:w="2484" w:type="dxa"/>
            <w:vMerge w:val="restart"/>
            <w:tcBorders>
              <w:bottom w:val="nil"/>
            </w:tcBorders>
            <w:vAlign w:val="top"/>
          </w:tcPr>
          <w:p w14:paraId="17691ECE">
            <w:pPr>
              <w:pStyle w:val="6"/>
              <w:spacing w:before="129" w:line="219" w:lineRule="auto"/>
              <w:ind w:left="924"/>
              <w:rPr>
                <w:sz w:val="18"/>
                <w:szCs w:val="18"/>
              </w:rPr>
            </w:pPr>
            <w:r>
              <w:rPr>
                <w:b/>
                <w:bCs/>
                <w:spacing w:val="5"/>
                <w:sz w:val="18"/>
                <w:szCs w:val="18"/>
              </w:rPr>
              <w:t>考试条目</w:t>
            </w:r>
          </w:p>
        </w:tc>
        <w:tc>
          <w:tcPr>
            <w:tcW w:w="913" w:type="dxa"/>
            <w:gridSpan w:val="4"/>
            <w:vAlign w:val="top"/>
          </w:tcPr>
          <w:p w14:paraId="3AE39870">
            <w:pPr>
              <w:pStyle w:val="6"/>
              <w:spacing w:before="19" w:line="199" w:lineRule="auto"/>
              <w:ind w:left="120"/>
              <w:rPr>
                <w:sz w:val="18"/>
                <w:szCs w:val="18"/>
              </w:rPr>
            </w:pPr>
            <w:r>
              <w:rPr>
                <w:b/>
                <w:bCs/>
                <w:spacing w:val="-4"/>
                <w:sz w:val="18"/>
                <w:szCs w:val="18"/>
              </w:rPr>
              <w:t>考试水平</w:t>
            </w:r>
          </w:p>
        </w:tc>
      </w:tr>
      <w:tr w14:paraId="271B91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9" w:hRule="atLeast"/>
        </w:trPr>
        <w:tc>
          <w:tcPr>
            <w:tcW w:w="733" w:type="dxa"/>
            <w:vMerge w:val="continue"/>
            <w:tcBorders>
              <w:top w:val="nil"/>
            </w:tcBorders>
            <w:vAlign w:val="top"/>
          </w:tcPr>
          <w:p w14:paraId="2C20155C">
            <w:pPr>
              <w:rPr>
                <w:rFonts w:ascii="Arial"/>
                <w:sz w:val="21"/>
              </w:rPr>
            </w:pPr>
          </w:p>
        </w:tc>
        <w:tc>
          <w:tcPr>
            <w:tcW w:w="2484" w:type="dxa"/>
            <w:vMerge w:val="continue"/>
            <w:tcBorders>
              <w:top w:val="nil"/>
            </w:tcBorders>
            <w:vAlign w:val="top"/>
          </w:tcPr>
          <w:p w14:paraId="751846D3">
            <w:pPr>
              <w:rPr>
                <w:rFonts w:ascii="Arial"/>
                <w:sz w:val="21"/>
              </w:rPr>
            </w:pPr>
          </w:p>
        </w:tc>
        <w:tc>
          <w:tcPr>
            <w:tcW w:w="220" w:type="dxa"/>
            <w:vAlign w:val="top"/>
          </w:tcPr>
          <w:p w14:paraId="5A7154A4">
            <w:pPr>
              <w:pStyle w:val="6"/>
              <w:spacing w:before="63" w:line="136" w:lineRule="exact"/>
              <w:ind w:left="20"/>
              <w:rPr>
                <w:sz w:val="18"/>
                <w:szCs w:val="18"/>
              </w:rPr>
            </w:pPr>
            <w:r>
              <w:rPr>
                <w:b/>
                <w:bCs/>
                <w:spacing w:val="-2"/>
                <w:position w:val="-2"/>
                <w:sz w:val="18"/>
                <w:szCs w:val="18"/>
              </w:rPr>
              <w:t>A</w:t>
            </w:r>
          </w:p>
        </w:tc>
        <w:tc>
          <w:tcPr>
            <w:tcW w:w="230" w:type="dxa"/>
            <w:vAlign w:val="top"/>
          </w:tcPr>
          <w:p w14:paraId="7A73C6F8">
            <w:pPr>
              <w:pStyle w:val="6"/>
              <w:spacing w:before="66" w:line="133" w:lineRule="exact"/>
              <w:ind w:left="20"/>
              <w:rPr>
                <w:sz w:val="18"/>
                <w:szCs w:val="18"/>
              </w:rPr>
            </w:pPr>
            <w:r>
              <w:rPr>
                <w:b/>
                <w:bCs/>
                <w:spacing w:val="-2"/>
                <w:position w:val="-2"/>
                <w:sz w:val="18"/>
                <w:szCs w:val="18"/>
              </w:rPr>
              <w:t>B</w:t>
            </w:r>
          </w:p>
        </w:tc>
        <w:tc>
          <w:tcPr>
            <w:tcW w:w="229" w:type="dxa"/>
            <w:vAlign w:val="top"/>
          </w:tcPr>
          <w:p w14:paraId="11FC2040">
            <w:pPr>
              <w:pStyle w:val="6"/>
              <w:spacing w:before="64" w:line="135" w:lineRule="exact"/>
              <w:ind w:left="48"/>
              <w:rPr>
                <w:sz w:val="18"/>
                <w:szCs w:val="18"/>
              </w:rPr>
            </w:pPr>
            <w:r>
              <w:rPr>
                <w:position w:val="-2"/>
                <w:sz w:val="18"/>
                <w:szCs w:val="18"/>
              </w:rPr>
              <w:t>C</w:t>
            </w:r>
          </w:p>
        </w:tc>
        <w:tc>
          <w:tcPr>
            <w:tcW w:w="234" w:type="dxa"/>
            <w:vAlign w:val="top"/>
          </w:tcPr>
          <w:p w14:paraId="7CDA1BFB">
            <w:pPr>
              <w:pStyle w:val="6"/>
              <w:spacing w:before="66" w:line="133" w:lineRule="exact"/>
              <w:ind w:left="21"/>
              <w:rPr>
                <w:sz w:val="18"/>
                <w:szCs w:val="18"/>
              </w:rPr>
            </w:pPr>
            <w:r>
              <w:rPr>
                <w:b/>
                <w:bCs/>
                <w:spacing w:val="-2"/>
                <w:position w:val="-2"/>
                <w:sz w:val="18"/>
                <w:szCs w:val="18"/>
              </w:rPr>
              <w:t>D</w:t>
            </w:r>
          </w:p>
        </w:tc>
      </w:tr>
      <w:tr w14:paraId="390DFB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67" w:hRule="atLeast"/>
        </w:trPr>
        <w:tc>
          <w:tcPr>
            <w:tcW w:w="733" w:type="dxa"/>
            <w:vAlign w:val="top"/>
          </w:tcPr>
          <w:p w14:paraId="60614E77">
            <w:pPr>
              <w:pStyle w:val="6"/>
              <w:spacing w:before="248" w:line="223" w:lineRule="auto"/>
              <w:ind w:left="175" w:right="9" w:hanging="160"/>
              <w:rPr>
                <w:sz w:val="18"/>
                <w:szCs w:val="18"/>
              </w:rPr>
            </w:pPr>
            <w:r>
              <w:rPr>
                <w:spacing w:val="-6"/>
                <w:sz w:val="18"/>
                <w:szCs w:val="18"/>
              </w:rPr>
              <w:t>网络基本</w:t>
            </w:r>
            <w:r>
              <w:rPr>
                <w:spacing w:val="1"/>
                <w:sz w:val="18"/>
                <w:szCs w:val="18"/>
              </w:rPr>
              <w:t xml:space="preserve"> </w:t>
            </w:r>
            <w:r>
              <w:rPr>
                <w:spacing w:val="-2"/>
                <w:sz w:val="18"/>
                <w:szCs w:val="18"/>
              </w:rPr>
              <w:t>概念</w:t>
            </w:r>
          </w:p>
        </w:tc>
        <w:tc>
          <w:tcPr>
            <w:tcW w:w="2484" w:type="dxa"/>
            <w:vAlign w:val="top"/>
          </w:tcPr>
          <w:p w14:paraId="50F57C70">
            <w:pPr>
              <w:pStyle w:val="6"/>
              <w:spacing w:before="28" w:line="222" w:lineRule="auto"/>
              <w:ind w:left="2" w:right="844"/>
              <w:rPr>
                <w:sz w:val="18"/>
                <w:szCs w:val="18"/>
              </w:rPr>
            </w:pPr>
            <w:r>
              <w:rPr>
                <w:sz w:val="18"/>
                <w:szCs w:val="18"/>
              </w:rPr>
              <w:t>1.计算机网络的概念</w:t>
            </w:r>
            <w:r>
              <w:rPr>
                <w:spacing w:val="6"/>
                <w:sz w:val="18"/>
                <w:szCs w:val="18"/>
              </w:rPr>
              <w:t xml:space="preserve"> </w:t>
            </w:r>
            <w:r>
              <w:rPr>
                <w:spacing w:val="-1"/>
                <w:sz w:val="18"/>
                <w:szCs w:val="18"/>
              </w:rPr>
              <w:t>2.计算机网络的功能</w:t>
            </w:r>
          </w:p>
          <w:p w14:paraId="48D8B09A">
            <w:pPr>
              <w:pStyle w:val="6"/>
              <w:spacing w:before="6" w:line="206" w:lineRule="auto"/>
              <w:ind w:left="2"/>
              <w:rPr>
                <w:sz w:val="18"/>
                <w:szCs w:val="18"/>
              </w:rPr>
            </w:pPr>
            <w:r>
              <w:rPr>
                <w:spacing w:val="-1"/>
                <w:sz w:val="18"/>
                <w:szCs w:val="18"/>
              </w:rPr>
              <w:t>3.计算机网络的发展阶段</w:t>
            </w:r>
          </w:p>
          <w:p w14:paraId="53E5C920">
            <w:pPr>
              <w:pStyle w:val="6"/>
              <w:spacing w:line="192" w:lineRule="auto"/>
              <w:ind w:left="2"/>
              <w:rPr>
                <w:sz w:val="18"/>
                <w:szCs w:val="18"/>
              </w:rPr>
            </w:pPr>
            <w:r>
              <w:rPr>
                <w:spacing w:val="-1"/>
                <w:sz w:val="18"/>
                <w:szCs w:val="18"/>
              </w:rPr>
              <w:t>4.云存储、物联网的相关概念</w:t>
            </w:r>
          </w:p>
        </w:tc>
        <w:tc>
          <w:tcPr>
            <w:tcW w:w="220" w:type="dxa"/>
            <w:vAlign w:val="top"/>
          </w:tcPr>
          <w:p w14:paraId="28A7A39B">
            <w:pPr>
              <w:rPr>
                <w:rFonts w:ascii="Arial"/>
                <w:sz w:val="21"/>
              </w:rPr>
            </w:pPr>
          </w:p>
        </w:tc>
        <w:tc>
          <w:tcPr>
            <w:tcW w:w="230" w:type="dxa"/>
            <w:vAlign w:val="top"/>
          </w:tcPr>
          <w:p w14:paraId="745103D2">
            <w:pPr>
              <w:rPr>
                <w:rFonts w:ascii="Arial"/>
                <w:sz w:val="21"/>
              </w:rPr>
            </w:pPr>
          </w:p>
        </w:tc>
        <w:tc>
          <w:tcPr>
            <w:tcW w:w="229" w:type="dxa"/>
            <w:vAlign w:val="top"/>
          </w:tcPr>
          <w:p w14:paraId="7D726B63">
            <w:pPr>
              <w:rPr>
                <w:rFonts w:ascii="Arial"/>
                <w:sz w:val="21"/>
              </w:rPr>
            </w:pPr>
          </w:p>
        </w:tc>
        <w:tc>
          <w:tcPr>
            <w:tcW w:w="234" w:type="dxa"/>
            <w:vAlign w:val="top"/>
          </w:tcPr>
          <w:p w14:paraId="0B9DC824">
            <w:pPr>
              <w:rPr>
                <w:rFonts w:ascii="Arial"/>
                <w:sz w:val="21"/>
              </w:rPr>
            </w:pPr>
          </w:p>
        </w:tc>
      </w:tr>
      <w:tr w14:paraId="5A1B54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9" w:hRule="atLeast"/>
        </w:trPr>
        <w:tc>
          <w:tcPr>
            <w:tcW w:w="733" w:type="dxa"/>
            <w:vAlign w:val="top"/>
          </w:tcPr>
          <w:p w14:paraId="0D8B9BF0">
            <w:pPr>
              <w:pStyle w:val="6"/>
              <w:spacing w:before="132" w:line="220" w:lineRule="auto"/>
              <w:ind w:left="15"/>
              <w:rPr>
                <w:sz w:val="18"/>
                <w:szCs w:val="18"/>
              </w:rPr>
            </w:pPr>
            <w:r>
              <w:rPr>
                <w:spacing w:val="-4"/>
                <w:sz w:val="18"/>
                <w:szCs w:val="18"/>
              </w:rPr>
              <w:t>网络构成</w:t>
            </w:r>
          </w:p>
        </w:tc>
        <w:tc>
          <w:tcPr>
            <w:tcW w:w="2484" w:type="dxa"/>
            <w:vAlign w:val="top"/>
          </w:tcPr>
          <w:p w14:paraId="78D27311">
            <w:pPr>
              <w:pStyle w:val="6"/>
              <w:spacing w:before="31" w:line="204" w:lineRule="auto"/>
              <w:ind w:left="2" w:right="663"/>
              <w:rPr>
                <w:sz w:val="18"/>
                <w:szCs w:val="18"/>
              </w:rPr>
            </w:pPr>
            <w:r>
              <w:rPr>
                <w:sz w:val="18"/>
                <w:szCs w:val="18"/>
              </w:rPr>
              <w:t>1.计算机网络硬件构成</w:t>
            </w:r>
            <w:r>
              <w:rPr>
                <w:spacing w:val="7"/>
                <w:sz w:val="18"/>
                <w:szCs w:val="18"/>
              </w:rPr>
              <w:t xml:space="preserve"> </w:t>
            </w:r>
            <w:r>
              <w:rPr>
                <w:spacing w:val="-1"/>
                <w:sz w:val="18"/>
                <w:szCs w:val="18"/>
              </w:rPr>
              <w:t>2.计算机网络软件构成</w:t>
            </w:r>
          </w:p>
        </w:tc>
        <w:tc>
          <w:tcPr>
            <w:tcW w:w="220" w:type="dxa"/>
            <w:vAlign w:val="top"/>
          </w:tcPr>
          <w:p w14:paraId="55B69C71">
            <w:pPr>
              <w:rPr>
                <w:rFonts w:ascii="Arial"/>
                <w:sz w:val="21"/>
              </w:rPr>
            </w:pPr>
          </w:p>
        </w:tc>
        <w:tc>
          <w:tcPr>
            <w:tcW w:w="230" w:type="dxa"/>
            <w:vAlign w:val="top"/>
          </w:tcPr>
          <w:p w14:paraId="602BB2FD">
            <w:pPr>
              <w:rPr>
                <w:rFonts w:ascii="Arial"/>
                <w:sz w:val="21"/>
              </w:rPr>
            </w:pPr>
          </w:p>
        </w:tc>
        <w:tc>
          <w:tcPr>
            <w:tcW w:w="229" w:type="dxa"/>
            <w:vAlign w:val="top"/>
          </w:tcPr>
          <w:p w14:paraId="7A2F6FEE">
            <w:pPr>
              <w:rPr>
                <w:rFonts w:ascii="Arial"/>
                <w:sz w:val="21"/>
              </w:rPr>
            </w:pPr>
          </w:p>
        </w:tc>
        <w:tc>
          <w:tcPr>
            <w:tcW w:w="234" w:type="dxa"/>
            <w:vAlign w:val="top"/>
          </w:tcPr>
          <w:p w14:paraId="7BD8208F">
            <w:pPr>
              <w:rPr>
                <w:rFonts w:ascii="Arial"/>
                <w:sz w:val="21"/>
              </w:rPr>
            </w:pPr>
          </w:p>
        </w:tc>
      </w:tr>
      <w:tr w14:paraId="10AC08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58" w:hRule="atLeast"/>
        </w:trPr>
        <w:tc>
          <w:tcPr>
            <w:tcW w:w="733" w:type="dxa"/>
            <w:vAlign w:val="top"/>
          </w:tcPr>
          <w:p w14:paraId="0D5714C3">
            <w:pPr>
              <w:pStyle w:val="6"/>
              <w:spacing w:before="243" w:line="219" w:lineRule="auto"/>
              <w:ind w:left="15"/>
              <w:rPr>
                <w:sz w:val="18"/>
                <w:szCs w:val="18"/>
              </w:rPr>
            </w:pPr>
            <w:r>
              <w:rPr>
                <w:spacing w:val="-4"/>
                <w:sz w:val="18"/>
                <w:szCs w:val="18"/>
              </w:rPr>
              <w:t>网络类型</w:t>
            </w:r>
          </w:p>
        </w:tc>
        <w:tc>
          <w:tcPr>
            <w:tcW w:w="2484" w:type="dxa"/>
            <w:vAlign w:val="top"/>
          </w:tcPr>
          <w:p w14:paraId="3FD53489">
            <w:pPr>
              <w:pStyle w:val="6"/>
              <w:spacing w:before="42" w:line="207" w:lineRule="auto"/>
              <w:ind w:left="2" w:right="1024"/>
              <w:jc w:val="both"/>
              <w:rPr>
                <w:sz w:val="18"/>
                <w:szCs w:val="18"/>
              </w:rPr>
            </w:pPr>
            <w:r>
              <w:rPr>
                <w:sz w:val="18"/>
                <w:szCs w:val="18"/>
              </w:rPr>
              <w:t>1.按地域范围划分</w:t>
            </w:r>
            <w:r>
              <w:rPr>
                <w:spacing w:val="6"/>
                <w:sz w:val="18"/>
                <w:szCs w:val="18"/>
              </w:rPr>
              <w:t xml:space="preserve"> </w:t>
            </w:r>
            <w:r>
              <w:rPr>
                <w:spacing w:val="-2"/>
                <w:sz w:val="18"/>
                <w:szCs w:val="18"/>
              </w:rPr>
              <w:t>2.按拓扑结构划分</w:t>
            </w:r>
            <w:r>
              <w:rPr>
                <w:spacing w:val="7"/>
                <w:sz w:val="18"/>
                <w:szCs w:val="18"/>
              </w:rPr>
              <w:t xml:space="preserve"> </w:t>
            </w:r>
            <w:r>
              <w:rPr>
                <w:spacing w:val="-2"/>
                <w:sz w:val="18"/>
                <w:szCs w:val="18"/>
              </w:rPr>
              <w:t>3.按传输介质划分</w:t>
            </w:r>
          </w:p>
        </w:tc>
        <w:tc>
          <w:tcPr>
            <w:tcW w:w="220" w:type="dxa"/>
            <w:vAlign w:val="top"/>
          </w:tcPr>
          <w:p w14:paraId="71F1BD0B">
            <w:pPr>
              <w:rPr>
                <w:rFonts w:ascii="Arial"/>
                <w:sz w:val="21"/>
              </w:rPr>
            </w:pPr>
          </w:p>
        </w:tc>
        <w:tc>
          <w:tcPr>
            <w:tcW w:w="230" w:type="dxa"/>
            <w:vAlign w:val="top"/>
          </w:tcPr>
          <w:p w14:paraId="5EFDC990">
            <w:pPr>
              <w:rPr>
                <w:rFonts w:ascii="Arial"/>
                <w:sz w:val="21"/>
              </w:rPr>
            </w:pPr>
          </w:p>
        </w:tc>
        <w:tc>
          <w:tcPr>
            <w:tcW w:w="229" w:type="dxa"/>
            <w:vAlign w:val="top"/>
          </w:tcPr>
          <w:p w14:paraId="63FDCE91">
            <w:pPr>
              <w:rPr>
                <w:rFonts w:ascii="Arial"/>
                <w:sz w:val="21"/>
              </w:rPr>
            </w:pPr>
          </w:p>
        </w:tc>
        <w:tc>
          <w:tcPr>
            <w:tcW w:w="234" w:type="dxa"/>
            <w:vAlign w:val="top"/>
          </w:tcPr>
          <w:p w14:paraId="1A041E4F">
            <w:pPr>
              <w:rPr>
                <w:rFonts w:ascii="Arial"/>
                <w:sz w:val="21"/>
              </w:rPr>
            </w:pPr>
          </w:p>
        </w:tc>
      </w:tr>
      <w:tr w14:paraId="72F958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9" w:hRule="atLeast"/>
        </w:trPr>
        <w:tc>
          <w:tcPr>
            <w:tcW w:w="733" w:type="dxa"/>
            <w:vAlign w:val="top"/>
          </w:tcPr>
          <w:p w14:paraId="2B6C4DE2">
            <w:pPr>
              <w:pStyle w:val="6"/>
              <w:spacing w:before="46" w:line="191" w:lineRule="auto"/>
              <w:ind w:left="175" w:right="9" w:hanging="160"/>
              <w:rPr>
                <w:sz w:val="18"/>
                <w:szCs w:val="18"/>
              </w:rPr>
            </w:pPr>
            <w:r>
              <w:rPr>
                <w:spacing w:val="-6"/>
                <w:sz w:val="18"/>
                <w:szCs w:val="18"/>
              </w:rPr>
              <w:t>网络体系</w:t>
            </w:r>
            <w:r>
              <w:rPr>
                <w:spacing w:val="1"/>
                <w:sz w:val="18"/>
                <w:szCs w:val="18"/>
              </w:rPr>
              <w:t xml:space="preserve"> </w:t>
            </w:r>
            <w:r>
              <w:rPr>
                <w:spacing w:val="5"/>
                <w:sz w:val="18"/>
                <w:szCs w:val="18"/>
              </w:rPr>
              <w:t>结构</w:t>
            </w:r>
          </w:p>
        </w:tc>
        <w:tc>
          <w:tcPr>
            <w:tcW w:w="2484" w:type="dxa"/>
            <w:vAlign w:val="top"/>
          </w:tcPr>
          <w:p w14:paraId="7BB45FDE">
            <w:pPr>
              <w:pStyle w:val="6"/>
              <w:spacing w:before="34" w:line="197" w:lineRule="auto"/>
              <w:ind w:left="2" w:right="1020"/>
              <w:rPr>
                <w:sz w:val="18"/>
                <w:szCs w:val="18"/>
              </w:rPr>
            </w:pPr>
            <w:r>
              <w:rPr>
                <w:spacing w:val="1"/>
                <w:sz w:val="18"/>
                <w:szCs w:val="18"/>
              </w:rPr>
              <w:t>1.</w:t>
            </w:r>
            <w:r>
              <w:rPr>
                <w:sz w:val="18"/>
                <w:szCs w:val="18"/>
              </w:rPr>
              <w:t>ISO</w:t>
            </w:r>
            <w:r>
              <w:rPr>
                <w:spacing w:val="1"/>
                <w:sz w:val="18"/>
                <w:szCs w:val="18"/>
              </w:rPr>
              <w:t xml:space="preserve"> </w:t>
            </w:r>
            <w:r>
              <w:rPr>
                <w:sz w:val="18"/>
                <w:szCs w:val="18"/>
              </w:rPr>
              <w:t>OSI</w:t>
            </w:r>
            <w:r>
              <w:rPr>
                <w:spacing w:val="1"/>
                <w:sz w:val="18"/>
                <w:szCs w:val="18"/>
              </w:rPr>
              <w:t>/</w:t>
            </w:r>
            <w:r>
              <w:rPr>
                <w:sz w:val="18"/>
                <w:szCs w:val="18"/>
              </w:rPr>
              <w:t>RM</w:t>
            </w:r>
            <w:r>
              <w:rPr>
                <w:spacing w:val="1"/>
                <w:sz w:val="18"/>
                <w:szCs w:val="18"/>
              </w:rPr>
              <w:t>模型</w:t>
            </w:r>
            <w:r>
              <w:rPr>
                <w:spacing w:val="4"/>
                <w:sz w:val="18"/>
                <w:szCs w:val="18"/>
              </w:rPr>
              <w:t xml:space="preserve"> </w:t>
            </w:r>
            <w:r>
              <w:rPr>
                <w:spacing w:val="2"/>
                <w:sz w:val="18"/>
                <w:szCs w:val="18"/>
              </w:rPr>
              <w:t>2.</w:t>
            </w:r>
            <w:r>
              <w:rPr>
                <w:sz w:val="18"/>
                <w:szCs w:val="18"/>
              </w:rPr>
              <w:t>TCP</w:t>
            </w:r>
            <w:r>
              <w:rPr>
                <w:spacing w:val="2"/>
                <w:sz w:val="18"/>
                <w:szCs w:val="18"/>
              </w:rPr>
              <w:t>/</w:t>
            </w:r>
            <w:r>
              <w:rPr>
                <w:sz w:val="18"/>
                <w:szCs w:val="18"/>
              </w:rPr>
              <w:t>IP</w:t>
            </w:r>
            <w:r>
              <w:rPr>
                <w:spacing w:val="2"/>
                <w:sz w:val="18"/>
                <w:szCs w:val="18"/>
              </w:rPr>
              <w:t>模型</w:t>
            </w:r>
          </w:p>
        </w:tc>
        <w:tc>
          <w:tcPr>
            <w:tcW w:w="220" w:type="dxa"/>
            <w:vAlign w:val="top"/>
          </w:tcPr>
          <w:p w14:paraId="4F56C35A">
            <w:pPr>
              <w:rPr>
                <w:rFonts w:ascii="Arial"/>
                <w:sz w:val="21"/>
              </w:rPr>
            </w:pPr>
          </w:p>
        </w:tc>
        <w:tc>
          <w:tcPr>
            <w:tcW w:w="230" w:type="dxa"/>
            <w:vAlign w:val="top"/>
          </w:tcPr>
          <w:p w14:paraId="0ABAAC12">
            <w:pPr>
              <w:rPr>
                <w:rFonts w:ascii="Arial"/>
                <w:sz w:val="21"/>
              </w:rPr>
            </w:pPr>
          </w:p>
        </w:tc>
        <w:tc>
          <w:tcPr>
            <w:tcW w:w="229" w:type="dxa"/>
            <w:vAlign w:val="top"/>
          </w:tcPr>
          <w:p w14:paraId="642543A2">
            <w:pPr>
              <w:rPr>
                <w:rFonts w:ascii="Arial"/>
                <w:sz w:val="21"/>
              </w:rPr>
            </w:pPr>
          </w:p>
        </w:tc>
        <w:tc>
          <w:tcPr>
            <w:tcW w:w="234" w:type="dxa"/>
            <w:vAlign w:val="top"/>
          </w:tcPr>
          <w:p w14:paraId="59805B77">
            <w:pPr>
              <w:rPr>
                <w:rFonts w:ascii="Arial"/>
                <w:sz w:val="21"/>
              </w:rPr>
            </w:pPr>
          </w:p>
        </w:tc>
      </w:tr>
      <w:tr w14:paraId="22BA9F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63" w:hRule="atLeast"/>
        </w:trPr>
        <w:tc>
          <w:tcPr>
            <w:tcW w:w="733" w:type="dxa"/>
            <w:vAlign w:val="top"/>
          </w:tcPr>
          <w:p w14:paraId="082CC3B7">
            <w:pPr>
              <w:pStyle w:val="6"/>
              <w:spacing w:before="246" w:line="220" w:lineRule="auto"/>
              <w:ind w:left="15"/>
              <w:rPr>
                <w:sz w:val="18"/>
                <w:szCs w:val="18"/>
              </w:rPr>
            </w:pPr>
            <w:r>
              <w:rPr>
                <w:spacing w:val="-4"/>
                <w:sz w:val="18"/>
                <w:szCs w:val="18"/>
              </w:rPr>
              <w:t>网络拓扑</w:t>
            </w:r>
          </w:p>
        </w:tc>
        <w:tc>
          <w:tcPr>
            <w:tcW w:w="2484" w:type="dxa"/>
            <w:vAlign w:val="top"/>
          </w:tcPr>
          <w:p w14:paraId="36B1F1BF">
            <w:pPr>
              <w:pStyle w:val="6"/>
              <w:spacing w:before="35" w:line="211" w:lineRule="auto"/>
              <w:ind w:left="2" w:right="120"/>
              <w:jc w:val="both"/>
              <w:rPr>
                <w:sz w:val="18"/>
                <w:szCs w:val="18"/>
              </w:rPr>
            </w:pPr>
            <w:r>
              <w:rPr>
                <w:sz w:val="18"/>
                <w:szCs w:val="18"/>
              </w:rPr>
              <w:t>1.计算机网络拓扑结构的定义</w:t>
            </w:r>
            <w:r>
              <w:rPr>
                <w:spacing w:val="8"/>
                <w:sz w:val="18"/>
                <w:szCs w:val="18"/>
              </w:rPr>
              <w:t xml:space="preserve"> </w:t>
            </w:r>
            <w:r>
              <w:rPr>
                <w:sz w:val="18"/>
                <w:szCs w:val="18"/>
              </w:rPr>
              <w:t>2.计算机网络拓扑结构的类型</w:t>
            </w:r>
            <w:r>
              <w:rPr>
                <w:spacing w:val="10"/>
                <w:sz w:val="18"/>
                <w:szCs w:val="18"/>
              </w:rPr>
              <w:t xml:space="preserve"> </w:t>
            </w:r>
            <w:r>
              <w:rPr>
                <w:spacing w:val="1"/>
                <w:sz w:val="18"/>
                <w:szCs w:val="18"/>
              </w:rPr>
              <w:t>3.基本网络拓扑结构的特点</w:t>
            </w:r>
          </w:p>
        </w:tc>
        <w:tc>
          <w:tcPr>
            <w:tcW w:w="220" w:type="dxa"/>
            <w:vAlign w:val="top"/>
          </w:tcPr>
          <w:p w14:paraId="46E47262">
            <w:pPr>
              <w:rPr>
                <w:rFonts w:ascii="Arial"/>
                <w:sz w:val="21"/>
              </w:rPr>
            </w:pPr>
          </w:p>
        </w:tc>
        <w:tc>
          <w:tcPr>
            <w:tcW w:w="230" w:type="dxa"/>
            <w:vAlign w:val="top"/>
          </w:tcPr>
          <w:p w14:paraId="3A348648">
            <w:pPr>
              <w:rPr>
                <w:rFonts w:ascii="Arial"/>
                <w:sz w:val="21"/>
              </w:rPr>
            </w:pPr>
          </w:p>
        </w:tc>
        <w:tc>
          <w:tcPr>
            <w:tcW w:w="229" w:type="dxa"/>
            <w:vAlign w:val="top"/>
          </w:tcPr>
          <w:p w14:paraId="5C4735FE">
            <w:pPr>
              <w:rPr>
                <w:rFonts w:ascii="Arial"/>
                <w:sz w:val="21"/>
              </w:rPr>
            </w:pPr>
          </w:p>
        </w:tc>
        <w:tc>
          <w:tcPr>
            <w:tcW w:w="234" w:type="dxa"/>
            <w:vAlign w:val="top"/>
          </w:tcPr>
          <w:p w14:paraId="51072775">
            <w:pPr>
              <w:rPr>
                <w:rFonts w:ascii="Arial"/>
                <w:sz w:val="21"/>
              </w:rPr>
            </w:pPr>
          </w:p>
        </w:tc>
      </w:tr>
    </w:tbl>
    <w:p w14:paraId="2C2361E7">
      <w:pPr>
        <w:spacing w:before="153" w:line="219" w:lineRule="auto"/>
        <w:ind w:left="450"/>
        <w:rPr>
          <w:rFonts w:ascii="宋体" w:hAnsi="宋体" w:eastAsia="宋体" w:cs="宋体"/>
          <w:sz w:val="17"/>
          <w:szCs w:val="17"/>
        </w:rPr>
      </w:pPr>
      <w:r>
        <w:rPr>
          <w:rFonts w:ascii="宋体" w:hAnsi="宋体" w:eastAsia="宋体" w:cs="宋体"/>
          <w:spacing w:val="13"/>
          <w:sz w:val="17"/>
          <w:szCs w:val="17"/>
        </w:rPr>
        <w:t>(二)数据通信基础</w:t>
      </w:r>
    </w:p>
    <w:p w14:paraId="6549FE6B">
      <w:pPr>
        <w:spacing w:line="156" w:lineRule="exact"/>
      </w:pPr>
    </w:p>
    <w:tbl>
      <w:tblPr>
        <w:tblStyle w:val="5"/>
        <w:tblW w:w="4130" w:type="dxa"/>
        <w:tblInd w:w="2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23"/>
        <w:gridCol w:w="2494"/>
        <w:gridCol w:w="220"/>
        <w:gridCol w:w="229"/>
        <w:gridCol w:w="229"/>
        <w:gridCol w:w="235"/>
      </w:tblGrid>
      <w:tr w14:paraId="5012D3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0" w:hRule="atLeast"/>
        </w:trPr>
        <w:tc>
          <w:tcPr>
            <w:tcW w:w="723" w:type="dxa"/>
            <w:vMerge w:val="restart"/>
            <w:tcBorders>
              <w:top w:val="single" w:color="000000" w:sz="2" w:space="0"/>
              <w:bottom w:val="nil"/>
            </w:tcBorders>
            <w:vAlign w:val="top"/>
          </w:tcPr>
          <w:p w14:paraId="6FC015CB">
            <w:pPr>
              <w:pStyle w:val="6"/>
              <w:spacing w:before="17" w:line="190" w:lineRule="auto"/>
              <w:ind w:left="57" w:right="2" w:hanging="40"/>
              <w:rPr>
                <w:sz w:val="20"/>
                <w:szCs w:val="20"/>
              </w:rPr>
            </w:pPr>
            <w:r>
              <w:rPr>
                <w:b/>
                <w:bCs/>
                <w:spacing w:val="-22"/>
                <w:w w:val="95"/>
                <w:sz w:val="20"/>
                <w:szCs w:val="20"/>
              </w:rPr>
              <w:t>知</w:t>
            </w:r>
            <w:r>
              <w:rPr>
                <w:b/>
                <w:bCs/>
                <w:spacing w:val="-21"/>
                <w:w w:val="95"/>
                <w:sz w:val="20"/>
                <w:szCs w:val="20"/>
              </w:rPr>
              <w:t>识与</w:t>
            </w:r>
            <w:r>
              <w:rPr>
                <w:b/>
                <w:bCs/>
                <w:spacing w:val="-12"/>
                <w:w w:val="95"/>
                <w:sz w:val="20"/>
                <w:szCs w:val="20"/>
              </w:rPr>
              <w:t>技</w:t>
            </w:r>
            <w:r>
              <w:rPr>
                <w:sz w:val="20"/>
                <w:szCs w:val="20"/>
              </w:rPr>
              <w:t xml:space="preserve"> </w:t>
            </w:r>
            <w:r>
              <w:rPr>
                <w:b/>
                <w:bCs/>
                <w:spacing w:val="1"/>
                <w:sz w:val="20"/>
                <w:szCs w:val="20"/>
              </w:rPr>
              <w:t>能要点</w:t>
            </w:r>
          </w:p>
        </w:tc>
        <w:tc>
          <w:tcPr>
            <w:tcW w:w="2494" w:type="dxa"/>
            <w:vMerge w:val="restart"/>
            <w:tcBorders>
              <w:top w:val="single" w:color="000000" w:sz="2" w:space="0"/>
              <w:bottom w:val="nil"/>
            </w:tcBorders>
            <w:vAlign w:val="top"/>
          </w:tcPr>
          <w:p w14:paraId="38603D0F">
            <w:pPr>
              <w:pStyle w:val="6"/>
              <w:spacing w:before="125" w:line="219" w:lineRule="auto"/>
              <w:ind w:left="924"/>
              <w:rPr>
                <w:sz w:val="20"/>
                <w:szCs w:val="20"/>
              </w:rPr>
            </w:pPr>
            <w:r>
              <w:rPr>
                <w:b/>
                <w:bCs/>
                <w:spacing w:val="5"/>
                <w:sz w:val="20"/>
                <w:szCs w:val="20"/>
              </w:rPr>
              <w:t>考试条目</w:t>
            </w:r>
          </w:p>
        </w:tc>
        <w:tc>
          <w:tcPr>
            <w:tcW w:w="913" w:type="dxa"/>
            <w:gridSpan w:val="4"/>
            <w:tcBorders>
              <w:top w:val="single" w:color="000000" w:sz="2" w:space="0"/>
              <w:bottom w:val="single" w:color="000000" w:sz="2" w:space="0"/>
            </w:tcBorders>
            <w:vAlign w:val="top"/>
          </w:tcPr>
          <w:p w14:paraId="7E306D7E">
            <w:pPr>
              <w:pStyle w:val="6"/>
              <w:spacing w:before="34" w:line="171" w:lineRule="auto"/>
              <w:jc w:val="right"/>
              <w:rPr>
                <w:sz w:val="20"/>
                <w:szCs w:val="20"/>
              </w:rPr>
            </w:pPr>
            <w:r>
              <w:rPr>
                <w:b/>
                <w:bCs/>
                <w:spacing w:val="-7"/>
                <w:sz w:val="20"/>
                <w:szCs w:val="20"/>
              </w:rPr>
              <w:t>考试水平</w:t>
            </w:r>
          </w:p>
        </w:tc>
      </w:tr>
      <w:tr w14:paraId="42D8A7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4" w:hRule="atLeast"/>
        </w:trPr>
        <w:tc>
          <w:tcPr>
            <w:tcW w:w="723" w:type="dxa"/>
            <w:vMerge w:val="continue"/>
            <w:tcBorders>
              <w:top w:val="nil"/>
              <w:bottom w:val="single" w:color="000000" w:sz="2" w:space="0"/>
            </w:tcBorders>
            <w:vAlign w:val="top"/>
          </w:tcPr>
          <w:p w14:paraId="61417BAD">
            <w:pPr>
              <w:rPr>
                <w:rFonts w:ascii="Arial"/>
                <w:sz w:val="21"/>
              </w:rPr>
            </w:pPr>
          </w:p>
        </w:tc>
        <w:tc>
          <w:tcPr>
            <w:tcW w:w="2494" w:type="dxa"/>
            <w:vMerge w:val="continue"/>
            <w:tcBorders>
              <w:top w:val="nil"/>
              <w:bottom w:val="single" w:color="000000" w:sz="2" w:space="0"/>
            </w:tcBorders>
            <w:vAlign w:val="top"/>
          </w:tcPr>
          <w:p w14:paraId="5F66B28A">
            <w:pPr>
              <w:rPr>
                <w:rFonts w:ascii="Arial"/>
                <w:sz w:val="21"/>
              </w:rPr>
            </w:pPr>
          </w:p>
        </w:tc>
        <w:tc>
          <w:tcPr>
            <w:tcW w:w="220" w:type="dxa"/>
            <w:tcBorders>
              <w:top w:val="single" w:color="000000" w:sz="2" w:space="0"/>
              <w:bottom w:val="single" w:color="000000" w:sz="2" w:space="0"/>
            </w:tcBorders>
            <w:vAlign w:val="top"/>
          </w:tcPr>
          <w:p w14:paraId="2E7ADE49">
            <w:pPr>
              <w:pStyle w:val="6"/>
              <w:spacing w:before="62" w:line="132" w:lineRule="exact"/>
              <w:ind w:left="20"/>
              <w:rPr>
                <w:sz w:val="20"/>
                <w:szCs w:val="20"/>
              </w:rPr>
            </w:pPr>
            <w:r>
              <w:rPr>
                <w:b/>
                <w:bCs/>
                <w:spacing w:val="-3"/>
                <w:position w:val="-3"/>
                <w:sz w:val="20"/>
                <w:szCs w:val="20"/>
              </w:rPr>
              <w:t>A</w:t>
            </w:r>
          </w:p>
        </w:tc>
        <w:tc>
          <w:tcPr>
            <w:tcW w:w="229" w:type="dxa"/>
            <w:tcBorders>
              <w:top w:val="single" w:color="000000" w:sz="2" w:space="0"/>
              <w:bottom w:val="single" w:color="000000" w:sz="2" w:space="0"/>
            </w:tcBorders>
            <w:vAlign w:val="top"/>
          </w:tcPr>
          <w:p w14:paraId="3D62A07A">
            <w:pPr>
              <w:pStyle w:val="6"/>
              <w:spacing w:before="65" w:line="129" w:lineRule="exact"/>
              <w:ind w:left="40"/>
              <w:rPr>
                <w:sz w:val="20"/>
                <w:szCs w:val="20"/>
              </w:rPr>
            </w:pPr>
            <w:r>
              <w:rPr>
                <w:b/>
                <w:bCs/>
                <w:spacing w:val="-3"/>
                <w:position w:val="-3"/>
                <w:sz w:val="20"/>
                <w:szCs w:val="20"/>
              </w:rPr>
              <w:t>B</w:t>
            </w:r>
          </w:p>
        </w:tc>
        <w:tc>
          <w:tcPr>
            <w:tcW w:w="229" w:type="dxa"/>
            <w:tcBorders>
              <w:top w:val="single" w:color="000000" w:sz="2" w:space="0"/>
              <w:bottom w:val="single" w:color="000000" w:sz="2" w:space="0"/>
            </w:tcBorders>
            <w:vAlign w:val="top"/>
          </w:tcPr>
          <w:p w14:paraId="24AB10F7">
            <w:pPr>
              <w:pStyle w:val="6"/>
              <w:spacing w:before="64" w:line="130" w:lineRule="exact"/>
              <w:ind w:left="28"/>
              <w:rPr>
                <w:sz w:val="20"/>
                <w:szCs w:val="20"/>
              </w:rPr>
            </w:pPr>
            <w:r>
              <w:rPr>
                <w:position w:val="-3"/>
                <w:sz w:val="20"/>
                <w:szCs w:val="20"/>
              </w:rPr>
              <w:t>C</w:t>
            </w:r>
          </w:p>
        </w:tc>
        <w:tc>
          <w:tcPr>
            <w:tcW w:w="235" w:type="dxa"/>
            <w:tcBorders>
              <w:top w:val="single" w:color="000000" w:sz="2" w:space="0"/>
              <w:bottom w:val="single" w:color="000000" w:sz="2" w:space="0"/>
            </w:tcBorders>
            <w:vAlign w:val="top"/>
          </w:tcPr>
          <w:p w14:paraId="318DA717">
            <w:pPr>
              <w:pStyle w:val="6"/>
              <w:spacing w:before="65" w:line="129" w:lineRule="exact"/>
              <w:ind w:left="22"/>
              <w:rPr>
                <w:sz w:val="20"/>
                <w:szCs w:val="20"/>
              </w:rPr>
            </w:pPr>
            <w:r>
              <w:rPr>
                <w:b/>
                <w:bCs/>
                <w:spacing w:val="-3"/>
                <w:position w:val="-3"/>
                <w:sz w:val="20"/>
                <w:szCs w:val="20"/>
              </w:rPr>
              <w:t>D</w:t>
            </w:r>
          </w:p>
        </w:tc>
      </w:tr>
      <w:tr w14:paraId="4FA29A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43" w:hRule="atLeast"/>
        </w:trPr>
        <w:tc>
          <w:tcPr>
            <w:tcW w:w="723" w:type="dxa"/>
            <w:tcBorders>
              <w:top w:val="single" w:color="000000" w:sz="2" w:space="0"/>
              <w:bottom w:val="single" w:color="000000" w:sz="2" w:space="0"/>
            </w:tcBorders>
            <w:vAlign w:val="top"/>
          </w:tcPr>
          <w:p w14:paraId="576201D1">
            <w:pPr>
              <w:spacing w:line="262" w:lineRule="auto"/>
              <w:rPr>
                <w:rFonts w:ascii="Arial"/>
                <w:sz w:val="21"/>
              </w:rPr>
            </w:pPr>
          </w:p>
          <w:p w14:paraId="1AE38B6D">
            <w:pPr>
              <w:spacing w:line="263" w:lineRule="auto"/>
              <w:rPr>
                <w:rFonts w:ascii="Arial"/>
                <w:sz w:val="21"/>
              </w:rPr>
            </w:pPr>
          </w:p>
          <w:p w14:paraId="094638B2">
            <w:pPr>
              <w:pStyle w:val="6"/>
              <w:spacing w:before="65" w:line="211" w:lineRule="auto"/>
              <w:ind w:left="155" w:right="144"/>
              <w:rPr>
                <w:sz w:val="20"/>
                <w:szCs w:val="20"/>
              </w:rPr>
            </w:pPr>
            <w:r>
              <w:rPr>
                <w:spacing w:val="5"/>
                <w:sz w:val="20"/>
                <w:szCs w:val="20"/>
              </w:rPr>
              <w:t>数据</w:t>
            </w:r>
            <w:r>
              <w:rPr>
                <w:sz w:val="20"/>
                <w:szCs w:val="20"/>
              </w:rPr>
              <w:t xml:space="preserve"> </w:t>
            </w:r>
            <w:r>
              <w:rPr>
                <w:spacing w:val="6"/>
                <w:sz w:val="20"/>
                <w:szCs w:val="20"/>
              </w:rPr>
              <w:t>通信</w:t>
            </w:r>
          </w:p>
        </w:tc>
        <w:tc>
          <w:tcPr>
            <w:tcW w:w="2494" w:type="dxa"/>
            <w:tcBorders>
              <w:top w:val="single" w:color="000000" w:sz="2" w:space="0"/>
              <w:bottom w:val="single" w:color="000000" w:sz="2" w:space="0"/>
            </w:tcBorders>
            <w:vAlign w:val="top"/>
          </w:tcPr>
          <w:p w14:paraId="61BEE2DF">
            <w:pPr>
              <w:pStyle w:val="6"/>
              <w:spacing w:before="43" w:line="203" w:lineRule="auto"/>
              <w:ind w:left="12" w:right="851" w:firstLine="10"/>
              <w:rPr>
                <w:sz w:val="20"/>
                <w:szCs w:val="20"/>
              </w:rPr>
            </w:pPr>
            <w:r>
              <w:rPr>
                <w:spacing w:val="1"/>
                <w:sz w:val="20"/>
                <w:szCs w:val="20"/>
              </w:rPr>
              <w:t>1.数据通信的定义</w:t>
            </w:r>
            <w:r>
              <w:rPr>
                <w:sz w:val="20"/>
                <w:szCs w:val="20"/>
              </w:rPr>
              <w:t xml:space="preserve"> </w:t>
            </w:r>
            <w:r>
              <w:rPr>
                <w:spacing w:val="1"/>
                <w:sz w:val="20"/>
                <w:szCs w:val="20"/>
              </w:rPr>
              <w:t>2.数据通信的目的</w:t>
            </w:r>
          </w:p>
          <w:p w14:paraId="6C87E589">
            <w:pPr>
              <w:pStyle w:val="6"/>
              <w:spacing w:line="207" w:lineRule="auto"/>
              <w:ind w:left="12" w:right="63"/>
              <w:rPr>
                <w:sz w:val="20"/>
                <w:szCs w:val="20"/>
              </w:rPr>
            </w:pPr>
            <w:r>
              <w:rPr>
                <w:sz w:val="20"/>
                <w:szCs w:val="20"/>
              </w:rPr>
              <w:t>3.信息、数据和信号的概念</w:t>
            </w:r>
            <w:r>
              <w:rPr>
                <w:spacing w:val="7"/>
                <w:sz w:val="20"/>
                <w:szCs w:val="20"/>
              </w:rPr>
              <w:t xml:space="preserve"> </w:t>
            </w:r>
            <w:r>
              <w:rPr>
                <w:spacing w:val="-1"/>
                <w:sz w:val="20"/>
                <w:szCs w:val="20"/>
              </w:rPr>
              <w:t>4.数据通信技术指标</w:t>
            </w:r>
          </w:p>
          <w:p w14:paraId="03692587">
            <w:pPr>
              <w:pStyle w:val="6"/>
              <w:spacing w:before="2" w:line="197" w:lineRule="auto"/>
              <w:ind w:left="12" w:right="1071"/>
              <w:jc w:val="both"/>
              <w:rPr>
                <w:sz w:val="18"/>
                <w:szCs w:val="18"/>
              </w:rPr>
            </w:pPr>
            <w:r>
              <w:rPr>
                <w:spacing w:val="-2"/>
                <w:sz w:val="20"/>
                <w:szCs w:val="20"/>
              </w:rPr>
              <w:t>5.数据传输方式</w:t>
            </w:r>
            <w:r>
              <w:rPr>
                <w:spacing w:val="3"/>
                <w:sz w:val="20"/>
                <w:szCs w:val="20"/>
              </w:rPr>
              <w:t xml:space="preserve"> </w:t>
            </w:r>
            <w:r>
              <w:rPr>
                <w:spacing w:val="17"/>
                <w:sz w:val="18"/>
                <w:szCs w:val="18"/>
              </w:rPr>
              <w:t>6.数据传输介质</w:t>
            </w:r>
            <w:r>
              <w:rPr>
                <w:spacing w:val="3"/>
                <w:sz w:val="18"/>
                <w:szCs w:val="18"/>
              </w:rPr>
              <w:t xml:space="preserve"> </w:t>
            </w:r>
            <w:r>
              <w:rPr>
                <w:spacing w:val="15"/>
                <w:sz w:val="18"/>
                <w:szCs w:val="18"/>
              </w:rPr>
              <w:t>7.数据交换方式</w:t>
            </w:r>
          </w:p>
        </w:tc>
        <w:tc>
          <w:tcPr>
            <w:tcW w:w="220" w:type="dxa"/>
            <w:tcBorders>
              <w:top w:val="single" w:color="000000" w:sz="2" w:space="0"/>
              <w:bottom w:val="single" w:color="000000" w:sz="2" w:space="0"/>
            </w:tcBorders>
            <w:vAlign w:val="top"/>
          </w:tcPr>
          <w:p w14:paraId="4FB09BF5">
            <w:pPr>
              <w:rPr>
                <w:rFonts w:ascii="Arial"/>
                <w:sz w:val="21"/>
              </w:rPr>
            </w:pPr>
          </w:p>
        </w:tc>
        <w:tc>
          <w:tcPr>
            <w:tcW w:w="229" w:type="dxa"/>
            <w:tcBorders>
              <w:top w:val="single" w:color="000000" w:sz="2" w:space="0"/>
              <w:bottom w:val="single" w:color="000000" w:sz="2" w:space="0"/>
            </w:tcBorders>
            <w:vAlign w:val="top"/>
          </w:tcPr>
          <w:p w14:paraId="24B10FFE">
            <w:pPr>
              <w:rPr>
                <w:rFonts w:ascii="Arial"/>
                <w:sz w:val="21"/>
              </w:rPr>
            </w:pPr>
          </w:p>
        </w:tc>
        <w:tc>
          <w:tcPr>
            <w:tcW w:w="229" w:type="dxa"/>
            <w:tcBorders>
              <w:top w:val="single" w:color="000000" w:sz="2" w:space="0"/>
              <w:bottom w:val="single" w:color="000000" w:sz="2" w:space="0"/>
            </w:tcBorders>
            <w:vAlign w:val="top"/>
          </w:tcPr>
          <w:p w14:paraId="7ADAD167">
            <w:pPr>
              <w:rPr>
                <w:rFonts w:ascii="Arial"/>
                <w:sz w:val="21"/>
              </w:rPr>
            </w:pPr>
          </w:p>
        </w:tc>
        <w:tc>
          <w:tcPr>
            <w:tcW w:w="235" w:type="dxa"/>
            <w:tcBorders>
              <w:top w:val="single" w:color="000000" w:sz="2" w:space="0"/>
              <w:bottom w:val="single" w:color="000000" w:sz="2" w:space="0"/>
            </w:tcBorders>
            <w:vAlign w:val="top"/>
          </w:tcPr>
          <w:p w14:paraId="323C8C63">
            <w:pPr>
              <w:rPr>
                <w:rFonts w:ascii="Arial"/>
                <w:sz w:val="21"/>
              </w:rPr>
            </w:pPr>
          </w:p>
        </w:tc>
      </w:tr>
      <w:tr w14:paraId="757390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56" w:hRule="atLeast"/>
        </w:trPr>
        <w:tc>
          <w:tcPr>
            <w:tcW w:w="723" w:type="dxa"/>
            <w:tcBorders>
              <w:top w:val="single" w:color="000000" w:sz="2" w:space="0"/>
              <w:bottom w:val="single" w:color="000000" w:sz="2" w:space="0"/>
            </w:tcBorders>
            <w:vAlign w:val="top"/>
          </w:tcPr>
          <w:p w14:paraId="78667098">
            <w:pPr>
              <w:spacing w:line="259" w:lineRule="auto"/>
              <w:rPr>
                <w:rFonts w:ascii="Arial"/>
                <w:sz w:val="21"/>
              </w:rPr>
            </w:pPr>
          </w:p>
          <w:p w14:paraId="789EC597">
            <w:pPr>
              <w:spacing w:line="259" w:lineRule="auto"/>
              <w:rPr>
                <w:rFonts w:ascii="Arial"/>
                <w:sz w:val="21"/>
              </w:rPr>
            </w:pPr>
          </w:p>
          <w:p w14:paraId="24DD9E40">
            <w:pPr>
              <w:spacing w:line="259" w:lineRule="auto"/>
              <w:rPr>
                <w:rFonts w:ascii="Arial"/>
                <w:sz w:val="21"/>
              </w:rPr>
            </w:pPr>
          </w:p>
          <w:p w14:paraId="6895B76B">
            <w:pPr>
              <w:spacing w:line="260" w:lineRule="auto"/>
              <w:rPr>
                <w:rFonts w:ascii="Arial"/>
                <w:sz w:val="21"/>
              </w:rPr>
            </w:pPr>
          </w:p>
          <w:p w14:paraId="3C97A2DE">
            <w:pPr>
              <w:pStyle w:val="6"/>
              <w:spacing w:before="65" w:line="210" w:lineRule="auto"/>
              <w:ind w:left="155" w:right="148"/>
              <w:rPr>
                <w:sz w:val="20"/>
                <w:szCs w:val="20"/>
              </w:rPr>
            </w:pPr>
            <w:r>
              <w:rPr>
                <w:spacing w:val="4"/>
                <w:sz w:val="20"/>
                <w:szCs w:val="20"/>
              </w:rPr>
              <w:t>网络</w:t>
            </w:r>
            <w:r>
              <w:rPr>
                <w:sz w:val="20"/>
                <w:szCs w:val="20"/>
              </w:rPr>
              <w:t xml:space="preserve"> </w:t>
            </w:r>
            <w:r>
              <w:rPr>
                <w:spacing w:val="-3"/>
                <w:sz w:val="20"/>
                <w:szCs w:val="20"/>
              </w:rPr>
              <w:t>协议</w:t>
            </w:r>
          </w:p>
        </w:tc>
        <w:tc>
          <w:tcPr>
            <w:tcW w:w="2494" w:type="dxa"/>
            <w:tcBorders>
              <w:top w:val="single" w:color="000000" w:sz="2" w:space="0"/>
              <w:bottom w:val="single" w:color="000000" w:sz="2" w:space="0"/>
            </w:tcBorders>
            <w:vAlign w:val="top"/>
          </w:tcPr>
          <w:p w14:paraId="346FF25B">
            <w:pPr>
              <w:pStyle w:val="6"/>
              <w:spacing w:before="116" w:line="197" w:lineRule="auto"/>
              <w:ind w:left="12" w:right="248" w:firstLine="10"/>
              <w:rPr>
                <w:sz w:val="20"/>
                <w:szCs w:val="20"/>
              </w:rPr>
            </w:pPr>
            <w:r>
              <w:rPr>
                <w:spacing w:val="1"/>
                <w:sz w:val="20"/>
                <w:szCs w:val="20"/>
              </w:rPr>
              <w:t>1.</w:t>
            </w:r>
            <w:r>
              <w:rPr>
                <w:sz w:val="20"/>
                <w:szCs w:val="20"/>
              </w:rPr>
              <w:t>TCP</w:t>
            </w:r>
            <w:r>
              <w:rPr>
                <w:spacing w:val="1"/>
                <w:sz w:val="20"/>
                <w:szCs w:val="20"/>
              </w:rPr>
              <w:t>/</w:t>
            </w:r>
            <w:r>
              <w:rPr>
                <w:sz w:val="20"/>
                <w:szCs w:val="20"/>
              </w:rPr>
              <w:t>IP</w:t>
            </w:r>
            <w:r>
              <w:rPr>
                <w:spacing w:val="1"/>
                <w:sz w:val="20"/>
                <w:szCs w:val="20"/>
              </w:rPr>
              <w:t>协议的层次结构</w:t>
            </w:r>
            <w:r>
              <w:rPr>
                <w:spacing w:val="2"/>
                <w:sz w:val="20"/>
                <w:szCs w:val="20"/>
              </w:rPr>
              <w:t xml:space="preserve"> </w:t>
            </w:r>
            <w:r>
              <w:rPr>
                <w:spacing w:val="-1"/>
                <w:sz w:val="20"/>
                <w:szCs w:val="20"/>
              </w:rPr>
              <w:t>2.网络层协议</w:t>
            </w:r>
          </w:p>
          <w:p w14:paraId="6AB0CED8">
            <w:pPr>
              <w:pStyle w:val="6"/>
              <w:spacing w:line="212" w:lineRule="auto"/>
              <w:ind w:left="232"/>
              <w:rPr>
                <w:sz w:val="20"/>
                <w:szCs w:val="20"/>
              </w:rPr>
            </w:pPr>
            <w:r>
              <w:rPr>
                <w:spacing w:val="-2"/>
                <w:sz w:val="20"/>
                <w:szCs w:val="20"/>
              </w:rPr>
              <w:t>①IP协议</w:t>
            </w:r>
          </w:p>
          <w:p w14:paraId="0C78DC81">
            <w:pPr>
              <w:pStyle w:val="6"/>
              <w:spacing w:line="212" w:lineRule="auto"/>
              <w:ind w:left="232"/>
              <w:rPr>
                <w:sz w:val="20"/>
                <w:szCs w:val="20"/>
              </w:rPr>
            </w:pPr>
            <w:r>
              <w:rPr>
                <w:spacing w:val="-1"/>
                <w:sz w:val="20"/>
                <w:szCs w:val="20"/>
              </w:rPr>
              <w:t>②ICMP协议</w:t>
            </w:r>
          </w:p>
          <w:p w14:paraId="1DF620DF">
            <w:pPr>
              <w:pStyle w:val="6"/>
              <w:spacing w:line="193" w:lineRule="auto"/>
              <w:ind w:left="232"/>
              <w:rPr>
                <w:sz w:val="20"/>
                <w:szCs w:val="20"/>
              </w:rPr>
            </w:pPr>
            <w:r>
              <w:rPr>
                <w:spacing w:val="-1"/>
                <w:sz w:val="20"/>
                <w:szCs w:val="20"/>
              </w:rPr>
              <w:t>③ARP协议</w:t>
            </w:r>
          </w:p>
          <w:p w14:paraId="49065AD1">
            <w:pPr>
              <w:pStyle w:val="6"/>
              <w:spacing w:line="203" w:lineRule="auto"/>
              <w:ind w:left="12" w:right="1258" w:firstLine="220"/>
              <w:rPr>
                <w:sz w:val="20"/>
                <w:szCs w:val="20"/>
              </w:rPr>
            </w:pPr>
            <w:r>
              <w:rPr>
                <w:spacing w:val="-1"/>
                <w:sz w:val="20"/>
                <w:szCs w:val="20"/>
              </w:rPr>
              <w:t>④RARP协议</w:t>
            </w:r>
            <w:r>
              <w:rPr>
                <w:sz w:val="20"/>
                <w:szCs w:val="20"/>
              </w:rPr>
              <w:t xml:space="preserve"> </w:t>
            </w:r>
            <w:r>
              <w:rPr>
                <w:spacing w:val="1"/>
                <w:sz w:val="20"/>
                <w:szCs w:val="20"/>
              </w:rPr>
              <w:t>3.传输层协议</w:t>
            </w:r>
          </w:p>
          <w:p w14:paraId="6D4E51D6">
            <w:pPr>
              <w:pStyle w:val="6"/>
              <w:spacing w:line="193" w:lineRule="auto"/>
              <w:ind w:left="232"/>
              <w:rPr>
                <w:sz w:val="20"/>
                <w:szCs w:val="20"/>
              </w:rPr>
            </w:pPr>
            <w:r>
              <w:rPr>
                <w:spacing w:val="-1"/>
                <w:sz w:val="20"/>
                <w:szCs w:val="20"/>
              </w:rPr>
              <w:t>①TCP协议</w:t>
            </w:r>
          </w:p>
          <w:p w14:paraId="36438114">
            <w:pPr>
              <w:pStyle w:val="6"/>
              <w:spacing w:line="203" w:lineRule="auto"/>
              <w:ind w:left="12" w:right="1278" w:firstLine="220"/>
              <w:rPr>
                <w:sz w:val="20"/>
                <w:szCs w:val="20"/>
              </w:rPr>
            </w:pPr>
            <w:r>
              <w:rPr>
                <w:spacing w:val="-2"/>
                <w:sz w:val="20"/>
                <w:szCs w:val="20"/>
              </w:rPr>
              <w:t>②UDP协议</w:t>
            </w:r>
            <w:r>
              <w:rPr>
                <w:spacing w:val="4"/>
                <w:sz w:val="20"/>
                <w:szCs w:val="20"/>
              </w:rPr>
              <w:t xml:space="preserve"> </w:t>
            </w:r>
            <w:r>
              <w:rPr>
                <w:spacing w:val="-1"/>
                <w:sz w:val="20"/>
                <w:szCs w:val="20"/>
              </w:rPr>
              <w:t>4.应用层协议</w:t>
            </w:r>
          </w:p>
          <w:p w14:paraId="35FAB2F9">
            <w:pPr>
              <w:pStyle w:val="6"/>
              <w:spacing w:line="217" w:lineRule="auto"/>
              <w:ind w:left="232"/>
              <w:rPr>
                <w:sz w:val="20"/>
                <w:szCs w:val="20"/>
              </w:rPr>
            </w:pPr>
            <w:r>
              <w:rPr>
                <w:spacing w:val="-1"/>
                <w:sz w:val="20"/>
                <w:szCs w:val="20"/>
              </w:rPr>
              <w:t>①HTTP协议</w:t>
            </w:r>
          </w:p>
        </w:tc>
        <w:tc>
          <w:tcPr>
            <w:tcW w:w="220" w:type="dxa"/>
            <w:tcBorders>
              <w:top w:val="single" w:color="000000" w:sz="2" w:space="0"/>
              <w:bottom w:val="single" w:color="000000" w:sz="2" w:space="0"/>
            </w:tcBorders>
            <w:vAlign w:val="top"/>
          </w:tcPr>
          <w:p w14:paraId="6F6EF509">
            <w:pPr>
              <w:rPr>
                <w:rFonts w:ascii="Arial"/>
                <w:sz w:val="21"/>
              </w:rPr>
            </w:pPr>
          </w:p>
        </w:tc>
        <w:tc>
          <w:tcPr>
            <w:tcW w:w="229" w:type="dxa"/>
            <w:tcBorders>
              <w:top w:val="single" w:color="000000" w:sz="2" w:space="0"/>
              <w:bottom w:val="single" w:color="000000" w:sz="2" w:space="0"/>
            </w:tcBorders>
            <w:vAlign w:val="top"/>
          </w:tcPr>
          <w:p w14:paraId="1C48BA12">
            <w:pPr>
              <w:rPr>
                <w:rFonts w:ascii="Arial"/>
                <w:sz w:val="21"/>
              </w:rPr>
            </w:pPr>
          </w:p>
        </w:tc>
        <w:tc>
          <w:tcPr>
            <w:tcW w:w="229" w:type="dxa"/>
            <w:tcBorders>
              <w:top w:val="single" w:color="000000" w:sz="2" w:space="0"/>
              <w:bottom w:val="single" w:color="000000" w:sz="2" w:space="0"/>
            </w:tcBorders>
            <w:vAlign w:val="top"/>
          </w:tcPr>
          <w:p w14:paraId="3FBA2535">
            <w:pPr>
              <w:rPr>
                <w:rFonts w:ascii="Arial"/>
                <w:sz w:val="21"/>
              </w:rPr>
            </w:pPr>
          </w:p>
        </w:tc>
        <w:tc>
          <w:tcPr>
            <w:tcW w:w="235" w:type="dxa"/>
            <w:tcBorders>
              <w:top w:val="single" w:color="000000" w:sz="2" w:space="0"/>
              <w:bottom w:val="single" w:color="000000" w:sz="2" w:space="0"/>
            </w:tcBorders>
            <w:vAlign w:val="top"/>
          </w:tcPr>
          <w:p w14:paraId="20FA8D7F">
            <w:pPr>
              <w:rPr>
                <w:rFonts w:ascii="Arial"/>
                <w:sz w:val="21"/>
              </w:rPr>
            </w:pPr>
          </w:p>
        </w:tc>
      </w:tr>
    </w:tbl>
    <w:p w14:paraId="5469BDBB">
      <w:pPr>
        <w:pStyle w:val="2"/>
        <w:spacing w:line="14" w:lineRule="auto"/>
        <w:rPr>
          <w:sz w:val="2"/>
        </w:rPr>
      </w:pPr>
    </w:p>
    <w:p w14:paraId="081CDE9C">
      <w:pPr>
        <w:pStyle w:val="2"/>
        <w:spacing w:line="14" w:lineRule="auto"/>
        <w:rPr>
          <w:sz w:val="2"/>
        </w:rPr>
      </w:pPr>
      <w:r>
        <w:rPr>
          <w:sz w:val="2"/>
          <w:szCs w:val="2"/>
        </w:rPr>
        <w:br w:type="column"/>
      </w:r>
    </w:p>
    <w:tbl>
      <w:tblPr>
        <w:tblStyle w:val="5"/>
        <w:tblW w:w="414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33"/>
        <w:gridCol w:w="2494"/>
        <w:gridCol w:w="210"/>
        <w:gridCol w:w="229"/>
        <w:gridCol w:w="230"/>
        <w:gridCol w:w="244"/>
      </w:tblGrid>
      <w:tr w14:paraId="54807A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9" w:hRule="atLeast"/>
        </w:trPr>
        <w:tc>
          <w:tcPr>
            <w:tcW w:w="733" w:type="dxa"/>
            <w:vMerge w:val="restart"/>
            <w:tcBorders>
              <w:top w:val="single" w:color="000000" w:sz="2" w:space="0"/>
              <w:bottom w:val="nil"/>
            </w:tcBorders>
            <w:vAlign w:val="top"/>
          </w:tcPr>
          <w:p w14:paraId="383B0233">
            <w:pPr>
              <w:pStyle w:val="6"/>
              <w:spacing w:before="26" w:line="190" w:lineRule="auto"/>
              <w:ind w:left="57" w:right="2" w:hanging="40"/>
              <w:rPr>
                <w:sz w:val="20"/>
                <w:szCs w:val="20"/>
              </w:rPr>
            </w:pPr>
            <w:r>
              <w:rPr>
                <w:b/>
                <w:bCs/>
                <w:spacing w:val="-22"/>
                <w:w w:val="96"/>
                <w:sz w:val="20"/>
                <w:szCs w:val="20"/>
              </w:rPr>
              <w:t>知</w:t>
            </w:r>
            <w:r>
              <w:rPr>
                <w:b/>
                <w:bCs/>
                <w:spacing w:val="-21"/>
                <w:w w:val="96"/>
                <w:sz w:val="20"/>
                <w:szCs w:val="20"/>
              </w:rPr>
              <w:t>识与</w:t>
            </w:r>
            <w:r>
              <w:rPr>
                <w:b/>
                <w:bCs/>
                <w:spacing w:val="-12"/>
                <w:w w:val="96"/>
                <w:sz w:val="20"/>
                <w:szCs w:val="20"/>
              </w:rPr>
              <w:t>技</w:t>
            </w:r>
            <w:r>
              <w:rPr>
                <w:spacing w:val="1"/>
                <w:sz w:val="20"/>
                <w:szCs w:val="20"/>
              </w:rPr>
              <w:t xml:space="preserve"> </w:t>
            </w:r>
            <w:r>
              <w:rPr>
                <w:b/>
                <w:bCs/>
                <w:spacing w:val="2"/>
                <w:sz w:val="20"/>
                <w:szCs w:val="20"/>
              </w:rPr>
              <w:t>能要点</w:t>
            </w:r>
          </w:p>
        </w:tc>
        <w:tc>
          <w:tcPr>
            <w:tcW w:w="2494" w:type="dxa"/>
            <w:vMerge w:val="restart"/>
            <w:tcBorders>
              <w:top w:val="single" w:color="000000" w:sz="2" w:space="0"/>
              <w:bottom w:val="nil"/>
            </w:tcBorders>
            <w:vAlign w:val="top"/>
          </w:tcPr>
          <w:p w14:paraId="7CD7D4FA">
            <w:pPr>
              <w:pStyle w:val="6"/>
              <w:spacing w:before="125" w:line="219" w:lineRule="auto"/>
              <w:ind w:left="914"/>
              <w:rPr>
                <w:sz w:val="20"/>
                <w:szCs w:val="20"/>
              </w:rPr>
            </w:pPr>
            <w:r>
              <w:rPr>
                <w:b/>
                <w:bCs/>
                <w:spacing w:val="5"/>
                <w:sz w:val="20"/>
                <w:szCs w:val="20"/>
              </w:rPr>
              <w:t>考试条目</w:t>
            </w:r>
          </w:p>
        </w:tc>
        <w:tc>
          <w:tcPr>
            <w:tcW w:w="913" w:type="dxa"/>
            <w:gridSpan w:val="4"/>
            <w:tcBorders>
              <w:top w:val="single" w:color="000000" w:sz="2" w:space="0"/>
              <w:bottom w:val="single" w:color="000000" w:sz="2" w:space="0"/>
            </w:tcBorders>
            <w:vAlign w:val="top"/>
          </w:tcPr>
          <w:p w14:paraId="2B40181F">
            <w:pPr>
              <w:pStyle w:val="6"/>
              <w:spacing w:before="25" w:line="188" w:lineRule="auto"/>
              <w:jc w:val="right"/>
              <w:rPr>
                <w:sz w:val="20"/>
                <w:szCs w:val="20"/>
              </w:rPr>
            </w:pPr>
            <w:r>
              <w:rPr>
                <w:b/>
                <w:bCs/>
                <w:spacing w:val="-7"/>
                <w:sz w:val="20"/>
                <w:szCs w:val="20"/>
              </w:rPr>
              <w:t>考试水平</w:t>
            </w:r>
          </w:p>
        </w:tc>
      </w:tr>
      <w:tr w14:paraId="68F8A4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4" w:hRule="atLeast"/>
        </w:trPr>
        <w:tc>
          <w:tcPr>
            <w:tcW w:w="733" w:type="dxa"/>
            <w:vMerge w:val="continue"/>
            <w:tcBorders>
              <w:top w:val="nil"/>
              <w:bottom w:val="single" w:color="000000" w:sz="2" w:space="0"/>
            </w:tcBorders>
            <w:vAlign w:val="top"/>
          </w:tcPr>
          <w:p w14:paraId="3FFBEB20">
            <w:pPr>
              <w:rPr>
                <w:rFonts w:ascii="Arial"/>
                <w:sz w:val="21"/>
              </w:rPr>
            </w:pPr>
          </w:p>
        </w:tc>
        <w:tc>
          <w:tcPr>
            <w:tcW w:w="2494" w:type="dxa"/>
            <w:vMerge w:val="continue"/>
            <w:tcBorders>
              <w:top w:val="nil"/>
              <w:bottom w:val="single" w:color="000000" w:sz="2" w:space="0"/>
            </w:tcBorders>
            <w:vAlign w:val="top"/>
          </w:tcPr>
          <w:p w14:paraId="718B7B0D">
            <w:pPr>
              <w:rPr>
                <w:rFonts w:ascii="Arial"/>
                <w:sz w:val="21"/>
              </w:rPr>
            </w:pPr>
          </w:p>
        </w:tc>
        <w:tc>
          <w:tcPr>
            <w:tcW w:w="210" w:type="dxa"/>
            <w:tcBorders>
              <w:top w:val="single" w:color="000000" w:sz="2" w:space="0"/>
              <w:bottom w:val="single" w:color="000000" w:sz="2" w:space="0"/>
            </w:tcBorders>
            <w:vAlign w:val="top"/>
          </w:tcPr>
          <w:p w14:paraId="6937139C">
            <w:pPr>
              <w:pStyle w:val="6"/>
              <w:spacing w:before="64" w:line="130" w:lineRule="exact"/>
              <w:ind w:left="20"/>
              <w:rPr>
                <w:sz w:val="20"/>
                <w:szCs w:val="20"/>
              </w:rPr>
            </w:pPr>
            <w:r>
              <w:rPr>
                <w:b/>
                <w:bCs/>
                <w:spacing w:val="-3"/>
                <w:position w:val="-3"/>
                <w:sz w:val="20"/>
                <w:szCs w:val="20"/>
              </w:rPr>
              <w:t>A</w:t>
            </w:r>
          </w:p>
        </w:tc>
        <w:tc>
          <w:tcPr>
            <w:tcW w:w="229" w:type="dxa"/>
            <w:tcBorders>
              <w:top w:val="single" w:color="000000" w:sz="2" w:space="0"/>
              <w:bottom w:val="single" w:color="000000" w:sz="2" w:space="0"/>
            </w:tcBorders>
            <w:vAlign w:val="top"/>
          </w:tcPr>
          <w:p w14:paraId="2CB74143">
            <w:pPr>
              <w:pStyle w:val="6"/>
              <w:spacing w:before="67" w:line="127" w:lineRule="exact"/>
              <w:ind w:left="20"/>
              <w:rPr>
                <w:sz w:val="20"/>
                <w:szCs w:val="20"/>
              </w:rPr>
            </w:pPr>
            <w:r>
              <w:rPr>
                <w:b/>
                <w:bCs/>
                <w:spacing w:val="-3"/>
                <w:position w:val="-3"/>
                <w:sz w:val="20"/>
                <w:szCs w:val="20"/>
              </w:rPr>
              <w:t>B</w:t>
            </w:r>
          </w:p>
        </w:tc>
        <w:tc>
          <w:tcPr>
            <w:tcW w:w="230" w:type="dxa"/>
            <w:tcBorders>
              <w:top w:val="single" w:color="000000" w:sz="2" w:space="0"/>
              <w:bottom w:val="single" w:color="000000" w:sz="2" w:space="0"/>
            </w:tcBorders>
            <w:vAlign w:val="top"/>
          </w:tcPr>
          <w:p w14:paraId="170A1B61">
            <w:pPr>
              <w:pStyle w:val="6"/>
              <w:spacing w:before="65" w:line="129" w:lineRule="exact"/>
              <w:ind w:left="19"/>
              <w:rPr>
                <w:sz w:val="20"/>
                <w:szCs w:val="20"/>
              </w:rPr>
            </w:pPr>
            <w:r>
              <w:rPr>
                <w:position w:val="-3"/>
                <w:sz w:val="20"/>
                <w:szCs w:val="20"/>
              </w:rPr>
              <w:t>C</w:t>
            </w:r>
          </w:p>
        </w:tc>
        <w:tc>
          <w:tcPr>
            <w:tcW w:w="244" w:type="dxa"/>
            <w:tcBorders>
              <w:top w:val="single" w:color="000000" w:sz="2" w:space="0"/>
              <w:bottom w:val="single" w:color="000000" w:sz="2" w:space="0"/>
            </w:tcBorders>
            <w:vAlign w:val="top"/>
          </w:tcPr>
          <w:p w14:paraId="2A1BD984">
            <w:pPr>
              <w:pStyle w:val="6"/>
              <w:spacing w:before="67" w:line="127" w:lineRule="exact"/>
              <w:ind w:left="21"/>
              <w:rPr>
                <w:sz w:val="20"/>
                <w:szCs w:val="20"/>
              </w:rPr>
            </w:pPr>
            <w:r>
              <w:rPr>
                <w:b/>
                <w:bCs/>
                <w:spacing w:val="-3"/>
                <w:position w:val="-3"/>
                <w:sz w:val="20"/>
                <w:szCs w:val="20"/>
              </w:rPr>
              <w:t>D</w:t>
            </w:r>
          </w:p>
        </w:tc>
      </w:tr>
      <w:tr w14:paraId="2B1E8E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96" w:hRule="atLeast"/>
        </w:trPr>
        <w:tc>
          <w:tcPr>
            <w:tcW w:w="733" w:type="dxa"/>
            <w:tcBorders>
              <w:top w:val="single" w:color="000000" w:sz="2" w:space="0"/>
              <w:bottom w:val="single" w:color="000000" w:sz="2" w:space="0"/>
            </w:tcBorders>
            <w:vAlign w:val="top"/>
          </w:tcPr>
          <w:p w14:paraId="18990291">
            <w:pPr>
              <w:spacing w:line="309" w:lineRule="auto"/>
              <w:rPr>
                <w:rFonts w:ascii="Arial"/>
                <w:sz w:val="21"/>
              </w:rPr>
            </w:pPr>
          </w:p>
          <w:p w14:paraId="2A7BF8B6">
            <w:pPr>
              <w:pStyle w:val="6"/>
              <w:spacing w:before="65" w:line="210" w:lineRule="auto"/>
              <w:ind w:left="157" w:right="161"/>
              <w:rPr>
                <w:sz w:val="20"/>
                <w:szCs w:val="20"/>
              </w:rPr>
            </w:pPr>
            <w:r>
              <w:rPr>
                <w:b/>
                <w:bCs/>
                <w:spacing w:val="-1"/>
                <w:sz w:val="20"/>
                <w:szCs w:val="20"/>
              </w:rPr>
              <w:t>网络</w:t>
            </w:r>
            <w:r>
              <w:rPr>
                <w:sz w:val="20"/>
                <w:szCs w:val="20"/>
              </w:rPr>
              <w:t xml:space="preserve"> </w:t>
            </w:r>
            <w:r>
              <w:rPr>
                <w:b/>
                <w:bCs/>
                <w:spacing w:val="-5"/>
                <w:sz w:val="20"/>
                <w:szCs w:val="20"/>
              </w:rPr>
              <w:t>协议</w:t>
            </w:r>
          </w:p>
        </w:tc>
        <w:tc>
          <w:tcPr>
            <w:tcW w:w="2494" w:type="dxa"/>
            <w:tcBorders>
              <w:top w:val="single" w:color="000000" w:sz="2" w:space="0"/>
              <w:bottom w:val="single" w:color="000000" w:sz="2" w:space="0"/>
            </w:tcBorders>
            <w:vAlign w:val="top"/>
          </w:tcPr>
          <w:p w14:paraId="46FD5D03">
            <w:pPr>
              <w:pStyle w:val="6"/>
              <w:spacing w:before="49" w:line="203" w:lineRule="auto"/>
              <w:ind w:left="244"/>
              <w:rPr>
                <w:sz w:val="20"/>
                <w:szCs w:val="20"/>
              </w:rPr>
            </w:pPr>
            <w:r>
              <w:rPr>
                <w:b/>
                <w:bCs/>
                <w:spacing w:val="-3"/>
                <w:sz w:val="20"/>
                <w:szCs w:val="20"/>
              </w:rPr>
              <w:t>②DNS协议</w:t>
            </w:r>
          </w:p>
          <w:p w14:paraId="426A17CB">
            <w:pPr>
              <w:pStyle w:val="6"/>
              <w:spacing w:line="193" w:lineRule="auto"/>
              <w:ind w:left="244"/>
              <w:rPr>
                <w:sz w:val="20"/>
                <w:szCs w:val="20"/>
              </w:rPr>
            </w:pPr>
            <w:r>
              <w:rPr>
                <w:b/>
                <w:bCs/>
                <w:spacing w:val="-3"/>
                <w:sz w:val="20"/>
                <w:szCs w:val="20"/>
              </w:rPr>
              <w:t>③DHCP协议</w:t>
            </w:r>
          </w:p>
          <w:p w14:paraId="15A497BF">
            <w:pPr>
              <w:pStyle w:val="6"/>
              <w:spacing w:line="193" w:lineRule="auto"/>
              <w:ind w:left="244"/>
              <w:rPr>
                <w:sz w:val="20"/>
                <w:szCs w:val="20"/>
              </w:rPr>
            </w:pPr>
            <w:r>
              <w:rPr>
                <w:b/>
                <w:bCs/>
                <w:spacing w:val="-3"/>
                <w:sz w:val="20"/>
                <w:szCs w:val="20"/>
              </w:rPr>
              <w:t>④TELNET协议</w:t>
            </w:r>
          </w:p>
          <w:p w14:paraId="66DE41B5">
            <w:pPr>
              <w:pStyle w:val="6"/>
              <w:spacing w:before="1" w:line="193" w:lineRule="auto"/>
              <w:ind w:left="244"/>
              <w:rPr>
                <w:sz w:val="20"/>
                <w:szCs w:val="20"/>
              </w:rPr>
            </w:pPr>
            <w:r>
              <w:rPr>
                <w:b/>
                <w:bCs/>
                <w:spacing w:val="-3"/>
                <w:sz w:val="20"/>
                <w:szCs w:val="20"/>
              </w:rPr>
              <w:t>⑤SMTP协议</w:t>
            </w:r>
          </w:p>
          <w:p w14:paraId="7B237F17">
            <w:pPr>
              <w:pStyle w:val="6"/>
              <w:spacing w:before="1" w:line="171" w:lineRule="auto"/>
              <w:ind w:left="244"/>
              <w:rPr>
                <w:sz w:val="20"/>
                <w:szCs w:val="20"/>
              </w:rPr>
            </w:pPr>
            <w:r>
              <w:rPr>
                <w:b/>
                <w:bCs/>
                <w:spacing w:val="-3"/>
                <w:sz w:val="20"/>
                <w:szCs w:val="20"/>
              </w:rPr>
              <w:t>⑥POP协议</w:t>
            </w:r>
          </w:p>
        </w:tc>
        <w:tc>
          <w:tcPr>
            <w:tcW w:w="210" w:type="dxa"/>
            <w:tcBorders>
              <w:top w:val="single" w:color="000000" w:sz="2" w:space="0"/>
              <w:bottom w:val="single" w:color="000000" w:sz="2" w:space="0"/>
            </w:tcBorders>
            <w:vAlign w:val="top"/>
          </w:tcPr>
          <w:p w14:paraId="210C65CA">
            <w:pPr>
              <w:rPr>
                <w:rFonts w:ascii="Arial"/>
                <w:sz w:val="21"/>
              </w:rPr>
            </w:pPr>
          </w:p>
        </w:tc>
        <w:tc>
          <w:tcPr>
            <w:tcW w:w="229" w:type="dxa"/>
            <w:tcBorders>
              <w:top w:val="single" w:color="000000" w:sz="2" w:space="0"/>
              <w:bottom w:val="single" w:color="000000" w:sz="2" w:space="0"/>
            </w:tcBorders>
            <w:vAlign w:val="top"/>
          </w:tcPr>
          <w:p w14:paraId="0EBA0E72">
            <w:pPr>
              <w:rPr>
                <w:rFonts w:ascii="Arial"/>
                <w:sz w:val="21"/>
              </w:rPr>
            </w:pPr>
          </w:p>
        </w:tc>
        <w:tc>
          <w:tcPr>
            <w:tcW w:w="230" w:type="dxa"/>
            <w:tcBorders>
              <w:top w:val="single" w:color="000000" w:sz="2" w:space="0"/>
              <w:bottom w:val="single" w:color="000000" w:sz="2" w:space="0"/>
            </w:tcBorders>
            <w:vAlign w:val="top"/>
          </w:tcPr>
          <w:p w14:paraId="49A5DD3A">
            <w:pPr>
              <w:rPr>
                <w:rFonts w:ascii="Arial"/>
                <w:sz w:val="21"/>
              </w:rPr>
            </w:pPr>
          </w:p>
        </w:tc>
        <w:tc>
          <w:tcPr>
            <w:tcW w:w="244" w:type="dxa"/>
            <w:tcBorders>
              <w:top w:val="single" w:color="000000" w:sz="2" w:space="0"/>
              <w:bottom w:val="single" w:color="000000" w:sz="2" w:space="0"/>
            </w:tcBorders>
            <w:vAlign w:val="top"/>
          </w:tcPr>
          <w:p w14:paraId="215A8F86">
            <w:pPr>
              <w:rPr>
                <w:rFonts w:ascii="Arial"/>
                <w:sz w:val="21"/>
              </w:rPr>
            </w:pPr>
          </w:p>
        </w:tc>
      </w:tr>
    </w:tbl>
    <w:p w14:paraId="394D893E">
      <w:pPr>
        <w:spacing w:before="182" w:line="219" w:lineRule="auto"/>
        <w:ind w:left="414"/>
        <w:rPr>
          <w:rFonts w:ascii="宋体" w:hAnsi="宋体" w:eastAsia="宋体" w:cs="宋体"/>
          <w:sz w:val="17"/>
          <w:szCs w:val="17"/>
        </w:rPr>
      </w:pPr>
      <w:r>
        <w:rPr>
          <w:rFonts w:ascii="宋体" w:hAnsi="宋体" w:eastAsia="宋体" w:cs="宋体"/>
          <w:spacing w:val="9"/>
          <w:sz w:val="17"/>
          <w:szCs w:val="17"/>
        </w:rPr>
        <w:t>(三)网络设备配置技术</w:t>
      </w:r>
    </w:p>
    <w:p w14:paraId="4E20BC25">
      <w:pPr>
        <w:spacing w:line="96" w:lineRule="exact"/>
      </w:pPr>
    </w:p>
    <w:tbl>
      <w:tblPr>
        <w:tblStyle w:val="5"/>
        <w:tblW w:w="413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33"/>
        <w:gridCol w:w="2484"/>
        <w:gridCol w:w="229"/>
        <w:gridCol w:w="230"/>
        <w:gridCol w:w="220"/>
        <w:gridCol w:w="234"/>
      </w:tblGrid>
      <w:tr w14:paraId="25F111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4" w:hRule="atLeast"/>
        </w:trPr>
        <w:tc>
          <w:tcPr>
            <w:tcW w:w="733" w:type="dxa"/>
            <w:vMerge w:val="restart"/>
            <w:tcBorders>
              <w:bottom w:val="nil"/>
            </w:tcBorders>
            <w:vAlign w:val="top"/>
          </w:tcPr>
          <w:p w14:paraId="7625B4D6">
            <w:pPr>
              <w:pStyle w:val="6"/>
              <w:spacing w:before="31" w:line="205" w:lineRule="auto"/>
              <w:ind w:left="77" w:right="2" w:hanging="60"/>
              <w:rPr>
                <w:sz w:val="19"/>
                <w:szCs w:val="19"/>
              </w:rPr>
            </w:pPr>
            <w:r>
              <w:rPr>
                <w:b/>
                <w:bCs/>
                <w:spacing w:val="-19"/>
                <w:sz w:val="19"/>
                <w:szCs w:val="19"/>
              </w:rPr>
              <w:t>知识</w:t>
            </w:r>
            <w:r>
              <w:rPr>
                <w:b/>
                <w:bCs/>
                <w:spacing w:val="-18"/>
                <w:sz w:val="19"/>
                <w:szCs w:val="19"/>
              </w:rPr>
              <w:t>与</w:t>
            </w:r>
            <w:r>
              <w:rPr>
                <w:b/>
                <w:bCs/>
                <w:spacing w:val="-12"/>
                <w:sz w:val="19"/>
                <w:szCs w:val="19"/>
              </w:rPr>
              <w:t>技</w:t>
            </w:r>
            <w:r>
              <w:rPr>
                <w:spacing w:val="1"/>
                <w:sz w:val="19"/>
                <w:szCs w:val="19"/>
              </w:rPr>
              <w:t xml:space="preserve"> </w:t>
            </w:r>
            <w:r>
              <w:rPr>
                <w:b/>
                <w:bCs/>
                <w:spacing w:val="1"/>
                <w:sz w:val="19"/>
                <w:szCs w:val="19"/>
              </w:rPr>
              <w:t>能要点</w:t>
            </w:r>
          </w:p>
        </w:tc>
        <w:tc>
          <w:tcPr>
            <w:tcW w:w="2484" w:type="dxa"/>
            <w:vMerge w:val="restart"/>
            <w:tcBorders>
              <w:bottom w:val="nil"/>
            </w:tcBorders>
            <w:vAlign w:val="top"/>
          </w:tcPr>
          <w:p w14:paraId="02E56AF9">
            <w:pPr>
              <w:pStyle w:val="6"/>
              <w:spacing w:before="140" w:line="219" w:lineRule="auto"/>
              <w:ind w:left="924"/>
              <w:rPr>
                <w:sz w:val="19"/>
                <w:szCs w:val="19"/>
              </w:rPr>
            </w:pPr>
            <w:r>
              <w:rPr>
                <w:b/>
                <w:bCs/>
                <w:spacing w:val="5"/>
                <w:sz w:val="19"/>
                <w:szCs w:val="19"/>
              </w:rPr>
              <w:t>考试条目</w:t>
            </w:r>
          </w:p>
        </w:tc>
        <w:tc>
          <w:tcPr>
            <w:tcW w:w="913" w:type="dxa"/>
            <w:gridSpan w:val="4"/>
            <w:vAlign w:val="top"/>
          </w:tcPr>
          <w:p w14:paraId="1C6792BA">
            <w:pPr>
              <w:pStyle w:val="6"/>
              <w:spacing w:before="19" w:line="189" w:lineRule="auto"/>
              <w:ind w:right="17"/>
              <w:jc w:val="right"/>
              <w:rPr>
                <w:sz w:val="19"/>
                <w:szCs w:val="19"/>
              </w:rPr>
            </w:pPr>
            <w:r>
              <w:rPr>
                <w:b/>
                <w:bCs/>
                <w:spacing w:val="-4"/>
                <w:sz w:val="19"/>
                <w:szCs w:val="19"/>
              </w:rPr>
              <w:t>考试水平</w:t>
            </w:r>
          </w:p>
        </w:tc>
      </w:tr>
      <w:tr w14:paraId="49EB63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9" w:hRule="atLeast"/>
        </w:trPr>
        <w:tc>
          <w:tcPr>
            <w:tcW w:w="733" w:type="dxa"/>
            <w:vMerge w:val="continue"/>
            <w:tcBorders>
              <w:top w:val="nil"/>
            </w:tcBorders>
            <w:vAlign w:val="top"/>
          </w:tcPr>
          <w:p w14:paraId="61A16EAC">
            <w:pPr>
              <w:rPr>
                <w:rFonts w:ascii="Arial"/>
                <w:sz w:val="21"/>
              </w:rPr>
            </w:pPr>
          </w:p>
        </w:tc>
        <w:tc>
          <w:tcPr>
            <w:tcW w:w="2484" w:type="dxa"/>
            <w:vMerge w:val="continue"/>
            <w:tcBorders>
              <w:top w:val="nil"/>
            </w:tcBorders>
            <w:vAlign w:val="top"/>
          </w:tcPr>
          <w:p w14:paraId="131BE861">
            <w:pPr>
              <w:rPr>
                <w:rFonts w:ascii="Arial"/>
                <w:sz w:val="21"/>
              </w:rPr>
            </w:pPr>
          </w:p>
        </w:tc>
        <w:tc>
          <w:tcPr>
            <w:tcW w:w="229" w:type="dxa"/>
            <w:vAlign w:val="top"/>
          </w:tcPr>
          <w:p w14:paraId="56C1E8C4">
            <w:pPr>
              <w:pStyle w:val="6"/>
              <w:spacing w:before="66" w:line="153" w:lineRule="exact"/>
              <w:ind w:left="18"/>
              <w:rPr>
                <w:sz w:val="19"/>
                <w:szCs w:val="19"/>
              </w:rPr>
            </w:pPr>
            <w:r>
              <w:rPr>
                <w:position w:val="-2"/>
                <w:sz w:val="19"/>
                <w:szCs w:val="19"/>
              </w:rPr>
              <w:t>A</w:t>
            </w:r>
          </w:p>
        </w:tc>
        <w:tc>
          <w:tcPr>
            <w:tcW w:w="230" w:type="dxa"/>
            <w:vAlign w:val="top"/>
          </w:tcPr>
          <w:p w14:paraId="3FABB456">
            <w:pPr>
              <w:pStyle w:val="6"/>
              <w:spacing w:before="69" w:line="150" w:lineRule="exact"/>
              <w:ind w:left="21"/>
              <w:rPr>
                <w:sz w:val="19"/>
                <w:szCs w:val="19"/>
              </w:rPr>
            </w:pPr>
            <w:r>
              <w:rPr>
                <w:b/>
                <w:bCs/>
                <w:spacing w:val="-2"/>
                <w:position w:val="-2"/>
                <w:sz w:val="19"/>
                <w:szCs w:val="19"/>
              </w:rPr>
              <w:t>B</w:t>
            </w:r>
          </w:p>
        </w:tc>
        <w:tc>
          <w:tcPr>
            <w:tcW w:w="220" w:type="dxa"/>
            <w:vAlign w:val="top"/>
          </w:tcPr>
          <w:p w14:paraId="73C07F5D">
            <w:pPr>
              <w:pStyle w:val="6"/>
              <w:spacing w:before="67" w:line="152" w:lineRule="exact"/>
              <w:ind w:left="18"/>
              <w:rPr>
                <w:sz w:val="19"/>
                <w:szCs w:val="19"/>
              </w:rPr>
            </w:pPr>
            <w:r>
              <w:rPr>
                <w:position w:val="-2"/>
                <w:sz w:val="19"/>
                <w:szCs w:val="19"/>
              </w:rPr>
              <w:t>C</w:t>
            </w:r>
          </w:p>
        </w:tc>
        <w:tc>
          <w:tcPr>
            <w:tcW w:w="234" w:type="dxa"/>
            <w:vAlign w:val="top"/>
          </w:tcPr>
          <w:p w14:paraId="42E2F3FB">
            <w:pPr>
              <w:pStyle w:val="6"/>
              <w:spacing w:before="69" w:line="150" w:lineRule="exact"/>
              <w:ind w:left="19"/>
              <w:rPr>
                <w:sz w:val="19"/>
                <w:szCs w:val="19"/>
              </w:rPr>
            </w:pPr>
            <w:r>
              <w:rPr>
                <w:position w:val="-2"/>
                <w:sz w:val="19"/>
                <w:szCs w:val="19"/>
              </w:rPr>
              <w:t>D</w:t>
            </w:r>
          </w:p>
        </w:tc>
      </w:tr>
      <w:tr w14:paraId="702E7F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96" w:hRule="atLeast"/>
        </w:trPr>
        <w:tc>
          <w:tcPr>
            <w:tcW w:w="733" w:type="dxa"/>
            <w:vAlign w:val="top"/>
          </w:tcPr>
          <w:p w14:paraId="2D305323">
            <w:pPr>
              <w:spacing w:line="271" w:lineRule="auto"/>
              <w:rPr>
                <w:rFonts w:ascii="Arial"/>
                <w:sz w:val="21"/>
              </w:rPr>
            </w:pPr>
          </w:p>
          <w:p w14:paraId="3614CC2F">
            <w:pPr>
              <w:spacing w:line="272" w:lineRule="auto"/>
              <w:rPr>
                <w:rFonts w:ascii="Arial"/>
                <w:sz w:val="21"/>
              </w:rPr>
            </w:pPr>
          </w:p>
          <w:p w14:paraId="4DCACFB6">
            <w:pPr>
              <w:pStyle w:val="6"/>
              <w:spacing w:before="62" w:line="219" w:lineRule="auto"/>
              <w:ind w:left="75"/>
              <w:rPr>
                <w:sz w:val="19"/>
                <w:szCs w:val="19"/>
              </w:rPr>
            </w:pPr>
            <w:r>
              <w:rPr>
                <w:spacing w:val="-3"/>
                <w:sz w:val="19"/>
                <w:szCs w:val="19"/>
              </w:rPr>
              <w:t>交换机</w:t>
            </w:r>
          </w:p>
        </w:tc>
        <w:tc>
          <w:tcPr>
            <w:tcW w:w="2484" w:type="dxa"/>
            <w:vAlign w:val="top"/>
          </w:tcPr>
          <w:p w14:paraId="6DC3DD17">
            <w:pPr>
              <w:pStyle w:val="6"/>
              <w:spacing w:before="88" w:line="219" w:lineRule="auto"/>
              <w:ind w:left="12"/>
              <w:rPr>
                <w:sz w:val="19"/>
                <w:szCs w:val="19"/>
              </w:rPr>
            </w:pPr>
            <w:r>
              <w:rPr>
                <w:spacing w:val="1"/>
                <w:sz w:val="19"/>
                <w:szCs w:val="19"/>
              </w:rPr>
              <w:t>1.交换机的概念</w:t>
            </w:r>
          </w:p>
          <w:p w14:paraId="3C806CC0">
            <w:pPr>
              <w:pStyle w:val="6"/>
              <w:spacing w:before="5" w:line="194" w:lineRule="auto"/>
              <w:ind w:left="12"/>
              <w:rPr>
                <w:sz w:val="19"/>
                <w:szCs w:val="19"/>
              </w:rPr>
            </w:pPr>
            <w:r>
              <w:rPr>
                <w:spacing w:val="2"/>
                <w:sz w:val="19"/>
                <w:szCs w:val="19"/>
              </w:rPr>
              <w:t>2.交换机的作用</w:t>
            </w:r>
          </w:p>
          <w:p w14:paraId="60907CAE">
            <w:pPr>
              <w:pStyle w:val="6"/>
              <w:spacing w:before="1" w:line="210" w:lineRule="auto"/>
              <w:ind w:left="12" w:right="758"/>
              <w:rPr>
                <w:sz w:val="19"/>
                <w:szCs w:val="19"/>
              </w:rPr>
            </w:pPr>
            <w:r>
              <w:rPr>
                <w:spacing w:val="-2"/>
                <w:sz w:val="19"/>
                <w:szCs w:val="19"/>
              </w:rPr>
              <w:t>3.交换机的工作原理</w:t>
            </w:r>
            <w:r>
              <w:rPr>
                <w:spacing w:val="7"/>
                <w:sz w:val="19"/>
                <w:szCs w:val="19"/>
              </w:rPr>
              <w:t xml:space="preserve"> </w:t>
            </w:r>
            <w:r>
              <w:rPr>
                <w:spacing w:val="-1"/>
                <w:sz w:val="19"/>
                <w:szCs w:val="19"/>
              </w:rPr>
              <w:t>4.交换机的基本配置</w:t>
            </w:r>
            <w:r>
              <w:rPr>
                <w:spacing w:val="2"/>
                <w:sz w:val="19"/>
                <w:szCs w:val="19"/>
              </w:rPr>
              <w:t xml:space="preserve"> </w:t>
            </w:r>
            <w:r>
              <w:rPr>
                <w:spacing w:val="-2"/>
                <w:sz w:val="19"/>
                <w:szCs w:val="19"/>
              </w:rPr>
              <w:t>5.VLAN的概念</w:t>
            </w:r>
          </w:p>
          <w:p w14:paraId="56BE2E7E">
            <w:pPr>
              <w:pStyle w:val="6"/>
              <w:spacing w:line="210" w:lineRule="auto"/>
              <w:ind w:left="12"/>
              <w:rPr>
                <w:sz w:val="19"/>
                <w:szCs w:val="19"/>
              </w:rPr>
            </w:pPr>
            <w:r>
              <w:rPr>
                <w:spacing w:val="-1"/>
                <w:sz w:val="19"/>
                <w:szCs w:val="19"/>
              </w:rPr>
              <w:t>6.VLAN的基本配置</w:t>
            </w:r>
          </w:p>
        </w:tc>
        <w:tc>
          <w:tcPr>
            <w:tcW w:w="229" w:type="dxa"/>
            <w:vAlign w:val="top"/>
          </w:tcPr>
          <w:p w14:paraId="26EBCFF0">
            <w:pPr>
              <w:rPr>
                <w:rFonts w:ascii="Arial"/>
                <w:sz w:val="21"/>
              </w:rPr>
            </w:pPr>
          </w:p>
        </w:tc>
        <w:tc>
          <w:tcPr>
            <w:tcW w:w="230" w:type="dxa"/>
            <w:vAlign w:val="top"/>
          </w:tcPr>
          <w:p w14:paraId="29EC7005">
            <w:pPr>
              <w:rPr>
                <w:rFonts w:ascii="Arial"/>
                <w:sz w:val="21"/>
              </w:rPr>
            </w:pPr>
          </w:p>
        </w:tc>
        <w:tc>
          <w:tcPr>
            <w:tcW w:w="220" w:type="dxa"/>
            <w:vAlign w:val="top"/>
          </w:tcPr>
          <w:p w14:paraId="08AA4B09">
            <w:pPr>
              <w:rPr>
                <w:rFonts w:ascii="Arial"/>
                <w:sz w:val="21"/>
              </w:rPr>
            </w:pPr>
          </w:p>
        </w:tc>
        <w:tc>
          <w:tcPr>
            <w:tcW w:w="234" w:type="dxa"/>
            <w:vAlign w:val="top"/>
          </w:tcPr>
          <w:p w14:paraId="5B719119">
            <w:pPr>
              <w:rPr>
                <w:rFonts w:ascii="Arial"/>
                <w:sz w:val="21"/>
              </w:rPr>
            </w:pPr>
          </w:p>
        </w:tc>
      </w:tr>
      <w:tr w14:paraId="77A39A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31" w:hRule="atLeast"/>
        </w:trPr>
        <w:tc>
          <w:tcPr>
            <w:tcW w:w="733" w:type="dxa"/>
            <w:vAlign w:val="top"/>
          </w:tcPr>
          <w:p w14:paraId="4D5B30F5">
            <w:pPr>
              <w:spacing w:line="279" w:lineRule="auto"/>
              <w:rPr>
                <w:rFonts w:ascii="Arial"/>
                <w:sz w:val="21"/>
              </w:rPr>
            </w:pPr>
          </w:p>
          <w:p w14:paraId="61DBFC6A">
            <w:pPr>
              <w:spacing w:line="279" w:lineRule="auto"/>
              <w:rPr>
                <w:rFonts w:ascii="Arial"/>
                <w:sz w:val="21"/>
              </w:rPr>
            </w:pPr>
          </w:p>
          <w:p w14:paraId="70701EE0">
            <w:pPr>
              <w:pStyle w:val="6"/>
              <w:spacing w:before="62" w:line="219" w:lineRule="auto"/>
              <w:ind w:left="75"/>
              <w:rPr>
                <w:sz w:val="19"/>
                <w:szCs w:val="19"/>
              </w:rPr>
            </w:pPr>
            <w:r>
              <w:rPr>
                <w:spacing w:val="-2"/>
                <w:sz w:val="19"/>
                <w:szCs w:val="19"/>
              </w:rPr>
              <w:t>路由器</w:t>
            </w:r>
          </w:p>
        </w:tc>
        <w:tc>
          <w:tcPr>
            <w:tcW w:w="2484" w:type="dxa"/>
            <w:vAlign w:val="top"/>
          </w:tcPr>
          <w:p w14:paraId="79AF8DB6">
            <w:pPr>
              <w:pStyle w:val="6"/>
              <w:spacing w:before="113" w:line="214" w:lineRule="auto"/>
              <w:ind w:left="12"/>
              <w:rPr>
                <w:sz w:val="19"/>
                <w:szCs w:val="19"/>
              </w:rPr>
            </w:pPr>
            <w:r>
              <w:rPr>
                <w:spacing w:val="1"/>
                <w:sz w:val="19"/>
                <w:szCs w:val="19"/>
              </w:rPr>
              <w:t>1.路由器的概念</w:t>
            </w:r>
          </w:p>
          <w:p w14:paraId="2541D6DF">
            <w:pPr>
              <w:pStyle w:val="6"/>
              <w:spacing w:line="213" w:lineRule="auto"/>
              <w:ind w:left="12"/>
              <w:rPr>
                <w:sz w:val="19"/>
                <w:szCs w:val="19"/>
              </w:rPr>
            </w:pPr>
            <w:r>
              <w:rPr>
                <w:spacing w:val="2"/>
                <w:sz w:val="19"/>
                <w:szCs w:val="19"/>
              </w:rPr>
              <w:t>2.路由器的作用</w:t>
            </w:r>
          </w:p>
          <w:p w14:paraId="5217E763">
            <w:pPr>
              <w:pStyle w:val="6"/>
              <w:spacing w:before="1" w:line="210" w:lineRule="auto"/>
              <w:ind w:left="12" w:right="758"/>
              <w:rPr>
                <w:sz w:val="19"/>
                <w:szCs w:val="19"/>
              </w:rPr>
            </w:pPr>
            <w:r>
              <w:rPr>
                <w:spacing w:val="-2"/>
                <w:sz w:val="19"/>
                <w:szCs w:val="19"/>
              </w:rPr>
              <w:t>3.路由器的工作原理</w:t>
            </w:r>
            <w:r>
              <w:rPr>
                <w:spacing w:val="7"/>
                <w:sz w:val="19"/>
                <w:szCs w:val="19"/>
              </w:rPr>
              <w:t xml:space="preserve"> </w:t>
            </w:r>
            <w:r>
              <w:rPr>
                <w:spacing w:val="-1"/>
                <w:sz w:val="19"/>
                <w:szCs w:val="19"/>
              </w:rPr>
              <w:t>4.路由器的基本配置</w:t>
            </w:r>
            <w:r>
              <w:rPr>
                <w:spacing w:val="2"/>
                <w:sz w:val="19"/>
                <w:szCs w:val="19"/>
              </w:rPr>
              <w:t xml:space="preserve"> </w:t>
            </w:r>
            <w:r>
              <w:rPr>
                <w:spacing w:val="1"/>
                <w:sz w:val="19"/>
                <w:szCs w:val="19"/>
              </w:rPr>
              <w:t>5.静态路由协议</w:t>
            </w:r>
          </w:p>
          <w:p w14:paraId="4643D86C">
            <w:pPr>
              <w:pStyle w:val="6"/>
              <w:spacing w:line="211" w:lineRule="auto"/>
              <w:ind w:left="12"/>
              <w:rPr>
                <w:sz w:val="19"/>
                <w:szCs w:val="19"/>
              </w:rPr>
            </w:pPr>
            <w:r>
              <w:rPr>
                <w:spacing w:val="-1"/>
                <w:sz w:val="19"/>
                <w:szCs w:val="19"/>
              </w:rPr>
              <w:t>6.静态路由的配置</w:t>
            </w:r>
          </w:p>
        </w:tc>
        <w:tc>
          <w:tcPr>
            <w:tcW w:w="229" w:type="dxa"/>
            <w:vAlign w:val="top"/>
          </w:tcPr>
          <w:p w14:paraId="68943E6F">
            <w:pPr>
              <w:rPr>
                <w:rFonts w:ascii="Arial"/>
                <w:sz w:val="21"/>
              </w:rPr>
            </w:pPr>
          </w:p>
        </w:tc>
        <w:tc>
          <w:tcPr>
            <w:tcW w:w="230" w:type="dxa"/>
            <w:vAlign w:val="top"/>
          </w:tcPr>
          <w:p w14:paraId="26119035">
            <w:pPr>
              <w:rPr>
                <w:rFonts w:ascii="Arial"/>
                <w:sz w:val="21"/>
              </w:rPr>
            </w:pPr>
          </w:p>
        </w:tc>
        <w:tc>
          <w:tcPr>
            <w:tcW w:w="220" w:type="dxa"/>
            <w:vAlign w:val="top"/>
          </w:tcPr>
          <w:p w14:paraId="28A16EE5">
            <w:pPr>
              <w:rPr>
                <w:rFonts w:ascii="Arial"/>
                <w:sz w:val="21"/>
              </w:rPr>
            </w:pPr>
          </w:p>
        </w:tc>
        <w:tc>
          <w:tcPr>
            <w:tcW w:w="234" w:type="dxa"/>
            <w:vAlign w:val="top"/>
          </w:tcPr>
          <w:p w14:paraId="04945DFB">
            <w:pPr>
              <w:rPr>
                <w:rFonts w:ascii="Arial"/>
                <w:sz w:val="21"/>
              </w:rPr>
            </w:pPr>
          </w:p>
        </w:tc>
      </w:tr>
    </w:tbl>
    <w:p w14:paraId="3F25472A">
      <w:pPr>
        <w:spacing w:before="132" w:line="219" w:lineRule="auto"/>
        <w:ind w:left="414"/>
        <w:rPr>
          <w:rFonts w:ascii="宋体" w:hAnsi="宋体" w:eastAsia="宋体" w:cs="宋体"/>
          <w:sz w:val="17"/>
          <w:szCs w:val="17"/>
        </w:rPr>
      </w:pPr>
      <w:r>
        <w:rPr>
          <w:rFonts w:ascii="宋体" w:hAnsi="宋体" w:eastAsia="宋体" w:cs="宋体"/>
          <w:spacing w:val="10"/>
          <w:sz w:val="17"/>
          <w:szCs w:val="17"/>
        </w:rPr>
        <w:t>(四)网络操作系统</w:t>
      </w:r>
    </w:p>
    <w:p w14:paraId="257E082D">
      <w:pPr>
        <w:spacing w:line="86" w:lineRule="exact"/>
      </w:pPr>
    </w:p>
    <w:tbl>
      <w:tblPr>
        <w:tblStyle w:val="5"/>
        <w:tblW w:w="413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13"/>
        <w:gridCol w:w="2504"/>
        <w:gridCol w:w="219"/>
        <w:gridCol w:w="230"/>
        <w:gridCol w:w="230"/>
        <w:gridCol w:w="234"/>
      </w:tblGrid>
      <w:tr w14:paraId="6FC1A2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4" w:hRule="atLeast"/>
        </w:trPr>
        <w:tc>
          <w:tcPr>
            <w:tcW w:w="713" w:type="dxa"/>
            <w:vMerge w:val="restart"/>
            <w:tcBorders>
              <w:bottom w:val="nil"/>
            </w:tcBorders>
            <w:vAlign w:val="top"/>
          </w:tcPr>
          <w:p w14:paraId="48D23030">
            <w:pPr>
              <w:pStyle w:val="6"/>
              <w:spacing w:before="21" w:line="211" w:lineRule="auto"/>
              <w:ind w:left="77" w:right="2" w:hanging="60"/>
              <w:rPr>
                <w:sz w:val="18"/>
                <w:szCs w:val="18"/>
              </w:rPr>
            </w:pPr>
            <w:r>
              <w:rPr>
                <w:b/>
                <w:bCs/>
                <w:spacing w:val="-13"/>
                <w:sz w:val="18"/>
                <w:szCs w:val="18"/>
              </w:rPr>
              <w:t>知</w:t>
            </w:r>
            <w:r>
              <w:rPr>
                <w:b/>
                <w:bCs/>
                <w:spacing w:val="-12"/>
                <w:sz w:val="18"/>
                <w:szCs w:val="18"/>
              </w:rPr>
              <w:t>识与</w:t>
            </w:r>
            <w:r>
              <w:rPr>
                <w:b/>
                <w:bCs/>
                <w:spacing w:val="-11"/>
                <w:sz w:val="18"/>
                <w:szCs w:val="18"/>
              </w:rPr>
              <w:t>技</w:t>
            </w:r>
            <w:r>
              <w:rPr>
                <w:spacing w:val="1"/>
                <w:sz w:val="18"/>
                <w:szCs w:val="18"/>
              </w:rPr>
              <w:t xml:space="preserve"> </w:t>
            </w:r>
            <w:r>
              <w:rPr>
                <w:b/>
                <w:bCs/>
                <w:spacing w:val="1"/>
                <w:sz w:val="18"/>
                <w:szCs w:val="18"/>
              </w:rPr>
              <w:t>能要点</w:t>
            </w:r>
          </w:p>
        </w:tc>
        <w:tc>
          <w:tcPr>
            <w:tcW w:w="2504" w:type="dxa"/>
            <w:vMerge w:val="restart"/>
            <w:tcBorders>
              <w:bottom w:val="nil"/>
            </w:tcBorders>
            <w:vAlign w:val="top"/>
          </w:tcPr>
          <w:p w14:paraId="40044E6E">
            <w:pPr>
              <w:pStyle w:val="6"/>
              <w:spacing w:before="129" w:line="219" w:lineRule="auto"/>
              <w:ind w:left="934"/>
              <w:rPr>
                <w:sz w:val="18"/>
                <w:szCs w:val="18"/>
              </w:rPr>
            </w:pPr>
            <w:r>
              <w:rPr>
                <w:b/>
                <w:bCs/>
                <w:spacing w:val="5"/>
                <w:sz w:val="18"/>
                <w:szCs w:val="18"/>
              </w:rPr>
              <w:t>考试条目</w:t>
            </w:r>
          </w:p>
        </w:tc>
        <w:tc>
          <w:tcPr>
            <w:tcW w:w="913" w:type="dxa"/>
            <w:gridSpan w:val="4"/>
            <w:vAlign w:val="top"/>
          </w:tcPr>
          <w:p w14:paraId="727290A8">
            <w:pPr>
              <w:pStyle w:val="6"/>
              <w:spacing w:before="19" w:line="199" w:lineRule="auto"/>
              <w:ind w:left="130"/>
              <w:rPr>
                <w:sz w:val="18"/>
                <w:szCs w:val="18"/>
              </w:rPr>
            </w:pPr>
            <w:r>
              <w:rPr>
                <w:b/>
                <w:bCs/>
                <w:spacing w:val="-4"/>
                <w:sz w:val="18"/>
                <w:szCs w:val="18"/>
              </w:rPr>
              <w:t>考试水平</w:t>
            </w:r>
          </w:p>
        </w:tc>
      </w:tr>
      <w:tr w14:paraId="370F29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9" w:hRule="atLeast"/>
        </w:trPr>
        <w:tc>
          <w:tcPr>
            <w:tcW w:w="713" w:type="dxa"/>
            <w:vMerge w:val="continue"/>
            <w:tcBorders>
              <w:top w:val="nil"/>
            </w:tcBorders>
            <w:vAlign w:val="top"/>
          </w:tcPr>
          <w:p w14:paraId="0D814947">
            <w:pPr>
              <w:rPr>
                <w:rFonts w:ascii="Arial"/>
                <w:sz w:val="21"/>
              </w:rPr>
            </w:pPr>
          </w:p>
        </w:tc>
        <w:tc>
          <w:tcPr>
            <w:tcW w:w="2504" w:type="dxa"/>
            <w:vMerge w:val="continue"/>
            <w:tcBorders>
              <w:top w:val="nil"/>
            </w:tcBorders>
            <w:vAlign w:val="top"/>
          </w:tcPr>
          <w:p w14:paraId="00D33170">
            <w:pPr>
              <w:rPr>
                <w:rFonts w:ascii="Arial"/>
                <w:sz w:val="21"/>
              </w:rPr>
            </w:pPr>
          </w:p>
        </w:tc>
        <w:tc>
          <w:tcPr>
            <w:tcW w:w="219" w:type="dxa"/>
            <w:vAlign w:val="top"/>
          </w:tcPr>
          <w:p w14:paraId="4B5D41FA">
            <w:pPr>
              <w:pStyle w:val="6"/>
              <w:spacing w:before="63" w:line="136" w:lineRule="exact"/>
              <w:ind w:left="20"/>
              <w:rPr>
                <w:sz w:val="18"/>
                <w:szCs w:val="18"/>
              </w:rPr>
            </w:pPr>
            <w:r>
              <w:rPr>
                <w:b/>
                <w:bCs/>
                <w:spacing w:val="-2"/>
                <w:position w:val="-2"/>
                <w:sz w:val="18"/>
                <w:szCs w:val="18"/>
              </w:rPr>
              <w:t>A</w:t>
            </w:r>
          </w:p>
        </w:tc>
        <w:tc>
          <w:tcPr>
            <w:tcW w:w="230" w:type="dxa"/>
            <w:vAlign w:val="top"/>
          </w:tcPr>
          <w:p w14:paraId="3C715BC1">
            <w:pPr>
              <w:pStyle w:val="6"/>
              <w:spacing w:before="66" w:line="133" w:lineRule="exact"/>
              <w:ind w:left="11"/>
              <w:rPr>
                <w:sz w:val="18"/>
                <w:szCs w:val="18"/>
              </w:rPr>
            </w:pPr>
            <w:r>
              <w:rPr>
                <w:b/>
                <w:bCs/>
                <w:spacing w:val="-2"/>
                <w:position w:val="-2"/>
                <w:sz w:val="18"/>
                <w:szCs w:val="18"/>
              </w:rPr>
              <w:t>B</w:t>
            </w:r>
          </w:p>
        </w:tc>
        <w:tc>
          <w:tcPr>
            <w:tcW w:w="230" w:type="dxa"/>
            <w:vAlign w:val="top"/>
          </w:tcPr>
          <w:p w14:paraId="37626E88">
            <w:pPr>
              <w:pStyle w:val="6"/>
              <w:spacing w:before="63" w:line="136" w:lineRule="exact"/>
              <w:ind w:left="31"/>
              <w:rPr>
                <w:sz w:val="18"/>
                <w:szCs w:val="18"/>
              </w:rPr>
            </w:pPr>
            <w:r>
              <w:rPr>
                <w:b/>
                <w:bCs/>
                <w:spacing w:val="-2"/>
                <w:position w:val="-2"/>
                <w:sz w:val="18"/>
                <w:szCs w:val="18"/>
              </w:rPr>
              <w:t>C</w:t>
            </w:r>
          </w:p>
        </w:tc>
        <w:tc>
          <w:tcPr>
            <w:tcW w:w="234" w:type="dxa"/>
            <w:vAlign w:val="top"/>
          </w:tcPr>
          <w:p w14:paraId="774955BA">
            <w:pPr>
              <w:pStyle w:val="6"/>
              <w:spacing w:before="66" w:line="133" w:lineRule="exact"/>
              <w:ind w:left="21"/>
              <w:rPr>
                <w:sz w:val="18"/>
                <w:szCs w:val="18"/>
              </w:rPr>
            </w:pPr>
            <w:r>
              <w:rPr>
                <w:b/>
                <w:bCs/>
                <w:spacing w:val="-2"/>
                <w:position w:val="-2"/>
                <w:sz w:val="18"/>
                <w:szCs w:val="18"/>
              </w:rPr>
              <w:t>D</w:t>
            </w:r>
          </w:p>
        </w:tc>
      </w:tr>
      <w:tr w14:paraId="78B16B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78" w:hRule="atLeast"/>
        </w:trPr>
        <w:tc>
          <w:tcPr>
            <w:tcW w:w="713" w:type="dxa"/>
            <w:vAlign w:val="top"/>
          </w:tcPr>
          <w:p w14:paraId="11DF407B">
            <w:pPr>
              <w:pStyle w:val="6"/>
              <w:spacing w:before="268" w:line="208" w:lineRule="auto"/>
              <w:ind w:left="75" w:right="78"/>
              <w:rPr>
                <w:sz w:val="18"/>
                <w:szCs w:val="18"/>
              </w:rPr>
            </w:pPr>
            <w:r>
              <w:rPr>
                <w:spacing w:val="3"/>
                <w:sz w:val="18"/>
                <w:szCs w:val="18"/>
              </w:rPr>
              <w:t>网络操</w:t>
            </w:r>
            <w:r>
              <w:rPr>
                <w:sz w:val="18"/>
                <w:szCs w:val="18"/>
              </w:rPr>
              <w:t xml:space="preserve"> </w:t>
            </w:r>
            <w:r>
              <w:rPr>
                <w:spacing w:val="-2"/>
                <w:sz w:val="18"/>
                <w:szCs w:val="18"/>
              </w:rPr>
              <w:t>作系统</w:t>
            </w:r>
          </w:p>
        </w:tc>
        <w:tc>
          <w:tcPr>
            <w:tcW w:w="2504" w:type="dxa"/>
            <w:vAlign w:val="top"/>
          </w:tcPr>
          <w:p w14:paraId="1EF27259">
            <w:pPr>
              <w:pStyle w:val="6"/>
              <w:spacing w:before="49" w:line="215" w:lineRule="auto"/>
              <w:ind w:left="1" w:right="682"/>
              <w:rPr>
                <w:sz w:val="18"/>
                <w:szCs w:val="18"/>
              </w:rPr>
            </w:pPr>
            <w:r>
              <w:rPr>
                <w:sz w:val="18"/>
                <w:szCs w:val="18"/>
              </w:rPr>
              <w:t>1.网络操作系统的功能</w:t>
            </w:r>
            <w:r>
              <w:rPr>
                <w:spacing w:val="8"/>
                <w:sz w:val="18"/>
                <w:szCs w:val="18"/>
              </w:rPr>
              <w:t xml:space="preserve"> </w:t>
            </w:r>
            <w:r>
              <w:rPr>
                <w:spacing w:val="-2"/>
                <w:sz w:val="18"/>
                <w:szCs w:val="18"/>
              </w:rPr>
              <w:t>2.本地用户与组</w:t>
            </w:r>
          </w:p>
          <w:p w14:paraId="316999B7">
            <w:pPr>
              <w:pStyle w:val="6"/>
              <w:spacing w:line="214" w:lineRule="auto"/>
              <w:ind w:left="1"/>
              <w:rPr>
                <w:sz w:val="18"/>
                <w:szCs w:val="18"/>
              </w:rPr>
            </w:pPr>
            <w:r>
              <w:rPr>
                <w:spacing w:val="-1"/>
                <w:sz w:val="18"/>
                <w:szCs w:val="18"/>
              </w:rPr>
              <w:t>3.网络权限与安全策略</w:t>
            </w:r>
          </w:p>
          <w:p w14:paraId="676596D4">
            <w:pPr>
              <w:pStyle w:val="6"/>
              <w:spacing w:line="194" w:lineRule="auto"/>
              <w:jc w:val="right"/>
              <w:rPr>
                <w:sz w:val="18"/>
                <w:szCs w:val="18"/>
              </w:rPr>
            </w:pPr>
            <w:r>
              <w:rPr>
                <w:spacing w:val="-13"/>
                <w:sz w:val="18"/>
                <w:szCs w:val="18"/>
              </w:rPr>
              <w:t>4.Win</w:t>
            </w:r>
            <w:r>
              <w:rPr>
                <w:spacing w:val="-12"/>
                <w:sz w:val="18"/>
                <w:szCs w:val="18"/>
              </w:rPr>
              <w:t>dows Server 2008的基本设</w:t>
            </w:r>
            <w:r>
              <w:rPr>
                <w:spacing w:val="-7"/>
                <w:sz w:val="18"/>
                <w:szCs w:val="18"/>
              </w:rPr>
              <w:t>置</w:t>
            </w:r>
          </w:p>
        </w:tc>
        <w:tc>
          <w:tcPr>
            <w:tcW w:w="219" w:type="dxa"/>
            <w:vAlign w:val="top"/>
          </w:tcPr>
          <w:p w14:paraId="7EE593C3">
            <w:pPr>
              <w:rPr>
                <w:rFonts w:ascii="Arial"/>
                <w:sz w:val="21"/>
              </w:rPr>
            </w:pPr>
          </w:p>
        </w:tc>
        <w:tc>
          <w:tcPr>
            <w:tcW w:w="230" w:type="dxa"/>
            <w:vAlign w:val="top"/>
          </w:tcPr>
          <w:p w14:paraId="65B6A0AB">
            <w:pPr>
              <w:pStyle w:val="6"/>
              <w:spacing w:before="116" w:line="182" w:lineRule="auto"/>
              <w:ind w:left="9"/>
              <w:rPr>
                <w:sz w:val="18"/>
                <w:szCs w:val="18"/>
              </w:rPr>
            </w:pPr>
            <w:r>
              <w:rPr>
                <w:sz w:val="18"/>
                <w:szCs w:val="18"/>
              </w:rPr>
              <w:t>V</w:t>
            </w:r>
          </w:p>
        </w:tc>
        <w:tc>
          <w:tcPr>
            <w:tcW w:w="230" w:type="dxa"/>
            <w:vAlign w:val="top"/>
          </w:tcPr>
          <w:p w14:paraId="02B86E50">
            <w:pPr>
              <w:rPr>
                <w:rFonts w:ascii="Arial"/>
                <w:sz w:val="21"/>
              </w:rPr>
            </w:pPr>
          </w:p>
        </w:tc>
        <w:tc>
          <w:tcPr>
            <w:tcW w:w="234" w:type="dxa"/>
            <w:vAlign w:val="top"/>
          </w:tcPr>
          <w:p w14:paraId="11763D48">
            <w:pPr>
              <w:rPr>
                <w:rFonts w:ascii="Arial"/>
                <w:sz w:val="21"/>
              </w:rPr>
            </w:pPr>
          </w:p>
        </w:tc>
      </w:tr>
      <w:tr w14:paraId="4B043F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746" w:hRule="atLeast"/>
        </w:trPr>
        <w:tc>
          <w:tcPr>
            <w:tcW w:w="713" w:type="dxa"/>
            <w:vAlign w:val="top"/>
          </w:tcPr>
          <w:p w14:paraId="2809E950">
            <w:pPr>
              <w:spacing w:line="316" w:lineRule="auto"/>
              <w:rPr>
                <w:rFonts w:ascii="Arial"/>
                <w:sz w:val="21"/>
              </w:rPr>
            </w:pPr>
          </w:p>
          <w:p w14:paraId="1AC5A12B">
            <w:pPr>
              <w:spacing w:line="317" w:lineRule="auto"/>
              <w:rPr>
                <w:rFonts w:ascii="Arial"/>
                <w:sz w:val="21"/>
              </w:rPr>
            </w:pPr>
          </w:p>
          <w:p w14:paraId="5284984A">
            <w:pPr>
              <w:pStyle w:val="6"/>
              <w:spacing w:before="58" w:line="215" w:lineRule="auto"/>
              <w:ind w:left="165" w:right="169"/>
              <w:rPr>
                <w:sz w:val="18"/>
                <w:szCs w:val="18"/>
              </w:rPr>
            </w:pPr>
            <w:r>
              <w:rPr>
                <w:spacing w:val="4"/>
                <w:sz w:val="18"/>
                <w:szCs w:val="18"/>
              </w:rPr>
              <w:t>网络</w:t>
            </w:r>
            <w:r>
              <w:rPr>
                <w:sz w:val="18"/>
                <w:szCs w:val="18"/>
              </w:rPr>
              <w:t xml:space="preserve"> </w:t>
            </w:r>
            <w:r>
              <w:rPr>
                <w:spacing w:val="-3"/>
                <w:sz w:val="18"/>
                <w:szCs w:val="18"/>
              </w:rPr>
              <w:t>管理</w:t>
            </w:r>
          </w:p>
        </w:tc>
        <w:tc>
          <w:tcPr>
            <w:tcW w:w="2504" w:type="dxa"/>
            <w:vAlign w:val="top"/>
          </w:tcPr>
          <w:p w14:paraId="7C79BD3E">
            <w:pPr>
              <w:pStyle w:val="6"/>
              <w:spacing w:before="21" w:line="219" w:lineRule="auto"/>
              <w:ind w:left="1"/>
              <w:rPr>
                <w:sz w:val="18"/>
                <w:szCs w:val="18"/>
              </w:rPr>
            </w:pPr>
            <w:r>
              <w:rPr>
                <w:spacing w:val="1"/>
                <w:sz w:val="18"/>
                <w:szCs w:val="18"/>
              </w:rPr>
              <w:t>1.网络管理的定义</w:t>
            </w:r>
          </w:p>
          <w:p w14:paraId="13DD6544">
            <w:pPr>
              <w:pStyle w:val="6"/>
              <w:spacing w:before="15" w:line="228" w:lineRule="auto"/>
              <w:ind w:left="1" w:right="701"/>
              <w:rPr>
                <w:sz w:val="18"/>
                <w:szCs w:val="18"/>
              </w:rPr>
            </w:pPr>
            <w:r>
              <w:rPr>
                <w:spacing w:val="-1"/>
                <w:sz w:val="18"/>
                <w:szCs w:val="18"/>
              </w:rPr>
              <w:t>2.网络管理系统的组成</w:t>
            </w:r>
            <w:r>
              <w:rPr>
                <w:sz w:val="18"/>
                <w:szCs w:val="18"/>
              </w:rPr>
              <w:t xml:space="preserve"> </w:t>
            </w:r>
            <w:r>
              <w:rPr>
                <w:spacing w:val="-1"/>
                <w:sz w:val="18"/>
                <w:szCs w:val="18"/>
              </w:rPr>
              <w:t>3.网络管理的功能</w:t>
            </w:r>
          </w:p>
          <w:p w14:paraId="01F600EE">
            <w:pPr>
              <w:pStyle w:val="6"/>
              <w:spacing w:before="6" w:line="205" w:lineRule="auto"/>
              <w:ind w:left="1"/>
              <w:rPr>
                <w:sz w:val="18"/>
                <w:szCs w:val="18"/>
              </w:rPr>
            </w:pPr>
            <w:r>
              <w:rPr>
                <w:spacing w:val="-1"/>
                <w:sz w:val="18"/>
                <w:szCs w:val="18"/>
              </w:rPr>
              <w:t>4.网络故障</w:t>
            </w:r>
          </w:p>
          <w:p w14:paraId="74C0771C">
            <w:pPr>
              <w:pStyle w:val="6"/>
              <w:spacing w:before="1" w:line="232" w:lineRule="auto"/>
              <w:ind w:left="1" w:right="1217"/>
              <w:rPr>
                <w:sz w:val="18"/>
                <w:szCs w:val="18"/>
              </w:rPr>
            </w:pPr>
            <w:r>
              <w:rPr>
                <w:spacing w:val="-2"/>
                <w:sz w:val="18"/>
                <w:szCs w:val="18"/>
              </w:rPr>
              <w:t>5.网络故障排查</w:t>
            </w:r>
            <w:r>
              <w:rPr>
                <w:spacing w:val="4"/>
                <w:sz w:val="18"/>
                <w:szCs w:val="18"/>
              </w:rPr>
              <w:t xml:space="preserve"> </w:t>
            </w:r>
            <w:r>
              <w:rPr>
                <w:spacing w:val="1"/>
                <w:sz w:val="18"/>
                <w:szCs w:val="18"/>
              </w:rPr>
              <w:t>6.网络故障检测</w:t>
            </w:r>
          </w:p>
          <w:p w14:paraId="42E20D85">
            <w:pPr>
              <w:pStyle w:val="6"/>
              <w:spacing w:before="16" w:line="184" w:lineRule="auto"/>
              <w:ind w:left="1"/>
              <w:rPr>
                <w:sz w:val="18"/>
                <w:szCs w:val="18"/>
              </w:rPr>
            </w:pPr>
            <w:r>
              <w:rPr>
                <w:spacing w:val="-2"/>
                <w:sz w:val="18"/>
                <w:szCs w:val="18"/>
              </w:rPr>
              <w:t>7.远程管理与安全</w:t>
            </w:r>
          </w:p>
          <w:p w14:paraId="477C4315">
            <w:pPr>
              <w:pStyle w:val="6"/>
              <w:spacing w:line="189" w:lineRule="auto"/>
              <w:ind w:left="1"/>
              <w:rPr>
                <w:sz w:val="18"/>
                <w:szCs w:val="18"/>
              </w:rPr>
            </w:pPr>
            <w:r>
              <w:rPr>
                <w:spacing w:val="-1"/>
                <w:sz w:val="18"/>
                <w:szCs w:val="18"/>
              </w:rPr>
              <w:t>8.网络管理的基本操作</w:t>
            </w:r>
          </w:p>
        </w:tc>
        <w:tc>
          <w:tcPr>
            <w:tcW w:w="219" w:type="dxa"/>
            <w:vAlign w:val="top"/>
          </w:tcPr>
          <w:p w14:paraId="69E4C22D">
            <w:pPr>
              <w:rPr>
                <w:rFonts w:ascii="Arial"/>
                <w:sz w:val="21"/>
              </w:rPr>
            </w:pPr>
          </w:p>
        </w:tc>
        <w:tc>
          <w:tcPr>
            <w:tcW w:w="230" w:type="dxa"/>
            <w:vAlign w:val="top"/>
          </w:tcPr>
          <w:p w14:paraId="744065B4">
            <w:pPr>
              <w:rPr>
                <w:rFonts w:ascii="Arial"/>
                <w:sz w:val="21"/>
              </w:rPr>
            </w:pPr>
          </w:p>
        </w:tc>
        <w:tc>
          <w:tcPr>
            <w:tcW w:w="230" w:type="dxa"/>
            <w:vAlign w:val="top"/>
          </w:tcPr>
          <w:p w14:paraId="44FC06AB">
            <w:pPr>
              <w:rPr>
                <w:rFonts w:ascii="Arial"/>
                <w:sz w:val="21"/>
              </w:rPr>
            </w:pPr>
          </w:p>
        </w:tc>
        <w:tc>
          <w:tcPr>
            <w:tcW w:w="234" w:type="dxa"/>
            <w:vAlign w:val="top"/>
          </w:tcPr>
          <w:p w14:paraId="11DAE0F2">
            <w:pPr>
              <w:rPr>
                <w:rFonts w:ascii="Arial"/>
                <w:sz w:val="21"/>
              </w:rPr>
            </w:pPr>
          </w:p>
        </w:tc>
      </w:tr>
      <w:tr w14:paraId="107B3F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92" w:hRule="atLeast"/>
        </w:trPr>
        <w:tc>
          <w:tcPr>
            <w:tcW w:w="713" w:type="dxa"/>
            <w:vAlign w:val="top"/>
          </w:tcPr>
          <w:p w14:paraId="1ABE8EC9">
            <w:pPr>
              <w:spacing w:line="319" w:lineRule="auto"/>
              <w:rPr>
                <w:rFonts w:ascii="Arial"/>
                <w:sz w:val="21"/>
              </w:rPr>
            </w:pPr>
          </w:p>
          <w:p w14:paraId="303D062C">
            <w:pPr>
              <w:pStyle w:val="6"/>
              <w:spacing w:before="58" w:line="215" w:lineRule="auto"/>
              <w:ind w:left="165" w:right="169"/>
              <w:rPr>
                <w:sz w:val="18"/>
                <w:szCs w:val="18"/>
              </w:rPr>
            </w:pPr>
            <w:r>
              <w:rPr>
                <w:spacing w:val="4"/>
                <w:sz w:val="18"/>
                <w:szCs w:val="18"/>
              </w:rPr>
              <w:t>网络</w:t>
            </w:r>
            <w:r>
              <w:rPr>
                <w:sz w:val="18"/>
                <w:szCs w:val="18"/>
              </w:rPr>
              <w:t xml:space="preserve"> </w:t>
            </w:r>
            <w:r>
              <w:rPr>
                <w:spacing w:val="-2"/>
                <w:sz w:val="18"/>
                <w:szCs w:val="18"/>
              </w:rPr>
              <w:t>服务</w:t>
            </w:r>
          </w:p>
        </w:tc>
        <w:tc>
          <w:tcPr>
            <w:tcW w:w="2504" w:type="dxa"/>
            <w:vAlign w:val="top"/>
          </w:tcPr>
          <w:p w14:paraId="407096AB">
            <w:pPr>
              <w:pStyle w:val="6"/>
              <w:spacing w:before="44" w:line="214" w:lineRule="auto"/>
              <w:ind w:left="1" w:right="1673"/>
              <w:rPr>
                <w:sz w:val="18"/>
                <w:szCs w:val="18"/>
              </w:rPr>
            </w:pPr>
            <w:r>
              <w:rPr>
                <w:spacing w:val="2"/>
                <w:sz w:val="18"/>
                <w:szCs w:val="18"/>
              </w:rPr>
              <w:t>1.</w:t>
            </w:r>
            <w:r>
              <w:rPr>
                <w:sz w:val="18"/>
                <w:szCs w:val="18"/>
              </w:rPr>
              <w:t>Web</w:t>
            </w:r>
            <w:r>
              <w:rPr>
                <w:spacing w:val="2"/>
                <w:sz w:val="18"/>
                <w:szCs w:val="18"/>
              </w:rPr>
              <w:t>服务</w:t>
            </w:r>
            <w:r>
              <w:rPr>
                <w:sz w:val="18"/>
                <w:szCs w:val="18"/>
              </w:rPr>
              <w:t xml:space="preserve"> </w:t>
            </w:r>
            <w:r>
              <w:rPr>
                <w:spacing w:val="28"/>
                <w:sz w:val="18"/>
                <w:szCs w:val="18"/>
              </w:rPr>
              <w:t>2</w:t>
            </w:r>
            <w:r>
              <w:rPr>
                <w:spacing w:val="-40"/>
                <w:sz w:val="18"/>
                <w:szCs w:val="18"/>
              </w:rPr>
              <w:t xml:space="preserve"> </w:t>
            </w:r>
            <w:r>
              <w:rPr>
                <w:spacing w:val="28"/>
                <w:sz w:val="18"/>
                <w:szCs w:val="18"/>
              </w:rPr>
              <w:t>.</w:t>
            </w:r>
            <w:r>
              <w:rPr>
                <w:spacing w:val="-48"/>
                <w:sz w:val="18"/>
                <w:szCs w:val="18"/>
              </w:rPr>
              <w:t xml:space="preserve"> </w:t>
            </w:r>
            <w:r>
              <w:rPr>
                <w:sz w:val="18"/>
                <w:szCs w:val="18"/>
              </w:rPr>
              <w:t>FTP</w:t>
            </w:r>
            <w:r>
              <w:rPr>
                <w:spacing w:val="28"/>
                <w:sz w:val="18"/>
                <w:szCs w:val="18"/>
              </w:rPr>
              <w:t>服</w:t>
            </w:r>
          </w:p>
          <w:p w14:paraId="6D1BD040">
            <w:pPr>
              <w:pStyle w:val="6"/>
              <w:spacing w:before="33" w:line="205" w:lineRule="auto"/>
              <w:ind w:left="1"/>
              <w:rPr>
                <w:sz w:val="18"/>
                <w:szCs w:val="18"/>
              </w:rPr>
            </w:pPr>
            <w:r>
              <w:rPr>
                <w:spacing w:val="28"/>
                <w:sz w:val="18"/>
                <w:szCs w:val="18"/>
              </w:rPr>
              <w:t>3</w:t>
            </w:r>
            <w:r>
              <w:rPr>
                <w:spacing w:val="-44"/>
                <w:sz w:val="18"/>
                <w:szCs w:val="18"/>
              </w:rPr>
              <w:t xml:space="preserve"> </w:t>
            </w:r>
            <w:r>
              <w:rPr>
                <w:spacing w:val="28"/>
                <w:sz w:val="18"/>
                <w:szCs w:val="18"/>
              </w:rPr>
              <w:t>.</w:t>
            </w:r>
            <w:r>
              <w:rPr>
                <w:spacing w:val="-51"/>
                <w:sz w:val="18"/>
                <w:szCs w:val="18"/>
              </w:rPr>
              <w:t xml:space="preserve"> </w:t>
            </w:r>
            <w:r>
              <w:rPr>
                <w:sz w:val="18"/>
                <w:szCs w:val="18"/>
              </w:rPr>
              <w:t>DNS</w:t>
            </w:r>
            <w:r>
              <w:rPr>
                <w:spacing w:val="28"/>
                <w:sz w:val="18"/>
                <w:szCs w:val="18"/>
              </w:rPr>
              <w:t>服务</w:t>
            </w:r>
          </w:p>
          <w:p w14:paraId="5190C6E8">
            <w:pPr>
              <w:pStyle w:val="6"/>
              <w:spacing w:line="198" w:lineRule="auto"/>
              <w:ind w:left="1" w:right="1242"/>
              <w:rPr>
                <w:sz w:val="18"/>
                <w:szCs w:val="18"/>
              </w:rPr>
            </w:pPr>
            <w:r>
              <w:rPr>
                <w:spacing w:val="21"/>
                <w:sz w:val="18"/>
                <w:szCs w:val="18"/>
              </w:rPr>
              <w:t>4</w:t>
            </w:r>
            <w:r>
              <w:rPr>
                <w:spacing w:val="-34"/>
                <w:sz w:val="18"/>
                <w:szCs w:val="18"/>
              </w:rPr>
              <w:t xml:space="preserve"> </w:t>
            </w:r>
            <w:r>
              <w:rPr>
                <w:spacing w:val="21"/>
                <w:sz w:val="18"/>
                <w:szCs w:val="18"/>
              </w:rPr>
              <w:t>.</w:t>
            </w:r>
            <w:r>
              <w:rPr>
                <w:spacing w:val="-47"/>
                <w:sz w:val="18"/>
                <w:szCs w:val="18"/>
              </w:rPr>
              <w:t xml:space="preserve"> </w:t>
            </w:r>
            <w:r>
              <w:rPr>
                <w:spacing w:val="21"/>
                <w:sz w:val="18"/>
                <w:szCs w:val="18"/>
              </w:rPr>
              <w:t>DHCP服务</w:t>
            </w:r>
            <w:r>
              <w:rPr>
                <w:sz w:val="18"/>
                <w:szCs w:val="18"/>
              </w:rPr>
              <w:t xml:space="preserve">  </w:t>
            </w:r>
            <w:r>
              <w:rPr>
                <w:spacing w:val="-2"/>
                <w:sz w:val="18"/>
                <w:szCs w:val="18"/>
              </w:rPr>
              <w:t>5.远程桌面服务</w:t>
            </w:r>
          </w:p>
        </w:tc>
        <w:tc>
          <w:tcPr>
            <w:tcW w:w="219" w:type="dxa"/>
            <w:vAlign w:val="top"/>
          </w:tcPr>
          <w:p w14:paraId="3A427793">
            <w:pPr>
              <w:rPr>
                <w:rFonts w:ascii="Arial"/>
                <w:sz w:val="21"/>
              </w:rPr>
            </w:pPr>
          </w:p>
        </w:tc>
        <w:tc>
          <w:tcPr>
            <w:tcW w:w="230" w:type="dxa"/>
            <w:vAlign w:val="top"/>
          </w:tcPr>
          <w:p w14:paraId="100E4B4C">
            <w:pPr>
              <w:rPr>
                <w:rFonts w:ascii="Arial"/>
                <w:sz w:val="21"/>
              </w:rPr>
            </w:pPr>
          </w:p>
        </w:tc>
        <w:tc>
          <w:tcPr>
            <w:tcW w:w="230" w:type="dxa"/>
            <w:vAlign w:val="top"/>
          </w:tcPr>
          <w:p w14:paraId="70F9F147">
            <w:pPr>
              <w:rPr>
                <w:rFonts w:ascii="Arial"/>
                <w:sz w:val="21"/>
              </w:rPr>
            </w:pPr>
          </w:p>
        </w:tc>
        <w:tc>
          <w:tcPr>
            <w:tcW w:w="234" w:type="dxa"/>
            <w:vAlign w:val="top"/>
          </w:tcPr>
          <w:p w14:paraId="3B7AB625">
            <w:pPr>
              <w:rPr>
                <w:rFonts w:ascii="Arial"/>
                <w:sz w:val="21"/>
              </w:rPr>
            </w:pPr>
          </w:p>
        </w:tc>
      </w:tr>
    </w:tbl>
    <w:p w14:paraId="6BB4E88E">
      <w:pPr>
        <w:spacing w:before="132" w:line="212" w:lineRule="auto"/>
        <w:ind w:left="414"/>
        <w:rPr>
          <w:rFonts w:ascii="宋体" w:hAnsi="宋体" w:eastAsia="宋体" w:cs="宋体"/>
          <w:sz w:val="17"/>
          <w:szCs w:val="17"/>
        </w:rPr>
      </w:pPr>
      <w:r>
        <w:rPr>
          <w:rFonts w:ascii="宋体" w:hAnsi="宋体" w:eastAsia="宋体" w:cs="宋体"/>
          <w:spacing w:val="17"/>
          <w:sz w:val="17"/>
          <w:szCs w:val="17"/>
        </w:rPr>
        <w:t>(五)因特网</w:t>
      </w:r>
      <w:r>
        <w:rPr>
          <w:rFonts w:ascii="Times New Roman" w:hAnsi="Times New Roman" w:eastAsia="Times New Roman" w:cs="Times New Roman"/>
          <w:spacing w:val="17"/>
          <w:sz w:val="17"/>
          <w:szCs w:val="17"/>
        </w:rPr>
        <w:t>(</w:t>
      </w:r>
      <w:r>
        <w:rPr>
          <w:rFonts w:ascii="Times New Roman" w:hAnsi="Times New Roman" w:eastAsia="Times New Roman" w:cs="Times New Roman"/>
          <w:sz w:val="17"/>
          <w:szCs w:val="17"/>
        </w:rPr>
        <w:t>Internet</w:t>
      </w:r>
      <w:r>
        <w:rPr>
          <w:rFonts w:ascii="Times New Roman" w:hAnsi="Times New Roman" w:eastAsia="Times New Roman" w:cs="Times New Roman"/>
          <w:spacing w:val="17"/>
          <w:sz w:val="17"/>
          <w:szCs w:val="17"/>
        </w:rPr>
        <w:t>)</w:t>
      </w:r>
      <w:r>
        <w:rPr>
          <w:rFonts w:ascii="Times New Roman" w:hAnsi="Times New Roman" w:eastAsia="Times New Roman" w:cs="Times New Roman"/>
          <w:spacing w:val="13"/>
          <w:sz w:val="17"/>
          <w:szCs w:val="17"/>
        </w:rPr>
        <w:t xml:space="preserve">   </w:t>
      </w:r>
      <w:r>
        <w:rPr>
          <w:rFonts w:ascii="宋体" w:hAnsi="宋体" w:eastAsia="宋体" w:cs="宋体"/>
          <w:spacing w:val="17"/>
          <w:sz w:val="17"/>
          <w:szCs w:val="17"/>
        </w:rPr>
        <w:t>应用</w:t>
      </w:r>
    </w:p>
    <w:p w14:paraId="39980B0C">
      <w:pPr>
        <w:spacing w:line="102" w:lineRule="exact"/>
      </w:pPr>
    </w:p>
    <w:tbl>
      <w:tblPr>
        <w:tblStyle w:val="5"/>
        <w:tblW w:w="413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3"/>
        <w:gridCol w:w="2514"/>
        <w:gridCol w:w="219"/>
        <w:gridCol w:w="230"/>
        <w:gridCol w:w="230"/>
        <w:gridCol w:w="234"/>
      </w:tblGrid>
      <w:tr w14:paraId="6ADEE4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4" w:hRule="atLeast"/>
        </w:trPr>
        <w:tc>
          <w:tcPr>
            <w:tcW w:w="703" w:type="dxa"/>
            <w:vMerge w:val="restart"/>
            <w:tcBorders>
              <w:bottom w:val="nil"/>
            </w:tcBorders>
            <w:vAlign w:val="top"/>
          </w:tcPr>
          <w:p w14:paraId="00D6D427">
            <w:pPr>
              <w:pStyle w:val="6"/>
              <w:spacing w:before="21" w:line="206" w:lineRule="auto"/>
              <w:ind w:left="77" w:right="3" w:hanging="60"/>
              <w:rPr>
                <w:sz w:val="18"/>
                <w:szCs w:val="18"/>
              </w:rPr>
            </w:pPr>
            <w:r>
              <w:rPr>
                <w:b/>
                <w:bCs/>
                <w:spacing w:val="-15"/>
                <w:sz w:val="18"/>
                <w:szCs w:val="18"/>
              </w:rPr>
              <w:t>知识与</w:t>
            </w:r>
            <w:r>
              <w:rPr>
                <w:b/>
                <w:bCs/>
                <w:spacing w:val="-11"/>
                <w:sz w:val="18"/>
                <w:szCs w:val="18"/>
              </w:rPr>
              <w:t>技</w:t>
            </w:r>
            <w:r>
              <w:rPr>
                <w:sz w:val="18"/>
                <w:szCs w:val="18"/>
              </w:rPr>
              <w:t xml:space="preserve"> </w:t>
            </w:r>
            <w:r>
              <w:rPr>
                <w:b/>
                <w:bCs/>
                <w:spacing w:val="1"/>
                <w:sz w:val="18"/>
                <w:szCs w:val="18"/>
              </w:rPr>
              <w:t>能要点</w:t>
            </w:r>
          </w:p>
        </w:tc>
        <w:tc>
          <w:tcPr>
            <w:tcW w:w="2514" w:type="dxa"/>
            <w:vMerge w:val="restart"/>
            <w:tcBorders>
              <w:bottom w:val="nil"/>
            </w:tcBorders>
            <w:vAlign w:val="top"/>
          </w:tcPr>
          <w:p w14:paraId="66C5ABFB">
            <w:pPr>
              <w:pStyle w:val="6"/>
              <w:spacing w:before="129" w:line="219" w:lineRule="auto"/>
              <w:ind w:left="944"/>
              <w:rPr>
                <w:sz w:val="18"/>
                <w:szCs w:val="18"/>
              </w:rPr>
            </w:pPr>
            <w:r>
              <w:rPr>
                <w:b/>
                <w:bCs/>
                <w:spacing w:val="5"/>
                <w:sz w:val="18"/>
                <w:szCs w:val="18"/>
              </w:rPr>
              <w:t>考试条目</w:t>
            </w:r>
          </w:p>
        </w:tc>
        <w:tc>
          <w:tcPr>
            <w:tcW w:w="913" w:type="dxa"/>
            <w:gridSpan w:val="4"/>
            <w:vAlign w:val="top"/>
          </w:tcPr>
          <w:p w14:paraId="63FA893D">
            <w:pPr>
              <w:pStyle w:val="6"/>
              <w:spacing w:before="19" w:line="199" w:lineRule="auto"/>
              <w:ind w:left="150"/>
              <w:rPr>
                <w:sz w:val="18"/>
                <w:szCs w:val="18"/>
              </w:rPr>
            </w:pPr>
            <w:r>
              <w:rPr>
                <w:b/>
                <w:bCs/>
                <w:spacing w:val="-4"/>
                <w:sz w:val="18"/>
                <w:szCs w:val="18"/>
              </w:rPr>
              <w:t>考试水平</w:t>
            </w:r>
          </w:p>
        </w:tc>
      </w:tr>
      <w:tr w14:paraId="6855E4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99" w:hRule="atLeast"/>
        </w:trPr>
        <w:tc>
          <w:tcPr>
            <w:tcW w:w="703" w:type="dxa"/>
            <w:vMerge w:val="continue"/>
            <w:tcBorders>
              <w:top w:val="nil"/>
            </w:tcBorders>
            <w:vAlign w:val="top"/>
          </w:tcPr>
          <w:p w14:paraId="3DB8C705">
            <w:pPr>
              <w:rPr>
                <w:rFonts w:ascii="Arial"/>
                <w:sz w:val="21"/>
              </w:rPr>
            </w:pPr>
          </w:p>
        </w:tc>
        <w:tc>
          <w:tcPr>
            <w:tcW w:w="2514" w:type="dxa"/>
            <w:vMerge w:val="continue"/>
            <w:tcBorders>
              <w:top w:val="nil"/>
            </w:tcBorders>
            <w:vAlign w:val="top"/>
          </w:tcPr>
          <w:p w14:paraId="1E17B847">
            <w:pPr>
              <w:rPr>
                <w:rFonts w:ascii="Arial"/>
                <w:sz w:val="21"/>
              </w:rPr>
            </w:pPr>
          </w:p>
        </w:tc>
        <w:tc>
          <w:tcPr>
            <w:tcW w:w="219" w:type="dxa"/>
            <w:vAlign w:val="top"/>
          </w:tcPr>
          <w:p w14:paraId="18051113">
            <w:pPr>
              <w:pStyle w:val="6"/>
              <w:spacing w:before="43" w:line="145" w:lineRule="exact"/>
              <w:ind w:left="18"/>
              <w:rPr>
                <w:sz w:val="18"/>
                <w:szCs w:val="18"/>
              </w:rPr>
            </w:pPr>
            <w:r>
              <w:rPr>
                <w:position w:val="-2"/>
                <w:sz w:val="18"/>
                <w:szCs w:val="18"/>
              </w:rPr>
              <w:t>A</w:t>
            </w:r>
          </w:p>
        </w:tc>
        <w:tc>
          <w:tcPr>
            <w:tcW w:w="230" w:type="dxa"/>
            <w:vAlign w:val="top"/>
          </w:tcPr>
          <w:p w14:paraId="236412DB">
            <w:pPr>
              <w:pStyle w:val="6"/>
              <w:spacing w:before="46" w:line="142" w:lineRule="exact"/>
              <w:ind w:left="29"/>
              <w:rPr>
                <w:sz w:val="18"/>
                <w:szCs w:val="18"/>
              </w:rPr>
            </w:pPr>
            <w:r>
              <w:rPr>
                <w:position w:val="-2"/>
                <w:sz w:val="18"/>
                <w:szCs w:val="18"/>
              </w:rPr>
              <w:t>B</w:t>
            </w:r>
          </w:p>
        </w:tc>
        <w:tc>
          <w:tcPr>
            <w:tcW w:w="230" w:type="dxa"/>
            <w:vAlign w:val="top"/>
          </w:tcPr>
          <w:p w14:paraId="00C6EA08">
            <w:pPr>
              <w:pStyle w:val="6"/>
              <w:spacing w:before="44" w:line="144" w:lineRule="exact"/>
              <w:ind w:left="19"/>
              <w:rPr>
                <w:sz w:val="18"/>
                <w:szCs w:val="18"/>
              </w:rPr>
            </w:pPr>
            <w:r>
              <w:rPr>
                <w:position w:val="-2"/>
                <w:sz w:val="18"/>
                <w:szCs w:val="18"/>
              </w:rPr>
              <w:t>C</w:t>
            </w:r>
          </w:p>
        </w:tc>
        <w:tc>
          <w:tcPr>
            <w:tcW w:w="234" w:type="dxa"/>
            <w:vAlign w:val="top"/>
          </w:tcPr>
          <w:p w14:paraId="70BDD712">
            <w:pPr>
              <w:pStyle w:val="6"/>
              <w:spacing w:before="46" w:line="142" w:lineRule="exact"/>
              <w:ind w:left="21"/>
              <w:rPr>
                <w:sz w:val="18"/>
                <w:szCs w:val="18"/>
              </w:rPr>
            </w:pPr>
            <w:r>
              <w:rPr>
                <w:b/>
                <w:bCs/>
                <w:spacing w:val="-2"/>
                <w:position w:val="-2"/>
                <w:sz w:val="18"/>
                <w:szCs w:val="18"/>
              </w:rPr>
              <w:t>D</w:t>
            </w:r>
          </w:p>
        </w:tc>
      </w:tr>
      <w:tr w14:paraId="52196F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75" w:hRule="atLeast"/>
        </w:trPr>
        <w:tc>
          <w:tcPr>
            <w:tcW w:w="703" w:type="dxa"/>
            <w:vAlign w:val="top"/>
          </w:tcPr>
          <w:p w14:paraId="3E46B516">
            <w:pPr>
              <w:pStyle w:val="6"/>
              <w:spacing w:before="139" w:line="219" w:lineRule="auto"/>
              <w:ind w:left="75"/>
              <w:rPr>
                <w:sz w:val="18"/>
                <w:szCs w:val="18"/>
              </w:rPr>
            </w:pPr>
            <w:r>
              <w:rPr>
                <w:spacing w:val="5"/>
                <w:sz w:val="18"/>
                <w:szCs w:val="18"/>
              </w:rPr>
              <w:t>因特网</w:t>
            </w:r>
          </w:p>
          <w:p w14:paraId="4ED2C203">
            <w:pPr>
              <w:pStyle w:val="6"/>
              <w:spacing w:before="26" w:line="217" w:lineRule="auto"/>
              <w:ind w:left="75"/>
              <w:rPr>
                <w:sz w:val="18"/>
                <w:szCs w:val="18"/>
              </w:rPr>
            </w:pPr>
            <w:r>
              <w:rPr>
                <w:spacing w:val="4"/>
                <w:sz w:val="18"/>
                <w:szCs w:val="18"/>
              </w:rPr>
              <w:t>概念和</w:t>
            </w:r>
          </w:p>
          <w:p w14:paraId="4FE32163">
            <w:pPr>
              <w:pStyle w:val="6"/>
              <w:spacing w:line="220" w:lineRule="auto"/>
              <w:ind w:left="165"/>
              <w:rPr>
                <w:sz w:val="18"/>
                <w:szCs w:val="18"/>
              </w:rPr>
            </w:pPr>
            <w:r>
              <w:rPr>
                <w:spacing w:val="-3"/>
                <w:sz w:val="18"/>
                <w:szCs w:val="18"/>
              </w:rPr>
              <w:t>功能</w:t>
            </w:r>
          </w:p>
        </w:tc>
        <w:tc>
          <w:tcPr>
            <w:tcW w:w="2514" w:type="dxa"/>
            <w:vAlign w:val="top"/>
          </w:tcPr>
          <w:p w14:paraId="7BFC83B4">
            <w:pPr>
              <w:pStyle w:val="6"/>
              <w:spacing w:before="58" w:line="205" w:lineRule="auto"/>
              <w:ind w:left="11"/>
              <w:rPr>
                <w:sz w:val="18"/>
                <w:szCs w:val="18"/>
              </w:rPr>
            </w:pPr>
            <w:r>
              <w:rPr>
                <w:sz w:val="18"/>
                <w:szCs w:val="18"/>
              </w:rPr>
              <w:t>1.因特网的基本概念</w:t>
            </w:r>
          </w:p>
          <w:p w14:paraId="5E62C971">
            <w:pPr>
              <w:pStyle w:val="6"/>
              <w:spacing w:line="218" w:lineRule="auto"/>
              <w:ind w:left="11"/>
              <w:rPr>
                <w:sz w:val="18"/>
                <w:szCs w:val="18"/>
              </w:rPr>
            </w:pPr>
            <w:r>
              <w:rPr>
                <w:spacing w:val="-1"/>
                <w:sz w:val="18"/>
                <w:szCs w:val="18"/>
              </w:rPr>
              <w:t>2.因特网提供的主要服务</w:t>
            </w:r>
          </w:p>
          <w:p w14:paraId="5D7A49DE">
            <w:pPr>
              <w:pStyle w:val="6"/>
              <w:spacing w:before="27" w:line="191" w:lineRule="auto"/>
              <w:ind w:left="11"/>
              <w:rPr>
                <w:sz w:val="18"/>
                <w:szCs w:val="18"/>
              </w:rPr>
            </w:pPr>
            <w:r>
              <w:rPr>
                <w:spacing w:val="-2"/>
                <w:sz w:val="18"/>
                <w:szCs w:val="18"/>
              </w:rPr>
              <w:t>3.TCP/IP协议</w:t>
            </w:r>
          </w:p>
          <w:p w14:paraId="7BD3ADB4">
            <w:pPr>
              <w:pStyle w:val="6"/>
              <w:spacing w:line="183" w:lineRule="auto"/>
              <w:ind w:left="14"/>
              <w:rPr>
                <w:sz w:val="18"/>
                <w:szCs w:val="18"/>
              </w:rPr>
            </w:pPr>
            <w:r>
              <w:rPr>
                <w:b/>
                <w:bCs/>
                <w:spacing w:val="-2"/>
                <w:sz w:val="18"/>
                <w:szCs w:val="18"/>
              </w:rPr>
              <w:t>4.IP地址</w:t>
            </w:r>
          </w:p>
        </w:tc>
        <w:tc>
          <w:tcPr>
            <w:tcW w:w="219" w:type="dxa"/>
            <w:vAlign w:val="top"/>
          </w:tcPr>
          <w:p w14:paraId="2C741D72">
            <w:pPr>
              <w:rPr>
                <w:rFonts w:ascii="Arial"/>
                <w:sz w:val="21"/>
              </w:rPr>
            </w:pPr>
          </w:p>
        </w:tc>
        <w:tc>
          <w:tcPr>
            <w:tcW w:w="230" w:type="dxa"/>
            <w:vAlign w:val="top"/>
          </w:tcPr>
          <w:p w14:paraId="19C5C4BB">
            <w:pPr>
              <w:rPr>
                <w:rFonts w:ascii="Arial"/>
                <w:sz w:val="21"/>
              </w:rPr>
            </w:pPr>
          </w:p>
        </w:tc>
        <w:tc>
          <w:tcPr>
            <w:tcW w:w="230" w:type="dxa"/>
            <w:vAlign w:val="top"/>
          </w:tcPr>
          <w:p w14:paraId="23D3A6E7">
            <w:pPr>
              <w:rPr>
                <w:rFonts w:ascii="Arial"/>
                <w:sz w:val="21"/>
              </w:rPr>
            </w:pPr>
          </w:p>
        </w:tc>
        <w:tc>
          <w:tcPr>
            <w:tcW w:w="234" w:type="dxa"/>
            <w:vAlign w:val="top"/>
          </w:tcPr>
          <w:p w14:paraId="0176AEB8">
            <w:pPr>
              <w:rPr>
                <w:rFonts w:ascii="Arial"/>
                <w:sz w:val="21"/>
              </w:rPr>
            </w:pPr>
          </w:p>
        </w:tc>
      </w:tr>
      <w:tr w14:paraId="225D25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11" w:hRule="atLeast"/>
        </w:trPr>
        <w:tc>
          <w:tcPr>
            <w:tcW w:w="703" w:type="dxa"/>
            <w:vAlign w:val="top"/>
          </w:tcPr>
          <w:p w14:paraId="7C269AF4">
            <w:pPr>
              <w:pStyle w:val="6"/>
              <w:spacing w:before="181" w:line="214" w:lineRule="auto"/>
              <w:ind w:left="77" w:right="62"/>
              <w:rPr>
                <w:sz w:val="18"/>
                <w:szCs w:val="18"/>
              </w:rPr>
            </w:pPr>
            <w:r>
              <w:rPr>
                <w:b/>
                <w:bCs/>
                <w:spacing w:val="2"/>
                <w:sz w:val="18"/>
                <w:szCs w:val="18"/>
              </w:rPr>
              <w:t>因特网</w:t>
            </w:r>
            <w:r>
              <w:rPr>
                <w:sz w:val="18"/>
                <w:szCs w:val="18"/>
              </w:rPr>
              <w:t xml:space="preserve"> </w:t>
            </w:r>
            <w:r>
              <w:rPr>
                <w:b/>
                <w:bCs/>
                <w:spacing w:val="-2"/>
                <w:sz w:val="18"/>
                <w:szCs w:val="18"/>
              </w:rPr>
              <w:t>的接入</w:t>
            </w:r>
          </w:p>
        </w:tc>
        <w:tc>
          <w:tcPr>
            <w:tcW w:w="2514" w:type="dxa"/>
            <w:vAlign w:val="top"/>
          </w:tcPr>
          <w:p w14:paraId="7A5564FD">
            <w:pPr>
              <w:pStyle w:val="6"/>
              <w:spacing w:before="63" w:line="231" w:lineRule="auto"/>
              <w:ind w:left="11" w:right="504"/>
              <w:rPr>
                <w:sz w:val="18"/>
                <w:szCs w:val="18"/>
              </w:rPr>
            </w:pPr>
            <w:r>
              <w:rPr>
                <w:sz w:val="18"/>
                <w:szCs w:val="18"/>
              </w:rPr>
              <w:t>1.因特网的常用接入方式</w:t>
            </w:r>
            <w:r>
              <w:rPr>
                <w:spacing w:val="6"/>
                <w:sz w:val="18"/>
                <w:szCs w:val="18"/>
              </w:rPr>
              <w:t xml:space="preserve"> </w:t>
            </w:r>
            <w:r>
              <w:rPr>
                <w:spacing w:val="-1"/>
                <w:sz w:val="18"/>
                <w:szCs w:val="18"/>
              </w:rPr>
              <w:t>2.因特网接入相关设备</w:t>
            </w:r>
          </w:p>
          <w:p w14:paraId="19E42826">
            <w:pPr>
              <w:pStyle w:val="6"/>
              <w:spacing w:line="191" w:lineRule="auto"/>
              <w:ind w:left="11"/>
              <w:rPr>
                <w:sz w:val="18"/>
                <w:szCs w:val="18"/>
              </w:rPr>
            </w:pPr>
            <w:r>
              <w:rPr>
                <w:spacing w:val="-1"/>
                <w:sz w:val="18"/>
                <w:szCs w:val="18"/>
              </w:rPr>
              <w:t>3.无线路由器的配置</w:t>
            </w:r>
          </w:p>
        </w:tc>
        <w:tc>
          <w:tcPr>
            <w:tcW w:w="219" w:type="dxa"/>
            <w:vAlign w:val="top"/>
          </w:tcPr>
          <w:p w14:paraId="1A82ECE1">
            <w:pPr>
              <w:rPr>
                <w:rFonts w:ascii="Arial"/>
                <w:sz w:val="21"/>
              </w:rPr>
            </w:pPr>
          </w:p>
        </w:tc>
        <w:tc>
          <w:tcPr>
            <w:tcW w:w="230" w:type="dxa"/>
            <w:vAlign w:val="top"/>
          </w:tcPr>
          <w:p w14:paraId="50BE83A8">
            <w:pPr>
              <w:rPr>
                <w:rFonts w:ascii="Arial"/>
                <w:sz w:val="21"/>
              </w:rPr>
            </w:pPr>
          </w:p>
        </w:tc>
        <w:tc>
          <w:tcPr>
            <w:tcW w:w="230" w:type="dxa"/>
            <w:vAlign w:val="top"/>
          </w:tcPr>
          <w:p w14:paraId="2A3F2CF1">
            <w:pPr>
              <w:rPr>
                <w:rFonts w:ascii="Arial"/>
                <w:sz w:val="21"/>
              </w:rPr>
            </w:pPr>
          </w:p>
        </w:tc>
        <w:tc>
          <w:tcPr>
            <w:tcW w:w="234" w:type="dxa"/>
            <w:vAlign w:val="top"/>
          </w:tcPr>
          <w:p w14:paraId="2AE28338">
            <w:pPr>
              <w:rPr>
                <w:rFonts w:ascii="Arial"/>
                <w:sz w:val="21"/>
              </w:rPr>
            </w:pPr>
          </w:p>
        </w:tc>
      </w:tr>
    </w:tbl>
    <w:p w14:paraId="4D75314D">
      <w:pPr>
        <w:pStyle w:val="2"/>
        <w:spacing w:line="30" w:lineRule="exact"/>
        <w:rPr>
          <w:sz w:val="2"/>
        </w:rPr>
      </w:pPr>
    </w:p>
    <w:p w14:paraId="26723560">
      <w:pPr>
        <w:spacing w:line="30" w:lineRule="exact"/>
        <w:rPr>
          <w:sz w:val="2"/>
          <w:szCs w:val="2"/>
        </w:rPr>
        <w:sectPr>
          <w:type w:val="continuous"/>
          <w:pgSz w:w="10660" w:h="15080"/>
          <w:pgMar w:top="400" w:right="884" w:bottom="925" w:left="1019" w:header="0" w:footer="705" w:gutter="0"/>
          <w:cols w:equalWidth="0" w:num="2">
            <w:col w:w="4506" w:space="100"/>
            <w:col w:w="4151"/>
          </w:cols>
        </w:sectPr>
      </w:pPr>
    </w:p>
    <w:p w14:paraId="187DE25C">
      <w:pPr>
        <w:spacing w:before="13"/>
      </w:pPr>
    </w:p>
    <w:p w14:paraId="54BEE2AB">
      <w:pPr>
        <w:spacing w:before="12"/>
      </w:pPr>
    </w:p>
    <w:p w14:paraId="3480FB35">
      <w:pPr>
        <w:spacing w:before="12"/>
      </w:pPr>
    </w:p>
    <w:p w14:paraId="61E68F48">
      <w:pPr>
        <w:spacing w:before="12"/>
      </w:pPr>
    </w:p>
    <w:p w14:paraId="54DA18D8">
      <w:pPr>
        <w:sectPr>
          <w:footerReference r:id="rId40" w:type="default"/>
          <w:pgSz w:w="10660" w:h="15080"/>
          <w:pgMar w:top="400" w:right="1045" w:bottom="925" w:left="809" w:header="0" w:footer="705" w:gutter="0"/>
          <w:cols w:equalWidth="0" w:num="1">
            <w:col w:w="8806"/>
          </w:cols>
        </w:sectPr>
      </w:pPr>
    </w:p>
    <w:tbl>
      <w:tblPr>
        <w:tblStyle w:val="5"/>
        <w:tblW w:w="4130" w:type="dxa"/>
        <w:tblInd w:w="9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13"/>
        <w:gridCol w:w="2514"/>
        <w:gridCol w:w="220"/>
        <w:gridCol w:w="229"/>
        <w:gridCol w:w="230"/>
        <w:gridCol w:w="224"/>
      </w:tblGrid>
      <w:tr w14:paraId="15EE39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4" w:hRule="atLeast"/>
        </w:trPr>
        <w:tc>
          <w:tcPr>
            <w:tcW w:w="713" w:type="dxa"/>
            <w:vMerge w:val="restart"/>
            <w:tcBorders>
              <w:bottom w:val="nil"/>
            </w:tcBorders>
            <w:vAlign w:val="top"/>
          </w:tcPr>
          <w:p w14:paraId="0A44B437">
            <w:pPr>
              <w:pStyle w:val="6"/>
              <w:spacing w:before="21" w:line="211" w:lineRule="auto"/>
              <w:ind w:left="77" w:right="3" w:hanging="60"/>
              <w:rPr>
                <w:sz w:val="18"/>
                <w:szCs w:val="18"/>
              </w:rPr>
            </w:pPr>
            <w:r>
              <w:rPr>
                <w:b/>
                <w:bCs/>
                <w:spacing w:val="-13"/>
                <w:sz w:val="18"/>
                <w:szCs w:val="18"/>
              </w:rPr>
              <w:t>知</w:t>
            </w:r>
            <w:r>
              <w:rPr>
                <w:b/>
                <w:bCs/>
                <w:spacing w:val="-12"/>
                <w:sz w:val="18"/>
                <w:szCs w:val="18"/>
              </w:rPr>
              <w:t>识与</w:t>
            </w:r>
            <w:r>
              <w:rPr>
                <w:b/>
                <w:bCs/>
                <w:spacing w:val="-11"/>
                <w:sz w:val="18"/>
                <w:szCs w:val="18"/>
              </w:rPr>
              <w:t>技</w:t>
            </w:r>
            <w:r>
              <w:rPr>
                <w:spacing w:val="1"/>
                <w:sz w:val="18"/>
                <w:szCs w:val="18"/>
              </w:rPr>
              <w:t xml:space="preserve"> </w:t>
            </w:r>
            <w:r>
              <w:rPr>
                <w:b/>
                <w:bCs/>
                <w:spacing w:val="1"/>
                <w:sz w:val="18"/>
                <w:szCs w:val="18"/>
              </w:rPr>
              <w:t>能要点</w:t>
            </w:r>
          </w:p>
        </w:tc>
        <w:tc>
          <w:tcPr>
            <w:tcW w:w="2514" w:type="dxa"/>
            <w:vMerge w:val="restart"/>
            <w:tcBorders>
              <w:bottom w:val="nil"/>
            </w:tcBorders>
            <w:vAlign w:val="top"/>
          </w:tcPr>
          <w:p w14:paraId="31C185CE">
            <w:pPr>
              <w:pStyle w:val="6"/>
              <w:spacing w:before="129" w:line="219" w:lineRule="auto"/>
              <w:ind w:left="934"/>
              <w:rPr>
                <w:sz w:val="18"/>
                <w:szCs w:val="18"/>
              </w:rPr>
            </w:pPr>
            <w:r>
              <w:rPr>
                <w:b/>
                <w:bCs/>
                <w:spacing w:val="5"/>
                <w:sz w:val="18"/>
                <w:szCs w:val="18"/>
              </w:rPr>
              <w:t>考试条目</w:t>
            </w:r>
          </w:p>
        </w:tc>
        <w:tc>
          <w:tcPr>
            <w:tcW w:w="903" w:type="dxa"/>
            <w:gridSpan w:val="4"/>
            <w:vAlign w:val="top"/>
          </w:tcPr>
          <w:p w14:paraId="4F5E8657">
            <w:pPr>
              <w:pStyle w:val="6"/>
              <w:spacing w:before="19" w:line="199" w:lineRule="auto"/>
              <w:ind w:left="130"/>
              <w:rPr>
                <w:sz w:val="18"/>
                <w:szCs w:val="18"/>
              </w:rPr>
            </w:pPr>
            <w:r>
              <w:rPr>
                <w:b/>
                <w:bCs/>
                <w:spacing w:val="-4"/>
                <w:sz w:val="18"/>
                <w:szCs w:val="18"/>
              </w:rPr>
              <w:t>考试水平</w:t>
            </w:r>
          </w:p>
        </w:tc>
      </w:tr>
      <w:tr w14:paraId="0F8CC2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9" w:hRule="atLeast"/>
        </w:trPr>
        <w:tc>
          <w:tcPr>
            <w:tcW w:w="713" w:type="dxa"/>
            <w:vMerge w:val="continue"/>
            <w:tcBorders>
              <w:top w:val="nil"/>
            </w:tcBorders>
            <w:vAlign w:val="top"/>
          </w:tcPr>
          <w:p w14:paraId="548CACAE">
            <w:pPr>
              <w:rPr>
                <w:rFonts w:ascii="Arial"/>
                <w:sz w:val="21"/>
              </w:rPr>
            </w:pPr>
          </w:p>
        </w:tc>
        <w:tc>
          <w:tcPr>
            <w:tcW w:w="2514" w:type="dxa"/>
            <w:vMerge w:val="continue"/>
            <w:tcBorders>
              <w:top w:val="nil"/>
            </w:tcBorders>
            <w:vAlign w:val="top"/>
          </w:tcPr>
          <w:p w14:paraId="03AF7383">
            <w:pPr>
              <w:rPr>
                <w:rFonts w:ascii="Arial"/>
                <w:sz w:val="21"/>
              </w:rPr>
            </w:pPr>
          </w:p>
        </w:tc>
        <w:tc>
          <w:tcPr>
            <w:tcW w:w="220" w:type="dxa"/>
            <w:vAlign w:val="top"/>
          </w:tcPr>
          <w:p w14:paraId="40D2C351">
            <w:pPr>
              <w:pStyle w:val="6"/>
              <w:spacing w:before="63" w:line="136" w:lineRule="exact"/>
              <w:ind w:left="18"/>
              <w:rPr>
                <w:sz w:val="18"/>
                <w:szCs w:val="18"/>
              </w:rPr>
            </w:pPr>
            <w:r>
              <w:rPr>
                <w:position w:val="-2"/>
                <w:sz w:val="18"/>
                <w:szCs w:val="18"/>
              </w:rPr>
              <w:t>A</w:t>
            </w:r>
          </w:p>
        </w:tc>
        <w:tc>
          <w:tcPr>
            <w:tcW w:w="229" w:type="dxa"/>
            <w:vAlign w:val="top"/>
          </w:tcPr>
          <w:p w14:paraId="6D67FEB5">
            <w:pPr>
              <w:pStyle w:val="6"/>
              <w:spacing w:before="66" w:line="133" w:lineRule="exact"/>
              <w:ind w:left="17"/>
              <w:rPr>
                <w:sz w:val="18"/>
                <w:szCs w:val="18"/>
              </w:rPr>
            </w:pPr>
            <w:r>
              <w:rPr>
                <w:position w:val="-2"/>
                <w:sz w:val="18"/>
                <w:szCs w:val="18"/>
              </w:rPr>
              <w:t>B</w:t>
            </w:r>
          </w:p>
        </w:tc>
        <w:tc>
          <w:tcPr>
            <w:tcW w:w="230" w:type="dxa"/>
            <w:vAlign w:val="top"/>
          </w:tcPr>
          <w:p w14:paraId="6B37E38C">
            <w:pPr>
              <w:pStyle w:val="6"/>
              <w:spacing w:before="64" w:line="135" w:lineRule="exact"/>
              <w:ind w:left="18"/>
              <w:rPr>
                <w:sz w:val="18"/>
                <w:szCs w:val="18"/>
              </w:rPr>
            </w:pPr>
            <w:r>
              <w:rPr>
                <w:position w:val="-2"/>
                <w:sz w:val="18"/>
                <w:szCs w:val="18"/>
              </w:rPr>
              <w:t>C</w:t>
            </w:r>
          </w:p>
        </w:tc>
        <w:tc>
          <w:tcPr>
            <w:tcW w:w="224" w:type="dxa"/>
            <w:vAlign w:val="top"/>
          </w:tcPr>
          <w:p w14:paraId="39521782">
            <w:pPr>
              <w:pStyle w:val="6"/>
              <w:spacing w:before="66" w:line="133" w:lineRule="exact"/>
              <w:ind w:left="51"/>
              <w:rPr>
                <w:sz w:val="18"/>
                <w:szCs w:val="18"/>
              </w:rPr>
            </w:pPr>
            <w:r>
              <w:rPr>
                <w:b/>
                <w:bCs/>
                <w:spacing w:val="-2"/>
                <w:position w:val="-2"/>
                <w:sz w:val="18"/>
                <w:szCs w:val="18"/>
              </w:rPr>
              <w:t>D</w:t>
            </w:r>
          </w:p>
        </w:tc>
      </w:tr>
      <w:tr w14:paraId="29DB31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08" w:hRule="atLeast"/>
        </w:trPr>
        <w:tc>
          <w:tcPr>
            <w:tcW w:w="713" w:type="dxa"/>
            <w:vAlign w:val="top"/>
          </w:tcPr>
          <w:p w14:paraId="1E04FD42">
            <w:pPr>
              <w:pStyle w:val="6"/>
              <w:spacing w:before="168" w:line="228" w:lineRule="auto"/>
              <w:ind w:left="74" w:right="75"/>
              <w:rPr>
                <w:sz w:val="18"/>
                <w:szCs w:val="18"/>
              </w:rPr>
            </w:pPr>
            <w:r>
              <w:rPr>
                <w:spacing w:val="4"/>
                <w:sz w:val="18"/>
                <w:szCs w:val="18"/>
              </w:rPr>
              <w:t>网络信</w:t>
            </w:r>
            <w:r>
              <w:rPr>
                <w:sz w:val="18"/>
                <w:szCs w:val="18"/>
              </w:rPr>
              <w:t xml:space="preserve"> </w:t>
            </w:r>
            <w:r>
              <w:rPr>
                <w:spacing w:val="2"/>
                <w:sz w:val="18"/>
                <w:szCs w:val="18"/>
              </w:rPr>
              <w:t>息获取</w:t>
            </w:r>
          </w:p>
        </w:tc>
        <w:tc>
          <w:tcPr>
            <w:tcW w:w="2514" w:type="dxa"/>
            <w:vAlign w:val="top"/>
          </w:tcPr>
          <w:p w14:paraId="6997DCCF">
            <w:pPr>
              <w:pStyle w:val="6"/>
              <w:spacing w:before="60" w:line="222" w:lineRule="auto"/>
              <w:ind w:left="1" w:right="148"/>
              <w:rPr>
                <w:sz w:val="18"/>
                <w:szCs w:val="18"/>
              </w:rPr>
            </w:pPr>
            <w:r>
              <w:rPr>
                <w:sz w:val="18"/>
                <w:szCs w:val="18"/>
              </w:rPr>
              <w:t>1.使用浏览器浏览和下载信息</w:t>
            </w:r>
            <w:r>
              <w:rPr>
                <w:spacing w:val="12"/>
                <w:sz w:val="18"/>
                <w:szCs w:val="18"/>
              </w:rPr>
              <w:t xml:space="preserve"> </w:t>
            </w:r>
            <w:r>
              <w:rPr>
                <w:spacing w:val="1"/>
                <w:sz w:val="18"/>
                <w:szCs w:val="18"/>
              </w:rPr>
              <w:t>2.使用搜索引擎检索信息</w:t>
            </w:r>
          </w:p>
          <w:p w14:paraId="0A761233">
            <w:pPr>
              <w:pStyle w:val="6"/>
              <w:spacing w:before="5" w:line="204" w:lineRule="auto"/>
              <w:ind w:left="1"/>
              <w:rPr>
                <w:sz w:val="18"/>
                <w:szCs w:val="18"/>
              </w:rPr>
            </w:pPr>
            <w:r>
              <w:rPr>
                <w:spacing w:val="-1"/>
                <w:sz w:val="18"/>
                <w:szCs w:val="18"/>
              </w:rPr>
              <w:t>3.配置浏览器中的常用参数</w:t>
            </w:r>
          </w:p>
        </w:tc>
        <w:tc>
          <w:tcPr>
            <w:tcW w:w="220" w:type="dxa"/>
            <w:vAlign w:val="top"/>
          </w:tcPr>
          <w:p w14:paraId="51A1D224">
            <w:pPr>
              <w:rPr>
                <w:rFonts w:ascii="Arial"/>
                <w:sz w:val="21"/>
              </w:rPr>
            </w:pPr>
          </w:p>
        </w:tc>
        <w:tc>
          <w:tcPr>
            <w:tcW w:w="229" w:type="dxa"/>
            <w:vAlign w:val="top"/>
          </w:tcPr>
          <w:p w14:paraId="7848E8AE">
            <w:pPr>
              <w:rPr>
                <w:rFonts w:ascii="Arial"/>
                <w:sz w:val="21"/>
              </w:rPr>
            </w:pPr>
          </w:p>
        </w:tc>
        <w:tc>
          <w:tcPr>
            <w:tcW w:w="230" w:type="dxa"/>
            <w:vAlign w:val="top"/>
          </w:tcPr>
          <w:p w14:paraId="003D8E1D">
            <w:pPr>
              <w:rPr>
                <w:rFonts w:ascii="Arial"/>
                <w:sz w:val="21"/>
              </w:rPr>
            </w:pPr>
          </w:p>
        </w:tc>
        <w:tc>
          <w:tcPr>
            <w:tcW w:w="224" w:type="dxa"/>
            <w:vAlign w:val="top"/>
          </w:tcPr>
          <w:p w14:paraId="79E4CE3C">
            <w:pPr>
              <w:rPr>
                <w:rFonts w:ascii="Arial"/>
                <w:sz w:val="21"/>
              </w:rPr>
            </w:pPr>
          </w:p>
        </w:tc>
      </w:tr>
      <w:tr w14:paraId="39CDE4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8" w:hRule="atLeast"/>
        </w:trPr>
        <w:tc>
          <w:tcPr>
            <w:tcW w:w="713" w:type="dxa"/>
            <w:vAlign w:val="top"/>
          </w:tcPr>
          <w:p w14:paraId="7EE0658A">
            <w:pPr>
              <w:pStyle w:val="6"/>
              <w:spacing w:before="42" w:line="220" w:lineRule="auto"/>
              <w:ind w:left="74"/>
              <w:rPr>
                <w:sz w:val="18"/>
                <w:szCs w:val="18"/>
              </w:rPr>
            </w:pPr>
            <w:r>
              <w:rPr>
                <w:spacing w:val="5"/>
                <w:sz w:val="18"/>
                <w:szCs w:val="18"/>
              </w:rPr>
              <w:t>常用网</w:t>
            </w:r>
          </w:p>
          <w:p w14:paraId="1237B68C">
            <w:pPr>
              <w:pStyle w:val="6"/>
              <w:spacing w:before="26" w:line="214" w:lineRule="auto"/>
              <w:ind w:left="74"/>
              <w:rPr>
                <w:sz w:val="18"/>
                <w:szCs w:val="18"/>
              </w:rPr>
            </w:pPr>
            <w:r>
              <w:rPr>
                <w:spacing w:val="-2"/>
                <w:sz w:val="18"/>
                <w:szCs w:val="18"/>
              </w:rPr>
              <w:t>络工具</w:t>
            </w:r>
          </w:p>
          <w:p w14:paraId="2F9C2D5E">
            <w:pPr>
              <w:pStyle w:val="6"/>
              <w:spacing w:line="219" w:lineRule="auto"/>
              <w:ind w:left="74"/>
              <w:rPr>
                <w:sz w:val="18"/>
                <w:szCs w:val="18"/>
              </w:rPr>
            </w:pPr>
            <w:r>
              <w:rPr>
                <w:spacing w:val="4"/>
                <w:sz w:val="18"/>
                <w:szCs w:val="18"/>
              </w:rPr>
              <w:t>软件的</w:t>
            </w:r>
          </w:p>
          <w:p w14:paraId="4E4812E2">
            <w:pPr>
              <w:pStyle w:val="6"/>
              <w:spacing w:before="5" w:line="192" w:lineRule="auto"/>
              <w:ind w:left="165"/>
              <w:rPr>
                <w:sz w:val="18"/>
                <w:szCs w:val="18"/>
              </w:rPr>
            </w:pPr>
            <w:r>
              <w:rPr>
                <w:spacing w:val="10"/>
                <w:sz w:val="18"/>
                <w:szCs w:val="18"/>
              </w:rPr>
              <w:t>使用</w:t>
            </w:r>
          </w:p>
        </w:tc>
        <w:tc>
          <w:tcPr>
            <w:tcW w:w="2514" w:type="dxa"/>
            <w:vAlign w:val="top"/>
          </w:tcPr>
          <w:p w14:paraId="0E74F7A6">
            <w:pPr>
              <w:pStyle w:val="6"/>
              <w:spacing w:before="51" w:line="219" w:lineRule="auto"/>
              <w:ind w:left="1"/>
              <w:rPr>
                <w:sz w:val="18"/>
                <w:szCs w:val="18"/>
              </w:rPr>
            </w:pPr>
            <w:r>
              <w:rPr>
                <w:spacing w:val="3"/>
                <w:sz w:val="18"/>
                <w:szCs w:val="18"/>
              </w:rPr>
              <w:t>1.常用即时通信软件(</w:t>
            </w:r>
            <w:r>
              <w:rPr>
                <w:sz w:val="18"/>
                <w:szCs w:val="18"/>
              </w:rPr>
              <w:t>QQ</w:t>
            </w:r>
            <w:r>
              <w:rPr>
                <w:spacing w:val="3"/>
                <w:sz w:val="18"/>
                <w:szCs w:val="18"/>
              </w:rPr>
              <w:t>)</w:t>
            </w:r>
          </w:p>
          <w:p w14:paraId="50EACC79">
            <w:pPr>
              <w:pStyle w:val="6"/>
              <w:spacing w:before="25" w:line="211" w:lineRule="auto"/>
              <w:ind w:left="1" w:right="1251"/>
              <w:rPr>
                <w:sz w:val="18"/>
                <w:szCs w:val="18"/>
              </w:rPr>
            </w:pPr>
            <w:r>
              <w:rPr>
                <w:spacing w:val="-2"/>
                <w:sz w:val="18"/>
                <w:szCs w:val="18"/>
              </w:rPr>
              <w:t>2.常用下载软件</w:t>
            </w:r>
            <w:r>
              <w:rPr>
                <w:spacing w:val="5"/>
                <w:sz w:val="18"/>
                <w:szCs w:val="18"/>
              </w:rPr>
              <w:t xml:space="preserve"> </w:t>
            </w:r>
            <w:r>
              <w:rPr>
                <w:spacing w:val="4"/>
                <w:sz w:val="18"/>
                <w:szCs w:val="18"/>
              </w:rPr>
              <w:t>3.</w:t>
            </w:r>
            <w:r>
              <w:rPr>
                <w:sz w:val="18"/>
                <w:szCs w:val="18"/>
              </w:rPr>
              <w:t>BBS</w:t>
            </w:r>
            <w:r>
              <w:rPr>
                <w:spacing w:val="4"/>
                <w:sz w:val="18"/>
                <w:szCs w:val="18"/>
              </w:rPr>
              <w:t>的使用</w:t>
            </w:r>
          </w:p>
          <w:p w14:paraId="3E4299D8">
            <w:pPr>
              <w:pStyle w:val="6"/>
              <w:spacing w:line="200" w:lineRule="auto"/>
              <w:ind w:left="1"/>
              <w:rPr>
                <w:sz w:val="18"/>
                <w:szCs w:val="18"/>
              </w:rPr>
            </w:pPr>
            <w:r>
              <w:rPr>
                <w:spacing w:val="3"/>
                <w:sz w:val="18"/>
                <w:szCs w:val="18"/>
              </w:rPr>
              <w:t>4.博客的应用</w:t>
            </w:r>
          </w:p>
        </w:tc>
        <w:tc>
          <w:tcPr>
            <w:tcW w:w="220" w:type="dxa"/>
            <w:vAlign w:val="top"/>
          </w:tcPr>
          <w:p w14:paraId="2E599BDA">
            <w:pPr>
              <w:rPr>
                <w:rFonts w:ascii="Arial"/>
                <w:sz w:val="21"/>
              </w:rPr>
            </w:pPr>
          </w:p>
        </w:tc>
        <w:tc>
          <w:tcPr>
            <w:tcW w:w="229" w:type="dxa"/>
            <w:vAlign w:val="top"/>
          </w:tcPr>
          <w:p w14:paraId="6C5A1C74">
            <w:pPr>
              <w:rPr>
                <w:rFonts w:ascii="Arial"/>
                <w:sz w:val="21"/>
              </w:rPr>
            </w:pPr>
          </w:p>
        </w:tc>
        <w:tc>
          <w:tcPr>
            <w:tcW w:w="230" w:type="dxa"/>
            <w:vAlign w:val="top"/>
          </w:tcPr>
          <w:p w14:paraId="3CDB36F7">
            <w:pPr>
              <w:rPr>
                <w:rFonts w:ascii="Arial"/>
                <w:sz w:val="21"/>
              </w:rPr>
            </w:pPr>
          </w:p>
        </w:tc>
        <w:tc>
          <w:tcPr>
            <w:tcW w:w="224" w:type="dxa"/>
            <w:vAlign w:val="top"/>
          </w:tcPr>
          <w:p w14:paraId="4874F280">
            <w:pPr>
              <w:rPr>
                <w:rFonts w:ascii="Arial"/>
                <w:sz w:val="21"/>
              </w:rPr>
            </w:pPr>
          </w:p>
        </w:tc>
      </w:tr>
      <w:tr w14:paraId="4EB4CE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58" w:hRule="atLeast"/>
        </w:trPr>
        <w:tc>
          <w:tcPr>
            <w:tcW w:w="713" w:type="dxa"/>
            <w:vAlign w:val="top"/>
          </w:tcPr>
          <w:p w14:paraId="010B8D4E">
            <w:pPr>
              <w:pStyle w:val="6"/>
              <w:spacing w:before="54" w:line="203" w:lineRule="auto"/>
              <w:ind w:left="74" w:right="73"/>
              <w:jc w:val="both"/>
              <w:rPr>
                <w:sz w:val="18"/>
                <w:szCs w:val="18"/>
              </w:rPr>
            </w:pPr>
            <w:r>
              <w:rPr>
                <w:spacing w:val="4"/>
                <w:sz w:val="18"/>
                <w:szCs w:val="18"/>
              </w:rPr>
              <w:t>使用和</w:t>
            </w:r>
            <w:r>
              <w:rPr>
                <w:spacing w:val="1"/>
                <w:sz w:val="18"/>
                <w:szCs w:val="18"/>
              </w:rPr>
              <w:t xml:space="preserve"> </w:t>
            </w:r>
            <w:r>
              <w:rPr>
                <w:spacing w:val="3"/>
                <w:sz w:val="18"/>
                <w:szCs w:val="18"/>
              </w:rPr>
              <w:t>管理电</w:t>
            </w:r>
            <w:r>
              <w:rPr>
                <w:sz w:val="18"/>
                <w:szCs w:val="18"/>
              </w:rPr>
              <w:t xml:space="preserve"> </w:t>
            </w:r>
            <w:r>
              <w:rPr>
                <w:spacing w:val="-2"/>
                <w:sz w:val="18"/>
                <w:szCs w:val="18"/>
              </w:rPr>
              <w:t>子邮件</w:t>
            </w:r>
          </w:p>
        </w:tc>
        <w:tc>
          <w:tcPr>
            <w:tcW w:w="2514" w:type="dxa"/>
            <w:vAlign w:val="top"/>
          </w:tcPr>
          <w:p w14:paraId="0E8C90EA">
            <w:pPr>
              <w:pStyle w:val="6"/>
              <w:spacing w:before="164" w:line="222" w:lineRule="auto"/>
              <w:ind w:left="1" w:right="1231"/>
              <w:rPr>
                <w:sz w:val="18"/>
                <w:szCs w:val="18"/>
              </w:rPr>
            </w:pPr>
            <w:r>
              <w:rPr>
                <w:spacing w:val="1"/>
                <w:sz w:val="18"/>
                <w:szCs w:val="18"/>
              </w:rPr>
              <w:t xml:space="preserve">1.申请电子邮箱 </w:t>
            </w:r>
            <w:r>
              <w:rPr>
                <w:spacing w:val="-1"/>
                <w:sz w:val="18"/>
                <w:szCs w:val="18"/>
              </w:rPr>
              <w:t>2.收发电子邮件</w:t>
            </w:r>
          </w:p>
        </w:tc>
        <w:tc>
          <w:tcPr>
            <w:tcW w:w="220" w:type="dxa"/>
            <w:vAlign w:val="top"/>
          </w:tcPr>
          <w:p w14:paraId="1DF5A85C">
            <w:pPr>
              <w:rPr>
                <w:rFonts w:ascii="Arial"/>
                <w:sz w:val="21"/>
              </w:rPr>
            </w:pPr>
          </w:p>
        </w:tc>
        <w:tc>
          <w:tcPr>
            <w:tcW w:w="229" w:type="dxa"/>
            <w:vAlign w:val="top"/>
          </w:tcPr>
          <w:p w14:paraId="1EC28936">
            <w:pPr>
              <w:rPr>
                <w:rFonts w:ascii="Arial"/>
                <w:sz w:val="21"/>
              </w:rPr>
            </w:pPr>
          </w:p>
        </w:tc>
        <w:tc>
          <w:tcPr>
            <w:tcW w:w="230" w:type="dxa"/>
            <w:vAlign w:val="top"/>
          </w:tcPr>
          <w:p w14:paraId="3723AF8D">
            <w:pPr>
              <w:spacing w:line="291" w:lineRule="auto"/>
              <w:rPr>
                <w:rFonts w:ascii="Arial"/>
                <w:sz w:val="21"/>
              </w:rPr>
            </w:pPr>
          </w:p>
          <w:p w14:paraId="3926235B">
            <w:pPr>
              <w:pStyle w:val="6"/>
              <w:spacing w:before="58" w:line="238" w:lineRule="auto"/>
              <w:ind w:left="18"/>
              <w:rPr>
                <w:sz w:val="18"/>
                <w:szCs w:val="18"/>
              </w:rPr>
            </w:pPr>
            <w:r>
              <w:rPr>
                <w:sz w:val="18"/>
                <w:szCs w:val="18"/>
              </w:rPr>
              <w:t>√</w:t>
            </w:r>
          </w:p>
        </w:tc>
        <w:tc>
          <w:tcPr>
            <w:tcW w:w="224" w:type="dxa"/>
            <w:vAlign w:val="top"/>
          </w:tcPr>
          <w:p w14:paraId="51DF9537">
            <w:pPr>
              <w:rPr>
                <w:rFonts w:ascii="Arial"/>
                <w:sz w:val="21"/>
              </w:rPr>
            </w:pPr>
          </w:p>
        </w:tc>
      </w:tr>
      <w:tr w14:paraId="46587E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73" w:hRule="atLeast"/>
        </w:trPr>
        <w:tc>
          <w:tcPr>
            <w:tcW w:w="713" w:type="dxa"/>
            <w:vAlign w:val="top"/>
          </w:tcPr>
          <w:p w14:paraId="7F0675CE">
            <w:pPr>
              <w:pStyle w:val="6"/>
              <w:spacing w:before="135" w:line="228" w:lineRule="auto"/>
              <w:ind w:left="74" w:right="66"/>
              <w:jc w:val="both"/>
              <w:rPr>
                <w:sz w:val="18"/>
                <w:szCs w:val="18"/>
              </w:rPr>
            </w:pPr>
            <w:r>
              <w:rPr>
                <w:spacing w:val="5"/>
                <w:sz w:val="18"/>
                <w:szCs w:val="18"/>
              </w:rPr>
              <w:t>常见网</w:t>
            </w:r>
            <w:r>
              <w:rPr>
                <w:spacing w:val="1"/>
                <w:sz w:val="18"/>
                <w:szCs w:val="18"/>
              </w:rPr>
              <w:t xml:space="preserve"> </w:t>
            </w:r>
            <w:r>
              <w:rPr>
                <w:spacing w:val="-3"/>
                <w:sz w:val="18"/>
                <w:szCs w:val="18"/>
              </w:rPr>
              <w:t>络服务</w:t>
            </w:r>
            <w:r>
              <w:rPr>
                <w:sz w:val="18"/>
                <w:szCs w:val="18"/>
              </w:rPr>
              <w:t xml:space="preserve"> </w:t>
            </w:r>
            <w:r>
              <w:rPr>
                <w:spacing w:val="7"/>
                <w:sz w:val="18"/>
                <w:szCs w:val="18"/>
              </w:rPr>
              <w:t>与应用</w:t>
            </w:r>
          </w:p>
        </w:tc>
        <w:tc>
          <w:tcPr>
            <w:tcW w:w="2514" w:type="dxa"/>
            <w:vAlign w:val="top"/>
          </w:tcPr>
          <w:p w14:paraId="33B3BB24">
            <w:pPr>
              <w:pStyle w:val="6"/>
              <w:spacing w:before="36" w:line="225" w:lineRule="auto"/>
              <w:ind w:left="1" w:right="54" w:firstLine="10"/>
              <w:rPr>
                <w:sz w:val="18"/>
                <w:szCs w:val="18"/>
              </w:rPr>
            </w:pPr>
            <w:r>
              <w:rPr>
                <w:sz w:val="18"/>
                <w:szCs w:val="18"/>
              </w:rPr>
              <w:t>1.网络空间(网络日志、网络硬</w:t>
            </w:r>
            <w:r>
              <w:rPr>
                <w:spacing w:val="6"/>
                <w:sz w:val="18"/>
                <w:szCs w:val="18"/>
              </w:rPr>
              <w:t xml:space="preserve"> </w:t>
            </w:r>
            <w:r>
              <w:rPr>
                <w:spacing w:val="1"/>
                <w:sz w:val="18"/>
                <w:szCs w:val="18"/>
              </w:rPr>
              <w:t>盘和网络相册等)的使用</w:t>
            </w:r>
          </w:p>
          <w:p w14:paraId="3F5E7341">
            <w:pPr>
              <w:pStyle w:val="6"/>
              <w:spacing w:before="1" w:line="198" w:lineRule="auto"/>
              <w:ind w:left="1"/>
              <w:rPr>
                <w:sz w:val="18"/>
                <w:szCs w:val="18"/>
              </w:rPr>
            </w:pPr>
            <w:r>
              <w:rPr>
                <w:spacing w:val="4"/>
                <w:sz w:val="18"/>
                <w:szCs w:val="18"/>
              </w:rPr>
              <w:t>2.网络常用服务(天气、订票、</w:t>
            </w:r>
            <w:r>
              <w:rPr>
                <w:spacing w:val="11"/>
                <w:sz w:val="18"/>
                <w:szCs w:val="18"/>
              </w:rPr>
              <w:t xml:space="preserve"> </w:t>
            </w:r>
            <w:r>
              <w:rPr>
                <w:spacing w:val="3"/>
                <w:sz w:val="18"/>
                <w:szCs w:val="18"/>
              </w:rPr>
              <w:t>求职和网上购物等)</w:t>
            </w:r>
          </w:p>
        </w:tc>
        <w:tc>
          <w:tcPr>
            <w:tcW w:w="220" w:type="dxa"/>
            <w:vAlign w:val="top"/>
          </w:tcPr>
          <w:p w14:paraId="061C2CF6">
            <w:pPr>
              <w:rPr>
                <w:rFonts w:ascii="Arial"/>
                <w:sz w:val="21"/>
              </w:rPr>
            </w:pPr>
          </w:p>
        </w:tc>
        <w:tc>
          <w:tcPr>
            <w:tcW w:w="229" w:type="dxa"/>
            <w:vAlign w:val="top"/>
          </w:tcPr>
          <w:p w14:paraId="240E1B9A">
            <w:pPr>
              <w:rPr>
                <w:rFonts w:ascii="Arial"/>
                <w:sz w:val="21"/>
              </w:rPr>
            </w:pPr>
          </w:p>
        </w:tc>
        <w:tc>
          <w:tcPr>
            <w:tcW w:w="230" w:type="dxa"/>
            <w:vAlign w:val="top"/>
          </w:tcPr>
          <w:p w14:paraId="7904DF43">
            <w:pPr>
              <w:rPr>
                <w:rFonts w:ascii="Arial"/>
                <w:sz w:val="21"/>
              </w:rPr>
            </w:pPr>
          </w:p>
        </w:tc>
        <w:tc>
          <w:tcPr>
            <w:tcW w:w="224" w:type="dxa"/>
            <w:vAlign w:val="top"/>
          </w:tcPr>
          <w:p w14:paraId="5E1A28A0">
            <w:pPr>
              <w:rPr>
                <w:rFonts w:ascii="Arial"/>
                <w:sz w:val="21"/>
              </w:rPr>
            </w:pPr>
          </w:p>
        </w:tc>
      </w:tr>
    </w:tbl>
    <w:p w14:paraId="6DE29CDD">
      <w:pPr>
        <w:spacing w:before="122" w:line="221" w:lineRule="auto"/>
        <w:ind w:left="520"/>
        <w:rPr>
          <w:rFonts w:ascii="宋体" w:hAnsi="宋体" w:eastAsia="宋体" w:cs="宋体"/>
          <w:sz w:val="17"/>
          <w:szCs w:val="17"/>
        </w:rPr>
      </w:pPr>
      <w:r>
        <w:rPr>
          <w:rFonts w:ascii="宋体" w:hAnsi="宋体" w:eastAsia="宋体" w:cs="宋体"/>
          <w:spacing w:val="11"/>
          <w:sz w:val="17"/>
          <w:szCs w:val="17"/>
        </w:rPr>
        <w:t>(六)网络安全基础</w:t>
      </w:r>
    </w:p>
    <w:p w14:paraId="7770A9DD">
      <w:pPr>
        <w:spacing w:line="83" w:lineRule="exact"/>
      </w:pPr>
    </w:p>
    <w:tbl>
      <w:tblPr>
        <w:tblStyle w:val="5"/>
        <w:tblW w:w="4130" w:type="dxa"/>
        <w:tblInd w:w="9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33"/>
        <w:gridCol w:w="2484"/>
        <w:gridCol w:w="230"/>
        <w:gridCol w:w="229"/>
        <w:gridCol w:w="220"/>
        <w:gridCol w:w="234"/>
      </w:tblGrid>
      <w:tr w14:paraId="5EBBD6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4" w:hRule="atLeast"/>
        </w:trPr>
        <w:tc>
          <w:tcPr>
            <w:tcW w:w="733" w:type="dxa"/>
            <w:vMerge w:val="restart"/>
            <w:tcBorders>
              <w:bottom w:val="nil"/>
            </w:tcBorders>
            <w:vAlign w:val="top"/>
          </w:tcPr>
          <w:p w14:paraId="4E880A69">
            <w:pPr>
              <w:pStyle w:val="6"/>
              <w:spacing w:before="21" w:line="211" w:lineRule="auto"/>
              <w:ind w:left="86" w:hanging="69"/>
              <w:rPr>
                <w:sz w:val="18"/>
                <w:szCs w:val="18"/>
              </w:rPr>
            </w:pPr>
            <w:r>
              <w:rPr>
                <w:b/>
                <w:bCs/>
                <w:spacing w:val="-6"/>
                <w:sz w:val="18"/>
                <w:szCs w:val="18"/>
              </w:rPr>
              <w:t>知识与技</w:t>
            </w:r>
            <w:r>
              <w:rPr>
                <w:sz w:val="18"/>
                <w:szCs w:val="18"/>
              </w:rPr>
              <w:t xml:space="preserve"> </w:t>
            </w:r>
            <w:r>
              <w:rPr>
                <w:b/>
                <w:bCs/>
                <w:sz w:val="18"/>
                <w:szCs w:val="18"/>
              </w:rPr>
              <w:t>能要点</w:t>
            </w:r>
          </w:p>
        </w:tc>
        <w:tc>
          <w:tcPr>
            <w:tcW w:w="2484" w:type="dxa"/>
            <w:vMerge w:val="restart"/>
            <w:tcBorders>
              <w:bottom w:val="nil"/>
            </w:tcBorders>
            <w:vAlign w:val="top"/>
          </w:tcPr>
          <w:p w14:paraId="67F71B85">
            <w:pPr>
              <w:pStyle w:val="6"/>
              <w:spacing w:before="129" w:line="219" w:lineRule="auto"/>
              <w:ind w:left="924"/>
              <w:rPr>
                <w:sz w:val="18"/>
                <w:szCs w:val="18"/>
              </w:rPr>
            </w:pPr>
            <w:r>
              <w:rPr>
                <w:b/>
                <w:bCs/>
                <w:spacing w:val="5"/>
                <w:sz w:val="18"/>
                <w:szCs w:val="18"/>
              </w:rPr>
              <w:t>考试条目</w:t>
            </w:r>
          </w:p>
        </w:tc>
        <w:tc>
          <w:tcPr>
            <w:tcW w:w="913" w:type="dxa"/>
            <w:gridSpan w:val="4"/>
            <w:vAlign w:val="top"/>
          </w:tcPr>
          <w:p w14:paraId="687BA34C">
            <w:pPr>
              <w:pStyle w:val="6"/>
              <w:spacing w:before="19" w:line="199" w:lineRule="auto"/>
              <w:ind w:left="130"/>
              <w:rPr>
                <w:sz w:val="18"/>
                <w:szCs w:val="18"/>
              </w:rPr>
            </w:pPr>
            <w:r>
              <w:rPr>
                <w:b/>
                <w:bCs/>
                <w:spacing w:val="-4"/>
                <w:sz w:val="18"/>
                <w:szCs w:val="18"/>
              </w:rPr>
              <w:t>考试水平</w:t>
            </w:r>
          </w:p>
        </w:tc>
      </w:tr>
      <w:tr w14:paraId="692677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9" w:hRule="atLeast"/>
        </w:trPr>
        <w:tc>
          <w:tcPr>
            <w:tcW w:w="733" w:type="dxa"/>
            <w:vMerge w:val="continue"/>
            <w:tcBorders>
              <w:top w:val="nil"/>
            </w:tcBorders>
            <w:vAlign w:val="top"/>
          </w:tcPr>
          <w:p w14:paraId="647EA3C1">
            <w:pPr>
              <w:rPr>
                <w:rFonts w:ascii="Arial"/>
                <w:sz w:val="21"/>
              </w:rPr>
            </w:pPr>
          </w:p>
        </w:tc>
        <w:tc>
          <w:tcPr>
            <w:tcW w:w="2484" w:type="dxa"/>
            <w:vMerge w:val="continue"/>
            <w:tcBorders>
              <w:top w:val="nil"/>
            </w:tcBorders>
            <w:vAlign w:val="top"/>
          </w:tcPr>
          <w:p w14:paraId="48F4F811">
            <w:pPr>
              <w:rPr>
                <w:rFonts w:ascii="Arial"/>
                <w:sz w:val="21"/>
              </w:rPr>
            </w:pPr>
          </w:p>
        </w:tc>
        <w:tc>
          <w:tcPr>
            <w:tcW w:w="230" w:type="dxa"/>
            <w:vAlign w:val="top"/>
          </w:tcPr>
          <w:p w14:paraId="4C9FF405">
            <w:pPr>
              <w:pStyle w:val="6"/>
              <w:spacing w:before="63" w:line="136" w:lineRule="exact"/>
              <w:ind w:left="20"/>
              <w:rPr>
                <w:sz w:val="18"/>
                <w:szCs w:val="18"/>
              </w:rPr>
            </w:pPr>
            <w:r>
              <w:rPr>
                <w:b/>
                <w:bCs/>
                <w:spacing w:val="-2"/>
                <w:position w:val="-2"/>
                <w:sz w:val="18"/>
                <w:szCs w:val="18"/>
              </w:rPr>
              <w:t>A</w:t>
            </w:r>
          </w:p>
        </w:tc>
        <w:tc>
          <w:tcPr>
            <w:tcW w:w="229" w:type="dxa"/>
            <w:vAlign w:val="top"/>
          </w:tcPr>
          <w:p w14:paraId="56C4FAF8">
            <w:pPr>
              <w:pStyle w:val="6"/>
              <w:spacing w:before="66" w:line="133" w:lineRule="exact"/>
              <w:ind w:left="20"/>
              <w:rPr>
                <w:sz w:val="18"/>
                <w:szCs w:val="18"/>
              </w:rPr>
            </w:pPr>
            <w:r>
              <w:rPr>
                <w:b/>
                <w:bCs/>
                <w:spacing w:val="-2"/>
                <w:position w:val="-2"/>
                <w:sz w:val="18"/>
                <w:szCs w:val="18"/>
              </w:rPr>
              <w:t>B</w:t>
            </w:r>
          </w:p>
        </w:tc>
        <w:tc>
          <w:tcPr>
            <w:tcW w:w="220" w:type="dxa"/>
            <w:vAlign w:val="top"/>
          </w:tcPr>
          <w:p w14:paraId="1C391C6A">
            <w:pPr>
              <w:pStyle w:val="6"/>
              <w:spacing w:before="64" w:line="135" w:lineRule="exact"/>
              <w:ind w:left="18"/>
              <w:rPr>
                <w:sz w:val="18"/>
                <w:szCs w:val="18"/>
              </w:rPr>
            </w:pPr>
            <w:r>
              <w:rPr>
                <w:position w:val="-2"/>
                <w:sz w:val="18"/>
                <w:szCs w:val="18"/>
              </w:rPr>
              <w:t>C</w:t>
            </w:r>
          </w:p>
        </w:tc>
        <w:tc>
          <w:tcPr>
            <w:tcW w:w="234" w:type="dxa"/>
            <w:vAlign w:val="top"/>
          </w:tcPr>
          <w:p w14:paraId="32BDC298">
            <w:pPr>
              <w:pStyle w:val="6"/>
              <w:spacing w:before="66" w:line="133" w:lineRule="exact"/>
              <w:ind w:left="21"/>
              <w:rPr>
                <w:sz w:val="18"/>
                <w:szCs w:val="18"/>
              </w:rPr>
            </w:pPr>
            <w:r>
              <w:rPr>
                <w:b/>
                <w:bCs/>
                <w:spacing w:val="-2"/>
                <w:position w:val="-2"/>
                <w:sz w:val="18"/>
                <w:szCs w:val="18"/>
              </w:rPr>
              <w:t>D</w:t>
            </w:r>
          </w:p>
        </w:tc>
      </w:tr>
      <w:tr w14:paraId="78F2F3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17" w:hRule="atLeast"/>
        </w:trPr>
        <w:tc>
          <w:tcPr>
            <w:tcW w:w="733" w:type="dxa"/>
            <w:vAlign w:val="top"/>
          </w:tcPr>
          <w:p w14:paraId="34E3E124">
            <w:pPr>
              <w:spacing w:line="371" w:lineRule="auto"/>
              <w:rPr>
                <w:rFonts w:ascii="Arial"/>
                <w:sz w:val="21"/>
              </w:rPr>
            </w:pPr>
          </w:p>
          <w:p w14:paraId="246CB4EF">
            <w:pPr>
              <w:pStyle w:val="6"/>
              <w:spacing w:before="59" w:line="217" w:lineRule="auto"/>
              <w:ind w:left="174" w:right="179"/>
              <w:rPr>
                <w:sz w:val="18"/>
                <w:szCs w:val="18"/>
              </w:rPr>
            </w:pPr>
            <w:r>
              <w:rPr>
                <w:spacing w:val="4"/>
                <w:sz w:val="18"/>
                <w:szCs w:val="18"/>
              </w:rPr>
              <w:t>网络</w:t>
            </w:r>
            <w:r>
              <w:rPr>
                <w:sz w:val="18"/>
                <w:szCs w:val="18"/>
              </w:rPr>
              <w:t xml:space="preserve"> </w:t>
            </w:r>
            <w:r>
              <w:rPr>
                <w:spacing w:val="-3"/>
                <w:sz w:val="18"/>
                <w:szCs w:val="18"/>
              </w:rPr>
              <w:t>安全</w:t>
            </w:r>
          </w:p>
        </w:tc>
        <w:tc>
          <w:tcPr>
            <w:tcW w:w="2484" w:type="dxa"/>
            <w:vAlign w:val="top"/>
          </w:tcPr>
          <w:p w14:paraId="4C76B8DC">
            <w:pPr>
              <w:pStyle w:val="6"/>
              <w:spacing w:before="209" w:line="219" w:lineRule="auto"/>
              <w:ind w:left="2"/>
              <w:rPr>
                <w:sz w:val="18"/>
                <w:szCs w:val="18"/>
              </w:rPr>
            </w:pPr>
            <w:r>
              <w:rPr>
                <w:sz w:val="18"/>
                <w:szCs w:val="18"/>
              </w:rPr>
              <w:t>1.网络安全的概念</w:t>
            </w:r>
          </w:p>
          <w:p w14:paraId="4F637AAA">
            <w:pPr>
              <w:pStyle w:val="6"/>
              <w:spacing w:before="7" w:line="221" w:lineRule="auto"/>
              <w:ind w:left="2"/>
              <w:rPr>
                <w:sz w:val="18"/>
                <w:szCs w:val="18"/>
              </w:rPr>
            </w:pPr>
            <w:r>
              <w:rPr>
                <w:spacing w:val="-1"/>
                <w:sz w:val="18"/>
                <w:szCs w:val="18"/>
              </w:rPr>
              <w:t>2.网络安全的主要威胁</w:t>
            </w:r>
          </w:p>
          <w:p w14:paraId="522536A5">
            <w:pPr>
              <w:pStyle w:val="6"/>
              <w:spacing w:before="24" w:line="204" w:lineRule="auto"/>
              <w:ind w:left="2"/>
              <w:rPr>
                <w:sz w:val="18"/>
                <w:szCs w:val="18"/>
              </w:rPr>
            </w:pPr>
            <w:r>
              <w:rPr>
                <w:spacing w:val="1"/>
                <w:sz w:val="18"/>
                <w:szCs w:val="18"/>
              </w:rPr>
              <w:t>3.网络安全防范</w:t>
            </w:r>
          </w:p>
          <w:p w14:paraId="22FA8045">
            <w:pPr>
              <w:pStyle w:val="6"/>
              <w:spacing w:line="219" w:lineRule="auto"/>
              <w:ind w:left="2"/>
              <w:rPr>
                <w:sz w:val="18"/>
                <w:szCs w:val="18"/>
              </w:rPr>
            </w:pPr>
            <w:r>
              <w:rPr>
                <w:spacing w:val="-1"/>
                <w:sz w:val="18"/>
                <w:szCs w:val="18"/>
              </w:rPr>
              <w:t>4.网络安全法律保障</w:t>
            </w:r>
          </w:p>
        </w:tc>
        <w:tc>
          <w:tcPr>
            <w:tcW w:w="230" w:type="dxa"/>
            <w:vAlign w:val="top"/>
          </w:tcPr>
          <w:p w14:paraId="269F5784">
            <w:pPr>
              <w:rPr>
                <w:rFonts w:ascii="Arial"/>
                <w:sz w:val="21"/>
              </w:rPr>
            </w:pPr>
          </w:p>
        </w:tc>
        <w:tc>
          <w:tcPr>
            <w:tcW w:w="229" w:type="dxa"/>
            <w:vAlign w:val="top"/>
          </w:tcPr>
          <w:p w14:paraId="5759CC9C">
            <w:pPr>
              <w:rPr>
                <w:rFonts w:ascii="Arial"/>
                <w:sz w:val="21"/>
              </w:rPr>
            </w:pPr>
          </w:p>
        </w:tc>
        <w:tc>
          <w:tcPr>
            <w:tcW w:w="220" w:type="dxa"/>
            <w:vAlign w:val="top"/>
          </w:tcPr>
          <w:p w14:paraId="3B3FA8BB">
            <w:pPr>
              <w:rPr>
                <w:rFonts w:ascii="Arial"/>
                <w:sz w:val="21"/>
              </w:rPr>
            </w:pPr>
          </w:p>
        </w:tc>
        <w:tc>
          <w:tcPr>
            <w:tcW w:w="234" w:type="dxa"/>
            <w:vAlign w:val="top"/>
          </w:tcPr>
          <w:p w14:paraId="7CF0D409">
            <w:pPr>
              <w:rPr>
                <w:rFonts w:ascii="Arial"/>
                <w:sz w:val="21"/>
              </w:rPr>
            </w:pPr>
          </w:p>
        </w:tc>
      </w:tr>
      <w:tr w14:paraId="16E500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17" w:hRule="atLeast"/>
        </w:trPr>
        <w:tc>
          <w:tcPr>
            <w:tcW w:w="733" w:type="dxa"/>
            <w:vAlign w:val="top"/>
          </w:tcPr>
          <w:p w14:paraId="1918B772">
            <w:pPr>
              <w:pStyle w:val="6"/>
              <w:spacing w:before="295" w:line="211" w:lineRule="auto"/>
              <w:ind w:left="84" w:right="90"/>
              <w:rPr>
                <w:sz w:val="18"/>
                <w:szCs w:val="18"/>
              </w:rPr>
            </w:pPr>
            <w:r>
              <w:rPr>
                <w:spacing w:val="2"/>
                <w:sz w:val="18"/>
                <w:szCs w:val="18"/>
              </w:rPr>
              <w:t>网络入</w:t>
            </w:r>
            <w:r>
              <w:rPr>
                <w:sz w:val="18"/>
                <w:szCs w:val="18"/>
              </w:rPr>
              <w:t xml:space="preserve"> </w:t>
            </w:r>
            <w:r>
              <w:rPr>
                <w:spacing w:val="-2"/>
                <w:sz w:val="18"/>
                <w:szCs w:val="18"/>
              </w:rPr>
              <w:t>侵防范</w:t>
            </w:r>
          </w:p>
        </w:tc>
        <w:tc>
          <w:tcPr>
            <w:tcW w:w="2484" w:type="dxa"/>
            <w:vAlign w:val="top"/>
          </w:tcPr>
          <w:p w14:paraId="260EBA8F">
            <w:pPr>
              <w:pStyle w:val="6"/>
              <w:spacing w:before="172" w:line="212" w:lineRule="auto"/>
              <w:ind w:left="2" w:right="304"/>
              <w:rPr>
                <w:sz w:val="18"/>
                <w:szCs w:val="18"/>
              </w:rPr>
            </w:pPr>
            <w:r>
              <w:rPr>
                <w:sz w:val="18"/>
                <w:szCs w:val="18"/>
              </w:rPr>
              <w:t>1.网络入侵检测的相关概念</w:t>
            </w:r>
            <w:r>
              <w:rPr>
                <w:spacing w:val="6"/>
                <w:sz w:val="18"/>
                <w:szCs w:val="18"/>
              </w:rPr>
              <w:t xml:space="preserve"> </w:t>
            </w:r>
            <w:r>
              <w:rPr>
                <w:spacing w:val="-1"/>
                <w:sz w:val="18"/>
                <w:szCs w:val="18"/>
              </w:rPr>
              <w:t>2.网络入侵检测系统</w:t>
            </w:r>
          </w:p>
          <w:p w14:paraId="67C99BC8">
            <w:pPr>
              <w:pStyle w:val="6"/>
              <w:spacing w:before="26" w:line="220" w:lineRule="auto"/>
              <w:ind w:left="2"/>
              <w:rPr>
                <w:sz w:val="18"/>
                <w:szCs w:val="18"/>
              </w:rPr>
            </w:pPr>
            <w:r>
              <w:rPr>
                <w:spacing w:val="-1"/>
                <w:sz w:val="18"/>
                <w:szCs w:val="18"/>
              </w:rPr>
              <w:t>3.网络入侵防御系统</w:t>
            </w:r>
          </w:p>
        </w:tc>
        <w:tc>
          <w:tcPr>
            <w:tcW w:w="230" w:type="dxa"/>
            <w:vAlign w:val="top"/>
          </w:tcPr>
          <w:p w14:paraId="258D549C">
            <w:pPr>
              <w:rPr>
                <w:rFonts w:ascii="Arial"/>
                <w:sz w:val="21"/>
              </w:rPr>
            </w:pPr>
          </w:p>
        </w:tc>
        <w:tc>
          <w:tcPr>
            <w:tcW w:w="229" w:type="dxa"/>
            <w:vAlign w:val="top"/>
          </w:tcPr>
          <w:p w14:paraId="50B55175">
            <w:pPr>
              <w:pStyle w:val="6"/>
              <w:spacing w:before="160" w:line="238" w:lineRule="auto"/>
              <w:ind w:left="17"/>
              <w:rPr>
                <w:sz w:val="18"/>
                <w:szCs w:val="18"/>
              </w:rPr>
            </w:pPr>
            <w:r>
              <w:rPr>
                <w:sz w:val="18"/>
                <w:szCs w:val="18"/>
              </w:rPr>
              <w:t>√</w:t>
            </w:r>
          </w:p>
        </w:tc>
        <w:tc>
          <w:tcPr>
            <w:tcW w:w="220" w:type="dxa"/>
            <w:vAlign w:val="top"/>
          </w:tcPr>
          <w:p w14:paraId="6495ADD1">
            <w:pPr>
              <w:rPr>
                <w:rFonts w:ascii="Arial"/>
                <w:sz w:val="21"/>
              </w:rPr>
            </w:pPr>
          </w:p>
        </w:tc>
        <w:tc>
          <w:tcPr>
            <w:tcW w:w="234" w:type="dxa"/>
            <w:vAlign w:val="top"/>
          </w:tcPr>
          <w:p w14:paraId="14212642">
            <w:pPr>
              <w:rPr>
                <w:rFonts w:ascii="Arial"/>
                <w:sz w:val="21"/>
              </w:rPr>
            </w:pPr>
          </w:p>
        </w:tc>
      </w:tr>
      <w:tr w14:paraId="56CD96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02" w:hRule="atLeast"/>
        </w:trPr>
        <w:tc>
          <w:tcPr>
            <w:tcW w:w="733" w:type="dxa"/>
            <w:vAlign w:val="top"/>
          </w:tcPr>
          <w:p w14:paraId="2C6B2D29">
            <w:pPr>
              <w:spacing w:line="454" w:lineRule="auto"/>
              <w:rPr>
                <w:rFonts w:ascii="Arial"/>
                <w:sz w:val="21"/>
              </w:rPr>
            </w:pPr>
          </w:p>
          <w:p w14:paraId="7412F57F">
            <w:pPr>
              <w:pStyle w:val="6"/>
              <w:spacing w:before="58" w:line="219" w:lineRule="auto"/>
              <w:ind w:left="84"/>
              <w:rPr>
                <w:sz w:val="18"/>
                <w:szCs w:val="18"/>
              </w:rPr>
            </w:pPr>
            <w:r>
              <w:rPr>
                <w:spacing w:val="2"/>
                <w:sz w:val="18"/>
                <w:szCs w:val="18"/>
              </w:rPr>
              <w:t>防火墙</w:t>
            </w:r>
          </w:p>
        </w:tc>
        <w:tc>
          <w:tcPr>
            <w:tcW w:w="2484" w:type="dxa"/>
            <w:vAlign w:val="top"/>
          </w:tcPr>
          <w:p w14:paraId="3E5A57FE">
            <w:pPr>
              <w:pStyle w:val="6"/>
              <w:spacing w:before="95" w:line="222" w:lineRule="auto"/>
              <w:ind w:left="2" w:right="844"/>
              <w:jc w:val="both"/>
              <w:rPr>
                <w:sz w:val="18"/>
                <w:szCs w:val="18"/>
              </w:rPr>
            </w:pPr>
            <w:r>
              <w:rPr>
                <w:sz w:val="18"/>
                <w:szCs w:val="18"/>
              </w:rPr>
              <w:t>1.网络防火墙的概念</w:t>
            </w:r>
            <w:r>
              <w:rPr>
                <w:spacing w:val="6"/>
                <w:sz w:val="18"/>
                <w:szCs w:val="18"/>
              </w:rPr>
              <w:t xml:space="preserve"> </w:t>
            </w:r>
            <w:r>
              <w:rPr>
                <w:spacing w:val="-1"/>
                <w:sz w:val="18"/>
                <w:szCs w:val="18"/>
              </w:rPr>
              <w:t>2.网络防火墙的功能</w:t>
            </w:r>
            <w:r>
              <w:rPr>
                <w:sz w:val="18"/>
                <w:szCs w:val="18"/>
              </w:rPr>
              <w:t xml:space="preserve"> </w:t>
            </w:r>
            <w:r>
              <w:rPr>
                <w:spacing w:val="-1"/>
                <w:sz w:val="18"/>
                <w:szCs w:val="18"/>
              </w:rPr>
              <w:t>3.网络防火墙的分类</w:t>
            </w:r>
          </w:p>
          <w:p w14:paraId="37E3EC83">
            <w:pPr>
              <w:pStyle w:val="6"/>
              <w:spacing w:before="1" w:line="227" w:lineRule="auto"/>
              <w:ind w:left="2" w:right="308" w:firstLine="9"/>
              <w:rPr>
                <w:sz w:val="18"/>
                <w:szCs w:val="18"/>
              </w:rPr>
            </w:pPr>
            <w:r>
              <w:rPr>
                <w:spacing w:val="-2"/>
                <w:sz w:val="18"/>
                <w:szCs w:val="18"/>
              </w:rPr>
              <w:t>4.Windows</w:t>
            </w:r>
            <w:r>
              <w:rPr>
                <w:spacing w:val="26"/>
                <w:sz w:val="18"/>
                <w:szCs w:val="18"/>
              </w:rPr>
              <w:t xml:space="preserve"> </w:t>
            </w:r>
            <w:r>
              <w:rPr>
                <w:spacing w:val="-2"/>
                <w:sz w:val="18"/>
                <w:szCs w:val="18"/>
              </w:rPr>
              <w:t>10防火墙的基本</w:t>
            </w:r>
            <w:r>
              <w:rPr>
                <w:sz w:val="18"/>
                <w:szCs w:val="18"/>
              </w:rPr>
              <w:t xml:space="preserve"> </w:t>
            </w:r>
            <w:r>
              <w:rPr>
                <w:spacing w:val="-2"/>
                <w:sz w:val="18"/>
                <w:szCs w:val="18"/>
              </w:rPr>
              <w:t>操作</w:t>
            </w:r>
          </w:p>
        </w:tc>
        <w:tc>
          <w:tcPr>
            <w:tcW w:w="230" w:type="dxa"/>
            <w:vAlign w:val="top"/>
          </w:tcPr>
          <w:p w14:paraId="0E34B8AF">
            <w:pPr>
              <w:rPr>
                <w:rFonts w:ascii="Arial"/>
                <w:sz w:val="21"/>
              </w:rPr>
            </w:pPr>
          </w:p>
        </w:tc>
        <w:tc>
          <w:tcPr>
            <w:tcW w:w="229" w:type="dxa"/>
            <w:vAlign w:val="top"/>
          </w:tcPr>
          <w:p w14:paraId="7B644718">
            <w:pPr>
              <w:rPr>
                <w:rFonts w:ascii="Arial"/>
                <w:sz w:val="21"/>
              </w:rPr>
            </w:pPr>
          </w:p>
        </w:tc>
        <w:tc>
          <w:tcPr>
            <w:tcW w:w="220" w:type="dxa"/>
            <w:vAlign w:val="top"/>
          </w:tcPr>
          <w:p w14:paraId="015FC6C6">
            <w:pPr>
              <w:rPr>
                <w:rFonts w:ascii="Arial"/>
                <w:sz w:val="21"/>
              </w:rPr>
            </w:pPr>
          </w:p>
        </w:tc>
        <w:tc>
          <w:tcPr>
            <w:tcW w:w="234" w:type="dxa"/>
            <w:vAlign w:val="top"/>
          </w:tcPr>
          <w:p w14:paraId="56202D8A">
            <w:pPr>
              <w:rPr>
                <w:rFonts w:ascii="Arial"/>
                <w:sz w:val="21"/>
              </w:rPr>
            </w:pPr>
          </w:p>
        </w:tc>
      </w:tr>
    </w:tbl>
    <w:p w14:paraId="0792F2CA">
      <w:pPr>
        <w:spacing w:before="219" w:line="222" w:lineRule="auto"/>
        <w:ind w:left="1133"/>
        <w:rPr>
          <w:rFonts w:ascii="黑体" w:hAnsi="黑体" w:eastAsia="黑体" w:cs="黑体"/>
          <w:sz w:val="23"/>
          <w:szCs w:val="23"/>
        </w:rPr>
      </w:pPr>
      <w:r>
        <w:rPr>
          <w:rFonts w:ascii="黑体" w:hAnsi="黑体" w:eastAsia="黑体" w:cs="黑体"/>
          <w:b/>
          <w:bCs/>
          <w:spacing w:val="-7"/>
          <w:sz w:val="23"/>
          <w:szCs w:val="23"/>
        </w:rPr>
        <w:t>第二部分</w:t>
      </w:r>
      <w:r>
        <w:rPr>
          <w:rFonts w:ascii="黑体" w:hAnsi="黑体" w:eastAsia="黑体" w:cs="黑体"/>
          <w:spacing w:val="-7"/>
          <w:sz w:val="23"/>
          <w:szCs w:val="23"/>
        </w:rPr>
        <w:t xml:space="preserve">  </w:t>
      </w:r>
      <w:r>
        <w:rPr>
          <w:rFonts w:ascii="黑体" w:hAnsi="黑体" w:eastAsia="黑体" w:cs="黑体"/>
          <w:b/>
          <w:bCs/>
          <w:spacing w:val="-7"/>
          <w:sz w:val="23"/>
          <w:szCs w:val="23"/>
        </w:rPr>
        <w:t>信息技术</w:t>
      </w:r>
    </w:p>
    <w:p w14:paraId="014F86F2">
      <w:pPr>
        <w:spacing w:before="156" w:line="219" w:lineRule="auto"/>
        <w:ind w:left="520"/>
        <w:rPr>
          <w:rFonts w:ascii="宋体" w:hAnsi="宋体" w:eastAsia="宋体" w:cs="宋体"/>
          <w:sz w:val="17"/>
          <w:szCs w:val="17"/>
        </w:rPr>
      </w:pPr>
      <w:r>
        <w:rPr>
          <w:rFonts w:ascii="宋体" w:hAnsi="宋体" w:eastAsia="宋体" w:cs="宋体"/>
          <w:spacing w:val="9"/>
          <w:sz w:val="17"/>
          <w:szCs w:val="17"/>
        </w:rPr>
        <w:t>(一)信息技术应用基础</w:t>
      </w:r>
    </w:p>
    <w:p w14:paraId="3C2B9613">
      <w:pPr>
        <w:spacing w:line="106" w:lineRule="exact"/>
      </w:pPr>
    </w:p>
    <w:tbl>
      <w:tblPr>
        <w:tblStyle w:val="5"/>
        <w:tblW w:w="4130" w:type="dxa"/>
        <w:tblInd w:w="9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33"/>
        <w:gridCol w:w="2484"/>
        <w:gridCol w:w="230"/>
        <w:gridCol w:w="229"/>
        <w:gridCol w:w="220"/>
        <w:gridCol w:w="234"/>
      </w:tblGrid>
      <w:tr w14:paraId="7EFD8E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0" w:hRule="atLeast"/>
        </w:trPr>
        <w:tc>
          <w:tcPr>
            <w:tcW w:w="733" w:type="dxa"/>
            <w:vMerge w:val="restart"/>
            <w:tcBorders>
              <w:top w:val="single" w:color="000000" w:sz="2" w:space="0"/>
              <w:bottom w:val="nil"/>
            </w:tcBorders>
            <w:vAlign w:val="top"/>
          </w:tcPr>
          <w:p w14:paraId="67A9FBA7">
            <w:pPr>
              <w:pStyle w:val="6"/>
              <w:spacing w:before="25" w:line="221" w:lineRule="auto"/>
              <w:ind w:left="17"/>
            </w:pPr>
            <w:r>
              <w:rPr>
                <w:b/>
                <w:bCs/>
                <w:spacing w:val="-4"/>
              </w:rPr>
              <w:t>知识与技</w:t>
            </w:r>
          </w:p>
          <w:p w14:paraId="49137B8A">
            <w:pPr>
              <w:pStyle w:val="6"/>
              <w:spacing w:before="16" w:line="210" w:lineRule="auto"/>
              <w:ind w:left="107"/>
            </w:pPr>
            <w:r>
              <w:rPr>
                <w:b/>
                <w:bCs/>
                <w:spacing w:val="1"/>
              </w:rPr>
              <w:t>能要点</w:t>
            </w:r>
          </w:p>
        </w:tc>
        <w:tc>
          <w:tcPr>
            <w:tcW w:w="2484" w:type="dxa"/>
            <w:vMerge w:val="restart"/>
            <w:tcBorders>
              <w:top w:val="single" w:color="000000" w:sz="2" w:space="0"/>
              <w:bottom w:val="nil"/>
            </w:tcBorders>
            <w:vAlign w:val="top"/>
          </w:tcPr>
          <w:p w14:paraId="0A83EA65">
            <w:pPr>
              <w:pStyle w:val="6"/>
              <w:spacing w:before="144" w:line="219" w:lineRule="auto"/>
              <w:ind w:left="924"/>
            </w:pPr>
            <w:r>
              <w:rPr>
                <w:b/>
                <w:bCs/>
                <w:spacing w:val="5"/>
              </w:rPr>
              <w:t>考试条目</w:t>
            </w:r>
          </w:p>
        </w:tc>
        <w:tc>
          <w:tcPr>
            <w:tcW w:w="913" w:type="dxa"/>
            <w:gridSpan w:val="4"/>
            <w:tcBorders>
              <w:top w:val="single" w:color="000000" w:sz="2" w:space="0"/>
              <w:bottom w:val="single" w:color="000000" w:sz="2" w:space="0"/>
            </w:tcBorders>
            <w:vAlign w:val="top"/>
          </w:tcPr>
          <w:p w14:paraId="3ADF94CB">
            <w:pPr>
              <w:pStyle w:val="6"/>
              <w:spacing w:before="34" w:line="201" w:lineRule="auto"/>
              <w:ind w:left="140"/>
            </w:pPr>
            <w:r>
              <w:rPr>
                <w:b/>
                <w:bCs/>
                <w:spacing w:val="-4"/>
              </w:rPr>
              <w:t>考试水平</w:t>
            </w:r>
          </w:p>
        </w:tc>
      </w:tr>
      <w:tr w14:paraId="509F7E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4" w:hRule="atLeast"/>
        </w:trPr>
        <w:tc>
          <w:tcPr>
            <w:tcW w:w="733" w:type="dxa"/>
            <w:vMerge w:val="continue"/>
            <w:tcBorders>
              <w:top w:val="nil"/>
              <w:bottom w:val="single" w:color="000000" w:sz="2" w:space="0"/>
            </w:tcBorders>
            <w:vAlign w:val="top"/>
          </w:tcPr>
          <w:p w14:paraId="0CFC47F1">
            <w:pPr>
              <w:rPr>
                <w:rFonts w:ascii="Arial"/>
                <w:sz w:val="21"/>
              </w:rPr>
            </w:pPr>
          </w:p>
        </w:tc>
        <w:tc>
          <w:tcPr>
            <w:tcW w:w="2484" w:type="dxa"/>
            <w:vMerge w:val="continue"/>
            <w:tcBorders>
              <w:top w:val="nil"/>
              <w:bottom w:val="single" w:color="000000" w:sz="2" w:space="0"/>
            </w:tcBorders>
            <w:vAlign w:val="top"/>
          </w:tcPr>
          <w:p w14:paraId="60270F93">
            <w:pPr>
              <w:rPr>
                <w:rFonts w:ascii="Arial"/>
                <w:sz w:val="21"/>
              </w:rPr>
            </w:pPr>
          </w:p>
        </w:tc>
        <w:tc>
          <w:tcPr>
            <w:tcW w:w="230" w:type="dxa"/>
            <w:tcBorders>
              <w:top w:val="single" w:color="000000" w:sz="2" w:space="0"/>
              <w:bottom w:val="single" w:color="000000" w:sz="2" w:space="0"/>
            </w:tcBorders>
            <w:vAlign w:val="top"/>
          </w:tcPr>
          <w:p w14:paraId="61EAB464">
            <w:pPr>
              <w:pStyle w:val="6"/>
              <w:spacing w:before="64" w:line="139" w:lineRule="exact"/>
              <w:ind w:left="20"/>
            </w:pPr>
            <w:r>
              <w:rPr>
                <w:b/>
                <w:bCs/>
                <w:spacing w:val="-2"/>
                <w:position w:val="-2"/>
              </w:rPr>
              <w:t>A</w:t>
            </w:r>
          </w:p>
        </w:tc>
        <w:tc>
          <w:tcPr>
            <w:tcW w:w="229" w:type="dxa"/>
            <w:tcBorders>
              <w:top w:val="single" w:color="000000" w:sz="2" w:space="0"/>
              <w:bottom w:val="single" w:color="000000" w:sz="2" w:space="0"/>
            </w:tcBorders>
            <w:vAlign w:val="top"/>
          </w:tcPr>
          <w:p w14:paraId="3B5A40D3">
            <w:pPr>
              <w:pStyle w:val="6"/>
              <w:spacing w:before="67" w:line="136" w:lineRule="exact"/>
              <w:ind w:left="20"/>
            </w:pPr>
            <w:r>
              <w:rPr>
                <w:b/>
                <w:bCs/>
                <w:spacing w:val="-2"/>
                <w:position w:val="-2"/>
              </w:rPr>
              <w:t>B</w:t>
            </w:r>
          </w:p>
        </w:tc>
        <w:tc>
          <w:tcPr>
            <w:tcW w:w="220" w:type="dxa"/>
            <w:tcBorders>
              <w:top w:val="single" w:color="000000" w:sz="2" w:space="0"/>
              <w:bottom w:val="single" w:color="000000" w:sz="2" w:space="0"/>
            </w:tcBorders>
            <w:vAlign w:val="top"/>
          </w:tcPr>
          <w:p w14:paraId="6A4459A7">
            <w:pPr>
              <w:pStyle w:val="6"/>
              <w:spacing w:before="65" w:line="138" w:lineRule="exact"/>
              <w:ind w:left="18"/>
            </w:pPr>
            <w:r>
              <w:rPr>
                <w:position w:val="-2"/>
              </w:rPr>
              <w:t>C</w:t>
            </w:r>
          </w:p>
        </w:tc>
        <w:tc>
          <w:tcPr>
            <w:tcW w:w="234" w:type="dxa"/>
            <w:tcBorders>
              <w:top w:val="single" w:color="000000" w:sz="2" w:space="0"/>
              <w:bottom w:val="single" w:color="000000" w:sz="2" w:space="0"/>
            </w:tcBorders>
            <w:vAlign w:val="top"/>
          </w:tcPr>
          <w:p w14:paraId="76433187">
            <w:pPr>
              <w:pStyle w:val="6"/>
              <w:spacing w:before="67" w:line="136" w:lineRule="exact"/>
              <w:ind w:left="21"/>
            </w:pPr>
            <w:r>
              <w:rPr>
                <w:b/>
                <w:bCs/>
                <w:spacing w:val="-2"/>
                <w:position w:val="-2"/>
              </w:rPr>
              <w:t>D</w:t>
            </w:r>
          </w:p>
        </w:tc>
      </w:tr>
      <w:tr w14:paraId="292D43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64" w:hRule="atLeast"/>
        </w:trPr>
        <w:tc>
          <w:tcPr>
            <w:tcW w:w="733" w:type="dxa"/>
            <w:tcBorders>
              <w:top w:val="single" w:color="000000" w:sz="2" w:space="0"/>
              <w:bottom w:val="single" w:color="000000" w:sz="2" w:space="0"/>
            </w:tcBorders>
            <w:vAlign w:val="top"/>
          </w:tcPr>
          <w:p w14:paraId="5F60F208">
            <w:pPr>
              <w:pStyle w:val="6"/>
              <w:spacing w:before="32" w:line="225" w:lineRule="auto"/>
              <w:ind w:left="105" w:right="100"/>
              <w:jc w:val="both"/>
            </w:pPr>
            <w:r>
              <w:rPr>
                <w:spacing w:val="-3"/>
              </w:rPr>
              <w:t>信息技</w:t>
            </w:r>
            <w:r>
              <w:rPr>
                <w:spacing w:val="1"/>
              </w:rPr>
              <w:t xml:space="preserve"> </w:t>
            </w:r>
            <w:r>
              <w:rPr>
                <w:spacing w:val="-3"/>
              </w:rPr>
              <w:t>术与信</w:t>
            </w:r>
            <w:r>
              <w:t xml:space="preserve"> </w:t>
            </w:r>
            <w:r>
              <w:rPr>
                <w:spacing w:val="2"/>
              </w:rPr>
              <w:t>息社会</w:t>
            </w:r>
          </w:p>
        </w:tc>
        <w:tc>
          <w:tcPr>
            <w:tcW w:w="2484" w:type="dxa"/>
            <w:tcBorders>
              <w:top w:val="single" w:color="000000" w:sz="2" w:space="0"/>
              <w:bottom w:val="single" w:color="000000" w:sz="2" w:space="0"/>
            </w:tcBorders>
            <w:vAlign w:val="top"/>
          </w:tcPr>
          <w:p w14:paraId="0EAEE26D">
            <w:pPr>
              <w:pStyle w:val="6"/>
              <w:spacing w:before="33" w:line="235" w:lineRule="auto"/>
              <w:ind w:left="11" w:right="571"/>
            </w:pPr>
            <w:r>
              <w:rPr>
                <w:spacing w:val="1"/>
              </w:rPr>
              <w:t>1.信息技术的发展与应用</w:t>
            </w:r>
            <w:r>
              <w:rPr>
                <w:spacing w:val="7"/>
              </w:rPr>
              <w:t xml:space="preserve"> </w:t>
            </w:r>
            <w:r>
              <w:rPr>
                <w:spacing w:val="-1"/>
              </w:rPr>
              <w:t>2.信息社会的基本特征</w:t>
            </w:r>
          </w:p>
          <w:p w14:paraId="0787F930">
            <w:pPr>
              <w:pStyle w:val="6"/>
              <w:spacing w:before="15" w:line="187" w:lineRule="auto"/>
              <w:jc w:val="right"/>
            </w:pPr>
            <w:r>
              <w:rPr>
                <w:spacing w:val="-17"/>
              </w:rPr>
              <w:t>3.信息社会</w:t>
            </w:r>
            <w:r>
              <w:rPr>
                <w:spacing w:val="-16"/>
              </w:rPr>
              <w:t>的文化、道德与法律常</w:t>
            </w:r>
            <w:r>
              <w:rPr>
                <w:spacing w:val="-10"/>
              </w:rPr>
              <w:t>识</w:t>
            </w:r>
          </w:p>
        </w:tc>
        <w:tc>
          <w:tcPr>
            <w:tcW w:w="230" w:type="dxa"/>
            <w:tcBorders>
              <w:top w:val="single" w:color="000000" w:sz="2" w:space="0"/>
              <w:bottom w:val="single" w:color="000000" w:sz="2" w:space="0"/>
            </w:tcBorders>
            <w:vAlign w:val="top"/>
          </w:tcPr>
          <w:p w14:paraId="7FF3DD28">
            <w:pPr>
              <w:rPr>
                <w:rFonts w:ascii="Arial"/>
                <w:sz w:val="21"/>
              </w:rPr>
            </w:pPr>
          </w:p>
        </w:tc>
        <w:tc>
          <w:tcPr>
            <w:tcW w:w="229" w:type="dxa"/>
            <w:tcBorders>
              <w:top w:val="single" w:color="000000" w:sz="2" w:space="0"/>
              <w:bottom w:val="single" w:color="000000" w:sz="2" w:space="0"/>
            </w:tcBorders>
            <w:vAlign w:val="top"/>
          </w:tcPr>
          <w:p w14:paraId="7D812FD7">
            <w:pPr>
              <w:rPr>
                <w:rFonts w:ascii="Arial"/>
                <w:sz w:val="21"/>
              </w:rPr>
            </w:pPr>
          </w:p>
        </w:tc>
        <w:tc>
          <w:tcPr>
            <w:tcW w:w="220" w:type="dxa"/>
            <w:tcBorders>
              <w:top w:val="single" w:color="000000" w:sz="2" w:space="0"/>
              <w:bottom w:val="single" w:color="000000" w:sz="2" w:space="0"/>
            </w:tcBorders>
            <w:vAlign w:val="top"/>
          </w:tcPr>
          <w:p w14:paraId="40BD7FBE">
            <w:pPr>
              <w:rPr>
                <w:rFonts w:ascii="Arial"/>
                <w:sz w:val="21"/>
              </w:rPr>
            </w:pPr>
          </w:p>
        </w:tc>
        <w:tc>
          <w:tcPr>
            <w:tcW w:w="234" w:type="dxa"/>
            <w:tcBorders>
              <w:top w:val="single" w:color="000000" w:sz="2" w:space="0"/>
              <w:bottom w:val="single" w:color="000000" w:sz="2" w:space="0"/>
            </w:tcBorders>
            <w:vAlign w:val="top"/>
          </w:tcPr>
          <w:p w14:paraId="1CC4E606">
            <w:pPr>
              <w:rPr>
                <w:rFonts w:ascii="Arial"/>
                <w:sz w:val="21"/>
              </w:rPr>
            </w:pPr>
          </w:p>
        </w:tc>
      </w:tr>
      <w:tr w14:paraId="190821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73" w:hRule="atLeast"/>
        </w:trPr>
        <w:tc>
          <w:tcPr>
            <w:tcW w:w="733" w:type="dxa"/>
            <w:tcBorders>
              <w:top w:val="single" w:color="000000" w:sz="2" w:space="0"/>
              <w:bottom w:val="single" w:color="000000" w:sz="2" w:space="0"/>
            </w:tcBorders>
            <w:vAlign w:val="top"/>
          </w:tcPr>
          <w:p w14:paraId="13E6355F">
            <w:pPr>
              <w:pStyle w:val="6"/>
              <w:spacing w:before="144" w:line="233" w:lineRule="auto"/>
              <w:ind w:left="184" w:right="92" w:hanging="79"/>
            </w:pPr>
            <w:r>
              <w:rPr>
                <w:spacing w:val="5"/>
              </w:rPr>
              <w:t>信息系</w:t>
            </w:r>
            <w:r>
              <w:t xml:space="preserve"> </w:t>
            </w:r>
            <w:r>
              <w:rPr>
                <w:spacing w:val="6"/>
              </w:rPr>
              <w:t>统的</w:t>
            </w:r>
            <w:r>
              <w:t xml:space="preserve">  </w:t>
            </w:r>
            <w:r>
              <w:rPr>
                <w:spacing w:val="-3"/>
              </w:rPr>
              <w:t>组成</w:t>
            </w:r>
          </w:p>
        </w:tc>
        <w:tc>
          <w:tcPr>
            <w:tcW w:w="2484" w:type="dxa"/>
            <w:tcBorders>
              <w:top w:val="single" w:color="000000" w:sz="2" w:space="0"/>
              <w:bottom w:val="single" w:color="000000" w:sz="2" w:space="0"/>
            </w:tcBorders>
            <w:vAlign w:val="top"/>
          </w:tcPr>
          <w:p w14:paraId="67C8DAA7">
            <w:pPr>
              <w:pStyle w:val="6"/>
              <w:spacing w:before="41" w:line="223" w:lineRule="auto"/>
              <w:ind w:left="11" w:right="1604"/>
              <w:jc w:val="both"/>
            </w:pPr>
            <w:r>
              <w:rPr>
                <w:spacing w:val="1"/>
              </w:rPr>
              <w:t>1.硬件系统</w:t>
            </w:r>
            <w:r>
              <w:t xml:space="preserve"> </w:t>
            </w:r>
            <w:r>
              <w:rPr>
                <w:spacing w:val="-2"/>
              </w:rPr>
              <w:t>2.软件系统</w:t>
            </w:r>
            <w:r>
              <w:rPr>
                <w:spacing w:val="2"/>
              </w:rPr>
              <w:t xml:space="preserve"> </w:t>
            </w:r>
            <w:r>
              <w:rPr>
                <w:spacing w:val="-2"/>
              </w:rPr>
              <w:t>3.通信网络</w:t>
            </w:r>
            <w:r>
              <w:t xml:space="preserve"> </w:t>
            </w:r>
            <w:r>
              <w:rPr>
                <w:spacing w:val="-1"/>
              </w:rPr>
              <w:t>4.信息资源</w:t>
            </w:r>
          </w:p>
        </w:tc>
        <w:tc>
          <w:tcPr>
            <w:tcW w:w="230" w:type="dxa"/>
            <w:tcBorders>
              <w:top w:val="single" w:color="000000" w:sz="2" w:space="0"/>
              <w:bottom w:val="single" w:color="000000" w:sz="2" w:space="0"/>
            </w:tcBorders>
            <w:vAlign w:val="top"/>
          </w:tcPr>
          <w:p w14:paraId="18E30122">
            <w:pPr>
              <w:rPr>
                <w:rFonts w:ascii="Arial"/>
                <w:sz w:val="21"/>
              </w:rPr>
            </w:pPr>
          </w:p>
        </w:tc>
        <w:tc>
          <w:tcPr>
            <w:tcW w:w="229" w:type="dxa"/>
            <w:tcBorders>
              <w:top w:val="single" w:color="000000" w:sz="2" w:space="0"/>
              <w:bottom w:val="single" w:color="000000" w:sz="2" w:space="0"/>
            </w:tcBorders>
            <w:vAlign w:val="top"/>
          </w:tcPr>
          <w:p w14:paraId="468AF98E">
            <w:pPr>
              <w:spacing w:before="88" w:line="302" w:lineRule="exact"/>
              <w:ind w:firstLine="40"/>
            </w:pPr>
            <w:r>
              <w:rPr>
                <w:position w:val="-6"/>
              </w:rPr>
              <w:drawing>
                <wp:inline distT="0" distB="0" distL="0" distR="0">
                  <wp:extent cx="92075" cy="191135"/>
                  <wp:effectExtent l="0" t="0" r="0" b="0"/>
                  <wp:docPr id="192" name="IM 192"/>
                  <wp:cNvGraphicFramePr/>
                  <a:graphic xmlns:a="http://schemas.openxmlformats.org/drawingml/2006/main">
                    <a:graphicData uri="http://schemas.openxmlformats.org/drawingml/2006/picture">
                      <pic:pic xmlns:pic="http://schemas.openxmlformats.org/drawingml/2006/picture">
                        <pic:nvPicPr>
                          <pic:cNvPr id="192" name="IM 192"/>
                          <pic:cNvPicPr/>
                        </pic:nvPicPr>
                        <pic:blipFill>
                          <a:blip r:embed="rId261"/>
                          <a:stretch>
                            <a:fillRect/>
                          </a:stretch>
                        </pic:blipFill>
                        <pic:spPr>
                          <a:xfrm>
                            <a:off x="0" y="0"/>
                            <a:ext cx="92093" cy="191443"/>
                          </a:xfrm>
                          <a:prstGeom prst="rect">
                            <a:avLst/>
                          </a:prstGeom>
                        </pic:spPr>
                      </pic:pic>
                    </a:graphicData>
                  </a:graphic>
                </wp:inline>
              </w:drawing>
            </w:r>
          </w:p>
        </w:tc>
        <w:tc>
          <w:tcPr>
            <w:tcW w:w="220" w:type="dxa"/>
            <w:tcBorders>
              <w:top w:val="single" w:color="000000" w:sz="2" w:space="0"/>
              <w:bottom w:val="single" w:color="000000" w:sz="2" w:space="0"/>
            </w:tcBorders>
            <w:vAlign w:val="top"/>
          </w:tcPr>
          <w:p w14:paraId="1A7C2508">
            <w:pPr>
              <w:rPr>
                <w:rFonts w:ascii="Arial"/>
                <w:sz w:val="21"/>
              </w:rPr>
            </w:pPr>
          </w:p>
        </w:tc>
        <w:tc>
          <w:tcPr>
            <w:tcW w:w="234" w:type="dxa"/>
            <w:tcBorders>
              <w:top w:val="single" w:color="000000" w:sz="2" w:space="0"/>
              <w:bottom w:val="single" w:color="000000" w:sz="2" w:space="0"/>
            </w:tcBorders>
            <w:vAlign w:val="top"/>
          </w:tcPr>
          <w:p w14:paraId="1E9F170A">
            <w:pPr>
              <w:rPr>
                <w:rFonts w:ascii="Arial"/>
                <w:sz w:val="21"/>
              </w:rPr>
            </w:pPr>
          </w:p>
        </w:tc>
      </w:tr>
      <w:tr w14:paraId="3AD45D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83" w:hRule="atLeast"/>
        </w:trPr>
        <w:tc>
          <w:tcPr>
            <w:tcW w:w="733" w:type="dxa"/>
            <w:tcBorders>
              <w:top w:val="single" w:color="000000" w:sz="2" w:space="0"/>
              <w:bottom w:val="single" w:color="000000" w:sz="2" w:space="0"/>
            </w:tcBorders>
            <w:vAlign w:val="top"/>
          </w:tcPr>
          <w:p w14:paraId="43689595">
            <w:pPr>
              <w:pStyle w:val="6"/>
              <w:spacing w:before="146" w:line="236" w:lineRule="auto"/>
              <w:ind w:left="184" w:right="92" w:hanging="79"/>
            </w:pPr>
            <w:r>
              <w:rPr>
                <w:spacing w:val="5"/>
              </w:rPr>
              <w:t>信息系</w:t>
            </w:r>
            <w:r>
              <w:t xml:space="preserve"> </w:t>
            </w:r>
            <w:r>
              <w:rPr>
                <w:spacing w:val="6"/>
              </w:rPr>
              <w:t>统的</w:t>
            </w:r>
            <w:r>
              <w:t xml:space="preserve">  </w:t>
            </w:r>
            <w:r>
              <w:rPr>
                <w:spacing w:val="5"/>
              </w:rPr>
              <w:t>结构</w:t>
            </w:r>
          </w:p>
        </w:tc>
        <w:tc>
          <w:tcPr>
            <w:tcW w:w="2484" w:type="dxa"/>
            <w:tcBorders>
              <w:top w:val="single" w:color="000000" w:sz="2" w:space="0"/>
              <w:bottom w:val="single" w:color="000000" w:sz="2" w:space="0"/>
            </w:tcBorders>
            <w:vAlign w:val="top"/>
          </w:tcPr>
          <w:p w14:paraId="0D364369">
            <w:pPr>
              <w:pStyle w:val="6"/>
              <w:spacing w:before="66" w:line="219" w:lineRule="auto"/>
              <w:ind w:left="11" w:right="1431"/>
              <w:jc w:val="both"/>
            </w:pPr>
            <w:r>
              <w:rPr>
                <w:spacing w:val="1"/>
              </w:rPr>
              <w:t>1.基础设施层</w:t>
            </w:r>
            <w:r>
              <w:rPr>
                <w:spacing w:val="2"/>
              </w:rPr>
              <w:t xml:space="preserve"> </w:t>
            </w:r>
            <w:r>
              <w:rPr>
                <w:spacing w:val="-2"/>
              </w:rPr>
              <w:t>2.资源管理层</w:t>
            </w:r>
            <w:r>
              <w:rPr>
                <w:spacing w:val="4"/>
              </w:rPr>
              <w:t xml:space="preserve"> </w:t>
            </w:r>
            <w:r>
              <w:rPr>
                <w:spacing w:val="1"/>
              </w:rPr>
              <w:t>3.业务逻辑层</w:t>
            </w:r>
            <w:r>
              <w:rPr>
                <w:spacing w:val="2"/>
              </w:rPr>
              <w:t xml:space="preserve"> </w:t>
            </w:r>
            <w:r>
              <w:rPr>
                <w:spacing w:val="-1"/>
              </w:rPr>
              <w:t>4.应用表现层</w:t>
            </w:r>
          </w:p>
        </w:tc>
        <w:tc>
          <w:tcPr>
            <w:tcW w:w="230" w:type="dxa"/>
            <w:tcBorders>
              <w:top w:val="single" w:color="000000" w:sz="2" w:space="0"/>
              <w:bottom w:val="single" w:color="000000" w:sz="2" w:space="0"/>
            </w:tcBorders>
            <w:vAlign w:val="top"/>
          </w:tcPr>
          <w:p w14:paraId="2B9633E5">
            <w:pPr>
              <w:rPr>
                <w:rFonts w:ascii="Arial"/>
                <w:sz w:val="21"/>
              </w:rPr>
            </w:pPr>
          </w:p>
        </w:tc>
        <w:tc>
          <w:tcPr>
            <w:tcW w:w="229" w:type="dxa"/>
            <w:tcBorders>
              <w:top w:val="single" w:color="000000" w:sz="2" w:space="0"/>
              <w:bottom w:val="single" w:color="000000" w:sz="2" w:space="0"/>
            </w:tcBorders>
            <w:vAlign w:val="top"/>
          </w:tcPr>
          <w:p w14:paraId="7A1D3976">
            <w:pPr>
              <w:rPr>
                <w:rFonts w:ascii="Arial"/>
                <w:sz w:val="21"/>
              </w:rPr>
            </w:pPr>
          </w:p>
        </w:tc>
        <w:tc>
          <w:tcPr>
            <w:tcW w:w="220" w:type="dxa"/>
            <w:tcBorders>
              <w:top w:val="single" w:color="000000" w:sz="2" w:space="0"/>
              <w:bottom w:val="single" w:color="000000" w:sz="2" w:space="0"/>
            </w:tcBorders>
            <w:vAlign w:val="top"/>
          </w:tcPr>
          <w:p w14:paraId="78C85388">
            <w:pPr>
              <w:rPr>
                <w:rFonts w:ascii="Arial"/>
                <w:sz w:val="21"/>
              </w:rPr>
            </w:pPr>
          </w:p>
        </w:tc>
        <w:tc>
          <w:tcPr>
            <w:tcW w:w="234" w:type="dxa"/>
            <w:tcBorders>
              <w:top w:val="single" w:color="000000" w:sz="2" w:space="0"/>
              <w:bottom w:val="single" w:color="000000" w:sz="2" w:space="0"/>
            </w:tcBorders>
            <w:vAlign w:val="top"/>
          </w:tcPr>
          <w:p w14:paraId="0D689130">
            <w:pPr>
              <w:rPr>
                <w:rFonts w:ascii="Arial"/>
                <w:sz w:val="21"/>
              </w:rPr>
            </w:pPr>
          </w:p>
        </w:tc>
      </w:tr>
      <w:tr w14:paraId="34ED77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9" w:hRule="atLeast"/>
        </w:trPr>
        <w:tc>
          <w:tcPr>
            <w:tcW w:w="733" w:type="dxa"/>
            <w:tcBorders>
              <w:top w:val="single" w:color="000000" w:sz="2" w:space="0"/>
              <w:bottom w:val="single" w:color="000000" w:sz="2" w:space="0"/>
            </w:tcBorders>
            <w:vAlign w:val="top"/>
          </w:tcPr>
          <w:p w14:paraId="26199083">
            <w:pPr>
              <w:pStyle w:val="6"/>
              <w:spacing w:before="26" w:line="207" w:lineRule="auto"/>
              <w:ind w:left="14"/>
            </w:pPr>
            <w:r>
              <w:rPr>
                <w:spacing w:val="-2"/>
              </w:rPr>
              <w:t>计算机的</w:t>
            </w:r>
          </w:p>
          <w:p w14:paraId="798D6651">
            <w:pPr>
              <w:pStyle w:val="6"/>
              <w:spacing w:line="207" w:lineRule="auto"/>
              <w:ind w:left="14"/>
            </w:pPr>
            <w:r>
              <w:rPr>
                <w:spacing w:val="-2"/>
              </w:rPr>
              <w:t>主要硬件</w:t>
            </w:r>
          </w:p>
          <w:p w14:paraId="4F98B1E7">
            <w:pPr>
              <w:pStyle w:val="6"/>
              <w:spacing w:line="194" w:lineRule="auto"/>
              <w:ind w:left="114"/>
            </w:pPr>
            <w:r>
              <w:rPr>
                <w:spacing w:val="-2"/>
              </w:rPr>
              <w:t>及性能</w:t>
            </w:r>
          </w:p>
          <w:p w14:paraId="318A8996">
            <w:pPr>
              <w:pStyle w:val="6"/>
              <w:spacing w:line="186" w:lineRule="auto"/>
              <w:ind w:left="184"/>
            </w:pPr>
            <w:r>
              <w:rPr>
                <w:spacing w:val="-3"/>
              </w:rPr>
              <w:t>指标</w:t>
            </w:r>
          </w:p>
        </w:tc>
        <w:tc>
          <w:tcPr>
            <w:tcW w:w="2484" w:type="dxa"/>
            <w:tcBorders>
              <w:top w:val="single" w:color="000000" w:sz="2" w:space="0"/>
              <w:bottom w:val="single" w:color="000000" w:sz="2" w:space="0"/>
            </w:tcBorders>
            <w:vAlign w:val="top"/>
          </w:tcPr>
          <w:p w14:paraId="4580FD63">
            <w:pPr>
              <w:pStyle w:val="6"/>
              <w:spacing w:before="151" w:line="209" w:lineRule="auto"/>
              <w:ind w:left="11" w:right="1960"/>
            </w:pPr>
            <w:r>
              <w:rPr>
                <w:spacing w:val="-4"/>
              </w:rPr>
              <w:t>1.CPU</w:t>
            </w:r>
            <w:r>
              <w:t xml:space="preserve">  </w:t>
            </w:r>
            <w:r>
              <w:rPr>
                <w:spacing w:val="-3"/>
              </w:rPr>
              <w:t>2.内存</w:t>
            </w:r>
            <w:r>
              <w:rPr>
                <w:spacing w:val="2"/>
              </w:rPr>
              <w:t xml:space="preserve"> </w:t>
            </w:r>
            <w:r>
              <w:rPr>
                <w:spacing w:val="-3"/>
              </w:rPr>
              <w:t>3.外存</w:t>
            </w:r>
          </w:p>
        </w:tc>
        <w:tc>
          <w:tcPr>
            <w:tcW w:w="230" w:type="dxa"/>
            <w:tcBorders>
              <w:top w:val="single" w:color="000000" w:sz="2" w:space="0"/>
              <w:bottom w:val="single" w:color="000000" w:sz="2" w:space="0"/>
            </w:tcBorders>
            <w:vAlign w:val="top"/>
          </w:tcPr>
          <w:p w14:paraId="69872908">
            <w:pPr>
              <w:rPr>
                <w:rFonts w:ascii="Arial"/>
                <w:sz w:val="21"/>
              </w:rPr>
            </w:pPr>
          </w:p>
        </w:tc>
        <w:tc>
          <w:tcPr>
            <w:tcW w:w="229" w:type="dxa"/>
            <w:tcBorders>
              <w:top w:val="single" w:color="000000" w:sz="2" w:space="0"/>
              <w:bottom w:val="single" w:color="000000" w:sz="2" w:space="0"/>
            </w:tcBorders>
            <w:vAlign w:val="top"/>
          </w:tcPr>
          <w:p w14:paraId="74921DEB">
            <w:pPr>
              <w:spacing w:before="126" w:line="565" w:lineRule="exact"/>
              <w:ind w:firstLine="40"/>
            </w:pPr>
            <w:r>
              <w:rPr>
                <w:position w:val="-11"/>
              </w:rPr>
              <w:drawing>
                <wp:inline distT="0" distB="0" distL="0" distR="0">
                  <wp:extent cx="92075" cy="358140"/>
                  <wp:effectExtent l="0" t="0" r="0" b="0"/>
                  <wp:docPr id="194" name="IM 194"/>
                  <wp:cNvGraphicFramePr/>
                  <a:graphic xmlns:a="http://schemas.openxmlformats.org/drawingml/2006/main">
                    <a:graphicData uri="http://schemas.openxmlformats.org/drawingml/2006/picture">
                      <pic:pic xmlns:pic="http://schemas.openxmlformats.org/drawingml/2006/picture">
                        <pic:nvPicPr>
                          <pic:cNvPr id="194" name="IM 194"/>
                          <pic:cNvPicPr/>
                        </pic:nvPicPr>
                        <pic:blipFill>
                          <a:blip r:embed="rId262"/>
                          <a:stretch>
                            <a:fillRect/>
                          </a:stretch>
                        </pic:blipFill>
                        <pic:spPr>
                          <a:xfrm>
                            <a:off x="0" y="0"/>
                            <a:ext cx="92093" cy="358736"/>
                          </a:xfrm>
                          <a:prstGeom prst="rect">
                            <a:avLst/>
                          </a:prstGeom>
                        </pic:spPr>
                      </pic:pic>
                    </a:graphicData>
                  </a:graphic>
                </wp:inline>
              </w:drawing>
            </w:r>
          </w:p>
        </w:tc>
        <w:tc>
          <w:tcPr>
            <w:tcW w:w="220" w:type="dxa"/>
            <w:tcBorders>
              <w:top w:val="single" w:color="000000" w:sz="2" w:space="0"/>
              <w:bottom w:val="single" w:color="000000" w:sz="2" w:space="0"/>
            </w:tcBorders>
            <w:vAlign w:val="top"/>
          </w:tcPr>
          <w:p w14:paraId="76AE201D">
            <w:pPr>
              <w:rPr>
                <w:rFonts w:ascii="Arial"/>
                <w:sz w:val="21"/>
              </w:rPr>
            </w:pPr>
          </w:p>
        </w:tc>
        <w:tc>
          <w:tcPr>
            <w:tcW w:w="234" w:type="dxa"/>
            <w:tcBorders>
              <w:top w:val="single" w:color="000000" w:sz="2" w:space="0"/>
              <w:bottom w:val="single" w:color="000000" w:sz="2" w:space="0"/>
            </w:tcBorders>
            <w:vAlign w:val="top"/>
          </w:tcPr>
          <w:p w14:paraId="6B094DB7">
            <w:pPr>
              <w:rPr>
                <w:rFonts w:ascii="Arial"/>
                <w:sz w:val="21"/>
              </w:rPr>
            </w:pPr>
          </w:p>
        </w:tc>
      </w:tr>
    </w:tbl>
    <w:p w14:paraId="0BB78792">
      <w:pPr>
        <w:pStyle w:val="2"/>
        <w:spacing w:line="14" w:lineRule="auto"/>
        <w:rPr>
          <w:sz w:val="2"/>
        </w:rPr>
      </w:pPr>
    </w:p>
    <w:p w14:paraId="52370CDE">
      <w:pPr>
        <w:pStyle w:val="2"/>
        <w:spacing w:line="14" w:lineRule="auto"/>
        <w:rPr>
          <w:sz w:val="2"/>
        </w:rPr>
      </w:pPr>
      <w:r>
        <w:rPr>
          <w:sz w:val="2"/>
          <w:szCs w:val="2"/>
        </w:rPr>
        <w:br w:type="column"/>
      </w: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23"/>
        <w:gridCol w:w="2494"/>
        <w:gridCol w:w="230"/>
        <w:gridCol w:w="229"/>
        <w:gridCol w:w="219"/>
        <w:gridCol w:w="224"/>
      </w:tblGrid>
      <w:tr w14:paraId="519CD9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9" w:hRule="atLeast"/>
        </w:trPr>
        <w:tc>
          <w:tcPr>
            <w:tcW w:w="723" w:type="dxa"/>
            <w:vMerge w:val="restart"/>
            <w:tcBorders>
              <w:top w:val="single" w:color="000000" w:sz="2" w:space="0"/>
              <w:bottom w:val="nil"/>
            </w:tcBorders>
            <w:vAlign w:val="top"/>
          </w:tcPr>
          <w:p w14:paraId="7E7F97B6">
            <w:pPr>
              <w:pStyle w:val="6"/>
              <w:spacing w:before="25" w:line="196" w:lineRule="auto"/>
              <w:ind w:left="67" w:right="3" w:hanging="50"/>
              <w:rPr>
                <w:sz w:val="19"/>
                <w:szCs w:val="19"/>
              </w:rPr>
            </w:pPr>
            <w:r>
              <w:rPr>
                <w:b/>
                <w:bCs/>
                <w:spacing w:val="-22"/>
                <w:sz w:val="19"/>
                <w:szCs w:val="19"/>
              </w:rPr>
              <w:t>知</w:t>
            </w:r>
            <w:r>
              <w:rPr>
                <w:b/>
                <w:bCs/>
                <w:spacing w:val="-21"/>
                <w:sz w:val="19"/>
                <w:szCs w:val="19"/>
              </w:rPr>
              <w:t>识与</w:t>
            </w:r>
            <w:r>
              <w:rPr>
                <w:b/>
                <w:bCs/>
                <w:spacing w:val="-12"/>
                <w:sz w:val="19"/>
                <w:szCs w:val="19"/>
              </w:rPr>
              <w:t>技</w:t>
            </w:r>
            <w:r>
              <w:rPr>
                <w:sz w:val="19"/>
                <w:szCs w:val="19"/>
              </w:rPr>
              <w:t xml:space="preserve"> </w:t>
            </w:r>
            <w:r>
              <w:rPr>
                <w:b/>
                <w:bCs/>
                <w:spacing w:val="1"/>
                <w:sz w:val="19"/>
                <w:szCs w:val="19"/>
              </w:rPr>
              <w:t>能要点</w:t>
            </w:r>
          </w:p>
        </w:tc>
        <w:tc>
          <w:tcPr>
            <w:tcW w:w="2494" w:type="dxa"/>
            <w:vMerge w:val="restart"/>
            <w:tcBorders>
              <w:top w:val="single" w:color="000000" w:sz="2" w:space="0"/>
              <w:bottom w:val="nil"/>
            </w:tcBorders>
            <w:vAlign w:val="top"/>
          </w:tcPr>
          <w:p w14:paraId="7B39E989">
            <w:pPr>
              <w:pStyle w:val="6"/>
              <w:spacing w:before="125" w:line="219" w:lineRule="auto"/>
              <w:ind w:left="914"/>
              <w:rPr>
                <w:sz w:val="19"/>
                <w:szCs w:val="19"/>
              </w:rPr>
            </w:pPr>
            <w:r>
              <w:rPr>
                <w:b/>
                <w:bCs/>
                <w:spacing w:val="5"/>
                <w:sz w:val="19"/>
                <w:szCs w:val="19"/>
              </w:rPr>
              <w:t>考试条目</w:t>
            </w:r>
          </w:p>
        </w:tc>
        <w:tc>
          <w:tcPr>
            <w:tcW w:w="902" w:type="dxa"/>
            <w:gridSpan w:val="4"/>
            <w:tcBorders>
              <w:top w:val="single" w:color="000000" w:sz="2" w:space="0"/>
              <w:bottom w:val="single" w:color="000000" w:sz="2" w:space="0"/>
            </w:tcBorders>
            <w:vAlign w:val="top"/>
          </w:tcPr>
          <w:p w14:paraId="6619E913">
            <w:pPr>
              <w:pStyle w:val="6"/>
              <w:spacing w:before="5" w:line="198" w:lineRule="auto"/>
              <w:ind w:right="16"/>
              <w:jc w:val="right"/>
              <w:rPr>
                <w:sz w:val="19"/>
                <w:szCs w:val="19"/>
              </w:rPr>
            </w:pPr>
            <w:r>
              <w:rPr>
                <w:b/>
                <w:bCs/>
                <w:spacing w:val="-4"/>
                <w:sz w:val="19"/>
                <w:szCs w:val="19"/>
              </w:rPr>
              <w:t>考试水平</w:t>
            </w:r>
          </w:p>
        </w:tc>
      </w:tr>
      <w:tr w14:paraId="252A0F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5" w:hRule="atLeast"/>
        </w:trPr>
        <w:tc>
          <w:tcPr>
            <w:tcW w:w="723" w:type="dxa"/>
            <w:vMerge w:val="continue"/>
            <w:tcBorders>
              <w:top w:val="nil"/>
              <w:bottom w:val="single" w:color="000000" w:sz="2" w:space="0"/>
            </w:tcBorders>
            <w:vAlign w:val="top"/>
          </w:tcPr>
          <w:p w14:paraId="5A0C730E">
            <w:pPr>
              <w:rPr>
                <w:rFonts w:ascii="Arial"/>
                <w:sz w:val="21"/>
              </w:rPr>
            </w:pPr>
          </w:p>
        </w:tc>
        <w:tc>
          <w:tcPr>
            <w:tcW w:w="2494" w:type="dxa"/>
            <w:vMerge w:val="continue"/>
            <w:tcBorders>
              <w:top w:val="nil"/>
              <w:bottom w:val="single" w:color="000000" w:sz="2" w:space="0"/>
            </w:tcBorders>
            <w:vAlign w:val="top"/>
          </w:tcPr>
          <w:p w14:paraId="4FAD80D8">
            <w:pPr>
              <w:rPr>
                <w:rFonts w:ascii="Arial"/>
                <w:sz w:val="21"/>
              </w:rPr>
            </w:pPr>
          </w:p>
        </w:tc>
        <w:tc>
          <w:tcPr>
            <w:tcW w:w="230" w:type="dxa"/>
            <w:tcBorders>
              <w:top w:val="single" w:color="000000" w:sz="2" w:space="0"/>
              <w:bottom w:val="single" w:color="000000" w:sz="2" w:space="0"/>
            </w:tcBorders>
            <w:vAlign w:val="top"/>
          </w:tcPr>
          <w:p w14:paraId="6E6FE94C">
            <w:pPr>
              <w:pStyle w:val="6"/>
              <w:spacing w:before="51" w:line="153" w:lineRule="exact"/>
              <w:ind w:left="20"/>
              <w:rPr>
                <w:sz w:val="19"/>
                <w:szCs w:val="19"/>
              </w:rPr>
            </w:pPr>
            <w:r>
              <w:rPr>
                <w:b/>
                <w:bCs/>
                <w:spacing w:val="-2"/>
                <w:position w:val="-2"/>
                <w:sz w:val="19"/>
                <w:szCs w:val="19"/>
              </w:rPr>
              <w:t>A</w:t>
            </w:r>
          </w:p>
        </w:tc>
        <w:tc>
          <w:tcPr>
            <w:tcW w:w="229" w:type="dxa"/>
            <w:tcBorders>
              <w:top w:val="single" w:color="000000" w:sz="2" w:space="0"/>
              <w:bottom w:val="single" w:color="000000" w:sz="2" w:space="0"/>
            </w:tcBorders>
            <w:vAlign w:val="top"/>
          </w:tcPr>
          <w:p w14:paraId="073D9996">
            <w:pPr>
              <w:pStyle w:val="6"/>
              <w:spacing w:before="54" w:line="151" w:lineRule="exact"/>
              <w:ind w:left="27"/>
              <w:rPr>
                <w:sz w:val="19"/>
                <w:szCs w:val="19"/>
              </w:rPr>
            </w:pPr>
            <w:r>
              <w:rPr>
                <w:position w:val="-2"/>
                <w:sz w:val="19"/>
                <w:szCs w:val="19"/>
              </w:rPr>
              <w:t>B</w:t>
            </w:r>
          </w:p>
        </w:tc>
        <w:tc>
          <w:tcPr>
            <w:tcW w:w="219" w:type="dxa"/>
            <w:tcBorders>
              <w:top w:val="single" w:color="000000" w:sz="2" w:space="0"/>
              <w:bottom w:val="single" w:color="000000" w:sz="2" w:space="0"/>
            </w:tcBorders>
            <w:vAlign w:val="top"/>
          </w:tcPr>
          <w:p w14:paraId="297EC4B9">
            <w:pPr>
              <w:pStyle w:val="6"/>
              <w:spacing w:before="51" w:line="153" w:lineRule="exact"/>
              <w:ind w:left="21"/>
              <w:rPr>
                <w:sz w:val="19"/>
                <w:szCs w:val="19"/>
              </w:rPr>
            </w:pPr>
            <w:r>
              <w:rPr>
                <w:b/>
                <w:bCs/>
                <w:spacing w:val="-2"/>
                <w:position w:val="-2"/>
                <w:sz w:val="19"/>
                <w:szCs w:val="19"/>
              </w:rPr>
              <w:t>C</w:t>
            </w:r>
          </w:p>
        </w:tc>
        <w:tc>
          <w:tcPr>
            <w:tcW w:w="224" w:type="dxa"/>
            <w:tcBorders>
              <w:top w:val="single" w:color="000000" w:sz="2" w:space="0"/>
              <w:bottom w:val="single" w:color="000000" w:sz="2" w:space="0"/>
            </w:tcBorders>
            <w:vAlign w:val="top"/>
          </w:tcPr>
          <w:p w14:paraId="4519F066">
            <w:pPr>
              <w:pStyle w:val="6"/>
              <w:spacing w:before="54" w:line="151" w:lineRule="exact"/>
              <w:ind w:left="22"/>
              <w:rPr>
                <w:sz w:val="19"/>
                <w:szCs w:val="19"/>
              </w:rPr>
            </w:pPr>
            <w:r>
              <w:rPr>
                <w:b/>
                <w:bCs/>
                <w:spacing w:val="-2"/>
                <w:position w:val="-2"/>
                <w:sz w:val="19"/>
                <w:szCs w:val="19"/>
              </w:rPr>
              <w:t>D</w:t>
            </w:r>
          </w:p>
        </w:tc>
      </w:tr>
      <w:tr w14:paraId="132439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4" w:hRule="atLeast"/>
        </w:trPr>
        <w:tc>
          <w:tcPr>
            <w:tcW w:w="723" w:type="dxa"/>
            <w:tcBorders>
              <w:top w:val="single" w:color="000000" w:sz="2" w:space="0"/>
              <w:bottom w:val="single" w:color="000000" w:sz="2" w:space="0"/>
            </w:tcBorders>
            <w:vAlign w:val="top"/>
          </w:tcPr>
          <w:p w14:paraId="41B85ECA">
            <w:pPr>
              <w:pStyle w:val="6"/>
              <w:spacing w:before="11" w:line="192" w:lineRule="auto"/>
              <w:ind w:left="17"/>
              <w:jc w:val="both"/>
              <w:rPr>
                <w:sz w:val="18"/>
                <w:szCs w:val="18"/>
              </w:rPr>
            </w:pPr>
            <w:r>
              <w:rPr>
                <w:b/>
                <w:bCs/>
                <w:spacing w:val="-21"/>
                <w:sz w:val="19"/>
                <w:szCs w:val="19"/>
              </w:rPr>
              <w:t>计</w:t>
            </w:r>
            <w:r>
              <w:rPr>
                <w:b/>
                <w:bCs/>
                <w:spacing w:val="-20"/>
                <w:sz w:val="19"/>
                <w:szCs w:val="19"/>
              </w:rPr>
              <w:t>算机</w:t>
            </w:r>
            <w:r>
              <w:rPr>
                <w:b/>
                <w:bCs/>
                <w:spacing w:val="-15"/>
                <w:sz w:val="19"/>
                <w:szCs w:val="19"/>
              </w:rPr>
              <w:t>的</w:t>
            </w:r>
            <w:r>
              <w:rPr>
                <w:spacing w:val="2"/>
                <w:sz w:val="19"/>
                <w:szCs w:val="19"/>
              </w:rPr>
              <w:t xml:space="preserve"> </w:t>
            </w:r>
            <w:r>
              <w:rPr>
                <w:b/>
                <w:bCs/>
                <w:spacing w:val="-14"/>
                <w:w w:val="97"/>
                <w:sz w:val="19"/>
                <w:szCs w:val="19"/>
              </w:rPr>
              <w:t>主要硬件</w:t>
            </w:r>
            <w:r>
              <w:rPr>
                <w:sz w:val="19"/>
                <w:szCs w:val="19"/>
              </w:rPr>
              <w:t xml:space="preserve"> </w:t>
            </w:r>
            <w:r>
              <w:rPr>
                <w:b/>
                <w:bCs/>
                <w:spacing w:val="25"/>
                <w:sz w:val="18"/>
                <w:szCs w:val="18"/>
              </w:rPr>
              <w:t>及性能</w:t>
            </w:r>
          </w:p>
          <w:p w14:paraId="58DB3581">
            <w:pPr>
              <w:pStyle w:val="6"/>
              <w:spacing w:line="164" w:lineRule="auto"/>
              <w:ind w:left="165"/>
              <w:rPr>
                <w:sz w:val="18"/>
                <w:szCs w:val="18"/>
              </w:rPr>
            </w:pPr>
            <w:r>
              <w:rPr>
                <w:spacing w:val="13"/>
                <w:sz w:val="18"/>
                <w:szCs w:val="18"/>
              </w:rPr>
              <w:t>指标</w:t>
            </w:r>
          </w:p>
        </w:tc>
        <w:tc>
          <w:tcPr>
            <w:tcW w:w="2494" w:type="dxa"/>
            <w:tcBorders>
              <w:top w:val="single" w:color="000000" w:sz="2" w:space="0"/>
              <w:bottom w:val="single" w:color="000000" w:sz="2" w:space="0"/>
            </w:tcBorders>
            <w:vAlign w:val="top"/>
          </w:tcPr>
          <w:p w14:paraId="1607D397">
            <w:pPr>
              <w:pStyle w:val="6"/>
              <w:spacing w:before="201" w:line="221" w:lineRule="auto"/>
              <w:ind w:left="254" w:right="1285"/>
              <w:rPr>
                <w:sz w:val="19"/>
                <w:szCs w:val="19"/>
              </w:rPr>
            </w:pPr>
            <w:r>
              <w:rPr>
                <w:b/>
                <w:bCs/>
                <w:spacing w:val="-4"/>
                <w:sz w:val="19"/>
                <w:szCs w:val="19"/>
              </w:rPr>
              <w:t>4.输入设备</w:t>
            </w:r>
            <w:r>
              <w:rPr>
                <w:spacing w:val="4"/>
                <w:sz w:val="19"/>
                <w:szCs w:val="19"/>
              </w:rPr>
              <w:t xml:space="preserve"> </w:t>
            </w:r>
            <w:r>
              <w:rPr>
                <w:b/>
                <w:bCs/>
                <w:spacing w:val="-4"/>
                <w:sz w:val="19"/>
                <w:szCs w:val="19"/>
              </w:rPr>
              <w:t>5.输出设备</w:t>
            </w:r>
          </w:p>
        </w:tc>
        <w:tc>
          <w:tcPr>
            <w:tcW w:w="230" w:type="dxa"/>
            <w:tcBorders>
              <w:top w:val="single" w:color="000000" w:sz="2" w:space="0"/>
              <w:bottom w:val="single" w:color="000000" w:sz="2" w:space="0"/>
            </w:tcBorders>
            <w:vAlign w:val="top"/>
          </w:tcPr>
          <w:p w14:paraId="3ABE9353">
            <w:pPr>
              <w:rPr>
                <w:rFonts w:ascii="Arial"/>
                <w:sz w:val="21"/>
              </w:rPr>
            </w:pPr>
          </w:p>
        </w:tc>
        <w:tc>
          <w:tcPr>
            <w:tcW w:w="229" w:type="dxa"/>
            <w:tcBorders>
              <w:top w:val="single" w:color="000000" w:sz="2" w:space="0"/>
              <w:bottom w:val="single" w:color="000000" w:sz="2" w:space="0"/>
            </w:tcBorders>
            <w:vAlign w:val="top"/>
          </w:tcPr>
          <w:p w14:paraId="3EF12C2F">
            <w:pPr>
              <w:spacing w:before="238" w:line="321" w:lineRule="exact"/>
              <w:ind w:firstLine="33"/>
            </w:pPr>
            <w:r>
              <w:rPr>
                <w:position w:val="-6"/>
              </w:rPr>
              <w:drawing>
                <wp:inline distT="0" distB="0" distL="0" distR="0">
                  <wp:extent cx="95250" cy="203200"/>
                  <wp:effectExtent l="0" t="0" r="0" b="0"/>
                  <wp:docPr id="196" name="IM 196"/>
                  <wp:cNvGraphicFramePr/>
                  <a:graphic xmlns:a="http://schemas.openxmlformats.org/drawingml/2006/main">
                    <a:graphicData uri="http://schemas.openxmlformats.org/drawingml/2006/picture">
                      <pic:pic xmlns:pic="http://schemas.openxmlformats.org/drawingml/2006/picture">
                        <pic:nvPicPr>
                          <pic:cNvPr id="196" name="IM 196"/>
                          <pic:cNvPicPr/>
                        </pic:nvPicPr>
                        <pic:blipFill>
                          <a:blip r:embed="rId263"/>
                          <a:stretch>
                            <a:fillRect/>
                          </a:stretch>
                        </pic:blipFill>
                        <pic:spPr>
                          <a:xfrm>
                            <a:off x="0" y="0"/>
                            <a:ext cx="95627" cy="203434"/>
                          </a:xfrm>
                          <a:prstGeom prst="rect">
                            <a:avLst/>
                          </a:prstGeom>
                        </pic:spPr>
                      </pic:pic>
                    </a:graphicData>
                  </a:graphic>
                </wp:inline>
              </w:drawing>
            </w:r>
          </w:p>
        </w:tc>
        <w:tc>
          <w:tcPr>
            <w:tcW w:w="219" w:type="dxa"/>
            <w:tcBorders>
              <w:top w:val="single" w:color="000000" w:sz="2" w:space="0"/>
              <w:bottom w:val="single" w:color="000000" w:sz="2" w:space="0"/>
            </w:tcBorders>
            <w:vAlign w:val="top"/>
          </w:tcPr>
          <w:p w14:paraId="679EA985">
            <w:pPr>
              <w:rPr>
                <w:rFonts w:ascii="Arial"/>
                <w:sz w:val="21"/>
              </w:rPr>
            </w:pPr>
          </w:p>
        </w:tc>
        <w:tc>
          <w:tcPr>
            <w:tcW w:w="224" w:type="dxa"/>
            <w:tcBorders>
              <w:top w:val="single" w:color="000000" w:sz="2" w:space="0"/>
              <w:bottom w:val="single" w:color="000000" w:sz="2" w:space="0"/>
            </w:tcBorders>
            <w:vAlign w:val="top"/>
          </w:tcPr>
          <w:p w14:paraId="31E91405">
            <w:pPr>
              <w:rPr>
                <w:rFonts w:ascii="Arial"/>
                <w:sz w:val="21"/>
              </w:rPr>
            </w:pPr>
          </w:p>
        </w:tc>
      </w:tr>
      <w:tr w14:paraId="11FE2F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84" w:hRule="atLeast"/>
        </w:trPr>
        <w:tc>
          <w:tcPr>
            <w:tcW w:w="723" w:type="dxa"/>
            <w:tcBorders>
              <w:top w:val="single" w:color="000000" w:sz="2" w:space="0"/>
              <w:bottom w:val="single" w:color="000000" w:sz="2" w:space="0"/>
            </w:tcBorders>
            <w:vAlign w:val="top"/>
          </w:tcPr>
          <w:p w14:paraId="1FD9906B">
            <w:pPr>
              <w:pStyle w:val="6"/>
              <w:spacing w:before="273" w:line="207" w:lineRule="auto"/>
              <w:ind w:left="65" w:right="85"/>
              <w:rPr>
                <w:sz w:val="19"/>
                <w:szCs w:val="19"/>
              </w:rPr>
            </w:pPr>
            <w:r>
              <w:rPr>
                <w:spacing w:val="-3"/>
                <w:sz w:val="19"/>
                <w:szCs w:val="19"/>
              </w:rPr>
              <w:t>信息技</w:t>
            </w:r>
            <w:r>
              <w:rPr>
                <w:sz w:val="19"/>
                <w:szCs w:val="19"/>
              </w:rPr>
              <w:t xml:space="preserve"> </w:t>
            </w:r>
            <w:r>
              <w:rPr>
                <w:spacing w:val="-3"/>
                <w:sz w:val="19"/>
                <w:szCs w:val="19"/>
              </w:rPr>
              <w:t>术设备</w:t>
            </w:r>
          </w:p>
        </w:tc>
        <w:tc>
          <w:tcPr>
            <w:tcW w:w="2494" w:type="dxa"/>
            <w:tcBorders>
              <w:top w:val="single" w:color="000000" w:sz="2" w:space="0"/>
              <w:bottom w:val="single" w:color="000000" w:sz="2" w:space="0"/>
            </w:tcBorders>
            <w:vAlign w:val="top"/>
          </w:tcPr>
          <w:p w14:paraId="1A785440">
            <w:pPr>
              <w:pStyle w:val="6"/>
              <w:spacing w:before="45" w:line="207" w:lineRule="auto"/>
              <w:ind w:left="251" w:right="1101"/>
              <w:rPr>
                <w:sz w:val="19"/>
                <w:szCs w:val="19"/>
              </w:rPr>
            </w:pPr>
            <w:r>
              <w:rPr>
                <w:spacing w:val="1"/>
                <w:sz w:val="19"/>
                <w:szCs w:val="19"/>
              </w:rPr>
              <w:t>1.移动终端</w:t>
            </w:r>
            <w:r>
              <w:rPr>
                <w:sz w:val="19"/>
                <w:szCs w:val="19"/>
              </w:rPr>
              <w:t xml:space="preserve">   </w:t>
            </w:r>
            <w:r>
              <w:rPr>
                <w:spacing w:val="-2"/>
                <w:sz w:val="19"/>
                <w:szCs w:val="19"/>
              </w:rPr>
              <w:t>2.可穿戴设备</w:t>
            </w:r>
            <w:r>
              <w:rPr>
                <w:spacing w:val="3"/>
                <w:sz w:val="19"/>
                <w:szCs w:val="19"/>
              </w:rPr>
              <w:t xml:space="preserve"> </w:t>
            </w:r>
            <w:r>
              <w:rPr>
                <w:spacing w:val="1"/>
                <w:sz w:val="19"/>
                <w:szCs w:val="19"/>
              </w:rPr>
              <w:t>3.网络设备</w:t>
            </w:r>
          </w:p>
          <w:p w14:paraId="73C47FF8">
            <w:pPr>
              <w:pStyle w:val="6"/>
              <w:spacing w:line="183" w:lineRule="auto"/>
              <w:ind w:left="251"/>
              <w:rPr>
                <w:sz w:val="19"/>
                <w:szCs w:val="19"/>
              </w:rPr>
            </w:pPr>
            <w:r>
              <w:rPr>
                <w:spacing w:val="-1"/>
                <w:sz w:val="19"/>
                <w:szCs w:val="19"/>
              </w:rPr>
              <w:t>4.外围设备</w:t>
            </w:r>
          </w:p>
        </w:tc>
        <w:tc>
          <w:tcPr>
            <w:tcW w:w="230" w:type="dxa"/>
            <w:tcBorders>
              <w:top w:val="single" w:color="000000" w:sz="2" w:space="0"/>
              <w:bottom w:val="single" w:color="000000" w:sz="2" w:space="0"/>
            </w:tcBorders>
            <w:vAlign w:val="top"/>
          </w:tcPr>
          <w:p w14:paraId="4169A80A">
            <w:pPr>
              <w:spacing w:line="328" w:lineRule="auto"/>
              <w:rPr>
                <w:rFonts w:ascii="Arial"/>
                <w:sz w:val="21"/>
              </w:rPr>
            </w:pPr>
          </w:p>
          <w:p w14:paraId="15E43A10">
            <w:pPr>
              <w:spacing w:line="329" w:lineRule="auto"/>
              <w:rPr>
                <w:rFonts w:ascii="Arial"/>
                <w:sz w:val="21"/>
              </w:rPr>
            </w:pPr>
          </w:p>
          <w:p w14:paraId="590098C4">
            <w:pPr>
              <w:pStyle w:val="6"/>
              <w:spacing w:before="58" w:line="158" w:lineRule="auto"/>
              <w:rPr>
                <w:sz w:val="18"/>
                <w:szCs w:val="18"/>
              </w:rPr>
            </w:pPr>
            <w:r>
              <w:rPr>
                <w:sz w:val="18"/>
                <w:szCs w:val="18"/>
              </w:rPr>
              <w:t>》</w:t>
            </w:r>
          </w:p>
        </w:tc>
        <w:tc>
          <w:tcPr>
            <w:tcW w:w="229" w:type="dxa"/>
            <w:tcBorders>
              <w:top w:val="single" w:color="000000" w:sz="2" w:space="0"/>
              <w:bottom w:val="single" w:color="000000" w:sz="2" w:space="0"/>
            </w:tcBorders>
            <w:vAlign w:val="top"/>
          </w:tcPr>
          <w:p w14:paraId="1E0FDD9F">
            <w:pPr>
              <w:rPr>
                <w:rFonts w:ascii="Arial"/>
                <w:sz w:val="21"/>
              </w:rPr>
            </w:pPr>
          </w:p>
        </w:tc>
        <w:tc>
          <w:tcPr>
            <w:tcW w:w="219" w:type="dxa"/>
            <w:tcBorders>
              <w:top w:val="single" w:color="000000" w:sz="2" w:space="0"/>
              <w:bottom w:val="single" w:color="000000" w:sz="2" w:space="0"/>
            </w:tcBorders>
            <w:vAlign w:val="top"/>
          </w:tcPr>
          <w:p w14:paraId="4D812609">
            <w:pPr>
              <w:rPr>
                <w:rFonts w:ascii="Arial"/>
                <w:sz w:val="21"/>
              </w:rPr>
            </w:pPr>
          </w:p>
        </w:tc>
        <w:tc>
          <w:tcPr>
            <w:tcW w:w="224" w:type="dxa"/>
            <w:tcBorders>
              <w:top w:val="single" w:color="000000" w:sz="2" w:space="0"/>
              <w:bottom w:val="single" w:color="000000" w:sz="2" w:space="0"/>
            </w:tcBorders>
            <w:vAlign w:val="top"/>
          </w:tcPr>
          <w:p w14:paraId="051C043D">
            <w:pPr>
              <w:rPr>
                <w:rFonts w:ascii="Arial"/>
                <w:sz w:val="21"/>
              </w:rPr>
            </w:pPr>
          </w:p>
        </w:tc>
      </w:tr>
      <w:tr w14:paraId="6FB9DE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64" w:hRule="atLeast"/>
        </w:trPr>
        <w:tc>
          <w:tcPr>
            <w:tcW w:w="723" w:type="dxa"/>
            <w:tcBorders>
              <w:top w:val="single" w:color="000000" w:sz="2" w:space="0"/>
              <w:bottom w:val="single" w:color="000000" w:sz="2" w:space="0"/>
            </w:tcBorders>
            <w:vAlign w:val="top"/>
          </w:tcPr>
          <w:p w14:paraId="00E13698">
            <w:pPr>
              <w:pStyle w:val="6"/>
              <w:spacing w:before="55" w:line="203" w:lineRule="auto"/>
              <w:ind w:left="65"/>
              <w:rPr>
                <w:sz w:val="19"/>
                <w:szCs w:val="19"/>
              </w:rPr>
            </w:pPr>
            <w:r>
              <w:rPr>
                <w:spacing w:val="-2"/>
                <w:sz w:val="19"/>
                <w:szCs w:val="19"/>
              </w:rPr>
              <w:t>信息处</w:t>
            </w:r>
          </w:p>
          <w:p w14:paraId="0E5A59A0">
            <w:pPr>
              <w:pStyle w:val="6"/>
              <w:spacing w:line="185" w:lineRule="auto"/>
              <w:ind w:left="65"/>
              <w:rPr>
                <w:sz w:val="19"/>
                <w:szCs w:val="19"/>
              </w:rPr>
            </w:pPr>
            <w:r>
              <w:rPr>
                <w:spacing w:val="-3"/>
                <w:sz w:val="19"/>
                <w:szCs w:val="19"/>
              </w:rPr>
              <w:t>理基本</w:t>
            </w:r>
          </w:p>
          <w:p w14:paraId="416E14E3">
            <w:pPr>
              <w:pStyle w:val="6"/>
              <w:spacing w:line="192" w:lineRule="auto"/>
              <w:ind w:left="165"/>
              <w:rPr>
                <w:sz w:val="19"/>
                <w:szCs w:val="19"/>
              </w:rPr>
            </w:pPr>
            <w:r>
              <w:rPr>
                <w:spacing w:val="-3"/>
                <w:sz w:val="19"/>
                <w:szCs w:val="19"/>
              </w:rPr>
              <w:t>流程</w:t>
            </w:r>
          </w:p>
        </w:tc>
        <w:tc>
          <w:tcPr>
            <w:tcW w:w="2494" w:type="dxa"/>
            <w:tcBorders>
              <w:top w:val="single" w:color="000000" w:sz="2" w:space="0"/>
              <w:bottom w:val="single" w:color="000000" w:sz="2" w:space="0"/>
            </w:tcBorders>
            <w:vAlign w:val="top"/>
          </w:tcPr>
          <w:p w14:paraId="402CD6AE">
            <w:pPr>
              <w:pStyle w:val="6"/>
              <w:spacing w:before="244" w:line="219" w:lineRule="auto"/>
              <w:ind w:left="251"/>
              <w:rPr>
                <w:sz w:val="19"/>
                <w:szCs w:val="19"/>
              </w:rPr>
            </w:pPr>
            <w:r>
              <w:rPr>
                <w:sz w:val="19"/>
                <w:szCs w:val="19"/>
              </w:rPr>
              <w:t>1.信息处理的基本流程</w:t>
            </w:r>
          </w:p>
        </w:tc>
        <w:tc>
          <w:tcPr>
            <w:tcW w:w="230" w:type="dxa"/>
            <w:tcBorders>
              <w:top w:val="single" w:color="000000" w:sz="2" w:space="0"/>
              <w:bottom w:val="single" w:color="000000" w:sz="2" w:space="0"/>
            </w:tcBorders>
            <w:vAlign w:val="top"/>
          </w:tcPr>
          <w:p w14:paraId="259989FD">
            <w:pPr>
              <w:rPr>
                <w:rFonts w:ascii="Arial"/>
                <w:sz w:val="21"/>
              </w:rPr>
            </w:pPr>
          </w:p>
        </w:tc>
        <w:tc>
          <w:tcPr>
            <w:tcW w:w="229" w:type="dxa"/>
            <w:tcBorders>
              <w:top w:val="single" w:color="000000" w:sz="2" w:space="0"/>
              <w:bottom w:val="single" w:color="000000" w:sz="2" w:space="0"/>
            </w:tcBorders>
            <w:vAlign w:val="top"/>
          </w:tcPr>
          <w:p w14:paraId="6C508E6B">
            <w:pPr>
              <w:spacing w:line="274" w:lineRule="auto"/>
              <w:rPr>
                <w:rFonts w:ascii="Arial"/>
                <w:sz w:val="21"/>
              </w:rPr>
            </w:pPr>
          </w:p>
          <w:p w14:paraId="0C2388D7">
            <w:pPr>
              <w:spacing w:line="127" w:lineRule="exact"/>
              <w:ind w:firstLine="42"/>
            </w:pPr>
            <w:r>
              <w:rPr>
                <w:position w:val="-2"/>
              </w:rPr>
              <w:drawing>
                <wp:inline distT="0" distB="0" distL="0" distR="0">
                  <wp:extent cx="82550" cy="80010"/>
                  <wp:effectExtent l="0" t="0" r="0" b="0"/>
                  <wp:docPr id="198" name="IM 198"/>
                  <wp:cNvGraphicFramePr/>
                  <a:graphic xmlns:a="http://schemas.openxmlformats.org/drawingml/2006/main">
                    <a:graphicData uri="http://schemas.openxmlformats.org/drawingml/2006/picture">
                      <pic:pic xmlns:pic="http://schemas.openxmlformats.org/drawingml/2006/picture">
                        <pic:nvPicPr>
                          <pic:cNvPr id="198" name="IM 198"/>
                          <pic:cNvPicPr/>
                        </pic:nvPicPr>
                        <pic:blipFill>
                          <a:blip r:embed="rId264"/>
                          <a:stretch>
                            <a:fillRect/>
                          </a:stretch>
                        </pic:blipFill>
                        <pic:spPr>
                          <a:xfrm>
                            <a:off x="0" y="0"/>
                            <a:ext cx="82984" cy="80583"/>
                          </a:xfrm>
                          <a:prstGeom prst="rect">
                            <a:avLst/>
                          </a:prstGeom>
                        </pic:spPr>
                      </pic:pic>
                    </a:graphicData>
                  </a:graphic>
                </wp:inline>
              </w:drawing>
            </w:r>
          </w:p>
        </w:tc>
        <w:tc>
          <w:tcPr>
            <w:tcW w:w="219" w:type="dxa"/>
            <w:tcBorders>
              <w:top w:val="single" w:color="000000" w:sz="2" w:space="0"/>
              <w:bottom w:val="single" w:color="000000" w:sz="2" w:space="0"/>
            </w:tcBorders>
            <w:vAlign w:val="top"/>
          </w:tcPr>
          <w:p w14:paraId="6AEE058D">
            <w:pPr>
              <w:rPr>
                <w:rFonts w:ascii="Arial"/>
                <w:sz w:val="21"/>
              </w:rPr>
            </w:pPr>
          </w:p>
        </w:tc>
        <w:tc>
          <w:tcPr>
            <w:tcW w:w="224" w:type="dxa"/>
            <w:tcBorders>
              <w:top w:val="single" w:color="000000" w:sz="2" w:space="0"/>
              <w:bottom w:val="single" w:color="000000" w:sz="2" w:space="0"/>
            </w:tcBorders>
            <w:vAlign w:val="top"/>
          </w:tcPr>
          <w:p w14:paraId="796B11BD">
            <w:pPr>
              <w:rPr>
                <w:rFonts w:ascii="Arial"/>
                <w:sz w:val="21"/>
              </w:rPr>
            </w:pPr>
          </w:p>
        </w:tc>
      </w:tr>
      <w:tr w14:paraId="0AE854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763" w:hRule="atLeast"/>
        </w:trPr>
        <w:tc>
          <w:tcPr>
            <w:tcW w:w="723" w:type="dxa"/>
            <w:tcBorders>
              <w:top w:val="single" w:color="000000" w:sz="2" w:space="0"/>
              <w:bottom w:val="single" w:color="000000" w:sz="2" w:space="0"/>
            </w:tcBorders>
            <w:vAlign w:val="top"/>
          </w:tcPr>
          <w:p w14:paraId="3ABA952C">
            <w:pPr>
              <w:spacing w:line="255" w:lineRule="auto"/>
              <w:rPr>
                <w:rFonts w:ascii="Arial"/>
                <w:sz w:val="21"/>
              </w:rPr>
            </w:pPr>
          </w:p>
          <w:p w14:paraId="6408B7F5">
            <w:pPr>
              <w:spacing w:line="256" w:lineRule="auto"/>
              <w:rPr>
                <w:rFonts w:ascii="Arial"/>
                <w:sz w:val="21"/>
              </w:rPr>
            </w:pPr>
          </w:p>
          <w:p w14:paraId="43A9B132">
            <w:pPr>
              <w:pStyle w:val="6"/>
              <w:spacing w:before="61" w:line="219" w:lineRule="auto"/>
              <w:ind w:left="65"/>
              <w:rPr>
                <w:sz w:val="19"/>
                <w:szCs w:val="19"/>
              </w:rPr>
            </w:pPr>
            <w:r>
              <w:rPr>
                <w:spacing w:val="4"/>
                <w:sz w:val="19"/>
                <w:szCs w:val="19"/>
              </w:rPr>
              <w:t>信息的</w:t>
            </w:r>
          </w:p>
          <w:p w14:paraId="22425846">
            <w:pPr>
              <w:pStyle w:val="6"/>
              <w:spacing w:before="13" w:line="214" w:lineRule="auto"/>
              <w:ind w:left="65"/>
              <w:rPr>
                <w:sz w:val="19"/>
                <w:szCs w:val="19"/>
              </w:rPr>
            </w:pPr>
            <w:r>
              <w:rPr>
                <w:spacing w:val="5"/>
                <w:sz w:val="19"/>
                <w:szCs w:val="19"/>
              </w:rPr>
              <w:t>编码与</w:t>
            </w:r>
          </w:p>
          <w:p w14:paraId="65E0EA10">
            <w:pPr>
              <w:pStyle w:val="6"/>
              <w:spacing w:line="219" w:lineRule="auto"/>
              <w:ind w:left="165"/>
              <w:rPr>
                <w:sz w:val="19"/>
                <w:szCs w:val="19"/>
              </w:rPr>
            </w:pPr>
            <w:r>
              <w:rPr>
                <w:spacing w:val="-2"/>
                <w:sz w:val="19"/>
                <w:szCs w:val="19"/>
              </w:rPr>
              <w:t>存储</w:t>
            </w:r>
          </w:p>
        </w:tc>
        <w:tc>
          <w:tcPr>
            <w:tcW w:w="2494" w:type="dxa"/>
            <w:tcBorders>
              <w:top w:val="single" w:color="000000" w:sz="2" w:space="0"/>
              <w:bottom w:val="single" w:color="000000" w:sz="2" w:space="0"/>
            </w:tcBorders>
            <w:vAlign w:val="top"/>
          </w:tcPr>
          <w:p w14:paraId="6FD577FC">
            <w:pPr>
              <w:pStyle w:val="6"/>
              <w:spacing w:before="55" w:line="203" w:lineRule="auto"/>
              <w:ind w:left="12" w:right="1323"/>
              <w:rPr>
                <w:sz w:val="19"/>
                <w:szCs w:val="19"/>
              </w:rPr>
            </w:pPr>
            <w:r>
              <w:rPr>
                <w:spacing w:val="1"/>
                <w:sz w:val="19"/>
                <w:szCs w:val="19"/>
              </w:rPr>
              <w:t>1.数制及转换</w:t>
            </w:r>
            <w:r>
              <w:rPr>
                <w:sz w:val="19"/>
                <w:szCs w:val="19"/>
              </w:rPr>
              <w:t xml:space="preserve"> </w:t>
            </w:r>
            <w:r>
              <w:rPr>
                <w:spacing w:val="-2"/>
                <w:sz w:val="19"/>
                <w:szCs w:val="19"/>
              </w:rPr>
              <w:t>2.信息的编码</w:t>
            </w:r>
          </w:p>
          <w:p w14:paraId="7A522DB7">
            <w:pPr>
              <w:pStyle w:val="6"/>
              <w:spacing w:line="213" w:lineRule="auto"/>
              <w:ind w:left="251"/>
              <w:rPr>
                <w:sz w:val="19"/>
                <w:szCs w:val="19"/>
              </w:rPr>
            </w:pPr>
            <w:r>
              <w:rPr>
                <w:spacing w:val="-4"/>
                <w:sz w:val="19"/>
                <w:szCs w:val="19"/>
              </w:rPr>
              <w:t>①</w:t>
            </w:r>
            <w:r>
              <w:rPr>
                <w:spacing w:val="-40"/>
                <w:sz w:val="19"/>
                <w:szCs w:val="19"/>
              </w:rPr>
              <w:t xml:space="preserve"> </w:t>
            </w:r>
            <w:r>
              <w:rPr>
                <w:spacing w:val="-4"/>
                <w:sz w:val="19"/>
                <w:szCs w:val="19"/>
              </w:rPr>
              <w:t>B</w:t>
            </w:r>
            <w:r>
              <w:rPr>
                <w:spacing w:val="-36"/>
                <w:sz w:val="19"/>
                <w:szCs w:val="19"/>
              </w:rPr>
              <w:t xml:space="preserve"> </w:t>
            </w:r>
            <w:r>
              <w:rPr>
                <w:spacing w:val="-4"/>
                <w:sz w:val="19"/>
                <w:szCs w:val="19"/>
              </w:rPr>
              <w:t>C</w:t>
            </w:r>
            <w:r>
              <w:rPr>
                <w:spacing w:val="-39"/>
                <w:sz w:val="19"/>
                <w:szCs w:val="19"/>
              </w:rPr>
              <w:t xml:space="preserve"> </w:t>
            </w:r>
            <w:r>
              <w:rPr>
                <w:spacing w:val="-4"/>
                <w:sz w:val="19"/>
                <w:szCs w:val="19"/>
              </w:rPr>
              <w:t>D</w:t>
            </w:r>
            <w:r>
              <w:rPr>
                <w:spacing w:val="-35"/>
                <w:sz w:val="19"/>
                <w:szCs w:val="19"/>
              </w:rPr>
              <w:t xml:space="preserve"> </w:t>
            </w:r>
            <w:r>
              <w:rPr>
                <w:spacing w:val="-4"/>
                <w:sz w:val="19"/>
                <w:szCs w:val="19"/>
              </w:rPr>
              <w:t>码</w:t>
            </w:r>
          </w:p>
          <w:p w14:paraId="0F5EFE0C">
            <w:pPr>
              <w:pStyle w:val="6"/>
              <w:spacing w:line="217" w:lineRule="auto"/>
              <w:ind w:left="251"/>
              <w:rPr>
                <w:sz w:val="19"/>
                <w:szCs w:val="19"/>
              </w:rPr>
            </w:pPr>
            <w:r>
              <w:rPr>
                <w:spacing w:val="-1"/>
                <w:sz w:val="19"/>
                <w:szCs w:val="19"/>
              </w:rPr>
              <w:t>②ASCII码</w:t>
            </w:r>
          </w:p>
          <w:p w14:paraId="2C8586D7">
            <w:pPr>
              <w:pStyle w:val="6"/>
              <w:spacing w:before="6" w:line="217" w:lineRule="auto"/>
              <w:ind w:left="251"/>
              <w:rPr>
                <w:sz w:val="19"/>
                <w:szCs w:val="19"/>
              </w:rPr>
            </w:pPr>
            <w:r>
              <w:rPr>
                <w:spacing w:val="-1"/>
                <w:sz w:val="19"/>
                <w:szCs w:val="19"/>
              </w:rPr>
              <w:t>③汉字编码</w:t>
            </w:r>
          </w:p>
          <w:p w14:paraId="511EB424">
            <w:pPr>
              <w:pStyle w:val="6"/>
              <w:spacing w:before="7" w:line="194" w:lineRule="auto"/>
              <w:ind w:left="251"/>
              <w:rPr>
                <w:sz w:val="19"/>
                <w:szCs w:val="19"/>
              </w:rPr>
            </w:pPr>
            <w:r>
              <w:rPr>
                <w:spacing w:val="13"/>
                <w:w w:val="116"/>
                <w:sz w:val="19"/>
                <w:szCs w:val="19"/>
              </w:rPr>
              <w:t>④UNICODE码</w:t>
            </w:r>
          </w:p>
          <w:p w14:paraId="3DF55E6C">
            <w:pPr>
              <w:pStyle w:val="6"/>
              <w:spacing w:line="194" w:lineRule="auto"/>
              <w:ind w:left="22" w:right="812" w:firstLine="229"/>
              <w:rPr>
                <w:sz w:val="19"/>
                <w:szCs w:val="19"/>
              </w:rPr>
            </w:pPr>
            <w:r>
              <w:rPr>
                <w:spacing w:val="-1"/>
                <w:sz w:val="19"/>
                <w:szCs w:val="19"/>
              </w:rPr>
              <w:t>⑤条形码/二维码</w:t>
            </w:r>
            <w:r>
              <w:rPr>
                <w:spacing w:val="1"/>
                <w:sz w:val="19"/>
                <w:szCs w:val="19"/>
              </w:rPr>
              <w:t xml:space="preserve"> </w:t>
            </w:r>
            <w:r>
              <w:rPr>
                <w:spacing w:val="-2"/>
                <w:sz w:val="19"/>
                <w:szCs w:val="19"/>
              </w:rPr>
              <w:t>3.信息的存储</w:t>
            </w:r>
          </w:p>
        </w:tc>
        <w:tc>
          <w:tcPr>
            <w:tcW w:w="230" w:type="dxa"/>
            <w:tcBorders>
              <w:top w:val="single" w:color="000000" w:sz="2" w:space="0"/>
              <w:bottom w:val="single" w:color="000000" w:sz="2" w:space="0"/>
            </w:tcBorders>
            <w:vAlign w:val="top"/>
          </w:tcPr>
          <w:p w14:paraId="5E0B9DE3">
            <w:pPr>
              <w:spacing w:line="251" w:lineRule="auto"/>
              <w:rPr>
                <w:rFonts w:ascii="Arial"/>
                <w:sz w:val="21"/>
              </w:rPr>
            </w:pPr>
          </w:p>
          <w:p w14:paraId="0F9B21B2">
            <w:pPr>
              <w:spacing w:line="252" w:lineRule="auto"/>
              <w:rPr>
                <w:rFonts w:ascii="Arial"/>
                <w:sz w:val="21"/>
              </w:rPr>
            </w:pPr>
          </w:p>
          <w:p w14:paraId="3C92E0A4">
            <w:pPr>
              <w:spacing w:line="127" w:lineRule="exact"/>
              <w:ind w:firstLine="42"/>
            </w:pPr>
            <w:r>
              <w:rPr>
                <w:position w:val="-2"/>
              </w:rPr>
              <w:drawing>
                <wp:inline distT="0" distB="0" distL="0" distR="0">
                  <wp:extent cx="82550" cy="80010"/>
                  <wp:effectExtent l="0" t="0" r="0" b="0"/>
                  <wp:docPr id="200" name="IM 200"/>
                  <wp:cNvGraphicFramePr/>
                  <a:graphic xmlns:a="http://schemas.openxmlformats.org/drawingml/2006/main">
                    <a:graphicData uri="http://schemas.openxmlformats.org/drawingml/2006/picture">
                      <pic:pic xmlns:pic="http://schemas.openxmlformats.org/drawingml/2006/picture">
                        <pic:nvPicPr>
                          <pic:cNvPr id="200" name="IM 200"/>
                          <pic:cNvPicPr/>
                        </pic:nvPicPr>
                        <pic:blipFill>
                          <a:blip r:embed="rId265"/>
                          <a:stretch>
                            <a:fillRect/>
                          </a:stretch>
                        </pic:blipFill>
                        <pic:spPr>
                          <a:xfrm>
                            <a:off x="0" y="0"/>
                            <a:ext cx="82984" cy="80541"/>
                          </a:xfrm>
                          <a:prstGeom prst="rect">
                            <a:avLst/>
                          </a:prstGeom>
                        </pic:spPr>
                      </pic:pic>
                    </a:graphicData>
                  </a:graphic>
                </wp:inline>
              </w:drawing>
            </w:r>
          </w:p>
        </w:tc>
        <w:tc>
          <w:tcPr>
            <w:tcW w:w="229" w:type="dxa"/>
            <w:tcBorders>
              <w:top w:val="single" w:color="000000" w:sz="2" w:space="0"/>
              <w:bottom w:val="single" w:color="000000" w:sz="2" w:space="0"/>
            </w:tcBorders>
            <w:vAlign w:val="top"/>
          </w:tcPr>
          <w:p w14:paraId="3C69D96A">
            <w:pPr>
              <w:rPr>
                <w:rFonts w:ascii="Arial"/>
                <w:sz w:val="21"/>
              </w:rPr>
            </w:pPr>
          </w:p>
        </w:tc>
        <w:tc>
          <w:tcPr>
            <w:tcW w:w="219" w:type="dxa"/>
            <w:tcBorders>
              <w:top w:val="single" w:color="000000" w:sz="2" w:space="0"/>
              <w:bottom w:val="single" w:color="000000" w:sz="2" w:space="0"/>
            </w:tcBorders>
            <w:vAlign w:val="top"/>
          </w:tcPr>
          <w:p w14:paraId="7EF598FD">
            <w:pPr>
              <w:rPr>
                <w:rFonts w:ascii="Arial"/>
                <w:sz w:val="21"/>
              </w:rPr>
            </w:pPr>
          </w:p>
        </w:tc>
        <w:tc>
          <w:tcPr>
            <w:tcW w:w="224" w:type="dxa"/>
            <w:tcBorders>
              <w:top w:val="single" w:color="000000" w:sz="2" w:space="0"/>
              <w:bottom w:val="single" w:color="000000" w:sz="2" w:space="0"/>
            </w:tcBorders>
            <w:vAlign w:val="top"/>
          </w:tcPr>
          <w:p w14:paraId="518B665E">
            <w:pPr>
              <w:rPr>
                <w:rFonts w:ascii="Arial"/>
                <w:sz w:val="21"/>
              </w:rPr>
            </w:pPr>
          </w:p>
        </w:tc>
      </w:tr>
      <w:tr w14:paraId="3A3D0A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79" w:hRule="atLeast"/>
        </w:trPr>
        <w:tc>
          <w:tcPr>
            <w:tcW w:w="723" w:type="dxa"/>
            <w:tcBorders>
              <w:top w:val="single" w:color="000000" w:sz="2" w:space="0"/>
              <w:bottom w:val="single" w:color="000000" w:sz="2" w:space="0"/>
            </w:tcBorders>
            <w:vAlign w:val="top"/>
          </w:tcPr>
          <w:p w14:paraId="36B7678B">
            <w:pPr>
              <w:pStyle w:val="6"/>
              <w:spacing w:before="246" w:line="228" w:lineRule="auto"/>
              <w:ind w:left="165" w:right="153"/>
              <w:rPr>
                <w:sz w:val="19"/>
                <w:szCs w:val="19"/>
              </w:rPr>
            </w:pPr>
            <w:r>
              <w:rPr>
                <w:spacing w:val="6"/>
                <w:sz w:val="19"/>
                <w:szCs w:val="19"/>
              </w:rPr>
              <w:t>信息</w:t>
            </w:r>
            <w:r>
              <w:rPr>
                <w:sz w:val="19"/>
                <w:szCs w:val="19"/>
              </w:rPr>
              <w:t xml:space="preserve"> </w:t>
            </w:r>
            <w:r>
              <w:rPr>
                <w:spacing w:val="4"/>
                <w:sz w:val="19"/>
                <w:szCs w:val="19"/>
              </w:rPr>
              <w:t>安全</w:t>
            </w:r>
          </w:p>
        </w:tc>
        <w:tc>
          <w:tcPr>
            <w:tcW w:w="2494" w:type="dxa"/>
            <w:tcBorders>
              <w:top w:val="single" w:color="000000" w:sz="2" w:space="0"/>
              <w:bottom w:val="single" w:color="000000" w:sz="2" w:space="0"/>
            </w:tcBorders>
            <w:vAlign w:val="top"/>
          </w:tcPr>
          <w:p w14:paraId="20B956B3">
            <w:pPr>
              <w:pStyle w:val="6"/>
              <w:spacing w:before="47" w:line="214" w:lineRule="auto"/>
              <w:ind w:left="251"/>
              <w:rPr>
                <w:sz w:val="19"/>
                <w:szCs w:val="19"/>
              </w:rPr>
            </w:pPr>
            <w:r>
              <w:rPr>
                <w:sz w:val="19"/>
                <w:szCs w:val="19"/>
              </w:rPr>
              <w:t>1.信息安全的基本属性</w:t>
            </w:r>
          </w:p>
          <w:p w14:paraId="0F3DC8A3">
            <w:pPr>
              <w:pStyle w:val="6"/>
              <w:spacing w:line="213" w:lineRule="auto"/>
              <w:ind w:left="251"/>
              <w:rPr>
                <w:sz w:val="19"/>
                <w:szCs w:val="19"/>
              </w:rPr>
            </w:pPr>
            <w:r>
              <w:rPr>
                <w:spacing w:val="-1"/>
                <w:sz w:val="19"/>
                <w:szCs w:val="19"/>
              </w:rPr>
              <w:t>2.信息系统的安全风险</w:t>
            </w:r>
          </w:p>
          <w:p w14:paraId="19CE722C">
            <w:pPr>
              <w:pStyle w:val="6"/>
              <w:spacing w:before="1" w:line="195" w:lineRule="auto"/>
              <w:ind w:left="251"/>
              <w:rPr>
                <w:sz w:val="18"/>
                <w:szCs w:val="18"/>
              </w:rPr>
            </w:pPr>
            <w:r>
              <w:rPr>
                <w:spacing w:val="5"/>
                <w:sz w:val="18"/>
                <w:szCs w:val="18"/>
              </w:rPr>
              <w:t>3.常见信息系统的恶意攻击</w:t>
            </w:r>
            <w:r>
              <w:rPr>
                <w:spacing w:val="6"/>
                <w:sz w:val="18"/>
                <w:szCs w:val="18"/>
              </w:rPr>
              <w:t xml:space="preserve"> </w:t>
            </w:r>
            <w:r>
              <w:rPr>
                <w:spacing w:val="9"/>
                <w:sz w:val="18"/>
                <w:szCs w:val="18"/>
              </w:rPr>
              <w:t>4.常用信息安全技术</w:t>
            </w:r>
          </w:p>
        </w:tc>
        <w:tc>
          <w:tcPr>
            <w:tcW w:w="230" w:type="dxa"/>
            <w:tcBorders>
              <w:top w:val="single" w:color="000000" w:sz="2" w:space="0"/>
              <w:bottom w:val="single" w:color="000000" w:sz="2" w:space="0"/>
            </w:tcBorders>
            <w:vAlign w:val="top"/>
          </w:tcPr>
          <w:p w14:paraId="3EC840E0">
            <w:pPr>
              <w:rPr>
                <w:rFonts w:ascii="Arial"/>
                <w:sz w:val="21"/>
              </w:rPr>
            </w:pPr>
          </w:p>
        </w:tc>
        <w:tc>
          <w:tcPr>
            <w:tcW w:w="229" w:type="dxa"/>
            <w:tcBorders>
              <w:top w:val="single" w:color="000000" w:sz="2" w:space="0"/>
              <w:bottom w:val="single" w:color="000000" w:sz="2" w:space="0"/>
            </w:tcBorders>
            <w:vAlign w:val="top"/>
          </w:tcPr>
          <w:p w14:paraId="400ABB77">
            <w:pPr>
              <w:rPr>
                <w:rFonts w:ascii="Arial"/>
                <w:sz w:val="21"/>
              </w:rPr>
            </w:pPr>
          </w:p>
        </w:tc>
        <w:tc>
          <w:tcPr>
            <w:tcW w:w="219" w:type="dxa"/>
            <w:tcBorders>
              <w:top w:val="single" w:color="000000" w:sz="2" w:space="0"/>
              <w:bottom w:val="single" w:color="000000" w:sz="2" w:space="0"/>
            </w:tcBorders>
            <w:vAlign w:val="top"/>
          </w:tcPr>
          <w:p w14:paraId="59941189">
            <w:pPr>
              <w:rPr>
                <w:rFonts w:ascii="Arial"/>
                <w:sz w:val="21"/>
              </w:rPr>
            </w:pPr>
          </w:p>
        </w:tc>
        <w:tc>
          <w:tcPr>
            <w:tcW w:w="224" w:type="dxa"/>
            <w:tcBorders>
              <w:top w:val="single" w:color="000000" w:sz="2" w:space="0"/>
              <w:bottom w:val="single" w:color="000000" w:sz="2" w:space="0"/>
            </w:tcBorders>
            <w:vAlign w:val="top"/>
          </w:tcPr>
          <w:p w14:paraId="20C73DD0">
            <w:pPr>
              <w:rPr>
                <w:rFonts w:ascii="Arial"/>
                <w:sz w:val="21"/>
              </w:rPr>
            </w:pPr>
          </w:p>
        </w:tc>
      </w:tr>
    </w:tbl>
    <w:p w14:paraId="67FAAC7F">
      <w:pPr>
        <w:spacing w:before="152" w:line="219" w:lineRule="auto"/>
        <w:ind w:left="425"/>
        <w:rPr>
          <w:rFonts w:ascii="宋体" w:hAnsi="宋体" w:eastAsia="宋体" w:cs="宋体"/>
          <w:sz w:val="17"/>
          <w:szCs w:val="17"/>
        </w:rPr>
      </w:pPr>
      <w:r>
        <w:drawing>
          <wp:anchor distT="0" distB="0" distL="0" distR="0" simplePos="0" relativeHeight="251668480" behindDoc="1" locked="0" layoutInCell="1" allowOverlap="1">
            <wp:simplePos x="0" y="0"/>
            <wp:positionH relativeFrom="column">
              <wp:posOffset>2065655</wp:posOffset>
            </wp:positionH>
            <wp:positionV relativeFrom="paragraph">
              <wp:posOffset>1767840</wp:posOffset>
            </wp:positionV>
            <wp:extent cx="264160" cy="801370"/>
            <wp:effectExtent l="0" t="0" r="0" b="0"/>
            <wp:wrapNone/>
            <wp:docPr id="202" name="IM 202"/>
            <wp:cNvGraphicFramePr/>
            <a:graphic xmlns:a="http://schemas.openxmlformats.org/drawingml/2006/main">
              <a:graphicData uri="http://schemas.openxmlformats.org/drawingml/2006/picture">
                <pic:pic xmlns:pic="http://schemas.openxmlformats.org/drawingml/2006/picture">
                  <pic:nvPicPr>
                    <pic:cNvPr id="202" name="IM 202"/>
                    <pic:cNvPicPr/>
                  </pic:nvPicPr>
                  <pic:blipFill>
                    <a:blip r:embed="rId266"/>
                    <a:stretch>
                      <a:fillRect/>
                    </a:stretch>
                  </pic:blipFill>
                  <pic:spPr>
                    <a:xfrm>
                      <a:off x="0" y="0"/>
                      <a:ext cx="263864" cy="801367"/>
                    </a:xfrm>
                    <a:prstGeom prst="rect">
                      <a:avLst/>
                    </a:prstGeom>
                  </pic:spPr>
                </pic:pic>
              </a:graphicData>
            </a:graphic>
          </wp:anchor>
        </w:drawing>
      </w:r>
      <w:r>
        <w:rPr>
          <w:rFonts w:ascii="宋体" w:hAnsi="宋体" w:eastAsia="宋体" w:cs="宋体"/>
          <w:spacing w:val="6"/>
          <w:sz w:val="17"/>
          <w:szCs w:val="17"/>
        </w:rPr>
        <w:t>(二)操作系统的使用(</w:t>
      </w:r>
      <w:r>
        <w:rPr>
          <w:rFonts w:ascii="宋体" w:hAnsi="宋体" w:eastAsia="宋体" w:cs="宋体"/>
          <w:sz w:val="17"/>
          <w:szCs w:val="17"/>
        </w:rPr>
        <w:t>Windows</w:t>
      </w:r>
      <w:r>
        <w:rPr>
          <w:rFonts w:ascii="宋体" w:hAnsi="宋体" w:eastAsia="宋体" w:cs="宋体"/>
          <w:spacing w:val="21"/>
          <w:sz w:val="17"/>
          <w:szCs w:val="17"/>
        </w:rPr>
        <w:t xml:space="preserve">  </w:t>
      </w:r>
      <w:r>
        <w:rPr>
          <w:rFonts w:ascii="宋体" w:hAnsi="宋体" w:eastAsia="宋体" w:cs="宋体"/>
          <w:spacing w:val="6"/>
          <w:sz w:val="17"/>
          <w:szCs w:val="17"/>
        </w:rPr>
        <w:t>10)</w:t>
      </w:r>
    </w:p>
    <w:p w14:paraId="21D7FCF0">
      <w:pPr>
        <w:spacing w:line="96" w:lineRule="exact"/>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23"/>
        <w:gridCol w:w="875"/>
        <w:gridCol w:w="1619"/>
        <w:gridCol w:w="230"/>
        <w:gridCol w:w="229"/>
        <w:gridCol w:w="209"/>
        <w:gridCol w:w="234"/>
      </w:tblGrid>
      <w:tr w14:paraId="11FB1A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5" w:hRule="atLeast"/>
        </w:trPr>
        <w:tc>
          <w:tcPr>
            <w:tcW w:w="723" w:type="dxa"/>
            <w:vMerge w:val="restart"/>
            <w:tcBorders>
              <w:bottom w:val="nil"/>
            </w:tcBorders>
            <w:vAlign w:val="top"/>
          </w:tcPr>
          <w:p w14:paraId="01439C0F">
            <w:pPr>
              <w:pStyle w:val="6"/>
              <w:spacing w:before="21" w:line="212" w:lineRule="auto"/>
              <w:ind w:left="85" w:hanging="68"/>
              <w:rPr>
                <w:sz w:val="18"/>
                <w:szCs w:val="18"/>
              </w:rPr>
            </w:pPr>
            <w:r>
              <w:rPr>
                <w:b/>
                <w:bCs/>
                <w:spacing w:val="-10"/>
                <w:sz w:val="18"/>
                <w:szCs w:val="18"/>
              </w:rPr>
              <w:t>知</w:t>
            </w:r>
            <w:r>
              <w:rPr>
                <w:b/>
                <w:bCs/>
                <w:spacing w:val="-9"/>
                <w:sz w:val="18"/>
                <w:szCs w:val="18"/>
              </w:rPr>
              <w:t>识与</w:t>
            </w:r>
            <w:r>
              <w:rPr>
                <w:b/>
                <w:bCs/>
                <w:spacing w:val="-8"/>
                <w:sz w:val="18"/>
                <w:szCs w:val="18"/>
              </w:rPr>
              <w:t>技</w:t>
            </w:r>
            <w:r>
              <w:rPr>
                <w:spacing w:val="2"/>
                <w:sz w:val="18"/>
                <w:szCs w:val="18"/>
              </w:rPr>
              <w:t xml:space="preserve"> </w:t>
            </w:r>
            <w:r>
              <w:rPr>
                <w:b/>
                <w:bCs/>
                <w:spacing w:val="-2"/>
                <w:sz w:val="18"/>
                <w:szCs w:val="18"/>
              </w:rPr>
              <w:t>能要点</w:t>
            </w:r>
          </w:p>
        </w:tc>
        <w:tc>
          <w:tcPr>
            <w:tcW w:w="2494" w:type="dxa"/>
            <w:gridSpan w:val="2"/>
            <w:vMerge w:val="restart"/>
            <w:tcBorders>
              <w:bottom w:val="nil"/>
            </w:tcBorders>
            <w:vAlign w:val="top"/>
          </w:tcPr>
          <w:p w14:paraId="2CC7284A">
            <w:pPr>
              <w:pStyle w:val="6"/>
              <w:spacing w:before="129" w:line="219" w:lineRule="auto"/>
              <w:ind w:left="934"/>
              <w:rPr>
                <w:sz w:val="18"/>
                <w:szCs w:val="18"/>
              </w:rPr>
            </w:pPr>
            <w:r>
              <w:rPr>
                <w:b/>
                <w:bCs/>
                <w:spacing w:val="5"/>
                <w:sz w:val="18"/>
                <w:szCs w:val="18"/>
              </w:rPr>
              <w:t>考试条目</w:t>
            </w:r>
          </w:p>
        </w:tc>
        <w:tc>
          <w:tcPr>
            <w:tcW w:w="902" w:type="dxa"/>
            <w:gridSpan w:val="4"/>
            <w:vAlign w:val="top"/>
          </w:tcPr>
          <w:p w14:paraId="52FCC324">
            <w:pPr>
              <w:pStyle w:val="6"/>
              <w:spacing w:before="19" w:line="190" w:lineRule="auto"/>
              <w:ind w:left="120"/>
              <w:rPr>
                <w:sz w:val="18"/>
                <w:szCs w:val="18"/>
              </w:rPr>
            </w:pPr>
            <w:r>
              <w:rPr>
                <w:b/>
                <w:bCs/>
                <w:spacing w:val="-4"/>
                <w:sz w:val="18"/>
                <w:szCs w:val="18"/>
              </w:rPr>
              <w:t>考试水平</w:t>
            </w:r>
          </w:p>
        </w:tc>
      </w:tr>
      <w:tr w14:paraId="191FB4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0" w:hRule="atLeast"/>
        </w:trPr>
        <w:tc>
          <w:tcPr>
            <w:tcW w:w="723" w:type="dxa"/>
            <w:vMerge w:val="continue"/>
            <w:tcBorders>
              <w:top w:val="nil"/>
            </w:tcBorders>
            <w:vAlign w:val="top"/>
          </w:tcPr>
          <w:p w14:paraId="34A490F4">
            <w:pPr>
              <w:rPr>
                <w:rFonts w:ascii="Arial"/>
                <w:sz w:val="21"/>
              </w:rPr>
            </w:pPr>
          </w:p>
        </w:tc>
        <w:tc>
          <w:tcPr>
            <w:tcW w:w="2494" w:type="dxa"/>
            <w:gridSpan w:val="2"/>
            <w:vMerge w:val="continue"/>
            <w:tcBorders>
              <w:top w:val="nil"/>
            </w:tcBorders>
            <w:vAlign w:val="top"/>
          </w:tcPr>
          <w:p w14:paraId="54D0FDCD">
            <w:pPr>
              <w:rPr>
                <w:rFonts w:ascii="Arial"/>
                <w:sz w:val="21"/>
              </w:rPr>
            </w:pPr>
          </w:p>
        </w:tc>
        <w:tc>
          <w:tcPr>
            <w:tcW w:w="230" w:type="dxa"/>
            <w:vAlign w:val="top"/>
          </w:tcPr>
          <w:p w14:paraId="787ACED5">
            <w:pPr>
              <w:pStyle w:val="6"/>
              <w:spacing w:before="62" w:line="148" w:lineRule="exact"/>
              <w:ind w:left="47"/>
              <w:rPr>
                <w:sz w:val="18"/>
                <w:szCs w:val="18"/>
              </w:rPr>
            </w:pPr>
            <w:r>
              <w:rPr>
                <w:position w:val="-2"/>
                <w:sz w:val="18"/>
                <w:szCs w:val="18"/>
              </w:rPr>
              <w:t>A</w:t>
            </w:r>
          </w:p>
        </w:tc>
        <w:tc>
          <w:tcPr>
            <w:tcW w:w="229" w:type="dxa"/>
            <w:vAlign w:val="top"/>
          </w:tcPr>
          <w:p w14:paraId="6E828C3F">
            <w:pPr>
              <w:pStyle w:val="6"/>
              <w:spacing w:before="65" w:line="145" w:lineRule="exact"/>
              <w:ind w:left="20"/>
              <w:rPr>
                <w:sz w:val="18"/>
                <w:szCs w:val="18"/>
              </w:rPr>
            </w:pPr>
            <w:r>
              <w:rPr>
                <w:b/>
                <w:bCs/>
                <w:spacing w:val="-2"/>
                <w:position w:val="-2"/>
                <w:sz w:val="18"/>
                <w:szCs w:val="18"/>
              </w:rPr>
              <w:t>B</w:t>
            </w:r>
          </w:p>
        </w:tc>
        <w:tc>
          <w:tcPr>
            <w:tcW w:w="209" w:type="dxa"/>
            <w:vAlign w:val="top"/>
          </w:tcPr>
          <w:p w14:paraId="17D30131">
            <w:pPr>
              <w:pStyle w:val="6"/>
              <w:spacing w:before="62" w:line="148" w:lineRule="exact"/>
              <w:ind w:left="41"/>
              <w:rPr>
                <w:sz w:val="18"/>
                <w:szCs w:val="18"/>
              </w:rPr>
            </w:pPr>
            <w:r>
              <w:rPr>
                <w:b/>
                <w:bCs/>
                <w:spacing w:val="-2"/>
                <w:position w:val="-2"/>
                <w:sz w:val="18"/>
                <w:szCs w:val="18"/>
              </w:rPr>
              <w:t>C</w:t>
            </w:r>
          </w:p>
        </w:tc>
        <w:tc>
          <w:tcPr>
            <w:tcW w:w="234" w:type="dxa"/>
            <w:vAlign w:val="top"/>
          </w:tcPr>
          <w:p w14:paraId="663BF9BD">
            <w:pPr>
              <w:pStyle w:val="6"/>
              <w:spacing w:before="65" w:line="145" w:lineRule="exact"/>
              <w:ind w:left="22"/>
              <w:rPr>
                <w:sz w:val="18"/>
                <w:szCs w:val="18"/>
              </w:rPr>
            </w:pPr>
            <w:r>
              <w:rPr>
                <w:b/>
                <w:bCs/>
                <w:spacing w:val="-2"/>
                <w:position w:val="-2"/>
                <w:sz w:val="18"/>
                <w:szCs w:val="18"/>
              </w:rPr>
              <w:t>D</w:t>
            </w:r>
          </w:p>
        </w:tc>
      </w:tr>
      <w:tr w14:paraId="72427F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68" w:hRule="atLeast"/>
        </w:trPr>
        <w:tc>
          <w:tcPr>
            <w:tcW w:w="723" w:type="dxa"/>
            <w:vAlign w:val="top"/>
          </w:tcPr>
          <w:p w14:paraId="70279E11">
            <w:pPr>
              <w:pStyle w:val="6"/>
              <w:spacing w:before="266" w:line="217" w:lineRule="auto"/>
              <w:ind w:left="84" w:right="71"/>
              <w:rPr>
                <w:sz w:val="18"/>
                <w:szCs w:val="18"/>
              </w:rPr>
            </w:pPr>
            <w:r>
              <w:rPr>
                <w:spacing w:val="5"/>
                <w:sz w:val="18"/>
                <w:szCs w:val="18"/>
              </w:rPr>
              <w:t>操作系</w:t>
            </w:r>
            <w:r>
              <w:rPr>
                <w:sz w:val="18"/>
                <w:szCs w:val="18"/>
              </w:rPr>
              <w:t xml:space="preserve"> </w:t>
            </w:r>
            <w:r>
              <w:rPr>
                <w:spacing w:val="3"/>
                <w:sz w:val="18"/>
                <w:szCs w:val="18"/>
              </w:rPr>
              <w:t>统简介</w:t>
            </w:r>
          </w:p>
        </w:tc>
        <w:tc>
          <w:tcPr>
            <w:tcW w:w="2494" w:type="dxa"/>
            <w:gridSpan w:val="2"/>
            <w:vAlign w:val="top"/>
          </w:tcPr>
          <w:p w14:paraId="1B1BA274">
            <w:pPr>
              <w:pStyle w:val="6"/>
              <w:spacing w:before="38" w:line="210" w:lineRule="auto"/>
              <w:ind w:left="12" w:right="1015"/>
              <w:jc w:val="both"/>
              <w:rPr>
                <w:sz w:val="18"/>
                <w:szCs w:val="18"/>
              </w:rPr>
            </w:pPr>
            <w:r>
              <w:rPr>
                <w:sz w:val="18"/>
                <w:szCs w:val="18"/>
              </w:rPr>
              <w:t>1.操作系统的概念</w:t>
            </w:r>
            <w:r>
              <w:rPr>
                <w:spacing w:val="6"/>
                <w:sz w:val="18"/>
                <w:szCs w:val="18"/>
              </w:rPr>
              <w:t xml:space="preserve"> </w:t>
            </w:r>
            <w:r>
              <w:rPr>
                <w:spacing w:val="1"/>
                <w:sz w:val="18"/>
                <w:szCs w:val="18"/>
              </w:rPr>
              <w:t>2.操作系统的特点</w:t>
            </w:r>
            <w:r>
              <w:rPr>
                <w:spacing w:val="6"/>
                <w:sz w:val="18"/>
                <w:szCs w:val="18"/>
              </w:rPr>
              <w:t xml:space="preserve"> </w:t>
            </w:r>
            <w:r>
              <w:rPr>
                <w:spacing w:val="-2"/>
                <w:sz w:val="18"/>
                <w:szCs w:val="18"/>
              </w:rPr>
              <w:t>3.操作系统的功能</w:t>
            </w:r>
            <w:r>
              <w:rPr>
                <w:spacing w:val="6"/>
                <w:sz w:val="18"/>
                <w:szCs w:val="18"/>
              </w:rPr>
              <w:t xml:space="preserve"> </w:t>
            </w:r>
            <w:r>
              <w:rPr>
                <w:spacing w:val="-1"/>
                <w:sz w:val="18"/>
                <w:szCs w:val="18"/>
              </w:rPr>
              <w:t>4.操作系统的类型</w:t>
            </w:r>
          </w:p>
        </w:tc>
        <w:tc>
          <w:tcPr>
            <w:tcW w:w="230" w:type="dxa"/>
            <w:vAlign w:val="top"/>
          </w:tcPr>
          <w:p w14:paraId="6EB2A477">
            <w:pPr>
              <w:rPr>
                <w:rFonts w:ascii="Arial"/>
                <w:sz w:val="21"/>
              </w:rPr>
            </w:pPr>
          </w:p>
        </w:tc>
        <w:tc>
          <w:tcPr>
            <w:tcW w:w="229" w:type="dxa"/>
            <w:vAlign w:val="top"/>
          </w:tcPr>
          <w:p w14:paraId="0DECCA3C">
            <w:pPr>
              <w:rPr>
                <w:rFonts w:ascii="Arial"/>
                <w:sz w:val="21"/>
              </w:rPr>
            </w:pPr>
          </w:p>
        </w:tc>
        <w:tc>
          <w:tcPr>
            <w:tcW w:w="209" w:type="dxa"/>
            <w:vAlign w:val="top"/>
          </w:tcPr>
          <w:p w14:paraId="0CD75557">
            <w:pPr>
              <w:rPr>
                <w:rFonts w:ascii="Arial"/>
                <w:sz w:val="21"/>
              </w:rPr>
            </w:pPr>
          </w:p>
        </w:tc>
        <w:tc>
          <w:tcPr>
            <w:tcW w:w="234" w:type="dxa"/>
            <w:vAlign w:val="top"/>
          </w:tcPr>
          <w:p w14:paraId="1A5C357A">
            <w:pPr>
              <w:rPr>
                <w:rFonts w:ascii="Arial"/>
                <w:sz w:val="21"/>
              </w:rPr>
            </w:pPr>
          </w:p>
        </w:tc>
      </w:tr>
      <w:tr w14:paraId="6AEB82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8" w:hRule="atLeast"/>
        </w:trPr>
        <w:tc>
          <w:tcPr>
            <w:tcW w:w="723" w:type="dxa"/>
            <w:vMerge w:val="restart"/>
            <w:tcBorders>
              <w:bottom w:val="nil"/>
            </w:tcBorders>
            <w:vAlign w:val="top"/>
          </w:tcPr>
          <w:p w14:paraId="3D494B2B">
            <w:pPr>
              <w:spacing w:line="291" w:lineRule="auto"/>
              <w:rPr>
                <w:rFonts w:ascii="Arial"/>
                <w:sz w:val="21"/>
              </w:rPr>
            </w:pPr>
          </w:p>
          <w:p w14:paraId="53E0FA0B">
            <w:pPr>
              <w:spacing w:line="291" w:lineRule="auto"/>
              <w:rPr>
                <w:rFonts w:ascii="Arial"/>
                <w:sz w:val="21"/>
              </w:rPr>
            </w:pPr>
          </w:p>
          <w:p w14:paraId="60CF0D0A">
            <w:pPr>
              <w:spacing w:line="291" w:lineRule="auto"/>
              <w:rPr>
                <w:rFonts w:ascii="Arial"/>
                <w:sz w:val="21"/>
              </w:rPr>
            </w:pPr>
          </w:p>
          <w:p w14:paraId="151AF8BE">
            <w:pPr>
              <w:spacing w:line="291" w:lineRule="auto"/>
              <w:rPr>
                <w:rFonts w:ascii="Arial"/>
                <w:sz w:val="21"/>
              </w:rPr>
            </w:pPr>
          </w:p>
          <w:p w14:paraId="2AE26C25">
            <w:pPr>
              <w:pStyle w:val="6"/>
              <w:spacing w:before="59" w:line="221" w:lineRule="auto"/>
              <w:ind w:left="84"/>
              <w:rPr>
                <w:sz w:val="18"/>
                <w:szCs w:val="18"/>
              </w:rPr>
            </w:pPr>
            <w:r>
              <w:rPr>
                <w:spacing w:val="7"/>
                <w:sz w:val="18"/>
                <w:szCs w:val="18"/>
              </w:rPr>
              <w:t>图形用</w:t>
            </w:r>
          </w:p>
          <w:p w14:paraId="6733FEA8">
            <w:pPr>
              <w:pStyle w:val="6"/>
              <w:spacing w:before="13" w:line="205" w:lineRule="auto"/>
              <w:ind w:left="84"/>
              <w:rPr>
                <w:sz w:val="18"/>
                <w:szCs w:val="18"/>
              </w:rPr>
            </w:pPr>
            <w:r>
              <w:rPr>
                <w:spacing w:val="-2"/>
                <w:sz w:val="18"/>
                <w:szCs w:val="18"/>
              </w:rPr>
              <w:t>户界面</w:t>
            </w:r>
          </w:p>
          <w:p w14:paraId="3039EE97">
            <w:pPr>
              <w:pStyle w:val="6"/>
              <w:spacing w:line="219" w:lineRule="auto"/>
              <w:ind w:left="174"/>
              <w:rPr>
                <w:sz w:val="18"/>
                <w:szCs w:val="18"/>
              </w:rPr>
            </w:pPr>
            <w:r>
              <w:rPr>
                <w:spacing w:val="-2"/>
                <w:sz w:val="18"/>
                <w:szCs w:val="18"/>
              </w:rPr>
              <w:t>操作</w:t>
            </w:r>
          </w:p>
        </w:tc>
        <w:tc>
          <w:tcPr>
            <w:tcW w:w="875" w:type="dxa"/>
            <w:tcBorders>
              <w:bottom w:val="nil"/>
              <w:right w:val="nil"/>
            </w:tcBorders>
            <w:vAlign w:val="top"/>
          </w:tcPr>
          <w:p w14:paraId="61D25B49">
            <w:pPr>
              <w:pStyle w:val="6"/>
              <w:spacing w:before="31" w:line="219" w:lineRule="auto"/>
              <w:ind w:left="12" w:right="55"/>
              <w:rPr>
                <w:sz w:val="18"/>
                <w:szCs w:val="18"/>
              </w:rPr>
            </w:pPr>
            <w:r>
              <w:rPr>
                <w:spacing w:val="-1"/>
                <w:sz w:val="18"/>
                <w:szCs w:val="18"/>
              </w:rPr>
              <w:t>1.Windows</w:t>
            </w:r>
            <w:r>
              <w:rPr>
                <w:sz w:val="18"/>
                <w:szCs w:val="18"/>
              </w:rPr>
              <w:t xml:space="preserve"> </w:t>
            </w:r>
            <w:r>
              <w:rPr>
                <w:spacing w:val="-2"/>
                <w:sz w:val="18"/>
                <w:szCs w:val="18"/>
              </w:rPr>
              <w:t>本元素</w:t>
            </w:r>
          </w:p>
          <w:p w14:paraId="536E78FE">
            <w:pPr>
              <w:pStyle w:val="6"/>
              <w:spacing w:line="226" w:lineRule="auto"/>
              <w:ind w:left="12"/>
              <w:rPr>
                <w:sz w:val="18"/>
                <w:szCs w:val="18"/>
              </w:rPr>
            </w:pPr>
            <w:r>
              <w:rPr>
                <w:spacing w:val="-2"/>
                <w:sz w:val="18"/>
                <w:szCs w:val="18"/>
              </w:rPr>
              <w:t>2.Windows</w:t>
            </w:r>
          </w:p>
          <w:p w14:paraId="229C2B46">
            <w:pPr>
              <w:pStyle w:val="6"/>
              <w:spacing w:line="219" w:lineRule="auto"/>
              <w:ind w:left="12"/>
              <w:rPr>
                <w:sz w:val="18"/>
                <w:szCs w:val="18"/>
              </w:rPr>
            </w:pPr>
            <w:r>
              <w:rPr>
                <w:spacing w:val="-2"/>
                <w:sz w:val="18"/>
                <w:szCs w:val="18"/>
              </w:rPr>
              <w:t>操作</w:t>
            </w:r>
          </w:p>
          <w:p w14:paraId="4EF45F89">
            <w:pPr>
              <w:pStyle w:val="6"/>
              <w:spacing w:before="7" w:line="220" w:lineRule="auto"/>
              <w:ind w:left="12" w:right="54"/>
              <w:rPr>
                <w:sz w:val="18"/>
                <w:szCs w:val="18"/>
              </w:rPr>
            </w:pPr>
            <w:r>
              <w:rPr>
                <w:spacing w:val="-2"/>
                <w:sz w:val="18"/>
                <w:szCs w:val="18"/>
              </w:rPr>
              <w:t>3.Windows</w:t>
            </w:r>
            <w:r>
              <w:rPr>
                <w:spacing w:val="6"/>
                <w:sz w:val="18"/>
                <w:szCs w:val="18"/>
              </w:rPr>
              <w:t xml:space="preserve"> </w:t>
            </w:r>
            <w:r>
              <w:rPr>
                <w:spacing w:val="-2"/>
                <w:sz w:val="18"/>
                <w:szCs w:val="18"/>
              </w:rPr>
              <w:t>基本操作</w:t>
            </w:r>
            <w:r>
              <w:rPr>
                <w:sz w:val="18"/>
                <w:szCs w:val="18"/>
              </w:rPr>
              <w:t xml:space="preserve">  </w:t>
            </w:r>
            <w:r>
              <w:rPr>
                <w:spacing w:val="-1"/>
                <w:sz w:val="18"/>
                <w:szCs w:val="18"/>
              </w:rPr>
              <w:t>4.Windows</w:t>
            </w:r>
            <w:r>
              <w:rPr>
                <w:spacing w:val="1"/>
                <w:sz w:val="18"/>
                <w:szCs w:val="18"/>
              </w:rPr>
              <w:t xml:space="preserve"> </w:t>
            </w:r>
            <w:r>
              <w:rPr>
                <w:spacing w:val="-2"/>
                <w:sz w:val="18"/>
                <w:szCs w:val="18"/>
              </w:rPr>
              <w:t>本操作</w:t>
            </w:r>
          </w:p>
          <w:p w14:paraId="08FCCB9F">
            <w:pPr>
              <w:pStyle w:val="6"/>
              <w:spacing w:before="1" w:line="220" w:lineRule="auto"/>
              <w:ind w:left="12" w:right="58"/>
              <w:rPr>
                <w:sz w:val="18"/>
                <w:szCs w:val="18"/>
              </w:rPr>
            </w:pPr>
            <w:r>
              <w:rPr>
                <w:spacing w:val="-2"/>
                <w:sz w:val="18"/>
                <w:szCs w:val="18"/>
              </w:rPr>
              <w:t>5.Windows</w:t>
            </w:r>
            <w:r>
              <w:rPr>
                <w:spacing w:val="6"/>
                <w:sz w:val="18"/>
                <w:szCs w:val="18"/>
              </w:rPr>
              <w:t xml:space="preserve"> </w:t>
            </w:r>
            <w:r>
              <w:rPr>
                <w:spacing w:val="-2"/>
                <w:sz w:val="18"/>
                <w:szCs w:val="18"/>
              </w:rPr>
              <w:t>操作</w:t>
            </w:r>
          </w:p>
          <w:p w14:paraId="06E4CDF0">
            <w:pPr>
              <w:pStyle w:val="6"/>
              <w:spacing w:before="1" w:line="204" w:lineRule="auto"/>
              <w:ind w:left="12" w:right="56"/>
              <w:rPr>
                <w:sz w:val="18"/>
                <w:szCs w:val="18"/>
              </w:rPr>
            </w:pPr>
            <w:r>
              <w:rPr>
                <w:spacing w:val="-1"/>
                <w:sz w:val="18"/>
                <w:szCs w:val="18"/>
              </w:rPr>
              <w:t>6.Windows</w:t>
            </w:r>
            <w:r>
              <w:rPr>
                <w:sz w:val="18"/>
                <w:szCs w:val="18"/>
              </w:rPr>
              <w:t xml:space="preserve"> </w:t>
            </w:r>
            <w:r>
              <w:rPr>
                <w:spacing w:val="-2"/>
                <w:sz w:val="18"/>
                <w:szCs w:val="18"/>
              </w:rPr>
              <w:t>本操作</w:t>
            </w:r>
          </w:p>
        </w:tc>
        <w:tc>
          <w:tcPr>
            <w:tcW w:w="1619" w:type="dxa"/>
            <w:tcBorders>
              <w:left w:val="nil"/>
              <w:bottom w:val="nil"/>
            </w:tcBorders>
            <w:vAlign w:val="top"/>
          </w:tcPr>
          <w:p w14:paraId="65112AB2">
            <w:pPr>
              <w:pStyle w:val="6"/>
              <w:spacing w:before="31" w:line="437" w:lineRule="auto"/>
              <w:ind w:left="51" w:right="304" w:firstLine="6"/>
              <w:jc w:val="both"/>
              <w:rPr>
                <w:sz w:val="18"/>
                <w:szCs w:val="18"/>
              </w:rPr>
            </w:pPr>
            <w:r>
              <w:rPr>
                <w:spacing w:val="-2"/>
                <w:sz w:val="18"/>
                <w:szCs w:val="18"/>
              </w:rPr>
              <w:t>10图形界面的基</w:t>
            </w:r>
            <w:r>
              <w:rPr>
                <w:spacing w:val="6"/>
                <w:sz w:val="18"/>
                <w:szCs w:val="18"/>
              </w:rPr>
              <w:t xml:space="preserve"> </w:t>
            </w:r>
            <w:r>
              <w:rPr>
                <w:spacing w:val="-3"/>
                <w:sz w:val="18"/>
                <w:szCs w:val="18"/>
              </w:rPr>
              <w:t>10桌面及其基本</w:t>
            </w:r>
            <w:r>
              <w:rPr>
                <w:spacing w:val="4"/>
                <w:sz w:val="18"/>
                <w:szCs w:val="18"/>
              </w:rPr>
              <w:t xml:space="preserve"> </w:t>
            </w:r>
            <w:r>
              <w:rPr>
                <w:spacing w:val="-3"/>
                <w:sz w:val="18"/>
                <w:szCs w:val="18"/>
              </w:rPr>
              <w:t>10开始菜单及其</w:t>
            </w:r>
            <w:r>
              <w:rPr>
                <w:spacing w:val="2"/>
                <w:sz w:val="18"/>
                <w:szCs w:val="18"/>
              </w:rPr>
              <w:t xml:space="preserve"> </w:t>
            </w:r>
            <w:r>
              <w:rPr>
                <w:spacing w:val="-3"/>
                <w:sz w:val="18"/>
                <w:szCs w:val="18"/>
              </w:rPr>
              <w:t>10任务栏及其基</w:t>
            </w:r>
            <w:r>
              <w:rPr>
                <w:spacing w:val="6"/>
                <w:sz w:val="18"/>
                <w:szCs w:val="18"/>
              </w:rPr>
              <w:t xml:space="preserve"> </w:t>
            </w:r>
            <w:r>
              <w:rPr>
                <w:spacing w:val="-3"/>
                <w:sz w:val="18"/>
                <w:szCs w:val="18"/>
              </w:rPr>
              <w:t>10窗口及其基本</w:t>
            </w:r>
            <w:r>
              <w:rPr>
                <w:spacing w:val="2"/>
                <w:sz w:val="18"/>
                <w:szCs w:val="18"/>
              </w:rPr>
              <w:t xml:space="preserve"> </w:t>
            </w:r>
            <w:r>
              <w:rPr>
                <w:spacing w:val="-2"/>
                <w:sz w:val="18"/>
                <w:szCs w:val="18"/>
              </w:rPr>
              <w:t>10对话框及其基</w:t>
            </w:r>
          </w:p>
        </w:tc>
        <w:tc>
          <w:tcPr>
            <w:tcW w:w="230" w:type="dxa"/>
            <w:vMerge w:val="restart"/>
            <w:tcBorders>
              <w:bottom w:val="nil"/>
            </w:tcBorders>
            <w:vAlign w:val="top"/>
          </w:tcPr>
          <w:p w14:paraId="128E1C2C">
            <w:pPr>
              <w:rPr>
                <w:rFonts w:ascii="Arial"/>
                <w:sz w:val="21"/>
              </w:rPr>
            </w:pPr>
          </w:p>
        </w:tc>
        <w:tc>
          <w:tcPr>
            <w:tcW w:w="229" w:type="dxa"/>
            <w:vMerge w:val="restart"/>
            <w:tcBorders>
              <w:bottom w:val="nil"/>
            </w:tcBorders>
            <w:vAlign w:val="top"/>
          </w:tcPr>
          <w:p w14:paraId="081C50FC">
            <w:pPr>
              <w:rPr>
                <w:rFonts w:ascii="Arial"/>
                <w:sz w:val="21"/>
              </w:rPr>
            </w:pPr>
          </w:p>
        </w:tc>
        <w:tc>
          <w:tcPr>
            <w:tcW w:w="209" w:type="dxa"/>
            <w:vMerge w:val="restart"/>
            <w:tcBorders>
              <w:bottom w:val="nil"/>
            </w:tcBorders>
            <w:vAlign w:val="top"/>
          </w:tcPr>
          <w:p w14:paraId="0C5AE995">
            <w:pPr>
              <w:rPr>
                <w:rFonts w:ascii="Arial"/>
                <w:sz w:val="21"/>
              </w:rPr>
            </w:pPr>
          </w:p>
        </w:tc>
        <w:tc>
          <w:tcPr>
            <w:tcW w:w="234" w:type="dxa"/>
            <w:vMerge w:val="restart"/>
            <w:tcBorders>
              <w:bottom w:val="nil"/>
            </w:tcBorders>
            <w:vAlign w:val="top"/>
          </w:tcPr>
          <w:p w14:paraId="316C3576">
            <w:pPr>
              <w:rPr>
                <w:rFonts w:ascii="Arial"/>
                <w:sz w:val="21"/>
              </w:rPr>
            </w:pPr>
          </w:p>
        </w:tc>
      </w:tr>
      <w:tr w14:paraId="524D83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7" w:hRule="atLeast"/>
        </w:trPr>
        <w:tc>
          <w:tcPr>
            <w:tcW w:w="723" w:type="dxa"/>
            <w:vMerge w:val="continue"/>
            <w:tcBorders>
              <w:top w:val="nil"/>
            </w:tcBorders>
            <w:vAlign w:val="top"/>
          </w:tcPr>
          <w:p w14:paraId="223327A7">
            <w:pPr>
              <w:rPr>
                <w:rFonts w:ascii="Arial"/>
                <w:sz w:val="21"/>
              </w:rPr>
            </w:pPr>
          </w:p>
        </w:tc>
        <w:tc>
          <w:tcPr>
            <w:tcW w:w="2494" w:type="dxa"/>
            <w:gridSpan w:val="2"/>
            <w:tcBorders>
              <w:top w:val="nil"/>
            </w:tcBorders>
            <w:vAlign w:val="top"/>
          </w:tcPr>
          <w:p w14:paraId="74419346">
            <w:pPr>
              <w:pStyle w:val="6"/>
              <w:spacing w:before="32" w:line="197" w:lineRule="auto"/>
              <w:ind w:left="12" w:right="323"/>
              <w:rPr>
                <w:sz w:val="18"/>
                <w:szCs w:val="18"/>
              </w:rPr>
            </w:pPr>
            <w:r>
              <w:rPr>
                <w:spacing w:val="-2"/>
                <w:sz w:val="18"/>
                <w:szCs w:val="18"/>
              </w:rPr>
              <w:t>7.Windows</w:t>
            </w:r>
            <w:r>
              <w:rPr>
                <w:spacing w:val="21"/>
                <w:sz w:val="18"/>
                <w:szCs w:val="18"/>
              </w:rPr>
              <w:t xml:space="preserve"> </w:t>
            </w:r>
            <w:r>
              <w:rPr>
                <w:spacing w:val="-2"/>
                <w:sz w:val="18"/>
                <w:szCs w:val="18"/>
              </w:rPr>
              <w:t>10图标、快捷方</w:t>
            </w:r>
            <w:r>
              <w:rPr>
                <w:sz w:val="18"/>
                <w:szCs w:val="18"/>
              </w:rPr>
              <w:t xml:space="preserve"> </w:t>
            </w:r>
            <w:r>
              <w:rPr>
                <w:spacing w:val="1"/>
                <w:sz w:val="18"/>
                <w:szCs w:val="18"/>
              </w:rPr>
              <w:t>式及其基本操作</w:t>
            </w:r>
          </w:p>
        </w:tc>
        <w:tc>
          <w:tcPr>
            <w:tcW w:w="230" w:type="dxa"/>
            <w:vMerge w:val="continue"/>
            <w:tcBorders>
              <w:top w:val="nil"/>
            </w:tcBorders>
            <w:vAlign w:val="top"/>
          </w:tcPr>
          <w:p w14:paraId="6CA595E2">
            <w:pPr>
              <w:rPr>
                <w:rFonts w:ascii="Arial"/>
                <w:sz w:val="21"/>
              </w:rPr>
            </w:pPr>
          </w:p>
        </w:tc>
        <w:tc>
          <w:tcPr>
            <w:tcW w:w="229" w:type="dxa"/>
            <w:vMerge w:val="continue"/>
            <w:tcBorders>
              <w:top w:val="nil"/>
            </w:tcBorders>
            <w:vAlign w:val="top"/>
          </w:tcPr>
          <w:p w14:paraId="43318EA3">
            <w:pPr>
              <w:rPr>
                <w:rFonts w:ascii="Arial"/>
                <w:sz w:val="21"/>
              </w:rPr>
            </w:pPr>
          </w:p>
        </w:tc>
        <w:tc>
          <w:tcPr>
            <w:tcW w:w="209" w:type="dxa"/>
            <w:vMerge w:val="continue"/>
            <w:tcBorders>
              <w:top w:val="nil"/>
            </w:tcBorders>
            <w:vAlign w:val="top"/>
          </w:tcPr>
          <w:p w14:paraId="4BD7B733">
            <w:pPr>
              <w:rPr>
                <w:rFonts w:ascii="Arial"/>
                <w:sz w:val="21"/>
              </w:rPr>
            </w:pPr>
          </w:p>
        </w:tc>
        <w:tc>
          <w:tcPr>
            <w:tcW w:w="234" w:type="dxa"/>
            <w:vMerge w:val="continue"/>
            <w:tcBorders>
              <w:top w:val="nil"/>
            </w:tcBorders>
            <w:vAlign w:val="top"/>
          </w:tcPr>
          <w:p w14:paraId="4CA27005">
            <w:pPr>
              <w:rPr>
                <w:rFonts w:ascii="Arial"/>
                <w:sz w:val="21"/>
              </w:rPr>
            </w:pPr>
          </w:p>
        </w:tc>
      </w:tr>
      <w:tr w14:paraId="500D7A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42" w:hRule="atLeast"/>
        </w:trPr>
        <w:tc>
          <w:tcPr>
            <w:tcW w:w="723" w:type="dxa"/>
            <w:vAlign w:val="top"/>
          </w:tcPr>
          <w:p w14:paraId="685A148F">
            <w:pPr>
              <w:spacing w:line="293" w:lineRule="auto"/>
              <w:rPr>
                <w:rFonts w:ascii="Arial"/>
                <w:sz w:val="21"/>
              </w:rPr>
            </w:pPr>
          </w:p>
          <w:p w14:paraId="44CBF912">
            <w:pPr>
              <w:spacing w:line="293" w:lineRule="auto"/>
              <w:rPr>
                <w:rFonts w:ascii="Arial"/>
                <w:sz w:val="21"/>
              </w:rPr>
            </w:pPr>
          </w:p>
          <w:p w14:paraId="550D8989">
            <w:pPr>
              <w:spacing w:line="294" w:lineRule="auto"/>
              <w:rPr>
                <w:rFonts w:ascii="Arial"/>
                <w:sz w:val="21"/>
              </w:rPr>
            </w:pPr>
          </w:p>
          <w:p w14:paraId="2B52DCA7">
            <w:pPr>
              <w:pStyle w:val="6"/>
              <w:spacing w:before="59" w:line="212" w:lineRule="auto"/>
              <w:ind w:left="174" w:right="186"/>
              <w:rPr>
                <w:sz w:val="18"/>
                <w:szCs w:val="18"/>
              </w:rPr>
            </w:pPr>
            <w:r>
              <w:rPr>
                <w:spacing w:val="-5"/>
                <w:sz w:val="18"/>
                <w:szCs w:val="18"/>
              </w:rPr>
              <w:t>文件</w:t>
            </w:r>
            <w:r>
              <w:rPr>
                <w:sz w:val="18"/>
                <w:szCs w:val="18"/>
              </w:rPr>
              <w:t xml:space="preserve"> </w:t>
            </w:r>
            <w:r>
              <w:rPr>
                <w:spacing w:val="-6"/>
                <w:sz w:val="18"/>
                <w:szCs w:val="18"/>
              </w:rPr>
              <w:t>管理</w:t>
            </w:r>
          </w:p>
        </w:tc>
        <w:tc>
          <w:tcPr>
            <w:tcW w:w="2494" w:type="dxa"/>
            <w:gridSpan w:val="2"/>
            <w:vAlign w:val="top"/>
          </w:tcPr>
          <w:p w14:paraId="577EAD70">
            <w:pPr>
              <w:pStyle w:val="6"/>
              <w:spacing w:before="63" w:line="219" w:lineRule="auto"/>
              <w:ind w:left="12"/>
              <w:rPr>
                <w:sz w:val="18"/>
                <w:szCs w:val="18"/>
              </w:rPr>
            </w:pPr>
            <w:r>
              <w:rPr>
                <w:sz w:val="18"/>
                <w:szCs w:val="18"/>
              </w:rPr>
              <w:t>1.资源管理器及其基本操作</w:t>
            </w:r>
          </w:p>
          <w:p w14:paraId="7D505169">
            <w:pPr>
              <w:pStyle w:val="6"/>
              <w:spacing w:before="6" w:line="215" w:lineRule="auto"/>
              <w:ind w:left="12" w:right="120"/>
              <w:rPr>
                <w:sz w:val="18"/>
                <w:szCs w:val="18"/>
              </w:rPr>
            </w:pPr>
            <w:r>
              <w:rPr>
                <w:spacing w:val="-1"/>
                <w:sz w:val="18"/>
                <w:szCs w:val="18"/>
              </w:rPr>
              <w:t>2.Windows</w:t>
            </w:r>
            <w:r>
              <w:rPr>
                <w:spacing w:val="28"/>
                <w:sz w:val="18"/>
                <w:szCs w:val="18"/>
              </w:rPr>
              <w:t xml:space="preserve"> </w:t>
            </w:r>
            <w:r>
              <w:rPr>
                <w:spacing w:val="-1"/>
                <w:sz w:val="18"/>
                <w:szCs w:val="18"/>
              </w:rPr>
              <w:t>10库及其基本操作</w:t>
            </w:r>
            <w:r>
              <w:rPr>
                <w:sz w:val="18"/>
                <w:szCs w:val="18"/>
              </w:rPr>
              <w:t xml:space="preserve"> </w:t>
            </w:r>
            <w:r>
              <w:rPr>
                <w:spacing w:val="2"/>
                <w:sz w:val="18"/>
                <w:szCs w:val="18"/>
              </w:rPr>
              <w:t>3.剪贴板的使用</w:t>
            </w:r>
          </w:p>
          <w:p w14:paraId="731E2E83">
            <w:pPr>
              <w:pStyle w:val="6"/>
              <w:spacing w:line="217" w:lineRule="auto"/>
              <w:ind w:left="241"/>
              <w:rPr>
                <w:sz w:val="18"/>
                <w:szCs w:val="18"/>
              </w:rPr>
            </w:pPr>
            <w:r>
              <w:rPr>
                <w:spacing w:val="-1"/>
                <w:sz w:val="18"/>
                <w:szCs w:val="18"/>
              </w:rPr>
              <w:t>①剪贴板的概念、功能</w:t>
            </w:r>
          </w:p>
          <w:p w14:paraId="1E3C907D">
            <w:pPr>
              <w:pStyle w:val="6"/>
              <w:spacing w:before="28" w:line="218" w:lineRule="auto"/>
              <w:ind w:left="12" w:right="627" w:firstLine="229"/>
              <w:rPr>
                <w:sz w:val="18"/>
                <w:szCs w:val="18"/>
              </w:rPr>
            </w:pPr>
            <w:r>
              <w:rPr>
                <w:spacing w:val="-1"/>
                <w:sz w:val="18"/>
                <w:szCs w:val="18"/>
              </w:rPr>
              <w:t>②剪贴板的基本操作</w:t>
            </w:r>
            <w:r>
              <w:rPr>
                <w:spacing w:val="2"/>
                <w:sz w:val="18"/>
                <w:szCs w:val="18"/>
              </w:rPr>
              <w:t xml:space="preserve"> </w:t>
            </w:r>
            <w:r>
              <w:rPr>
                <w:spacing w:val="-1"/>
                <w:sz w:val="18"/>
                <w:szCs w:val="18"/>
              </w:rPr>
              <w:t>3.管理文件及文件夹</w:t>
            </w:r>
          </w:p>
          <w:p w14:paraId="62A15130">
            <w:pPr>
              <w:pStyle w:val="6"/>
              <w:spacing w:before="14" w:line="215" w:lineRule="auto"/>
              <w:ind w:left="251"/>
              <w:rPr>
                <w:sz w:val="18"/>
                <w:szCs w:val="18"/>
              </w:rPr>
            </w:pPr>
            <w:r>
              <w:rPr>
                <w:spacing w:val="-1"/>
                <w:sz w:val="18"/>
                <w:szCs w:val="18"/>
              </w:rPr>
              <w:t>①文件和文件夹的概念</w:t>
            </w:r>
          </w:p>
          <w:p w14:paraId="222AB229">
            <w:pPr>
              <w:pStyle w:val="6"/>
              <w:spacing w:line="217" w:lineRule="auto"/>
              <w:ind w:left="241"/>
              <w:rPr>
                <w:sz w:val="18"/>
                <w:szCs w:val="18"/>
              </w:rPr>
            </w:pPr>
            <w:r>
              <w:rPr>
                <w:spacing w:val="-1"/>
                <w:sz w:val="18"/>
                <w:szCs w:val="18"/>
              </w:rPr>
              <w:t>②创建文件或文件夹</w:t>
            </w:r>
          </w:p>
          <w:p w14:paraId="506D96C3">
            <w:pPr>
              <w:pStyle w:val="6"/>
              <w:spacing w:before="18" w:line="215" w:lineRule="auto"/>
              <w:ind w:left="251"/>
              <w:rPr>
                <w:sz w:val="18"/>
                <w:szCs w:val="18"/>
              </w:rPr>
            </w:pPr>
            <w:r>
              <w:rPr>
                <w:spacing w:val="-1"/>
                <w:sz w:val="18"/>
                <w:szCs w:val="18"/>
              </w:rPr>
              <w:t>③移动、复制文件或文件夹</w:t>
            </w:r>
          </w:p>
          <w:p w14:paraId="0A389069">
            <w:pPr>
              <w:pStyle w:val="6"/>
              <w:spacing w:before="1" w:line="204" w:lineRule="auto"/>
              <w:ind w:left="251"/>
              <w:rPr>
                <w:sz w:val="18"/>
                <w:szCs w:val="18"/>
              </w:rPr>
            </w:pPr>
            <w:r>
              <w:rPr>
                <w:spacing w:val="-1"/>
                <w:sz w:val="18"/>
                <w:szCs w:val="18"/>
              </w:rPr>
              <w:t>④修改文件或文件夹的名称</w:t>
            </w:r>
          </w:p>
        </w:tc>
        <w:tc>
          <w:tcPr>
            <w:tcW w:w="230" w:type="dxa"/>
            <w:vAlign w:val="top"/>
          </w:tcPr>
          <w:p w14:paraId="1A142865">
            <w:pPr>
              <w:rPr>
                <w:rFonts w:ascii="Arial"/>
                <w:sz w:val="21"/>
              </w:rPr>
            </w:pPr>
          </w:p>
        </w:tc>
        <w:tc>
          <w:tcPr>
            <w:tcW w:w="229" w:type="dxa"/>
            <w:vAlign w:val="top"/>
          </w:tcPr>
          <w:p w14:paraId="4D556F71">
            <w:pPr>
              <w:rPr>
                <w:rFonts w:ascii="Arial"/>
                <w:sz w:val="21"/>
              </w:rPr>
            </w:pPr>
          </w:p>
        </w:tc>
        <w:tc>
          <w:tcPr>
            <w:tcW w:w="209" w:type="dxa"/>
            <w:vAlign w:val="top"/>
          </w:tcPr>
          <w:p w14:paraId="7BDD41B6">
            <w:pPr>
              <w:rPr>
                <w:rFonts w:ascii="Arial"/>
                <w:sz w:val="21"/>
              </w:rPr>
            </w:pPr>
          </w:p>
        </w:tc>
        <w:tc>
          <w:tcPr>
            <w:tcW w:w="234" w:type="dxa"/>
            <w:vAlign w:val="top"/>
          </w:tcPr>
          <w:p w14:paraId="26B357C0">
            <w:pPr>
              <w:rPr>
                <w:rFonts w:ascii="Arial"/>
                <w:sz w:val="21"/>
              </w:rPr>
            </w:pPr>
          </w:p>
        </w:tc>
      </w:tr>
    </w:tbl>
    <w:p w14:paraId="0AB3F6A3">
      <w:pPr>
        <w:pStyle w:val="2"/>
        <w:spacing w:line="104" w:lineRule="auto"/>
        <w:rPr>
          <w:sz w:val="2"/>
        </w:rPr>
      </w:pPr>
    </w:p>
    <w:p w14:paraId="2CB3AA91">
      <w:pPr>
        <w:spacing w:line="104" w:lineRule="auto"/>
        <w:rPr>
          <w:sz w:val="2"/>
          <w:szCs w:val="2"/>
        </w:rPr>
        <w:sectPr>
          <w:type w:val="continuous"/>
          <w:pgSz w:w="10660" w:h="15080"/>
          <w:pgMar w:top="400" w:right="1045" w:bottom="925" w:left="809" w:header="0" w:footer="705" w:gutter="0"/>
          <w:cols w:equalWidth="0" w:num="2">
            <w:col w:w="4576" w:space="100"/>
            <w:col w:w="4130"/>
          </w:cols>
        </w:sectPr>
      </w:pPr>
    </w:p>
    <w:p w14:paraId="7D6ACDB2">
      <w:pPr>
        <w:spacing w:before="13"/>
      </w:pPr>
    </w:p>
    <w:p w14:paraId="72B1C5D1">
      <w:pPr>
        <w:spacing w:before="12"/>
      </w:pPr>
    </w:p>
    <w:p w14:paraId="54AE0A02">
      <w:pPr>
        <w:spacing w:before="12"/>
      </w:pPr>
    </w:p>
    <w:p w14:paraId="70D0EBFC">
      <w:pPr>
        <w:spacing w:before="12"/>
      </w:pPr>
    </w:p>
    <w:p w14:paraId="112F3101">
      <w:pPr>
        <w:sectPr>
          <w:footerReference r:id="rId41" w:type="default"/>
          <w:pgSz w:w="10660" w:h="15080"/>
          <w:pgMar w:top="400" w:right="875" w:bottom="936" w:left="1024" w:header="0" w:footer="715" w:gutter="0"/>
          <w:cols w:equalWidth="0" w:num="1">
            <w:col w:w="8760"/>
          </w:cols>
        </w:sectPr>
      </w:pPr>
    </w:p>
    <w:tbl>
      <w:tblPr>
        <w:tblStyle w:val="5"/>
        <w:tblW w:w="4130" w:type="dxa"/>
        <w:tblInd w:w="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23"/>
        <w:gridCol w:w="2494"/>
        <w:gridCol w:w="220"/>
        <w:gridCol w:w="230"/>
        <w:gridCol w:w="229"/>
        <w:gridCol w:w="234"/>
      </w:tblGrid>
      <w:tr w14:paraId="400600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5" w:hRule="atLeast"/>
        </w:trPr>
        <w:tc>
          <w:tcPr>
            <w:tcW w:w="723" w:type="dxa"/>
            <w:vMerge w:val="restart"/>
            <w:tcBorders>
              <w:bottom w:val="nil"/>
            </w:tcBorders>
            <w:vAlign w:val="top"/>
          </w:tcPr>
          <w:p w14:paraId="77A59405">
            <w:pPr>
              <w:pStyle w:val="6"/>
              <w:spacing w:before="21" w:line="212" w:lineRule="auto"/>
              <w:ind w:left="85" w:hanging="68"/>
              <w:rPr>
                <w:sz w:val="18"/>
                <w:szCs w:val="18"/>
              </w:rPr>
            </w:pPr>
            <w:r>
              <w:rPr>
                <w:b/>
                <w:bCs/>
                <w:spacing w:val="-10"/>
                <w:sz w:val="18"/>
                <w:szCs w:val="18"/>
              </w:rPr>
              <w:t>知</w:t>
            </w:r>
            <w:r>
              <w:rPr>
                <w:b/>
                <w:bCs/>
                <w:spacing w:val="-9"/>
                <w:sz w:val="18"/>
                <w:szCs w:val="18"/>
              </w:rPr>
              <w:t>识与</w:t>
            </w:r>
            <w:r>
              <w:rPr>
                <w:b/>
                <w:bCs/>
                <w:spacing w:val="-8"/>
                <w:sz w:val="18"/>
                <w:szCs w:val="18"/>
              </w:rPr>
              <w:t>技</w:t>
            </w:r>
            <w:r>
              <w:rPr>
                <w:spacing w:val="2"/>
                <w:sz w:val="18"/>
                <w:szCs w:val="18"/>
              </w:rPr>
              <w:t xml:space="preserve"> </w:t>
            </w:r>
            <w:r>
              <w:rPr>
                <w:b/>
                <w:bCs/>
                <w:spacing w:val="-2"/>
                <w:sz w:val="18"/>
                <w:szCs w:val="18"/>
              </w:rPr>
              <w:t>能要点</w:t>
            </w:r>
          </w:p>
        </w:tc>
        <w:tc>
          <w:tcPr>
            <w:tcW w:w="2494" w:type="dxa"/>
            <w:vMerge w:val="restart"/>
            <w:tcBorders>
              <w:bottom w:val="nil"/>
            </w:tcBorders>
            <w:vAlign w:val="top"/>
          </w:tcPr>
          <w:p w14:paraId="09CC0E9A">
            <w:pPr>
              <w:pStyle w:val="6"/>
              <w:spacing w:before="129" w:line="219" w:lineRule="auto"/>
              <w:ind w:left="934"/>
              <w:rPr>
                <w:sz w:val="18"/>
                <w:szCs w:val="18"/>
              </w:rPr>
            </w:pPr>
            <w:r>
              <w:rPr>
                <w:b/>
                <w:bCs/>
                <w:spacing w:val="5"/>
                <w:sz w:val="18"/>
                <w:szCs w:val="18"/>
              </w:rPr>
              <w:t>考试条目</w:t>
            </w:r>
          </w:p>
        </w:tc>
        <w:tc>
          <w:tcPr>
            <w:tcW w:w="913" w:type="dxa"/>
            <w:gridSpan w:val="4"/>
            <w:vAlign w:val="top"/>
          </w:tcPr>
          <w:p w14:paraId="1126E854">
            <w:pPr>
              <w:pStyle w:val="6"/>
              <w:spacing w:before="30" w:line="200" w:lineRule="auto"/>
              <w:ind w:left="120"/>
              <w:rPr>
                <w:sz w:val="18"/>
                <w:szCs w:val="18"/>
              </w:rPr>
            </w:pPr>
            <w:r>
              <w:rPr>
                <w:b/>
                <w:bCs/>
                <w:spacing w:val="-4"/>
                <w:sz w:val="18"/>
                <w:szCs w:val="18"/>
              </w:rPr>
              <w:t>考试水平</w:t>
            </w:r>
          </w:p>
        </w:tc>
      </w:tr>
      <w:tr w14:paraId="68357F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0" w:hRule="atLeast"/>
        </w:trPr>
        <w:tc>
          <w:tcPr>
            <w:tcW w:w="723" w:type="dxa"/>
            <w:vMerge w:val="continue"/>
            <w:tcBorders>
              <w:top w:val="nil"/>
            </w:tcBorders>
            <w:vAlign w:val="top"/>
          </w:tcPr>
          <w:p w14:paraId="20E5B55E">
            <w:pPr>
              <w:rPr>
                <w:rFonts w:ascii="Arial"/>
                <w:sz w:val="21"/>
              </w:rPr>
            </w:pPr>
          </w:p>
        </w:tc>
        <w:tc>
          <w:tcPr>
            <w:tcW w:w="2494" w:type="dxa"/>
            <w:vMerge w:val="continue"/>
            <w:tcBorders>
              <w:top w:val="nil"/>
            </w:tcBorders>
            <w:vAlign w:val="top"/>
          </w:tcPr>
          <w:p w14:paraId="7D882672">
            <w:pPr>
              <w:rPr>
                <w:rFonts w:ascii="Arial"/>
                <w:sz w:val="21"/>
              </w:rPr>
            </w:pPr>
          </w:p>
        </w:tc>
        <w:tc>
          <w:tcPr>
            <w:tcW w:w="220" w:type="dxa"/>
            <w:vAlign w:val="top"/>
          </w:tcPr>
          <w:p w14:paraId="59E6F810">
            <w:pPr>
              <w:pStyle w:val="6"/>
              <w:spacing w:before="42" w:line="148" w:lineRule="exact"/>
              <w:ind w:left="17"/>
              <w:rPr>
                <w:sz w:val="18"/>
                <w:szCs w:val="18"/>
              </w:rPr>
            </w:pPr>
            <w:r>
              <w:rPr>
                <w:position w:val="-2"/>
                <w:sz w:val="18"/>
                <w:szCs w:val="18"/>
              </w:rPr>
              <w:t>A</w:t>
            </w:r>
          </w:p>
        </w:tc>
        <w:tc>
          <w:tcPr>
            <w:tcW w:w="230" w:type="dxa"/>
            <w:vAlign w:val="top"/>
          </w:tcPr>
          <w:p w14:paraId="48487BA0">
            <w:pPr>
              <w:pStyle w:val="6"/>
              <w:spacing w:before="45" w:line="145" w:lineRule="exact"/>
              <w:ind w:left="20"/>
              <w:rPr>
                <w:sz w:val="18"/>
                <w:szCs w:val="18"/>
              </w:rPr>
            </w:pPr>
            <w:r>
              <w:rPr>
                <w:b/>
                <w:bCs/>
                <w:spacing w:val="-2"/>
                <w:position w:val="-2"/>
                <w:sz w:val="18"/>
                <w:szCs w:val="18"/>
              </w:rPr>
              <w:t>B</w:t>
            </w:r>
          </w:p>
        </w:tc>
        <w:tc>
          <w:tcPr>
            <w:tcW w:w="229" w:type="dxa"/>
            <w:vAlign w:val="top"/>
          </w:tcPr>
          <w:p w14:paraId="6985BF0C">
            <w:pPr>
              <w:pStyle w:val="6"/>
              <w:spacing w:before="43" w:line="146" w:lineRule="exact"/>
              <w:ind w:left="37"/>
              <w:rPr>
                <w:sz w:val="18"/>
                <w:szCs w:val="18"/>
              </w:rPr>
            </w:pPr>
            <w:r>
              <w:rPr>
                <w:position w:val="-2"/>
                <w:sz w:val="18"/>
                <w:szCs w:val="18"/>
              </w:rPr>
              <w:t>C</w:t>
            </w:r>
          </w:p>
        </w:tc>
        <w:tc>
          <w:tcPr>
            <w:tcW w:w="234" w:type="dxa"/>
            <w:vAlign w:val="top"/>
          </w:tcPr>
          <w:p w14:paraId="556D6596">
            <w:pPr>
              <w:pStyle w:val="6"/>
              <w:spacing w:before="45" w:line="145" w:lineRule="exact"/>
              <w:ind w:left="21"/>
              <w:rPr>
                <w:sz w:val="18"/>
                <w:szCs w:val="18"/>
              </w:rPr>
            </w:pPr>
            <w:r>
              <w:rPr>
                <w:b/>
                <w:bCs/>
                <w:spacing w:val="-2"/>
                <w:position w:val="-2"/>
                <w:sz w:val="18"/>
                <w:szCs w:val="18"/>
              </w:rPr>
              <w:t>D</w:t>
            </w:r>
          </w:p>
        </w:tc>
      </w:tr>
      <w:tr w14:paraId="06F78D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08" w:hRule="atLeast"/>
        </w:trPr>
        <w:tc>
          <w:tcPr>
            <w:tcW w:w="723" w:type="dxa"/>
            <w:vAlign w:val="top"/>
          </w:tcPr>
          <w:p w14:paraId="1C923601">
            <w:pPr>
              <w:rPr>
                <w:rFonts w:ascii="Arial"/>
                <w:sz w:val="21"/>
              </w:rPr>
            </w:pPr>
          </w:p>
        </w:tc>
        <w:tc>
          <w:tcPr>
            <w:tcW w:w="2494" w:type="dxa"/>
            <w:vAlign w:val="top"/>
          </w:tcPr>
          <w:p w14:paraId="621ED056">
            <w:pPr>
              <w:pStyle w:val="6"/>
              <w:spacing w:before="95" w:line="217" w:lineRule="auto"/>
              <w:ind w:left="12"/>
              <w:rPr>
                <w:sz w:val="18"/>
                <w:szCs w:val="18"/>
              </w:rPr>
            </w:pPr>
            <w:r>
              <w:rPr>
                <w:spacing w:val="-1"/>
                <w:sz w:val="18"/>
                <w:szCs w:val="18"/>
              </w:rPr>
              <w:t>⑤删除文件或文件夹</w:t>
            </w:r>
          </w:p>
          <w:p w14:paraId="2103113A">
            <w:pPr>
              <w:pStyle w:val="6"/>
              <w:spacing w:before="18" w:line="215" w:lineRule="auto"/>
              <w:jc w:val="right"/>
              <w:rPr>
                <w:sz w:val="18"/>
                <w:szCs w:val="18"/>
              </w:rPr>
            </w:pPr>
            <w:r>
              <w:rPr>
                <w:spacing w:val="-10"/>
                <w:sz w:val="18"/>
                <w:szCs w:val="18"/>
              </w:rPr>
              <w:t>⑥恢复被删除的文件或文件夹</w:t>
            </w:r>
          </w:p>
          <w:p w14:paraId="50C129AC">
            <w:pPr>
              <w:pStyle w:val="6"/>
              <w:spacing w:line="217" w:lineRule="auto"/>
              <w:ind w:left="251"/>
              <w:rPr>
                <w:sz w:val="18"/>
                <w:szCs w:val="18"/>
              </w:rPr>
            </w:pPr>
            <w:r>
              <w:rPr>
                <w:spacing w:val="-1"/>
                <w:sz w:val="18"/>
                <w:szCs w:val="18"/>
              </w:rPr>
              <w:t>⑦修改文件或文件夹的属性</w:t>
            </w:r>
          </w:p>
          <w:p w14:paraId="5CB4FAC1">
            <w:pPr>
              <w:pStyle w:val="6"/>
              <w:spacing w:before="8" w:line="217" w:lineRule="auto"/>
              <w:ind w:left="12"/>
              <w:rPr>
                <w:sz w:val="18"/>
                <w:szCs w:val="18"/>
              </w:rPr>
            </w:pPr>
            <w:r>
              <w:rPr>
                <w:spacing w:val="-1"/>
                <w:sz w:val="18"/>
                <w:szCs w:val="18"/>
              </w:rPr>
              <w:t>⑧搜索文件或文件夹</w:t>
            </w:r>
          </w:p>
        </w:tc>
        <w:tc>
          <w:tcPr>
            <w:tcW w:w="220" w:type="dxa"/>
            <w:vAlign w:val="top"/>
          </w:tcPr>
          <w:p w14:paraId="005F5E8A">
            <w:pPr>
              <w:rPr>
                <w:rFonts w:ascii="Arial"/>
                <w:sz w:val="21"/>
              </w:rPr>
            </w:pPr>
          </w:p>
        </w:tc>
        <w:tc>
          <w:tcPr>
            <w:tcW w:w="230" w:type="dxa"/>
            <w:vAlign w:val="top"/>
          </w:tcPr>
          <w:p w14:paraId="2146072A">
            <w:pPr>
              <w:rPr>
                <w:rFonts w:ascii="Arial"/>
                <w:sz w:val="21"/>
              </w:rPr>
            </w:pPr>
          </w:p>
        </w:tc>
        <w:tc>
          <w:tcPr>
            <w:tcW w:w="229" w:type="dxa"/>
            <w:vAlign w:val="top"/>
          </w:tcPr>
          <w:p w14:paraId="72A7ABFF">
            <w:pPr>
              <w:rPr>
                <w:rFonts w:ascii="Arial"/>
                <w:sz w:val="21"/>
              </w:rPr>
            </w:pPr>
          </w:p>
        </w:tc>
        <w:tc>
          <w:tcPr>
            <w:tcW w:w="234" w:type="dxa"/>
            <w:vAlign w:val="top"/>
          </w:tcPr>
          <w:p w14:paraId="5AC219A7">
            <w:pPr>
              <w:rPr>
                <w:rFonts w:ascii="Arial"/>
                <w:sz w:val="21"/>
              </w:rPr>
            </w:pPr>
          </w:p>
        </w:tc>
      </w:tr>
      <w:tr w14:paraId="104A13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756" w:hRule="atLeast"/>
        </w:trPr>
        <w:tc>
          <w:tcPr>
            <w:tcW w:w="723" w:type="dxa"/>
            <w:vAlign w:val="top"/>
          </w:tcPr>
          <w:p w14:paraId="0129D8F7">
            <w:pPr>
              <w:spacing w:line="319" w:lineRule="auto"/>
              <w:rPr>
                <w:rFonts w:ascii="Arial"/>
                <w:sz w:val="21"/>
              </w:rPr>
            </w:pPr>
          </w:p>
          <w:p w14:paraId="2B226DD1">
            <w:pPr>
              <w:spacing w:line="319" w:lineRule="auto"/>
              <w:rPr>
                <w:rFonts w:ascii="Arial"/>
                <w:sz w:val="21"/>
              </w:rPr>
            </w:pPr>
          </w:p>
          <w:p w14:paraId="3AE494D4">
            <w:pPr>
              <w:pStyle w:val="6"/>
              <w:spacing w:before="59" w:line="206" w:lineRule="auto"/>
              <w:ind w:left="175" w:right="188"/>
              <w:rPr>
                <w:sz w:val="18"/>
                <w:szCs w:val="18"/>
              </w:rPr>
            </w:pPr>
            <w:r>
              <w:rPr>
                <w:spacing w:val="-6"/>
                <w:sz w:val="18"/>
                <w:szCs w:val="18"/>
              </w:rPr>
              <w:t>系统</w:t>
            </w:r>
            <w:r>
              <w:rPr>
                <w:sz w:val="18"/>
                <w:szCs w:val="18"/>
              </w:rPr>
              <w:t xml:space="preserve"> </w:t>
            </w:r>
            <w:r>
              <w:rPr>
                <w:spacing w:val="-6"/>
                <w:sz w:val="18"/>
                <w:szCs w:val="18"/>
              </w:rPr>
              <w:t>管理</w:t>
            </w:r>
          </w:p>
        </w:tc>
        <w:tc>
          <w:tcPr>
            <w:tcW w:w="2494" w:type="dxa"/>
            <w:vAlign w:val="top"/>
          </w:tcPr>
          <w:p w14:paraId="6148B5D3">
            <w:pPr>
              <w:pStyle w:val="6"/>
              <w:spacing w:before="28" w:line="231" w:lineRule="auto"/>
              <w:ind w:left="12" w:right="120"/>
              <w:rPr>
                <w:sz w:val="18"/>
                <w:szCs w:val="18"/>
              </w:rPr>
            </w:pPr>
            <w:r>
              <w:rPr>
                <w:sz w:val="18"/>
                <w:szCs w:val="18"/>
              </w:rPr>
              <w:t>1.控制面板及其常用基本操作</w:t>
            </w:r>
            <w:r>
              <w:rPr>
                <w:spacing w:val="10"/>
                <w:sz w:val="18"/>
                <w:szCs w:val="18"/>
              </w:rPr>
              <w:t xml:space="preserve"> </w:t>
            </w:r>
            <w:r>
              <w:rPr>
                <w:spacing w:val="-2"/>
                <w:sz w:val="18"/>
                <w:szCs w:val="18"/>
              </w:rPr>
              <w:t>2.系统设置</w:t>
            </w:r>
          </w:p>
          <w:p w14:paraId="2B9F56C8">
            <w:pPr>
              <w:pStyle w:val="6"/>
              <w:spacing w:line="219" w:lineRule="auto"/>
              <w:ind w:left="12"/>
              <w:rPr>
                <w:sz w:val="18"/>
                <w:szCs w:val="18"/>
              </w:rPr>
            </w:pPr>
            <w:r>
              <w:rPr>
                <w:spacing w:val="-2"/>
                <w:sz w:val="18"/>
                <w:szCs w:val="18"/>
              </w:rPr>
              <w:t>3.个性化设置</w:t>
            </w:r>
          </w:p>
          <w:p w14:paraId="188567ED">
            <w:pPr>
              <w:pStyle w:val="6"/>
              <w:spacing w:before="8" w:line="217" w:lineRule="auto"/>
              <w:ind w:left="12" w:right="678"/>
              <w:rPr>
                <w:sz w:val="18"/>
                <w:szCs w:val="18"/>
              </w:rPr>
            </w:pPr>
            <w:r>
              <w:rPr>
                <w:spacing w:val="-1"/>
                <w:sz w:val="18"/>
                <w:szCs w:val="18"/>
              </w:rPr>
              <w:t>4.网络和Internet设置</w:t>
            </w:r>
            <w:r>
              <w:rPr>
                <w:spacing w:val="7"/>
                <w:sz w:val="18"/>
                <w:szCs w:val="18"/>
              </w:rPr>
              <w:t xml:space="preserve"> </w:t>
            </w:r>
            <w:r>
              <w:rPr>
                <w:spacing w:val="-2"/>
                <w:sz w:val="18"/>
                <w:szCs w:val="18"/>
              </w:rPr>
              <w:t>5.程序安装与卸载</w:t>
            </w:r>
          </w:p>
          <w:p w14:paraId="0EBCD6DD">
            <w:pPr>
              <w:pStyle w:val="6"/>
              <w:spacing w:before="4" w:line="221" w:lineRule="auto"/>
              <w:ind w:left="12" w:right="680"/>
              <w:rPr>
                <w:sz w:val="18"/>
                <w:szCs w:val="18"/>
              </w:rPr>
            </w:pPr>
            <w:r>
              <w:rPr>
                <w:spacing w:val="-1"/>
                <w:sz w:val="18"/>
                <w:szCs w:val="18"/>
              </w:rPr>
              <w:t>6.硬件设置和驱动安装</w:t>
            </w:r>
            <w:r>
              <w:rPr>
                <w:spacing w:val="1"/>
                <w:sz w:val="18"/>
                <w:szCs w:val="18"/>
              </w:rPr>
              <w:t xml:space="preserve"> </w:t>
            </w:r>
            <w:r>
              <w:rPr>
                <w:spacing w:val="-2"/>
                <w:sz w:val="18"/>
                <w:szCs w:val="18"/>
              </w:rPr>
              <w:t>7.用户帐户设置</w:t>
            </w:r>
          </w:p>
          <w:p w14:paraId="5F0081FD">
            <w:pPr>
              <w:pStyle w:val="6"/>
              <w:spacing w:line="190" w:lineRule="auto"/>
              <w:ind w:left="12"/>
              <w:rPr>
                <w:sz w:val="18"/>
                <w:szCs w:val="18"/>
              </w:rPr>
            </w:pPr>
            <w:r>
              <w:rPr>
                <w:spacing w:val="-1"/>
                <w:sz w:val="18"/>
                <w:szCs w:val="18"/>
              </w:rPr>
              <w:t>8.时钟、语言和区域设置</w:t>
            </w:r>
          </w:p>
        </w:tc>
        <w:tc>
          <w:tcPr>
            <w:tcW w:w="220" w:type="dxa"/>
            <w:vAlign w:val="top"/>
          </w:tcPr>
          <w:p w14:paraId="49E954CD">
            <w:pPr>
              <w:rPr>
                <w:rFonts w:ascii="Arial"/>
                <w:sz w:val="21"/>
              </w:rPr>
            </w:pPr>
          </w:p>
        </w:tc>
        <w:tc>
          <w:tcPr>
            <w:tcW w:w="230" w:type="dxa"/>
            <w:vAlign w:val="top"/>
          </w:tcPr>
          <w:p w14:paraId="1D7C2D8A">
            <w:pPr>
              <w:rPr>
                <w:rFonts w:ascii="Arial"/>
                <w:sz w:val="21"/>
              </w:rPr>
            </w:pPr>
          </w:p>
        </w:tc>
        <w:tc>
          <w:tcPr>
            <w:tcW w:w="229" w:type="dxa"/>
            <w:vAlign w:val="top"/>
          </w:tcPr>
          <w:p w14:paraId="498371EF">
            <w:pPr>
              <w:rPr>
                <w:rFonts w:ascii="Arial"/>
                <w:sz w:val="21"/>
              </w:rPr>
            </w:pPr>
          </w:p>
        </w:tc>
        <w:tc>
          <w:tcPr>
            <w:tcW w:w="234" w:type="dxa"/>
            <w:vAlign w:val="top"/>
          </w:tcPr>
          <w:p w14:paraId="20418D61">
            <w:pPr>
              <w:rPr>
                <w:rFonts w:ascii="Arial"/>
                <w:sz w:val="21"/>
              </w:rPr>
            </w:pPr>
          </w:p>
        </w:tc>
      </w:tr>
      <w:tr w14:paraId="7B2C5E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7" w:hRule="atLeast"/>
        </w:trPr>
        <w:tc>
          <w:tcPr>
            <w:tcW w:w="723" w:type="dxa"/>
            <w:vMerge w:val="restart"/>
            <w:tcBorders>
              <w:bottom w:val="nil"/>
            </w:tcBorders>
            <w:vAlign w:val="top"/>
          </w:tcPr>
          <w:p w14:paraId="258139E8">
            <w:pPr>
              <w:pStyle w:val="6"/>
              <w:spacing w:before="164" w:line="205" w:lineRule="auto"/>
              <w:ind w:left="84"/>
              <w:rPr>
                <w:sz w:val="18"/>
                <w:szCs w:val="18"/>
              </w:rPr>
            </w:pPr>
            <w:r>
              <w:rPr>
                <w:spacing w:val="-3"/>
                <w:sz w:val="18"/>
                <w:szCs w:val="18"/>
              </w:rPr>
              <w:t>系统维</w:t>
            </w:r>
          </w:p>
          <w:p w14:paraId="128C0002">
            <w:pPr>
              <w:pStyle w:val="6"/>
              <w:spacing w:line="220" w:lineRule="auto"/>
              <w:ind w:left="84"/>
              <w:rPr>
                <w:sz w:val="18"/>
                <w:szCs w:val="18"/>
              </w:rPr>
            </w:pPr>
            <w:r>
              <w:rPr>
                <w:spacing w:val="-2"/>
                <w:sz w:val="18"/>
                <w:szCs w:val="18"/>
              </w:rPr>
              <w:t>护与常</w:t>
            </w:r>
          </w:p>
          <w:p w14:paraId="1F8BCC6E">
            <w:pPr>
              <w:pStyle w:val="6"/>
              <w:spacing w:before="25" w:line="204" w:lineRule="auto"/>
              <w:ind w:left="84"/>
              <w:rPr>
                <w:sz w:val="18"/>
                <w:szCs w:val="18"/>
              </w:rPr>
            </w:pPr>
            <w:r>
              <w:rPr>
                <w:spacing w:val="-2"/>
                <w:sz w:val="18"/>
                <w:szCs w:val="18"/>
              </w:rPr>
              <w:t>用工具</w:t>
            </w:r>
          </w:p>
          <w:p w14:paraId="035D6E8D">
            <w:pPr>
              <w:pStyle w:val="6"/>
              <w:spacing w:line="219" w:lineRule="auto"/>
              <w:ind w:left="175"/>
              <w:rPr>
                <w:sz w:val="18"/>
                <w:szCs w:val="18"/>
              </w:rPr>
            </w:pPr>
            <w:r>
              <w:rPr>
                <w:spacing w:val="-3"/>
                <w:sz w:val="18"/>
                <w:szCs w:val="18"/>
              </w:rPr>
              <w:t>软件</w:t>
            </w:r>
          </w:p>
        </w:tc>
        <w:tc>
          <w:tcPr>
            <w:tcW w:w="2494" w:type="dxa"/>
            <w:tcBorders>
              <w:bottom w:val="nil"/>
            </w:tcBorders>
            <w:vAlign w:val="top"/>
          </w:tcPr>
          <w:p w14:paraId="48DB5CCD">
            <w:pPr>
              <w:pStyle w:val="6"/>
              <w:spacing w:before="23" w:line="188" w:lineRule="auto"/>
              <w:ind w:left="12"/>
              <w:rPr>
                <w:sz w:val="18"/>
                <w:szCs w:val="18"/>
              </w:rPr>
            </w:pPr>
            <w:r>
              <w:rPr>
                <w:spacing w:val="2"/>
                <w:sz w:val="18"/>
                <w:szCs w:val="18"/>
              </w:rPr>
              <w:t>1.磁盘维护</w:t>
            </w:r>
          </w:p>
        </w:tc>
        <w:tc>
          <w:tcPr>
            <w:tcW w:w="220" w:type="dxa"/>
            <w:tcBorders>
              <w:bottom w:val="nil"/>
            </w:tcBorders>
            <w:vAlign w:val="top"/>
          </w:tcPr>
          <w:p w14:paraId="4D7D5578">
            <w:pPr>
              <w:spacing w:line="207" w:lineRule="exact"/>
              <w:rPr>
                <w:rFonts w:ascii="Arial"/>
                <w:sz w:val="18"/>
              </w:rPr>
            </w:pPr>
          </w:p>
        </w:tc>
        <w:tc>
          <w:tcPr>
            <w:tcW w:w="230" w:type="dxa"/>
            <w:tcBorders>
              <w:bottom w:val="nil"/>
            </w:tcBorders>
            <w:vAlign w:val="top"/>
          </w:tcPr>
          <w:p w14:paraId="1C09AB6B">
            <w:pPr>
              <w:spacing w:line="207" w:lineRule="exact"/>
              <w:rPr>
                <w:rFonts w:ascii="Arial"/>
                <w:sz w:val="18"/>
              </w:rPr>
            </w:pPr>
          </w:p>
        </w:tc>
        <w:tc>
          <w:tcPr>
            <w:tcW w:w="229" w:type="dxa"/>
            <w:tcBorders>
              <w:bottom w:val="nil"/>
            </w:tcBorders>
            <w:vAlign w:val="top"/>
          </w:tcPr>
          <w:p w14:paraId="5F44E14D">
            <w:pPr>
              <w:spacing w:line="207" w:lineRule="exact"/>
              <w:rPr>
                <w:rFonts w:ascii="Arial"/>
                <w:sz w:val="18"/>
              </w:rPr>
            </w:pPr>
          </w:p>
        </w:tc>
        <w:tc>
          <w:tcPr>
            <w:tcW w:w="234" w:type="dxa"/>
            <w:tcBorders>
              <w:bottom w:val="nil"/>
            </w:tcBorders>
            <w:vAlign w:val="top"/>
          </w:tcPr>
          <w:p w14:paraId="4AA46192">
            <w:pPr>
              <w:spacing w:line="207" w:lineRule="exact"/>
              <w:rPr>
                <w:rFonts w:ascii="Arial"/>
                <w:sz w:val="18"/>
              </w:rPr>
            </w:pPr>
          </w:p>
        </w:tc>
      </w:tr>
      <w:tr w14:paraId="35665A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8" w:hRule="atLeast"/>
        </w:trPr>
        <w:tc>
          <w:tcPr>
            <w:tcW w:w="723" w:type="dxa"/>
            <w:vMerge w:val="continue"/>
            <w:tcBorders>
              <w:top w:val="nil"/>
              <w:bottom w:val="nil"/>
            </w:tcBorders>
            <w:vAlign w:val="top"/>
          </w:tcPr>
          <w:p w14:paraId="6D1AE3E6">
            <w:pPr>
              <w:rPr>
                <w:rFonts w:ascii="Arial"/>
                <w:sz w:val="21"/>
              </w:rPr>
            </w:pPr>
          </w:p>
        </w:tc>
        <w:tc>
          <w:tcPr>
            <w:tcW w:w="2494" w:type="dxa"/>
            <w:tcBorders>
              <w:top w:val="nil"/>
              <w:bottom w:val="nil"/>
            </w:tcBorders>
            <w:vAlign w:val="top"/>
          </w:tcPr>
          <w:p w14:paraId="0D7E3C5B">
            <w:pPr>
              <w:pStyle w:val="6"/>
              <w:spacing w:before="26" w:line="196" w:lineRule="auto"/>
              <w:ind w:left="12"/>
              <w:rPr>
                <w:sz w:val="18"/>
                <w:szCs w:val="18"/>
              </w:rPr>
            </w:pPr>
            <w:r>
              <w:rPr>
                <w:spacing w:val="-1"/>
                <w:sz w:val="18"/>
                <w:szCs w:val="18"/>
              </w:rPr>
              <w:t>2.Windows更新</w:t>
            </w:r>
          </w:p>
        </w:tc>
        <w:tc>
          <w:tcPr>
            <w:tcW w:w="220" w:type="dxa"/>
            <w:tcBorders>
              <w:top w:val="nil"/>
              <w:bottom w:val="nil"/>
            </w:tcBorders>
            <w:vAlign w:val="top"/>
          </w:tcPr>
          <w:p w14:paraId="73475601">
            <w:pPr>
              <w:spacing w:line="217" w:lineRule="exact"/>
              <w:rPr>
                <w:rFonts w:ascii="Arial"/>
                <w:sz w:val="18"/>
              </w:rPr>
            </w:pPr>
          </w:p>
        </w:tc>
        <w:tc>
          <w:tcPr>
            <w:tcW w:w="230" w:type="dxa"/>
            <w:tcBorders>
              <w:top w:val="nil"/>
              <w:bottom w:val="nil"/>
            </w:tcBorders>
            <w:vAlign w:val="top"/>
          </w:tcPr>
          <w:p w14:paraId="2E50E112">
            <w:pPr>
              <w:spacing w:line="217" w:lineRule="exact"/>
              <w:rPr>
                <w:rFonts w:ascii="Arial"/>
                <w:sz w:val="18"/>
              </w:rPr>
            </w:pPr>
          </w:p>
        </w:tc>
        <w:tc>
          <w:tcPr>
            <w:tcW w:w="229" w:type="dxa"/>
            <w:tcBorders>
              <w:top w:val="nil"/>
              <w:bottom w:val="nil"/>
            </w:tcBorders>
            <w:vAlign w:val="top"/>
          </w:tcPr>
          <w:p w14:paraId="2036480E">
            <w:pPr>
              <w:spacing w:line="217" w:lineRule="exact"/>
              <w:rPr>
                <w:rFonts w:ascii="Arial"/>
                <w:sz w:val="18"/>
              </w:rPr>
            </w:pPr>
          </w:p>
        </w:tc>
        <w:tc>
          <w:tcPr>
            <w:tcW w:w="234" w:type="dxa"/>
            <w:tcBorders>
              <w:top w:val="nil"/>
              <w:bottom w:val="nil"/>
            </w:tcBorders>
            <w:vAlign w:val="top"/>
          </w:tcPr>
          <w:p w14:paraId="65BCA423">
            <w:pPr>
              <w:spacing w:line="217" w:lineRule="exact"/>
              <w:rPr>
                <w:rFonts w:ascii="Arial"/>
                <w:sz w:val="18"/>
              </w:rPr>
            </w:pPr>
          </w:p>
        </w:tc>
      </w:tr>
      <w:tr w14:paraId="147342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9" w:hRule="atLeast"/>
        </w:trPr>
        <w:tc>
          <w:tcPr>
            <w:tcW w:w="723" w:type="dxa"/>
            <w:vMerge w:val="continue"/>
            <w:tcBorders>
              <w:top w:val="nil"/>
              <w:bottom w:val="nil"/>
            </w:tcBorders>
            <w:vAlign w:val="top"/>
          </w:tcPr>
          <w:p w14:paraId="67AE4914">
            <w:pPr>
              <w:rPr>
                <w:rFonts w:ascii="Arial"/>
                <w:sz w:val="21"/>
              </w:rPr>
            </w:pPr>
          </w:p>
        </w:tc>
        <w:tc>
          <w:tcPr>
            <w:tcW w:w="2494" w:type="dxa"/>
            <w:tcBorders>
              <w:top w:val="nil"/>
              <w:bottom w:val="nil"/>
            </w:tcBorders>
            <w:vAlign w:val="top"/>
          </w:tcPr>
          <w:p w14:paraId="01011E81">
            <w:pPr>
              <w:pStyle w:val="6"/>
              <w:spacing w:before="38" w:line="185" w:lineRule="auto"/>
              <w:ind w:left="12"/>
              <w:rPr>
                <w:sz w:val="18"/>
                <w:szCs w:val="18"/>
              </w:rPr>
            </w:pPr>
            <w:r>
              <w:rPr>
                <w:spacing w:val="-1"/>
                <w:sz w:val="18"/>
                <w:szCs w:val="18"/>
              </w:rPr>
              <w:t>3.Windows防火墙</w:t>
            </w:r>
          </w:p>
        </w:tc>
        <w:tc>
          <w:tcPr>
            <w:tcW w:w="220" w:type="dxa"/>
            <w:tcBorders>
              <w:top w:val="nil"/>
              <w:bottom w:val="nil"/>
            </w:tcBorders>
            <w:vAlign w:val="top"/>
          </w:tcPr>
          <w:p w14:paraId="03080F7F">
            <w:pPr>
              <w:spacing w:line="219" w:lineRule="exact"/>
              <w:rPr>
                <w:rFonts w:ascii="Arial"/>
                <w:sz w:val="19"/>
              </w:rPr>
            </w:pPr>
          </w:p>
        </w:tc>
        <w:tc>
          <w:tcPr>
            <w:tcW w:w="230" w:type="dxa"/>
            <w:tcBorders>
              <w:top w:val="nil"/>
              <w:bottom w:val="nil"/>
            </w:tcBorders>
            <w:vAlign w:val="top"/>
          </w:tcPr>
          <w:p w14:paraId="086AB1C2">
            <w:pPr>
              <w:spacing w:line="219" w:lineRule="exact"/>
              <w:rPr>
                <w:rFonts w:ascii="Arial"/>
                <w:sz w:val="19"/>
              </w:rPr>
            </w:pPr>
          </w:p>
        </w:tc>
        <w:tc>
          <w:tcPr>
            <w:tcW w:w="229" w:type="dxa"/>
            <w:tcBorders>
              <w:top w:val="nil"/>
              <w:bottom w:val="nil"/>
            </w:tcBorders>
            <w:vAlign w:val="top"/>
          </w:tcPr>
          <w:p w14:paraId="02185414">
            <w:pPr>
              <w:spacing w:line="219" w:lineRule="exact"/>
              <w:rPr>
                <w:rFonts w:ascii="Arial"/>
                <w:sz w:val="19"/>
              </w:rPr>
            </w:pPr>
          </w:p>
        </w:tc>
        <w:tc>
          <w:tcPr>
            <w:tcW w:w="234" w:type="dxa"/>
            <w:tcBorders>
              <w:top w:val="nil"/>
              <w:bottom w:val="nil"/>
            </w:tcBorders>
            <w:vAlign w:val="top"/>
          </w:tcPr>
          <w:p w14:paraId="7A608E04">
            <w:pPr>
              <w:spacing w:line="219" w:lineRule="exact"/>
              <w:rPr>
                <w:rFonts w:ascii="Arial"/>
                <w:sz w:val="19"/>
              </w:rPr>
            </w:pPr>
          </w:p>
        </w:tc>
      </w:tr>
      <w:tr w14:paraId="170A58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4" w:hRule="atLeast"/>
        </w:trPr>
        <w:tc>
          <w:tcPr>
            <w:tcW w:w="723" w:type="dxa"/>
            <w:vMerge w:val="continue"/>
            <w:tcBorders>
              <w:top w:val="nil"/>
              <w:bottom w:val="nil"/>
            </w:tcBorders>
            <w:vAlign w:val="top"/>
          </w:tcPr>
          <w:p w14:paraId="36282B02">
            <w:pPr>
              <w:rPr>
                <w:rFonts w:ascii="Arial"/>
                <w:sz w:val="21"/>
              </w:rPr>
            </w:pPr>
          </w:p>
        </w:tc>
        <w:tc>
          <w:tcPr>
            <w:tcW w:w="2494" w:type="dxa"/>
            <w:tcBorders>
              <w:top w:val="nil"/>
              <w:bottom w:val="nil"/>
            </w:tcBorders>
            <w:vAlign w:val="top"/>
          </w:tcPr>
          <w:p w14:paraId="08B05367">
            <w:pPr>
              <w:pStyle w:val="6"/>
              <w:spacing w:before="30" w:line="168" w:lineRule="auto"/>
              <w:ind w:left="12"/>
              <w:rPr>
                <w:sz w:val="18"/>
                <w:szCs w:val="18"/>
              </w:rPr>
            </w:pPr>
            <w:r>
              <w:rPr>
                <w:spacing w:val="-1"/>
                <w:sz w:val="18"/>
                <w:szCs w:val="18"/>
              </w:rPr>
              <w:t>4.系统保护</w:t>
            </w:r>
          </w:p>
        </w:tc>
        <w:tc>
          <w:tcPr>
            <w:tcW w:w="220" w:type="dxa"/>
            <w:tcBorders>
              <w:top w:val="nil"/>
              <w:bottom w:val="nil"/>
            </w:tcBorders>
            <w:vAlign w:val="top"/>
          </w:tcPr>
          <w:p w14:paraId="58729109">
            <w:pPr>
              <w:spacing w:line="194" w:lineRule="exact"/>
              <w:rPr>
                <w:rFonts w:ascii="Arial"/>
                <w:sz w:val="16"/>
              </w:rPr>
            </w:pPr>
          </w:p>
        </w:tc>
        <w:tc>
          <w:tcPr>
            <w:tcW w:w="230" w:type="dxa"/>
            <w:tcBorders>
              <w:top w:val="nil"/>
              <w:bottom w:val="nil"/>
            </w:tcBorders>
            <w:vAlign w:val="top"/>
          </w:tcPr>
          <w:p w14:paraId="4C9FFA0C">
            <w:pPr>
              <w:spacing w:line="194" w:lineRule="exact"/>
              <w:rPr>
                <w:rFonts w:ascii="Arial"/>
                <w:sz w:val="16"/>
              </w:rPr>
            </w:pPr>
          </w:p>
        </w:tc>
        <w:tc>
          <w:tcPr>
            <w:tcW w:w="229" w:type="dxa"/>
            <w:tcBorders>
              <w:top w:val="nil"/>
              <w:bottom w:val="nil"/>
            </w:tcBorders>
            <w:vAlign w:val="top"/>
          </w:tcPr>
          <w:p w14:paraId="59D87F4B">
            <w:pPr>
              <w:spacing w:line="194" w:lineRule="exact"/>
              <w:rPr>
                <w:rFonts w:ascii="Arial"/>
                <w:sz w:val="16"/>
              </w:rPr>
            </w:pPr>
          </w:p>
        </w:tc>
        <w:tc>
          <w:tcPr>
            <w:tcW w:w="234" w:type="dxa"/>
            <w:tcBorders>
              <w:top w:val="nil"/>
              <w:bottom w:val="nil"/>
            </w:tcBorders>
            <w:vAlign w:val="top"/>
          </w:tcPr>
          <w:p w14:paraId="5455FE94">
            <w:pPr>
              <w:spacing w:line="194" w:lineRule="exact"/>
              <w:rPr>
                <w:rFonts w:ascii="Arial"/>
                <w:sz w:val="16"/>
              </w:rPr>
            </w:pPr>
          </w:p>
        </w:tc>
      </w:tr>
      <w:tr w14:paraId="1A3400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9" w:hRule="atLeast"/>
        </w:trPr>
        <w:tc>
          <w:tcPr>
            <w:tcW w:w="723" w:type="dxa"/>
            <w:vMerge w:val="continue"/>
            <w:tcBorders>
              <w:top w:val="nil"/>
            </w:tcBorders>
            <w:vAlign w:val="top"/>
          </w:tcPr>
          <w:p w14:paraId="3343C3DB">
            <w:pPr>
              <w:rPr>
                <w:rFonts w:ascii="Arial"/>
                <w:sz w:val="21"/>
              </w:rPr>
            </w:pPr>
          </w:p>
        </w:tc>
        <w:tc>
          <w:tcPr>
            <w:tcW w:w="2494" w:type="dxa"/>
            <w:tcBorders>
              <w:top w:val="nil"/>
            </w:tcBorders>
            <w:vAlign w:val="top"/>
          </w:tcPr>
          <w:p w14:paraId="4A27C95F">
            <w:pPr>
              <w:pStyle w:val="6"/>
              <w:spacing w:before="15" w:line="188" w:lineRule="auto"/>
              <w:ind w:left="12"/>
              <w:rPr>
                <w:sz w:val="18"/>
                <w:szCs w:val="18"/>
              </w:rPr>
            </w:pPr>
            <w:r>
              <w:rPr>
                <w:spacing w:val="-2"/>
                <w:sz w:val="18"/>
                <w:szCs w:val="18"/>
              </w:rPr>
              <w:t>5.常用工具软件</w:t>
            </w:r>
          </w:p>
        </w:tc>
        <w:tc>
          <w:tcPr>
            <w:tcW w:w="220" w:type="dxa"/>
            <w:tcBorders>
              <w:top w:val="nil"/>
            </w:tcBorders>
            <w:vAlign w:val="top"/>
          </w:tcPr>
          <w:p w14:paraId="7F74CAE7">
            <w:pPr>
              <w:spacing w:line="199" w:lineRule="exact"/>
              <w:rPr>
                <w:rFonts w:ascii="Arial"/>
                <w:sz w:val="17"/>
              </w:rPr>
            </w:pPr>
          </w:p>
        </w:tc>
        <w:tc>
          <w:tcPr>
            <w:tcW w:w="230" w:type="dxa"/>
            <w:tcBorders>
              <w:top w:val="nil"/>
            </w:tcBorders>
            <w:vAlign w:val="top"/>
          </w:tcPr>
          <w:p w14:paraId="1599BA45">
            <w:pPr>
              <w:spacing w:line="199" w:lineRule="exact"/>
              <w:rPr>
                <w:rFonts w:ascii="Arial"/>
                <w:sz w:val="17"/>
              </w:rPr>
            </w:pPr>
          </w:p>
        </w:tc>
        <w:tc>
          <w:tcPr>
            <w:tcW w:w="229" w:type="dxa"/>
            <w:tcBorders>
              <w:top w:val="nil"/>
            </w:tcBorders>
            <w:vAlign w:val="top"/>
          </w:tcPr>
          <w:p w14:paraId="214B5A9F">
            <w:pPr>
              <w:spacing w:line="199" w:lineRule="exact"/>
              <w:rPr>
                <w:rFonts w:ascii="Arial"/>
                <w:sz w:val="17"/>
              </w:rPr>
            </w:pPr>
          </w:p>
        </w:tc>
        <w:tc>
          <w:tcPr>
            <w:tcW w:w="234" w:type="dxa"/>
            <w:tcBorders>
              <w:top w:val="nil"/>
            </w:tcBorders>
            <w:vAlign w:val="top"/>
          </w:tcPr>
          <w:p w14:paraId="6316EF13">
            <w:pPr>
              <w:spacing w:line="199" w:lineRule="exact"/>
              <w:rPr>
                <w:rFonts w:ascii="Arial"/>
                <w:sz w:val="17"/>
              </w:rPr>
            </w:pPr>
          </w:p>
        </w:tc>
      </w:tr>
      <w:tr w14:paraId="5830CF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4" w:hRule="atLeast"/>
        </w:trPr>
        <w:tc>
          <w:tcPr>
            <w:tcW w:w="723" w:type="dxa"/>
            <w:vAlign w:val="top"/>
          </w:tcPr>
          <w:p w14:paraId="36CDC9C2">
            <w:pPr>
              <w:pStyle w:val="6"/>
              <w:spacing w:before="107" w:line="220" w:lineRule="auto"/>
              <w:ind w:left="84"/>
              <w:rPr>
                <w:sz w:val="18"/>
                <w:szCs w:val="18"/>
              </w:rPr>
            </w:pPr>
            <w:r>
              <w:rPr>
                <w:spacing w:val="3"/>
                <w:sz w:val="18"/>
                <w:szCs w:val="18"/>
              </w:rPr>
              <w:t>中英文</w:t>
            </w:r>
          </w:p>
          <w:p w14:paraId="3A29650F">
            <w:pPr>
              <w:pStyle w:val="6"/>
              <w:spacing w:before="25" w:line="219" w:lineRule="auto"/>
              <w:ind w:left="175"/>
              <w:rPr>
                <w:sz w:val="18"/>
                <w:szCs w:val="18"/>
              </w:rPr>
            </w:pPr>
            <w:r>
              <w:rPr>
                <w:spacing w:val="-2"/>
                <w:sz w:val="18"/>
                <w:szCs w:val="18"/>
              </w:rPr>
              <w:t>输入</w:t>
            </w:r>
          </w:p>
        </w:tc>
        <w:tc>
          <w:tcPr>
            <w:tcW w:w="2494" w:type="dxa"/>
            <w:vAlign w:val="top"/>
          </w:tcPr>
          <w:p w14:paraId="32AFF877">
            <w:pPr>
              <w:pStyle w:val="6"/>
              <w:spacing w:before="127" w:line="222" w:lineRule="auto"/>
              <w:ind w:left="12" w:right="650"/>
              <w:rPr>
                <w:sz w:val="18"/>
                <w:szCs w:val="18"/>
              </w:rPr>
            </w:pPr>
            <w:r>
              <w:rPr>
                <w:spacing w:val="1"/>
                <w:sz w:val="18"/>
                <w:szCs w:val="18"/>
              </w:rPr>
              <w:t>1.中英文输入法的选用</w:t>
            </w:r>
            <w:r>
              <w:rPr>
                <w:spacing w:val="9"/>
                <w:sz w:val="18"/>
                <w:szCs w:val="18"/>
              </w:rPr>
              <w:t xml:space="preserve"> </w:t>
            </w:r>
            <w:r>
              <w:rPr>
                <w:spacing w:val="-1"/>
                <w:sz w:val="18"/>
                <w:szCs w:val="18"/>
              </w:rPr>
              <w:t>2.中英文输入法的设置</w:t>
            </w:r>
          </w:p>
        </w:tc>
        <w:tc>
          <w:tcPr>
            <w:tcW w:w="220" w:type="dxa"/>
            <w:vAlign w:val="top"/>
          </w:tcPr>
          <w:p w14:paraId="5AB756CF">
            <w:pPr>
              <w:rPr>
                <w:rFonts w:ascii="Arial"/>
                <w:sz w:val="21"/>
              </w:rPr>
            </w:pPr>
          </w:p>
        </w:tc>
        <w:tc>
          <w:tcPr>
            <w:tcW w:w="230" w:type="dxa"/>
            <w:vAlign w:val="top"/>
          </w:tcPr>
          <w:p w14:paraId="1F0CF5A3">
            <w:pPr>
              <w:rPr>
                <w:rFonts w:ascii="Arial"/>
                <w:sz w:val="21"/>
              </w:rPr>
            </w:pPr>
          </w:p>
        </w:tc>
        <w:tc>
          <w:tcPr>
            <w:tcW w:w="229" w:type="dxa"/>
            <w:vAlign w:val="top"/>
          </w:tcPr>
          <w:p w14:paraId="56AFBF00">
            <w:pPr>
              <w:rPr>
                <w:rFonts w:ascii="Arial"/>
                <w:sz w:val="21"/>
              </w:rPr>
            </w:pPr>
            <w:r>
              <w:drawing>
                <wp:anchor distT="0" distB="0" distL="0" distR="0" simplePos="0" relativeHeight="251670528" behindDoc="1" locked="0" layoutInCell="1" allowOverlap="1">
                  <wp:simplePos x="0" y="0"/>
                  <wp:positionH relativeFrom="rightMargin">
                    <wp:posOffset>-247650</wp:posOffset>
                  </wp:positionH>
                  <wp:positionV relativeFrom="topMargin">
                    <wp:posOffset>149860</wp:posOffset>
                  </wp:positionV>
                  <wp:extent cx="215900" cy="161290"/>
                  <wp:effectExtent l="0" t="0" r="0" b="0"/>
                  <wp:wrapNone/>
                  <wp:docPr id="204" name="IM 204"/>
                  <wp:cNvGraphicFramePr/>
                  <a:graphic xmlns:a="http://schemas.openxmlformats.org/drawingml/2006/main">
                    <a:graphicData uri="http://schemas.openxmlformats.org/drawingml/2006/picture">
                      <pic:pic xmlns:pic="http://schemas.openxmlformats.org/drawingml/2006/picture">
                        <pic:nvPicPr>
                          <pic:cNvPr id="204" name="IM 204"/>
                          <pic:cNvPicPr/>
                        </pic:nvPicPr>
                        <pic:blipFill>
                          <a:blip r:embed="rId267"/>
                          <a:stretch>
                            <a:fillRect/>
                          </a:stretch>
                        </pic:blipFill>
                        <pic:spPr>
                          <a:xfrm>
                            <a:off x="0" y="0"/>
                            <a:ext cx="215880" cy="161321"/>
                          </a:xfrm>
                          <a:prstGeom prst="rect">
                            <a:avLst/>
                          </a:prstGeom>
                        </pic:spPr>
                      </pic:pic>
                    </a:graphicData>
                  </a:graphic>
                </wp:anchor>
              </w:drawing>
            </w:r>
          </w:p>
        </w:tc>
        <w:tc>
          <w:tcPr>
            <w:tcW w:w="234" w:type="dxa"/>
            <w:vAlign w:val="top"/>
          </w:tcPr>
          <w:p w14:paraId="118A7A24">
            <w:pPr>
              <w:rPr>
                <w:rFonts w:ascii="Arial"/>
                <w:sz w:val="21"/>
              </w:rPr>
            </w:pPr>
          </w:p>
        </w:tc>
      </w:tr>
    </w:tbl>
    <w:p w14:paraId="1DA3EEBF">
      <w:pPr>
        <w:spacing w:before="92" w:line="212" w:lineRule="auto"/>
        <w:ind w:left="445"/>
        <w:rPr>
          <w:rFonts w:ascii="Times New Roman" w:hAnsi="Times New Roman" w:eastAsia="Times New Roman" w:cs="Times New Roman"/>
          <w:sz w:val="17"/>
          <w:szCs w:val="17"/>
        </w:rPr>
      </w:pPr>
      <w:r>
        <w:drawing>
          <wp:anchor distT="0" distB="0" distL="0" distR="0" simplePos="0" relativeHeight="251671552" behindDoc="1" locked="0" layoutInCell="1" allowOverlap="1">
            <wp:simplePos x="0" y="0"/>
            <wp:positionH relativeFrom="column">
              <wp:posOffset>2205990</wp:posOffset>
            </wp:positionH>
            <wp:positionV relativeFrom="paragraph">
              <wp:posOffset>3562985</wp:posOffset>
            </wp:positionV>
            <wp:extent cx="261620" cy="504825"/>
            <wp:effectExtent l="0" t="0" r="0" b="0"/>
            <wp:wrapNone/>
            <wp:docPr id="206" name="IM 206"/>
            <wp:cNvGraphicFramePr/>
            <a:graphic xmlns:a="http://schemas.openxmlformats.org/drawingml/2006/main">
              <a:graphicData uri="http://schemas.openxmlformats.org/drawingml/2006/picture">
                <pic:pic xmlns:pic="http://schemas.openxmlformats.org/drawingml/2006/picture">
                  <pic:nvPicPr>
                    <pic:cNvPr id="206" name="IM 206"/>
                    <pic:cNvPicPr/>
                  </pic:nvPicPr>
                  <pic:blipFill>
                    <a:blip r:embed="rId268"/>
                    <a:stretch>
                      <a:fillRect/>
                    </a:stretch>
                  </pic:blipFill>
                  <pic:spPr>
                    <a:xfrm>
                      <a:off x="0" y="0"/>
                      <a:ext cx="261558" cy="504781"/>
                    </a:xfrm>
                    <a:prstGeom prst="rect">
                      <a:avLst/>
                    </a:prstGeom>
                  </pic:spPr>
                </pic:pic>
              </a:graphicData>
            </a:graphic>
          </wp:anchor>
        </w:drawing>
      </w:r>
      <w:r>
        <w:rPr>
          <w:rFonts w:ascii="宋体" w:hAnsi="宋体" w:eastAsia="宋体" w:cs="宋体"/>
          <w:spacing w:val="9"/>
          <w:sz w:val="17"/>
          <w:szCs w:val="17"/>
        </w:rPr>
        <w:t>(三)图文编辑</w:t>
      </w:r>
      <w:r>
        <w:rPr>
          <w:rFonts w:ascii="Times New Roman" w:hAnsi="Times New Roman" w:eastAsia="Times New Roman" w:cs="Times New Roman"/>
          <w:spacing w:val="9"/>
          <w:sz w:val="17"/>
          <w:szCs w:val="17"/>
        </w:rPr>
        <w:t>(</w:t>
      </w:r>
      <w:r>
        <w:rPr>
          <w:rFonts w:ascii="Times New Roman" w:hAnsi="Times New Roman" w:eastAsia="Times New Roman" w:cs="Times New Roman"/>
          <w:sz w:val="17"/>
          <w:szCs w:val="17"/>
        </w:rPr>
        <w:t>Word</w:t>
      </w:r>
      <w:r>
        <w:rPr>
          <w:rFonts w:ascii="Times New Roman" w:hAnsi="Times New Roman" w:eastAsia="Times New Roman" w:cs="Times New Roman"/>
          <w:spacing w:val="10"/>
          <w:sz w:val="17"/>
          <w:szCs w:val="17"/>
        </w:rPr>
        <w:t xml:space="preserve">   </w:t>
      </w:r>
      <w:r>
        <w:rPr>
          <w:rFonts w:ascii="Times New Roman" w:hAnsi="Times New Roman" w:eastAsia="Times New Roman" w:cs="Times New Roman"/>
          <w:spacing w:val="9"/>
          <w:sz w:val="17"/>
          <w:szCs w:val="17"/>
        </w:rPr>
        <w:t>2016)</w:t>
      </w:r>
    </w:p>
    <w:p w14:paraId="1AE0DD8A">
      <w:pPr>
        <w:spacing w:line="101" w:lineRule="exact"/>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43"/>
        <w:gridCol w:w="2474"/>
        <w:gridCol w:w="219"/>
        <w:gridCol w:w="230"/>
        <w:gridCol w:w="239"/>
        <w:gridCol w:w="214"/>
      </w:tblGrid>
      <w:tr w14:paraId="496818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4" w:hRule="atLeast"/>
        </w:trPr>
        <w:tc>
          <w:tcPr>
            <w:tcW w:w="743" w:type="dxa"/>
            <w:vMerge w:val="restart"/>
            <w:tcBorders>
              <w:bottom w:val="nil"/>
            </w:tcBorders>
            <w:vAlign w:val="top"/>
          </w:tcPr>
          <w:p w14:paraId="431BE505">
            <w:pPr>
              <w:pStyle w:val="6"/>
              <w:spacing w:before="20" w:line="212" w:lineRule="auto"/>
              <w:ind w:left="96" w:right="6" w:hanging="79"/>
              <w:rPr>
                <w:sz w:val="18"/>
                <w:szCs w:val="18"/>
              </w:rPr>
            </w:pPr>
            <w:r>
              <w:rPr>
                <w:b/>
                <w:bCs/>
                <w:spacing w:val="-5"/>
                <w:sz w:val="18"/>
                <w:szCs w:val="18"/>
              </w:rPr>
              <w:t>知识与技</w:t>
            </w:r>
            <w:r>
              <w:rPr>
                <w:sz w:val="18"/>
                <w:szCs w:val="18"/>
              </w:rPr>
              <w:t xml:space="preserve"> </w:t>
            </w:r>
            <w:r>
              <w:rPr>
                <w:b/>
                <w:bCs/>
                <w:spacing w:val="1"/>
                <w:sz w:val="18"/>
                <w:szCs w:val="18"/>
              </w:rPr>
              <w:t>能要点</w:t>
            </w:r>
          </w:p>
        </w:tc>
        <w:tc>
          <w:tcPr>
            <w:tcW w:w="2474" w:type="dxa"/>
            <w:vMerge w:val="restart"/>
            <w:tcBorders>
              <w:bottom w:val="nil"/>
            </w:tcBorders>
            <w:vAlign w:val="top"/>
          </w:tcPr>
          <w:p w14:paraId="3A9AD5BB">
            <w:pPr>
              <w:pStyle w:val="6"/>
              <w:spacing w:before="129" w:line="219" w:lineRule="auto"/>
              <w:ind w:left="914"/>
              <w:rPr>
                <w:sz w:val="18"/>
                <w:szCs w:val="18"/>
              </w:rPr>
            </w:pPr>
            <w:r>
              <w:rPr>
                <w:b/>
                <w:bCs/>
                <w:spacing w:val="5"/>
                <w:sz w:val="18"/>
                <w:szCs w:val="18"/>
              </w:rPr>
              <w:t>考试条目</w:t>
            </w:r>
          </w:p>
        </w:tc>
        <w:tc>
          <w:tcPr>
            <w:tcW w:w="902" w:type="dxa"/>
            <w:gridSpan w:val="4"/>
            <w:vAlign w:val="top"/>
          </w:tcPr>
          <w:p w14:paraId="664B412C">
            <w:pPr>
              <w:pStyle w:val="6"/>
              <w:spacing w:before="19" w:line="199" w:lineRule="auto"/>
              <w:ind w:left="130"/>
              <w:rPr>
                <w:sz w:val="18"/>
                <w:szCs w:val="18"/>
              </w:rPr>
            </w:pPr>
            <w:r>
              <w:rPr>
                <w:b/>
                <w:bCs/>
                <w:spacing w:val="-4"/>
                <w:sz w:val="18"/>
                <w:szCs w:val="18"/>
              </w:rPr>
              <w:t>考试水平</w:t>
            </w:r>
          </w:p>
        </w:tc>
      </w:tr>
      <w:tr w14:paraId="6EF91C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0" w:hRule="atLeast"/>
        </w:trPr>
        <w:tc>
          <w:tcPr>
            <w:tcW w:w="743" w:type="dxa"/>
            <w:vMerge w:val="continue"/>
            <w:tcBorders>
              <w:top w:val="nil"/>
            </w:tcBorders>
            <w:vAlign w:val="top"/>
          </w:tcPr>
          <w:p w14:paraId="1ECF8B3C">
            <w:pPr>
              <w:rPr>
                <w:rFonts w:ascii="Arial"/>
                <w:sz w:val="21"/>
              </w:rPr>
            </w:pPr>
          </w:p>
        </w:tc>
        <w:tc>
          <w:tcPr>
            <w:tcW w:w="2474" w:type="dxa"/>
            <w:vMerge w:val="continue"/>
            <w:tcBorders>
              <w:top w:val="nil"/>
            </w:tcBorders>
            <w:vAlign w:val="top"/>
          </w:tcPr>
          <w:p w14:paraId="176DFCF6">
            <w:pPr>
              <w:rPr>
                <w:rFonts w:ascii="Arial"/>
                <w:sz w:val="21"/>
              </w:rPr>
            </w:pPr>
          </w:p>
        </w:tc>
        <w:tc>
          <w:tcPr>
            <w:tcW w:w="219" w:type="dxa"/>
            <w:vAlign w:val="top"/>
          </w:tcPr>
          <w:p w14:paraId="775B2D42">
            <w:pPr>
              <w:pStyle w:val="6"/>
              <w:spacing w:before="63" w:line="136" w:lineRule="exact"/>
              <w:ind w:left="50"/>
              <w:rPr>
                <w:sz w:val="18"/>
                <w:szCs w:val="18"/>
              </w:rPr>
            </w:pPr>
            <w:r>
              <w:rPr>
                <w:b/>
                <w:bCs/>
                <w:spacing w:val="-2"/>
                <w:position w:val="-2"/>
                <w:sz w:val="18"/>
                <w:szCs w:val="18"/>
              </w:rPr>
              <w:t>A</w:t>
            </w:r>
          </w:p>
        </w:tc>
        <w:tc>
          <w:tcPr>
            <w:tcW w:w="230" w:type="dxa"/>
            <w:vAlign w:val="top"/>
          </w:tcPr>
          <w:p w14:paraId="35750953">
            <w:pPr>
              <w:pStyle w:val="6"/>
              <w:spacing w:before="66" w:line="133" w:lineRule="exact"/>
              <w:ind w:left="21"/>
              <w:rPr>
                <w:sz w:val="18"/>
                <w:szCs w:val="18"/>
              </w:rPr>
            </w:pPr>
            <w:r>
              <w:rPr>
                <w:b/>
                <w:bCs/>
                <w:spacing w:val="-2"/>
                <w:position w:val="-2"/>
                <w:sz w:val="18"/>
                <w:szCs w:val="18"/>
              </w:rPr>
              <w:t>B</w:t>
            </w:r>
          </w:p>
        </w:tc>
        <w:tc>
          <w:tcPr>
            <w:tcW w:w="239" w:type="dxa"/>
            <w:vAlign w:val="top"/>
          </w:tcPr>
          <w:p w14:paraId="5579339F">
            <w:pPr>
              <w:pStyle w:val="6"/>
              <w:spacing w:before="64" w:line="136" w:lineRule="exact"/>
              <w:ind w:left="28"/>
              <w:rPr>
                <w:sz w:val="18"/>
                <w:szCs w:val="18"/>
              </w:rPr>
            </w:pPr>
            <w:r>
              <w:rPr>
                <w:position w:val="-2"/>
                <w:sz w:val="18"/>
                <w:szCs w:val="18"/>
              </w:rPr>
              <w:t>C</w:t>
            </w:r>
          </w:p>
        </w:tc>
        <w:tc>
          <w:tcPr>
            <w:tcW w:w="214" w:type="dxa"/>
            <w:vAlign w:val="top"/>
          </w:tcPr>
          <w:p w14:paraId="32550E09">
            <w:pPr>
              <w:pStyle w:val="6"/>
              <w:spacing w:before="66" w:line="133" w:lineRule="exact"/>
              <w:ind w:left="62"/>
              <w:rPr>
                <w:sz w:val="18"/>
                <w:szCs w:val="18"/>
              </w:rPr>
            </w:pPr>
            <w:r>
              <w:rPr>
                <w:b/>
                <w:bCs/>
                <w:spacing w:val="-2"/>
                <w:position w:val="-2"/>
                <w:sz w:val="18"/>
                <w:szCs w:val="18"/>
              </w:rPr>
              <w:t>D</w:t>
            </w:r>
          </w:p>
        </w:tc>
      </w:tr>
      <w:tr w14:paraId="7B5356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98" w:hRule="atLeast"/>
        </w:trPr>
        <w:tc>
          <w:tcPr>
            <w:tcW w:w="743" w:type="dxa"/>
            <w:vAlign w:val="top"/>
          </w:tcPr>
          <w:p w14:paraId="28C578D6">
            <w:pPr>
              <w:pStyle w:val="6"/>
              <w:spacing w:before="267" w:line="207" w:lineRule="auto"/>
              <w:ind w:left="94"/>
              <w:rPr>
                <w:sz w:val="18"/>
                <w:szCs w:val="18"/>
              </w:rPr>
            </w:pPr>
            <w:r>
              <w:rPr>
                <w:spacing w:val="4"/>
                <w:sz w:val="18"/>
                <w:szCs w:val="18"/>
              </w:rPr>
              <w:t>图文编</w:t>
            </w:r>
          </w:p>
          <w:p w14:paraId="72E5615C">
            <w:pPr>
              <w:pStyle w:val="6"/>
              <w:spacing w:line="220" w:lineRule="auto"/>
              <w:ind w:left="94"/>
              <w:rPr>
                <w:sz w:val="18"/>
                <w:szCs w:val="18"/>
              </w:rPr>
            </w:pPr>
            <w:r>
              <w:rPr>
                <w:spacing w:val="-2"/>
                <w:sz w:val="18"/>
                <w:szCs w:val="18"/>
              </w:rPr>
              <w:t>辑基础</w:t>
            </w:r>
          </w:p>
          <w:p w14:paraId="379E76F8">
            <w:pPr>
              <w:pStyle w:val="6"/>
              <w:spacing w:before="26" w:line="221" w:lineRule="auto"/>
              <w:ind w:left="185"/>
              <w:rPr>
                <w:sz w:val="18"/>
                <w:szCs w:val="18"/>
              </w:rPr>
            </w:pPr>
            <w:r>
              <w:rPr>
                <w:spacing w:val="5"/>
                <w:sz w:val="18"/>
                <w:szCs w:val="18"/>
              </w:rPr>
              <w:t>知识</w:t>
            </w:r>
          </w:p>
        </w:tc>
        <w:tc>
          <w:tcPr>
            <w:tcW w:w="2474" w:type="dxa"/>
            <w:vAlign w:val="top"/>
          </w:tcPr>
          <w:p w14:paraId="24F4C03A">
            <w:pPr>
              <w:pStyle w:val="6"/>
              <w:spacing w:before="28" w:line="228" w:lineRule="auto"/>
              <w:ind w:left="12" w:right="644"/>
              <w:rPr>
                <w:sz w:val="18"/>
                <w:szCs w:val="18"/>
              </w:rPr>
            </w:pPr>
            <w:r>
              <w:rPr>
                <w:sz w:val="18"/>
                <w:szCs w:val="18"/>
              </w:rPr>
              <w:t>1.常用的图文编辑软件</w:t>
            </w:r>
            <w:r>
              <w:rPr>
                <w:spacing w:val="6"/>
                <w:sz w:val="18"/>
                <w:szCs w:val="18"/>
              </w:rPr>
              <w:t xml:space="preserve"> </w:t>
            </w:r>
            <w:r>
              <w:rPr>
                <w:spacing w:val="2"/>
                <w:sz w:val="18"/>
                <w:szCs w:val="18"/>
              </w:rPr>
              <w:t>2.</w:t>
            </w:r>
            <w:r>
              <w:rPr>
                <w:sz w:val="18"/>
                <w:szCs w:val="18"/>
              </w:rPr>
              <w:t>Word</w:t>
            </w:r>
            <w:r>
              <w:rPr>
                <w:spacing w:val="2"/>
                <w:sz w:val="18"/>
                <w:szCs w:val="18"/>
              </w:rPr>
              <w:t>的启动与退出</w:t>
            </w:r>
          </w:p>
          <w:p w14:paraId="1DF6465B">
            <w:pPr>
              <w:pStyle w:val="6"/>
              <w:spacing w:before="5" w:line="215" w:lineRule="auto"/>
              <w:ind w:left="12" w:right="302"/>
              <w:rPr>
                <w:sz w:val="18"/>
                <w:szCs w:val="18"/>
              </w:rPr>
            </w:pPr>
            <w:r>
              <w:rPr>
                <w:spacing w:val="-1"/>
                <w:sz w:val="18"/>
                <w:szCs w:val="18"/>
              </w:rPr>
              <w:t>3.Word工作窗口的组成与基</w:t>
            </w:r>
            <w:r>
              <w:rPr>
                <w:spacing w:val="3"/>
                <w:sz w:val="18"/>
                <w:szCs w:val="18"/>
              </w:rPr>
              <w:t xml:space="preserve"> </w:t>
            </w:r>
            <w:r>
              <w:rPr>
                <w:spacing w:val="-2"/>
                <w:sz w:val="18"/>
                <w:szCs w:val="18"/>
              </w:rPr>
              <w:t>本操作</w:t>
            </w:r>
          </w:p>
          <w:p w14:paraId="1281E735">
            <w:pPr>
              <w:pStyle w:val="6"/>
              <w:spacing w:line="194" w:lineRule="auto"/>
              <w:ind w:left="12"/>
              <w:rPr>
                <w:sz w:val="18"/>
                <w:szCs w:val="18"/>
              </w:rPr>
            </w:pPr>
            <w:r>
              <w:rPr>
                <w:spacing w:val="-1"/>
                <w:sz w:val="18"/>
                <w:szCs w:val="18"/>
              </w:rPr>
              <w:t>4.在Word中获取帮助</w:t>
            </w:r>
          </w:p>
        </w:tc>
        <w:tc>
          <w:tcPr>
            <w:tcW w:w="219" w:type="dxa"/>
            <w:vAlign w:val="top"/>
          </w:tcPr>
          <w:p w14:paraId="63B31C87">
            <w:pPr>
              <w:rPr>
                <w:rFonts w:ascii="Arial"/>
                <w:sz w:val="21"/>
              </w:rPr>
            </w:pPr>
          </w:p>
        </w:tc>
        <w:tc>
          <w:tcPr>
            <w:tcW w:w="230" w:type="dxa"/>
            <w:vAlign w:val="top"/>
          </w:tcPr>
          <w:p w14:paraId="2C079767">
            <w:pPr>
              <w:rPr>
                <w:rFonts w:ascii="Arial"/>
                <w:sz w:val="21"/>
              </w:rPr>
            </w:pPr>
          </w:p>
        </w:tc>
        <w:tc>
          <w:tcPr>
            <w:tcW w:w="239" w:type="dxa"/>
            <w:vAlign w:val="top"/>
          </w:tcPr>
          <w:p w14:paraId="241162EB">
            <w:pPr>
              <w:rPr>
                <w:rFonts w:ascii="Arial"/>
                <w:sz w:val="21"/>
              </w:rPr>
            </w:pPr>
            <w:r>
              <w:drawing>
                <wp:anchor distT="0" distB="0" distL="0" distR="0" simplePos="0" relativeHeight="251669504" behindDoc="1" locked="0" layoutInCell="1" allowOverlap="1">
                  <wp:simplePos x="0" y="0"/>
                  <wp:positionH relativeFrom="rightMargin">
                    <wp:posOffset>-250190</wp:posOffset>
                  </wp:positionH>
                  <wp:positionV relativeFrom="topMargin">
                    <wp:posOffset>333375</wp:posOffset>
                  </wp:positionV>
                  <wp:extent cx="220345" cy="271145"/>
                  <wp:effectExtent l="0" t="0" r="0" b="0"/>
                  <wp:wrapNone/>
                  <wp:docPr id="208" name="IM 208"/>
                  <wp:cNvGraphicFramePr/>
                  <a:graphic xmlns:a="http://schemas.openxmlformats.org/drawingml/2006/main">
                    <a:graphicData uri="http://schemas.openxmlformats.org/drawingml/2006/picture">
                      <pic:pic xmlns:pic="http://schemas.openxmlformats.org/drawingml/2006/picture">
                        <pic:nvPicPr>
                          <pic:cNvPr id="208" name="IM 208"/>
                          <pic:cNvPicPr/>
                        </pic:nvPicPr>
                        <pic:blipFill>
                          <a:blip r:embed="rId269"/>
                          <a:stretch>
                            <a:fillRect/>
                          </a:stretch>
                        </pic:blipFill>
                        <pic:spPr>
                          <a:xfrm>
                            <a:off x="0" y="0"/>
                            <a:ext cx="220450" cy="271400"/>
                          </a:xfrm>
                          <a:prstGeom prst="rect">
                            <a:avLst/>
                          </a:prstGeom>
                        </pic:spPr>
                      </pic:pic>
                    </a:graphicData>
                  </a:graphic>
                </wp:anchor>
              </w:drawing>
            </w:r>
          </w:p>
        </w:tc>
        <w:tc>
          <w:tcPr>
            <w:tcW w:w="214" w:type="dxa"/>
            <w:vAlign w:val="top"/>
          </w:tcPr>
          <w:p w14:paraId="33C0D4A5">
            <w:pPr>
              <w:rPr>
                <w:rFonts w:ascii="Arial"/>
                <w:sz w:val="21"/>
              </w:rPr>
            </w:pPr>
          </w:p>
        </w:tc>
      </w:tr>
      <w:tr w14:paraId="1E1785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87" w:hRule="atLeast"/>
        </w:trPr>
        <w:tc>
          <w:tcPr>
            <w:tcW w:w="743" w:type="dxa"/>
            <w:vAlign w:val="top"/>
          </w:tcPr>
          <w:p w14:paraId="678CCDA7">
            <w:pPr>
              <w:spacing w:line="252" w:lineRule="auto"/>
              <w:rPr>
                <w:rFonts w:ascii="Arial"/>
                <w:sz w:val="21"/>
              </w:rPr>
            </w:pPr>
          </w:p>
          <w:p w14:paraId="4511B4EF">
            <w:pPr>
              <w:spacing w:line="252" w:lineRule="auto"/>
              <w:rPr>
                <w:rFonts w:ascii="Arial"/>
                <w:sz w:val="21"/>
              </w:rPr>
            </w:pPr>
          </w:p>
          <w:p w14:paraId="24C00374">
            <w:pPr>
              <w:spacing w:line="252" w:lineRule="auto"/>
              <w:rPr>
                <w:rFonts w:ascii="Arial"/>
                <w:sz w:val="21"/>
              </w:rPr>
            </w:pPr>
          </w:p>
          <w:p w14:paraId="24FF8777">
            <w:pPr>
              <w:pStyle w:val="6"/>
              <w:spacing w:before="59" w:line="205" w:lineRule="auto"/>
              <w:ind w:left="94"/>
              <w:rPr>
                <w:sz w:val="18"/>
                <w:szCs w:val="18"/>
              </w:rPr>
            </w:pPr>
            <w:r>
              <w:rPr>
                <w:spacing w:val="4"/>
                <w:sz w:val="18"/>
                <w:szCs w:val="18"/>
              </w:rPr>
              <w:t>文档的</w:t>
            </w:r>
          </w:p>
          <w:p w14:paraId="25E0497C">
            <w:pPr>
              <w:pStyle w:val="6"/>
              <w:spacing w:line="218" w:lineRule="auto"/>
              <w:ind w:left="185"/>
              <w:rPr>
                <w:sz w:val="18"/>
                <w:szCs w:val="18"/>
              </w:rPr>
            </w:pPr>
            <w:r>
              <w:rPr>
                <w:spacing w:val="-2"/>
                <w:sz w:val="18"/>
                <w:szCs w:val="18"/>
              </w:rPr>
              <w:t>基本</w:t>
            </w:r>
          </w:p>
          <w:p w14:paraId="31BB0FE1">
            <w:pPr>
              <w:pStyle w:val="6"/>
              <w:spacing w:before="17" w:line="219" w:lineRule="auto"/>
              <w:ind w:left="185"/>
              <w:rPr>
                <w:sz w:val="18"/>
                <w:szCs w:val="18"/>
              </w:rPr>
            </w:pPr>
            <w:r>
              <w:rPr>
                <w:spacing w:val="-2"/>
                <w:sz w:val="18"/>
                <w:szCs w:val="18"/>
              </w:rPr>
              <w:t>操作</w:t>
            </w:r>
          </w:p>
        </w:tc>
        <w:tc>
          <w:tcPr>
            <w:tcW w:w="2474" w:type="dxa"/>
            <w:vAlign w:val="top"/>
          </w:tcPr>
          <w:p w14:paraId="60332AC0">
            <w:pPr>
              <w:pStyle w:val="6"/>
              <w:spacing w:before="40" w:line="214" w:lineRule="auto"/>
              <w:ind w:left="12" w:right="458"/>
              <w:rPr>
                <w:sz w:val="18"/>
                <w:szCs w:val="18"/>
              </w:rPr>
            </w:pPr>
            <w:r>
              <w:rPr>
                <w:spacing w:val="1"/>
                <w:sz w:val="18"/>
                <w:szCs w:val="18"/>
              </w:rPr>
              <w:t>1.建立、保存、打开文档</w:t>
            </w:r>
            <w:r>
              <w:rPr>
                <w:sz w:val="18"/>
                <w:szCs w:val="18"/>
              </w:rPr>
              <w:t xml:space="preserve"> </w:t>
            </w:r>
            <w:r>
              <w:rPr>
                <w:spacing w:val="3"/>
                <w:sz w:val="18"/>
                <w:szCs w:val="18"/>
              </w:rPr>
              <w:t>编辑文档</w:t>
            </w:r>
          </w:p>
          <w:p w14:paraId="36C6735C">
            <w:pPr>
              <w:pStyle w:val="6"/>
              <w:spacing w:line="217" w:lineRule="auto"/>
              <w:ind w:left="241"/>
              <w:rPr>
                <w:sz w:val="18"/>
                <w:szCs w:val="18"/>
              </w:rPr>
            </w:pPr>
            <w:r>
              <w:rPr>
                <w:spacing w:val="-2"/>
                <w:sz w:val="18"/>
                <w:szCs w:val="18"/>
              </w:rPr>
              <w:t>①选定操作</w:t>
            </w:r>
          </w:p>
          <w:p w14:paraId="05653081">
            <w:pPr>
              <w:pStyle w:val="6"/>
              <w:spacing w:before="18" w:line="217" w:lineRule="auto"/>
              <w:ind w:left="232"/>
              <w:rPr>
                <w:sz w:val="18"/>
                <w:szCs w:val="18"/>
              </w:rPr>
            </w:pPr>
            <w:r>
              <w:rPr>
                <w:spacing w:val="-1"/>
                <w:sz w:val="18"/>
                <w:szCs w:val="18"/>
              </w:rPr>
              <w:t>②文本的插入和修改操作</w:t>
            </w:r>
          </w:p>
          <w:p w14:paraId="7CCAFDFB">
            <w:pPr>
              <w:pStyle w:val="6"/>
              <w:spacing w:before="18" w:line="215" w:lineRule="auto"/>
              <w:ind w:left="252"/>
              <w:rPr>
                <w:sz w:val="18"/>
                <w:szCs w:val="18"/>
              </w:rPr>
            </w:pPr>
            <w:r>
              <w:rPr>
                <w:spacing w:val="-1"/>
                <w:sz w:val="18"/>
                <w:szCs w:val="18"/>
              </w:rPr>
              <w:t>③符号的插入操作</w:t>
            </w:r>
          </w:p>
          <w:p w14:paraId="32EE40B8">
            <w:pPr>
              <w:pStyle w:val="6"/>
              <w:spacing w:line="217" w:lineRule="auto"/>
              <w:ind w:left="252"/>
              <w:rPr>
                <w:sz w:val="18"/>
                <w:szCs w:val="18"/>
              </w:rPr>
            </w:pPr>
            <w:r>
              <w:rPr>
                <w:spacing w:val="-1"/>
                <w:sz w:val="18"/>
                <w:szCs w:val="18"/>
              </w:rPr>
              <w:t>④删除操作</w:t>
            </w:r>
          </w:p>
          <w:p w14:paraId="77C465BB">
            <w:pPr>
              <w:pStyle w:val="6"/>
              <w:spacing w:before="18" w:line="215" w:lineRule="auto"/>
              <w:ind w:left="252"/>
              <w:rPr>
                <w:sz w:val="18"/>
                <w:szCs w:val="18"/>
              </w:rPr>
            </w:pPr>
            <w:r>
              <w:rPr>
                <w:spacing w:val="-1"/>
                <w:sz w:val="18"/>
                <w:szCs w:val="18"/>
              </w:rPr>
              <w:t>⑤复制和移动操作</w:t>
            </w:r>
          </w:p>
          <w:p w14:paraId="30F1DDE5">
            <w:pPr>
              <w:pStyle w:val="6"/>
              <w:spacing w:before="1" w:line="217" w:lineRule="auto"/>
              <w:ind w:left="252"/>
              <w:rPr>
                <w:sz w:val="18"/>
                <w:szCs w:val="18"/>
              </w:rPr>
            </w:pPr>
            <w:r>
              <w:rPr>
                <w:spacing w:val="-1"/>
                <w:sz w:val="18"/>
                <w:szCs w:val="18"/>
              </w:rPr>
              <w:t>⑥查找和替换操作</w:t>
            </w:r>
          </w:p>
          <w:p w14:paraId="13BF3CD8">
            <w:pPr>
              <w:pStyle w:val="6"/>
              <w:spacing w:before="18" w:line="194" w:lineRule="auto"/>
              <w:ind w:left="12" w:right="638" w:firstLine="239"/>
              <w:rPr>
                <w:sz w:val="18"/>
                <w:szCs w:val="18"/>
              </w:rPr>
            </w:pPr>
            <w:r>
              <w:rPr>
                <w:spacing w:val="-1"/>
                <w:sz w:val="18"/>
                <w:szCs w:val="18"/>
              </w:rPr>
              <w:t>⑦撤销与恢复操作</w:t>
            </w:r>
            <w:r>
              <w:rPr>
                <w:sz w:val="18"/>
                <w:szCs w:val="18"/>
              </w:rPr>
              <w:t xml:space="preserve">  </w:t>
            </w:r>
            <w:r>
              <w:rPr>
                <w:spacing w:val="1"/>
                <w:sz w:val="18"/>
                <w:szCs w:val="18"/>
              </w:rPr>
              <w:t>2.打印预览与打印文档</w:t>
            </w:r>
          </w:p>
        </w:tc>
        <w:tc>
          <w:tcPr>
            <w:tcW w:w="219" w:type="dxa"/>
            <w:vAlign w:val="top"/>
          </w:tcPr>
          <w:p w14:paraId="43AB16D0">
            <w:pPr>
              <w:rPr>
                <w:rFonts w:ascii="Arial"/>
                <w:sz w:val="21"/>
              </w:rPr>
            </w:pPr>
          </w:p>
        </w:tc>
        <w:tc>
          <w:tcPr>
            <w:tcW w:w="230" w:type="dxa"/>
            <w:vAlign w:val="top"/>
          </w:tcPr>
          <w:p w14:paraId="0DC6F8F6">
            <w:pPr>
              <w:rPr>
                <w:rFonts w:ascii="Arial"/>
                <w:sz w:val="21"/>
              </w:rPr>
            </w:pPr>
          </w:p>
        </w:tc>
        <w:tc>
          <w:tcPr>
            <w:tcW w:w="239" w:type="dxa"/>
            <w:vAlign w:val="top"/>
          </w:tcPr>
          <w:p w14:paraId="51B300EC">
            <w:pPr>
              <w:rPr>
                <w:rFonts w:ascii="Arial"/>
                <w:sz w:val="21"/>
              </w:rPr>
            </w:pPr>
          </w:p>
        </w:tc>
        <w:tc>
          <w:tcPr>
            <w:tcW w:w="214" w:type="dxa"/>
            <w:vAlign w:val="top"/>
          </w:tcPr>
          <w:p w14:paraId="2EFC089F">
            <w:pPr>
              <w:spacing w:line="253" w:lineRule="auto"/>
              <w:rPr>
                <w:rFonts w:ascii="Arial"/>
                <w:sz w:val="21"/>
              </w:rPr>
            </w:pPr>
          </w:p>
          <w:p w14:paraId="4D8C1624">
            <w:pPr>
              <w:spacing w:line="253" w:lineRule="auto"/>
              <w:rPr>
                <w:rFonts w:ascii="Arial"/>
                <w:sz w:val="21"/>
              </w:rPr>
            </w:pPr>
          </w:p>
          <w:p w14:paraId="3CCBD602">
            <w:pPr>
              <w:spacing w:line="253" w:lineRule="auto"/>
              <w:rPr>
                <w:rFonts w:ascii="Arial"/>
                <w:sz w:val="21"/>
              </w:rPr>
            </w:pPr>
          </w:p>
          <w:p w14:paraId="524C1133">
            <w:pPr>
              <w:spacing w:line="253" w:lineRule="auto"/>
              <w:rPr>
                <w:rFonts w:ascii="Arial"/>
                <w:sz w:val="21"/>
              </w:rPr>
            </w:pPr>
          </w:p>
          <w:p w14:paraId="5E68CA34">
            <w:pPr>
              <w:spacing w:line="253" w:lineRule="auto"/>
              <w:rPr>
                <w:rFonts w:ascii="Arial"/>
                <w:sz w:val="21"/>
              </w:rPr>
            </w:pPr>
          </w:p>
          <w:p w14:paraId="1E7C0FE0">
            <w:pPr>
              <w:spacing w:line="253" w:lineRule="auto"/>
              <w:rPr>
                <w:rFonts w:ascii="Arial"/>
                <w:sz w:val="21"/>
              </w:rPr>
            </w:pPr>
          </w:p>
          <w:p w14:paraId="660599E8">
            <w:pPr>
              <w:spacing w:line="254" w:lineRule="auto"/>
              <w:rPr>
                <w:rFonts w:ascii="Arial"/>
                <w:sz w:val="21"/>
              </w:rPr>
            </w:pPr>
          </w:p>
          <w:p w14:paraId="47D41F5F">
            <w:pPr>
              <w:spacing w:line="254" w:lineRule="auto"/>
              <w:rPr>
                <w:rFonts w:ascii="Arial"/>
                <w:sz w:val="21"/>
              </w:rPr>
            </w:pPr>
          </w:p>
          <w:p w14:paraId="42345136">
            <w:pPr>
              <w:spacing w:line="123" w:lineRule="exact"/>
              <w:ind w:firstLine="57"/>
            </w:pPr>
            <w:r>
              <w:rPr>
                <w:position w:val="-2"/>
              </w:rPr>
              <w:drawing>
                <wp:inline distT="0" distB="0" distL="0" distR="0">
                  <wp:extent cx="73025" cy="78105"/>
                  <wp:effectExtent l="0" t="0" r="0" b="0"/>
                  <wp:docPr id="210" name="IM 210"/>
                  <wp:cNvGraphicFramePr/>
                  <a:graphic xmlns:a="http://schemas.openxmlformats.org/drawingml/2006/main">
                    <a:graphicData uri="http://schemas.openxmlformats.org/drawingml/2006/picture">
                      <pic:pic xmlns:pic="http://schemas.openxmlformats.org/drawingml/2006/picture">
                        <pic:nvPicPr>
                          <pic:cNvPr id="210" name="IM 210"/>
                          <pic:cNvPicPr/>
                        </pic:nvPicPr>
                        <pic:blipFill>
                          <a:blip r:embed="rId270"/>
                          <a:stretch>
                            <a:fillRect/>
                          </a:stretch>
                        </pic:blipFill>
                        <pic:spPr>
                          <a:xfrm>
                            <a:off x="0" y="0"/>
                            <a:ext cx="73483" cy="78465"/>
                          </a:xfrm>
                          <a:prstGeom prst="rect">
                            <a:avLst/>
                          </a:prstGeom>
                        </pic:spPr>
                      </pic:pic>
                    </a:graphicData>
                  </a:graphic>
                </wp:inline>
              </w:drawing>
            </w:r>
          </w:p>
        </w:tc>
      </w:tr>
      <w:tr w14:paraId="759717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90" w:hRule="atLeast"/>
        </w:trPr>
        <w:tc>
          <w:tcPr>
            <w:tcW w:w="743" w:type="dxa"/>
            <w:vAlign w:val="top"/>
          </w:tcPr>
          <w:p w14:paraId="500F4697">
            <w:pPr>
              <w:spacing w:line="271" w:lineRule="auto"/>
              <w:rPr>
                <w:rFonts w:ascii="Arial"/>
                <w:sz w:val="21"/>
              </w:rPr>
            </w:pPr>
          </w:p>
          <w:p w14:paraId="6D167CA3">
            <w:pPr>
              <w:spacing w:line="271" w:lineRule="auto"/>
              <w:rPr>
                <w:rFonts w:ascii="Arial"/>
                <w:sz w:val="21"/>
              </w:rPr>
            </w:pPr>
          </w:p>
          <w:p w14:paraId="19A13F73">
            <w:pPr>
              <w:spacing w:line="271" w:lineRule="auto"/>
              <w:rPr>
                <w:rFonts w:ascii="Arial"/>
                <w:sz w:val="21"/>
              </w:rPr>
            </w:pPr>
          </w:p>
          <w:p w14:paraId="43FBA1EC">
            <w:pPr>
              <w:spacing w:line="271" w:lineRule="auto"/>
              <w:rPr>
                <w:rFonts w:ascii="Arial"/>
                <w:sz w:val="21"/>
              </w:rPr>
            </w:pPr>
          </w:p>
          <w:p w14:paraId="20186D35">
            <w:pPr>
              <w:spacing w:line="272" w:lineRule="auto"/>
              <w:rPr>
                <w:rFonts w:ascii="Arial"/>
                <w:sz w:val="21"/>
              </w:rPr>
            </w:pPr>
          </w:p>
          <w:p w14:paraId="61BA74CE">
            <w:pPr>
              <w:pStyle w:val="6"/>
              <w:spacing w:before="58" w:line="205" w:lineRule="auto"/>
              <w:ind w:left="94"/>
              <w:rPr>
                <w:sz w:val="18"/>
                <w:szCs w:val="18"/>
              </w:rPr>
            </w:pPr>
            <w:r>
              <w:rPr>
                <w:spacing w:val="4"/>
                <w:sz w:val="18"/>
                <w:szCs w:val="18"/>
              </w:rPr>
              <w:t>文档的</w:t>
            </w:r>
          </w:p>
          <w:p w14:paraId="456A423C">
            <w:pPr>
              <w:pStyle w:val="6"/>
              <w:spacing w:line="219" w:lineRule="auto"/>
              <w:ind w:left="185"/>
              <w:rPr>
                <w:sz w:val="18"/>
                <w:szCs w:val="18"/>
              </w:rPr>
            </w:pPr>
            <w:r>
              <w:rPr>
                <w:spacing w:val="-2"/>
                <w:sz w:val="18"/>
                <w:szCs w:val="18"/>
              </w:rPr>
              <w:t>格式</w:t>
            </w:r>
          </w:p>
          <w:p w14:paraId="7812FCA0">
            <w:pPr>
              <w:pStyle w:val="6"/>
              <w:spacing w:before="27" w:line="221" w:lineRule="auto"/>
              <w:ind w:left="185"/>
              <w:rPr>
                <w:sz w:val="18"/>
                <w:szCs w:val="18"/>
              </w:rPr>
            </w:pPr>
            <w:r>
              <w:rPr>
                <w:spacing w:val="-3"/>
                <w:sz w:val="18"/>
                <w:szCs w:val="18"/>
              </w:rPr>
              <w:t>设置</w:t>
            </w:r>
          </w:p>
        </w:tc>
        <w:tc>
          <w:tcPr>
            <w:tcW w:w="2474" w:type="dxa"/>
            <w:vAlign w:val="top"/>
          </w:tcPr>
          <w:p w14:paraId="6696AFE7">
            <w:pPr>
              <w:pStyle w:val="6"/>
              <w:spacing w:before="102" w:line="226" w:lineRule="auto"/>
              <w:ind w:left="12" w:right="1" w:firstLine="19"/>
              <w:jc w:val="both"/>
              <w:rPr>
                <w:sz w:val="18"/>
                <w:szCs w:val="18"/>
              </w:rPr>
            </w:pPr>
            <w:r>
              <w:rPr>
                <w:spacing w:val="6"/>
                <w:sz w:val="18"/>
                <w:szCs w:val="18"/>
              </w:rPr>
              <w:t>1.设置字符格式：设置字体、</w:t>
            </w:r>
            <w:r>
              <w:rPr>
                <w:spacing w:val="5"/>
                <w:sz w:val="18"/>
                <w:szCs w:val="18"/>
              </w:rPr>
              <w:t xml:space="preserve"> </w:t>
            </w:r>
            <w:r>
              <w:rPr>
                <w:sz w:val="18"/>
                <w:szCs w:val="18"/>
              </w:rPr>
              <w:t xml:space="preserve">字形、字号、字符间距、字符  </w:t>
            </w:r>
            <w:r>
              <w:rPr>
                <w:spacing w:val="-2"/>
                <w:sz w:val="18"/>
                <w:szCs w:val="18"/>
              </w:rPr>
              <w:t>边框和底纹</w:t>
            </w:r>
          </w:p>
          <w:p w14:paraId="0283EDB3">
            <w:pPr>
              <w:pStyle w:val="6"/>
              <w:spacing w:line="213" w:lineRule="auto"/>
              <w:ind w:left="12"/>
              <w:rPr>
                <w:sz w:val="18"/>
                <w:szCs w:val="18"/>
              </w:rPr>
            </w:pPr>
            <w:r>
              <w:rPr>
                <w:spacing w:val="-1"/>
                <w:sz w:val="18"/>
                <w:szCs w:val="18"/>
              </w:rPr>
              <w:t>2.设置段落格式</w:t>
            </w:r>
          </w:p>
          <w:p w14:paraId="4DFCA989">
            <w:pPr>
              <w:pStyle w:val="6"/>
              <w:spacing w:line="224" w:lineRule="auto"/>
              <w:ind w:left="12" w:right="68" w:firstLine="229"/>
              <w:rPr>
                <w:sz w:val="18"/>
                <w:szCs w:val="18"/>
              </w:rPr>
            </w:pPr>
            <w:r>
              <w:rPr>
                <w:spacing w:val="-1"/>
                <w:sz w:val="18"/>
                <w:szCs w:val="18"/>
              </w:rPr>
              <w:t>①设置段落缩进、段落对齐</w:t>
            </w:r>
            <w:r>
              <w:rPr>
                <w:spacing w:val="4"/>
                <w:sz w:val="18"/>
                <w:szCs w:val="18"/>
              </w:rPr>
              <w:t xml:space="preserve"> </w:t>
            </w:r>
            <w:r>
              <w:rPr>
                <w:spacing w:val="-1"/>
                <w:sz w:val="18"/>
                <w:szCs w:val="18"/>
              </w:rPr>
              <w:t>方式、行间距和段落间距</w:t>
            </w:r>
          </w:p>
          <w:p w14:paraId="1D5182D5">
            <w:pPr>
              <w:pStyle w:val="6"/>
              <w:spacing w:before="12" w:line="217" w:lineRule="auto"/>
              <w:ind w:left="252"/>
              <w:rPr>
                <w:sz w:val="18"/>
                <w:szCs w:val="18"/>
              </w:rPr>
            </w:pPr>
            <w:r>
              <w:rPr>
                <w:spacing w:val="-1"/>
                <w:sz w:val="18"/>
                <w:szCs w:val="18"/>
              </w:rPr>
              <w:t>②设置段落编号和项目符号</w:t>
            </w:r>
          </w:p>
          <w:p w14:paraId="7AA44F85">
            <w:pPr>
              <w:pStyle w:val="6"/>
              <w:spacing w:before="8" w:line="217" w:lineRule="auto"/>
              <w:ind w:left="252"/>
              <w:rPr>
                <w:sz w:val="18"/>
                <w:szCs w:val="18"/>
              </w:rPr>
            </w:pPr>
            <w:r>
              <w:rPr>
                <w:spacing w:val="-1"/>
                <w:sz w:val="18"/>
                <w:szCs w:val="18"/>
              </w:rPr>
              <w:t>③设置首字下沉</w:t>
            </w:r>
          </w:p>
          <w:p w14:paraId="42615BFE">
            <w:pPr>
              <w:pStyle w:val="6"/>
              <w:spacing w:before="7" w:line="221" w:lineRule="auto"/>
              <w:ind w:left="12" w:right="417" w:firstLine="239"/>
              <w:rPr>
                <w:sz w:val="18"/>
                <w:szCs w:val="18"/>
              </w:rPr>
            </w:pPr>
            <w:r>
              <w:rPr>
                <w:spacing w:val="-1"/>
                <w:sz w:val="18"/>
                <w:szCs w:val="18"/>
              </w:rPr>
              <w:t>④设置段落边框和底纹</w:t>
            </w:r>
            <w:r>
              <w:rPr>
                <w:spacing w:val="3"/>
                <w:sz w:val="18"/>
                <w:szCs w:val="18"/>
              </w:rPr>
              <w:t xml:space="preserve"> </w:t>
            </w:r>
            <w:r>
              <w:rPr>
                <w:spacing w:val="-2"/>
                <w:sz w:val="18"/>
                <w:szCs w:val="18"/>
              </w:rPr>
              <w:t>3.设置页面格式</w:t>
            </w:r>
          </w:p>
          <w:p w14:paraId="0ED7BB7F">
            <w:pPr>
              <w:pStyle w:val="6"/>
              <w:spacing w:line="217" w:lineRule="auto"/>
              <w:ind w:left="241"/>
              <w:rPr>
                <w:sz w:val="18"/>
                <w:szCs w:val="18"/>
              </w:rPr>
            </w:pPr>
            <w:r>
              <w:rPr>
                <w:spacing w:val="-1"/>
                <w:sz w:val="18"/>
                <w:szCs w:val="18"/>
              </w:rPr>
              <w:t>①视图模式与视图的切换</w:t>
            </w:r>
          </w:p>
          <w:p w14:paraId="25D8FA15">
            <w:pPr>
              <w:pStyle w:val="6"/>
              <w:spacing w:before="19" w:line="219" w:lineRule="auto"/>
              <w:ind w:left="12" w:firstLine="236"/>
              <w:rPr>
                <w:sz w:val="18"/>
                <w:szCs w:val="18"/>
              </w:rPr>
            </w:pPr>
            <w:r>
              <w:rPr>
                <w:spacing w:val="4"/>
                <w:sz w:val="18"/>
                <w:szCs w:val="18"/>
              </w:rPr>
              <w:t>②设置页边距、纸张大小、</w:t>
            </w:r>
            <w:r>
              <w:rPr>
                <w:spacing w:val="6"/>
                <w:sz w:val="18"/>
                <w:szCs w:val="18"/>
              </w:rPr>
              <w:t xml:space="preserve"> </w:t>
            </w:r>
            <w:r>
              <w:rPr>
                <w:spacing w:val="-4"/>
                <w:sz w:val="18"/>
                <w:szCs w:val="18"/>
              </w:rPr>
              <w:t>版式</w:t>
            </w:r>
          </w:p>
          <w:p w14:paraId="69B7EC96">
            <w:pPr>
              <w:pStyle w:val="6"/>
              <w:spacing w:before="25" w:line="213" w:lineRule="auto"/>
              <w:ind w:left="12"/>
              <w:rPr>
                <w:sz w:val="18"/>
                <w:szCs w:val="18"/>
              </w:rPr>
            </w:pPr>
            <w:r>
              <w:rPr>
                <w:spacing w:val="-1"/>
                <w:sz w:val="18"/>
                <w:szCs w:val="18"/>
              </w:rPr>
              <w:t>4.其他格式设置</w:t>
            </w:r>
          </w:p>
          <w:p w14:paraId="5E160EE2">
            <w:pPr>
              <w:pStyle w:val="6"/>
              <w:spacing w:line="204" w:lineRule="auto"/>
              <w:ind w:left="252"/>
              <w:rPr>
                <w:sz w:val="18"/>
                <w:szCs w:val="18"/>
              </w:rPr>
            </w:pPr>
            <w:r>
              <w:rPr>
                <w:spacing w:val="-2"/>
                <w:sz w:val="18"/>
                <w:szCs w:val="18"/>
              </w:rPr>
              <w:t>①设置分栏</w:t>
            </w:r>
          </w:p>
        </w:tc>
        <w:tc>
          <w:tcPr>
            <w:tcW w:w="219" w:type="dxa"/>
            <w:vAlign w:val="top"/>
          </w:tcPr>
          <w:p w14:paraId="23689810">
            <w:pPr>
              <w:rPr>
                <w:rFonts w:ascii="Arial"/>
                <w:sz w:val="21"/>
              </w:rPr>
            </w:pPr>
          </w:p>
        </w:tc>
        <w:tc>
          <w:tcPr>
            <w:tcW w:w="230" w:type="dxa"/>
            <w:vAlign w:val="top"/>
          </w:tcPr>
          <w:p w14:paraId="0576CE3B">
            <w:pPr>
              <w:rPr>
                <w:rFonts w:ascii="Arial"/>
                <w:sz w:val="21"/>
              </w:rPr>
            </w:pPr>
          </w:p>
        </w:tc>
        <w:tc>
          <w:tcPr>
            <w:tcW w:w="239" w:type="dxa"/>
            <w:vAlign w:val="top"/>
          </w:tcPr>
          <w:p w14:paraId="0C1F03E1">
            <w:pPr>
              <w:rPr>
                <w:rFonts w:ascii="Arial"/>
                <w:sz w:val="21"/>
              </w:rPr>
            </w:pPr>
          </w:p>
        </w:tc>
        <w:tc>
          <w:tcPr>
            <w:tcW w:w="214" w:type="dxa"/>
            <w:vAlign w:val="top"/>
          </w:tcPr>
          <w:p w14:paraId="37DDC4FC">
            <w:pPr>
              <w:spacing w:line="290" w:lineRule="auto"/>
              <w:rPr>
                <w:rFonts w:ascii="Arial"/>
                <w:sz w:val="21"/>
              </w:rPr>
            </w:pPr>
          </w:p>
          <w:p w14:paraId="337CC231">
            <w:pPr>
              <w:pStyle w:val="6"/>
              <w:spacing w:before="42" w:line="238" w:lineRule="auto"/>
              <w:ind w:left="40"/>
              <w:rPr>
                <w:sz w:val="13"/>
                <w:szCs w:val="13"/>
              </w:rPr>
            </w:pPr>
            <w:r>
              <w:rPr>
                <w:sz w:val="13"/>
                <w:szCs w:val="13"/>
              </w:rPr>
              <w:t>√</w:t>
            </w:r>
          </w:p>
          <w:p w14:paraId="67334B4A">
            <w:pPr>
              <w:spacing w:line="247" w:lineRule="auto"/>
              <w:rPr>
                <w:rFonts w:ascii="Arial"/>
                <w:sz w:val="21"/>
              </w:rPr>
            </w:pPr>
          </w:p>
          <w:p w14:paraId="1BAEAE52">
            <w:pPr>
              <w:spacing w:line="247" w:lineRule="auto"/>
              <w:rPr>
                <w:rFonts w:ascii="Arial"/>
                <w:sz w:val="21"/>
              </w:rPr>
            </w:pPr>
          </w:p>
          <w:p w14:paraId="7877230F">
            <w:pPr>
              <w:spacing w:line="131" w:lineRule="exact"/>
              <w:ind w:left="42"/>
            </w:pPr>
            <w:r>
              <w:rPr>
                <w:position w:val="-3"/>
              </w:rPr>
              <w:drawing>
                <wp:inline distT="0" distB="0" distL="0" distR="0">
                  <wp:extent cx="91440" cy="82550"/>
                  <wp:effectExtent l="0" t="0" r="0" b="0"/>
                  <wp:docPr id="212" name="IM 212"/>
                  <wp:cNvGraphicFramePr/>
                  <a:graphic xmlns:a="http://schemas.openxmlformats.org/drawingml/2006/main">
                    <a:graphicData uri="http://schemas.openxmlformats.org/drawingml/2006/picture">
                      <pic:pic xmlns:pic="http://schemas.openxmlformats.org/drawingml/2006/picture">
                        <pic:nvPicPr>
                          <pic:cNvPr id="212" name="IM 212"/>
                          <pic:cNvPicPr/>
                        </pic:nvPicPr>
                        <pic:blipFill>
                          <a:blip r:embed="rId271"/>
                          <a:stretch>
                            <a:fillRect/>
                          </a:stretch>
                        </pic:blipFill>
                        <pic:spPr>
                          <a:xfrm>
                            <a:off x="0" y="0"/>
                            <a:ext cx="91446" cy="82983"/>
                          </a:xfrm>
                          <a:prstGeom prst="rect">
                            <a:avLst/>
                          </a:prstGeom>
                        </pic:spPr>
                      </pic:pic>
                    </a:graphicData>
                  </a:graphic>
                </wp:inline>
              </w:drawing>
            </w:r>
          </w:p>
        </w:tc>
      </w:tr>
    </w:tbl>
    <w:p w14:paraId="2EAD201A">
      <w:pPr>
        <w:pStyle w:val="2"/>
        <w:spacing w:line="104" w:lineRule="auto"/>
        <w:rPr>
          <w:sz w:val="2"/>
        </w:rPr>
      </w:pPr>
    </w:p>
    <w:p w14:paraId="2A18837C">
      <w:pPr>
        <w:pStyle w:val="2"/>
        <w:spacing w:line="14" w:lineRule="auto"/>
        <w:rPr>
          <w:sz w:val="2"/>
        </w:rPr>
      </w:pPr>
      <w:r>
        <w:rPr>
          <w:sz w:val="2"/>
          <w:szCs w:val="2"/>
        </w:rPr>
        <w:br w:type="column"/>
      </w: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33"/>
        <w:gridCol w:w="2484"/>
        <w:gridCol w:w="219"/>
        <w:gridCol w:w="229"/>
        <w:gridCol w:w="230"/>
        <w:gridCol w:w="224"/>
      </w:tblGrid>
      <w:tr w14:paraId="3BA761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0" w:hRule="atLeast"/>
        </w:trPr>
        <w:tc>
          <w:tcPr>
            <w:tcW w:w="733" w:type="dxa"/>
            <w:vMerge w:val="restart"/>
            <w:tcBorders>
              <w:top w:val="single" w:color="000000" w:sz="2" w:space="0"/>
              <w:bottom w:val="nil"/>
            </w:tcBorders>
            <w:vAlign w:val="top"/>
          </w:tcPr>
          <w:p w14:paraId="20649CC6">
            <w:pPr>
              <w:pStyle w:val="6"/>
              <w:spacing w:before="25" w:line="207" w:lineRule="auto"/>
              <w:ind w:left="86" w:hanging="69"/>
              <w:rPr>
                <w:sz w:val="18"/>
                <w:szCs w:val="18"/>
              </w:rPr>
            </w:pPr>
            <w:r>
              <w:rPr>
                <w:b/>
                <w:bCs/>
                <w:spacing w:val="-6"/>
                <w:sz w:val="18"/>
                <w:szCs w:val="18"/>
              </w:rPr>
              <w:t>知识与技</w:t>
            </w:r>
            <w:r>
              <w:rPr>
                <w:sz w:val="18"/>
                <w:szCs w:val="18"/>
              </w:rPr>
              <w:t xml:space="preserve"> </w:t>
            </w:r>
            <w:r>
              <w:rPr>
                <w:b/>
                <w:bCs/>
                <w:sz w:val="18"/>
                <w:szCs w:val="18"/>
              </w:rPr>
              <w:t>能要点</w:t>
            </w:r>
          </w:p>
        </w:tc>
        <w:tc>
          <w:tcPr>
            <w:tcW w:w="2484" w:type="dxa"/>
            <w:vMerge w:val="restart"/>
            <w:tcBorders>
              <w:top w:val="single" w:color="000000" w:sz="2" w:space="0"/>
              <w:bottom w:val="nil"/>
            </w:tcBorders>
            <w:vAlign w:val="top"/>
          </w:tcPr>
          <w:p w14:paraId="01C0748C">
            <w:pPr>
              <w:pStyle w:val="6"/>
              <w:spacing w:before="134" w:line="219" w:lineRule="auto"/>
              <w:ind w:left="924"/>
              <w:rPr>
                <w:sz w:val="18"/>
                <w:szCs w:val="18"/>
              </w:rPr>
            </w:pPr>
            <w:r>
              <w:rPr>
                <w:b/>
                <w:bCs/>
                <w:spacing w:val="5"/>
                <w:sz w:val="18"/>
                <w:szCs w:val="18"/>
              </w:rPr>
              <w:t>考试条目</w:t>
            </w:r>
          </w:p>
        </w:tc>
        <w:tc>
          <w:tcPr>
            <w:tcW w:w="902" w:type="dxa"/>
            <w:gridSpan w:val="4"/>
            <w:tcBorders>
              <w:top w:val="single" w:color="000000" w:sz="2" w:space="0"/>
              <w:bottom w:val="single" w:color="000000" w:sz="2" w:space="0"/>
            </w:tcBorders>
            <w:vAlign w:val="top"/>
          </w:tcPr>
          <w:p w14:paraId="19AA41D9">
            <w:pPr>
              <w:pStyle w:val="6"/>
              <w:spacing w:before="25" w:line="200" w:lineRule="auto"/>
              <w:ind w:left="110"/>
              <w:rPr>
                <w:sz w:val="18"/>
                <w:szCs w:val="18"/>
              </w:rPr>
            </w:pPr>
            <w:r>
              <w:rPr>
                <w:b/>
                <w:bCs/>
                <w:spacing w:val="-4"/>
                <w:sz w:val="18"/>
                <w:szCs w:val="18"/>
              </w:rPr>
              <w:t>考试水平</w:t>
            </w:r>
          </w:p>
        </w:tc>
      </w:tr>
      <w:tr w14:paraId="56E3D8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4" w:hRule="atLeast"/>
        </w:trPr>
        <w:tc>
          <w:tcPr>
            <w:tcW w:w="733" w:type="dxa"/>
            <w:vMerge w:val="continue"/>
            <w:tcBorders>
              <w:top w:val="nil"/>
              <w:bottom w:val="single" w:color="000000" w:sz="2" w:space="0"/>
            </w:tcBorders>
            <w:vAlign w:val="top"/>
          </w:tcPr>
          <w:p w14:paraId="7B51A250">
            <w:pPr>
              <w:rPr>
                <w:rFonts w:ascii="Arial"/>
                <w:sz w:val="21"/>
              </w:rPr>
            </w:pPr>
          </w:p>
        </w:tc>
        <w:tc>
          <w:tcPr>
            <w:tcW w:w="2484" w:type="dxa"/>
            <w:vMerge w:val="continue"/>
            <w:tcBorders>
              <w:top w:val="nil"/>
              <w:bottom w:val="single" w:color="000000" w:sz="2" w:space="0"/>
            </w:tcBorders>
            <w:vAlign w:val="top"/>
          </w:tcPr>
          <w:p w14:paraId="1EB04F05">
            <w:pPr>
              <w:rPr>
                <w:rFonts w:ascii="Arial"/>
                <w:sz w:val="21"/>
              </w:rPr>
            </w:pPr>
          </w:p>
        </w:tc>
        <w:tc>
          <w:tcPr>
            <w:tcW w:w="219" w:type="dxa"/>
            <w:tcBorders>
              <w:top w:val="single" w:color="000000" w:sz="2" w:space="0"/>
              <w:bottom w:val="single" w:color="000000" w:sz="2" w:space="0"/>
            </w:tcBorders>
            <w:vAlign w:val="top"/>
          </w:tcPr>
          <w:p w14:paraId="523831A3">
            <w:pPr>
              <w:pStyle w:val="6"/>
              <w:spacing w:before="47" w:line="147" w:lineRule="exact"/>
              <w:ind w:left="18"/>
              <w:rPr>
                <w:sz w:val="18"/>
                <w:szCs w:val="18"/>
              </w:rPr>
            </w:pPr>
            <w:r>
              <w:rPr>
                <w:position w:val="-2"/>
                <w:sz w:val="18"/>
                <w:szCs w:val="18"/>
              </w:rPr>
              <w:t>A</w:t>
            </w:r>
          </w:p>
        </w:tc>
        <w:tc>
          <w:tcPr>
            <w:tcW w:w="229" w:type="dxa"/>
            <w:tcBorders>
              <w:top w:val="single" w:color="000000" w:sz="2" w:space="0"/>
              <w:bottom w:val="single" w:color="000000" w:sz="2" w:space="0"/>
            </w:tcBorders>
            <w:vAlign w:val="top"/>
          </w:tcPr>
          <w:p w14:paraId="2F5B00BE">
            <w:pPr>
              <w:pStyle w:val="6"/>
              <w:spacing w:before="50" w:line="144" w:lineRule="exact"/>
              <w:ind w:left="21"/>
              <w:rPr>
                <w:sz w:val="18"/>
                <w:szCs w:val="18"/>
              </w:rPr>
            </w:pPr>
            <w:r>
              <w:rPr>
                <w:b/>
                <w:bCs/>
                <w:spacing w:val="-2"/>
                <w:position w:val="-2"/>
                <w:sz w:val="18"/>
                <w:szCs w:val="18"/>
              </w:rPr>
              <w:t>B</w:t>
            </w:r>
          </w:p>
        </w:tc>
        <w:tc>
          <w:tcPr>
            <w:tcW w:w="230" w:type="dxa"/>
            <w:tcBorders>
              <w:top w:val="single" w:color="000000" w:sz="2" w:space="0"/>
              <w:bottom w:val="single" w:color="000000" w:sz="2" w:space="0"/>
            </w:tcBorders>
            <w:vAlign w:val="top"/>
          </w:tcPr>
          <w:p w14:paraId="45A61C5C">
            <w:pPr>
              <w:pStyle w:val="6"/>
              <w:spacing w:before="47" w:line="147" w:lineRule="exact"/>
              <w:ind w:left="52"/>
              <w:rPr>
                <w:sz w:val="18"/>
                <w:szCs w:val="18"/>
              </w:rPr>
            </w:pPr>
            <w:r>
              <w:rPr>
                <w:b/>
                <w:bCs/>
                <w:spacing w:val="-2"/>
                <w:position w:val="-2"/>
                <w:sz w:val="18"/>
                <w:szCs w:val="18"/>
              </w:rPr>
              <w:t>C</w:t>
            </w:r>
          </w:p>
        </w:tc>
        <w:tc>
          <w:tcPr>
            <w:tcW w:w="224" w:type="dxa"/>
            <w:tcBorders>
              <w:top w:val="single" w:color="000000" w:sz="2" w:space="0"/>
              <w:bottom w:val="single" w:color="000000" w:sz="2" w:space="0"/>
            </w:tcBorders>
            <w:vAlign w:val="top"/>
          </w:tcPr>
          <w:p w14:paraId="185F2B17">
            <w:pPr>
              <w:pStyle w:val="6"/>
              <w:spacing w:before="50" w:line="144" w:lineRule="exact"/>
              <w:ind w:left="22"/>
              <w:rPr>
                <w:sz w:val="18"/>
                <w:szCs w:val="18"/>
              </w:rPr>
            </w:pPr>
            <w:r>
              <w:rPr>
                <w:b/>
                <w:bCs/>
                <w:spacing w:val="-2"/>
                <w:position w:val="-2"/>
                <w:sz w:val="18"/>
                <w:szCs w:val="18"/>
              </w:rPr>
              <w:t>D</w:t>
            </w:r>
          </w:p>
        </w:tc>
      </w:tr>
      <w:tr w14:paraId="11D2B5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43" w:hRule="atLeast"/>
        </w:trPr>
        <w:tc>
          <w:tcPr>
            <w:tcW w:w="733" w:type="dxa"/>
            <w:tcBorders>
              <w:top w:val="single" w:color="000000" w:sz="2" w:space="0"/>
              <w:bottom w:val="single" w:color="000000" w:sz="2" w:space="0"/>
            </w:tcBorders>
            <w:vAlign w:val="top"/>
          </w:tcPr>
          <w:p w14:paraId="50F95E4B">
            <w:pPr>
              <w:rPr>
                <w:rFonts w:ascii="Arial"/>
                <w:sz w:val="21"/>
              </w:rPr>
            </w:pPr>
          </w:p>
        </w:tc>
        <w:tc>
          <w:tcPr>
            <w:tcW w:w="2484" w:type="dxa"/>
            <w:tcBorders>
              <w:top w:val="single" w:color="000000" w:sz="2" w:space="0"/>
              <w:bottom w:val="single" w:color="000000" w:sz="2" w:space="0"/>
            </w:tcBorders>
            <w:vAlign w:val="top"/>
          </w:tcPr>
          <w:p w14:paraId="0FCA5BE2">
            <w:pPr>
              <w:pStyle w:val="6"/>
              <w:spacing w:before="101" w:line="215" w:lineRule="auto"/>
              <w:ind w:left="12"/>
              <w:rPr>
                <w:sz w:val="18"/>
                <w:szCs w:val="18"/>
              </w:rPr>
            </w:pPr>
            <w:r>
              <w:rPr>
                <w:spacing w:val="1"/>
                <w:sz w:val="18"/>
                <w:szCs w:val="18"/>
              </w:rPr>
              <w:t>②分页与分节控制</w:t>
            </w:r>
          </w:p>
          <w:p w14:paraId="2A96C5C4">
            <w:pPr>
              <w:pStyle w:val="6"/>
              <w:spacing w:line="233" w:lineRule="auto"/>
              <w:ind w:left="12" w:right="1027"/>
              <w:rPr>
                <w:sz w:val="18"/>
                <w:szCs w:val="18"/>
              </w:rPr>
            </w:pPr>
            <w:r>
              <w:rPr>
                <w:spacing w:val="-1"/>
                <w:sz w:val="18"/>
                <w:szCs w:val="18"/>
              </w:rPr>
              <w:t>③设置页眉和页脚</w:t>
            </w:r>
            <w:r>
              <w:rPr>
                <w:spacing w:val="1"/>
                <w:sz w:val="18"/>
                <w:szCs w:val="18"/>
              </w:rPr>
              <w:t xml:space="preserve"> </w:t>
            </w:r>
            <w:r>
              <w:rPr>
                <w:spacing w:val="2"/>
                <w:sz w:val="18"/>
                <w:szCs w:val="18"/>
              </w:rPr>
              <w:t xml:space="preserve">5.格式刷的使用  </w:t>
            </w:r>
            <w:r>
              <w:rPr>
                <w:spacing w:val="3"/>
                <w:sz w:val="18"/>
                <w:szCs w:val="18"/>
              </w:rPr>
              <w:t>6.模板的使用</w:t>
            </w:r>
          </w:p>
          <w:p w14:paraId="26AA9DA5">
            <w:pPr>
              <w:pStyle w:val="6"/>
              <w:spacing w:line="219" w:lineRule="auto"/>
              <w:ind w:left="12"/>
              <w:rPr>
                <w:sz w:val="18"/>
                <w:szCs w:val="18"/>
              </w:rPr>
            </w:pPr>
            <w:r>
              <w:rPr>
                <w:spacing w:val="3"/>
                <w:sz w:val="18"/>
                <w:szCs w:val="18"/>
              </w:rPr>
              <w:t>7.样式的使用</w:t>
            </w:r>
          </w:p>
        </w:tc>
        <w:tc>
          <w:tcPr>
            <w:tcW w:w="219" w:type="dxa"/>
            <w:tcBorders>
              <w:top w:val="single" w:color="000000" w:sz="2" w:space="0"/>
              <w:bottom w:val="single" w:color="000000" w:sz="2" w:space="0"/>
            </w:tcBorders>
            <w:vAlign w:val="top"/>
          </w:tcPr>
          <w:p w14:paraId="205CAC43">
            <w:pPr>
              <w:rPr>
                <w:rFonts w:ascii="Arial"/>
                <w:sz w:val="21"/>
              </w:rPr>
            </w:pPr>
          </w:p>
        </w:tc>
        <w:tc>
          <w:tcPr>
            <w:tcW w:w="229" w:type="dxa"/>
            <w:tcBorders>
              <w:top w:val="single" w:color="000000" w:sz="2" w:space="0"/>
              <w:bottom w:val="single" w:color="000000" w:sz="2" w:space="0"/>
            </w:tcBorders>
            <w:vAlign w:val="top"/>
          </w:tcPr>
          <w:p w14:paraId="66614559">
            <w:pPr>
              <w:rPr>
                <w:rFonts w:ascii="Arial"/>
                <w:sz w:val="21"/>
              </w:rPr>
            </w:pPr>
          </w:p>
        </w:tc>
        <w:tc>
          <w:tcPr>
            <w:tcW w:w="230" w:type="dxa"/>
            <w:tcBorders>
              <w:top w:val="single" w:color="000000" w:sz="2" w:space="0"/>
              <w:bottom w:val="single" w:color="000000" w:sz="2" w:space="0"/>
            </w:tcBorders>
            <w:vAlign w:val="top"/>
          </w:tcPr>
          <w:p w14:paraId="5F5CA7BF">
            <w:pPr>
              <w:rPr>
                <w:rFonts w:ascii="Arial"/>
                <w:sz w:val="21"/>
              </w:rPr>
            </w:pPr>
          </w:p>
        </w:tc>
        <w:tc>
          <w:tcPr>
            <w:tcW w:w="224" w:type="dxa"/>
            <w:tcBorders>
              <w:top w:val="single" w:color="000000" w:sz="2" w:space="0"/>
              <w:bottom w:val="single" w:color="000000" w:sz="2" w:space="0"/>
            </w:tcBorders>
            <w:vAlign w:val="top"/>
          </w:tcPr>
          <w:p w14:paraId="39F154C4">
            <w:pPr>
              <w:rPr>
                <w:rFonts w:ascii="Arial"/>
                <w:sz w:val="21"/>
              </w:rPr>
            </w:pPr>
          </w:p>
        </w:tc>
      </w:tr>
      <w:tr w14:paraId="3CB8F9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03" w:hRule="atLeast"/>
        </w:trPr>
        <w:tc>
          <w:tcPr>
            <w:tcW w:w="733" w:type="dxa"/>
            <w:tcBorders>
              <w:top w:val="single" w:color="000000" w:sz="2" w:space="0"/>
              <w:bottom w:val="single" w:color="000000" w:sz="2" w:space="0"/>
            </w:tcBorders>
            <w:vAlign w:val="top"/>
          </w:tcPr>
          <w:p w14:paraId="063F8F54">
            <w:pPr>
              <w:spacing w:line="280" w:lineRule="auto"/>
              <w:rPr>
                <w:rFonts w:ascii="Arial"/>
                <w:sz w:val="21"/>
              </w:rPr>
            </w:pPr>
          </w:p>
          <w:p w14:paraId="423F1DA8">
            <w:pPr>
              <w:spacing w:line="280" w:lineRule="auto"/>
              <w:rPr>
                <w:rFonts w:ascii="Arial"/>
                <w:sz w:val="21"/>
              </w:rPr>
            </w:pPr>
          </w:p>
          <w:p w14:paraId="26141929">
            <w:pPr>
              <w:spacing w:line="281" w:lineRule="auto"/>
              <w:rPr>
                <w:rFonts w:ascii="Arial"/>
                <w:sz w:val="21"/>
              </w:rPr>
            </w:pPr>
          </w:p>
          <w:p w14:paraId="754F76ED">
            <w:pPr>
              <w:pStyle w:val="6"/>
              <w:spacing w:before="58" w:line="219" w:lineRule="auto"/>
              <w:ind w:left="85"/>
              <w:rPr>
                <w:sz w:val="18"/>
                <w:szCs w:val="18"/>
              </w:rPr>
            </w:pPr>
            <w:r>
              <w:rPr>
                <w:spacing w:val="4"/>
                <w:sz w:val="18"/>
                <w:szCs w:val="18"/>
              </w:rPr>
              <w:t>表格的</w:t>
            </w:r>
          </w:p>
          <w:p w14:paraId="75A6A502">
            <w:pPr>
              <w:pStyle w:val="6"/>
              <w:spacing w:before="16" w:line="219" w:lineRule="auto"/>
              <w:ind w:left="175"/>
              <w:rPr>
                <w:sz w:val="18"/>
                <w:szCs w:val="18"/>
              </w:rPr>
            </w:pPr>
            <w:r>
              <w:rPr>
                <w:spacing w:val="-2"/>
                <w:sz w:val="18"/>
                <w:szCs w:val="18"/>
              </w:rPr>
              <w:t>操作</w:t>
            </w:r>
          </w:p>
        </w:tc>
        <w:tc>
          <w:tcPr>
            <w:tcW w:w="2484" w:type="dxa"/>
            <w:tcBorders>
              <w:top w:val="single" w:color="000000" w:sz="2" w:space="0"/>
              <w:bottom w:val="single" w:color="000000" w:sz="2" w:space="0"/>
            </w:tcBorders>
            <w:vAlign w:val="top"/>
          </w:tcPr>
          <w:p w14:paraId="3D27F1DA">
            <w:pPr>
              <w:pStyle w:val="6"/>
              <w:spacing w:before="34" w:line="225" w:lineRule="auto"/>
              <w:ind w:left="12" w:right="1554"/>
              <w:rPr>
                <w:sz w:val="18"/>
                <w:szCs w:val="18"/>
              </w:rPr>
            </w:pPr>
            <w:r>
              <w:rPr>
                <w:spacing w:val="1"/>
                <w:sz w:val="18"/>
                <w:szCs w:val="18"/>
              </w:rPr>
              <w:t>1.创建表格</w:t>
            </w:r>
            <w:r>
              <w:rPr>
                <w:sz w:val="18"/>
                <w:szCs w:val="18"/>
              </w:rPr>
              <w:t xml:space="preserve"> </w:t>
            </w:r>
            <w:r>
              <w:rPr>
                <w:spacing w:val="-2"/>
                <w:sz w:val="18"/>
                <w:szCs w:val="18"/>
              </w:rPr>
              <w:t>2.编辑表格</w:t>
            </w:r>
          </w:p>
          <w:p w14:paraId="28339E85">
            <w:pPr>
              <w:pStyle w:val="6"/>
              <w:spacing w:line="218" w:lineRule="auto"/>
              <w:ind w:left="12" w:right="78" w:firstLine="230"/>
              <w:rPr>
                <w:sz w:val="18"/>
                <w:szCs w:val="18"/>
              </w:rPr>
            </w:pPr>
            <w:r>
              <w:rPr>
                <w:spacing w:val="-1"/>
                <w:sz w:val="18"/>
                <w:szCs w:val="18"/>
              </w:rPr>
              <w:t>①单元格、行、列操作：选</w:t>
            </w:r>
            <w:r>
              <w:rPr>
                <w:spacing w:val="4"/>
                <w:sz w:val="18"/>
                <w:szCs w:val="18"/>
              </w:rPr>
              <w:t xml:space="preserve"> </w:t>
            </w:r>
            <w:r>
              <w:rPr>
                <w:spacing w:val="1"/>
                <w:sz w:val="18"/>
                <w:szCs w:val="18"/>
              </w:rPr>
              <w:t>定、插入、删除</w:t>
            </w:r>
          </w:p>
          <w:p w14:paraId="3925EF20">
            <w:pPr>
              <w:pStyle w:val="6"/>
              <w:spacing w:before="14" w:line="217" w:lineRule="auto"/>
              <w:ind w:left="251"/>
              <w:rPr>
                <w:sz w:val="18"/>
                <w:szCs w:val="18"/>
              </w:rPr>
            </w:pPr>
            <w:r>
              <w:rPr>
                <w:spacing w:val="-1"/>
                <w:sz w:val="18"/>
                <w:szCs w:val="18"/>
              </w:rPr>
              <w:t>②调整行高与列宽</w:t>
            </w:r>
          </w:p>
          <w:p w14:paraId="66607225">
            <w:pPr>
              <w:pStyle w:val="6"/>
              <w:spacing w:before="7" w:line="221" w:lineRule="auto"/>
              <w:ind w:left="12" w:right="607" w:firstLine="239"/>
              <w:rPr>
                <w:sz w:val="18"/>
                <w:szCs w:val="18"/>
              </w:rPr>
            </w:pPr>
            <w:r>
              <w:rPr>
                <w:spacing w:val="-1"/>
                <w:sz w:val="18"/>
                <w:szCs w:val="18"/>
              </w:rPr>
              <w:t>③合并与拆分单元格</w:t>
            </w:r>
            <w:r>
              <w:rPr>
                <w:spacing w:val="2"/>
                <w:sz w:val="18"/>
                <w:szCs w:val="18"/>
              </w:rPr>
              <w:t xml:space="preserve"> </w:t>
            </w:r>
            <w:r>
              <w:rPr>
                <w:spacing w:val="-2"/>
                <w:sz w:val="18"/>
                <w:szCs w:val="18"/>
              </w:rPr>
              <w:t>3.表格的格式化</w:t>
            </w:r>
          </w:p>
          <w:p w14:paraId="5DB020E7">
            <w:pPr>
              <w:pStyle w:val="6"/>
              <w:spacing w:line="217" w:lineRule="auto"/>
              <w:ind w:left="12"/>
              <w:rPr>
                <w:sz w:val="18"/>
                <w:szCs w:val="18"/>
              </w:rPr>
            </w:pPr>
            <w:r>
              <w:rPr>
                <w:spacing w:val="-1"/>
                <w:sz w:val="18"/>
                <w:szCs w:val="18"/>
              </w:rPr>
              <w:t>①设置表格的边框和底纹</w:t>
            </w:r>
          </w:p>
          <w:p w14:paraId="2595513E">
            <w:pPr>
              <w:pStyle w:val="6"/>
              <w:spacing w:before="38" w:line="195" w:lineRule="auto"/>
              <w:ind w:left="12"/>
              <w:rPr>
                <w:sz w:val="18"/>
                <w:szCs w:val="18"/>
              </w:rPr>
            </w:pPr>
            <w:r>
              <w:rPr>
                <w:spacing w:val="-1"/>
                <w:sz w:val="18"/>
                <w:szCs w:val="18"/>
              </w:rPr>
              <w:t>②表格样式</w:t>
            </w:r>
          </w:p>
          <w:p w14:paraId="14FCEA3F">
            <w:pPr>
              <w:pStyle w:val="6"/>
              <w:spacing w:line="195" w:lineRule="auto"/>
              <w:ind w:left="12"/>
              <w:rPr>
                <w:sz w:val="18"/>
                <w:szCs w:val="18"/>
              </w:rPr>
            </w:pPr>
            <w:r>
              <w:rPr>
                <w:spacing w:val="-1"/>
                <w:sz w:val="18"/>
                <w:szCs w:val="18"/>
              </w:rPr>
              <w:t>③表格与文本的相互转换</w:t>
            </w:r>
          </w:p>
        </w:tc>
        <w:tc>
          <w:tcPr>
            <w:tcW w:w="219" w:type="dxa"/>
            <w:tcBorders>
              <w:top w:val="single" w:color="000000" w:sz="2" w:space="0"/>
              <w:bottom w:val="single" w:color="000000" w:sz="2" w:space="0"/>
            </w:tcBorders>
            <w:vAlign w:val="top"/>
          </w:tcPr>
          <w:p w14:paraId="6CCB52C3">
            <w:pPr>
              <w:rPr>
                <w:rFonts w:ascii="Arial"/>
                <w:sz w:val="21"/>
              </w:rPr>
            </w:pPr>
          </w:p>
        </w:tc>
        <w:tc>
          <w:tcPr>
            <w:tcW w:w="229" w:type="dxa"/>
            <w:tcBorders>
              <w:top w:val="single" w:color="000000" w:sz="2" w:space="0"/>
              <w:bottom w:val="single" w:color="000000" w:sz="2" w:space="0"/>
            </w:tcBorders>
            <w:vAlign w:val="top"/>
          </w:tcPr>
          <w:p w14:paraId="157DCE69">
            <w:pPr>
              <w:rPr>
                <w:rFonts w:ascii="Arial"/>
                <w:sz w:val="21"/>
              </w:rPr>
            </w:pPr>
          </w:p>
        </w:tc>
        <w:tc>
          <w:tcPr>
            <w:tcW w:w="230" w:type="dxa"/>
            <w:tcBorders>
              <w:top w:val="single" w:color="000000" w:sz="2" w:space="0"/>
              <w:bottom w:val="single" w:color="000000" w:sz="2" w:space="0"/>
            </w:tcBorders>
            <w:vAlign w:val="top"/>
          </w:tcPr>
          <w:p w14:paraId="54757AAE">
            <w:pPr>
              <w:rPr>
                <w:rFonts w:ascii="Arial"/>
                <w:sz w:val="21"/>
              </w:rPr>
            </w:pPr>
          </w:p>
        </w:tc>
        <w:tc>
          <w:tcPr>
            <w:tcW w:w="224" w:type="dxa"/>
            <w:tcBorders>
              <w:top w:val="single" w:color="000000" w:sz="2" w:space="0"/>
              <w:bottom w:val="single" w:color="000000" w:sz="2" w:space="0"/>
            </w:tcBorders>
            <w:vAlign w:val="top"/>
          </w:tcPr>
          <w:p w14:paraId="1B0B6F20">
            <w:pPr>
              <w:spacing w:line="259" w:lineRule="auto"/>
              <w:rPr>
                <w:rFonts w:ascii="Arial"/>
                <w:sz w:val="21"/>
              </w:rPr>
            </w:pPr>
          </w:p>
          <w:p w14:paraId="68589F5D">
            <w:pPr>
              <w:spacing w:line="259" w:lineRule="auto"/>
              <w:rPr>
                <w:rFonts w:ascii="Arial"/>
                <w:sz w:val="21"/>
              </w:rPr>
            </w:pPr>
          </w:p>
          <w:p w14:paraId="7E28CBC4">
            <w:pPr>
              <w:spacing w:line="259" w:lineRule="auto"/>
              <w:rPr>
                <w:rFonts w:ascii="Arial"/>
                <w:sz w:val="21"/>
              </w:rPr>
            </w:pPr>
          </w:p>
          <w:p w14:paraId="18115D49">
            <w:pPr>
              <w:spacing w:line="259" w:lineRule="auto"/>
              <w:rPr>
                <w:rFonts w:ascii="Arial"/>
                <w:sz w:val="21"/>
              </w:rPr>
            </w:pPr>
          </w:p>
          <w:p w14:paraId="1D83896B">
            <w:pPr>
              <w:spacing w:line="260" w:lineRule="auto"/>
              <w:rPr>
                <w:rFonts w:ascii="Arial"/>
                <w:sz w:val="21"/>
              </w:rPr>
            </w:pPr>
          </w:p>
          <w:p w14:paraId="5DDF0A31">
            <w:pPr>
              <w:spacing w:line="260" w:lineRule="auto"/>
              <w:rPr>
                <w:rFonts w:ascii="Arial"/>
                <w:sz w:val="21"/>
              </w:rPr>
            </w:pPr>
          </w:p>
          <w:p w14:paraId="751AB6C3">
            <w:pPr>
              <w:spacing w:line="260" w:lineRule="auto"/>
              <w:rPr>
                <w:rFonts w:ascii="Arial"/>
                <w:sz w:val="21"/>
              </w:rPr>
            </w:pPr>
          </w:p>
          <w:p w14:paraId="5F2A3F8A">
            <w:pPr>
              <w:spacing w:line="145" w:lineRule="exact"/>
            </w:pPr>
            <w:r>
              <w:rPr>
                <w:position w:val="-2"/>
              </w:rPr>
              <w:drawing>
                <wp:inline distT="0" distB="0" distL="0" distR="0">
                  <wp:extent cx="116840" cy="91440"/>
                  <wp:effectExtent l="0" t="0" r="0" b="0"/>
                  <wp:docPr id="214" name="IM 214"/>
                  <wp:cNvGraphicFramePr/>
                  <a:graphic xmlns:a="http://schemas.openxmlformats.org/drawingml/2006/main">
                    <a:graphicData uri="http://schemas.openxmlformats.org/drawingml/2006/picture">
                      <pic:pic xmlns:pic="http://schemas.openxmlformats.org/drawingml/2006/picture">
                        <pic:nvPicPr>
                          <pic:cNvPr id="214" name="IM 214"/>
                          <pic:cNvPicPr/>
                        </pic:nvPicPr>
                        <pic:blipFill>
                          <a:blip r:embed="rId272"/>
                          <a:stretch>
                            <a:fillRect/>
                          </a:stretch>
                        </pic:blipFill>
                        <pic:spPr>
                          <a:xfrm>
                            <a:off x="0" y="0"/>
                            <a:ext cx="116850" cy="92049"/>
                          </a:xfrm>
                          <a:prstGeom prst="rect">
                            <a:avLst/>
                          </a:prstGeom>
                        </pic:spPr>
                      </pic:pic>
                    </a:graphicData>
                  </a:graphic>
                </wp:inline>
              </w:drawing>
            </w:r>
          </w:p>
        </w:tc>
      </w:tr>
      <w:tr w14:paraId="01BB7C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94" w:hRule="atLeast"/>
        </w:trPr>
        <w:tc>
          <w:tcPr>
            <w:tcW w:w="733" w:type="dxa"/>
            <w:tcBorders>
              <w:top w:val="single" w:color="000000" w:sz="2" w:space="0"/>
              <w:bottom w:val="single" w:color="000000" w:sz="2" w:space="0"/>
            </w:tcBorders>
            <w:vAlign w:val="top"/>
          </w:tcPr>
          <w:p w14:paraId="695E9D78">
            <w:pPr>
              <w:pStyle w:val="6"/>
              <w:spacing w:before="268" w:line="207" w:lineRule="auto"/>
              <w:ind w:left="85"/>
              <w:rPr>
                <w:sz w:val="18"/>
                <w:szCs w:val="18"/>
              </w:rPr>
            </w:pPr>
            <w:r>
              <w:rPr>
                <w:spacing w:val="2"/>
                <w:sz w:val="18"/>
                <w:szCs w:val="18"/>
              </w:rPr>
              <w:t>图文表</w:t>
            </w:r>
          </w:p>
          <w:p w14:paraId="25D55AD4">
            <w:pPr>
              <w:pStyle w:val="6"/>
              <w:spacing w:line="222" w:lineRule="auto"/>
              <w:ind w:left="175"/>
              <w:rPr>
                <w:sz w:val="18"/>
                <w:szCs w:val="18"/>
              </w:rPr>
            </w:pPr>
            <w:r>
              <w:rPr>
                <w:spacing w:val="-3"/>
                <w:sz w:val="18"/>
                <w:szCs w:val="18"/>
              </w:rPr>
              <w:t>混合</w:t>
            </w:r>
          </w:p>
          <w:p w14:paraId="64F62DEE">
            <w:pPr>
              <w:pStyle w:val="6"/>
              <w:spacing w:line="220" w:lineRule="auto"/>
              <w:ind w:left="175"/>
              <w:rPr>
                <w:sz w:val="18"/>
                <w:szCs w:val="18"/>
              </w:rPr>
            </w:pPr>
            <w:r>
              <w:rPr>
                <w:spacing w:val="-2"/>
                <w:sz w:val="18"/>
                <w:szCs w:val="18"/>
              </w:rPr>
              <w:t>排版</w:t>
            </w:r>
          </w:p>
        </w:tc>
        <w:tc>
          <w:tcPr>
            <w:tcW w:w="2484" w:type="dxa"/>
            <w:tcBorders>
              <w:top w:val="single" w:color="000000" w:sz="2" w:space="0"/>
              <w:bottom w:val="single" w:color="000000" w:sz="2" w:space="0"/>
            </w:tcBorders>
            <w:vAlign w:val="top"/>
          </w:tcPr>
          <w:p w14:paraId="427C2EB5">
            <w:pPr>
              <w:pStyle w:val="6"/>
              <w:spacing w:before="36" w:line="219" w:lineRule="auto"/>
              <w:ind w:left="12"/>
              <w:rPr>
                <w:sz w:val="18"/>
                <w:szCs w:val="18"/>
              </w:rPr>
            </w:pPr>
            <w:r>
              <w:rPr>
                <w:sz w:val="18"/>
                <w:szCs w:val="18"/>
              </w:rPr>
              <w:t>1.插入与编辑图片、艺术字</w:t>
            </w:r>
          </w:p>
          <w:p w14:paraId="5C5821A7">
            <w:pPr>
              <w:pStyle w:val="6"/>
              <w:spacing w:before="16" w:line="219" w:lineRule="auto"/>
              <w:ind w:left="12" w:right="671"/>
              <w:jc w:val="both"/>
              <w:rPr>
                <w:sz w:val="18"/>
                <w:szCs w:val="18"/>
              </w:rPr>
            </w:pPr>
            <w:r>
              <w:rPr>
                <w:spacing w:val="-1"/>
                <w:sz w:val="18"/>
                <w:szCs w:val="18"/>
              </w:rPr>
              <w:t>2.插入与编辑形状图形</w:t>
            </w:r>
            <w:r>
              <w:rPr>
                <w:sz w:val="18"/>
                <w:szCs w:val="18"/>
              </w:rPr>
              <w:t xml:space="preserve"> </w:t>
            </w:r>
            <w:r>
              <w:rPr>
                <w:spacing w:val="-1"/>
                <w:sz w:val="18"/>
                <w:szCs w:val="18"/>
              </w:rPr>
              <w:t>3.插入与编辑数学公式</w:t>
            </w:r>
            <w:r>
              <w:rPr>
                <w:sz w:val="18"/>
                <w:szCs w:val="18"/>
              </w:rPr>
              <w:t xml:space="preserve"> </w:t>
            </w:r>
            <w:r>
              <w:rPr>
                <w:spacing w:val="2"/>
                <w:sz w:val="18"/>
                <w:szCs w:val="18"/>
              </w:rPr>
              <w:t>4.文本框的使用</w:t>
            </w:r>
          </w:p>
          <w:p w14:paraId="7BD529A9">
            <w:pPr>
              <w:pStyle w:val="6"/>
              <w:spacing w:line="181" w:lineRule="auto"/>
              <w:ind w:left="12"/>
              <w:rPr>
                <w:sz w:val="18"/>
                <w:szCs w:val="18"/>
              </w:rPr>
            </w:pPr>
            <w:r>
              <w:rPr>
                <w:spacing w:val="-1"/>
                <w:sz w:val="18"/>
                <w:szCs w:val="18"/>
              </w:rPr>
              <w:t>5.图、文、表混排</w:t>
            </w:r>
          </w:p>
        </w:tc>
        <w:tc>
          <w:tcPr>
            <w:tcW w:w="219" w:type="dxa"/>
            <w:tcBorders>
              <w:top w:val="single" w:color="000000" w:sz="2" w:space="0"/>
              <w:bottom w:val="single" w:color="000000" w:sz="2" w:space="0"/>
            </w:tcBorders>
            <w:vAlign w:val="top"/>
          </w:tcPr>
          <w:p w14:paraId="7B7DDC4C">
            <w:pPr>
              <w:rPr>
                <w:rFonts w:ascii="Arial"/>
                <w:sz w:val="21"/>
              </w:rPr>
            </w:pPr>
          </w:p>
        </w:tc>
        <w:tc>
          <w:tcPr>
            <w:tcW w:w="229" w:type="dxa"/>
            <w:tcBorders>
              <w:top w:val="single" w:color="000000" w:sz="2" w:space="0"/>
              <w:bottom w:val="single" w:color="000000" w:sz="2" w:space="0"/>
            </w:tcBorders>
            <w:vAlign w:val="top"/>
          </w:tcPr>
          <w:p w14:paraId="40827328">
            <w:pPr>
              <w:rPr>
                <w:rFonts w:ascii="Arial"/>
                <w:sz w:val="21"/>
              </w:rPr>
            </w:pPr>
          </w:p>
        </w:tc>
        <w:tc>
          <w:tcPr>
            <w:tcW w:w="230" w:type="dxa"/>
            <w:tcBorders>
              <w:top w:val="single" w:color="000000" w:sz="2" w:space="0"/>
              <w:bottom w:val="single" w:color="000000" w:sz="2" w:space="0"/>
            </w:tcBorders>
            <w:vAlign w:val="top"/>
          </w:tcPr>
          <w:p w14:paraId="15A36DB1">
            <w:pPr>
              <w:rPr>
                <w:rFonts w:ascii="Arial"/>
                <w:sz w:val="21"/>
              </w:rPr>
            </w:pPr>
          </w:p>
        </w:tc>
        <w:tc>
          <w:tcPr>
            <w:tcW w:w="224" w:type="dxa"/>
            <w:tcBorders>
              <w:top w:val="single" w:color="000000" w:sz="2" w:space="0"/>
              <w:bottom w:val="single" w:color="000000" w:sz="2" w:space="0"/>
            </w:tcBorders>
            <w:vAlign w:val="top"/>
          </w:tcPr>
          <w:p w14:paraId="546C40A7">
            <w:pPr>
              <w:rPr>
                <w:rFonts w:ascii="Arial"/>
                <w:sz w:val="21"/>
              </w:rPr>
            </w:pPr>
          </w:p>
        </w:tc>
      </w:tr>
      <w:tr w14:paraId="19BAA7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6" w:hRule="atLeast"/>
        </w:trPr>
        <w:tc>
          <w:tcPr>
            <w:tcW w:w="733" w:type="dxa"/>
            <w:vMerge w:val="restart"/>
            <w:tcBorders>
              <w:top w:val="single" w:color="000000" w:sz="2" w:space="0"/>
              <w:bottom w:val="nil"/>
            </w:tcBorders>
            <w:vAlign w:val="top"/>
          </w:tcPr>
          <w:p w14:paraId="32A3D7AD">
            <w:pPr>
              <w:pStyle w:val="6"/>
              <w:spacing w:before="124" w:line="217" w:lineRule="auto"/>
              <w:ind w:left="85" w:right="107" w:firstLine="89"/>
              <w:jc w:val="both"/>
              <w:rPr>
                <w:sz w:val="18"/>
                <w:szCs w:val="18"/>
              </w:rPr>
            </w:pPr>
            <w:r>
              <w:rPr>
                <w:spacing w:val="-1"/>
                <w:sz w:val="18"/>
                <w:szCs w:val="18"/>
              </w:rPr>
              <w:t>Word</w:t>
            </w:r>
            <w:r>
              <w:rPr>
                <w:sz w:val="18"/>
                <w:szCs w:val="18"/>
              </w:rPr>
              <w:t xml:space="preserve">  </w:t>
            </w:r>
            <w:r>
              <w:rPr>
                <w:spacing w:val="-2"/>
                <w:sz w:val="18"/>
                <w:szCs w:val="18"/>
              </w:rPr>
              <w:t>2016高</w:t>
            </w:r>
            <w:r>
              <w:rPr>
                <w:sz w:val="18"/>
                <w:szCs w:val="18"/>
              </w:rPr>
              <w:t xml:space="preserve"> </w:t>
            </w:r>
            <w:r>
              <w:rPr>
                <w:spacing w:val="-4"/>
                <w:sz w:val="18"/>
                <w:szCs w:val="18"/>
              </w:rPr>
              <w:t>级功能</w:t>
            </w:r>
          </w:p>
        </w:tc>
        <w:tc>
          <w:tcPr>
            <w:tcW w:w="2484" w:type="dxa"/>
            <w:tcBorders>
              <w:top w:val="single" w:color="000000" w:sz="2" w:space="0"/>
              <w:bottom w:val="nil"/>
            </w:tcBorders>
            <w:vAlign w:val="top"/>
          </w:tcPr>
          <w:p w14:paraId="270D15C9">
            <w:pPr>
              <w:pStyle w:val="6"/>
              <w:spacing w:before="96" w:line="194" w:lineRule="auto"/>
              <w:ind w:left="12"/>
              <w:rPr>
                <w:sz w:val="18"/>
                <w:szCs w:val="18"/>
              </w:rPr>
            </w:pPr>
            <w:r>
              <w:rPr>
                <w:sz w:val="18"/>
                <w:szCs w:val="18"/>
              </w:rPr>
              <w:t>1.创建文档目录、脚注、尾注</w:t>
            </w:r>
          </w:p>
        </w:tc>
        <w:tc>
          <w:tcPr>
            <w:tcW w:w="219" w:type="dxa"/>
            <w:tcBorders>
              <w:top w:val="single" w:color="000000" w:sz="2" w:space="0"/>
              <w:bottom w:val="nil"/>
            </w:tcBorders>
            <w:vAlign w:val="top"/>
          </w:tcPr>
          <w:p w14:paraId="61E3761C">
            <w:pPr>
              <w:rPr>
                <w:rFonts w:ascii="Arial"/>
                <w:sz w:val="21"/>
              </w:rPr>
            </w:pPr>
          </w:p>
        </w:tc>
        <w:tc>
          <w:tcPr>
            <w:tcW w:w="229" w:type="dxa"/>
            <w:tcBorders>
              <w:top w:val="single" w:color="000000" w:sz="2" w:space="0"/>
              <w:bottom w:val="nil"/>
            </w:tcBorders>
            <w:vAlign w:val="top"/>
          </w:tcPr>
          <w:p w14:paraId="4CB643A2">
            <w:pPr>
              <w:rPr>
                <w:rFonts w:ascii="Arial"/>
                <w:sz w:val="21"/>
              </w:rPr>
            </w:pPr>
          </w:p>
        </w:tc>
        <w:tc>
          <w:tcPr>
            <w:tcW w:w="230" w:type="dxa"/>
            <w:tcBorders>
              <w:top w:val="single" w:color="000000" w:sz="2" w:space="0"/>
              <w:bottom w:val="nil"/>
            </w:tcBorders>
            <w:vAlign w:val="top"/>
          </w:tcPr>
          <w:p w14:paraId="01F7ECF9">
            <w:pPr>
              <w:rPr>
                <w:rFonts w:ascii="Arial"/>
                <w:sz w:val="21"/>
              </w:rPr>
            </w:pPr>
          </w:p>
        </w:tc>
        <w:tc>
          <w:tcPr>
            <w:tcW w:w="224" w:type="dxa"/>
            <w:tcBorders>
              <w:top w:val="single" w:color="000000" w:sz="2" w:space="0"/>
              <w:bottom w:val="nil"/>
            </w:tcBorders>
            <w:vAlign w:val="top"/>
          </w:tcPr>
          <w:p w14:paraId="173C673B">
            <w:pPr>
              <w:rPr>
                <w:rFonts w:ascii="Arial"/>
                <w:sz w:val="21"/>
              </w:rPr>
            </w:pPr>
          </w:p>
        </w:tc>
      </w:tr>
      <w:tr w14:paraId="39B051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9" w:hRule="atLeast"/>
        </w:trPr>
        <w:tc>
          <w:tcPr>
            <w:tcW w:w="733" w:type="dxa"/>
            <w:vMerge w:val="continue"/>
            <w:tcBorders>
              <w:top w:val="nil"/>
              <w:bottom w:val="nil"/>
            </w:tcBorders>
            <w:vAlign w:val="top"/>
          </w:tcPr>
          <w:p w14:paraId="6C7CB170">
            <w:pPr>
              <w:rPr>
                <w:rFonts w:ascii="Arial"/>
                <w:sz w:val="21"/>
              </w:rPr>
            </w:pPr>
          </w:p>
        </w:tc>
        <w:tc>
          <w:tcPr>
            <w:tcW w:w="2484" w:type="dxa"/>
            <w:tcBorders>
              <w:top w:val="nil"/>
              <w:bottom w:val="nil"/>
            </w:tcBorders>
            <w:vAlign w:val="top"/>
          </w:tcPr>
          <w:p w14:paraId="7406C753">
            <w:pPr>
              <w:pStyle w:val="6"/>
              <w:spacing w:before="30" w:line="183" w:lineRule="auto"/>
              <w:ind w:left="12"/>
              <w:rPr>
                <w:sz w:val="18"/>
                <w:szCs w:val="18"/>
              </w:rPr>
            </w:pPr>
            <w:r>
              <w:rPr>
                <w:spacing w:val="-1"/>
                <w:sz w:val="18"/>
                <w:szCs w:val="18"/>
              </w:rPr>
              <w:t>2.邮件合并功能</w:t>
            </w:r>
          </w:p>
        </w:tc>
        <w:tc>
          <w:tcPr>
            <w:tcW w:w="219" w:type="dxa"/>
            <w:tcBorders>
              <w:top w:val="nil"/>
              <w:bottom w:val="nil"/>
            </w:tcBorders>
            <w:vAlign w:val="top"/>
          </w:tcPr>
          <w:p w14:paraId="40B57E4A">
            <w:pPr>
              <w:spacing w:line="209" w:lineRule="exact"/>
              <w:rPr>
                <w:rFonts w:ascii="Arial"/>
                <w:sz w:val="18"/>
              </w:rPr>
            </w:pPr>
          </w:p>
        </w:tc>
        <w:tc>
          <w:tcPr>
            <w:tcW w:w="229" w:type="dxa"/>
            <w:tcBorders>
              <w:top w:val="nil"/>
              <w:bottom w:val="nil"/>
            </w:tcBorders>
            <w:vAlign w:val="top"/>
          </w:tcPr>
          <w:p w14:paraId="115594F1">
            <w:pPr>
              <w:spacing w:line="209" w:lineRule="exact"/>
              <w:rPr>
                <w:rFonts w:ascii="Arial"/>
                <w:sz w:val="18"/>
              </w:rPr>
            </w:pPr>
          </w:p>
        </w:tc>
        <w:tc>
          <w:tcPr>
            <w:tcW w:w="230" w:type="dxa"/>
            <w:tcBorders>
              <w:top w:val="nil"/>
              <w:bottom w:val="nil"/>
            </w:tcBorders>
            <w:vAlign w:val="top"/>
          </w:tcPr>
          <w:p w14:paraId="48827993">
            <w:pPr>
              <w:spacing w:line="209" w:lineRule="exact"/>
              <w:rPr>
                <w:rFonts w:ascii="Arial"/>
                <w:sz w:val="18"/>
              </w:rPr>
            </w:pPr>
          </w:p>
        </w:tc>
        <w:tc>
          <w:tcPr>
            <w:tcW w:w="224" w:type="dxa"/>
            <w:tcBorders>
              <w:top w:val="nil"/>
              <w:bottom w:val="nil"/>
            </w:tcBorders>
            <w:vAlign w:val="top"/>
          </w:tcPr>
          <w:p w14:paraId="08E0AE1C">
            <w:pPr>
              <w:spacing w:line="209" w:lineRule="exact"/>
              <w:rPr>
                <w:rFonts w:ascii="Arial"/>
                <w:sz w:val="18"/>
              </w:rPr>
            </w:pPr>
          </w:p>
        </w:tc>
      </w:tr>
      <w:tr w14:paraId="7FC3AE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4" w:hRule="atLeast"/>
        </w:trPr>
        <w:tc>
          <w:tcPr>
            <w:tcW w:w="733" w:type="dxa"/>
            <w:vMerge w:val="continue"/>
            <w:tcBorders>
              <w:top w:val="nil"/>
              <w:bottom w:val="single" w:color="000000" w:sz="2" w:space="0"/>
            </w:tcBorders>
            <w:vAlign w:val="top"/>
          </w:tcPr>
          <w:p w14:paraId="2B8EFBF2">
            <w:pPr>
              <w:rPr>
                <w:rFonts w:ascii="Arial"/>
                <w:sz w:val="21"/>
              </w:rPr>
            </w:pPr>
          </w:p>
        </w:tc>
        <w:tc>
          <w:tcPr>
            <w:tcW w:w="2484" w:type="dxa"/>
            <w:tcBorders>
              <w:top w:val="nil"/>
              <w:bottom w:val="single" w:color="000000" w:sz="2" w:space="0"/>
            </w:tcBorders>
            <w:vAlign w:val="top"/>
          </w:tcPr>
          <w:p w14:paraId="311EABD3">
            <w:pPr>
              <w:pStyle w:val="6"/>
              <w:spacing w:before="22" w:line="219" w:lineRule="auto"/>
              <w:ind w:left="12"/>
              <w:rPr>
                <w:sz w:val="18"/>
                <w:szCs w:val="18"/>
              </w:rPr>
            </w:pPr>
            <w:r>
              <w:rPr>
                <w:spacing w:val="-2"/>
                <w:sz w:val="18"/>
                <w:szCs w:val="18"/>
              </w:rPr>
              <w:t>3.修订和批注功能</w:t>
            </w:r>
          </w:p>
        </w:tc>
        <w:tc>
          <w:tcPr>
            <w:tcW w:w="219" w:type="dxa"/>
            <w:tcBorders>
              <w:top w:val="nil"/>
              <w:bottom w:val="single" w:color="000000" w:sz="2" w:space="0"/>
            </w:tcBorders>
            <w:vAlign w:val="top"/>
          </w:tcPr>
          <w:p w14:paraId="374A190E">
            <w:pPr>
              <w:rPr>
                <w:rFonts w:ascii="Arial"/>
                <w:sz w:val="21"/>
              </w:rPr>
            </w:pPr>
          </w:p>
        </w:tc>
        <w:tc>
          <w:tcPr>
            <w:tcW w:w="229" w:type="dxa"/>
            <w:tcBorders>
              <w:top w:val="nil"/>
              <w:bottom w:val="single" w:color="000000" w:sz="2" w:space="0"/>
            </w:tcBorders>
            <w:vAlign w:val="top"/>
          </w:tcPr>
          <w:p w14:paraId="6E11B05B">
            <w:pPr>
              <w:rPr>
                <w:rFonts w:ascii="Arial"/>
                <w:sz w:val="21"/>
              </w:rPr>
            </w:pPr>
          </w:p>
        </w:tc>
        <w:tc>
          <w:tcPr>
            <w:tcW w:w="230" w:type="dxa"/>
            <w:tcBorders>
              <w:top w:val="nil"/>
              <w:bottom w:val="single" w:color="000000" w:sz="2" w:space="0"/>
            </w:tcBorders>
            <w:vAlign w:val="top"/>
          </w:tcPr>
          <w:p w14:paraId="04121AB3">
            <w:pPr>
              <w:rPr>
                <w:rFonts w:ascii="Arial"/>
                <w:sz w:val="21"/>
              </w:rPr>
            </w:pPr>
          </w:p>
        </w:tc>
        <w:tc>
          <w:tcPr>
            <w:tcW w:w="224" w:type="dxa"/>
            <w:tcBorders>
              <w:top w:val="nil"/>
              <w:bottom w:val="single" w:color="000000" w:sz="2" w:space="0"/>
            </w:tcBorders>
            <w:vAlign w:val="top"/>
          </w:tcPr>
          <w:p w14:paraId="50F5C396">
            <w:pPr>
              <w:rPr>
                <w:rFonts w:ascii="Arial"/>
                <w:sz w:val="21"/>
              </w:rPr>
            </w:pPr>
          </w:p>
        </w:tc>
      </w:tr>
    </w:tbl>
    <w:p w14:paraId="57CA1367">
      <w:pPr>
        <w:spacing w:before="152" w:line="212" w:lineRule="auto"/>
        <w:ind w:left="425"/>
        <w:rPr>
          <w:rFonts w:ascii="Times New Roman" w:hAnsi="Times New Roman" w:eastAsia="Times New Roman" w:cs="Times New Roman"/>
          <w:sz w:val="17"/>
          <w:szCs w:val="17"/>
        </w:rPr>
      </w:pPr>
      <w:r>
        <w:rPr>
          <w:rFonts w:ascii="宋体" w:hAnsi="宋体" w:eastAsia="宋体" w:cs="宋体"/>
          <w:spacing w:val="7"/>
          <w:sz w:val="17"/>
          <w:szCs w:val="17"/>
        </w:rPr>
        <w:t>(四)数据处理</w:t>
      </w:r>
      <w:r>
        <w:rPr>
          <w:rFonts w:ascii="宋体" w:hAnsi="宋体" w:eastAsia="宋体" w:cs="宋体"/>
          <w:spacing w:val="-38"/>
          <w:sz w:val="17"/>
          <w:szCs w:val="17"/>
        </w:rPr>
        <w:t xml:space="preserve"> </w:t>
      </w:r>
      <w:r>
        <w:rPr>
          <w:rFonts w:ascii="Times New Roman" w:hAnsi="Times New Roman" w:eastAsia="Times New Roman" w:cs="Times New Roman"/>
          <w:spacing w:val="7"/>
          <w:sz w:val="17"/>
          <w:szCs w:val="17"/>
        </w:rPr>
        <w:t>(</w:t>
      </w:r>
      <w:r>
        <w:rPr>
          <w:rFonts w:ascii="Times New Roman" w:hAnsi="Times New Roman" w:eastAsia="Times New Roman" w:cs="Times New Roman"/>
          <w:sz w:val="17"/>
          <w:szCs w:val="17"/>
        </w:rPr>
        <w:t>Excel</w:t>
      </w:r>
      <w:r>
        <w:rPr>
          <w:rFonts w:ascii="Times New Roman" w:hAnsi="Times New Roman" w:eastAsia="Times New Roman" w:cs="Times New Roman"/>
          <w:spacing w:val="10"/>
          <w:sz w:val="17"/>
          <w:szCs w:val="17"/>
        </w:rPr>
        <w:t xml:space="preserve">   </w:t>
      </w:r>
      <w:r>
        <w:rPr>
          <w:rFonts w:ascii="Times New Roman" w:hAnsi="Times New Roman" w:eastAsia="Times New Roman" w:cs="Times New Roman"/>
          <w:spacing w:val="7"/>
          <w:sz w:val="17"/>
          <w:szCs w:val="17"/>
        </w:rPr>
        <w:t>2016)</w:t>
      </w:r>
    </w:p>
    <w:p w14:paraId="0F0DC691">
      <w:pPr>
        <w:spacing w:line="141" w:lineRule="exact"/>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33"/>
        <w:gridCol w:w="2474"/>
        <w:gridCol w:w="229"/>
        <w:gridCol w:w="229"/>
        <w:gridCol w:w="230"/>
        <w:gridCol w:w="224"/>
      </w:tblGrid>
      <w:tr w14:paraId="53EEC9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0" w:hRule="atLeast"/>
        </w:trPr>
        <w:tc>
          <w:tcPr>
            <w:tcW w:w="733" w:type="dxa"/>
            <w:vMerge w:val="restart"/>
            <w:tcBorders>
              <w:top w:val="single" w:color="000000" w:sz="2" w:space="0"/>
              <w:bottom w:val="nil"/>
            </w:tcBorders>
            <w:vAlign w:val="top"/>
          </w:tcPr>
          <w:p w14:paraId="1EA77C69">
            <w:pPr>
              <w:pStyle w:val="6"/>
              <w:spacing w:before="25" w:line="212" w:lineRule="auto"/>
              <w:ind w:left="86" w:hanging="69"/>
              <w:rPr>
                <w:sz w:val="18"/>
                <w:szCs w:val="18"/>
              </w:rPr>
            </w:pPr>
            <w:r>
              <w:rPr>
                <w:b/>
                <w:bCs/>
                <w:spacing w:val="-6"/>
                <w:sz w:val="18"/>
                <w:szCs w:val="18"/>
              </w:rPr>
              <w:t>知识与技</w:t>
            </w:r>
            <w:r>
              <w:rPr>
                <w:sz w:val="18"/>
                <w:szCs w:val="18"/>
              </w:rPr>
              <w:t xml:space="preserve"> </w:t>
            </w:r>
            <w:r>
              <w:rPr>
                <w:b/>
                <w:bCs/>
                <w:sz w:val="18"/>
                <w:szCs w:val="18"/>
              </w:rPr>
              <w:t>能要点</w:t>
            </w:r>
          </w:p>
        </w:tc>
        <w:tc>
          <w:tcPr>
            <w:tcW w:w="2474" w:type="dxa"/>
            <w:vMerge w:val="restart"/>
            <w:tcBorders>
              <w:top w:val="single" w:color="000000" w:sz="2" w:space="0"/>
              <w:bottom w:val="nil"/>
            </w:tcBorders>
            <w:vAlign w:val="top"/>
          </w:tcPr>
          <w:p w14:paraId="09C0C4B4">
            <w:pPr>
              <w:pStyle w:val="6"/>
              <w:spacing w:before="134" w:line="219" w:lineRule="auto"/>
              <w:ind w:left="914"/>
              <w:rPr>
                <w:sz w:val="18"/>
                <w:szCs w:val="18"/>
              </w:rPr>
            </w:pPr>
            <w:r>
              <w:rPr>
                <w:b/>
                <w:bCs/>
                <w:spacing w:val="5"/>
                <w:sz w:val="18"/>
                <w:szCs w:val="18"/>
              </w:rPr>
              <w:t>考试条目</w:t>
            </w:r>
          </w:p>
        </w:tc>
        <w:tc>
          <w:tcPr>
            <w:tcW w:w="912" w:type="dxa"/>
            <w:gridSpan w:val="4"/>
            <w:tcBorders>
              <w:top w:val="single" w:color="000000" w:sz="2" w:space="0"/>
              <w:bottom w:val="single" w:color="000000" w:sz="2" w:space="0"/>
            </w:tcBorders>
            <w:vAlign w:val="top"/>
          </w:tcPr>
          <w:p w14:paraId="266513AA">
            <w:pPr>
              <w:pStyle w:val="6"/>
              <w:spacing w:before="24" w:line="190" w:lineRule="auto"/>
              <w:ind w:left="130"/>
              <w:rPr>
                <w:sz w:val="18"/>
                <w:szCs w:val="18"/>
              </w:rPr>
            </w:pPr>
            <w:r>
              <w:rPr>
                <w:b/>
                <w:bCs/>
                <w:spacing w:val="-4"/>
                <w:sz w:val="18"/>
                <w:szCs w:val="18"/>
              </w:rPr>
              <w:t>考试水平</w:t>
            </w:r>
          </w:p>
        </w:tc>
      </w:tr>
      <w:tr w14:paraId="7F7DC3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4" w:hRule="atLeast"/>
        </w:trPr>
        <w:tc>
          <w:tcPr>
            <w:tcW w:w="733" w:type="dxa"/>
            <w:vMerge w:val="continue"/>
            <w:tcBorders>
              <w:top w:val="nil"/>
              <w:bottom w:val="single" w:color="000000" w:sz="2" w:space="0"/>
            </w:tcBorders>
            <w:vAlign w:val="top"/>
          </w:tcPr>
          <w:p w14:paraId="36BABDCA">
            <w:pPr>
              <w:rPr>
                <w:rFonts w:ascii="Arial"/>
                <w:sz w:val="21"/>
              </w:rPr>
            </w:pPr>
          </w:p>
        </w:tc>
        <w:tc>
          <w:tcPr>
            <w:tcW w:w="2474" w:type="dxa"/>
            <w:vMerge w:val="continue"/>
            <w:tcBorders>
              <w:top w:val="nil"/>
              <w:bottom w:val="single" w:color="000000" w:sz="2" w:space="0"/>
            </w:tcBorders>
            <w:vAlign w:val="top"/>
          </w:tcPr>
          <w:p w14:paraId="159D2380">
            <w:pPr>
              <w:rPr>
                <w:rFonts w:ascii="Arial"/>
                <w:sz w:val="21"/>
              </w:rPr>
            </w:pPr>
          </w:p>
        </w:tc>
        <w:tc>
          <w:tcPr>
            <w:tcW w:w="229" w:type="dxa"/>
            <w:tcBorders>
              <w:top w:val="single" w:color="000000" w:sz="2" w:space="0"/>
              <w:bottom w:val="single" w:color="000000" w:sz="2" w:space="0"/>
            </w:tcBorders>
            <w:vAlign w:val="top"/>
          </w:tcPr>
          <w:p w14:paraId="639D9B97">
            <w:pPr>
              <w:pStyle w:val="6"/>
              <w:spacing w:before="67" w:line="147" w:lineRule="exact"/>
              <w:ind w:left="70"/>
              <w:rPr>
                <w:sz w:val="18"/>
                <w:szCs w:val="18"/>
              </w:rPr>
            </w:pPr>
            <w:r>
              <w:rPr>
                <w:b/>
                <w:bCs/>
                <w:spacing w:val="-2"/>
                <w:position w:val="-2"/>
                <w:sz w:val="18"/>
                <w:szCs w:val="18"/>
              </w:rPr>
              <w:t>A</w:t>
            </w:r>
          </w:p>
        </w:tc>
        <w:tc>
          <w:tcPr>
            <w:tcW w:w="229" w:type="dxa"/>
            <w:tcBorders>
              <w:top w:val="single" w:color="000000" w:sz="2" w:space="0"/>
              <w:bottom w:val="single" w:color="000000" w:sz="2" w:space="0"/>
            </w:tcBorders>
            <w:vAlign w:val="top"/>
          </w:tcPr>
          <w:p w14:paraId="17C038F6">
            <w:pPr>
              <w:pStyle w:val="6"/>
              <w:spacing w:before="69" w:line="145" w:lineRule="exact"/>
              <w:ind w:left="31"/>
              <w:rPr>
                <w:sz w:val="18"/>
                <w:szCs w:val="18"/>
              </w:rPr>
            </w:pPr>
            <w:r>
              <w:rPr>
                <w:b/>
                <w:bCs/>
                <w:spacing w:val="-2"/>
                <w:position w:val="-2"/>
                <w:sz w:val="18"/>
                <w:szCs w:val="18"/>
              </w:rPr>
              <w:t>B</w:t>
            </w:r>
          </w:p>
        </w:tc>
        <w:tc>
          <w:tcPr>
            <w:tcW w:w="230" w:type="dxa"/>
            <w:tcBorders>
              <w:top w:val="single" w:color="000000" w:sz="2" w:space="0"/>
              <w:bottom w:val="single" w:color="000000" w:sz="2" w:space="0"/>
            </w:tcBorders>
            <w:vAlign w:val="top"/>
          </w:tcPr>
          <w:p w14:paraId="29F2A1B0">
            <w:pPr>
              <w:pStyle w:val="6"/>
              <w:spacing w:before="67" w:line="147" w:lineRule="exact"/>
              <w:ind w:left="42"/>
              <w:rPr>
                <w:sz w:val="18"/>
                <w:szCs w:val="18"/>
              </w:rPr>
            </w:pPr>
            <w:r>
              <w:rPr>
                <w:b/>
                <w:bCs/>
                <w:spacing w:val="-2"/>
                <w:position w:val="-2"/>
                <w:sz w:val="18"/>
                <w:szCs w:val="18"/>
              </w:rPr>
              <w:t>C</w:t>
            </w:r>
          </w:p>
        </w:tc>
        <w:tc>
          <w:tcPr>
            <w:tcW w:w="224" w:type="dxa"/>
            <w:tcBorders>
              <w:top w:val="single" w:color="000000" w:sz="2" w:space="0"/>
              <w:bottom w:val="single" w:color="000000" w:sz="2" w:space="0"/>
            </w:tcBorders>
            <w:vAlign w:val="top"/>
          </w:tcPr>
          <w:p w14:paraId="5FB92B6A">
            <w:pPr>
              <w:pStyle w:val="6"/>
              <w:spacing w:before="69" w:line="145" w:lineRule="exact"/>
              <w:ind w:left="62"/>
              <w:rPr>
                <w:sz w:val="18"/>
                <w:szCs w:val="18"/>
              </w:rPr>
            </w:pPr>
            <w:r>
              <w:rPr>
                <w:b/>
                <w:bCs/>
                <w:spacing w:val="-2"/>
                <w:position w:val="-2"/>
                <w:sz w:val="18"/>
                <w:szCs w:val="18"/>
              </w:rPr>
              <w:t>D</w:t>
            </w:r>
          </w:p>
        </w:tc>
      </w:tr>
      <w:tr w14:paraId="70EB94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973" w:hRule="atLeast"/>
        </w:trPr>
        <w:tc>
          <w:tcPr>
            <w:tcW w:w="733" w:type="dxa"/>
            <w:tcBorders>
              <w:top w:val="single" w:color="000000" w:sz="2" w:space="0"/>
              <w:bottom w:val="single" w:color="000000" w:sz="2" w:space="0"/>
            </w:tcBorders>
            <w:vAlign w:val="top"/>
          </w:tcPr>
          <w:p w14:paraId="765962A5">
            <w:pPr>
              <w:spacing w:line="320" w:lineRule="auto"/>
              <w:rPr>
                <w:rFonts w:ascii="Arial"/>
                <w:sz w:val="21"/>
              </w:rPr>
            </w:pPr>
          </w:p>
          <w:p w14:paraId="6B92AFE6">
            <w:pPr>
              <w:spacing w:line="320" w:lineRule="auto"/>
              <w:rPr>
                <w:rFonts w:ascii="Arial"/>
                <w:sz w:val="21"/>
              </w:rPr>
            </w:pPr>
          </w:p>
          <w:p w14:paraId="4CD27F54">
            <w:pPr>
              <w:pStyle w:val="6"/>
              <w:spacing w:before="59" w:line="219" w:lineRule="auto"/>
              <w:ind w:left="85"/>
              <w:rPr>
                <w:sz w:val="18"/>
                <w:szCs w:val="18"/>
              </w:rPr>
            </w:pPr>
            <w:r>
              <w:rPr>
                <w:spacing w:val="-2"/>
                <w:sz w:val="18"/>
                <w:szCs w:val="18"/>
              </w:rPr>
              <w:t>数据处</w:t>
            </w:r>
          </w:p>
          <w:p w14:paraId="0D38A354">
            <w:pPr>
              <w:pStyle w:val="6"/>
              <w:spacing w:before="21" w:line="212" w:lineRule="auto"/>
              <w:ind w:left="85"/>
              <w:rPr>
                <w:sz w:val="18"/>
                <w:szCs w:val="18"/>
              </w:rPr>
            </w:pPr>
            <w:r>
              <w:rPr>
                <w:spacing w:val="-3"/>
                <w:sz w:val="18"/>
                <w:szCs w:val="18"/>
              </w:rPr>
              <w:t>理基础</w:t>
            </w:r>
          </w:p>
          <w:p w14:paraId="67AA53EB">
            <w:pPr>
              <w:pStyle w:val="6"/>
              <w:spacing w:line="221" w:lineRule="auto"/>
              <w:ind w:left="175"/>
              <w:rPr>
                <w:sz w:val="18"/>
                <w:szCs w:val="18"/>
              </w:rPr>
            </w:pPr>
            <w:r>
              <w:rPr>
                <w:spacing w:val="5"/>
                <w:sz w:val="18"/>
                <w:szCs w:val="18"/>
              </w:rPr>
              <w:t>知识</w:t>
            </w:r>
          </w:p>
        </w:tc>
        <w:tc>
          <w:tcPr>
            <w:tcW w:w="2474" w:type="dxa"/>
            <w:tcBorders>
              <w:top w:val="single" w:color="000000" w:sz="2" w:space="0"/>
              <w:bottom w:val="single" w:color="000000" w:sz="2" w:space="0"/>
            </w:tcBorders>
            <w:vAlign w:val="top"/>
          </w:tcPr>
          <w:p w14:paraId="6B40D031">
            <w:pPr>
              <w:pStyle w:val="6"/>
              <w:spacing w:before="152" w:line="226" w:lineRule="auto"/>
              <w:ind w:left="12" w:right="644"/>
              <w:rPr>
                <w:sz w:val="18"/>
                <w:szCs w:val="18"/>
              </w:rPr>
            </w:pPr>
            <w:r>
              <w:rPr>
                <w:sz w:val="18"/>
                <w:szCs w:val="18"/>
              </w:rPr>
              <w:t>1.常用的电子表格软件</w:t>
            </w:r>
            <w:r>
              <w:rPr>
                <w:spacing w:val="6"/>
                <w:sz w:val="18"/>
                <w:szCs w:val="18"/>
              </w:rPr>
              <w:t xml:space="preserve"> </w:t>
            </w:r>
            <w:r>
              <w:rPr>
                <w:spacing w:val="2"/>
                <w:sz w:val="18"/>
                <w:szCs w:val="18"/>
              </w:rPr>
              <w:t>2.</w:t>
            </w:r>
            <w:r>
              <w:rPr>
                <w:sz w:val="18"/>
                <w:szCs w:val="18"/>
              </w:rPr>
              <w:t>Excel</w:t>
            </w:r>
            <w:r>
              <w:rPr>
                <w:spacing w:val="2"/>
                <w:sz w:val="18"/>
                <w:szCs w:val="18"/>
              </w:rPr>
              <w:t>的启动与退出</w:t>
            </w:r>
          </w:p>
          <w:p w14:paraId="4B3019B6">
            <w:pPr>
              <w:pStyle w:val="6"/>
              <w:spacing w:before="1" w:line="219" w:lineRule="auto"/>
              <w:ind w:left="12" w:right="212"/>
              <w:rPr>
                <w:sz w:val="18"/>
                <w:szCs w:val="18"/>
              </w:rPr>
            </w:pPr>
            <w:r>
              <w:rPr>
                <w:spacing w:val="-1"/>
                <w:sz w:val="18"/>
                <w:szCs w:val="18"/>
              </w:rPr>
              <w:t>3.Excel工作窗口的组成及基</w:t>
            </w:r>
            <w:r>
              <w:rPr>
                <w:spacing w:val="4"/>
                <w:sz w:val="18"/>
                <w:szCs w:val="18"/>
              </w:rPr>
              <w:t xml:space="preserve"> </w:t>
            </w:r>
            <w:r>
              <w:rPr>
                <w:spacing w:val="-2"/>
                <w:sz w:val="18"/>
                <w:szCs w:val="18"/>
              </w:rPr>
              <w:t>本操作</w:t>
            </w:r>
          </w:p>
          <w:p w14:paraId="61ECDDEA">
            <w:pPr>
              <w:pStyle w:val="6"/>
              <w:spacing w:before="2" w:line="225" w:lineRule="auto"/>
              <w:ind w:left="12"/>
              <w:jc w:val="both"/>
              <w:rPr>
                <w:sz w:val="18"/>
                <w:szCs w:val="18"/>
              </w:rPr>
            </w:pPr>
            <w:r>
              <w:rPr>
                <w:sz w:val="18"/>
                <w:szCs w:val="18"/>
              </w:rPr>
              <w:t>4.Excel的基本概念：工作簿、</w:t>
            </w:r>
            <w:r>
              <w:rPr>
                <w:spacing w:val="4"/>
                <w:sz w:val="18"/>
                <w:szCs w:val="18"/>
              </w:rPr>
              <w:t xml:space="preserve"> </w:t>
            </w:r>
            <w:r>
              <w:rPr>
                <w:spacing w:val="-5"/>
                <w:sz w:val="18"/>
                <w:szCs w:val="18"/>
              </w:rPr>
              <w:t>工作表、单元格、活动单元格、</w:t>
            </w:r>
            <w:r>
              <w:rPr>
                <w:sz w:val="18"/>
                <w:szCs w:val="18"/>
              </w:rPr>
              <w:t xml:space="preserve"> </w:t>
            </w:r>
            <w:r>
              <w:rPr>
                <w:spacing w:val="-7"/>
                <w:sz w:val="18"/>
                <w:szCs w:val="18"/>
              </w:rPr>
              <w:t>单元格区域</w:t>
            </w:r>
          </w:p>
          <w:p w14:paraId="7EC0DF16">
            <w:pPr>
              <w:pStyle w:val="6"/>
              <w:spacing w:line="219" w:lineRule="auto"/>
              <w:ind w:left="12"/>
              <w:rPr>
                <w:sz w:val="18"/>
                <w:szCs w:val="18"/>
              </w:rPr>
            </w:pPr>
            <w:r>
              <w:rPr>
                <w:spacing w:val="1"/>
                <w:sz w:val="18"/>
                <w:szCs w:val="18"/>
              </w:rPr>
              <w:t>5.在</w:t>
            </w:r>
            <w:r>
              <w:rPr>
                <w:sz w:val="18"/>
                <w:szCs w:val="18"/>
              </w:rPr>
              <w:t>Excel</w:t>
            </w:r>
            <w:r>
              <w:rPr>
                <w:spacing w:val="1"/>
                <w:sz w:val="18"/>
                <w:szCs w:val="18"/>
              </w:rPr>
              <w:t>中获取帮助</w:t>
            </w:r>
          </w:p>
        </w:tc>
        <w:tc>
          <w:tcPr>
            <w:tcW w:w="229" w:type="dxa"/>
            <w:tcBorders>
              <w:top w:val="single" w:color="000000" w:sz="2" w:space="0"/>
              <w:bottom w:val="single" w:color="000000" w:sz="2" w:space="0"/>
            </w:tcBorders>
            <w:vAlign w:val="top"/>
          </w:tcPr>
          <w:p w14:paraId="1D89972F">
            <w:pPr>
              <w:pStyle w:val="6"/>
              <w:spacing w:before="162" w:line="238" w:lineRule="auto"/>
              <w:ind w:left="48"/>
              <w:rPr>
                <w:sz w:val="12"/>
                <w:szCs w:val="12"/>
              </w:rPr>
            </w:pPr>
            <w:r>
              <w:rPr>
                <w:sz w:val="12"/>
                <w:szCs w:val="12"/>
              </w:rPr>
              <w:t>√</w:t>
            </w:r>
          </w:p>
        </w:tc>
        <w:tc>
          <w:tcPr>
            <w:tcW w:w="229" w:type="dxa"/>
            <w:tcBorders>
              <w:top w:val="single" w:color="000000" w:sz="2" w:space="0"/>
              <w:bottom w:val="single" w:color="000000" w:sz="2" w:space="0"/>
            </w:tcBorders>
            <w:vAlign w:val="top"/>
          </w:tcPr>
          <w:p w14:paraId="206D75A9">
            <w:pPr>
              <w:rPr>
                <w:rFonts w:ascii="Arial"/>
                <w:sz w:val="21"/>
              </w:rPr>
            </w:pPr>
          </w:p>
        </w:tc>
        <w:tc>
          <w:tcPr>
            <w:tcW w:w="230" w:type="dxa"/>
            <w:tcBorders>
              <w:top w:val="single" w:color="000000" w:sz="2" w:space="0"/>
              <w:bottom w:val="single" w:color="000000" w:sz="2" w:space="0"/>
            </w:tcBorders>
            <w:vAlign w:val="top"/>
          </w:tcPr>
          <w:p w14:paraId="431E48FD">
            <w:pPr>
              <w:rPr>
                <w:rFonts w:ascii="Arial"/>
                <w:sz w:val="21"/>
              </w:rPr>
            </w:pPr>
          </w:p>
        </w:tc>
        <w:tc>
          <w:tcPr>
            <w:tcW w:w="224" w:type="dxa"/>
            <w:tcBorders>
              <w:top w:val="single" w:color="000000" w:sz="2" w:space="0"/>
              <w:bottom w:val="single" w:color="000000" w:sz="2" w:space="0"/>
            </w:tcBorders>
            <w:vAlign w:val="top"/>
          </w:tcPr>
          <w:p w14:paraId="1B5F4959">
            <w:pPr>
              <w:rPr>
                <w:rFonts w:ascii="Arial"/>
                <w:sz w:val="21"/>
              </w:rPr>
            </w:pPr>
          </w:p>
        </w:tc>
      </w:tr>
      <w:tr w14:paraId="1F9BEB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723" w:hRule="atLeast"/>
        </w:trPr>
        <w:tc>
          <w:tcPr>
            <w:tcW w:w="733" w:type="dxa"/>
            <w:tcBorders>
              <w:top w:val="single" w:color="000000" w:sz="2" w:space="0"/>
              <w:bottom w:val="single" w:color="000000" w:sz="2" w:space="0"/>
            </w:tcBorders>
            <w:vAlign w:val="top"/>
          </w:tcPr>
          <w:p w14:paraId="4019FBAD">
            <w:pPr>
              <w:spacing w:line="246" w:lineRule="auto"/>
              <w:rPr>
                <w:rFonts w:ascii="Arial"/>
                <w:sz w:val="21"/>
              </w:rPr>
            </w:pPr>
          </w:p>
          <w:p w14:paraId="47030245">
            <w:pPr>
              <w:spacing w:line="247" w:lineRule="auto"/>
              <w:rPr>
                <w:rFonts w:ascii="Arial"/>
                <w:sz w:val="21"/>
              </w:rPr>
            </w:pPr>
          </w:p>
          <w:p w14:paraId="3B3C4EC2">
            <w:pPr>
              <w:pStyle w:val="6"/>
              <w:spacing w:before="59" w:line="230" w:lineRule="auto"/>
              <w:ind w:left="174" w:right="107" w:hanging="89"/>
              <w:jc w:val="right"/>
              <w:rPr>
                <w:sz w:val="18"/>
                <w:szCs w:val="18"/>
              </w:rPr>
            </w:pPr>
            <w:r>
              <w:rPr>
                <w:spacing w:val="-4"/>
                <w:sz w:val="18"/>
                <w:szCs w:val="18"/>
              </w:rPr>
              <w:t>工作簿</w:t>
            </w:r>
            <w:r>
              <w:rPr>
                <w:spacing w:val="1"/>
                <w:sz w:val="18"/>
                <w:szCs w:val="18"/>
              </w:rPr>
              <w:t xml:space="preserve"> </w:t>
            </w:r>
            <w:r>
              <w:rPr>
                <w:spacing w:val="-4"/>
                <w:sz w:val="18"/>
                <w:szCs w:val="18"/>
              </w:rPr>
              <w:t>基本</w:t>
            </w:r>
            <w:r>
              <w:rPr>
                <w:sz w:val="18"/>
                <w:szCs w:val="18"/>
              </w:rPr>
              <w:t xml:space="preserve">  </w:t>
            </w:r>
            <w:r>
              <w:rPr>
                <w:spacing w:val="-4"/>
                <w:sz w:val="18"/>
                <w:szCs w:val="18"/>
              </w:rPr>
              <w:t>操作</w:t>
            </w:r>
          </w:p>
        </w:tc>
        <w:tc>
          <w:tcPr>
            <w:tcW w:w="2474" w:type="dxa"/>
            <w:tcBorders>
              <w:top w:val="single" w:color="000000" w:sz="2" w:space="0"/>
              <w:bottom w:val="single" w:color="000000" w:sz="2" w:space="0"/>
            </w:tcBorders>
            <w:vAlign w:val="top"/>
          </w:tcPr>
          <w:p w14:paraId="73054885">
            <w:pPr>
              <w:pStyle w:val="6"/>
              <w:spacing w:before="113" w:line="228" w:lineRule="auto"/>
              <w:ind w:left="12"/>
              <w:rPr>
                <w:sz w:val="18"/>
                <w:szCs w:val="18"/>
              </w:rPr>
            </w:pPr>
            <w:r>
              <w:rPr>
                <w:spacing w:val="-5"/>
                <w:sz w:val="18"/>
                <w:szCs w:val="18"/>
              </w:rPr>
              <w:t>1.建立、保存、打开工作簿文件</w:t>
            </w:r>
            <w:r>
              <w:rPr>
                <w:spacing w:val="5"/>
                <w:sz w:val="18"/>
                <w:szCs w:val="18"/>
              </w:rPr>
              <w:t xml:space="preserve"> </w:t>
            </w:r>
            <w:r>
              <w:rPr>
                <w:spacing w:val="-2"/>
                <w:sz w:val="18"/>
                <w:szCs w:val="18"/>
              </w:rPr>
              <w:t>2.选定单元格、单元格区域</w:t>
            </w:r>
          </w:p>
          <w:p w14:paraId="3DBFC0DF">
            <w:pPr>
              <w:pStyle w:val="6"/>
              <w:spacing w:before="26" w:line="213" w:lineRule="auto"/>
              <w:ind w:left="12"/>
              <w:rPr>
                <w:sz w:val="18"/>
                <w:szCs w:val="18"/>
              </w:rPr>
            </w:pPr>
            <w:r>
              <w:rPr>
                <w:spacing w:val="1"/>
                <w:sz w:val="18"/>
                <w:szCs w:val="18"/>
              </w:rPr>
              <w:t>3.输入数据</w:t>
            </w:r>
          </w:p>
          <w:p w14:paraId="5F8BFE0C">
            <w:pPr>
              <w:pStyle w:val="6"/>
              <w:spacing w:line="217" w:lineRule="auto"/>
              <w:ind w:left="232"/>
              <w:rPr>
                <w:sz w:val="18"/>
                <w:szCs w:val="18"/>
              </w:rPr>
            </w:pPr>
            <w:r>
              <w:rPr>
                <w:spacing w:val="-1"/>
                <w:sz w:val="18"/>
                <w:szCs w:val="18"/>
              </w:rPr>
              <w:t>①不同类型数据的输入方</w:t>
            </w:r>
          </w:p>
          <w:p w14:paraId="4BE8878A">
            <w:pPr>
              <w:pStyle w:val="6"/>
              <w:spacing w:before="18" w:line="215" w:lineRule="auto"/>
              <w:ind w:left="12" w:right="79"/>
              <w:rPr>
                <w:sz w:val="18"/>
                <w:szCs w:val="18"/>
              </w:rPr>
            </w:pPr>
            <w:r>
              <w:rPr>
                <w:spacing w:val="2"/>
                <w:sz w:val="18"/>
                <w:szCs w:val="18"/>
              </w:rPr>
              <w:t>法：数值数据、文本数据、日</w:t>
            </w:r>
            <w:r>
              <w:rPr>
                <w:spacing w:val="5"/>
                <w:sz w:val="18"/>
                <w:szCs w:val="18"/>
              </w:rPr>
              <w:t xml:space="preserve"> </w:t>
            </w:r>
            <w:r>
              <w:rPr>
                <w:spacing w:val="-1"/>
                <w:sz w:val="18"/>
                <w:szCs w:val="18"/>
              </w:rPr>
              <w:t>期和时间数据、特定格式数据</w:t>
            </w:r>
          </w:p>
          <w:p w14:paraId="6B5311EC">
            <w:pPr>
              <w:pStyle w:val="6"/>
              <w:spacing w:line="217" w:lineRule="auto"/>
              <w:ind w:left="242"/>
              <w:rPr>
                <w:sz w:val="18"/>
                <w:szCs w:val="18"/>
              </w:rPr>
            </w:pPr>
            <w:r>
              <w:rPr>
                <w:spacing w:val="-1"/>
                <w:sz w:val="18"/>
                <w:szCs w:val="18"/>
              </w:rPr>
              <w:t>②Excel的自动填充功能</w:t>
            </w:r>
          </w:p>
        </w:tc>
        <w:tc>
          <w:tcPr>
            <w:tcW w:w="229" w:type="dxa"/>
            <w:tcBorders>
              <w:top w:val="single" w:color="000000" w:sz="2" w:space="0"/>
              <w:bottom w:val="single" w:color="000000" w:sz="2" w:space="0"/>
            </w:tcBorders>
            <w:vAlign w:val="top"/>
          </w:tcPr>
          <w:p w14:paraId="726B0B62">
            <w:pPr>
              <w:rPr>
                <w:rFonts w:ascii="Arial"/>
                <w:sz w:val="21"/>
              </w:rPr>
            </w:pPr>
          </w:p>
        </w:tc>
        <w:tc>
          <w:tcPr>
            <w:tcW w:w="229" w:type="dxa"/>
            <w:tcBorders>
              <w:top w:val="single" w:color="000000" w:sz="2" w:space="0"/>
              <w:bottom w:val="single" w:color="000000" w:sz="2" w:space="0"/>
            </w:tcBorders>
            <w:vAlign w:val="top"/>
          </w:tcPr>
          <w:p w14:paraId="1E440162">
            <w:pPr>
              <w:rPr>
                <w:rFonts w:ascii="Arial"/>
                <w:sz w:val="21"/>
              </w:rPr>
            </w:pPr>
          </w:p>
        </w:tc>
        <w:tc>
          <w:tcPr>
            <w:tcW w:w="230" w:type="dxa"/>
            <w:tcBorders>
              <w:top w:val="single" w:color="000000" w:sz="2" w:space="0"/>
              <w:bottom w:val="single" w:color="000000" w:sz="2" w:space="0"/>
            </w:tcBorders>
            <w:vAlign w:val="top"/>
          </w:tcPr>
          <w:p w14:paraId="71AFAD17">
            <w:pPr>
              <w:rPr>
                <w:rFonts w:ascii="Arial"/>
                <w:sz w:val="21"/>
              </w:rPr>
            </w:pPr>
          </w:p>
        </w:tc>
        <w:tc>
          <w:tcPr>
            <w:tcW w:w="224" w:type="dxa"/>
            <w:tcBorders>
              <w:top w:val="single" w:color="000000" w:sz="2" w:space="0"/>
              <w:bottom w:val="single" w:color="000000" w:sz="2" w:space="0"/>
            </w:tcBorders>
            <w:vAlign w:val="top"/>
          </w:tcPr>
          <w:p w14:paraId="5955639F">
            <w:pPr>
              <w:spacing w:line="257" w:lineRule="auto"/>
              <w:rPr>
                <w:rFonts w:ascii="Arial"/>
                <w:sz w:val="21"/>
              </w:rPr>
            </w:pPr>
          </w:p>
          <w:p w14:paraId="09E6FF2F">
            <w:pPr>
              <w:spacing w:line="257" w:lineRule="auto"/>
              <w:rPr>
                <w:rFonts w:ascii="Arial"/>
                <w:sz w:val="21"/>
              </w:rPr>
            </w:pPr>
          </w:p>
          <w:p w14:paraId="3D70A21C">
            <w:pPr>
              <w:spacing w:line="257" w:lineRule="auto"/>
              <w:rPr>
                <w:rFonts w:ascii="Arial"/>
                <w:sz w:val="21"/>
              </w:rPr>
            </w:pPr>
          </w:p>
          <w:p w14:paraId="1591D754">
            <w:pPr>
              <w:spacing w:line="257" w:lineRule="auto"/>
              <w:rPr>
                <w:rFonts w:ascii="Arial"/>
                <w:sz w:val="21"/>
              </w:rPr>
            </w:pPr>
          </w:p>
          <w:p w14:paraId="6A0402EB">
            <w:pPr>
              <w:spacing w:line="257" w:lineRule="auto"/>
              <w:rPr>
                <w:rFonts w:ascii="Arial"/>
                <w:sz w:val="21"/>
              </w:rPr>
            </w:pPr>
          </w:p>
          <w:p w14:paraId="23E4DF4C">
            <w:pPr>
              <w:pStyle w:val="6"/>
              <w:spacing w:before="58" w:line="182" w:lineRule="auto"/>
              <w:ind w:left="59"/>
              <w:rPr>
                <w:sz w:val="18"/>
                <w:szCs w:val="18"/>
              </w:rPr>
            </w:pPr>
            <w:r>
              <w:rPr>
                <w:sz w:val="18"/>
                <w:szCs w:val="18"/>
              </w:rPr>
              <w:t>V</w:t>
            </w:r>
          </w:p>
        </w:tc>
      </w:tr>
      <w:tr w14:paraId="03F81B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78" w:hRule="atLeast"/>
        </w:trPr>
        <w:tc>
          <w:tcPr>
            <w:tcW w:w="733" w:type="dxa"/>
            <w:tcBorders>
              <w:top w:val="single" w:color="000000" w:sz="2" w:space="0"/>
              <w:bottom w:val="single" w:color="000000" w:sz="2" w:space="0"/>
            </w:tcBorders>
            <w:vAlign w:val="top"/>
          </w:tcPr>
          <w:p w14:paraId="1FEBF945">
            <w:pPr>
              <w:spacing w:line="270" w:lineRule="auto"/>
              <w:rPr>
                <w:rFonts w:ascii="Arial"/>
                <w:sz w:val="21"/>
              </w:rPr>
            </w:pPr>
          </w:p>
          <w:p w14:paraId="0363DC99">
            <w:pPr>
              <w:spacing w:line="271" w:lineRule="auto"/>
              <w:rPr>
                <w:rFonts w:ascii="Arial"/>
                <w:sz w:val="21"/>
              </w:rPr>
            </w:pPr>
          </w:p>
          <w:p w14:paraId="069499CF">
            <w:pPr>
              <w:spacing w:line="271" w:lineRule="auto"/>
              <w:rPr>
                <w:rFonts w:ascii="Arial"/>
                <w:sz w:val="21"/>
              </w:rPr>
            </w:pPr>
          </w:p>
          <w:p w14:paraId="365E97D8">
            <w:pPr>
              <w:pStyle w:val="6"/>
              <w:spacing w:before="58" w:line="206" w:lineRule="auto"/>
              <w:ind w:left="85"/>
              <w:rPr>
                <w:sz w:val="18"/>
                <w:szCs w:val="18"/>
              </w:rPr>
            </w:pPr>
            <w:r>
              <w:rPr>
                <w:spacing w:val="-2"/>
                <w:sz w:val="18"/>
                <w:szCs w:val="18"/>
              </w:rPr>
              <w:t>编辑工</w:t>
            </w:r>
          </w:p>
          <w:p w14:paraId="1A471141">
            <w:pPr>
              <w:pStyle w:val="6"/>
              <w:spacing w:line="220" w:lineRule="auto"/>
              <w:ind w:left="175"/>
              <w:rPr>
                <w:sz w:val="18"/>
                <w:szCs w:val="18"/>
              </w:rPr>
            </w:pPr>
            <w:r>
              <w:rPr>
                <w:spacing w:val="-2"/>
                <w:sz w:val="18"/>
                <w:szCs w:val="18"/>
              </w:rPr>
              <w:t>作表</w:t>
            </w:r>
          </w:p>
        </w:tc>
        <w:tc>
          <w:tcPr>
            <w:tcW w:w="2474" w:type="dxa"/>
            <w:tcBorders>
              <w:top w:val="single" w:color="000000" w:sz="2" w:space="0"/>
              <w:bottom w:val="single" w:color="000000" w:sz="2" w:space="0"/>
            </w:tcBorders>
            <w:vAlign w:val="top"/>
          </w:tcPr>
          <w:p w14:paraId="450D3C2F">
            <w:pPr>
              <w:pStyle w:val="6"/>
              <w:spacing w:before="85" w:line="228" w:lineRule="auto"/>
              <w:ind w:left="12" w:right="102"/>
              <w:rPr>
                <w:sz w:val="18"/>
                <w:szCs w:val="18"/>
              </w:rPr>
            </w:pPr>
            <w:r>
              <w:rPr>
                <w:sz w:val="18"/>
                <w:szCs w:val="18"/>
              </w:rPr>
              <w:t>1.编辑单元格数据：修改、清</w:t>
            </w:r>
            <w:r>
              <w:rPr>
                <w:spacing w:val="8"/>
                <w:sz w:val="18"/>
                <w:szCs w:val="18"/>
              </w:rPr>
              <w:t xml:space="preserve"> </w:t>
            </w:r>
            <w:r>
              <w:rPr>
                <w:spacing w:val="1"/>
                <w:sz w:val="18"/>
                <w:szCs w:val="18"/>
              </w:rPr>
              <w:t>除、复制与移动</w:t>
            </w:r>
          </w:p>
          <w:p w14:paraId="07CC02A3">
            <w:pPr>
              <w:pStyle w:val="6"/>
              <w:spacing w:before="5" w:line="213" w:lineRule="auto"/>
              <w:ind w:left="12"/>
              <w:rPr>
                <w:sz w:val="18"/>
                <w:szCs w:val="18"/>
              </w:rPr>
            </w:pPr>
            <w:r>
              <w:rPr>
                <w:spacing w:val="-5"/>
                <w:sz w:val="18"/>
                <w:szCs w:val="18"/>
              </w:rPr>
              <w:t>2.插入或删除单元格、行、列、</w:t>
            </w:r>
            <w:r>
              <w:rPr>
                <w:spacing w:val="5"/>
                <w:sz w:val="18"/>
                <w:szCs w:val="18"/>
              </w:rPr>
              <w:t xml:space="preserve"> </w:t>
            </w:r>
            <w:r>
              <w:rPr>
                <w:spacing w:val="-7"/>
                <w:sz w:val="18"/>
                <w:szCs w:val="18"/>
              </w:rPr>
              <w:t>工作表</w:t>
            </w:r>
          </w:p>
          <w:p w14:paraId="4D887D99">
            <w:pPr>
              <w:pStyle w:val="6"/>
              <w:spacing w:before="13" w:line="226" w:lineRule="auto"/>
              <w:ind w:left="12" w:right="277"/>
              <w:rPr>
                <w:sz w:val="18"/>
                <w:szCs w:val="18"/>
              </w:rPr>
            </w:pPr>
            <w:r>
              <w:rPr>
                <w:spacing w:val="1"/>
                <w:sz w:val="18"/>
                <w:szCs w:val="18"/>
              </w:rPr>
              <w:t>3.调整工作表的行高与列宽</w:t>
            </w:r>
            <w:r>
              <w:rPr>
                <w:sz w:val="18"/>
                <w:szCs w:val="18"/>
              </w:rPr>
              <w:t xml:space="preserve"> </w:t>
            </w:r>
            <w:r>
              <w:rPr>
                <w:spacing w:val="-1"/>
                <w:sz w:val="18"/>
                <w:szCs w:val="18"/>
              </w:rPr>
              <w:t>4.查找与替换单元格数据</w:t>
            </w:r>
          </w:p>
          <w:p w14:paraId="5BAD0F4E">
            <w:pPr>
              <w:pStyle w:val="6"/>
              <w:spacing w:line="216" w:lineRule="auto"/>
              <w:ind w:left="12"/>
              <w:rPr>
                <w:sz w:val="18"/>
                <w:szCs w:val="18"/>
              </w:rPr>
            </w:pPr>
            <w:r>
              <w:rPr>
                <w:spacing w:val="1"/>
                <w:sz w:val="18"/>
                <w:szCs w:val="18"/>
              </w:rPr>
              <w:t>5.撤销与恢复操作</w:t>
            </w:r>
          </w:p>
          <w:p w14:paraId="56826BCB">
            <w:pPr>
              <w:pStyle w:val="6"/>
              <w:spacing w:line="220" w:lineRule="auto"/>
              <w:ind w:left="12"/>
              <w:rPr>
                <w:sz w:val="18"/>
                <w:szCs w:val="18"/>
              </w:rPr>
            </w:pPr>
            <w:r>
              <w:rPr>
                <w:spacing w:val="-2"/>
                <w:sz w:val="18"/>
                <w:szCs w:val="18"/>
              </w:rPr>
              <w:t>6.重命名工作表</w:t>
            </w:r>
          </w:p>
          <w:p w14:paraId="6C2AF641">
            <w:pPr>
              <w:pStyle w:val="6"/>
              <w:spacing w:before="15" w:line="220" w:lineRule="auto"/>
              <w:ind w:left="12"/>
              <w:rPr>
                <w:sz w:val="18"/>
                <w:szCs w:val="18"/>
              </w:rPr>
            </w:pPr>
            <w:r>
              <w:rPr>
                <w:spacing w:val="-2"/>
                <w:sz w:val="18"/>
                <w:szCs w:val="18"/>
              </w:rPr>
              <w:t>7.移动或复制工作表</w:t>
            </w:r>
          </w:p>
        </w:tc>
        <w:tc>
          <w:tcPr>
            <w:tcW w:w="229" w:type="dxa"/>
            <w:tcBorders>
              <w:top w:val="single" w:color="000000" w:sz="2" w:space="0"/>
              <w:bottom w:val="single" w:color="000000" w:sz="2" w:space="0"/>
            </w:tcBorders>
            <w:vAlign w:val="top"/>
          </w:tcPr>
          <w:p w14:paraId="059FE044">
            <w:pPr>
              <w:rPr>
                <w:rFonts w:ascii="Arial"/>
                <w:sz w:val="21"/>
              </w:rPr>
            </w:pPr>
          </w:p>
        </w:tc>
        <w:tc>
          <w:tcPr>
            <w:tcW w:w="229" w:type="dxa"/>
            <w:tcBorders>
              <w:top w:val="single" w:color="000000" w:sz="2" w:space="0"/>
              <w:bottom w:val="single" w:color="000000" w:sz="2" w:space="0"/>
            </w:tcBorders>
            <w:vAlign w:val="top"/>
          </w:tcPr>
          <w:p w14:paraId="3594DDDC">
            <w:pPr>
              <w:rPr>
                <w:rFonts w:ascii="Arial"/>
                <w:sz w:val="21"/>
              </w:rPr>
            </w:pPr>
          </w:p>
        </w:tc>
        <w:tc>
          <w:tcPr>
            <w:tcW w:w="230" w:type="dxa"/>
            <w:tcBorders>
              <w:top w:val="single" w:color="000000" w:sz="2" w:space="0"/>
              <w:bottom w:val="single" w:color="000000" w:sz="2" w:space="0"/>
            </w:tcBorders>
            <w:vAlign w:val="top"/>
          </w:tcPr>
          <w:p w14:paraId="40329E47">
            <w:pPr>
              <w:rPr>
                <w:rFonts w:ascii="Arial"/>
                <w:sz w:val="21"/>
              </w:rPr>
            </w:pPr>
          </w:p>
        </w:tc>
        <w:tc>
          <w:tcPr>
            <w:tcW w:w="224" w:type="dxa"/>
            <w:tcBorders>
              <w:top w:val="single" w:color="000000" w:sz="2" w:space="0"/>
              <w:bottom w:val="single" w:color="000000" w:sz="2" w:space="0"/>
            </w:tcBorders>
            <w:vAlign w:val="top"/>
          </w:tcPr>
          <w:p w14:paraId="6D6F4E21">
            <w:pPr>
              <w:rPr>
                <w:rFonts w:ascii="Arial"/>
                <w:sz w:val="21"/>
              </w:rPr>
            </w:pPr>
          </w:p>
        </w:tc>
      </w:tr>
    </w:tbl>
    <w:p w14:paraId="22FF2A37">
      <w:pPr>
        <w:pStyle w:val="2"/>
        <w:spacing w:line="14" w:lineRule="auto"/>
        <w:rPr>
          <w:sz w:val="2"/>
        </w:rPr>
      </w:pPr>
    </w:p>
    <w:p w14:paraId="16B41242">
      <w:pPr>
        <w:spacing w:line="14" w:lineRule="auto"/>
        <w:rPr>
          <w:sz w:val="2"/>
          <w:szCs w:val="2"/>
        </w:rPr>
        <w:sectPr>
          <w:type w:val="continuous"/>
          <w:pgSz w:w="10660" w:h="15080"/>
          <w:pgMar w:top="400" w:right="875" w:bottom="936" w:left="1024" w:header="0" w:footer="715" w:gutter="0"/>
          <w:cols w:equalWidth="0" w:num="2">
            <w:col w:w="4501" w:space="100"/>
            <w:col w:w="4160"/>
          </w:cols>
        </w:sectPr>
      </w:pPr>
    </w:p>
    <w:p w14:paraId="78D2D708">
      <w:pPr>
        <w:spacing w:before="3"/>
      </w:pPr>
    </w:p>
    <w:p w14:paraId="67F4E0E2">
      <w:pPr>
        <w:spacing w:before="2"/>
      </w:pPr>
    </w:p>
    <w:p w14:paraId="2A477130">
      <w:pPr>
        <w:spacing w:before="2"/>
      </w:pPr>
    </w:p>
    <w:p w14:paraId="77820AA0">
      <w:pPr>
        <w:spacing w:before="2"/>
      </w:pPr>
    </w:p>
    <w:p w14:paraId="7C23EA9D">
      <w:pPr>
        <w:sectPr>
          <w:footerReference r:id="rId42" w:type="default"/>
          <w:pgSz w:w="10660" w:h="15080"/>
          <w:pgMar w:top="400" w:right="1034" w:bottom="925" w:left="819" w:header="0" w:footer="705" w:gutter="0"/>
          <w:cols w:equalWidth="0" w:num="1">
            <w:col w:w="8806"/>
          </w:cols>
        </w:sectPr>
      </w:pPr>
    </w:p>
    <w:p w14:paraId="413A846F">
      <w:pPr>
        <w:spacing w:line="30" w:lineRule="exact"/>
      </w:pPr>
    </w:p>
    <w:tbl>
      <w:tblPr>
        <w:tblStyle w:val="5"/>
        <w:tblW w:w="4130" w:type="dxa"/>
        <w:tblInd w:w="7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43"/>
        <w:gridCol w:w="2474"/>
        <w:gridCol w:w="230"/>
        <w:gridCol w:w="230"/>
        <w:gridCol w:w="229"/>
        <w:gridCol w:w="224"/>
      </w:tblGrid>
      <w:tr w14:paraId="04799B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5" w:hRule="atLeast"/>
        </w:trPr>
        <w:tc>
          <w:tcPr>
            <w:tcW w:w="743" w:type="dxa"/>
            <w:vMerge w:val="restart"/>
            <w:tcBorders>
              <w:bottom w:val="nil"/>
            </w:tcBorders>
            <w:vAlign w:val="top"/>
          </w:tcPr>
          <w:p w14:paraId="29F7ABE4">
            <w:pPr>
              <w:pStyle w:val="6"/>
              <w:spacing w:before="31" w:line="207" w:lineRule="auto"/>
              <w:ind w:left="96" w:right="6" w:hanging="79"/>
              <w:rPr>
                <w:sz w:val="18"/>
                <w:szCs w:val="18"/>
              </w:rPr>
            </w:pPr>
            <w:r>
              <w:rPr>
                <w:b/>
                <w:bCs/>
                <w:spacing w:val="-5"/>
                <w:sz w:val="18"/>
                <w:szCs w:val="18"/>
              </w:rPr>
              <w:t>知识与技</w:t>
            </w:r>
            <w:r>
              <w:rPr>
                <w:sz w:val="18"/>
                <w:szCs w:val="18"/>
              </w:rPr>
              <w:t xml:space="preserve"> </w:t>
            </w:r>
            <w:r>
              <w:rPr>
                <w:b/>
                <w:bCs/>
                <w:spacing w:val="1"/>
                <w:sz w:val="18"/>
                <w:szCs w:val="18"/>
              </w:rPr>
              <w:t>能要点</w:t>
            </w:r>
          </w:p>
        </w:tc>
        <w:tc>
          <w:tcPr>
            <w:tcW w:w="2474" w:type="dxa"/>
            <w:vMerge w:val="restart"/>
            <w:tcBorders>
              <w:bottom w:val="nil"/>
            </w:tcBorders>
            <w:vAlign w:val="top"/>
          </w:tcPr>
          <w:p w14:paraId="5A765F97">
            <w:pPr>
              <w:pStyle w:val="6"/>
              <w:spacing w:before="129" w:line="219" w:lineRule="auto"/>
              <w:ind w:left="914"/>
              <w:rPr>
                <w:sz w:val="18"/>
                <w:szCs w:val="18"/>
              </w:rPr>
            </w:pPr>
            <w:r>
              <w:rPr>
                <w:b/>
                <w:bCs/>
                <w:spacing w:val="5"/>
                <w:sz w:val="18"/>
                <w:szCs w:val="18"/>
              </w:rPr>
              <w:t>考试条目</w:t>
            </w:r>
          </w:p>
        </w:tc>
        <w:tc>
          <w:tcPr>
            <w:tcW w:w="913" w:type="dxa"/>
            <w:gridSpan w:val="4"/>
            <w:vAlign w:val="top"/>
          </w:tcPr>
          <w:p w14:paraId="7C71D0CC">
            <w:pPr>
              <w:pStyle w:val="6"/>
              <w:spacing w:before="20" w:line="200" w:lineRule="auto"/>
              <w:ind w:left="140"/>
              <w:rPr>
                <w:sz w:val="18"/>
                <w:szCs w:val="18"/>
              </w:rPr>
            </w:pPr>
            <w:r>
              <w:rPr>
                <w:b/>
                <w:bCs/>
                <w:spacing w:val="-4"/>
                <w:sz w:val="18"/>
                <w:szCs w:val="18"/>
              </w:rPr>
              <w:t>考试水平</w:t>
            </w:r>
          </w:p>
        </w:tc>
      </w:tr>
      <w:tr w14:paraId="243BC1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0" w:hRule="atLeast"/>
        </w:trPr>
        <w:tc>
          <w:tcPr>
            <w:tcW w:w="743" w:type="dxa"/>
            <w:vMerge w:val="continue"/>
            <w:tcBorders>
              <w:top w:val="nil"/>
            </w:tcBorders>
            <w:vAlign w:val="top"/>
          </w:tcPr>
          <w:p w14:paraId="7A0742E1">
            <w:pPr>
              <w:rPr>
                <w:rFonts w:ascii="Arial"/>
                <w:sz w:val="21"/>
              </w:rPr>
            </w:pPr>
          </w:p>
        </w:tc>
        <w:tc>
          <w:tcPr>
            <w:tcW w:w="2474" w:type="dxa"/>
            <w:vMerge w:val="continue"/>
            <w:tcBorders>
              <w:top w:val="nil"/>
            </w:tcBorders>
            <w:vAlign w:val="top"/>
          </w:tcPr>
          <w:p w14:paraId="568DC609">
            <w:pPr>
              <w:rPr>
                <w:rFonts w:ascii="Arial"/>
                <w:sz w:val="21"/>
              </w:rPr>
            </w:pPr>
          </w:p>
        </w:tc>
        <w:tc>
          <w:tcPr>
            <w:tcW w:w="230" w:type="dxa"/>
            <w:vAlign w:val="top"/>
          </w:tcPr>
          <w:p w14:paraId="6231E847">
            <w:pPr>
              <w:pStyle w:val="6"/>
              <w:spacing w:before="62" w:line="138" w:lineRule="exact"/>
              <w:ind w:left="60"/>
              <w:rPr>
                <w:sz w:val="18"/>
                <w:szCs w:val="18"/>
              </w:rPr>
            </w:pPr>
            <w:r>
              <w:rPr>
                <w:b/>
                <w:bCs/>
                <w:spacing w:val="-2"/>
                <w:position w:val="-2"/>
                <w:sz w:val="18"/>
                <w:szCs w:val="18"/>
              </w:rPr>
              <w:t>A</w:t>
            </w:r>
          </w:p>
        </w:tc>
        <w:tc>
          <w:tcPr>
            <w:tcW w:w="230" w:type="dxa"/>
            <w:vAlign w:val="top"/>
          </w:tcPr>
          <w:p w14:paraId="0D180DC5">
            <w:pPr>
              <w:pStyle w:val="6"/>
              <w:spacing w:before="65" w:line="135" w:lineRule="exact"/>
              <w:ind w:left="20"/>
              <w:rPr>
                <w:sz w:val="18"/>
                <w:szCs w:val="18"/>
              </w:rPr>
            </w:pPr>
            <w:r>
              <w:rPr>
                <w:b/>
                <w:bCs/>
                <w:spacing w:val="-2"/>
                <w:position w:val="-2"/>
                <w:sz w:val="18"/>
                <w:szCs w:val="18"/>
              </w:rPr>
              <w:t>B</w:t>
            </w:r>
          </w:p>
        </w:tc>
        <w:tc>
          <w:tcPr>
            <w:tcW w:w="229" w:type="dxa"/>
            <w:vAlign w:val="top"/>
          </w:tcPr>
          <w:p w14:paraId="0FF09EBE">
            <w:pPr>
              <w:pStyle w:val="6"/>
              <w:spacing w:before="63" w:line="136" w:lineRule="exact"/>
              <w:ind w:left="57"/>
              <w:rPr>
                <w:sz w:val="18"/>
                <w:szCs w:val="18"/>
              </w:rPr>
            </w:pPr>
            <w:r>
              <w:rPr>
                <w:position w:val="-2"/>
                <w:sz w:val="18"/>
                <w:szCs w:val="18"/>
              </w:rPr>
              <w:t>C</w:t>
            </w:r>
          </w:p>
        </w:tc>
        <w:tc>
          <w:tcPr>
            <w:tcW w:w="224" w:type="dxa"/>
            <w:vAlign w:val="top"/>
          </w:tcPr>
          <w:p w14:paraId="2589ECB1">
            <w:pPr>
              <w:pStyle w:val="6"/>
              <w:spacing w:before="65" w:line="135" w:lineRule="exact"/>
              <w:ind w:left="41"/>
              <w:rPr>
                <w:sz w:val="18"/>
                <w:szCs w:val="18"/>
              </w:rPr>
            </w:pPr>
            <w:r>
              <w:rPr>
                <w:b/>
                <w:bCs/>
                <w:spacing w:val="-2"/>
                <w:position w:val="-2"/>
                <w:sz w:val="18"/>
                <w:szCs w:val="18"/>
              </w:rPr>
              <w:t>D</w:t>
            </w:r>
          </w:p>
        </w:tc>
      </w:tr>
      <w:tr w14:paraId="764615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88" w:hRule="atLeast"/>
        </w:trPr>
        <w:tc>
          <w:tcPr>
            <w:tcW w:w="743" w:type="dxa"/>
            <w:vAlign w:val="top"/>
          </w:tcPr>
          <w:p w14:paraId="50EAD117">
            <w:pPr>
              <w:spacing w:line="267" w:lineRule="auto"/>
              <w:rPr>
                <w:rFonts w:ascii="Arial"/>
                <w:sz w:val="21"/>
              </w:rPr>
            </w:pPr>
          </w:p>
          <w:p w14:paraId="4BE0482D">
            <w:pPr>
              <w:pStyle w:val="6"/>
              <w:spacing w:before="59" w:line="229" w:lineRule="auto"/>
              <w:ind w:left="94" w:right="76"/>
              <w:jc w:val="both"/>
              <w:rPr>
                <w:sz w:val="18"/>
                <w:szCs w:val="18"/>
              </w:rPr>
            </w:pPr>
            <w:r>
              <w:rPr>
                <w:spacing w:val="-4"/>
                <w:sz w:val="18"/>
                <w:szCs w:val="18"/>
              </w:rPr>
              <w:t>工作表</w:t>
            </w:r>
            <w:r>
              <w:rPr>
                <w:spacing w:val="1"/>
                <w:sz w:val="18"/>
                <w:szCs w:val="18"/>
              </w:rPr>
              <w:t xml:space="preserve"> </w:t>
            </w:r>
            <w:r>
              <w:rPr>
                <w:spacing w:val="2"/>
                <w:sz w:val="18"/>
                <w:szCs w:val="18"/>
              </w:rPr>
              <w:t>的格式</w:t>
            </w:r>
            <w:r>
              <w:rPr>
                <w:sz w:val="18"/>
                <w:szCs w:val="18"/>
              </w:rPr>
              <w:t xml:space="preserve"> </w:t>
            </w:r>
            <w:r>
              <w:rPr>
                <w:spacing w:val="-3"/>
                <w:sz w:val="18"/>
                <w:szCs w:val="18"/>
              </w:rPr>
              <w:t>化与打</w:t>
            </w:r>
            <w:r>
              <w:rPr>
                <w:sz w:val="18"/>
                <w:szCs w:val="18"/>
              </w:rPr>
              <w:t xml:space="preserve"> </w:t>
            </w:r>
            <w:r>
              <w:rPr>
                <w:spacing w:val="7"/>
                <w:sz w:val="18"/>
                <w:szCs w:val="18"/>
              </w:rPr>
              <w:t>印输出</w:t>
            </w:r>
          </w:p>
        </w:tc>
        <w:tc>
          <w:tcPr>
            <w:tcW w:w="2474" w:type="dxa"/>
            <w:vAlign w:val="top"/>
          </w:tcPr>
          <w:p w14:paraId="7E5E829F">
            <w:pPr>
              <w:pStyle w:val="6"/>
              <w:spacing w:before="37" w:line="213" w:lineRule="auto"/>
              <w:ind w:left="2" w:right="358" w:firstLine="9"/>
              <w:rPr>
                <w:sz w:val="16"/>
                <w:szCs w:val="16"/>
              </w:rPr>
            </w:pPr>
            <w:r>
              <w:rPr>
                <w:sz w:val="16"/>
                <w:szCs w:val="16"/>
              </w:rPr>
              <w:t>1.设置单元格的字体、填充和</w:t>
            </w:r>
            <w:r>
              <w:rPr>
                <w:spacing w:val="12"/>
                <w:sz w:val="16"/>
                <w:szCs w:val="16"/>
              </w:rPr>
              <w:t xml:space="preserve"> </w:t>
            </w:r>
            <w:r>
              <w:rPr>
                <w:spacing w:val="-2"/>
                <w:sz w:val="16"/>
                <w:szCs w:val="16"/>
              </w:rPr>
              <w:t>数据对齐方式</w:t>
            </w:r>
          </w:p>
          <w:p w14:paraId="09587DE2">
            <w:pPr>
              <w:pStyle w:val="6"/>
              <w:spacing w:line="184" w:lineRule="auto"/>
              <w:ind w:left="2"/>
              <w:rPr>
                <w:sz w:val="16"/>
                <w:szCs w:val="16"/>
              </w:rPr>
            </w:pPr>
            <w:r>
              <w:rPr>
                <w:spacing w:val="-1"/>
                <w:sz w:val="16"/>
                <w:szCs w:val="16"/>
              </w:rPr>
              <w:t>2.设置单元格的边框线</w:t>
            </w:r>
          </w:p>
          <w:p w14:paraId="157DB35D">
            <w:pPr>
              <w:pStyle w:val="6"/>
              <w:spacing w:line="219" w:lineRule="auto"/>
              <w:ind w:left="2"/>
              <w:rPr>
                <w:sz w:val="16"/>
                <w:szCs w:val="16"/>
              </w:rPr>
            </w:pPr>
            <w:r>
              <w:rPr>
                <w:spacing w:val="-1"/>
                <w:sz w:val="16"/>
                <w:szCs w:val="16"/>
              </w:rPr>
              <w:t>3.设置单元格的数字格式</w:t>
            </w:r>
          </w:p>
          <w:p w14:paraId="16FF7F5C">
            <w:pPr>
              <w:pStyle w:val="6"/>
              <w:spacing w:line="213" w:lineRule="auto"/>
              <w:ind w:left="2" w:right="387"/>
              <w:rPr>
                <w:sz w:val="16"/>
                <w:szCs w:val="16"/>
              </w:rPr>
            </w:pPr>
            <w:r>
              <w:rPr>
                <w:spacing w:val="-3"/>
                <w:sz w:val="16"/>
                <w:szCs w:val="16"/>
              </w:rPr>
              <w:t>4.</w:t>
            </w:r>
            <w:r>
              <w:rPr>
                <w:spacing w:val="-45"/>
                <w:sz w:val="16"/>
                <w:szCs w:val="16"/>
              </w:rPr>
              <w:t xml:space="preserve"> </w:t>
            </w:r>
            <w:r>
              <w:rPr>
                <w:spacing w:val="-3"/>
                <w:sz w:val="16"/>
                <w:szCs w:val="16"/>
              </w:rPr>
              <w:t>自动套用表格样式格式和单</w:t>
            </w:r>
            <w:r>
              <w:rPr>
                <w:sz w:val="16"/>
                <w:szCs w:val="16"/>
              </w:rPr>
              <w:t xml:space="preserve"> </w:t>
            </w:r>
            <w:r>
              <w:rPr>
                <w:spacing w:val="-2"/>
                <w:sz w:val="16"/>
                <w:szCs w:val="16"/>
              </w:rPr>
              <w:t>元格样式</w:t>
            </w:r>
          </w:p>
          <w:p w14:paraId="3B500F57">
            <w:pPr>
              <w:pStyle w:val="6"/>
              <w:spacing w:line="219" w:lineRule="auto"/>
              <w:ind w:left="2"/>
              <w:rPr>
                <w:sz w:val="16"/>
                <w:szCs w:val="16"/>
              </w:rPr>
            </w:pPr>
            <w:r>
              <w:rPr>
                <w:spacing w:val="-1"/>
                <w:sz w:val="16"/>
                <w:szCs w:val="16"/>
              </w:rPr>
              <w:t>5.设置条件格式</w:t>
            </w:r>
          </w:p>
          <w:p w14:paraId="2A8B7D04">
            <w:pPr>
              <w:pStyle w:val="6"/>
              <w:spacing w:line="186" w:lineRule="auto"/>
              <w:ind w:left="2"/>
              <w:rPr>
                <w:sz w:val="16"/>
                <w:szCs w:val="16"/>
              </w:rPr>
            </w:pPr>
            <w:r>
              <w:rPr>
                <w:spacing w:val="-1"/>
                <w:sz w:val="16"/>
                <w:szCs w:val="16"/>
              </w:rPr>
              <w:t>6.打印预览与打印工作表</w:t>
            </w:r>
          </w:p>
        </w:tc>
        <w:tc>
          <w:tcPr>
            <w:tcW w:w="230" w:type="dxa"/>
            <w:vAlign w:val="top"/>
          </w:tcPr>
          <w:p w14:paraId="1C491241">
            <w:pPr>
              <w:rPr>
                <w:rFonts w:ascii="Arial"/>
                <w:sz w:val="21"/>
              </w:rPr>
            </w:pPr>
          </w:p>
        </w:tc>
        <w:tc>
          <w:tcPr>
            <w:tcW w:w="230" w:type="dxa"/>
            <w:vAlign w:val="top"/>
          </w:tcPr>
          <w:p w14:paraId="50055A12">
            <w:pPr>
              <w:rPr>
                <w:rFonts w:ascii="Arial"/>
                <w:sz w:val="21"/>
              </w:rPr>
            </w:pPr>
          </w:p>
        </w:tc>
        <w:tc>
          <w:tcPr>
            <w:tcW w:w="229" w:type="dxa"/>
            <w:vAlign w:val="top"/>
          </w:tcPr>
          <w:p w14:paraId="04E28AE9">
            <w:pPr>
              <w:spacing w:before="146" w:line="1299" w:lineRule="exact"/>
            </w:pPr>
            <w:r>
              <w:rPr>
                <w:position w:val="-25"/>
              </w:rPr>
              <w:drawing>
                <wp:inline distT="0" distB="0" distL="0" distR="0">
                  <wp:extent cx="123190" cy="824230"/>
                  <wp:effectExtent l="0" t="0" r="0" b="0"/>
                  <wp:docPr id="216" name="IM 216"/>
                  <wp:cNvGraphicFramePr/>
                  <a:graphic xmlns:a="http://schemas.openxmlformats.org/drawingml/2006/main">
                    <a:graphicData uri="http://schemas.openxmlformats.org/drawingml/2006/picture">
                      <pic:pic xmlns:pic="http://schemas.openxmlformats.org/drawingml/2006/picture">
                        <pic:nvPicPr>
                          <pic:cNvPr id="216" name="IM 216"/>
                          <pic:cNvPicPr/>
                        </pic:nvPicPr>
                        <pic:blipFill>
                          <a:blip r:embed="rId273"/>
                          <a:stretch>
                            <a:fillRect/>
                          </a:stretch>
                        </pic:blipFill>
                        <pic:spPr>
                          <a:xfrm>
                            <a:off x="0" y="0"/>
                            <a:ext cx="123201" cy="824611"/>
                          </a:xfrm>
                          <a:prstGeom prst="rect">
                            <a:avLst/>
                          </a:prstGeom>
                        </pic:spPr>
                      </pic:pic>
                    </a:graphicData>
                  </a:graphic>
                </wp:inline>
              </w:drawing>
            </w:r>
          </w:p>
        </w:tc>
        <w:tc>
          <w:tcPr>
            <w:tcW w:w="224" w:type="dxa"/>
            <w:vAlign w:val="top"/>
          </w:tcPr>
          <w:p w14:paraId="6B5584A1">
            <w:pPr>
              <w:rPr>
                <w:rFonts w:ascii="Arial"/>
                <w:sz w:val="21"/>
              </w:rPr>
            </w:pPr>
          </w:p>
        </w:tc>
      </w:tr>
      <w:tr w14:paraId="192409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07" w:hRule="atLeast"/>
        </w:trPr>
        <w:tc>
          <w:tcPr>
            <w:tcW w:w="743" w:type="dxa"/>
            <w:vAlign w:val="top"/>
          </w:tcPr>
          <w:p w14:paraId="14BE755A">
            <w:pPr>
              <w:spacing w:line="271" w:lineRule="auto"/>
              <w:rPr>
                <w:rFonts w:ascii="Arial"/>
                <w:sz w:val="21"/>
              </w:rPr>
            </w:pPr>
          </w:p>
          <w:p w14:paraId="5A794773">
            <w:pPr>
              <w:spacing w:line="272" w:lineRule="auto"/>
              <w:rPr>
                <w:rFonts w:ascii="Arial"/>
                <w:sz w:val="21"/>
              </w:rPr>
            </w:pPr>
          </w:p>
          <w:p w14:paraId="53154B34">
            <w:pPr>
              <w:spacing w:line="272" w:lineRule="auto"/>
              <w:rPr>
                <w:rFonts w:ascii="Arial"/>
                <w:sz w:val="21"/>
              </w:rPr>
            </w:pPr>
          </w:p>
          <w:p w14:paraId="3074DF8E">
            <w:pPr>
              <w:pStyle w:val="6"/>
              <w:spacing w:before="59" w:line="207" w:lineRule="auto"/>
              <w:ind w:left="184" w:right="195"/>
              <w:rPr>
                <w:sz w:val="18"/>
                <w:szCs w:val="18"/>
              </w:rPr>
            </w:pPr>
            <w:r>
              <w:rPr>
                <w:spacing w:val="-5"/>
                <w:sz w:val="18"/>
                <w:szCs w:val="18"/>
              </w:rPr>
              <w:t>数据</w:t>
            </w:r>
            <w:r>
              <w:rPr>
                <w:sz w:val="18"/>
                <w:szCs w:val="18"/>
              </w:rPr>
              <w:t xml:space="preserve"> </w:t>
            </w:r>
            <w:r>
              <w:rPr>
                <w:spacing w:val="-4"/>
                <w:sz w:val="18"/>
                <w:szCs w:val="18"/>
              </w:rPr>
              <w:t>计算</w:t>
            </w:r>
          </w:p>
        </w:tc>
        <w:tc>
          <w:tcPr>
            <w:tcW w:w="2474" w:type="dxa"/>
            <w:vAlign w:val="top"/>
          </w:tcPr>
          <w:p w14:paraId="20841E0A">
            <w:pPr>
              <w:pStyle w:val="6"/>
              <w:spacing w:before="39" w:line="233" w:lineRule="auto"/>
              <w:ind w:left="2" w:firstLine="9"/>
              <w:rPr>
                <w:sz w:val="18"/>
                <w:szCs w:val="18"/>
              </w:rPr>
            </w:pPr>
            <w:r>
              <w:rPr>
                <w:spacing w:val="-5"/>
                <w:sz w:val="18"/>
                <w:szCs w:val="18"/>
              </w:rPr>
              <w:t>1.建立、修改、复制与移动公式</w:t>
            </w:r>
            <w:r>
              <w:rPr>
                <w:spacing w:val="6"/>
                <w:sz w:val="18"/>
                <w:szCs w:val="18"/>
              </w:rPr>
              <w:t xml:space="preserve"> </w:t>
            </w:r>
            <w:r>
              <w:rPr>
                <w:spacing w:val="1"/>
                <w:sz w:val="18"/>
                <w:szCs w:val="18"/>
              </w:rPr>
              <w:t>2.运算符与优先级别</w:t>
            </w:r>
          </w:p>
          <w:p w14:paraId="4041B55E">
            <w:pPr>
              <w:pStyle w:val="6"/>
              <w:spacing w:before="6" w:line="219" w:lineRule="auto"/>
              <w:ind w:left="2"/>
              <w:rPr>
                <w:sz w:val="18"/>
                <w:szCs w:val="18"/>
              </w:rPr>
            </w:pPr>
            <w:r>
              <w:rPr>
                <w:spacing w:val="6"/>
                <w:sz w:val="18"/>
                <w:szCs w:val="18"/>
              </w:rPr>
              <w:t>3.单元格的引用：绝对引用、</w:t>
            </w:r>
          </w:p>
          <w:p w14:paraId="61ED67B1">
            <w:pPr>
              <w:pStyle w:val="6"/>
              <w:spacing w:before="7" w:line="220" w:lineRule="auto"/>
              <w:ind w:left="2" w:right="820"/>
              <w:rPr>
                <w:sz w:val="18"/>
                <w:szCs w:val="18"/>
              </w:rPr>
            </w:pPr>
            <w:r>
              <w:rPr>
                <w:spacing w:val="2"/>
                <w:sz w:val="18"/>
                <w:szCs w:val="18"/>
              </w:rPr>
              <w:t xml:space="preserve">相对引用、混合引用 </w:t>
            </w:r>
            <w:r>
              <w:rPr>
                <w:spacing w:val="-1"/>
                <w:sz w:val="18"/>
                <w:szCs w:val="18"/>
              </w:rPr>
              <w:t>4.函数的使用方法</w:t>
            </w:r>
          </w:p>
          <w:p w14:paraId="4686BBF9">
            <w:pPr>
              <w:pStyle w:val="6"/>
              <w:spacing w:line="219" w:lineRule="auto"/>
              <w:ind w:left="2"/>
              <w:rPr>
                <w:sz w:val="18"/>
                <w:szCs w:val="18"/>
              </w:rPr>
            </w:pPr>
            <w:r>
              <w:rPr>
                <w:sz w:val="18"/>
                <w:szCs w:val="18"/>
              </w:rPr>
              <w:t>5.常用函数：</w:t>
            </w:r>
          </w:p>
          <w:p w14:paraId="262E263B">
            <w:pPr>
              <w:pStyle w:val="6"/>
              <w:spacing w:before="57" w:line="189" w:lineRule="auto"/>
              <w:ind w:left="2" w:right="689"/>
            </w:pPr>
            <w:r>
              <w:rPr>
                <w:sz w:val="18"/>
                <w:szCs w:val="18"/>
              </w:rPr>
              <w:t xml:space="preserve">SUM、AVERAGE、MAX、 </w:t>
            </w:r>
            <w:r>
              <w:rPr>
                <w:spacing w:val="-2"/>
                <w:sz w:val="18"/>
                <w:szCs w:val="18"/>
              </w:rPr>
              <w:t>MIN、COUNT、COUNTA、</w:t>
            </w:r>
            <w:r>
              <w:rPr>
                <w:spacing w:val="5"/>
                <w:sz w:val="18"/>
                <w:szCs w:val="18"/>
              </w:rPr>
              <w:t xml:space="preserve"> </w:t>
            </w:r>
            <w:r>
              <w:rPr>
                <w:spacing w:val="-2"/>
              </w:rPr>
              <w:t>IF、RANK、COUNTIF、</w:t>
            </w:r>
          </w:p>
          <w:p w14:paraId="5C9FCC07">
            <w:pPr>
              <w:pStyle w:val="6"/>
              <w:spacing w:line="134" w:lineRule="exact"/>
              <w:ind w:left="2"/>
            </w:pPr>
            <w:r>
              <w:rPr>
                <w:spacing w:val="-2"/>
                <w:position w:val="-2"/>
              </w:rPr>
              <w:t>SUMIF</w:t>
            </w:r>
          </w:p>
        </w:tc>
        <w:tc>
          <w:tcPr>
            <w:tcW w:w="230" w:type="dxa"/>
            <w:vAlign w:val="top"/>
          </w:tcPr>
          <w:p w14:paraId="2EE7DC2B">
            <w:pPr>
              <w:rPr>
                <w:rFonts w:ascii="Arial"/>
                <w:sz w:val="21"/>
              </w:rPr>
            </w:pPr>
          </w:p>
        </w:tc>
        <w:tc>
          <w:tcPr>
            <w:tcW w:w="230" w:type="dxa"/>
            <w:vAlign w:val="top"/>
          </w:tcPr>
          <w:p w14:paraId="12880725">
            <w:pPr>
              <w:rPr>
                <w:rFonts w:ascii="Arial"/>
                <w:sz w:val="21"/>
              </w:rPr>
            </w:pPr>
          </w:p>
        </w:tc>
        <w:tc>
          <w:tcPr>
            <w:tcW w:w="229" w:type="dxa"/>
            <w:vAlign w:val="top"/>
          </w:tcPr>
          <w:p w14:paraId="6E4D4C5F">
            <w:pPr>
              <w:spacing w:line="246" w:lineRule="auto"/>
              <w:rPr>
                <w:rFonts w:ascii="Arial"/>
                <w:sz w:val="21"/>
              </w:rPr>
            </w:pPr>
          </w:p>
          <w:p w14:paraId="1B8D652A">
            <w:pPr>
              <w:spacing w:line="247" w:lineRule="auto"/>
              <w:rPr>
                <w:rFonts w:ascii="Arial"/>
                <w:sz w:val="21"/>
              </w:rPr>
            </w:pPr>
          </w:p>
          <w:p w14:paraId="315A4C4E">
            <w:pPr>
              <w:spacing w:line="247" w:lineRule="auto"/>
              <w:rPr>
                <w:rFonts w:ascii="Arial"/>
                <w:sz w:val="21"/>
              </w:rPr>
            </w:pPr>
          </w:p>
          <w:p w14:paraId="7D961464">
            <w:pPr>
              <w:spacing w:line="247" w:lineRule="auto"/>
              <w:rPr>
                <w:rFonts w:ascii="Arial"/>
                <w:sz w:val="21"/>
              </w:rPr>
            </w:pPr>
          </w:p>
          <w:p w14:paraId="495061E8">
            <w:pPr>
              <w:pStyle w:val="6"/>
              <w:spacing w:before="55" w:line="228" w:lineRule="exact"/>
              <w:ind w:left="17"/>
            </w:pPr>
            <w:r>
              <w:rPr>
                <w:position w:val="1"/>
              </w:rPr>
              <w:t>√</w:t>
            </w:r>
          </w:p>
        </w:tc>
        <w:tc>
          <w:tcPr>
            <w:tcW w:w="224" w:type="dxa"/>
            <w:vAlign w:val="top"/>
          </w:tcPr>
          <w:p w14:paraId="3D2AEC78">
            <w:pPr>
              <w:rPr>
                <w:rFonts w:ascii="Arial"/>
                <w:sz w:val="21"/>
              </w:rPr>
            </w:pPr>
          </w:p>
        </w:tc>
      </w:tr>
      <w:tr w14:paraId="6699F9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78" w:hRule="atLeast"/>
        </w:trPr>
        <w:tc>
          <w:tcPr>
            <w:tcW w:w="743" w:type="dxa"/>
            <w:vAlign w:val="top"/>
          </w:tcPr>
          <w:p w14:paraId="2CAC2FD9">
            <w:pPr>
              <w:pStyle w:val="6"/>
              <w:spacing w:before="262" w:line="218" w:lineRule="auto"/>
              <w:ind w:left="184" w:right="196"/>
              <w:rPr>
                <w:sz w:val="18"/>
                <w:szCs w:val="18"/>
              </w:rPr>
            </w:pPr>
            <w:r>
              <w:rPr>
                <w:spacing w:val="-5"/>
                <w:sz w:val="18"/>
                <w:szCs w:val="18"/>
              </w:rPr>
              <w:t>数据</w:t>
            </w:r>
            <w:r>
              <w:rPr>
                <w:sz w:val="18"/>
                <w:szCs w:val="18"/>
              </w:rPr>
              <w:t xml:space="preserve"> </w:t>
            </w:r>
            <w:r>
              <w:rPr>
                <w:spacing w:val="-5"/>
                <w:sz w:val="18"/>
                <w:szCs w:val="18"/>
              </w:rPr>
              <w:t>分析</w:t>
            </w:r>
          </w:p>
        </w:tc>
        <w:tc>
          <w:tcPr>
            <w:tcW w:w="2474" w:type="dxa"/>
            <w:vAlign w:val="top"/>
          </w:tcPr>
          <w:p w14:paraId="17CDFC34">
            <w:pPr>
              <w:pStyle w:val="6"/>
              <w:spacing w:before="42" w:line="219" w:lineRule="auto"/>
              <w:ind w:left="2"/>
              <w:rPr>
                <w:sz w:val="18"/>
                <w:szCs w:val="18"/>
              </w:rPr>
            </w:pPr>
            <w:r>
              <w:rPr>
                <w:spacing w:val="1"/>
                <w:sz w:val="18"/>
                <w:szCs w:val="18"/>
              </w:rPr>
              <w:t>1.数据记录的排序</w:t>
            </w:r>
          </w:p>
          <w:p w14:paraId="26E5892E">
            <w:pPr>
              <w:pStyle w:val="6"/>
              <w:spacing w:before="6" w:line="215" w:lineRule="auto"/>
              <w:ind w:left="2"/>
              <w:rPr>
                <w:sz w:val="18"/>
                <w:szCs w:val="18"/>
              </w:rPr>
            </w:pPr>
            <w:r>
              <w:rPr>
                <w:spacing w:val="-21"/>
                <w:w w:val="97"/>
                <w:sz w:val="18"/>
                <w:szCs w:val="18"/>
              </w:rPr>
              <w:t>2.数据的筛选：自动筛选</w:t>
            </w:r>
            <w:r>
              <w:rPr>
                <w:spacing w:val="-20"/>
                <w:w w:val="97"/>
                <w:sz w:val="18"/>
                <w:szCs w:val="18"/>
              </w:rPr>
              <w:t>、高级筛</w:t>
            </w:r>
            <w:r>
              <w:rPr>
                <w:spacing w:val="-8"/>
                <w:w w:val="97"/>
                <w:sz w:val="18"/>
                <w:szCs w:val="18"/>
              </w:rPr>
              <w:t>选</w:t>
            </w:r>
            <w:r>
              <w:rPr>
                <w:spacing w:val="7"/>
                <w:sz w:val="18"/>
                <w:szCs w:val="18"/>
              </w:rPr>
              <w:t xml:space="preserve"> </w:t>
            </w:r>
            <w:r>
              <w:rPr>
                <w:spacing w:val="1"/>
                <w:sz w:val="18"/>
                <w:szCs w:val="18"/>
              </w:rPr>
              <w:t>3.数据的分类汇总</w:t>
            </w:r>
          </w:p>
          <w:p w14:paraId="71263C9C">
            <w:pPr>
              <w:pStyle w:val="6"/>
              <w:spacing w:line="190" w:lineRule="auto"/>
              <w:ind w:left="2"/>
              <w:rPr>
                <w:sz w:val="18"/>
                <w:szCs w:val="18"/>
              </w:rPr>
            </w:pPr>
            <w:r>
              <w:rPr>
                <w:spacing w:val="-1"/>
                <w:sz w:val="18"/>
                <w:szCs w:val="18"/>
              </w:rPr>
              <w:t>4.数据透视表</w:t>
            </w:r>
          </w:p>
        </w:tc>
        <w:tc>
          <w:tcPr>
            <w:tcW w:w="230" w:type="dxa"/>
            <w:vAlign w:val="top"/>
          </w:tcPr>
          <w:p w14:paraId="2F1F5744">
            <w:pPr>
              <w:rPr>
                <w:rFonts w:ascii="Arial"/>
                <w:sz w:val="21"/>
              </w:rPr>
            </w:pPr>
          </w:p>
        </w:tc>
        <w:tc>
          <w:tcPr>
            <w:tcW w:w="230" w:type="dxa"/>
            <w:vAlign w:val="top"/>
          </w:tcPr>
          <w:p w14:paraId="4CD39E66">
            <w:pPr>
              <w:rPr>
                <w:rFonts w:ascii="Arial"/>
                <w:sz w:val="21"/>
              </w:rPr>
            </w:pPr>
          </w:p>
        </w:tc>
        <w:tc>
          <w:tcPr>
            <w:tcW w:w="229" w:type="dxa"/>
            <w:vAlign w:val="top"/>
          </w:tcPr>
          <w:p w14:paraId="05E2363F">
            <w:pPr>
              <w:pStyle w:val="6"/>
              <w:spacing w:before="270" w:line="238" w:lineRule="auto"/>
              <w:ind w:left="7"/>
              <w:rPr>
                <w:sz w:val="18"/>
                <w:szCs w:val="18"/>
              </w:rPr>
            </w:pPr>
            <w:r>
              <w:rPr>
                <w:sz w:val="18"/>
                <w:szCs w:val="18"/>
              </w:rPr>
              <w:t>√</w:t>
            </w:r>
          </w:p>
        </w:tc>
        <w:tc>
          <w:tcPr>
            <w:tcW w:w="224" w:type="dxa"/>
            <w:vAlign w:val="top"/>
          </w:tcPr>
          <w:p w14:paraId="67A0B22D">
            <w:pPr>
              <w:rPr>
                <w:rFonts w:ascii="Arial"/>
                <w:sz w:val="21"/>
              </w:rPr>
            </w:pPr>
          </w:p>
        </w:tc>
      </w:tr>
      <w:tr w14:paraId="1D65B8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42" w:hRule="atLeast"/>
        </w:trPr>
        <w:tc>
          <w:tcPr>
            <w:tcW w:w="743" w:type="dxa"/>
            <w:vAlign w:val="top"/>
          </w:tcPr>
          <w:p w14:paraId="255711F9">
            <w:pPr>
              <w:spacing w:line="242" w:lineRule="auto"/>
              <w:rPr>
                <w:rFonts w:ascii="Arial"/>
                <w:sz w:val="21"/>
              </w:rPr>
            </w:pPr>
          </w:p>
          <w:p w14:paraId="1A98700D">
            <w:pPr>
              <w:spacing w:line="242" w:lineRule="auto"/>
              <w:rPr>
                <w:rFonts w:ascii="Arial"/>
                <w:sz w:val="21"/>
              </w:rPr>
            </w:pPr>
          </w:p>
          <w:p w14:paraId="38DDF53E">
            <w:pPr>
              <w:pStyle w:val="6"/>
              <w:spacing w:before="58" w:line="203" w:lineRule="auto"/>
              <w:ind w:left="94"/>
              <w:rPr>
                <w:sz w:val="18"/>
                <w:szCs w:val="18"/>
              </w:rPr>
            </w:pPr>
            <w:r>
              <w:rPr>
                <w:spacing w:val="4"/>
                <w:sz w:val="18"/>
                <w:szCs w:val="18"/>
              </w:rPr>
              <w:t>图表的</w:t>
            </w:r>
          </w:p>
          <w:p w14:paraId="0673E961">
            <w:pPr>
              <w:pStyle w:val="6"/>
              <w:spacing w:line="218" w:lineRule="auto"/>
              <w:ind w:left="184"/>
              <w:rPr>
                <w:sz w:val="18"/>
                <w:szCs w:val="18"/>
              </w:rPr>
            </w:pPr>
            <w:r>
              <w:rPr>
                <w:spacing w:val="-2"/>
                <w:sz w:val="18"/>
                <w:szCs w:val="18"/>
              </w:rPr>
              <w:t>基本</w:t>
            </w:r>
          </w:p>
          <w:p w14:paraId="17EB630D">
            <w:pPr>
              <w:pStyle w:val="6"/>
              <w:spacing w:before="7" w:line="219" w:lineRule="auto"/>
              <w:ind w:left="184"/>
              <w:rPr>
                <w:sz w:val="18"/>
                <w:szCs w:val="18"/>
              </w:rPr>
            </w:pPr>
            <w:r>
              <w:rPr>
                <w:spacing w:val="-2"/>
                <w:sz w:val="18"/>
                <w:szCs w:val="18"/>
              </w:rPr>
              <w:t>操作</w:t>
            </w:r>
          </w:p>
        </w:tc>
        <w:tc>
          <w:tcPr>
            <w:tcW w:w="2474" w:type="dxa"/>
            <w:vAlign w:val="top"/>
          </w:tcPr>
          <w:p w14:paraId="5F28C15F">
            <w:pPr>
              <w:pStyle w:val="6"/>
              <w:spacing w:before="85" w:line="224" w:lineRule="auto"/>
              <w:ind w:left="2" w:right="1750"/>
              <w:rPr>
                <w:sz w:val="18"/>
                <w:szCs w:val="18"/>
              </w:rPr>
            </w:pPr>
            <w:r>
              <w:rPr>
                <w:spacing w:val="-3"/>
                <w:sz w:val="18"/>
                <w:szCs w:val="18"/>
              </w:rPr>
              <w:t>建立图表</w:t>
            </w:r>
            <w:r>
              <w:rPr>
                <w:spacing w:val="1"/>
                <w:sz w:val="18"/>
                <w:szCs w:val="18"/>
              </w:rPr>
              <w:t xml:space="preserve"> </w:t>
            </w:r>
            <w:r>
              <w:rPr>
                <w:spacing w:val="-3"/>
                <w:sz w:val="18"/>
                <w:szCs w:val="18"/>
              </w:rPr>
              <w:t>编辑图表</w:t>
            </w:r>
          </w:p>
          <w:p w14:paraId="6F4A1ACE">
            <w:pPr>
              <w:pStyle w:val="6"/>
              <w:spacing w:before="1" w:line="219" w:lineRule="auto"/>
              <w:ind w:left="2" w:right="96" w:firstLine="9"/>
              <w:rPr>
                <w:sz w:val="18"/>
                <w:szCs w:val="18"/>
              </w:rPr>
            </w:pPr>
            <w:r>
              <w:rPr>
                <w:spacing w:val="1"/>
                <w:sz w:val="18"/>
                <w:szCs w:val="18"/>
              </w:rPr>
              <w:t xml:space="preserve">①移动、复制、缩放或删除图 </w:t>
            </w:r>
            <w:r>
              <w:rPr>
                <w:sz w:val="18"/>
                <w:szCs w:val="18"/>
              </w:rPr>
              <w:t>表</w:t>
            </w:r>
          </w:p>
          <w:p w14:paraId="74928119">
            <w:pPr>
              <w:pStyle w:val="6"/>
              <w:spacing w:before="11" w:line="217" w:lineRule="auto"/>
              <w:ind w:left="2"/>
              <w:rPr>
                <w:sz w:val="18"/>
                <w:szCs w:val="18"/>
              </w:rPr>
            </w:pPr>
            <w:r>
              <w:rPr>
                <w:spacing w:val="-1"/>
                <w:sz w:val="18"/>
                <w:szCs w:val="18"/>
              </w:rPr>
              <w:t>②更改图表类型</w:t>
            </w:r>
          </w:p>
          <w:p w14:paraId="0913D0D2">
            <w:pPr>
              <w:pStyle w:val="6"/>
              <w:spacing w:before="38" w:line="213" w:lineRule="auto"/>
              <w:ind w:left="2" w:right="1207"/>
              <w:rPr>
                <w:sz w:val="18"/>
                <w:szCs w:val="18"/>
              </w:rPr>
            </w:pPr>
            <w:r>
              <w:rPr>
                <w:spacing w:val="-1"/>
                <w:sz w:val="18"/>
                <w:szCs w:val="18"/>
              </w:rPr>
              <w:t>③修改图表元素</w:t>
            </w:r>
            <w:r>
              <w:rPr>
                <w:sz w:val="18"/>
                <w:szCs w:val="18"/>
              </w:rPr>
              <w:t xml:space="preserve"> </w:t>
            </w:r>
            <w:r>
              <w:rPr>
                <w:spacing w:val="1"/>
                <w:sz w:val="18"/>
                <w:szCs w:val="18"/>
              </w:rPr>
              <w:t>图表的格式化</w:t>
            </w:r>
          </w:p>
        </w:tc>
        <w:tc>
          <w:tcPr>
            <w:tcW w:w="230" w:type="dxa"/>
            <w:vAlign w:val="top"/>
          </w:tcPr>
          <w:p w14:paraId="550B0C5B">
            <w:pPr>
              <w:rPr>
                <w:rFonts w:ascii="Arial"/>
                <w:sz w:val="21"/>
              </w:rPr>
            </w:pPr>
          </w:p>
        </w:tc>
        <w:tc>
          <w:tcPr>
            <w:tcW w:w="230" w:type="dxa"/>
            <w:vAlign w:val="top"/>
          </w:tcPr>
          <w:p w14:paraId="1C77B2C7">
            <w:pPr>
              <w:rPr>
                <w:rFonts w:ascii="Arial"/>
                <w:sz w:val="21"/>
              </w:rPr>
            </w:pPr>
          </w:p>
        </w:tc>
        <w:tc>
          <w:tcPr>
            <w:tcW w:w="229" w:type="dxa"/>
            <w:vAlign w:val="top"/>
          </w:tcPr>
          <w:p w14:paraId="364B8DA5">
            <w:pPr>
              <w:rPr>
                <w:rFonts w:ascii="Arial"/>
                <w:sz w:val="21"/>
              </w:rPr>
            </w:pPr>
          </w:p>
        </w:tc>
        <w:tc>
          <w:tcPr>
            <w:tcW w:w="224" w:type="dxa"/>
            <w:vAlign w:val="top"/>
          </w:tcPr>
          <w:p w14:paraId="402EB3EB">
            <w:pPr>
              <w:rPr>
                <w:rFonts w:ascii="Arial"/>
                <w:sz w:val="21"/>
              </w:rPr>
            </w:pPr>
          </w:p>
        </w:tc>
      </w:tr>
    </w:tbl>
    <w:p w14:paraId="649845C0">
      <w:pPr>
        <w:spacing w:before="160" w:line="219" w:lineRule="auto"/>
        <w:ind w:left="510"/>
        <w:rPr>
          <w:rFonts w:ascii="宋体" w:hAnsi="宋体" w:eastAsia="宋体" w:cs="宋体"/>
          <w:sz w:val="17"/>
          <w:szCs w:val="17"/>
        </w:rPr>
      </w:pPr>
      <w:r>
        <w:rPr>
          <w:rFonts w:ascii="宋体" w:hAnsi="宋体" w:eastAsia="宋体" w:cs="宋体"/>
          <w:spacing w:val="9"/>
          <w:sz w:val="17"/>
          <w:szCs w:val="17"/>
        </w:rPr>
        <w:t>(五)数字媒体技术应用</w:t>
      </w:r>
    </w:p>
    <w:p w14:paraId="0949467F">
      <w:pPr>
        <w:spacing w:line="107" w:lineRule="exact"/>
      </w:pPr>
    </w:p>
    <w:tbl>
      <w:tblPr>
        <w:tblStyle w:val="5"/>
        <w:tblW w:w="4130"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63"/>
        <w:gridCol w:w="2454"/>
        <w:gridCol w:w="230"/>
        <w:gridCol w:w="229"/>
        <w:gridCol w:w="220"/>
        <w:gridCol w:w="234"/>
      </w:tblGrid>
      <w:tr w14:paraId="5BFA4F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4" w:hRule="atLeast"/>
        </w:trPr>
        <w:tc>
          <w:tcPr>
            <w:tcW w:w="763" w:type="dxa"/>
            <w:vMerge w:val="restart"/>
            <w:tcBorders>
              <w:bottom w:val="nil"/>
            </w:tcBorders>
            <w:vAlign w:val="top"/>
          </w:tcPr>
          <w:p w14:paraId="38216A6F">
            <w:pPr>
              <w:pStyle w:val="6"/>
              <w:spacing w:before="20" w:line="224" w:lineRule="auto"/>
              <w:ind w:left="116" w:right="45" w:hanging="79"/>
            </w:pPr>
            <w:r>
              <w:rPr>
                <w:b/>
                <w:bCs/>
                <w:spacing w:val="-5"/>
              </w:rPr>
              <w:t>知识与技</w:t>
            </w:r>
            <w:r>
              <w:rPr>
                <w:spacing w:val="1"/>
              </w:rPr>
              <w:t xml:space="preserve"> </w:t>
            </w:r>
            <w:r>
              <w:rPr>
                <w:b/>
                <w:bCs/>
                <w:spacing w:val="1"/>
              </w:rPr>
              <w:t>能要点</w:t>
            </w:r>
          </w:p>
        </w:tc>
        <w:tc>
          <w:tcPr>
            <w:tcW w:w="2454" w:type="dxa"/>
            <w:vMerge w:val="restart"/>
            <w:tcBorders>
              <w:bottom w:val="nil"/>
            </w:tcBorders>
            <w:vAlign w:val="top"/>
          </w:tcPr>
          <w:p w14:paraId="1B4A4621">
            <w:pPr>
              <w:pStyle w:val="6"/>
              <w:spacing w:before="139" w:line="219" w:lineRule="auto"/>
              <w:ind w:left="914"/>
            </w:pPr>
            <w:r>
              <w:rPr>
                <w:b/>
                <w:bCs/>
                <w:spacing w:val="5"/>
              </w:rPr>
              <w:t>考试条目</w:t>
            </w:r>
          </w:p>
        </w:tc>
        <w:tc>
          <w:tcPr>
            <w:tcW w:w="913" w:type="dxa"/>
            <w:gridSpan w:val="4"/>
            <w:vAlign w:val="top"/>
          </w:tcPr>
          <w:p w14:paraId="207EE9F5">
            <w:pPr>
              <w:pStyle w:val="6"/>
              <w:spacing w:before="28" w:line="201" w:lineRule="auto"/>
              <w:ind w:left="150"/>
            </w:pPr>
            <w:r>
              <w:rPr>
                <w:b/>
                <w:bCs/>
                <w:spacing w:val="-4"/>
              </w:rPr>
              <w:t>考试水平</w:t>
            </w:r>
          </w:p>
        </w:tc>
      </w:tr>
      <w:tr w14:paraId="133713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9" w:hRule="atLeast"/>
        </w:trPr>
        <w:tc>
          <w:tcPr>
            <w:tcW w:w="763" w:type="dxa"/>
            <w:vMerge w:val="continue"/>
            <w:tcBorders>
              <w:top w:val="nil"/>
            </w:tcBorders>
            <w:vAlign w:val="top"/>
          </w:tcPr>
          <w:p w14:paraId="341F5068">
            <w:pPr>
              <w:rPr>
                <w:rFonts w:ascii="Arial"/>
                <w:sz w:val="21"/>
              </w:rPr>
            </w:pPr>
          </w:p>
        </w:tc>
        <w:tc>
          <w:tcPr>
            <w:tcW w:w="2454" w:type="dxa"/>
            <w:vMerge w:val="continue"/>
            <w:tcBorders>
              <w:top w:val="nil"/>
            </w:tcBorders>
            <w:vAlign w:val="top"/>
          </w:tcPr>
          <w:p w14:paraId="50EB3466">
            <w:pPr>
              <w:rPr>
                <w:rFonts w:ascii="Arial"/>
                <w:sz w:val="21"/>
              </w:rPr>
            </w:pPr>
          </w:p>
        </w:tc>
        <w:tc>
          <w:tcPr>
            <w:tcW w:w="230" w:type="dxa"/>
            <w:vAlign w:val="top"/>
          </w:tcPr>
          <w:p w14:paraId="7DE79522">
            <w:pPr>
              <w:pStyle w:val="6"/>
              <w:spacing w:before="60" w:line="139" w:lineRule="exact"/>
              <w:ind w:left="50"/>
            </w:pPr>
            <w:r>
              <w:rPr>
                <w:b/>
                <w:bCs/>
                <w:spacing w:val="-2"/>
                <w:position w:val="-2"/>
              </w:rPr>
              <w:t>A</w:t>
            </w:r>
          </w:p>
        </w:tc>
        <w:tc>
          <w:tcPr>
            <w:tcW w:w="229" w:type="dxa"/>
            <w:vAlign w:val="top"/>
          </w:tcPr>
          <w:p w14:paraId="0DFC6456">
            <w:pPr>
              <w:pStyle w:val="6"/>
              <w:spacing w:before="62" w:line="137" w:lineRule="exact"/>
              <w:ind w:left="20"/>
            </w:pPr>
            <w:r>
              <w:rPr>
                <w:b/>
                <w:bCs/>
                <w:spacing w:val="-2"/>
                <w:position w:val="-2"/>
              </w:rPr>
              <w:t>B</w:t>
            </w:r>
          </w:p>
        </w:tc>
        <w:tc>
          <w:tcPr>
            <w:tcW w:w="220" w:type="dxa"/>
            <w:vAlign w:val="top"/>
          </w:tcPr>
          <w:p w14:paraId="1334855B">
            <w:pPr>
              <w:pStyle w:val="6"/>
              <w:spacing w:before="61" w:line="138" w:lineRule="exact"/>
              <w:ind w:left="39"/>
            </w:pPr>
            <w:r>
              <w:rPr>
                <w:position w:val="-2"/>
              </w:rPr>
              <w:t>C</w:t>
            </w:r>
          </w:p>
        </w:tc>
        <w:tc>
          <w:tcPr>
            <w:tcW w:w="234" w:type="dxa"/>
            <w:vAlign w:val="top"/>
          </w:tcPr>
          <w:p w14:paraId="12AB8170">
            <w:pPr>
              <w:pStyle w:val="6"/>
              <w:spacing w:before="62" w:line="137" w:lineRule="exact"/>
              <w:ind w:left="51"/>
            </w:pPr>
            <w:r>
              <w:rPr>
                <w:b/>
                <w:bCs/>
                <w:spacing w:val="-2"/>
                <w:position w:val="-2"/>
              </w:rPr>
              <w:t>D</w:t>
            </w:r>
          </w:p>
        </w:tc>
      </w:tr>
      <w:tr w14:paraId="408127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16" w:hRule="atLeast"/>
        </w:trPr>
        <w:tc>
          <w:tcPr>
            <w:tcW w:w="763" w:type="dxa"/>
            <w:vAlign w:val="top"/>
          </w:tcPr>
          <w:p w14:paraId="69612ADD">
            <w:pPr>
              <w:pStyle w:val="6"/>
              <w:spacing w:before="78" w:line="218" w:lineRule="auto"/>
              <w:ind w:left="114"/>
            </w:pPr>
            <w:r>
              <w:rPr>
                <w:spacing w:val="-2"/>
              </w:rPr>
              <w:t>数字媒</w:t>
            </w:r>
          </w:p>
          <w:p w14:paraId="0F7C423A">
            <w:pPr>
              <w:pStyle w:val="6"/>
              <w:spacing w:line="219" w:lineRule="auto"/>
              <w:ind w:left="114"/>
            </w:pPr>
            <w:r>
              <w:rPr>
                <w:spacing w:val="-2"/>
              </w:rPr>
              <w:t>体技术</w:t>
            </w:r>
          </w:p>
          <w:p w14:paraId="631BC9B9">
            <w:pPr>
              <w:pStyle w:val="6"/>
              <w:spacing w:before="43" w:line="197" w:lineRule="auto"/>
              <w:ind w:left="205"/>
            </w:pPr>
            <w:r>
              <w:rPr>
                <w:spacing w:val="-2"/>
              </w:rPr>
              <w:t>基础</w:t>
            </w:r>
          </w:p>
        </w:tc>
        <w:tc>
          <w:tcPr>
            <w:tcW w:w="2454" w:type="dxa"/>
            <w:vAlign w:val="top"/>
          </w:tcPr>
          <w:p w14:paraId="65F6D803">
            <w:pPr>
              <w:pStyle w:val="6"/>
              <w:spacing w:before="67" w:line="219" w:lineRule="auto"/>
              <w:ind w:left="11"/>
            </w:pPr>
            <w:r>
              <w:rPr>
                <w:spacing w:val="1"/>
              </w:rPr>
              <w:t>1.数字媒体技术的特点</w:t>
            </w:r>
          </w:p>
          <w:p w14:paraId="332CB2E8">
            <w:pPr>
              <w:pStyle w:val="6"/>
              <w:spacing w:before="9" w:line="232" w:lineRule="auto"/>
              <w:ind w:left="11" w:right="230"/>
            </w:pPr>
            <w:r>
              <w:rPr>
                <w:spacing w:val="-1"/>
              </w:rPr>
              <w:t>2.数字媒体文件的类型和格式</w:t>
            </w:r>
            <w:r>
              <w:rPr>
                <w:spacing w:val="4"/>
              </w:rPr>
              <w:t xml:space="preserve"> </w:t>
            </w:r>
            <w:r>
              <w:rPr>
                <w:spacing w:val="-1"/>
              </w:rPr>
              <w:t>3.数字媒体素材的获取</w:t>
            </w:r>
          </w:p>
        </w:tc>
        <w:tc>
          <w:tcPr>
            <w:tcW w:w="230" w:type="dxa"/>
            <w:vAlign w:val="top"/>
          </w:tcPr>
          <w:p w14:paraId="4309E2CB">
            <w:pPr>
              <w:rPr>
                <w:rFonts w:ascii="Arial"/>
                <w:sz w:val="21"/>
              </w:rPr>
            </w:pPr>
          </w:p>
        </w:tc>
        <w:tc>
          <w:tcPr>
            <w:tcW w:w="229" w:type="dxa"/>
            <w:vAlign w:val="top"/>
          </w:tcPr>
          <w:p w14:paraId="2668B930">
            <w:pPr>
              <w:rPr>
                <w:rFonts w:ascii="Arial"/>
                <w:sz w:val="21"/>
              </w:rPr>
            </w:pPr>
          </w:p>
        </w:tc>
        <w:tc>
          <w:tcPr>
            <w:tcW w:w="220" w:type="dxa"/>
            <w:vAlign w:val="top"/>
          </w:tcPr>
          <w:p w14:paraId="6F95412B">
            <w:pPr>
              <w:rPr>
                <w:rFonts w:ascii="Arial"/>
                <w:sz w:val="21"/>
              </w:rPr>
            </w:pPr>
          </w:p>
        </w:tc>
        <w:tc>
          <w:tcPr>
            <w:tcW w:w="234" w:type="dxa"/>
            <w:vAlign w:val="top"/>
          </w:tcPr>
          <w:p w14:paraId="53353B8C">
            <w:pPr>
              <w:spacing w:line="465" w:lineRule="auto"/>
              <w:rPr>
                <w:rFonts w:ascii="Arial"/>
                <w:sz w:val="21"/>
              </w:rPr>
            </w:pPr>
          </w:p>
          <w:p w14:paraId="43C60D3A">
            <w:pPr>
              <w:pStyle w:val="6"/>
              <w:spacing w:before="42" w:line="238" w:lineRule="auto"/>
              <w:ind w:left="8"/>
              <w:rPr>
                <w:sz w:val="13"/>
                <w:szCs w:val="13"/>
              </w:rPr>
            </w:pPr>
            <w:r>
              <w:rPr>
                <w:sz w:val="13"/>
                <w:szCs w:val="13"/>
              </w:rPr>
              <w:t>√</w:t>
            </w:r>
          </w:p>
        </w:tc>
      </w:tr>
      <w:tr w14:paraId="0A69FC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51" w:hRule="atLeast"/>
        </w:trPr>
        <w:tc>
          <w:tcPr>
            <w:tcW w:w="763" w:type="dxa"/>
            <w:vAlign w:val="top"/>
          </w:tcPr>
          <w:p w14:paraId="3E764C85">
            <w:pPr>
              <w:pStyle w:val="6"/>
              <w:spacing w:before="52" w:line="218" w:lineRule="auto"/>
              <w:ind w:left="114"/>
            </w:pPr>
            <w:r>
              <w:rPr>
                <w:spacing w:val="-2"/>
              </w:rPr>
              <w:t>数字媒</w:t>
            </w:r>
          </w:p>
          <w:p w14:paraId="07FC9FCE">
            <w:pPr>
              <w:pStyle w:val="6"/>
              <w:spacing w:line="220" w:lineRule="auto"/>
              <w:ind w:left="114"/>
            </w:pPr>
            <w:r>
              <w:rPr>
                <w:spacing w:val="5"/>
              </w:rPr>
              <w:t>体作品</w:t>
            </w:r>
          </w:p>
          <w:p w14:paraId="57623E2B">
            <w:pPr>
              <w:pStyle w:val="6"/>
              <w:spacing w:before="17" w:line="182" w:lineRule="auto"/>
              <w:ind w:left="205"/>
            </w:pPr>
            <w:r>
              <w:rPr>
                <w:spacing w:val="-2"/>
              </w:rPr>
              <w:t>制作</w:t>
            </w:r>
          </w:p>
        </w:tc>
        <w:tc>
          <w:tcPr>
            <w:tcW w:w="2454" w:type="dxa"/>
            <w:vAlign w:val="top"/>
          </w:tcPr>
          <w:p w14:paraId="00DD5CD1">
            <w:pPr>
              <w:pStyle w:val="6"/>
              <w:spacing w:before="152" w:line="230" w:lineRule="auto"/>
              <w:ind w:left="11" w:right="740"/>
            </w:pPr>
            <w:r>
              <w:rPr>
                <w:spacing w:val="1"/>
              </w:rPr>
              <w:t>1.图像处理基础知识</w:t>
            </w:r>
            <w:r>
              <w:t xml:space="preserve">   </w:t>
            </w:r>
            <w:r>
              <w:rPr>
                <w:spacing w:val="-1"/>
              </w:rPr>
              <w:t>2.短视频制作基础知识</w:t>
            </w:r>
          </w:p>
        </w:tc>
        <w:tc>
          <w:tcPr>
            <w:tcW w:w="230" w:type="dxa"/>
            <w:vAlign w:val="top"/>
          </w:tcPr>
          <w:p w14:paraId="7139801E">
            <w:pPr>
              <w:rPr>
                <w:rFonts w:ascii="Arial"/>
                <w:sz w:val="21"/>
              </w:rPr>
            </w:pPr>
          </w:p>
        </w:tc>
        <w:tc>
          <w:tcPr>
            <w:tcW w:w="229" w:type="dxa"/>
            <w:vAlign w:val="top"/>
          </w:tcPr>
          <w:p w14:paraId="6F4E0B1D">
            <w:pPr>
              <w:rPr>
                <w:rFonts w:ascii="Arial"/>
                <w:sz w:val="21"/>
              </w:rPr>
            </w:pPr>
          </w:p>
        </w:tc>
        <w:tc>
          <w:tcPr>
            <w:tcW w:w="220" w:type="dxa"/>
            <w:vAlign w:val="top"/>
          </w:tcPr>
          <w:p w14:paraId="241088B8">
            <w:pPr>
              <w:rPr>
                <w:rFonts w:ascii="Arial"/>
                <w:sz w:val="21"/>
              </w:rPr>
            </w:pPr>
          </w:p>
        </w:tc>
        <w:tc>
          <w:tcPr>
            <w:tcW w:w="234" w:type="dxa"/>
            <w:vAlign w:val="top"/>
          </w:tcPr>
          <w:p w14:paraId="775D19D0">
            <w:pPr>
              <w:rPr>
                <w:rFonts w:ascii="Arial"/>
                <w:sz w:val="21"/>
              </w:rPr>
            </w:pPr>
          </w:p>
        </w:tc>
      </w:tr>
    </w:tbl>
    <w:p w14:paraId="6647BD6C">
      <w:pPr>
        <w:spacing w:before="142" w:line="212" w:lineRule="auto"/>
        <w:ind w:left="500"/>
        <w:rPr>
          <w:rFonts w:ascii="Times New Roman" w:hAnsi="Times New Roman" w:eastAsia="Times New Roman" w:cs="Times New Roman"/>
          <w:sz w:val="17"/>
          <w:szCs w:val="17"/>
        </w:rPr>
      </w:pPr>
      <w:r>
        <w:rPr>
          <w:rFonts w:ascii="宋体" w:hAnsi="宋体" w:eastAsia="宋体" w:cs="宋体"/>
          <w:spacing w:val="5"/>
          <w:sz w:val="17"/>
          <w:szCs w:val="17"/>
        </w:rPr>
        <w:t>(六)演示文稿软件应用</w:t>
      </w:r>
      <w:r>
        <w:rPr>
          <w:rFonts w:ascii="宋体" w:hAnsi="宋体" w:eastAsia="宋体" w:cs="宋体"/>
          <w:spacing w:val="-32"/>
          <w:sz w:val="17"/>
          <w:szCs w:val="17"/>
        </w:rPr>
        <w:t xml:space="preserve"> </w:t>
      </w:r>
      <w:r>
        <w:rPr>
          <w:rFonts w:ascii="Times New Roman" w:hAnsi="Times New Roman" w:eastAsia="Times New Roman" w:cs="Times New Roman"/>
          <w:spacing w:val="5"/>
          <w:sz w:val="17"/>
          <w:szCs w:val="17"/>
        </w:rPr>
        <w:t>(</w:t>
      </w:r>
      <w:r>
        <w:rPr>
          <w:rFonts w:ascii="Times New Roman" w:hAnsi="Times New Roman" w:eastAsia="Times New Roman" w:cs="Times New Roman"/>
          <w:sz w:val="17"/>
          <w:szCs w:val="17"/>
        </w:rPr>
        <w:t>PowerPoint</w:t>
      </w:r>
      <w:r>
        <w:rPr>
          <w:rFonts w:ascii="Times New Roman" w:hAnsi="Times New Roman" w:eastAsia="Times New Roman" w:cs="Times New Roman"/>
          <w:spacing w:val="1"/>
          <w:sz w:val="17"/>
          <w:szCs w:val="17"/>
        </w:rPr>
        <w:t xml:space="preserve">   </w:t>
      </w:r>
      <w:r>
        <w:rPr>
          <w:rFonts w:ascii="Times New Roman" w:hAnsi="Times New Roman" w:eastAsia="Times New Roman" w:cs="Times New Roman"/>
          <w:spacing w:val="5"/>
          <w:sz w:val="17"/>
          <w:szCs w:val="17"/>
        </w:rPr>
        <w:t>2016)</w:t>
      </w:r>
    </w:p>
    <w:p w14:paraId="47CDB08C">
      <w:pPr>
        <w:spacing w:line="142" w:lineRule="exact"/>
      </w:pPr>
    </w:p>
    <w:tbl>
      <w:tblPr>
        <w:tblStyle w:val="5"/>
        <w:tblW w:w="4130"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53"/>
        <w:gridCol w:w="2245"/>
        <w:gridCol w:w="280"/>
        <w:gridCol w:w="279"/>
        <w:gridCol w:w="289"/>
        <w:gridCol w:w="284"/>
      </w:tblGrid>
      <w:tr w14:paraId="6858E4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9" w:hRule="atLeast"/>
        </w:trPr>
        <w:tc>
          <w:tcPr>
            <w:tcW w:w="753" w:type="dxa"/>
            <w:vMerge w:val="restart"/>
            <w:tcBorders>
              <w:top w:val="single" w:color="000000" w:sz="2" w:space="0"/>
              <w:bottom w:val="nil"/>
            </w:tcBorders>
            <w:vAlign w:val="top"/>
          </w:tcPr>
          <w:p w14:paraId="6B75DC14">
            <w:pPr>
              <w:pStyle w:val="6"/>
              <w:spacing w:before="27" w:line="221" w:lineRule="auto"/>
              <w:ind w:left="24"/>
            </w:pPr>
            <w:r>
              <w:rPr>
                <w:spacing w:val="-2"/>
              </w:rPr>
              <w:t>知识与技</w:t>
            </w:r>
          </w:p>
          <w:p w14:paraId="4F7A8217">
            <w:pPr>
              <w:pStyle w:val="6"/>
              <w:spacing w:before="7" w:line="207" w:lineRule="auto"/>
              <w:ind w:left="114"/>
            </w:pPr>
            <w:r>
              <w:rPr>
                <w:spacing w:val="5"/>
              </w:rPr>
              <w:t>能要点</w:t>
            </w:r>
          </w:p>
        </w:tc>
        <w:tc>
          <w:tcPr>
            <w:tcW w:w="2245" w:type="dxa"/>
            <w:vMerge w:val="restart"/>
            <w:tcBorders>
              <w:top w:val="single" w:color="000000" w:sz="2" w:space="0"/>
              <w:bottom w:val="nil"/>
            </w:tcBorders>
            <w:vAlign w:val="top"/>
          </w:tcPr>
          <w:p w14:paraId="7F034EFE">
            <w:pPr>
              <w:pStyle w:val="6"/>
              <w:spacing w:before="136" w:line="219" w:lineRule="auto"/>
              <w:ind w:left="822"/>
            </w:pPr>
            <w:r>
              <w:rPr>
                <w:spacing w:val="8"/>
              </w:rPr>
              <w:t>考试条目</w:t>
            </w:r>
          </w:p>
        </w:tc>
        <w:tc>
          <w:tcPr>
            <w:tcW w:w="1132" w:type="dxa"/>
            <w:gridSpan w:val="4"/>
            <w:tcBorders>
              <w:top w:val="single" w:color="000000" w:sz="2" w:space="0"/>
              <w:bottom w:val="single" w:color="000000" w:sz="2" w:space="0"/>
            </w:tcBorders>
            <w:vAlign w:val="top"/>
          </w:tcPr>
          <w:p w14:paraId="6A0FC640">
            <w:pPr>
              <w:pStyle w:val="6"/>
              <w:spacing w:before="36" w:line="198" w:lineRule="auto"/>
              <w:ind w:left="237"/>
            </w:pPr>
            <w:r>
              <w:rPr>
                <w:spacing w:val="-2"/>
              </w:rPr>
              <w:t>考试水平</w:t>
            </w:r>
          </w:p>
        </w:tc>
      </w:tr>
      <w:tr w14:paraId="711FE1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5" w:hRule="atLeast"/>
        </w:trPr>
        <w:tc>
          <w:tcPr>
            <w:tcW w:w="753" w:type="dxa"/>
            <w:vMerge w:val="continue"/>
            <w:tcBorders>
              <w:top w:val="nil"/>
              <w:bottom w:val="single" w:color="000000" w:sz="2" w:space="0"/>
            </w:tcBorders>
            <w:vAlign w:val="top"/>
          </w:tcPr>
          <w:p w14:paraId="240D95AE">
            <w:pPr>
              <w:rPr>
                <w:rFonts w:ascii="Arial"/>
                <w:sz w:val="21"/>
              </w:rPr>
            </w:pPr>
          </w:p>
        </w:tc>
        <w:tc>
          <w:tcPr>
            <w:tcW w:w="2245" w:type="dxa"/>
            <w:vMerge w:val="continue"/>
            <w:tcBorders>
              <w:top w:val="nil"/>
              <w:bottom w:val="single" w:color="000000" w:sz="2" w:space="0"/>
            </w:tcBorders>
            <w:vAlign w:val="top"/>
          </w:tcPr>
          <w:p w14:paraId="16BF110F">
            <w:pPr>
              <w:rPr>
                <w:rFonts w:ascii="Arial"/>
                <w:sz w:val="21"/>
              </w:rPr>
            </w:pPr>
          </w:p>
        </w:tc>
        <w:tc>
          <w:tcPr>
            <w:tcW w:w="280" w:type="dxa"/>
            <w:tcBorders>
              <w:top w:val="single" w:color="000000" w:sz="2" w:space="0"/>
              <w:bottom w:val="single" w:color="000000" w:sz="2" w:space="0"/>
            </w:tcBorders>
            <w:vAlign w:val="top"/>
          </w:tcPr>
          <w:p w14:paraId="0E979F55">
            <w:pPr>
              <w:pStyle w:val="6"/>
              <w:spacing w:before="65" w:line="130" w:lineRule="exact"/>
              <w:ind w:left="49"/>
            </w:pPr>
            <w:r>
              <w:rPr>
                <w:b/>
                <w:bCs/>
                <w:spacing w:val="-2"/>
                <w:position w:val="-2"/>
              </w:rPr>
              <w:t>A</w:t>
            </w:r>
          </w:p>
        </w:tc>
        <w:tc>
          <w:tcPr>
            <w:tcW w:w="279" w:type="dxa"/>
            <w:tcBorders>
              <w:top w:val="single" w:color="000000" w:sz="2" w:space="0"/>
              <w:bottom w:val="single" w:color="000000" w:sz="2" w:space="0"/>
            </w:tcBorders>
            <w:vAlign w:val="top"/>
          </w:tcPr>
          <w:p w14:paraId="3323DDE3">
            <w:pPr>
              <w:pStyle w:val="6"/>
              <w:spacing w:before="67" w:line="128" w:lineRule="exact"/>
              <w:ind w:left="79"/>
            </w:pPr>
            <w:r>
              <w:rPr>
                <w:b/>
                <w:bCs/>
                <w:spacing w:val="-2"/>
                <w:position w:val="-2"/>
              </w:rPr>
              <w:t>B</w:t>
            </w:r>
          </w:p>
        </w:tc>
        <w:tc>
          <w:tcPr>
            <w:tcW w:w="289" w:type="dxa"/>
            <w:tcBorders>
              <w:top w:val="single" w:color="000000" w:sz="2" w:space="0"/>
              <w:bottom w:val="single" w:color="000000" w:sz="2" w:space="0"/>
            </w:tcBorders>
            <w:vAlign w:val="top"/>
          </w:tcPr>
          <w:p w14:paraId="0198AFCD">
            <w:pPr>
              <w:pStyle w:val="6"/>
              <w:spacing w:before="65" w:line="130" w:lineRule="exact"/>
              <w:ind w:left="70"/>
            </w:pPr>
            <w:r>
              <w:rPr>
                <w:b/>
                <w:bCs/>
                <w:spacing w:val="-2"/>
                <w:position w:val="-2"/>
              </w:rPr>
              <w:t>C</w:t>
            </w:r>
          </w:p>
        </w:tc>
        <w:tc>
          <w:tcPr>
            <w:tcW w:w="284" w:type="dxa"/>
            <w:tcBorders>
              <w:top w:val="single" w:color="000000" w:sz="2" w:space="0"/>
              <w:bottom w:val="single" w:color="000000" w:sz="2" w:space="0"/>
            </w:tcBorders>
            <w:vAlign w:val="top"/>
          </w:tcPr>
          <w:p w14:paraId="303F0897">
            <w:pPr>
              <w:pStyle w:val="6"/>
              <w:spacing w:before="67" w:line="128" w:lineRule="exact"/>
              <w:ind w:left="51"/>
            </w:pPr>
            <w:r>
              <w:rPr>
                <w:b/>
                <w:bCs/>
                <w:spacing w:val="-2"/>
                <w:position w:val="-2"/>
              </w:rPr>
              <w:t>D</w:t>
            </w:r>
          </w:p>
        </w:tc>
      </w:tr>
      <w:tr w14:paraId="6FC715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02" w:hRule="atLeast"/>
        </w:trPr>
        <w:tc>
          <w:tcPr>
            <w:tcW w:w="753" w:type="dxa"/>
            <w:tcBorders>
              <w:top w:val="single" w:color="000000" w:sz="2" w:space="0"/>
              <w:bottom w:val="single" w:color="000000" w:sz="2" w:space="0"/>
            </w:tcBorders>
            <w:vAlign w:val="top"/>
          </w:tcPr>
          <w:p w14:paraId="116D4B8B">
            <w:pPr>
              <w:pStyle w:val="6"/>
              <w:spacing w:before="262" w:line="225" w:lineRule="auto"/>
              <w:ind w:left="114" w:right="124"/>
              <w:jc w:val="both"/>
            </w:pPr>
            <w:r>
              <w:rPr>
                <w:spacing w:val="-3"/>
              </w:rPr>
              <w:t>演示文</w:t>
            </w:r>
            <w:r>
              <w:t xml:space="preserve"> </w:t>
            </w:r>
            <w:r>
              <w:rPr>
                <w:spacing w:val="-2"/>
              </w:rPr>
              <w:t>稿基本</w:t>
            </w:r>
            <w:r>
              <w:t xml:space="preserve"> </w:t>
            </w:r>
            <w:r>
              <w:rPr>
                <w:spacing w:val="37"/>
              </w:rPr>
              <w:t>操作</w:t>
            </w:r>
          </w:p>
        </w:tc>
        <w:tc>
          <w:tcPr>
            <w:tcW w:w="2245" w:type="dxa"/>
            <w:tcBorders>
              <w:top w:val="single" w:color="000000" w:sz="2" w:space="0"/>
              <w:bottom w:val="single" w:color="000000" w:sz="2" w:space="0"/>
            </w:tcBorders>
            <w:vAlign w:val="top"/>
          </w:tcPr>
          <w:p w14:paraId="38CE0F3D">
            <w:pPr>
              <w:pStyle w:val="6"/>
              <w:spacing w:before="61" w:line="218" w:lineRule="auto"/>
              <w:ind w:left="1"/>
            </w:pPr>
            <w:r>
              <w:t>1.演示文稿的基本概念</w:t>
            </w:r>
          </w:p>
          <w:p w14:paraId="33B59B09">
            <w:pPr>
              <w:pStyle w:val="6"/>
              <w:spacing w:line="237" w:lineRule="auto"/>
              <w:ind w:left="1" w:right="108"/>
            </w:pPr>
            <w:r>
              <w:rPr>
                <w:spacing w:val="6"/>
              </w:rPr>
              <w:t xml:space="preserve">2.演示文稿的新建、保存、 </w:t>
            </w:r>
            <w:r>
              <w:rPr>
                <w:spacing w:val="-2"/>
              </w:rPr>
              <w:t>打开和浏览</w:t>
            </w:r>
          </w:p>
          <w:p w14:paraId="36437F61">
            <w:pPr>
              <w:pStyle w:val="6"/>
              <w:spacing w:before="3" w:line="211" w:lineRule="auto"/>
              <w:ind w:left="1" w:right="203"/>
            </w:pPr>
            <w:r>
              <w:rPr>
                <w:spacing w:val="-1"/>
              </w:rPr>
              <w:t>3.幻灯片的插入、复制、移</w:t>
            </w:r>
            <w:r>
              <w:rPr>
                <w:spacing w:val="1"/>
              </w:rPr>
              <w:t xml:space="preserve"> </w:t>
            </w:r>
            <w:r>
              <w:rPr>
                <w:spacing w:val="-2"/>
              </w:rPr>
              <w:t>动和删除</w:t>
            </w:r>
          </w:p>
        </w:tc>
        <w:tc>
          <w:tcPr>
            <w:tcW w:w="280" w:type="dxa"/>
            <w:tcBorders>
              <w:top w:val="single" w:color="000000" w:sz="2" w:space="0"/>
              <w:bottom w:val="single" w:color="000000" w:sz="2" w:space="0"/>
            </w:tcBorders>
            <w:vAlign w:val="top"/>
          </w:tcPr>
          <w:p w14:paraId="3E564411">
            <w:pPr>
              <w:pStyle w:val="6"/>
              <w:spacing w:before="69" w:line="238" w:lineRule="auto"/>
              <w:ind w:left="16"/>
            </w:pPr>
            <w:r>
              <w:t>√</w:t>
            </w:r>
          </w:p>
        </w:tc>
        <w:tc>
          <w:tcPr>
            <w:tcW w:w="279" w:type="dxa"/>
            <w:tcBorders>
              <w:top w:val="single" w:color="000000" w:sz="2" w:space="0"/>
              <w:bottom w:val="single" w:color="000000" w:sz="2" w:space="0"/>
            </w:tcBorders>
            <w:vAlign w:val="top"/>
          </w:tcPr>
          <w:p w14:paraId="0BB270FC">
            <w:pPr>
              <w:rPr>
                <w:rFonts w:ascii="Arial"/>
                <w:sz w:val="21"/>
              </w:rPr>
            </w:pPr>
          </w:p>
        </w:tc>
        <w:tc>
          <w:tcPr>
            <w:tcW w:w="289" w:type="dxa"/>
            <w:tcBorders>
              <w:top w:val="single" w:color="000000" w:sz="2" w:space="0"/>
              <w:bottom w:val="single" w:color="000000" w:sz="2" w:space="0"/>
            </w:tcBorders>
            <w:vAlign w:val="top"/>
          </w:tcPr>
          <w:p w14:paraId="0DCEC7BB">
            <w:pPr>
              <w:rPr>
                <w:rFonts w:ascii="Arial"/>
                <w:sz w:val="21"/>
              </w:rPr>
            </w:pPr>
          </w:p>
        </w:tc>
        <w:tc>
          <w:tcPr>
            <w:tcW w:w="284" w:type="dxa"/>
            <w:tcBorders>
              <w:top w:val="single" w:color="000000" w:sz="2" w:space="0"/>
              <w:bottom w:val="single" w:color="000000" w:sz="2" w:space="0"/>
            </w:tcBorders>
            <w:vAlign w:val="top"/>
          </w:tcPr>
          <w:p w14:paraId="3754CC8C">
            <w:pPr>
              <w:rPr>
                <w:rFonts w:ascii="Arial"/>
                <w:sz w:val="21"/>
              </w:rPr>
            </w:pPr>
          </w:p>
        </w:tc>
      </w:tr>
      <w:tr w14:paraId="50B307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83" w:hRule="atLeast"/>
        </w:trPr>
        <w:tc>
          <w:tcPr>
            <w:tcW w:w="753" w:type="dxa"/>
            <w:tcBorders>
              <w:top w:val="single" w:color="000000" w:sz="2" w:space="0"/>
              <w:bottom w:val="single" w:color="000000" w:sz="2" w:space="0"/>
            </w:tcBorders>
            <w:vAlign w:val="top"/>
          </w:tcPr>
          <w:p w14:paraId="086B25CB">
            <w:pPr>
              <w:pStyle w:val="6"/>
              <w:spacing w:before="277" w:line="217" w:lineRule="auto"/>
              <w:ind w:left="114" w:right="124"/>
            </w:pPr>
            <w:r>
              <w:rPr>
                <w:spacing w:val="-3"/>
              </w:rPr>
              <w:t>演示文</w:t>
            </w:r>
            <w:r>
              <w:t xml:space="preserve"> </w:t>
            </w:r>
            <w:r>
              <w:rPr>
                <w:spacing w:val="-2"/>
              </w:rPr>
              <w:t>稿修饰</w:t>
            </w:r>
          </w:p>
        </w:tc>
        <w:tc>
          <w:tcPr>
            <w:tcW w:w="2245" w:type="dxa"/>
            <w:tcBorders>
              <w:top w:val="single" w:color="000000" w:sz="2" w:space="0"/>
              <w:bottom w:val="single" w:color="000000" w:sz="2" w:space="0"/>
            </w:tcBorders>
            <w:vAlign w:val="top"/>
          </w:tcPr>
          <w:p w14:paraId="1D52598C">
            <w:pPr>
              <w:pStyle w:val="6"/>
              <w:spacing w:before="36" w:line="238" w:lineRule="auto"/>
              <w:ind w:left="1" w:right="696"/>
            </w:pPr>
            <w:r>
              <w:t>1.更换幻灯片的版式</w:t>
            </w:r>
            <w:r>
              <w:rPr>
                <w:spacing w:val="5"/>
              </w:rPr>
              <w:t xml:space="preserve"> </w:t>
            </w:r>
            <w:r>
              <w:rPr>
                <w:spacing w:val="-1"/>
              </w:rPr>
              <w:t>2.使用幻灯片母版</w:t>
            </w:r>
          </w:p>
          <w:p w14:paraId="3D47E88A">
            <w:pPr>
              <w:pStyle w:val="6"/>
              <w:spacing w:line="219" w:lineRule="auto"/>
              <w:ind w:left="1"/>
            </w:pPr>
            <w:r>
              <w:rPr>
                <w:spacing w:val="6"/>
              </w:rPr>
              <w:t>3.设置幻灯片主题、背景、</w:t>
            </w:r>
          </w:p>
          <w:p w14:paraId="6E4F2345">
            <w:pPr>
              <w:pStyle w:val="6"/>
              <w:spacing w:before="25" w:line="185" w:lineRule="auto"/>
              <w:ind w:left="4"/>
            </w:pPr>
            <w:r>
              <w:rPr>
                <w:b/>
                <w:bCs/>
                <w:spacing w:val="-4"/>
              </w:rPr>
              <w:t>配色方案</w:t>
            </w:r>
          </w:p>
        </w:tc>
        <w:tc>
          <w:tcPr>
            <w:tcW w:w="280" w:type="dxa"/>
            <w:tcBorders>
              <w:top w:val="single" w:color="000000" w:sz="2" w:space="0"/>
              <w:bottom w:val="single" w:color="000000" w:sz="2" w:space="0"/>
            </w:tcBorders>
            <w:vAlign w:val="top"/>
          </w:tcPr>
          <w:p w14:paraId="009566D4">
            <w:pPr>
              <w:rPr>
                <w:rFonts w:ascii="Arial"/>
                <w:sz w:val="21"/>
              </w:rPr>
            </w:pPr>
          </w:p>
        </w:tc>
        <w:tc>
          <w:tcPr>
            <w:tcW w:w="279" w:type="dxa"/>
            <w:tcBorders>
              <w:top w:val="single" w:color="000000" w:sz="2" w:space="0"/>
              <w:bottom w:val="single" w:color="000000" w:sz="2" w:space="0"/>
            </w:tcBorders>
            <w:vAlign w:val="top"/>
          </w:tcPr>
          <w:p w14:paraId="36F5D20C">
            <w:pPr>
              <w:rPr>
                <w:rFonts w:ascii="Arial"/>
                <w:sz w:val="21"/>
              </w:rPr>
            </w:pPr>
          </w:p>
        </w:tc>
        <w:tc>
          <w:tcPr>
            <w:tcW w:w="289" w:type="dxa"/>
            <w:tcBorders>
              <w:top w:val="single" w:color="000000" w:sz="2" w:space="0"/>
              <w:bottom w:val="single" w:color="000000" w:sz="2" w:space="0"/>
            </w:tcBorders>
            <w:vAlign w:val="top"/>
          </w:tcPr>
          <w:p w14:paraId="7B8D2E41">
            <w:pPr>
              <w:rPr>
                <w:rFonts w:ascii="Arial"/>
                <w:sz w:val="21"/>
              </w:rPr>
            </w:pPr>
          </w:p>
        </w:tc>
        <w:tc>
          <w:tcPr>
            <w:tcW w:w="284" w:type="dxa"/>
            <w:tcBorders>
              <w:top w:val="single" w:color="000000" w:sz="2" w:space="0"/>
              <w:bottom w:val="single" w:color="000000" w:sz="2" w:space="0"/>
            </w:tcBorders>
            <w:vAlign w:val="top"/>
          </w:tcPr>
          <w:p w14:paraId="7D4330D2">
            <w:pPr>
              <w:rPr>
                <w:rFonts w:ascii="Arial"/>
                <w:sz w:val="21"/>
              </w:rPr>
            </w:pPr>
          </w:p>
        </w:tc>
      </w:tr>
      <w:tr w14:paraId="223F1B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59" w:hRule="atLeast"/>
        </w:trPr>
        <w:tc>
          <w:tcPr>
            <w:tcW w:w="753" w:type="dxa"/>
            <w:tcBorders>
              <w:top w:val="single" w:color="000000" w:sz="2" w:space="0"/>
              <w:bottom w:val="single" w:color="000000" w:sz="2" w:space="0"/>
            </w:tcBorders>
            <w:vAlign w:val="top"/>
          </w:tcPr>
          <w:p w14:paraId="601ECCB2">
            <w:pPr>
              <w:pStyle w:val="6"/>
              <w:spacing w:before="46" w:line="218" w:lineRule="auto"/>
              <w:ind w:left="117" w:right="113"/>
              <w:jc w:val="both"/>
            </w:pPr>
            <w:r>
              <w:rPr>
                <w:b/>
                <w:bCs/>
                <w:spacing w:val="-5"/>
              </w:rPr>
              <w:t>演示文</w:t>
            </w:r>
            <w:r>
              <w:rPr>
                <w:spacing w:val="1"/>
              </w:rPr>
              <w:t xml:space="preserve"> </w:t>
            </w:r>
            <w:r>
              <w:rPr>
                <w:b/>
                <w:bCs/>
                <w:spacing w:val="-4"/>
              </w:rPr>
              <w:t>稿对象</w:t>
            </w:r>
            <w:r>
              <w:t xml:space="preserve"> </w:t>
            </w:r>
            <w:r>
              <w:rPr>
                <w:b/>
                <w:bCs/>
                <w:spacing w:val="-2"/>
              </w:rPr>
              <w:t>的编辑</w:t>
            </w:r>
          </w:p>
        </w:tc>
        <w:tc>
          <w:tcPr>
            <w:tcW w:w="2245" w:type="dxa"/>
            <w:tcBorders>
              <w:top w:val="single" w:color="000000" w:sz="2" w:space="0"/>
              <w:bottom w:val="single" w:color="000000" w:sz="2" w:space="0"/>
            </w:tcBorders>
            <w:vAlign w:val="top"/>
          </w:tcPr>
          <w:p w14:paraId="5F3D8E8A">
            <w:pPr>
              <w:pStyle w:val="6"/>
              <w:spacing w:before="36" w:line="219" w:lineRule="auto"/>
              <w:ind w:left="1"/>
            </w:pPr>
            <w:r>
              <w:t>1.设置、复制文字格式</w:t>
            </w:r>
          </w:p>
          <w:p w14:paraId="1C42F99D">
            <w:pPr>
              <w:pStyle w:val="6"/>
              <w:spacing w:before="7" w:line="219" w:lineRule="auto"/>
              <w:ind w:left="1" w:right="201"/>
            </w:pPr>
            <w:r>
              <w:rPr>
                <w:spacing w:val="-1"/>
              </w:rPr>
              <w:t>2.插入艺术字、形状等内置</w:t>
            </w:r>
            <w:r>
              <w:rPr>
                <w:spacing w:val="3"/>
              </w:rPr>
              <w:t xml:space="preserve"> </w:t>
            </w:r>
            <w:r>
              <w:rPr>
                <w:spacing w:val="-2"/>
              </w:rPr>
              <w:t>对象</w:t>
            </w:r>
          </w:p>
        </w:tc>
        <w:tc>
          <w:tcPr>
            <w:tcW w:w="280" w:type="dxa"/>
            <w:tcBorders>
              <w:top w:val="single" w:color="000000" w:sz="2" w:space="0"/>
              <w:bottom w:val="single" w:color="000000" w:sz="2" w:space="0"/>
            </w:tcBorders>
            <w:vAlign w:val="top"/>
          </w:tcPr>
          <w:p w14:paraId="5C669BE9">
            <w:pPr>
              <w:rPr>
                <w:rFonts w:ascii="Arial"/>
                <w:sz w:val="21"/>
              </w:rPr>
            </w:pPr>
          </w:p>
        </w:tc>
        <w:tc>
          <w:tcPr>
            <w:tcW w:w="279" w:type="dxa"/>
            <w:tcBorders>
              <w:top w:val="single" w:color="000000" w:sz="2" w:space="0"/>
              <w:bottom w:val="single" w:color="000000" w:sz="2" w:space="0"/>
            </w:tcBorders>
            <w:vAlign w:val="top"/>
          </w:tcPr>
          <w:p w14:paraId="6DA72608">
            <w:pPr>
              <w:rPr>
                <w:rFonts w:ascii="Arial"/>
                <w:sz w:val="21"/>
              </w:rPr>
            </w:pPr>
          </w:p>
        </w:tc>
        <w:tc>
          <w:tcPr>
            <w:tcW w:w="289" w:type="dxa"/>
            <w:tcBorders>
              <w:top w:val="single" w:color="000000" w:sz="2" w:space="0"/>
              <w:bottom w:val="single" w:color="000000" w:sz="2" w:space="0"/>
            </w:tcBorders>
            <w:vAlign w:val="top"/>
          </w:tcPr>
          <w:p w14:paraId="166729D3">
            <w:pPr>
              <w:rPr>
                <w:rFonts w:ascii="Arial"/>
                <w:sz w:val="21"/>
              </w:rPr>
            </w:pPr>
          </w:p>
        </w:tc>
        <w:tc>
          <w:tcPr>
            <w:tcW w:w="284" w:type="dxa"/>
            <w:tcBorders>
              <w:top w:val="single" w:color="000000" w:sz="2" w:space="0"/>
              <w:bottom w:val="single" w:color="000000" w:sz="2" w:space="0"/>
            </w:tcBorders>
            <w:vAlign w:val="top"/>
          </w:tcPr>
          <w:p w14:paraId="38984804">
            <w:pPr>
              <w:rPr>
                <w:rFonts w:ascii="Arial"/>
                <w:sz w:val="21"/>
              </w:rPr>
            </w:pPr>
          </w:p>
        </w:tc>
      </w:tr>
    </w:tbl>
    <w:p w14:paraId="3F1C84FB">
      <w:pPr>
        <w:pStyle w:val="2"/>
        <w:spacing w:line="14" w:lineRule="auto"/>
        <w:rPr>
          <w:sz w:val="2"/>
        </w:rPr>
      </w:pPr>
    </w:p>
    <w:p w14:paraId="16BD234C">
      <w:pPr>
        <w:pStyle w:val="2"/>
        <w:spacing w:line="14" w:lineRule="auto"/>
        <w:rPr>
          <w:sz w:val="2"/>
        </w:rPr>
      </w:pPr>
      <w:r>
        <w:rPr>
          <w:sz w:val="2"/>
          <w:szCs w:val="2"/>
        </w:rPr>
        <w:br w:type="column"/>
      </w:r>
    </w:p>
    <w:tbl>
      <w:tblPr>
        <w:tblStyle w:val="5"/>
        <w:tblW w:w="413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53"/>
        <w:gridCol w:w="2235"/>
        <w:gridCol w:w="289"/>
        <w:gridCol w:w="280"/>
        <w:gridCol w:w="289"/>
        <w:gridCol w:w="284"/>
      </w:tblGrid>
      <w:tr w14:paraId="0AE95C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9" w:hRule="atLeast"/>
        </w:trPr>
        <w:tc>
          <w:tcPr>
            <w:tcW w:w="753" w:type="dxa"/>
            <w:vMerge w:val="restart"/>
            <w:tcBorders>
              <w:top w:val="single" w:color="000000" w:sz="2" w:space="0"/>
              <w:bottom w:val="nil"/>
            </w:tcBorders>
            <w:vAlign w:val="top"/>
          </w:tcPr>
          <w:p w14:paraId="38AB21D7">
            <w:pPr>
              <w:pStyle w:val="6"/>
              <w:spacing w:before="25" w:line="221" w:lineRule="auto"/>
              <w:ind w:left="27"/>
            </w:pPr>
            <w:r>
              <w:rPr>
                <w:b/>
                <w:bCs/>
                <w:spacing w:val="-4"/>
              </w:rPr>
              <w:t>知识与技</w:t>
            </w:r>
          </w:p>
          <w:p w14:paraId="484A1314">
            <w:pPr>
              <w:pStyle w:val="6"/>
              <w:spacing w:before="26" w:line="198" w:lineRule="auto"/>
              <w:ind w:left="117"/>
            </w:pPr>
            <w:r>
              <w:rPr>
                <w:b/>
                <w:bCs/>
                <w:spacing w:val="1"/>
              </w:rPr>
              <w:t>能要点</w:t>
            </w:r>
          </w:p>
        </w:tc>
        <w:tc>
          <w:tcPr>
            <w:tcW w:w="2235" w:type="dxa"/>
            <w:vMerge w:val="restart"/>
            <w:tcBorders>
              <w:top w:val="single" w:color="000000" w:sz="2" w:space="0"/>
              <w:bottom w:val="nil"/>
            </w:tcBorders>
            <w:vAlign w:val="top"/>
          </w:tcPr>
          <w:p w14:paraId="74C3FC71">
            <w:pPr>
              <w:pStyle w:val="6"/>
              <w:spacing w:before="146" w:line="219" w:lineRule="auto"/>
              <w:ind w:left="791"/>
            </w:pPr>
            <w:r>
              <w:rPr>
                <w:spacing w:val="8"/>
              </w:rPr>
              <w:t>考试条目</w:t>
            </w:r>
          </w:p>
        </w:tc>
        <w:tc>
          <w:tcPr>
            <w:tcW w:w="1142" w:type="dxa"/>
            <w:gridSpan w:val="4"/>
            <w:tcBorders>
              <w:top w:val="single" w:color="000000" w:sz="2" w:space="0"/>
              <w:bottom w:val="single" w:color="000000" w:sz="2" w:space="0"/>
            </w:tcBorders>
            <w:vAlign w:val="top"/>
          </w:tcPr>
          <w:p w14:paraId="20E001D6">
            <w:pPr>
              <w:pStyle w:val="6"/>
              <w:spacing w:before="33" w:line="201" w:lineRule="auto"/>
              <w:ind w:left="249"/>
            </w:pPr>
            <w:r>
              <w:rPr>
                <w:b/>
                <w:bCs/>
                <w:spacing w:val="-4"/>
              </w:rPr>
              <w:t>考试水平</w:t>
            </w:r>
          </w:p>
        </w:tc>
      </w:tr>
      <w:tr w14:paraId="7106CD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4" w:hRule="atLeast"/>
        </w:trPr>
        <w:tc>
          <w:tcPr>
            <w:tcW w:w="753" w:type="dxa"/>
            <w:vMerge w:val="continue"/>
            <w:tcBorders>
              <w:top w:val="nil"/>
              <w:bottom w:val="single" w:color="000000" w:sz="2" w:space="0"/>
            </w:tcBorders>
            <w:vAlign w:val="top"/>
          </w:tcPr>
          <w:p w14:paraId="1D84F4F8">
            <w:pPr>
              <w:rPr>
                <w:rFonts w:ascii="Arial"/>
                <w:sz w:val="21"/>
              </w:rPr>
            </w:pPr>
          </w:p>
        </w:tc>
        <w:tc>
          <w:tcPr>
            <w:tcW w:w="2235" w:type="dxa"/>
            <w:vMerge w:val="continue"/>
            <w:tcBorders>
              <w:top w:val="nil"/>
              <w:bottom w:val="single" w:color="000000" w:sz="2" w:space="0"/>
            </w:tcBorders>
            <w:vAlign w:val="top"/>
          </w:tcPr>
          <w:p w14:paraId="64BFF34D">
            <w:pPr>
              <w:rPr>
                <w:rFonts w:ascii="Arial"/>
                <w:sz w:val="21"/>
              </w:rPr>
            </w:pPr>
          </w:p>
        </w:tc>
        <w:tc>
          <w:tcPr>
            <w:tcW w:w="289" w:type="dxa"/>
            <w:tcBorders>
              <w:top w:val="single" w:color="000000" w:sz="2" w:space="0"/>
              <w:bottom w:val="single" w:color="000000" w:sz="2" w:space="0"/>
            </w:tcBorders>
            <w:vAlign w:val="top"/>
          </w:tcPr>
          <w:p w14:paraId="7A34E28A">
            <w:pPr>
              <w:pStyle w:val="6"/>
              <w:spacing w:before="65" w:line="139" w:lineRule="exact"/>
              <w:ind w:left="59"/>
            </w:pPr>
            <w:r>
              <w:rPr>
                <w:b/>
                <w:bCs/>
                <w:spacing w:val="-2"/>
                <w:position w:val="-2"/>
              </w:rPr>
              <w:t>A</w:t>
            </w:r>
          </w:p>
        </w:tc>
        <w:tc>
          <w:tcPr>
            <w:tcW w:w="280" w:type="dxa"/>
            <w:tcBorders>
              <w:top w:val="single" w:color="000000" w:sz="2" w:space="0"/>
              <w:bottom w:val="single" w:color="000000" w:sz="2" w:space="0"/>
            </w:tcBorders>
            <w:vAlign w:val="top"/>
          </w:tcPr>
          <w:p w14:paraId="4B0DCD5E">
            <w:pPr>
              <w:pStyle w:val="6"/>
              <w:spacing w:before="67" w:line="137" w:lineRule="exact"/>
              <w:ind w:left="60"/>
            </w:pPr>
            <w:r>
              <w:rPr>
                <w:b/>
                <w:bCs/>
                <w:spacing w:val="-2"/>
                <w:position w:val="-2"/>
              </w:rPr>
              <w:t>B</w:t>
            </w:r>
          </w:p>
        </w:tc>
        <w:tc>
          <w:tcPr>
            <w:tcW w:w="289" w:type="dxa"/>
            <w:tcBorders>
              <w:top w:val="single" w:color="000000" w:sz="2" w:space="0"/>
              <w:bottom w:val="single" w:color="000000" w:sz="2" w:space="0"/>
            </w:tcBorders>
            <w:vAlign w:val="top"/>
          </w:tcPr>
          <w:p w14:paraId="797C978C">
            <w:pPr>
              <w:pStyle w:val="6"/>
              <w:spacing w:before="65" w:line="139" w:lineRule="exact"/>
              <w:ind w:left="70"/>
            </w:pPr>
            <w:r>
              <w:rPr>
                <w:b/>
                <w:bCs/>
                <w:spacing w:val="-2"/>
                <w:position w:val="-2"/>
              </w:rPr>
              <w:t>C</w:t>
            </w:r>
          </w:p>
        </w:tc>
        <w:tc>
          <w:tcPr>
            <w:tcW w:w="284" w:type="dxa"/>
            <w:tcBorders>
              <w:top w:val="single" w:color="000000" w:sz="2" w:space="0"/>
              <w:bottom w:val="single" w:color="000000" w:sz="2" w:space="0"/>
            </w:tcBorders>
            <w:vAlign w:val="top"/>
          </w:tcPr>
          <w:p w14:paraId="394BAAAA">
            <w:pPr>
              <w:pStyle w:val="6"/>
              <w:spacing w:before="67" w:line="137" w:lineRule="exact"/>
              <w:ind w:left="61"/>
            </w:pPr>
            <w:r>
              <w:rPr>
                <w:b/>
                <w:bCs/>
                <w:spacing w:val="-2"/>
                <w:position w:val="-2"/>
              </w:rPr>
              <w:t>D</w:t>
            </w:r>
          </w:p>
        </w:tc>
      </w:tr>
      <w:tr w14:paraId="6861D0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82" w:hRule="atLeast"/>
        </w:trPr>
        <w:tc>
          <w:tcPr>
            <w:tcW w:w="753" w:type="dxa"/>
            <w:tcBorders>
              <w:top w:val="single" w:color="000000" w:sz="2" w:space="0"/>
              <w:bottom w:val="single" w:color="000000" w:sz="2" w:space="0"/>
            </w:tcBorders>
            <w:vAlign w:val="top"/>
          </w:tcPr>
          <w:p w14:paraId="0DE7D3DD">
            <w:pPr>
              <w:pStyle w:val="6"/>
              <w:spacing w:before="152" w:line="223" w:lineRule="auto"/>
              <w:ind w:left="117" w:right="121"/>
            </w:pPr>
            <w:r>
              <w:rPr>
                <w:b/>
                <w:bCs/>
                <w:spacing w:val="-5"/>
              </w:rPr>
              <w:t>演示文</w:t>
            </w:r>
            <w:r>
              <w:rPr>
                <w:spacing w:val="1"/>
              </w:rPr>
              <w:t xml:space="preserve"> </w:t>
            </w:r>
            <w:r>
              <w:rPr>
                <w:b/>
                <w:bCs/>
                <w:spacing w:val="-4"/>
              </w:rPr>
              <w:t>稿对象</w:t>
            </w:r>
          </w:p>
          <w:p w14:paraId="12121661">
            <w:pPr>
              <w:pStyle w:val="6"/>
              <w:spacing w:before="30" w:line="219" w:lineRule="auto"/>
              <w:ind w:left="115"/>
            </w:pPr>
            <w:r>
              <w:rPr>
                <w:spacing w:val="2"/>
              </w:rPr>
              <w:t>的编辑</w:t>
            </w:r>
          </w:p>
        </w:tc>
        <w:tc>
          <w:tcPr>
            <w:tcW w:w="2235" w:type="dxa"/>
            <w:tcBorders>
              <w:top w:val="single" w:color="000000" w:sz="2" w:space="0"/>
              <w:bottom w:val="single" w:color="000000" w:sz="2" w:space="0"/>
            </w:tcBorders>
            <w:vAlign w:val="top"/>
          </w:tcPr>
          <w:p w14:paraId="3909271B">
            <w:pPr>
              <w:pStyle w:val="6"/>
              <w:spacing w:before="42" w:line="224" w:lineRule="auto"/>
              <w:ind w:left="11" w:right="183"/>
            </w:pPr>
            <w:r>
              <w:rPr>
                <w:spacing w:val="-1"/>
              </w:rPr>
              <w:t>3.插入图片、音频、视频等</w:t>
            </w:r>
            <w:r>
              <w:rPr>
                <w:spacing w:val="1"/>
              </w:rPr>
              <w:t xml:space="preserve"> </w:t>
            </w:r>
            <w:r>
              <w:rPr>
                <w:spacing w:val="-2"/>
              </w:rPr>
              <w:t>外部对象</w:t>
            </w:r>
          </w:p>
          <w:p w14:paraId="5E0A642A">
            <w:pPr>
              <w:pStyle w:val="6"/>
              <w:spacing w:before="28" w:line="211" w:lineRule="auto"/>
              <w:ind w:left="11" w:right="518"/>
            </w:pPr>
            <w:r>
              <w:rPr>
                <w:spacing w:val="-1"/>
              </w:rPr>
              <w:t>4.建立幻灯片的超链接</w:t>
            </w:r>
            <w:r>
              <w:rPr>
                <w:spacing w:val="4"/>
              </w:rPr>
              <w:t xml:space="preserve"> </w:t>
            </w:r>
            <w:r>
              <w:rPr>
                <w:spacing w:val="2"/>
              </w:rPr>
              <w:t>5.动画效果的使用</w:t>
            </w:r>
          </w:p>
        </w:tc>
        <w:tc>
          <w:tcPr>
            <w:tcW w:w="289" w:type="dxa"/>
            <w:tcBorders>
              <w:top w:val="single" w:color="000000" w:sz="2" w:space="0"/>
              <w:bottom w:val="single" w:color="000000" w:sz="2" w:space="0"/>
            </w:tcBorders>
            <w:vAlign w:val="top"/>
          </w:tcPr>
          <w:p w14:paraId="5401D88F">
            <w:pPr>
              <w:rPr>
                <w:rFonts w:ascii="Arial"/>
                <w:sz w:val="21"/>
              </w:rPr>
            </w:pPr>
          </w:p>
        </w:tc>
        <w:tc>
          <w:tcPr>
            <w:tcW w:w="280" w:type="dxa"/>
            <w:tcBorders>
              <w:top w:val="single" w:color="000000" w:sz="2" w:space="0"/>
              <w:bottom w:val="single" w:color="000000" w:sz="2" w:space="0"/>
            </w:tcBorders>
            <w:vAlign w:val="top"/>
          </w:tcPr>
          <w:p w14:paraId="1FD01EEF">
            <w:pPr>
              <w:pStyle w:val="6"/>
              <w:spacing w:before="71" w:line="419" w:lineRule="auto"/>
              <w:ind w:left="18" w:right="120" w:firstLine="10"/>
            </w:pPr>
            <w:r>
              <w:rPr>
                <w:spacing w:val="-49"/>
              </w:rPr>
              <w:t>√</w:t>
            </w:r>
            <w:r>
              <w:t xml:space="preserve"> </w:t>
            </w:r>
            <w:r>
              <w:rPr>
                <w:spacing w:val="-49"/>
              </w:rPr>
              <w:t>√</w:t>
            </w:r>
          </w:p>
        </w:tc>
        <w:tc>
          <w:tcPr>
            <w:tcW w:w="289" w:type="dxa"/>
            <w:tcBorders>
              <w:top w:val="single" w:color="000000" w:sz="2" w:space="0"/>
              <w:bottom w:val="single" w:color="000000" w:sz="2" w:space="0"/>
            </w:tcBorders>
            <w:vAlign w:val="top"/>
          </w:tcPr>
          <w:p w14:paraId="06033EC4">
            <w:pPr>
              <w:rPr>
                <w:rFonts w:ascii="Arial"/>
                <w:sz w:val="21"/>
              </w:rPr>
            </w:pPr>
          </w:p>
        </w:tc>
        <w:tc>
          <w:tcPr>
            <w:tcW w:w="284" w:type="dxa"/>
            <w:tcBorders>
              <w:top w:val="single" w:color="000000" w:sz="2" w:space="0"/>
              <w:bottom w:val="single" w:color="000000" w:sz="2" w:space="0"/>
            </w:tcBorders>
            <w:vAlign w:val="top"/>
          </w:tcPr>
          <w:p w14:paraId="66F73641">
            <w:pPr>
              <w:spacing w:line="305" w:lineRule="auto"/>
              <w:rPr>
                <w:rFonts w:ascii="Arial"/>
                <w:sz w:val="21"/>
              </w:rPr>
            </w:pPr>
          </w:p>
          <w:p w14:paraId="1E1E62C6">
            <w:pPr>
              <w:spacing w:line="305" w:lineRule="auto"/>
              <w:rPr>
                <w:rFonts w:ascii="Arial"/>
                <w:sz w:val="21"/>
              </w:rPr>
            </w:pPr>
          </w:p>
          <w:p w14:paraId="4655B0C7">
            <w:pPr>
              <w:pStyle w:val="6"/>
              <w:spacing w:before="39" w:line="238" w:lineRule="auto"/>
              <w:ind w:left="19"/>
              <w:rPr>
                <w:sz w:val="12"/>
                <w:szCs w:val="12"/>
              </w:rPr>
            </w:pPr>
            <w:r>
              <w:rPr>
                <w:sz w:val="12"/>
                <w:szCs w:val="12"/>
              </w:rPr>
              <w:t>√</w:t>
            </w:r>
          </w:p>
        </w:tc>
      </w:tr>
      <w:tr w14:paraId="491EBD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78" w:hRule="atLeast"/>
        </w:trPr>
        <w:tc>
          <w:tcPr>
            <w:tcW w:w="753" w:type="dxa"/>
            <w:tcBorders>
              <w:top w:val="single" w:color="000000" w:sz="2" w:space="0"/>
              <w:bottom w:val="single" w:color="000000" w:sz="2" w:space="0"/>
            </w:tcBorders>
            <w:vAlign w:val="top"/>
          </w:tcPr>
          <w:p w14:paraId="657AC734">
            <w:pPr>
              <w:pStyle w:val="6"/>
              <w:spacing w:before="146" w:line="221" w:lineRule="auto"/>
              <w:ind w:left="115"/>
            </w:pPr>
            <w:r>
              <w:rPr>
                <w:spacing w:val="-2"/>
              </w:rPr>
              <w:t>演示文</w:t>
            </w:r>
          </w:p>
          <w:p w14:paraId="4F7540FC">
            <w:pPr>
              <w:pStyle w:val="6"/>
              <w:spacing w:before="35" w:line="218" w:lineRule="auto"/>
              <w:ind w:left="115"/>
            </w:pPr>
            <w:r>
              <w:rPr>
                <w:spacing w:val="-2"/>
              </w:rPr>
              <w:t>稿的放</w:t>
            </w:r>
          </w:p>
          <w:p w14:paraId="58F87A96">
            <w:pPr>
              <w:pStyle w:val="6"/>
              <w:spacing w:line="219" w:lineRule="auto"/>
              <w:ind w:left="284"/>
            </w:pPr>
            <w:r>
              <w:t>映</w:t>
            </w:r>
          </w:p>
        </w:tc>
        <w:tc>
          <w:tcPr>
            <w:tcW w:w="2235" w:type="dxa"/>
            <w:tcBorders>
              <w:top w:val="single" w:color="000000" w:sz="2" w:space="0"/>
              <w:bottom w:val="single" w:color="000000" w:sz="2" w:space="0"/>
            </w:tcBorders>
            <w:vAlign w:val="top"/>
          </w:tcPr>
          <w:p w14:paraId="4B065A1F">
            <w:pPr>
              <w:pStyle w:val="6"/>
              <w:spacing w:before="36" w:line="219" w:lineRule="auto"/>
              <w:ind w:left="11"/>
            </w:pPr>
            <w:r>
              <w:t>1.演示文稿的放映方式</w:t>
            </w:r>
          </w:p>
          <w:p w14:paraId="1C384F28">
            <w:pPr>
              <w:pStyle w:val="6"/>
              <w:spacing w:before="8" w:line="238" w:lineRule="auto"/>
              <w:ind w:left="11" w:right="159"/>
            </w:pPr>
            <w:r>
              <w:rPr>
                <w:spacing w:val="1"/>
              </w:rPr>
              <w:t>2.幻灯片的切换效果和换片</w:t>
            </w:r>
            <w:r>
              <w:t xml:space="preserve"> </w:t>
            </w:r>
            <w:r>
              <w:rPr>
                <w:spacing w:val="-2"/>
              </w:rPr>
              <w:t>方式</w:t>
            </w:r>
          </w:p>
          <w:p w14:paraId="48D25B21">
            <w:pPr>
              <w:pStyle w:val="6"/>
              <w:spacing w:before="11" w:line="187" w:lineRule="auto"/>
              <w:ind w:left="11"/>
            </w:pPr>
            <w:r>
              <w:rPr>
                <w:spacing w:val="1"/>
              </w:rPr>
              <w:t>3.演示文稿的打包和打印</w:t>
            </w:r>
          </w:p>
        </w:tc>
        <w:tc>
          <w:tcPr>
            <w:tcW w:w="289" w:type="dxa"/>
            <w:tcBorders>
              <w:top w:val="single" w:color="000000" w:sz="2" w:space="0"/>
              <w:bottom w:val="single" w:color="000000" w:sz="2" w:space="0"/>
            </w:tcBorders>
            <w:vAlign w:val="top"/>
          </w:tcPr>
          <w:p w14:paraId="5301F875">
            <w:pPr>
              <w:rPr>
                <w:rFonts w:ascii="Arial"/>
                <w:sz w:val="21"/>
              </w:rPr>
            </w:pPr>
          </w:p>
        </w:tc>
        <w:tc>
          <w:tcPr>
            <w:tcW w:w="280" w:type="dxa"/>
            <w:tcBorders>
              <w:top w:val="single" w:color="000000" w:sz="2" w:space="0"/>
              <w:bottom w:val="single" w:color="000000" w:sz="2" w:space="0"/>
            </w:tcBorders>
            <w:vAlign w:val="top"/>
          </w:tcPr>
          <w:p w14:paraId="09F5C025">
            <w:pPr>
              <w:pStyle w:val="6"/>
              <w:spacing w:before="43" w:line="238" w:lineRule="auto"/>
              <w:ind w:left="18"/>
            </w:pPr>
            <w:r>
              <w:t>√</w:t>
            </w:r>
          </w:p>
        </w:tc>
        <w:tc>
          <w:tcPr>
            <w:tcW w:w="289" w:type="dxa"/>
            <w:tcBorders>
              <w:top w:val="single" w:color="000000" w:sz="2" w:space="0"/>
              <w:bottom w:val="single" w:color="000000" w:sz="2" w:space="0"/>
            </w:tcBorders>
            <w:vAlign w:val="top"/>
          </w:tcPr>
          <w:p w14:paraId="2854CD90">
            <w:pPr>
              <w:spacing w:line="316" w:lineRule="auto"/>
              <w:rPr>
                <w:rFonts w:ascii="Arial"/>
                <w:sz w:val="21"/>
              </w:rPr>
            </w:pPr>
          </w:p>
          <w:p w14:paraId="221E6065">
            <w:pPr>
              <w:spacing w:line="317" w:lineRule="auto"/>
              <w:rPr>
                <w:rFonts w:ascii="Arial"/>
                <w:sz w:val="21"/>
              </w:rPr>
            </w:pPr>
          </w:p>
          <w:p w14:paraId="75384D4B">
            <w:pPr>
              <w:pStyle w:val="6"/>
              <w:spacing w:before="56" w:line="190" w:lineRule="auto"/>
              <w:ind w:left="17"/>
            </w:pPr>
            <w:r>
              <w:t>√</w:t>
            </w:r>
          </w:p>
        </w:tc>
        <w:tc>
          <w:tcPr>
            <w:tcW w:w="284" w:type="dxa"/>
            <w:tcBorders>
              <w:top w:val="single" w:color="000000" w:sz="2" w:space="0"/>
              <w:bottom w:val="single" w:color="000000" w:sz="2" w:space="0"/>
            </w:tcBorders>
            <w:vAlign w:val="top"/>
          </w:tcPr>
          <w:p w14:paraId="09962B2B">
            <w:pPr>
              <w:pStyle w:val="6"/>
              <w:spacing w:before="242" w:line="238" w:lineRule="auto"/>
              <w:ind w:left="19"/>
            </w:pPr>
            <w:r>
              <w:t>√</w:t>
            </w:r>
          </w:p>
        </w:tc>
      </w:tr>
    </w:tbl>
    <w:p w14:paraId="08FB3986">
      <w:pPr>
        <w:spacing w:before="286" w:line="239" w:lineRule="auto"/>
        <w:ind w:left="1837" w:right="246" w:hanging="1599"/>
        <w:rPr>
          <w:rFonts w:ascii="黑体" w:hAnsi="黑体" w:eastAsia="黑体" w:cs="黑体"/>
          <w:sz w:val="23"/>
          <w:szCs w:val="23"/>
        </w:rPr>
      </w:pPr>
      <w:r>
        <w:rPr>
          <w:rFonts w:ascii="黑体" w:hAnsi="黑体" w:eastAsia="黑体" w:cs="黑体"/>
          <w:b/>
          <w:bCs/>
          <w:spacing w:val="-3"/>
          <w:sz w:val="23"/>
          <w:szCs w:val="23"/>
        </w:rPr>
        <w:t>第三部分</w:t>
      </w:r>
      <w:r>
        <w:rPr>
          <w:rFonts w:ascii="黑体" w:hAnsi="黑体" w:eastAsia="黑体" w:cs="黑体"/>
          <w:spacing w:val="99"/>
          <w:sz w:val="23"/>
          <w:szCs w:val="23"/>
        </w:rPr>
        <w:t xml:space="preserve"> </w:t>
      </w:r>
      <w:r>
        <w:rPr>
          <w:rFonts w:ascii="黑体" w:hAnsi="黑体" w:eastAsia="黑体" w:cs="黑体"/>
          <w:b/>
          <w:bCs/>
          <w:spacing w:val="-3"/>
          <w:sz w:val="23"/>
          <w:szCs w:val="23"/>
        </w:rPr>
        <w:t>计算机编程基础—</w:t>
      </w:r>
      <w:r>
        <w:rPr>
          <w:rFonts w:ascii="宋体" w:hAnsi="宋体" w:eastAsia="宋体" w:cs="宋体"/>
          <w:b/>
          <w:bCs/>
          <w:spacing w:val="-3"/>
          <w:sz w:val="23"/>
          <w:szCs w:val="23"/>
        </w:rPr>
        <w:t>Python</w:t>
      </w:r>
      <w:r>
        <w:rPr>
          <w:rFonts w:ascii="宋体" w:hAnsi="宋体" w:eastAsia="宋体" w:cs="宋体"/>
          <w:sz w:val="23"/>
          <w:szCs w:val="23"/>
        </w:rPr>
        <w:t xml:space="preserve"> </w:t>
      </w:r>
      <w:r>
        <w:rPr>
          <w:rFonts w:ascii="黑体" w:hAnsi="黑体" w:eastAsia="黑体" w:cs="黑体"/>
          <w:b/>
          <w:bCs/>
          <w:spacing w:val="-5"/>
          <w:sz w:val="23"/>
          <w:szCs w:val="23"/>
        </w:rPr>
        <w:t>语言</w:t>
      </w:r>
    </w:p>
    <w:p w14:paraId="26950702">
      <w:pPr>
        <w:pStyle w:val="2"/>
        <w:spacing w:line="253" w:lineRule="auto"/>
      </w:pPr>
    </w:p>
    <w:p w14:paraId="5E8F6130">
      <w:pPr>
        <w:spacing w:before="55" w:line="212" w:lineRule="auto"/>
        <w:ind w:left="435"/>
        <w:rPr>
          <w:rFonts w:ascii="宋体" w:hAnsi="宋体" w:eastAsia="宋体" w:cs="宋体"/>
          <w:sz w:val="17"/>
          <w:szCs w:val="17"/>
        </w:rPr>
      </w:pPr>
      <w:r>
        <w:rPr>
          <w:rFonts w:ascii="宋体" w:hAnsi="宋体" w:eastAsia="宋体" w:cs="宋体"/>
          <w:spacing w:val="-4"/>
          <w:sz w:val="17"/>
          <w:szCs w:val="17"/>
        </w:rPr>
        <w:t>(</w:t>
      </w:r>
      <w:r>
        <w:rPr>
          <w:rFonts w:ascii="宋体" w:hAnsi="宋体" w:eastAsia="宋体" w:cs="宋体"/>
          <w:spacing w:val="-15"/>
          <w:sz w:val="17"/>
          <w:szCs w:val="17"/>
        </w:rPr>
        <w:t xml:space="preserve"> </w:t>
      </w:r>
      <w:r>
        <w:rPr>
          <w:rFonts w:ascii="宋体" w:hAnsi="宋体" w:eastAsia="宋体" w:cs="宋体"/>
          <w:spacing w:val="-4"/>
          <w:sz w:val="17"/>
          <w:szCs w:val="17"/>
        </w:rPr>
        <w:t>一</w:t>
      </w:r>
      <w:r>
        <w:rPr>
          <w:rFonts w:ascii="宋体" w:hAnsi="宋体" w:eastAsia="宋体" w:cs="宋体"/>
          <w:spacing w:val="-21"/>
          <w:sz w:val="17"/>
          <w:szCs w:val="17"/>
        </w:rPr>
        <w:t xml:space="preserve"> </w:t>
      </w:r>
      <w:r>
        <w:rPr>
          <w:rFonts w:ascii="宋体" w:hAnsi="宋体" w:eastAsia="宋体" w:cs="宋体"/>
          <w:spacing w:val="-4"/>
          <w:sz w:val="17"/>
          <w:szCs w:val="17"/>
        </w:rPr>
        <w:t>)</w:t>
      </w:r>
      <w:r>
        <w:rPr>
          <w:rFonts w:ascii="Times New Roman" w:hAnsi="Times New Roman" w:eastAsia="Times New Roman" w:cs="Times New Roman"/>
          <w:spacing w:val="-4"/>
          <w:sz w:val="17"/>
          <w:szCs w:val="17"/>
        </w:rPr>
        <w:t>Python</w:t>
      </w:r>
      <w:r>
        <w:rPr>
          <w:rFonts w:ascii="宋体" w:hAnsi="宋体" w:eastAsia="宋体" w:cs="宋体"/>
          <w:spacing w:val="-4"/>
          <w:sz w:val="17"/>
          <w:szCs w:val="17"/>
        </w:rPr>
        <w:t>基础</w:t>
      </w:r>
    </w:p>
    <w:p w14:paraId="1E947D07">
      <w:pPr>
        <w:spacing w:line="92" w:lineRule="exact"/>
      </w:pPr>
    </w:p>
    <w:tbl>
      <w:tblPr>
        <w:tblStyle w:val="5"/>
        <w:tblW w:w="413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43"/>
        <w:gridCol w:w="2484"/>
        <w:gridCol w:w="220"/>
        <w:gridCol w:w="230"/>
        <w:gridCol w:w="229"/>
        <w:gridCol w:w="224"/>
      </w:tblGrid>
      <w:tr w14:paraId="4C0E31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4" w:hRule="atLeast"/>
        </w:trPr>
        <w:tc>
          <w:tcPr>
            <w:tcW w:w="743" w:type="dxa"/>
            <w:vMerge w:val="restart"/>
            <w:tcBorders>
              <w:bottom w:val="nil"/>
            </w:tcBorders>
            <w:vAlign w:val="top"/>
          </w:tcPr>
          <w:p w14:paraId="3D68EBE2">
            <w:pPr>
              <w:pStyle w:val="6"/>
              <w:spacing w:before="30" w:line="212" w:lineRule="auto"/>
              <w:ind w:left="96" w:right="6" w:hanging="79"/>
              <w:rPr>
                <w:sz w:val="18"/>
                <w:szCs w:val="18"/>
              </w:rPr>
            </w:pPr>
            <w:r>
              <w:rPr>
                <w:b/>
                <w:bCs/>
                <w:spacing w:val="-5"/>
                <w:sz w:val="18"/>
                <w:szCs w:val="18"/>
              </w:rPr>
              <w:t>知识与技</w:t>
            </w:r>
            <w:r>
              <w:rPr>
                <w:sz w:val="18"/>
                <w:szCs w:val="18"/>
              </w:rPr>
              <w:t xml:space="preserve"> </w:t>
            </w:r>
            <w:r>
              <w:rPr>
                <w:b/>
                <w:bCs/>
                <w:spacing w:val="1"/>
                <w:sz w:val="18"/>
                <w:szCs w:val="18"/>
              </w:rPr>
              <w:t>能要点</w:t>
            </w:r>
          </w:p>
        </w:tc>
        <w:tc>
          <w:tcPr>
            <w:tcW w:w="2484" w:type="dxa"/>
            <w:vMerge w:val="restart"/>
            <w:tcBorders>
              <w:bottom w:val="nil"/>
            </w:tcBorders>
            <w:vAlign w:val="top"/>
          </w:tcPr>
          <w:p w14:paraId="742BE208">
            <w:pPr>
              <w:pStyle w:val="6"/>
              <w:spacing w:before="139" w:line="219" w:lineRule="auto"/>
              <w:ind w:left="924"/>
              <w:rPr>
                <w:sz w:val="18"/>
                <w:szCs w:val="18"/>
              </w:rPr>
            </w:pPr>
            <w:r>
              <w:rPr>
                <w:b/>
                <w:bCs/>
                <w:spacing w:val="5"/>
                <w:sz w:val="18"/>
                <w:szCs w:val="18"/>
              </w:rPr>
              <w:t>考试条目</w:t>
            </w:r>
          </w:p>
        </w:tc>
        <w:tc>
          <w:tcPr>
            <w:tcW w:w="903" w:type="dxa"/>
            <w:gridSpan w:val="4"/>
            <w:vAlign w:val="top"/>
          </w:tcPr>
          <w:p w14:paraId="4784DB64">
            <w:pPr>
              <w:pStyle w:val="6"/>
              <w:spacing w:before="29" w:line="199" w:lineRule="auto"/>
              <w:ind w:left="130"/>
              <w:rPr>
                <w:sz w:val="18"/>
                <w:szCs w:val="18"/>
              </w:rPr>
            </w:pPr>
            <w:r>
              <w:rPr>
                <w:b/>
                <w:bCs/>
                <w:spacing w:val="-4"/>
                <w:sz w:val="18"/>
                <w:szCs w:val="18"/>
              </w:rPr>
              <w:t>考试水平</w:t>
            </w:r>
          </w:p>
        </w:tc>
      </w:tr>
      <w:tr w14:paraId="7CEBD7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0" w:hRule="atLeast"/>
        </w:trPr>
        <w:tc>
          <w:tcPr>
            <w:tcW w:w="743" w:type="dxa"/>
            <w:vMerge w:val="continue"/>
            <w:tcBorders>
              <w:top w:val="nil"/>
            </w:tcBorders>
            <w:vAlign w:val="top"/>
          </w:tcPr>
          <w:p w14:paraId="6EBE4891">
            <w:pPr>
              <w:rPr>
                <w:rFonts w:ascii="Arial"/>
                <w:sz w:val="21"/>
              </w:rPr>
            </w:pPr>
          </w:p>
        </w:tc>
        <w:tc>
          <w:tcPr>
            <w:tcW w:w="2484" w:type="dxa"/>
            <w:vMerge w:val="continue"/>
            <w:tcBorders>
              <w:top w:val="nil"/>
            </w:tcBorders>
            <w:vAlign w:val="top"/>
          </w:tcPr>
          <w:p w14:paraId="19CE1E83">
            <w:pPr>
              <w:rPr>
                <w:rFonts w:ascii="Arial"/>
                <w:sz w:val="21"/>
              </w:rPr>
            </w:pPr>
          </w:p>
        </w:tc>
        <w:tc>
          <w:tcPr>
            <w:tcW w:w="220" w:type="dxa"/>
            <w:vAlign w:val="top"/>
          </w:tcPr>
          <w:p w14:paraId="56E8B1DA">
            <w:pPr>
              <w:pStyle w:val="6"/>
              <w:spacing w:before="63" w:line="136" w:lineRule="exact"/>
              <w:ind w:left="20"/>
              <w:rPr>
                <w:sz w:val="18"/>
                <w:szCs w:val="18"/>
              </w:rPr>
            </w:pPr>
            <w:r>
              <w:rPr>
                <w:b/>
                <w:bCs/>
                <w:spacing w:val="-2"/>
                <w:position w:val="-2"/>
                <w:sz w:val="18"/>
                <w:szCs w:val="18"/>
              </w:rPr>
              <w:t>A</w:t>
            </w:r>
          </w:p>
        </w:tc>
        <w:tc>
          <w:tcPr>
            <w:tcW w:w="230" w:type="dxa"/>
            <w:vAlign w:val="top"/>
          </w:tcPr>
          <w:p w14:paraId="2627FD95">
            <w:pPr>
              <w:pStyle w:val="6"/>
              <w:spacing w:before="66" w:line="133" w:lineRule="exact"/>
              <w:ind w:left="50"/>
              <w:rPr>
                <w:sz w:val="18"/>
                <w:szCs w:val="18"/>
              </w:rPr>
            </w:pPr>
            <w:r>
              <w:rPr>
                <w:b/>
                <w:bCs/>
                <w:spacing w:val="-2"/>
                <w:position w:val="-2"/>
                <w:sz w:val="18"/>
                <w:szCs w:val="18"/>
              </w:rPr>
              <w:t>B</w:t>
            </w:r>
          </w:p>
        </w:tc>
        <w:tc>
          <w:tcPr>
            <w:tcW w:w="229" w:type="dxa"/>
            <w:vAlign w:val="top"/>
          </w:tcPr>
          <w:p w14:paraId="18ED2289">
            <w:pPr>
              <w:pStyle w:val="6"/>
              <w:spacing w:before="64" w:line="136" w:lineRule="exact"/>
              <w:ind w:left="17"/>
              <w:rPr>
                <w:sz w:val="18"/>
                <w:szCs w:val="18"/>
              </w:rPr>
            </w:pPr>
            <w:r>
              <w:rPr>
                <w:position w:val="-2"/>
                <w:sz w:val="18"/>
                <w:szCs w:val="18"/>
              </w:rPr>
              <w:t>C</w:t>
            </w:r>
          </w:p>
        </w:tc>
        <w:tc>
          <w:tcPr>
            <w:tcW w:w="224" w:type="dxa"/>
            <w:vAlign w:val="top"/>
          </w:tcPr>
          <w:p w14:paraId="202E715B">
            <w:pPr>
              <w:pStyle w:val="6"/>
              <w:spacing w:before="66" w:line="133" w:lineRule="exact"/>
              <w:ind w:left="21"/>
              <w:rPr>
                <w:sz w:val="18"/>
                <w:szCs w:val="18"/>
              </w:rPr>
            </w:pPr>
            <w:r>
              <w:rPr>
                <w:b/>
                <w:bCs/>
                <w:spacing w:val="-2"/>
                <w:position w:val="-2"/>
                <w:sz w:val="18"/>
                <w:szCs w:val="18"/>
              </w:rPr>
              <w:t>D</w:t>
            </w:r>
          </w:p>
        </w:tc>
      </w:tr>
      <w:tr w14:paraId="0D3614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57" w:hRule="atLeast"/>
        </w:trPr>
        <w:tc>
          <w:tcPr>
            <w:tcW w:w="743" w:type="dxa"/>
            <w:vAlign w:val="top"/>
          </w:tcPr>
          <w:p w14:paraId="768BC39E">
            <w:pPr>
              <w:pStyle w:val="6"/>
              <w:spacing w:before="139" w:line="220" w:lineRule="auto"/>
              <w:ind w:left="94"/>
              <w:rPr>
                <w:sz w:val="18"/>
                <w:szCs w:val="18"/>
              </w:rPr>
            </w:pPr>
            <w:r>
              <w:rPr>
                <w:spacing w:val="-2"/>
                <w:sz w:val="18"/>
                <w:szCs w:val="18"/>
              </w:rPr>
              <w:t>程序设</w:t>
            </w:r>
          </w:p>
          <w:p w14:paraId="576ED3EB">
            <w:pPr>
              <w:pStyle w:val="6"/>
              <w:spacing w:before="5" w:line="221" w:lineRule="auto"/>
              <w:ind w:left="94"/>
              <w:rPr>
                <w:sz w:val="18"/>
                <w:szCs w:val="18"/>
              </w:rPr>
            </w:pPr>
            <w:r>
              <w:rPr>
                <w:spacing w:val="4"/>
                <w:sz w:val="18"/>
                <w:szCs w:val="18"/>
              </w:rPr>
              <w:t>计语言</w:t>
            </w:r>
          </w:p>
          <w:p w14:paraId="43743918">
            <w:pPr>
              <w:pStyle w:val="6"/>
              <w:spacing w:before="3" w:line="219" w:lineRule="auto"/>
              <w:ind w:left="184"/>
              <w:rPr>
                <w:sz w:val="18"/>
                <w:szCs w:val="18"/>
              </w:rPr>
            </w:pPr>
            <w:r>
              <w:rPr>
                <w:spacing w:val="-2"/>
                <w:sz w:val="18"/>
                <w:szCs w:val="18"/>
              </w:rPr>
              <w:t>概述</w:t>
            </w:r>
          </w:p>
        </w:tc>
        <w:tc>
          <w:tcPr>
            <w:tcW w:w="2484" w:type="dxa"/>
            <w:vAlign w:val="top"/>
          </w:tcPr>
          <w:p w14:paraId="13BDB502">
            <w:pPr>
              <w:pStyle w:val="6"/>
              <w:spacing w:before="148" w:line="216" w:lineRule="auto"/>
              <w:ind w:left="11"/>
              <w:rPr>
                <w:sz w:val="18"/>
                <w:szCs w:val="18"/>
              </w:rPr>
            </w:pPr>
            <w:r>
              <w:rPr>
                <w:sz w:val="18"/>
                <w:szCs w:val="18"/>
              </w:rPr>
              <w:t>1.程序与算法</w:t>
            </w:r>
          </w:p>
          <w:p w14:paraId="54884318">
            <w:pPr>
              <w:pStyle w:val="6"/>
              <w:spacing w:line="222" w:lineRule="auto"/>
              <w:ind w:left="11" w:right="1032"/>
              <w:rPr>
                <w:sz w:val="18"/>
                <w:szCs w:val="18"/>
              </w:rPr>
            </w:pPr>
            <w:r>
              <w:rPr>
                <w:spacing w:val="1"/>
                <w:sz w:val="18"/>
                <w:szCs w:val="18"/>
              </w:rPr>
              <w:t>2.程序设计语言</w:t>
            </w:r>
            <w:r>
              <w:rPr>
                <w:spacing w:val="2"/>
                <w:sz w:val="18"/>
                <w:szCs w:val="18"/>
              </w:rPr>
              <w:t xml:space="preserve">  </w:t>
            </w:r>
            <w:r>
              <w:rPr>
                <w:spacing w:val="-2"/>
                <w:sz w:val="18"/>
                <w:szCs w:val="18"/>
              </w:rPr>
              <w:t>3.程序的执行方式</w:t>
            </w:r>
          </w:p>
        </w:tc>
        <w:tc>
          <w:tcPr>
            <w:tcW w:w="220" w:type="dxa"/>
            <w:vAlign w:val="top"/>
          </w:tcPr>
          <w:p w14:paraId="3F8EC2A1">
            <w:pPr>
              <w:rPr>
                <w:rFonts w:ascii="Arial"/>
                <w:sz w:val="21"/>
              </w:rPr>
            </w:pPr>
          </w:p>
        </w:tc>
        <w:tc>
          <w:tcPr>
            <w:tcW w:w="230" w:type="dxa"/>
            <w:vAlign w:val="top"/>
          </w:tcPr>
          <w:p w14:paraId="112987AC">
            <w:pPr>
              <w:rPr>
                <w:rFonts w:ascii="Arial"/>
                <w:sz w:val="21"/>
              </w:rPr>
            </w:pPr>
          </w:p>
        </w:tc>
        <w:tc>
          <w:tcPr>
            <w:tcW w:w="229" w:type="dxa"/>
            <w:vAlign w:val="top"/>
          </w:tcPr>
          <w:p w14:paraId="50DABAE7">
            <w:pPr>
              <w:rPr>
                <w:rFonts w:ascii="Arial"/>
                <w:sz w:val="21"/>
              </w:rPr>
            </w:pPr>
          </w:p>
        </w:tc>
        <w:tc>
          <w:tcPr>
            <w:tcW w:w="224" w:type="dxa"/>
            <w:vAlign w:val="top"/>
          </w:tcPr>
          <w:p w14:paraId="39D769AA">
            <w:pPr>
              <w:rPr>
                <w:rFonts w:ascii="Arial"/>
                <w:sz w:val="21"/>
              </w:rPr>
            </w:pPr>
          </w:p>
        </w:tc>
      </w:tr>
      <w:tr w14:paraId="5F592C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7" w:hRule="atLeast"/>
        </w:trPr>
        <w:tc>
          <w:tcPr>
            <w:tcW w:w="743" w:type="dxa"/>
            <w:vAlign w:val="top"/>
          </w:tcPr>
          <w:p w14:paraId="08A8D893">
            <w:pPr>
              <w:pStyle w:val="6"/>
              <w:spacing w:before="287" w:line="209" w:lineRule="auto"/>
              <w:ind w:left="94"/>
              <w:rPr>
                <w:sz w:val="18"/>
                <w:szCs w:val="18"/>
              </w:rPr>
            </w:pPr>
            <w:r>
              <w:rPr>
                <w:spacing w:val="-1"/>
                <w:sz w:val="18"/>
                <w:szCs w:val="18"/>
              </w:rPr>
              <w:t>Python</w:t>
            </w:r>
          </w:p>
          <w:p w14:paraId="124C0972">
            <w:pPr>
              <w:pStyle w:val="6"/>
              <w:spacing w:line="219" w:lineRule="auto"/>
              <w:ind w:left="184"/>
              <w:rPr>
                <w:sz w:val="18"/>
                <w:szCs w:val="18"/>
              </w:rPr>
            </w:pPr>
            <w:r>
              <w:rPr>
                <w:spacing w:val="-2"/>
                <w:sz w:val="18"/>
                <w:szCs w:val="18"/>
              </w:rPr>
              <w:t>概述</w:t>
            </w:r>
          </w:p>
        </w:tc>
        <w:tc>
          <w:tcPr>
            <w:tcW w:w="2484" w:type="dxa"/>
            <w:vAlign w:val="top"/>
          </w:tcPr>
          <w:p w14:paraId="659AC025">
            <w:pPr>
              <w:pStyle w:val="6"/>
              <w:spacing w:before="158" w:line="225" w:lineRule="auto"/>
              <w:ind w:left="11" w:right="100"/>
              <w:rPr>
                <w:sz w:val="18"/>
                <w:szCs w:val="18"/>
              </w:rPr>
            </w:pPr>
            <w:r>
              <w:rPr>
                <w:spacing w:val="1"/>
                <w:sz w:val="18"/>
                <w:szCs w:val="18"/>
              </w:rPr>
              <w:t>1.</w:t>
            </w:r>
            <w:r>
              <w:rPr>
                <w:sz w:val="18"/>
                <w:szCs w:val="18"/>
              </w:rPr>
              <w:t>Python</w:t>
            </w:r>
            <w:r>
              <w:rPr>
                <w:spacing w:val="1"/>
                <w:sz w:val="18"/>
                <w:szCs w:val="18"/>
              </w:rPr>
              <w:t>的发展、特点和应用</w:t>
            </w:r>
            <w:r>
              <w:rPr>
                <w:spacing w:val="9"/>
                <w:sz w:val="18"/>
                <w:szCs w:val="18"/>
              </w:rPr>
              <w:t xml:space="preserve"> </w:t>
            </w:r>
            <w:r>
              <w:rPr>
                <w:spacing w:val="-1"/>
                <w:sz w:val="18"/>
                <w:szCs w:val="18"/>
              </w:rPr>
              <w:t>2.Python的开发环境</w:t>
            </w:r>
          </w:p>
          <w:p w14:paraId="216C0685">
            <w:pPr>
              <w:pStyle w:val="6"/>
              <w:spacing w:before="10" w:line="215" w:lineRule="auto"/>
              <w:ind w:left="11"/>
              <w:rPr>
                <w:sz w:val="18"/>
                <w:szCs w:val="18"/>
              </w:rPr>
            </w:pPr>
            <w:r>
              <w:rPr>
                <w:spacing w:val="-1"/>
                <w:sz w:val="18"/>
                <w:szCs w:val="18"/>
              </w:rPr>
              <w:t>3.Python的运行环境</w:t>
            </w:r>
          </w:p>
        </w:tc>
        <w:tc>
          <w:tcPr>
            <w:tcW w:w="220" w:type="dxa"/>
            <w:vAlign w:val="top"/>
          </w:tcPr>
          <w:p w14:paraId="683BEA09">
            <w:pPr>
              <w:spacing w:before="208" w:line="518" w:lineRule="exact"/>
              <w:ind w:firstLine="22"/>
            </w:pPr>
            <w:r>
              <w:rPr>
                <w:position w:val="-10"/>
              </w:rPr>
              <w:drawing>
                <wp:inline distT="0" distB="0" distL="0" distR="0">
                  <wp:extent cx="94615" cy="328930"/>
                  <wp:effectExtent l="0" t="0" r="0" b="0"/>
                  <wp:docPr id="218" name="IM 218"/>
                  <wp:cNvGraphicFramePr/>
                  <a:graphic xmlns:a="http://schemas.openxmlformats.org/drawingml/2006/main">
                    <a:graphicData uri="http://schemas.openxmlformats.org/drawingml/2006/picture">
                      <pic:pic xmlns:pic="http://schemas.openxmlformats.org/drawingml/2006/picture">
                        <pic:nvPicPr>
                          <pic:cNvPr id="218" name="IM 218"/>
                          <pic:cNvPicPr/>
                        </pic:nvPicPr>
                        <pic:blipFill>
                          <a:blip r:embed="rId274"/>
                          <a:stretch>
                            <a:fillRect/>
                          </a:stretch>
                        </pic:blipFill>
                        <pic:spPr>
                          <a:xfrm>
                            <a:off x="0" y="0"/>
                            <a:ext cx="94839" cy="329052"/>
                          </a:xfrm>
                          <a:prstGeom prst="rect">
                            <a:avLst/>
                          </a:prstGeom>
                        </pic:spPr>
                      </pic:pic>
                    </a:graphicData>
                  </a:graphic>
                </wp:inline>
              </w:drawing>
            </w:r>
          </w:p>
        </w:tc>
        <w:tc>
          <w:tcPr>
            <w:tcW w:w="230" w:type="dxa"/>
            <w:vAlign w:val="top"/>
          </w:tcPr>
          <w:p w14:paraId="4B8B4953">
            <w:pPr>
              <w:rPr>
                <w:rFonts w:ascii="Arial"/>
                <w:sz w:val="21"/>
              </w:rPr>
            </w:pPr>
          </w:p>
        </w:tc>
        <w:tc>
          <w:tcPr>
            <w:tcW w:w="229" w:type="dxa"/>
            <w:vAlign w:val="top"/>
          </w:tcPr>
          <w:p w14:paraId="373DAD9E">
            <w:pPr>
              <w:rPr>
                <w:rFonts w:ascii="Arial"/>
                <w:sz w:val="21"/>
              </w:rPr>
            </w:pPr>
          </w:p>
        </w:tc>
        <w:tc>
          <w:tcPr>
            <w:tcW w:w="224" w:type="dxa"/>
            <w:vAlign w:val="top"/>
          </w:tcPr>
          <w:p w14:paraId="732A0D6A">
            <w:pPr>
              <w:rPr>
                <w:rFonts w:ascii="Arial"/>
                <w:sz w:val="21"/>
              </w:rPr>
            </w:pPr>
          </w:p>
        </w:tc>
      </w:tr>
      <w:tr w14:paraId="4CCD6C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92" w:hRule="atLeast"/>
        </w:trPr>
        <w:tc>
          <w:tcPr>
            <w:tcW w:w="743" w:type="dxa"/>
            <w:vAlign w:val="top"/>
          </w:tcPr>
          <w:p w14:paraId="53946DFA">
            <w:pPr>
              <w:pStyle w:val="6"/>
              <w:spacing w:before="230" w:line="212" w:lineRule="auto"/>
              <w:ind w:left="94"/>
              <w:rPr>
                <w:sz w:val="18"/>
                <w:szCs w:val="18"/>
              </w:rPr>
            </w:pPr>
            <w:r>
              <w:rPr>
                <w:spacing w:val="-1"/>
                <w:sz w:val="18"/>
                <w:szCs w:val="18"/>
              </w:rPr>
              <w:t>Python</w:t>
            </w:r>
          </w:p>
          <w:p w14:paraId="084151AE">
            <w:pPr>
              <w:pStyle w:val="6"/>
              <w:spacing w:line="218" w:lineRule="auto"/>
              <w:ind w:left="184"/>
              <w:rPr>
                <w:sz w:val="18"/>
                <w:szCs w:val="18"/>
              </w:rPr>
            </w:pPr>
            <w:r>
              <w:rPr>
                <w:spacing w:val="-2"/>
                <w:sz w:val="18"/>
                <w:szCs w:val="18"/>
              </w:rPr>
              <w:t>语法</w:t>
            </w:r>
          </w:p>
          <w:p w14:paraId="2CD27AFF">
            <w:pPr>
              <w:pStyle w:val="6"/>
              <w:spacing w:line="225" w:lineRule="auto"/>
              <w:ind w:left="184"/>
              <w:rPr>
                <w:sz w:val="18"/>
                <w:szCs w:val="18"/>
              </w:rPr>
            </w:pPr>
            <w:r>
              <w:rPr>
                <w:spacing w:val="-2"/>
                <w:sz w:val="18"/>
                <w:szCs w:val="18"/>
              </w:rPr>
              <w:t>基础</w:t>
            </w:r>
          </w:p>
        </w:tc>
        <w:tc>
          <w:tcPr>
            <w:tcW w:w="2484" w:type="dxa"/>
            <w:vAlign w:val="top"/>
          </w:tcPr>
          <w:p w14:paraId="51878437">
            <w:pPr>
              <w:pStyle w:val="6"/>
              <w:spacing w:before="85" w:line="220" w:lineRule="auto"/>
              <w:ind w:left="11"/>
              <w:rPr>
                <w:sz w:val="18"/>
                <w:szCs w:val="18"/>
              </w:rPr>
            </w:pPr>
            <w:r>
              <w:rPr>
                <w:spacing w:val="1"/>
                <w:sz w:val="18"/>
                <w:szCs w:val="18"/>
              </w:rPr>
              <w:t>1.变量与常量</w:t>
            </w:r>
          </w:p>
          <w:p w14:paraId="2DDFA87D">
            <w:pPr>
              <w:pStyle w:val="6"/>
              <w:spacing w:before="36" w:line="221" w:lineRule="auto"/>
              <w:ind w:left="11" w:right="1751"/>
              <w:jc w:val="both"/>
              <w:rPr>
                <w:sz w:val="18"/>
                <w:szCs w:val="18"/>
              </w:rPr>
            </w:pPr>
            <w:r>
              <w:rPr>
                <w:spacing w:val="-2"/>
                <w:sz w:val="18"/>
                <w:szCs w:val="18"/>
              </w:rPr>
              <w:t>2.表达式</w:t>
            </w:r>
            <w:r>
              <w:rPr>
                <w:sz w:val="18"/>
                <w:szCs w:val="18"/>
              </w:rPr>
              <w:t xml:space="preserve"> </w:t>
            </w:r>
            <w:r>
              <w:rPr>
                <w:spacing w:val="-3"/>
                <w:sz w:val="18"/>
                <w:szCs w:val="18"/>
              </w:rPr>
              <w:t>3.运算符</w:t>
            </w:r>
            <w:r>
              <w:rPr>
                <w:spacing w:val="3"/>
                <w:sz w:val="18"/>
                <w:szCs w:val="18"/>
              </w:rPr>
              <w:t xml:space="preserve"> 4.语句</w:t>
            </w:r>
          </w:p>
        </w:tc>
        <w:tc>
          <w:tcPr>
            <w:tcW w:w="220" w:type="dxa"/>
            <w:vAlign w:val="top"/>
          </w:tcPr>
          <w:p w14:paraId="07B3E62B">
            <w:pPr>
              <w:rPr>
                <w:rFonts w:ascii="Arial"/>
                <w:sz w:val="21"/>
              </w:rPr>
            </w:pPr>
          </w:p>
        </w:tc>
        <w:tc>
          <w:tcPr>
            <w:tcW w:w="230" w:type="dxa"/>
            <w:vAlign w:val="top"/>
          </w:tcPr>
          <w:p w14:paraId="0D81EF72">
            <w:pPr>
              <w:spacing w:line="256" w:lineRule="auto"/>
              <w:rPr>
                <w:rFonts w:ascii="Arial"/>
                <w:sz w:val="21"/>
              </w:rPr>
            </w:pPr>
          </w:p>
          <w:p w14:paraId="3659682C">
            <w:pPr>
              <w:spacing w:line="256" w:lineRule="auto"/>
              <w:rPr>
                <w:rFonts w:ascii="Arial"/>
                <w:sz w:val="21"/>
              </w:rPr>
            </w:pPr>
          </w:p>
          <w:p w14:paraId="61932337">
            <w:pPr>
              <w:spacing w:line="257" w:lineRule="auto"/>
              <w:rPr>
                <w:rFonts w:ascii="Arial"/>
                <w:sz w:val="21"/>
              </w:rPr>
            </w:pPr>
          </w:p>
          <w:p w14:paraId="4F4EBDF5">
            <w:pPr>
              <w:spacing w:line="135" w:lineRule="exact"/>
              <w:ind w:firstLine="45"/>
            </w:pPr>
            <w:r>
              <w:rPr>
                <w:position w:val="-2"/>
              </w:rPr>
              <w:drawing>
                <wp:inline distT="0" distB="0" distL="0" distR="0">
                  <wp:extent cx="85725" cy="85090"/>
                  <wp:effectExtent l="0" t="0" r="0" b="0"/>
                  <wp:docPr id="220" name="IM 220"/>
                  <wp:cNvGraphicFramePr/>
                  <a:graphic xmlns:a="http://schemas.openxmlformats.org/drawingml/2006/main">
                    <a:graphicData uri="http://schemas.openxmlformats.org/drawingml/2006/picture">
                      <pic:pic xmlns:pic="http://schemas.openxmlformats.org/drawingml/2006/picture">
                        <pic:nvPicPr>
                          <pic:cNvPr id="220" name="IM 220"/>
                          <pic:cNvPicPr/>
                        </pic:nvPicPr>
                        <pic:blipFill>
                          <a:blip r:embed="rId275"/>
                          <a:stretch>
                            <a:fillRect/>
                          </a:stretch>
                        </pic:blipFill>
                        <pic:spPr>
                          <a:xfrm>
                            <a:off x="0" y="0"/>
                            <a:ext cx="85730" cy="85703"/>
                          </a:xfrm>
                          <a:prstGeom prst="rect">
                            <a:avLst/>
                          </a:prstGeom>
                        </pic:spPr>
                      </pic:pic>
                    </a:graphicData>
                  </a:graphic>
                </wp:inline>
              </w:drawing>
            </w:r>
          </w:p>
        </w:tc>
        <w:tc>
          <w:tcPr>
            <w:tcW w:w="229" w:type="dxa"/>
            <w:vAlign w:val="top"/>
          </w:tcPr>
          <w:p w14:paraId="25407B07">
            <w:pPr>
              <w:spacing w:before="141" w:line="538" w:lineRule="exact"/>
              <w:ind w:firstLine="41"/>
            </w:pPr>
            <w:r>
              <w:rPr>
                <w:position w:val="-10"/>
              </w:rPr>
              <w:drawing>
                <wp:inline distT="0" distB="0" distL="0" distR="0">
                  <wp:extent cx="82550" cy="340995"/>
                  <wp:effectExtent l="0" t="0" r="0" b="0"/>
                  <wp:docPr id="222" name="IM 222"/>
                  <wp:cNvGraphicFramePr/>
                  <a:graphic xmlns:a="http://schemas.openxmlformats.org/drawingml/2006/main">
                    <a:graphicData uri="http://schemas.openxmlformats.org/drawingml/2006/picture">
                      <pic:pic xmlns:pic="http://schemas.openxmlformats.org/drawingml/2006/picture">
                        <pic:nvPicPr>
                          <pic:cNvPr id="222" name="IM 222"/>
                          <pic:cNvPicPr/>
                        </pic:nvPicPr>
                        <pic:blipFill>
                          <a:blip r:embed="rId276"/>
                          <a:stretch>
                            <a:fillRect/>
                          </a:stretch>
                        </pic:blipFill>
                        <pic:spPr>
                          <a:xfrm>
                            <a:off x="0" y="0"/>
                            <a:ext cx="82984" cy="341573"/>
                          </a:xfrm>
                          <a:prstGeom prst="rect">
                            <a:avLst/>
                          </a:prstGeom>
                        </pic:spPr>
                      </pic:pic>
                    </a:graphicData>
                  </a:graphic>
                </wp:inline>
              </w:drawing>
            </w:r>
          </w:p>
        </w:tc>
        <w:tc>
          <w:tcPr>
            <w:tcW w:w="224" w:type="dxa"/>
            <w:vAlign w:val="top"/>
          </w:tcPr>
          <w:p w14:paraId="17347DA0">
            <w:pPr>
              <w:rPr>
                <w:rFonts w:ascii="Arial"/>
                <w:sz w:val="21"/>
              </w:rPr>
            </w:pPr>
          </w:p>
        </w:tc>
      </w:tr>
    </w:tbl>
    <w:p w14:paraId="790792C6">
      <w:pPr>
        <w:spacing w:before="232" w:line="219" w:lineRule="auto"/>
        <w:ind w:left="425"/>
        <w:rPr>
          <w:rFonts w:ascii="宋体" w:hAnsi="宋体" w:eastAsia="宋体" w:cs="宋体"/>
          <w:sz w:val="17"/>
          <w:szCs w:val="17"/>
        </w:rPr>
      </w:pPr>
      <w:r>
        <w:drawing>
          <wp:anchor distT="0" distB="0" distL="0" distR="0" simplePos="0" relativeHeight="251672576" behindDoc="0" locked="0" layoutInCell="1" allowOverlap="1">
            <wp:simplePos x="0" y="0"/>
            <wp:positionH relativeFrom="column">
              <wp:posOffset>2518410</wp:posOffset>
            </wp:positionH>
            <wp:positionV relativeFrom="paragraph">
              <wp:posOffset>1443355</wp:posOffset>
            </wp:positionV>
            <wp:extent cx="91440" cy="484505"/>
            <wp:effectExtent l="0" t="0" r="0" b="0"/>
            <wp:wrapNone/>
            <wp:docPr id="224" name="IM 224"/>
            <wp:cNvGraphicFramePr/>
            <a:graphic xmlns:a="http://schemas.openxmlformats.org/drawingml/2006/main">
              <a:graphicData uri="http://schemas.openxmlformats.org/drawingml/2006/picture">
                <pic:pic xmlns:pic="http://schemas.openxmlformats.org/drawingml/2006/picture">
                  <pic:nvPicPr>
                    <pic:cNvPr id="224" name="IM 224"/>
                    <pic:cNvPicPr/>
                  </pic:nvPicPr>
                  <pic:blipFill>
                    <a:blip r:embed="rId277"/>
                    <a:stretch>
                      <a:fillRect/>
                    </a:stretch>
                  </pic:blipFill>
                  <pic:spPr>
                    <a:xfrm>
                      <a:off x="0" y="0"/>
                      <a:ext cx="91446" cy="484777"/>
                    </a:xfrm>
                    <a:prstGeom prst="rect">
                      <a:avLst/>
                    </a:prstGeom>
                  </pic:spPr>
                </pic:pic>
              </a:graphicData>
            </a:graphic>
          </wp:anchor>
        </w:drawing>
      </w:r>
      <w:r>
        <w:rPr>
          <w:rFonts w:ascii="宋体" w:hAnsi="宋体" w:eastAsia="宋体" w:cs="宋体"/>
          <w:spacing w:val="9"/>
          <w:sz w:val="17"/>
          <w:szCs w:val="17"/>
        </w:rPr>
        <w:t>(二)数据与数据运算</w:t>
      </w:r>
    </w:p>
    <w:p w14:paraId="3923F9B4">
      <w:pPr>
        <w:spacing w:line="166" w:lineRule="exact"/>
      </w:pPr>
    </w:p>
    <w:tbl>
      <w:tblPr>
        <w:tblStyle w:val="5"/>
        <w:tblW w:w="413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33"/>
        <w:gridCol w:w="2484"/>
        <w:gridCol w:w="230"/>
        <w:gridCol w:w="230"/>
        <w:gridCol w:w="219"/>
        <w:gridCol w:w="234"/>
      </w:tblGrid>
      <w:tr w14:paraId="093F3B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4" w:hRule="atLeast"/>
        </w:trPr>
        <w:tc>
          <w:tcPr>
            <w:tcW w:w="733" w:type="dxa"/>
            <w:vMerge w:val="restart"/>
            <w:tcBorders>
              <w:bottom w:val="nil"/>
            </w:tcBorders>
            <w:vAlign w:val="top"/>
          </w:tcPr>
          <w:p w14:paraId="65F57D40">
            <w:pPr>
              <w:pStyle w:val="6"/>
              <w:spacing w:before="20" w:line="221" w:lineRule="auto"/>
              <w:ind w:left="17"/>
            </w:pPr>
            <w:r>
              <w:rPr>
                <w:b/>
                <w:bCs/>
                <w:spacing w:val="-4"/>
              </w:rPr>
              <w:t>知识与技</w:t>
            </w:r>
          </w:p>
          <w:p w14:paraId="6FB966E4">
            <w:pPr>
              <w:pStyle w:val="6"/>
              <w:spacing w:before="16" w:line="210" w:lineRule="auto"/>
              <w:ind w:left="107"/>
            </w:pPr>
            <w:r>
              <w:rPr>
                <w:b/>
                <w:bCs/>
                <w:spacing w:val="1"/>
              </w:rPr>
              <w:t>能要点</w:t>
            </w:r>
          </w:p>
        </w:tc>
        <w:tc>
          <w:tcPr>
            <w:tcW w:w="2484" w:type="dxa"/>
            <w:vMerge w:val="restart"/>
            <w:tcBorders>
              <w:bottom w:val="nil"/>
            </w:tcBorders>
            <w:vAlign w:val="top"/>
          </w:tcPr>
          <w:p w14:paraId="07A9AFB1">
            <w:pPr>
              <w:pStyle w:val="6"/>
              <w:spacing w:before="139" w:line="219" w:lineRule="auto"/>
              <w:ind w:left="934"/>
            </w:pPr>
            <w:r>
              <w:rPr>
                <w:b/>
                <w:bCs/>
                <w:spacing w:val="5"/>
              </w:rPr>
              <w:t>考试条目</w:t>
            </w:r>
          </w:p>
        </w:tc>
        <w:tc>
          <w:tcPr>
            <w:tcW w:w="913" w:type="dxa"/>
            <w:gridSpan w:val="4"/>
            <w:vAlign w:val="top"/>
          </w:tcPr>
          <w:p w14:paraId="6D50EC58">
            <w:pPr>
              <w:pStyle w:val="6"/>
              <w:spacing w:before="28" w:line="201" w:lineRule="auto"/>
              <w:ind w:left="140"/>
            </w:pPr>
            <w:r>
              <w:rPr>
                <w:b/>
                <w:bCs/>
                <w:spacing w:val="-4"/>
              </w:rPr>
              <w:t>考试水平</w:t>
            </w:r>
          </w:p>
        </w:tc>
      </w:tr>
      <w:tr w14:paraId="427880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0" w:hRule="atLeast"/>
        </w:trPr>
        <w:tc>
          <w:tcPr>
            <w:tcW w:w="733" w:type="dxa"/>
            <w:vMerge w:val="continue"/>
            <w:tcBorders>
              <w:top w:val="nil"/>
            </w:tcBorders>
            <w:vAlign w:val="top"/>
          </w:tcPr>
          <w:p w14:paraId="5EC62405">
            <w:pPr>
              <w:rPr>
                <w:rFonts w:ascii="Arial"/>
                <w:sz w:val="21"/>
              </w:rPr>
            </w:pPr>
          </w:p>
        </w:tc>
        <w:tc>
          <w:tcPr>
            <w:tcW w:w="2484" w:type="dxa"/>
            <w:vMerge w:val="continue"/>
            <w:tcBorders>
              <w:top w:val="nil"/>
            </w:tcBorders>
            <w:vAlign w:val="top"/>
          </w:tcPr>
          <w:p w14:paraId="6CC978B7">
            <w:pPr>
              <w:rPr>
                <w:rFonts w:ascii="Arial"/>
                <w:sz w:val="21"/>
              </w:rPr>
            </w:pPr>
          </w:p>
        </w:tc>
        <w:tc>
          <w:tcPr>
            <w:tcW w:w="230" w:type="dxa"/>
            <w:vAlign w:val="top"/>
          </w:tcPr>
          <w:p w14:paraId="30DFDE64">
            <w:pPr>
              <w:pStyle w:val="6"/>
              <w:spacing w:before="60" w:line="140" w:lineRule="exact"/>
              <w:ind w:left="20"/>
            </w:pPr>
            <w:r>
              <w:rPr>
                <w:b/>
                <w:bCs/>
                <w:spacing w:val="-2"/>
                <w:position w:val="-2"/>
              </w:rPr>
              <w:t>A</w:t>
            </w:r>
          </w:p>
        </w:tc>
        <w:tc>
          <w:tcPr>
            <w:tcW w:w="230" w:type="dxa"/>
            <w:vAlign w:val="top"/>
          </w:tcPr>
          <w:p w14:paraId="4CF42B6A">
            <w:pPr>
              <w:pStyle w:val="6"/>
              <w:spacing w:before="62" w:line="138" w:lineRule="exact"/>
              <w:ind w:left="40"/>
            </w:pPr>
            <w:r>
              <w:rPr>
                <w:b/>
                <w:bCs/>
                <w:spacing w:val="-2"/>
                <w:position w:val="-2"/>
              </w:rPr>
              <w:t>B</w:t>
            </w:r>
          </w:p>
        </w:tc>
        <w:tc>
          <w:tcPr>
            <w:tcW w:w="219" w:type="dxa"/>
            <w:vAlign w:val="top"/>
          </w:tcPr>
          <w:p w14:paraId="418854DD">
            <w:pPr>
              <w:pStyle w:val="6"/>
              <w:spacing w:before="60" w:line="140" w:lineRule="exact"/>
              <w:ind w:left="20"/>
            </w:pPr>
            <w:r>
              <w:rPr>
                <w:b/>
                <w:bCs/>
                <w:spacing w:val="-2"/>
                <w:position w:val="-2"/>
              </w:rPr>
              <w:t>C</w:t>
            </w:r>
          </w:p>
        </w:tc>
        <w:tc>
          <w:tcPr>
            <w:tcW w:w="234" w:type="dxa"/>
            <w:vAlign w:val="top"/>
          </w:tcPr>
          <w:p w14:paraId="73ABE733">
            <w:pPr>
              <w:pStyle w:val="6"/>
              <w:spacing w:before="62" w:line="138" w:lineRule="exact"/>
              <w:ind w:left="21"/>
            </w:pPr>
            <w:r>
              <w:rPr>
                <w:b/>
                <w:bCs/>
                <w:spacing w:val="-2"/>
                <w:position w:val="-2"/>
              </w:rPr>
              <w:t>D</w:t>
            </w:r>
          </w:p>
        </w:tc>
      </w:tr>
      <w:tr w14:paraId="0AF0D6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38" w:hRule="atLeast"/>
        </w:trPr>
        <w:tc>
          <w:tcPr>
            <w:tcW w:w="733" w:type="dxa"/>
            <w:vAlign w:val="top"/>
          </w:tcPr>
          <w:p w14:paraId="0DAE1BF6">
            <w:pPr>
              <w:spacing w:line="278" w:lineRule="auto"/>
              <w:rPr>
                <w:rFonts w:ascii="Arial"/>
                <w:sz w:val="21"/>
              </w:rPr>
            </w:pPr>
          </w:p>
          <w:p w14:paraId="5012F645">
            <w:pPr>
              <w:pStyle w:val="6"/>
              <w:spacing w:before="55" w:line="229" w:lineRule="auto"/>
              <w:ind w:left="107" w:right="111"/>
            </w:pPr>
            <w:r>
              <w:rPr>
                <w:b/>
                <w:bCs/>
                <w:spacing w:val="-4"/>
              </w:rPr>
              <w:t>基本数</w:t>
            </w:r>
            <w:r>
              <w:t xml:space="preserve"> </w:t>
            </w:r>
            <w:r>
              <w:rPr>
                <w:b/>
                <w:bCs/>
                <w:spacing w:val="-4"/>
              </w:rPr>
              <w:t>据类型</w:t>
            </w:r>
          </w:p>
        </w:tc>
        <w:tc>
          <w:tcPr>
            <w:tcW w:w="2484" w:type="dxa"/>
            <w:vAlign w:val="top"/>
          </w:tcPr>
          <w:p w14:paraId="41E127B9">
            <w:pPr>
              <w:pStyle w:val="6"/>
              <w:spacing w:before="123" w:line="227" w:lineRule="auto"/>
              <w:ind w:left="2"/>
            </w:pPr>
            <w:r>
              <w:rPr>
                <w:spacing w:val="2"/>
              </w:rPr>
              <w:t>1.整型</w:t>
            </w:r>
          </w:p>
          <w:p w14:paraId="1A131EA7">
            <w:pPr>
              <w:pStyle w:val="6"/>
              <w:spacing w:before="3" w:line="219" w:lineRule="auto"/>
              <w:ind w:left="2"/>
            </w:pPr>
            <w:r>
              <w:rPr>
                <w:spacing w:val="-2"/>
              </w:rPr>
              <w:t>2.布尔型</w:t>
            </w:r>
          </w:p>
          <w:p w14:paraId="200819BC">
            <w:pPr>
              <w:pStyle w:val="6"/>
              <w:spacing w:before="29" w:line="218" w:lineRule="auto"/>
              <w:ind w:left="2" w:right="1627"/>
            </w:pPr>
            <w:r>
              <w:rPr>
                <w:spacing w:val="2"/>
              </w:rPr>
              <w:t>3.浮点型</w:t>
            </w:r>
            <w:r>
              <w:t xml:space="preserve">   </w:t>
            </w:r>
            <w:r>
              <w:rPr>
                <w:spacing w:val="-1"/>
              </w:rPr>
              <w:t>4.字符串型</w:t>
            </w:r>
          </w:p>
        </w:tc>
        <w:tc>
          <w:tcPr>
            <w:tcW w:w="230" w:type="dxa"/>
            <w:vAlign w:val="top"/>
          </w:tcPr>
          <w:p w14:paraId="06BAF777">
            <w:pPr>
              <w:rPr>
                <w:rFonts w:ascii="Arial"/>
                <w:sz w:val="21"/>
              </w:rPr>
            </w:pPr>
          </w:p>
        </w:tc>
        <w:tc>
          <w:tcPr>
            <w:tcW w:w="230" w:type="dxa"/>
            <w:vAlign w:val="top"/>
          </w:tcPr>
          <w:p w14:paraId="4ACF0778">
            <w:pPr>
              <w:rPr>
                <w:rFonts w:ascii="Arial"/>
                <w:sz w:val="21"/>
              </w:rPr>
            </w:pPr>
          </w:p>
        </w:tc>
        <w:tc>
          <w:tcPr>
            <w:tcW w:w="219" w:type="dxa"/>
            <w:vAlign w:val="top"/>
          </w:tcPr>
          <w:p w14:paraId="3EF66964">
            <w:pPr>
              <w:spacing w:before="166" w:line="737" w:lineRule="exact"/>
              <w:ind w:firstLine="41"/>
            </w:pPr>
            <w:r>
              <w:rPr>
                <w:position w:val="-14"/>
              </w:rPr>
              <w:drawing>
                <wp:inline distT="0" distB="0" distL="0" distR="0">
                  <wp:extent cx="82550" cy="467360"/>
                  <wp:effectExtent l="0" t="0" r="0" b="0"/>
                  <wp:docPr id="226" name="IM 226"/>
                  <wp:cNvGraphicFramePr/>
                  <a:graphic xmlns:a="http://schemas.openxmlformats.org/drawingml/2006/main">
                    <a:graphicData uri="http://schemas.openxmlformats.org/drawingml/2006/picture">
                      <pic:pic xmlns:pic="http://schemas.openxmlformats.org/drawingml/2006/picture">
                        <pic:nvPicPr>
                          <pic:cNvPr id="226" name="IM 226"/>
                          <pic:cNvPicPr/>
                        </pic:nvPicPr>
                        <pic:blipFill>
                          <a:blip r:embed="rId278"/>
                          <a:stretch>
                            <a:fillRect/>
                          </a:stretch>
                        </pic:blipFill>
                        <pic:spPr>
                          <a:xfrm>
                            <a:off x="0" y="0"/>
                            <a:ext cx="82984" cy="467846"/>
                          </a:xfrm>
                          <a:prstGeom prst="rect">
                            <a:avLst/>
                          </a:prstGeom>
                        </pic:spPr>
                      </pic:pic>
                    </a:graphicData>
                  </a:graphic>
                </wp:inline>
              </w:drawing>
            </w:r>
          </w:p>
        </w:tc>
        <w:tc>
          <w:tcPr>
            <w:tcW w:w="234" w:type="dxa"/>
            <w:vAlign w:val="top"/>
          </w:tcPr>
          <w:p w14:paraId="07D24C1F">
            <w:pPr>
              <w:rPr>
                <w:rFonts w:ascii="Arial"/>
                <w:sz w:val="21"/>
              </w:rPr>
            </w:pPr>
          </w:p>
        </w:tc>
      </w:tr>
      <w:tr w14:paraId="232863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733" w:type="dxa"/>
            <w:tcBorders>
              <w:bottom w:val="nil"/>
            </w:tcBorders>
            <w:vAlign w:val="top"/>
          </w:tcPr>
          <w:p w14:paraId="11016621">
            <w:pPr>
              <w:pStyle w:val="6"/>
              <w:spacing w:before="127" w:line="197" w:lineRule="auto"/>
              <w:ind w:left="107"/>
            </w:pPr>
            <w:r>
              <w:rPr>
                <w:b/>
                <w:bCs/>
                <w:spacing w:val="-5"/>
              </w:rPr>
              <w:t>结构数</w:t>
            </w:r>
          </w:p>
        </w:tc>
        <w:tc>
          <w:tcPr>
            <w:tcW w:w="2484" w:type="dxa"/>
            <w:tcBorders>
              <w:bottom w:val="nil"/>
            </w:tcBorders>
            <w:vAlign w:val="top"/>
          </w:tcPr>
          <w:p w14:paraId="7748E1F5">
            <w:pPr>
              <w:pStyle w:val="6"/>
              <w:spacing w:before="131" w:line="193" w:lineRule="auto"/>
              <w:ind w:left="2"/>
            </w:pPr>
            <w:r>
              <w:rPr>
                <w:spacing w:val="2"/>
              </w:rPr>
              <w:t>1.列表</w:t>
            </w:r>
          </w:p>
        </w:tc>
        <w:tc>
          <w:tcPr>
            <w:tcW w:w="230" w:type="dxa"/>
            <w:tcBorders>
              <w:bottom w:val="nil"/>
            </w:tcBorders>
            <w:vAlign w:val="top"/>
          </w:tcPr>
          <w:p w14:paraId="732E6CB0">
            <w:pPr>
              <w:rPr>
                <w:rFonts w:ascii="Arial"/>
                <w:sz w:val="21"/>
              </w:rPr>
            </w:pPr>
          </w:p>
        </w:tc>
        <w:tc>
          <w:tcPr>
            <w:tcW w:w="230" w:type="dxa"/>
            <w:tcBorders>
              <w:bottom w:val="nil"/>
            </w:tcBorders>
            <w:vAlign w:val="top"/>
          </w:tcPr>
          <w:p w14:paraId="6DCEF16B">
            <w:pPr>
              <w:rPr>
                <w:rFonts w:ascii="Arial"/>
                <w:sz w:val="21"/>
              </w:rPr>
            </w:pPr>
          </w:p>
        </w:tc>
        <w:tc>
          <w:tcPr>
            <w:tcW w:w="219" w:type="dxa"/>
            <w:tcBorders>
              <w:bottom w:val="nil"/>
            </w:tcBorders>
            <w:vAlign w:val="top"/>
          </w:tcPr>
          <w:p w14:paraId="2D3CAA28">
            <w:pPr>
              <w:rPr>
                <w:rFonts w:ascii="Arial"/>
                <w:sz w:val="21"/>
              </w:rPr>
            </w:pPr>
          </w:p>
        </w:tc>
        <w:tc>
          <w:tcPr>
            <w:tcW w:w="234" w:type="dxa"/>
            <w:tcBorders>
              <w:bottom w:val="nil"/>
            </w:tcBorders>
            <w:vAlign w:val="top"/>
          </w:tcPr>
          <w:p w14:paraId="4D8CD400">
            <w:pPr>
              <w:rPr>
                <w:rFonts w:ascii="Arial"/>
                <w:sz w:val="21"/>
              </w:rPr>
            </w:pPr>
          </w:p>
        </w:tc>
      </w:tr>
      <w:tr w14:paraId="584140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0" w:hRule="atLeast"/>
        </w:trPr>
        <w:tc>
          <w:tcPr>
            <w:tcW w:w="733" w:type="dxa"/>
            <w:tcBorders>
              <w:top w:val="nil"/>
              <w:bottom w:val="nil"/>
            </w:tcBorders>
            <w:vAlign w:val="top"/>
          </w:tcPr>
          <w:p w14:paraId="15814E47">
            <w:pPr>
              <w:pStyle w:val="6"/>
              <w:spacing w:before="28" w:line="197" w:lineRule="auto"/>
              <w:ind w:left="107"/>
            </w:pPr>
            <w:r>
              <w:rPr>
                <w:b/>
                <w:bCs/>
                <w:spacing w:val="-4"/>
              </w:rPr>
              <w:t>据类型</w:t>
            </w:r>
          </w:p>
        </w:tc>
        <w:tc>
          <w:tcPr>
            <w:tcW w:w="2484" w:type="dxa"/>
            <w:tcBorders>
              <w:top w:val="nil"/>
              <w:bottom w:val="nil"/>
            </w:tcBorders>
            <w:vAlign w:val="top"/>
          </w:tcPr>
          <w:p w14:paraId="1DD7B997">
            <w:pPr>
              <w:pStyle w:val="6"/>
              <w:spacing w:before="31" w:line="194" w:lineRule="auto"/>
              <w:ind w:left="2"/>
            </w:pPr>
            <w:r>
              <w:rPr>
                <w:spacing w:val="-2"/>
              </w:rPr>
              <w:t>2.元组</w:t>
            </w:r>
          </w:p>
        </w:tc>
        <w:tc>
          <w:tcPr>
            <w:tcW w:w="230" w:type="dxa"/>
            <w:tcBorders>
              <w:top w:val="nil"/>
              <w:bottom w:val="nil"/>
            </w:tcBorders>
            <w:vAlign w:val="top"/>
          </w:tcPr>
          <w:p w14:paraId="5E7870C9">
            <w:pPr>
              <w:spacing w:line="210" w:lineRule="exact"/>
              <w:rPr>
                <w:rFonts w:ascii="Arial"/>
                <w:sz w:val="18"/>
              </w:rPr>
            </w:pPr>
          </w:p>
        </w:tc>
        <w:tc>
          <w:tcPr>
            <w:tcW w:w="230" w:type="dxa"/>
            <w:tcBorders>
              <w:top w:val="nil"/>
              <w:bottom w:val="nil"/>
            </w:tcBorders>
            <w:vAlign w:val="top"/>
          </w:tcPr>
          <w:p w14:paraId="548E0916">
            <w:pPr>
              <w:spacing w:line="210" w:lineRule="exact"/>
              <w:rPr>
                <w:rFonts w:ascii="Arial"/>
                <w:sz w:val="18"/>
              </w:rPr>
            </w:pPr>
          </w:p>
        </w:tc>
        <w:tc>
          <w:tcPr>
            <w:tcW w:w="219" w:type="dxa"/>
            <w:tcBorders>
              <w:top w:val="nil"/>
              <w:bottom w:val="nil"/>
            </w:tcBorders>
            <w:vAlign w:val="top"/>
          </w:tcPr>
          <w:p w14:paraId="2FCA1E39">
            <w:pPr>
              <w:spacing w:line="210" w:lineRule="exact"/>
              <w:rPr>
                <w:rFonts w:ascii="Arial"/>
                <w:sz w:val="18"/>
              </w:rPr>
            </w:pPr>
          </w:p>
        </w:tc>
        <w:tc>
          <w:tcPr>
            <w:tcW w:w="234" w:type="dxa"/>
            <w:tcBorders>
              <w:top w:val="nil"/>
              <w:bottom w:val="nil"/>
            </w:tcBorders>
            <w:vAlign w:val="top"/>
          </w:tcPr>
          <w:p w14:paraId="5403098B">
            <w:pPr>
              <w:spacing w:line="210" w:lineRule="exact"/>
              <w:rPr>
                <w:rFonts w:ascii="Arial"/>
                <w:sz w:val="18"/>
              </w:rPr>
            </w:pPr>
          </w:p>
        </w:tc>
      </w:tr>
      <w:tr w14:paraId="607CF8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8" w:hRule="atLeast"/>
        </w:trPr>
        <w:tc>
          <w:tcPr>
            <w:tcW w:w="733" w:type="dxa"/>
            <w:tcBorders>
              <w:top w:val="nil"/>
              <w:bottom w:val="nil"/>
            </w:tcBorders>
            <w:vAlign w:val="top"/>
          </w:tcPr>
          <w:p w14:paraId="1AD57A7C">
            <w:pPr>
              <w:pStyle w:val="6"/>
              <w:spacing w:before="29" w:line="194" w:lineRule="auto"/>
              <w:ind w:left="187"/>
            </w:pPr>
            <w:r>
              <w:rPr>
                <w:b/>
                <w:bCs/>
                <w:spacing w:val="-4"/>
              </w:rPr>
              <w:t>及其</w:t>
            </w:r>
          </w:p>
        </w:tc>
        <w:tc>
          <w:tcPr>
            <w:tcW w:w="2484" w:type="dxa"/>
            <w:tcBorders>
              <w:top w:val="nil"/>
              <w:bottom w:val="nil"/>
            </w:tcBorders>
            <w:vAlign w:val="top"/>
          </w:tcPr>
          <w:p w14:paraId="57B376C2">
            <w:pPr>
              <w:pStyle w:val="6"/>
              <w:spacing w:before="31" w:line="192" w:lineRule="auto"/>
              <w:ind w:left="2"/>
            </w:pPr>
            <w:r>
              <w:rPr>
                <w:spacing w:val="-3"/>
              </w:rPr>
              <w:t>3.字典</w:t>
            </w:r>
          </w:p>
        </w:tc>
        <w:tc>
          <w:tcPr>
            <w:tcW w:w="230" w:type="dxa"/>
            <w:tcBorders>
              <w:top w:val="nil"/>
              <w:bottom w:val="nil"/>
            </w:tcBorders>
            <w:vAlign w:val="top"/>
          </w:tcPr>
          <w:p w14:paraId="2E5E6E1A">
            <w:pPr>
              <w:spacing w:line="207" w:lineRule="exact"/>
              <w:rPr>
                <w:rFonts w:ascii="Arial"/>
                <w:sz w:val="18"/>
              </w:rPr>
            </w:pPr>
          </w:p>
        </w:tc>
        <w:tc>
          <w:tcPr>
            <w:tcW w:w="230" w:type="dxa"/>
            <w:tcBorders>
              <w:top w:val="nil"/>
              <w:bottom w:val="nil"/>
            </w:tcBorders>
            <w:vAlign w:val="top"/>
          </w:tcPr>
          <w:p w14:paraId="13697A65">
            <w:pPr>
              <w:spacing w:line="207" w:lineRule="exact"/>
              <w:rPr>
                <w:rFonts w:ascii="Arial"/>
                <w:sz w:val="18"/>
              </w:rPr>
            </w:pPr>
          </w:p>
        </w:tc>
        <w:tc>
          <w:tcPr>
            <w:tcW w:w="219" w:type="dxa"/>
            <w:tcBorders>
              <w:top w:val="nil"/>
              <w:bottom w:val="nil"/>
            </w:tcBorders>
            <w:vAlign w:val="top"/>
          </w:tcPr>
          <w:p w14:paraId="66355BD2">
            <w:pPr>
              <w:spacing w:line="207" w:lineRule="exact"/>
              <w:rPr>
                <w:rFonts w:ascii="Arial"/>
                <w:sz w:val="18"/>
              </w:rPr>
            </w:pPr>
          </w:p>
        </w:tc>
        <w:tc>
          <w:tcPr>
            <w:tcW w:w="234" w:type="dxa"/>
            <w:tcBorders>
              <w:top w:val="nil"/>
              <w:bottom w:val="nil"/>
            </w:tcBorders>
            <w:vAlign w:val="top"/>
          </w:tcPr>
          <w:p w14:paraId="09BA8B0A">
            <w:pPr>
              <w:spacing w:line="207" w:lineRule="exact"/>
              <w:rPr>
                <w:rFonts w:ascii="Arial"/>
                <w:sz w:val="18"/>
              </w:rPr>
            </w:pPr>
          </w:p>
        </w:tc>
      </w:tr>
      <w:tr w14:paraId="068B97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733" w:type="dxa"/>
            <w:tcBorders>
              <w:top w:val="nil"/>
            </w:tcBorders>
            <w:vAlign w:val="top"/>
          </w:tcPr>
          <w:p w14:paraId="08383B1F">
            <w:pPr>
              <w:pStyle w:val="6"/>
              <w:spacing w:before="30" w:line="219" w:lineRule="auto"/>
              <w:ind w:left="187"/>
            </w:pPr>
            <w:r>
              <w:rPr>
                <w:b/>
                <w:bCs/>
                <w:spacing w:val="-4"/>
              </w:rPr>
              <w:t>操作</w:t>
            </w:r>
          </w:p>
        </w:tc>
        <w:tc>
          <w:tcPr>
            <w:tcW w:w="2484" w:type="dxa"/>
            <w:tcBorders>
              <w:top w:val="nil"/>
            </w:tcBorders>
            <w:vAlign w:val="top"/>
          </w:tcPr>
          <w:p w14:paraId="3B22D9C8">
            <w:pPr>
              <w:pStyle w:val="6"/>
              <w:spacing w:before="33" w:line="219" w:lineRule="auto"/>
              <w:ind w:left="2"/>
            </w:pPr>
            <w:r>
              <w:rPr>
                <w:spacing w:val="-2"/>
              </w:rPr>
              <w:t>4.集合</w:t>
            </w:r>
          </w:p>
        </w:tc>
        <w:tc>
          <w:tcPr>
            <w:tcW w:w="230" w:type="dxa"/>
            <w:tcBorders>
              <w:top w:val="nil"/>
            </w:tcBorders>
            <w:vAlign w:val="top"/>
          </w:tcPr>
          <w:p w14:paraId="3D9BA258">
            <w:pPr>
              <w:rPr>
                <w:rFonts w:ascii="Arial"/>
                <w:sz w:val="21"/>
              </w:rPr>
            </w:pPr>
          </w:p>
        </w:tc>
        <w:tc>
          <w:tcPr>
            <w:tcW w:w="230" w:type="dxa"/>
            <w:tcBorders>
              <w:top w:val="nil"/>
            </w:tcBorders>
            <w:vAlign w:val="top"/>
          </w:tcPr>
          <w:p w14:paraId="4123531C">
            <w:pPr>
              <w:rPr>
                <w:rFonts w:ascii="Arial"/>
                <w:sz w:val="21"/>
              </w:rPr>
            </w:pPr>
          </w:p>
        </w:tc>
        <w:tc>
          <w:tcPr>
            <w:tcW w:w="219" w:type="dxa"/>
            <w:tcBorders>
              <w:top w:val="nil"/>
            </w:tcBorders>
            <w:vAlign w:val="top"/>
          </w:tcPr>
          <w:p w14:paraId="46102780">
            <w:pPr>
              <w:rPr>
                <w:rFonts w:ascii="Arial"/>
                <w:sz w:val="21"/>
              </w:rPr>
            </w:pPr>
          </w:p>
        </w:tc>
        <w:tc>
          <w:tcPr>
            <w:tcW w:w="234" w:type="dxa"/>
            <w:tcBorders>
              <w:top w:val="nil"/>
            </w:tcBorders>
            <w:vAlign w:val="top"/>
          </w:tcPr>
          <w:p w14:paraId="7AF1A134">
            <w:pPr>
              <w:rPr>
                <w:rFonts w:ascii="Arial"/>
                <w:sz w:val="21"/>
              </w:rPr>
            </w:pPr>
          </w:p>
        </w:tc>
      </w:tr>
      <w:tr w14:paraId="4A04E6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08" w:hRule="atLeast"/>
        </w:trPr>
        <w:tc>
          <w:tcPr>
            <w:tcW w:w="733" w:type="dxa"/>
            <w:vAlign w:val="top"/>
          </w:tcPr>
          <w:p w14:paraId="0508EE0E">
            <w:pPr>
              <w:spacing w:line="263" w:lineRule="auto"/>
              <w:rPr>
                <w:rFonts w:ascii="Arial"/>
                <w:sz w:val="21"/>
              </w:rPr>
            </w:pPr>
          </w:p>
          <w:p w14:paraId="7E2D42F9">
            <w:pPr>
              <w:pStyle w:val="6"/>
              <w:spacing w:before="56" w:line="218" w:lineRule="auto"/>
              <w:ind w:left="187" w:right="202"/>
            </w:pPr>
            <w:r>
              <w:rPr>
                <w:b/>
                <w:bCs/>
                <w:spacing w:val="-6"/>
              </w:rPr>
              <w:t>数据</w:t>
            </w:r>
            <w:r>
              <w:t xml:space="preserve"> </w:t>
            </w:r>
            <w:r>
              <w:rPr>
                <w:b/>
                <w:bCs/>
                <w:spacing w:val="-6"/>
              </w:rPr>
              <w:t>运算</w:t>
            </w:r>
          </w:p>
        </w:tc>
        <w:tc>
          <w:tcPr>
            <w:tcW w:w="2484" w:type="dxa"/>
            <w:vAlign w:val="top"/>
          </w:tcPr>
          <w:p w14:paraId="20BBFC59">
            <w:pPr>
              <w:pStyle w:val="6"/>
              <w:spacing w:before="83" w:line="219" w:lineRule="auto"/>
              <w:ind w:left="2"/>
            </w:pPr>
            <w:r>
              <w:rPr>
                <w:spacing w:val="1"/>
              </w:rPr>
              <w:t>1.算术运算</w:t>
            </w:r>
          </w:p>
          <w:p w14:paraId="4DD73226">
            <w:pPr>
              <w:pStyle w:val="6"/>
              <w:spacing w:before="38" w:line="217" w:lineRule="auto"/>
              <w:ind w:left="2"/>
            </w:pPr>
            <w:r>
              <w:rPr>
                <w:spacing w:val="-2"/>
              </w:rPr>
              <w:t>2.关系运算</w:t>
            </w:r>
          </w:p>
          <w:p w14:paraId="1C649CD9">
            <w:pPr>
              <w:pStyle w:val="6"/>
              <w:spacing w:line="219" w:lineRule="auto"/>
              <w:ind w:left="2"/>
            </w:pPr>
            <w:r>
              <w:rPr>
                <w:spacing w:val="-2"/>
              </w:rPr>
              <w:t>3.逻辑运算</w:t>
            </w:r>
          </w:p>
          <w:p w14:paraId="1992D2BA">
            <w:pPr>
              <w:pStyle w:val="6"/>
              <w:spacing w:before="48" w:line="219" w:lineRule="auto"/>
              <w:ind w:left="2"/>
            </w:pPr>
            <w:r>
              <w:rPr>
                <w:spacing w:val="-1"/>
              </w:rPr>
              <w:t>4.运算优先级</w:t>
            </w:r>
          </w:p>
        </w:tc>
        <w:tc>
          <w:tcPr>
            <w:tcW w:w="230" w:type="dxa"/>
            <w:vAlign w:val="top"/>
          </w:tcPr>
          <w:p w14:paraId="5660E6F9">
            <w:pPr>
              <w:rPr>
                <w:rFonts w:ascii="Arial"/>
                <w:sz w:val="21"/>
              </w:rPr>
            </w:pPr>
          </w:p>
        </w:tc>
        <w:tc>
          <w:tcPr>
            <w:tcW w:w="230" w:type="dxa"/>
            <w:vAlign w:val="top"/>
          </w:tcPr>
          <w:p w14:paraId="0898F2EA">
            <w:pPr>
              <w:rPr>
                <w:rFonts w:ascii="Arial"/>
                <w:sz w:val="21"/>
              </w:rPr>
            </w:pPr>
          </w:p>
        </w:tc>
        <w:tc>
          <w:tcPr>
            <w:tcW w:w="219" w:type="dxa"/>
            <w:vAlign w:val="top"/>
          </w:tcPr>
          <w:p w14:paraId="490DD120">
            <w:pPr>
              <w:spacing w:before="160" w:line="308" w:lineRule="exact"/>
              <w:ind w:firstLine="41"/>
            </w:pPr>
            <w:r>
              <w:rPr>
                <w:position w:val="-6"/>
              </w:rPr>
              <w:drawing>
                <wp:inline distT="0" distB="0" distL="0" distR="0">
                  <wp:extent cx="82550" cy="194945"/>
                  <wp:effectExtent l="0" t="0" r="0" b="0"/>
                  <wp:docPr id="228" name="IM 228"/>
                  <wp:cNvGraphicFramePr/>
                  <a:graphic xmlns:a="http://schemas.openxmlformats.org/drawingml/2006/main">
                    <a:graphicData uri="http://schemas.openxmlformats.org/drawingml/2006/picture">
                      <pic:pic xmlns:pic="http://schemas.openxmlformats.org/drawingml/2006/picture">
                        <pic:nvPicPr>
                          <pic:cNvPr id="228" name="IM 228"/>
                          <pic:cNvPicPr/>
                        </pic:nvPicPr>
                        <pic:blipFill>
                          <a:blip r:embed="rId279"/>
                          <a:stretch>
                            <a:fillRect/>
                          </a:stretch>
                        </pic:blipFill>
                        <pic:spPr>
                          <a:xfrm>
                            <a:off x="0" y="0"/>
                            <a:ext cx="82984" cy="195346"/>
                          </a:xfrm>
                          <a:prstGeom prst="rect">
                            <a:avLst/>
                          </a:prstGeom>
                        </pic:spPr>
                      </pic:pic>
                    </a:graphicData>
                  </a:graphic>
                </wp:inline>
              </w:drawing>
            </w:r>
          </w:p>
        </w:tc>
        <w:tc>
          <w:tcPr>
            <w:tcW w:w="234" w:type="dxa"/>
            <w:vAlign w:val="top"/>
          </w:tcPr>
          <w:p w14:paraId="76FCD418">
            <w:pPr>
              <w:spacing w:line="328" w:lineRule="auto"/>
              <w:rPr>
                <w:rFonts w:ascii="Arial"/>
                <w:sz w:val="21"/>
              </w:rPr>
            </w:pPr>
          </w:p>
          <w:p w14:paraId="682CA9AD">
            <w:pPr>
              <w:spacing w:line="329" w:lineRule="auto"/>
              <w:rPr>
                <w:rFonts w:ascii="Arial"/>
                <w:sz w:val="21"/>
              </w:rPr>
            </w:pPr>
          </w:p>
          <w:p w14:paraId="30D030D7">
            <w:pPr>
              <w:spacing w:line="150" w:lineRule="exact"/>
            </w:pPr>
            <w:r>
              <w:rPr>
                <w:position w:val="-3"/>
              </w:rPr>
              <w:drawing>
                <wp:inline distT="0" distB="0" distL="0" distR="0">
                  <wp:extent cx="123825" cy="95250"/>
                  <wp:effectExtent l="0" t="0" r="0" b="0"/>
                  <wp:docPr id="230" name="IM 230"/>
                  <wp:cNvGraphicFramePr/>
                  <a:graphic xmlns:a="http://schemas.openxmlformats.org/drawingml/2006/main">
                    <a:graphicData uri="http://schemas.openxmlformats.org/drawingml/2006/picture">
                      <pic:pic xmlns:pic="http://schemas.openxmlformats.org/drawingml/2006/picture">
                        <pic:nvPicPr>
                          <pic:cNvPr id="230" name="IM 230"/>
                          <pic:cNvPicPr/>
                        </pic:nvPicPr>
                        <pic:blipFill>
                          <a:blip r:embed="rId280"/>
                          <a:stretch>
                            <a:fillRect/>
                          </a:stretch>
                        </pic:blipFill>
                        <pic:spPr>
                          <a:xfrm>
                            <a:off x="0" y="0"/>
                            <a:ext cx="124114" cy="95622"/>
                          </a:xfrm>
                          <a:prstGeom prst="rect">
                            <a:avLst/>
                          </a:prstGeom>
                        </pic:spPr>
                      </pic:pic>
                    </a:graphicData>
                  </a:graphic>
                </wp:inline>
              </w:drawing>
            </w:r>
          </w:p>
        </w:tc>
      </w:tr>
      <w:tr w14:paraId="415206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32" w:hRule="atLeast"/>
        </w:trPr>
        <w:tc>
          <w:tcPr>
            <w:tcW w:w="733" w:type="dxa"/>
            <w:vAlign w:val="top"/>
          </w:tcPr>
          <w:p w14:paraId="0671C6DF">
            <w:pPr>
              <w:spacing w:line="385" w:lineRule="auto"/>
              <w:rPr>
                <w:rFonts w:ascii="Arial"/>
                <w:sz w:val="21"/>
              </w:rPr>
            </w:pPr>
          </w:p>
          <w:p w14:paraId="188967A5">
            <w:pPr>
              <w:pStyle w:val="6"/>
              <w:spacing w:before="55" w:line="218" w:lineRule="auto"/>
              <w:ind w:left="186" w:right="96" w:hanging="79"/>
            </w:pPr>
            <w:r>
              <w:rPr>
                <w:b/>
                <w:bCs/>
                <w:spacing w:val="1"/>
              </w:rPr>
              <w:t>函数与</w:t>
            </w:r>
            <w:r>
              <w:t xml:space="preserve"> </w:t>
            </w:r>
            <w:r>
              <w:rPr>
                <w:b/>
                <w:bCs/>
                <w:spacing w:val="-4"/>
              </w:rPr>
              <w:t>模块</w:t>
            </w:r>
          </w:p>
        </w:tc>
        <w:tc>
          <w:tcPr>
            <w:tcW w:w="2484" w:type="dxa"/>
            <w:vAlign w:val="top"/>
          </w:tcPr>
          <w:p w14:paraId="2F08C5A2">
            <w:pPr>
              <w:pStyle w:val="6"/>
              <w:spacing w:before="115" w:line="217" w:lineRule="auto"/>
              <w:ind w:left="2"/>
            </w:pPr>
            <w:r>
              <w:rPr>
                <w:spacing w:val="1"/>
              </w:rPr>
              <w:t>1.内置函数</w:t>
            </w:r>
          </w:p>
          <w:p w14:paraId="249CF901">
            <w:pPr>
              <w:pStyle w:val="6"/>
              <w:spacing w:line="219" w:lineRule="auto"/>
              <w:ind w:left="2"/>
            </w:pPr>
            <w:r>
              <w:rPr>
                <w:spacing w:val="-2"/>
              </w:rPr>
              <w:t>2.math模块</w:t>
            </w:r>
          </w:p>
          <w:p w14:paraId="3E33F2CF">
            <w:pPr>
              <w:pStyle w:val="6"/>
              <w:spacing w:before="37" w:line="224" w:lineRule="auto"/>
              <w:ind w:left="2" w:right="1292"/>
            </w:pPr>
            <w:r>
              <w:rPr>
                <w:spacing w:val="-1"/>
              </w:rPr>
              <w:t>3.datetime模块</w:t>
            </w:r>
            <w:r>
              <w:t xml:space="preserve"> </w:t>
            </w:r>
            <w:r>
              <w:rPr>
                <w:spacing w:val="-1"/>
              </w:rPr>
              <w:t>4.random模块</w:t>
            </w:r>
          </w:p>
          <w:p w14:paraId="4D18AC4F">
            <w:pPr>
              <w:pStyle w:val="6"/>
              <w:spacing w:before="12" w:line="214" w:lineRule="auto"/>
              <w:ind w:left="2"/>
            </w:pPr>
            <w:r>
              <w:rPr>
                <w:spacing w:val="-1"/>
              </w:rPr>
              <w:t>5.string模块</w:t>
            </w:r>
          </w:p>
        </w:tc>
        <w:tc>
          <w:tcPr>
            <w:tcW w:w="230" w:type="dxa"/>
            <w:vAlign w:val="top"/>
          </w:tcPr>
          <w:p w14:paraId="67F476AA">
            <w:pPr>
              <w:rPr>
                <w:rFonts w:ascii="Arial"/>
                <w:sz w:val="21"/>
              </w:rPr>
            </w:pPr>
          </w:p>
        </w:tc>
        <w:tc>
          <w:tcPr>
            <w:tcW w:w="230" w:type="dxa"/>
            <w:vAlign w:val="top"/>
          </w:tcPr>
          <w:p w14:paraId="0D2DA4C2">
            <w:pPr>
              <w:rPr>
                <w:rFonts w:ascii="Arial"/>
                <w:sz w:val="21"/>
              </w:rPr>
            </w:pPr>
          </w:p>
        </w:tc>
        <w:tc>
          <w:tcPr>
            <w:tcW w:w="219" w:type="dxa"/>
            <w:vAlign w:val="top"/>
          </w:tcPr>
          <w:p w14:paraId="77436DAC">
            <w:pPr>
              <w:rPr>
                <w:rFonts w:ascii="Arial"/>
                <w:sz w:val="21"/>
              </w:rPr>
            </w:pPr>
          </w:p>
        </w:tc>
        <w:tc>
          <w:tcPr>
            <w:tcW w:w="234" w:type="dxa"/>
            <w:vAlign w:val="top"/>
          </w:tcPr>
          <w:p w14:paraId="3ED76A5C">
            <w:pPr>
              <w:spacing w:line="264" w:lineRule="auto"/>
              <w:rPr>
                <w:rFonts w:ascii="Arial"/>
                <w:sz w:val="21"/>
              </w:rPr>
            </w:pPr>
          </w:p>
          <w:p w14:paraId="2DB83036">
            <w:pPr>
              <w:spacing w:line="264" w:lineRule="auto"/>
              <w:rPr>
                <w:rFonts w:ascii="Arial"/>
                <w:sz w:val="21"/>
              </w:rPr>
            </w:pPr>
          </w:p>
          <w:p w14:paraId="2A349DBD">
            <w:pPr>
              <w:spacing w:line="265" w:lineRule="auto"/>
              <w:rPr>
                <w:rFonts w:ascii="Arial"/>
                <w:sz w:val="21"/>
              </w:rPr>
            </w:pPr>
          </w:p>
          <w:p w14:paraId="56049D6D">
            <w:pPr>
              <w:spacing w:line="320" w:lineRule="exact"/>
              <w:ind w:firstLine="63"/>
            </w:pPr>
            <w:r>
              <w:rPr>
                <w:position w:val="-6"/>
              </w:rPr>
              <w:drawing>
                <wp:inline distT="0" distB="0" distL="0" distR="0">
                  <wp:extent cx="82550" cy="202565"/>
                  <wp:effectExtent l="0" t="0" r="0" b="0"/>
                  <wp:docPr id="232" name="IM 232"/>
                  <wp:cNvGraphicFramePr/>
                  <a:graphic xmlns:a="http://schemas.openxmlformats.org/drawingml/2006/main">
                    <a:graphicData uri="http://schemas.openxmlformats.org/drawingml/2006/picture">
                      <pic:pic xmlns:pic="http://schemas.openxmlformats.org/drawingml/2006/picture">
                        <pic:nvPicPr>
                          <pic:cNvPr id="232" name="IM 232"/>
                          <pic:cNvPicPr/>
                        </pic:nvPicPr>
                        <pic:blipFill>
                          <a:blip r:embed="rId281"/>
                          <a:stretch>
                            <a:fillRect/>
                          </a:stretch>
                        </pic:blipFill>
                        <pic:spPr>
                          <a:xfrm>
                            <a:off x="0" y="0"/>
                            <a:ext cx="82984" cy="203183"/>
                          </a:xfrm>
                          <a:prstGeom prst="rect">
                            <a:avLst/>
                          </a:prstGeom>
                        </pic:spPr>
                      </pic:pic>
                    </a:graphicData>
                  </a:graphic>
                </wp:inline>
              </w:drawing>
            </w:r>
          </w:p>
        </w:tc>
      </w:tr>
    </w:tbl>
    <w:p w14:paraId="6735350A">
      <w:pPr>
        <w:pStyle w:val="2"/>
        <w:spacing w:line="150" w:lineRule="exact"/>
        <w:rPr>
          <w:sz w:val="13"/>
        </w:rPr>
      </w:pPr>
    </w:p>
    <w:p w14:paraId="75E2C478">
      <w:pPr>
        <w:spacing w:line="150" w:lineRule="exact"/>
        <w:rPr>
          <w:sz w:val="13"/>
          <w:szCs w:val="13"/>
        </w:rPr>
        <w:sectPr>
          <w:type w:val="continuous"/>
          <w:pgSz w:w="10660" w:h="15080"/>
          <w:pgMar w:top="400" w:right="1034" w:bottom="925" w:left="819" w:header="0" w:footer="705" w:gutter="0"/>
          <w:cols w:equalWidth="0" w:num="2">
            <w:col w:w="4566" w:space="100"/>
            <w:col w:w="4141"/>
          </w:cols>
        </w:sectPr>
      </w:pPr>
    </w:p>
    <w:p w14:paraId="0869F552">
      <w:pPr>
        <w:spacing w:before="66"/>
      </w:pPr>
    </w:p>
    <w:p w14:paraId="790D6F79">
      <w:pPr>
        <w:spacing w:before="65"/>
      </w:pPr>
    </w:p>
    <w:p w14:paraId="1FD3160B">
      <w:pPr>
        <w:spacing w:before="65"/>
      </w:pPr>
    </w:p>
    <w:p w14:paraId="574EB310">
      <w:pPr>
        <w:sectPr>
          <w:footerReference r:id="rId43" w:type="default"/>
          <w:pgSz w:w="10660" w:h="15080"/>
          <w:pgMar w:top="400" w:right="885" w:bottom="925" w:left="1024" w:header="0" w:footer="705" w:gutter="0"/>
          <w:cols w:equalWidth="0" w:num="1">
            <w:col w:w="8750"/>
          </w:cols>
        </w:sectPr>
      </w:pPr>
    </w:p>
    <w:p w14:paraId="1D920C73">
      <w:pPr>
        <w:spacing w:before="53" w:line="220" w:lineRule="auto"/>
        <w:ind w:left="437"/>
        <w:rPr>
          <w:rFonts w:ascii="宋体" w:hAnsi="宋体" w:eastAsia="宋体" w:cs="宋体"/>
          <w:sz w:val="17"/>
          <w:szCs w:val="17"/>
        </w:rPr>
      </w:pPr>
      <w:r>
        <w:rPr>
          <w:rFonts w:ascii="宋体" w:hAnsi="宋体" w:eastAsia="宋体" w:cs="宋体"/>
          <w:b/>
          <w:bCs/>
          <w:spacing w:val="8"/>
          <w:sz w:val="17"/>
          <w:szCs w:val="17"/>
        </w:rPr>
        <w:t>(三)结构化程序设计</w:t>
      </w:r>
    </w:p>
    <w:p w14:paraId="5B99E2C0">
      <w:pPr>
        <w:spacing w:line="87" w:lineRule="exact"/>
      </w:pPr>
    </w:p>
    <w:tbl>
      <w:tblPr>
        <w:tblStyle w:val="5"/>
        <w:tblW w:w="414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43"/>
        <w:gridCol w:w="2484"/>
        <w:gridCol w:w="230"/>
        <w:gridCol w:w="220"/>
        <w:gridCol w:w="229"/>
        <w:gridCol w:w="234"/>
      </w:tblGrid>
      <w:tr w14:paraId="79DD62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4" w:hRule="atLeast"/>
        </w:trPr>
        <w:tc>
          <w:tcPr>
            <w:tcW w:w="743" w:type="dxa"/>
            <w:vMerge w:val="restart"/>
            <w:tcBorders>
              <w:bottom w:val="nil"/>
            </w:tcBorders>
            <w:vAlign w:val="top"/>
          </w:tcPr>
          <w:p w14:paraId="69D079B5">
            <w:pPr>
              <w:pStyle w:val="6"/>
              <w:spacing w:before="31" w:line="206" w:lineRule="auto"/>
              <w:ind w:left="96" w:right="6" w:hanging="79"/>
              <w:rPr>
                <w:sz w:val="18"/>
                <w:szCs w:val="18"/>
              </w:rPr>
            </w:pPr>
            <w:r>
              <w:rPr>
                <w:b/>
                <w:bCs/>
                <w:spacing w:val="-5"/>
                <w:sz w:val="18"/>
                <w:szCs w:val="18"/>
              </w:rPr>
              <w:t>知识与技</w:t>
            </w:r>
            <w:r>
              <w:rPr>
                <w:sz w:val="18"/>
                <w:szCs w:val="18"/>
              </w:rPr>
              <w:t xml:space="preserve"> </w:t>
            </w:r>
            <w:r>
              <w:rPr>
                <w:b/>
                <w:bCs/>
                <w:spacing w:val="1"/>
                <w:sz w:val="18"/>
                <w:szCs w:val="18"/>
              </w:rPr>
              <w:t>能要点</w:t>
            </w:r>
          </w:p>
        </w:tc>
        <w:tc>
          <w:tcPr>
            <w:tcW w:w="2484" w:type="dxa"/>
            <w:vMerge w:val="restart"/>
            <w:tcBorders>
              <w:bottom w:val="nil"/>
            </w:tcBorders>
            <w:vAlign w:val="top"/>
          </w:tcPr>
          <w:p w14:paraId="099E466B">
            <w:pPr>
              <w:pStyle w:val="6"/>
              <w:spacing w:before="129" w:line="219" w:lineRule="auto"/>
              <w:ind w:left="924"/>
              <w:rPr>
                <w:sz w:val="18"/>
                <w:szCs w:val="18"/>
              </w:rPr>
            </w:pPr>
            <w:r>
              <w:rPr>
                <w:b/>
                <w:bCs/>
                <w:spacing w:val="5"/>
                <w:sz w:val="18"/>
                <w:szCs w:val="18"/>
              </w:rPr>
              <w:t>考试条目</w:t>
            </w:r>
          </w:p>
        </w:tc>
        <w:tc>
          <w:tcPr>
            <w:tcW w:w="913" w:type="dxa"/>
            <w:gridSpan w:val="4"/>
            <w:vAlign w:val="top"/>
          </w:tcPr>
          <w:p w14:paraId="753A5D24">
            <w:pPr>
              <w:pStyle w:val="6"/>
              <w:spacing w:before="19" w:line="199" w:lineRule="auto"/>
              <w:ind w:left="120"/>
              <w:rPr>
                <w:sz w:val="18"/>
                <w:szCs w:val="18"/>
              </w:rPr>
            </w:pPr>
            <w:r>
              <w:rPr>
                <w:b/>
                <w:bCs/>
                <w:spacing w:val="-4"/>
                <w:sz w:val="18"/>
                <w:szCs w:val="18"/>
              </w:rPr>
              <w:t>考试水平</w:t>
            </w:r>
          </w:p>
        </w:tc>
      </w:tr>
      <w:tr w14:paraId="0A4ED0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9" w:hRule="atLeast"/>
        </w:trPr>
        <w:tc>
          <w:tcPr>
            <w:tcW w:w="743" w:type="dxa"/>
            <w:vMerge w:val="continue"/>
            <w:tcBorders>
              <w:top w:val="nil"/>
            </w:tcBorders>
            <w:vAlign w:val="top"/>
          </w:tcPr>
          <w:p w14:paraId="6EE4C871">
            <w:pPr>
              <w:rPr>
                <w:rFonts w:ascii="Arial"/>
                <w:sz w:val="21"/>
              </w:rPr>
            </w:pPr>
          </w:p>
        </w:tc>
        <w:tc>
          <w:tcPr>
            <w:tcW w:w="2484" w:type="dxa"/>
            <w:vMerge w:val="continue"/>
            <w:tcBorders>
              <w:top w:val="nil"/>
            </w:tcBorders>
            <w:vAlign w:val="top"/>
          </w:tcPr>
          <w:p w14:paraId="42DE4EF7">
            <w:pPr>
              <w:rPr>
                <w:rFonts w:ascii="Arial"/>
                <w:sz w:val="21"/>
              </w:rPr>
            </w:pPr>
          </w:p>
        </w:tc>
        <w:tc>
          <w:tcPr>
            <w:tcW w:w="230" w:type="dxa"/>
            <w:vAlign w:val="top"/>
          </w:tcPr>
          <w:p w14:paraId="6F005008">
            <w:pPr>
              <w:pStyle w:val="6"/>
              <w:spacing w:before="63" w:line="136" w:lineRule="exact"/>
              <w:ind w:left="18"/>
              <w:rPr>
                <w:sz w:val="18"/>
                <w:szCs w:val="18"/>
              </w:rPr>
            </w:pPr>
            <w:r>
              <w:rPr>
                <w:position w:val="-2"/>
                <w:sz w:val="18"/>
                <w:szCs w:val="18"/>
              </w:rPr>
              <w:t>A</w:t>
            </w:r>
          </w:p>
        </w:tc>
        <w:tc>
          <w:tcPr>
            <w:tcW w:w="220" w:type="dxa"/>
            <w:vAlign w:val="top"/>
          </w:tcPr>
          <w:p w14:paraId="64836132">
            <w:pPr>
              <w:pStyle w:val="6"/>
              <w:spacing w:before="66" w:line="133" w:lineRule="exact"/>
              <w:ind w:left="18"/>
              <w:rPr>
                <w:sz w:val="18"/>
                <w:szCs w:val="18"/>
              </w:rPr>
            </w:pPr>
            <w:r>
              <w:rPr>
                <w:position w:val="-2"/>
                <w:sz w:val="18"/>
                <w:szCs w:val="18"/>
              </w:rPr>
              <w:t>B</w:t>
            </w:r>
          </w:p>
        </w:tc>
        <w:tc>
          <w:tcPr>
            <w:tcW w:w="229" w:type="dxa"/>
            <w:vAlign w:val="top"/>
          </w:tcPr>
          <w:p w14:paraId="60CC65F6">
            <w:pPr>
              <w:pStyle w:val="6"/>
              <w:spacing w:before="64" w:line="135" w:lineRule="exact"/>
              <w:ind w:left="17"/>
              <w:rPr>
                <w:sz w:val="18"/>
                <w:szCs w:val="18"/>
              </w:rPr>
            </w:pPr>
            <w:r>
              <w:rPr>
                <w:position w:val="-2"/>
                <w:sz w:val="18"/>
                <w:szCs w:val="18"/>
              </w:rPr>
              <w:t>C</w:t>
            </w:r>
          </w:p>
        </w:tc>
        <w:tc>
          <w:tcPr>
            <w:tcW w:w="234" w:type="dxa"/>
            <w:vAlign w:val="top"/>
          </w:tcPr>
          <w:p w14:paraId="4B27DA2B">
            <w:pPr>
              <w:pStyle w:val="6"/>
              <w:spacing w:before="66" w:line="133" w:lineRule="exact"/>
              <w:ind w:left="51"/>
              <w:rPr>
                <w:sz w:val="18"/>
                <w:szCs w:val="18"/>
              </w:rPr>
            </w:pPr>
            <w:r>
              <w:rPr>
                <w:b/>
                <w:bCs/>
                <w:spacing w:val="-2"/>
                <w:position w:val="-2"/>
                <w:sz w:val="18"/>
                <w:szCs w:val="18"/>
              </w:rPr>
              <w:t>D</w:t>
            </w:r>
          </w:p>
        </w:tc>
      </w:tr>
      <w:tr w14:paraId="7D7779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19" w:hRule="atLeast"/>
        </w:trPr>
        <w:tc>
          <w:tcPr>
            <w:tcW w:w="743" w:type="dxa"/>
            <w:vAlign w:val="top"/>
          </w:tcPr>
          <w:p w14:paraId="38796AA1">
            <w:pPr>
              <w:pStyle w:val="6"/>
              <w:spacing w:before="129" w:line="207" w:lineRule="auto"/>
              <w:ind w:left="185" w:right="194"/>
              <w:rPr>
                <w:sz w:val="18"/>
                <w:szCs w:val="18"/>
              </w:rPr>
            </w:pPr>
            <w:r>
              <w:rPr>
                <w:spacing w:val="-4"/>
                <w:sz w:val="18"/>
                <w:szCs w:val="18"/>
              </w:rPr>
              <w:t>程序</w:t>
            </w:r>
            <w:r>
              <w:rPr>
                <w:sz w:val="18"/>
                <w:szCs w:val="18"/>
              </w:rPr>
              <w:t xml:space="preserve"> </w:t>
            </w:r>
            <w:r>
              <w:rPr>
                <w:spacing w:val="-5"/>
                <w:sz w:val="18"/>
                <w:szCs w:val="18"/>
              </w:rPr>
              <w:t>文件</w:t>
            </w:r>
          </w:p>
        </w:tc>
        <w:tc>
          <w:tcPr>
            <w:tcW w:w="2484" w:type="dxa"/>
            <w:vAlign w:val="top"/>
          </w:tcPr>
          <w:p w14:paraId="3D487D17">
            <w:pPr>
              <w:pStyle w:val="6"/>
              <w:spacing w:before="56" w:line="197" w:lineRule="auto"/>
              <w:ind w:left="12"/>
              <w:rPr>
                <w:sz w:val="18"/>
                <w:szCs w:val="18"/>
              </w:rPr>
            </w:pPr>
            <w:r>
              <w:rPr>
                <w:spacing w:val="-3"/>
                <w:sz w:val="18"/>
                <w:szCs w:val="18"/>
              </w:rPr>
              <w:t>1</w:t>
            </w:r>
            <w:r>
              <w:rPr>
                <w:b/>
                <w:bCs/>
                <w:spacing w:val="-3"/>
                <w:sz w:val="18"/>
                <w:szCs w:val="18"/>
              </w:rPr>
              <w:t>.程序文件格式</w:t>
            </w:r>
          </w:p>
          <w:p w14:paraId="1A7CC134">
            <w:pPr>
              <w:pStyle w:val="6"/>
              <w:spacing w:line="195" w:lineRule="auto"/>
              <w:ind w:left="12" w:right="474"/>
            </w:pPr>
            <w:r>
              <w:rPr>
                <w:spacing w:val="9"/>
              </w:rPr>
              <w:t>2.程序文件的建立与修改</w:t>
            </w:r>
            <w:r>
              <w:rPr>
                <w:spacing w:val="8"/>
              </w:rPr>
              <w:t xml:space="preserve"> </w:t>
            </w:r>
            <w:r>
              <w:rPr>
                <w:spacing w:val="9"/>
              </w:rPr>
              <w:t>3.程序文件的运行</w:t>
            </w:r>
          </w:p>
        </w:tc>
        <w:tc>
          <w:tcPr>
            <w:tcW w:w="230" w:type="dxa"/>
            <w:vAlign w:val="top"/>
          </w:tcPr>
          <w:p w14:paraId="7ECCFE61">
            <w:pPr>
              <w:rPr>
                <w:rFonts w:ascii="Arial"/>
                <w:sz w:val="21"/>
              </w:rPr>
            </w:pPr>
          </w:p>
        </w:tc>
        <w:tc>
          <w:tcPr>
            <w:tcW w:w="220" w:type="dxa"/>
            <w:vAlign w:val="top"/>
          </w:tcPr>
          <w:p w14:paraId="3A56CB4A">
            <w:pPr>
              <w:rPr>
                <w:rFonts w:ascii="Arial"/>
                <w:sz w:val="21"/>
              </w:rPr>
            </w:pPr>
          </w:p>
        </w:tc>
        <w:tc>
          <w:tcPr>
            <w:tcW w:w="229" w:type="dxa"/>
            <w:vAlign w:val="top"/>
          </w:tcPr>
          <w:p w14:paraId="5E44E68D">
            <w:pPr>
              <w:rPr>
                <w:rFonts w:ascii="Arial"/>
                <w:sz w:val="21"/>
              </w:rPr>
            </w:pPr>
          </w:p>
        </w:tc>
        <w:tc>
          <w:tcPr>
            <w:tcW w:w="234" w:type="dxa"/>
            <w:vAlign w:val="top"/>
          </w:tcPr>
          <w:p w14:paraId="4BEF874B">
            <w:pPr>
              <w:rPr>
                <w:rFonts w:ascii="Arial"/>
                <w:sz w:val="21"/>
              </w:rPr>
            </w:pPr>
          </w:p>
        </w:tc>
      </w:tr>
      <w:tr w14:paraId="2A5503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98" w:hRule="atLeast"/>
        </w:trPr>
        <w:tc>
          <w:tcPr>
            <w:tcW w:w="743" w:type="dxa"/>
            <w:vAlign w:val="top"/>
          </w:tcPr>
          <w:p w14:paraId="178E5A71">
            <w:pPr>
              <w:pStyle w:val="6"/>
              <w:spacing w:before="140" w:line="204" w:lineRule="auto"/>
              <w:ind w:left="94" w:right="104"/>
              <w:jc w:val="both"/>
              <w:rPr>
                <w:sz w:val="18"/>
                <w:szCs w:val="18"/>
              </w:rPr>
            </w:pPr>
            <w:r>
              <w:rPr>
                <w:spacing w:val="-4"/>
                <w:sz w:val="18"/>
                <w:szCs w:val="18"/>
              </w:rPr>
              <w:t>结构化</w:t>
            </w:r>
            <w:r>
              <w:rPr>
                <w:sz w:val="18"/>
                <w:szCs w:val="18"/>
              </w:rPr>
              <w:t xml:space="preserve"> </w:t>
            </w:r>
            <w:r>
              <w:rPr>
                <w:spacing w:val="-3"/>
                <w:sz w:val="18"/>
                <w:szCs w:val="18"/>
              </w:rPr>
              <w:t>程序设</w:t>
            </w:r>
            <w:r>
              <w:rPr>
                <w:spacing w:val="1"/>
                <w:sz w:val="18"/>
                <w:szCs w:val="18"/>
              </w:rPr>
              <w:t xml:space="preserve"> </w:t>
            </w:r>
            <w:r>
              <w:rPr>
                <w:spacing w:val="-3"/>
                <w:sz w:val="18"/>
                <w:szCs w:val="18"/>
              </w:rPr>
              <w:t>计基础</w:t>
            </w:r>
          </w:p>
        </w:tc>
        <w:tc>
          <w:tcPr>
            <w:tcW w:w="2484" w:type="dxa"/>
            <w:vAlign w:val="top"/>
          </w:tcPr>
          <w:p w14:paraId="72169286">
            <w:pPr>
              <w:pStyle w:val="6"/>
              <w:spacing w:before="50" w:line="194" w:lineRule="auto"/>
              <w:ind w:left="12"/>
              <w:rPr>
                <w:sz w:val="18"/>
                <w:szCs w:val="18"/>
              </w:rPr>
            </w:pPr>
            <w:r>
              <w:rPr>
                <w:spacing w:val="1"/>
                <w:sz w:val="18"/>
                <w:szCs w:val="18"/>
              </w:rPr>
              <w:t>1.结构化程序设计思想</w:t>
            </w:r>
          </w:p>
          <w:p w14:paraId="01EF9CC1">
            <w:pPr>
              <w:pStyle w:val="6"/>
              <w:spacing w:line="185" w:lineRule="auto"/>
              <w:ind w:left="12"/>
              <w:rPr>
                <w:sz w:val="18"/>
                <w:szCs w:val="18"/>
              </w:rPr>
            </w:pPr>
            <w:r>
              <w:rPr>
                <w:sz w:val="18"/>
                <w:szCs w:val="18"/>
              </w:rPr>
              <w:t>2.结构化程序设计基本结构：</w:t>
            </w:r>
          </w:p>
          <w:p w14:paraId="663B9BB2">
            <w:pPr>
              <w:pStyle w:val="6"/>
              <w:spacing w:before="1" w:line="188" w:lineRule="auto"/>
              <w:ind w:left="12" w:right="892"/>
              <w:rPr>
                <w:sz w:val="18"/>
                <w:szCs w:val="18"/>
              </w:rPr>
            </w:pPr>
            <w:r>
              <w:rPr>
                <w:spacing w:val="-1"/>
                <w:sz w:val="18"/>
                <w:szCs w:val="18"/>
              </w:rPr>
              <w:t>顺序、选择、循环</w:t>
            </w:r>
            <w:r>
              <w:rPr>
                <w:sz w:val="18"/>
                <w:szCs w:val="18"/>
              </w:rPr>
              <w:t xml:space="preserve">  </w:t>
            </w:r>
            <w:r>
              <w:rPr>
                <w:spacing w:val="3"/>
                <w:sz w:val="18"/>
                <w:szCs w:val="18"/>
              </w:rPr>
              <w:t>3.程序流程图(N-S)</w:t>
            </w:r>
          </w:p>
        </w:tc>
        <w:tc>
          <w:tcPr>
            <w:tcW w:w="230" w:type="dxa"/>
            <w:vAlign w:val="top"/>
          </w:tcPr>
          <w:p w14:paraId="3C753EB0">
            <w:pPr>
              <w:rPr>
                <w:rFonts w:ascii="Arial"/>
                <w:sz w:val="21"/>
              </w:rPr>
            </w:pPr>
          </w:p>
        </w:tc>
        <w:tc>
          <w:tcPr>
            <w:tcW w:w="220" w:type="dxa"/>
            <w:vAlign w:val="top"/>
          </w:tcPr>
          <w:p w14:paraId="34235038">
            <w:pPr>
              <w:rPr>
                <w:rFonts w:ascii="Arial"/>
                <w:sz w:val="21"/>
              </w:rPr>
            </w:pPr>
          </w:p>
        </w:tc>
        <w:tc>
          <w:tcPr>
            <w:tcW w:w="229" w:type="dxa"/>
            <w:vAlign w:val="top"/>
          </w:tcPr>
          <w:p w14:paraId="6B9E6770">
            <w:pPr>
              <w:rPr>
                <w:rFonts w:ascii="Arial"/>
                <w:sz w:val="21"/>
              </w:rPr>
            </w:pPr>
          </w:p>
        </w:tc>
        <w:tc>
          <w:tcPr>
            <w:tcW w:w="234" w:type="dxa"/>
            <w:vAlign w:val="top"/>
          </w:tcPr>
          <w:p w14:paraId="45BC7611">
            <w:pPr>
              <w:pStyle w:val="6"/>
              <w:spacing w:before="91" w:line="238" w:lineRule="auto"/>
              <w:jc w:val="right"/>
              <w:rPr>
                <w:sz w:val="13"/>
                <w:szCs w:val="13"/>
              </w:rPr>
            </w:pPr>
            <w:r>
              <w:rPr>
                <w:spacing w:val="-38"/>
                <w:sz w:val="13"/>
                <w:szCs w:val="13"/>
              </w:rPr>
              <w:t>√</w:t>
            </w:r>
          </w:p>
        </w:tc>
      </w:tr>
      <w:tr w14:paraId="34A17D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9" w:hRule="atLeast"/>
        </w:trPr>
        <w:tc>
          <w:tcPr>
            <w:tcW w:w="743" w:type="dxa"/>
            <w:vAlign w:val="top"/>
          </w:tcPr>
          <w:p w14:paraId="2ADF9558">
            <w:pPr>
              <w:pStyle w:val="6"/>
              <w:spacing w:before="33" w:line="194" w:lineRule="auto"/>
              <w:ind w:left="94"/>
              <w:rPr>
                <w:sz w:val="18"/>
                <w:szCs w:val="18"/>
              </w:rPr>
            </w:pPr>
            <w:r>
              <w:rPr>
                <w:spacing w:val="-2"/>
                <w:sz w:val="18"/>
                <w:szCs w:val="18"/>
              </w:rPr>
              <w:t>顺序结</w:t>
            </w:r>
          </w:p>
          <w:p w14:paraId="027ABFCC">
            <w:pPr>
              <w:pStyle w:val="6"/>
              <w:spacing w:line="185" w:lineRule="auto"/>
              <w:ind w:left="94"/>
            </w:pPr>
            <w:r>
              <w:rPr>
                <w:spacing w:val="13"/>
              </w:rPr>
              <w:t>构程序</w:t>
            </w:r>
          </w:p>
          <w:p w14:paraId="336D6CAE">
            <w:pPr>
              <w:pStyle w:val="6"/>
              <w:spacing w:line="190" w:lineRule="auto"/>
              <w:ind w:left="185"/>
            </w:pPr>
            <w:r>
              <w:rPr>
                <w:spacing w:val="13"/>
              </w:rPr>
              <w:t>设计</w:t>
            </w:r>
          </w:p>
        </w:tc>
        <w:tc>
          <w:tcPr>
            <w:tcW w:w="2484" w:type="dxa"/>
            <w:vAlign w:val="top"/>
          </w:tcPr>
          <w:p w14:paraId="3DA8BEE7">
            <w:pPr>
              <w:pStyle w:val="6"/>
              <w:spacing w:before="31" w:line="191" w:lineRule="auto"/>
              <w:ind w:left="12" w:right="1546"/>
              <w:jc w:val="both"/>
            </w:pPr>
            <w:r>
              <w:rPr>
                <w:spacing w:val="2"/>
                <w:sz w:val="18"/>
                <w:szCs w:val="18"/>
              </w:rPr>
              <w:t xml:space="preserve">1.赋值语句 </w:t>
            </w:r>
            <w:r>
              <w:rPr>
                <w:spacing w:val="10"/>
              </w:rPr>
              <w:t>2.输入语句</w:t>
            </w:r>
            <w:r>
              <w:rPr>
                <w:spacing w:val="3"/>
              </w:rPr>
              <w:t xml:space="preserve"> </w:t>
            </w:r>
            <w:r>
              <w:rPr>
                <w:spacing w:val="10"/>
              </w:rPr>
              <w:t>3.输出语句</w:t>
            </w:r>
          </w:p>
        </w:tc>
        <w:tc>
          <w:tcPr>
            <w:tcW w:w="230" w:type="dxa"/>
            <w:vAlign w:val="top"/>
          </w:tcPr>
          <w:p w14:paraId="4E3C17C7">
            <w:pPr>
              <w:rPr>
                <w:rFonts w:ascii="Arial"/>
                <w:sz w:val="21"/>
              </w:rPr>
            </w:pPr>
          </w:p>
        </w:tc>
        <w:tc>
          <w:tcPr>
            <w:tcW w:w="220" w:type="dxa"/>
            <w:vAlign w:val="top"/>
          </w:tcPr>
          <w:p w14:paraId="684E5EF0">
            <w:pPr>
              <w:rPr>
                <w:rFonts w:ascii="Arial"/>
                <w:sz w:val="21"/>
              </w:rPr>
            </w:pPr>
          </w:p>
        </w:tc>
        <w:tc>
          <w:tcPr>
            <w:tcW w:w="229" w:type="dxa"/>
            <w:vAlign w:val="top"/>
          </w:tcPr>
          <w:p w14:paraId="2B812783">
            <w:pPr>
              <w:rPr>
                <w:rFonts w:ascii="Arial"/>
                <w:sz w:val="21"/>
              </w:rPr>
            </w:pPr>
          </w:p>
        </w:tc>
        <w:tc>
          <w:tcPr>
            <w:tcW w:w="234" w:type="dxa"/>
            <w:vAlign w:val="top"/>
          </w:tcPr>
          <w:p w14:paraId="4A426706">
            <w:pPr>
              <w:rPr>
                <w:rFonts w:ascii="Arial"/>
                <w:sz w:val="21"/>
              </w:rPr>
            </w:pPr>
          </w:p>
        </w:tc>
      </w:tr>
      <w:tr w14:paraId="110E56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9" w:hRule="atLeast"/>
        </w:trPr>
        <w:tc>
          <w:tcPr>
            <w:tcW w:w="743" w:type="dxa"/>
            <w:vAlign w:val="top"/>
          </w:tcPr>
          <w:p w14:paraId="7CFAFC65">
            <w:pPr>
              <w:pStyle w:val="6"/>
              <w:spacing w:before="34" w:line="194" w:lineRule="auto"/>
              <w:ind w:left="94"/>
              <w:rPr>
                <w:sz w:val="18"/>
                <w:szCs w:val="18"/>
              </w:rPr>
            </w:pPr>
            <w:r>
              <w:rPr>
                <w:spacing w:val="-2"/>
                <w:sz w:val="18"/>
                <w:szCs w:val="18"/>
              </w:rPr>
              <w:t>选择结</w:t>
            </w:r>
          </w:p>
          <w:p w14:paraId="1F8485B9">
            <w:pPr>
              <w:pStyle w:val="6"/>
              <w:spacing w:line="185" w:lineRule="auto"/>
              <w:ind w:left="94"/>
            </w:pPr>
            <w:r>
              <w:rPr>
                <w:spacing w:val="13"/>
              </w:rPr>
              <w:t>构程序</w:t>
            </w:r>
          </w:p>
          <w:p w14:paraId="6D4C140D">
            <w:pPr>
              <w:pStyle w:val="6"/>
              <w:spacing w:line="189" w:lineRule="auto"/>
              <w:ind w:left="185"/>
            </w:pPr>
            <w:r>
              <w:rPr>
                <w:spacing w:val="13"/>
              </w:rPr>
              <w:t>设计</w:t>
            </w:r>
          </w:p>
        </w:tc>
        <w:tc>
          <w:tcPr>
            <w:tcW w:w="2484" w:type="dxa"/>
            <w:vAlign w:val="top"/>
          </w:tcPr>
          <w:p w14:paraId="769EFCC4">
            <w:pPr>
              <w:pStyle w:val="6"/>
              <w:spacing w:before="34" w:line="194" w:lineRule="auto"/>
              <w:ind w:left="12"/>
              <w:rPr>
                <w:sz w:val="18"/>
                <w:szCs w:val="18"/>
              </w:rPr>
            </w:pPr>
            <w:r>
              <w:rPr>
                <w:sz w:val="18"/>
                <w:szCs w:val="18"/>
              </w:rPr>
              <w:t>1.单分支程序设计</w:t>
            </w:r>
          </w:p>
          <w:p w14:paraId="3CFFA801">
            <w:pPr>
              <w:pStyle w:val="6"/>
              <w:spacing w:line="184" w:lineRule="auto"/>
              <w:ind w:left="12"/>
            </w:pPr>
            <w:r>
              <w:rPr>
                <w:spacing w:val="9"/>
              </w:rPr>
              <w:t>2.双分支程序设计</w:t>
            </w:r>
          </w:p>
          <w:p w14:paraId="382E1959">
            <w:pPr>
              <w:pStyle w:val="6"/>
              <w:spacing w:line="190" w:lineRule="auto"/>
              <w:ind w:left="12"/>
            </w:pPr>
            <w:r>
              <w:rPr>
                <w:spacing w:val="9"/>
              </w:rPr>
              <w:t>3.分支嵌套程序设计</w:t>
            </w:r>
          </w:p>
        </w:tc>
        <w:tc>
          <w:tcPr>
            <w:tcW w:w="230" w:type="dxa"/>
            <w:vAlign w:val="top"/>
          </w:tcPr>
          <w:p w14:paraId="43BEC753">
            <w:pPr>
              <w:rPr>
                <w:rFonts w:ascii="Arial"/>
                <w:sz w:val="21"/>
              </w:rPr>
            </w:pPr>
          </w:p>
        </w:tc>
        <w:tc>
          <w:tcPr>
            <w:tcW w:w="220" w:type="dxa"/>
            <w:vAlign w:val="top"/>
          </w:tcPr>
          <w:p w14:paraId="09911B46">
            <w:pPr>
              <w:rPr>
                <w:rFonts w:ascii="Arial"/>
                <w:sz w:val="21"/>
              </w:rPr>
            </w:pPr>
          </w:p>
        </w:tc>
        <w:tc>
          <w:tcPr>
            <w:tcW w:w="229" w:type="dxa"/>
            <w:vAlign w:val="top"/>
          </w:tcPr>
          <w:p w14:paraId="64E71D51">
            <w:pPr>
              <w:rPr>
                <w:rFonts w:ascii="Arial"/>
                <w:sz w:val="21"/>
              </w:rPr>
            </w:pPr>
          </w:p>
        </w:tc>
        <w:tc>
          <w:tcPr>
            <w:tcW w:w="234" w:type="dxa"/>
            <w:vAlign w:val="top"/>
          </w:tcPr>
          <w:p w14:paraId="092A1874">
            <w:pPr>
              <w:rPr>
                <w:rFonts w:ascii="Arial"/>
                <w:sz w:val="21"/>
              </w:rPr>
            </w:pPr>
          </w:p>
        </w:tc>
      </w:tr>
      <w:tr w14:paraId="38D72F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88" w:hRule="atLeast"/>
        </w:trPr>
        <w:tc>
          <w:tcPr>
            <w:tcW w:w="743" w:type="dxa"/>
            <w:vAlign w:val="top"/>
          </w:tcPr>
          <w:p w14:paraId="20F00528">
            <w:pPr>
              <w:pStyle w:val="6"/>
              <w:spacing w:before="143" w:line="196" w:lineRule="auto"/>
              <w:ind w:left="94"/>
              <w:rPr>
                <w:sz w:val="18"/>
                <w:szCs w:val="18"/>
              </w:rPr>
            </w:pPr>
            <w:r>
              <w:rPr>
                <w:spacing w:val="-2"/>
                <w:sz w:val="18"/>
                <w:szCs w:val="18"/>
              </w:rPr>
              <w:t>循环结</w:t>
            </w:r>
          </w:p>
          <w:p w14:paraId="2711F09C">
            <w:pPr>
              <w:pStyle w:val="6"/>
              <w:spacing w:line="195" w:lineRule="auto"/>
              <w:ind w:left="94"/>
              <w:rPr>
                <w:sz w:val="18"/>
                <w:szCs w:val="18"/>
              </w:rPr>
            </w:pPr>
            <w:r>
              <w:rPr>
                <w:spacing w:val="-3"/>
                <w:sz w:val="18"/>
                <w:szCs w:val="18"/>
              </w:rPr>
              <w:t>构程序</w:t>
            </w:r>
          </w:p>
          <w:p w14:paraId="3E45D103">
            <w:pPr>
              <w:pStyle w:val="6"/>
              <w:spacing w:line="220" w:lineRule="auto"/>
              <w:ind w:left="185"/>
              <w:rPr>
                <w:sz w:val="18"/>
                <w:szCs w:val="18"/>
              </w:rPr>
            </w:pPr>
            <w:r>
              <w:rPr>
                <w:spacing w:val="-3"/>
                <w:sz w:val="18"/>
                <w:szCs w:val="18"/>
              </w:rPr>
              <w:t>设计</w:t>
            </w:r>
          </w:p>
        </w:tc>
        <w:tc>
          <w:tcPr>
            <w:tcW w:w="2484" w:type="dxa"/>
            <w:vAlign w:val="top"/>
          </w:tcPr>
          <w:p w14:paraId="6FEA20F4">
            <w:pPr>
              <w:pStyle w:val="6"/>
              <w:spacing w:before="53" w:line="202" w:lineRule="auto"/>
              <w:ind w:left="12" w:right="935"/>
              <w:rPr>
                <w:sz w:val="16"/>
                <w:szCs w:val="16"/>
              </w:rPr>
            </w:pPr>
            <w:r>
              <w:rPr>
                <w:sz w:val="16"/>
                <w:szCs w:val="16"/>
              </w:rPr>
              <w:t>1.while语句程序设计</w:t>
            </w:r>
            <w:r>
              <w:rPr>
                <w:spacing w:val="5"/>
                <w:sz w:val="16"/>
                <w:szCs w:val="16"/>
              </w:rPr>
              <w:t xml:space="preserve"> </w:t>
            </w:r>
            <w:r>
              <w:rPr>
                <w:spacing w:val="-1"/>
                <w:sz w:val="16"/>
                <w:szCs w:val="16"/>
              </w:rPr>
              <w:t>2.for语句程序设计</w:t>
            </w:r>
          </w:p>
          <w:p w14:paraId="5C9D37B4">
            <w:pPr>
              <w:pStyle w:val="6"/>
              <w:spacing w:line="214" w:lineRule="auto"/>
              <w:ind w:left="12"/>
              <w:rPr>
                <w:sz w:val="16"/>
                <w:szCs w:val="16"/>
              </w:rPr>
            </w:pPr>
            <w:r>
              <w:rPr>
                <w:spacing w:val="-2"/>
                <w:sz w:val="16"/>
                <w:szCs w:val="16"/>
              </w:rPr>
              <w:t>3.循环嵌套</w:t>
            </w:r>
          </w:p>
          <w:p w14:paraId="07918E43">
            <w:pPr>
              <w:pStyle w:val="6"/>
              <w:spacing w:line="214" w:lineRule="auto"/>
              <w:ind w:left="12"/>
              <w:rPr>
                <w:sz w:val="16"/>
                <w:szCs w:val="16"/>
              </w:rPr>
            </w:pPr>
            <w:r>
              <w:rPr>
                <w:spacing w:val="-1"/>
                <w:sz w:val="16"/>
                <w:szCs w:val="16"/>
              </w:rPr>
              <w:t>4.break/continue/pass语句</w:t>
            </w:r>
          </w:p>
        </w:tc>
        <w:tc>
          <w:tcPr>
            <w:tcW w:w="230" w:type="dxa"/>
            <w:vAlign w:val="top"/>
          </w:tcPr>
          <w:p w14:paraId="768E7C8D">
            <w:pPr>
              <w:rPr>
                <w:rFonts w:ascii="Arial"/>
                <w:sz w:val="21"/>
              </w:rPr>
            </w:pPr>
          </w:p>
        </w:tc>
        <w:tc>
          <w:tcPr>
            <w:tcW w:w="220" w:type="dxa"/>
            <w:vAlign w:val="top"/>
          </w:tcPr>
          <w:p w14:paraId="4B8E41C3">
            <w:pPr>
              <w:rPr>
                <w:rFonts w:ascii="Arial"/>
                <w:sz w:val="21"/>
              </w:rPr>
            </w:pPr>
          </w:p>
        </w:tc>
        <w:tc>
          <w:tcPr>
            <w:tcW w:w="229" w:type="dxa"/>
            <w:vAlign w:val="top"/>
          </w:tcPr>
          <w:p w14:paraId="04AF3F49">
            <w:pPr>
              <w:rPr>
                <w:rFonts w:ascii="Arial"/>
                <w:sz w:val="21"/>
              </w:rPr>
            </w:pPr>
          </w:p>
        </w:tc>
        <w:tc>
          <w:tcPr>
            <w:tcW w:w="234" w:type="dxa"/>
            <w:vAlign w:val="top"/>
          </w:tcPr>
          <w:p w14:paraId="34C1BDF3">
            <w:pPr>
              <w:rPr>
                <w:rFonts w:ascii="Arial"/>
                <w:sz w:val="21"/>
              </w:rPr>
            </w:pPr>
          </w:p>
        </w:tc>
      </w:tr>
      <w:tr w14:paraId="4C0C44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6" w:hRule="atLeast"/>
        </w:trPr>
        <w:tc>
          <w:tcPr>
            <w:tcW w:w="743" w:type="dxa"/>
            <w:vAlign w:val="top"/>
          </w:tcPr>
          <w:p w14:paraId="0FDB8178">
            <w:pPr>
              <w:pStyle w:val="6"/>
              <w:spacing w:before="137" w:line="194" w:lineRule="auto"/>
              <w:ind w:left="94"/>
              <w:rPr>
                <w:sz w:val="18"/>
                <w:szCs w:val="18"/>
              </w:rPr>
            </w:pPr>
            <w:r>
              <w:rPr>
                <w:spacing w:val="3"/>
                <w:sz w:val="18"/>
                <w:szCs w:val="18"/>
              </w:rPr>
              <w:t>自定义</w:t>
            </w:r>
          </w:p>
          <w:p w14:paraId="5EDC94FC">
            <w:pPr>
              <w:pStyle w:val="6"/>
              <w:spacing w:line="219" w:lineRule="auto"/>
              <w:ind w:left="185"/>
              <w:rPr>
                <w:sz w:val="18"/>
                <w:szCs w:val="18"/>
              </w:rPr>
            </w:pPr>
            <w:r>
              <w:rPr>
                <w:spacing w:val="3"/>
                <w:sz w:val="18"/>
                <w:szCs w:val="18"/>
              </w:rPr>
              <w:t>函数</w:t>
            </w:r>
          </w:p>
        </w:tc>
        <w:tc>
          <w:tcPr>
            <w:tcW w:w="2484" w:type="dxa"/>
            <w:vAlign w:val="top"/>
          </w:tcPr>
          <w:p w14:paraId="4BE08B12">
            <w:pPr>
              <w:pStyle w:val="6"/>
              <w:spacing w:before="46" w:line="195" w:lineRule="auto"/>
              <w:ind w:left="12" w:right="1000"/>
            </w:pPr>
            <w:r>
              <w:rPr>
                <w:spacing w:val="2"/>
                <w:sz w:val="18"/>
                <w:szCs w:val="18"/>
              </w:rPr>
              <w:t>函数的定义与调用</w:t>
            </w:r>
            <w:r>
              <w:rPr>
                <w:spacing w:val="4"/>
                <w:sz w:val="18"/>
                <w:szCs w:val="18"/>
              </w:rPr>
              <w:t xml:space="preserve"> </w:t>
            </w:r>
            <w:r>
              <w:rPr>
                <w:spacing w:val="11"/>
              </w:rPr>
              <w:t>函数的参数</w:t>
            </w:r>
          </w:p>
          <w:p w14:paraId="5DA8E319">
            <w:pPr>
              <w:pStyle w:val="6"/>
              <w:spacing w:line="162" w:lineRule="auto"/>
              <w:ind w:left="12"/>
            </w:pPr>
            <w:r>
              <w:rPr>
                <w:spacing w:val="11"/>
              </w:rPr>
              <w:t>变量的作用域</w:t>
            </w:r>
          </w:p>
        </w:tc>
        <w:tc>
          <w:tcPr>
            <w:tcW w:w="230" w:type="dxa"/>
            <w:vAlign w:val="top"/>
          </w:tcPr>
          <w:p w14:paraId="7ADC306E">
            <w:pPr>
              <w:rPr>
                <w:rFonts w:ascii="Arial"/>
                <w:sz w:val="21"/>
              </w:rPr>
            </w:pPr>
          </w:p>
        </w:tc>
        <w:tc>
          <w:tcPr>
            <w:tcW w:w="220" w:type="dxa"/>
            <w:vAlign w:val="top"/>
          </w:tcPr>
          <w:p w14:paraId="1D937E80">
            <w:pPr>
              <w:rPr>
                <w:rFonts w:ascii="Arial"/>
                <w:sz w:val="21"/>
              </w:rPr>
            </w:pPr>
          </w:p>
        </w:tc>
        <w:tc>
          <w:tcPr>
            <w:tcW w:w="229" w:type="dxa"/>
            <w:vAlign w:val="top"/>
          </w:tcPr>
          <w:p w14:paraId="31247F27">
            <w:pPr>
              <w:rPr>
                <w:rFonts w:ascii="Arial"/>
                <w:sz w:val="21"/>
              </w:rPr>
            </w:pPr>
          </w:p>
        </w:tc>
        <w:tc>
          <w:tcPr>
            <w:tcW w:w="234" w:type="dxa"/>
            <w:vAlign w:val="top"/>
          </w:tcPr>
          <w:p w14:paraId="322AE938">
            <w:pPr>
              <w:rPr>
                <w:rFonts w:ascii="Arial"/>
                <w:sz w:val="21"/>
              </w:rPr>
            </w:pPr>
          </w:p>
        </w:tc>
      </w:tr>
    </w:tbl>
    <w:p w14:paraId="0CEB1101">
      <w:pPr>
        <w:spacing w:before="189" w:line="219" w:lineRule="auto"/>
        <w:ind w:left="435"/>
        <w:rPr>
          <w:rFonts w:ascii="宋体" w:hAnsi="宋体" w:eastAsia="宋体" w:cs="宋体"/>
          <w:sz w:val="17"/>
          <w:szCs w:val="17"/>
        </w:rPr>
      </w:pPr>
      <w:r>
        <w:rPr>
          <w:rFonts w:ascii="宋体" w:hAnsi="宋体" w:eastAsia="宋体" w:cs="宋体"/>
          <w:spacing w:val="6"/>
          <w:sz w:val="17"/>
          <w:szCs w:val="17"/>
        </w:rPr>
        <w:t>(四)面向对象程序设计基础</w:t>
      </w:r>
    </w:p>
    <w:p w14:paraId="09824E7D">
      <w:pPr>
        <w:spacing w:line="96" w:lineRule="exact"/>
      </w:pPr>
    </w:p>
    <w:tbl>
      <w:tblPr>
        <w:tblStyle w:val="5"/>
        <w:tblW w:w="414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43"/>
        <w:gridCol w:w="2484"/>
        <w:gridCol w:w="220"/>
        <w:gridCol w:w="230"/>
        <w:gridCol w:w="229"/>
        <w:gridCol w:w="234"/>
      </w:tblGrid>
      <w:tr w14:paraId="52DECE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5" w:hRule="atLeast"/>
        </w:trPr>
        <w:tc>
          <w:tcPr>
            <w:tcW w:w="743" w:type="dxa"/>
            <w:vMerge w:val="restart"/>
            <w:tcBorders>
              <w:bottom w:val="nil"/>
            </w:tcBorders>
            <w:vAlign w:val="top"/>
          </w:tcPr>
          <w:p w14:paraId="0BE450B2">
            <w:pPr>
              <w:pStyle w:val="6"/>
              <w:spacing w:before="30" w:line="207" w:lineRule="auto"/>
              <w:ind w:left="96" w:right="6" w:hanging="79"/>
              <w:rPr>
                <w:sz w:val="18"/>
                <w:szCs w:val="18"/>
              </w:rPr>
            </w:pPr>
            <w:r>
              <w:rPr>
                <w:b/>
                <w:bCs/>
                <w:spacing w:val="-5"/>
                <w:sz w:val="18"/>
                <w:szCs w:val="18"/>
              </w:rPr>
              <w:t>知识与技</w:t>
            </w:r>
            <w:r>
              <w:rPr>
                <w:sz w:val="18"/>
                <w:szCs w:val="18"/>
              </w:rPr>
              <w:t xml:space="preserve"> </w:t>
            </w:r>
            <w:r>
              <w:rPr>
                <w:b/>
                <w:bCs/>
                <w:spacing w:val="1"/>
                <w:sz w:val="18"/>
                <w:szCs w:val="18"/>
              </w:rPr>
              <w:t>能要点</w:t>
            </w:r>
          </w:p>
        </w:tc>
        <w:tc>
          <w:tcPr>
            <w:tcW w:w="2484" w:type="dxa"/>
            <w:vMerge w:val="restart"/>
            <w:tcBorders>
              <w:bottom w:val="nil"/>
            </w:tcBorders>
            <w:vAlign w:val="top"/>
          </w:tcPr>
          <w:p w14:paraId="7B62A742">
            <w:pPr>
              <w:pStyle w:val="6"/>
              <w:spacing w:before="129" w:line="219" w:lineRule="auto"/>
              <w:ind w:left="924"/>
              <w:rPr>
                <w:sz w:val="18"/>
                <w:szCs w:val="18"/>
              </w:rPr>
            </w:pPr>
            <w:r>
              <w:rPr>
                <w:b/>
                <w:bCs/>
                <w:spacing w:val="5"/>
                <w:sz w:val="18"/>
                <w:szCs w:val="18"/>
              </w:rPr>
              <w:t>考试条目</w:t>
            </w:r>
          </w:p>
        </w:tc>
        <w:tc>
          <w:tcPr>
            <w:tcW w:w="913" w:type="dxa"/>
            <w:gridSpan w:val="4"/>
            <w:vAlign w:val="top"/>
          </w:tcPr>
          <w:p w14:paraId="374A68AA">
            <w:pPr>
              <w:pStyle w:val="6"/>
              <w:spacing w:before="30" w:line="200" w:lineRule="auto"/>
              <w:ind w:left="130"/>
              <w:rPr>
                <w:sz w:val="18"/>
                <w:szCs w:val="18"/>
              </w:rPr>
            </w:pPr>
            <w:r>
              <w:rPr>
                <w:b/>
                <w:bCs/>
                <w:spacing w:val="-4"/>
                <w:sz w:val="18"/>
                <w:szCs w:val="18"/>
              </w:rPr>
              <w:t>考试水平</w:t>
            </w:r>
          </w:p>
        </w:tc>
      </w:tr>
      <w:tr w14:paraId="13F9C8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99" w:hRule="atLeast"/>
        </w:trPr>
        <w:tc>
          <w:tcPr>
            <w:tcW w:w="743" w:type="dxa"/>
            <w:vMerge w:val="continue"/>
            <w:tcBorders>
              <w:top w:val="nil"/>
            </w:tcBorders>
            <w:vAlign w:val="top"/>
          </w:tcPr>
          <w:p w14:paraId="1A17658E">
            <w:pPr>
              <w:rPr>
                <w:rFonts w:ascii="Arial"/>
                <w:sz w:val="21"/>
              </w:rPr>
            </w:pPr>
          </w:p>
        </w:tc>
        <w:tc>
          <w:tcPr>
            <w:tcW w:w="2484" w:type="dxa"/>
            <w:vMerge w:val="continue"/>
            <w:tcBorders>
              <w:top w:val="nil"/>
            </w:tcBorders>
            <w:vAlign w:val="top"/>
          </w:tcPr>
          <w:p w14:paraId="306C0840">
            <w:pPr>
              <w:rPr>
                <w:rFonts w:ascii="Arial"/>
                <w:sz w:val="21"/>
              </w:rPr>
            </w:pPr>
          </w:p>
        </w:tc>
        <w:tc>
          <w:tcPr>
            <w:tcW w:w="220" w:type="dxa"/>
            <w:vAlign w:val="top"/>
          </w:tcPr>
          <w:p w14:paraId="07C33275">
            <w:pPr>
              <w:pStyle w:val="6"/>
              <w:spacing w:before="42" w:line="147" w:lineRule="exact"/>
              <w:ind w:left="38"/>
              <w:rPr>
                <w:sz w:val="18"/>
                <w:szCs w:val="18"/>
              </w:rPr>
            </w:pPr>
            <w:r>
              <w:rPr>
                <w:position w:val="-2"/>
                <w:sz w:val="18"/>
                <w:szCs w:val="18"/>
              </w:rPr>
              <w:t>A</w:t>
            </w:r>
          </w:p>
        </w:tc>
        <w:tc>
          <w:tcPr>
            <w:tcW w:w="230" w:type="dxa"/>
            <w:vAlign w:val="top"/>
          </w:tcPr>
          <w:p w14:paraId="77FB9106">
            <w:pPr>
              <w:pStyle w:val="6"/>
              <w:spacing w:before="45" w:line="144" w:lineRule="exact"/>
              <w:ind w:left="20"/>
              <w:rPr>
                <w:sz w:val="18"/>
                <w:szCs w:val="18"/>
              </w:rPr>
            </w:pPr>
            <w:r>
              <w:rPr>
                <w:b/>
                <w:bCs/>
                <w:spacing w:val="-2"/>
                <w:position w:val="-2"/>
                <w:sz w:val="18"/>
                <w:szCs w:val="18"/>
              </w:rPr>
              <w:t>B</w:t>
            </w:r>
          </w:p>
        </w:tc>
        <w:tc>
          <w:tcPr>
            <w:tcW w:w="229" w:type="dxa"/>
            <w:vAlign w:val="top"/>
          </w:tcPr>
          <w:p w14:paraId="3ADFA8F4">
            <w:pPr>
              <w:pStyle w:val="6"/>
              <w:spacing w:before="43" w:line="146" w:lineRule="exact"/>
              <w:ind w:left="17"/>
              <w:rPr>
                <w:sz w:val="18"/>
                <w:szCs w:val="18"/>
              </w:rPr>
            </w:pPr>
            <w:r>
              <w:rPr>
                <w:position w:val="-2"/>
                <w:sz w:val="18"/>
                <w:szCs w:val="18"/>
              </w:rPr>
              <w:t>C</w:t>
            </w:r>
          </w:p>
        </w:tc>
        <w:tc>
          <w:tcPr>
            <w:tcW w:w="234" w:type="dxa"/>
            <w:vAlign w:val="top"/>
          </w:tcPr>
          <w:p w14:paraId="6F7B20B3">
            <w:pPr>
              <w:pStyle w:val="6"/>
              <w:spacing w:before="45" w:line="144" w:lineRule="exact"/>
              <w:ind w:left="41"/>
              <w:rPr>
                <w:sz w:val="18"/>
                <w:szCs w:val="18"/>
              </w:rPr>
            </w:pPr>
            <w:r>
              <w:rPr>
                <w:b/>
                <w:bCs/>
                <w:spacing w:val="-2"/>
                <w:position w:val="-2"/>
                <w:sz w:val="18"/>
                <w:szCs w:val="18"/>
              </w:rPr>
              <w:t>D</w:t>
            </w:r>
          </w:p>
        </w:tc>
      </w:tr>
      <w:tr w14:paraId="1A4927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18" w:hRule="atLeast"/>
        </w:trPr>
        <w:tc>
          <w:tcPr>
            <w:tcW w:w="743" w:type="dxa"/>
            <w:vAlign w:val="top"/>
          </w:tcPr>
          <w:p w14:paraId="3C6C2E30">
            <w:pPr>
              <w:spacing w:line="306" w:lineRule="auto"/>
              <w:rPr>
                <w:rFonts w:ascii="Arial"/>
                <w:sz w:val="21"/>
              </w:rPr>
            </w:pPr>
          </w:p>
          <w:p w14:paraId="252F0699">
            <w:pPr>
              <w:pStyle w:val="6"/>
              <w:spacing w:before="59" w:line="223" w:lineRule="auto"/>
              <w:ind w:left="185" w:right="194"/>
              <w:rPr>
                <w:sz w:val="18"/>
                <w:szCs w:val="18"/>
              </w:rPr>
            </w:pPr>
            <w:r>
              <w:rPr>
                <w:spacing w:val="-4"/>
                <w:sz w:val="18"/>
                <w:szCs w:val="18"/>
              </w:rPr>
              <w:t>基本</w:t>
            </w:r>
            <w:r>
              <w:rPr>
                <w:sz w:val="18"/>
                <w:szCs w:val="18"/>
              </w:rPr>
              <w:t xml:space="preserve"> </w:t>
            </w:r>
            <w:r>
              <w:rPr>
                <w:spacing w:val="-4"/>
                <w:sz w:val="18"/>
                <w:szCs w:val="18"/>
              </w:rPr>
              <w:t>概念</w:t>
            </w:r>
          </w:p>
        </w:tc>
        <w:tc>
          <w:tcPr>
            <w:tcW w:w="2484" w:type="dxa"/>
            <w:vAlign w:val="top"/>
          </w:tcPr>
          <w:p w14:paraId="249C2835">
            <w:pPr>
              <w:pStyle w:val="6"/>
              <w:spacing w:before="46" w:line="213" w:lineRule="auto"/>
              <w:ind w:left="12"/>
              <w:rPr>
                <w:sz w:val="18"/>
                <w:szCs w:val="18"/>
              </w:rPr>
            </w:pPr>
            <w:r>
              <w:rPr>
                <w:spacing w:val="-4"/>
                <w:sz w:val="18"/>
                <w:szCs w:val="18"/>
              </w:rPr>
              <w:t>1.面向对象程序设计的基本特征</w:t>
            </w:r>
            <w:r>
              <w:rPr>
                <w:sz w:val="18"/>
                <w:szCs w:val="18"/>
              </w:rPr>
              <w:t xml:space="preserve"> </w:t>
            </w:r>
            <w:r>
              <w:rPr>
                <w:spacing w:val="-2"/>
                <w:sz w:val="18"/>
                <w:szCs w:val="18"/>
              </w:rPr>
              <w:t>2.对象与类</w:t>
            </w:r>
          </w:p>
          <w:p w14:paraId="6DBFF5D8">
            <w:pPr>
              <w:pStyle w:val="6"/>
              <w:spacing w:before="25" w:line="214" w:lineRule="auto"/>
              <w:ind w:left="12"/>
              <w:rPr>
                <w:sz w:val="18"/>
                <w:szCs w:val="18"/>
              </w:rPr>
            </w:pPr>
            <w:r>
              <w:rPr>
                <w:spacing w:val="-4"/>
                <w:sz w:val="18"/>
                <w:szCs w:val="18"/>
              </w:rPr>
              <w:t>3.类的三大特性：继承、封装、</w:t>
            </w:r>
            <w:r>
              <w:rPr>
                <w:sz w:val="18"/>
                <w:szCs w:val="18"/>
              </w:rPr>
              <w:t xml:space="preserve"> </w:t>
            </w:r>
            <w:r>
              <w:rPr>
                <w:spacing w:val="-1"/>
                <w:sz w:val="18"/>
                <w:szCs w:val="18"/>
              </w:rPr>
              <w:t>多态</w:t>
            </w:r>
          </w:p>
          <w:p w14:paraId="674EE68A">
            <w:pPr>
              <w:pStyle w:val="6"/>
              <w:spacing w:before="23" w:line="184" w:lineRule="auto"/>
              <w:ind w:left="12"/>
              <w:rPr>
                <w:sz w:val="18"/>
                <w:szCs w:val="18"/>
              </w:rPr>
            </w:pPr>
            <w:r>
              <w:rPr>
                <w:spacing w:val="-1"/>
                <w:sz w:val="18"/>
                <w:szCs w:val="18"/>
              </w:rPr>
              <w:t>4.事件、方法、属性</w:t>
            </w:r>
          </w:p>
        </w:tc>
        <w:tc>
          <w:tcPr>
            <w:tcW w:w="220" w:type="dxa"/>
            <w:vAlign w:val="top"/>
          </w:tcPr>
          <w:p w14:paraId="5BD95C31">
            <w:pPr>
              <w:rPr>
                <w:rFonts w:ascii="Arial"/>
                <w:sz w:val="21"/>
              </w:rPr>
            </w:pPr>
          </w:p>
        </w:tc>
        <w:tc>
          <w:tcPr>
            <w:tcW w:w="230" w:type="dxa"/>
            <w:vAlign w:val="top"/>
          </w:tcPr>
          <w:p w14:paraId="50F0CAED">
            <w:pPr>
              <w:rPr>
                <w:rFonts w:ascii="Arial"/>
                <w:sz w:val="21"/>
              </w:rPr>
            </w:pPr>
          </w:p>
        </w:tc>
        <w:tc>
          <w:tcPr>
            <w:tcW w:w="229" w:type="dxa"/>
            <w:vAlign w:val="top"/>
          </w:tcPr>
          <w:p w14:paraId="6FB28E10">
            <w:pPr>
              <w:rPr>
                <w:rFonts w:ascii="Arial"/>
                <w:sz w:val="21"/>
              </w:rPr>
            </w:pPr>
          </w:p>
        </w:tc>
        <w:tc>
          <w:tcPr>
            <w:tcW w:w="234" w:type="dxa"/>
            <w:vAlign w:val="top"/>
          </w:tcPr>
          <w:p w14:paraId="304DF4F9">
            <w:pPr>
              <w:rPr>
                <w:rFonts w:ascii="Arial"/>
                <w:sz w:val="21"/>
              </w:rPr>
            </w:pPr>
          </w:p>
        </w:tc>
      </w:tr>
      <w:tr w14:paraId="25E57F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826" w:hRule="atLeast"/>
        </w:trPr>
        <w:tc>
          <w:tcPr>
            <w:tcW w:w="743" w:type="dxa"/>
            <w:vAlign w:val="top"/>
          </w:tcPr>
          <w:p w14:paraId="019F2182">
            <w:pPr>
              <w:spacing w:line="352" w:lineRule="auto"/>
              <w:rPr>
                <w:rFonts w:ascii="Arial"/>
                <w:sz w:val="21"/>
              </w:rPr>
            </w:pPr>
          </w:p>
          <w:p w14:paraId="541994A3">
            <w:pPr>
              <w:spacing w:line="353" w:lineRule="auto"/>
              <w:rPr>
                <w:rFonts w:ascii="Arial"/>
                <w:sz w:val="21"/>
              </w:rPr>
            </w:pPr>
          </w:p>
          <w:p w14:paraId="10BE8849">
            <w:pPr>
              <w:pStyle w:val="6"/>
              <w:spacing w:before="58" w:line="198" w:lineRule="auto"/>
              <w:ind w:left="274" w:right="62" w:hanging="230"/>
              <w:rPr>
                <w:sz w:val="18"/>
                <w:szCs w:val="18"/>
              </w:rPr>
            </w:pPr>
            <w:r>
              <w:rPr>
                <w:spacing w:val="-1"/>
                <w:sz w:val="18"/>
                <w:szCs w:val="18"/>
              </w:rPr>
              <w:t>Tkinter</w:t>
            </w:r>
            <w:r>
              <w:rPr>
                <w:spacing w:val="1"/>
                <w:sz w:val="18"/>
                <w:szCs w:val="18"/>
              </w:rPr>
              <w:t xml:space="preserve"> </w:t>
            </w:r>
            <w:r>
              <w:rPr>
                <w:sz w:val="18"/>
                <w:szCs w:val="18"/>
              </w:rPr>
              <w:t>库</w:t>
            </w:r>
          </w:p>
        </w:tc>
        <w:tc>
          <w:tcPr>
            <w:tcW w:w="2484" w:type="dxa"/>
            <w:vAlign w:val="top"/>
          </w:tcPr>
          <w:p w14:paraId="4764E4CC">
            <w:pPr>
              <w:pStyle w:val="6"/>
              <w:spacing w:before="50" w:line="205" w:lineRule="auto"/>
              <w:ind w:left="12"/>
              <w:rPr>
                <w:sz w:val="18"/>
                <w:szCs w:val="18"/>
              </w:rPr>
            </w:pPr>
            <w:r>
              <w:rPr>
                <w:spacing w:val="1"/>
                <w:sz w:val="18"/>
                <w:szCs w:val="18"/>
              </w:rPr>
              <w:t>1.</w:t>
            </w:r>
            <w:r>
              <w:rPr>
                <w:sz w:val="18"/>
                <w:szCs w:val="18"/>
              </w:rPr>
              <w:t>Button</w:t>
            </w:r>
            <w:r>
              <w:rPr>
                <w:spacing w:val="1"/>
                <w:sz w:val="18"/>
                <w:szCs w:val="18"/>
              </w:rPr>
              <w:t>按钮</w:t>
            </w:r>
          </w:p>
          <w:p w14:paraId="4E9FABD2">
            <w:pPr>
              <w:pStyle w:val="6"/>
              <w:spacing w:line="219" w:lineRule="auto"/>
              <w:ind w:left="12"/>
              <w:rPr>
                <w:sz w:val="18"/>
                <w:szCs w:val="18"/>
              </w:rPr>
            </w:pPr>
            <w:r>
              <w:rPr>
                <w:spacing w:val="-1"/>
                <w:sz w:val="18"/>
                <w:szCs w:val="18"/>
              </w:rPr>
              <w:t>2.Checkbutton控件</w:t>
            </w:r>
          </w:p>
          <w:p w14:paraId="7A61F290">
            <w:pPr>
              <w:pStyle w:val="6"/>
              <w:spacing w:before="22" w:line="215" w:lineRule="auto"/>
              <w:ind w:left="12"/>
              <w:rPr>
                <w:sz w:val="18"/>
                <w:szCs w:val="18"/>
              </w:rPr>
            </w:pPr>
            <w:r>
              <w:rPr>
                <w:spacing w:val="-2"/>
                <w:sz w:val="18"/>
                <w:szCs w:val="18"/>
              </w:rPr>
              <w:t>3.Entry控件</w:t>
            </w:r>
          </w:p>
          <w:p w14:paraId="4BFE1074">
            <w:pPr>
              <w:pStyle w:val="6"/>
              <w:spacing w:before="14" w:line="215" w:lineRule="auto"/>
              <w:ind w:left="12"/>
              <w:rPr>
                <w:sz w:val="18"/>
                <w:szCs w:val="18"/>
              </w:rPr>
            </w:pPr>
            <w:r>
              <w:rPr>
                <w:spacing w:val="-1"/>
                <w:sz w:val="18"/>
                <w:szCs w:val="18"/>
              </w:rPr>
              <w:t>4.Label控件</w:t>
            </w:r>
          </w:p>
          <w:p w14:paraId="03CECBE6">
            <w:pPr>
              <w:pStyle w:val="6"/>
              <w:spacing w:line="219" w:lineRule="auto"/>
              <w:ind w:left="12"/>
              <w:rPr>
                <w:sz w:val="18"/>
                <w:szCs w:val="18"/>
              </w:rPr>
            </w:pPr>
            <w:r>
              <w:rPr>
                <w:spacing w:val="-1"/>
                <w:sz w:val="18"/>
                <w:szCs w:val="18"/>
              </w:rPr>
              <w:t>5.Listbox控件</w:t>
            </w:r>
          </w:p>
          <w:p w14:paraId="4A812F21">
            <w:pPr>
              <w:pStyle w:val="6"/>
              <w:spacing w:before="6" w:line="217" w:lineRule="auto"/>
              <w:ind w:left="12" w:right="940"/>
              <w:rPr>
                <w:sz w:val="18"/>
                <w:szCs w:val="18"/>
              </w:rPr>
            </w:pPr>
            <w:r>
              <w:rPr>
                <w:spacing w:val="-1"/>
                <w:sz w:val="18"/>
                <w:szCs w:val="18"/>
              </w:rPr>
              <w:t>6.Radiobutton控件</w:t>
            </w:r>
            <w:r>
              <w:rPr>
                <w:spacing w:val="5"/>
                <w:sz w:val="18"/>
                <w:szCs w:val="18"/>
              </w:rPr>
              <w:t xml:space="preserve"> </w:t>
            </w:r>
            <w:r>
              <w:rPr>
                <w:spacing w:val="-2"/>
                <w:sz w:val="18"/>
                <w:szCs w:val="18"/>
              </w:rPr>
              <w:t>7.Text控件</w:t>
            </w:r>
          </w:p>
          <w:p w14:paraId="607B2913">
            <w:pPr>
              <w:pStyle w:val="6"/>
              <w:spacing w:before="10" w:line="214" w:lineRule="auto"/>
              <w:ind w:left="12"/>
              <w:rPr>
                <w:sz w:val="18"/>
                <w:szCs w:val="18"/>
              </w:rPr>
            </w:pPr>
            <w:r>
              <w:rPr>
                <w:spacing w:val="-1"/>
                <w:sz w:val="18"/>
                <w:szCs w:val="18"/>
              </w:rPr>
              <w:t>8.Message控件</w:t>
            </w:r>
          </w:p>
        </w:tc>
        <w:tc>
          <w:tcPr>
            <w:tcW w:w="220" w:type="dxa"/>
            <w:vAlign w:val="top"/>
          </w:tcPr>
          <w:p w14:paraId="5757A3D7">
            <w:pPr>
              <w:rPr>
                <w:rFonts w:ascii="Arial"/>
                <w:sz w:val="21"/>
              </w:rPr>
            </w:pPr>
          </w:p>
        </w:tc>
        <w:tc>
          <w:tcPr>
            <w:tcW w:w="230" w:type="dxa"/>
            <w:vAlign w:val="top"/>
          </w:tcPr>
          <w:p w14:paraId="1510A1E0">
            <w:pPr>
              <w:rPr>
                <w:rFonts w:ascii="Arial"/>
                <w:sz w:val="21"/>
              </w:rPr>
            </w:pPr>
          </w:p>
        </w:tc>
        <w:tc>
          <w:tcPr>
            <w:tcW w:w="229" w:type="dxa"/>
            <w:vAlign w:val="top"/>
          </w:tcPr>
          <w:p w14:paraId="76908B61">
            <w:pPr>
              <w:rPr>
                <w:rFonts w:ascii="Arial"/>
                <w:sz w:val="21"/>
              </w:rPr>
            </w:pPr>
          </w:p>
        </w:tc>
        <w:tc>
          <w:tcPr>
            <w:tcW w:w="234" w:type="dxa"/>
            <w:vAlign w:val="top"/>
          </w:tcPr>
          <w:p w14:paraId="3917DFE8">
            <w:pPr>
              <w:rPr>
                <w:rFonts w:ascii="Arial"/>
                <w:sz w:val="21"/>
              </w:rPr>
            </w:pPr>
          </w:p>
        </w:tc>
      </w:tr>
      <w:tr w14:paraId="0B0251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52" w:hRule="atLeast"/>
        </w:trPr>
        <w:tc>
          <w:tcPr>
            <w:tcW w:w="743" w:type="dxa"/>
            <w:vAlign w:val="top"/>
          </w:tcPr>
          <w:p w14:paraId="2D0DDB21">
            <w:pPr>
              <w:spacing w:line="334" w:lineRule="auto"/>
              <w:rPr>
                <w:rFonts w:ascii="Arial"/>
                <w:sz w:val="21"/>
              </w:rPr>
            </w:pPr>
          </w:p>
          <w:p w14:paraId="41CBB145">
            <w:pPr>
              <w:pStyle w:val="6"/>
              <w:spacing w:before="59" w:line="221" w:lineRule="auto"/>
              <w:ind w:left="94"/>
              <w:rPr>
                <w:sz w:val="18"/>
                <w:szCs w:val="18"/>
              </w:rPr>
            </w:pPr>
            <w:r>
              <w:rPr>
                <w:spacing w:val="-2"/>
                <w:sz w:val="18"/>
                <w:szCs w:val="18"/>
              </w:rPr>
              <w:t>面向对</w:t>
            </w:r>
          </w:p>
          <w:p w14:paraId="3F34E238">
            <w:pPr>
              <w:pStyle w:val="6"/>
              <w:spacing w:before="3" w:line="219" w:lineRule="auto"/>
              <w:ind w:left="94"/>
              <w:rPr>
                <w:sz w:val="18"/>
                <w:szCs w:val="18"/>
              </w:rPr>
            </w:pPr>
            <w:r>
              <w:rPr>
                <w:spacing w:val="3"/>
                <w:sz w:val="18"/>
                <w:szCs w:val="18"/>
              </w:rPr>
              <w:t>象程序</w:t>
            </w:r>
          </w:p>
          <w:p w14:paraId="7D3597A5">
            <w:pPr>
              <w:pStyle w:val="6"/>
              <w:spacing w:before="7" w:line="221" w:lineRule="auto"/>
              <w:ind w:left="185"/>
              <w:rPr>
                <w:sz w:val="18"/>
                <w:szCs w:val="18"/>
              </w:rPr>
            </w:pPr>
            <w:r>
              <w:rPr>
                <w:spacing w:val="-3"/>
                <w:sz w:val="18"/>
                <w:szCs w:val="18"/>
              </w:rPr>
              <w:t>设计</w:t>
            </w:r>
          </w:p>
        </w:tc>
        <w:tc>
          <w:tcPr>
            <w:tcW w:w="2484" w:type="dxa"/>
            <w:vAlign w:val="top"/>
          </w:tcPr>
          <w:p w14:paraId="0B391E81">
            <w:pPr>
              <w:pStyle w:val="6"/>
              <w:spacing w:before="64" w:line="215" w:lineRule="auto"/>
              <w:ind w:left="12" w:right="196"/>
              <w:rPr>
                <w:sz w:val="18"/>
                <w:szCs w:val="18"/>
              </w:rPr>
            </w:pPr>
            <w:r>
              <w:rPr>
                <w:spacing w:val="1"/>
                <w:sz w:val="18"/>
                <w:szCs w:val="18"/>
              </w:rPr>
              <w:t>1.事件与事件响应(仅限于鼠</w:t>
            </w:r>
            <w:r>
              <w:rPr>
                <w:sz w:val="18"/>
                <w:szCs w:val="18"/>
              </w:rPr>
              <w:t xml:space="preserve"> </w:t>
            </w:r>
            <w:r>
              <w:rPr>
                <w:spacing w:val="4"/>
                <w:sz w:val="18"/>
                <w:szCs w:val="18"/>
              </w:rPr>
              <w:t>标事件和键盘事件)</w:t>
            </w:r>
          </w:p>
          <w:p w14:paraId="39AEC3D4">
            <w:pPr>
              <w:pStyle w:val="6"/>
              <w:spacing w:line="218" w:lineRule="auto"/>
              <w:ind w:left="12"/>
              <w:rPr>
                <w:sz w:val="18"/>
                <w:szCs w:val="18"/>
              </w:rPr>
            </w:pPr>
            <w:r>
              <w:rPr>
                <w:spacing w:val="2"/>
                <w:sz w:val="18"/>
                <w:szCs w:val="18"/>
              </w:rPr>
              <w:t>2.控件布局</w:t>
            </w:r>
          </w:p>
          <w:p w14:paraId="0BF03036">
            <w:pPr>
              <w:pStyle w:val="6"/>
              <w:spacing w:before="7" w:line="218" w:lineRule="auto"/>
              <w:ind w:left="12" w:right="200"/>
              <w:rPr>
                <w:sz w:val="18"/>
                <w:szCs w:val="18"/>
              </w:rPr>
            </w:pPr>
            <w:r>
              <w:rPr>
                <w:sz w:val="18"/>
                <w:szCs w:val="18"/>
              </w:rPr>
              <w:t>3.简单GUI界面程序设计(仅</w:t>
            </w:r>
            <w:r>
              <w:rPr>
                <w:spacing w:val="4"/>
                <w:sz w:val="18"/>
                <w:szCs w:val="18"/>
              </w:rPr>
              <w:t xml:space="preserve">  </w:t>
            </w:r>
            <w:r>
              <w:rPr>
                <w:spacing w:val="1"/>
                <w:sz w:val="18"/>
                <w:szCs w:val="18"/>
              </w:rPr>
              <w:t>限于考纲中所列的</w:t>
            </w:r>
            <w:r>
              <w:rPr>
                <w:sz w:val="18"/>
                <w:szCs w:val="18"/>
              </w:rPr>
              <w:t>Tkinter</w:t>
            </w:r>
            <w:r>
              <w:rPr>
                <w:spacing w:val="1"/>
                <w:sz w:val="18"/>
                <w:szCs w:val="18"/>
              </w:rPr>
              <w:t xml:space="preserve">库 </w:t>
            </w:r>
            <w:r>
              <w:rPr>
                <w:spacing w:val="9"/>
                <w:sz w:val="18"/>
                <w:szCs w:val="18"/>
              </w:rPr>
              <w:t>中控件)</w:t>
            </w:r>
          </w:p>
        </w:tc>
        <w:tc>
          <w:tcPr>
            <w:tcW w:w="220" w:type="dxa"/>
            <w:vAlign w:val="top"/>
          </w:tcPr>
          <w:p w14:paraId="57885A0A">
            <w:pPr>
              <w:rPr>
                <w:rFonts w:ascii="Arial"/>
                <w:sz w:val="21"/>
              </w:rPr>
            </w:pPr>
          </w:p>
        </w:tc>
        <w:tc>
          <w:tcPr>
            <w:tcW w:w="230" w:type="dxa"/>
            <w:vAlign w:val="top"/>
          </w:tcPr>
          <w:p w14:paraId="4919FD2D">
            <w:pPr>
              <w:rPr>
                <w:rFonts w:ascii="Arial"/>
                <w:sz w:val="21"/>
              </w:rPr>
            </w:pPr>
          </w:p>
        </w:tc>
        <w:tc>
          <w:tcPr>
            <w:tcW w:w="229" w:type="dxa"/>
            <w:vAlign w:val="top"/>
          </w:tcPr>
          <w:p w14:paraId="67E13108">
            <w:pPr>
              <w:rPr>
                <w:rFonts w:ascii="Arial"/>
                <w:sz w:val="21"/>
              </w:rPr>
            </w:pPr>
          </w:p>
        </w:tc>
        <w:tc>
          <w:tcPr>
            <w:tcW w:w="234" w:type="dxa"/>
            <w:vAlign w:val="top"/>
          </w:tcPr>
          <w:p w14:paraId="1A895060">
            <w:pPr>
              <w:rPr>
                <w:rFonts w:ascii="Arial"/>
                <w:sz w:val="21"/>
              </w:rPr>
            </w:pPr>
          </w:p>
        </w:tc>
      </w:tr>
    </w:tbl>
    <w:p w14:paraId="1C9131CC">
      <w:pPr>
        <w:spacing w:before="132" w:line="219" w:lineRule="auto"/>
        <w:ind w:left="435"/>
        <w:rPr>
          <w:rFonts w:ascii="宋体" w:hAnsi="宋体" w:eastAsia="宋体" w:cs="宋体"/>
          <w:sz w:val="17"/>
          <w:szCs w:val="17"/>
        </w:rPr>
      </w:pPr>
      <w:r>
        <w:rPr>
          <w:rFonts w:ascii="宋体" w:hAnsi="宋体" w:eastAsia="宋体" w:cs="宋体"/>
          <w:spacing w:val="10"/>
          <w:sz w:val="17"/>
          <w:szCs w:val="17"/>
        </w:rPr>
        <w:t>(五)文件与数据</w:t>
      </w:r>
    </w:p>
    <w:p w14:paraId="78105A38">
      <w:pPr>
        <w:spacing w:before="89" w:line="219" w:lineRule="auto"/>
        <w:ind w:left="364"/>
        <w:rPr>
          <w:rFonts w:ascii="宋体" w:hAnsi="宋体" w:eastAsia="宋体" w:cs="宋体"/>
          <w:sz w:val="17"/>
          <w:szCs w:val="17"/>
        </w:rPr>
      </w:pPr>
      <w:r>
        <w:rPr>
          <w:rFonts w:ascii="宋体" w:hAnsi="宋体" w:eastAsia="宋体" w:cs="宋体"/>
          <w:spacing w:val="-6"/>
          <w:sz w:val="17"/>
          <w:szCs w:val="17"/>
        </w:rPr>
        <w:t>四</w:t>
      </w:r>
      <w:r>
        <w:rPr>
          <w:rFonts w:ascii="宋体" w:hAnsi="宋体" w:eastAsia="宋体" w:cs="宋体"/>
          <w:spacing w:val="-24"/>
          <w:sz w:val="17"/>
          <w:szCs w:val="17"/>
        </w:rPr>
        <w:t xml:space="preserve"> </w:t>
      </w:r>
      <w:r>
        <w:rPr>
          <w:rFonts w:ascii="宋体" w:hAnsi="宋体" w:eastAsia="宋体" w:cs="宋体"/>
          <w:spacing w:val="-6"/>
          <w:sz w:val="17"/>
          <w:szCs w:val="17"/>
        </w:rPr>
        <w:t>、试卷结构和考试形式</w:t>
      </w:r>
    </w:p>
    <w:p w14:paraId="29FCA10B">
      <w:pPr>
        <w:spacing w:line="66" w:lineRule="exact"/>
      </w:pPr>
    </w:p>
    <w:tbl>
      <w:tblPr>
        <w:tblStyle w:val="5"/>
        <w:tblW w:w="414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43"/>
        <w:gridCol w:w="2484"/>
        <w:gridCol w:w="230"/>
        <w:gridCol w:w="220"/>
        <w:gridCol w:w="229"/>
        <w:gridCol w:w="234"/>
      </w:tblGrid>
      <w:tr w14:paraId="336FFD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9" w:hRule="atLeast"/>
        </w:trPr>
        <w:tc>
          <w:tcPr>
            <w:tcW w:w="743" w:type="dxa"/>
            <w:vMerge w:val="restart"/>
            <w:tcBorders>
              <w:top w:val="single" w:color="000000" w:sz="2" w:space="0"/>
              <w:bottom w:val="nil"/>
            </w:tcBorders>
            <w:vAlign w:val="top"/>
          </w:tcPr>
          <w:p w14:paraId="6EE59C1E">
            <w:pPr>
              <w:pStyle w:val="6"/>
              <w:spacing w:before="36" w:line="218" w:lineRule="auto"/>
              <w:ind w:left="106" w:right="35" w:hanging="79"/>
            </w:pPr>
            <w:r>
              <w:rPr>
                <w:b/>
                <w:bCs/>
                <w:spacing w:val="-5"/>
              </w:rPr>
              <w:t>知识与技</w:t>
            </w:r>
            <w:r>
              <w:rPr>
                <w:spacing w:val="1"/>
              </w:rPr>
              <w:t xml:space="preserve"> </w:t>
            </w:r>
            <w:r>
              <w:rPr>
                <w:b/>
                <w:bCs/>
                <w:spacing w:val="1"/>
              </w:rPr>
              <w:t>能要点</w:t>
            </w:r>
          </w:p>
        </w:tc>
        <w:tc>
          <w:tcPr>
            <w:tcW w:w="2484" w:type="dxa"/>
            <w:vMerge w:val="restart"/>
            <w:tcBorders>
              <w:top w:val="single" w:color="000000" w:sz="2" w:space="0"/>
              <w:bottom w:val="nil"/>
            </w:tcBorders>
            <w:vAlign w:val="top"/>
          </w:tcPr>
          <w:p w14:paraId="71EA2451">
            <w:pPr>
              <w:pStyle w:val="6"/>
              <w:spacing w:before="144" w:line="219" w:lineRule="auto"/>
              <w:ind w:left="924"/>
            </w:pPr>
            <w:r>
              <w:rPr>
                <w:b/>
                <w:bCs/>
                <w:spacing w:val="5"/>
              </w:rPr>
              <w:t>考试条目</w:t>
            </w:r>
          </w:p>
        </w:tc>
        <w:tc>
          <w:tcPr>
            <w:tcW w:w="913" w:type="dxa"/>
            <w:gridSpan w:val="4"/>
            <w:tcBorders>
              <w:top w:val="single" w:color="000000" w:sz="2" w:space="0"/>
              <w:bottom w:val="single" w:color="000000" w:sz="2" w:space="0"/>
            </w:tcBorders>
            <w:vAlign w:val="top"/>
          </w:tcPr>
          <w:p w14:paraId="1F419CB8">
            <w:pPr>
              <w:pStyle w:val="6"/>
              <w:spacing w:before="33" w:line="201" w:lineRule="auto"/>
              <w:ind w:left="130"/>
            </w:pPr>
            <w:r>
              <w:rPr>
                <w:b/>
                <w:bCs/>
                <w:spacing w:val="-4"/>
              </w:rPr>
              <w:t>考试水平</w:t>
            </w:r>
          </w:p>
        </w:tc>
      </w:tr>
      <w:tr w14:paraId="34234B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4" w:hRule="atLeast"/>
        </w:trPr>
        <w:tc>
          <w:tcPr>
            <w:tcW w:w="743" w:type="dxa"/>
            <w:vMerge w:val="continue"/>
            <w:tcBorders>
              <w:top w:val="nil"/>
              <w:bottom w:val="single" w:color="000000" w:sz="2" w:space="0"/>
            </w:tcBorders>
            <w:vAlign w:val="top"/>
          </w:tcPr>
          <w:p w14:paraId="65B861A3">
            <w:pPr>
              <w:rPr>
                <w:rFonts w:ascii="Arial"/>
                <w:sz w:val="21"/>
              </w:rPr>
            </w:pPr>
          </w:p>
        </w:tc>
        <w:tc>
          <w:tcPr>
            <w:tcW w:w="2484" w:type="dxa"/>
            <w:vMerge w:val="continue"/>
            <w:tcBorders>
              <w:top w:val="nil"/>
              <w:bottom w:val="single" w:color="000000" w:sz="2" w:space="0"/>
            </w:tcBorders>
            <w:vAlign w:val="top"/>
          </w:tcPr>
          <w:p w14:paraId="4D2DF3C9">
            <w:pPr>
              <w:rPr>
                <w:rFonts w:ascii="Arial"/>
                <w:sz w:val="21"/>
              </w:rPr>
            </w:pPr>
          </w:p>
        </w:tc>
        <w:tc>
          <w:tcPr>
            <w:tcW w:w="230" w:type="dxa"/>
            <w:tcBorders>
              <w:top w:val="single" w:color="000000" w:sz="2" w:space="0"/>
              <w:bottom w:val="single" w:color="000000" w:sz="2" w:space="0"/>
            </w:tcBorders>
            <w:vAlign w:val="top"/>
          </w:tcPr>
          <w:p w14:paraId="23161563">
            <w:pPr>
              <w:pStyle w:val="6"/>
              <w:spacing w:before="65" w:line="138" w:lineRule="exact"/>
              <w:ind w:left="18"/>
            </w:pPr>
            <w:r>
              <w:rPr>
                <w:position w:val="-2"/>
              </w:rPr>
              <w:t>A</w:t>
            </w:r>
          </w:p>
        </w:tc>
        <w:tc>
          <w:tcPr>
            <w:tcW w:w="220" w:type="dxa"/>
            <w:tcBorders>
              <w:top w:val="single" w:color="000000" w:sz="2" w:space="0"/>
              <w:bottom w:val="single" w:color="000000" w:sz="2" w:space="0"/>
            </w:tcBorders>
            <w:vAlign w:val="top"/>
          </w:tcPr>
          <w:p w14:paraId="16F99D99">
            <w:pPr>
              <w:pStyle w:val="6"/>
              <w:spacing w:before="67" w:line="136" w:lineRule="exact"/>
              <w:ind w:left="58"/>
            </w:pPr>
            <w:r>
              <w:rPr>
                <w:position w:val="-2"/>
              </w:rPr>
              <w:t>B</w:t>
            </w:r>
          </w:p>
        </w:tc>
        <w:tc>
          <w:tcPr>
            <w:tcW w:w="229" w:type="dxa"/>
            <w:tcBorders>
              <w:top w:val="single" w:color="000000" w:sz="2" w:space="0"/>
              <w:bottom w:val="single" w:color="000000" w:sz="2" w:space="0"/>
            </w:tcBorders>
            <w:vAlign w:val="top"/>
          </w:tcPr>
          <w:p w14:paraId="04C3B9BD">
            <w:pPr>
              <w:pStyle w:val="6"/>
              <w:spacing w:before="66" w:line="137" w:lineRule="exact"/>
              <w:ind w:left="17"/>
            </w:pPr>
            <w:r>
              <w:rPr>
                <w:position w:val="-2"/>
              </w:rPr>
              <w:t>C</w:t>
            </w:r>
          </w:p>
        </w:tc>
        <w:tc>
          <w:tcPr>
            <w:tcW w:w="234" w:type="dxa"/>
            <w:tcBorders>
              <w:top w:val="single" w:color="000000" w:sz="2" w:space="0"/>
              <w:bottom w:val="single" w:color="000000" w:sz="2" w:space="0"/>
            </w:tcBorders>
            <w:vAlign w:val="top"/>
          </w:tcPr>
          <w:p w14:paraId="34481E42">
            <w:pPr>
              <w:pStyle w:val="6"/>
              <w:spacing w:before="67" w:line="136" w:lineRule="exact"/>
              <w:ind w:left="19"/>
            </w:pPr>
            <w:r>
              <w:rPr>
                <w:position w:val="-2"/>
              </w:rPr>
              <w:t>D</w:t>
            </w:r>
          </w:p>
        </w:tc>
      </w:tr>
      <w:tr w14:paraId="1C30F7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trPr>
        <w:tc>
          <w:tcPr>
            <w:tcW w:w="743" w:type="dxa"/>
            <w:tcBorders>
              <w:top w:val="single" w:color="000000" w:sz="2" w:space="0"/>
              <w:bottom w:val="single" w:color="000000" w:sz="2" w:space="0"/>
            </w:tcBorders>
            <w:vAlign w:val="top"/>
          </w:tcPr>
          <w:p w14:paraId="189A347A">
            <w:pPr>
              <w:pStyle w:val="6"/>
              <w:spacing w:before="122" w:line="213" w:lineRule="auto"/>
              <w:ind w:left="194" w:right="203"/>
            </w:pPr>
            <w:r>
              <w:rPr>
                <w:spacing w:val="-4"/>
              </w:rPr>
              <w:t>文件</w:t>
            </w:r>
            <w:r>
              <w:t xml:space="preserve"> </w:t>
            </w:r>
            <w:r>
              <w:rPr>
                <w:spacing w:val="-3"/>
              </w:rPr>
              <w:t>操作</w:t>
            </w:r>
          </w:p>
        </w:tc>
        <w:tc>
          <w:tcPr>
            <w:tcW w:w="2484" w:type="dxa"/>
            <w:tcBorders>
              <w:top w:val="single" w:color="000000" w:sz="2" w:space="0"/>
              <w:bottom w:val="single" w:color="000000" w:sz="2" w:space="0"/>
            </w:tcBorders>
            <w:vAlign w:val="top"/>
          </w:tcPr>
          <w:p w14:paraId="6125DB2D">
            <w:pPr>
              <w:pStyle w:val="6"/>
              <w:spacing w:before="43" w:line="189" w:lineRule="auto"/>
              <w:ind w:left="2" w:right="927"/>
            </w:pPr>
            <w:r>
              <w:rPr>
                <w:spacing w:val="1"/>
              </w:rPr>
              <w:t>1.文件的打开和关闭</w:t>
            </w:r>
            <w:r>
              <w:rPr>
                <w:spacing w:val="3"/>
              </w:rPr>
              <w:t xml:space="preserve"> </w:t>
            </w:r>
            <w:r>
              <w:rPr>
                <w:spacing w:val="1"/>
              </w:rPr>
              <w:t>2.文件的读写</w:t>
            </w:r>
          </w:p>
          <w:p w14:paraId="3031D3C8">
            <w:pPr>
              <w:pStyle w:val="6"/>
              <w:spacing w:line="196" w:lineRule="auto"/>
              <w:ind w:left="2"/>
            </w:pPr>
            <w:r>
              <w:rPr>
                <w:spacing w:val="-4"/>
              </w:rPr>
              <w:t>3</w:t>
            </w:r>
            <w:r>
              <w:rPr>
                <w:b/>
                <w:bCs/>
                <w:spacing w:val="-4"/>
              </w:rPr>
              <w:t>.数据的格式化</w:t>
            </w:r>
          </w:p>
        </w:tc>
        <w:tc>
          <w:tcPr>
            <w:tcW w:w="230" w:type="dxa"/>
            <w:tcBorders>
              <w:top w:val="single" w:color="000000" w:sz="2" w:space="0"/>
              <w:bottom w:val="single" w:color="000000" w:sz="2" w:space="0"/>
            </w:tcBorders>
            <w:vAlign w:val="top"/>
          </w:tcPr>
          <w:p w14:paraId="54CE5747">
            <w:pPr>
              <w:rPr>
                <w:rFonts w:ascii="Arial"/>
                <w:sz w:val="21"/>
              </w:rPr>
            </w:pPr>
          </w:p>
        </w:tc>
        <w:tc>
          <w:tcPr>
            <w:tcW w:w="220" w:type="dxa"/>
            <w:tcBorders>
              <w:top w:val="single" w:color="000000" w:sz="2" w:space="0"/>
              <w:bottom w:val="single" w:color="000000" w:sz="2" w:space="0"/>
            </w:tcBorders>
            <w:vAlign w:val="top"/>
          </w:tcPr>
          <w:p w14:paraId="576568F9">
            <w:pPr>
              <w:pStyle w:val="6"/>
              <w:spacing w:before="118" w:line="182" w:lineRule="auto"/>
              <w:ind w:left="58"/>
            </w:pPr>
            <w:r>
              <w:t>V</w:t>
            </w:r>
          </w:p>
        </w:tc>
        <w:tc>
          <w:tcPr>
            <w:tcW w:w="229" w:type="dxa"/>
            <w:tcBorders>
              <w:top w:val="single" w:color="000000" w:sz="2" w:space="0"/>
              <w:bottom w:val="single" w:color="000000" w:sz="2" w:space="0"/>
            </w:tcBorders>
            <w:vAlign w:val="top"/>
          </w:tcPr>
          <w:p w14:paraId="4C16CD39">
            <w:pPr>
              <w:rPr>
                <w:rFonts w:ascii="Arial"/>
                <w:sz w:val="21"/>
              </w:rPr>
            </w:pPr>
          </w:p>
        </w:tc>
        <w:tc>
          <w:tcPr>
            <w:tcW w:w="234" w:type="dxa"/>
            <w:tcBorders>
              <w:top w:val="single" w:color="000000" w:sz="2" w:space="0"/>
              <w:bottom w:val="single" w:color="000000" w:sz="2" w:space="0"/>
            </w:tcBorders>
            <w:vAlign w:val="top"/>
          </w:tcPr>
          <w:p w14:paraId="7AD99A43">
            <w:pPr>
              <w:rPr>
                <w:rFonts w:ascii="Arial"/>
                <w:sz w:val="21"/>
              </w:rPr>
            </w:pPr>
          </w:p>
        </w:tc>
      </w:tr>
      <w:tr w14:paraId="7B720E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7" w:hRule="atLeast"/>
        </w:trPr>
        <w:tc>
          <w:tcPr>
            <w:tcW w:w="743" w:type="dxa"/>
            <w:tcBorders>
              <w:top w:val="single" w:color="000000" w:sz="2" w:space="0"/>
              <w:bottom w:val="single" w:color="000000" w:sz="2" w:space="0"/>
            </w:tcBorders>
            <w:vAlign w:val="top"/>
          </w:tcPr>
          <w:p w14:paraId="4593ED36">
            <w:pPr>
              <w:pStyle w:val="6"/>
              <w:spacing w:before="203" w:line="223" w:lineRule="auto"/>
              <w:ind w:left="107" w:right="99"/>
            </w:pPr>
            <w:r>
              <w:rPr>
                <w:b/>
                <w:bCs/>
                <w:spacing w:val="-5"/>
              </w:rPr>
              <w:t>数据库</w:t>
            </w:r>
            <w:r>
              <w:t xml:space="preserve"> </w:t>
            </w:r>
            <w:r>
              <w:rPr>
                <w:b/>
                <w:bCs/>
                <w:spacing w:val="3"/>
              </w:rPr>
              <w:t>的使用</w:t>
            </w:r>
          </w:p>
        </w:tc>
        <w:tc>
          <w:tcPr>
            <w:tcW w:w="2484" w:type="dxa"/>
            <w:tcBorders>
              <w:top w:val="single" w:color="000000" w:sz="2" w:space="0"/>
              <w:bottom w:val="single" w:color="000000" w:sz="2" w:space="0"/>
            </w:tcBorders>
            <w:vAlign w:val="top"/>
          </w:tcPr>
          <w:p w14:paraId="0BD04031">
            <w:pPr>
              <w:pStyle w:val="6"/>
              <w:spacing w:before="41" w:line="205" w:lineRule="auto"/>
              <w:ind w:left="2"/>
            </w:pPr>
            <w:r>
              <w:rPr>
                <w:spacing w:val="2"/>
              </w:rPr>
              <w:t>1.</w:t>
            </w:r>
            <w:r>
              <w:t>Python</w:t>
            </w:r>
            <w:r>
              <w:rPr>
                <w:spacing w:val="2"/>
              </w:rPr>
              <w:t>数据库应用接口</w:t>
            </w:r>
          </w:p>
          <w:p w14:paraId="2F675402">
            <w:pPr>
              <w:pStyle w:val="6"/>
              <w:spacing w:before="1" w:line="198" w:lineRule="auto"/>
              <w:ind w:left="2" w:right="1271"/>
              <w:rPr>
                <w:sz w:val="16"/>
                <w:szCs w:val="16"/>
              </w:rPr>
            </w:pPr>
            <w:r>
              <w:rPr>
                <w:spacing w:val="2"/>
              </w:rPr>
              <w:t>2.</w:t>
            </w:r>
            <w:r>
              <w:t>Sqlite</w:t>
            </w:r>
            <w:r>
              <w:rPr>
                <w:spacing w:val="2"/>
              </w:rPr>
              <w:t>3模块</w:t>
            </w:r>
            <w:r>
              <w:t xml:space="preserve">  </w:t>
            </w:r>
            <w:r>
              <w:rPr>
                <w:spacing w:val="9"/>
                <w:sz w:val="16"/>
                <w:szCs w:val="16"/>
              </w:rPr>
              <w:t>3.数据表的创建</w:t>
            </w:r>
            <w:r>
              <w:rPr>
                <w:spacing w:val="3"/>
                <w:sz w:val="16"/>
                <w:szCs w:val="16"/>
              </w:rPr>
              <w:t xml:space="preserve"> </w:t>
            </w:r>
            <w:r>
              <w:rPr>
                <w:spacing w:val="10"/>
                <w:sz w:val="16"/>
                <w:szCs w:val="16"/>
              </w:rPr>
              <w:t>4.数据表的操作</w:t>
            </w:r>
          </w:p>
        </w:tc>
        <w:tc>
          <w:tcPr>
            <w:tcW w:w="230" w:type="dxa"/>
            <w:tcBorders>
              <w:top w:val="single" w:color="000000" w:sz="2" w:space="0"/>
              <w:bottom w:val="single" w:color="000000" w:sz="2" w:space="0"/>
            </w:tcBorders>
            <w:vAlign w:val="top"/>
          </w:tcPr>
          <w:p w14:paraId="750DB4E0">
            <w:pPr>
              <w:rPr>
                <w:rFonts w:ascii="Arial"/>
                <w:sz w:val="21"/>
              </w:rPr>
            </w:pPr>
          </w:p>
        </w:tc>
        <w:tc>
          <w:tcPr>
            <w:tcW w:w="220" w:type="dxa"/>
            <w:tcBorders>
              <w:top w:val="single" w:color="000000" w:sz="2" w:space="0"/>
              <w:bottom w:val="single" w:color="000000" w:sz="2" w:space="0"/>
            </w:tcBorders>
            <w:vAlign w:val="top"/>
          </w:tcPr>
          <w:p w14:paraId="1B6D3EE4">
            <w:pPr>
              <w:rPr>
                <w:rFonts w:ascii="Arial"/>
                <w:sz w:val="21"/>
              </w:rPr>
            </w:pPr>
          </w:p>
        </w:tc>
        <w:tc>
          <w:tcPr>
            <w:tcW w:w="229" w:type="dxa"/>
            <w:tcBorders>
              <w:top w:val="single" w:color="000000" w:sz="2" w:space="0"/>
              <w:bottom w:val="single" w:color="000000" w:sz="2" w:space="0"/>
            </w:tcBorders>
            <w:vAlign w:val="top"/>
          </w:tcPr>
          <w:p w14:paraId="135F5CEC">
            <w:pPr>
              <w:rPr>
                <w:rFonts w:ascii="Arial"/>
                <w:sz w:val="21"/>
              </w:rPr>
            </w:pPr>
          </w:p>
        </w:tc>
        <w:tc>
          <w:tcPr>
            <w:tcW w:w="234" w:type="dxa"/>
            <w:tcBorders>
              <w:top w:val="single" w:color="000000" w:sz="2" w:space="0"/>
              <w:bottom w:val="single" w:color="000000" w:sz="2" w:space="0"/>
            </w:tcBorders>
            <w:vAlign w:val="top"/>
          </w:tcPr>
          <w:p w14:paraId="4E771813">
            <w:pPr>
              <w:rPr>
                <w:rFonts w:ascii="Arial"/>
                <w:sz w:val="21"/>
              </w:rPr>
            </w:pPr>
          </w:p>
        </w:tc>
      </w:tr>
    </w:tbl>
    <w:p w14:paraId="77939C2C">
      <w:pPr>
        <w:pStyle w:val="2"/>
        <w:spacing w:line="14" w:lineRule="auto"/>
        <w:rPr>
          <w:sz w:val="2"/>
        </w:rPr>
      </w:pPr>
    </w:p>
    <w:p w14:paraId="6AB75D7A">
      <w:pPr>
        <w:pStyle w:val="2"/>
        <w:spacing w:line="14" w:lineRule="auto"/>
        <w:rPr>
          <w:sz w:val="2"/>
        </w:rPr>
      </w:pPr>
      <w:r>
        <w:rPr>
          <w:sz w:val="2"/>
          <w:szCs w:val="2"/>
        </w:rPr>
        <w:br w:type="column"/>
      </w:r>
    </w:p>
    <w:p w14:paraId="7EA822CF">
      <w:pPr>
        <w:spacing w:before="32" w:line="301" w:lineRule="auto"/>
        <w:ind w:left="347" w:right="2486" w:firstLine="199"/>
        <w:rPr>
          <w:rFonts w:ascii="宋体" w:hAnsi="宋体" w:eastAsia="宋体" w:cs="宋体"/>
          <w:sz w:val="17"/>
          <w:szCs w:val="17"/>
        </w:rPr>
      </w:pPr>
      <w:r>
        <w:rPr>
          <w:rFonts w:ascii="宋体" w:hAnsi="宋体" w:eastAsia="宋体" w:cs="宋体"/>
          <w:b/>
          <w:bCs/>
          <w:spacing w:val="13"/>
          <w:sz w:val="17"/>
          <w:szCs w:val="17"/>
        </w:rPr>
        <w:t>(一)试卷结构</w:t>
      </w:r>
      <w:r>
        <w:rPr>
          <w:rFonts w:ascii="宋体" w:hAnsi="宋体" w:eastAsia="宋体" w:cs="宋体"/>
          <w:spacing w:val="1"/>
          <w:sz w:val="17"/>
          <w:szCs w:val="17"/>
        </w:rPr>
        <w:t xml:space="preserve"> </w:t>
      </w:r>
      <w:r>
        <w:rPr>
          <w:rFonts w:ascii="宋体" w:hAnsi="宋体" w:eastAsia="宋体" w:cs="宋体"/>
          <w:b/>
          <w:bCs/>
          <w:spacing w:val="-3"/>
          <w:sz w:val="17"/>
          <w:szCs w:val="17"/>
        </w:rPr>
        <w:t>1.按课程分</w:t>
      </w:r>
    </w:p>
    <w:p w14:paraId="76EC780A">
      <w:pPr>
        <w:spacing w:line="55" w:lineRule="exact"/>
      </w:pPr>
    </w:p>
    <w:tbl>
      <w:tblPr>
        <w:tblStyle w:val="5"/>
        <w:tblW w:w="413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34"/>
        <w:gridCol w:w="928"/>
        <w:gridCol w:w="768"/>
        <w:gridCol w:w="1900"/>
      </w:tblGrid>
      <w:tr w14:paraId="0BC8CE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8" w:hRule="atLeast"/>
        </w:trPr>
        <w:tc>
          <w:tcPr>
            <w:tcW w:w="534" w:type="dxa"/>
            <w:vAlign w:val="top"/>
          </w:tcPr>
          <w:p w14:paraId="4E0513EB">
            <w:pPr>
              <w:pStyle w:val="6"/>
              <w:spacing w:before="210" w:line="220" w:lineRule="auto"/>
              <w:ind w:left="87"/>
            </w:pPr>
            <w:r>
              <w:rPr>
                <w:b/>
                <w:bCs/>
                <w:spacing w:val="-4"/>
              </w:rPr>
              <w:t>课程</w:t>
            </w:r>
          </w:p>
        </w:tc>
        <w:tc>
          <w:tcPr>
            <w:tcW w:w="928" w:type="dxa"/>
            <w:vAlign w:val="top"/>
          </w:tcPr>
          <w:p w14:paraId="5B4DC804">
            <w:pPr>
              <w:pStyle w:val="6"/>
              <w:spacing w:before="89" w:line="235" w:lineRule="auto"/>
              <w:ind w:left="282" w:right="41" w:hanging="249"/>
            </w:pPr>
            <w:r>
              <w:rPr>
                <w:b/>
                <w:bCs/>
                <w:spacing w:val="-4"/>
              </w:rPr>
              <w:t>计算机网络</w:t>
            </w:r>
            <w:r>
              <w:rPr>
                <w:spacing w:val="3"/>
              </w:rPr>
              <w:t xml:space="preserve"> </w:t>
            </w:r>
            <w:r>
              <w:rPr>
                <w:b/>
                <w:bCs/>
                <w:spacing w:val="-4"/>
              </w:rPr>
              <w:t>基础</w:t>
            </w:r>
          </w:p>
        </w:tc>
        <w:tc>
          <w:tcPr>
            <w:tcW w:w="768" w:type="dxa"/>
            <w:vAlign w:val="top"/>
          </w:tcPr>
          <w:p w14:paraId="4830473D">
            <w:pPr>
              <w:pStyle w:val="6"/>
              <w:spacing w:before="209" w:line="219" w:lineRule="auto"/>
              <w:ind w:left="35"/>
            </w:pPr>
            <w:r>
              <w:rPr>
                <w:b/>
                <w:bCs/>
                <w:spacing w:val="-4"/>
              </w:rPr>
              <w:t>信息技术</w:t>
            </w:r>
          </w:p>
        </w:tc>
        <w:tc>
          <w:tcPr>
            <w:tcW w:w="1900" w:type="dxa"/>
            <w:vAlign w:val="top"/>
          </w:tcPr>
          <w:p w14:paraId="59414A4F">
            <w:pPr>
              <w:pStyle w:val="6"/>
              <w:spacing w:before="84" w:line="233" w:lineRule="auto"/>
              <w:ind w:left="776" w:right="19" w:hanging="769"/>
            </w:pPr>
            <w:r>
              <w:rPr>
                <w:b/>
                <w:bCs/>
                <w:spacing w:val="-3"/>
              </w:rPr>
              <w:t>计算机编程基础—Python</w:t>
            </w:r>
            <w:r>
              <w:rPr>
                <w:spacing w:val="9"/>
              </w:rPr>
              <w:t xml:space="preserve"> </w:t>
            </w:r>
            <w:r>
              <w:rPr>
                <w:b/>
                <w:bCs/>
                <w:spacing w:val="-4"/>
              </w:rPr>
              <w:t>语言</w:t>
            </w:r>
          </w:p>
        </w:tc>
      </w:tr>
      <w:tr w14:paraId="457A5B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1" w:hRule="atLeast"/>
        </w:trPr>
        <w:tc>
          <w:tcPr>
            <w:tcW w:w="534" w:type="dxa"/>
            <w:vAlign w:val="top"/>
          </w:tcPr>
          <w:p w14:paraId="74F9781B">
            <w:pPr>
              <w:pStyle w:val="6"/>
              <w:spacing w:before="82" w:line="221" w:lineRule="auto"/>
              <w:ind w:left="87"/>
            </w:pPr>
            <w:r>
              <w:rPr>
                <w:b/>
                <w:bCs/>
                <w:spacing w:val="2"/>
              </w:rPr>
              <w:t>比例</w:t>
            </w:r>
          </w:p>
        </w:tc>
        <w:tc>
          <w:tcPr>
            <w:tcW w:w="928" w:type="dxa"/>
            <w:vAlign w:val="top"/>
          </w:tcPr>
          <w:p w14:paraId="1AE97E63">
            <w:pPr>
              <w:pStyle w:val="6"/>
              <w:spacing w:before="126" w:line="183" w:lineRule="auto"/>
              <w:ind w:left="323"/>
            </w:pPr>
            <w:r>
              <w:rPr>
                <w:b/>
                <w:bCs/>
                <w:spacing w:val="-4"/>
              </w:rPr>
              <w:t>45%</w:t>
            </w:r>
          </w:p>
        </w:tc>
        <w:tc>
          <w:tcPr>
            <w:tcW w:w="768" w:type="dxa"/>
            <w:vAlign w:val="top"/>
          </w:tcPr>
          <w:p w14:paraId="0D3E77EB">
            <w:pPr>
              <w:pStyle w:val="6"/>
              <w:spacing w:before="125" w:line="184" w:lineRule="auto"/>
              <w:ind w:left="245"/>
            </w:pPr>
            <w:r>
              <w:rPr>
                <w:b/>
                <w:bCs/>
                <w:spacing w:val="-7"/>
              </w:rPr>
              <w:t>10%</w:t>
            </w:r>
          </w:p>
        </w:tc>
        <w:tc>
          <w:tcPr>
            <w:tcW w:w="1900" w:type="dxa"/>
            <w:vAlign w:val="top"/>
          </w:tcPr>
          <w:p w14:paraId="03D603E5">
            <w:pPr>
              <w:pStyle w:val="6"/>
              <w:spacing w:before="126" w:line="183" w:lineRule="auto"/>
              <w:ind w:left="817"/>
            </w:pPr>
            <w:r>
              <w:rPr>
                <w:b/>
                <w:bCs/>
                <w:spacing w:val="-4"/>
              </w:rPr>
              <w:t>45%</w:t>
            </w:r>
          </w:p>
        </w:tc>
      </w:tr>
    </w:tbl>
    <w:p w14:paraId="2CB6C15D">
      <w:pPr>
        <w:spacing w:before="212" w:line="219" w:lineRule="auto"/>
        <w:ind w:left="345"/>
        <w:rPr>
          <w:rFonts w:ascii="宋体" w:hAnsi="宋体" w:eastAsia="宋体" w:cs="宋体"/>
          <w:sz w:val="17"/>
          <w:szCs w:val="17"/>
        </w:rPr>
      </w:pPr>
      <w:r>
        <w:rPr>
          <w:rFonts w:ascii="宋体" w:hAnsi="宋体" w:eastAsia="宋体" w:cs="宋体"/>
          <w:spacing w:val="-1"/>
          <w:sz w:val="17"/>
          <w:szCs w:val="17"/>
        </w:rPr>
        <w:t>2.按考试水平分</w:t>
      </w:r>
    </w:p>
    <w:p w14:paraId="1980FE04">
      <w:pPr>
        <w:spacing w:line="126" w:lineRule="exact"/>
      </w:pPr>
    </w:p>
    <w:tbl>
      <w:tblPr>
        <w:tblStyle w:val="5"/>
        <w:tblW w:w="414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63"/>
        <w:gridCol w:w="788"/>
        <w:gridCol w:w="788"/>
        <w:gridCol w:w="798"/>
        <w:gridCol w:w="803"/>
      </w:tblGrid>
      <w:tr w14:paraId="614506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963" w:type="dxa"/>
            <w:vAlign w:val="top"/>
          </w:tcPr>
          <w:p w14:paraId="4CF4B706">
            <w:pPr>
              <w:pStyle w:val="6"/>
              <w:spacing w:before="149" w:line="220" w:lineRule="auto"/>
              <w:ind w:left="157"/>
              <w:rPr>
                <w:sz w:val="16"/>
                <w:szCs w:val="16"/>
              </w:rPr>
            </w:pPr>
            <w:r>
              <w:rPr>
                <w:b/>
                <w:bCs/>
                <w:spacing w:val="-1"/>
                <w:sz w:val="16"/>
                <w:szCs w:val="16"/>
              </w:rPr>
              <w:t>目标要求</w:t>
            </w:r>
          </w:p>
        </w:tc>
        <w:tc>
          <w:tcPr>
            <w:tcW w:w="788" w:type="dxa"/>
            <w:vAlign w:val="top"/>
          </w:tcPr>
          <w:p w14:paraId="1B90D5AE">
            <w:pPr>
              <w:pStyle w:val="6"/>
              <w:spacing w:before="191" w:line="184" w:lineRule="auto"/>
              <w:ind w:left="344"/>
              <w:rPr>
                <w:sz w:val="16"/>
                <w:szCs w:val="16"/>
              </w:rPr>
            </w:pPr>
            <w:r>
              <w:rPr>
                <w:b/>
                <w:bCs/>
                <w:spacing w:val="-2"/>
                <w:sz w:val="16"/>
                <w:szCs w:val="16"/>
              </w:rPr>
              <w:t>A</w:t>
            </w:r>
          </w:p>
        </w:tc>
        <w:tc>
          <w:tcPr>
            <w:tcW w:w="788" w:type="dxa"/>
            <w:vAlign w:val="top"/>
          </w:tcPr>
          <w:p w14:paraId="1BAE6CDF">
            <w:pPr>
              <w:pStyle w:val="6"/>
              <w:spacing w:before="193" w:line="182" w:lineRule="auto"/>
              <w:ind w:left="346"/>
              <w:rPr>
                <w:sz w:val="16"/>
                <w:szCs w:val="16"/>
              </w:rPr>
            </w:pPr>
            <w:r>
              <w:rPr>
                <w:b/>
                <w:bCs/>
                <w:spacing w:val="-2"/>
                <w:sz w:val="16"/>
                <w:szCs w:val="16"/>
              </w:rPr>
              <w:t>B</w:t>
            </w:r>
          </w:p>
        </w:tc>
        <w:tc>
          <w:tcPr>
            <w:tcW w:w="798" w:type="dxa"/>
            <w:vAlign w:val="top"/>
          </w:tcPr>
          <w:p w14:paraId="300CE581">
            <w:pPr>
              <w:pStyle w:val="6"/>
              <w:spacing w:before="191" w:line="183" w:lineRule="auto"/>
              <w:ind w:left="358"/>
              <w:rPr>
                <w:sz w:val="16"/>
                <w:szCs w:val="16"/>
              </w:rPr>
            </w:pPr>
            <w:r>
              <w:rPr>
                <w:b/>
                <w:bCs/>
                <w:spacing w:val="-2"/>
                <w:sz w:val="16"/>
                <w:szCs w:val="16"/>
              </w:rPr>
              <w:t>C</w:t>
            </w:r>
          </w:p>
        </w:tc>
        <w:tc>
          <w:tcPr>
            <w:tcW w:w="803" w:type="dxa"/>
            <w:vAlign w:val="top"/>
          </w:tcPr>
          <w:p w14:paraId="37D94EEA">
            <w:pPr>
              <w:pStyle w:val="6"/>
              <w:spacing w:before="193" w:line="182" w:lineRule="auto"/>
              <w:ind w:left="360"/>
              <w:rPr>
                <w:sz w:val="16"/>
                <w:szCs w:val="16"/>
              </w:rPr>
            </w:pPr>
            <w:r>
              <w:rPr>
                <w:b/>
                <w:bCs/>
                <w:spacing w:val="-2"/>
                <w:sz w:val="16"/>
                <w:szCs w:val="16"/>
              </w:rPr>
              <w:t>D</w:t>
            </w:r>
          </w:p>
        </w:tc>
      </w:tr>
      <w:tr w14:paraId="33261E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0" w:hRule="atLeast"/>
        </w:trPr>
        <w:tc>
          <w:tcPr>
            <w:tcW w:w="963" w:type="dxa"/>
            <w:vAlign w:val="top"/>
          </w:tcPr>
          <w:p w14:paraId="55E3CD4B">
            <w:pPr>
              <w:pStyle w:val="6"/>
              <w:spacing w:before="140" w:line="220" w:lineRule="auto"/>
              <w:ind w:left="237"/>
              <w:rPr>
                <w:sz w:val="16"/>
                <w:szCs w:val="16"/>
              </w:rPr>
            </w:pPr>
            <w:r>
              <w:rPr>
                <w:b/>
                <w:bCs/>
                <w:spacing w:val="-5"/>
                <w:sz w:val="16"/>
                <w:szCs w:val="16"/>
              </w:rPr>
              <w:t>百分比</w:t>
            </w:r>
          </w:p>
        </w:tc>
        <w:tc>
          <w:tcPr>
            <w:tcW w:w="788" w:type="dxa"/>
            <w:vAlign w:val="top"/>
          </w:tcPr>
          <w:p w14:paraId="30B7FAD1">
            <w:pPr>
              <w:pStyle w:val="6"/>
              <w:spacing w:before="182" w:line="183" w:lineRule="auto"/>
              <w:ind w:left="264"/>
              <w:rPr>
                <w:sz w:val="16"/>
                <w:szCs w:val="16"/>
              </w:rPr>
            </w:pPr>
            <w:r>
              <w:rPr>
                <w:b/>
                <w:bCs/>
                <w:spacing w:val="-4"/>
                <w:sz w:val="16"/>
                <w:szCs w:val="16"/>
              </w:rPr>
              <w:t>30%</w:t>
            </w:r>
          </w:p>
        </w:tc>
        <w:tc>
          <w:tcPr>
            <w:tcW w:w="788" w:type="dxa"/>
            <w:vAlign w:val="top"/>
          </w:tcPr>
          <w:p w14:paraId="3C4D262B">
            <w:pPr>
              <w:pStyle w:val="6"/>
              <w:spacing w:before="182" w:line="183" w:lineRule="auto"/>
              <w:ind w:left="266"/>
              <w:rPr>
                <w:sz w:val="16"/>
                <w:szCs w:val="16"/>
              </w:rPr>
            </w:pPr>
            <w:r>
              <w:rPr>
                <w:b/>
                <w:bCs/>
                <w:spacing w:val="-4"/>
                <w:sz w:val="16"/>
                <w:szCs w:val="16"/>
              </w:rPr>
              <w:t>30%</w:t>
            </w:r>
          </w:p>
        </w:tc>
        <w:tc>
          <w:tcPr>
            <w:tcW w:w="798" w:type="dxa"/>
            <w:vAlign w:val="top"/>
          </w:tcPr>
          <w:p w14:paraId="4423C200">
            <w:pPr>
              <w:pStyle w:val="6"/>
              <w:spacing w:before="182" w:line="183" w:lineRule="auto"/>
              <w:ind w:left="278"/>
              <w:rPr>
                <w:sz w:val="16"/>
                <w:szCs w:val="16"/>
              </w:rPr>
            </w:pPr>
            <w:r>
              <w:rPr>
                <w:b/>
                <w:bCs/>
                <w:spacing w:val="-4"/>
                <w:sz w:val="16"/>
                <w:szCs w:val="16"/>
              </w:rPr>
              <w:t>30%</w:t>
            </w:r>
          </w:p>
        </w:tc>
        <w:tc>
          <w:tcPr>
            <w:tcW w:w="803" w:type="dxa"/>
            <w:vAlign w:val="top"/>
          </w:tcPr>
          <w:p w14:paraId="1BB57580">
            <w:pPr>
              <w:pStyle w:val="6"/>
              <w:spacing w:before="181" w:line="184" w:lineRule="auto"/>
              <w:ind w:left="280"/>
              <w:rPr>
                <w:sz w:val="16"/>
                <w:szCs w:val="16"/>
              </w:rPr>
            </w:pPr>
            <w:r>
              <w:rPr>
                <w:b/>
                <w:bCs/>
                <w:spacing w:val="-6"/>
                <w:sz w:val="16"/>
                <w:szCs w:val="16"/>
              </w:rPr>
              <w:t>10%</w:t>
            </w:r>
          </w:p>
        </w:tc>
      </w:tr>
    </w:tbl>
    <w:p w14:paraId="6DB98CDD">
      <w:pPr>
        <w:spacing w:before="192" w:line="219" w:lineRule="auto"/>
        <w:ind w:left="345"/>
        <w:rPr>
          <w:rFonts w:ascii="宋体" w:hAnsi="宋体" w:eastAsia="宋体" w:cs="宋体"/>
          <w:sz w:val="17"/>
          <w:szCs w:val="17"/>
        </w:rPr>
      </w:pPr>
      <w:r>
        <w:rPr>
          <w:rFonts w:ascii="宋体" w:hAnsi="宋体" w:eastAsia="宋体" w:cs="宋体"/>
          <w:sz w:val="17"/>
          <w:szCs w:val="17"/>
        </w:rPr>
        <w:t>3.按题型分</w:t>
      </w:r>
    </w:p>
    <w:p w14:paraId="7F266899">
      <w:pPr>
        <w:spacing w:line="166" w:lineRule="exact"/>
      </w:pPr>
    </w:p>
    <w:tbl>
      <w:tblPr>
        <w:tblStyle w:val="5"/>
        <w:tblW w:w="414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53"/>
        <w:gridCol w:w="619"/>
        <w:gridCol w:w="628"/>
        <w:gridCol w:w="618"/>
        <w:gridCol w:w="619"/>
        <w:gridCol w:w="803"/>
      </w:tblGrid>
      <w:tr w14:paraId="475980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853" w:type="dxa"/>
            <w:vAlign w:val="top"/>
          </w:tcPr>
          <w:p w14:paraId="41CEEE5D">
            <w:pPr>
              <w:pStyle w:val="6"/>
              <w:spacing w:before="142" w:line="221" w:lineRule="auto"/>
              <w:ind w:left="237"/>
              <w:rPr>
                <w:sz w:val="18"/>
                <w:szCs w:val="18"/>
              </w:rPr>
            </w:pPr>
            <w:r>
              <w:rPr>
                <w:b/>
                <w:bCs/>
                <w:spacing w:val="-4"/>
                <w:sz w:val="18"/>
                <w:szCs w:val="18"/>
              </w:rPr>
              <w:t>题型</w:t>
            </w:r>
          </w:p>
        </w:tc>
        <w:tc>
          <w:tcPr>
            <w:tcW w:w="619" w:type="dxa"/>
            <w:vAlign w:val="top"/>
          </w:tcPr>
          <w:p w14:paraId="28AEA915">
            <w:pPr>
              <w:pStyle w:val="6"/>
              <w:spacing w:before="140" w:line="220" w:lineRule="auto"/>
              <w:ind w:left="124"/>
              <w:rPr>
                <w:sz w:val="18"/>
                <w:szCs w:val="18"/>
              </w:rPr>
            </w:pPr>
            <w:r>
              <w:rPr>
                <w:b/>
                <w:bCs/>
                <w:spacing w:val="-5"/>
                <w:sz w:val="18"/>
                <w:szCs w:val="18"/>
              </w:rPr>
              <w:t>填空</w:t>
            </w:r>
          </w:p>
        </w:tc>
        <w:tc>
          <w:tcPr>
            <w:tcW w:w="628" w:type="dxa"/>
            <w:vAlign w:val="top"/>
          </w:tcPr>
          <w:p w14:paraId="47EEFE51">
            <w:pPr>
              <w:pStyle w:val="6"/>
              <w:spacing w:before="140" w:line="221" w:lineRule="auto"/>
              <w:ind w:left="125"/>
              <w:rPr>
                <w:sz w:val="18"/>
                <w:szCs w:val="18"/>
              </w:rPr>
            </w:pPr>
            <w:r>
              <w:rPr>
                <w:b/>
                <w:bCs/>
                <w:spacing w:val="-4"/>
                <w:sz w:val="18"/>
                <w:szCs w:val="18"/>
              </w:rPr>
              <w:t>选择</w:t>
            </w:r>
          </w:p>
        </w:tc>
        <w:tc>
          <w:tcPr>
            <w:tcW w:w="618" w:type="dxa"/>
            <w:vAlign w:val="top"/>
          </w:tcPr>
          <w:p w14:paraId="315EC5D2">
            <w:pPr>
              <w:pStyle w:val="6"/>
              <w:spacing w:before="140" w:line="220" w:lineRule="auto"/>
              <w:ind w:left="127"/>
              <w:rPr>
                <w:sz w:val="18"/>
                <w:szCs w:val="18"/>
              </w:rPr>
            </w:pPr>
            <w:r>
              <w:rPr>
                <w:b/>
                <w:bCs/>
                <w:spacing w:val="-5"/>
                <w:sz w:val="18"/>
                <w:szCs w:val="18"/>
              </w:rPr>
              <w:t>分析</w:t>
            </w:r>
          </w:p>
        </w:tc>
        <w:tc>
          <w:tcPr>
            <w:tcW w:w="619" w:type="dxa"/>
            <w:vAlign w:val="top"/>
          </w:tcPr>
          <w:p w14:paraId="3817D505">
            <w:pPr>
              <w:pStyle w:val="6"/>
              <w:spacing w:before="139" w:line="219" w:lineRule="auto"/>
              <w:ind w:left="129"/>
              <w:rPr>
                <w:sz w:val="18"/>
                <w:szCs w:val="18"/>
              </w:rPr>
            </w:pPr>
            <w:r>
              <w:rPr>
                <w:b/>
                <w:bCs/>
                <w:spacing w:val="-5"/>
                <w:sz w:val="18"/>
                <w:szCs w:val="18"/>
              </w:rPr>
              <w:t>编程</w:t>
            </w:r>
          </w:p>
        </w:tc>
        <w:tc>
          <w:tcPr>
            <w:tcW w:w="803" w:type="dxa"/>
            <w:vAlign w:val="top"/>
          </w:tcPr>
          <w:p w14:paraId="28C4FFFA">
            <w:pPr>
              <w:pStyle w:val="6"/>
              <w:spacing w:before="140" w:line="220" w:lineRule="auto"/>
              <w:ind w:left="40"/>
              <w:rPr>
                <w:sz w:val="18"/>
                <w:szCs w:val="18"/>
              </w:rPr>
            </w:pPr>
            <w:r>
              <w:rPr>
                <w:b/>
                <w:bCs/>
                <w:spacing w:val="2"/>
                <w:sz w:val="18"/>
                <w:szCs w:val="18"/>
              </w:rPr>
              <w:t>综合应用</w:t>
            </w:r>
          </w:p>
        </w:tc>
      </w:tr>
      <w:tr w14:paraId="29BDFB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0" w:hRule="atLeast"/>
        </w:trPr>
        <w:tc>
          <w:tcPr>
            <w:tcW w:w="853" w:type="dxa"/>
            <w:vAlign w:val="top"/>
          </w:tcPr>
          <w:p w14:paraId="4B5CB720">
            <w:pPr>
              <w:pStyle w:val="6"/>
              <w:spacing w:before="133" w:line="220" w:lineRule="auto"/>
              <w:ind w:left="145"/>
              <w:rPr>
                <w:sz w:val="18"/>
                <w:szCs w:val="18"/>
              </w:rPr>
            </w:pPr>
            <w:r>
              <w:rPr>
                <w:spacing w:val="3"/>
                <w:sz w:val="18"/>
                <w:szCs w:val="18"/>
              </w:rPr>
              <w:t>百分比</w:t>
            </w:r>
          </w:p>
        </w:tc>
        <w:tc>
          <w:tcPr>
            <w:tcW w:w="619" w:type="dxa"/>
            <w:vAlign w:val="top"/>
          </w:tcPr>
          <w:p w14:paraId="488F5B90">
            <w:pPr>
              <w:pStyle w:val="6"/>
              <w:spacing w:before="178" w:line="183" w:lineRule="auto"/>
              <w:ind w:left="164"/>
              <w:rPr>
                <w:sz w:val="18"/>
                <w:szCs w:val="18"/>
              </w:rPr>
            </w:pPr>
            <w:r>
              <w:rPr>
                <w:b/>
                <w:bCs/>
                <w:spacing w:val="-4"/>
                <w:sz w:val="18"/>
                <w:szCs w:val="18"/>
              </w:rPr>
              <w:t>20%</w:t>
            </w:r>
          </w:p>
        </w:tc>
        <w:tc>
          <w:tcPr>
            <w:tcW w:w="628" w:type="dxa"/>
            <w:vAlign w:val="top"/>
          </w:tcPr>
          <w:p w14:paraId="7179CAA8">
            <w:pPr>
              <w:pStyle w:val="6"/>
              <w:spacing w:before="178" w:line="183" w:lineRule="auto"/>
              <w:ind w:left="175"/>
              <w:rPr>
                <w:sz w:val="18"/>
                <w:szCs w:val="18"/>
              </w:rPr>
            </w:pPr>
            <w:r>
              <w:rPr>
                <w:b/>
                <w:bCs/>
                <w:spacing w:val="-5"/>
                <w:sz w:val="18"/>
                <w:szCs w:val="18"/>
              </w:rPr>
              <w:t>30%</w:t>
            </w:r>
          </w:p>
        </w:tc>
        <w:tc>
          <w:tcPr>
            <w:tcW w:w="618" w:type="dxa"/>
            <w:vAlign w:val="top"/>
          </w:tcPr>
          <w:p w14:paraId="5369EF2E">
            <w:pPr>
              <w:pStyle w:val="6"/>
              <w:spacing w:before="178" w:line="183" w:lineRule="auto"/>
              <w:ind w:left="167"/>
              <w:rPr>
                <w:sz w:val="18"/>
                <w:szCs w:val="18"/>
              </w:rPr>
            </w:pPr>
            <w:r>
              <w:rPr>
                <w:b/>
                <w:bCs/>
                <w:spacing w:val="-4"/>
                <w:sz w:val="18"/>
                <w:szCs w:val="18"/>
              </w:rPr>
              <w:t>20%</w:t>
            </w:r>
          </w:p>
        </w:tc>
        <w:tc>
          <w:tcPr>
            <w:tcW w:w="619" w:type="dxa"/>
            <w:vAlign w:val="top"/>
          </w:tcPr>
          <w:p w14:paraId="405645D5">
            <w:pPr>
              <w:pStyle w:val="6"/>
              <w:spacing w:before="178" w:line="183" w:lineRule="auto"/>
              <w:ind w:left="169"/>
              <w:rPr>
                <w:sz w:val="18"/>
                <w:szCs w:val="18"/>
              </w:rPr>
            </w:pPr>
            <w:r>
              <w:rPr>
                <w:b/>
                <w:bCs/>
                <w:spacing w:val="-4"/>
                <w:sz w:val="18"/>
                <w:szCs w:val="18"/>
              </w:rPr>
              <w:t>20%</w:t>
            </w:r>
          </w:p>
        </w:tc>
        <w:tc>
          <w:tcPr>
            <w:tcW w:w="803" w:type="dxa"/>
            <w:vAlign w:val="top"/>
          </w:tcPr>
          <w:p w14:paraId="0B2569FB">
            <w:pPr>
              <w:pStyle w:val="6"/>
              <w:spacing w:before="177" w:line="184" w:lineRule="auto"/>
              <w:ind w:left="260"/>
              <w:rPr>
                <w:sz w:val="18"/>
                <w:szCs w:val="18"/>
              </w:rPr>
            </w:pPr>
            <w:r>
              <w:rPr>
                <w:b/>
                <w:bCs/>
                <w:spacing w:val="-7"/>
                <w:sz w:val="18"/>
                <w:szCs w:val="18"/>
              </w:rPr>
              <w:t>10%</w:t>
            </w:r>
          </w:p>
        </w:tc>
      </w:tr>
    </w:tbl>
    <w:p w14:paraId="55B33F69">
      <w:pPr>
        <w:spacing w:before="198" w:line="253" w:lineRule="auto"/>
        <w:ind w:left="15" w:right="61" w:firstLine="330"/>
        <w:rPr>
          <w:rFonts w:ascii="宋体" w:hAnsi="宋体" w:eastAsia="宋体" w:cs="宋体"/>
          <w:sz w:val="17"/>
          <w:szCs w:val="17"/>
        </w:rPr>
      </w:pPr>
      <w:r>
        <w:rPr>
          <w:rFonts w:ascii="楷体" w:hAnsi="楷体" w:eastAsia="楷体" w:cs="楷体"/>
          <w:spacing w:val="2"/>
          <w:sz w:val="17"/>
          <w:szCs w:val="17"/>
        </w:rPr>
        <w:t>说明：试卷考试水平</w:t>
      </w:r>
      <w:r>
        <w:rPr>
          <w:rFonts w:ascii="Times New Roman" w:hAnsi="Times New Roman" w:eastAsia="Times New Roman" w:cs="Times New Roman"/>
          <w:spacing w:val="2"/>
          <w:sz w:val="17"/>
          <w:szCs w:val="17"/>
        </w:rPr>
        <w:t>A</w:t>
      </w:r>
      <w:r>
        <w:rPr>
          <w:rFonts w:ascii="宋体" w:hAnsi="宋体" w:eastAsia="宋体" w:cs="宋体"/>
          <w:spacing w:val="2"/>
          <w:sz w:val="17"/>
          <w:szCs w:val="17"/>
        </w:rPr>
        <w:t>、</w:t>
      </w:r>
      <w:r>
        <w:rPr>
          <w:rFonts w:ascii="Times New Roman" w:hAnsi="Times New Roman" w:eastAsia="Times New Roman" w:cs="Times New Roman"/>
          <w:spacing w:val="2"/>
          <w:sz w:val="17"/>
          <w:szCs w:val="17"/>
        </w:rPr>
        <w:t>B</w:t>
      </w:r>
      <w:r>
        <w:rPr>
          <w:rFonts w:ascii="宋体" w:hAnsi="宋体" w:eastAsia="宋体" w:cs="宋体"/>
          <w:spacing w:val="2"/>
          <w:sz w:val="17"/>
          <w:szCs w:val="17"/>
        </w:rPr>
        <w:t>、</w:t>
      </w:r>
      <w:r>
        <w:rPr>
          <w:rFonts w:ascii="Times New Roman" w:hAnsi="Times New Roman" w:eastAsia="Times New Roman" w:cs="Times New Roman"/>
          <w:spacing w:val="2"/>
          <w:sz w:val="17"/>
          <w:szCs w:val="17"/>
        </w:rPr>
        <w:t>C</w:t>
      </w:r>
      <w:r>
        <w:rPr>
          <w:rFonts w:ascii="宋体" w:hAnsi="宋体" w:eastAsia="宋体" w:cs="宋体"/>
          <w:spacing w:val="2"/>
          <w:sz w:val="17"/>
          <w:szCs w:val="17"/>
        </w:rPr>
        <w:t>、</w:t>
      </w:r>
      <w:r>
        <w:rPr>
          <w:rFonts w:ascii="Times New Roman" w:hAnsi="Times New Roman" w:eastAsia="Times New Roman" w:cs="Times New Roman"/>
          <w:spacing w:val="2"/>
          <w:sz w:val="17"/>
          <w:szCs w:val="17"/>
        </w:rPr>
        <w:t>D</w:t>
      </w:r>
      <w:r>
        <w:rPr>
          <w:rFonts w:ascii="楷体" w:hAnsi="楷体" w:eastAsia="楷体" w:cs="楷体"/>
          <w:spacing w:val="2"/>
          <w:sz w:val="17"/>
          <w:szCs w:val="17"/>
        </w:rPr>
        <w:t>百分比可在其基</w:t>
      </w:r>
      <w:r>
        <w:rPr>
          <w:rFonts w:ascii="楷体" w:hAnsi="楷体" w:eastAsia="楷体" w:cs="楷体"/>
          <w:spacing w:val="3"/>
          <w:sz w:val="17"/>
          <w:szCs w:val="17"/>
        </w:rPr>
        <w:t xml:space="preserve"> </w:t>
      </w:r>
      <w:r>
        <w:rPr>
          <w:rFonts w:ascii="宋体" w:hAnsi="宋体" w:eastAsia="宋体" w:cs="宋体"/>
          <w:spacing w:val="3"/>
          <w:sz w:val="17"/>
          <w:szCs w:val="17"/>
        </w:rPr>
        <w:t>础上浮动2%-5%,试题题型也可在原来基础上浮动2%-3%</w:t>
      </w:r>
    </w:p>
    <w:p w14:paraId="02057161">
      <w:pPr>
        <w:spacing w:before="69" w:line="312" w:lineRule="auto"/>
        <w:ind w:left="5" w:right="64" w:firstLine="315"/>
        <w:rPr>
          <w:rFonts w:ascii="宋体" w:hAnsi="宋体" w:eastAsia="宋体" w:cs="宋体"/>
          <w:sz w:val="17"/>
          <w:szCs w:val="17"/>
        </w:rPr>
      </w:pPr>
      <w:r>
        <w:rPr>
          <w:rFonts w:ascii="宋体" w:hAnsi="宋体" w:eastAsia="宋体" w:cs="宋体"/>
          <w:spacing w:val="-6"/>
          <w:sz w:val="17"/>
          <w:szCs w:val="17"/>
        </w:rPr>
        <w:t>《信息技术》的“图文编辑”、“数据处理”和“演</w:t>
      </w:r>
      <w:r>
        <w:rPr>
          <w:rFonts w:ascii="宋体" w:hAnsi="宋体" w:eastAsia="宋体" w:cs="宋体"/>
          <w:spacing w:val="1"/>
          <w:sz w:val="17"/>
          <w:szCs w:val="17"/>
        </w:rPr>
        <w:t xml:space="preserve"> </w:t>
      </w:r>
      <w:r>
        <w:rPr>
          <w:rFonts w:ascii="宋体" w:hAnsi="宋体" w:eastAsia="宋体" w:cs="宋体"/>
          <w:spacing w:val="-2"/>
          <w:sz w:val="17"/>
          <w:szCs w:val="17"/>
        </w:rPr>
        <w:t>示文稿”部分作为技能考试模块，不再进行理论考试。</w:t>
      </w:r>
    </w:p>
    <w:p w14:paraId="35AF90EF">
      <w:pPr>
        <w:spacing w:before="5" w:line="219" w:lineRule="auto"/>
        <w:ind w:left="405"/>
        <w:rPr>
          <w:rFonts w:ascii="宋体" w:hAnsi="宋体" w:eastAsia="宋体" w:cs="宋体"/>
          <w:sz w:val="17"/>
          <w:szCs w:val="17"/>
        </w:rPr>
      </w:pPr>
      <w:r>
        <w:rPr>
          <w:rFonts w:ascii="宋体" w:hAnsi="宋体" w:eastAsia="宋体" w:cs="宋体"/>
          <w:spacing w:val="15"/>
          <w:sz w:val="17"/>
          <w:szCs w:val="17"/>
        </w:rPr>
        <w:t>(二)考试形式</w:t>
      </w:r>
    </w:p>
    <w:p w14:paraId="37193932">
      <w:pPr>
        <w:spacing w:before="87" w:line="219" w:lineRule="auto"/>
        <w:ind w:left="405"/>
        <w:rPr>
          <w:rFonts w:ascii="宋体" w:hAnsi="宋体" w:eastAsia="宋体" w:cs="宋体"/>
          <w:sz w:val="17"/>
          <w:szCs w:val="17"/>
        </w:rPr>
      </w:pPr>
      <w:r>
        <w:rPr>
          <w:rFonts w:ascii="宋体" w:hAnsi="宋体" w:eastAsia="宋体" w:cs="宋体"/>
          <w:spacing w:val="2"/>
          <w:sz w:val="17"/>
          <w:szCs w:val="17"/>
        </w:rPr>
        <w:t>考试采用闭卷笔答形式。考试时间为150分钟。</w:t>
      </w:r>
    </w:p>
    <w:p w14:paraId="23E321B0">
      <w:pPr>
        <w:spacing w:line="219" w:lineRule="auto"/>
        <w:rPr>
          <w:rFonts w:ascii="宋体" w:hAnsi="宋体" w:eastAsia="宋体" w:cs="宋体"/>
          <w:sz w:val="17"/>
          <w:szCs w:val="17"/>
        </w:rPr>
        <w:sectPr>
          <w:type w:val="continuous"/>
          <w:pgSz w:w="10660" w:h="15080"/>
          <w:pgMar w:top="400" w:right="885" w:bottom="925" w:left="1024" w:header="0" w:footer="705" w:gutter="0"/>
          <w:cols w:equalWidth="0" w:num="2">
            <w:col w:w="4490" w:space="100"/>
            <w:col w:w="4160"/>
          </w:cols>
        </w:sectPr>
      </w:pPr>
    </w:p>
    <w:p w14:paraId="4E844462">
      <w:pPr>
        <w:spacing w:before="64"/>
      </w:pPr>
    </w:p>
    <w:p w14:paraId="4F753014">
      <w:pPr>
        <w:spacing w:before="63"/>
      </w:pPr>
    </w:p>
    <w:p w14:paraId="167788F1">
      <w:pPr>
        <w:spacing w:before="63"/>
      </w:pPr>
    </w:p>
    <w:p w14:paraId="408F606A">
      <w:pPr>
        <w:sectPr>
          <w:footerReference r:id="rId44" w:type="default"/>
          <w:pgSz w:w="10660" w:h="15080"/>
          <w:pgMar w:top="400" w:right="1034" w:bottom="936" w:left="819" w:header="0" w:footer="715" w:gutter="0"/>
          <w:cols w:equalWidth="0" w:num="1">
            <w:col w:w="8806"/>
          </w:cols>
        </w:sectPr>
      </w:pPr>
    </w:p>
    <w:p w14:paraId="270C9A28">
      <w:pPr>
        <w:spacing w:before="60" w:line="221" w:lineRule="auto"/>
        <w:ind w:left="214"/>
        <w:outlineLvl w:val="0"/>
        <w:rPr>
          <w:rFonts w:ascii="黑体" w:hAnsi="黑体" w:eastAsia="黑体" w:cs="黑体"/>
          <w:sz w:val="30"/>
          <w:szCs w:val="30"/>
        </w:rPr>
      </w:pPr>
      <w:bookmarkStart w:id="35" w:name="bookmark6"/>
      <w:bookmarkEnd w:id="35"/>
      <w:r>
        <w:rPr>
          <w:rFonts w:ascii="黑体" w:hAnsi="黑体" w:eastAsia="黑体" w:cs="黑体"/>
          <w:b/>
          <w:bCs/>
          <w:spacing w:val="-7"/>
          <w:sz w:val="30"/>
          <w:szCs w:val="30"/>
        </w:rPr>
        <w:t>土木建筑大类专业课考试纲要</w:t>
      </w:r>
    </w:p>
    <w:p w14:paraId="30DAEECE">
      <w:pPr>
        <w:pStyle w:val="2"/>
        <w:spacing w:line="362" w:lineRule="auto"/>
      </w:pPr>
    </w:p>
    <w:p w14:paraId="286C127F">
      <w:pPr>
        <w:spacing w:before="75" w:line="221" w:lineRule="auto"/>
        <w:ind w:left="53"/>
        <w:rPr>
          <w:rFonts w:ascii="黑体" w:hAnsi="黑体" w:eastAsia="黑体" w:cs="黑体"/>
          <w:sz w:val="23"/>
          <w:szCs w:val="23"/>
        </w:rPr>
      </w:pPr>
      <w:r>
        <w:rPr>
          <w:rFonts w:ascii="黑体" w:hAnsi="黑体" w:eastAsia="黑体" w:cs="黑体"/>
          <w:b/>
          <w:bCs/>
          <w:spacing w:val="-6"/>
          <w:sz w:val="23"/>
          <w:szCs w:val="23"/>
        </w:rPr>
        <w:t>一、考试范围和内容</w:t>
      </w:r>
    </w:p>
    <w:p w14:paraId="668F1CC3">
      <w:pPr>
        <w:spacing w:before="90" w:line="311" w:lineRule="auto"/>
        <w:ind w:left="49" w:right="283" w:firstLine="380"/>
        <w:jc w:val="both"/>
        <w:rPr>
          <w:rFonts w:ascii="宋体" w:hAnsi="宋体" w:eastAsia="宋体" w:cs="宋体"/>
          <w:sz w:val="17"/>
          <w:szCs w:val="17"/>
        </w:rPr>
      </w:pPr>
      <w:r>
        <w:rPr>
          <w:rFonts w:ascii="宋体" w:hAnsi="宋体" w:eastAsia="宋体" w:cs="宋体"/>
          <w:spacing w:val="-1"/>
          <w:sz w:val="17"/>
          <w:szCs w:val="17"/>
        </w:rPr>
        <w:t>本纲要以教育部颁发的中等职业学校《建筑工程施</w:t>
      </w:r>
      <w:r>
        <w:rPr>
          <w:rFonts w:ascii="宋体" w:hAnsi="宋体" w:eastAsia="宋体" w:cs="宋体"/>
          <w:spacing w:val="6"/>
          <w:sz w:val="17"/>
          <w:szCs w:val="17"/>
        </w:rPr>
        <w:t xml:space="preserve">  </w:t>
      </w:r>
      <w:r>
        <w:rPr>
          <w:rFonts w:ascii="宋体" w:hAnsi="宋体" w:eastAsia="宋体" w:cs="宋体"/>
          <w:spacing w:val="2"/>
          <w:sz w:val="17"/>
          <w:szCs w:val="17"/>
        </w:rPr>
        <w:t xml:space="preserve">工专业教学指导方案》为依据，考试范围取自高等教育  </w:t>
      </w:r>
      <w:r>
        <w:rPr>
          <w:rFonts w:ascii="黑体" w:hAnsi="黑体" w:eastAsia="黑体" w:cs="黑体"/>
          <w:spacing w:val="-1"/>
          <w:sz w:val="17"/>
          <w:szCs w:val="17"/>
        </w:rPr>
        <w:t>出版社的中等职业教育国家规划教材《建筑识图与构造》</w:t>
      </w:r>
      <w:r>
        <w:rPr>
          <w:rFonts w:ascii="黑体" w:hAnsi="黑体" w:eastAsia="黑体" w:cs="黑体"/>
          <w:spacing w:val="5"/>
          <w:sz w:val="17"/>
          <w:szCs w:val="17"/>
        </w:rPr>
        <w:t xml:space="preserve"> </w:t>
      </w:r>
      <w:r>
        <w:rPr>
          <w:rFonts w:ascii="宋体" w:hAnsi="宋体" w:eastAsia="宋体" w:cs="宋体"/>
          <w:spacing w:val="17"/>
          <w:sz w:val="17"/>
          <w:szCs w:val="17"/>
        </w:rPr>
        <w:t>(第三版)、《建筑施工工艺》(第三版)、《建</w:t>
      </w:r>
      <w:r>
        <w:rPr>
          <w:rFonts w:ascii="宋体" w:hAnsi="宋体" w:eastAsia="宋体" w:cs="宋体"/>
          <w:spacing w:val="16"/>
          <w:sz w:val="17"/>
          <w:szCs w:val="17"/>
        </w:rPr>
        <w:t>筑装</w:t>
      </w:r>
      <w:r>
        <w:rPr>
          <w:rFonts w:ascii="宋体" w:hAnsi="宋体" w:eastAsia="宋体" w:cs="宋体"/>
          <w:sz w:val="17"/>
          <w:szCs w:val="17"/>
        </w:rPr>
        <w:t xml:space="preserve">  </w:t>
      </w:r>
      <w:r>
        <w:rPr>
          <w:rFonts w:ascii="宋体" w:hAnsi="宋体" w:eastAsia="宋体" w:cs="宋体"/>
          <w:spacing w:val="5"/>
          <w:sz w:val="17"/>
          <w:szCs w:val="17"/>
        </w:rPr>
        <w:t>饰施工技术》(第二版),《建筑识图与构造》内容主要</w:t>
      </w:r>
      <w:r>
        <w:rPr>
          <w:rFonts w:ascii="宋体" w:hAnsi="宋体" w:eastAsia="宋体" w:cs="宋体"/>
          <w:spacing w:val="3"/>
          <w:sz w:val="17"/>
          <w:szCs w:val="17"/>
        </w:rPr>
        <w:t xml:space="preserve">  </w:t>
      </w:r>
      <w:r>
        <w:rPr>
          <w:rFonts w:ascii="宋体" w:hAnsi="宋体" w:eastAsia="宋体" w:cs="宋体"/>
          <w:spacing w:val="-8"/>
          <w:sz w:val="17"/>
          <w:szCs w:val="17"/>
        </w:rPr>
        <w:t>由制图基本知识、投影图、建筑构造概述、基础与地下室、</w:t>
      </w:r>
      <w:r>
        <w:rPr>
          <w:rFonts w:ascii="宋体" w:hAnsi="宋体" w:eastAsia="宋体" w:cs="宋体"/>
          <w:spacing w:val="18"/>
          <w:sz w:val="17"/>
          <w:szCs w:val="17"/>
        </w:rPr>
        <w:t xml:space="preserve"> </w:t>
      </w:r>
      <w:r>
        <w:rPr>
          <w:rFonts w:ascii="宋体" w:hAnsi="宋体" w:eastAsia="宋体" w:cs="宋体"/>
          <w:spacing w:val="2"/>
          <w:sz w:val="17"/>
          <w:szCs w:val="17"/>
        </w:rPr>
        <w:t>墙体、楼地层、门与窗、楼梯与电梯、屋顶、装配式混</w:t>
      </w:r>
      <w:r>
        <w:rPr>
          <w:rFonts w:ascii="宋体" w:hAnsi="宋体" w:eastAsia="宋体" w:cs="宋体"/>
          <w:spacing w:val="9"/>
          <w:sz w:val="17"/>
          <w:szCs w:val="17"/>
        </w:rPr>
        <w:t xml:space="preserve">  </w:t>
      </w:r>
      <w:r>
        <w:rPr>
          <w:rFonts w:ascii="宋体" w:hAnsi="宋体" w:eastAsia="宋体" w:cs="宋体"/>
          <w:spacing w:val="-1"/>
          <w:sz w:val="17"/>
          <w:szCs w:val="17"/>
        </w:rPr>
        <w:t>凝土建筑简介、建筑工程图等部分组成；</w:t>
      </w:r>
    </w:p>
    <w:p w14:paraId="3A9B9EAA">
      <w:pPr>
        <w:spacing w:before="27" w:line="309" w:lineRule="auto"/>
        <w:ind w:left="49" w:right="297" w:firstLine="365"/>
        <w:jc w:val="both"/>
        <w:rPr>
          <w:rFonts w:ascii="宋体" w:hAnsi="宋体" w:eastAsia="宋体" w:cs="宋体"/>
          <w:sz w:val="17"/>
          <w:szCs w:val="17"/>
        </w:rPr>
      </w:pPr>
      <w:r>
        <w:rPr>
          <w:rFonts w:ascii="宋体" w:hAnsi="宋体" w:eastAsia="宋体" w:cs="宋体"/>
          <w:spacing w:val="1"/>
          <w:sz w:val="17"/>
          <w:szCs w:val="17"/>
        </w:rPr>
        <w:t>《建筑施工工艺》内容主要由砌筑施工工艺、抹灰</w:t>
      </w:r>
      <w:r>
        <w:rPr>
          <w:rFonts w:ascii="宋体" w:hAnsi="宋体" w:eastAsia="宋体" w:cs="宋体"/>
          <w:spacing w:val="5"/>
          <w:sz w:val="17"/>
          <w:szCs w:val="17"/>
        </w:rPr>
        <w:t xml:space="preserve">  </w:t>
      </w:r>
      <w:r>
        <w:rPr>
          <w:rFonts w:ascii="宋体" w:hAnsi="宋体" w:eastAsia="宋体" w:cs="宋体"/>
          <w:spacing w:val="2"/>
          <w:sz w:val="17"/>
          <w:szCs w:val="17"/>
        </w:rPr>
        <w:t>施工工艺、钢筋施工工艺、模板施工工艺、混凝土施工</w:t>
      </w:r>
      <w:r>
        <w:rPr>
          <w:rFonts w:ascii="宋体" w:hAnsi="宋体" w:eastAsia="宋体" w:cs="宋体"/>
          <w:sz w:val="17"/>
          <w:szCs w:val="17"/>
        </w:rPr>
        <w:t xml:space="preserve">  </w:t>
      </w:r>
      <w:r>
        <w:rPr>
          <w:rFonts w:ascii="宋体" w:hAnsi="宋体" w:eastAsia="宋体" w:cs="宋体"/>
          <w:spacing w:val="2"/>
          <w:sz w:val="17"/>
          <w:szCs w:val="17"/>
        </w:rPr>
        <w:t>工艺等部分组成；《建筑装饰施工技术》内容主</w:t>
      </w:r>
      <w:r>
        <w:rPr>
          <w:rFonts w:ascii="宋体" w:hAnsi="宋体" w:eastAsia="宋体" w:cs="宋体"/>
          <w:spacing w:val="1"/>
          <w:sz w:val="17"/>
          <w:szCs w:val="17"/>
        </w:rPr>
        <w:t>要由轻</w:t>
      </w:r>
      <w:r>
        <w:rPr>
          <w:rFonts w:ascii="宋体" w:hAnsi="宋体" w:eastAsia="宋体" w:cs="宋体"/>
          <w:sz w:val="17"/>
          <w:szCs w:val="17"/>
        </w:rPr>
        <w:t xml:space="preserve">  </w:t>
      </w:r>
      <w:r>
        <w:rPr>
          <w:rFonts w:ascii="宋体" w:hAnsi="宋体" w:eastAsia="宋体" w:cs="宋体"/>
          <w:spacing w:val="-1"/>
          <w:sz w:val="17"/>
          <w:szCs w:val="17"/>
        </w:rPr>
        <w:t>质隔墙(断)工程、吊顶工程、墙饰面工程</w:t>
      </w:r>
      <w:r>
        <w:rPr>
          <w:rFonts w:ascii="宋体" w:hAnsi="宋体" w:eastAsia="宋体" w:cs="宋体"/>
          <w:spacing w:val="-2"/>
          <w:sz w:val="17"/>
          <w:szCs w:val="17"/>
        </w:rPr>
        <w:t>、楼地面工程、</w:t>
      </w:r>
      <w:r>
        <w:rPr>
          <w:rFonts w:ascii="宋体" w:hAnsi="宋体" w:eastAsia="宋体" w:cs="宋体"/>
          <w:sz w:val="17"/>
          <w:szCs w:val="17"/>
        </w:rPr>
        <w:t xml:space="preserve"> </w:t>
      </w:r>
      <w:r>
        <w:rPr>
          <w:rFonts w:ascii="宋体" w:hAnsi="宋体" w:eastAsia="宋体" w:cs="宋体"/>
          <w:spacing w:val="-1"/>
          <w:sz w:val="17"/>
          <w:szCs w:val="17"/>
        </w:rPr>
        <w:t>门窗工程、玻璃幕墙工程等部分组成。</w:t>
      </w:r>
    </w:p>
    <w:p w14:paraId="18911A55">
      <w:pPr>
        <w:spacing w:before="23" w:line="221" w:lineRule="auto"/>
        <w:ind w:left="53"/>
        <w:rPr>
          <w:rFonts w:ascii="黑体" w:hAnsi="黑体" w:eastAsia="黑体" w:cs="黑体"/>
          <w:sz w:val="23"/>
          <w:szCs w:val="23"/>
        </w:rPr>
      </w:pPr>
      <w:r>
        <w:rPr>
          <w:rFonts w:ascii="黑体" w:hAnsi="黑体" w:eastAsia="黑体" w:cs="黑体"/>
          <w:b/>
          <w:bCs/>
          <w:spacing w:val="-5"/>
          <w:sz w:val="23"/>
          <w:szCs w:val="23"/>
        </w:rPr>
        <w:t>二、考试目标和水平层次</w:t>
      </w:r>
    </w:p>
    <w:p w14:paraId="247918F9">
      <w:pPr>
        <w:spacing w:before="87" w:line="313" w:lineRule="auto"/>
        <w:ind w:left="49" w:right="402" w:firstLine="380"/>
        <w:rPr>
          <w:rFonts w:ascii="宋体" w:hAnsi="宋体" w:eastAsia="宋体" w:cs="宋体"/>
          <w:sz w:val="17"/>
          <w:szCs w:val="17"/>
        </w:rPr>
      </w:pPr>
      <w:r>
        <w:rPr>
          <w:rFonts w:ascii="宋体" w:hAnsi="宋体" w:eastAsia="宋体" w:cs="宋体"/>
          <w:spacing w:val="-1"/>
          <w:sz w:val="17"/>
          <w:szCs w:val="17"/>
        </w:rPr>
        <w:t>本纲要以章为序，考试目标由知识与技能要点、考</w:t>
      </w:r>
      <w:r>
        <w:rPr>
          <w:rFonts w:ascii="宋体" w:hAnsi="宋体" w:eastAsia="宋体" w:cs="宋体"/>
          <w:spacing w:val="13"/>
          <w:sz w:val="17"/>
          <w:szCs w:val="17"/>
        </w:rPr>
        <w:t xml:space="preserve"> </w:t>
      </w:r>
      <w:r>
        <w:rPr>
          <w:rFonts w:ascii="宋体" w:hAnsi="宋体" w:eastAsia="宋体" w:cs="宋体"/>
          <w:sz w:val="17"/>
          <w:szCs w:val="17"/>
        </w:rPr>
        <w:t>试条目和考试水平三部分组成。</w:t>
      </w:r>
    </w:p>
    <w:p w14:paraId="621B6CCF">
      <w:pPr>
        <w:spacing w:before="22" w:line="295" w:lineRule="auto"/>
        <w:ind w:left="49" w:right="341" w:firstLine="405"/>
        <w:rPr>
          <w:rFonts w:ascii="宋体" w:hAnsi="宋体" w:eastAsia="宋体" w:cs="宋体"/>
          <w:sz w:val="17"/>
          <w:szCs w:val="17"/>
        </w:rPr>
      </w:pPr>
      <w:r>
        <w:rPr>
          <w:rFonts w:ascii="宋体" w:hAnsi="宋体" w:eastAsia="宋体" w:cs="宋体"/>
          <w:spacing w:val="1"/>
          <w:sz w:val="17"/>
          <w:szCs w:val="17"/>
        </w:rPr>
        <w:t>“知识与技能要点”是考试应知应会的基本知识和</w:t>
      </w:r>
      <w:r>
        <w:rPr>
          <w:rFonts w:ascii="宋体" w:hAnsi="宋体" w:eastAsia="宋体" w:cs="宋体"/>
          <w:spacing w:val="5"/>
          <w:sz w:val="17"/>
          <w:szCs w:val="17"/>
        </w:rPr>
        <w:t xml:space="preserve"> </w:t>
      </w:r>
      <w:r>
        <w:rPr>
          <w:rFonts w:ascii="黑体" w:hAnsi="黑体" w:eastAsia="黑体" w:cs="黑体"/>
          <w:spacing w:val="-11"/>
          <w:sz w:val="17"/>
          <w:szCs w:val="17"/>
        </w:rPr>
        <w:t>基本技能。“考试条目”是知识与技能要点的细化，“考试</w:t>
      </w:r>
      <w:r>
        <w:rPr>
          <w:rFonts w:ascii="黑体" w:hAnsi="黑体" w:eastAsia="黑体" w:cs="黑体"/>
          <w:spacing w:val="12"/>
          <w:sz w:val="17"/>
          <w:szCs w:val="17"/>
        </w:rPr>
        <w:t xml:space="preserve"> </w:t>
      </w:r>
      <w:r>
        <w:rPr>
          <w:rFonts w:ascii="宋体" w:hAnsi="宋体" w:eastAsia="宋体" w:cs="宋体"/>
          <w:spacing w:val="-3"/>
          <w:sz w:val="17"/>
          <w:szCs w:val="17"/>
        </w:rPr>
        <w:t>水平”是对考试条目的界定要求。</w:t>
      </w:r>
    </w:p>
    <w:p w14:paraId="1C829FE2">
      <w:pPr>
        <w:spacing w:before="46" w:line="287" w:lineRule="auto"/>
        <w:ind w:left="49" w:right="390" w:firstLine="380"/>
        <w:rPr>
          <w:rFonts w:ascii="宋体" w:hAnsi="宋体" w:eastAsia="宋体" w:cs="宋体"/>
          <w:sz w:val="17"/>
          <w:szCs w:val="17"/>
        </w:rPr>
      </w:pPr>
      <w:r>
        <w:rPr>
          <w:rFonts w:ascii="宋体" w:hAnsi="宋体" w:eastAsia="宋体" w:cs="宋体"/>
          <w:spacing w:val="-10"/>
          <w:sz w:val="17"/>
          <w:szCs w:val="17"/>
        </w:rPr>
        <w:t>考试水平分为四个层次：A ( 识</w:t>
      </w:r>
      <w:r>
        <w:rPr>
          <w:rFonts w:ascii="宋体" w:hAnsi="宋体" w:eastAsia="宋体" w:cs="宋体"/>
          <w:spacing w:val="-30"/>
          <w:sz w:val="17"/>
          <w:szCs w:val="17"/>
        </w:rPr>
        <w:t xml:space="preserve"> </w:t>
      </w:r>
      <w:r>
        <w:rPr>
          <w:rFonts w:ascii="宋体" w:hAnsi="宋体" w:eastAsia="宋体" w:cs="宋体"/>
          <w:spacing w:val="-10"/>
          <w:sz w:val="17"/>
          <w:szCs w:val="17"/>
        </w:rPr>
        <w:t>记</w:t>
      </w:r>
      <w:r>
        <w:rPr>
          <w:rFonts w:ascii="宋体" w:hAnsi="宋体" w:eastAsia="宋体" w:cs="宋体"/>
          <w:spacing w:val="-29"/>
          <w:sz w:val="17"/>
          <w:szCs w:val="17"/>
        </w:rPr>
        <w:t xml:space="preserve"> </w:t>
      </w:r>
      <w:r>
        <w:rPr>
          <w:rFonts w:ascii="宋体" w:hAnsi="宋体" w:eastAsia="宋体" w:cs="宋体"/>
          <w:spacing w:val="-10"/>
          <w:sz w:val="17"/>
          <w:szCs w:val="17"/>
        </w:rPr>
        <w:t>)</w:t>
      </w:r>
      <w:r>
        <w:rPr>
          <w:rFonts w:ascii="宋体" w:hAnsi="宋体" w:eastAsia="宋体" w:cs="宋体"/>
          <w:spacing w:val="-36"/>
          <w:sz w:val="17"/>
          <w:szCs w:val="17"/>
        </w:rPr>
        <w:t xml:space="preserve"> </w:t>
      </w:r>
      <w:r>
        <w:rPr>
          <w:rFonts w:ascii="宋体" w:hAnsi="宋体" w:eastAsia="宋体" w:cs="宋体"/>
          <w:spacing w:val="-10"/>
          <w:sz w:val="17"/>
          <w:szCs w:val="17"/>
        </w:rPr>
        <w:t>、B (</w:t>
      </w:r>
      <w:r>
        <w:rPr>
          <w:rFonts w:ascii="宋体" w:hAnsi="宋体" w:eastAsia="宋体" w:cs="宋体"/>
          <w:spacing w:val="-34"/>
          <w:sz w:val="17"/>
          <w:szCs w:val="17"/>
        </w:rPr>
        <w:t xml:space="preserve"> </w:t>
      </w:r>
      <w:r>
        <w:rPr>
          <w:rFonts w:ascii="宋体" w:hAnsi="宋体" w:eastAsia="宋体" w:cs="宋体"/>
          <w:spacing w:val="-10"/>
          <w:sz w:val="17"/>
          <w:szCs w:val="17"/>
        </w:rPr>
        <w:t>理</w:t>
      </w:r>
      <w:r>
        <w:rPr>
          <w:rFonts w:ascii="宋体" w:hAnsi="宋体" w:eastAsia="宋体" w:cs="宋体"/>
          <w:spacing w:val="-38"/>
          <w:sz w:val="17"/>
          <w:szCs w:val="17"/>
        </w:rPr>
        <w:t xml:space="preserve"> </w:t>
      </w:r>
      <w:r>
        <w:rPr>
          <w:rFonts w:ascii="宋体" w:hAnsi="宋体" w:eastAsia="宋体" w:cs="宋体"/>
          <w:spacing w:val="-10"/>
          <w:sz w:val="17"/>
          <w:szCs w:val="17"/>
        </w:rPr>
        <w:t>解</w:t>
      </w:r>
      <w:r>
        <w:rPr>
          <w:rFonts w:ascii="宋体" w:hAnsi="宋体" w:eastAsia="宋体" w:cs="宋体"/>
          <w:spacing w:val="-36"/>
          <w:sz w:val="17"/>
          <w:szCs w:val="17"/>
        </w:rPr>
        <w:t xml:space="preserve"> </w:t>
      </w:r>
      <w:r>
        <w:rPr>
          <w:rFonts w:ascii="宋体" w:hAnsi="宋体" w:eastAsia="宋体" w:cs="宋体"/>
          <w:spacing w:val="-10"/>
          <w:sz w:val="17"/>
          <w:szCs w:val="17"/>
        </w:rPr>
        <w:t>)</w:t>
      </w:r>
      <w:r>
        <w:rPr>
          <w:rFonts w:ascii="宋体" w:hAnsi="宋体" w:eastAsia="宋体" w:cs="宋体"/>
          <w:spacing w:val="-43"/>
          <w:sz w:val="17"/>
          <w:szCs w:val="17"/>
        </w:rPr>
        <w:t xml:space="preserve"> </w:t>
      </w:r>
      <w:r>
        <w:rPr>
          <w:rFonts w:ascii="宋体" w:hAnsi="宋体" w:eastAsia="宋体" w:cs="宋体"/>
          <w:spacing w:val="-10"/>
          <w:sz w:val="17"/>
          <w:szCs w:val="17"/>
        </w:rPr>
        <w:t>、</w:t>
      </w:r>
      <w:r>
        <w:rPr>
          <w:rFonts w:ascii="宋体" w:hAnsi="宋体" w:eastAsia="宋体" w:cs="宋体"/>
          <w:sz w:val="17"/>
          <w:szCs w:val="17"/>
        </w:rPr>
        <w:t xml:space="preserve"> </w:t>
      </w:r>
      <w:r>
        <w:rPr>
          <w:rFonts w:ascii="Times New Roman" w:hAnsi="Times New Roman" w:eastAsia="Times New Roman" w:cs="Times New Roman"/>
          <w:spacing w:val="5"/>
          <w:sz w:val="17"/>
          <w:szCs w:val="17"/>
        </w:rPr>
        <w:t>C</w:t>
      </w:r>
      <w:r>
        <w:rPr>
          <w:rFonts w:ascii="Times New Roman" w:hAnsi="Times New Roman" w:eastAsia="Times New Roman" w:cs="Times New Roman"/>
          <w:spacing w:val="29"/>
          <w:sz w:val="17"/>
          <w:szCs w:val="17"/>
        </w:rPr>
        <w:t xml:space="preserve"> </w:t>
      </w:r>
      <w:r>
        <w:rPr>
          <w:rFonts w:ascii="宋体" w:hAnsi="宋体" w:eastAsia="宋体" w:cs="宋体"/>
          <w:spacing w:val="5"/>
          <w:sz w:val="17"/>
          <w:szCs w:val="17"/>
        </w:rPr>
        <w:t>(</w:t>
      </w:r>
      <w:r>
        <w:rPr>
          <w:rFonts w:ascii="宋体" w:hAnsi="宋体" w:eastAsia="宋体" w:cs="宋体"/>
          <w:spacing w:val="-28"/>
          <w:sz w:val="17"/>
          <w:szCs w:val="17"/>
        </w:rPr>
        <w:t xml:space="preserve"> </w:t>
      </w:r>
      <w:r>
        <w:rPr>
          <w:rFonts w:ascii="宋体" w:hAnsi="宋体" w:eastAsia="宋体" w:cs="宋体"/>
          <w:spacing w:val="5"/>
          <w:sz w:val="17"/>
          <w:szCs w:val="17"/>
        </w:rPr>
        <w:t>掌</w:t>
      </w:r>
      <w:r>
        <w:rPr>
          <w:rFonts w:ascii="宋体" w:hAnsi="宋体" w:eastAsia="宋体" w:cs="宋体"/>
          <w:spacing w:val="-31"/>
          <w:sz w:val="17"/>
          <w:szCs w:val="17"/>
        </w:rPr>
        <w:t xml:space="preserve"> </w:t>
      </w:r>
      <w:r>
        <w:rPr>
          <w:rFonts w:ascii="宋体" w:hAnsi="宋体" w:eastAsia="宋体" w:cs="宋体"/>
          <w:spacing w:val="5"/>
          <w:sz w:val="17"/>
          <w:szCs w:val="17"/>
        </w:rPr>
        <w:t>握</w:t>
      </w:r>
      <w:r>
        <w:rPr>
          <w:rFonts w:ascii="宋体" w:hAnsi="宋体" w:eastAsia="宋体" w:cs="宋体"/>
          <w:spacing w:val="-32"/>
          <w:sz w:val="17"/>
          <w:szCs w:val="17"/>
        </w:rPr>
        <w:t xml:space="preserve"> </w:t>
      </w:r>
      <w:r>
        <w:rPr>
          <w:rFonts w:ascii="宋体" w:hAnsi="宋体" w:eastAsia="宋体" w:cs="宋体"/>
          <w:spacing w:val="5"/>
          <w:sz w:val="17"/>
          <w:szCs w:val="17"/>
        </w:rPr>
        <w:t>)</w:t>
      </w:r>
      <w:r>
        <w:rPr>
          <w:rFonts w:ascii="宋体" w:hAnsi="宋体" w:eastAsia="宋体" w:cs="宋体"/>
          <w:spacing w:val="-38"/>
          <w:sz w:val="17"/>
          <w:szCs w:val="17"/>
        </w:rPr>
        <w:t xml:space="preserve"> </w:t>
      </w:r>
      <w:r>
        <w:rPr>
          <w:rFonts w:ascii="宋体" w:hAnsi="宋体" w:eastAsia="宋体" w:cs="宋体"/>
          <w:spacing w:val="5"/>
          <w:sz w:val="17"/>
          <w:szCs w:val="17"/>
        </w:rPr>
        <w:t>、</w:t>
      </w:r>
      <w:r>
        <w:rPr>
          <w:rFonts w:ascii="Times New Roman" w:hAnsi="Times New Roman" w:eastAsia="Times New Roman" w:cs="Times New Roman"/>
          <w:spacing w:val="5"/>
          <w:sz w:val="17"/>
          <w:szCs w:val="17"/>
        </w:rPr>
        <w:t>D</w:t>
      </w:r>
      <w:r>
        <w:rPr>
          <w:rFonts w:ascii="宋体" w:hAnsi="宋体" w:eastAsia="宋体" w:cs="宋体"/>
          <w:spacing w:val="5"/>
          <w:sz w:val="17"/>
          <w:szCs w:val="17"/>
        </w:rPr>
        <w:t>(综合运用),其基本含义如下：</w:t>
      </w:r>
    </w:p>
    <w:p w14:paraId="12685F81">
      <w:pPr>
        <w:spacing w:before="63" w:line="297" w:lineRule="auto"/>
        <w:ind w:left="45" w:right="309" w:firstLine="384"/>
        <w:rPr>
          <w:rFonts w:ascii="宋体" w:hAnsi="宋体" w:eastAsia="宋体" w:cs="宋体"/>
          <w:sz w:val="17"/>
          <w:szCs w:val="17"/>
        </w:rPr>
      </w:pPr>
      <w:r>
        <w:rPr>
          <w:rFonts w:ascii="Times New Roman" w:hAnsi="Times New Roman" w:eastAsia="Times New Roman" w:cs="Times New Roman"/>
          <w:spacing w:val="6"/>
          <w:sz w:val="17"/>
          <w:szCs w:val="17"/>
        </w:rPr>
        <w:t>A</w:t>
      </w:r>
      <w:r>
        <w:rPr>
          <w:rFonts w:ascii="宋体" w:hAnsi="宋体" w:eastAsia="宋体" w:cs="宋体"/>
          <w:spacing w:val="6"/>
          <w:sz w:val="17"/>
          <w:szCs w:val="17"/>
        </w:rPr>
        <w:t>(识记):指对知识的识别和记忆，正确地回</w:t>
      </w:r>
      <w:r>
        <w:rPr>
          <w:rFonts w:ascii="宋体" w:hAnsi="宋体" w:eastAsia="宋体" w:cs="宋体"/>
          <w:spacing w:val="5"/>
          <w:sz w:val="17"/>
          <w:szCs w:val="17"/>
        </w:rPr>
        <w:t>忆、</w:t>
      </w:r>
      <w:r>
        <w:rPr>
          <w:rFonts w:ascii="宋体" w:hAnsi="宋体" w:eastAsia="宋体" w:cs="宋体"/>
          <w:sz w:val="17"/>
          <w:szCs w:val="17"/>
        </w:rPr>
        <w:t xml:space="preserve">  </w:t>
      </w:r>
      <w:r>
        <w:rPr>
          <w:rFonts w:ascii="宋体" w:hAnsi="宋体" w:eastAsia="宋体" w:cs="宋体"/>
          <w:spacing w:val="-14"/>
          <w:sz w:val="17"/>
          <w:szCs w:val="17"/>
        </w:rPr>
        <w:t>再认、再现学过的《建筑识图与构造》、《建筑施工工</w:t>
      </w:r>
      <w:r>
        <w:rPr>
          <w:rFonts w:ascii="宋体" w:hAnsi="宋体" w:eastAsia="宋体" w:cs="宋体"/>
          <w:spacing w:val="-15"/>
          <w:sz w:val="17"/>
          <w:szCs w:val="17"/>
        </w:rPr>
        <w:t>艺》、</w:t>
      </w:r>
      <w:r>
        <w:rPr>
          <w:rFonts w:ascii="宋体" w:hAnsi="宋体" w:eastAsia="宋体" w:cs="宋体"/>
          <w:sz w:val="17"/>
          <w:szCs w:val="17"/>
        </w:rPr>
        <w:t xml:space="preserve"> </w:t>
      </w:r>
      <w:r>
        <w:rPr>
          <w:rFonts w:ascii="宋体" w:hAnsi="宋体" w:eastAsia="宋体" w:cs="宋体"/>
          <w:spacing w:val="2"/>
          <w:sz w:val="17"/>
          <w:szCs w:val="17"/>
        </w:rPr>
        <w:t>《建筑装饰施工技术》的基础知识。即在记忆的基础上</w:t>
      </w:r>
      <w:r>
        <w:rPr>
          <w:rFonts w:ascii="宋体" w:hAnsi="宋体" w:eastAsia="宋体" w:cs="宋体"/>
          <w:spacing w:val="7"/>
          <w:sz w:val="17"/>
          <w:szCs w:val="17"/>
        </w:rPr>
        <w:t xml:space="preserve">  </w:t>
      </w:r>
      <w:r>
        <w:rPr>
          <w:rFonts w:ascii="宋体" w:hAnsi="宋体" w:eastAsia="宋体" w:cs="宋体"/>
          <w:spacing w:val="-3"/>
          <w:sz w:val="17"/>
          <w:szCs w:val="17"/>
        </w:rPr>
        <w:t>考核考生的学习结果。</w:t>
      </w:r>
    </w:p>
    <w:p w14:paraId="74427213">
      <w:pPr>
        <w:spacing w:before="67" w:line="297" w:lineRule="auto"/>
        <w:ind w:left="49" w:right="277" w:firstLine="380"/>
        <w:jc w:val="both"/>
        <w:rPr>
          <w:rFonts w:ascii="宋体" w:hAnsi="宋体" w:eastAsia="宋体" w:cs="宋体"/>
          <w:sz w:val="17"/>
          <w:szCs w:val="17"/>
        </w:rPr>
      </w:pPr>
      <w:r>
        <w:rPr>
          <w:rFonts w:ascii="Times New Roman" w:hAnsi="Times New Roman" w:eastAsia="Times New Roman" w:cs="Times New Roman"/>
          <w:spacing w:val="11"/>
          <w:sz w:val="17"/>
          <w:szCs w:val="17"/>
        </w:rPr>
        <w:t>B</w:t>
      </w:r>
      <w:r>
        <w:rPr>
          <w:rFonts w:ascii="宋体" w:hAnsi="宋体" w:eastAsia="宋体" w:cs="宋体"/>
          <w:spacing w:val="11"/>
          <w:sz w:val="17"/>
          <w:szCs w:val="17"/>
        </w:rPr>
        <w:t>(理解):是对知识的进一步认识，除了“识记”</w:t>
      </w:r>
      <w:r>
        <w:rPr>
          <w:rFonts w:ascii="宋体" w:hAnsi="宋体" w:eastAsia="宋体" w:cs="宋体"/>
          <w:spacing w:val="4"/>
          <w:sz w:val="17"/>
          <w:szCs w:val="17"/>
        </w:rPr>
        <w:t xml:space="preserve"> </w:t>
      </w:r>
      <w:r>
        <w:rPr>
          <w:rFonts w:ascii="宋体" w:hAnsi="宋体" w:eastAsia="宋体" w:cs="宋体"/>
          <w:spacing w:val="2"/>
          <w:sz w:val="17"/>
          <w:szCs w:val="17"/>
        </w:rPr>
        <w:t>的要求外，还应了解所学知识的确切含义以及与其</w:t>
      </w:r>
      <w:r>
        <w:rPr>
          <w:rFonts w:ascii="宋体" w:hAnsi="宋体" w:eastAsia="宋体" w:cs="宋体"/>
          <w:spacing w:val="1"/>
          <w:sz w:val="17"/>
          <w:szCs w:val="17"/>
        </w:rPr>
        <w:t>相关</w:t>
      </w:r>
      <w:r>
        <w:rPr>
          <w:rFonts w:ascii="宋体" w:hAnsi="宋体" w:eastAsia="宋体" w:cs="宋体"/>
          <w:sz w:val="17"/>
          <w:szCs w:val="17"/>
        </w:rPr>
        <w:t xml:space="preserve">  </w:t>
      </w:r>
      <w:r>
        <w:rPr>
          <w:rFonts w:ascii="宋体" w:hAnsi="宋体" w:eastAsia="宋体" w:cs="宋体"/>
          <w:spacing w:val="10"/>
          <w:sz w:val="17"/>
          <w:szCs w:val="17"/>
        </w:rPr>
        <w:t>知识的内在联系。即要求考生能领会所学知识的</w:t>
      </w:r>
      <w:r>
        <w:rPr>
          <w:rFonts w:ascii="宋体" w:hAnsi="宋体" w:eastAsia="宋体" w:cs="宋体"/>
          <w:spacing w:val="9"/>
          <w:sz w:val="17"/>
          <w:szCs w:val="17"/>
        </w:rPr>
        <w:t>实质</w:t>
      </w:r>
      <w:r>
        <w:rPr>
          <w:rFonts w:ascii="宋体" w:hAnsi="宋体" w:eastAsia="宋体" w:cs="宋体"/>
          <w:sz w:val="17"/>
          <w:szCs w:val="17"/>
        </w:rPr>
        <w:t xml:space="preserve">  </w:t>
      </w:r>
      <w:r>
        <w:rPr>
          <w:rFonts w:ascii="宋体" w:hAnsi="宋体" w:eastAsia="宋体" w:cs="宋体"/>
          <w:spacing w:val="-7"/>
          <w:sz w:val="17"/>
          <w:szCs w:val="17"/>
        </w:rPr>
        <w:t>含义。</w:t>
      </w:r>
    </w:p>
    <w:p w14:paraId="432F797B">
      <w:pPr>
        <w:spacing w:before="44" w:line="306" w:lineRule="auto"/>
        <w:ind w:left="49" w:right="388" w:firstLine="380"/>
        <w:jc w:val="both"/>
        <w:rPr>
          <w:rFonts w:ascii="宋体" w:hAnsi="宋体" w:eastAsia="宋体" w:cs="宋体"/>
          <w:sz w:val="17"/>
          <w:szCs w:val="17"/>
        </w:rPr>
      </w:pPr>
      <w:r>
        <w:rPr>
          <w:rFonts w:ascii="Times New Roman" w:hAnsi="Times New Roman" w:eastAsia="Times New Roman" w:cs="Times New Roman"/>
          <w:spacing w:val="14"/>
          <w:sz w:val="17"/>
          <w:szCs w:val="17"/>
        </w:rPr>
        <w:t>C</w:t>
      </w:r>
      <w:r>
        <w:rPr>
          <w:rFonts w:ascii="宋体" w:hAnsi="宋体" w:eastAsia="宋体" w:cs="宋体"/>
          <w:spacing w:val="14"/>
          <w:sz w:val="17"/>
          <w:szCs w:val="17"/>
        </w:rPr>
        <w:t>(掌握):在理解的基础上，用所学的知识及方</w:t>
      </w:r>
      <w:r>
        <w:rPr>
          <w:rFonts w:ascii="宋体" w:hAnsi="宋体" w:eastAsia="宋体" w:cs="宋体"/>
          <w:spacing w:val="9"/>
          <w:sz w:val="17"/>
          <w:szCs w:val="17"/>
        </w:rPr>
        <w:t xml:space="preserve"> </w:t>
      </w:r>
      <w:r>
        <w:rPr>
          <w:rFonts w:ascii="宋体" w:hAnsi="宋体" w:eastAsia="宋体" w:cs="宋体"/>
          <w:spacing w:val="2"/>
          <w:sz w:val="17"/>
          <w:szCs w:val="17"/>
        </w:rPr>
        <w:t>法解决施工过程中经常出现的一些问题。即考核</w:t>
      </w:r>
      <w:r>
        <w:rPr>
          <w:rFonts w:ascii="宋体" w:hAnsi="宋体" w:eastAsia="宋体" w:cs="宋体"/>
          <w:spacing w:val="1"/>
          <w:sz w:val="17"/>
          <w:szCs w:val="17"/>
        </w:rPr>
        <w:t>考生解</w:t>
      </w:r>
      <w:r>
        <w:rPr>
          <w:rFonts w:ascii="宋体" w:hAnsi="宋体" w:eastAsia="宋体" w:cs="宋体"/>
          <w:sz w:val="17"/>
          <w:szCs w:val="17"/>
        </w:rPr>
        <w:t xml:space="preserve"> </w:t>
      </w:r>
      <w:r>
        <w:rPr>
          <w:rFonts w:ascii="宋体" w:hAnsi="宋体" w:eastAsia="宋体" w:cs="宋体"/>
          <w:spacing w:val="-2"/>
          <w:sz w:val="17"/>
          <w:szCs w:val="17"/>
        </w:rPr>
        <w:t>决实际问题的初步能力。</w:t>
      </w:r>
    </w:p>
    <w:p w14:paraId="14D9655F">
      <w:pPr>
        <w:spacing w:before="22" w:line="311" w:lineRule="auto"/>
        <w:ind w:left="49" w:right="354" w:firstLine="380"/>
        <w:jc w:val="both"/>
        <w:rPr>
          <w:rFonts w:ascii="宋体" w:hAnsi="宋体" w:eastAsia="宋体" w:cs="宋体"/>
          <w:sz w:val="17"/>
          <w:szCs w:val="17"/>
        </w:rPr>
      </w:pPr>
      <w:r>
        <w:rPr>
          <w:rFonts w:ascii="Times New Roman" w:hAnsi="Times New Roman" w:eastAsia="Times New Roman" w:cs="Times New Roman"/>
          <w:spacing w:val="15"/>
          <w:sz w:val="17"/>
          <w:szCs w:val="17"/>
        </w:rPr>
        <w:t>D</w:t>
      </w:r>
      <w:r>
        <w:rPr>
          <w:rFonts w:ascii="宋体" w:hAnsi="宋体" w:eastAsia="宋体" w:cs="宋体"/>
          <w:spacing w:val="15"/>
          <w:sz w:val="17"/>
          <w:szCs w:val="17"/>
        </w:rPr>
        <w:t>(综合运用):考查考生对所学知识的综合运用</w:t>
      </w:r>
      <w:r>
        <w:rPr>
          <w:rFonts w:ascii="宋体" w:hAnsi="宋体" w:eastAsia="宋体" w:cs="宋体"/>
          <w:spacing w:val="11"/>
          <w:sz w:val="17"/>
          <w:szCs w:val="17"/>
        </w:rPr>
        <w:t xml:space="preserve"> </w:t>
      </w:r>
      <w:r>
        <w:rPr>
          <w:rFonts w:ascii="宋体" w:hAnsi="宋体" w:eastAsia="宋体" w:cs="宋体"/>
          <w:spacing w:val="2"/>
          <w:sz w:val="17"/>
          <w:szCs w:val="17"/>
        </w:rPr>
        <w:t>能力。即要求考生能够灵活运用所学施工技术分析、判</w:t>
      </w:r>
      <w:r>
        <w:rPr>
          <w:rFonts w:ascii="宋体" w:hAnsi="宋体" w:eastAsia="宋体" w:cs="宋体"/>
          <w:spacing w:val="3"/>
          <w:sz w:val="17"/>
          <w:szCs w:val="17"/>
        </w:rPr>
        <w:t xml:space="preserve"> </w:t>
      </w:r>
      <w:r>
        <w:rPr>
          <w:rFonts w:ascii="宋体" w:hAnsi="宋体" w:eastAsia="宋体" w:cs="宋体"/>
          <w:spacing w:val="1"/>
          <w:sz w:val="17"/>
          <w:szCs w:val="17"/>
        </w:rPr>
        <w:t>断、解决实际问题。这是对学生的理论与实践能力的综</w:t>
      </w:r>
      <w:r>
        <w:rPr>
          <w:rFonts w:ascii="宋体" w:hAnsi="宋体" w:eastAsia="宋体" w:cs="宋体"/>
          <w:spacing w:val="2"/>
          <w:sz w:val="17"/>
          <w:szCs w:val="17"/>
        </w:rPr>
        <w:t xml:space="preserve"> 合考查。这四个层次的考试水平由简单到复杂、由低级</w:t>
      </w:r>
      <w:r>
        <w:rPr>
          <w:rFonts w:ascii="宋体" w:hAnsi="宋体" w:eastAsia="宋体" w:cs="宋体"/>
          <w:spacing w:val="1"/>
          <w:sz w:val="17"/>
          <w:szCs w:val="17"/>
        </w:rPr>
        <w:t xml:space="preserve"> </w:t>
      </w:r>
      <w:r>
        <w:rPr>
          <w:rFonts w:ascii="宋体" w:hAnsi="宋体" w:eastAsia="宋体" w:cs="宋体"/>
          <w:spacing w:val="2"/>
          <w:sz w:val="17"/>
          <w:szCs w:val="17"/>
        </w:rPr>
        <w:t>到高级，每一较高层次的考试水平的要求都同时包含了</w:t>
      </w:r>
      <w:r>
        <w:rPr>
          <w:rFonts w:ascii="宋体" w:hAnsi="宋体" w:eastAsia="宋体" w:cs="宋体"/>
          <w:spacing w:val="13"/>
          <w:sz w:val="17"/>
          <w:szCs w:val="17"/>
        </w:rPr>
        <w:t xml:space="preserve"> </w:t>
      </w:r>
      <w:r>
        <w:rPr>
          <w:rFonts w:ascii="宋体" w:hAnsi="宋体" w:eastAsia="宋体" w:cs="宋体"/>
          <w:spacing w:val="-3"/>
          <w:sz w:val="17"/>
          <w:szCs w:val="17"/>
        </w:rPr>
        <w:t>它的较低层次考试水平的要求。</w:t>
      </w:r>
    </w:p>
    <w:p w14:paraId="33480BBF">
      <w:pPr>
        <w:pStyle w:val="2"/>
        <w:spacing w:line="14" w:lineRule="auto"/>
        <w:rPr>
          <w:sz w:val="2"/>
        </w:rPr>
      </w:pPr>
      <w:r>
        <w:rPr>
          <w:sz w:val="2"/>
          <w:szCs w:val="2"/>
        </w:rPr>
        <w:br w:type="column"/>
      </w:r>
    </w:p>
    <w:p w14:paraId="175DF6E5">
      <w:pPr>
        <w:pStyle w:val="2"/>
        <w:spacing w:line="301" w:lineRule="auto"/>
      </w:pPr>
    </w:p>
    <w:p w14:paraId="03349371">
      <w:pPr>
        <w:spacing w:before="75" w:line="221" w:lineRule="auto"/>
        <w:ind w:left="18"/>
        <w:rPr>
          <w:rFonts w:ascii="黑体" w:hAnsi="黑体" w:eastAsia="黑体" w:cs="黑体"/>
          <w:sz w:val="23"/>
          <w:szCs w:val="23"/>
        </w:rPr>
      </w:pPr>
      <w:r>
        <w:rPr>
          <w:rFonts w:ascii="黑体" w:hAnsi="黑体" w:eastAsia="黑体" w:cs="黑体"/>
          <w:b/>
          <w:bCs/>
          <w:spacing w:val="-7"/>
          <w:sz w:val="23"/>
          <w:szCs w:val="23"/>
        </w:rPr>
        <w:t>三、考试目标</w:t>
      </w:r>
    </w:p>
    <w:p w14:paraId="6EB35469">
      <w:pPr>
        <w:pStyle w:val="2"/>
        <w:spacing w:line="367" w:lineRule="auto"/>
      </w:pPr>
    </w:p>
    <w:p w14:paraId="33F82A76">
      <w:pPr>
        <w:spacing w:before="65" w:line="222" w:lineRule="auto"/>
        <w:ind w:left="867"/>
        <w:rPr>
          <w:rFonts w:ascii="黑体" w:hAnsi="黑体" w:eastAsia="黑体" w:cs="黑体"/>
          <w:sz w:val="20"/>
          <w:szCs w:val="20"/>
        </w:rPr>
      </w:pPr>
      <w:r>
        <w:rPr>
          <w:rFonts w:ascii="黑体" w:hAnsi="黑体" w:eastAsia="黑体" w:cs="黑体"/>
          <w:b/>
          <w:bCs/>
          <w:spacing w:val="-3"/>
          <w:sz w:val="20"/>
          <w:szCs w:val="20"/>
        </w:rPr>
        <w:t>第一部分</w:t>
      </w:r>
      <w:r>
        <w:rPr>
          <w:rFonts w:ascii="黑体" w:hAnsi="黑体" w:eastAsia="黑体" w:cs="黑体"/>
          <w:spacing w:val="-3"/>
          <w:sz w:val="20"/>
          <w:szCs w:val="20"/>
        </w:rPr>
        <w:t xml:space="preserve">  </w:t>
      </w:r>
      <w:r>
        <w:rPr>
          <w:rFonts w:ascii="黑体" w:hAnsi="黑体" w:eastAsia="黑体" w:cs="黑体"/>
          <w:b/>
          <w:bCs/>
          <w:spacing w:val="-3"/>
          <w:sz w:val="20"/>
          <w:szCs w:val="20"/>
        </w:rPr>
        <w:t>建筑识图与构造</w:t>
      </w:r>
    </w:p>
    <w:p w14:paraId="60FE7E39">
      <w:pPr>
        <w:pStyle w:val="2"/>
        <w:spacing w:line="292" w:lineRule="auto"/>
      </w:pPr>
    </w:p>
    <w:p w14:paraId="319F4AE7">
      <w:pPr>
        <w:spacing w:before="65" w:line="222" w:lineRule="auto"/>
        <w:ind w:left="987"/>
        <w:rPr>
          <w:rFonts w:ascii="黑体" w:hAnsi="黑体" w:eastAsia="黑体" w:cs="黑体"/>
          <w:sz w:val="20"/>
          <w:szCs w:val="20"/>
        </w:rPr>
      </w:pPr>
      <w:r>
        <w:rPr>
          <w:rFonts w:ascii="黑体" w:hAnsi="黑体" w:eastAsia="黑体" w:cs="黑体"/>
          <w:b/>
          <w:bCs/>
          <w:spacing w:val="-7"/>
          <w:sz w:val="20"/>
          <w:szCs w:val="20"/>
        </w:rPr>
        <w:t>第一章</w:t>
      </w:r>
      <w:r>
        <w:rPr>
          <w:rFonts w:ascii="黑体" w:hAnsi="黑体" w:eastAsia="黑体" w:cs="黑体"/>
          <w:spacing w:val="16"/>
          <w:sz w:val="20"/>
          <w:szCs w:val="20"/>
        </w:rPr>
        <w:t xml:space="preserve">  </w:t>
      </w:r>
      <w:r>
        <w:rPr>
          <w:rFonts w:ascii="黑体" w:hAnsi="黑体" w:eastAsia="黑体" w:cs="黑体"/>
          <w:b/>
          <w:bCs/>
          <w:spacing w:val="-7"/>
          <w:sz w:val="20"/>
          <w:szCs w:val="20"/>
        </w:rPr>
        <w:t>制图的基本知识</w:t>
      </w:r>
    </w:p>
    <w:p w14:paraId="353084F0">
      <w:pPr>
        <w:spacing w:line="70" w:lineRule="exact"/>
      </w:pPr>
    </w:p>
    <w:tbl>
      <w:tblPr>
        <w:tblStyle w:val="5"/>
        <w:tblW w:w="4119" w:type="dxa"/>
        <w:tblInd w:w="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24"/>
        <w:gridCol w:w="210"/>
        <w:gridCol w:w="229"/>
        <w:gridCol w:w="229"/>
        <w:gridCol w:w="234"/>
      </w:tblGrid>
      <w:tr w14:paraId="6CC712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4" w:hRule="atLeast"/>
        </w:trPr>
        <w:tc>
          <w:tcPr>
            <w:tcW w:w="893" w:type="dxa"/>
            <w:vMerge w:val="restart"/>
            <w:tcBorders>
              <w:bottom w:val="nil"/>
            </w:tcBorders>
            <w:vAlign w:val="top"/>
          </w:tcPr>
          <w:p w14:paraId="2A3A45C5">
            <w:pPr>
              <w:pStyle w:val="6"/>
              <w:spacing w:before="151" w:line="223" w:lineRule="auto"/>
              <w:ind w:left="77" w:right="93" w:firstLine="89"/>
              <w:rPr>
                <w:sz w:val="18"/>
                <w:szCs w:val="18"/>
              </w:rPr>
            </w:pPr>
            <w:r>
              <w:rPr>
                <w:b/>
                <w:bCs/>
                <w:spacing w:val="1"/>
                <w:sz w:val="18"/>
                <w:szCs w:val="18"/>
              </w:rPr>
              <w:t>知识与</w:t>
            </w:r>
            <w:r>
              <w:rPr>
                <w:sz w:val="18"/>
                <w:szCs w:val="18"/>
              </w:rPr>
              <w:t xml:space="preserve">  </w:t>
            </w:r>
            <w:r>
              <w:rPr>
                <w:b/>
                <w:bCs/>
                <w:spacing w:val="-4"/>
                <w:sz w:val="18"/>
                <w:szCs w:val="18"/>
              </w:rPr>
              <w:t>技能要点</w:t>
            </w:r>
          </w:p>
        </w:tc>
        <w:tc>
          <w:tcPr>
            <w:tcW w:w="2324" w:type="dxa"/>
            <w:vMerge w:val="restart"/>
            <w:tcBorders>
              <w:bottom w:val="nil"/>
            </w:tcBorders>
            <w:vAlign w:val="top"/>
          </w:tcPr>
          <w:p w14:paraId="53F23CC2">
            <w:pPr>
              <w:pStyle w:val="6"/>
              <w:spacing w:before="249" w:line="219" w:lineRule="auto"/>
              <w:ind w:left="834"/>
              <w:rPr>
                <w:sz w:val="18"/>
                <w:szCs w:val="18"/>
              </w:rPr>
            </w:pPr>
            <w:r>
              <w:rPr>
                <w:b/>
                <w:bCs/>
                <w:spacing w:val="5"/>
                <w:sz w:val="18"/>
                <w:szCs w:val="18"/>
              </w:rPr>
              <w:t>考试条目</w:t>
            </w:r>
          </w:p>
        </w:tc>
        <w:tc>
          <w:tcPr>
            <w:tcW w:w="902" w:type="dxa"/>
            <w:gridSpan w:val="4"/>
            <w:vAlign w:val="top"/>
          </w:tcPr>
          <w:p w14:paraId="14BFBF30">
            <w:pPr>
              <w:pStyle w:val="6"/>
              <w:spacing w:before="89" w:line="219" w:lineRule="auto"/>
              <w:ind w:left="130"/>
              <w:rPr>
                <w:sz w:val="18"/>
                <w:szCs w:val="18"/>
              </w:rPr>
            </w:pPr>
            <w:r>
              <w:rPr>
                <w:b/>
                <w:bCs/>
                <w:spacing w:val="-4"/>
                <w:sz w:val="18"/>
                <w:szCs w:val="18"/>
              </w:rPr>
              <w:t>考试水平</w:t>
            </w:r>
          </w:p>
        </w:tc>
      </w:tr>
      <w:tr w14:paraId="451C75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0" w:hRule="atLeast"/>
        </w:trPr>
        <w:tc>
          <w:tcPr>
            <w:tcW w:w="893" w:type="dxa"/>
            <w:vMerge w:val="continue"/>
            <w:tcBorders>
              <w:top w:val="nil"/>
            </w:tcBorders>
            <w:vAlign w:val="top"/>
          </w:tcPr>
          <w:p w14:paraId="1E0793F9">
            <w:pPr>
              <w:rPr>
                <w:rFonts w:ascii="Arial"/>
                <w:sz w:val="21"/>
              </w:rPr>
            </w:pPr>
          </w:p>
        </w:tc>
        <w:tc>
          <w:tcPr>
            <w:tcW w:w="2324" w:type="dxa"/>
            <w:vMerge w:val="continue"/>
            <w:tcBorders>
              <w:top w:val="nil"/>
            </w:tcBorders>
            <w:vAlign w:val="top"/>
          </w:tcPr>
          <w:p w14:paraId="6111742A">
            <w:pPr>
              <w:rPr>
                <w:rFonts w:ascii="Arial"/>
                <w:sz w:val="21"/>
              </w:rPr>
            </w:pPr>
          </w:p>
        </w:tc>
        <w:tc>
          <w:tcPr>
            <w:tcW w:w="210" w:type="dxa"/>
            <w:vAlign w:val="top"/>
          </w:tcPr>
          <w:p w14:paraId="61A593BE">
            <w:pPr>
              <w:pStyle w:val="6"/>
              <w:spacing w:before="113" w:line="184" w:lineRule="auto"/>
              <w:ind w:left="60"/>
              <w:rPr>
                <w:sz w:val="18"/>
                <w:szCs w:val="18"/>
              </w:rPr>
            </w:pPr>
            <w:r>
              <w:rPr>
                <w:b/>
                <w:bCs/>
                <w:spacing w:val="-2"/>
                <w:sz w:val="18"/>
                <w:szCs w:val="18"/>
              </w:rPr>
              <w:t>A</w:t>
            </w:r>
          </w:p>
        </w:tc>
        <w:tc>
          <w:tcPr>
            <w:tcW w:w="229" w:type="dxa"/>
            <w:vAlign w:val="top"/>
          </w:tcPr>
          <w:p w14:paraId="6C54C3B2">
            <w:pPr>
              <w:pStyle w:val="6"/>
              <w:spacing w:before="115" w:line="182" w:lineRule="auto"/>
              <w:ind w:left="20"/>
              <w:rPr>
                <w:sz w:val="18"/>
                <w:szCs w:val="18"/>
              </w:rPr>
            </w:pPr>
            <w:r>
              <w:rPr>
                <w:b/>
                <w:bCs/>
                <w:spacing w:val="-2"/>
                <w:sz w:val="18"/>
                <w:szCs w:val="18"/>
              </w:rPr>
              <w:t>B</w:t>
            </w:r>
          </w:p>
        </w:tc>
        <w:tc>
          <w:tcPr>
            <w:tcW w:w="229" w:type="dxa"/>
            <w:vAlign w:val="top"/>
          </w:tcPr>
          <w:p w14:paraId="1883C47E">
            <w:pPr>
              <w:pStyle w:val="6"/>
              <w:spacing w:before="113" w:line="183" w:lineRule="auto"/>
              <w:jc w:val="right"/>
              <w:rPr>
                <w:sz w:val="18"/>
                <w:szCs w:val="18"/>
              </w:rPr>
            </w:pPr>
            <w:r>
              <w:rPr>
                <w:b/>
                <w:bCs/>
                <w:spacing w:val="-10"/>
                <w:w w:val="95"/>
                <w:sz w:val="18"/>
                <w:szCs w:val="18"/>
              </w:rPr>
              <w:t>C</w:t>
            </w:r>
          </w:p>
        </w:tc>
        <w:tc>
          <w:tcPr>
            <w:tcW w:w="234" w:type="dxa"/>
            <w:vAlign w:val="top"/>
          </w:tcPr>
          <w:p w14:paraId="17CF9D8A">
            <w:pPr>
              <w:pStyle w:val="6"/>
              <w:spacing w:before="115" w:line="182" w:lineRule="auto"/>
              <w:ind w:left="22"/>
              <w:rPr>
                <w:sz w:val="18"/>
                <w:szCs w:val="18"/>
              </w:rPr>
            </w:pPr>
            <w:r>
              <w:rPr>
                <w:b/>
                <w:bCs/>
                <w:spacing w:val="-2"/>
                <w:sz w:val="18"/>
                <w:szCs w:val="18"/>
              </w:rPr>
              <w:t>D</w:t>
            </w:r>
          </w:p>
        </w:tc>
      </w:tr>
      <w:tr w14:paraId="1D3FA3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9" w:hRule="atLeast"/>
        </w:trPr>
        <w:tc>
          <w:tcPr>
            <w:tcW w:w="893" w:type="dxa"/>
            <w:vAlign w:val="top"/>
          </w:tcPr>
          <w:p w14:paraId="72940812">
            <w:pPr>
              <w:pStyle w:val="6"/>
              <w:spacing w:before="128" w:line="219" w:lineRule="auto"/>
              <w:ind w:left="74"/>
              <w:rPr>
                <w:sz w:val="18"/>
                <w:szCs w:val="18"/>
              </w:rPr>
            </w:pPr>
            <w:r>
              <w:rPr>
                <w:spacing w:val="-2"/>
                <w:sz w:val="18"/>
                <w:szCs w:val="18"/>
              </w:rPr>
              <w:t>绘图仪器</w:t>
            </w:r>
          </w:p>
        </w:tc>
        <w:tc>
          <w:tcPr>
            <w:tcW w:w="2324" w:type="dxa"/>
            <w:vAlign w:val="top"/>
          </w:tcPr>
          <w:p w14:paraId="5B338E0A">
            <w:pPr>
              <w:pStyle w:val="6"/>
              <w:spacing w:before="39" w:line="200" w:lineRule="auto"/>
              <w:ind w:left="11" w:right="132"/>
              <w:rPr>
                <w:sz w:val="18"/>
                <w:szCs w:val="18"/>
              </w:rPr>
            </w:pPr>
            <w:r>
              <w:rPr>
                <w:sz w:val="18"/>
                <w:szCs w:val="18"/>
              </w:rPr>
              <w:t>1.绘图仪器与工具的正确使</w:t>
            </w:r>
            <w:r>
              <w:rPr>
                <w:spacing w:val="8"/>
                <w:sz w:val="18"/>
                <w:szCs w:val="18"/>
              </w:rPr>
              <w:t xml:space="preserve"> </w:t>
            </w:r>
            <w:r>
              <w:rPr>
                <w:spacing w:val="-2"/>
                <w:sz w:val="18"/>
                <w:szCs w:val="18"/>
              </w:rPr>
              <w:t>用方法</w:t>
            </w:r>
          </w:p>
        </w:tc>
        <w:tc>
          <w:tcPr>
            <w:tcW w:w="210" w:type="dxa"/>
            <w:vAlign w:val="top"/>
          </w:tcPr>
          <w:p w14:paraId="3BBE8AD1">
            <w:pPr>
              <w:pStyle w:val="6"/>
              <w:spacing w:before="169" w:line="238" w:lineRule="auto"/>
              <w:ind w:left="37"/>
              <w:rPr>
                <w:sz w:val="13"/>
                <w:szCs w:val="13"/>
              </w:rPr>
            </w:pPr>
            <w:r>
              <w:rPr>
                <w:sz w:val="13"/>
                <w:szCs w:val="13"/>
              </w:rPr>
              <w:t>√</w:t>
            </w:r>
          </w:p>
        </w:tc>
        <w:tc>
          <w:tcPr>
            <w:tcW w:w="229" w:type="dxa"/>
            <w:vAlign w:val="top"/>
          </w:tcPr>
          <w:p w14:paraId="26A4973D">
            <w:pPr>
              <w:rPr>
                <w:rFonts w:ascii="Arial"/>
                <w:sz w:val="21"/>
              </w:rPr>
            </w:pPr>
          </w:p>
        </w:tc>
        <w:tc>
          <w:tcPr>
            <w:tcW w:w="229" w:type="dxa"/>
            <w:vAlign w:val="top"/>
          </w:tcPr>
          <w:p w14:paraId="571B9539">
            <w:pPr>
              <w:rPr>
                <w:rFonts w:ascii="Arial"/>
                <w:sz w:val="21"/>
              </w:rPr>
            </w:pPr>
          </w:p>
        </w:tc>
        <w:tc>
          <w:tcPr>
            <w:tcW w:w="234" w:type="dxa"/>
            <w:vAlign w:val="top"/>
          </w:tcPr>
          <w:p w14:paraId="1B2EBECD">
            <w:pPr>
              <w:rPr>
                <w:rFonts w:ascii="Arial"/>
                <w:sz w:val="21"/>
              </w:rPr>
            </w:pPr>
          </w:p>
        </w:tc>
      </w:tr>
      <w:tr w14:paraId="788AAB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9" w:hRule="atLeast"/>
        </w:trPr>
        <w:tc>
          <w:tcPr>
            <w:tcW w:w="893" w:type="dxa"/>
            <w:vAlign w:val="top"/>
          </w:tcPr>
          <w:p w14:paraId="0AB4E2E6">
            <w:pPr>
              <w:pStyle w:val="6"/>
              <w:spacing w:before="80" w:line="221" w:lineRule="auto"/>
              <w:ind w:left="164"/>
              <w:rPr>
                <w:sz w:val="18"/>
                <w:szCs w:val="18"/>
              </w:rPr>
            </w:pPr>
            <w:r>
              <w:rPr>
                <w:spacing w:val="3"/>
                <w:sz w:val="18"/>
                <w:szCs w:val="18"/>
              </w:rPr>
              <w:t>与工具</w:t>
            </w:r>
          </w:p>
        </w:tc>
        <w:tc>
          <w:tcPr>
            <w:tcW w:w="2324" w:type="dxa"/>
            <w:vAlign w:val="top"/>
          </w:tcPr>
          <w:p w14:paraId="0DA51ACA">
            <w:pPr>
              <w:pStyle w:val="6"/>
              <w:spacing w:before="80" w:line="220" w:lineRule="auto"/>
              <w:ind w:left="11"/>
              <w:rPr>
                <w:sz w:val="18"/>
                <w:szCs w:val="18"/>
              </w:rPr>
            </w:pPr>
            <w:r>
              <w:rPr>
                <w:spacing w:val="3"/>
                <w:sz w:val="18"/>
                <w:szCs w:val="18"/>
              </w:rPr>
              <w:t>2.制图用品</w:t>
            </w:r>
          </w:p>
        </w:tc>
        <w:tc>
          <w:tcPr>
            <w:tcW w:w="210" w:type="dxa"/>
            <w:vAlign w:val="top"/>
          </w:tcPr>
          <w:p w14:paraId="791BF92C">
            <w:pPr>
              <w:pStyle w:val="6"/>
              <w:spacing w:before="120" w:line="238" w:lineRule="auto"/>
              <w:ind w:left="37"/>
              <w:rPr>
                <w:sz w:val="13"/>
                <w:szCs w:val="13"/>
              </w:rPr>
            </w:pPr>
            <w:r>
              <w:rPr>
                <w:sz w:val="13"/>
                <w:szCs w:val="13"/>
              </w:rPr>
              <w:t>√</w:t>
            </w:r>
          </w:p>
        </w:tc>
        <w:tc>
          <w:tcPr>
            <w:tcW w:w="229" w:type="dxa"/>
            <w:vAlign w:val="top"/>
          </w:tcPr>
          <w:p w14:paraId="1C5BAEFA">
            <w:pPr>
              <w:rPr>
                <w:rFonts w:ascii="Arial"/>
                <w:sz w:val="21"/>
              </w:rPr>
            </w:pPr>
          </w:p>
        </w:tc>
        <w:tc>
          <w:tcPr>
            <w:tcW w:w="229" w:type="dxa"/>
            <w:vAlign w:val="top"/>
          </w:tcPr>
          <w:p w14:paraId="7419AEA4">
            <w:pPr>
              <w:rPr>
                <w:rFonts w:ascii="Arial"/>
                <w:sz w:val="21"/>
              </w:rPr>
            </w:pPr>
          </w:p>
        </w:tc>
        <w:tc>
          <w:tcPr>
            <w:tcW w:w="234" w:type="dxa"/>
            <w:vAlign w:val="top"/>
          </w:tcPr>
          <w:p w14:paraId="7D42C8E3">
            <w:pPr>
              <w:rPr>
                <w:rFonts w:ascii="Arial"/>
                <w:sz w:val="21"/>
              </w:rPr>
            </w:pPr>
          </w:p>
        </w:tc>
      </w:tr>
      <w:tr w14:paraId="1CEC9C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893" w:type="dxa"/>
            <w:vMerge w:val="restart"/>
            <w:tcBorders>
              <w:bottom w:val="nil"/>
            </w:tcBorders>
            <w:vAlign w:val="top"/>
          </w:tcPr>
          <w:p w14:paraId="3E3F7AC6">
            <w:pPr>
              <w:pStyle w:val="6"/>
              <w:spacing w:before="258" w:line="229" w:lineRule="auto"/>
              <w:ind w:left="254" w:right="72" w:hanging="180"/>
              <w:rPr>
                <w:sz w:val="18"/>
                <w:szCs w:val="18"/>
              </w:rPr>
            </w:pPr>
            <w:r>
              <w:rPr>
                <w:spacing w:val="3"/>
                <w:sz w:val="18"/>
                <w:szCs w:val="18"/>
              </w:rPr>
              <w:t>基本制图</w:t>
            </w:r>
            <w:r>
              <w:rPr>
                <w:spacing w:val="2"/>
                <w:sz w:val="18"/>
                <w:szCs w:val="18"/>
              </w:rPr>
              <w:t xml:space="preserve"> </w:t>
            </w:r>
            <w:r>
              <w:rPr>
                <w:spacing w:val="-2"/>
                <w:sz w:val="18"/>
                <w:szCs w:val="18"/>
              </w:rPr>
              <w:t>标准</w:t>
            </w:r>
          </w:p>
        </w:tc>
        <w:tc>
          <w:tcPr>
            <w:tcW w:w="2324" w:type="dxa"/>
            <w:vMerge w:val="restart"/>
            <w:tcBorders>
              <w:bottom w:val="nil"/>
            </w:tcBorders>
            <w:vAlign w:val="top"/>
          </w:tcPr>
          <w:p w14:paraId="12B2B3F8">
            <w:pPr>
              <w:pStyle w:val="6"/>
              <w:spacing w:before="159" w:line="217" w:lineRule="auto"/>
              <w:ind w:left="11"/>
              <w:rPr>
                <w:sz w:val="18"/>
                <w:szCs w:val="18"/>
              </w:rPr>
            </w:pPr>
            <w:r>
              <w:rPr>
                <w:spacing w:val="1"/>
                <w:sz w:val="18"/>
                <w:szCs w:val="18"/>
              </w:rPr>
              <w:t>1.图幅及图框尺寸</w:t>
            </w:r>
          </w:p>
          <w:p w14:paraId="01B37074">
            <w:pPr>
              <w:pStyle w:val="6"/>
              <w:spacing w:line="220" w:lineRule="auto"/>
              <w:ind w:left="11"/>
              <w:rPr>
                <w:sz w:val="18"/>
                <w:szCs w:val="18"/>
              </w:rPr>
            </w:pPr>
            <w:r>
              <w:rPr>
                <w:spacing w:val="9"/>
                <w:sz w:val="18"/>
                <w:szCs w:val="18"/>
              </w:rPr>
              <w:t>2.常用线型及用途、</w:t>
            </w:r>
          </w:p>
          <w:p w14:paraId="23BE36F3">
            <w:pPr>
              <w:pStyle w:val="6"/>
              <w:spacing w:before="13" w:line="219" w:lineRule="auto"/>
              <w:ind w:left="11"/>
              <w:rPr>
                <w:sz w:val="18"/>
                <w:szCs w:val="18"/>
              </w:rPr>
            </w:pPr>
            <w:r>
              <w:rPr>
                <w:spacing w:val="-1"/>
                <w:sz w:val="18"/>
                <w:szCs w:val="18"/>
              </w:rPr>
              <w:t>3.字体、比例、尺寸标注</w:t>
            </w:r>
          </w:p>
        </w:tc>
        <w:tc>
          <w:tcPr>
            <w:tcW w:w="210" w:type="dxa"/>
            <w:vAlign w:val="top"/>
          </w:tcPr>
          <w:p w14:paraId="59A7B8F2">
            <w:pPr>
              <w:pStyle w:val="6"/>
              <w:spacing w:before="101" w:line="238" w:lineRule="auto"/>
              <w:ind w:left="37"/>
              <w:rPr>
                <w:sz w:val="13"/>
                <w:szCs w:val="13"/>
              </w:rPr>
            </w:pPr>
            <w:r>
              <w:rPr>
                <w:sz w:val="13"/>
                <w:szCs w:val="13"/>
              </w:rPr>
              <w:t>√</w:t>
            </w:r>
          </w:p>
        </w:tc>
        <w:tc>
          <w:tcPr>
            <w:tcW w:w="229" w:type="dxa"/>
            <w:vAlign w:val="top"/>
          </w:tcPr>
          <w:p w14:paraId="06DB9073">
            <w:pPr>
              <w:rPr>
                <w:rFonts w:ascii="Arial"/>
                <w:sz w:val="21"/>
              </w:rPr>
            </w:pPr>
          </w:p>
        </w:tc>
        <w:tc>
          <w:tcPr>
            <w:tcW w:w="229" w:type="dxa"/>
            <w:vAlign w:val="top"/>
          </w:tcPr>
          <w:p w14:paraId="5C67330F">
            <w:pPr>
              <w:rPr>
                <w:rFonts w:ascii="Arial"/>
                <w:sz w:val="21"/>
              </w:rPr>
            </w:pPr>
          </w:p>
        </w:tc>
        <w:tc>
          <w:tcPr>
            <w:tcW w:w="234" w:type="dxa"/>
            <w:vAlign w:val="top"/>
          </w:tcPr>
          <w:p w14:paraId="41168BAE">
            <w:pPr>
              <w:rPr>
                <w:rFonts w:ascii="Arial"/>
                <w:sz w:val="21"/>
              </w:rPr>
            </w:pPr>
          </w:p>
        </w:tc>
      </w:tr>
      <w:tr w14:paraId="5C5E4E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893" w:type="dxa"/>
            <w:vMerge w:val="continue"/>
            <w:tcBorders>
              <w:top w:val="nil"/>
              <w:bottom w:val="nil"/>
            </w:tcBorders>
            <w:vAlign w:val="top"/>
          </w:tcPr>
          <w:p w14:paraId="229CFCAB">
            <w:pPr>
              <w:rPr>
                <w:rFonts w:ascii="Arial"/>
                <w:sz w:val="21"/>
              </w:rPr>
            </w:pPr>
          </w:p>
        </w:tc>
        <w:tc>
          <w:tcPr>
            <w:tcW w:w="2324" w:type="dxa"/>
            <w:vMerge w:val="continue"/>
            <w:tcBorders>
              <w:top w:val="nil"/>
              <w:bottom w:val="nil"/>
            </w:tcBorders>
            <w:vAlign w:val="top"/>
          </w:tcPr>
          <w:p w14:paraId="77F14D10">
            <w:pPr>
              <w:rPr>
                <w:rFonts w:ascii="Arial"/>
                <w:sz w:val="21"/>
              </w:rPr>
            </w:pPr>
          </w:p>
        </w:tc>
        <w:tc>
          <w:tcPr>
            <w:tcW w:w="210" w:type="dxa"/>
            <w:vAlign w:val="top"/>
          </w:tcPr>
          <w:p w14:paraId="3A84D9AF">
            <w:pPr>
              <w:rPr>
                <w:rFonts w:ascii="Arial"/>
                <w:sz w:val="21"/>
              </w:rPr>
            </w:pPr>
          </w:p>
        </w:tc>
        <w:tc>
          <w:tcPr>
            <w:tcW w:w="229" w:type="dxa"/>
            <w:vAlign w:val="top"/>
          </w:tcPr>
          <w:p w14:paraId="76F1E6B3">
            <w:pPr>
              <w:rPr>
                <w:rFonts w:ascii="Arial"/>
                <w:sz w:val="21"/>
              </w:rPr>
            </w:pPr>
          </w:p>
        </w:tc>
        <w:tc>
          <w:tcPr>
            <w:tcW w:w="229" w:type="dxa"/>
            <w:vAlign w:val="top"/>
          </w:tcPr>
          <w:p w14:paraId="57C8E4AE">
            <w:pPr>
              <w:rPr>
                <w:rFonts w:ascii="Arial"/>
                <w:sz w:val="21"/>
              </w:rPr>
            </w:pPr>
          </w:p>
        </w:tc>
        <w:tc>
          <w:tcPr>
            <w:tcW w:w="234" w:type="dxa"/>
            <w:vAlign w:val="top"/>
          </w:tcPr>
          <w:p w14:paraId="461E8BD6">
            <w:pPr>
              <w:rPr>
                <w:rFonts w:ascii="Arial"/>
                <w:sz w:val="21"/>
              </w:rPr>
            </w:pPr>
          </w:p>
        </w:tc>
      </w:tr>
      <w:tr w14:paraId="553EA5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9" w:hRule="atLeast"/>
        </w:trPr>
        <w:tc>
          <w:tcPr>
            <w:tcW w:w="893" w:type="dxa"/>
            <w:vMerge w:val="continue"/>
            <w:tcBorders>
              <w:top w:val="nil"/>
            </w:tcBorders>
            <w:vAlign w:val="top"/>
          </w:tcPr>
          <w:p w14:paraId="28F55E9C">
            <w:pPr>
              <w:rPr>
                <w:rFonts w:ascii="Arial"/>
                <w:sz w:val="21"/>
              </w:rPr>
            </w:pPr>
          </w:p>
        </w:tc>
        <w:tc>
          <w:tcPr>
            <w:tcW w:w="2324" w:type="dxa"/>
            <w:vMerge w:val="continue"/>
            <w:tcBorders>
              <w:top w:val="nil"/>
            </w:tcBorders>
            <w:vAlign w:val="top"/>
          </w:tcPr>
          <w:p w14:paraId="60A31C5C">
            <w:pPr>
              <w:rPr>
                <w:rFonts w:ascii="Arial"/>
                <w:sz w:val="21"/>
              </w:rPr>
            </w:pPr>
          </w:p>
        </w:tc>
        <w:tc>
          <w:tcPr>
            <w:tcW w:w="210" w:type="dxa"/>
            <w:vAlign w:val="top"/>
          </w:tcPr>
          <w:p w14:paraId="6F1D7F35">
            <w:pPr>
              <w:rPr>
                <w:rFonts w:ascii="Arial"/>
                <w:sz w:val="21"/>
              </w:rPr>
            </w:pPr>
          </w:p>
        </w:tc>
        <w:tc>
          <w:tcPr>
            <w:tcW w:w="229" w:type="dxa"/>
            <w:vAlign w:val="top"/>
          </w:tcPr>
          <w:p w14:paraId="727B1CA0">
            <w:pPr>
              <w:rPr>
                <w:rFonts w:ascii="Arial"/>
                <w:sz w:val="21"/>
              </w:rPr>
            </w:pPr>
          </w:p>
        </w:tc>
        <w:tc>
          <w:tcPr>
            <w:tcW w:w="229" w:type="dxa"/>
            <w:vAlign w:val="top"/>
          </w:tcPr>
          <w:p w14:paraId="315CEBB3">
            <w:pPr>
              <w:rPr>
                <w:rFonts w:ascii="Arial"/>
                <w:sz w:val="21"/>
              </w:rPr>
            </w:pPr>
          </w:p>
        </w:tc>
        <w:tc>
          <w:tcPr>
            <w:tcW w:w="234" w:type="dxa"/>
            <w:vAlign w:val="top"/>
          </w:tcPr>
          <w:p w14:paraId="336E5AF1">
            <w:pPr>
              <w:rPr>
                <w:rFonts w:ascii="Arial"/>
                <w:sz w:val="21"/>
              </w:rPr>
            </w:pPr>
          </w:p>
        </w:tc>
      </w:tr>
      <w:tr w14:paraId="2BB772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893" w:type="dxa"/>
            <w:vMerge w:val="restart"/>
            <w:tcBorders>
              <w:bottom w:val="nil"/>
            </w:tcBorders>
            <w:vAlign w:val="top"/>
          </w:tcPr>
          <w:p w14:paraId="7B91E478">
            <w:pPr>
              <w:spacing w:line="250" w:lineRule="auto"/>
              <w:rPr>
                <w:rFonts w:ascii="Arial"/>
                <w:sz w:val="21"/>
              </w:rPr>
            </w:pPr>
          </w:p>
          <w:p w14:paraId="4A6C83AC">
            <w:pPr>
              <w:spacing w:line="250" w:lineRule="auto"/>
              <w:rPr>
                <w:rFonts w:ascii="Arial"/>
                <w:sz w:val="21"/>
              </w:rPr>
            </w:pPr>
          </w:p>
          <w:p w14:paraId="4370FE05">
            <w:pPr>
              <w:pStyle w:val="6"/>
              <w:spacing w:before="59" w:line="219" w:lineRule="auto"/>
              <w:ind w:left="74"/>
              <w:rPr>
                <w:sz w:val="18"/>
                <w:szCs w:val="18"/>
              </w:rPr>
            </w:pPr>
            <w:r>
              <w:rPr>
                <w:spacing w:val="3"/>
                <w:sz w:val="18"/>
                <w:szCs w:val="18"/>
              </w:rPr>
              <w:t>几何作图</w:t>
            </w:r>
          </w:p>
        </w:tc>
        <w:tc>
          <w:tcPr>
            <w:tcW w:w="2324" w:type="dxa"/>
            <w:vMerge w:val="restart"/>
            <w:tcBorders>
              <w:bottom w:val="nil"/>
            </w:tcBorders>
            <w:vAlign w:val="top"/>
          </w:tcPr>
          <w:p w14:paraId="7E80A42B">
            <w:pPr>
              <w:pStyle w:val="6"/>
              <w:spacing w:before="133" w:line="226" w:lineRule="auto"/>
              <w:ind w:left="11" w:right="309"/>
              <w:rPr>
                <w:sz w:val="18"/>
                <w:szCs w:val="18"/>
              </w:rPr>
            </w:pPr>
            <w:r>
              <w:rPr>
                <w:spacing w:val="1"/>
                <w:sz w:val="18"/>
                <w:szCs w:val="18"/>
              </w:rPr>
              <w:t>1.直线的平行线、垂直线</w:t>
            </w:r>
            <w:r>
              <w:rPr>
                <w:sz w:val="18"/>
                <w:szCs w:val="18"/>
              </w:rPr>
              <w:t xml:space="preserve"> </w:t>
            </w:r>
            <w:r>
              <w:rPr>
                <w:spacing w:val="-2"/>
                <w:sz w:val="18"/>
                <w:szCs w:val="18"/>
              </w:rPr>
              <w:t>2.等分线段</w:t>
            </w:r>
          </w:p>
          <w:p w14:paraId="23230553">
            <w:pPr>
              <w:pStyle w:val="6"/>
              <w:spacing w:line="218" w:lineRule="auto"/>
              <w:ind w:left="11" w:right="125"/>
              <w:rPr>
                <w:sz w:val="18"/>
                <w:szCs w:val="18"/>
              </w:rPr>
            </w:pPr>
            <w:r>
              <w:rPr>
                <w:spacing w:val="1"/>
                <w:sz w:val="18"/>
                <w:szCs w:val="18"/>
              </w:rPr>
              <w:t>3.正多边形、椭圆画法、圆</w:t>
            </w:r>
            <w:r>
              <w:rPr>
                <w:spacing w:val="2"/>
                <w:sz w:val="18"/>
                <w:szCs w:val="18"/>
              </w:rPr>
              <w:t xml:space="preserve"> </w:t>
            </w:r>
            <w:r>
              <w:rPr>
                <w:spacing w:val="-2"/>
                <w:sz w:val="18"/>
                <w:szCs w:val="18"/>
              </w:rPr>
              <w:t>弧的链接</w:t>
            </w:r>
          </w:p>
        </w:tc>
        <w:tc>
          <w:tcPr>
            <w:tcW w:w="210" w:type="dxa"/>
            <w:vAlign w:val="top"/>
          </w:tcPr>
          <w:p w14:paraId="68BC0812">
            <w:pPr>
              <w:rPr>
                <w:rFonts w:ascii="Arial"/>
                <w:sz w:val="21"/>
              </w:rPr>
            </w:pPr>
          </w:p>
        </w:tc>
        <w:tc>
          <w:tcPr>
            <w:tcW w:w="229" w:type="dxa"/>
            <w:vAlign w:val="top"/>
          </w:tcPr>
          <w:p w14:paraId="303B0299">
            <w:pPr>
              <w:rPr>
                <w:rFonts w:ascii="Arial"/>
                <w:sz w:val="21"/>
              </w:rPr>
            </w:pPr>
          </w:p>
        </w:tc>
        <w:tc>
          <w:tcPr>
            <w:tcW w:w="229" w:type="dxa"/>
            <w:vAlign w:val="top"/>
          </w:tcPr>
          <w:p w14:paraId="76E8CBC8">
            <w:pPr>
              <w:rPr>
                <w:rFonts w:ascii="Arial"/>
                <w:sz w:val="21"/>
              </w:rPr>
            </w:pPr>
          </w:p>
        </w:tc>
        <w:tc>
          <w:tcPr>
            <w:tcW w:w="234" w:type="dxa"/>
            <w:vAlign w:val="top"/>
          </w:tcPr>
          <w:p w14:paraId="3D494F5A">
            <w:pPr>
              <w:rPr>
                <w:rFonts w:ascii="Arial"/>
                <w:sz w:val="21"/>
              </w:rPr>
            </w:pPr>
          </w:p>
        </w:tc>
      </w:tr>
      <w:tr w14:paraId="7D93B1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893" w:type="dxa"/>
            <w:vMerge w:val="continue"/>
            <w:tcBorders>
              <w:top w:val="nil"/>
              <w:bottom w:val="nil"/>
            </w:tcBorders>
            <w:vAlign w:val="top"/>
          </w:tcPr>
          <w:p w14:paraId="69E8D42A">
            <w:pPr>
              <w:rPr>
                <w:rFonts w:ascii="Arial"/>
                <w:sz w:val="21"/>
              </w:rPr>
            </w:pPr>
          </w:p>
        </w:tc>
        <w:tc>
          <w:tcPr>
            <w:tcW w:w="2324" w:type="dxa"/>
            <w:vMerge w:val="continue"/>
            <w:tcBorders>
              <w:top w:val="nil"/>
              <w:bottom w:val="nil"/>
            </w:tcBorders>
            <w:vAlign w:val="top"/>
          </w:tcPr>
          <w:p w14:paraId="661F5C32">
            <w:pPr>
              <w:rPr>
                <w:rFonts w:ascii="Arial"/>
                <w:sz w:val="21"/>
              </w:rPr>
            </w:pPr>
          </w:p>
        </w:tc>
        <w:tc>
          <w:tcPr>
            <w:tcW w:w="210" w:type="dxa"/>
            <w:vAlign w:val="top"/>
          </w:tcPr>
          <w:p w14:paraId="0C79A57C">
            <w:pPr>
              <w:rPr>
                <w:rFonts w:ascii="Arial"/>
                <w:sz w:val="21"/>
              </w:rPr>
            </w:pPr>
          </w:p>
        </w:tc>
        <w:tc>
          <w:tcPr>
            <w:tcW w:w="229" w:type="dxa"/>
            <w:vAlign w:val="top"/>
          </w:tcPr>
          <w:p w14:paraId="4C510E91">
            <w:pPr>
              <w:rPr>
                <w:rFonts w:ascii="Arial"/>
                <w:sz w:val="21"/>
              </w:rPr>
            </w:pPr>
          </w:p>
        </w:tc>
        <w:tc>
          <w:tcPr>
            <w:tcW w:w="229" w:type="dxa"/>
            <w:vAlign w:val="top"/>
          </w:tcPr>
          <w:p w14:paraId="204C017E">
            <w:pPr>
              <w:rPr>
                <w:rFonts w:ascii="Arial"/>
                <w:sz w:val="21"/>
              </w:rPr>
            </w:pPr>
          </w:p>
        </w:tc>
        <w:tc>
          <w:tcPr>
            <w:tcW w:w="234" w:type="dxa"/>
            <w:vAlign w:val="top"/>
          </w:tcPr>
          <w:p w14:paraId="4C4B6124">
            <w:pPr>
              <w:rPr>
                <w:rFonts w:ascii="Arial"/>
                <w:sz w:val="21"/>
              </w:rPr>
            </w:pPr>
          </w:p>
        </w:tc>
      </w:tr>
      <w:tr w14:paraId="4740E9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893" w:type="dxa"/>
            <w:vMerge w:val="continue"/>
            <w:tcBorders>
              <w:top w:val="nil"/>
            </w:tcBorders>
            <w:vAlign w:val="top"/>
          </w:tcPr>
          <w:p w14:paraId="62C1A608">
            <w:pPr>
              <w:rPr>
                <w:rFonts w:ascii="Arial"/>
                <w:sz w:val="21"/>
              </w:rPr>
            </w:pPr>
          </w:p>
        </w:tc>
        <w:tc>
          <w:tcPr>
            <w:tcW w:w="2324" w:type="dxa"/>
            <w:vMerge w:val="continue"/>
            <w:tcBorders>
              <w:top w:val="nil"/>
            </w:tcBorders>
            <w:vAlign w:val="top"/>
          </w:tcPr>
          <w:p w14:paraId="0F1D6B73">
            <w:pPr>
              <w:rPr>
                <w:rFonts w:ascii="Arial"/>
                <w:sz w:val="21"/>
              </w:rPr>
            </w:pPr>
          </w:p>
        </w:tc>
        <w:tc>
          <w:tcPr>
            <w:tcW w:w="210" w:type="dxa"/>
            <w:vAlign w:val="top"/>
          </w:tcPr>
          <w:p w14:paraId="1A4735BD">
            <w:pPr>
              <w:rPr>
                <w:rFonts w:ascii="Arial"/>
                <w:sz w:val="21"/>
              </w:rPr>
            </w:pPr>
          </w:p>
        </w:tc>
        <w:tc>
          <w:tcPr>
            <w:tcW w:w="229" w:type="dxa"/>
            <w:vAlign w:val="top"/>
          </w:tcPr>
          <w:p w14:paraId="67C0EE32">
            <w:pPr>
              <w:pStyle w:val="6"/>
              <w:spacing w:before="175" w:line="238" w:lineRule="auto"/>
              <w:ind w:left="18"/>
              <w:rPr>
                <w:sz w:val="13"/>
                <w:szCs w:val="13"/>
              </w:rPr>
            </w:pPr>
            <w:r>
              <w:rPr>
                <w:sz w:val="13"/>
                <w:szCs w:val="13"/>
              </w:rPr>
              <w:t>√</w:t>
            </w:r>
          </w:p>
        </w:tc>
        <w:tc>
          <w:tcPr>
            <w:tcW w:w="229" w:type="dxa"/>
            <w:vAlign w:val="top"/>
          </w:tcPr>
          <w:p w14:paraId="1214F75D">
            <w:pPr>
              <w:rPr>
                <w:rFonts w:ascii="Arial"/>
                <w:sz w:val="21"/>
              </w:rPr>
            </w:pPr>
          </w:p>
        </w:tc>
        <w:tc>
          <w:tcPr>
            <w:tcW w:w="234" w:type="dxa"/>
            <w:vAlign w:val="top"/>
          </w:tcPr>
          <w:p w14:paraId="4DACFB91">
            <w:pPr>
              <w:rPr>
                <w:rFonts w:ascii="Arial"/>
                <w:sz w:val="21"/>
              </w:rPr>
            </w:pPr>
          </w:p>
        </w:tc>
      </w:tr>
      <w:tr w14:paraId="0DC88D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893" w:type="dxa"/>
            <w:vMerge w:val="restart"/>
            <w:tcBorders>
              <w:bottom w:val="nil"/>
            </w:tcBorders>
            <w:vAlign w:val="top"/>
          </w:tcPr>
          <w:p w14:paraId="245572A3">
            <w:pPr>
              <w:pStyle w:val="6"/>
              <w:spacing w:before="145" w:line="235" w:lineRule="auto"/>
              <w:ind w:left="74" w:right="95"/>
              <w:rPr>
                <w:sz w:val="18"/>
                <w:szCs w:val="18"/>
              </w:rPr>
            </w:pPr>
            <w:r>
              <w:rPr>
                <w:spacing w:val="-3"/>
                <w:sz w:val="18"/>
                <w:szCs w:val="18"/>
              </w:rPr>
              <w:t>绘图的步</w:t>
            </w:r>
            <w:r>
              <w:rPr>
                <w:spacing w:val="1"/>
                <w:sz w:val="18"/>
                <w:szCs w:val="18"/>
              </w:rPr>
              <w:t xml:space="preserve"> </w:t>
            </w:r>
            <w:r>
              <w:rPr>
                <w:spacing w:val="-2"/>
                <w:sz w:val="18"/>
                <w:szCs w:val="18"/>
              </w:rPr>
              <w:t>骤和方法</w:t>
            </w:r>
          </w:p>
        </w:tc>
        <w:tc>
          <w:tcPr>
            <w:tcW w:w="2324" w:type="dxa"/>
            <w:vMerge w:val="restart"/>
            <w:tcBorders>
              <w:bottom w:val="nil"/>
            </w:tcBorders>
            <w:vAlign w:val="top"/>
          </w:tcPr>
          <w:p w14:paraId="262DBA48">
            <w:pPr>
              <w:pStyle w:val="6"/>
              <w:spacing w:before="156" w:line="221" w:lineRule="auto"/>
              <w:ind w:left="11"/>
              <w:rPr>
                <w:sz w:val="18"/>
                <w:szCs w:val="18"/>
              </w:rPr>
            </w:pPr>
            <w:r>
              <w:rPr>
                <w:spacing w:val="1"/>
                <w:sz w:val="18"/>
                <w:szCs w:val="18"/>
              </w:rPr>
              <w:t>1.绘图准备</w:t>
            </w:r>
          </w:p>
          <w:p w14:paraId="1CDEA6D9">
            <w:pPr>
              <w:pStyle w:val="6"/>
              <w:spacing w:before="3" w:line="219" w:lineRule="auto"/>
              <w:ind w:left="11"/>
              <w:rPr>
                <w:sz w:val="18"/>
                <w:szCs w:val="18"/>
              </w:rPr>
            </w:pPr>
            <w:r>
              <w:rPr>
                <w:spacing w:val="-1"/>
                <w:sz w:val="18"/>
                <w:szCs w:val="18"/>
              </w:rPr>
              <w:t>2.绘图的步骤和方法</w:t>
            </w:r>
          </w:p>
        </w:tc>
        <w:tc>
          <w:tcPr>
            <w:tcW w:w="210" w:type="dxa"/>
            <w:vAlign w:val="top"/>
          </w:tcPr>
          <w:p w14:paraId="11E47672">
            <w:pPr>
              <w:pStyle w:val="6"/>
              <w:spacing w:before="106" w:line="238" w:lineRule="auto"/>
              <w:ind w:left="37"/>
              <w:rPr>
                <w:sz w:val="13"/>
                <w:szCs w:val="13"/>
              </w:rPr>
            </w:pPr>
            <w:r>
              <w:rPr>
                <w:sz w:val="13"/>
                <w:szCs w:val="13"/>
              </w:rPr>
              <w:t>√</w:t>
            </w:r>
          </w:p>
        </w:tc>
        <w:tc>
          <w:tcPr>
            <w:tcW w:w="229" w:type="dxa"/>
            <w:vAlign w:val="top"/>
          </w:tcPr>
          <w:p w14:paraId="73E91DA7">
            <w:pPr>
              <w:rPr>
                <w:rFonts w:ascii="Arial"/>
                <w:sz w:val="21"/>
              </w:rPr>
            </w:pPr>
          </w:p>
        </w:tc>
        <w:tc>
          <w:tcPr>
            <w:tcW w:w="229" w:type="dxa"/>
            <w:vAlign w:val="top"/>
          </w:tcPr>
          <w:p w14:paraId="2CEAFFC8">
            <w:pPr>
              <w:rPr>
                <w:rFonts w:ascii="Arial"/>
                <w:sz w:val="21"/>
              </w:rPr>
            </w:pPr>
          </w:p>
        </w:tc>
        <w:tc>
          <w:tcPr>
            <w:tcW w:w="234" w:type="dxa"/>
            <w:vAlign w:val="top"/>
          </w:tcPr>
          <w:p w14:paraId="426710DC">
            <w:pPr>
              <w:rPr>
                <w:rFonts w:ascii="Arial"/>
                <w:sz w:val="21"/>
              </w:rPr>
            </w:pPr>
          </w:p>
        </w:tc>
      </w:tr>
      <w:tr w14:paraId="0D16F6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4" w:hRule="atLeast"/>
        </w:trPr>
        <w:tc>
          <w:tcPr>
            <w:tcW w:w="893" w:type="dxa"/>
            <w:vMerge w:val="continue"/>
            <w:tcBorders>
              <w:top w:val="nil"/>
            </w:tcBorders>
            <w:vAlign w:val="top"/>
          </w:tcPr>
          <w:p w14:paraId="20F9DDDB">
            <w:pPr>
              <w:rPr>
                <w:rFonts w:ascii="Arial"/>
                <w:sz w:val="21"/>
              </w:rPr>
            </w:pPr>
          </w:p>
        </w:tc>
        <w:tc>
          <w:tcPr>
            <w:tcW w:w="2324" w:type="dxa"/>
            <w:vMerge w:val="continue"/>
            <w:tcBorders>
              <w:top w:val="nil"/>
            </w:tcBorders>
            <w:vAlign w:val="top"/>
          </w:tcPr>
          <w:p w14:paraId="4DBA47A3">
            <w:pPr>
              <w:rPr>
                <w:rFonts w:ascii="Arial"/>
                <w:sz w:val="21"/>
              </w:rPr>
            </w:pPr>
          </w:p>
        </w:tc>
        <w:tc>
          <w:tcPr>
            <w:tcW w:w="210" w:type="dxa"/>
            <w:vAlign w:val="top"/>
          </w:tcPr>
          <w:p w14:paraId="74D56E28">
            <w:pPr>
              <w:rPr>
                <w:rFonts w:ascii="Arial"/>
                <w:sz w:val="21"/>
              </w:rPr>
            </w:pPr>
          </w:p>
        </w:tc>
        <w:tc>
          <w:tcPr>
            <w:tcW w:w="229" w:type="dxa"/>
            <w:vAlign w:val="top"/>
          </w:tcPr>
          <w:p w14:paraId="0E2807FE">
            <w:pPr>
              <w:rPr>
                <w:rFonts w:ascii="Arial"/>
                <w:sz w:val="21"/>
              </w:rPr>
            </w:pPr>
          </w:p>
        </w:tc>
        <w:tc>
          <w:tcPr>
            <w:tcW w:w="229" w:type="dxa"/>
            <w:vAlign w:val="top"/>
          </w:tcPr>
          <w:p w14:paraId="5B294C61">
            <w:pPr>
              <w:pStyle w:val="6"/>
              <w:spacing w:before="137" w:line="238" w:lineRule="auto"/>
              <w:ind w:left="28"/>
              <w:rPr>
                <w:sz w:val="13"/>
                <w:szCs w:val="13"/>
              </w:rPr>
            </w:pPr>
            <w:r>
              <w:rPr>
                <w:sz w:val="13"/>
                <w:szCs w:val="13"/>
              </w:rPr>
              <w:t>√</w:t>
            </w:r>
          </w:p>
        </w:tc>
        <w:tc>
          <w:tcPr>
            <w:tcW w:w="234" w:type="dxa"/>
            <w:vAlign w:val="top"/>
          </w:tcPr>
          <w:p w14:paraId="2AACA001">
            <w:pPr>
              <w:rPr>
                <w:rFonts w:ascii="Arial"/>
                <w:sz w:val="21"/>
              </w:rPr>
            </w:pPr>
          </w:p>
        </w:tc>
      </w:tr>
    </w:tbl>
    <w:p w14:paraId="44C962C0">
      <w:pPr>
        <w:spacing w:before="158" w:line="222" w:lineRule="auto"/>
        <w:ind w:left="1387"/>
        <w:rPr>
          <w:rFonts w:ascii="黑体" w:hAnsi="黑体" w:eastAsia="黑体" w:cs="黑体"/>
          <w:sz w:val="17"/>
          <w:szCs w:val="17"/>
        </w:rPr>
      </w:pPr>
      <w:r>
        <w:rPr>
          <w:rFonts w:ascii="黑体" w:hAnsi="黑体" w:eastAsia="黑体" w:cs="黑体"/>
          <w:b/>
          <w:bCs/>
          <w:spacing w:val="4"/>
          <w:sz w:val="17"/>
          <w:szCs w:val="17"/>
        </w:rPr>
        <w:t>第二章</w:t>
      </w:r>
      <w:r>
        <w:rPr>
          <w:rFonts w:ascii="黑体" w:hAnsi="黑体" w:eastAsia="黑体" w:cs="黑体"/>
          <w:spacing w:val="25"/>
          <w:w w:val="101"/>
          <w:sz w:val="17"/>
          <w:szCs w:val="17"/>
        </w:rPr>
        <w:t xml:space="preserve">  </w:t>
      </w:r>
      <w:r>
        <w:rPr>
          <w:rFonts w:ascii="黑体" w:hAnsi="黑体" w:eastAsia="黑体" w:cs="黑体"/>
          <w:b/>
          <w:bCs/>
          <w:spacing w:val="4"/>
          <w:sz w:val="17"/>
          <w:szCs w:val="17"/>
        </w:rPr>
        <w:t>投</w:t>
      </w:r>
      <w:r>
        <w:rPr>
          <w:rFonts w:ascii="黑体" w:hAnsi="黑体" w:eastAsia="黑体" w:cs="黑体"/>
          <w:spacing w:val="-30"/>
          <w:sz w:val="17"/>
          <w:szCs w:val="17"/>
        </w:rPr>
        <w:t xml:space="preserve"> </w:t>
      </w:r>
      <w:r>
        <w:rPr>
          <w:rFonts w:ascii="黑体" w:hAnsi="黑体" w:eastAsia="黑体" w:cs="黑体"/>
          <w:b/>
          <w:bCs/>
          <w:spacing w:val="4"/>
          <w:sz w:val="17"/>
          <w:szCs w:val="17"/>
        </w:rPr>
        <w:t>影</w:t>
      </w:r>
      <w:r>
        <w:rPr>
          <w:rFonts w:ascii="黑体" w:hAnsi="黑体" w:eastAsia="黑体" w:cs="黑体"/>
          <w:spacing w:val="-20"/>
          <w:sz w:val="17"/>
          <w:szCs w:val="17"/>
        </w:rPr>
        <w:t xml:space="preserve"> </w:t>
      </w:r>
      <w:r>
        <w:rPr>
          <w:rFonts w:ascii="黑体" w:hAnsi="黑体" w:eastAsia="黑体" w:cs="黑体"/>
          <w:b/>
          <w:bCs/>
          <w:spacing w:val="4"/>
          <w:sz w:val="17"/>
          <w:szCs w:val="17"/>
        </w:rPr>
        <w:t>图</w:t>
      </w:r>
    </w:p>
    <w:p w14:paraId="7C4D1B23">
      <w:pPr>
        <w:spacing w:line="77" w:lineRule="exact"/>
      </w:pPr>
    </w:p>
    <w:tbl>
      <w:tblPr>
        <w:tblStyle w:val="5"/>
        <w:tblW w:w="410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83"/>
        <w:gridCol w:w="2334"/>
        <w:gridCol w:w="210"/>
        <w:gridCol w:w="229"/>
        <w:gridCol w:w="229"/>
        <w:gridCol w:w="224"/>
      </w:tblGrid>
      <w:tr w14:paraId="42F8D2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883" w:type="dxa"/>
            <w:vMerge w:val="restart"/>
            <w:tcBorders>
              <w:top w:val="single" w:color="000000" w:sz="2" w:space="0"/>
              <w:bottom w:val="nil"/>
            </w:tcBorders>
            <w:vAlign w:val="top"/>
          </w:tcPr>
          <w:p w14:paraId="683E0645">
            <w:pPr>
              <w:pStyle w:val="6"/>
              <w:spacing w:before="145" w:line="213" w:lineRule="auto"/>
              <w:ind w:left="77" w:right="83" w:firstLine="90"/>
              <w:rPr>
                <w:sz w:val="18"/>
                <w:szCs w:val="18"/>
              </w:rPr>
            </w:pPr>
            <w:r>
              <w:rPr>
                <w:b/>
                <w:bCs/>
                <w:spacing w:val="1"/>
                <w:sz w:val="18"/>
                <w:szCs w:val="18"/>
              </w:rPr>
              <w:t>知识与</w:t>
            </w:r>
            <w:r>
              <w:rPr>
                <w:sz w:val="18"/>
                <w:szCs w:val="18"/>
              </w:rPr>
              <w:t xml:space="preserve">  </w:t>
            </w:r>
            <w:r>
              <w:rPr>
                <w:b/>
                <w:bCs/>
                <w:spacing w:val="-4"/>
                <w:sz w:val="18"/>
                <w:szCs w:val="18"/>
              </w:rPr>
              <w:t>技能要点</w:t>
            </w:r>
          </w:p>
        </w:tc>
        <w:tc>
          <w:tcPr>
            <w:tcW w:w="2334" w:type="dxa"/>
            <w:vMerge w:val="restart"/>
            <w:tcBorders>
              <w:top w:val="single" w:color="000000" w:sz="2" w:space="0"/>
              <w:bottom w:val="nil"/>
            </w:tcBorders>
            <w:vAlign w:val="top"/>
          </w:tcPr>
          <w:p w14:paraId="146A28C9">
            <w:pPr>
              <w:pStyle w:val="6"/>
              <w:spacing w:before="234" w:line="219" w:lineRule="auto"/>
              <w:ind w:left="834"/>
              <w:rPr>
                <w:sz w:val="18"/>
                <w:szCs w:val="18"/>
              </w:rPr>
            </w:pPr>
            <w:r>
              <w:rPr>
                <w:b/>
                <w:bCs/>
                <w:spacing w:val="5"/>
                <w:sz w:val="18"/>
                <w:szCs w:val="18"/>
              </w:rPr>
              <w:t>考试条目</w:t>
            </w:r>
          </w:p>
        </w:tc>
        <w:tc>
          <w:tcPr>
            <w:tcW w:w="892" w:type="dxa"/>
            <w:gridSpan w:val="4"/>
            <w:tcBorders>
              <w:top w:val="single" w:color="000000" w:sz="2" w:space="0"/>
              <w:bottom w:val="single" w:color="000000" w:sz="2" w:space="0"/>
            </w:tcBorders>
            <w:vAlign w:val="top"/>
          </w:tcPr>
          <w:p w14:paraId="1B8BBBAD">
            <w:pPr>
              <w:pStyle w:val="6"/>
              <w:spacing w:before="74" w:line="219" w:lineRule="auto"/>
              <w:ind w:left="120"/>
              <w:rPr>
                <w:sz w:val="18"/>
                <w:szCs w:val="18"/>
              </w:rPr>
            </w:pPr>
            <w:r>
              <w:rPr>
                <w:b/>
                <w:bCs/>
                <w:spacing w:val="-4"/>
                <w:sz w:val="18"/>
                <w:szCs w:val="18"/>
              </w:rPr>
              <w:t>考试水平</w:t>
            </w:r>
          </w:p>
        </w:tc>
      </w:tr>
      <w:tr w14:paraId="255358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4" w:hRule="atLeast"/>
        </w:trPr>
        <w:tc>
          <w:tcPr>
            <w:tcW w:w="883" w:type="dxa"/>
            <w:vMerge w:val="continue"/>
            <w:tcBorders>
              <w:top w:val="nil"/>
              <w:bottom w:val="single" w:color="000000" w:sz="2" w:space="0"/>
            </w:tcBorders>
            <w:vAlign w:val="top"/>
          </w:tcPr>
          <w:p w14:paraId="3BC59A31">
            <w:pPr>
              <w:rPr>
                <w:rFonts w:ascii="Arial"/>
                <w:sz w:val="21"/>
              </w:rPr>
            </w:pPr>
          </w:p>
        </w:tc>
        <w:tc>
          <w:tcPr>
            <w:tcW w:w="2334" w:type="dxa"/>
            <w:vMerge w:val="continue"/>
            <w:tcBorders>
              <w:top w:val="nil"/>
              <w:bottom w:val="single" w:color="000000" w:sz="2" w:space="0"/>
            </w:tcBorders>
            <w:vAlign w:val="top"/>
          </w:tcPr>
          <w:p w14:paraId="3A349DBC">
            <w:pPr>
              <w:rPr>
                <w:rFonts w:ascii="Arial"/>
                <w:sz w:val="21"/>
              </w:rPr>
            </w:pPr>
          </w:p>
        </w:tc>
        <w:tc>
          <w:tcPr>
            <w:tcW w:w="210" w:type="dxa"/>
            <w:tcBorders>
              <w:top w:val="single" w:color="000000" w:sz="2" w:space="0"/>
              <w:bottom w:val="single" w:color="000000" w:sz="2" w:space="0"/>
            </w:tcBorders>
            <w:vAlign w:val="top"/>
          </w:tcPr>
          <w:p w14:paraId="4B0B20B5">
            <w:pPr>
              <w:pStyle w:val="6"/>
              <w:spacing w:before="118" w:line="184" w:lineRule="auto"/>
              <w:ind w:left="20"/>
              <w:rPr>
                <w:sz w:val="18"/>
                <w:szCs w:val="18"/>
              </w:rPr>
            </w:pPr>
            <w:r>
              <w:rPr>
                <w:b/>
                <w:bCs/>
                <w:spacing w:val="-2"/>
                <w:sz w:val="18"/>
                <w:szCs w:val="18"/>
              </w:rPr>
              <w:t>A</w:t>
            </w:r>
          </w:p>
        </w:tc>
        <w:tc>
          <w:tcPr>
            <w:tcW w:w="229" w:type="dxa"/>
            <w:tcBorders>
              <w:top w:val="single" w:color="000000" w:sz="2" w:space="0"/>
              <w:bottom w:val="single" w:color="000000" w:sz="2" w:space="0"/>
            </w:tcBorders>
            <w:vAlign w:val="top"/>
          </w:tcPr>
          <w:p w14:paraId="7B60570A">
            <w:pPr>
              <w:pStyle w:val="6"/>
              <w:spacing w:before="120" w:line="182" w:lineRule="auto"/>
              <w:ind w:left="70"/>
              <w:rPr>
                <w:sz w:val="18"/>
                <w:szCs w:val="18"/>
              </w:rPr>
            </w:pPr>
            <w:r>
              <w:rPr>
                <w:b/>
                <w:bCs/>
                <w:spacing w:val="-2"/>
                <w:sz w:val="18"/>
                <w:szCs w:val="18"/>
              </w:rPr>
              <w:t>B</w:t>
            </w:r>
          </w:p>
        </w:tc>
        <w:tc>
          <w:tcPr>
            <w:tcW w:w="229" w:type="dxa"/>
            <w:tcBorders>
              <w:top w:val="single" w:color="000000" w:sz="2" w:space="0"/>
              <w:bottom w:val="single" w:color="000000" w:sz="2" w:space="0"/>
            </w:tcBorders>
            <w:vAlign w:val="top"/>
          </w:tcPr>
          <w:p w14:paraId="40709CEB">
            <w:pPr>
              <w:pStyle w:val="6"/>
              <w:spacing w:before="118" w:line="183" w:lineRule="auto"/>
              <w:ind w:left="21"/>
              <w:rPr>
                <w:sz w:val="18"/>
                <w:szCs w:val="18"/>
              </w:rPr>
            </w:pPr>
            <w:r>
              <w:rPr>
                <w:b/>
                <w:bCs/>
                <w:spacing w:val="-2"/>
                <w:sz w:val="18"/>
                <w:szCs w:val="18"/>
              </w:rPr>
              <w:t>C</w:t>
            </w:r>
          </w:p>
        </w:tc>
        <w:tc>
          <w:tcPr>
            <w:tcW w:w="224" w:type="dxa"/>
            <w:tcBorders>
              <w:top w:val="single" w:color="000000" w:sz="2" w:space="0"/>
              <w:bottom w:val="single" w:color="000000" w:sz="2" w:space="0"/>
            </w:tcBorders>
            <w:vAlign w:val="top"/>
          </w:tcPr>
          <w:p w14:paraId="777A074F">
            <w:pPr>
              <w:pStyle w:val="6"/>
              <w:spacing w:before="120" w:line="182" w:lineRule="auto"/>
              <w:ind w:left="22"/>
              <w:rPr>
                <w:sz w:val="18"/>
                <w:szCs w:val="18"/>
              </w:rPr>
            </w:pPr>
            <w:r>
              <w:rPr>
                <w:b/>
                <w:bCs/>
                <w:spacing w:val="-2"/>
                <w:sz w:val="18"/>
                <w:szCs w:val="18"/>
              </w:rPr>
              <w:t>D</w:t>
            </w:r>
          </w:p>
        </w:tc>
      </w:tr>
      <w:tr w14:paraId="631AF5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5" w:hRule="atLeast"/>
        </w:trPr>
        <w:tc>
          <w:tcPr>
            <w:tcW w:w="883" w:type="dxa"/>
            <w:vMerge w:val="restart"/>
            <w:tcBorders>
              <w:top w:val="single" w:color="000000" w:sz="2" w:space="0"/>
              <w:bottom w:val="nil"/>
            </w:tcBorders>
            <w:vAlign w:val="top"/>
          </w:tcPr>
          <w:p w14:paraId="1243855C">
            <w:pPr>
              <w:spacing w:line="313" w:lineRule="auto"/>
              <w:rPr>
                <w:rFonts w:ascii="Arial"/>
                <w:sz w:val="21"/>
              </w:rPr>
            </w:pPr>
          </w:p>
          <w:p w14:paraId="30EC4928">
            <w:pPr>
              <w:spacing w:line="313" w:lineRule="auto"/>
              <w:rPr>
                <w:rFonts w:ascii="Arial"/>
                <w:sz w:val="21"/>
              </w:rPr>
            </w:pPr>
          </w:p>
          <w:p w14:paraId="026F66B9">
            <w:pPr>
              <w:spacing w:line="314" w:lineRule="auto"/>
              <w:rPr>
                <w:rFonts w:ascii="Arial"/>
                <w:sz w:val="21"/>
              </w:rPr>
            </w:pPr>
          </w:p>
          <w:p w14:paraId="153CF3E6">
            <w:pPr>
              <w:pStyle w:val="6"/>
              <w:spacing w:before="58" w:line="220" w:lineRule="auto"/>
              <w:ind w:left="74"/>
              <w:rPr>
                <w:sz w:val="18"/>
                <w:szCs w:val="18"/>
              </w:rPr>
            </w:pPr>
            <w:r>
              <w:rPr>
                <w:spacing w:val="-2"/>
                <w:sz w:val="18"/>
                <w:szCs w:val="18"/>
              </w:rPr>
              <w:t>投影的基</w:t>
            </w:r>
          </w:p>
          <w:p w14:paraId="14071408">
            <w:pPr>
              <w:pStyle w:val="6"/>
              <w:spacing w:before="3" w:line="219" w:lineRule="auto"/>
              <w:ind w:left="165"/>
              <w:rPr>
                <w:sz w:val="18"/>
                <w:szCs w:val="18"/>
              </w:rPr>
            </w:pPr>
            <w:r>
              <w:rPr>
                <w:spacing w:val="-2"/>
                <w:sz w:val="18"/>
                <w:szCs w:val="18"/>
              </w:rPr>
              <w:t>本知识</w:t>
            </w:r>
          </w:p>
        </w:tc>
        <w:tc>
          <w:tcPr>
            <w:tcW w:w="2334" w:type="dxa"/>
            <w:vMerge w:val="restart"/>
            <w:tcBorders>
              <w:top w:val="single" w:color="000000" w:sz="2" w:space="0"/>
              <w:bottom w:val="nil"/>
            </w:tcBorders>
            <w:vAlign w:val="top"/>
          </w:tcPr>
          <w:p w14:paraId="4C9C6466">
            <w:pPr>
              <w:pStyle w:val="6"/>
              <w:spacing w:before="104" w:line="219" w:lineRule="auto"/>
              <w:ind w:left="12"/>
              <w:rPr>
                <w:sz w:val="18"/>
                <w:szCs w:val="18"/>
              </w:rPr>
            </w:pPr>
            <w:r>
              <w:rPr>
                <w:sz w:val="18"/>
                <w:szCs w:val="18"/>
              </w:rPr>
              <w:t>1.投影的分类与概念</w:t>
            </w:r>
          </w:p>
          <w:p w14:paraId="3D25175C">
            <w:pPr>
              <w:pStyle w:val="6"/>
              <w:spacing w:before="7" w:line="222" w:lineRule="auto"/>
              <w:ind w:left="12" w:right="138"/>
              <w:rPr>
                <w:sz w:val="18"/>
                <w:szCs w:val="18"/>
              </w:rPr>
            </w:pPr>
            <w:r>
              <w:rPr>
                <w:spacing w:val="1"/>
                <w:sz w:val="18"/>
                <w:szCs w:val="18"/>
              </w:rPr>
              <w:t>2.点、直线、平面正投影的</w:t>
            </w:r>
            <w:r>
              <w:rPr>
                <w:sz w:val="18"/>
                <w:szCs w:val="18"/>
              </w:rPr>
              <w:t xml:space="preserve"> </w:t>
            </w:r>
            <w:r>
              <w:rPr>
                <w:spacing w:val="-2"/>
                <w:sz w:val="18"/>
                <w:szCs w:val="18"/>
              </w:rPr>
              <w:t>特性</w:t>
            </w:r>
          </w:p>
          <w:p w14:paraId="0FD188D0">
            <w:pPr>
              <w:pStyle w:val="6"/>
              <w:spacing w:before="7" w:line="227" w:lineRule="auto"/>
              <w:ind w:left="12" w:right="162"/>
              <w:rPr>
                <w:sz w:val="18"/>
                <w:szCs w:val="18"/>
              </w:rPr>
            </w:pPr>
            <w:r>
              <w:rPr>
                <w:spacing w:val="-1"/>
                <w:sz w:val="18"/>
                <w:szCs w:val="18"/>
              </w:rPr>
              <w:t>3.三面投影图的形成与展开</w:t>
            </w:r>
            <w:r>
              <w:rPr>
                <w:spacing w:val="1"/>
                <w:sz w:val="18"/>
                <w:szCs w:val="18"/>
              </w:rPr>
              <w:t xml:space="preserve"> </w:t>
            </w:r>
            <w:r>
              <w:rPr>
                <w:spacing w:val="-1"/>
                <w:sz w:val="18"/>
                <w:szCs w:val="18"/>
              </w:rPr>
              <w:t>4.三面正投影图的规律</w:t>
            </w:r>
          </w:p>
          <w:p w14:paraId="167AAC2F">
            <w:pPr>
              <w:pStyle w:val="6"/>
              <w:spacing w:before="17" w:line="215" w:lineRule="auto"/>
              <w:ind w:left="12"/>
              <w:rPr>
                <w:sz w:val="18"/>
                <w:szCs w:val="18"/>
              </w:rPr>
            </w:pPr>
            <w:r>
              <w:rPr>
                <w:spacing w:val="-1"/>
                <w:sz w:val="18"/>
                <w:szCs w:val="18"/>
              </w:rPr>
              <w:t>5.三面投影图的作图方法</w:t>
            </w:r>
          </w:p>
          <w:p w14:paraId="5B74254B">
            <w:pPr>
              <w:pStyle w:val="6"/>
              <w:spacing w:line="232" w:lineRule="auto"/>
              <w:ind w:left="12" w:right="150" w:firstLine="10"/>
              <w:rPr>
                <w:sz w:val="18"/>
                <w:szCs w:val="18"/>
              </w:rPr>
            </w:pPr>
            <w:r>
              <w:rPr>
                <w:spacing w:val="-1"/>
                <w:sz w:val="18"/>
                <w:szCs w:val="18"/>
              </w:rPr>
              <w:t>6.点、直线、平面三面投影</w:t>
            </w:r>
            <w:r>
              <w:rPr>
                <w:spacing w:val="3"/>
                <w:sz w:val="18"/>
                <w:szCs w:val="18"/>
              </w:rPr>
              <w:t xml:space="preserve"> </w:t>
            </w:r>
            <w:r>
              <w:rPr>
                <w:spacing w:val="1"/>
                <w:sz w:val="18"/>
                <w:szCs w:val="18"/>
              </w:rPr>
              <w:t>图的作法和特性</w:t>
            </w:r>
          </w:p>
        </w:tc>
        <w:tc>
          <w:tcPr>
            <w:tcW w:w="210" w:type="dxa"/>
            <w:tcBorders>
              <w:top w:val="single" w:color="000000" w:sz="2" w:space="0"/>
              <w:bottom w:val="single" w:color="000000" w:sz="2" w:space="0"/>
            </w:tcBorders>
            <w:vAlign w:val="top"/>
          </w:tcPr>
          <w:p w14:paraId="009EE3A4">
            <w:pPr>
              <w:pStyle w:val="6"/>
              <w:spacing w:before="105" w:line="238" w:lineRule="auto"/>
              <w:ind w:left="18"/>
              <w:rPr>
                <w:sz w:val="13"/>
                <w:szCs w:val="13"/>
              </w:rPr>
            </w:pPr>
            <w:r>
              <w:rPr>
                <w:sz w:val="13"/>
                <w:szCs w:val="13"/>
              </w:rPr>
              <w:t>√</w:t>
            </w:r>
          </w:p>
        </w:tc>
        <w:tc>
          <w:tcPr>
            <w:tcW w:w="229" w:type="dxa"/>
            <w:tcBorders>
              <w:top w:val="single" w:color="000000" w:sz="2" w:space="0"/>
              <w:bottom w:val="single" w:color="000000" w:sz="2" w:space="0"/>
            </w:tcBorders>
            <w:vAlign w:val="top"/>
          </w:tcPr>
          <w:p w14:paraId="424A2144">
            <w:pPr>
              <w:rPr>
                <w:rFonts w:ascii="Arial"/>
                <w:sz w:val="21"/>
              </w:rPr>
            </w:pPr>
          </w:p>
        </w:tc>
        <w:tc>
          <w:tcPr>
            <w:tcW w:w="229" w:type="dxa"/>
            <w:tcBorders>
              <w:top w:val="single" w:color="000000" w:sz="2" w:space="0"/>
              <w:bottom w:val="single" w:color="000000" w:sz="2" w:space="0"/>
            </w:tcBorders>
            <w:vAlign w:val="top"/>
          </w:tcPr>
          <w:p w14:paraId="753A3DF9">
            <w:pPr>
              <w:rPr>
                <w:rFonts w:ascii="Arial"/>
                <w:sz w:val="21"/>
              </w:rPr>
            </w:pPr>
          </w:p>
        </w:tc>
        <w:tc>
          <w:tcPr>
            <w:tcW w:w="224" w:type="dxa"/>
            <w:tcBorders>
              <w:top w:val="single" w:color="000000" w:sz="2" w:space="0"/>
              <w:bottom w:val="single" w:color="000000" w:sz="2" w:space="0"/>
            </w:tcBorders>
            <w:vAlign w:val="top"/>
          </w:tcPr>
          <w:p w14:paraId="298F3325">
            <w:pPr>
              <w:rPr>
                <w:rFonts w:ascii="Arial"/>
                <w:sz w:val="21"/>
              </w:rPr>
            </w:pPr>
          </w:p>
        </w:tc>
      </w:tr>
      <w:tr w14:paraId="724158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5" w:hRule="atLeast"/>
        </w:trPr>
        <w:tc>
          <w:tcPr>
            <w:tcW w:w="883" w:type="dxa"/>
            <w:vMerge w:val="continue"/>
            <w:tcBorders>
              <w:top w:val="nil"/>
              <w:bottom w:val="nil"/>
            </w:tcBorders>
            <w:vAlign w:val="top"/>
          </w:tcPr>
          <w:p w14:paraId="09358678">
            <w:pPr>
              <w:rPr>
                <w:rFonts w:ascii="Arial"/>
                <w:sz w:val="21"/>
              </w:rPr>
            </w:pPr>
          </w:p>
        </w:tc>
        <w:tc>
          <w:tcPr>
            <w:tcW w:w="2334" w:type="dxa"/>
            <w:vMerge w:val="continue"/>
            <w:tcBorders>
              <w:top w:val="nil"/>
              <w:bottom w:val="nil"/>
            </w:tcBorders>
            <w:vAlign w:val="top"/>
          </w:tcPr>
          <w:p w14:paraId="7410CD83">
            <w:pPr>
              <w:rPr>
                <w:rFonts w:ascii="Arial"/>
                <w:sz w:val="21"/>
              </w:rPr>
            </w:pPr>
          </w:p>
        </w:tc>
        <w:tc>
          <w:tcPr>
            <w:tcW w:w="210" w:type="dxa"/>
            <w:tcBorders>
              <w:top w:val="single" w:color="000000" w:sz="2" w:space="0"/>
              <w:bottom w:val="single" w:color="000000" w:sz="2" w:space="0"/>
            </w:tcBorders>
            <w:vAlign w:val="top"/>
          </w:tcPr>
          <w:p w14:paraId="32F9E8FC">
            <w:pPr>
              <w:rPr>
                <w:rFonts w:ascii="Arial"/>
                <w:sz w:val="21"/>
              </w:rPr>
            </w:pPr>
          </w:p>
        </w:tc>
        <w:tc>
          <w:tcPr>
            <w:tcW w:w="229" w:type="dxa"/>
            <w:tcBorders>
              <w:top w:val="single" w:color="000000" w:sz="2" w:space="0"/>
              <w:bottom w:val="single" w:color="000000" w:sz="2" w:space="0"/>
            </w:tcBorders>
            <w:vAlign w:val="top"/>
          </w:tcPr>
          <w:p w14:paraId="718247CD">
            <w:pPr>
              <w:pStyle w:val="6"/>
              <w:spacing w:before="105" w:line="238" w:lineRule="auto"/>
              <w:ind w:left="47"/>
              <w:rPr>
                <w:sz w:val="13"/>
                <w:szCs w:val="13"/>
              </w:rPr>
            </w:pPr>
            <w:r>
              <w:rPr>
                <w:sz w:val="13"/>
                <w:szCs w:val="13"/>
              </w:rPr>
              <w:t>√</w:t>
            </w:r>
          </w:p>
        </w:tc>
        <w:tc>
          <w:tcPr>
            <w:tcW w:w="229" w:type="dxa"/>
            <w:tcBorders>
              <w:top w:val="single" w:color="000000" w:sz="2" w:space="0"/>
              <w:bottom w:val="single" w:color="000000" w:sz="2" w:space="0"/>
            </w:tcBorders>
            <w:vAlign w:val="top"/>
          </w:tcPr>
          <w:p w14:paraId="1A449C8F">
            <w:pPr>
              <w:rPr>
                <w:rFonts w:ascii="Arial"/>
                <w:sz w:val="21"/>
              </w:rPr>
            </w:pPr>
          </w:p>
        </w:tc>
        <w:tc>
          <w:tcPr>
            <w:tcW w:w="224" w:type="dxa"/>
            <w:tcBorders>
              <w:top w:val="single" w:color="000000" w:sz="2" w:space="0"/>
              <w:bottom w:val="single" w:color="000000" w:sz="2" w:space="0"/>
            </w:tcBorders>
            <w:vAlign w:val="top"/>
          </w:tcPr>
          <w:p w14:paraId="20B2726A">
            <w:pPr>
              <w:rPr>
                <w:rFonts w:ascii="Arial"/>
                <w:sz w:val="21"/>
              </w:rPr>
            </w:pPr>
          </w:p>
        </w:tc>
      </w:tr>
      <w:tr w14:paraId="0034AD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5" w:hRule="atLeast"/>
        </w:trPr>
        <w:tc>
          <w:tcPr>
            <w:tcW w:w="883" w:type="dxa"/>
            <w:vMerge w:val="continue"/>
            <w:tcBorders>
              <w:top w:val="nil"/>
              <w:bottom w:val="nil"/>
            </w:tcBorders>
            <w:vAlign w:val="top"/>
          </w:tcPr>
          <w:p w14:paraId="2AECF2A2">
            <w:pPr>
              <w:rPr>
                <w:rFonts w:ascii="Arial"/>
                <w:sz w:val="21"/>
              </w:rPr>
            </w:pPr>
          </w:p>
        </w:tc>
        <w:tc>
          <w:tcPr>
            <w:tcW w:w="2334" w:type="dxa"/>
            <w:vMerge w:val="continue"/>
            <w:tcBorders>
              <w:top w:val="nil"/>
              <w:bottom w:val="nil"/>
            </w:tcBorders>
            <w:vAlign w:val="top"/>
          </w:tcPr>
          <w:p w14:paraId="47F87343">
            <w:pPr>
              <w:rPr>
                <w:rFonts w:ascii="Arial"/>
                <w:sz w:val="21"/>
              </w:rPr>
            </w:pPr>
          </w:p>
        </w:tc>
        <w:tc>
          <w:tcPr>
            <w:tcW w:w="210" w:type="dxa"/>
            <w:tcBorders>
              <w:top w:val="single" w:color="000000" w:sz="2" w:space="0"/>
              <w:bottom w:val="single" w:color="000000" w:sz="2" w:space="0"/>
            </w:tcBorders>
            <w:vAlign w:val="top"/>
          </w:tcPr>
          <w:p w14:paraId="532905E2">
            <w:pPr>
              <w:pStyle w:val="6"/>
              <w:spacing w:before="105" w:line="238" w:lineRule="auto"/>
              <w:ind w:left="18"/>
              <w:rPr>
                <w:sz w:val="13"/>
                <w:szCs w:val="13"/>
              </w:rPr>
            </w:pPr>
            <w:r>
              <w:rPr>
                <w:sz w:val="13"/>
                <w:szCs w:val="13"/>
              </w:rPr>
              <w:t>√</w:t>
            </w:r>
          </w:p>
        </w:tc>
        <w:tc>
          <w:tcPr>
            <w:tcW w:w="229" w:type="dxa"/>
            <w:tcBorders>
              <w:top w:val="single" w:color="000000" w:sz="2" w:space="0"/>
              <w:bottom w:val="single" w:color="000000" w:sz="2" w:space="0"/>
            </w:tcBorders>
            <w:vAlign w:val="top"/>
          </w:tcPr>
          <w:p w14:paraId="47D306B5">
            <w:pPr>
              <w:rPr>
                <w:rFonts w:ascii="Arial"/>
                <w:sz w:val="21"/>
              </w:rPr>
            </w:pPr>
          </w:p>
        </w:tc>
        <w:tc>
          <w:tcPr>
            <w:tcW w:w="229" w:type="dxa"/>
            <w:tcBorders>
              <w:top w:val="single" w:color="000000" w:sz="2" w:space="0"/>
              <w:bottom w:val="single" w:color="000000" w:sz="2" w:space="0"/>
            </w:tcBorders>
            <w:vAlign w:val="top"/>
          </w:tcPr>
          <w:p w14:paraId="13AF8C2D">
            <w:pPr>
              <w:rPr>
                <w:rFonts w:ascii="Arial"/>
                <w:sz w:val="21"/>
              </w:rPr>
            </w:pPr>
          </w:p>
        </w:tc>
        <w:tc>
          <w:tcPr>
            <w:tcW w:w="224" w:type="dxa"/>
            <w:tcBorders>
              <w:top w:val="single" w:color="000000" w:sz="2" w:space="0"/>
              <w:bottom w:val="single" w:color="000000" w:sz="2" w:space="0"/>
            </w:tcBorders>
            <w:vAlign w:val="top"/>
          </w:tcPr>
          <w:p w14:paraId="4D9D4961">
            <w:pPr>
              <w:rPr>
                <w:rFonts w:ascii="Arial"/>
                <w:sz w:val="21"/>
              </w:rPr>
            </w:pPr>
          </w:p>
        </w:tc>
      </w:tr>
      <w:tr w14:paraId="31CD01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5" w:hRule="atLeast"/>
        </w:trPr>
        <w:tc>
          <w:tcPr>
            <w:tcW w:w="883" w:type="dxa"/>
            <w:vMerge w:val="continue"/>
            <w:tcBorders>
              <w:top w:val="nil"/>
              <w:bottom w:val="nil"/>
            </w:tcBorders>
            <w:vAlign w:val="top"/>
          </w:tcPr>
          <w:p w14:paraId="53720443">
            <w:pPr>
              <w:rPr>
                <w:rFonts w:ascii="Arial"/>
                <w:sz w:val="21"/>
              </w:rPr>
            </w:pPr>
          </w:p>
        </w:tc>
        <w:tc>
          <w:tcPr>
            <w:tcW w:w="2334" w:type="dxa"/>
            <w:vMerge w:val="continue"/>
            <w:tcBorders>
              <w:top w:val="nil"/>
              <w:bottom w:val="nil"/>
            </w:tcBorders>
            <w:vAlign w:val="top"/>
          </w:tcPr>
          <w:p w14:paraId="18125F8B">
            <w:pPr>
              <w:rPr>
                <w:rFonts w:ascii="Arial"/>
                <w:sz w:val="21"/>
              </w:rPr>
            </w:pPr>
          </w:p>
        </w:tc>
        <w:tc>
          <w:tcPr>
            <w:tcW w:w="210" w:type="dxa"/>
            <w:tcBorders>
              <w:top w:val="single" w:color="000000" w:sz="2" w:space="0"/>
              <w:bottom w:val="single" w:color="000000" w:sz="2" w:space="0"/>
            </w:tcBorders>
            <w:vAlign w:val="top"/>
          </w:tcPr>
          <w:p w14:paraId="79653471">
            <w:pPr>
              <w:rPr>
                <w:rFonts w:ascii="Arial"/>
                <w:sz w:val="21"/>
              </w:rPr>
            </w:pPr>
          </w:p>
        </w:tc>
        <w:tc>
          <w:tcPr>
            <w:tcW w:w="229" w:type="dxa"/>
            <w:tcBorders>
              <w:top w:val="single" w:color="000000" w:sz="2" w:space="0"/>
              <w:bottom w:val="single" w:color="000000" w:sz="2" w:space="0"/>
            </w:tcBorders>
            <w:vAlign w:val="top"/>
          </w:tcPr>
          <w:p w14:paraId="7B51C1E3">
            <w:pPr>
              <w:rPr>
                <w:rFonts w:ascii="Arial"/>
                <w:sz w:val="21"/>
              </w:rPr>
            </w:pPr>
          </w:p>
        </w:tc>
        <w:tc>
          <w:tcPr>
            <w:tcW w:w="229" w:type="dxa"/>
            <w:tcBorders>
              <w:top w:val="single" w:color="000000" w:sz="2" w:space="0"/>
              <w:bottom w:val="single" w:color="000000" w:sz="2" w:space="0"/>
            </w:tcBorders>
            <w:vAlign w:val="top"/>
          </w:tcPr>
          <w:p w14:paraId="711FED09">
            <w:pPr>
              <w:pStyle w:val="6"/>
              <w:spacing w:before="81" w:line="219" w:lineRule="auto"/>
              <w:ind w:left="9"/>
              <w:rPr>
                <w:sz w:val="18"/>
                <w:szCs w:val="18"/>
              </w:rPr>
            </w:pPr>
            <w:r>
              <w:rPr>
                <w:sz w:val="18"/>
                <w:szCs w:val="18"/>
              </w:rPr>
              <w:t>√</w:t>
            </w:r>
          </w:p>
        </w:tc>
        <w:tc>
          <w:tcPr>
            <w:tcW w:w="224" w:type="dxa"/>
            <w:tcBorders>
              <w:top w:val="single" w:color="000000" w:sz="2" w:space="0"/>
              <w:bottom w:val="single" w:color="000000" w:sz="2" w:space="0"/>
            </w:tcBorders>
            <w:vAlign w:val="top"/>
          </w:tcPr>
          <w:p w14:paraId="43DA427E">
            <w:pPr>
              <w:rPr>
                <w:rFonts w:ascii="Arial"/>
                <w:sz w:val="21"/>
              </w:rPr>
            </w:pPr>
          </w:p>
        </w:tc>
      </w:tr>
      <w:tr w14:paraId="339CB9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5" w:hRule="atLeast"/>
        </w:trPr>
        <w:tc>
          <w:tcPr>
            <w:tcW w:w="883" w:type="dxa"/>
            <w:vMerge w:val="continue"/>
            <w:tcBorders>
              <w:top w:val="nil"/>
              <w:bottom w:val="nil"/>
            </w:tcBorders>
            <w:vAlign w:val="top"/>
          </w:tcPr>
          <w:p w14:paraId="7D0D9EBB">
            <w:pPr>
              <w:rPr>
                <w:rFonts w:ascii="Arial"/>
                <w:sz w:val="21"/>
              </w:rPr>
            </w:pPr>
          </w:p>
        </w:tc>
        <w:tc>
          <w:tcPr>
            <w:tcW w:w="2334" w:type="dxa"/>
            <w:vMerge w:val="continue"/>
            <w:tcBorders>
              <w:top w:val="nil"/>
              <w:bottom w:val="nil"/>
            </w:tcBorders>
            <w:vAlign w:val="top"/>
          </w:tcPr>
          <w:p w14:paraId="5EB1B4DE">
            <w:pPr>
              <w:rPr>
                <w:rFonts w:ascii="Arial"/>
                <w:sz w:val="21"/>
              </w:rPr>
            </w:pPr>
          </w:p>
        </w:tc>
        <w:tc>
          <w:tcPr>
            <w:tcW w:w="210" w:type="dxa"/>
            <w:tcBorders>
              <w:top w:val="single" w:color="000000" w:sz="2" w:space="0"/>
              <w:bottom w:val="single" w:color="000000" w:sz="2" w:space="0"/>
            </w:tcBorders>
            <w:vAlign w:val="top"/>
          </w:tcPr>
          <w:p w14:paraId="545E0DA3">
            <w:pPr>
              <w:rPr>
                <w:rFonts w:ascii="Arial"/>
                <w:sz w:val="21"/>
              </w:rPr>
            </w:pPr>
          </w:p>
        </w:tc>
        <w:tc>
          <w:tcPr>
            <w:tcW w:w="229" w:type="dxa"/>
            <w:tcBorders>
              <w:top w:val="single" w:color="000000" w:sz="2" w:space="0"/>
              <w:bottom w:val="single" w:color="000000" w:sz="2" w:space="0"/>
            </w:tcBorders>
            <w:vAlign w:val="top"/>
          </w:tcPr>
          <w:p w14:paraId="600CE9B0">
            <w:pPr>
              <w:rPr>
                <w:rFonts w:ascii="Arial"/>
                <w:sz w:val="21"/>
              </w:rPr>
            </w:pPr>
          </w:p>
        </w:tc>
        <w:tc>
          <w:tcPr>
            <w:tcW w:w="229" w:type="dxa"/>
            <w:tcBorders>
              <w:top w:val="single" w:color="000000" w:sz="2" w:space="0"/>
              <w:bottom w:val="single" w:color="000000" w:sz="2" w:space="0"/>
            </w:tcBorders>
            <w:vAlign w:val="top"/>
          </w:tcPr>
          <w:p w14:paraId="22413D66">
            <w:pPr>
              <w:pStyle w:val="6"/>
              <w:spacing w:before="121" w:line="182" w:lineRule="auto"/>
              <w:ind w:left="9"/>
              <w:rPr>
                <w:sz w:val="18"/>
                <w:szCs w:val="18"/>
              </w:rPr>
            </w:pPr>
            <w:r>
              <w:rPr>
                <w:sz w:val="18"/>
                <w:szCs w:val="18"/>
              </w:rPr>
              <w:t>V</w:t>
            </w:r>
          </w:p>
        </w:tc>
        <w:tc>
          <w:tcPr>
            <w:tcW w:w="224" w:type="dxa"/>
            <w:tcBorders>
              <w:top w:val="single" w:color="000000" w:sz="2" w:space="0"/>
              <w:bottom w:val="single" w:color="000000" w:sz="2" w:space="0"/>
            </w:tcBorders>
            <w:vAlign w:val="top"/>
          </w:tcPr>
          <w:p w14:paraId="024BD95E">
            <w:pPr>
              <w:rPr>
                <w:rFonts w:ascii="Arial"/>
                <w:sz w:val="21"/>
              </w:rPr>
            </w:pPr>
          </w:p>
        </w:tc>
      </w:tr>
      <w:tr w14:paraId="482D9F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4" w:hRule="atLeast"/>
        </w:trPr>
        <w:tc>
          <w:tcPr>
            <w:tcW w:w="883" w:type="dxa"/>
            <w:vMerge w:val="continue"/>
            <w:tcBorders>
              <w:top w:val="nil"/>
              <w:bottom w:val="single" w:color="000000" w:sz="2" w:space="0"/>
            </w:tcBorders>
            <w:vAlign w:val="top"/>
          </w:tcPr>
          <w:p w14:paraId="17EFB9E1">
            <w:pPr>
              <w:rPr>
                <w:rFonts w:ascii="Arial"/>
                <w:sz w:val="21"/>
              </w:rPr>
            </w:pPr>
          </w:p>
        </w:tc>
        <w:tc>
          <w:tcPr>
            <w:tcW w:w="2334" w:type="dxa"/>
            <w:vMerge w:val="continue"/>
            <w:tcBorders>
              <w:top w:val="nil"/>
              <w:bottom w:val="single" w:color="000000" w:sz="2" w:space="0"/>
            </w:tcBorders>
            <w:vAlign w:val="top"/>
          </w:tcPr>
          <w:p w14:paraId="0D500088">
            <w:pPr>
              <w:rPr>
                <w:rFonts w:ascii="Arial"/>
                <w:sz w:val="21"/>
              </w:rPr>
            </w:pPr>
          </w:p>
        </w:tc>
        <w:tc>
          <w:tcPr>
            <w:tcW w:w="210" w:type="dxa"/>
            <w:tcBorders>
              <w:top w:val="single" w:color="000000" w:sz="2" w:space="0"/>
              <w:bottom w:val="single" w:color="000000" w:sz="2" w:space="0"/>
            </w:tcBorders>
            <w:vAlign w:val="top"/>
          </w:tcPr>
          <w:p w14:paraId="1FF34A9D">
            <w:pPr>
              <w:rPr>
                <w:rFonts w:ascii="Arial"/>
                <w:sz w:val="21"/>
              </w:rPr>
            </w:pPr>
          </w:p>
        </w:tc>
        <w:tc>
          <w:tcPr>
            <w:tcW w:w="229" w:type="dxa"/>
            <w:tcBorders>
              <w:top w:val="single" w:color="000000" w:sz="2" w:space="0"/>
              <w:bottom w:val="single" w:color="000000" w:sz="2" w:space="0"/>
            </w:tcBorders>
            <w:vAlign w:val="top"/>
          </w:tcPr>
          <w:p w14:paraId="0126D0D7">
            <w:pPr>
              <w:rPr>
                <w:rFonts w:ascii="Arial"/>
                <w:sz w:val="21"/>
              </w:rPr>
            </w:pPr>
          </w:p>
        </w:tc>
        <w:tc>
          <w:tcPr>
            <w:tcW w:w="229" w:type="dxa"/>
            <w:tcBorders>
              <w:top w:val="single" w:color="000000" w:sz="2" w:space="0"/>
              <w:bottom w:val="single" w:color="000000" w:sz="2" w:space="0"/>
            </w:tcBorders>
            <w:vAlign w:val="top"/>
          </w:tcPr>
          <w:p w14:paraId="308B6E0C">
            <w:pPr>
              <w:pStyle w:val="6"/>
              <w:spacing w:before="91" w:line="228" w:lineRule="auto"/>
              <w:ind w:left="9"/>
              <w:rPr>
                <w:sz w:val="18"/>
                <w:szCs w:val="18"/>
              </w:rPr>
            </w:pPr>
            <w:r>
              <w:rPr>
                <w:sz w:val="18"/>
                <w:szCs w:val="18"/>
              </w:rPr>
              <w:t>√</w:t>
            </w:r>
          </w:p>
        </w:tc>
        <w:tc>
          <w:tcPr>
            <w:tcW w:w="224" w:type="dxa"/>
            <w:tcBorders>
              <w:top w:val="single" w:color="000000" w:sz="2" w:space="0"/>
              <w:bottom w:val="single" w:color="000000" w:sz="2" w:space="0"/>
            </w:tcBorders>
            <w:vAlign w:val="top"/>
          </w:tcPr>
          <w:p w14:paraId="6DB173F7">
            <w:pPr>
              <w:rPr>
                <w:rFonts w:ascii="Arial"/>
                <w:sz w:val="21"/>
              </w:rPr>
            </w:pPr>
          </w:p>
        </w:tc>
      </w:tr>
      <w:tr w14:paraId="473E5B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5" w:hRule="atLeast"/>
        </w:trPr>
        <w:tc>
          <w:tcPr>
            <w:tcW w:w="883" w:type="dxa"/>
            <w:vMerge w:val="restart"/>
            <w:tcBorders>
              <w:top w:val="single" w:color="000000" w:sz="2" w:space="0"/>
              <w:bottom w:val="nil"/>
            </w:tcBorders>
            <w:vAlign w:val="top"/>
          </w:tcPr>
          <w:p w14:paraId="327BDC2E">
            <w:pPr>
              <w:pStyle w:val="6"/>
              <w:spacing w:before="123" w:line="219" w:lineRule="auto"/>
              <w:ind w:left="74"/>
              <w:rPr>
                <w:sz w:val="18"/>
                <w:szCs w:val="18"/>
              </w:rPr>
            </w:pPr>
            <w:r>
              <w:rPr>
                <w:spacing w:val="-2"/>
                <w:sz w:val="18"/>
                <w:szCs w:val="18"/>
              </w:rPr>
              <w:t>简单立体</w:t>
            </w:r>
          </w:p>
          <w:p w14:paraId="72434E73">
            <w:pPr>
              <w:pStyle w:val="6"/>
              <w:spacing w:before="38" w:line="220" w:lineRule="auto"/>
              <w:ind w:left="165"/>
              <w:rPr>
                <w:sz w:val="18"/>
                <w:szCs w:val="18"/>
              </w:rPr>
            </w:pPr>
            <w:r>
              <w:rPr>
                <w:spacing w:val="2"/>
                <w:sz w:val="18"/>
                <w:szCs w:val="18"/>
              </w:rPr>
              <w:t>的投影</w:t>
            </w:r>
          </w:p>
        </w:tc>
        <w:tc>
          <w:tcPr>
            <w:tcW w:w="2334" w:type="dxa"/>
            <w:vMerge w:val="restart"/>
            <w:tcBorders>
              <w:top w:val="single" w:color="000000" w:sz="2" w:space="0"/>
              <w:bottom w:val="nil"/>
            </w:tcBorders>
            <w:vAlign w:val="top"/>
          </w:tcPr>
          <w:p w14:paraId="23E23DD1">
            <w:pPr>
              <w:pStyle w:val="6"/>
              <w:spacing w:before="154" w:line="223" w:lineRule="auto"/>
              <w:ind w:left="12" w:right="1044"/>
              <w:rPr>
                <w:sz w:val="18"/>
                <w:szCs w:val="18"/>
              </w:rPr>
            </w:pPr>
            <w:r>
              <w:rPr>
                <w:sz w:val="18"/>
                <w:szCs w:val="18"/>
              </w:rPr>
              <w:t>1.平面体的投影</w:t>
            </w:r>
            <w:r>
              <w:rPr>
                <w:spacing w:val="6"/>
                <w:sz w:val="18"/>
                <w:szCs w:val="18"/>
              </w:rPr>
              <w:t xml:space="preserve"> </w:t>
            </w:r>
            <w:r>
              <w:rPr>
                <w:spacing w:val="-1"/>
                <w:sz w:val="18"/>
                <w:szCs w:val="18"/>
              </w:rPr>
              <w:t>2.曲面体的投影</w:t>
            </w:r>
          </w:p>
        </w:tc>
        <w:tc>
          <w:tcPr>
            <w:tcW w:w="210" w:type="dxa"/>
            <w:tcBorders>
              <w:top w:val="single" w:color="000000" w:sz="2" w:space="0"/>
              <w:bottom w:val="single" w:color="000000" w:sz="2" w:space="0"/>
            </w:tcBorders>
            <w:vAlign w:val="top"/>
          </w:tcPr>
          <w:p w14:paraId="25A4A128">
            <w:pPr>
              <w:rPr>
                <w:rFonts w:ascii="Arial"/>
                <w:sz w:val="21"/>
              </w:rPr>
            </w:pPr>
          </w:p>
        </w:tc>
        <w:tc>
          <w:tcPr>
            <w:tcW w:w="229" w:type="dxa"/>
            <w:tcBorders>
              <w:top w:val="single" w:color="000000" w:sz="2" w:space="0"/>
              <w:bottom w:val="single" w:color="000000" w:sz="2" w:space="0"/>
            </w:tcBorders>
            <w:vAlign w:val="top"/>
          </w:tcPr>
          <w:p w14:paraId="1020AF40">
            <w:pPr>
              <w:pStyle w:val="6"/>
              <w:spacing w:before="115" w:line="238" w:lineRule="auto"/>
              <w:ind w:left="47"/>
              <w:rPr>
                <w:sz w:val="13"/>
                <w:szCs w:val="13"/>
              </w:rPr>
            </w:pPr>
            <w:r>
              <w:rPr>
                <w:sz w:val="13"/>
                <w:szCs w:val="13"/>
              </w:rPr>
              <w:t>√</w:t>
            </w:r>
          </w:p>
        </w:tc>
        <w:tc>
          <w:tcPr>
            <w:tcW w:w="229" w:type="dxa"/>
            <w:tcBorders>
              <w:top w:val="single" w:color="000000" w:sz="2" w:space="0"/>
              <w:bottom w:val="single" w:color="000000" w:sz="2" w:space="0"/>
            </w:tcBorders>
            <w:vAlign w:val="top"/>
          </w:tcPr>
          <w:p w14:paraId="121FECA9">
            <w:pPr>
              <w:rPr>
                <w:rFonts w:ascii="Arial"/>
                <w:sz w:val="21"/>
              </w:rPr>
            </w:pPr>
          </w:p>
        </w:tc>
        <w:tc>
          <w:tcPr>
            <w:tcW w:w="224" w:type="dxa"/>
            <w:tcBorders>
              <w:top w:val="single" w:color="000000" w:sz="2" w:space="0"/>
              <w:bottom w:val="single" w:color="000000" w:sz="2" w:space="0"/>
            </w:tcBorders>
            <w:vAlign w:val="top"/>
          </w:tcPr>
          <w:p w14:paraId="32DC1E65">
            <w:pPr>
              <w:rPr>
                <w:rFonts w:ascii="Arial"/>
                <w:sz w:val="21"/>
              </w:rPr>
            </w:pPr>
          </w:p>
        </w:tc>
      </w:tr>
      <w:tr w14:paraId="3220DD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4" w:hRule="atLeast"/>
        </w:trPr>
        <w:tc>
          <w:tcPr>
            <w:tcW w:w="883" w:type="dxa"/>
            <w:vMerge w:val="continue"/>
            <w:tcBorders>
              <w:top w:val="nil"/>
              <w:bottom w:val="single" w:color="000000" w:sz="2" w:space="0"/>
            </w:tcBorders>
            <w:vAlign w:val="top"/>
          </w:tcPr>
          <w:p w14:paraId="075874FE">
            <w:pPr>
              <w:rPr>
                <w:rFonts w:ascii="Arial"/>
                <w:sz w:val="21"/>
              </w:rPr>
            </w:pPr>
          </w:p>
        </w:tc>
        <w:tc>
          <w:tcPr>
            <w:tcW w:w="2334" w:type="dxa"/>
            <w:vMerge w:val="continue"/>
            <w:tcBorders>
              <w:top w:val="nil"/>
              <w:bottom w:val="single" w:color="000000" w:sz="2" w:space="0"/>
            </w:tcBorders>
            <w:vAlign w:val="top"/>
          </w:tcPr>
          <w:p w14:paraId="73735AAB">
            <w:pPr>
              <w:rPr>
                <w:rFonts w:ascii="Arial"/>
                <w:sz w:val="21"/>
              </w:rPr>
            </w:pPr>
          </w:p>
        </w:tc>
        <w:tc>
          <w:tcPr>
            <w:tcW w:w="210" w:type="dxa"/>
            <w:tcBorders>
              <w:top w:val="single" w:color="000000" w:sz="2" w:space="0"/>
              <w:bottom w:val="single" w:color="000000" w:sz="2" w:space="0"/>
            </w:tcBorders>
            <w:vAlign w:val="top"/>
          </w:tcPr>
          <w:p w14:paraId="6A9E3451">
            <w:pPr>
              <w:rPr>
                <w:rFonts w:ascii="Arial"/>
                <w:sz w:val="21"/>
              </w:rPr>
            </w:pPr>
          </w:p>
        </w:tc>
        <w:tc>
          <w:tcPr>
            <w:tcW w:w="229" w:type="dxa"/>
            <w:tcBorders>
              <w:top w:val="single" w:color="000000" w:sz="2" w:space="0"/>
              <w:bottom w:val="single" w:color="000000" w:sz="2" w:space="0"/>
            </w:tcBorders>
            <w:vAlign w:val="top"/>
          </w:tcPr>
          <w:p w14:paraId="1E705D9F">
            <w:pPr>
              <w:rPr>
                <w:rFonts w:ascii="Arial"/>
                <w:sz w:val="21"/>
              </w:rPr>
            </w:pPr>
          </w:p>
        </w:tc>
        <w:tc>
          <w:tcPr>
            <w:tcW w:w="229" w:type="dxa"/>
            <w:tcBorders>
              <w:top w:val="single" w:color="000000" w:sz="2" w:space="0"/>
              <w:bottom w:val="single" w:color="000000" w:sz="2" w:space="0"/>
            </w:tcBorders>
            <w:vAlign w:val="top"/>
          </w:tcPr>
          <w:p w14:paraId="05AB4C42">
            <w:pPr>
              <w:rPr>
                <w:rFonts w:ascii="Arial"/>
                <w:sz w:val="21"/>
              </w:rPr>
            </w:pPr>
          </w:p>
        </w:tc>
        <w:tc>
          <w:tcPr>
            <w:tcW w:w="224" w:type="dxa"/>
            <w:tcBorders>
              <w:top w:val="single" w:color="000000" w:sz="2" w:space="0"/>
              <w:bottom w:val="single" w:color="000000" w:sz="2" w:space="0"/>
            </w:tcBorders>
            <w:vAlign w:val="top"/>
          </w:tcPr>
          <w:p w14:paraId="79DA7703">
            <w:pPr>
              <w:rPr>
                <w:rFonts w:ascii="Arial"/>
                <w:sz w:val="21"/>
              </w:rPr>
            </w:pPr>
          </w:p>
        </w:tc>
      </w:tr>
      <w:tr w14:paraId="080F08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5" w:hRule="atLeast"/>
        </w:trPr>
        <w:tc>
          <w:tcPr>
            <w:tcW w:w="883" w:type="dxa"/>
            <w:vMerge w:val="restart"/>
            <w:tcBorders>
              <w:top w:val="single" w:color="000000" w:sz="2" w:space="0"/>
              <w:bottom w:val="nil"/>
            </w:tcBorders>
            <w:vAlign w:val="top"/>
          </w:tcPr>
          <w:p w14:paraId="6BB016AB">
            <w:pPr>
              <w:pStyle w:val="6"/>
              <w:spacing w:before="297" w:line="222" w:lineRule="auto"/>
              <w:ind w:left="254" w:right="63" w:hanging="180"/>
              <w:rPr>
                <w:sz w:val="18"/>
                <w:szCs w:val="18"/>
              </w:rPr>
            </w:pPr>
            <w:r>
              <w:rPr>
                <w:spacing w:val="3"/>
                <w:sz w:val="18"/>
                <w:szCs w:val="18"/>
              </w:rPr>
              <w:t>组合体的</w:t>
            </w:r>
            <w:r>
              <w:rPr>
                <w:spacing w:val="1"/>
                <w:sz w:val="18"/>
                <w:szCs w:val="18"/>
              </w:rPr>
              <w:t xml:space="preserve"> </w:t>
            </w:r>
            <w:r>
              <w:rPr>
                <w:spacing w:val="-3"/>
                <w:sz w:val="18"/>
                <w:szCs w:val="18"/>
              </w:rPr>
              <w:t>投影</w:t>
            </w:r>
          </w:p>
        </w:tc>
        <w:tc>
          <w:tcPr>
            <w:tcW w:w="2334" w:type="dxa"/>
            <w:vMerge w:val="restart"/>
            <w:tcBorders>
              <w:top w:val="single" w:color="000000" w:sz="2" w:space="0"/>
              <w:bottom w:val="nil"/>
            </w:tcBorders>
            <w:vAlign w:val="top"/>
          </w:tcPr>
          <w:p w14:paraId="6E7B0886">
            <w:pPr>
              <w:pStyle w:val="6"/>
              <w:spacing w:before="186" w:line="223" w:lineRule="auto"/>
              <w:ind w:left="12" w:right="684"/>
              <w:jc w:val="both"/>
              <w:rPr>
                <w:sz w:val="18"/>
                <w:szCs w:val="18"/>
              </w:rPr>
            </w:pPr>
            <w:r>
              <w:rPr>
                <w:sz w:val="18"/>
                <w:szCs w:val="18"/>
              </w:rPr>
              <w:t>1.组合体的构成方式</w:t>
            </w:r>
            <w:r>
              <w:rPr>
                <w:spacing w:val="6"/>
                <w:sz w:val="18"/>
                <w:szCs w:val="18"/>
              </w:rPr>
              <w:t xml:space="preserve"> </w:t>
            </w:r>
            <w:r>
              <w:rPr>
                <w:spacing w:val="-1"/>
                <w:sz w:val="18"/>
                <w:szCs w:val="18"/>
              </w:rPr>
              <w:t>2.组合体投影的画法</w:t>
            </w:r>
            <w:r>
              <w:rPr>
                <w:sz w:val="18"/>
                <w:szCs w:val="18"/>
              </w:rPr>
              <w:t xml:space="preserve"> </w:t>
            </w:r>
            <w:r>
              <w:rPr>
                <w:spacing w:val="-1"/>
                <w:sz w:val="18"/>
                <w:szCs w:val="18"/>
              </w:rPr>
              <w:t>3.组合体投影的识读</w:t>
            </w:r>
          </w:p>
        </w:tc>
        <w:tc>
          <w:tcPr>
            <w:tcW w:w="210" w:type="dxa"/>
            <w:tcBorders>
              <w:top w:val="single" w:color="000000" w:sz="2" w:space="0"/>
              <w:bottom w:val="single" w:color="000000" w:sz="2" w:space="0"/>
            </w:tcBorders>
            <w:vAlign w:val="top"/>
          </w:tcPr>
          <w:p w14:paraId="7FA00AFD">
            <w:pPr>
              <w:rPr>
                <w:rFonts w:ascii="Arial"/>
                <w:sz w:val="21"/>
              </w:rPr>
            </w:pPr>
          </w:p>
        </w:tc>
        <w:tc>
          <w:tcPr>
            <w:tcW w:w="229" w:type="dxa"/>
            <w:tcBorders>
              <w:top w:val="single" w:color="000000" w:sz="2" w:space="0"/>
              <w:bottom w:val="single" w:color="000000" w:sz="2" w:space="0"/>
            </w:tcBorders>
            <w:vAlign w:val="top"/>
          </w:tcPr>
          <w:p w14:paraId="155091DC">
            <w:pPr>
              <w:pStyle w:val="6"/>
              <w:spacing w:before="106" w:line="238" w:lineRule="auto"/>
              <w:ind w:left="47"/>
              <w:rPr>
                <w:sz w:val="13"/>
                <w:szCs w:val="13"/>
              </w:rPr>
            </w:pPr>
            <w:r>
              <w:rPr>
                <w:sz w:val="13"/>
                <w:szCs w:val="13"/>
              </w:rPr>
              <w:t>√</w:t>
            </w:r>
          </w:p>
        </w:tc>
        <w:tc>
          <w:tcPr>
            <w:tcW w:w="229" w:type="dxa"/>
            <w:tcBorders>
              <w:top w:val="single" w:color="000000" w:sz="2" w:space="0"/>
              <w:bottom w:val="single" w:color="000000" w:sz="2" w:space="0"/>
            </w:tcBorders>
            <w:vAlign w:val="top"/>
          </w:tcPr>
          <w:p w14:paraId="4289FEFF">
            <w:pPr>
              <w:rPr>
                <w:rFonts w:ascii="Arial"/>
                <w:sz w:val="21"/>
              </w:rPr>
            </w:pPr>
          </w:p>
        </w:tc>
        <w:tc>
          <w:tcPr>
            <w:tcW w:w="224" w:type="dxa"/>
            <w:tcBorders>
              <w:top w:val="single" w:color="000000" w:sz="2" w:space="0"/>
              <w:bottom w:val="single" w:color="000000" w:sz="2" w:space="0"/>
            </w:tcBorders>
            <w:vAlign w:val="top"/>
          </w:tcPr>
          <w:p w14:paraId="4350680D">
            <w:pPr>
              <w:rPr>
                <w:rFonts w:ascii="Arial"/>
                <w:sz w:val="21"/>
              </w:rPr>
            </w:pPr>
          </w:p>
        </w:tc>
      </w:tr>
      <w:tr w14:paraId="73A61E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5" w:hRule="atLeast"/>
        </w:trPr>
        <w:tc>
          <w:tcPr>
            <w:tcW w:w="883" w:type="dxa"/>
            <w:vMerge w:val="continue"/>
            <w:tcBorders>
              <w:top w:val="nil"/>
              <w:bottom w:val="nil"/>
            </w:tcBorders>
            <w:vAlign w:val="top"/>
          </w:tcPr>
          <w:p w14:paraId="2577F859">
            <w:pPr>
              <w:rPr>
                <w:rFonts w:ascii="Arial"/>
                <w:sz w:val="21"/>
              </w:rPr>
            </w:pPr>
          </w:p>
        </w:tc>
        <w:tc>
          <w:tcPr>
            <w:tcW w:w="2334" w:type="dxa"/>
            <w:vMerge w:val="continue"/>
            <w:tcBorders>
              <w:top w:val="nil"/>
              <w:bottom w:val="nil"/>
            </w:tcBorders>
            <w:vAlign w:val="top"/>
          </w:tcPr>
          <w:p w14:paraId="1D9069FF">
            <w:pPr>
              <w:rPr>
                <w:rFonts w:ascii="Arial"/>
                <w:sz w:val="21"/>
              </w:rPr>
            </w:pPr>
          </w:p>
        </w:tc>
        <w:tc>
          <w:tcPr>
            <w:tcW w:w="210" w:type="dxa"/>
            <w:tcBorders>
              <w:top w:val="single" w:color="000000" w:sz="2" w:space="0"/>
              <w:bottom w:val="single" w:color="000000" w:sz="2" w:space="0"/>
            </w:tcBorders>
            <w:vAlign w:val="top"/>
          </w:tcPr>
          <w:p w14:paraId="2E5BB4C8">
            <w:pPr>
              <w:rPr>
                <w:rFonts w:ascii="Arial"/>
                <w:sz w:val="21"/>
              </w:rPr>
            </w:pPr>
          </w:p>
        </w:tc>
        <w:tc>
          <w:tcPr>
            <w:tcW w:w="229" w:type="dxa"/>
            <w:tcBorders>
              <w:top w:val="single" w:color="000000" w:sz="2" w:space="0"/>
              <w:bottom w:val="single" w:color="000000" w:sz="2" w:space="0"/>
            </w:tcBorders>
            <w:vAlign w:val="top"/>
          </w:tcPr>
          <w:p w14:paraId="3726DB83">
            <w:pPr>
              <w:rPr>
                <w:rFonts w:ascii="Arial"/>
                <w:sz w:val="21"/>
              </w:rPr>
            </w:pPr>
          </w:p>
        </w:tc>
        <w:tc>
          <w:tcPr>
            <w:tcW w:w="229" w:type="dxa"/>
            <w:tcBorders>
              <w:top w:val="single" w:color="000000" w:sz="2" w:space="0"/>
              <w:bottom w:val="single" w:color="000000" w:sz="2" w:space="0"/>
            </w:tcBorders>
            <w:vAlign w:val="top"/>
          </w:tcPr>
          <w:p w14:paraId="33ED813D">
            <w:pPr>
              <w:rPr>
                <w:rFonts w:ascii="Arial"/>
                <w:sz w:val="21"/>
              </w:rPr>
            </w:pPr>
          </w:p>
        </w:tc>
        <w:tc>
          <w:tcPr>
            <w:tcW w:w="224" w:type="dxa"/>
            <w:tcBorders>
              <w:top w:val="single" w:color="000000" w:sz="2" w:space="0"/>
              <w:bottom w:val="single" w:color="000000" w:sz="2" w:space="0"/>
            </w:tcBorders>
            <w:vAlign w:val="top"/>
          </w:tcPr>
          <w:p w14:paraId="18B84F93">
            <w:pPr>
              <w:rPr>
                <w:rFonts w:ascii="Arial"/>
                <w:sz w:val="21"/>
              </w:rPr>
            </w:pPr>
          </w:p>
        </w:tc>
      </w:tr>
      <w:tr w14:paraId="54FED2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4" w:hRule="atLeast"/>
        </w:trPr>
        <w:tc>
          <w:tcPr>
            <w:tcW w:w="883" w:type="dxa"/>
            <w:vMerge w:val="continue"/>
            <w:tcBorders>
              <w:top w:val="nil"/>
              <w:bottom w:val="single" w:color="000000" w:sz="2" w:space="0"/>
            </w:tcBorders>
            <w:vAlign w:val="top"/>
          </w:tcPr>
          <w:p w14:paraId="12B052B5">
            <w:pPr>
              <w:rPr>
                <w:rFonts w:ascii="Arial"/>
                <w:sz w:val="21"/>
              </w:rPr>
            </w:pPr>
          </w:p>
        </w:tc>
        <w:tc>
          <w:tcPr>
            <w:tcW w:w="2334" w:type="dxa"/>
            <w:vMerge w:val="continue"/>
            <w:tcBorders>
              <w:top w:val="nil"/>
              <w:bottom w:val="single" w:color="000000" w:sz="2" w:space="0"/>
            </w:tcBorders>
            <w:vAlign w:val="top"/>
          </w:tcPr>
          <w:p w14:paraId="4AABA450">
            <w:pPr>
              <w:rPr>
                <w:rFonts w:ascii="Arial"/>
                <w:sz w:val="21"/>
              </w:rPr>
            </w:pPr>
          </w:p>
        </w:tc>
        <w:tc>
          <w:tcPr>
            <w:tcW w:w="210" w:type="dxa"/>
            <w:tcBorders>
              <w:top w:val="single" w:color="000000" w:sz="2" w:space="0"/>
              <w:bottom w:val="single" w:color="000000" w:sz="2" w:space="0"/>
            </w:tcBorders>
            <w:vAlign w:val="top"/>
          </w:tcPr>
          <w:p w14:paraId="78E7C05D">
            <w:pPr>
              <w:rPr>
                <w:rFonts w:ascii="Arial"/>
                <w:sz w:val="21"/>
              </w:rPr>
            </w:pPr>
          </w:p>
        </w:tc>
        <w:tc>
          <w:tcPr>
            <w:tcW w:w="229" w:type="dxa"/>
            <w:tcBorders>
              <w:top w:val="single" w:color="000000" w:sz="2" w:space="0"/>
              <w:bottom w:val="single" w:color="000000" w:sz="2" w:space="0"/>
            </w:tcBorders>
            <w:vAlign w:val="top"/>
          </w:tcPr>
          <w:p w14:paraId="307CBF4C">
            <w:pPr>
              <w:rPr>
                <w:rFonts w:ascii="Arial"/>
                <w:sz w:val="21"/>
              </w:rPr>
            </w:pPr>
          </w:p>
        </w:tc>
        <w:tc>
          <w:tcPr>
            <w:tcW w:w="229" w:type="dxa"/>
            <w:tcBorders>
              <w:top w:val="single" w:color="000000" w:sz="2" w:space="0"/>
              <w:bottom w:val="single" w:color="000000" w:sz="2" w:space="0"/>
            </w:tcBorders>
            <w:vAlign w:val="top"/>
          </w:tcPr>
          <w:p w14:paraId="5D9C31B9">
            <w:pPr>
              <w:rPr>
                <w:rFonts w:ascii="Arial"/>
                <w:sz w:val="21"/>
              </w:rPr>
            </w:pPr>
          </w:p>
        </w:tc>
        <w:tc>
          <w:tcPr>
            <w:tcW w:w="224" w:type="dxa"/>
            <w:tcBorders>
              <w:top w:val="single" w:color="000000" w:sz="2" w:space="0"/>
              <w:bottom w:val="single" w:color="000000" w:sz="2" w:space="0"/>
            </w:tcBorders>
            <w:vAlign w:val="top"/>
          </w:tcPr>
          <w:p w14:paraId="6E765906">
            <w:pPr>
              <w:rPr>
                <w:rFonts w:ascii="Arial"/>
                <w:sz w:val="21"/>
              </w:rPr>
            </w:pPr>
          </w:p>
        </w:tc>
      </w:tr>
      <w:tr w14:paraId="2662A0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4" w:hRule="atLeast"/>
        </w:trPr>
        <w:tc>
          <w:tcPr>
            <w:tcW w:w="883" w:type="dxa"/>
            <w:vMerge w:val="restart"/>
            <w:tcBorders>
              <w:top w:val="single" w:color="000000" w:sz="2" w:space="0"/>
              <w:bottom w:val="nil"/>
            </w:tcBorders>
            <w:vAlign w:val="top"/>
          </w:tcPr>
          <w:p w14:paraId="65C1B513">
            <w:pPr>
              <w:spacing w:line="394" w:lineRule="auto"/>
              <w:rPr>
                <w:rFonts w:ascii="Arial"/>
                <w:sz w:val="21"/>
              </w:rPr>
            </w:pPr>
          </w:p>
          <w:p w14:paraId="35E55208">
            <w:pPr>
              <w:pStyle w:val="6"/>
              <w:spacing w:before="58" w:line="219" w:lineRule="auto"/>
              <w:ind w:left="74"/>
              <w:rPr>
                <w:sz w:val="18"/>
                <w:szCs w:val="18"/>
              </w:rPr>
            </w:pPr>
            <w:r>
              <w:rPr>
                <w:spacing w:val="-2"/>
                <w:sz w:val="18"/>
                <w:szCs w:val="18"/>
              </w:rPr>
              <w:t>轴测投影</w:t>
            </w:r>
          </w:p>
        </w:tc>
        <w:tc>
          <w:tcPr>
            <w:tcW w:w="2334" w:type="dxa"/>
            <w:vMerge w:val="restart"/>
            <w:tcBorders>
              <w:top w:val="single" w:color="000000" w:sz="2" w:space="0"/>
              <w:bottom w:val="nil"/>
            </w:tcBorders>
            <w:vAlign w:val="top"/>
          </w:tcPr>
          <w:p w14:paraId="484F538D">
            <w:pPr>
              <w:pStyle w:val="6"/>
              <w:spacing w:before="145" w:line="212" w:lineRule="auto"/>
              <w:ind w:left="12" w:right="144"/>
              <w:rPr>
                <w:sz w:val="18"/>
                <w:szCs w:val="18"/>
              </w:rPr>
            </w:pPr>
            <w:r>
              <w:rPr>
                <w:sz w:val="18"/>
                <w:szCs w:val="18"/>
              </w:rPr>
              <w:t>1.轴测投影图的种类和特性</w:t>
            </w:r>
            <w:r>
              <w:rPr>
                <w:spacing w:val="6"/>
                <w:sz w:val="18"/>
                <w:szCs w:val="18"/>
              </w:rPr>
              <w:t xml:space="preserve"> </w:t>
            </w:r>
            <w:r>
              <w:rPr>
                <w:spacing w:val="1"/>
                <w:sz w:val="18"/>
                <w:szCs w:val="18"/>
              </w:rPr>
              <w:t>2.常用轴测投影图的特点</w:t>
            </w:r>
          </w:p>
          <w:p w14:paraId="3E3C8058">
            <w:pPr>
              <w:pStyle w:val="6"/>
              <w:spacing w:before="36" w:line="219" w:lineRule="auto"/>
              <w:ind w:left="12"/>
              <w:rPr>
                <w:sz w:val="18"/>
                <w:szCs w:val="18"/>
              </w:rPr>
            </w:pPr>
            <w:r>
              <w:rPr>
                <w:spacing w:val="-2"/>
                <w:sz w:val="18"/>
                <w:szCs w:val="18"/>
              </w:rPr>
              <w:t>3.轴测投影的画法</w:t>
            </w:r>
          </w:p>
        </w:tc>
        <w:tc>
          <w:tcPr>
            <w:tcW w:w="210" w:type="dxa"/>
            <w:tcBorders>
              <w:top w:val="single" w:color="000000" w:sz="2" w:space="0"/>
              <w:bottom w:val="single" w:color="000000" w:sz="2" w:space="0"/>
            </w:tcBorders>
            <w:vAlign w:val="top"/>
          </w:tcPr>
          <w:p w14:paraId="6B02BC58">
            <w:pPr>
              <w:rPr>
                <w:rFonts w:ascii="Arial"/>
                <w:sz w:val="21"/>
              </w:rPr>
            </w:pPr>
          </w:p>
        </w:tc>
        <w:tc>
          <w:tcPr>
            <w:tcW w:w="229" w:type="dxa"/>
            <w:tcBorders>
              <w:top w:val="single" w:color="000000" w:sz="2" w:space="0"/>
              <w:bottom w:val="single" w:color="000000" w:sz="2" w:space="0"/>
            </w:tcBorders>
            <w:vAlign w:val="top"/>
          </w:tcPr>
          <w:p w14:paraId="547C7D6E">
            <w:pPr>
              <w:rPr>
                <w:rFonts w:ascii="Arial"/>
                <w:sz w:val="21"/>
              </w:rPr>
            </w:pPr>
          </w:p>
        </w:tc>
        <w:tc>
          <w:tcPr>
            <w:tcW w:w="229" w:type="dxa"/>
            <w:tcBorders>
              <w:top w:val="single" w:color="000000" w:sz="2" w:space="0"/>
              <w:bottom w:val="single" w:color="000000" w:sz="2" w:space="0"/>
            </w:tcBorders>
            <w:vAlign w:val="top"/>
          </w:tcPr>
          <w:p w14:paraId="28671D88">
            <w:pPr>
              <w:rPr>
                <w:rFonts w:ascii="Arial"/>
                <w:sz w:val="21"/>
              </w:rPr>
            </w:pPr>
          </w:p>
        </w:tc>
        <w:tc>
          <w:tcPr>
            <w:tcW w:w="224" w:type="dxa"/>
            <w:tcBorders>
              <w:top w:val="single" w:color="000000" w:sz="2" w:space="0"/>
              <w:bottom w:val="single" w:color="000000" w:sz="2" w:space="0"/>
            </w:tcBorders>
            <w:vAlign w:val="top"/>
          </w:tcPr>
          <w:p w14:paraId="36B27805">
            <w:pPr>
              <w:rPr>
                <w:rFonts w:ascii="Arial"/>
                <w:sz w:val="21"/>
              </w:rPr>
            </w:pPr>
          </w:p>
        </w:tc>
      </w:tr>
      <w:tr w14:paraId="6D58EC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5" w:hRule="atLeast"/>
        </w:trPr>
        <w:tc>
          <w:tcPr>
            <w:tcW w:w="883" w:type="dxa"/>
            <w:vMerge w:val="continue"/>
            <w:tcBorders>
              <w:top w:val="nil"/>
              <w:bottom w:val="nil"/>
            </w:tcBorders>
            <w:vAlign w:val="top"/>
          </w:tcPr>
          <w:p w14:paraId="21ED8BBF">
            <w:pPr>
              <w:rPr>
                <w:rFonts w:ascii="Arial"/>
                <w:sz w:val="21"/>
              </w:rPr>
            </w:pPr>
          </w:p>
        </w:tc>
        <w:tc>
          <w:tcPr>
            <w:tcW w:w="2334" w:type="dxa"/>
            <w:vMerge w:val="continue"/>
            <w:tcBorders>
              <w:top w:val="nil"/>
              <w:bottom w:val="nil"/>
            </w:tcBorders>
            <w:vAlign w:val="top"/>
          </w:tcPr>
          <w:p w14:paraId="7896538F">
            <w:pPr>
              <w:rPr>
                <w:rFonts w:ascii="Arial"/>
                <w:sz w:val="21"/>
              </w:rPr>
            </w:pPr>
          </w:p>
        </w:tc>
        <w:tc>
          <w:tcPr>
            <w:tcW w:w="210" w:type="dxa"/>
            <w:tcBorders>
              <w:top w:val="single" w:color="000000" w:sz="2" w:space="0"/>
              <w:bottom w:val="single" w:color="000000" w:sz="2" w:space="0"/>
            </w:tcBorders>
            <w:vAlign w:val="top"/>
          </w:tcPr>
          <w:p w14:paraId="554257F9">
            <w:pPr>
              <w:pStyle w:val="6"/>
              <w:spacing w:before="98" w:line="238" w:lineRule="auto"/>
              <w:ind w:left="18"/>
              <w:rPr>
                <w:sz w:val="13"/>
                <w:szCs w:val="13"/>
              </w:rPr>
            </w:pPr>
            <w:r>
              <w:rPr>
                <w:sz w:val="13"/>
                <w:szCs w:val="13"/>
              </w:rPr>
              <w:t>√</w:t>
            </w:r>
          </w:p>
        </w:tc>
        <w:tc>
          <w:tcPr>
            <w:tcW w:w="229" w:type="dxa"/>
            <w:tcBorders>
              <w:top w:val="single" w:color="000000" w:sz="2" w:space="0"/>
              <w:bottom w:val="single" w:color="000000" w:sz="2" w:space="0"/>
            </w:tcBorders>
            <w:vAlign w:val="top"/>
          </w:tcPr>
          <w:p w14:paraId="7619030B">
            <w:pPr>
              <w:rPr>
                <w:rFonts w:ascii="Arial"/>
                <w:sz w:val="21"/>
              </w:rPr>
            </w:pPr>
          </w:p>
        </w:tc>
        <w:tc>
          <w:tcPr>
            <w:tcW w:w="229" w:type="dxa"/>
            <w:tcBorders>
              <w:top w:val="single" w:color="000000" w:sz="2" w:space="0"/>
              <w:bottom w:val="single" w:color="000000" w:sz="2" w:space="0"/>
            </w:tcBorders>
            <w:vAlign w:val="top"/>
          </w:tcPr>
          <w:p w14:paraId="277D7456">
            <w:pPr>
              <w:rPr>
                <w:rFonts w:ascii="Arial"/>
                <w:sz w:val="21"/>
              </w:rPr>
            </w:pPr>
          </w:p>
        </w:tc>
        <w:tc>
          <w:tcPr>
            <w:tcW w:w="224" w:type="dxa"/>
            <w:tcBorders>
              <w:top w:val="single" w:color="000000" w:sz="2" w:space="0"/>
              <w:bottom w:val="single" w:color="000000" w:sz="2" w:space="0"/>
            </w:tcBorders>
            <w:vAlign w:val="top"/>
          </w:tcPr>
          <w:p w14:paraId="785BB7B4">
            <w:pPr>
              <w:rPr>
                <w:rFonts w:ascii="Arial"/>
                <w:sz w:val="21"/>
              </w:rPr>
            </w:pPr>
          </w:p>
        </w:tc>
      </w:tr>
      <w:tr w14:paraId="437A14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5" w:hRule="atLeast"/>
        </w:trPr>
        <w:tc>
          <w:tcPr>
            <w:tcW w:w="883" w:type="dxa"/>
            <w:vMerge w:val="continue"/>
            <w:tcBorders>
              <w:top w:val="nil"/>
              <w:bottom w:val="single" w:color="000000" w:sz="2" w:space="0"/>
            </w:tcBorders>
            <w:vAlign w:val="top"/>
          </w:tcPr>
          <w:p w14:paraId="412DBD38">
            <w:pPr>
              <w:rPr>
                <w:rFonts w:ascii="Arial"/>
                <w:sz w:val="21"/>
              </w:rPr>
            </w:pPr>
          </w:p>
        </w:tc>
        <w:tc>
          <w:tcPr>
            <w:tcW w:w="2334" w:type="dxa"/>
            <w:vMerge w:val="continue"/>
            <w:tcBorders>
              <w:top w:val="nil"/>
              <w:bottom w:val="single" w:color="000000" w:sz="2" w:space="0"/>
            </w:tcBorders>
            <w:vAlign w:val="top"/>
          </w:tcPr>
          <w:p w14:paraId="1BB37ABA">
            <w:pPr>
              <w:rPr>
                <w:rFonts w:ascii="Arial"/>
                <w:sz w:val="21"/>
              </w:rPr>
            </w:pPr>
          </w:p>
        </w:tc>
        <w:tc>
          <w:tcPr>
            <w:tcW w:w="210" w:type="dxa"/>
            <w:tcBorders>
              <w:top w:val="single" w:color="000000" w:sz="2" w:space="0"/>
              <w:bottom w:val="single" w:color="000000" w:sz="2" w:space="0"/>
            </w:tcBorders>
            <w:vAlign w:val="top"/>
          </w:tcPr>
          <w:p w14:paraId="3826FD11">
            <w:pPr>
              <w:spacing w:line="215" w:lineRule="exact"/>
              <w:rPr>
                <w:rFonts w:ascii="Arial"/>
                <w:sz w:val="18"/>
              </w:rPr>
            </w:pPr>
          </w:p>
        </w:tc>
        <w:tc>
          <w:tcPr>
            <w:tcW w:w="229" w:type="dxa"/>
            <w:tcBorders>
              <w:top w:val="single" w:color="000000" w:sz="2" w:space="0"/>
              <w:bottom w:val="single" w:color="000000" w:sz="2" w:space="0"/>
            </w:tcBorders>
            <w:vAlign w:val="top"/>
          </w:tcPr>
          <w:p w14:paraId="05365843">
            <w:pPr>
              <w:spacing w:line="215" w:lineRule="exact"/>
              <w:rPr>
                <w:rFonts w:ascii="Arial"/>
                <w:sz w:val="18"/>
              </w:rPr>
            </w:pPr>
          </w:p>
        </w:tc>
        <w:tc>
          <w:tcPr>
            <w:tcW w:w="229" w:type="dxa"/>
            <w:tcBorders>
              <w:top w:val="single" w:color="000000" w:sz="2" w:space="0"/>
              <w:bottom w:val="single" w:color="000000" w:sz="2" w:space="0"/>
            </w:tcBorders>
            <w:vAlign w:val="top"/>
          </w:tcPr>
          <w:p w14:paraId="5832C1C0">
            <w:pPr>
              <w:pStyle w:val="6"/>
              <w:spacing w:before="74" w:line="141" w:lineRule="exact"/>
              <w:ind w:left="9"/>
              <w:rPr>
                <w:sz w:val="18"/>
                <w:szCs w:val="18"/>
              </w:rPr>
            </w:pPr>
            <w:r>
              <w:rPr>
                <w:position w:val="-2"/>
                <w:sz w:val="18"/>
                <w:szCs w:val="18"/>
              </w:rPr>
              <w:t>V</w:t>
            </w:r>
          </w:p>
        </w:tc>
        <w:tc>
          <w:tcPr>
            <w:tcW w:w="224" w:type="dxa"/>
            <w:tcBorders>
              <w:top w:val="single" w:color="000000" w:sz="2" w:space="0"/>
              <w:bottom w:val="single" w:color="000000" w:sz="2" w:space="0"/>
            </w:tcBorders>
            <w:vAlign w:val="top"/>
          </w:tcPr>
          <w:p w14:paraId="3B91911C">
            <w:pPr>
              <w:spacing w:line="215" w:lineRule="exact"/>
              <w:rPr>
                <w:rFonts w:ascii="Arial"/>
                <w:sz w:val="18"/>
              </w:rPr>
            </w:pPr>
          </w:p>
        </w:tc>
      </w:tr>
      <w:tr w14:paraId="199009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5" w:hRule="atLeast"/>
        </w:trPr>
        <w:tc>
          <w:tcPr>
            <w:tcW w:w="883" w:type="dxa"/>
            <w:vMerge w:val="restart"/>
            <w:tcBorders>
              <w:top w:val="single" w:color="000000" w:sz="2" w:space="0"/>
              <w:bottom w:val="nil"/>
            </w:tcBorders>
            <w:vAlign w:val="top"/>
          </w:tcPr>
          <w:p w14:paraId="25C536FF">
            <w:pPr>
              <w:spacing w:line="247" w:lineRule="auto"/>
              <w:rPr>
                <w:rFonts w:ascii="Arial"/>
                <w:sz w:val="21"/>
              </w:rPr>
            </w:pPr>
          </w:p>
          <w:p w14:paraId="119C896A">
            <w:pPr>
              <w:pStyle w:val="6"/>
              <w:spacing w:before="59" w:line="220" w:lineRule="auto"/>
              <w:ind w:left="74"/>
              <w:rPr>
                <w:sz w:val="18"/>
                <w:szCs w:val="18"/>
              </w:rPr>
            </w:pPr>
            <w:r>
              <w:rPr>
                <w:spacing w:val="3"/>
                <w:sz w:val="18"/>
                <w:szCs w:val="18"/>
              </w:rPr>
              <w:t>剖面图与</w:t>
            </w:r>
          </w:p>
          <w:p w14:paraId="50220E35">
            <w:pPr>
              <w:pStyle w:val="6"/>
              <w:spacing w:before="14" w:line="219" w:lineRule="auto"/>
              <w:ind w:left="165"/>
              <w:rPr>
                <w:sz w:val="18"/>
                <w:szCs w:val="18"/>
              </w:rPr>
            </w:pPr>
            <w:r>
              <w:rPr>
                <w:spacing w:val="5"/>
                <w:sz w:val="18"/>
                <w:szCs w:val="18"/>
              </w:rPr>
              <w:t>断面图</w:t>
            </w:r>
          </w:p>
        </w:tc>
        <w:tc>
          <w:tcPr>
            <w:tcW w:w="2334" w:type="dxa"/>
            <w:vMerge w:val="restart"/>
            <w:tcBorders>
              <w:top w:val="single" w:color="000000" w:sz="2" w:space="0"/>
              <w:bottom w:val="nil"/>
            </w:tcBorders>
            <w:vAlign w:val="top"/>
          </w:tcPr>
          <w:p w14:paraId="10EF2768">
            <w:pPr>
              <w:pStyle w:val="6"/>
              <w:spacing w:before="186" w:line="227" w:lineRule="auto"/>
              <w:ind w:left="12" w:right="323"/>
              <w:jc w:val="both"/>
              <w:rPr>
                <w:sz w:val="18"/>
                <w:szCs w:val="18"/>
              </w:rPr>
            </w:pPr>
            <w:r>
              <w:rPr>
                <w:sz w:val="18"/>
                <w:szCs w:val="18"/>
              </w:rPr>
              <w:t>1.剖面图与断面图的形成</w:t>
            </w:r>
            <w:r>
              <w:rPr>
                <w:spacing w:val="7"/>
                <w:sz w:val="18"/>
                <w:szCs w:val="18"/>
              </w:rPr>
              <w:t xml:space="preserve"> </w:t>
            </w:r>
            <w:r>
              <w:rPr>
                <w:spacing w:val="-1"/>
                <w:sz w:val="18"/>
                <w:szCs w:val="18"/>
              </w:rPr>
              <w:t>2.剖面图与断面图的画法</w:t>
            </w:r>
            <w:r>
              <w:rPr>
                <w:spacing w:val="1"/>
                <w:sz w:val="18"/>
                <w:szCs w:val="18"/>
              </w:rPr>
              <w:t xml:space="preserve"> </w:t>
            </w:r>
            <w:r>
              <w:rPr>
                <w:spacing w:val="-1"/>
                <w:sz w:val="18"/>
                <w:szCs w:val="18"/>
              </w:rPr>
              <w:t>3.剖面图与断面图的种类</w:t>
            </w:r>
          </w:p>
        </w:tc>
        <w:tc>
          <w:tcPr>
            <w:tcW w:w="210" w:type="dxa"/>
            <w:tcBorders>
              <w:top w:val="single" w:color="000000" w:sz="2" w:space="0"/>
              <w:bottom w:val="single" w:color="000000" w:sz="2" w:space="0"/>
            </w:tcBorders>
            <w:vAlign w:val="top"/>
          </w:tcPr>
          <w:p w14:paraId="541587C5">
            <w:pPr>
              <w:rPr>
                <w:rFonts w:ascii="Arial"/>
                <w:sz w:val="21"/>
              </w:rPr>
            </w:pPr>
          </w:p>
        </w:tc>
        <w:tc>
          <w:tcPr>
            <w:tcW w:w="229" w:type="dxa"/>
            <w:tcBorders>
              <w:top w:val="single" w:color="000000" w:sz="2" w:space="0"/>
              <w:bottom w:val="single" w:color="000000" w:sz="2" w:space="0"/>
            </w:tcBorders>
            <w:vAlign w:val="top"/>
          </w:tcPr>
          <w:p w14:paraId="1DBF60A3">
            <w:pPr>
              <w:rPr>
                <w:rFonts w:ascii="Arial"/>
                <w:sz w:val="21"/>
              </w:rPr>
            </w:pPr>
          </w:p>
        </w:tc>
        <w:tc>
          <w:tcPr>
            <w:tcW w:w="229" w:type="dxa"/>
            <w:tcBorders>
              <w:top w:val="single" w:color="000000" w:sz="2" w:space="0"/>
              <w:bottom w:val="single" w:color="000000" w:sz="2" w:space="0"/>
            </w:tcBorders>
            <w:vAlign w:val="top"/>
          </w:tcPr>
          <w:p w14:paraId="70072DF1">
            <w:pPr>
              <w:rPr>
                <w:rFonts w:ascii="Arial"/>
                <w:sz w:val="21"/>
              </w:rPr>
            </w:pPr>
          </w:p>
        </w:tc>
        <w:tc>
          <w:tcPr>
            <w:tcW w:w="224" w:type="dxa"/>
            <w:tcBorders>
              <w:top w:val="single" w:color="000000" w:sz="2" w:space="0"/>
              <w:bottom w:val="single" w:color="000000" w:sz="2" w:space="0"/>
            </w:tcBorders>
            <w:vAlign w:val="top"/>
          </w:tcPr>
          <w:p w14:paraId="56C63307">
            <w:pPr>
              <w:rPr>
                <w:rFonts w:ascii="Arial"/>
                <w:sz w:val="21"/>
              </w:rPr>
            </w:pPr>
          </w:p>
        </w:tc>
      </w:tr>
      <w:tr w14:paraId="152944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5" w:hRule="atLeast"/>
        </w:trPr>
        <w:tc>
          <w:tcPr>
            <w:tcW w:w="883" w:type="dxa"/>
            <w:vMerge w:val="continue"/>
            <w:tcBorders>
              <w:top w:val="nil"/>
              <w:bottom w:val="nil"/>
            </w:tcBorders>
            <w:vAlign w:val="top"/>
          </w:tcPr>
          <w:p w14:paraId="6848A2C7">
            <w:pPr>
              <w:rPr>
                <w:rFonts w:ascii="Arial"/>
                <w:sz w:val="21"/>
              </w:rPr>
            </w:pPr>
          </w:p>
        </w:tc>
        <w:tc>
          <w:tcPr>
            <w:tcW w:w="2334" w:type="dxa"/>
            <w:vMerge w:val="continue"/>
            <w:tcBorders>
              <w:top w:val="nil"/>
              <w:bottom w:val="nil"/>
            </w:tcBorders>
            <w:vAlign w:val="top"/>
          </w:tcPr>
          <w:p w14:paraId="4133BAAB">
            <w:pPr>
              <w:rPr>
                <w:rFonts w:ascii="Arial"/>
                <w:sz w:val="21"/>
              </w:rPr>
            </w:pPr>
          </w:p>
        </w:tc>
        <w:tc>
          <w:tcPr>
            <w:tcW w:w="210" w:type="dxa"/>
            <w:tcBorders>
              <w:top w:val="single" w:color="000000" w:sz="2" w:space="0"/>
              <w:bottom w:val="single" w:color="000000" w:sz="2" w:space="0"/>
            </w:tcBorders>
            <w:vAlign w:val="top"/>
          </w:tcPr>
          <w:p w14:paraId="11AF35B2">
            <w:pPr>
              <w:rPr>
                <w:rFonts w:ascii="Arial"/>
                <w:sz w:val="21"/>
              </w:rPr>
            </w:pPr>
          </w:p>
        </w:tc>
        <w:tc>
          <w:tcPr>
            <w:tcW w:w="229" w:type="dxa"/>
            <w:tcBorders>
              <w:top w:val="single" w:color="000000" w:sz="2" w:space="0"/>
              <w:bottom w:val="single" w:color="000000" w:sz="2" w:space="0"/>
            </w:tcBorders>
            <w:vAlign w:val="top"/>
          </w:tcPr>
          <w:p w14:paraId="5C8F0CCC">
            <w:pPr>
              <w:rPr>
                <w:rFonts w:ascii="Arial"/>
                <w:sz w:val="21"/>
              </w:rPr>
            </w:pPr>
          </w:p>
        </w:tc>
        <w:tc>
          <w:tcPr>
            <w:tcW w:w="229" w:type="dxa"/>
            <w:tcBorders>
              <w:top w:val="single" w:color="000000" w:sz="2" w:space="0"/>
              <w:bottom w:val="single" w:color="000000" w:sz="2" w:space="0"/>
            </w:tcBorders>
            <w:vAlign w:val="top"/>
          </w:tcPr>
          <w:p w14:paraId="7FDC68F3">
            <w:pPr>
              <w:pStyle w:val="6"/>
              <w:spacing w:before="85" w:line="215" w:lineRule="auto"/>
              <w:ind w:left="9"/>
              <w:rPr>
                <w:sz w:val="18"/>
                <w:szCs w:val="18"/>
              </w:rPr>
            </w:pPr>
            <w:r>
              <w:rPr>
                <w:sz w:val="18"/>
                <w:szCs w:val="18"/>
              </w:rPr>
              <w:t>√</w:t>
            </w:r>
          </w:p>
        </w:tc>
        <w:tc>
          <w:tcPr>
            <w:tcW w:w="224" w:type="dxa"/>
            <w:tcBorders>
              <w:top w:val="single" w:color="000000" w:sz="2" w:space="0"/>
              <w:bottom w:val="single" w:color="000000" w:sz="2" w:space="0"/>
            </w:tcBorders>
            <w:vAlign w:val="top"/>
          </w:tcPr>
          <w:p w14:paraId="5AFECC14">
            <w:pPr>
              <w:rPr>
                <w:rFonts w:ascii="Arial"/>
                <w:sz w:val="21"/>
              </w:rPr>
            </w:pPr>
          </w:p>
        </w:tc>
      </w:tr>
      <w:tr w14:paraId="380248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9" w:hRule="atLeast"/>
        </w:trPr>
        <w:tc>
          <w:tcPr>
            <w:tcW w:w="883" w:type="dxa"/>
            <w:vMerge w:val="continue"/>
            <w:tcBorders>
              <w:top w:val="nil"/>
              <w:bottom w:val="single" w:color="000000" w:sz="2" w:space="0"/>
            </w:tcBorders>
            <w:vAlign w:val="top"/>
          </w:tcPr>
          <w:p w14:paraId="742333FF">
            <w:pPr>
              <w:rPr>
                <w:rFonts w:ascii="Arial"/>
                <w:sz w:val="21"/>
              </w:rPr>
            </w:pPr>
          </w:p>
        </w:tc>
        <w:tc>
          <w:tcPr>
            <w:tcW w:w="2334" w:type="dxa"/>
            <w:vMerge w:val="continue"/>
            <w:tcBorders>
              <w:top w:val="nil"/>
              <w:bottom w:val="single" w:color="000000" w:sz="2" w:space="0"/>
            </w:tcBorders>
            <w:vAlign w:val="top"/>
          </w:tcPr>
          <w:p w14:paraId="556BC6CE">
            <w:pPr>
              <w:rPr>
                <w:rFonts w:ascii="Arial"/>
                <w:sz w:val="21"/>
              </w:rPr>
            </w:pPr>
          </w:p>
        </w:tc>
        <w:tc>
          <w:tcPr>
            <w:tcW w:w="210" w:type="dxa"/>
            <w:tcBorders>
              <w:top w:val="single" w:color="000000" w:sz="2" w:space="0"/>
              <w:bottom w:val="single" w:color="000000" w:sz="2" w:space="0"/>
            </w:tcBorders>
            <w:vAlign w:val="top"/>
          </w:tcPr>
          <w:p w14:paraId="4D87F269">
            <w:pPr>
              <w:rPr>
                <w:rFonts w:ascii="Arial"/>
                <w:sz w:val="21"/>
              </w:rPr>
            </w:pPr>
          </w:p>
        </w:tc>
        <w:tc>
          <w:tcPr>
            <w:tcW w:w="229" w:type="dxa"/>
            <w:tcBorders>
              <w:top w:val="single" w:color="000000" w:sz="2" w:space="0"/>
              <w:bottom w:val="single" w:color="000000" w:sz="2" w:space="0"/>
            </w:tcBorders>
            <w:vAlign w:val="top"/>
          </w:tcPr>
          <w:p w14:paraId="1D3A96A1">
            <w:pPr>
              <w:rPr>
                <w:rFonts w:ascii="Arial"/>
                <w:sz w:val="21"/>
              </w:rPr>
            </w:pPr>
          </w:p>
        </w:tc>
        <w:tc>
          <w:tcPr>
            <w:tcW w:w="229" w:type="dxa"/>
            <w:tcBorders>
              <w:top w:val="single" w:color="000000" w:sz="2" w:space="0"/>
              <w:bottom w:val="single" w:color="000000" w:sz="2" w:space="0"/>
            </w:tcBorders>
            <w:vAlign w:val="top"/>
          </w:tcPr>
          <w:p w14:paraId="6F90F3D8">
            <w:pPr>
              <w:rPr>
                <w:rFonts w:ascii="Arial"/>
                <w:sz w:val="21"/>
              </w:rPr>
            </w:pPr>
          </w:p>
        </w:tc>
        <w:tc>
          <w:tcPr>
            <w:tcW w:w="224" w:type="dxa"/>
            <w:tcBorders>
              <w:top w:val="single" w:color="000000" w:sz="2" w:space="0"/>
              <w:bottom w:val="single" w:color="000000" w:sz="2" w:space="0"/>
            </w:tcBorders>
            <w:vAlign w:val="top"/>
          </w:tcPr>
          <w:p w14:paraId="4C53DD3B">
            <w:pPr>
              <w:rPr>
                <w:rFonts w:ascii="Arial"/>
                <w:sz w:val="21"/>
              </w:rPr>
            </w:pPr>
          </w:p>
        </w:tc>
      </w:tr>
    </w:tbl>
    <w:p w14:paraId="6D1A99DE">
      <w:pPr>
        <w:pStyle w:val="2"/>
        <w:spacing w:line="14" w:lineRule="auto"/>
        <w:rPr>
          <w:sz w:val="2"/>
        </w:rPr>
      </w:pPr>
    </w:p>
    <w:p w14:paraId="257BEBE1">
      <w:pPr>
        <w:spacing w:line="14" w:lineRule="auto"/>
        <w:rPr>
          <w:sz w:val="2"/>
          <w:szCs w:val="2"/>
        </w:rPr>
        <w:sectPr>
          <w:type w:val="continuous"/>
          <w:pgSz w:w="10660" w:h="15080"/>
          <w:pgMar w:top="400" w:right="1034" w:bottom="936" w:left="819" w:header="0" w:footer="715" w:gutter="0"/>
          <w:cols w:equalWidth="0" w:num="2">
            <w:col w:w="4566" w:space="100"/>
            <w:col w:w="4141"/>
          </w:cols>
        </w:sectPr>
      </w:pPr>
    </w:p>
    <w:p w14:paraId="78427F50">
      <w:pPr>
        <w:spacing w:before="63"/>
      </w:pPr>
    </w:p>
    <w:p w14:paraId="490F2A16">
      <w:pPr>
        <w:spacing w:before="63"/>
      </w:pPr>
    </w:p>
    <w:p w14:paraId="333BE2EC">
      <w:pPr>
        <w:spacing w:before="62"/>
      </w:pPr>
    </w:p>
    <w:p w14:paraId="49F196F3">
      <w:pPr>
        <w:sectPr>
          <w:footerReference r:id="rId45" w:type="default"/>
          <w:pgSz w:w="10660" w:h="15080"/>
          <w:pgMar w:top="400" w:right="875" w:bottom="925" w:left="1095" w:header="0" w:footer="705" w:gutter="0"/>
          <w:cols w:equalWidth="0" w:num="1">
            <w:col w:w="8690"/>
          </w:cols>
        </w:sectPr>
      </w:pPr>
    </w:p>
    <w:p w14:paraId="0DD4F466">
      <w:pPr>
        <w:spacing w:before="40" w:line="221" w:lineRule="auto"/>
        <w:ind w:left="1167"/>
        <w:rPr>
          <w:rFonts w:ascii="黑体" w:hAnsi="黑体" w:eastAsia="黑体" w:cs="黑体"/>
          <w:sz w:val="20"/>
          <w:szCs w:val="20"/>
        </w:rPr>
      </w:pPr>
      <w:r>
        <w:rPr>
          <w:rFonts w:ascii="黑体" w:hAnsi="黑体" w:eastAsia="黑体" w:cs="黑体"/>
          <w:b/>
          <w:bCs/>
          <w:spacing w:val="-6"/>
          <w:sz w:val="20"/>
          <w:szCs w:val="20"/>
        </w:rPr>
        <w:t>第三章建筑构造概述</w:t>
      </w:r>
    </w:p>
    <w:p w14:paraId="40DE60C5">
      <w:pPr>
        <w:spacing w:line="71" w:lineRule="exact"/>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83"/>
        <w:gridCol w:w="2324"/>
        <w:gridCol w:w="219"/>
        <w:gridCol w:w="230"/>
        <w:gridCol w:w="229"/>
        <w:gridCol w:w="234"/>
      </w:tblGrid>
      <w:tr w14:paraId="1DDE1F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4" w:hRule="atLeast"/>
        </w:trPr>
        <w:tc>
          <w:tcPr>
            <w:tcW w:w="883" w:type="dxa"/>
            <w:vMerge w:val="restart"/>
            <w:tcBorders>
              <w:bottom w:val="nil"/>
            </w:tcBorders>
            <w:vAlign w:val="top"/>
          </w:tcPr>
          <w:p w14:paraId="7467CC39">
            <w:pPr>
              <w:pStyle w:val="6"/>
              <w:spacing w:before="112" w:line="229" w:lineRule="auto"/>
              <w:ind w:left="97" w:right="102" w:firstLine="80"/>
            </w:pPr>
            <w:r>
              <w:rPr>
                <w:b/>
                <w:bCs/>
                <w:spacing w:val="-6"/>
              </w:rPr>
              <w:t>知识与</w:t>
            </w:r>
            <w:r>
              <w:t xml:space="preserve">  </w:t>
            </w:r>
            <w:r>
              <w:rPr>
                <w:b/>
                <w:bCs/>
                <w:spacing w:val="-4"/>
              </w:rPr>
              <w:t>技能要点</w:t>
            </w:r>
          </w:p>
        </w:tc>
        <w:tc>
          <w:tcPr>
            <w:tcW w:w="2324" w:type="dxa"/>
            <w:vMerge w:val="restart"/>
            <w:tcBorders>
              <w:bottom w:val="nil"/>
            </w:tcBorders>
            <w:vAlign w:val="top"/>
          </w:tcPr>
          <w:p w14:paraId="2E3A6737">
            <w:pPr>
              <w:pStyle w:val="6"/>
              <w:spacing w:before="229" w:line="219" w:lineRule="auto"/>
              <w:ind w:left="834"/>
            </w:pPr>
            <w:r>
              <w:rPr>
                <w:b/>
                <w:bCs/>
                <w:spacing w:val="5"/>
              </w:rPr>
              <w:t>考试条目</w:t>
            </w:r>
          </w:p>
        </w:tc>
        <w:tc>
          <w:tcPr>
            <w:tcW w:w="912" w:type="dxa"/>
            <w:gridSpan w:val="4"/>
            <w:vAlign w:val="top"/>
          </w:tcPr>
          <w:p w14:paraId="46EAA05C">
            <w:pPr>
              <w:pStyle w:val="6"/>
              <w:spacing w:before="79" w:line="219" w:lineRule="auto"/>
              <w:ind w:left="130"/>
            </w:pPr>
            <w:r>
              <w:rPr>
                <w:b/>
                <w:bCs/>
                <w:spacing w:val="-4"/>
              </w:rPr>
              <w:t>考试水平</w:t>
            </w:r>
          </w:p>
        </w:tc>
      </w:tr>
      <w:tr w14:paraId="3AEC57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9" w:hRule="atLeast"/>
        </w:trPr>
        <w:tc>
          <w:tcPr>
            <w:tcW w:w="883" w:type="dxa"/>
            <w:vMerge w:val="continue"/>
            <w:tcBorders>
              <w:top w:val="nil"/>
            </w:tcBorders>
            <w:vAlign w:val="top"/>
          </w:tcPr>
          <w:p w14:paraId="38377251">
            <w:pPr>
              <w:rPr>
                <w:rFonts w:ascii="Arial"/>
                <w:sz w:val="21"/>
              </w:rPr>
            </w:pPr>
          </w:p>
        </w:tc>
        <w:tc>
          <w:tcPr>
            <w:tcW w:w="2324" w:type="dxa"/>
            <w:vMerge w:val="continue"/>
            <w:tcBorders>
              <w:top w:val="nil"/>
            </w:tcBorders>
            <w:vAlign w:val="top"/>
          </w:tcPr>
          <w:p w14:paraId="5A5DB487">
            <w:pPr>
              <w:rPr>
                <w:rFonts w:ascii="Arial"/>
                <w:sz w:val="21"/>
              </w:rPr>
            </w:pPr>
          </w:p>
        </w:tc>
        <w:tc>
          <w:tcPr>
            <w:tcW w:w="219" w:type="dxa"/>
            <w:vAlign w:val="top"/>
          </w:tcPr>
          <w:p w14:paraId="02DF69C2">
            <w:pPr>
              <w:pStyle w:val="6"/>
              <w:spacing w:before="103" w:line="180" w:lineRule="auto"/>
              <w:ind w:left="20"/>
              <w:rPr>
                <w:sz w:val="18"/>
                <w:szCs w:val="18"/>
              </w:rPr>
            </w:pPr>
            <w:r>
              <w:rPr>
                <w:b/>
                <w:bCs/>
                <w:spacing w:val="-2"/>
                <w:sz w:val="18"/>
                <w:szCs w:val="18"/>
              </w:rPr>
              <w:t>A</w:t>
            </w:r>
          </w:p>
        </w:tc>
        <w:tc>
          <w:tcPr>
            <w:tcW w:w="230" w:type="dxa"/>
            <w:vAlign w:val="top"/>
          </w:tcPr>
          <w:p w14:paraId="5CEBCE3D">
            <w:pPr>
              <w:pStyle w:val="6"/>
              <w:spacing w:before="102" w:line="182" w:lineRule="auto"/>
              <w:ind w:left="71"/>
            </w:pPr>
            <w:r>
              <w:rPr>
                <w:b/>
                <w:bCs/>
                <w:spacing w:val="-2"/>
              </w:rPr>
              <w:t>B</w:t>
            </w:r>
          </w:p>
        </w:tc>
        <w:tc>
          <w:tcPr>
            <w:tcW w:w="229" w:type="dxa"/>
            <w:vAlign w:val="top"/>
          </w:tcPr>
          <w:p w14:paraId="6B209C72">
            <w:pPr>
              <w:pStyle w:val="6"/>
              <w:spacing w:before="100" w:line="183" w:lineRule="auto"/>
              <w:ind w:left="21"/>
            </w:pPr>
            <w:r>
              <w:rPr>
                <w:b/>
                <w:bCs/>
                <w:spacing w:val="-2"/>
              </w:rPr>
              <w:t>C</w:t>
            </w:r>
          </w:p>
        </w:tc>
        <w:tc>
          <w:tcPr>
            <w:tcW w:w="234" w:type="dxa"/>
            <w:vAlign w:val="top"/>
          </w:tcPr>
          <w:p w14:paraId="5733A016">
            <w:pPr>
              <w:pStyle w:val="6"/>
              <w:spacing w:before="102" w:line="182" w:lineRule="auto"/>
              <w:ind w:left="32"/>
            </w:pPr>
            <w:r>
              <w:rPr>
                <w:b/>
                <w:bCs/>
                <w:spacing w:val="-2"/>
              </w:rPr>
              <w:t>D</w:t>
            </w:r>
          </w:p>
        </w:tc>
      </w:tr>
      <w:tr w14:paraId="66105D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9" w:hRule="atLeast"/>
        </w:trPr>
        <w:tc>
          <w:tcPr>
            <w:tcW w:w="883" w:type="dxa"/>
            <w:vMerge w:val="restart"/>
            <w:tcBorders>
              <w:bottom w:val="nil"/>
            </w:tcBorders>
            <w:vAlign w:val="top"/>
          </w:tcPr>
          <w:p w14:paraId="2EA44A78">
            <w:pPr>
              <w:pStyle w:val="6"/>
              <w:spacing w:before="139" w:line="229" w:lineRule="auto"/>
              <w:ind w:left="94" w:right="104"/>
            </w:pPr>
            <w:r>
              <w:rPr>
                <w:spacing w:val="-3"/>
              </w:rPr>
              <w:t>建筑的分</w:t>
            </w:r>
            <w:r>
              <w:rPr>
                <w:spacing w:val="2"/>
              </w:rPr>
              <w:t xml:space="preserve"> </w:t>
            </w:r>
            <w:r>
              <w:rPr>
                <w:spacing w:val="-2"/>
              </w:rPr>
              <w:t>类与等级</w:t>
            </w:r>
          </w:p>
        </w:tc>
        <w:tc>
          <w:tcPr>
            <w:tcW w:w="2324" w:type="dxa"/>
            <w:vMerge w:val="restart"/>
            <w:tcBorders>
              <w:bottom w:val="nil"/>
            </w:tcBorders>
            <w:vAlign w:val="top"/>
          </w:tcPr>
          <w:p w14:paraId="2CBB99E1">
            <w:pPr>
              <w:pStyle w:val="6"/>
              <w:spacing w:before="158" w:line="224" w:lineRule="auto"/>
              <w:ind w:left="2" w:right="1284"/>
            </w:pPr>
            <w:r>
              <w:rPr>
                <w:spacing w:val="1"/>
              </w:rPr>
              <w:t>1.建筑的分类</w:t>
            </w:r>
            <w:r>
              <w:t xml:space="preserve"> </w:t>
            </w:r>
            <w:r>
              <w:rPr>
                <w:spacing w:val="-1"/>
              </w:rPr>
              <w:t>2.建筑的等级</w:t>
            </w:r>
          </w:p>
        </w:tc>
        <w:tc>
          <w:tcPr>
            <w:tcW w:w="219" w:type="dxa"/>
            <w:vAlign w:val="top"/>
          </w:tcPr>
          <w:p w14:paraId="5C2FE0C0">
            <w:pPr>
              <w:pStyle w:val="6"/>
              <w:spacing w:before="120" w:line="238" w:lineRule="auto"/>
              <w:ind w:left="7"/>
              <w:rPr>
                <w:sz w:val="13"/>
                <w:szCs w:val="13"/>
              </w:rPr>
            </w:pPr>
            <w:r>
              <w:rPr>
                <w:sz w:val="13"/>
                <w:szCs w:val="13"/>
              </w:rPr>
              <w:t>√</w:t>
            </w:r>
          </w:p>
        </w:tc>
        <w:tc>
          <w:tcPr>
            <w:tcW w:w="230" w:type="dxa"/>
            <w:vAlign w:val="top"/>
          </w:tcPr>
          <w:p w14:paraId="1C2BA4B0">
            <w:pPr>
              <w:rPr>
                <w:rFonts w:ascii="Arial"/>
                <w:sz w:val="21"/>
              </w:rPr>
            </w:pPr>
          </w:p>
        </w:tc>
        <w:tc>
          <w:tcPr>
            <w:tcW w:w="229" w:type="dxa"/>
            <w:vAlign w:val="top"/>
          </w:tcPr>
          <w:p w14:paraId="1A5985A4">
            <w:pPr>
              <w:rPr>
                <w:rFonts w:ascii="Arial"/>
                <w:sz w:val="21"/>
              </w:rPr>
            </w:pPr>
          </w:p>
        </w:tc>
        <w:tc>
          <w:tcPr>
            <w:tcW w:w="234" w:type="dxa"/>
            <w:vAlign w:val="top"/>
          </w:tcPr>
          <w:p w14:paraId="3AE638C4">
            <w:pPr>
              <w:rPr>
                <w:rFonts w:ascii="Arial"/>
                <w:sz w:val="21"/>
              </w:rPr>
            </w:pPr>
          </w:p>
        </w:tc>
      </w:tr>
      <w:tr w14:paraId="1ED7A0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883" w:type="dxa"/>
            <w:vMerge w:val="continue"/>
            <w:tcBorders>
              <w:top w:val="nil"/>
            </w:tcBorders>
            <w:vAlign w:val="top"/>
          </w:tcPr>
          <w:p w14:paraId="37CBF7FD">
            <w:pPr>
              <w:rPr>
                <w:rFonts w:ascii="Arial"/>
                <w:sz w:val="21"/>
              </w:rPr>
            </w:pPr>
          </w:p>
        </w:tc>
        <w:tc>
          <w:tcPr>
            <w:tcW w:w="2324" w:type="dxa"/>
            <w:vMerge w:val="continue"/>
            <w:tcBorders>
              <w:top w:val="nil"/>
            </w:tcBorders>
            <w:vAlign w:val="top"/>
          </w:tcPr>
          <w:p w14:paraId="5ECA74C3">
            <w:pPr>
              <w:rPr>
                <w:rFonts w:ascii="Arial"/>
                <w:sz w:val="21"/>
              </w:rPr>
            </w:pPr>
          </w:p>
        </w:tc>
        <w:tc>
          <w:tcPr>
            <w:tcW w:w="219" w:type="dxa"/>
            <w:vAlign w:val="top"/>
          </w:tcPr>
          <w:p w14:paraId="63FDE5EE">
            <w:pPr>
              <w:pStyle w:val="6"/>
              <w:spacing w:before="101" w:line="238" w:lineRule="auto"/>
              <w:ind w:left="7"/>
              <w:rPr>
                <w:sz w:val="13"/>
                <w:szCs w:val="13"/>
              </w:rPr>
            </w:pPr>
            <w:r>
              <w:rPr>
                <w:sz w:val="13"/>
                <w:szCs w:val="13"/>
              </w:rPr>
              <w:t>√</w:t>
            </w:r>
          </w:p>
        </w:tc>
        <w:tc>
          <w:tcPr>
            <w:tcW w:w="230" w:type="dxa"/>
            <w:vAlign w:val="top"/>
          </w:tcPr>
          <w:p w14:paraId="70E94F88">
            <w:pPr>
              <w:rPr>
                <w:rFonts w:ascii="Arial"/>
                <w:sz w:val="21"/>
              </w:rPr>
            </w:pPr>
          </w:p>
        </w:tc>
        <w:tc>
          <w:tcPr>
            <w:tcW w:w="229" w:type="dxa"/>
            <w:vAlign w:val="top"/>
          </w:tcPr>
          <w:p w14:paraId="0B39CC1F">
            <w:pPr>
              <w:rPr>
                <w:rFonts w:ascii="Arial"/>
                <w:sz w:val="21"/>
              </w:rPr>
            </w:pPr>
          </w:p>
        </w:tc>
        <w:tc>
          <w:tcPr>
            <w:tcW w:w="234" w:type="dxa"/>
            <w:vAlign w:val="top"/>
          </w:tcPr>
          <w:p w14:paraId="22846882">
            <w:pPr>
              <w:rPr>
                <w:rFonts w:ascii="Arial"/>
                <w:sz w:val="21"/>
              </w:rPr>
            </w:pPr>
          </w:p>
        </w:tc>
      </w:tr>
      <w:tr w14:paraId="713E1E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57" w:hRule="atLeast"/>
        </w:trPr>
        <w:tc>
          <w:tcPr>
            <w:tcW w:w="883" w:type="dxa"/>
            <w:vAlign w:val="top"/>
          </w:tcPr>
          <w:p w14:paraId="3EE48592">
            <w:pPr>
              <w:pStyle w:val="6"/>
              <w:spacing w:before="111" w:line="220" w:lineRule="auto"/>
              <w:ind w:left="94"/>
            </w:pPr>
            <w:r>
              <w:rPr>
                <w:spacing w:val="1"/>
              </w:rPr>
              <w:t>民用建筑</w:t>
            </w:r>
          </w:p>
          <w:p w14:paraId="1EF5A7A9">
            <w:pPr>
              <w:pStyle w:val="6"/>
              <w:spacing w:before="17" w:line="220" w:lineRule="auto"/>
              <w:ind w:left="94"/>
            </w:pPr>
            <w:r>
              <w:rPr>
                <w:spacing w:val="1"/>
              </w:rPr>
              <w:t>的构造组</w:t>
            </w:r>
          </w:p>
          <w:p w14:paraId="00F65BC5">
            <w:pPr>
              <w:pStyle w:val="6"/>
              <w:spacing w:before="17" w:line="220" w:lineRule="auto"/>
              <w:ind w:left="94"/>
            </w:pPr>
            <w:r>
              <w:rPr>
                <w:spacing w:val="-2"/>
              </w:rPr>
              <w:t>成和构造</w:t>
            </w:r>
          </w:p>
          <w:p w14:paraId="70680B1B">
            <w:pPr>
              <w:pStyle w:val="6"/>
              <w:spacing w:before="27" w:line="220" w:lineRule="auto"/>
              <w:ind w:left="265"/>
            </w:pPr>
            <w:r>
              <w:rPr>
                <w:spacing w:val="7"/>
              </w:rPr>
              <w:t>原则</w:t>
            </w:r>
          </w:p>
        </w:tc>
        <w:tc>
          <w:tcPr>
            <w:tcW w:w="2324" w:type="dxa"/>
            <w:vAlign w:val="top"/>
          </w:tcPr>
          <w:p w14:paraId="2C444F83">
            <w:pPr>
              <w:spacing w:line="393" w:lineRule="auto"/>
              <w:rPr>
                <w:rFonts w:ascii="Arial"/>
                <w:sz w:val="21"/>
              </w:rPr>
            </w:pPr>
          </w:p>
          <w:p w14:paraId="555DEF09">
            <w:pPr>
              <w:pStyle w:val="6"/>
              <w:spacing w:before="56" w:line="220" w:lineRule="auto"/>
              <w:ind w:left="2"/>
            </w:pPr>
            <w:r>
              <w:rPr>
                <w:spacing w:val="1"/>
              </w:rPr>
              <w:t>1.民用建筑的构造组成、作用</w:t>
            </w:r>
          </w:p>
        </w:tc>
        <w:tc>
          <w:tcPr>
            <w:tcW w:w="219" w:type="dxa"/>
            <w:vAlign w:val="top"/>
          </w:tcPr>
          <w:p w14:paraId="4BF94636">
            <w:pPr>
              <w:rPr>
                <w:rFonts w:ascii="Arial"/>
                <w:sz w:val="21"/>
              </w:rPr>
            </w:pPr>
          </w:p>
        </w:tc>
        <w:tc>
          <w:tcPr>
            <w:tcW w:w="230" w:type="dxa"/>
            <w:vAlign w:val="top"/>
          </w:tcPr>
          <w:p w14:paraId="11AE7C9D">
            <w:pPr>
              <w:spacing w:line="258" w:lineRule="auto"/>
              <w:rPr>
                <w:rFonts w:ascii="Arial"/>
                <w:sz w:val="21"/>
              </w:rPr>
            </w:pPr>
          </w:p>
          <w:p w14:paraId="6C5C87AD">
            <w:pPr>
              <w:spacing w:line="258" w:lineRule="auto"/>
              <w:rPr>
                <w:rFonts w:ascii="Arial"/>
                <w:sz w:val="21"/>
              </w:rPr>
            </w:pPr>
          </w:p>
          <w:p w14:paraId="0E3CF010">
            <w:pPr>
              <w:pStyle w:val="6"/>
              <w:spacing w:before="43" w:line="238" w:lineRule="auto"/>
              <w:ind w:left="48"/>
              <w:rPr>
                <w:sz w:val="13"/>
                <w:szCs w:val="13"/>
              </w:rPr>
            </w:pPr>
            <w:r>
              <w:rPr>
                <w:sz w:val="13"/>
                <w:szCs w:val="13"/>
              </w:rPr>
              <w:t>√</w:t>
            </w:r>
          </w:p>
        </w:tc>
        <w:tc>
          <w:tcPr>
            <w:tcW w:w="229" w:type="dxa"/>
            <w:vAlign w:val="top"/>
          </w:tcPr>
          <w:p w14:paraId="2E70BA3C">
            <w:pPr>
              <w:rPr>
                <w:rFonts w:ascii="Arial"/>
                <w:sz w:val="21"/>
              </w:rPr>
            </w:pPr>
          </w:p>
        </w:tc>
        <w:tc>
          <w:tcPr>
            <w:tcW w:w="234" w:type="dxa"/>
            <w:vAlign w:val="top"/>
          </w:tcPr>
          <w:p w14:paraId="05293571">
            <w:pPr>
              <w:rPr>
                <w:rFonts w:ascii="Arial"/>
                <w:sz w:val="21"/>
              </w:rPr>
            </w:pPr>
          </w:p>
        </w:tc>
      </w:tr>
      <w:tr w14:paraId="506DCB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883" w:type="dxa"/>
            <w:vMerge w:val="restart"/>
            <w:tcBorders>
              <w:bottom w:val="nil"/>
            </w:tcBorders>
            <w:vAlign w:val="top"/>
          </w:tcPr>
          <w:p w14:paraId="57419B25">
            <w:pPr>
              <w:pStyle w:val="6"/>
              <w:spacing w:before="184" w:line="217" w:lineRule="auto"/>
              <w:ind w:left="94"/>
            </w:pPr>
            <w:r>
              <w:rPr>
                <w:spacing w:val="-2"/>
              </w:rPr>
              <w:t>建筑标准</w:t>
            </w:r>
          </w:p>
          <w:p w14:paraId="1CC4C093">
            <w:pPr>
              <w:pStyle w:val="6"/>
              <w:spacing w:line="219" w:lineRule="auto"/>
              <w:ind w:left="94"/>
            </w:pPr>
            <w:r>
              <w:rPr>
                <w:spacing w:val="-2"/>
              </w:rPr>
              <w:t>化和模数</w:t>
            </w:r>
          </w:p>
          <w:p w14:paraId="301F7365">
            <w:pPr>
              <w:pStyle w:val="6"/>
              <w:spacing w:before="38" w:line="220" w:lineRule="auto"/>
              <w:ind w:left="265"/>
            </w:pPr>
            <w:r>
              <w:rPr>
                <w:spacing w:val="6"/>
              </w:rPr>
              <w:t>协调</w:t>
            </w:r>
          </w:p>
        </w:tc>
        <w:tc>
          <w:tcPr>
            <w:tcW w:w="2324" w:type="dxa"/>
            <w:vMerge w:val="restart"/>
            <w:tcBorders>
              <w:bottom w:val="nil"/>
            </w:tcBorders>
            <w:vAlign w:val="top"/>
          </w:tcPr>
          <w:p w14:paraId="74280A5D">
            <w:pPr>
              <w:pStyle w:val="6"/>
              <w:spacing w:before="194" w:line="220" w:lineRule="auto"/>
              <w:ind w:left="2"/>
            </w:pPr>
            <w:r>
              <w:rPr>
                <w:spacing w:val="1"/>
              </w:rPr>
              <w:t>1.建筑标准化</w:t>
            </w:r>
          </w:p>
          <w:p w14:paraId="2BF203B4">
            <w:pPr>
              <w:pStyle w:val="6"/>
              <w:spacing w:before="17" w:line="228" w:lineRule="auto"/>
              <w:ind w:left="2" w:right="1108"/>
            </w:pPr>
            <w:r>
              <w:rPr>
                <w:spacing w:val="1"/>
              </w:rPr>
              <w:t>2.建筑模数协调</w:t>
            </w:r>
            <w:r>
              <w:rPr>
                <w:spacing w:val="4"/>
              </w:rPr>
              <w:t xml:space="preserve"> </w:t>
            </w:r>
            <w:r>
              <w:rPr>
                <w:spacing w:val="1"/>
              </w:rPr>
              <w:t>3.定位轴线</w:t>
            </w:r>
          </w:p>
        </w:tc>
        <w:tc>
          <w:tcPr>
            <w:tcW w:w="219" w:type="dxa"/>
            <w:vAlign w:val="top"/>
          </w:tcPr>
          <w:p w14:paraId="46213F2A">
            <w:pPr>
              <w:pStyle w:val="6"/>
              <w:spacing w:before="105" w:line="238" w:lineRule="auto"/>
              <w:ind w:left="7"/>
              <w:rPr>
                <w:sz w:val="13"/>
                <w:szCs w:val="13"/>
              </w:rPr>
            </w:pPr>
            <w:r>
              <w:rPr>
                <w:sz w:val="13"/>
                <w:szCs w:val="13"/>
              </w:rPr>
              <w:t>√</w:t>
            </w:r>
          </w:p>
        </w:tc>
        <w:tc>
          <w:tcPr>
            <w:tcW w:w="230" w:type="dxa"/>
            <w:vAlign w:val="top"/>
          </w:tcPr>
          <w:p w14:paraId="6EFE1CA3">
            <w:pPr>
              <w:rPr>
                <w:rFonts w:ascii="Arial"/>
                <w:sz w:val="21"/>
              </w:rPr>
            </w:pPr>
          </w:p>
        </w:tc>
        <w:tc>
          <w:tcPr>
            <w:tcW w:w="229" w:type="dxa"/>
            <w:vAlign w:val="top"/>
          </w:tcPr>
          <w:p w14:paraId="6766B512">
            <w:pPr>
              <w:rPr>
                <w:rFonts w:ascii="Arial"/>
                <w:sz w:val="21"/>
              </w:rPr>
            </w:pPr>
          </w:p>
        </w:tc>
        <w:tc>
          <w:tcPr>
            <w:tcW w:w="234" w:type="dxa"/>
            <w:vAlign w:val="top"/>
          </w:tcPr>
          <w:p w14:paraId="7BB52F7A">
            <w:pPr>
              <w:rPr>
                <w:rFonts w:ascii="Arial"/>
                <w:sz w:val="21"/>
              </w:rPr>
            </w:pPr>
          </w:p>
        </w:tc>
      </w:tr>
      <w:tr w14:paraId="30552D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883" w:type="dxa"/>
            <w:vMerge w:val="continue"/>
            <w:tcBorders>
              <w:top w:val="nil"/>
              <w:bottom w:val="nil"/>
            </w:tcBorders>
            <w:vAlign w:val="top"/>
          </w:tcPr>
          <w:p w14:paraId="2435E18D">
            <w:pPr>
              <w:rPr>
                <w:rFonts w:ascii="Arial"/>
                <w:sz w:val="21"/>
              </w:rPr>
            </w:pPr>
          </w:p>
        </w:tc>
        <w:tc>
          <w:tcPr>
            <w:tcW w:w="2324" w:type="dxa"/>
            <w:vMerge w:val="continue"/>
            <w:tcBorders>
              <w:top w:val="nil"/>
              <w:bottom w:val="nil"/>
            </w:tcBorders>
            <w:vAlign w:val="top"/>
          </w:tcPr>
          <w:p w14:paraId="71715828">
            <w:pPr>
              <w:rPr>
                <w:rFonts w:ascii="Arial"/>
                <w:sz w:val="21"/>
              </w:rPr>
            </w:pPr>
          </w:p>
        </w:tc>
        <w:tc>
          <w:tcPr>
            <w:tcW w:w="219" w:type="dxa"/>
            <w:vAlign w:val="top"/>
          </w:tcPr>
          <w:p w14:paraId="60D8845D">
            <w:pPr>
              <w:rPr>
                <w:rFonts w:ascii="Arial"/>
                <w:sz w:val="21"/>
              </w:rPr>
            </w:pPr>
          </w:p>
        </w:tc>
        <w:tc>
          <w:tcPr>
            <w:tcW w:w="230" w:type="dxa"/>
            <w:vAlign w:val="top"/>
          </w:tcPr>
          <w:p w14:paraId="6D6A3831">
            <w:pPr>
              <w:pStyle w:val="6"/>
              <w:spacing w:before="106" w:line="238" w:lineRule="auto"/>
              <w:ind w:left="48"/>
              <w:rPr>
                <w:sz w:val="13"/>
                <w:szCs w:val="13"/>
              </w:rPr>
            </w:pPr>
            <w:r>
              <w:rPr>
                <w:sz w:val="13"/>
                <w:szCs w:val="13"/>
              </w:rPr>
              <w:t>√</w:t>
            </w:r>
          </w:p>
        </w:tc>
        <w:tc>
          <w:tcPr>
            <w:tcW w:w="229" w:type="dxa"/>
            <w:vAlign w:val="top"/>
          </w:tcPr>
          <w:p w14:paraId="4016FFAF">
            <w:pPr>
              <w:rPr>
                <w:rFonts w:ascii="Arial"/>
                <w:sz w:val="21"/>
              </w:rPr>
            </w:pPr>
          </w:p>
        </w:tc>
        <w:tc>
          <w:tcPr>
            <w:tcW w:w="234" w:type="dxa"/>
            <w:vAlign w:val="top"/>
          </w:tcPr>
          <w:p w14:paraId="20232A12">
            <w:pPr>
              <w:rPr>
                <w:rFonts w:ascii="Arial"/>
                <w:sz w:val="21"/>
              </w:rPr>
            </w:pPr>
          </w:p>
        </w:tc>
      </w:tr>
      <w:tr w14:paraId="5BC5B4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4" w:hRule="atLeast"/>
        </w:trPr>
        <w:tc>
          <w:tcPr>
            <w:tcW w:w="883" w:type="dxa"/>
            <w:vMerge w:val="continue"/>
            <w:tcBorders>
              <w:top w:val="nil"/>
            </w:tcBorders>
            <w:vAlign w:val="top"/>
          </w:tcPr>
          <w:p w14:paraId="0E21B2CB">
            <w:pPr>
              <w:rPr>
                <w:rFonts w:ascii="Arial"/>
                <w:sz w:val="21"/>
              </w:rPr>
            </w:pPr>
          </w:p>
        </w:tc>
        <w:tc>
          <w:tcPr>
            <w:tcW w:w="2324" w:type="dxa"/>
            <w:vMerge w:val="continue"/>
            <w:tcBorders>
              <w:top w:val="nil"/>
            </w:tcBorders>
            <w:vAlign w:val="top"/>
          </w:tcPr>
          <w:p w14:paraId="753875B4">
            <w:pPr>
              <w:rPr>
                <w:rFonts w:ascii="Arial"/>
                <w:sz w:val="21"/>
              </w:rPr>
            </w:pPr>
          </w:p>
        </w:tc>
        <w:tc>
          <w:tcPr>
            <w:tcW w:w="219" w:type="dxa"/>
            <w:vAlign w:val="top"/>
          </w:tcPr>
          <w:p w14:paraId="40679017">
            <w:pPr>
              <w:rPr>
                <w:rFonts w:ascii="Arial"/>
                <w:sz w:val="21"/>
              </w:rPr>
            </w:pPr>
          </w:p>
        </w:tc>
        <w:tc>
          <w:tcPr>
            <w:tcW w:w="230" w:type="dxa"/>
            <w:vAlign w:val="top"/>
          </w:tcPr>
          <w:p w14:paraId="270C2C2E">
            <w:pPr>
              <w:rPr>
                <w:rFonts w:ascii="Arial"/>
                <w:sz w:val="21"/>
              </w:rPr>
            </w:pPr>
          </w:p>
        </w:tc>
        <w:tc>
          <w:tcPr>
            <w:tcW w:w="229" w:type="dxa"/>
            <w:vAlign w:val="top"/>
          </w:tcPr>
          <w:p w14:paraId="04173E30">
            <w:pPr>
              <w:pStyle w:val="6"/>
              <w:spacing w:before="107" w:line="238" w:lineRule="auto"/>
              <w:ind w:left="19"/>
              <w:rPr>
                <w:sz w:val="13"/>
                <w:szCs w:val="13"/>
              </w:rPr>
            </w:pPr>
            <w:r>
              <w:rPr>
                <w:sz w:val="13"/>
                <w:szCs w:val="13"/>
              </w:rPr>
              <w:t>√</w:t>
            </w:r>
          </w:p>
        </w:tc>
        <w:tc>
          <w:tcPr>
            <w:tcW w:w="234" w:type="dxa"/>
            <w:vAlign w:val="top"/>
          </w:tcPr>
          <w:p w14:paraId="7884DB37">
            <w:pPr>
              <w:rPr>
                <w:rFonts w:ascii="Arial"/>
                <w:sz w:val="21"/>
              </w:rPr>
            </w:pPr>
          </w:p>
        </w:tc>
      </w:tr>
    </w:tbl>
    <w:p w14:paraId="520CDDC3">
      <w:pPr>
        <w:spacing w:before="128" w:line="221" w:lineRule="auto"/>
        <w:ind w:left="1077"/>
        <w:rPr>
          <w:rFonts w:ascii="黑体" w:hAnsi="黑体" w:eastAsia="黑体" w:cs="黑体"/>
          <w:sz w:val="20"/>
          <w:szCs w:val="20"/>
        </w:rPr>
      </w:pPr>
      <w:r>
        <w:rPr>
          <w:rFonts w:ascii="黑体" w:hAnsi="黑体" w:eastAsia="黑体" w:cs="黑体"/>
          <w:b/>
          <w:bCs/>
          <w:spacing w:val="-9"/>
          <w:sz w:val="20"/>
          <w:szCs w:val="20"/>
        </w:rPr>
        <w:t>第四章</w:t>
      </w:r>
      <w:r>
        <w:rPr>
          <w:rFonts w:ascii="黑体" w:hAnsi="黑体" w:eastAsia="黑体" w:cs="黑体"/>
          <w:spacing w:val="12"/>
          <w:sz w:val="20"/>
          <w:szCs w:val="20"/>
        </w:rPr>
        <w:t xml:space="preserve">  </w:t>
      </w:r>
      <w:r>
        <w:rPr>
          <w:rFonts w:ascii="黑体" w:hAnsi="黑体" w:eastAsia="黑体" w:cs="黑体"/>
          <w:b/>
          <w:bCs/>
          <w:spacing w:val="-9"/>
          <w:sz w:val="20"/>
          <w:szCs w:val="20"/>
        </w:rPr>
        <w:t>基础与地下室</w:t>
      </w:r>
    </w:p>
    <w:p w14:paraId="5AF37EDB">
      <w:pPr>
        <w:spacing w:line="72" w:lineRule="exact"/>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24"/>
        <w:gridCol w:w="210"/>
        <w:gridCol w:w="229"/>
        <w:gridCol w:w="229"/>
        <w:gridCol w:w="234"/>
      </w:tblGrid>
      <w:tr w14:paraId="01214D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24" w:hRule="atLeast"/>
        </w:trPr>
        <w:tc>
          <w:tcPr>
            <w:tcW w:w="893" w:type="dxa"/>
            <w:vMerge w:val="restart"/>
            <w:tcBorders>
              <w:bottom w:val="nil"/>
            </w:tcBorders>
            <w:vAlign w:val="top"/>
          </w:tcPr>
          <w:p w14:paraId="5336032C">
            <w:pPr>
              <w:pStyle w:val="6"/>
              <w:spacing w:before="121" w:line="224" w:lineRule="auto"/>
              <w:ind w:left="97" w:right="112" w:firstLine="89"/>
            </w:pPr>
            <w:r>
              <w:rPr>
                <w:b/>
                <w:bCs/>
                <w:spacing w:val="-6"/>
              </w:rPr>
              <w:t>知识与</w:t>
            </w:r>
            <w:r>
              <w:t xml:space="preserve">  </w:t>
            </w:r>
            <w:r>
              <w:rPr>
                <w:b/>
                <w:bCs/>
                <w:spacing w:val="-4"/>
              </w:rPr>
              <w:t>技能要点</w:t>
            </w:r>
          </w:p>
        </w:tc>
        <w:tc>
          <w:tcPr>
            <w:tcW w:w="2324" w:type="dxa"/>
            <w:vMerge w:val="restart"/>
            <w:tcBorders>
              <w:bottom w:val="nil"/>
            </w:tcBorders>
            <w:vAlign w:val="top"/>
          </w:tcPr>
          <w:p w14:paraId="39DFD2F5">
            <w:pPr>
              <w:pStyle w:val="6"/>
              <w:spacing w:before="229" w:line="219" w:lineRule="auto"/>
              <w:ind w:left="844"/>
            </w:pPr>
            <w:r>
              <w:rPr>
                <w:b/>
                <w:bCs/>
                <w:spacing w:val="5"/>
              </w:rPr>
              <w:t>考试条目</w:t>
            </w:r>
          </w:p>
        </w:tc>
        <w:tc>
          <w:tcPr>
            <w:tcW w:w="902" w:type="dxa"/>
            <w:gridSpan w:val="4"/>
            <w:vAlign w:val="top"/>
          </w:tcPr>
          <w:p w14:paraId="7A19FBC3">
            <w:pPr>
              <w:pStyle w:val="6"/>
              <w:spacing w:before="79" w:line="219" w:lineRule="auto"/>
              <w:ind w:left="130"/>
            </w:pPr>
            <w:r>
              <w:rPr>
                <w:b/>
                <w:bCs/>
                <w:spacing w:val="-4"/>
              </w:rPr>
              <w:t>考试水平</w:t>
            </w:r>
          </w:p>
        </w:tc>
      </w:tr>
      <w:tr w14:paraId="063987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9" w:hRule="atLeast"/>
        </w:trPr>
        <w:tc>
          <w:tcPr>
            <w:tcW w:w="893" w:type="dxa"/>
            <w:vMerge w:val="continue"/>
            <w:tcBorders>
              <w:top w:val="nil"/>
            </w:tcBorders>
            <w:vAlign w:val="top"/>
          </w:tcPr>
          <w:p w14:paraId="47EB372B">
            <w:pPr>
              <w:rPr>
                <w:rFonts w:ascii="Arial"/>
                <w:sz w:val="21"/>
              </w:rPr>
            </w:pPr>
          </w:p>
        </w:tc>
        <w:tc>
          <w:tcPr>
            <w:tcW w:w="2324" w:type="dxa"/>
            <w:vMerge w:val="continue"/>
            <w:tcBorders>
              <w:top w:val="nil"/>
            </w:tcBorders>
            <w:vAlign w:val="top"/>
          </w:tcPr>
          <w:p w14:paraId="32790462">
            <w:pPr>
              <w:rPr>
                <w:rFonts w:ascii="Arial"/>
                <w:sz w:val="21"/>
              </w:rPr>
            </w:pPr>
          </w:p>
        </w:tc>
        <w:tc>
          <w:tcPr>
            <w:tcW w:w="210" w:type="dxa"/>
            <w:vAlign w:val="top"/>
          </w:tcPr>
          <w:p w14:paraId="0C8E1FC1">
            <w:pPr>
              <w:pStyle w:val="6"/>
              <w:spacing w:before="100" w:line="184" w:lineRule="auto"/>
              <w:ind w:left="20"/>
            </w:pPr>
            <w:r>
              <w:rPr>
                <w:b/>
                <w:bCs/>
                <w:spacing w:val="-2"/>
              </w:rPr>
              <w:t>A</w:t>
            </w:r>
          </w:p>
        </w:tc>
        <w:tc>
          <w:tcPr>
            <w:tcW w:w="229" w:type="dxa"/>
            <w:vAlign w:val="top"/>
          </w:tcPr>
          <w:p w14:paraId="11686882">
            <w:pPr>
              <w:pStyle w:val="6"/>
              <w:spacing w:before="102" w:line="182" w:lineRule="auto"/>
              <w:ind w:left="70"/>
            </w:pPr>
            <w:r>
              <w:rPr>
                <w:b/>
                <w:bCs/>
                <w:spacing w:val="-2"/>
              </w:rPr>
              <w:t>B</w:t>
            </w:r>
          </w:p>
        </w:tc>
        <w:tc>
          <w:tcPr>
            <w:tcW w:w="229" w:type="dxa"/>
            <w:vAlign w:val="top"/>
          </w:tcPr>
          <w:p w14:paraId="2F23E06A">
            <w:pPr>
              <w:pStyle w:val="6"/>
              <w:spacing w:before="103" w:line="180" w:lineRule="auto"/>
              <w:ind w:left="71"/>
              <w:rPr>
                <w:sz w:val="18"/>
                <w:szCs w:val="18"/>
              </w:rPr>
            </w:pPr>
            <w:r>
              <w:rPr>
                <w:b/>
                <w:bCs/>
                <w:spacing w:val="-2"/>
                <w:sz w:val="18"/>
                <w:szCs w:val="18"/>
              </w:rPr>
              <w:t>C</w:t>
            </w:r>
          </w:p>
        </w:tc>
        <w:tc>
          <w:tcPr>
            <w:tcW w:w="234" w:type="dxa"/>
            <w:vAlign w:val="top"/>
          </w:tcPr>
          <w:p w14:paraId="5C26FE77">
            <w:pPr>
              <w:pStyle w:val="6"/>
              <w:spacing w:before="102" w:line="182" w:lineRule="auto"/>
              <w:ind w:left="22"/>
            </w:pPr>
            <w:r>
              <w:rPr>
                <w:b/>
                <w:bCs/>
                <w:spacing w:val="-2"/>
              </w:rPr>
              <w:t>D</w:t>
            </w:r>
          </w:p>
        </w:tc>
      </w:tr>
      <w:tr w14:paraId="3F76F8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893" w:type="dxa"/>
            <w:vMerge w:val="restart"/>
            <w:tcBorders>
              <w:bottom w:val="nil"/>
            </w:tcBorders>
            <w:vAlign w:val="top"/>
          </w:tcPr>
          <w:p w14:paraId="3CC30469">
            <w:pPr>
              <w:spacing w:line="262" w:lineRule="auto"/>
              <w:rPr>
                <w:rFonts w:ascii="Arial"/>
                <w:sz w:val="21"/>
              </w:rPr>
            </w:pPr>
          </w:p>
          <w:p w14:paraId="74F6FF81">
            <w:pPr>
              <w:pStyle w:val="6"/>
              <w:spacing w:before="55" w:line="220" w:lineRule="auto"/>
              <w:ind w:left="94"/>
            </w:pPr>
            <w:r>
              <w:rPr>
                <w:spacing w:val="-2"/>
              </w:rPr>
              <w:t>基础的作</w:t>
            </w:r>
          </w:p>
          <w:p w14:paraId="1E35092D">
            <w:pPr>
              <w:pStyle w:val="6"/>
              <w:spacing w:before="17" w:line="221" w:lineRule="auto"/>
              <w:ind w:left="94"/>
            </w:pPr>
            <w:r>
              <w:rPr>
                <w:spacing w:val="-2"/>
              </w:rPr>
              <w:t>用与地基</w:t>
            </w:r>
          </w:p>
          <w:p w14:paraId="392EEC97">
            <w:pPr>
              <w:pStyle w:val="6"/>
              <w:spacing w:before="16" w:line="220" w:lineRule="auto"/>
              <w:ind w:left="184"/>
            </w:pPr>
            <w:r>
              <w:rPr>
                <w:spacing w:val="5"/>
              </w:rPr>
              <w:t>的关系</w:t>
            </w:r>
          </w:p>
        </w:tc>
        <w:tc>
          <w:tcPr>
            <w:tcW w:w="2324" w:type="dxa"/>
            <w:vMerge w:val="restart"/>
            <w:tcBorders>
              <w:bottom w:val="nil"/>
            </w:tcBorders>
            <w:vAlign w:val="top"/>
          </w:tcPr>
          <w:p w14:paraId="2E073AA3">
            <w:pPr>
              <w:pStyle w:val="6"/>
              <w:spacing w:before="229" w:line="219" w:lineRule="auto"/>
              <w:ind w:left="2"/>
            </w:pPr>
            <w:r>
              <w:t>1.地基与基础的概念</w:t>
            </w:r>
          </w:p>
          <w:p w14:paraId="43E134BA">
            <w:pPr>
              <w:pStyle w:val="6"/>
              <w:spacing w:before="18" w:line="220" w:lineRule="auto"/>
              <w:ind w:left="2"/>
            </w:pPr>
            <w:r>
              <w:rPr>
                <w:spacing w:val="1"/>
              </w:rPr>
              <w:t>2.地基与基础的关系</w:t>
            </w:r>
          </w:p>
          <w:p w14:paraId="50AEA24B">
            <w:pPr>
              <w:pStyle w:val="6"/>
              <w:spacing w:before="18" w:line="229" w:lineRule="auto"/>
              <w:ind w:left="2" w:right="447"/>
            </w:pPr>
            <w:r>
              <w:rPr>
                <w:spacing w:val="-1"/>
              </w:rPr>
              <w:t>3.基础的埋置深度的要求</w:t>
            </w:r>
            <w:r>
              <w:t xml:space="preserve"> </w:t>
            </w:r>
            <w:r>
              <w:rPr>
                <w:spacing w:val="-1"/>
              </w:rPr>
              <w:t>4.基础的埋置深度的选择</w:t>
            </w:r>
          </w:p>
        </w:tc>
        <w:tc>
          <w:tcPr>
            <w:tcW w:w="210" w:type="dxa"/>
            <w:vAlign w:val="top"/>
          </w:tcPr>
          <w:p w14:paraId="32BE66F4">
            <w:pPr>
              <w:pStyle w:val="6"/>
              <w:spacing w:before="100" w:line="238" w:lineRule="auto"/>
              <w:ind w:left="17"/>
              <w:rPr>
                <w:sz w:val="13"/>
                <w:szCs w:val="13"/>
              </w:rPr>
            </w:pPr>
            <w:r>
              <w:rPr>
                <w:sz w:val="13"/>
                <w:szCs w:val="13"/>
              </w:rPr>
              <w:t>√</w:t>
            </w:r>
          </w:p>
        </w:tc>
        <w:tc>
          <w:tcPr>
            <w:tcW w:w="229" w:type="dxa"/>
            <w:vAlign w:val="top"/>
          </w:tcPr>
          <w:p w14:paraId="5E8C6D2E">
            <w:pPr>
              <w:rPr>
                <w:rFonts w:ascii="Arial"/>
                <w:sz w:val="21"/>
              </w:rPr>
            </w:pPr>
          </w:p>
        </w:tc>
        <w:tc>
          <w:tcPr>
            <w:tcW w:w="229" w:type="dxa"/>
            <w:vAlign w:val="top"/>
          </w:tcPr>
          <w:p w14:paraId="10C84E9D">
            <w:pPr>
              <w:rPr>
                <w:rFonts w:ascii="Arial"/>
                <w:sz w:val="21"/>
              </w:rPr>
            </w:pPr>
          </w:p>
        </w:tc>
        <w:tc>
          <w:tcPr>
            <w:tcW w:w="234" w:type="dxa"/>
            <w:vAlign w:val="top"/>
          </w:tcPr>
          <w:p w14:paraId="1EDF8B99">
            <w:pPr>
              <w:rPr>
                <w:rFonts w:ascii="Arial"/>
                <w:sz w:val="21"/>
              </w:rPr>
            </w:pPr>
          </w:p>
        </w:tc>
      </w:tr>
      <w:tr w14:paraId="3C8357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893" w:type="dxa"/>
            <w:vMerge w:val="continue"/>
            <w:tcBorders>
              <w:top w:val="nil"/>
              <w:bottom w:val="nil"/>
            </w:tcBorders>
            <w:vAlign w:val="top"/>
          </w:tcPr>
          <w:p w14:paraId="278237A0">
            <w:pPr>
              <w:rPr>
                <w:rFonts w:ascii="Arial"/>
                <w:sz w:val="21"/>
              </w:rPr>
            </w:pPr>
          </w:p>
        </w:tc>
        <w:tc>
          <w:tcPr>
            <w:tcW w:w="2324" w:type="dxa"/>
            <w:vMerge w:val="continue"/>
            <w:tcBorders>
              <w:top w:val="nil"/>
              <w:bottom w:val="nil"/>
            </w:tcBorders>
            <w:vAlign w:val="top"/>
          </w:tcPr>
          <w:p w14:paraId="4D5C2260">
            <w:pPr>
              <w:rPr>
                <w:rFonts w:ascii="Arial"/>
                <w:sz w:val="21"/>
              </w:rPr>
            </w:pPr>
          </w:p>
        </w:tc>
        <w:tc>
          <w:tcPr>
            <w:tcW w:w="210" w:type="dxa"/>
            <w:vAlign w:val="top"/>
          </w:tcPr>
          <w:p w14:paraId="7BD72F64">
            <w:pPr>
              <w:rPr>
                <w:rFonts w:ascii="Arial"/>
                <w:sz w:val="21"/>
              </w:rPr>
            </w:pPr>
          </w:p>
        </w:tc>
        <w:tc>
          <w:tcPr>
            <w:tcW w:w="229" w:type="dxa"/>
            <w:vAlign w:val="top"/>
          </w:tcPr>
          <w:p w14:paraId="51205B2F">
            <w:pPr>
              <w:pStyle w:val="6"/>
              <w:spacing w:before="101" w:line="238" w:lineRule="auto"/>
              <w:ind w:left="47"/>
              <w:rPr>
                <w:sz w:val="13"/>
                <w:szCs w:val="13"/>
              </w:rPr>
            </w:pPr>
            <w:r>
              <w:rPr>
                <w:sz w:val="13"/>
                <w:szCs w:val="13"/>
              </w:rPr>
              <w:t>√</w:t>
            </w:r>
          </w:p>
        </w:tc>
        <w:tc>
          <w:tcPr>
            <w:tcW w:w="229" w:type="dxa"/>
            <w:vAlign w:val="top"/>
          </w:tcPr>
          <w:p w14:paraId="5595E947">
            <w:pPr>
              <w:rPr>
                <w:rFonts w:ascii="Arial"/>
                <w:sz w:val="21"/>
              </w:rPr>
            </w:pPr>
          </w:p>
        </w:tc>
        <w:tc>
          <w:tcPr>
            <w:tcW w:w="234" w:type="dxa"/>
            <w:vAlign w:val="top"/>
          </w:tcPr>
          <w:p w14:paraId="5BA8EC22">
            <w:pPr>
              <w:rPr>
                <w:rFonts w:ascii="Arial"/>
                <w:sz w:val="21"/>
              </w:rPr>
            </w:pPr>
          </w:p>
        </w:tc>
      </w:tr>
      <w:tr w14:paraId="5550E6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893" w:type="dxa"/>
            <w:vMerge w:val="continue"/>
            <w:tcBorders>
              <w:top w:val="nil"/>
              <w:bottom w:val="nil"/>
            </w:tcBorders>
            <w:vAlign w:val="top"/>
          </w:tcPr>
          <w:p w14:paraId="02AB75FD">
            <w:pPr>
              <w:rPr>
                <w:rFonts w:ascii="Arial"/>
                <w:sz w:val="21"/>
              </w:rPr>
            </w:pPr>
          </w:p>
        </w:tc>
        <w:tc>
          <w:tcPr>
            <w:tcW w:w="2324" w:type="dxa"/>
            <w:vMerge w:val="continue"/>
            <w:tcBorders>
              <w:top w:val="nil"/>
              <w:bottom w:val="nil"/>
            </w:tcBorders>
            <w:vAlign w:val="top"/>
          </w:tcPr>
          <w:p w14:paraId="3EB7C18E">
            <w:pPr>
              <w:rPr>
                <w:rFonts w:ascii="Arial"/>
                <w:sz w:val="21"/>
              </w:rPr>
            </w:pPr>
          </w:p>
        </w:tc>
        <w:tc>
          <w:tcPr>
            <w:tcW w:w="210" w:type="dxa"/>
            <w:vAlign w:val="top"/>
          </w:tcPr>
          <w:p w14:paraId="6DF2476D">
            <w:pPr>
              <w:pStyle w:val="6"/>
              <w:spacing w:before="102" w:line="238" w:lineRule="auto"/>
              <w:ind w:left="17"/>
              <w:rPr>
                <w:sz w:val="13"/>
                <w:szCs w:val="13"/>
              </w:rPr>
            </w:pPr>
            <w:r>
              <w:rPr>
                <w:sz w:val="13"/>
                <w:szCs w:val="13"/>
              </w:rPr>
              <w:t>√</w:t>
            </w:r>
          </w:p>
        </w:tc>
        <w:tc>
          <w:tcPr>
            <w:tcW w:w="229" w:type="dxa"/>
            <w:vAlign w:val="top"/>
          </w:tcPr>
          <w:p w14:paraId="032590E3">
            <w:pPr>
              <w:rPr>
                <w:rFonts w:ascii="Arial"/>
                <w:sz w:val="21"/>
              </w:rPr>
            </w:pPr>
          </w:p>
        </w:tc>
        <w:tc>
          <w:tcPr>
            <w:tcW w:w="229" w:type="dxa"/>
            <w:vAlign w:val="top"/>
          </w:tcPr>
          <w:p w14:paraId="37EBC0C9">
            <w:pPr>
              <w:rPr>
                <w:rFonts w:ascii="Arial"/>
                <w:sz w:val="21"/>
              </w:rPr>
            </w:pPr>
          </w:p>
        </w:tc>
        <w:tc>
          <w:tcPr>
            <w:tcW w:w="234" w:type="dxa"/>
            <w:vAlign w:val="top"/>
          </w:tcPr>
          <w:p w14:paraId="7BED71C6">
            <w:pPr>
              <w:rPr>
                <w:rFonts w:ascii="Arial"/>
                <w:sz w:val="21"/>
              </w:rPr>
            </w:pPr>
          </w:p>
        </w:tc>
      </w:tr>
      <w:tr w14:paraId="09616A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893" w:type="dxa"/>
            <w:vMerge w:val="continue"/>
            <w:tcBorders>
              <w:top w:val="nil"/>
            </w:tcBorders>
            <w:vAlign w:val="top"/>
          </w:tcPr>
          <w:p w14:paraId="0072F805">
            <w:pPr>
              <w:rPr>
                <w:rFonts w:ascii="Arial"/>
                <w:sz w:val="21"/>
              </w:rPr>
            </w:pPr>
          </w:p>
        </w:tc>
        <w:tc>
          <w:tcPr>
            <w:tcW w:w="2324" w:type="dxa"/>
            <w:vMerge w:val="continue"/>
            <w:tcBorders>
              <w:top w:val="nil"/>
            </w:tcBorders>
            <w:vAlign w:val="top"/>
          </w:tcPr>
          <w:p w14:paraId="346DBB95">
            <w:pPr>
              <w:rPr>
                <w:rFonts w:ascii="Arial"/>
                <w:sz w:val="21"/>
              </w:rPr>
            </w:pPr>
          </w:p>
        </w:tc>
        <w:tc>
          <w:tcPr>
            <w:tcW w:w="210" w:type="dxa"/>
            <w:vAlign w:val="top"/>
          </w:tcPr>
          <w:p w14:paraId="46F29020">
            <w:pPr>
              <w:rPr>
                <w:rFonts w:ascii="Arial"/>
                <w:sz w:val="21"/>
              </w:rPr>
            </w:pPr>
          </w:p>
        </w:tc>
        <w:tc>
          <w:tcPr>
            <w:tcW w:w="229" w:type="dxa"/>
            <w:vAlign w:val="top"/>
          </w:tcPr>
          <w:p w14:paraId="37E2988F">
            <w:pPr>
              <w:rPr>
                <w:rFonts w:ascii="Arial"/>
                <w:sz w:val="21"/>
              </w:rPr>
            </w:pPr>
          </w:p>
        </w:tc>
        <w:tc>
          <w:tcPr>
            <w:tcW w:w="229" w:type="dxa"/>
            <w:vAlign w:val="top"/>
          </w:tcPr>
          <w:p w14:paraId="031F4D4F">
            <w:pPr>
              <w:pStyle w:val="6"/>
              <w:spacing w:before="102" w:line="238" w:lineRule="auto"/>
              <w:ind w:left="48"/>
              <w:rPr>
                <w:sz w:val="13"/>
                <w:szCs w:val="13"/>
              </w:rPr>
            </w:pPr>
            <w:r>
              <w:rPr>
                <w:sz w:val="13"/>
                <w:szCs w:val="13"/>
              </w:rPr>
              <w:t>√</w:t>
            </w:r>
          </w:p>
        </w:tc>
        <w:tc>
          <w:tcPr>
            <w:tcW w:w="234" w:type="dxa"/>
            <w:vAlign w:val="top"/>
          </w:tcPr>
          <w:p w14:paraId="64431335">
            <w:pPr>
              <w:rPr>
                <w:rFonts w:ascii="Arial"/>
                <w:sz w:val="21"/>
              </w:rPr>
            </w:pPr>
          </w:p>
        </w:tc>
      </w:tr>
      <w:tr w14:paraId="0B1AA5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9" w:hRule="atLeast"/>
        </w:trPr>
        <w:tc>
          <w:tcPr>
            <w:tcW w:w="893" w:type="dxa"/>
            <w:vMerge w:val="restart"/>
            <w:tcBorders>
              <w:bottom w:val="nil"/>
            </w:tcBorders>
            <w:vAlign w:val="top"/>
          </w:tcPr>
          <w:p w14:paraId="2D70EDB5">
            <w:pPr>
              <w:pStyle w:val="6"/>
              <w:spacing w:before="152" w:line="220" w:lineRule="auto"/>
              <w:ind w:left="94"/>
            </w:pPr>
            <w:r>
              <w:rPr>
                <w:spacing w:val="-2"/>
              </w:rPr>
              <w:t>基础的构</w:t>
            </w:r>
          </w:p>
          <w:p w14:paraId="6A7C513A">
            <w:pPr>
              <w:pStyle w:val="6"/>
              <w:spacing w:before="17" w:line="219" w:lineRule="auto"/>
              <w:ind w:left="184"/>
            </w:pPr>
            <w:r>
              <w:rPr>
                <w:spacing w:val="-2"/>
              </w:rPr>
              <w:t>造类型</w:t>
            </w:r>
          </w:p>
        </w:tc>
        <w:tc>
          <w:tcPr>
            <w:tcW w:w="2324" w:type="dxa"/>
            <w:vMerge w:val="restart"/>
            <w:tcBorders>
              <w:bottom w:val="nil"/>
            </w:tcBorders>
            <w:vAlign w:val="top"/>
          </w:tcPr>
          <w:p w14:paraId="5DBA72B2">
            <w:pPr>
              <w:pStyle w:val="6"/>
              <w:spacing w:before="161" w:line="230" w:lineRule="auto"/>
              <w:ind w:left="2" w:right="766"/>
            </w:pPr>
            <w:r>
              <w:rPr>
                <w:spacing w:val="1"/>
              </w:rPr>
              <w:t>1.基础的类型及特点</w:t>
            </w:r>
            <w:r>
              <w:rPr>
                <w:spacing w:val="4"/>
              </w:rPr>
              <w:t xml:space="preserve"> </w:t>
            </w:r>
            <w:r>
              <w:rPr>
                <w:spacing w:val="-1"/>
              </w:rPr>
              <w:t>2.砖基础的构造要求</w:t>
            </w:r>
          </w:p>
        </w:tc>
        <w:tc>
          <w:tcPr>
            <w:tcW w:w="210" w:type="dxa"/>
            <w:vAlign w:val="top"/>
          </w:tcPr>
          <w:p w14:paraId="65F7801E">
            <w:pPr>
              <w:pStyle w:val="6"/>
              <w:spacing w:before="123" w:line="238" w:lineRule="auto"/>
              <w:ind w:left="17"/>
              <w:rPr>
                <w:sz w:val="13"/>
                <w:szCs w:val="13"/>
              </w:rPr>
            </w:pPr>
            <w:r>
              <w:rPr>
                <w:sz w:val="13"/>
                <w:szCs w:val="13"/>
              </w:rPr>
              <w:t>√</w:t>
            </w:r>
          </w:p>
        </w:tc>
        <w:tc>
          <w:tcPr>
            <w:tcW w:w="229" w:type="dxa"/>
            <w:vAlign w:val="top"/>
          </w:tcPr>
          <w:p w14:paraId="331117E7">
            <w:pPr>
              <w:rPr>
                <w:rFonts w:ascii="Arial"/>
                <w:sz w:val="21"/>
              </w:rPr>
            </w:pPr>
          </w:p>
        </w:tc>
        <w:tc>
          <w:tcPr>
            <w:tcW w:w="229" w:type="dxa"/>
            <w:vAlign w:val="top"/>
          </w:tcPr>
          <w:p w14:paraId="18D47F77">
            <w:pPr>
              <w:rPr>
                <w:rFonts w:ascii="Arial"/>
                <w:sz w:val="21"/>
              </w:rPr>
            </w:pPr>
          </w:p>
        </w:tc>
        <w:tc>
          <w:tcPr>
            <w:tcW w:w="234" w:type="dxa"/>
            <w:vAlign w:val="top"/>
          </w:tcPr>
          <w:p w14:paraId="537A3A2F">
            <w:pPr>
              <w:rPr>
                <w:rFonts w:ascii="Arial"/>
                <w:sz w:val="21"/>
              </w:rPr>
            </w:pPr>
          </w:p>
        </w:tc>
      </w:tr>
      <w:tr w14:paraId="5E1771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9" w:hRule="atLeast"/>
        </w:trPr>
        <w:tc>
          <w:tcPr>
            <w:tcW w:w="893" w:type="dxa"/>
            <w:vMerge w:val="continue"/>
            <w:tcBorders>
              <w:top w:val="nil"/>
            </w:tcBorders>
            <w:vAlign w:val="top"/>
          </w:tcPr>
          <w:p w14:paraId="6708EF74">
            <w:pPr>
              <w:rPr>
                <w:rFonts w:ascii="Arial"/>
                <w:sz w:val="21"/>
              </w:rPr>
            </w:pPr>
          </w:p>
        </w:tc>
        <w:tc>
          <w:tcPr>
            <w:tcW w:w="2324" w:type="dxa"/>
            <w:vMerge w:val="continue"/>
            <w:tcBorders>
              <w:top w:val="nil"/>
            </w:tcBorders>
            <w:vAlign w:val="top"/>
          </w:tcPr>
          <w:p w14:paraId="565544FD">
            <w:pPr>
              <w:rPr>
                <w:rFonts w:ascii="Arial"/>
                <w:sz w:val="21"/>
              </w:rPr>
            </w:pPr>
          </w:p>
        </w:tc>
        <w:tc>
          <w:tcPr>
            <w:tcW w:w="210" w:type="dxa"/>
            <w:vAlign w:val="top"/>
          </w:tcPr>
          <w:p w14:paraId="5AF22D28">
            <w:pPr>
              <w:rPr>
                <w:rFonts w:ascii="Arial"/>
                <w:sz w:val="21"/>
              </w:rPr>
            </w:pPr>
          </w:p>
        </w:tc>
        <w:tc>
          <w:tcPr>
            <w:tcW w:w="229" w:type="dxa"/>
            <w:vAlign w:val="top"/>
          </w:tcPr>
          <w:p w14:paraId="0E5BD7ED">
            <w:pPr>
              <w:rPr>
                <w:rFonts w:ascii="Arial"/>
                <w:sz w:val="21"/>
              </w:rPr>
            </w:pPr>
          </w:p>
        </w:tc>
        <w:tc>
          <w:tcPr>
            <w:tcW w:w="229" w:type="dxa"/>
            <w:vAlign w:val="top"/>
          </w:tcPr>
          <w:p w14:paraId="53B9EABA">
            <w:pPr>
              <w:pStyle w:val="6"/>
              <w:spacing w:before="124" w:line="238" w:lineRule="auto"/>
              <w:ind w:left="48"/>
              <w:rPr>
                <w:sz w:val="13"/>
                <w:szCs w:val="13"/>
              </w:rPr>
            </w:pPr>
            <w:r>
              <w:rPr>
                <w:sz w:val="13"/>
                <w:szCs w:val="13"/>
              </w:rPr>
              <w:t>√</w:t>
            </w:r>
          </w:p>
        </w:tc>
        <w:tc>
          <w:tcPr>
            <w:tcW w:w="234" w:type="dxa"/>
            <w:vAlign w:val="top"/>
          </w:tcPr>
          <w:p w14:paraId="7FC2B56C">
            <w:pPr>
              <w:rPr>
                <w:rFonts w:ascii="Arial"/>
                <w:sz w:val="21"/>
              </w:rPr>
            </w:pPr>
          </w:p>
        </w:tc>
      </w:tr>
      <w:tr w14:paraId="2A0D1C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893" w:type="dxa"/>
            <w:vMerge w:val="restart"/>
            <w:tcBorders>
              <w:bottom w:val="nil"/>
            </w:tcBorders>
            <w:vAlign w:val="top"/>
          </w:tcPr>
          <w:p w14:paraId="0BEEA1BB">
            <w:pPr>
              <w:pStyle w:val="6"/>
              <w:spacing w:before="175" w:line="216" w:lineRule="auto"/>
              <w:ind w:left="94"/>
            </w:pPr>
            <w:r>
              <w:rPr>
                <w:spacing w:val="-2"/>
              </w:rPr>
              <w:t>地下室的</w:t>
            </w:r>
          </w:p>
          <w:p w14:paraId="7660E203">
            <w:pPr>
              <w:pStyle w:val="6"/>
              <w:spacing w:line="219" w:lineRule="auto"/>
              <w:ind w:left="94"/>
            </w:pPr>
            <w:r>
              <w:rPr>
                <w:spacing w:val="-2"/>
              </w:rPr>
              <w:t>分类与组</w:t>
            </w:r>
          </w:p>
          <w:p w14:paraId="498D011B">
            <w:pPr>
              <w:pStyle w:val="6"/>
              <w:spacing w:before="18" w:line="219" w:lineRule="auto"/>
              <w:ind w:left="94"/>
            </w:pPr>
            <w:r>
              <w:rPr>
                <w:spacing w:val="3"/>
              </w:rPr>
              <w:t>成、防潮</w:t>
            </w:r>
          </w:p>
          <w:p w14:paraId="6BFDD056">
            <w:pPr>
              <w:pStyle w:val="6"/>
              <w:spacing w:before="38" w:line="219" w:lineRule="auto"/>
              <w:ind w:left="184"/>
            </w:pPr>
            <w:r>
              <w:rPr>
                <w:spacing w:val="-2"/>
              </w:rPr>
              <w:t>和防水</w:t>
            </w:r>
          </w:p>
        </w:tc>
        <w:tc>
          <w:tcPr>
            <w:tcW w:w="2324" w:type="dxa"/>
            <w:vMerge w:val="restart"/>
            <w:tcBorders>
              <w:bottom w:val="nil"/>
            </w:tcBorders>
            <w:vAlign w:val="top"/>
          </w:tcPr>
          <w:p w14:paraId="0A14696B">
            <w:pPr>
              <w:pStyle w:val="6"/>
              <w:spacing w:before="273" w:line="224" w:lineRule="auto"/>
              <w:ind w:left="2" w:right="603"/>
            </w:pPr>
            <w:r>
              <w:t>1.地下室的分类与组成</w:t>
            </w:r>
            <w:r>
              <w:rPr>
                <w:spacing w:val="6"/>
              </w:rPr>
              <w:t xml:space="preserve"> </w:t>
            </w:r>
            <w:r>
              <w:rPr>
                <w:spacing w:val="-1"/>
              </w:rPr>
              <w:t>2.地下室的防潮构造</w:t>
            </w:r>
          </w:p>
          <w:p w14:paraId="3DAF0DA7">
            <w:pPr>
              <w:pStyle w:val="6"/>
              <w:spacing w:before="28" w:line="219" w:lineRule="auto"/>
              <w:ind w:left="2"/>
            </w:pPr>
            <w:r>
              <w:rPr>
                <w:spacing w:val="-1"/>
              </w:rPr>
              <w:t>3.地下室的防水构造</w:t>
            </w:r>
          </w:p>
        </w:tc>
        <w:tc>
          <w:tcPr>
            <w:tcW w:w="210" w:type="dxa"/>
            <w:vAlign w:val="top"/>
          </w:tcPr>
          <w:p w14:paraId="75B8AA95">
            <w:pPr>
              <w:rPr>
                <w:rFonts w:ascii="Arial"/>
                <w:sz w:val="21"/>
              </w:rPr>
            </w:pPr>
          </w:p>
        </w:tc>
        <w:tc>
          <w:tcPr>
            <w:tcW w:w="229" w:type="dxa"/>
            <w:vAlign w:val="top"/>
          </w:tcPr>
          <w:p w14:paraId="538A268F">
            <w:pPr>
              <w:rPr>
                <w:rFonts w:ascii="Arial"/>
                <w:sz w:val="21"/>
              </w:rPr>
            </w:pPr>
          </w:p>
        </w:tc>
        <w:tc>
          <w:tcPr>
            <w:tcW w:w="229" w:type="dxa"/>
            <w:vAlign w:val="top"/>
          </w:tcPr>
          <w:p w14:paraId="58015935">
            <w:pPr>
              <w:rPr>
                <w:rFonts w:ascii="Arial"/>
                <w:sz w:val="21"/>
              </w:rPr>
            </w:pPr>
          </w:p>
        </w:tc>
        <w:tc>
          <w:tcPr>
            <w:tcW w:w="234" w:type="dxa"/>
            <w:vAlign w:val="top"/>
          </w:tcPr>
          <w:p w14:paraId="562CE854">
            <w:pPr>
              <w:rPr>
                <w:rFonts w:ascii="Arial"/>
                <w:sz w:val="21"/>
              </w:rPr>
            </w:pPr>
          </w:p>
        </w:tc>
      </w:tr>
      <w:tr w14:paraId="354DBA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9" w:hRule="atLeast"/>
        </w:trPr>
        <w:tc>
          <w:tcPr>
            <w:tcW w:w="893" w:type="dxa"/>
            <w:vMerge w:val="continue"/>
            <w:tcBorders>
              <w:top w:val="nil"/>
              <w:bottom w:val="nil"/>
            </w:tcBorders>
            <w:vAlign w:val="top"/>
          </w:tcPr>
          <w:p w14:paraId="0780FD75">
            <w:pPr>
              <w:rPr>
                <w:rFonts w:ascii="Arial"/>
                <w:sz w:val="21"/>
              </w:rPr>
            </w:pPr>
          </w:p>
        </w:tc>
        <w:tc>
          <w:tcPr>
            <w:tcW w:w="2324" w:type="dxa"/>
            <w:vMerge w:val="continue"/>
            <w:tcBorders>
              <w:top w:val="nil"/>
              <w:bottom w:val="nil"/>
            </w:tcBorders>
            <w:vAlign w:val="top"/>
          </w:tcPr>
          <w:p w14:paraId="3BDBBD25">
            <w:pPr>
              <w:rPr>
                <w:rFonts w:ascii="Arial"/>
                <w:sz w:val="21"/>
              </w:rPr>
            </w:pPr>
          </w:p>
        </w:tc>
        <w:tc>
          <w:tcPr>
            <w:tcW w:w="210" w:type="dxa"/>
            <w:vAlign w:val="top"/>
          </w:tcPr>
          <w:p w14:paraId="14DE6703">
            <w:pPr>
              <w:rPr>
                <w:rFonts w:ascii="Arial"/>
                <w:sz w:val="21"/>
              </w:rPr>
            </w:pPr>
          </w:p>
        </w:tc>
        <w:tc>
          <w:tcPr>
            <w:tcW w:w="229" w:type="dxa"/>
            <w:vAlign w:val="top"/>
          </w:tcPr>
          <w:p w14:paraId="0BD61285">
            <w:pPr>
              <w:pStyle w:val="6"/>
              <w:spacing w:before="136" w:line="238" w:lineRule="auto"/>
              <w:ind w:left="47"/>
              <w:rPr>
                <w:sz w:val="13"/>
                <w:szCs w:val="13"/>
              </w:rPr>
            </w:pPr>
            <w:r>
              <w:rPr>
                <w:sz w:val="13"/>
                <w:szCs w:val="13"/>
              </w:rPr>
              <w:t>√</w:t>
            </w:r>
          </w:p>
        </w:tc>
        <w:tc>
          <w:tcPr>
            <w:tcW w:w="229" w:type="dxa"/>
            <w:vAlign w:val="top"/>
          </w:tcPr>
          <w:p w14:paraId="09E64103">
            <w:pPr>
              <w:rPr>
                <w:rFonts w:ascii="Arial"/>
                <w:sz w:val="21"/>
              </w:rPr>
            </w:pPr>
          </w:p>
        </w:tc>
        <w:tc>
          <w:tcPr>
            <w:tcW w:w="234" w:type="dxa"/>
            <w:vAlign w:val="top"/>
          </w:tcPr>
          <w:p w14:paraId="2F33433B">
            <w:pPr>
              <w:rPr>
                <w:rFonts w:ascii="Arial"/>
                <w:sz w:val="21"/>
              </w:rPr>
            </w:pPr>
          </w:p>
        </w:tc>
      </w:tr>
      <w:tr w14:paraId="1773D1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4" w:hRule="atLeast"/>
        </w:trPr>
        <w:tc>
          <w:tcPr>
            <w:tcW w:w="893" w:type="dxa"/>
            <w:vMerge w:val="continue"/>
            <w:tcBorders>
              <w:top w:val="nil"/>
            </w:tcBorders>
            <w:vAlign w:val="top"/>
          </w:tcPr>
          <w:p w14:paraId="606D3B59">
            <w:pPr>
              <w:rPr>
                <w:rFonts w:ascii="Arial"/>
                <w:sz w:val="21"/>
              </w:rPr>
            </w:pPr>
          </w:p>
        </w:tc>
        <w:tc>
          <w:tcPr>
            <w:tcW w:w="2324" w:type="dxa"/>
            <w:vMerge w:val="continue"/>
            <w:tcBorders>
              <w:top w:val="nil"/>
            </w:tcBorders>
            <w:vAlign w:val="top"/>
          </w:tcPr>
          <w:p w14:paraId="443B1DAD">
            <w:pPr>
              <w:rPr>
                <w:rFonts w:ascii="Arial"/>
                <w:sz w:val="21"/>
              </w:rPr>
            </w:pPr>
          </w:p>
        </w:tc>
        <w:tc>
          <w:tcPr>
            <w:tcW w:w="210" w:type="dxa"/>
            <w:vAlign w:val="top"/>
          </w:tcPr>
          <w:p w14:paraId="5FEB97FD">
            <w:pPr>
              <w:rPr>
                <w:rFonts w:ascii="Arial"/>
                <w:sz w:val="21"/>
              </w:rPr>
            </w:pPr>
          </w:p>
        </w:tc>
        <w:tc>
          <w:tcPr>
            <w:tcW w:w="229" w:type="dxa"/>
            <w:vAlign w:val="top"/>
          </w:tcPr>
          <w:p w14:paraId="56DA43EC">
            <w:pPr>
              <w:rPr>
                <w:rFonts w:ascii="Arial"/>
                <w:sz w:val="21"/>
              </w:rPr>
            </w:pPr>
          </w:p>
        </w:tc>
        <w:tc>
          <w:tcPr>
            <w:tcW w:w="229" w:type="dxa"/>
            <w:vAlign w:val="top"/>
          </w:tcPr>
          <w:p w14:paraId="4F8E306A">
            <w:pPr>
              <w:pStyle w:val="6"/>
              <w:spacing w:before="137" w:line="238" w:lineRule="auto"/>
              <w:ind w:left="48"/>
              <w:rPr>
                <w:sz w:val="13"/>
                <w:szCs w:val="13"/>
              </w:rPr>
            </w:pPr>
            <w:r>
              <w:rPr>
                <w:sz w:val="13"/>
                <w:szCs w:val="13"/>
              </w:rPr>
              <w:t>√</w:t>
            </w:r>
          </w:p>
        </w:tc>
        <w:tc>
          <w:tcPr>
            <w:tcW w:w="234" w:type="dxa"/>
            <w:vAlign w:val="top"/>
          </w:tcPr>
          <w:p w14:paraId="3349E9EA">
            <w:pPr>
              <w:rPr>
                <w:rFonts w:ascii="Arial"/>
                <w:sz w:val="21"/>
              </w:rPr>
            </w:pPr>
          </w:p>
        </w:tc>
      </w:tr>
    </w:tbl>
    <w:p w14:paraId="7FB77084">
      <w:pPr>
        <w:spacing w:before="119" w:line="222" w:lineRule="auto"/>
        <w:ind w:left="1467"/>
        <w:rPr>
          <w:rFonts w:ascii="黑体" w:hAnsi="黑体" w:eastAsia="黑体" w:cs="黑体"/>
          <w:sz w:val="20"/>
          <w:szCs w:val="20"/>
        </w:rPr>
      </w:pPr>
      <w:r>
        <w:rPr>
          <w:rFonts w:ascii="黑体" w:hAnsi="黑体" w:eastAsia="黑体" w:cs="黑体"/>
          <w:b/>
          <w:bCs/>
          <w:spacing w:val="-9"/>
          <w:sz w:val="20"/>
          <w:szCs w:val="20"/>
        </w:rPr>
        <w:t>第五章</w:t>
      </w:r>
      <w:r>
        <w:rPr>
          <w:rFonts w:ascii="黑体" w:hAnsi="黑体" w:eastAsia="黑体" w:cs="黑体"/>
          <w:spacing w:val="4"/>
          <w:sz w:val="20"/>
          <w:szCs w:val="20"/>
        </w:rPr>
        <w:t xml:space="preserve">  </w:t>
      </w:r>
      <w:r>
        <w:rPr>
          <w:rFonts w:ascii="黑体" w:hAnsi="黑体" w:eastAsia="黑体" w:cs="黑体"/>
          <w:b/>
          <w:bCs/>
          <w:spacing w:val="-9"/>
          <w:sz w:val="20"/>
          <w:szCs w:val="20"/>
        </w:rPr>
        <w:t>墙体</w:t>
      </w:r>
    </w:p>
    <w:p w14:paraId="629A0309">
      <w:pPr>
        <w:spacing w:line="81" w:lineRule="exact"/>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83"/>
        <w:gridCol w:w="2324"/>
        <w:gridCol w:w="219"/>
        <w:gridCol w:w="230"/>
        <w:gridCol w:w="229"/>
        <w:gridCol w:w="234"/>
      </w:tblGrid>
      <w:tr w14:paraId="393B5B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4" w:hRule="atLeast"/>
        </w:trPr>
        <w:tc>
          <w:tcPr>
            <w:tcW w:w="883" w:type="dxa"/>
            <w:vMerge w:val="restart"/>
            <w:tcBorders>
              <w:bottom w:val="nil"/>
            </w:tcBorders>
            <w:vAlign w:val="top"/>
          </w:tcPr>
          <w:p w14:paraId="17FF4B4C">
            <w:pPr>
              <w:pStyle w:val="6"/>
              <w:spacing w:before="112" w:line="229" w:lineRule="auto"/>
              <w:ind w:left="97" w:right="102" w:firstLine="80"/>
            </w:pPr>
            <w:r>
              <w:rPr>
                <w:b/>
                <w:bCs/>
                <w:spacing w:val="-6"/>
              </w:rPr>
              <w:t>知识与</w:t>
            </w:r>
            <w:r>
              <w:t xml:space="preserve">  </w:t>
            </w:r>
            <w:r>
              <w:rPr>
                <w:b/>
                <w:bCs/>
                <w:spacing w:val="-4"/>
              </w:rPr>
              <w:t>技能要点</w:t>
            </w:r>
          </w:p>
        </w:tc>
        <w:tc>
          <w:tcPr>
            <w:tcW w:w="2324" w:type="dxa"/>
            <w:vMerge w:val="restart"/>
            <w:tcBorders>
              <w:bottom w:val="nil"/>
            </w:tcBorders>
            <w:vAlign w:val="top"/>
          </w:tcPr>
          <w:p w14:paraId="27A36E44">
            <w:pPr>
              <w:pStyle w:val="6"/>
              <w:spacing w:before="229" w:line="219" w:lineRule="auto"/>
              <w:ind w:left="844"/>
            </w:pPr>
            <w:r>
              <w:rPr>
                <w:b/>
                <w:bCs/>
                <w:spacing w:val="5"/>
              </w:rPr>
              <w:t>考试条目</w:t>
            </w:r>
          </w:p>
        </w:tc>
        <w:tc>
          <w:tcPr>
            <w:tcW w:w="912" w:type="dxa"/>
            <w:gridSpan w:val="4"/>
            <w:vAlign w:val="top"/>
          </w:tcPr>
          <w:p w14:paraId="4592734C">
            <w:pPr>
              <w:pStyle w:val="6"/>
              <w:spacing w:before="69" w:line="219" w:lineRule="auto"/>
              <w:ind w:left="130"/>
            </w:pPr>
            <w:r>
              <w:rPr>
                <w:b/>
                <w:bCs/>
                <w:spacing w:val="-4"/>
              </w:rPr>
              <w:t>考试水平</w:t>
            </w:r>
          </w:p>
        </w:tc>
      </w:tr>
      <w:tr w14:paraId="129D96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883" w:type="dxa"/>
            <w:vMerge w:val="continue"/>
            <w:tcBorders>
              <w:top w:val="nil"/>
            </w:tcBorders>
            <w:vAlign w:val="top"/>
          </w:tcPr>
          <w:p w14:paraId="61639B23">
            <w:pPr>
              <w:rPr>
                <w:rFonts w:ascii="Arial"/>
                <w:sz w:val="21"/>
              </w:rPr>
            </w:pPr>
          </w:p>
        </w:tc>
        <w:tc>
          <w:tcPr>
            <w:tcW w:w="2324" w:type="dxa"/>
            <w:vMerge w:val="continue"/>
            <w:tcBorders>
              <w:top w:val="nil"/>
            </w:tcBorders>
            <w:vAlign w:val="top"/>
          </w:tcPr>
          <w:p w14:paraId="364932CA">
            <w:pPr>
              <w:rPr>
                <w:rFonts w:ascii="Arial"/>
                <w:sz w:val="21"/>
              </w:rPr>
            </w:pPr>
          </w:p>
        </w:tc>
        <w:tc>
          <w:tcPr>
            <w:tcW w:w="219" w:type="dxa"/>
            <w:vAlign w:val="top"/>
          </w:tcPr>
          <w:p w14:paraId="79746690">
            <w:pPr>
              <w:pStyle w:val="6"/>
              <w:spacing w:before="110" w:line="184" w:lineRule="auto"/>
              <w:ind w:left="7"/>
            </w:pPr>
            <w:r>
              <w:t>A</w:t>
            </w:r>
          </w:p>
        </w:tc>
        <w:tc>
          <w:tcPr>
            <w:tcW w:w="230" w:type="dxa"/>
            <w:vAlign w:val="top"/>
          </w:tcPr>
          <w:p w14:paraId="4477292B">
            <w:pPr>
              <w:pStyle w:val="6"/>
              <w:spacing w:before="112" w:line="182" w:lineRule="auto"/>
              <w:ind w:left="71"/>
            </w:pPr>
            <w:r>
              <w:rPr>
                <w:b/>
                <w:bCs/>
                <w:spacing w:val="-2"/>
              </w:rPr>
              <w:t>B</w:t>
            </w:r>
          </w:p>
        </w:tc>
        <w:tc>
          <w:tcPr>
            <w:tcW w:w="229" w:type="dxa"/>
            <w:vAlign w:val="top"/>
          </w:tcPr>
          <w:p w14:paraId="28F2F7F7">
            <w:pPr>
              <w:pStyle w:val="6"/>
              <w:spacing w:before="111" w:line="183" w:lineRule="auto"/>
              <w:ind w:left="19"/>
            </w:pPr>
            <w:r>
              <w:t>C</w:t>
            </w:r>
          </w:p>
        </w:tc>
        <w:tc>
          <w:tcPr>
            <w:tcW w:w="234" w:type="dxa"/>
            <w:vAlign w:val="top"/>
          </w:tcPr>
          <w:p w14:paraId="7B6EA0D2">
            <w:pPr>
              <w:pStyle w:val="6"/>
              <w:spacing w:before="112" w:line="182" w:lineRule="auto"/>
              <w:ind w:left="42"/>
            </w:pPr>
            <w:r>
              <w:rPr>
                <w:b/>
                <w:bCs/>
                <w:spacing w:val="-2"/>
              </w:rPr>
              <w:t>D</w:t>
            </w:r>
          </w:p>
        </w:tc>
      </w:tr>
      <w:tr w14:paraId="27C2E8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883" w:type="dxa"/>
            <w:vMerge w:val="restart"/>
            <w:tcBorders>
              <w:bottom w:val="nil"/>
            </w:tcBorders>
            <w:vAlign w:val="top"/>
          </w:tcPr>
          <w:p w14:paraId="28BC59A5">
            <w:pPr>
              <w:pStyle w:val="6"/>
              <w:spacing w:before="169" w:line="220" w:lineRule="auto"/>
              <w:ind w:left="94"/>
            </w:pPr>
            <w:r>
              <w:rPr>
                <w:spacing w:val="-2"/>
              </w:rPr>
              <w:t>墙体的作</w:t>
            </w:r>
          </w:p>
          <w:p w14:paraId="47C29560">
            <w:pPr>
              <w:pStyle w:val="6"/>
              <w:spacing w:before="27" w:line="219" w:lineRule="auto"/>
              <w:jc w:val="right"/>
            </w:pPr>
            <w:r>
              <w:rPr>
                <w:spacing w:val="3"/>
              </w:rPr>
              <w:t>用、类型、</w:t>
            </w:r>
          </w:p>
          <w:p w14:paraId="3150A1C6">
            <w:pPr>
              <w:pStyle w:val="6"/>
              <w:spacing w:before="9" w:line="221" w:lineRule="auto"/>
              <w:ind w:left="265"/>
            </w:pPr>
            <w:r>
              <w:rPr>
                <w:spacing w:val="-2"/>
              </w:rPr>
              <w:t>要求</w:t>
            </w:r>
          </w:p>
        </w:tc>
        <w:tc>
          <w:tcPr>
            <w:tcW w:w="2324" w:type="dxa"/>
            <w:vMerge w:val="restart"/>
            <w:tcBorders>
              <w:bottom w:val="nil"/>
            </w:tcBorders>
            <w:vAlign w:val="top"/>
          </w:tcPr>
          <w:p w14:paraId="1C61C1C6">
            <w:pPr>
              <w:pStyle w:val="6"/>
              <w:spacing w:before="188" w:line="231" w:lineRule="auto"/>
              <w:ind w:left="12" w:right="764"/>
            </w:pPr>
            <w:r>
              <w:t>1.墙体的作用和分类</w:t>
            </w:r>
            <w:r>
              <w:rPr>
                <w:spacing w:val="6"/>
              </w:rPr>
              <w:t xml:space="preserve"> </w:t>
            </w:r>
            <w:r>
              <w:rPr>
                <w:spacing w:val="-2"/>
              </w:rPr>
              <w:t>2.墙体的要求</w:t>
            </w:r>
          </w:p>
          <w:p w14:paraId="2A174B7F">
            <w:pPr>
              <w:pStyle w:val="6"/>
              <w:spacing w:before="14" w:line="219" w:lineRule="auto"/>
              <w:ind w:left="12"/>
            </w:pPr>
            <w:r>
              <w:rPr>
                <w:spacing w:val="-1"/>
              </w:rPr>
              <w:t>3.墙体的结构布置方案</w:t>
            </w:r>
          </w:p>
        </w:tc>
        <w:tc>
          <w:tcPr>
            <w:tcW w:w="219" w:type="dxa"/>
            <w:vAlign w:val="top"/>
          </w:tcPr>
          <w:p w14:paraId="0FAA6BE0">
            <w:pPr>
              <w:pStyle w:val="6"/>
              <w:spacing w:before="100" w:line="238" w:lineRule="auto"/>
              <w:ind w:left="7"/>
              <w:rPr>
                <w:sz w:val="13"/>
                <w:szCs w:val="13"/>
              </w:rPr>
            </w:pPr>
            <w:r>
              <w:rPr>
                <w:sz w:val="13"/>
                <w:szCs w:val="13"/>
              </w:rPr>
              <w:t>√</w:t>
            </w:r>
          </w:p>
        </w:tc>
        <w:tc>
          <w:tcPr>
            <w:tcW w:w="230" w:type="dxa"/>
            <w:vAlign w:val="top"/>
          </w:tcPr>
          <w:p w14:paraId="48336CB2">
            <w:pPr>
              <w:rPr>
                <w:rFonts w:ascii="Arial"/>
                <w:sz w:val="21"/>
              </w:rPr>
            </w:pPr>
          </w:p>
        </w:tc>
        <w:tc>
          <w:tcPr>
            <w:tcW w:w="229" w:type="dxa"/>
            <w:vAlign w:val="top"/>
          </w:tcPr>
          <w:p w14:paraId="679A2673">
            <w:pPr>
              <w:rPr>
                <w:rFonts w:ascii="Arial"/>
                <w:sz w:val="21"/>
              </w:rPr>
            </w:pPr>
          </w:p>
        </w:tc>
        <w:tc>
          <w:tcPr>
            <w:tcW w:w="234" w:type="dxa"/>
            <w:vAlign w:val="top"/>
          </w:tcPr>
          <w:p w14:paraId="293EE370">
            <w:pPr>
              <w:rPr>
                <w:rFonts w:ascii="Arial"/>
                <w:sz w:val="21"/>
              </w:rPr>
            </w:pPr>
          </w:p>
        </w:tc>
      </w:tr>
      <w:tr w14:paraId="1B21D2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883" w:type="dxa"/>
            <w:vMerge w:val="continue"/>
            <w:tcBorders>
              <w:top w:val="nil"/>
              <w:bottom w:val="nil"/>
            </w:tcBorders>
            <w:vAlign w:val="top"/>
          </w:tcPr>
          <w:p w14:paraId="21C3F86C">
            <w:pPr>
              <w:rPr>
                <w:rFonts w:ascii="Arial"/>
                <w:sz w:val="21"/>
              </w:rPr>
            </w:pPr>
          </w:p>
        </w:tc>
        <w:tc>
          <w:tcPr>
            <w:tcW w:w="2324" w:type="dxa"/>
            <w:vMerge w:val="continue"/>
            <w:tcBorders>
              <w:top w:val="nil"/>
              <w:bottom w:val="nil"/>
            </w:tcBorders>
            <w:vAlign w:val="top"/>
          </w:tcPr>
          <w:p w14:paraId="3FB28341">
            <w:pPr>
              <w:rPr>
                <w:rFonts w:ascii="Arial"/>
                <w:sz w:val="21"/>
              </w:rPr>
            </w:pPr>
          </w:p>
        </w:tc>
        <w:tc>
          <w:tcPr>
            <w:tcW w:w="219" w:type="dxa"/>
            <w:vAlign w:val="top"/>
          </w:tcPr>
          <w:p w14:paraId="34257CF6">
            <w:pPr>
              <w:pStyle w:val="6"/>
              <w:spacing w:before="111" w:line="238" w:lineRule="auto"/>
              <w:ind w:left="7"/>
              <w:rPr>
                <w:sz w:val="13"/>
                <w:szCs w:val="13"/>
              </w:rPr>
            </w:pPr>
            <w:r>
              <w:rPr>
                <w:sz w:val="13"/>
                <w:szCs w:val="13"/>
              </w:rPr>
              <w:t>√</w:t>
            </w:r>
          </w:p>
        </w:tc>
        <w:tc>
          <w:tcPr>
            <w:tcW w:w="230" w:type="dxa"/>
            <w:vAlign w:val="top"/>
          </w:tcPr>
          <w:p w14:paraId="14E0AA28">
            <w:pPr>
              <w:rPr>
                <w:rFonts w:ascii="Arial"/>
                <w:sz w:val="21"/>
              </w:rPr>
            </w:pPr>
          </w:p>
        </w:tc>
        <w:tc>
          <w:tcPr>
            <w:tcW w:w="229" w:type="dxa"/>
            <w:vAlign w:val="top"/>
          </w:tcPr>
          <w:p w14:paraId="57C57E5B">
            <w:pPr>
              <w:rPr>
                <w:rFonts w:ascii="Arial"/>
                <w:sz w:val="21"/>
              </w:rPr>
            </w:pPr>
          </w:p>
        </w:tc>
        <w:tc>
          <w:tcPr>
            <w:tcW w:w="234" w:type="dxa"/>
            <w:vAlign w:val="top"/>
          </w:tcPr>
          <w:p w14:paraId="69B6FA9B">
            <w:pPr>
              <w:rPr>
                <w:rFonts w:ascii="Arial"/>
                <w:sz w:val="21"/>
              </w:rPr>
            </w:pPr>
          </w:p>
        </w:tc>
      </w:tr>
      <w:tr w14:paraId="168337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883" w:type="dxa"/>
            <w:vMerge w:val="continue"/>
            <w:tcBorders>
              <w:top w:val="nil"/>
            </w:tcBorders>
            <w:vAlign w:val="top"/>
          </w:tcPr>
          <w:p w14:paraId="77D8B4BC">
            <w:pPr>
              <w:rPr>
                <w:rFonts w:ascii="Arial"/>
                <w:sz w:val="21"/>
              </w:rPr>
            </w:pPr>
          </w:p>
        </w:tc>
        <w:tc>
          <w:tcPr>
            <w:tcW w:w="2324" w:type="dxa"/>
            <w:vMerge w:val="continue"/>
            <w:tcBorders>
              <w:top w:val="nil"/>
            </w:tcBorders>
            <w:vAlign w:val="top"/>
          </w:tcPr>
          <w:p w14:paraId="17E7EFFF">
            <w:pPr>
              <w:rPr>
                <w:rFonts w:ascii="Arial"/>
                <w:sz w:val="21"/>
              </w:rPr>
            </w:pPr>
          </w:p>
        </w:tc>
        <w:tc>
          <w:tcPr>
            <w:tcW w:w="219" w:type="dxa"/>
            <w:vAlign w:val="top"/>
          </w:tcPr>
          <w:p w14:paraId="0130D22F">
            <w:pPr>
              <w:rPr>
                <w:rFonts w:ascii="Arial"/>
                <w:sz w:val="21"/>
              </w:rPr>
            </w:pPr>
          </w:p>
        </w:tc>
        <w:tc>
          <w:tcPr>
            <w:tcW w:w="230" w:type="dxa"/>
            <w:vAlign w:val="top"/>
          </w:tcPr>
          <w:p w14:paraId="25D0E646">
            <w:pPr>
              <w:pStyle w:val="6"/>
              <w:spacing w:before="102" w:line="238" w:lineRule="auto"/>
              <w:ind w:left="48"/>
              <w:rPr>
                <w:sz w:val="13"/>
                <w:szCs w:val="13"/>
              </w:rPr>
            </w:pPr>
            <w:r>
              <w:rPr>
                <w:sz w:val="13"/>
                <w:szCs w:val="13"/>
              </w:rPr>
              <w:t>√</w:t>
            </w:r>
          </w:p>
        </w:tc>
        <w:tc>
          <w:tcPr>
            <w:tcW w:w="229" w:type="dxa"/>
            <w:vAlign w:val="top"/>
          </w:tcPr>
          <w:p w14:paraId="0578DE8C">
            <w:pPr>
              <w:rPr>
                <w:rFonts w:ascii="Arial"/>
                <w:sz w:val="21"/>
              </w:rPr>
            </w:pPr>
          </w:p>
        </w:tc>
        <w:tc>
          <w:tcPr>
            <w:tcW w:w="234" w:type="dxa"/>
            <w:vAlign w:val="top"/>
          </w:tcPr>
          <w:p w14:paraId="7D868549">
            <w:pPr>
              <w:rPr>
                <w:rFonts w:ascii="Arial"/>
                <w:sz w:val="21"/>
              </w:rPr>
            </w:pPr>
          </w:p>
        </w:tc>
      </w:tr>
      <w:tr w14:paraId="1E15D7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883" w:type="dxa"/>
            <w:vMerge w:val="restart"/>
            <w:tcBorders>
              <w:bottom w:val="nil"/>
            </w:tcBorders>
            <w:vAlign w:val="top"/>
          </w:tcPr>
          <w:p w14:paraId="3222D119">
            <w:pPr>
              <w:spacing w:line="241" w:lineRule="auto"/>
              <w:rPr>
                <w:rFonts w:ascii="Arial"/>
                <w:sz w:val="21"/>
              </w:rPr>
            </w:pPr>
          </w:p>
          <w:p w14:paraId="3C9BF1B9">
            <w:pPr>
              <w:spacing w:line="241" w:lineRule="auto"/>
              <w:rPr>
                <w:rFonts w:ascii="Arial"/>
                <w:sz w:val="21"/>
              </w:rPr>
            </w:pPr>
          </w:p>
          <w:p w14:paraId="726B667F">
            <w:pPr>
              <w:spacing w:line="242" w:lineRule="auto"/>
              <w:rPr>
                <w:rFonts w:ascii="Arial"/>
                <w:sz w:val="21"/>
              </w:rPr>
            </w:pPr>
          </w:p>
          <w:p w14:paraId="0580B3F8">
            <w:pPr>
              <w:pStyle w:val="6"/>
              <w:spacing w:before="55" w:line="221" w:lineRule="auto"/>
              <w:ind w:left="175"/>
            </w:pPr>
            <w:r>
              <w:rPr>
                <w:spacing w:val="-2"/>
              </w:rPr>
              <w:t>砖墙的</w:t>
            </w:r>
          </w:p>
          <w:p w14:paraId="7E2DCDD4">
            <w:pPr>
              <w:pStyle w:val="6"/>
              <w:spacing w:before="14" w:line="220" w:lineRule="auto"/>
              <w:ind w:left="265"/>
            </w:pPr>
            <w:r>
              <w:rPr>
                <w:spacing w:val="-3"/>
              </w:rPr>
              <w:t>构造</w:t>
            </w:r>
          </w:p>
        </w:tc>
        <w:tc>
          <w:tcPr>
            <w:tcW w:w="2324" w:type="dxa"/>
            <w:vMerge w:val="restart"/>
            <w:tcBorders>
              <w:bottom w:val="nil"/>
            </w:tcBorders>
            <w:vAlign w:val="top"/>
          </w:tcPr>
          <w:p w14:paraId="5995E343">
            <w:pPr>
              <w:pStyle w:val="6"/>
              <w:spacing w:before="233" w:line="221" w:lineRule="auto"/>
              <w:ind w:left="12"/>
            </w:pPr>
            <w:r>
              <w:t>1.墙体的组砌方式</w:t>
            </w:r>
          </w:p>
          <w:p w14:paraId="38A5ECC7">
            <w:pPr>
              <w:pStyle w:val="6"/>
              <w:spacing w:before="36" w:line="229" w:lineRule="auto"/>
              <w:ind w:left="12"/>
            </w:pPr>
            <w:r>
              <w:t>2.砖墙的勒脚、散水、明沟、</w:t>
            </w:r>
            <w:r>
              <w:rPr>
                <w:spacing w:val="3"/>
              </w:rPr>
              <w:t xml:space="preserve">  </w:t>
            </w:r>
            <w:r>
              <w:rPr>
                <w:spacing w:val="-6"/>
              </w:rPr>
              <w:t>防潮层、踢脚板、墙裙、窗台、</w:t>
            </w:r>
            <w:r>
              <w:rPr>
                <w:spacing w:val="4"/>
              </w:rPr>
              <w:t xml:space="preserve"> </w:t>
            </w:r>
            <w:r>
              <w:rPr>
                <w:spacing w:val="-6"/>
              </w:rPr>
              <w:t>变形缝构造</w:t>
            </w:r>
          </w:p>
          <w:p w14:paraId="5BD982FA">
            <w:pPr>
              <w:pStyle w:val="6"/>
              <w:spacing w:before="5" w:line="231" w:lineRule="auto"/>
              <w:ind w:left="12" w:right="272"/>
            </w:pPr>
            <w:r>
              <w:rPr>
                <w:spacing w:val="-1"/>
              </w:rPr>
              <w:t>3.过梁、圈梁、构造柱构造</w:t>
            </w:r>
            <w:r>
              <w:rPr>
                <w:spacing w:val="1"/>
              </w:rPr>
              <w:t xml:space="preserve"> </w:t>
            </w:r>
            <w:r>
              <w:rPr>
                <w:spacing w:val="-2"/>
              </w:rPr>
              <w:t>要求</w:t>
            </w:r>
          </w:p>
        </w:tc>
        <w:tc>
          <w:tcPr>
            <w:tcW w:w="219" w:type="dxa"/>
            <w:vAlign w:val="top"/>
          </w:tcPr>
          <w:p w14:paraId="19D79BCA">
            <w:pPr>
              <w:rPr>
                <w:rFonts w:ascii="Arial"/>
                <w:sz w:val="21"/>
              </w:rPr>
            </w:pPr>
          </w:p>
        </w:tc>
        <w:tc>
          <w:tcPr>
            <w:tcW w:w="230" w:type="dxa"/>
            <w:vAlign w:val="top"/>
          </w:tcPr>
          <w:p w14:paraId="3EDA806A">
            <w:pPr>
              <w:pStyle w:val="6"/>
              <w:spacing w:before="103" w:line="238" w:lineRule="auto"/>
              <w:ind w:left="48"/>
              <w:rPr>
                <w:sz w:val="13"/>
                <w:szCs w:val="13"/>
              </w:rPr>
            </w:pPr>
            <w:r>
              <w:rPr>
                <w:sz w:val="13"/>
                <w:szCs w:val="13"/>
              </w:rPr>
              <w:t>√</w:t>
            </w:r>
          </w:p>
        </w:tc>
        <w:tc>
          <w:tcPr>
            <w:tcW w:w="229" w:type="dxa"/>
            <w:vAlign w:val="top"/>
          </w:tcPr>
          <w:p w14:paraId="7E1B1598">
            <w:pPr>
              <w:rPr>
                <w:rFonts w:ascii="Arial"/>
                <w:sz w:val="21"/>
              </w:rPr>
            </w:pPr>
          </w:p>
        </w:tc>
        <w:tc>
          <w:tcPr>
            <w:tcW w:w="234" w:type="dxa"/>
            <w:vAlign w:val="top"/>
          </w:tcPr>
          <w:p w14:paraId="4D4E1F46">
            <w:pPr>
              <w:rPr>
                <w:rFonts w:ascii="Arial"/>
                <w:sz w:val="21"/>
              </w:rPr>
            </w:pPr>
          </w:p>
        </w:tc>
      </w:tr>
      <w:tr w14:paraId="7D5C50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19" w:hRule="atLeast"/>
        </w:trPr>
        <w:tc>
          <w:tcPr>
            <w:tcW w:w="883" w:type="dxa"/>
            <w:vMerge w:val="continue"/>
            <w:tcBorders>
              <w:top w:val="nil"/>
              <w:bottom w:val="nil"/>
            </w:tcBorders>
            <w:vAlign w:val="top"/>
          </w:tcPr>
          <w:p w14:paraId="22CF9FF8">
            <w:pPr>
              <w:rPr>
                <w:rFonts w:ascii="Arial"/>
                <w:sz w:val="21"/>
              </w:rPr>
            </w:pPr>
          </w:p>
        </w:tc>
        <w:tc>
          <w:tcPr>
            <w:tcW w:w="2324" w:type="dxa"/>
            <w:vMerge w:val="continue"/>
            <w:tcBorders>
              <w:top w:val="nil"/>
              <w:bottom w:val="nil"/>
            </w:tcBorders>
            <w:vAlign w:val="top"/>
          </w:tcPr>
          <w:p w14:paraId="51782DE7">
            <w:pPr>
              <w:rPr>
                <w:rFonts w:ascii="Arial"/>
                <w:sz w:val="21"/>
              </w:rPr>
            </w:pPr>
          </w:p>
        </w:tc>
        <w:tc>
          <w:tcPr>
            <w:tcW w:w="219" w:type="dxa"/>
            <w:vAlign w:val="top"/>
          </w:tcPr>
          <w:p w14:paraId="65DF29A7">
            <w:pPr>
              <w:rPr>
                <w:rFonts w:ascii="Arial"/>
                <w:sz w:val="21"/>
              </w:rPr>
            </w:pPr>
          </w:p>
        </w:tc>
        <w:tc>
          <w:tcPr>
            <w:tcW w:w="230" w:type="dxa"/>
            <w:vAlign w:val="top"/>
          </w:tcPr>
          <w:p w14:paraId="2869AB92">
            <w:pPr>
              <w:pStyle w:val="6"/>
              <w:spacing w:before="264" w:line="238" w:lineRule="auto"/>
              <w:ind w:left="48"/>
              <w:rPr>
                <w:sz w:val="13"/>
                <w:szCs w:val="13"/>
              </w:rPr>
            </w:pPr>
            <w:r>
              <w:rPr>
                <w:sz w:val="13"/>
                <w:szCs w:val="13"/>
              </w:rPr>
              <w:t>√</w:t>
            </w:r>
          </w:p>
        </w:tc>
        <w:tc>
          <w:tcPr>
            <w:tcW w:w="229" w:type="dxa"/>
            <w:vAlign w:val="top"/>
          </w:tcPr>
          <w:p w14:paraId="4A5B2253">
            <w:pPr>
              <w:rPr>
                <w:rFonts w:ascii="Arial"/>
                <w:sz w:val="21"/>
              </w:rPr>
            </w:pPr>
          </w:p>
        </w:tc>
        <w:tc>
          <w:tcPr>
            <w:tcW w:w="234" w:type="dxa"/>
            <w:vAlign w:val="top"/>
          </w:tcPr>
          <w:p w14:paraId="2850E64E">
            <w:pPr>
              <w:rPr>
                <w:rFonts w:ascii="Arial"/>
                <w:sz w:val="21"/>
              </w:rPr>
            </w:pPr>
          </w:p>
        </w:tc>
      </w:tr>
      <w:tr w14:paraId="48D5C7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58" w:hRule="atLeast"/>
        </w:trPr>
        <w:tc>
          <w:tcPr>
            <w:tcW w:w="883" w:type="dxa"/>
            <w:vMerge w:val="continue"/>
            <w:tcBorders>
              <w:top w:val="nil"/>
            </w:tcBorders>
            <w:vAlign w:val="top"/>
          </w:tcPr>
          <w:p w14:paraId="40ABAA2D">
            <w:pPr>
              <w:rPr>
                <w:rFonts w:ascii="Arial"/>
                <w:sz w:val="21"/>
              </w:rPr>
            </w:pPr>
          </w:p>
        </w:tc>
        <w:tc>
          <w:tcPr>
            <w:tcW w:w="2324" w:type="dxa"/>
            <w:vMerge w:val="continue"/>
            <w:tcBorders>
              <w:top w:val="nil"/>
            </w:tcBorders>
            <w:vAlign w:val="top"/>
          </w:tcPr>
          <w:p w14:paraId="59752C6F">
            <w:pPr>
              <w:rPr>
                <w:rFonts w:ascii="Arial"/>
                <w:sz w:val="21"/>
              </w:rPr>
            </w:pPr>
          </w:p>
        </w:tc>
        <w:tc>
          <w:tcPr>
            <w:tcW w:w="219" w:type="dxa"/>
            <w:vAlign w:val="top"/>
          </w:tcPr>
          <w:p w14:paraId="49EDE4F3">
            <w:pPr>
              <w:rPr>
                <w:rFonts w:ascii="Arial"/>
                <w:sz w:val="21"/>
              </w:rPr>
            </w:pPr>
          </w:p>
        </w:tc>
        <w:tc>
          <w:tcPr>
            <w:tcW w:w="230" w:type="dxa"/>
            <w:vAlign w:val="top"/>
          </w:tcPr>
          <w:p w14:paraId="6F5B65B4">
            <w:pPr>
              <w:spacing w:line="291" w:lineRule="auto"/>
              <w:rPr>
                <w:rFonts w:ascii="Arial"/>
                <w:sz w:val="21"/>
              </w:rPr>
            </w:pPr>
          </w:p>
          <w:p w14:paraId="66BB379F">
            <w:pPr>
              <w:pStyle w:val="6"/>
              <w:spacing w:before="42" w:line="238" w:lineRule="auto"/>
              <w:ind w:left="48"/>
              <w:rPr>
                <w:sz w:val="13"/>
                <w:szCs w:val="13"/>
              </w:rPr>
            </w:pPr>
            <w:r>
              <w:rPr>
                <w:sz w:val="13"/>
                <w:szCs w:val="13"/>
              </w:rPr>
              <w:t>√</w:t>
            </w:r>
          </w:p>
        </w:tc>
        <w:tc>
          <w:tcPr>
            <w:tcW w:w="229" w:type="dxa"/>
            <w:vAlign w:val="top"/>
          </w:tcPr>
          <w:p w14:paraId="23F3E975">
            <w:pPr>
              <w:rPr>
                <w:rFonts w:ascii="Arial"/>
                <w:sz w:val="21"/>
              </w:rPr>
            </w:pPr>
          </w:p>
        </w:tc>
        <w:tc>
          <w:tcPr>
            <w:tcW w:w="234" w:type="dxa"/>
            <w:vAlign w:val="top"/>
          </w:tcPr>
          <w:p w14:paraId="510D7C2B">
            <w:pPr>
              <w:rPr>
                <w:rFonts w:ascii="Arial"/>
                <w:sz w:val="21"/>
              </w:rPr>
            </w:pPr>
          </w:p>
        </w:tc>
      </w:tr>
      <w:tr w14:paraId="28F704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19" w:hRule="atLeast"/>
        </w:trPr>
        <w:tc>
          <w:tcPr>
            <w:tcW w:w="883" w:type="dxa"/>
            <w:vAlign w:val="top"/>
          </w:tcPr>
          <w:p w14:paraId="63BC755C">
            <w:pPr>
              <w:pStyle w:val="6"/>
              <w:spacing w:before="145" w:line="219" w:lineRule="auto"/>
              <w:ind w:left="264" w:right="105" w:hanging="170"/>
            </w:pPr>
            <w:r>
              <w:rPr>
                <w:spacing w:val="-2"/>
              </w:rPr>
              <w:t>其他墙体</w:t>
            </w:r>
            <w:r>
              <w:t xml:space="preserve"> </w:t>
            </w:r>
            <w:r>
              <w:rPr>
                <w:spacing w:val="-3"/>
              </w:rPr>
              <w:t>构造</w:t>
            </w:r>
          </w:p>
        </w:tc>
        <w:tc>
          <w:tcPr>
            <w:tcW w:w="2324" w:type="dxa"/>
            <w:vAlign w:val="top"/>
          </w:tcPr>
          <w:p w14:paraId="5C6036C3">
            <w:pPr>
              <w:pStyle w:val="6"/>
              <w:spacing w:before="134" w:line="238" w:lineRule="auto"/>
              <w:ind w:left="12" w:firstLine="9"/>
            </w:pPr>
            <w:r>
              <w:rPr>
                <w:spacing w:val="-7"/>
              </w:rPr>
              <w:t>隔墙、砌块墙、钢筋混凝土墙、</w:t>
            </w:r>
            <w:r>
              <w:rPr>
                <w:spacing w:val="9"/>
              </w:rPr>
              <w:t xml:space="preserve"> </w:t>
            </w:r>
            <w:r>
              <w:rPr>
                <w:spacing w:val="-6"/>
              </w:rPr>
              <w:t>石墙、复合墙造</w:t>
            </w:r>
          </w:p>
        </w:tc>
        <w:tc>
          <w:tcPr>
            <w:tcW w:w="219" w:type="dxa"/>
            <w:vAlign w:val="top"/>
          </w:tcPr>
          <w:p w14:paraId="13FB4B1C">
            <w:pPr>
              <w:pStyle w:val="6"/>
              <w:spacing w:before="267" w:line="238" w:lineRule="auto"/>
              <w:ind w:left="7"/>
              <w:rPr>
                <w:sz w:val="13"/>
                <w:szCs w:val="13"/>
              </w:rPr>
            </w:pPr>
            <w:r>
              <w:rPr>
                <w:sz w:val="13"/>
                <w:szCs w:val="13"/>
              </w:rPr>
              <w:t>√</w:t>
            </w:r>
          </w:p>
        </w:tc>
        <w:tc>
          <w:tcPr>
            <w:tcW w:w="230" w:type="dxa"/>
            <w:vAlign w:val="top"/>
          </w:tcPr>
          <w:p w14:paraId="4F41F150">
            <w:pPr>
              <w:rPr>
                <w:rFonts w:ascii="Arial"/>
                <w:sz w:val="21"/>
              </w:rPr>
            </w:pPr>
          </w:p>
        </w:tc>
        <w:tc>
          <w:tcPr>
            <w:tcW w:w="229" w:type="dxa"/>
            <w:vAlign w:val="top"/>
          </w:tcPr>
          <w:p w14:paraId="5A2E73D9">
            <w:pPr>
              <w:rPr>
                <w:rFonts w:ascii="Arial"/>
                <w:sz w:val="21"/>
              </w:rPr>
            </w:pPr>
          </w:p>
        </w:tc>
        <w:tc>
          <w:tcPr>
            <w:tcW w:w="234" w:type="dxa"/>
            <w:vAlign w:val="top"/>
          </w:tcPr>
          <w:p w14:paraId="6369F4A2">
            <w:pPr>
              <w:rPr>
                <w:rFonts w:ascii="Arial"/>
                <w:sz w:val="21"/>
              </w:rPr>
            </w:pPr>
          </w:p>
        </w:tc>
      </w:tr>
      <w:tr w14:paraId="221E04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4" w:hRule="atLeast"/>
        </w:trPr>
        <w:tc>
          <w:tcPr>
            <w:tcW w:w="883" w:type="dxa"/>
            <w:vAlign w:val="top"/>
          </w:tcPr>
          <w:p w14:paraId="3EC4209E">
            <w:pPr>
              <w:pStyle w:val="6"/>
              <w:spacing w:before="77" w:line="220" w:lineRule="auto"/>
              <w:ind w:left="94"/>
            </w:pPr>
            <w:r>
              <w:rPr>
                <w:spacing w:val="-2"/>
              </w:rPr>
              <w:t>墙面装饰</w:t>
            </w:r>
          </w:p>
        </w:tc>
        <w:tc>
          <w:tcPr>
            <w:tcW w:w="2324" w:type="dxa"/>
            <w:vAlign w:val="top"/>
          </w:tcPr>
          <w:p w14:paraId="278AC673">
            <w:pPr>
              <w:pStyle w:val="6"/>
              <w:spacing w:before="77" w:line="219" w:lineRule="auto"/>
              <w:ind w:left="12"/>
            </w:pPr>
            <w:r>
              <w:rPr>
                <w:spacing w:val="-1"/>
              </w:rPr>
              <w:t>装饰的作用和分类</w:t>
            </w:r>
          </w:p>
        </w:tc>
        <w:tc>
          <w:tcPr>
            <w:tcW w:w="219" w:type="dxa"/>
            <w:vAlign w:val="top"/>
          </w:tcPr>
          <w:p w14:paraId="314AC10A">
            <w:pPr>
              <w:pStyle w:val="6"/>
              <w:spacing w:before="108" w:line="238" w:lineRule="auto"/>
              <w:ind w:left="7"/>
              <w:rPr>
                <w:sz w:val="13"/>
                <w:szCs w:val="13"/>
              </w:rPr>
            </w:pPr>
            <w:r>
              <w:rPr>
                <w:sz w:val="13"/>
                <w:szCs w:val="13"/>
              </w:rPr>
              <w:t>√</w:t>
            </w:r>
          </w:p>
        </w:tc>
        <w:tc>
          <w:tcPr>
            <w:tcW w:w="230" w:type="dxa"/>
            <w:vAlign w:val="top"/>
          </w:tcPr>
          <w:p w14:paraId="0223D694">
            <w:pPr>
              <w:rPr>
                <w:rFonts w:ascii="Arial"/>
                <w:sz w:val="21"/>
              </w:rPr>
            </w:pPr>
          </w:p>
        </w:tc>
        <w:tc>
          <w:tcPr>
            <w:tcW w:w="229" w:type="dxa"/>
            <w:vAlign w:val="top"/>
          </w:tcPr>
          <w:p w14:paraId="5AD81471">
            <w:pPr>
              <w:rPr>
                <w:rFonts w:ascii="Arial"/>
                <w:sz w:val="21"/>
              </w:rPr>
            </w:pPr>
          </w:p>
        </w:tc>
        <w:tc>
          <w:tcPr>
            <w:tcW w:w="234" w:type="dxa"/>
            <w:vAlign w:val="top"/>
          </w:tcPr>
          <w:p w14:paraId="296ACBE9">
            <w:pPr>
              <w:rPr>
                <w:rFonts w:ascii="Arial"/>
                <w:sz w:val="21"/>
              </w:rPr>
            </w:pPr>
          </w:p>
        </w:tc>
      </w:tr>
    </w:tbl>
    <w:p w14:paraId="00331F54">
      <w:pPr>
        <w:pStyle w:val="2"/>
        <w:spacing w:line="105" w:lineRule="auto"/>
        <w:rPr>
          <w:sz w:val="2"/>
        </w:rPr>
      </w:pPr>
    </w:p>
    <w:p w14:paraId="18CF5A09">
      <w:pPr>
        <w:pStyle w:val="2"/>
        <w:spacing w:line="14" w:lineRule="auto"/>
        <w:rPr>
          <w:sz w:val="2"/>
        </w:rPr>
      </w:pPr>
      <w:r>
        <w:rPr>
          <w:sz w:val="2"/>
          <w:szCs w:val="2"/>
        </w:rPr>
        <w:br w:type="column"/>
      </w:r>
    </w:p>
    <w:p w14:paraId="33975543">
      <w:pPr>
        <w:spacing w:before="98" w:line="221" w:lineRule="auto"/>
        <w:ind w:left="1377"/>
        <w:rPr>
          <w:rFonts w:ascii="黑体" w:hAnsi="黑体" w:eastAsia="黑体" w:cs="黑体"/>
          <w:sz w:val="20"/>
          <w:szCs w:val="20"/>
        </w:rPr>
      </w:pPr>
      <w:r>
        <w:rPr>
          <w:rFonts w:ascii="黑体" w:hAnsi="黑体" w:eastAsia="黑体" w:cs="黑体"/>
          <w:b/>
          <w:bCs/>
          <w:spacing w:val="-10"/>
          <w:sz w:val="20"/>
          <w:szCs w:val="20"/>
        </w:rPr>
        <w:t>第六章</w:t>
      </w:r>
      <w:r>
        <w:rPr>
          <w:rFonts w:ascii="黑体" w:hAnsi="黑体" w:eastAsia="黑体" w:cs="黑体"/>
          <w:spacing w:val="10"/>
          <w:sz w:val="20"/>
          <w:szCs w:val="20"/>
        </w:rPr>
        <w:t xml:space="preserve">  </w:t>
      </w:r>
      <w:r>
        <w:rPr>
          <w:rFonts w:ascii="黑体" w:hAnsi="黑体" w:eastAsia="黑体" w:cs="黑体"/>
          <w:b/>
          <w:bCs/>
          <w:spacing w:val="-10"/>
          <w:sz w:val="20"/>
          <w:szCs w:val="20"/>
        </w:rPr>
        <w:t>楼地层</w:t>
      </w:r>
    </w:p>
    <w:p w14:paraId="16FDDB49">
      <w:pPr>
        <w:spacing w:line="72" w:lineRule="exact"/>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83"/>
        <w:gridCol w:w="2334"/>
        <w:gridCol w:w="210"/>
        <w:gridCol w:w="229"/>
        <w:gridCol w:w="239"/>
        <w:gridCol w:w="224"/>
      </w:tblGrid>
      <w:tr w14:paraId="7B4969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4" w:hRule="atLeast"/>
        </w:trPr>
        <w:tc>
          <w:tcPr>
            <w:tcW w:w="883" w:type="dxa"/>
            <w:vMerge w:val="restart"/>
            <w:tcBorders>
              <w:bottom w:val="nil"/>
            </w:tcBorders>
            <w:vAlign w:val="top"/>
          </w:tcPr>
          <w:p w14:paraId="43C35AD3">
            <w:pPr>
              <w:pStyle w:val="6"/>
              <w:spacing w:before="121" w:line="223" w:lineRule="auto"/>
              <w:ind w:left="77" w:right="83" w:firstLine="89"/>
              <w:rPr>
                <w:sz w:val="18"/>
                <w:szCs w:val="18"/>
              </w:rPr>
            </w:pPr>
            <w:r>
              <w:rPr>
                <w:b/>
                <w:bCs/>
                <w:spacing w:val="1"/>
                <w:sz w:val="18"/>
                <w:szCs w:val="18"/>
              </w:rPr>
              <w:t>知识与</w:t>
            </w:r>
            <w:r>
              <w:rPr>
                <w:sz w:val="18"/>
                <w:szCs w:val="18"/>
              </w:rPr>
              <w:t xml:space="preserve">  </w:t>
            </w:r>
            <w:r>
              <w:rPr>
                <w:b/>
                <w:bCs/>
                <w:spacing w:val="-4"/>
                <w:sz w:val="18"/>
                <w:szCs w:val="18"/>
              </w:rPr>
              <w:t>技能要点</w:t>
            </w:r>
          </w:p>
        </w:tc>
        <w:tc>
          <w:tcPr>
            <w:tcW w:w="2334" w:type="dxa"/>
            <w:vMerge w:val="restart"/>
            <w:tcBorders>
              <w:bottom w:val="nil"/>
            </w:tcBorders>
            <w:vAlign w:val="top"/>
          </w:tcPr>
          <w:p w14:paraId="3A9B257E">
            <w:pPr>
              <w:pStyle w:val="6"/>
              <w:spacing w:before="229" w:line="219" w:lineRule="auto"/>
              <w:ind w:left="854"/>
              <w:rPr>
                <w:sz w:val="18"/>
                <w:szCs w:val="18"/>
              </w:rPr>
            </w:pPr>
            <w:r>
              <w:rPr>
                <w:b/>
                <w:bCs/>
                <w:spacing w:val="5"/>
                <w:sz w:val="18"/>
                <w:szCs w:val="18"/>
              </w:rPr>
              <w:t>考试条目</w:t>
            </w:r>
          </w:p>
        </w:tc>
        <w:tc>
          <w:tcPr>
            <w:tcW w:w="902" w:type="dxa"/>
            <w:gridSpan w:val="4"/>
            <w:vAlign w:val="top"/>
          </w:tcPr>
          <w:p w14:paraId="3B8A0FBF">
            <w:pPr>
              <w:pStyle w:val="6"/>
              <w:spacing w:before="69" w:line="219" w:lineRule="auto"/>
              <w:ind w:left="130"/>
              <w:rPr>
                <w:sz w:val="18"/>
                <w:szCs w:val="18"/>
              </w:rPr>
            </w:pPr>
            <w:r>
              <w:rPr>
                <w:b/>
                <w:bCs/>
                <w:spacing w:val="-4"/>
                <w:sz w:val="18"/>
                <w:szCs w:val="18"/>
              </w:rPr>
              <w:t>考试水平</w:t>
            </w:r>
          </w:p>
        </w:tc>
      </w:tr>
      <w:tr w14:paraId="4BFB1F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883" w:type="dxa"/>
            <w:vMerge w:val="continue"/>
            <w:tcBorders>
              <w:top w:val="nil"/>
            </w:tcBorders>
            <w:vAlign w:val="top"/>
          </w:tcPr>
          <w:p w14:paraId="5935E566">
            <w:pPr>
              <w:rPr>
                <w:rFonts w:ascii="Arial"/>
                <w:sz w:val="21"/>
              </w:rPr>
            </w:pPr>
          </w:p>
        </w:tc>
        <w:tc>
          <w:tcPr>
            <w:tcW w:w="2334" w:type="dxa"/>
            <w:vMerge w:val="continue"/>
            <w:tcBorders>
              <w:top w:val="nil"/>
            </w:tcBorders>
            <w:vAlign w:val="top"/>
          </w:tcPr>
          <w:p w14:paraId="35DB14E3">
            <w:pPr>
              <w:rPr>
                <w:rFonts w:ascii="Arial"/>
                <w:sz w:val="21"/>
              </w:rPr>
            </w:pPr>
          </w:p>
        </w:tc>
        <w:tc>
          <w:tcPr>
            <w:tcW w:w="210" w:type="dxa"/>
            <w:vAlign w:val="top"/>
          </w:tcPr>
          <w:p w14:paraId="3D3D8841">
            <w:pPr>
              <w:pStyle w:val="6"/>
              <w:spacing w:before="113" w:line="184" w:lineRule="auto"/>
              <w:ind w:left="20"/>
              <w:rPr>
                <w:sz w:val="18"/>
                <w:szCs w:val="18"/>
              </w:rPr>
            </w:pPr>
            <w:r>
              <w:rPr>
                <w:b/>
                <w:bCs/>
                <w:spacing w:val="-2"/>
                <w:sz w:val="18"/>
                <w:szCs w:val="18"/>
              </w:rPr>
              <w:t>A</w:t>
            </w:r>
          </w:p>
        </w:tc>
        <w:tc>
          <w:tcPr>
            <w:tcW w:w="229" w:type="dxa"/>
            <w:vAlign w:val="top"/>
          </w:tcPr>
          <w:p w14:paraId="70C77FF9">
            <w:pPr>
              <w:pStyle w:val="6"/>
              <w:spacing w:before="115" w:line="182" w:lineRule="auto"/>
              <w:ind w:left="70"/>
              <w:rPr>
                <w:sz w:val="18"/>
                <w:szCs w:val="18"/>
              </w:rPr>
            </w:pPr>
            <w:r>
              <w:rPr>
                <w:b/>
                <w:bCs/>
                <w:spacing w:val="-2"/>
                <w:sz w:val="18"/>
                <w:szCs w:val="18"/>
              </w:rPr>
              <w:t>B</w:t>
            </w:r>
          </w:p>
        </w:tc>
        <w:tc>
          <w:tcPr>
            <w:tcW w:w="239" w:type="dxa"/>
            <w:vAlign w:val="top"/>
          </w:tcPr>
          <w:p w14:paraId="2E7F830A">
            <w:pPr>
              <w:pStyle w:val="6"/>
              <w:spacing w:before="114" w:line="183" w:lineRule="auto"/>
              <w:ind w:left="19"/>
              <w:rPr>
                <w:sz w:val="18"/>
                <w:szCs w:val="18"/>
              </w:rPr>
            </w:pPr>
            <w:r>
              <w:rPr>
                <w:sz w:val="18"/>
                <w:szCs w:val="18"/>
              </w:rPr>
              <w:t>C</w:t>
            </w:r>
          </w:p>
        </w:tc>
        <w:tc>
          <w:tcPr>
            <w:tcW w:w="224" w:type="dxa"/>
            <w:vAlign w:val="top"/>
          </w:tcPr>
          <w:p w14:paraId="3589ACB1">
            <w:pPr>
              <w:pStyle w:val="6"/>
              <w:spacing w:before="115" w:line="182" w:lineRule="auto"/>
              <w:ind w:left="20"/>
              <w:rPr>
                <w:sz w:val="18"/>
                <w:szCs w:val="18"/>
              </w:rPr>
            </w:pPr>
            <w:r>
              <w:rPr>
                <w:sz w:val="18"/>
                <w:szCs w:val="18"/>
              </w:rPr>
              <w:t>D</w:t>
            </w:r>
          </w:p>
        </w:tc>
      </w:tr>
      <w:tr w14:paraId="4BD0BC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883" w:type="dxa"/>
            <w:vMerge w:val="restart"/>
            <w:tcBorders>
              <w:bottom w:val="nil"/>
            </w:tcBorders>
            <w:vAlign w:val="top"/>
          </w:tcPr>
          <w:p w14:paraId="6AFA45A0">
            <w:pPr>
              <w:pStyle w:val="6"/>
              <w:spacing w:before="79" w:line="217" w:lineRule="auto"/>
              <w:ind w:left="75"/>
              <w:rPr>
                <w:sz w:val="18"/>
                <w:szCs w:val="18"/>
              </w:rPr>
            </w:pPr>
            <w:r>
              <w:rPr>
                <w:spacing w:val="3"/>
                <w:sz w:val="18"/>
                <w:szCs w:val="18"/>
              </w:rPr>
              <w:t>楼地层的</w:t>
            </w:r>
          </w:p>
          <w:p w14:paraId="62C1DF7A">
            <w:pPr>
              <w:pStyle w:val="6"/>
              <w:spacing w:line="220" w:lineRule="auto"/>
              <w:ind w:left="165"/>
              <w:rPr>
                <w:sz w:val="18"/>
                <w:szCs w:val="18"/>
              </w:rPr>
            </w:pPr>
            <w:r>
              <w:rPr>
                <w:spacing w:val="4"/>
                <w:sz w:val="18"/>
                <w:szCs w:val="18"/>
              </w:rPr>
              <w:t>组成和</w:t>
            </w:r>
          </w:p>
          <w:p w14:paraId="30C8510D">
            <w:pPr>
              <w:pStyle w:val="6"/>
              <w:spacing w:before="3" w:line="184" w:lineRule="auto"/>
              <w:ind w:left="254"/>
              <w:rPr>
                <w:sz w:val="18"/>
                <w:szCs w:val="18"/>
              </w:rPr>
            </w:pPr>
            <w:r>
              <w:rPr>
                <w:spacing w:val="-3"/>
                <w:sz w:val="18"/>
                <w:szCs w:val="18"/>
              </w:rPr>
              <w:t>分类</w:t>
            </w:r>
          </w:p>
        </w:tc>
        <w:tc>
          <w:tcPr>
            <w:tcW w:w="2334" w:type="dxa"/>
            <w:vMerge w:val="restart"/>
            <w:tcBorders>
              <w:bottom w:val="nil"/>
            </w:tcBorders>
            <w:vAlign w:val="top"/>
          </w:tcPr>
          <w:p w14:paraId="7F03349D">
            <w:pPr>
              <w:pStyle w:val="6"/>
              <w:spacing w:before="188" w:line="222" w:lineRule="auto"/>
              <w:ind w:left="22" w:right="493"/>
              <w:rPr>
                <w:sz w:val="18"/>
                <w:szCs w:val="18"/>
              </w:rPr>
            </w:pPr>
            <w:r>
              <w:rPr>
                <w:sz w:val="18"/>
                <w:szCs w:val="18"/>
              </w:rPr>
              <w:t>1.楼地层的组成与要求</w:t>
            </w:r>
            <w:r>
              <w:rPr>
                <w:spacing w:val="7"/>
                <w:sz w:val="18"/>
                <w:szCs w:val="18"/>
              </w:rPr>
              <w:t xml:space="preserve"> </w:t>
            </w:r>
            <w:r>
              <w:rPr>
                <w:spacing w:val="1"/>
                <w:sz w:val="18"/>
                <w:szCs w:val="18"/>
              </w:rPr>
              <w:t>2.楼板的类型</w:t>
            </w:r>
          </w:p>
        </w:tc>
        <w:tc>
          <w:tcPr>
            <w:tcW w:w="210" w:type="dxa"/>
            <w:vAlign w:val="top"/>
          </w:tcPr>
          <w:p w14:paraId="3451D57D">
            <w:pPr>
              <w:pStyle w:val="6"/>
              <w:spacing w:before="100" w:line="238" w:lineRule="auto"/>
              <w:ind w:left="18"/>
              <w:rPr>
                <w:sz w:val="13"/>
                <w:szCs w:val="13"/>
              </w:rPr>
            </w:pPr>
            <w:r>
              <w:rPr>
                <w:sz w:val="13"/>
                <w:szCs w:val="13"/>
              </w:rPr>
              <w:t>√</w:t>
            </w:r>
          </w:p>
        </w:tc>
        <w:tc>
          <w:tcPr>
            <w:tcW w:w="229" w:type="dxa"/>
            <w:vAlign w:val="top"/>
          </w:tcPr>
          <w:p w14:paraId="0FB42C69">
            <w:pPr>
              <w:rPr>
                <w:rFonts w:ascii="Arial"/>
                <w:sz w:val="21"/>
              </w:rPr>
            </w:pPr>
          </w:p>
        </w:tc>
        <w:tc>
          <w:tcPr>
            <w:tcW w:w="239" w:type="dxa"/>
            <w:vAlign w:val="top"/>
          </w:tcPr>
          <w:p w14:paraId="13DDE777">
            <w:pPr>
              <w:rPr>
                <w:rFonts w:ascii="Arial"/>
                <w:sz w:val="21"/>
              </w:rPr>
            </w:pPr>
          </w:p>
        </w:tc>
        <w:tc>
          <w:tcPr>
            <w:tcW w:w="224" w:type="dxa"/>
            <w:vAlign w:val="top"/>
          </w:tcPr>
          <w:p w14:paraId="4D875C77">
            <w:pPr>
              <w:rPr>
                <w:rFonts w:ascii="Arial"/>
                <w:sz w:val="21"/>
              </w:rPr>
            </w:pPr>
          </w:p>
        </w:tc>
      </w:tr>
      <w:tr w14:paraId="7FCF76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9" w:hRule="atLeast"/>
        </w:trPr>
        <w:tc>
          <w:tcPr>
            <w:tcW w:w="883" w:type="dxa"/>
            <w:vMerge w:val="continue"/>
            <w:tcBorders>
              <w:top w:val="nil"/>
            </w:tcBorders>
            <w:vAlign w:val="top"/>
          </w:tcPr>
          <w:p w14:paraId="3373BFA8">
            <w:pPr>
              <w:rPr>
                <w:rFonts w:ascii="Arial"/>
                <w:sz w:val="21"/>
              </w:rPr>
            </w:pPr>
          </w:p>
        </w:tc>
        <w:tc>
          <w:tcPr>
            <w:tcW w:w="2334" w:type="dxa"/>
            <w:vMerge w:val="continue"/>
            <w:tcBorders>
              <w:top w:val="nil"/>
            </w:tcBorders>
            <w:vAlign w:val="top"/>
          </w:tcPr>
          <w:p w14:paraId="3DAB67BF">
            <w:pPr>
              <w:rPr>
                <w:rFonts w:ascii="Arial"/>
                <w:sz w:val="21"/>
              </w:rPr>
            </w:pPr>
          </w:p>
        </w:tc>
        <w:tc>
          <w:tcPr>
            <w:tcW w:w="210" w:type="dxa"/>
            <w:vAlign w:val="top"/>
          </w:tcPr>
          <w:p w14:paraId="7E0A00EB">
            <w:pPr>
              <w:pStyle w:val="6"/>
              <w:spacing w:before="140" w:line="238" w:lineRule="auto"/>
              <w:ind w:left="18"/>
              <w:rPr>
                <w:sz w:val="13"/>
                <w:szCs w:val="13"/>
              </w:rPr>
            </w:pPr>
            <w:r>
              <w:rPr>
                <w:sz w:val="13"/>
                <w:szCs w:val="13"/>
              </w:rPr>
              <w:t>√</w:t>
            </w:r>
          </w:p>
        </w:tc>
        <w:tc>
          <w:tcPr>
            <w:tcW w:w="229" w:type="dxa"/>
            <w:vAlign w:val="top"/>
          </w:tcPr>
          <w:p w14:paraId="13AC9FB9">
            <w:pPr>
              <w:rPr>
                <w:rFonts w:ascii="Arial"/>
                <w:sz w:val="21"/>
              </w:rPr>
            </w:pPr>
          </w:p>
        </w:tc>
        <w:tc>
          <w:tcPr>
            <w:tcW w:w="239" w:type="dxa"/>
            <w:vAlign w:val="top"/>
          </w:tcPr>
          <w:p w14:paraId="67E6B0DC">
            <w:pPr>
              <w:rPr>
                <w:rFonts w:ascii="Arial"/>
                <w:sz w:val="21"/>
              </w:rPr>
            </w:pPr>
          </w:p>
        </w:tc>
        <w:tc>
          <w:tcPr>
            <w:tcW w:w="224" w:type="dxa"/>
            <w:vAlign w:val="top"/>
          </w:tcPr>
          <w:p w14:paraId="5475A968">
            <w:pPr>
              <w:rPr>
                <w:rFonts w:ascii="Arial"/>
                <w:sz w:val="21"/>
              </w:rPr>
            </w:pPr>
          </w:p>
        </w:tc>
      </w:tr>
      <w:tr w14:paraId="22BC34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883" w:type="dxa"/>
            <w:vMerge w:val="restart"/>
            <w:tcBorders>
              <w:bottom w:val="nil"/>
            </w:tcBorders>
            <w:vAlign w:val="top"/>
          </w:tcPr>
          <w:p w14:paraId="76274FB7">
            <w:pPr>
              <w:spacing w:line="254" w:lineRule="auto"/>
              <w:rPr>
                <w:rFonts w:ascii="Arial"/>
                <w:sz w:val="21"/>
              </w:rPr>
            </w:pPr>
          </w:p>
          <w:p w14:paraId="069382A9">
            <w:pPr>
              <w:spacing w:line="254" w:lineRule="auto"/>
              <w:rPr>
                <w:rFonts w:ascii="Arial"/>
                <w:sz w:val="21"/>
              </w:rPr>
            </w:pPr>
          </w:p>
          <w:p w14:paraId="76165067">
            <w:pPr>
              <w:pStyle w:val="6"/>
              <w:spacing w:before="59" w:line="219" w:lineRule="auto"/>
              <w:ind w:left="75"/>
              <w:rPr>
                <w:sz w:val="18"/>
                <w:szCs w:val="18"/>
              </w:rPr>
            </w:pPr>
            <w:r>
              <w:rPr>
                <w:spacing w:val="-2"/>
                <w:sz w:val="18"/>
                <w:szCs w:val="18"/>
              </w:rPr>
              <w:t>钢筋混凝</w:t>
            </w:r>
          </w:p>
          <w:p w14:paraId="367E2626">
            <w:pPr>
              <w:pStyle w:val="6"/>
              <w:spacing w:before="25" w:line="219" w:lineRule="auto"/>
              <w:ind w:left="165"/>
              <w:rPr>
                <w:sz w:val="18"/>
                <w:szCs w:val="18"/>
              </w:rPr>
            </w:pPr>
            <w:r>
              <w:rPr>
                <w:spacing w:val="-2"/>
                <w:sz w:val="18"/>
                <w:szCs w:val="18"/>
              </w:rPr>
              <w:t>土楼板</w:t>
            </w:r>
          </w:p>
        </w:tc>
        <w:tc>
          <w:tcPr>
            <w:tcW w:w="2334" w:type="dxa"/>
            <w:vMerge w:val="restart"/>
            <w:tcBorders>
              <w:bottom w:val="nil"/>
            </w:tcBorders>
            <w:vAlign w:val="top"/>
          </w:tcPr>
          <w:p w14:paraId="649A4F69">
            <w:pPr>
              <w:pStyle w:val="6"/>
              <w:spacing w:before="180" w:line="212" w:lineRule="auto"/>
              <w:ind w:left="22" w:right="127"/>
              <w:rPr>
                <w:sz w:val="18"/>
                <w:szCs w:val="18"/>
              </w:rPr>
            </w:pPr>
            <w:r>
              <w:rPr>
                <w:spacing w:val="1"/>
                <w:sz w:val="18"/>
                <w:szCs w:val="18"/>
              </w:rPr>
              <w:t>1.现浇式钢筋混凝土楼板的</w:t>
            </w:r>
            <w:r>
              <w:rPr>
                <w:sz w:val="18"/>
                <w:szCs w:val="18"/>
              </w:rPr>
              <w:t xml:space="preserve"> </w:t>
            </w:r>
            <w:r>
              <w:rPr>
                <w:spacing w:val="-2"/>
                <w:sz w:val="18"/>
                <w:szCs w:val="18"/>
              </w:rPr>
              <w:t>特点和类型</w:t>
            </w:r>
          </w:p>
          <w:p w14:paraId="43909171">
            <w:pPr>
              <w:pStyle w:val="6"/>
              <w:spacing w:before="6" w:line="215" w:lineRule="auto"/>
              <w:ind w:left="21" w:hanging="9"/>
              <w:rPr>
                <w:sz w:val="18"/>
                <w:szCs w:val="18"/>
              </w:rPr>
            </w:pPr>
            <w:r>
              <w:rPr>
                <w:spacing w:val="-3"/>
                <w:sz w:val="18"/>
                <w:szCs w:val="18"/>
              </w:rPr>
              <w:t>2.装配式钢筋混凝土楼板的预</w:t>
            </w:r>
            <w:r>
              <w:rPr>
                <w:spacing w:val="12"/>
                <w:sz w:val="18"/>
                <w:szCs w:val="18"/>
              </w:rPr>
              <w:t xml:space="preserve"> </w:t>
            </w:r>
            <w:r>
              <w:rPr>
                <w:spacing w:val="-3"/>
                <w:sz w:val="18"/>
                <w:szCs w:val="18"/>
              </w:rPr>
              <w:t>制板类型、特点和布置</w:t>
            </w:r>
          </w:p>
          <w:p w14:paraId="1C231C8B">
            <w:pPr>
              <w:pStyle w:val="6"/>
              <w:spacing w:line="233" w:lineRule="auto"/>
              <w:ind w:left="22" w:right="137" w:hanging="10"/>
              <w:rPr>
                <w:sz w:val="18"/>
                <w:szCs w:val="18"/>
              </w:rPr>
            </w:pPr>
            <w:r>
              <w:rPr>
                <w:spacing w:val="1"/>
                <w:sz w:val="18"/>
                <w:szCs w:val="18"/>
              </w:rPr>
              <w:t>3.装配式钢筋混凝土楼板的</w:t>
            </w:r>
            <w:r>
              <w:rPr>
                <w:sz w:val="18"/>
                <w:szCs w:val="18"/>
              </w:rPr>
              <w:t xml:space="preserve"> </w:t>
            </w:r>
            <w:r>
              <w:rPr>
                <w:spacing w:val="-2"/>
                <w:sz w:val="18"/>
                <w:szCs w:val="18"/>
              </w:rPr>
              <w:t>细部构造</w:t>
            </w:r>
          </w:p>
        </w:tc>
        <w:tc>
          <w:tcPr>
            <w:tcW w:w="210" w:type="dxa"/>
            <w:vAlign w:val="top"/>
          </w:tcPr>
          <w:p w14:paraId="5879B94D">
            <w:pPr>
              <w:pStyle w:val="6"/>
              <w:spacing w:before="131" w:line="238" w:lineRule="auto"/>
              <w:ind w:left="18"/>
              <w:rPr>
                <w:sz w:val="13"/>
                <w:szCs w:val="13"/>
              </w:rPr>
            </w:pPr>
            <w:r>
              <w:rPr>
                <w:sz w:val="13"/>
                <w:szCs w:val="13"/>
              </w:rPr>
              <w:t>√</w:t>
            </w:r>
          </w:p>
        </w:tc>
        <w:tc>
          <w:tcPr>
            <w:tcW w:w="229" w:type="dxa"/>
            <w:vAlign w:val="top"/>
          </w:tcPr>
          <w:p w14:paraId="00836EA5">
            <w:pPr>
              <w:rPr>
                <w:rFonts w:ascii="Arial"/>
                <w:sz w:val="21"/>
              </w:rPr>
            </w:pPr>
          </w:p>
        </w:tc>
        <w:tc>
          <w:tcPr>
            <w:tcW w:w="239" w:type="dxa"/>
            <w:vAlign w:val="top"/>
          </w:tcPr>
          <w:p w14:paraId="100339CC">
            <w:pPr>
              <w:rPr>
                <w:rFonts w:ascii="Arial"/>
                <w:sz w:val="21"/>
              </w:rPr>
            </w:pPr>
          </w:p>
        </w:tc>
        <w:tc>
          <w:tcPr>
            <w:tcW w:w="224" w:type="dxa"/>
            <w:vAlign w:val="top"/>
          </w:tcPr>
          <w:p w14:paraId="6BC7EE4A">
            <w:pPr>
              <w:rPr>
                <w:rFonts w:ascii="Arial"/>
                <w:sz w:val="21"/>
              </w:rPr>
            </w:pPr>
          </w:p>
        </w:tc>
      </w:tr>
      <w:tr w14:paraId="337342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883" w:type="dxa"/>
            <w:vMerge w:val="continue"/>
            <w:tcBorders>
              <w:top w:val="nil"/>
              <w:bottom w:val="nil"/>
            </w:tcBorders>
            <w:vAlign w:val="top"/>
          </w:tcPr>
          <w:p w14:paraId="252C4E65">
            <w:pPr>
              <w:rPr>
                <w:rFonts w:ascii="Arial"/>
                <w:sz w:val="21"/>
              </w:rPr>
            </w:pPr>
          </w:p>
        </w:tc>
        <w:tc>
          <w:tcPr>
            <w:tcW w:w="2334" w:type="dxa"/>
            <w:vMerge w:val="continue"/>
            <w:tcBorders>
              <w:top w:val="nil"/>
              <w:bottom w:val="nil"/>
            </w:tcBorders>
            <w:vAlign w:val="top"/>
          </w:tcPr>
          <w:p w14:paraId="7939022C">
            <w:pPr>
              <w:rPr>
                <w:rFonts w:ascii="Arial"/>
                <w:sz w:val="21"/>
              </w:rPr>
            </w:pPr>
          </w:p>
        </w:tc>
        <w:tc>
          <w:tcPr>
            <w:tcW w:w="210" w:type="dxa"/>
            <w:vAlign w:val="top"/>
          </w:tcPr>
          <w:p w14:paraId="110D6EEF">
            <w:pPr>
              <w:pStyle w:val="6"/>
              <w:spacing w:before="102" w:line="238" w:lineRule="auto"/>
              <w:ind w:left="18"/>
              <w:rPr>
                <w:sz w:val="13"/>
                <w:szCs w:val="13"/>
              </w:rPr>
            </w:pPr>
            <w:r>
              <w:rPr>
                <w:sz w:val="13"/>
                <w:szCs w:val="13"/>
              </w:rPr>
              <w:t>√</w:t>
            </w:r>
          </w:p>
        </w:tc>
        <w:tc>
          <w:tcPr>
            <w:tcW w:w="229" w:type="dxa"/>
            <w:vAlign w:val="top"/>
          </w:tcPr>
          <w:p w14:paraId="4640551B">
            <w:pPr>
              <w:rPr>
                <w:rFonts w:ascii="Arial"/>
                <w:sz w:val="21"/>
              </w:rPr>
            </w:pPr>
          </w:p>
        </w:tc>
        <w:tc>
          <w:tcPr>
            <w:tcW w:w="239" w:type="dxa"/>
            <w:vAlign w:val="top"/>
          </w:tcPr>
          <w:p w14:paraId="6529A78E">
            <w:pPr>
              <w:rPr>
                <w:rFonts w:ascii="Arial"/>
                <w:sz w:val="21"/>
              </w:rPr>
            </w:pPr>
          </w:p>
        </w:tc>
        <w:tc>
          <w:tcPr>
            <w:tcW w:w="224" w:type="dxa"/>
            <w:vAlign w:val="top"/>
          </w:tcPr>
          <w:p w14:paraId="332AD9E0">
            <w:pPr>
              <w:rPr>
                <w:rFonts w:ascii="Arial"/>
                <w:sz w:val="21"/>
              </w:rPr>
            </w:pPr>
          </w:p>
        </w:tc>
      </w:tr>
      <w:tr w14:paraId="13B20F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78" w:hRule="atLeast"/>
        </w:trPr>
        <w:tc>
          <w:tcPr>
            <w:tcW w:w="883" w:type="dxa"/>
            <w:vMerge w:val="continue"/>
            <w:tcBorders>
              <w:top w:val="nil"/>
            </w:tcBorders>
            <w:vAlign w:val="top"/>
          </w:tcPr>
          <w:p w14:paraId="339B8AF4">
            <w:pPr>
              <w:rPr>
                <w:rFonts w:ascii="Arial"/>
                <w:sz w:val="21"/>
              </w:rPr>
            </w:pPr>
          </w:p>
        </w:tc>
        <w:tc>
          <w:tcPr>
            <w:tcW w:w="2334" w:type="dxa"/>
            <w:vMerge w:val="continue"/>
            <w:tcBorders>
              <w:top w:val="nil"/>
            </w:tcBorders>
            <w:vAlign w:val="top"/>
          </w:tcPr>
          <w:p w14:paraId="1E6D9CA3">
            <w:pPr>
              <w:rPr>
                <w:rFonts w:ascii="Arial"/>
                <w:sz w:val="21"/>
              </w:rPr>
            </w:pPr>
          </w:p>
        </w:tc>
        <w:tc>
          <w:tcPr>
            <w:tcW w:w="210" w:type="dxa"/>
            <w:vAlign w:val="top"/>
          </w:tcPr>
          <w:p w14:paraId="0B019402">
            <w:pPr>
              <w:rPr>
                <w:rFonts w:ascii="Arial"/>
                <w:sz w:val="21"/>
              </w:rPr>
            </w:pPr>
          </w:p>
        </w:tc>
        <w:tc>
          <w:tcPr>
            <w:tcW w:w="229" w:type="dxa"/>
            <w:vAlign w:val="top"/>
          </w:tcPr>
          <w:p w14:paraId="16165248">
            <w:pPr>
              <w:rPr>
                <w:rFonts w:ascii="Arial"/>
                <w:sz w:val="21"/>
              </w:rPr>
            </w:pPr>
          </w:p>
        </w:tc>
        <w:tc>
          <w:tcPr>
            <w:tcW w:w="239" w:type="dxa"/>
            <w:vAlign w:val="top"/>
          </w:tcPr>
          <w:p w14:paraId="14699269">
            <w:pPr>
              <w:spacing w:line="349" w:lineRule="auto"/>
              <w:rPr>
                <w:rFonts w:ascii="Arial"/>
                <w:sz w:val="21"/>
              </w:rPr>
            </w:pPr>
          </w:p>
          <w:p w14:paraId="4001B32C">
            <w:pPr>
              <w:pStyle w:val="6"/>
              <w:spacing w:before="39" w:line="238" w:lineRule="auto"/>
              <w:ind w:left="19"/>
              <w:rPr>
                <w:sz w:val="12"/>
                <w:szCs w:val="12"/>
              </w:rPr>
            </w:pPr>
            <w:r>
              <w:rPr>
                <w:sz w:val="12"/>
                <w:szCs w:val="12"/>
              </w:rPr>
              <w:t>√</w:t>
            </w:r>
          </w:p>
        </w:tc>
        <w:tc>
          <w:tcPr>
            <w:tcW w:w="224" w:type="dxa"/>
            <w:vAlign w:val="top"/>
          </w:tcPr>
          <w:p w14:paraId="413C3C6E">
            <w:pPr>
              <w:rPr>
                <w:rFonts w:ascii="Arial"/>
                <w:sz w:val="21"/>
              </w:rPr>
            </w:pPr>
          </w:p>
        </w:tc>
      </w:tr>
      <w:tr w14:paraId="395605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883" w:type="dxa"/>
            <w:vMerge w:val="restart"/>
            <w:tcBorders>
              <w:bottom w:val="nil"/>
            </w:tcBorders>
            <w:vAlign w:val="top"/>
          </w:tcPr>
          <w:p w14:paraId="33ECFD69">
            <w:pPr>
              <w:pStyle w:val="6"/>
              <w:spacing w:before="223" w:line="219" w:lineRule="auto"/>
              <w:ind w:left="75"/>
              <w:rPr>
                <w:sz w:val="18"/>
                <w:szCs w:val="18"/>
              </w:rPr>
            </w:pPr>
            <w:r>
              <w:rPr>
                <w:spacing w:val="-2"/>
                <w:sz w:val="18"/>
                <w:szCs w:val="18"/>
              </w:rPr>
              <w:t>顶棚构造</w:t>
            </w:r>
          </w:p>
        </w:tc>
        <w:tc>
          <w:tcPr>
            <w:tcW w:w="2334" w:type="dxa"/>
            <w:vMerge w:val="restart"/>
            <w:tcBorders>
              <w:bottom w:val="nil"/>
            </w:tcBorders>
            <w:vAlign w:val="top"/>
          </w:tcPr>
          <w:p w14:paraId="2E8851DB">
            <w:pPr>
              <w:pStyle w:val="6"/>
              <w:spacing w:before="153" w:line="212" w:lineRule="auto"/>
              <w:ind w:left="22" w:right="854"/>
              <w:rPr>
                <w:sz w:val="18"/>
                <w:szCs w:val="18"/>
              </w:rPr>
            </w:pPr>
            <w:r>
              <w:rPr>
                <w:sz w:val="18"/>
                <w:szCs w:val="18"/>
              </w:rPr>
              <w:t>1.直接式顶棚构造</w:t>
            </w:r>
            <w:r>
              <w:rPr>
                <w:spacing w:val="6"/>
                <w:sz w:val="18"/>
                <w:szCs w:val="18"/>
              </w:rPr>
              <w:t xml:space="preserve"> </w:t>
            </w:r>
            <w:r>
              <w:rPr>
                <w:spacing w:val="-1"/>
                <w:sz w:val="18"/>
                <w:szCs w:val="18"/>
              </w:rPr>
              <w:t>2.悬吊式顶棚构造</w:t>
            </w:r>
          </w:p>
        </w:tc>
        <w:tc>
          <w:tcPr>
            <w:tcW w:w="210" w:type="dxa"/>
            <w:vAlign w:val="top"/>
          </w:tcPr>
          <w:p w14:paraId="00ACD745">
            <w:pPr>
              <w:pStyle w:val="6"/>
              <w:spacing w:before="104" w:line="238" w:lineRule="auto"/>
              <w:ind w:left="18"/>
              <w:rPr>
                <w:sz w:val="13"/>
                <w:szCs w:val="13"/>
              </w:rPr>
            </w:pPr>
            <w:r>
              <w:rPr>
                <w:sz w:val="13"/>
                <w:szCs w:val="13"/>
              </w:rPr>
              <w:t>√</w:t>
            </w:r>
          </w:p>
        </w:tc>
        <w:tc>
          <w:tcPr>
            <w:tcW w:w="229" w:type="dxa"/>
            <w:vAlign w:val="top"/>
          </w:tcPr>
          <w:p w14:paraId="752F616D">
            <w:pPr>
              <w:rPr>
                <w:rFonts w:ascii="Arial"/>
                <w:sz w:val="21"/>
              </w:rPr>
            </w:pPr>
          </w:p>
        </w:tc>
        <w:tc>
          <w:tcPr>
            <w:tcW w:w="239" w:type="dxa"/>
            <w:vAlign w:val="top"/>
          </w:tcPr>
          <w:p w14:paraId="6CF77090">
            <w:pPr>
              <w:rPr>
                <w:rFonts w:ascii="Arial"/>
                <w:sz w:val="21"/>
              </w:rPr>
            </w:pPr>
          </w:p>
        </w:tc>
        <w:tc>
          <w:tcPr>
            <w:tcW w:w="224" w:type="dxa"/>
            <w:vAlign w:val="top"/>
          </w:tcPr>
          <w:p w14:paraId="4CDB5A87">
            <w:pPr>
              <w:rPr>
                <w:rFonts w:ascii="Arial"/>
                <w:sz w:val="21"/>
              </w:rPr>
            </w:pPr>
          </w:p>
        </w:tc>
      </w:tr>
      <w:tr w14:paraId="505AE1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883" w:type="dxa"/>
            <w:vMerge w:val="continue"/>
            <w:tcBorders>
              <w:top w:val="nil"/>
            </w:tcBorders>
            <w:vAlign w:val="top"/>
          </w:tcPr>
          <w:p w14:paraId="7DCC738F">
            <w:pPr>
              <w:rPr>
                <w:rFonts w:ascii="Arial"/>
                <w:sz w:val="21"/>
              </w:rPr>
            </w:pPr>
          </w:p>
        </w:tc>
        <w:tc>
          <w:tcPr>
            <w:tcW w:w="2334" w:type="dxa"/>
            <w:vMerge w:val="continue"/>
            <w:tcBorders>
              <w:top w:val="nil"/>
            </w:tcBorders>
            <w:vAlign w:val="top"/>
          </w:tcPr>
          <w:p w14:paraId="345E5D33">
            <w:pPr>
              <w:rPr>
                <w:rFonts w:ascii="Arial"/>
                <w:sz w:val="21"/>
              </w:rPr>
            </w:pPr>
          </w:p>
        </w:tc>
        <w:tc>
          <w:tcPr>
            <w:tcW w:w="210" w:type="dxa"/>
            <w:vAlign w:val="top"/>
          </w:tcPr>
          <w:p w14:paraId="36219788">
            <w:pPr>
              <w:pStyle w:val="6"/>
              <w:spacing w:before="105" w:line="238" w:lineRule="auto"/>
              <w:ind w:left="18"/>
              <w:rPr>
                <w:sz w:val="13"/>
                <w:szCs w:val="13"/>
              </w:rPr>
            </w:pPr>
            <w:r>
              <w:rPr>
                <w:sz w:val="13"/>
                <w:szCs w:val="13"/>
              </w:rPr>
              <w:t>√</w:t>
            </w:r>
          </w:p>
        </w:tc>
        <w:tc>
          <w:tcPr>
            <w:tcW w:w="229" w:type="dxa"/>
            <w:vAlign w:val="top"/>
          </w:tcPr>
          <w:p w14:paraId="1C509E5E">
            <w:pPr>
              <w:rPr>
                <w:rFonts w:ascii="Arial"/>
                <w:sz w:val="21"/>
              </w:rPr>
            </w:pPr>
          </w:p>
        </w:tc>
        <w:tc>
          <w:tcPr>
            <w:tcW w:w="239" w:type="dxa"/>
            <w:vAlign w:val="top"/>
          </w:tcPr>
          <w:p w14:paraId="74E88507">
            <w:pPr>
              <w:rPr>
                <w:rFonts w:ascii="Arial"/>
                <w:sz w:val="21"/>
              </w:rPr>
            </w:pPr>
          </w:p>
        </w:tc>
        <w:tc>
          <w:tcPr>
            <w:tcW w:w="224" w:type="dxa"/>
            <w:vAlign w:val="top"/>
          </w:tcPr>
          <w:p w14:paraId="28DE46DB">
            <w:pPr>
              <w:rPr>
                <w:rFonts w:ascii="Arial"/>
                <w:sz w:val="21"/>
              </w:rPr>
            </w:pPr>
          </w:p>
        </w:tc>
      </w:tr>
      <w:tr w14:paraId="244FCE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883" w:type="dxa"/>
            <w:vMerge w:val="restart"/>
            <w:tcBorders>
              <w:bottom w:val="nil"/>
            </w:tcBorders>
            <w:vAlign w:val="top"/>
          </w:tcPr>
          <w:p w14:paraId="6E030651">
            <w:pPr>
              <w:pStyle w:val="6"/>
              <w:spacing w:before="145" w:line="219" w:lineRule="auto"/>
              <w:ind w:left="165"/>
              <w:rPr>
                <w:sz w:val="18"/>
                <w:szCs w:val="18"/>
              </w:rPr>
            </w:pPr>
            <w:r>
              <w:rPr>
                <w:spacing w:val="-2"/>
                <w:sz w:val="18"/>
                <w:szCs w:val="18"/>
              </w:rPr>
              <w:t>楼地面</w:t>
            </w:r>
          </w:p>
          <w:p w14:paraId="5BC50323">
            <w:pPr>
              <w:pStyle w:val="6"/>
              <w:spacing w:before="6" w:line="220" w:lineRule="auto"/>
              <w:ind w:left="254"/>
              <w:rPr>
                <w:sz w:val="18"/>
                <w:szCs w:val="18"/>
              </w:rPr>
            </w:pPr>
            <w:r>
              <w:rPr>
                <w:spacing w:val="-3"/>
                <w:sz w:val="18"/>
                <w:szCs w:val="18"/>
              </w:rPr>
              <w:t>构造</w:t>
            </w:r>
          </w:p>
        </w:tc>
        <w:tc>
          <w:tcPr>
            <w:tcW w:w="2334" w:type="dxa"/>
            <w:vAlign w:val="top"/>
          </w:tcPr>
          <w:p w14:paraId="0632C353">
            <w:pPr>
              <w:pStyle w:val="6"/>
              <w:spacing w:before="65" w:line="219" w:lineRule="auto"/>
              <w:ind w:left="22"/>
              <w:rPr>
                <w:sz w:val="18"/>
                <w:szCs w:val="18"/>
              </w:rPr>
            </w:pPr>
            <w:r>
              <w:rPr>
                <w:sz w:val="18"/>
                <w:szCs w:val="18"/>
              </w:rPr>
              <w:t>1.楼地面的种类和适用场所</w:t>
            </w:r>
          </w:p>
        </w:tc>
        <w:tc>
          <w:tcPr>
            <w:tcW w:w="210" w:type="dxa"/>
            <w:vAlign w:val="top"/>
          </w:tcPr>
          <w:p w14:paraId="16212BB0">
            <w:pPr>
              <w:pStyle w:val="6"/>
              <w:spacing w:before="106" w:line="238" w:lineRule="auto"/>
              <w:ind w:left="18"/>
              <w:rPr>
                <w:sz w:val="13"/>
                <w:szCs w:val="13"/>
              </w:rPr>
            </w:pPr>
            <w:r>
              <w:rPr>
                <w:sz w:val="13"/>
                <w:szCs w:val="13"/>
              </w:rPr>
              <w:t>√</w:t>
            </w:r>
          </w:p>
        </w:tc>
        <w:tc>
          <w:tcPr>
            <w:tcW w:w="229" w:type="dxa"/>
            <w:vAlign w:val="top"/>
          </w:tcPr>
          <w:p w14:paraId="35824A1B">
            <w:pPr>
              <w:rPr>
                <w:rFonts w:ascii="Arial"/>
                <w:sz w:val="21"/>
              </w:rPr>
            </w:pPr>
          </w:p>
        </w:tc>
        <w:tc>
          <w:tcPr>
            <w:tcW w:w="239" w:type="dxa"/>
            <w:vAlign w:val="top"/>
          </w:tcPr>
          <w:p w14:paraId="0E6441CB">
            <w:pPr>
              <w:rPr>
                <w:rFonts w:ascii="Arial"/>
                <w:sz w:val="21"/>
              </w:rPr>
            </w:pPr>
          </w:p>
        </w:tc>
        <w:tc>
          <w:tcPr>
            <w:tcW w:w="224" w:type="dxa"/>
            <w:vAlign w:val="top"/>
          </w:tcPr>
          <w:p w14:paraId="1A5E8D11">
            <w:pPr>
              <w:rPr>
                <w:rFonts w:ascii="Arial"/>
                <w:sz w:val="21"/>
              </w:rPr>
            </w:pPr>
          </w:p>
        </w:tc>
      </w:tr>
      <w:tr w14:paraId="5EA2E2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883" w:type="dxa"/>
            <w:vMerge w:val="continue"/>
            <w:tcBorders>
              <w:top w:val="nil"/>
            </w:tcBorders>
            <w:vAlign w:val="top"/>
          </w:tcPr>
          <w:p w14:paraId="7FF2BEAA">
            <w:pPr>
              <w:rPr>
                <w:rFonts w:ascii="Arial"/>
                <w:sz w:val="21"/>
              </w:rPr>
            </w:pPr>
          </w:p>
        </w:tc>
        <w:tc>
          <w:tcPr>
            <w:tcW w:w="2334" w:type="dxa"/>
            <w:vAlign w:val="top"/>
          </w:tcPr>
          <w:p w14:paraId="294D6A1A">
            <w:pPr>
              <w:pStyle w:val="6"/>
              <w:spacing w:before="75" w:line="219" w:lineRule="auto"/>
              <w:ind w:left="22"/>
              <w:rPr>
                <w:sz w:val="18"/>
                <w:szCs w:val="18"/>
              </w:rPr>
            </w:pPr>
            <w:r>
              <w:rPr>
                <w:spacing w:val="-1"/>
                <w:sz w:val="18"/>
                <w:szCs w:val="18"/>
              </w:rPr>
              <w:t>2.常用地面的细部构造</w:t>
            </w:r>
          </w:p>
        </w:tc>
        <w:tc>
          <w:tcPr>
            <w:tcW w:w="210" w:type="dxa"/>
            <w:vAlign w:val="top"/>
          </w:tcPr>
          <w:p w14:paraId="7EA39FFD">
            <w:pPr>
              <w:rPr>
                <w:rFonts w:ascii="Arial"/>
                <w:sz w:val="21"/>
              </w:rPr>
            </w:pPr>
          </w:p>
        </w:tc>
        <w:tc>
          <w:tcPr>
            <w:tcW w:w="229" w:type="dxa"/>
            <w:vAlign w:val="top"/>
          </w:tcPr>
          <w:p w14:paraId="0F0967DE">
            <w:pPr>
              <w:rPr>
                <w:rFonts w:ascii="Arial"/>
                <w:sz w:val="21"/>
              </w:rPr>
            </w:pPr>
          </w:p>
        </w:tc>
        <w:tc>
          <w:tcPr>
            <w:tcW w:w="239" w:type="dxa"/>
            <w:vAlign w:val="top"/>
          </w:tcPr>
          <w:p w14:paraId="07A61DA1">
            <w:pPr>
              <w:pStyle w:val="6"/>
              <w:spacing w:before="122" w:line="182" w:lineRule="auto"/>
              <w:ind w:left="19"/>
              <w:rPr>
                <w:sz w:val="18"/>
                <w:szCs w:val="18"/>
              </w:rPr>
            </w:pPr>
            <w:r>
              <w:rPr>
                <w:sz w:val="18"/>
                <w:szCs w:val="18"/>
              </w:rPr>
              <w:t>V</w:t>
            </w:r>
          </w:p>
        </w:tc>
        <w:tc>
          <w:tcPr>
            <w:tcW w:w="224" w:type="dxa"/>
            <w:vAlign w:val="top"/>
          </w:tcPr>
          <w:p w14:paraId="1926DD41">
            <w:pPr>
              <w:rPr>
                <w:rFonts w:ascii="Arial"/>
                <w:sz w:val="21"/>
              </w:rPr>
            </w:pPr>
          </w:p>
        </w:tc>
      </w:tr>
      <w:tr w14:paraId="2BE3E0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883" w:type="dxa"/>
            <w:vMerge w:val="restart"/>
            <w:tcBorders>
              <w:bottom w:val="nil"/>
            </w:tcBorders>
            <w:vAlign w:val="top"/>
          </w:tcPr>
          <w:p w14:paraId="4E57A2F1">
            <w:pPr>
              <w:pStyle w:val="6"/>
              <w:spacing w:before="247" w:line="219" w:lineRule="auto"/>
              <w:ind w:left="165"/>
              <w:rPr>
                <w:sz w:val="18"/>
                <w:szCs w:val="18"/>
              </w:rPr>
            </w:pPr>
            <w:r>
              <w:rPr>
                <w:spacing w:val="4"/>
                <w:sz w:val="18"/>
                <w:szCs w:val="18"/>
              </w:rPr>
              <w:t>阳台与</w:t>
            </w:r>
          </w:p>
          <w:p w14:paraId="21CFED5F">
            <w:pPr>
              <w:pStyle w:val="6"/>
              <w:spacing w:line="223" w:lineRule="auto"/>
              <w:ind w:left="254"/>
              <w:rPr>
                <w:sz w:val="18"/>
                <w:szCs w:val="18"/>
              </w:rPr>
            </w:pPr>
            <w:r>
              <w:rPr>
                <w:spacing w:val="3"/>
                <w:sz w:val="18"/>
                <w:szCs w:val="18"/>
              </w:rPr>
              <w:t>雨篷</w:t>
            </w:r>
          </w:p>
        </w:tc>
        <w:tc>
          <w:tcPr>
            <w:tcW w:w="2334" w:type="dxa"/>
            <w:vMerge w:val="restart"/>
            <w:tcBorders>
              <w:bottom w:val="nil"/>
            </w:tcBorders>
            <w:vAlign w:val="top"/>
          </w:tcPr>
          <w:p w14:paraId="6C95FE9D">
            <w:pPr>
              <w:pStyle w:val="6"/>
              <w:spacing w:before="136" w:line="205" w:lineRule="auto"/>
              <w:ind w:left="22"/>
              <w:rPr>
                <w:sz w:val="18"/>
                <w:szCs w:val="18"/>
              </w:rPr>
            </w:pPr>
            <w:r>
              <w:rPr>
                <w:spacing w:val="1"/>
                <w:sz w:val="18"/>
                <w:szCs w:val="18"/>
              </w:rPr>
              <w:t>1.阳台、雨篷的类型</w:t>
            </w:r>
          </w:p>
          <w:p w14:paraId="24760789">
            <w:pPr>
              <w:pStyle w:val="6"/>
              <w:spacing w:line="222" w:lineRule="auto"/>
              <w:ind w:left="22" w:right="127"/>
              <w:rPr>
                <w:sz w:val="18"/>
                <w:szCs w:val="18"/>
              </w:rPr>
            </w:pPr>
            <w:r>
              <w:rPr>
                <w:spacing w:val="1"/>
                <w:sz w:val="18"/>
                <w:szCs w:val="18"/>
              </w:rPr>
              <w:t>2.阳台、雨篷的结构特点与</w:t>
            </w:r>
            <w:r>
              <w:rPr>
                <w:sz w:val="18"/>
                <w:szCs w:val="18"/>
              </w:rPr>
              <w:t xml:space="preserve"> </w:t>
            </w:r>
            <w:r>
              <w:rPr>
                <w:spacing w:val="-2"/>
                <w:sz w:val="18"/>
                <w:szCs w:val="18"/>
              </w:rPr>
              <w:t>细部构造</w:t>
            </w:r>
          </w:p>
        </w:tc>
        <w:tc>
          <w:tcPr>
            <w:tcW w:w="210" w:type="dxa"/>
            <w:vAlign w:val="top"/>
          </w:tcPr>
          <w:p w14:paraId="7080F5E8">
            <w:pPr>
              <w:pStyle w:val="6"/>
              <w:spacing w:before="107" w:line="238" w:lineRule="auto"/>
              <w:ind w:left="18"/>
              <w:rPr>
                <w:sz w:val="13"/>
                <w:szCs w:val="13"/>
              </w:rPr>
            </w:pPr>
            <w:r>
              <w:rPr>
                <w:sz w:val="13"/>
                <w:szCs w:val="13"/>
              </w:rPr>
              <w:t>√</w:t>
            </w:r>
          </w:p>
        </w:tc>
        <w:tc>
          <w:tcPr>
            <w:tcW w:w="229" w:type="dxa"/>
            <w:vAlign w:val="top"/>
          </w:tcPr>
          <w:p w14:paraId="66150B99">
            <w:pPr>
              <w:rPr>
                <w:rFonts w:ascii="Arial"/>
                <w:sz w:val="21"/>
              </w:rPr>
            </w:pPr>
          </w:p>
        </w:tc>
        <w:tc>
          <w:tcPr>
            <w:tcW w:w="239" w:type="dxa"/>
            <w:vAlign w:val="top"/>
          </w:tcPr>
          <w:p w14:paraId="260A5D70">
            <w:pPr>
              <w:rPr>
                <w:rFonts w:ascii="Arial"/>
                <w:sz w:val="21"/>
              </w:rPr>
            </w:pPr>
          </w:p>
        </w:tc>
        <w:tc>
          <w:tcPr>
            <w:tcW w:w="224" w:type="dxa"/>
            <w:vAlign w:val="top"/>
          </w:tcPr>
          <w:p w14:paraId="23D57F09">
            <w:pPr>
              <w:rPr>
                <w:rFonts w:ascii="Arial"/>
                <w:sz w:val="21"/>
              </w:rPr>
            </w:pPr>
          </w:p>
        </w:tc>
      </w:tr>
      <w:tr w14:paraId="2F9FB3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4" w:hRule="atLeast"/>
        </w:trPr>
        <w:tc>
          <w:tcPr>
            <w:tcW w:w="883" w:type="dxa"/>
            <w:vMerge w:val="continue"/>
            <w:tcBorders>
              <w:top w:val="nil"/>
            </w:tcBorders>
            <w:vAlign w:val="top"/>
          </w:tcPr>
          <w:p w14:paraId="064B3D6C">
            <w:pPr>
              <w:rPr>
                <w:rFonts w:ascii="Arial"/>
                <w:sz w:val="21"/>
              </w:rPr>
            </w:pPr>
          </w:p>
        </w:tc>
        <w:tc>
          <w:tcPr>
            <w:tcW w:w="2334" w:type="dxa"/>
            <w:vMerge w:val="continue"/>
            <w:tcBorders>
              <w:top w:val="nil"/>
            </w:tcBorders>
            <w:vAlign w:val="top"/>
          </w:tcPr>
          <w:p w14:paraId="2C090E8B">
            <w:pPr>
              <w:rPr>
                <w:rFonts w:ascii="Arial"/>
                <w:sz w:val="21"/>
              </w:rPr>
            </w:pPr>
          </w:p>
        </w:tc>
        <w:tc>
          <w:tcPr>
            <w:tcW w:w="210" w:type="dxa"/>
            <w:vAlign w:val="top"/>
          </w:tcPr>
          <w:p w14:paraId="3CA9441F">
            <w:pPr>
              <w:rPr>
                <w:rFonts w:ascii="Arial"/>
                <w:sz w:val="21"/>
              </w:rPr>
            </w:pPr>
          </w:p>
        </w:tc>
        <w:tc>
          <w:tcPr>
            <w:tcW w:w="229" w:type="dxa"/>
            <w:vAlign w:val="top"/>
          </w:tcPr>
          <w:p w14:paraId="64C9CD73">
            <w:pPr>
              <w:pStyle w:val="6"/>
              <w:spacing w:before="208" w:line="238" w:lineRule="auto"/>
              <w:ind w:left="48"/>
              <w:rPr>
                <w:sz w:val="13"/>
                <w:szCs w:val="13"/>
              </w:rPr>
            </w:pPr>
            <w:r>
              <w:rPr>
                <w:sz w:val="13"/>
                <w:szCs w:val="13"/>
              </w:rPr>
              <w:t>√</w:t>
            </w:r>
          </w:p>
        </w:tc>
        <w:tc>
          <w:tcPr>
            <w:tcW w:w="239" w:type="dxa"/>
            <w:vAlign w:val="top"/>
          </w:tcPr>
          <w:p w14:paraId="2620DC75">
            <w:pPr>
              <w:rPr>
                <w:rFonts w:ascii="Arial"/>
                <w:sz w:val="21"/>
              </w:rPr>
            </w:pPr>
          </w:p>
        </w:tc>
        <w:tc>
          <w:tcPr>
            <w:tcW w:w="224" w:type="dxa"/>
            <w:vAlign w:val="top"/>
          </w:tcPr>
          <w:p w14:paraId="127CB5B3">
            <w:pPr>
              <w:rPr>
                <w:rFonts w:ascii="Arial"/>
                <w:sz w:val="21"/>
              </w:rPr>
            </w:pPr>
          </w:p>
        </w:tc>
      </w:tr>
    </w:tbl>
    <w:p w14:paraId="3DF9E815">
      <w:pPr>
        <w:spacing w:before="129" w:line="222" w:lineRule="auto"/>
        <w:ind w:left="1367"/>
        <w:rPr>
          <w:rFonts w:ascii="黑体" w:hAnsi="黑体" w:eastAsia="黑体" w:cs="黑体"/>
          <w:sz w:val="20"/>
          <w:szCs w:val="20"/>
        </w:rPr>
      </w:pPr>
      <w:r>
        <w:rPr>
          <w:rFonts w:ascii="黑体" w:hAnsi="黑体" w:eastAsia="黑体" w:cs="黑体"/>
          <w:b/>
          <w:bCs/>
          <w:spacing w:val="-9"/>
          <w:sz w:val="20"/>
          <w:szCs w:val="20"/>
        </w:rPr>
        <w:t>第七章</w:t>
      </w:r>
      <w:r>
        <w:rPr>
          <w:rFonts w:ascii="黑体" w:hAnsi="黑体" w:eastAsia="黑体" w:cs="黑体"/>
          <w:spacing w:val="14"/>
          <w:sz w:val="20"/>
          <w:szCs w:val="20"/>
        </w:rPr>
        <w:t xml:space="preserve">  </w:t>
      </w:r>
      <w:r>
        <w:rPr>
          <w:rFonts w:ascii="黑体" w:hAnsi="黑体" w:eastAsia="黑体" w:cs="黑体"/>
          <w:b/>
          <w:bCs/>
          <w:spacing w:val="-9"/>
          <w:sz w:val="20"/>
          <w:szCs w:val="20"/>
        </w:rPr>
        <w:t>门与窗</w:t>
      </w:r>
    </w:p>
    <w:p w14:paraId="0A33CD8D">
      <w:pPr>
        <w:spacing w:line="80" w:lineRule="exact"/>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83"/>
        <w:gridCol w:w="2324"/>
        <w:gridCol w:w="220"/>
        <w:gridCol w:w="229"/>
        <w:gridCol w:w="229"/>
        <w:gridCol w:w="234"/>
      </w:tblGrid>
      <w:tr w14:paraId="1E2EF7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4" w:hRule="atLeast"/>
        </w:trPr>
        <w:tc>
          <w:tcPr>
            <w:tcW w:w="883" w:type="dxa"/>
            <w:vMerge w:val="restart"/>
            <w:tcBorders>
              <w:bottom w:val="nil"/>
            </w:tcBorders>
            <w:vAlign w:val="top"/>
          </w:tcPr>
          <w:p w14:paraId="16CF14D0">
            <w:pPr>
              <w:pStyle w:val="6"/>
              <w:spacing w:before="112" w:line="229" w:lineRule="auto"/>
              <w:ind w:left="97" w:right="102" w:firstLine="80"/>
            </w:pPr>
            <w:r>
              <w:rPr>
                <w:b/>
                <w:bCs/>
                <w:spacing w:val="-6"/>
              </w:rPr>
              <w:t>知识与</w:t>
            </w:r>
            <w:r>
              <w:t xml:space="preserve">  </w:t>
            </w:r>
            <w:r>
              <w:rPr>
                <w:b/>
                <w:bCs/>
                <w:spacing w:val="-4"/>
              </w:rPr>
              <w:t>技能要点</w:t>
            </w:r>
          </w:p>
        </w:tc>
        <w:tc>
          <w:tcPr>
            <w:tcW w:w="2324" w:type="dxa"/>
            <w:vMerge w:val="restart"/>
            <w:tcBorders>
              <w:bottom w:val="nil"/>
            </w:tcBorders>
            <w:vAlign w:val="top"/>
          </w:tcPr>
          <w:p w14:paraId="1F734CD1">
            <w:pPr>
              <w:pStyle w:val="6"/>
              <w:spacing w:before="229" w:line="219" w:lineRule="auto"/>
              <w:ind w:left="844"/>
            </w:pPr>
            <w:r>
              <w:rPr>
                <w:b/>
                <w:bCs/>
                <w:spacing w:val="5"/>
              </w:rPr>
              <w:t>考试条目</w:t>
            </w:r>
          </w:p>
        </w:tc>
        <w:tc>
          <w:tcPr>
            <w:tcW w:w="912" w:type="dxa"/>
            <w:gridSpan w:val="4"/>
            <w:vAlign w:val="top"/>
          </w:tcPr>
          <w:p w14:paraId="659B5164">
            <w:pPr>
              <w:pStyle w:val="6"/>
              <w:spacing w:before="69" w:line="219" w:lineRule="auto"/>
              <w:ind w:left="140"/>
            </w:pPr>
            <w:r>
              <w:rPr>
                <w:b/>
                <w:bCs/>
                <w:spacing w:val="-4"/>
              </w:rPr>
              <w:t>考试水平</w:t>
            </w:r>
          </w:p>
        </w:tc>
      </w:tr>
      <w:tr w14:paraId="07EFBF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8" w:hRule="atLeast"/>
        </w:trPr>
        <w:tc>
          <w:tcPr>
            <w:tcW w:w="883" w:type="dxa"/>
            <w:vMerge w:val="continue"/>
            <w:tcBorders>
              <w:top w:val="nil"/>
            </w:tcBorders>
            <w:vAlign w:val="top"/>
          </w:tcPr>
          <w:p w14:paraId="03F48B7B">
            <w:pPr>
              <w:rPr>
                <w:rFonts w:ascii="Arial"/>
                <w:sz w:val="21"/>
              </w:rPr>
            </w:pPr>
          </w:p>
        </w:tc>
        <w:tc>
          <w:tcPr>
            <w:tcW w:w="2324" w:type="dxa"/>
            <w:vMerge w:val="continue"/>
            <w:tcBorders>
              <w:top w:val="nil"/>
            </w:tcBorders>
            <w:vAlign w:val="top"/>
          </w:tcPr>
          <w:p w14:paraId="5F73DE95">
            <w:pPr>
              <w:rPr>
                <w:rFonts w:ascii="Arial"/>
                <w:sz w:val="21"/>
              </w:rPr>
            </w:pPr>
          </w:p>
        </w:tc>
        <w:tc>
          <w:tcPr>
            <w:tcW w:w="220" w:type="dxa"/>
            <w:vAlign w:val="top"/>
          </w:tcPr>
          <w:p w14:paraId="69494646">
            <w:pPr>
              <w:pStyle w:val="6"/>
              <w:spacing w:before="110" w:line="184" w:lineRule="auto"/>
              <w:ind w:left="60"/>
            </w:pPr>
            <w:r>
              <w:rPr>
                <w:b/>
                <w:bCs/>
                <w:spacing w:val="-2"/>
              </w:rPr>
              <w:t>A</w:t>
            </w:r>
          </w:p>
        </w:tc>
        <w:tc>
          <w:tcPr>
            <w:tcW w:w="229" w:type="dxa"/>
            <w:vAlign w:val="top"/>
          </w:tcPr>
          <w:p w14:paraId="22924992">
            <w:pPr>
              <w:pStyle w:val="6"/>
              <w:spacing w:before="112" w:line="182" w:lineRule="auto"/>
              <w:ind w:left="70"/>
            </w:pPr>
            <w:r>
              <w:rPr>
                <w:b/>
                <w:bCs/>
                <w:spacing w:val="-2"/>
              </w:rPr>
              <w:t>B</w:t>
            </w:r>
          </w:p>
        </w:tc>
        <w:tc>
          <w:tcPr>
            <w:tcW w:w="229" w:type="dxa"/>
            <w:vAlign w:val="top"/>
          </w:tcPr>
          <w:p w14:paraId="3C868A48">
            <w:pPr>
              <w:pStyle w:val="6"/>
              <w:spacing w:before="111" w:line="183" w:lineRule="auto"/>
              <w:ind w:left="19"/>
            </w:pPr>
            <w:r>
              <w:t>C</w:t>
            </w:r>
          </w:p>
        </w:tc>
        <w:tc>
          <w:tcPr>
            <w:tcW w:w="234" w:type="dxa"/>
            <w:vAlign w:val="top"/>
          </w:tcPr>
          <w:p w14:paraId="34056110">
            <w:pPr>
              <w:pStyle w:val="6"/>
              <w:spacing w:before="112" w:line="182" w:lineRule="auto"/>
              <w:ind w:left="19"/>
            </w:pPr>
            <w:r>
              <w:t>D</w:t>
            </w:r>
          </w:p>
        </w:tc>
      </w:tr>
      <w:tr w14:paraId="170FD9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883" w:type="dxa"/>
            <w:vMerge w:val="restart"/>
            <w:tcBorders>
              <w:bottom w:val="nil"/>
            </w:tcBorders>
            <w:vAlign w:val="top"/>
          </w:tcPr>
          <w:p w14:paraId="32431B0F">
            <w:pPr>
              <w:spacing w:line="445" w:lineRule="auto"/>
              <w:rPr>
                <w:rFonts w:ascii="Arial"/>
                <w:sz w:val="21"/>
              </w:rPr>
            </w:pPr>
          </w:p>
          <w:p w14:paraId="6AE0BF29">
            <w:pPr>
              <w:pStyle w:val="6"/>
              <w:spacing w:before="55" w:line="223" w:lineRule="auto"/>
              <w:ind w:left="345"/>
            </w:pPr>
            <w:r>
              <w:t>门</w:t>
            </w:r>
          </w:p>
        </w:tc>
        <w:tc>
          <w:tcPr>
            <w:tcW w:w="2324" w:type="dxa"/>
            <w:vMerge w:val="restart"/>
            <w:tcBorders>
              <w:bottom w:val="nil"/>
            </w:tcBorders>
            <w:vAlign w:val="top"/>
          </w:tcPr>
          <w:p w14:paraId="168F0854">
            <w:pPr>
              <w:pStyle w:val="6"/>
              <w:spacing w:before="170" w:line="219" w:lineRule="auto"/>
              <w:ind w:left="12"/>
            </w:pPr>
            <w:r>
              <w:t>1.门的作用、分类、开启方式</w:t>
            </w:r>
          </w:p>
          <w:p w14:paraId="06212D4A">
            <w:pPr>
              <w:pStyle w:val="6"/>
              <w:spacing w:before="38" w:line="216" w:lineRule="auto"/>
              <w:ind w:left="12"/>
            </w:pPr>
            <w:r>
              <w:rPr>
                <w:spacing w:val="-2"/>
              </w:rPr>
              <w:t>2.木门的构造</w:t>
            </w:r>
          </w:p>
          <w:p w14:paraId="6226BA0C">
            <w:pPr>
              <w:pStyle w:val="6"/>
              <w:spacing w:line="218" w:lineRule="auto"/>
              <w:ind w:left="12"/>
            </w:pPr>
            <w:r>
              <w:rPr>
                <w:spacing w:val="-2"/>
              </w:rPr>
              <w:t>3.其他材料门的构造</w:t>
            </w:r>
          </w:p>
        </w:tc>
        <w:tc>
          <w:tcPr>
            <w:tcW w:w="220" w:type="dxa"/>
            <w:vAlign w:val="top"/>
          </w:tcPr>
          <w:p w14:paraId="45152266">
            <w:pPr>
              <w:pStyle w:val="6"/>
              <w:spacing w:before="99" w:line="238" w:lineRule="auto"/>
              <w:ind w:left="48"/>
              <w:rPr>
                <w:sz w:val="12"/>
                <w:szCs w:val="12"/>
              </w:rPr>
            </w:pPr>
            <w:r>
              <w:rPr>
                <w:sz w:val="12"/>
                <w:szCs w:val="12"/>
              </w:rPr>
              <w:t>√</w:t>
            </w:r>
          </w:p>
        </w:tc>
        <w:tc>
          <w:tcPr>
            <w:tcW w:w="229" w:type="dxa"/>
            <w:vAlign w:val="top"/>
          </w:tcPr>
          <w:p w14:paraId="7C1369C9">
            <w:pPr>
              <w:rPr>
                <w:rFonts w:ascii="Arial"/>
                <w:sz w:val="21"/>
              </w:rPr>
            </w:pPr>
          </w:p>
        </w:tc>
        <w:tc>
          <w:tcPr>
            <w:tcW w:w="229" w:type="dxa"/>
            <w:vAlign w:val="top"/>
          </w:tcPr>
          <w:p w14:paraId="616968A3">
            <w:pPr>
              <w:rPr>
                <w:rFonts w:ascii="Arial"/>
                <w:sz w:val="21"/>
              </w:rPr>
            </w:pPr>
          </w:p>
        </w:tc>
        <w:tc>
          <w:tcPr>
            <w:tcW w:w="234" w:type="dxa"/>
            <w:vAlign w:val="top"/>
          </w:tcPr>
          <w:p w14:paraId="5CBFBB90">
            <w:pPr>
              <w:rPr>
                <w:rFonts w:ascii="Arial"/>
                <w:sz w:val="21"/>
              </w:rPr>
            </w:pPr>
          </w:p>
        </w:tc>
      </w:tr>
      <w:tr w14:paraId="770262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883" w:type="dxa"/>
            <w:vMerge w:val="continue"/>
            <w:tcBorders>
              <w:top w:val="nil"/>
              <w:bottom w:val="nil"/>
            </w:tcBorders>
            <w:vAlign w:val="top"/>
          </w:tcPr>
          <w:p w14:paraId="6FF0A835">
            <w:pPr>
              <w:rPr>
                <w:rFonts w:ascii="Arial"/>
                <w:sz w:val="21"/>
              </w:rPr>
            </w:pPr>
          </w:p>
        </w:tc>
        <w:tc>
          <w:tcPr>
            <w:tcW w:w="2324" w:type="dxa"/>
            <w:vMerge w:val="continue"/>
            <w:tcBorders>
              <w:top w:val="nil"/>
              <w:bottom w:val="nil"/>
            </w:tcBorders>
            <w:vAlign w:val="top"/>
          </w:tcPr>
          <w:p w14:paraId="11931F9A">
            <w:pPr>
              <w:rPr>
                <w:rFonts w:ascii="Arial"/>
                <w:sz w:val="21"/>
              </w:rPr>
            </w:pPr>
          </w:p>
        </w:tc>
        <w:tc>
          <w:tcPr>
            <w:tcW w:w="220" w:type="dxa"/>
            <w:vAlign w:val="top"/>
          </w:tcPr>
          <w:p w14:paraId="142F7B37">
            <w:pPr>
              <w:rPr>
                <w:rFonts w:ascii="Arial"/>
                <w:sz w:val="21"/>
              </w:rPr>
            </w:pPr>
          </w:p>
        </w:tc>
        <w:tc>
          <w:tcPr>
            <w:tcW w:w="229" w:type="dxa"/>
            <w:vAlign w:val="top"/>
          </w:tcPr>
          <w:p w14:paraId="59E32935">
            <w:pPr>
              <w:pStyle w:val="6"/>
              <w:spacing w:before="110" w:line="238" w:lineRule="auto"/>
              <w:ind w:left="48"/>
              <w:rPr>
                <w:sz w:val="12"/>
                <w:szCs w:val="12"/>
              </w:rPr>
            </w:pPr>
            <w:r>
              <w:rPr>
                <w:sz w:val="12"/>
                <w:szCs w:val="12"/>
              </w:rPr>
              <w:t>√</w:t>
            </w:r>
          </w:p>
        </w:tc>
        <w:tc>
          <w:tcPr>
            <w:tcW w:w="229" w:type="dxa"/>
            <w:vAlign w:val="top"/>
          </w:tcPr>
          <w:p w14:paraId="47E5D4E8">
            <w:pPr>
              <w:rPr>
                <w:rFonts w:ascii="Arial"/>
                <w:sz w:val="21"/>
              </w:rPr>
            </w:pPr>
          </w:p>
        </w:tc>
        <w:tc>
          <w:tcPr>
            <w:tcW w:w="234" w:type="dxa"/>
            <w:vAlign w:val="top"/>
          </w:tcPr>
          <w:p w14:paraId="08CB398B">
            <w:pPr>
              <w:rPr>
                <w:rFonts w:ascii="Arial"/>
                <w:sz w:val="21"/>
              </w:rPr>
            </w:pPr>
          </w:p>
        </w:tc>
      </w:tr>
      <w:tr w14:paraId="2B0986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883" w:type="dxa"/>
            <w:vMerge w:val="continue"/>
            <w:tcBorders>
              <w:top w:val="nil"/>
            </w:tcBorders>
            <w:vAlign w:val="top"/>
          </w:tcPr>
          <w:p w14:paraId="26319F7D">
            <w:pPr>
              <w:rPr>
                <w:rFonts w:ascii="Arial"/>
                <w:sz w:val="21"/>
              </w:rPr>
            </w:pPr>
          </w:p>
        </w:tc>
        <w:tc>
          <w:tcPr>
            <w:tcW w:w="2324" w:type="dxa"/>
            <w:vMerge w:val="continue"/>
            <w:tcBorders>
              <w:top w:val="nil"/>
            </w:tcBorders>
            <w:vAlign w:val="top"/>
          </w:tcPr>
          <w:p w14:paraId="626E5D24">
            <w:pPr>
              <w:rPr>
                <w:rFonts w:ascii="Arial"/>
                <w:sz w:val="21"/>
              </w:rPr>
            </w:pPr>
          </w:p>
        </w:tc>
        <w:tc>
          <w:tcPr>
            <w:tcW w:w="220" w:type="dxa"/>
            <w:vAlign w:val="top"/>
          </w:tcPr>
          <w:p w14:paraId="12A878CF">
            <w:pPr>
              <w:pStyle w:val="6"/>
              <w:spacing w:before="101" w:line="238" w:lineRule="auto"/>
              <w:ind w:left="17"/>
              <w:rPr>
                <w:sz w:val="12"/>
                <w:szCs w:val="12"/>
              </w:rPr>
            </w:pPr>
            <w:r>
              <w:rPr>
                <w:sz w:val="12"/>
                <w:szCs w:val="12"/>
              </w:rPr>
              <w:t>√</w:t>
            </w:r>
          </w:p>
        </w:tc>
        <w:tc>
          <w:tcPr>
            <w:tcW w:w="229" w:type="dxa"/>
            <w:vAlign w:val="top"/>
          </w:tcPr>
          <w:p w14:paraId="68854B21">
            <w:pPr>
              <w:rPr>
                <w:rFonts w:ascii="Arial"/>
                <w:sz w:val="21"/>
              </w:rPr>
            </w:pPr>
          </w:p>
        </w:tc>
        <w:tc>
          <w:tcPr>
            <w:tcW w:w="229" w:type="dxa"/>
            <w:vAlign w:val="top"/>
          </w:tcPr>
          <w:p w14:paraId="011B9C99">
            <w:pPr>
              <w:rPr>
                <w:rFonts w:ascii="Arial"/>
                <w:sz w:val="21"/>
              </w:rPr>
            </w:pPr>
          </w:p>
        </w:tc>
        <w:tc>
          <w:tcPr>
            <w:tcW w:w="234" w:type="dxa"/>
            <w:vAlign w:val="top"/>
          </w:tcPr>
          <w:p w14:paraId="2632CD22">
            <w:pPr>
              <w:rPr>
                <w:rFonts w:ascii="Arial"/>
                <w:sz w:val="21"/>
              </w:rPr>
            </w:pPr>
          </w:p>
        </w:tc>
      </w:tr>
      <w:tr w14:paraId="2B60B1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883" w:type="dxa"/>
            <w:vMerge w:val="restart"/>
            <w:tcBorders>
              <w:bottom w:val="nil"/>
            </w:tcBorders>
            <w:vAlign w:val="top"/>
          </w:tcPr>
          <w:p w14:paraId="65F9A2D7">
            <w:pPr>
              <w:spacing w:line="297" w:lineRule="auto"/>
              <w:rPr>
                <w:rFonts w:ascii="Arial"/>
                <w:sz w:val="21"/>
              </w:rPr>
            </w:pPr>
          </w:p>
          <w:p w14:paraId="7DBA72B2">
            <w:pPr>
              <w:spacing w:line="297" w:lineRule="auto"/>
              <w:rPr>
                <w:rFonts w:ascii="Arial"/>
                <w:sz w:val="21"/>
              </w:rPr>
            </w:pPr>
          </w:p>
          <w:p w14:paraId="4C097068">
            <w:pPr>
              <w:pStyle w:val="6"/>
              <w:spacing w:before="55" w:line="220" w:lineRule="auto"/>
              <w:ind w:left="345"/>
            </w:pPr>
            <w:r>
              <w:t>窗</w:t>
            </w:r>
          </w:p>
        </w:tc>
        <w:tc>
          <w:tcPr>
            <w:tcW w:w="2324" w:type="dxa"/>
            <w:vMerge w:val="restart"/>
            <w:tcBorders>
              <w:bottom w:val="nil"/>
            </w:tcBorders>
            <w:vAlign w:val="top"/>
          </w:tcPr>
          <w:p w14:paraId="59E1898E">
            <w:pPr>
              <w:pStyle w:val="6"/>
              <w:spacing w:before="201" w:line="249" w:lineRule="auto"/>
              <w:ind w:left="12" w:right="85"/>
            </w:pPr>
            <w:r>
              <w:t>1.窗的作用、种类、开启方式</w:t>
            </w:r>
            <w:r>
              <w:rPr>
                <w:spacing w:val="5"/>
              </w:rPr>
              <w:t xml:space="preserve"> </w:t>
            </w:r>
            <w:r>
              <w:rPr>
                <w:spacing w:val="-2"/>
              </w:rPr>
              <w:t>2.木窗的构造</w:t>
            </w:r>
          </w:p>
          <w:p w14:paraId="4DD4A85C">
            <w:pPr>
              <w:pStyle w:val="6"/>
              <w:spacing w:before="2" w:line="230" w:lineRule="auto"/>
              <w:ind w:left="12" w:right="782"/>
            </w:pPr>
            <w:r>
              <w:rPr>
                <w:spacing w:val="-2"/>
              </w:rPr>
              <w:t>3.其他材料窗的构造</w:t>
            </w:r>
            <w:r>
              <w:rPr>
                <w:spacing w:val="8"/>
              </w:rPr>
              <w:t xml:space="preserve"> </w:t>
            </w:r>
            <w:r>
              <w:rPr>
                <w:spacing w:val="-1"/>
              </w:rPr>
              <w:t>4.遮阳设施</w:t>
            </w:r>
          </w:p>
        </w:tc>
        <w:tc>
          <w:tcPr>
            <w:tcW w:w="220" w:type="dxa"/>
            <w:vAlign w:val="top"/>
          </w:tcPr>
          <w:p w14:paraId="4B2400F9">
            <w:pPr>
              <w:pStyle w:val="6"/>
              <w:spacing w:before="112" w:line="238" w:lineRule="auto"/>
              <w:ind w:left="48"/>
              <w:rPr>
                <w:sz w:val="12"/>
                <w:szCs w:val="12"/>
              </w:rPr>
            </w:pPr>
            <w:r>
              <w:rPr>
                <w:sz w:val="12"/>
                <w:szCs w:val="12"/>
              </w:rPr>
              <w:t>√</w:t>
            </w:r>
          </w:p>
        </w:tc>
        <w:tc>
          <w:tcPr>
            <w:tcW w:w="229" w:type="dxa"/>
            <w:vAlign w:val="top"/>
          </w:tcPr>
          <w:p w14:paraId="085F159E">
            <w:pPr>
              <w:rPr>
                <w:rFonts w:ascii="Arial"/>
                <w:sz w:val="21"/>
              </w:rPr>
            </w:pPr>
          </w:p>
        </w:tc>
        <w:tc>
          <w:tcPr>
            <w:tcW w:w="229" w:type="dxa"/>
            <w:vAlign w:val="top"/>
          </w:tcPr>
          <w:p w14:paraId="3C7AA495">
            <w:pPr>
              <w:rPr>
                <w:rFonts w:ascii="Arial"/>
                <w:sz w:val="21"/>
              </w:rPr>
            </w:pPr>
          </w:p>
        </w:tc>
        <w:tc>
          <w:tcPr>
            <w:tcW w:w="234" w:type="dxa"/>
            <w:vAlign w:val="top"/>
          </w:tcPr>
          <w:p w14:paraId="3416E0F5">
            <w:pPr>
              <w:rPr>
                <w:rFonts w:ascii="Arial"/>
                <w:sz w:val="21"/>
              </w:rPr>
            </w:pPr>
          </w:p>
        </w:tc>
      </w:tr>
      <w:tr w14:paraId="516EBB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883" w:type="dxa"/>
            <w:vMerge w:val="continue"/>
            <w:tcBorders>
              <w:top w:val="nil"/>
              <w:bottom w:val="nil"/>
            </w:tcBorders>
            <w:vAlign w:val="top"/>
          </w:tcPr>
          <w:p w14:paraId="1D50E7C6">
            <w:pPr>
              <w:rPr>
                <w:rFonts w:ascii="Arial"/>
                <w:sz w:val="21"/>
              </w:rPr>
            </w:pPr>
          </w:p>
        </w:tc>
        <w:tc>
          <w:tcPr>
            <w:tcW w:w="2324" w:type="dxa"/>
            <w:vMerge w:val="continue"/>
            <w:tcBorders>
              <w:top w:val="nil"/>
              <w:bottom w:val="nil"/>
            </w:tcBorders>
            <w:vAlign w:val="top"/>
          </w:tcPr>
          <w:p w14:paraId="4C306BE1">
            <w:pPr>
              <w:rPr>
                <w:rFonts w:ascii="Arial"/>
                <w:sz w:val="21"/>
              </w:rPr>
            </w:pPr>
          </w:p>
        </w:tc>
        <w:tc>
          <w:tcPr>
            <w:tcW w:w="220" w:type="dxa"/>
            <w:vAlign w:val="top"/>
          </w:tcPr>
          <w:p w14:paraId="27A3656B">
            <w:pPr>
              <w:rPr>
                <w:rFonts w:ascii="Arial"/>
                <w:sz w:val="21"/>
              </w:rPr>
            </w:pPr>
          </w:p>
        </w:tc>
        <w:tc>
          <w:tcPr>
            <w:tcW w:w="229" w:type="dxa"/>
            <w:vAlign w:val="top"/>
          </w:tcPr>
          <w:p w14:paraId="4496E8A9">
            <w:pPr>
              <w:pStyle w:val="6"/>
              <w:spacing w:before="103" w:line="238" w:lineRule="auto"/>
              <w:ind w:left="48"/>
              <w:rPr>
                <w:sz w:val="12"/>
                <w:szCs w:val="12"/>
              </w:rPr>
            </w:pPr>
            <w:r>
              <w:rPr>
                <w:sz w:val="12"/>
                <w:szCs w:val="12"/>
              </w:rPr>
              <w:t>√</w:t>
            </w:r>
          </w:p>
        </w:tc>
        <w:tc>
          <w:tcPr>
            <w:tcW w:w="229" w:type="dxa"/>
            <w:vAlign w:val="top"/>
          </w:tcPr>
          <w:p w14:paraId="7B19010E">
            <w:pPr>
              <w:rPr>
                <w:rFonts w:ascii="Arial"/>
                <w:sz w:val="21"/>
              </w:rPr>
            </w:pPr>
          </w:p>
        </w:tc>
        <w:tc>
          <w:tcPr>
            <w:tcW w:w="234" w:type="dxa"/>
            <w:vAlign w:val="top"/>
          </w:tcPr>
          <w:p w14:paraId="1B7005FA">
            <w:pPr>
              <w:rPr>
                <w:rFonts w:ascii="Arial"/>
                <w:sz w:val="21"/>
              </w:rPr>
            </w:pPr>
          </w:p>
        </w:tc>
      </w:tr>
      <w:tr w14:paraId="704963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883" w:type="dxa"/>
            <w:vMerge w:val="continue"/>
            <w:tcBorders>
              <w:top w:val="nil"/>
              <w:bottom w:val="nil"/>
            </w:tcBorders>
            <w:vAlign w:val="top"/>
          </w:tcPr>
          <w:p w14:paraId="5E8DA4CB">
            <w:pPr>
              <w:rPr>
                <w:rFonts w:ascii="Arial"/>
                <w:sz w:val="21"/>
              </w:rPr>
            </w:pPr>
          </w:p>
        </w:tc>
        <w:tc>
          <w:tcPr>
            <w:tcW w:w="2324" w:type="dxa"/>
            <w:vMerge w:val="continue"/>
            <w:tcBorders>
              <w:top w:val="nil"/>
              <w:bottom w:val="nil"/>
            </w:tcBorders>
            <w:vAlign w:val="top"/>
          </w:tcPr>
          <w:p w14:paraId="0EEBDD04">
            <w:pPr>
              <w:rPr>
                <w:rFonts w:ascii="Arial"/>
                <w:sz w:val="21"/>
              </w:rPr>
            </w:pPr>
          </w:p>
        </w:tc>
        <w:tc>
          <w:tcPr>
            <w:tcW w:w="220" w:type="dxa"/>
            <w:vAlign w:val="top"/>
          </w:tcPr>
          <w:p w14:paraId="3D466D32">
            <w:pPr>
              <w:pStyle w:val="6"/>
              <w:spacing w:before="114" w:line="238" w:lineRule="auto"/>
              <w:ind w:left="17"/>
              <w:rPr>
                <w:sz w:val="12"/>
                <w:szCs w:val="12"/>
              </w:rPr>
            </w:pPr>
            <w:r>
              <w:rPr>
                <w:sz w:val="12"/>
                <w:szCs w:val="12"/>
              </w:rPr>
              <w:t>√</w:t>
            </w:r>
          </w:p>
        </w:tc>
        <w:tc>
          <w:tcPr>
            <w:tcW w:w="229" w:type="dxa"/>
            <w:vAlign w:val="top"/>
          </w:tcPr>
          <w:p w14:paraId="679DA2A2">
            <w:pPr>
              <w:rPr>
                <w:rFonts w:ascii="Arial"/>
                <w:sz w:val="21"/>
              </w:rPr>
            </w:pPr>
          </w:p>
        </w:tc>
        <w:tc>
          <w:tcPr>
            <w:tcW w:w="229" w:type="dxa"/>
            <w:vAlign w:val="top"/>
          </w:tcPr>
          <w:p w14:paraId="46E4287E">
            <w:pPr>
              <w:rPr>
                <w:rFonts w:ascii="Arial"/>
                <w:sz w:val="21"/>
              </w:rPr>
            </w:pPr>
          </w:p>
        </w:tc>
        <w:tc>
          <w:tcPr>
            <w:tcW w:w="234" w:type="dxa"/>
            <w:vAlign w:val="top"/>
          </w:tcPr>
          <w:p w14:paraId="1A9B1C0E">
            <w:pPr>
              <w:rPr>
                <w:rFonts w:ascii="Arial"/>
                <w:sz w:val="21"/>
              </w:rPr>
            </w:pPr>
          </w:p>
        </w:tc>
      </w:tr>
      <w:tr w14:paraId="27034B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4" w:hRule="atLeast"/>
        </w:trPr>
        <w:tc>
          <w:tcPr>
            <w:tcW w:w="883" w:type="dxa"/>
            <w:vMerge w:val="continue"/>
            <w:tcBorders>
              <w:top w:val="nil"/>
            </w:tcBorders>
            <w:vAlign w:val="top"/>
          </w:tcPr>
          <w:p w14:paraId="00023B7A">
            <w:pPr>
              <w:rPr>
                <w:rFonts w:ascii="Arial"/>
                <w:sz w:val="21"/>
              </w:rPr>
            </w:pPr>
          </w:p>
        </w:tc>
        <w:tc>
          <w:tcPr>
            <w:tcW w:w="2324" w:type="dxa"/>
            <w:vMerge w:val="continue"/>
            <w:tcBorders>
              <w:top w:val="nil"/>
            </w:tcBorders>
            <w:vAlign w:val="top"/>
          </w:tcPr>
          <w:p w14:paraId="313BAE6C">
            <w:pPr>
              <w:rPr>
                <w:rFonts w:ascii="Arial"/>
                <w:sz w:val="21"/>
              </w:rPr>
            </w:pPr>
          </w:p>
        </w:tc>
        <w:tc>
          <w:tcPr>
            <w:tcW w:w="220" w:type="dxa"/>
            <w:vAlign w:val="top"/>
          </w:tcPr>
          <w:p w14:paraId="3CCFF672">
            <w:pPr>
              <w:pStyle w:val="6"/>
              <w:spacing w:before="95" w:line="238" w:lineRule="auto"/>
              <w:ind w:left="48"/>
              <w:rPr>
                <w:sz w:val="12"/>
                <w:szCs w:val="12"/>
              </w:rPr>
            </w:pPr>
            <w:r>
              <w:rPr>
                <w:sz w:val="12"/>
                <w:szCs w:val="12"/>
              </w:rPr>
              <w:t>√</w:t>
            </w:r>
          </w:p>
        </w:tc>
        <w:tc>
          <w:tcPr>
            <w:tcW w:w="229" w:type="dxa"/>
            <w:vAlign w:val="top"/>
          </w:tcPr>
          <w:p w14:paraId="5619F7C5">
            <w:pPr>
              <w:rPr>
                <w:rFonts w:ascii="Arial"/>
                <w:sz w:val="21"/>
              </w:rPr>
            </w:pPr>
          </w:p>
        </w:tc>
        <w:tc>
          <w:tcPr>
            <w:tcW w:w="229" w:type="dxa"/>
            <w:vAlign w:val="top"/>
          </w:tcPr>
          <w:p w14:paraId="40BCA07B">
            <w:pPr>
              <w:rPr>
                <w:rFonts w:ascii="Arial"/>
                <w:sz w:val="21"/>
              </w:rPr>
            </w:pPr>
          </w:p>
        </w:tc>
        <w:tc>
          <w:tcPr>
            <w:tcW w:w="234" w:type="dxa"/>
            <w:vAlign w:val="top"/>
          </w:tcPr>
          <w:p w14:paraId="0C5B86CF">
            <w:pPr>
              <w:rPr>
                <w:rFonts w:ascii="Arial"/>
                <w:sz w:val="21"/>
              </w:rPr>
            </w:pPr>
          </w:p>
        </w:tc>
      </w:tr>
    </w:tbl>
    <w:p w14:paraId="7F23D233">
      <w:pPr>
        <w:spacing w:before="129" w:line="222" w:lineRule="auto"/>
        <w:ind w:left="1177"/>
        <w:rPr>
          <w:rFonts w:ascii="黑体" w:hAnsi="黑体" w:eastAsia="黑体" w:cs="黑体"/>
          <w:sz w:val="20"/>
          <w:szCs w:val="20"/>
        </w:rPr>
      </w:pPr>
      <w:r>
        <w:rPr>
          <w:rFonts w:ascii="黑体" w:hAnsi="黑体" w:eastAsia="黑体" w:cs="黑体"/>
          <w:b/>
          <w:bCs/>
          <w:spacing w:val="-8"/>
          <w:sz w:val="20"/>
          <w:szCs w:val="20"/>
        </w:rPr>
        <w:t>第八章</w:t>
      </w:r>
      <w:r>
        <w:rPr>
          <w:rFonts w:ascii="黑体" w:hAnsi="黑体" w:eastAsia="黑体" w:cs="黑体"/>
          <w:spacing w:val="10"/>
          <w:sz w:val="20"/>
          <w:szCs w:val="20"/>
        </w:rPr>
        <w:t xml:space="preserve">  </w:t>
      </w:r>
      <w:r>
        <w:rPr>
          <w:rFonts w:ascii="黑体" w:hAnsi="黑体" w:eastAsia="黑体" w:cs="黑体"/>
          <w:b/>
          <w:bCs/>
          <w:spacing w:val="-8"/>
          <w:sz w:val="20"/>
          <w:szCs w:val="20"/>
        </w:rPr>
        <w:t>楼梯与电梯</w:t>
      </w:r>
    </w:p>
    <w:p w14:paraId="3325FB61">
      <w:pPr>
        <w:spacing w:line="80" w:lineRule="exact"/>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83"/>
        <w:gridCol w:w="2324"/>
        <w:gridCol w:w="220"/>
        <w:gridCol w:w="229"/>
        <w:gridCol w:w="229"/>
        <w:gridCol w:w="234"/>
      </w:tblGrid>
      <w:tr w14:paraId="70D37E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9" w:hRule="atLeast"/>
        </w:trPr>
        <w:tc>
          <w:tcPr>
            <w:tcW w:w="883" w:type="dxa"/>
            <w:vMerge w:val="restart"/>
            <w:tcBorders>
              <w:top w:val="single" w:color="000000" w:sz="2" w:space="0"/>
              <w:bottom w:val="nil"/>
            </w:tcBorders>
            <w:vAlign w:val="top"/>
          </w:tcPr>
          <w:p w14:paraId="47BF5EEB">
            <w:pPr>
              <w:pStyle w:val="6"/>
              <w:spacing w:before="149" w:line="204" w:lineRule="auto"/>
              <w:ind w:left="15"/>
              <w:rPr>
                <w:sz w:val="18"/>
                <w:szCs w:val="18"/>
              </w:rPr>
            </w:pPr>
            <w:r>
              <w:rPr>
                <w:spacing w:val="4"/>
                <w:sz w:val="18"/>
                <w:szCs w:val="18"/>
              </w:rPr>
              <w:t>知识与</w:t>
            </w:r>
          </w:p>
          <w:p w14:paraId="2E646F5D">
            <w:pPr>
              <w:pStyle w:val="6"/>
              <w:spacing w:line="220" w:lineRule="auto"/>
              <w:ind w:left="15"/>
              <w:rPr>
                <w:sz w:val="18"/>
                <w:szCs w:val="18"/>
              </w:rPr>
            </w:pPr>
            <w:r>
              <w:rPr>
                <w:spacing w:val="4"/>
                <w:sz w:val="18"/>
                <w:szCs w:val="18"/>
              </w:rPr>
              <w:t>技能要点</w:t>
            </w:r>
          </w:p>
        </w:tc>
        <w:tc>
          <w:tcPr>
            <w:tcW w:w="2324" w:type="dxa"/>
            <w:vMerge w:val="restart"/>
            <w:tcBorders>
              <w:top w:val="single" w:color="000000" w:sz="2" w:space="0"/>
              <w:bottom w:val="nil"/>
            </w:tcBorders>
            <w:vAlign w:val="top"/>
          </w:tcPr>
          <w:p w14:paraId="6696E21D">
            <w:pPr>
              <w:pStyle w:val="6"/>
              <w:spacing w:before="237" w:line="219" w:lineRule="auto"/>
              <w:ind w:left="2"/>
              <w:rPr>
                <w:sz w:val="18"/>
                <w:szCs w:val="18"/>
              </w:rPr>
            </w:pPr>
            <w:r>
              <w:rPr>
                <w:spacing w:val="8"/>
                <w:sz w:val="18"/>
                <w:szCs w:val="18"/>
              </w:rPr>
              <w:t>考试条目</w:t>
            </w:r>
          </w:p>
        </w:tc>
        <w:tc>
          <w:tcPr>
            <w:tcW w:w="912" w:type="dxa"/>
            <w:gridSpan w:val="4"/>
            <w:tcBorders>
              <w:top w:val="single" w:color="000000" w:sz="2" w:space="0"/>
              <w:bottom w:val="single" w:color="000000" w:sz="2" w:space="0"/>
            </w:tcBorders>
            <w:vAlign w:val="top"/>
          </w:tcPr>
          <w:p w14:paraId="388CE068">
            <w:pPr>
              <w:pStyle w:val="6"/>
              <w:spacing w:before="77" w:line="219" w:lineRule="auto"/>
              <w:ind w:left="17"/>
              <w:rPr>
                <w:sz w:val="18"/>
                <w:szCs w:val="18"/>
              </w:rPr>
            </w:pPr>
            <w:r>
              <w:rPr>
                <w:spacing w:val="-2"/>
                <w:sz w:val="18"/>
                <w:szCs w:val="18"/>
              </w:rPr>
              <w:t>考试水平</w:t>
            </w:r>
          </w:p>
        </w:tc>
      </w:tr>
      <w:tr w14:paraId="75A2FF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5" w:hRule="atLeast"/>
        </w:trPr>
        <w:tc>
          <w:tcPr>
            <w:tcW w:w="883" w:type="dxa"/>
            <w:vMerge w:val="continue"/>
            <w:tcBorders>
              <w:top w:val="nil"/>
              <w:bottom w:val="single" w:color="000000" w:sz="2" w:space="0"/>
            </w:tcBorders>
            <w:vAlign w:val="top"/>
          </w:tcPr>
          <w:p w14:paraId="766D6238">
            <w:pPr>
              <w:rPr>
                <w:rFonts w:ascii="Arial"/>
                <w:sz w:val="21"/>
              </w:rPr>
            </w:pPr>
          </w:p>
        </w:tc>
        <w:tc>
          <w:tcPr>
            <w:tcW w:w="2324" w:type="dxa"/>
            <w:vMerge w:val="continue"/>
            <w:tcBorders>
              <w:top w:val="nil"/>
              <w:bottom w:val="single" w:color="000000" w:sz="2" w:space="0"/>
            </w:tcBorders>
            <w:vAlign w:val="top"/>
          </w:tcPr>
          <w:p w14:paraId="2CE69CA6">
            <w:pPr>
              <w:rPr>
                <w:rFonts w:ascii="Arial"/>
                <w:sz w:val="21"/>
              </w:rPr>
            </w:pPr>
          </w:p>
        </w:tc>
        <w:tc>
          <w:tcPr>
            <w:tcW w:w="220" w:type="dxa"/>
            <w:tcBorders>
              <w:top w:val="single" w:color="000000" w:sz="2" w:space="0"/>
              <w:bottom w:val="single" w:color="000000" w:sz="2" w:space="0"/>
            </w:tcBorders>
            <w:vAlign w:val="top"/>
          </w:tcPr>
          <w:p w14:paraId="6FA39F05">
            <w:pPr>
              <w:pStyle w:val="6"/>
              <w:spacing w:before="123" w:line="184" w:lineRule="auto"/>
              <w:ind w:left="17"/>
              <w:rPr>
                <w:sz w:val="13"/>
                <w:szCs w:val="13"/>
              </w:rPr>
            </w:pPr>
            <w:r>
              <w:rPr>
                <w:sz w:val="13"/>
                <w:szCs w:val="13"/>
              </w:rPr>
              <w:t>A</w:t>
            </w:r>
          </w:p>
        </w:tc>
        <w:tc>
          <w:tcPr>
            <w:tcW w:w="229" w:type="dxa"/>
            <w:tcBorders>
              <w:top w:val="single" w:color="000000" w:sz="2" w:space="0"/>
              <w:bottom w:val="single" w:color="000000" w:sz="2" w:space="0"/>
            </w:tcBorders>
            <w:vAlign w:val="top"/>
          </w:tcPr>
          <w:p w14:paraId="3EDC0DDF">
            <w:pPr>
              <w:pStyle w:val="6"/>
              <w:spacing w:before="110" w:line="182" w:lineRule="auto"/>
              <w:ind w:left="18"/>
              <w:rPr>
                <w:sz w:val="18"/>
                <w:szCs w:val="18"/>
              </w:rPr>
            </w:pPr>
            <w:r>
              <w:rPr>
                <w:sz w:val="18"/>
                <w:szCs w:val="18"/>
              </w:rPr>
              <w:t>B</w:t>
            </w:r>
          </w:p>
        </w:tc>
        <w:tc>
          <w:tcPr>
            <w:tcW w:w="229" w:type="dxa"/>
            <w:tcBorders>
              <w:top w:val="single" w:color="000000" w:sz="2" w:space="0"/>
              <w:bottom w:val="single" w:color="000000" w:sz="2" w:space="0"/>
            </w:tcBorders>
            <w:vAlign w:val="top"/>
          </w:tcPr>
          <w:p w14:paraId="69068344">
            <w:pPr>
              <w:pStyle w:val="6"/>
              <w:spacing w:before="124" w:line="183" w:lineRule="auto"/>
              <w:ind w:left="9"/>
              <w:rPr>
                <w:sz w:val="13"/>
                <w:szCs w:val="13"/>
              </w:rPr>
            </w:pPr>
            <w:r>
              <w:rPr>
                <w:sz w:val="13"/>
                <w:szCs w:val="13"/>
              </w:rPr>
              <w:t>C</w:t>
            </w:r>
          </w:p>
        </w:tc>
        <w:tc>
          <w:tcPr>
            <w:tcW w:w="234" w:type="dxa"/>
            <w:tcBorders>
              <w:top w:val="single" w:color="000000" w:sz="2" w:space="0"/>
              <w:bottom w:val="single" w:color="000000" w:sz="2" w:space="0"/>
            </w:tcBorders>
            <w:vAlign w:val="top"/>
          </w:tcPr>
          <w:p w14:paraId="7C36AD49">
            <w:pPr>
              <w:pStyle w:val="6"/>
              <w:spacing w:before="110" w:line="182" w:lineRule="auto"/>
              <w:ind w:left="10"/>
              <w:rPr>
                <w:sz w:val="18"/>
                <w:szCs w:val="18"/>
              </w:rPr>
            </w:pPr>
            <w:r>
              <w:rPr>
                <w:sz w:val="18"/>
                <w:szCs w:val="18"/>
              </w:rPr>
              <w:t>D</w:t>
            </w:r>
          </w:p>
        </w:tc>
      </w:tr>
      <w:tr w14:paraId="20AD29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4" w:hRule="atLeast"/>
        </w:trPr>
        <w:tc>
          <w:tcPr>
            <w:tcW w:w="883" w:type="dxa"/>
            <w:vMerge w:val="restart"/>
            <w:tcBorders>
              <w:top w:val="single" w:color="000000" w:sz="2" w:space="0"/>
              <w:bottom w:val="nil"/>
            </w:tcBorders>
            <w:vAlign w:val="top"/>
          </w:tcPr>
          <w:p w14:paraId="631121F3">
            <w:pPr>
              <w:spacing w:line="300" w:lineRule="auto"/>
              <w:rPr>
                <w:rFonts w:ascii="Arial"/>
                <w:sz w:val="21"/>
              </w:rPr>
            </w:pPr>
          </w:p>
          <w:p w14:paraId="5C9B38D7">
            <w:pPr>
              <w:spacing w:line="300" w:lineRule="auto"/>
              <w:rPr>
                <w:rFonts w:ascii="Arial"/>
                <w:sz w:val="21"/>
              </w:rPr>
            </w:pPr>
          </w:p>
          <w:p w14:paraId="6CBFBFFA">
            <w:pPr>
              <w:pStyle w:val="6"/>
              <w:spacing w:before="59" w:line="219" w:lineRule="auto"/>
              <w:ind w:left="254"/>
              <w:rPr>
                <w:sz w:val="18"/>
                <w:szCs w:val="18"/>
              </w:rPr>
            </w:pPr>
            <w:r>
              <w:rPr>
                <w:spacing w:val="-2"/>
                <w:sz w:val="18"/>
                <w:szCs w:val="18"/>
              </w:rPr>
              <w:t>楼梯</w:t>
            </w:r>
          </w:p>
        </w:tc>
        <w:tc>
          <w:tcPr>
            <w:tcW w:w="2324" w:type="dxa"/>
            <w:vMerge w:val="restart"/>
            <w:tcBorders>
              <w:top w:val="single" w:color="000000" w:sz="2" w:space="0"/>
              <w:bottom w:val="nil"/>
            </w:tcBorders>
            <w:vAlign w:val="top"/>
          </w:tcPr>
          <w:p w14:paraId="1DE994F9">
            <w:pPr>
              <w:pStyle w:val="6"/>
              <w:spacing w:before="212" w:line="231" w:lineRule="auto"/>
              <w:ind w:left="2" w:right="321"/>
              <w:rPr>
                <w:sz w:val="18"/>
                <w:szCs w:val="18"/>
              </w:rPr>
            </w:pPr>
            <w:r>
              <w:rPr>
                <w:sz w:val="18"/>
                <w:szCs w:val="18"/>
              </w:rPr>
              <w:t>1.楼梯的类型、组成尺度</w:t>
            </w:r>
            <w:r>
              <w:rPr>
                <w:spacing w:val="9"/>
                <w:sz w:val="18"/>
                <w:szCs w:val="18"/>
              </w:rPr>
              <w:t xml:space="preserve"> </w:t>
            </w:r>
            <w:r>
              <w:rPr>
                <w:spacing w:val="-2"/>
                <w:sz w:val="18"/>
                <w:szCs w:val="18"/>
              </w:rPr>
              <w:t>2.楼梯的设计要求</w:t>
            </w:r>
          </w:p>
          <w:p w14:paraId="212684FF">
            <w:pPr>
              <w:pStyle w:val="6"/>
              <w:spacing w:before="1" w:line="227" w:lineRule="auto"/>
              <w:ind w:left="2" w:right="342"/>
              <w:rPr>
                <w:sz w:val="18"/>
                <w:szCs w:val="18"/>
              </w:rPr>
            </w:pPr>
            <w:r>
              <w:rPr>
                <w:spacing w:val="-1"/>
                <w:sz w:val="18"/>
                <w:szCs w:val="18"/>
              </w:rPr>
              <w:t>3.钢筋混凝土楼梯的构造</w:t>
            </w:r>
            <w:r>
              <w:rPr>
                <w:sz w:val="18"/>
                <w:szCs w:val="18"/>
              </w:rPr>
              <w:t xml:space="preserve"> </w:t>
            </w:r>
            <w:r>
              <w:rPr>
                <w:spacing w:val="-1"/>
                <w:sz w:val="18"/>
                <w:szCs w:val="18"/>
              </w:rPr>
              <w:t>4.楼梯的细部构造</w:t>
            </w:r>
          </w:p>
        </w:tc>
        <w:tc>
          <w:tcPr>
            <w:tcW w:w="220" w:type="dxa"/>
            <w:tcBorders>
              <w:top w:val="single" w:color="000000" w:sz="2" w:space="0"/>
              <w:bottom w:val="single" w:color="000000" w:sz="2" w:space="0"/>
            </w:tcBorders>
            <w:vAlign w:val="top"/>
          </w:tcPr>
          <w:p w14:paraId="6765D64E">
            <w:pPr>
              <w:rPr>
                <w:rFonts w:ascii="Arial"/>
                <w:sz w:val="21"/>
              </w:rPr>
            </w:pPr>
          </w:p>
        </w:tc>
        <w:tc>
          <w:tcPr>
            <w:tcW w:w="229" w:type="dxa"/>
            <w:tcBorders>
              <w:top w:val="single" w:color="000000" w:sz="2" w:space="0"/>
              <w:bottom w:val="single" w:color="000000" w:sz="2" w:space="0"/>
            </w:tcBorders>
            <w:vAlign w:val="top"/>
          </w:tcPr>
          <w:p w14:paraId="437AF034">
            <w:pPr>
              <w:rPr>
                <w:rFonts w:ascii="Arial"/>
                <w:sz w:val="21"/>
              </w:rPr>
            </w:pPr>
          </w:p>
        </w:tc>
        <w:tc>
          <w:tcPr>
            <w:tcW w:w="229" w:type="dxa"/>
            <w:tcBorders>
              <w:top w:val="single" w:color="000000" w:sz="2" w:space="0"/>
              <w:bottom w:val="single" w:color="000000" w:sz="2" w:space="0"/>
            </w:tcBorders>
            <w:vAlign w:val="top"/>
          </w:tcPr>
          <w:p w14:paraId="4E52EB91">
            <w:pPr>
              <w:pStyle w:val="6"/>
              <w:spacing w:before="104" w:line="238" w:lineRule="auto"/>
              <w:ind w:left="9"/>
              <w:rPr>
                <w:sz w:val="13"/>
                <w:szCs w:val="13"/>
              </w:rPr>
            </w:pPr>
            <w:r>
              <w:rPr>
                <w:sz w:val="13"/>
                <w:szCs w:val="13"/>
              </w:rPr>
              <w:t>√</w:t>
            </w:r>
          </w:p>
        </w:tc>
        <w:tc>
          <w:tcPr>
            <w:tcW w:w="234" w:type="dxa"/>
            <w:tcBorders>
              <w:top w:val="single" w:color="000000" w:sz="2" w:space="0"/>
              <w:bottom w:val="single" w:color="000000" w:sz="2" w:space="0"/>
            </w:tcBorders>
            <w:vAlign w:val="top"/>
          </w:tcPr>
          <w:p w14:paraId="3273EB69">
            <w:pPr>
              <w:rPr>
                <w:rFonts w:ascii="Arial"/>
                <w:sz w:val="21"/>
              </w:rPr>
            </w:pPr>
          </w:p>
        </w:tc>
      </w:tr>
      <w:tr w14:paraId="596F57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5" w:hRule="atLeast"/>
        </w:trPr>
        <w:tc>
          <w:tcPr>
            <w:tcW w:w="883" w:type="dxa"/>
            <w:vMerge w:val="continue"/>
            <w:tcBorders>
              <w:top w:val="nil"/>
              <w:bottom w:val="nil"/>
            </w:tcBorders>
            <w:vAlign w:val="top"/>
          </w:tcPr>
          <w:p w14:paraId="43F0C33B">
            <w:pPr>
              <w:rPr>
                <w:rFonts w:ascii="Arial"/>
                <w:sz w:val="21"/>
              </w:rPr>
            </w:pPr>
          </w:p>
        </w:tc>
        <w:tc>
          <w:tcPr>
            <w:tcW w:w="2324" w:type="dxa"/>
            <w:vMerge w:val="continue"/>
            <w:tcBorders>
              <w:top w:val="nil"/>
              <w:bottom w:val="nil"/>
            </w:tcBorders>
            <w:vAlign w:val="top"/>
          </w:tcPr>
          <w:p w14:paraId="5CC0910D">
            <w:pPr>
              <w:rPr>
                <w:rFonts w:ascii="Arial"/>
                <w:sz w:val="21"/>
              </w:rPr>
            </w:pPr>
          </w:p>
        </w:tc>
        <w:tc>
          <w:tcPr>
            <w:tcW w:w="220" w:type="dxa"/>
            <w:tcBorders>
              <w:top w:val="single" w:color="000000" w:sz="2" w:space="0"/>
              <w:bottom w:val="single" w:color="000000" w:sz="2" w:space="0"/>
            </w:tcBorders>
            <w:vAlign w:val="top"/>
          </w:tcPr>
          <w:p w14:paraId="699D2EBD">
            <w:pPr>
              <w:rPr>
                <w:rFonts w:ascii="Arial"/>
                <w:sz w:val="21"/>
              </w:rPr>
            </w:pPr>
          </w:p>
        </w:tc>
        <w:tc>
          <w:tcPr>
            <w:tcW w:w="229" w:type="dxa"/>
            <w:tcBorders>
              <w:top w:val="single" w:color="000000" w:sz="2" w:space="0"/>
              <w:bottom w:val="single" w:color="000000" w:sz="2" w:space="0"/>
            </w:tcBorders>
            <w:vAlign w:val="top"/>
          </w:tcPr>
          <w:p w14:paraId="39EDC2C6">
            <w:pPr>
              <w:rPr>
                <w:rFonts w:ascii="Arial"/>
                <w:sz w:val="21"/>
              </w:rPr>
            </w:pPr>
          </w:p>
        </w:tc>
        <w:tc>
          <w:tcPr>
            <w:tcW w:w="229" w:type="dxa"/>
            <w:tcBorders>
              <w:top w:val="single" w:color="000000" w:sz="2" w:space="0"/>
              <w:bottom w:val="single" w:color="000000" w:sz="2" w:space="0"/>
            </w:tcBorders>
            <w:vAlign w:val="top"/>
          </w:tcPr>
          <w:p w14:paraId="7EA4BA37">
            <w:pPr>
              <w:rPr>
                <w:rFonts w:ascii="Arial"/>
                <w:sz w:val="21"/>
              </w:rPr>
            </w:pPr>
          </w:p>
        </w:tc>
        <w:tc>
          <w:tcPr>
            <w:tcW w:w="234" w:type="dxa"/>
            <w:tcBorders>
              <w:top w:val="single" w:color="000000" w:sz="2" w:space="0"/>
              <w:bottom w:val="single" w:color="000000" w:sz="2" w:space="0"/>
            </w:tcBorders>
            <w:vAlign w:val="top"/>
          </w:tcPr>
          <w:p w14:paraId="67A3A8F4">
            <w:pPr>
              <w:pStyle w:val="6"/>
              <w:spacing w:before="94" w:line="238" w:lineRule="auto"/>
              <w:ind w:left="10"/>
              <w:rPr>
                <w:sz w:val="13"/>
                <w:szCs w:val="13"/>
              </w:rPr>
            </w:pPr>
            <w:r>
              <w:rPr>
                <w:sz w:val="13"/>
                <w:szCs w:val="13"/>
              </w:rPr>
              <w:t>√</w:t>
            </w:r>
          </w:p>
        </w:tc>
      </w:tr>
      <w:tr w14:paraId="28C414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4" w:hRule="atLeast"/>
        </w:trPr>
        <w:tc>
          <w:tcPr>
            <w:tcW w:w="883" w:type="dxa"/>
            <w:vMerge w:val="continue"/>
            <w:tcBorders>
              <w:top w:val="nil"/>
              <w:bottom w:val="nil"/>
            </w:tcBorders>
            <w:vAlign w:val="top"/>
          </w:tcPr>
          <w:p w14:paraId="62B4B10B">
            <w:pPr>
              <w:rPr>
                <w:rFonts w:ascii="Arial"/>
                <w:sz w:val="21"/>
              </w:rPr>
            </w:pPr>
          </w:p>
        </w:tc>
        <w:tc>
          <w:tcPr>
            <w:tcW w:w="2324" w:type="dxa"/>
            <w:vMerge w:val="continue"/>
            <w:tcBorders>
              <w:top w:val="nil"/>
              <w:bottom w:val="nil"/>
            </w:tcBorders>
            <w:vAlign w:val="top"/>
          </w:tcPr>
          <w:p w14:paraId="2F221E36">
            <w:pPr>
              <w:rPr>
                <w:rFonts w:ascii="Arial"/>
                <w:sz w:val="21"/>
              </w:rPr>
            </w:pPr>
          </w:p>
        </w:tc>
        <w:tc>
          <w:tcPr>
            <w:tcW w:w="220" w:type="dxa"/>
            <w:tcBorders>
              <w:top w:val="single" w:color="000000" w:sz="2" w:space="0"/>
              <w:bottom w:val="single" w:color="000000" w:sz="2" w:space="0"/>
            </w:tcBorders>
            <w:vAlign w:val="top"/>
          </w:tcPr>
          <w:p w14:paraId="7BD59AF8">
            <w:pPr>
              <w:rPr>
                <w:rFonts w:ascii="Arial"/>
                <w:sz w:val="21"/>
              </w:rPr>
            </w:pPr>
          </w:p>
        </w:tc>
        <w:tc>
          <w:tcPr>
            <w:tcW w:w="229" w:type="dxa"/>
            <w:tcBorders>
              <w:top w:val="single" w:color="000000" w:sz="2" w:space="0"/>
              <w:bottom w:val="single" w:color="000000" w:sz="2" w:space="0"/>
            </w:tcBorders>
            <w:vAlign w:val="top"/>
          </w:tcPr>
          <w:p w14:paraId="6124DAE4">
            <w:pPr>
              <w:pStyle w:val="6"/>
              <w:spacing w:before="104" w:line="238" w:lineRule="auto"/>
              <w:ind w:left="48"/>
              <w:rPr>
                <w:sz w:val="13"/>
                <w:szCs w:val="13"/>
              </w:rPr>
            </w:pPr>
            <w:r>
              <w:rPr>
                <w:sz w:val="13"/>
                <w:szCs w:val="13"/>
              </w:rPr>
              <w:t>√</w:t>
            </w:r>
          </w:p>
        </w:tc>
        <w:tc>
          <w:tcPr>
            <w:tcW w:w="229" w:type="dxa"/>
            <w:tcBorders>
              <w:top w:val="single" w:color="000000" w:sz="2" w:space="0"/>
              <w:bottom w:val="single" w:color="000000" w:sz="2" w:space="0"/>
            </w:tcBorders>
            <w:vAlign w:val="top"/>
          </w:tcPr>
          <w:p w14:paraId="0200142C">
            <w:pPr>
              <w:rPr>
                <w:rFonts w:ascii="Arial"/>
                <w:sz w:val="21"/>
              </w:rPr>
            </w:pPr>
          </w:p>
        </w:tc>
        <w:tc>
          <w:tcPr>
            <w:tcW w:w="234" w:type="dxa"/>
            <w:tcBorders>
              <w:top w:val="single" w:color="000000" w:sz="2" w:space="0"/>
              <w:bottom w:val="single" w:color="000000" w:sz="2" w:space="0"/>
            </w:tcBorders>
            <w:vAlign w:val="top"/>
          </w:tcPr>
          <w:p w14:paraId="66E948D6">
            <w:pPr>
              <w:rPr>
                <w:rFonts w:ascii="Arial"/>
                <w:sz w:val="21"/>
              </w:rPr>
            </w:pPr>
          </w:p>
        </w:tc>
      </w:tr>
      <w:tr w14:paraId="58ED3E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4" w:hRule="atLeast"/>
        </w:trPr>
        <w:tc>
          <w:tcPr>
            <w:tcW w:w="883" w:type="dxa"/>
            <w:vMerge w:val="continue"/>
            <w:tcBorders>
              <w:top w:val="nil"/>
              <w:bottom w:val="single" w:color="000000" w:sz="2" w:space="0"/>
            </w:tcBorders>
            <w:vAlign w:val="top"/>
          </w:tcPr>
          <w:p w14:paraId="3A3D85FA">
            <w:pPr>
              <w:rPr>
                <w:rFonts w:ascii="Arial"/>
                <w:sz w:val="21"/>
              </w:rPr>
            </w:pPr>
          </w:p>
        </w:tc>
        <w:tc>
          <w:tcPr>
            <w:tcW w:w="2324" w:type="dxa"/>
            <w:vMerge w:val="continue"/>
            <w:tcBorders>
              <w:top w:val="nil"/>
              <w:bottom w:val="single" w:color="000000" w:sz="2" w:space="0"/>
            </w:tcBorders>
            <w:vAlign w:val="top"/>
          </w:tcPr>
          <w:p w14:paraId="60D1197E">
            <w:pPr>
              <w:rPr>
                <w:rFonts w:ascii="Arial"/>
                <w:sz w:val="21"/>
              </w:rPr>
            </w:pPr>
          </w:p>
        </w:tc>
        <w:tc>
          <w:tcPr>
            <w:tcW w:w="220" w:type="dxa"/>
            <w:tcBorders>
              <w:top w:val="single" w:color="000000" w:sz="2" w:space="0"/>
              <w:bottom w:val="single" w:color="000000" w:sz="2" w:space="0"/>
            </w:tcBorders>
            <w:vAlign w:val="top"/>
          </w:tcPr>
          <w:p w14:paraId="42CF61D2">
            <w:pPr>
              <w:rPr>
                <w:rFonts w:ascii="Arial"/>
                <w:sz w:val="21"/>
              </w:rPr>
            </w:pPr>
          </w:p>
        </w:tc>
        <w:tc>
          <w:tcPr>
            <w:tcW w:w="229" w:type="dxa"/>
            <w:tcBorders>
              <w:top w:val="single" w:color="000000" w:sz="2" w:space="0"/>
              <w:bottom w:val="single" w:color="000000" w:sz="2" w:space="0"/>
            </w:tcBorders>
            <w:vAlign w:val="top"/>
          </w:tcPr>
          <w:p w14:paraId="019E33F6">
            <w:pPr>
              <w:pStyle w:val="6"/>
              <w:spacing w:before="115" w:line="238" w:lineRule="auto"/>
              <w:ind w:left="48"/>
              <w:rPr>
                <w:sz w:val="13"/>
                <w:szCs w:val="13"/>
              </w:rPr>
            </w:pPr>
            <w:r>
              <w:rPr>
                <w:sz w:val="13"/>
                <w:szCs w:val="13"/>
              </w:rPr>
              <w:t>√</w:t>
            </w:r>
          </w:p>
        </w:tc>
        <w:tc>
          <w:tcPr>
            <w:tcW w:w="229" w:type="dxa"/>
            <w:tcBorders>
              <w:top w:val="single" w:color="000000" w:sz="2" w:space="0"/>
              <w:bottom w:val="single" w:color="000000" w:sz="2" w:space="0"/>
            </w:tcBorders>
            <w:vAlign w:val="top"/>
          </w:tcPr>
          <w:p w14:paraId="24FF9B60">
            <w:pPr>
              <w:rPr>
                <w:rFonts w:ascii="Arial"/>
                <w:sz w:val="21"/>
              </w:rPr>
            </w:pPr>
          </w:p>
        </w:tc>
        <w:tc>
          <w:tcPr>
            <w:tcW w:w="234" w:type="dxa"/>
            <w:tcBorders>
              <w:top w:val="single" w:color="000000" w:sz="2" w:space="0"/>
              <w:bottom w:val="single" w:color="000000" w:sz="2" w:space="0"/>
            </w:tcBorders>
            <w:vAlign w:val="top"/>
          </w:tcPr>
          <w:p w14:paraId="05C61698">
            <w:pPr>
              <w:rPr>
                <w:rFonts w:ascii="Arial"/>
                <w:sz w:val="21"/>
              </w:rPr>
            </w:pPr>
          </w:p>
        </w:tc>
      </w:tr>
      <w:tr w14:paraId="3B6353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5" w:hRule="atLeast"/>
        </w:trPr>
        <w:tc>
          <w:tcPr>
            <w:tcW w:w="883" w:type="dxa"/>
            <w:vMerge w:val="restart"/>
            <w:tcBorders>
              <w:top w:val="single" w:color="000000" w:sz="2" w:space="0"/>
              <w:bottom w:val="nil"/>
            </w:tcBorders>
            <w:vAlign w:val="top"/>
          </w:tcPr>
          <w:p w14:paraId="2A718F00">
            <w:pPr>
              <w:pStyle w:val="6"/>
              <w:spacing w:before="126" w:line="220" w:lineRule="auto"/>
              <w:ind w:left="75"/>
              <w:rPr>
                <w:sz w:val="18"/>
                <w:szCs w:val="18"/>
              </w:rPr>
            </w:pPr>
            <w:r>
              <w:rPr>
                <w:spacing w:val="7"/>
                <w:sz w:val="18"/>
                <w:szCs w:val="18"/>
              </w:rPr>
              <w:t>电梯与自</w:t>
            </w:r>
          </w:p>
          <w:p w14:paraId="0B850020">
            <w:pPr>
              <w:pStyle w:val="6"/>
              <w:spacing w:before="5" w:line="220" w:lineRule="auto"/>
              <w:ind w:left="165"/>
              <w:rPr>
                <w:sz w:val="18"/>
                <w:szCs w:val="18"/>
              </w:rPr>
            </w:pPr>
            <w:r>
              <w:rPr>
                <w:spacing w:val="-2"/>
                <w:sz w:val="18"/>
                <w:szCs w:val="18"/>
              </w:rPr>
              <w:t>动扶梯</w:t>
            </w:r>
          </w:p>
        </w:tc>
        <w:tc>
          <w:tcPr>
            <w:tcW w:w="2324" w:type="dxa"/>
            <w:vMerge w:val="restart"/>
            <w:tcBorders>
              <w:top w:val="single" w:color="000000" w:sz="2" w:space="0"/>
              <w:bottom w:val="nil"/>
            </w:tcBorders>
            <w:vAlign w:val="top"/>
          </w:tcPr>
          <w:p w14:paraId="781A9E98">
            <w:pPr>
              <w:pStyle w:val="6"/>
              <w:spacing w:before="146" w:line="215" w:lineRule="auto"/>
              <w:ind w:left="2"/>
              <w:rPr>
                <w:sz w:val="18"/>
                <w:szCs w:val="18"/>
              </w:rPr>
            </w:pPr>
            <w:r>
              <w:rPr>
                <w:spacing w:val="-5"/>
                <w:sz w:val="18"/>
                <w:szCs w:val="18"/>
              </w:rPr>
              <w:t>1.</w:t>
            </w:r>
            <w:r>
              <w:rPr>
                <w:spacing w:val="-52"/>
                <w:sz w:val="18"/>
                <w:szCs w:val="18"/>
              </w:rPr>
              <w:t xml:space="preserve"> </w:t>
            </w:r>
            <w:r>
              <w:rPr>
                <w:spacing w:val="-5"/>
                <w:sz w:val="18"/>
                <w:szCs w:val="18"/>
              </w:rPr>
              <w:t>电梯</w:t>
            </w:r>
          </w:p>
          <w:p w14:paraId="36F8EE3C">
            <w:pPr>
              <w:pStyle w:val="6"/>
              <w:spacing w:line="219" w:lineRule="auto"/>
              <w:ind w:left="2"/>
              <w:rPr>
                <w:sz w:val="18"/>
                <w:szCs w:val="18"/>
              </w:rPr>
            </w:pPr>
            <w:r>
              <w:rPr>
                <w:spacing w:val="-7"/>
                <w:sz w:val="18"/>
                <w:szCs w:val="18"/>
              </w:rPr>
              <w:t>2.</w:t>
            </w:r>
            <w:r>
              <w:rPr>
                <w:spacing w:val="-50"/>
                <w:sz w:val="18"/>
                <w:szCs w:val="18"/>
              </w:rPr>
              <w:t xml:space="preserve"> </w:t>
            </w:r>
            <w:r>
              <w:rPr>
                <w:spacing w:val="-7"/>
                <w:sz w:val="18"/>
                <w:szCs w:val="18"/>
              </w:rPr>
              <w:t>自动扶梯</w:t>
            </w:r>
          </w:p>
        </w:tc>
        <w:tc>
          <w:tcPr>
            <w:tcW w:w="220" w:type="dxa"/>
            <w:tcBorders>
              <w:top w:val="single" w:color="000000" w:sz="2" w:space="0"/>
              <w:bottom w:val="single" w:color="000000" w:sz="2" w:space="0"/>
            </w:tcBorders>
            <w:vAlign w:val="top"/>
          </w:tcPr>
          <w:p w14:paraId="5B1776BE">
            <w:pPr>
              <w:pStyle w:val="6"/>
              <w:spacing w:before="106" w:line="238" w:lineRule="auto"/>
              <w:ind w:left="17"/>
              <w:rPr>
                <w:sz w:val="13"/>
                <w:szCs w:val="13"/>
              </w:rPr>
            </w:pPr>
            <w:r>
              <w:rPr>
                <w:sz w:val="13"/>
                <w:szCs w:val="13"/>
              </w:rPr>
              <w:t>√</w:t>
            </w:r>
          </w:p>
        </w:tc>
        <w:tc>
          <w:tcPr>
            <w:tcW w:w="229" w:type="dxa"/>
            <w:tcBorders>
              <w:top w:val="single" w:color="000000" w:sz="2" w:space="0"/>
              <w:bottom w:val="single" w:color="000000" w:sz="2" w:space="0"/>
            </w:tcBorders>
            <w:vAlign w:val="top"/>
          </w:tcPr>
          <w:p w14:paraId="272ED723">
            <w:pPr>
              <w:rPr>
                <w:rFonts w:ascii="Arial"/>
                <w:sz w:val="21"/>
              </w:rPr>
            </w:pPr>
          </w:p>
        </w:tc>
        <w:tc>
          <w:tcPr>
            <w:tcW w:w="229" w:type="dxa"/>
            <w:tcBorders>
              <w:top w:val="single" w:color="000000" w:sz="2" w:space="0"/>
              <w:bottom w:val="single" w:color="000000" w:sz="2" w:space="0"/>
            </w:tcBorders>
            <w:vAlign w:val="top"/>
          </w:tcPr>
          <w:p w14:paraId="65BC8C3B">
            <w:pPr>
              <w:rPr>
                <w:rFonts w:ascii="Arial"/>
                <w:sz w:val="21"/>
              </w:rPr>
            </w:pPr>
          </w:p>
        </w:tc>
        <w:tc>
          <w:tcPr>
            <w:tcW w:w="234" w:type="dxa"/>
            <w:tcBorders>
              <w:top w:val="single" w:color="000000" w:sz="2" w:space="0"/>
              <w:bottom w:val="single" w:color="000000" w:sz="2" w:space="0"/>
            </w:tcBorders>
            <w:vAlign w:val="top"/>
          </w:tcPr>
          <w:p w14:paraId="29BD67BF">
            <w:pPr>
              <w:rPr>
                <w:rFonts w:ascii="Arial"/>
                <w:sz w:val="21"/>
              </w:rPr>
            </w:pPr>
          </w:p>
        </w:tc>
      </w:tr>
      <w:tr w14:paraId="618A36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4" w:hRule="atLeast"/>
        </w:trPr>
        <w:tc>
          <w:tcPr>
            <w:tcW w:w="883" w:type="dxa"/>
            <w:vMerge w:val="continue"/>
            <w:tcBorders>
              <w:top w:val="nil"/>
              <w:bottom w:val="single" w:color="000000" w:sz="2" w:space="0"/>
            </w:tcBorders>
            <w:vAlign w:val="top"/>
          </w:tcPr>
          <w:p w14:paraId="520A5F26">
            <w:pPr>
              <w:rPr>
                <w:rFonts w:ascii="Arial"/>
                <w:sz w:val="21"/>
              </w:rPr>
            </w:pPr>
          </w:p>
        </w:tc>
        <w:tc>
          <w:tcPr>
            <w:tcW w:w="2324" w:type="dxa"/>
            <w:vMerge w:val="continue"/>
            <w:tcBorders>
              <w:top w:val="nil"/>
              <w:bottom w:val="single" w:color="000000" w:sz="2" w:space="0"/>
            </w:tcBorders>
            <w:vAlign w:val="top"/>
          </w:tcPr>
          <w:p w14:paraId="552B00CF">
            <w:pPr>
              <w:rPr>
                <w:rFonts w:ascii="Arial"/>
                <w:sz w:val="21"/>
              </w:rPr>
            </w:pPr>
          </w:p>
        </w:tc>
        <w:tc>
          <w:tcPr>
            <w:tcW w:w="220" w:type="dxa"/>
            <w:tcBorders>
              <w:top w:val="single" w:color="000000" w:sz="2" w:space="0"/>
              <w:bottom w:val="single" w:color="000000" w:sz="2" w:space="0"/>
            </w:tcBorders>
            <w:vAlign w:val="top"/>
          </w:tcPr>
          <w:p w14:paraId="31A0FD62">
            <w:pPr>
              <w:pStyle w:val="6"/>
              <w:spacing w:before="106" w:line="238" w:lineRule="auto"/>
              <w:ind w:left="17"/>
              <w:rPr>
                <w:sz w:val="13"/>
                <w:szCs w:val="13"/>
              </w:rPr>
            </w:pPr>
            <w:r>
              <w:rPr>
                <w:sz w:val="13"/>
                <w:szCs w:val="13"/>
              </w:rPr>
              <w:t>√</w:t>
            </w:r>
          </w:p>
        </w:tc>
        <w:tc>
          <w:tcPr>
            <w:tcW w:w="229" w:type="dxa"/>
            <w:tcBorders>
              <w:top w:val="single" w:color="000000" w:sz="2" w:space="0"/>
              <w:bottom w:val="single" w:color="000000" w:sz="2" w:space="0"/>
            </w:tcBorders>
            <w:vAlign w:val="top"/>
          </w:tcPr>
          <w:p w14:paraId="1CB95749">
            <w:pPr>
              <w:rPr>
                <w:rFonts w:ascii="Arial"/>
                <w:sz w:val="21"/>
              </w:rPr>
            </w:pPr>
          </w:p>
        </w:tc>
        <w:tc>
          <w:tcPr>
            <w:tcW w:w="229" w:type="dxa"/>
            <w:tcBorders>
              <w:top w:val="single" w:color="000000" w:sz="2" w:space="0"/>
              <w:bottom w:val="single" w:color="000000" w:sz="2" w:space="0"/>
            </w:tcBorders>
            <w:vAlign w:val="top"/>
          </w:tcPr>
          <w:p w14:paraId="6094730F">
            <w:pPr>
              <w:rPr>
                <w:rFonts w:ascii="Arial"/>
                <w:sz w:val="21"/>
              </w:rPr>
            </w:pPr>
          </w:p>
        </w:tc>
        <w:tc>
          <w:tcPr>
            <w:tcW w:w="234" w:type="dxa"/>
            <w:tcBorders>
              <w:top w:val="single" w:color="000000" w:sz="2" w:space="0"/>
              <w:bottom w:val="single" w:color="000000" w:sz="2" w:space="0"/>
            </w:tcBorders>
            <w:vAlign w:val="top"/>
          </w:tcPr>
          <w:p w14:paraId="76612320">
            <w:pPr>
              <w:rPr>
                <w:rFonts w:ascii="Arial"/>
                <w:sz w:val="21"/>
              </w:rPr>
            </w:pPr>
          </w:p>
        </w:tc>
      </w:tr>
      <w:tr w14:paraId="3036D8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4" w:hRule="atLeast"/>
        </w:trPr>
        <w:tc>
          <w:tcPr>
            <w:tcW w:w="883" w:type="dxa"/>
            <w:vMerge w:val="restart"/>
            <w:tcBorders>
              <w:top w:val="single" w:color="000000" w:sz="2" w:space="0"/>
              <w:bottom w:val="nil"/>
            </w:tcBorders>
            <w:vAlign w:val="top"/>
          </w:tcPr>
          <w:p w14:paraId="17FCC745">
            <w:pPr>
              <w:pStyle w:val="6"/>
              <w:spacing w:before="277" w:line="204" w:lineRule="auto"/>
              <w:ind w:left="165"/>
              <w:rPr>
                <w:sz w:val="18"/>
                <w:szCs w:val="18"/>
              </w:rPr>
            </w:pPr>
            <w:r>
              <w:rPr>
                <w:spacing w:val="4"/>
                <w:sz w:val="18"/>
                <w:szCs w:val="18"/>
              </w:rPr>
              <w:t>台阶与</w:t>
            </w:r>
          </w:p>
          <w:p w14:paraId="1A7A1B35">
            <w:pPr>
              <w:pStyle w:val="6"/>
              <w:spacing w:line="219" w:lineRule="auto"/>
              <w:ind w:left="254"/>
              <w:rPr>
                <w:sz w:val="18"/>
                <w:szCs w:val="18"/>
              </w:rPr>
            </w:pPr>
            <w:r>
              <w:rPr>
                <w:spacing w:val="-2"/>
                <w:sz w:val="18"/>
                <w:szCs w:val="18"/>
              </w:rPr>
              <w:t>坡道</w:t>
            </w:r>
          </w:p>
        </w:tc>
        <w:tc>
          <w:tcPr>
            <w:tcW w:w="2324" w:type="dxa"/>
            <w:vMerge w:val="restart"/>
            <w:tcBorders>
              <w:top w:val="single" w:color="000000" w:sz="2" w:space="0"/>
              <w:bottom w:val="nil"/>
            </w:tcBorders>
            <w:vAlign w:val="top"/>
          </w:tcPr>
          <w:p w14:paraId="7790F309">
            <w:pPr>
              <w:pStyle w:val="6"/>
              <w:spacing w:before="145" w:line="222" w:lineRule="auto"/>
              <w:ind w:left="2" w:right="127" w:firstLine="10"/>
              <w:rPr>
                <w:sz w:val="18"/>
                <w:szCs w:val="18"/>
              </w:rPr>
            </w:pPr>
            <w:r>
              <w:rPr>
                <w:spacing w:val="1"/>
                <w:sz w:val="18"/>
                <w:szCs w:val="18"/>
              </w:rPr>
              <w:t>1.台阶与坡道的最佳坡度和</w:t>
            </w:r>
            <w:r>
              <w:rPr>
                <w:sz w:val="18"/>
                <w:szCs w:val="18"/>
              </w:rPr>
              <w:t xml:space="preserve"> </w:t>
            </w:r>
            <w:r>
              <w:rPr>
                <w:spacing w:val="-2"/>
                <w:sz w:val="18"/>
                <w:szCs w:val="18"/>
              </w:rPr>
              <w:t>尺度</w:t>
            </w:r>
          </w:p>
          <w:p w14:paraId="6ED5A977">
            <w:pPr>
              <w:pStyle w:val="6"/>
              <w:spacing w:before="18" w:line="220" w:lineRule="auto"/>
              <w:ind w:left="2"/>
              <w:rPr>
                <w:sz w:val="18"/>
                <w:szCs w:val="18"/>
              </w:rPr>
            </w:pPr>
            <w:r>
              <w:rPr>
                <w:spacing w:val="-1"/>
                <w:sz w:val="18"/>
                <w:szCs w:val="18"/>
              </w:rPr>
              <w:t>2.台阶与坡道的构造要求</w:t>
            </w:r>
          </w:p>
        </w:tc>
        <w:tc>
          <w:tcPr>
            <w:tcW w:w="220" w:type="dxa"/>
            <w:tcBorders>
              <w:top w:val="single" w:color="000000" w:sz="2" w:space="0"/>
              <w:bottom w:val="single" w:color="000000" w:sz="2" w:space="0"/>
            </w:tcBorders>
            <w:vAlign w:val="top"/>
          </w:tcPr>
          <w:p w14:paraId="09324E46">
            <w:pPr>
              <w:pStyle w:val="6"/>
              <w:spacing w:before="107" w:line="238" w:lineRule="auto"/>
              <w:ind w:left="17"/>
              <w:rPr>
                <w:sz w:val="13"/>
                <w:szCs w:val="13"/>
              </w:rPr>
            </w:pPr>
            <w:r>
              <w:rPr>
                <w:sz w:val="13"/>
                <w:szCs w:val="13"/>
              </w:rPr>
              <w:t>√</w:t>
            </w:r>
          </w:p>
        </w:tc>
        <w:tc>
          <w:tcPr>
            <w:tcW w:w="229" w:type="dxa"/>
            <w:tcBorders>
              <w:top w:val="single" w:color="000000" w:sz="2" w:space="0"/>
              <w:bottom w:val="single" w:color="000000" w:sz="2" w:space="0"/>
            </w:tcBorders>
            <w:vAlign w:val="top"/>
          </w:tcPr>
          <w:p w14:paraId="57CE640E">
            <w:pPr>
              <w:rPr>
                <w:rFonts w:ascii="Arial"/>
                <w:sz w:val="21"/>
              </w:rPr>
            </w:pPr>
          </w:p>
        </w:tc>
        <w:tc>
          <w:tcPr>
            <w:tcW w:w="229" w:type="dxa"/>
            <w:tcBorders>
              <w:top w:val="single" w:color="000000" w:sz="2" w:space="0"/>
              <w:bottom w:val="single" w:color="000000" w:sz="2" w:space="0"/>
            </w:tcBorders>
            <w:vAlign w:val="top"/>
          </w:tcPr>
          <w:p w14:paraId="0C0E4B34">
            <w:pPr>
              <w:rPr>
                <w:rFonts w:ascii="Arial"/>
                <w:sz w:val="21"/>
              </w:rPr>
            </w:pPr>
          </w:p>
        </w:tc>
        <w:tc>
          <w:tcPr>
            <w:tcW w:w="234" w:type="dxa"/>
            <w:tcBorders>
              <w:top w:val="single" w:color="000000" w:sz="2" w:space="0"/>
              <w:bottom w:val="single" w:color="000000" w:sz="2" w:space="0"/>
            </w:tcBorders>
            <w:vAlign w:val="top"/>
          </w:tcPr>
          <w:p w14:paraId="12142B32">
            <w:pPr>
              <w:rPr>
                <w:rFonts w:ascii="Arial"/>
                <w:sz w:val="21"/>
              </w:rPr>
            </w:pPr>
          </w:p>
        </w:tc>
      </w:tr>
      <w:tr w14:paraId="6085CB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9" w:hRule="atLeast"/>
        </w:trPr>
        <w:tc>
          <w:tcPr>
            <w:tcW w:w="883" w:type="dxa"/>
            <w:vMerge w:val="continue"/>
            <w:tcBorders>
              <w:top w:val="nil"/>
              <w:bottom w:val="single" w:color="000000" w:sz="2" w:space="0"/>
            </w:tcBorders>
            <w:vAlign w:val="top"/>
          </w:tcPr>
          <w:p w14:paraId="0EE853CB">
            <w:pPr>
              <w:rPr>
                <w:rFonts w:ascii="Arial"/>
                <w:sz w:val="21"/>
              </w:rPr>
            </w:pPr>
          </w:p>
        </w:tc>
        <w:tc>
          <w:tcPr>
            <w:tcW w:w="2324" w:type="dxa"/>
            <w:vMerge w:val="continue"/>
            <w:tcBorders>
              <w:top w:val="nil"/>
              <w:bottom w:val="single" w:color="000000" w:sz="2" w:space="0"/>
            </w:tcBorders>
            <w:vAlign w:val="top"/>
          </w:tcPr>
          <w:p w14:paraId="65E89344">
            <w:pPr>
              <w:rPr>
                <w:rFonts w:ascii="Arial"/>
                <w:sz w:val="21"/>
              </w:rPr>
            </w:pPr>
          </w:p>
        </w:tc>
        <w:tc>
          <w:tcPr>
            <w:tcW w:w="220" w:type="dxa"/>
            <w:tcBorders>
              <w:top w:val="single" w:color="000000" w:sz="2" w:space="0"/>
              <w:bottom w:val="single" w:color="000000" w:sz="2" w:space="0"/>
            </w:tcBorders>
            <w:vAlign w:val="top"/>
          </w:tcPr>
          <w:p w14:paraId="3205733E">
            <w:pPr>
              <w:rPr>
                <w:rFonts w:ascii="Arial"/>
                <w:sz w:val="21"/>
              </w:rPr>
            </w:pPr>
          </w:p>
        </w:tc>
        <w:tc>
          <w:tcPr>
            <w:tcW w:w="229" w:type="dxa"/>
            <w:tcBorders>
              <w:top w:val="single" w:color="000000" w:sz="2" w:space="0"/>
              <w:bottom w:val="single" w:color="000000" w:sz="2" w:space="0"/>
            </w:tcBorders>
            <w:vAlign w:val="top"/>
          </w:tcPr>
          <w:p w14:paraId="03EE0533">
            <w:pPr>
              <w:pStyle w:val="6"/>
              <w:spacing w:before="248" w:line="238" w:lineRule="auto"/>
              <w:ind w:left="48"/>
              <w:rPr>
                <w:sz w:val="13"/>
                <w:szCs w:val="13"/>
              </w:rPr>
            </w:pPr>
            <w:r>
              <w:rPr>
                <w:sz w:val="13"/>
                <w:szCs w:val="13"/>
              </w:rPr>
              <w:t>√</w:t>
            </w:r>
          </w:p>
        </w:tc>
        <w:tc>
          <w:tcPr>
            <w:tcW w:w="229" w:type="dxa"/>
            <w:tcBorders>
              <w:top w:val="single" w:color="000000" w:sz="2" w:space="0"/>
              <w:bottom w:val="single" w:color="000000" w:sz="2" w:space="0"/>
            </w:tcBorders>
            <w:vAlign w:val="top"/>
          </w:tcPr>
          <w:p w14:paraId="261EAB05">
            <w:pPr>
              <w:rPr>
                <w:rFonts w:ascii="Arial"/>
                <w:sz w:val="21"/>
              </w:rPr>
            </w:pPr>
          </w:p>
        </w:tc>
        <w:tc>
          <w:tcPr>
            <w:tcW w:w="234" w:type="dxa"/>
            <w:tcBorders>
              <w:top w:val="single" w:color="000000" w:sz="2" w:space="0"/>
              <w:bottom w:val="single" w:color="000000" w:sz="2" w:space="0"/>
            </w:tcBorders>
            <w:vAlign w:val="top"/>
          </w:tcPr>
          <w:p w14:paraId="2A768425">
            <w:pPr>
              <w:rPr>
                <w:rFonts w:ascii="Arial"/>
                <w:sz w:val="21"/>
              </w:rPr>
            </w:pPr>
          </w:p>
        </w:tc>
      </w:tr>
    </w:tbl>
    <w:p w14:paraId="59FF5FE4">
      <w:pPr>
        <w:pStyle w:val="2"/>
        <w:spacing w:line="14" w:lineRule="auto"/>
        <w:rPr>
          <w:sz w:val="2"/>
        </w:rPr>
      </w:pPr>
    </w:p>
    <w:p w14:paraId="5B59A037">
      <w:pPr>
        <w:spacing w:line="14" w:lineRule="auto"/>
        <w:rPr>
          <w:sz w:val="2"/>
          <w:szCs w:val="2"/>
        </w:rPr>
        <w:sectPr>
          <w:type w:val="continuous"/>
          <w:pgSz w:w="10660" w:h="15080"/>
          <w:pgMar w:top="400" w:right="875" w:bottom="925" w:left="1095" w:header="0" w:footer="705" w:gutter="0"/>
          <w:cols w:equalWidth="0" w:num="2">
            <w:col w:w="4380" w:space="100"/>
            <w:col w:w="4210"/>
          </w:cols>
        </w:sectPr>
      </w:pPr>
    </w:p>
    <w:p w14:paraId="3D1F526C">
      <w:pPr>
        <w:spacing w:before="80"/>
      </w:pPr>
    </w:p>
    <w:p w14:paraId="3912CFF1">
      <w:pPr>
        <w:spacing w:before="79"/>
      </w:pPr>
    </w:p>
    <w:p w14:paraId="32B9E35A">
      <w:pPr>
        <w:spacing w:before="79"/>
      </w:pPr>
    </w:p>
    <w:p w14:paraId="55DEF9BD">
      <w:pPr>
        <w:sectPr>
          <w:footerReference r:id="rId46" w:type="default"/>
          <w:pgSz w:w="10660" w:h="15080"/>
          <w:pgMar w:top="400" w:right="1034" w:bottom="927" w:left="819" w:header="0" w:footer="719" w:gutter="0"/>
          <w:cols w:equalWidth="0" w:num="1">
            <w:col w:w="8806"/>
          </w:cols>
        </w:sectPr>
      </w:pPr>
    </w:p>
    <w:p w14:paraId="3C05AD15">
      <w:pPr>
        <w:spacing w:before="40" w:line="221" w:lineRule="auto"/>
        <w:ind w:left="1552"/>
        <w:rPr>
          <w:rFonts w:ascii="黑体" w:hAnsi="黑体" w:eastAsia="黑体" w:cs="黑体"/>
          <w:sz w:val="20"/>
          <w:szCs w:val="20"/>
        </w:rPr>
      </w:pPr>
      <w:bookmarkStart w:id="36" w:name="bookmark32"/>
      <w:bookmarkEnd w:id="36"/>
      <w:r>
        <w:rPr>
          <w:rFonts w:ascii="黑体" w:hAnsi="黑体" w:eastAsia="黑体" w:cs="黑体"/>
          <w:b/>
          <w:bCs/>
          <w:spacing w:val="-9"/>
          <w:sz w:val="20"/>
          <w:szCs w:val="20"/>
        </w:rPr>
        <w:t>第九章</w:t>
      </w:r>
      <w:r>
        <w:rPr>
          <w:rFonts w:ascii="黑体" w:hAnsi="黑体" w:eastAsia="黑体" w:cs="黑体"/>
          <w:spacing w:val="9"/>
          <w:sz w:val="20"/>
          <w:szCs w:val="20"/>
        </w:rPr>
        <w:t xml:space="preserve">  </w:t>
      </w:r>
      <w:r>
        <w:rPr>
          <w:rFonts w:ascii="黑体" w:hAnsi="黑体" w:eastAsia="黑体" w:cs="黑体"/>
          <w:b/>
          <w:bCs/>
          <w:spacing w:val="-9"/>
          <w:sz w:val="20"/>
          <w:szCs w:val="20"/>
        </w:rPr>
        <w:t>屋顶</w:t>
      </w:r>
    </w:p>
    <w:p w14:paraId="0079350B">
      <w:pPr>
        <w:spacing w:line="91" w:lineRule="exact"/>
      </w:pPr>
    </w:p>
    <w:tbl>
      <w:tblPr>
        <w:tblStyle w:val="5"/>
        <w:tblW w:w="4130"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14"/>
        <w:gridCol w:w="230"/>
        <w:gridCol w:w="230"/>
        <w:gridCol w:w="219"/>
        <w:gridCol w:w="244"/>
      </w:tblGrid>
      <w:tr w14:paraId="163EF1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4" w:hRule="atLeast"/>
        </w:trPr>
        <w:tc>
          <w:tcPr>
            <w:tcW w:w="893" w:type="dxa"/>
            <w:vMerge w:val="restart"/>
            <w:tcBorders>
              <w:bottom w:val="nil"/>
            </w:tcBorders>
            <w:vAlign w:val="top"/>
          </w:tcPr>
          <w:p w14:paraId="7C45775E">
            <w:pPr>
              <w:pStyle w:val="6"/>
              <w:spacing w:before="121" w:line="218" w:lineRule="auto"/>
              <w:ind w:left="77" w:right="93" w:firstLine="90"/>
              <w:rPr>
                <w:sz w:val="18"/>
                <w:szCs w:val="18"/>
              </w:rPr>
            </w:pPr>
            <w:r>
              <w:rPr>
                <w:b/>
                <w:bCs/>
                <w:spacing w:val="1"/>
                <w:sz w:val="18"/>
                <w:szCs w:val="18"/>
              </w:rPr>
              <w:t>知识与</w:t>
            </w:r>
            <w:r>
              <w:rPr>
                <w:sz w:val="18"/>
                <w:szCs w:val="18"/>
              </w:rPr>
              <w:t xml:space="preserve">  </w:t>
            </w:r>
            <w:r>
              <w:rPr>
                <w:b/>
                <w:bCs/>
                <w:spacing w:val="-4"/>
                <w:sz w:val="18"/>
                <w:szCs w:val="18"/>
              </w:rPr>
              <w:t>技能要点</w:t>
            </w:r>
          </w:p>
        </w:tc>
        <w:tc>
          <w:tcPr>
            <w:tcW w:w="2314" w:type="dxa"/>
            <w:vMerge w:val="restart"/>
            <w:tcBorders>
              <w:bottom w:val="nil"/>
            </w:tcBorders>
            <w:vAlign w:val="top"/>
          </w:tcPr>
          <w:p w14:paraId="52FDFFB5">
            <w:pPr>
              <w:pStyle w:val="6"/>
              <w:spacing w:before="229" w:line="219" w:lineRule="auto"/>
              <w:ind w:left="834"/>
              <w:rPr>
                <w:sz w:val="18"/>
                <w:szCs w:val="18"/>
              </w:rPr>
            </w:pPr>
            <w:r>
              <w:rPr>
                <w:b/>
                <w:bCs/>
                <w:spacing w:val="5"/>
                <w:sz w:val="18"/>
                <w:szCs w:val="18"/>
              </w:rPr>
              <w:t>考试条目</w:t>
            </w:r>
          </w:p>
        </w:tc>
        <w:tc>
          <w:tcPr>
            <w:tcW w:w="923" w:type="dxa"/>
            <w:gridSpan w:val="4"/>
            <w:vAlign w:val="top"/>
          </w:tcPr>
          <w:p w14:paraId="4D0853F8">
            <w:pPr>
              <w:pStyle w:val="6"/>
              <w:spacing w:before="69" w:line="219" w:lineRule="auto"/>
              <w:ind w:left="130"/>
              <w:rPr>
                <w:sz w:val="18"/>
                <w:szCs w:val="18"/>
              </w:rPr>
            </w:pPr>
            <w:r>
              <w:rPr>
                <w:b/>
                <w:bCs/>
                <w:spacing w:val="-4"/>
                <w:sz w:val="18"/>
                <w:szCs w:val="18"/>
              </w:rPr>
              <w:t>考试水平</w:t>
            </w:r>
          </w:p>
        </w:tc>
      </w:tr>
      <w:tr w14:paraId="1806F2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893" w:type="dxa"/>
            <w:vMerge w:val="continue"/>
            <w:tcBorders>
              <w:top w:val="nil"/>
            </w:tcBorders>
            <w:vAlign w:val="top"/>
          </w:tcPr>
          <w:p w14:paraId="36E33472">
            <w:pPr>
              <w:rPr>
                <w:rFonts w:ascii="Arial"/>
                <w:sz w:val="21"/>
              </w:rPr>
            </w:pPr>
          </w:p>
        </w:tc>
        <w:tc>
          <w:tcPr>
            <w:tcW w:w="2314" w:type="dxa"/>
            <w:vMerge w:val="continue"/>
            <w:tcBorders>
              <w:top w:val="nil"/>
            </w:tcBorders>
            <w:vAlign w:val="top"/>
          </w:tcPr>
          <w:p w14:paraId="6BCDC0F3">
            <w:pPr>
              <w:rPr>
                <w:rFonts w:ascii="Arial"/>
                <w:sz w:val="21"/>
              </w:rPr>
            </w:pPr>
          </w:p>
        </w:tc>
        <w:tc>
          <w:tcPr>
            <w:tcW w:w="230" w:type="dxa"/>
            <w:vAlign w:val="top"/>
          </w:tcPr>
          <w:p w14:paraId="6359E752">
            <w:pPr>
              <w:pStyle w:val="6"/>
              <w:spacing w:before="103" w:line="184" w:lineRule="auto"/>
              <w:ind w:left="70"/>
              <w:rPr>
                <w:sz w:val="18"/>
                <w:szCs w:val="18"/>
              </w:rPr>
            </w:pPr>
            <w:r>
              <w:rPr>
                <w:b/>
                <w:bCs/>
                <w:spacing w:val="-2"/>
                <w:sz w:val="18"/>
                <w:szCs w:val="18"/>
              </w:rPr>
              <w:t>A</w:t>
            </w:r>
          </w:p>
        </w:tc>
        <w:tc>
          <w:tcPr>
            <w:tcW w:w="230" w:type="dxa"/>
            <w:vAlign w:val="top"/>
          </w:tcPr>
          <w:p w14:paraId="48D4B046">
            <w:pPr>
              <w:pStyle w:val="6"/>
              <w:spacing w:before="105" w:line="182" w:lineRule="auto"/>
              <w:ind w:left="70"/>
              <w:rPr>
                <w:sz w:val="18"/>
                <w:szCs w:val="18"/>
              </w:rPr>
            </w:pPr>
            <w:r>
              <w:rPr>
                <w:b/>
                <w:bCs/>
                <w:spacing w:val="-2"/>
                <w:sz w:val="18"/>
                <w:szCs w:val="18"/>
              </w:rPr>
              <w:t>B</w:t>
            </w:r>
          </w:p>
        </w:tc>
        <w:tc>
          <w:tcPr>
            <w:tcW w:w="219" w:type="dxa"/>
            <w:vAlign w:val="top"/>
          </w:tcPr>
          <w:p w14:paraId="7DE6D557">
            <w:pPr>
              <w:pStyle w:val="6"/>
              <w:spacing w:before="103" w:line="183" w:lineRule="auto"/>
              <w:ind w:left="60"/>
              <w:rPr>
                <w:sz w:val="18"/>
                <w:szCs w:val="18"/>
              </w:rPr>
            </w:pPr>
            <w:r>
              <w:rPr>
                <w:b/>
                <w:bCs/>
                <w:spacing w:val="-2"/>
                <w:sz w:val="18"/>
                <w:szCs w:val="18"/>
              </w:rPr>
              <w:t>C</w:t>
            </w:r>
          </w:p>
        </w:tc>
        <w:tc>
          <w:tcPr>
            <w:tcW w:w="244" w:type="dxa"/>
            <w:vAlign w:val="top"/>
          </w:tcPr>
          <w:p w14:paraId="3751C30C">
            <w:pPr>
              <w:pStyle w:val="6"/>
              <w:spacing w:before="105" w:line="182" w:lineRule="auto"/>
              <w:ind w:left="21"/>
              <w:rPr>
                <w:sz w:val="18"/>
                <w:szCs w:val="18"/>
              </w:rPr>
            </w:pPr>
            <w:r>
              <w:rPr>
                <w:b/>
                <w:bCs/>
                <w:spacing w:val="-2"/>
                <w:sz w:val="18"/>
                <w:szCs w:val="18"/>
              </w:rPr>
              <w:t>D</w:t>
            </w:r>
          </w:p>
        </w:tc>
      </w:tr>
      <w:tr w14:paraId="0C49FB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0" w:hRule="atLeast"/>
        </w:trPr>
        <w:tc>
          <w:tcPr>
            <w:tcW w:w="893" w:type="dxa"/>
            <w:vMerge w:val="restart"/>
            <w:tcBorders>
              <w:bottom w:val="nil"/>
            </w:tcBorders>
            <w:vAlign w:val="top"/>
          </w:tcPr>
          <w:p w14:paraId="1AC166DC">
            <w:pPr>
              <w:pStyle w:val="6"/>
              <w:spacing w:before="119" w:line="219" w:lineRule="auto"/>
              <w:ind w:left="74"/>
              <w:rPr>
                <w:sz w:val="18"/>
                <w:szCs w:val="18"/>
              </w:rPr>
            </w:pPr>
            <w:r>
              <w:rPr>
                <w:spacing w:val="-2"/>
                <w:sz w:val="18"/>
                <w:szCs w:val="18"/>
              </w:rPr>
              <w:t>屋顶分类</w:t>
            </w:r>
          </w:p>
          <w:p w14:paraId="68E1F009">
            <w:pPr>
              <w:pStyle w:val="6"/>
              <w:spacing w:before="27" w:line="221" w:lineRule="auto"/>
              <w:ind w:left="165"/>
              <w:rPr>
                <w:sz w:val="18"/>
                <w:szCs w:val="18"/>
              </w:rPr>
            </w:pPr>
            <w:r>
              <w:rPr>
                <w:spacing w:val="-2"/>
                <w:sz w:val="18"/>
                <w:szCs w:val="18"/>
              </w:rPr>
              <w:t>和要求</w:t>
            </w:r>
          </w:p>
        </w:tc>
        <w:tc>
          <w:tcPr>
            <w:tcW w:w="2314" w:type="dxa"/>
            <w:vMerge w:val="restart"/>
            <w:tcBorders>
              <w:bottom w:val="nil"/>
            </w:tcBorders>
            <w:vAlign w:val="top"/>
          </w:tcPr>
          <w:p w14:paraId="5C4076F9">
            <w:pPr>
              <w:pStyle w:val="6"/>
              <w:spacing w:before="139" w:line="205" w:lineRule="auto"/>
              <w:ind w:left="2"/>
              <w:rPr>
                <w:sz w:val="18"/>
                <w:szCs w:val="18"/>
              </w:rPr>
            </w:pPr>
            <w:r>
              <w:rPr>
                <w:spacing w:val="1"/>
                <w:sz w:val="18"/>
                <w:szCs w:val="18"/>
              </w:rPr>
              <w:t>1.屋顶的类型</w:t>
            </w:r>
          </w:p>
          <w:p w14:paraId="4B6F6CA6">
            <w:pPr>
              <w:pStyle w:val="6"/>
              <w:spacing w:line="219" w:lineRule="auto"/>
              <w:ind w:left="2"/>
              <w:rPr>
                <w:sz w:val="18"/>
                <w:szCs w:val="18"/>
              </w:rPr>
            </w:pPr>
            <w:r>
              <w:rPr>
                <w:spacing w:val="-1"/>
                <w:sz w:val="18"/>
                <w:szCs w:val="18"/>
              </w:rPr>
              <w:t>2.屋顶的设计要求</w:t>
            </w:r>
          </w:p>
        </w:tc>
        <w:tc>
          <w:tcPr>
            <w:tcW w:w="230" w:type="dxa"/>
            <w:vAlign w:val="top"/>
          </w:tcPr>
          <w:p w14:paraId="3FFDA081">
            <w:pPr>
              <w:pStyle w:val="6"/>
              <w:spacing w:before="100" w:line="238" w:lineRule="auto"/>
              <w:ind w:left="47"/>
              <w:rPr>
                <w:sz w:val="13"/>
                <w:szCs w:val="13"/>
              </w:rPr>
            </w:pPr>
            <w:r>
              <w:rPr>
                <w:sz w:val="13"/>
                <w:szCs w:val="13"/>
              </w:rPr>
              <w:t>√</w:t>
            </w:r>
          </w:p>
        </w:tc>
        <w:tc>
          <w:tcPr>
            <w:tcW w:w="230" w:type="dxa"/>
            <w:vAlign w:val="top"/>
          </w:tcPr>
          <w:p w14:paraId="5D989FF8">
            <w:pPr>
              <w:rPr>
                <w:rFonts w:ascii="Arial"/>
                <w:sz w:val="21"/>
              </w:rPr>
            </w:pPr>
          </w:p>
        </w:tc>
        <w:tc>
          <w:tcPr>
            <w:tcW w:w="219" w:type="dxa"/>
            <w:vAlign w:val="top"/>
          </w:tcPr>
          <w:p w14:paraId="017294CE">
            <w:pPr>
              <w:rPr>
                <w:rFonts w:ascii="Arial"/>
                <w:sz w:val="21"/>
              </w:rPr>
            </w:pPr>
          </w:p>
        </w:tc>
        <w:tc>
          <w:tcPr>
            <w:tcW w:w="244" w:type="dxa"/>
            <w:vAlign w:val="top"/>
          </w:tcPr>
          <w:p w14:paraId="3BF73BD5">
            <w:pPr>
              <w:rPr>
                <w:rFonts w:ascii="Arial"/>
                <w:sz w:val="21"/>
              </w:rPr>
            </w:pPr>
          </w:p>
        </w:tc>
      </w:tr>
      <w:tr w14:paraId="748228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893" w:type="dxa"/>
            <w:vMerge w:val="continue"/>
            <w:tcBorders>
              <w:top w:val="nil"/>
            </w:tcBorders>
            <w:vAlign w:val="top"/>
          </w:tcPr>
          <w:p w14:paraId="2DBED59B">
            <w:pPr>
              <w:rPr>
                <w:rFonts w:ascii="Arial"/>
                <w:sz w:val="21"/>
              </w:rPr>
            </w:pPr>
          </w:p>
        </w:tc>
        <w:tc>
          <w:tcPr>
            <w:tcW w:w="2314" w:type="dxa"/>
            <w:vMerge w:val="continue"/>
            <w:tcBorders>
              <w:top w:val="nil"/>
            </w:tcBorders>
            <w:vAlign w:val="top"/>
          </w:tcPr>
          <w:p w14:paraId="6883D090">
            <w:pPr>
              <w:rPr>
                <w:rFonts w:ascii="Arial"/>
                <w:sz w:val="21"/>
              </w:rPr>
            </w:pPr>
          </w:p>
        </w:tc>
        <w:tc>
          <w:tcPr>
            <w:tcW w:w="230" w:type="dxa"/>
            <w:vAlign w:val="top"/>
          </w:tcPr>
          <w:p w14:paraId="69712E14">
            <w:pPr>
              <w:pStyle w:val="6"/>
              <w:spacing w:before="100" w:line="238" w:lineRule="auto"/>
              <w:ind w:left="47"/>
              <w:rPr>
                <w:sz w:val="13"/>
                <w:szCs w:val="13"/>
              </w:rPr>
            </w:pPr>
            <w:r>
              <w:rPr>
                <w:sz w:val="13"/>
                <w:szCs w:val="13"/>
              </w:rPr>
              <w:t>√</w:t>
            </w:r>
          </w:p>
        </w:tc>
        <w:tc>
          <w:tcPr>
            <w:tcW w:w="230" w:type="dxa"/>
            <w:vAlign w:val="top"/>
          </w:tcPr>
          <w:p w14:paraId="1FE994F6">
            <w:pPr>
              <w:rPr>
                <w:rFonts w:ascii="Arial"/>
                <w:sz w:val="21"/>
              </w:rPr>
            </w:pPr>
          </w:p>
        </w:tc>
        <w:tc>
          <w:tcPr>
            <w:tcW w:w="219" w:type="dxa"/>
            <w:vAlign w:val="top"/>
          </w:tcPr>
          <w:p w14:paraId="35330913">
            <w:pPr>
              <w:rPr>
                <w:rFonts w:ascii="Arial"/>
                <w:sz w:val="21"/>
              </w:rPr>
            </w:pPr>
          </w:p>
        </w:tc>
        <w:tc>
          <w:tcPr>
            <w:tcW w:w="244" w:type="dxa"/>
            <w:vAlign w:val="top"/>
          </w:tcPr>
          <w:p w14:paraId="2381265B">
            <w:pPr>
              <w:rPr>
                <w:rFonts w:ascii="Arial"/>
                <w:sz w:val="21"/>
              </w:rPr>
            </w:pPr>
          </w:p>
        </w:tc>
      </w:tr>
      <w:tr w14:paraId="20405C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893" w:type="dxa"/>
            <w:vMerge w:val="restart"/>
            <w:tcBorders>
              <w:bottom w:val="nil"/>
            </w:tcBorders>
            <w:vAlign w:val="top"/>
          </w:tcPr>
          <w:p w14:paraId="49A5A5F1">
            <w:pPr>
              <w:spacing w:line="358" w:lineRule="auto"/>
              <w:rPr>
                <w:rFonts w:ascii="Arial"/>
                <w:sz w:val="21"/>
              </w:rPr>
            </w:pPr>
          </w:p>
          <w:p w14:paraId="0A51B012">
            <w:pPr>
              <w:spacing w:line="359" w:lineRule="auto"/>
              <w:rPr>
                <w:rFonts w:ascii="Arial"/>
                <w:sz w:val="21"/>
              </w:rPr>
            </w:pPr>
          </w:p>
          <w:p w14:paraId="258A3177">
            <w:pPr>
              <w:pStyle w:val="6"/>
              <w:spacing w:before="59" w:line="219" w:lineRule="auto"/>
              <w:ind w:left="165"/>
              <w:rPr>
                <w:sz w:val="18"/>
                <w:szCs w:val="18"/>
              </w:rPr>
            </w:pPr>
            <w:r>
              <w:rPr>
                <w:spacing w:val="-2"/>
                <w:sz w:val="18"/>
                <w:szCs w:val="18"/>
              </w:rPr>
              <w:t>平屋顶</w:t>
            </w:r>
          </w:p>
        </w:tc>
        <w:tc>
          <w:tcPr>
            <w:tcW w:w="2314" w:type="dxa"/>
            <w:vMerge w:val="restart"/>
            <w:tcBorders>
              <w:bottom w:val="nil"/>
            </w:tcBorders>
            <w:vAlign w:val="top"/>
          </w:tcPr>
          <w:p w14:paraId="2779311F">
            <w:pPr>
              <w:pStyle w:val="6"/>
              <w:spacing w:before="110" w:line="217" w:lineRule="auto"/>
              <w:ind w:left="2" w:right="1033"/>
              <w:rPr>
                <w:sz w:val="18"/>
                <w:szCs w:val="18"/>
              </w:rPr>
            </w:pPr>
            <w:r>
              <w:rPr>
                <w:spacing w:val="1"/>
                <w:sz w:val="18"/>
                <w:szCs w:val="18"/>
              </w:rPr>
              <w:t>1.平屋顶的组成</w:t>
            </w:r>
            <w:r>
              <w:rPr>
                <w:sz w:val="18"/>
                <w:szCs w:val="18"/>
              </w:rPr>
              <w:t xml:space="preserve"> </w:t>
            </w:r>
            <w:r>
              <w:rPr>
                <w:spacing w:val="-2"/>
                <w:sz w:val="18"/>
                <w:szCs w:val="18"/>
              </w:rPr>
              <w:t>2.平屋顶的排水</w:t>
            </w:r>
          </w:p>
          <w:p w14:paraId="50B7AE09">
            <w:pPr>
              <w:pStyle w:val="6"/>
              <w:spacing w:before="7" w:line="222" w:lineRule="auto"/>
              <w:ind w:left="2" w:right="152"/>
              <w:rPr>
                <w:sz w:val="18"/>
                <w:szCs w:val="18"/>
              </w:rPr>
            </w:pPr>
            <w:r>
              <w:rPr>
                <w:spacing w:val="-1"/>
                <w:sz w:val="18"/>
                <w:szCs w:val="18"/>
              </w:rPr>
              <w:t>3.平屋顶的刚性防水、柔性</w:t>
            </w:r>
            <w:r>
              <w:rPr>
                <w:spacing w:val="1"/>
                <w:sz w:val="18"/>
                <w:szCs w:val="18"/>
              </w:rPr>
              <w:t xml:space="preserve"> 防水构造</w:t>
            </w:r>
          </w:p>
          <w:p w14:paraId="27A85178">
            <w:pPr>
              <w:pStyle w:val="6"/>
              <w:spacing w:before="6" w:line="212" w:lineRule="auto"/>
              <w:ind w:left="2" w:right="138" w:firstLine="9"/>
              <w:rPr>
                <w:sz w:val="18"/>
                <w:szCs w:val="18"/>
              </w:rPr>
            </w:pPr>
            <w:r>
              <w:rPr>
                <w:spacing w:val="-1"/>
                <w:sz w:val="18"/>
                <w:szCs w:val="18"/>
              </w:rPr>
              <w:t>4.平屋顶的保温、隔热与细</w:t>
            </w:r>
            <w:r>
              <w:rPr>
                <w:spacing w:val="5"/>
                <w:sz w:val="18"/>
                <w:szCs w:val="18"/>
              </w:rPr>
              <w:t xml:space="preserve"> </w:t>
            </w:r>
            <w:r>
              <w:rPr>
                <w:spacing w:val="-3"/>
                <w:sz w:val="18"/>
                <w:szCs w:val="18"/>
              </w:rPr>
              <w:t>部构造</w:t>
            </w:r>
          </w:p>
        </w:tc>
        <w:tc>
          <w:tcPr>
            <w:tcW w:w="230" w:type="dxa"/>
            <w:vAlign w:val="top"/>
          </w:tcPr>
          <w:p w14:paraId="54B39793">
            <w:pPr>
              <w:pStyle w:val="6"/>
              <w:spacing w:before="101" w:line="238" w:lineRule="auto"/>
              <w:ind w:left="47"/>
              <w:rPr>
                <w:sz w:val="13"/>
                <w:szCs w:val="13"/>
              </w:rPr>
            </w:pPr>
            <w:r>
              <w:rPr>
                <w:sz w:val="13"/>
                <w:szCs w:val="13"/>
              </w:rPr>
              <w:t>√</w:t>
            </w:r>
          </w:p>
        </w:tc>
        <w:tc>
          <w:tcPr>
            <w:tcW w:w="230" w:type="dxa"/>
            <w:vAlign w:val="top"/>
          </w:tcPr>
          <w:p w14:paraId="3638D2F9">
            <w:pPr>
              <w:rPr>
                <w:rFonts w:ascii="Arial"/>
                <w:sz w:val="21"/>
              </w:rPr>
            </w:pPr>
          </w:p>
        </w:tc>
        <w:tc>
          <w:tcPr>
            <w:tcW w:w="219" w:type="dxa"/>
            <w:vAlign w:val="top"/>
          </w:tcPr>
          <w:p w14:paraId="2C32E150">
            <w:pPr>
              <w:rPr>
                <w:rFonts w:ascii="Arial"/>
                <w:sz w:val="21"/>
              </w:rPr>
            </w:pPr>
          </w:p>
        </w:tc>
        <w:tc>
          <w:tcPr>
            <w:tcW w:w="244" w:type="dxa"/>
            <w:vAlign w:val="top"/>
          </w:tcPr>
          <w:p w14:paraId="7C70E063">
            <w:pPr>
              <w:rPr>
                <w:rFonts w:ascii="Arial"/>
                <w:sz w:val="21"/>
              </w:rPr>
            </w:pPr>
          </w:p>
        </w:tc>
      </w:tr>
      <w:tr w14:paraId="770001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893" w:type="dxa"/>
            <w:vMerge w:val="continue"/>
            <w:tcBorders>
              <w:top w:val="nil"/>
              <w:bottom w:val="nil"/>
            </w:tcBorders>
            <w:vAlign w:val="top"/>
          </w:tcPr>
          <w:p w14:paraId="7A13A61C">
            <w:pPr>
              <w:rPr>
                <w:rFonts w:ascii="Arial"/>
                <w:sz w:val="21"/>
              </w:rPr>
            </w:pPr>
          </w:p>
        </w:tc>
        <w:tc>
          <w:tcPr>
            <w:tcW w:w="2314" w:type="dxa"/>
            <w:vMerge w:val="continue"/>
            <w:tcBorders>
              <w:top w:val="nil"/>
              <w:bottom w:val="nil"/>
            </w:tcBorders>
            <w:vAlign w:val="top"/>
          </w:tcPr>
          <w:p w14:paraId="184B3214">
            <w:pPr>
              <w:rPr>
                <w:rFonts w:ascii="Arial"/>
                <w:sz w:val="21"/>
              </w:rPr>
            </w:pPr>
          </w:p>
        </w:tc>
        <w:tc>
          <w:tcPr>
            <w:tcW w:w="230" w:type="dxa"/>
            <w:vAlign w:val="top"/>
          </w:tcPr>
          <w:p w14:paraId="479673B6">
            <w:pPr>
              <w:rPr>
                <w:rFonts w:ascii="Arial"/>
                <w:sz w:val="21"/>
              </w:rPr>
            </w:pPr>
          </w:p>
        </w:tc>
        <w:tc>
          <w:tcPr>
            <w:tcW w:w="230" w:type="dxa"/>
            <w:vAlign w:val="top"/>
          </w:tcPr>
          <w:p w14:paraId="34F12970">
            <w:pPr>
              <w:pStyle w:val="6"/>
              <w:spacing w:before="102" w:line="238" w:lineRule="auto"/>
              <w:ind w:left="18"/>
              <w:rPr>
                <w:sz w:val="13"/>
                <w:szCs w:val="13"/>
              </w:rPr>
            </w:pPr>
            <w:r>
              <w:rPr>
                <w:sz w:val="13"/>
                <w:szCs w:val="13"/>
              </w:rPr>
              <w:t>√</w:t>
            </w:r>
          </w:p>
        </w:tc>
        <w:tc>
          <w:tcPr>
            <w:tcW w:w="219" w:type="dxa"/>
            <w:vAlign w:val="top"/>
          </w:tcPr>
          <w:p w14:paraId="4FB565BB">
            <w:pPr>
              <w:rPr>
                <w:rFonts w:ascii="Arial"/>
                <w:sz w:val="21"/>
              </w:rPr>
            </w:pPr>
          </w:p>
        </w:tc>
        <w:tc>
          <w:tcPr>
            <w:tcW w:w="244" w:type="dxa"/>
            <w:vAlign w:val="top"/>
          </w:tcPr>
          <w:p w14:paraId="64004300">
            <w:pPr>
              <w:rPr>
                <w:rFonts w:ascii="Arial"/>
                <w:sz w:val="21"/>
              </w:rPr>
            </w:pPr>
          </w:p>
        </w:tc>
      </w:tr>
      <w:tr w14:paraId="451173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893" w:type="dxa"/>
            <w:vMerge w:val="continue"/>
            <w:tcBorders>
              <w:top w:val="nil"/>
              <w:bottom w:val="nil"/>
            </w:tcBorders>
            <w:vAlign w:val="top"/>
          </w:tcPr>
          <w:p w14:paraId="24F58249">
            <w:pPr>
              <w:rPr>
                <w:rFonts w:ascii="Arial"/>
                <w:sz w:val="21"/>
              </w:rPr>
            </w:pPr>
          </w:p>
        </w:tc>
        <w:tc>
          <w:tcPr>
            <w:tcW w:w="2314" w:type="dxa"/>
            <w:vMerge w:val="continue"/>
            <w:tcBorders>
              <w:top w:val="nil"/>
              <w:bottom w:val="nil"/>
            </w:tcBorders>
            <w:vAlign w:val="top"/>
          </w:tcPr>
          <w:p w14:paraId="432EFB90">
            <w:pPr>
              <w:rPr>
                <w:rFonts w:ascii="Arial"/>
                <w:sz w:val="21"/>
              </w:rPr>
            </w:pPr>
          </w:p>
        </w:tc>
        <w:tc>
          <w:tcPr>
            <w:tcW w:w="230" w:type="dxa"/>
            <w:vAlign w:val="top"/>
          </w:tcPr>
          <w:p w14:paraId="0F537980">
            <w:pPr>
              <w:rPr>
                <w:rFonts w:ascii="Arial"/>
                <w:sz w:val="21"/>
              </w:rPr>
            </w:pPr>
          </w:p>
        </w:tc>
        <w:tc>
          <w:tcPr>
            <w:tcW w:w="230" w:type="dxa"/>
            <w:vAlign w:val="top"/>
          </w:tcPr>
          <w:p w14:paraId="499F2167">
            <w:pPr>
              <w:rPr>
                <w:rFonts w:ascii="Arial"/>
                <w:sz w:val="21"/>
              </w:rPr>
            </w:pPr>
          </w:p>
        </w:tc>
        <w:tc>
          <w:tcPr>
            <w:tcW w:w="219" w:type="dxa"/>
            <w:vAlign w:val="top"/>
          </w:tcPr>
          <w:p w14:paraId="1E9D6D79">
            <w:pPr>
              <w:pStyle w:val="6"/>
              <w:spacing w:before="102" w:line="238" w:lineRule="auto"/>
              <w:ind w:left="48"/>
              <w:rPr>
                <w:sz w:val="12"/>
                <w:szCs w:val="12"/>
              </w:rPr>
            </w:pPr>
            <w:r>
              <w:rPr>
                <w:sz w:val="12"/>
                <w:szCs w:val="12"/>
              </w:rPr>
              <w:t>√</w:t>
            </w:r>
          </w:p>
        </w:tc>
        <w:tc>
          <w:tcPr>
            <w:tcW w:w="244" w:type="dxa"/>
            <w:vAlign w:val="top"/>
          </w:tcPr>
          <w:p w14:paraId="41241D73">
            <w:pPr>
              <w:rPr>
                <w:rFonts w:ascii="Arial"/>
                <w:sz w:val="21"/>
              </w:rPr>
            </w:pPr>
          </w:p>
        </w:tc>
      </w:tr>
      <w:tr w14:paraId="2CABD9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9" w:hRule="atLeast"/>
        </w:trPr>
        <w:tc>
          <w:tcPr>
            <w:tcW w:w="893" w:type="dxa"/>
            <w:vMerge w:val="continue"/>
            <w:tcBorders>
              <w:top w:val="nil"/>
            </w:tcBorders>
            <w:vAlign w:val="top"/>
          </w:tcPr>
          <w:p w14:paraId="66186B28">
            <w:pPr>
              <w:rPr>
                <w:rFonts w:ascii="Arial"/>
                <w:sz w:val="21"/>
              </w:rPr>
            </w:pPr>
          </w:p>
        </w:tc>
        <w:tc>
          <w:tcPr>
            <w:tcW w:w="2314" w:type="dxa"/>
            <w:vMerge w:val="continue"/>
            <w:tcBorders>
              <w:top w:val="nil"/>
            </w:tcBorders>
            <w:vAlign w:val="top"/>
          </w:tcPr>
          <w:p w14:paraId="2ACB5854">
            <w:pPr>
              <w:rPr>
                <w:rFonts w:ascii="Arial"/>
                <w:sz w:val="21"/>
              </w:rPr>
            </w:pPr>
          </w:p>
        </w:tc>
        <w:tc>
          <w:tcPr>
            <w:tcW w:w="230" w:type="dxa"/>
            <w:vAlign w:val="top"/>
          </w:tcPr>
          <w:p w14:paraId="30359EA5">
            <w:pPr>
              <w:rPr>
                <w:rFonts w:ascii="Arial"/>
                <w:sz w:val="21"/>
              </w:rPr>
            </w:pPr>
          </w:p>
        </w:tc>
        <w:tc>
          <w:tcPr>
            <w:tcW w:w="230" w:type="dxa"/>
            <w:vAlign w:val="top"/>
          </w:tcPr>
          <w:p w14:paraId="76E0B6F7">
            <w:pPr>
              <w:pStyle w:val="6"/>
              <w:spacing w:before="204" w:line="238" w:lineRule="auto"/>
              <w:ind w:left="18"/>
              <w:rPr>
                <w:sz w:val="13"/>
                <w:szCs w:val="13"/>
              </w:rPr>
            </w:pPr>
            <w:r>
              <w:rPr>
                <w:sz w:val="13"/>
                <w:szCs w:val="13"/>
              </w:rPr>
              <w:t>√</w:t>
            </w:r>
          </w:p>
        </w:tc>
        <w:tc>
          <w:tcPr>
            <w:tcW w:w="219" w:type="dxa"/>
            <w:vAlign w:val="top"/>
          </w:tcPr>
          <w:p w14:paraId="331219C0">
            <w:pPr>
              <w:rPr>
                <w:rFonts w:ascii="Arial"/>
                <w:sz w:val="21"/>
              </w:rPr>
            </w:pPr>
          </w:p>
        </w:tc>
        <w:tc>
          <w:tcPr>
            <w:tcW w:w="244" w:type="dxa"/>
            <w:vAlign w:val="top"/>
          </w:tcPr>
          <w:p w14:paraId="0B828DC9">
            <w:pPr>
              <w:rPr>
                <w:rFonts w:ascii="Arial"/>
                <w:sz w:val="21"/>
              </w:rPr>
            </w:pPr>
          </w:p>
        </w:tc>
      </w:tr>
      <w:tr w14:paraId="077A28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893" w:type="dxa"/>
            <w:vMerge w:val="restart"/>
            <w:tcBorders>
              <w:bottom w:val="nil"/>
            </w:tcBorders>
            <w:vAlign w:val="top"/>
          </w:tcPr>
          <w:p w14:paraId="2D0ABCFB">
            <w:pPr>
              <w:spacing w:line="241" w:lineRule="auto"/>
              <w:rPr>
                <w:rFonts w:ascii="Arial"/>
                <w:sz w:val="21"/>
              </w:rPr>
            </w:pPr>
          </w:p>
          <w:p w14:paraId="5F4F4EB5">
            <w:pPr>
              <w:spacing w:line="242" w:lineRule="auto"/>
              <w:rPr>
                <w:rFonts w:ascii="Arial"/>
                <w:sz w:val="21"/>
              </w:rPr>
            </w:pPr>
          </w:p>
          <w:p w14:paraId="7BEE5F7B">
            <w:pPr>
              <w:pStyle w:val="6"/>
              <w:spacing w:before="58" w:line="219" w:lineRule="auto"/>
              <w:ind w:left="165"/>
              <w:rPr>
                <w:sz w:val="18"/>
                <w:szCs w:val="18"/>
              </w:rPr>
            </w:pPr>
            <w:r>
              <w:rPr>
                <w:spacing w:val="-2"/>
                <w:sz w:val="18"/>
                <w:szCs w:val="18"/>
              </w:rPr>
              <w:t>坡屋顶</w:t>
            </w:r>
          </w:p>
        </w:tc>
        <w:tc>
          <w:tcPr>
            <w:tcW w:w="2314" w:type="dxa"/>
            <w:vMerge w:val="restart"/>
            <w:tcBorders>
              <w:bottom w:val="nil"/>
            </w:tcBorders>
            <w:vAlign w:val="top"/>
          </w:tcPr>
          <w:p w14:paraId="062BCD1A">
            <w:pPr>
              <w:pStyle w:val="6"/>
              <w:spacing w:before="104" w:line="217" w:lineRule="auto"/>
              <w:ind w:left="2"/>
              <w:rPr>
                <w:sz w:val="18"/>
                <w:szCs w:val="18"/>
              </w:rPr>
            </w:pPr>
            <w:r>
              <w:rPr>
                <w:spacing w:val="-3"/>
                <w:sz w:val="18"/>
                <w:szCs w:val="18"/>
              </w:rPr>
              <w:t>1.钢筋混凝土斜屋顶的组成、</w:t>
            </w:r>
            <w:r>
              <w:rPr>
                <w:spacing w:val="2"/>
                <w:sz w:val="18"/>
                <w:szCs w:val="18"/>
              </w:rPr>
              <w:t xml:space="preserve"> </w:t>
            </w:r>
            <w:r>
              <w:rPr>
                <w:spacing w:val="-5"/>
                <w:sz w:val="18"/>
                <w:szCs w:val="18"/>
              </w:rPr>
              <w:t>构造、特点与类型</w:t>
            </w:r>
          </w:p>
          <w:p w14:paraId="58B78F7C">
            <w:pPr>
              <w:pStyle w:val="6"/>
              <w:spacing w:before="16" w:line="218" w:lineRule="auto"/>
              <w:ind w:left="2" w:right="141" w:firstLine="9"/>
              <w:rPr>
                <w:sz w:val="18"/>
                <w:szCs w:val="18"/>
              </w:rPr>
            </w:pPr>
            <w:r>
              <w:rPr>
                <w:spacing w:val="-1"/>
                <w:sz w:val="18"/>
                <w:szCs w:val="18"/>
              </w:rPr>
              <w:t>2.坡屋顶的组成、形式、承</w:t>
            </w:r>
            <w:r>
              <w:rPr>
                <w:spacing w:val="2"/>
                <w:sz w:val="18"/>
                <w:szCs w:val="18"/>
              </w:rPr>
              <w:t xml:space="preserve"> </w:t>
            </w:r>
            <w:r>
              <w:rPr>
                <w:spacing w:val="-2"/>
                <w:sz w:val="18"/>
                <w:szCs w:val="18"/>
              </w:rPr>
              <w:t>重结构方式</w:t>
            </w:r>
          </w:p>
        </w:tc>
        <w:tc>
          <w:tcPr>
            <w:tcW w:w="230" w:type="dxa"/>
            <w:vAlign w:val="top"/>
          </w:tcPr>
          <w:p w14:paraId="61C10724">
            <w:pPr>
              <w:rPr>
                <w:rFonts w:ascii="Arial"/>
                <w:sz w:val="21"/>
              </w:rPr>
            </w:pPr>
          </w:p>
        </w:tc>
        <w:tc>
          <w:tcPr>
            <w:tcW w:w="230" w:type="dxa"/>
            <w:vAlign w:val="top"/>
          </w:tcPr>
          <w:p w14:paraId="1582BABE">
            <w:pPr>
              <w:pStyle w:val="6"/>
              <w:spacing w:before="114" w:line="179" w:lineRule="auto"/>
              <w:ind w:left="57"/>
              <w:rPr>
                <w:sz w:val="19"/>
                <w:szCs w:val="19"/>
              </w:rPr>
            </w:pPr>
            <w:r>
              <w:rPr>
                <w:sz w:val="19"/>
                <w:szCs w:val="19"/>
              </w:rPr>
              <w:t>V</w:t>
            </w:r>
          </w:p>
        </w:tc>
        <w:tc>
          <w:tcPr>
            <w:tcW w:w="219" w:type="dxa"/>
            <w:vAlign w:val="top"/>
          </w:tcPr>
          <w:p w14:paraId="062796D4">
            <w:pPr>
              <w:rPr>
                <w:rFonts w:ascii="Arial"/>
                <w:sz w:val="21"/>
              </w:rPr>
            </w:pPr>
          </w:p>
        </w:tc>
        <w:tc>
          <w:tcPr>
            <w:tcW w:w="244" w:type="dxa"/>
            <w:vAlign w:val="top"/>
          </w:tcPr>
          <w:p w14:paraId="591BA90A">
            <w:pPr>
              <w:rPr>
                <w:rFonts w:ascii="Arial"/>
                <w:sz w:val="21"/>
              </w:rPr>
            </w:pPr>
          </w:p>
        </w:tc>
      </w:tr>
      <w:tr w14:paraId="3AEACA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63" w:hRule="atLeast"/>
        </w:trPr>
        <w:tc>
          <w:tcPr>
            <w:tcW w:w="893" w:type="dxa"/>
            <w:vMerge w:val="continue"/>
            <w:tcBorders>
              <w:top w:val="nil"/>
            </w:tcBorders>
            <w:vAlign w:val="top"/>
          </w:tcPr>
          <w:p w14:paraId="3D52C8EF">
            <w:pPr>
              <w:rPr>
                <w:rFonts w:ascii="Arial"/>
                <w:sz w:val="21"/>
              </w:rPr>
            </w:pPr>
          </w:p>
        </w:tc>
        <w:tc>
          <w:tcPr>
            <w:tcW w:w="2314" w:type="dxa"/>
            <w:vMerge w:val="continue"/>
            <w:tcBorders>
              <w:top w:val="nil"/>
            </w:tcBorders>
            <w:vAlign w:val="top"/>
          </w:tcPr>
          <w:p w14:paraId="6A9D3A3F">
            <w:pPr>
              <w:rPr>
                <w:rFonts w:ascii="Arial"/>
                <w:sz w:val="21"/>
              </w:rPr>
            </w:pPr>
          </w:p>
        </w:tc>
        <w:tc>
          <w:tcPr>
            <w:tcW w:w="230" w:type="dxa"/>
            <w:vAlign w:val="top"/>
          </w:tcPr>
          <w:p w14:paraId="076220C2">
            <w:pPr>
              <w:rPr>
                <w:rFonts w:ascii="Arial"/>
                <w:sz w:val="21"/>
              </w:rPr>
            </w:pPr>
          </w:p>
        </w:tc>
        <w:tc>
          <w:tcPr>
            <w:tcW w:w="230" w:type="dxa"/>
            <w:vAlign w:val="top"/>
          </w:tcPr>
          <w:p w14:paraId="3CC55EAD">
            <w:pPr>
              <w:spacing w:line="242" w:lineRule="auto"/>
              <w:rPr>
                <w:rFonts w:ascii="Arial"/>
                <w:sz w:val="21"/>
              </w:rPr>
            </w:pPr>
          </w:p>
          <w:p w14:paraId="30963355">
            <w:pPr>
              <w:pStyle w:val="6"/>
              <w:spacing w:before="42" w:line="238" w:lineRule="auto"/>
              <w:ind w:left="47"/>
              <w:rPr>
                <w:sz w:val="13"/>
                <w:szCs w:val="13"/>
              </w:rPr>
            </w:pPr>
            <w:r>
              <w:rPr>
                <w:sz w:val="13"/>
                <w:szCs w:val="13"/>
              </w:rPr>
              <w:t>√</w:t>
            </w:r>
          </w:p>
        </w:tc>
        <w:tc>
          <w:tcPr>
            <w:tcW w:w="219" w:type="dxa"/>
            <w:vAlign w:val="top"/>
          </w:tcPr>
          <w:p w14:paraId="1F067FE0">
            <w:pPr>
              <w:rPr>
                <w:rFonts w:ascii="Arial"/>
                <w:sz w:val="21"/>
              </w:rPr>
            </w:pPr>
          </w:p>
        </w:tc>
        <w:tc>
          <w:tcPr>
            <w:tcW w:w="244" w:type="dxa"/>
            <w:vAlign w:val="top"/>
          </w:tcPr>
          <w:p w14:paraId="668165C7">
            <w:pPr>
              <w:rPr>
                <w:rFonts w:ascii="Arial"/>
                <w:sz w:val="21"/>
              </w:rPr>
            </w:pPr>
          </w:p>
        </w:tc>
      </w:tr>
    </w:tbl>
    <w:p w14:paraId="7624BC45">
      <w:pPr>
        <w:spacing w:before="119" w:line="222" w:lineRule="auto"/>
        <w:ind w:left="762"/>
        <w:rPr>
          <w:rFonts w:ascii="黑体" w:hAnsi="黑体" w:eastAsia="黑体" w:cs="黑体"/>
          <w:sz w:val="20"/>
          <w:szCs w:val="20"/>
        </w:rPr>
      </w:pPr>
      <w:r>
        <w:rPr>
          <w:rFonts w:ascii="黑体" w:hAnsi="黑体" w:eastAsia="黑体" w:cs="黑体"/>
          <w:b/>
          <w:bCs/>
          <w:spacing w:val="-4"/>
          <w:sz w:val="20"/>
          <w:szCs w:val="20"/>
        </w:rPr>
        <w:t>第十章</w:t>
      </w:r>
      <w:r>
        <w:rPr>
          <w:rFonts w:ascii="黑体" w:hAnsi="黑体" w:eastAsia="黑体" w:cs="黑体"/>
          <w:spacing w:val="-4"/>
          <w:sz w:val="20"/>
          <w:szCs w:val="20"/>
        </w:rPr>
        <w:t xml:space="preserve">  </w:t>
      </w:r>
      <w:r>
        <w:rPr>
          <w:rFonts w:ascii="黑体" w:hAnsi="黑体" w:eastAsia="黑体" w:cs="黑体"/>
          <w:b/>
          <w:bCs/>
          <w:spacing w:val="-4"/>
          <w:sz w:val="20"/>
          <w:szCs w:val="20"/>
        </w:rPr>
        <w:t>装配式混凝土建筑简介</w:t>
      </w:r>
    </w:p>
    <w:p w14:paraId="1047D488">
      <w:pPr>
        <w:spacing w:line="70" w:lineRule="exact"/>
      </w:pPr>
    </w:p>
    <w:tbl>
      <w:tblPr>
        <w:tblStyle w:val="5"/>
        <w:tblW w:w="4130"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14"/>
        <w:gridCol w:w="230"/>
        <w:gridCol w:w="230"/>
        <w:gridCol w:w="219"/>
        <w:gridCol w:w="244"/>
      </w:tblGrid>
      <w:tr w14:paraId="2FC856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3" w:hRule="atLeast"/>
        </w:trPr>
        <w:tc>
          <w:tcPr>
            <w:tcW w:w="893" w:type="dxa"/>
            <w:vMerge w:val="restart"/>
            <w:tcBorders>
              <w:bottom w:val="nil"/>
            </w:tcBorders>
            <w:vAlign w:val="top"/>
          </w:tcPr>
          <w:p w14:paraId="6ABB381E">
            <w:pPr>
              <w:pStyle w:val="6"/>
              <w:spacing w:before="131" w:line="224" w:lineRule="auto"/>
              <w:ind w:left="97" w:right="112" w:firstLine="89"/>
            </w:pPr>
            <w:r>
              <w:rPr>
                <w:b/>
                <w:bCs/>
                <w:spacing w:val="-6"/>
              </w:rPr>
              <w:t>知识与</w:t>
            </w:r>
            <w:r>
              <w:t xml:space="preserve">  </w:t>
            </w:r>
            <w:r>
              <w:rPr>
                <w:b/>
                <w:bCs/>
                <w:spacing w:val="-4"/>
              </w:rPr>
              <w:t>技能要点</w:t>
            </w:r>
          </w:p>
        </w:tc>
        <w:tc>
          <w:tcPr>
            <w:tcW w:w="2314" w:type="dxa"/>
            <w:vMerge w:val="restart"/>
            <w:tcBorders>
              <w:bottom w:val="nil"/>
            </w:tcBorders>
            <w:vAlign w:val="top"/>
          </w:tcPr>
          <w:p w14:paraId="07C14A7B">
            <w:pPr>
              <w:pStyle w:val="6"/>
              <w:spacing w:before="229" w:line="219" w:lineRule="auto"/>
              <w:ind w:left="834"/>
            </w:pPr>
            <w:r>
              <w:rPr>
                <w:b/>
                <w:bCs/>
                <w:spacing w:val="5"/>
              </w:rPr>
              <w:t>考试条目</w:t>
            </w:r>
          </w:p>
        </w:tc>
        <w:tc>
          <w:tcPr>
            <w:tcW w:w="923" w:type="dxa"/>
            <w:gridSpan w:val="4"/>
            <w:vAlign w:val="top"/>
          </w:tcPr>
          <w:p w14:paraId="37B24F64">
            <w:pPr>
              <w:pStyle w:val="6"/>
              <w:spacing w:before="79" w:line="219" w:lineRule="auto"/>
              <w:ind w:left="130"/>
            </w:pPr>
            <w:r>
              <w:rPr>
                <w:b/>
                <w:bCs/>
                <w:spacing w:val="-4"/>
              </w:rPr>
              <w:t>考试水平</w:t>
            </w:r>
          </w:p>
        </w:tc>
      </w:tr>
      <w:tr w14:paraId="4F3CF4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893" w:type="dxa"/>
            <w:vMerge w:val="continue"/>
            <w:tcBorders>
              <w:top w:val="nil"/>
            </w:tcBorders>
            <w:vAlign w:val="top"/>
          </w:tcPr>
          <w:p w14:paraId="6167C4B2">
            <w:pPr>
              <w:rPr>
                <w:rFonts w:ascii="Arial"/>
                <w:sz w:val="21"/>
              </w:rPr>
            </w:pPr>
          </w:p>
        </w:tc>
        <w:tc>
          <w:tcPr>
            <w:tcW w:w="2314" w:type="dxa"/>
            <w:vMerge w:val="continue"/>
            <w:tcBorders>
              <w:top w:val="nil"/>
            </w:tcBorders>
            <w:vAlign w:val="top"/>
          </w:tcPr>
          <w:p w14:paraId="44A68488">
            <w:pPr>
              <w:rPr>
                <w:rFonts w:ascii="Arial"/>
                <w:sz w:val="21"/>
              </w:rPr>
            </w:pPr>
          </w:p>
        </w:tc>
        <w:tc>
          <w:tcPr>
            <w:tcW w:w="230" w:type="dxa"/>
            <w:vAlign w:val="top"/>
          </w:tcPr>
          <w:p w14:paraId="5B4EE258">
            <w:pPr>
              <w:pStyle w:val="6"/>
              <w:spacing w:before="111" w:line="184" w:lineRule="auto"/>
              <w:ind w:left="70"/>
            </w:pPr>
            <w:r>
              <w:rPr>
                <w:b/>
                <w:bCs/>
                <w:spacing w:val="-2"/>
              </w:rPr>
              <w:t>A</w:t>
            </w:r>
          </w:p>
        </w:tc>
        <w:tc>
          <w:tcPr>
            <w:tcW w:w="230" w:type="dxa"/>
            <w:vAlign w:val="top"/>
          </w:tcPr>
          <w:p w14:paraId="67BBA24B">
            <w:pPr>
              <w:pStyle w:val="6"/>
              <w:spacing w:before="113" w:line="182" w:lineRule="auto"/>
              <w:ind w:left="20"/>
            </w:pPr>
            <w:r>
              <w:rPr>
                <w:b/>
                <w:bCs/>
                <w:spacing w:val="-2"/>
              </w:rPr>
              <w:t>B</w:t>
            </w:r>
          </w:p>
        </w:tc>
        <w:tc>
          <w:tcPr>
            <w:tcW w:w="219" w:type="dxa"/>
            <w:vAlign w:val="top"/>
          </w:tcPr>
          <w:p w14:paraId="76CD215B">
            <w:pPr>
              <w:pStyle w:val="6"/>
              <w:spacing w:before="112" w:line="183" w:lineRule="auto"/>
              <w:ind w:left="48"/>
            </w:pPr>
            <w:r>
              <w:t>C</w:t>
            </w:r>
          </w:p>
        </w:tc>
        <w:tc>
          <w:tcPr>
            <w:tcW w:w="244" w:type="dxa"/>
            <w:vAlign w:val="top"/>
          </w:tcPr>
          <w:p w14:paraId="158A5582">
            <w:pPr>
              <w:pStyle w:val="6"/>
              <w:spacing w:before="113" w:line="182" w:lineRule="auto"/>
              <w:ind w:left="18"/>
            </w:pPr>
            <w:r>
              <w:t>D</w:t>
            </w:r>
          </w:p>
        </w:tc>
      </w:tr>
      <w:tr w14:paraId="0AD23F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893" w:type="dxa"/>
            <w:vMerge w:val="restart"/>
            <w:tcBorders>
              <w:bottom w:val="nil"/>
            </w:tcBorders>
            <w:vAlign w:val="top"/>
          </w:tcPr>
          <w:p w14:paraId="6351515B">
            <w:pPr>
              <w:pStyle w:val="6"/>
              <w:spacing w:before="130" w:line="220" w:lineRule="auto"/>
              <w:ind w:left="94"/>
            </w:pPr>
            <w:r>
              <w:rPr>
                <w:spacing w:val="-2"/>
              </w:rPr>
              <w:t>建筑工业</w:t>
            </w:r>
          </w:p>
          <w:p w14:paraId="5DF674FA">
            <w:pPr>
              <w:pStyle w:val="6"/>
              <w:spacing w:before="37" w:line="219" w:lineRule="auto"/>
              <w:ind w:left="184"/>
            </w:pPr>
            <w:r>
              <w:rPr>
                <w:spacing w:val="-2"/>
              </w:rPr>
              <w:t>化概念</w:t>
            </w:r>
          </w:p>
        </w:tc>
        <w:tc>
          <w:tcPr>
            <w:tcW w:w="2314" w:type="dxa"/>
            <w:vMerge w:val="restart"/>
            <w:tcBorders>
              <w:bottom w:val="nil"/>
            </w:tcBorders>
            <w:vAlign w:val="top"/>
          </w:tcPr>
          <w:p w14:paraId="359FB8E5">
            <w:pPr>
              <w:pStyle w:val="6"/>
              <w:spacing w:before="150" w:line="229" w:lineRule="auto"/>
              <w:ind w:left="11" w:right="244"/>
            </w:pPr>
            <w:r>
              <w:t>1.建筑工业化的含义和特征</w:t>
            </w:r>
            <w:r>
              <w:rPr>
                <w:spacing w:val="6"/>
              </w:rPr>
              <w:t xml:space="preserve"> </w:t>
            </w:r>
            <w:r>
              <w:rPr>
                <w:spacing w:val="-1"/>
              </w:rPr>
              <w:t>2.建筑工业化的途径</w:t>
            </w:r>
          </w:p>
        </w:tc>
        <w:tc>
          <w:tcPr>
            <w:tcW w:w="230" w:type="dxa"/>
            <w:vAlign w:val="top"/>
          </w:tcPr>
          <w:p w14:paraId="4DD8C6E9">
            <w:pPr>
              <w:pStyle w:val="6"/>
              <w:spacing w:before="109" w:line="238" w:lineRule="auto"/>
              <w:ind w:left="47"/>
              <w:rPr>
                <w:sz w:val="12"/>
                <w:szCs w:val="12"/>
              </w:rPr>
            </w:pPr>
            <w:r>
              <w:rPr>
                <w:sz w:val="12"/>
                <w:szCs w:val="12"/>
              </w:rPr>
              <w:t>√</w:t>
            </w:r>
          </w:p>
        </w:tc>
        <w:tc>
          <w:tcPr>
            <w:tcW w:w="230" w:type="dxa"/>
            <w:vAlign w:val="top"/>
          </w:tcPr>
          <w:p w14:paraId="614CF8DD">
            <w:pPr>
              <w:rPr>
                <w:rFonts w:ascii="Arial"/>
                <w:sz w:val="21"/>
              </w:rPr>
            </w:pPr>
          </w:p>
        </w:tc>
        <w:tc>
          <w:tcPr>
            <w:tcW w:w="219" w:type="dxa"/>
            <w:vAlign w:val="top"/>
          </w:tcPr>
          <w:p w14:paraId="3C5FB77F">
            <w:pPr>
              <w:rPr>
                <w:rFonts w:ascii="Arial"/>
                <w:sz w:val="21"/>
              </w:rPr>
            </w:pPr>
          </w:p>
        </w:tc>
        <w:tc>
          <w:tcPr>
            <w:tcW w:w="244" w:type="dxa"/>
            <w:vAlign w:val="top"/>
          </w:tcPr>
          <w:p w14:paraId="35AF2295">
            <w:pPr>
              <w:rPr>
                <w:rFonts w:ascii="Arial"/>
                <w:sz w:val="21"/>
              </w:rPr>
            </w:pPr>
          </w:p>
        </w:tc>
      </w:tr>
      <w:tr w14:paraId="48E44C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8" w:hRule="atLeast"/>
        </w:trPr>
        <w:tc>
          <w:tcPr>
            <w:tcW w:w="893" w:type="dxa"/>
            <w:vMerge w:val="continue"/>
            <w:tcBorders>
              <w:top w:val="nil"/>
            </w:tcBorders>
            <w:vAlign w:val="top"/>
          </w:tcPr>
          <w:p w14:paraId="476F7D94">
            <w:pPr>
              <w:rPr>
                <w:rFonts w:ascii="Arial"/>
                <w:sz w:val="21"/>
              </w:rPr>
            </w:pPr>
          </w:p>
        </w:tc>
        <w:tc>
          <w:tcPr>
            <w:tcW w:w="2314" w:type="dxa"/>
            <w:vMerge w:val="continue"/>
            <w:tcBorders>
              <w:top w:val="nil"/>
            </w:tcBorders>
            <w:vAlign w:val="top"/>
          </w:tcPr>
          <w:p w14:paraId="094D51B8">
            <w:pPr>
              <w:rPr>
                <w:rFonts w:ascii="Arial"/>
                <w:sz w:val="21"/>
              </w:rPr>
            </w:pPr>
          </w:p>
        </w:tc>
        <w:tc>
          <w:tcPr>
            <w:tcW w:w="230" w:type="dxa"/>
            <w:vAlign w:val="top"/>
          </w:tcPr>
          <w:p w14:paraId="7E0F26A7">
            <w:pPr>
              <w:pStyle w:val="6"/>
              <w:spacing w:before="120" w:line="238" w:lineRule="auto"/>
              <w:ind w:left="47"/>
              <w:rPr>
                <w:sz w:val="12"/>
                <w:szCs w:val="12"/>
              </w:rPr>
            </w:pPr>
            <w:r>
              <w:rPr>
                <w:sz w:val="12"/>
                <w:szCs w:val="12"/>
              </w:rPr>
              <w:t>√</w:t>
            </w:r>
          </w:p>
        </w:tc>
        <w:tc>
          <w:tcPr>
            <w:tcW w:w="230" w:type="dxa"/>
            <w:vAlign w:val="top"/>
          </w:tcPr>
          <w:p w14:paraId="3C050FFD">
            <w:pPr>
              <w:rPr>
                <w:rFonts w:ascii="Arial"/>
                <w:sz w:val="21"/>
              </w:rPr>
            </w:pPr>
          </w:p>
        </w:tc>
        <w:tc>
          <w:tcPr>
            <w:tcW w:w="219" w:type="dxa"/>
            <w:vAlign w:val="top"/>
          </w:tcPr>
          <w:p w14:paraId="02C4DF62">
            <w:pPr>
              <w:rPr>
                <w:rFonts w:ascii="Arial"/>
                <w:sz w:val="21"/>
              </w:rPr>
            </w:pPr>
          </w:p>
        </w:tc>
        <w:tc>
          <w:tcPr>
            <w:tcW w:w="244" w:type="dxa"/>
            <w:vAlign w:val="top"/>
          </w:tcPr>
          <w:p w14:paraId="42AD5599">
            <w:pPr>
              <w:rPr>
                <w:rFonts w:ascii="Arial"/>
                <w:sz w:val="21"/>
              </w:rPr>
            </w:pPr>
          </w:p>
        </w:tc>
      </w:tr>
      <w:tr w14:paraId="47CC6C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8" w:hRule="atLeast"/>
        </w:trPr>
        <w:tc>
          <w:tcPr>
            <w:tcW w:w="893" w:type="dxa"/>
            <w:vAlign w:val="top"/>
          </w:tcPr>
          <w:p w14:paraId="73B3322A">
            <w:pPr>
              <w:pStyle w:val="6"/>
              <w:spacing w:before="42" w:line="231" w:lineRule="auto"/>
              <w:ind w:left="264" w:right="194" w:hanging="80"/>
            </w:pPr>
            <w:r>
              <w:rPr>
                <w:spacing w:val="-3"/>
              </w:rPr>
              <w:t>装配式</w:t>
            </w:r>
            <w:r>
              <w:rPr>
                <w:spacing w:val="1"/>
              </w:rPr>
              <w:t xml:space="preserve"> </w:t>
            </w:r>
            <w:r>
              <w:rPr>
                <w:spacing w:val="-3"/>
              </w:rPr>
              <w:t>建筑</w:t>
            </w:r>
          </w:p>
        </w:tc>
        <w:tc>
          <w:tcPr>
            <w:tcW w:w="2314" w:type="dxa"/>
            <w:vAlign w:val="top"/>
          </w:tcPr>
          <w:p w14:paraId="0DC61A8F">
            <w:pPr>
              <w:pStyle w:val="6"/>
              <w:spacing w:before="163" w:line="219" w:lineRule="auto"/>
              <w:ind w:left="11"/>
            </w:pPr>
            <w:r>
              <w:t>1.装配式建筑的分类</w:t>
            </w:r>
          </w:p>
        </w:tc>
        <w:tc>
          <w:tcPr>
            <w:tcW w:w="230" w:type="dxa"/>
            <w:vAlign w:val="top"/>
          </w:tcPr>
          <w:p w14:paraId="0FA9F2FA">
            <w:pPr>
              <w:pStyle w:val="6"/>
              <w:spacing w:before="192" w:line="238" w:lineRule="auto"/>
              <w:ind w:left="47"/>
              <w:rPr>
                <w:sz w:val="12"/>
                <w:szCs w:val="12"/>
              </w:rPr>
            </w:pPr>
            <w:r>
              <w:rPr>
                <w:sz w:val="12"/>
                <w:szCs w:val="12"/>
              </w:rPr>
              <w:t>√</w:t>
            </w:r>
          </w:p>
        </w:tc>
        <w:tc>
          <w:tcPr>
            <w:tcW w:w="230" w:type="dxa"/>
            <w:vAlign w:val="top"/>
          </w:tcPr>
          <w:p w14:paraId="42719682">
            <w:pPr>
              <w:rPr>
                <w:rFonts w:ascii="Arial"/>
                <w:sz w:val="21"/>
              </w:rPr>
            </w:pPr>
          </w:p>
        </w:tc>
        <w:tc>
          <w:tcPr>
            <w:tcW w:w="219" w:type="dxa"/>
            <w:vAlign w:val="top"/>
          </w:tcPr>
          <w:p w14:paraId="79004018">
            <w:pPr>
              <w:rPr>
                <w:rFonts w:ascii="Arial"/>
                <w:sz w:val="21"/>
              </w:rPr>
            </w:pPr>
          </w:p>
        </w:tc>
        <w:tc>
          <w:tcPr>
            <w:tcW w:w="244" w:type="dxa"/>
            <w:vAlign w:val="top"/>
          </w:tcPr>
          <w:p w14:paraId="067059FA">
            <w:pPr>
              <w:rPr>
                <w:rFonts w:ascii="Arial"/>
                <w:sz w:val="21"/>
              </w:rPr>
            </w:pPr>
          </w:p>
        </w:tc>
      </w:tr>
      <w:tr w14:paraId="677338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2" w:hRule="atLeast"/>
        </w:trPr>
        <w:tc>
          <w:tcPr>
            <w:tcW w:w="893" w:type="dxa"/>
            <w:vAlign w:val="top"/>
          </w:tcPr>
          <w:p w14:paraId="2C5C3D7F">
            <w:pPr>
              <w:pStyle w:val="6"/>
              <w:spacing w:before="144" w:line="219" w:lineRule="auto"/>
              <w:ind w:left="94" w:right="113"/>
            </w:pPr>
            <w:r>
              <w:rPr>
                <w:spacing w:val="-2"/>
              </w:rPr>
              <w:t>装配式混</w:t>
            </w:r>
            <w:r>
              <w:t xml:space="preserve"> </w:t>
            </w:r>
            <w:r>
              <w:rPr>
                <w:spacing w:val="-2"/>
              </w:rPr>
              <w:t>凝土建筑</w:t>
            </w:r>
          </w:p>
        </w:tc>
        <w:tc>
          <w:tcPr>
            <w:tcW w:w="2314" w:type="dxa"/>
            <w:vAlign w:val="top"/>
          </w:tcPr>
          <w:p w14:paraId="01548FDB">
            <w:pPr>
              <w:pStyle w:val="6"/>
              <w:spacing w:before="133" w:line="237" w:lineRule="auto"/>
              <w:ind w:left="11" w:right="243"/>
            </w:pPr>
            <w:r>
              <w:t>1.装配式混凝土建筑的含义</w:t>
            </w:r>
            <w:r>
              <w:rPr>
                <w:spacing w:val="7"/>
              </w:rPr>
              <w:t xml:space="preserve"> </w:t>
            </w:r>
            <w:r>
              <w:rPr>
                <w:spacing w:val="-1"/>
              </w:rPr>
              <w:t>和结构体系分类</w:t>
            </w:r>
          </w:p>
        </w:tc>
        <w:tc>
          <w:tcPr>
            <w:tcW w:w="230" w:type="dxa"/>
            <w:vAlign w:val="top"/>
          </w:tcPr>
          <w:p w14:paraId="1C4A41ED">
            <w:pPr>
              <w:pStyle w:val="6"/>
              <w:spacing w:before="264" w:line="238" w:lineRule="auto"/>
              <w:ind w:left="47"/>
              <w:rPr>
                <w:sz w:val="12"/>
                <w:szCs w:val="12"/>
              </w:rPr>
            </w:pPr>
            <w:r>
              <w:rPr>
                <w:sz w:val="12"/>
                <w:szCs w:val="12"/>
              </w:rPr>
              <w:t>√</w:t>
            </w:r>
          </w:p>
        </w:tc>
        <w:tc>
          <w:tcPr>
            <w:tcW w:w="230" w:type="dxa"/>
            <w:vAlign w:val="top"/>
          </w:tcPr>
          <w:p w14:paraId="6C6D0845">
            <w:pPr>
              <w:rPr>
                <w:rFonts w:ascii="Arial"/>
                <w:sz w:val="21"/>
              </w:rPr>
            </w:pPr>
          </w:p>
        </w:tc>
        <w:tc>
          <w:tcPr>
            <w:tcW w:w="219" w:type="dxa"/>
            <w:vAlign w:val="top"/>
          </w:tcPr>
          <w:p w14:paraId="292D506F">
            <w:pPr>
              <w:rPr>
                <w:rFonts w:ascii="Arial"/>
                <w:sz w:val="21"/>
              </w:rPr>
            </w:pPr>
          </w:p>
        </w:tc>
        <w:tc>
          <w:tcPr>
            <w:tcW w:w="244" w:type="dxa"/>
            <w:vAlign w:val="top"/>
          </w:tcPr>
          <w:p w14:paraId="1DD4CE00">
            <w:pPr>
              <w:rPr>
                <w:rFonts w:ascii="Arial"/>
                <w:sz w:val="21"/>
              </w:rPr>
            </w:pPr>
          </w:p>
        </w:tc>
      </w:tr>
    </w:tbl>
    <w:p w14:paraId="0143B8BA">
      <w:pPr>
        <w:spacing w:before="129" w:line="222" w:lineRule="auto"/>
        <w:ind w:left="1162"/>
        <w:rPr>
          <w:rFonts w:ascii="黑体" w:hAnsi="黑体" w:eastAsia="黑体" w:cs="黑体"/>
          <w:sz w:val="20"/>
          <w:szCs w:val="20"/>
        </w:rPr>
      </w:pPr>
      <w:r>
        <w:rPr>
          <w:rFonts w:ascii="黑体" w:hAnsi="黑体" w:eastAsia="黑体" w:cs="黑体"/>
          <w:b/>
          <w:bCs/>
          <w:spacing w:val="-8"/>
          <w:sz w:val="20"/>
          <w:szCs w:val="20"/>
        </w:rPr>
        <w:t>第十一章</w:t>
      </w:r>
      <w:r>
        <w:rPr>
          <w:rFonts w:ascii="黑体" w:hAnsi="黑体" w:eastAsia="黑体" w:cs="黑体"/>
          <w:spacing w:val="17"/>
          <w:sz w:val="20"/>
          <w:szCs w:val="20"/>
        </w:rPr>
        <w:t xml:space="preserve">  </w:t>
      </w:r>
      <w:r>
        <w:rPr>
          <w:rFonts w:ascii="黑体" w:hAnsi="黑体" w:eastAsia="黑体" w:cs="黑体"/>
          <w:b/>
          <w:bCs/>
          <w:spacing w:val="-8"/>
          <w:sz w:val="20"/>
          <w:szCs w:val="20"/>
        </w:rPr>
        <w:t>建筑工程图</w:t>
      </w:r>
    </w:p>
    <w:p w14:paraId="4182C442">
      <w:pPr>
        <w:spacing w:line="71" w:lineRule="exact"/>
      </w:pPr>
    </w:p>
    <w:tbl>
      <w:tblPr>
        <w:tblStyle w:val="5"/>
        <w:tblW w:w="4130" w:type="dxa"/>
        <w:tblInd w:w="7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03"/>
        <w:gridCol w:w="2314"/>
        <w:gridCol w:w="220"/>
        <w:gridCol w:w="229"/>
        <w:gridCol w:w="220"/>
        <w:gridCol w:w="244"/>
      </w:tblGrid>
      <w:tr w14:paraId="448822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903" w:type="dxa"/>
            <w:vMerge w:val="restart"/>
            <w:tcBorders>
              <w:top w:val="single" w:color="000000" w:sz="2" w:space="0"/>
              <w:bottom w:val="nil"/>
            </w:tcBorders>
            <w:vAlign w:val="top"/>
          </w:tcPr>
          <w:p w14:paraId="64A970A7">
            <w:pPr>
              <w:pStyle w:val="6"/>
              <w:spacing w:before="126" w:line="228" w:lineRule="auto"/>
              <w:ind w:left="87" w:right="93" w:firstLine="90"/>
              <w:rPr>
                <w:sz w:val="18"/>
                <w:szCs w:val="18"/>
              </w:rPr>
            </w:pPr>
            <w:r>
              <w:rPr>
                <w:b/>
                <w:bCs/>
                <w:spacing w:val="1"/>
                <w:sz w:val="18"/>
                <w:szCs w:val="18"/>
              </w:rPr>
              <w:t>知识与</w:t>
            </w:r>
            <w:r>
              <w:rPr>
                <w:sz w:val="18"/>
                <w:szCs w:val="18"/>
              </w:rPr>
              <w:t xml:space="preserve">  </w:t>
            </w:r>
            <w:r>
              <w:rPr>
                <w:b/>
                <w:bCs/>
                <w:spacing w:val="-4"/>
                <w:sz w:val="18"/>
                <w:szCs w:val="18"/>
              </w:rPr>
              <w:t>技能要点</w:t>
            </w:r>
          </w:p>
        </w:tc>
        <w:tc>
          <w:tcPr>
            <w:tcW w:w="2314" w:type="dxa"/>
            <w:vMerge w:val="restart"/>
            <w:tcBorders>
              <w:top w:val="single" w:color="000000" w:sz="2" w:space="0"/>
              <w:bottom w:val="nil"/>
            </w:tcBorders>
            <w:vAlign w:val="top"/>
          </w:tcPr>
          <w:p w14:paraId="1815A4AA">
            <w:pPr>
              <w:pStyle w:val="6"/>
              <w:spacing w:before="234" w:line="219" w:lineRule="auto"/>
              <w:ind w:left="834"/>
              <w:rPr>
                <w:sz w:val="18"/>
                <w:szCs w:val="18"/>
              </w:rPr>
            </w:pPr>
            <w:r>
              <w:rPr>
                <w:b/>
                <w:bCs/>
                <w:spacing w:val="5"/>
                <w:sz w:val="18"/>
                <w:szCs w:val="18"/>
              </w:rPr>
              <w:t>考试条目</w:t>
            </w:r>
          </w:p>
        </w:tc>
        <w:tc>
          <w:tcPr>
            <w:tcW w:w="913" w:type="dxa"/>
            <w:gridSpan w:val="4"/>
            <w:tcBorders>
              <w:top w:val="single" w:color="000000" w:sz="2" w:space="0"/>
              <w:bottom w:val="single" w:color="000000" w:sz="2" w:space="0"/>
            </w:tcBorders>
            <w:vAlign w:val="top"/>
          </w:tcPr>
          <w:p w14:paraId="7960CCE3">
            <w:pPr>
              <w:pStyle w:val="6"/>
              <w:spacing w:before="74" w:line="219" w:lineRule="auto"/>
              <w:ind w:left="120"/>
              <w:rPr>
                <w:sz w:val="18"/>
                <w:szCs w:val="18"/>
              </w:rPr>
            </w:pPr>
            <w:r>
              <w:rPr>
                <w:b/>
                <w:bCs/>
                <w:spacing w:val="-4"/>
                <w:sz w:val="18"/>
                <w:szCs w:val="18"/>
              </w:rPr>
              <w:t>考试水平</w:t>
            </w:r>
          </w:p>
        </w:tc>
      </w:tr>
      <w:tr w14:paraId="29B289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5" w:hRule="atLeast"/>
        </w:trPr>
        <w:tc>
          <w:tcPr>
            <w:tcW w:w="903" w:type="dxa"/>
            <w:vMerge w:val="continue"/>
            <w:tcBorders>
              <w:top w:val="nil"/>
              <w:bottom w:val="single" w:color="000000" w:sz="2" w:space="0"/>
            </w:tcBorders>
            <w:vAlign w:val="top"/>
          </w:tcPr>
          <w:p w14:paraId="22547C1A">
            <w:pPr>
              <w:rPr>
                <w:rFonts w:ascii="Arial"/>
                <w:sz w:val="21"/>
              </w:rPr>
            </w:pPr>
          </w:p>
        </w:tc>
        <w:tc>
          <w:tcPr>
            <w:tcW w:w="2314" w:type="dxa"/>
            <w:vMerge w:val="continue"/>
            <w:tcBorders>
              <w:top w:val="nil"/>
              <w:bottom w:val="single" w:color="000000" w:sz="2" w:space="0"/>
            </w:tcBorders>
            <w:vAlign w:val="top"/>
          </w:tcPr>
          <w:p w14:paraId="7460BC34">
            <w:pPr>
              <w:rPr>
                <w:rFonts w:ascii="Arial"/>
                <w:sz w:val="21"/>
              </w:rPr>
            </w:pPr>
          </w:p>
        </w:tc>
        <w:tc>
          <w:tcPr>
            <w:tcW w:w="220" w:type="dxa"/>
            <w:tcBorders>
              <w:top w:val="single" w:color="000000" w:sz="2" w:space="0"/>
              <w:bottom w:val="single" w:color="000000" w:sz="2" w:space="0"/>
            </w:tcBorders>
            <w:vAlign w:val="top"/>
          </w:tcPr>
          <w:p w14:paraId="1CED07BC">
            <w:pPr>
              <w:pStyle w:val="6"/>
              <w:spacing w:before="118" w:line="184" w:lineRule="auto"/>
              <w:ind w:left="60"/>
              <w:rPr>
                <w:sz w:val="18"/>
                <w:szCs w:val="18"/>
              </w:rPr>
            </w:pPr>
            <w:r>
              <w:rPr>
                <w:b/>
                <w:bCs/>
                <w:spacing w:val="-2"/>
                <w:sz w:val="18"/>
                <w:szCs w:val="18"/>
              </w:rPr>
              <w:t>A</w:t>
            </w:r>
          </w:p>
        </w:tc>
        <w:tc>
          <w:tcPr>
            <w:tcW w:w="229" w:type="dxa"/>
            <w:tcBorders>
              <w:top w:val="single" w:color="000000" w:sz="2" w:space="0"/>
              <w:bottom w:val="single" w:color="000000" w:sz="2" w:space="0"/>
            </w:tcBorders>
            <w:vAlign w:val="top"/>
          </w:tcPr>
          <w:p w14:paraId="39E82CCB">
            <w:pPr>
              <w:pStyle w:val="6"/>
              <w:spacing w:before="120" w:line="182" w:lineRule="auto"/>
              <w:ind w:left="70"/>
              <w:rPr>
                <w:sz w:val="18"/>
                <w:szCs w:val="18"/>
              </w:rPr>
            </w:pPr>
            <w:r>
              <w:rPr>
                <w:b/>
                <w:bCs/>
                <w:spacing w:val="-2"/>
                <w:sz w:val="18"/>
                <w:szCs w:val="18"/>
              </w:rPr>
              <w:t>B</w:t>
            </w:r>
          </w:p>
        </w:tc>
        <w:tc>
          <w:tcPr>
            <w:tcW w:w="220" w:type="dxa"/>
            <w:tcBorders>
              <w:top w:val="single" w:color="000000" w:sz="2" w:space="0"/>
              <w:bottom w:val="single" w:color="000000" w:sz="2" w:space="0"/>
            </w:tcBorders>
            <w:vAlign w:val="top"/>
          </w:tcPr>
          <w:p w14:paraId="03B5D1A1">
            <w:pPr>
              <w:pStyle w:val="6"/>
              <w:spacing w:before="112" w:line="183" w:lineRule="auto"/>
              <w:ind w:left="59"/>
              <w:rPr>
                <w:sz w:val="19"/>
                <w:szCs w:val="19"/>
              </w:rPr>
            </w:pPr>
            <w:r>
              <w:rPr>
                <w:sz w:val="19"/>
                <w:szCs w:val="19"/>
              </w:rPr>
              <w:t>C</w:t>
            </w:r>
          </w:p>
        </w:tc>
        <w:tc>
          <w:tcPr>
            <w:tcW w:w="244" w:type="dxa"/>
            <w:tcBorders>
              <w:top w:val="single" w:color="000000" w:sz="2" w:space="0"/>
              <w:bottom w:val="single" w:color="000000" w:sz="2" w:space="0"/>
            </w:tcBorders>
            <w:vAlign w:val="top"/>
          </w:tcPr>
          <w:p w14:paraId="4AC7DA28">
            <w:pPr>
              <w:pStyle w:val="6"/>
              <w:spacing w:before="120" w:line="182" w:lineRule="auto"/>
              <w:ind w:left="71"/>
              <w:rPr>
                <w:sz w:val="18"/>
                <w:szCs w:val="18"/>
              </w:rPr>
            </w:pPr>
            <w:r>
              <w:rPr>
                <w:b/>
                <w:bCs/>
                <w:spacing w:val="-2"/>
                <w:sz w:val="18"/>
                <w:szCs w:val="18"/>
              </w:rPr>
              <w:t>D</w:t>
            </w:r>
          </w:p>
        </w:tc>
      </w:tr>
      <w:tr w14:paraId="4E1BEF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4" w:hRule="atLeast"/>
        </w:trPr>
        <w:tc>
          <w:tcPr>
            <w:tcW w:w="903" w:type="dxa"/>
            <w:vMerge w:val="restart"/>
            <w:tcBorders>
              <w:top w:val="single" w:color="000000" w:sz="2" w:space="0"/>
              <w:bottom w:val="nil"/>
            </w:tcBorders>
            <w:vAlign w:val="top"/>
          </w:tcPr>
          <w:p w14:paraId="2956E1AF">
            <w:pPr>
              <w:pStyle w:val="6"/>
              <w:spacing w:before="213" w:line="220" w:lineRule="auto"/>
              <w:ind w:left="84"/>
              <w:rPr>
                <w:sz w:val="18"/>
                <w:szCs w:val="18"/>
              </w:rPr>
            </w:pPr>
            <w:r>
              <w:rPr>
                <w:spacing w:val="-2"/>
                <w:sz w:val="18"/>
                <w:szCs w:val="18"/>
              </w:rPr>
              <w:t>建筑工程</w:t>
            </w:r>
          </w:p>
          <w:p w14:paraId="3814C782">
            <w:pPr>
              <w:pStyle w:val="6"/>
              <w:spacing w:before="5" w:line="219" w:lineRule="auto"/>
              <w:ind w:left="84"/>
              <w:rPr>
                <w:sz w:val="18"/>
                <w:szCs w:val="18"/>
              </w:rPr>
            </w:pPr>
            <w:r>
              <w:rPr>
                <w:spacing w:val="3"/>
                <w:sz w:val="18"/>
                <w:szCs w:val="18"/>
              </w:rPr>
              <w:t>图分类与</w:t>
            </w:r>
          </w:p>
          <w:p w14:paraId="51523EBF">
            <w:pPr>
              <w:pStyle w:val="6"/>
              <w:spacing w:before="16" w:line="220" w:lineRule="auto"/>
              <w:ind w:left="84"/>
              <w:rPr>
                <w:sz w:val="18"/>
                <w:szCs w:val="18"/>
              </w:rPr>
            </w:pPr>
            <w:r>
              <w:rPr>
                <w:spacing w:val="3"/>
                <w:sz w:val="18"/>
                <w:szCs w:val="18"/>
              </w:rPr>
              <w:t>国家制图</w:t>
            </w:r>
          </w:p>
          <w:p w14:paraId="5F1E27DD">
            <w:pPr>
              <w:pStyle w:val="6"/>
              <w:spacing w:before="5" w:line="220" w:lineRule="auto"/>
              <w:ind w:left="265"/>
              <w:rPr>
                <w:sz w:val="18"/>
                <w:szCs w:val="18"/>
              </w:rPr>
            </w:pPr>
            <w:r>
              <w:rPr>
                <w:spacing w:val="-2"/>
                <w:sz w:val="18"/>
                <w:szCs w:val="18"/>
              </w:rPr>
              <w:t>标准</w:t>
            </w:r>
          </w:p>
        </w:tc>
        <w:tc>
          <w:tcPr>
            <w:tcW w:w="2314" w:type="dxa"/>
            <w:vMerge w:val="restart"/>
            <w:tcBorders>
              <w:top w:val="single" w:color="000000" w:sz="2" w:space="0"/>
              <w:bottom w:val="nil"/>
            </w:tcBorders>
            <w:vAlign w:val="top"/>
          </w:tcPr>
          <w:p w14:paraId="3DB51AC3">
            <w:pPr>
              <w:spacing w:line="382" w:lineRule="auto"/>
              <w:rPr>
                <w:rFonts w:ascii="Arial"/>
                <w:sz w:val="21"/>
              </w:rPr>
            </w:pPr>
          </w:p>
          <w:p w14:paraId="6EDF4284">
            <w:pPr>
              <w:pStyle w:val="6"/>
              <w:spacing w:before="58" w:line="216" w:lineRule="auto"/>
              <w:ind w:left="11"/>
              <w:rPr>
                <w:sz w:val="18"/>
                <w:szCs w:val="18"/>
              </w:rPr>
            </w:pPr>
            <w:r>
              <w:rPr>
                <w:sz w:val="18"/>
                <w:szCs w:val="18"/>
              </w:rPr>
              <w:t>1.建筑工程图分类</w:t>
            </w:r>
          </w:p>
          <w:p w14:paraId="152BBF15">
            <w:pPr>
              <w:pStyle w:val="6"/>
              <w:spacing w:line="220" w:lineRule="auto"/>
              <w:ind w:left="11"/>
              <w:rPr>
                <w:sz w:val="18"/>
                <w:szCs w:val="18"/>
              </w:rPr>
            </w:pPr>
            <w:r>
              <w:rPr>
                <w:spacing w:val="-1"/>
                <w:sz w:val="18"/>
                <w:szCs w:val="18"/>
              </w:rPr>
              <w:t>2.建筑制图的国家标准</w:t>
            </w:r>
          </w:p>
        </w:tc>
        <w:tc>
          <w:tcPr>
            <w:tcW w:w="220" w:type="dxa"/>
            <w:tcBorders>
              <w:top w:val="single" w:color="000000" w:sz="2" w:space="0"/>
              <w:bottom w:val="single" w:color="000000" w:sz="2" w:space="0"/>
            </w:tcBorders>
            <w:vAlign w:val="top"/>
          </w:tcPr>
          <w:p w14:paraId="5117238D">
            <w:pPr>
              <w:pStyle w:val="6"/>
              <w:spacing w:before="122" w:line="238" w:lineRule="auto"/>
              <w:ind w:left="47"/>
              <w:rPr>
                <w:sz w:val="12"/>
                <w:szCs w:val="12"/>
              </w:rPr>
            </w:pPr>
            <w:r>
              <w:rPr>
                <w:sz w:val="12"/>
                <w:szCs w:val="12"/>
              </w:rPr>
              <w:t>√</w:t>
            </w:r>
          </w:p>
        </w:tc>
        <w:tc>
          <w:tcPr>
            <w:tcW w:w="229" w:type="dxa"/>
            <w:tcBorders>
              <w:top w:val="single" w:color="000000" w:sz="2" w:space="0"/>
              <w:bottom w:val="single" w:color="000000" w:sz="2" w:space="0"/>
            </w:tcBorders>
            <w:vAlign w:val="top"/>
          </w:tcPr>
          <w:p w14:paraId="21FF0798">
            <w:pPr>
              <w:rPr>
                <w:rFonts w:ascii="Arial"/>
                <w:sz w:val="21"/>
              </w:rPr>
            </w:pPr>
          </w:p>
        </w:tc>
        <w:tc>
          <w:tcPr>
            <w:tcW w:w="220" w:type="dxa"/>
            <w:tcBorders>
              <w:top w:val="single" w:color="000000" w:sz="2" w:space="0"/>
              <w:bottom w:val="single" w:color="000000" w:sz="2" w:space="0"/>
            </w:tcBorders>
            <w:vAlign w:val="top"/>
          </w:tcPr>
          <w:p w14:paraId="19761479">
            <w:pPr>
              <w:rPr>
                <w:rFonts w:ascii="Arial"/>
                <w:sz w:val="21"/>
              </w:rPr>
            </w:pPr>
          </w:p>
        </w:tc>
        <w:tc>
          <w:tcPr>
            <w:tcW w:w="244" w:type="dxa"/>
            <w:tcBorders>
              <w:top w:val="single" w:color="000000" w:sz="2" w:space="0"/>
              <w:bottom w:val="single" w:color="000000" w:sz="2" w:space="0"/>
            </w:tcBorders>
            <w:vAlign w:val="top"/>
          </w:tcPr>
          <w:p w14:paraId="18E4925E">
            <w:pPr>
              <w:rPr>
                <w:rFonts w:ascii="Arial"/>
                <w:sz w:val="21"/>
              </w:rPr>
            </w:pPr>
          </w:p>
        </w:tc>
      </w:tr>
      <w:tr w14:paraId="1DF59B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4" w:hRule="atLeast"/>
        </w:trPr>
        <w:tc>
          <w:tcPr>
            <w:tcW w:w="903" w:type="dxa"/>
            <w:vMerge w:val="continue"/>
            <w:tcBorders>
              <w:top w:val="nil"/>
              <w:bottom w:val="single" w:color="000000" w:sz="2" w:space="0"/>
            </w:tcBorders>
            <w:vAlign w:val="top"/>
          </w:tcPr>
          <w:p w14:paraId="44D62554">
            <w:pPr>
              <w:rPr>
                <w:rFonts w:ascii="Arial"/>
                <w:sz w:val="21"/>
              </w:rPr>
            </w:pPr>
          </w:p>
        </w:tc>
        <w:tc>
          <w:tcPr>
            <w:tcW w:w="2314" w:type="dxa"/>
            <w:vMerge w:val="continue"/>
            <w:tcBorders>
              <w:top w:val="nil"/>
              <w:bottom w:val="single" w:color="000000" w:sz="2" w:space="0"/>
            </w:tcBorders>
            <w:vAlign w:val="top"/>
          </w:tcPr>
          <w:p w14:paraId="0665E058">
            <w:pPr>
              <w:rPr>
                <w:rFonts w:ascii="Arial"/>
                <w:sz w:val="21"/>
              </w:rPr>
            </w:pPr>
          </w:p>
        </w:tc>
        <w:tc>
          <w:tcPr>
            <w:tcW w:w="220" w:type="dxa"/>
            <w:tcBorders>
              <w:top w:val="single" w:color="000000" w:sz="2" w:space="0"/>
              <w:bottom w:val="single" w:color="000000" w:sz="2" w:space="0"/>
            </w:tcBorders>
            <w:vAlign w:val="top"/>
          </w:tcPr>
          <w:p w14:paraId="3840DE30">
            <w:pPr>
              <w:rPr>
                <w:rFonts w:ascii="Arial"/>
                <w:sz w:val="21"/>
              </w:rPr>
            </w:pPr>
          </w:p>
        </w:tc>
        <w:tc>
          <w:tcPr>
            <w:tcW w:w="229" w:type="dxa"/>
            <w:tcBorders>
              <w:top w:val="single" w:color="000000" w:sz="2" w:space="0"/>
              <w:bottom w:val="single" w:color="000000" w:sz="2" w:space="0"/>
            </w:tcBorders>
            <w:vAlign w:val="top"/>
          </w:tcPr>
          <w:p w14:paraId="50E28C2B">
            <w:pPr>
              <w:spacing w:line="362" w:lineRule="auto"/>
              <w:rPr>
                <w:rFonts w:ascii="Arial"/>
                <w:sz w:val="21"/>
              </w:rPr>
            </w:pPr>
          </w:p>
          <w:p w14:paraId="04859985">
            <w:pPr>
              <w:pStyle w:val="6"/>
              <w:spacing w:before="39" w:line="238" w:lineRule="auto"/>
              <w:ind w:left="47"/>
              <w:rPr>
                <w:sz w:val="12"/>
                <w:szCs w:val="12"/>
              </w:rPr>
            </w:pPr>
            <w:r>
              <w:rPr>
                <w:sz w:val="12"/>
                <w:szCs w:val="12"/>
              </w:rPr>
              <w:t>√</w:t>
            </w:r>
          </w:p>
        </w:tc>
        <w:tc>
          <w:tcPr>
            <w:tcW w:w="220" w:type="dxa"/>
            <w:tcBorders>
              <w:top w:val="single" w:color="000000" w:sz="2" w:space="0"/>
              <w:bottom w:val="single" w:color="000000" w:sz="2" w:space="0"/>
            </w:tcBorders>
            <w:vAlign w:val="top"/>
          </w:tcPr>
          <w:p w14:paraId="5AB657DD">
            <w:pPr>
              <w:rPr>
                <w:rFonts w:ascii="Arial"/>
                <w:sz w:val="21"/>
              </w:rPr>
            </w:pPr>
          </w:p>
        </w:tc>
        <w:tc>
          <w:tcPr>
            <w:tcW w:w="244" w:type="dxa"/>
            <w:tcBorders>
              <w:top w:val="single" w:color="000000" w:sz="2" w:space="0"/>
              <w:bottom w:val="single" w:color="000000" w:sz="2" w:space="0"/>
            </w:tcBorders>
            <w:vAlign w:val="top"/>
          </w:tcPr>
          <w:p w14:paraId="62400900">
            <w:pPr>
              <w:rPr>
                <w:rFonts w:ascii="Arial"/>
                <w:sz w:val="21"/>
              </w:rPr>
            </w:pPr>
          </w:p>
        </w:tc>
      </w:tr>
      <w:tr w14:paraId="7CDFA2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34" w:hRule="atLeast"/>
        </w:trPr>
        <w:tc>
          <w:tcPr>
            <w:tcW w:w="903" w:type="dxa"/>
            <w:tcBorders>
              <w:top w:val="single" w:color="000000" w:sz="2" w:space="0"/>
              <w:bottom w:val="single" w:color="000000" w:sz="2" w:space="0"/>
            </w:tcBorders>
            <w:vAlign w:val="top"/>
          </w:tcPr>
          <w:p w14:paraId="1479E7F9">
            <w:pPr>
              <w:pStyle w:val="6"/>
              <w:spacing w:before="165" w:line="220" w:lineRule="auto"/>
              <w:ind w:left="84"/>
              <w:rPr>
                <w:sz w:val="18"/>
                <w:szCs w:val="18"/>
              </w:rPr>
            </w:pPr>
            <w:r>
              <w:rPr>
                <w:spacing w:val="-2"/>
                <w:sz w:val="18"/>
                <w:szCs w:val="18"/>
              </w:rPr>
              <w:t>建筑施工</w:t>
            </w:r>
          </w:p>
          <w:p w14:paraId="585809EF">
            <w:pPr>
              <w:pStyle w:val="6"/>
              <w:spacing w:before="3" w:line="219" w:lineRule="auto"/>
              <w:ind w:left="84"/>
              <w:rPr>
                <w:sz w:val="18"/>
                <w:szCs w:val="18"/>
              </w:rPr>
            </w:pPr>
            <w:r>
              <w:rPr>
                <w:spacing w:val="2"/>
                <w:sz w:val="18"/>
                <w:szCs w:val="18"/>
              </w:rPr>
              <w:t>图的基本</w:t>
            </w:r>
          </w:p>
          <w:p w14:paraId="392769BB">
            <w:pPr>
              <w:pStyle w:val="6"/>
              <w:spacing w:before="17" w:line="219" w:lineRule="auto"/>
              <w:ind w:left="265"/>
              <w:rPr>
                <w:sz w:val="18"/>
                <w:szCs w:val="18"/>
              </w:rPr>
            </w:pPr>
            <w:r>
              <w:rPr>
                <w:spacing w:val="4"/>
                <w:sz w:val="18"/>
                <w:szCs w:val="18"/>
              </w:rPr>
              <w:t>内容</w:t>
            </w:r>
          </w:p>
        </w:tc>
        <w:tc>
          <w:tcPr>
            <w:tcW w:w="2314" w:type="dxa"/>
            <w:tcBorders>
              <w:top w:val="single" w:color="000000" w:sz="2" w:space="0"/>
              <w:bottom w:val="single" w:color="000000" w:sz="2" w:space="0"/>
            </w:tcBorders>
            <w:vAlign w:val="top"/>
          </w:tcPr>
          <w:p w14:paraId="73BC6AC9">
            <w:pPr>
              <w:pStyle w:val="6"/>
              <w:spacing w:before="284" w:line="223" w:lineRule="auto"/>
              <w:ind w:left="11" w:firstLine="9"/>
              <w:rPr>
                <w:sz w:val="18"/>
                <w:szCs w:val="18"/>
              </w:rPr>
            </w:pPr>
            <w:r>
              <w:rPr>
                <w:spacing w:val="-16"/>
                <w:sz w:val="18"/>
                <w:szCs w:val="18"/>
              </w:rPr>
              <w:t>1.首页图、总平面图、平面图、</w:t>
            </w:r>
            <w:r>
              <w:rPr>
                <w:spacing w:val="1"/>
                <w:sz w:val="18"/>
                <w:szCs w:val="18"/>
              </w:rPr>
              <w:t xml:space="preserve"> </w:t>
            </w:r>
            <w:r>
              <w:rPr>
                <w:spacing w:val="-5"/>
                <w:sz w:val="18"/>
                <w:szCs w:val="18"/>
              </w:rPr>
              <w:t>立面图、剖面图、建筑详图</w:t>
            </w:r>
          </w:p>
        </w:tc>
        <w:tc>
          <w:tcPr>
            <w:tcW w:w="220" w:type="dxa"/>
            <w:tcBorders>
              <w:top w:val="single" w:color="000000" w:sz="2" w:space="0"/>
              <w:bottom w:val="single" w:color="000000" w:sz="2" w:space="0"/>
            </w:tcBorders>
            <w:vAlign w:val="top"/>
          </w:tcPr>
          <w:p w14:paraId="43926196">
            <w:pPr>
              <w:rPr>
                <w:rFonts w:ascii="Arial"/>
                <w:sz w:val="21"/>
              </w:rPr>
            </w:pPr>
          </w:p>
        </w:tc>
        <w:tc>
          <w:tcPr>
            <w:tcW w:w="229" w:type="dxa"/>
            <w:tcBorders>
              <w:top w:val="single" w:color="000000" w:sz="2" w:space="0"/>
              <w:bottom w:val="single" w:color="000000" w:sz="2" w:space="0"/>
            </w:tcBorders>
            <w:vAlign w:val="top"/>
          </w:tcPr>
          <w:p w14:paraId="53B4F57E">
            <w:pPr>
              <w:rPr>
                <w:rFonts w:ascii="Arial"/>
                <w:sz w:val="21"/>
              </w:rPr>
            </w:pPr>
          </w:p>
        </w:tc>
        <w:tc>
          <w:tcPr>
            <w:tcW w:w="220" w:type="dxa"/>
            <w:tcBorders>
              <w:top w:val="single" w:color="000000" w:sz="2" w:space="0"/>
              <w:bottom w:val="single" w:color="000000" w:sz="2" w:space="0"/>
            </w:tcBorders>
            <w:vAlign w:val="top"/>
          </w:tcPr>
          <w:p w14:paraId="4C937811">
            <w:pPr>
              <w:spacing w:line="371" w:lineRule="auto"/>
              <w:rPr>
                <w:rFonts w:ascii="Arial"/>
                <w:sz w:val="21"/>
              </w:rPr>
            </w:pPr>
          </w:p>
          <w:p w14:paraId="160DC2D3">
            <w:pPr>
              <w:pStyle w:val="6"/>
              <w:spacing w:before="42" w:line="238" w:lineRule="auto"/>
              <w:ind w:left="38"/>
              <w:rPr>
                <w:sz w:val="13"/>
                <w:szCs w:val="13"/>
              </w:rPr>
            </w:pPr>
            <w:r>
              <w:rPr>
                <w:sz w:val="13"/>
                <w:szCs w:val="13"/>
              </w:rPr>
              <w:t>√</w:t>
            </w:r>
          </w:p>
        </w:tc>
        <w:tc>
          <w:tcPr>
            <w:tcW w:w="244" w:type="dxa"/>
            <w:tcBorders>
              <w:top w:val="single" w:color="000000" w:sz="2" w:space="0"/>
              <w:bottom w:val="single" w:color="000000" w:sz="2" w:space="0"/>
            </w:tcBorders>
            <w:vAlign w:val="top"/>
          </w:tcPr>
          <w:p w14:paraId="45E6AA6E">
            <w:pPr>
              <w:rPr>
                <w:rFonts w:ascii="Arial"/>
                <w:sz w:val="21"/>
              </w:rPr>
            </w:pPr>
          </w:p>
        </w:tc>
      </w:tr>
      <w:tr w14:paraId="1B1B2A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24" w:hRule="atLeast"/>
        </w:trPr>
        <w:tc>
          <w:tcPr>
            <w:tcW w:w="903" w:type="dxa"/>
            <w:tcBorders>
              <w:top w:val="single" w:color="000000" w:sz="2" w:space="0"/>
              <w:bottom w:val="single" w:color="000000" w:sz="2" w:space="0"/>
            </w:tcBorders>
            <w:vAlign w:val="top"/>
          </w:tcPr>
          <w:p w14:paraId="37C2E49F">
            <w:pPr>
              <w:pStyle w:val="6"/>
              <w:spacing w:before="175" w:line="204" w:lineRule="auto"/>
              <w:ind w:left="84"/>
              <w:rPr>
                <w:sz w:val="18"/>
                <w:szCs w:val="18"/>
              </w:rPr>
            </w:pPr>
            <w:r>
              <w:rPr>
                <w:spacing w:val="2"/>
                <w:sz w:val="18"/>
                <w:szCs w:val="18"/>
              </w:rPr>
              <w:t>结构施工</w:t>
            </w:r>
          </w:p>
          <w:p w14:paraId="7ADAA78E">
            <w:pPr>
              <w:pStyle w:val="6"/>
              <w:spacing w:line="218" w:lineRule="auto"/>
              <w:ind w:left="84"/>
              <w:rPr>
                <w:sz w:val="18"/>
                <w:szCs w:val="18"/>
              </w:rPr>
            </w:pPr>
            <w:r>
              <w:rPr>
                <w:spacing w:val="2"/>
                <w:sz w:val="18"/>
                <w:szCs w:val="18"/>
              </w:rPr>
              <w:t>图的基本</w:t>
            </w:r>
          </w:p>
          <w:p w14:paraId="1F7B32C8">
            <w:pPr>
              <w:pStyle w:val="6"/>
              <w:spacing w:before="27" w:line="219" w:lineRule="auto"/>
              <w:ind w:left="265"/>
              <w:rPr>
                <w:sz w:val="18"/>
                <w:szCs w:val="18"/>
              </w:rPr>
            </w:pPr>
            <w:r>
              <w:rPr>
                <w:spacing w:val="4"/>
                <w:sz w:val="18"/>
                <w:szCs w:val="18"/>
              </w:rPr>
              <w:t>内容</w:t>
            </w:r>
          </w:p>
        </w:tc>
        <w:tc>
          <w:tcPr>
            <w:tcW w:w="2314" w:type="dxa"/>
            <w:tcBorders>
              <w:top w:val="single" w:color="000000" w:sz="2" w:space="0"/>
              <w:bottom w:val="single" w:color="000000" w:sz="2" w:space="0"/>
            </w:tcBorders>
            <w:vAlign w:val="top"/>
          </w:tcPr>
          <w:p w14:paraId="7BE6AC1E">
            <w:pPr>
              <w:pStyle w:val="6"/>
              <w:spacing w:before="185" w:line="214" w:lineRule="auto"/>
              <w:ind w:left="11" w:right="110" w:firstLine="10"/>
              <w:jc w:val="both"/>
              <w:rPr>
                <w:sz w:val="18"/>
                <w:szCs w:val="18"/>
              </w:rPr>
            </w:pPr>
            <w:r>
              <w:rPr>
                <w:sz w:val="18"/>
                <w:szCs w:val="18"/>
              </w:rPr>
              <w:t>1.基础结构施工图、楼层结</w:t>
            </w:r>
            <w:r>
              <w:rPr>
                <w:spacing w:val="9"/>
                <w:sz w:val="18"/>
                <w:szCs w:val="18"/>
              </w:rPr>
              <w:t xml:space="preserve"> </w:t>
            </w:r>
            <w:r>
              <w:rPr>
                <w:spacing w:val="1"/>
                <w:sz w:val="18"/>
                <w:szCs w:val="18"/>
              </w:rPr>
              <w:t>构平面图、钢筋混凝土结构</w:t>
            </w:r>
            <w:r>
              <w:rPr>
                <w:spacing w:val="8"/>
                <w:sz w:val="18"/>
                <w:szCs w:val="18"/>
              </w:rPr>
              <w:t xml:space="preserve"> </w:t>
            </w:r>
            <w:r>
              <w:rPr>
                <w:spacing w:val="7"/>
                <w:sz w:val="18"/>
                <w:szCs w:val="18"/>
              </w:rPr>
              <w:t>详图</w:t>
            </w:r>
          </w:p>
        </w:tc>
        <w:tc>
          <w:tcPr>
            <w:tcW w:w="220" w:type="dxa"/>
            <w:tcBorders>
              <w:top w:val="single" w:color="000000" w:sz="2" w:space="0"/>
              <w:bottom w:val="single" w:color="000000" w:sz="2" w:space="0"/>
            </w:tcBorders>
            <w:vAlign w:val="top"/>
          </w:tcPr>
          <w:p w14:paraId="2C097081">
            <w:pPr>
              <w:rPr>
                <w:rFonts w:ascii="Arial"/>
                <w:sz w:val="21"/>
              </w:rPr>
            </w:pPr>
          </w:p>
        </w:tc>
        <w:tc>
          <w:tcPr>
            <w:tcW w:w="229" w:type="dxa"/>
            <w:tcBorders>
              <w:top w:val="single" w:color="000000" w:sz="2" w:space="0"/>
              <w:bottom w:val="single" w:color="000000" w:sz="2" w:space="0"/>
            </w:tcBorders>
            <w:vAlign w:val="top"/>
          </w:tcPr>
          <w:p w14:paraId="395F7596">
            <w:pPr>
              <w:rPr>
                <w:rFonts w:ascii="Arial"/>
                <w:sz w:val="21"/>
              </w:rPr>
            </w:pPr>
          </w:p>
        </w:tc>
        <w:tc>
          <w:tcPr>
            <w:tcW w:w="220" w:type="dxa"/>
            <w:tcBorders>
              <w:top w:val="single" w:color="000000" w:sz="2" w:space="0"/>
              <w:bottom w:val="single" w:color="000000" w:sz="2" w:space="0"/>
            </w:tcBorders>
            <w:vAlign w:val="top"/>
          </w:tcPr>
          <w:p w14:paraId="45783C8B">
            <w:pPr>
              <w:spacing w:line="371" w:lineRule="auto"/>
              <w:rPr>
                <w:rFonts w:ascii="Arial"/>
                <w:sz w:val="21"/>
              </w:rPr>
            </w:pPr>
          </w:p>
          <w:p w14:paraId="177A04C8">
            <w:pPr>
              <w:pStyle w:val="6"/>
              <w:spacing w:before="43" w:line="238" w:lineRule="auto"/>
              <w:ind w:left="38"/>
              <w:rPr>
                <w:sz w:val="13"/>
                <w:szCs w:val="13"/>
              </w:rPr>
            </w:pPr>
            <w:r>
              <w:rPr>
                <w:sz w:val="13"/>
                <w:szCs w:val="13"/>
              </w:rPr>
              <w:t>√</w:t>
            </w:r>
          </w:p>
        </w:tc>
        <w:tc>
          <w:tcPr>
            <w:tcW w:w="244" w:type="dxa"/>
            <w:tcBorders>
              <w:top w:val="single" w:color="000000" w:sz="2" w:space="0"/>
              <w:bottom w:val="single" w:color="000000" w:sz="2" w:space="0"/>
            </w:tcBorders>
            <w:vAlign w:val="top"/>
          </w:tcPr>
          <w:p w14:paraId="7768FE64">
            <w:pPr>
              <w:rPr>
                <w:rFonts w:ascii="Arial"/>
                <w:sz w:val="21"/>
              </w:rPr>
            </w:pPr>
          </w:p>
        </w:tc>
      </w:tr>
      <w:tr w14:paraId="792B4C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5" w:hRule="atLeast"/>
        </w:trPr>
        <w:tc>
          <w:tcPr>
            <w:tcW w:w="903" w:type="dxa"/>
            <w:vMerge w:val="restart"/>
            <w:tcBorders>
              <w:top w:val="single" w:color="000000" w:sz="2" w:space="0"/>
              <w:bottom w:val="nil"/>
            </w:tcBorders>
            <w:vAlign w:val="top"/>
          </w:tcPr>
          <w:p w14:paraId="173EE94B">
            <w:pPr>
              <w:spacing w:line="445" w:lineRule="auto"/>
              <w:rPr>
                <w:rFonts w:ascii="Arial"/>
                <w:sz w:val="21"/>
              </w:rPr>
            </w:pPr>
          </w:p>
          <w:p w14:paraId="6B7EFDF4">
            <w:pPr>
              <w:pStyle w:val="6"/>
              <w:spacing w:before="59" w:line="217" w:lineRule="auto"/>
              <w:ind w:left="84"/>
              <w:rPr>
                <w:sz w:val="18"/>
                <w:szCs w:val="18"/>
              </w:rPr>
            </w:pPr>
            <w:r>
              <w:rPr>
                <w:spacing w:val="-2"/>
                <w:sz w:val="18"/>
                <w:szCs w:val="18"/>
              </w:rPr>
              <w:t>识图方法</w:t>
            </w:r>
          </w:p>
          <w:p w14:paraId="731FE2A3">
            <w:pPr>
              <w:pStyle w:val="6"/>
              <w:spacing w:line="222" w:lineRule="auto"/>
              <w:ind w:left="175"/>
              <w:rPr>
                <w:sz w:val="18"/>
                <w:szCs w:val="18"/>
              </w:rPr>
            </w:pPr>
            <w:r>
              <w:rPr>
                <w:spacing w:val="5"/>
                <w:sz w:val="18"/>
                <w:szCs w:val="18"/>
              </w:rPr>
              <w:t>和要点</w:t>
            </w:r>
          </w:p>
        </w:tc>
        <w:tc>
          <w:tcPr>
            <w:tcW w:w="2314" w:type="dxa"/>
            <w:vMerge w:val="restart"/>
            <w:tcBorders>
              <w:top w:val="single" w:color="000000" w:sz="2" w:space="0"/>
              <w:bottom w:val="nil"/>
            </w:tcBorders>
            <w:vAlign w:val="top"/>
          </w:tcPr>
          <w:p w14:paraId="3D68C0E1">
            <w:pPr>
              <w:pStyle w:val="6"/>
              <w:spacing w:before="56" w:line="220" w:lineRule="auto"/>
              <w:ind w:left="11"/>
              <w:rPr>
                <w:sz w:val="18"/>
                <w:szCs w:val="18"/>
              </w:rPr>
            </w:pPr>
            <w:r>
              <w:rPr>
                <w:spacing w:val="-4"/>
                <w:sz w:val="18"/>
                <w:szCs w:val="18"/>
              </w:rPr>
              <w:t>1.粗读整套结构施工图图纸，</w:t>
            </w:r>
            <w:r>
              <w:rPr>
                <w:spacing w:val="7"/>
                <w:sz w:val="18"/>
                <w:szCs w:val="18"/>
              </w:rPr>
              <w:t xml:space="preserve"> </w:t>
            </w:r>
            <w:r>
              <w:rPr>
                <w:spacing w:val="-1"/>
                <w:sz w:val="18"/>
                <w:szCs w:val="18"/>
              </w:rPr>
              <w:t>了解各相关内容2.精读各建</w:t>
            </w:r>
            <w:r>
              <w:rPr>
                <w:spacing w:val="2"/>
                <w:sz w:val="18"/>
                <w:szCs w:val="18"/>
              </w:rPr>
              <w:t xml:space="preserve">  </w:t>
            </w:r>
            <w:r>
              <w:rPr>
                <w:spacing w:val="-2"/>
                <w:sz w:val="18"/>
                <w:szCs w:val="18"/>
              </w:rPr>
              <w:t>筑施工图图纸、前后对照了</w:t>
            </w:r>
            <w:r>
              <w:rPr>
                <w:spacing w:val="1"/>
                <w:sz w:val="18"/>
                <w:szCs w:val="18"/>
              </w:rPr>
              <w:t xml:space="preserve">  </w:t>
            </w:r>
            <w:r>
              <w:rPr>
                <w:spacing w:val="3"/>
                <w:sz w:val="18"/>
                <w:szCs w:val="18"/>
              </w:rPr>
              <w:t>解各部位构造方法、材料、</w:t>
            </w:r>
            <w:r>
              <w:rPr>
                <w:spacing w:val="4"/>
                <w:sz w:val="18"/>
                <w:szCs w:val="18"/>
              </w:rPr>
              <w:t xml:space="preserve">  </w:t>
            </w:r>
            <w:r>
              <w:rPr>
                <w:spacing w:val="-4"/>
                <w:sz w:val="18"/>
                <w:szCs w:val="18"/>
              </w:rPr>
              <w:t>尺寸</w:t>
            </w:r>
          </w:p>
          <w:p w14:paraId="6A2D8A01">
            <w:pPr>
              <w:pStyle w:val="6"/>
              <w:spacing w:before="7" w:line="197" w:lineRule="auto"/>
              <w:ind w:left="11"/>
              <w:rPr>
                <w:sz w:val="18"/>
                <w:szCs w:val="18"/>
              </w:rPr>
            </w:pPr>
            <w:r>
              <w:rPr>
                <w:spacing w:val="-2"/>
                <w:sz w:val="18"/>
                <w:szCs w:val="18"/>
              </w:rPr>
              <w:t>3.结构施工图识读</w:t>
            </w:r>
          </w:p>
        </w:tc>
        <w:tc>
          <w:tcPr>
            <w:tcW w:w="220" w:type="dxa"/>
            <w:tcBorders>
              <w:top w:val="single" w:color="000000" w:sz="2" w:space="0"/>
              <w:bottom w:val="single" w:color="000000" w:sz="2" w:space="0"/>
            </w:tcBorders>
            <w:vAlign w:val="top"/>
          </w:tcPr>
          <w:p w14:paraId="08F06D33">
            <w:pPr>
              <w:rPr>
                <w:rFonts w:ascii="Arial"/>
                <w:sz w:val="21"/>
              </w:rPr>
            </w:pPr>
          </w:p>
        </w:tc>
        <w:tc>
          <w:tcPr>
            <w:tcW w:w="229" w:type="dxa"/>
            <w:tcBorders>
              <w:top w:val="single" w:color="000000" w:sz="2" w:space="0"/>
              <w:bottom w:val="single" w:color="000000" w:sz="2" w:space="0"/>
            </w:tcBorders>
            <w:vAlign w:val="top"/>
          </w:tcPr>
          <w:p w14:paraId="49B75CD0">
            <w:pPr>
              <w:rPr>
                <w:rFonts w:ascii="Arial"/>
                <w:sz w:val="21"/>
              </w:rPr>
            </w:pPr>
          </w:p>
        </w:tc>
        <w:tc>
          <w:tcPr>
            <w:tcW w:w="220" w:type="dxa"/>
            <w:tcBorders>
              <w:top w:val="single" w:color="000000" w:sz="2" w:space="0"/>
              <w:bottom w:val="single" w:color="000000" w:sz="2" w:space="0"/>
            </w:tcBorders>
            <w:vAlign w:val="top"/>
          </w:tcPr>
          <w:p w14:paraId="0C8E8DC1">
            <w:pPr>
              <w:pStyle w:val="6"/>
              <w:spacing w:before="114" w:line="175" w:lineRule="auto"/>
              <w:ind w:left="59"/>
              <w:rPr>
                <w:sz w:val="18"/>
                <w:szCs w:val="18"/>
              </w:rPr>
            </w:pPr>
            <w:r>
              <w:rPr>
                <w:sz w:val="18"/>
                <w:szCs w:val="18"/>
              </w:rPr>
              <w:t>V</w:t>
            </w:r>
          </w:p>
        </w:tc>
        <w:tc>
          <w:tcPr>
            <w:tcW w:w="244" w:type="dxa"/>
            <w:tcBorders>
              <w:top w:val="single" w:color="000000" w:sz="2" w:space="0"/>
              <w:bottom w:val="single" w:color="000000" w:sz="2" w:space="0"/>
            </w:tcBorders>
            <w:vAlign w:val="top"/>
          </w:tcPr>
          <w:p w14:paraId="5B44A6FC">
            <w:pPr>
              <w:rPr>
                <w:rFonts w:ascii="Arial"/>
                <w:sz w:val="21"/>
              </w:rPr>
            </w:pPr>
          </w:p>
        </w:tc>
      </w:tr>
      <w:tr w14:paraId="04CDE2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4" w:hRule="atLeast"/>
        </w:trPr>
        <w:tc>
          <w:tcPr>
            <w:tcW w:w="903" w:type="dxa"/>
            <w:vMerge w:val="continue"/>
            <w:tcBorders>
              <w:top w:val="nil"/>
              <w:bottom w:val="nil"/>
            </w:tcBorders>
            <w:vAlign w:val="top"/>
          </w:tcPr>
          <w:p w14:paraId="2F35BA87">
            <w:pPr>
              <w:rPr>
                <w:rFonts w:ascii="Arial"/>
                <w:sz w:val="21"/>
              </w:rPr>
            </w:pPr>
          </w:p>
        </w:tc>
        <w:tc>
          <w:tcPr>
            <w:tcW w:w="2314" w:type="dxa"/>
            <w:vMerge w:val="continue"/>
            <w:tcBorders>
              <w:top w:val="nil"/>
              <w:bottom w:val="nil"/>
            </w:tcBorders>
            <w:vAlign w:val="top"/>
          </w:tcPr>
          <w:p w14:paraId="1F7BB142">
            <w:pPr>
              <w:rPr>
                <w:rFonts w:ascii="Arial"/>
                <w:sz w:val="21"/>
              </w:rPr>
            </w:pPr>
          </w:p>
        </w:tc>
        <w:tc>
          <w:tcPr>
            <w:tcW w:w="220" w:type="dxa"/>
            <w:tcBorders>
              <w:top w:val="single" w:color="000000" w:sz="2" w:space="0"/>
              <w:bottom w:val="single" w:color="000000" w:sz="2" w:space="0"/>
            </w:tcBorders>
            <w:vAlign w:val="top"/>
          </w:tcPr>
          <w:p w14:paraId="049A7E09">
            <w:pPr>
              <w:rPr>
                <w:rFonts w:ascii="Arial"/>
                <w:sz w:val="21"/>
              </w:rPr>
            </w:pPr>
          </w:p>
        </w:tc>
        <w:tc>
          <w:tcPr>
            <w:tcW w:w="229" w:type="dxa"/>
            <w:tcBorders>
              <w:top w:val="single" w:color="000000" w:sz="2" w:space="0"/>
              <w:bottom w:val="single" w:color="000000" w:sz="2" w:space="0"/>
            </w:tcBorders>
            <w:vAlign w:val="top"/>
          </w:tcPr>
          <w:p w14:paraId="273A5D89">
            <w:pPr>
              <w:rPr>
                <w:rFonts w:ascii="Arial"/>
                <w:sz w:val="21"/>
              </w:rPr>
            </w:pPr>
          </w:p>
        </w:tc>
        <w:tc>
          <w:tcPr>
            <w:tcW w:w="220" w:type="dxa"/>
            <w:tcBorders>
              <w:top w:val="single" w:color="000000" w:sz="2" w:space="0"/>
              <w:bottom w:val="single" w:color="000000" w:sz="2" w:space="0"/>
            </w:tcBorders>
            <w:vAlign w:val="top"/>
          </w:tcPr>
          <w:p w14:paraId="2DDAB5A5">
            <w:pPr>
              <w:rPr>
                <w:rFonts w:ascii="Arial"/>
                <w:sz w:val="21"/>
              </w:rPr>
            </w:pPr>
          </w:p>
        </w:tc>
        <w:tc>
          <w:tcPr>
            <w:tcW w:w="244" w:type="dxa"/>
            <w:tcBorders>
              <w:top w:val="single" w:color="000000" w:sz="2" w:space="0"/>
              <w:bottom w:val="single" w:color="000000" w:sz="2" w:space="0"/>
            </w:tcBorders>
            <w:vAlign w:val="top"/>
          </w:tcPr>
          <w:p w14:paraId="3C42128A">
            <w:pPr>
              <w:pStyle w:val="6"/>
              <w:spacing w:before="157" w:line="238" w:lineRule="auto"/>
              <w:ind w:left="49"/>
              <w:rPr>
                <w:sz w:val="13"/>
                <w:szCs w:val="13"/>
              </w:rPr>
            </w:pPr>
            <w:r>
              <w:rPr>
                <w:sz w:val="13"/>
                <w:szCs w:val="13"/>
              </w:rPr>
              <w:t>√</w:t>
            </w:r>
          </w:p>
        </w:tc>
      </w:tr>
      <w:tr w14:paraId="66AE2E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19" w:hRule="atLeast"/>
        </w:trPr>
        <w:tc>
          <w:tcPr>
            <w:tcW w:w="903" w:type="dxa"/>
            <w:vMerge w:val="continue"/>
            <w:tcBorders>
              <w:top w:val="nil"/>
              <w:bottom w:val="single" w:color="000000" w:sz="2" w:space="0"/>
            </w:tcBorders>
            <w:vAlign w:val="top"/>
          </w:tcPr>
          <w:p w14:paraId="45096B44">
            <w:pPr>
              <w:rPr>
                <w:rFonts w:ascii="Arial"/>
                <w:sz w:val="21"/>
              </w:rPr>
            </w:pPr>
          </w:p>
        </w:tc>
        <w:tc>
          <w:tcPr>
            <w:tcW w:w="2314" w:type="dxa"/>
            <w:vMerge w:val="continue"/>
            <w:tcBorders>
              <w:top w:val="nil"/>
              <w:bottom w:val="single" w:color="000000" w:sz="2" w:space="0"/>
            </w:tcBorders>
            <w:vAlign w:val="top"/>
          </w:tcPr>
          <w:p w14:paraId="4695FBCB">
            <w:pPr>
              <w:rPr>
                <w:rFonts w:ascii="Arial"/>
                <w:sz w:val="21"/>
              </w:rPr>
            </w:pPr>
          </w:p>
        </w:tc>
        <w:tc>
          <w:tcPr>
            <w:tcW w:w="220" w:type="dxa"/>
            <w:tcBorders>
              <w:top w:val="single" w:color="000000" w:sz="2" w:space="0"/>
              <w:bottom w:val="single" w:color="000000" w:sz="2" w:space="0"/>
            </w:tcBorders>
            <w:vAlign w:val="top"/>
          </w:tcPr>
          <w:p w14:paraId="58ECE2B1">
            <w:pPr>
              <w:rPr>
                <w:rFonts w:ascii="Arial"/>
                <w:sz w:val="21"/>
              </w:rPr>
            </w:pPr>
          </w:p>
        </w:tc>
        <w:tc>
          <w:tcPr>
            <w:tcW w:w="229" w:type="dxa"/>
            <w:tcBorders>
              <w:top w:val="single" w:color="000000" w:sz="2" w:space="0"/>
              <w:bottom w:val="single" w:color="000000" w:sz="2" w:space="0"/>
            </w:tcBorders>
            <w:vAlign w:val="top"/>
          </w:tcPr>
          <w:p w14:paraId="067AA302">
            <w:pPr>
              <w:rPr>
                <w:rFonts w:ascii="Arial"/>
                <w:sz w:val="21"/>
              </w:rPr>
            </w:pPr>
          </w:p>
        </w:tc>
        <w:tc>
          <w:tcPr>
            <w:tcW w:w="220" w:type="dxa"/>
            <w:tcBorders>
              <w:top w:val="single" w:color="000000" w:sz="2" w:space="0"/>
              <w:bottom w:val="single" w:color="000000" w:sz="2" w:space="0"/>
            </w:tcBorders>
            <w:vAlign w:val="top"/>
          </w:tcPr>
          <w:p w14:paraId="2C67300A">
            <w:pPr>
              <w:pStyle w:val="6"/>
              <w:spacing w:before="258" w:line="238" w:lineRule="auto"/>
              <w:ind w:left="38"/>
              <w:rPr>
                <w:sz w:val="13"/>
                <w:szCs w:val="13"/>
              </w:rPr>
            </w:pPr>
            <w:r>
              <w:rPr>
                <w:sz w:val="13"/>
                <w:szCs w:val="13"/>
              </w:rPr>
              <w:t>√</w:t>
            </w:r>
          </w:p>
        </w:tc>
        <w:tc>
          <w:tcPr>
            <w:tcW w:w="244" w:type="dxa"/>
            <w:tcBorders>
              <w:top w:val="single" w:color="000000" w:sz="2" w:space="0"/>
              <w:bottom w:val="single" w:color="000000" w:sz="2" w:space="0"/>
            </w:tcBorders>
            <w:vAlign w:val="top"/>
          </w:tcPr>
          <w:p w14:paraId="79B4DF9A">
            <w:pPr>
              <w:rPr>
                <w:rFonts w:ascii="Arial"/>
                <w:sz w:val="21"/>
              </w:rPr>
            </w:pPr>
          </w:p>
        </w:tc>
      </w:tr>
    </w:tbl>
    <w:p w14:paraId="45EB17A1">
      <w:pPr>
        <w:pStyle w:val="2"/>
        <w:spacing w:line="14" w:lineRule="auto"/>
        <w:rPr>
          <w:sz w:val="2"/>
        </w:rPr>
      </w:pPr>
    </w:p>
    <w:p w14:paraId="24713B61">
      <w:pPr>
        <w:pStyle w:val="2"/>
        <w:spacing w:line="14" w:lineRule="auto"/>
        <w:rPr>
          <w:sz w:val="2"/>
        </w:rPr>
      </w:pPr>
      <w:r>
        <w:rPr>
          <w:sz w:val="2"/>
          <w:szCs w:val="2"/>
        </w:rPr>
        <w:br w:type="column"/>
      </w:r>
    </w:p>
    <w:p w14:paraId="06E8C132">
      <w:pPr>
        <w:spacing w:before="49" w:line="222" w:lineRule="auto"/>
        <w:ind w:left="987"/>
        <w:rPr>
          <w:rFonts w:ascii="黑体" w:hAnsi="黑体" w:eastAsia="黑体" w:cs="黑体"/>
          <w:sz w:val="20"/>
          <w:szCs w:val="20"/>
        </w:rPr>
      </w:pPr>
      <w:r>
        <w:rPr>
          <w:rFonts w:ascii="黑体" w:hAnsi="黑体" w:eastAsia="黑体" w:cs="黑体"/>
          <w:b/>
          <w:bCs/>
          <w:spacing w:val="-4"/>
          <w:sz w:val="20"/>
          <w:szCs w:val="20"/>
        </w:rPr>
        <w:t>第二部分</w:t>
      </w:r>
      <w:r>
        <w:rPr>
          <w:rFonts w:ascii="黑体" w:hAnsi="黑体" w:eastAsia="黑体" w:cs="黑体"/>
          <w:spacing w:val="-4"/>
          <w:sz w:val="20"/>
          <w:szCs w:val="20"/>
        </w:rPr>
        <w:t xml:space="preserve">  </w:t>
      </w:r>
      <w:r>
        <w:rPr>
          <w:rFonts w:ascii="黑体" w:hAnsi="黑体" w:eastAsia="黑体" w:cs="黑体"/>
          <w:b/>
          <w:bCs/>
          <w:spacing w:val="-4"/>
          <w:sz w:val="20"/>
          <w:szCs w:val="20"/>
        </w:rPr>
        <w:t>建筑施工工艺</w:t>
      </w:r>
    </w:p>
    <w:p w14:paraId="195EDE75">
      <w:pPr>
        <w:pStyle w:val="2"/>
        <w:spacing w:line="282" w:lineRule="auto"/>
      </w:pPr>
    </w:p>
    <w:p w14:paraId="06C01CE1">
      <w:pPr>
        <w:spacing w:before="65" w:line="222" w:lineRule="auto"/>
        <w:ind w:left="1087"/>
        <w:rPr>
          <w:rFonts w:ascii="黑体" w:hAnsi="黑体" w:eastAsia="黑体" w:cs="黑体"/>
          <w:sz w:val="20"/>
          <w:szCs w:val="20"/>
        </w:rPr>
      </w:pPr>
      <w:r>
        <w:rPr>
          <w:rFonts w:ascii="黑体" w:hAnsi="黑体" w:eastAsia="黑体" w:cs="黑体"/>
          <w:b/>
          <w:bCs/>
          <w:spacing w:val="-5"/>
          <w:sz w:val="20"/>
          <w:szCs w:val="20"/>
        </w:rPr>
        <w:t>第一章</w:t>
      </w:r>
      <w:r>
        <w:rPr>
          <w:rFonts w:ascii="黑体" w:hAnsi="黑体" w:eastAsia="黑体" w:cs="黑体"/>
          <w:spacing w:val="-5"/>
          <w:sz w:val="20"/>
          <w:szCs w:val="20"/>
        </w:rPr>
        <w:t xml:space="preserve">  </w:t>
      </w:r>
      <w:r>
        <w:rPr>
          <w:rFonts w:ascii="黑体" w:hAnsi="黑体" w:eastAsia="黑体" w:cs="黑体"/>
          <w:b/>
          <w:bCs/>
          <w:spacing w:val="-5"/>
          <w:sz w:val="20"/>
          <w:szCs w:val="20"/>
        </w:rPr>
        <w:t>砌筑施工工艺</w:t>
      </w:r>
    </w:p>
    <w:p w14:paraId="70445F6B">
      <w:pPr>
        <w:spacing w:line="70" w:lineRule="exact"/>
      </w:pPr>
    </w:p>
    <w:tbl>
      <w:tblPr>
        <w:tblStyle w:val="5"/>
        <w:tblW w:w="410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83"/>
        <w:gridCol w:w="2334"/>
        <w:gridCol w:w="210"/>
        <w:gridCol w:w="229"/>
        <w:gridCol w:w="229"/>
        <w:gridCol w:w="224"/>
      </w:tblGrid>
      <w:tr w14:paraId="4FB601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4" w:hRule="atLeast"/>
        </w:trPr>
        <w:tc>
          <w:tcPr>
            <w:tcW w:w="883" w:type="dxa"/>
            <w:vMerge w:val="restart"/>
            <w:tcBorders>
              <w:bottom w:val="nil"/>
            </w:tcBorders>
            <w:vAlign w:val="top"/>
          </w:tcPr>
          <w:p w14:paraId="54D5D624">
            <w:pPr>
              <w:pStyle w:val="6"/>
              <w:spacing w:before="131" w:line="224" w:lineRule="auto"/>
              <w:ind w:left="97" w:right="102" w:firstLine="79"/>
            </w:pPr>
            <w:r>
              <w:rPr>
                <w:b/>
                <w:bCs/>
                <w:spacing w:val="-6"/>
              </w:rPr>
              <w:t>知识与</w:t>
            </w:r>
            <w:r>
              <w:t xml:space="preserve">  </w:t>
            </w:r>
            <w:r>
              <w:rPr>
                <w:b/>
                <w:bCs/>
                <w:spacing w:val="-4"/>
              </w:rPr>
              <w:t>技能要点</w:t>
            </w:r>
          </w:p>
        </w:tc>
        <w:tc>
          <w:tcPr>
            <w:tcW w:w="2334" w:type="dxa"/>
            <w:vMerge w:val="restart"/>
            <w:tcBorders>
              <w:bottom w:val="nil"/>
            </w:tcBorders>
            <w:vAlign w:val="top"/>
          </w:tcPr>
          <w:p w14:paraId="5EF6FB11">
            <w:pPr>
              <w:spacing w:line="292" w:lineRule="auto"/>
              <w:rPr>
                <w:rFonts w:ascii="Arial"/>
                <w:sz w:val="21"/>
              </w:rPr>
            </w:pPr>
          </w:p>
          <w:p w14:paraId="20D7BF2E">
            <w:pPr>
              <w:pStyle w:val="6"/>
              <w:spacing w:before="55" w:line="219" w:lineRule="auto"/>
              <w:ind w:left="834"/>
            </w:pPr>
            <w:r>
              <w:rPr>
                <w:b/>
                <w:bCs/>
                <w:spacing w:val="5"/>
              </w:rPr>
              <w:t>考试条目</w:t>
            </w:r>
          </w:p>
        </w:tc>
        <w:tc>
          <w:tcPr>
            <w:tcW w:w="892" w:type="dxa"/>
            <w:gridSpan w:val="4"/>
            <w:vAlign w:val="top"/>
          </w:tcPr>
          <w:p w14:paraId="64007304">
            <w:pPr>
              <w:pStyle w:val="6"/>
              <w:spacing w:before="99" w:line="219" w:lineRule="auto"/>
              <w:ind w:left="140"/>
            </w:pPr>
            <w:r>
              <w:rPr>
                <w:b/>
                <w:bCs/>
                <w:spacing w:val="-4"/>
              </w:rPr>
              <w:t>考试水平</w:t>
            </w:r>
          </w:p>
        </w:tc>
      </w:tr>
      <w:tr w14:paraId="0D73E4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0" w:hRule="atLeast"/>
        </w:trPr>
        <w:tc>
          <w:tcPr>
            <w:tcW w:w="883" w:type="dxa"/>
            <w:vMerge w:val="continue"/>
            <w:tcBorders>
              <w:top w:val="nil"/>
            </w:tcBorders>
            <w:vAlign w:val="top"/>
          </w:tcPr>
          <w:p w14:paraId="13C54959">
            <w:pPr>
              <w:rPr>
                <w:rFonts w:ascii="Arial"/>
                <w:sz w:val="21"/>
              </w:rPr>
            </w:pPr>
          </w:p>
        </w:tc>
        <w:tc>
          <w:tcPr>
            <w:tcW w:w="2334" w:type="dxa"/>
            <w:vMerge w:val="continue"/>
            <w:tcBorders>
              <w:top w:val="nil"/>
            </w:tcBorders>
            <w:vAlign w:val="top"/>
          </w:tcPr>
          <w:p w14:paraId="0B6C720D">
            <w:pPr>
              <w:rPr>
                <w:rFonts w:ascii="Arial"/>
                <w:sz w:val="21"/>
              </w:rPr>
            </w:pPr>
          </w:p>
        </w:tc>
        <w:tc>
          <w:tcPr>
            <w:tcW w:w="210" w:type="dxa"/>
            <w:vAlign w:val="top"/>
          </w:tcPr>
          <w:p w14:paraId="235DB91F">
            <w:pPr>
              <w:pStyle w:val="6"/>
              <w:spacing w:before="100" w:line="184" w:lineRule="auto"/>
              <w:ind w:left="18"/>
            </w:pPr>
            <w:r>
              <w:t>A</w:t>
            </w:r>
          </w:p>
        </w:tc>
        <w:tc>
          <w:tcPr>
            <w:tcW w:w="229" w:type="dxa"/>
            <w:vAlign w:val="top"/>
          </w:tcPr>
          <w:p w14:paraId="4B64E0F7">
            <w:pPr>
              <w:pStyle w:val="6"/>
              <w:spacing w:before="103" w:line="181" w:lineRule="auto"/>
              <w:ind w:left="70"/>
            </w:pPr>
            <w:r>
              <w:rPr>
                <w:b/>
                <w:bCs/>
                <w:spacing w:val="-2"/>
              </w:rPr>
              <w:t>B</w:t>
            </w:r>
          </w:p>
        </w:tc>
        <w:tc>
          <w:tcPr>
            <w:tcW w:w="229" w:type="dxa"/>
            <w:vAlign w:val="top"/>
          </w:tcPr>
          <w:p w14:paraId="52C784F6">
            <w:pPr>
              <w:pStyle w:val="6"/>
              <w:spacing w:before="97" w:line="168" w:lineRule="auto"/>
              <w:ind w:left="21"/>
              <w:rPr>
                <w:sz w:val="19"/>
                <w:szCs w:val="19"/>
              </w:rPr>
            </w:pPr>
            <w:r>
              <w:rPr>
                <w:b/>
                <w:bCs/>
                <w:spacing w:val="-2"/>
                <w:sz w:val="19"/>
                <w:szCs w:val="19"/>
              </w:rPr>
              <w:t>C</w:t>
            </w:r>
          </w:p>
        </w:tc>
        <w:tc>
          <w:tcPr>
            <w:tcW w:w="224" w:type="dxa"/>
            <w:vAlign w:val="top"/>
          </w:tcPr>
          <w:p w14:paraId="2ADDF2D5">
            <w:pPr>
              <w:pStyle w:val="6"/>
              <w:spacing w:before="103" w:line="181" w:lineRule="auto"/>
              <w:ind w:left="62"/>
            </w:pPr>
            <w:r>
              <w:rPr>
                <w:b/>
                <w:bCs/>
                <w:spacing w:val="-2"/>
              </w:rPr>
              <w:t>D</w:t>
            </w:r>
          </w:p>
        </w:tc>
      </w:tr>
      <w:tr w14:paraId="54F4B4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9" w:hRule="atLeast"/>
        </w:trPr>
        <w:tc>
          <w:tcPr>
            <w:tcW w:w="883" w:type="dxa"/>
            <w:vMerge w:val="restart"/>
            <w:tcBorders>
              <w:bottom w:val="nil"/>
            </w:tcBorders>
            <w:vAlign w:val="top"/>
          </w:tcPr>
          <w:p w14:paraId="778E8253">
            <w:pPr>
              <w:pStyle w:val="6"/>
              <w:spacing w:before="237" w:line="223" w:lineRule="auto"/>
              <w:ind w:left="94" w:right="88"/>
            </w:pPr>
            <w:r>
              <w:rPr>
                <w:spacing w:val="-2"/>
              </w:rPr>
              <w:t>砌筑施工</w:t>
            </w:r>
            <w:r>
              <w:t xml:space="preserve"> </w:t>
            </w:r>
            <w:r>
              <w:rPr>
                <w:spacing w:val="2"/>
              </w:rPr>
              <w:t>常用机具</w:t>
            </w:r>
          </w:p>
        </w:tc>
        <w:tc>
          <w:tcPr>
            <w:tcW w:w="2334" w:type="dxa"/>
            <w:vMerge w:val="restart"/>
            <w:tcBorders>
              <w:bottom w:val="nil"/>
            </w:tcBorders>
            <w:vAlign w:val="top"/>
          </w:tcPr>
          <w:p w14:paraId="379A871A">
            <w:pPr>
              <w:pStyle w:val="6"/>
              <w:spacing w:before="227" w:line="260" w:lineRule="auto"/>
              <w:ind w:left="12" w:right="433"/>
            </w:pPr>
            <w:r>
              <w:t>1.砌筑施工常用机械设备</w:t>
            </w:r>
            <w:r>
              <w:rPr>
                <w:spacing w:val="7"/>
              </w:rPr>
              <w:t xml:space="preserve"> </w:t>
            </w:r>
            <w:r>
              <w:rPr>
                <w:spacing w:val="-2"/>
              </w:rPr>
              <w:t>2.砌筑工具</w:t>
            </w:r>
          </w:p>
        </w:tc>
        <w:tc>
          <w:tcPr>
            <w:tcW w:w="210" w:type="dxa"/>
            <w:vAlign w:val="top"/>
          </w:tcPr>
          <w:p w14:paraId="196EC3E7">
            <w:pPr>
              <w:rPr>
                <w:rFonts w:ascii="Arial"/>
                <w:sz w:val="21"/>
              </w:rPr>
            </w:pPr>
          </w:p>
        </w:tc>
        <w:tc>
          <w:tcPr>
            <w:tcW w:w="229" w:type="dxa"/>
            <w:vAlign w:val="top"/>
          </w:tcPr>
          <w:p w14:paraId="124F5659">
            <w:pPr>
              <w:rPr>
                <w:rFonts w:ascii="Arial"/>
                <w:sz w:val="21"/>
              </w:rPr>
            </w:pPr>
          </w:p>
        </w:tc>
        <w:tc>
          <w:tcPr>
            <w:tcW w:w="229" w:type="dxa"/>
            <w:vAlign w:val="top"/>
          </w:tcPr>
          <w:p w14:paraId="3DB41F62">
            <w:pPr>
              <w:rPr>
                <w:rFonts w:ascii="Arial"/>
                <w:sz w:val="21"/>
              </w:rPr>
            </w:pPr>
          </w:p>
        </w:tc>
        <w:tc>
          <w:tcPr>
            <w:tcW w:w="224" w:type="dxa"/>
            <w:vAlign w:val="top"/>
          </w:tcPr>
          <w:p w14:paraId="52E3C82A">
            <w:pPr>
              <w:rPr>
                <w:rFonts w:ascii="Arial"/>
                <w:sz w:val="21"/>
              </w:rPr>
            </w:pPr>
          </w:p>
        </w:tc>
      </w:tr>
      <w:tr w14:paraId="2D0497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0" w:hRule="atLeast"/>
        </w:trPr>
        <w:tc>
          <w:tcPr>
            <w:tcW w:w="883" w:type="dxa"/>
            <w:vMerge w:val="continue"/>
            <w:tcBorders>
              <w:top w:val="nil"/>
            </w:tcBorders>
            <w:vAlign w:val="top"/>
          </w:tcPr>
          <w:p w14:paraId="31AD3E7C">
            <w:pPr>
              <w:rPr>
                <w:rFonts w:ascii="Arial"/>
                <w:sz w:val="21"/>
              </w:rPr>
            </w:pPr>
          </w:p>
        </w:tc>
        <w:tc>
          <w:tcPr>
            <w:tcW w:w="2334" w:type="dxa"/>
            <w:vMerge w:val="continue"/>
            <w:tcBorders>
              <w:top w:val="nil"/>
            </w:tcBorders>
            <w:vAlign w:val="top"/>
          </w:tcPr>
          <w:p w14:paraId="10423C38">
            <w:pPr>
              <w:rPr>
                <w:rFonts w:ascii="Arial"/>
                <w:sz w:val="21"/>
              </w:rPr>
            </w:pPr>
          </w:p>
        </w:tc>
        <w:tc>
          <w:tcPr>
            <w:tcW w:w="210" w:type="dxa"/>
            <w:vAlign w:val="top"/>
          </w:tcPr>
          <w:p w14:paraId="1F11FC39">
            <w:pPr>
              <w:spacing w:line="200" w:lineRule="exact"/>
              <w:rPr>
                <w:rFonts w:ascii="Arial"/>
                <w:sz w:val="17"/>
              </w:rPr>
            </w:pPr>
          </w:p>
        </w:tc>
        <w:tc>
          <w:tcPr>
            <w:tcW w:w="229" w:type="dxa"/>
            <w:vAlign w:val="top"/>
          </w:tcPr>
          <w:p w14:paraId="792199E7">
            <w:pPr>
              <w:spacing w:line="200" w:lineRule="exact"/>
              <w:rPr>
                <w:rFonts w:ascii="Arial"/>
                <w:sz w:val="17"/>
              </w:rPr>
            </w:pPr>
          </w:p>
        </w:tc>
        <w:tc>
          <w:tcPr>
            <w:tcW w:w="229" w:type="dxa"/>
            <w:vAlign w:val="top"/>
          </w:tcPr>
          <w:p w14:paraId="06868548">
            <w:pPr>
              <w:spacing w:line="200" w:lineRule="exact"/>
              <w:rPr>
                <w:rFonts w:ascii="Arial"/>
                <w:sz w:val="17"/>
              </w:rPr>
            </w:pPr>
          </w:p>
        </w:tc>
        <w:tc>
          <w:tcPr>
            <w:tcW w:w="224" w:type="dxa"/>
            <w:vAlign w:val="top"/>
          </w:tcPr>
          <w:p w14:paraId="0FDDFC43">
            <w:pPr>
              <w:spacing w:line="200" w:lineRule="exact"/>
              <w:rPr>
                <w:rFonts w:ascii="Arial"/>
                <w:sz w:val="17"/>
              </w:rPr>
            </w:pPr>
          </w:p>
        </w:tc>
      </w:tr>
      <w:tr w14:paraId="0C0A2D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883" w:type="dxa"/>
            <w:vMerge w:val="restart"/>
            <w:tcBorders>
              <w:bottom w:val="nil"/>
            </w:tcBorders>
            <w:vAlign w:val="top"/>
          </w:tcPr>
          <w:p w14:paraId="7F318244">
            <w:pPr>
              <w:spacing w:line="352" w:lineRule="auto"/>
              <w:rPr>
                <w:rFonts w:ascii="Arial"/>
                <w:sz w:val="21"/>
              </w:rPr>
            </w:pPr>
          </w:p>
          <w:p w14:paraId="6C17EBD7">
            <w:pPr>
              <w:pStyle w:val="6"/>
              <w:spacing w:before="55" w:line="217" w:lineRule="auto"/>
              <w:ind w:left="94" w:right="104"/>
            </w:pPr>
            <w:r>
              <w:rPr>
                <w:spacing w:val="-2"/>
              </w:rPr>
              <w:t>砌筑施工</w:t>
            </w:r>
            <w:r>
              <w:t xml:space="preserve"> </w:t>
            </w:r>
            <w:r>
              <w:rPr>
                <w:spacing w:val="-3"/>
              </w:rPr>
              <w:t>常用材料</w:t>
            </w:r>
          </w:p>
        </w:tc>
        <w:tc>
          <w:tcPr>
            <w:tcW w:w="2334" w:type="dxa"/>
            <w:vMerge w:val="restart"/>
            <w:tcBorders>
              <w:bottom w:val="nil"/>
            </w:tcBorders>
            <w:vAlign w:val="top"/>
          </w:tcPr>
          <w:p w14:paraId="2910896A">
            <w:pPr>
              <w:pStyle w:val="6"/>
              <w:spacing w:before="161" w:line="221" w:lineRule="auto"/>
              <w:ind w:left="12"/>
            </w:pPr>
            <w:r>
              <w:rPr>
                <w:spacing w:val="4"/>
              </w:rPr>
              <w:t>1.砖</w:t>
            </w:r>
          </w:p>
          <w:p w14:paraId="5C1C3254">
            <w:pPr>
              <w:pStyle w:val="6"/>
              <w:spacing w:before="43" w:line="230" w:lineRule="auto"/>
              <w:ind w:left="12" w:right="259"/>
            </w:pPr>
            <w:r>
              <w:t>2.石材主要技术性质及品种</w:t>
            </w:r>
            <w:r>
              <w:rPr>
                <w:spacing w:val="11"/>
              </w:rPr>
              <w:t xml:space="preserve"> </w:t>
            </w:r>
            <w:r>
              <w:rPr>
                <w:spacing w:val="-3"/>
              </w:rPr>
              <w:t>3.砌块</w:t>
            </w:r>
          </w:p>
          <w:p w14:paraId="3F68232A">
            <w:pPr>
              <w:pStyle w:val="6"/>
              <w:spacing w:before="17" w:line="219" w:lineRule="auto"/>
              <w:ind w:left="12"/>
            </w:pPr>
            <w:r>
              <w:rPr>
                <w:spacing w:val="-2"/>
              </w:rPr>
              <w:t>4.砂浆</w:t>
            </w:r>
          </w:p>
        </w:tc>
        <w:tc>
          <w:tcPr>
            <w:tcW w:w="210" w:type="dxa"/>
            <w:vAlign w:val="top"/>
          </w:tcPr>
          <w:p w14:paraId="1F64FF78">
            <w:pPr>
              <w:rPr>
                <w:rFonts w:ascii="Arial"/>
                <w:sz w:val="21"/>
              </w:rPr>
            </w:pPr>
          </w:p>
        </w:tc>
        <w:tc>
          <w:tcPr>
            <w:tcW w:w="229" w:type="dxa"/>
            <w:vAlign w:val="top"/>
          </w:tcPr>
          <w:p w14:paraId="36663C43">
            <w:pPr>
              <w:pStyle w:val="6"/>
              <w:spacing w:before="100" w:line="238" w:lineRule="auto"/>
              <w:ind w:left="47"/>
              <w:rPr>
                <w:sz w:val="13"/>
                <w:szCs w:val="13"/>
              </w:rPr>
            </w:pPr>
            <w:r>
              <w:rPr>
                <w:sz w:val="13"/>
                <w:szCs w:val="13"/>
              </w:rPr>
              <w:t>√</w:t>
            </w:r>
          </w:p>
        </w:tc>
        <w:tc>
          <w:tcPr>
            <w:tcW w:w="229" w:type="dxa"/>
            <w:vAlign w:val="top"/>
          </w:tcPr>
          <w:p w14:paraId="72636BE3">
            <w:pPr>
              <w:rPr>
                <w:rFonts w:ascii="Arial"/>
                <w:sz w:val="21"/>
              </w:rPr>
            </w:pPr>
          </w:p>
        </w:tc>
        <w:tc>
          <w:tcPr>
            <w:tcW w:w="224" w:type="dxa"/>
            <w:vAlign w:val="top"/>
          </w:tcPr>
          <w:p w14:paraId="1F4B5387">
            <w:pPr>
              <w:rPr>
                <w:rFonts w:ascii="Arial"/>
                <w:sz w:val="21"/>
              </w:rPr>
            </w:pPr>
          </w:p>
        </w:tc>
      </w:tr>
      <w:tr w14:paraId="34E188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883" w:type="dxa"/>
            <w:vMerge w:val="continue"/>
            <w:tcBorders>
              <w:top w:val="nil"/>
              <w:bottom w:val="nil"/>
            </w:tcBorders>
            <w:vAlign w:val="top"/>
          </w:tcPr>
          <w:p w14:paraId="24F52414">
            <w:pPr>
              <w:rPr>
                <w:rFonts w:ascii="Arial"/>
                <w:sz w:val="21"/>
              </w:rPr>
            </w:pPr>
          </w:p>
        </w:tc>
        <w:tc>
          <w:tcPr>
            <w:tcW w:w="2334" w:type="dxa"/>
            <w:vMerge w:val="continue"/>
            <w:tcBorders>
              <w:top w:val="nil"/>
              <w:bottom w:val="nil"/>
            </w:tcBorders>
            <w:vAlign w:val="top"/>
          </w:tcPr>
          <w:p w14:paraId="5895E7FF">
            <w:pPr>
              <w:rPr>
                <w:rFonts w:ascii="Arial"/>
                <w:sz w:val="21"/>
              </w:rPr>
            </w:pPr>
          </w:p>
        </w:tc>
        <w:tc>
          <w:tcPr>
            <w:tcW w:w="210" w:type="dxa"/>
            <w:vAlign w:val="top"/>
          </w:tcPr>
          <w:p w14:paraId="4CBCE355">
            <w:pPr>
              <w:pStyle w:val="6"/>
              <w:spacing w:before="100" w:line="238" w:lineRule="auto"/>
              <w:ind w:left="18"/>
              <w:rPr>
                <w:sz w:val="13"/>
                <w:szCs w:val="13"/>
              </w:rPr>
            </w:pPr>
            <w:r>
              <w:rPr>
                <w:sz w:val="13"/>
                <w:szCs w:val="13"/>
              </w:rPr>
              <w:t>√</w:t>
            </w:r>
          </w:p>
        </w:tc>
        <w:tc>
          <w:tcPr>
            <w:tcW w:w="229" w:type="dxa"/>
            <w:vAlign w:val="top"/>
          </w:tcPr>
          <w:p w14:paraId="5A8ACBD6">
            <w:pPr>
              <w:rPr>
                <w:rFonts w:ascii="Arial"/>
                <w:sz w:val="21"/>
              </w:rPr>
            </w:pPr>
          </w:p>
        </w:tc>
        <w:tc>
          <w:tcPr>
            <w:tcW w:w="229" w:type="dxa"/>
            <w:vAlign w:val="top"/>
          </w:tcPr>
          <w:p w14:paraId="688AB010">
            <w:pPr>
              <w:rPr>
                <w:rFonts w:ascii="Arial"/>
                <w:sz w:val="21"/>
              </w:rPr>
            </w:pPr>
          </w:p>
        </w:tc>
        <w:tc>
          <w:tcPr>
            <w:tcW w:w="224" w:type="dxa"/>
            <w:vAlign w:val="top"/>
          </w:tcPr>
          <w:p w14:paraId="5CEC459A">
            <w:pPr>
              <w:rPr>
                <w:rFonts w:ascii="Arial"/>
                <w:sz w:val="21"/>
              </w:rPr>
            </w:pPr>
          </w:p>
        </w:tc>
      </w:tr>
      <w:tr w14:paraId="165E45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883" w:type="dxa"/>
            <w:vMerge w:val="continue"/>
            <w:tcBorders>
              <w:top w:val="nil"/>
              <w:bottom w:val="nil"/>
            </w:tcBorders>
            <w:vAlign w:val="top"/>
          </w:tcPr>
          <w:p w14:paraId="0216334D">
            <w:pPr>
              <w:rPr>
                <w:rFonts w:ascii="Arial"/>
                <w:sz w:val="21"/>
              </w:rPr>
            </w:pPr>
          </w:p>
        </w:tc>
        <w:tc>
          <w:tcPr>
            <w:tcW w:w="2334" w:type="dxa"/>
            <w:vMerge w:val="continue"/>
            <w:tcBorders>
              <w:top w:val="nil"/>
              <w:bottom w:val="nil"/>
            </w:tcBorders>
            <w:vAlign w:val="top"/>
          </w:tcPr>
          <w:p w14:paraId="0D9219F8">
            <w:pPr>
              <w:rPr>
                <w:rFonts w:ascii="Arial"/>
                <w:sz w:val="21"/>
              </w:rPr>
            </w:pPr>
          </w:p>
        </w:tc>
        <w:tc>
          <w:tcPr>
            <w:tcW w:w="210" w:type="dxa"/>
            <w:vAlign w:val="top"/>
          </w:tcPr>
          <w:p w14:paraId="2DC57B81">
            <w:pPr>
              <w:pStyle w:val="6"/>
              <w:spacing w:before="101" w:line="238" w:lineRule="auto"/>
              <w:ind w:left="18"/>
              <w:rPr>
                <w:sz w:val="13"/>
                <w:szCs w:val="13"/>
              </w:rPr>
            </w:pPr>
            <w:r>
              <w:rPr>
                <w:sz w:val="13"/>
                <w:szCs w:val="13"/>
              </w:rPr>
              <w:t>√</w:t>
            </w:r>
          </w:p>
        </w:tc>
        <w:tc>
          <w:tcPr>
            <w:tcW w:w="229" w:type="dxa"/>
            <w:vAlign w:val="top"/>
          </w:tcPr>
          <w:p w14:paraId="0C5B4481">
            <w:pPr>
              <w:rPr>
                <w:rFonts w:ascii="Arial"/>
                <w:sz w:val="21"/>
              </w:rPr>
            </w:pPr>
          </w:p>
        </w:tc>
        <w:tc>
          <w:tcPr>
            <w:tcW w:w="229" w:type="dxa"/>
            <w:vAlign w:val="top"/>
          </w:tcPr>
          <w:p w14:paraId="6F7FBAC1">
            <w:pPr>
              <w:rPr>
                <w:rFonts w:ascii="Arial"/>
                <w:sz w:val="21"/>
              </w:rPr>
            </w:pPr>
          </w:p>
        </w:tc>
        <w:tc>
          <w:tcPr>
            <w:tcW w:w="224" w:type="dxa"/>
            <w:vAlign w:val="top"/>
          </w:tcPr>
          <w:p w14:paraId="62FA488D">
            <w:pPr>
              <w:rPr>
                <w:rFonts w:ascii="Arial"/>
                <w:sz w:val="21"/>
              </w:rPr>
            </w:pPr>
          </w:p>
        </w:tc>
      </w:tr>
      <w:tr w14:paraId="52A8BB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0" w:hRule="atLeast"/>
        </w:trPr>
        <w:tc>
          <w:tcPr>
            <w:tcW w:w="883" w:type="dxa"/>
            <w:vMerge w:val="continue"/>
            <w:tcBorders>
              <w:top w:val="nil"/>
            </w:tcBorders>
            <w:vAlign w:val="top"/>
          </w:tcPr>
          <w:p w14:paraId="7E8A9837">
            <w:pPr>
              <w:rPr>
                <w:rFonts w:ascii="Arial"/>
                <w:sz w:val="21"/>
              </w:rPr>
            </w:pPr>
          </w:p>
        </w:tc>
        <w:tc>
          <w:tcPr>
            <w:tcW w:w="2334" w:type="dxa"/>
            <w:vMerge w:val="continue"/>
            <w:tcBorders>
              <w:top w:val="nil"/>
            </w:tcBorders>
            <w:vAlign w:val="top"/>
          </w:tcPr>
          <w:p w14:paraId="589F129B">
            <w:pPr>
              <w:rPr>
                <w:rFonts w:ascii="Arial"/>
                <w:sz w:val="21"/>
              </w:rPr>
            </w:pPr>
          </w:p>
        </w:tc>
        <w:tc>
          <w:tcPr>
            <w:tcW w:w="210" w:type="dxa"/>
            <w:vAlign w:val="top"/>
          </w:tcPr>
          <w:p w14:paraId="047674E4">
            <w:pPr>
              <w:spacing w:line="220" w:lineRule="exact"/>
              <w:rPr>
                <w:rFonts w:ascii="Arial"/>
                <w:sz w:val="19"/>
              </w:rPr>
            </w:pPr>
          </w:p>
        </w:tc>
        <w:tc>
          <w:tcPr>
            <w:tcW w:w="229" w:type="dxa"/>
            <w:vAlign w:val="top"/>
          </w:tcPr>
          <w:p w14:paraId="6F2F1857">
            <w:pPr>
              <w:pStyle w:val="6"/>
              <w:spacing w:before="61" w:line="225" w:lineRule="auto"/>
              <w:ind w:left="47"/>
              <w:rPr>
                <w:sz w:val="13"/>
                <w:szCs w:val="13"/>
              </w:rPr>
            </w:pPr>
            <w:r>
              <w:rPr>
                <w:sz w:val="13"/>
                <w:szCs w:val="13"/>
              </w:rPr>
              <w:t>√</w:t>
            </w:r>
          </w:p>
        </w:tc>
        <w:tc>
          <w:tcPr>
            <w:tcW w:w="229" w:type="dxa"/>
            <w:vAlign w:val="top"/>
          </w:tcPr>
          <w:p w14:paraId="4B9FD9B3">
            <w:pPr>
              <w:spacing w:line="220" w:lineRule="exact"/>
              <w:rPr>
                <w:rFonts w:ascii="Arial"/>
                <w:sz w:val="19"/>
              </w:rPr>
            </w:pPr>
          </w:p>
        </w:tc>
        <w:tc>
          <w:tcPr>
            <w:tcW w:w="224" w:type="dxa"/>
            <w:vAlign w:val="top"/>
          </w:tcPr>
          <w:p w14:paraId="611D2895">
            <w:pPr>
              <w:spacing w:line="220" w:lineRule="exact"/>
              <w:rPr>
                <w:rFonts w:ascii="Arial"/>
                <w:sz w:val="19"/>
              </w:rPr>
            </w:pPr>
          </w:p>
        </w:tc>
      </w:tr>
      <w:tr w14:paraId="0E63B5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883" w:type="dxa"/>
            <w:vMerge w:val="restart"/>
            <w:tcBorders>
              <w:bottom w:val="nil"/>
            </w:tcBorders>
            <w:vAlign w:val="top"/>
          </w:tcPr>
          <w:p w14:paraId="59C9C9D1">
            <w:pPr>
              <w:spacing w:line="323" w:lineRule="auto"/>
              <w:rPr>
                <w:rFonts w:ascii="Arial"/>
                <w:sz w:val="21"/>
              </w:rPr>
            </w:pPr>
          </w:p>
          <w:p w14:paraId="2550B21F">
            <w:pPr>
              <w:pStyle w:val="6"/>
              <w:spacing w:before="55" w:line="220" w:lineRule="auto"/>
              <w:ind w:left="94"/>
            </w:pPr>
            <w:r>
              <w:rPr>
                <w:spacing w:val="-2"/>
              </w:rPr>
              <w:t>砌筑墙体</w:t>
            </w:r>
          </w:p>
        </w:tc>
        <w:tc>
          <w:tcPr>
            <w:tcW w:w="2334" w:type="dxa"/>
            <w:vMerge w:val="restart"/>
            <w:tcBorders>
              <w:bottom w:val="nil"/>
            </w:tcBorders>
            <w:vAlign w:val="top"/>
          </w:tcPr>
          <w:p w14:paraId="30795459">
            <w:pPr>
              <w:pStyle w:val="6"/>
              <w:spacing w:before="179" w:line="219" w:lineRule="auto"/>
              <w:ind w:left="12" w:right="264"/>
            </w:pPr>
            <w:r>
              <w:t>1.实心砖墙组砌原则及要求</w:t>
            </w:r>
            <w:r>
              <w:rPr>
                <w:spacing w:val="6"/>
              </w:rPr>
              <w:t xml:space="preserve"> </w:t>
            </w:r>
            <w:r>
              <w:rPr>
                <w:spacing w:val="-1"/>
              </w:rPr>
              <w:t>2.实心砖墙组砌形式</w:t>
            </w:r>
          </w:p>
          <w:p w14:paraId="4712210B">
            <w:pPr>
              <w:pStyle w:val="6"/>
              <w:spacing w:before="37" w:line="220" w:lineRule="auto"/>
              <w:ind w:left="12"/>
            </w:pPr>
            <w:r>
              <w:rPr>
                <w:spacing w:val="1"/>
              </w:rPr>
              <w:t>3.墙体砌筑工艺</w:t>
            </w:r>
          </w:p>
        </w:tc>
        <w:tc>
          <w:tcPr>
            <w:tcW w:w="210" w:type="dxa"/>
            <w:vAlign w:val="top"/>
          </w:tcPr>
          <w:p w14:paraId="2985E460">
            <w:pPr>
              <w:rPr>
                <w:rFonts w:ascii="Arial"/>
                <w:sz w:val="21"/>
              </w:rPr>
            </w:pPr>
          </w:p>
        </w:tc>
        <w:tc>
          <w:tcPr>
            <w:tcW w:w="229" w:type="dxa"/>
            <w:vAlign w:val="top"/>
          </w:tcPr>
          <w:p w14:paraId="606D258F">
            <w:pPr>
              <w:rPr>
                <w:rFonts w:ascii="Arial"/>
                <w:sz w:val="21"/>
              </w:rPr>
            </w:pPr>
          </w:p>
        </w:tc>
        <w:tc>
          <w:tcPr>
            <w:tcW w:w="229" w:type="dxa"/>
            <w:vAlign w:val="top"/>
          </w:tcPr>
          <w:p w14:paraId="7FD3D977">
            <w:pPr>
              <w:pStyle w:val="6"/>
              <w:spacing w:before="101" w:line="238" w:lineRule="auto"/>
              <w:ind w:left="49"/>
              <w:rPr>
                <w:sz w:val="13"/>
                <w:szCs w:val="13"/>
              </w:rPr>
            </w:pPr>
            <w:r>
              <w:rPr>
                <w:sz w:val="13"/>
                <w:szCs w:val="13"/>
              </w:rPr>
              <w:t>√</w:t>
            </w:r>
          </w:p>
        </w:tc>
        <w:tc>
          <w:tcPr>
            <w:tcW w:w="224" w:type="dxa"/>
            <w:vAlign w:val="top"/>
          </w:tcPr>
          <w:p w14:paraId="242ACD7B">
            <w:pPr>
              <w:rPr>
                <w:rFonts w:ascii="Arial"/>
                <w:sz w:val="21"/>
              </w:rPr>
            </w:pPr>
          </w:p>
        </w:tc>
      </w:tr>
      <w:tr w14:paraId="18BAAE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883" w:type="dxa"/>
            <w:vMerge w:val="continue"/>
            <w:tcBorders>
              <w:top w:val="nil"/>
              <w:bottom w:val="nil"/>
            </w:tcBorders>
            <w:vAlign w:val="top"/>
          </w:tcPr>
          <w:p w14:paraId="70BB975B">
            <w:pPr>
              <w:rPr>
                <w:rFonts w:ascii="Arial"/>
                <w:sz w:val="21"/>
              </w:rPr>
            </w:pPr>
          </w:p>
        </w:tc>
        <w:tc>
          <w:tcPr>
            <w:tcW w:w="2334" w:type="dxa"/>
            <w:vMerge w:val="continue"/>
            <w:tcBorders>
              <w:top w:val="nil"/>
              <w:bottom w:val="nil"/>
            </w:tcBorders>
            <w:vAlign w:val="top"/>
          </w:tcPr>
          <w:p w14:paraId="7C04EC9D">
            <w:pPr>
              <w:rPr>
                <w:rFonts w:ascii="Arial"/>
                <w:sz w:val="21"/>
              </w:rPr>
            </w:pPr>
          </w:p>
        </w:tc>
        <w:tc>
          <w:tcPr>
            <w:tcW w:w="210" w:type="dxa"/>
            <w:vAlign w:val="top"/>
          </w:tcPr>
          <w:p w14:paraId="576468B6">
            <w:pPr>
              <w:pStyle w:val="6"/>
              <w:spacing w:before="101" w:line="238" w:lineRule="auto"/>
              <w:ind w:left="18"/>
              <w:rPr>
                <w:sz w:val="13"/>
                <w:szCs w:val="13"/>
              </w:rPr>
            </w:pPr>
            <w:r>
              <w:rPr>
                <w:sz w:val="13"/>
                <w:szCs w:val="13"/>
              </w:rPr>
              <w:t>√</w:t>
            </w:r>
          </w:p>
        </w:tc>
        <w:tc>
          <w:tcPr>
            <w:tcW w:w="229" w:type="dxa"/>
            <w:vAlign w:val="top"/>
          </w:tcPr>
          <w:p w14:paraId="1F3578E7">
            <w:pPr>
              <w:rPr>
                <w:rFonts w:ascii="Arial"/>
                <w:sz w:val="21"/>
              </w:rPr>
            </w:pPr>
          </w:p>
        </w:tc>
        <w:tc>
          <w:tcPr>
            <w:tcW w:w="229" w:type="dxa"/>
            <w:vAlign w:val="top"/>
          </w:tcPr>
          <w:p w14:paraId="43F27313">
            <w:pPr>
              <w:rPr>
                <w:rFonts w:ascii="Arial"/>
                <w:sz w:val="21"/>
              </w:rPr>
            </w:pPr>
          </w:p>
        </w:tc>
        <w:tc>
          <w:tcPr>
            <w:tcW w:w="224" w:type="dxa"/>
            <w:vAlign w:val="top"/>
          </w:tcPr>
          <w:p w14:paraId="45EBBA9D">
            <w:pPr>
              <w:rPr>
                <w:rFonts w:ascii="Arial"/>
                <w:sz w:val="21"/>
              </w:rPr>
            </w:pPr>
          </w:p>
        </w:tc>
      </w:tr>
      <w:tr w14:paraId="2E26AA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883" w:type="dxa"/>
            <w:vMerge w:val="continue"/>
            <w:tcBorders>
              <w:top w:val="nil"/>
            </w:tcBorders>
            <w:vAlign w:val="top"/>
          </w:tcPr>
          <w:p w14:paraId="29197170">
            <w:pPr>
              <w:rPr>
                <w:rFonts w:ascii="Arial"/>
                <w:sz w:val="21"/>
              </w:rPr>
            </w:pPr>
          </w:p>
        </w:tc>
        <w:tc>
          <w:tcPr>
            <w:tcW w:w="2334" w:type="dxa"/>
            <w:vMerge w:val="continue"/>
            <w:tcBorders>
              <w:top w:val="nil"/>
            </w:tcBorders>
            <w:vAlign w:val="top"/>
          </w:tcPr>
          <w:p w14:paraId="6C0B1EFA">
            <w:pPr>
              <w:rPr>
                <w:rFonts w:ascii="Arial"/>
                <w:sz w:val="21"/>
              </w:rPr>
            </w:pPr>
          </w:p>
        </w:tc>
        <w:tc>
          <w:tcPr>
            <w:tcW w:w="210" w:type="dxa"/>
            <w:vAlign w:val="top"/>
          </w:tcPr>
          <w:p w14:paraId="0F6B66D2">
            <w:pPr>
              <w:rPr>
                <w:rFonts w:ascii="Arial"/>
                <w:sz w:val="21"/>
              </w:rPr>
            </w:pPr>
          </w:p>
        </w:tc>
        <w:tc>
          <w:tcPr>
            <w:tcW w:w="229" w:type="dxa"/>
            <w:vAlign w:val="top"/>
          </w:tcPr>
          <w:p w14:paraId="2F9EC7FE">
            <w:pPr>
              <w:rPr>
                <w:rFonts w:ascii="Arial"/>
                <w:sz w:val="21"/>
              </w:rPr>
            </w:pPr>
          </w:p>
        </w:tc>
        <w:tc>
          <w:tcPr>
            <w:tcW w:w="229" w:type="dxa"/>
            <w:vAlign w:val="top"/>
          </w:tcPr>
          <w:p w14:paraId="0B980F43">
            <w:pPr>
              <w:rPr>
                <w:rFonts w:ascii="Arial"/>
                <w:sz w:val="21"/>
              </w:rPr>
            </w:pPr>
          </w:p>
        </w:tc>
        <w:tc>
          <w:tcPr>
            <w:tcW w:w="224" w:type="dxa"/>
            <w:vAlign w:val="top"/>
          </w:tcPr>
          <w:p w14:paraId="5C173956">
            <w:pPr>
              <w:pStyle w:val="6"/>
              <w:spacing w:before="109" w:line="238" w:lineRule="auto"/>
              <w:ind w:left="50"/>
              <w:rPr>
                <w:sz w:val="12"/>
                <w:szCs w:val="12"/>
              </w:rPr>
            </w:pPr>
            <w:r>
              <w:rPr>
                <w:sz w:val="12"/>
                <w:szCs w:val="12"/>
              </w:rPr>
              <w:t>√</w:t>
            </w:r>
          </w:p>
        </w:tc>
      </w:tr>
      <w:tr w14:paraId="0D0EC3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9" w:hRule="atLeast"/>
        </w:trPr>
        <w:tc>
          <w:tcPr>
            <w:tcW w:w="883" w:type="dxa"/>
            <w:vAlign w:val="top"/>
          </w:tcPr>
          <w:p w14:paraId="1B2651BB">
            <w:pPr>
              <w:pStyle w:val="6"/>
              <w:spacing w:before="31" w:line="216" w:lineRule="auto"/>
              <w:ind w:left="264" w:right="104" w:hanging="170"/>
            </w:pPr>
            <w:r>
              <w:rPr>
                <w:spacing w:val="-2"/>
              </w:rPr>
              <w:t>砌筑墙体</w:t>
            </w:r>
            <w:r>
              <w:t xml:space="preserve"> </w:t>
            </w:r>
            <w:r>
              <w:rPr>
                <w:spacing w:val="-2"/>
              </w:rPr>
              <w:t>细部</w:t>
            </w:r>
          </w:p>
        </w:tc>
        <w:tc>
          <w:tcPr>
            <w:tcW w:w="2334" w:type="dxa"/>
            <w:vAlign w:val="top"/>
          </w:tcPr>
          <w:p w14:paraId="2A473565">
            <w:pPr>
              <w:pStyle w:val="6"/>
              <w:spacing w:before="141" w:line="219" w:lineRule="auto"/>
              <w:ind w:left="12"/>
            </w:pPr>
            <w:r>
              <w:t>1.过梁、窗台砌筑</w:t>
            </w:r>
          </w:p>
        </w:tc>
        <w:tc>
          <w:tcPr>
            <w:tcW w:w="210" w:type="dxa"/>
            <w:vAlign w:val="top"/>
          </w:tcPr>
          <w:p w14:paraId="28AA1555">
            <w:pPr>
              <w:pStyle w:val="6"/>
              <w:spacing w:before="172" w:line="238" w:lineRule="auto"/>
              <w:ind w:left="18"/>
              <w:rPr>
                <w:sz w:val="13"/>
                <w:szCs w:val="13"/>
              </w:rPr>
            </w:pPr>
            <w:r>
              <w:rPr>
                <w:sz w:val="13"/>
                <w:szCs w:val="13"/>
              </w:rPr>
              <w:t>√</w:t>
            </w:r>
          </w:p>
        </w:tc>
        <w:tc>
          <w:tcPr>
            <w:tcW w:w="229" w:type="dxa"/>
            <w:vAlign w:val="top"/>
          </w:tcPr>
          <w:p w14:paraId="5AF372DA">
            <w:pPr>
              <w:rPr>
                <w:rFonts w:ascii="Arial"/>
                <w:sz w:val="21"/>
              </w:rPr>
            </w:pPr>
          </w:p>
        </w:tc>
        <w:tc>
          <w:tcPr>
            <w:tcW w:w="229" w:type="dxa"/>
            <w:vAlign w:val="top"/>
          </w:tcPr>
          <w:p w14:paraId="7462B5D7">
            <w:pPr>
              <w:rPr>
                <w:rFonts w:ascii="Arial"/>
                <w:sz w:val="21"/>
              </w:rPr>
            </w:pPr>
          </w:p>
        </w:tc>
        <w:tc>
          <w:tcPr>
            <w:tcW w:w="224" w:type="dxa"/>
            <w:vAlign w:val="top"/>
          </w:tcPr>
          <w:p w14:paraId="1CDF1226">
            <w:pPr>
              <w:rPr>
                <w:rFonts w:ascii="Arial"/>
                <w:sz w:val="21"/>
              </w:rPr>
            </w:pPr>
          </w:p>
        </w:tc>
      </w:tr>
      <w:tr w14:paraId="4FD970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19" w:hRule="atLeast"/>
        </w:trPr>
        <w:tc>
          <w:tcPr>
            <w:tcW w:w="883" w:type="dxa"/>
            <w:vAlign w:val="top"/>
          </w:tcPr>
          <w:p w14:paraId="1966D9C3">
            <w:pPr>
              <w:pStyle w:val="6"/>
              <w:spacing w:before="132" w:line="229" w:lineRule="auto"/>
              <w:ind w:left="264" w:right="104" w:hanging="170"/>
            </w:pPr>
            <w:r>
              <w:rPr>
                <w:spacing w:val="-2"/>
              </w:rPr>
              <w:t>砌筑砖石</w:t>
            </w:r>
            <w:r>
              <w:t xml:space="preserve"> </w:t>
            </w:r>
            <w:r>
              <w:rPr>
                <w:spacing w:val="-2"/>
              </w:rPr>
              <w:t>基础</w:t>
            </w:r>
          </w:p>
        </w:tc>
        <w:tc>
          <w:tcPr>
            <w:tcW w:w="2334" w:type="dxa"/>
            <w:vAlign w:val="top"/>
          </w:tcPr>
          <w:p w14:paraId="57250B0B">
            <w:pPr>
              <w:pStyle w:val="6"/>
              <w:spacing w:before="230" w:line="219" w:lineRule="auto"/>
              <w:ind w:left="12"/>
            </w:pPr>
            <w:r>
              <w:rPr>
                <w:spacing w:val="1"/>
              </w:rPr>
              <w:t>1.砖石基础大放脚施工要点</w:t>
            </w:r>
          </w:p>
        </w:tc>
        <w:tc>
          <w:tcPr>
            <w:tcW w:w="210" w:type="dxa"/>
            <w:vAlign w:val="top"/>
          </w:tcPr>
          <w:p w14:paraId="2BB7BD80">
            <w:pPr>
              <w:rPr>
                <w:rFonts w:ascii="Arial"/>
                <w:sz w:val="21"/>
              </w:rPr>
            </w:pPr>
          </w:p>
        </w:tc>
        <w:tc>
          <w:tcPr>
            <w:tcW w:w="229" w:type="dxa"/>
            <w:vAlign w:val="top"/>
          </w:tcPr>
          <w:p w14:paraId="238C8C1F">
            <w:pPr>
              <w:rPr>
                <w:rFonts w:ascii="Arial"/>
                <w:sz w:val="21"/>
              </w:rPr>
            </w:pPr>
          </w:p>
        </w:tc>
        <w:tc>
          <w:tcPr>
            <w:tcW w:w="229" w:type="dxa"/>
            <w:vAlign w:val="top"/>
          </w:tcPr>
          <w:p w14:paraId="648EDEE4">
            <w:pPr>
              <w:pStyle w:val="6"/>
              <w:spacing w:before="263" w:line="238" w:lineRule="auto"/>
              <w:ind w:left="49"/>
              <w:rPr>
                <w:sz w:val="13"/>
                <w:szCs w:val="13"/>
              </w:rPr>
            </w:pPr>
            <w:r>
              <w:rPr>
                <w:sz w:val="13"/>
                <w:szCs w:val="13"/>
              </w:rPr>
              <w:t>√</w:t>
            </w:r>
          </w:p>
        </w:tc>
        <w:tc>
          <w:tcPr>
            <w:tcW w:w="224" w:type="dxa"/>
            <w:vAlign w:val="top"/>
          </w:tcPr>
          <w:p w14:paraId="137A0074">
            <w:pPr>
              <w:rPr>
                <w:rFonts w:ascii="Arial"/>
                <w:sz w:val="21"/>
              </w:rPr>
            </w:pPr>
          </w:p>
        </w:tc>
      </w:tr>
      <w:tr w14:paraId="1D780E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9" w:hRule="atLeast"/>
        </w:trPr>
        <w:tc>
          <w:tcPr>
            <w:tcW w:w="883" w:type="dxa"/>
            <w:vAlign w:val="top"/>
          </w:tcPr>
          <w:p w14:paraId="0840CC60">
            <w:pPr>
              <w:pStyle w:val="6"/>
              <w:spacing w:before="113" w:line="251" w:lineRule="auto"/>
              <w:ind w:left="264" w:right="11" w:hanging="259"/>
            </w:pPr>
            <w:r>
              <w:rPr>
                <w:spacing w:val="1"/>
              </w:rPr>
              <w:t>中小型砌块</w:t>
            </w:r>
            <w:r>
              <w:t xml:space="preserve"> </w:t>
            </w:r>
            <w:r>
              <w:rPr>
                <w:spacing w:val="-2"/>
              </w:rPr>
              <w:t>施工</w:t>
            </w:r>
          </w:p>
        </w:tc>
        <w:tc>
          <w:tcPr>
            <w:tcW w:w="2334" w:type="dxa"/>
            <w:vAlign w:val="top"/>
          </w:tcPr>
          <w:p w14:paraId="254EBB4D">
            <w:pPr>
              <w:pStyle w:val="6"/>
              <w:spacing w:before="223" w:line="220" w:lineRule="auto"/>
              <w:ind w:left="12"/>
            </w:pPr>
            <w:r>
              <w:t>1.中小型砌块施工工艺</w:t>
            </w:r>
          </w:p>
        </w:tc>
        <w:tc>
          <w:tcPr>
            <w:tcW w:w="210" w:type="dxa"/>
            <w:vAlign w:val="top"/>
          </w:tcPr>
          <w:p w14:paraId="03780A5C">
            <w:pPr>
              <w:pStyle w:val="6"/>
              <w:spacing w:before="254" w:line="238" w:lineRule="auto"/>
              <w:ind w:left="18"/>
              <w:rPr>
                <w:sz w:val="13"/>
                <w:szCs w:val="13"/>
              </w:rPr>
            </w:pPr>
            <w:r>
              <w:rPr>
                <w:sz w:val="13"/>
                <w:szCs w:val="13"/>
              </w:rPr>
              <w:t>√</w:t>
            </w:r>
          </w:p>
        </w:tc>
        <w:tc>
          <w:tcPr>
            <w:tcW w:w="229" w:type="dxa"/>
            <w:vAlign w:val="top"/>
          </w:tcPr>
          <w:p w14:paraId="015BA2E0">
            <w:pPr>
              <w:rPr>
                <w:rFonts w:ascii="Arial"/>
                <w:sz w:val="21"/>
              </w:rPr>
            </w:pPr>
          </w:p>
        </w:tc>
        <w:tc>
          <w:tcPr>
            <w:tcW w:w="229" w:type="dxa"/>
            <w:vAlign w:val="top"/>
          </w:tcPr>
          <w:p w14:paraId="7BB03316">
            <w:pPr>
              <w:rPr>
                <w:rFonts w:ascii="Arial"/>
                <w:sz w:val="21"/>
              </w:rPr>
            </w:pPr>
          </w:p>
        </w:tc>
        <w:tc>
          <w:tcPr>
            <w:tcW w:w="224" w:type="dxa"/>
            <w:vAlign w:val="top"/>
          </w:tcPr>
          <w:p w14:paraId="2DBF5040">
            <w:pPr>
              <w:rPr>
                <w:rFonts w:ascii="Arial"/>
                <w:sz w:val="21"/>
              </w:rPr>
            </w:pPr>
          </w:p>
        </w:tc>
      </w:tr>
      <w:tr w14:paraId="143D7E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883" w:type="dxa"/>
            <w:vMerge w:val="restart"/>
            <w:tcBorders>
              <w:bottom w:val="nil"/>
            </w:tcBorders>
            <w:vAlign w:val="top"/>
          </w:tcPr>
          <w:p w14:paraId="026DA473">
            <w:pPr>
              <w:spacing w:line="277" w:lineRule="auto"/>
              <w:rPr>
                <w:rFonts w:ascii="Arial"/>
                <w:sz w:val="21"/>
              </w:rPr>
            </w:pPr>
          </w:p>
          <w:p w14:paraId="719FFD8E">
            <w:pPr>
              <w:pStyle w:val="6"/>
              <w:spacing w:before="56" w:line="232" w:lineRule="auto"/>
              <w:ind w:left="94" w:right="103"/>
              <w:jc w:val="both"/>
            </w:pPr>
            <w:r>
              <w:rPr>
                <w:spacing w:val="-2"/>
              </w:rPr>
              <w:t>砌筑工程</w:t>
            </w:r>
            <w:r>
              <w:t xml:space="preserve"> </w:t>
            </w:r>
            <w:r>
              <w:rPr>
                <w:spacing w:val="-2"/>
              </w:rPr>
              <w:t>施工质量</w:t>
            </w:r>
            <w:r>
              <w:rPr>
                <w:spacing w:val="1"/>
              </w:rPr>
              <w:t xml:space="preserve"> </w:t>
            </w:r>
            <w:r>
              <w:rPr>
                <w:spacing w:val="-2"/>
              </w:rPr>
              <w:t>验收规定</w:t>
            </w:r>
          </w:p>
        </w:tc>
        <w:tc>
          <w:tcPr>
            <w:tcW w:w="2334" w:type="dxa"/>
            <w:vMerge w:val="restart"/>
            <w:tcBorders>
              <w:bottom w:val="nil"/>
            </w:tcBorders>
            <w:vAlign w:val="top"/>
          </w:tcPr>
          <w:p w14:paraId="02377042">
            <w:pPr>
              <w:pStyle w:val="6"/>
              <w:spacing w:before="134" w:line="220" w:lineRule="auto"/>
              <w:ind w:left="12"/>
            </w:pPr>
            <w:r>
              <w:t>1.砖砌体工程</w:t>
            </w:r>
          </w:p>
          <w:p w14:paraId="4EF7031E">
            <w:pPr>
              <w:pStyle w:val="6"/>
              <w:spacing w:before="17" w:line="224" w:lineRule="auto"/>
              <w:ind w:left="12" w:right="280"/>
            </w:pPr>
            <w:r>
              <w:rPr>
                <w:spacing w:val="-1"/>
              </w:rPr>
              <w:t>2.混凝土小型空心砌块砌体</w:t>
            </w:r>
            <w:r>
              <w:rPr>
                <w:spacing w:val="3"/>
              </w:rPr>
              <w:t xml:space="preserve"> </w:t>
            </w:r>
            <w:r>
              <w:rPr>
                <w:spacing w:val="-3"/>
              </w:rPr>
              <w:t>工程</w:t>
            </w:r>
          </w:p>
          <w:p w14:paraId="06B6D973">
            <w:pPr>
              <w:pStyle w:val="6"/>
              <w:spacing w:before="37" w:line="220" w:lineRule="auto"/>
              <w:ind w:left="12"/>
            </w:pPr>
            <w:r>
              <w:rPr>
                <w:spacing w:val="-2"/>
              </w:rPr>
              <w:t>3.石砌体工程</w:t>
            </w:r>
          </w:p>
          <w:p w14:paraId="0C721BCE">
            <w:pPr>
              <w:pStyle w:val="6"/>
              <w:spacing w:before="7" w:line="220" w:lineRule="auto"/>
              <w:ind w:left="12"/>
            </w:pPr>
            <w:r>
              <w:rPr>
                <w:spacing w:val="-1"/>
              </w:rPr>
              <w:t>4.填充墙体工程</w:t>
            </w:r>
          </w:p>
        </w:tc>
        <w:tc>
          <w:tcPr>
            <w:tcW w:w="210" w:type="dxa"/>
            <w:vAlign w:val="top"/>
          </w:tcPr>
          <w:p w14:paraId="12FA0085">
            <w:pPr>
              <w:rPr>
                <w:rFonts w:ascii="Arial"/>
                <w:sz w:val="21"/>
              </w:rPr>
            </w:pPr>
          </w:p>
        </w:tc>
        <w:tc>
          <w:tcPr>
            <w:tcW w:w="229" w:type="dxa"/>
            <w:vAlign w:val="top"/>
          </w:tcPr>
          <w:p w14:paraId="4522202C">
            <w:pPr>
              <w:rPr>
                <w:rFonts w:ascii="Arial"/>
                <w:sz w:val="21"/>
              </w:rPr>
            </w:pPr>
          </w:p>
        </w:tc>
        <w:tc>
          <w:tcPr>
            <w:tcW w:w="229" w:type="dxa"/>
            <w:vAlign w:val="top"/>
          </w:tcPr>
          <w:p w14:paraId="022A0350">
            <w:pPr>
              <w:pStyle w:val="6"/>
              <w:spacing w:before="105" w:line="238" w:lineRule="auto"/>
              <w:ind w:left="49"/>
              <w:rPr>
                <w:sz w:val="13"/>
                <w:szCs w:val="13"/>
              </w:rPr>
            </w:pPr>
            <w:r>
              <w:rPr>
                <w:sz w:val="13"/>
                <w:szCs w:val="13"/>
              </w:rPr>
              <w:t>√</w:t>
            </w:r>
          </w:p>
        </w:tc>
        <w:tc>
          <w:tcPr>
            <w:tcW w:w="224" w:type="dxa"/>
            <w:vAlign w:val="top"/>
          </w:tcPr>
          <w:p w14:paraId="256AE0DE">
            <w:pPr>
              <w:rPr>
                <w:rFonts w:ascii="Arial"/>
                <w:sz w:val="21"/>
              </w:rPr>
            </w:pPr>
          </w:p>
        </w:tc>
      </w:tr>
      <w:tr w14:paraId="020FC3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883" w:type="dxa"/>
            <w:vMerge w:val="continue"/>
            <w:tcBorders>
              <w:top w:val="nil"/>
              <w:bottom w:val="nil"/>
            </w:tcBorders>
            <w:vAlign w:val="top"/>
          </w:tcPr>
          <w:p w14:paraId="04AE1A97">
            <w:pPr>
              <w:rPr>
                <w:rFonts w:ascii="Arial"/>
                <w:sz w:val="21"/>
              </w:rPr>
            </w:pPr>
          </w:p>
        </w:tc>
        <w:tc>
          <w:tcPr>
            <w:tcW w:w="2334" w:type="dxa"/>
            <w:vMerge w:val="continue"/>
            <w:tcBorders>
              <w:top w:val="nil"/>
              <w:bottom w:val="nil"/>
            </w:tcBorders>
            <w:vAlign w:val="top"/>
          </w:tcPr>
          <w:p w14:paraId="4EDC162E">
            <w:pPr>
              <w:rPr>
                <w:rFonts w:ascii="Arial"/>
                <w:sz w:val="21"/>
              </w:rPr>
            </w:pPr>
          </w:p>
        </w:tc>
        <w:tc>
          <w:tcPr>
            <w:tcW w:w="210" w:type="dxa"/>
            <w:vAlign w:val="top"/>
          </w:tcPr>
          <w:p w14:paraId="1E4E2A39">
            <w:pPr>
              <w:rPr>
                <w:rFonts w:ascii="Arial"/>
                <w:sz w:val="21"/>
              </w:rPr>
            </w:pPr>
          </w:p>
        </w:tc>
        <w:tc>
          <w:tcPr>
            <w:tcW w:w="229" w:type="dxa"/>
            <w:vAlign w:val="top"/>
          </w:tcPr>
          <w:p w14:paraId="4B88FE0A">
            <w:pPr>
              <w:pStyle w:val="6"/>
              <w:spacing w:before="106" w:line="238" w:lineRule="auto"/>
              <w:ind w:left="47"/>
              <w:rPr>
                <w:sz w:val="13"/>
                <w:szCs w:val="13"/>
              </w:rPr>
            </w:pPr>
            <w:r>
              <w:rPr>
                <w:sz w:val="13"/>
                <w:szCs w:val="13"/>
              </w:rPr>
              <w:t>√</w:t>
            </w:r>
          </w:p>
        </w:tc>
        <w:tc>
          <w:tcPr>
            <w:tcW w:w="229" w:type="dxa"/>
            <w:vAlign w:val="top"/>
          </w:tcPr>
          <w:p w14:paraId="29EEAB42">
            <w:pPr>
              <w:rPr>
                <w:rFonts w:ascii="Arial"/>
                <w:sz w:val="21"/>
              </w:rPr>
            </w:pPr>
          </w:p>
        </w:tc>
        <w:tc>
          <w:tcPr>
            <w:tcW w:w="224" w:type="dxa"/>
            <w:vAlign w:val="top"/>
          </w:tcPr>
          <w:p w14:paraId="479F11A3">
            <w:pPr>
              <w:rPr>
                <w:rFonts w:ascii="Arial"/>
                <w:sz w:val="21"/>
              </w:rPr>
            </w:pPr>
          </w:p>
        </w:tc>
      </w:tr>
      <w:tr w14:paraId="15BB73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0" w:hRule="atLeast"/>
        </w:trPr>
        <w:tc>
          <w:tcPr>
            <w:tcW w:w="883" w:type="dxa"/>
            <w:vMerge w:val="continue"/>
            <w:tcBorders>
              <w:top w:val="nil"/>
              <w:bottom w:val="nil"/>
            </w:tcBorders>
            <w:vAlign w:val="top"/>
          </w:tcPr>
          <w:p w14:paraId="28C1163A">
            <w:pPr>
              <w:rPr>
                <w:rFonts w:ascii="Arial"/>
                <w:sz w:val="21"/>
              </w:rPr>
            </w:pPr>
          </w:p>
        </w:tc>
        <w:tc>
          <w:tcPr>
            <w:tcW w:w="2334" w:type="dxa"/>
            <w:vMerge w:val="continue"/>
            <w:tcBorders>
              <w:top w:val="nil"/>
              <w:bottom w:val="nil"/>
            </w:tcBorders>
            <w:vAlign w:val="top"/>
          </w:tcPr>
          <w:p w14:paraId="0B092C0C">
            <w:pPr>
              <w:rPr>
                <w:rFonts w:ascii="Arial"/>
                <w:sz w:val="21"/>
              </w:rPr>
            </w:pPr>
          </w:p>
        </w:tc>
        <w:tc>
          <w:tcPr>
            <w:tcW w:w="210" w:type="dxa"/>
            <w:vAlign w:val="top"/>
          </w:tcPr>
          <w:p w14:paraId="7AA3D2AE">
            <w:pPr>
              <w:rPr>
                <w:rFonts w:ascii="Arial"/>
                <w:sz w:val="21"/>
              </w:rPr>
            </w:pPr>
          </w:p>
        </w:tc>
        <w:tc>
          <w:tcPr>
            <w:tcW w:w="229" w:type="dxa"/>
            <w:vAlign w:val="top"/>
          </w:tcPr>
          <w:p w14:paraId="34D4B472">
            <w:pPr>
              <w:pStyle w:val="6"/>
              <w:spacing w:before="130" w:line="182" w:lineRule="auto"/>
              <w:ind w:left="67"/>
            </w:pPr>
            <w:r>
              <w:t>V</w:t>
            </w:r>
          </w:p>
        </w:tc>
        <w:tc>
          <w:tcPr>
            <w:tcW w:w="229" w:type="dxa"/>
            <w:vAlign w:val="top"/>
          </w:tcPr>
          <w:p w14:paraId="1A4EF530">
            <w:pPr>
              <w:rPr>
                <w:rFonts w:ascii="Arial"/>
                <w:sz w:val="21"/>
              </w:rPr>
            </w:pPr>
          </w:p>
        </w:tc>
        <w:tc>
          <w:tcPr>
            <w:tcW w:w="224" w:type="dxa"/>
            <w:vAlign w:val="top"/>
          </w:tcPr>
          <w:p w14:paraId="7506DF2E">
            <w:pPr>
              <w:rPr>
                <w:rFonts w:ascii="Arial"/>
                <w:sz w:val="21"/>
              </w:rPr>
            </w:pPr>
          </w:p>
        </w:tc>
      </w:tr>
      <w:tr w14:paraId="6FB116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883" w:type="dxa"/>
            <w:vMerge w:val="continue"/>
            <w:tcBorders>
              <w:top w:val="nil"/>
            </w:tcBorders>
            <w:vAlign w:val="top"/>
          </w:tcPr>
          <w:p w14:paraId="60A23371">
            <w:pPr>
              <w:rPr>
                <w:rFonts w:ascii="Arial"/>
                <w:sz w:val="21"/>
              </w:rPr>
            </w:pPr>
          </w:p>
        </w:tc>
        <w:tc>
          <w:tcPr>
            <w:tcW w:w="2334" w:type="dxa"/>
            <w:vMerge w:val="continue"/>
            <w:tcBorders>
              <w:top w:val="nil"/>
            </w:tcBorders>
            <w:vAlign w:val="top"/>
          </w:tcPr>
          <w:p w14:paraId="4502C2E1">
            <w:pPr>
              <w:rPr>
                <w:rFonts w:ascii="Arial"/>
                <w:sz w:val="21"/>
              </w:rPr>
            </w:pPr>
          </w:p>
        </w:tc>
        <w:tc>
          <w:tcPr>
            <w:tcW w:w="210" w:type="dxa"/>
            <w:vAlign w:val="top"/>
          </w:tcPr>
          <w:p w14:paraId="71ED9853">
            <w:pPr>
              <w:rPr>
                <w:rFonts w:ascii="Arial"/>
                <w:sz w:val="21"/>
              </w:rPr>
            </w:pPr>
          </w:p>
        </w:tc>
        <w:tc>
          <w:tcPr>
            <w:tcW w:w="229" w:type="dxa"/>
            <w:vAlign w:val="top"/>
          </w:tcPr>
          <w:p w14:paraId="5382FC53">
            <w:pPr>
              <w:pStyle w:val="6"/>
              <w:spacing w:before="107" w:line="238" w:lineRule="auto"/>
              <w:ind w:left="47"/>
              <w:rPr>
                <w:sz w:val="13"/>
                <w:szCs w:val="13"/>
              </w:rPr>
            </w:pPr>
            <w:r>
              <w:rPr>
                <w:sz w:val="13"/>
                <w:szCs w:val="13"/>
              </w:rPr>
              <w:t>√</w:t>
            </w:r>
          </w:p>
        </w:tc>
        <w:tc>
          <w:tcPr>
            <w:tcW w:w="229" w:type="dxa"/>
            <w:vAlign w:val="top"/>
          </w:tcPr>
          <w:p w14:paraId="71DB91C2">
            <w:pPr>
              <w:rPr>
                <w:rFonts w:ascii="Arial"/>
                <w:sz w:val="21"/>
              </w:rPr>
            </w:pPr>
          </w:p>
        </w:tc>
        <w:tc>
          <w:tcPr>
            <w:tcW w:w="224" w:type="dxa"/>
            <w:vAlign w:val="top"/>
          </w:tcPr>
          <w:p w14:paraId="6A839E0F">
            <w:pPr>
              <w:rPr>
                <w:rFonts w:ascii="Arial"/>
                <w:sz w:val="21"/>
              </w:rPr>
            </w:pPr>
          </w:p>
        </w:tc>
      </w:tr>
      <w:tr w14:paraId="311BA8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883" w:type="dxa"/>
            <w:vMerge w:val="restart"/>
            <w:tcBorders>
              <w:bottom w:val="nil"/>
            </w:tcBorders>
            <w:vAlign w:val="top"/>
          </w:tcPr>
          <w:p w14:paraId="55139E1C">
            <w:pPr>
              <w:pStyle w:val="6"/>
              <w:spacing w:before="45" w:line="218" w:lineRule="auto"/>
              <w:ind w:left="94"/>
            </w:pPr>
            <w:r>
              <w:rPr>
                <w:spacing w:val="-2"/>
              </w:rPr>
              <w:t>季节施工</w:t>
            </w:r>
          </w:p>
          <w:p w14:paraId="35B165D0">
            <w:pPr>
              <w:pStyle w:val="6"/>
              <w:spacing w:line="220" w:lineRule="auto"/>
              <w:ind w:left="94"/>
            </w:pPr>
            <w:r>
              <w:rPr>
                <w:spacing w:val="-2"/>
              </w:rPr>
              <w:t>与安全常</w:t>
            </w:r>
          </w:p>
          <w:p w14:paraId="084E2DEA">
            <w:pPr>
              <w:pStyle w:val="6"/>
              <w:spacing w:before="31" w:line="177" w:lineRule="auto"/>
              <w:ind w:left="344"/>
            </w:pPr>
            <w:r>
              <w:t>识</w:t>
            </w:r>
          </w:p>
        </w:tc>
        <w:tc>
          <w:tcPr>
            <w:tcW w:w="2334" w:type="dxa"/>
            <w:vMerge w:val="restart"/>
            <w:tcBorders>
              <w:bottom w:val="nil"/>
            </w:tcBorders>
            <w:vAlign w:val="top"/>
          </w:tcPr>
          <w:p w14:paraId="1A89FC7C">
            <w:pPr>
              <w:pStyle w:val="6"/>
              <w:spacing w:before="156" w:line="224" w:lineRule="auto"/>
              <w:ind w:left="12" w:right="605"/>
            </w:pPr>
            <w:r>
              <w:t>1.季节施工要求与方法</w:t>
            </w:r>
            <w:r>
              <w:rPr>
                <w:spacing w:val="4"/>
              </w:rPr>
              <w:t xml:space="preserve"> </w:t>
            </w:r>
            <w:r>
              <w:rPr>
                <w:spacing w:val="-2"/>
              </w:rPr>
              <w:t>2.安全常识</w:t>
            </w:r>
          </w:p>
        </w:tc>
        <w:tc>
          <w:tcPr>
            <w:tcW w:w="210" w:type="dxa"/>
            <w:vAlign w:val="top"/>
          </w:tcPr>
          <w:p w14:paraId="49F9175F">
            <w:pPr>
              <w:rPr>
                <w:rFonts w:ascii="Arial"/>
                <w:sz w:val="21"/>
              </w:rPr>
            </w:pPr>
          </w:p>
        </w:tc>
        <w:tc>
          <w:tcPr>
            <w:tcW w:w="229" w:type="dxa"/>
            <w:vAlign w:val="top"/>
          </w:tcPr>
          <w:p w14:paraId="7F241E91">
            <w:pPr>
              <w:rPr>
                <w:rFonts w:ascii="Arial"/>
                <w:sz w:val="21"/>
              </w:rPr>
            </w:pPr>
          </w:p>
        </w:tc>
        <w:tc>
          <w:tcPr>
            <w:tcW w:w="229" w:type="dxa"/>
            <w:vAlign w:val="top"/>
          </w:tcPr>
          <w:p w14:paraId="4ED0A61F">
            <w:pPr>
              <w:pStyle w:val="6"/>
              <w:spacing w:before="120" w:line="182" w:lineRule="auto"/>
              <w:ind w:left="69"/>
            </w:pPr>
            <w:r>
              <w:t>V</w:t>
            </w:r>
          </w:p>
        </w:tc>
        <w:tc>
          <w:tcPr>
            <w:tcW w:w="224" w:type="dxa"/>
            <w:vAlign w:val="top"/>
          </w:tcPr>
          <w:p w14:paraId="47AE352B">
            <w:pPr>
              <w:rPr>
                <w:rFonts w:ascii="Arial"/>
                <w:sz w:val="21"/>
              </w:rPr>
            </w:pPr>
          </w:p>
        </w:tc>
      </w:tr>
      <w:tr w14:paraId="493E2E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4" w:hRule="atLeast"/>
        </w:trPr>
        <w:tc>
          <w:tcPr>
            <w:tcW w:w="883" w:type="dxa"/>
            <w:vMerge w:val="continue"/>
            <w:tcBorders>
              <w:top w:val="nil"/>
            </w:tcBorders>
            <w:vAlign w:val="top"/>
          </w:tcPr>
          <w:p w14:paraId="42EDCC8E">
            <w:pPr>
              <w:rPr>
                <w:rFonts w:ascii="Arial"/>
                <w:sz w:val="21"/>
              </w:rPr>
            </w:pPr>
          </w:p>
        </w:tc>
        <w:tc>
          <w:tcPr>
            <w:tcW w:w="2334" w:type="dxa"/>
            <w:vMerge w:val="continue"/>
            <w:tcBorders>
              <w:top w:val="nil"/>
            </w:tcBorders>
            <w:vAlign w:val="top"/>
          </w:tcPr>
          <w:p w14:paraId="3D2B05CC">
            <w:pPr>
              <w:rPr>
                <w:rFonts w:ascii="Arial"/>
                <w:sz w:val="21"/>
              </w:rPr>
            </w:pPr>
          </w:p>
        </w:tc>
        <w:tc>
          <w:tcPr>
            <w:tcW w:w="210" w:type="dxa"/>
            <w:vAlign w:val="top"/>
          </w:tcPr>
          <w:p w14:paraId="51BC3C27">
            <w:pPr>
              <w:pStyle w:val="6"/>
              <w:spacing w:before="128" w:line="238" w:lineRule="auto"/>
              <w:ind w:left="18"/>
              <w:rPr>
                <w:sz w:val="13"/>
                <w:szCs w:val="13"/>
              </w:rPr>
            </w:pPr>
            <w:r>
              <w:rPr>
                <w:sz w:val="13"/>
                <w:szCs w:val="13"/>
              </w:rPr>
              <w:t>√</w:t>
            </w:r>
          </w:p>
        </w:tc>
        <w:tc>
          <w:tcPr>
            <w:tcW w:w="229" w:type="dxa"/>
            <w:vAlign w:val="top"/>
          </w:tcPr>
          <w:p w14:paraId="2DA22ED4">
            <w:pPr>
              <w:rPr>
                <w:rFonts w:ascii="Arial"/>
                <w:sz w:val="21"/>
              </w:rPr>
            </w:pPr>
          </w:p>
        </w:tc>
        <w:tc>
          <w:tcPr>
            <w:tcW w:w="229" w:type="dxa"/>
            <w:vAlign w:val="top"/>
          </w:tcPr>
          <w:p w14:paraId="0431E8D3">
            <w:pPr>
              <w:rPr>
                <w:rFonts w:ascii="Arial"/>
                <w:sz w:val="21"/>
              </w:rPr>
            </w:pPr>
          </w:p>
        </w:tc>
        <w:tc>
          <w:tcPr>
            <w:tcW w:w="224" w:type="dxa"/>
            <w:vAlign w:val="top"/>
          </w:tcPr>
          <w:p w14:paraId="66709AE5">
            <w:pPr>
              <w:rPr>
                <w:rFonts w:ascii="Arial"/>
                <w:sz w:val="21"/>
              </w:rPr>
            </w:pPr>
          </w:p>
        </w:tc>
      </w:tr>
    </w:tbl>
    <w:p w14:paraId="0EE28095">
      <w:pPr>
        <w:spacing w:before="119" w:line="222" w:lineRule="auto"/>
        <w:ind w:left="1087"/>
        <w:rPr>
          <w:rFonts w:ascii="黑体" w:hAnsi="黑体" w:eastAsia="黑体" w:cs="黑体"/>
          <w:sz w:val="20"/>
          <w:szCs w:val="20"/>
        </w:rPr>
      </w:pPr>
      <w:r>
        <w:rPr>
          <w:rFonts w:ascii="黑体" w:hAnsi="黑体" w:eastAsia="黑体" w:cs="黑体"/>
          <w:b/>
          <w:bCs/>
          <w:spacing w:val="-8"/>
          <w:sz w:val="20"/>
          <w:szCs w:val="20"/>
        </w:rPr>
        <w:t>第二章</w:t>
      </w:r>
      <w:r>
        <w:rPr>
          <w:rFonts w:ascii="黑体" w:hAnsi="黑体" w:eastAsia="黑体" w:cs="黑体"/>
          <w:spacing w:val="12"/>
          <w:sz w:val="20"/>
          <w:szCs w:val="20"/>
        </w:rPr>
        <w:t xml:space="preserve">  </w:t>
      </w:r>
      <w:r>
        <w:rPr>
          <w:rFonts w:ascii="黑体" w:hAnsi="黑体" w:eastAsia="黑体" w:cs="黑体"/>
          <w:b/>
          <w:bCs/>
          <w:spacing w:val="-8"/>
          <w:sz w:val="20"/>
          <w:szCs w:val="20"/>
        </w:rPr>
        <w:t>抹灰施工工艺</w:t>
      </w:r>
    </w:p>
    <w:p w14:paraId="12EFDEB3">
      <w:pPr>
        <w:spacing w:line="80" w:lineRule="exact"/>
      </w:pPr>
    </w:p>
    <w:tbl>
      <w:tblPr>
        <w:tblStyle w:val="5"/>
        <w:tblW w:w="4119" w:type="dxa"/>
        <w:tblInd w:w="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24"/>
        <w:gridCol w:w="220"/>
        <w:gridCol w:w="229"/>
        <w:gridCol w:w="229"/>
        <w:gridCol w:w="224"/>
      </w:tblGrid>
      <w:tr w14:paraId="04F43D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4" w:hRule="atLeast"/>
        </w:trPr>
        <w:tc>
          <w:tcPr>
            <w:tcW w:w="893" w:type="dxa"/>
            <w:vMerge w:val="restart"/>
            <w:tcBorders>
              <w:bottom w:val="nil"/>
            </w:tcBorders>
            <w:vAlign w:val="top"/>
          </w:tcPr>
          <w:p w14:paraId="5027537C">
            <w:pPr>
              <w:pStyle w:val="6"/>
              <w:spacing w:before="141" w:line="218" w:lineRule="auto"/>
              <w:ind w:left="77" w:right="93" w:firstLine="89"/>
              <w:rPr>
                <w:sz w:val="18"/>
                <w:szCs w:val="18"/>
              </w:rPr>
            </w:pPr>
            <w:r>
              <w:rPr>
                <w:b/>
                <w:bCs/>
                <w:spacing w:val="1"/>
                <w:sz w:val="18"/>
                <w:szCs w:val="18"/>
              </w:rPr>
              <w:t>知识与</w:t>
            </w:r>
            <w:r>
              <w:rPr>
                <w:sz w:val="18"/>
                <w:szCs w:val="18"/>
              </w:rPr>
              <w:t xml:space="preserve">  </w:t>
            </w:r>
            <w:r>
              <w:rPr>
                <w:b/>
                <w:bCs/>
                <w:spacing w:val="-4"/>
                <w:sz w:val="18"/>
                <w:szCs w:val="18"/>
              </w:rPr>
              <w:t>技能要点</w:t>
            </w:r>
          </w:p>
        </w:tc>
        <w:tc>
          <w:tcPr>
            <w:tcW w:w="2324" w:type="dxa"/>
            <w:vMerge w:val="restart"/>
            <w:tcBorders>
              <w:bottom w:val="nil"/>
            </w:tcBorders>
            <w:vAlign w:val="top"/>
          </w:tcPr>
          <w:p w14:paraId="5F7487BC">
            <w:pPr>
              <w:pStyle w:val="6"/>
              <w:spacing w:before="239" w:line="219" w:lineRule="auto"/>
              <w:ind w:left="834"/>
              <w:rPr>
                <w:sz w:val="18"/>
                <w:szCs w:val="18"/>
              </w:rPr>
            </w:pPr>
            <w:r>
              <w:rPr>
                <w:b/>
                <w:bCs/>
                <w:spacing w:val="5"/>
                <w:sz w:val="18"/>
                <w:szCs w:val="18"/>
              </w:rPr>
              <w:t>考试条目</w:t>
            </w:r>
          </w:p>
        </w:tc>
        <w:tc>
          <w:tcPr>
            <w:tcW w:w="902" w:type="dxa"/>
            <w:gridSpan w:val="4"/>
            <w:vAlign w:val="top"/>
          </w:tcPr>
          <w:p w14:paraId="7A9DABE9">
            <w:pPr>
              <w:pStyle w:val="6"/>
              <w:spacing w:before="79" w:line="219" w:lineRule="auto"/>
              <w:ind w:left="150"/>
              <w:rPr>
                <w:sz w:val="18"/>
                <w:szCs w:val="18"/>
              </w:rPr>
            </w:pPr>
            <w:r>
              <w:rPr>
                <w:b/>
                <w:bCs/>
                <w:spacing w:val="-4"/>
                <w:sz w:val="18"/>
                <w:szCs w:val="18"/>
              </w:rPr>
              <w:t>考试水平</w:t>
            </w:r>
          </w:p>
        </w:tc>
      </w:tr>
      <w:tr w14:paraId="2E01C6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8" w:hRule="atLeast"/>
        </w:trPr>
        <w:tc>
          <w:tcPr>
            <w:tcW w:w="893" w:type="dxa"/>
            <w:vMerge w:val="continue"/>
            <w:tcBorders>
              <w:top w:val="nil"/>
            </w:tcBorders>
            <w:vAlign w:val="top"/>
          </w:tcPr>
          <w:p w14:paraId="5C8B9D4B">
            <w:pPr>
              <w:rPr>
                <w:rFonts w:ascii="Arial"/>
                <w:sz w:val="21"/>
              </w:rPr>
            </w:pPr>
          </w:p>
        </w:tc>
        <w:tc>
          <w:tcPr>
            <w:tcW w:w="2324" w:type="dxa"/>
            <w:vMerge w:val="continue"/>
            <w:tcBorders>
              <w:top w:val="nil"/>
            </w:tcBorders>
            <w:vAlign w:val="top"/>
          </w:tcPr>
          <w:p w14:paraId="7841C429">
            <w:pPr>
              <w:rPr>
                <w:rFonts w:ascii="Arial"/>
                <w:sz w:val="21"/>
              </w:rPr>
            </w:pPr>
          </w:p>
        </w:tc>
        <w:tc>
          <w:tcPr>
            <w:tcW w:w="220" w:type="dxa"/>
            <w:vAlign w:val="top"/>
          </w:tcPr>
          <w:p w14:paraId="6BEDCBFF">
            <w:pPr>
              <w:pStyle w:val="6"/>
              <w:spacing w:before="113" w:line="184" w:lineRule="auto"/>
              <w:ind w:left="60"/>
              <w:rPr>
                <w:sz w:val="18"/>
                <w:szCs w:val="18"/>
              </w:rPr>
            </w:pPr>
            <w:r>
              <w:rPr>
                <w:b/>
                <w:bCs/>
                <w:spacing w:val="-2"/>
                <w:sz w:val="18"/>
                <w:szCs w:val="18"/>
              </w:rPr>
              <w:t>A</w:t>
            </w:r>
          </w:p>
        </w:tc>
        <w:tc>
          <w:tcPr>
            <w:tcW w:w="229" w:type="dxa"/>
            <w:vAlign w:val="top"/>
          </w:tcPr>
          <w:p w14:paraId="34149829">
            <w:pPr>
              <w:pStyle w:val="6"/>
              <w:spacing w:before="115" w:line="182" w:lineRule="auto"/>
              <w:ind w:left="20"/>
              <w:rPr>
                <w:sz w:val="18"/>
                <w:szCs w:val="18"/>
              </w:rPr>
            </w:pPr>
            <w:r>
              <w:rPr>
                <w:b/>
                <w:bCs/>
                <w:spacing w:val="-2"/>
                <w:sz w:val="18"/>
                <w:szCs w:val="18"/>
              </w:rPr>
              <w:t>B</w:t>
            </w:r>
          </w:p>
        </w:tc>
        <w:tc>
          <w:tcPr>
            <w:tcW w:w="229" w:type="dxa"/>
            <w:vAlign w:val="top"/>
          </w:tcPr>
          <w:p w14:paraId="4A5DE5B4">
            <w:pPr>
              <w:pStyle w:val="6"/>
              <w:spacing w:before="113" w:line="183" w:lineRule="auto"/>
              <w:ind w:left="51"/>
              <w:rPr>
                <w:sz w:val="18"/>
                <w:szCs w:val="18"/>
              </w:rPr>
            </w:pPr>
            <w:r>
              <w:rPr>
                <w:b/>
                <w:bCs/>
                <w:spacing w:val="-2"/>
                <w:sz w:val="18"/>
                <w:szCs w:val="18"/>
              </w:rPr>
              <w:t>C</w:t>
            </w:r>
          </w:p>
        </w:tc>
        <w:tc>
          <w:tcPr>
            <w:tcW w:w="224" w:type="dxa"/>
            <w:vAlign w:val="top"/>
          </w:tcPr>
          <w:p w14:paraId="339EC545">
            <w:pPr>
              <w:pStyle w:val="6"/>
              <w:spacing w:before="115" w:line="182" w:lineRule="auto"/>
              <w:ind w:left="52"/>
              <w:rPr>
                <w:sz w:val="18"/>
                <w:szCs w:val="18"/>
              </w:rPr>
            </w:pPr>
            <w:r>
              <w:rPr>
                <w:b/>
                <w:bCs/>
                <w:spacing w:val="-2"/>
                <w:sz w:val="18"/>
                <w:szCs w:val="18"/>
              </w:rPr>
              <w:t>D</w:t>
            </w:r>
          </w:p>
        </w:tc>
      </w:tr>
      <w:tr w14:paraId="360185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8" w:hRule="atLeast"/>
        </w:trPr>
        <w:tc>
          <w:tcPr>
            <w:tcW w:w="893" w:type="dxa"/>
            <w:vMerge w:val="restart"/>
            <w:tcBorders>
              <w:bottom w:val="nil"/>
            </w:tcBorders>
            <w:vAlign w:val="top"/>
          </w:tcPr>
          <w:p w14:paraId="0EBD8FAA">
            <w:pPr>
              <w:pStyle w:val="6"/>
              <w:spacing w:before="239" w:line="217" w:lineRule="auto"/>
              <w:ind w:left="74" w:right="78"/>
              <w:rPr>
                <w:sz w:val="18"/>
                <w:szCs w:val="18"/>
              </w:rPr>
            </w:pPr>
            <w:r>
              <w:rPr>
                <w:spacing w:val="-2"/>
                <w:sz w:val="18"/>
                <w:szCs w:val="18"/>
              </w:rPr>
              <w:t>抹灰施工</w:t>
            </w:r>
            <w:r>
              <w:rPr>
                <w:sz w:val="18"/>
                <w:szCs w:val="18"/>
              </w:rPr>
              <w:t xml:space="preserve"> </w:t>
            </w:r>
            <w:r>
              <w:rPr>
                <w:spacing w:val="2"/>
                <w:sz w:val="18"/>
                <w:szCs w:val="18"/>
              </w:rPr>
              <w:t>常用机具</w:t>
            </w:r>
          </w:p>
        </w:tc>
        <w:tc>
          <w:tcPr>
            <w:tcW w:w="2324" w:type="dxa"/>
            <w:vMerge w:val="restart"/>
            <w:tcBorders>
              <w:bottom w:val="nil"/>
            </w:tcBorders>
            <w:vAlign w:val="top"/>
          </w:tcPr>
          <w:p w14:paraId="500A59E9">
            <w:pPr>
              <w:pStyle w:val="6"/>
              <w:spacing w:before="249" w:line="223" w:lineRule="auto"/>
              <w:ind w:left="11" w:right="673"/>
              <w:rPr>
                <w:sz w:val="18"/>
                <w:szCs w:val="18"/>
              </w:rPr>
            </w:pPr>
            <w:r>
              <w:rPr>
                <w:sz w:val="18"/>
                <w:szCs w:val="18"/>
              </w:rPr>
              <w:t>1.抹灰常用机械设备</w:t>
            </w:r>
            <w:r>
              <w:rPr>
                <w:spacing w:val="7"/>
                <w:sz w:val="18"/>
                <w:szCs w:val="18"/>
              </w:rPr>
              <w:t xml:space="preserve"> </w:t>
            </w:r>
            <w:r>
              <w:rPr>
                <w:spacing w:val="-2"/>
                <w:sz w:val="18"/>
                <w:szCs w:val="18"/>
              </w:rPr>
              <w:t>2.抹灰工具</w:t>
            </w:r>
          </w:p>
        </w:tc>
        <w:tc>
          <w:tcPr>
            <w:tcW w:w="220" w:type="dxa"/>
            <w:vAlign w:val="top"/>
          </w:tcPr>
          <w:p w14:paraId="76CD9328">
            <w:pPr>
              <w:pStyle w:val="6"/>
              <w:spacing w:before="170" w:line="238" w:lineRule="auto"/>
              <w:ind w:left="47"/>
              <w:rPr>
                <w:sz w:val="12"/>
                <w:szCs w:val="12"/>
              </w:rPr>
            </w:pPr>
            <w:r>
              <w:rPr>
                <w:sz w:val="12"/>
                <w:szCs w:val="12"/>
              </w:rPr>
              <w:t>√</w:t>
            </w:r>
          </w:p>
        </w:tc>
        <w:tc>
          <w:tcPr>
            <w:tcW w:w="229" w:type="dxa"/>
            <w:vAlign w:val="top"/>
          </w:tcPr>
          <w:p w14:paraId="38D4C9A7">
            <w:pPr>
              <w:rPr>
                <w:rFonts w:ascii="Arial"/>
                <w:sz w:val="21"/>
              </w:rPr>
            </w:pPr>
          </w:p>
        </w:tc>
        <w:tc>
          <w:tcPr>
            <w:tcW w:w="229" w:type="dxa"/>
            <w:vAlign w:val="top"/>
          </w:tcPr>
          <w:p w14:paraId="60F44AE7">
            <w:pPr>
              <w:rPr>
                <w:rFonts w:ascii="Arial"/>
                <w:sz w:val="21"/>
              </w:rPr>
            </w:pPr>
          </w:p>
        </w:tc>
        <w:tc>
          <w:tcPr>
            <w:tcW w:w="224" w:type="dxa"/>
            <w:vAlign w:val="top"/>
          </w:tcPr>
          <w:p w14:paraId="0756E12E">
            <w:pPr>
              <w:rPr>
                <w:rFonts w:ascii="Arial"/>
                <w:sz w:val="21"/>
              </w:rPr>
            </w:pPr>
          </w:p>
        </w:tc>
      </w:tr>
      <w:tr w14:paraId="47C25E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8" w:hRule="atLeast"/>
        </w:trPr>
        <w:tc>
          <w:tcPr>
            <w:tcW w:w="893" w:type="dxa"/>
            <w:vMerge w:val="continue"/>
            <w:tcBorders>
              <w:top w:val="nil"/>
            </w:tcBorders>
            <w:vAlign w:val="top"/>
          </w:tcPr>
          <w:p w14:paraId="7B72D991">
            <w:pPr>
              <w:rPr>
                <w:rFonts w:ascii="Arial"/>
                <w:sz w:val="21"/>
              </w:rPr>
            </w:pPr>
          </w:p>
        </w:tc>
        <w:tc>
          <w:tcPr>
            <w:tcW w:w="2324" w:type="dxa"/>
            <w:vMerge w:val="continue"/>
            <w:tcBorders>
              <w:top w:val="nil"/>
            </w:tcBorders>
            <w:vAlign w:val="top"/>
          </w:tcPr>
          <w:p w14:paraId="4F9187DB">
            <w:pPr>
              <w:rPr>
                <w:rFonts w:ascii="Arial"/>
                <w:sz w:val="21"/>
              </w:rPr>
            </w:pPr>
          </w:p>
        </w:tc>
        <w:tc>
          <w:tcPr>
            <w:tcW w:w="220" w:type="dxa"/>
            <w:vAlign w:val="top"/>
          </w:tcPr>
          <w:p w14:paraId="754D2C3A">
            <w:pPr>
              <w:pStyle w:val="6"/>
              <w:spacing w:before="151" w:line="238" w:lineRule="auto"/>
              <w:ind w:left="47"/>
              <w:rPr>
                <w:sz w:val="12"/>
                <w:szCs w:val="12"/>
              </w:rPr>
            </w:pPr>
            <w:r>
              <w:rPr>
                <w:sz w:val="12"/>
                <w:szCs w:val="12"/>
              </w:rPr>
              <w:t>√</w:t>
            </w:r>
          </w:p>
        </w:tc>
        <w:tc>
          <w:tcPr>
            <w:tcW w:w="229" w:type="dxa"/>
            <w:vAlign w:val="top"/>
          </w:tcPr>
          <w:p w14:paraId="1DCF5E52">
            <w:pPr>
              <w:rPr>
                <w:rFonts w:ascii="Arial"/>
                <w:sz w:val="21"/>
              </w:rPr>
            </w:pPr>
          </w:p>
        </w:tc>
        <w:tc>
          <w:tcPr>
            <w:tcW w:w="229" w:type="dxa"/>
            <w:vAlign w:val="top"/>
          </w:tcPr>
          <w:p w14:paraId="2F938DC4">
            <w:pPr>
              <w:rPr>
                <w:rFonts w:ascii="Arial"/>
                <w:sz w:val="21"/>
              </w:rPr>
            </w:pPr>
          </w:p>
        </w:tc>
        <w:tc>
          <w:tcPr>
            <w:tcW w:w="224" w:type="dxa"/>
            <w:vAlign w:val="top"/>
          </w:tcPr>
          <w:p w14:paraId="1FF4AF8B">
            <w:pPr>
              <w:rPr>
                <w:rFonts w:ascii="Arial"/>
                <w:sz w:val="21"/>
              </w:rPr>
            </w:pPr>
          </w:p>
        </w:tc>
      </w:tr>
      <w:tr w14:paraId="672029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12" w:hRule="atLeast"/>
        </w:trPr>
        <w:tc>
          <w:tcPr>
            <w:tcW w:w="893" w:type="dxa"/>
            <w:vAlign w:val="top"/>
          </w:tcPr>
          <w:p w14:paraId="490D4AF2">
            <w:pPr>
              <w:pStyle w:val="6"/>
              <w:spacing w:before="224" w:line="219" w:lineRule="auto"/>
              <w:ind w:left="74"/>
              <w:rPr>
                <w:sz w:val="18"/>
                <w:szCs w:val="18"/>
              </w:rPr>
            </w:pPr>
            <w:r>
              <w:rPr>
                <w:spacing w:val="-2"/>
                <w:sz w:val="18"/>
                <w:szCs w:val="18"/>
              </w:rPr>
              <w:t>装饰抹灰</w:t>
            </w:r>
          </w:p>
        </w:tc>
        <w:tc>
          <w:tcPr>
            <w:tcW w:w="2324" w:type="dxa"/>
            <w:vAlign w:val="top"/>
          </w:tcPr>
          <w:p w14:paraId="7B9B29CA">
            <w:pPr>
              <w:pStyle w:val="6"/>
              <w:spacing w:before="224" w:line="219" w:lineRule="auto"/>
              <w:ind w:left="11"/>
              <w:rPr>
                <w:sz w:val="18"/>
                <w:szCs w:val="18"/>
              </w:rPr>
            </w:pPr>
            <w:r>
              <w:rPr>
                <w:sz w:val="18"/>
                <w:szCs w:val="18"/>
              </w:rPr>
              <w:t>1.各种装饰抹灰</w:t>
            </w:r>
          </w:p>
        </w:tc>
        <w:tc>
          <w:tcPr>
            <w:tcW w:w="220" w:type="dxa"/>
            <w:vAlign w:val="top"/>
          </w:tcPr>
          <w:p w14:paraId="23413E19">
            <w:pPr>
              <w:pStyle w:val="6"/>
              <w:spacing w:before="263" w:line="238" w:lineRule="auto"/>
              <w:ind w:left="18"/>
              <w:rPr>
                <w:sz w:val="12"/>
                <w:szCs w:val="12"/>
              </w:rPr>
            </w:pPr>
            <w:r>
              <w:rPr>
                <w:sz w:val="12"/>
                <w:szCs w:val="12"/>
              </w:rPr>
              <w:t>√</w:t>
            </w:r>
          </w:p>
        </w:tc>
        <w:tc>
          <w:tcPr>
            <w:tcW w:w="229" w:type="dxa"/>
            <w:vAlign w:val="top"/>
          </w:tcPr>
          <w:p w14:paraId="195B5573">
            <w:pPr>
              <w:rPr>
                <w:rFonts w:ascii="Arial"/>
                <w:sz w:val="21"/>
              </w:rPr>
            </w:pPr>
          </w:p>
        </w:tc>
        <w:tc>
          <w:tcPr>
            <w:tcW w:w="229" w:type="dxa"/>
            <w:vAlign w:val="top"/>
          </w:tcPr>
          <w:p w14:paraId="3A54F787">
            <w:pPr>
              <w:rPr>
                <w:rFonts w:ascii="Arial"/>
                <w:sz w:val="21"/>
              </w:rPr>
            </w:pPr>
          </w:p>
        </w:tc>
        <w:tc>
          <w:tcPr>
            <w:tcW w:w="224" w:type="dxa"/>
            <w:vAlign w:val="top"/>
          </w:tcPr>
          <w:p w14:paraId="7B014169">
            <w:pPr>
              <w:rPr>
                <w:rFonts w:ascii="Arial"/>
                <w:sz w:val="21"/>
              </w:rPr>
            </w:pPr>
          </w:p>
        </w:tc>
      </w:tr>
    </w:tbl>
    <w:p w14:paraId="07F477EF">
      <w:pPr>
        <w:spacing w:before="130" w:line="222" w:lineRule="auto"/>
        <w:ind w:left="1087"/>
        <w:rPr>
          <w:rFonts w:ascii="黑体" w:hAnsi="黑体" w:eastAsia="黑体" w:cs="黑体"/>
          <w:sz w:val="20"/>
          <w:szCs w:val="20"/>
        </w:rPr>
      </w:pPr>
      <w:r>
        <w:rPr>
          <w:rFonts w:ascii="黑体" w:hAnsi="黑体" w:eastAsia="黑体" w:cs="黑体"/>
          <w:b/>
          <w:bCs/>
          <w:spacing w:val="-7"/>
          <w:sz w:val="20"/>
          <w:szCs w:val="20"/>
        </w:rPr>
        <w:t>第三章</w:t>
      </w:r>
      <w:r>
        <w:rPr>
          <w:rFonts w:ascii="黑体" w:hAnsi="黑体" w:eastAsia="黑体" w:cs="黑体"/>
          <w:spacing w:val="9"/>
          <w:sz w:val="20"/>
          <w:szCs w:val="20"/>
        </w:rPr>
        <w:t xml:space="preserve">  </w:t>
      </w:r>
      <w:r>
        <w:rPr>
          <w:rFonts w:ascii="黑体" w:hAnsi="黑体" w:eastAsia="黑体" w:cs="黑体"/>
          <w:b/>
          <w:bCs/>
          <w:spacing w:val="-7"/>
          <w:sz w:val="20"/>
          <w:szCs w:val="20"/>
        </w:rPr>
        <w:t>钢筋施工工艺</w:t>
      </w:r>
    </w:p>
    <w:p w14:paraId="71F9597B">
      <w:pPr>
        <w:spacing w:line="80" w:lineRule="exact"/>
      </w:pPr>
    </w:p>
    <w:tbl>
      <w:tblPr>
        <w:tblStyle w:val="5"/>
        <w:tblW w:w="4119" w:type="dxa"/>
        <w:tblInd w:w="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24"/>
        <w:gridCol w:w="220"/>
        <w:gridCol w:w="229"/>
        <w:gridCol w:w="229"/>
        <w:gridCol w:w="224"/>
      </w:tblGrid>
      <w:tr w14:paraId="13F2F0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3" w:hRule="atLeast"/>
        </w:trPr>
        <w:tc>
          <w:tcPr>
            <w:tcW w:w="893" w:type="dxa"/>
            <w:vMerge w:val="restart"/>
            <w:tcBorders>
              <w:bottom w:val="nil"/>
            </w:tcBorders>
            <w:vAlign w:val="top"/>
          </w:tcPr>
          <w:p w14:paraId="3424BB4F">
            <w:pPr>
              <w:pStyle w:val="6"/>
              <w:spacing w:before="91" w:line="218" w:lineRule="auto"/>
              <w:ind w:left="77" w:right="93" w:firstLine="89"/>
              <w:rPr>
                <w:sz w:val="18"/>
                <w:szCs w:val="18"/>
              </w:rPr>
            </w:pPr>
            <w:r>
              <w:rPr>
                <w:b/>
                <w:bCs/>
                <w:spacing w:val="1"/>
                <w:sz w:val="18"/>
                <w:szCs w:val="18"/>
              </w:rPr>
              <w:t>知识与</w:t>
            </w:r>
            <w:r>
              <w:rPr>
                <w:sz w:val="18"/>
                <w:szCs w:val="18"/>
              </w:rPr>
              <w:t xml:space="preserve">  </w:t>
            </w:r>
            <w:r>
              <w:rPr>
                <w:b/>
                <w:bCs/>
                <w:spacing w:val="-4"/>
                <w:sz w:val="18"/>
                <w:szCs w:val="18"/>
              </w:rPr>
              <w:t>技能要点</w:t>
            </w:r>
          </w:p>
        </w:tc>
        <w:tc>
          <w:tcPr>
            <w:tcW w:w="2324" w:type="dxa"/>
            <w:vMerge w:val="restart"/>
            <w:tcBorders>
              <w:bottom w:val="nil"/>
            </w:tcBorders>
            <w:vAlign w:val="top"/>
          </w:tcPr>
          <w:p w14:paraId="73A9BBEC">
            <w:pPr>
              <w:pStyle w:val="6"/>
              <w:spacing w:before="189" w:line="219" w:lineRule="auto"/>
              <w:ind w:left="834"/>
              <w:rPr>
                <w:sz w:val="18"/>
                <w:szCs w:val="18"/>
              </w:rPr>
            </w:pPr>
            <w:r>
              <w:rPr>
                <w:b/>
                <w:bCs/>
                <w:spacing w:val="5"/>
                <w:sz w:val="18"/>
                <w:szCs w:val="18"/>
              </w:rPr>
              <w:t>考试条目</w:t>
            </w:r>
          </w:p>
        </w:tc>
        <w:tc>
          <w:tcPr>
            <w:tcW w:w="902" w:type="dxa"/>
            <w:gridSpan w:val="4"/>
            <w:vAlign w:val="top"/>
          </w:tcPr>
          <w:p w14:paraId="2BEB890A">
            <w:pPr>
              <w:pStyle w:val="6"/>
              <w:spacing w:before="49" w:line="219" w:lineRule="auto"/>
              <w:ind w:left="120"/>
              <w:rPr>
                <w:sz w:val="18"/>
                <w:szCs w:val="18"/>
              </w:rPr>
            </w:pPr>
            <w:r>
              <w:rPr>
                <w:b/>
                <w:bCs/>
                <w:spacing w:val="-4"/>
                <w:sz w:val="18"/>
                <w:szCs w:val="18"/>
              </w:rPr>
              <w:t>考试水平</w:t>
            </w:r>
          </w:p>
        </w:tc>
      </w:tr>
      <w:tr w14:paraId="7D6247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8" w:hRule="atLeast"/>
        </w:trPr>
        <w:tc>
          <w:tcPr>
            <w:tcW w:w="893" w:type="dxa"/>
            <w:vMerge w:val="continue"/>
            <w:tcBorders>
              <w:top w:val="nil"/>
            </w:tcBorders>
            <w:vAlign w:val="top"/>
          </w:tcPr>
          <w:p w14:paraId="6BECD556">
            <w:pPr>
              <w:rPr>
                <w:rFonts w:ascii="Arial"/>
                <w:sz w:val="21"/>
              </w:rPr>
            </w:pPr>
          </w:p>
        </w:tc>
        <w:tc>
          <w:tcPr>
            <w:tcW w:w="2324" w:type="dxa"/>
            <w:vMerge w:val="continue"/>
            <w:tcBorders>
              <w:top w:val="nil"/>
            </w:tcBorders>
            <w:vAlign w:val="top"/>
          </w:tcPr>
          <w:p w14:paraId="4E0CC688">
            <w:pPr>
              <w:rPr>
                <w:rFonts w:ascii="Arial"/>
                <w:sz w:val="21"/>
              </w:rPr>
            </w:pPr>
          </w:p>
        </w:tc>
        <w:tc>
          <w:tcPr>
            <w:tcW w:w="220" w:type="dxa"/>
            <w:vAlign w:val="top"/>
          </w:tcPr>
          <w:p w14:paraId="253E20EC">
            <w:pPr>
              <w:pStyle w:val="6"/>
              <w:spacing w:before="94" w:line="168" w:lineRule="auto"/>
              <w:ind w:left="40"/>
              <w:rPr>
                <w:sz w:val="18"/>
                <w:szCs w:val="18"/>
              </w:rPr>
            </w:pPr>
            <w:r>
              <w:rPr>
                <w:b/>
                <w:bCs/>
                <w:spacing w:val="-2"/>
                <w:sz w:val="18"/>
                <w:szCs w:val="18"/>
              </w:rPr>
              <w:t>A</w:t>
            </w:r>
          </w:p>
        </w:tc>
        <w:tc>
          <w:tcPr>
            <w:tcW w:w="229" w:type="dxa"/>
            <w:vAlign w:val="top"/>
          </w:tcPr>
          <w:p w14:paraId="7EA44272">
            <w:pPr>
              <w:pStyle w:val="6"/>
              <w:spacing w:before="97" w:line="165" w:lineRule="auto"/>
              <w:ind w:left="20"/>
              <w:rPr>
                <w:sz w:val="18"/>
                <w:szCs w:val="18"/>
              </w:rPr>
            </w:pPr>
            <w:r>
              <w:rPr>
                <w:b/>
                <w:bCs/>
                <w:spacing w:val="-2"/>
                <w:sz w:val="18"/>
                <w:szCs w:val="18"/>
              </w:rPr>
              <w:t>B</w:t>
            </w:r>
          </w:p>
        </w:tc>
        <w:tc>
          <w:tcPr>
            <w:tcW w:w="229" w:type="dxa"/>
            <w:vAlign w:val="top"/>
          </w:tcPr>
          <w:p w14:paraId="100CF1AE">
            <w:pPr>
              <w:pStyle w:val="6"/>
              <w:spacing w:before="94" w:line="168" w:lineRule="auto"/>
              <w:ind w:left="51"/>
              <w:rPr>
                <w:sz w:val="18"/>
                <w:szCs w:val="18"/>
              </w:rPr>
            </w:pPr>
            <w:r>
              <w:rPr>
                <w:b/>
                <w:bCs/>
                <w:spacing w:val="-2"/>
                <w:sz w:val="18"/>
                <w:szCs w:val="18"/>
              </w:rPr>
              <w:t>C</w:t>
            </w:r>
          </w:p>
        </w:tc>
        <w:tc>
          <w:tcPr>
            <w:tcW w:w="224" w:type="dxa"/>
            <w:vAlign w:val="top"/>
          </w:tcPr>
          <w:p w14:paraId="35FEE45D">
            <w:pPr>
              <w:pStyle w:val="6"/>
              <w:spacing w:before="97" w:line="165" w:lineRule="auto"/>
              <w:ind w:left="22"/>
              <w:rPr>
                <w:sz w:val="18"/>
                <w:szCs w:val="18"/>
              </w:rPr>
            </w:pPr>
            <w:r>
              <w:rPr>
                <w:b/>
                <w:bCs/>
                <w:spacing w:val="-2"/>
                <w:sz w:val="18"/>
                <w:szCs w:val="18"/>
              </w:rPr>
              <w:t>D</w:t>
            </w:r>
          </w:p>
        </w:tc>
      </w:tr>
      <w:tr w14:paraId="364424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7" w:hRule="atLeast"/>
        </w:trPr>
        <w:tc>
          <w:tcPr>
            <w:tcW w:w="893" w:type="dxa"/>
            <w:vMerge w:val="restart"/>
            <w:tcBorders>
              <w:bottom w:val="nil"/>
            </w:tcBorders>
            <w:vAlign w:val="top"/>
          </w:tcPr>
          <w:p w14:paraId="73835289">
            <w:pPr>
              <w:pStyle w:val="6"/>
              <w:spacing w:before="130" w:line="217" w:lineRule="auto"/>
              <w:ind w:left="74" w:right="78"/>
              <w:rPr>
                <w:sz w:val="18"/>
                <w:szCs w:val="18"/>
              </w:rPr>
            </w:pPr>
            <w:r>
              <w:rPr>
                <w:spacing w:val="-2"/>
                <w:sz w:val="18"/>
                <w:szCs w:val="18"/>
              </w:rPr>
              <w:t>钢筋施工</w:t>
            </w:r>
            <w:r>
              <w:rPr>
                <w:spacing w:val="1"/>
                <w:sz w:val="18"/>
                <w:szCs w:val="18"/>
              </w:rPr>
              <w:t xml:space="preserve"> </w:t>
            </w:r>
            <w:r>
              <w:rPr>
                <w:spacing w:val="2"/>
                <w:sz w:val="18"/>
                <w:szCs w:val="18"/>
              </w:rPr>
              <w:t>常用机具</w:t>
            </w:r>
          </w:p>
        </w:tc>
        <w:tc>
          <w:tcPr>
            <w:tcW w:w="2324" w:type="dxa"/>
            <w:vMerge w:val="restart"/>
            <w:tcBorders>
              <w:bottom w:val="nil"/>
            </w:tcBorders>
            <w:vAlign w:val="top"/>
          </w:tcPr>
          <w:p w14:paraId="0FFF296B">
            <w:pPr>
              <w:pStyle w:val="6"/>
              <w:spacing w:before="130" w:line="223" w:lineRule="auto"/>
              <w:ind w:left="11" w:right="313"/>
              <w:rPr>
                <w:sz w:val="18"/>
                <w:szCs w:val="18"/>
              </w:rPr>
            </w:pPr>
            <w:r>
              <w:rPr>
                <w:sz w:val="18"/>
                <w:szCs w:val="18"/>
              </w:rPr>
              <w:t>1.钢筋加工常用机械设备</w:t>
            </w:r>
            <w:r>
              <w:rPr>
                <w:spacing w:val="7"/>
                <w:sz w:val="18"/>
                <w:szCs w:val="18"/>
              </w:rPr>
              <w:t xml:space="preserve"> </w:t>
            </w:r>
            <w:r>
              <w:rPr>
                <w:spacing w:val="-1"/>
                <w:sz w:val="18"/>
                <w:szCs w:val="18"/>
              </w:rPr>
              <w:t>2.钢筋加工常用工具</w:t>
            </w:r>
          </w:p>
        </w:tc>
        <w:tc>
          <w:tcPr>
            <w:tcW w:w="220" w:type="dxa"/>
            <w:vAlign w:val="top"/>
          </w:tcPr>
          <w:p w14:paraId="3E0B8624">
            <w:pPr>
              <w:pStyle w:val="6"/>
              <w:spacing w:before="100" w:line="238" w:lineRule="auto"/>
              <w:ind w:left="18"/>
              <w:rPr>
                <w:sz w:val="12"/>
                <w:szCs w:val="12"/>
              </w:rPr>
            </w:pPr>
            <w:r>
              <w:rPr>
                <w:sz w:val="12"/>
                <w:szCs w:val="12"/>
              </w:rPr>
              <w:t>√</w:t>
            </w:r>
          </w:p>
        </w:tc>
        <w:tc>
          <w:tcPr>
            <w:tcW w:w="229" w:type="dxa"/>
            <w:vAlign w:val="top"/>
          </w:tcPr>
          <w:p w14:paraId="732DAAF2">
            <w:pPr>
              <w:rPr>
                <w:rFonts w:ascii="Arial"/>
                <w:sz w:val="21"/>
              </w:rPr>
            </w:pPr>
          </w:p>
        </w:tc>
        <w:tc>
          <w:tcPr>
            <w:tcW w:w="229" w:type="dxa"/>
            <w:vAlign w:val="top"/>
          </w:tcPr>
          <w:p w14:paraId="2D35F55C">
            <w:pPr>
              <w:rPr>
                <w:rFonts w:ascii="Arial"/>
                <w:sz w:val="21"/>
              </w:rPr>
            </w:pPr>
          </w:p>
        </w:tc>
        <w:tc>
          <w:tcPr>
            <w:tcW w:w="224" w:type="dxa"/>
            <w:vAlign w:val="top"/>
          </w:tcPr>
          <w:p w14:paraId="657904E8">
            <w:pPr>
              <w:rPr>
                <w:rFonts w:ascii="Arial"/>
                <w:sz w:val="21"/>
              </w:rPr>
            </w:pPr>
          </w:p>
        </w:tc>
      </w:tr>
      <w:tr w14:paraId="4AA672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2" w:hRule="atLeast"/>
        </w:trPr>
        <w:tc>
          <w:tcPr>
            <w:tcW w:w="893" w:type="dxa"/>
            <w:vMerge w:val="continue"/>
            <w:tcBorders>
              <w:top w:val="nil"/>
            </w:tcBorders>
            <w:vAlign w:val="top"/>
          </w:tcPr>
          <w:p w14:paraId="3574B42F">
            <w:pPr>
              <w:rPr>
                <w:rFonts w:ascii="Arial"/>
                <w:sz w:val="21"/>
              </w:rPr>
            </w:pPr>
          </w:p>
        </w:tc>
        <w:tc>
          <w:tcPr>
            <w:tcW w:w="2324" w:type="dxa"/>
            <w:vMerge w:val="continue"/>
            <w:tcBorders>
              <w:top w:val="nil"/>
            </w:tcBorders>
            <w:vAlign w:val="top"/>
          </w:tcPr>
          <w:p w14:paraId="5DB12978">
            <w:pPr>
              <w:rPr>
                <w:rFonts w:ascii="Arial"/>
                <w:sz w:val="21"/>
              </w:rPr>
            </w:pPr>
          </w:p>
        </w:tc>
        <w:tc>
          <w:tcPr>
            <w:tcW w:w="220" w:type="dxa"/>
            <w:vAlign w:val="top"/>
          </w:tcPr>
          <w:p w14:paraId="5534210C">
            <w:pPr>
              <w:pStyle w:val="6"/>
              <w:spacing w:before="113" w:line="238" w:lineRule="auto"/>
              <w:ind w:left="18"/>
              <w:rPr>
                <w:sz w:val="12"/>
                <w:szCs w:val="12"/>
              </w:rPr>
            </w:pPr>
            <w:r>
              <w:rPr>
                <w:sz w:val="12"/>
                <w:szCs w:val="12"/>
              </w:rPr>
              <w:t>√</w:t>
            </w:r>
          </w:p>
        </w:tc>
        <w:tc>
          <w:tcPr>
            <w:tcW w:w="229" w:type="dxa"/>
            <w:vAlign w:val="top"/>
          </w:tcPr>
          <w:p w14:paraId="3AD72E0C">
            <w:pPr>
              <w:rPr>
                <w:rFonts w:ascii="Arial"/>
                <w:sz w:val="21"/>
              </w:rPr>
            </w:pPr>
          </w:p>
        </w:tc>
        <w:tc>
          <w:tcPr>
            <w:tcW w:w="229" w:type="dxa"/>
            <w:vAlign w:val="top"/>
          </w:tcPr>
          <w:p w14:paraId="5D57EB47">
            <w:pPr>
              <w:rPr>
                <w:rFonts w:ascii="Arial"/>
                <w:sz w:val="21"/>
              </w:rPr>
            </w:pPr>
          </w:p>
        </w:tc>
        <w:tc>
          <w:tcPr>
            <w:tcW w:w="224" w:type="dxa"/>
            <w:vAlign w:val="top"/>
          </w:tcPr>
          <w:p w14:paraId="226C5B5A">
            <w:pPr>
              <w:rPr>
                <w:rFonts w:ascii="Arial"/>
                <w:sz w:val="21"/>
              </w:rPr>
            </w:pPr>
          </w:p>
        </w:tc>
      </w:tr>
    </w:tbl>
    <w:p w14:paraId="65A5C4C6">
      <w:pPr>
        <w:pStyle w:val="2"/>
        <w:spacing w:line="30" w:lineRule="exact"/>
        <w:rPr>
          <w:sz w:val="2"/>
        </w:rPr>
      </w:pPr>
    </w:p>
    <w:p w14:paraId="0F2654BB">
      <w:pPr>
        <w:spacing w:line="30" w:lineRule="exact"/>
        <w:rPr>
          <w:sz w:val="2"/>
          <w:szCs w:val="2"/>
        </w:rPr>
        <w:sectPr>
          <w:type w:val="continuous"/>
          <w:pgSz w:w="10660" w:h="15080"/>
          <w:pgMar w:top="400" w:right="1034" w:bottom="927" w:left="819" w:header="0" w:footer="719" w:gutter="0"/>
          <w:cols w:equalWidth="0" w:num="2">
            <w:col w:w="4566" w:space="100"/>
            <w:col w:w="4141"/>
          </w:cols>
        </w:sectPr>
      </w:pPr>
    </w:p>
    <w:p w14:paraId="181BF981">
      <w:pPr>
        <w:spacing w:before="10"/>
      </w:pPr>
    </w:p>
    <w:p w14:paraId="4EC60D23">
      <w:pPr>
        <w:spacing w:before="10"/>
      </w:pPr>
    </w:p>
    <w:p w14:paraId="08FFAAEF">
      <w:pPr>
        <w:spacing w:before="10"/>
      </w:pPr>
    </w:p>
    <w:p w14:paraId="0D2F10EA">
      <w:pPr>
        <w:spacing w:before="9"/>
      </w:pPr>
    </w:p>
    <w:p w14:paraId="116DDBC7">
      <w:pPr>
        <w:sectPr>
          <w:footerReference r:id="rId47" w:type="default"/>
          <w:pgSz w:w="10660" w:h="15080"/>
          <w:pgMar w:top="400" w:right="885" w:bottom="925" w:left="1034" w:header="0" w:footer="705" w:gutter="0"/>
          <w:cols w:equalWidth="0" w:num="1">
            <w:col w:w="8740"/>
          </w:cols>
        </w:sectPr>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14"/>
        <w:gridCol w:w="229"/>
        <w:gridCol w:w="220"/>
        <w:gridCol w:w="229"/>
        <w:gridCol w:w="234"/>
      </w:tblGrid>
      <w:tr w14:paraId="1ECDA5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4" w:hRule="atLeast"/>
        </w:trPr>
        <w:tc>
          <w:tcPr>
            <w:tcW w:w="893" w:type="dxa"/>
            <w:vMerge w:val="restart"/>
            <w:tcBorders>
              <w:bottom w:val="nil"/>
            </w:tcBorders>
            <w:vAlign w:val="top"/>
          </w:tcPr>
          <w:p w14:paraId="2C952183">
            <w:pPr>
              <w:pStyle w:val="6"/>
              <w:spacing w:before="82" w:line="236" w:lineRule="auto"/>
              <w:ind w:left="97" w:right="112" w:firstLine="89"/>
            </w:pPr>
            <w:r>
              <w:rPr>
                <w:b/>
                <w:bCs/>
                <w:spacing w:val="-6"/>
              </w:rPr>
              <w:t>知识与</w:t>
            </w:r>
            <w:r>
              <w:t xml:space="preserve">  </w:t>
            </w:r>
            <w:r>
              <w:rPr>
                <w:b/>
                <w:bCs/>
                <w:spacing w:val="-4"/>
              </w:rPr>
              <w:t>技能要点</w:t>
            </w:r>
          </w:p>
        </w:tc>
        <w:tc>
          <w:tcPr>
            <w:tcW w:w="2314" w:type="dxa"/>
            <w:vMerge w:val="restart"/>
            <w:tcBorders>
              <w:bottom w:val="nil"/>
            </w:tcBorders>
            <w:vAlign w:val="top"/>
          </w:tcPr>
          <w:p w14:paraId="0354FC23">
            <w:pPr>
              <w:pStyle w:val="6"/>
              <w:spacing w:before="199" w:line="219" w:lineRule="auto"/>
              <w:ind w:left="834"/>
            </w:pPr>
            <w:r>
              <w:rPr>
                <w:b/>
                <w:bCs/>
                <w:spacing w:val="5"/>
              </w:rPr>
              <w:t>考试条目</w:t>
            </w:r>
          </w:p>
        </w:tc>
        <w:tc>
          <w:tcPr>
            <w:tcW w:w="912" w:type="dxa"/>
            <w:gridSpan w:val="4"/>
            <w:vAlign w:val="top"/>
          </w:tcPr>
          <w:p w14:paraId="64C3E817">
            <w:pPr>
              <w:pStyle w:val="6"/>
              <w:spacing w:before="59" w:line="219" w:lineRule="auto"/>
              <w:ind w:left="130"/>
            </w:pPr>
            <w:r>
              <w:rPr>
                <w:b/>
                <w:bCs/>
                <w:spacing w:val="-4"/>
              </w:rPr>
              <w:t>考试水平</w:t>
            </w:r>
          </w:p>
        </w:tc>
      </w:tr>
      <w:tr w14:paraId="35F6C1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trPr>
        <w:tc>
          <w:tcPr>
            <w:tcW w:w="893" w:type="dxa"/>
            <w:vMerge w:val="continue"/>
            <w:tcBorders>
              <w:top w:val="nil"/>
            </w:tcBorders>
            <w:vAlign w:val="top"/>
          </w:tcPr>
          <w:p w14:paraId="56105B0F">
            <w:pPr>
              <w:rPr>
                <w:rFonts w:ascii="Arial"/>
                <w:sz w:val="21"/>
              </w:rPr>
            </w:pPr>
          </w:p>
        </w:tc>
        <w:tc>
          <w:tcPr>
            <w:tcW w:w="2314" w:type="dxa"/>
            <w:vMerge w:val="continue"/>
            <w:tcBorders>
              <w:top w:val="nil"/>
            </w:tcBorders>
            <w:vAlign w:val="top"/>
          </w:tcPr>
          <w:p w14:paraId="2585BD2B">
            <w:pPr>
              <w:rPr>
                <w:rFonts w:ascii="Arial"/>
                <w:sz w:val="21"/>
              </w:rPr>
            </w:pPr>
          </w:p>
        </w:tc>
        <w:tc>
          <w:tcPr>
            <w:tcW w:w="229" w:type="dxa"/>
            <w:vAlign w:val="top"/>
          </w:tcPr>
          <w:p w14:paraId="2115C43E">
            <w:pPr>
              <w:pStyle w:val="6"/>
              <w:spacing w:before="90" w:line="184" w:lineRule="auto"/>
              <w:ind w:left="30"/>
            </w:pPr>
            <w:r>
              <w:rPr>
                <w:b/>
                <w:bCs/>
                <w:spacing w:val="-2"/>
              </w:rPr>
              <w:t>A</w:t>
            </w:r>
          </w:p>
        </w:tc>
        <w:tc>
          <w:tcPr>
            <w:tcW w:w="220" w:type="dxa"/>
            <w:vAlign w:val="top"/>
          </w:tcPr>
          <w:p w14:paraId="1A1D7221">
            <w:pPr>
              <w:pStyle w:val="6"/>
              <w:spacing w:before="93" w:line="181" w:lineRule="auto"/>
              <w:ind w:left="61"/>
            </w:pPr>
            <w:r>
              <w:rPr>
                <w:b/>
                <w:bCs/>
                <w:spacing w:val="-2"/>
              </w:rPr>
              <w:t>B</w:t>
            </w:r>
          </w:p>
        </w:tc>
        <w:tc>
          <w:tcPr>
            <w:tcW w:w="229" w:type="dxa"/>
            <w:vAlign w:val="top"/>
          </w:tcPr>
          <w:p w14:paraId="1EE5FCC0">
            <w:pPr>
              <w:pStyle w:val="6"/>
              <w:spacing w:before="90" w:line="183" w:lineRule="auto"/>
              <w:ind w:left="21"/>
            </w:pPr>
            <w:r>
              <w:rPr>
                <w:b/>
                <w:bCs/>
                <w:spacing w:val="-2"/>
              </w:rPr>
              <w:t>C</w:t>
            </w:r>
          </w:p>
        </w:tc>
        <w:tc>
          <w:tcPr>
            <w:tcW w:w="234" w:type="dxa"/>
            <w:vAlign w:val="top"/>
          </w:tcPr>
          <w:p w14:paraId="63D2FEB3">
            <w:pPr>
              <w:pStyle w:val="6"/>
              <w:spacing w:before="93" w:line="181" w:lineRule="auto"/>
              <w:ind w:left="22"/>
            </w:pPr>
            <w:r>
              <w:rPr>
                <w:b/>
                <w:bCs/>
                <w:spacing w:val="-2"/>
              </w:rPr>
              <w:t>D</w:t>
            </w:r>
          </w:p>
        </w:tc>
      </w:tr>
      <w:tr w14:paraId="4DB346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893" w:type="dxa"/>
            <w:vMerge w:val="restart"/>
            <w:tcBorders>
              <w:bottom w:val="nil"/>
            </w:tcBorders>
            <w:vAlign w:val="top"/>
          </w:tcPr>
          <w:p w14:paraId="23DF95A4">
            <w:pPr>
              <w:pStyle w:val="6"/>
              <w:spacing w:before="287" w:line="233" w:lineRule="auto"/>
              <w:ind w:left="264" w:right="113" w:hanging="170"/>
            </w:pPr>
            <w:r>
              <w:rPr>
                <w:spacing w:val="-2"/>
              </w:rPr>
              <w:t>钢筋基本</w:t>
            </w:r>
            <w:r>
              <w:rPr>
                <w:spacing w:val="1"/>
              </w:rPr>
              <w:t xml:space="preserve"> </w:t>
            </w:r>
            <w:r>
              <w:rPr>
                <w:spacing w:val="-2"/>
              </w:rPr>
              <w:t>加工</w:t>
            </w:r>
          </w:p>
        </w:tc>
        <w:tc>
          <w:tcPr>
            <w:tcW w:w="2314" w:type="dxa"/>
            <w:vMerge w:val="restart"/>
            <w:tcBorders>
              <w:bottom w:val="nil"/>
            </w:tcBorders>
            <w:vAlign w:val="top"/>
          </w:tcPr>
          <w:p w14:paraId="5F012516">
            <w:pPr>
              <w:pStyle w:val="6"/>
              <w:spacing w:before="168" w:line="233" w:lineRule="auto"/>
              <w:ind w:left="2" w:right="933"/>
            </w:pPr>
            <w:r>
              <w:t>1.钢筋除锈和调直</w:t>
            </w:r>
            <w:r>
              <w:rPr>
                <w:spacing w:val="6"/>
              </w:rPr>
              <w:t xml:space="preserve"> </w:t>
            </w:r>
            <w:r>
              <w:rPr>
                <w:spacing w:val="-2"/>
              </w:rPr>
              <w:t>2.钢筋切断</w:t>
            </w:r>
          </w:p>
          <w:p w14:paraId="70622804">
            <w:pPr>
              <w:pStyle w:val="6"/>
              <w:spacing w:line="219" w:lineRule="auto"/>
              <w:ind w:left="2"/>
            </w:pPr>
            <w:r>
              <w:rPr>
                <w:spacing w:val="3"/>
              </w:rPr>
              <w:t>3.钢筋弯曲</w:t>
            </w:r>
          </w:p>
        </w:tc>
        <w:tc>
          <w:tcPr>
            <w:tcW w:w="229" w:type="dxa"/>
            <w:vAlign w:val="top"/>
          </w:tcPr>
          <w:p w14:paraId="0994CBEE">
            <w:pPr>
              <w:rPr>
                <w:rFonts w:ascii="Arial"/>
                <w:sz w:val="21"/>
              </w:rPr>
            </w:pPr>
          </w:p>
        </w:tc>
        <w:tc>
          <w:tcPr>
            <w:tcW w:w="220" w:type="dxa"/>
            <w:vAlign w:val="top"/>
          </w:tcPr>
          <w:p w14:paraId="182FFBE3">
            <w:pPr>
              <w:pStyle w:val="6"/>
              <w:spacing w:before="99" w:line="238" w:lineRule="auto"/>
              <w:ind w:left="39"/>
              <w:rPr>
                <w:sz w:val="13"/>
                <w:szCs w:val="13"/>
              </w:rPr>
            </w:pPr>
            <w:r>
              <w:rPr>
                <w:sz w:val="13"/>
                <w:szCs w:val="13"/>
              </w:rPr>
              <w:t>√</w:t>
            </w:r>
          </w:p>
        </w:tc>
        <w:tc>
          <w:tcPr>
            <w:tcW w:w="229" w:type="dxa"/>
            <w:vAlign w:val="top"/>
          </w:tcPr>
          <w:p w14:paraId="7FC2A0B1">
            <w:pPr>
              <w:rPr>
                <w:rFonts w:ascii="Arial"/>
                <w:sz w:val="21"/>
              </w:rPr>
            </w:pPr>
          </w:p>
        </w:tc>
        <w:tc>
          <w:tcPr>
            <w:tcW w:w="234" w:type="dxa"/>
            <w:vAlign w:val="top"/>
          </w:tcPr>
          <w:p w14:paraId="1D0B5A4E">
            <w:pPr>
              <w:rPr>
                <w:rFonts w:ascii="Arial"/>
                <w:sz w:val="21"/>
              </w:rPr>
            </w:pPr>
          </w:p>
        </w:tc>
      </w:tr>
      <w:tr w14:paraId="69F237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893" w:type="dxa"/>
            <w:vMerge w:val="continue"/>
            <w:tcBorders>
              <w:top w:val="nil"/>
              <w:bottom w:val="nil"/>
            </w:tcBorders>
            <w:vAlign w:val="top"/>
          </w:tcPr>
          <w:p w14:paraId="711B9790">
            <w:pPr>
              <w:rPr>
                <w:rFonts w:ascii="Arial"/>
                <w:sz w:val="21"/>
              </w:rPr>
            </w:pPr>
          </w:p>
        </w:tc>
        <w:tc>
          <w:tcPr>
            <w:tcW w:w="2314" w:type="dxa"/>
            <w:vMerge w:val="continue"/>
            <w:tcBorders>
              <w:top w:val="nil"/>
              <w:bottom w:val="nil"/>
            </w:tcBorders>
            <w:vAlign w:val="top"/>
          </w:tcPr>
          <w:p w14:paraId="46D8EB23">
            <w:pPr>
              <w:rPr>
                <w:rFonts w:ascii="Arial"/>
                <w:sz w:val="21"/>
              </w:rPr>
            </w:pPr>
          </w:p>
        </w:tc>
        <w:tc>
          <w:tcPr>
            <w:tcW w:w="229" w:type="dxa"/>
            <w:vAlign w:val="top"/>
          </w:tcPr>
          <w:p w14:paraId="3F954BF2">
            <w:pPr>
              <w:rPr>
                <w:rFonts w:ascii="Arial"/>
                <w:sz w:val="21"/>
              </w:rPr>
            </w:pPr>
          </w:p>
        </w:tc>
        <w:tc>
          <w:tcPr>
            <w:tcW w:w="220" w:type="dxa"/>
            <w:vAlign w:val="top"/>
          </w:tcPr>
          <w:p w14:paraId="5B88A766">
            <w:pPr>
              <w:pStyle w:val="6"/>
              <w:spacing w:before="100" w:line="238" w:lineRule="auto"/>
              <w:ind w:left="39"/>
              <w:rPr>
                <w:sz w:val="13"/>
                <w:szCs w:val="13"/>
              </w:rPr>
            </w:pPr>
            <w:r>
              <w:rPr>
                <w:sz w:val="13"/>
                <w:szCs w:val="13"/>
              </w:rPr>
              <w:t>√</w:t>
            </w:r>
          </w:p>
        </w:tc>
        <w:tc>
          <w:tcPr>
            <w:tcW w:w="229" w:type="dxa"/>
            <w:vAlign w:val="top"/>
          </w:tcPr>
          <w:p w14:paraId="741E168B">
            <w:pPr>
              <w:rPr>
                <w:rFonts w:ascii="Arial"/>
                <w:sz w:val="21"/>
              </w:rPr>
            </w:pPr>
          </w:p>
        </w:tc>
        <w:tc>
          <w:tcPr>
            <w:tcW w:w="234" w:type="dxa"/>
            <w:vAlign w:val="top"/>
          </w:tcPr>
          <w:p w14:paraId="58E03FFB">
            <w:pPr>
              <w:rPr>
                <w:rFonts w:ascii="Arial"/>
                <w:sz w:val="21"/>
              </w:rPr>
            </w:pPr>
          </w:p>
        </w:tc>
      </w:tr>
      <w:tr w14:paraId="1CF32E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893" w:type="dxa"/>
            <w:vMerge w:val="continue"/>
            <w:tcBorders>
              <w:top w:val="nil"/>
            </w:tcBorders>
            <w:vAlign w:val="top"/>
          </w:tcPr>
          <w:p w14:paraId="2C736F7C">
            <w:pPr>
              <w:rPr>
                <w:rFonts w:ascii="Arial"/>
                <w:sz w:val="21"/>
              </w:rPr>
            </w:pPr>
          </w:p>
        </w:tc>
        <w:tc>
          <w:tcPr>
            <w:tcW w:w="2314" w:type="dxa"/>
            <w:vMerge w:val="continue"/>
            <w:tcBorders>
              <w:top w:val="nil"/>
            </w:tcBorders>
            <w:vAlign w:val="top"/>
          </w:tcPr>
          <w:p w14:paraId="6EA749F5">
            <w:pPr>
              <w:rPr>
                <w:rFonts w:ascii="Arial"/>
                <w:sz w:val="21"/>
              </w:rPr>
            </w:pPr>
          </w:p>
        </w:tc>
        <w:tc>
          <w:tcPr>
            <w:tcW w:w="229" w:type="dxa"/>
            <w:vAlign w:val="top"/>
          </w:tcPr>
          <w:p w14:paraId="35A2E9CF">
            <w:pPr>
              <w:rPr>
                <w:rFonts w:ascii="Arial"/>
                <w:sz w:val="21"/>
              </w:rPr>
            </w:pPr>
          </w:p>
        </w:tc>
        <w:tc>
          <w:tcPr>
            <w:tcW w:w="220" w:type="dxa"/>
            <w:vAlign w:val="top"/>
          </w:tcPr>
          <w:p w14:paraId="38417721">
            <w:pPr>
              <w:pStyle w:val="6"/>
              <w:spacing w:before="101" w:line="238" w:lineRule="auto"/>
              <w:ind w:left="39"/>
              <w:rPr>
                <w:sz w:val="13"/>
                <w:szCs w:val="13"/>
              </w:rPr>
            </w:pPr>
            <w:r>
              <w:rPr>
                <w:sz w:val="13"/>
                <w:szCs w:val="13"/>
              </w:rPr>
              <w:t>√</w:t>
            </w:r>
          </w:p>
        </w:tc>
        <w:tc>
          <w:tcPr>
            <w:tcW w:w="229" w:type="dxa"/>
            <w:vAlign w:val="top"/>
          </w:tcPr>
          <w:p w14:paraId="204E38E8">
            <w:pPr>
              <w:rPr>
                <w:rFonts w:ascii="Arial"/>
                <w:sz w:val="21"/>
              </w:rPr>
            </w:pPr>
          </w:p>
        </w:tc>
        <w:tc>
          <w:tcPr>
            <w:tcW w:w="234" w:type="dxa"/>
            <w:vAlign w:val="top"/>
          </w:tcPr>
          <w:p w14:paraId="0ACB8854">
            <w:pPr>
              <w:rPr>
                <w:rFonts w:ascii="Arial"/>
                <w:sz w:val="21"/>
              </w:rPr>
            </w:pPr>
          </w:p>
        </w:tc>
      </w:tr>
      <w:tr w14:paraId="3F3C72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19" w:hRule="atLeast"/>
        </w:trPr>
        <w:tc>
          <w:tcPr>
            <w:tcW w:w="893" w:type="dxa"/>
            <w:vAlign w:val="top"/>
          </w:tcPr>
          <w:p w14:paraId="645F12D9">
            <w:pPr>
              <w:pStyle w:val="6"/>
              <w:spacing w:before="130" w:line="233" w:lineRule="auto"/>
              <w:ind w:left="264" w:right="193" w:hanging="80"/>
            </w:pPr>
            <w:r>
              <w:rPr>
                <w:spacing w:val="-2"/>
              </w:rPr>
              <w:t>钢筋冷</w:t>
            </w:r>
            <w:r>
              <w:t xml:space="preserve"> </w:t>
            </w:r>
            <w:r>
              <w:rPr>
                <w:spacing w:val="-2"/>
              </w:rPr>
              <w:t>加工</w:t>
            </w:r>
          </w:p>
        </w:tc>
        <w:tc>
          <w:tcPr>
            <w:tcW w:w="2314" w:type="dxa"/>
            <w:vAlign w:val="top"/>
          </w:tcPr>
          <w:p w14:paraId="7F4A63D1">
            <w:pPr>
              <w:pStyle w:val="6"/>
              <w:spacing w:before="231" w:line="219" w:lineRule="auto"/>
              <w:ind w:left="2"/>
            </w:pPr>
            <w:r>
              <w:rPr>
                <w:spacing w:val="1"/>
              </w:rPr>
              <w:t>1.钢筋冷加工</w:t>
            </w:r>
          </w:p>
        </w:tc>
        <w:tc>
          <w:tcPr>
            <w:tcW w:w="229" w:type="dxa"/>
            <w:vAlign w:val="top"/>
          </w:tcPr>
          <w:p w14:paraId="4F64A40D">
            <w:pPr>
              <w:rPr>
                <w:rFonts w:ascii="Arial"/>
                <w:sz w:val="21"/>
              </w:rPr>
            </w:pPr>
          </w:p>
        </w:tc>
        <w:tc>
          <w:tcPr>
            <w:tcW w:w="220" w:type="dxa"/>
            <w:vAlign w:val="top"/>
          </w:tcPr>
          <w:p w14:paraId="4A3265DF">
            <w:pPr>
              <w:rPr>
                <w:rFonts w:ascii="Arial"/>
                <w:sz w:val="21"/>
              </w:rPr>
            </w:pPr>
          </w:p>
        </w:tc>
        <w:tc>
          <w:tcPr>
            <w:tcW w:w="229" w:type="dxa"/>
            <w:vAlign w:val="top"/>
          </w:tcPr>
          <w:p w14:paraId="4E7936EE">
            <w:pPr>
              <w:rPr>
                <w:rFonts w:ascii="Arial"/>
                <w:sz w:val="21"/>
              </w:rPr>
            </w:pPr>
          </w:p>
        </w:tc>
        <w:tc>
          <w:tcPr>
            <w:tcW w:w="234" w:type="dxa"/>
            <w:vAlign w:val="top"/>
          </w:tcPr>
          <w:p w14:paraId="74FC35FF">
            <w:pPr>
              <w:rPr>
                <w:rFonts w:ascii="Arial"/>
                <w:sz w:val="21"/>
              </w:rPr>
            </w:pPr>
          </w:p>
        </w:tc>
      </w:tr>
      <w:tr w14:paraId="0890BE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9" w:hRule="atLeast"/>
        </w:trPr>
        <w:tc>
          <w:tcPr>
            <w:tcW w:w="893" w:type="dxa"/>
            <w:vAlign w:val="top"/>
          </w:tcPr>
          <w:p w14:paraId="45C8F26A">
            <w:pPr>
              <w:pStyle w:val="6"/>
              <w:spacing w:before="121" w:line="231" w:lineRule="auto"/>
              <w:ind w:left="264" w:right="193" w:hanging="80"/>
            </w:pPr>
            <w:r>
              <w:rPr>
                <w:spacing w:val="-2"/>
              </w:rPr>
              <w:t>钢筋的</w:t>
            </w:r>
            <w:r>
              <w:t xml:space="preserve"> </w:t>
            </w:r>
            <w:r>
              <w:rPr>
                <w:spacing w:val="-2"/>
              </w:rPr>
              <w:t>连接</w:t>
            </w:r>
          </w:p>
        </w:tc>
        <w:tc>
          <w:tcPr>
            <w:tcW w:w="2314" w:type="dxa"/>
            <w:vAlign w:val="top"/>
          </w:tcPr>
          <w:p w14:paraId="3E5B279A">
            <w:pPr>
              <w:pStyle w:val="6"/>
              <w:spacing w:before="122" w:line="228" w:lineRule="auto"/>
              <w:ind w:left="2" w:right="936"/>
            </w:pPr>
            <w:r>
              <w:t>1.钢筋的焊接方法</w:t>
            </w:r>
            <w:r>
              <w:rPr>
                <w:spacing w:val="4"/>
              </w:rPr>
              <w:t xml:space="preserve"> </w:t>
            </w:r>
            <w:r>
              <w:rPr>
                <w:spacing w:val="-2"/>
              </w:rPr>
              <w:t>2.机械连接</w:t>
            </w:r>
          </w:p>
        </w:tc>
        <w:tc>
          <w:tcPr>
            <w:tcW w:w="229" w:type="dxa"/>
            <w:vAlign w:val="top"/>
          </w:tcPr>
          <w:p w14:paraId="1E93CEFE">
            <w:pPr>
              <w:rPr>
                <w:rFonts w:ascii="Arial"/>
                <w:sz w:val="21"/>
              </w:rPr>
            </w:pPr>
          </w:p>
        </w:tc>
        <w:tc>
          <w:tcPr>
            <w:tcW w:w="220" w:type="dxa"/>
            <w:vAlign w:val="top"/>
          </w:tcPr>
          <w:p w14:paraId="3CEAD623">
            <w:pPr>
              <w:rPr>
                <w:rFonts w:ascii="Arial"/>
                <w:sz w:val="21"/>
              </w:rPr>
            </w:pPr>
          </w:p>
        </w:tc>
        <w:tc>
          <w:tcPr>
            <w:tcW w:w="229" w:type="dxa"/>
            <w:vAlign w:val="top"/>
          </w:tcPr>
          <w:p w14:paraId="04FFE66F">
            <w:pPr>
              <w:rPr>
                <w:rFonts w:ascii="Arial"/>
                <w:sz w:val="21"/>
              </w:rPr>
            </w:pPr>
          </w:p>
        </w:tc>
        <w:tc>
          <w:tcPr>
            <w:tcW w:w="234" w:type="dxa"/>
            <w:vAlign w:val="top"/>
          </w:tcPr>
          <w:p w14:paraId="57455979">
            <w:pPr>
              <w:rPr>
                <w:rFonts w:ascii="Arial"/>
                <w:sz w:val="21"/>
              </w:rPr>
            </w:pPr>
          </w:p>
        </w:tc>
      </w:tr>
      <w:tr w14:paraId="4200E7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893" w:type="dxa"/>
            <w:vMerge w:val="restart"/>
            <w:tcBorders>
              <w:bottom w:val="nil"/>
            </w:tcBorders>
            <w:vAlign w:val="top"/>
          </w:tcPr>
          <w:p w14:paraId="4AD48303">
            <w:pPr>
              <w:pStyle w:val="6"/>
              <w:spacing w:before="142" w:line="218" w:lineRule="auto"/>
              <w:ind w:left="94"/>
            </w:pPr>
            <w:r>
              <w:rPr>
                <w:spacing w:val="-1"/>
              </w:rPr>
              <w:t>钢筋绑扎</w:t>
            </w:r>
          </w:p>
          <w:p w14:paraId="396E560E">
            <w:pPr>
              <w:pStyle w:val="6"/>
              <w:spacing w:line="220" w:lineRule="auto"/>
              <w:ind w:left="184"/>
            </w:pPr>
            <w:r>
              <w:rPr>
                <w:spacing w:val="-3"/>
              </w:rPr>
              <w:t>与安装</w:t>
            </w:r>
          </w:p>
        </w:tc>
        <w:tc>
          <w:tcPr>
            <w:tcW w:w="2314" w:type="dxa"/>
            <w:vMerge w:val="restart"/>
            <w:tcBorders>
              <w:bottom w:val="nil"/>
            </w:tcBorders>
            <w:vAlign w:val="top"/>
          </w:tcPr>
          <w:p w14:paraId="650F37A1">
            <w:pPr>
              <w:pStyle w:val="6"/>
              <w:spacing w:before="152" w:line="224" w:lineRule="auto"/>
              <w:ind w:left="2" w:right="1443"/>
            </w:pPr>
            <w:r>
              <w:rPr>
                <w:spacing w:val="1"/>
              </w:rPr>
              <w:t xml:space="preserve">1.钢筋绑扎 </w:t>
            </w:r>
            <w:r>
              <w:rPr>
                <w:spacing w:val="-2"/>
              </w:rPr>
              <w:t>2.钢筋安装</w:t>
            </w:r>
          </w:p>
        </w:tc>
        <w:tc>
          <w:tcPr>
            <w:tcW w:w="229" w:type="dxa"/>
            <w:vAlign w:val="top"/>
          </w:tcPr>
          <w:p w14:paraId="2BE14A05">
            <w:pPr>
              <w:rPr>
                <w:rFonts w:ascii="Arial"/>
                <w:sz w:val="21"/>
              </w:rPr>
            </w:pPr>
          </w:p>
        </w:tc>
        <w:tc>
          <w:tcPr>
            <w:tcW w:w="220" w:type="dxa"/>
            <w:vAlign w:val="top"/>
          </w:tcPr>
          <w:p w14:paraId="50D63D0B">
            <w:pPr>
              <w:rPr>
                <w:rFonts w:ascii="Arial"/>
                <w:sz w:val="21"/>
              </w:rPr>
            </w:pPr>
          </w:p>
        </w:tc>
        <w:tc>
          <w:tcPr>
            <w:tcW w:w="229" w:type="dxa"/>
            <w:vAlign w:val="top"/>
          </w:tcPr>
          <w:p w14:paraId="24D21B4E">
            <w:pPr>
              <w:rPr>
                <w:rFonts w:ascii="Arial"/>
                <w:sz w:val="21"/>
              </w:rPr>
            </w:pPr>
          </w:p>
        </w:tc>
        <w:tc>
          <w:tcPr>
            <w:tcW w:w="234" w:type="dxa"/>
            <w:vAlign w:val="top"/>
          </w:tcPr>
          <w:p w14:paraId="6493873F">
            <w:pPr>
              <w:rPr>
                <w:rFonts w:ascii="Arial"/>
                <w:sz w:val="21"/>
              </w:rPr>
            </w:pPr>
          </w:p>
        </w:tc>
      </w:tr>
      <w:tr w14:paraId="6EDBF9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893" w:type="dxa"/>
            <w:vMerge w:val="continue"/>
            <w:tcBorders>
              <w:top w:val="nil"/>
            </w:tcBorders>
            <w:vAlign w:val="top"/>
          </w:tcPr>
          <w:p w14:paraId="226E77D5">
            <w:pPr>
              <w:rPr>
                <w:rFonts w:ascii="Arial"/>
                <w:sz w:val="21"/>
              </w:rPr>
            </w:pPr>
          </w:p>
        </w:tc>
        <w:tc>
          <w:tcPr>
            <w:tcW w:w="2314" w:type="dxa"/>
            <w:vMerge w:val="continue"/>
            <w:tcBorders>
              <w:top w:val="nil"/>
            </w:tcBorders>
            <w:vAlign w:val="top"/>
          </w:tcPr>
          <w:p w14:paraId="57F22B46">
            <w:pPr>
              <w:rPr>
                <w:rFonts w:ascii="Arial"/>
                <w:sz w:val="21"/>
              </w:rPr>
            </w:pPr>
          </w:p>
        </w:tc>
        <w:tc>
          <w:tcPr>
            <w:tcW w:w="229" w:type="dxa"/>
            <w:vAlign w:val="top"/>
          </w:tcPr>
          <w:p w14:paraId="2576B660">
            <w:pPr>
              <w:rPr>
                <w:rFonts w:ascii="Arial"/>
                <w:sz w:val="21"/>
              </w:rPr>
            </w:pPr>
          </w:p>
        </w:tc>
        <w:tc>
          <w:tcPr>
            <w:tcW w:w="220" w:type="dxa"/>
            <w:vAlign w:val="top"/>
          </w:tcPr>
          <w:p w14:paraId="08129CD6">
            <w:pPr>
              <w:pStyle w:val="6"/>
              <w:spacing w:before="115" w:line="238" w:lineRule="auto"/>
              <w:ind w:left="39"/>
              <w:rPr>
                <w:sz w:val="13"/>
                <w:szCs w:val="13"/>
              </w:rPr>
            </w:pPr>
            <w:r>
              <w:rPr>
                <w:sz w:val="13"/>
                <w:szCs w:val="13"/>
              </w:rPr>
              <w:t>√</w:t>
            </w:r>
          </w:p>
        </w:tc>
        <w:tc>
          <w:tcPr>
            <w:tcW w:w="229" w:type="dxa"/>
            <w:vAlign w:val="top"/>
          </w:tcPr>
          <w:p w14:paraId="47B0A2D1">
            <w:pPr>
              <w:rPr>
                <w:rFonts w:ascii="Arial"/>
                <w:sz w:val="21"/>
              </w:rPr>
            </w:pPr>
          </w:p>
        </w:tc>
        <w:tc>
          <w:tcPr>
            <w:tcW w:w="234" w:type="dxa"/>
            <w:vAlign w:val="top"/>
          </w:tcPr>
          <w:p w14:paraId="259E919F">
            <w:pPr>
              <w:rPr>
                <w:rFonts w:ascii="Arial"/>
                <w:sz w:val="21"/>
              </w:rPr>
            </w:pPr>
          </w:p>
        </w:tc>
      </w:tr>
      <w:tr w14:paraId="191A2F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893" w:type="dxa"/>
            <w:vMerge w:val="restart"/>
            <w:tcBorders>
              <w:bottom w:val="nil"/>
            </w:tcBorders>
            <w:vAlign w:val="top"/>
          </w:tcPr>
          <w:p w14:paraId="2510ACA2">
            <w:pPr>
              <w:pStyle w:val="6"/>
              <w:spacing w:before="45" w:line="219" w:lineRule="auto"/>
              <w:ind w:left="94"/>
            </w:pPr>
            <w:r>
              <w:rPr>
                <w:spacing w:val="-1"/>
              </w:rPr>
              <w:t>钢筋工程</w:t>
            </w:r>
          </w:p>
          <w:p w14:paraId="48F48666">
            <w:pPr>
              <w:pStyle w:val="6"/>
              <w:spacing w:before="8" w:line="220" w:lineRule="auto"/>
              <w:ind w:left="94"/>
            </w:pPr>
            <w:r>
              <w:rPr>
                <w:spacing w:val="-2"/>
              </w:rPr>
              <w:t>施工质量</w:t>
            </w:r>
          </w:p>
          <w:p w14:paraId="544E660F">
            <w:pPr>
              <w:pStyle w:val="6"/>
              <w:spacing w:before="26" w:line="218" w:lineRule="auto"/>
              <w:ind w:left="94"/>
            </w:pPr>
            <w:r>
              <w:rPr>
                <w:spacing w:val="-2"/>
              </w:rPr>
              <w:t>验收与安</w:t>
            </w:r>
          </w:p>
          <w:p w14:paraId="46203D75">
            <w:pPr>
              <w:pStyle w:val="6"/>
              <w:spacing w:line="192" w:lineRule="auto"/>
              <w:ind w:left="184"/>
            </w:pPr>
            <w:r>
              <w:rPr>
                <w:spacing w:val="-2"/>
              </w:rPr>
              <w:t>全常识</w:t>
            </w:r>
          </w:p>
        </w:tc>
        <w:tc>
          <w:tcPr>
            <w:tcW w:w="2314" w:type="dxa"/>
            <w:vMerge w:val="restart"/>
            <w:tcBorders>
              <w:bottom w:val="nil"/>
            </w:tcBorders>
            <w:vAlign w:val="top"/>
          </w:tcPr>
          <w:p w14:paraId="3A9436D9">
            <w:pPr>
              <w:pStyle w:val="6"/>
              <w:spacing w:before="275" w:line="224" w:lineRule="auto"/>
              <w:ind w:left="2" w:right="425"/>
            </w:pPr>
            <w:r>
              <w:t>1.钢筋工程施工质量验收</w:t>
            </w:r>
            <w:r>
              <w:rPr>
                <w:spacing w:val="5"/>
              </w:rPr>
              <w:t xml:space="preserve"> </w:t>
            </w:r>
            <w:r>
              <w:rPr>
                <w:spacing w:val="-2"/>
              </w:rPr>
              <w:t>2.安全常识</w:t>
            </w:r>
          </w:p>
        </w:tc>
        <w:tc>
          <w:tcPr>
            <w:tcW w:w="229" w:type="dxa"/>
            <w:vAlign w:val="top"/>
          </w:tcPr>
          <w:p w14:paraId="1243B4BD">
            <w:pPr>
              <w:rPr>
                <w:rFonts w:ascii="Arial"/>
                <w:sz w:val="21"/>
              </w:rPr>
            </w:pPr>
          </w:p>
        </w:tc>
        <w:tc>
          <w:tcPr>
            <w:tcW w:w="220" w:type="dxa"/>
            <w:vAlign w:val="top"/>
          </w:tcPr>
          <w:p w14:paraId="381250D2">
            <w:pPr>
              <w:rPr>
                <w:rFonts w:ascii="Arial"/>
                <w:sz w:val="21"/>
              </w:rPr>
            </w:pPr>
          </w:p>
        </w:tc>
        <w:tc>
          <w:tcPr>
            <w:tcW w:w="229" w:type="dxa"/>
            <w:vAlign w:val="top"/>
          </w:tcPr>
          <w:p w14:paraId="27342C00">
            <w:pPr>
              <w:rPr>
                <w:rFonts w:ascii="Arial"/>
                <w:sz w:val="21"/>
              </w:rPr>
            </w:pPr>
          </w:p>
        </w:tc>
        <w:tc>
          <w:tcPr>
            <w:tcW w:w="234" w:type="dxa"/>
            <w:vAlign w:val="top"/>
          </w:tcPr>
          <w:p w14:paraId="05FDC708">
            <w:pPr>
              <w:rPr>
                <w:rFonts w:ascii="Arial"/>
                <w:sz w:val="21"/>
              </w:rPr>
            </w:pPr>
          </w:p>
        </w:tc>
      </w:tr>
      <w:tr w14:paraId="40566E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4" w:hRule="atLeast"/>
        </w:trPr>
        <w:tc>
          <w:tcPr>
            <w:tcW w:w="893" w:type="dxa"/>
            <w:vMerge w:val="continue"/>
            <w:tcBorders>
              <w:top w:val="nil"/>
            </w:tcBorders>
            <w:vAlign w:val="top"/>
          </w:tcPr>
          <w:p w14:paraId="34149759">
            <w:pPr>
              <w:rPr>
                <w:rFonts w:ascii="Arial"/>
                <w:sz w:val="21"/>
              </w:rPr>
            </w:pPr>
          </w:p>
        </w:tc>
        <w:tc>
          <w:tcPr>
            <w:tcW w:w="2314" w:type="dxa"/>
            <w:vMerge w:val="continue"/>
            <w:tcBorders>
              <w:top w:val="nil"/>
            </w:tcBorders>
            <w:vAlign w:val="top"/>
          </w:tcPr>
          <w:p w14:paraId="407AD88D">
            <w:pPr>
              <w:rPr>
                <w:rFonts w:ascii="Arial"/>
                <w:sz w:val="21"/>
              </w:rPr>
            </w:pPr>
          </w:p>
        </w:tc>
        <w:tc>
          <w:tcPr>
            <w:tcW w:w="229" w:type="dxa"/>
            <w:vAlign w:val="top"/>
          </w:tcPr>
          <w:p w14:paraId="6132C245">
            <w:pPr>
              <w:rPr>
                <w:rFonts w:ascii="Arial"/>
                <w:sz w:val="21"/>
              </w:rPr>
            </w:pPr>
          </w:p>
        </w:tc>
        <w:tc>
          <w:tcPr>
            <w:tcW w:w="220" w:type="dxa"/>
            <w:vAlign w:val="top"/>
          </w:tcPr>
          <w:p w14:paraId="4AF1CDC8">
            <w:pPr>
              <w:rPr>
                <w:rFonts w:ascii="Arial"/>
                <w:sz w:val="21"/>
              </w:rPr>
            </w:pPr>
          </w:p>
        </w:tc>
        <w:tc>
          <w:tcPr>
            <w:tcW w:w="229" w:type="dxa"/>
            <w:vAlign w:val="top"/>
          </w:tcPr>
          <w:p w14:paraId="0C7848C2">
            <w:pPr>
              <w:rPr>
                <w:rFonts w:ascii="Arial"/>
                <w:sz w:val="21"/>
              </w:rPr>
            </w:pPr>
          </w:p>
        </w:tc>
        <w:tc>
          <w:tcPr>
            <w:tcW w:w="234" w:type="dxa"/>
            <w:vAlign w:val="top"/>
          </w:tcPr>
          <w:p w14:paraId="20ABEC61">
            <w:pPr>
              <w:rPr>
                <w:rFonts w:ascii="Arial"/>
                <w:sz w:val="21"/>
              </w:rPr>
            </w:pPr>
          </w:p>
        </w:tc>
      </w:tr>
    </w:tbl>
    <w:p w14:paraId="6297363D">
      <w:pPr>
        <w:spacing w:before="128" w:line="221" w:lineRule="auto"/>
        <w:ind w:left="1067"/>
        <w:rPr>
          <w:rFonts w:ascii="黑体" w:hAnsi="黑体" w:eastAsia="黑体" w:cs="黑体"/>
          <w:sz w:val="20"/>
          <w:szCs w:val="20"/>
        </w:rPr>
      </w:pPr>
      <w:r>
        <w:rPr>
          <w:rFonts w:ascii="黑体" w:hAnsi="黑体" w:eastAsia="黑体" w:cs="黑体"/>
          <w:b/>
          <w:bCs/>
          <w:spacing w:val="-7"/>
          <w:sz w:val="20"/>
          <w:szCs w:val="20"/>
        </w:rPr>
        <w:t>第四章</w:t>
      </w:r>
      <w:r>
        <w:rPr>
          <w:rFonts w:ascii="黑体" w:hAnsi="黑体" w:eastAsia="黑体" w:cs="黑体"/>
          <w:spacing w:val="9"/>
          <w:sz w:val="20"/>
          <w:szCs w:val="20"/>
        </w:rPr>
        <w:t xml:space="preserve">  </w:t>
      </w:r>
      <w:r>
        <w:rPr>
          <w:rFonts w:ascii="黑体" w:hAnsi="黑体" w:eastAsia="黑体" w:cs="黑体"/>
          <w:b/>
          <w:bCs/>
          <w:spacing w:val="-7"/>
          <w:sz w:val="20"/>
          <w:szCs w:val="20"/>
        </w:rPr>
        <w:t>模板施工工艺</w:t>
      </w:r>
    </w:p>
    <w:p w14:paraId="1DAA8DB4">
      <w:pPr>
        <w:spacing w:line="72" w:lineRule="exact"/>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14"/>
        <w:gridCol w:w="229"/>
        <w:gridCol w:w="220"/>
        <w:gridCol w:w="229"/>
        <w:gridCol w:w="234"/>
      </w:tblGrid>
      <w:tr w14:paraId="011961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4" w:hRule="atLeast"/>
        </w:trPr>
        <w:tc>
          <w:tcPr>
            <w:tcW w:w="893" w:type="dxa"/>
            <w:vMerge w:val="restart"/>
            <w:tcBorders>
              <w:bottom w:val="nil"/>
            </w:tcBorders>
            <w:vAlign w:val="top"/>
          </w:tcPr>
          <w:p w14:paraId="5C74C569">
            <w:pPr>
              <w:pStyle w:val="6"/>
              <w:spacing w:before="121" w:line="218" w:lineRule="auto"/>
              <w:ind w:left="77" w:right="93" w:firstLine="89"/>
              <w:rPr>
                <w:sz w:val="18"/>
                <w:szCs w:val="18"/>
              </w:rPr>
            </w:pPr>
            <w:r>
              <w:rPr>
                <w:b/>
                <w:bCs/>
                <w:spacing w:val="1"/>
                <w:sz w:val="18"/>
                <w:szCs w:val="18"/>
              </w:rPr>
              <w:t>知识与</w:t>
            </w:r>
            <w:r>
              <w:rPr>
                <w:sz w:val="18"/>
                <w:szCs w:val="18"/>
              </w:rPr>
              <w:t xml:space="preserve">  </w:t>
            </w:r>
            <w:r>
              <w:rPr>
                <w:b/>
                <w:bCs/>
                <w:spacing w:val="-4"/>
                <w:sz w:val="18"/>
                <w:szCs w:val="18"/>
              </w:rPr>
              <w:t>技能要点</w:t>
            </w:r>
          </w:p>
        </w:tc>
        <w:tc>
          <w:tcPr>
            <w:tcW w:w="2314" w:type="dxa"/>
            <w:vMerge w:val="restart"/>
            <w:tcBorders>
              <w:bottom w:val="nil"/>
            </w:tcBorders>
            <w:vAlign w:val="top"/>
          </w:tcPr>
          <w:p w14:paraId="0FE58790">
            <w:pPr>
              <w:pStyle w:val="6"/>
              <w:spacing w:before="219" w:line="219" w:lineRule="auto"/>
              <w:ind w:left="834"/>
              <w:rPr>
                <w:sz w:val="18"/>
                <w:szCs w:val="18"/>
              </w:rPr>
            </w:pPr>
            <w:r>
              <w:rPr>
                <w:b/>
                <w:bCs/>
                <w:spacing w:val="5"/>
                <w:sz w:val="18"/>
                <w:szCs w:val="18"/>
              </w:rPr>
              <w:t>考试条目</w:t>
            </w:r>
          </w:p>
        </w:tc>
        <w:tc>
          <w:tcPr>
            <w:tcW w:w="912" w:type="dxa"/>
            <w:gridSpan w:val="4"/>
            <w:vAlign w:val="top"/>
          </w:tcPr>
          <w:p w14:paraId="36347328">
            <w:pPr>
              <w:pStyle w:val="6"/>
              <w:spacing w:before="69" w:line="219" w:lineRule="auto"/>
              <w:ind w:left="130"/>
              <w:rPr>
                <w:sz w:val="18"/>
                <w:szCs w:val="18"/>
              </w:rPr>
            </w:pPr>
            <w:r>
              <w:rPr>
                <w:b/>
                <w:bCs/>
                <w:spacing w:val="-4"/>
                <w:sz w:val="18"/>
                <w:szCs w:val="18"/>
              </w:rPr>
              <w:t>考试水平</w:t>
            </w:r>
          </w:p>
        </w:tc>
      </w:tr>
      <w:tr w14:paraId="1FBEB3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0" w:hRule="atLeast"/>
        </w:trPr>
        <w:tc>
          <w:tcPr>
            <w:tcW w:w="893" w:type="dxa"/>
            <w:vMerge w:val="continue"/>
            <w:tcBorders>
              <w:top w:val="nil"/>
            </w:tcBorders>
            <w:vAlign w:val="top"/>
          </w:tcPr>
          <w:p w14:paraId="2021BE47">
            <w:pPr>
              <w:rPr>
                <w:rFonts w:ascii="Arial"/>
                <w:sz w:val="21"/>
              </w:rPr>
            </w:pPr>
          </w:p>
        </w:tc>
        <w:tc>
          <w:tcPr>
            <w:tcW w:w="2314" w:type="dxa"/>
            <w:vMerge w:val="continue"/>
            <w:tcBorders>
              <w:top w:val="nil"/>
            </w:tcBorders>
            <w:vAlign w:val="top"/>
          </w:tcPr>
          <w:p w14:paraId="66CCB087">
            <w:pPr>
              <w:rPr>
                <w:rFonts w:ascii="Arial"/>
                <w:sz w:val="21"/>
              </w:rPr>
            </w:pPr>
          </w:p>
        </w:tc>
        <w:tc>
          <w:tcPr>
            <w:tcW w:w="229" w:type="dxa"/>
            <w:vAlign w:val="top"/>
          </w:tcPr>
          <w:p w14:paraId="4DC830B6">
            <w:pPr>
              <w:pStyle w:val="6"/>
              <w:spacing w:before="103" w:line="181" w:lineRule="auto"/>
              <w:ind w:left="10"/>
              <w:rPr>
                <w:sz w:val="18"/>
                <w:szCs w:val="18"/>
              </w:rPr>
            </w:pPr>
            <w:r>
              <w:rPr>
                <w:b/>
                <w:bCs/>
                <w:spacing w:val="-2"/>
                <w:sz w:val="18"/>
                <w:szCs w:val="18"/>
              </w:rPr>
              <w:t>A</w:t>
            </w:r>
          </w:p>
        </w:tc>
        <w:tc>
          <w:tcPr>
            <w:tcW w:w="220" w:type="dxa"/>
            <w:vAlign w:val="top"/>
          </w:tcPr>
          <w:p w14:paraId="5E215CAA">
            <w:pPr>
              <w:pStyle w:val="6"/>
              <w:spacing w:before="106" w:line="178" w:lineRule="auto"/>
              <w:ind w:left="21"/>
              <w:rPr>
                <w:sz w:val="18"/>
                <w:szCs w:val="18"/>
              </w:rPr>
            </w:pPr>
            <w:r>
              <w:rPr>
                <w:b/>
                <w:bCs/>
                <w:spacing w:val="-2"/>
                <w:sz w:val="18"/>
                <w:szCs w:val="18"/>
              </w:rPr>
              <w:t>B</w:t>
            </w:r>
          </w:p>
        </w:tc>
        <w:tc>
          <w:tcPr>
            <w:tcW w:w="229" w:type="dxa"/>
            <w:vAlign w:val="top"/>
          </w:tcPr>
          <w:p w14:paraId="15E4A0AE">
            <w:pPr>
              <w:pStyle w:val="6"/>
              <w:spacing w:before="103" w:line="181" w:lineRule="auto"/>
              <w:ind w:left="21"/>
              <w:rPr>
                <w:sz w:val="18"/>
                <w:szCs w:val="18"/>
              </w:rPr>
            </w:pPr>
            <w:r>
              <w:rPr>
                <w:b/>
                <w:bCs/>
                <w:spacing w:val="-2"/>
                <w:sz w:val="18"/>
                <w:szCs w:val="18"/>
              </w:rPr>
              <w:t>C</w:t>
            </w:r>
          </w:p>
        </w:tc>
        <w:tc>
          <w:tcPr>
            <w:tcW w:w="234" w:type="dxa"/>
            <w:vAlign w:val="top"/>
          </w:tcPr>
          <w:p w14:paraId="06D4E2E0">
            <w:pPr>
              <w:pStyle w:val="6"/>
              <w:spacing w:before="106" w:line="178" w:lineRule="auto"/>
              <w:ind w:left="52"/>
              <w:rPr>
                <w:sz w:val="18"/>
                <w:szCs w:val="18"/>
              </w:rPr>
            </w:pPr>
            <w:r>
              <w:rPr>
                <w:b/>
                <w:bCs/>
                <w:spacing w:val="-2"/>
                <w:sz w:val="18"/>
                <w:szCs w:val="18"/>
              </w:rPr>
              <w:t>D</w:t>
            </w:r>
          </w:p>
        </w:tc>
      </w:tr>
      <w:tr w14:paraId="78DCBE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9" w:hRule="atLeast"/>
        </w:trPr>
        <w:tc>
          <w:tcPr>
            <w:tcW w:w="893" w:type="dxa"/>
            <w:vMerge w:val="restart"/>
            <w:tcBorders>
              <w:bottom w:val="nil"/>
            </w:tcBorders>
            <w:vAlign w:val="top"/>
          </w:tcPr>
          <w:p w14:paraId="32C1F5BC">
            <w:pPr>
              <w:pStyle w:val="6"/>
              <w:spacing w:before="127" w:line="219" w:lineRule="auto"/>
              <w:ind w:left="75"/>
              <w:rPr>
                <w:sz w:val="18"/>
                <w:szCs w:val="18"/>
              </w:rPr>
            </w:pPr>
            <w:r>
              <w:rPr>
                <w:spacing w:val="-2"/>
                <w:sz w:val="18"/>
                <w:szCs w:val="18"/>
              </w:rPr>
              <w:t>模板的种</w:t>
            </w:r>
          </w:p>
          <w:p w14:paraId="11B0BF66">
            <w:pPr>
              <w:pStyle w:val="6"/>
              <w:spacing w:before="37" w:line="216" w:lineRule="auto"/>
              <w:ind w:left="75"/>
              <w:rPr>
                <w:sz w:val="18"/>
                <w:szCs w:val="18"/>
              </w:rPr>
            </w:pPr>
            <w:r>
              <w:rPr>
                <w:spacing w:val="-2"/>
                <w:sz w:val="18"/>
                <w:szCs w:val="18"/>
              </w:rPr>
              <w:t>类、组成</w:t>
            </w:r>
          </w:p>
          <w:p w14:paraId="2A2C9F91">
            <w:pPr>
              <w:pStyle w:val="6"/>
              <w:spacing w:line="220" w:lineRule="auto"/>
              <w:ind w:left="165"/>
              <w:rPr>
                <w:sz w:val="18"/>
                <w:szCs w:val="18"/>
              </w:rPr>
            </w:pPr>
            <w:r>
              <w:rPr>
                <w:spacing w:val="5"/>
                <w:sz w:val="18"/>
                <w:szCs w:val="18"/>
              </w:rPr>
              <w:t>与配制</w:t>
            </w:r>
          </w:p>
        </w:tc>
        <w:tc>
          <w:tcPr>
            <w:tcW w:w="2314" w:type="dxa"/>
            <w:vMerge w:val="restart"/>
            <w:tcBorders>
              <w:bottom w:val="nil"/>
            </w:tcBorders>
            <w:vAlign w:val="top"/>
          </w:tcPr>
          <w:p w14:paraId="3984B28C">
            <w:pPr>
              <w:pStyle w:val="6"/>
              <w:spacing w:before="246" w:line="233" w:lineRule="auto"/>
              <w:ind w:left="12" w:right="663"/>
              <w:rPr>
                <w:sz w:val="18"/>
                <w:szCs w:val="18"/>
              </w:rPr>
            </w:pPr>
            <w:r>
              <w:rPr>
                <w:sz w:val="18"/>
                <w:szCs w:val="18"/>
              </w:rPr>
              <w:t>1.模板的种类、组成</w:t>
            </w:r>
            <w:r>
              <w:rPr>
                <w:spacing w:val="7"/>
                <w:sz w:val="18"/>
                <w:szCs w:val="18"/>
              </w:rPr>
              <w:t xml:space="preserve"> </w:t>
            </w:r>
            <w:r>
              <w:rPr>
                <w:spacing w:val="2"/>
                <w:sz w:val="18"/>
                <w:szCs w:val="18"/>
              </w:rPr>
              <w:t>2.模板的配制</w:t>
            </w:r>
          </w:p>
        </w:tc>
        <w:tc>
          <w:tcPr>
            <w:tcW w:w="229" w:type="dxa"/>
            <w:vAlign w:val="top"/>
          </w:tcPr>
          <w:p w14:paraId="77DF1FE7">
            <w:pPr>
              <w:pStyle w:val="6"/>
              <w:spacing w:before="159" w:line="238" w:lineRule="auto"/>
              <w:ind w:left="7"/>
              <w:rPr>
                <w:sz w:val="13"/>
                <w:szCs w:val="13"/>
              </w:rPr>
            </w:pPr>
            <w:r>
              <w:rPr>
                <w:sz w:val="13"/>
                <w:szCs w:val="13"/>
              </w:rPr>
              <w:t>√</w:t>
            </w:r>
          </w:p>
        </w:tc>
        <w:tc>
          <w:tcPr>
            <w:tcW w:w="220" w:type="dxa"/>
            <w:vAlign w:val="top"/>
          </w:tcPr>
          <w:p w14:paraId="4C398A58">
            <w:pPr>
              <w:rPr>
                <w:rFonts w:ascii="Arial"/>
                <w:sz w:val="21"/>
              </w:rPr>
            </w:pPr>
          </w:p>
        </w:tc>
        <w:tc>
          <w:tcPr>
            <w:tcW w:w="229" w:type="dxa"/>
            <w:vAlign w:val="top"/>
          </w:tcPr>
          <w:p w14:paraId="7D899EC3">
            <w:pPr>
              <w:rPr>
                <w:rFonts w:ascii="Arial"/>
                <w:sz w:val="21"/>
              </w:rPr>
            </w:pPr>
          </w:p>
        </w:tc>
        <w:tc>
          <w:tcPr>
            <w:tcW w:w="234" w:type="dxa"/>
            <w:vAlign w:val="top"/>
          </w:tcPr>
          <w:p w14:paraId="0DC0147A">
            <w:pPr>
              <w:rPr>
                <w:rFonts w:ascii="Arial"/>
                <w:sz w:val="21"/>
              </w:rPr>
            </w:pPr>
          </w:p>
        </w:tc>
      </w:tr>
      <w:tr w14:paraId="6AA03D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9" w:hRule="atLeast"/>
        </w:trPr>
        <w:tc>
          <w:tcPr>
            <w:tcW w:w="893" w:type="dxa"/>
            <w:vMerge w:val="continue"/>
            <w:tcBorders>
              <w:top w:val="nil"/>
            </w:tcBorders>
            <w:vAlign w:val="top"/>
          </w:tcPr>
          <w:p w14:paraId="61A0EE4F">
            <w:pPr>
              <w:rPr>
                <w:rFonts w:ascii="Arial"/>
                <w:sz w:val="21"/>
              </w:rPr>
            </w:pPr>
          </w:p>
        </w:tc>
        <w:tc>
          <w:tcPr>
            <w:tcW w:w="2314" w:type="dxa"/>
            <w:vMerge w:val="continue"/>
            <w:tcBorders>
              <w:top w:val="nil"/>
            </w:tcBorders>
            <w:vAlign w:val="top"/>
          </w:tcPr>
          <w:p w14:paraId="14950ED2">
            <w:pPr>
              <w:rPr>
                <w:rFonts w:ascii="Arial"/>
                <w:sz w:val="21"/>
              </w:rPr>
            </w:pPr>
          </w:p>
        </w:tc>
        <w:tc>
          <w:tcPr>
            <w:tcW w:w="229" w:type="dxa"/>
            <w:vAlign w:val="top"/>
          </w:tcPr>
          <w:p w14:paraId="40B2D53B">
            <w:pPr>
              <w:rPr>
                <w:rFonts w:ascii="Arial"/>
                <w:sz w:val="21"/>
              </w:rPr>
            </w:pPr>
          </w:p>
        </w:tc>
        <w:tc>
          <w:tcPr>
            <w:tcW w:w="220" w:type="dxa"/>
            <w:vAlign w:val="top"/>
          </w:tcPr>
          <w:p w14:paraId="29619C8A">
            <w:pPr>
              <w:spacing w:before="168" w:line="116" w:lineRule="exact"/>
              <w:ind w:firstLine="41"/>
            </w:pPr>
            <w:r>
              <w:rPr>
                <w:position w:val="-2"/>
              </w:rPr>
              <w:drawing>
                <wp:inline distT="0" distB="0" distL="0" distR="0">
                  <wp:extent cx="80010" cy="73025"/>
                  <wp:effectExtent l="0" t="0" r="0" b="0"/>
                  <wp:docPr id="234" name="IM 234"/>
                  <wp:cNvGraphicFramePr/>
                  <a:graphic xmlns:a="http://schemas.openxmlformats.org/drawingml/2006/main">
                    <a:graphicData uri="http://schemas.openxmlformats.org/drawingml/2006/picture">
                      <pic:pic xmlns:pic="http://schemas.openxmlformats.org/drawingml/2006/picture">
                        <pic:nvPicPr>
                          <pic:cNvPr id="234" name="IM 234"/>
                          <pic:cNvPicPr/>
                        </pic:nvPicPr>
                        <pic:blipFill>
                          <a:blip r:embed="rId282"/>
                          <a:stretch>
                            <a:fillRect/>
                          </a:stretch>
                        </pic:blipFill>
                        <pic:spPr>
                          <a:xfrm>
                            <a:off x="0" y="0"/>
                            <a:ext cx="80015" cy="73460"/>
                          </a:xfrm>
                          <a:prstGeom prst="rect">
                            <a:avLst/>
                          </a:prstGeom>
                        </pic:spPr>
                      </pic:pic>
                    </a:graphicData>
                  </a:graphic>
                </wp:inline>
              </w:drawing>
            </w:r>
          </w:p>
        </w:tc>
        <w:tc>
          <w:tcPr>
            <w:tcW w:w="229" w:type="dxa"/>
            <w:vAlign w:val="top"/>
          </w:tcPr>
          <w:p w14:paraId="55213443">
            <w:pPr>
              <w:rPr>
                <w:rFonts w:ascii="Arial"/>
                <w:sz w:val="21"/>
              </w:rPr>
            </w:pPr>
          </w:p>
        </w:tc>
        <w:tc>
          <w:tcPr>
            <w:tcW w:w="234" w:type="dxa"/>
            <w:vAlign w:val="top"/>
          </w:tcPr>
          <w:p w14:paraId="1445F9CC">
            <w:pPr>
              <w:rPr>
                <w:rFonts w:ascii="Arial"/>
                <w:sz w:val="21"/>
              </w:rPr>
            </w:pPr>
          </w:p>
        </w:tc>
      </w:tr>
      <w:tr w14:paraId="50B315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9" w:hRule="atLeast"/>
        </w:trPr>
        <w:tc>
          <w:tcPr>
            <w:tcW w:w="893" w:type="dxa"/>
            <w:vMerge w:val="restart"/>
            <w:tcBorders>
              <w:bottom w:val="nil"/>
            </w:tcBorders>
            <w:vAlign w:val="top"/>
          </w:tcPr>
          <w:p w14:paraId="1AAA5C50">
            <w:pPr>
              <w:pStyle w:val="6"/>
              <w:spacing w:before="150" w:line="220" w:lineRule="auto"/>
              <w:ind w:left="75"/>
              <w:rPr>
                <w:sz w:val="18"/>
                <w:szCs w:val="18"/>
              </w:rPr>
            </w:pPr>
            <w:r>
              <w:rPr>
                <w:spacing w:val="-2"/>
                <w:sz w:val="18"/>
                <w:szCs w:val="18"/>
              </w:rPr>
              <w:t>现浇混凝</w:t>
            </w:r>
          </w:p>
          <w:p w14:paraId="2E2AD8D9">
            <w:pPr>
              <w:pStyle w:val="6"/>
              <w:spacing w:before="5" w:line="220" w:lineRule="auto"/>
              <w:ind w:left="165"/>
              <w:rPr>
                <w:sz w:val="18"/>
                <w:szCs w:val="18"/>
              </w:rPr>
            </w:pPr>
            <w:r>
              <w:rPr>
                <w:spacing w:val="-2"/>
                <w:sz w:val="18"/>
                <w:szCs w:val="18"/>
              </w:rPr>
              <w:t>土结构</w:t>
            </w:r>
          </w:p>
          <w:p w14:paraId="5DE7E329">
            <w:pPr>
              <w:pStyle w:val="6"/>
              <w:spacing w:before="3" w:line="219" w:lineRule="auto"/>
              <w:ind w:left="254"/>
              <w:rPr>
                <w:sz w:val="18"/>
                <w:szCs w:val="18"/>
              </w:rPr>
            </w:pPr>
            <w:r>
              <w:rPr>
                <w:spacing w:val="-2"/>
                <w:sz w:val="18"/>
                <w:szCs w:val="18"/>
              </w:rPr>
              <w:t>模板</w:t>
            </w:r>
          </w:p>
        </w:tc>
        <w:tc>
          <w:tcPr>
            <w:tcW w:w="2314" w:type="dxa"/>
            <w:vMerge w:val="restart"/>
            <w:tcBorders>
              <w:bottom w:val="nil"/>
            </w:tcBorders>
            <w:vAlign w:val="top"/>
          </w:tcPr>
          <w:p w14:paraId="4AF1F7E8">
            <w:pPr>
              <w:pStyle w:val="6"/>
              <w:spacing w:before="139" w:line="231" w:lineRule="auto"/>
              <w:ind w:left="12" w:right="122"/>
              <w:rPr>
                <w:sz w:val="18"/>
                <w:szCs w:val="18"/>
              </w:rPr>
            </w:pPr>
            <w:r>
              <w:rPr>
                <w:sz w:val="18"/>
                <w:szCs w:val="18"/>
              </w:rPr>
              <w:t>1.木模板、钢模板的构造及</w:t>
            </w:r>
            <w:r>
              <w:rPr>
                <w:spacing w:val="8"/>
                <w:sz w:val="18"/>
                <w:szCs w:val="18"/>
              </w:rPr>
              <w:t xml:space="preserve"> </w:t>
            </w:r>
            <w:r>
              <w:rPr>
                <w:spacing w:val="-2"/>
                <w:sz w:val="18"/>
                <w:szCs w:val="18"/>
              </w:rPr>
              <w:t>施工工艺</w:t>
            </w:r>
          </w:p>
          <w:p w14:paraId="6563FB9A">
            <w:pPr>
              <w:pStyle w:val="6"/>
              <w:spacing w:line="218" w:lineRule="auto"/>
              <w:jc w:val="right"/>
              <w:rPr>
                <w:sz w:val="18"/>
                <w:szCs w:val="18"/>
              </w:rPr>
            </w:pPr>
            <w:r>
              <w:rPr>
                <w:spacing w:val="-4"/>
                <w:sz w:val="18"/>
                <w:szCs w:val="18"/>
              </w:rPr>
              <w:t>2.其他模板的构造及施工工艺</w:t>
            </w:r>
          </w:p>
        </w:tc>
        <w:tc>
          <w:tcPr>
            <w:tcW w:w="229" w:type="dxa"/>
            <w:vAlign w:val="top"/>
          </w:tcPr>
          <w:p w14:paraId="2175D6B4">
            <w:pPr>
              <w:rPr>
                <w:rFonts w:ascii="Arial"/>
                <w:sz w:val="21"/>
              </w:rPr>
            </w:pPr>
          </w:p>
        </w:tc>
        <w:tc>
          <w:tcPr>
            <w:tcW w:w="220" w:type="dxa"/>
            <w:vAlign w:val="top"/>
          </w:tcPr>
          <w:p w14:paraId="1B32C55F">
            <w:pPr>
              <w:pStyle w:val="6"/>
              <w:spacing w:before="152" w:line="238" w:lineRule="auto"/>
              <w:ind w:left="19"/>
              <w:rPr>
                <w:sz w:val="14"/>
                <w:szCs w:val="14"/>
              </w:rPr>
            </w:pPr>
            <w:r>
              <w:rPr>
                <w:sz w:val="14"/>
                <w:szCs w:val="14"/>
              </w:rPr>
              <w:t>√</w:t>
            </w:r>
          </w:p>
        </w:tc>
        <w:tc>
          <w:tcPr>
            <w:tcW w:w="229" w:type="dxa"/>
            <w:vAlign w:val="top"/>
          </w:tcPr>
          <w:p w14:paraId="10F79E0F">
            <w:pPr>
              <w:rPr>
                <w:rFonts w:ascii="Arial"/>
                <w:sz w:val="21"/>
              </w:rPr>
            </w:pPr>
          </w:p>
        </w:tc>
        <w:tc>
          <w:tcPr>
            <w:tcW w:w="234" w:type="dxa"/>
            <w:vAlign w:val="top"/>
          </w:tcPr>
          <w:p w14:paraId="5C6C280D">
            <w:pPr>
              <w:rPr>
                <w:rFonts w:ascii="Arial"/>
                <w:sz w:val="21"/>
              </w:rPr>
            </w:pPr>
          </w:p>
        </w:tc>
      </w:tr>
      <w:tr w14:paraId="583082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9" w:hRule="atLeast"/>
        </w:trPr>
        <w:tc>
          <w:tcPr>
            <w:tcW w:w="893" w:type="dxa"/>
            <w:vMerge w:val="continue"/>
            <w:tcBorders>
              <w:top w:val="nil"/>
            </w:tcBorders>
            <w:vAlign w:val="top"/>
          </w:tcPr>
          <w:p w14:paraId="501688AE">
            <w:pPr>
              <w:rPr>
                <w:rFonts w:ascii="Arial"/>
                <w:sz w:val="21"/>
              </w:rPr>
            </w:pPr>
          </w:p>
        </w:tc>
        <w:tc>
          <w:tcPr>
            <w:tcW w:w="2314" w:type="dxa"/>
            <w:vMerge w:val="continue"/>
            <w:tcBorders>
              <w:top w:val="nil"/>
            </w:tcBorders>
            <w:vAlign w:val="top"/>
          </w:tcPr>
          <w:p w14:paraId="180044A2">
            <w:pPr>
              <w:rPr>
                <w:rFonts w:ascii="Arial"/>
                <w:sz w:val="21"/>
              </w:rPr>
            </w:pPr>
          </w:p>
        </w:tc>
        <w:tc>
          <w:tcPr>
            <w:tcW w:w="229" w:type="dxa"/>
            <w:vAlign w:val="top"/>
          </w:tcPr>
          <w:p w14:paraId="695EC016">
            <w:pPr>
              <w:rPr>
                <w:rFonts w:ascii="Arial"/>
                <w:sz w:val="21"/>
              </w:rPr>
            </w:pPr>
          </w:p>
        </w:tc>
        <w:tc>
          <w:tcPr>
            <w:tcW w:w="220" w:type="dxa"/>
            <w:vAlign w:val="top"/>
          </w:tcPr>
          <w:p w14:paraId="7440AC69">
            <w:pPr>
              <w:rPr>
                <w:rFonts w:ascii="Arial"/>
                <w:sz w:val="21"/>
              </w:rPr>
            </w:pPr>
          </w:p>
        </w:tc>
        <w:tc>
          <w:tcPr>
            <w:tcW w:w="229" w:type="dxa"/>
            <w:vAlign w:val="top"/>
          </w:tcPr>
          <w:p w14:paraId="59DB2666">
            <w:pPr>
              <w:rPr>
                <w:rFonts w:ascii="Arial"/>
                <w:sz w:val="21"/>
              </w:rPr>
            </w:pPr>
          </w:p>
        </w:tc>
        <w:tc>
          <w:tcPr>
            <w:tcW w:w="234" w:type="dxa"/>
            <w:vAlign w:val="top"/>
          </w:tcPr>
          <w:p w14:paraId="0AD7A8DB">
            <w:pPr>
              <w:rPr>
                <w:rFonts w:ascii="Arial"/>
                <w:sz w:val="21"/>
              </w:rPr>
            </w:pPr>
          </w:p>
        </w:tc>
      </w:tr>
      <w:tr w14:paraId="617EFE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08" w:hRule="atLeast"/>
        </w:trPr>
        <w:tc>
          <w:tcPr>
            <w:tcW w:w="893" w:type="dxa"/>
            <w:vAlign w:val="top"/>
          </w:tcPr>
          <w:p w14:paraId="0D823758">
            <w:pPr>
              <w:pStyle w:val="6"/>
              <w:spacing w:before="122" w:line="220" w:lineRule="auto"/>
              <w:ind w:left="75"/>
              <w:rPr>
                <w:sz w:val="18"/>
                <w:szCs w:val="18"/>
              </w:rPr>
            </w:pPr>
            <w:r>
              <w:rPr>
                <w:spacing w:val="-2"/>
                <w:sz w:val="18"/>
                <w:szCs w:val="18"/>
              </w:rPr>
              <w:t>预制混凝</w:t>
            </w:r>
          </w:p>
          <w:p w14:paraId="7818C752">
            <w:pPr>
              <w:pStyle w:val="6"/>
              <w:spacing w:before="4" w:line="215" w:lineRule="auto"/>
              <w:ind w:left="165"/>
              <w:rPr>
                <w:sz w:val="18"/>
                <w:szCs w:val="18"/>
              </w:rPr>
            </w:pPr>
            <w:r>
              <w:rPr>
                <w:spacing w:val="-2"/>
                <w:sz w:val="18"/>
                <w:szCs w:val="18"/>
              </w:rPr>
              <w:t>土构件</w:t>
            </w:r>
          </w:p>
          <w:p w14:paraId="1E955ECD">
            <w:pPr>
              <w:pStyle w:val="6"/>
              <w:spacing w:line="218" w:lineRule="auto"/>
              <w:ind w:left="254"/>
              <w:rPr>
                <w:sz w:val="18"/>
                <w:szCs w:val="18"/>
              </w:rPr>
            </w:pPr>
            <w:r>
              <w:rPr>
                <w:spacing w:val="-2"/>
                <w:sz w:val="18"/>
                <w:szCs w:val="18"/>
              </w:rPr>
              <w:t>模板</w:t>
            </w:r>
          </w:p>
        </w:tc>
        <w:tc>
          <w:tcPr>
            <w:tcW w:w="2314" w:type="dxa"/>
            <w:vAlign w:val="top"/>
          </w:tcPr>
          <w:p w14:paraId="14B46C2C">
            <w:pPr>
              <w:pStyle w:val="6"/>
              <w:spacing w:before="220" w:line="237" w:lineRule="auto"/>
              <w:ind w:left="12" w:right="124"/>
              <w:rPr>
                <w:sz w:val="18"/>
                <w:szCs w:val="18"/>
              </w:rPr>
            </w:pPr>
            <w:r>
              <w:rPr>
                <w:sz w:val="18"/>
                <w:szCs w:val="18"/>
              </w:rPr>
              <w:t>1.预制混凝土构件模板构造</w:t>
            </w:r>
            <w:r>
              <w:rPr>
                <w:spacing w:val="6"/>
                <w:sz w:val="18"/>
                <w:szCs w:val="18"/>
              </w:rPr>
              <w:t xml:space="preserve"> </w:t>
            </w:r>
            <w:r>
              <w:rPr>
                <w:spacing w:val="3"/>
                <w:sz w:val="18"/>
                <w:szCs w:val="18"/>
              </w:rPr>
              <w:t>与施工</w:t>
            </w:r>
          </w:p>
        </w:tc>
        <w:tc>
          <w:tcPr>
            <w:tcW w:w="229" w:type="dxa"/>
            <w:vAlign w:val="top"/>
          </w:tcPr>
          <w:p w14:paraId="69E96574">
            <w:pPr>
              <w:rPr>
                <w:rFonts w:ascii="Arial"/>
                <w:sz w:val="21"/>
              </w:rPr>
            </w:pPr>
          </w:p>
        </w:tc>
        <w:tc>
          <w:tcPr>
            <w:tcW w:w="220" w:type="dxa"/>
            <w:vAlign w:val="top"/>
          </w:tcPr>
          <w:p w14:paraId="574F51A7">
            <w:pPr>
              <w:rPr>
                <w:rFonts w:ascii="Arial"/>
                <w:sz w:val="21"/>
              </w:rPr>
            </w:pPr>
          </w:p>
        </w:tc>
        <w:tc>
          <w:tcPr>
            <w:tcW w:w="229" w:type="dxa"/>
            <w:vAlign w:val="top"/>
          </w:tcPr>
          <w:p w14:paraId="26B8BFEC">
            <w:pPr>
              <w:rPr>
                <w:rFonts w:ascii="Arial"/>
                <w:sz w:val="21"/>
              </w:rPr>
            </w:pPr>
          </w:p>
        </w:tc>
        <w:tc>
          <w:tcPr>
            <w:tcW w:w="234" w:type="dxa"/>
            <w:vAlign w:val="top"/>
          </w:tcPr>
          <w:p w14:paraId="27A44AEC">
            <w:pPr>
              <w:rPr>
                <w:rFonts w:ascii="Arial"/>
                <w:sz w:val="21"/>
              </w:rPr>
            </w:pPr>
          </w:p>
        </w:tc>
      </w:tr>
      <w:tr w14:paraId="7413F8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893" w:type="dxa"/>
            <w:vMerge w:val="restart"/>
            <w:tcBorders>
              <w:bottom w:val="nil"/>
            </w:tcBorders>
            <w:vAlign w:val="top"/>
          </w:tcPr>
          <w:p w14:paraId="4DFDF302">
            <w:pPr>
              <w:pStyle w:val="6"/>
              <w:spacing w:before="123" w:line="219" w:lineRule="auto"/>
              <w:ind w:left="165"/>
              <w:rPr>
                <w:sz w:val="18"/>
                <w:szCs w:val="18"/>
              </w:rPr>
            </w:pPr>
            <w:r>
              <w:rPr>
                <w:spacing w:val="4"/>
                <w:sz w:val="18"/>
                <w:szCs w:val="18"/>
              </w:rPr>
              <w:t>模板的</w:t>
            </w:r>
          </w:p>
          <w:p w14:paraId="03FCB933">
            <w:pPr>
              <w:pStyle w:val="6"/>
              <w:spacing w:before="7" w:line="219" w:lineRule="auto"/>
              <w:ind w:left="254"/>
              <w:rPr>
                <w:sz w:val="18"/>
                <w:szCs w:val="18"/>
              </w:rPr>
            </w:pPr>
            <w:r>
              <w:rPr>
                <w:spacing w:val="-2"/>
                <w:sz w:val="18"/>
                <w:szCs w:val="18"/>
              </w:rPr>
              <w:t>拆除</w:t>
            </w:r>
          </w:p>
        </w:tc>
        <w:tc>
          <w:tcPr>
            <w:tcW w:w="2314" w:type="dxa"/>
            <w:vMerge w:val="restart"/>
            <w:tcBorders>
              <w:bottom w:val="nil"/>
            </w:tcBorders>
            <w:vAlign w:val="top"/>
          </w:tcPr>
          <w:p w14:paraId="12A8C322">
            <w:pPr>
              <w:pStyle w:val="6"/>
              <w:spacing w:before="122" w:line="233" w:lineRule="auto"/>
              <w:ind w:left="12" w:right="482"/>
              <w:rPr>
                <w:sz w:val="18"/>
                <w:szCs w:val="18"/>
              </w:rPr>
            </w:pPr>
            <w:r>
              <w:rPr>
                <w:sz w:val="18"/>
                <w:szCs w:val="18"/>
              </w:rPr>
              <w:t>1.现浇结构模板的拆除</w:t>
            </w:r>
            <w:r>
              <w:rPr>
                <w:spacing w:val="8"/>
                <w:sz w:val="18"/>
                <w:szCs w:val="18"/>
              </w:rPr>
              <w:t xml:space="preserve"> </w:t>
            </w:r>
            <w:r>
              <w:rPr>
                <w:spacing w:val="-1"/>
                <w:sz w:val="18"/>
                <w:szCs w:val="18"/>
              </w:rPr>
              <w:t>2.预制结构模板的拆除</w:t>
            </w:r>
          </w:p>
        </w:tc>
        <w:tc>
          <w:tcPr>
            <w:tcW w:w="229" w:type="dxa"/>
            <w:vAlign w:val="top"/>
          </w:tcPr>
          <w:p w14:paraId="4DDC5C88">
            <w:pPr>
              <w:rPr>
                <w:rFonts w:ascii="Arial"/>
                <w:sz w:val="21"/>
              </w:rPr>
            </w:pPr>
          </w:p>
        </w:tc>
        <w:tc>
          <w:tcPr>
            <w:tcW w:w="220" w:type="dxa"/>
            <w:vAlign w:val="top"/>
          </w:tcPr>
          <w:p w14:paraId="391BA73D">
            <w:pPr>
              <w:pStyle w:val="6"/>
              <w:spacing w:before="85" w:line="242" w:lineRule="auto"/>
              <w:ind w:left="29"/>
              <w:rPr>
                <w:sz w:val="15"/>
                <w:szCs w:val="15"/>
              </w:rPr>
            </w:pPr>
            <w:r>
              <w:rPr>
                <w:sz w:val="15"/>
                <w:szCs w:val="15"/>
              </w:rPr>
              <w:t>√</w:t>
            </w:r>
          </w:p>
        </w:tc>
        <w:tc>
          <w:tcPr>
            <w:tcW w:w="229" w:type="dxa"/>
            <w:vAlign w:val="top"/>
          </w:tcPr>
          <w:p w14:paraId="788E12D6">
            <w:pPr>
              <w:rPr>
                <w:rFonts w:ascii="Arial"/>
                <w:sz w:val="21"/>
              </w:rPr>
            </w:pPr>
          </w:p>
        </w:tc>
        <w:tc>
          <w:tcPr>
            <w:tcW w:w="234" w:type="dxa"/>
            <w:vAlign w:val="top"/>
          </w:tcPr>
          <w:p w14:paraId="4F45C032">
            <w:pPr>
              <w:rPr>
                <w:rFonts w:ascii="Arial"/>
                <w:sz w:val="21"/>
              </w:rPr>
            </w:pPr>
          </w:p>
        </w:tc>
      </w:tr>
      <w:tr w14:paraId="07E6B3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893" w:type="dxa"/>
            <w:vMerge w:val="continue"/>
            <w:tcBorders>
              <w:top w:val="nil"/>
            </w:tcBorders>
            <w:vAlign w:val="top"/>
          </w:tcPr>
          <w:p w14:paraId="6590BF71">
            <w:pPr>
              <w:rPr>
                <w:rFonts w:ascii="Arial"/>
                <w:sz w:val="21"/>
              </w:rPr>
            </w:pPr>
          </w:p>
        </w:tc>
        <w:tc>
          <w:tcPr>
            <w:tcW w:w="2314" w:type="dxa"/>
            <w:vMerge w:val="continue"/>
            <w:tcBorders>
              <w:top w:val="nil"/>
            </w:tcBorders>
            <w:vAlign w:val="top"/>
          </w:tcPr>
          <w:p w14:paraId="08E68877">
            <w:pPr>
              <w:rPr>
                <w:rFonts w:ascii="Arial"/>
                <w:sz w:val="21"/>
              </w:rPr>
            </w:pPr>
          </w:p>
        </w:tc>
        <w:tc>
          <w:tcPr>
            <w:tcW w:w="229" w:type="dxa"/>
            <w:vAlign w:val="top"/>
          </w:tcPr>
          <w:p w14:paraId="7EB4F118">
            <w:pPr>
              <w:rPr>
                <w:rFonts w:ascii="Arial"/>
                <w:sz w:val="21"/>
              </w:rPr>
            </w:pPr>
          </w:p>
        </w:tc>
        <w:tc>
          <w:tcPr>
            <w:tcW w:w="220" w:type="dxa"/>
            <w:vAlign w:val="top"/>
          </w:tcPr>
          <w:p w14:paraId="24BBDEC4">
            <w:pPr>
              <w:rPr>
                <w:rFonts w:ascii="Arial"/>
                <w:sz w:val="21"/>
              </w:rPr>
            </w:pPr>
          </w:p>
        </w:tc>
        <w:tc>
          <w:tcPr>
            <w:tcW w:w="229" w:type="dxa"/>
            <w:vAlign w:val="top"/>
          </w:tcPr>
          <w:p w14:paraId="298D1E22">
            <w:pPr>
              <w:rPr>
                <w:rFonts w:ascii="Arial"/>
                <w:sz w:val="21"/>
              </w:rPr>
            </w:pPr>
          </w:p>
        </w:tc>
        <w:tc>
          <w:tcPr>
            <w:tcW w:w="234" w:type="dxa"/>
            <w:vAlign w:val="top"/>
          </w:tcPr>
          <w:p w14:paraId="26F415C0">
            <w:pPr>
              <w:rPr>
                <w:rFonts w:ascii="Arial"/>
                <w:sz w:val="21"/>
              </w:rPr>
            </w:pPr>
          </w:p>
        </w:tc>
      </w:tr>
      <w:tr w14:paraId="7C5BA6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9" w:hRule="atLeast"/>
        </w:trPr>
        <w:tc>
          <w:tcPr>
            <w:tcW w:w="893" w:type="dxa"/>
            <w:vMerge w:val="restart"/>
            <w:tcBorders>
              <w:bottom w:val="nil"/>
            </w:tcBorders>
            <w:vAlign w:val="top"/>
          </w:tcPr>
          <w:p w14:paraId="1897BE9A">
            <w:pPr>
              <w:pStyle w:val="6"/>
              <w:spacing w:before="85" w:line="206" w:lineRule="auto"/>
              <w:ind w:left="75"/>
              <w:rPr>
                <w:sz w:val="18"/>
                <w:szCs w:val="18"/>
              </w:rPr>
            </w:pPr>
            <w:r>
              <w:rPr>
                <w:spacing w:val="-2"/>
                <w:sz w:val="18"/>
                <w:szCs w:val="18"/>
              </w:rPr>
              <w:t>模板工程</w:t>
            </w:r>
          </w:p>
          <w:p w14:paraId="2602A067">
            <w:pPr>
              <w:pStyle w:val="6"/>
              <w:spacing w:line="220" w:lineRule="auto"/>
              <w:ind w:left="75"/>
              <w:rPr>
                <w:sz w:val="18"/>
                <w:szCs w:val="18"/>
              </w:rPr>
            </w:pPr>
            <w:r>
              <w:rPr>
                <w:spacing w:val="-2"/>
                <w:sz w:val="18"/>
                <w:szCs w:val="18"/>
              </w:rPr>
              <w:t>施工质量</w:t>
            </w:r>
          </w:p>
          <w:p w14:paraId="784810A7">
            <w:pPr>
              <w:pStyle w:val="6"/>
              <w:spacing w:before="25" w:line="219" w:lineRule="auto"/>
              <w:ind w:left="75"/>
              <w:rPr>
                <w:sz w:val="18"/>
                <w:szCs w:val="18"/>
              </w:rPr>
            </w:pPr>
            <w:r>
              <w:rPr>
                <w:spacing w:val="-2"/>
                <w:sz w:val="18"/>
                <w:szCs w:val="18"/>
              </w:rPr>
              <w:t>验收与安</w:t>
            </w:r>
          </w:p>
          <w:p w14:paraId="5011FF4E">
            <w:pPr>
              <w:pStyle w:val="6"/>
              <w:spacing w:before="6" w:line="202" w:lineRule="auto"/>
              <w:ind w:left="165"/>
              <w:rPr>
                <w:sz w:val="18"/>
                <w:szCs w:val="18"/>
              </w:rPr>
            </w:pPr>
            <w:r>
              <w:rPr>
                <w:spacing w:val="-2"/>
                <w:sz w:val="18"/>
                <w:szCs w:val="18"/>
              </w:rPr>
              <w:t>全常识</w:t>
            </w:r>
          </w:p>
        </w:tc>
        <w:tc>
          <w:tcPr>
            <w:tcW w:w="2314" w:type="dxa"/>
            <w:vMerge w:val="restart"/>
            <w:tcBorders>
              <w:bottom w:val="nil"/>
            </w:tcBorders>
            <w:vAlign w:val="top"/>
          </w:tcPr>
          <w:p w14:paraId="7EA56D32">
            <w:pPr>
              <w:spacing w:line="255" w:lineRule="auto"/>
              <w:rPr>
                <w:rFonts w:ascii="Arial"/>
                <w:sz w:val="21"/>
              </w:rPr>
            </w:pPr>
          </w:p>
          <w:p w14:paraId="06E2DE23">
            <w:pPr>
              <w:pStyle w:val="6"/>
              <w:spacing w:before="58" w:line="218" w:lineRule="auto"/>
              <w:ind w:left="12" w:right="305"/>
              <w:rPr>
                <w:sz w:val="18"/>
                <w:szCs w:val="18"/>
              </w:rPr>
            </w:pPr>
            <w:r>
              <w:rPr>
                <w:sz w:val="18"/>
                <w:szCs w:val="18"/>
              </w:rPr>
              <w:t>1.模板工程施工质量验收</w:t>
            </w:r>
            <w:r>
              <w:rPr>
                <w:spacing w:val="5"/>
                <w:sz w:val="18"/>
                <w:szCs w:val="18"/>
              </w:rPr>
              <w:t xml:space="preserve"> </w:t>
            </w:r>
            <w:r>
              <w:rPr>
                <w:spacing w:val="-2"/>
                <w:sz w:val="18"/>
                <w:szCs w:val="18"/>
              </w:rPr>
              <w:t>2.安全常识</w:t>
            </w:r>
          </w:p>
        </w:tc>
        <w:tc>
          <w:tcPr>
            <w:tcW w:w="229" w:type="dxa"/>
            <w:vAlign w:val="top"/>
          </w:tcPr>
          <w:p w14:paraId="2C86682C">
            <w:pPr>
              <w:rPr>
                <w:rFonts w:ascii="Arial"/>
                <w:sz w:val="21"/>
              </w:rPr>
            </w:pPr>
          </w:p>
        </w:tc>
        <w:tc>
          <w:tcPr>
            <w:tcW w:w="220" w:type="dxa"/>
            <w:vAlign w:val="top"/>
          </w:tcPr>
          <w:p w14:paraId="5DE7D895">
            <w:pPr>
              <w:rPr>
                <w:rFonts w:ascii="Arial"/>
                <w:sz w:val="21"/>
              </w:rPr>
            </w:pPr>
          </w:p>
        </w:tc>
        <w:tc>
          <w:tcPr>
            <w:tcW w:w="229" w:type="dxa"/>
            <w:vAlign w:val="top"/>
          </w:tcPr>
          <w:p w14:paraId="115BC665">
            <w:pPr>
              <w:pStyle w:val="6"/>
              <w:spacing w:before="187" w:line="238" w:lineRule="auto"/>
              <w:ind w:left="19"/>
              <w:rPr>
                <w:sz w:val="14"/>
                <w:szCs w:val="14"/>
              </w:rPr>
            </w:pPr>
            <w:r>
              <w:rPr>
                <w:sz w:val="14"/>
                <w:szCs w:val="14"/>
              </w:rPr>
              <w:t>√</w:t>
            </w:r>
          </w:p>
        </w:tc>
        <w:tc>
          <w:tcPr>
            <w:tcW w:w="234" w:type="dxa"/>
            <w:vAlign w:val="top"/>
          </w:tcPr>
          <w:p w14:paraId="1860D420">
            <w:pPr>
              <w:rPr>
                <w:rFonts w:ascii="Arial"/>
                <w:sz w:val="21"/>
              </w:rPr>
            </w:pPr>
          </w:p>
        </w:tc>
      </w:tr>
      <w:tr w14:paraId="6D9601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4" w:hRule="atLeast"/>
        </w:trPr>
        <w:tc>
          <w:tcPr>
            <w:tcW w:w="893" w:type="dxa"/>
            <w:vMerge w:val="continue"/>
            <w:tcBorders>
              <w:top w:val="nil"/>
            </w:tcBorders>
            <w:vAlign w:val="top"/>
          </w:tcPr>
          <w:p w14:paraId="632C4B82">
            <w:pPr>
              <w:rPr>
                <w:rFonts w:ascii="Arial"/>
                <w:sz w:val="21"/>
              </w:rPr>
            </w:pPr>
          </w:p>
        </w:tc>
        <w:tc>
          <w:tcPr>
            <w:tcW w:w="2314" w:type="dxa"/>
            <w:vMerge w:val="continue"/>
            <w:tcBorders>
              <w:top w:val="nil"/>
            </w:tcBorders>
            <w:vAlign w:val="top"/>
          </w:tcPr>
          <w:p w14:paraId="292EC798">
            <w:pPr>
              <w:rPr>
                <w:rFonts w:ascii="Arial"/>
                <w:sz w:val="21"/>
              </w:rPr>
            </w:pPr>
          </w:p>
        </w:tc>
        <w:tc>
          <w:tcPr>
            <w:tcW w:w="229" w:type="dxa"/>
            <w:vAlign w:val="top"/>
          </w:tcPr>
          <w:p w14:paraId="7F2E16E0">
            <w:pPr>
              <w:rPr>
                <w:rFonts w:ascii="Arial"/>
                <w:sz w:val="21"/>
              </w:rPr>
            </w:pPr>
          </w:p>
        </w:tc>
        <w:tc>
          <w:tcPr>
            <w:tcW w:w="220" w:type="dxa"/>
            <w:vAlign w:val="top"/>
          </w:tcPr>
          <w:p w14:paraId="13EFBC28">
            <w:pPr>
              <w:pStyle w:val="6"/>
              <w:spacing w:before="188" w:line="238" w:lineRule="auto"/>
              <w:ind w:left="19"/>
              <w:rPr>
                <w:sz w:val="14"/>
                <w:szCs w:val="14"/>
              </w:rPr>
            </w:pPr>
            <w:r>
              <w:rPr>
                <w:sz w:val="14"/>
                <w:szCs w:val="14"/>
              </w:rPr>
              <w:t>√</w:t>
            </w:r>
          </w:p>
        </w:tc>
        <w:tc>
          <w:tcPr>
            <w:tcW w:w="229" w:type="dxa"/>
            <w:vAlign w:val="top"/>
          </w:tcPr>
          <w:p w14:paraId="4B3DC23F">
            <w:pPr>
              <w:rPr>
                <w:rFonts w:ascii="Arial"/>
                <w:sz w:val="21"/>
              </w:rPr>
            </w:pPr>
          </w:p>
        </w:tc>
        <w:tc>
          <w:tcPr>
            <w:tcW w:w="234" w:type="dxa"/>
            <w:vAlign w:val="top"/>
          </w:tcPr>
          <w:p w14:paraId="425F43AB">
            <w:pPr>
              <w:rPr>
                <w:rFonts w:ascii="Arial"/>
                <w:sz w:val="21"/>
              </w:rPr>
            </w:pPr>
          </w:p>
        </w:tc>
      </w:tr>
    </w:tbl>
    <w:p w14:paraId="390EE5BC">
      <w:pPr>
        <w:spacing w:before="129" w:line="222" w:lineRule="auto"/>
        <w:ind w:left="977"/>
        <w:rPr>
          <w:rFonts w:ascii="黑体" w:hAnsi="黑体" w:eastAsia="黑体" w:cs="黑体"/>
          <w:sz w:val="20"/>
          <w:szCs w:val="20"/>
        </w:rPr>
      </w:pPr>
      <w:r>
        <w:rPr>
          <w:rFonts w:ascii="黑体" w:hAnsi="黑体" w:eastAsia="黑体" w:cs="黑体"/>
          <w:b/>
          <w:bCs/>
          <w:spacing w:val="-8"/>
          <w:sz w:val="20"/>
          <w:szCs w:val="20"/>
        </w:rPr>
        <w:t>第五章</w:t>
      </w:r>
      <w:r>
        <w:rPr>
          <w:rFonts w:ascii="黑体" w:hAnsi="黑体" w:eastAsia="黑体" w:cs="黑体"/>
          <w:spacing w:val="11"/>
          <w:sz w:val="20"/>
          <w:szCs w:val="20"/>
        </w:rPr>
        <w:t xml:space="preserve">  </w:t>
      </w:r>
      <w:r>
        <w:rPr>
          <w:rFonts w:ascii="黑体" w:hAnsi="黑体" w:eastAsia="黑体" w:cs="黑体"/>
          <w:b/>
          <w:bCs/>
          <w:spacing w:val="-8"/>
          <w:sz w:val="20"/>
          <w:szCs w:val="20"/>
        </w:rPr>
        <w:t>混凝土施工工艺</w:t>
      </w:r>
    </w:p>
    <w:p w14:paraId="77DB7B6F">
      <w:pPr>
        <w:spacing w:line="80" w:lineRule="exact"/>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14"/>
        <w:gridCol w:w="229"/>
        <w:gridCol w:w="220"/>
        <w:gridCol w:w="229"/>
        <w:gridCol w:w="234"/>
      </w:tblGrid>
      <w:tr w14:paraId="006C04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4" w:hRule="atLeast"/>
        </w:trPr>
        <w:tc>
          <w:tcPr>
            <w:tcW w:w="893" w:type="dxa"/>
            <w:vMerge w:val="restart"/>
            <w:tcBorders>
              <w:bottom w:val="nil"/>
            </w:tcBorders>
            <w:vAlign w:val="top"/>
          </w:tcPr>
          <w:p w14:paraId="2D2B09E3">
            <w:pPr>
              <w:pStyle w:val="6"/>
              <w:spacing w:before="112" w:line="236" w:lineRule="auto"/>
              <w:ind w:left="97" w:right="112" w:firstLine="89"/>
            </w:pPr>
            <w:r>
              <w:rPr>
                <w:b/>
                <w:bCs/>
                <w:spacing w:val="-6"/>
              </w:rPr>
              <w:t>知识与</w:t>
            </w:r>
            <w:r>
              <w:t xml:space="preserve">  </w:t>
            </w:r>
            <w:r>
              <w:rPr>
                <w:b/>
                <w:bCs/>
                <w:spacing w:val="-4"/>
              </w:rPr>
              <w:t>技能要点</w:t>
            </w:r>
          </w:p>
        </w:tc>
        <w:tc>
          <w:tcPr>
            <w:tcW w:w="2314" w:type="dxa"/>
            <w:vMerge w:val="restart"/>
            <w:tcBorders>
              <w:bottom w:val="nil"/>
            </w:tcBorders>
            <w:vAlign w:val="top"/>
          </w:tcPr>
          <w:p w14:paraId="11A303F5">
            <w:pPr>
              <w:pStyle w:val="6"/>
              <w:spacing w:before="229" w:line="219" w:lineRule="auto"/>
              <w:ind w:left="834"/>
            </w:pPr>
            <w:r>
              <w:rPr>
                <w:b/>
                <w:bCs/>
                <w:spacing w:val="5"/>
              </w:rPr>
              <w:t>考试条目</w:t>
            </w:r>
          </w:p>
        </w:tc>
        <w:tc>
          <w:tcPr>
            <w:tcW w:w="912" w:type="dxa"/>
            <w:gridSpan w:val="4"/>
            <w:vAlign w:val="top"/>
          </w:tcPr>
          <w:p w14:paraId="429AF66C">
            <w:pPr>
              <w:pStyle w:val="6"/>
              <w:spacing w:before="79" w:line="219" w:lineRule="auto"/>
              <w:ind w:left="120"/>
            </w:pPr>
            <w:r>
              <w:rPr>
                <w:b/>
                <w:bCs/>
                <w:spacing w:val="-4"/>
              </w:rPr>
              <w:t>考试水平</w:t>
            </w:r>
          </w:p>
        </w:tc>
      </w:tr>
      <w:tr w14:paraId="0BF4F9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8" w:hRule="atLeast"/>
        </w:trPr>
        <w:tc>
          <w:tcPr>
            <w:tcW w:w="893" w:type="dxa"/>
            <w:vMerge w:val="continue"/>
            <w:tcBorders>
              <w:top w:val="nil"/>
            </w:tcBorders>
            <w:vAlign w:val="top"/>
          </w:tcPr>
          <w:p w14:paraId="16C11C8E">
            <w:pPr>
              <w:rPr>
                <w:rFonts w:ascii="Arial"/>
                <w:sz w:val="21"/>
              </w:rPr>
            </w:pPr>
          </w:p>
        </w:tc>
        <w:tc>
          <w:tcPr>
            <w:tcW w:w="2314" w:type="dxa"/>
            <w:vMerge w:val="continue"/>
            <w:tcBorders>
              <w:top w:val="nil"/>
            </w:tcBorders>
            <w:vAlign w:val="top"/>
          </w:tcPr>
          <w:p w14:paraId="02521FBA">
            <w:pPr>
              <w:rPr>
                <w:rFonts w:ascii="Arial"/>
                <w:sz w:val="21"/>
              </w:rPr>
            </w:pPr>
          </w:p>
        </w:tc>
        <w:tc>
          <w:tcPr>
            <w:tcW w:w="229" w:type="dxa"/>
            <w:vAlign w:val="top"/>
          </w:tcPr>
          <w:p w14:paraId="223F2379">
            <w:pPr>
              <w:pStyle w:val="6"/>
              <w:spacing w:before="110" w:line="184" w:lineRule="auto"/>
              <w:ind w:left="70"/>
            </w:pPr>
            <w:r>
              <w:rPr>
                <w:b/>
                <w:bCs/>
                <w:spacing w:val="-2"/>
              </w:rPr>
              <w:t>A</w:t>
            </w:r>
          </w:p>
        </w:tc>
        <w:tc>
          <w:tcPr>
            <w:tcW w:w="220" w:type="dxa"/>
            <w:vAlign w:val="top"/>
          </w:tcPr>
          <w:p w14:paraId="2DBF2A1C">
            <w:pPr>
              <w:pStyle w:val="6"/>
              <w:spacing w:before="105" w:line="182" w:lineRule="auto"/>
              <w:ind w:left="61"/>
              <w:rPr>
                <w:sz w:val="18"/>
                <w:szCs w:val="18"/>
              </w:rPr>
            </w:pPr>
            <w:r>
              <w:rPr>
                <w:b/>
                <w:bCs/>
                <w:spacing w:val="-2"/>
                <w:sz w:val="18"/>
                <w:szCs w:val="18"/>
              </w:rPr>
              <w:t>B</w:t>
            </w:r>
          </w:p>
        </w:tc>
        <w:tc>
          <w:tcPr>
            <w:tcW w:w="229" w:type="dxa"/>
            <w:vAlign w:val="top"/>
          </w:tcPr>
          <w:p w14:paraId="1E0B99A7">
            <w:pPr>
              <w:pStyle w:val="6"/>
              <w:spacing w:before="110" w:line="183" w:lineRule="auto"/>
              <w:jc w:val="right"/>
            </w:pPr>
            <w:r>
              <w:rPr>
                <w:b/>
                <w:bCs/>
                <w:spacing w:val="-10"/>
              </w:rPr>
              <w:t>C</w:t>
            </w:r>
          </w:p>
        </w:tc>
        <w:tc>
          <w:tcPr>
            <w:tcW w:w="234" w:type="dxa"/>
            <w:vAlign w:val="top"/>
          </w:tcPr>
          <w:p w14:paraId="5683367D">
            <w:pPr>
              <w:pStyle w:val="6"/>
              <w:spacing w:before="112" w:line="182" w:lineRule="auto"/>
              <w:ind w:left="22"/>
            </w:pPr>
            <w:r>
              <w:rPr>
                <w:b/>
                <w:bCs/>
                <w:spacing w:val="-2"/>
              </w:rPr>
              <w:t>D</w:t>
            </w:r>
          </w:p>
        </w:tc>
      </w:tr>
      <w:tr w14:paraId="581952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trPr>
        <w:tc>
          <w:tcPr>
            <w:tcW w:w="893" w:type="dxa"/>
            <w:vAlign w:val="top"/>
          </w:tcPr>
          <w:p w14:paraId="09F6214E">
            <w:pPr>
              <w:pStyle w:val="6"/>
              <w:spacing w:before="80" w:line="220" w:lineRule="auto"/>
              <w:ind w:left="94"/>
            </w:pPr>
            <w:r>
              <w:rPr>
                <w:spacing w:val="-2"/>
              </w:rPr>
              <w:t>混凝土常</w:t>
            </w:r>
          </w:p>
          <w:p w14:paraId="6C35978D">
            <w:pPr>
              <w:pStyle w:val="6"/>
              <w:spacing w:before="55" w:line="219" w:lineRule="auto"/>
              <w:ind w:left="184"/>
            </w:pPr>
            <w:r>
              <w:rPr>
                <w:spacing w:val="-2"/>
              </w:rPr>
              <w:t>用机具</w:t>
            </w:r>
          </w:p>
        </w:tc>
        <w:tc>
          <w:tcPr>
            <w:tcW w:w="2314" w:type="dxa"/>
            <w:vAlign w:val="top"/>
          </w:tcPr>
          <w:p w14:paraId="3B12DA21">
            <w:pPr>
              <w:pStyle w:val="6"/>
              <w:spacing w:before="198" w:line="219" w:lineRule="auto"/>
              <w:ind w:left="2"/>
            </w:pPr>
            <w:r>
              <w:rPr>
                <w:spacing w:val="-1"/>
              </w:rPr>
              <w:t>混凝土施工常用机具</w:t>
            </w:r>
          </w:p>
        </w:tc>
        <w:tc>
          <w:tcPr>
            <w:tcW w:w="229" w:type="dxa"/>
            <w:vAlign w:val="top"/>
          </w:tcPr>
          <w:p w14:paraId="031E2B58">
            <w:pPr>
              <w:pStyle w:val="6"/>
              <w:spacing w:before="239" w:line="238" w:lineRule="auto"/>
              <w:ind w:left="48"/>
              <w:rPr>
                <w:sz w:val="12"/>
                <w:szCs w:val="12"/>
              </w:rPr>
            </w:pPr>
            <w:r>
              <w:rPr>
                <w:sz w:val="12"/>
                <w:szCs w:val="12"/>
              </w:rPr>
              <w:t>√</w:t>
            </w:r>
          </w:p>
        </w:tc>
        <w:tc>
          <w:tcPr>
            <w:tcW w:w="220" w:type="dxa"/>
            <w:vAlign w:val="top"/>
          </w:tcPr>
          <w:p w14:paraId="6B249C01">
            <w:pPr>
              <w:rPr>
                <w:rFonts w:ascii="Arial"/>
                <w:sz w:val="21"/>
              </w:rPr>
            </w:pPr>
          </w:p>
        </w:tc>
        <w:tc>
          <w:tcPr>
            <w:tcW w:w="229" w:type="dxa"/>
            <w:vAlign w:val="top"/>
          </w:tcPr>
          <w:p w14:paraId="6E0C44F2">
            <w:pPr>
              <w:rPr>
                <w:rFonts w:ascii="Arial"/>
                <w:sz w:val="21"/>
              </w:rPr>
            </w:pPr>
          </w:p>
        </w:tc>
        <w:tc>
          <w:tcPr>
            <w:tcW w:w="234" w:type="dxa"/>
            <w:vAlign w:val="top"/>
          </w:tcPr>
          <w:p w14:paraId="4AE4510A">
            <w:pPr>
              <w:rPr>
                <w:rFonts w:ascii="Arial"/>
                <w:sz w:val="21"/>
              </w:rPr>
            </w:pPr>
          </w:p>
        </w:tc>
      </w:tr>
      <w:tr w14:paraId="744EEA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893" w:type="dxa"/>
            <w:vMerge w:val="restart"/>
            <w:tcBorders>
              <w:bottom w:val="nil"/>
            </w:tcBorders>
            <w:vAlign w:val="top"/>
          </w:tcPr>
          <w:p w14:paraId="6671BC4C">
            <w:pPr>
              <w:pStyle w:val="6"/>
              <w:spacing w:before="134" w:line="221" w:lineRule="auto"/>
              <w:ind w:left="94"/>
            </w:pPr>
            <w:r>
              <w:rPr>
                <w:spacing w:val="-2"/>
              </w:rPr>
              <w:t>混凝土施</w:t>
            </w:r>
          </w:p>
          <w:p w14:paraId="49A8E897">
            <w:pPr>
              <w:pStyle w:val="6"/>
              <w:spacing w:before="25" w:line="229" w:lineRule="auto"/>
              <w:ind w:left="184"/>
            </w:pPr>
            <w:r>
              <w:rPr>
                <w:spacing w:val="-2"/>
              </w:rPr>
              <w:t>工工艺</w:t>
            </w:r>
          </w:p>
        </w:tc>
        <w:tc>
          <w:tcPr>
            <w:tcW w:w="2314" w:type="dxa"/>
            <w:vMerge w:val="restart"/>
            <w:tcBorders>
              <w:bottom w:val="nil"/>
            </w:tcBorders>
            <w:vAlign w:val="top"/>
          </w:tcPr>
          <w:p w14:paraId="7D6ECABC">
            <w:pPr>
              <w:pStyle w:val="6"/>
              <w:spacing w:before="142" w:line="224" w:lineRule="auto"/>
              <w:ind w:left="2" w:right="589"/>
            </w:pPr>
            <w:r>
              <w:t>1.混凝土的搅拌与运输</w:t>
            </w:r>
            <w:r>
              <w:rPr>
                <w:spacing w:val="5"/>
              </w:rPr>
              <w:t xml:space="preserve"> </w:t>
            </w:r>
            <w:r>
              <w:rPr>
                <w:spacing w:val="1"/>
              </w:rPr>
              <w:t>2.混凝土的浇筑与养护</w:t>
            </w:r>
          </w:p>
        </w:tc>
        <w:tc>
          <w:tcPr>
            <w:tcW w:w="229" w:type="dxa"/>
            <w:vAlign w:val="top"/>
          </w:tcPr>
          <w:p w14:paraId="5AD5A866">
            <w:pPr>
              <w:rPr>
                <w:rFonts w:ascii="Arial"/>
                <w:sz w:val="21"/>
              </w:rPr>
            </w:pPr>
          </w:p>
        </w:tc>
        <w:tc>
          <w:tcPr>
            <w:tcW w:w="220" w:type="dxa"/>
            <w:vAlign w:val="top"/>
          </w:tcPr>
          <w:p w14:paraId="5CD8F61D">
            <w:pPr>
              <w:pStyle w:val="6"/>
              <w:spacing w:before="104" w:line="238" w:lineRule="auto"/>
              <w:ind w:left="39"/>
              <w:rPr>
                <w:sz w:val="13"/>
                <w:szCs w:val="13"/>
              </w:rPr>
            </w:pPr>
            <w:r>
              <w:rPr>
                <w:sz w:val="13"/>
                <w:szCs w:val="13"/>
              </w:rPr>
              <w:t>√</w:t>
            </w:r>
          </w:p>
        </w:tc>
        <w:tc>
          <w:tcPr>
            <w:tcW w:w="229" w:type="dxa"/>
            <w:vAlign w:val="top"/>
          </w:tcPr>
          <w:p w14:paraId="61FF1689">
            <w:pPr>
              <w:rPr>
                <w:rFonts w:ascii="Arial"/>
                <w:sz w:val="21"/>
              </w:rPr>
            </w:pPr>
          </w:p>
        </w:tc>
        <w:tc>
          <w:tcPr>
            <w:tcW w:w="234" w:type="dxa"/>
            <w:vAlign w:val="top"/>
          </w:tcPr>
          <w:p w14:paraId="762AC2AC">
            <w:pPr>
              <w:rPr>
                <w:rFonts w:ascii="Arial"/>
                <w:sz w:val="21"/>
              </w:rPr>
            </w:pPr>
          </w:p>
        </w:tc>
      </w:tr>
      <w:tr w14:paraId="4CCD02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893" w:type="dxa"/>
            <w:vMerge w:val="continue"/>
            <w:tcBorders>
              <w:top w:val="nil"/>
            </w:tcBorders>
            <w:vAlign w:val="top"/>
          </w:tcPr>
          <w:p w14:paraId="02F12BFC">
            <w:pPr>
              <w:rPr>
                <w:rFonts w:ascii="Arial"/>
                <w:sz w:val="21"/>
              </w:rPr>
            </w:pPr>
          </w:p>
        </w:tc>
        <w:tc>
          <w:tcPr>
            <w:tcW w:w="2314" w:type="dxa"/>
            <w:vMerge w:val="continue"/>
            <w:tcBorders>
              <w:top w:val="nil"/>
            </w:tcBorders>
            <w:vAlign w:val="top"/>
          </w:tcPr>
          <w:p w14:paraId="0D8A5F0C">
            <w:pPr>
              <w:rPr>
                <w:rFonts w:ascii="Arial"/>
                <w:sz w:val="21"/>
              </w:rPr>
            </w:pPr>
          </w:p>
        </w:tc>
        <w:tc>
          <w:tcPr>
            <w:tcW w:w="229" w:type="dxa"/>
            <w:vAlign w:val="top"/>
          </w:tcPr>
          <w:p w14:paraId="222E6585">
            <w:pPr>
              <w:rPr>
                <w:rFonts w:ascii="Arial"/>
                <w:sz w:val="21"/>
              </w:rPr>
            </w:pPr>
          </w:p>
        </w:tc>
        <w:tc>
          <w:tcPr>
            <w:tcW w:w="220" w:type="dxa"/>
            <w:vAlign w:val="top"/>
          </w:tcPr>
          <w:p w14:paraId="2CCE765B">
            <w:pPr>
              <w:rPr>
                <w:rFonts w:ascii="Arial"/>
                <w:sz w:val="21"/>
              </w:rPr>
            </w:pPr>
          </w:p>
        </w:tc>
        <w:tc>
          <w:tcPr>
            <w:tcW w:w="229" w:type="dxa"/>
            <w:vAlign w:val="top"/>
          </w:tcPr>
          <w:p w14:paraId="7B75757E">
            <w:pPr>
              <w:rPr>
                <w:rFonts w:ascii="Arial"/>
                <w:sz w:val="21"/>
              </w:rPr>
            </w:pPr>
          </w:p>
        </w:tc>
        <w:tc>
          <w:tcPr>
            <w:tcW w:w="234" w:type="dxa"/>
            <w:vAlign w:val="top"/>
          </w:tcPr>
          <w:p w14:paraId="1FDC6920">
            <w:pPr>
              <w:pStyle w:val="6"/>
              <w:spacing w:before="105" w:line="238" w:lineRule="auto"/>
              <w:ind w:left="9"/>
              <w:rPr>
                <w:sz w:val="13"/>
                <w:szCs w:val="13"/>
              </w:rPr>
            </w:pPr>
            <w:r>
              <w:rPr>
                <w:sz w:val="13"/>
                <w:szCs w:val="13"/>
              </w:rPr>
              <w:t>√</w:t>
            </w:r>
          </w:p>
        </w:tc>
      </w:tr>
      <w:tr w14:paraId="399D7D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893" w:type="dxa"/>
            <w:vMerge w:val="restart"/>
            <w:tcBorders>
              <w:bottom w:val="nil"/>
            </w:tcBorders>
            <w:vAlign w:val="top"/>
          </w:tcPr>
          <w:p w14:paraId="319ABA18">
            <w:pPr>
              <w:pStyle w:val="6"/>
              <w:spacing w:before="135" w:line="220" w:lineRule="auto"/>
              <w:ind w:left="94"/>
            </w:pPr>
            <w:r>
              <w:rPr>
                <w:spacing w:val="-2"/>
              </w:rPr>
              <w:t>现浇混凝</w:t>
            </w:r>
          </w:p>
          <w:p w14:paraId="26BB20D7">
            <w:pPr>
              <w:pStyle w:val="6"/>
              <w:spacing w:before="22" w:line="225" w:lineRule="auto"/>
              <w:ind w:left="184"/>
            </w:pPr>
            <w:r>
              <w:rPr>
                <w:spacing w:val="-2"/>
              </w:rPr>
              <w:t>土基础</w:t>
            </w:r>
          </w:p>
        </w:tc>
        <w:tc>
          <w:tcPr>
            <w:tcW w:w="2314" w:type="dxa"/>
            <w:vMerge w:val="restart"/>
            <w:tcBorders>
              <w:bottom w:val="nil"/>
            </w:tcBorders>
            <w:vAlign w:val="top"/>
          </w:tcPr>
          <w:p w14:paraId="5A2B80AB">
            <w:pPr>
              <w:pStyle w:val="6"/>
              <w:spacing w:before="124" w:line="247" w:lineRule="auto"/>
              <w:ind w:left="2" w:right="422"/>
            </w:pPr>
            <w:r>
              <w:t>1.现浇混凝土基础的施工</w:t>
            </w:r>
            <w:r>
              <w:rPr>
                <w:spacing w:val="8"/>
              </w:rPr>
              <w:t xml:space="preserve"> </w:t>
            </w:r>
            <w:r>
              <w:rPr>
                <w:spacing w:val="-1"/>
              </w:rPr>
              <w:t>2.基础垫层施工</w:t>
            </w:r>
          </w:p>
        </w:tc>
        <w:tc>
          <w:tcPr>
            <w:tcW w:w="229" w:type="dxa"/>
            <w:vAlign w:val="top"/>
          </w:tcPr>
          <w:p w14:paraId="1C57561F">
            <w:pPr>
              <w:rPr>
                <w:rFonts w:ascii="Arial"/>
                <w:sz w:val="21"/>
              </w:rPr>
            </w:pPr>
          </w:p>
        </w:tc>
        <w:tc>
          <w:tcPr>
            <w:tcW w:w="220" w:type="dxa"/>
            <w:vAlign w:val="top"/>
          </w:tcPr>
          <w:p w14:paraId="1B202A9E">
            <w:pPr>
              <w:rPr>
                <w:rFonts w:ascii="Arial"/>
                <w:sz w:val="21"/>
              </w:rPr>
            </w:pPr>
          </w:p>
        </w:tc>
        <w:tc>
          <w:tcPr>
            <w:tcW w:w="229" w:type="dxa"/>
            <w:vAlign w:val="top"/>
          </w:tcPr>
          <w:p w14:paraId="5C7E2E5D">
            <w:pPr>
              <w:pStyle w:val="6"/>
              <w:spacing w:before="105" w:line="238" w:lineRule="auto"/>
              <w:ind w:left="19"/>
              <w:rPr>
                <w:sz w:val="12"/>
                <w:szCs w:val="12"/>
              </w:rPr>
            </w:pPr>
            <w:r>
              <w:rPr>
                <w:sz w:val="12"/>
                <w:szCs w:val="12"/>
              </w:rPr>
              <w:t>√</w:t>
            </w:r>
          </w:p>
        </w:tc>
        <w:tc>
          <w:tcPr>
            <w:tcW w:w="234" w:type="dxa"/>
            <w:vAlign w:val="top"/>
          </w:tcPr>
          <w:p w14:paraId="1F671565">
            <w:pPr>
              <w:rPr>
                <w:rFonts w:ascii="Arial"/>
                <w:sz w:val="21"/>
              </w:rPr>
            </w:pPr>
          </w:p>
        </w:tc>
      </w:tr>
      <w:tr w14:paraId="3C6C8E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4" w:hRule="atLeast"/>
        </w:trPr>
        <w:tc>
          <w:tcPr>
            <w:tcW w:w="893" w:type="dxa"/>
            <w:vMerge w:val="continue"/>
            <w:tcBorders>
              <w:top w:val="nil"/>
            </w:tcBorders>
            <w:vAlign w:val="top"/>
          </w:tcPr>
          <w:p w14:paraId="712DE1A5">
            <w:pPr>
              <w:rPr>
                <w:rFonts w:ascii="Arial"/>
                <w:sz w:val="21"/>
              </w:rPr>
            </w:pPr>
          </w:p>
        </w:tc>
        <w:tc>
          <w:tcPr>
            <w:tcW w:w="2314" w:type="dxa"/>
            <w:vMerge w:val="continue"/>
            <w:tcBorders>
              <w:top w:val="nil"/>
            </w:tcBorders>
            <w:vAlign w:val="top"/>
          </w:tcPr>
          <w:p w14:paraId="0DFCB6E5">
            <w:pPr>
              <w:rPr>
                <w:rFonts w:ascii="Arial"/>
                <w:sz w:val="21"/>
              </w:rPr>
            </w:pPr>
          </w:p>
        </w:tc>
        <w:tc>
          <w:tcPr>
            <w:tcW w:w="229" w:type="dxa"/>
            <w:vAlign w:val="top"/>
          </w:tcPr>
          <w:p w14:paraId="6399DFE3">
            <w:pPr>
              <w:rPr>
                <w:rFonts w:ascii="Arial"/>
                <w:sz w:val="21"/>
              </w:rPr>
            </w:pPr>
          </w:p>
        </w:tc>
        <w:tc>
          <w:tcPr>
            <w:tcW w:w="220" w:type="dxa"/>
            <w:vAlign w:val="top"/>
          </w:tcPr>
          <w:p w14:paraId="69437752">
            <w:pPr>
              <w:pStyle w:val="6"/>
              <w:spacing w:before="107" w:line="238" w:lineRule="auto"/>
              <w:ind w:left="39"/>
              <w:rPr>
                <w:sz w:val="13"/>
                <w:szCs w:val="13"/>
              </w:rPr>
            </w:pPr>
            <w:r>
              <w:rPr>
                <w:sz w:val="13"/>
                <w:szCs w:val="13"/>
              </w:rPr>
              <w:t>√</w:t>
            </w:r>
          </w:p>
        </w:tc>
        <w:tc>
          <w:tcPr>
            <w:tcW w:w="229" w:type="dxa"/>
            <w:vAlign w:val="top"/>
          </w:tcPr>
          <w:p w14:paraId="40EFB4A1">
            <w:pPr>
              <w:rPr>
                <w:rFonts w:ascii="Arial"/>
                <w:sz w:val="21"/>
              </w:rPr>
            </w:pPr>
          </w:p>
        </w:tc>
        <w:tc>
          <w:tcPr>
            <w:tcW w:w="234" w:type="dxa"/>
            <w:vAlign w:val="top"/>
          </w:tcPr>
          <w:p w14:paraId="2FCFD7EC">
            <w:pPr>
              <w:rPr>
                <w:rFonts w:ascii="Arial"/>
                <w:sz w:val="21"/>
              </w:rPr>
            </w:pPr>
          </w:p>
        </w:tc>
      </w:tr>
    </w:tbl>
    <w:p w14:paraId="7090409F">
      <w:pPr>
        <w:pStyle w:val="2"/>
        <w:spacing w:line="69" w:lineRule="exact"/>
        <w:rPr>
          <w:sz w:val="6"/>
        </w:rPr>
      </w:pPr>
    </w:p>
    <w:p w14:paraId="29783902">
      <w:pPr>
        <w:pStyle w:val="2"/>
        <w:spacing w:line="14" w:lineRule="auto"/>
        <w:rPr>
          <w:sz w:val="2"/>
        </w:rPr>
      </w:pPr>
      <w:r>
        <w:rPr>
          <w:sz w:val="2"/>
          <w:szCs w:val="2"/>
        </w:rPr>
        <w:br w:type="column"/>
      </w:r>
    </w:p>
    <w:tbl>
      <w:tblPr>
        <w:tblStyle w:val="5"/>
        <w:tblW w:w="413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03"/>
        <w:gridCol w:w="2314"/>
        <w:gridCol w:w="219"/>
        <w:gridCol w:w="230"/>
        <w:gridCol w:w="220"/>
        <w:gridCol w:w="244"/>
      </w:tblGrid>
      <w:tr w14:paraId="795296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9" w:hRule="atLeast"/>
        </w:trPr>
        <w:tc>
          <w:tcPr>
            <w:tcW w:w="903" w:type="dxa"/>
            <w:vMerge w:val="restart"/>
            <w:tcBorders>
              <w:top w:val="single" w:color="000000" w:sz="2" w:space="0"/>
              <w:bottom w:val="nil"/>
            </w:tcBorders>
            <w:vAlign w:val="top"/>
          </w:tcPr>
          <w:p w14:paraId="7FA10A30">
            <w:pPr>
              <w:pStyle w:val="6"/>
              <w:spacing w:before="145" w:line="219" w:lineRule="auto"/>
              <w:ind w:left="107" w:right="112" w:firstLine="80"/>
            </w:pPr>
            <w:r>
              <w:rPr>
                <w:b/>
                <w:bCs/>
                <w:spacing w:val="-6"/>
              </w:rPr>
              <w:t>知识与</w:t>
            </w:r>
            <w:r>
              <w:t xml:space="preserve">  </w:t>
            </w:r>
            <w:r>
              <w:rPr>
                <w:b/>
                <w:bCs/>
                <w:spacing w:val="-4"/>
              </w:rPr>
              <w:t>技能要点</w:t>
            </w:r>
          </w:p>
        </w:tc>
        <w:tc>
          <w:tcPr>
            <w:tcW w:w="2314" w:type="dxa"/>
            <w:vMerge w:val="restart"/>
            <w:tcBorders>
              <w:top w:val="single" w:color="000000" w:sz="2" w:space="0"/>
              <w:bottom w:val="nil"/>
            </w:tcBorders>
            <w:vAlign w:val="top"/>
          </w:tcPr>
          <w:p w14:paraId="44B750AD">
            <w:pPr>
              <w:pStyle w:val="6"/>
              <w:spacing w:before="234" w:line="219" w:lineRule="auto"/>
              <w:ind w:left="844"/>
            </w:pPr>
            <w:r>
              <w:rPr>
                <w:b/>
                <w:bCs/>
                <w:spacing w:val="5"/>
              </w:rPr>
              <w:t>考试条目</w:t>
            </w:r>
          </w:p>
        </w:tc>
        <w:tc>
          <w:tcPr>
            <w:tcW w:w="913" w:type="dxa"/>
            <w:gridSpan w:val="4"/>
            <w:tcBorders>
              <w:top w:val="single" w:color="000000" w:sz="2" w:space="0"/>
              <w:bottom w:val="single" w:color="000000" w:sz="2" w:space="0"/>
            </w:tcBorders>
            <w:vAlign w:val="top"/>
          </w:tcPr>
          <w:p w14:paraId="24A18A21">
            <w:pPr>
              <w:pStyle w:val="6"/>
              <w:spacing w:before="84" w:line="219" w:lineRule="auto"/>
              <w:ind w:left="140"/>
            </w:pPr>
            <w:r>
              <w:rPr>
                <w:b/>
                <w:bCs/>
                <w:spacing w:val="-4"/>
              </w:rPr>
              <w:t>考试水平</w:t>
            </w:r>
          </w:p>
        </w:tc>
      </w:tr>
      <w:tr w14:paraId="2786FB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5" w:hRule="atLeast"/>
        </w:trPr>
        <w:tc>
          <w:tcPr>
            <w:tcW w:w="903" w:type="dxa"/>
            <w:vMerge w:val="continue"/>
            <w:tcBorders>
              <w:top w:val="nil"/>
              <w:bottom w:val="single" w:color="000000" w:sz="2" w:space="0"/>
            </w:tcBorders>
            <w:vAlign w:val="top"/>
          </w:tcPr>
          <w:p w14:paraId="1D1C81A3">
            <w:pPr>
              <w:rPr>
                <w:rFonts w:ascii="Arial"/>
                <w:sz w:val="21"/>
              </w:rPr>
            </w:pPr>
          </w:p>
        </w:tc>
        <w:tc>
          <w:tcPr>
            <w:tcW w:w="2314" w:type="dxa"/>
            <w:vMerge w:val="continue"/>
            <w:tcBorders>
              <w:top w:val="nil"/>
              <w:bottom w:val="single" w:color="000000" w:sz="2" w:space="0"/>
            </w:tcBorders>
            <w:vAlign w:val="top"/>
          </w:tcPr>
          <w:p w14:paraId="2E244B37">
            <w:pPr>
              <w:rPr>
                <w:rFonts w:ascii="Arial"/>
                <w:sz w:val="21"/>
              </w:rPr>
            </w:pPr>
          </w:p>
        </w:tc>
        <w:tc>
          <w:tcPr>
            <w:tcW w:w="219" w:type="dxa"/>
            <w:tcBorders>
              <w:top w:val="single" w:color="000000" w:sz="2" w:space="0"/>
              <w:bottom w:val="single" w:color="000000" w:sz="2" w:space="0"/>
            </w:tcBorders>
            <w:vAlign w:val="top"/>
          </w:tcPr>
          <w:p w14:paraId="38AC6B61">
            <w:pPr>
              <w:pStyle w:val="6"/>
              <w:spacing w:before="115" w:line="184" w:lineRule="auto"/>
              <w:ind w:left="60"/>
            </w:pPr>
            <w:r>
              <w:rPr>
                <w:b/>
                <w:bCs/>
                <w:spacing w:val="-2"/>
              </w:rPr>
              <w:t>A</w:t>
            </w:r>
          </w:p>
        </w:tc>
        <w:tc>
          <w:tcPr>
            <w:tcW w:w="230" w:type="dxa"/>
            <w:tcBorders>
              <w:top w:val="single" w:color="000000" w:sz="2" w:space="0"/>
              <w:bottom w:val="single" w:color="000000" w:sz="2" w:space="0"/>
            </w:tcBorders>
            <w:vAlign w:val="top"/>
          </w:tcPr>
          <w:p w14:paraId="3F31C074">
            <w:pPr>
              <w:pStyle w:val="6"/>
              <w:spacing w:before="117" w:line="182" w:lineRule="auto"/>
              <w:ind w:left="71"/>
            </w:pPr>
            <w:r>
              <w:rPr>
                <w:b/>
                <w:bCs/>
                <w:spacing w:val="-2"/>
              </w:rPr>
              <w:t>B</w:t>
            </w:r>
          </w:p>
        </w:tc>
        <w:tc>
          <w:tcPr>
            <w:tcW w:w="220" w:type="dxa"/>
            <w:tcBorders>
              <w:top w:val="single" w:color="000000" w:sz="2" w:space="0"/>
              <w:bottom w:val="single" w:color="000000" w:sz="2" w:space="0"/>
            </w:tcBorders>
            <w:vAlign w:val="top"/>
          </w:tcPr>
          <w:p w14:paraId="23255360">
            <w:pPr>
              <w:pStyle w:val="6"/>
              <w:spacing w:before="111" w:line="178" w:lineRule="auto"/>
              <w:ind w:left="61"/>
              <w:rPr>
                <w:sz w:val="19"/>
                <w:szCs w:val="19"/>
              </w:rPr>
            </w:pPr>
            <w:r>
              <w:rPr>
                <w:b/>
                <w:bCs/>
                <w:spacing w:val="-2"/>
                <w:sz w:val="19"/>
                <w:szCs w:val="19"/>
              </w:rPr>
              <w:t>C</w:t>
            </w:r>
          </w:p>
        </w:tc>
        <w:tc>
          <w:tcPr>
            <w:tcW w:w="244" w:type="dxa"/>
            <w:tcBorders>
              <w:top w:val="single" w:color="000000" w:sz="2" w:space="0"/>
              <w:bottom w:val="single" w:color="000000" w:sz="2" w:space="0"/>
            </w:tcBorders>
            <w:vAlign w:val="top"/>
          </w:tcPr>
          <w:p w14:paraId="19E787AE">
            <w:pPr>
              <w:pStyle w:val="6"/>
              <w:spacing w:before="117" w:line="182" w:lineRule="auto"/>
              <w:ind w:left="21"/>
            </w:pPr>
            <w:r>
              <w:rPr>
                <w:b/>
                <w:bCs/>
                <w:spacing w:val="-2"/>
              </w:rPr>
              <w:t>D</w:t>
            </w:r>
          </w:p>
        </w:tc>
      </w:tr>
      <w:tr w14:paraId="2F1B5F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4" w:hRule="atLeast"/>
        </w:trPr>
        <w:tc>
          <w:tcPr>
            <w:tcW w:w="903" w:type="dxa"/>
            <w:vMerge w:val="restart"/>
            <w:tcBorders>
              <w:top w:val="single" w:color="000000" w:sz="2" w:space="0"/>
              <w:bottom w:val="nil"/>
            </w:tcBorders>
            <w:vAlign w:val="top"/>
          </w:tcPr>
          <w:p w14:paraId="355689A1">
            <w:pPr>
              <w:pStyle w:val="6"/>
              <w:spacing w:before="143" w:line="220" w:lineRule="auto"/>
              <w:ind w:left="105"/>
            </w:pPr>
            <w:r>
              <w:rPr>
                <w:spacing w:val="-2"/>
              </w:rPr>
              <w:t>现浇混凝</w:t>
            </w:r>
          </w:p>
          <w:p w14:paraId="7E149129">
            <w:pPr>
              <w:pStyle w:val="6"/>
              <w:spacing w:before="6" w:line="229" w:lineRule="auto"/>
              <w:ind w:left="274" w:right="205" w:hanging="89"/>
            </w:pPr>
            <w:r>
              <w:rPr>
                <w:spacing w:val="-3"/>
              </w:rPr>
              <w:t>土基本</w:t>
            </w:r>
            <w:r>
              <w:t xml:space="preserve"> </w:t>
            </w:r>
            <w:r>
              <w:rPr>
                <w:spacing w:val="-3"/>
              </w:rPr>
              <w:t>构件</w:t>
            </w:r>
          </w:p>
        </w:tc>
        <w:tc>
          <w:tcPr>
            <w:tcW w:w="2314" w:type="dxa"/>
            <w:vMerge w:val="restart"/>
            <w:tcBorders>
              <w:top w:val="single" w:color="000000" w:sz="2" w:space="0"/>
              <w:bottom w:val="nil"/>
            </w:tcBorders>
            <w:vAlign w:val="top"/>
          </w:tcPr>
          <w:p w14:paraId="1F8B4741">
            <w:pPr>
              <w:pStyle w:val="6"/>
              <w:spacing w:before="153" w:line="223" w:lineRule="auto"/>
              <w:ind w:left="2" w:right="252"/>
            </w:pPr>
            <w:r>
              <w:t>1.现浇混凝土墙、柱的施工</w:t>
            </w:r>
            <w:r>
              <w:rPr>
                <w:spacing w:val="8"/>
              </w:rPr>
              <w:t xml:space="preserve"> </w:t>
            </w:r>
            <w:r>
              <w:rPr>
                <w:spacing w:val="-2"/>
              </w:rPr>
              <w:t>2.肋形楼盖施工</w:t>
            </w:r>
          </w:p>
          <w:p w14:paraId="5D949DF7">
            <w:pPr>
              <w:pStyle w:val="6"/>
              <w:spacing w:before="8" w:line="219" w:lineRule="auto"/>
              <w:ind w:left="2"/>
            </w:pPr>
            <w:r>
              <w:rPr>
                <w:spacing w:val="-1"/>
              </w:rPr>
              <w:t>3.常见质量问题及处理</w:t>
            </w:r>
          </w:p>
        </w:tc>
        <w:tc>
          <w:tcPr>
            <w:tcW w:w="219" w:type="dxa"/>
            <w:tcBorders>
              <w:top w:val="single" w:color="000000" w:sz="2" w:space="0"/>
              <w:bottom w:val="single" w:color="000000" w:sz="2" w:space="0"/>
            </w:tcBorders>
            <w:vAlign w:val="top"/>
          </w:tcPr>
          <w:p w14:paraId="53864275">
            <w:pPr>
              <w:rPr>
                <w:rFonts w:ascii="Arial"/>
                <w:sz w:val="21"/>
              </w:rPr>
            </w:pPr>
          </w:p>
        </w:tc>
        <w:tc>
          <w:tcPr>
            <w:tcW w:w="230" w:type="dxa"/>
            <w:tcBorders>
              <w:top w:val="single" w:color="000000" w:sz="2" w:space="0"/>
              <w:bottom w:val="single" w:color="000000" w:sz="2" w:space="0"/>
            </w:tcBorders>
            <w:vAlign w:val="top"/>
          </w:tcPr>
          <w:p w14:paraId="6E55002D">
            <w:pPr>
              <w:pStyle w:val="6"/>
              <w:spacing w:before="104" w:line="238" w:lineRule="auto"/>
              <w:ind w:left="48"/>
              <w:rPr>
                <w:sz w:val="13"/>
                <w:szCs w:val="13"/>
              </w:rPr>
            </w:pPr>
            <w:r>
              <w:rPr>
                <w:sz w:val="13"/>
                <w:szCs w:val="13"/>
              </w:rPr>
              <w:t>√</w:t>
            </w:r>
          </w:p>
        </w:tc>
        <w:tc>
          <w:tcPr>
            <w:tcW w:w="220" w:type="dxa"/>
            <w:tcBorders>
              <w:top w:val="single" w:color="000000" w:sz="2" w:space="0"/>
              <w:bottom w:val="single" w:color="000000" w:sz="2" w:space="0"/>
            </w:tcBorders>
            <w:vAlign w:val="top"/>
          </w:tcPr>
          <w:p w14:paraId="7805DC3F">
            <w:pPr>
              <w:rPr>
                <w:rFonts w:ascii="Arial"/>
                <w:sz w:val="21"/>
              </w:rPr>
            </w:pPr>
          </w:p>
        </w:tc>
        <w:tc>
          <w:tcPr>
            <w:tcW w:w="244" w:type="dxa"/>
            <w:tcBorders>
              <w:top w:val="single" w:color="000000" w:sz="2" w:space="0"/>
              <w:bottom w:val="single" w:color="000000" w:sz="2" w:space="0"/>
            </w:tcBorders>
            <w:vAlign w:val="top"/>
          </w:tcPr>
          <w:p w14:paraId="676571B8">
            <w:pPr>
              <w:rPr>
                <w:rFonts w:ascii="Arial"/>
                <w:sz w:val="21"/>
              </w:rPr>
            </w:pPr>
          </w:p>
        </w:tc>
      </w:tr>
      <w:tr w14:paraId="132EB5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4" w:hRule="atLeast"/>
        </w:trPr>
        <w:tc>
          <w:tcPr>
            <w:tcW w:w="903" w:type="dxa"/>
            <w:vMerge w:val="continue"/>
            <w:tcBorders>
              <w:top w:val="nil"/>
              <w:bottom w:val="nil"/>
            </w:tcBorders>
            <w:vAlign w:val="top"/>
          </w:tcPr>
          <w:p w14:paraId="033FCE5A">
            <w:pPr>
              <w:rPr>
                <w:rFonts w:ascii="Arial"/>
                <w:sz w:val="21"/>
              </w:rPr>
            </w:pPr>
          </w:p>
        </w:tc>
        <w:tc>
          <w:tcPr>
            <w:tcW w:w="2314" w:type="dxa"/>
            <w:vMerge w:val="continue"/>
            <w:tcBorders>
              <w:top w:val="nil"/>
              <w:bottom w:val="nil"/>
            </w:tcBorders>
            <w:vAlign w:val="top"/>
          </w:tcPr>
          <w:p w14:paraId="36779041">
            <w:pPr>
              <w:rPr>
                <w:rFonts w:ascii="Arial"/>
                <w:sz w:val="21"/>
              </w:rPr>
            </w:pPr>
          </w:p>
        </w:tc>
        <w:tc>
          <w:tcPr>
            <w:tcW w:w="219" w:type="dxa"/>
            <w:tcBorders>
              <w:top w:val="single" w:color="000000" w:sz="2" w:space="0"/>
              <w:bottom w:val="single" w:color="000000" w:sz="2" w:space="0"/>
            </w:tcBorders>
            <w:vAlign w:val="top"/>
          </w:tcPr>
          <w:p w14:paraId="57B63DC8">
            <w:pPr>
              <w:rPr>
                <w:rFonts w:ascii="Arial"/>
                <w:sz w:val="21"/>
              </w:rPr>
            </w:pPr>
          </w:p>
        </w:tc>
        <w:tc>
          <w:tcPr>
            <w:tcW w:w="230" w:type="dxa"/>
            <w:tcBorders>
              <w:top w:val="single" w:color="000000" w:sz="2" w:space="0"/>
              <w:bottom w:val="single" w:color="000000" w:sz="2" w:space="0"/>
            </w:tcBorders>
            <w:vAlign w:val="top"/>
          </w:tcPr>
          <w:p w14:paraId="5BACBE56">
            <w:pPr>
              <w:pStyle w:val="6"/>
              <w:spacing w:before="104" w:line="238" w:lineRule="auto"/>
              <w:ind w:left="48"/>
              <w:rPr>
                <w:sz w:val="13"/>
                <w:szCs w:val="13"/>
              </w:rPr>
            </w:pPr>
            <w:r>
              <w:rPr>
                <w:sz w:val="13"/>
                <w:szCs w:val="13"/>
              </w:rPr>
              <w:t>√</w:t>
            </w:r>
          </w:p>
        </w:tc>
        <w:tc>
          <w:tcPr>
            <w:tcW w:w="220" w:type="dxa"/>
            <w:tcBorders>
              <w:top w:val="single" w:color="000000" w:sz="2" w:space="0"/>
              <w:bottom w:val="single" w:color="000000" w:sz="2" w:space="0"/>
            </w:tcBorders>
            <w:vAlign w:val="top"/>
          </w:tcPr>
          <w:p w14:paraId="62CF2DF3">
            <w:pPr>
              <w:rPr>
                <w:rFonts w:ascii="Arial"/>
                <w:sz w:val="21"/>
              </w:rPr>
            </w:pPr>
          </w:p>
        </w:tc>
        <w:tc>
          <w:tcPr>
            <w:tcW w:w="244" w:type="dxa"/>
            <w:tcBorders>
              <w:top w:val="single" w:color="000000" w:sz="2" w:space="0"/>
              <w:bottom w:val="single" w:color="000000" w:sz="2" w:space="0"/>
            </w:tcBorders>
            <w:vAlign w:val="top"/>
          </w:tcPr>
          <w:p w14:paraId="6DFC500B">
            <w:pPr>
              <w:rPr>
                <w:rFonts w:ascii="Arial"/>
                <w:sz w:val="21"/>
              </w:rPr>
            </w:pPr>
          </w:p>
        </w:tc>
      </w:tr>
      <w:tr w14:paraId="50E62A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5" w:hRule="atLeast"/>
        </w:trPr>
        <w:tc>
          <w:tcPr>
            <w:tcW w:w="903" w:type="dxa"/>
            <w:vMerge w:val="continue"/>
            <w:tcBorders>
              <w:top w:val="nil"/>
              <w:bottom w:val="single" w:color="000000" w:sz="2" w:space="0"/>
            </w:tcBorders>
            <w:vAlign w:val="top"/>
          </w:tcPr>
          <w:p w14:paraId="5E2B2664">
            <w:pPr>
              <w:rPr>
                <w:rFonts w:ascii="Arial"/>
                <w:sz w:val="21"/>
              </w:rPr>
            </w:pPr>
          </w:p>
        </w:tc>
        <w:tc>
          <w:tcPr>
            <w:tcW w:w="2314" w:type="dxa"/>
            <w:vMerge w:val="continue"/>
            <w:tcBorders>
              <w:top w:val="nil"/>
              <w:bottom w:val="single" w:color="000000" w:sz="2" w:space="0"/>
            </w:tcBorders>
            <w:vAlign w:val="top"/>
          </w:tcPr>
          <w:p w14:paraId="1B04E330">
            <w:pPr>
              <w:rPr>
                <w:rFonts w:ascii="Arial"/>
                <w:sz w:val="21"/>
              </w:rPr>
            </w:pPr>
          </w:p>
        </w:tc>
        <w:tc>
          <w:tcPr>
            <w:tcW w:w="219" w:type="dxa"/>
            <w:tcBorders>
              <w:top w:val="single" w:color="000000" w:sz="2" w:space="0"/>
              <w:bottom w:val="single" w:color="000000" w:sz="2" w:space="0"/>
            </w:tcBorders>
            <w:vAlign w:val="top"/>
          </w:tcPr>
          <w:p w14:paraId="0166C9D3">
            <w:pPr>
              <w:spacing w:line="215" w:lineRule="exact"/>
              <w:rPr>
                <w:rFonts w:ascii="Arial"/>
                <w:sz w:val="18"/>
              </w:rPr>
            </w:pPr>
          </w:p>
        </w:tc>
        <w:tc>
          <w:tcPr>
            <w:tcW w:w="230" w:type="dxa"/>
            <w:tcBorders>
              <w:top w:val="single" w:color="000000" w:sz="2" w:space="0"/>
              <w:bottom w:val="single" w:color="000000" w:sz="2" w:space="0"/>
            </w:tcBorders>
            <w:vAlign w:val="top"/>
          </w:tcPr>
          <w:p w14:paraId="68ADE2A8">
            <w:pPr>
              <w:spacing w:line="215" w:lineRule="exact"/>
              <w:rPr>
                <w:rFonts w:ascii="Arial"/>
                <w:sz w:val="18"/>
              </w:rPr>
            </w:pPr>
          </w:p>
        </w:tc>
        <w:tc>
          <w:tcPr>
            <w:tcW w:w="220" w:type="dxa"/>
            <w:tcBorders>
              <w:top w:val="single" w:color="000000" w:sz="2" w:space="0"/>
              <w:bottom w:val="single" w:color="000000" w:sz="2" w:space="0"/>
            </w:tcBorders>
            <w:vAlign w:val="top"/>
          </w:tcPr>
          <w:p w14:paraId="6035AD5B">
            <w:pPr>
              <w:pStyle w:val="6"/>
              <w:spacing w:before="65" w:line="212" w:lineRule="auto"/>
              <w:ind w:left="39"/>
              <w:rPr>
                <w:sz w:val="13"/>
                <w:szCs w:val="13"/>
              </w:rPr>
            </w:pPr>
            <w:r>
              <w:rPr>
                <w:sz w:val="13"/>
                <w:szCs w:val="13"/>
              </w:rPr>
              <w:t>√</w:t>
            </w:r>
          </w:p>
        </w:tc>
        <w:tc>
          <w:tcPr>
            <w:tcW w:w="244" w:type="dxa"/>
            <w:tcBorders>
              <w:top w:val="single" w:color="000000" w:sz="2" w:space="0"/>
              <w:bottom w:val="single" w:color="000000" w:sz="2" w:space="0"/>
            </w:tcBorders>
            <w:vAlign w:val="top"/>
          </w:tcPr>
          <w:p w14:paraId="0FC99086">
            <w:pPr>
              <w:spacing w:line="215" w:lineRule="exact"/>
              <w:rPr>
                <w:rFonts w:ascii="Arial"/>
                <w:sz w:val="18"/>
              </w:rPr>
            </w:pPr>
          </w:p>
        </w:tc>
      </w:tr>
      <w:tr w14:paraId="7F9B40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4" w:hRule="atLeast"/>
        </w:trPr>
        <w:tc>
          <w:tcPr>
            <w:tcW w:w="903" w:type="dxa"/>
            <w:tcBorders>
              <w:top w:val="single" w:color="000000" w:sz="2" w:space="0"/>
              <w:bottom w:val="single" w:color="000000" w:sz="2" w:space="0"/>
            </w:tcBorders>
            <w:vAlign w:val="top"/>
          </w:tcPr>
          <w:p w14:paraId="154592C6">
            <w:pPr>
              <w:pStyle w:val="6"/>
              <w:spacing w:before="53" w:line="219" w:lineRule="auto"/>
              <w:ind w:left="185"/>
            </w:pPr>
            <w:r>
              <w:rPr>
                <w:spacing w:val="-2"/>
              </w:rPr>
              <w:t>轻质混</w:t>
            </w:r>
          </w:p>
          <w:p w14:paraId="4CD58E25">
            <w:pPr>
              <w:pStyle w:val="6"/>
              <w:spacing w:line="193" w:lineRule="auto"/>
              <w:ind w:left="275"/>
            </w:pPr>
            <w:r>
              <w:rPr>
                <w:spacing w:val="-2"/>
              </w:rPr>
              <w:t>凝土</w:t>
            </w:r>
          </w:p>
        </w:tc>
        <w:tc>
          <w:tcPr>
            <w:tcW w:w="2314" w:type="dxa"/>
            <w:tcBorders>
              <w:top w:val="single" w:color="000000" w:sz="2" w:space="0"/>
              <w:bottom w:val="single" w:color="000000" w:sz="2" w:space="0"/>
            </w:tcBorders>
            <w:vAlign w:val="top"/>
          </w:tcPr>
          <w:p w14:paraId="2233B05C">
            <w:pPr>
              <w:pStyle w:val="6"/>
              <w:spacing w:before="144" w:line="219" w:lineRule="auto"/>
              <w:ind w:left="2"/>
            </w:pPr>
            <w:r>
              <w:t>1.轻质混凝土施工工艺</w:t>
            </w:r>
          </w:p>
        </w:tc>
        <w:tc>
          <w:tcPr>
            <w:tcW w:w="219" w:type="dxa"/>
            <w:tcBorders>
              <w:top w:val="single" w:color="000000" w:sz="2" w:space="0"/>
              <w:bottom w:val="single" w:color="000000" w:sz="2" w:space="0"/>
            </w:tcBorders>
            <w:vAlign w:val="top"/>
          </w:tcPr>
          <w:p w14:paraId="3008E4B1">
            <w:pPr>
              <w:pStyle w:val="6"/>
              <w:spacing w:before="175" w:line="238" w:lineRule="auto"/>
              <w:ind w:left="38"/>
              <w:rPr>
                <w:sz w:val="13"/>
                <w:szCs w:val="13"/>
              </w:rPr>
            </w:pPr>
            <w:r>
              <w:rPr>
                <w:sz w:val="13"/>
                <w:szCs w:val="13"/>
              </w:rPr>
              <w:t>√</w:t>
            </w:r>
          </w:p>
        </w:tc>
        <w:tc>
          <w:tcPr>
            <w:tcW w:w="230" w:type="dxa"/>
            <w:tcBorders>
              <w:top w:val="single" w:color="000000" w:sz="2" w:space="0"/>
              <w:bottom w:val="single" w:color="000000" w:sz="2" w:space="0"/>
            </w:tcBorders>
            <w:vAlign w:val="top"/>
          </w:tcPr>
          <w:p w14:paraId="7B8C8C5A">
            <w:pPr>
              <w:rPr>
                <w:rFonts w:ascii="Arial"/>
                <w:sz w:val="21"/>
              </w:rPr>
            </w:pPr>
          </w:p>
        </w:tc>
        <w:tc>
          <w:tcPr>
            <w:tcW w:w="220" w:type="dxa"/>
            <w:tcBorders>
              <w:top w:val="single" w:color="000000" w:sz="2" w:space="0"/>
              <w:bottom w:val="single" w:color="000000" w:sz="2" w:space="0"/>
            </w:tcBorders>
            <w:vAlign w:val="top"/>
          </w:tcPr>
          <w:p w14:paraId="38605F5F">
            <w:pPr>
              <w:rPr>
                <w:rFonts w:ascii="Arial"/>
                <w:sz w:val="21"/>
              </w:rPr>
            </w:pPr>
          </w:p>
        </w:tc>
        <w:tc>
          <w:tcPr>
            <w:tcW w:w="244" w:type="dxa"/>
            <w:tcBorders>
              <w:top w:val="single" w:color="000000" w:sz="2" w:space="0"/>
              <w:bottom w:val="single" w:color="000000" w:sz="2" w:space="0"/>
            </w:tcBorders>
            <w:vAlign w:val="top"/>
          </w:tcPr>
          <w:p w14:paraId="6CD77C3E">
            <w:pPr>
              <w:rPr>
                <w:rFonts w:ascii="Arial"/>
                <w:sz w:val="21"/>
              </w:rPr>
            </w:pPr>
          </w:p>
        </w:tc>
      </w:tr>
      <w:tr w14:paraId="0135DE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4" w:hRule="atLeast"/>
        </w:trPr>
        <w:tc>
          <w:tcPr>
            <w:tcW w:w="903" w:type="dxa"/>
            <w:vMerge w:val="restart"/>
            <w:tcBorders>
              <w:top w:val="single" w:color="000000" w:sz="2" w:space="0"/>
              <w:bottom w:val="nil"/>
            </w:tcBorders>
            <w:vAlign w:val="top"/>
          </w:tcPr>
          <w:p w14:paraId="24FAF714">
            <w:pPr>
              <w:pStyle w:val="6"/>
              <w:spacing w:before="46" w:line="216" w:lineRule="auto"/>
              <w:ind w:left="105"/>
            </w:pPr>
            <w:r>
              <w:rPr>
                <w:spacing w:val="-2"/>
              </w:rPr>
              <w:t>混凝土施</w:t>
            </w:r>
          </w:p>
          <w:p w14:paraId="407CA414">
            <w:pPr>
              <w:pStyle w:val="6"/>
              <w:spacing w:line="219" w:lineRule="auto"/>
              <w:ind w:left="105"/>
            </w:pPr>
            <w:r>
              <w:rPr>
                <w:spacing w:val="-2"/>
              </w:rPr>
              <w:t>工质量验</w:t>
            </w:r>
          </w:p>
          <w:p w14:paraId="593619A4">
            <w:pPr>
              <w:pStyle w:val="6"/>
              <w:spacing w:before="36" w:line="207" w:lineRule="auto"/>
              <w:ind w:left="105"/>
            </w:pPr>
            <w:r>
              <w:rPr>
                <w:spacing w:val="1"/>
              </w:rPr>
              <w:t>收及安全</w:t>
            </w:r>
          </w:p>
          <w:p w14:paraId="0C7F7B8E">
            <w:pPr>
              <w:pStyle w:val="6"/>
              <w:spacing w:line="203" w:lineRule="auto"/>
              <w:ind w:left="275"/>
            </w:pPr>
            <w:r>
              <w:rPr>
                <w:spacing w:val="4"/>
              </w:rPr>
              <w:t>常识</w:t>
            </w:r>
          </w:p>
        </w:tc>
        <w:tc>
          <w:tcPr>
            <w:tcW w:w="2314" w:type="dxa"/>
            <w:tcBorders>
              <w:top w:val="single" w:color="000000" w:sz="2" w:space="0"/>
              <w:bottom w:val="single" w:color="000000" w:sz="2" w:space="0"/>
            </w:tcBorders>
            <w:vAlign w:val="top"/>
          </w:tcPr>
          <w:p w14:paraId="4FD3D5CB">
            <w:pPr>
              <w:pStyle w:val="6"/>
              <w:spacing w:before="85" w:line="219" w:lineRule="auto"/>
              <w:ind w:left="2"/>
            </w:pPr>
            <w:r>
              <w:t>1.混凝土施工质量验收</w:t>
            </w:r>
          </w:p>
        </w:tc>
        <w:tc>
          <w:tcPr>
            <w:tcW w:w="219" w:type="dxa"/>
            <w:tcBorders>
              <w:top w:val="single" w:color="000000" w:sz="2" w:space="0"/>
              <w:bottom w:val="single" w:color="000000" w:sz="2" w:space="0"/>
            </w:tcBorders>
            <w:vAlign w:val="top"/>
          </w:tcPr>
          <w:p w14:paraId="3740297E">
            <w:pPr>
              <w:rPr>
                <w:rFonts w:ascii="Arial"/>
                <w:sz w:val="21"/>
              </w:rPr>
            </w:pPr>
          </w:p>
        </w:tc>
        <w:tc>
          <w:tcPr>
            <w:tcW w:w="230" w:type="dxa"/>
            <w:tcBorders>
              <w:top w:val="single" w:color="000000" w:sz="2" w:space="0"/>
              <w:bottom w:val="single" w:color="000000" w:sz="2" w:space="0"/>
            </w:tcBorders>
            <w:vAlign w:val="top"/>
          </w:tcPr>
          <w:p w14:paraId="3F20FBF0">
            <w:pPr>
              <w:rPr>
                <w:rFonts w:ascii="Arial"/>
                <w:sz w:val="21"/>
              </w:rPr>
            </w:pPr>
          </w:p>
        </w:tc>
        <w:tc>
          <w:tcPr>
            <w:tcW w:w="220" w:type="dxa"/>
            <w:tcBorders>
              <w:top w:val="single" w:color="000000" w:sz="2" w:space="0"/>
              <w:bottom w:val="single" w:color="000000" w:sz="2" w:space="0"/>
            </w:tcBorders>
            <w:vAlign w:val="top"/>
          </w:tcPr>
          <w:p w14:paraId="2AC2D628">
            <w:pPr>
              <w:pStyle w:val="6"/>
              <w:spacing w:before="137" w:line="182" w:lineRule="auto"/>
              <w:ind w:left="69"/>
              <w:rPr>
                <w:sz w:val="13"/>
                <w:szCs w:val="13"/>
              </w:rPr>
            </w:pPr>
            <w:r>
              <w:rPr>
                <w:sz w:val="13"/>
                <w:szCs w:val="13"/>
              </w:rPr>
              <w:t>V</w:t>
            </w:r>
          </w:p>
        </w:tc>
        <w:tc>
          <w:tcPr>
            <w:tcW w:w="244" w:type="dxa"/>
            <w:tcBorders>
              <w:top w:val="single" w:color="000000" w:sz="2" w:space="0"/>
              <w:bottom w:val="single" w:color="000000" w:sz="2" w:space="0"/>
            </w:tcBorders>
            <w:vAlign w:val="top"/>
          </w:tcPr>
          <w:p w14:paraId="711EB520">
            <w:pPr>
              <w:rPr>
                <w:rFonts w:ascii="Arial"/>
                <w:sz w:val="21"/>
              </w:rPr>
            </w:pPr>
          </w:p>
        </w:tc>
      </w:tr>
      <w:tr w14:paraId="56A52F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4" w:hRule="atLeast"/>
        </w:trPr>
        <w:tc>
          <w:tcPr>
            <w:tcW w:w="903" w:type="dxa"/>
            <w:vMerge w:val="continue"/>
            <w:tcBorders>
              <w:top w:val="nil"/>
              <w:bottom w:val="single" w:color="000000" w:sz="2" w:space="0"/>
            </w:tcBorders>
            <w:vAlign w:val="top"/>
          </w:tcPr>
          <w:p w14:paraId="0DAA8819">
            <w:pPr>
              <w:rPr>
                <w:rFonts w:ascii="Arial"/>
                <w:sz w:val="21"/>
              </w:rPr>
            </w:pPr>
          </w:p>
        </w:tc>
        <w:tc>
          <w:tcPr>
            <w:tcW w:w="2314" w:type="dxa"/>
            <w:tcBorders>
              <w:top w:val="single" w:color="000000" w:sz="2" w:space="0"/>
              <w:bottom w:val="single" w:color="000000" w:sz="2" w:space="0"/>
            </w:tcBorders>
            <w:vAlign w:val="top"/>
          </w:tcPr>
          <w:p w14:paraId="40BAE2AB">
            <w:pPr>
              <w:pStyle w:val="6"/>
              <w:spacing w:before="186" w:line="220" w:lineRule="auto"/>
              <w:ind w:left="2"/>
            </w:pPr>
            <w:r>
              <w:rPr>
                <w:spacing w:val="-2"/>
              </w:rPr>
              <w:t>2.安全常识</w:t>
            </w:r>
          </w:p>
        </w:tc>
        <w:tc>
          <w:tcPr>
            <w:tcW w:w="219" w:type="dxa"/>
            <w:tcBorders>
              <w:top w:val="single" w:color="000000" w:sz="2" w:space="0"/>
              <w:bottom w:val="single" w:color="000000" w:sz="2" w:space="0"/>
            </w:tcBorders>
            <w:vAlign w:val="top"/>
          </w:tcPr>
          <w:p w14:paraId="5F8033ED">
            <w:pPr>
              <w:pStyle w:val="6"/>
              <w:spacing w:before="217" w:line="238" w:lineRule="auto"/>
              <w:ind w:left="38"/>
              <w:rPr>
                <w:sz w:val="13"/>
                <w:szCs w:val="13"/>
              </w:rPr>
            </w:pPr>
            <w:r>
              <w:rPr>
                <w:sz w:val="13"/>
                <w:szCs w:val="13"/>
              </w:rPr>
              <w:t>√</w:t>
            </w:r>
          </w:p>
        </w:tc>
        <w:tc>
          <w:tcPr>
            <w:tcW w:w="230" w:type="dxa"/>
            <w:tcBorders>
              <w:top w:val="single" w:color="000000" w:sz="2" w:space="0"/>
              <w:bottom w:val="single" w:color="000000" w:sz="2" w:space="0"/>
            </w:tcBorders>
            <w:vAlign w:val="top"/>
          </w:tcPr>
          <w:p w14:paraId="0F3AC443">
            <w:pPr>
              <w:rPr>
                <w:rFonts w:ascii="Arial"/>
                <w:sz w:val="21"/>
              </w:rPr>
            </w:pPr>
          </w:p>
        </w:tc>
        <w:tc>
          <w:tcPr>
            <w:tcW w:w="220" w:type="dxa"/>
            <w:tcBorders>
              <w:top w:val="single" w:color="000000" w:sz="2" w:space="0"/>
              <w:bottom w:val="single" w:color="000000" w:sz="2" w:space="0"/>
            </w:tcBorders>
            <w:vAlign w:val="top"/>
          </w:tcPr>
          <w:p w14:paraId="1C77E689">
            <w:pPr>
              <w:rPr>
                <w:rFonts w:ascii="Arial"/>
                <w:sz w:val="21"/>
              </w:rPr>
            </w:pPr>
          </w:p>
        </w:tc>
        <w:tc>
          <w:tcPr>
            <w:tcW w:w="244" w:type="dxa"/>
            <w:tcBorders>
              <w:top w:val="single" w:color="000000" w:sz="2" w:space="0"/>
              <w:bottom w:val="single" w:color="000000" w:sz="2" w:space="0"/>
            </w:tcBorders>
            <w:vAlign w:val="top"/>
          </w:tcPr>
          <w:p w14:paraId="621D3AE4">
            <w:pPr>
              <w:rPr>
                <w:rFonts w:ascii="Arial"/>
                <w:sz w:val="21"/>
              </w:rPr>
            </w:pPr>
          </w:p>
        </w:tc>
      </w:tr>
      <w:tr w14:paraId="1D883A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59" w:hRule="atLeast"/>
        </w:trPr>
        <w:tc>
          <w:tcPr>
            <w:tcW w:w="903" w:type="dxa"/>
            <w:tcBorders>
              <w:top w:val="single" w:color="000000" w:sz="2" w:space="0"/>
              <w:bottom w:val="single" w:color="000000" w:sz="2" w:space="0"/>
            </w:tcBorders>
            <w:vAlign w:val="top"/>
          </w:tcPr>
          <w:p w14:paraId="56227460">
            <w:pPr>
              <w:pStyle w:val="6"/>
              <w:spacing w:before="57" w:line="205" w:lineRule="auto"/>
              <w:ind w:left="105"/>
            </w:pPr>
            <w:r>
              <w:rPr>
                <w:spacing w:val="-2"/>
              </w:rPr>
              <w:t>混凝土工</w:t>
            </w:r>
          </w:p>
          <w:p w14:paraId="46796EE5">
            <w:pPr>
              <w:pStyle w:val="6"/>
              <w:spacing w:line="218" w:lineRule="auto"/>
              <w:ind w:left="274" w:right="203" w:hanging="89"/>
            </w:pPr>
            <w:r>
              <w:rPr>
                <w:spacing w:val="-2"/>
              </w:rPr>
              <w:t>程季节</w:t>
            </w:r>
            <w:r>
              <w:t xml:space="preserve"> </w:t>
            </w:r>
            <w:r>
              <w:rPr>
                <w:spacing w:val="-2"/>
              </w:rPr>
              <w:t>施工</w:t>
            </w:r>
          </w:p>
        </w:tc>
        <w:tc>
          <w:tcPr>
            <w:tcW w:w="2314" w:type="dxa"/>
            <w:tcBorders>
              <w:top w:val="single" w:color="000000" w:sz="2" w:space="0"/>
              <w:bottom w:val="single" w:color="000000" w:sz="2" w:space="0"/>
            </w:tcBorders>
            <w:vAlign w:val="top"/>
          </w:tcPr>
          <w:p w14:paraId="35766D5B">
            <w:pPr>
              <w:pStyle w:val="6"/>
              <w:spacing w:before="247" w:line="220" w:lineRule="auto"/>
              <w:ind w:left="2"/>
            </w:pPr>
            <w:r>
              <w:t>1.冬期施工工艺要求及方法</w:t>
            </w:r>
          </w:p>
        </w:tc>
        <w:tc>
          <w:tcPr>
            <w:tcW w:w="219" w:type="dxa"/>
            <w:tcBorders>
              <w:top w:val="single" w:color="000000" w:sz="2" w:space="0"/>
              <w:bottom w:val="single" w:color="000000" w:sz="2" w:space="0"/>
            </w:tcBorders>
            <w:vAlign w:val="top"/>
          </w:tcPr>
          <w:p w14:paraId="37B1B45F">
            <w:pPr>
              <w:rPr>
                <w:rFonts w:ascii="Arial"/>
                <w:sz w:val="21"/>
              </w:rPr>
            </w:pPr>
          </w:p>
        </w:tc>
        <w:tc>
          <w:tcPr>
            <w:tcW w:w="230" w:type="dxa"/>
            <w:tcBorders>
              <w:top w:val="single" w:color="000000" w:sz="2" w:space="0"/>
              <w:bottom w:val="single" w:color="000000" w:sz="2" w:space="0"/>
            </w:tcBorders>
            <w:vAlign w:val="top"/>
          </w:tcPr>
          <w:p w14:paraId="54E0BD46">
            <w:pPr>
              <w:rPr>
                <w:rFonts w:ascii="Arial"/>
                <w:sz w:val="21"/>
              </w:rPr>
            </w:pPr>
          </w:p>
        </w:tc>
        <w:tc>
          <w:tcPr>
            <w:tcW w:w="220" w:type="dxa"/>
            <w:tcBorders>
              <w:top w:val="single" w:color="000000" w:sz="2" w:space="0"/>
              <w:bottom w:val="single" w:color="000000" w:sz="2" w:space="0"/>
            </w:tcBorders>
            <w:vAlign w:val="top"/>
          </w:tcPr>
          <w:p w14:paraId="23D6BD44">
            <w:pPr>
              <w:pStyle w:val="6"/>
              <w:spacing w:before="278" w:line="238" w:lineRule="auto"/>
              <w:ind w:left="39"/>
              <w:rPr>
                <w:sz w:val="13"/>
                <w:szCs w:val="13"/>
              </w:rPr>
            </w:pPr>
            <w:r>
              <w:rPr>
                <w:sz w:val="13"/>
                <w:szCs w:val="13"/>
              </w:rPr>
              <w:t>√</w:t>
            </w:r>
          </w:p>
        </w:tc>
        <w:tc>
          <w:tcPr>
            <w:tcW w:w="244" w:type="dxa"/>
            <w:tcBorders>
              <w:top w:val="single" w:color="000000" w:sz="2" w:space="0"/>
              <w:bottom w:val="single" w:color="000000" w:sz="2" w:space="0"/>
            </w:tcBorders>
            <w:vAlign w:val="top"/>
          </w:tcPr>
          <w:p w14:paraId="2FB47EF9">
            <w:pPr>
              <w:rPr>
                <w:rFonts w:ascii="Arial"/>
                <w:sz w:val="21"/>
              </w:rPr>
            </w:pPr>
          </w:p>
        </w:tc>
      </w:tr>
    </w:tbl>
    <w:p w14:paraId="6929CAA4">
      <w:pPr>
        <w:pStyle w:val="2"/>
        <w:spacing w:line="361" w:lineRule="auto"/>
      </w:pPr>
    </w:p>
    <w:p w14:paraId="3DCA6A0B">
      <w:pPr>
        <w:spacing w:before="65" w:line="222" w:lineRule="auto"/>
        <w:ind w:left="767"/>
        <w:rPr>
          <w:rFonts w:ascii="黑体" w:hAnsi="黑体" w:eastAsia="黑体" w:cs="黑体"/>
          <w:sz w:val="20"/>
          <w:szCs w:val="20"/>
        </w:rPr>
      </w:pPr>
      <w:r>
        <w:rPr>
          <w:rFonts w:ascii="黑体" w:hAnsi="黑体" w:eastAsia="黑体" w:cs="黑体"/>
          <w:b/>
          <w:bCs/>
          <w:spacing w:val="-3"/>
          <w:sz w:val="20"/>
          <w:szCs w:val="20"/>
        </w:rPr>
        <w:t>第三部分</w:t>
      </w:r>
      <w:r>
        <w:rPr>
          <w:rFonts w:ascii="黑体" w:hAnsi="黑体" w:eastAsia="黑体" w:cs="黑体"/>
          <w:spacing w:val="-3"/>
          <w:sz w:val="20"/>
          <w:szCs w:val="20"/>
        </w:rPr>
        <w:t xml:space="preserve">  </w:t>
      </w:r>
      <w:r>
        <w:rPr>
          <w:rFonts w:ascii="黑体" w:hAnsi="黑体" w:eastAsia="黑体" w:cs="黑体"/>
          <w:b/>
          <w:bCs/>
          <w:spacing w:val="-3"/>
          <w:sz w:val="20"/>
          <w:szCs w:val="20"/>
        </w:rPr>
        <w:t>建筑装饰施工技术</w:t>
      </w:r>
    </w:p>
    <w:p w14:paraId="496461E7">
      <w:pPr>
        <w:pStyle w:val="2"/>
        <w:spacing w:line="292" w:lineRule="auto"/>
      </w:pPr>
    </w:p>
    <w:p w14:paraId="6F19DEA8">
      <w:pPr>
        <w:spacing w:before="65" w:line="222" w:lineRule="auto"/>
        <w:ind w:left="767"/>
        <w:rPr>
          <w:rFonts w:ascii="黑体" w:hAnsi="黑体" w:eastAsia="黑体" w:cs="黑体"/>
          <w:sz w:val="20"/>
          <w:szCs w:val="20"/>
        </w:rPr>
      </w:pPr>
      <w:r>
        <w:rPr>
          <w:rFonts w:ascii="黑体" w:hAnsi="黑体" w:eastAsia="黑体" w:cs="黑体"/>
          <w:b/>
          <w:bCs/>
          <w:spacing w:val="11"/>
          <w:sz w:val="20"/>
          <w:szCs w:val="20"/>
        </w:rPr>
        <w:t>第一章</w:t>
      </w:r>
      <w:r>
        <w:rPr>
          <w:rFonts w:ascii="黑体" w:hAnsi="黑体" w:eastAsia="黑体" w:cs="黑体"/>
          <w:spacing w:val="11"/>
          <w:sz w:val="20"/>
          <w:szCs w:val="20"/>
        </w:rPr>
        <w:t xml:space="preserve">  </w:t>
      </w:r>
      <w:r>
        <w:rPr>
          <w:rFonts w:ascii="黑体" w:hAnsi="黑体" w:eastAsia="黑体" w:cs="黑体"/>
          <w:b/>
          <w:bCs/>
          <w:spacing w:val="11"/>
          <w:sz w:val="20"/>
          <w:szCs w:val="20"/>
        </w:rPr>
        <w:t>轻质隔墙(断)工程</w:t>
      </w:r>
    </w:p>
    <w:p w14:paraId="4AB36D33">
      <w:pPr>
        <w:spacing w:line="70" w:lineRule="exact"/>
      </w:pPr>
    </w:p>
    <w:tbl>
      <w:tblPr>
        <w:tblStyle w:val="5"/>
        <w:tblW w:w="413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03"/>
        <w:gridCol w:w="2314"/>
        <w:gridCol w:w="229"/>
        <w:gridCol w:w="230"/>
        <w:gridCol w:w="220"/>
        <w:gridCol w:w="234"/>
      </w:tblGrid>
      <w:tr w14:paraId="6D4CBC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3" w:hRule="atLeast"/>
        </w:trPr>
        <w:tc>
          <w:tcPr>
            <w:tcW w:w="903" w:type="dxa"/>
            <w:vMerge w:val="restart"/>
            <w:tcBorders>
              <w:bottom w:val="nil"/>
            </w:tcBorders>
            <w:vAlign w:val="top"/>
          </w:tcPr>
          <w:p w14:paraId="093D582F">
            <w:pPr>
              <w:pStyle w:val="6"/>
              <w:spacing w:before="121" w:line="218" w:lineRule="auto"/>
              <w:ind w:left="87" w:right="93" w:firstLine="89"/>
              <w:rPr>
                <w:sz w:val="18"/>
                <w:szCs w:val="18"/>
              </w:rPr>
            </w:pPr>
            <w:r>
              <w:rPr>
                <w:b/>
                <w:bCs/>
                <w:spacing w:val="1"/>
                <w:sz w:val="18"/>
                <w:szCs w:val="18"/>
              </w:rPr>
              <w:t>知识与</w:t>
            </w:r>
            <w:r>
              <w:rPr>
                <w:sz w:val="18"/>
                <w:szCs w:val="18"/>
              </w:rPr>
              <w:t xml:space="preserve">  </w:t>
            </w:r>
            <w:r>
              <w:rPr>
                <w:b/>
                <w:bCs/>
                <w:spacing w:val="-4"/>
                <w:sz w:val="18"/>
                <w:szCs w:val="18"/>
              </w:rPr>
              <w:t>技能要点</w:t>
            </w:r>
          </w:p>
        </w:tc>
        <w:tc>
          <w:tcPr>
            <w:tcW w:w="2314" w:type="dxa"/>
            <w:vMerge w:val="restart"/>
            <w:tcBorders>
              <w:bottom w:val="nil"/>
            </w:tcBorders>
            <w:vAlign w:val="top"/>
          </w:tcPr>
          <w:p w14:paraId="7BFA3549">
            <w:pPr>
              <w:pStyle w:val="6"/>
              <w:spacing w:before="229" w:line="219" w:lineRule="auto"/>
              <w:ind w:left="824"/>
              <w:rPr>
                <w:sz w:val="18"/>
                <w:szCs w:val="18"/>
              </w:rPr>
            </w:pPr>
            <w:r>
              <w:rPr>
                <w:b/>
                <w:bCs/>
                <w:spacing w:val="5"/>
                <w:sz w:val="18"/>
                <w:szCs w:val="18"/>
              </w:rPr>
              <w:t>考试条目</w:t>
            </w:r>
          </w:p>
        </w:tc>
        <w:tc>
          <w:tcPr>
            <w:tcW w:w="913" w:type="dxa"/>
            <w:gridSpan w:val="4"/>
            <w:vAlign w:val="top"/>
          </w:tcPr>
          <w:p w14:paraId="120BB4B9">
            <w:pPr>
              <w:pStyle w:val="6"/>
              <w:spacing w:before="69" w:line="219" w:lineRule="auto"/>
              <w:ind w:left="140"/>
              <w:rPr>
                <w:sz w:val="18"/>
                <w:szCs w:val="18"/>
              </w:rPr>
            </w:pPr>
            <w:r>
              <w:rPr>
                <w:b/>
                <w:bCs/>
                <w:spacing w:val="-4"/>
                <w:sz w:val="18"/>
                <w:szCs w:val="18"/>
              </w:rPr>
              <w:t>考试水平</w:t>
            </w:r>
          </w:p>
        </w:tc>
      </w:tr>
      <w:tr w14:paraId="6192B1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8" w:hRule="atLeast"/>
        </w:trPr>
        <w:tc>
          <w:tcPr>
            <w:tcW w:w="903" w:type="dxa"/>
            <w:vMerge w:val="continue"/>
            <w:tcBorders>
              <w:top w:val="nil"/>
            </w:tcBorders>
            <w:vAlign w:val="top"/>
          </w:tcPr>
          <w:p w14:paraId="7AFF71C8">
            <w:pPr>
              <w:rPr>
                <w:rFonts w:ascii="Arial"/>
                <w:sz w:val="21"/>
              </w:rPr>
            </w:pPr>
          </w:p>
        </w:tc>
        <w:tc>
          <w:tcPr>
            <w:tcW w:w="2314" w:type="dxa"/>
            <w:vMerge w:val="continue"/>
            <w:tcBorders>
              <w:top w:val="nil"/>
            </w:tcBorders>
            <w:vAlign w:val="top"/>
          </w:tcPr>
          <w:p w14:paraId="5DD15B6D">
            <w:pPr>
              <w:rPr>
                <w:rFonts w:ascii="Arial"/>
                <w:sz w:val="21"/>
              </w:rPr>
            </w:pPr>
          </w:p>
        </w:tc>
        <w:tc>
          <w:tcPr>
            <w:tcW w:w="229" w:type="dxa"/>
            <w:vAlign w:val="top"/>
          </w:tcPr>
          <w:p w14:paraId="2D315E92">
            <w:pPr>
              <w:pStyle w:val="6"/>
              <w:spacing w:before="114" w:line="184" w:lineRule="auto"/>
              <w:ind w:left="40"/>
              <w:rPr>
                <w:sz w:val="18"/>
                <w:szCs w:val="18"/>
              </w:rPr>
            </w:pPr>
            <w:r>
              <w:rPr>
                <w:b/>
                <w:bCs/>
                <w:spacing w:val="-2"/>
                <w:sz w:val="18"/>
                <w:szCs w:val="18"/>
              </w:rPr>
              <w:t>A</w:t>
            </w:r>
          </w:p>
        </w:tc>
        <w:tc>
          <w:tcPr>
            <w:tcW w:w="230" w:type="dxa"/>
            <w:vAlign w:val="top"/>
          </w:tcPr>
          <w:p w14:paraId="7936190A">
            <w:pPr>
              <w:pStyle w:val="6"/>
              <w:spacing w:before="116" w:line="182" w:lineRule="auto"/>
              <w:ind w:left="71"/>
              <w:rPr>
                <w:sz w:val="18"/>
                <w:szCs w:val="18"/>
              </w:rPr>
            </w:pPr>
            <w:r>
              <w:rPr>
                <w:b/>
                <w:bCs/>
                <w:spacing w:val="-2"/>
                <w:sz w:val="18"/>
                <w:szCs w:val="18"/>
              </w:rPr>
              <w:t>B</w:t>
            </w:r>
          </w:p>
        </w:tc>
        <w:tc>
          <w:tcPr>
            <w:tcW w:w="220" w:type="dxa"/>
            <w:vAlign w:val="top"/>
          </w:tcPr>
          <w:p w14:paraId="45856932">
            <w:pPr>
              <w:pStyle w:val="6"/>
              <w:spacing w:before="114" w:line="183" w:lineRule="auto"/>
              <w:ind w:left="21"/>
              <w:rPr>
                <w:sz w:val="18"/>
                <w:szCs w:val="18"/>
              </w:rPr>
            </w:pPr>
            <w:r>
              <w:rPr>
                <w:b/>
                <w:bCs/>
                <w:spacing w:val="-2"/>
                <w:sz w:val="18"/>
                <w:szCs w:val="18"/>
              </w:rPr>
              <w:t>C</w:t>
            </w:r>
          </w:p>
        </w:tc>
        <w:tc>
          <w:tcPr>
            <w:tcW w:w="234" w:type="dxa"/>
            <w:vAlign w:val="top"/>
          </w:tcPr>
          <w:p w14:paraId="1B2E6EC1">
            <w:pPr>
              <w:pStyle w:val="6"/>
              <w:spacing w:before="116" w:line="182" w:lineRule="auto"/>
              <w:ind w:left="71"/>
              <w:rPr>
                <w:sz w:val="18"/>
                <w:szCs w:val="18"/>
              </w:rPr>
            </w:pPr>
            <w:r>
              <w:rPr>
                <w:b/>
                <w:bCs/>
                <w:spacing w:val="-2"/>
                <w:sz w:val="18"/>
                <w:szCs w:val="18"/>
              </w:rPr>
              <w:t>D</w:t>
            </w:r>
          </w:p>
        </w:tc>
      </w:tr>
      <w:tr w14:paraId="6EAF20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9" w:hRule="atLeast"/>
        </w:trPr>
        <w:tc>
          <w:tcPr>
            <w:tcW w:w="903" w:type="dxa"/>
            <w:vMerge w:val="restart"/>
            <w:tcBorders>
              <w:bottom w:val="nil"/>
            </w:tcBorders>
            <w:vAlign w:val="top"/>
          </w:tcPr>
          <w:p w14:paraId="10569031">
            <w:pPr>
              <w:spacing w:line="249" w:lineRule="auto"/>
              <w:rPr>
                <w:rFonts w:ascii="Arial"/>
                <w:sz w:val="21"/>
              </w:rPr>
            </w:pPr>
          </w:p>
          <w:p w14:paraId="5806F3B6">
            <w:pPr>
              <w:spacing w:line="250" w:lineRule="auto"/>
              <w:rPr>
                <w:rFonts w:ascii="Arial"/>
                <w:sz w:val="21"/>
              </w:rPr>
            </w:pPr>
          </w:p>
          <w:p w14:paraId="1A708C8E">
            <w:pPr>
              <w:pStyle w:val="6"/>
              <w:spacing w:before="58" w:line="227" w:lineRule="auto"/>
              <w:ind w:left="15" w:right="48" w:firstLine="70"/>
              <w:jc w:val="both"/>
              <w:rPr>
                <w:sz w:val="18"/>
                <w:szCs w:val="18"/>
              </w:rPr>
            </w:pPr>
            <w:r>
              <w:rPr>
                <w:spacing w:val="7"/>
                <w:sz w:val="18"/>
                <w:szCs w:val="18"/>
              </w:rPr>
              <w:t>隔墙(断)</w:t>
            </w:r>
            <w:r>
              <w:rPr>
                <w:spacing w:val="3"/>
                <w:sz w:val="18"/>
                <w:szCs w:val="18"/>
              </w:rPr>
              <w:t xml:space="preserve"> </w:t>
            </w:r>
            <w:r>
              <w:rPr>
                <w:spacing w:val="19"/>
                <w:sz w:val="18"/>
                <w:szCs w:val="18"/>
              </w:rPr>
              <w:t>的施工要</w:t>
            </w:r>
            <w:r>
              <w:rPr>
                <w:spacing w:val="2"/>
                <w:sz w:val="18"/>
                <w:szCs w:val="18"/>
              </w:rPr>
              <w:t xml:space="preserve"> </w:t>
            </w:r>
            <w:r>
              <w:rPr>
                <w:spacing w:val="-2"/>
                <w:sz w:val="18"/>
                <w:szCs w:val="18"/>
              </w:rPr>
              <w:t>求及步骤</w:t>
            </w:r>
          </w:p>
        </w:tc>
        <w:tc>
          <w:tcPr>
            <w:tcW w:w="2314" w:type="dxa"/>
            <w:vMerge w:val="restart"/>
            <w:tcBorders>
              <w:bottom w:val="nil"/>
            </w:tcBorders>
            <w:vAlign w:val="top"/>
          </w:tcPr>
          <w:p w14:paraId="7A5F9C12">
            <w:pPr>
              <w:pStyle w:val="6"/>
              <w:spacing w:before="250" w:line="205" w:lineRule="auto"/>
              <w:ind w:left="12"/>
              <w:rPr>
                <w:sz w:val="18"/>
                <w:szCs w:val="18"/>
              </w:rPr>
            </w:pPr>
            <w:r>
              <w:rPr>
                <w:sz w:val="18"/>
                <w:szCs w:val="18"/>
              </w:rPr>
              <w:t>1.施工必备条件</w:t>
            </w:r>
          </w:p>
          <w:p w14:paraId="7148F617">
            <w:pPr>
              <w:pStyle w:val="6"/>
              <w:spacing w:line="218" w:lineRule="auto"/>
              <w:ind w:left="12"/>
              <w:rPr>
                <w:sz w:val="18"/>
                <w:szCs w:val="18"/>
              </w:rPr>
            </w:pPr>
            <w:r>
              <w:rPr>
                <w:spacing w:val="-1"/>
                <w:sz w:val="18"/>
                <w:szCs w:val="18"/>
              </w:rPr>
              <w:t>2.施工材料及其要求</w:t>
            </w:r>
          </w:p>
          <w:p w14:paraId="2C997993">
            <w:pPr>
              <w:pStyle w:val="6"/>
              <w:spacing w:before="8" w:line="227" w:lineRule="auto"/>
              <w:ind w:left="12"/>
              <w:rPr>
                <w:sz w:val="18"/>
                <w:szCs w:val="18"/>
              </w:rPr>
            </w:pPr>
            <w:r>
              <w:rPr>
                <w:spacing w:val="-4"/>
                <w:sz w:val="18"/>
                <w:szCs w:val="18"/>
              </w:rPr>
              <w:t>3.施工工艺流程及其操作要点</w:t>
            </w:r>
            <w:r>
              <w:rPr>
                <w:spacing w:val="6"/>
                <w:sz w:val="18"/>
                <w:szCs w:val="18"/>
              </w:rPr>
              <w:t xml:space="preserve"> </w:t>
            </w:r>
            <w:r>
              <w:rPr>
                <w:sz w:val="18"/>
                <w:szCs w:val="18"/>
              </w:rPr>
              <w:t xml:space="preserve">4.质量验收标准及通病防治  </w:t>
            </w:r>
            <w:r>
              <w:rPr>
                <w:spacing w:val="-2"/>
                <w:sz w:val="18"/>
                <w:szCs w:val="18"/>
              </w:rPr>
              <w:t>5.成品保护及安全环保措施</w:t>
            </w:r>
          </w:p>
        </w:tc>
        <w:tc>
          <w:tcPr>
            <w:tcW w:w="229" w:type="dxa"/>
            <w:vAlign w:val="top"/>
          </w:tcPr>
          <w:p w14:paraId="3B067E96">
            <w:pPr>
              <w:rPr>
                <w:rFonts w:ascii="Arial"/>
                <w:sz w:val="21"/>
              </w:rPr>
            </w:pPr>
          </w:p>
        </w:tc>
        <w:tc>
          <w:tcPr>
            <w:tcW w:w="230" w:type="dxa"/>
            <w:vAlign w:val="top"/>
          </w:tcPr>
          <w:p w14:paraId="31CC17E4">
            <w:pPr>
              <w:pStyle w:val="6"/>
              <w:spacing w:before="100" w:line="238" w:lineRule="auto"/>
              <w:ind w:left="48"/>
              <w:rPr>
                <w:sz w:val="12"/>
                <w:szCs w:val="12"/>
              </w:rPr>
            </w:pPr>
            <w:r>
              <w:rPr>
                <w:sz w:val="12"/>
                <w:szCs w:val="12"/>
              </w:rPr>
              <w:t>√</w:t>
            </w:r>
          </w:p>
        </w:tc>
        <w:tc>
          <w:tcPr>
            <w:tcW w:w="220" w:type="dxa"/>
            <w:vAlign w:val="top"/>
          </w:tcPr>
          <w:p w14:paraId="3788FBA4">
            <w:pPr>
              <w:rPr>
                <w:rFonts w:ascii="Arial"/>
                <w:sz w:val="21"/>
              </w:rPr>
            </w:pPr>
          </w:p>
        </w:tc>
        <w:tc>
          <w:tcPr>
            <w:tcW w:w="234" w:type="dxa"/>
            <w:vAlign w:val="top"/>
          </w:tcPr>
          <w:p w14:paraId="7165774E">
            <w:pPr>
              <w:rPr>
                <w:rFonts w:ascii="Arial"/>
                <w:sz w:val="21"/>
              </w:rPr>
            </w:pPr>
          </w:p>
        </w:tc>
      </w:tr>
      <w:tr w14:paraId="032EEB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8" w:hRule="atLeast"/>
        </w:trPr>
        <w:tc>
          <w:tcPr>
            <w:tcW w:w="903" w:type="dxa"/>
            <w:vMerge w:val="continue"/>
            <w:tcBorders>
              <w:top w:val="nil"/>
              <w:bottom w:val="nil"/>
            </w:tcBorders>
            <w:vAlign w:val="top"/>
          </w:tcPr>
          <w:p w14:paraId="22222539">
            <w:pPr>
              <w:rPr>
                <w:rFonts w:ascii="Arial"/>
                <w:sz w:val="21"/>
              </w:rPr>
            </w:pPr>
          </w:p>
        </w:tc>
        <w:tc>
          <w:tcPr>
            <w:tcW w:w="2314" w:type="dxa"/>
            <w:vMerge w:val="continue"/>
            <w:tcBorders>
              <w:top w:val="nil"/>
              <w:bottom w:val="nil"/>
            </w:tcBorders>
            <w:vAlign w:val="top"/>
          </w:tcPr>
          <w:p w14:paraId="463B65E8">
            <w:pPr>
              <w:rPr>
                <w:rFonts w:ascii="Arial"/>
                <w:sz w:val="21"/>
              </w:rPr>
            </w:pPr>
          </w:p>
        </w:tc>
        <w:tc>
          <w:tcPr>
            <w:tcW w:w="229" w:type="dxa"/>
            <w:vAlign w:val="top"/>
          </w:tcPr>
          <w:p w14:paraId="134DFCC6">
            <w:pPr>
              <w:pStyle w:val="6"/>
              <w:spacing w:before="101" w:line="238" w:lineRule="auto"/>
              <w:ind w:left="7"/>
              <w:rPr>
                <w:sz w:val="12"/>
                <w:szCs w:val="12"/>
              </w:rPr>
            </w:pPr>
            <w:r>
              <w:rPr>
                <w:sz w:val="12"/>
                <w:szCs w:val="12"/>
              </w:rPr>
              <w:t>√</w:t>
            </w:r>
          </w:p>
        </w:tc>
        <w:tc>
          <w:tcPr>
            <w:tcW w:w="230" w:type="dxa"/>
            <w:vAlign w:val="top"/>
          </w:tcPr>
          <w:p w14:paraId="6241D7AE">
            <w:pPr>
              <w:rPr>
                <w:rFonts w:ascii="Arial"/>
                <w:sz w:val="21"/>
              </w:rPr>
            </w:pPr>
          </w:p>
        </w:tc>
        <w:tc>
          <w:tcPr>
            <w:tcW w:w="220" w:type="dxa"/>
            <w:vAlign w:val="top"/>
          </w:tcPr>
          <w:p w14:paraId="7787940A">
            <w:pPr>
              <w:rPr>
                <w:rFonts w:ascii="Arial"/>
                <w:sz w:val="21"/>
              </w:rPr>
            </w:pPr>
          </w:p>
        </w:tc>
        <w:tc>
          <w:tcPr>
            <w:tcW w:w="234" w:type="dxa"/>
            <w:vAlign w:val="top"/>
          </w:tcPr>
          <w:p w14:paraId="52D82149">
            <w:pPr>
              <w:rPr>
                <w:rFonts w:ascii="Arial"/>
                <w:sz w:val="21"/>
              </w:rPr>
            </w:pPr>
          </w:p>
        </w:tc>
      </w:tr>
      <w:tr w14:paraId="306169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903" w:type="dxa"/>
            <w:vMerge w:val="continue"/>
            <w:tcBorders>
              <w:top w:val="nil"/>
              <w:bottom w:val="nil"/>
            </w:tcBorders>
            <w:vAlign w:val="top"/>
          </w:tcPr>
          <w:p w14:paraId="741B1FB5">
            <w:pPr>
              <w:rPr>
                <w:rFonts w:ascii="Arial"/>
                <w:sz w:val="21"/>
              </w:rPr>
            </w:pPr>
          </w:p>
        </w:tc>
        <w:tc>
          <w:tcPr>
            <w:tcW w:w="2314" w:type="dxa"/>
            <w:vMerge w:val="continue"/>
            <w:tcBorders>
              <w:top w:val="nil"/>
              <w:bottom w:val="nil"/>
            </w:tcBorders>
            <w:vAlign w:val="top"/>
          </w:tcPr>
          <w:p w14:paraId="65E0F6BD">
            <w:pPr>
              <w:rPr>
                <w:rFonts w:ascii="Arial"/>
                <w:sz w:val="21"/>
              </w:rPr>
            </w:pPr>
          </w:p>
        </w:tc>
        <w:tc>
          <w:tcPr>
            <w:tcW w:w="229" w:type="dxa"/>
            <w:vAlign w:val="top"/>
          </w:tcPr>
          <w:p w14:paraId="21AD79FA">
            <w:pPr>
              <w:rPr>
                <w:rFonts w:ascii="Arial"/>
                <w:sz w:val="21"/>
              </w:rPr>
            </w:pPr>
          </w:p>
        </w:tc>
        <w:tc>
          <w:tcPr>
            <w:tcW w:w="230" w:type="dxa"/>
            <w:vAlign w:val="top"/>
          </w:tcPr>
          <w:p w14:paraId="4693AA84">
            <w:pPr>
              <w:rPr>
                <w:rFonts w:ascii="Arial"/>
                <w:sz w:val="21"/>
              </w:rPr>
            </w:pPr>
          </w:p>
        </w:tc>
        <w:tc>
          <w:tcPr>
            <w:tcW w:w="220" w:type="dxa"/>
            <w:vAlign w:val="top"/>
          </w:tcPr>
          <w:p w14:paraId="0D6B336D">
            <w:pPr>
              <w:pStyle w:val="6"/>
              <w:spacing w:before="103" w:line="238" w:lineRule="auto"/>
              <w:ind w:left="18"/>
              <w:rPr>
                <w:sz w:val="12"/>
                <w:szCs w:val="12"/>
              </w:rPr>
            </w:pPr>
            <w:r>
              <w:rPr>
                <w:sz w:val="12"/>
                <w:szCs w:val="12"/>
              </w:rPr>
              <w:t>√</w:t>
            </w:r>
          </w:p>
        </w:tc>
        <w:tc>
          <w:tcPr>
            <w:tcW w:w="234" w:type="dxa"/>
            <w:vAlign w:val="top"/>
          </w:tcPr>
          <w:p w14:paraId="55E8C8CB">
            <w:pPr>
              <w:rPr>
                <w:rFonts w:ascii="Arial"/>
                <w:sz w:val="21"/>
              </w:rPr>
            </w:pPr>
          </w:p>
        </w:tc>
      </w:tr>
      <w:tr w14:paraId="5F3D54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9" w:hRule="atLeast"/>
        </w:trPr>
        <w:tc>
          <w:tcPr>
            <w:tcW w:w="903" w:type="dxa"/>
            <w:vMerge w:val="continue"/>
            <w:tcBorders>
              <w:top w:val="nil"/>
              <w:bottom w:val="nil"/>
            </w:tcBorders>
            <w:vAlign w:val="top"/>
          </w:tcPr>
          <w:p w14:paraId="777B2899">
            <w:pPr>
              <w:rPr>
                <w:rFonts w:ascii="Arial"/>
                <w:sz w:val="21"/>
              </w:rPr>
            </w:pPr>
          </w:p>
        </w:tc>
        <w:tc>
          <w:tcPr>
            <w:tcW w:w="2314" w:type="dxa"/>
            <w:vMerge w:val="continue"/>
            <w:tcBorders>
              <w:top w:val="nil"/>
              <w:bottom w:val="nil"/>
            </w:tcBorders>
            <w:vAlign w:val="top"/>
          </w:tcPr>
          <w:p w14:paraId="7D0C96C4">
            <w:pPr>
              <w:rPr>
                <w:rFonts w:ascii="Arial"/>
                <w:sz w:val="21"/>
              </w:rPr>
            </w:pPr>
          </w:p>
        </w:tc>
        <w:tc>
          <w:tcPr>
            <w:tcW w:w="229" w:type="dxa"/>
            <w:vAlign w:val="top"/>
          </w:tcPr>
          <w:p w14:paraId="36D41E11">
            <w:pPr>
              <w:rPr>
                <w:rFonts w:ascii="Arial"/>
                <w:sz w:val="21"/>
              </w:rPr>
            </w:pPr>
          </w:p>
        </w:tc>
        <w:tc>
          <w:tcPr>
            <w:tcW w:w="230" w:type="dxa"/>
            <w:vAlign w:val="top"/>
          </w:tcPr>
          <w:p w14:paraId="2D219121">
            <w:pPr>
              <w:rPr>
                <w:rFonts w:ascii="Arial"/>
                <w:sz w:val="21"/>
              </w:rPr>
            </w:pPr>
          </w:p>
        </w:tc>
        <w:tc>
          <w:tcPr>
            <w:tcW w:w="220" w:type="dxa"/>
            <w:vAlign w:val="top"/>
          </w:tcPr>
          <w:p w14:paraId="498DF9E2">
            <w:pPr>
              <w:rPr>
                <w:rFonts w:ascii="Arial"/>
                <w:sz w:val="21"/>
              </w:rPr>
            </w:pPr>
          </w:p>
        </w:tc>
        <w:tc>
          <w:tcPr>
            <w:tcW w:w="234" w:type="dxa"/>
            <w:vAlign w:val="top"/>
          </w:tcPr>
          <w:p w14:paraId="0D080FFD">
            <w:pPr>
              <w:pStyle w:val="6"/>
              <w:spacing w:before="104" w:line="238" w:lineRule="auto"/>
              <w:ind w:left="49"/>
              <w:rPr>
                <w:sz w:val="12"/>
                <w:szCs w:val="12"/>
              </w:rPr>
            </w:pPr>
            <w:r>
              <w:rPr>
                <w:sz w:val="12"/>
                <w:szCs w:val="12"/>
              </w:rPr>
              <w:t>√</w:t>
            </w:r>
          </w:p>
        </w:tc>
      </w:tr>
      <w:tr w14:paraId="48FB18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4" w:hRule="atLeast"/>
        </w:trPr>
        <w:tc>
          <w:tcPr>
            <w:tcW w:w="903" w:type="dxa"/>
            <w:vMerge w:val="continue"/>
            <w:tcBorders>
              <w:top w:val="nil"/>
            </w:tcBorders>
            <w:vAlign w:val="top"/>
          </w:tcPr>
          <w:p w14:paraId="0A2A1B60">
            <w:pPr>
              <w:rPr>
                <w:rFonts w:ascii="Arial"/>
                <w:sz w:val="21"/>
              </w:rPr>
            </w:pPr>
          </w:p>
        </w:tc>
        <w:tc>
          <w:tcPr>
            <w:tcW w:w="2314" w:type="dxa"/>
            <w:vMerge w:val="continue"/>
            <w:tcBorders>
              <w:top w:val="nil"/>
            </w:tcBorders>
            <w:vAlign w:val="top"/>
          </w:tcPr>
          <w:p w14:paraId="42DF7EC8">
            <w:pPr>
              <w:rPr>
                <w:rFonts w:ascii="Arial"/>
                <w:sz w:val="21"/>
              </w:rPr>
            </w:pPr>
          </w:p>
        </w:tc>
        <w:tc>
          <w:tcPr>
            <w:tcW w:w="229" w:type="dxa"/>
            <w:vAlign w:val="top"/>
          </w:tcPr>
          <w:p w14:paraId="09CDF647">
            <w:pPr>
              <w:rPr>
                <w:rFonts w:ascii="Arial"/>
                <w:sz w:val="21"/>
              </w:rPr>
            </w:pPr>
          </w:p>
        </w:tc>
        <w:tc>
          <w:tcPr>
            <w:tcW w:w="230" w:type="dxa"/>
            <w:vAlign w:val="top"/>
          </w:tcPr>
          <w:p w14:paraId="07493ABC">
            <w:pPr>
              <w:pStyle w:val="6"/>
              <w:spacing w:before="95" w:line="238" w:lineRule="auto"/>
              <w:ind w:left="48"/>
              <w:rPr>
                <w:sz w:val="12"/>
                <w:szCs w:val="12"/>
              </w:rPr>
            </w:pPr>
            <w:r>
              <w:rPr>
                <w:sz w:val="12"/>
                <w:szCs w:val="12"/>
              </w:rPr>
              <w:t>√</w:t>
            </w:r>
          </w:p>
        </w:tc>
        <w:tc>
          <w:tcPr>
            <w:tcW w:w="220" w:type="dxa"/>
            <w:vAlign w:val="top"/>
          </w:tcPr>
          <w:p w14:paraId="75680BDD">
            <w:pPr>
              <w:rPr>
                <w:rFonts w:ascii="Arial"/>
                <w:sz w:val="21"/>
              </w:rPr>
            </w:pPr>
          </w:p>
        </w:tc>
        <w:tc>
          <w:tcPr>
            <w:tcW w:w="234" w:type="dxa"/>
            <w:vAlign w:val="top"/>
          </w:tcPr>
          <w:p w14:paraId="62AC8CFF">
            <w:pPr>
              <w:rPr>
                <w:rFonts w:ascii="Arial"/>
                <w:sz w:val="21"/>
              </w:rPr>
            </w:pPr>
          </w:p>
        </w:tc>
      </w:tr>
    </w:tbl>
    <w:p w14:paraId="476BDF57">
      <w:pPr>
        <w:spacing w:before="128" w:line="221" w:lineRule="auto"/>
        <w:ind w:left="1267"/>
        <w:rPr>
          <w:rFonts w:ascii="黑体" w:hAnsi="黑体" w:eastAsia="黑体" w:cs="黑体"/>
          <w:sz w:val="20"/>
          <w:szCs w:val="20"/>
        </w:rPr>
      </w:pPr>
      <w:r>
        <w:rPr>
          <w:rFonts w:ascii="黑体" w:hAnsi="黑体" w:eastAsia="黑体" w:cs="黑体"/>
          <w:b/>
          <w:bCs/>
          <w:spacing w:val="-10"/>
          <w:sz w:val="20"/>
          <w:szCs w:val="20"/>
        </w:rPr>
        <w:t>第二章</w:t>
      </w:r>
      <w:r>
        <w:rPr>
          <w:rFonts w:ascii="黑体" w:hAnsi="黑体" w:eastAsia="黑体" w:cs="黑体"/>
          <w:spacing w:val="19"/>
          <w:sz w:val="20"/>
          <w:szCs w:val="20"/>
        </w:rPr>
        <w:t xml:space="preserve">  </w:t>
      </w:r>
      <w:r>
        <w:rPr>
          <w:rFonts w:ascii="黑体" w:hAnsi="黑体" w:eastAsia="黑体" w:cs="黑体"/>
          <w:b/>
          <w:bCs/>
          <w:spacing w:val="-10"/>
          <w:sz w:val="20"/>
          <w:szCs w:val="20"/>
        </w:rPr>
        <w:t>吊顶工程</w:t>
      </w:r>
    </w:p>
    <w:p w14:paraId="25B0D501">
      <w:pPr>
        <w:spacing w:line="72" w:lineRule="exact"/>
      </w:pPr>
    </w:p>
    <w:tbl>
      <w:tblPr>
        <w:tblStyle w:val="5"/>
        <w:tblW w:w="413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03"/>
        <w:gridCol w:w="2314"/>
        <w:gridCol w:w="219"/>
        <w:gridCol w:w="230"/>
        <w:gridCol w:w="220"/>
        <w:gridCol w:w="244"/>
      </w:tblGrid>
      <w:tr w14:paraId="791E4C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3" w:hRule="atLeast"/>
        </w:trPr>
        <w:tc>
          <w:tcPr>
            <w:tcW w:w="903" w:type="dxa"/>
            <w:vMerge w:val="restart"/>
            <w:tcBorders>
              <w:bottom w:val="nil"/>
            </w:tcBorders>
            <w:vAlign w:val="top"/>
          </w:tcPr>
          <w:p w14:paraId="6D1D1C5A">
            <w:pPr>
              <w:pStyle w:val="6"/>
              <w:spacing w:before="130" w:line="219" w:lineRule="auto"/>
              <w:ind w:left="107" w:right="112" w:firstLine="80"/>
            </w:pPr>
            <w:r>
              <w:rPr>
                <w:b/>
                <w:bCs/>
                <w:spacing w:val="-6"/>
              </w:rPr>
              <w:t>知识与</w:t>
            </w:r>
            <w:r>
              <w:t xml:space="preserve">  </w:t>
            </w:r>
            <w:r>
              <w:rPr>
                <w:b/>
                <w:bCs/>
                <w:spacing w:val="-4"/>
              </w:rPr>
              <w:t>技能要点</w:t>
            </w:r>
          </w:p>
        </w:tc>
        <w:tc>
          <w:tcPr>
            <w:tcW w:w="2314" w:type="dxa"/>
            <w:vMerge w:val="restart"/>
            <w:tcBorders>
              <w:bottom w:val="nil"/>
            </w:tcBorders>
            <w:vAlign w:val="top"/>
          </w:tcPr>
          <w:p w14:paraId="46642572">
            <w:pPr>
              <w:pStyle w:val="6"/>
              <w:spacing w:before="219" w:line="219" w:lineRule="auto"/>
              <w:ind w:left="834"/>
            </w:pPr>
            <w:r>
              <w:rPr>
                <w:b/>
                <w:bCs/>
                <w:spacing w:val="5"/>
              </w:rPr>
              <w:t>考试条目</w:t>
            </w:r>
          </w:p>
        </w:tc>
        <w:tc>
          <w:tcPr>
            <w:tcW w:w="913" w:type="dxa"/>
            <w:gridSpan w:val="4"/>
            <w:vAlign w:val="top"/>
          </w:tcPr>
          <w:p w14:paraId="5C9C9ED7">
            <w:pPr>
              <w:pStyle w:val="6"/>
              <w:spacing w:before="79" w:line="219" w:lineRule="auto"/>
              <w:ind w:left="140"/>
            </w:pPr>
            <w:r>
              <w:rPr>
                <w:b/>
                <w:bCs/>
                <w:spacing w:val="-4"/>
              </w:rPr>
              <w:t>考试水平</w:t>
            </w:r>
          </w:p>
        </w:tc>
      </w:tr>
      <w:tr w14:paraId="194C5A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903" w:type="dxa"/>
            <w:vMerge w:val="continue"/>
            <w:tcBorders>
              <w:top w:val="nil"/>
            </w:tcBorders>
            <w:vAlign w:val="top"/>
          </w:tcPr>
          <w:p w14:paraId="57DAC4F9">
            <w:pPr>
              <w:rPr>
                <w:rFonts w:ascii="Arial"/>
                <w:sz w:val="21"/>
              </w:rPr>
            </w:pPr>
          </w:p>
        </w:tc>
        <w:tc>
          <w:tcPr>
            <w:tcW w:w="2314" w:type="dxa"/>
            <w:vMerge w:val="continue"/>
            <w:tcBorders>
              <w:top w:val="nil"/>
            </w:tcBorders>
            <w:vAlign w:val="top"/>
          </w:tcPr>
          <w:p w14:paraId="253A4AC9">
            <w:pPr>
              <w:rPr>
                <w:rFonts w:ascii="Arial"/>
                <w:sz w:val="21"/>
              </w:rPr>
            </w:pPr>
          </w:p>
        </w:tc>
        <w:tc>
          <w:tcPr>
            <w:tcW w:w="219" w:type="dxa"/>
            <w:vAlign w:val="top"/>
          </w:tcPr>
          <w:p w14:paraId="65430CD6">
            <w:pPr>
              <w:pStyle w:val="6"/>
              <w:spacing w:before="91" w:line="182" w:lineRule="auto"/>
              <w:ind w:left="60"/>
            </w:pPr>
            <w:r>
              <w:rPr>
                <w:b/>
                <w:bCs/>
                <w:spacing w:val="-2"/>
              </w:rPr>
              <w:t>A</w:t>
            </w:r>
          </w:p>
        </w:tc>
        <w:tc>
          <w:tcPr>
            <w:tcW w:w="230" w:type="dxa"/>
            <w:vAlign w:val="top"/>
          </w:tcPr>
          <w:p w14:paraId="0DB0C546">
            <w:pPr>
              <w:pStyle w:val="6"/>
              <w:spacing w:before="94" w:line="179" w:lineRule="auto"/>
              <w:ind w:left="71"/>
            </w:pPr>
            <w:r>
              <w:rPr>
                <w:b/>
                <w:bCs/>
                <w:spacing w:val="-2"/>
              </w:rPr>
              <w:t>B</w:t>
            </w:r>
          </w:p>
        </w:tc>
        <w:tc>
          <w:tcPr>
            <w:tcW w:w="220" w:type="dxa"/>
            <w:vAlign w:val="top"/>
          </w:tcPr>
          <w:p w14:paraId="4E535AA0">
            <w:pPr>
              <w:pStyle w:val="6"/>
              <w:spacing w:before="91" w:line="182" w:lineRule="auto"/>
              <w:ind w:left="21"/>
            </w:pPr>
            <w:r>
              <w:rPr>
                <w:b/>
                <w:bCs/>
                <w:spacing w:val="-2"/>
              </w:rPr>
              <w:t>C</w:t>
            </w:r>
          </w:p>
        </w:tc>
        <w:tc>
          <w:tcPr>
            <w:tcW w:w="244" w:type="dxa"/>
            <w:vAlign w:val="top"/>
          </w:tcPr>
          <w:p w14:paraId="3B4126B2">
            <w:pPr>
              <w:pStyle w:val="6"/>
              <w:spacing w:before="94" w:line="179" w:lineRule="auto"/>
              <w:ind w:left="71"/>
            </w:pPr>
            <w:r>
              <w:rPr>
                <w:b/>
                <w:bCs/>
                <w:spacing w:val="-2"/>
              </w:rPr>
              <w:t>D</w:t>
            </w:r>
          </w:p>
        </w:tc>
      </w:tr>
      <w:tr w14:paraId="7BF601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8" w:hRule="atLeast"/>
        </w:trPr>
        <w:tc>
          <w:tcPr>
            <w:tcW w:w="903" w:type="dxa"/>
            <w:vMerge w:val="restart"/>
            <w:tcBorders>
              <w:bottom w:val="nil"/>
            </w:tcBorders>
            <w:vAlign w:val="top"/>
          </w:tcPr>
          <w:p w14:paraId="1F398AD3">
            <w:pPr>
              <w:pStyle w:val="6"/>
              <w:spacing w:before="219" w:line="239" w:lineRule="auto"/>
              <w:ind w:left="105" w:right="98"/>
              <w:jc w:val="both"/>
            </w:pPr>
            <w:r>
              <w:rPr>
                <w:spacing w:val="-2"/>
              </w:rPr>
              <w:t>轻钢龙骨</w:t>
            </w:r>
            <w:r>
              <w:t xml:space="preserve"> </w:t>
            </w:r>
            <w:r>
              <w:rPr>
                <w:spacing w:val="-2"/>
              </w:rPr>
              <w:t>硅酸钙板</w:t>
            </w:r>
            <w:r>
              <w:rPr>
                <w:spacing w:val="1"/>
              </w:rPr>
              <w:t xml:space="preserve"> </w:t>
            </w:r>
            <w:r>
              <w:rPr>
                <w:spacing w:val="2"/>
              </w:rPr>
              <w:t>吊顶施工</w:t>
            </w:r>
            <w:r>
              <w:t xml:space="preserve"> </w:t>
            </w:r>
            <w:r>
              <w:rPr>
                <w:spacing w:val="24"/>
              </w:rPr>
              <w:t>要求及</w:t>
            </w:r>
          </w:p>
          <w:p w14:paraId="67841E86">
            <w:pPr>
              <w:pStyle w:val="6"/>
              <w:spacing w:line="219" w:lineRule="auto"/>
              <w:ind w:left="275"/>
            </w:pPr>
            <w:r>
              <w:rPr>
                <w:spacing w:val="-3"/>
              </w:rPr>
              <w:t>步骤</w:t>
            </w:r>
          </w:p>
        </w:tc>
        <w:tc>
          <w:tcPr>
            <w:tcW w:w="2314" w:type="dxa"/>
            <w:vMerge w:val="restart"/>
            <w:tcBorders>
              <w:bottom w:val="nil"/>
            </w:tcBorders>
            <w:vAlign w:val="top"/>
          </w:tcPr>
          <w:p w14:paraId="7DE5D8A1">
            <w:pPr>
              <w:pStyle w:val="6"/>
              <w:spacing w:before="250" w:line="219" w:lineRule="auto"/>
              <w:ind w:left="12"/>
            </w:pPr>
            <w:r>
              <w:t>1.施工必备条件</w:t>
            </w:r>
          </w:p>
          <w:p w14:paraId="25A48314">
            <w:pPr>
              <w:pStyle w:val="6"/>
              <w:spacing w:before="7" w:line="219" w:lineRule="auto"/>
              <w:ind w:left="12"/>
            </w:pPr>
            <w:r>
              <w:rPr>
                <w:spacing w:val="-1"/>
              </w:rPr>
              <w:t>2.施工材料及其要求</w:t>
            </w:r>
          </w:p>
          <w:p w14:paraId="37909905">
            <w:pPr>
              <w:pStyle w:val="6"/>
              <w:spacing w:before="18" w:line="234" w:lineRule="auto"/>
              <w:ind w:left="12" w:right="66"/>
            </w:pPr>
            <w:r>
              <w:rPr>
                <w:spacing w:val="1"/>
              </w:rPr>
              <w:t>3.施工工艺流程及其操作要点</w:t>
            </w:r>
            <w:r>
              <w:t xml:space="preserve"> </w:t>
            </w:r>
            <w:r>
              <w:rPr>
                <w:spacing w:val="1"/>
              </w:rPr>
              <w:t>4.质量验收标准及通病防治</w:t>
            </w:r>
          </w:p>
          <w:p w14:paraId="683F25DC">
            <w:pPr>
              <w:pStyle w:val="6"/>
              <w:spacing w:line="220" w:lineRule="auto"/>
              <w:ind w:left="12"/>
            </w:pPr>
            <w:r>
              <w:rPr>
                <w:spacing w:val="-1"/>
              </w:rPr>
              <w:t>5.成品保护及安全环保措施</w:t>
            </w:r>
          </w:p>
        </w:tc>
        <w:tc>
          <w:tcPr>
            <w:tcW w:w="219" w:type="dxa"/>
            <w:vAlign w:val="top"/>
          </w:tcPr>
          <w:p w14:paraId="2AA13665">
            <w:pPr>
              <w:rPr>
                <w:rFonts w:ascii="Arial"/>
                <w:sz w:val="21"/>
              </w:rPr>
            </w:pPr>
          </w:p>
        </w:tc>
        <w:tc>
          <w:tcPr>
            <w:tcW w:w="230" w:type="dxa"/>
            <w:vAlign w:val="top"/>
          </w:tcPr>
          <w:p w14:paraId="3DF9C8E0">
            <w:pPr>
              <w:pStyle w:val="6"/>
              <w:spacing w:before="76" w:line="208" w:lineRule="auto"/>
              <w:ind w:left="29"/>
            </w:pPr>
            <w:r>
              <w:t>√</w:t>
            </w:r>
          </w:p>
        </w:tc>
        <w:tc>
          <w:tcPr>
            <w:tcW w:w="220" w:type="dxa"/>
            <w:vAlign w:val="top"/>
          </w:tcPr>
          <w:p w14:paraId="491834E1">
            <w:pPr>
              <w:rPr>
                <w:rFonts w:ascii="Arial"/>
                <w:sz w:val="21"/>
              </w:rPr>
            </w:pPr>
          </w:p>
        </w:tc>
        <w:tc>
          <w:tcPr>
            <w:tcW w:w="244" w:type="dxa"/>
            <w:vAlign w:val="top"/>
          </w:tcPr>
          <w:p w14:paraId="6AA648F4">
            <w:pPr>
              <w:rPr>
                <w:rFonts w:ascii="Arial"/>
                <w:sz w:val="21"/>
              </w:rPr>
            </w:pPr>
          </w:p>
        </w:tc>
      </w:tr>
      <w:tr w14:paraId="4BDE56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903" w:type="dxa"/>
            <w:vMerge w:val="continue"/>
            <w:tcBorders>
              <w:top w:val="nil"/>
              <w:bottom w:val="nil"/>
            </w:tcBorders>
            <w:vAlign w:val="top"/>
          </w:tcPr>
          <w:p w14:paraId="183A2F53">
            <w:pPr>
              <w:rPr>
                <w:rFonts w:ascii="Arial"/>
                <w:sz w:val="21"/>
              </w:rPr>
            </w:pPr>
          </w:p>
        </w:tc>
        <w:tc>
          <w:tcPr>
            <w:tcW w:w="2314" w:type="dxa"/>
            <w:vMerge w:val="continue"/>
            <w:tcBorders>
              <w:top w:val="nil"/>
              <w:bottom w:val="nil"/>
            </w:tcBorders>
            <w:vAlign w:val="top"/>
          </w:tcPr>
          <w:p w14:paraId="5038869C">
            <w:pPr>
              <w:rPr>
                <w:rFonts w:ascii="Arial"/>
                <w:sz w:val="21"/>
              </w:rPr>
            </w:pPr>
          </w:p>
        </w:tc>
        <w:tc>
          <w:tcPr>
            <w:tcW w:w="219" w:type="dxa"/>
            <w:vAlign w:val="top"/>
          </w:tcPr>
          <w:p w14:paraId="400AD3C9">
            <w:pPr>
              <w:pStyle w:val="6"/>
              <w:spacing w:before="69" w:line="206" w:lineRule="auto"/>
              <w:ind w:left="18"/>
            </w:pPr>
            <w:r>
              <w:t>√</w:t>
            </w:r>
          </w:p>
        </w:tc>
        <w:tc>
          <w:tcPr>
            <w:tcW w:w="230" w:type="dxa"/>
            <w:vAlign w:val="top"/>
          </w:tcPr>
          <w:p w14:paraId="3E21E5AF">
            <w:pPr>
              <w:rPr>
                <w:rFonts w:ascii="Arial"/>
                <w:sz w:val="21"/>
              </w:rPr>
            </w:pPr>
          </w:p>
        </w:tc>
        <w:tc>
          <w:tcPr>
            <w:tcW w:w="220" w:type="dxa"/>
            <w:vAlign w:val="top"/>
          </w:tcPr>
          <w:p w14:paraId="48A53F1A">
            <w:pPr>
              <w:rPr>
                <w:rFonts w:ascii="Arial"/>
                <w:sz w:val="21"/>
              </w:rPr>
            </w:pPr>
          </w:p>
        </w:tc>
        <w:tc>
          <w:tcPr>
            <w:tcW w:w="244" w:type="dxa"/>
            <w:vAlign w:val="top"/>
          </w:tcPr>
          <w:p w14:paraId="756BF19F">
            <w:pPr>
              <w:rPr>
                <w:rFonts w:ascii="Arial"/>
                <w:sz w:val="21"/>
              </w:rPr>
            </w:pPr>
          </w:p>
        </w:tc>
      </w:tr>
      <w:tr w14:paraId="26F578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8" w:hRule="atLeast"/>
        </w:trPr>
        <w:tc>
          <w:tcPr>
            <w:tcW w:w="903" w:type="dxa"/>
            <w:vMerge w:val="continue"/>
            <w:tcBorders>
              <w:top w:val="nil"/>
              <w:bottom w:val="nil"/>
            </w:tcBorders>
            <w:vAlign w:val="top"/>
          </w:tcPr>
          <w:p w14:paraId="3F352112">
            <w:pPr>
              <w:rPr>
                <w:rFonts w:ascii="Arial"/>
                <w:sz w:val="21"/>
              </w:rPr>
            </w:pPr>
          </w:p>
        </w:tc>
        <w:tc>
          <w:tcPr>
            <w:tcW w:w="2314" w:type="dxa"/>
            <w:vMerge w:val="continue"/>
            <w:tcBorders>
              <w:top w:val="nil"/>
              <w:bottom w:val="nil"/>
            </w:tcBorders>
            <w:vAlign w:val="top"/>
          </w:tcPr>
          <w:p w14:paraId="41E5BB5E">
            <w:pPr>
              <w:rPr>
                <w:rFonts w:ascii="Arial"/>
                <w:sz w:val="21"/>
              </w:rPr>
            </w:pPr>
          </w:p>
        </w:tc>
        <w:tc>
          <w:tcPr>
            <w:tcW w:w="219" w:type="dxa"/>
            <w:vAlign w:val="top"/>
          </w:tcPr>
          <w:p w14:paraId="0F41DAC5">
            <w:pPr>
              <w:rPr>
                <w:rFonts w:ascii="Arial"/>
                <w:sz w:val="21"/>
              </w:rPr>
            </w:pPr>
          </w:p>
        </w:tc>
        <w:tc>
          <w:tcPr>
            <w:tcW w:w="230" w:type="dxa"/>
            <w:vAlign w:val="top"/>
          </w:tcPr>
          <w:p w14:paraId="522D0B9C">
            <w:pPr>
              <w:rPr>
                <w:rFonts w:ascii="Arial"/>
                <w:sz w:val="21"/>
              </w:rPr>
            </w:pPr>
          </w:p>
        </w:tc>
        <w:tc>
          <w:tcPr>
            <w:tcW w:w="220" w:type="dxa"/>
            <w:vAlign w:val="top"/>
          </w:tcPr>
          <w:p w14:paraId="5C5FBC58">
            <w:pPr>
              <w:pStyle w:val="6"/>
              <w:spacing w:before="70" w:line="204" w:lineRule="auto"/>
              <w:ind w:left="19"/>
            </w:pPr>
            <w:r>
              <w:t>√</w:t>
            </w:r>
          </w:p>
        </w:tc>
        <w:tc>
          <w:tcPr>
            <w:tcW w:w="244" w:type="dxa"/>
            <w:vAlign w:val="top"/>
          </w:tcPr>
          <w:p w14:paraId="182F2DCF">
            <w:pPr>
              <w:rPr>
                <w:rFonts w:ascii="Arial"/>
                <w:sz w:val="21"/>
              </w:rPr>
            </w:pPr>
          </w:p>
        </w:tc>
      </w:tr>
      <w:tr w14:paraId="42996F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903" w:type="dxa"/>
            <w:vMerge w:val="continue"/>
            <w:tcBorders>
              <w:top w:val="nil"/>
              <w:bottom w:val="nil"/>
            </w:tcBorders>
            <w:vAlign w:val="top"/>
          </w:tcPr>
          <w:p w14:paraId="52D24DD2">
            <w:pPr>
              <w:rPr>
                <w:rFonts w:ascii="Arial"/>
                <w:sz w:val="21"/>
              </w:rPr>
            </w:pPr>
          </w:p>
        </w:tc>
        <w:tc>
          <w:tcPr>
            <w:tcW w:w="2314" w:type="dxa"/>
            <w:vMerge w:val="continue"/>
            <w:tcBorders>
              <w:top w:val="nil"/>
              <w:bottom w:val="nil"/>
            </w:tcBorders>
            <w:vAlign w:val="top"/>
          </w:tcPr>
          <w:p w14:paraId="7EBA82D3">
            <w:pPr>
              <w:rPr>
                <w:rFonts w:ascii="Arial"/>
                <w:sz w:val="21"/>
              </w:rPr>
            </w:pPr>
          </w:p>
        </w:tc>
        <w:tc>
          <w:tcPr>
            <w:tcW w:w="219" w:type="dxa"/>
            <w:vAlign w:val="top"/>
          </w:tcPr>
          <w:p w14:paraId="45430DB3">
            <w:pPr>
              <w:rPr>
                <w:rFonts w:ascii="Arial"/>
                <w:sz w:val="21"/>
              </w:rPr>
            </w:pPr>
          </w:p>
        </w:tc>
        <w:tc>
          <w:tcPr>
            <w:tcW w:w="230" w:type="dxa"/>
            <w:vAlign w:val="top"/>
          </w:tcPr>
          <w:p w14:paraId="1B945C84">
            <w:pPr>
              <w:rPr>
                <w:rFonts w:ascii="Arial"/>
                <w:sz w:val="21"/>
              </w:rPr>
            </w:pPr>
          </w:p>
        </w:tc>
        <w:tc>
          <w:tcPr>
            <w:tcW w:w="220" w:type="dxa"/>
            <w:vAlign w:val="top"/>
          </w:tcPr>
          <w:p w14:paraId="2805181D">
            <w:pPr>
              <w:rPr>
                <w:rFonts w:ascii="Arial"/>
                <w:sz w:val="21"/>
              </w:rPr>
            </w:pPr>
          </w:p>
        </w:tc>
        <w:tc>
          <w:tcPr>
            <w:tcW w:w="244" w:type="dxa"/>
            <w:vAlign w:val="top"/>
          </w:tcPr>
          <w:p w14:paraId="3F828CB3">
            <w:pPr>
              <w:pStyle w:val="6"/>
              <w:spacing w:before="72" w:line="203" w:lineRule="auto"/>
              <w:ind w:left="29"/>
            </w:pPr>
            <w:r>
              <w:t>√</w:t>
            </w:r>
          </w:p>
        </w:tc>
      </w:tr>
      <w:tr w14:paraId="56B640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3" w:hRule="atLeast"/>
        </w:trPr>
        <w:tc>
          <w:tcPr>
            <w:tcW w:w="903" w:type="dxa"/>
            <w:vMerge w:val="continue"/>
            <w:tcBorders>
              <w:top w:val="nil"/>
            </w:tcBorders>
            <w:vAlign w:val="top"/>
          </w:tcPr>
          <w:p w14:paraId="454AAC69">
            <w:pPr>
              <w:rPr>
                <w:rFonts w:ascii="Arial"/>
                <w:sz w:val="21"/>
              </w:rPr>
            </w:pPr>
          </w:p>
        </w:tc>
        <w:tc>
          <w:tcPr>
            <w:tcW w:w="2314" w:type="dxa"/>
            <w:vMerge w:val="continue"/>
            <w:tcBorders>
              <w:top w:val="nil"/>
            </w:tcBorders>
            <w:vAlign w:val="top"/>
          </w:tcPr>
          <w:p w14:paraId="719876FD">
            <w:pPr>
              <w:rPr>
                <w:rFonts w:ascii="Arial"/>
                <w:sz w:val="21"/>
              </w:rPr>
            </w:pPr>
          </w:p>
        </w:tc>
        <w:tc>
          <w:tcPr>
            <w:tcW w:w="219" w:type="dxa"/>
            <w:vAlign w:val="top"/>
          </w:tcPr>
          <w:p w14:paraId="131FB9BF">
            <w:pPr>
              <w:rPr>
                <w:rFonts w:ascii="Arial"/>
                <w:sz w:val="21"/>
              </w:rPr>
            </w:pPr>
          </w:p>
        </w:tc>
        <w:tc>
          <w:tcPr>
            <w:tcW w:w="230" w:type="dxa"/>
            <w:vAlign w:val="top"/>
          </w:tcPr>
          <w:p w14:paraId="5F6A974C">
            <w:pPr>
              <w:pStyle w:val="6"/>
              <w:spacing w:before="112" w:line="238" w:lineRule="auto"/>
              <w:ind w:left="29"/>
            </w:pPr>
            <w:r>
              <w:t>√</w:t>
            </w:r>
          </w:p>
        </w:tc>
        <w:tc>
          <w:tcPr>
            <w:tcW w:w="220" w:type="dxa"/>
            <w:vAlign w:val="top"/>
          </w:tcPr>
          <w:p w14:paraId="43EBB268">
            <w:pPr>
              <w:rPr>
                <w:rFonts w:ascii="Arial"/>
                <w:sz w:val="21"/>
              </w:rPr>
            </w:pPr>
          </w:p>
        </w:tc>
        <w:tc>
          <w:tcPr>
            <w:tcW w:w="244" w:type="dxa"/>
            <w:vAlign w:val="top"/>
          </w:tcPr>
          <w:p w14:paraId="5CA543B3">
            <w:pPr>
              <w:rPr>
                <w:rFonts w:ascii="Arial"/>
                <w:sz w:val="21"/>
              </w:rPr>
            </w:pPr>
          </w:p>
        </w:tc>
      </w:tr>
    </w:tbl>
    <w:p w14:paraId="45621367">
      <w:pPr>
        <w:spacing w:before="129" w:line="222" w:lineRule="auto"/>
        <w:ind w:left="1167"/>
        <w:rPr>
          <w:rFonts w:ascii="黑体" w:hAnsi="黑体" w:eastAsia="黑体" w:cs="黑体"/>
          <w:sz w:val="20"/>
          <w:szCs w:val="20"/>
        </w:rPr>
      </w:pPr>
      <w:r>
        <w:rPr>
          <w:rFonts w:ascii="黑体" w:hAnsi="黑体" w:eastAsia="黑体" w:cs="黑体"/>
          <w:b/>
          <w:bCs/>
          <w:spacing w:val="-5"/>
          <w:sz w:val="20"/>
          <w:szCs w:val="20"/>
        </w:rPr>
        <w:t>第三章</w:t>
      </w:r>
      <w:r>
        <w:rPr>
          <w:rFonts w:ascii="黑体" w:hAnsi="黑体" w:eastAsia="黑体" w:cs="黑体"/>
          <w:spacing w:val="-5"/>
          <w:sz w:val="20"/>
          <w:szCs w:val="20"/>
        </w:rPr>
        <w:t xml:space="preserve">  </w:t>
      </w:r>
      <w:r>
        <w:rPr>
          <w:rFonts w:ascii="黑体" w:hAnsi="黑体" w:eastAsia="黑体" w:cs="黑体"/>
          <w:b/>
          <w:bCs/>
          <w:spacing w:val="-5"/>
          <w:sz w:val="20"/>
          <w:szCs w:val="20"/>
        </w:rPr>
        <w:t>墙饰面工程</w:t>
      </w:r>
    </w:p>
    <w:p w14:paraId="06937408">
      <w:pPr>
        <w:spacing w:line="71" w:lineRule="exact"/>
      </w:pPr>
    </w:p>
    <w:tbl>
      <w:tblPr>
        <w:tblStyle w:val="5"/>
        <w:tblW w:w="413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03"/>
        <w:gridCol w:w="2314"/>
        <w:gridCol w:w="219"/>
        <w:gridCol w:w="230"/>
        <w:gridCol w:w="220"/>
        <w:gridCol w:w="244"/>
      </w:tblGrid>
      <w:tr w14:paraId="2E9713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9" w:hRule="atLeast"/>
        </w:trPr>
        <w:tc>
          <w:tcPr>
            <w:tcW w:w="903" w:type="dxa"/>
            <w:vMerge w:val="restart"/>
            <w:tcBorders>
              <w:top w:val="single" w:color="000000" w:sz="2" w:space="0"/>
              <w:bottom w:val="nil"/>
            </w:tcBorders>
            <w:vAlign w:val="top"/>
          </w:tcPr>
          <w:p w14:paraId="76D784AD">
            <w:pPr>
              <w:pStyle w:val="6"/>
              <w:spacing w:before="87" w:line="236" w:lineRule="auto"/>
              <w:ind w:left="107" w:right="112" w:firstLine="80"/>
            </w:pPr>
            <w:r>
              <w:rPr>
                <w:b/>
                <w:bCs/>
                <w:spacing w:val="-6"/>
              </w:rPr>
              <w:t>知识与</w:t>
            </w:r>
            <w:r>
              <w:t xml:space="preserve">  </w:t>
            </w:r>
            <w:r>
              <w:rPr>
                <w:b/>
                <w:bCs/>
                <w:spacing w:val="-4"/>
              </w:rPr>
              <w:t>技能要点</w:t>
            </w:r>
          </w:p>
        </w:tc>
        <w:tc>
          <w:tcPr>
            <w:tcW w:w="2314" w:type="dxa"/>
            <w:vMerge w:val="restart"/>
            <w:tcBorders>
              <w:top w:val="single" w:color="000000" w:sz="2" w:space="0"/>
              <w:bottom w:val="nil"/>
            </w:tcBorders>
            <w:vAlign w:val="top"/>
          </w:tcPr>
          <w:p w14:paraId="3FF6AFF0">
            <w:pPr>
              <w:pStyle w:val="6"/>
              <w:spacing w:before="204" w:line="219" w:lineRule="auto"/>
              <w:ind w:left="824"/>
            </w:pPr>
            <w:r>
              <w:rPr>
                <w:b/>
                <w:bCs/>
                <w:spacing w:val="5"/>
              </w:rPr>
              <w:t>考试条目</w:t>
            </w:r>
          </w:p>
        </w:tc>
        <w:tc>
          <w:tcPr>
            <w:tcW w:w="913" w:type="dxa"/>
            <w:gridSpan w:val="4"/>
            <w:tcBorders>
              <w:top w:val="single" w:color="000000" w:sz="2" w:space="0"/>
              <w:bottom w:val="single" w:color="000000" w:sz="2" w:space="0"/>
            </w:tcBorders>
            <w:vAlign w:val="top"/>
          </w:tcPr>
          <w:p w14:paraId="3D239CA6">
            <w:pPr>
              <w:pStyle w:val="6"/>
              <w:spacing w:before="64" w:line="219" w:lineRule="auto"/>
              <w:ind w:left="140"/>
            </w:pPr>
            <w:r>
              <w:rPr>
                <w:b/>
                <w:bCs/>
                <w:spacing w:val="-4"/>
              </w:rPr>
              <w:t>考试水平</w:t>
            </w:r>
          </w:p>
        </w:tc>
      </w:tr>
      <w:tr w14:paraId="0F0E35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4" w:hRule="atLeast"/>
        </w:trPr>
        <w:tc>
          <w:tcPr>
            <w:tcW w:w="903" w:type="dxa"/>
            <w:vMerge w:val="continue"/>
            <w:tcBorders>
              <w:top w:val="nil"/>
              <w:bottom w:val="single" w:color="000000" w:sz="2" w:space="0"/>
            </w:tcBorders>
            <w:vAlign w:val="top"/>
          </w:tcPr>
          <w:p w14:paraId="4443C5A2">
            <w:pPr>
              <w:rPr>
                <w:rFonts w:ascii="Arial"/>
                <w:sz w:val="21"/>
              </w:rPr>
            </w:pPr>
          </w:p>
        </w:tc>
        <w:tc>
          <w:tcPr>
            <w:tcW w:w="2314" w:type="dxa"/>
            <w:vMerge w:val="continue"/>
            <w:tcBorders>
              <w:top w:val="nil"/>
              <w:bottom w:val="single" w:color="000000" w:sz="2" w:space="0"/>
            </w:tcBorders>
            <w:vAlign w:val="top"/>
          </w:tcPr>
          <w:p w14:paraId="5F64BE68">
            <w:pPr>
              <w:rPr>
                <w:rFonts w:ascii="Arial"/>
                <w:sz w:val="21"/>
              </w:rPr>
            </w:pPr>
          </w:p>
        </w:tc>
        <w:tc>
          <w:tcPr>
            <w:tcW w:w="219" w:type="dxa"/>
            <w:tcBorders>
              <w:top w:val="single" w:color="000000" w:sz="2" w:space="0"/>
              <w:bottom w:val="single" w:color="000000" w:sz="2" w:space="0"/>
            </w:tcBorders>
            <w:vAlign w:val="top"/>
          </w:tcPr>
          <w:p w14:paraId="13D13D39">
            <w:pPr>
              <w:pStyle w:val="6"/>
              <w:spacing w:before="98" w:line="170" w:lineRule="auto"/>
              <w:ind w:left="60"/>
              <w:rPr>
                <w:sz w:val="18"/>
                <w:szCs w:val="18"/>
              </w:rPr>
            </w:pPr>
            <w:r>
              <w:rPr>
                <w:b/>
                <w:bCs/>
                <w:spacing w:val="-2"/>
                <w:sz w:val="18"/>
                <w:szCs w:val="18"/>
              </w:rPr>
              <w:t>A</w:t>
            </w:r>
          </w:p>
        </w:tc>
        <w:tc>
          <w:tcPr>
            <w:tcW w:w="230" w:type="dxa"/>
            <w:tcBorders>
              <w:top w:val="single" w:color="000000" w:sz="2" w:space="0"/>
              <w:bottom w:val="single" w:color="000000" w:sz="2" w:space="0"/>
            </w:tcBorders>
            <w:vAlign w:val="top"/>
          </w:tcPr>
          <w:p w14:paraId="25AFE7BA">
            <w:pPr>
              <w:pStyle w:val="6"/>
              <w:spacing w:before="97" w:line="181" w:lineRule="auto"/>
              <w:ind w:left="71"/>
            </w:pPr>
            <w:r>
              <w:rPr>
                <w:b/>
                <w:bCs/>
                <w:spacing w:val="-2"/>
              </w:rPr>
              <w:t>B</w:t>
            </w:r>
          </w:p>
        </w:tc>
        <w:tc>
          <w:tcPr>
            <w:tcW w:w="220" w:type="dxa"/>
            <w:tcBorders>
              <w:top w:val="single" w:color="000000" w:sz="2" w:space="0"/>
              <w:bottom w:val="single" w:color="000000" w:sz="2" w:space="0"/>
            </w:tcBorders>
            <w:vAlign w:val="top"/>
          </w:tcPr>
          <w:p w14:paraId="0C7FE225">
            <w:pPr>
              <w:pStyle w:val="6"/>
              <w:spacing w:before="95" w:line="183" w:lineRule="auto"/>
              <w:ind w:left="41"/>
            </w:pPr>
            <w:r>
              <w:rPr>
                <w:b/>
                <w:bCs/>
                <w:spacing w:val="-2"/>
              </w:rPr>
              <w:t>C</w:t>
            </w:r>
          </w:p>
        </w:tc>
        <w:tc>
          <w:tcPr>
            <w:tcW w:w="244" w:type="dxa"/>
            <w:tcBorders>
              <w:top w:val="single" w:color="000000" w:sz="2" w:space="0"/>
              <w:bottom w:val="single" w:color="000000" w:sz="2" w:space="0"/>
            </w:tcBorders>
            <w:vAlign w:val="top"/>
          </w:tcPr>
          <w:p w14:paraId="0A530EF7">
            <w:pPr>
              <w:pStyle w:val="6"/>
              <w:spacing w:before="97" w:line="181" w:lineRule="auto"/>
              <w:ind w:left="31"/>
            </w:pPr>
            <w:r>
              <w:rPr>
                <w:b/>
                <w:bCs/>
                <w:spacing w:val="-2"/>
              </w:rPr>
              <w:t>D</w:t>
            </w:r>
          </w:p>
        </w:tc>
      </w:tr>
      <w:tr w14:paraId="7BF56B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4" w:hRule="atLeast"/>
        </w:trPr>
        <w:tc>
          <w:tcPr>
            <w:tcW w:w="903" w:type="dxa"/>
            <w:vMerge w:val="restart"/>
            <w:tcBorders>
              <w:top w:val="single" w:color="000000" w:sz="2" w:space="0"/>
              <w:bottom w:val="nil"/>
            </w:tcBorders>
            <w:vAlign w:val="top"/>
          </w:tcPr>
          <w:p w14:paraId="6F590007">
            <w:pPr>
              <w:spacing w:line="317" w:lineRule="auto"/>
              <w:rPr>
                <w:rFonts w:ascii="Arial"/>
                <w:sz w:val="21"/>
              </w:rPr>
            </w:pPr>
          </w:p>
          <w:p w14:paraId="6A74E492">
            <w:pPr>
              <w:spacing w:line="317" w:lineRule="auto"/>
              <w:rPr>
                <w:rFonts w:ascii="Arial"/>
                <w:sz w:val="21"/>
              </w:rPr>
            </w:pPr>
          </w:p>
          <w:p w14:paraId="0AD909B9">
            <w:pPr>
              <w:pStyle w:val="6"/>
              <w:spacing w:before="55" w:line="229" w:lineRule="auto"/>
              <w:ind w:left="105" w:right="113"/>
              <w:jc w:val="both"/>
            </w:pPr>
            <w:r>
              <w:rPr>
                <w:spacing w:val="-2"/>
              </w:rPr>
              <w:t>墙饰面工</w:t>
            </w:r>
            <w:r>
              <w:t xml:space="preserve"> </w:t>
            </w:r>
            <w:r>
              <w:rPr>
                <w:spacing w:val="-2"/>
              </w:rPr>
              <w:t>程的分类</w:t>
            </w:r>
            <w:r>
              <w:rPr>
                <w:spacing w:val="1"/>
              </w:rPr>
              <w:t xml:space="preserve"> </w:t>
            </w:r>
            <w:r>
              <w:rPr>
                <w:spacing w:val="24"/>
              </w:rPr>
              <w:t>及相关</w:t>
            </w:r>
          </w:p>
          <w:p w14:paraId="1016D2BD">
            <w:pPr>
              <w:pStyle w:val="6"/>
              <w:spacing w:before="38" w:line="221" w:lineRule="auto"/>
              <w:ind w:left="275"/>
            </w:pPr>
            <w:r>
              <w:rPr>
                <w:spacing w:val="4"/>
              </w:rPr>
              <w:t>知识</w:t>
            </w:r>
          </w:p>
        </w:tc>
        <w:tc>
          <w:tcPr>
            <w:tcW w:w="2314" w:type="dxa"/>
            <w:vMerge w:val="restart"/>
            <w:tcBorders>
              <w:top w:val="single" w:color="000000" w:sz="2" w:space="0"/>
              <w:bottom w:val="nil"/>
            </w:tcBorders>
            <w:vAlign w:val="top"/>
          </w:tcPr>
          <w:p w14:paraId="50765DA5">
            <w:pPr>
              <w:pStyle w:val="6"/>
              <w:spacing w:before="243" w:line="219" w:lineRule="auto"/>
              <w:ind w:left="12"/>
            </w:pPr>
            <w:r>
              <w:t>1.一般抹灰饰面工程</w:t>
            </w:r>
          </w:p>
          <w:p w14:paraId="116A8482">
            <w:pPr>
              <w:pStyle w:val="6"/>
              <w:spacing w:before="28" w:line="229" w:lineRule="auto"/>
              <w:ind w:left="12" w:right="940"/>
            </w:pPr>
            <w:r>
              <w:rPr>
                <w:spacing w:val="-1"/>
              </w:rPr>
              <w:t>2.木质饰面板工程</w:t>
            </w:r>
            <w:r>
              <w:t xml:space="preserve"> </w:t>
            </w:r>
            <w:r>
              <w:rPr>
                <w:spacing w:val="-2"/>
              </w:rPr>
              <w:t>3.石材饰面板工程</w:t>
            </w:r>
            <w:r>
              <w:rPr>
                <w:spacing w:val="6"/>
              </w:rPr>
              <w:t xml:space="preserve"> </w:t>
            </w:r>
            <w:r>
              <w:rPr>
                <w:spacing w:val="-1"/>
              </w:rPr>
              <w:t>4.陶瓷饰面工程</w:t>
            </w:r>
          </w:p>
          <w:p w14:paraId="24CA5427">
            <w:pPr>
              <w:pStyle w:val="6"/>
              <w:spacing w:before="16" w:line="230" w:lineRule="auto"/>
              <w:ind w:left="12" w:right="941"/>
            </w:pPr>
            <w:r>
              <w:rPr>
                <w:spacing w:val="-2"/>
              </w:rPr>
              <w:t>5.金属饰面板工程</w:t>
            </w:r>
            <w:r>
              <w:rPr>
                <w:spacing w:val="6"/>
              </w:rPr>
              <w:t xml:space="preserve"> </w:t>
            </w:r>
            <w:r>
              <w:rPr>
                <w:spacing w:val="-1"/>
              </w:rPr>
              <w:t>6.涂料饰面工程</w:t>
            </w:r>
          </w:p>
          <w:p w14:paraId="56E677DA">
            <w:pPr>
              <w:pStyle w:val="6"/>
              <w:spacing w:before="27" w:line="220" w:lineRule="auto"/>
              <w:ind w:left="12"/>
            </w:pPr>
            <w:r>
              <w:rPr>
                <w:spacing w:val="-2"/>
              </w:rPr>
              <w:t>7.壁纸饰面工程</w:t>
            </w:r>
          </w:p>
        </w:tc>
        <w:tc>
          <w:tcPr>
            <w:tcW w:w="219" w:type="dxa"/>
            <w:tcBorders>
              <w:top w:val="single" w:color="000000" w:sz="2" w:space="0"/>
              <w:bottom w:val="single" w:color="000000" w:sz="2" w:space="0"/>
            </w:tcBorders>
            <w:vAlign w:val="top"/>
          </w:tcPr>
          <w:p w14:paraId="53ABC9AB">
            <w:pPr>
              <w:pStyle w:val="6"/>
              <w:spacing w:before="84" w:line="238" w:lineRule="auto"/>
              <w:ind w:left="38"/>
              <w:rPr>
                <w:sz w:val="13"/>
                <w:szCs w:val="13"/>
              </w:rPr>
            </w:pPr>
            <w:r>
              <w:rPr>
                <w:sz w:val="13"/>
                <w:szCs w:val="13"/>
              </w:rPr>
              <w:t>√</w:t>
            </w:r>
          </w:p>
        </w:tc>
        <w:tc>
          <w:tcPr>
            <w:tcW w:w="230" w:type="dxa"/>
            <w:tcBorders>
              <w:top w:val="single" w:color="000000" w:sz="2" w:space="0"/>
              <w:bottom w:val="single" w:color="000000" w:sz="2" w:space="0"/>
            </w:tcBorders>
            <w:vAlign w:val="top"/>
          </w:tcPr>
          <w:p w14:paraId="6DAEBA29">
            <w:pPr>
              <w:rPr>
                <w:rFonts w:ascii="Arial"/>
                <w:sz w:val="21"/>
              </w:rPr>
            </w:pPr>
          </w:p>
        </w:tc>
        <w:tc>
          <w:tcPr>
            <w:tcW w:w="220" w:type="dxa"/>
            <w:tcBorders>
              <w:top w:val="single" w:color="000000" w:sz="2" w:space="0"/>
              <w:bottom w:val="single" w:color="000000" w:sz="2" w:space="0"/>
            </w:tcBorders>
            <w:vAlign w:val="top"/>
          </w:tcPr>
          <w:p w14:paraId="050CC1BB">
            <w:pPr>
              <w:rPr>
                <w:rFonts w:ascii="Arial"/>
                <w:sz w:val="21"/>
              </w:rPr>
            </w:pPr>
          </w:p>
        </w:tc>
        <w:tc>
          <w:tcPr>
            <w:tcW w:w="244" w:type="dxa"/>
            <w:tcBorders>
              <w:top w:val="single" w:color="000000" w:sz="2" w:space="0"/>
              <w:bottom w:val="single" w:color="000000" w:sz="2" w:space="0"/>
            </w:tcBorders>
            <w:vAlign w:val="top"/>
          </w:tcPr>
          <w:p w14:paraId="129EB096">
            <w:pPr>
              <w:rPr>
                <w:rFonts w:ascii="Arial"/>
                <w:sz w:val="21"/>
              </w:rPr>
            </w:pPr>
          </w:p>
        </w:tc>
      </w:tr>
      <w:tr w14:paraId="215CD3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903" w:type="dxa"/>
            <w:vMerge w:val="continue"/>
            <w:tcBorders>
              <w:top w:val="nil"/>
              <w:bottom w:val="nil"/>
            </w:tcBorders>
            <w:vAlign w:val="top"/>
          </w:tcPr>
          <w:p w14:paraId="292BE71C">
            <w:pPr>
              <w:rPr>
                <w:rFonts w:ascii="Arial"/>
                <w:sz w:val="21"/>
              </w:rPr>
            </w:pPr>
          </w:p>
        </w:tc>
        <w:tc>
          <w:tcPr>
            <w:tcW w:w="2314" w:type="dxa"/>
            <w:vMerge w:val="continue"/>
            <w:tcBorders>
              <w:top w:val="nil"/>
              <w:bottom w:val="nil"/>
            </w:tcBorders>
            <w:vAlign w:val="top"/>
          </w:tcPr>
          <w:p w14:paraId="28DD6BB8">
            <w:pPr>
              <w:rPr>
                <w:rFonts w:ascii="Arial"/>
                <w:sz w:val="21"/>
              </w:rPr>
            </w:pPr>
          </w:p>
        </w:tc>
        <w:tc>
          <w:tcPr>
            <w:tcW w:w="219" w:type="dxa"/>
            <w:tcBorders>
              <w:top w:val="single" w:color="000000" w:sz="2" w:space="0"/>
              <w:bottom w:val="single" w:color="000000" w:sz="2" w:space="0"/>
            </w:tcBorders>
            <w:vAlign w:val="top"/>
          </w:tcPr>
          <w:p w14:paraId="13FC1DB2">
            <w:pPr>
              <w:pStyle w:val="6"/>
              <w:spacing w:before="85" w:line="238" w:lineRule="auto"/>
              <w:ind w:left="38"/>
              <w:rPr>
                <w:sz w:val="13"/>
                <w:szCs w:val="13"/>
              </w:rPr>
            </w:pPr>
            <w:r>
              <w:rPr>
                <w:sz w:val="13"/>
                <w:szCs w:val="13"/>
              </w:rPr>
              <w:t>√</w:t>
            </w:r>
          </w:p>
        </w:tc>
        <w:tc>
          <w:tcPr>
            <w:tcW w:w="230" w:type="dxa"/>
            <w:tcBorders>
              <w:top w:val="single" w:color="000000" w:sz="2" w:space="0"/>
              <w:bottom w:val="single" w:color="000000" w:sz="2" w:space="0"/>
            </w:tcBorders>
            <w:vAlign w:val="top"/>
          </w:tcPr>
          <w:p w14:paraId="0F0374B3">
            <w:pPr>
              <w:rPr>
                <w:rFonts w:ascii="Arial"/>
                <w:sz w:val="21"/>
              </w:rPr>
            </w:pPr>
          </w:p>
        </w:tc>
        <w:tc>
          <w:tcPr>
            <w:tcW w:w="220" w:type="dxa"/>
            <w:tcBorders>
              <w:top w:val="single" w:color="000000" w:sz="2" w:space="0"/>
              <w:bottom w:val="single" w:color="000000" w:sz="2" w:space="0"/>
            </w:tcBorders>
            <w:vAlign w:val="top"/>
          </w:tcPr>
          <w:p w14:paraId="72C1AB74">
            <w:pPr>
              <w:rPr>
                <w:rFonts w:ascii="Arial"/>
                <w:sz w:val="21"/>
              </w:rPr>
            </w:pPr>
          </w:p>
        </w:tc>
        <w:tc>
          <w:tcPr>
            <w:tcW w:w="244" w:type="dxa"/>
            <w:tcBorders>
              <w:top w:val="single" w:color="000000" w:sz="2" w:space="0"/>
              <w:bottom w:val="single" w:color="000000" w:sz="2" w:space="0"/>
            </w:tcBorders>
            <w:vAlign w:val="top"/>
          </w:tcPr>
          <w:p w14:paraId="3250142A">
            <w:pPr>
              <w:rPr>
                <w:rFonts w:ascii="Arial"/>
                <w:sz w:val="21"/>
              </w:rPr>
            </w:pPr>
          </w:p>
        </w:tc>
      </w:tr>
      <w:tr w14:paraId="5C0372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4" w:hRule="atLeast"/>
        </w:trPr>
        <w:tc>
          <w:tcPr>
            <w:tcW w:w="903" w:type="dxa"/>
            <w:vMerge w:val="continue"/>
            <w:tcBorders>
              <w:top w:val="nil"/>
              <w:bottom w:val="nil"/>
            </w:tcBorders>
            <w:vAlign w:val="top"/>
          </w:tcPr>
          <w:p w14:paraId="66E0F2F9">
            <w:pPr>
              <w:rPr>
                <w:rFonts w:ascii="Arial"/>
                <w:sz w:val="21"/>
              </w:rPr>
            </w:pPr>
          </w:p>
        </w:tc>
        <w:tc>
          <w:tcPr>
            <w:tcW w:w="2314" w:type="dxa"/>
            <w:vMerge w:val="continue"/>
            <w:tcBorders>
              <w:top w:val="nil"/>
              <w:bottom w:val="nil"/>
            </w:tcBorders>
            <w:vAlign w:val="top"/>
          </w:tcPr>
          <w:p w14:paraId="6684F7F5">
            <w:pPr>
              <w:rPr>
                <w:rFonts w:ascii="Arial"/>
                <w:sz w:val="21"/>
              </w:rPr>
            </w:pPr>
          </w:p>
        </w:tc>
        <w:tc>
          <w:tcPr>
            <w:tcW w:w="219" w:type="dxa"/>
            <w:tcBorders>
              <w:top w:val="single" w:color="000000" w:sz="2" w:space="0"/>
              <w:bottom w:val="single" w:color="000000" w:sz="2" w:space="0"/>
            </w:tcBorders>
            <w:vAlign w:val="top"/>
          </w:tcPr>
          <w:p w14:paraId="2F1760BA">
            <w:pPr>
              <w:rPr>
                <w:rFonts w:ascii="Arial"/>
                <w:sz w:val="21"/>
              </w:rPr>
            </w:pPr>
          </w:p>
        </w:tc>
        <w:tc>
          <w:tcPr>
            <w:tcW w:w="230" w:type="dxa"/>
            <w:tcBorders>
              <w:top w:val="single" w:color="000000" w:sz="2" w:space="0"/>
              <w:bottom w:val="single" w:color="000000" w:sz="2" w:space="0"/>
            </w:tcBorders>
            <w:vAlign w:val="top"/>
          </w:tcPr>
          <w:p w14:paraId="5EF0F941">
            <w:pPr>
              <w:pStyle w:val="6"/>
              <w:spacing w:before="95" w:line="238" w:lineRule="auto"/>
              <w:ind w:left="48"/>
              <w:rPr>
                <w:sz w:val="13"/>
                <w:szCs w:val="13"/>
              </w:rPr>
            </w:pPr>
            <w:r>
              <w:rPr>
                <w:sz w:val="13"/>
                <w:szCs w:val="13"/>
              </w:rPr>
              <w:t>√</w:t>
            </w:r>
          </w:p>
        </w:tc>
        <w:tc>
          <w:tcPr>
            <w:tcW w:w="220" w:type="dxa"/>
            <w:tcBorders>
              <w:top w:val="single" w:color="000000" w:sz="2" w:space="0"/>
              <w:bottom w:val="single" w:color="000000" w:sz="2" w:space="0"/>
            </w:tcBorders>
            <w:vAlign w:val="top"/>
          </w:tcPr>
          <w:p w14:paraId="0FF534C5">
            <w:pPr>
              <w:rPr>
                <w:rFonts w:ascii="Arial"/>
                <w:sz w:val="21"/>
              </w:rPr>
            </w:pPr>
          </w:p>
        </w:tc>
        <w:tc>
          <w:tcPr>
            <w:tcW w:w="244" w:type="dxa"/>
            <w:tcBorders>
              <w:top w:val="single" w:color="000000" w:sz="2" w:space="0"/>
              <w:bottom w:val="single" w:color="000000" w:sz="2" w:space="0"/>
            </w:tcBorders>
            <w:vAlign w:val="top"/>
          </w:tcPr>
          <w:p w14:paraId="4089C0AF">
            <w:pPr>
              <w:rPr>
                <w:rFonts w:ascii="Arial"/>
                <w:sz w:val="21"/>
              </w:rPr>
            </w:pPr>
          </w:p>
        </w:tc>
      </w:tr>
      <w:tr w14:paraId="3468DA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4" w:hRule="atLeast"/>
        </w:trPr>
        <w:tc>
          <w:tcPr>
            <w:tcW w:w="903" w:type="dxa"/>
            <w:vMerge w:val="continue"/>
            <w:tcBorders>
              <w:top w:val="nil"/>
              <w:bottom w:val="nil"/>
            </w:tcBorders>
            <w:vAlign w:val="top"/>
          </w:tcPr>
          <w:p w14:paraId="373F99BF">
            <w:pPr>
              <w:rPr>
                <w:rFonts w:ascii="Arial"/>
                <w:sz w:val="21"/>
              </w:rPr>
            </w:pPr>
          </w:p>
        </w:tc>
        <w:tc>
          <w:tcPr>
            <w:tcW w:w="2314" w:type="dxa"/>
            <w:vMerge w:val="continue"/>
            <w:tcBorders>
              <w:top w:val="nil"/>
              <w:bottom w:val="nil"/>
            </w:tcBorders>
            <w:vAlign w:val="top"/>
          </w:tcPr>
          <w:p w14:paraId="50D61945">
            <w:pPr>
              <w:rPr>
                <w:rFonts w:ascii="Arial"/>
                <w:sz w:val="21"/>
              </w:rPr>
            </w:pPr>
          </w:p>
        </w:tc>
        <w:tc>
          <w:tcPr>
            <w:tcW w:w="219" w:type="dxa"/>
            <w:tcBorders>
              <w:top w:val="single" w:color="000000" w:sz="2" w:space="0"/>
              <w:bottom w:val="single" w:color="000000" w:sz="2" w:space="0"/>
            </w:tcBorders>
            <w:vAlign w:val="top"/>
          </w:tcPr>
          <w:p w14:paraId="1B5F4D33">
            <w:pPr>
              <w:rPr>
                <w:rFonts w:ascii="Arial"/>
                <w:sz w:val="21"/>
              </w:rPr>
            </w:pPr>
          </w:p>
        </w:tc>
        <w:tc>
          <w:tcPr>
            <w:tcW w:w="230" w:type="dxa"/>
            <w:tcBorders>
              <w:top w:val="single" w:color="000000" w:sz="2" w:space="0"/>
              <w:bottom w:val="single" w:color="000000" w:sz="2" w:space="0"/>
            </w:tcBorders>
            <w:vAlign w:val="top"/>
          </w:tcPr>
          <w:p w14:paraId="3549767A">
            <w:pPr>
              <w:pStyle w:val="6"/>
              <w:spacing w:before="86" w:line="238" w:lineRule="auto"/>
              <w:ind w:left="48"/>
              <w:rPr>
                <w:sz w:val="13"/>
                <w:szCs w:val="13"/>
              </w:rPr>
            </w:pPr>
            <w:r>
              <w:rPr>
                <w:sz w:val="13"/>
                <w:szCs w:val="13"/>
              </w:rPr>
              <w:t>√</w:t>
            </w:r>
          </w:p>
        </w:tc>
        <w:tc>
          <w:tcPr>
            <w:tcW w:w="220" w:type="dxa"/>
            <w:tcBorders>
              <w:top w:val="single" w:color="000000" w:sz="2" w:space="0"/>
              <w:bottom w:val="single" w:color="000000" w:sz="2" w:space="0"/>
            </w:tcBorders>
            <w:vAlign w:val="top"/>
          </w:tcPr>
          <w:p w14:paraId="25BF14D3">
            <w:pPr>
              <w:rPr>
                <w:rFonts w:ascii="Arial"/>
                <w:sz w:val="21"/>
              </w:rPr>
            </w:pPr>
          </w:p>
        </w:tc>
        <w:tc>
          <w:tcPr>
            <w:tcW w:w="244" w:type="dxa"/>
            <w:tcBorders>
              <w:top w:val="single" w:color="000000" w:sz="2" w:space="0"/>
              <w:bottom w:val="single" w:color="000000" w:sz="2" w:space="0"/>
            </w:tcBorders>
            <w:vAlign w:val="top"/>
          </w:tcPr>
          <w:p w14:paraId="33FA6B49">
            <w:pPr>
              <w:rPr>
                <w:rFonts w:ascii="Arial"/>
                <w:sz w:val="21"/>
              </w:rPr>
            </w:pPr>
          </w:p>
        </w:tc>
      </w:tr>
      <w:tr w14:paraId="108B37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4" w:hRule="atLeast"/>
        </w:trPr>
        <w:tc>
          <w:tcPr>
            <w:tcW w:w="903" w:type="dxa"/>
            <w:vMerge w:val="continue"/>
            <w:tcBorders>
              <w:top w:val="nil"/>
              <w:bottom w:val="nil"/>
            </w:tcBorders>
            <w:vAlign w:val="top"/>
          </w:tcPr>
          <w:p w14:paraId="78CB691D">
            <w:pPr>
              <w:rPr>
                <w:rFonts w:ascii="Arial"/>
                <w:sz w:val="21"/>
              </w:rPr>
            </w:pPr>
          </w:p>
        </w:tc>
        <w:tc>
          <w:tcPr>
            <w:tcW w:w="2314" w:type="dxa"/>
            <w:vMerge w:val="continue"/>
            <w:tcBorders>
              <w:top w:val="nil"/>
              <w:bottom w:val="nil"/>
            </w:tcBorders>
            <w:vAlign w:val="top"/>
          </w:tcPr>
          <w:p w14:paraId="723C8DAE">
            <w:pPr>
              <w:rPr>
                <w:rFonts w:ascii="Arial"/>
                <w:sz w:val="21"/>
              </w:rPr>
            </w:pPr>
          </w:p>
        </w:tc>
        <w:tc>
          <w:tcPr>
            <w:tcW w:w="219" w:type="dxa"/>
            <w:tcBorders>
              <w:top w:val="single" w:color="000000" w:sz="2" w:space="0"/>
              <w:bottom w:val="single" w:color="000000" w:sz="2" w:space="0"/>
            </w:tcBorders>
            <w:vAlign w:val="top"/>
          </w:tcPr>
          <w:p w14:paraId="69E110BF">
            <w:pPr>
              <w:pStyle w:val="6"/>
              <w:spacing w:before="87" w:line="238" w:lineRule="auto"/>
              <w:ind w:left="38"/>
              <w:rPr>
                <w:sz w:val="13"/>
                <w:szCs w:val="13"/>
              </w:rPr>
            </w:pPr>
            <w:r>
              <w:rPr>
                <w:sz w:val="13"/>
                <w:szCs w:val="13"/>
              </w:rPr>
              <w:t>√</w:t>
            </w:r>
          </w:p>
        </w:tc>
        <w:tc>
          <w:tcPr>
            <w:tcW w:w="230" w:type="dxa"/>
            <w:tcBorders>
              <w:top w:val="single" w:color="000000" w:sz="2" w:space="0"/>
              <w:bottom w:val="single" w:color="000000" w:sz="2" w:space="0"/>
            </w:tcBorders>
            <w:vAlign w:val="top"/>
          </w:tcPr>
          <w:p w14:paraId="256CC683">
            <w:pPr>
              <w:rPr>
                <w:rFonts w:ascii="Arial"/>
                <w:sz w:val="21"/>
              </w:rPr>
            </w:pPr>
          </w:p>
        </w:tc>
        <w:tc>
          <w:tcPr>
            <w:tcW w:w="220" w:type="dxa"/>
            <w:tcBorders>
              <w:top w:val="single" w:color="000000" w:sz="2" w:space="0"/>
              <w:bottom w:val="single" w:color="000000" w:sz="2" w:space="0"/>
            </w:tcBorders>
            <w:vAlign w:val="top"/>
          </w:tcPr>
          <w:p w14:paraId="6BFD2600">
            <w:pPr>
              <w:rPr>
                <w:rFonts w:ascii="Arial"/>
                <w:sz w:val="21"/>
              </w:rPr>
            </w:pPr>
          </w:p>
        </w:tc>
        <w:tc>
          <w:tcPr>
            <w:tcW w:w="244" w:type="dxa"/>
            <w:tcBorders>
              <w:top w:val="single" w:color="000000" w:sz="2" w:space="0"/>
              <w:bottom w:val="single" w:color="000000" w:sz="2" w:space="0"/>
            </w:tcBorders>
            <w:vAlign w:val="top"/>
          </w:tcPr>
          <w:p w14:paraId="2706A7D9">
            <w:pPr>
              <w:rPr>
                <w:rFonts w:ascii="Arial"/>
                <w:sz w:val="21"/>
              </w:rPr>
            </w:pPr>
          </w:p>
        </w:tc>
      </w:tr>
      <w:tr w14:paraId="511511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5" w:hRule="atLeast"/>
        </w:trPr>
        <w:tc>
          <w:tcPr>
            <w:tcW w:w="903" w:type="dxa"/>
            <w:vMerge w:val="continue"/>
            <w:tcBorders>
              <w:top w:val="nil"/>
              <w:bottom w:val="nil"/>
            </w:tcBorders>
            <w:vAlign w:val="top"/>
          </w:tcPr>
          <w:p w14:paraId="38797756">
            <w:pPr>
              <w:rPr>
                <w:rFonts w:ascii="Arial"/>
                <w:sz w:val="21"/>
              </w:rPr>
            </w:pPr>
          </w:p>
        </w:tc>
        <w:tc>
          <w:tcPr>
            <w:tcW w:w="2314" w:type="dxa"/>
            <w:vMerge w:val="continue"/>
            <w:tcBorders>
              <w:top w:val="nil"/>
              <w:bottom w:val="nil"/>
            </w:tcBorders>
            <w:vAlign w:val="top"/>
          </w:tcPr>
          <w:p w14:paraId="7C8B4E41">
            <w:pPr>
              <w:rPr>
                <w:rFonts w:ascii="Arial"/>
                <w:sz w:val="21"/>
              </w:rPr>
            </w:pPr>
          </w:p>
        </w:tc>
        <w:tc>
          <w:tcPr>
            <w:tcW w:w="219" w:type="dxa"/>
            <w:tcBorders>
              <w:top w:val="single" w:color="000000" w:sz="2" w:space="0"/>
              <w:bottom w:val="single" w:color="000000" w:sz="2" w:space="0"/>
            </w:tcBorders>
            <w:vAlign w:val="top"/>
          </w:tcPr>
          <w:p w14:paraId="0686C11B">
            <w:pPr>
              <w:rPr>
                <w:rFonts w:ascii="Arial"/>
                <w:sz w:val="21"/>
              </w:rPr>
            </w:pPr>
          </w:p>
        </w:tc>
        <w:tc>
          <w:tcPr>
            <w:tcW w:w="230" w:type="dxa"/>
            <w:tcBorders>
              <w:top w:val="single" w:color="000000" w:sz="2" w:space="0"/>
              <w:bottom w:val="single" w:color="000000" w:sz="2" w:space="0"/>
            </w:tcBorders>
            <w:vAlign w:val="top"/>
          </w:tcPr>
          <w:p w14:paraId="0FF72D86">
            <w:pPr>
              <w:rPr>
                <w:rFonts w:ascii="Arial"/>
                <w:sz w:val="21"/>
              </w:rPr>
            </w:pPr>
          </w:p>
        </w:tc>
        <w:tc>
          <w:tcPr>
            <w:tcW w:w="220" w:type="dxa"/>
            <w:tcBorders>
              <w:top w:val="single" w:color="000000" w:sz="2" w:space="0"/>
              <w:bottom w:val="single" w:color="000000" w:sz="2" w:space="0"/>
            </w:tcBorders>
            <w:vAlign w:val="top"/>
          </w:tcPr>
          <w:p w14:paraId="4D12D54F">
            <w:pPr>
              <w:rPr>
                <w:rFonts w:ascii="Arial"/>
                <w:sz w:val="21"/>
              </w:rPr>
            </w:pPr>
          </w:p>
        </w:tc>
        <w:tc>
          <w:tcPr>
            <w:tcW w:w="244" w:type="dxa"/>
            <w:tcBorders>
              <w:top w:val="single" w:color="000000" w:sz="2" w:space="0"/>
              <w:bottom w:val="single" w:color="000000" w:sz="2" w:space="0"/>
            </w:tcBorders>
            <w:vAlign w:val="top"/>
          </w:tcPr>
          <w:p w14:paraId="4A51FA5F">
            <w:pPr>
              <w:rPr>
                <w:rFonts w:ascii="Arial"/>
                <w:sz w:val="21"/>
              </w:rPr>
            </w:pPr>
          </w:p>
        </w:tc>
      </w:tr>
      <w:tr w14:paraId="20BDC3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903" w:type="dxa"/>
            <w:vMerge w:val="continue"/>
            <w:tcBorders>
              <w:top w:val="nil"/>
              <w:bottom w:val="single" w:color="000000" w:sz="2" w:space="0"/>
            </w:tcBorders>
            <w:vAlign w:val="top"/>
          </w:tcPr>
          <w:p w14:paraId="43C4162A">
            <w:pPr>
              <w:rPr>
                <w:rFonts w:ascii="Arial"/>
                <w:sz w:val="21"/>
              </w:rPr>
            </w:pPr>
          </w:p>
        </w:tc>
        <w:tc>
          <w:tcPr>
            <w:tcW w:w="2314" w:type="dxa"/>
            <w:vMerge w:val="continue"/>
            <w:tcBorders>
              <w:top w:val="nil"/>
              <w:bottom w:val="single" w:color="000000" w:sz="2" w:space="0"/>
            </w:tcBorders>
            <w:vAlign w:val="top"/>
          </w:tcPr>
          <w:p w14:paraId="0A62C607">
            <w:pPr>
              <w:rPr>
                <w:rFonts w:ascii="Arial"/>
                <w:sz w:val="21"/>
              </w:rPr>
            </w:pPr>
          </w:p>
        </w:tc>
        <w:tc>
          <w:tcPr>
            <w:tcW w:w="219" w:type="dxa"/>
            <w:tcBorders>
              <w:top w:val="single" w:color="000000" w:sz="2" w:space="0"/>
              <w:bottom w:val="single" w:color="000000" w:sz="2" w:space="0"/>
            </w:tcBorders>
            <w:vAlign w:val="top"/>
          </w:tcPr>
          <w:p w14:paraId="04B69F44">
            <w:pPr>
              <w:rPr>
                <w:rFonts w:ascii="Arial"/>
                <w:sz w:val="21"/>
              </w:rPr>
            </w:pPr>
          </w:p>
        </w:tc>
        <w:tc>
          <w:tcPr>
            <w:tcW w:w="230" w:type="dxa"/>
            <w:tcBorders>
              <w:top w:val="single" w:color="000000" w:sz="2" w:space="0"/>
              <w:bottom w:val="single" w:color="000000" w:sz="2" w:space="0"/>
            </w:tcBorders>
            <w:vAlign w:val="top"/>
          </w:tcPr>
          <w:p w14:paraId="011F4281">
            <w:pPr>
              <w:rPr>
                <w:rFonts w:ascii="Arial"/>
                <w:sz w:val="21"/>
              </w:rPr>
            </w:pPr>
          </w:p>
        </w:tc>
        <w:tc>
          <w:tcPr>
            <w:tcW w:w="220" w:type="dxa"/>
            <w:tcBorders>
              <w:top w:val="single" w:color="000000" w:sz="2" w:space="0"/>
              <w:bottom w:val="single" w:color="000000" w:sz="2" w:space="0"/>
            </w:tcBorders>
            <w:vAlign w:val="top"/>
          </w:tcPr>
          <w:p w14:paraId="1CB3B35F">
            <w:pPr>
              <w:rPr>
                <w:rFonts w:ascii="Arial"/>
                <w:sz w:val="21"/>
              </w:rPr>
            </w:pPr>
          </w:p>
        </w:tc>
        <w:tc>
          <w:tcPr>
            <w:tcW w:w="244" w:type="dxa"/>
            <w:tcBorders>
              <w:top w:val="single" w:color="000000" w:sz="2" w:space="0"/>
              <w:bottom w:val="single" w:color="000000" w:sz="2" w:space="0"/>
            </w:tcBorders>
            <w:vAlign w:val="top"/>
          </w:tcPr>
          <w:p w14:paraId="358BEDFC">
            <w:pPr>
              <w:rPr>
                <w:rFonts w:ascii="Arial"/>
                <w:sz w:val="21"/>
              </w:rPr>
            </w:pPr>
          </w:p>
        </w:tc>
      </w:tr>
    </w:tbl>
    <w:p w14:paraId="1E621FD9">
      <w:pPr>
        <w:pStyle w:val="2"/>
        <w:spacing w:line="14" w:lineRule="auto"/>
        <w:rPr>
          <w:sz w:val="2"/>
        </w:rPr>
      </w:pPr>
    </w:p>
    <w:p w14:paraId="46C01488">
      <w:pPr>
        <w:spacing w:line="14" w:lineRule="auto"/>
        <w:rPr>
          <w:sz w:val="2"/>
          <w:szCs w:val="2"/>
        </w:rPr>
        <w:sectPr>
          <w:type w:val="continuous"/>
          <w:pgSz w:w="10660" w:h="15080"/>
          <w:pgMar w:top="400" w:right="885" w:bottom="925" w:left="1034" w:header="0" w:footer="705" w:gutter="0"/>
          <w:cols w:equalWidth="0" w:num="2">
            <w:col w:w="4490" w:space="100"/>
            <w:col w:w="4150"/>
          </w:cols>
        </w:sectPr>
      </w:pPr>
    </w:p>
    <w:p w14:paraId="6EBD232D">
      <w:pPr>
        <w:spacing w:before="10"/>
      </w:pPr>
    </w:p>
    <w:p w14:paraId="5FAFDA96">
      <w:pPr>
        <w:spacing w:before="10"/>
      </w:pPr>
    </w:p>
    <w:p w14:paraId="663277D8">
      <w:pPr>
        <w:spacing w:before="9"/>
      </w:pPr>
    </w:p>
    <w:p w14:paraId="3E574DD7">
      <w:pPr>
        <w:spacing w:before="9"/>
      </w:pPr>
    </w:p>
    <w:p w14:paraId="563B2602">
      <w:pPr>
        <w:sectPr>
          <w:footerReference r:id="rId48" w:type="default"/>
          <w:pgSz w:w="10660" w:h="15080"/>
          <w:pgMar w:top="400" w:right="1034" w:bottom="936" w:left="819" w:header="0" w:footer="715" w:gutter="0"/>
          <w:cols w:equalWidth="0" w:num="1">
            <w:col w:w="8806"/>
          </w:cols>
        </w:sectPr>
      </w:pPr>
    </w:p>
    <w:p w14:paraId="40439842">
      <w:pPr>
        <w:spacing w:line="110" w:lineRule="auto"/>
        <w:rPr>
          <w:rFonts w:ascii="Arial"/>
          <w:sz w:val="2"/>
        </w:rPr>
      </w:pPr>
    </w:p>
    <w:tbl>
      <w:tblPr>
        <w:tblStyle w:val="5"/>
        <w:tblW w:w="4119"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24"/>
        <w:gridCol w:w="220"/>
        <w:gridCol w:w="219"/>
        <w:gridCol w:w="229"/>
        <w:gridCol w:w="234"/>
      </w:tblGrid>
      <w:tr w14:paraId="756650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4" w:hRule="atLeast"/>
        </w:trPr>
        <w:tc>
          <w:tcPr>
            <w:tcW w:w="893" w:type="dxa"/>
            <w:vMerge w:val="restart"/>
            <w:tcBorders>
              <w:bottom w:val="nil"/>
            </w:tcBorders>
            <w:vAlign w:val="top"/>
          </w:tcPr>
          <w:p w14:paraId="10AFA6E8">
            <w:pPr>
              <w:pStyle w:val="6"/>
              <w:spacing w:before="92" w:line="229" w:lineRule="auto"/>
              <w:ind w:left="97" w:right="112" w:firstLine="89"/>
            </w:pPr>
            <w:r>
              <w:rPr>
                <w:b/>
                <w:bCs/>
                <w:spacing w:val="-6"/>
              </w:rPr>
              <w:t>知识与</w:t>
            </w:r>
            <w:r>
              <w:t xml:space="preserve">  </w:t>
            </w:r>
            <w:r>
              <w:rPr>
                <w:b/>
                <w:bCs/>
                <w:spacing w:val="-4"/>
              </w:rPr>
              <w:t>技能要点</w:t>
            </w:r>
          </w:p>
        </w:tc>
        <w:tc>
          <w:tcPr>
            <w:tcW w:w="2324" w:type="dxa"/>
            <w:vMerge w:val="restart"/>
            <w:tcBorders>
              <w:bottom w:val="nil"/>
            </w:tcBorders>
            <w:vAlign w:val="top"/>
          </w:tcPr>
          <w:p w14:paraId="6F9FE3DD">
            <w:pPr>
              <w:pStyle w:val="6"/>
              <w:spacing w:before="199" w:line="219" w:lineRule="auto"/>
              <w:ind w:left="834"/>
            </w:pPr>
            <w:r>
              <w:rPr>
                <w:b/>
                <w:bCs/>
                <w:spacing w:val="5"/>
              </w:rPr>
              <w:t>考试条目</w:t>
            </w:r>
          </w:p>
        </w:tc>
        <w:tc>
          <w:tcPr>
            <w:tcW w:w="902" w:type="dxa"/>
            <w:gridSpan w:val="4"/>
            <w:vAlign w:val="top"/>
          </w:tcPr>
          <w:p w14:paraId="5A1114C2">
            <w:pPr>
              <w:pStyle w:val="6"/>
              <w:spacing w:before="59" w:line="219" w:lineRule="auto"/>
              <w:ind w:left="130"/>
            </w:pPr>
            <w:r>
              <w:rPr>
                <w:b/>
                <w:bCs/>
                <w:spacing w:val="-4"/>
              </w:rPr>
              <w:t>考试水平</w:t>
            </w:r>
          </w:p>
        </w:tc>
      </w:tr>
      <w:tr w14:paraId="552186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9" w:hRule="atLeast"/>
        </w:trPr>
        <w:tc>
          <w:tcPr>
            <w:tcW w:w="893" w:type="dxa"/>
            <w:vMerge w:val="continue"/>
            <w:tcBorders>
              <w:top w:val="nil"/>
            </w:tcBorders>
            <w:vAlign w:val="top"/>
          </w:tcPr>
          <w:p w14:paraId="06528950">
            <w:pPr>
              <w:rPr>
                <w:rFonts w:ascii="Arial"/>
                <w:sz w:val="21"/>
              </w:rPr>
            </w:pPr>
          </w:p>
        </w:tc>
        <w:tc>
          <w:tcPr>
            <w:tcW w:w="2324" w:type="dxa"/>
            <w:vMerge w:val="continue"/>
            <w:tcBorders>
              <w:top w:val="nil"/>
            </w:tcBorders>
            <w:vAlign w:val="top"/>
          </w:tcPr>
          <w:p w14:paraId="77817746">
            <w:pPr>
              <w:rPr>
                <w:rFonts w:ascii="Arial"/>
                <w:sz w:val="21"/>
              </w:rPr>
            </w:pPr>
          </w:p>
        </w:tc>
        <w:tc>
          <w:tcPr>
            <w:tcW w:w="220" w:type="dxa"/>
            <w:vAlign w:val="top"/>
          </w:tcPr>
          <w:p w14:paraId="49312131">
            <w:pPr>
              <w:pStyle w:val="6"/>
              <w:spacing w:before="100" w:line="183" w:lineRule="auto"/>
              <w:ind w:left="60"/>
            </w:pPr>
            <w:r>
              <w:rPr>
                <w:b/>
                <w:bCs/>
                <w:spacing w:val="-2"/>
              </w:rPr>
              <w:t>A</w:t>
            </w:r>
          </w:p>
        </w:tc>
        <w:tc>
          <w:tcPr>
            <w:tcW w:w="219" w:type="dxa"/>
            <w:vAlign w:val="top"/>
          </w:tcPr>
          <w:p w14:paraId="042270CD">
            <w:pPr>
              <w:pStyle w:val="6"/>
              <w:spacing w:before="103" w:line="180" w:lineRule="auto"/>
              <w:ind w:left="57"/>
            </w:pPr>
            <w:r>
              <w:t>B</w:t>
            </w:r>
          </w:p>
        </w:tc>
        <w:tc>
          <w:tcPr>
            <w:tcW w:w="229" w:type="dxa"/>
            <w:vAlign w:val="top"/>
          </w:tcPr>
          <w:p w14:paraId="7D72FACF">
            <w:pPr>
              <w:pStyle w:val="6"/>
              <w:spacing w:before="100" w:line="183" w:lineRule="auto"/>
              <w:jc w:val="right"/>
            </w:pPr>
            <w:r>
              <w:rPr>
                <w:b/>
                <w:bCs/>
                <w:spacing w:val="-10"/>
              </w:rPr>
              <w:t>C</w:t>
            </w:r>
          </w:p>
        </w:tc>
        <w:tc>
          <w:tcPr>
            <w:tcW w:w="234" w:type="dxa"/>
            <w:vAlign w:val="top"/>
          </w:tcPr>
          <w:p w14:paraId="187D6176">
            <w:pPr>
              <w:pStyle w:val="6"/>
              <w:spacing w:before="103" w:line="180" w:lineRule="auto"/>
              <w:jc w:val="right"/>
            </w:pPr>
            <w:r>
              <w:rPr>
                <w:spacing w:val="-4"/>
              </w:rPr>
              <w:t>D</w:t>
            </w:r>
          </w:p>
        </w:tc>
      </w:tr>
      <w:tr w14:paraId="7236BD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8" w:hRule="atLeast"/>
        </w:trPr>
        <w:tc>
          <w:tcPr>
            <w:tcW w:w="893" w:type="dxa"/>
            <w:vMerge w:val="restart"/>
            <w:tcBorders>
              <w:bottom w:val="nil"/>
            </w:tcBorders>
            <w:vAlign w:val="top"/>
          </w:tcPr>
          <w:p w14:paraId="23156314">
            <w:pPr>
              <w:spacing w:line="260" w:lineRule="auto"/>
              <w:rPr>
                <w:rFonts w:ascii="Arial"/>
                <w:sz w:val="21"/>
              </w:rPr>
            </w:pPr>
          </w:p>
          <w:p w14:paraId="0DE8CA55">
            <w:pPr>
              <w:spacing w:line="261" w:lineRule="auto"/>
              <w:rPr>
                <w:rFonts w:ascii="Arial"/>
                <w:sz w:val="21"/>
              </w:rPr>
            </w:pPr>
          </w:p>
          <w:p w14:paraId="57857F75">
            <w:pPr>
              <w:pStyle w:val="6"/>
              <w:spacing w:before="55" w:line="220" w:lineRule="auto"/>
              <w:ind w:left="94"/>
            </w:pPr>
            <w:r>
              <w:rPr>
                <w:spacing w:val="-2"/>
              </w:rPr>
              <w:t>外墙饰面</w:t>
            </w:r>
          </w:p>
          <w:p w14:paraId="31E74309">
            <w:pPr>
              <w:pStyle w:val="6"/>
              <w:spacing w:before="47" w:line="226" w:lineRule="auto"/>
              <w:ind w:left="264" w:right="194" w:hanging="80"/>
            </w:pPr>
            <w:r>
              <w:rPr>
                <w:spacing w:val="-3"/>
              </w:rPr>
              <w:t>砖工程</w:t>
            </w:r>
            <w:r>
              <w:rPr>
                <w:spacing w:val="1"/>
              </w:rPr>
              <w:t xml:space="preserve"> </w:t>
            </w:r>
            <w:r>
              <w:rPr>
                <w:spacing w:val="-2"/>
              </w:rPr>
              <w:t>施工</w:t>
            </w:r>
          </w:p>
        </w:tc>
        <w:tc>
          <w:tcPr>
            <w:tcW w:w="2324" w:type="dxa"/>
            <w:vMerge w:val="restart"/>
            <w:tcBorders>
              <w:bottom w:val="nil"/>
            </w:tcBorders>
            <w:vAlign w:val="top"/>
          </w:tcPr>
          <w:p w14:paraId="021BBDBE">
            <w:pPr>
              <w:pStyle w:val="6"/>
              <w:spacing w:before="288" w:line="217" w:lineRule="auto"/>
              <w:ind w:left="11"/>
            </w:pPr>
            <w:r>
              <w:t>1.施工必备条件</w:t>
            </w:r>
          </w:p>
          <w:p w14:paraId="63EF911F">
            <w:pPr>
              <w:pStyle w:val="6"/>
              <w:spacing w:line="218" w:lineRule="auto"/>
              <w:ind w:left="11"/>
            </w:pPr>
            <w:r>
              <w:rPr>
                <w:spacing w:val="2"/>
              </w:rPr>
              <w:t>2.施工材料及其使用</w:t>
            </w:r>
          </w:p>
          <w:p w14:paraId="1D8C4210">
            <w:pPr>
              <w:pStyle w:val="6"/>
              <w:spacing w:before="18" w:line="224" w:lineRule="auto"/>
              <w:ind w:left="11" w:right="76"/>
            </w:pPr>
            <w:r>
              <w:rPr>
                <w:spacing w:val="1"/>
              </w:rPr>
              <w:t>3.施工工艺流程及其操作要点</w:t>
            </w:r>
            <w:r>
              <w:t xml:space="preserve"> </w:t>
            </w:r>
            <w:r>
              <w:rPr>
                <w:spacing w:val="1"/>
              </w:rPr>
              <w:t>4.质量验收标准及通病防治</w:t>
            </w:r>
          </w:p>
          <w:p w14:paraId="55F38EF1">
            <w:pPr>
              <w:pStyle w:val="6"/>
              <w:spacing w:before="28" w:line="220" w:lineRule="auto"/>
              <w:ind w:left="11"/>
            </w:pPr>
            <w:r>
              <w:rPr>
                <w:spacing w:val="-1"/>
              </w:rPr>
              <w:t>5.成品保护及安全环保措施</w:t>
            </w:r>
          </w:p>
        </w:tc>
        <w:tc>
          <w:tcPr>
            <w:tcW w:w="220" w:type="dxa"/>
            <w:vAlign w:val="top"/>
          </w:tcPr>
          <w:p w14:paraId="234C436A">
            <w:pPr>
              <w:pStyle w:val="6"/>
              <w:spacing w:before="99" w:line="238" w:lineRule="auto"/>
              <w:ind w:left="47"/>
              <w:rPr>
                <w:sz w:val="12"/>
                <w:szCs w:val="12"/>
              </w:rPr>
            </w:pPr>
            <w:r>
              <w:rPr>
                <w:sz w:val="12"/>
                <w:szCs w:val="12"/>
              </w:rPr>
              <w:t>√</w:t>
            </w:r>
          </w:p>
        </w:tc>
        <w:tc>
          <w:tcPr>
            <w:tcW w:w="219" w:type="dxa"/>
            <w:vAlign w:val="top"/>
          </w:tcPr>
          <w:p w14:paraId="5E4A4A56">
            <w:pPr>
              <w:rPr>
                <w:rFonts w:ascii="Arial"/>
                <w:sz w:val="21"/>
              </w:rPr>
            </w:pPr>
          </w:p>
        </w:tc>
        <w:tc>
          <w:tcPr>
            <w:tcW w:w="229" w:type="dxa"/>
            <w:vAlign w:val="top"/>
          </w:tcPr>
          <w:p w14:paraId="1D433A67">
            <w:pPr>
              <w:rPr>
                <w:rFonts w:ascii="Arial"/>
                <w:sz w:val="21"/>
              </w:rPr>
            </w:pPr>
          </w:p>
        </w:tc>
        <w:tc>
          <w:tcPr>
            <w:tcW w:w="234" w:type="dxa"/>
            <w:vAlign w:val="top"/>
          </w:tcPr>
          <w:p w14:paraId="4F56A57A">
            <w:pPr>
              <w:rPr>
                <w:rFonts w:ascii="Arial"/>
                <w:sz w:val="21"/>
              </w:rPr>
            </w:pPr>
          </w:p>
        </w:tc>
      </w:tr>
      <w:tr w14:paraId="021852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8" w:hRule="atLeast"/>
        </w:trPr>
        <w:tc>
          <w:tcPr>
            <w:tcW w:w="893" w:type="dxa"/>
            <w:vMerge w:val="continue"/>
            <w:tcBorders>
              <w:top w:val="nil"/>
              <w:bottom w:val="nil"/>
            </w:tcBorders>
            <w:vAlign w:val="top"/>
          </w:tcPr>
          <w:p w14:paraId="32F45627">
            <w:pPr>
              <w:rPr>
                <w:rFonts w:ascii="Arial"/>
                <w:sz w:val="21"/>
              </w:rPr>
            </w:pPr>
          </w:p>
        </w:tc>
        <w:tc>
          <w:tcPr>
            <w:tcW w:w="2324" w:type="dxa"/>
            <w:vMerge w:val="continue"/>
            <w:tcBorders>
              <w:top w:val="nil"/>
              <w:bottom w:val="nil"/>
            </w:tcBorders>
            <w:vAlign w:val="top"/>
          </w:tcPr>
          <w:p w14:paraId="6ECA40CA">
            <w:pPr>
              <w:rPr>
                <w:rFonts w:ascii="Arial"/>
                <w:sz w:val="21"/>
              </w:rPr>
            </w:pPr>
          </w:p>
        </w:tc>
        <w:tc>
          <w:tcPr>
            <w:tcW w:w="220" w:type="dxa"/>
            <w:vAlign w:val="top"/>
          </w:tcPr>
          <w:p w14:paraId="6B271945">
            <w:pPr>
              <w:rPr>
                <w:rFonts w:ascii="Arial"/>
                <w:sz w:val="21"/>
              </w:rPr>
            </w:pPr>
          </w:p>
        </w:tc>
        <w:tc>
          <w:tcPr>
            <w:tcW w:w="219" w:type="dxa"/>
            <w:vAlign w:val="top"/>
          </w:tcPr>
          <w:p w14:paraId="7E272684">
            <w:pPr>
              <w:pStyle w:val="6"/>
              <w:spacing w:before="102" w:line="238" w:lineRule="auto"/>
              <w:ind w:left="37"/>
              <w:rPr>
                <w:sz w:val="13"/>
                <w:szCs w:val="13"/>
              </w:rPr>
            </w:pPr>
            <w:r>
              <w:rPr>
                <w:sz w:val="13"/>
                <w:szCs w:val="13"/>
              </w:rPr>
              <w:t>√</w:t>
            </w:r>
          </w:p>
        </w:tc>
        <w:tc>
          <w:tcPr>
            <w:tcW w:w="229" w:type="dxa"/>
            <w:vAlign w:val="top"/>
          </w:tcPr>
          <w:p w14:paraId="1DC9F6C5">
            <w:pPr>
              <w:rPr>
                <w:rFonts w:ascii="Arial"/>
                <w:sz w:val="21"/>
              </w:rPr>
            </w:pPr>
          </w:p>
        </w:tc>
        <w:tc>
          <w:tcPr>
            <w:tcW w:w="234" w:type="dxa"/>
            <w:vAlign w:val="top"/>
          </w:tcPr>
          <w:p w14:paraId="4CB0ABE7">
            <w:pPr>
              <w:rPr>
                <w:rFonts w:ascii="Arial"/>
                <w:sz w:val="21"/>
              </w:rPr>
            </w:pPr>
          </w:p>
        </w:tc>
      </w:tr>
      <w:tr w14:paraId="18D49A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8" w:hRule="atLeast"/>
        </w:trPr>
        <w:tc>
          <w:tcPr>
            <w:tcW w:w="893" w:type="dxa"/>
            <w:vMerge w:val="continue"/>
            <w:tcBorders>
              <w:top w:val="nil"/>
              <w:bottom w:val="nil"/>
            </w:tcBorders>
            <w:vAlign w:val="top"/>
          </w:tcPr>
          <w:p w14:paraId="219BABFF">
            <w:pPr>
              <w:rPr>
                <w:rFonts w:ascii="Arial"/>
                <w:sz w:val="21"/>
              </w:rPr>
            </w:pPr>
          </w:p>
        </w:tc>
        <w:tc>
          <w:tcPr>
            <w:tcW w:w="2324" w:type="dxa"/>
            <w:vMerge w:val="continue"/>
            <w:tcBorders>
              <w:top w:val="nil"/>
              <w:bottom w:val="nil"/>
            </w:tcBorders>
            <w:vAlign w:val="top"/>
          </w:tcPr>
          <w:p w14:paraId="5F1A5A45">
            <w:pPr>
              <w:rPr>
                <w:rFonts w:ascii="Arial"/>
                <w:sz w:val="21"/>
              </w:rPr>
            </w:pPr>
          </w:p>
        </w:tc>
        <w:tc>
          <w:tcPr>
            <w:tcW w:w="220" w:type="dxa"/>
            <w:vAlign w:val="top"/>
          </w:tcPr>
          <w:p w14:paraId="65B1BCE8">
            <w:pPr>
              <w:rPr>
                <w:rFonts w:ascii="Arial"/>
                <w:sz w:val="21"/>
              </w:rPr>
            </w:pPr>
          </w:p>
        </w:tc>
        <w:tc>
          <w:tcPr>
            <w:tcW w:w="219" w:type="dxa"/>
            <w:vAlign w:val="top"/>
          </w:tcPr>
          <w:p w14:paraId="332A75F5">
            <w:pPr>
              <w:rPr>
                <w:rFonts w:ascii="Arial"/>
                <w:sz w:val="21"/>
              </w:rPr>
            </w:pPr>
          </w:p>
        </w:tc>
        <w:tc>
          <w:tcPr>
            <w:tcW w:w="229" w:type="dxa"/>
            <w:vAlign w:val="top"/>
          </w:tcPr>
          <w:p w14:paraId="6B6EB885">
            <w:pPr>
              <w:pStyle w:val="6"/>
              <w:spacing w:before="113" w:line="238" w:lineRule="auto"/>
              <w:ind w:left="18"/>
              <w:rPr>
                <w:sz w:val="12"/>
                <w:szCs w:val="12"/>
              </w:rPr>
            </w:pPr>
            <w:r>
              <w:rPr>
                <w:sz w:val="12"/>
                <w:szCs w:val="12"/>
              </w:rPr>
              <w:t>√</w:t>
            </w:r>
          </w:p>
        </w:tc>
        <w:tc>
          <w:tcPr>
            <w:tcW w:w="234" w:type="dxa"/>
            <w:vAlign w:val="top"/>
          </w:tcPr>
          <w:p w14:paraId="565F9ABC">
            <w:pPr>
              <w:rPr>
                <w:rFonts w:ascii="Arial"/>
                <w:sz w:val="21"/>
              </w:rPr>
            </w:pPr>
          </w:p>
        </w:tc>
      </w:tr>
      <w:tr w14:paraId="724447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893" w:type="dxa"/>
            <w:vMerge w:val="continue"/>
            <w:tcBorders>
              <w:top w:val="nil"/>
              <w:bottom w:val="nil"/>
            </w:tcBorders>
            <w:vAlign w:val="top"/>
          </w:tcPr>
          <w:p w14:paraId="228ABC57">
            <w:pPr>
              <w:rPr>
                <w:rFonts w:ascii="Arial"/>
                <w:sz w:val="21"/>
              </w:rPr>
            </w:pPr>
          </w:p>
        </w:tc>
        <w:tc>
          <w:tcPr>
            <w:tcW w:w="2324" w:type="dxa"/>
            <w:vMerge w:val="continue"/>
            <w:tcBorders>
              <w:top w:val="nil"/>
              <w:bottom w:val="nil"/>
            </w:tcBorders>
            <w:vAlign w:val="top"/>
          </w:tcPr>
          <w:p w14:paraId="4B0C9914">
            <w:pPr>
              <w:rPr>
                <w:rFonts w:ascii="Arial"/>
                <w:sz w:val="21"/>
              </w:rPr>
            </w:pPr>
          </w:p>
        </w:tc>
        <w:tc>
          <w:tcPr>
            <w:tcW w:w="220" w:type="dxa"/>
            <w:vAlign w:val="top"/>
          </w:tcPr>
          <w:p w14:paraId="4D8B795E">
            <w:pPr>
              <w:rPr>
                <w:rFonts w:ascii="Arial"/>
                <w:sz w:val="21"/>
              </w:rPr>
            </w:pPr>
          </w:p>
        </w:tc>
        <w:tc>
          <w:tcPr>
            <w:tcW w:w="219" w:type="dxa"/>
            <w:vAlign w:val="top"/>
          </w:tcPr>
          <w:p w14:paraId="1A276720">
            <w:pPr>
              <w:rPr>
                <w:rFonts w:ascii="Arial"/>
                <w:sz w:val="21"/>
              </w:rPr>
            </w:pPr>
          </w:p>
        </w:tc>
        <w:tc>
          <w:tcPr>
            <w:tcW w:w="229" w:type="dxa"/>
            <w:vAlign w:val="top"/>
          </w:tcPr>
          <w:p w14:paraId="1011866A">
            <w:pPr>
              <w:rPr>
                <w:rFonts w:ascii="Arial"/>
                <w:sz w:val="21"/>
              </w:rPr>
            </w:pPr>
          </w:p>
        </w:tc>
        <w:tc>
          <w:tcPr>
            <w:tcW w:w="234" w:type="dxa"/>
            <w:vAlign w:val="top"/>
          </w:tcPr>
          <w:p w14:paraId="3D3A4C57">
            <w:pPr>
              <w:pStyle w:val="6"/>
              <w:spacing w:before="106" w:line="238" w:lineRule="auto"/>
              <w:ind w:left="19"/>
              <w:rPr>
                <w:sz w:val="13"/>
                <w:szCs w:val="13"/>
              </w:rPr>
            </w:pPr>
            <w:r>
              <w:rPr>
                <w:sz w:val="13"/>
                <w:szCs w:val="13"/>
              </w:rPr>
              <w:t>√</w:t>
            </w:r>
          </w:p>
        </w:tc>
      </w:tr>
      <w:tr w14:paraId="5D2442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4" w:hRule="atLeast"/>
        </w:trPr>
        <w:tc>
          <w:tcPr>
            <w:tcW w:w="893" w:type="dxa"/>
            <w:vMerge w:val="continue"/>
            <w:tcBorders>
              <w:top w:val="nil"/>
            </w:tcBorders>
            <w:vAlign w:val="top"/>
          </w:tcPr>
          <w:p w14:paraId="163B0B7E">
            <w:pPr>
              <w:rPr>
                <w:rFonts w:ascii="Arial"/>
                <w:sz w:val="21"/>
              </w:rPr>
            </w:pPr>
          </w:p>
        </w:tc>
        <w:tc>
          <w:tcPr>
            <w:tcW w:w="2324" w:type="dxa"/>
            <w:vMerge w:val="continue"/>
            <w:tcBorders>
              <w:top w:val="nil"/>
            </w:tcBorders>
            <w:vAlign w:val="top"/>
          </w:tcPr>
          <w:p w14:paraId="4C0C9696">
            <w:pPr>
              <w:rPr>
                <w:rFonts w:ascii="Arial"/>
                <w:sz w:val="21"/>
              </w:rPr>
            </w:pPr>
          </w:p>
        </w:tc>
        <w:tc>
          <w:tcPr>
            <w:tcW w:w="220" w:type="dxa"/>
            <w:vAlign w:val="top"/>
          </w:tcPr>
          <w:p w14:paraId="118EAB4D">
            <w:pPr>
              <w:rPr>
                <w:rFonts w:ascii="Arial"/>
                <w:sz w:val="21"/>
              </w:rPr>
            </w:pPr>
          </w:p>
        </w:tc>
        <w:tc>
          <w:tcPr>
            <w:tcW w:w="219" w:type="dxa"/>
            <w:vAlign w:val="top"/>
          </w:tcPr>
          <w:p w14:paraId="4D3B868C">
            <w:pPr>
              <w:pStyle w:val="6"/>
              <w:spacing w:before="107" w:line="238" w:lineRule="auto"/>
              <w:ind w:left="37"/>
              <w:rPr>
                <w:sz w:val="13"/>
                <w:szCs w:val="13"/>
              </w:rPr>
            </w:pPr>
            <w:r>
              <w:rPr>
                <w:sz w:val="13"/>
                <w:szCs w:val="13"/>
              </w:rPr>
              <w:t>√</w:t>
            </w:r>
          </w:p>
        </w:tc>
        <w:tc>
          <w:tcPr>
            <w:tcW w:w="229" w:type="dxa"/>
            <w:vAlign w:val="top"/>
          </w:tcPr>
          <w:p w14:paraId="0AA1C437">
            <w:pPr>
              <w:rPr>
                <w:rFonts w:ascii="Arial"/>
                <w:sz w:val="21"/>
              </w:rPr>
            </w:pPr>
          </w:p>
        </w:tc>
        <w:tc>
          <w:tcPr>
            <w:tcW w:w="234" w:type="dxa"/>
            <w:vAlign w:val="top"/>
          </w:tcPr>
          <w:p w14:paraId="34DC8C6B">
            <w:pPr>
              <w:rPr>
                <w:rFonts w:ascii="Arial"/>
                <w:sz w:val="21"/>
              </w:rPr>
            </w:pPr>
          </w:p>
        </w:tc>
      </w:tr>
    </w:tbl>
    <w:p w14:paraId="7724005C">
      <w:pPr>
        <w:spacing w:before="148" w:line="222" w:lineRule="auto"/>
        <w:ind w:left="1162"/>
        <w:rPr>
          <w:rFonts w:ascii="黑体" w:hAnsi="黑体" w:eastAsia="黑体" w:cs="黑体"/>
          <w:sz w:val="17"/>
          <w:szCs w:val="17"/>
        </w:rPr>
      </w:pPr>
      <w:r>
        <w:rPr>
          <w:rFonts w:ascii="黑体" w:hAnsi="黑体" w:eastAsia="黑体" w:cs="黑体"/>
          <w:b/>
          <w:bCs/>
          <w:spacing w:val="21"/>
          <w:sz w:val="17"/>
          <w:szCs w:val="17"/>
        </w:rPr>
        <w:t>第四章</w:t>
      </w:r>
      <w:r>
        <w:rPr>
          <w:rFonts w:ascii="黑体" w:hAnsi="黑体" w:eastAsia="黑体" w:cs="黑体"/>
          <w:spacing w:val="27"/>
          <w:sz w:val="17"/>
          <w:szCs w:val="17"/>
        </w:rPr>
        <w:t xml:space="preserve">  </w:t>
      </w:r>
      <w:r>
        <w:rPr>
          <w:rFonts w:ascii="黑体" w:hAnsi="黑体" w:eastAsia="黑体" w:cs="黑体"/>
          <w:b/>
          <w:bCs/>
          <w:spacing w:val="21"/>
          <w:sz w:val="17"/>
          <w:szCs w:val="17"/>
        </w:rPr>
        <w:t>楼、地面工程</w:t>
      </w:r>
    </w:p>
    <w:p w14:paraId="2539A10D">
      <w:pPr>
        <w:spacing w:line="77" w:lineRule="exact"/>
      </w:pPr>
    </w:p>
    <w:tbl>
      <w:tblPr>
        <w:tblStyle w:val="5"/>
        <w:tblW w:w="4119"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24"/>
        <w:gridCol w:w="229"/>
        <w:gridCol w:w="220"/>
        <w:gridCol w:w="229"/>
        <w:gridCol w:w="224"/>
      </w:tblGrid>
      <w:tr w14:paraId="7E9534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3" w:hRule="atLeast"/>
        </w:trPr>
        <w:tc>
          <w:tcPr>
            <w:tcW w:w="893" w:type="dxa"/>
            <w:vMerge w:val="restart"/>
            <w:tcBorders>
              <w:bottom w:val="nil"/>
            </w:tcBorders>
            <w:vAlign w:val="top"/>
          </w:tcPr>
          <w:p w14:paraId="2E130CD6">
            <w:pPr>
              <w:pStyle w:val="6"/>
              <w:spacing w:before="131" w:line="224" w:lineRule="auto"/>
              <w:ind w:left="97" w:right="112" w:firstLine="89"/>
            </w:pPr>
            <w:r>
              <w:rPr>
                <w:b/>
                <w:bCs/>
                <w:spacing w:val="-6"/>
              </w:rPr>
              <w:t>知识与</w:t>
            </w:r>
            <w:r>
              <w:t xml:space="preserve">  </w:t>
            </w:r>
            <w:r>
              <w:rPr>
                <w:b/>
                <w:bCs/>
                <w:spacing w:val="-4"/>
              </w:rPr>
              <w:t>技能要点</w:t>
            </w:r>
          </w:p>
        </w:tc>
        <w:tc>
          <w:tcPr>
            <w:tcW w:w="2324" w:type="dxa"/>
            <w:vMerge w:val="restart"/>
            <w:tcBorders>
              <w:bottom w:val="nil"/>
            </w:tcBorders>
            <w:vAlign w:val="top"/>
          </w:tcPr>
          <w:p w14:paraId="3917BC9E">
            <w:pPr>
              <w:pStyle w:val="6"/>
              <w:spacing w:before="229" w:line="219" w:lineRule="auto"/>
              <w:ind w:left="834"/>
            </w:pPr>
            <w:r>
              <w:rPr>
                <w:b/>
                <w:bCs/>
                <w:spacing w:val="5"/>
              </w:rPr>
              <w:t>考试条目</w:t>
            </w:r>
          </w:p>
        </w:tc>
        <w:tc>
          <w:tcPr>
            <w:tcW w:w="902" w:type="dxa"/>
            <w:gridSpan w:val="4"/>
            <w:vAlign w:val="top"/>
          </w:tcPr>
          <w:p w14:paraId="1CC50A8D">
            <w:pPr>
              <w:pStyle w:val="6"/>
              <w:spacing w:before="79" w:line="219" w:lineRule="auto"/>
              <w:ind w:left="130"/>
            </w:pPr>
            <w:r>
              <w:rPr>
                <w:b/>
                <w:bCs/>
                <w:spacing w:val="-4"/>
              </w:rPr>
              <w:t>考试水平</w:t>
            </w:r>
          </w:p>
        </w:tc>
      </w:tr>
      <w:tr w14:paraId="684F66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893" w:type="dxa"/>
            <w:vMerge w:val="continue"/>
            <w:tcBorders>
              <w:top w:val="nil"/>
            </w:tcBorders>
            <w:vAlign w:val="top"/>
          </w:tcPr>
          <w:p w14:paraId="1572B17C">
            <w:pPr>
              <w:rPr>
                <w:rFonts w:ascii="Arial"/>
                <w:sz w:val="21"/>
              </w:rPr>
            </w:pPr>
          </w:p>
        </w:tc>
        <w:tc>
          <w:tcPr>
            <w:tcW w:w="2324" w:type="dxa"/>
            <w:vMerge w:val="continue"/>
            <w:tcBorders>
              <w:top w:val="nil"/>
            </w:tcBorders>
            <w:vAlign w:val="top"/>
          </w:tcPr>
          <w:p w14:paraId="1EB718F1">
            <w:pPr>
              <w:rPr>
                <w:rFonts w:ascii="Arial"/>
                <w:sz w:val="21"/>
              </w:rPr>
            </w:pPr>
          </w:p>
        </w:tc>
        <w:tc>
          <w:tcPr>
            <w:tcW w:w="229" w:type="dxa"/>
            <w:vAlign w:val="top"/>
          </w:tcPr>
          <w:p w14:paraId="47ADF0BA">
            <w:pPr>
              <w:pStyle w:val="6"/>
              <w:spacing w:before="111" w:line="184" w:lineRule="auto"/>
              <w:ind w:left="70"/>
            </w:pPr>
            <w:r>
              <w:rPr>
                <w:b/>
                <w:bCs/>
                <w:spacing w:val="-2"/>
              </w:rPr>
              <w:t>A</w:t>
            </w:r>
          </w:p>
        </w:tc>
        <w:tc>
          <w:tcPr>
            <w:tcW w:w="220" w:type="dxa"/>
            <w:vAlign w:val="top"/>
          </w:tcPr>
          <w:p w14:paraId="3B323F97">
            <w:pPr>
              <w:pStyle w:val="6"/>
              <w:spacing w:before="113" w:line="182" w:lineRule="auto"/>
              <w:ind w:left="61"/>
            </w:pPr>
            <w:r>
              <w:rPr>
                <w:b/>
                <w:bCs/>
                <w:spacing w:val="-2"/>
              </w:rPr>
              <w:t>B</w:t>
            </w:r>
          </w:p>
        </w:tc>
        <w:tc>
          <w:tcPr>
            <w:tcW w:w="229" w:type="dxa"/>
            <w:vAlign w:val="top"/>
          </w:tcPr>
          <w:p w14:paraId="22CC3019">
            <w:pPr>
              <w:pStyle w:val="6"/>
              <w:spacing w:before="111" w:line="183" w:lineRule="auto"/>
              <w:ind w:left="71"/>
            </w:pPr>
            <w:r>
              <w:rPr>
                <w:b/>
                <w:bCs/>
                <w:spacing w:val="-2"/>
              </w:rPr>
              <w:t>C</w:t>
            </w:r>
          </w:p>
        </w:tc>
        <w:tc>
          <w:tcPr>
            <w:tcW w:w="224" w:type="dxa"/>
            <w:vAlign w:val="top"/>
          </w:tcPr>
          <w:p w14:paraId="7F52E245">
            <w:pPr>
              <w:pStyle w:val="6"/>
              <w:spacing w:before="113" w:line="182" w:lineRule="auto"/>
              <w:ind w:left="59"/>
            </w:pPr>
            <w:r>
              <w:t>D</w:t>
            </w:r>
          </w:p>
        </w:tc>
      </w:tr>
      <w:tr w14:paraId="76AACB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893" w:type="dxa"/>
            <w:vMerge w:val="restart"/>
            <w:tcBorders>
              <w:bottom w:val="nil"/>
            </w:tcBorders>
            <w:vAlign w:val="top"/>
          </w:tcPr>
          <w:p w14:paraId="1BC4F8DA">
            <w:pPr>
              <w:spacing w:line="432" w:lineRule="auto"/>
              <w:rPr>
                <w:rFonts w:ascii="Arial"/>
                <w:sz w:val="21"/>
              </w:rPr>
            </w:pPr>
          </w:p>
          <w:p w14:paraId="6CFD1E7C">
            <w:pPr>
              <w:pStyle w:val="6"/>
              <w:spacing w:before="56" w:line="221" w:lineRule="auto"/>
              <w:ind w:left="94"/>
            </w:pPr>
            <w:r>
              <w:rPr>
                <w:spacing w:val="1"/>
              </w:rPr>
              <w:t>陶瓷地砖</w:t>
            </w:r>
          </w:p>
          <w:p w14:paraId="3DD9E99E">
            <w:pPr>
              <w:pStyle w:val="6"/>
              <w:spacing w:before="36" w:line="220" w:lineRule="auto"/>
              <w:ind w:left="94"/>
            </w:pPr>
            <w:r>
              <w:rPr>
                <w:spacing w:val="-2"/>
              </w:rPr>
              <w:t>地面工程</w:t>
            </w:r>
          </w:p>
          <w:p w14:paraId="2DF5CC08">
            <w:pPr>
              <w:pStyle w:val="6"/>
              <w:spacing w:before="19" w:line="222" w:lineRule="auto"/>
              <w:ind w:left="265"/>
            </w:pPr>
            <w:r>
              <w:rPr>
                <w:spacing w:val="-2"/>
              </w:rPr>
              <w:t>施工</w:t>
            </w:r>
          </w:p>
        </w:tc>
        <w:tc>
          <w:tcPr>
            <w:tcW w:w="2324" w:type="dxa"/>
            <w:vMerge w:val="restart"/>
            <w:tcBorders>
              <w:bottom w:val="nil"/>
            </w:tcBorders>
            <w:vAlign w:val="top"/>
          </w:tcPr>
          <w:p w14:paraId="13C421B7">
            <w:pPr>
              <w:pStyle w:val="6"/>
              <w:spacing w:before="280" w:line="219" w:lineRule="auto"/>
              <w:ind w:left="11"/>
            </w:pPr>
            <w:r>
              <w:rPr>
                <w:spacing w:val="1"/>
              </w:rPr>
              <w:t>1.作业条件</w:t>
            </w:r>
          </w:p>
          <w:p w14:paraId="4EFE51D6">
            <w:pPr>
              <w:pStyle w:val="6"/>
              <w:spacing w:before="27" w:line="219" w:lineRule="auto"/>
              <w:ind w:left="11"/>
            </w:pPr>
            <w:r>
              <w:rPr>
                <w:spacing w:val="-1"/>
              </w:rPr>
              <w:t>2.施工材料及其要求</w:t>
            </w:r>
          </w:p>
          <w:p w14:paraId="0DA99D4B">
            <w:pPr>
              <w:pStyle w:val="6"/>
              <w:spacing w:before="39" w:line="218" w:lineRule="auto"/>
              <w:ind w:left="11" w:right="76"/>
            </w:pPr>
            <w:r>
              <w:rPr>
                <w:spacing w:val="1"/>
              </w:rPr>
              <w:t>3.施工工艺流程及其操作要点</w:t>
            </w:r>
            <w:r>
              <w:t xml:space="preserve"> </w:t>
            </w:r>
            <w:r>
              <w:rPr>
                <w:spacing w:val="1"/>
              </w:rPr>
              <w:t>4.质量验收标准及通病防治</w:t>
            </w:r>
          </w:p>
          <w:p w14:paraId="5D4B445E">
            <w:pPr>
              <w:pStyle w:val="6"/>
              <w:spacing w:before="18" w:line="220" w:lineRule="auto"/>
              <w:ind w:left="11"/>
            </w:pPr>
            <w:r>
              <w:rPr>
                <w:spacing w:val="-1"/>
              </w:rPr>
              <w:t>5.成品保护及安全环保措施</w:t>
            </w:r>
          </w:p>
        </w:tc>
        <w:tc>
          <w:tcPr>
            <w:tcW w:w="229" w:type="dxa"/>
            <w:vAlign w:val="top"/>
          </w:tcPr>
          <w:p w14:paraId="0B75BF9F">
            <w:pPr>
              <w:rPr>
                <w:rFonts w:ascii="Arial"/>
                <w:sz w:val="21"/>
              </w:rPr>
            </w:pPr>
          </w:p>
        </w:tc>
        <w:tc>
          <w:tcPr>
            <w:tcW w:w="220" w:type="dxa"/>
            <w:vAlign w:val="top"/>
          </w:tcPr>
          <w:p w14:paraId="74CE29C5">
            <w:pPr>
              <w:pStyle w:val="6"/>
              <w:spacing w:before="109" w:line="238" w:lineRule="auto"/>
              <w:ind w:left="48"/>
              <w:rPr>
                <w:sz w:val="12"/>
                <w:szCs w:val="12"/>
              </w:rPr>
            </w:pPr>
            <w:r>
              <w:rPr>
                <w:sz w:val="12"/>
                <w:szCs w:val="12"/>
              </w:rPr>
              <w:t>√</w:t>
            </w:r>
          </w:p>
        </w:tc>
        <w:tc>
          <w:tcPr>
            <w:tcW w:w="229" w:type="dxa"/>
            <w:vAlign w:val="top"/>
          </w:tcPr>
          <w:p w14:paraId="650CBBAA">
            <w:pPr>
              <w:rPr>
                <w:rFonts w:ascii="Arial"/>
                <w:sz w:val="21"/>
              </w:rPr>
            </w:pPr>
          </w:p>
        </w:tc>
        <w:tc>
          <w:tcPr>
            <w:tcW w:w="224" w:type="dxa"/>
            <w:vAlign w:val="top"/>
          </w:tcPr>
          <w:p w14:paraId="6B66D34C">
            <w:pPr>
              <w:rPr>
                <w:rFonts w:ascii="Arial"/>
                <w:sz w:val="21"/>
              </w:rPr>
            </w:pPr>
          </w:p>
        </w:tc>
      </w:tr>
      <w:tr w14:paraId="476D32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8" w:hRule="atLeast"/>
        </w:trPr>
        <w:tc>
          <w:tcPr>
            <w:tcW w:w="893" w:type="dxa"/>
            <w:vMerge w:val="continue"/>
            <w:tcBorders>
              <w:top w:val="nil"/>
              <w:bottom w:val="nil"/>
            </w:tcBorders>
            <w:vAlign w:val="top"/>
          </w:tcPr>
          <w:p w14:paraId="677E9663">
            <w:pPr>
              <w:rPr>
                <w:rFonts w:ascii="Arial"/>
                <w:sz w:val="21"/>
              </w:rPr>
            </w:pPr>
          </w:p>
        </w:tc>
        <w:tc>
          <w:tcPr>
            <w:tcW w:w="2324" w:type="dxa"/>
            <w:vMerge w:val="continue"/>
            <w:tcBorders>
              <w:top w:val="nil"/>
              <w:bottom w:val="nil"/>
            </w:tcBorders>
            <w:vAlign w:val="top"/>
          </w:tcPr>
          <w:p w14:paraId="2626389A">
            <w:pPr>
              <w:rPr>
                <w:rFonts w:ascii="Arial"/>
                <w:sz w:val="21"/>
              </w:rPr>
            </w:pPr>
          </w:p>
        </w:tc>
        <w:tc>
          <w:tcPr>
            <w:tcW w:w="229" w:type="dxa"/>
            <w:vAlign w:val="top"/>
          </w:tcPr>
          <w:p w14:paraId="3999C4FF">
            <w:pPr>
              <w:pStyle w:val="6"/>
              <w:spacing w:before="98" w:line="228" w:lineRule="auto"/>
              <w:ind w:left="28"/>
            </w:pPr>
            <w:r>
              <w:t>√</w:t>
            </w:r>
          </w:p>
        </w:tc>
        <w:tc>
          <w:tcPr>
            <w:tcW w:w="220" w:type="dxa"/>
            <w:vAlign w:val="top"/>
          </w:tcPr>
          <w:p w14:paraId="08207D48">
            <w:pPr>
              <w:rPr>
                <w:rFonts w:ascii="Arial"/>
                <w:sz w:val="21"/>
              </w:rPr>
            </w:pPr>
          </w:p>
        </w:tc>
        <w:tc>
          <w:tcPr>
            <w:tcW w:w="229" w:type="dxa"/>
            <w:vAlign w:val="top"/>
          </w:tcPr>
          <w:p w14:paraId="7A0A1675">
            <w:pPr>
              <w:rPr>
                <w:rFonts w:ascii="Arial"/>
                <w:sz w:val="21"/>
              </w:rPr>
            </w:pPr>
          </w:p>
        </w:tc>
        <w:tc>
          <w:tcPr>
            <w:tcW w:w="224" w:type="dxa"/>
            <w:vAlign w:val="top"/>
          </w:tcPr>
          <w:p w14:paraId="37CE236C">
            <w:pPr>
              <w:rPr>
                <w:rFonts w:ascii="Arial"/>
                <w:sz w:val="21"/>
              </w:rPr>
            </w:pPr>
          </w:p>
        </w:tc>
      </w:tr>
      <w:tr w14:paraId="2D9670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8" w:hRule="atLeast"/>
        </w:trPr>
        <w:tc>
          <w:tcPr>
            <w:tcW w:w="893" w:type="dxa"/>
            <w:vMerge w:val="continue"/>
            <w:tcBorders>
              <w:top w:val="nil"/>
              <w:bottom w:val="nil"/>
            </w:tcBorders>
            <w:vAlign w:val="top"/>
          </w:tcPr>
          <w:p w14:paraId="3B6D7984">
            <w:pPr>
              <w:rPr>
                <w:rFonts w:ascii="Arial"/>
                <w:sz w:val="21"/>
              </w:rPr>
            </w:pPr>
          </w:p>
        </w:tc>
        <w:tc>
          <w:tcPr>
            <w:tcW w:w="2324" w:type="dxa"/>
            <w:vMerge w:val="continue"/>
            <w:tcBorders>
              <w:top w:val="nil"/>
              <w:bottom w:val="nil"/>
            </w:tcBorders>
            <w:vAlign w:val="top"/>
          </w:tcPr>
          <w:p w14:paraId="4D2FED1C">
            <w:pPr>
              <w:rPr>
                <w:rFonts w:ascii="Arial"/>
                <w:sz w:val="21"/>
              </w:rPr>
            </w:pPr>
          </w:p>
        </w:tc>
        <w:tc>
          <w:tcPr>
            <w:tcW w:w="229" w:type="dxa"/>
            <w:vAlign w:val="top"/>
          </w:tcPr>
          <w:p w14:paraId="37F52555">
            <w:pPr>
              <w:rPr>
                <w:rFonts w:ascii="Arial"/>
                <w:sz w:val="21"/>
              </w:rPr>
            </w:pPr>
          </w:p>
        </w:tc>
        <w:tc>
          <w:tcPr>
            <w:tcW w:w="220" w:type="dxa"/>
            <w:vAlign w:val="top"/>
          </w:tcPr>
          <w:p w14:paraId="5C25984E">
            <w:pPr>
              <w:rPr>
                <w:rFonts w:ascii="Arial"/>
                <w:sz w:val="21"/>
              </w:rPr>
            </w:pPr>
          </w:p>
        </w:tc>
        <w:tc>
          <w:tcPr>
            <w:tcW w:w="229" w:type="dxa"/>
            <w:vAlign w:val="top"/>
          </w:tcPr>
          <w:p w14:paraId="3DF4A3C9">
            <w:pPr>
              <w:pStyle w:val="6"/>
              <w:spacing w:before="112" w:line="238" w:lineRule="auto"/>
              <w:ind w:left="49"/>
              <w:rPr>
                <w:sz w:val="12"/>
                <w:szCs w:val="12"/>
              </w:rPr>
            </w:pPr>
            <w:r>
              <w:rPr>
                <w:sz w:val="12"/>
                <w:szCs w:val="12"/>
              </w:rPr>
              <w:t>√</w:t>
            </w:r>
          </w:p>
        </w:tc>
        <w:tc>
          <w:tcPr>
            <w:tcW w:w="224" w:type="dxa"/>
            <w:vAlign w:val="top"/>
          </w:tcPr>
          <w:p w14:paraId="3809B530">
            <w:pPr>
              <w:rPr>
                <w:rFonts w:ascii="Arial"/>
                <w:sz w:val="21"/>
              </w:rPr>
            </w:pPr>
          </w:p>
        </w:tc>
      </w:tr>
      <w:tr w14:paraId="3A523F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893" w:type="dxa"/>
            <w:vMerge w:val="continue"/>
            <w:tcBorders>
              <w:top w:val="nil"/>
              <w:bottom w:val="nil"/>
            </w:tcBorders>
            <w:vAlign w:val="top"/>
          </w:tcPr>
          <w:p w14:paraId="0925BC78">
            <w:pPr>
              <w:rPr>
                <w:rFonts w:ascii="Arial"/>
                <w:sz w:val="21"/>
              </w:rPr>
            </w:pPr>
          </w:p>
        </w:tc>
        <w:tc>
          <w:tcPr>
            <w:tcW w:w="2324" w:type="dxa"/>
            <w:vMerge w:val="continue"/>
            <w:tcBorders>
              <w:top w:val="nil"/>
              <w:bottom w:val="nil"/>
            </w:tcBorders>
            <w:vAlign w:val="top"/>
          </w:tcPr>
          <w:p w14:paraId="61FA8EE7">
            <w:pPr>
              <w:rPr>
                <w:rFonts w:ascii="Arial"/>
                <w:sz w:val="21"/>
              </w:rPr>
            </w:pPr>
          </w:p>
        </w:tc>
        <w:tc>
          <w:tcPr>
            <w:tcW w:w="229" w:type="dxa"/>
            <w:vAlign w:val="top"/>
          </w:tcPr>
          <w:p w14:paraId="0BC428C6">
            <w:pPr>
              <w:rPr>
                <w:rFonts w:ascii="Arial"/>
                <w:sz w:val="21"/>
              </w:rPr>
            </w:pPr>
          </w:p>
        </w:tc>
        <w:tc>
          <w:tcPr>
            <w:tcW w:w="220" w:type="dxa"/>
            <w:vAlign w:val="top"/>
          </w:tcPr>
          <w:p w14:paraId="6CCBEA08">
            <w:pPr>
              <w:rPr>
                <w:rFonts w:ascii="Arial"/>
                <w:sz w:val="21"/>
              </w:rPr>
            </w:pPr>
          </w:p>
        </w:tc>
        <w:tc>
          <w:tcPr>
            <w:tcW w:w="229" w:type="dxa"/>
            <w:vAlign w:val="top"/>
          </w:tcPr>
          <w:p w14:paraId="31A8303F">
            <w:pPr>
              <w:rPr>
                <w:rFonts w:ascii="Arial"/>
                <w:sz w:val="21"/>
              </w:rPr>
            </w:pPr>
          </w:p>
        </w:tc>
        <w:tc>
          <w:tcPr>
            <w:tcW w:w="224" w:type="dxa"/>
            <w:vAlign w:val="top"/>
          </w:tcPr>
          <w:p w14:paraId="5B6D8230">
            <w:pPr>
              <w:pStyle w:val="6"/>
              <w:spacing w:before="114" w:line="238" w:lineRule="auto"/>
              <w:ind w:left="49"/>
              <w:rPr>
                <w:sz w:val="12"/>
                <w:szCs w:val="12"/>
              </w:rPr>
            </w:pPr>
            <w:r>
              <w:rPr>
                <w:sz w:val="12"/>
                <w:szCs w:val="12"/>
              </w:rPr>
              <w:t>√</w:t>
            </w:r>
          </w:p>
        </w:tc>
      </w:tr>
      <w:tr w14:paraId="4E6F2D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3" w:hRule="atLeast"/>
        </w:trPr>
        <w:tc>
          <w:tcPr>
            <w:tcW w:w="893" w:type="dxa"/>
            <w:vMerge w:val="continue"/>
            <w:tcBorders>
              <w:top w:val="nil"/>
            </w:tcBorders>
            <w:vAlign w:val="top"/>
          </w:tcPr>
          <w:p w14:paraId="087D7A64">
            <w:pPr>
              <w:rPr>
                <w:rFonts w:ascii="Arial"/>
                <w:sz w:val="21"/>
              </w:rPr>
            </w:pPr>
          </w:p>
        </w:tc>
        <w:tc>
          <w:tcPr>
            <w:tcW w:w="2324" w:type="dxa"/>
            <w:vMerge w:val="continue"/>
            <w:tcBorders>
              <w:top w:val="nil"/>
            </w:tcBorders>
            <w:vAlign w:val="top"/>
          </w:tcPr>
          <w:p w14:paraId="125C23D9">
            <w:pPr>
              <w:rPr>
                <w:rFonts w:ascii="Arial"/>
                <w:sz w:val="21"/>
              </w:rPr>
            </w:pPr>
          </w:p>
        </w:tc>
        <w:tc>
          <w:tcPr>
            <w:tcW w:w="229" w:type="dxa"/>
            <w:vAlign w:val="top"/>
          </w:tcPr>
          <w:p w14:paraId="7949A80E">
            <w:pPr>
              <w:rPr>
                <w:rFonts w:ascii="Arial"/>
                <w:sz w:val="21"/>
              </w:rPr>
            </w:pPr>
          </w:p>
        </w:tc>
        <w:tc>
          <w:tcPr>
            <w:tcW w:w="220" w:type="dxa"/>
            <w:vAlign w:val="top"/>
          </w:tcPr>
          <w:p w14:paraId="3B3CB396">
            <w:pPr>
              <w:pStyle w:val="6"/>
              <w:spacing w:before="115" w:line="238" w:lineRule="auto"/>
              <w:ind w:left="48"/>
              <w:rPr>
                <w:sz w:val="12"/>
                <w:szCs w:val="12"/>
              </w:rPr>
            </w:pPr>
            <w:r>
              <w:rPr>
                <w:sz w:val="12"/>
                <w:szCs w:val="12"/>
              </w:rPr>
              <w:t>√</w:t>
            </w:r>
          </w:p>
        </w:tc>
        <w:tc>
          <w:tcPr>
            <w:tcW w:w="229" w:type="dxa"/>
            <w:vAlign w:val="top"/>
          </w:tcPr>
          <w:p w14:paraId="06BD29A5">
            <w:pPr>
              <w:rPr>
                <w:rFonts w:ascii="Arial"/>
                <w:sz w:val="21"/>
              </w:rPr>
            </w:pPr>
          </w:p>
        </w:tc>
        <w:tc>
          <w:tcPr>
            <w:tcW w:w="224" w:type="dxa"/>
            <w:vAlign w:val="top"/>
          </w:tcPr>
          <w:p w14:paraId="4B6679FA">
            <w:pPr>
              <w:rPr>
                <w:rFonts w:ascii="Arial"/>
                <w:sz w:val="21"/>
              </w:rPr>
            </w:pPr>
          </w:p>
        </w:tc>
      </w:tr>
    </w:tbl>
    <w:p w14:paraId="24448B34">
      <w:pPr>
        <w:spacing w:before="148" w:line="222" w:lineRule="auto"/>
        <w:ind w:left="1442"/>
        <w:rPr>
          <w:rFonts w:ascii="黑体" w:hAnsi="黑体" w:eastAsia="黑体" w:cs="黑体"/>
          <w:sz w:val="17"/>
          <w:szCs w:val="17"/>
        </w:rPr>
      </w:pPr>
      <w:r>
        <w:rPr>
          <w:rFonts w:ascii="黑体" w:hAnsi="黑体" w:eastAsia="黑体" w:cs="黑体"/>
          <w:b/>
          <w:bCs/>
          <w:spacing w:val="25"/>
          <w:sz w:val="17"/>
          <w:szCs w:val="17"/>
        </w:rPr>
        <w:t>第五章门窗工程</w:t>
      </w:r>
    </w:p>
    <w:p w14:paraId="5459A098">
      <w:pPr>
        <w:spacing w:line="87" w:lineRule="exact"/>
      </w:pPr>
    </w:p>
    <w:tbl>
      <w:tblPr>
        <w:tblStyle w:val="5"/>
        <w:tblW w:w="4119"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24"/>
        <w:gridCol w:w="220"/>
        <w:gridCol w:w="219"/>
        <w:gridCol w:w="229"/>
        <w:gridCol w:w="234"/>
      </w:tblGrid>
      <w:tr w14:paraId="7DFC05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4" w:hRule="atLeast"/>
        </w:trPr>
        <w:tc>
          <w:tcPr>
            <w:tcW w:w="893" w:type="dxa"/>
            <w:vMerge w:val="restart"/>
            <w:tcBorders>
              <w:bottom w:val="nil"/>
            </w:tcBorders>
            <w:vAlign w:val="top"/>
          </w:tcPr>
          <w:p w14:paraId="7F9E1F58">
            <w:pPr>
              <w:pStyle w:val="6"/>
              <w:spacing w:before="121" w:line="223" w:lineRule="auto"/>
              <w:ind w:left="77" w:right="93" w:firstLine="90"/>
              <w:rPr>
                <w:sz w:val="18"/>
                <w:szCs w:val="18"/>
              </w:rPr>
            </w:pPr>
            <w:r>
              <w:rPr>
                <w:b/>
                <w:bCs/>
                <w:spacing w:val="1"/>
                <w:sz w:val="18"/>
                <w:szCs w:val="18"/>
              </w:rPr>
              <w:t>知识与</w:t>
            </w:r>
            <w:r>
              <w:rPr>
                <w:sz w:val="18"/>
                <w:szCs w:val="18"/>
              </w:rPr>
              <w:t xml:space="preserve">  </w:t>
            </w:r>
            <w:r>
              <w:rPr>
                <w:b/>
                <w:bCs/>
                <w:spacing w:val="-4"/>
                <w:sz w:val="18"/>
                <w:szCs w:val="18"/>
              </w:rPr>
              <w:t>技能要点</w:t>
            </w:r>
          </w:p>
        </w:tc>
        <w:tc>
          <w:tcPr>
            <w:tcW w:w="2324" w:type="dxa"/>
            <w:vMerge w:val="restart"/>
            <w:tcBorders>
              <w:bottom w:val="nil"/>
            </w:tcBorders>
            <w:vAlign w:val="top"/>
          </w:tcPr>
          <w:p w14:paraId="038A8239">
            <w:pPr>
              <w:pStyle w:val="6"/>
              <w:spacing w:before="229" w:line="219" w:lineRule="auto"/>
              <w:ind w:left="834"/>
              <w:rPr>
                <w:sz w:val="18"/>
                <w:szCs w:val="18"/>
              </w:rPr>
            </w:pPr>
            <w:r>
              <w:rPr>
                <w:b/>
                <w:bCs/>
                <w:spacing w:val="5"/>
                <w:sz w:val="18"/>
                <w:szCs w:val="18"/>
              </w:rPr>
              <w:t>考试条目</w:t>
            </w:r>
          </w:p>
        </w:tc>
        <w:tc>
          <w:tcPr>
            <w:tcW w:w="902" w:type="dxa"/>
            <w:gridSpan w:val="4"/>
            <w:vAlign w:val="top"/>
          </w:tcPr>
          <w:p w14:paraId="5D5C91C5">
            <w:pPr>
              <w:pStyle w:val="6"/>
              <w:spacing w:before="69" w:line="219" w:lineRule="auto"/>
              <w:ind w:left="130"/>
              <w:rPr>
                <w:sz w:val="18"/>
                <w:szCs w:val="18"/>
              </w:rPr>
            </w:pPr>
            <w:r>
              <w:rPr>
                <w:b/>
                <w:bCs/>
                <w:spacing w:val="-4"/>
                <w:sz w:val="18"/>
                <w:szCs w:val="18"/>
              </w:rPr>
              <w:t>考试水平</w:t>
            </w:r>
          </w:p>
        </w:tc>
      </w:tr>
      <w:tr w14:paraId="3677A8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893" w:type="dxa"/>
            <w:vMerge w:val="continue"/>
            <w:tcBorders>
              <w:top w:val="nil"/>
            </w:tcBorders>
            <w:vAlign w:val="top"/>
          </w:tcPr>
          <w:p w14:paraId="486CF120">
            <w:pPr>
              <w:rPr>
                <w:rFonts w:ascii="Arial"/>
                <w:sz w:val="21"/>
              </w:rPr>
            </w:pPr>
          </w:p>
        </w:tc>
        <w:tc>
          <w:tcPr>
            <w:tcW w:w="2324" w:type="dxa"/>
            <w:vMerge w:val="continue"/>
            <w:tcBorders>
              <w:top w:val="nil"/>
            </w:tcBorders>
            <w:vAlign w:val="top"/>
          </w:tcPr>
          <w:p w14:paraId="010003FB">
            <w:pPr>
              <w:rPr>
                <w:rFonts w:ascii="Arial"/>
                <w:sz w:val="21"/>
              </w:rPr>
            </w:pPr>
          </w:p>
        </w:tc>
        <w:tc>
          <w:tcPr>
            <w:tcW w:w="220" w:type="dxa"/>
            <w:vAlign w:val="top"/>
          </w:tcPr>
          <w:p w14:paraId="30869571">
            <w:pPr>
              <w:pStyle w:val="6"/>
              <w:spacing w:before="103" w:line="184" w:lineRule="auto"/>
              <w:ind w:left="20"/>
              <w:rPr>
                <w:sz w:val="18"/>
                <w:szCs w:val="18"/>
              </w:rPr>
            </w:pPr>
            <w:r>
              <w:rPr>
                <w:b/>
                <w:bCs/>
                <w:spacing w:val="-2"/>
                <w:sz w:val="18"/>
                <w:szCs w:val="18"/>
              </w:rPr>
              <w:t>A</w:t>
            </w:r>
          </w:p>
        </w:tc>
        <w:tc>
          <w:tcPr>
            <w:tcW w:w="219" w:type="dxa"/>
            <w:vAlign w:val="top"/>
          </w:tcPr>
          <w:p w14:paraId="0670B751">
            <w:pPr>
              <w:pStyle w:val="6"/>
              <w:spacing w:before="105" w:line="182" w:lineRule="auto"/>
              <w:ind w:left="60"/>
              <w:rPr>
                <w:sz w:val="18"/>
                <w:szCs w:val="18"/>
              </w:rPr>
            </w:pPr>
            <w:r>
              <w:rPr>
                <w:b/>
                <w:bCs/>
                <w:spacing w:val="-2"/>
                <w:sz w:val="18"/>
                <w:szCs w:val="18"/>
              </w:rPr>
              <w:t>B</w:t>
            </w:r>
          </w:p>
        </w:tc>
        <w:tc>
          <w:tcPr>
            <w:tcW w:w="229" w:type="dxa"/>
            <w:vAlign w:val="top"/>
          </w:tcPr>
          <w:p w14:paraId="7D8D9717">
            <w:pPr>
              <w:pStyle w:val="6"/>
              <w:spacing w:before="103" w:line="183" w:lineRule="auto"/>
              <w:ind w:left="71"/>
              <w:rPr>
                <w:sz w:val="18"/>
                <w:szCs w:val="18"/>
              </w:rPr>
            </w:pPr>
            <w:r>
              <w:rPr>
                <w:b/>
                <w:bCs/>
                <w:spacing w:val="-2"/>
                <w:sz w:val="18"/>
                <w:szCs w:val="18"/>
              </w:rPr>
              <w:t>C</w:t>
            </w:r>
          </w:p>
        </w:tc>
        <w:tc>
          <w:tcPr>
            <w:tcW w:w="234" w:type="dxa"/>
            <w:vAlign w:val="top"/>
          </w:tcPr>
          <w:p w14:paraId="6C0A4BC1">
            <w:pPr>
              <w:pStyle w:val="6"/>
              <w:spacing w:before="105" w:line="182" w:lineRule="auto"/>
              <w:ind w:left="22"/>
              <w:rPr>
                <w:sz w:val="18"/>
                <w:szCs w:val="18"/>
              </w:rPr>
            </w:pPr>
            <w:r>
              <w:rPr>
                <w:b/>
                <w:bCs/>
                <w:spacing w:val="-2"/>
                <w:sz w:val="18"/>
                <w:szCs w:val="18"/>
              </w:rPr>
              <w:t>D</w:t>
            </w:r>
          </w:p>
        </w:tc>
      </w:tr>
      <w:tr w14:paraId="7CC501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8" w:hRule="atLeast"/>
        </w:trPr>
        <w:tc>
          <w:tcPr>
            <w:tcW w:w="893" w:type="dxa"/>
            <w:vMerge w:val="restart"/>
            <w:tcBorders>
              <w:bottom w:val="nil"/>
            </w:tcBorders>
            <w:vAlign w:val="top"/>
          </w:tcPr>
          <w:p w14:paraId="782E5D0E">
            <w:pPr>
              <w:pStyle w:val="6"/>
              <w:spacing w:before="109" w:line="217" w:lineRule="auto"/>
              <w:ind w:left="74" w:right="78"/>
              <w:jc w:val="both"/>
              <w:rPr>
                <w:sz w:val="18"/>
                <w:szCs w:val="18"/>
              </w:rPr>
            </w:pPr>
            <w:r>
              <w:rPr>
                <w:spacing w:val="1"/>
                <w:sz w:val="18"/>
                <w:szCs w:val="18"/>
              </w:rPr>
              <w:t xml:space="preserve">门窗工程 </w:t>
            </w:r>
            <w:r>
              <w:rPr>
                <w:spacing w:val="2"/>
                <w:sz w:val="18"/>
                <w:szCs w:val="18"/>
              </w:rPr>
              <w:t>的分类及</w:t>
            </w:r>
            <w:r>
              <w:rPr>
                <w:sz w:val="18"/>
                <w:szCs w:val="18"/>
              </w:rPr>
              <w:t xml:space="preserve"> </w:t>
            </w:r>
            <w:r>
              <w:rPr>
                <w:spacing w:val="-2"/>
                <w:sz w:val="18"/>
                <w:szCs w:val="18"/>
              </w:rPr>
              <w:t>相关知识</w:t>
            </w:r>
          </w:p>
        </w:tc>
        <w:tc>
          <w:tcPr>
            <w:tcW w:w="2324" w:type="dxa"/>
            <w:vMerge w:val="restart"/>
            <w:tcBorders>
              <w:bottom w:val="nil"/>
            </w:tcBorders>
            <w:vAlign w:val="top"/>
          </w:tcPr>
          <w:p w14:paraId="437EC7F3">
            <w:pPr>
              <w:pStyle w:val="6"/>
              <w:spacing w:before="219" w:line="213" w:lineRule="auto"/>
              <w:ind w:left="11" w:right="511"/>
              <w:rPr>
                <w:sz w:val="18"/>
                <w:szCs w:val="18"/>
              </w:rPr>
            </w:pPr>
            <w:r>
              <w:rPr>
                <w:spacing w:val="1"/>
                <w:sz w:val="18"/>
                <w:szCs w:val="18"/>
              </w:rPr>
              <w:t>1.木门窗的相关知识</w:t>
            </w:r>
            <w:r>
              <w:rPr>
                <w:sz w:val="18"/>
                <w:szCs w:val="18"/>
              </w:rPr>
              <w:t xml:space="preserve">   </w:t>
            </w:r>
            <w:r>
              <w:rPr>
                <w:spacing w:val="-1"/>
                <w:sz w:val="18"/>
                <w:szCs w:val="18"/>
              </w:rPr>
              <w:t>2.塑料门窗的相关知识</w:t>
            </w:r>
          </w:p>
        </w:tc>
        <w:tc>
          <w:tcPr>
            <w:tcW w:w="220" w:type="dxa"/>
            <w:vAlign w:val="top"/>
          </w:tcPr>
          <w:p w14:paraId="1788FF2A">
            <w:pPr>
              <w:pStyle w:val="6"/>
              <w:spacing w:before="117" w:line="238" w:lineRule="auto"/>
              <w:ind w:left="17"/>
              <w:rPr>
                <w:sz w:val="18"/>
                <w:szCs w:val="18"/>
              </w:rPr>
            </w:pPr>
            <w:r>
              <w:rPr>
                <w:sz w:val="18"/>
                <w:szCs w:val="18"/>
              </w:rPr>
              <w:t>√</w:t>
            </w:r>
          </w:p>
        </w:tc>
        <w:tc>
          <w:tcPr>
            <w:tcW w:w="219" w:type="dxa"/>
            <w:vAlign w:val="top"/>
          </w:tcPr>
          <w:p w14:paraId="2C554041">
            <w:pPr>
              <w:rPr>
                <w:rFonts w:ascii="Arial"/>
                <w:sz w:val="21"/>
              </w:rPr>
            </w:pPr>
          </w:p>
        </w:tc>
        <w:tc>
          <w:tcPr>
            <w:tcW w:w="229" w:type="dxa"/>
            <w:vAlign w:val="top"/>
          </w:tcPr>
          <w:p w14:paraId="48FC6B42">
            <w:pPr>
              <w:rPr>
                <w:rFonts w:ascii="Arial"/>
                <w:sz w:val="21"/>
              </w:rPr>
            </w:pPr>
          </w:p>
        </w:tc>
        <w:tc>
          <w:tcPr>
            <w:tcW w:w="234" w:type="dxa"/>
            <w:vAlign w:val="top"/>
          </w:tcPr>
          <w:p w14:paraId="6504BFF9">
            <w:pPr>
              <w:rPr>
                <w:rFonts w:ascii="Arial"/>
                <w:sz w:val="21"/>
              </w:rPr>
            </w:pPr>
          </w:p>
        </w:tc>
      </w:tr>
      <w:tr w14:paraId="506FE4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9" w:hRule="atLeast"/>
        </w:trPr>
        <w:tc>
          <w:tcPr>
            <w:tcW w:w="893" w:type="dxa"/>
            <w:vMerge w:val="continue"/>
            <w:tcBorders>
              <w:top w:val="nil"/>
            </w:tcBorders>
            <w:vAlign w:val="top"/>
          </w:tcPr>
          <w:p w14:paraId="7BF1ECD0">
            <w:pPr>
              <w:rPr>
                <w:rFonts w:ascii="Arial"/>
                <w:sz w:val="21"/>
              </w:rPr>
            </w:pPr>
          </w:p>
        </w:tc>
        <w:tc>
          <w:tcPr>
            <w:tcW w:w="2324" w:type="dxa"/>
            <w:vMerge w:val="continue"/>
            <w:tcBorders>
              <w:top w:val="nil"/>
            </w:tcBorders>
            <w:vAlign w:val="top"/>
          </w:tcPr>
          <w:p w14:paraId="538C21F1">
            <w:pPr>
              <w:rPr>
                <w:rFonts w:ascii="Arial"/>
                <w:sz w:val="21"/>
              </w:rPr>
            </w:pPr>
          </w:p>
        </w:tc>
        <w:tc>
          <w:tcPr>
            <w:tcW w:w="220" w:type="dxa"/>
            <w:vAlign w:val="top"/>
          </w:tcPr>
          <w:p w14:paraId="7F03CF67">
            <w:pPr>
              <w:rPr>
                <w:rFonts w:ascii="Arial"/>
                <w:sz w:val="21"/>
              </w:rPr>
            </w:pPr>
          </w:p>
        </w:tc>
        <w:tc>
          <w:tcPr>
            <w:tcW w:w="219" w:type="dxa"/>
            <w:vAlign w:val="top"/>
          </w:tcPr>
          <w:p w14:paraId="3EDD52FA">
            <w:pPr>
              <w:pStyle w:val="6"/>
              <w:spacing w:before="129" w:line="238" w:lineRule="auto"/>
              <w:ind w:left="18"/>
              <w:rPr>
                <w:sz w:val="18"/>
                <w:szCs w:val="18"/>
              </w:rPr>
            </w:pPr>
            <w:r>
              <w:rPr>
                <w:sz w:val="18"/>
                <w:szCs w:val="18"/>
              </w:rPr>
              <w:t>√</w:t>
            </w:r>
          </w:p>
        </w:tc>
        <w:tc>
          <w:tcPr>
            <w:tcW w:w="229" w:type="dxa"/>
            <w:vAlign w:val="top"/>
          </w:tcPr>
          <w:p w14:paraId="2F52F45E">
            <w:pPr>
              <w:rPr>
                <w:rFonts w:ascii="Arial"/>
                <w:sz w:val="21"/>
              </w:rPr>
            </w:pPr>
          </w:p>
        </w:tc>
        <w:tc>
          <w:tcPr>
            <w:tcW w:w="234" w:type="dxa"/>
            <w:vAlign w:val="top"/>
          </w:tcPr>
          <w:p w14:paraId="3442EF30">
            <w:pPr>
              <w:rPr>
                <w:rFonts w:ascii="Arial"/>
                <w:sz w:val="21"/>
              </w:rPr>
            </w:pPr>
          </w:p>
        </w:tc>
      </w:tr>
      <w:tr w14:paraId="269894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893" w:type="dxa"/>
            <w:vMerge w:val="restart"/>
            <w:tcBorders>
              <w:bottom w:val="nil"/>
            </w:tcBorders>
            <w:vAlign w:val="top"/>
          </w:tcPr>
          <w:p w14:paraId="4F9AD6F5">
            <w:pPr>
              <w:spacing w:line="321" w:lineRule="auto"/>
              <w:rPr>
                <w:rFonts w:ascii="Arial"/>
                <w:sz w:val="21"/>
              </w:rPr>
            </w:pPr>
          </w:p>
          <w:p w14:paraId="604375A1">
            <w:pPr>
              <w:spacing w:line="322" w:lineRule="auto"/>
              <w:rPr>
                <w:rFonts w:ascii="Arial"/>
                <w:sz w:val="21"/>
              </w:rPr>
            </w:pPr>
          </w:p>
          <w:p w14:paraId="42AD322C">
            <w:pPr>
              <w:pStyle w:val="6"/>
              <w:spacing w:before="59" w:line="202" w:lineRule="auto"/>
              <w:ind w:left="74"/>
              <w:rPr>
                <w:sz w:val="18"/>
                <w:szCs w:val="18"/>
              </w:rPr>
            </w:pPr>
            <w:r>
              <w:rPr>
                <w:spacing w:val="5"/>
                <w:sz w:val="18"/>
                <w:szCs w:val="18"/>
              </w:rPr>
              <w:t>铝合金门</w:t>
            </w:r>
          </w:p>
          <w:p w14:paraId="52FA532B">
            <w:pPr>
              <w:pStyle w:val="6"/>
              <w:spacing w:line="220" w:lineRule="auto"/>
              <w:ind w:left="74"/>
              <w:rPr>
                <w:sz w:val="18"/>
                <w:szCs w:val="18"/>
              </w:rPr>
            </w:pPr>
            <w:r>
              <w:rPr>
                <w:spacing w:val="2"/>
                <w:sz w:val="18"/>
                <w:szCs w:val="18"/>
              </w:rPr>
              <w:t>窗安装施</w:t>
            </w:r>
          </w:p>
          <w:p w14:paraId="0BF449F2">
            <w:pPr>
              <w:pStyle w:val="6"/>
              <w:spacing w:before="25" w:line="204" w:lineRule="auto"/>
              <w:ind w:left="74"/>
              <w:rPr>
                <w:sz w:val="18"/>
                <w:szCs w:val="18"/>
              </w:rPr>
            </w:pPr>
            <w:r>
              <w:rPr>
                <w:spacing w:val="-2"/>
                <w:sz w:val="18"/>
                <w:szCs w:val="18"/>
              </w:rPr>
              <w:t>工要求及</w:t>
            </w:r>
          </w:p>
          <w:p w14:paraId="04814C31">
            <w:pPr>
              <w:pStyle w:val="6"/>
              <w:spacing w:line="219" w:lineRule="auto"/>
              <w:ind w:left="254"/>
              <w:rPr>
                <w:sz w:val="18"/>
                <w:szCs w:val="18"/>
              </w:rPr>
            </w:pPr>
            <w:r>
              <w:rPr>
                <w:spacing w:val="-3"/>
                <w:sz w:val="18"/>
                <w:szCs w:val="18"/>
              </w:rPr>
              <w:t>步骤</w:t>
            </w:r>
          </w:p>
        </w:tc>
        <w:tc>
          <w:tcPr>
            <w:tcW w:w="2324" w:type="dxa"/>
            <w:vMerge w:val="restart"/>
            <w:tcBorders>
              <w:bottom w:val="nil"/>
            </w:tcBorders>
            <w:vAlign w:val="top"/>
          </w:tcPr>
          <w:p w14:paraId="3A485F5E">
            <w:pPr>
              <w:pStyle w:val="6"/>
              <w:spacing w:before="33" w:line="220" w:lineRule="auto"/>
              <w:ind w:left="11"/>
              <w:rPr>
                <w:sz w:val="18"/>
                <w:szCs w:val="18"/>
              </w:rPr>
            </w:pPr>
            <w:r>
              <w:rPr>
                <w:sz w:val="18"/>
                <w:szCs w:val="18"/>
              </w:rPr>
              <w:t>1.铝合金门窗构造</w:t>
            </w:r>
          </w:p>
          <w:p w14:paraId="3DA364AE">
            <w:pPr>
              <w:pStyle w:val="6"/>
              <w:spacing w:before="3" w:line="227" w:lineRule="auto"/>
              <w:ind w:left="11"/>
              <w:rPr>
                <w:sz w:val="18"/>
                <w:szCs w:val="18"/>
              </w:rPr>
            </w:pPr>
            <w:r>
              <w:rPr>
                <w:spacing w:val="-2"/>
                <w:sz w:val="18"/>
                <w:szCs w:val="18"/>
              </w:rPr>
              <w:t>2.铝合金门窗施工必备条件</w:t>
            </w:r>
            <w:r>
              <w:rPr>
                <w:spacing w:val="5"/>
                <w:sz w:val="18"/>
                <w:szCs w:val="18"/>
              </w:rPr>
              <w:t xml:space="preserve">  </w:t>
            </w:r>
            <w:r>
              <w:rPr>
                <w:spacing w:val="-16"/>
                <w:sz w:val="18"/>
                <w:szCs w:val="18"/>
              </w:rPr>
              <w:t>3.铝合金门</w:t>
            </w:r>
            <w:r>
              <w:rPr>
                <w:spacing w:val="-15"/>
                <w:sz w:val="18"/>
                <w:szCs w:val="18"/>
              </w:rPr>
              <w:t>窗施工材料及其要</w:t>
            </w:r>
            <w:r>
              <w:rPr>
                <w:spacing w:val="-9"/>
                <w:sz w:val="18"/>
                <w:szCs w:val="18"/>
              </w:rPr>
              <w:t>求</w:t>
            </w:r>
            <w:r>
              <w:rPr>
                <w:spacing w:val="6"/>
                <w:sz w:val="18"/>
                <w:szCs w:val="18"/>
              </w:rPr>
              <w:t xml:space="preserve"> </w:t>
            </w:r>
            <w:r>
              <w:rPr>
                <w:spacing w:val="-1"/>
                <w:sz w:val="18"/>
                <w:szCs w:val="18"/>
              </w:rPr>
              <w:t>4.铝合金门窗施工工艺流程</w:t>
            </w:r>
            <w:r>
              <w:rPr>
                <w:sz w:val="18"/>
                <w:szCs w:val="18"/>
              </w:rPr>
              <w:t xml:space="preserve">  </w:t>
            </w:r>
            <w:r>
              <w:rPr>
                <w:spacing w:val="2"/>
                <w:sz w:val="18"/>
                <w:szCs w:val="18"/>
              </w:rPr>
              <w:t>及其操作要点</w:t>
            </w:r>
          </w:p>
          <w:p w14:paraId="4CA3489C">
            <w:pPr>
              <w:pStyle w:val="6"/>
              <w:spacing w:before="6" w:line="223" w:lineRule="auto"/>
              <w:ind w:left="11" w:right="152"/>
              <w:rPr>
                <w:sz w:val="18"/>
                <w:szCs w:val="18"/>
              </w:rPr>
            </w:pPr>
            <w:r>
              <w:rPr>
                <w:spacing w:val="-1"/>
                <w:sz w:val="18"/>
                <w:szCs w:val="18"/>
              </w:rPr>
              <w:t>5.铝合金门窗质量验收标准</w:t>
            </w:r>
            <w:r>
              <w:rPr>
                <w:spacing w:val="1"/>
                <w:sz w:val="18"/>
                <w:szCs w:val="18"/>
              </w:rPr>
              <w:t xml:space="preserve"> </w:t>
            </w:r>
            <w:r>
              <w:rPr>
                <w:spacing w:val="3"/>
                <w:sz w:val="18"/>
                <w:szCs w:val="18"/>
              </w:rPr>
              <w:t>及通病防治</w:t>
            </w:r>
          </w:p>
          <w:p w14:paraId="2D015986">
            <w:pPr>
              <w:pStyle w:val="6"/>
              <w:spacing w:before="5" w:line="193" w:lineRule="auto"/>
              <w:ind w:left="11" w:right="150"/>
              <w:rPr>
                <w:sz w:val="18"/>
                <w:szCs w:val="18"/>
              </w:rPr>
            </w:pPr>
            <w:r>
              <w:rPr>
                <w:spacing w:val="-1"/>
                <w:sz w:val="18"/>
                <w:szCs w:val="18"/>
              </w:rPr>
              <w:t>6.铝合金门窗成品保护及安</w:t>
            </w:r>
            <w:r>
              <w:rPr>
                <w:spacing w:val="3"/>
                <w:sz w:val="18"/>
                <w:szCs w:val="18"/>
              </w:rPr>
              <w:t xml:space="preserve"> </w:t>
            </w:r>
            <w:r>
              <w:rPr>
                <w:spacing w:val="-2"/>
                <w:sz w:val="18"/>
                <w:szCs w:val="18"/>
              </w:rPr>
              <w:t>全环保措施</w:t>
            </w:r>
          </w:p>
        </w:tc>
        <w:tc>
          <w:tcPr>
            <w:tcW w:w="220" w:type="dxa"/>
            <w:vAlign w:val="top"/>
          </w:tcPr>
          <w:p w14:paraId="58E84161">
            <w:pPr>
              <w:pStyle w:val="6"/>
              <w:spacing w:before="90" w:line="224" w:lineRule="auto"/>
              <w:ind w:left="17"/>
              <w:rPr>
                <w:sz w:val="18"/>
                <w:szCs w:val="18"/>
              </w:rPr>
            </w:pPr>
            <w:r>
              <w:rPr>
                <w:sz w:val="18"/>
                <w:szCs w:val="18"/>
              </w:rPr>
              <w:t>√</w:t>
            </w:r>
          </w:p>
        </w:tc>
        <w:tc>
          <w:tcPr>
            <w:tcW w:w="219" w:type="dxa"/>
            <w:vAlign w:val="top"/>
          </w:tcPr>
          <w:p w14:paraId="517AC7BD">
            <w:pPr>
              <w:rPr>
                <w:rFonts w:ascii="Arial"/>
                <w:sz w:val="21"/>
              </w:rPr>
            </w:pPr>
          </w:p>
        </w:tc>
        <w:tc>
          <w:tcPr>
            <w:tcW w:w="229" w:type="dxa"/>
            <w:vAlign w:val="top"/>
          </w:tcPr>
          <w:p w14:paraId="28D2A0B9">
            <w:pPr>
              <w:rPr>
                <w:rFonts w:ascii="Arial"/>
                <w:sz w:val="21"/>
              </w:rPr>
            </w:pPr>
          </w:p>
        </w:tc>
        <w:tc>
          <w:tcPr>
            <w:tcW w:w="234" w:type="dxa"/>
            <w:vAlign w:val="top"/>
          </w:tcPr>
          <w:p w14:paraId="284FC054">
            <w:pPr>
              <w:rPr>
                <w:rFonts w:ascii="Arial"/>
                <w:sz w:val="21"/>
              </w:rPr>
            </w:pPr>
          </w:p>
        </w:tc>
      </w:tr>
      <w:tr w14:paraId="114804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893" w:type="dxa"/>
            <w:vMerge w:val="continue"/>
            <w:tcBorders>
              <w:top w:val="nil"/>
              <w:bottom w:val="nil"/>
            </w:tcBorders>
            <w:vAlign w:val="top"/>
          </w:tcPr>
          <w:p w14:paraId="4C007AAB">
            <w:pPr>
              <w:rPr>
                <w:rFonts w:ascii="Arial"/>
                <w:sz w:val="21"/>
              </w:rPr>
            </w:pPr>
          </w:p>
        </w:tc>
        <w:tc>
          <w:tcPr>
            <w:tcW w:w="2324" w:type="dxa"/>
            <w:vMerge w:val="continue"/>
            <w:tcBorders>
              <w:top w:val="nil"/>
              <w:bottom w:val="nil"/>
            </w:tcBorders>
            <w:vAlign w:val="top"/>
          </w:tcPr>
          <w:p w14:paraId="56FF2404">
            <w:pPr>
              <w:rPr>
                <w:rFonts w:ascii="Arial"/>
                <w:sz w:val="21"/>
              </w:rPr>
            </w:pPr>
          </w:p>
        </w:tc>
        <w:tc>
          <w:tcPr>
            <w:tcW w:w="220" w:type="dxa"/>
            <w:vAlign w:val="top"/>
          </w:tcPr>
          <w:p w14:paraId="219FD309">
            <w:pPr>
              <w:rPr>
                <w:rFonts w:ascii="Arial"/>
                <w:sz w:val="21"/>
              </w:rPr>
            </w:pPr>
          </w:p>
        </w:tc>
        <w:tc>
          <w:tcPr>
            <w:tcW w:w="219" w:type="dxa"/>
            <w:vAlign w:val="top"/>
          </w:tcPr>
          <w:p w14:paraId="367F6199">
            <w:pPr>
              <w:rPr>
                <w:rFonts w:ascii="Arial"/>
                <w:sz w:val="21"/>
              </w:rPr>
            </w:pPr>
          </w:p>
        </w:tc>
        <w:tc>
          <w:tcPr>
            <w:tcW w:w="229" w:type="dxa"/>
            <w:vAlign w:val="top"/>
          </w:tcPr>
          <w:p w14:paraId="7436F0D9">
            <w:pPr>
              <w:rPr>
                <w:rFonts w:ascii="Arial"/>
                <w:sz w:val="21"/>
              </w:rPr>
            </w:pPr>
          </w:p>
        </w:tc>
        <w:tc>
          <w:tcPr>
            <w:tcW w:w="234" w:type="dxa"/>
            <w:vAlign w:val="top"/>
          </w:tcPr>
          <w:p w14:paraId="45A72D7B">
            <w:pPr>
              <w:rPr>
                <w:rFonts w:ascii="Arial"/>
                <w:sz w:val="21"/>
              </w:rPr>
            </w:pPr>
          </w:p>
        </w:tc>
      </w:tr>
      <w:tr w14:paraId="56624A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893" w:type="dxa"/>
            <w:vMerge w:val="continue"/>
            <w:tcBorders>
              <w:top w:val="nil"/>
              <w:bottom w:val="nil"/>
            </w:tcBorders>
            <w:vAlign w:val="top"/>
          </w:tcPr>
          <w:p w14:paraId="7D157826">
            <w:pPr>
              <w:rPr>
                <w:rFonts w:ascii="Arial"/>
                <w:sz w:val="21"/>
              </w:rPr>
            </w:pPr>
          </w:p>
        </w:tc>
        <w:tc>
          <w:tcPr>
            <w:tcW w:w="2324" w:type="dxa"/>
            <w:vMerge w:val="continue"/>
            <w:tcBorders>
              <w:top w:val="nil"/>
              <w:bottom w:val="nil"/>
            </w:tcBorders>
            <w:vAlign w:val="top"/>
          </w:tcPr>
          <w:p w14:paraId="0CDEDABA">
            <w:pPr>
              <w:rPr>
                <w:rFonts w:ascii="Arial"/>
                <w:sz w:val="21"/>
              </w:rPr>
            </w:pPr>
          </w:p>
        </w:tc>
        <w:tc>
          <w:tcPr>
            <w:tcW w:w="220" w:type="dxa"/>
            <w:vAlign w:val="top"/>
          </w:tcPr>
          <w:p w14:paraId="56C3DFAF">
            <w:pPr>
              <w:rPr>
                <w:rFonts w:ascii="Arial"/>
                <w:sz w:val="21"/>
              </w:rPr>
            </w:pPr>
          </w:p>
        </w:tc>
        <w:tc>
          <w:tcPr>
            <w:tcW w:w="219" w:type="dxa"/>
            <w:vAlign w:val="top"/>
          </w:tcPr>
          <w:p w14:paraId="3E4500DD">
            <w:pPr>
              <w:rPr>
                <w:rFonts w:ascii="Arial"/>
                <w:sz w:val="21"/>
              </w:rPr>
            </w:pPr>
          </w:p>
        </w:tc>
        <w:tc>
          <w:tcPr>
            <w:tcW w:w="229" w:type="dxa"/>
            <w:vAlign w:val="top"/>
          </w:tcPr>
          <w:p w14:paraId="2F23126D">
            <w:pPr>
              <w:rPr>
                <w:rFonts w:ascii="Arial"/>
                <w:sz w:val="21"/>
              </w:rPr>
            </w:pPr>
          </w:p>
        </w:tc>
        <w:tc>
          <w:tcPr>
            <w:tcW w:w="234" w:type="dxa"/>
            <w:vAlign w:val="top"/>
          </w:tcPr>
          <w:p w14:paraId="1E9B9F69">
            <w:pPr>
              <w:rPr>
                <w:rFonts w:ascii="Arial"/>
                <w:sz w:val="21"/>
              </w:rPr>
            </w:pPr>
          </w:p>
        </w:tc>
      </w:tr>
      <w:tr w14:paraId="654056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893" w:type="dxa"/>
            <w:vMerge w:val="continue"/>
            <w:tcBorders>
              <w:top w:val="nil"/>
              <w:bottom w:val="nil"/>
            </w:tcBorders>
            <w:vAlign w:val="top"/>
          </w:tcPr>
          <w:p w14:paraId="2C9B2060">
            <w:pPr>
              <w:rPr>
                <w:rFonts w:ascii="Arial"/>
                <w:sz w:val="21"/>
              </w:rPr>
            </w:pPr>
          </w:p>
        </w:tc>
        <w:tc>
          <w:tcPr>
            <w:tcW w:w="2324" w:type="dxa"/>
            <w:vMerge w:val="continue"/>
            <w:tcBorders>
              <w:top w:val="nil"/>
              <w:bottom w:val="nil"/>
            </w:tcBorders>
            <w:vAlign w:val="top"/>
          </w:tcPr>
          <w:p w14:paraId="2E7BA861">
            <w:pPr>
              <w:rPr>
                <w:rFonts w:ascii="Arial"/>
                <w:sz w:val="21"/>
              </w:rPr>
            </w:pPr>
          </w:p>
        </w:tc>
        <w:tc>
          <w:tcPr>
            <w:tcW w:w="220" w:type="dxa"/>
            <w:vAlign w:val="top"/>
          </w:tcPr>
          <w:p w14:paraId="1EA9A39B">
            <w:pPr>
              <w:rPr>
                <w:rFonts w:ascii="Arial"/>
                <w:sz w:val="21"/>
              </w:rPr>
            </w:pPr>
          </w:p>
        </w:tc>
        <w:tc>
          <w:tcPr>
            <w:tcW w:w="219" w:type="dxa"/>
            <w:vAlign w:val="top"/>
          </w:tcPr>
          <w:p w14:paraId="2919078F">
            <w:pPr>
              <w:rPr>
                <w:rFonts w:ascii="Arial"/>
                <w:sz w:val="21"/>
              </w:rPr>
            </w:pPr>
          </w:p>
        </w:tc>
        <w:tc>
          <w:tcPr>
            <w:tcW w:w="229" w:type="dxa"/>
            <w:vAlign w:val="top"/>
          </w:tcPr>
          <w:p w14:paraId="459392DE">
            <w:pPr>
              <w:pStyle w:val="6"/>
              <w:spacing w:before="122" w:line="182" w:lineRule="auto"/>
              <w:ind w:left="68"/>
              <w:rPr>
                <w:sz w:val="18"/>
                <w:szCs w:val="18"/>
              </w:rPr>
            </w:pPr>
            <w:r>
              <w:rPr>
                <w:sz w:val="18"/>
                <w:szCs w:val="18"/>
              </w:rPr>
              <w:t>V</w:t>
            </w:r>
          </w:p>
        </w:tc>
        <w:tc>
          <w:tcPr>
            <w:tcW w:w="234" w:type="dxa"/>
            <w:vAlign w:val="top"/>
          </w:tcPr>
          <w:p w14:paraId="5149C8DA">
            <w:pPr>
              <w:rPr>
                <w:rFonts w:ascii="Arial"/>
                <w:sz w:val="21"/>
              </w:rPr>
            </w:pPr>
          </w:p>
        </w:tc>
      </w:tr>
      <w:tr w14:paraId="0144D4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893" w:type="dxa"/>
            <w:vMerge w:val="continue"/>
            <w:tcBorders>
              <w:top w:val="nil"/>
              <w:bottom w:val="nil"/>
            </w:tcBorders>
            <w:vAlign w:val="top"/>
          </w:tcPr>
          <w:p w14:paraId="60E2FC5B">
            <w:pPr>
              <w:rPr>
                <w:rFonts w:ascii="Arial"/>
                <w:sz w:val="21"/>
              </w:rPr>
            </w:pPr>
          </w:p>
        </w:tc>
        <w:tc>
          <w:tcPr>
            <w:tcW w:w="2324" w:type="dxa"/>
            <w:vMerge w:val="continue"/>
            <w:tcBorders>
              <w:top w:val="nil"/>
              <w:bottom w:val="nil"/>
            </w:tcBorders>
            <w:vAlign w:val="top"/>
          </w:tcPr>
          <w:p w14:paraId="4F6079E0">
            <w:pPr>
              <w:rPr>
                <w:rFonts w:ascii="Arial"/>
                <w:sz w:val="21"/>
              </w:rPr>
            </w:pPr>
          </w:p>
        </w:tc>
        <w:tc>
          <w:tcPr>
            <w:tcW w:w="220" w:type="dxa"/>
            <w:vAlign w:val="top"/>
          </w:tcPr>
          <w:p w14:paraId="6840188D">
            <w:pPr>
              <w:rPr>
                <w:rFonts w:ascii="Arial"/>
                <w:sz w:val="21"/>
              </w:rPr>
            </w:pPr>
          </w:p>
        </w:tc>
        <w:tc>
          <w:tcPr>
            <w:tcW w:w="219" w:type="dxa"/>
            <w:vAlign w:val="top"/>
          </w:tcPr>
          <w:p w14:paraId="20BA92D9">
            <w:pPr>
              <w:rPr>
                <w:rFonts w:ascii="Arial"/>
                <w:sz w:val="21"/>
              </w:rPr>
            </w:pPr>
          </w:p>
        </w:tc>
        <w:tc>
          <w:tcPr>
            <w:tcW w:w="229" w:type="dxa"/>
            <w:vAlign w:val="top"/>
          </w:tcPr>
          <w:p w14:paraId="4C0429A3">
            <w:pPr>
              <w:pStyle w:val="6"/>
              <w:spacing w:before="94" w:line="220" w:lineRule="auto"/>
              <w:ind w:left="18"/>
              <w:rPr>
                <w:sz w:val="18"/>
                <w:szCs w:val="18"/>
              </w:rPr>
            </w:pPr>
            <w:r>
              <w:rPr>
                <w:sz w:val="18"/>
                <w:szCs w:val="18"/>
              </w:rPr>
              <w:t>√</w:t>
            </w:r>
          </w:p>
        </w:tc>
        <w:tc>
          <w:tcPr>
            <w:tcW w:w="234" w:type="dxa"/>
            <w:vAlign w:val="top"/>
          </w:tcPr>
          <w:p w14:paraId="09D50680">
            <w:pPr>
              <w:rPr>
                <w:rFonts w:ascii="Arial"/>
                <w:sz w:val="21"/>
              </w:rPr>
            </w:pPr>
          </w:p>
        </w:tc>
      </w:tr>
      <w:tr w14:paraId="24BABD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4" w:hRule="atLeast"/>
        </w:trPr>
        <w:tc>
          <w:tcPr>
            <w:tcW w:w="893" w:type="dxa"/>
            <w:vMerge w:val="continue"/>
            <w:tcBorders>
              <w:top w:val="nil"/>
            </w:tcBorders>
            <w:vAlign w:val="top"/>
          </w:tcPr>
          <w:p w14:paraId="3D7BE8FC">
            <w:pPr>
              <w:rPr>
                <w:rFonts w:ascii="Arial"/>
                <w:sz w:val="21"/>
              </w:rPr>
            </w:pPr>
          </w:p>
        </w:tc>
        <w:tc>
          <w:tcPr>
            <w:tcW w:w="2324" w:type="dxa"/>
            <w:vMerge w:val="continue"/>
            <w:tcBorders>
              <w:top w:val="nil"/>
            </w:tcBorders>
            <w:vAlign w:val="top"/>
          </w:tcPr>
          <w:p w14:paraId="1E720DC2">
            <w:pPr>
              <w:rPr>
                <w:rFonts w:ascii="Arial"/>
                <w:sz w:val="21"/>
              </w:rPr>
            </w:pPr>
          </w:p>
        </w:tc>
        <w:tc>
          <w:tcPr>
            <w:tcW w:w="220" w:type="dxa"/>
            <w:vAlign w:val="top"/>
          </w:tcPr>
          <w:p w14:paraId="43256599">
            <w:pPr>
              <w:pStyle w:val="6"/>
              <w:spacing w:before="104" w:line="235" w:lineRule="auto"/>
              <w:ind w:left="17"/>
              <w:rPr>
                <w:sz w:val="18"/>
                <w:szCs w:val="18"/>
              </w:rPr>
            </w:pPr>
            <w:r>
              <w:rPr>
                <w:sz w:val="18"/>
                <w:szCs w:val="18"/>
              </w:rPr>
              <w:t>√</w:t>
            </w:r>
          </w:p>
        </w:tc>
        <w:tc>
          <w:tcPr>
            <w:tcW w:w="219" w:type="dxa"/>
            <w:vAlign w:val="top"/>
          </w:tcPr>
          <w:p w14:paraId="36561E8B">
            <w:pPr>
              <w:rPr>
                <w:rFonts w:ascii="Arial"/>
                <w:sz w:val="21"/>
              </w:rPr>
            </w:pPr>
          </w:p>
        </w:tc>
        <w:tc>
          <w:tcPr>
            <w:tcW w:w="229" w:type="dxa"/>
            <w:vAlign w:val="top"/>
          </w:tcPr>
          <w:p w14:paraId="557A0805">
            <w:pPr>
              <w:rPr>
                <w:rFonts w:ascii="Arial"/>
                <w:sz w:val="21"/>
              </w:rPr>
            </w:pPr>
          </w:p>
        </w:tc>
        <w:tc>
          <w:tcPr>
            <w:tcW w:w="234" w:type="dxa"/>
            <w:vAlign w:val="top"/>
          </w:tcPr>
          <w:p w14:paraId="2530C948">
            <w:pPr>
              <w:rPr>
                <w:rFonts w:ascii="Arial"/>
                <w:sz w:val="21"/>
              </w:rPr>
            </w:pPr>
          </w:p>
        </w:tc>
      </w:tr>
    </w:tbl>
    <w:p w14:paraId="0DD34AFF">
      <w:pPr>
        <w:spacing w:before="158" w:line="222" w:lineRule="auto"/>
        <w:ind w:left="1162"/>
        <w:rPr>
          <w:rFonts w:ascii="黑体" w:hAnsi="黑体" w:eastAsia="黑体" w:cs="黑体"/>
          <w:sz w:val="17"/>
          <w:szCs w:val="17"/>
        </w:rPr>
      </w:pPr>
      <w:r>
        <w:rPr>
          <w:rFonts w:ascii="黑体" w:hAnsi="黑体" w:eastAsia="黑体" w:cs="黑体"/>
          <w:b/>
          <w:bCs/>
          <w:spacing w:val="21"/>
          <w:sz w:val="17"/>
          <w:szCs w:val="17"/>
        </w:rPr>
        <w:t>第六章</w:t>
      </w:r>
      <w:r>
        <w:rPr>
          <w:rFonts w:ascii="黑体" w:hAnsi="黑体" w:eastAsia="黑体" w:cs="黑体"/>
          <w:spacing w:val="27"/>
          <w:sz w:val="17"/>
          <w:szCs w:val="17"/>
        </w:rPr>
        <w:t xml:space="preserve">  </w:t>
      </w:r>
      <w:r>
        <w:rPr>
          <w:rFonts w:ascii="黑体" w:hAnsi="黑体" w:eastAsia="黑体" w:cs="黑体"/>
          <w:b/>
          <w:bCs/>
          <w:spacing w:val="21"/>
          <w:sz w:val="17"/>
          <w:szCs w:val="17"/>
        </w:rPr>
        <w:t>玻璃幕墙工程</w:t>
      </w:r>
    </w:p>
    <w:p w14:paraId="778CA729">
      <w:pPr>
        <w:spacing w:line="77" w:lineRule="exact"/>
      </w:pPr>
    </w:p>
    <w:tbl>
      <w:tblPr>
        <w:tblStyle w:val="5"/>
        <w:tblW w:w="4119"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24"/>
        <w:gridCol w:w="220"/>
        <w:gridCol w:w="219"/>
        <w:gridCol w:w="229"/>
        <w:gridCol w:w="234"/>
      </w:tblGrid>
      <w:tr w14:paraId="1C2D81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9" w:hRule="atLeast"/>
        </w:trPr>
        <w:tc>
          <w:tcPr>
            <w:tcW w:w="893" w:type="dxa"/>
            <w:vMerge w:val="restart"/>
            <w:tcBorders>
              <w:top w:val="single" w:color="000000" w:sz="2" w:space="0"/>
              <w:bottom w:val="nil"/>
            </w:tcBorders>
            <w:vAlign w:val="top"/>
          </w:tcPr>
          <w:p w14:paraId="22517DAE">
            <w:pPr>
              <w:pStyle w:val="6"/>
              <w:spacing w:before="126" w:line="236" w:lineRule="auto"/>
              <w:ind w:left="97" w:right="112" w:firstLine="89"/>
            </w:pPr>
            <w:r>
              <w:rPr>
                <w:b/>
                <w:bCs/>
                <w:spacing w:val="-6"/>
              </w:rPr>
              <w:t>知识与</w:t>
            </w:r>
            <w:r>
              <w:t xml:space="preserve">  </w:t>
            </w:r>
            <w:r>
              <w:rPr>
                <w:b/>
                <w:bCs/>
                <w:spacing w:val="-4"/>
              </w:rPr>
              <w:t>技能要点</w:t>
            </w:r>
          </w:p>
        </w:tc>
        <w:tc>
          <w:tcPr>
            <w:tcW w:w="2324" w:type="dxa"/>
            <w:vMerge w:val="restart"/>
            <w:tcBorders>
              <w:top w:val="single" w:color="000000" w:sz="2" w:space="0"/>
              <w:bottom w:val="nil"/>
            </w:tcBorders>
            <w:vAlign w:val="top"/>
          </w:tcPr>
          <w:p w14:paraId="6E9E8475">
            <w:pPr>
              <w:pStyle w:val="6"/>
              <w:spacing w:before="244" w:line="219" w:lineRule="auto"/>
              <w:ind w:left="834"/>
            </w:pPr>
            <w:r>
              <w:rPr>
                <w:b/>
                <w:bCs/>
                <w:spacing w:val="5"/>
              </w:rPr>
              <w:t>考试条目</w:t>
            </w:r>
          </w:p>
        </w:tc>
        <w:tc>
          <w:tcPr>
            <w:tcW w:w="902" w:type="dxa"/>
            <w:gridSpan w:val="4"/>
            <w:tcBorders>
              <w:top w:val="single" w:color="000000" w:sz="2" w:space="0"/>
              <w:bottom w:val="single" w:color="000000" w:sz="2" w:space="0"/>
            </w:tcBorders>
            <w:vAlign w:val="top"/>
          </w:tcPr>
          <w:p w14:paraId="5ED32C1B">
            <w:pPr>
              <w:pStyle w:val="6"/>
              <w:spacing w:before="84" w:line="219" w:lineRule="auto"/>
              <w:ind w:left="130"/>
            </w:pPr>
            <w:r>
              <w:rPr>
                <w:b/>
                <w:bCs/>
                <w:spacing w:val="-4"/>
              </w:rPr>
              <w:t>考试水平</w:t>
            </w:r>
          </w:p>
        </w:tc>
      </w:tr>
      <w:tr w14:paraId="150C03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5" w:hRule="atLeast"/>
        </w:trPr>
        <w:tc>
          <w:tcPr>
            <w:tcW w:w="893" w:type="dxa"/>
            <w:vMerge w:val="continue"/>
            <w:tcBorders>
              <w:top w:val="nil"/>
              <w:bottom w:val="single" w:color="000000" w:sz="2" w:space="0"/>
            </w:tcBorders>
            <w:vAlign w:val="top"/>
          </w:tcPr>
          <w:p w14:paraId="6E4A3F5A">
            <w:pPr>
              <w:rPr>
                <w:rFonts w:ascii="Arial"/>
                <w:sz w:val="21"/>
              </w:rPr>
            </w:pPr>
          </w:p>
        </w:tc>
        <w:tc>
          <w:tcPr>
            <w:tcW w:w="2324" w:type="dxa"/>
            <w:vMerge w:val="continue"/>
            <w:tcBorders>
              <w:top w:val="nil"/>
              <w:bottom w:val="single" w:color="000000" w:sz="2" w:space="0"/>
            </w:tcBorders>
            <w:vAlign w:val="top"/>
          </w:tcPr>
          <w:p w14:paraId="3ED5E518">
            <w:pPr>
              <w:rPr>
                <w:rFonts w:ascii="Arial"/>
                <w:sz w:val="21"/>
              </w:rPr>
            </w:pPr>
          </w:p>
        </w:tc>
        <w:tc>
          <w:tcPr>
            <w:tcW w:w="220" w:type="dxa"/>
            <w:tcBorders>
              <w:top w:val="single" w:color="000000" w:sz="2" w:space="0"/>
              <w:bottom w:val="single" w:color="000000" w:sz="2" w:space="0"/>
            </w:tcBorders>
            <w:vAlign w:val="top"/>
          </w:tcPr>
          <w:p w14:paraId="68820B1A">
            <w:pPr>
              <w:pStyle w:val="6"/>
              <w:spacing w:before="125" w:line="184" w:lineRule="auto"/>
              <w:ind w:left="20"/>
            </w:pPr>
            <w:r>
              <w:rPr>
                <w:b/>
                <w:bCs/>
                <w:spacing w:val="-2"/>
              </w:rPr>
              <w:t>A</w:t>
            </w:r>
          </w:p>
        </w:tc>
        <w:tc>
          <w:tcPr>
            <w:tcW w:w="219" w:type="dxa"/>
            <w:tcBorders>
              <w:top w:val="single" w:color="000000" w:sz="2" w:space="0"/>
              <w:bottom w:val="single" w:color="000000" w:sz="2" w:space="0"/>
            </w:tcBorders>
            <w:vAlign w:val="top"/>
          </w:tcPr>
          <w:p w14:paraId="200B35E4">
            <w:pPr>
              <w:pStyle w:val="6"/>
              <w:spacing w:before="127" w:line="182" w:lineRule="auto"/>
              <w:ind w:left="60"/>
            </w:pPr>
            <w:r>
              <w:rPr>
                <w:b/>
                <w:bCs/>
                <w:spacing w:val="-2"/>
              </w:rPr>
              <w:t>B</w:t>
            </w:r>
          </w:p>
        </w:tc>
        <w:tc>
          <w:tcPr>
            <w:tcW w:w="229" w:type="dxa"/>
            <w:tcBorders>
              <w:top w:val="single" w:color="000000" w:sz="2" w:space="0"/>
              <w:bottom w:val="single" w:color="000000" w:sz="2" w:space="0"/>
            </w:tcBorders>
            <w:vAlign w:val="top"/>
          </w:tcPr>
          <w:p w14:paraId="2D7952D9">
            <w:pPr>
              <w:pStyle w:val="6"/>
              <w:spacing w:before="126" w:line="183" w:lineRule="auto"/>
              <w:ind w:left="18"/>
            </w:pPr>
            <w:r>
              <w:t>C</w:t>
            </w:r>
          </w:p>
        </w:tc>
        <w:tc>
          <w:tcPr>
            <w:tcW w:w="234" w:type="dxa"/>
            <w:tcBorders>
              <w:top w:val="single" w:color="000000" w:sz="2" w:space="0"/>
              <w:bottom w:val="single" w:color="000000" w:sz="2" w:space="0"/>
            </w:tcBorders>
            <w:vAlign w:val="top"/>
          </w:tcPr>
          <w:p w14:paraId="73E561DD">
            <w:pPr>
              <w:pStyle w:val="6"/>
              <w:spacing w:before="127" w:line="182" w:lineRule="auto"/>
              <w:ind w:left="19"/>
            </w:pPr>
            <w:r>
              <w:t>D</w:t>
            </w:r>
          </w:p>
        </w:tc>
      </w:tr>
      <w:tr w14:paraId="422E12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4" w:hRule="atLeast"/>
        </w:trPr>
        <w:tc>
          <w:tcPr>
            <w:tcW w:w="893" w:type="dxa"/>
            <w:vMerge w:val="restart"/>
            <w:tcBorders>
              <w:top w:val="single" w:color="000000" w:sz="2" w:space="0"/>
              <w:bottom w:val="nil"/>
            </w:tcBorders>
            <w:vAlign w:val="top"/>
          </w:tcPr>
          <w:p w14:paraId="2992A74A">
            <w:pPr>
              <w:pStyle w:val="6"/>
              <w:spacing w:before="130" w:line="237" w:lineRule="auto"/>
              <w:ind w:left="94" w:right="98"/>
              <w:jc w:val="both"/>
            </w:pPr>
            <w:r>
              <w:rPr>
                <w:spacing w:val="-3"/>
              </w:rPr>
              <w:t>玻璃幕墙</w:t>
            </w:r>
            <w:r>
              <w:rPr>
                <w:spacing w:val="1"/>
              </w:rPr>
              <w:t xml:space="preserve"> </w:t>
            </w:r>
            <w:r>
              <w:rPr>
                <w:spacing w:val="2"/>
              </w:rPr>
              <w:t>的分类及</w:t>
            </w:r>
            <w:r>
              <w:t xml:space="preserve"> </w:t>
            </w:r>
            <w:r>
              <w:rPr>
                <w:spacing w:val="-2"/>
              </w:rPr>
              <w:t>相关知识</w:t>
            </w:r>
          </w:p>
        </w:tc>
        <w:tc>
          <w:tcPr>
            <w:tcW w:w="2324" w:type="dxa"/>
            <w:vMerge w:val="restart"/>
            <w:tcBorders>
              <w:top w:val="single" w:color="000000" w:sz="2" w:space="0"/>
              <w:bottom w:val="nil"/>
            </w:tcBorders>
            <w:vAlign w:val="top"/>
          </w:tcPr>
          <w:p w14:paraId="1C94768F">
            <w:pPr>
              <w:pStyle w:val="6"/>
              <w:spacing w:before="141" w:line="219" w:lineRule="auto"/>
              <w:ind w:left="11"/>
            </w:pPr>
            <w:r>
              <w:rPr>
                <w:spacing w:val="1"/>
              </w:rPr>
              <w:t>1.幕墙定义</w:t>
            </w:r>
          </w:p>
          <w:p w14:paraId="64C2E041">
            <w:pPr>
              <w:pStyle w:val="6"/>
              <w:spacing w:before="17" w:line="229" w:lineRule="auto"/>
              <w:ind w:left="11" w:right="1266"/>
            </w:pPr>
            <w:r>
              <w:rPr>
                <w:spacing w:val="-2"/>
              </w:rPr>
              <w:t>2.幕墙的分类</w:t>
            </w:r>
            <w:r>
              <w:rPr>
                <w:spacing w:val="4"/>
              </w:rPr>
              <w:t xml:space="preserve"> </w:t>
            </w:r>
            <w:r>
              <w:rPr>
                <w:spacing w:val="2"/>
              </w:rPr>
              <w:t>3.幕墙的特点</w:t>
            </w:r>
          </w:p>
        </w:tc>
        <w:tc>
          <w:tcPr>
            <w:tcW w:w="220" w:type="dxa"/>
            <w:tcBorders>
              <w:top w:val="single" w:color="000000" w:sz="2" w:space="0"/>
              <w:bottom w:val="single" w:color="000000" w:sz="2" w:space="0"/>
            </w:tcBorders>
            <w:vAlign w:val="top"/>
          </w:tcPr>
          <w:p w14:paraId="7702E897">
            <w:pPr>
              <w:pStyle w:val="6"/>
              <w:spacing w:before="93" w:line="238" w:lineRule="auto"/>
              <w:ind w:left="18"/>
              <w:rPr>
                <w:sz w:val="13"/>
                <w:szCs w:val="13"/>
              </w:rPr>
            </w:pPr>
            <w:r>
              <w:rPr>
                <w:sz w:val="13"/>
                <w:szCs w:val="13"/>
              </w:rPr>
              <w:t>√</w:t>
            </w:r>
          </w:p>
        </w:tc>
        <w:tc>
          <w:tcPr>
            <w:tcW w:w="219" w:type="dxa"/>
            <w:tcBorders>
              <w:top w:val="single" w:color="000000" w:sz="2" w:space="0"/>
              <w:bottom w:val="single" w:color="000000" w:sz="2" w:space="0"/>
            </w:tcBorders>
            <w:vAlign w:val="top"/>
          </w:tcPr>
          <w:p w14:paraId="4D0B1697">
            <w:pPr>
              <w:rPr>
                <w:rFonts w:ascii="Arial"/>
                <w:sz w:val="21"/>
              </w:rPr>
            </w:pPr>
          </w:p>
        </w:tc>
        <w:tc>
          <w:tcPr>
            <w:tcW w:w="229" w:type="dxa"/>
            <w:tcBorders>
              <w:top w:val="single" w:color="000000" w:sz="2" w:space="0"/>
              <w:bottom w:val="single" w:color="000000" w:sz="2" w:space="0"/>
            </w:tcBorders>
            <w:vAlign w:val="top"/>
          </w:tcPr>
          <w:p w14:paraId="0EBEF7C2">
            <w:pPr>
              <w:rPr>
                <w:rFonts w:ascii="Arial"/>
                <w:sz w:val="21"/>
              </w:rPr>
            </w:pPr>
          </w:p>
        </w:tc>
        <w:tc>
          <w:tcPr>
            <w:tcW w:w="234" w:type="dxa"/>
            <w:tcBorders>
              <w:top w:val="single" w:color="000000" w:sz="2" w:space="0"/>
              <w:bottom w:val="single" w:color="000000" w:sz="2" w:space="0"/>
            </w:tcBorders>
            <w:vAlign w:val="top"/>
          </w:tcPr>
          <w:p w14:paraId="2AB48F0D">
            <w:pPr>
              <w:rPr>
                <w:rFonts w:ascii="Arial"/>
                <w:sz w:val="21"/>
              </w:rPr>
            </w:pPr>
          </w:p>
        </w:tc>
      </w:tr>
      <w:tr w14:paraId="7989E0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893" w:type="dxa"/>
            <w:vMerge w:val="continue"/>
            <w:tcBorders>
              <w:top w:val="nil"/>
              <w:bottom w:val="nil"/>
            </w:tcBorders>
            <w:vAlign w:val="top"/>
          </w:tcPr>
          <w:p w14:paraId="6EF33AF2">
            <w:pPr>
              <w:rPr>
                <w:rFonts w:ascii="Arial"/>
                <w:sz w:val="21"/>
              </w:rPr>
            </w:pPr>
          </w:p>
        </w:tc>
        <w:tc>
          <w:tcPr>
            <w:tcW w:w="2324" w:type="dxa"/>
            <w:vMerge w:val="continue"/>
            <w:tcBorders>
              <w:top w:val="nil"/>
              <w:bottom w:val="nil"/>
            </w:tcBorders>
            <w:vAlign w:val="top"/>
          </w:tcPr>
          <w:p w14:paraId="420102EF">
            <w:pPr>
              <w:rPr>
                <w:rFonts w:ascii="Arial"/>
                <w:sz w:val="21"/>
              </w:rPr>
            </w:pPr>
          </w:p>
        </w:tc>
        <w:tc>
          <w:tcPr>
            <w:tcW w:w="220" w:type="dxa"/>
            <w:tcBorders>
              <w:top w:val="single" w:color="000000" w:sz="2" w:space="0"/>
              <w:bottom w:val="single" w:color="000000" w:sz="2" w:space="0"/>
            </w:tcBorders>
            <w:vAlign w:val="top"/>
          </w:tcPr>
          <w:p w14:paraId="4647CB01">
            <w:pPr>
              <w:rPr>
                <w:rFonts w:ascii="Arial"/>
                <w:sz w:val="21"/>
              </w:rPr>
            </w:pPr>
          </w:p>
        </w:tc>
        <w:tc>
          <w:tcPr>
            <w:tcW w:w="219" w:type="dxa"/>
            <w:tcBorders>
              <w:top w:val="single" w:color="000000" w:sz="2" w:space="0"/>
              <w:bottom w:val="single" w:color="000000" w:sz="2" w:space="0"/>
            </w:tcBorders>
            <w:vAlign w:val="top"/>
          </w:tcPr>
          <w:p w14:paraId="535260BA">
            <w:pPr>
              <w:pStyle w:val="6"/>
              <w:spacing w:before="84" w:line="238" w:lineRule="auto"/>
              <w:ind w:left="37"/>
              <w:rPr>
                <w:sz w:val="13"/>
                <w:szCs w:val="13"/>
              </w:rPr>
            </w:pPr>
            <w:r>
              <w:rPr>
                <w:sz w:val="13"/>
                <w:szCs w:val="13"/>
              </w:rPr>
              <w:t>√</w:t>
            </w:r>
          </w:p>
        </w:tc>
        <w:tc>
          <w:tcPr>
            <w:tcW w:w="229" w:type="dxa"/>
            <w:tcBorders>
              <w:top w:val="single" w:color="000000" w:sz="2" w:space="0"/>
              <w:bottom w:val="single" w:color="000000" w:sz="2" w:space="0"/>
            </w:tcBorders>
            <w:vAlign w:val="top"/>
          </w:tcPr>
          <w:p w14:paraId="654F02B1">
            <w:pPr>
              <w:rPr>
                <w:rFonts w:ascii="Arial"/>
                <w:sz w:val="21"/>
              </w:rPr>
            </w:pPr>
          </w:p>
        </w:tc>
        <w:tc>
          <w:tcPr>
            <w:tcW w:w="234" w:type="dxa"/>
            <w:tcBorders>
              <w:top w:val="single" w:color="000000" w:sz="2" w:space="0"/>
              <w:bottom w:val="single" w:color="000000" w:sz="2" w:space="0"/>
            </w:tcBorders>
            <w:vAlign w:val="top"/>
          </w:tcPr>
          <w:p w14:paraId="48FF89D4">
            <w:pPr>
              <w:rPr>
                <w:rFonts w:ascii="Arial"/>
                <w:sz w:val="21"/>
              </w:rPr>
            </w:pPr>
          </w:p>
        </w:tc>
      </w:tr>
      <w:tr w14:paraId="612000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4" w:hRule="atLeast"/>
        </w:trPr>
        <w:tc>
          <w:tcPr>
            <w:tcW w:w="893" w:type="dxa"/>
            <w:vMerge w:val="continue"/>
            <w:tcBorders>
              <w:top w:val="nil"/>
              <w:bottom w:val="single" w:color="000000" w:sz="2" w:space="0"/>
            </w:tcBorders>
            <w:vAlign w:val="top"/>
          </w:tcPr>
          <w:p w14:paraId="3FF8734C">
            <w:pPr>
              <w:rPr>
                <w:rFonts w:ascii="Arial"/>
                <w:sz w:val="21"/>
              </w:rPr>
            </w:pPr>
          </w:p>
        </w:tc>
        <w:tc>
          <w:tcPr>
            <w:tcW w:w="2324" w:type="dxa"/>
            <w:vMerge w:val="continue"/>
            <w:tcBorders>
              <w:top w:val="nil"/>
              <w:bottom w:val="single" w:color="000000" w:sz="2" w:space="0"/>
            </w:tcBorders>
            <w:vAlign w:val="top"/>
          </w:tcPr>
          <w:p w14:paraId="51CB2CEA">
            <w:pPr>
              <w:rPr>
                <w:rFonts w:ascii="Arial"/>
                <w:sz w:val="21"/>
              </w:rPr>
            </w:pPr>
          </w:p>
        </w:tc>
        <w:tc>
          <w:tcPr>
            <w:tcW w:w="220" w:type="dxa"/>
            <w:tcBorders>
              <w:top w:val="single" w:color="000000" w:sz="2" w:space="0"/>
              <w:bottom w:val="single" w:color="000000" w:sz="2" w:space="0"/>
            </w:tcBorders>
            <w:vAlign w:val="top"/>
          </w:tcPr>
          <w:p w14:paraId="1EB402ED">
            <w:pPr>
              <w:rPr>
                <w:rFonts w:ascii="Arial"/>
                <w:sz w:val="21"/>
              </w:rPr>
            </w:pPr>
          </w:p>
        </w:tc>
        <w:tc>
          <w:tcPr>
            <w:tcW w:w="219" w:type="dxa"/>
            <w:tcBorders>
              <w:top w:val="single" w:color="000000" w:sz="2" w:space="0"/>
              <w:bottom w:val="single" w:color="000000" w:sz="2" w:space="0"/>
            </w:tcBorders>
            <w:vAlign w:val="top"/>
          </w:tcPr>
          <w:p w14:paraId="289C1BEF">
            <w:pPr>
              <w:pStyle w:val="6"/>
              <w:spacing w:before="94" w:line="238" w:lineRule="auto"/>
              <w:ind w:left="37"/>
              <w:rPr>
                <w:sz w:val="13"/>
                <w:szCs w:val="13"/>
              </w:rPr>
            </w:pPr>
            <w:r>
              <w:rPr>
                <w:sz w:val="13"/>
                <w:szCs w:val="13"/>
              </w:rPr>
              <w:t>√</w:t>
            </w:r>
          </w:p>
        </w:tc>
        <w:tc>
          <w:tcPr>
            <w:tcW w:w="229" w:type="dxa"/>
            <w:tcBorders>
              <w:top w:val="single" w:color="000000" w:sz="2" w:space="0"/>
              <w:bottom w:val="single" w:color="000000" w:sz="2" w:space="0"/>
            </w:tcBorders>
            <w:vAlign w:val="top"/>
          </w:tcPr>
          <w:p w14:paraId="30769460">
            <w:pPr>
              <w:rPr>
                <w:rFonts w:ascii="Arial"/>
                <w:sz w:val="21"/>
              </w:rPr>
            </w:pPr>
          </w:p>
        </w:tc>
        <w:tc>
          <w:tcPr>
            <w:tcW w:w="234" w:type="dxa"/>
            <w:tcBorders>
              <w:top w:val="single" w:color="000000" w:sz="2" w:space="0"/>
              <w:bottom w:val="single" w:color="000000" w:sz="2" w:space="0"/>
            </w:tcBorders>
            <w:vAlign w:val="top"/>
          </w:tcPr>
          <w:p w14:paraId="0C41BA6A">
            <w:pPr>
              <w:rPr>
                <w:rFonts w:ascii="Arial"/>
                <w:sz w:val="21"/>
              </w:rPr>
            </w:pPr>
          </w:p>
        </w:tc>
      </w:tr>
      <w:tr w14:paraId="018EA0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4" w:hRule="atLeast"/>
        </w:trPr>
        <w:tc>
          <w:tcPr>
            <w:tcW w:w="893" w:type="dxa"/>
            <w:vMerge w:val="restart"/>
            <w:tcBorders>
              <w:top w:val="single" w:color="000000" w:sz="2" w:space="0"/>
              <w:bottom w:val="nil"/>
            </w:tcBorders>
            <w:vAlign w:val="top"/>
          </w:tcPr>
          <w:p w14:paraId="2EAD78A5">
            <w:pPr>
              <w:spacing w:line="277" w:lineRule="auto"/>
              <w:rPr>
                <w:rFonts w:ascii="Arial"/>
                <w:sz w:val="21"/>
              </w:rPr>
            </w:pPr>
          </w:p>
          <w:p w14:paraId="2E151BE1">
            <w:pPr>
              <w:spacing w:line="278" w:lineRule="auto"/>
              <w:rPr>
                <w:rFonts w:ascii="Arial"/>
                <w:sz w:val="21"/>
              </w:rPr>
            </w:pPr>
          </w:p>
          <w:p w14:paraId="10DB520D">
            <w:pPr>
              <w:pStyle w:val="6"/>
              <w:spacing w:before="55" w:line="219" w:lineRule="auto"/>
              <w:ind w:left="94"/>
            </w:pPr>
            <w:r>
              <w:rPr>
                <w:spacing w:val="2"/>
              </w:rPr>
              <w:t>隐框玻璃</w:t>
            </w:r>
          </w:p>
          <w:p w14:paraId="4492B144">
            <w:pPr>
              <w:pStyle w:val="6"/>
              <w:spacing w:before="7" w:line="219" w:lineRule="auto"/>
              <w:ind w:left="94"/>
            </w:pPr>
            <w:r>
              <w:rPr>
                <w:spacing w:val="-2"/>
              </w:rPr>
              <w:t>幕墙工程</w:t>
            </w:r>
          </w:p>
          <w:p w14:paraId="53CDA50B">
            <w:pPr>
              <w:pStyle w:val="6"/>
              <w:spacing w:before="30" w:line="221" w:lineRule="auto"/>
              <w:ind w:left="94"/>
            </w:pPr>
            <w:r>
              <w:rPr>
                <w:spacing w:val="-2"/>
              </w:rPr>
              <w:t>施工要求</w:t>
            </w:r>
          </w:p>
          <w:p w14:paraId="50598466">
            <w:pPr>
              <w:pStyle w:val="6"/>
              <w:spacing w:before="35" w:line="219" w:lineRule="auto"/>
              <w:ind w:left="184"/>
            </w:pPr>
            <w:r>
              <w:rPr>
                <w:spacing w:val="-2"/>
              </w:rPr>
              <w:t>及步骤</w:t>
            </w:r>
          </w:p>
        </w:tc>
        <w:tc>
          <w:tcPr>
            <w:tcW w:w="2324" w:type="dxa"/>
            <w:vMerge w:val="restart"/>
            <w:tcBorders>
              <w:top w:val="single" w:color="000000" w:sz="2" w:space="0"/>
              <w:bottom w:val="nil"/>
            </w:tcBorders>
            <w:vAlign w:val="top"/>
          </w:tcPr>
          <w:p w14:paraId="6A2C70F5">
            <w:pPr>
              <w:pStyle w:val="6"/>
              <w:spacing w:before="294" w:line="219" w:lineRule="auto"/>
              <w:ind w:left="11"/>
            </w:pPr>
            <w:r>
              <w:t>1.施工必备条件</w:t>
            </w:r>
          </w:p>
          <w:p w14:paraId="30592FC7">
            <w:pPr>
              <w:pStyle w:val="6"/>
              <w:spacing w:before="17" w:line="219" w:lineRule="auto"/>
              <w:ind w:left="11"/>
            </w:pPr>
            <w:r>
              <w:rPr>
                <w:spacing w:val="-1"/>
              </w:rPr>
              <w:t>2.施工材料及其要求</w:t>
            </w:r>
          </w:p>
          <w:p w14:paraId="22CFED55">
            <w:pPr>
              <w:pStyle w:val="6"/>
              <w:spacing w:before="9" w:line="224" w:lineRule="auto"/>
              <w:ind w:left="11" w:right="76"/>
            </w:pPr>
            <w:r>
              <w:rPr>
                <w:spacing w:val="1"/>
              </w:rPr>
              <w:t>3.施工工艺流程及其操作要点</w:t>
            </w:r>
            <w:r>
              <w:t xml:space="preserve"> </w:t>
            </w:r>
            <w:r>
              <w:rPr>
                <w:spacing w:val="-1"/>
              </w:rPr>
              <w:t>4.安装质量要求</w:t>
            </w:r>
          </w:p>
          <w:p w14:paraId="3D4046D9">
            <w:pPr>
              <w:pStyle w:val="6"/>
              <w:spacing w:before="25" w:line="238" w:lineRule="auto"/>
              <w:ind w:left="11" w:right="247"/>
            </w:pPr>
            <w:r>
              <w:rPr>
                <w:spacing w:val="1"/>
              </w:rPr>
              <w:t>5.质量验收标准及通病防治</w:t>
            </w:r>
            <w:r>
              <w:t xml:space="preserve"> </w:t>
            </w:r>
            <w:r>
              <w:rPr>
                <w:spacing w:val="-1"/>
              </w:rPr>
              <w:t>6.成品保护及安全环保措施</w:t>
            </w:r>
          </w:p>
        </w:tc>
        <w:tc>
          <w:tcPr>
            <w:tcW w:w="220" w:type="dxa"/>
            <w:tcBorders>
              <w:top w:val="single" w:color="000000" w:sz="2" w:space="0"/>
              <w:bottom w:val="single" w:color="000000" w:sz="2" w:space="0"/>
            </w:tcBorders>
            <w:vAlign w:val="top"/>
          </w:tcPr>
          <w:p w14:paraId="3C0B104A">
            <w:pPr>
              <w:rPr>
                <w:rFonts w:ascii="Arial"/>
                <w:sz w:val="21"/>
              </w:rPr>
            </w:pPr>
          </w:p>
        </w:tc>
        <w:tc>
          <w:tcPr>
            <w:tcW w:w="219" w:type="dxa"/>
            <w:tcBorders>
              <w:top w:val="single" w:color="000000" w:sz="2" w:space="0"/>
              <w:bottom w:val="single" w:color="000000" w:sz="2" w:space="0"/>
            </w:tcBorders>
            <w:vAlign w:val="top"/>
          </w:tcPr>
          <w:p w14:paraId="045761A2">
            <w:pPr>
              <w:pStyle w:val="6"/>
              <w:spacing w:before="105" w:line="238" w:lineRule="auto"/>
              <w:ind w:left="37"/>
              <w:rPr>
                <w:sz w:val="13"/>
                <w:szCs w:val="13"/>
              </w:rPr>
            </w:pPr>
            <w:r>
              <w:rPr>
                <w:sz w:val="13"/>
                <w:szCs w:val="13"/>
              </w:rPr>
              <w:t>√</w:t>
            </w:r>
          </w:p>
        </w:tc>
        <w:tc>
          <w:tcPr>
            <w:tcW w:w="229" w:type="dxa"/>
            <w:tcBorders>
              <w:top w:val="single" w:color="000000" w:sz="2" w:space="0"/>
              <w:bottom w:val="single" w:color="000000" w:sz="2" w:space="0"/>
            </w:tcBorders>
            <w:vAlign w:val="top"/>
          </w:tcPr>
          <w:p w14:paraId="7D4E4C79">
            <w:pPr>
              <w:rPr>
                <w:rFonts w:ascii="Arial"/>
                <w:sz w:val="21"/>
              </w:rPr>
            </w:pPr>
          </w:p>
        </w:tc>
        <w:tc>
          <w:tcPr>
            <w:tcW w:w="234" w:type="dxa"/>
            <w:tcBorders>
              <w:top w:val="single" w:color="000000" w:sz="2" w:space="0"/>
              <w:bottom w:val="single" w:color="000000" w:sz="2" w:space="0"/>
            </w:tcBorders>
            <w:vAlign w:val="top"/>
          </w:tcPr>
          <w:p w14:paraId="08824B7F">
            <w:pPr>
              <w:rPr>
                <w:rFonts w:ascii="Arial"/>
                <w:sz w:val="21"/>
              </w:rPr>
            </w:pPr>
          </w:p>
        </w:tc>
      </w:tr>
      <w:tr w14:paraId="7A2DA5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4" w:hRule="atLeast"/>
        </w:trPr>
        <w:tc>
          <w:tcPr>
            <w:tcW w:w="893" w:type="dxa"/>
            <w:vMerge w:val="continue"/>
            <w:tcBorders>
              <w:top w:val="nil"/>
              <w:bottom w:val="nil"/>
            </w:tcBorders>
            <w:vAlign w:val="top"/>
          </w:tcPr>
          <w:p w14:paraId="174FCDC8">
            <w:pPr>
              <w:rPr>
                <w:rFonts w:ascii="Arial"/>
                <w:sz w:val="21"/>
              </w:rPr>
            </w:pPr>
          </w:p>
        </w:tc>
        <w:tc>
          <w:tcPr>
            <w:tcW w:w="2324" w:type="dxa"/>
            <w:vMerge w:val="continue"/>
            <w:tcBorders>
              <w:top w:val="nil"/>
              <w:bottom w:val="nil"/>
            </w:tcBorders>
            <w:vAlign w:val="top"/>
          </w:tcPr>
          <w:p w14:paraId="080D1232">
            <w:pPr>
              <w:rPr>
                <w:rFonts w:ascii="Arial"/>
                <w:sz w:val="21"/>
              </w:rPr>
            </w:pPr>
          </w:p>
        </w:tc>
        <w:tc>
          <w:tcPr>
            <w:tcW w:w="220" w:type="dxa"/>
            <w:tcBorders>
              <w:top w:val="single" w:color="000000" w:sz="2" w:space="0"/>
              <w:bottom w:val="single" w:color="000000" w:sz="2" w:space="0"/>
            </w:tcBorders>
            <w:vAlign w:val="top"/>
          </w:tcPr>
          <w:p w14:paraId="70710F86">
            <w:pPr>
              <w:pStyle w:val="6"/>
              <w:spacing w:before="106" w:line="238" w:lineRule="auto"/>
              <w:ind w:left="18"/>
              <w:rPr>
                <w:sz w:val="13"/>
                <w:szCs w:val="13"/>
              </w:rPr>
            </w:pPr>
            <w:r>
              <w:rPr>
                <w:sz w:val="13"/>
                <w:szCs w:val="13"/>
              </w:rPr>
              <w:t>√</w:t>
            </w:r>
          </w:p>
        </w:tc>
        <w:tc>
          <w:tcPr>
            <w:tcW w:w="219" w:type="dxa"/>
            <w:tcBorders>
              <w:top w:val="single" w:color="000000" w:sz="2" w:space="0"/>
              <w:bottom w:val="single" w:color="000000" w:sz="2" w:space="0"/>
            </w:tcBorders>
            <w:vAlign w:val="top"/>
          </w:tcPr>
          <w:p w14:paraId="1955219C">
            <w:pPr>
              <w:rPr>
                <w:rFonts w:ascii="Arial"/>
                <w:sz w:val="21"/>
              </w:rPr>
            </w:pPr>
          </w:p>
        </w:tc>
        <w:tc>
          <w:tcPr>
            <w:tcW w:w="229" w:type="dxa"/>
            <w:tcBorders>
              <w:top w:val="single" w:color="000000" w:sz="2" w:space="0"/>
              <w:bottom w:val="single" w:color="000000" w:sz="2" w:space="0"/>
            </w:tcBorders>
            <w:vAlign w:val="top"/>
          </w:tcPr>
          <w:p w14:paraId="43C49CF0">
            <w:pPr>
              <w:rPr>
                <w:rFonts w:ascii="Arial"/>
                <w:sz w:val="21"/>
              </w:rPr>
            </w:pPr>
          </w:p>
        </w:tc>
        <w:tc>
          <w:tcPr>
            <w:tcW w:w="234" w:type="dxa"/>
            <w:tcBorders>
              <w:top w:val="single" w:color="000000" w:sz="2" w:space="0"/>
              <w:bottom w:val="single" w:color="000000" w:sz="2" w:space="0"/>
            </w:tcBorders>
            <w:vAlign w:val="top"/>
          </w:tcPr>
          <w:p w14:paraId="3A75F1D4">
            <w:pPr>
              <w:rPr>
                <w:rFonts w:ascii="Arial"/>
                <w:sz w:val="21"/>
              </w:rPr>
            </w:pPr>
          </w:p>
        </w:tc>
      </w:tr>
      <w:tr w14:paraId="63EF3D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4" w:hRule="atLeast"/>
        </w:trPr>
        <w:tc>
          <w:tcPr>
            <w:tcW w:w="893" w:type="dxa"/>
            <w:vMerge w:val="continue"/>
            <w:tcBorders>
              <w:top w:val="nil"/>
              <w:bottom w:val="nil"/>
            </w:tcBorders>
            <w:vAlign w:val="top"/>
          </w:tcPr>
          <w:p w14:paraId="56DEC0A3">
            <w:pPr>
              <w:rPr>
                <w:rFonts w:ascii="Arial"/>
                <w:sz w:val="21"/>
              </w:rPr>
            </w:pPr>
          </w:p>
        </w:tc>
        <w:tc>
          <w:tcPr>
            <w:tcW w:w="2324" w:type="dxa"/>
            <w:vMerge w:val="continue"/>
            <w:tcBorders>
              <w:top w:val="nil"/>
              <w:bottom w:val="nil"/>
            </w:tcBorders>
            <w:vAlign w:val="top"/>
          </w:tcPr>
          <w:p w14:paraId="40970644">
            <w:pPr>
              <w:rPr>
                <w:rFonts w:ascii="Arial"/>
                <w:sz w:val="21"/>
              </w:rPr>
            </w:pPr>
          </w:p>
        </w:tc>
        <w:tc>
          <w:tcPr>
            <w:tcW w:w="220" w:type="dxa"/>
            <w:tcBorders>
              <w:top w:val="single" w:color="000000" w:sz="2" w:space="0"/>
              <w:bottom w:val="single" w:color="000000" w:sz="2" w:space="0"/>
            </w:tcBorders>
            <w:vAlign w:val="top"/>
          </w:tcPr>
          <w:p w14:paraId="66E16F54">
            <w:pPr>
              <w:rPr>
                <w:rFonts w:ascii="Arial"/>
                <w:sz w:val="21"/>
              </w:rPr>
            </w:pPr>
          </w:p>
        </w:tc>
        <w:tc>
          <w:tcPr>
            <w:tcW w:w="219" w:type="dxa"/>
            <w:tcBorders>
              <w:top w:val="single" w:color="000000" w:sz="2" w:space="0"/>
              <w:bottom w:val="single" w:color="000000" w:sz="2" w:space="0"/>
            </w:tcBorders>
            <w:vAlign w:val="top"/>
          </w:tcPr>
          <w:p w14:paraId="4D6C9D12">
            <w:pPr>
              <w:rPr>
                <w:rFonts w:ascii="Arial"/>
                <w:sz w:val="21"/>
              </w:rPr>
            </w:pPr>
          </w:p>
        </w:tc>
        <w:tc>
          <w:tcPr>
            <w:tcW w:w="229" w:type="dxa"/>
            <w:tcBorders>
              <w:top w:val="single" w:color="000000" w:sz="2" w:space="0"/>
              <w:bottom w:val="single" w:color="000000" w:sz="2" w:space="0"/>
            </w:tcBorders>
            <w:vAlign w:val="top"/>
          </w:tcPr>
          <w:p w14:paraId="7BEC8A29">
            <w:pPr>
              <w:rPr>
                <w:rFonts w:ascii="Arial"/>
                <w:sz w:val="21"/>
              </w:rPr>
            </w:pPr>
          </w:p>
        </w:tc>
        <w:tc>
          <w:tcPr>
            <w:tcW w:w="234" w:type="dxa"/>
            <w:tcBorders>
              <w:top w:val="single" w:color="000000" w:sz="2" w:space="0"/>
              <w:bottom w:val="single" w:color="000000" w:sz="2" w:space="0"/>
            </w:tcBorders>
            <w:vAlign w:val="top"/>
          </w:tcPr>
          <w:p w14:paraId="3A3CBE23">
            <w:pPr>
              <w:rPr>
                <w:rFonts w:ascii="Arial"/>
                <w:sz w:val="21"/>
              </w:rPr>
            </w:pPr>
          </w:p>
        </w:tc>
      </w:tr>
      <w:tr w14:paraId="576199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5" w:hRule="atLeast"/>
        </w:trPr>
        <w:tc>
          <w:tcPr>
            <w:tcW w:w="893" w:type="dxa"/>
            <w:vMerge w:val="continue"/>
            <w:tcBorders>
              <w:top w:val="nil"/>
              <w:bottom w:val="nil"/>
            </w:tcBorders>
            <w:vAlign w:val="top"/>
          </w:tcPr>
          <w:p w14:paraId="3E703E64">
            <w:pPr>
              <w:rPr>
                <w:rFonts w:ascii="Arial"/>
                <w:sz w:val="21"/>
              </w:rPr>
            </w:pPr>
          </w:p>
        </w:tc>
        <w:tc>
          <w:tcPr>
            <w:tcW w:w="2324" w:type="dxa"/>
            <w:vMerge w:val="continue"/>
            <w:tcBorders>
              <w:top w:val="nil"/>
              <w:bottom w:val="nil"/>
            </w:tcBorders>
            <w:vAlign w:val="top"/>
          </w:tcPr>
          <w:p w14:paraId="187D2B16">
            <w:pPr>
              <w:rPr>
                <w:rFonts w:ascii="Arial"/>
                <w:sz w:val="21"/>
              </w:rPr>
            </w:pPr>
          </w:p>
        </w:tc>
        <w:tc>
          <w:tcPr>
            <w:tcW w:w="220" w:type="dxa"/>
            <w:tcBorders>
              <w:top w:val="single" w:color="000000" w:sz="2" w:space="0"/>
              <w:bottom w:val="single" w:color="000000" w:sz="2" w:space="0"/>
            </w:tcBorders>
            <w:vAlign w:val="top"/>
          </w:tcPr>
          <w:p w14:paraId="3E57AC77">
            <w:pPr>
              <w:rPr>
                <w:rFonts w:ascii="Arial"/>
                <w:sz w:val="21"/>
              </w:rPr>
            </w:pPr>
          </w:p>
        </w:tc>
        <w:tc>
          <w:tcPr>
            <w:tcW w:w="219" w:type="dxa"/>
            <w:tcBorders>
              <w:top w:val="single" w:color="000000" w:sz="2" w:space="0"/>
              <w:bottom w:val="single" w:color="000000" w:sz="2" w:space="0"/>
            </w:tcBorders>
            <w:vAlign w:val="top"/>
          </w:tcPr>
          <w:p w14:paraId="6DA21C2E">
            <w:pPr>
              <w:rPr>
                <w:rFonts w:ascii="Arial"/>
                <w:sz w:val="21"/>
              </w:rPr>
            </w:pPr>
          </w:p>
        </w:tc>
        <w:tc>
          <w:tcPr>
            <w:tcW w:w="229" w:type="dxa"/>
            <w:tcBorders>
              <w:top w:val="single" w:color="000000" w:sz="2" w:space="0"/>
              <w:bottom w:val="single" w:color="000000" w:sz="2" w:space="0"/>
            </w:tcBorders>
            <w:vAlign w:val="top"/>
          </w:tcPr>
          <w:p w14:paraId="058AC137">
            <w:pPr>
              <w:rPr>
                <w:rFonts w:ascii="Arial"/>
                <w:sz w:val="21"/>
              </w:rPr>
            </w:pPr>
          </w:p>
        </w:tc>
        <w:tc>
          <w:tcPr>
            <w:tcW w:w="234" w:type="dxa"/>
            <w:tcBorders>
              <w:top w:val="single" w:color="000000" w:sz="2" w:space="0"/>
              <w:bottom w:val="single" w:color="000000" w:sz="2" w:space="0"/>
            </w:tcBorders>
            <w:vAlign w:val="top"/>
          </w:tcPr>
          <w:p w14:paraId="7607126A">
            <w:pPr>
              <w:rPr>
                <w:rFonts w:ascii="Arial"/>
                <w:sz w:val="21"/>
              </w:rPr>
            </w:pPr>
          </w:p>
        </w:tc>
      </w:tr>
      <w:tr w14:paraId="3ABE7B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4" w:hRule="atLeast"/>
        </w:trPr>
        <w:tc>
          <w:tcPr>
            <w:tcW w:w="893" w:type="dxa"/>
            <w:vMerge w:val="continue"/>
            <w:tcBorders>
              <w:top w:val="nil"/>
              <w:bottom w:val="nil"/>
            </w:tcBorders>
            <w:vAlign w:val="top"/>
          </w:tcPr>
          <w:p w14:paraId="2FD04C82">
            <w:pPr>
              <w:rPr>
                <w:rFonts w:ascii="Arial"/>
                <w:sz w:val="21"/>
              </w:rPr>
            </w:pPr>
          </w:p>
        </w:tc>
        <w:tc>
          <w:tcPr>
            <w:tcW w:w="2324" w:type="dxa"/>
            <w:vMerge w:val="continue"/>
            <w:tcBorders>
              <w:top w:val="nil"/>
              <w:bottom w:val="nil"/>
            </w:tcBorders>
            <w:vAlign w:val="top"/>
          </w:tcPr>
          <w:p w14:paraId="41F21E61">
            <w:pPr>
              <w:rPr>
                <w:rFonts w:ascii="Arial"/>
                <w:sz w:val="21"/>
              </w:rPr>
            </w:pPr>
          </w:p>
        </w:tc>
        <w:tc>
          <w:tcPr>
            <w:tcW w:w="220" w:type="dxa"/>
            <w:tcBorders>
              <w:top w:val="single" w:color="000000" w:sz="2" w:space="0"/>
              <w:bottom w:val="single" w:color="000000" w:sz="2" w:space="0"/>
            </w:tcBorders>
            <w:vAlign w:val="top"/>
          </w:tcPr>
          <w:p w14:paraId="6C03B976">
            <w:pPr>
              <w:rPr>
                <w:rFonts w:ascii="Arial"/>
                <w:sz w:val="21"/>
              </w:rPr>
            </w:pPr>
          </w:p>
        </w:tc>
        <w:tc>
          <w:tcPr>
            <w:tcW w:w="219" w:type="dxa"/>
            <w:tcBorders>
              <w:top w:val="single" w:color="000000" w:sz="2" w:space="0"/>
              <w:bottom w:val="single" w:color="000000" w:sz="2" w:space="0"/>
            </w:tcBorders>
            <w:vAlign w:val="top"/>
          </w:tcPr>
          <w:p w14:paraId="2A298BE5">
            <w:pPr>
              <w:rPr>
                <w:rFonts w:ascii="Arial"/>
                <w:sz w:val="21"/>
              </w:rPr>
            </w:pPr>
          </w:p>
        </w:tc>
        <w:tc>
          <w:tcPr>
            <w:tcW w:w="229" w:type="dxa"/>
            <w:tcBorders>
              <w:top w:val="single" w:color="000000" w:sz="2" w:space="0"/>
              <w:bottom w:val="single" w:color="000000" w:sz="2" w:space="0"/>
            </w:tcBorders>
            <w:vAlign w:val="top"/>
          </w:tcPr>
          <w:p w14:paraId="41DA78AA">
            <w:pPr>
              <w:rPr>
                <w:rFonts w:ascii="Arial"/>
                <w:sz w:val="21"/>
              </w:rPr>
            </w:pPr>
          </w:p>
        </w:tc>
        <w:tc>
          <w:tcPr>
            <w:tcW w:w="234" w:type="dxa"/>
            <w:tcBorders>
              <w:top w:val="single" w:color="000000" w:sz="2" w:space="0"/>
              <w:bottom w:val="single" w:color="000000" w:sz="2" w:space="0"/>
            </w:tcBorders>
            <w:vAlign w:val="top"/>
          </w:tcPr>
          <w:p w14:paraId="4FE83AB5">
            <w:pPr>
              <w:pStyle w:val="6"/>
              <w:spacing w:before="98" w:line="238" w:lineRule="auto"/>
              <w:ind w:left="19"/>
              <w:rPr>
                <w:sz w:val="13"/>
                <w:szCs w:val="13"/>
              </w:rPr>
            </w:pPr>
            <w:r>
              <w:rPr>
                <w:sz w:val="13"/>
                <w:szCs w:val="13"/>
              </w:rPr>
              <w:t>√</w:t>
            </w:r>
          </w:p>
        </w:tc>
      </w:tr>
      <w:tr w14:paraId="18C455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0" w:hRule="atLeast"/>
        </w:trPr>
        <w:tc>
          <w:tcPr>
            <w:tcW w:w="893" w:type="dxa"/>
            <w:vMerge w:val="continue"/>
            <w:tcBorders>
              <w:top w:val="nil"/>
              <w:bottom w:val="single" w:color="000000" w:sz="2" w:space="0"/>
            </w:tcBorders>
            <w:vAlign w:val="top"/>
          </w:tcPr>
          <w:p w14:paraId="64C5D19D">
            <w:pPr>
              <w:rPr>
                <w:rFonts w:ascii="Arial"/>
                <w:sz w:val="21"/>
              </w:rPr>
            </w:pPr>
          </w:p>
        </w:tc>
        <w:tc>
          <w:tcPr>
            <w:tcW w:w="2324" w:type="dxa"/>
            <w:vMerge w:val="continue"/>
            <w:tcBorders>
              <w:top w:val="nil"/>
              <w:bottom w:val="single" w:color="000000" w:sz="2" w:space="0"/>
            </w:tcBorders>
            <w:vAlign w:val="top"/>
          </w:tcPr>
          <w:p w14:paraId="7C8EF028">
            <w:pPr>
              <w:rPr>
                <w:rFonts w:ascii="Arial"/>
                <w:sz w:val="21"/>
              </w:rPr>
            </w:pPr>
          </w:p>
        </w:tc>
        <w:tc>
          <w:tcPr>
            <w:tcW w:w="220" w:type="dxa"/>
            <w:tcBorders>
              <w:top w:val="single" w:color="000000" w:sz="2" w:space="0"/>
              <w:bottom w:val="single" w:color="000000" w:sz="2" w:space="0"/>
            </w:tcBorders>
            <w:vAlign w:val="top"/>
          </w:tcPr>
          <w:p w14:paraId="76ECE9FE">
            <w:pPr>
              <w:pStyle w:val="6"/>
              <w:spacing w:before="55" w:line="190" w:lineRule="auto"/>
              <w:ind w:left="18"/>
            </w:pPr>
            <w:r>
              <w:t>√</w:t>
            </w:r>
          </w:p>
        </w:tc>
        <w:tc>
          <w:tcPr>
            <w:tcW w:w="219" w:type="dxa"/>
            <w:tcBorders>
              <w:top w:val="single" w:color="000000" w:sz="2" w:space="0"/>
              <w:bottom w:val="single" w:color="000000" w:sz="2" w:space="0"/>
            </w:tcBorders>
            <w:vAlign w:val="top"/>
          </w:tcPr>
          <w:p w14:paraId="71C04D76">
            <w:pPr>
              <w:spacing w:line="230" w:lineRule="exact"/>
              <w:rPr>
                <w:rFonts w:ascii="Arial"/>
                <w:sz w:val="20"/>
              </w:rPr>
            </w:pPr>
          </w:p>
        </w:tc>
        <w:tc>
          <w:tcPr>
            <w:tcW w:w="229" w:type="dxa"/>
            <w:tcBorders>
              <w:top w:val="single" w:color="000000" w:sz="2" w:space="0"/>
              <w:bottom w:val="single" w:color="000000" w:sz="2" w:space="0"/>
            </w:tcBorders>
            <w:vAlign w:val="top"/>
          </w:tcPr>
          <w:p w14:paraId="294664B7">
            <w:pPr>
              <w:spacing w:line="230" w:lineRule="exact"/>
              <w:rPr>
                <w:rFonts w:ascii="Arial"/>
                <w:sz w:val="20"/>
              </w:rPr>
            </w:pPr>
          </w:p>
        </w:tc>
        <w:tc>
          <w:tcPr>
            <w:tcW w:w="234" w:type="dxa"/>
            <w:tcBorders>
              <w:top w:val="single" w:color="000000" w:sz="2" w:space="0"/>
              <w:bottom w:val="single" w:color="000000" w:sz="2" w:space="0"/>
            </w:tcBorders>
            <w:vAlign w:val="top"/>
          </w:tcPr>
          <w:p w14:paraId="2C6887B5">
            <w:pPr>
              <w:spacing w:line="230" w:lineRule="exact"/>
              <w:rPr>
                <w:rFonts w:ascii="Arial"/>
                <w:sz w:val="20"/>
              </w:rPr>
            </w:pPr>
          </w:p>
        </w:tc>
      </w:tr>
    </w:tbl>
    <w:p w14:paraId="52CF7DC8">
      <w:pPr>
        <w:pStyle w:val="2"/>
        <w:spacing w:line="14" w:lineRule="auto"/>
        <w:rPr>
          <w:sz w:val="2"/>
        </w:rPr>
      </w:pPr>
    </w:p>
    <w:p w14:paraId="10D2D5A8">
      <w:pPr>
        <w:pStyle w:val="2"/>
        <w:spacing w:line="14" w:lineRule="auto"/>
        <w:rPr>
          <w:sz w:val="2"/>
        </w:rPr>
      </w:pPr>
      <w:r>
        <w:rPr>
          <w:sz w:val="2"/>
          <w:szCs w:val="2"/>
        </w:rPr>
        <w:br w:type="column"/>
      </w:r>
    </w:p>
    <w:p w14:paraId="0E6C2F3F">
      <w:pPr>
        <w:spacing w:line="219" w:lineRule="auto"/>
        <w:ind w:left="18"/>
        <w:rPr>
          <w:rFonts w:ascii="黑体" w:hAnsi="黑体" w:eastAsia="黑体" w:cs="黑体"/>
          <w:sz w:val="23"/>
          <w:szCs w:val="23"/>
        </w:rPr>
      </w:pPr>
      <w:r>
        <w:rPr>
          <w:rFonts w:ascii="黑体" w:hAnsi="黑体" w:eastAsia="黑体" w:cs="黑体"/>
          <w:b/>
          <w:bCs/>
          <w:spacing w:val="-7"/>
          <w:sz w:val="23"/>
          <w:szCs w:val="23"/>
        </w:rPr>
        <w:t>四、考试形式和试卷结构</w:t>
      </w:r>
    </w:p>
    <w:p w14:paraId="0D9E533E">
      <w:pPr>
        <w:spacing w:before="87" w:line="219" w:lineRule="auto"/>
        <w:ind w:left="364"/>
        <w:rPr>
          <w:rFonts w:ascii="宋体" w:hAnsi="宋体" w:eastAsia="宋体" w:cs="宋体"/>
          <w:sz w:val="17"/>
          <w:szCs w:val="17"/>
        </w:rPr>
      </w:pPr>
      <w:r>
        <w:rPr>
          <w:rFonts w:ascii="宋体" w:hAnsi="宋体" w:eastAsia="宋体" w:cs="宋体"/>
          <w:spacing w:val="1"/>
          <w:sz w:val="17"/>
          <w:szCs w:val="17"/>
        </w:rPr>
        <w:t>1.考试形式</w:t>
      </w:r>
    </w:p>
    <w:p w14:paraId="7342C227">
      <w:pPr>
        <w:spacing w:before="97" w:line="219" w:lineRule="auto"/>
        <w:ind w:left="425"/>
        <w:rPr>
          <w:rFonts w:ascii="宋体" w:hAnsi="宋体" w:eastAsia="宋体" w:cs="宋体"/>
          <w:sz w:val="17"/>
          <w:szCs w:val="17"/>
        </w:rPr>
      </w:pPr>
      <w:r>
        <w:rPr>
          <w:rFonts w:ascii="宋体" w:hAnsi="宋体" w:eastAsia="宋体" w:cs="宋体"/>
          <w:spacing w:val="7"/>
          <w:sz w:val="17"/>
          <w:szCs w:val="17"/>
        </w:rPr>
        <w:t>(1)采用闭卷笔答形式。</w:t>
      </w:r>
    </w:p>
    <w:p w14:paraId="6E661700">
      <w:pPr>
        <w:spacing w:before="90" w:line="262" w:lineRule="auto"/>
        <w:ind w:left="364" w:right="310" w:firstLine="70"/>
        <w:rPr>
          <w:rFonts w:ascii="宋体" w:hAnsi="宋体" w:eastAsia="宋体" w:cs="宋体"/>
          <w:sz w:val="17"/>
          <w:szCs w:val="17"/>
        </w:rPr>
      </w:pPr>
      <w:r>
        <w:rPr>
          <w:rFonts w:ascii="宋体" w:hAnsi="宋体" w:eastAsia="宋体" w:cs="宋体"/>
          <w:spacing w:val="10"/>
          <w:sz w:val="17"/>
          <w:szCs w:val="17"/>
        </w:rPr>
        <w:t>(2)全卷满分200分，考试时间为150分钟。</w:t>
      </w:r>
      <w:r>
        <w:rPr>
          <w:rFonts w:ascii="宋体" w:hAnsi="宋体" w:eastAsia="宋体" w:cs="宋体"/>
          <w:spacing w:val="18"/>
          <w:sz w:val="17"/>
          <w:szCs w:val="17"/>
        </w:rPr>
        <w:t xml:space="preserve"> </w:t>
      </w:r>
      <w:r>
        <w:rPr>
          <w:rFonts w:ascii="宋体" w:hAnsi="宋体" w:eastAsia="宋体" w:cs="宋体"/>
          <w:spacing w:val="-4"/>
          <w:sz w:val="17"/>
          <w:szCs w:val="17"/>
        </w:rPr>
        <w:t>2.试卷结构：</w:t>
      </w:r>
    </w:p>
    <w:p w14:paraId="76FD7A89">
      <w:pPr>
        <w:spacing w:before="87" w:line="219" w:lineRule="auto"/>
        <w:ind w:left="425"/>
        <w:rPr>
          <w:rFonts w:ascii="宋体" w:hAnsi="宋体" w:eastAsia="宋体" w:cs="宋体"/>
          <w:sz w:val="18"/>
          <w:szCs w:val="18"/>
        </w:rPr>
      </w:pPr>
      <w:r>
        <w:rPr>
          <w:rFonts w:ascii="宋体" w:hAnsi="宋体" w:eastAsia="宋体" w:cs="宋体"/>
          <w:sz w:val="18"/>
          <w:szCs w:val="18"/>
        </w:rPr>
        <w:t>(1)按知识点分：</w:t>
      </w:r>
    </w:p>
    <w:p w14:paraId="64C4A3EA">
      <w:pPr>
        <w:spacing w:line="14" w:lineRule="exact"/>
      </w:pPr>
    </w:p>
    <w:tbl>
      <w:tblPr>
        <w:tblStyle w:val="5"/>
        <w:tblW w:w="410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2"/>
        <w:gridCol w:w="2514"/>
        <w:gridCol w:w="703"/>
      </w:tblGrid>
      <w:tr w14:paraId="35AF7D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4" w:hRule="atLeast"/>
        </w:trPr>
        <w:tc>
          <w:tcPr>
            <w:tcW w:w="892" w:type="dxa"/>
            <w:vAlign w:val="top"/>
          </w:tcPr>
          <w:p w14:paraId="5B0D8D24">
            <w:pPr>
              <w:pStyle w:val="6"/>
              <w:spacing w:before="118" w:line="219" w:lineRule="auto"/>
              <w:ind w:left="77"/>
              <w:rPr>
                <w:sz w:val="18"/>
                <w:szCs w:val="18"/>
              </w:rPr>
            </w:pPr>
            <w:r>
              <w:rPr>
                <w:b/>
                <w:bCs/>
                <w:spacing w:val="-4"/>
                <w:sz w:val="18"/>
                <w:szCs w:val="18"/>
              </w:rPr>
              <w:t>科目名称</w:t>
            </w:r>
          </w:p>
        </w:tc>
        <w:tc>
          <w:tcPr>
            <w:tcW w:w="2514" w:type="dxa"/>
            <w:vAlign w:val="top"/>
          </w:tcPr>
          <w:p w14:paraId="7FE05F60">
            <w:pPr>
              <w:pStyle w:val="6"/>
              <w:spacing w:before="120" w:line="221" w:lineRule="auto"/>
              <w:ind w:left="705"/>
              <w:rPr>
                <w:sz w:val="18"/>
                <w:szCs w:val="18"/>
              </w:rPr>
            </w:pPr>
            <w:r>
              <w:rPr>
                <w:b/>
                <w:bCs/>
                <w:spacing w:val="-1"/>
                <w:sz w:val="18"/>
                <w:szCs w:val="18"/>
              </w:rPr>
              <w:t>知识与技能要点</w:t>
            </w:r>
          </w:p>
        </w:tc>
        <w:tc>
          <w:tcPr>
            <w:tcW w:w="703" w:type="dxa"/>
            <w:vAlign w:val="top"/>
          </w:tcPr>
          <w:p w14:paraId="6D5328AD">
            <w:pPr>
              <w:rPr>
                <w:rFonts w:ascii="Arial"/>
                <w:sz w:val="21"/>
              </w:rPr>
            </w:pPr>
          </w:p>
        </w:tc>
      </w:tr>
      <w:tr w14:paraId="54C700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76" w:hRule="atLeast"/>
        </w:trPr>
        <w:tc>
          <w:tcPr>
            <w:tcW w:w="892" w:type="dxa"/>
            <w:vAlign w:val="top"/>
          </w:tcPr>
          <w:p w14:paraId="30AF85DA">
            <w:pPr>
              <w:spacing w:line="262" w:lineRule="auto"/>
              <w:rPr>
                <w:rFonts w:ascii="Arial"/>
                <w:sz w:val="21"/>
              </w:rPr>
            </w:pPr>
          </w:p>
          <w:p w14:paraId="149ADABA">
            <w:pPr>
              <w:spacing w:line="262" w:lineRule="auto"/>
              <w:rPr>
                <w:rFonts w:ascii="Arial"/>
                <w:sz w:val="21"/>
              </w:rPr>
            </w:pPr>
          </w:p>
          <w:p w14:paraId="4819F375">
            <w:pPr>
              <w:spacing w:line="262" w:lineRule="auto"/>
              <w:rPr>
                <w:rFonts w:ascii="Arial"/>
                <w:sz w:val="21"/>
              </w:rPr>
            </w:pPr>
          </w:p>
          <w:p w14:paraId="2D3712E3">
            <w:pPr>
              <w:spacing w:line="263" w:lineRule="auto"/>
              <w:rPr>
                <w:rFonts w:ascii="Arial"/>
                <w:sz w:val="21"/>
              </w:rPr>
            </w:pPr>
          </w:p>
          <w:p w14:paraId="296E31B9">
            <w:pPr>
              <w:spacing w:line="263" w:lineRule="auto"/>
              <w:rPr>
                <w:rFonts w:ascii="Arial"/>
                <w:sz w:val="21"/>
              </w:rPr>
            </w:pPr>
          </w:p>
          <w:p w14:paraId="6D6E148B">
            <w:pPr>
              <w:pStyle w:val="6"/>
              <w:spacing w:before="58" w:line="220" w:lineRule="auto"/>
              <w:ind w:left="74"/>
              <w:rPr>
                <w:sz w:val="18"/>
                <w:szCs w:val="18"/>
              </w:rPr>
            </w:pPr>
            <w:r>
              <w:rPr>
                <w:spacing w:val="3"/>
                <w:sz w:val="18"/>
                <w:szCs w:val="18"/>
              </w:rPr>
              <w:t>建筑识图</w:t>
            </w:r>
          </w:p>
          <w:p w14:paraId="44E453C9">
            <w:pPr>
              <w:pStyle w:val="6"/>
              <w:spacing w:before="5" w:line="220" w:lineRule="auto"/>
              <w:ind w:left="165"/>
              <w:rPr>
                <w:sz w:val="18"/>
                <w:szCs w:val="18"/>
              </w:rPr>
            </w:pPr>
            <w:r>
              <w:rPr>
                <w:spacing w:val="-3"/>
                <w:sz w:val="18"/>
                <w:szCs w:val="18"/>
              </w:rPr>
              <w:t>与构造</w:t>
            </w:r>
          </w:p>
        </w:tc>
        <w:tc>
          <w:tcPr>
            <w:tcW w:w="2514" w:type="dxa"/>
            <w:vAlign w:val="top"/>
          </w:tcPr>
          <w:p w14:paraId="525D77AD">
            <w:pPr>
              <w:spacing w:line="306" w:lineRule="auto"/>
              <w:rPr>
                <w:rFonts w:ascii="Arial"/>
                <w:sz w:val="21"/>
              </w:rPr>
            </w:pPr>
          </w:p>
          <w:p w14:paraId="131DB41D">
            <w:pPr>
              <w:pStyle w:val="6"/>
              <w:spacing w:before="59" w:line="219" w:lineRule="auto"/>
              <w:ind w:left="13"/>
              <w:rPr>
                <w:sz w:val="18"/>
                <w:szCs w:val="18"/>
              </w:rPr>
            </w:pPr>
            <w:r>
              <w:rPr>
                <w:spacing w:val="-1"/>
                <w:sz w:val="18"/>
                <w:szCs w:val="18"/>
              </w:rPr>
              <w:t>第一章制图的基本知识</w:t>
            </w:r>
          </w:p>
          <w:p w14:paraId="3184C60F">
            <w:pPr>
              <w:pStyle w:val="6"/>
              <w:spacing w:before="27" w:line="205" w:lineRule="auto"/>
              <w:ind w:left="13"/>
              <w:rPr>
                <w:sz w:val="18"/>
                <w:szCs w:val="18"/>
              </w:rPr>
            </w:pPr>
            <w:r>
              <w:rPr>
                <w:spacing w:val="2"/>
                <w:sz w:val="18"/>
                <w:szCs w:val="18"/>
              </w:rPr>
              <w:t>第二章投影图</w:t>
            </w:r>
          </w:p>
          <w:p w14:paraId="25BE496B">
            <w:pPr>
              <w:pStyle w:val="6"/>
              <w:spacing w:line="217" w:lineRule="auto"/>
              <w:ind w:left="13" w:right="877"/>
              <w:rPr>
                <w:sz w:val="18"/>
                <w:szCs w:val="18"/>
              </w:rPr>
            </w:pPr>
            <w:r>
              <w:rPr>
                <w:spacing w:val="-1"/>
                <w:sz w:val="18"/>
                <w:szCs w:val="18"/>
              </w:rPr>
              <w:t>第三章建筑构造概述</w:t>
            </w:r>
            <w:r>
              <w:rPr>
                <w:sz w:val="18"/>
                <w:szCs w:val="18"/>
              </w:rPr>
              <w:t xml:space="preserve"> </w:t>
            </w:r>
            <w:r>
              <w:rPr>
                <w:spacing w:val="-1"/>
                <w:sz w:val="18"/>
                <w:szCs w:val="18"/>
              </w:rPr>
              <w:t>第四章基础与地下室</w:t>
            </w:r>
          </w:p>
          <w:p w14:paraId="0245B565">
            <w:pPr>
              <w:pStyle w:val="6"/>
              <w:spacing w:before="26" w:line="205" w:lineRule="auto"/>
              <w:ind w:left="13"/>
              <w:rPr>
                <w:sz w:val="18"/>
                <w:szCs w:val="18"/>
              </w:rPr>
            </w:pPr>
            <w:r>
              <w:rPr>
                <w:spacing w:val="-2"/>
                <w:sz w:val="18"/>
                <w:szCs w:val="18"/>
              </w:rPr>
              <w:t>第五章墙体</w:t>
            </w:r>
          </w:p>
          <w:p w14:paraId="7AD94508">
            <w:pPr>
              <w:pStyle w:val="6"/>
              <w:spacing w:line="218" w:lineRule="auto"/>
              <w:ind w:left="13"/>
              <w:rPr>
                <w:sz w:val="18"/>
                <w:szCs w:val="18"/>
              </w:rPr>
            </w:pPr>
            <w:r>
              <w:rPr>
                <w:spacing w:val="-1"/>
                <w:sz w:val="18"/>
                <w:szCs w:val="18"/>
              </w:rPr>
              <w:t>第六章楼地层</w:t>
            </w:r>
          </w:p>
          <w:p w14:paraId="5742A9FA">
            <w:pPr>
              <w:pStyle w:val="6"/>
              <w:spacing w:before="27" w:line="205" w:lineRule="auto"/>
              <w:ind w:left="13"/>
              <w:rPr>
                <w:sz w:val="18"/>
                <w:szCs w:val="18"/>
              </w:rPr>
            </w:pPr>
            <w:r>
              <w:rPr>
                <w:spacing w:val="-1"/>
                <w:sz w:val="18"/>
                <w:szCs w:val="18"/>
              </w:rPr>
              <w:t>第七章门与窗</w:t>
            </w:r>
          </w:p>
          <w:p w14:paraId="7B920E31">
            <w:pPr>
              <w:pStyle w:val="6"/>
              <w:spacing w:line="222" w:lineRule="auto"/>
              <w:ind w:left="13" w:right="1057"/>
              <w:rPr>
                <w:sz w:val="18"/>
                <w:szCs w:val="18"/>
              </w:rPr>
            </w:pPr>
            <w:r>
              <w:rPr>
                <w:spacing w:val="-1"/>
                <w:sz w:val="18"/>
                <w:szCs w:val="18"/>
              </w:rPr>
              <w:t>第八章楼梯与电梯</w:t>
            </w:r>
            <w:r>
              <w:rPr>
                <w:sz w:val="18"/>
                <w:szCs w:val="18"/>
              </w:rPr>
              <w:t xml:space="preserve"> </w:t>
            </w:r>
            <w:r>
              <w:rPr>
                <w:spacing w:val="-2"/>
                <w:sz w:val="18"/>
                <w:szCs w:val="18"/>
              </w:rPr>
              <w:t>第九章屋顶</w:t>
            </w:r>
          </w:p>
          <w:p w14:paraId="08BD34ED">
            <w:pPr>
              <w:pStyle w:val="6"/>
              <w:spacing w:before="17" w:line="222" w:lineRule="auto"/>
              <w:ind w:left="13" w:right="157"/>
              <w:rPr>
                <w:sz w:val="18"/>
                <w:szCs w:val="18"/>
              </w:rPr>
            </w:pPr>
            <w:r>
              <w:rPr>
                <w:spacing w:val="-1"/>
                <w:sz w:val="18"/>
                <w:szCs w:val="18"/>
              </w:rPr>
              <w:t>第十章装配式混凝土建筑简介</w:t>
            </w:r>
            <w:r>
              <w:rPr>
                <w:spacing w:val="4"/>
                <w:sz w:val="18"/>
                <w:szCs w:val="18"/>
              </w:rPr>
              <w:t xml:space="preserve"> </w:t>
            </w:r>
            <w:r>
              <w:rPr>
                <w:spacing w:val="1"/>
                <w:sz w:val="18"/>
                <w:szCs w:val="18"/>
              </w:rPr>
              <w:t>第十一章建筑工程图</w:t>
            </w:r>
          </w:p>
        </w:tc>
        <w:tc>
          <w:tcPr>
            <w:tcW w:w="703" w:type="dxa"/>
            <w:vAlign w:val="top"/>
          </w:tcPr>
          <w:p w14:paraId="41104572">
            <w:pPr>
              <w:spacing w:line="285" w:lineRule="auto"/>
              <w:rPr>
                <w:rFonts w:ascii="Arial"/>
                <w:sz w:val="21"/>
              </w:rPr>
            </w:pPr>
          </w:p>
          <w:p w14:paraId="6DB3634A">
            <w:pPr>
              <w:spacing w:line="285" w:lineRule="auto"/>
              <w:rPr>
                <w:rFonts w:ascii="Arial"/>
                <w:sz w:val="21"/>
              </w:rPr>
            </w:pPr>
          </w:p>
          <w:p w14:paraId="37F89FF4">
            <w:pPr>
              <w:spacing w:line="285" w:lineRule="auto"/>
              <w:rPr>
                <w:rFonts w:ascii="Arial"/>
                <w:sz w:val="21"/>
              </w:rPr>
            </w:pPr>
          </w:p>
          <w:p w14:paraId="4C9F238E">
            <w:pPr>
              <w:spacing w:line="286" w:lineRule="auto"/>
              <w:rPr>
                <w:rFonts w:ascii="Arial"/>
                <w:sz w:val="21"/>
              </w:rPr>
            </w:pPr>
          </w:p>
          <w:p w14:paraId="5B6A913D">
            <w:pPr>
              <w:spacing w:line="286" w:lineRule="auto"/>
              <w:rPr>
                <w:rFonts w:ascii="Arial"/>
                <w:sz w:val="21"/>
              </w:rPr>
            </w:pPr>
          </w:p>
          <w:p w14:paraId="43E770EA">
            <w:pPr>
              <w:pStyle w:val="6"/>
              <w:spacing w:before="59" w:line="183" w:lineRule="auto"/>
              <w:ind w:left="209"/>
              <w:rPr>
                <w:sz w:val="18"/>
                <w:szCs w:val="18"/>
              </w:rPr>
            </w:pPr>
            <w:r>
              <w:rPr>
                <w:spacing w:val="-2"/>
                <w:sz w:val="18"/>
                <w:szCs w:val="18"/>
              </w:rPr>
              <w:t>40%</w:t>
            </w:r>
          </w:p>
        </w:tc>
      </w:tr>
      <w:tr w14:paraId="1F1E1F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807" w:hRule="atLeast"/>
        </w:trPr>
        <w:tc>
          <w:tcPr>
            <w:tcW w:w="892" w:type="dxa"/>
            <w:vAlign w:val="top"/>
          </w:tcPr>
          <w:p w14:paraId="66CD5E53">
            <w:pPr>
              <w:spacing w:line="263" w:lineRule="auto"/>
              <w:rPr>
                <w:rFonts w:ascii="Arial"/>
                <w:sz w:val="21"/>
              </w:rPr>
            </w:pPr>
          </w:p>
          <w:p w14:paraId="5A71DDC4">
            <w:pPr>
              <w:spacing w:line="263" w:lineRule="auto"/>
              <w:rPr>
                <w:rFonts w:ascii="Arial"/>
                <w:sz w:val="21"/>
              </w:rPr>
            </w:pPr>
          </w:p>
          <w:p w14:paraId="1A683F40">
            <w:pPr>
              <w:spacing w:line="263" w:lineRule="auto"/>
              <w:rPr>
                <w:rFonts w:ascii="Arial"/>
                <w:sz w:val="21"/>
              </w:rPr>
            </w:pPr>
          </w:p>
          <w:p w14:paraId="7F849483">
            <w:pPr>
              <w:pStyle w:val="6"/>
              <w:spacing w:before="58" w:line="222" w:lineRule="auto"/>
              <w:ind w:left="254" w:right="96" w:hanging="180"/>
              <w:rPr>
                <w:sz w:val="18"/>
                <w:szCs w:val="18"/>
              </w:rPr>
            </w:pPr>
            <w:r>
              <w:rPr>
                <w:spacing w:val="-3"/>
                <w:sz w:val="18"/>
                <w:szCs w:val="18"/>
              </w:rPr>
              <w:t>建筑施工</w:t>
            </w:r>
            <w:r>
              <w:rPr>
                <w:spacing w:val="1"/>
                <w:sz w:val="18"/>
                <w:szCs w:val="18"/>
              </w:rPr>
              <w:t xml:space="preserve"> </w:t>
            </w:r>
            <w:r>
              <w:rPr>
                <w:spacing w:val="5"/>
                <w:sz w:val="18"/>
                <w:szCs w:val="18"/>
              </w:rPr>
              <w:t>工艺</w:t>
            </w:r>
          </w:p>
        </w:tc>
        <w:tc>
          <w:tcPr>
            <w:tcW w:w="2514" w:type="dxa"/>
            <w:vAlign w:val="top"/>
          </w:tcPr>
          <w:p w14:paraId="6BFB5A1A">
            <w:pPr>
              <w:spacing w:line="341" w:lineRule="auto"/>
              <w:rPr>
                <w:rFonts w:ascii="Arial"/>
                <w:sz w:val="21"/>
              </w:rPr>
            </w:pPr>
          </w:p>
          <w:p w14:paraId="6CD79756">
            <w:pPr>
              <w:pStyle w:val="6"/>
              <w:spacing w:before="58" w:line="215" w:lineRule="auto"/>
              <w:ind w:left="13"/>
              <w:rPr>
                <w:sz w:val="18"/>
                <w:szCs w:val="18"/>
              </w:rPr>
            </w:pPr>
            <w:r>
              <w:rPr>
                <w:spacing w:val="-1"/>
                <w:sz w:val="18"/>
                <w:szCs w:val="18"/>
              </w:rPr>
              <w:t>第一章砌筑施工工艺</w:t>
            </w:r>
          </w:p>
          <w:p w14:paraId="4AA33622">
            <w:pPr>
              <w:pStyle w:val="6"/>
              <w:spacing w:line="218" w:lineRule="auto"/>
              <w:ind w:left="13"/>
              <w:rPr>
                <w:sz w:val="18"/>
                <w:szCs w:val="18"/>
              </w:rPr>
            </w:pPr>
            <w:r>
              <w:rPr>
                <w:spacing w:val="-1"/>
                <w:sz w:val="18"/>
                <w:szCs w:val="18"/>
              </w:rPr>
              <w:t>第二章抹灰施工工艺</w:t>
            </w:r>
          </w:p>
          <w:p w14:paraId="1900ACB9">
            <w:pPr>
              <w:pStyle w:val="6"/>
              <w:spacing w:before="6" w:line="219" w:lineRule="auto"/>
              <w:ind w:left="13"/>
              <w:rPr>
                <w:sz w:val="18"/>
                <w:szCs w:val="18"/>
              </w:rPr>
            </w:pPr>
            <w:r>
              <w:rPr>
                <w:spacing w:val="-1"/>
                <w:sz w:val="18"/>
                <w:szCs w:val="18"/>
              </w:rPr>
              <w:t>第三章钢筋施工工艺</w:t>
            </w:r>
          </w:p>
          <w:p w14:paraId="19460202">
            <w:pPr>
              <w:pStyle w:val="6"/>
              <w:spacing w:before="6" w:line="219" w:lineRule="auto"/>
              <w:ind w:left="13"/>
              <w:rPr>
                <w:sz w:val="18"/>
                <w:szCs w:val="18"/>
              </w:rPr>
            </w:pPr>
            <w:r>
              <w:rPr>
                <w:spacing w:val="-1"/>
                <w:sz w:val="18"/>
                <w:szCs w:val="18"/>
              </w:rPr>
              <w:t>第四章模板施工工艺</w:t>
            </w:r>
          </w:p>
          <w:p w14:paraId="666F7007">
            <w:pPr>
              <w:pStyle w:val="6"/>
              <w:spacing w:before="16" w:line="219" w:lineRule="auto"/>
              <w:ind w:left="13"/>
              <w:rPr>
                <w:sz w:val="18"/>
                <w:szCs w:val="18"/>
              </w:rPr>
            </w:pPr>
            <w:r>
              <w:rPr>
                <w:spacing w:val="-1"/>
                <w:sz w:val="18"/>
                <w:szCs w:val="18"/>
              </w:rPr>
              <w:t>第五章混凝土施工工艺</w:t>
            </w:r>
          </w:p>
        </w:tc>
        <w:tc>
          <w:tcPr>
            <w:tcW w:w="703" w:type="dxa"/>
            <w:vAlign w:val="top"/>
          </w:tcPr>
          <w:p w14:paraId="7C6C3808">
            <w:pPr>
              <w:spacing w:line="268" w:lineRule="auto"/>
              <w:rPr>
                <w:rFonts w:ascii="Arial"/>
                <w:sz w:val="21"/>
              </w:rPr>
            </w:pPr>
          </w:p>
          <w:p w14:paraId="2EB7DACC">
            <w:pPr>
              <w:spacing w:line="268" w:lineRule="auto"/>
              <w:rPr>
                <w:rFonts w:ascii="Arial"/>
                <w:sz w:val="21"/>
              </w:rPr>
            </w:pPr>
          </w:p>
          <w:p w14:paraId="7FAB7BC4">
            <w:pPr>
              <w:spacing w:line="269" w:lineRule="auto"/>
              <w:rPr>
                <w:rFonts w:ascii="Arial"/>
                <w:sz w:val="21"/>
              </w:rPr>
            </w:pPr>
          </w:p>
          <w:p w14:paraId="04FD24D4">
            <w:pPr>
              <w:pStyle w:val="6"/>
              <w:spacing w:before="58" w:line="183" w:lineRule="auto"/>
              <w:ind w:left="209"/>
              <w:rPr>
                <w:sz w:val="18"/>
                <w:szCs w:val="18"/>
              </w:rPr>
            </w:pPr>
            <w:r>
              <w:rPr>
                <w:spacing w:val="-2"/>
                <w:sz w:val="18"/>
                <w:szCs w:val="18"/>
              </w:rPr>
              <w:t>40%</w:t>
            </w:r>
          </w:p>
        </w:tc>
      </w:tr>
      <w:tr w14:paraId="5B24E9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82" w:hRule="atLeast"/>
        </w:trPr>
        <w:tc>
          <w:tcPr>
            <w:tcW w:w="892" w:type="dxa"/>
            <w:vAlign w:val="top"/>
          </w:tcPr>
          <w:p w14:paraId="6D3856A2">
            <w:pPr>
              <w:spacing w:line="282" w:lineRule="auto"/>
              <w:rPr>
                <w:rFonts w:ascii="Arial"/>
                <w:sz w:val="21"/>
              </w:rPr>
            </w:pPr>
          </w:p>
          <w:p w14:paraId="66A5E07F">
            <w:pPr>
              <w:spacing w:line="282" w:lineRule="auto"/>
              <w:rPr>
                <w:rFonts w:ascii="Arial"/>
                <w:sz w:val="21"/>
              </w:rPr>
            </w:pPr>
          </w:p>
          <w:p w14:paraId="097B34C9">
            <w:pPr>
              <w:spacing w:line="283" w:lineRule="auto"/>
              <w:rPr>
                <w:rFonts w:ascii="Arial"/>
                <w:sz w:val="21"/>
              </w:rPr>
            </w:pPr>
          </w:p>
          <w:p w14:paraId="13E769E3">
            <w:pPr>
              <w:spacing w:line="283" w:lineRule="auto"/>
              <w:rPr>
                <w:rFonts w:ascii="Arial"/>
                <w:sz w:val="21"/>
              </w:rPr>
            </w:pPr>
          </w:p>
          <w:p w14:paraId="56EDEE1D">
            <w:pPr>
              <w:pStyle w:val="6"/>
              <w:spacing w:before="58" w:line="217" w:lineRule="auto"/>
              <w:ind w:left="74" w:right="93"/>
              <w:rPr>
                <w:sz w:val="18"/>
                <w:szCs w:val="18"/>
              </w:rPr>
            </w:pPr>
            <w:r>
              <w:rPr>
                <w:spacing w:val="-3"/>
                <w:sz w:val="18"/>
                <w:szCs w:val="18"/>
              </w:rPr>
              <w:t>建筑装饰</w:t>
            </w:r>
            <w:r>
              <w:rPr>
                <w:spacing w:val="1"/>
                <w:sz w:val="18"/>
                <w:szCs w:val="18"/>
              </w:rPr>
              <w:t xml:space="preserve"> </w:t>
            </w:r>
            <w:r>
              <w:rPr>
                <w:spacing w:val="-2"/>
                <w:sz w:val="18"/>
                <w:szCs w:val="18"/>
              </w:rPr>
              <w:t>施工技术</w:t>
            </w:r>
          </w:p>
        </w:tc>
        <w:tc>
          <w:tcPr>
            <w:tcW w:w="2514" w:type="dxa"/>
            <w:vAlign w:val="top"/>
          </w:tcPr>
          <w:p w14:paraId="2F9A486F">
            <w:pPr>
              <w:spacing w:line="363" w:lineRule="auto"/>
              <w:rPr>
                <w:rFonts w:ascii="Arial"/>
                <w:sz w:val="21"/>
              </w:rPr>
            </w:pPr>
          </w:p>
          <w:p w14:paraId="656B353F">
            <w:pPr>
              <w:pStyle w:val="6"/>
              <w:spacing w:before="59" w:line="219" w:lineRule="auto"/>
              <w:ind w:left="13"/>
              <w:rPr>
                <w:sz w:val="18"/>
                <w:szCs w:val="18"/>
              </w:rPr>
            </w:pPr>
            <w:r>
              <w:rPr>
                <w:spacing w:val="-1"/>
                <w:sz w:val="18"/>
                <w:szCs w:val="18"/>
              </w:rPr>
              <w:t>第一章轻质隔墙(断)工程</w:t>
            </w:r>
          </w:p>
          <w:p w14:paraId="0C171964">
            <w:pPr>
              <w:pStyle w:val="6"/>
              <w:spacing w:before="26" w:line="205" w:lineRule="auto"/>
              <w:ind w:left="13"/>
              <w:rPr>
                <w:sz w:val="18"/>
                <w:szCs w:val="18"/>
              </w:rPr>
            </w:pPr>
            <w:r>
              <w:rPr>
                <w:spacing w:val="-1"/>
                <w:sz w:val="18"/>
                <w:szCs w:val="18"/>
              </w:rPr>
              <w:t>第二章吊顶工程</w:t>
            </w:r>
          </w:p>
          <w:p w14:paraId="5499B970">
            <w:pPr>
              <w:pStyle w:val="6"/>
              <w:spacing w:line="218" w:lineRule="auto"/>
              <w:ind w:left="13"/>
              <w:rPr>
                <w:sz w:val="18"/>
                <w:szCs w:val="18"/>
              </w:rPr>
            </w:pPr>
            <w:r>
              <w:rPr>
                <w:spacing w:val="-1"/>
                <w:sz w:val="18"/>
                <w:szCs w:val="18"/>
              </w:rPr>
              <w:t>第三章墙饰面工程</w:t>
            </w:r>
          </w:p>
          <w:p w14:paraId="4EFB8425">
            <w:pPr>
              <w:pStyle w:val="6"/>
              <w:spacing w:before="17" w:line="215" w:lineRule="auto"/>
              <w:ind w:left="13"/>
              <w:rPr>
                <w:sz w:val="18"/>
                <w:szCs w:val="18"/>
              </w:rPr>
            </w:pPr>
            <w:r>
              <w:rPr>
                <w:spacing w:val="-1"/>
                <w:sz w:val="18"/>
                <w:szCs w:val="18"/>
              </w:rPr>
              <w:t>第四章楼、地面工程</w:t>
            </w:r>
          </w:p>
          <w:p w14:paraId="2CAD36E5">
            <w:pPr>
              <w:pStyle w:val="6"/>
              <w:spacing w:line="218" w:lineRule="auto"/>
              <w:ind w:left="13"/>
              <w:rPr>
                <w:sz w:val="18"/>
                <w:szCs w:val="18"/>
              </w:rPr>
            </w:pPr>
            <w:r>
              <w:rPr>
                <w:spacing w:val="-1"/>
                <w:sz w:val="18"/>
                <w:szCs w:val="18"/>
              </w:rPr>
              <w:t>第五章门窗工程</w:t>
            </w:r>
          </w:p>
          <w:p w14:paraId="6D70442B">
            <w:pPr>
              <w:pStyle w:val="6"/>
              <w:spacing w:before="16" w:line="219" w:lineRule="auto"/>
              <w:ind w:left="13"/>
              <w:rPr>
                <w:sz w:val="18"/>
                <w:szCs w:val="18"/>
              </w:rPr>
            </w:pPr>
            <w:r>
              <w:rPr>
                <w:spacing w:val="-1"/>
                <w:sz w:val="18"/>
                <w:szCs w:val="18"/>
              </w:rPr>
              <w:t>第六章玻璃幕墙工程</w:t>
            </w:r>
          </w:p>
        </w:tc>
        <w:tc>
          <w:tcPr>
            <w:tcW w:w="703" w:type="dxa"/>
            <w:vAlign w:val="top"/>
          </w:tcPr>
          <w:p w14:paraId="7080C047">
            <w:pPr>
              <w:spacing w:line="312" w:lineRule="auto"/>
              <w:rPr>
                <w:rFonts w:ascii="Arial"/>
                <w:sz w:val="21"/>
              </w:rPr>
            </w:pPr>
          </w:p>
          <w:p w14:paraId="5F2C6439">
            <w:pPr>
              <w:spacing w:line="312" w:lineRule="auto"/>
              <w:rPr>
                <w:rFonts w:ascii="Arial"/>
                <w:sz w:val="21"/>
              </w:rPr>
            </w:pPr>
          </w:p>
          <w:p w14:paraId="06BFDDD3">
            <w:pPr>
              <w:spacing w:line="313" w:lineRule="auto"/>
              <w:rPr>
                <w:rFonts w:ascii="Arial"/>
                <w:sz w:val="21"/>
              </w:rPr>
            </w:pPr>
          </w:p>
          <w:p w14:paraId="4ECBBB2F">
            <w:pPr>
              <w:pStyle w:val="6"/>
              <w:spacing w:before="59" w:line="183" w:lineRule="auto"/>
              <w:ind w:left="209"/>
              <w:rPr>
                <w:sz w:val="18"/>
                <w:szCs w:val="18"/>
              </w:rPr>
            </w:pPr>
            <w:r>
              <w:rPr>
                <w:spacing w:val="-3"/>
                <w:sz w:val="18"/>
                <w:szCs w:val="18"/>
              </w:rPr>
              <w:t>20%</w:t>
            </w:r>
          </w:p>
        </w:tc>
      </w:tr>
    </w:tbl>
    <w:p w14:paraId="50CB456E">
      <w:pPr>
        <w:spacing w:before="63" w:line="219" w:lineRule="auto"/>
        <w:ind w:left="425"/>
        <w:rPr>
          <w:rFonts w:ascii="宋体" w:hAnsi="宋体" w:eastAsia="宋体" w:cs="宋体"/>
          <w:sz w:val="18"/>
          <w:szCs w:val="18"/>
        </w:rPr>
      </w:pPr>
      <w:r>
        <w:rPr>
          <w:rFonts w:ascii="宋体" w:hAnsi="宋体" w:eastAsia="宋体" w:cs="宋体"/>
          <w:sz w:val="18"/>
          <w:szCs w:val="18"/>
        </w:rPr>
        <w:t>(2)按考试水平分：</w:t>
      </w:r>
    </w:p>
    <w:p w14:paraId="5FD3F326">
      <w:pPr>
        <w:spacing w:line="14" w:lineRule="exact"/>
      </w:pPr>
    </w:p>
    <w:tbl>
      <w:tblPr>
        <w:tblStyle w:val="5"/>
        <w:tblW w:w="413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03"/>
        <w:gridCol w:w="798"/>
        <w:gridCol w:w="788"/>
        <w:gridCol w:w="788"/>
        <w:gridCol w:w="953"/>
      </w:tblGrid>
      <w:tr w14:paraId="10B807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1" w:hRule="atLeast"/>
        </w:trPr>
        <w:tc>
          <w:tcPr>
            <w:tcW w:w="803" w:type="dxa"/>
            <w:vAlign w:val="top"/>
          </w:tcPr>
          <w:p w14:paraId="69DD7961">
            <w:pPr>
              <w:pStyle w:val="6"/>
              <w:spacing w:before="140" w:line="220" w:lineRule="auto"/>
              <w:ind w:left="37"/>
              <w:rPr>
                <w:sz w:val="18"/>
                <w:szCs w:val="18"/>
              </w:rPr>
            </w:pPr>
            <w:r>
              <w:rPr>
                <w:b/>
                <w:bCs/>
                <w:spacing w:val="-2"/>
                <w:sz w:val="18"/>
                <w:szCs w:val="18"/>
              </w:rPr>
              <w:t>目标要求</w:t>
            </w:r>
          </w:p>
        </w:tc>
        <w:tc>
          <w:tcPr>
            <w:tcW w:w="798" w:type="dxa"/>
            <w:vAlign w:val="top"/>
          </w:tcPr>
          <w:p w14:paraId="109264D6">
            <w:pPr>
              <w:pStyle w:val="6"/>
              <w:spacing w:before="142" w:line="222" w:lineRule="auto"/>
              <w:ind w:left="74"/>
              <w:rPr>
                <w:sz w:val="18"/>
                <w:szCs w:val="18"/>
              </w:rPr>
            </w:pPr>
            <w:r>
              <w:rPr>
                <w:b/>
                <w:bCs/>
                <w:spacing w:val="4"/>
                <w:sz w:val="18"/>
                <w:szCs w:val="18"/>
              </w:rPr>
              <w:t>识记(A)</w:t>
            </w:r>
          </w:p>
        </w:tc>
        <w:tc>
          <w:tcPr>
            <w:tcW w:w="788" w:type="dxa"/>
            <w:vAlign w:val="top"/>
          </w:tcPr>
          <w:p w14:paraId="14401B3C">
            <w:pPr>
              <w:pStyle w:val="6"/>
              <w:spacing w:before="140" w:line="220" w:lineRule="auto"/>
              <w:ind w:left="16"/>
              <w:rPr>
                <w:sz w:val="18"/>
                <w:szCs w:val="18"/>
              </w:rPr>
            </w:pPr>
            <w:r>
              <w:rPr>
                <w:b/>
                <w:bCs/>
                <w:spacing w:val="4"/>
                <w:sz w:val="18"/>
                <w:szCs w:val="18"/>
              </w:rPr>
              <w:t>理解(B)</w:t>
            </w:r>
          </w:p>
        </w:tc>
        <w:tc>
          <w:tcPr>
            <w:tcW w:w="788" w:type="dxa"/>
            <w:vAlign w:val="top"/>
          </w:tcPr>
          <w:p w14:paraId="475D093A">
            <w:pPr>
              <w:pStyle w:val="6"/>
              <w:spacing w:before="139" w:line="219" w:lineRule="auto"/>
              <w:ind w:left="8"/>
              <w:rPr>
                <w:sz w:val="18"/>
                <w:szCs w:val="18"/>
              </w:rPr>
            </w:pPr>
            <w:r>
              <w:rPr>
                <w:b/>
                <w:bCs/>
                <w:spacing w:val="4"/>
                <w:sz w:val="18"/>
                <w:szCs w:val="18"/>
              </w:rPr>
              <w:t>掌握(C)</w:t>
            </w:r>
          </w:p>
        </w:tc>
        <w:tc>
          <w:tcPr>
            <w:tcW w:w="953" w:type="dxa"/>
            <w:vAlign w:val="top"/>
          </w:tcPr>
          <w:p w14:paraId="4DE0CE3D">
            <w:pPr>
              <w:pStyle w:val="6"/>
              <w:spacing w:before="20" w:line="220" w:lineRule="auto"/>
              <w:ind w:left="110"/>
              <w:rPr>
                <w:sz w:val="18"/>
                <w:szCs w:val="18"/>
              </w:rPr>
            </w:pPr>
            <w:r>
              <w:rPr>
                <w:b/>
                <w:bCs/>
                <w:spacing w:val="2"/>
                <w:sz w:val="18"/>
                <w:szCs w:val="18"/>
              </w:rPr>
              <w:t>综合运用</w:t>
            </w:r>
          </w:p>
          <w:p w14:paraId="7420B0AC">
            <w:pPr>
              <w:pStyle w:val="6"/>
              <w:spacing w:before="17" w:line="193" w:lineRule="auto"/>
              <w:ind w:left="340"/>
              <w:rPr>
                <w:sz w:val="18"/>
                <w:szCs w:val="18"/>
              </w:rPr>
            </w:pPr>
            <w:r>
              <w:rPr>
                <w:b/>
                <w:bCs/>
                <w:spacing w:val="-11"/>
                <w:sz w:val="18"/>
                <w:szCs w:val="18"/>
              </w:rPr>
              <w:t>(D)</w:t>
            </w:r>
          </w:p>
        </w:tc>
      </w:tr>
      <w:tr w14:paraId="45224D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7" w:hRule="atLeast"/>
        </w:trPr>
        <w:tc>
          <w:tcPr>
            <w:tcW w:w="803" w:type="dxa"/>
            <w:vMerge w:val="restart"/>
            <w:tcBorders>
              <w:bottom w:val="nil"/>
            </w:tcBorders>
            <w:vAlign w:val="top"/>
          </w:tcPr>
          <w:p w14:paraId="22FA43EA">
            <w:pPr>
              <w:spacing w:line="301" w:lineRule="auto"/>
              <w:rPr>
                <w:rFonts w:ascii="Arial"/>
                <w:sz w:val="21"/>
              </w:rPr>
            </w:pPr>
          </w:p>
          <w:p w14:paraId="2F1BECEB">
            <w:pPr>
              <w:pStyle w:val="6"/>
              <w:spacing w:before="59" w:line="220" w:lineRule="auto"/>
              <w:ind w:left="124"/>
              <w:rPr>
                <w:sz w:val="18"/>
                <w:szCs w:val="18"/>
              </w:rPr>
            </w:pPr>
            <w:r>
              <w:rPr>
                <w:spacing w:val="3"/>
                <w:sz w:val="18"/>
                <w:szCs w:val="18"/>
              </w:rPr>
              <w:t>百分比</w:t>
            </w:r>
          </w:p>
        </w:tc>
        <w:tc>
          <w:tcPr>
            <w:tcW w:w="798" w:type="dxa"/>
            <w:vAlign w:val="top"/>
          </w:tcPr>
          <w:p w14:paraId="68BF0FF8">
            <w:pPr>
              <w:pStyle w:val="6"/>
              <w:spacing w:before="177" w:line="183" w:lineRule="auto"/>
              <w:ind w:left="252"/>
              <w:rPr>
                <w:sz w:val="18"/>
                <w:szCs w:val="18"/>
              </w:rPr>
            </w:pPr>
            <w:r>
              <w:rPr>
                <w:spacing w:val="-3"/>
                <w:sz w:val="18"/>
                <w:szCs w:val="18"/>
              </w:rPr>
              <w:t>30%</w:t>
            </w:r>
          </w:p>
        </w:tc>
        <w:tc>
          <w:tcPr>
            <w:tcW w:w="788" w:type="dxa"/>
            <w:vAlign w:val="top"/>
          </w:tcPr>
          <w:p w14:paraId="4FB91DF0">
            <w:pPr>
              <w:pStyle w:val="6"/>
              <w:spacing w:before="177" w:line="183" w:lineRule="auto"/>
              <w:ind w:left="224"/>
              <w:rPr>
                <w:sz w:val="18"/>
                <w:szCs w:val="18"/>
              </w:rPr>
            </w:pPr>
            <w:r>
              <w:rPr>
                <w:spacing w:val="-3"/>
                <w:sz w:val="18"/>
                <w:szCs w:val="18"/>
              </w:rPr>
              <w:t>20%</w:t>
            </w:r>
          </w:p>
        </w:tc>
        <w:tc>
          <w:tcPr>
            <w:tcW w:w="788" w:type="dxa"/>
            <w:vAlign w:val="top"/>
          </w:tcPr>
          <w:p w14:paraId="466C8DD5">
            <w:pPr>
              <w:pStyle w:val="6"/>
              <w:spacing w:before="177" w:line="183" w:lineRule="auto"/>
              <w:ind w:left="226"/>
              <w:rPr>
                <w:sz w:val="18"/>
                <w:szCs w:val="18"/>
              </w:rPr>
            </w:pPr>
            <w:r>
              <w:rPr>
                <w:spacing w:val="-3"/>
                <w:sz w:val="18"/>
                <w:szCs w:val="18"/>
              </w:rPr>
              <w:t>30%</w:t>
            </w:r>
          </w:p>
        </w:tc>
        <w:tc>
          <w:tcPr>
            <w:tcW w:w="953" w:type="dxa"/>
            <w:vAlign w:val="top"/>
          </w:tcPr>
          <w:p w14:paraId="070FED9F">
            <w:pPr>
              <w:pStyle w:val="6"/>
              <w:spacing w:before="177" w:line="183" w:lineRule="auto"/>
              <w:ind w:left="338"/>
              <w:rPr>
                <w:sz w:val="18"/>
                <w:szCs w:val="18"/>
              </w:rPr>
            </w:pPr>
            <w:r>
              <w:rPr>
                <w:spacing w:val="-3"/>
                <w:sz w:val="18"/>
                <w:szCs w:val="18"/>
              </w:rPr>
              <w:t>20%</w:t>
            </w:r>
          </w:p>
        </w:tc>
      </w:tr>
      <w:tr w14:paraId="565756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1" w:hRule="atLeast"/>
        </w:trPr>
        <w:tc>
          <w:tcPr>
            <w:tcW w:w="803" w:type="dxa"/>
            <w:vMerge w:val="continue"/>
            <w:tcBorders>
              <w:top w:val="nil"/>
            </w:tcBorders>
            <w:vAlign w:val="top"/>
          </w:tcPr>
          <w:p w14:paraId="1E92351A">
            <w:pPr>
              <w:rPr>
                <w:rFonts w:ascii="Arial"/>
                <w:sz w:val="21"/>
              </w:rPr>
            </w:pPr>
          </w:p>
        </w:tc>
        <w:tc>
          <w:tcPr>
            <w:tcW w:w="3327" w:type="dxa"/>
            <w:gridSpan w:val="4"/>
            <w:vAlign w:val="top"/>
          </w:tcPr>
          <w:p w14:paraId="0B08A098">
            <w:pPr>
              <w:pStyle w:val="6"/>
              <w:spacing w:before="133" w:line="219" w:lineRule="auto"/>
              <w:ind w:left="1022"/>
              <w:rPr>
                <w:sz w:val="18"/>
                <w:szCs w:val="18"/>
              </w:rPr>
            </w:pPr>
            <w:r>
              <w:rPr>
                <w:spacing w:val="-1"/>
                <w:sz w:val="18"/>
                <w:szCs w:val="18"/>
              </w:rPr>
              <w:t>机动范围2%~5%</w:t>
            </w:r>
          </w:p>
        </w:tc>
      </w:tr>
    </w:tbl>
    <w:p w14:paraId="18687DB3">
      <w:pPr>
        <w:spacing w:before="62" w:line="219" w:lineRule="auto"/>
        <w:ind w:left="435"/>
        <w:rPr>
          <w:rFonts w:ascii="宋体" w:hAnsi="宋体" w:eastAsia="宋体" w:cs="宋体"/>
          <w:sz w:val="18"/>
          <w:szCs w:val="18"/>
        </w:rPr>
      </w:pPr>
      <w:r>
        <w:rPr>
          <w:rFonts w:ascii="宋体" w:hAnsi="宋体" w:eastAsia="宋体" w:cs="宋体"/>
          <w:spacing w:val="-1"/>
          <w:sz w:val="18"/>
          <w:szCs w:val="18"/>
        </w:rPr>
        <w:t>(3)按题型分：</w:t>
      </w:r>
    </w:p>
    <w:p w14:paraId="1CEDE401">
      <w:pPr>
        <w:spacing w:line="14" w:lineRule="exact"/>
      </w:pPr>
    </w:p>
    <w:tbl>
      <w:tblPr>
        <w:tblStyle w:val="5"/>
        <w:tblW w:w="413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474"/>
        <w:gridCol w:w="589"/>
        <w:gridCol w:w="579"/>
        <w:gridCol w:w="588"/>
        <w:gridCol w:w="589"/>
        <w:gridCol w:w="598"/>
        <w:gridCol w:w="713"/>
      </w:tblGrid>
      <w:tr w14:paraId="021319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474" w:type="dxa"/>
            <w:vAlign w:val="top"/>
          </w:tcPr>
          <w:p w14:paraId="77BDB91A">
            <w:pPr>
              <w:pStyle w:val="6"/>
              <w:spacing w:before="261" w:line="221" w:lineRule="auto"/>
              <w:ind w:left="67"/>
              <w:rPr>
                <w:sz w:val="16"/>
                <w:szCs w:val="16"/>
              </w:rPr>
            </w:pPr>
            <w:r>
              <w:rPr>
                <w:b/>
                <w:bCs/>
                <w:spacing w:val="-4"/>
                <w:sz w:val="16"/>
                <w:szCs w:val="16"/>
              </w:rPr>
              <w:t>题型</w:t>
            </w:r>
          </w:p>
        </w:tc>
        <w:tc>
          <w:tcPr>
            <w:tcW w:w="589" w:type="dxa"/>
            <w:vAlign w:val="top"/>
          </w:tcPr>
          <w:p w14:paraId="4D22E730">
            <w:pPr>
              <w:pStyle w:val="6"/>
              <w:spacing w:before="139" w:line="220" w:lineRule="auto"/>
              <w:ind w:left="43"/>
              <w:rPr>
                <w:sz w:val="16"/>
                <w:szCs w:val="16"/>
              </w:rPr>
            </w:pPr>
            <w:r>
              <w:rPr>
                <w:b/>
                <w:bCs/>
                <w:spacing w:val="-4"/>
                <w:sz w:val="16"/>
                <w:szCs w:val="16"/>
              </w:rPr>
              <w:t>单项选</w:t>
            </w:r>
          </w:p>
          <w:p w14:paraId="6057E608">
            <w:pPr>
              <w:pStyle w:val="6"/>
              <w:spacing w:before="29" w:line="221" w:lineRule="auto"/>
              <w:ind w:left="123"/>
              <w:rPr>
                <w:sz w:val="16"/>
                <w:szCs w:val="16"/>
              </w:rPr>
            </w:pPr>
            <w:r>
              <w:rPr>
                <w:b/>
                <w:bCs/>
                <w:spacing w:val="-4"/>
                <w:sz w:val="16"/>
                <w:szCs w:val="16"/>
              </w:rPr>
              <w:t>择题</w:t>
            </w:r>
          </w:p>
        </w:tc>
        <w:tc>
          <w:tcPr>
            <w:tcW w:w="579" w:type="dxa"/>
            <w:vAlign w:val="top"/>
          </w:tcPr>
          <w:p w14:paraId="32FED0CB">
            <w:pPr>
              <w:pStyle w:val="6"/>
              <w:spacing w:before="139" w:line="220" w:lineRule="auto"/>
              <w:ind w:left="44"/>
              <w:rPr>
                <w:sz w:val="16"/>
                <w:szCs w:val="16"/>
              </w:rPr>
            </w:pPr>
            <w:r>
              <w:rPr>
                <w:b/>
                <w:bCs/>
                <w:spacing w:val="-5"/>
                <w:sz w:val="16"/>
                <w:szCs w:val="16"/>
              </w:rPr>
              <w:t>多项选</w:t>
            </w:r>
          </w:p>
          <w:p w14:paraId="18C6A256">
            <w:pPr>
              <w:pStyle w:val="6"/>
              <w:spacing w:before="29" w:line="221" w:lineRule="auto"/>
              <w:ind w:left="124"/>
              <w:rPr>
                <w:sz w:val="16"/>
                <w:szCs w:val="16"/>
              </w:rPr>
            </w:pPr>
            <w:r>
              <w:rPr>
                <w:b/>
                <w:bCs/>
                <w:spacing w:val="-4"/>
                <w:sz w:val="16"/>
                <w:szCs w:val="16"/>
              </w:rPr>
              <w:t>择题</w:t>
            </w:r>
          </w:p>
        </w:tc>
        <w:tc>
          <w:tcPr>
            <w:tcW w:w="588" w:type="dxa"/>
            <w:vAlign w:val="top"/>
          </w:tcPr>
          <w:p w14:paraId="3E1829C2">
            <w:pPr>
              <w:pStyle w:val="6"/>
              <w:spacing w:before="259" w:line="220" w:lineRule="auto"/>
              <w:ind w:left="45"/>
              <w:rPr>
                <w:sz w:val="16"/>
                <w:szCs w:val="16"/>
              </w:rPr>
            </w:pPr>
            <w:r>
              <w:rPr>
                <w:b/>
                <w:bCs/>
                <w:spacing w:val="-4"/>
                <w:sz w:val="16"/>
                <w:szCs w:val="16"/>
              </w:rPr>
              <w:t>填空题</w:t>
            </w:r>
          </w:p>
        </w:tc>
        <w:tc>
          <w:tcPr>
            <w:tcW w:w="589" w:type="dxa"/>
            <w:vAlign w:val="top"/>
          </w:tcPr>
          <w:p w14:paraId="22B81C71">
            <w:pPr>
              <w:pStyle w:val="6"/>
              <w:spacing w:before="258" w:line="219" w:lineRule="auto"/>
              <w:ind w:left="47"/>
              <w:rPr>
                <w:sz w:val="16"/>
                <w:szCs w:val="16"/>
              </w:rPr>
            </w:pPr>
            <w:r>
              <w:rPr>
                <w:b/>
                <w:bCs/>
                <w:spacing w:val="-4"/>
                <w:sz w:val="16"/>
                <w:szCs w:val="16"/>
              </w:rPr>
              <w:t>简答题</w:t>
            </w:r>
          </w:p>
        </w:tc>
        <w:tc>
          <w:tcPr>
            <w:tcW w:w="598" w:type="dxa"/>
            <w:vAlign w:val="top"/>
          </w:tcPr>
          <w:p w14:paraId="0E8A104C">
            <w:pPr>
              <w:pStyle w:val="6"/>
              <w:spacing w:before="260" w:line="221" w:lineRule="auto"/>
              <w:ind w:left="58"/>
              <w:rPr>
                <w:sz w:val="16"/>
                <w:szCs w:val="16"/>
              </w:rPr>
            </w:pPr>
            <w:r>
              <w:rPr>
                <w:b/>
                <w:bCs/>
                <w:spacing w:val="-4"/>
                <w:sz w:val="16"/>
                <w:szCs w:val="16"/>
              </w:rPr>
              <w:t>识图题</w:t>
            </w:r>
          </w:p>
        </w:tc>
        <w:tc>
          <w:tcPr>
            <w:tcW w:w="713" w:type="dxa"/>
            <w:vAlign w:val="top"/>
          </w:tcPr>
          <w:p w14:paraId="22B7CED5">
            <w:pPr>
              <w:pStyle w:val="6"/>
              <w:spacing w:before="139" w:line="220" w:lineRule="auto"/>
              <w:ind w:left="30"/>
              <w:rPr>
                <w:sz w:val="16"/>
                <w:szCs w:val="16"/>
              </w:rPr>
            </w:pPr>
            <w:r>
              <w:rPr>
                <w:b/>
                <w:bCs/>
                <w:spacing w:val="-3"/>
                <w:sz w:val="16"/>
                <w:szCs w:val="16"/>
              </w:rPr>
              <w:t>施工案例</w:t>
            </w:r>
          </w:p>
          <w:p w14:paraId="375FE681">
            <w:pPr>
              <w:pStyle w:val="6"/>
              <w:spacing w:before="29" w:line="220" w:lineRule="auto"/>
              <w:ind w:left="110"/>
              <w:rPr>
                <w:sz w:val="16"/>
                <w:szCs w:val="16"/>
              </w:rPr>
            </w:pPr>
            <w:r>
              <w:rPr>
                <w:b/>
                <w:bCs/>
                <w:spacing w:val="-4"/>
                <w:sz w:val="16"/>
                <w:szCs w:val="16"/>
              </w:rPr>
              <w:t>分析题</w:t>
            </w:r>
          </w:p>
        </w:tc>
      </w:tr>
      <w:tr w14:paraId="7A433F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60" w:hRule="atLeast"/>
        </w:trPr>
        <w:tc>
          <w:tcPr>
            <w:tcW w:w="474" w:type="dxa"/>
            <w:vAlign w:val="top"/>
          </w:tcPr>
          <w:p w14:paraId="4A096E45">
            <w:pPr>
              <w:pStyle w:val="6"/>
              <w:spacing w:before="159" w:line="220" w:lineRule="auto"/>
              <w:ind w:left="67"/>
              <w:rPr>
                <w:sz w:val="16"/>
                <w:szCs w:val="16"/>
              </w:rPr>
            </w:pPr>
            <w:r>
              <w:rPr>
                <w:b/>
                <w:bCs/>
                <w:spacing w:val="-5"/>
                <w:sz w:val="16"/>
                <w:szCs w:val="16"/>
              </w:rPr>
              <w:t>百分</w:t>
            </w:r>
          </w:p>
          <w:p w14:paraId="0A767D7D">
            <w:pPr>
              <w:pStyle w:val="6"/>
              <w:spacing w:before="8" w:line="231" w:lineRule="auto"/>
              <w:ind w:left="147"/>
              <w:rPr>
                <w:sz w:val="16"/>
                <w:szCs w:val="16"/>
              </w:rPr>
            </w:pPr>
            <w:r>
              <w:rPr>
                <w:b/>
                <w:bCs/>
                <w:spacing w:val="-2"/>
                <w:sz w:val="16"/>
                <w:szCs w:val="16"/>
              </w:rPr>
              <w:t>比</w:t>
            </w:r>
          </w:p>
        </w:tc>
        <w:tc>
          <w:tcPr>
            <w:tcW w:w="589" w:type="dxa"/>
            <w:vAlign w:val="top"/>
          </w:tcPr>
          <w:p w14:paraId="0128EAA8">
            <w:pPr>
              <w:pStyle w:val="6"/>
              <w:spacing w:before="291" w:line="183" w:lineRule="auto"/>
              <w:ind w:left="163"/>
              <w:rPr>
                <w:sz w:val="16"/>
                <w:szCs w:val="16"/>
              </w:rPr>
            </w:pPr>
            <w:r>
              <w:rPr>
                <w:b/>
                <w:bCs/>
                <w:spacing w:val="-4"/>
                <w:sz w:val="16"/>
                <w:szCs w:val="16"/>
              </w:rPr>
              <w:t>30%</w:t>
            </w:r>
          </w:p>
        </w:tc>
        <w:tc>
          <w:tcPr>
            <w:tcW w:w="579" w:type="dxa"/>
            <w:vAlign w:val="top"/>
          </w:tcPr>
          <w:p w14:paraId="7722267F">
            <w:pPr>
              <w:pStyle w:val="6"/>
              <w:spacing w:before="291" w:line="183" w:lineRule="auto"/>
              <w:ind w:left="164"/>
              <w:rPr>
                <w:sz w:val="16"/>
                <w:szCs w:val="16"/>
              </w:rPr>
            </w:pPr>
            <w:r>
              <w:rPr>
                <w:b/>
                <w:bCs/>
                <w:spacing w:val="-4"/>
                <w:sz w:val="16"/>
                <w:szCs w:val="16"/>
              </w:rPr>
              <w:t>20%</w:t>
            </w:r>
          </w:p>
        </w:tc>
        <w:tc>
          <w:tcPr>
            <w:tcW w:w="588" w:type="dxa"/>
            <w:vAlign w:val="top"/>
          </w:tcPr>
          <w:p w14:paraId="07B95A62">
            <w:pPr>
              <w:pStyle w:val="6"/>
              <w:spacing w:before="291" w:line="184" w:lineRule="auto"/>
              <w:ind w:left="165"/>
              <w:rPr>
                <w:sz w:val="16"/>
                <w:szCs w:val="16"/>
              </w:rPr>
            </w:pPr>
            <w:r>
              <w:rPr>
                <w:b/>
                <w:bCs/>
                <w:spacing w:val="-6"/>
                <w:sz w:val="16"/>
                <w:szCs w:val="16"/>
              </w:rPr>
              <w:t>15%</w:t>
            </w:r>
          </w:p>
        </w:tc>
        <w:tc>
          <w:tcPr>
            <w:tcW w:w="589" w:type="dxa"/>
            <w:vAlign w:val="top"/>
          </w:tcPr>
          <w:p w14:paraId="7D24574B">
            <w:pPr>
              <w:pStyle w:val="6"/>
              <w:spacing w:before="291" w:line="184" w:lineRule="auto"/>
              <w:ind w:left="167"/>
              <w:rPr>
                <w:sz w:val="16"/>
                <w:szCs w:val="16"/>
              </w:rPr>
            </w:pPr>
            <w:r>
              <w:rPr>
                <w:b/>
                <w:bCs/>
                <w:spacing w:val="-6"/>
                <w:sz w:val="16"/>
                <w:szCs w:val="16"/>
              </w:rPr>
              <w:t>15%</w:t>
            </w:r>
          </w:p>
        </w:tc>
        <w:tc>
          <w:tcPr>
            <w:tcW w:w="598" w:type="dxa"/>
            <w:vAlign w:val="top"/>
          </w:tcPr>
          <w:p w14:paraId="75D8A62F">
            <w:pPr>
              <w:pStyle w:val="6"/>
              <w:spacing w:before="291" w:line="184" w:lineRule="auto"/>
              <w:ind w:left="178"/>
              <w:rPr>
                <w:sz w:val="16"/>
                <w:szCs w:val="16"/>
              </w:rPr>
            </w:pPr>
            <w:r>
              <w:rPr>
                <w:b/>
                <w:bCs/>
                <w:spacing w:val="-6"/>
                <w:sz w:val="16"/>
                <w:szCs w:val="16"/>
              </w:rPr>
              <w:t>10%</w:t>
            </w:r>
          </w:p>
        </w:tc>
        <w:tc>
          <w:tcPr>
            <w:tcW w:w="713" w:type="dxa"/>
            <w:vAlign w:val="top"/>
          </w:tcPr>
          <w:p w14:paraId="3B409066">
            <w:pPr>
              <w:pStyle w:val="6"/>
              <w:spacing w:before="291" w:line="184" w:lineRule="auto"/>
              <w:ind w:left="230"/>
              <w:rPr>
                <w:sz w:val="16"/>
                <w:szCs w:val="16"/>
              </w:rPr>
            </w:pPr>
            <w:r>
              <w:rPr>
                <w:b/>
                <w:bCs/>
                <w:spacing w:val="-6"/>
                <w:sz w:val="16"/>
                <w:szCs w:val="16"/>
              </w:rPr>
              <w:t>10%</w:t>
            </w:r>
          </w:p>
        </w:tc>
      </w:tr>
    </w:tbl>
    <w:p w14:paraId="6FA91631">
      <w:pPr>
        <w:pStyle w:val="2"/>
        <w:spacing w:line="20" w:lineRule="exact"/>
        <w:rPr>
          <w:sz w:val="2"/>
        </w:rPr>
      </w:pPr>
    </w:p>
    <w:p w14:paraId="298F243C">
      <w:pPr>
        <w:spacing w:line="20" w:lineRule="exact"/>
        <w:rPr>
          <w:sz w:val="2"/>
          <w:szCs w:val="2"/>
        </w:rPr>
        <w:sectPr>
          <w:type w:val="continuous"/>
          <w:pgSz w:w="10660" w:h="15080"/>
          <w:pgMar w:top="400" w:right="1034" w:bottom="936" w:left="819" w:header="0" w:footer="715" w:gutter="0"/>
          <w:cols w:equalWidth="0" w:num="2">
            <w:col w:w="4566" w:space="100"/>
            <w:col w:w="4141"/>
          </w:cols>
        </w:sectPr>
      </w:pPr>
    </w:p>
    <w:p w14:paraId="09C25090">
      <w:pPr>
        <w:spacing w:before="79"/>
      </w:pPr>
    </w:p>
    <w:p w14:paraId="3C55A0A7">
      <w:pPr>
        <w:spacing w:before="79"/>
      </w:pPr>
    </w:p>
    <w:p w14:paraId="0F95BE7D">
      <w:pPr>
        <w:spacing w:before="79"/>
      </w:pPr>
    </w:p>
    <w:p w14:paraId="29BEAEA9">
      <w:pPr>
        <w:sectPr>
          <w:footerReference r:id="rId49" w:type="default"/>
          <w:pgSz w:w="10660" w:h="15080"/>
          <w:pgMar w:top="400" w:right="885" w:bottom="925" w:left="1019" w:header="0" w:footer="705" w:gutter="0"/>
          <w:cols w:equalWidth="0" w:num="1">
            <w:col w:w="8755"/>
          </w:cols>
        </w:sectPr>
      </w:pPr>
    </w:p>
    <w:p w14:paraId="564703CF">
      <w:pPr>
        <w:pStyle w:val="2"/>
        <w:spacing w:line="403" w:lineRule="auto"/>
      </w:pPr>
    </w:p>
    <w:p w14:paraId="50376206">
      <w:pPr>
        <w:spacing w:before="88" w:line="266" w:lineRule="auto"/>
        <w:ind w:left="1532" w:right="634" w:hanging="1249"/>
        <w:rPr>
          <w:rFonts w:ascii="宋体" w:hAnsi="宋体" w:eastAsia="宋体" w:cs="宋体"/>
          <w:sz w:val="27"/>
          <w:szCs w:val="27"/>
        </w:rPr>
      </w:pPr>
      <w:r>
        <w:rPr>
          <w:rFonts w:ascii="黑体" w:hAnsi="黑体" w:eastAsia="黑体" w:cs="黑体"/>
          <w:b/>
          <w:bCs/>
          <w:spacing w:val="22"/>
          <w:sz w:val="27"/>
          <w:szCs w:val="27"/>
        </w:rPr>
        <w:t>旅游大类(旅游类)专业理论</w:t>
      </w:r>
      <w:r>
        <w:rPr>
          <w:rFonts w:ascii="黑体" w:hAnsi="黑体" w:eastAsia="黑体" w:cs="黑体"/>
          <w:spacing w:val="7"/>
          <w:sz w:val="27"/>
          <w:szCs w:val="27"/>
        </w:rPr>
        <w:t xml:space="preserve"> </w:t>
      </w:r>
      <w:r>
        <w:rPr>
          <w:rFonts w:ascii="宋体" w:hAnsi="宋体" w:eastAsia="宋体" w:cs="宋体"/>
          <w:b/>
          <w:bCs/>
          <w:spacing w:val="-5"/>
          <w:sz w:val="27"/>
          <w:szCs w:val="27"/>
        </w:rPr>
        <w:t>考试纲要</w:t>
      </w:r>
    </w:p>
    <w:p w14:paraId="22EEA540">
      <w:pPr>
        <w:pStyle w:val="2"/>
        <w:spacing w:line="251" w:lineRule="auto"/>
      </w:pPr>
    </w:p>
    <w:p w14:paraId="0BEDE924">
      <w:pPr>
        <w:pStyle w:val="2"/>
        <w:spacing w:line="251" w:lineRule="auto"/>
      </w:pPr>
    </w:p>
    <w:p w14:paraId="44F95894">
      <w:pPr>
        <w:spacing w:before="74" w:line="221" w:lineRule="auto"/>
        <w:ind w:left="3"/>
        <w:rPr>
          <w:rFonts w:ascii="黑体" w:hAnsi="黑体" w:eastAsia="黑体" w:cs="黑体"/>
          <w:sz w:val="23"/>
          <w:szCs w:val="23"/>
        </w:rPr>
      </w:pPr>
      <w:r>
        <w:rPr>
          <w:rFonts w:ascii="黑体" w:hAnsi="黑体" w:eastAsia="黑体" w:cs="黑体"/>
          <w:b/>
          <w:bCs/>
          <w:spacing w:val="-6"/>
          <w:sz w:val="23"/>
          <w:szCs w:val="23"/>
        </w:rPr>
        <w:t>一、考试范围和内容</w:t>
      </w:r>
    </w:p>
    <w:p w14:paraId="1BDC3AA9">
      <w:pPr>
        <w:spacing w:before="96" w:line="312" w:lineRule="auto"/>
        <w:ind w:right="255" w:firstLine="360"/>
        <w:rPr>
          <w:rFonts w:ascii="宋体" w:hAnsi="宋体" w:eastAsia="宋体" w:cs="宋体"/>
          <w:sz w:val="17"/>
          <w:szCs w:val="17"/>
        </w:rPr>
      </w:pPr>
      <w:r>
        <w:rPr>
          <w:rFonts w:ascii="宋体" w:hAnsi="宋体" w:eastAsia="宋体" w:cs="宋体"/>
          <w:spacing w:val="8"/>
          <w:sz w:val="17"/>
          <w:szCs w:val="17"/>
        </w:rPr>
        <w:t>本纲要以教育部2017年颁布的《中等职业学校专</w:t>
      </w:r>
      <w:r>
        <w:rPr>
          <w:rFonts w:ascii="宋体" w:hAnsi="宋体" w:eastAsia="宋体" w:cs="宋体"/>
          <w:spacing w:val="7"/>
          <w:sz w:val="17"/>
          <w:szCs w:val="17"/>
        </w:rPr>
        <w:t xml:space="preserve">  </w:t>
      </w:r>
      <w:r>
        <w:rPr>
          <w:rFonts w:ascii="宋体" w:hAnsi="宋体" w:eastAsia="宋体" w:cs="宋体"/>
          <w:spacing w:val="9"/>
          <w:sz w:val="17"/>
          <w:szCs w:val="17"/>
        </w:rPr>
        <w:t>业教学标准》(旅游服务类)为依据，以高等教育出版</w:t>
      </w:r>
      <w:r>
        <w:rPr>
          <w:rFonts w:ascii="宋体" w:hAnsi="宋体" w:eastAsia="宋体" w:cs="宋体"/>
          <w:sz w:val="17"/>
          <w:szCs w:val="17"/>
        </w:rPr>
        <w:t xml:space="preserve">  </w:t>
      </w:r>
      <w:r>
        <w:rPr>
          <w:rFonts w:ascii="宋体" w:hAnsi="宋体" w:eastAsia="宋体" w:cs="宋体"/>
          <w:spacing w:val="2"/>
          <w:sz w:val="17"/>
          <w:szCs w:val="17"/>
        </w:rPr>
        <w:t>社“十四五”职业教育国家规划教材为蓝本，其</w:t>
      </w:r>
      <w:r>
        <w:rPr>
          <w:rFonts w:ascii="宋体" w:hAnsi="宋体" w:eastAsia="宋体" w:cs="宋体"/>
          <w:spacing w:val="1"/>
          <w:sz w:val="17"/>
          <w:szCs w:val="17"/>
        </w:rPr>
        <w:t>中《旅</w:t>
      </w:r>
      <w:r>
        <w:rPr>
          <w:rFonts w:ascii="宋体" w:hAnsi="宋体" w:eastAsia="宋体" w:cs="宋体"/>
          <w:sz w:val="17"/>
          <w:szCs w:val="17"/>
        </w:rPr>
        <w:t xml:space="preserve">  </w:t>
      </w:r>
      <w:r>
        <w:rPr>
          <w:rFonts w:ascii="宋体" w:hAnsi="宋体" w:eastAsia="宋体" w:cs="宋体"/>
          <w:spacing w:val="1"/>
          <w:sz w:val="17"/>
          <w:szCs w:val="17"/>
        </w:rPr>
        <w:t>游概论(第二版)》邵世刚、何山主编(高等教育出版社、</w:t>
      </w:r>
      <w:r>
        <w:rPr>
          <w:rFonts w:ascii="宋体" w:hAnsi="宋体" w:eastAsia="宋体" w:cs="宋体"/>
          <w:spacing w:val="13"/>
          <w:sz w:val="17"/>
          <w:szCs w:val="17"/>
        </w:rPr>
        <w:t xml:space="preserve"> </w:t>
      </w:r>
      <w:r>
        <w:rPr>
          <w:rFonts w:ascii="宋体" w:hAnsi="宋体" w:eastAsia="宋体" w:cs="宋体"/>
          <w:spacing w:val="8"/>
          <w:sz w:val="17"/>
          <w:szCs w:val="17"/>
        </w:rPr>
        <w:t>2020年7月出版),《中国旅游地理(第二版)》芦爱英、</w:t>
      </w:r>
      <w:r>
        <w:rPr>
          <w:rFonts w:ascii="宋体" w:hAnsi="宋体" w:eastAsia="宋体" w:cs="宋体"/>
          <w:spacing w:val="14"/>
          <w:sz w:val="17"/>
          <w:szCs w:val="17"/>
        </w:rPr>
        <w:t xml:space="preserve"> </w:t>
      </w:r>
      <w:r>
        <w:rPr>
          <w:rFonts w:ascii="宋体" w:hAnsi="宋体" w:eastAsia="宋体" w:cs="宋体"/>
          <w:spacing w:val="10"/>
          <w:sz w:val="17"/>
          <w:szCs w:val="17"/>
        </w:rPr>
        <w:t>王雁主编(高等教育出版社、2020年10月出版),《导</w:t>
      </w:r>
      <w:r>
        <w:rPr>
          <w:rFonts w:ascii="宋体" w:hAnsi="宋体" w:eastAsia="宋体" w:cs="宋体"/>
          <w:spacing w:val="7"/>
          <w:sz w:val="17"/>
          <w:szCs w:val="17"/>
        </w:rPr>
        <w:t xml:space="preserve">  </w:t>
      </w:r>
      <w:r>
        <w:rPr>
          <w:rFonts w:ascii="宋体" w:hAnsi="宋体" w:eastAsia="宋体" w:cs="宋体"/>
          <w:spacing w:val="8"/>
          <w:sz w:val="17"/>
          <w:szCs w:val="17"/>
        </w:rPr>
        <w:t>游实务(第二版)》王雁主编(高等教育出版社、2019</w:t>
      </w:r>
      <w:r>
        <w:rPr>
          <w:rFonts w:ascii="宋体" w:hAnsi="宋体" w:eastAsia="宋体" w:cs="宋体"/>
          <w:spacing w:val="1"/>
          <w:sz w:val="17"/>
          <w:szCs w:val="17"/>
        </w:rPr>
        <w:t xml:space="preserve">   </w:t>
      </w:r>
      <w:r>
        <w:rPr>
          <w:rFonts w:ascii="宋体" w:hAnsi="宋体" w:eastAsia="宋体" w:cs="宋体"/>
          <w:spacing w:val="5"/>
          <w:sz w:val="17"/>
          <w:szCs w:val="17"/>
        </w:rPr>
        <w:t>年6月出版)同时参考其他出版社出版的中等职业学校</w:t>
      </w:r>
      <w:r>
        <w:rPr>
          <w:rFonts w:ascii="宋体" w:hAnsi="宋体" w:eastAsia="宋体" w:cs="宋体"/>
          <w:spacing w:val="1"/>
          <w:sz w:val="17"/>
          <w:szCs w:val="17"/>
        </w:rPr>
        <w:t xml:space="preserve">   </w:t>
      </w:r>
      <w:r>
        <w:rPr>
          <w:rFonts w:ascii="宋体" w:hAnsi="宋体" w:eastAsia="宋体" w:cs="宋体"/>
          <w:spacing w:val="-4"/>
          <w:sz w:val="17"/>
          <w:szCs w:val="17"/>
        </w:rPr>
        <w:t>专业课程教材。</w:t>
      </w:r>
    </w:p>
    <w:p w14:paraId="462C095E">
      <w:pPr>
        <w:spacing w:before="34" w:line="302" w:lineRule="auto"/>
        <w:ind w:right="285" w:firstLine="355"/>
        <w:rPr>
          <w:rFonts w:ascii="宋体" w:hAnsi="宋体" w:eastAsia="宋体" w:cs="宋体"/>
          <w:sz w:val="17"/>
          <w:szCs w:val="17"/>
        </w:rPr>
      </w:pPr>
      <w:r>
        <w:rPr>
          <w:rFonts w:ascii="宋体" w:hAnsi="宋体" w:eastAsia="宋体" w:cs="宋体"/>
          <w:spacing w:val="-3"/>
          <w:sz w:val="17"/>
          <w:szCs w:val="17"/>
        </w:rPr>
        <w:t>《旅游概论》主要内容包括：旅游概述、旅游简史、</w:t>
      </w:r>
      <w:r>
        <w:rPr>
          <w:rFonts w:ascii="宋体" w:hAnsi="宋体" w:eastAsia="宋体" w:cs="宋体"/>
          <w:spacing w:val="8"/>
          <w:sz w:val="17"/>
          <w:szCs w:val="17"/>
        </w:rPr>
        <w:t xml:space="preserve"> </w:t>
      </w:r>
      <w:r>
        <w:rPr>
          <w:rFonts w:ascii="宋体" w:hAnsi="宋体" w:eastAsia="宋体" w:cs="宋体"/>
          <w:spacing w:val="2"/>
          <w:sz w:val="17"/>
          <w:szCs w:val="17"/>
        </w:rPr>
        <w:t>旅游活动的基本要素、旅游业的构成、旅游市场、旅游</w:t>
      </w:r>
      <w:r>
        <w:rPr>
          <w:rFonts w:ascii="宋体" w:hAnsi="宋体" w:eastAsia="宋体" w:cs="宋体"/>
          <w:sz w:val="17"/>
          <w:szCs w:val="17"/>
        </w:rPr>
        <w:t xml:space="preserve">  </w:t>
      </w:r>
      <w:r>
        <w:rPr>
          <w:rFonts w:ascii="宋体" w:hAnsi="宋体" w:eastAsia="宋体" w:cs="宋体"/>
          <w:spacing w:val="2"/>
          <w:sz w:val="17"/>
          <w:szCs w:val="17"/>
        </w:rPr>
        <w:t>业的发展趋势等。《中国旅游地理》主要内容包括：中</w:t>
      </w:r>
      <w:r>
        <w:rPr>
          <w:rFonts w:ascii="宋体" w:hAnsi="宋体" w:eastAsia="宋体" w:cs="宋体"/>
          <w:spacing w:val="4"/>
          <w:sz w:val="17"/>
          <w:szCs w:val="17"/>
        </w:rPr>
        <w:t xml:space="preserve">  </w:t>
      </w:r>
      <w:r>
        <w:rPr>
          <w:rFonts w:ascii="宋体" w:hAnsi="宋体" w:eastAsia="宋体" w:cs="宋体"/>
          <w:spacing w:val="2"/>
          <w:sz w:val="17"/>
          <w:szCs w:val="17"/>
        </w:rPr>
        <w:t>国旅游地理学的研究内容、实用价值和研究方法，中国</w:t>
      </w:r>
      <w:r>
        <w:rPr>
          <w:rFonts w:ascii="宋体" w:hAnsi="宋体" w:eastAsia="宋体" w:cs="宋体"/>
          <w:spacing w:val="4"/>
          <w:sz w:val="17"/>
          <w:szCs w:val="17"/>
        </w:rPr>
        <w:t xml:space="preserve">  </w:t>
      </w:r>
      <w:r>
        <w:rPr>
          <w:rFonts w:ascii="宋体" w:hAnsi="宋体" w:eastAsia="宋体" w:cs="宋体"/>
          <w:spacing w:val="2"/>
          <w:sz w:val="17"/>
          <w:szCs w:val="17"/>
        </w:rPr>
        <w:t>旅游资源的分类介绍，中国八大旅游区的概况、旅游资</w:t>
      </w:r>
      <w:r>
        <w:rPr>
          <w:rFonts w:ascii="宋体" w:hAnsi="宋体" w:eastAsia="宋体" w:cs="宋体"/>
          <w:spacing w:val="1"/>
          <w:sz w:val="17"/>
          <w:szCs w:val="17"/>
        </w:rPr>
        <w:t xml:space="preserve">  </w:t>
      </w:r>
      <w:r>
        <w:rPr>
          <w:rFonts w:ascii="宋体" w:hAnsi="宋体" w:eastAsia="宋体" w:cs="宋体"/>
          <w:spacing w:val="2"/>
          <w:sz w:val="17"/>
          <w:szCs w:val="17"/>
        </w:rPr>
        <w:t>源特征、主要游览地和景区等。由于旅游业的发</w:t>
      </w:r>
      <w:r>
        <w:rPr>
          <w:rFonts w:ascii="宋体" w:hAnsi="宋体" w:eastAsia="宋体" w:cs="宋体"/>
          <w:spacing w:val="1"/>
          <w:sz w:val="17"/>
          <w:szCs w:val="17"/>
        </w:rPr>
        <w:t>展和旅</w:t>
      </w:r>
      <w:r>
        <w:rPr>
          <w:rFonts w:ascii="宋体" w:hAnsi="宋体" w:eastAsia="宋体" w:cs="宋体"/>
          <w:sz w:val="17"/>
          <w:szCs w:val="17"/>
        </w:rPr>
        <w:t xml:space="preserve">  </w:t>
      </w:r>
      <w:r>
        <w:rPr>
          <w:rFonts w:ascii="宋体" w:hAnsi="宋体" w:eastAsia="宋体" w:cs="宋体"/>
          <w:spacing w:val="9"/>
          <w:sz w:val="17"/>
          <w:szCs w:val="17"/>
        </w:rPr>
        <w:t>游资源的开发，至2022年底以前的有关旅游地</w:t>
      </w:r>
      <w:r>
        <w:rPr>
          <w:rFonts w:ascii="宋体" w:hAnsi="宋体" w:eastAsia="宋体" w:cs="宋体"/>
          <w:spacing w:val="8"/>
          <w:sz w:val="17"/>
          <w:szCs w:val="17"/>
        </w:rPr>
        <w:t>理新知</w:t>
      </w:r>
      <w:r>
        <w:rPr>
          <w:rFonts w:ascii="宋体" w:hAnsi="宋体" w:eastAsia="宋体" w:cs="宋体"/>
          <w:sz w:val="17"/>
          <w:szCs w:val="17"/>
        </w:rPr>
        <w:t xml:space="preserve">  </w:t>
      </w:r>
      <w:r>
        <w:rPr>
          <w:rFonts w:ascii="宋体" w:hAnsi="宋体" w:eastAsia="宋体" w:cs="宋体"/>
          <w:spacing w:val="8"/>
          <w:sz w:val="17"/>
          <w:szCs w:val="17"/>
        </w:rPr>
        <w:t>识(如中国入选“世界遗产名录”、“世界地质公园”</w:t>
      </w:r>
      <w:r>
        <w:rPr>
          <w:rFonts w:ascii="宋体" w:hAnsi="宋体" w:eastAsia="宋体" w:cs="宋体"/>
          <w:spacing w:val="9"/>
          <w:sz w:val="17"/>
          <w:szCs w:val="17"/>
        </w:rPr>
        <w:t xml:space="preserve"> </w:t>
      </w:r>
      <w:r>
        <w:rPr>
          <w:rFonts w:ascii="宋体" w:hAnsi="宋体" w:eastAsia="宋体" w:cs="宋体"/>
          <w:spacing w:val="19"/>
          <w:sz w:val="17"/>
          <w:szCs w:val="17"/>
        </w:rPr>
        <w:t>等项目)也属考试范围(限在5%比例以内)。《导游</w:t>
      </w:r>
      <w:r>
        <w:rPr>
          <w:rFonts w:ascii="宋体" w:hAnsi="宋体" w:eastAsia="宋体" w:cs="宋体"/>
          <w:spacing w:val="8"/>
          <w:sz w:val="17"/>
          <w:szCs w:val="17"/>
        </w:rPr>
        <w:t xml:space="preserve">  </w:t>
      </w:r>
      <w:r>
        <w:rPr>
          <w:rFonts w:ascii="宋体" w:hAnsi="宋体" w:eastAsia="宋体" w:cs="宋体"/>
          <w:sz w:val="17"/>
          <w:szCs w:val="17"/>
        </w:rPr>
        <w:t>实务》主要内容包括：认识导游人员、导游服务程序、</w:t>
      </w:r>
      <w:r>
        <w:rPr>
          <w:rFonts w:ascii="宋体" w:hAnsi="宋体" w:eastAsia="宋体" w:cs="宋体"/>
          <w:spacing w:val="2"/>
          <w:sz w:val="17"/>
          <w:szCs w:val="17"/>
        </w:rPr>
        <w:t xml:space="preserve">  </w:t>
      </w:r>
      <w:r>
        <w:rPr>
          <w:rFonts w:ascii="宋体" w:hAnsi="宋体" w:eastAsia="宋体" w:cs="宋体"/>
          <w:spacing w:val="1"/>
          <w:sz w:val="17"/>
          <w:szCs w:val="17"/>
        </w:rPr>
        <w:t xml:space="preserve">导游服务技能、旅游问题和事故的预防与处理、导游实  </w:t>
      </w:r>
      <w:r>
        <w:rPr>
          <w:rFonts w:ascii="宋体" w:hAnsi="宋体" w:eastAsia="宋体" w:cs="宋体"/>
          <w:spacing w:val="-2"/>
          <w:sz w:val="17"/>
          <w:szCs w:val="17"/>
        </w:rPr>
        <w:t>实务相关知识等。</w:t>
      </w:r>
    </w:p>
    <w:p w14:paraId="2CF4D097">
      <w:pPr>
        <w:spacing w:before="131" w:line="221" w:lineRule="auto"/>
        <w:ind w:left="3"/>
        <w:rPr>
          <w:rFonts w:ascii="黑体" w:hAnsi="黑体" w:eastAsia="黑体" w:cs="黑体"/>
          <w:sz w:val="23"/>
          <w:szCs w:val="23"/>
        </w:rPr>
      </w:pPr>
      <w:r>
        <w:rPr>
          <w:rFonts w:ascii="黑体" w:hAnsi="黑体" w:eastAsia="黑体" w:cs="黑体"/>
          <w:b/>
          <w:bCs/>
          <w:spacing w:val="-5"/>
          <w:sz w:val="23"/>
          <w:szCs w:val="23"/>
        </w:rPr>
        <w:t>二、考试目标和水平层次</w:t>
      </w:r>
    </w:p>
    <w:p w14:paraId="2CC42F8F">
      <w:pPr>
        <w:spacing w:before="97" w:line="291" w:lineRule="auto"/>
        <w:ind w:right="362" w:firstLine="360"/>
        <w:rPr>
          <w:rFonts w:ascii="宋体" w:hAnsi="宋体" w:eastAsia="宋体" w:cs="宋体"/>
          <w:sz w:val="17"/>
          <w:szCs w:val="17"/>
        </w:rPr>
      </w:pPr>
      <w:r>
        <w:rPr>
          <w:rFonts w:ascii="宋体" w:hAnsi="宋体" w:eastAsia="宋体" w:cs="宋体"/>
          <w:spacing w:val="1"/>
          <w:sz w:val="17"/>
          <w:szCs w:val="17"/>
        </w:rPr>
        <w:t>考试目标是考试要求的具体化，每个考试目标包含</w:t>
      </w:r>
      <w:r>
        <w:rPr>
          <w:rFonts w:ascii="宋体" w:hAnsi="宋体" w:eastAsia="宋体" w:cs="宋体"/>
          <w:spacing w:val="4"/>
          <w:sz w:val="17"/>
          <w:szCs w:val="17"/>
        </w:rPr>
        <w:t xml:space="preserve"> </w:t>
      </w:r>
      <w:r>
        <w:rPr>
          <w:rFonts w:ascii="宋体" w:hAnsi="宋体" w:eastAsia="宋体" w:cs="宋体"/>
          <w:spacing w:val="-1"/>
          <w:sz w:val="17"/>
          <w:szCs w:val="17"/>
        </w:rPr>
        <w:t>知识与技能要点、考试条目和考试水平三个方面。</w:t>
      </w:r>
    </w:p>
    <w:p w14:paraId="221D486E">
      <w:pPr>
        <w:spacing w:before="45" w:line="302" w:lineRule="auto"/>
        <w:ind w:right="359" w:firstLine="360"/>
        <w:rPr>
          <w:rFonts w:ascii="宋体" w:hAnsi="宋体" w:eastAsia="宋体" w:cs="宋体"/>
          <w:sz w:val="17"/>
          <w:szCs w:val="17"/>
        </w:rPr>
      </w:pPr>
      <w:r>
        <w:rPr>
          <w:rFonts w:ascii="宋体" w:hAnsi="宋体" w:eastAsia="宋体" w:cs="宋体"/>
          <w:spacing w:val="-3"/>
          <w:sz w:val="17"/>
          <w:szCs w:val="17"/>
        </w:rPr>
        <w:t>考试水平由低到高分为四个层次，它们依次是</w:t>
      </w:r>
      <w:r>
        <w:rPr>
          <w:rFonts w:ascii="Times New Roman" w:hAnsi="Times New Roman" w:eastAsia="Times New Roman" w:cs="Times New Roman"/>
          <w:spacing w:val="-3"/>
          <w:sz w:val="17"/>
          <w:szCs w:val="17"/>
        </w:rPr>
        <w:t>A</w:t>
      </w:r>
      <w:r>
        <w:rPr>
          <w:rFonts w:ascii="宋体" w:hAnsi="宋体" w:eastAsia="宋体" w:cs="宋体"/>
          <w:spacing w:val="-3"/>
          <w:sz w:val="17"/>
          <w:szCs w:val="17"/>
        </w:rPr>
        <w:t>(</w:t>
      </w:r>
      <w:r>
        <w:rPr>
          <w:rFonts w:ascii="宋体" w:hAnsi="宋体" w:eastAsia="宋体" w:cs="宋体"/>
          <w:spacing w:val="-25"/>
          <w:sz w:val="17"/>
          <w:szCs w:val="17"/>
        </w:rPr>
        <w:t xml:space="preserve"> </w:t>
      </w:r>
      <w:r>
        <w:rPr>
          <w:rFonts w:ascii="宋体" w:hAnsi="宋体" w:eastAsia="宋体" w:cs="宋体"/>
          <w:spacing w:val="-3"/>
          <w:sz w:val="17"/>
          <w:szCs w:val="17"/>
        </w:rPr>
        <w:t>识</w:t>
      </w:r>
      <w:r>
        <w:rPr>
          <w:rFonts w:ascii="宋体" w:hAnsi="宋体" w:eastAsia="宋体" w:cs="宋体"/>
          <w:sz w:val="17"/>
          <w:szCs w:val="17"/>
        </w:rPr>
        <w:t xml:space="preserve"> </w:t>
      </w:r>
      <w:r>
        <w:rPr>
          <w:rFonts w:ascii="宋体" w:hAnsi="宋体" w:eastAsia="宋体" w:cs="宋体"/>
          <w:spacing w:val="-4"/>
          <w:sz w:val="17"/>
          <w:szCs w:val="17"/>
        </w:rPr>
        <w:t>记</w:t>
      </w:r>
      <w:r>
        <w:rPr>
          <w:rFonts w:ascii="宋体" w:hAnsi="宋体" w:eastAsia="宋体" w:cs="宋体"/>
          <w:spacing w:val="-13"/>
          <w:sz w:val="17"/>
          <w:szCs w:val="17"/>
        </w:rPr>
        <w:t xml:space="preserve"> </w:t>
      </w:r>
      <w:r>
        <w:rPr>
          <w:rFonts w:ascii="宋体" w:hAnsi="宋体" w:eastAsia="宋体" w:cs="宋体"/>
          <w:spacing w:val="-4"/>
          <w:sz w:val="17"/>
          <w:szCs w:val="17"/>
        </w:rPr>
        <w:t>)</w:t>
      </w:r>
      <w:r>
        <w:rPr>
          <w:rFonts w:ascii="宋体" w:hAnsi="宋体" w:eastAsia="宋体" w:cs="宋体"/>
          <w:spacing w:val="-25"/>
          <w:sz w:val="17"/>
          <w:szCs w:val="17"/>
        </w:rPr>
        <w:t xml:space="preserve"> </w:t>
      </w:r>
      <w:r>
        <w:rPr>
          <w:rFonts w:ascii="宋体" w:hAnsi="宋体" w:eastAsia="宋体" w:cs="宋体"/>
          <w:spacing w:val="-4"/>
          <w:sz w:val="17"/>
          <w:szCs w:val="17"/>
        </w:rPr>
        <w:t>、</w:t>
      </w:r>
      <w:r>
        <w:rPr>
          <w:rFonts w:ascii="Times New Roman" w:hAnsi="Times New Roman" w:eastAsia="Times New Roman" w:cs="Times New Roman"/>
          <w:spacing w:val="-4"/>
          <w:sz w:val="17"/>
          <w:szCs w:val="17"/>
        </w:rPr>
        <w:t>B</w:t>
      </w:r>
      <w:r>
        <w:rPr>
          <w:rFonts w:ascii="Times New Roman" w:hAnsi="Times New Roman" w:eastAsia="Times New Roman" w:cs="Times New Roman"/>
          <w:spacing w:val="17"/>
          <w:w w:val="101"/>
          <w:sz w:val="17"/>
          <w:szCs w:val="17"/>
        </w:rPr>
        <w:t xml:space="preserve"> </w:t>
      </w:r>
      <w:r>
        <w:rPr>
          <w:rFonts w:ascii="宋体" w:hAnsi="宋体" w:eastAsia="宋体" w:cs="宋体"/>
          <w:spacing w:val="-4"/>
          <w:sz w:val="17"/>
          <w:szCs w:val="17"/>
        </w:rPr>
        <w:t>(</w:t>
      </w:r>
      <w:r>
        <w:rPr>
          <w:rFonts w:ascii="宋体" w:hAnsi="宋体" w:eastAsia="宋体" w:cs="宋体"/>
          <w:spacing w:val="-28"/>
          <w:sz w:val="17"/>
          <w:szCs w:val="17"/>
        </w:rPr>
        <w:t xml:space="preserve"> </w:t>
      </w:r>
      <w:r>
        <w:rPr>
          <w:rFonts w:ascii="宋体" w:hAnsi="宋体" w:eastAsia="宋体" w:cs="宋体"/>
          <w:spacing w:val="-4"/>
          <w:sz w:val="17"/>
          <w:szCs w:val="17"/>
        </w:rPr>
        <w:t>理</w:t>
      </w:r>
      <w:r>
        <w:rPr>
          <w:rFonts w:ascii="宋体" w:hAnsi="宋体" w:eastAsia="宋体" w:cs="宋体"/>
          <w:spacing w:val="-30"/>
          <w:sz w:val="17"/>
          <w:szCs w:val="17"/>
        </w:rPr>
        <w:t xml:space="preserve"> </w:t>
      </w:r>
      <w:r>
        <w:rPr>
          <w:rFonts w:ascii="宋体" w:hAnsi="宋体" w:eastAsia="宋体" w:cs="宋体"/>
          <w:spacing w:val="-4"/>
          <w:sz w:val="17"/>
          <w:szCs w:val="17"/>
        </w:rPr>
        <w:t>解</w:t>
      </w:r>
      <w:r>
        <w:rPr>
          <w:rFonts w:ascii="宋体" w:hAnsi="宋体" w:eastAsia="宋体" w:cs="宋体"/>
          <w:spacing w:val="-28"/>
          <w:sz w:val="17"/>
          <w:szCs w:val="17"/>
        </w:rPr>
        <w:t xml:space="preserve"> </w:t>
      </w:r>
      <w:r>
        <w:rPr>
          <w:rFonts w:ascii="宋体" w:hAnsi="宋体" w:eastAsia="宋体" w:cs="宋体"/>
          <w:spacing w:val="-4"/>
          <w:sz w:val="17"/>
          <w:szCs w:val="17"/>
        </w:rPr>
        <w:t>)</w:t>
      </w:r>
      <w:r>
        <w:rPr>
          <w:rFonts w:ascii="宋体" w:hAnsi="宋体" w:eastAsia="宋体" w:cs="宋体"/>
          <w:spacing w:val="-36"/>
          <w:sz w:val="17"/>
          <w:szCs w:val="17"/>
        </w:rPr>
        <w:t xml:space="preserve"> </w:t>
      </w:r>
      <w:r>
        <w:rPr>
          <w:rFonts w:ascii="宋体" w:hAnsi="宋体" w:eastAsia="宋体" w:cs="宋体"/>
          <w:spacing w:val="-4"/>
          <w:sz w:val="17"/>
          <w:szCs w:val="17"/>
        </w:rPr>
        <w:t>、</w:t>
      </w:r>
      <w:r>
        <w:rPr>
          <w:rFonts w:ascii="Times New Roman" w:hAnsi="Times New Roman" w:eastAsia="Times New Roman" w:cs="Times New Roman"/>
          <w:spacing w:val="-4"/>
          <w:sz w:val="17"/>
          <w:szCs w:val="17"/>
        </w:rPr>
        <w:t>C</w:t>
      </w:r>
      <w:r>
        <w:rPr>
          <w:rFonts w:ascii="宋体" w:hAnsi="宋体" w:eastAsia="宋体" w:cs="宋体"/>
          <w:spacing w:val="-4"/>
          <w:sz w:val="17"/>
          <w:szCs w:val="17"/>
        </w:rPr>
        <w:t>(</w:t>
      </w:r>
      <w:r>
        <w:rPr>
          <w:rFonts w:ascii="宋体" w:hAnsi="宋体" w:eastAsia="宋体" w:cs="宋体"/>
          <w:spacing w:val="-23"/>
          <w:sz w:val="17"/>
          <w:szCs w:val="17"/>
        </w:rPr>
        <w:t xml:space="preserve"> </w:t>
      </w:r>
      <w:r>
        <w:rPr>
          <w:rFonts w:ascii="宋体" w:hAnsi="宋体" w:eastAsia="宋体" w:cs="宋体"/>
          <w:spacing w:val="-4"/>
          <w:sz w:val="17"/>
          <w:szCs w:val="17"/>
        </w:rPr>
        <w:t>掌</w:t>
      </w:r>
      <w:r>
        <w:rPr>
          <w:rFonts w:ascii="宋体" w:hAnsi="宋体" w:eastAsia="宋体" w:cs="宋体"/>
          <w:spacing w:val="-26"/>
          <w:sz w:val="17"/>
          <w:szCs w:val="17"/>
        </w:rPr>
        <w:t xml:space="preserve"> </w:t>
      </w:r>
      <w:r>
        <w:rPr>
          <w:rFonts w:ascii="宋体" w:hAnsi="宋体" w:eastAsia="宋体" w:cs="宋体"/>
          <w:spacing w:val="-4"/>
          <w:sz w:val="17"/>
          <w:szCs w:val="17"/>
        </w:rPr>
        <w:t>握</w:t>
      </w:r>
      <w:r>
        <w:rPr>
          <w:rFonts w:ascii="宋体" w:hAnsi="宋体" w:eastAsia="宋体" w:cs="宋体"/>
          <w:spacing w:val="-26"/>
          <w:sz w:val="17"/>
          <w:szCs w:val="17"/>
        </w:rPr>
        <w:t xml:space="preserve"> </w:t>
      </w:r>
      <w:r>
        <w:rPr>
          <w:rFonts w:ascii="宋体" w:hAnsi="宋体" w:eastAsia="宋体" w:cs="宋体"/>
          <w:spacing w:val="-4"/>
          <w:sz w:val="17"/>
          <w:szCs w:val="17"/>
        </w:rPr>
        <w:t>)</w:t>
      </w:r>
      <w:r>
        <w:rPr>
          <w:rFonts w:ascii="宋体" w:hAnsi="宋体" w:eastAsia="宋体" w:cs="宋体"/>
          <w:spacing w:val="-34"/>
          <w:sz w:val="17"/>
          <w:szCs w:val="17"/>
        </w:rPr>
        <w:t xml:space="preserve"> </w:t>
      </w:r>
      <w:r>
        <w:rPr>
          <w:rFonts w:ascii="宋体" w:hAnsi="宋体" w:eastAsia="宋体" w:cs="宋体"/>
          <w:spacing w:val="-4"/>
          <w:sz w:val="17"/>
          <w:szCs w:val="17"/>
        </w:rPr>
        <w:t>、</w:t>
      </w:r>
      <w:r>
        <w:rPr>
          <w:rFonts w:ascii="Times New Roman" w:hAnsi="Times New Roman" w:eastAsia="Times New Roman" w:cs="Times New Roman"/>
          <w:spacing w:val="-4"/>
          <w:sz w:val="17"/>
          <w:szCs w:val="17"/>
        </w:rPr>
        <w:t>D</w:t>
      </w:r>
      <w:r>
        <w:rPr>
          <w:rFonts w:ascii="宋体" w:hAnsi="宋体" w:eastAsia="宋体" w:cs="宋体"/>
          <w:spacing w:val="-4"/>
          <w:sz w:val="17"/>
          <w:szCs w:val="17"/>
        </w:rPr>
        <w:t>(综合运用)。</w:t>
      </w:r>
    </w:p>
    <w:p w14:paraId="6A967256">
      <w:pPr>
        <w:spacing w:before="25" w:line="290" w:lineRule="auto"/>
        <w:ind w:right="375" w:firstLine="360"/>
        <w:rPr>
          <w:rFonts w:ascii="宋体" w:hAnsi="宋体" w:eastAsia="宋体" w:cs="宋体"/>
          <w:sz w:val="17"/>
          <w:szCs w:val="17"/>
        </w:rPr>
      </w:pPr>
      <w:r>
        <w:rPr>
          <w:rFonts w:ascii="Times New Roman" w:hAnsi="Times New Roman" w:eastAsia="Times New Roman" w:cs="Times New Roman"/>
          <w:spacing w:val="6"/>
          <w:sz w:val="17"/>
          <w:szCs w:val="17"/>
        </w:rPr>
        <w:t>A</w:t>
      </w:r>
      <w:r>
        <w:rPr>
          <w:rFonts w:ascii="宋体" w:hAnsi="宋体" w:eastAsia="宋体" w:cs="宋体"/>
          <w:spacing w:val="6"/>
          <w:sz w:val="17"/>
          <w:szCs w:val="17"/>
        </w:rPr>
        <w:t>(识记):指对知识的识别和记忆，正确的回忆、</w:t>
      </w:r>
      <w:r>
        <w:rPr>
          <w:rFonts w:ascii="宋体" w:hAnsi="宋体" w:eastAsia="宋体" w:cs="宋体"/>
          <w:spacing w:val="8"/>
          <w:sz w:val="17"/>
          <w:szCs w:val="17"/>
        </w:rPr>
        <w:t xml:space="preserve"> </w:t>
      </w:r>
      <w:r>
        <w:rPr>
          <w:rFonts w:ascii="宋体" w:hAnsi="宋体" w:eastAsia="宋体" w:cs="宋体"/>
          <w:spacing w:val="-1"/>
          <w:sz w:val="17"/>
          <w:szCs w:val="17"/>
        </w:rPr>
        <w:t>再认、再现学过的专业课知识，即在记忆水平上考</w:t>
      </w:r>
    </w:p>
    <w:p w14:paraId="588C08D2">
      <w:pPr>
        <w:spacing w:before="45" w:line="219" w:lineRule="auto"/>
        <w:ind w:left="360"/>
        <w:rPr>
          <w:rFonts w:ascii="宋体" w:hAnsi="宋体" w:eastAsia="宋体" w:cs="宋体"/>
          <w:sz w:val="17"/>
          <w:szCs w:val="17"/>
        </w:rPr>
      </w:pPr>
      <w:r>
        <w:rPr>
          <w:rFonts w:ascii="宋体" w:hAnsi="宋体" w:eastAsia="宋体" w:cs="宋体"/>
          <w:spacing w:val="-2"/>
          <w:sz w:val="17"/>
          <w:szCs w:val="17"/>
        </w:rPr>
        <w:t>核考生的学习结果。例如导游服务的概念。</w:t>
      </w:r>
    </w:p>
    <w:p w14:paraId="6A166F7F">
      <w:pPr>
        <w:spacing w:before="89" w:line="308" w:lineRule="auto"/>
        <w:ind w:right="202" w:firstLine="360"/>
        <w:rPr>
          <w:rFonts w:ascii="宋体" w:hAnsi="宋体" w:eastAsia="宋体" w:cs="宋体"/>
          <w:sz w:val="17"/>
          <w:szCs w:val="17"/>
        </w:rPr>
      </w:pPr>
      <w:r>
        <w:rPr>
          <w:rFonts w:ascii="Times New Roman" w:hAnsi="Times New Roman" w:eastAsia="Times New Roman" w:cs="Times New Roman"/>
          <w:spacing w:val="6"/>
          <w:sz w:val="17"/>
          <w:szCs w:val="17"/>
        </w:rPr>
        <w:t>B</w:t>
      </w:r>
      <w:r>
        <w:rPr>
          <w:rFonts w:ascii="宋体" w:hAnsi="宋体" w:eastAsia="宋体" w:cs="宋体"/>
          <w:spacing w:val="6"/>
          <w:sz w:val="17"/>
          <w:szCs w:val="17"/>
        </w:rPr>
        <w:t>(理解):指对知识进一步认识。除了包括“识记”</w:t>
      </w:r>
      <w:r>
        <w:rPr>
          <w:rFonts w:ascii="宋体" w:hAnsi="宋体" w:eastAsia="宋体" w:cs="宋体"/>
          <w:spacing w:val="13"/>
          <w:sz w:val="17"/>
          <w:szCs w:val="17"/>
        </w:rPr>
        <w:t xml:space="preserve"> </w:t>
      </w:r>
      <w:r>
        <w:rPr>
          <w:rFonts w:ascii="宋体" w:hAnsi="宋体" w:eastAsia="宋体" w:cs="宋体"/>
          <w:spacing w:val="2"/>
          <w:sz w:val="17"/>
          <w:szCs w:val="17"/>
        </w:rPr>
        <w:t>的要求外，还应了解所学知识的确切含义以及与其</w:t>
      </w:r>
      <w:r>
        <w:rPr>
          <w:rFonts w:ascii="宋体" w:hAnsi="宋体" w:eastAsia="宋体" w:cs="宋体"/>
          <w:spacing w:val="1"/>
          <w:sz w:val="17"/>
          <w:szCs w:val="17"/>
        </w:rPr>
        <w:t>相关</w:t>
      </w:r>
      <w:r>
        <w:rPr>
          <w:rFonts w:ascii="宋体" w:hAnsi="宋体" w:eastAsia="宋体" w:cs="宋体"/>
          <w:sz w:val="17"/>
          <w:szCs w:val="17"/>
        </w:rPr>
        <w:t xml:space="preserve">   </w:t>
      </w:r>
      <w:r>
        <w:rPr>
          <w:rFonts w:ascii="宋体" w:hAnsi="宋体" w:eastAsia="宋体" w:cs="宋体"/>
          <w:spacing w:val="2"/>
          <w:sz w:val="17"/>
          <w:szCs w:val="17"/>
        </w:rPr>
        <w:t>知识的内在联系，即要求考生能从实质上领会所学知识</w:t>
      </w:r>
      <w:r>
        <w:rPr>
          <w:rFonts w:ascii="宋体" w:hAnsi="宋体" w:eastAsia="宋体" w:cs="宋体"/>
          <w:sz w:val="17"/>
          <w:szCs w:val="17"/>
        </w:rPr>
        <w:t xml:space="preserve">   </w:t>
      </w:r>
      <w:r>
        <w:rPr>
          <w:rFonts w:ascii="宋体" w:hAnsi="宋体" w:eastAsia="宋体" w:cs="宋体"/>
          <w:spacing w:val="-1"/>
          <w:sz w:val="17"/>
          <w:szCs w:val="17"/>
        </w:rPr>
        <w:t>的含义，以及相关知识之间的内在联系。</w:t>
      </w:r>
    </w:p>
    <w:p w14:paraId="25EBD34F">
      <w:pPr>
        <w:pStyle w:val="2"/>
        <w:spacing w:line="14" w:lineRule="auto"/>
        <w:rPr>
          <w:sz w:val="2"/>
        </w:rPr>
      </w:pPr>
      <w:r>
        <w:rPr>
          <w:sz w:val="2"/>
          <w:szCs w:val="2"/>
        </w:rPr>
        <w:br w:type="column"/>
      </w:r>
    </w:p>
    <w:p w14:paraId="74AB5F28">
      <w:pPr>
        <w:spacing w:before="53" w:line="219" w:lineRule="auto"/>
        <w:ind w:left="370"/>
        <w:rPr>
          <w:rFonts w:ascii="宋体" w:hAnsi="宋体" w:eastAsia="宋体" w:cs="宋体"/>
          <w:sz w:val="17"/>
          <w:szCs w:val="17"/>
        </w:rPr>
      </w:pPr>
      <w:r>
        <w:rPr>
          <w:rFonts w:ascii="宋体" w:hAnsi="宋体" w:eastAsia="宋体" w:cs="宋体"/>
          <w:spacing w:val="-7"/>
          <w:sz w:val="17"/>
          <w:szCs w:val="17"/>
        </w:rPr>
        <w:t>例如导游带团服务过程中如何落实游客至上的原则?</w:t>
      </w:r>
    </w:p>
    <w:p w14:paraId="114BD2DD">
      <w:pPr>
        <w:spacing w:before="87" w:line="290" w:lineRule="auto"/>
        <w:ind w:right="31" w:firstLine="370"/>
        <w:rPr>
          <w:rFonts w:ascii="宋体" w:hAnsi="宋体" w:eastAsia="宋体" w:cs="宋体"/>
          <w:sz w:val="17"/>
          <w:szCs w:val="17"/>
        </w:rPr>
      </w:pPr>
      <w:r>
        <w:rPr>
          <w:rFonts w:ascii="Times New Roman" w:hAnsi="Times New Roman" w:eastAsia="Times New Roman" w:cs="Times New Roman"/>
          <w:spacing w:val="15"/>
          <w:sz w:val="17"/>
          <w:szCs w:val="17"/>
        </w:rPr>
        <w:t>C</w:t>
      </w:r>
      <w:r>
        <w:rPr>
          <w:rFonts w:ascii="宋体" w:hAnsi="宋体" w:eastAsia="宋体" w:cs="宋体"/>
          <w:spacing w:val="15"/>
          <w:sz w:val="17"/>
          <w:szCs w:val="17"/>
        </w:rPr>
        <w:t>(掌握):在理解的基础上，用所学过的理论知</w:t>
      </w:r>
      <w:r>
        <w:rPr>
          <w:rFonts w:ascii="宋体" w:hAnsi="宋体" w:eastAsia="宋体" w:cs="宋体"/>
          <w:spacing w:val="3"/>
          <w:sz w:val="17"/>
          <w:szCs w:val="17"/>
        </w:rPr>
        <w:t xml:space="preserve"> </w:t>
      </w:r>
      <w:r>
        <w:rPr>
          <w:rFonts w:ascii="宋体" w:hAnsi="宋体" w:eastAsia="宋体" w:cs="宋体"/>
          <w:spacing w:val="-1"/>
          <w:sz w:val="17"/>
          <w:szCs w:val="17"/>
        </w:rPr>
        <w:t>识及方法解决现实情况下出现的简单问题，即考核学</w:t>
      </w:r>
    </w:p>
    <w:p w14:paraId="5908DE17">
      <w:pPr>
        <w:spacing w:before="46" w:line="284" w:lineRule="auto"/>
        <w:ind w:left="19" w:right="36" w:firstLine="350"/>
        <w:rPr>
          <w:rFonts w:ascii="宋体" w:hAnsi="宋体" w:eastAsia="宋体" w:cs="宋体"/>
          <w:sz w:val="16"/>
          <w:szCs w:val="16"/>
        </w:rPr>
      </w:pPr>
      <w:r>
        <w:rPr>
          <w:rFonts w:ascii="宋体" w:hAnsi="宋体" w:eastAsia="宋体" w:cs="宋体"/>
          <w:spacing w:val="9"/>
          <w:sz w:val="17"/>
          <w:szCs w:val="17"/>
        </w:rPr>
        <w:t>生在现实情况中解决问题的初步能力。例如</w:t>
      </w:r>
      <w:r>
        <w:rPr>
          <w:rFonts w:ascii="宋体" w:hAnsi="宋体" w:eastAsia="宋体" w:cs="宋体"/>
          <w:spacing w:val="8"/>
          <w:sz w:val="17"/>
          <w:szCs w:val="17"/>
        </w:rPr>
        <w:t>填表</w:t>
      </w:r>
      <w:r>
        <w:rPr>
          <w:rFonts w:ascii="宋体" w:hAnsi="宋体" w:eastAsia="宋体" w:cs="宋体"/>
          <w:sz w:val="17"/>
          <w:szCs w:val="17"/>
        </w:rPr>
        <w:t xml:space="preserve"> </w:t>
      </w:r>
      <w:r>
        <w:rPr>
          <w:rFonts w:ascii="宋体" w:hAnsi="宋体" w:eastAsia="宋体" w:cs="宋体"/>
          <w:sz w:val="16"/>
          <w:szCs w:val="16"/>
        </w:rPr>
        <w:t>比较：</w:t>
      </w:r>
    </w:p>
    <w:tbl>
      <w:tblPr>
        <w:tblStyle w:val="5"/>
        <w:tblW w:w="4130" w:type="dxa"/>
        <w:tblInd w:w="1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023"/>
        <w:gridCol w:w="1027"/>
        <w:gridCol w:w="1018"/>
        <w:gridCol w:w="1062"/>
      </w:tblGrid>
      <w:tr w14:paraId="2C3ED7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1" w:hRule="atLeast"/>
        </w:trPr>
        <w:tc>
          <w:tcPr>
            <w:tcW w:w="1023" w:type="dxa"/>
            <w:tcBorders>
              <w:tl2br w:val="single" w:color="000000" w:sz="4" w:space="0"/>
            </w:tcBorders>
            <w:vAlign w:val="top"/>
          </w:tcPr>
          <w:p w14:paraId="5B84F1CE">
            <w:pPr>
              <w:pStyle w:val="6"/>
              <w:spacing w:before="19" w:line="217" w:lineRule="auto"/>
              <w:ind w:left="587"/>
            </w:pPr>
            <w:r>
              <w:rPr>
                <w:b/>
                <w:bCs/>
                <w:spacing w:val="-5"/>
              </w:rPr>
              <w:t>景区</w:t>
            </w:r>
          </w:p>
          <w:p w14:paraId="186A6BB6">
            <w:pPr>
              <w:pStyle w:val="6"/>
              <w:spacing w:line="219" w:lineRule="auto"/>
              <w:ind w:left="17"/>
            </w:pPr>
            <w:r>
              <w:rPr>
                <w:b/>
                <w:bCs/>
                <w:spacing w:val="-4"/>
              </w:rPr>
              <w:t>类别</w:t>
            </w:r>
          </w:p>
        </w:tc>
        <w:tc>
          <w:tcPr>
            <w:tcW w:w="1027" w:type="dxa"/>
            <w:vAlign w:val="top"/>
          </w:tcPr>
          <w:p w14:paraId="506C20CC">
            <w:pPr>
              <w:pStyle w:val="6"/>
              <w:spacing w:before="139" w:line="220" w:lineRule="auto"/>
              <w:ind w:left="254"/>
            </w:pPr>
            <w:r>
              <w:rPr>
                <w:b/>
                <w:bCs/>
                <w:spacing w:val="3"/>
              </w:rPr>
              <w:t>武夷山</w:t>
            </w:r>
          </w:p>
        </w:tc>
        <w:tc>
          <w:tcPr>
            <w:tcW w:w="1018" w:type="dxa"/>
            <w:vAlign w:val="top"/>
          </w:tcPr>
          <w:p w14:paraId="1FF9FDCE">
            <w:pPr>
              <w:pStyle w:val="6"/>
              <w:spacing w:before="139" w:line="219" w:lineRule="auto"/>
              <w:ind w:left="167"/>
            </w:pPr>
            <w:r>
              <w:rPr>
                <w:b/>
                <w:bCs/>
                <w:spacing w:val="-4"/>
              </w:rPr>
              <w:t>桂林山水</w:t>
            </w:r>
          </w:p>
        </w:tc>
        <w:tc>
          <w:tcPr>
            <w:tcW w:w="1062" w:type="dxa"/>
            <w:vAlign w:val="top"/>
          </w:tcPr>
          <w:p w14:paraId="7382747E">
            <w:pPr>
              <w:pStyle w:val="6"/>
              <w:spacing w:before="139" w:line="219" w:lineRule="auto"/>
              <w:ind w:left="19"/>
            </w:pPr>
            <w:r>
              <w:rPr>
                <w:b/>
                <w:bCs/>
                <w:spacing w:val="-3"/>
              </w:rPr>
              <w:t>武陵源风景区</w:t>
            </w:r>
          </w:p>
        </w:tc>
      </w:tr>
      <w:tr w14:paraId="206BC3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6" w:hRule="atLeast"/>
        </w:trPr>
        <w:tc>
          <w:tcPr>
            <w:tcW w:w="1023" w:type="dxa"/>
            <w:vAlign w:val="top"/>
          </w:tcPr>
          <w:p w14:paraId="6D338907">
            <w:pPr>
              <w:pStyle w:val="6"/>
              <w:spacing w:before="79" w:line="219" w:lineRule="auto"/>
              <w:ind w:left="165"/>
            </w:pPr>
            <w:r>
              <w:rPr>
                <w:spacing w:val="-2"/>
              </w:rPr>
              <w:t>地貌类型</w:t>
            </w:r>
          </w:p>
        </w:tc>
        <w:tc>
          <w:tcPr>
            <w:tcW w:w="1027" w:type="dxa"/>
            <w:vAlign w:val="top"/>
          </w:tcPr>
          <w:p w14:paraId="56468360">
            <w:pPr>
              <w:rPr>
                <w:rFonts w:ascii="Arial"/>
                <w:sz w:val="21"/>
              </w:rPr>
            </w:pPr>
          </w:p>
        </w:tc>
        <w:tc>
          <w:tcPr>
            <w:tcW w:w="1018" w:type="dxa"/>
            <w:vAlign w:val="top"/>
          </w:tcPr>
          <w:p w14:paraId="0110D05B">
            <w:pPr>
              <w:rPr>
                <w:rFonts w:ascii="Arial"/>
                <w:sz w:val="21"/>
              </w:rPr>
            </w:pPr>
          </w:p>
        </w:tc>
        <w:tc>
          <w:tcPr>
            <w:tcW w:w="1062" w:type="dxa"/>
            <w:vAlign w:val="top"/>
          </w:tcPr>
          <w:p w14:paraId="5B8BFC5A">
            <w:pPr>
              <w:rPr>
                <w:rFonts w:ascii="Arial"/>
                <w:sz w:val="21"/>
              </w:rPr>
            </w:pPr>
          </w:p>
        </w:tc>
      </w:tr>
      <w:tr w14:paraId="58F06C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2" w:hRule="atLeast"/>
        </w:trPr>
        <w:tc>
          <w:tcPr>
            <w:tcW w:w="1023" w:type="dxa"/>
            <w:vAlign w:val="top"/>
          </w:tcPr>
          <w:p w14:paraId="516745A5">
            <w:pPr>
              <w:pStyle w:val="6"/>
              <w:spacing w:before="83" w:line="219" w:lineRule="auto"/>
              <w:ind w:left="165"/>
            </w:pPr>
            <w:r>
              <w:rPr>
                <w:spacing w:val="3"/>
              </w:rPr>
              <w:t>地貌特点</w:t>
            </w:r>
          </w:p>
        </w:tc>
        <w:tc>
          <w:tcPr>
            <w:tcW w:w="1027" w:type="dxa"/>
            <w:vAlign w:val="top"/>
          </w:tcPr>
          <w:p w14:paraId="29B1FD75">
            <w:pPr>
              <w:rPr>
                <w:rFonts w:ascii="Arial"/>
                <w:sz w:val="21"/>
              </w:rPr>
            </w:pPr>
          </w:p>
        </w:tc>
        <w:tc>
          <w:tcPr>
            <w:tcW w:w="1018" w:type="dxa"/>
            <w:vAlign w:val="top"/>
          </w:tcPr>
          <w:p w14:paraId="68C7826B">
            <w:pPr>
              <w:rPr>
                <w:rFonts w:ascii="Arial"/>
                <w:sz w:val="21"/>
              </w:rPr>
            </w:pPr>
          </w:p>
        </w:tc>
        <w:tc>
          <w:tcPr>
            <w:tcW w:w="1062" w:type="dxa"/>
            <w:vAlign w:val="top"/>
          </w:tcPr>
          <w:p w14:paraId="1FBB0325">
            <w:pPr>
              <w:rPr>
                <w:rFonts w:ascii="Arial"/>
                <w:sz w:val="21"/>
              </w:rPr>
            </w:pPr>
          </w:p>
        </w:tc>
      </w:tr>
    </w:tbl>
    <w:p w14:paraId="42C6F4A4">
      <w:pPr>
        <w:spacing w:before="72" w:line="297" w:lineRule="auto"/>
        <w:ind w:right="34" w:firstLine="370"/>
        <w:jc w:val="both"/>
        <w:rPr>
          <w:rFonts w:ascii="宋体" w:hAnsi="宋体" w:eastAsia="宋体" w:cs="宋体"/>
          <w:sz w:val="17"/>
          <w:szCs w:val="17"/>
        </w:rPr>
      </w:pPr>
      <w:r>
        <w:rPr>
          <w:rFonts w:ascii="Times New Roman" w:hAnsi="Times New Roman" w:eastAsia="Times New Roman" w:cs="Times New Roman"/>
          <w:spacing w:val="14"/>
          <w:sz w:val="17"/>
          <w:szCs w:val="17"/>
        </w:rPr>
        <w:t>D</w:t>
      </w:r>
      <w:r>
        <w:rPr>
          <w:rFonts w:ascii="宋体" w:hAnsi="宋体" w:eastAsia="宋体" w:cs="宋体"/>
          <w:spacing w:val="14"/>
          <w:sz w:val="17"/>
          <w:szCs w:val="17"/>
        </w:rPr>
        <w:t>(综合应用):综合运用所学的专业课知识，去</w:t>
      </w:r>
      <w:r>
        <w:rPr>
          <w:rFonts w:ascii="宋体" w:hAnsi="宋体" w:eastAsia="宋体" w:cs="宋体"/>
          <w:spacing w:val="13"/>
          <w:sz w:val="17"/>
          <w:szCs w:val="17"/>
        </w:rPr>
        <w:t xml:space="preserve"> </w:t>
      </w:r>
      <w:r>
        <w:rPr>
          <w:rFonts w:ascii="宋体" w:hAnsi="宋体" w:eastAsia="宋体" w:cs="宋体"/>
          <w:spacing w:val="9"/>
          <w:sz w:val="17"/>
          <w:szCs w:val="17"/>
        </w:rPr>
        <w:t>分析、判断、解决现实情况中较复杂的问题，要求考</w:t>
      </w:r>
      <w:r>
        <w:rPr>
          <w:rFonts w:ascii="宋体" w:hAnsi="宋体" w:eastAsia="宋体" w:cs="宋体"/>
          <w:spacing w:val="8"/>
          <w:sz w:val="17"/>
          <w:szCs w:val="17"/>
        </w:rPr>
        <w:t xml:space="preserve"> </w:t>
      </w:r>
      <w:r>
        <w:rPr>
          <w:rFonts w:ascii="宋体" w:hAnsi="宋体" w:eastAsia="宋体" w:cs="宋体"/>
          <w:spacing w:val="-5"/>
          <w:sz w:val="17"/>
          <w:szCs w:val="17"/>
        </w:rPr>
        <w:t>生对知识有较强的综合运用能力。例如要求考生运用课本</w:t>
      </w:r>
      <w:r>
        <w:rPr>
          <w:rFonts w:ascii="宋体" w:hAnsi="宋体" w:eastAsia="宋体" w:cs="宋体"/>
          <w:spacing w:val="1"/>
          <w:sz w:val="17"/>
          <w:szCs w:val="17"/>
        </w:rPr>
        <w:t xml:space="preserve"> </w:t>
      </w:r>
      <w:r>
        <w:rPr>
          <w:rFonts w:ascii="宋体" w:hAnsi="宋体" w:eastAsia="宋体" w:cs="宋体"/>
          <w:spacing w:val="-7"/>
          <w:sz w:val="17"/>
          <w:szCs w:val="17"/>
        </w:rPr>
        <w:t>所学知识，谈谈安徽省旅游业发展可以采取哪些措施等。</w:t>
      </w:r>
    </w:p>
    <w:p w14:paraId="415E31B5">
      <w:pPr>
        <w:spacing w:before="43" w:line="221" w:lineRule="auto"/>
        <w:ind w:left="3"/>
        <w:rPr>
          <w:rFonts w:ascii="黑体" w:hAnsi="黑体" w:eastAsia="黑体" w:cs="黑体"/>
          <w:sz w:val="23"/>
          <w:szCs w:val="23"/>
        </w:rPr>
      </w:pPr>
      <w:r>
        <w:rPr>
          <w:rFonts w:ascii="黑体" w:hAnsi="黑体" w:eastAsia="黑体" w:cs="黑体"/>
          <w:b/>
          <w:bCs/>
          <w:spacing w:val="-9"/>
          <w:sz w:val="23"/>
          <w:szCs w:val="23"/>
        </w:rPr>
        <w:t>三、考试目标</w:t>
      </w:r>
    </w:p>
    <w:p w14:paraId="7B5768E9">
      <w:pPr>
        <w:pStyle w:val="2"/>
        <w:spacing w:line="427" w:lineRule="auto"/>
      </w:pPr>
    </w:p>
    <w:p w14:paraId="4A57FBCD">
      <w:pPr>
        <w:spacing w:before="56" w:line="219" w:lineRule="auto"/>
        <w:ind w:left="1192"/>
        <w:rPr>
          <w:rFonts w:ascii="宋体" w:hAnsi="宋体" w:eastAsia="宋体" w:cs="宋体"/>
          <w:sz w:val="17"/>
          <w:szCs w:val="17"/>
        </w:rPr>
      </w:pPr>
      <w:r>
        <w:rPr>
          <w:rFonts w:ascii="宋体" w:hAnsi="宋体" w:eastAsia="宋体" w:cs="宋体"/>
          <w:b/>
          <w:bCs/>
          <w:spacing w:val="-7"/>
          <w:sz w:val="17"/>
          <w:szCs w:val="17"/>
        </w:rPr>
        <w:t>第</w:t>
      </w:r>
      <w:r>
        <w:rPr>
          <w:rFonts w:ascii="宋体" w:hAnsi="宋体" w:eastAsia="宋体" w:cs="宋体"/>
          <w:spacing w:val="-27"/>
          <w:sz w:val="17"/>
          <w:szCs w:val="17"/>
        </w:rPr>
        <w:t xml:space="preserve"> </w:t>
      </w:r>
      <w:r>
        <w:rPr>
          <w:rFonts w:ascii="宋体" w:hAnsi="宋体" w:eastAsia="宋体" w:cs="宋体"/>
          <w:b/>
          <w:bCs/>
          <w:spacing w:val="-7"/>
          <w:sz w:val="17"/>
          <w:szCs w:val="17"/>
        </w:rPr>
        <w:t>一</w:t>
      </w:r>
      <w:r>
        <w:rPr>
          <w:rFonts w:ascii="宋体" w:hAnsi="宋体" w:eastAsia="宋体" w:cs="宋体"/>
          <w:spacing w:val="-35"/>
          <w:sz w:val="17"/>
          <w:szCs w:val="17"/>
        </w:rPr>
        <w:t xml:space="preserve"> </w:t>
      </w:r>
      <w:r>
        <w:rPr>
          <w:rFonts w:ascii="宋体" w:hAnsi="宋体" w:eastAsia="宋体" w:cs="宋体"/>
          <w:b/>
          <w:bCs/>
          <w:spacing w:val="-7"/>
          <w:sz w:val="17"/>
          <w:szCs w:val="17"/>
        </w:rPr>
        <w:t>部</w:t>
      </w:r>
      <w:r>
        <w:rPr>
          <w:rFonts w:ascii="宋体" w:hAnsi="宋体" w:eastAsia="宋体" w:cs="宋体"/>
          <w:spacing w:val="-34"/>
          <w:sz w:val="17"/>
          <w:szCs w:val="17"/>
        </w:rPr>
        <w:t xml:space="preserve"> </w:t>
      </w:r>
      <w:r>
        <w:rPr>
          <w:rFonts w:ascii="宋体" w:hAnsi="宋体" w:eastAsia="宋体" w:cs="宋体"/>
          <w:b/>
          <w:bCs/>
          <w:spacing w:val="-7"/>
          <w:sz w:val="17"/>
          <w:szCs w:val="17"/>
        </w:rPr>
        <w:t>分</w:t>
      </w:r>
      <w:r>
        <w:rPr>
          <w:rFonts w:ascii="宋体" w:hAnsi="宋体" w:eastAsia="宋体" w:cs="宋体"/>
          <w:spacing w:val="-7"/>
          <w:sz w:val="17"/>
          <w:szCs w:val="17"/>
        </w:rPr>
        <w:t xml:space="preserve">  </w:t>
      </w:r>
      <w:r>
        <w:rPr>
          <w:rFonts w:ascii="宋体" w:hAnsi="宋体" w:eastAsia="宋体" w:cs="宋体"/>
          <w:b/>
          <w:bCs/>
          <w:spacing w:val="-7"/>
          <w:sz w:val="17"/>
          <w:szCs w:val="17"/>
        </w:rPr>
        <w:t>旅</w:t>
      </w:r>
      <w:r>
        <w:rPr>
          <w:rFonts w:ascii="宋体" w:hAnsi="宋体" w:eastAsia="宋体" w:cs="宋体"/>
          <w:spacing w:val="-37"/>
          <w:sz w:val="17"/>
          <w:szCs w:val="17"/>
        </w:rPr>
        <w:t xml:space="preserve"> </w:t>
      </w:r>
      <w:r>
        <w:rPr>
          <w:rFonts w:ascii="宋体" w:hAnsi="宋体" w:eastAsia="宋体" w:cs="宋体"/>
          <w:b/>
          <w:bCs/>
          <w:spacing w:val="-7"/>
          <w:sz w:val="17"/>
          <w:szCs w:val="17"/>
        </w:rPr>
        <w:t>游</w:t>
      </w:r>
      <w:r>
        <w:rPr>
          <w:rFonts w:ascii="宋体" w:hAnsi="宋体" w:eastAsia="宋体" w:cs="宋体"/>
          <w:spacing w:val="-37"/>
          <w:sz w:val="17"/>
          <w:szCs w:val="17"/>
        </w:rPr>
        <w:t xml:space="preserve"> </w:t>
      </w:r>
      <w:r>
        <w:rPr>
          <w:rFonts w:ascii="宋体" w:hAnsi="宋体" w:eastAsia="宋体" w:cs="宋体"/>
          <w:b/>
          <w:bCs/>
          <w:spacing w:val="-7"/>
          <w:sz w:val="17"/>
          <w:szCs w:val="17"/>
        </w:rPr>
        <w:t>概</w:t>
      </w:r>
      <w:r>
        <w:rPr>
          <w:rFonts w:ascii="宋体" w:hAnsi="宋体" w:eastAsia="宋体" w:cs="宋体"/>
          <w:spacing w:val="-35"/>
          <w:sz w:val="17"/>
          <w:szCs w:val="17"/>
        </w:rPr>
        <w:t xml:space="preserve"> </w:t>
      </w:r>
      <w:r>
        <w:rPr>
          <w:rFonts w:ascii="宋体" w:hAnsi="宋体" w:eastAsia="宋体" w:cs="宋体"/>
          <w:b/>
          <w:bCs/>
          <w:spacing w:val="-7"/>
          <w:sz w:val="17"/>
          <w:szCs w:val="17"/>
        </w:rPr>
        <w:t>论</w:t>
      </w:r>
    </w:p>
    <w:p w14:paraId="7235D839">
      <w:pPr>
        <w:pStyle w:val="2"/>
        <w:spacing w:line="292" w:lineRule="auto"/>
      </w:pPr>
    </w:p>
    <w:p w14:paraId="366D05D4">
      <w:pPr>
        <w:spacing w:before="65" w:line="219" w:lineRule="auto"/>
        <w:ind w:left="492"/>
        <w:rPr>
          <w:rFonts w:ascii="宋体" w:hAnsi="宋体" w:eastAsia="宋体" w:cs="宋体"/>
          <w:sz w:val="20"/>
          <w:szCs w:val="20"/>
        </w:rPr>
      </w:pPr>
      <w:r>
        <w:rPr>
          <w:rFonts w:ascii="宋体" w:hAnsi="宋体" w:eastAsia="宋体" w:cs="宋体"/>
          <w:b/>
          <w:bCs/>
          <w:spacing w:val="-3"/>
          <w:sz w:val="20"/>
          <w:szCs w:val="20"/>
        </w:rPr>
        <w:t>第一单元</w:t>
      </w:r>
      <w:r>
        <w:rPr>
          <w:rFonts w:ascii="宋体" w:hAnsi="宋体" w:eastAsia="宋体" w:cs="宋体"/>
          <w:spacing w:val="-3"/>
          <w:sz w:val="20"/>
          <w:szCs w:val="20"/>
        </w:rPr>
        <w:t xml:space="preserve"> </w:t>
      </w:r>
      <w:r>
        <w:rPr>
          <w:rFonts w:ascii="宋体" w:hAnsi="宋体" w:eastAsia="宋体" w:cs="宋体"/>
          <w:b/>
          <w:bCs/>
          <w:spacing w:val="-3"/>
          <w:sz w:val="20"/>
          <w:szCs w:val="20"/>
        </w:rPr>
        <w:t>什么是旅游——旅游概述</w:t>
      </w:r>
    </w:p>
    <w:p w14:paraId="5223D289">
      <w:pPr>
        <w:spacing w:line="137" w:lineRule="auto"/>
        <w:rPr>
          <w:rFonts w:ascii="Arial"/>
          <w:sz w:val="2"/>
        </w:rPr>
      </w:pPr>
    </w:p>
    <w:tbl>
      <w:tblPr>
        <w:tblStyle w:val="5"/>
        <w:tblW w:w="4119" w:type="dxa"/>
        <w:tblInd w:w="1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83"/>
        <w:gridCol w:w="2324"/>
        <w:gridCol w:w="220"/>
        <w:gridCol w:w="229"/>
        <w:gridCol w:w="229"/>
        <w:gridCol w:w="234"/>
      </w:tblGrid>
      <w:tr w14:paraId="7533FC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4" w:hRule="atLeast"/>
        </w:trPr>
        <w:tc>
          <w:tcPr>
            <w:tcW w:w="883" w:type="dxa"/>
            <w:vMerge w:val="restart"/>
            <w:tcBorders>
              <w:bottom w:val="nil"/>
            </w:tcBorders>
            <w:vAlign w:val="top"/>
          </w:tcPr>
          <w:p w14:paraId="47DE9C27">
            <w:pPr>
              <w:pStyle w:val="6"/>
              <w:spacing w:before="130" w:line="226" w:lineRule="auto"/>
              <w:ind w:left="266" w:right="25" w:hanging="259"/>
            </w:pPr>
            <w:r>
              <w:rPr>
                <w:b/>
                <w:bCs/>
                <w:spacing w:val="-4"/>
              </w:rPr>
              <w:t>知识与技能</w:t>
            </w:r>
            <w:r>
              <w:t xml:space="preserve"> </w:t>
            </w:r>
            <w:r>
              <w:rPr>
                <w:b/>
                <w:bCs/>
                <w:spacing w:val="-4"/>
              </w:rPr>
              <w:t>要点</w:t>
            </w:r>
          </w:p>
        </w:tc>
        <w:tc>
          <w:tcPr>
            <w:tcW w:w="2324" w:type="dxa"/>
            <w:vMerge w:val="restart"/>
            <w:tcBorders>
              <w:bottom w:val="nil"/>
            </w:tcBorders>
            <w:vAlign w:val="top"/>
          </w:tcPr>
          <w:p w14:paraId="50A1AE77">
            <w:pPr>
              <w:pStyle w:val="6"/>
              <w:spacing w:before="239" w:line="219" w:lineRule="auto"/>
              <w:ind w:left="844"/>
            </w:pPr>
            <w:r>
              <w:rPr>
                <w:b/>
                <w:bCs/>
                <w:spacing w:val="5"/>
              </w:rPr>
              <w:t>考试条目</w:t>
            </w:r>
          </w:p>
        </w:tc>
        <w:tc>
          <w:tcPr>
            <w:tcW w:w="912" w:type="dxa"/>
            <w:gridSpan w:val="4"/>
            <w:vAlign w:val="top"/>
          </w:tcPr>
          <w:p w14:paraId="16C4C549">
            <w:pPr>
              <w:pStyle w:val="6"/>
              <w:spacing w:before="79" w:line="219" w:lineRule="auto"/>
              <w:ind w:left="150"/>
            </w:pPr>
            <w:r>
              <w:rPr>
                <w:b/>
                <w:bCs/>
                <w:spacing w:val="-4"/>
              </w:rPr>
              <w:t>考试水平</w:t>
            </w:r>
          </w:p>
        </w:tc>
      </w:tr>
      <w:tr w14:paraId="181DC7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883" w:type="dxa"/>
            <w:vMerge w:val="continue"/>
            <w:tcBorders>
              <w:top w:val="nil"/>
            </w:tcBorders>
            <w:vAlign w:val="top"/>
          </w:tcPr>
          <w:p w14:paraId="2EF5D532">
            <w:pPr>
              <w:rPr>
                <w:rFonts w:ascii="Arial"/>
                <w:sz w:val="21"/>
              </w:rPr>
            </w:pPr>
          </w:p>
        </w:tc>
        <w:tc>
          <w:tcPr>
            <w:tcW w:w="2324" w:type="dxa"/>
            <w:vMerge w:val="continue"/>
            <w:tcBorders>
              <w:top w:val="nil"/>
            </w:tcBorders>
            <w:vAlign w:val="top"/>
          </w:tcPr>
          <w:p w14:paraId="6326D85A">
            <w:pPr>
              <w:rPr>
                <w:rFonts w:ascii="Arial"/>
                <w:sz w:val="21"/>
              </w:rPr>
            </w:pPr>
          </w:p>
        </w:tc>
        <w:tc>
          <w:tcPr>
            <w:tcW w:w="220" w:type="dxa"/>
            <w:vAlign w:val="top"/>
          </w:tcPr>
          <w:p w14:paraId="3F1B4499">
            <w:pPr>
              <w:pStyle w:val="6"/>
              <w:spacing w:before="120" w:line="184" w:lineRule="auto"/>
              <w:ind w:left="60"/>
            </w:pPr>
            <w:r>
              <w:rPr>
                <w:b/>
                <w:bCs/>
                <w:spacing w:val="-2"/>
              </w:rPr>
              <w:t>A</w:t>
            </w:r>
          </w:p>
        </w:tc>
        <w:tc>
          <w:tcPr>
            <w:tcW w:w="229" w:type="dxa"/>
            <w:vAlign w:val="top"/>
          </w:tcPr>
          <w:p w14:paraId="75619BFB">
            <w:pPr>
              <w:pStyle w:val="6"/>
              <w:spacing w:before="122" w:line="182" w:lineRule="auto"/>
              <w:ind w:left="30"/>
            </w:pPr>
            <w:r>
              <w:rPr>
                <w:b/>
                <w:bCs/>
                <w:spacing w:val="-2"/>
              </w:rPr>
              <w:t>B</w:t>
            </w:r>
          </w:p>
        </w:tc>
        <w:tc>
          <w:tcPr>
            <w:tcW w:w="229" w:type="dxa"/>
            <w:vAlign w:val="top"/>
          </w:tcPr>
          <w:p w14:paraId="79222DC6">
            <w:pPr>
              <w:pStyle w:val="6"/>
              <w:spacing w:before="120" w:line="183" w:lineRule="auto"/>
              <w:ind w:left="21"/>
            </w:pPr>
            <w:r>
              <w:rPr>
                <w:b/>
                <w:bCs/>
                <w:spacing w:val="-2"/>
              </w:rPr>
              <w:t>C</w:t>
            </w:r>
          </w:p>
        </w:tc>
        <w:tc>
          <w:tcPr>
            <w:tcW w:w="234" w:type="dxa"/>
            <w:vAlign w:val="top"/>
          </w:tcPr>
          <w:p w14:paraId="4EFCF101">
            <w:pPr>
              <w:pStyle w:val="6"/>
              <w:spacing w:before="122" w:line="182" w:lineRule="auto"/>
              <w:ind w:left="22"/>
            </w:pPr>
            <w:r>
              <w:rPr>
                <w:b/>
                <w:bCs/>
                <w:spacing w:val="-2"/>
              </w:rPr>
              <w:t>D</w:t>
            </w:r>
          </w:p>
        </w:tc>
      </w:tr>
      <w:tr w14:paraId="57F01D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883" w:type="dxa"/>
            <w:vAlign w:val="top"/>
          </w:tcPr>
          <w:p w14:paraId="443DADEF">
            <w:pPr>
              <w:pStyle w:val="6"/>
              <w:spacing w:before="39" w:line="220" w:lineRule="auto"/>
              <w:ind w:left="175"/>
            </w:pPr>
            <w:r>
              <w:rPr>
                <w:spacing w:val="-2"/>
              </w:rPr>
              <w:t>旅游的</w:t>
            </w:r>
          </w:p>
          <w:p w14:paraId="225F26C3">
            <w:pPr>
              <w:pStyle w:val="6"/>
              <w:spacing w:before="16" w:line="196" w:lineRule="auto"/>
              <w:ind w:left="265"/>
            </w:pPr>
            <w:r>
              <w:rPr>
                <w:spacing w:val="-2"/>
              </w:rPr>
              <w:t>产生</w:t>
            </w:r>
          </w:p>
        </w:tc>
        <w:tc>
          <w:tcPr>
            <w:tcW w:w="2324" w:type="dxa"/>
            <w:vAlign w:val="top"/>
          </w:tcPr>
          <w:p w14:paraId="30BF0C68">
            <w:pPr>
              <w:pStyle w:val="6"/>
              <w:spacing w:before="139" w:line="219" w:lineRule="auto"/>
              <w:ind w:left="12"/>
            </w:pPr>
            <w:r>
              <w:rPr>
                <w:spacing w:val="-1"/>
              </w:rPr>
              <w:t>旅游的产生</w:t>
            </w:r>
          </w:p>
        </w:tc>
        <w:tc>
          <w:tcPr>
            <w:tcW w:w="220" w:type="dxa"/>
            <w:vAlign w:val="top"/>
          </w:tcPr>
          <w:p w14:paraId="53A0E56C">
            <w:pPr>
              <w:pStyle w:val="6"/>
              <w:spacing w:before="156" w:line="238" w:lineRule="auto"/>
              <w:ind w:left="17"/>
            </w:pPr>
            <w:r>
              <w:t>√</w:t>
            </w:r>
          </w:p>
        </w:tc>
        <w:tc>
          <w:tcPr>
            <w:tcW w:w="229" w:type="dxa"/>
            <w:vAlign w:val="top"/>
          </w:tcPr>
          <w:p w14:paraId="078C9B3C">
            <w:pPr>
              <w:rPr>
                <w:rFonts w:ascii="Arial"/>
                <w:sz w:val="21"/>
              </w:rPr>
            </w:pPr>
          </w:p>
        </w:tc>
        <w:tc>
          <w:tcPr>
            <w:tcW w:w="229" w:type="dxa"/>
            <w:vAlign w:val="top"/>
          </w:tcPr>
          <w:p w14:paraId="13ACB6CD">
            <w:pPr>
              <w:rPr>
                <w:rFonts w:ascii="Arial"/>
                <w:sz w:val="21"/>
              </w:rPr>
            </w:pPr>
          </w:p>
        </w:tc>
        <w:tc>
          <w:tcPr>
            <w:tcW w:w="234" w:type="dxa"/>
            <w:vAlign w:val="top"/>
          </w:tcPr>
          <w:p w14:paraId="733066B5">
            <w:pPr>
              <w:rPr>
                <w:rFonts w:ascii="Arial"/>
                <w:sz w:val="21"/>
              </w:rPr>
            </w:pPr>
          </w:p>
        </w:tc>
      </w:tr>
      <w:tr w14:paraId="291F81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8" w:hRule="atLeast"/>
        </w:trPr>
        <w:tc>
          <w:tcPr>
            <w:tcW w:w="883" w:type="dxa"/>
            <w:vAlign w:val="top"/>
          </w:tcPr>
          <w:p w14:paraId="33F763DD">
            <w:pPr>
              <w:pStyle w:val="6"/>
              <w:spacing w:before="120" w:line="220" w:lineRule="auto"/>
              <w:ind w:left="175"/>
            </w:pPr>
            <w:r>
              <w:rPr>
                <w:spacing w:val="-2"/>
              </w:rPr>
              <w:t>旅游的</w:t>
            </w:r>
          </w:p>
          <w:p w14:paraId="0D6AD3DC">
            <w:pPr>
              <w:pStyle w:val="6"/>
              <w:spacing w:before="17" w:line="220" w:lineRule="auto"/>
              <w:ind w:left="265"/>
            </w:pPr>
            <w:r>
              <w:rPr>
                <w:spacing w:val="-3"/>
              </w:rPr>
              <w:t>定义</w:t>
            </w:r>
          </w:p>
        </w:tc>
        <w:tc>
          <w:tcPr>
            <w:tcW w:w="2324" w:type="dxa"/>
            <w:vAlign w:val="top"/>
          </w:tcPr>
          <w:p w14:paraId="6DEBE824">
            <w:pPr>
              <w:pStyle w:val="6"/>
              <w:spacing w:before="130" w:line="220" w:lineRule="auto"/>
              <w:ind w:left="12"/>
            </w:pPr>
            <w:r>
              <w:rPr>
                <w:spacing w:val="1"/>
              </w:rPr>
              <w:t>1.旅游的定义</w:t>
            </w:r>
          </w:p>
          <w:p w14:paraId="10CEEE0F">
            <w:pPr>
              <w:pStyle w:val="6"/>
              <w:spacing w:before="5" w:line="219" w:lineRule="auto"/>
              <w:ind w:left="12"/>
            </w:pPr>
            <w:r>
              <w:rPr>
                <w:spacing w:val="1"/>
              </w:rPr>
              <w:t>2.旅游与旅行的根本区别</w:t>
            </w:r>
          </w:p>
        </w:tc>
        <w:tc>
          <w:tcPr>
            <w:tcW w:w="220" w:type="dxa"/>
            <w:vAlign w:val="top"/>
          </w:tcPr>
          <w:p w14:paraId="7F1D13D5">
            <w:pPr>
              <w:pStyle w:val="6"/>
              <w:spacing w:before="137" w:line="238" w:lineRule="auto"/>
              <w:ind w:left="17"/>
            </w:pPr>
            <w:r>
              <w:t>√</w:t>
            </w:r>
          </w:p>
        </w:tc>
        <w:tc>
          <w:tcPr>
            <w:tcW w:w="229" w:type="dxa"/>
            <w:vAlign w:val="top"/>
          </w:tcPr>
          <w:p w14:paraId="6CE3CF2D">
            <w:pPr>
              <w:rPr>
                <w:rFonts w:ascii="Arial"/>
                <w:sz w:val="21"/>
              </w:rPr>
            </w:pPr>
          </w:p>
        </w:tc>
        <w:tc>
          <w:tcPr>
            <w:tcW w:w="229" w:type="dxa"/>
            <w:vAlign w:val="top"/>
          </w:tcPr>
          <w:p w14:paraId="14F83860">
            <w:pPr>
              <w:spacing w:line="290" w:lineRule="auto"/>
              <w:rPr>
                <w:rFonts w:ascii="Arial"/>
                <w:sz w:val="21"/>
              </w:rPr>
            </w:pPr>
          </w:p>
          <w:p w14:paraId="6C215CFC">
            <w:pPr>
              <w:pStyle w:val="6"/>
              <w:spacing w:before="55" w:line="238" w:lineRule="auto"/>
              <w:ind w:left="29"/>
            </w:pPr>
            <w:r>
              <w:t>√</w:t>
            </w:r>
          </w:p>
        </w:tc>
        <w:tc>
          <w:tcPr>
            <w:tcW w:w="234" w:type="dxa"/>
            <w:vAlign w:val="top"/>
          </w:tcPr>
          <w:p w14:paraId="61ECB0FC">
            <w:pPr>
              <w:rPr>
                <w:rFonts w:ascii="Arial"/>
                <w:sz w:val="21"/>
              </w:rPr>
            </w:pPr>
          </w:p>
        </w:tc>
      </w:tr>
      <w:tr w14:paraId="41CB12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48" w:hRule="atLeast"/>
        </w:trPr>
        <w:tc>
          <w:tcPr>
            <w:tcW w:w="883" w:type="dxa"/>
            <w:vAlign w:val="top"/>
          </w:tcPr>
          <w:p w14:paraId="1D8E6C87">
            <w:pPr>
              <w:pStyle w:val="6"/>
              <w:spacing w:before="281" w:line="249" w:lineRule="auto"/>
              <w:ind w:left="174" w:right="103" w:hanging="80"/>
            </w:pPr>
            <w:r>
              <w:rPr>
                <w:spacing w:val="-2"/>
              </w:rPr>
              <w:t>旅游的本</w:t>
            </w:r>
            <w:r>
              <w:rPr>
                <w:spacing w:val="1"/>
              </w:rPr>
              <w:t xml:space="preserve"> </w:t>
            </w:r>
            <w:r>
              <w:rPr>
                <w:spacing w:val="-2"/>
              </w:rPr>
              <w:t>质属性</w:t>
            </w:r>
          </w:p>
        </w:tc>
        <w:tc>
          <w:tcPr>
            <w:tcW w:w="2324" w:type="dxa"/>
            <w:vAlign w:val="top"/>
          </w:tcPr>
          <w:p w14:paraId="7156E367">
            <w:pPr>
              <w:pStyle w:val="6"/>
              <w:spacing w:before="79" w:line="233" w:lineRule="auto"/>
              <w:ind w:left="12" w:right="1445"/>
              <w:jc w:val="both"/>
            </w:pPr>
            <w:r>
              <w:rPr>
                <w:spacing w:val="1"/>
              </w:rPr>
              <w:t>1.社会属性</w:t>
            </w:r>
            <w:r>
              <w:t xml:space="preserve"> </w:t>
            </w:r>
            <w:r>
              <w:rPr>
                <w:spacing w:val="-2"/>
              </w:rPr>
              <w:t>2.文化属性</w:t>
            </w:r>
            <w:r>
              <w:rPr>
                <w:spacing w:val="2"/>
              </w:rPr>
              <w:t xml:space="preserve"> </w:t>
            </w:r>
            <w:r>
              <w:rPr>
                <w:spacing w:val="-2"/>
              </w:rPr>
              <w:t>3.经济属性</w:t>
            </w:r>
            <w:r>
              <w:t xml:space="preserve"> </w:t>
            </w:r>
            <w:r>
              <w:rPr>
                <w:spacing w:val="-1"/>
              </w:rPr>
              <w:t>4.消费属性</w:t>
            </w:r>
          </w:p>
        </w:tc>
        <w:tc>
          <w:tcPr>
            <w:tcW w:w="220" w:type="dxa"/>
            <w:vAlign w:val="top"/>
          </w:tcPr>
          <w:p w14:paraId="1C074C7D">
            <w:pPr>
              <w:rPr>
                <w:rFonts w:ascii="Arial"/>
                <w:sz w:val="21"/>
              </w:rPr>
            </w:pPr>
          </w:p>
        </w:tc>
        <w:tc>
          <w:tcPr>
            <w:tcW w:w="229" w:type="dxa"/>
            <w:vAlign w:val="top"/>
          </w:tcPr>
          <w:p w14:paraId="4AEA78C0">
            <w:pPr>
              <w:rPr>
                <w:rFonts w:ascii="Arial"/>
                <w:sz w:val="21"/>
              </w:rPr>
            </w:pPr>
          </w:p>
        </w:tc>
        <w:tc>
          <w:tcPr>
            <w:tcW w:w="229" w:type="dxa"/>
            <w:vAlign w:val="top"/>
          </w:tcPr>
          <w:p w14:paraId="2A219648">
            <w:pPr>
              <w:rPr>
                <w:rFonts w:ascii="Arial"/>
                <w:sz w:val="21"/>
              </w:rPr>
            </w:pPr>
          </w:p>
        </w:tc>
        <w:tc>
          <w:tcPr>
            <w:tcW w:w="234" w:type="dxa"/>
            <w:vAlign w:val="top"/>
          </w:tcPr>
          <w:p w14:paraId="7183B639">
            <w:pPr>
              <w:spacing w:before="110" w:line="757" w:lineRule="exact"/>
              <w:ind w:firstLine="44"/>
            </w:pPr>
            <w:r>
              <w:rPr>
                <w:position w:val="-15"/>
              </w:rPr>
              <w:drawing>
                <wp:inline distT="0" distB="0" distL="0" distR="0">
                  <wp:extent cx="93980" cy="480060"/>
                  <wp:effectExtent l="0" t="0" r="0" b="0"/>
                  <wp:docPr id="236" name="IM 236"/>
                  <wp:cNvGraphicFramePr/>
                  <a:graphic xmlns:a="http://schemas.openxmlformats.org/drawingml/2006/main">
                    <a:graphicData uri="http://schemas.openxmlformats.org/drawingml/2006/picture">
                      <pic:pic xmlns:pic="http://schemas.openxmlformats.org/drawingml/2006/picture">
                        <pic:nvPicPr>
                          <pic:cNvPr id="236" name="IM 236"/>
                          <pic:cNvPicPr/>
                        </pic:nvPicPr>
                        <pic:blipFill>
                          <a:blip r:embed="rId283"/>
                          <a:stretch>
                            <a:fillRect/>
                          </a:stretch>
                        </pic:blipFill>
                        <pic:spPr>
                          <a:xfrm>
                            <a:off x="0" y="0"/>
                            <a:ext cx="94341" cy="480488"/>
                          </a:xfrm>
                          <a:prstGeom prst="rect">
                            <a:avLst/>
                          </a:prstGeom>
                        </pic:spPr>
                      </pic:pic>
                    </a:graphicData>
                  </a:graphic>
                </wp:inline>
              </w:drawing>
            </w:r>
          </w:p>
        </w:tc>
      </w:tr>
      <w:tr w14:paraId="0224B0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9" w:hRule="atLeast"/>
        </w:trPr>
        <w:tc>
          <w:tcPr>
            <w:tcW w:w="883" w:type="dxa"/>
            <w:vAlign w:val="top"/>
          </w:tcPr>
          <w:p w14:paraId="04A2DC3D">
            <w:pPr>
              <w:pStyle w:val="6"/>
              <w:spacing w:before="84" w:line="236" w:lineRule="auto"/>
              <w:ind w:left="94" w:right="86"/>
            </w:pPr>
            <w:r>
              <w:rPr>
                <w:spacing w:val="-2"/>
              </w:rPr>
              <w:t>旅游的特</w:t>
            </w:r>
            <w:r>
              <w:rPr>
                <w:spacing w:val="1"/>
              </w:rPr>
              <w:t xml:space="preserve"> </w:t>
            </w:r>
            <w:r>
              <w:rPr>
                <w:spacing w:val="2"/>
              </w:rPr>
              <w:t>点及类型</w:t>
            </w:r>
          </w:p>
        </w:tc>
        <w:tc>
          <w:tcPr>
            <w:tcW w:w="2324" w:type="dxa"/>
            <w:vAlign w:val="top"/>
          </w:tcPr>
          <w:p w14:paraId="1AB1359F">
            <w:pPr>
              <w:pStyle w:val="6"/>
              <w:spacing w:before="103" w:line="224" w:lineRule="auto"/>
              <w:ind w:left="12" w:right="1266"/>
            </w:pPr>
            <w:r>
              <w:rPr>
                <w:spacing w:val="2"/>
              </w:rPr>
              <w:t>1.旅游的特点</w:t>
            </w:r>
            <w:r>
              <w:t xml:space="preserve"> </w:t>
            </w:r>
            <w:r>
              <w:rPr>
                <w:spacing w:val="-2"/>
              </w:rPr>
              <w:t>2.旅游的类型</w:t>
            </w:r>
          </w:p>
        </w:tc>
        <w:tc>
          <w:tcPr>
            <w:tcW w:w="220" w:type="dxa"/>
            <w:vAlign w:val="top"/>
          </w:tcPr>
          <w:p w14:paraId="7B6C4FE3">
            <w:pPr>
              <w:rPr>
                <w:rFonts w:ascii="Arial"/>
                <w:sz w:val="21"/>
              </w:rPr>
            </w:pPr>
          </w:p>
        </w:tc>
        <w:tc>
          <w:tcPr>
            <w:tcW w:w="229" w:type="dxa"/>
            <w:vAlign w:val="top"/>
          </w:tcPr>
          <w:p w14:paraId="6308FBDF">
            <w:pPr>
              <w:rPr>
                <w:rFonts w:ascii="Arial"/>
                <w:sz w:val="21"/>
              </w:rPr>
            </w:pPr>
          </w:p>
        </w:tc>
        <w:tc>
          <w:tcPr>
            <w:tcW w:w="229" w:type="dxa"/>
            <w:vAlign w:val="top"/>
          </w:tcPr>
          <w:p w14:paraId="202F6B44">
            <w:pPr>
              <w:spacing w:line="244" w:lineRule="auto"/>
              <w:rPr>
                <w:rFonts w:ascii="Arial"/>
                <w:sz w:val="21"/>
              </w:rPr>
            </w:pPr>
          </w:p>
          <w:p w14:paraId="49F8F0A0">
            <w:pPr>
              <w:pStyle w:val="6"/>
              <w:spacing w:before="55" w:line="238" w:lineRule="auto"/>
              <w:ind w:left="29"/>
            </w:pPr>
            <w:r>
              <w:t>√</w:t>
            </w:r>
          </w:p>
        </w:tc>
        <w:tc>
          <w:tcPr>
            <w:tcW w:w="234" w:type="dxa"/>
            <w:vAlign w:val="top"/>
          </w:tcPr>
          <w:p w14:paraId="23B9BF0D">
            <w:pPr>
              <w:rPr>
                <w:rFonts w:ascii="Arial"/>
                <w:sz w:val="21"/>
              </w:rPr>
            </w:pPr>
          </w:p>
        </w:tc>
      </w:tr>
      <w:tr w14:paraId="320CF7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3" w:hRule="atLeast"/>
        </w:trPr>
        <w:tc>
          <w:tcPr>
            <w:tcW w:w="883" w:type="dxa"/>
            <w:vAlign w:val="top"/>
          </w:tcPr>
          <w:p w14:paraId="40C7FB44">
            <w:pPr>
              <w:pStyle w:val="6"/>
              <w:spacing w:before="235" w:line="220" w:lineRule="auto"/>
              <w:ind w:left="94"/>
            </w:pPr>
            <w:r>
              <w:rPr>
                <w:spacing w:val="-2"/>
              </w:rPr>
              <w:t>旅游组织</w:t>
            </w:r>
          </w:p>
        </w:tc>
        <w:tc>
          <w:tcPr>
            <w:tcW w:w="2324" w:type="dxa"/>
            <w:vAlign w:val="top"/>
          </w:tcPr>
          <w:p w14:paraId="0EC6545C">
            <w:pPr>
              <w:pStyle w:val="6"/>
              <w:spacing w:before="136" w:line="229" w:lineRule="auto"/>
              <w:ind w:left="12" w:right="762"/>
            </w:pPr>
            <w:r>
              <w:t>1.国际性的旅游组织</w:t>
            </w:r>
            <w:r>
              <w:rPr>
                <w:spacing w:val="8"/>
              </w:rPr>
              <w:t xml:space="preserve"> </w:t>
            </w:r>
            <w:r>
              <w:rPr>
                <w:spacing w:val="-1"/>
              </w:rPr>
              <w:t>2.我国的旅游组织</w:t>
            </w:r>
          </w:p>
        </w:tc>
        <w:tc>
          <w:tcPr>
            <w:tcW w:w="220" w:type="dxa"/>
            <w:textDirection w:val="btLr"/>
            <w:vAlign w:val="top"/>
          </w:tcPr>
          <w:p w14:paraId="111007E8">
            <w:pPr>
              <w:pStyle w:val="6"/>
              <w:spacing w:before="34" w:line="202" w:lineRule="auto"/>
              <w:ind w:left="125"/>
            </w:pPr>
            <w:r>
              <w:rPr>
                <w:spacing w:val="-3"/>
              </w:rPr>
              <w:t>之  v</w:t>
            </w:r>
          </w:p>
        </w:tc>
        <w:tc>
          <w:tcPr>
            <w:tcW w:w="229" w:type="dxa"/>
            <w:vAlign w:val="top"/>
          </w:tcPr>
          <w:p w14:paraId="73B6410B">
            <w:pPr>
              <w:rPr>
                <w:rFonts w:ascii="Arial"/>
                <w:sz w:val="21"/>
              </w:rPr>
            </w:pPr>
          </w:p>
        </w:tc>
        <w:tc>
          <w:tcPr>
            <w:tcW w:w="229" w:type="dxa"/>
            <w:vAlign w:val="top"/>
          </w:tcPr>
          <w:p w14:paraId="619BF3F7">
            <w:pPr>
              <w:rPr>
                <w:rFonts w:ascii="Arial"/>
                <w:sz w:val="21"/>
              </w:rPr>
            </w:pPr>
          </w:p>
        </w:tc>
        <w:tc>
          <w:tcPr>
            <w:tcW w:w="234" w:type="dxa"/>
            <w:vAlign w:val="top"/>
          </w:tcPr>
          <w:p w14:paraId="40E2B56A">
            <w:pPr>
              <w:rPr>
                <w:rFonts w:ascii="Arial"/>
                <w:sz w:val="21"/>
              </w:rPr>
            </w:pPr>
          </w:p>
        </w:tc>
      </w:tr>
    </w:tbl>
    <w:p w14:paraId="1891FBA9">
      <w:pPr>
        <w:spacing w:before="158" w:line="222" w:lineRule="auto"/>
        <w:ind w:left="92"/>
        <w:rPr>
          <w:rFonts w:ascii="黑体" w:hAnsi="黑体" w:eastAsia="黑体" w:cs="黑体"/>
          <w:sz w:val="17"/>
          <w:szCs w:val="17"/>
        </w:rPr>
      </w:pPr>
      <w:r>
        <w:rPr>
          <w:rFonts w:ascii="黑体" w:hAnsi="黑体" w:eastAsia="黑体" w:cs="黑体"/>
          <w:b/>
          <w:bCs/>
          <w:spacing w:val="22"/>
          <w:sz w:val="17"/>
          <w:szCs w:val="17"/>
        </w:rPr>
        <w:t>第二单元</w:t>
      </w:r>
      <w:r>
        <w:rPr>
          <w:rFonts w:ascii="黑体" w:hAnsi="黑体" w:eastAsia="黑体" w:cs="黑体"/>
          <w:spacing w:val="90"/>
          <w:sz w:val="17"/>
          <w:szCs w:val="17"/>
        </w:rPr>
        <w:t xml:space="preserve"> </w:t>
      </w:r>
      <w:r>
        <w:rPr>
          <w:rFonts w:ascii="黑体" w:hAnsi="黑体" w:eastAsia="黑体" w:cs="黑体"/>
          <w:b/>
          <w:bCs/>
          <w:spacing w:val="22"/>
          <w:sz w:val="17"/>
          <w:szCs w:val="17"/>
        </w:rPr>
        <w:t>那些曾经的旅游强国</w:t>
      </w:r>
      <w:r>
        <w:rPr>
          <w:rFonts w:ascii="黑体" w:hAnsi="黑体" w:eastAsia="黑体" w:cs="黑体"/>
          <w:spacing w:val="-50"/>
          <w:sz w:val="17"/>
          <w:szCs w:val="17"/>
        </w:rPr>
        <w:t xml:space="preserve"> </w:t>
      </w:r>
      <w:r>
        <w:rPr>
          <w:rFonts w:ascii="黑体" w:hAnsi="黑体" w:eastAsia="黑体" w:cs="黑体"/>
          <w:b/>
          <w:bCs/>
          <w:spacing w:val="22"/>
          <w:sz w:val="17"/>
          <w:szCs w:val="17"/>
        </w:rPr>
        <w:t>—</w:t>
      </w:r>
      <w:r>
        <w:rPr>
          <w:rFonts w:ascii="黑体" w:hAnsi="黑体" w:eastAsia="黑体" w:cs="黑体"/>
          <w:spacing w:val="-50"/>
          <w:sz w:val="17"/>
          <w:szCs w:val="17"/>
        </w:rPr>
        <w:t xml:space="preserve"> </w:t>
      </w:r>
      <w:r>
        <w:rPr>
          <w:rFonts w:ascii="黑体" w:hAnsi="黑体" w:eastAsia="黑体" w:cs="黑体"/>
          <w:b/>
          <w:bCs/>
          <w:spacing w:val="22"/>
          <w:sz w:val="17"/>
          <w:szCs w:val="17"/>
        </w:rPr>
        <w:t>—</w:t>
      </w:r>
      <w:r>
        <w:rPr>
          <w:rFonts w:ascii="黑体" w:hAnsi="黑体" w:eastAsia="黑体" w:cs="黑体"/>
          <w:spacing w:val="-42"/>
          <w:sz w:val="17"/>
          <w:szCs w:val="17"/>
        </w:rPr>
        <w:t xml:space="preserve"> </w:t>
      </w:r>
      <w:r>
        <w:rPr>
          <w:rFonts w:ascii="黑体" w:hAnsi="黑体" w:eastAsia="黑体" w:cs="黑体"/>
          <w:b/>
          <w:bCs/>
          <w:spacing w:val="22"/>
          <w:sz w:val="17"/>
          <w:szCs w:val="17"/>
        </w:rPr>
        <w:t>旅游简史</w:t>
      </w:r>
    </w:p>
    <w:p w14:paraId="133FE097">
      <w:pPr>
        <w:spacing w:line="77" w:lineRule="exact"/>
      </w:pPr>
    </w:p>
    <w:tbl>
      <w:tblPr>
        <w:tblStyle w:val="5"/>
        <w:tblW w:w="4120" w:type="dxa"/>
        <w:tblInd w:w="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03"/>
        <w:gridCol w:w="2314"/>
        <w:gridCol w:w="229"/>
        <w:gridCol w:w="220"/>
        <w:gridCol w:w="230"/>
        <w:gridCol w:w="224"/>
      </w:tblGrid>
      <w:tr w14:paraId="5C3E52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903" w:type="dxa"/>
            <w:vMerge w:val="restart"/>
            <w:tcBorders>
              <w:top w:val="single" w:color="000000" w:sz="2" w:space="0"/>
              <w:bottom w:val="nil"/>
            </w:tcBorders>
            <w:vAlign w:val="top"/>
          </w:tcPr>
          <w:p w14:paraId="2B5382A0">
            <w:pPr>
              <w:pStyle w:val="6"/>
              <w:spacing w:before="116" w:line="219" w:lineRule="auto"/>
              <w:ind w:left="263" w:hanging="246"/>
              <w:rPr>
                <w:sz w:val="18"/>
                <w:szCs w:val="18"/>
              </w:rPr>
            </w:pPr>
            <w:r>
              <w:rPr>
                <w:b/>
                <w:bCs/>
                <w:spacing w:val="-7"/>
                <w:sz w:val="18"/>
                <w:szCs w:val="18"/>
              </w:rPr>
              <w:t>知识与技能</w:t>
            </w:r>
            <w:r>
              <w:rPr>
                <w:sz w:val="18"/>
                <w:szCs w:val="18"/>
              </w:rPr>
              <w:t xml:space="preserve"> </w:t>
            </w:r>
            <w:r>
              <w:rPr>
                <w:b/>
                <w:bCs/>
                <w:spacing w:val="-6"/>
                <w:sz w:val="18"/>
                <w:szCs w:val="18"/>
              </w:rPr>
              <w:t>要点</w:t>
            </w:r>
          </w:p>
        </w:tc>
        <w:tc>
          <w:tcPr>
            <w:tcW w:w="2314" w:type="dxa"/>
            <w:vMerge w:val="restart"/>
            <w:tcBorders>
              <w:top w:val="single" w:color="000000" w:sz="2" w:space="0"/>
              <w:bottom w:val="nil"/>
            </w:tcBorders>
            <w:vAlign w:val="top"/>
          </w:tcPr>
          <w:p w14:paraId="0C35ACEE">
            <w:pPr>
              <w:pStyle w:val="6"/>
              <w:spacing w:before="224" w:line="219" w:lineRule="auto"/>
              <w:ind w:left="824"/>
              <w:rPr>
                <w:sz w:val="18"/>
                <w:szCs w:val="18"/>
              </w:rPr>
            </w:pPr>
            <w:r>
              <w:rPr>
                <w:b/>
                <w:bCs/>
                <w:spacing w:val="5"/>
                <w:sz w:val="18"/>
                <w:szCs w:val="18"/>
              </w:rPr>
              <w:t>考试条目</w:t>
            </w:r>
          </w:p>
        </w:tc>
        <w:tc>
          <w:tcPr>
            <w:tcW w:w="903" w:type="dxa"/>
            <w:gridSpan w:val="4"/>
            <w:tcBorders>
              <w:top w:val="single" w:color="000000" w:sz="2" w:space="0"/>
              <w:bottom w:val="single" w:color="000000" w:sz="2" w:space="0"/>
            </w:tcBorders>
            <w:vAlign w:val="top"/>
          </w:tcPr>
          <w:p w14:paraId="208B8EB4">
            <w:pPr>
              <w:pStyle w:val="6"/>
              <w:spacing w:before="64" w:line="219" w:lineRule="auto"/>
              <w:ind w:left="140"/>
              <w:rPr>
                <w:sz w:val="18"/>
                <w:szCs w:val="18"/>
              </w:rPr>
            </w:pPr>
            <w:r>
              <w:rPr>
                <w:b/>
                <w:bCs/>
                <w:spacing w:val="-4"/>
                <w:sz w:val="18"/>
                <w:szCs w:val="18"/>
              </w:rPr>
              <w:t>考试水平</w:t>
            </w:r>
          </w:p>
        </w:tc>
      </w:tr>
      <w:tr w14:paraId="007292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4" w:hRule="atLeast"/>
        </w:trPr>
        <w:tc>
          <w:tcPr>
            <w:tcW w:w="903" w:type="dxa"/>
            <w:vMerge w:val="continue"/>
            <w:tcBorders>
              <w:top w:val="nil"/>
              <w:bottom w:val="single" w:color="000000" w:sz="2" w:space="0"/>
            </w:tcBorders>
            <w:vAlign w:val="top"/>
          </w:tcPr>
          <w:p w14:paraId="32EB324F">
            <w:pPr>
              <w:rPr>
                <w:rFonts w:ascii="Arial"/>
                <w:sz w:val="21"/>
              </w:rPr>
            </w:pPr>
          </w:p>
        </w:tc>
        <w:tc>
          <w:tcPr>
            <w:tcW w:w="2314" w:type="dxa"/>
            <w:vMerge w:val="continue"/>
            <w:tcBorders>
              <w:top w:val="nil"/>
              <w:bottom w:val="single" w:color="000000" w:sz="2" w:space="0"/>
            </w:tcBorders>
            <w:vAlign w:val="top"/>
          </w:tcPr>
          <w:p w14:paraId="1191AB8F">
            <w:pPr>
              <w:rPr>
                <w:rFonts w:ascii="Arial"/>
                <w:sz w:val="21"/>
              </w:rPr>
            </w:pPr>
          </w:p>
        </w:tc>
        <w:tc>
          <w:tcPr>
            <w:tcW w:w="229" w:type="dxa"/>
            <w:tcBorders>
              <w:top w:val="single" w:color="000000" w:sz="2" w:space="0"/>
              <w:bottom w:val="single" w:color="000000" w:sz="2" w:space="0"/>
            </w:tcBorders>
            <w:vAlign w:val="top"/>
          </w:tcPr>
          <w:p w14:paraId="6317D0FD">
            <w:pPr>
              <w:pStyle w:val="6"/>
              <w:spacing w:before="118" w:line="184" w:lineRule="auto"/>
              <w:ind w:left="20"/>
              <w:rPr>
                <w:sz w:val="18"/>
                <w:szCs w:val="18"/>
              </w:rPr>
            </w:pPr>
            <w:r>
              <w:rPr>
                <w:b/>
                <w:bCs/>
                <w:spacing w:val="-2"/>
                <w:sz w:val="18"/>
                <w:szCs w:val="18"/>
              </w:rPr>
              <w:t>A</w:t>
            </w:r>
          </w:p>
        </w:tc>
        <w:tc>
          <w:tcPr>
            <w:tcW w:w="220" w:type="dxa"/>
            <w:tcBorders>
              <w:top w:val="single" w:color="000000" w:sz="2" w:space="0"/>
              <w:bottom w:val="single" w:color="000000" w:sz="2" w:space="0"/>
            </w:tcBorders>
            <w:vAlign w:val="top"/>
          </w:tcPr>
          <w:p w14:paraId="7EB564CD">
            <w:pPr>
              <w:pStyle w:val="6"/>
              <w:spacing w:before="120" w:line="182" w:lineRule="auto"/>
              <w:ind w:left="61"/>
              <w:rPr>
                <w:sz w:val="18"/>
                <w:szCs w:val="18"/>
              </w:rPr>
            </w:pPr>
            <w:r>
              <w:rPr>
                <w:b/>
                <w:bCs/>
                <w:spacing w:val="-2"/>
                <w:sz w:val="18"/>
                <w:szCs w:val="18"/>
              </w:rPr>
              <w:t>B</w:t>
            </w:r>
          </w:p>
        </w:tc>
        <w:tc>
          <w:tcPr>
            <w:tcW w:w="230" w:type="dxa"/>
            <w:tcBorders>
              <w:top w:val="single" w:color="000000" w:sz="2" w:space="0"/>
              <w:bottom w:val="single" w:color="000000" w:sz="2" w:space="0"/>
            </w:tcBorders>
            <w:vAlign w:val="top"/>
          </w:tcPr>
          <w:p w14:paraId="716438A0">
            <w:pPr>
              <w:pStyle w:val="6"/>
              <w:spacing w:before="118" w:line="183" w:lineRule="auto"/>
              <w:ind w:left="21"/>
              <w:rPr>
                <w:sz w:val="18"/>
                <w:szCs w:val="18"/>
              </w:rPr>
            </w:pPr>
            <w:r>
              <w:rPr>
                <w:b/>
                <w:bCs/>
                <w:spacing w:val="-2"/>
                <w:sz w:val="18"/>
                <w:szCs w:val="18"/>
              </w:rPr>
              <w:t>C</w:t>
            </w:r>
          </w:p>
        </w:tc>
        <w:tc>
          <w:tcPr>
            <w:tcW w:w="224" w:type="dxa"/>
            <w:tcBorders>
              <w:top w:val="single" w:color="000000" w:sz="2" w:space="0"/>
              <w:bottom w:val="single" w:color="000000" w:sz="2" w:space="0"/>
            </w:tcBorders>
            <w:vAlign w:val="top"/>
          </w:tcPr>
          <w:p w14:paraId="504440D7">
            <w:pPr>
              <w:pStyle w:val="6"/>
              <w:spacing w:before="120" w:line="182" w:lineRule="auto"/>
              <w:ind w:left="21"/>
              <w:rPr>
                <w:sz w:val="18"/>
                <w:szCs w:val="18"/>
              </w:rPr>
            </w:pPr>
            <w:r>
              <w:rPr>
                <w:b/>
                <w:bCs/>
                <w:spacing w:val="-2"/>
                <w:sz w:val="18"/>
                <w:szCs w:val="18"/>
              </w:rPr>
              <w:t>D</w:t>
            </w:r>
          </w:p>
        </w:tc>
      </w:tr>
      <w:tr w14:paraId="41025B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73" w:hRule="atLeast"/>
        </w:trPr>
        <w:tc>
          <w:tcPr>
            <w:tcW w:w="903" w:type="dxa"/>
            <w:tcBorders>
              <w:top w:val="single" w:color="000000" w:sz="2" w:space="0"/>
              <w:bottom w:val="single" w:color="000000" w:sz="2" w:space="0"/>
            </w:tcBorders>
            <w:vAlign w:val="top"/>
          </w:tcPr>
          <w:p w14:paraId="407244D4">
            <w:pPr>
              <w:pStyle w:val="6"/>
              <w:spacing w:before="264" w:line="216" w:lineRule="auto"/>
              <w:ind w:left="264" w:right="94" w:hanging="179"/>
              <w:rPr>
                <w:sz w:val="18"/>
                <w:szCs w:val="18"/>
              </w:rPr>
            </w:pPr>
            <w:r>
              <w:rPr>
                <w:spacing w:val="-2"/>
                <w:sz w:val="18"/>
                <w:szCs w:val="18"/>
              </w:rPr>
              <w:t>世界旅游</w:t>
            </w:r>
            <w:r>
              <w:rPr>
                <w:sz w:val="18"/>
                <w:szCs w:val="18"/>
              </w:rPr>
              <w:t xml:space="preserve"> </w:t>
            </w:r>
            <w:r>
              <w:rPr>
                <w:spacing w:val="-3"/>
                <w:sz w:val="18"/>
                <w:szCs w:val="18"/>
              </w:rPr>
              <w:t>简史</w:t>
            </w:r>
          </w:p>
        </w:tc>
        <w:tc>
          <w:tcPr>
            <w:tcW w:w="2314" w:type="dxa"/>
            <w:tcBorders>
              <w:top w:val="single" w:color="000000" w:sz="2" w:space="0"/>
              <w:bottom w:val="single" w:color="000000" w:sz="2" w:space="0"/>
            </w:tcBorders>
            <w:vAlign w:val="top"/>
          </w:tcPr>
          <w:p w14:paraId="106CCE13">
            <w:pPr>
              <w:pStyle w:val="6"/>
              <w:spacing w:before="32" w:line="226" w:lineRule="auto"/>
              <w:ind w:left="12" w:right="124"/>
              <w:rPr>
                <w:sz w:val="18"/>
                <w:szCs w:val="18"/>
              </w:rPr>
            </w:pPr>
            <w:r>
              <w:rPr>
                <w:sz w:val="18"/>
                <w:szCs w:val="18"/>
              </w:rPr>
              <w:t>1.世界旅游历史发展的三个</w:t>
            </w:r>
            <w:r>
              <w:rPr>
                <w:spacing w:val="6"/>
                <w:sz w:val="18"/>
                <w:szCs w:val="18"/>
              </w:rPr>
              <w:t xml:space="preserve"> </w:t>
            </w:r>
            <w:r>
              <w:rPr>
                <w:spacing w:val="3"/>
                <w:sz w:val="18"/>
                <w:szCs w:val="18"/>
              </w:rPr>
              <w:t>时期及特点</w:t>
            </w:r>
          </w:p>
          <w:p w14:paraId="789F1B60">
            <w:pPr>
              <w:pStyle w:val="6"/>
              <w:spacing w:before="1" w:line="199" w:lineRule="auto"/>
              <w:ind w:left="12" w:right="141"/>
              <w:rPr>
                <w:sz w:val="18"/>
                <w:szCs w:val="18"/>
              </w:rPr>
            </w:pPr>
            <w:r>
              <w:rPr>
                <w:spacing w:val="-1"/>
                <w:sz w:val="18"/>
                <w:szCs w:val="18"/>
              </w:rPr>
              <w:t>2.第二次世界大战后旅游迅</w:t>
            </w:r>
            <w:r>
              <w:rPr>
                <w:spacing w:val="2"/>
                <w:sz w:val="18"/>
                <w:szCs w:val="18"/>
              </w:rPr>
              <w:t xml:space="preserve"> </w:t>
            </w:r>
            <w:r>
              <w:rPr>
                <w:spacing w:val="-1"/>
                <w:sz w:val="18"/>
                <w:szCs w:val="18"/>
              </w:rPr>
              <w:t>速发展的主要因素</w:t>
            </w:r>
          </w:p>
        </w:tc>
        <w:tc>
          <w:tcPr>
            <w:tcW w:w="229" w:type="dxa"/>
            <w:tcBorders>
              <w:top w:val="single" w:color="000000" w:sz="2" w:space="0"/>
              <w:bottom w:val="single" w:color="000000" w:sz="2" w:space="0"/>
            </w:tcBorders>
            <w:vAlign w:val="top"/>
          </w:tcPr>
          <w:p w14:paraId="0E1240CB">
            <w:pPr>
              <w:rPr>
                <w:rFonts w:ascii="Arial"/>
                <w:sz w:val="21"/>
              </w:rPr>
            </w:pPr>
          </w:p>
        </w:tc>
        <w:tc>
          <w:tcPr>
            <w:tcW w:w="220" w:type="dxa"/>
            <w:tcBorders>
              <w:top w:val="single" w:color="000000" w:sz="2" w:space="0"/>
              <w:bottom w:val="single" w:color="000000" w:sz="2" w:space="0"/>
            </w:tcBorders>
            <w:vAlign w:val="top"/>
          </w:tcPr>
          <w:p w14:paraId="6BCB90AD">
            <w:pPr>
              <w:pStyle w:val="6"/>
              <w:spacing w:before="54" w:line="238" w:lineRule="auto"/>
              <w:ind w:left="39"/>
              <w:rPr>
                <w:sz w:val="13"/>
                <w:szCs w:val="13"/>
              </w:rPr>
            </w:pPr>
            <w:r>
              <w:rPr>
                <w:sz w:val="13"/>
                <w:szCs w:val="13"/>
              </w:rPr>
              <w:t>√</w:t>
            </w:r>
          </w:p>
        </w:tc>
        <w:tc>
          <w:tcPr>
            <w:tcW w:w="230" w:type="dxa"/>
            <w:tcBorders>
              <w:top w:val="single" w:color="000000" w:sz="2" w:space="0"/>
              <w:bottom w:val="single" w:color="000000" w:sz="2" w:space="0"/>
            </w:tcBorders>
            <w:vAlign w:val="top"/>
          </w:tcPr>
          <w:p w14:paraId="3CE92BA4">
            <w:pPr>
              <w:rPr>
                <w:rFonts w:ascii="Arial"/>
                <w:sz w:val="21"/>
              </w:rPr>
            </w:pPr>
          </w:p>
        </w:tc>
        <w:tc>
          <w:tcPr>
            <w:tcW w:w="224" w:type="dxa"/>
            <w:tcBorders>
              <w:top w:val="single" w:color="000000" w:sz="2" w:space="0"/>
              <w:bottom w:val="single" w:color="000000" w:sz="2" w:space="0"/>
            </w:tcBorders>
            <w:vAlign w:val="top"/>
          </w:tcPr>
          <w:p w14:paraId="199753B2">
            <w:pPr>
              <w:rPr>
                <w:rFonts w:ascii="Arial"/>
                <w:sz w:val="21"/>
              </w:rPr>
            </w:pPr>
          </w:p>
        </w:tc>
      </w:tr>
      <w:tr w14:paraId="4F05B9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57" w:hRule="atLeast"/>
        </w:trPr>
        <w:tc>
          <w:tcPr>
            <w:tcW w:w="903" w:type="dxa"/>
            <w:tcBorders>
              <w:top w:val="single" w:color="000000" w:sz="2" w:space="0"/>
              <w:bottom w:val="single" w:color="000000" w:sz="2" w:space="0"/>
            </w:tcBorders>
            <w:vAlign w:val="top"/>
          </w:tcPr>
          <w:p w14:paraId="358FA937">
            <w:pPr>
              <w:spacing w:line="267" w:lineRule="auto"/>
              <w:rPr>
                <w:rFonts w:ascii="Arial"/>
                <w:sz w:val="21"/>
              </w:rPr>
            </w:pPr>
          </w:p>
          <w:p w14:paraId="5241ACED">
            <w:pPr>
              <w:spacing w:line="268" w:lineRule="auto"/>
              <w:rPr>
                <w:rFonts w:ascii="Arial"/>
                <w:sz w:val="21"/>
              </w:rPr>
            </w:pPr>
          </w:p>
          <w:p w14:paraId="20383D7B">
            <w:pPr>
              <w:pStyle w:val="6"/>
              <w:spacing w:before="58" w:line="226" w:lineRule="auto"/>
              <w:ind w:left="264" w:right="78" w:hanging="179"/>
              <w:rPr>
                <w:sz w:val="18"/>
                <w:szCs w:val="18"/>
              </w:rPr>
            </w:pPr>
            <w:r>
              <w:rPr>
                <w:spacing w:val="2"/>
                <w:sz w:val="18"/>
                <w:szCs w:val="18"/>
              </w:rPr>
              <w:t>中国旅游</w:t>
            </w:r>
            <w:r>
              <w:rPr>
                <w:sz w:val="18"/>
                <w:szCs w:val="18"/>
              </w:rPr>
              <w:t xml:space="preserve"> </w:t>
            </w:r>
            <w:r>
              <w:rPr>
                <w:spacing w:val="-3"/>
                <w:sz w:val="18"/>
                <w:szCs w:val="18"/>
              </w:rPr>
              <w:t>简史</w:t>
            </w:r>
          </w:p>
        </w:tc>
        <w:tc>
          <w:tcPr>
            <w:tcW w:w="2314" w:type="dxa"/>
            <w:tcBorders>
              <w:top w:val="single" w:color="000000" w:sz="2" w:space="0"/>
              <w:bottom w:val="single" w:color="000000" w:sz="2" w:space="0"/>
            </w:tcBorders>
            <w:vAlign w:val="top"/>
          </w:tcPr>
          <w:p w14:paraId="07B7F728">
            <w:pPr>
              <w:pStyle w:val="6"/>
              <w:spacing w:before="65" w:line="217" w:lineRule="auto"/>
              <w:ind w:left="12" w:right="122"/>
              <w:rPr>
                <w:sz w:val="18"/>
                <w:szCs w:val="18"/>
              </w:rPr>
            </w:pPr>
            <w:r>
              <w:rPr>
                <w:sz w:val="18"/>
                <w:szCs w:val="18"/>
              </w:rPr>
              <w:t>1.古代中国旅游的各个发展</w:t>
            </w:r>
            <w:r>
              <w:rPr>
                <w:spacing w:val="8"/>
                <w:sz w:val="18"/>
                <w:szCs w:val="18"/>
              </w:rPr>
              <w:t xml:space="preserve"> </w:t>
            </w:r>
            <w:r>
              <w:rPr>
                <w:spacing w:val="3"/>
                <w:sz w:val="18"/>
                <w:szCs w:val="18"/>
              </w:rPr>
              <w:t>时期的特点</w:t>
            </w:r>
          </w:p>
          <w:p w14:paraId="3B074AB8">
            <w:pPr>
              <w:pStyle w:val="6"/>
              <w:spacing w:before="15" w:line="215" w:lineRule="auto"/>
              <w:ind w:left="12"/>
              <w:rPr>
                <w:sz w:val="18"/>
                <w:szCs w:val="18"/>
              </w:rPr>
            </w:pPr>
            <w:r>
              <w:rPr>
                <w:spacing w:val="-1"/>
                <w:sz w:val="18"/>
                <w:szCs w:val="18"/>
              </w:rPr>
              <w:t>2.近代中国旅游业的形成</w:t>
            </w:r>
          </w:p>
          <w:p w14:paraId="1E14ADEC">
            <w:pPr>
              <w:pStyle w:val="6"/>
              <w:spacing w:before="1" w:line="222" w:lineRule="auto"/>
              <w:ind w:left="12" w:right="121"/>
              <w:rPr>
                <w:sz w:val="18"/>
                <w:szCs w:val="18"/>
              </w:rPr>
            </w:pPr>
            <w:r>
              <w:rPr>
                <w:sz w:val="18"/>
                <w:szCs w:val="18"/>
              </w:rPr>
              <w:t>3.社会主义中国旅游业发展</w:t>
            </w:r>
            <w:r>
              <w:rPr>
                <w:spacing w:val="9"/>
                <w:sz w:val="18"/>
                <w:szCs w:val="18"/>
              </w:rPr>
              <w:t xml:space="preserve"> </w:t>
            </w:r>
            <w:r>
              <w:rPr>
                <w:spacing w:val="1"/>
                <w:sz w:val="18"/>
                <w:szCs w:val="18"/>
              </w:rPr>
              <w:t>经历的三个阶段及特点</w:t>
            </w:r>
          </w:p>
          <w:p w14:paraId="401E2996">
            <w:pPr>
              <w:pStyle w:val="6"/>
              <w:spacing w:before="16" w:line="187" w:lineRule="auto"/>
              <w:jc w:val="right"/>
              <w:rPr>
                <w:sz w:val="18"/>
                <w:szCs w:val="18"/>
              </w:rPr>
            </w:pPr>
            <w:r>
              <w:rPr>
                <w:spacing w:val="-4"/>
                <w:sz w:val="18"/>
                <w:szCs w:val="18"/>
              </w:rPr>
              <w:t>4.我国发展现代旅游业的战略</w:t>
            </w:r>
          </w:p>
        </w:tc>
        <w:tc>
          <w:tcPr>
            <w:tcW w:w="229" w:type="dxa"/>
            <w:tcBorders>
              <w:top w:val="single" w:color="000000" w:sz="2" w:space="0"/>
              <w:bottom w:val="single" w:color="000000" w:sz="2" w:space="0"/>
            </w:tcBorders>
            <w:vAlign w:val="top"/>
          </w:tcPr>
          <w:p w14:paraId="10C9260F">
            <w:pPr>
              <w:rPr>
                <w:rFonts w:ascii="Arial"/>
                <w:sz w:val="21"/>
              </w:rPr>
            </w:pPr>
          </w:p>
        </w:tc>
        <w:tc>
          <w:tcPr>
            <w:tcW w:w="220" w:type="dxa"/>
            <w:tcBorders>
              <w:top w:val="single" w:color="000000" w:sz="2" w:space="0"/>
              <w:bottom w:val="single" w:color="000000" w:sz="2" w:space="0"/>
            </w:tcBorders>
            <w:vAlign w:val="top"/>
          </w:tcPr>
          <w:p w14:paraId="293B943E">
            <w:pPr>
              <w:rPr>
                <w:rFonts w:ascii="Arial"/>
                <w:sz w:val="21"/>
              </w:rPr>
            </w:pPr>
          </w:p>
        </w:tc>
        <w:tc>
          <w:tcPr>
            <w:tcW w:w="230" w:type="dxa"/>
            <w:tcBorders>
              <w:top w:val="single" w:color="000000" w:sz="2" w:space="0"/>
              <w:bottom w:val="single" w:color="000000" w:sz="2" w:space="0"/>
            </w:tcBorders>
            <w:vAlign w:val="top"/>
          </w:tcPr>
          <w:p w14:paraId="2976D1D5">
            <w:pPr>
              <w:rPr>
                <w:rFonts w:ascii="Arial"/>
                <w:sz w:val="21"/>
              </w:rPr>
            </w:pPr>
          </w:p>
        </w:tc>
        <w:tc>
          <w:tcPr>
            <w:tcW w:w="224" w:type="dxa"/>
            <w:tcBorders>
              <w:top w:val="single" w:color="000000" w:sz="2" w:space="0"/>
              <w:bottom w:val="single" w:color="000000" w:sz="2" w:space="0"/>
            </w:tcBorders>
            <w:vAlign w:val="top"/>
          </w:tcPr>
          <w:p w14:paraId="030C6C97">
            <w:pPr>
              <w:rPr>
                <w:rFonts w:ascii="Arial"/>
                <w:sz w:val="21"/>
              </w:rPr>
            </w:pPr>
          </w:p>
        </w:tc>
      </w:tr>
    </w:tbl>
    <w:p w14:paraId="7E686BB7">
      <w:pPr>
        <w:pStyle w:val="2"/>
        <w:spacing w:line="14" w:lineRule="auto"/>
        <w:rPr>
          <w:sz w:val="2"/>
        </w:rPr>
      </w:pPr>
    </w:p>
    <w:p w14:paraId="7CCB802A">
      <w:pPr>
        <w:spacing w:line="14" w:lineRule="auto"/>
        <w:rPr>
          <w:sz w:val="2"/>
          <w:szCs w:val="2"/>
        </w:rPr>
        <w:sectPr>
          <w:type w:val="continuous"/>
          <w:pgSz w:w="10660" w:h="15080"/>
          <w:pgMar w:top="400" w:right="885" w:bottom="925" w:left="1019" w:header="0" w:footer="705" w:gutter="0"/>
          <w:cols w:equalWidth="0" w:num="2">
            <w:col w:w="4491" w:space="100"/>
            <w:col w:w="4165"/>
          </w:cols>
        </w:sectPr>
      </w:pPr>
    </w:p>
    <w:p w14:paraId="4734E4E5">
      <w:pPr>
        <w:spacing w:before="10"/>
      </w:pPr>
    </w:p>
    <w:p w14:paraId="7E760263">
      <w:pPr>
        <w:spacing w:before="10"/>
      </w:pPr>
    </w:p>
    <w:p w14:paraId="30D06CE0">
      <w:pPr>
        <w:spacing w:before="9"/>
      </w:pPr>
    </w:p>
    <w:p w14:paraId="6566FC68">
      <w:pPr>
        <w:spacing w:before="9"/>
      </w:pPr>
    </w:p>
    <w:p w14:paraId="7C8B984C">
      <w:pPr>
        <w:sectPr>
          <w:footerReference r:id="rId50" w:type="default"/>
          <w:pgSz w:w="10660" w:h="15080"/>
          <w:pgMar w:top="400" w:right="1034" w:bottom="925" w:left="819" w:header="0" w:footer="705" w:gutter="0"/>
          <w:cols w:equalWidth="0" w:num="1">
            <w:col w:w="8806"/>
          </w:cols>
        </w:sectPr>
      </w:pPr>
    </w:p>
    <w:p w14:paraId="34E25585">
      <w:pPr>
        <w:spacing w:before="1" w:line="253" w:lineRule="auto"/>
        <w:ind w:left="1022" w:right="1150" w:hanging="170"/>
        <w:rPr>
          <w:rFonts w:ascii="黑体" w:hAnsi="黑体" w:eastAsia="黑体" w:cs="黑体"/>
          <w:sz w:val="20"/>
          <w:szCs w:val="20"/>
        </w:rPr>
      </w:pPr>
      <w:r>
        <w:rPr>
          <w:rFonts w:ascii="黑体" w:hAnsi="黑体" w:eastAsia="黑体" w:cs="黑体"/>
          <w:b/>
          <w:bCs/>
          <w:spacing w:val="3"/>
          <w:sz w:val="20"/>
          <w:szCs w:val="20"/>
        </w:rPr>
        <w:t>第三单元</w:t>
      </w:r>
      <w:r>
        <w:rPr>
          <w:rFonts w:ascii="黑体" w:hAnsi="黑体" w:eastAsia="黑体" w:cs="黑体"/>
          <w:spacing w:val="3"/>
          <w:sz w:val="20"/>
          <w:szCs w:val="20"/>
        </w:rPr>
        <w:t xml:space="preserve"> </w:t>
      </w:r>
      <w:r>
        <w:rPr>
          <w:rFonts w:ascii="黑体" w:hAnsi="黑体" w:eastAsia="黑体" w:cs="黑体"/>
          <w:b/>
          <w:bCs/>
          <w:spacing w:val="3"/>
          <w:sz w:val="20"/>
          <w:szCs w:val="20"/>
        </w:rPr>
        <w:t>你未来的工作环境</w:t>
      </w:r>
      <w:r>
        <w:rPr>
          <w:rFonts w:ascii="黑体" w:hAnsi="黑体" w:eastAsia="黑体" w:cs="黑体"/>
          <w:spacing w:val="6"/>
          <w:sz w:val="20"/>
          <w:szCs w:val="20"/>
        </w:rPr>
        <w:t xml:space="preserve"> </w:t>
      </w:r>
      <w:r>
        <w:rPr>
          <w:rFonts w:ascii="黑体" w:hAnsi="黑体" w:eastAsia="黑体" w:cs="黑体"/>
          <w:b/>
          <w:bCs/>
          <w:spacing w:val="-3"/>
          <w:sz w:val="20"/>
          <w:szCs w:val="20"/>
        </w:rPr>
        <w:t>——旅游活动的基本要素</w:t>
      </w:r>
    </w:p>
    <w:p w14:paraId="3908EBC1">
      <w:pPr>
        <w:spacing w:line="71" w:lineRule="exact"/>
      </w:pPr>
    </w:p>
    <w:tbl>
      <w:tblPr>
        <w:tblStyle w:val="5"/>
        <w:tblW w:w="4119" w:type="dxa"/>
        <w:tblInd w:w="9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14"/>
        <w:gridCol w:w="220"/>
        <w:gridCol w:w="229"/>
        <w:gridCol w:w="229"/>
        <w:gridCol w:w="234"/>
      </w:tblGrid>
      <w:tr w14:paraId="66F5FD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4" w:hRule="atLeast"/>
        </w:trPr>
        <w:tc>
          <w:tcPr>
            <w:tcW w:w="893" w:type="dxa"/>
            <w:vMerge w:val="restart"/>
            <w:tcBorders>
              <w:bottom w:val="nil"/>
            </w:tcBorders>
            <w:vAlign w:val="top"/>
          </w:tcPr>
          <w:p w14:paraId="37913FBB">
            <w:pPr>
              <w:pStyle w:val="6"/>
              <w:spacing w:before="181" w:line="214" w:lineRule="auto"/>
              <w:ind w:left="257" w:right="1" w:hanging="240"/>
              <w:rPr>
                <w:sz w:val="18"/>
                <w:szCs w:val="18"/>
              </w:rPr>
            </w:pPr>
            <w:r>
              <w:rPr>
                <w:b/>
                <w:bCs/>
                <w:spacing w:val="-10"/>
                <w:sz w:val="18"/>
                <w:szCs w:val="18"/>
              </w:rPr>
              <w:t>知识与技能</w:t>
            </w:r>
            <w:r>
              <w:rPr>
                <w:spacing w:val="3"/>
                <w:sz w:val="18"/>
                <w:szCs w:val="18"/>
              </w:rPr>
              <w:t xml:space="preserve"> </w:t>
            </w:r>
            <w:r>
              <w:rPr>
                <w:b/>
                <w:bCs/>
                <w:spacing w:val="-4"/>
                <w:sz w:val="18"/>
                <w:szCs w:val="18"/>
              </w:rPr>
              <w:t>要点</w:t>
            </w:r>
          </w:p>
        </w:tc>
        <w:tc>
          <w:tcPr>
            <w:tcW w:w="2314" w:type="dxa"/>
            <w:vMerge w:val="restart"/>
            <w:tcBorders>
              <w:bottom w:val="nil"/>
            </w:tcBorders>
            <w:vAlign w:val="top"/>
          </w:tcPr>
          <w:p w14:paraId="568A9037">
            <w:pPr>
              <w:pStyle w:val="6"/>
              <w:spacing w:before="279" w:line="219" w:lineRule="auto"/>
              <w:ind w:left="834"/>
              <w:rPr>
                <w:sz w:val="18"/>
                <w:szCs w:val="18"/>
              </w:rPr>
            </w:pPr>
            <w:r>
              <w:rPr>
                <w:b/>
                <w:bCs/>
                <w:spacing w:val="5"/>
                <w:sz w:val="18"/>
                <w:szCs w:val="18"/>
              </w:rPr>
              <w:t>考试条目</w:t>
            </w:r>
          </w:p>
        </w:tc>
        <w:tc>
          <w:tcPr>
            <w:tcW w:w="912" w:type="dxa"/>
            <w:gridSpan w:val="4"/>
            <w:vAlign w:val="top"/>
          </w:tcPr>
          <w:p w14:paraId="5AB1003C">
            <w:pPr>
              <w:pStyle w:val="6"/>
              <w:spacing w:before="69" w:line="219" w:lineRule="auto"/>
              <w:ind w:left="150"/>
              <w:rPr>
                <w:sz w:val="18"/>
                <w:szCs w:val="18"/>
              </w:rPr>
            </w:pPr>
            <w:r>
              <w:rPr>
                <w:b/>
                <w:bCs/>
                <w:spacing w:val="-4"/>
                <w:sz w:val="18"/>
                <w:szCs w:val="18"/>
              </w:rPr>
              <w:t>考试水平</w:t>
            </w:r>
          </w:p>
        </w:tc>
      </w:tr>
      <w:tr w14:paraId="101A63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9" w:hRule="atLeast"/>
        </w:trPr>
        <w:tc>
          <w:tcPr>
            <w:tcW w:w="893" w:type="dxa"/>
            <w:vMerge w:val="continue"/>
            <w:tcBorders>
              <w:top w:val="nil"/>
            </w:tcBorders>
            <w:vAlign w:val="top"/>
          </w:tcPr>
          <w:p w14:paraId="79613D9B">
            <w:pPr>
              <w:rPr>
                <w:rFonts w:ascii="Arial"/>
                <w:sz w:val="21"/>
              </w:rPr>
            </w:pPr>
          </w:p>
        </w:tc>
        <w:tc>
          <w:tcPr>
            <w:tcW w:w="2314" w:type="dxa"/>
            <w:vMerge w:val="continue"/>
            <w:tcBorders>
              <w:top w:val="nil"/>
            </w:tcBorders>
            <w:vAlign w:val="top"/>
          </w:tcPr>
          <w:p w14:paraId="446AAFB0">
            <w:pPr>
              <w:rPr>
                <w:rFonts w:ascii="Arial"/>
                <w:sz w:val="21"/>
              </w:rPr>
            </w:pPr>
          </w:p>
        </w:tc>
        <w:tc>
          <w:tcPr>
            <w:tcW w:w="220" w:type="dxa"/>
            <w:vAlign w:val="top"/>
          </w:tcPr>
          <w:p w14:paraId="081DADFC">
            <w:pPr>
              <w:pStyle w:val="6"/>
              <w:spacing w:before="153" w:line="184" w:lineRule="auto"/>
              <w:ind w:left="50"/>
              <w:rPr>
                <w:sz w:val="18"/>
                <w:szCs w:val="18"/>
              </w:rPr>
            </w:pPr>
            <w:r>
              <w:rPr>
                <w:b/>
                <w:bCs/>
                <w:spacing w:val="-2"/>
                <w:sz w:val="18"/>
                <w:szCs w:val="18"/>
              </w:rPr>
              <w:t>A</w:t>
            </w:r>
          </w:p>
        </w:tc>
        <w:tc>
          <w:tcPr>
            <w:tcW w:w="229" w:type="dxa"/>
            <w:vAlign w:val="top"/>
          </w:tcPr>
          <w:p w14:paraId="6AE4ABB2">
            <w:pPr>
              <w:pStyle w:val="6"/>
              <w:spacing w:before="155" w:line="182" w:lineRule="auto"/>
              <w:ind w:left="20"/>
              <w:rPr>
                <w:sz w:val="18"/>
                <w:szCs w:val="18"/>
              </w:rPr>
            </w:pPr>
            <w:r>
              <w:rPr>
                <w:b/>
                <w:bCs/>
                <w:spacing w:val="-2"/>
                <w:sz w:val="18"/>
                <w:szCs w:val="18"/>
              </w:rPr>
              <w:t>B</w:t>
            </w:r>
          </w:p>
        </w:tc>
        <w:tc>
          <w:tcPr>
            <w:tcW w:w="229" w:type="dxa"/>
            <w:vAlign w:val="top"/>
          </w:tcPr>
          <w:p w14:paraId="7172E725">
            <w:pPr>
              <w:pStyle w:val="6"/>
              <w:spacing w:before="153" w:line="183" w:lineRule="auto"/>
              <w:ind w:left="21"/>
              <w:rPr>
                <w:sz w:val="18"/>
                <w:szCs w:val="18"/>
              </w:rPr>
            </w:pPr>
            <w:r>
              <w:rPr>
                <w:b/>
                <w:bCs/>
                <w:spacing w:val="-2"/>
                <w:sz w:val="18"/>
                <w:szCs w:val="18"/>
              </w:rPr>
              <w:t>C</w:t>
            </w:r>
          </w:p>
        </w:tc>
        <w:tc>
          <w:tcPr>
            <w:tcW w:w="234" w:type="dxa"/>
            <w:vAlign w:val="top"/>
          </w:tcPr>
          <w:p w14:paraId="58D412A6">
            <w:pPr>
              <w:pStyle w:val="6"/>
              <w:spacing w:before="155" w:line="182" w:lineRule="auto"/>
              <w:ind w:left="22"/>
              <w:rPr>
                <w:sz w:val="18"/>
                <w:szCs w:val="18"/>
              </w:rPr>
            </w:pPr>
            <w:r>
              <w:rPr>
                <w:b/>
                <w:bCs/>
                <w:spacing w:val="-2"/>
                <w:sz w:val="18"/>
                <w:szCs w:val="18"/>
              </w:rPr>
              <w:t>D</w:t>
            </w:r>
          </w:p>
        </w:tc>
      </w:tr>
      <w:tr w14:paraId="6581F9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7" w:hRule="atLeast"/>
        </w:trPr>
        <w:tc>
          <w:tcPr>
            <w:tcW w:w="893" w:type="dxa"/>
            <w:vAlign w:val="top"/>
          </w:tcPr>
          <w:p w14:paraId="55117C5F">
            <w:pPr>
              <w:pStyle w:val="6"/>
              <w:spacing w:before="279" w:line="220" w:lineRule="auto"/>
              <w:ind w:left="164"/>
              <w:rPr>
                <w:sz w:val="18"/>
                <w:szCs w:val="18"/>
              </w:rPr>
            </w:pPr>
            <w:r>
              <w:rPr>
                <w:spacing w:val="-2"/>
                <w:sz w:val="18"/>
                <w:szCs w:val="18"/>
              </w:rPr>
              <w:t>旅游者</w:t>
            </w:r>
          </w:p>
        </w:tc>
        <w:tc>
          <w:tcPr>
            <w:tcW w:w="2314" w:type="dxa"/>
            <w:vAlign w:val="top"/>
          </w:tcPr>
          <w:p w14:paraId="7E8CADF1">
            <w:pPr>
              <w:pStyle w:val="6"/>
              <w:spacing w:before="79" w:line="194" w:lineRule="auto"/>
              <w:ind w:left="11"/>
              <w:rPr>
                <w:sz w:val="18"/>
                <w:szCs w:val="18"/>
              </w:rPr>
            </w:pPr>
            <w:r>
              <w:rPr>
                <w:sz w:val="18"/>
                <w:szCs w:val="18"/>
              </w:rPr>
              <w:t>1.旅游者的概念</w:t>
            </w:r>
          </w:p>
          <w:p w14:paraId="0B391333">
            <w:pPr>
              <w:pStyle w:val="6"/>
              <w:spacing w:before="1" w:line="229" w:lineRule="auto"/>
              <w:ind w:left="11" w:right="141"/>
              <w:rPr>
                <w:sz w:val="18"/>
                <w:szCs w:val="18"/>
              </w:rPr>
            </w:pPr>
            <w:r>
              <w:rPr>
                <w:spacing w:val="-1"/>
                <w:sz w:val="18"/>
                <w:szCs w:val="18"/>
              </w:rPr>
              <w:t>2.旅游者的条件和基本要求</w:t>
            </w:r>
            <w:r>
              <w:rPr>
                <w:spacing w:val="2"/>
                <w:sz w:val="18"/>
                <w:szCs w:val="18"/>
              </w:rPr>
              <w:t xml:space="preserve"> </w:t>
            </w:r>
            <w:r>
              <w:rPr>
                <w:spacing w:val="1"/>
                <w:sz w:val="18"/>
                <w:szCs w:val="18"/>
              </w:rPr>
              <w:t>3.旅游者的类型</w:t>
            </w:r>
          </w:p>
        </w:tc>
        <w:tc>
          <w:tcPr>
            <w:tcW w:w="220" w:type="dxa"/>
            <w:vAlign w:val="top"/>
          </w:tcPr>
          <w:p w14:paraId="53D07D66">
            <w:pPr>
              <w:rPr>
                <w:rFonts w:ascii="Arial"/>
                <w:sz w:val="21"/>
              </w:rPr>
            </w:pPr>
          </w:p>
        </w:tc>
        <w:tc>
          <w:tcPr>
            <w:tcW w:w="229" w:type="dxa"/>
            <w:vAlign w:val="top"/>
          </w:tcPr>
          <w:p w14:paraId="44CD8B72">
            <w:pPr>
              <w:rPr>
                <w:rFonts w:ascii="Arial"/>
                <w:sz w:val="21"/>
              </w:rPr>
            </w:pPr>
          </w:p>
        </w:tc>
        <w:tc>
          <w:tcPr>
            <w:tcW w:w="229" w:type="dxa"/>
            <w:vAlign w:val="top"/>
          </w:tcPr>
          <w:p w14:paraId="3050E273">
            <w:pPr>
              <w:rPr>
                <w:rFonts w:ascii="Arial"/>
                <w:sz w:val="21"/>
              </w:rPr>
            </w:pPr>
          </w:p>
        </w:tc>
        <w:tc>
          <w:tcPr>
            <w:tcW w:w="234" w:type="dxa"/>
            <w:vAlign w:val="top"/>
          </w:tcPr>
          <w:p w14:paraId="55342743">
            <w:pPr>
              <w:rPr>
                <w:rFonts w:ascii="Arial"/>
                <w:sz w:val="21"/>
              </w:rPr>
            </w:pPr>
          </w:p>
        </w:tc>
      </w:tr>
      <w:tr w14:paraId="33EEB1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47" w:hRule="atLeast"/>
        </w:trPr>
        <w:tc>
          <w:tcPr>
            <w:tcW w:w="893" w:type="dxa"/>
            <w:vAlign w:val="top"/>
          </w:tcPr>
          <w:p w14:paraId="48346D37">
            <w:pPr>
              <w:spacing w:line="332" w:lineRule="auto"/>
              <w:rPr>
                <w:rFonts w:ascii="Arial"/>
                <w:sz w:val="21"/>
              </w:rPr>
            </w:pPr>
          </w:p>
          <w:p w14:paraId="41091253">
            <w:pPr>
              <w:pStyle w:val="6"/>
              <w:spacing w:before="58" w:line="220" w:lineRule="auto"/>
              <w:ind w:left="74"/>
              <w:rPr>
                <w:sz w:val="18"/>
                <w:szCs w:val="18"/>
              </w:rPr>
            </w:pPr>
            <w:r>
              <w:rPr>
                <w:spacing w:val="-2"/>
                <w:sz w:val="18"/>
                <w:szCs w:val="18"/>
              </w:rPr>
              <w:t>旅游资源</w:t>
            </w:r>
          </w:p>
        </w:tc>
        <w:tc>
          <w:tcPr>
            <w:tcW w:w="2314" w:type="dxa"/>
            <w:vAlign w:val="top"/>
          </w:tcPr>
          <w:p w14:paraId="4DA4430C">
            <w:pPr>
              <w:pStyle w:val="6"/>
              <w:spacing w:before="71" w:line="226" w:lineRule="auto"/>
              <w:ind w:left="11" w:right="120"/>
              <w:rPr>
                <w:sz w:val="18"/>
                <w:szCs w:val="18"/>
              </w:rPr>
            </w:pPr>
            <w:r>
              <w:rPr>
                <w:sz w:val="18"/>
                <w:szCs w:val="18"/>
              </w:rPr>
              <w:t>1.旅游资源的概念及其类型</w:t>
            </w:r>
            <w:r>
              <w:rPr>
                <w:spacing w:val="10"/>
                <w:sz w:val="18"/>
                <w:szCs w:val="18"/>
              </w:rPr>
              <w:t xml:space="preserve"> </w:t>
            </w:r>
            <w:r>
              <w:rPr>
                <w:spacing w:val="1"/>
                <w:sz w:val="18"/>
                <w:szCs w:val="18"/>
              </w:rPr>
              <w:t>2.旅游资源的特点</w:t>
            </w:r>
          </w:p>
          <w:p w14:paraId="28992C80">
            <w:pPr>
              <w:pStyle w:val="6"/>
              <w:spacing w:before="1" w:line="217" w:lineRule="auto"/>
              <w:ind w:left="11" w:right="318"/>
              <w:rPr>
                <w:sz w:val="18"/>
                <w:szCs w:val="18"/>
              </w:rPr>
            </w:pPr>
            <w:r>
              <w:rPr>
                <w:spacing w:val="-1"/>
                <w:sz w:val="18"/>
                <w:szCs w:val="18"/>
              </w:rPr>
              <w:t>3.主题公园的概念及特色</w:t>
            </w:r>
            <w:r>
              <w:rPr>
                <w:sz w:val="18"/>
                <w:szCs w:val="18"/>
              </w:rPr>
              <w:t xml:space="preserve"> </w:t>
            </w:r>
            <w:r>
              <w:rPr>
                <w:spacing w:val="-1"/>
                <w:sz w:val="18"/>
                <w:szCs w:val="18"/>
              </w:rPr>
              <w:t>4.旅游资源的开发与保护</w:t>
            </w:r>
          </w:p>
        </w:tc>
        <w:tc>
          <w:tcPr>
            <w:tcW w:w="220" w:type="dxa"/>
            <w:vAlign w:val="top"/>
          </w:tcPr>
          <w:p w14:paraId="0BF194C8">
            <w:pPr>
              <w:rPr>
                <w:rFonts w:ascii="Arial"/>
                <w:sz w:val="21"/>
              </w:rPr>
            </w:pPr>
          </w:p>
        </w:tc>
        <w:tc>
          <w:tcPr>
            <w:tcW w:w="229" w:type="dxa"/>
            <w:vAlign w:val="top"/>
          </w:tcPr>
          <w:p w14:paraId="1A7FF7DD">
            <w:pPr>
              <w:rPr>
                <w:rFonts w:ascii="Arial"/>
                <w:sz w:val="21"/>
              </w:rPr>
            </w:pPr>
          </w:p>
        </w:tc>
        <w:tc>
          <w:tcPr>
            <w:tcW w:w="229" w:type="dxa"/>
            <w:vAlign w:val="top"/>
          </w:tcPr>
          <w:p w14:paraId="53FE63DA">
            <w:pPr>
              <w:rPr>
                <w:rFonts w:ascii="Arial"/>
                <w:sz w:val="21"/>
              </w:rPr>
            </w:pPr>
          </w:p>
        </w:tc>
        <w:tc>
          <w:tcPr>
            <w:tcW w:w="234" w:type="dxa"/>
            <w:vAlign w:val="top"/>
          </w:tcPr>
          <w:p w14:paraId="63E14711">
            <w:pPr>
              <w:rPr>
                <w:rFonts w:ascii="Arial"/>
                <w:sz w:val="21"/>
              </w:rPr>
            </w:pPr>
          </w:p>
        </w:tc>
      </w:tr>
      <w:tr w14:paraId="43307D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2" w:hRule="atLeast"/>
        </w:trPr>
        <w:tc>
          <w:tcPr>
            <w:tcW w:w="893" w:type="dxa"/>
            <w:vAlign w:val="top"/>
          </w:tcPr>
          <w:p w14:paraId="45285495">
            <w:pPr>
              <w:pStyle w:val="6"/>
              <w:spacing w:before="285" w:line="220" w:lineRule="auto"/>
              <w:ind w:left="164"/>
              <w:rPr>
                <w:sz w:val="18"/>
                <w:szCs w:val="18"/>
              </w:rPr>
            </w:pPr>
            <w:r>
              <w:rPr>
                <w:spacing w:val="-2"/>
                <w:sz w:val="18"/>
                <w:szCs w:val="18"/>
              </w:rPr>
              <w:t>旅游业</w:t>
            </w:r>
          </w:p>
        </w:tc>
        <w:tc>
          <w:tcPr>
            <w:tcW w:w="2314" w:type="dxa"/>
            <w:vAlign w:val="top"/>
          </w:tcPr>
          <w:p w14:paraId="23B1A81C">
            <w:pPr>
              <w:pStyle w:val="6"/>
              <w:spacing w:before="95" w:line="215" w:lineRule="auto"/>
              <w:ind w:left="11"/>
              <w:rPr>
                <w:sz w:val="18"/>
                <w:szCs w:val="18"/>
              </w:rPr>
            </w:pPr>
            <w:r>
              <w:rPr>
                <w:sz w:val="18"/>
                <w:szCs w:val="18"/>
              </w:rPr>
              <w:t>1.旅游业的概念</w:t>
            </w:r>
          </w:p>
          <w:p w14:paraId="179069C0">
            <w:pPr>
              <w:pStyle w:val="6"/>
              <w:spacing w:before="1" w:line="218" w:lineRule="auto"/>
              <w:ind w:left="11" w:right="470"/>
              <w:rPr>
                <w:sz w:val="18"/>
                <w:szCs w:val="18"/>
              </w:rPr>
            </w:pPr>
            <w:r>
              <w:rPr>
                <w:spacing w:val="1"/>
                <w:sz w:val="18"/>
                <w:szCs w:val="18"/>
              </w:rPr>
              <w:t>2.旅游业的特点、性质</w:t>
            </w:r>
            <w:r>
              <w:rPr>
                <w:spacing w:val="8"/>
                <w:sz w:val="18"/>
                <w:szCs w:val="18"/>
              </w:rPr>
              <w:t xml:space="preserve"> </w:t>
            </w:r>
            <w:r>
              <w:rPr>
                <w:spacing w:val="1"/>
                <w:sz w:val="18"/>
                <w:szCs w:val="18"/>
              </w:rPr>
              <w:t>3.旅游业的影响与作用</w:t>
            </w:r>
          </w:p>
        </w:tc>
        <w:tc>
          <w:tcPr>
            <w:tcW w:w="220" w:type="dxa"/>
            <w:vAlign w:val="top"/>
          </w:tcPr>
          <w:p w14:paraId="6B79B736">
            <w:pPr>
              <w:rPr>
                <w:rFonts w:ascii="Arial"/>
                <w:sz w:val="21"/>
              </w:rPr>
            </w:pPr>
          </w:p>
        </w:tc>
        <w:tc>
          <w:tcPr>
            <w:tcW w:w="229" w:type="dxa"/>
            <w:vAlign w:val="top"/>
          </w:tcPr>
          <w:p w14:paraId="04B532B7">
            <w:pPr>
              <w:rPr>
                <w:rFonts w:ascii="Arial"/>
                <w:sz w:val="21"/>
              </w:rPr>
            </w:pPr>
          </w:p>
        </w:tc>
        <w:tc>
          <w:tcPr>
            <w:tcW w:w="229" w:type="dxa"/>
            <w:vAlign w:val="top"/>
          </w:tcPr>
          <w:p w14:paraId="0877EA55">
            <w:pPr>
              <w:rPr>
                <w:rFonts w:ascii="Arial"/>
                <w:sz w:val="21"/>
              </w:rPr>
            </w:pPr>
          </w:p>
        </w:tc>
        <w:tc>
          <w:tcPr>
            <w:tcW w:w="234" w:type="dxa"/>
            <w:vAlign w:val="top"/>
          </w:tcPr>
          <w:p w14:paraId="30A84449">
            <w:pPr>
              <w:rPr>
                <w:rFonts w:ascii="Arial"/>
                <w:sz w:val="21"/>
              </w:rPr>
            </w:pPr>
          </w:p>
        </w:tc>
      </w:tr>
    </w:tbl>
    <w:p w14:paraId="6A800009">
      <w:pPr>
        <w:spacing w:before="130" w:line="219" w:lineRule="auto"/>
        <w:ind w:left="112"/>
        <w:rPr>
          <w:rFonts w:ascii="宋体" w:hAnsi="宋体" w:eastAsia="宋体" w:cs="宋体"/>
          <w:sz w:val="19"/>
          <w:szCs w:val="19"/>
        </w:rPr>
      </w:pPr>
      <w:r>
        <w:drawing>
          <wp:anchor distT="0" distB="0" distL="0" distR="0" simplePos="0" relativeHeight="251673600" behindDoc="0" locked="0" layoutInCell="1" allowOverlap="1">
            <wp:simplePos x="0" y="0"/>
            <wp:positionH relativeFrom="column">
              <wp:posOffset>2406650</wp:posOffset>
            </wp:positionH>
            <wp:positionV relativeFrom="paragraph">
              <wp:posOffset>970915</wp:posOffset>
            </wp:positionV>
            <wp:extent cx="100330" cy="341630"/>
            <wp:effectExtent l="0" t="0" r="0" b="0"/>
            <wp:wrapNone/>
            <wp:docPr id="238" name="IM 238"/>
            <wp:cNvGraphicFramePr/>
            <a:graphic xmlns:a="http://schemas.openxmlformats.org/drawingml/2006/main">
              <a:graphicData uri="http://schemas.openxmlformats.org/drawingml/2006/picture">
                <pic:pic xmlns:pic="http://schemas.openxmlformats.org/drawingml/2006/picture">
                  <pic:nvPicPr>
                    <pic:cNvPr id="238" name="IM 238"/>
                    <pic:cNvPicPr/>
                  </pic:nvPicPr>
                  <pic:blipFill>
                    <a:blip r:embed="rId284"/>
                    <a:stretch>
                      <a:fillRect/>
                    </a:stretch>
                  </pic:blipFill>
                  <pic:spPr>
                    <a:xfrm>
                      <a:off x="0" y="0"/>
                      <a:ext cx="100026" cy="341573"/>
                    </a:xfrm>
                    <a:prstGeom prst="rect">
                      <a:avLst/>
                    </a:prstGeom>
                  </pic:spPr>
                </pic:pic>
              </a:graphicData>
            </a:graphic>
          </wp:anchor>
        </w:drawing>
      </w:r>
      <w:r>
        <w:rPr>
          <w:rFonts w:ascii="宋体" w:hAnsi="宋体" w:eastAsia="宋体" w:cs="宋体"/>
          <w:b/>
          <w:bCs/>
          <w:spacing w:val="-3"/>
          <w:sz w:val="19"/>
          <w:szCs w:val="19"/>
        </w:rPr>
        <w:t>第四单元</w:t>
      </w:r>
      <w:r>
        <w:rPr>
          <w:rFonts w:ascii="宋体" w:hAnsi="宋体" w:eastAsia="宋体" w:cs="宋体"/>
          <w:spacing w:val="-3"/>
          <w:sz w:val="19"/>
          <w:szCs w:val="19"/>
        </w:rPr>
        <w:t xml:space="preserve"> </w:t>
      </w:r>
      <w:r>
        <w:rPr>
          <w:rFonts w:ascii="宋体" w:hAnsi="宋体" w:eastAsia="宋体" w:cs="宋体"/>
          <w:b/>
          <w:bCs/>
          <w:spacing w:val="-3"/>
          <w:sz w:val="19"/>
          <w:szCs w:val="19"/>
        </w:rPr>
        <w:t>旅游行业如何运转——旅游业的构成</w:t>
      </w:r>
    </w:p>
    <w:p w14:paraId="21EBC7F2">
      <w:pPr>
        <w:spacing w:line="14" w:lineRule="exact"/>
      </w:pPr>
    </w:p>
    <w:tbl>
      <w:tblPr>
        <w:tblStyle w:val="5"/>
        <w:tblW w:w="4119"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14"/>
        <w:gridCol w:w="239"/>
        <w:gridCol w:w="229"/>
        <w:gridCol w:w="220"/>
        <w:gridCol w:w="224"/>
      </w:tblGrid>
      <w:tr w14:paraId="63216B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4" w:hRule="atLeast"/>
        </w:trPr>
        <w:tc>
          <w:tcPr>
            <w:tcW w:w="893" w:type="dxa"/>
            <w:vMerge w:val="restart"/>
            <w:tcBorders>
              <w:bottom w:val="nil"/>
            </w:tcBorders>
            <w:vAlign w:val="top"/>
          </w:tcPr>
          <w:p w14:paraId="4AE2C1C9">
            <w:pPr>
              <w:pStyle w:val="6"/>
              <w:spacing w:before="111" w:line="231" w:lineRule="auto"/>
              <w:ind w:left="267" w:right="25" w:hanging="250"/>
            </w:pPr>
            <w:r>
              <w:rPr>
                <w:b/>
                <w:bCs/>
                <w:spacing w:val="-4"/>
              </w:rPr>
              <w:t>知识与技能</w:t>
            </w:r>
            <w:r>
              <w:t xml:space="preserve"> </w:t>
            </w:r>
            <w:r>
              <w:rPr>
                <w:b/>
                <w:bCs/>
                <w:spacing w:val="-4"/>
              </w:rPr>
              <w:t>要点</w:t>
            </w:r>
          </w:p>
        </w:tc>
        <w:tc>
          <w:tcPr>
            <w:tcW w:w="2314" w:type="dxa"/>
            <w:vMerge w:val="restart"/>
            <w:tcBorders>
              <w:bottom w:val="nil"/>
            </w:tcBorders>
            <w:vAlign w:val="top"/>
          </w:tcPr>
          <w:p w14:paraId="7CE3832C">
            <w:pPr>
              <w:pStyle w:val="6"/>
              <w:spacing w:before="219" w:line="219" w:lineRule="auto"/>
              <w:ind w:left="834"/>
            </w:pPr>
            <w:r>
              <w:rPr>
                <w:b/>
                <w:bCs/>
                <w:spacing w:val="5"/>
              </w:rPr>
              <w:t>考试条目</w:t>
            </w:r>
          </w:p>
        </w:tc>
        <w:tc>
          <w:tcPr>
            <w:tcW w:w="912" w:type="dxa"/>
            <w:gridSpan w:val="4"/>
            <w:vAlign w:val="top"/>
          </w:tcPr>
          <w:p w14:paraId="214AFEB9">
            <w:pPr>
              <w:pStyle w:val="6"/>
              <w:spacing w:before="69" w:line="219" w:lineRule="auto"/>
              <w:ind w:left="120"/>
            </w:pPr>
            <w:r>
              <w:rPr>
                <w:b/>
                <w:bCs/>
                <w:spacing w:val="-4"/>
              </w:rPr>
              <w:t>考试水平</w:t>
            </w:r>
          </w:p>
        </w:tc>
      </w:tr>
      <w:tr w14:paraId="2D73B0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0" w:hRule="atLeast"/>
        </w:trPr>
        <w:tc>
          <w:tcPr>
            <w:tcW w:w="893" w:type="dxa"/>
            <w:vMerge w:val="continue"/>
            <w:tcBorders>
              <w:top w:val="nil"/>
            </w:tcBorders>
            <w:vAlign w:val="top"/>
          </w:tcPr>
          <w:p w14:paraId="1B998756">
            <w:pPr>
              <w:rPr>
                <w:rFonts w:ascii="Arial"/>
                <w:sz w:val="21"/>
              </w:rPr>
            </w:pPr>
          </w:p>
        </w:tc>
        <w:tc>
          <w:tcPr>
            <w:tcW w:w="2314" w:type="dxa"/>
            <w:vMerge w:val="continue"/>
            <w:tcBorders>
              <w:top w:val="nil"/>
            </w:tcBorders>
            <w:vAlign w:val="top"/>
          </w:tcPr>
          <w:p w14:paraId="479D98B3">
            <w:pPr>
              <w:rPr>
                <w:rFonts w:ascii="Arial"/>
                <w:sz w:val="21"/>
              </w:rPr>
            </w:pPr>
          </w:p>
        </w:tc>
        <w:tc>
          <w:tcPr>
            <w:tcW w:w="239" w:type="dxa"/>
            <w:vAlign w:val="top"/>
          </w:tcPr>
          <w:p w14:paraId="16D92F2F">
            <w:pPr>
              <w:pStyle w:val="6"/>
              <w:spacing w:before="100" w:line="184" w:lineRule="auto"/>
              <w:ind w:left="50"/>
            </w:pPr>
            <w:r>
              <w:rPr>
                <w:b/>
                <w:bCs/>
                <w:spacing w:val="-2"/>
              </w:rPr>
              <w:t>A</w:t>
            </w:r>
          </w:p>
        </w:tc>
        <w:tc>
          <w:tcPr>
            <w:tcW w:w="229" w:type="dxa"/>
            <w:vAlign w:val="top"/>
          </w:tcPr>
          <w:p w14:paraId="79985E77">
            <w:pPr>
              <w:pStyle w:val="6"/>
              <w:spacing w:before="102" w:line="182" w:lineRule="auto"/>
              <w:ind w:left="21"/>
            </w:pPr>
            <w:r>
              <w:rPr>
                <w:b/>
                <w:bCs/>
                <w:spacing w:val="-2"/>
              </w:rPr>
              <w:t>B</w:t>
            </w:r>
          </w:p>
        </w:tc>
        <w:tc>
          <w:tcPr>
            <w:tcW w:w="220" w:type="dxa"/>
            <w:vAlign w:val="top"/>
          </w:tcPr>
          <w:p w14:paraId="39271B6B">
            <w:pPr>
              <w:pStyle w:val="6"/>
              <w:spacing w:before="101" w:line="183" w:lineRule="auto"/>
              <w:ind w:left="49"/>
            </w:pPr>
            <w:r>
              <w:t>C</w:t>
            </w:r>
          </w:p>
        </w:tc>
        <w:tc>
          <w:tcPr>
            <w:tcW w:w="224" w:type="dxa"/>
            <w:vAlign w:val="top"/>
          </w:tcPr>
          <w:p w14:paraId="1BFA2F56">
            <w:pPr>
              <w:pStyle w:val="6"/>
              <w:spacing w:before="102" w:line="182" w:lineRule="auto"/>
              <w:ind w:left="22"/>
            </w:pPr>
            <w:r>
              <w:rPr>
                <w:b/>
                <w:bCs/>
                <w:spacing w:val="-2"/>
              </w:rPr>
              <w:t>D</w:t>
            </w:r>
          </w:p>
        </w:tc>
      </w:tr>
      <w:tr w14:paraId="689044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5" w:hRule="atLeast"/>
        </w:trPr>
        <w:tc>
          <w:tcPr>
            <w:tcW w:w="893" w:type="dxa"/>
            <w:vMerge w:val="restart"/>
            <w:tcBorders>
              <w:bottom w:val="nil"/>
            </w:tcBorders>
            <w:vAlign w:val="top"/>
          </w:tcPr>
          <w:p w14:paraId="764A2D8E">
            <w:pPr>
              <w:spacing w:line="470" w:lineRule="auto"/>
              <w:rPr>
                <w:rFonts w:ascii="Arial"/>
                <w:sz w:val="21"/>
              </w:rPr>
            </w:pPr>
          </w:p>
          <w:p w14:paraId="66E0DD59">
            <w:pPr>
              <w:pStyle w:val="6"/>
              <w:spacing w:before="55" w:line="219" w:lineRule="auto"/>
              <w:ind w:left="184"/>
            </w:pPr>
            <w:r>
              <w:rPr>
                <w:spacing w:val="-2"/>
              </w:rPr>
              <w:t>旅行社</w:t>
            </w:r>
          </w:p>
        </w:tc>
        <w:tc>
          <w:tcPr>
            <w:tcW w:w="2314" w:type="dxa"/>
            <w:tcBorders>
              <w:bottom w:val="nil"/>
            </w:tcBorders>
            <w:vAlign w:val="top"/>
          </w:tcPr>
          <w:p w14:paraId="0893BD57">
            <w:pPr>
              <w:pStyle w:val="6"/>
              <w:spacing w:before="108" w:line="192" w:lineRule="auto"/>
              <w:ind w:left="11"/>
            </w:pPr>
            <w:r>
              <w:t>1.旅行社的概念</w:t>
            </w:r>
          </w:p>
        </w:tc>
        <w:tc>
          <w:tcPr>
            <w:tcW w:w="239" w:type="dxa"/>
            <w:tcBorders>
              <w:bottom w:val="nil"/>
            </w:tcBorders>
            <w:vAlign w:val="top"/>
          </w:tcPr>
          <w:p w14:paraId="3D2F4F7B">
            <w:pPr>
              <w:rPr>
                <w:rFonts w:ascii="Arial"/>
                <w:sz w:val="21"/>
              </w:rPr>
            </w:pPr>
          </w:p>
        </w:tc>
        <w:tc>
          <w:tcPr>
            <w:tcW w:w="229" w:type="dxa"/>
            <w:tcBorders>
              <w:bottom w:val="nil"/>
            </w:tcBorders>
            <w:vAlign w:val="top"/>
          </w:tcPr>
          <w:p w14:paraId="3E5CCF4F">
            <w:pPr>
              <w:rPr>
                <w:rFonts w:ascii="Arial"/>
                <w:sz w:val="21"/>
              </w:rPr>
            </w:pPr>
          </w:p>
        </w:tc>
        <w:tc>
          <w:tcPr>
            <w:tcW w:w="220" w:type="dxa"/>
            <w:tcBorders>
              <w:bottom w:val="nil"/>
            </w:tcBorders>
            <w:vAlign w:val="top"/>
          </w:tcPr>
          <w:p w14:paraId="2F84971E">
            <w:pPr>
              <w:rPr>
                <w:rFonts w:ascii="Arial"/>
                <w:sz w:val="21"/>
              </w:rPr>
            </w:pPr>
          </w:p>
        </w:tc>
        <w:tc>
          <w:tcPr>
            <w:tcW w:w="224" w:type="dxa"/>
            <w:tcBorders>
              <w:bottom w:val="nil"/>
            </w:tcBorders>
            <w:vAlign w:val="top"/>
          </w:tcPr>
          <w:p w14:paraId="3763C6AF">
            <w:pPr>
              <w:rPr>
                <w:rFonts w:ascii="Arial"/>
                <w:sz w:val="21"/>
              </w:rPr>
            </w:pPr>
          </w:p>
        </w:tc>
      </w:tr>
      <w:tr w14:paraId="7D0361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4" w:hRule="atLeast"/>
        </w:trPr>
        <w:tc>
          <w:tcPr>
            <w:tcW w:w="893" w:type="dxa"/>
            <w:vMerge w:val="continue"/>
            <w:tcBorders>
              <w:top w:val="nil"/>
              <w:bottom w:val="nil"/>
            </w:tcBorders>
            <w:vAlign w:val="top"/>
          </w:tcPr>
          <w:p w14:paraId="5AA916D0">
            <w:pPr>
              <w:rPr>
                <w:rFonts w:ascii="Arial"/>
                <w:sz w:val="21"/>
              </w:rPr>
            </w:pPr>
          </w:p>
        </w:tc>
        <w:tc>
          <w:tcPr>
            <w:tcW w:w="2314" w:type="dxa"/>
            <w:tcBorders>
              <w:top w:val="nil"/>
              <w:bottom w:val="nil"/>
            </w:tcBorders>
            <w:vAlign w:val="top"/>
          </w:tcPr>
          <w:p w14:paraId="6D5B3C16">
            <w:pPr>
              <w:pStyle w:val="6"/>
              <w:spacing w:before="22" w:line="197" w:lineRule="auto"/>
              <w:ind w:left="11"/>
            </w:pPr>
            <w:r>
              <w:rPr>
                <w:spacing w:val="-1"/>
              </w:rPr>
              <w:t>2.我国旅行社类型</w:t>
            </w:r>
          </w:p>
        </w:tc>
        <w:tc>
          <w:tcPr>
            <w:tcW w:w="239" w:type="dxa"/>
            <w:tcBorders>
              <w:top w:val="nil"/>
              <w:bottom w:val="nil"/>
            </w:tcBorders>
            <w:vAlign w:val="top"/>
          </w:tcPr>
          <w:p w14:paraId="3CFD8048">
            <w:pPr>
              <w:spacing w:line="204" w:lineRule="exact"/>
              <w:rPr>
                <w:rFonts w:ascii="Arial"/>
                <w:sz w:val="17"/>
              </w:rPr>
            </w:pPr>
          </w:p>
        </w:tc>
        <w:tc>
          <w:tcPr>
            <w:tcW w:w="229" w:type="dxa"/>
            <w:tcBorders>
              <w:top w:val="nil"/>
              <w:bottom w:val="nil"/>
            </w:tcBorders>
            <w:vAlign w:val="top"/>
          </w:tcPr>
          <w:p w14:paraId="125CB133">
            <w:pPr>
              <w:spacing w:line="204" w:lineRule="exact"/>
              <w:rPr>
                <w:rFonts w:ascii="Arial"/>
                <w:sz w:val="17"/>
              </w:rPr>
            </w:pPr>
          </w:p>
        </w:tc>
        <w:tc>
          <w:tcPr>
            <w:tcW w:w="220" w:type="dxa"/>
            <w:tcBorders>
              <w:top w:val="nil"/>
              <w:bottom w:val="nil"/>
            </w:tcBorders>
            <w:vAlign w:val="top"/>
          </w:tcPr>
          <w:p w14:paraId="1D25DD4D">
            <w:pPr>
              <w:spacing w:line="204" w:lineRule="exact"/>
              <w:rPr>
                <w:rFonts w:ascii="Arial"/>
                <w:sz w:val="17"/>
              </w:rPr>
            </w:pPr>
          </w:p>
        </w:tc>
        <w:tc>
          <w:tcPr>
            <w:tcW w:w="224" w:type="dxa"/>
            <w:tcBorders>
              <w:top w:val="nil"/>
              <w:bottom w:val="nil"/>
            </w:tcBorders>
            <w:vAlign w:val="top"/>
          </w:tcPr>
          <w:p w14:paraId="25E6BF02">
            <w:pPr>
              <w:spacing w:line="204" w:lineRule="exact"/>
              <w:rPr>
                <w:rFonts w:ascii="Arial"/>
                <w:sz w:val="17"/>
              </w:rPr>
            </w:pPr>
          </w:p>
        </w:tc>
      </w:tr>
      <w:tr w14:paraId="0F2BD7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5" w:hRule="atLeast"/>
        </w:trPr>
        <w:tc>
          <w:tcPr>
            <w:tcW w:w="893" w:type="dxa"/>
            <w:vMerge w:val="continue"/>
            <w:tcBorders>
              <w:top w:val="nil"/>
              <w:bottom w:val="nil"/>
            </w:tcBorders>
            <w:vAlign w:val="top"/>
          </w:tcPr>
          <w:p w14:paraId="2EDA461C">
            <w:pPr>
              <w:rPr>
                <w:rFonts w:ascii="Arial"/>
                <w:sz w:val="21"/>
              </w:rPr>
            </w:pPr>
          </w:p>
        </w:tc>
        <w:tc>
          <w:tcPr>
            <w:tcW w:w="2314" w:type="dxa"/>
            <w:tcBorders>
              <w:top w:val="nil"/>
              <w:bottom w:val="nil"/>
            </w:tcBorders>
            <w:vAlign w:val="top"/>
          </w:tcPr>
          <w:p w14:paraId="1E4625AD">
            <w:pPr>
              <w:pStyle w:val="6"/>
              <w:spacing w:before="29" w:line="191" w:lineRule="auto"/>
              <w:ind w:left="11"/>
            </w:pPr>
            <w:r>
              <w:rPr>
                <w:spacing w:val="-1"/>
              </w:rPr>
              <w:t>3.旅行社的职能和业务</w:t>
            </w:r>
          </w:p>
        </w:tc>
        <w:tc>
          <w:tcPr>
            <w:tcW w:w="239" w:type="dxa"/>
            <w:tcBorders>
              <w:top w:val="nil"/>
              <w:bottom w:val="nil"/>
            </w:tcBorders>
            <w:vAlign w:val="top"/>
          </w:tcPr>
          <w:p w14:paraId="6DF7A78B">
            <w:pPr>
              <w:spacing w:line="205" w:lineRule="exact"/>
              <w:rPr>
                <w:rFonts w:ascii="Arial"/>
                <w:sz w:val="17"/>
              </w:rPr>
            </w:pPr>
          </w:p>
        </w:tc>
        <w:tc>
          <w:tcPr>
            <w:tcW w:w="229" w:type="dxa"/>
            <w:tcBorders>
              <w:top w:val="nil"/>
              <w:bottom w:val="nil"/>
            </w:tcBorders>
            <w:vAlign w:val="top"/>
          </w:tcPr>
          <w:p w14:paraId="0962FA61">
            <w:pPr>
              <w:spacing w:line="205" w:lineRule="exact"/>
              <w:rPr>
                <w:rFonts w:ascii="Arial"/>
                <w:sz w:val="17"/>
              </w:rPr>
            </w:pPr>
          </w:p>
        </w:tc>
        <w:tc>
          <w:tcPr>
            <w:tcW w:w="220" w:type="dxa"/>
            <w:tcBorders>
              <w:top w:val="nil"/>
              <w:bottom w:val="nil"/>
            </w:tcBorders>
            <w:vAlign w:val="top"/>
          </w:tcPr>
          <w:p w14:paraId="626496AE">
            <w:pPr>
              <w:spacing w:line="205" w:lineRule="exact"/>
              <w:rPr>
                <w:rFonts w:ascii="Arial"/>
                <w:sz w:val="17"/>
              </w:rPr>
            </w:pPr>
          </w:p>
        </w:tc>
        <w:tc>
          <w:tcPr>
            <w:tcW w:w="224" w:type="dxa"/>
            <w:tcBorders>
              <w:top w:val="nil"/>
              <w:bottom w:val="nil"/>
            </w:tcBorders>
            <w:vAlign w:val="top"/>
          </w:tcPr>
          <w:p w14:paraId="25B9CF53">
            <w:pPr>
              <w:spacing w:line="205" w:lineRule="exact"/>
              <w:rPr>
                <w:rFonts w:ascii="Arial"/>
                <w:sz w:val="17"/>
              </w:rPr>
            </w:pPr>
          </w:p>
        </w:tc>
      </w:tr>
      <w:tr w14:paraId="43951A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5" w:hRule="atLeast"/>
        </w:trPr>
        <w:tc>
          <w:tcPr>
            <w:tcW w:w="893" w:type="dxa"/>
            <w:vMerge w:val="continue"/>
            <w:tcBorders>
              <w:top w:val="nil"/>
              <w:bottom w:val="nil"/>
            </w:tcBorders>
            <w:vAlign w:val="top"/>
          </w:tcPr>
          <w:p w14:paraId="489311B5">
            <w:pPr>
              <w:rPr>
                <w:rFonts w:ascii="Arial"/>
                <w:sz w:val="21"/>
              </w:rPr>
            </w:pPr>
          </w:p>
        </w:tc>
        <w:tc>
          <w:tcPr>
            <w:tcW w:w="2314" w:type="dxa"/>
            <w:tcBorders>
              <w:top w:val="nil"/>
              <w:bottom w:val="nil"/>
            </w:tcBorders>
            <w:vAlign w:val="top"/>
          </w:tcPr>
          <w:p w14:paraId="62B19DC2">
            <w:pPr>
              <w:pStyle w:val="6"/>
              <w:spacing w:before="23" w:line="208" w:lineRule="auto"/>
              <w:ind w:left="11"/>
            </w:pPr>
            <w:r>
              <w:rPr>
                <w:spacing w:val="-1"/>
              </w:rPr>
              <w:t>4.旅行社质量保证金</w:t>
            </w:r>
          </w:p>
        </w:tc>
        <w:tc>
          <w:tcPr>
            <w:tcW w:w="239" w:type="dxa"/>
            <w:tcBorders>
              <w:top w:val="nil"/>
              <w:bottom w:val="nil"/>
            </w:tcBorders>
            <w:vAlign w:val="top"/>
          </w:tcPr>
          <w:p w14:paraId="0E03AFB3">
            <w:pPr>
              <w:spacing w:line="215" w:lineRule="exact"/>
              <w:rPr>
                <w:rFonts w:ascii="Arial"/>
                <w:sz w:val="18"/>
              </w:rPr>
            </w:pPr>
          </w:p>
        </w:tc>
        <w:tc>
          <w:tcPr>
            <w:tcW w:w="229" w:type="dxa"/>
            <w:tcBorders>
              <w:top w:val="nil"/>
              <w:bottom w:val="nil"/>
            </w:tcBorders>
            <w:vAlign w:val="top"/>
          </w:tcPr>
          <w:p w14:paraId="7744849B">
            <w:pPr>
              <w:spacing w:line="215" w:lineRule="exact"/>
              <w:rPr>
                <w:rFonts w:ascii="Arial"/>
                <w:sz w:val="18"/>
              </w:rPr>
            </w:pPr>
          </w:p>
        </w:tc>
        <w:tc>
          <w:tcPr>
            <w:tcW w:w="220" w:type="dxa"/>
            <w:tcBorders>
              <w:top w:val="nil"/>
              <w:bottom w:val="nil"/>
            </w:tcBorders>
            <w:vAlign w:val="top"/>
          </w:tcPr>
          <w:p w14:paraId="351D216A">
            <w:pPr>
              <w:spacing w:line="215" w:lineRule="exact"/>
              <w:rPr>
                <w:rFonts w:ascii="Arial"/>
                <w:sz w:val="18"/>
              </w:rPr>
            </w:pPr>
          </w:p>
        </w:tc>
        <w:tc>
          <w:tcPr>
            <w:tcW w:w="224" w:type="dxa"/>
            <w:tcBorders>
              <w:top w:val="nil"/>
              <w:bottom w:val="nil"/>
            </w:tcBorders>
            <w:vAlign w:val="top"/>
          </w:tcPr>
          <w:p w14:paraId="3E069050">
            <w:pPr>
              <w:spacing w:line="215" w:lineRule="exact"/>
              <w:rPr>
                <w:rFonts w:ascii="Arial"/>
                <w:sz w:val="18"/>
              </w:rPr>
            </w:pPr>
          </w:p>
        </w:tc>
      </w:tr>
      <w:tr w14:paraId="2E13C3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893" w:type="dxa"/>
            <w:vMerge w:val="continue"/>
            <w:tcBorders>
              <w:top w:val="nil"/>
            </w:tcBorders>
            <w:vAlign w:val="top"/>
          </w:tcPr>
          <w:p w14:paraId="2F2F329C">
            <w:pPr>
              <w:rPr>
                <w:rFonts w:ascii="Arial"/>
                <w:sz w:val="21"/>
              </w:rPr>
            </w:pPr>
          </w:p>
        </w:tc>
        <w:tc>
          <w:tcPr>
            <w:tcW w:w="2314" w:type="dxa"/>
            <w:tcBorders>
              <w:top w:val="nil"/>
            </w:tcBorders>
            <w:vAlign w:val="top"/>
          </w:tcPr>
          <w:p w14:paraId="638C871E">
            <w:pPr>
              <w:pStyle w:val="6"/>
              <w:spacing w:before="39" w:line="219" w:lineRule="auto"/>
              <w:ind w:left="11"/>
            </w:pPr>
            <w:r>
              <w:rPr>
                <w:spacing w:val="2"/>
              </w:rPr>
              <w:t>5.旅行社的作用</w:t>
            </w:r>
          </w:p>
        </w:tc>
        <w:tc>
          <w:tcPr>
            <w:tcW w:w="239" w:type="dxa"/>
            <w:tcBorders>
              <w:top w:val="nil"/>
            </w:tcBorders>
            <w:vAlign w:val="top"/>
          </w:tcPr>
          <w:p w14:paraId="71D099C1">
            <w:pPr>
              <w:rPr>
                <w:rFonts w:ascii="Arial"/>
                <w:sz w:val="21"/>
              </w:rPr>
            </w:pPr>
          </w:p>
        </w:tc>
        <w:tc>
          <w:tcPr>
            <w:tcW w:w="229" w:type="dxa"/>
            <w:tcBorders>
              <w:top w:val="nil"/>
            </w:tcBorders>
            <w:vAlign w:val="top"/>
          </w:tcPr>
          <w:p w14:paraId="37EB2F8C">
            <w:pPr>
              <w:rPr>
                <w:rFonts w:ascii="Arial"/>
                <w:sz w:val="21"/>
              </w:rPr>
            </w:pPr>
          </w:p>
        </w:tc>
        <w:tc>
          <w:tcPr>
            <w:tcW w:w="220" w:type="dxa"/>
            <w:tcBorders>
              <w:top w:val="nil"/>
            </w:tcBorders>
            <w:vAlign w:val="top"/>
          </w:tcPr>
          <w:p w14:paraId="1E64580E">
            <w:pPr>
              <w:rPr>
                <w:rFonts w:ascii="Arial"/>
                <w:sz w:val="21"/>
              </w:rPr>
            </w:pPr>
          </w:p>
        </w:tc>
        <w:tc>
          <w:tcPr>
            <w:tcW w:w="224" w:type="dxa"/>
            <w:tcBorders>
              <w:top w:val="nil"/>
            </w:tcBorders>
            <w:vAlign w:val="top"/>
          </w:tcPr>
          <w:p w14:paraId="202CB8D3">
            <w:pPr>
              <w:rPr>
                <w:rFonts w:ascii="Arial"/>
                <w:sz w:val="21"/>
              </w:rPr>
            </w:pPr>
          </w:p>
        </w:tc>
      </w:tr>
      <w:tr w14:paraId="0E66B7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59" w:hRule="atLeast"/>
        </w:trPr>
        <w:tc>
          <w:tcPr>
            <w:tcW w:w="893" w:type="dxa"/>
            <w:vAlign w:val="top"/>
          </w:tcPr>
          <w:p w14:paraId="29769EF5">
            <w:pPr>
              <w:spacing w:line="243" w:lineRule="auto"/>
              <w:rPr>
                <w:rFonts w:ascii="Arial"/>
                <w:sz w:val="21"/>
              </w:rPr>
            </w:pPr>
          </w:p>
          <w:p w14:paraId="2686DA13">
            <w:pPr>
              <w:pStyle w:val="6"/>
              <w:spacing w:before="56" w:line="220" w:lineRule="auto"/>
              <w:ind w:left="94"/>
            </w:pPr>
            <w:r>
              <w:rPr>
                <w:spacing w:val="-2"/>
              </w:rPr>
              <w:t>旅游交通</w:t>
            </w:r>
          </w:p>
        </w:tc>
        <w:tc>
          <w:tcPr>
            <w:tcW w:w="2314" w:type="dxa"/>
            <w:vAlign w:val="top"/>
          </w:tcPr>
          <w:p w14:paraId="396C056C">
            <w:pPr>
              <w:pStyle w:val="6"/>
              <w:spacing w:before="110" w:line="231" w:lineRule="auto"/>
              <w:ind w:left="11" w:right="260"/>
            </w:pPr>
            <w:r>
              <w:rPr>
                <w:spacing w:val="1"/>
              </w:rPr>
              <w:t xml:space="preserve">1.旅游交通的概念及特点  </w:t>
            </w:r>
            <w:r>
              <w:rPr>
                <w:spacing w:val="-1"/>
              </w:rPr>
              <w:t>2.旅游者对旅游交通的选择</w:t>
            </w:r>
            <w:r>
              <w:rPr>
                <w:spacing w:val="3"/>
              </w:rPr>
              <w:t xml:space="preserve"> </w:t>
            </w:r>
            <w:r>
              <w:rPr>
                <w:spacing w:val="2"/>
              </w:rPr>
              <w:t>3.旅游交通的作用</w:t>
            </w:r>
          </w:p>
        </w:tc>
        <w:tc>
          <w:tcPr>
            <w:tcW w:w="239" w:type="dxa"/>
            <w:vAlign w:val="top"/>
          </w:tcPr>
          <w:p w14:paraId="312DF59F">
            <w:pPr>
              <w:rPr>
                <w:rFonts w:ascii="Arial"/>
                <w:sz w:val="21"/>
              </w:rPr>
            </w:pPr>
          </w:p>
        </w:tc>
        <w:tc>
          <w:tcPr>
            <w:tcW w:w="229" w:type="dxa"/>
            <w:vAlign w:val="top"/>
          </w:tcPr>
          <w:p w14:paraId="2DBF0954">
            <w:pPr>
              <w:spacing w:before="95" w:line="112" w:lineRule="exact"/>
              <w:ind w:firstLine="50"/>
            </w:pPr>
            <w:r>
              <w:rPr>
                <w:position w:val="-2"/>
              </w:rPr>
              <w:drawing>
                <wp:inline distT="0" distB="0" distL="0" distR="0">
                  <wp:extent cx="80010" cy="71120"/>
                  <wp:effectExtent l="0" t="0" r="0" b="0"/>
                  <wp:docPr id="240" name="IM 240"/>
                  <wp:cNvGraphicFramePr/>
                  <a:graphic xmlns:a="http://schemas.openxmlformats.org/drawingml/2006/main">
                    <a:graphicData uri="http://schemas.openxmlformats.org/drawingml/2006/picture">
                      <pic:pic xmlns:pic="http://schemas.openxmlformats.org/drawingml/2006/picture">
                        <pic:nvPicPr>
                          <pic:cNvPr id="240" name="IM 240"/>
                          <pic:cNvPicPr/>
                        </pic:nvPicPr>
                        <pic:blipFill>
                          <a:blip r:embed="rId285"/>
                          <a:stretch>
                            <a:fillRect/>
                          </a:stretch>
                        </pic:blipFill>
                        <pic:spPr>
                          <a:xfrm>
                            <a:off x="0" y="0"/>
                            <a:ext cx="80015" cy="71128"/>
                          </a:xfrm>
                          <a:prstGeom prst="rect">
                            <a:avLst/>
                          </a:prstGeom>
                        </pic:spPr>
                      </pic:pic>
                    </a:graphicData>
                  </a:graphic>
                </wp:inline>
              </w:drawing>
            </w:r>
          </w:p>
        </w:tc>
        <w:tc>
          <w:tcPr>
            <w:tcW w:w="220" w:type="dxa"/>
            <w:vAlign w:val="top"/>
          </w:tcPr>
          <w:p w14:paraId="4F802515">
            <w:pPr>
              <w:rPr>
                <w:rFonts w:ascii="Arial"/>
                <w:sz w:val="21"/>
              </w:rPr>
            </w:pPr>
          </w:p>
        </w:tc>
        <w:tc>
          <w:tcPr>
            <w:tcW w:w="224" w:type="dxa"/>
            <w:vAlign w:val="top"/>
          </w:tcPr>
          <w:p w14:paraId="0F40EF2B">
            <w:pPr>
              <w:rPr>
                <w:rFonts w:ascii="Arial"/>
                <w:sz w:val="21"/>
              </w:rPr>
            </w:pPr>
          </w:p>
        </w:tc>
      </w:tr>
      <w:tr w14:paraId="17BB5A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5" w:hRule="atLeast"/>
        </w:trPr>
        <w:tc>
          <w:tcPr>
            <w:tcW w:w="893" w:type="dxa"/>
            <w:vMerge w:val="restart"/>
            <w:tcBorders>
              <w:bottom w:val="nil"/>
            </w:tcBorders>
            <w:vAlign w:val="top"/>
          </w:tcPr>
          <w:p w14:paraId="662B2798">
            <w:pPr>
              <w:spacing w:line="364" w:lineRule="auto"/>
              <w:rPr>
                <w:rFonts w:ascii="Arial"/>
                <w:sz w:val="21"/>
              </w:rPr>
            </w:pPr>
          </w:p>
          <w:p w14:paraId="7F68443C">
            <w:pPr>
              <w:pStyle w:val="6"/>
              <w:spacing w:before="55" w:line="220" w:lineRule="auto"/>
              <w:ind w:left="94"/>
            </w:pPr>
            <w:r>
              <w:rPr>
                <w:spacing w:val="-2"/>
              </w:rPr>
              <w:t>旅游饭店</w:t>
            </w:r>
          </w:p>
        </w:tc>
        <w:tc>
          <w:tcPr>
            <w:tcW w:w="2314" w:type="dxa"/>
            <w:tcBorders>
              <w:bottom w:val="nil"/>
            </w:tcBorders>
            <w:vAlign w:val="top"/>
          </w:tcPr>
          <w:p w14:paraId="09A6A343">
            <w:pPr>
              <w:pStyle w:val="6"/>
              <w:spacing w:before="110" w:line="200" w:lineRule="auto"/>
              <w:ind w:left="11"/>
            </w:pPr>
            <w:r>
              <w:t>1.旅游饭店的概念</w:t>
            </w:r>
          </w:p>
        </w:tc>
        <w:tc>
          <w:tcPr>
            <w:tcW w:w="239" w:type="dxa"/>
            <w:tcBorders>
              <w:bottom w:val="nil"/>
            </w:tcBorders>
            <w:vAlign w:val="top"/>
          </w:tcPr>
          <w:p w14:paraId="59B2AF6C">
            <w:pPr>
              <w:rPr>
                <w:rFonts w:ascii="Arial"/>
                <w:sz w:val="21"/>
              </w:rPr>
            </w:pPr>
          </w:p>
        </w:tc>
        <w:tc>
          <w:tcPr>
            <w:tcW w:w="229" w:type="dxa"/>
            <w:tcBorders>
              <w:bottom w:val="nil"/>
            </w:tcBorders>
            <w:vAlign w:val="top"/>
          </w:tcPr>
          <w:p w14:paraId="45071C01">
            <w:pPr>
              <w:rPr>
                <w:rFonts w:ascii="Arial"/>
                <w:sz w:val="21"/>
              </w:rPr>
            </w:pPr>
          </w:p>
        </w:tc>
        <w:tc>
          <w:tcPr>
            <w:tcW w:w="220" w:type="dxa"/>
            <w:tcBorders>
              <w:bottom w:val="nil"/>
            </w:tcBorders>
            <w:vAlign w:val="top"/>
          </w:tcPr>
          <w:p w14:paraId="6FAF3967">
            <w:pPr>
              <w:rPr>
                <w:rFonts w:ascii="Arial"/>
                <w:sz w:val="21"/>
              </w:rPr>
            </w:pPr>
          </w:p>
        </w:tc>
        <w:tc>
          <w:tcPr>
            <w:tcW w:w="224" w:type="dxa"/>
            <w:tcBorders>
              <w:bottom w:val="nil"/>
            </w:tcBorders>
            <w:vAlign w:val="top"/>
          </w:tcPr>
          <w:p w14:paraId="14AD18B0">
            <w:pPr>
              <w:rPr>
                <w:rFonts w:ascii="Arial"/>
                <w:sz w:val="21"/>
              </w:rPr>
            </w:pPr>
          </w:p>
        </w:tc>
      </w:tr>
      <w:tr w14:paraId="1C289B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5" w:hRule="atLeast"/>
        </w:trPr>
        <w:tc>
          <w:tcPr>
            <w:tcW w:w="893" w:type="dxa"/>
            <w:vMerge w:val="continue"/>
            <w:tcBorders>
              <w:top w:val="nil"/>
              <w:bottom w:val="nil"/>
            </w:tcBorders>
            <w:vAlign w:val="top"/>
          </w:tcPr>
          <w:p w14:paraId="693058EA">
            <w:pPr>
              <w:rPr>
                <w:rFonts w:ascii="Arial"/>
                <w:sz w:val="21"/>
              </w:rPr>
            </w:pPr>
          </w:p>
        </w:tc>
        <w:tc>
          <w:tcPr>
            <w:tcW w:w="2314" w:type="dxa"/>
            <w:tcBorders>
              <w:top w:val="nil"/>
              <w:bottom w:val="nil"/>
            </w:tcBorders>
            <w:vAlign w:val="top"/>
          </w:tcPr>
          <w:p w14:paraId="6C158136">
            <w:pPr>
              <w:pStyle w:val="6"/>
              <w:spacing w:before="35" w:line="184" w:lineRule="auto"/>
              <w:ind w:left="11"/>
            </w:pPr>
            <w:r>
              <w:rPr>
                <w:spacing w:val="-1"/>
              </w:rPr>
              <w:t>2.旅游饭店的等级</w:t>
            </w:r>
          </w:p>
        </w:tc>
        <w:tc>
          <w:tcPr>
            <w:tcW w:w="239" w:type="dxa"/>
            <w:tcBorders>
              <w:top w:val="nil"/>
              <w:bottom w:val="nil"/>
            </w:tcBorders>
            <w:vAlign w:val="top"/>
          </w:tcPr>
          <w:p w14:paraId="7DFE4583">
            <w:pPr>
              <w:spacing w:line="205" w:lineRule="exact"/>
              <w:rPr>
                <w:rFonts w:ascii="Arial"/>
                <w:sz w:val="17"/>
              </w:rPr>
            </w:pPr>
          </w:p>
        </w:tc>
        <w:tc>
          <w:tcPr>
            <w:tcW w:w="229" w:type="dxa"/>
            <w:tcBorders>
              <w:top w:val="nil"/>
              <w:bottom w:val="nil"/>
            </w:tcBorders>
            <w:vAlign w:val="top"/>
          </w:tcPr>
          <w:p w14:paraId="2DEC0F32">
            <w:pPr>
              <w:spacing w:line="205" w:lineRule="exact"/>
              <w:rPr>
                <w:rFonts w:ascii="Arial"/>
                <w:sz w:val="17"/>
              </w:rPr>
            </w:pPr>
          </w:p>
        </w:tc>
        <w:tc>
          <w:tcPr>
            <w:tcW w:w="220" w:type="dxa"/>
            <w:tcBorders>
              <w:top w:val="nil"/>
              <w:bottom w:val="nil"/>
            </w:tcBorders>
            <w:vAlign w:val="top"/>
          </w:tcPr>
          <w:p w14:paraId="2E4EC6EB">
            <w:pPr>
              <w:spacing w:line="205" w:lineRule="exact"/>
              <w:rPr>
                <w:rFonts w:ascii="Arial"/>
                <w:sz w:val="17"/>
              </w:rPr>
            </w:pPr>
          </w:p>
        </w:tc>
        <w:tc>
          <w:tcPr>
            <w:tcW w:w="224" w:type="dxa"/>
            <w:tcBorders>
              <w:top w:val="nil"/>
              <w:bottom w:val="nil"/>
            </w:tcBorders>
            <w:vAlign w:val="top"/>
          </w:tcPr>
          <w:p w14:paraId="4158B9D0">
            <w:pPr>
              <w:spacing w:line="205" w:lineRule="exact"/>
              <w:rPr>
                <w:rFonts w:ascii="Arial"/>
                <w:sz w:val="17"/>
              </w:rPr>
            </w:pPr>
          </w:p>
        </w:tc>
      </w:tr>
      <w:tr w14:paraId="38D232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5" w:hRule="atLeast"/>
        </w:trPr>
        <w:tc>
          <w:tcPr>
            <w:tcW w:w="893" w:type="dxa"/>
            <w:vMerge w:val="continue"/>
            <w:tcBorders>
              <w:top w:val="nil"/>
              <w:bottom w:val="nil"/>
            </w:tcBorders>
            <w:vAlign w:val="top"/>
          </w:tcPr>
          <w:p w14:paraId="2E4EAF7F">
            <w:pPr>
              <w:rPr>
                <w:rFonts w:ascii="Arial"/>
                <w:sz w:val="21"/>
              </w:rPr>
            </w:pPr>
          </w:p>
        </w:tc>
        <w:tc>
          <w:tcPr>
            <w:tcW w:w="2314" w:type="dxa"/>
            <w:tcBorders>
              <w:top w:val="nil"/>
              <w:bottom w:val="nil"/>
            </w:tcBorders>
            <w:vAlign w:val="top"/>
          </w:tcPr>
          <w:p w14:paraId="2BCAB2A7">
            <w:pPr>
              <w:pStyle w:val="6"/>
              <w:spacing w:before="20" w:line="200" w:lineRule="auto"/>
              <w:ind w:left="11"/>
            </w:pPr>
            <w:r>
              <w:rPr>
                <w:spacing w:val="1"/>
              </w:rPr>
              <w:t>3.旅游饭店的类型</w:t>
            </w:r>
          </w:p>
        </w:tc>
        <w:tc>
          <w:tcPr>
            <w:tcW w:w="239" w:type="dxa"/>
            <w:tcBorders>
              <w:top w:val="nil"/>
              <w:bottom w:val="nil"/>
            </w:tcBorders>
            <w:vAlign w:val="top"/>
          </w:tcPr>
          <w:p w14:paraId="7589708E">
            <w:pPr>
              <w:spacing w:line="205" w:lineRule="exact"/>
              <w:rPr>
                <w:rFonts w:ascii="Arial"/>
                <w:sz w:val="17"/>
              </w:rPr>
            </w:pPr>
          </w:p>
        </w:tc>
        <w:tc>
          <w:tcPr>
            <w:tcW w:w="229" w:type="dxa"/>
            <w:tcBorders>
              <w:top w:val="nil"/>
              <w:bottom w:val="nil"/>
            </w:tcBorders>
            <w:vAlign w:val="top"/>
          </w:tcPr>
          <w:p w14:paraId="012F3989">
            <w:pPr>
              <w:spacing w:line="205" w:lineRule="exact"/>
              <w:rPr>
                <w:rFonts w:ascii="Arial"/>
                <w:sz w:val="17"/>
              </w:rPr>
            </w:pPr>
          </w:p>
        </w:tc>
        <w:tc>
          <w:tcPr>
            <w:tcW w:w="220" w:type="dxa"/>
            <w:tcBorders>
              <w:top w:val="nil"/>
              <w:bottom w:val="nil"/>
            </w:tcBorders>
            <w:vAlign w:val="top"/>
          </w:tcPr>
          <w:p w14:paraId="68E4640D">
            <w:pPr>
              <w:spacing w:line="205" w:lineRule="exact"/>
              <w:rPr>
                <w:rFonts w:ascii="Arial"/>
                <w:sz w:val="17"/>
              </w:rPr>
            </w:pPr>
          </w:p>
        </w:tc>
        <w:tc>
          <w:tcPr>
            <w:tcW w:w="224" w:type="dxa"/>
            <w:tcBorders>
              <w:top w:val="nil"/>
              <w:bottom w:val="nil"/>
            </w:tcBorders>
            <w:vAlign w:val="top"/>
          </w:tcPr>
          <w:p w14:paraId="6B42B396">
            <w:pPr>
              <w:spacing w:line="205" w:lineRule="exact"/>
              <w:rPr>
                <w:rFonts w:ascii="Arial"/>
                <w:sz w:val="17"/>
              </w:rPr>
            </w:pPr>
          </w:p>
        </w:tc>
      </w:tr>
      <w:tr w14:paraId="5075D9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4" w:hRule="atLeast"/>
        </w:trPr>
        <w:tc>
          <w:tcPr>
            <w:tcW w:w="893" w:type="dxa"/>
            <w:vMerge w:val="continue"/>
            <w:tcBorders>
              <w:top w:val="nil"/>
            </w:tcBorders>
            <w:vAlign w:val="top"/>
          </w:tcPr>
          <w:p w14:paraId="77266280">
            <w:pPr>
              <w:rPr>
                <w:rFonts w:ascii="Arial"/>
                <w:sz w:val="21"/>
              </w:rPr>
            </w:pPr>
          </w:p>
        </w:tc>
        <w:tc>
          <w:tcPr>
            <w:tcW w:w="2314" w:type="dxa"/>
            <w:tcBorders>
              <w:top w:val="nil"/>
            </w:tcBorders>
            <w:vAlign w:val="top"/>
          </w:tcPr>
          <w:p w14:paraId="3900D6F7">
            <w:pPr>
              <w:pStyle w:val="6"/>
              <w:spacing w:before="36" w:line="220" w:lineRule="auto"/>
              <w:ind w:left="11"/>
            </w:pPr>
            <w:r>
              <w:rPr>
                <w:spacing w:val="-1"/>
              </w:rPr>
              <w:t>4.旅游者对饭店的要求</w:t>
            </w:r>
          </w:p>
        </w:tc>
        <w:tc>
          <w:tcPr>
            <w:tcW w:w="239" w:type="dxa"/>
            <w:tcBorders>
              <w:top w:val="nil"/>
            </w:tcBorders>
            <w:vAlign w:val="top"/>
          </w:tcPr>
          <w:p w14:paraId="6636F66B">
            <w:pPr>
              <w:rPr>
                <w:rFonts w:ascii="Arial"/>
                <w:sz w:val="21"/>
              </w:rPr>
            </w:pPr>
          </w:p>
        </w:tc>
        <w:tc>
          <w:tcPr>
            <w:tcW w:w="229" w:type="dxa"/>
            <w:tcBorders>
              <w:top w:val="nil"/>
            </w:tcBorders>
            <w:vAlign w:val="top"/>
          </w:tcPr>
          <w:p w14:paraId="7844233B">
            <w:pPr>
              <w:rPr>
                <w:rFonts w:ascii="Arial"/>
                <w:sz w:val="21"/>
              </w:rPr>
            </w:pPr>
          </w:p>
        </w:tc>
        <w:tc>
          <w:tcPr>
            <w:tcW w:w="220" w:type="dxa"/>
            <w:tcBorders>
              <w:top w:val="nil"/>
            </w:tcBorders>
            <w:vAlign w:val="top"/>
          </w:tcPr>
          <w:p w14:paraId="77A78737">
            <w:pPr>
              <w:rPr>
                <w:rFonts w:ascii="Arial"/>
                <w:sz w:val="21"/>
              </w:rPr>
            </w:pPr>
          </w:p>
        </w:tc>
        <w:tc>
          <w:tcPr>
            <w:tcW w:w="224" w:type="dxa"/>
            <w:tcBorders>
              <w:top w:val="nil"/>
            </w:tcBorders>
            <w:vAlign w:val="top"/>
          </w:tcPr>
          <w:p w14:paraId="402EE057">
            <w:pPr>
              <w:rPr>
                <w:rFonts w:ascii="Arial"/>
                <w:sz w:val="21"/>
              </w:rPr>
            </w:pPr>
          </w:p>
        </w:tc>
      </w:tr>
      <w:tr w14:paraId="47FB23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4" w:hRule="atLeast"/>
        </w:trPr>
        <w:tc>
          <w:tcPr>
            <w:tcW w:w="893" w:type="dxa"/>
            <w:vMerge w:val="restart"/>
            <w:tcBorders>
              <w:bottom w:val="nil"/>
            </w:tcBorders>
            <w:vAlign w:val="top"/>
          </w:tcPr>
          <w:p w14:paraId="1874E43E">
            <w:pPr>
              <w:spacing w:line="464" w:lineRule="auto"/>
              <w:rPr>
                <w:rFonts w:ascii="Arial"/>
                <w:sz w:val="21"/>
              </w:rPr>
            </w:pPr>
          </w:p>
          <w:p w14:paraId="59E39304">
            <w:pPr>
              <w:pStyle w:val="6"/>
              <w:spacing w:before="55" w:line="219" w:lineRule="auto"/>
              <w:ind w:left="94"/>
            </w:pPr>
            <w:r>
              <w:rPr>
                <w:spacing w:val="3"/>
              </w:rPr>
              <w:t>旅游景区</w:t>
            </w:r>
          </w:p>
        </w:tc>
        <w:tc>
          <w:tcPr>
            <w:tcW w:w="2314" w:type="dxa"/>
            <w:tcBorders>
              <w:bottom w:val="nil"/>
            </w:tcBorders>
            <w:vAlign w:val="top"/>
          </w:tcPr>
          <w:p w14:paraId="2EB08B46">
            <w:pPr>
              <w:pStyle w:val="6"/>
              <w:spacing w:before="91" w:line="187" w:lineRule="auto"/>
              <w:ind w:left="11"/>
            </w:pPr>
            <w:r>
              <w:rPr>
                <w:spacing w:val="1"/>
              </w:rPr>
              <w:t>1.旅游景区的概念及特点</w:t>
            </w:r>
          </w:p>
        </w:tc>
        <w:tc>
          <w:tcPr>
            <w:tcW w:w="239" w:type="dxa"/>
            <w:tcBorders>
              <w:bottom w:val="nil"/>
            </w:tcBorders>
            <w:vAlign w:val="top"/>
          </w:tcPr>
          <w:p w14:paraId="69031E4B">
            <w:pPr>
              <w:rPr>
                <w:rFonts w:ascii="Arial"/>
                <w:sz w:val="21"/>
              </w:rPr>
            </w:pPr>
          </w:p>
        </w:tc>
        <w:tc>
          <w:tcPr>
            <w:tcW w:w="229" w:type="dxa"/>
            <w:tcBorders>
              <w:bottom w:val="nil"/>
            </w:tcBorders>
            <w:vAlign w:val="top"/>
          </w:tcPr>
          <w:p w14:paraId="73519250">
            <w:pPr>
              <w:rPr>
                <w:rFonts w:ascii="Arial"/>
                <w:sz w:val="21"/>
              </w:rPr>
            </w:pPr>
          </w:p>
        </w:tc>
        <w:tc>
          <w:tcPr>
            <w:tcW w:w="220" w:type="dxa"/>
            <w:tcBorders>
              <w:bottom w:val="nil"/>
            </w:tcBorders>
            <w:vAlign w:val="top"/>
          </w:tcPr>
          <w:p w14:paraId="4F51CA90">
            <w:pPr>
              <w:rPr>
                <w:rFonts w:ascii="Arial"/>
                <w:sz w:val="21"/>
              </w:rPr>
            </w:pPr>
          </w:p>
        </w:tc>
        <w:tc>
          <w:tcPr>
            <w:tcW w:w="224" w:type="dxa"/>
            <w:tcBorders>
              <w:bottom w:val="nil"/>
            </w:tcBorders>
            <w:vAlign w:val="top"/>
          </w:tcPr>
          <w:p w14:paraId="7846DBD8">
            <w:pPr>
              <w:rPr>
                <w:rFonts w:ascii="Arial"/>
                <w:sz w:val="21"/>
              </w:rPr>
            </w:pPr>
          </w:p>
        </w:tc>
      </w:tr>
      <w:tr w14:paraId="57DB49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0" w:hRule="atLeast"/>
        </w:trPr>
        <w:tc>
          <w:tcPr>
            <w:tcW w:w="893" w:type="dxa"/>
            <w:vMerge w:val="continue"/>
            <w:tcBorders>
              <w:top w:val="nil"/>
              <w:bottom w:val="nil"/>
            </w:tcBorders>
            <w:vAlign w:val="top"/>
          </w:tcPr>
          <w:p w14:paraId="574C7923">
            <w:pPr>
              <w:rPr>
                <w:rFonts w:ascii="Arial"/>
                <w:sz w:val="21"/>
              </w:rPr>
            </w:pPr>
          </w:p>
        </w:tc>
        <w:tc>
          <w:tcPr>
            <w:tcW w:w="2314" w:type="dxa"/>
            <w:tcBorders>
              <w:top w:val="nil"/>
              <w:bottom w:val="nil"/>
            </w:tcBorders>
            <w:vAlign w:val="top"/>
          </w:tcPr>
          <w:p w14:paraId="016DE5E0">
            <w:pPr>
              <w:pStyle w:val="6"/>
              <w:spacing w:before="27" w:line="198" w:lineRule="auto"/>
              <w:ind w:left="11"/>
            </w:pPr>
            <w:r>
              <w:rPr>
                <w:spacing w:val="-1"/>
              </w:rPr>
              <w:t>2.旅游景区的形成条件</w:t>
            </w:r>
          </w:p>
        </w:tc>
        <w:tc>
          <w:tcPr>
            <w:tcW w:w="239" w:type="dxa"/>
            <w:tcBorders>
              <w:top w:val="nil"/>
              <w:bottom w:val="nil"/>
            </w:tcBorders>
            <w:vAlign w:val="top"/>
          </w:tcPr>
          <w:p w14:paraId="7571F4B5">
            <w:pPr>
              <w:spacing w:line="210" w:lineRule="exact"/>
              <w:rPr>
                <w:rFonts w:ascii="Arial"/>
                <w:sz w:val="18"/>
              </w:rPr>
            </w:pPr>
          </w:p>
        </w:tc>
        <w:tc>
          <w:tcPr>
            <w:tcW w:w="229" w:type="dxa"/>
            <w:tcBorders>
              <w:top w:val="nil"/>
              <w:bottom w:val="nil"/>
            </w:tcBorders>
            <w:vAlign w:val="top"/>
          </w:tcPr>
          <w:p w14:paraId="70E71557">
            <w:pPr>
              <w:spacing w:line="210" w:lineRule="exact"/>
              <w:rPr>
                <w:rFonts w:ascii="Arial"/>
                <w:sz w:val="18"/>
              </w:rPr>
            </w:pPr>
          </w:p>
        </w:tc>
        <w:tc>
          <w:tcPr>
            <w:tcW w:w="220" w:type="dxa"/>
            <w:tcBorders>
              <w:top w:val="nil"/>
              <w:bottom w:val="nil"/>
            </w:tcBorders>
            <w:vAlign w:val="top"/>
          </w:tcPr>
          <w:p w14:paraId="23FA889F">
            <w:pPr>
              <w:spacing w:line="210" w:lineRule="exact"/>
              <w:rPr>
                <w:rFonts w:ascii="Arial"/>
                <w:sz w:val="18"/>
              </w:rPr>
            </w:pPr>
          </w:p>
        </w:tc>
        <w:tc>
          <w:tcPr>
            <w:tcW w:w="224" w:type="dxa"/>
            <w:tcBorders>
              <w:top w:val="nil"/>
              <w:bottom w:val="nil"/>
            </w:tcBorders>
            <w:vAlign w:val="top"/>
          </w:tcPr>
          <w:p w14:paraId="7C65F411">
            <w:pPr>
              <w:spacing w:line="210" w:lineRule="exact"/>
              <w:rPr>
                <w:rFonts w:ascii="Arial"/>
                <w:sz w:val="18"/>
              </w:rPr>
            </w:pPr>
          </w:p>
        </w:tc>
      </w:tr>
      <w:tr w14:paraId="37DAFE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0" w:hRule="atLeast"/>
        </w:trPr>
        <w:tc>
          <w:tcPr>
            <w:tcW w:w="893" w:type="dxa"/>
            <w:vMerge w:val="continue"/>
            <w:tcBorders>
              <w:top w:val="nil"/>
              <w:bottom w:val="nil"/>
            </w:tcBorders>
            <w:vAlign w:val="top"/>
          </w:tcPr>
          <w:p w14:paraId="680C0BD8">
            <w:pPr>
              <w:rPr>
                <w:rFonts w:ascii="Arial"/>
                <w:sz w:val="21"/>
              </w:rPr>
            </w:pPr>
          </w:p>
        </w:tc>
        <w:tc>
          <w:tcPr>
            <w:tcW w:w="2314" w:type="dxa"/>
            <w:tcBorders>
              <w:top w:val="nil"/>
              <w:bottom w:val="nil"/>
            </w:tcBorders>
            <w:vAlign w:val="top"/>
          </w:tcPr>
          <w:p w14:paraId="3EC46BD0">
            <w:pPr>
              <w:pStyle w:val="6"/>
              <w:spacing w:before="37" w:line="187" w:lineRule="auto"/>
              <w:ind w:left="11"/>
            </w:pPr>
            <w:r>
              <w:t>3.旅游景区的等级及类型</w:t>
            </w:r>
          </w:p>
        </w:tc>
        <w:tc>
          <w:tcPr>
            <w:tcW w:w="239" w:type="dxa"/>
            <w:tcBorders>
              <w:top w:val="nil"/>
              <w:bottom w:val="nil"/>
            </w:tcBorders>
            <w:vAlign w:val="top"/>
          </w:tcPr>
          <w:p w14:paraId="4EEE1603">
            <w:pPr>
              <w:spacing w:line="210" w:lineRule="exact"/>
              <w:rPr>
                <w:rFonts w:ascii="Arial"/>
                <w:sz w:val="18"/>
              </w:rPr>
            </w:pPr>
          </w:p>
        </w:tc>
        <w:tc>
          <w:tcPr>
            <w:tcW w:w="229" w:type="dxa"/>
            <w:tcBorders>
              <w:top w:val="nil"/>
              <w:bottom w:val="nil"/>
            </w:tcBorders>
            <w:vAlign w:val="top"/>
          </w:tcPr>
          <w:p w14:paraId="2E856D1D">
            <w:pPr>
              <w:spacing w:line="210" w:lineRule="exact"/>
              <w:rPr>
                <w:rFonts w:ascii="Arial"/>
                <w:sz w:val="18"/>
              </w:rPr>
            </w:pPr>
          </w:p>
        </w:tc>
        <w:tc>
          <w:tcPr>
            <w:tcW w:w="220" w:type="dxa"/>
            <w:tcBorders>
              <w:top w:val="nil"/>
              <w:bottom w:val="nil"/>
            </w:tcBorders>
            <w:vAlign w:val="top"/>
          </w:tcPr>
          <w:p w14:paraId="4CD4F1E6">
            <w:pPr>
              <w:spacing w:line="210" w:lineRule="exact"/>
              <w:rPr>
                <w:rFonts w:ascii="Arial"/>
                <w:sz w:val="18"/>
              </w:rPr>
            </w:pPr>
          </w:p>
        </w:tc>
        <w:tc>
          <w:tcPr>
            <w:tcW w:w="224" w:type="dxa"/>
            <w:tcBorders>
              <w:top w:val="nil"/>
              <w:bottom w:val="nil"/>
            </w:tcBorders>
            <w:vAlign w:val="top"/>
          </w:tcPr>
          <w:p w14:paraId="31096946">
            <w:pPr>
              <w:spacing w:line="210" w:lineRule="exact"/>
              <w:rPr>
                <w:rFonts w:ascii="Arial"/>
                <w:sz w:val="18"/>
              </w:rPr>
            </w:pPr>
          </w:p>
        </w:tc>
      </w:tr>
      <w:tr w14:paraId="461071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0" w:hRule="atLeast"/>
        </w:trPr>
        <w:tc>
          <w:tcPr>
            <w:tcW w:w="893" w:type="dxa"/>
            <w:vMerge w:val="continue"/>
            <w:tcBorders>
              <w:top w:val="nil"/>
              <w:bottom w:val="nil"/>
            </w:tcBorders>
            <w:vAlign w:val="top"/>
          </w:tcPr>
          <w:p w14:paraId="05028CCB">
            <w:pPr>
              <w:rPr>
                <w:rFonts w:ascii="Arial"/>
                <w:sz w:val="21"/>
              </w:rPr>
            </w:pPr>
          </w:p>
        </w:tc>
        <w:tc>
          <w:tcPr>
            <w:tcW w:w="2314" w:type="dxa"/>
            <w:tcBorders>
              <w:top w:val="nil"/>
              <w:bottom w:val="nil"/>
            </w:tcBorders>
            <w:vAlign w:val="top"/>
          </w:tcPr>
          <w:p w14:paraId="70BE9421">
            <w:pPr>
              <w:pStyle w:val="6"/>
              <w:spacing w:before="27" w:line="198" w:lineRule="auto"/>
              <w:ind w:left="11"/>
            </w:pPr>
            <w:r>
              <w:rPr>
                <w:spacing w:val="-1"/>
              </w:rPr>
              <w:t>4.旅游者对旅游景区、点的</w:t>
            </w:r>
          </w:p>
        </w:tc>
        <w:tc>
          <w:tcPr>
            <w:tcW w:w="239" w:type="dxa"/>
            <w:tcBorders>
              <w:top w:val="nil"/>
              <w:bottom w:val="nil"/>
            </w:tcBorders>
            <w:vAlign w:val="top"/>
          </w:tcPr>
          <w:p w14:paraId="52B72839">
            <w:pPr>
              <w:spacing w:line="210" w:lineRule="exact"/>
              <w:rPr>
                <w:rFonts w:ascii="Arial"/>
                <w:sz w:val="18"/>
              </w:rPr>
            </w:pPr>
          </w:p>
        </w:tc>
        <w:tc>
          <w:tcPr>
            <w:tcW w:w="229" w:type="dxa"/>
            <w:tcBorders>
              <w:top w:val="nil"/>
              <w:bottom w:val="nil"/>
            </w:tcBorders>
            <w:vAlign w:val="top"/>
          </w:tcPr>
          <w:p w14:paraId="3E7E5786">
            <w:pPr>
              <w:spacing w:line="210" w:lineRule="exact"/>
              <w:rPr>
                <w:rFonts w:ascii="Arial"/>
                <w:sz w:val="18"/>
              </w:rPr>
            </w:pPr>
          </w:p>
        </w:tc>
        <w:tc>
          <w:tcPr>
            <w:tcW w:w="220" w:type="dxa"/>
            <w:tcBorders>
              <w:top w:val="nil"/>
              <w:bottom w:val="nil"/>
            </w:tcBorders>
            <w:vAlign w:val="top"/>
          </w:tcPr>
          <w:p w14:paraId="672FEBE3">
            <w:pPr>
              <w:spacing w:line="210" w:lineRule="exact"/>
              <w:rPr>
                <w:rFonts w:ascii="Arial"/>
                <w:sz w:val="18"/>
              </w:rPr>
            </w:pPr>
          </w:p>
        </w:tc>
        <w:tc>
          <w:tcPr>
            <w:tcW w:w="224" w:type="dxa"/>
            <w:tcBorders>
              <w:top w:val="nil"/>
              <w:bottom w:val="nil"/>
            </w:tcBorders>
            <w:vAlign w:val="top"/>
          </w:tcPr>
          <w:p w14:paraId="0DB87460">
            <w:pPr>
              <w:spacing w:line="210" w:lineRule="exact"/>
              <w:rPr>
                <w:rFonts w:ascii="Arial"/>
                <w:sz w:val="18"/>
              </w:rPr>
            </w:pPr>
          </w:p>
        </w:tc>
      </w:tr>
      <w:tr w14:paraId="193DD3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3" w:hRule="atLeast"/>
        </w:trPr>
        <w:tc>
          <w:tcPr>
            <w:tcW w:w="893" w:type="dxa"/>
            <w:vMerge w:val="continue"/>
            <w:tcBorders>
              <w:top w:val="nil"/>
            </w:tcBorders>
            <w:vAlign w:val="top"/>
          </w:tcPr>
          <w:p w14:paraId="531F2B36">
            <w:pPr>
              <w:rPr>
                <w:rFonts w:ascii="Arial"/>
                <w:sz w:val="21"/>
              </w:rPr>
            </w:pPr>
          </w:p>
        </w:tc>
        <w:tc>
          <w:tcPr>
            <w:tcW w:w="2314" w:type="dxa"/>
            <w:tcBorders>
              <w:top w:val="nil"/>
            </w:tcBorders>
            <w:vAlign w:val="top"/>
          </w:tcPr>
          <w:p w14:paraId="2F8C1286">
            <w:pPr>
              <w:pStyle w:val="6"/>
              <w:spacing w:before="39" w:line="221" w:lineRule="auto"/>
              <w:ind w:left="11"/>
            </w:pPr>
            <w:r>
              <w:rPr>
                <w:spacing w:val="-2"/>
              </w:rPr>
              <w:t>要求</w:t>
            </w:r>
          </w:p>
        </w:tc>
        <w:tc>
          <w:tcPr>
            <w:tcW w:w="239" w:type="dxa"/>
            <w:tcBorders>
              <w:top w:val="nil"/>
            </w:tcBorders>
            <w:vAlign w:val="top"/>
          </w:tcPr>
          <w:p w14:paraId="0822A6D5">
            <w:pPr>
              <w:rPr>
                <w:rFonts w:ascii="Arial"/>
                <w:sz w:val="21"/>
              </w:rPr>
            </w:pPr>
          </w:p>
        </w:tc>
        <w:tc>
          <w:tcPr>
            <w:tcW w:w="229" w:type="dxa"/>
            <w:tcBorders>
              <w:top w:val="nil"/>
            </w:tcBorders>
            <w:vAlign w:val="top"/>
          </w:tcPr>
          <w:p w14:paraId="16D35F4E">
            <w:pPr>
              <w:rPr>
                <w:rFonts w:ascii="Arial"/>
                <w:sz w:val="21"/>
              </w:rPr>
            </w:pPr>
          </w:p>
        </w:tc>
        <w:tc>
          <w:tcPr>
            <w:tcW w:w="220" w:type="dxa"/>
            <w:tcBorders>
              <w:top w:val="nil"/>
            </w:tcBorders>
            <w:vAlign w:val="top"/>
          </w:tcPr>
          <w:p w14:paraId="7CB64339">
            <w:pPr>
              <w:rPr>
                <w:rFonts w:ascii="Arial"/>
                <w:sz w:val="21"/>
              </w:rPr>
            </w:pPr>
          </w:p>
        </w:tc>
        <w:tc>
          <w:tcPr>
            <w:tcW w:w="224" w:type="dxa"/>
            <w:tcBorders>
              <w:top w:val="nil"/>
            </w:tcBorders>
            <w:vAlign w:val="top"/>
          </w:tcPr>
          <w:p w14:paraId="3F3DC780">
            <w:pPr>
              <w:rPr>
                <w:rFonts w:ascii="Arial"/>
                <w:sz w:val="21"/>
              </w:rPr>
            </w:pPr>
          </w:p>
        </w:tc>
      </w:tr>
      <w:tr w14:paraId="301872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893" w:type="dxa"/>
            <w:vMerge w:val="restart"/>
            <w:tcBorders>
              <w:bottom w:val="nil"/>
            </w:tcBorders>
            <w:vAlign w:val="top"/>
          </w:tcPr>
          <w:p w14:paraId="69A73B92">
            <w:pPr>
              <w:spacing w:line="308" w:lineRule="auto"/>
              <w:rPr>
                <w:rFonts w:ascii="Arial"/>
                <w:sz w:val="21"/>
              </w:rPr>
            </w:pPr>
          </w:p>
          <w:p w14:paraId="771F407A">
            <w:pPr>
              <w:pStyle w:val="6"/>
              <w:spacing w:before="55" w:line="220" w:lineRule="auto"/>
              <w:ind w:left="94"/>
            </w:pPr>
            <w:r>
              <w:rPr>
                <w:spacing w:val="-2"/>
              </w:rPr>
              <w:t>旅游商场</w:t>
            </w:r>
          </w:p>
        </w:tc>
        <w:tc>
          <w:tcPr>
            <w:tcW w:w="2314" w:type="dxa"/>
            <w:tcBorders>
              <w:bottom w:val="nil"/>
            </w:tcBorders>
            <w:vAlign w:val="top"/>
          </w:tcPr>
          <w:p w14:paraId="531A2FF2">
            <w:pPr>
              <w:pStyle w:val="6"/>
              <w:spacing w:before="155" w:line="190" w:lineRule="auto"/>
              <w:ind w:left="11"/>
            </w:pPr>
            <w:r>
              <w:rPr>
                <w:spacing w:val="1"/>
              </w:rPr>
              <w:t>1.旅游购物品的概念及特点</w:t>
            </w:r>
          </w:p>
        </w:tc>
        <w:tc>
          <w:tcPr>
            <w:tcW w:w="239" w:type="dxa"/>
            <w:tcBorders>
              <w:bottom w:val="nil"/>
            </w:tcBorders>
            <w:vAlign w:val="top"/>
          </w:tcPr>
          <w:p w14:paraId="16577E65">
            <w:pPr>
              <w:rPr>
                <w:rFonts w:ascii="Arial"/>
                <w:sz w:val="21"/>
              </w:rPr>
            </w:pPr>
          </w:p>
        </w:tc>
        <w:tc>
          <w:tcPr>
            <w:tcW w:w="229" w:type="dxa"/>
            <w:tcBorders>
              <w:bottom w:val="nil"/>
            </w:tcBorders>
            <w:vAlign w:val="top"/>
          </w:tcPr>
          <w:p w14:paraId="4AE3092D">
            <w:pPr>
              <w:rPr>
                <w:rFonts w:ascii="Arial"/>
                <w:sz w:val="21"/>
              </w:rPr>
            </w:pPr>
          </w:p>
        </w:tc>
        <w:tc>
          <w:tcPr>
            <w:tcW w:w="220" w:type="dxa"/>
            <w:tcBorders>
              <w:bottom w:val="nil"/>
            </w:tcBorders>
            <w:vAlign w:val="top"/>
          </w:tcPr>
          <w:p w14:paraId="124945FA">
            <w:pPr>
              <w:rPr>
                <w:rFonts w:ascii="Arial"/>
                <w:sz w:val="21"/>
              </w:rPr>
            </w:pPr>
          </w:p>
        </w:tc>
        <w:tc>
          <w:tcPr>
            <w:tcW w:w="224" w:type="dxa"/>
            <w:tcBorders>
              <w:bottom w:val="nil"/>
            </w:tcBorders>
            <w:vAlign w:val="top"/>
          </w:tcPr>
          <w:p w14:paraId="59940889">
            <w:pPr>
              <w:rPr>
                <w:rFonts w:ascii="Arial"/>
                <w:sz w:val="21"/>
              </w:rPr>
            </w:pPr>
          </w:p>
        </w:tc>
      </w:tr>
      <w:tr w14:paraId="2CFBFC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0" w:hRule="atLeast"/>
        </w:trPr>
        <w:tc>
          <w:tcPr>
            <w:tcW w:w="893" w:type="dxa"/>
            <w:vMerge w:val="continue"/>
            <w:tcBorders>
              <w:top w:val="nil"/>
              <w:bottom w:val="nil"/>
            </w:tcBorders>
            <w:vAlign w:val="top"/>
          </w:tcPr>
          <w:p w14:paraId="52E83E48">
            <w:pPr>
              <w:rPr>
                <w:rFonts w:ascii="Arial"/>
                <w:sz w:val="21"/>
              </w:rPr>
            </w:pPr>
          </w:p>
        </w:tc>
        <w:tc>
          <w:tcPr>
            <w:tcW w:w="2314" w:type="dxa"/>
            <w:tcBorders>
              <w:top w:val="nil"/>
              <w:bottom w:val="nil"/>
            </w:tcBorders>
            <w:vAlign w:val="top"/>
          </w:tcPr>
          <w:p w14:paraId="7642F0DF">
            <w:pPr>
              <w:pStyle w:val="6"/>
              <w:spacing w:before="35" w:line="189" w:lineRule="auto"/>
              <w:ind w:left="11"/>
            </w:pPr>
            <w:r>
              <w:rPr>
                <w:spacing w:val="2"/>
              </w:rPr>
              <w:t>2.旅游购物的作用</w:t>
            </w:r>
          </w:p>
        </w:tc>
        <w:tc>
          <w:tcPr>
            <w:tcW w:w="239" w:type="dxa"/>
            <w:tcBorders>
              <w:top w:val="nil"/>
              <w:bottom w:val="nil"/>
            </w:tcBorders>
            <w:vAlign w:val="top"/>
          </w:tcPr>
          <w:p w14:paraId="62E305A9">
            <w:pPr>
              <w:spacing w:line="210" w:lineRule="exact"/>
              <w:rPr>
                <w:rFonts w:ascii="Arial"/>
                <w:sz w:val="18"/>
              </w:rPr>
            </w:pPr>
          </w:p>
        </w:tc>
        <w:tc>
          <w:tcPr>
            <w:tcW w:w="229" w:type="dxa"/>
            <w:tcBorders>
              <w:top w:val="nil"/>
              <w:bottom w:val="nil"/>
            </w:tcBorders>
            <w:vAlign w:val="top"/>
          </w:tcPr>
          <w:p w14:paraId="2E3FE899">
            <w:pPr>
              <w:spacing w:line="210" w:lineRule="exact"/>
              <w:rPr>
                <w:rFonts w:ascii="Arial"/>
                <w:sz w:val="18"/>
              </w:rPr>
            </w:pPr>
          </w:p>
        </w:tc>
        <w:tc>
          <w:tcPr>
            <w:tcW w:w="220" w:type="dxa"/>
            <w:tcBorders>
              <w:top w:val="nil"/>
              <w:bottom w:val="nil"/>
            </w:tcBorders>
            <w:vAlign w:val="top"/>
          </w:tcPr>
          <w:p w14:paraId="1DE306AE">
            <w:pPr>
              <w:spacing w:line="210" w:lineRule="exact"/>
              <w:rPr>
                <w:rFonts w:ascii="Arial"/>
                <w:sz w:val="18"/>
              </w:rPr>
            </w:pPr>
          </w:p>
        </w:tc>
        <w:tc>
          <w:tcPr>
            <w:tcW w:w="224" w:type="dxa"/>
            <w:tcBorders>
              <w:top w:val="nil"/>
              <w:bottom w:val="nil"/>
            </w:tcBorders>
            <w:vAlign w:val="top"/>
          </w:tcPr>
          <w:p w14:paraId="1DBAD61A">
            <w:pPr>
              <w:spacing w:line="210" w:lineRule="exact"/>
              <w:rPr>
                <w:rFonts w:ascii="Arial"/>
                <w:sz w:val="18"/>
              </w:rPr>
            </w:pPr>
          </w:p>
        </w:tc>
      </w:tr>
      <w:tr w14:paraId="778E7B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9" w:hRule="atLeast"/>
        </w:trPr>
        <w:tc>
          <w:tcPr>
            <w:tcW w:w="893" w:type="dxa"/>
            <w:vMerge w:val="continue"/>
            <w:tcBorders>
              <w:top w:val="nil"/>
            </w:tcBorders>
            <w:vAlign w:val="top"/>
          </w:tcPr>
          <w:p w14:paraId="2F96BA86">
            <w:pPr>
              <w:rPr>
                <w:rFonts w:ascii="Arial"/>
                <w:sz w:val="21"/>
              </w:rPr>
            </w:pPr>
          </w:p>
        </w:tc>
        <w:tc>
          <w:tcPr>
            <w:tcW w:w="2314" w:type="dxa"/>
            <w:tcBorders>
              <w:top w:val="nil"/>
            </w:tcBorders>
            <w:vAlign w:val="top"/>
          </w:tcPr>
          <w:p w14:paraId="4C4670D9">
            <w:pPr>
              <w:pStyle w:val="6"/>
              <w:spacing w:before="35" w:line="219" w:lineRule="auto"/>
              <w:ind w:left="11"/>
            </w:pPr>
            <w:r>
              <w:rPr>
                <w:spacing w:val="1"/>
              </w:rPr>
              <w:t>3.旅游商场的类型</w:t>
            </w:r>
          </w:p>
        </w:tc>
        <w:tc>
          <w:tcPr>
            <w:tcW w:w="239" w:type="dxa"/>
            <w:tcBorders>
              <w:top w:val="nil"/>
            </w:tcBorders>
            <w:vAlign w:val="top"/>
          </w:tcPr>
          <w:p w14:paraId="1408EC4A">
            <w:pPr>
              <w:rPr>
                <w:rFonts w:ascii="Arial"/>
                <w:sz w:val="21"/>
              </w:rPr>
            </w:pPr>
          </w:p>
        </w:tc>
        <w:tc>
          <w:tcPr>
            <w:tcW w:w="229" w:type="dxa"/>
            <w:tcBorders>
              <w:top w:val="nil"/>
            </w:tcBorders>
            <w:vAlign w:val="top"/>
          </w:tcPr>
          <w:p w14:paraId="40E4B3A8">
            <w:pPr>
              <w:rPr>
                <w:rFonts w:ascii="Arial"/>
                <w:sz w:val="21"/>
              </w:rPr>
            </w:pPr>
          </w:p>
        </w:tc>
        <w:tc>
          <w:tcPr>
            <w:tcW w:w="220" w:type="dxa"/>
            <w:tcBorders>
              <w:top w:val="nil"/>
            </w:tcBorders>
            <w:vAlign w:val="top"/>
          </w:tcPr>
          <w:p w14:paraId="10FFF477">
            <w:pPr>
              <w:rPr>
                <w:rFonts w:ascii="Arial"/>
                <w:sz w:val="21"/>
              </w:rPr>
            </w:pPr>
          </w:p>
        </w:tc>
        <w:tc>
          <w:tcPr>
            <w:tcW w:w="224" w:type="dxa"/>
            <w:tcBorders>
              <w:top w:val="nil"/>
            </w:tcBorders>
            <w:vAlign w:val="top"/>
          </w:tcPr>
          <w:p w14:paraId="3B63A1DD">
            <w:pPr>
              <w:rPr>
                <w:rFonts w:ascii="Arial"/>
                <w:sz w:val="21"/>
              </w:rPr>
            </w:pPr>
          </w:p>
        </w:tc>
      </w:tr>
      <w:tr w14:paraId="300B8B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5" w:hRule="atLeast"/>
        </w:trPr>
        <w:tc>
          <w:tcPr>
            <w:tcW w:w="893" w:type="dxa"/>
            <w:vMerge w:val="restart"/>
            <w:tcBorders>
              <w:bottom w:val="nil"/>
            </w:tcBorders>
            <w:vAlign w:val="top"/>
          </w:tcPr>
          <w:p w14:paraId="2ED18939">
            <w:pPr>
              <w:spacing w:line="349" w:lineRule="auto"/>
              <w:rPr>
                <w:rFonts w:ascii="Arial"/>
                <w:sz w:val="21"/>
              </w:rPr>
            </w:pPr>
          </w:p>
          <w:p w14:paraId="6924FE29">
            <w:pPr>
              <w:pStyle w:val="6"/>
              <w:spacing w:before="55" w:line="220" w:lineRule="auto"/>
              <w:ind w:left="14"/>
            </w:pPr>
            <w:r>
              <w:rPr>
                <w:spacing w:val="-1"/>
              </w:rPr>
              <w:t>旅游娱乐业</w:t>
            </w:r>
          </w:p>
        </w:tc>
        <w:tc>
          <w:tcPr>
            <w:tcW w:w="2314" w:type="dxa"/>
            <w:tcBorders>
              <w:bottom w:val="nil"/>
            </w:tcBorders>
            <w:vAlign w:val="top"/>
          </w:tcPr>
          <w:p w14:paraId="629FFC36">
            <w:pPr>
              <w:pStyle w:val="6"/>
              <w:spacing w:before="195" w:line="184" w:lineRule="auto"/>
              <w:ind w:left="11"/>
            </w:pPr>
            <w:r>
              <w:t>1.旅游娱乐的概念</w:t>
            </w:r>
          </w:p>
        </w:tc>
        <w:tc>
          <w:tcPr>
            <w:tcW w:w="239" w:type="dxa"/>
            <w:tcBorders>
              <w:bottom w:val="nil"/>
            </w:tcBorders>
            <w:vAlign w:val="top"/>
          </w:tcPr>
          <w:p w14:paraId="5ABC6D92">
            <w:pPr>
              <w:rPr>
                <w:rFonts w:ascii="Arial"/>
                <w:sz w:val="21"/>
              </w:rPr>
            </w:pPr>
          </w:p>
        </w:tc>
        <w:tc>
          <w:tcPr>
            <w:tcW w:w="229" w:type="dxa"/>
            <w:tcBorders>
              <w:bottom w:val="nil"/>
            </w:tcBorders>
            <w:vAlign w:val="top"/>
          </w:tcPr>
          <w:p w14:paraId="53144FCC">
            <w:pPr>
              <w:rPr>
                <w:rFonts w:ascii="Arial"/>
                <w:sz w:val="21"/>
              </w:rPr>
            </w:pPr>
          </w:p>
        </w:tc>
        <w:tc>
          <w:tcPr>
            <w:tcW w:w="220" w:type="dxa"/>
            <w:tcBorders>
              <w:bottom w:val="nil"/>
            </w:tcBorders>
            <w:vAlign w:val="top"/>
          </w:tcPr>
          <w:p w14:paraId="1B608B2D">
            <w:pPr>
              <w:rPr>
                <w:rFonts w:ascii="Arial"/>
                <w:sz w:val="21"/>
              </w:rPr>
            </w:pPr>
          </w:p>
        </w:tc>
        <w:tc>
          <w:tcPr>
            <w:tcW w:w="224" w:type="dxa"/>
            <w:tcBorders>
              <w:bottom w:val="nil"/>
            </w:tcBorders>
            <w:vAlign w:val="top"/>
          </w:tcPr>
          <w:p w14:paraId="0015C600">
            <w:pPr>
              <w:rPr>
                <w:rFonts w:ascii="Arial"/>
                <w:sz w:val="21"/>
              </w:rPr>
            </w:pPr>
          </w:p>
        </w:tc>
      </w:tr>
      <w:tr w14:paraId="6A01A9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0" w:hRule="atLeast"/>
        </w:trPr>
        <w:tc>
          <w:tcPr>
            <w:tcW w:w="893" w:type="dxa"/>
            <w:vMerge w:val="continue"/>
            <w:tcBorders>
              <w:top w:val="nil"/>
              <w:bottom w:val="nil"/>
            </w:tcBorders>
            <w:vAlign w:val="top"/>
          </w:tcPr>
          <w:p w14:paraId="54147649">
            <w:pPr>
              <w:rPr>
                <w:rFonts w:ascii="Arial"/>
                <w:sz w:val="21"/>
              </w:rPr>
            </w:pPr>
          </w:p>
        </w:tc>
        <w:tc>
          <w:tcPr>
            <w:tcW w:w="2314" w:type="dxa"/>
            <w:tcBorders>
              <w:top w:val="nil"/>
              <w:bottom w:val="nil"/>
            </w:tcBorders>
            <w:vAlign w:val="top"/>
          </w:tcPr>
          <w:p w14:paraId="6F96D00D">
            <w:pPr>
              <w:pStyle w:val="6"/>
              <w:spacing w:before="30" w:line="195" w:lineRule="auto"/>
              <w:ind w:left="11"/>
            </w:pPr>
            <w:r>
              <w:rPr>
                <w:spacing w:val="-1"/>
              </w:rPr>
              <w:t>2.旅游娱乐设施的分类</w:t>
            </w:r>
          </w:p>
        </w:tc>
        <w:tc>
          <w:tcPr>
            <w:tcW w:w="239" w:type="dxa"/>
            <w:tcBorders>
              <w:top w:val="nil"/>
              <w:bottom w:val="nil"/>
            </w:tcBorders>
            <w:vAlign w:val="top"/>
          </w:tcPr>
          <w:p w14:paraId="3DC19957">
            <w:pPr>
              <w:spacing w:line="210" w:lineRule="exact"/>
              <w:rPr>
                <w:rFonts w:ascii="Arial"/>
                <w:sz w:val="18"/>
              </w:rPr>
            </w:pPr>
          </w:p>
        </w:tc>
        <w:tc>
          <w:tcPr>
            <w:tcW w:w="229" w:type="dxa"/>
            <w:tcBorders>
              <w:top w:val="nil"/>
              <w:bottom w:val="nil"/>
            </w:tcBorders>
            <w:vAlign w:val="top"/>
          </w:tcPr>
          <w:p w14:paraId="56DC1946">
            <w:pPr>
              <w:spacing w:line="210" w:lineRule="exact"/>
              <w:rPr>
                <w:rFonts w:ascii="Arial"/>
                <w:sz w:val="18"/>
              </w:rPr>
            </w:pPr>
          </w:p>
        </w:tc>
        <w:tc>
          <w:tcPr>
            <w:tcW w:w="220" w:type="dxa"/>
            <w:tcBorders>
              <w:top w:val="nil"/>
              <w:bottom w:val="nil"/>
            </w:tcBorders>
            <w:vAlign w:val="top"/>
          </w:tcPr>
          <w:p w14:paraId="65E54FE3">
            <w:pPr>
              <w:spacing w:line="210" w:lineRule="exact"/>
              <w:rPr>
                <w:rFonts w:ascii="Arial"/>
                <w:sz w:val="18"/>
              </w:rPr>
            </w:pPr>
          </w:p>
        </w:tc>
        <w:tc>
          <w:tcPr>
            <w:tcW w:w="224" w:type="dxa"/>
            <w:tcBorders>
              <w:top w:val="nil"/>
              <w:bottom w:val="nil"/>
            </w:tcBorders>
            <w:vAlign w:val="top"/>
          </w:tcPr>
          <w:p w14:paraId="7E67EE23">
            <w:pPr>
              <w:spacing w:line="210" w:lineRule="exact"/>
              <w:rPr>
                <w:rFonts w:ascii="Arial"/>
                <w:sz w:val="18"/>
              </w:rPr>
            </w:pPr>
          </w:p>
        </w:tc>
      </w:tr>
      <w:tr w14:paraId="72D974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9" w:hRule="atLeast"/>
        </w:trPr>
        <w:tc>
          <w:tcPr>
            <w:tcW w:w="893" w:type="dxa"/>
            <w:vMerge w:val="continue"/>
            <w:tcBorders>
              <w:top w:val="nil"/>
            </w:tcBorders>
            <w:vAlign w:val="top"/>
          </w:tcPr>
          <w:p w14:paraId="0A186489">
            <w:pPr>
              <w:rPr>
                <w:rFonts w:ascii="Arial"/>
                <w:sz w:val="21"/>
              </w:rPr>
            </w:pPr>
          </w:p>
        </w:tc>
        <w:tc>
          <w:tcPr>
            <w:tcW w:w="2314" w:type="dxa"/>
            <w:tcBorders>
              <w:top w:val="nil"/>
            </w:tcBorders>
            <w:vAlign w:val="top"/>
          </w:tcPr>
          <w:p w14:paraId="070C337C">
            <w:pPr>
              <w:pStyle w:val="6"/>
              <w:spacing w:before="41" w:line="220" w:lineRule="auto"/>
              <w:ind w:left="11"/>
            </w:pPr>
            <w:r>
              <w:rPr>
                <w:spacing w:val="2"/>
              </w:rPr>
              <w:t>3.旅游娱乐的作用</w:t>
            </w:r>
          </w:p>
        </w:tc>
        <w:tc>
          <w:tcPr>
            <w:tcW w:w="239" w:type="dxa"/>
            <w:tcBorders>
              <w:top w:val="nil"/>
            </w:tcBorders>
            <w:vAlign w:val="top"/>
          </w:tcPr>
          <w:p w14:paraId="673D80F1">
            <w:pPr>
              <w:rPr>
                <w:rFonts w:ascii="Arial"/>
                <w:sz w:val="21"/>
              </w:rPr>
            </w:pPr>
          </w:p>
        </w:tc>
        <w:tc>
          <w:tcPr>
            <w:tcW w:w="229" w:type="dxa"/>
            <w:tcBorders>
              <w:top w:val="nil"/>
            </w:tcBorders>
            <w:vAlign w:val="top"/>
          </w:tcPr>
          <w:p w14:paraId="1DE6D974">
            <w:pPr>
              <w:rPr>
                <w:rFonts w:ascii="Arial"/>
                <w:sz w:val="21"/>
              </w:rPr>
            </w:pPr>
          </w:p>
        </w:tc>
        <w:tc>
          <w:tcPr>
            <w:tcW w:w="220" w:type="dxa"/>
            <w:tcBorders>
              <w:top w:val="nil"/>
            </w:tcBorders>
            <w:vAlign w:val="top"/>
          </w:tcPr>
          <w:p w14:paraId="7D1079AA">
            <w:pPr>
              <w:rPr>
                <w:rFonts w:ascii="Arial"/>
                <w:sz w:val="21"/>
              </w:rPr>
            </w:pPr>
          </w:p>
        </w:tc>
        <w:tc>
          <w:tcPr>
            <w:tcW w:w="224" w:type="dxa"/>
            <w:tcBorders>
              <w:top w:val="nil"/>
            </w:tcBorders>
            <w:vAlign w:val="top"/>
          </w:tcPr>
          <w:p w14:paraId="74A6CB3E">
            <w:pPr>
              <w:rPr>
                <w:rFonts w:ascii="Arial"/>
                <w:sz w:val="21"/>
              </w:rPr>
            </w:pPr>
          </w:p>
        </w:tc>
      </w:tr>
    </w:tbl>
    <w:p w14:paraId="7A43F0AA">
      <w:pPr>
        <w:spacing w:before="69" w:line="219" w:lineRule="auto"/>
        <w:ind w:left="452"/>
        <w:rPr>
          <w:rFonts w:ascii="宋体" w:hAnsi="宋体" w:eastAsia="宋体" w:cs="宋体"/>
          <w:sz w:val="17"/>
          <w:szCs w:val="17"/>
        </w:rPr>
      </w:pPr>
      <w:r>
        <w:rPr>
          <w:rFonts w:ascii="宋体" w:hAnsi="宋体" w:eastAsia="宋体" w:cs="宋体"/>
          <w:b/>
          <w:bCs/>
          <w:spacing w:val="-3"/>
          <w:sz w:val="17"/>
          <w:szCs w:val="17"/>
        </w:rPr>
        <w:t>第五单元</w:t>
      </w:r>
      <w:r>
        <w:rPr>
          <w:rFonts w:ascii="宋体" w:hAnsi="宋体" w:eastAsia="宋体" w:cs="宋体"/>
          <w:spacing w:val="-3"/>
          <w:sz w:val="17"/>
          <w:szCs w:val="17"/>
        </w:rPr>
        <w:t xml:space="preserve"> </w:t>
      </w:r>
      <w:r>
        <w:rPr>
          <w:rFonts w:ascii="宋体" w:hAnsi="宋体" w:eastAsia="宋体" w:cs="宋体"/>
          <w:b/>
          <w:bCs/>
          <w:spacing w:val="-3"/>
          <w:sz w:val="17"/>
          <w:szCs w:val="17"/>
        </w:rPr>
        <w:t>你未来的就业平台——旅游市场</w:t>
      </w:r>
    </w:p>
    <w:p w14:paraId="5CCA6C88">
      <w:pPr>
        <w:spacing w:line="28" w:lineRule="exact"/>
      </w:pPr>
    </w:p>
    <w:tbl>
      <w:tblPr>
        <w:tblStyle w:val="5"/>
        <w:tblW w:w="4130"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14"/>
        <w:gridCol w:w="230"/>
        <w:gridCol w:w="230"/>
        <w:gridCol w:w="219"/>
        <w:gridCol w:w="244"/>
      </w:tblGrid>
      <w:tr w14:paraId="37DEF6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8" w:hRule="atLeast"/>
        </w:trPr>
        <w:tc>
          <w:tcPr>
            <w:tcW w:w="893" w:type="dxa"/>
            <w:vMerge w:val="restart"/>
            <w:tcBorders>
              <w:top w:val="single" w:color="000000" w:sz="2" w:space="0"/>
              <w:bottom w:val="nil"/>
            </w:tcBorders>
            <w:vAlign w:val="top"/>
          </w:tcPr>
          <w:p w14:paraId="3395BFE1">
            <w:pPr>
              <w:pStyle w:val="6"/>
              <w:spacing w:before="126" w:line="214" w:lineRule="auto"/>
              <w:ind w:left="257" w:right="1" w:hanging="240"/>
              <w:rPr>
                <w:sz w:val="18"/>
                <w:szCs w:val="18"/>
              </w:rPr>
            </w:pPr>
            <w:r>
              <w:rPr>
                <w:b/>
                <w:bCs/>
                <w:spacing w:val="-10"/>
                <w:sz w:val="18"/>
                <w:szCs w:val="18"/>
              </w:rPr>
              <w:t>知识与技能</w:t>
            </w:r>
            <w:r>
              <w:rPr>
                <w:spacing w:val="3"/>
                <w:sz w:val="18"/>
                <w:szCs w:val="18"/>
              </w:rPr>
              <w:t xml:space="preserve"> </w:t>
            </w:r>
            <w:r>
              <w:rPr>
                <w:b/>
                <w:bCs/>
                <w:spacing w:val="-4"/>
                <w:sz w:val="18"/>
                <w:szCs w:val="18"/>
              </w:rPr>
              <w:t>要点</w:t>
            </w:r>
          </w:p>
        </w:tc>
        <w:tc>
          <w:tcPr>
            <w:tcW w:w="2314" w:type="dxa"/>
            <w:vMerge w:val="restart"/>
            <w:tcBorders>
              <w:top w:val="single" w:color="000000" w:sz="2" w:space="0"/>
              <w:bottom w:val="nil"/>
            </w:tcBorders>
            <w:vAlign w:val="top"/>
          </w:tcPr>
          <w:p w14:paraId="79847463">
            <w:pPr>
              <w:pStyle w:val="6"/>
              <w:spacing w:before="224" w:line="219" w:lineRule="auto"/>
              <w:ind w:left="834"/>
              <w:rPr>
                <w:sz w:val="18"/>
                <w:szCs w:val="18"/>
              </w:rPr>
            </w:pPr>
            <w:r>
              <w:rPr>
                <w:b/>
                <w:bCs/>
                <w:spacing w:val="5"/>
                <w:sz w:val="18"/>
                <w:szCs w:val="18"/>
              </w:rPr>
              <w:t>考试条目</w:t>
            </w:r>
          </w:p>
        </w:tc>
        <w:tc>
          <w:tcPr>
            <w:tcW w:w="923" w:type="dxa"/>
            <w:gridSpan w:val="4"/>
            <w:tcBorders>
              <w:top w:val="single" w:color="000000" w:sz="2" w:space="0"/>
              <w:bottom w:val="single" w:color="000000" w:sz="2" w:space="0"/>
            </w:tcBorders>
            <w:vAlign w:val="top"/>
          </w:tcPr>
          <w:p w14:paraId="1FE63B4E">
            <w:pPr>
              <w:pStyle w:val="6"/>
              <w:spacing w:before="74" w:line="219" w:lineRule="auto"/>
              <w:ind w:left="130"/>
              <w:rPr>
                <w:sz w:val="18"/>
                <w:szCs w:val="18"/>
              </w:rPr>
            </w:pPr>
            <w:r>
              <w:rPr>
                <w:b/>
                <w:bCs/>
                <w:spacing w:val="-4"/>
                <w:sz w:val="18"/>
                <w:szCs w:val="18"/>
              </w:rPr>
              <w:t>考试水平</w:t>
            </w:r>
          </w:p>
        </w:tc>
      </w:tr>
      <w:tr w14:paraId="3E0E36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3" w:hRule="atLeast"/>
        </w:trPr>
        <w:tc>
          <w:tcPr>
            <w:tcW w:w="893" w:type="dxa"/>
            <w:vMerge w:val="continue"/>
            <w:tcBorders>
              <w:top w:val="nil"/>
              <w:bottom w:val="single" w:color="000000" w:sz="2" w:space="0"/>
            </w:tcBorders>
            <w:vAlign w:val="top"/>
          </w:tcPr>
          <w:p w14:paraId="15D73C7A">
            <w:pPr>
              <w:rPr>
                <w:rFonts w:ascii="Arial"/>
                <w:sz w:val="21"/>
              </w:rPr>
            </w:pPr>
          </w:p>
        </w:tc>
        <w:tc>
          <w:tcPr>
            <w:tcW w:w="2314" w:type="dxa"/>
            <w:vMerge w:val="continue"/>
            <w:tcBorders>
              <w:top w:val="nil"/>
              <w:bottom w:val="single" w:color="000000" w:sz="2" w:space="0"/>
            </w:tcBorders>
            <w:vAlign w:val="top"/>
          </w:tcPr>
          <w:p w14:paraId="17CE2095">
            <w:pPr>
              <w:rPr>
                <w:rFonts w:ascii="Arial"/>
                <w:sz w:val="21"/>
              </w:rPr>
            </w:pPr>
          </w:p>
        </w:tc>
        <w:tc>
          <w:tcPr>
            <w:tcW w:w="230" w:type="dxa"/>
            <w:tcBorders>
              <w:top w:val="single" w:color="000000" w:sz="2" w:space="0"/>
              <w:bottom w:val="single" w:color="000000" w:sz="2" w:space="0"/>
            </w:tcBorders>
            <w:vAlign w:val="top"/>
          </w:tcPr>
          <w:p w14:paraId="6ECAFC8B">
            <w:pPr>
              <w:pStyle w:val="6"/>
              <w:spacing w:before="109" w:line="184" w:lineRule="auto"/>
              <w:ind w:left="20"/>
              <w:rPr>
                <w:sz w:val="18"/>
                <w:szCs w:val="18"/>
              </w:rPr>
            </w:pPr>
            <w:r>
              <w:rPr>
                <w:b/>
                <w:bCs/>
                <w:spacing w:val="-2"/>
                <w:sz w:val="18"/>
                <w:szCs w:val="18"/>
              </w:rPr>
              <w:t>A</w:t>
            </w:r>
          </w:p>
        </w:tc>
        <w:tc>
          <w:tcPr>
            <w:tcW w:w="230" w:type="dxa"/>
            <w:tcBorders>
              <w:top w:val="single" w:color="000000" w:sz="2" w:space="0"/>
              <w:bottom w:val="single" w:color="000000" w:sz="2" w:space="0"/>
            </w:tcBorders>
            <w:vAlign w:val="top"/>
          </w:tcPr>
          <w:p w14:paraId="547A8EC1">
            <w:pPr>
              <w:pStyle w:val="6"/>
              <w:spacing w:before="111" w:line="182" w:lineRule="auto"/>
              <w:ind w:left="20"/>
              <w:rPr>
                <w:sz w:val="18"/>
                <w:szCs w:val="18"/>
              </w:rPr>
            </w:pPr>
            <w:r>
              <w:rPr>
                <w:b/>
                <w:bCs/>
                <w:spacing w:val="-2"/>
                <w:sz w:val="18"/>
                <w:szCs w:val="18"/>
              </w:rPr>
              <w:t>B</w:t>
            </w:r>
          </w:p>
        </w:tc>
        <w:tc>
          <w:tcPr>
            <w:tcW w:w="219" w:type="dxa"/>
            <w:tcBorders>
              <w:top w:val="single" w:color="000000" w:sz="2" w:space="0"/>
              <w:bottom w:val="single" w:color="000000" w:sz="2" w:space="0"/>
            </w:tcBorders>
            <w:vAlign w:val="top"/>
          </w:tcPr>
          <w:p w14:paraId="71623969">
            <w:pPr>
              <w:pStyle w:val="6"/>
              <w:spacing w:before="110" w:line="183" w:lineRule="auto"/>
              <w:ind w:left="57"/>
              <w:rPr>
                <w:sz w:val="18"/>
                <w:szCs w:val="18"/>
              </w:rPr>
            </w:pPr>
            <w:r>
              <w:rPr>
                <w:sz w:val="18"/>
                <w:szCs w:val="18"/>
              </w:rPr>
              <w:t>C</w:t>
            </w:r>
          </w:p>
        </w:tc>
        <w:tc>
          <w:tcPr>
            <w:tcW w:w="244" w:type="dxa"/>
            <w:tcBorders>
              <w:top w:val="single" w:color="000000" w:sz="2" w:space="0"/>
              <w:bottom w:val="single" w:color="000000" w:sz="2" w:space="0"/>
            </w:tcBorders>
            <w:vAlign w:val="top"/>
          </w:tcPr>
          <w:p w14:paraId="66E9E7D8">
            <w:pPr>
              <w:pStyle w:val="6"/>
              <w:spacing w:before="111" w:line="182" w:lineRule="auto"/>
              <w:ind w:left="18"/>
              <w:rPr>
                <w:sz w:val="18"/>
                <w:szCs w:val="18"/>
              </w:rPr>
            </w:pPr>
            <w:r>
              <w:rPr>
                <w:sz w:val="18"/>
                <w:szCs w:val="18"/>
              </w:rPr>
              <w:t>D</w:t>
            </w:r>
          </w:p>
        </w:tc>
      </w:tr>
      <w:tr w14:paraId="25ADC3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67" w:hRule="atLeast"/>
        </w:trPr>
        <w:tc>
          <w:tcPr>
            <w:tcW w:w="893" w:type="dxa"/>
            <w:tcBorders>
              <w:top w:val="single" w:color="000000" w:sz="2" w:space="0"/>
              <w:bottom w:val="single" w:color="000000" w:sz="2" w:space="0"/>
            </w:tcBorders>
            <w:vAlign w:val="top"/>
          </w:tcPr>
          <w:p w14:paraId="27DBD80D">
            <w:pPr>
              <w:pStyle w:val="6"/>
              <w:spacing w:before="242" w:line="219" w:lineRule="auto"/>
              <w:ind w:left="77"/>
              <w:rPr>
                <w:sz w:val="18"/>
                <w:szCs w:val="18"/>
              </w:rPr>
            </w:pPr>
            <w:r>
              <w:rPr>
                <w:b/>
                <w:bCs/>
                <w:spacing w:val="-4"/>
                <w:sz w:val="18"/>
                <w:szCs w:val="18"/>
              </w:rPr>
              <w:t>旅游市场</w:t>
            </w:r>
          </w:p>
        </w:tc>
        <w:tc>
          <w:tcPr>
            <w:tcW w:w="2314" w:type="dxa"/>
            <w:tcBorders>
              <w:top w:val="single" w:color="000000" w:sz="2" w:space="0"/>
              <w:bottom w:val="single" w:color="000000" w:sz="2" w:space="0"/>
            </w:tcBorders>
            <w:vAlign w:val="top"/>
          </w:tcPr>
          <w:p w14:paraId="2C92E1BD">
            <w:pPr>
              <w:pStyle w:val="6"/>
              <w:spacing w:before="52" w:line="215" w:lineRule="auto"/>
              <w:ind w:left="14"/>
              <w:rPr>
                <w:sz w:val="18"/>
                <w:szCs w:val="18"/>
              </w:rPr>
            </w:pPr>
            <w:r>
              <w:rPr>
                <w:b/>
                <w:bCs/>
                <w:spacing w:val="-2"/>
                <w:sz w:val="18"/>
                <w:szCs w:val="18"/>
              </w:rPr>
              <w:t>1.旅游市场的概念</w:t>
            </w:r>
          </w:p>
          <w:p w14:paraId="315C4B22">
            <w:pPr>
              <w:pStyle w:val="6"/>
              <w:spacing w:line="202" w:lineRule="auto"/>
              <w:ind w:left="14" w:right="498"/>
              <w:rPr>
                <w:sz w:val="18"/>
                <w:szCs w:val="18"/>
              </w:rPr>
            </w:pPr>
            <w:r>
              <w:rPr>
                <w:b/>
                <w:bCs/>
                <w:spacing w:val="-3"/>
                <w:sz w:val="18"/>
                <w:szCs w:val="18"/>
              </w:rPr>
              <w:t>2.旅游市场形成的条件</w:t>
            </w:r>
            <w:r>
              <w:rPr>
                <w:spacing w:val="2"/>
                <w:sz w:val="18"/>
                <w:szCs w:val="18"/>
              </w:rPr>
              <w:t xml:space="preserve"> </w:t>
            </w:r>
            <w:r>
              <w:rPr>
                <w:b/>
                <w:bCs/>
                <w:spacing w:val="-3"/>
                <w:sz w:val="18"/>
                <w:szCs w:val="18"/>
              </w:rPr>
              <w:t>3.旅游者的流动规律</w:t>
            </w:r>
          </w:p>
        </w:tc>
        <w:tc>
          <w:tcPr>
            <w:tcW w:w="230" w:type="dxa"/>
            <w:tcBorders>
              <w:top w:val="single" w:color="000000" w:sz="2" w:space="0"/>
              <w:bottom w:val="single" w:color="000000" w:sz="2" w:space="0"/>
            </w:tcBorders>
            <w:vAlign w:val="top"/>
          </w:tcPr>
          <w:p w14:paraId="1549DC7D">
            <w:pPr>
              <w:pStyle w:val="6"/>
              <w:spacing w:before="66" w:line="238" w:lineRule="auto"/>
              <w:ind w:left="17"/>
              <w:rPr>
                <w:sz w:val="13"/>
                <w:szCs w:val="13"/>
              </w:rPr>
            </w:pPr>
            <w:r>
              <w:rPr>
                <w:sz w:val="13"/>
                <w:szCs w:val="13"/>
              </w:rPr>
              <w:t>√</w:t>
            </w:r>
          </w:p>
        </w:tc>
        <w:tc>
          <w:tcPr>
            <w:tcW w:w="230" w:type="dxa"/>
            <w:tcBorders>
              <w:top w:val="single" w:color="000000" w:sz="2" w:space="0"/>
              <w:bottom w:val="single" w:color="000000" w:sz="2" w:space="0"/>
            </w:tcBorders>
            <w:vAlign w:val="top"/>
          </w:tcPr>
          <w:p w14:paraId="21141FCD">
            <w:pPr>
              <w:rPr>
                <w:rFonts w:ascii="Arial"/>
                <w:sz w:val="21"/>
              </w:rPr>
            </w:pPr>
          </w:p>
        </w:tc>
        <w:tc>
          <w:tcPr>
            <w:tcW w:w="219" w:type="dxa"/>
            <w:tcBorders>
              <w:top w:val="single" w:color="000000" w:sz="2" w:space="0"/>
              <w:bottom w:val="single" w:color="000000" w:sz="2" w:space="0"/>
            </w:tcBorders>
            <w:vAlign w:val="top"/>
          </w:tcPr>
          <w:p w14:paraId="699375EE">
            <w:pPr>
              <w:spacing w:line="242" w:lineRule="auto"/>
              <w:rPr>
                <w:rFonts w:ascii="Arial"/>
                <w:sz w:val="21"/>
              </w:rPr>
            </w:pPr>
          </w:p>
          <w:p w14:paraId="517B5F2C">
            <w:pPr>
              <w:pStyle w:val="6"/>
              <w:spacing w:before="42" w:line="238" w:lineRule="auto"/>
              <w:ind w:left="37"/>
              <w:rPr>
                <w:sz w:val="13"/>
                <w:szCs w:val="13"/>
              </w:rPr>
            </w:pPr>
            <w:r>
              <w:rPr>
                <w:sz w:val="13"/>
                <w:szCs w:val="13"/>
              </w:rPr>
              <w:t>√</w:t>
            </w:r>
          </w:p>
        </w:tc>
        <w:tc>
          <w:tcPr>
            <w:tcW w:w="244" w:type="dxa"/>
            <w:tcBorders>
              <w:top w:val="single" w:color="000000" w:sz="2" w:space="0"/>
              <w:bottom w:val="single" w:color="000000" w:sz="2" w:space="0"/>
            </w:tcBorders>
            <w:vAlign w:val="top"/>
          </w:tcPr>
          <w:p w14:paraId="5C7D0FEB">
            <w:pPr>
              <w:rPr>
                <w:rFonts w:ascii="Arial"/>
                <w:sz w:val="21"/>
              </w:rPr>
            </w:pPr>
          </w:p>
        </w:tc>
      </w:tr>
    </w:tbl>
    <w:p w14:paraId="648CE54B">
      <w:pPr>
        <w:pStyle w:val="2"/>
        <w:spacing w:line="14" w:lineRule="auto"/>
        <w:rPr>
          <w:sz w:val="2"/>
        </w:rPr>
      </w:pPr>
    </w:p>
    <w:p w14:paraId="238D9DF2">
      <w:pPr>
        <w:pStyle w:val="2"/>
        <w:spacing w:line="14" w:lineRule="auto"/>
        <w:rPr>
          <w:sz w:val="2"/>
        </w:rPr>
      </w:pPr>
      <w:r>
        <w:rPr>
          <w:sz w:val="2"/>
          <w:szCs w:val="2"/>
        </w:rPr>
        <w:br w:type="column"/>
      </w:r>
    </w:p>
    <w:p w14:paraId="52477E5E">
      <w:pPr>
        <w:spacing w:line="94" w:lineRule="auto"/>
        <w:rPr>
          <w:rFonts w:ascii="Arial"/>
          <w:sz w:val="2"/>
        </w:rPr>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24"/>
        <w:gridCol w:w="220"/>
        <w:gridCol w:w="229"/>
        <w:gridCol w:w="229"/>
        <w:gridCol w:w="224"/>
      </w:tblGrid>
      <w:tr w14:paraId="17AEB9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11" w:hRule="atLeast"/>
        </w:trPr>
        <w:tc>
          <w:tcPr>
            <w:tcW w:w="893" w:type="dxa"/>
            <w:vAlign w:val="top"/>
          </w:tcPr>
          <w:p w14:paraId="3D809162">
            <w:pPr>
              <w:pStyle w:val="6"/>
              <w:spacing w:before="132" w:line="219" w:lineRule="auto"/>
              <w:ind w:left="74"/>
              <w:rPr>
                <w:sz w:val="18"/>
                <w:szCs w:val="18"/>
              </w:rPr>
            </w:pPr>
            <w:r>
              <w:rPr>
                <w:spacing w:val="-2"/>
                <w:sz w:val="18"/>
                <w:szCs w:val="18"/>
              </w:rPr>
              <w:t>旅游市场</w:t>
            </w:r>
          </w:p>
          <w:p w14:paraId="72BFFCF2">
            <w:pPr>
              <w:pStyle w:val="6"/>
              <w:spacing w:before="6" w:line="220" w:lineRule="auto"/>
              <w:ind w:left="164"/>
              <w:rPr>
                <w:sz w:val="18"/>
                <w:szCs w:val="18"/>
              </w:rPr>
            </w:pPr>
            <w:r>
              <w:rPr>
                <w:spacing w:val="2"/>
                <w:sz w:val="18"/>
                <w:szCs w:val="18"/>
              </w:rPr>
              <w:t>的细分</w:t>
            </w:r>
          </w:p>
        </w:tc>
        <w:tc>
          <w:tcPr>
            <w:tcW w:w="2324" w:type="dxa"/>
            <w:vAlign w:val="top"/>
          </w:tcPr>
          <w:p w14:paraId="3D30FA02">
            <w:pPr>
              <w:pStyle w:val="6"/>
              <w:spacing w:before="121" w:line="228" w:lineRule="auto"/>
              <w:ind w:left="11" w:right="494"/>
              <w:rPr>
                <w:sz w:val="18"/>
                <w:szCs w:val="18"/>
              </w:rPr>
            </w:pPr>
            <w:r>
              <w:rPr>
                <w:sz w:val="18"/>
                <w:szCs w:val="18"/>
              </w:rPr>
              <w:t>1.旅游市场细分的概念</w:t>
            </w:r>
            <w:r>
              <w:rPr>
                <w:spacing w:val="6"/>
                <w:sz w:val="18"/>
                <w:szCs w:val="18"/>
              </w:rPr>
              <w:t xml:space="preserve"> </w:t>
            </w:r>
            <w:r>
              <w:rPr>
                <w:spacing w:val="-1"/>
                <w:sz w:val="18"/>
                <w:szCs w:val="18"/>
              </w:rPr>
              <w:t>2.旅游市场的细分标准</w:t>
            </w:r>
          </w:p>
        </w:tc>
        <w:tc>
          <w:tcPr>
            <w:tcW w:w="220" w:type="dxa"/>
            <w:vAlign w:val="top"/>
          </w:tcPr>
          <w:p w14:paraId="197BA433">
            <w:pPr>
              <w:pStyle w:val="6"/>
              <w:spacing w:before="111" w:line="238" w:lineRule="auto"/>
              <w:ind w:left="18"/>
              <w:rPr>
                <w:sz w:val="12"/>
                <w:szCs w:val="12"/>
              </w:rPr>
            </w:pPr>
            <w:r>
              <w:rPr>
                <w:sz w:val="12"/>
                <w:szCs w:val="12"/>
              </w:rPr>
              <w:t>√</w:t>
            </w:r>
          </w:p>
        </w:tc>
        <w:tc>
          <w:tcPr>
            <w:tcW w:w="229" w:type="dxa"/>
            <w:vAlign w:val="top"/>
          </w:tcPr>
          <w:p w14:paraId="27216C2B">
            <w:pPr>
              <w:rPr>
                <w:rFonts w:ascii="Arial"/>
                <w:sz w:val="21"/>
              </w:rPr>
            </w:pPr>
          </w:p>
        </w:tc>
        <w:tc>
          <w:tcPr>
            <w:tcW w:w="229" w:type="dxa"/>
            <w:vAlign w:val="top"/>
          </w:tcPr>
          <w:p w14:paraId="432FA79C">
            <w:pPr>
              <w:spacing w:line="261" w:lineRule="auto"/>
              <w:rPr>
                <w:rFonts w:ascii="Arial"/>
                <w:sz w:val="21"/>
              </w:rPr>
            </w:pPr>
          </w:p>
          <w:p w14:paraId="53F7756E">
            <w:pPr>
              <w:pStyle w:val="6"/>
              <w:spacing w:before="39" w:line="238" w:lineRule="auto"/>
              <w:ind w:left="18"/>
              <w:rPr>
                <w:sz w:val="12"/>
                <w:szCs w:val="12"/>
              </w:rPr>
            </w:pPr>
            <w:r>
              <w:rPr>
                <w:sz w:val="12"/>
                <w:szCs w:val="12"/>
              </w:rPr>
              <w:t>√</w:t>
            </w:r>
          </w:p>
        </w:tc>
        <w:tc>
          <w:tcPr>
            <w:tcW w:w="224" w:type="dxa"/>
            <w:vAlign w:val="top"/>
          </w:tcPr>
          <w:p w14:paraId="78DD6DA6">
            <w:pPr>
              <w:rPr>
                <w:rFonts w:ascii="Arial"/>
                <w:sz w:val="21"/>
              </w:rPr>
            </w:pPr>
          </w:p>
        </w:tc>
      </w:tr>
      <w:tr w14:paraId="6D85FD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9" w:hRule="atLeast"/>
        </w:trPr>
        <w:tc>
          <w:tcPr>
            <w:tcW w:w="893" w:type="dxa"/>
            <w:vAlign w:val="top"/>
          </w:tcPr>
          <w:p w14:paraId="74BB023F">
            <w:pPr>
              <w:pStyle w:val="6"/>
              <w:spacing w:before="193" w:line="221" w:lineRule="auto"/>
              <w:ind w:left="74"/>
              <w:rPr>
                <w:sz w:val="18"/>
                <w:szCs w:val="18"/>
              </w:rPr>
            </w:pPr>
            <w:r>
              <w:rPr>
                <w:spacing w:val="-2"/>
                <w:sz w:val="18"/>
                <w:szCs w:val="18"/>
              </w:rPr>
              <w:t>我国的旅</w:t>
            </w:r>
          </w:p>
          <w:p w14:paraId="6152771F">
            <w:pPr>
              <w:pStyle w:val="6"/>
              <w:spacing w:before="12" w:line="219" w:lineRule="auto"/>
              <w:ind w:left="164"/>
              <w:rPr>
                <w:sz w:val="18"/>
                <w:szCs w:val="18"/>
              </w:rPr>
            </w:pPr>
            <w:r>
              <w:rPr>
                <w:spacing w:val="-2"/>
                <w:sz w:val="18"/>
                <w:szCs w:val="18"/>
              </w:rPr>
              <w:t>游市场</w:t>
            </w:r>
          </w:p>
        </w:tc>
        <w:tc>
          <w:tcPr>
            <w:tcW w:w="2324" w:type="dxa"/>
            <w:vAlign w:val="top"/>
          </w:tcPr>
          <w:p w14:paraId="0638783E">
            <w:pPr>
              <w:pStyle w:val="6"/>
              <w:spacing w:before="101" w:line="215" w:lineRule="auto"/>
              <w:ind w:left="11"/>
              <w:rPr>
                <w:sz w:val="18"/>
                <w:szCs w:val="18"/>
              </w:rPr>
            </w:pPr>
            <w:r>
              <w:rPr>
                <w:spacing w:val="1"/>
                <w:sz w:val="18"/>
                <w:szCs w:val="18"/>
              </w:rPr>
              <w:t>1.我国入境旅游市场</w:t>
            </w:r>
          </w:p>
          <w:p w14:paraId="30D75826">
            <w:pPr>
              <w:pStyle w:val="6"/>
              <w:spacing w:before="1" w:line="227" w:lineRule="auto"/>
              <w:ind w:left="11" w:right="490"/>
              <w:rPr>
                <w:sz w:val="18"/>
                <w:szCs w:val="18"/>
              </w:rPr>
            </w:pPr>
            <w:r>
              <w:rPr>
                <w:spacing w:val="1"/>
                <w:sz w:val="18"/>
                <w:szCs w:val="18"/>
              </w:rPr>
              <w:t>2.我国的国内旅游市场</w:t>
            </w:r>
            <w:r>
              <w:rPr>
                <w:sz w:val="18"/>
                <w:szCs w:val="18"/>
              </w:rPr>
              <w:t xml:space="preserve"> </w:t>
            </w:r>
            <w:r>
              <w:rPr>
                <w:spacing w:val="1"/>
                <w:sz w:val="18"/>
                <w:szCs w:val="18"/>
              </w:rPr>
              <w:t>3.我国的出境旅游市场</w:t>
            </w:r>
          </w:p>
        </w:tc>
        <w:tc>
          <w:tcPr>
            <w:tcW w:w="220" w:type="dxa"/>
            <w:vAlign w:val="top"/>
          </w:tcPr>
          <w:p w14:paraId="12DB70C1">
            <w:pPr>
              <w:rPr>
                <w:rFonts w:ascii="Arial"/>
                <w:sz w:val="21"/>
              </w:rPr>
            </w:pPr>
          </w:p>
        </w:tc>
        <w:tc>
          <w:tcPr>
            <w:tcW w:w="229" w:type="dxa"/>
            <w:vAlign w:val="top"/>
          </w:tcPr>
          <w:p w14:paraId="427AEAF0">
            <w:pPr>
              <w:rPr>
                <w:rFonts w:ascii="Arial"/>
                <w:sz w:val="21"/>
              </w:rPr>
            </w:pPr>
          </w:p>
        </w:tc>
        <w:tc>
          <w:tcPr>
            <w:tcW w:w="229" w:type="dxa"/>
            <w:vAlign w:val="top"/>
          </w:tcPr>
          <w:p w14:paraId="25E9614C">
            <w:pPr>
              <w:rPr>
                <w:rFonts w:ascii="Arial"/>
                <w:sz w:val="21"/>
              </w:rPr>
            </w:pPr>
          </w:p>
        </w:tc>
        <w:tc>
          <w:tcPr>
            <w:tcW w:w="224" w:type="dxa"/>
            <w:vAlign w:val="top"/>
          </w:tcPr>
          <w:p w14:paraId="419941C0">
            <w:pPr>
              <w:rPr>
                <w:rFonts w:ascii="Arial"/>
                <w:sz w:val="21"/>
              </w:rPr>
            </w:pPr>
          </w:p>
        </w:tc>
      </w:tr>
    </w:tbl>
    <w:p w14:paraId="31C7A80F">
      <w:pPr>
        <w:spacing w:before="109" w:line="253" w:lineRule="auto"/>
        <w:ind w:left="1057" w:right="780" w:hanging="290"/>
        <w:rPr>
          <w:rFonts w:ascii="黑体" w:hAnsi="黑体" w:eastAsia="黑体" w:cs="黑体"/>
          <w:sz w:val="20"/>
          <w:szCs w:val="20"/>
        </w:rPr>
      </w:pPr>
      <w:r>
        <w:rPr>
          <w:rFonts w:ascii="黑体" w:hAnsi="黑体" w:eastAsia="黑体" w:cs="黑体"/>
          <w:b/>
          <w:bCs/>
          <w:spacing w:val="4"/>
          <w:sz w:val="20"/>
          <w:szCs w:val="20"/>
        </w:rPr>
        <w:t>第六单元</w:t>
      </w:r>
      <w:r>
        <w:rPr>
          <w:rFonts w:ascii="黑体" w:hAnsi="黑体" w:eastAsia="黑体" w:cs="黑体"/>
          <w:spacing w:val="4"/>
          <w:sz w:val="20"/>
          <w:szCs w:val="20"/>
        </w:rPr>
        <w:t xml:space="preserve"> </w:t>
      </w:r>
      <w:r>
        <w:rPr>
          <w:rFonts w:ascii="黑体" w:hAnsi="黑体" w:eastAsia="黑体" w:cs="黑体"/>
          <w:b/>
          <w:bCs/>
          <w:spacing w:val="4"/>
          <w:sz w:val="20"/>
          <w:szCs w:val="20"/>
        </w:rPr>
        <w:t>你的个人发展依托</w:t>
      </w:r>
      <w:r>
        <w:rPr>
          <w:rFonts w:ascii="黑体" w:hAnsi="黑体" w:eastAsia="黑体" w:cs="黑体"/>
          <w:spacing w:val="3"/>
          <w:sz w:val="20"/>
          <w:szCs w:val="20"/>
        </w:rPr>
        <w:t xml:space="preserve"> </w:t>
      </w:r>
      <w:r>
        <w:rPr>
          <w:rFonts w:ascii="黑体" w:hAnsi="黑体" w:eastAsia="黑体" w:cs="黑体"/>
          <w:b/>
          <w:bCs/>
          <w:spacing w:val="-3"/>
          <w:sz w:val="20"/>
          <w:szCs w:val="20"/>
        </w:rPr>
        <w:t>——旅游业的发展趋势</w:t>
      </w:r>
    </w:p>
    <w:p w14:paraId="205085DB">
      <w:pPr>
        <w:spacing w:line="82" w:lineRule="exact"/>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83"/>
        <w:gridCol w:w="2324"/>
        <w:gridCol w:w="220"/>
        <w:gridCol w:w="229"/>
        <w:gridCol w:w="229"/>
        <w:gridCol w:w="234"/>
      </w:tblGrid>
      <w:tr w14:paraId="471BFA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4" w:hRule="atLeast"/>
        </w:trPr>
        <w:tc>
          <w:tcPr>
            <w:tcW w:w="883" w:type="dxa"/>
            <w:vMerge w:val="restart"/>
            <w:tcBorders>
              <w:bottom w:val="nil"/>
            </w:tcBorders>
            <w:vAlign w:val="top"/>
          </w:tcPr>
          <w:p w14:paraId="42A89AB4">
            <w:pPr>
              <w:pStyle w:val="6"/>
              <w:spacing w:before="110" w:line="226" w:lineRule="auto"/>
              <w:ind w:left="266" w:right="25" w:hanging="259"/>
            </w:pPr>
            <w:r>
              <w:rPr>
                <w:b/>
                <w:bCs/>
                <w:spacing w:val="-4"/>
              </w:rPr>
              <w:t>知识与技能</w:t>
            </w:r>
            <w:r>
              <w:t xml:space="preserve"> </w:t>
            </w:r>
            <w:r>
              <w:rPr>
                <w:b/>
                <w:bCs/>
                <w:spacing w:val="-4"/>
              </w:rPr>
              <w:t>要点</w:t>
            </w:r>
          </w:p>
        </w:tc>
        <w:tc>
          <w:tcPr>
            <w:tcW w:w="2324" w:type="dxa"/>
            <w:vMerge w:val="restart"/>
            <w:tcBorders>
              <w:bottom w:val="nil"/>
            </w:tcBorders>
            <w:vAlign w:val="top"/>
          </w:tcPr>
          <w:p w14:paraId="1ECA3CF0">
            <w:pPr>
              <w:pStyle w:val="6"/>
              <w:spacing w:before="229" w:line="219" w:lineRule="auto"/>
              <w:ind w:left="834"/>
            </w:pPr>
            <w:r>
              <w:rPr>
                <w:b/>
                <w:bCs/>
                <w:spacing w:val="5"/>
              </w:rPr>
              <w:t>考试条目</w:t>
            </w:r>
          </w:p>
        </w:tc>
        <w:tc>
          <w:tcPr>
            <w:tcW w:w="912" w:type="dxa"/>
            <w:gridSpan w:val="4"/>
            <w:vAlign w:val="top"/>
          </w:tcPr>
          <w:p w14:paraId="1F7B95A0">
            <w:pPr>
              <w:pStyle w:val="6"/>
              <w:spacing w:before="69" w:line="219" w:lineRule="auto"/>
              <w:ind w:left="150"/>
            </w:pPr>
            <w:r>
              <w:rPr>
                <w:b/>
                <w:bCs/>
                <w:spacing w:val="-4"/>
              </w:rPr>
              <w:t>考试水平</w:t>
            </w:r>
          </w:p>
        </w:tc>
      </w:tr>
      <w:tr w14:paraId="3E0CE4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883" w:type="dxa"/>
            <w:vMerge w:val="continue"/>
            <w:tcBorders>
              <w:top w:val="nil"/>
            </w:tcBorders>
            <w:vAlign w:val="top"/>
          </w:tcPr>
          <w:p w14:paraId="16EA8528">
            <w:pPr>
              <w:rPr>
                <w:rFonts w:ascii="Arial"/>
                <w:sz w:val="21"/>
              </w:rPr>
            </w:pPr>
          </w:p>
        </w:tc>
        <w:tc>
          <w:tcPr>
            <w:tcW w:w="2324" w:type="dxa"/>
            <w:vMerge w:val="continue"/>
            <w:tcBorders>
              <w:top w:val="nil"/>
            </w:tcBorders>
            <w:vAlign w:val="top"/>
          </w:tcPr>
          <w:p w14:paraId="4A9C6CF6">
            <w:pPr>
              <w:rPr>
                <w:rFonts w:ascii="Arial"/>
                <w:sz w:val="21"/>
              </w:rPr>
            </w:pPr>
          </w:p>
        </w:tc>
        <w:tc>
          <w:tcPr>
            <w:tcW w:w="220" w:type="dxa"/>
            <w:vAlign w:val="top"/>
          </w:tcPr>
          <w:p w14:paraId="783419A3">
            <w:pPr>
              <w:pStyle w:val="6"/>
              <w:spacing w:before="110" w:line="184" w:lineRule="auto"/>
              <w:ind w:left="60"/>
            </w:pPr>
            <w:r>
              <w:rPr>
                <w:b/>
                <w:bCs/>
                <w:spacing w:val="-2"/>
              </w:rPr>
              <w:t>A</w:t>
            </w:r>
          </w:p>
        </w:tc>
        <w:tc>
          <w:tcPr>
            <w:tcW w:w="229" w:type="dxa"/>
            <w:vAlign w:val="top"/>
          </w:tcPr>
          <w:p w14:paraId="0A7586A9">
            <w:pPr>
              <w:pStyle w:val="6"/>
              <w:spacing w:before="112" w:line="182" w:lineRule="auto"/>
              <w:jc w:val="right"/>
            </w:pPr>
            <w:r>
              <w:rPr>
                <w:b/>
                <w:bCs/>
                <w:spacing w:val="-4"/>
                <w:w w:val="95"/>
              </w:rPr>
              <w:t>B</w:t>
            </w:r>
          </w:p>
        </w:tc>
        <w:tc>
          <w:tcPr>
            <w:tcW w:w="229" w:type="dxa"/>
            <w:vAlign w:val="top"/>
          </w:tcPr>
          <w:p w14:paraId="51F1B531">
            <w:pPr>
              <w:pStyle w:val="6"/>
              <w:spacing w:before="110" w:line="183" w:lineRule="auto"/>
              <w:ind w:left="51"/>
            </w:pPr>
            <w:r>
              <w:rPr>
                <w:b/>
                <w:bCs/>
                <w:spacing w:val="-2"/>
              </w:rPr>
              <w:t>C</w:t>
            </w:r>
          </w:p>
        </w:tc>
        <w:tc>
          <w:tcPr>
            <w:tcW w:w="234" w:type="dxa"/>
            <w:vAlign w:val="top"/>
          </w:tcPr>
          <w:p w14:paraId="7D4690C6">
            <w:pPr>
              <w:pStyle w:val="6"/>
              <w:spacing w:before="112" w:line="182" w:lineRule="auto"/>
              <w:ind w:left="72"/>
            </w:pPr>
            <w:r>
              <w:rPr>
                <w:b/>
                <w:bCs/>
                <w:spacing w:val="-2"/>
              </w:rPr>
              <w:t>D</w:t>
            </w:r>
          </w:p>
        </w:tc>
      </w:tr>
      <w:tr w14:paraId="0D1CF6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9" w:hRule="atLeast"/>
        </w:trPr>
        <w:tc>
          <w:tcPr>
            <w:tcW w:w="883" w:type="dxa"/>
            <w:vAlign w:val="top"/>
          </w:tcPr>
          <w:p w14:paraId="188D344A">
            <w:pPr>
              <w:pStyle w:val="6"/>
              <w:spacing w:before="58" w:line="236" w:lineRule="auto"/>
              <w:ind w:left="264" w:right="105" w:hanging="170"/>
            </w:pPr>
            <w:r>
              <w:rPr>
                <w:spacing w:val="-2"/>
              </w:rPr>
              <w:t>生态旅游</w:t>
            </w:r>
            <w:r>
              <w:t xml:space="preserve"> </w:t>
            </w:r>
            <w:r>
              <w:rPr>
                <w:spacing w:val="-2"/>
              </w:rPr>
              <w:t>概述</w:t>
            </w:r>
          </w:p>
        </w:tc>
        <w:tc>
          <w:tcPr>
            <w:tcW w:w="2324" w:type="dxa"/>
            <w:vAlign w:val="top"/>
          </w:tcPr>
          <w:p w14:paraId="618C1E1D">
            <w:pPr>
              <w:pStyle w:val="6"/>
              <w:spacing w:before="68" w:line="230" w:lineRule="auto"/>
              <w:ind w:left="2" w:right="426"/>
            </w:pPr>
            <w:r>
              <w:rPr>
                <w:spacing w:val="1"/>
              </w:rPr>
              <w:t>1.生态旅游的概念和特点</w:t>
            </w:r>
            <w:r>
              <w:rPr>
                <w:spacing w:val="2"/>
              </w:rPr>
              <w:t xml:space="preserve"> </w:t>
            </w:r>
            <w:r>
              <w:rPr>
                <w:spacing w:val="-1"/>
              </w:rPr>
              <w:t>2.对生态旅游的认识</w:t>
            </w:r>
          </w:p>
        </w:tc>
        <w:tc>
          <w:tcPr>
            <w:tcW w:w="220" w:type="dxa"/>
            <w:vAlign w:val="top"/>
          </w:tcPr>
          <w:p w14:paraId="5698CCA7">
            <w:pPr>
              <w:rPr>
                <w:rFonts w:ascii="Arial"/>
                <w:sz w:val="21"/>
              </w:rPr>
            </w:pPr>
          </w:p>
        </w:tc>
        <w:tc>
          <w:tcPr>
            <w:tcW w:w="229" w:type="dxa"/>
            <w:vAlign w:val="top"/>
          </w:tcPr>
          <w:p w14:paraId="6E531EFE">
            <w:pPr>
              <w:rPr>
                <w:rFonts w:ascii="Arial"/>
                <w:sz w:val="21"/>
              </w:rPr>
            </w:pPr>
          </w:p>
        </w:tc>
        <w:tc>
          <w:tcPr>
            <w:tcW w:w="229" w:type="dxa"/>
            <w:vAlign w:val="top"/>
          </w:tcPr>
          <w:p w14:paraId="0CE997EF">
            <w:pPr>
              <w:pStyle w:val="6"/>
              <w:spacing w:before="76" w:line="238" w:lineRule="auto"/>
              <w:ind w:left="18"/>
            </w:pPr>
            <w:r>
              <w:t>√</w:t>
            </w:r>
          </w:p>
        </w:tc>
        <w:tc>
          <w:tcPr>
            <w:tcW w:w="234" w:type="dxa"/>
            <w:vAlign w:val="top"/>
          </w:tcPr>
          <w:p w14:paraId="36C8897F">
            <w:pPr>
              <w:pStyle w:val="6"/>
              <w:spacing w:before="250" w:line="238" w:lineRule="auto"/>
              <w:ind w:left="49"/>
              <w:rPr>
                <w:sz w:val="13"/>
                <w:szCs w:val="13"/>
              </w:rPr>
            </w:pPr>
            <w:r>
              <w:rPr>
                <w:sz w:val="13"/>
                <w:szCs w:val="13"/>
              </w:rPr>
              <w:t>√</w:t>
            </w:r>
          </w:p>
        </w:tc>
      </w:tr>
      <w:tr w14:paraId="041787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48" w:hRule="atLeast"/>
        </w:trPr>
        <w:tc>
          <w:tcPr>
            <w:tcW w:w="883" w:type="dxa"/>
            <w:vAlign w:val="top"/>
          </w:tcPr>
          <w:p w14:paraId="6B12D855">
            <w:pPr>
              <w:pStyle w:val="6"/>
              <w:spacing w:before="20" w:line="220" w:lineRule="auto"/>
              <w:ind w:left="94"/>
            </w:pPr>
            <w:r>
              <w:rPr>
                <w:spacing w:val="-2"/>
              </w:rPr>
              <w:t>生态旅游</w:t>
            </w:r>
          </w:p>
          <w:p w14:paraId="0022957E">
            <w:pPr>
              <w:pStyle w:val="6"/>
              <w:spacing w:before="36" w:line="207" w:lineRule="auto"/>
              <w:ind w:left="94"/>
            </w:pPr>
            <w:r>
              <w:rPr>
                <w:spacing w:val="3"/>
              </w:rPr>
              <w:t>的现状与</w:t>
            </w:r>
          </w:p>
          <w:p w14:paraId="3480FD0A">
            <w:pPr>
              <w:pStyle w:val="6"/>
              <w:spacing w:line="203" w:lineRule="auto"/>
              <w:ind w:left="265"/>
            </w:pPr>
            <w:r>
              <w:rPr>
                <w:spacing w:val="-3"/>
              </w:rPr>
              <w:t>意义</w:t>
            </w:r>
          </w:p>
        </w:tc>
        <w:tc>
          <w:tcPr>
            <w:tcW w:w="2324" w:type="dxa"/>
            <w:vAlign w:val="top"/>
          </w:tcPr>
          <w:p w14:paraId="3D542E74">
            <w:pPr>
              <w:pStyle w:val="6"/>
              <w:spacing w:before="20" w:line="219" w:lineRule="auto"/>
              <w:ind w:left="2"/>
            </w:pPr>
            <w:r>
              <w:rPr>
                <w:spacing w:val="1"/>
              </w:rPr>
              <w:t>1.生态的类型</w:t>
            </w:r>
          </w:p>
          <w:p w14:paraId="42E94646">
            <w:pPr>
              <w:pStyle w:val="6"/>
              <w:spacing w:before="27" w:line="211" w:lineRule="auto"/>
              <w:ind w:left="2" w:right="790"/>
            </w:pPr>
            <w:r>
              <w:rPr>
                <w:spacing w:val="-1"/>
              </w:rPr>
              <w:t>2.中外生态旅游现状</w:t>
            </w:r>
            <w:r>
              <w:t xml:space="preserve"> </w:t>
            </w:r>
            <w:r>
              <w:rPr>
                <w:spacing w:val="-1"/>
              </w:rPr>
              <w:t>3.生态旅游的意义</w:t>
            </w:r>
          </w:p>
        </w:tc>
        <w:tc>
          <w:tcPr>
            <w:tcW w:w="220" w:type="dxa"/>
            <w:vAlign w:val="top"/>
          </w:tcPr>
          <w:p w14:paraId="2A6F2A35">
            <w:pPr>
              <w:rPr>
                <w:rFonts w:ascii="Arial"/>
                <w:sz w:val="21"/>
              </w:rPr>
            </w:pPr>
          </w:p>
        </w:tc>
        <w:tc>
          <w:tcPr>
            <w:tcW w:w="229" w:type="dxa"/>
            <w:vAlign w:val="top"/>
          </w:tcPr>
          <w:p w14:paraId="23CDBBAF">
            <w:pPr>
              <w:pStyle w:val="6"/>
              <w:spacing w:before="49" w:line="238" w:lineRule="auto"/>
              <w:ind w:left="28"/>
              <w:rPr>
                <w:sz w:val="12"/>
                <w:szCs w:val="12"/>
              </w:rPr>
            </w:pPr>
            <w:r>
              <w:rPr>
                <w:sz w:val="12"/>
                <w:szCs w:val="12"/>
              </w:rPr>
              <w:t>√</w:t>
            </w:r>
          </w:p>
        </w:tc>
        <w:tc>
          <w:tcPr>
            <w:tcW w:w="229" w:type="dxa"/>
            <w:vAlign w:val="top"/>
          </w:tcPr>
          <w:p w14:paraId="1DB23DCD">
            <w:pPr>
              <w:pStyle w:val="6"/>
              <w:spacing w:before="271" w:line="238" w:lineRule="auto"/>
              <w:ind w:left="18"/>
              <w:rPr>
                <w:sz w:val="13"/>
                <w:szCs w:val="13"/>
              </w:rPr>
            </w:pPr>
            <w:r>
              <w:rPr>
                <w:sz w:val="13"/>
                <w:szCs w:val="13"/>
              </w:rPr>
              <w:t>√</w:t>
            </w:r>
          </w:p>
        </w:tc>
        <w:tc>
          <w:tcPr>
            <w:tcW w:w="234" w:type="dxa"/>
            <w:vAlign w:val="top"/>
          </w:tcPr>
          <w:p w14:paraId="70B66DC5">
            <w:pPr>
              <w:spacing w:line="436" w:lineRule="auto"/>
              <w:rPr>
                <w:rFonts w:ascii="Arial"/>
                <w:sz w:val="21"/>
              </w:rPr>
            </w:pPr>
          </w:p>
          <w:p w14:paraId="218E081C">
            <w:pPr>
              <w:pStyle w:val="6"/>
              <w:spacing w:before="42" w:line="222" w:lineRule="auto"/>
              <w:ind w:left="49"/>
              <w:rPr>
                <w:sz w:val="13"/>
                <w:szCs w:val="13"/>
              </w:rPr>
            </w:pPr>
            <w:r>
              <w:rPr>
                <w:sz w:val="13"/>
                <w:szCs w:val="13"/>
              </w:rPr>
              <w:t>√</w:t>
            </w:r>
          </w:p>
        </w:tc>
      </w:tr>
      <w:tr w14:paraId="088A3E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97" w:hRule="atLeast"/>
        </w:trPr>
        <w:tc>
          <w:tcPr>
            <w:tcW w:w="883" w:type="dxa"/>
            <w:vAlign w:val="top"/>
          </w:tcPr>
          <w:p w14:paraId="18F36C44">
            <w:pPr>
              <w:spacing w:line="305" w:lineRule="auto"/>
              <w:rPr>
                <w:rFonts w:ascii="Arial"/>
                <w:sz w:val="21"/>
              </w:rPr>
            </w:pPr>
          </w:p>
          <w:p w14:paraId="7A2E7E91">
            <w:pPr>
              <w:pStyle w:val="6"/>
              <w:spacing w:before="55" w:line="248" w:lineRule="auto"/>
              <w:ind w:left="173" w:right="103" w:hanging="79"/>
            </w:pPr>
            <w:r>
              <w:rPr>
                <w:spacing w:val="-2"/>
              </w:rPr>
              <w:t>旅游可持</w:t>
            </w:r>
            <w:r>
              <w:rPr>
                <w:spacing w:val="1"/>
              </w:rPr>
              <w:t xml:space="preserve"> </w:t>
            </w:r>
            <w:r>
              <w:rPr>
                <w:spacing w:val="-2"/>
              </w:rPr>
              <w:t>续发展</w:t>
            </w:r>
          </w:p>
        </w:tc>
        <w:tc>
          <w:tcPr>
            <w:tcW w:w="2324" w:type="dxa"/>
            <w:vAlign w:val="top"/>
          </w:tcPr>
          <w:p w14:paraId="26BF3300">
            <w:pPr>
              <w:pStyle w:val="6"/>
              <w:spacing w:before="32" w:line="244" w:lineRule="auto"/>
              <w:ind w:left="2" w:right="243" w:firstLine="19"/>
            </w:pPr>
            <w:r>
              <w:t>1.可持续发展和旅游可持续</w:t>
            </w:r>
            <w:r>
              <w:rPr>
                <w:spacing w:val="7"/>
              </w:rPr>
              <w:t xml:space="preserve"> </w:t>
            </w:r>
            <w:r>
              <w:rPr>
                <w:spacing w:val="-2"/>
              </w:rPr>
              <w:t>发展的概念</w:t>
            </w:r>
          </w:p>
          <w:p w14:paraId="45A8C9F2">
            <w:pPr>
              <w:pStyle w:val="6"/>
              <w:spacing w:line="236" w:lineRule="auto"/>
              <w:ind w:left="2" w:right="186"/>
            </w:pPr>
            <w:r>
              <w:rPr>
                <w:spacing w:val="6"/>
              </w:rPr>
              <w:t>2.旅游可持续发展的目标、</w:t>
            </w:r>
            <w:r>
              <w:rPr>
                <w:spacing w:val="5"/>
              </w:rPr>
              <w:t xml:space="preserve"> </w:t>
            </w:r>
            <w:r>
              <w:rPr>
                <w:spacing w:val="-2"/>
              </w:rPr>
              <w:t>途径与方法</w:t>
            </w:r>
          </w:p>
          <w:p w14:paraId="7983E01D">
            <w:pPr>
              <w:pStyle w:val="6"/>
              <w:spacing w:before="4" w:line="179" w:lineRule="auto"/>
              <w:ind w:left="2"/>
            </w:pPr>
            <w:r>
              <w:rPr>
                <w:spacing w:val="-1"/>
              </w:rPr>
              <w:t>3.旅游可持续发展的措施</w:t>
            </w:r>
          </w:p>
        </w:tc>
        <w:tc>
          <w:tcPr>
            <w:tcW w:w="220" w:type="dxa"/>
            <w:vAlign w:val="top"/>
          </w:tcPr>
          <w:p w14:paraId="35DA92E1">
            <w:pPr>
              <w:pStyle w:val="6"/>
              <w:spacing w:before="49" w:line="238" w:lineRule="auto"/>
              <w:ind w:left="17"/>
            </w:pPr>
            <w:r>
              <w:t>√</w:t>
            </w:r>
          </w:p>
        </w:tc>
        <w:tc>
          <w:tcPr>
            <w:tcW w:w="229" w:type="dxa"/>
            <w:vAlign w:val="top"/>
          </w:tcPr>
          <w:p w14:paraId="155AF96F">
            <w:pPr>
              <w:rPr>
                <w:rFonts w:ascii="Arial"/>
                <w:sz w:val="21"/>
              </w:rPr>
            </w:pPr>
          </w:p>
        </w:tc>
        <w:tc>
          <w:tcPr>
            <w:tcW w:w="229" w:type="dxa"/>
            <w:vAlign w:val="top"/>
          </w:tcPr>
          <w:p w14:paraId="4B85BE10">
            <w:pPr>
              <w:rPr>
                <w:rFonts w:ascii="Arial"/>
                <w:sz w:val="21"/>
              </w:rPr>
            </w:pPr>
          </w:p>
        </w:tc>
        <w:tc>
          <w:tcPr>
            <w:tcW w:w="234" w:type="dxa"/>
            <w:vAlign w:val="top"/>
          </w:tcPr>
          <w:p w14:paraId="60329565">
            <w:pPr>
              <w:rPr>
                <w:rFonts w:ascii="Arial"/>
                <w:sz w:val="21"/>
              </w:rPr>
            </w:pPr>
          </w:p>
        </w:tc>
      </w:tr>
      <w:tr w14:paraId="04110C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58" w:hRule="atLeast"/>
        </w:trPr>
        <w:tc>
          <w:tcPr>
            <w:tcW w:w="883" w:type="dxa"/>
            <w:vAlign w:val="top"/>
          </w:tcPr>
          <w:p w14:paraId="66C51998">
            <w:pPr>
              <w:pStyle w:val="6"/>
              <w:spacing w:before="35" w:line="220" w:lineRule="auto"/>
              <w:ind w:left="94"/>
            </w:pPr>
            <w:r>
              <w:rPr>
                <w:spacing w:val="-2"/>
              </w:rPr>
              <w:t>世界旅游</w:t>
            </w:r>
          </w:p>
          <w:p w14:paraId="1A0AABBE">
            <w:pPr>
              <w:pStyle w:val="6"/>
              <w:spacing w:before="27" w:line="216" w:lineRule="auto"/>
              <w:ind w:left="94"/>
            </w:pPr>
            <w:r>
              <w:rPr>
                <w:spacing w:val="-2"/>
              </w:rPr>
              <w:t>业的发展</w:t>
            </w:r>
          </w:p>
          <w:p w14:paraId="5B9D408E">
            <w:pPr>
              <w:pStyle w:val="6"/>
              <w:spacing w:line="198" w:lineRule="auto"/>
              <w:ind w:left="265"/>
            </w:pPr>
            <w:r>
              <w:rPr>
                <w:spacing w:val="-2"/>
              </w:rPr>
              <w:t>趋势</w:t>
            </w:r>
          </w:p>
        </w:tc>
        <w:tc>
          <w:tcPr>
            <w:tcW w:w="2324" w:type="dxa"/>
            <w:vAlign w:val="top"/>
          </w:tcPr>
          <w:p w14:paraId="105325CA">
            <w:pPr>
              <w:pStyle w:val="6"/>
              <w:spacing w:before="255" w:line="219" w:lineRule="auto"/>
              <w:ind w:left="2"/>
            </w:pPr>
            <w:r>
              <w:rPr>
                <w:spacing w:val="-1"/>
              </w:rPr>
              <w:t>世界旅游业的发展趋势</w:t>
            </w:r>
          </w:p>
        </w:tc>
        <w:tc>
          <w:tcPr>
            <w:tcW w:w="220" w:type="dxa"/>
            <w:vAlign w:val="top"/>
          </w:tcPr>
          <w:p w14:paraId="394B245B">
            <w:pPr>
              <w:rPr>
                <w:rFonts w:ascii="Arial"/>
                <w:sz w:val="21"/>
              </w:rPr>
            </w:pPr>
          </w:p>
        </w:tc>
        <w:tc>
          <w:tcPr>
            <w:tcW w:w="229" w:type="dxa"/>
            <w:vAlign w:val="top"/>
          </w:tcPr>
          <w:p w14:paraId="23C9C864">
            <w:pPr>
              <w:rPr>
                <w:rFonts w:ascii="Arial"/>
                <w:sz w:val="21"/>
              </w:rPr>
            </w:pPr>
          </w:p>
        </w:tc>
        <w:tc>
          <w:tcPr>
            <w:tcW w:w="229" w:type="dxa"/>
            <w:vAlign w:val="top"/>
          </w:tcPr>
          <w:p w14:paraId="5F48C05D">
            <w:pPr>
              <w:spacing w:line="242" w:lineRule="auto"/>
              <w:rPr>
                <w:rFonts w:ascii="Arial"/>
                <w:sz w:val="21"/>
              </w:rPr>
            </w:pPr>
          </w:p>
          <w:p w14:paraId="4E9F8B61">
            <w:pPr>
              <w:pStyle w:val="6"/>
              <w:spacing w:before="42" w:line="238" w:lineRule="auto"/>
              <w:ind w:left="18"/>
              <w:rPr>
                <w:sz w:val="13"/>
                <w:szCs w:val="13"/>
              </w:rPr>
            </w:pPr>
            <w:r>
              <w:rPr>
                <w:sz w:val="13"/>
                <w:szCs w:val="13"/>
              </w:rPr>
              <w:t>√</w:t>
            </w:r>
          </w:p>
        </w:tc>
        <w:tc>
          <w:tcPr>
            <w:tcW w:w="234" w:type="dxa"/>
            <w:vAlign w:val="top"/>
          </w:tcPr>
          <w:p w14:paraId="0A899D6B">
            <w:pPr>
              <w:rPr>
                <w:rFonts w:ascii="Arial"/>
                <w:sz w:val="21"/>
              </w:rPr>
            </w:pPr>
          </w:p>
        </w:tc>
      </w:tr>
      <w:tr w14:paraId="309F3C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54" w:hRule="atLeast"/>
        </w:trPr>
        <w:tc>
          <w:tcPr>
            <w:tcW w:w="883" w:type="dxa"/>
            <w:vAlign w:val="top"/>
          </w:tcPr>
          <w:p w14:paraId="5640A650">
            <w:pPr>
              <w:pStyle w:val="6"/>
              <w:spacing w:before="17" w:line="220" w:lineRule="auto"/>
              <w:ind w:left="94"/>
            </w:pPr>
            <w:r>
              <w:rPr>
                <w:spacing w:val="-2"/>
              </w:rPr>
              <w:t>我国旅游</w:t>
            </w:r>
          </w:p>
          <w:p w14:paraId="17BAEC3E">
            <w:pPr>
              <w:pStyle w:val="6"/>
              <w:spacing w:before="37" w:line="195" w:lineRule="auto"/>
              <w:ind w:left="94"/>
            </w:pPr>
            <w:r>
              <w:rPr>
                <w:spacing w:val="-2"/>
              </w:rPr>
              <w:t>业的发展</w:t>
            </w:r>
          </w:p>
          <w:p w14:paraId="645CBF01">
            <w:pPr>
              <w:pStyle w:val="6"/>
              <w:spacing w:line="219" w:lineRule="auto"/>
              <w:ind w:left="265"/>
            </w:pPr>
            <w:r>
              <w:rPr>
                <w:spacing w:val="-2"/>
              </w:rPr>
              <w:t>趋势</w:t>
            </w:r>
          </w:p>
        </w:tc>
        <w:tc>
          <w:tcPr>
            <w:tcW w:w="2324" w:type="dxa"/>
            <w:vAlign w:val="top"/>
          </w:tcPr>
          <w:p w14:paraId="404D56AC">
            <w:pPr>
              <w:pStyle w:val="6"/>
              <w:spacing w:before="37" w:line="228" w:lineRule="auto"/>
              <w:ind w:left="2" w:right="604"/>
            </w:pPr>
            <w:r>
              <w:t>1.大中华旅游圈的概念</w:t>
            </w:r>
            <w:r>
              <w:rPr>
                <w:spacing w:val="6"/>
              </w:rPr>
              <w:t xml:space="preserve"> </w:t>
            </w:r>
            <w:r>
              <w:rPr>
                <w:spacing w:val="-1"/>
              </w:rPr>
              <w:t>2.假日旅游常态化</w:t>
            </w:r>
          </w:p>
          <w:p w14:paraId="593D397C">
            <w:pPr>
              <w:pStyle w:val="6"/>
              <w:spacing w:before="18" w:line="182" w:lineRule="auto"/>
              <w:ind w:left="2"/>
            </w:pPr>
            <w:r>
              <w:rPr>
                <w:spacing w:val="1"/>
              </w:rPr>
              <w:t>3.我国旅游业的发展趋势</w:t>
            </w:r>
          </w:p>
        </w:tc>
        <w:tc>
          <w:tcPr>
            <w:tcW w:w="220" w:type="dxa"/>
            <w:vAlign w:val="top"/>
          </w:tcPr>
          <w:p w14:paraId="7016341E">
            <w:pPr>
              <w:rPr>
                <w:rFonts w:ascii="Arial"/>
                <w:sz w:val="21"/>
              </w:rPr>
            </w:pPr>
          </w:p>
        </w:tc>
        <w:tc>
          <w:tcPr>
            <w:tcW w:w="229" w:type="dxa"/>
            <w:vAlign w:val="top"/>
          </w:tcPr>
          <w:p w14:paraId="0BF4DB3C">
            <w:pPr>
              <w:rPr>
                <w:rFonts w:ascii="Arial"/>
                <w:sz w:val="21"/>
              </w:rPr>
            </w:pPr>
          </w:p>
        </w:tc>
        <w:tc>
          <w:tcPr>
            <w:tcW w:w="229" w:type="dxa"/>
            <w:vAlign w:val="top"/>
          </w:tcPr>
          <w:p w14:paraId="13631109">
            <w:pPr>
              <w:rPr>
                <w:rFonts w:ascii="Arial"/>
                <w:sz w:val="21"/>
              </w:rPr>
            </w:pPr>
          </w:p>
        </w:tc>
        <w:tc>
          <w:tcPr>
            <w:tcW w:w="234" w:type="dxa"/>
            <w:vAlign w:val="top"/>
          </w:tcPr>
          <w:p w14:paraId="3DA7C35D">
            <w:pPr>
              <w:rPr>
                <w:rFonts w:ascii="Arial"/>
                <w:sz w:val="21"/>
              </w:rPr>
            </w:pPr>
          </w:p>
        </w:tc>
      </w:tr>
    </w:tbl>
    <w:p w14:paraId="4A37A0CC">
      <w:pPr>
        <w:pStyle w:val="2"/>
        <w:spacing w:line="342" w:lineRule="auto"/>
      </w:pPr>
    </w:p>
    <w:p w14:paraId="303E5A73">
      <w:pPr>
        <w:spacing w:before="65" w:line="420" w:lineRule="auto"/>
        <w:ind w:left="1177" w:right="985" w:hanging="200"/>
        <w:rPr>
          <w:rFonts w:ascii="黑体" w:hAnsi="黑体" w:eastAsia="黑体" w:cs="黑体"/>
          <w:sz w:val="20"/>
          <w:szCs w:val="20"/>
        </w:rPr>
      </w:pPr>
      <w:r>
        <w:rPr>
          <w:rFonts w:ascii="黑体" w:hAnsi="黑体" w:eastAsia="黑体" w:cs="黑体"/>
          <w:b/>
          <w:bCs/>
          <w:spacing w:val="-8"/>
          <w:sz w:val="20"/>
          <w:szCs w:val="20"/>
        </w:rPr>
        <w:t>第二部分</w:t>
      </w:r>
      <w:r>
        <w:rPr>
          <w:rFonts w:ascii="黑体" w:hAnsi="黑体" w:eastAsia="黑体" w:cs="黑体"/>
          <w:spacing w:val="12"/>
          <w:sz w:val="20"/>
          <w:szCs w:val="20"/>
        </w:rPr>
        <w:t xml:space="preserve">  </w:t>
      </w:r>
      <w:r>
        <w:rPr>
          <w:rFonts w:ascii="黑体" w:hAnsi="黑体" w:eastAsia="黑体" w:cs="黑体"/>
          <w:b/>
          <w:bCs/>
          <w:spacing w:val="-8"/>
          <w:sz w:val="20"/>
          <w:szCs w:val="20"/>
        </w:rPr>
        <w:t>中国旅游地理</w:t>
      </w:r>
      <w:r>
        <w:rPr>
          <w:rFonts w:ascii="黑体" w:hAnsi="黑体" w:eastAsia="黑体" w:cs="黑体"/>
          <w:sz w:val="20"/>
          <w:szCs w:val="20"/>
        </w:rPr>
        <w:t xml:space="preserve"> </w:t>
      </w:r>
      <w:r>
        <w:rPr>
          <w:rFonts w:ascii="黑体" w:hAnsi="黑体" w:eastAsia="黑体" w:cs="黑体"/>
          <w:b/>
          <w:bCs/>
          <w:spacing w:val="4"/>
          <w:sz w:val="20"/>
          <w:szCs w:val="20"/>
        </w:rPr>
        <w:t>第一模块</w:t>
      </w:r>
      <w:r>
        <w:rPr>
          <w:rFonts w:ascii="黑体" w:hAnsi="黑体" w:eastAsia="黑体" w:cs="黑体"/>
          <w:spacing w:val="33"/>
          <w:sz w:val="20"/>
          <w:szCs w:val="20"/>
        </w:rPr>
        <w:t xml:space="preserve"> </w:t>
      </w:r>
      <w:r>
        <w:rPr>
          <w:rFonts w:ascii="黑体" w:hAnsi="黑体" w:eastAsia="黑体" w:cs="黑体"/>
          <w:b/>
          <w:bCs/>
          <w:spacing w:val="4"/>
          <w:sz w:val="20"/>
          <w:szCs w:val="20"/>
        </w:rPr>
        <w:t>基础知识</w:t>
      </w: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24"/>
        <w:gridCol w:w="220"/>
        <w:gridCol w:w="229"/>
        <w:gridCol w:w="229"/>
        <w:gridCol w:w="224"/>
      </w:tblGrid>
      <w:tr w14:paraId="4F0B23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3" w:hRule="atLeast"/>
        </w:trPr>
        <w:tc>
          <w:tcPr>
            <w:tcW w:w="893" w:type="dxa"/>
            <w:vMerge w:val="restart"/>
            <w:tcBorders>
              <w:bottom w:val="nil"/>
            </w:tcBorders>
            <w:vAlign w:val="top"/>
          </w:tcPr>
          <w:p w14:paraId="01C2CD11">
            <w:pPr>
              <w:pStyle w:val="6"/>
              <w:spacing w:before="82" w:line="219" w:lineRule="auto"/>
              <w:ind w:left="257" w:right="1" w:hanging="240"/>
              <w:rPr>
                <w:sz w:val="18"/>
                <w:szCs w:val="18"/>
              </w:rPr>
            </w:pPr>
            <w:r>
              <w:rPr>
                <w:b/>
                <w:bCs/>
                <w:spacing w:val="-10"/>
                <w:sz w:val="18"/>
                <w:szCs w:val="18"/>
              </w:rPr>
              <w:t>知识与技能</w:t>
            </w:r>
            <w:r>
              <w:rPr>
                <w:spacing w:val="3"/>
                <w:sz w:val="18"/>
                <w:szCs w:val="18"/>
              </w:rPr>
              <w:t xml:space="preserve"> </w:t>
            </w:r>
            <w:r>
              <w:rPr>
                <w:b/>
                <w:bCs/>
                <w:spacing w:val="-4"/>
                <w:sz w:val="18"/>
                <w:szCs w:val="18"/>
              </w:rPr>
              <w:t>要点</w:t>
            </w:r>
          </w:p>
        </w:tc>
        <w:tc>
          <w:tcPr>
            <w:tcW w:w="2324" w:type="dxa"/>
            <w:vMerge w:val="restart"/>
            <w:tcBorders>
              <w:bottom w:val="nil"/>
            </w:tcBorders>
            <w:vAlign w:val="top"/>
          </w:tcPr>
          <w:p w14:paraId="0AD83774">
            <w:pPr>
              <w:pStyle w:val="6"/>
              <w:spacing w:before="190" w:line="219" w:lineRule="auto"/>
              <w:ind w:left="834"/>
              <w:rPr>
                <w:sz w:val="18"/>
                <w:szCs w:val="18"/>
              </w:rPr>
            </w:pPr>
            <w:r>
              <w:rPr>
                <w:b/>
                <w:bCs/>
                <w:spacing w:val="5"/>
                <w:sz w:val="18"/>
                <w:szCs w:val="18"/>
              </w:rPr>
              <w:t>考试条目</w:t>
            </w:r>
          </w:p>
        </w:tc>
        <w:tc>
          <w:tcPr>
            <w:tcW w:w="902" w:type="dxa"/>
            <w:gridSpan w:val="4"/>
            <w:vAlign w:val="top"/>
          </w:tcPr>
          <w:p w14:paraId="705182EC">
            <w:pPr>
              <w:pStyle w:val="6"/>
              <w:spacing w:before="50" w:line="219" w:lineRule="auto"/>
              <w:ind w:left="120"/>
              <w:rPr>
                <w:sz w:val="18"/>
                <w:szCs w:val="18"/>
              </w:rPr>
            </w:pPr>
            <w:r>
              <w:rPr>
                <w:b/>
                <w:bCs/>
                <w:spacing w:val="-4"/>
                <w:sz w:val="18"/>
                <w:szCs w:val="18"/>
              </w:rPr>
              <w:t>考试水平</w:t>
            </w:r>
          </w:p>
        </w:tc>
      </w:tr>
      <w:tr w14:paraId="06796B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continue"/>
            <w:tcBorders>
              <w:top w:val="nil"/>
            </w:tcBorders>
            <w:vAlign w:val="top"/>
          </w:tcPr>
          <w:p w14:paraId="70A7DD56">
            <w:pPr>
              <w:rPr>
                <w:rFonts w:ascii="Arial"/>
                <w:sz w:val="21"/>
              </w:rPr>
            </w:pPr>
          </w:p>
        </w:tc>
        <w:tc>
          <w:tcPr>
            <w:tcW w:w="2324" w:type="dxa"/>
            <w:vMerge w:val="continue"/>
            <w:tcBorders>
              <w:top w:val="nil"/>
            </w:tcBorders>
            <w:vAlign w:val="top"/>
          </w:tcPr>
          <w:p w14:paraId="775B58FC">
            <w:pPr>
              <w:rPr>
                <w:rFonts w:ascii="Arial"/>
                <w:sz w:val="21"/>
              </w:rPr>
            </w:pPr>
          </w:p>
        </w:tc>
        <w:tc>
          <w:tcPr>
            <w:tcW w:w="220" w:type="dxa"/>
            <w:vAlign w:val="top"/>
          </w:tcPr>
          <w:p w14:paraId="72A56B0C">
            <w:pPr>
              <w:pStyle w:val="6"/>
              <w:spacing w:before="84" w:line="169" w:lineRule="auto"/>
              <w:ind w:left="20"/>
              <w:rPr>
                <w:sz w:val="18"/>
                <w:szCs w:val="18"/>
              </w:rPr>
            </w:pPr>
            <w:r>
              <w:rPr>
                <w:b/>
                <w:bCs/>
                <w:spacing w:val="-2"/>
                <w:sz w:val="18"/>
                <w:szCs w:val="18"/>
              </w:rPr>
              <w:t>A</w:t>
            </w:r>
          </w:p>
        </w:tc>
        <w:tc>
          <w:tcPr>
            <w:tcW w:w="229" w:type="dxa"/>
            <w:vAlign w:val="top"/>
          </w:tcPr>
          <w:p w14:paraId="401C1A5E">
            <w:pPr>
              <w:pStyle w:val="6"/>
              <w:spacing w:before="87" w:line="166" w:lineRule="auto"/>
              <w:ind w:left="40"/>
              <w:rPr>
                <w:sz w:val="18"/>
                <w:szCs w:val="18"/>
              </w:rPr>
            </w:pPr>
            <w:r>
              <w:rPr>
                <w:b/>
                <w:bCs/>
                <w:spacing w:val="-2"/>
                <w:sz w:val="18"/>
                <w:szCs w:val="18"/>
              </w:rPr>
              <w:t>B</w:t>
            </w:r>
          </w:p>
        </w:tc>
        <w:tc>
          <w:tcPr>
            <w:tcW w:w="229" w:type="dxa"/>
            <w:vAlign w:val="top"/>
          </w:tcPr>
          <w:p w14:paraId="27C95AFD">
            <w:pPr>
              <w:pStyle w:val="6"/>
              <w:spacing w:before="84" w:line="169" w:lineRule="auto"/>
              <w:jc w:val="right"/>
              <w:rPr>
                <w:sz w:val="18"/>
                <w:szCs w:val="18"/>
              </w:rPr>
            </w:pPr>
            <w:r>
              <w:rPr>
                <w:b/>
                <w:bCs/>
                <w:spacing w:val="-10"/>
                <w:w w:val="95"/>
                <w:sz w:val="18"/>
                <w:szCs w:val="18"/>
              </w:rPr>
              <w:t>C</w:t>
            </w:r>
          </w:p>
        </w:tc>
        <w:tc>
          <w:tcPr>
            <w:tcW w:w="224" w:type="dxa"/>
            <w:vAlign w:val="top"/>
          </w:tcPr>
          <w:p w14:paraId="22A1C048">
            <w:pPr>
              <w:pStyle w:val="6"/>
              <w:spacing w:before="87" w:line="166" w:lineRule="auto"/>
              <w:ind w:left="22"/>
              <w:rPr>
                <w:sz w:val="18"/>
                <w:szCs w:val="18"/>
              </w:rPr>
            </w:pPr>
            <w:r>
              <w:rPr>
                <w:b/>
                <w:bCs/>
                <w:spacing w:val="-2"/>
                <w:sz w:val="18"/>
                <w:szCs w:val="18"/>
              </w:rPr>
              <w:t>D</w:t>
            </w:r>
          </w:p>
        </w:tc>
      </w:tr>
      <w:tr w14:paraId="789641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15" w:hRule="atLeast"/>
        </w:trPr>
        <w:tc>
          <w:tcPr>
            <w:tcW w:w="893" w:type="dxa"/>
            <w:vAlign w:val="top"/>
          </w:tcPr>
          <w:p w14:paraId="4C095767">
            <w:pPr>
              <w:spacing w:line="280" w:lineRule="auto"/>
              <w:rPr>
                <w:rFonts w:ascii="Arial"/>
                <w:sz w:val="21"/>
              </w:rPr>
            </w:pPr>
          </w:p>
          <w:p w14:paraId="5940AA13">
            <w:pPr>
              <w:pStyle w:val="6"/>
              <w:spacing w:before="59" w:line="220" w:lineRule="auto"/>
              <w:ind w:left="74"/>
              <w:rPr>
                <w:sz w:val="18"/>
                <w:szCs w:val="18"/>
              </w:rPr>
            </w:pPr>
            <w:r>
              <w:rPr>
                <w:spacing w:val="-3"/>
                <w:sz w:val="18"/>
                <w:szCs w:val="18"/>
              </w:rPr>
              <w:t>项目一解</w:t>
            </w:r>
          </w:p>
          <w:p w14:paraId="6C1EDB75">
            <w:pPr>
              <w:pStyle w:val="6"/>
              <w:spacing w:before="25" w:line="219" w:lineRule="auto"/>
              <w:ind w:left="74"/>
              <w:rPr>
                <w:sz w:val="18"/>
                <w:szCs w:val="18"/>
              </w:rPr>
            </w:pPr>
            <w:r>
              <w:rPr>
                <w:spacing w:val="-2"/>
                <w:sz w:val="18"/>
                <w:szCs w:val="18"/>
              </w:rPr>
              <w:t>读中国旅</w:t>
            </w:r>
          </w:p>
          <w:p w14:paraId="00DAAEF3">
            <w:pPr>
              <w:pStyle w:val="6"/>
              <w:spacing w:before="26" w:line="220" w:lineRule="auto"/>
              <w:ind w:left="164"/>
              <w:rPr>
                <w:sz w:val="18"/>
                <w:szCs w:val="18"/>
              </w:rPr>
            </w:pPr>
            <w:r>
              <w:rPr>
                <w:spacing w:val="-2"/>
                <w:sz w:val="18"/>
                <w:szCs w:val="18"/>
              </w:rPr>
              <w:t>游地理</w:t>
            </w:r>
          </w:p>
        </w:tc>
        <w:tc>
          <w:tcPr>
            <w:tcW w:w="2324" w:type="dxa"/>
            <w:vAlign w:val="top"/>
          </w:tcPr>
          <w:p w14:paraId="71454AAF">
            <w:pPr>
              <w:pStyle w:val="6"/>
              <w:spacing w:before="38" w:line="218" w:lineRule="auto"/>
              <w:ind w:left="11" w:right="151"/>
              <w:rPr>
                <w:sz w:val="18"/>
                <w:szCs w:val="18"/>
              </w:rPr>
            </w:pPr>
            <w:r>
              <w:rPr>
                <w:spacing w:val="-1"/>
                <w:sz w:val="18"/>
                <w:szCs w:val="18"/>
              </w:rPr>
              <w:t>活动一中国旅游地理的研究</w:t>
            </w:r>
            <w:r>
              <w:rPr>
                <w:spacing w:val="1"/>
                <w:sz w:val="18"/>
                <w:szCs w:val="18"/>
              </w:rPr>
              <w:t xml:space="preserve"> </w:t>
            </w:r>
            <w:r>
              <w:rPr>
                <w:spacing w:val="4"/>
                <w:sz w:val="18"/>
                <w:szCs w:val="18"/>
              </w:rPr>
              <w:t>内容</w:t>
            </w:r>
          </w:p>
          <w:p w14:paraId="4E63B779">
            <w:pPr>
              <w:pStyle w:val="6"/>
              <w:spacing w:before="16" w:line="216" w:lineRule="auto"/>
              <w:ind w:left="11" w:right="120"/>
              <w:rPr>
                <w:sz w:val="18"/>
                <w:szCs w:val="18"/>
              </w:rPr>
            </w:pPr>
            <w:r>
              <w:rPr>
                <w:spacing w:val="1"/>
                <w:sz w:val="18"/>
                <w:szCs w:val="18"/>
              </w:rPr>
              <w:t>活动二中国旅游地理的实用</w:t>
            </w:r>
            <w:r>
              <w:rPr>
                <w:spacing w:val="8"/>
                <w:sz w:val="18"/>
                <w:szCs w:val="18"/>
              </w:rPr>
              <w:t xml:space="preserve"> </w:t>
            </w:r>
            <w:r>
              <w:rPr>
                <w:spacing w:val="-2"/>
                <w:sz w:val="18"/>
                <w:szCs w:val="18"/>
              </w:rPr>
              <w:t>价值</w:t>
            </w:r>
          </w:p>
          <w:p w14:paraId="306B0BC6">
            <w:pPr>
              <w:pStyle w:val="6"/>
              <w:spacing w:before="19" w:line="197" w:lineRule="auto"/>
              <w:ind w:left="11" w:right="116"/>
              <w:rPr>
                <w:sz w:val="18"/>
                <w:szCs w:val="18"/>
              </w:rPr>
            </w:pPr>
            <w:r>
              <w:rPr>
                <w:spacing w:val="2"/>
                <w:sz w:val="18"/>
                <w:szCs w:val="18"/>
              </w:rPr>
              <w:t>活动三中国旅游地理的学习</w:t>
            </w:r>
            <w:r>
              <w:rPr>
                <w:sz w:val="18"/>
                <w:szCs w:val="18"/>
              </w:rPr>
              <w:t xml:space="preserve"> </w:t>
            </w:r>
            <w:r>
              <w:rPr>
                <w:spacing w:val="-2"/>
                <w:sz w:val="18"/>
                <w:szCs w:val="18"/>
              </w:rPr>
              <w:t>方法</w:t>
            </w:r>
          </w:p>
        </w:tc>
        <w:tc>
          <w:tcPr>
            <w:tcW w:w="220" w:type="dxa"/>
            <w:vAlign w:val="top"/>
          </w:tcPr>
          <w:p w14:paraId="6543C773">
            <w:pPr>
              <w:rPr>
                <w:rFonts w:ascii="Arial"/>
                <w:sz w:val="21"/>
              </w:rPr>
            </w:pPr>
          </w:p>
        </w:tc>
        <w:tc>
          <w:tcPr>
            <w:tcW w:w="229" w:type="dxa"/>
            <w:vAlign w:val="top"/>
          </w:tcPr>
          <w:p w14:paraId="54B22021">
            <w:pPr>
              <w:rPr>
                <w:rFonts w:ascii="Arial"/>
                <w:sz w:val="21"/>
              </w:rPr>
            </w:pPr>
          </w:p>
        </w:tc>
        <w:tc>
          <w:tcPr>
            <w:tcW w:w="229" w:type="dxa"/>
            <w:vAlign w:val="top"/>
          </w:tcPr>
          <w:p w14:paraId="3999D346">
            <w:pPr>
              <w:pStyle w:val="6"/>
              <w:spacing w:before="61" w:line="238" w:lineRule="auto"/>
              <w:ind w:left="18"/>
              <w:rPr>
                <w:sz w:val="13"/>
                <w:szCs w:val="13"/>
              </w:rPr>
            </w:pPr>
            <w:r>
              <w:rPr>
                <w:sz w:val="13"/>
                <w:szCs w:val="13"/>
              </w:rPr>
              <w:t>√</w:t>
            </w:r>
          </w:p>
        </w:tc>
        <w:tc>
          <w:tcPr>
            <w:tcW w:w="224" w:type="dxa"/>
            <w:vAlign w:val="top"/>
          </w:tcPr>
          <w:p w14:paraId="4BA6CA6C">
            <w:pPr>
              <w:rPr>
                <w:rFonts w:ascii="Arial"/>
                <w:sz w:val="21"/>
              </w:rPr>
            </w:pPr>
          </w:p>
        </w:tc>
      </w:tr>
      <w:tr w14:paraId="11C767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92" w:hRule="atLeast"/>
        </w:trPr>
        <w:tc>
          <w:tcPr>
            <w:tcW w:w="893" w:type="dxa"/>
            <w:vAlign w:val="top"/>
          </w:tcPr>
          <w:p w14:paraId="3B1A91DD">
            <w:pPr>
              <w:pStyle w:val="6"/>
              <w:spacing w:before="45" w:line="220" w:lineRule="auto"/>
              <w:ind w:left="74"/>
              <w:rPr>
                <w:sz w:val="18"/>
                <w:szCs w:val="18"/>
              </w:rPr>
            </w:pPr>
            <w:r>
              <w:rPr>
                <w:spacing w:val="4"/>
                <w:sz w:val="18"/>
                <w:szCs w:val="18"/>
              </w:rPr>
              <w:t>项目二中</w:t>
            </w:r>
          </w:p>
          <w:p w14:paraId="2C526A9A">
            <w:pPr>
              <w:pStyle w:val="6"/>
              <w:spacing w:before="25" w:line="216" w:lineRule="auto"/>
              <w:ind w:left="74"/>
              <w:rPr>
                <w:sz w:val="18"/>
                <w:szCs w:val="18"/>
              </w:rPr>
            </w:pPr>
            <w:r>
              <w:rPr>
                <w:spacing w:val="2"/>
                <w:sz w:val="18"/>
                <w:szCs w:val="18"/>
              </w:rPr>
              <w:t>国的旅游</w:t>
            </w:r>
          </w:p>
          <w:p w14:paraId="12D2A3C5">
            <w:pPr>
              <w:pStyle w:val="6"/>
              <w:spacing w:line="189" w:lineRule="auto"/>
              <w:ind w:left="254"/>
              <w:rPr>
                <w:sz w:val="18"/>
                <w:szCs w:val="18"/>
              </w:rPr>
            </w:pPr>
            <w:r>
              <w:rPr>
                <w:spacing w:val="3"/>
                <w:sz w:val="18"/>
                <w:szCs w:val="18"/>
              </w:rPr>
              <w:t>资源</w:t>
            </w:r>
          </w:p>
        </w:tc>
        <w:tc>
          <w:tcPr>
            <w:tcW w:w="2324" w:type="dxa"/>
            <w:vAlign w:val="top"/>
          </w:tcPr>
          <w:p w14:paraId="037E4658">
            <w:pPr>
              <w:pStyle w:val="6"/>
              <w:spacing w:before="165" w:line="223" w:lineRule="auto"/>
              <w:ind w:left="11" w:right="331"/>
              <w:rPr>
                <w:sz w:val="18"/>
                <w:szCs w:val="18"/>
              </w:rPr>
            </w:pPr>
            <w:r>
              <w:rPr>
                <w:spacing w:val="-1"/>
                <w:sz w:val="18"/>
                <w:szCs w:val="18"/>
              </w:rPr>
              <w:t>活动一中国自然旅游资源</w:t>
            </w:r>
            <w:r>
              <w:rPr>
                <w:sz w:val="18"/>
                <w:szCs w:val="18"/>
              </w:rPr>
              <w:t xml:space="preserve"> </w:t>
            </w:r>
            <w:r>
              <w:rPr>
                <w:spacing w:val="-1"/>
                <w:sz w:val="18"/>
                <w:szCs w:val="18"/>
              </w:rPr>
              <w:t>活动二中国人文旅游资源</w:t>
            </w:r>
          </w:p>
        </w:tc>
        <w:tc>
          <w:tcPr>
            <w:tcW w:w="220" w:type="dxa"/>
            <w:vAlign w:val="top"/>
          </w:tcPr>
          <w:p w14:paraId="20FAD2B1">
            <w:pPr>
              <w:rPr>
                <w:rFonts w:ascii="Arial"/>
                <w:sz w:val="21"/>
              </w:rPr>
            </w:pPr>
          </w:p>
        </w:tc>
        <w:tc>
          <w:tcPr>
            <w:tcW w:w="229" w:type="dxa"/>
            <w:vAlign w:val="top"/>
          </w:tcPr>
          <w:p w14:paraId="687AC399">
            <w:pPr>
              <w:rPr>
                <w:rFonts w:ascii="Arial"/>
                <w:sz w:val="21"/>
              </w:rPr>
            </w:pPr>
          </w:p>
        </w:tc>
        <w:tc>
          <w:tcPr>
            <w:tcW w:w="229" w:type="dxa"/>
            <w:vAlign w:val="top"/>
          </w:tcPr>
          <w:p w14:paraId="0C40F766">
            <w:pPr>
              <w:spacing w:before="207" w:line="315" w:lineRule="exact"/>
              <w:ind w:firstLine="52"/>
            </w:pPr>
            <w:r>
              <w:rPr>
                <w:position w:val="-6"/>
              </w:rPr>
              <w:drawing>
                <wp:inline distT="0" distB="0" distL="0" distR="0">
                  <wp:extent cx="82550" cy="199390"/>
                  <wp:effectExtent l="0" t="0" r="0" b="0"/>
                  <wp:docPr id="242" name="IM 242"/>
                  <wp:cNvGraphicFramePr/>
                  <a:graphic xmlns:a="http://schemas.openxmlformats.org/drawingml/2006/main">
                    <a:graphicData uri="http://schemas.openxmlformats.org/drawingml/2006/picture">
                      <pic:pic xmlns:pic="http://schemas.openxmlformats.org/drawingml/2006/picture">
                        <pic:nvPicPr>
                          <pic:cNvPr id="242" name="IM 242"/>
                          <pic:cNvPicPr/>
                        </pic:nvPicPr>
                        <pic:blipFill>
                          <a:blip r:embed="rId286"/>
                          <a:stretch>
                            <a:fillRect/>
                          </a:stretch>
                        </pic:blipFill>
                        <pic:spPr>
                          <a:xfrm>
                            <a:off x="0" y="0"/>
                            <a:ext cx="82984" cy="199928"/>
                          </a:xfrm>
                          <a:prstGeom prst="rect">
                            <a:avLst/>
                          </a:prstGeom>
                        </pic:spPr>
                      </pic:pic>
                    </a:graphicData>
                  </a:graphic>
                </wp:inline>
              </w:drawing>
            </w:r>
          </w:p>
        </w:tc>
        <w:tc>
          <w:tcPr>
            <w:tcW w:w="224" w:type="dxa"/>
            <w:vAlign w:val="top"/>
          </w:tcPr>
          <w:p w14:paraId="426C2C6E">
            <w:pPr>
              <w:rPr>
                <w:rFonts w:ascii="Arial"/>
                <w:sz w:val="21"/>
              </w:rPr>
            </w:pPr>
          </w:p>
        </w:tc>
      </w:tr>
    </w:tbl>
    <w:p w14:paraId="747B870B">
      <w:pPr>
        <w:spacing w:before="129" w:line="222" w:lineRule="auto"/>
        <w:ind w:left="887"/>
        <w:rPr>
          <w:rFonts w:ascii="黑体" w:hAnsi="黑体" w:eastAsia="黑体" w:cs="黑体"/>
          <w:sz w:val="20"/>
          <w:szCs w:val="20"/>
        </w:rPr>
      </w:pPr>
      <w:r>
        <w:rPr>
          <w:rFonts w:ascii="黑体" w:hAnsi="黑体" w:eastAsia="黑体" w:cs="黑体"/>
          <w:b/>
          <w:bCs/>
          <w:spacing w:val="-8"/>
          <w:sz w:val="20"/>
          <w:szCs w:val="20"/>
        </w:rPr>
        <w:t>第二模块</w:t>
      </w:r>
      <w:r>
        <w:rPr>
          <w:rFonts w:ascii="黑体" w:hAnsi="黑体" w:eastAsia="黑体" w:cs="黑体"/>
          <w:spacing w:val="11"/>
          <w:sz w:val="20"/>
          <w:szCs w:val="20"/>
        </w:rPr>
        <w:t xml:space="preserve">  </w:t>
      </w:r>
      <w:r>
        <w:rPr>
          <w:rFonts w:ascii="黑体" w:hAnsi="黑体" w:eastAsia="黑体" w:cs="黑体"/>
          <w:b/>
          <w:bCs/>
          <w:spacing w:val="-8"/>
          <w:sz w:val="20"/>
          <w:szCs w:val="20"/>
        </w:rPr>
        <w:t>中国八大旅游区</w:t>
      </w:r>
    </w:p>
    <w:p w14:paraId="7B6C9565">
      <w:pPr>
        <w:spacing w:line="70" w:lineRule="exact"/>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24"/>
        <w:gridCol w:w="220"/>
        <w:gridCol w:w="229"/>
        <w:gridCol w:w="229"/>
        <w:gridCol w:w="224"/>
      </w:tblGrid>
      <w:tr w14:paraId="758DD7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3" w:hRule="atLeast"/>
        </w:trPr>
        <w:tc>
          <w:tcPr>
            <w:tcW w:w="893" w:type="dxa"/>
            <w:vMerge w:val="restart"/>
            <w:tcBorders>
              <w:bottom w:val="nil"/>
            </w:tcBorders>
            <w:vAlign w:val="top"/>
          </w:tcPr>
          <w:p w14:paraId="43D2C3D3">
            <w:pPr>
              <w:pStyle w:val="6"/>
              <w:spacing w:before="79"/>
              <w:ind w:left="267" w:right="25" w:hanging="250"/>
            </w:pPr>
            <w:r>
              <w:rPr>
                <w:b/>
                <w:bCs/>
                <w:spacing w:val="-4"/>
              </w:rPr>
              <w:t>知识与技能</w:t>
            </w:r>
            <w:r>
              <w:t xml:space="preserve"> </w:t>
            </w:r>
            <w:r>
              <w:rPr>
                <w:b/>
                <w:bCs/>
                <w:spacing w:val="-4"/>
              </w:rPr>
              <w:t>要点</w:t>
            </w:r>
          </w:p>
        </w:tc>
        <w:tc>
          <w:tcPr>
            <w:tcW w:w="2324" w:type="dxa"/>
            <w:vMerge w:val="restart"/>
            <w:tcBorders>
              <w:bottom w:val="nil"/>
            </w:tcBorders>
            <w:vAlign w:val="top"/>
          </w:tcPr>
          <w:p w14:paraId="03B1823F">
            <w:pPr>
              <w:pStyle w:val="6"/>
              <w:spacing w:before="189" w:line="219" w:lineRule="auto"/>
              <w:ind w:left="834"/>
            </w:pPr>
            <w:r>
              <w:rPr>
                <w:b/>
                <w:bCs/>
                <w:spacing w:val="5"/>
              </w:rPr>
              <w:t>考试条目</w:t>
            </w:r>
          </w:p>
        </w:tc>
        <w:tc>
          <w:tcPr>
            <w:tcW w:w="902" w:type="dxa"/>
            <w:gridSpan w:val="4"/>
            <w:vAlign w:val="top"/>
          </w:tcPr>
          <w:p w14:paraId="7A264820">
            <w:pPr>
              <w:pStyle w:val="6"/>
              <w:spacing w:before="59" w:line="219" w:lineRule="auto"/>
              <w:ind w:left="130"/>
            </w:pPr>
            <w:r>
              <w:rPr>
                <w:b/>
                <w:bCs/>
                <w:spacing w:val="-4"/>
              </w:rPr>
              <w:t>考试水平</w:t>
            </w:r>
          </w:p>
        </w:tc>
      </w:tr>
      <w:tr w14:paraId="64A1CB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8" w:hRule="atLeast"/>
        </w:trPr>
        <w:tc>
          <w:tcPr>
            <w:tcW w:w="893" w:type="dxa"/>
            <w:vMerge w:val="continue"/>
            <w:tcBorders>
              <w:top w:val="nil"/>
            </w:tcBorders>
            <w:vAlign w:val="top"/>
          </w:tcPr>
          <w:p w14:paraId="605D3C34">
            <w:pPr>
              <w:rPr>
                <w:rFonts w:ascii="Arial"/>
                <w:sz w:val="21"/>
              </w:rPr>
            </w:pPr>
          </w:p>
        </w:tc>
        <w:tc>
          <w:tcPr>
            <w:tcW w:w="2324" w:type="dxa"/>
            <w:vMerge w:val="continue"/>
            <w:tcBorders>
              <w:top w:val="nil"/>
            </w:tcBorders>
            <w:vAlign w:val="top"/>
          </w:tcPr>
          <w:p w14:paraId="0585CC44">
            <w:pPr>
              <w:rPr>
                <w:rFonts w:ascii="Arial"/>
                <w:sz w:val="21"/>
              </w:rPr>
            </w:pPr>
          </w:p>
        </w:tc>
        <w:tc>
          <w:tcPr>
            <w:tcW w:w="220" w:type="dxa"/>
            <w:vAlign w:val="top"/>
          </w:tcPr>
          <w:p w14:paraId="7E48875F">
            <w:pPr>
              <w:pStyle w:val="6"/>
              <w:spacing w:before="91" w:line="170" w:lineRule="auto"/>
              <w:ind w:left="60"/>
            </w:pPr>
            <w:r>
              <w:rPr>
                <w:b/>
                <w:bCs/>
                <w:spacing w:val="-2"/>
              </w:rPr>
              <w:t>A</w:t>
            </w:r>
          </w:p>
        </w:tc>
        <w:tc>
          <w:tcPr>
            <w:tcW w:w="229" w:type="dxa"/>
            <w:vAlign w:val="top"/>
          </w:tcPr>
          <w:p w14:paraId="214C2CBC">
            <w:pPr>
              <w:pStyle w:val="6"/>
              <w:spacing w:before="94" w:line="167" w:lineRule="auto"/>
              <w:ind w:left="20"/>
            </w:pPr>
            <w:r>
              <w:rPr>
                <w:b/>
                <w:bCs/>
                <w:spacing w:val="-2"/>
              </w:rPr>
              <w:t>B</w:t>
            </w:r>
          </w:p>
        </w:tc>
        <w:tc>
          <w:tcPr>
            <w:tcW w:w="229" w:type="dxa"/>
            <w:vAlign w:val="top"/>
          </w:tcPr>
          <w:p w14:paraId="1C734303">
            <w:pPr>
              <w:pStyle w:val="6"/>
              <w:spacing w:before="91" w:line="170" w:lineRule="auto"/>
              <w:ind w:left="21"/>
            </w:pPr>
            <w:r>
              <w:rPr>
                <w:b/>
                <w:bCs/>
                <w:spacing w:val="-2"/>
              </w:rPr>
              <w:t>C</w:t>
            </w:r>
          </w:p>
        </w:tc>
        <w:tc>
          <w:tcPr>
            <w:tcW w:w="224" w:type="dxa"/>
            <w:vAlign w:val="top"/>
          </w:tcPr>
          <w:p w14:paraId="2C81FBD7">
            <w:pPr>
              <w:pStyle w:val="6"/>
              <w:spacing w:before="94" w:line="167" w:lineRule="auto"/>
              <w:ind w:left="22"/>
            </w:pPr>
            <w:r>
              <w:rPr>
                <w:b/>
                <w:bCs/>
                <w:spacing w:val="-2"/>
              </w:rPr>
              <w:t>D</w:t>
            </w:r>
          </w:p>
        </w:tc>
      </w:tr>
      <w:tr w14:paraId="3D40CA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68" w:hRule="atLeast"/>
        </w:trPr>
        <w:tc>
          <w:tcPr>
            <w:tcW w:w="893" w:type="dxa"/>
            <w:vAlign w:val="top"/>
          </w:tcPr>
          <w:p w14:paraId="1CE50B7F">
            <w:pPr>
              <w:pStyle w:val="6"/>
              <w:spacing w:before="189" w:line="226" w:lineRule="auto"/>
              <w:ind w:left="17" w:right="22" w:firstLine="80"/>
            </w:pPr>
            <w:r>
              <w:rPr>
                <w:b/>
                <w:bCs/>
                <w:spacing w:val="-5"/>
              </w:rPr>
              <w:t>项目三京</w:t>
            </w:r>
            <w:r>
              <w:rPr>
                <w:spacing w:val="1"/>
              </w:rPr>
              <w:t xml:space="preserve">  </w:t>
            </w:r>
            <w:r>
              <w:rPr>
                <w:b/>
                <w:bCs/>
                <w:spacing w:val="-4"/>
              </w:rPr>
              <w:t>畿要地、华</w:t>
            </w:r>
            <w:r>
              <w:t xml:space="preserve"> </w:t>
            </w:r>
            <w:r>
              <w:rPr>
                <w:b/>
                <w:bCs/>
                <w:spacing w:val="-4"/>
              </w:rPr>
              <w:t>夏寻根——</w:t>
            </w:r>
            <w:r>
              <w:rPr>
                <w:spacing w:val="3"/>
              </w:rPr>
              <w:t xml:space="preserve"> </w:t>
            </w:r>
            <w:r>
              <w:rPr>
                <w:b/>
                <w:bCs/>
                <w:spacing w:val="-4"/>
              </w:rPr>
              <w:t>华北旅游区</w:t>
            </w:r>
          </w:p>
        </w:tc>
        <w:tc>
          <w:tcPr>
            <w:tcW w:w="2324" w:type="dxa"/>
            <w:vAlign w:val="top"/>
          </w:tcPr>
          <w:p w14:paraId="1CDF7B7D">
            <w:pPr>
              <w:pStyle w:val="6"/>
              <w:spacing w:before="88" w:line="217" w:lineRule="auto"/>
              <w:ind w:left="14"/>
            </w:pPr>
            <w:r>
              <w:rPr>
                <w:b/>
                <w:bCs/>
                <w:spacing w:val="-4"/>
              </w:rPr>
              <w:t>活动一区域概况</w:t>
            </w:r>
          </w:p>
          <w:p w14:paraId="5C22B39F">
            <w:pPr>
              <w:pStyle w:val="6"/>
              <w:spacing w:line="219" w:lineRule="auto"/>
              <w:ind w:left="14"/>
            </w:pPr>
            <w:r>
              <w:rPr>
                <w:b/>
                <w:bCs/>
                <w:spacing w:val="-3"/>
              </w:rPr>
              <w:t>活动二旅游资源特征</w:t>
            </w:r>
          </w:p>
          <w:p w14:paraId="42573E9C">
            <w:pPr>
              <w:pStyle w:val="6"/>
              <w:spacing w:before="37" w:line="217" w:lineRule="auto"/>
              <w:ind w:left="14"/>
            </w:pPr>
            <w:r>
              <w:rPr>
                <w:b/>
                <w:bCs/>
                <w:spacing w:val="-3"/>
              </w:rPr>
              <w:t>活动三主要游览地及景区</w:t>
            </w:r>
          </w:p>
          <w:p w14:paraId="15D6D6FE">
            <w:pPr>
              <w:pStyle w:val="6"/>
              <w:spacing w:before="1" w:line="233" w:lineRule="auto"/>
              <w:ind w:left="14" w:right="179"/>
            </w:pPr>
            <w:r>
              <w:rPr>
                <w:b/>
                <w:bCs/>
                <w:spacing w:val="4"/>
              </w:rPr>
              <w:t>运用所学知识，设计科学、</w:t>
            </w:r>
            <w:r>
              <w:rPr>
                <w:spacing w:val="9"/>
              </w:rPr>
              <w:t xml:space="preserve"> </w:t>
            </w:r>
            <w:r>
              <w:rPr>
                <w:b/>
                <w:bCs/>
                <w:spacing w:val="-3"/>
              </w:rPr>
              <w:t>合理的旅游线路</w:t>
            </w:r>
          </w:p>
        </w:tc>
        <w:tc>
          <w:tcPr>
            <w:tcW w:w="220" w:type="dxa"/>
            <w:vAlign w:val="top"/>
          </w:tcPr>
          <w:p w14:paraId="1FE0248C">
            <w:pPr>
              <w:pStyle w:val="6"/>
              <w:spacing w:before="72" w:line="238" w:lineRule="auto"/>
              <w:ind w:left="37"/>
              <w:rPr>
                <w:sz w:val="13"/>
                <w:szCs w:val="13"/>
              </w:rPr>
            </w:pPr>
            <w:r>
              <w:rPr>
                <w:sz w:val="13"/>
                <w:szCs w:val="13"/>
              </w:rPr>
              <w:t>√</w:t>
            </w:r>
          </w:p>
        </w:tc>
        <w:tc>
          <w:tcPr>
            <w:tcW w:w="229" w:type="dxa"/>
            <w:vAlign w:val="top"/>
          </w:tcPr>
          <w:p w14:paraId="3980AFEA">
            <w:pPr>
              <w:rPr>
                <w:rFonts w:ascii="Arial"/>
                <w:sz w:val="21"/>
              </w:rPr>
            </w:pPr>
          </w:p>
        </w:tc>
        <w:tc>
          <w:tcPr>
            <w:tcW w:w="229" w:type="dxa"/>
            <w:vAlign w:val="top"/>
          </w:tcPr>
          <w:p w14:paraId="6605D41F">
            <w:pPr>
              <w:spacing w:line="317" w:lineRule="auto"/>
              <w:rPr>
                <w:rFonts w:ascii="Arial"/>
                <w:sz w:val="21"/>
              </w:rPr>
            </w:pPr>
          </w:p>
          <w:p w14:paraId="3A83A365">
            <w:pPr>
              <w:spacing w:line="307" w:lineRule="exact"/>
              <w:ind w:firstLine="49"/>
            </w:pPr>
            <w:r>
              <w:rPr>
                <w:position w:val="-6"/>
              </w:rPr>
              <w:drawing>
                <wp:inline distT="0" distB="0" distL="0" distR="0">
                  <wp:extent cx="80010" cy="194945"/>
                  <wp:effectExtent l="0" t="0" r="0" b="0"/>
                  <wp:docPr id="244" name="IM 244"/>
                  <wp:cNvGraphicFramePr/>
                  <a:graphic xmlns:a="http://schemas.openxmlformats.org/drawingml/2006/main">
                    <a:graphicData uri="http://schemas.openxmlformats.org/drawingml/2006/picture">
                      <pic:pic xmlns:pic="http://schemas.openxmlformats.org/drawingml/2006/picture">
                        <pic:nvPicPr>
                          <pic:cNvPr id="244" name="IM 244"/>
                          <pic:cNvPicPr/>
                        </pic:nvPicPr>
                        <pic:blipFill>
                          <a:blip r:embed="rId287"/>
                          <a:stretch>
                            <a:fillRect/>
                          </a:stretch>
                        </pic:blipFill>
                        <pic:spPr>
                          <a:xfrm>
                            <a:off x="0" y="0"/>
                            <a:ext cx="80581" cy="195070"/>
                          </a:xfrm>
                          <a:prstGeom prst="rect">
                            <a:avLst/>
                          </a:prstGeom>
                        </pic:spPr>
                      </pic:pic>
                    </a:graphicData>
                  </a:graphic>
                </wp:inline>
              </w:drawing>
            </w:r>
          </w:p>
        </w:tc>
        <w:tc>
          <w:tcPr>
            <w:tcW w:w="224" w:type="dxa"/>
            <w:vAlign w:val="top"/>
          </w:tcPr>
          <w:p w14:paraId="216E6D48">
            <w:pPr>
              <w:spacing w:line="357" w:lineRule="auto"/>
              <w:rPr>
                <w:rFonts w:ascii="Arial"/>
                <w:sz w:val="21"/>
              </w:rPr>
            </w:pPr>
          </w:p>
          <w:p w14:paraId="77A08E06">
            <w:pPr>
              <w:spacing w:line="358" w:lineRule="auto"/>
              <w:rPr>
                <w:rFonts w:ascii="Arial"/>
                <w:sz w:val="21"/>
              </w:rPr>
            </w:pPr>
          </w:p>
          <w:p w14:paraId="5ECEEBF6">
            <w:pPr>
              <w:spacing w:line="116" w:lineRule="exact"/>
              <w:ind w:firstLine="51"/>
            </w:pPr>
            <w:r>
              <w:rPr>
                <w:position w:val="-2"/>
              </w:rPr>
              <w:drawing>
                <wp:inline distT="0" distB="0" distL="0" distR="0">
                  <wp:extent cx="80010" cy="73025"/>
                  <wp:effectExtent l="0" t="0" r="0" b="0"/>
                  <wp:docPr id="246" name="IM 246"/>
                  <wp:cNvGraphicFramePr/>
                  <a:graphic xmlns:a="http://schemas.openxmlformats.org/drawingml/2006/main">
                    <a:graphicData uri="http://schemas.openxmlformats.org/drawingml/2006/picture">
                      <pic:pic xmlns:pic="http://schemas.openxmlformats.org/drawingml/2006/picture">
                        <pic:nvPicPr>
                          <pic:cNvPr id="246" name="IM 246"/>
                          <pic:cNvPicPr/>
                        </pic:nvPicPr>
                        <pic:blipFill>
                          <a:blip r:embed="rId288"/>
                          <a:stretch>
                            <a:fillRect/>
                          </a:stretch>
                        </pic:blipFill>
                        <pic:spPr>
                          <a:xfrm>
                            <a:off x="0" y="0"/>
                            <a:ext cx="80015" cy="73460"/>
                          </a:xfrm>
                          <a:prstGeom prst="rect">
                            <a:avLst/>
                          </a:prstGeom>
                        </pic:spPr>
                      </pic:pic>
                    </a:graphicData>
                  </a:graphic>
                </wp:inline>
              </w:drawing>
            </w:r>
          </w:p>
        </w:tc>
      </w:tr>
    </w:tbl>
    <w:p w14:paraId="05564430">
      <w:pPr>
        <w:pStyle w:val="2"/>
        <w:spacing w:line="104" w:lineRule="auto"/>
        <w:rPr>
          <w:sz w:val="2"/>
        </w:rPr>
      </w:pPr>
    </w:p>
    <w:p w14:paraId="163EEC1E">
      <w:pPr>
        <w:spacing w:line="104" w:lineRule="auto"/>
        <w:rPr>
          <w:sz w:val="2"/>
          <w:szCs w:val="2"/>
        </w:rPr>
        <w:sectPr>
          <w:type w:val="continuous"/>
          <w:pgSz w:w="10660" w:h="15080"/>
          <w:pgMar w:top="400" w:right="1034" w:bottom="925" w:left="819" w:header="0" w:footer="705" w:gutter="0"/>
          <w:cols w:equalWidth="0" w:num="2">
            <w:col w:w="4576" w:space="100"/>
            <w:col w:w="4130"/>
          </w:cols>
        </w:sectPr>
      </w:pPr>
    </w:p>
    <w:p w14:paraId="6071CE07">
      <w:pPr>
        <w:spacing w:before="10"/>
      </w:pPr>
    </w:p>
    <w:p w14:paraId="4DFAF8AB">
      <w:pPr>
        <w:spacing w:before="9"/>
      </w:pPr>
    </w:p>
    <w:p w14:paraId="0396018B">
      <w:pPr>
        <w:spacing w:before="9"/>
      </w:pPr>
    </w:p>
    <w:p w14:paraId="3FE6EC72">
      <w:pPr>
        <w:spacing w:before="9"/>
      </w:pPr>
    </w:p>
    <w:p w14:paraId="425996D5">
      <w:pPr>
        <w:sectPr>
          <w:footerReference r:id="rId51" w:type="default"/>
          <w:pgSz w:w="10660" w:h="15080"/>
          <w:pgMar w:top="400" w:right="875" w:bottom="936" w:left="1024" w:header="0" w:footer="714" w:gutter="0"/>
          <w:cols w:equalWidth="0" w:num="1">
            <w:col w:w="8760"/>
          </w:cols>
        </w:sectPr>
      </w:pPr>
    </w:p>
    <w:tbl>
      <w:tblPr>
        <w:tblStyle w:val="5"/>
        <w:tblW w:w="410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83"/>
        <w:gridCol w:w="2324"/>
        <w:gridCol w:w="239"/>
        <w:gridCol w:w="210"/>
        <w:gridCol w:w="230"/>
        <w:gridCol w:w="214"/>
      </w:tblGrid>
      <w:tr w14:paraId="68C703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883" w:type="dxa"/>
            <w:vMerge w:val="restart"/>
            <w:tcBorders>
              <w:bottom w:val="nil"/>
            </w:tcBorders>
            <w:vAlign w:val="top"/>
          </w:tcPr>
          <w:p w14:paraId="08EC8EDF">
            <w:pPr>
              <w:pStyle w:val="6"/>
              <w:spacing w:before="80" w:line="225" w:lineRule="auto"/>
              <w:ind w:left="257" w:right="1" w:hanging="240"/>
              <w:rPr>
                <w:sz w:val="18"/>
                <w:szCs w:val="18"/>
              </w:rPr>
            </w:pPr>
            <w:r>
              <w:rPr>
                <w:b/>
                <w:bCs/>
                <w:spacing w:val="-13"/>
                <w:sz w:val="18"/>
                <w:szCs w:val="18"/>
              </w:rPr>
              <w:t>知</w:t>
            </w:r>
            <w:r>
              <w:rPr>
                <w:b/>
                <w:bCs/>
                <w:spacing w:val="-12"/>
                <w:sz w:val="18"/>
                <w:szCs w:val="18"/>
              </w:rPr>
              <w:t>识与技</w:t>
            </w:r>
            <w:r>
              <w:rPr>
                <w:b/>
                <w:bCs/>
                <w:spacing w:val="-11"/>
                <w:sz w:val="18"/>
                <w:szCs w:val="18"/>
              </w:rPr>
              <w:t>能</w:t>
            </w:r>
            <w:r>
              <w:rPr>
                <w:spacing w:val="3"/>
                <w:sz w:val="18"/>
                <w:szCs w:val="18"/>
              </w:rPr>
              <w:t xml:space="preserve"> </w:t>
            </w:r>
            <w:r>
              <w:rPr>
                <w:b/>
                <w:bCs/>
                <w:spacing w:val="-4"/>
                <w:sz w:val="18"/>
                <w:szCs w:val="18"/>
              </w:rPr>
              <w:t>要点</w:t>
            </w:r>
          </w:p>
        </w:tc>
        <w:tc>
          <w:tcPr>
            <w:tcW w:w="2324" w:type="dxa"/>
            <w:vMerge w:val="restart"/>
            <w:tcBorders>
              <w:bottom w:val="nil"/>
            </w:tcBorders>
            <w:vAlign w:val="top"/>
          </w:tcPr>
          <w:p w14:paraId="599802F6">
            <w:pPr>
              <w:pStyle w:val="6"/>
              <w:spacing w:before="190" w:line="219" w:lineRule="auto"/>
              <w:ind w:left="844"/>
              <w:rPr>
                <w:sz w:val="18"/>
                <w:szCs w:val="18"/>
              </w:rPr>
            </w:pPr>
            <w:r>
              <w:rPr>
                <w:b/>
                <w:bCs/>
                <w:spacing w:val="5"/>
                <w:sz w:val="18"/>
                <w:szCs w:val="18"/>
              </w:rPr>
              <w:t>考试条目</w:t>
            </w:r>
          </w:p>
        </w:tc>
        <w:tc>
          <w:tcPr>
            <w:tcW w:w="893" w:type="dxa"/>
            <w:gridSpan w:val="4"/>
            <w:vAlign w:val="top"/>
          </w:tcPr>
          <w:p w14:paraId="5573789A">
            <w:pPr>
              <w:pStyle w:val="6"/>
              <w:spacing w:before="49" w:line="219" w:lineRule="auto"/>
              <w:ind w:left="120"/>
              <w:rPr>
                <w:sz w:val="18"/>
                <w:szCs w:val="18"/>
              </w:rPr>
            </w:pPr>
            <w:r>
              <w:rPr>
                <w:b/>
                <w:bCs/>
                <w:spacing w:val="-4"/>
                <w:sz w:val="18"/>
                <w:szCs w:val="18"/>
              </w:rPr>
              <w:t>考试水平</w:t>
            </w:r>
          </w:p>
        </w:tc>
      </w:tr>
      <w:tr w14:paraId="5BF397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0" w:hRule="atLeast"/>
        </w:trPr>
        <w:tc>
          <w:tcPr>
            <w:tcW w:w="883" w:type="dxa"/>
            <w:vMerge w:val="continue"/>
            <w:tcBorders>
              <w:top w:val="nil"/>
            </w:tcBorders>
            <w:vAlign w:val="top"/>
          </w:tcPr>
          <w:p w14:paraId="68AD6EF9">
            <w:pPr>
              <w:rPr>
                <w:rFonts w:ascii="Arial"/>
                <w:sz w:val="21"/>
              </w:rPr>
            </w:pPr>
          </w:p>
        </w:tc>
        <w:tc>
          <w:tcPr>
            <w:tcW w:w="2324" w:type="dxa"/>
            <w:vMerge w:val="continue"/>
            <w:tcBorders>
              <w:top w:val="nil"/>
            </w:tcBorders>
            <w:vAlign w:val="top"/>
          </w:tcPr>
          <w:p w14:paraId="6230B4AD">
            <w:pPr>
              <w:rPr>
                <w:rFonts w:ascii="Arial"/>
                <w:sz w:val="21"/>
              </w:rPr>
            </w:pPr>
          </w:p>
        </w:tc>
        <w:tc>
          <w:tcPr>
            <w:tcW w:w="239" w:type="dxa"/>
            <w:vAlign w:val="top"/>
          </w:tcPr>
          <w:p w14:paraId="4B5AA2EF">
            <w:pPr>
              <w:pStyle w:val="6"/>
              <w:spacing w:before="92" w:line="182" w:lineRule="auto"/>
              <w:ind w:left="70"/>
              <w:rPr>
                <w:sz w:val="18"/>
                <w:szCs w:val="18"/>
              </w:rPr>
            </w:pPr>
            <w:r>
              <w:rPr>
                <w:b/>
                <w:bCs/>
                <w:spacing w:val="-2"/>
                <w:sz w:val="18"/>
                <w:szCs w:val="18"/>
              </w:rPr>
              <w:t>A</w:t>
            </w:r>
          </w:p>
        </w:tc>
        <w:tc>
          <w:tcPr>
            <w:tcW w:w="210" w:type="dxa"/>
            <w:vAlign w:val="top"/>
          </w:tcPr>
          <w:p w14:paraId="1DF369CE">
            <w:pPr>
              <w:pStyle w:val="6"/>
              <w:spacing w:before="95" w:line="179" w:lineRule="auto"/>
              <w:ind w:left="21"/>
              <w:rPr>
                <w:sz w:val="18"/>
                <w:szCs w:val="18"/>
              </w:rPr>
            </w:pPr>
            <w:r>
              <w:rPr>
                <w:b/>
                <w:bCs/>
                <w:spacing w:val="-2"/>
                <w:sz w:val="18"/>
                <w:szCs w:val="18"/>
              </w:rPr>
              <w:t>B</w:t>
            </w:r>
          </w:p>
        </w:tc>
        <w:tc>
          <w:tcPr>
            <w:tcW w:w="230" w:type="dxa"/>
            <w:vAlign w:val="top"/>
          </w:tcPr>
          <w:p w14:paraId="26B1F42E">
            <w:pPr>
              <w:pStyle w:val="6"/>
              <w:spacing w:before="92" w:line="182" w:lineRule="auto"/>
              <w:ind w:left="21"/>
              <w:rPr>
                <w:sz w:val="18"/>
                <w:szCs w:val="18"/>
              </w:rPr>
            </w:pPr>
            <w:r>
              <w:rPr>
                <w:b/>
                <w:bCs/>
                <w:spacing w:val="-2"/>
                <w:sz w:val="18"/>
                <w:szCs w:val="18"/>
              </w:rPr>
              <w:t>C</w:t>
            </w:r>
          </w:p>
        </w:tc>
        <w:tc>
          <w:tcPr>
            <w:tcW w:w="214" w:type="dxa"/>
            <w:vAlign w:val="top"/>
          </w:tcPr>
          <w:p w14:paraId="008BBABD">
            <w:pPr>
              <w:pStyle w:val="6"/>
              <w:spacing w:before="95" w:line="179" w:lineRule="auto"/>
              <w:ind w:left="41"/>
              <w:rPr>
                <w:sz w:val="18"/>
                <w:szCs w:val="18"/>
              </w:rPr>
            </w:pPr>
            <w:r>
              <w:rPr>
                <w:b/>
                <w:bCs/>
                <w:spacing w:val="-2"/>
                <w:sz w:val="18"/>
                <w:szCs w:val="18"/>
              </w:rPr>
              <w:t>D</w:t>
            </w:r>
          </w:p>
        </w:tc>
      </w:tr>
      <w:tr w14:paraId="64EAE0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59" w:hRule="atLeast"/>
        </w:trPr>
        <w:tc>
          <w:tcPr>
            <w:tcW w:w="883" w:type="dxa"/>
            <w:vAlign w:val="top"/>
          </w:tcPr>
          <w:p w14:paraId="65818227">
            <w:pPr>
              <w:pStyle w:val="6"/>
              <w:spacing w:before="117" w:line="215" w:lineRule="auto"/>
              <w:ind w:left="75"/>
              <w:rPr>
                <w:sz w:val="18"/>
                <w:szCs w:val="18"/>
              </w:rPr>
            </w:pPr>
            <w:r>
              <w:rPr>
                <w:spacing w:val="-2"/>
                <w:sz w:val="18"/>
                <w:szCs w:val="18"/>
              </w:rPr>
              <w:t>项目四冰</w:t>
            </w:r>
          </w:p>
          <w:p w14:paraId="174C2B7B">
            <w:pPr>
              <w:pStyle w:val="6"/>
              <w:spacing w:line="219" w:lineRule="auto"/>
              <w:jc w:val="right"/>
              <w:rPr>
                <w:sz w:val="18"/>
                <w:szCs w:val="18"/>
              </w:rPr>
            </w:pPr>
            <w:r>
              <w:rPr>
                <w:spacing w:val="9"/>
                <w:sz w:val="18"/>
                <w:szCs w:val="18"/>
              </w:rPr>
              <w:t>雪林海</w:t>
            </w:r>
            <w:r>
              <w:rPr>
                <w:spacing w:val="-49"/>
                <w:sz w:val="18"/>
                <w:szCs w:val="18"/>
              </w:rPr>
              <w:t xml:space="preserve"> </w:t>
            </w:r>
            <w:r>
              <w:rPr>
                <w:spacing w:val="9"/>
                <w:sz w:val="18"/>
                <w:szCs w:val="18"/>
              </w:rPr>
              <w:t>、</w:t>
            </w:r>
          </w:p>
          <w:p w14:paraId="404F37E9">
            <w:pPr>
              <w:pStyle w:val="6"/>
              <w:spacing w:before="26" w:line="205" w:lineRule="auto"/>
              <w:ind w:left="165"/>
              <w:rPr>
                <w:sz w:val="18"/>
                <w:szCs w:val="18"/>
              </w:rPr>
            </w:pPr>
            <w:r>
              <w:rPr>
                <w:spacing w:val="-3"/>
                <w:sz w:val="18"/>
                <w:szCs w:val="18"/>
              </w:rPr>
              <w:t>关东风</w:t>
            </w:r>
          </w:p>
          <w:p w14:paraId="0561939C">
            <w:pPr>
              <w:pStyle w:val="6"/>
              <w:spacing w:line="219" w:lineRule="auto"/>
              <w:ind w:left="75"/>
              <w:rPr>
                <w:sz w:val="18"/>
                <w:szCs w:val="18"/>
              </w:rPr>
            </w:pPr>
            <w:r>
              <w:rPr>
                <w:spacing w:val="4"/>
                <w:sz w:val="18"/>
                <w:szCs w:val="18"/>
              </w:rPr>
              <w:t>情——东</w:t>
            </w:r>
          </w:p>
          <w:p w14:paraId="247C7788">
            <w:pPr>
              <w:pStyle w:val="6"/>
              <w:spacing w:before="26" w:line="220" w:lineRule="auto"/>
              <w:ind w:left="75"/>
              <w:rPr>
                <w:sz w:val="18"/>
                <w:szCs w:val="18"/>
              </w:rPr>
            </w:pPr>
            <w:r>
              <w:rPr>
                <w:spacing w:val="3"/>
                <w:sz w:val="18"/>
                <w:szCs w:val="18"/>
              </w:rPr>
              <w:t>北旅游区</w:t>
            </w:r>
          </w:p>
        </w:tc>
        <w:tc>
          <w:tcPr>
            <w:tcW w:w="2324" w:type="dxa"/>
            <w:vAlign w:val="top"/>
          </w:tcPr>
          <w:p w14:paraId="0EF4A507">
            <w:pPr>
              <w:pStyle w:val="6"/>
              <w:spacing w:before="117" w:line="219" w:lineRule="auto"/>
              <w:ind w:left="2"/>
              <w:rPr>
                <w:sz w:val="18"/>
                <w:szCs w:val="18"/>
              </w:rPr>
            </w:pPr>
            <w:r>
              <w:rPr>
                <w:spacing w:val="-2"/>
                <w:sz w:val="18"/>
                <w:szCs w:val="18"/>
              </w:rPr>
              <w:t>活动一区域概况</w:t>
            </w:r>
          </w:p>
          <w:p w14:paraId="2268F607">
            <w:pPr>
              <w:pStyle w:val="6"/>
              <w:spacing w:before="26" w:line="205" w:lineRule="auto"/>
              <w:ind w:left="2"/>
              <w:rPr>
                <w:sz w:val="18"/>
                <w:szCs w:val="18"/>
              </w:rPr>
            </w:pPr>
            <w:r>
              <w:rPr>
                <w:spacing w:val="-1"/>
                <w:sz w:val="18"/>
                <w:szCs w:val="18"/>
              </w:rPr>
              <w:t>活动二旅游资源特征</w:t>
            </w:r>
          </w:p>
          <w:p w14:paraId="25B813B7">
            <w:pPr>
              <w:pStyle w:val="6"/>
              <w:spacing w:line="214" w:lineRule="auto"/>
              <w:ind w:left="2"/>
              <w:rPr>
                <w:sz w:val="18"/>
                <w:szCs w:val="18"/>
              </w:rPr>
            </w:pPr>
            <w:r>
              <w:rPr>
                <w:spacing w:val="1"/>
                <w:sz w:val="18"/>
                <w:szCs w:val="18"/>
              </w:rPr>
              <w:t>活动三主要游览地及景区</w:t>
            </w:r>
          </w:p>
          <w:p w14:paraId="784420A7">
            <w:pPr>
              <w:pStyle w:val="6"/>
              <w:spacing w:line="233" w:lineRule="auto"/>
              <w:ind w:left="2" w:right="61"/>
              <w:rPr>
                <w:sz w:val="18"/>
                <w:szCs w:val="18"/>
              </w:rPr>
            </w:pPr>
            <w:r>
              <w:rPr>
                <w:spacing w:val="7"/>
                <w:sz w:val="18"/>
                <w:szCs w:val="18"/>
              </w:rPr>
              <w:t>运用所学知识，设计科学、</w:t>
            </w:r>
            <w:r>
              <w:rPr>
                <w:spacing w:val="5"/>
                <w:sz w:val="18"/>
                <w:szCs w:val="18"/>
              </w:rPr>
              <w:t xml:space="preserve"> </w:t>
            </w:r>
            <w:r>
              <w:rPr>
                <w:spacing w:val="-1"/>
                <w:sz w:val="18"/>
                <w:szCs w:val="18"/>
              </w:rPr>
              <w:t>合理的旅游线路</w:t>
            </w:r>
          </w:p>
        </w:tc>
        <w:tc>
          <w:tcPr>
            <w:tcW w:w="239" w:type="dxa"/>
            <w:vAlign w:val="top"/>
          </w:tcPr>
          <w:p w14:paraId="609E13E8">
            <w:pPr>
              <w:pStyle w:val="6"/>
              <w:spacing w:before="116" w:line="238" w:lineRule="auto"/>
              <w:ind w:left="58"/>
              <w:rPr>
                <w:sz w:val="12"/>
                <w:szCs w:val="12"/>
              </w:rPr>
            </w:pPr>
            <w:r>
              <w:rPr>
                <w:sz w:val="12"/>
                <w:szCs w:val="12"/>
              </w:rPr>
              <w:t>√</w:t>
            </w:r>
          </w:p>
        </w:tc>
        <w:tc>
          <w:tcPr>
            <w:tcW w:w="210" w:type="dxa"/>
            <w:vAlign w:val="top"/>
          </w:tcPr>
          <w:p w14:paraId="2AE2531D">
            <w:pPr>
              <w:rPr>
                <w:rFonts w:ascii="Arial"/>
                <w:sz w:val="21"/>
              </w:rPr>
            </w:pPr>
          </w:p>
        </w:tc>
        <w:tc>
          <w:tcPr>
            <w:tcW w:w="230" w:type="dxa"/>
            <w:vAlign w:val="top"/>
          </w:tcPr>
          <w:p w14:paraId="327FF2A8">
            <w:pPr>
              <w:rPr>
                <w:rFonts w:ascii="Arial"/>
                <w:sz w:val="21"/>
              </w:rPr>
            </w:pPr>
          </w:p>
        </w:tc>
        <w:tc>
          <w:tcPr>
            <w:tcW w:w="214" w:type="dxa"/>
            <w:vAlign w:val="top"/>
          </w:tcPr>
          <w:p w14:paraId="700D1CA1">
            <w:pPr>
              <w:rPr>
                <w:rFonts w:ascii="Arial"/>
                <w:sz w:val="21"/>
              </w:rPr>
            </w:pPr>
          </w:p>
        </w:tc>
      </w:tr>
      <w:tr w14:paraId="1815BD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68" w:hRule="atLeast"/>
        </w:trPr>
        <w:tc>
          <w:tcPr>
            <w:tcW w:w="883" w:type="dxa"/>
            <w:vAlign w:val="top"/>
          </w:tcPr>
          <w:p w14:paraId="251BEAE6">
            <w:pPr>
              <w:pStyle w:val="6"/>
              <w:spacing w:before="118" w:line="220" w:lineRule="auto"/>
              <w:ind w:left="75"/>
              <w:rPr>
                <w:sz w:val="18"/>
                <w:szCs w:val="18"/>
              </w:rPr>
            </w:pPr>
            <w:r>
              <w:rPr>
                <w:spacing w:val="5"/>
                <w:sz w:val="18"/>
                <w:szCs w:val="18"/>
              </w:rPr>
              <w:t>项目五山</w:t>
            </w:r>
          </w:p>
          <w:p w14:paraId="703755F7">
            <w:pPr>
              <w:pStyle w:val="6"/>
              <w:spacing w:before="5" w:line="219" w:lineRule="auto"/>
              <w:jc w:val="right"/>
              <w:rPr>
                <w:sz w:val="18"/>
                <w:szCs w:val="18"/>
              </w:rPr>
            </w:pPr>
            <w:r>
              <w:rPr>
                <w:spacing w:val="9"/>
                <w:sz w:val="18"/>
                <w:szCs w:val="18"/>
              </w:rPr>
              <w:t>水园林</w:t>
            </w:r>
            <w:r>
              <w:rPr>
                <w:spacing w:val="-50"/>
                <w:sz w:val="18"/>
                <w:szCs w:val="18"/>
              </w:rPr>
              <w:t xml:space="preserve"> </w:t>
            </w:r>
            <w:r>
              <w:rPr>
                <w:spacing w:val="9"/>
                <w:sz w:val="18"/>
                <w:szCs w:val="18"/>
              </w:rPr>
              <w:t>、</w:t>
            </w:r>
          </w:p>
          <w:p w14:paraId="3FBE9E32">
            <w:pPr>
              <w:pStyle w:val="6"/>
              <w:spacing w:before="26" w:line="220" w:lineRule="auto"/>
              <w:ind w:left="165"/>
              <w:rPr>
                <w:sz w:val="18"/>
                <w:szCs w:val="18"/>
              </w:rPr>
            </w:pPr>
            <w:r>
              <w:rPr>
                <w:spacing w:val="-2"/>
                <w:sz w:val="18"/>
                <w:szCs w:val="18"/>
              </w:rPr>
              <w:t>江南风</w:t>
            </w:r>
          </w:p>
          <w:p w14:paraId="0848CC6B">
            <w:pPr>
              <w:pStyle w:val="6"/>
              <w:spacing w:before="4" w:line="205" w:lineRule="auto"/>
              <w:ind w:left="75"/>
              <w:rPr>
                <w:sz w:val="18"/>
                <w:szCs w:val="18"/>
              </w:rPr>
            </w:pPr>
            <w:r>
              <w:rPr>
                <w:spacing w:val="-2"/>
                <w:sz w:val="18"/>
                <w:szCs w:val="18"/>
              </w:rPr>
              <w:t>韵——华</w:t>
            </w:r>
          </w:p>
          <w:p w14:paraId="670827B3">
            <w:pPr>
              <w:pStyle w:val="6"/>
              <w:spacing w:before="1" w:line="219" w:lineRule="auto"/>
              <w:ind w:left="75"/>
              <w:rPr>
                <w:sz w:val="18"/>
                <w:szCs w:val="18"/>
              </w:rPr>
            </w:pPr>
            <w:r>
              <w:rPr>
                <w:spacing w:val="3"/>
                <w:sz w:val="18"/>
                <w:szCs w:val="18"/>
              </w:rPr>
              <w:t>东旅游区</w:t>
            </w:r>
          </w:p>
        </w:tc>
        <w:tc>
          <w:tcPr>
            <w:tcW w:w="2324" w:type="dxa"/>
            <w:vAlign w:val="top"/>
          </w:tcPr>
          <w:p w14:paraId="751E949E">
            <w:pPr>
              <w:pStyle w:val="6"/>
              <w:spacing w:before="148" w:line="205" w:lineRule="auto"/>
              <w:ind w:left="2"/>
              <w:rPr>
                <w:sz w:val="18"/>
                <w:szCs w:val="18"/>
              </w:rPr>
            </w:pPr>
            <w:r>
              <w:rPr>
                <w:spacing w:val="-2"/>
                <w:sz w:val="18"/>
                <w:szCs w:val="18"/>
              </w:rPr>
              <w:t>活动一区域概况</w:t>
            </w:r>
          </w:p>
          <w:p w14:paraId="3083CB93">
            <w:pPr>
              <w:pStyle w:val="6"/>
              <w:spacing w:line="219" w:lineRule="auto"/>
              <w:ind w:left="2"/>
              <w:rPr>
                <w:sz w:val="18"/>
                <w:szCs w:val="18"/>
              </w:rPr>
            </w:pPr>
            <w:r>
              <w:rPr>
                <w:spacing w:val="-1"/>
                <w:sz w:val="18"/>
                <w:szCs w:val="18"/>
              </w:rPr>
              <w:t>活动二旅游资源特征</w:t>
            </w:r>
          </w:p>
          <w:p w14:paraId="5149F359">
            <w:pPr>
              <w:pStyle w:val="6"/>
              <w:spacing w:before="6" w:line="219" w:lineRule="auto"/>
              <w:ind w:left="2"/>
              <w:rPr>
                <w:sz w:val="18"/>
                <w:szCs w:val="18"/>
              </w:rPr>
            </w:pPr>
            <w:r>
              <w:rPr>
                <w:spacing w:val="1"/>
                <w:sz w:val="18"/>
                <w:szCs w:val="18"/>
              </w:rPr>
              <w:t>活动三主要游览地及景区</w:t>
            </w:r>
          </w:p>
          <w:p w14:paraId="028B30C6">
            <w:pPr>
              <w:pStyle w:val="6"/>
              <w:spacing w:before="5" w:line="228" w:lineRule="auto"/>
              <w:ind w:left="2" w:right="61"/>
              <w:rPr>
                <w:sz w:val="18"/>
                <w:szCs w:val="18"/>
              </w:rPr>
            </w:pPr>
            <w:r>
              <w:rPr>
                <w:spacing w:val="7"/>
                <w:sz w:val="18"/>
                <w:szCs w:val="18"/>
              </w:rPr>
              <w:t>运用所学知识，设计科学、</w:t>
            </w:r>
            <w:r>
              <w:rPr>
                <w:spacing w:val="5"/>
                <w:sz w:val="18"/>
                <w:szCs w:val="18"/>
              </w:rPr>
              <w:t xml:space="preserve"> </w:t>
            </w:r>
            <w:r>
              <w:rPr>
                <w:spacing w:val="-1"/>
                <w:sz w:val="18"/>
                <w:szCs w:val="18"/>
              </w:rPr>
              <w:t>合理的旅游线路</w:t>
            </w:r>
          </w:p>
        </w:tc>
        <w:tc>
          <w:tcPr>
            <w:tcW w:w="239" w:type="dxa"/>
            <w:vAlign w:val="top"/>
          </w:tcPr>
          <w:p w14:paraId="7B48CA89">
            <w:pPr>
              <w:rPr>
                <w:rFonts w:ascii="Arial"/>
                <w:sz w:val="21"/>
              </w:rPr>
            </w:pPr>
          </w:p>
        </w:tc>
        <w:tc>
          <w:tcPr>
            <w:tcW w:w="210" w:type="dxa"/>
            <w:vAlign w:val="top"/>
          </w:tcPr>
          <w:p w14:paraId="107BB8BB">
            <w:pPr>
              <w:rPr>
                <w:rFonts w:ascii="Arial"/>
                <w:sz w:val="21"/>
              </w:rPr>
            </w:pPr>
          </w:p>
        </w:tc>
        <w:tc>
          <w:tcPr>
            <w:tcW w:w="230" w:type="dxa"/>
            <w:vAlign w:val="top"/>
          </w:tcPr>
          <w:p w14:paraId="75E4EB91">
            <w:pPr>
              <w:rPr>
                <w:rFonts w:ascii="Arial"/>
                <w:sz w:val="21"/>
              </w:rPr>
            </w:pPr>
          </w:p>
        </w:tc>
        <w:tc>
          <w:tcPr>
            <w:tcW w:w="214" w:type="dxa"/>
            <w:vAlign w:val="top"/>
          </w:tcPr>
          <w:p w14:paraId="2F5CAB04">
            <w:pPr>
              <w:rPr>
                <w:rFonts w:ascii="Arial"/>
                <w:sz w:val="21"/>
              </w:rPr>
            </w:pPr>
          </w:p>
        </w:tc>
      </w:tr>
      <w:tr w14:paraId="058453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78" w:hRule="atLeast"/>
        </w:trPr>
        <w:tc>
          <w:tcPr>
            <w:tcW w:w="883" w:type="dxa"/>
            <w:vAlign w:val="top"/>
          </w:tcPr>
          <w:p w14:paraId="500980EE">
            <w:pPr>
              <w:pStyle w:val="6"/>
              <w:spacing w:before="141" w:line="204" w:lineRule="auto"/>
              <w:ind w:left="75"/>
              <w:rPr>
                <w:sz w:val="18"/>
                <w:szCs w:val="18"/>
              </w:rPr>
            </w:pPr>
            <w:r>
              <w:rPr>
                <w:spacing w:val="5"/>
                <w:sz w:val="18"/>
                <w:szCs w:val="18"/>
              </w:rPr>
              <w:t>项目六山</w:t>
            </w:r>
          </w:p>
          <w:p w14:paraId="60A04205">
            <w:pPr>
              <w:pStyle w:val="6"/>
              <w:spacing w:line="219" w:lineRule="auto"/>
              <w:jc w:val="right"/>
              <w:rPr>
                <w:sz w:val="18"/>
                <w:szCs w:val="18"/>
              </w:rPr>
            </w:pPr>
            <w:r>
              <w:rPr>
                <w:spacing w:val="9"/>
                <w:sz w:val="18"/>
                <w:szCs w:val="18"/>
              </w:rPr>
              <w:t>川平湖</w:t>
            </w:r>
            <w:r>
              <w:rPr>
                <w:spacing w:val="-49"/>
                <w:sz w:val="18"/>
                <w:szCs w:val="18"/>
              </w:rPr>
              <w:t xml:space="preserve"> </w:t>
            </w:r>
            <w:r>
              <w:rPr>
                <w:spacing w:val="9"/>
                <w:sz w:val="18"/>
                <w:szCs w:val="18"/>
              </w:rPr>
              <w:t>、</w:t>
            </w:r>
          </w:p>
          <w:p w14:paraId="505AF82E">
            <w:pPr>
              <w:pStyle w:val="6"/>
              <w:spacing w:before="25" w:line="206" w:lineRule="auto"/>
              <w:ind w:left="165"/>
              <w:rPr>
                <w:sz w:val="18"/>
                <w:szCs w:val="18"/>
              </w:rPr>
            </w:pPr>
            <w:r>
              <w:rPr>
                <w:spacing w:val="-2"/>
                <w:sz w:val="18"/>
                <w:szCs w:val="18"/>
              </w:rPr>
              <w:t>神奇荆</w:t>
            </w:r>
          </w:p>
          <w:p w14:paraId="64AE99FB">
            <w:pPr>
              <w:pStyle w:val="6"/>
              <w:spacing w:line="219" w:lineRule="auto"/>
              <w:ind w:left="75"/>
              <w:rPr>
                <w:sz w:val="18"/>
                <w:szCs w:val="18"/>
              </w:rPr>
            </w:pPr>
            <w:r>
              <w:rPr>
                <w:spacing w:val="1"/>
                <w:sz w:val="18"/>
                <w:szCs w:val="18"/>
              </w:rPr>
              <w:t>楚——华</w:t>
            </w:r>
          </w:p>
          <w:p w14:paraId="3CA3EE7B">
            <w:pPr>
              <w:pStyle w:val="6"/>
              <w:spacing w:before="6" w:line="220" w:lineRule="auto"/>
              <w:ind w:left="75"/>
              <w:rPr>
                <w:sz w:val="18"/>
                <w:szCs w:val="18"/>
              </w:rPr>
            </w:pPr>
            <w:r>
              <w:rPr>
                <w:spacing w:val="3"/>
                <w:sz w:val="18"/>
                <w:szCs w:val="18"/>
              </w:rPr>
              <w:t>中旅游区</w:t>
            </w:r>
          </w:p>
        </w:tc>
        <w:tc>
          <w:tcPr>
            <w:tcW w:w="2324" w:type="dxa"/>
            <w:vAlign w:val="top"/>
          </w:tcPr>
          <w:p w14:paraId="408A4FD4">
            <w:pPr>
              <w:pStyle w:val="6"/>
              <w:spacing w:before="130" w:line="219" w:lineRule="auto"/>
              <w:ind w:left="2"/>
              <w:rPr>
                <w:sz w:val="18"/>
                <w:szCs w:val="18"/>
              </w:rPr>
            </w:pPr>
            <w:r>
              <w:rPr>
                <w:spacing w:val="-2"/>
                <w:sz w:val="18"/>
                <w:szCs w:val="18"/>
              </w:rPr>
              <w:t>活动一区域概况</w:t>
            </w:r>
          </w:p>
          <w:p w14:paraId="36C59CF8">
            <w:pPr>
              <w:pStyle w:val="6"/>
              <w:spacing w:before="6" w:line="219" w:lineRule="auto"/>
              <w:ind w:left="2"/>
              <w:rPr>
                <w:sz w:val="18"/>
                <w:szCs w:val="18"/>
              </w:rPr>
            </w:pPr>
            <w:r>
              <w:rPr>
                <w:spacing w:val="-1"/>
                <w:sz w:val="18"/>
                <w:szCs w:val="18"/>
              </w:rPr>
              <w:t>活动二旅游资源特征</w:t>
            </w:r>
          </w:p>
          <w:p w14:paraId="52DD9FAD">
            <w:pPr>
              <w:pStyle w:val="6"/>
              <w:spacing w:before="25" w:line="205" w:lineRule="auto"/>
              <w:ind w:left="2"/>
              <w:rPr>
                <w:sz w:val="18"/>
                <w:szCs w:val="18"/>
              </w:rPr>
            </w:pPr>
            <w:r>
              <w:rPr>
                <w:spacing w:val="1"/>
                <w:sz w:val="18"/>
                <w:szCs w:val="18"/>
              </w:rPr>
              <w:t>活动三主要游览地及景区</w:t>
            </w:r>
          </w:p>
          <w:p w14:paraId="13A925AB">
            <w:pPr>
              <w:pStyle w:val="6"/>
              <w:spacing w:line="233" w:lineRule="auto"/>
              <w:ind w:left="2" w:right="61"/>
              <w:rPr>
                <w:sz w:val="18"/>
                <w:szCs w:val="18"/>
              </w:rPr>
            </w:pPr>
            <w:r>
              <w:rPr>
                <w:spacing w:val="7"/>
                <w:sz w:val="18"/>
                <w:szCs w:val="18"/>
              </w:rPr>
              <w:t>运用所学知识，设计科学、</w:t>
            </w:r>
            <w:r>
              <w:rPr>
                <w:spacing w:val="5"/>
                <w:sz w:val="18"/>
                <w:szCs w:val="18"/>
              </w:rPr>
              <w:t xml:space="preserve"> </w:t>
            </w:r>
            <w:r>
              <w:rPr>
                <w:spacing w:val="-1"/>
                <w:sz w:val="18"/>
                <w:szCs w:val="18"/>
              </w:rPr>
              <w:t>合理的旅游线路</w:t>
            </w:r>
          </w:p>
        </w:tc>
        <w:tc>
          <w:tcPr>
            <w:tcW w:w="239" w:type="dxa"/>
            <w:vAlign w:val="top"/>
          </w:tcPr>
          <w:p w14:paraId="41511C13">
            <w:pPr>
              <w:rPr>
                <w:rFonts w:ascii="Arial"/>
                <w:sz w:val="21"/>
              </w:rPr>
            </w:pPr>
          </w:p>
        </w:tc>
        <w:tc>
          <w:tcPr>
            <w:tcW w:w="210" w:type="dxa"/>
            <w:vAlign w:val="top"/>
          </w:tcPr>
          <w:p w14:paraId="69E43B4B">
            <w:pPr>
              <w:rPr>
                <w:rFonts w:ascii="Arial"/>
                <w:sz w:val="21"/>
              </w:rPr>
            </w:pPr>
          </w:p>
        </w:tc>
        <w:tc>
          <w:tcPr>
            <w:tcW w:w="230" w:type="dxa"/>
            <w:vAlign w:val="top"/>
          </w:tcPr>
          <w:p w14:paraId="5036429E">
            <w:pPr>
              <w:spacing w:line="344" w:lineRule="auto"/>
              <w:rPr>
                <w:rFonts w:ascii="Arial"/>
                <w:sz w:val="21"/>
              </w:rPr>
            </w:pPr>
          </w:p>
          <w:p w14:paraId="2880EFC4">
            <w:pPr>
              <w:spacing w:line="361" w:lineRule="exact"/>
              <w:ind w:firstLine="56"/>
            </w:pPr>
            <w:r>
              <w:rPr>
                <w:position w:val="-7"/>
              </w:rPr>
              <w:drawing>
                <wp:inline distT="0" distB="0" distL="0" distR="0">
                  <wp:extent cx="85725" cy="228600"/>
                  <wp:effectExtent l="0" t="0" r="0" b="0"/>
                  <wp:docPr id="248" name="IM 248"/>
                  <wp:cNvGraphicFramePr/>
                  <a:graphic xmlns:a="http://schemas.openxmlformats.org/drawingml/2006/main">
                    <a:graphicData uri="http://schemas.openxmlformats.org/drawingml/2006/picture">
                      <pic:pic xmlns:pic="http://schemas.openxmlformats.org/drawingml/2006/picture">
                        <pic:nvPicPr>
                          <pic:cNvPr id="248" name="IM 248"/>
                          <pic:cNvPicPr/>
                        </pic:nvPicPr>
                        <pic:blipFill>
                          <a:blip r:embed="rId289"/>
                          <a:stretch>
                            <a:fillRect/>
                          </a:stretch>
                        </pic:blipFill>
                        <pic:spPr>
                          <a:xfrm>
                            <a:off x="0" y="0"/>
                            <a:ext cx="85922" cy="228868"/>
                          </a:xfrm>
                          <a:prstGeom prst="rect">
                            <a:avLst/>
                          </a:prstGeom>
                        </pic:spPr>
                      </pic:pic>
                    </a:graphicData>
                  </a:graphic>
                </wp:inline>
              </w:drawing>
            </w:r>
          </w:p>
        </w:tc>
        <w:tc>
          <w:tcPr>
            <w:tcW w:w="214" w:type="dxa"/>
            <w:vAlign w:val="top"/>
          </w:tcPr>
          <w:p w14:paraId="3C1C1EB4">
            <w:pPr>
              <w:rPr>
                <w:rFonts w:ascii="Arial"/>
                <w:sz w:val="21"/>
              </w:rPr>
            </w:pPr>
          </w:p>
        </w:tc>
      </w:tr>
      <w:tr w14:paraId="4BE0E2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69" w:hRule="atLeast"/>
        </w:trPr>
        <w:tc>
          <w:tcPr>
            <w:tcW w:w="883" w:type="dxa"/>
            <w:vAlign w:val="top"/>
          </w:tcPr>
          <w:p w14:paraId="09F80243">
            <w:pPr>
              <w:pStyle w:val="6"/>
              <w:spacing w:before="214" w:line="229" w:lineRule="auto"/>
              <w:ind w:left="15" w:firstLine="59"/>
              <w:rPr>
                <w:sz w:val="18"/>
                <w:szCs w:val="18"/>
              </w:rPr>
            </w:pPr>
            <w:r>
              <w:rPr>
                <w:spacing w:val="-4"/>
                <w:sz w:val="18"/>
                <w:szCs w:val="18"/>
              </w:rPr>
              <w:t>项目七连</w:t>
            </w:r>
            <w:r>
              <w:rPr>
                <w:sz w:val="18"/>
                <w:szCs w:val="18"/>
              </w:rPr>
              <w:t xml:space="preserve">  </w:t>
            </w:r>
            <w:r>
              <w:rPr>
                <w:spacing w:val="-11"/>
                <w:sz w:val="18"/>
                <w:szCs w:val="18"/>
              </w:rPr>
              <w:t>天山海、活</w:t>
            </w:r>
            <w:r>
              <w:rPr>
                <w:spacing w:val="3"/>
                <w:sz w:val="18"/>
                <w:szCs w:val="18"/>
              </w:rPr>
              <w:t xml:space="preserve"> </w:t>
            </w:r>
            <w:r>
              <w:rPr>
                <w:spacing w:val="-4"/>
                <w:sz w:val="18"/>
                <w:szCs w:val="18"/>
              </w:rPr>
              <w:t>力岭南—</w:t>
            </w:r>
            <w:r>
              <w:rPr>
                <w:sz w:val="18"/>
                <w:szCs w:val="18"/>
              </w:rPr>
              <w:t xml:space="preserve">  </w:t>
            </w:r>
            <w:r>
              <w:rPr>
                <w:spacing w:val="-9"/>
                <w:sz w:val="18"/>
                <w:szCs w:val="18"/>
              </w:rPr>
              <w:t>华南旅游区</w:t>
            </w:r>
          </w:p>
        </w:tc>
        <w:tc>
          <w:tcPr>
            <w:tcW w:w="2324" w:type="dxa"/>
            <w:vAlign w:val="top"/>
          </w:tcPr>
          <w:p w14:paraId="0BF36297">
            <w:pPr>
              <w:pStyle w:val="6"/>
              <w:spacing w:before="132" w:line="219" w:lineRule="auto"/>
              <w:ind w:left="2"/>
              <w:rPr>
                <w:sz w:val="18"/>
                <w:szCs w:val="18"/>
              </w:rPr>
            </w:pPr>
            <w:r>
              <w:rPr>
                <w:spacing w:val="-2"/>
                <w:sz w:val="18"/>
                <w:szCs w:val="18"/>
              </w:rPr>
              <w:t>活动一区域概况</w:t>
            </w:r>
          </w:p>
          <w:p w14:paraId="4977E608">
            <w:pPr>
              <w:pStyle w:val="6"/>
              <w:spacing w:before="16" w:line="205" w:lineRule="auto"/>
              <w:ind w:left="2"/>
              <w:rPr>
                <w:sz w:val="18"/>
                <w:szCs w:val="18"/>
              </w:rPr>
            </w:pPr>
            <w:r>
              <w:rPr>
                <w:spacing w:val="-1"/>
                <w:sz w:val="18"/>
                <w:szCs w:val="18"/>
              </w:rPr>
              <w:t>活动二旅游资源特征</w:t>
            </w:r>
          </w:p>
          <w:p w14:paraId="20B143D1">
            <w:pPr>
              <w:pStyle w:val="6"/>
              <w:spacing w:line="219" w:lineRule="auto"/>
              <w:ind w:left="2"/>
              <w:rPr>
                <w:sz w:val="18"/>
                <w:szCs w:val="18"/>
              </w:rPr>
            </w:pPr>
            <w:r>
              <w:rPr>
                <w:spacing w:val="1"/>
                <w:sz w:val="18"/>
                <w:szCs w:val="18"/>
              </w:rPr>
              <w:t>活动三主要游览地及景区</w:t>
            </w:r>
          </w:p>
          <w:p w14:paraId="40518CE6">
            <w:pPr>
              <w:pStyle w:val="6"/>
              <w:spacing w:before="15" w:line="223" w:lineRule="auto"/>
              <w:ind w:left="2"/>
              <w:rPr>
                <w:sz w:val="18"/>
                <w:szCs w:val="18"/>
              </w:rPr>
            </w:pPr>
            <w:r>
              <w:rPr>
                <w:spacing w:val="-4"/>
                <w:sz w:val="18"/>
                <w:szCs w:val="18"/>
              </w:rPr>
              <w:t>运用所学知识，</w:t>
            </w:r>
            <w:r>
              <w:rPr>
                <w:spacing w:val="9"/>
                <w:sz w:val="18"/>
                <w:szCs w:val="18"/>
              </w:rPr>
              <w:t xml:space="preserve">  </w:t>
            </w:r>
            <w:r>
              <w:rPr>
                <w:spacing w:val="-4"/>
                <w:sz w:val="18"/>
                <w:szCs w:val="18"/>
              </w:rPr>
              <w:t>设计科学、</w:t>
            </w:r>
            <w:r>
              <w:rPr>
                <w:sz w:val="18"/>
                <w:szCs w:val="18"/>
              </w:rPr>
              <w:t xml:space="preserve"> </w:t>
            </w:r>
            <w:r>
              <w:rPr>
                <w:spacing w:val="-7"/>
                <w:sz w:val="18"/>
                <w:szCs w:val="18"/>
              </w:rPr>
              <w:t>合理的旅游线路</w:t>
            </w:r>
          </w:p>
        </w:tc>
        <w:tc>
          <w:tcPr>
            <w:tcW w:w="239" w:type="dxa"/>
            <w:vAlign w:val="top"/>
          </w:tcPr>
          <w:p w14:paraId="21181125">
            <w:pPr>
              <w:rPr>
                <w:rFonts w:ascii="Arial"/>
                <w:sz w:val="21"/>
              </w:rPr>
            </w:pPr>
          </w:p>
        </w:tc>
        <w:tc>
          <w:tcPr>
            <w:tcW w:w="210" w:type="dxa"/>
            <w:vAlign w:val="top"/>
          </w:tcPr>
          <w:p w14:paraId="77B07F34">
            <w:pPr>
              <w:rPr>
                <w:rFonts w:ascii="Arial"/>
                <w:sz w:val="21"/>
              </w:rPr>
            </w:pPr>
          </w:p>
        </w:tc>
        <w:tc>
          <w:tcPr>
            <w:tcW w:w="230" w:type="dxa"/>
            <w:vAlign w:val="top"/>
          </w:tcPr>
          <w:p w14:paraId="1EC93D4D">
            <w:pPr>
              <w:spacing w:line="293" w:lineRule="auto"/>
              <w:rPr>
                <w:rFonts w:ascii="Arial"/>
                <w:sz w:val="21"/>
              </w:rPr>
            </w:pPr>
          </w:p>
          <w:p w14:paraId="6FDEAD6A">
            <w:pPr>
              <w:spacing w:line="320" w:lineRule="exact"/>
              <w:ind w:firstLine="53"/>
            </w:pPr>
            <w:r>
              <w:rPr>
                <w:position w:val="-6"/>
              </w:rPr>
              <w:drawing>
                <wp:inline distT="0" distB="0" distL="0" distR="0">
                  <wp:extent cx="82550" cy="202565"/>
                  <wp:effectExtent l="0" t="0" r="0" b="0"/>
                  <wp:docPr id="250" name="IM 250"/>
                  <wp:cNvGraphicFramePr/>
                  <a:graphic xmlns:a="http://schemas.openxmlformats.org/drawingml/2006/main">
                    <a:graphicData uri="http://schemas.openxmlformats.org/drawingml/2006/picture">
                      <pic:pic xmlns:pic="http://schemas.openxmlformats.org/drawingml/2006/picture">
                        <pic:nvPicPr>
                          <pic:cNvPr id="250" name="IM 250"/>
                          <pic:cNvPicPr/>
                        </pic:nvPicPr>
                        <pic:blipFill>
                          <a:blip r:embed="rId290"/>
                          <a:stretch>
                            <a:fillRect/>
                          </a:stretch>
                        </pic:blipFill>
                        <pic:spPr>
                          <a:xfrm>
                            <a:off x="0" y="0"/>
                            <a:ext cx="82953" cy="203183"/>
                          </a:xfrm>
                          <a:prstGeom prst="rect">
                            <a:avLst/>
                          </a:prstGeom>
                        </pic:spPr>
                      </pic:pic>
                    </a:graphicData>
                  </a:graphic>
                </wp:inline>
              </w:drawing>
            </w:r>
          </w:p>
        </w:tc>
        <w:tc>
          <w:tcPr>
            <w:tcW w:w="214" w:type="dxa"/>
            <w:vAlign w:val="top"/>
          </w:tcPr>
          <w:p w14:paraId="06BFF886">
            <w:pPr>
              <w:spacing w:line="249" w:lineRule="auto"/>
              <w:rPr>
                <w:rFonts w:ascii="Arial"/>
                <w:sz w:val="21"/>
              </w:rPr>
            </w:pPr>
          </w:p>
          <w:p w14:paraId="650DC796">
            <w:pPr>
              <w:spacing w:line="249" w:lineRule="auto"/>
              <w:rPr>
                <w:rFonts w:ascii="Arial"/>
                <w:sz w:val="21"/>
              </w:rPr>
            </w:pPr>
          </w:p>
          <w:p w14:paraId="2A5FD5B2">
            <w:pPr>
              <w:spacing w:line="249" w:lineRule="auto"/>
              <w:rPr>
                <w:rFonts w:ascii="Arial"/>
                <w:sz w:val="21"/>
              </w:rPr>
            </w:pPr>
          </w:p>
          <w:p w14:paraId="315065AF">
            <w:pPr>
              <w:spacing w:line="135" w:lineRule="exact"/>
              <w:ind w:firstLine="51"/>
            </w:pPr>
            <w:r>
              <w:rPr>
                <w:position w:val="-2"/>
              </w:rPr>
              <w:drawing>
                <wp:inline distT="0" distB="0" distL="0" distR="0">
                  <wp:extent cx="80010" cy="85725"/>
                  <wp:effectExtent l="0" t="0" r="0" b="0"/>
                  <wp:docPr id="252" name="IM 252"/>
                  <wp:cNvGraphicFramePr/>
                  <a:graphic xmlns:a="http://schemas.openxmlformats.org/drawingml/2006/main">
                    <a:graphicData uri="http://schemas.openxmlformats.org/drawingml/2006/picture">
                      <pic:pic xmlns:pic="http://schemas.openxmlformats.org/drawingml/2006/picture">
                        <pic:nvPicPr>
                          <pic:cNvPr id="252" name="IM 252"/>
                          <pic:cNvPicPr/>
                        </pic:nvPicPr>
                        <pic:blipFill>
                          <a:blip r:embed="rId291"/>
                          <a:stretch>
                            <a:fillRect/>
                          </a:stretch>
                        </pic:blipFill>
                        <pic:spPr>
                          <a:xfrm>
                            <a:off x="0" y="0"/>
                            <a:ext cx="80015" cy="85933"/>
                          </a:xfrm>
                          <a:prstGeom prst="rect">
                            <a:avLst/>
                          </a:prstGeom>
                        </pic:spPr>
                      </pic:pic>
                    </a:graphicData>
                  </a:graphic>
                </wp:inline>
              </w:drawing>
            </w:r>
          </w:p>
        </w:tc>
      </w:tr>
      <w:tr w14:paraId="50048E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68" w:hRule="atLeast"/>
        </w:trPr>
        <w:tc>
          <w:tcPr>
            <w:tcW w:w="883" w:type="dxa"/>
            <w:vAlign w:val="top"/>
          </w:tcPr>
          <w:p w14:paraId="1FFD8172">
            <w:pPr>
              <w:pStyle w:val="6"/>
              <w:spacing w:before="124" w:line="220" w:lineRule="auto"/>
              <w:ind w:left="75"/>
              <w:rPr>
                <w:sz w:val="18"/>
                <w:szCs w:val="18"/>
              </w:rPr>
            </w:pPr>
            <w:r>
              <w:rPr>
                <w:spacing w:val="-2"/>
                <w:sz w:val="18"/>
                <w:szCs w:val="18"/>
              </w:rPr>
              <w:t>项目八奇</w:t>
            </w:r>
          </w:p>
          <w:p w14:paraId="24171363">
            <w:pPr>
              <w:pStyle w:val="6"/>
              <w:spacing w:before="15" w:line="219" w:lineRule="auto"/>
              <w:jc w:val="right"/>
              <w:rPr>
                <w:sz w:val="18"/>
                <w:szCs w:val="18"/>
              </w:rPr>
            </w:pPr>
            <w:r>
              <w:rPr>
                <w:spacing w:val="8"/>
                <w:sz w:val="18"/>
                <w:szCs w:val="18"/>
              </w:rPr>
              <w:t>山异水</w:t>
            </w:r>
            <w:r>
              <w:rPr>
                <w:spacing w:val="-45"/>
                <w:sz w:val="18"/>
                <w:szCs w:val="18"/>
              </w:rPr>
              <w:t xml:space="preserve"> </w:t>
            </w:r>
            <w:r>
              <w:rPr>
                <w:spacing w:val="8"/>
                <w:sz w:val="18"/>
                <w:szCs w:val="18"/>
              </w:rPr>
              <w:t>、</w:t>
            </w:r>
          </w:p>
          <w:p w14:paraId="1CD422DD">
            <w:pPr>
              <w:pStyle w:val="6"/>
              <w:spacing w:before="17" w:line="221" w:lineRule="auto"/>
              <w:ind w:left="165"/>
              <w:rPr>
                <w:sz w:val="18"/>
                <w:szCs w:val="18"/>
              </w:rPr>
            </w:pPr>
            <w:r>
              <w:rPr>
                <w:spacing w:val="3"/>
                <w:sz w:val="18"/>
                <w:szCs w:val="18"/>
              </w:rPr>
              <w:t>多彩民</w:t>
            </w:r>
          </w:p>
          <w:p w14:paraId="48637717">
            <w:pPr>
              <w:pStyle w:val="6"/>
              <w:spacing w:before="4" w:line="205" w:lineRule="auto"/>
              <w:ind w:left="75"/>
              <w:rPr>
                <w:sz w:val="18"/>
                <w:szCs w:val="18"/>
              </w:rPr>
            </w:pPr>
            <w:r>
              <w:rPr>
                <w:spacing w:val="3"/>
                <w:sz w:val="18"/>
                <w:szCs w:val="18"/>
              </w:rPr>
              <w:t>俗——西</w:t>
            </w:r>
          </w:p>
          <w:p w14:paraId="3B12382B">
            <w:pPr>
              <w:pStyle w:val="6"/>
              <w:spacing w:line="220" w:lineRule="auto"/>
              <w:ind w:left="75"/>
              <w:rPr>
                <w:sz w:val="18"/>
                <w:szCs w:val="18"/>
              </w:rPr>
            </w:pPr>
            <w:r>
              <w:rPr>
                <w:spacing w:val="3"/>
                <w:sz w:val="18"/>
                <w:szCs w:val="18"/>
              </w:rPr>
              <w:t>南旅游区</w:t>
            </w:r>
          </w:p>
        </w:tc>
        <w:tc>
          <w:tcPr>
            <w:tcW w:w="2324" w:type="dxa"/>
            <w:vAlign w:val="top"/>
          </w:tcPr>
          <w:p w14:paraId="0C61DD1A">
            <w:pPr>
              <w:pStyle w:val="6"/>
              <w:spacing w:before="143" w:line="205" w:lineRule="auto"/>
              <w:ind w:left="2"/>
              <w:rPr>
                <w:sz w:val="18"/>
                <w:szCs w:val="18"/>
              </w:rPr>
            </w:pPr>
            <w:r>
              <w:rPr>
                <w:spacing w:val="-2"/>
                <w:sz w:val="18"/>
                <w:szCs w:val="18"/>
              </w:rPr>
              <w:t>活动一区域概况</w:t>
            </w:r>
          </w:p>
          <w:p w14:paraId="29F9E73D">
            <w:pPr>
              <w:pStyle w:val="6"/>
              <w:spacing w:line="219" w:lineRule="auto"/>
              <w:ind w:left="2"/>
              <w:rPr>
                <w:sz w:val="18"/>
                <w:szCs w:val="18"/>
              </w:rPr>
            </w:pPr>
            <w:r>
              <w:rPr>
                <w:spacing w:val="-1"/>
                <w:sz w:val="18"/>
                <w:szCs w:val="18"/>
              </w:rPr>
              <w:t>活动二旅游资源特征</w:t>
            </w:r>
          </w:p>
          <w:p w14:paraId="47024543">
            <w:pPr>
              <w:pStyle w:val="6"/>
              <w:spacing w:before="16" w:line="219" w:lineRule="auto"/>
              <w:ind w:left="2"/>
              <w:rPr>
                <w:sz w:val="18"/>
                <w:szCs w:val="18"/>
              </w:rPr>
            </w:pPr>
            <w:r>
              <w:rPr>
                <w:spacing w:val="1"/>
                <w:sz w:val="18"/>
                <w:szCs w:val="18"/>
              </w:rPr>
              <w:t>活动三主要游览地及景区</w:t>
            </w:r>
          </w:p>
          <w:p w14:paraId="6A7055FB">
            <w:pPr>
              <w:pStyle w:val="6"/>
              <w:spacing w:before="5" w:line="228" w:lineRule="auto"/>
              <w:ind w:left="2" w:right="61"/>
              <w:rPr>
                <w:sz w:val="18"/>
                <w:szCs w:val="18"/>
              </w:rPr>
            </w:pPr>
            <w:r>
              <w:rPr>
                <w:spacing w:val="7"/>
                <w:sz w:val="18"/>
                <w:szCs w:val="18"/>
              </w:rPr>
              <w:t>运用所学知识，设计科学、</w:t>
            </w:r>
            <w:r>
              <w:rPr>
                <w:spacing w:val="5"/>
                <w:sz w:val="18"/>
                <w:szCs w:val="18"/>
              </w:rPr>
              <w:t xml:space="preserve"> </w:t>
            </w:r>
            <w:r>
              <w:rPr>
                <w:spacing w:val="-1"/>
                <w:sz w:val="18"/>
                <w:szCs w:val="18"/>
              </w:rPr>
              <w:t>合理的旅游线路</w:t>
            </w:r>
          </w:p>
        </w:tc>
        <w:tc>
          <w:tcPr>
            <w:tcW w:w="239" w:type="dxa"/>
            <w:vAlign w:val="top"/>
          </w:tcPr>
          <w:p w14:paraId="2D694485">
            <w:pPr>
              <w:rPr>
                <w:rFonts w:ascii="Arial"/>
                <w:sz w:val="21"/>
              </w:rPr>
            </w:pPr>
          </w:p>
        </w:tc>
        <w:tc>
          <w:tcPr>
            <w:tcW w:w="210" w:type="dxa"/>
            <w:vAlign w:val="top"/>
          </w:tcPr>
          <w:p w14:paraId="5C821EC1">
            <w:pPr>
              <w:rPr>
                <w:rFonts w:ascii="Arial"/>
                <w:sz w:val="21"/>
              </w:rPr>
            </w:pPr>
          </w:p>
        </w:tc>
        <w:tc>
          <w:tcPr>
            <w:tcW w:w="230" w:type="dxa"/>
            <w:vAlign w:val="top"/>
          </w:tcPr>
          <w:p w14:paraId="7B9C500F">
            <w:pPr>
              <w:rPr>
                <w:rFonts w:ascii="Arial"/>
                <w:sz w:val="21"/>
              </w:rPr>
            </w:pPr>
          </w:p>
        </w:tc>
        <w:tc>
          <w:tcPr>
            <w:tcW w:w="214" w:type="dxa"/>
            <w:vAlign w:val="top"/>
          </w:tcPr>
          <w:p w14:paraId="4DEA3993">
            <w:pPr>
              <w:spacing w:line="262" w:lineRule="auto"/>
              <w:rPr>
                <w:rFonts w:ascii="Arial"/>
                <w:sz w:val="21"/>
              </w:rPr>
            </w:pPr>
          </w:p>
          <w:p w14:paraId="0F797B33">
            <w:pPr>
              <w:spacing w:line="262" w:lineRule="auto"/>
              <w:rPr>
                <w:rFonts w:ascii="Arial"/>
                <w:sz w:val="21"/>
              </w:rPr>
            </w:pPr>
          </w:p>
          <w:p w14:paraId="0969F3E4">
            <w:pPr>
              <w:spacing w:line="262" w:lineRule="auto"/>
              <w:rPr>
                <w:rFonts w:ascii="Arial"/>
                <w:sz w:val="21"/>
              </w:rPr>
            </w:pPr>
          </w:p>
          <w:p w14:paraId="58189FBE">
            <w:pPr>
              <w:spacing w:line="97" w:lineRule="exact"/>
              <w:ind w:firstLine="46"/>
            </w:pPr>
            <w:r>
              <w:rPr>
                <w:position w:val="-1"/>
              </w:rPr>
              <w:drawing>
                <wp:inline distT="0" distB="0" distL="0" distR="0">
                  <wp:extent cx="73025" cy="60960"/>
                  <wp:effectExtent l="0" t="0" r="0" b="0"/>
                  <wp:docPr id="254" name="IM 254"/>
                  <wp:cNvGraphicFramePr/>
                  <a:graphic xmlns:a="http://schemas.openxmlformats.org/drawingml/2006/main">
                    <a:graphicData uri="http://schemas.openxmlformats.org/drawingml/2006/picture">
                      <pic:pic xmlns:pic="http://schemas.openxmlformats.org/drawingml/2006/picture">
                        <pic:nvPicPr>
                          <pic:cNvPr id="254" name="IM 254"/>
                          <pic:cNvPicPr/>
                        </pic:nvPicPr>
                        <pic:blipFill>
                          <a:blip r:embed="rId292"/>
                          <a:stretch>
                            <a:fillRect/>
                          </a:stretch>
                        </pic:blipFill>
                        <pic:spPr>
                          <a:xfrm>
                            <a:off x="0" y="0"/>
                            <a:ext cx="73483" cy="61380"/>
                          </a:xfrm>
                          <a:prstGeom prst="rect">
                            <a:avLst/>
                          </a:prstGeom>
                        </pic:spPr>
                      </pic:pic>
                    </a:graphicData>
                  </a:graphic>
                </wp:inline>
              </w:drawing>
            </w:r>
          </w:p>
        </w:tc>
      </w:tr>
      <w:tr w14:paraId="65CD19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59" w:hRule="atLeast"/>
        </w:trPr>
        <w:tc>
          <w:tcPr>
            <w:tcW w:w="883" w:type="dxa"/>
            <w:vAlign w:val="top"/>
          </w:tcPr>
          <w:p w14:paraId="3546C198">
            <w:pPr>
              <w:pStyle w:val="6"/>
              <w:spacing w:before="126" w:line="220" w:lineRule="auto"/>
              <w:ind w:left="75"/>
              <w:rPr>
                <w:sz w:val="18"/>
                <w:szCs w:val="18"/>
              </w:rPr>
            </w:pPr>
            <w:r>
              <w:rPr>
                <w:spacing w:val="-2"/>
                <w:sz w:val="18"/>
                <w:szCs w:val="18"/>
              </w:rPr>
              <w:t>项目九大</w:t>
            </w:r>
          </w:p>
          <w:p w14:paraId="5BE331B8">
            <w:pPr>
              <w:pStyle w:val="6"/>
              <w:spacing w:before="5" w:line="220" w:lineRule="auto"/>
              <w:jc w:val="right"/>
              <w:rPr>
                <w:sz w:val="18"/>
                <w:szCs w:val="18"/>
              </w:rPr>
            </w:pPr>
            <w:r>
              <w:rPr>
                <w:spacing w:val="19"/>
                <w:sz w:val="18"/>
                <w:szCs w:val="18"/>
              </w:rPr>
              <w:t>漠绿洲、</w:t>
            </w:r>
          </w:p>
          <w:p w14:paraId="2A44725B">
            <w:pPr>
              <w:pStyle w:val="6"/>
              <w:spacing w:before="24" w:line="205" w:lineRule="auto"/>
              <w:ind w:left="165"/>
              <w:rPr>
                <w:sz w:val="18"/>
                <w:szCs w:val="18"/>
              </w:rPr>
            </w:pPr>
            <w:r>
              <w:rPr>
                <w:spacing w:val="-2"/>
                <w:sz w:val="18"/>
                <w:szCs w:val="18"/>
              </w:rPr>
              <w:t>魅力丝</w:t>
            </w:r>
          </w:p>
          <w:p w14:paraId="288CC233">
            <w:pPr>
              <w:pStyle w:val="6"/>
              <w:spacing w:line="219" w:lineRule="auto"/>
              <w:ind w:left="75"/>
              <w:rPr>
                <w:sz w:val="18"/>
                <w:szCs w:val="18"/>
              </w:rPr>
            </w:pPr>
            <w:r>
              <w:rPr>
                <w:spacing w:val="3"/>
                <w:sz w:val="18"/>
                <w:szCs w:val="18"/>
              </w:rPr>
              <w:t>路——西</w:t>
            </w:r>
          </w:p>
          <w:p w14:paraId="7D355E83">
            <w:pPr>
              <w:pStyle w:val="6"/>
              <w:spacing w:before="26" w:line="220" w:lineRule="auto"/>
              <w:ind w:left="75"/>
              <w:rPr>
                <w:sz w:val="18"/>
                <w:szCs w:val="18"/>
              </w:rPr>
            </w:pPr>
            <w:r>
              <w:rPr>
                <w:spacing w:val="3"/>
                <w:sz w:val="18"/>
                <w:szCs w:val="18"/>
              </w:rPr>
              <w:t>北旅游区</w:t>
            </w:r>
          </w:p>
        </w:tc>
        <w:tc>
          <w:tcPr>
            <w:tcW w:w="2324" w:type="dxa"/>
            <w:vAlign w:val="top"/>
          </w:tcPr>
          <w:p w14:paraId="0C363F74">
            <w:pPr>
              <w:pStyle w:val="6"/>
              <w:spacing w:before="145" w:line="219" w:lineRule="auto"/>
              <w:ind w:left="2"/>
              <w:rPr>
                <w:sz w:val="18"/>
                <w:szCs w:val="18"/>
              </w:rPr>
            </w:pPr>
            <w:r>
              <w:rPr>
                <w:spacing w:val="-2"/>
                <w:sz w:val="18"/>
                <w:szCs w:val="18"/>
              </w:rPr>
              <w:t>活动一区域概况</w:t>
            </w:r>
          </w:p>
          <w:p w14:paraId="0CBE2547">
            <w:pPr>
              <w:pStyle w:val="6"/>
              <w:spacing w:before="6" w:line="215" w:lineRule="auto"/>
              <w:ind w:left="2"/>
              <w:rPr>
                <w:sz w:val="18"/>
                <w:szCs w:val="18"/>
              </w:rPr>
            </w:pPr>
            <w:r>
              <w:rPr>
                <w:spacing w:val="-1"/>
                <w:sz w:val="18"/>
                <w:szCs w:val="18"/>
              </w:rPr>
              <w:t>活动二旅游资源特征</w:t>
            </w:r>
          </w:p>
          <w:p w14:paraId="40EDAA42">
            <w:pPr>
              <w:pStyle w:val="6"/>
              <w:spacing w:line="214" w:lineRule="auto"/>
              <w:ind w:left="2"/>
              <w:rPr>
                <w:sz w:val="18"/>
                <w:szCs w:val="18"/>
              </w:rPr>
            </w:pPr>
            <w:r>
              <w:rPr>
                <w:spacing w:val="1"/>
                <w:sz w:val="18"/>
                <w:szCs w:val="18"/>
              </w:rPr>
              <w:t>活动三主要游览地及景区</w:t>
            </w:r>
          </w:p>
          <w:p w14:paraId="76551E2D">
            <w:pPr>
              <w:pStyle w:val="6"/>
              <w:spacing w:line="233" w:lineRule="auto"/>
              <w:ind w:left="2" w:right="61"/>
              <w:rPr>
                <w:sz w:val="18"/>
                <w:szCs w:val="18"/>
              </w:rPr>
            </w:pPr>
            <w:r>
              <w:rPr>
                <w:spacing w:val="7"/>
                <w:sz w:val="18"/>
                <w:szCs w:val="18"/>
              </w:rPr>
              <w:t>运用所学知识，设计科学、</w:t>
            </w:r>
            <w:r>
              <w:rPr>
                <w:spacing w:val="5"/>
                <w:sz w:val="18"/>
                <w:szCs w:val="18"/>
              </w:rPr>
              <w:t xml:space="preserve"> </w:t>
            </w:r>
            <w:r>
              <w:rPr>
                <w:spacing w:val="-1"/>
                <w:sz w:val="18"/>
                <w:szCs w:val="18"/>
              </w:rPr>
              <w:t>合理的旅游线路</w:t>
            </w:r>
          </w:p>
        </w:tc>
        <w:tc>
          <w:tcPr>
            <w:tcW w:w="239" w:type="dxa"/>
            <w:vAlign w:val="top"/>
          </w:tcPr>
          <w:p w14:paraId="1FAD3485">
            <w:pPr>
              <w:rPr>
                <w:rFonts w:ascii="Arial"/>
                <w:sz w:val="21"/>
              </w:rPr>
            </w:pPr>
          </w:p>
        </w:tc>
        <w:tc>
          <w:tcPr>
            <w:tcW w:w="210" w:type="dxa"/>
            <w:vAlign w:val="top"/>
          </w:tcPr>
          <w:p w14:paraId="73906B81">
            <w:pPr>
              <w:rPr>
                <w:rFonts w:ascii="Arial"/>
                <w:sz w:val="21"/>
              </w:rPr>
            </w:pPr>
          </w:p>
        </w:tc>
        <w:tc>
          <w:tcPr>
            <w:tcW w:w="230" w:type="dxa"/>
            <w:vAlign w:val="top"/>
          </w:tcPr>
          <w:p w14:paraId="15FF01B5">
            <w:pPr>
              <w:rPr>
                <w:rFonts w:ascii="Arial"/>
                <w:sz w:val="21"/>
              </w:rPr>
            </w:pPr>
          </w:p>
        </w:tc>
        <w:tc>
          <w:tcPr>
            <w:tcW w:w="214" w:type="dxa"/>
            <w:vAlign w:val="top"/>
          </w:tcPr>
          <w:p w14:paraId="5F3E1492">
            <w:pPr>
              <w:rPr>
                <w:rFonts w:ascii="Arial"/>
                <w:sz w:val="21"/>
              </w:rPr>
            </w:pPr>
          </w:p>
        </w:tc>
      </w:tr>
      <w:tr w14:paraId="39CE13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24" w:hRule="atLeast"/>
        </w:trPr>
        <w:tc>
          <w:tcPr>
            <w:tcW w:w="883" w:type="dxa"/>
            <w:vAlign w:val="top"/>
          </w:tcPr>
          <w:p w14:paraId="0EE5EA0D">
            <w:pPr>
              <w:pStyle w:val="6"/>
              <w:spacing w:before="47" w:line="220" w:lineRule="auto"/>
              <w:ind w:left="75"/>
              <w:rPr>
                <w:sz w:val="18"/>
                <w:szCs w:val="18"/>
              </w:rPr>
            </w:pPr>
            <w:r>
              <w:rPr>
                <w:spacing w:val="-2"/>
                <w:sz w:val="18"/>
                <w:szCs w:val="18"/>
              </w:rPr>
              <w:t>项目十世</w:t>
            </w:r>
          </w:p>
          <w:p w14:paraId="08EEDABE">
            <w:pPr>
              <w:pStyle w:val="6"/>
              <w:spacing w:before="3" w:line="219" w:lineRule="auto"/>
              <w:jc w:val="right"/>
              <w:rPr>
                <w:sz w:val="18"/>
                <w:szCs w:val="18"/>
              </w:rPr>
            </w:pPr>
            <w:r>
              <w:rPr>
                <w:spacing w:val="9"/>
                <w:sz w:val="18"/>
                <w:szCs w:val="18"/>
              </w:rPr>
              <w:t>界屋脊</w:t>
            </w:r>
            <w:r>
              <w:rPr>
                <w:spacing w:val="-49"/>
                <w:sz w:val="18"/>
                <w:szCs w:val="18"/>
              </w:rPr>
              <w:t xml:space="preserve"> </w:t>
            </w:r>
            <w:r>
              <w:rPr>
                <w:spacing w:val="9"/>
                <w:sz w:val="18"/>
                <w:szCs w:val="18"/>
              </w:rPr>
              <w:t>、</w:t>
            </w:r>
          </w:p>
          <w:p w14:paraId="14885BFF">
            <w:pPr>
              <w:pStyle w:val="6"/>
              <w:spacing w:before="27" w:line="205" w:lineRule="auto"/>
              <w:ind w:left="165"/>
              <w:rPr>
                <w:sz w:val="18"/>
                <w:szCs w:val="18"/>
              </w:rPr>
            </w:pPr>
            <w:r>
              <w:rPr>
                <w:spacing w:val="2"/>
                <w:sz w:val="18"/>
                <w:szCs w:val="18"/>
              </w:rPr>
              <w:t>雪域藏</w:t>
            </w:r>
          </w:p>
          <w:p w14:paraId="70BA8D40">
            <w:pPr>
              <w:pStyle w:val="6"/>
              <w:spacing w:line="218" w:lineRule="auto"/>
              <w:ind w:left="75"/>
              <w:rPr>
                <w:sz w:val="18"/>
                <w:szCs w:val="18"/>
              </w:rPr>
            </w:pPr>
            <w:r>
              <w:rPr>
                <w:spacing w:val="1"/>
                <w:sz w:val="18"/>
                <w:szCs w:val="18"/>
              </w:rPr>
              <w:t>乡——青</w:t>
            </w:r>
          </w:p>
          <w:p w14:paraId="43FCDB3D">
            <w:pPr>
              <w:pStyle w:val="6"/>
              <w:spacing w:before="7" w:line="206" w:lineRule="auto"/>
              <w:ind w:left="75"/>
              <w:rPr>
                <w:sz w:val="18"/>
                <w:szCs w:val="18"/>
              </w:rPr>
            </w:pPr>
            <w:r>
              <w:rPr>
                <w:spacing w:val="-2"/>
                <w:sz w:val="18"/>
                <w:szCs w:val="18"/>
              </w:rPr>
              <w:t>藏高原旅</w:t>
            </w:r>
          </w:p>
          <w:p w14:paraId="33879BB9">
            <w:pPr>
              <w:pStyle w:val="6"/>
              <w:spacing w:line="191" w:lineRule="auto"/>
              <w:ind w:left="254"/>
              <w:rPr>
                <w:sz w:val="18"/>
                <w:szCs w:val="18"/>
              </w:rPr>
            </w:pPr>
            <w:r>
              <w:rPr>
                <w:spacing w:val="7"/>
                <w:sz w:val="18"/>
                <w:szCs w:val="18"/>
              </w:rPr>
              <w:t>游区</w:t>
            </w:r>
          </w:p>
        </w:tc>
        <w:tc>
          <w:tcPr>
            <w:tcW w:w="2324" w:type="dxa"/>
            <w:vAlign w:val="top"/>
          </w:tcPr>
          <w:p w14:paraId="08CDE99B">
            <w:pPr>
              <w:pStyle w:val="6"/>
              <w:spacing w:before="166" w:line="219" w:lineRule="auto"/>
              <w:ind w:left="2"/>
              <w:rPr>
                <w:sz w:val="18"/>
                <w:szCs w:val="18"/>
              </w:rPr>
            </w:pPr>
            <w:r>
              <w:rPr>
                <w:spacing w:val="-2"/>
                <w:sz w:val="18"/>
                <w:szCs w:val="18"/>
              </w:rPr>
              <w:t>活动一区域概况</w:t>
            </w:r>
          </w:p>
          <w:p w14:paraId="34AEB8D2">
            <w:pPr>
              <w:pStyle w:val="6"/>
              <w:spacing w:before="6" w:line="219" w:lineRule="auto"/>
              <w:ind w:left="2"/>
              <w:rPr>
                <w:sz w:val="18"/>
                <w:szCs w:val="18"/>
              </w:rPr>
            </w:pPr>
            <w:r>
              <w:rPr>
                <w:spacing w:val="-1"/>
                <w:sz w:val="18"/>
                <w:szCs w:val="18"/>
              </w:rPr>
              <w:t>活动二旅游资源特征</w:t>
            </w:r>
          </w:p>
          <w:p w14:paraId="1DB6D2FE">
            <w:pPr>
              <w:pStyle w:val="6"/>
              <w:spacing w:before="5" w:line="205" w:lineRule="auto"/>
              <w:ind w:left="2"/>
              <w:rPr>
                <w:sz w:val="18"/>
                <w:szCs w:val="18"/>
              </w:rPr>
            </w:pPr>
            <w:r>
              <w:rPr>
                <w:spacing w:val="1"/>
                <w:sz w:val="18"/>
                <w:szCs w:val="18"/>
              </w:rPr>
              <w:t>活动三主要游览地及景区</w:t>
            </w:r>
          </w:p>
          <w:p w14:paraId="034F0EBE">
            <w:pPr>
              <w:pStyle w:val="6"/>
              <w:spacing w:before="1" w:line="243" w:lineRule="auto"/>
              <w:ind w:left="2" w:right="61"/>
              <w:rPr>
                <w:sz w:val="18"/>
                <w:szCs w:val="18"/>
              </w:rPr>
            </w:pPr>
            <w:r>
              <w:rPr>
                <w:spacing w:val="7"/>
                <w:sz w:val="18"/>
                <w:szCs w:val="18"/>
              </w:rPr>
              <w:t>运用所学知识，设计科学、</w:t>
            </w:r>
            <w:r>
              <w:rPr>
                <w:spacing w:val="5"/>
                <w:sz w:val="18"/>
                <w:szCs w:val="18"/>
              </w:rPr>
              <w:t xml:space="preserve"> </w:t>
            </w:r>
            <w:r>
              <w:rPr>
                <w:spacing w:val="-1"/>
                <w:sz w:val="18"/>
                <w:szCs w:val="18"/>
              </w:rPr>
              <w:t>合理的旅游线路</w:t>
            </w:r>
          </w:p>
        </w:tc>
        <w:tc>
          <w:tcPr>
            <w:tcW w:w="239" w:type="dxa"/>
            <w:vAlign w:val="top"/>
          </w:tcPr>
          <w:p w14:paraId="70DEDAE8">
            <w:pPr>
              <w:rPr>
                <w:rFonts w:ascii="Arial"/>
                <w:sz w:val="21"/>
              </w:rPr>
            </w:pPr>
          </w:p>
        </w:tc>
        <w:tc>
          <w:tcPr>
            <w:tcW w:w="210" w:type="dxa"/>
            <w:vAlign w:val="top"/>
          </w:tcPr>
          <w:p w14:paraId="576C2D0A">
            <w:pPr>
              <w:rPr>
                <w:rFonts w:ascii="Arial"/>
                <w:sz w:val="21"/>
              </w:rPr>
            </w:pPr>
          </w:p>
        </w:tc>
        <w:tc>
          <w:tcPr>
            <w:tcW w:w="230" w:type="dxa"/>
            <w:vAlign w:val="top"/>
          </w:tcPr>
          <w:p w14:paraId="73F61C29">
            <w:pPr>
              <w:spacing w:line="354" w:lineRule="auto"/>
              <w:rPr>
                <w:rFonts w:ascii="Arial"/>
                <w:sz w:val="21"/>
              </w:rPr>
            </w:pPr>
          </w:p>
          <w:p w14:paraId="7BFACBAC">
            <w:pPr>
              <w:spacing w:line="353" w:lineRule="exact"/>
              <w:ind w:firstLine="46"/>
            </w:pPr>
            <w:r>
              <w:rPr>
                <w:position w:val="-7"/>
              </w:rPr>
              <w:drawing>
                <wp:inline distT="0" distB="0" distL="0" distR="0">
                  <wp:extent cx="97790" cy="224155"/>
                  <wp:effectExtent l="0" t="0" r="0" b="0"/>
                  <wp:docPr id="256" name="IM 256"/>
                  <wp:cNvGraphicFramePr/>
                  <a:graphic xmlns:a="http://schemas.openxmlformats.org/drawingml/2006/main">
                    <a:graphicData uri="http://schemas.openxmlformats.org/drawingml/2006/picture">
                      <pic:pic xmlns:pic="http://schemas.openxmlformats.org/drawingml/2006/picture">
                        <pic:nvPicPr>
                          <pic:cNvPr id="256" name="IM 256"/>
                          <pic:cNvPicPr/>
                        </pic:nvPicPr>
                        <pic:blipFill>
                          <a:blip r:embed="rId293"/>
                          <a:stretch>
                            <a:fillRect/>
                          </a:stretch>
                        </pic:blipFill>
                        <pic:spPr>
                          <a:xfrm>
                            <a:off x="0" y="0"/>
                            <a:ext cx="98197" cy="224329"/>
                          </a:xfrm>
                          <a:prstGeom prst="rect">
                            <a:avLst/>
                          </a:prstGeom>
                        </pic:spPr>
                      </pic:pic>
                    </a:graphicData>
                  </a:graphic>
                </wp:inline>
              </w:drawing>
            </w:r>
          </w:p>
        </w:tc>
        <w:tc>
          <w:tcPr>
            <w:tcW w:w="214" w:type="dxa"/>
            <w:vAlign w:val="top"/>
          </w:tcPr>
          <w:p w14:paraId="2442FA15">
            <w:pPr>
              <w:rPr>
                <w:rFonts w:ascii="Arial"/>
                <w:sz w:val="21"/>
              </w:rPr>
            </w:pPr>
          </w:p>
        </w:tc>
      </w:tr>
    </w:tbl>
    <w:p w14:paraId="5ECDB294">
      <w:pPr>
        <w:spacing w:before="127" w:line="421" w:lineRule="auto"/>
        <w:ind w:left="1077" w:right="1443" w:firstLine="99"/>
        <w:rPr>
          <w:rFonts w:ascii="黑体" w:hAnsi="黑体" w:eastAsia="黑体" w:cs="黑体"/>
          <w:sz w:val="20"/>
          <w:szCs w:val="20"/>
        </w:rPr>
      </w:pPr>
      <w:r>
        <w:rPr>
          <w:rFonts w:ascii="黑体" w:hAnsi="黑体" w:eastAsia="黑体" w:cs="黑体"/>
          <w:b/>
          <w:bCs/>
          <w:spacing w:val="-4"/>
          <w:sz w:val="20"/>
          <w:szCs w:val="20"/>
        </w:rPr>
        <w:t>第三部分</w:t>
      </w:r>
      <w:r>
        <w:rPr>
          <w:rFonts w:ascii="黑体" w:hAnsi="黑体" w:eastAsia="黑体" w:cs="黑体"/>
          <w:spacing w:val="-4"/>
          <w:sz w:val="20"/>
          <w:szCs w:val="20"/>
        </w:rPr>
        <w:t xml:space="preserve">  </w:t>
      </w:r>
      <w:r>
        <w:rPr>
          <w:rFonts w:ascii="黑体" w:hAnsi="黑体" w:eastAsia="黑体" w:cs="黑体"/>
          <w:b/>
          <w:bCs/>
          <w:spacing w:val="-4"/>
          <w:sz w:val="20"/>
          <w:szCs w:val="20"/>
        </w:rPr>
        <w:t>导游实务</w:t>
      </w:r>
      <w:r>
        <w:rPr>
          <w:rFonts w:ascii="黑体" w:hAnsi="黑体" w:eastAsia="黑体" w:cs="黑体"/>
          <w:sz w:val="20"/>
          <w:szCs w:val="20"/>
        </w:rPr>
        <w:t xml:space="preserve">  </w:t>
      </w:r>
      <w:r>
        <w:rPr>
          <w:rFonts w:ascii="黑体" w:hAnsi="黑体" w:eastAsia="黑体" w:cs="黑体"/>
          <w:b/>
          <w:bCs/>
          <w:spacing w:val="-5"/>
          <w:sz w:val="20"/>
          <w:szCs w:val="20"/>
        </w:rPr>
        <w:t>模块一</w:t>
      </w:r>
      <w:r>
        <w:rPr>
          <w:rFonts w:ascii="黑体" w:hAnsi="黑体" w:eastAsia="黑体" w:cs="黑体"/>
          <w:spacing w:val="104"/>
          <w:sz w:val="20"/>
          <w:szCs w:val="20"/>
        </w:rPr>
        <w:t xml:space="preserve"> </w:t>
      </w:r>
      <w:r>
        <w:rPr>
          <w:rFonts w:ascii="黑体" w:hAnsi="黑体" w:eastAsia="黑体" w:cs="黑体"/>
          <w:b/>
          <w:bCs/>
          <w:spacing w:val="-5"/>
          <w:sz w:val="20"/>
          <w:szCs w:val="20"/>
        </w:rPr>
        <w:t>导游人员综述</w:t>
      </w:r>
    </w:p>
    <w:tbl>
      <w:tblPr>
        <w:tblStyle w:val="5"/>
        <w:tblW w:w="4119" w:type="dxa"/>
        <w:tblInd w:w="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03"/>
        <w:gridCol w:w="2314"/>
        <w:gridCol w:w="229"/>
        <w:gridCol w:w="220"/>
        <w:gridCol w:w="229"/>
        <w:gridCol w:w="224"/>
      </w:tblGrid>
      <w:tr w14:paraId="117871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3" w:hRule="atLeast"/>
        </w:trPr>
        <w:tc>
          <w:tcPr>
            <w:tcW w:w="903" w:type="dxa"/>
            <w:vMerge w:val="restart"/>
            <w:tcBorders>
              <w:bottom w:val="nil"/>
            </w:tcBorders>
            <w:vAlign w:val="top"/>
          </w:tcPr>
          <w:p w14:paraId="66EF70CB">
            <w:pPr>
              <w:pStyle w:val="6"/>
              <w:spacing w:before="110" w:line="230" w:lineRule="auto"/>
              <w:ind w:left="263" w:hanging="246"/>
              <w:rPr>
                <w:sz w:val="18"/>
                <w:szCs w:val="18"/>
              </w:rPr>
            </w:pPr>
            <w:r>
              <w:rPr>
                <w:b/>
                <w:bCs/>
                <w:spacing w:val="-7"/>
                <w:sz w:val="18"/>
                <w:szCs w:val="18"/>
              </w:rPr>
              <w:t>知识与技能</w:t>
            </w:r>
            <w:r>
              <w:rPr>
                <w:sz w:val="18"/>
                <w:szCs w:val="18"/>
              </w:rPr>
              <w:t xml:space="preserve"> </w:t>
            </w:r>
            <w:r>
              <w:rPr>
                <w:b/>
                <w:bCs/>
                <w:spacing w:val="-6"/>
                <w:sz w:val="18"/>
                <w:szCs w:val="18"/>
              </w:rPr>
              <w:t>要点</w:t>
            </w:r>
          </w:p>
        </w:tc>
        <w:tc>
          <w:tcPr>
            <w:tcW w:w="2314" w:type="dxa"/>
            <w:vMerge w:val="restart"/>
            <w:tcBorders>
              <w:bottom w:val="nil"/>
            </w:tcBorders>
            <w:vAlign w:val="top"/>
          </w:tcPr>
          <w:p w14:paraId="162D6E54">
            <w:pPr>
              <w:pStyle w:val="6"/>
              <w:spacing w:before="219" w:line="219" w:lineRule="auto"/>
              <w:ind w:left="834"/>
              <w:rPr>
                <w:sz w:val="18"/>
                <w:szCs w:val="18"/>
              </w:rPr>
            </w:pPr>
            <w:r>
              <w:rPr>
                <w:b/>
                <w:bCs/>
                <w:spacing w:val="5"/>
                <w:sz w:val="18"/>
                <w:szCs w:val="18"/>
              </w:rPr>
              <w:t>考试条目</w:t>
            </w:r>
          </w:p>
        </w:tc>
        <w:tc>
          <w:tcPr>
            <w:tcW w:w="902" w:type="dxa"/>
            <w:gridSpan w:val="4"/>
            <w:vAlign w:val="top"/>
          </w:tcPr>
          <w:p w14:paraId="5B21C57C">
            <w:pPr>
              <w:pStyle w:val="6"/>
              <w:spacing w:before="69" w:line="219" w:lineRule="auto"/>
              <w:ind w:left="120"/>
              <w:rPr>
                <w:sz w:val="18"/>
                <w:szCs w:val="18"/>
              </w:rPr>
            </w:pPr>
            <w:r>
              <w:rPr>
                <w:b/>
                <w:bCs/>
                <w:spacing w:val="-4"/>
                <w:sz w:val="18"/>
                <w:szCs w:val="18"/>
              </w:rPr>
              <w:t>考试水平</w:t>
            </w:r>
          </w:p>
        </w:tc>
      </w:tr>
      <w:tr w14:paraId="12A98D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8" w:hRule="atLeast"/>
        </w:trPr>
        <w:tc>
          <w:tcPr>
            <w:tcW w:w="903" w:type="dxa"/>
            <w:vMerge w:val="continue"/>
            <w:tcBorders>
              <w:top w:val="nil"/>
            </w:tcBorders>
            <w:vAlign w:val="top"/>
          </w:tcPr>
          <w:p w14:paraId="2D50647C">
            <w:pPr>
              <w:rPr>
                <w:rFonts w:ascii="Arial"/>
                <w:sz w:val="21"/>
              </w:rPr>
            </w:pPr>
          </w:p>
        </w:tc>
        <w:tc>
          <w:tcPr>
            <w:tcW w:w="2314" w:type="dxa"/>
            <w:vMerge w:val="continue"/>
            <w:tcBorders>
              <w:top w:val="nil"/>
            </w:tcBorders>
            <w:vAlign w:val="top"/>
          </w:tcPr>
          <w:p w14:paraId="4F9EBB06">
            <w:pPr>
              <w:rPr>
                <w:rFonts w:ascii="Arial"/>
                <w:sz w:val="21"/>
              </w:rPr>
            </w:pPr>
          </w:p>
        </w:tc>
        <w:tc>
          <w:tcPr>
            <w:tcW w:w="229" w:type="dxa"/>
            <w:vAlign w:val="top"/>
          </w:tcPr>
          <w:p w14:paraId="270BDB5E">
            <w:pPr>
              <w:pStyle w:val="6"/>
              <w:spacing w:before="104" w:line="178" w:lineRule="auto"/>
              <w:ind w:left="20"/>
              <w:rPr>
                <w:sz w:val="18"/>
                <w:szCs w:val="18"/>
              </w:rPr>
            </w:pPr>
            <w:r>
              <w:rPr>
                <w:b/>
                <w:bCs/>
                <w:spacing w:val="-2"/>
                <w:sz w:val="18"/>
                <w:szCs w:val="18"/>
              </w:rPr>
              <w:t>A</w:t>
            </w:r>
          </w:p>
        </w:tc>
        <w:tc>
          <w:tcPr>
            <w:tcW w:w="220" w:type="dxa"/>
            <w:vAlign w:val="top"/>
          </w:tcPr>
          <w:p w14:paraId="06F71207">
            <w:pPr>
              <w:pStyle w:val="6"/>
              <w:spacing w:before="107" w:line="175" w:lineRule="auto"/>
              <w:ind w:left="21"/>
              <w:rPr>
                <w:sz w:val="18"/>
                <w:szCs w:val="18"/>
              </w:rPr>
            </w:pPr>
            <w:r>
              <w:rPr>
                <w:b/>
                <w:bCs/>
                <w:spacing w:val="-2"/>
                <w:sz w:val="18"/>
                <w:szCs w:val="18"/>
              </w:rPr>
              <w:t>B</w:t>
            </w:r>
          </w:p>
        </w:tc>
        <w:tc>
          <w:tcPr>
            <w:tcW w:w="229" w:type="dxa"/>
            <w:vAlign w:val="top"/>
          </w:tcPr>
          <w:p w14:paraId="5ED7C2B7">
            <w:pPr>
              <w:pStyle w:val="6"/>
              <w:spacing w:before="104" w:line="178" w:lineRule="auto"/>
              <w:ind w:left="21"/>
              <w:rPr>
                <w:sz w:val="18"/>
                <w:szCs w:val="18"/>
              </w:rPr>
            </w:pPr>
            <w:r>
              <w:rPr>
                <w:b/>
                <w:bCs/>
                <w:spacing w:val="-2"/>
                <w:sz w:val="18"/>
                <w:szCs w:val="18"/>
              </w:rPr>
              <w:t>C</w:t>
            </w:r>
          </w:p>
        </w:tc>
        <w:tc>
          <w:tcPr>
            <w:tcW w:w="224" w:type="dxa"/>
            <w:vAlign w:val="top"/>
          </w:tcPr>
          <w:p w14:paraId="07E5B21E">
            <w:pPr>
              <w:pStyle w:val="6"/>
              <w:spacing w:before="114" w:line="182" w:lineRule="auto"/>
              <w:ind w:left="22"/>
              <w:rPr>
                <w:sz w:val="14"/>
                <w:szCs w:val="14"/>
              </w:rPr>
            </w:pPr>
            <w:r>
              <w:rPr>
                <w:b/>
                <w:bCs/>
                <w:spacing w:val="-2"/>
                <w:sz w:val="14"/>
                <w:szCs w:val="14"/>
              </w:rPr>
              <w:t>D</w:t>
            </w:r>
          </w:p>
        </w:tc>
      </w:tr>
      <w:tr w14:paraId="49F764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48" w:hRule="atLeast"/>
        </w:trPr>
        <w:tc>
          <w:tcPr>
            <w:tcW w:w="903" w:type="dxa"/>
            <w:vAlign w:val="top"/>
          </w:tcPr>
          <w:p w14:paraId="6CBA7220">
            <w:pPr>
              <w:spacing w:line="387" w:lineRule="auto"/>
              <w:rPr>
                <w:rFonts w:ascii="Arial"/>
                <w:sz w:val="21"/>
              </w:rPr>
            </w:pPr>
          </w:p>
          <w:p w14:paraId="75F452EF">
            <w:pPr>
              <w:pStyle w:val="6"/>
              <w:spacing w:before="59" w:line="213" w:lineRule="auto"/>
              <w:ind w:left="17" w:firstLine="68"/>
              <w:rPr>
                <w:sz w:val="18"/>
                <w:szCs w:val="18"/>
              </w:rPr>
            </w:pPr>
            <w:r>
              <w:rPr>
                <w:b/>
                <w:bCs/>
                <w:spacing w:val="-8"/>
                <w:sz w:val="18"/>
                <w:szCs w:val="18"/>
              </w:rPr>
              <w:t>项目一认</w:t>
            </w:r>
            <w:r>
              <w:rPr>
                <w:sz w:val="18"/>
                <w:szCs w:val="18"/>
              </w:rPr>
              <w:t xml:space="preserve">  </w:t>
            </w:r>
            <w:r>
              <w:rPr>
                <w:b/>
                <w:bCs/>
                <w:spacing w:val="-7"/>
                <w:sz w:val="18"/>
                <w:szCs w:val="18"/>
              </w:rPr>
              <w:t>识导游人员</w:t>
            </w:r>
          </w:p>
        </w:tc>
        <w:tc>
          <w:tcPr>
            <w:tcW w:w="2314" w:type="dxa"/>
            <w:vAlign w:val="top"/>
          </w:tcPr>
          <w:p w14:paraId="787859CB">
            <w:pPr>
              <w:pStyle w:val="6"/>
              <w:spacing w:before="119" w:line="217" w:lineRule="auto"/>
              <w:ind w:left="14"/>
              <w:rPr>
                <w:sz w:val="18"/>
                <w:szCs w:val="18"/>
              </w:rPr>
            </w:pPr>
            <w:r>
              <w:rPr>
                <w:b/>
                <w:bCs/>
                <w:spacing w:val="-6"/>
                <w:sz w:val="18"/>
                <w:szCs w:val="18"/>
              </w:rPr>
              <w:t>任务一导游人员的概念和分类</w:t>
            </w:r>
            <w:r>
              <w:rPr>
                <w:spacing w:val="1"/>
                <w:sz w:val="18"/>
                <w:szCs w:val="18"/>
              </w:rPr>
              <w:t xml:space="preserve"> </w:t>
            </w:r>
            <w:r>
              <w:rPr>
                <w:b/>
                <w:bCs/>
                <w:spacing w:val="-3"/>
                <w:sz w:val="18"/>
                <w:szCs w:val="18"/>
              </w:rPr>
              <w:t>任务二导游人员的职责</w:t>
            </w:r>
          </w:p>
          <w:p w14:paraId="41A09151">
            <w:pPr>
              <w:pStyle w:val="6"/>
              <w:spacing w:before="17" w:line="227" w:lineRule="auto"/>
              <w:ind w:left="14" w:right="135"/>
              <w:jc w:val="both"/>
              <w:rPr>
                <w:sz w:val="18"/>
                <w:szCs w:val="18"/>
              </w:rPr>
            </w:pPr>
            <w:r>
              <w:rPr>
                <w:b/>
                <w:bCs/>
                <w:spacing w:val="-3"/>
                <w:sz w:val="18"/>
                <w:szCs w:val="18"/>
              </w:rPr>
              <w:t>任务三导游人员的素质要求</w:t>
            </w:r>
            <w:r>
              <w:rPr>
                <w:spacing w:val="6"/>
                <w:sz w:val="18"/>
                <w:szCs w:val="18"/>
              </w:rPr>
              <w:t xml:space="preserve"> </w:t>
            </w:r>
            <w:r>
              <w:rPr>
                <w:b/>
                <w:bCs/>
                <w:spacing w:val="-3"/>
                <w:sz w:val="18"/>
                <w:szCs w:val="18"/>
              </w:rPr>
              <w:t>任务四导游领队引导文明旅</w:t>
            </w:r>
            <w:r>
              <w:rPr>
                <w:spacing w:val="6"/>
                <w:sz w:val="18"/>
                <w:szCs w:val="18"/>
              </w:rPr>
              <w:t xml:space="preserve"> </w:t>
            </w:r>
            <w:r>
              <w:rPr>
                <w:b/>
                <w:bCs/>
                <w:spacing w:val="-4"/>
                <w:sz w:val="18"/>
                <w:szCs w:val="18"/>
              </w:rPr>
              <w:t>游规范</w:t>
            </w:r>
          </w:p>
        </w:tc>
        <w:tc>
          <w:tcPr>
            <w:tcW w:w="229" w:type="dxa"/>
            <w:vAlign w:val="top"/>
          </w:tcPr>
          <w:p w14:paraId="0FBB9A2E">
            <w:pPr>
              <w:pStyle w:val="6"/>
              <w:spacing w:before="143" w:line="238" w:lineRule="auto"/>
              <w:ind w:left="18"/>
              <w:rPr>
                <w:sz w:val="14"/>
                <w:szCs w:val="14"/>
              </w:rPr>
            </w:pPr>
            <w:r>
              <w:rPr>
                <w:sz w:val="14"/>
                <w:szCs w:val="14"/>
              </w:rPr>
              <w:t>√</w:t>
            </w:r>
          </w:p>
        </w:tc>
        <w:tc>
          <w:tcPr>
            <w:tcW w:w="220" w:type="dxa"/>
            <w:vAlign w:val="top"/>
          </w:tcPr>
          <w:p w14:paraId="1358FFDD">
            <w:pPr>
              <w:rPr>
                <w:rFonts w:ascii="Arial"/>
                <w:sz w:val="21"/>
              </w:rPr>
            </w:pPr>
          </w:p>
        </w:tc>
        <w:tc>
          <w:tcPr>
            <w:tcW w:w="229" w:type="dxa"/>
            <w:vAlign w:val="top"/>
          </w:tcPr>
          <w:p w14:paraId="4E1D7968">
            <w:pPr>
              <w:rPr>
                <w:rFonts w:ascii="Arial"/>
                <w:sz w:val="21"/>
              </w:rPr>
            </w:pPr>
          </w:p>
        </w:tc>
        <w:tc>
          <w:tcPr>
            <w:tcW w:w="224" w:type="dxa"/>
            <w:vAlign w:val="top"/>
          </w:tcPr>
          <w:p w14:paraId="47F319AC">
            <w:pPr>
              <w:rPr>
                <w:rFonts w:ascii="Arial"/>
                <w:sz w:val="21"/>
              </w:rPr>
            </w:pPr>
          </w:p>
        </w:tc>
      </w:tr>
    </w:tbl>
    <w:p w14:paraId="7E5A8A8D">
      <w:pPr>
        <w:pStyle w:val="2"/>
        <w:spacing w:line="104" w:lineRule="auto"/>
        <w:rPr>
          <w:sz w:val="2"/>
        </w:rPr>
      </w:pPr>
    </w:p>
    <w:p w14:paraId="4D566915">
      <w:pPr>
        <w:pStyle w:val="2"/>
        <w:spacing w:line="14" w:lineRule="auto"/>
        <w:rPr>
          <w:sz w:val="2"/>
        </w:rPr>
      </w:pPr>
      <w:r>
        <w:rPr>
          <w:sz w:val="2"/>
          <w:szCs w:val="2"/>
        </w:rPr>
        <w:br w:type="column"/>
      </w:r>
    </w:p>
    <w:p w14:paraId="41A7110A">
      <w:pPr>
        <w:spacing w:line="219" w:lineRule="auto"/>
        <w:ind w:left="1067"/>
        <w:rPr>
          <w:rFonts w:ascii="黑体" w:hAnsi="黑体" w:eastAsia="黑体" w:cs="黑体"/>
          <w:sz w:val="20"/>
          <w:szCs w:val="20"/>
        </w:rPr>
      </w:pPr>
      <w:r>
        <w:rPr>
          <w:rFonts w:ascii="黑体" w:hAnsi="黑体" w:eastAsia="黑体" w:cs="黑体"/>
          <w:b/>
          <w:bCs/>
          <w:spacing w:val="4"/>
          <w:sz w:val="20"/>
          <w:szCs w:val="20"/>
        </w:rPr>
        <w:t>模块二</w:t>
      </w:r>
      <w:r>
        <w:rPr>
          <w:rFonts w:ascii="黑体" w:hAnsi="黑体" w:eastAsia="黑体" w:cs="黑体"/>
          <w:spacing w:val="40"/>
          <w:sz w:val="20"/>
          <w:szCs w:val="20"/>
        </w:rPr>
        <w:t xml:space="preserve"> </w:t>
      </w:r>
      <w:r>
        <w:rPr>
          <w:rFonts w:ascii="黑体" w:hAnsi="黑体" w:eastAsia="黑体" w:cs="黑体"/>
          <w:b/>
          <w:bCs/>
          <w:spacing w:val="4"/>
          <w:sz w:val="20"/>
          <w:szCs w:val="20"/>
        </w:rPr>
        <w:t>导游服务程序</w:t>
      </w:r>
    </w:p>
    <w:p w14:paraId="73ACBB9B">
      <w:pPr>
        <w:spacing w:line="91" w:lineRule="exact"/>
      </w:pPr>
    </w:p>
    <w:tbl>
      <w:tblPr>
        <w:tblStyle w:val="5"/>
        <w:tblW w:w="411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83"/>
        <w:gridCol w:w="2314"/>
        <w:gridCol w:w="239"/>
        <w:gridCol w:w="220"/>
        <w:gridCol w:w="220"/>
        <w:gridCol w:w="234"/>
      </w:tblGrid>
      <w:tr w14:paraId="11AFD5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5" w:hRule="atLeast"/>
        </w:trPr>
        <w:tc>
          <w:tcPr>
            <w:tcW w:w="883" w:type="dxa"/>
            <w:vMerge w:val="restart"/>
            <w:tcBorders>
              <w:bottom w:val="nil"/>
            </w:tcBorders>
            <w:vAlign w:val="top"/>
          </w:tcPr>
          <w:p w14:paraId="0A2688DB">
            <w:pPr>
              <w:pStyle w:val="6"/>
              <w:spacing w:before="111" w:line="214" w:lineRule="auto"/>
              <w:ind w:left="257" w:right="1" w:hanging="240"/>
              <w:rPr>
                <w:sz w:val="18"/>
                <w:szCs w:val="18"/>
              </w:rPr>
            </w:pPr>
            <w:r>
              <w:rPr>
                <w:b/>
                <w:bCs/>
                <w:spacing w:val="-13"/>
                <w:sz w:val="18"/>
                <w:szCs w:val="18"/>
              </w:rPr>
              <w:t>知</w:t>
            </w:r>
            <w:r>
              <w:rPr>
                <w:b/>
                <w:bCs/>
                <w:spacing w:val="-12"/>
                <w:sz w:val="18"/>
                <w:szCs w:val="18"/>
              </w:rPr>
              <w:t>识与技</w:t>
            </w:r>
            <w:r>
              <w:rPr>
                <w:b/>
                <w:bCs/>
                <w:spacing w:val="-11"/>
                <w:sz w:val="18"/>
                <w:szCs w:val="18"/>
              </w:rPr>
              <w:t>能</w:t>
            </w:r>
            <w:r>
              <w:rPr>
                <w:spacing w:val="3"/>
                <w:sz w:val="18"/>
                <w:szCs w:val="18"/>
              </w:rPr>
              <w:t xml:space="preserve"> </w:t>
            </w:r>
            <w:r>
              <w:rPr>
                <w:b/>
                <w:bCs/>
                <w:spacing w:val="-4"/>
                <w:sz w:val="18"/>
                <w:szCs w:val="18"/>
              </w:rPr>
              <w:t>要点</w:t>
            </w:r>
          </w:p>
        </w:tc>
        <w:tc>
          <w:tcPr>
            <w:tcW w:w="2314" w:type="dxa"/>
            <w:vMerge w:val="restart"/>
            <w:tcBorders>
              <w:bottom w:val="nil"/>
            </w:tcBorders>
            <w:vAlign w:val="top"/>
          </w:tcPr>
          <w:p w14:paraId="4166F9C6">
            <w:pPr>
              <w:pStyle w:val="6"/>
              <w:spacing w:before="220" w:line="219" w:lineRule="auto"/>
              <w:ind w:left="824"/>
              <w:rPr>
                <w:sz w:val="18"/>
                <w:szCs w:val="18"/>
              </w:rPr>
            </w:pPr>
            <w:r>
              <w:rPr>
                <w:b/>
                <w:bCs/>
                <w:spacing w:val="5"/>
                <w:sz w:val="18"/>
                <w:szCs w:val="18"/>
              </w:rPr>
              <w:t>考试条目</w:t>
            </w:r>
          </w:p>
        </w:tc>
        <w:tc>
          <w:tcPr>
            <w:tcW w:w="913" w:type="dxa"/>
            <w:gridSpan w:val="4"/>
            <w:vAlign w:val="top"/>
          </w:tcPr>
          <w:p w14:paraId="56D90677">
            <w:pPr>
              <w:pStyle w:val="6"/>
              <w:spacing w:before="69" w:line="219" w:lineRule="auto"/>
              <w:ind w:left="150"/>
              <w:rPr>
                <w:sz w:val="18"/>
                <w:szCs w:val="18"/>
              </w:rPr>
            </w:pPr>
            <w:r>
              <w:rPr>
                <w:b/>
                <w:bCs/>
                <w:spacing w:val="-4"/>
                <w:sz w:val="18"/>
                <w:szCs w:val="18"/>
              </w:rPr>
              <w:t>考试水平</w:t>
            </w:r>
          </w:p>
        </w:tc>
      </w:tr>
      <w:tr w14:paraId="488805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0" w:hRule="atLeast"/>
        </w:trPr>
        <w:tc>
          <w:tcPr>
            <w:tcW w:w="883" w:type="dxa"/>
            <w:vMerge w:val="continue"/>
            <w:tcBorders>
              <w:top w:val="nil"/>
            </w:tcBorders>
            <w:vAlign w:val="top"/>
          </w:tcPr>
          <w:p w14:paraId="6DBDD47F">
            <w:pPr>
              <w:rPr>
                <w:rFonts w:ascii="Arial"/>
                <w:sz w:val="21"/>
              </w:rPr>
            </w:pPr>
          </w:p>
        </w:tc>
        <w:tc>
          <w:tcPr>
            <w:tcW w:w="2314" w:type="dxa"/>
            <w:vMerge w:val="continue"/>
            <w:tcBorders>
              <w:top w:val="nil"/>
            </w:tcBorders>
            <w:vAlign w:val="top"/>
          </w:tcPr>
          <w:p w14:paraId="762E0F63">
            <w:pPr>
              <w:rPr>
                <w:rFonts w:ascii="Arial"/>
                <w:sz w:val="21"/>
              </w:rPr>
            </w:pPr>
          </w:p>
        </w:tc>
        <w:tc>
          <w:tcPr>
            <w:tcW w:w="239" w:type="dxa"/>
            <w:vAlign w:val="top"/>
          </w:tcPr>
          <w:p w14:paraId="38A1BFB9">
            <w:pPr>
              <w:pStyle w:val="6"/>
              <w:spacing w:before="102" w:line="182" w:lineRule="auto"/>
              <w:ind w:left="20"/>
              <w:rPr>
                <w:sz w:val="18"/>
                <w:szCs w:val="18"/>
              </w:rPr>
            </w:pPr>
            <w:r>
              <w:rPr>
                <w:b/>
                <w:bCs/>
                <w:spacing w:val="-2"/>
                <w:sz w:val="18"/>
                <w:szCs w:val="18"/>
              </w:rPr>
              <w:t>A</w:t>
            </w:r>
          </w:p>
        </w:tc>
        <w:tc>
          <w:tcPr>
            <w:tcW w:w="220" w:type="dxa"/>
            <w:vAlign w:val="top"/>
          </w:tcPr>
          <w:p w14:paraId="37A38E07">
            <w:pPr>
              <w:pStyle w:val="6"/>
              <w:spacing w:before="105" w:line="179" w:lineRule="auto"/>
              <w:ind w:left="31"/>
              <w:rPr>
                <w:sz w:val="18"/>
                <w:szCs w:val="18"/>
              </w:rPr>
            </w:pPr>
            <w:r>
              <w:rPr>
                <w:b/>
                <w:bCs/>
                <w:spacing w:val="-2"/>
                <w:sz w:val="18"/>
                <w:szCs w:val="18"/>
              </w:rPr>
              <w:t>B</w:t>
            </w:r>
          </w:p>
        </w:tc>
        <w:tc>
          <w:tcPr>
            <w:tcW w:w="220" w:type="dxa"/>
            <w:vAlign w:val="top"/>
          </w:tcPr>
          <w:p w14:paraId="564A0079">
            <w:pPr>
              <w:pStyle w:val="6"/>
              <w:spacing w:before="102" w:line="182" w:lineRule="auto"/>
              <w:ind w:left="51"/>
              <w:rPr>
                <w:sz w:val="18"/>
                <w:szCs w:val="18"/>
              </w:rPr>
            </w:pPr>
            <w:r>
              <w:rPr>
                <w:b/>
                <w:bCs/>
                <w:spacing w:val="-2"/>
                <w:sz w:val="18"/>
                <w:szCs w:val="18"/>
              </w:rPr>
              <w:t>C</w:t>
            </w:r>
          </w:p>
        </w:tc>
        <w:tc>
          <w:tcPr>
            <w:tcW w:w="234" w:type="dxa"/>
            <w:vAlign w:val="top"/>
          </w:tcPr>
          <w:p w14:paraId="6F911E19">
            <w:pPr>
              <w:pStyle w:val="6"/>
              <w:spacing w:before="105" w:line="179" w:lineRule="auto"/>
              <w:ind w:left="71"/>
              <w:rPr>
                <w:sz w:val="18"/>
                <w:szCs w:val="18"/>
              </w:rPr>
            </w:pPr>
            <w:r>
              <w:rPr>
                <w:b/>
                <w:bCs/>
                <w:spacing w:val="-2"/>
                <w:sz w:val="18"/>
                <w:szCs w:val="18"/>
              </w:rPr>
              <w:t>D</w:t>
            </w:r>
          </w:p>
        </w:tc>
      </w:tr>
      <w:tr w14:paraId="6CADEA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47" w:hRule="atLeast"/>
        </w:trPr>
        <w:tc>
          <w:tcPr>
            <w:tcW w:w="883" w:type="dxa"/>
            <w:vAlign w:val="top"/>
          </w:tcPr>
          <w:p w14:paraId="7EDC89DB">
            <w:pPr>
              <w:spacing w:line="273" w:lineRule="auto"/>
              <w:rPr>
                <w:rFonts w:ascii="Arial"/>
                <w:sz w:val="21"/>
              </w:rPr>
            </w:pPr>
          </w:p>
          <w:p w14:paraId="5E03D383">
            <w:pPr>
              <w:spacing w:line="273" w:lineRule="auto"/>
              <w:rPr>
                <w:rFonts w:ascii="Arial"/>
                <w:sz w:val="21"/>
              </w:rPr>
            </w:pPr>
          </w:p>
          <w:p w14:paraId="7CD7A7DA">
            <w:pPr>
              <w:spacing w:line="273" w:lineRule="auto"/>
              <w:rPr>
                <w:rFonts w:ascii="Arial"/>
                <w:sz w:val="21"/>
              </w:rPr>
            </w:pPr>
          </w:p>
          <w:p w14:paraId="681671E3">
            <w:pPr>
              <w:spacing w:line="273" w:lineRule="auto"/>
              <w:rPr>
                <w:rFonts w:ascii="Arial"/>
                <w:sz w:val="21"/>
              </w:rPr>
            </w:pPr>
          </w:p>
          <w:p w14:paraId="7435A231">
            <w:pPr>
              <w:pStyle w:val="6"/>
              <w:spacing w:before="58" w:line="207" w:lineRule="auto"/>
              <w:ind w:left="15" w:firstLine="59"/>
              <w:rPr>
                <w:sz w:val="18"/>
                <w:szCs w:val="18"/>
              </w:rPr>
            </w:pPr>
            <w:r>
              <w:rPr>
                <w:spacing w:val="-3"/>
                <w:sz w:val="18"/>
                <w:szCs w:val="18"/>
              </w:rPr>
              <w:t>项目二地</w:t>
            </w:r>
            <w:r>
              <w:rPr>
                <w:sz w:val="18"/>
                <w:szCs w:val="18"/>
              </w:rPr>
              <w:t xml:space="preserve">  </w:t>
            </w:r>
            <w:r>
              <w:rPr>
                <w:spacing w:val="-9"/>
                <w:sz w:val="18"/>
                <w:szCs w:val="18"/>
              </w:rPr>
              <w:t>陪导游服务</w:t>
            </w:r>
          </w:p>
        </w:tc>
        <w:tc>
          <w:tcPr>
            <w:tcW w:w="2314" w:type="dxa"/>
            <w:vAlign w:val="top"/>
          </w:tcPr>
          <w:p w14:paraId="52AA0510">
            <w:pPr>
              <w:pStyle w:val="6"/>
              <w:spacing w:before="177" w:line="212" w:lineRule="auto"/>
              <w:ind w:left="12" w:right="1038"/>
              <w:rPr>
                <w:sz w:val="18"/>
                <w:szCs w:val="18"/>
              </w:rPr>
            </w:pPr>
            <w:r>
              <w:rPr>
                <w:spacing w:val="-1"/>
                <w:sz w:val="18"/>
                <w:szCs w:val="18"/>
              </w:rPr>
              <w:t>任务一服务准备</w:t>
            </w:r>
            <w:r>
              <w:rPr>
                <w:sz w:val="18"/>
                <w:szCs w:val="18"/>
              </w:rPr>
              <w:t xml:space="preserve"> </w:t>
            </w:r>
            <w:r>
              <w:rPr>
                <w:spacing w:val="-1"/>
                <w:sz w:val="18"/>
                <w:szCs w:val="18"/>
              </w:rPr>
              <w:t>任务二迎接服务</w:t>
            </w:r>
          </w:p>
          <w:p w14:paraId="5A66835B">
            <w:pPr>
              <w:pStyle w:val="6"/>
              <w:spacing w:before="16" w:line="215" w:lineRule="auto"/>
              <w:ind w:left="12"/>
              <w:rPr>
                <w:sz w:val="18"/>
                <w:szCs w:val="18"/>
              </w:rPr>
            </w:pPr>
            <w:r>
              <w:rPr>
                <w:spacing w:val="-1"/>
                <w:sz w:val="18"/>
                <w:szCs w:val="18"/>
              </w:rPr>
              <w:t>任务三入住饭店服务</w:t>
            </w:r>
          </w:p>
          <w:p w14:paraId="40D0C8B3">
            <w:pPr>
              <w:pStyle w:val="6"/>
              <w:spacing w:before="1" w:line="225" w:lineRule="auto"/>
              <w:ind w:left="12" w:right="498"/>
              <w:rPr>
                <w:sz w:val="18"/>
                <w:szCs w:val="18"/>
              </w:rPr>
            </w:pPr>
            <w:r>
              <w:rPr>
                <w:spacing w:val="-1"/>
                <w:sz w:val="18"/>
                <w:szCs w:val="18"/>
              </w:rPr>
              <w:t>任务四核对、商定日程</w:t>
            </w:r>
            <w:r>
              <w:rPr>
                <w:spacing w:val="2"/>
                <w:sz w:val="18"/>
                <w:szCs w:val="18"/>
              </w:rPr>
              <w:t xml:space="preserve"> </w:t>
            </w:r>
            <w:r>
              <w:rPr>
                <w:spacing w:val="-1"/>
                <w:sz w:val="18"/>
                <w:szCs w:val="18"/>
              </w:rPr>
              <w:t>任务五参观游览服务</w:t>
            </w:r>
          </w:p>
          <w:p w14:paraId="38A1BEEA">
            <w:pPr>
              <w:pStyle w:val="6"/>
              <w:spacing w:line="215" w:lineRule="auto"/>
              <w:ind w:left="12"/>
              <w:rPr>
                <w:sz w:val="18"/>
                <w:szCs w:val="18"/>
              </w:rPr>
            </w:pPr>
            <w:r>
              <w:rPr>
                <w:spacing w:val="-1"/>
                <w:sz w:val="18"/>
                <w:szCs w:val="18"/>
              </w:rPr>
              <w:t>任务六用餐服务</w:t>
            </w:r>
          </w:p>
          <w:p w14:paraId="4467D5D2">
            <w:pPr>
              <w:pStyle w:val="6"/>
              <w:spacing w:line="219" w:lineRule="auto"/>
              <w:ind w:left="12"/>
              <w:rPr>
                <w:sz w:val="18"/>
                <w:szCs w:val="18"/>
              </w:rPr>
            </w:pPr>
            <w:r>
              <w:rPr>
                <w:spacing w:val="-1"/>
                <w:sz w:val="18"/>
                <w:szCs w:val="18"/>
              </w:rPr>
              <w:t>任务七购物服务</w:t>
            </w:r>
          </w:p>
          <w:p w14:paraId="5C6E0A43">
            <w:pPr>
              <w:pStyle w:val="6"/>
              <w:spacing w:before="6" w:line="219" w:lineRule="auto"/>
              <w:ind w:left="12"/>
              <w:rPr>
                <w:sz w:val="18"/>
                <w:szCs w:val="18"/>
              </w:rPr>
            </w:pPr>
            <w:r>
              <w:rPr>
                <w:spacing w:val="-1"/>
                <w:sz w:val="18"/>
                <w:szCs w:val="18"/>
              </w:rPr>
              <w:t>任务八社交活动服务</w:t>
            </w:r>
          </w:p>
          <w:p w14:paraId="7309FA17">
            <w:pPr>
              <w:pStyle w:val="6"/>
              <w:spacing w:before="27" w:line="215" w:lineRule="auto"/>
              <w:ind w:left="12"/>
              <w:rPr>
                <w:sz w:val="18"/>
                <w:szCs w:val="18"/>
              </w:rPr>
            </w:pPr>
            <w:r>
              <w:rPr>
                <w:spacing w:val="-1"/>
                <w:sz w:val="18"/>
                <w:szCs w:val="18"/>
              </w:rPr>
              <w:t>任务九其他服务</w:t>
            </w:r>
          </w:p>
          <w:p w14:paraId="6E40C67E">
            <w:pPr>
              <w:pStyle w:val="6"/>
              <w:spacing w:line="219" w:lineRule="auto"/>
              <w:ind w:left="12"/>
              <w:rPr>
                <w:sz w:val="18"/>
                <w:szCs w:val="18"/>
              </w:rPr>
            </w:pPr>
            <w:r>
              <w:rPr>
                <w:spacing w:val="-1"/>
                <w:sz w:val="18"/>
                <w:szCs w:val="18"/>
              </w:rPr>
              <w:t>任务十送团服务</w:t>
            </w:r>
          </w:p>
          <w:p w14:paraId="20B4FD92">
            <w:pPr>
              <w:pStyle w:val="6"/>
              <w:spacing w:before="6" w:line="219" w:lineRule="auto"/>
              <w:ind w:left="12"/>
              <w:rPr>
                <w:sz w:val="18"/>
                <w:szCs w:val="18"/>
              </w:rPr>
            </w:pPr>
            <w:r>
              <w:rPr>
                <w:spacing w:val="-1"/>
                <w:sz w:val="18"/>
                <w:szCs w:val="18"/>
              </w:rPr>
              <w:t>任务十一后续工作</w:t>
            </w:r>
          </w:p>
        </w:tc>
        <w:tc>
          <w:tcPr>
            <w:tcW w:w="239" w:type="dxa"/>
            <w:vAlign w:val="top"/>
          </w:tcPr>
          <w:p w14:paraId="76EEC5C8">
            <w:pPr>
              <w:rPr>
                <w:rFonts w:ascii="Arial"/>
                <w:sz w:val="21"/>
              </w:rPr>
            </w:pPr>
          </w:p>
        </w:tc>
        <w:tc>
          <w:tcPr>
            <w:tcW w:w="220" w:type="dxa"/>
            <w:vAlign w:val="top"/>
          </w:tcPr>
          <w:p w14:paraId="6AA462C2">
            <w:pPr>
              <w:rPr>
                <w:rFonts w:ascii="Arial"/>
                <w:sz w:val="21"/>
              </w:rPr>
            </w:pPr>
          </w:p>
        </w:tc>
        <w:tc>
          <w:tcPr>
            <w:tcW w:w="220" w:type="dxa"/>
            <w:vAlign w:val="top"/>
          </w:tcPr>
          <w:p w14:paraId="4B0DE020">
            <w:pPr>
              <w:rPr>
                <w:rFonts w:ascii="Arial"/>
                <w:sz w:val="21"/>
              </w:rPr>
            </w:pPr>
          </w:p>
        </w:tc>
        <w:tc>
          <w:tcPr>
            <w:tcW w:w="234" w:type="dxa"/>
            <w:vAlign w:val="top"/>
          </w:tcPr>
          <w:p w14:paraId="1F7687E0">
            <w:pPr>
              <w:rPr>
                <w:rFonts w:ascii="Arial"/>
                <w:sz w:val="21"/>
              </w:rPr>
            </w:pPr>
          </w:p>
        </w:tc>
      </w:tr>
      <w:tr w14:paraId="52FDF0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718" w:hRule="atLeast"/>
        </w:trPr>
        <w:tc>
          <w:tcPr>
            <w:tcW w:w="883" w:type="dxa"/>
            <w:vAlign w:val="top"/>
          </w:tcPr>
          <w:p w14:paraId="33222C28">
            <w:pPr>
              <w:spacing w:line="304" w:lineRule="auto"/>
              <w:rPr>
                <w:rFonts w:ascii="Arial"/>
                <w:sz w:val="21"/>
              </w:rPr>
            </w:pPr>
          </w:p>
          <w:p w14:paraId="60CA27FC">
            <w:pPr>
              <w:spacing w:line="305" w:lineRule="auto"/>
              <w:rPr>
                <w:rFonts w:ascii="Arial"/>
                <w:sz w:val="21"/>
              </w:rPr>
            </w:pPr>
          </w:p>
          <w:p w14:paraId="621B2813">
            <w:pPr>
              <w:pStyle w:val="6"/>
              <w:spacing w:before="59" w:line="242" w:lineRule="auto"/>
              <w:ind w:left="15" w:firstLine="59"/>
              <w:rPr>
                <w:sz w:val="18"/>
                <w:szCs w:val="18"/>
              </w:rPr>
            </w:pPr>
            <w:r>
              <w:rPr>
                <w:spacing w:val="-3"/>
                <w:sz w:val="18"/>
                <w:szCs w:val="18"/>
              </w:rPr>
              <w:t>项目三全</w:t>
            </w:r>
            <w:r>
              <w:rPr>
                <w:sz w:val="18"/>
                <w:szCs w:val="18"/>
              </w:rPr>
              <w:t xml:space="preserve">  </w:t>
            </w:r>
            <w:r>
              <w:rPr>
                <w:spacing w:val="-9"/>
                <w:sz w:val="18"/>
                <w:szCs w:val="18"/>
              </w:rPr>
              <w:t>陪导游服务</w:t>
            </w:r>
          </w:p>
        </w:tc>
        <w:tc>
          <w:tcPr>
            <w:tcW w:w="2314" w:type="dxa"/>
            <w:vAlign w:val="top"/>
          </w:tcPr>
          <w:p w14:paraId="2C720E2B">
            <w:pPr>
              <w:pStyle w:val="6"/>
              <w:spacing w:before="139" w:line="219" w:lineRule="auto"/>
              <w:ind w:left="12" w:right="1038"/>
              <w:jc w:val="both"/>
              <w:rPr>
                <w:sz w:val="18"/>
                <w:szCs w:val="18"/>
              </w:rPr>
            </w:pPr>
            <w:r>
              <w:rPr>
                <w:spacing w:val="-1"/>
                <w:sz w:val="18"/>
                <w:szCs w:val="18"/>
              </w:rPr>
              <w:t>任务一服务准备</w:t>
            </w:r>
            <w:r>
              <w:rPr>
                <w:sz w:val="18"/>
                <w:szCs w:val="18"/>
              </w:rPr>
              <w:t xml:space="preserve"> </w:t>
            </w:r>
            <w:r>
              <w:rPr>
                <w:spacing w:val="-1"/>
                <w:sz w:val="18"/>
                <w:szCs w:val="18"/>
              </w:rPr>
              <w:t>任务二迎接服务</w:t>
            </w:r>
            <w:r>
              <w:rPr>
                <w:sz w:val="18"/>
                <w:szCs w:val="18"/>
              </w:rPr>
              <w:t xml:space="preserve"> </w:t>
            </w:r>
            <w:r>
              <w:rPr>
                <w:spacing w:val="-1"/>
                <w:sz w:val="18"/>
                <w:szCs w:val="18"/>
              </w:rPr>
              <w:t>任务三入店服务</w:t>
            </w:r>
          </w:p>
          <w:p w14:paraId="0EA1A7DE">
            <w:pPr>
              <w:pStyle w:val="6"/>
              <w:spacing w:line="219" w:lineRule="auto"/>
              <w:ind w:left="12"/>
              <w:rPr>
                <w:sz w:val="18"/>
                <w:szCs w:val="18"/>
              </w:rPr>
            </w:pPr>
            <w:r>
              <w:rPr>
                <w:spacing w:val="-1"/>
                <w:sz w:val="18"/>
                <w:szCs w:val="18"/>
              </w:rPr>
              <w:t>任务四核对、商定日程</w:t>
            </w:r>
          </w:p>
          <w:p w14:paraId="29A79AFF">
            <w:pPr>
              <w:pStyle w:val="6"/>
              <w:spacing w:before="27" w:line="223" w:lineRule="auto"/>
              <w:ind w:left="12" w:right="1038"/>
              <w:jc w:val="both"/>
              <w:rPr>
                <w:sz w:val="18"/>
                <w:szCs w:val="18"/>
              </w:rPr>
            </w:pPr>
            <w:r>
              <w:rPr>
                <w:spacing w:val="-1"/>
                <w:sz w:val="18"/>
                <w:szCs w:val="18"/>
              </w:rPr>
              <w:t>任务五各站服务</w:t>
            </w:r>
            <w:r>
              <w:rPr>
                <w:sz w:val="18"/>
                <w:szCs w:val="18"/>
              </w:rPr>
              <w:t xml:space="preserve"> </w:t>
            </w:r>
            <w:r>
              <w:rPr>
                <w:spacing w:val="-1"/>
                <w:sz w:val="18"/>
                <w:szCs w:val="18"/>
              </w:rPr>
              <w:t>任务六末站服务</w:t>
            </w:r>
            <w:r>
              <w:rPr>
                <w:sz w:val="18"/>
                <w:szCs w:val="18"/>
              </w:rPr>
              <w:t xml:space="preserve"> </w:t>
            </w:r>
            <w:r>
              <w:rPr>
                <w:spacing w:val="-1"/>
                <w:sz w:val="18"/>
                <w:szCs w:val="18"/>
              </w:rPr>
              <w:t>任务七后续工作</w:t>
            </w:r>
          </w:p>
        </w:tc>
        <w:tc>
          <w:tcPr>
            <w:tcW w:w="239" w:type="dxa"/>
            <w:vAlign w:val="top"/>
          </w:tcPr>
          <w:p w14:paraId="03CBEC5F">
            <w:pPr>
              <w:rPr>
                <w:rFonts w:ascii="Arial"/>
                <w:sz w:val="21"/>
              </w:rPr>
            </w:pPr>
          </w:p>
        </w:tc>
        <w:tc>
          <w:tcPr>
            <w:tcW w:w="220" w:type="dxa"/>
            <w:vAlign w:val="top"/>
          </w:tcPr>
          <w:p w14:paraId="39264D26">
            <w:pPr>
              <w:rPr>
                <w:rFonts w:ascii="Arial"/>
                <w:sz w:val="21"/>
              </w:rPr>
            </w:pPr>
          </w:p>
        </w:tc>
        <w:tc>
          <w:tcPr>
            <w:tcW w:w="220" w:type="dxa"/>
            <w:vAlign w:val="top"/>
          </w:tcPr>
          <w:p w14:paraId="30C76A24">
            <w:pPr>
              <w:rPr>
                <w:rFonts w:ascii="Arial"/>
                <w:sz w:val="21"/>
              </w:rPr>
            </w:pPr>
          </w:p>
        </w:tc>
        <w:tc>
          <w:tcPr>
            <w:tcW w:w="234" w:type="dxa"/>
            <w:vAlign w:val="top"/>
          </w:tcPr>
          <w:p w14:paraId="3D31CEAF">
            <w:pPr>
              <w:rPr>
                <w:rFonts w:ascii="Arial"/>
                <w:sz w:val="21"/>
              </w:rPr>
            </w:pPr>
          </w:p>
        </w:tc>
      </w:tr>
      <w:tr w14:paraId="6F9B7A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67" w:hRule="atLeast"/>
        </w:trPr>
        <w:tc>
          <w:tcPr>
            <w:tcW w:w="883" w:type="dxa"/>
            <w:vAlign w:val="top"/>
          </w:tcPr>
          <w:p w14:paraId="731E6D60">
            <w:pPr>
              <w:spacing w:line="250" w:lineRule="auto"/>
              <w:rPr>
                <w:rFonts w:ascii="Arial"/>
                <w:sz w:val="21"/>
              </w:rPr>
            </w:pPr>
          </w:p>
          <w:p w14:paraId="7B58840E">
            <w:pPr>
              <w:spacing w:line="250" w:lineRule="auto"/>
              <w:rPr>
                <w:rFonts w:ascii="Arial"/>
                <w:sz w:val="21"/>
              </w:rPr>
            </w:pPr>
          </w:p>
          <w:p w14:paraId="32398FDB">
            <w:pPr>
              <w:spacing w:line="250" w:lineRule="auto"/>
              <w:rPr>
                <w:rFonts w:ascii="Arial"/>
                <w:sz w:val="21"/>
              </w:rPr>
            </w:pPr>
          </w:p>
          <w:p w14:paraId="4C40A534">
            <w:pPr>
              <w:pStyle w:val="6"/>
              <w:spacing w:before="58" w:line="205" w:lineRule="auto"/>
              <w:ind w:left="75"/>
              <w:rPr>
                <w:sz w:val="18"/>
                <w:szCs w:val="18"/>
              </w:rPr>
            </w:pPr>
            <w:r>
              <w:rPr>
                <w:spacing w:val="5"/>
                <w:sz w:val="18"/>
                <w:szCs w:val="18"/>
              </w:rPr>
              <w:t>项目四出</w:t>
            </w:r>
          </w:p>
          <w:p w14:paraId="203EB28F">
            <w:pPr>
              <w:pStyle w:val="6"/>
              <w:spacing w:line="220" w:lineRule="auto"/>
              <w:ind w:left="75"/>
              <w:rPr>
                <w:sz w:val="18"/>
                <w:szCs w:val="18"/>
              </w:rPr>
            </w:pPr>
            <w:r>
              <w:rPr>
                <w:spacing w:val="-2"/>
                <w:sz w:val="18"/>
                <w:szCs w:val="18"/>
              </w:rPr>
              <w:t>境旅游领</w:t>
            </w:r>
          </w:p>
          <w:p w14:paraId="48AF4C54">
            <w:pPr>
              <w:pStyle w:val="6"/>
              <w:spacing w:before="24" w:line="219" w:lineRule="auto"/>
              <w:ind w:left="165"/>
              <w:rPr>
                <w:sz w:val="18"/>
                <w:szCs w:val="18"/>
              </w:rPr>
            </w:pPr>
            <w:r>
              <w:rPr>
                <w:spacing w:val="2"/>
                <w:sz w:val="18"/>
                <w:szCs w:val="18"/>
              </w:rPr>
              <w:t>队服务</w:t>
            </w:r>
          </w:p>
        </w:tc>
        <w:tc>
          <w:tcPr>
            <w:tcW w:w="2314" w:type="dxa"/>
            <w:vAlign w:val="top"/>
          </w:tcPr>
          <w:p w14:paraId="2E9E4FFE">
            <w:pPr>
              <w:pStyle w:val="6"/>
              <w:spacing w:before="132" w:line="219" w:lineRule="auto"/>
              <w:ind w:left="12"/>
              <w:rPr>
                <w:sz w:val="18"/>
                <w:szCs w:val="18"/>
              </w:rPr>
            </w:pPr>
            <w:r>
              <w:rPr>
                <w:spacing w:val="-1"/>
                <w:sz w:val="18"/>
                <w:szCs w:val="18"/>
              </w:rPr>
              <w:t>任务一服务准备</w:t>
            </w:r>
          </w:p>
          <w:p w14:paraId="787902F1">
            <w:pPr>
              <w:pStyle w:val="6"/>
              <w:spacing w:before="16" w:line="219" w:lineRule="auto"/>
              <w:ind w:left="12"/>
              <w:rPr>
                <w:sz w:val="18"/>
                <w:szCs w:val="18"/>
              </w:rPr>
            </w:pPr>
            <w:r>
              <w:rPr>
                <w:spacing w:val="-1"/>
                <w:sz w:val="18"/>
                <w:szCs w:val="18"/>
              </w:rPr>
              <w:t>任务二我国出境服务</w:t>
            </w:r>
          </w:p>
          <w:p w14:paraId="4803FC0A">
            <w:pPr>
              <w:pStyle w:val="6"/>
              <w:spacing w:before="5" w:line="221" w:lineRule="auto"/>
              <w:ind w:left="12" w:right="272"/>
              <w:rPr>
                <w:sz w:val="18"/>
                <w:szCs w:val="18"/>
              </w:rPr>
            </w:pPr>
            <w:r>
              <w:rPr>
                <w:spacing w:val="3"/>
                <w:sz w:val="18"/>
                <w:szCs w:val="18"/>
              </w:rPr>
              <w:t>任务三目的地国家(地区)</w:t>
            </w:r>
            <w:r>
              <w:rPr>
                <w:spacing w:val="2"/>
                <w:sz w:val="18"/>
                <w:szCs w:val="18"/>
              </w:rPr>
              <w:t xml:space="preserve"> </w:t>
            </w:r>
            <w:r>
              <w:rPr>
                <w:spacing w:val="-2"/>
                <w:sz w:val="18"/>
                <w:szCs w:val="18"/>
              </w:rPr>
              <w:t>入境服务</w:t>
            </w:r>
          </w:p>
          <w:p w14:paraId="1BBC01C9">
            <w:pPr>
              <w:pStyle w:val="6"/>
              <w:spacing w:line="215" w:lineRule="auto"/>
              <w:ind w:left="12"/>
              <w:rPr>
                <w:sz w:val="18"/>
                <w:szCs w:val="18"/>
              </w:rPr>
            </w:pPr>
            <w:r>
              <w:rPr>
                <w:spacing w:val="-1"/>
                <w:sz w:val="18"/>
                <w:szCs w:val="18"/>
              </w:rPr>
              <w:t>任务四境外服务</w:t>
            </w:r>
          </w:p>
          <w:p w14:paraId="1A7426D3">
            <w:pPr>
              <w:pStyle w:val="6"/>
              <w:spacing w:before="1" w:line="227" w:lineRule="auto"/>
              <w:ind w:left="12" w:right="272"/>
              <w:rPr>
                <w:sz w:val="18"/>
                <w:szCs w:val="18"/>
              </w:rPr>
            </w:pPr>
            <w:r>
              <w:rPr>
                <w:spacing w:val="3"/>
                <w:sz w:val="18"/>
                <w:szCs w:val="18"/>
              </w:rPr>
              <w:t>任务五目的地国家(地区)</w:t>
            </w:r>
            <w:r>
              <w:rPr>
                <w:spacing w:val="2"/>
                <w:sz w:val="18"/>
                <w:szCs w:val="18"/>
              </w:rPr>
              <w:t xml:space="preserve"> 出境服务</w:t>
            </w:r>
          </w:p>
          <w:p w14:paraId="68683C56">
            <w:pPr>
              <w:pStyle w:val="6"/>
              <w:spacing w:before="17" w:line="222" w:lineRule="auto"/>
              <w:ind w:left="12" w:right="678"/>
              <w:rPr>
                <w:sz w:val="18"/>
                <w:szCs w:val="18"/>
              </w:rPr>
            </w:pPr>
            <w:r>
              <w:rPr>
                <w:spacing w:val="-1"/>
                <w:sz w:val="18"/>
                <w:szCs w:val="18"/>
              </w:rPr>
              <w:t>任务六归国入境服务</w:t>
            </w:r>
            <w:r>
              <w:rPr>
                <w:spacing w:val="1"/>
                <w:sz w:val="18"/>
                <w:szCs w:val="18"/>
              </w:rPr>
              <w:t xml:space="preserve"> </w:t>
            </w:r>
            <w:r>
              <w:rPr>
                <w:spacing w:val="-1"/>
                <w:sz w:val="18"/>
                <w:szCs w:val="18"/>
              </w:rPr>
              <w:t>任务七后续工作</w:t>
            </w:r>
          </w:p>
        </w:tc>
        <w:tc>
          <w:tcPr>
            <w:tcW w:w="239" w:type="dxa"/>
            <w:vAlign w:val="top"/>
          </w:tcPr>
          <w:p w14:paraId="3EA36405">
            <w:pPr>
              <w:rPr>
                <w:rFonts w:ascii="Arial"/>
                <w:sz w:val="21"/>
              </w:rPr>
            </w:pPr>
          </w:p>
        </w:tc>
        <w:tc>
          <w:tcPr>
            <w:tcW w:w="220" w:type="dxa"/>
            <w:vAlign w:val="top"/>
          </w:tcPr>
          <w:p w14:paraId="10E233B9">
            <w:pPr>
              <w:rPr>
                <w:rFonts w:ascii="Arial"/>
                <w:sz w:val="21"/>
              </w:rPr>
            </w:pPr>
          </w:p>
        </w:tc>
        <w:tc>
          <w:tcPr>
            <w:tcW w:w="220" w:type="dxa"/>
            <w:vAlign w:val="top"/>
          </w:tcPr>
          <w:p w14:paraId="1610C0C5">
            <w:pPr>
              <w:rPr>
                <w:rFonts w:ascii="Arial"/>
                <w:sz w:val="21"/>
              </w:rPr>
            </w:pPr>
          </w:p>
        </w:tc>
        <w:tc>
          <w:tcPr>
            <w:tcW w:w="234" w:type="dxa"/>
            <w:vAlign w:val="top"/>
          </w:tcPr>
          <w:p w14:paraId="6D190F95">
            <w:pPr>
              <w:spacing w:line="319" w:lineRule="auto"/>
              <w:rPr>
                <w:rFonts w:ascii="Arial"/>
                <w:sz w:val="21"/>
              </w:rPr>
            </w:pPr>
          </w:p>
          <w:p w14:paraId="3CB9F4FA">
            <w:pPr>
              <w:pStyle w:val="6"/>
              <w:spacing w:before="42" w:line="238" w:lineRule="auto"/>
              <w:ind w:left="49"/>
              <w:rPr>
                <w:sz w:val="13"/>
                <w:szCs w:val="13"/>
              </w:rPr>
            </w:pPr>
            <w:r>
              <w:rPr>
                <w:sz w:val="13"/>
                <w:szCs w:val="13"/>
              </w:rPr>
              <w:t>√</w:t>
            </w:r>
          </w:p>
          <w:p w14:paraId="62ADE635">
            <w:pPr>
              <w:pStyle w:val="6"/>
              <w:spacing w:before="31" w:line="293" w:lineRule="auto"/>
              <w:ind w:left="49" w:right="82"/>
              <w:jc w:val="both"/>
              <w:rPr>
                <w:sz w:val="13"/>
                <w:szCs w:val="13"/>
              </w:rPr>
            </w:pPr>
            <w:r>
              <w:rPr>
                <w:spacing w:val="-38"/>
                <w:sz w:val="13"/>
                <w:szCs w:val="13"/>
              </w:rPr>
              <w:t>√</w:t>
            </w:r>
            <w:r>
              <w:rPr>
                <w:sz w:val="13"/>
                <w:szCs w:val="13"/>
              </w:rPr>
              <w:t xml:space="preserve"> </w:t>
            </w:r>
            <w:r>
              <w:rPr>
                <w:spacing w:val="-38"/>
                <w:sz w:val="13"/>
                <w:szCs w:val="13"/>
              </w:rPr>
              <w:t>√</w:t>
            </w:r>
            <w:r>
              <w:rPr>
                <w:sz w:val="13"/>
                <w:szCs w:val="13"/>
              </w:rPr>
              <w:t xml:space="preserve"> </w:t>
            </w:r>
            <w:r>
              <w:rPr>
                <w:spacing w:val="-38"/>
                <w:sz w:val="13"/>
                <w:szCs w:val="13"/>
              </w:rPr>
              <w:t>√</w:t>
            </w:r>
            <w:r>
              <w:rPr>
                <w:sz w:val="13"/>
                <w:szCs w:val="13"/>
              </w:rPr>
              <w:t xml:space="preserve"> </w:t>
            </w:r>
            <w:r>
              <w:rPr>
                <w:spacing w:val="-38"/>
                <w:sz w:val="13"/>
                <w:szCs w:val="13"/>
              </w:rPr>
              <w:t>√</w:t>
            </w:r>
            <w:r>
              <w:rPr>
                <w:sz w:val="13"/>
                <w:szCs w:val="13"/>
              </w:rPr>
              <w:t xml:space="preserve"> </w:t>
            </w:r>
            <w:r>
              <w:rPr>
                <w:spacing w:val="8"/>
                <w:w w:val="130"/>
                <w:sz w:val="13"/>
                <w:szCs w:val="13"/>
              </w:rPr>
              <w:t>V</w:t>
            </w:r>
          </w:p>
        </w:tc>
      </w:tr>
      <w:tr w14:paraId="3EE206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93" w:hRule="atLeast"/>
        </w:trPr>
        <w:tc>
          <w:tcPr>
            <w:tcW w:w="883" w:type="dxa"/>
            <w:vAlign w:val="top"/>
          </w:tcPr>
          <w:p w14:paraId="43323F68">
            <w:pPr>
              <w:spacing w:line="265" w:lineRule="auto"/>
              <w:rPr>
                <w:rFonts w:ascii="Arial"/>
                <w:sz w:val="21"/>
              </w:rPr>
            </w:pPr>
          </w:p>
          <w:p w14:paraId="61C2464C">
            <w:pPr>
              <w:pStyle w:val="6"/>
              <w:spacing w:before="58" w:line="219" w:lineRule="auto"/>
              <w:ind w:left="75"/>
              <w:rPr>
                <w:sz w:val="18"/>
                <w:szCs w:val="18"/>
              </w:rPr>
            </w:pPr>
            <w:r>
              <w:rPr>
                <w:spacing w:val="-2"/>
                <w:sz w:val="18"/>
                <w:szCs w:val="18"/>
              </w:rPr>
              <w:t>项目五散</w:t>
            </w:r>
          </w:p>
          <w:p w14:paraId="3A0A4246">
            <w:pPr>
              <w:pStyle w:val="6"/>
              <w:spacing w:before="6" w:line="215" w:lineRule="auto"/>
              <w:ind w:left="165"/>
              <w:rPr>
                <w:sz w:val="18"/>
                <w:szCs w:val="18"/>
              </w:rPr>
            </w:pPr>
            <w:r>
              <w:rPr>
                <w:spacing w:val="-2"/>
                <w:sz w:val="18"/>
                <w:szCs w:val="18"/>
              </w:rPr>
              <w:t>客导游</w:t>
            </w:r>
          </w:p>
          <w:p w14:paraId="475ABEBA">
            <w:pPr>
              <w:pStyle w:val="6"/>
              <w:spacing w:line="219" w:lineRule="auto"/>
              <w:ind w:left="254"/>
              <w:rPr>
                <w:sz w:val="18"/>
                <w:szCs w:val="18"/>
              </w:rPr>
            </w:pPr>
            <w:r>
              <w:rPr>
                <w:spacing w:val="-2"/>
                <w:sz w:val="18"/>
                <w:szCs w:val="18"/>
              </w:rPr>
              <w:t>服务</w:t>
            </w:r>
          </w:p>
        </w:tc>
        <w:tc>
          <w:tcPr>
            <w:tcW w:w="2314" w:type="dxa"/>
            <w:vAlign w:val="top"/>
          </w:tcPr>
          <w:p w14:paraId="542C53FD">
            <w:pPr>
              <w:pStyle w:val="6"/>
              <w:spacing w:before="216" w:line="216" w:lineRule="auto"/>
              <w:ind w:left="12" w:right="1038"/>
              <w:jc w:val="both"/>
              <w:rPr>
                <w:sz w:val="18"/>
                <w:szCs w:val="18"/>
              </w:rPr>
            </w:pPr>
            <w:r>
              <w:rPr>
                <w:spacing w:val="-1"/>
                <w:sz w:val="18"/>
                <w:szCs w:val="18"/>
              </w:rPr>
              <w:t>任务一迎接服务</w:t>
            </w:r>
            <w:r>
              <w:rPr>
                <w:sz w:val="18"/>
                <w:szCs w:val="18"/>
              </w:rPr>
              <w:t xml:space="preserve"> </w:t>
            </w:r>
            <w:r>
              <w:rPr>
                <w:spacing w:val="-1"/>
                <w:sz w:val="18"/>
                <w:szCs w:val="18"/>
              </w:rPr>
              <w:t>任务二导游服务</w:t>
            </w:r>
            <w:r>
              <w:rPr>
                <w:sz w:val="18"/>
                <w:szCs w:val="18"/>
              </w:rPr>
              <w:t xml:space="preserve"> </w:t>
            </w:r>
            <w:r>
              <w:rPr>
                <w:spacing w:val="-1"/>
                <w:sz w:val="18"/>
                <w:szCs w:val="18"/>
              </w:rPr>
              <w:t>任务三送站服务</w:t>
            </w:r>
            <w:r>
              <w:rPr>
                <w:sz w:val="18"/>
                <w:szCs w:val="18"/>
              </w:rPr>
              <w:t xml:space="preserve"> </w:t>
            </w:r>
            <w:r>
              <w:rPr>
                <w:spacing w:val="-1"/>
                <w:sz w:val="18"/>
                <w:szCs w:val="18"/>
              </w:rPr>
              <w:t>任务四后续工作</w:t>
            </w:r>
          </w:p>
        </w:tc>
        <w:tc>
          <w:tcPr>
            <w:tcW w:w="239" w:type="dxa"/>
            <w:vAlign w:val="top"/>
          </w:tcPr>
          <w:p w14:paraId="409614C7">
            <w:pPr>
              <w:rPr>
                <w:rFonts w:ascii="Arial"/>
                <w:sz w:val="21"/>
              </w:rPr>
            </w:pPr>
          </w:p>
        </w:tc>
        <w:tc>
          <w:tcPr>
            <w:tcW w:w="220" w:type="dxa"/>
            <w:vAlign w:val="top"/>
          </w:tcPr>
          <w:p w14:paraId="24FE9CF3">
            <w:pPr>
              <w:rPr>
                <w:rFonts w:ascii="Arial"/>
                <w:sz w:val="21"/>
              </w:rPr>
            </w:pPr>
          </w:p>
        </w:tc>
        <w:tc>
          <w:tcPr>
            <w:tcW w:w="220" w:type="dxa"/>
            <w:vAlign w:val="top"/>
          </w:tcPr>
          <w:p w14:paraId="4E79A70A">
            <w:pPr>
              <w:rPr>
                <w:rFonts w:ascii="Arial"/>
                <w:sz w:val="21"/>
              </w:rPr>
            </w:pPr>
          </w:p>
        </w:tc>
        <w:tc>
          <w:tcPr>
            <w:tcW w:w="234" w:type="dxa"/>
            <w:textDirection w:val="tbRl"/>
            <w:vAlign w:val="top"/>
          </w:tcPr>
          <w:p w14:paraId="6FB51FB7">
            <w:pPr>
              <w:pStyle w:val="6"/>
              <w:spacing w:before="34" w:line="176" w:lineRule="auto"/>
              <w:ind w:left="149"/>
              <w:rPr>
                <w:sz w:val="21"/>
                <w:szCs w:val="21"/>
              </w:rPr>
            </w:pPr>
            <w:r>
              <w:rPr>
                <w:spacing w:val="-3"/>
                <w:sz w:val="21"/>
                <w:szCs w:val="21"/>
              </w:rPr>
              <w:t>&gt;&gt;&gt;&gt;</w:t>
            </w:r>
          </w:p>
        </w:tc>
      </w:tr>
    </w:tbl>
    <w:p w14:paraId="1595D63D">
      <w:pPr>
        <w:spacing w:before="128" w:line="221" w:lineRule="auto"/>
        <w:ind w:left="1077"/>
        <w:rPr>
          <w:rFonts w:ascii="黑体" w:hAnsi="黑体" w:eastAsia="黑体" w:cs="黑体"/>
          <w:sz w:val="20"/>
          <w:szCs w:val="20"/>
        </w:rPr>
      </w:pPr>
      <w:r>
        <w:rPr>
          <w:rFonts w:ascii="黑体" w:hAnsi="黑体" w:eastAsia="黑体" w:cs="黑体"/>
          <w:b/>
          <w:bCs/>
          <w:spacing w:val="-4"/>
          <w:sz w:val="20"/>
          <w:szCs w:val="20"/>
        </w:rPr>
        <w:t>模块三</w:t>
      </w:r>
      <w:r>
        <w:rPr>
          <w:rFonts w:ascii="黑体" w:hAnsi="黑体" w:eastAsia="黑体" w:cs="黑体"/>
          <w:spacing w:val="86"/>
          <w:sz w:val="20"/>
          <w:szCs w:val="20"/>
        </w:rPr>
        <w:t xml:space="preserve"> </w:t>
      </w:r>
      <w:r>
        <w:rPr>
          <w:rFonts w:ascii="黑体" w:hAnsi="黑体" w:eastAsia="黑体" w:cs="黑体"/>
          <w:b/>
          <w:bCs/>
          <w:spacing w:val="-4"/>
          <w:sz w:val="20"/>
          <w:szCs w:val="20"/>
        </w:rPr>
        <w:t>导游服务技能</w:t>
      </w:r>
    </w:p>
    <w:p w14:paraId="502AA710">
      <w:pPr>
        <w:spacing w:line="72" w:lineRule="exact"/>
      </w:pPr>
    </w:p>
    <w:tbl>
      <w:tblPr>
        <w:tblStyle w:val="5"/>
        <w:tblW w:w="413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03"/>
        <w:gridCol w:w="2314"/>
        <w:gridCol w:w="229"/>
        <w:gridCol w:w="230"/>
        <w:gridCol w:w="220"/>
        <w:gridCol w:w="234"/>
      </w:tblGrid>
      <w:tr w14:paraId="1FF58B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9" w:hRule="atLeast"/>
        </w:trPr>
        <w:tc>
          <w:tcPr>
            <w:tcW w:w="903" w:type="dxa"/>
            <w:vMerge w:val="restart"/>
            <w:tcBorders>
              <w:top w:val="single" w:color="000000" w:sz="2" w:space="0"/>
              <w:bottom w:val="nil"/>
            </w:tcBorders>
            <w:vAlign w:val="top"/>
          </w:tcPr>
          <w:p w14:paraId="7A0AA4B6">
            <w:pPr>
              <w:pStyle w:val="6"/>
              <w:spacing w:before="135" w:line="225" w:lineRule="auto"/>
              <w:ind w:left="263" w:hanging="246"/>
              <w:rPr>
                <w:sz w:val="18"/>
                <w:szCs w:val="18"/>
              </w:rPr>
            </w:pPr>
            <w:r>
              <w:rPr>
                <w:b/>
                <w:bCs/>
                <w:spacing w:val="-7"/>
                <w:sz w:val="18"/>
                <w:szCs w:val="18"/>
              </w:rPr>
              <w:t>知识与技能</w:t>
            </w:r>
            <w:r>
              <w:rPr>
                <w:sz w:val="18"/>
                <w:szCs w:val="18"/>
              </w:rPr>
              <w:t xml:space="preserve"> </w:t>
            </w:r>
            <w:r>
              <w:rPr>
                <w:b/>
                <w:bCs/>
                <w:spacing w:val="-6"/>
                <w:sz w:val="18"/>
                <w:szCs w:val="18"/>
              </w:rPr>
              <w:t>要点</w:t>
            </w:r>
          </w:p>
        </w:tc>
        <w:tc>
          <w:tcPr>
            <w:tcW w:w="2314" w:type="dxa"/>
            <w:vMerge w:val="restart"/>
            <w:tcBorders>
              <w:top w:val="single" w:color="000000" w:sz="2" w:space="0"/>
              <w:bottom w:val="nil"/>
            </w:tcBorders>
            <w:vAlign w:val="top"/>
          </w:tcPr>
          <w:p w14:paraId="26D6821D">
            <w:pPr>
              <w:pStyle w:val="6"/>
              <w:spacing w:before="244" w:line="219" w:lineRule="auto"/>
              <w:ind w:left="824"/>
              <w:rPr>
                <w:sz w:val="18"/>
                <w:szCs w:val="18"/>
              </w:rPr>
            </w:pPr>
            <w:r>
              <w:rPr>
                <w:b/>
                <w:bCs/>
                <w:spacing w:val="5"/>
                <w:sz w:val="18"/>
                <w:szCs w:val="18"/>
              </w:rPr>
              <w:t>考试条目</w:t>
            </w:r>
          </w:p>
        </w:tc>
        <w:tc>
          <w:tcPr>
            <w:tcW w:w="913" w:type="dxa"/>
            <w:gridSpan w:val="4"/>
            <w:tcBorders>
              <w:top w:val="single" w:color="000000" w:sz="2" w:space="0"/>
              <w:bottom w:val="single" w:color="000000" w:sz="2" w:space="0"/>
            </w:tcBorders>
            <w:vAlign w:val="top"/>
          </w:tcPr>
          <w:p w14:paraId="34093DE8">
            <w:pPr>
              <w:pStyle w:val="6"/>
              <w:spacing w:before="84" w:line="219" w:lineRule="auto"/>
              <w:ind w:left="140"/>
              <w:rPr>
                <w:sz w:val="18"/>
                <w:szCs w:val="18"/>
              </w:rPr>
            </w:pPr>
            <w:r>
              <w:rPr>
                <w:b/>
                <w:bCs/>
                <w:spacing w:val="-4"/>
                <w:sz w:val="18"/>
                <w:szCs w:val="18"/>
              </w:rPr>
              <w:t>考试水平</w:t>
            </w:r>
          </w:p>
        </w:tc>
      </w:tr>
      <w:tr w14:paraId="02B608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4" w:hRule="atLeast"/>
        </w:trPr>
        <w:tc>
          <w:tcPr>
            <w:tcW w:w="903" w:type="dxa"/>
            <w:vMerge w:val="continue"/>
            <w:tcBorders>
              <w:top w:val="nil"/>
              <w:bottom w:val="single" w:color="000000" w:sz="2" w:space="0"/>
            </w:tcBorders>
            <w:vAlign w:val="top"/>
          </w:tcPr>
          <w:p w14:paraId="001A4483">
            <w:pPr>
              <w:rPr>
                <w:rFonts w:ascii="Arial"/>
                <w:sz w:val="21"/>
              </w:rPr>
            </w:pPr>
          </w:p>
        </w:tc>
        <w:tc>
          <w:tcPr>
            <w:tcW w:w="2314" w:type="dxa"/>
            <w:vMerge w:val="continue"/>
            <w:tcBorders>
              <w:top w:val="nil"/>
              <w:bottom w:val="single" w:color="000000" w:sz="2" w:space="0"/>
            </w:tcBorders>
            <w:vAlign w:val="top"/>
          </w:tcPr>
          <w:p w14:paraId="00E2626A">
            <w:pPr>
              <w:rPr>
                <w:rFonts w:ascii="Arial"/>
                <w:sz w:val="21"/>
              </w:rPr>
            </w:pPr>
          </w:p>
        </w:tc>
        <w:tc>
          <w:tcPr>
            <w:tcW w:w="229" w:type="dxa"/>
            <w:tcBorders>
              <w:top w:val="single" w:color="000000" w:sz="2" w:space="0"/>
              <w:bottom w:val="single" w:color="000000" w:sz="2" w:space="0"/>
            </w:tcBorders>
            <w:vAlign w:val="top"/>
          </w:tcPr>
          <w:p w14:paraId="1F971F14">
            <w:pPr>
              <w:pStyle w:val="6"/>
              <w:spacing w:before="118" w:line="184" w:lineRule="auto"/>
              <w:ind w:left="50"/>
              <w:rPr>
                <w:sz w:val="18"/>
                <w:szCs w:val="18"/>
              </w:rPr>
            </w:pPr>
            <w:r>
              <w:rPr>
                <w:b/>
                <w:bCs/>
                <w:spacing w:val="-2"/>
                <w:sz w:val="18"/>
                <w:szCs w:val="18"/>
              </w:rPr>
              <w:t>A</w:t>
            </w:r>
          </w:p>
        </w:tc>
        <w:tc>
          <w:tcPr>
            <w:tcW w:w="230" w:type="dxa"/>
            <w:tcBorders>
              <w:top w:val="single" w:color="000000" w:sz="2" w:space="0"/>
              <w:bottom w:val="single" w:color="000000" w:sz="2" w:space="0"/>
            </w:tcBorders>
            <w:vAlign w:val="top"/>
          </w:tcPr>
          <w:p w14:paraId="2C599DEA">
            <w:pPr>
              <w:pStyle w:val="6"/>
              <w:spacing w:before="120" w:line="182" w:lineRule="auto"/>
              <w:ind w:left="31"/>
              <w:rPr>
                <w:sz w:val="18"/>
                <w:szCs w:val="18"/>
              </w:rPr>
            </w:pPr>
            <w:r>
              <w:rPr>
                <w:b/>
                <w:bCs/>
                <w:spacing w:val="-2"/>
                <w:sz w:val="18"/>
                <w:szCs w:val="18"/>
              </w:rPr>
              <w:t>B</w:t>
            </w:r>
          </w:p>
        </w:tc>
        <w:tc>
          <w:tcPr>
            <w:tcW w:w="220" w:type="dxa"/>
            <w:tcBorders>
              <w:top w:val="single" w:color="000000" w:sz="2" w:space="0"/>
              <w:bottom w:val="single" w:color="000000" w:sz="2" w:space="0"/>
            </w:tcBorders>
            <w:vAlign w:val="top"/>
          </w:tcPr>
          <w:p w14:paraId="5B84288A">
            <w:pPr>
              <w:pStyle w:val="6"/>
              <w:spacing w:before="118" w:line="183" w:lineRule="auto"/>
              <w:ind w:left="51"/>
              <w:rPr>
                <w:sz w:val="18"/>
                <w:szCs w:val="18"/>
              </w:rPr>
            </w:pPr>
            <w:r>
              <w:rPr>
                <w:b/>
                <w:bCs/>
                <w:spacing w:val="-2"/>
                <w:sz w:val="18"/>
                <w:szCs w:val="18"/>
              </w:rPr>
              <w:t>C</w:t>
            </w:r>
          </w:p>
        </w:tc>
        <w:tc>
          <w:tcPr>
            <w:tcW w:w="234" w:type="dxa"/>
            <w:tcBorders>
              <w:top w:val="single" w:color="000000" w:sz="2" w:space="0"/>
              <w:bottom w:val="single" w:color="000000" w:sz="2" w:space="0"/>
            </w:tcBorders>
            <w:vAlign w:val="top"/>
          </w:tcPr>
          <w:p w14:paraId="2355D6C5">
            <w:pPr>
              <w:pStyle w:val="6"/>
              <w:spacing w:before="120" w:line="182" w:lineRule="auto"/>
              <w:ind w:left="31"/>
              <w:rPr>
                <w:sz w:val="18"/>
                <w:szCs w:val="18"/>
              </w:rPr>
            </w:pPr>
            <w:r>
              <w:rPr>
                <w:b/>
                <w:bCs/>
                <w:spacing w:val="-2"/>
                <w:sz w:val="18"/>
                <w:szCs w:val="18"/>
              </w:rPr>
              <w:t>D</w:t>
            </w:r>
          </w:p>
        </w:tc>
      </w:tr>
      <w:tr w14:paraId="2FA252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93" w:hRule="atLeast"/>
        </w:trPr>
        <w:tc>
          <w:tcPr>
            <w:tcW w:w="903" w:type="dxa"/>
            <w:tcBorders>
              <w:top w:val="single" w:color="000000" w:sz="2" w:space="0"/>
              <w:bottom w:val="single" w:color="000000" w:sz="2" w:space="0"/>
            </w:tcBorders>
            <w:vAlign w:val="top"/>
          </w:tcPr>
          <w:p w14:paraId="6CE33678">
            <w:pPr>
              <w:spacing w:line="392" w:lineRule="auto"/>
              <w:rPr>
                <w:rFonts w:ascii="Arial"/>
                <w:sz w:val="21"/>
              </w:rPr>
            </w:pPr>
          </w:p>
          <w:p w14:paraId="73F218BB">
            <w:pPr>
              <w:pStyle w:val="6"/>
              <w:spacing w:before="58" w:line="233" w:lineRule="auto"/>
              <w:ind w:left="15" w:right="1" w:firstLine="70"/>
              <w:rPr>
                <w:sz w:val="18"/>
                <w:szCs w:val="18"/>
              </w:rPr>
            </w:pPr>
            <w:r>
              <w:rPr>
                <w:spacing w:val="-3"/>
                <w:sz w:val="18"/>
                <w:szCs w:val="18"/>
              </w:rPr>
              <w:t>项目六带</w:t>
            </w:r>
            <w:r>
              <w:rPr>
                <w:sz w:val="18"/>
                <w:szCs w:val="18"/>
              </w:rPr>
              <w:t xml:space="preserve">  </w:t>
            </w:r>
            <w:r>
              <w:rPr>
                <w:spacing w:val="-5"/>
                <w:sz w:val="18"/>
                <w:szCs w:val="18"/>
              </w:rPr>
              <w:t>团服务要领</w:t>
            </w:r>
          </w:p>
        </w:tc>
        <w:tc>
          <w:tcPr>
            <w:tcW w:w="2314" w:type="dxa"/>
            <w:tcBorders>
              <w:top w:val="single" w:color="000000" w:sz="2" w:space="0"/>
              <w:bottom w:val="single" w:color="000000" w:sz="2" w:space="0"/>
            </w:tcBorders>
            <w:vAlign w:val="top"/>
          </w:tcPr>
          <w:p w14:paraId="4C75DFDF">
            <w:pPr>
              <w:pStyle w:val="6"/>
              <w:spacing w:before="244" w:line="219" w:lineRule="auto"/>
              <w:ind w:left="12"/>
              <w:rPr>
                <w:sz w:val="18"/>
                <w:szCs w:val="18"/>
              </w:rPr>
            </w:pPr>
            <w:r>
              <w:rPr>
                <w:spacing w:val="-1"/>
                <w:sz w:val="18"/>
                <w:szCs w:val="18"/>
              </w:rPr>
              <w:t>任务一带团服务要领</w:t>
            </w:r>
          </w:p>
          <w:p w14:paraId="531AD0A7">
            <w:pPr>
              <w:pStyle w:val="6"/>
              <w:spacing w:before="6" w:line="220" w:lineRule="auto"/>
              <w:ind w:left="12" w:right="318"/>
              <w:rPr>
                <w:sz w:val="18"/>
                <w:szCs w:val="18"/>
              </w:rPr>
            </w:pPr>
            <w:r>
              <w:rPr>
                <w:spacing w:val="-1"/>
                <w:sz w:val="18"/>
                <w:szCs w:val="18"/>
              </w:rPr>
              <w:t>任务二与游客交往的技能</w:t>
            </w:r>
            <w:r>
              <w:rPr>
                <w:spacing w:val="3"/>
                <w:sz w:val="18"/>
                <w:szCs w:val="18"/>
              </w:rPr>
              <w:t xml:space="preserve"> </w:t>
            </w:r>
            <w:r>
              <w:rPr>
                <w:spacing w:val="-1"/>
                <w:sz w:val="18"/>
                <w:szCs w:val="18"/>
              </w:rPr>
              <w:t>任务三团队协作技能</w:t>
            </w:r>
          </w:p>
          <w:p w14:paraId="112D31C2">
            <w:pPr>
              <w:pStyle w:val="6"/>
              <w:spacing w:line="219" w:lineRule="auto"/>
              <w:ind w:left="12"/>
              <w:rPr>
                <w:sz w:val="18"/>
                <w:szCs w:val="18"/>
              </w:rPr>
            </w:pPr>
            <w:r>
              <w:rPr>
                <w:spacing w:val="-1"/>
                <w:sz w:val="18"/>
                <w:szCs w:val="18"/>
              </w:rPr>
              <w:t>任务四个性化服务技能</w:t>
            </w:r>
          </w:p>
        </w:tc>
        <w:tc>
          <w:tcPr>
            <w:tcW w:w="229" w:type="dxa"/>
            <w:tcBorders>
              <w:top w:val="single" w:color="000000" w:sz="2" w:space="0"/>
              <w:bottom w:val="single" w:color="000000" w:sz="2" w:space="0"/>
            </w:tcBorders>
            <w:vAlign w:val="top"/>
          </w:tcPr>
          <w:p w14:paraId="72BE571B">
            <w:pPr>
              <w:rPr>
                <w:rFonts w:ascii="Arial"/>
                <w:sz w:val="21"/>
              </w:rPr>
            </w:pPr>
          </w:p>
        </w:tc>
        <w:tc>
          <w:tcPr>
            <w:tcW w:w="230" w:type="dxa"/>
            <w:tcBorders>
              <w:top w:val="single" w:color="000000" w:sz="2" w:space="0"/>
              <w:bottom w:val="single" w:color="000000" w:sz="2" w:space="0"/>
            </w:tcBorders>
            <w:vAlign w:val="top"/>
          </w:tcPr>
          <w:p w14:paraId="29CE662C">
            <w:pPr>
              <w:rPr>
                <w:rFonts w:ascii="Arial"/>
                <w:sz w:val="21"/>
              </w:rPr>
            </w:pPr>
          </w:p>
        </w:tc>
        <w:tc>
          <w:tcPr>
            <w:tcW w:w="220" w:type="dxa"/>
            <w:tcBorders>
              <w:top w:val="single" w:color="000000" w:sz="2" w:space="0"/>
              <w:bottom w:val="single" w:color="000000" w:sz="2" w:space="0"/>
            </w:tcBorders>
            <w:vAlign w:val="top"/>
          </w:tcPr>
          <w:p w14:paraId="545F0BAA">
            <w:pPr>
              <w:spacing w:line="421" w:lineRule="auto"/>
              <w:rPr>
                <w:rFonts w:ascii="Arial"/>
                <w:sz w:val="21"/>
              </w:rPr>
            </w:pPr>
          </w:p>
          <w:p w14:paraId="268F03CF">
            <w:pPr>
              <w:spacing w:line="613" w:lineRule="exact"/>
              <w:ind w:firstLine="23"/>
            </w:pPr>
            <w:r>
              <w:rPr>
                <w:position w:val="-12"/>
              </w:rPr>
              <w:drawing>
                <wp:inline distT="0" distB="0" distL="0" distR="0">
                  <wp:extent cx="103505" cy="388620"/>
                  <wp:effectExtent l="0" t="0" r="0" b="0"/>
                  <wp:docPr id="258" name="IM 258"/>
                  <wp:cNvGraphicFramePr/>
                  <a:graphic xmlns:a="http://schemas.openxmlformats.org/drawingml/2006/main">
                    <a:graphicData uri="http://schemas.openxmlformats.org/drawingml/2006/picture">
                      <pic:pic xmlns:pic="http://schemas.openxmlformats.org/drawingml/2006/picture">
                        <pic:nvPicPr>
                          <pic:cNvPr id="258" name="IM 258"/>
                          <pic:cNvPicPr/>
                        </pic:nvPicPr>
                        <pic:blipFill>
                          <a:blip r:embed="rId294"/>
                          <a:stretch>
                            <a:fillRect/>
                          </a:stretch>
                        </pic:blipFill>
                        <pic:spPr>
                          <a:xfrm>
                            <a:off x="0" y="0"/>
                            <a:ext cx="103605" cy="388920"/>
                          </a:xfrm>
                          <a:prstGeom prst="rect">
                            <a:avLst/>
                          </a:prstGeom>
                        </pic:spPr>
                      </pic:pic>
                    </a:graphicData>
                  </a:graphic>
                </wp:inline>
              </w:drawing>
            </w:r>
          </w:p>
        </w:tc>
        <w:tc>
          <w:tcPr>
            <w:tcW w:w="234" w:type="dxa"/>
            <w:tcBorders>
              <w:top w:val="single" w:color="000000" w:sz="2" w:space="0"/>
              <w:bottom w:val="single" w:color="000000" w:sz="2" w:space="0"/>
            </w:tcBorders>
            <w:vAlign w:val="top"/>
          </w:tcPr>
          <w:p w14:paraId="4ACB6826">
            <w:pPr>
              <w:rPr>
                <w:rFonts w:ascii="Arial"/>
                <w:sz w:val="21"/>
              </w:rPr>
            </w:pPr>
          </w:p>
        </w:tc>
      </w:tr>
      <w:tr w14:paraId="230F4C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87" w:hRule="atLeast"/>
        </w:trPr>
        <w:tc>
          <w:tcPr>
            <w:tcW w:w="903" w:type="dxa"/>
            <w:tcBorders>
              <w:top w:val="single" w:color="000000" w:sz="2" w:space="0"/>
              <w:bottom w:val="single" w:color="000000" w:sz="2" w:space="0"/>
            </w:tcBorders>
            <w:vAlign w:val="top"/>
          </w:tcPr>
          <w:p w14:paraId="206F019B">
            <w:pPr>
              <w:spacing w:line="355" w:lineRule="auto"/>
              <w:rPr>
                <w:rFonts w:ascii="Arial"/>
                <w:sz w:val="21"/>
              </w:rPr>
            </w:pPr>
          </w:p>
          <w:p w14:paraId="073F50DE">
            <w:pPr>
              <w:pStyle w:val="6"/>
              <w:spacing w:before="59" w:line="204" w:lineRule="auto"/>
              <w:ind w:left="85"/>
              <w:rPr>
                <w:sz w:val="18"/>
                <w:szCs w:val="18"/>
              </w:rPr>
            </w:pPr>
            <w:r>
              <w:rPr>
                <w:spacing w:val="-2"/>
                <w:sz w:val="18"/>
                <w:szCs w:val="18"/>
              </w:rPr>
              <w:t>项目七语</w:t>
            </w:r>
          </w:p>
          <w:p w14:paraId="308C0E12">
            <w:pPr>
              <w:pStyle w:val="6"/>
              <w:spacing w:line="219" w:lineRule="auto"/>
              <w:ind w:left="85"/>
              <w:rPr>
                <w:sz w:val="18"/>
                <w:szCs w:val="18"/>
              </w:rPr>
            </w:pPr>
            <w:r>
              <w:rPr>
                <w:spacing w:val="1"/>
                <w:sz w:val="18"/>
                <w:szCs w:val="18"/>
              </w:rPr>
              <w:t>言与讲解</w:t>
            </w:r>
          </w:p>
          <w:p w14:paraId="4A063E0B">
            <w:pPr>
              <w:pStyle w:val="6"/>
              <w:spacing w:before="17" w:line="221" w:lineRule="auto"/>
              <w:ind w:left="265"/>
              <w:rPr>
                <w:sz w:val="18"/>
                <w:szCs w:val="18"/>
              </w:rPr>
            </w:pPr>
            <w:r>
              <w:rPr>
                <w:spacing w:val="-2"/>
                <w:sz w:val="18"/>
                <w:szCs w:val="18"/>
              </w:rPr>
              <w:t>技能</w:t>
            </w:r>
          </w:p>
        </w:tc>
        <w:tc>
          <w:tcPr>
            <w:tcW w:w="2314" w:type="dxa"/>
            <w:tcBorders>
              <w:top w:val="single" w:color="000000" w:sz="2" w:space="0"/>
              <w:bottom w:val="single" w:color="000000" w:sz="2" w:space="0"/>
            </w:tcBorders>
            <w:vAlign w:val="top"/>
          </w:tcPr>
          <w:p w14:paraId="7A4CCF97">
            <w:pPr>
              <w:pStyle w:val="6"/>
              <w:spacing w:before="176" w:line="224" w:lineRule="auto"/>
              <w:ind w:left="12"/>
              <w:rPr>
                <w:sz w:val="18"/>
                <w:szCs w:val="18"/>
              </w:rPr>
            </w:pPr>
            <w:r>
              <w:rPr>
                <w:spacing w:val="-2"/>
                <w:sz w:val="18"/>
                <w:szCs w:val="18"/>
              </w:rPr>
              <w:t>任务一导游语言的基本要求</w:t>
            </w:r>
            <w:r>
              <w:rPr>
                <w:spacing w:val="4"/>
                <w:sz w:val="18"/>
                <w:szCs w:val="18"/>
              </w:rPr>
              <w:t xml:space="preserve">  </w:t>
            </w:r>
            <w:r>
              <w:rPr>
                <w:spacing w:val="-4"/>
                <w:sz w:val="18"/>
                <w:szCs w:val="18"/>
              </w:rPr>
              <w:t>任务二导游口头语言表达技巧</w:t>
            </w:r>
            <w:r>
              <w:rPr>
                <w:spacing w:val="2"/>
                <w:sz w:val="18"/>
                <w:szCs w:val="18"/>
              </w:rPr>
              <w:t xml:space="preserve"> </w:t>
            </w:r>
            <w:r>
              <w:rPr>
                <w:spacing w:val="-4"/>
                <w:sz w:val="18"/>
                <w:szCs w:val="18"/>
              </w:rPr>
              <w:t>任务三导游态势语言运用技巧</w:t>
            </w:r>
            <w:r>
              <w:rPr>
                <w:spacing w:val="2"/>
                <w:sz w:val="18"/>
                <w:szCs w:val="18"/>
              </w:rPr>
              <w:t xml:space="preserve"> </w:t>
            </w:r>
            <w:r>
              <w:rPr>
                <w:spacing w:val="-4"/>
                <w:sz w:val="18"/>
                <w:szCs w:val="18"/>
              </w:rPr>
              <w:t>任务四导游交际语言常用技巧</w:t>
            </w:r>
            <w:r>
              <w:rPr>
                <w:spacing w:val="2"/>
                <w:sz w:val="18"/>
                <w:szCs w:val="18"/>
              </w:rPr>
              <w:t xml:space="preserve"> </w:t>
            </w:r>
            <w:r>
              <w:rPr>
                <w:spacing w:val="-2"/>
                <w:sz w:val="18"/>
                <w:szCs w:val="18"/>
              </w:rPr>
              <w:t>任务五导游讲解常用方法</w:t>
            </w:r>
          </w:p>
        </w:tc>
        <w:tc>
          <w:tcPr>
            <w:tcW w:w="229" w:type="dxa"/>
            <w:tcBorders>
              <w:top w:val="single" w:color="000000" w:sz="2" w:space="0"/>
              <w:bottom w:val="single" w:color="000000" w:sz="2" w:space="0"/>
            </w:tcBorders>
            <w:vAlign w:val="top"/>
          </w:tcPr>
          <w:p w14:paraId="34429528">
            <w:pPr>
              <w:rPr>
                <w:rFonts w:ascii="Arial"/>
                <w:sz w:val="21"/>
              </w:rPr>
            </w:pPr>
          </w:p>
        </w:tc>
        <w:tc>
          <w:tcPr>
            <w:tcW w:w="230" w:type="dxa"/>
            <w:tcBorders>
              <w:top w:val="single" w:color="000000" w:sz="2" w:space="0"/>
              <w:bottom w:val="single" w:color="000000" w:sz="2" w:space="0"/>
            </w:tcBorders>
            <w:vAlign w:val="top"/>
          </w:tcPr>
          <w:p w14:paraId="4A8B0ABF">
            <w:pPr>
              <w:spacing w:before="190" w:line="321" w:lineRule="exact"/>
              <w:ind w:firstLine="43"/>
            </w:pPr>
            <w:r>
              <w:rPr>
                <w:position w:val="-6"/>
              </w:rPr>
              <w:drawing>
                <wp:inline distT="0" distB="0" distL="0" distR="0">
                  <wp:extent cx="94615" cy="203200"/>
                  <wp:effectExtent l="0" t="0" r="0" b="0"/>
                  <wp:docPr id="260" name="IM 260"/>
                  <wp:cNvGraphicFramePr/>
                  <a:graphic xmlns:a="http://schemas.openxmlformats.org/drawingml/2006/main">
                    <a:graphicData uri="http://schemas.openxmlformats.org/drawingml/2006/picture">
                      <pic:pic xmlns:pic="http://schemas.openxmlformats.org/drawingml/2006/picture">
                        <pic:nvPicPr>
                          <pic:cNvPr id="260" name="IM 260"/>
                          <pic:cNvPicPr/>
                        </pic:nvPicPr>
                        <pic:blipFill>
                          <a:blip r:embed="rId295"/>
                          <a:stretch>
                            <a:fillRect/>
                          </a:stretch>
                        </pic:blipFill>
                        <pic:spPr>
                          <a:xfrm>
                            <a:off x="0" y="0"/>
                            <a:ext cx="94803" cy="203823"/>
                          </a:xfrm>
                          <a:prstGeom prst="rect">
                            <a:avLst/>
                          </a:prstGeom>
                        </pic:spPr>
                      </pic:pic>
                    </a:graphicData>
                  </a:graphic>
                </wp:inline>
              </w:drawing>
            </w:r>
          </w:p>
        </w:tc>
        <w:tc>
          <w:tcPr>
            <w:tcW w:w="220" w:type="dxa"/>
            <w:tcBorders>
              <w:top w:val="single" w:color="000000" w:sz="2" w:space="0"/>
              <w:bottom w:val="single" w:color="000000" w:sz="2" w:space="0"/>
            </w:tcBorders>
            <w:vAlign w:val="top"/>
          </w:tcPr>
          <w:p w14:paraId="29157229">
            <w:pPr>
              <w:spacing w:line="323" w:lineRule="auto"/>
              <w:rPr>
                <w:rFonts w:ascii="Arial"/>
                <w:sz w:val="21"/>
              </w:rPr>
            </w:pPr>
          </w:p>
          <w:p w14:paraId="552E372F">
            <w:pPr>
              <w:spacing w:line="324" w:lineRule="auto"/>
              <w:rPr>
                <w:rFonts w:ascii="Arial"/>
                <w:sz w:val="21"/>
              </w:rPr>
            </w:pPr>
          </w:p>
          <w:p w14:paraId="7DBD8D3B">
            <w:pPr>
              <w:spacing w:line="321" w:lineRule="exact"/>
              <w:ind w:firstLine="41"/>
            </w:pPr>
            <w:r>
              <w:rPr>
                <w:position w:val="-6"/>
              </w:rPr>
              <w:drawing>
                <wp:inline distT="0" distB="0" distL="0" distR="0">
                  <wp:extent cx="92075" cy="203200"/>
                  <wp:effectExtent l="0" t="0" r="0" b="0"/>
                  <wp:docPr id="262" name="IM 262"/>
                  <wp:cNvGraphicFramePr/>
                  <a:graphic xmlns:a="http://schemas.openxmlformats.org/drawingml/2006/main">
                    <a:graphicData uri="http://schemas.openxmlformats.org/drawingml/2006/picture">
                      <pic:pic xmlns:pic="http://schemas.openxmlformats.org/drawingml/2006/picture">
                        <pic:nvPicPr>
                          <pic:cNvPr id="262" name="IM 262"/>
                          <pic:cNvPicPr/>
                        </pic:nvPicPr>
                        <pic:blipFill>
                          <a:blip r:embed="rId296"/>
                          <a:stretch>
                            <a:fillRect/>
                          </a:stretch>
                        </pic:blipFill>
                        <pic:spPr>
                          <a:xfrm>
                            <a:off x="0" y="0"/>
                            <a:ext cx="92093" cy="203824"/>
                          </a:xfrm>
                          <a:prstGeom prst="rect">
                            <a:avLst/>
                          </a:prstGeom>
                        </pic:spPr>
                      </pic:pic>
                    </a:graphicData>
                  </a:graphic>
                </wp:inline>
              </w:drawing>
            </w:r>
          </w:p>
        </w:tc>
        <w:tc>
          <w:tcPr>
            <w:tcW w:w="234" w:type="dxa"/>
            <w:tcBorders>
              <w:top w:val="single" w:color="000000" w:sz="2" w:space="0"/>
              <w:bottom w:val="single" w:color="000000" w:sz="2" w:space="0"/>
            </w:tcBorders>
            <w:vAlign w:val="top"/>
          </w:tcPr>
          <w:p w14:paraId="3E6B2780">
            <w:pPr>
              <w:rPr>
                <w:rFonts w:ascii="Arial"/>
                <w:sz w:val="21"/>
              </w:rPr>
            </w:pPr>
          </w:p>
        </w:tc>
      </w:tr>
    </w:tbl>
    <w:p w14:paraId="6EFA9242">
      <w:pPr>
        <w:pStyle w:val="2"/>
        <w:spacing w:line="14" w:lineRule="auto"/>
        <w:rPr>
          <w:sz w:val="2"/>
        </w:rPr>
      </w:pPr>
    </w:p>
    <w:p w14:paraId="1DBD1252">
      <w:pPr>
        <w:spacing w:line="14" w:lineRule="auto"/>
        <w:rPr>
          <w:sz w:val="2"/>
          <w:szCs w:val="2"/>
        </w:rPr>
        <w:sectPr>
          <w:type w:val="continuous"/>
          <w:pgSz w:w="10660" w:h="15080"/>
          <w:pgMar w:top="400" w:right="875" w:bottom="936" w:left="1024" w:header="0" w:footer="714" w:gutter="0"/>
          <w:cols w:equalWidth="0" w:num="2">
            <w:col w:w="4501" w:space="100"/>
            <w:col w:w="4160"/>
          </w:cols>
        </w:sectPr>
      </w:pPr>
    </w:p>
    <w:p w14:paraId="1BA97662">
      <w:pPr>
        <w:spacing w:before="10"/>
      </w:pPr>
    </w:p>
    <w:p w14:paraId="5E2A8353">
      <w:pPr>
        <w:spacing w:before="10"/>
      </w:pPr>
    </w:p>
    <w:p w14:paraId="37748BD5">
      <w:pPr>
        <w:spacing w:before="10"/>
      </w:pPr>
    </w:p>
    <w:p w14:paraId="6B41B4E3">
      <w:pPr>
        <w:spacing w:before="9"/>
      </w:pPr>
    </w:p>
    <w:p w14:paraId="3E089D08">
      <w:pPr>
        <w:sectPr>
          <w:footerReference r:id="rId52" w:type="default"/>
          <w:pgSz w:w="10660" w:h="15080"/>
          <w:pgMar w:top="400" w:right="980" w:bottom="927" w:left="819" w:header="0" w:footer="718" w:gutter="0"/>
          <w:cols w:equalWidth="0" w:num="1">
            <w:col w:w="8860"/>
          </w:cols>
        </w:sectPr>
      </w:pPr>
    </w:p>
    <w:tbl>
      <w:tblPr>
        <w:tblStyle w:val="5"/>
        <w:tblW w:w="4119"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24"/>
        <w:gridCol w:w="220"/>
        <w:gridCol w:w="229"/>
        <w:gridCol w:w="229"/>
        <w:gridCol w:w="224"/>
      </w:tblGrid>
      <w:tr w14:paraId="4C8F20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3" w:hRule="atLeast"/>
        </w:trPr>
        <w:tc>
          <w:tcPr>
            <w:tcW w:w="893" w:type="dxa"/>
            <w:vMerge w:val="restart"/>
            <w:tcBorders>
              <w:bottom w:val="nil"/>
            </w:tcBorders>
            <w:vAlign w:val="top"/>
          </w:tcPr>
          <w:p w14:paraId="2421C749">
            <w:pPr>
              <w:pStyle w:val="6"/>
              <w:spacing w:before="132" w:line="219" w:lineRule="auto"/>
              <w:ind w:left="257" w:right="1" w:hanging="240"/>
              <w:rPr>
                <w:sz w:val="18"/>
                <w:szCs w:val="18"/>
              </w:rPr>
            </w:pPr>
            <w:bookmarkStart w:id="37" w:name="bookmark33"/>
            <w:bookmarkEnd w:id="37"/>
            <w:r>
              <w:rPr>
                <w:b/>
                <w:bCs/>
                <w:spacing w:val="-10"/>
                <w:sz w:val="18"/>
                <w:szCs w:val="18"/>
              </w:rPr>
              <w:t>知识与技能</w:t>
            </w:r>
            <w:r>
              <w:rPr>
                <w:spacing w:val="3"/>
                <w:sz w:val="18"/>
                <w:szCs w:val="18"/>
              </w:rPr>
              <w:t xml:space="preserve"> </w:t>
            </w:r>
            <w:r>
              <w:rPr>
                <w:b/>
                <w:bCs/>
                <w:spacing w:val="-4"/>
                <w:sz w:val="18"/>
                <w:szCs w:val="18"/>
              </w:rPr>
              <w:t>要点</w:t>
            </w:r>
          </w:p>
        </w:tc>
        <w:tc>
          <w:tcPr>
            <w:tcW w:w="2324" w:type="dxa"/>
            <w:vMerge w:val="restart"/>
            <w:tcBorders>
              <w:bottom w:val="nil"/>
            </w:tcBorders>
            <w:vAlign w:val="top"/>
          </w:tcPr>
          <w:p w14:paraId="0BF5DE9A">
            <w:pPr>
              <w:pStyle w:val="6"/>
              <w:spacing w:before="239" w:line="219" w:lineRule="auto"/>
              <w:ind w:left="794"/>
              <w:rPr>
                <w:sz w:val="18"/>
                <w:szCs w:val="18"/>
              </w:rPr>
            </w:pPr>
            <w:r>
              <w:rPr>
                <w:b/>
                <w:bCs/>
                <w:spacing w:val="5"/>
                <w:sz w:val="18"/>
                <w:szCs w:val="18"/>
              </w:rPr>
              <w:t>考试条目</w:t>
            </w:r>
          </w:p>
        </w:tc>
        <w:tc>
          <w:tcPr>
            <w:tcW w:w="902" w:type="dxa"/>
            <w:gridSpan w:val="4"/>
            <w:vAlign w:val="top"/>
          </w:tcPr>
          <w:p w14:paraId="5B718006">
            <w:pPr>
              <w:pStyle w:val="6"/>
              <w:spacing w:before="79" w:line="219" w:lineRule="auto"/>
              <w:ind w:left="130"/>
              <w:rPr>
                <w:sz w:val="18"/>
                <w:szCs w:val="18"/>
              </w:rPr>
            </w:pPr>
            <w:r>
              <w:rPr>
                <w:b/>
                <w:bCs/>
                <w:spacing w:val="-4"/>
                <w:sz w:val="18"/>
                <w:szCs w:val="18"/>
              </w:rPr>
              <w:t>考试水平</w:t>
            </w:r>
          </w:p>
        </w:tc>
      </w:tr>
      <w:tr w14:paraId="08F203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8" w:hRule="atLeast"/>
        </w:trPr>
        <w:tc>
          <w:tcPr>
            <w:tcW w:w="893" w:type="dxa"/>
            <w:vMerge w:val="continue"/>
            <w:tcBorders>
              <w:top w:val="nil"/>
            </w:tcBorders>
            <w:vAlign w:val="top"/>
          </w:tcPr>
          <w:p w14:paraId="59DE856D">
            <w:pPr>
              <w:rPr>
                <w:rFonts w:ascii="Arial"/>
                <w:sz w:val="21"/>
              </w:rPr>
            </w:pPr>
          </w:p>
        </w:tc>
        <w:tc>
          <w:tcPr>
            <w:tcW w:w="2324" w:type="dxa"/>
            <w:vMerge w:val="continue"/>
            <w:tcBorders>
              <w:top w:val="nil"/>
            </w:tcBorders>
            <w:vAlign w:val="top"/>
          </w:tcPr>
          <w:p w14:paraId="27F0F33B">
            <w:pPr>
              <w:rPr>
                <w:rFonts w:ascii="Arial"/>
                <w:sz w:val="21"/>
              </w:rPr>
            </w:pPr>
          </w:p>
        </w:tc>
        <w:tc>
          <w:tcPr>
            <w:tcW w:w="220" w:type="dxa"/>
            <w:vAlign w:val="top"/>
          </w:tcPr>
          <w:p w14:paraId="22414D98">
            <w:pPr>
              <w:pStyle w:val="6"/>
              <w:spacing w:before="114" w:line="184" w:lineRule="auto"/>
              <w:ind w:left="20"/>
              <w:rPr>
                <w:sz w:val="18"/>
                <w:szCs w:val="18"/>
              </w:rPr>
            </w:pPr>
            <w:r>
              <w:rPr>
                <w:b/>
                <w:bCs/>
                <w:spacing w:val="-2"/>
                <w:sz w:val="18"/>
                <w:szCs w:val="18"/>
              </w:rPr>
              <w:t>A</w:t>
            </w:r>
          </w:p>
        </w:tc>
        <w:tc>
          <w:tcPr>
            <w:tcW w:w="229" w:type="dxa"/>
            <w:vAlign w:val="top"/>
          </w:tcPr>
          <w:p w14:paraId="5DCCE51A">
            <w:pPr>
              <w:pStyle w:val="6"/>
              <w:spacing w:before="116" w:line="182" w:lineRule="auto"/>
              <w:ind w:left="70"/>
              <w:rPr>
                <w:sz w:val="18"/>
                <w:szCs w:val="18"/>
              </w:rPr>
            </w:pPr>
            <w:r>
              <w:rPr>
                <w:b/>
                <w:bCs/>
                <w:spacing w:val="-2"/>
                <w:sz w:val="18"/>
                <w:szCs w:val="18"/>
              </w:rPr>
              <w:t>B</w:t>
            </w:r>
          </w:p>
        </w:tc>
        <w:tc>
          <w:tcPr>
            <w:tcW w:w="229" w:type="dxa"/>
            <w:vAlign w:val="top"/>
          </w:tcPr>
          <w:p w14:paraId="335B19EF">
            <w:pPr>
              <w:pStyle w:val="6"/>
              <w:spacing w:before="114" w:line="183" w:lineRule="auto"/>
              <w:ind w:left="21"/>
              <w:rPr>
                <w:sz w:val="18"/>
                <w:szCs w:val="18"/>
              </w:rPr>
            </w:pPr>
            <w:r>
              <w:rPr>
                <w:b/>
                <w:bCs/>
                <w:spacing w:val="-2"/>
                <w:sz w:val="18"/>
                <w:szCs w:val="18"/>
              </w:rPr>
              <w:t>C</w:t>
            </w:r>
          </w:p>
        </w:tc>
        <w:tc>
          <w:tcPr>
            <w:tcW w:w="224" w:type="dxa"/>
            <w:vAlign w:val="top"/>
          </w:tcPr>
          <w:p w14:paraId="61D274A2">
            <w:pPr>
              <w:pStyle w:val="6"/>
              <w:spacing w:before="116" w:line="182" w:lineRule="auto"/>
              <w:ind w:left="42"/>
              <w:rPr>
                <w:sz w:val="18"/>
                <w:szCs w:val="18"/>
              </w:rPr>
            </w:pPr>
            <w:r>
              <w:rPr>
                <w:b/>
                <w:bCs/>
                <w:spacing w:val="-2"/>
                <w:sz w:val="18"/>
                <w:szCs w:val="18"/>
              </w:rPr>
              <w:t>D</w:t>
            </w:r>
          </w:p>
        </w:tc>
      </w:tr>
      <w:tr w14:paraId="5987B3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98" w:hRule="atLeast"/>
        </w:trPr>
        <w:tc>
          <w:tcPr>
            <w:tcW w:w="893" w:type="dxa"/>
            <w:vAlign w:val="top"/>
          </w:tcPr>
          <w:p w14:paraId="2A1519D8">
            <w:pPr>
              <w:spacing w:line="249" w:lineRule="auto"/>
              <w:rPr>
                <w:rFonts w:ascii="Arial"/>
                <w:sz w:val="21"/>
              </w:rPr>
            </w:pPr>
          </w:p>
          <w:p w14:paraId="5C41EC94">
            <w:pPr>
              <w:spacing w:line="250" w:lineRule="auto"/>
              <w:rPr>
                <w:rFonts w:ascii="Arial"/>
                <w:sz w:val="21"/>
              </w:rPr>
            </w:pPr>
          </w:p>
          <w:p w14:paraId="7894AE9E">
            <w:pPr>
              <w:pStyle w:val="6"/>
              <w:spacing w:before="58" w:line="217" w:lineRule="auto"/>
              <w:ind w:left="77" w:right="93"/>
              <w:jc w:val="both"/>
              <w:rPr>
                <w:sz w:val="18"/>
                <w:szCs w:val="18"/>
              </w:rPr>
            </w:pPr>
            <w:r>
              <w:rPr>
                <w:b/>
                <w:bCs/>
                <w:spacing w:val="-5"/>
                <w:sz w:val="18"/>
                <w:szCs w:val="18"/>
              </w:rPr>
              <w:t>项目八游</w:t>
            </w:r>
            <w:r>
              <w:rPr>
                <w:spacing w:val="1"/>
                <w:sz w:val="18"/>
                <w:szCs w:val="18"/>
              </w:rPr>
              <w:t xml:space="preserve"> </w:t>
            </w:r>
            <w:r>
              <w:rPr>
                <w:b/>
                <w:bCs/>
                <w:spacing w:val="-5"/>
                <w:sz w:val="18"/>
                <w:szCs w:val="18"/>
              </w:rPr>
              <w:t>客个别要</w:t>
            </w:r>
            <w:r>
              <w:rPr>
                <w:spacing w:val="2"/>
                <w:sz w:val="18"/>
                <w:szCs w:val="18"/>
              </w:rPr>
              <w:t xml:space="preserve"> </w:t>
            </w:r>
            <w:r>
              <w:rPr>
                <w:b/>
                <w:bCs/>
                <w:spacing w:val="-5"/>
                <w:sz w:val="18"/>
                <w:szCs w:val="18"/>
              </w:rPr>
              <w:t>求的处理</w:t>
            </w:r>
          </w:p>
        </w:tc>
        <w:tc>
          <w:tcPr>
            <w:tcW w:w="2324" w:type="dxa"/>
            <w:vAlign w:val="top"/>
          </w:tcPr>
          <w:p w14:paraId="043ED50E">
            <w:pPr>
              <w:pStyle w:val="6"/>
              <w:spacing w:before="118" w:line="222" w:lineRule="auto"/>
              <w:ind w:left="14" w:right="85" w:firstLine="60"/>
              <w:rPr>
                <w:sz w:val="18"/>
                <w:szCs w:val="18"/>
              </w:rPr>
            </w:pPr>
            <w:r>
              <w:rPr>
                <w:b/>
                <w:bCs/>
                <w:spacing w:val="-3"/>
                <w:sz w:val="18"/>
                <w:szCs w:val="18"/>
              </w:rPr>
              <w:t>任务一处理游客个别要求的</w:t>
            </w:r>
            <w:r>
              <w:rPr>
                <w:spacing w:val="6"/>
                <w:sz w:val="18"/>
                <w:szCs w:val="18"/>
              </w:rPr>
              <w:t xml:space="preserve"> </w:t>
            </w:r>
            <w:r>
              <w:rPr>
                <w:b/>
                <w:bCs/>
                <w:spacing w:val="-4"/>
                <w:sz w:val="18"/>
                <w:szCs w:val="18"/>
              </w:rPr>
              <w:t>基本原则</w:t>
            </w:r>
          </w:p>
          <w:p w14:paraId="4BBE8C59">
            <w:pPr>
              <w:pStyle w:val="6"/>
              <w:spacing w:before="5" w:line="226" w:lineRule="auto"/>
              <w:ind w:left="34" w:right="85" w:firstLine="39"/>
              <w:jc w:val="both"/>
              <w:rPr>
                <w:sz w:val="18"/>
                <w:szCs w:val="18"/>
              </w:rPr>
            </w:pPr>
            <w:r>
              <w:rPr>
                <w:b/>
                <w:bCs/>
                <w:spacing w:val="-3"/>
                <w:sz w:val="18"/>
                <w:szCs w:val="18"/>
              </w:rPr>
              <w:t>任务二探亲访友要求的处理</w:t>
            </w:r>
            <w:r>
              <w:rPr>
                <w:spacing w:val="6"/>
                <w:sz w:val="18"/>
                <w:szCs w:val="18"/>
              </w:rPr>
              <w:t xml:space="preserve"> </w:t>
            </w:r>
            <w:r>
              <w:rPr>
                <w:b/>
                <w:bCs/>
                <w:sz w:val="18"/>
                <w:szCs w:val="18"/>
              </w:rPr>
              <w:t>任务三中途退团要求的处理</w:t>
            </w:r>
            <w:r>
              <w:rPr>
                <w:spacing w:val="9"/>
                <w:sz w:val="18"/>
                <w:szCs w:val="18"/>
              </w:rPr>
              <w:t xml:space="preserve"> </w:t>
            </w:r>
            <w:r>
              <w:rPr>
                <w:b/>
                <w:bCs/>
                <w:sz w:val="18"/>
                <w:szCs w:val="18"/>
              </w:rPr>
              <w:t>任务四延长旅游期限要求的</w:t>
            </w:r>
            <w:r>
              <w:rPr>
                <w:spacing w:val="9"/>
                <w:sz w:val="18"/>
                <w:szCs w:val="18"/>
              </w:rPr>
              <w:t xml:space="preserve"> </w:t>
            </w:r>
            <w:r>
              <w:rPr>
                <w:b/>
                <w:bCs/>
                <w:spacing w:val="-5"/>
                <w:sz w:val="18"/>
                <w:szCs w:val="18"/>
              </w:rPr>
              <w:t>处理</w:t>
            </w:r>
          </w:p>
          <w:p w14:paraId="00538C65">
            <w:pPr>
              <w:pStyle w:val="6"/>
              <w:spacing w:line="219" w:lineRule="auto"/>
              <w:ind w:left="74"/>
              <w:rPr>
                <w:sz w:val="18"/>
                <w:szCs w:val="18"/>
              </w:rPr>
            </w:pPr>
            <w:r>
              <w:rPr>
                <w:b/>
                <w:bCs/>
                <w:spacing w:val="-3"/>
                <w:sz w:val="18"/>
                <w:szCs w:val="18"/>
              </w:rPr>
              <w:t>任务五游客现场投诉的处理</w:t>
            </w:r>
          </w:p>
        </w:tc>
        <w:tc>
          <w:tcPr>
            <w:tcW w:w="220" w:type="dxa"/>
            <w:vAlign w:val="top"/>
          </w:tcPr>
          <w:p w14:paraId="1F220073">
            <w:pPr>
              <w:rPr>
                <w:rFonts w:ascii="Arial"/>
                <w:sz w:val="21"/>
              </w:rPr>
            </w:pPr>
          </w:p>
        </w:tc>
        <w:tc>
          <w:tcPr>
            <w:tcW w:w="229" w:type="dxa"/>
            <w:vAlign w:val="top"/>
          </w:tcPr>
          <w:p w14:paraId="6D0FEC6C">
            <w:pPr>
              <w:pStyle w:val="6"/>
              <w:spacing w:before="112" w:line="238" w:lineRule="auto"/>
              <w:ind w:left="47"/>
              <w:rPr>
                <w:sz w:val="13"/>
                <w:szCs w:val="13"/>
              </w:rPr>
            </w:pPr>
            <w:r>
              <w:rPr>
                <w:sz w:val="13"/>
                <w:szCs w:val="13"/>
              </w:rPr>
              <w:t>√</w:t>
            </w:r>
          </w:p>
        </w:tc>
        <w:tc>
          <w:tcPr>
            <w:tcW w:w="229" w:type="dxa"/>
            <w:vAlign w:val="top"/>
          </w:tcPr>
          <w:p w14:paraId="229D7ACB">
            <w:pPr>
              <w:rPr>
                <w:rFonts w:ascii="Arial"/>
                <w:sz w:val="21"/>
              </w:rPr>
            </w:pPr>
          </w:p>
        </w:tc>
        <w:tc>
          <w:tcPr>
            <w:tcW w:w="224" w:type="dxa"/>
            <w:vAlign w:val="top"/>
          </w:tcPr>
          <w:p w14:paraId="50A22D0D">
            <w:pPr>
              <w:rPr>
                <w:rFonts w:ascii="Arial"/>
                <w:sz w:val="21"/>
              </w:rPr>
            </w:pPr>
          </w:p>
        </w:tc>
      </w:tr>
    </w:tbl>
    <w:p w14:paraId="343C7108">
      <w:pPr>
        <w:spacing w:before="128" w:line="221" w:lineRule="auto"/>
        <w:ind w:left="432"/>
        <w:rPr>
          <w:rFonts w:ascii="黑体" w:hAnsi="黑体" w:eastAsia="黑体" w:cs="黑体"/>
          <w:sz w:val="20"/>
          <w:szCs w:val="20"/>
        </w:rPr>
      </w:pPr>
      <w:r>
        <w:rPr>
          <w:rFonts w:ascii="黑体" w:hAnsi="黑体" w:eastAsia="黑体" w:cs="黑体"/>
          <w:b/>
          <w:bCs/>
          <w:spacing w:val="-4"/>
          <w:sz w:val="20"/>
          <w:szCs w:val="20"/>
        </w:rPr>
        <w:t>模块四</w:t>
      </w:r>
      <w:r>
        <w:rPr>
          <w:rFonts w:ascii="黑体" w:hAnsi="黑体" w:eastAsia="黑体" w:cs="黑体"/>
          <w:spacing w:val="90"/>
          <w:sz w:val="20"/>
          <w:szCs w:val="20"/>
        </w:rPr>
        <w:t xml:space="preserve"> </w:t>
      </w:r>
      <w:r>
        <w:rPr>
          <w:rFonts w:ascii="黑体" w:hAnsi="黑体" w:eastAsia="黑体" w:cs="黑体"/>
          <w:b/>
          <w:bCs/>
          <w:spacing w:val="-4"/>
          <w:sz w:val="20"/>
          <w:szCs w:val="20"/>
        </w:rPr>
        <w:t>旅游问题和事故的预防与处理</w:t>
      </w:r>
    </w:p>
    <w:p w14:paraId="0EB96C73">
      <w:pPr>
        <w:spacing w:line="71" w:lineRule="exact"/>
      </w:pPr>
    </w:p>
    <w:tbl>
      <w:tblPr>
        <w:tblStyle w:val="5"/>
        <w:tblW w:w="4119"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24"/>
        <w:gridCol w:w="220"/>
        <w:gridCol w:w="229"/>
        <w:gridCol w:w="229"/>
        <w:gridCol w:w="224"/>
      </w:tblGrid>
      <w:tr w14:paraId="1EC261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4" w:hRule="atLeast"/>
        </w:trPr>
        <w:tc>
          <w:tcPr>
            <w:tcW w:w="893" w:type="dxa"/>
            <w:vMerge w:val="restart"/>
            <w:tcBorders>
              <w:bottom w:val="nil"/>
            </w:tcBorders>
            <w:vAlign w:val="top"/>
          </w:tcPr>
          <w:p w14:paraId="7D2A07DF">
            <w:pPr>
              <w:pStyle w:val="6"/>
              <w:spacing w:before="110" w:line="225" w:lineRule="auto"/>
              <w:ind w:left="257" w:right="1" w:hanging="240"/>
              <w:rPr>
                <w:sz w:val="18"/>
                <w:szCs w:val="18"/>
              </w:rPr>
            </w:pPr>
            <w:r>
              <w:rPr>
                <w:b/>
                <w:bCs/>
                <w:spacing w:val="-10"/>
                <w:sz w:val="18"/>
                <w:szCs w:val="18"/>
              </w:rPr>
              <w:t>知识与技能</w:t>
            </w:r>
            <w:r>
              <w:rPr>
                <w:spacing w:val="3"/>
                <w:sz w:val="18"/>
                <w:szCs w:val="18"/>
              </w:rPr>
              <w:t xml:space="preserve"> </w:t>
            </w:r>
            <w:r>
              <w:rPr>
                <w:b/>
                <w:bCs/>
                <w:spacing w:val="-4"/>
                <w:sz w:val="18"/>
                <w:szCs w:val="18"/>
              </w:rPr>
              <w:t>要点</w:t>
            </w:r>
          </w:p>
        </w:tc>
        <w:tc>
          <w:tcPr>
            <w:tcW w:w="2324" w:type="dxa"/>
            <w:vMerge w:val="restart"/>
            <w:tcBorders>
              <w:bottom w:val="nil"/>
            </w:tcBorders>
            <w:vAlign w:val="top"/>
          </w:tcPr>
          <w:p w14:paraId="7AFABFB4">
            <w:pPr>
              <w:pStyle w:val="6"/>
              <w:spacing w:before="229" w:line="219" w:lineRule="auto"/>
              <w:ind w:left="844"/>
              <w:rPr>
                <w:sz w:val="18"/>
                <w:szCs w:val="18"/>
              </w:rPr>
            </w:pPr>
            <w:r>
              <w:rPr>
                <w:b/>
                <w:bCs/>
                <w:spacing w:val="5"/>
                <w:sz w:val="18"/>
                <w:szCs w:val="18"/>
              </w:rPr>
              <w:t>考试条目</w:t>
            </w:r>
          </w:p>
        </w:tc>
        <w:tc>
          <w:tcPr>
            <w:tcW w:w="902" w:type="dxa"/>
            <w:gridSpan w:val="4"/>
            <w:vAlign w:val="top"/>
          </w:tcPr>
          <w:p w14:paraId="20DFC3FB">
            <w:pPr>
              <w:pStyle w:val="6"/>
              <w:spacing w:before="69" w:line="219" w:lineRule="auto"/>
              <w:ind w:left="140"/>
              <w:rPr>
                <w:sz w:val="18"/>
                <w:szCs w:val="18"/>
              </w:rPr>
            </w:pPr>
            <w:r>
              <w:rPr>
                <w:b/>
                <w:bCs/>
                <w:spacing w:val="-4"/>
                <w:sz w:val="18"/>
                <w:szCs w:val="18"/>
              </w:rPr>
              <w:t>考试水平</w:t>
            </w:r>
          </w:p>
        </w:tc>
      </w:tr>
      <w:tr w14:paraId="4ACE47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893" w:type="dxa"/>
            <w:vMerge w:val="continue"/>
            <w:tcBorders>
              <w:top w:val="nil"/>
            </w:tcBorders>
            <w:vAlign w:val="top"/>
          </w:tcPr>
          <w:p w14:paraId="4FC806FB">
            <w:pPr>
              <w:rPr>
                <w:rFonts w:ascii="Arial"/>
                <w:sz w:val="21"/>
              </w:rPr>
            </w:pPr>
          </w:p>
        </w:tc>
        <w:tc>
          <w:tcPr>
            <w:tcW w:w="2324" w:type="dxa"/>
            <w:vMerge w:val="continue"/>
            <w:tcBorders>
              <w:top w:val="nil"/>
            </w:tcBorders>
            <w:vAlign w:val="top"/>
          </w:tcPr>
          <w:p w14:paraId="76005D4B">
            <w:pPr>
              <w:rPr>
                <w:rFonts w:ascii="Arial"/>
                <w:sz w:val="21"/>
              </w:rPr>
            </w:pPr>
          </w:p>
        </w:tc>
        <w:tc>
          <w:tcPr>
            <w:tcW w:w="220" w:type="dxa"/>
            <w:vAlign w:val="top"/>
          </w:tcPr>
          <w:p w14:paraId="05587F10">
            <w:pPr>
              <w:pStyle w:val="6"/>
              <w:spacing w:before="103" w:line="184" w:lineRule="auto"/>
              <w:ind w:left="20"/>
              <w:rPr>
                <w:sz w:val="18"/>
                <w:szCs w:val="18"/>
              </w:rPr>
            </w:pPr>
            <w:r>
              <w:rPr>
                <w:b/>
                <w:bCs/>
                <w:spacing w:val="-2"/>
                <w:sz w:val="18"/>
                <w:szCs w:val="18"/>
              </w:rPr>
              <w:t>A</w:t>
            </w:r>
          </w:p>
        </w:tc>
        <w:tc>
          <w:tcPr>
            <w:tcW w:w="229" w:type="dxa"/>
            <w:vAlign w:val="top"/>
          </w:tcPr>
          <w:p w14:paraId="25FDC9F1">
            <w:pPr>
              <w:pStyle w:val="6"/>
              <w:spacing w:before="105" w:line="182" w:lineRule="auto"/>
              <w:ind w:left="20"/>
              <w:rPr>
                <w:sz w:val="18"/>
                <w:szCs w:val="18"/>
              </w:rPr>
            </w:pPr>
            <w:r>
              <w:rPr>
                <w:b/>
                <w:bCs/>
                <w:spacing w:val="-2"/>
                <w:sz w:val="18"/>
                <w:szCs w:val="18"/>
              </w:rPr>
              <w:t>B</w:t>
            </w:r>
          </w:p>
        </w:tc>
        <w:tc>
          <w:tcPr>
            <w:tcW w:w="229" w:type="dxa"/>
            <w:vAlign w:val="top"/>
          </w:tcPr>
          <w:p w14:paraId="0FB56DC7">
            <w:pPr>
              <w:pStyle w:val="6"/>
              <w:spacing w:before="103" w:line="183" w:lineRule="auto"/>
              <w:ind w:left="21"/>
              <w:rPr>
                <w:sz w:val="18"/>
                <w:szCs w:val="18"/>
              </w:rPr>
            </w:pPr>
            <w:r>
              <w:rPr>
                <w:b/>
                <w:bCs/>
                <w:spacing w:val="-2"/>
                <w:sz w:val="18"/>
                <w:szCs w:val="18"/>
              </w:rPr>
              <w:t>C</w:t>
            </w:r>
          </w:p>
        </w:tc>
        <w:tc>
          <w:tcPr>
            <w:tcW w:w="224" w:type="dxa"/>
            <w:vAlign w:val="top"/>
          </w:tcPr>
          <w:p w14:paraId="56A359CF">
            <w:pPr>
              <w:pStyle w:val="6"/>
              <w:spacing w:before="105" w:line="182" w:lineRule="auto"/>
              <w:ind w:left="39"/>
              <w:rPr>
                <w:sz w:val="18"/>
                <w:szCs w:val="18"/>
              </w:rPr>
            </w:pPr>
            <w:r>
              <w:rPr>
                <w:sz w:val="18"/>
                <w:szCs w:val="18"/>
              </w:rPr>
              <w:t>D</w:t>
            </w:r>
          </w:p>
        </w:tc>
      </w:tr>
      <w:tr w14:paraId="72120D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786" w:hRule="atLeast"/>
        </w:trPr>
        <w:tc>
          <w:tcPr>
            <w:tcW w:w="893" w:type="dxa"/>
            <w:vAlign w:val="top"/>
          </w:tcPr>
          <w:p w14:paraId="718CB6F5">
            <w:pPr>
              <w:spacing w:line="449" w:lineRule="auto"/>
              <w:rPr>
                <w:rFonts w:ascii="Arial"/>
                <w:sz w:val="21"/>
              </w:rPr>
            </w:pPr>
          </w:p>
          <w:p w14:paraId="4AEED9A1">
            <w:pPr>
              <w:pStyle w:val="6"/>
              <w:spacing w:before="58" w:line="204" w:lineRule="auto"/>
              <w:ind w:left="74"/>
              <w:rPr>
                <w:sz w:val="18"/>
                <w:szCs w:val="18"/>
              </w:rPr>
            </w:pPr>
            <w:r>
              <w:rPr>
                <w:spacing w:val="-2"/>
                <w:sz w:val="18"/>
                <w:szCs w:val="18"/>
              </w:rPr>
              <w:t>项目九旅</w:t>
            </w:r>
          </w:p>
          <w:p w14:paraId="519272B3">
            <w:pPr>
              <w:pStyle w:val="6"/>
              <w:spacing w:line="216" w:lineRule="auto"/>
              <w:ind w:left="74"/>
              <w:rPr>
                <w:sz w:val="18"/>
                <w:szCs w:val="18"/>
              </w:rPr>
            </w:pPr>
            <w:r>
              <w:rPr>
                <w:spacing w:val="-2"/>
                <w:sz w:val="18"/>
                <w:szCs w:val="18"/>
              </w:rPr>
              <w:t>游中常见</w:t>
            </w:r>
          </w:p>
          <w:p w14:paraId="123041CC">
            <w:pPr>
              <w:pStyle w:val="6"/>
              <w:spacing w:line="220" w:lineRule="auto"/>
              <w:ind w:left="74"/>
              <w:rPr>
                <w:sz w:val="18"/>
                <w:szCs w:val="18"/>
              </w:rPr>
            </w:pPr>
            <w:r>
              <w:rPr>
                <w:spacing w:val="2"/>
                <w:sz w:val="18"/>
                <w:szCs w:val="18"/>
              </w:rPr>
              <w:t>问题和事</w:t>
            </w:r>
          </w:p>
          <w:p w14:paraId="1A0C4FFF">
            <w:pPr>
              <w:pStyle w:val="6"/>
              <w:spacing w:before="25" w:line="220" w:lineRule="auto"/>
              <w:ind w:left="74"/>
              <w:rPr>
                <w:sz w:val="18"/>
                <w:szCs w:val="18"/>
              </w:rPr>
            </w:pPr>
            <w:r>
              <w:rPr>
                <w:spacing w:val="-2"/>
                <w:sz w:val="18"/>
                <w:szCs w:val="18"/>
              </w:rPr>
              <w:t>故的预防</w:t>
            </w:r>
          </w:p>
          <w:p w14:paraId="4DC1FAA6">
            <w:pPr>
              <w:pStyle w:val="6"/>
              <w:spacing w:before="7" w:line="221" w:lineRule="auto"/>
              <w:ind w:left="165"/>
              <w:rPr>
                <w:sz w:val="18"/>
                <w:szCs w:val="18"/>
              </w:rPr>
            </w:pPr>
            <w:r>
              <w:rPr>
                <w:spacing w:val="-3"/>
                <w:sz w:val="18"/>
                <w:szCs w:val="18"/>
              </w:rPr>
              <w:t>与处理</w:t>
            </w:r>
          </w:p>
        </w:tc>
        <w:tc>
          <w:tcPr>
            <w:tcW w:w="2324" w:type="dxa"/>
            <w:vAlign w:val="top"/>
          </w:tcPr>
          <w:p w14:paraId="158366E3">
            <w:pPr>
              <w:pStyle w:val="6"/>
              <w:spacing w:before="48" w:line="226" w:lineRule="auto"/>
              <w:ind w:left="11" w:right="148"/>
              <w:rPr>
                <w:sz w:val="18"/>
                <w:szCs w:val="18"/>
              </w:rPr>
            </w:pPr>
            <w:r>
              <w:rPr>
                <w:spacing w:val="-1"/>
                <w:sz w:val="18"/>
                <w:szCs w:val="18"/>
              </w:rPr>
              <w:t>任务一旅游计划、行程变更</w:t>
            </w:r>
            <w:r>
              <w:rPr>
                <w:spacing w:val="4"/>
                <w:sz w:val="18"/>
                <w:szCs w:val="18"/>
              </w:rPr>
              <w:t xml:space="preserve"> </w:t>
            </w:r>
            <w:r>
              <w:rPr>
                <w:spacing w:val="2"/>
                <w:sz w:val="18"/>
                <w:szCs w:val="18"/>
              </w:rPr>
              <w:t>的处理</w:t>
            </w:r>
          </w:p>
          <w:p w14:paraId="40E6A99B">
            <w:pPr>
              <w:pStyle w:val="6"/>
              <w:spacing w:line="220" w:lineRule="auto"/>
              <w:ind w:left="11" w:right="138" w:firstLine="10"/>
              <w:rPr>
                <w:sz w:val="18"/>
                <w:szCs w:val="18"/>
              </w:rPr>
            </w:pPr>
            <w:r>
              <w:rPr>
                <w:spacing w:val="-1"/>
                <w:sz w:val="18"/>
                <w:szCs w:val="18"/>
              </w:rPr>
              <w:t>任务二漏接、空接、错接旅</w:t>
            </w:r>
            <w:r>
              <w:rPr>
                <w:spacing w:val="4"/>
                <w:sz w:val="18"/>
                <w:szCs w:val="18"/>
              </w:rPr>
              <w:t xml:space="preserve"> </w:t>
            </w:r>
            <w:r>
              <w:rPr>
                <w:spacing w:val="-2"/>
                <w:sz w:val="18"/>
                <w:szCs w:val="18"/>
              </w:rPr>
              <w:t>游团的处理</w:t>
            </w:r>
          </w:p>
          <w:p w14:paraId="40791521">
            <w:pPr>
              <w:pStyle w:val="6"/>
              <w:spacing w:line="236" w:lineRule="auto"/>
              <w:ind w:left="11" w:right="23" w:firstLine="10"/>
              <w:rPr>
                <w:sz w:val="18"/>
                <w:szCs w:val="18"/>
              </w:rPr>
            </w:pPr>
            <w:r>
              <w:rPr>
                <w:spacing w:val="-11"/>
                <w:sz w:val="18"/>
                <w:szCs w:val="18"/>
              </w:rPr>
              <w:t>任</w:t>
            </w:r>
            <w:r>
              <w:rPr>
                <w:spacing w:val="-33"/>
                <w:sz w:val="18"/>
                <w:szCs w:val="18"/>
              </w:rPr>
              <w:t xml:space="preserve"> </w:t>
            </w:r>
            <w:r>
              <w:rPr>
                <w:spacing w:val="-11"/>
                <w:sz w:val="18"/>
                <w:szCs w:val="18"/>
              </w:rPr>
              <w:t>务</w:t>
            </w:r>
            <w:r>
              <w:rPr>
                <w:spacing w:val="-36"/>
                <w:sz w:val="18"/>
                <w:szCs w:val="18"/>
              </w:rPr>
              <w:t xml:space="preserve"> </w:t>
            </w:r>
            <w:r>
              <w:rPr>
                <w:spacing w:val="-11"/>
                <w:sz w:val="18"/>
                <w:szCs w:val="18"/>
              </w:rPr>
              <w:t>三</w:t>
            </w:r>
            <w:r>
              <w:rPr>
                <w:spacing w:val="-33"/>
                <w:sz w:val="18"/>
                <w:szCs w:val="18"/>
              </w:rPr>
              <w:t xml:space="preserve"> </w:t>
            </w:r>
            <w:r>
              <w:rPr>
                <w:spacing w:val="-11"/>
                <w:sz w:val="18"/>
                <w:szCs w:val="18"/>
              </w:rPr>
              <w:t>误</w:t>
            </w:r>
            <w:r>
              <w:rPr>
                <w:spacing w:val="-36"/>
                <w:sz w:val="18"/>
                <w:szCs w:val="18"/>
              </w:rPr>
              <w:t xml:space="preserve"> </w:t>
            </w:r>
            <w:r>
              <w:rPr>
                <w:spacing w:val="-11"/>
                <w:sz w:val="18"/>
                <w:szCs w:val="18"/>
              </w:rPr>
              <w:t>机 (</w:t>
            </w:r>
            <w:r>
              <w:rPr>
                <w:spacing w:val="-34"/>
                <w:sz w:val="18"/>
                <w:szCs w:val="18"/>
              </w:rPr>
              <w:t xml:space="preserve"> </w:t>
            </w:r>
            <w:r>
              <w:rPr>
                <w:spacing w:val="-11"/>
                <w:sz w:val="18"/>
                <w:szCs w:val="18"/>
              </w:rPr>
              <w:t>车</w:t>
            </w:r>
            <w:r>
              <w:rPr>
                <w:spacing w:val="-23"/>
                <w:sz w:val="18"/>
                <w:szCs w:val="18"/>
              </w:rPr>
              <w:t xml:space="preserve"> </w:t>
            </w:r>
            <w:r>
              <w:rPr>
                <w:spacing w:val="-11"/>
                <w:sz w:val="18"/>
                <w:szCs w:val="18"/>
              </w:rPr>
              <w:t>、</w:t>
            </w:r>
            <w:r>
              <w:rPr>
                <w:spacing w:val="-36"/>
                <w:sz w:val="18"/>
                <w:szCs w:val="18"/>
              </w:rPr>
              <w:t xml:space="preserve"> </w:t>
            </w:r>
            <w:r>
              <w:rPr>
                <w:spacing w:val="-11"/>
                <w:sz w:val="18"/>
                <w:szCs w:val="18"/>
              </w:rPr>
              <w:t>船</w:t>
            </w:r>
            <w:r>
              <w:rPr>
                <w:spacing w:val="-34"/>
                <w:sz w:val="18"/>
                <w:szCs w:val="18"/>
              </w:rPr>
              <w:t xml:space="preserve"> </w:t>
            </w:r>
            <w:r>
              <w:rPr>
                <w:spacing w:val="-11"/>
                <w:sz w:val="18"/>
                <w:szCs w:val="18"/>
              </w:rPr>
              <w:t>)</w:t>
            </w:r>
            <w:r>
              <w:rPr>
                <w:spacing w:val="-36"/>
                <w:sz w:val="18"/>
                <w:szCs w:val="18"/>
              </w:rPr>
              <w:t xml:space="preserve"> </w:t>
            </w:r>
            <w:r>
              <w:rPr>
                <w:spacing w:val="-11"/>
                <w:sz w:val="18"/>
                <w:szCs w:val="18"/>
              </w:rPr>
              <w:t>事</w:t>
            </w:r>
            <w:r>
              <w:rPr>
                <w:sz w:val="18"/>
                <w:szCs w:val="18"/>
              </w:rPr>
              <w:t xml:space="preserve"> </w:t>
            </w:r>
            <w:r>
              <w:rPr>
                <w:spacing w:val="-2"/>
                <w:sz w:val="18"/>
                <w:szCs w:val="18"/>
              </w:rPr>
              <w:t>故的处理</w:t>
            </w:r>
          </w:p>
          <w:p w14:paraId="4F2749E5">
            <w:pPr>
              <w:pStyle w:val="6"/>
              <w:spacing w:line="203" w:lineRule="auto"/>
              <w:ind w:left="11" w:right="148"/>
              <w:rPr>
                <w:sz w:val="18"/>
                <w:szCs w:val="18"/>
              </w:rPr>
            </w:pPr>
            <w:r>
              <w:rPr>
                <w:spacing w:val="-1"/>
                <w:sz w:val="18"/>
                <w:szCs w:val="18"/>
              </w:rPr>
              <w:t>任务四游客遗失财物的处理</w:t>
            </w:r>
            <w:r>
              <w:rPr>
                <w:spacing w:val="4"/>
                <w:sz w:val="18"/>
                <w:szCs w:val="18"/>
              </w:rPr>
              <w:t xml:space="preserve"> </w:t>
            </w:r>
            <w:r>
              <w:rPr>
                <w:spacing w:val="-1"/>
                <w:sz w:val="18"/>
                <w:szCs w:val="18"/>
              </w:rPr>
              <w:t>任务五游客走失的处理</w:t>
            </w:r>
          </w:p>
        </w:tc>
        <w:tc>
          <w:tcPr>
            <w:tcW w:w="220" w:type="dxa"/>
            <w:vAlign w:val="top"/>
          </w:tcPr>
          <w:p w14:paraId="4F3E80DD">
            <w:pPr>
              <w:rPr>
                <w:rFonts w:ascii="Arial"/>
                <w:sz w:val="21"/>
              </w:rPr>
            </w:pPr>
          </w:p>
        </w:tc>
        <w:tc>
          <w:tcPr>
            <w:tcW w:w="229" w:type="dxa"/>
            <w:vAlign w:val="top"/>
          </w:tcPr>
          <w:p w14:paraId="6B4309D2">
            <w:pPr>
              <w:rPr>
                <w:rFonts w:ascii="Arial"/>
                <w:sz w:val="21"/>
              </w:rPr>
            </w:pPr>
          </w:p>
        </w:tc>
        <w:tc>
          <w:tcPr>
            <w:tcW w:w="229" w:type="dxa"/>
            <w:vAlign w:val="top"/>
          </w:tcPr>
          <w:p w14:paraId="447B4EF4">
            <w:pPr>
              <w:rPr>
                <w:rFonts w:ascii="Arial"/>
                <w:sz w:val="21"/>
              </w:rPr>
            </w:pPr>
          </w:p>
        </w:tc>
        <w:tc>
          <w:tcPr>
            <w:tcW w:w="224" w:type="dxa"/>
            <w:vAlign w:val="top"/>
          </w:tcPr>
          <w:p w14:paraId="514645F3">
            <w:pPr>
              <w:pStyle w:val="6"/>
              <w:spacing w:before="60" w:line="238" w:lineRule="auto"/>
              <w:ind w:right="3"/>
              <w:jc w:val="right"/>
              <w:rPr>
                <w:sz w:val="13"/>
                <w:szCs w:val="13"/>
              </w:rPr>
            </w:pPr>
            <w:r>
              <w:rPr>
                <w:sz w:val="13"/>
                <w:szCs w:val="13"/>
              </w:rPr>
              <w:t>√</w:t>
            </w:r>
          </w:p>
        </w:tc>
      </w:tr>
      <w:tr w14:paraId="51114A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61" w:hRule="atLeast"/>
        </w:trPr>
        <w:tc>
          <w:tcPr>
            <w:tcW w:w="893" w:type="dxa"/>
            <w:vAlign w:val="top"/>
          </w:tcPr>
          <w:p w14:paraId="7033A86D">
            <w:pPr>
              <w:spacing w:line="313" w:lineRule="auto"/>
              <w:rPr>
                <w:rFonts w:ascii="Arial"/>
                <w:sz w:val="21"/>
              </w:rPr>
            </w:pPr>
          </w:p>
          <w:p w14:paraId="62F464A1">
            <w:pPr>
              <w:pStyle w:val="6"/>
              <w:spacing w:before="59" w:line="220" w:lineRule="auto"/>
              <w:ind w:left="74"/>
              <w:rPr>
                <w:sz w:val="18"/>
                <w:szCs w:val="18"/>
              </w:rPr>
            </w:pPr>
            <w:r>
              <w:rPr>
                <w:spacing w:val="-2"/>
                <w:sz w:val="18"/>
                <w:szCs w:val="18"/>
              </w:rPr>
              <w:t>项目十旅</w:t>
            </w:r>
          </w:p>
          <w:p w14:paraId="2E836089">
            <w:pPr>
              <w:pStyle w:val="6"/>
              <w:spacing w:before="5" w:line="220" w:lineRule="auto"/>
              <w:ind w:left="74"/>
              <w:rPr>
                <w:sz w:val="18"/>
                <w:szCs w:val="18"/>
              </w:rPr>
            </w:pPr>
            <w:r>
              <w:rPr>
                <w:spacing w:val="-2"/>
                <w:sz w:val="18"/>
                <w:szCs w:val="18"/>
              </w:rPr>
              <w:t>游安全事</w:t>
            </w:r>
          </w:p>
          <w:p w14:paraId="29BDE672">
            <w:pPr>
              <w:pStyle w:val="6"/>
              <w:spacing w:before="25" w:line="220" w:lineRule="auto"/>
              <w:ind w:left="74"/>
              <w:rPr>
                <w:sz w:val="18"/>
                <w:szCs w:val="18"/>
              </w:rPr>
            </w:pPr>
            <w:r>
              <w:rPr>
                <w:spacing w:val="-2"/>
                <w:sz w:val="18"/>
                <w:szCs w:val="18"/>
              </w:rPr>
              <w:t>故的预防</w:t>
            </w:r>
          </w:p>
          <w:p w14:paraId="71B2B6C3">
            <w:pPr>
              <w:pStyle w:val="6"/>
              <w:spacing w:before="7" w:line="221" w:lineRule="auto"/>
              <w:ind w:left="165"/>
              <w:rPr>
                <w:sz w:val="18"/>
                <w:szCs w:val="18"/>
              </w:rPr>
            </w:pPr>
            <w:r>
              <w:rPr>
                <w:spacing w:val="-3"/>
                <w:sz w:val="18"/>
                <w:szCs w:val="18"/>
              </w:rPr>
              <w:t>与处理</w:t>
            </w:r>
          </w:p>
        </w:tc>
        <w:tc>
          <w:tcPr>
            <w:tcW w:w="2324" w:type="dxa"/>
            <w:vAlign w:val="top"/>
          </w:tcPr>
          <w:p w14:paraId="6AC6A74E">
            <w:pPr>
              <w:pStyle w:val="6"/>
              <w:spacing w:before="161" w:line="226" w:lineRule="auto"/>
              <w:ind w:left="11"/>
              <w:rPr>
                <w:sz w:val="18"/>
                <w:szCs w:val="18"/>
              </w:rPr>
            </w:pPr>
            <w:r>
              <w:rPr>
                <w:spacing w:val="-3"/>
                <w:sz w:val="18"/>
                <w:szCs w:val="18"/>
              </w:rPr>
              <w:t>任务一交通事故的预防与处理</w:t>
            </w:r>
            <w:r>
              <w:rPr>
                <w:sz w:val="18"/>
                <w:szCs w:val="18"/>
              </w:rPr>
              <w:t xml:space="preserve"> </w:t>
            </w:r>
            <w:r>
              <w:rPr>
                <w:spacing w:val="-3"/>
                <w:sz w:val="18"/>
                <w:szCs w:val="18"/>
              </w:rPr>
              <w:t>任务二火灾事故的预防与处理</w:t>
            </w:r>
            <w:r>
              <w:rPr>
                <w:sz w:val="18"/>
                <w:szCs w:val="18"/>
              </w:rPr>
              <w:t xml:space="preserve"> </w:t>
            </w:r>
            <w:r>
              <w:rPr>
                <w:spacing w:val="-3"/>
                <w:sz w:val="18"/>
                <w:szCs w:val="18"/>
              </w:rPr>
              <w:t>任务三治安事故的预防与处理</w:t>
            </w:r>
            <w:r>
              <w:rPr>
                <w:sz w:val="18"/>
                <w:szCs w:val="18"/>
              </w:rPr>
              <w:t xml:space="preserve"> </w:t>
            </w:r>
            <w:r>
              <w:rPr>
                <w:spacing w:val="-1"/>
                <w:sz w:val="18"/>
                <w:szCs w:val="18"/>
              </w:rPr>
              <w:t>任务四游客患病、死亡的预</w:t>
            </w:r>
            <w:r>
              <w:rPr>
                <w:spacing w:val="5"/>
                <w:sz w:val="18"/>
                <w:szCs w:val="18"/>
              </w:rPr>
              <w:t xml:space="preserve">  </w:t>
            </w:r>
            <w:r>
              <w:rPr>
                <w:spacing w:val="1"/>
                <w:sz w:val="18"/>
                <w:szCs w:val="18"/>
              </w:rPr>
              <w:t>防与处理</w:t>
            </w:r>
          </w:p>
          <w:p w14:paraId="0344CFCC">
            <w:pPr>
              <w:pStyle w:val="6"/>
              <w:spacing w:line="219" w:lineRule="auto"/>
              <w:ind w:left="11"/>
              <w:rPr>
                <w:sz w:val="18"/>
                <w:szCs w:val="18"/>
              </w:rPr>
            </w:pPr>
            <w:r>
              <w:rPr>
                <w:spacing w:val="-1"/>
                <w:sz w:val="18"/>
                <w:szCs w:val="18"/>
              </w:rPr>
              <w:t>任务五应对重大自然灾害</w:t>
            </w:r>
          </w:p>
        </w:tc>
        <w:tc>
          <w:tcPr>
            <w:tcW w:w="220" w:type="dxa"/>
            <w:vAlign w:val="top"/>
          </w:tcPr>
          <w:p w14:paraId="1543F0F4">
            <w:pPr>
              <w:rPr>
                <w:rFonts w:ascii="Arial"/>
                <w:sz w:val="21"/>
              </w:rPr>
            </w:pPr>
          </w:p>
        </w:tc>
        <w:tc>
          <w:tcPr>
            <w:tcW w:w="229" w:type="dxa"/>
            <w:vAlign w:val="top"/>
          </w:tcPr>
          <w:p w14:paraId="1CAE40CE">
            <w:pPr>
              <w:rPr>
                <w:rFonts w:ascii="Arial"/>
                <w:sz w:val="21"/>
              </w:rPr>
            </w:pPr>
          </w:p>
        </w:tc>
        <w:tc>
          <w:tcPr>
            <w:tcW w:w="229" w:type="dxa"/>
            <w:vAlign w:val="top"/>
          </w:tcPr>
          <w:p w14:paraId="3CED7700">
            <w:pPr>
              <w:rPr>
                <w:rFonts w:ascii="Arial"/>
                <w:sz w:val="21"/>
              </w:rPr>
            </w:pPr>
          </w:p>
        </w:tc>
        <w:tc>
          <w:tcPr>
            <w:tcW w:w="224" w:type="dxa"/>
            <w:vAlign w:val="top"/>
          </w:tcPr>
          <w:p w14:paraId="58E8B5BE">
            <w:pPr>
              <w:rPr>
                <w:rFonts w:ascii="Arial"/>
                <w:sz w:val="21"/>
              </w:rPr>
            </w:pPr>
          </w:p>
        </w:tc>
      </w:tr>
    </w:tbl>
    <w:p w14:paraId="6F8E941D">
      <w:pPr>
        <w:spacing w:before="128" w:line="221" w:lineRule="auto"/>
        <w:ind w:left="1042"/>
        <w:rPr>
          <w:rFonts w:ascii="黑体" w:hAnsi="黑体" w:eastAsia="黑体" w:cs="黑体"/>
          <w:sz w:val="20"/>
          <w:szCs w:val="20"/>
        </w:rPr>
      </w:pPr>
      <w:r>
        <w:rPr>
          <w:rFonts w:ascii="黑体" w:hAnsi="黑体" w:eastAsia="黑体" w:cs="黑体"/>
          <w:b/>
          <w:bCs/>
          <w:spacing w:val="3"/>
          <w:sz w:val="20"/>
          <w:szCs w:val="20"/>
        </w:rPr>
        <w:t>附录</w:t>
      </w:r>
      <w:r>
        <w:rPr>
          <w:rFonts w:ascii="黑体" w:hAnsi="黑体" w:eastAsia="黑体" w:cs="黑体"/>
          <w:spacing w:val="31"/>
          <w:sz w:val="20"/>
          <w:szCs w:val="20"/>
        </w:rPr>
        <w:t xml:space="preserve"> </w:t>
      </w:r>
      <w:r>
        <w:rPr>
          <w:rFonts w:ascii="黑体" w:hAnsi="黑体" w:eastAsia="黑体" w:cs="黑体"/>
          <w:b/>
          <w:bCs/>
          <w:spacing w:val="3"/>
          <w:sz w:val="20"/>
          <w:szCs w:val="20"/>
        </w:rPr>
        <w:t>导游实务相关知识</w:t>
      </w:r>
    </w:p>
    <w:p w14:paraId="6CB55356">
      <w:pPr>
        <w:spacing w:line="72" w:lineRule="exact"/>
      </w:pPr>
    </w:p>
    <w:tbl>
      <w:tblPr>
        <w:tblStyle w:val="5"/>
        <w:tblW w:w="4119"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83"/>
        <w:gridCol w:w="2324"/>
        <w:gridCol w:w="220"/>
        <w:gridCol w:w="229"/>
        <w:gridCol w:w="229"/>
        <w:gridCol w:w="234"/>
      </w:tblGrid>
      <w:tr w14:paraId="30F720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3" w:hRule="atLeast"/>
        </w:trPr>
        <w:tc>
          <w:tcPr>
            <w:tcW w:w="883" w:type="dxa"/>
            <w:vMerge w:val="restart"/>
            <w:tcBorders>
              <w:bottom w:val="nil"/>
            </w:tcBorders>
            <w:vAlign w:val="top"/>
          </w:tcPr>
          <w:p w14:paraId="45F34A6C">
            <w:pPr>
              <w:pStyle w:val="6"/>
              <w:spacing w:before="121" w:line="214" w:lineRule="auto"/>
              <w:ind w:left="257" w:right="1" w:hanging="240"/>
              <w:rPr>
                <w:sz w:val="18"/>
                <w:szCs w:val="18"/>
              </w:rPr>
            </w:pPr>
            <w:r>
              <w:rPr>
                <w:b/>
                <w:bCs/>
                <w:spacing w:val="-13"/>
                <w:sz w:val="18"/>
                <w:szCs w:val="18"/>
              </w:rPr>
              <w:t>知</w:t>
            </w:r>
            <w:r>
              <w:rPr>
                <w:b/>
                <w:bCs/>
                <w:spacing w:val="-12"/>
                <w:sz w:val="18"/>
                <w:szCs w:val="18"/>
              </w:rPr>
              <w:t>识与技</w:t>
            </w:r>
            <w:r>
              <w:rPr>
                <w:b/>
                <w:bCs/>
                <w:spacing w:val="-11"/>
                <w:sz w:val="18"/>
                <w:szCs w:val="18"/>
              </w:rPr>
              <w:t>能</w:t>
            </w:r>
            <w:r>
              <w:rPr>
                <w:spacing w:val="3"/>
                <w:sz w:val="18"/>
                <w:szCs w:val="18"/>
              </w:rPr>
              <w:t xml:space="preserve"> </w:t>
            </w:r>
            <w:r>
              <w:rPr>
                <w:b/>
                <w:bCs/>
                <w:spacing w:val="-4"/>
                <w:sz w:val="18"/>
                <w:szCs w:val="18"/>
              </w:rPr>
              <w:t>要点</w:t>
            </w:r>
          </w:p>
        </w:tc>
        <w:tc>
          <w:tcPr>
            <w:tcW w:w="2324" w:type="dxa"/>
            <w:vMerge w:val="restart"/>
            <w:tcBorders>
              <w:bottom w:val="nil"/>
            </w:tcBorders>
            <w:vAlign w:val="top"/>
          </w:tcPr>
          <w:p w14:paraId="735C0BCB">
            <w:pPr>
              <w:pStyle w:val="6"/>
              <w:spacing w:before="220" w:line="219" w:lineRule="auto"/>
              <w:ind w:left="844"/>
              <w:rPr>
                <w:sz w:val="18"/>
                <w:szCs w:val="18"/>
              </w:rPr>
            </w:pPr>
            <w:r>
              <w:rPr>
                <w:b/>
                <w:bCs/>
                <w:spacing w:val="5"/>
                <w:sz w:val="18"/>
                <w:szCs w:val="18"/>
              </w:rPr>
              <w:t>考试条目</w:t>
            </w:r>
          </w:p>
        </w:tc>
        <w:tc>
          <w:tcPr>
            <w:tcW w:w="912" w:type="dxa"/>
            <w:gridSpan w:val="4"/>
            <w:vAlign w:val="top"/>
          </w:tcPr>
          <w:p w14:paraId="368AF2ED">
            <w:pPr>
              <w:pStyle w:val="6"/>
              <w:spacing w:before="69" w:line="219" w:lineRule="auto"/>
              <w:ind w:left="130"/>
              <w:rPr>
                <w:sz w:val="18"/>
                <w:szCs w:val="18"/>
              </w:rPr>
            </w:pPr>
            <w:r>
              <w:rPr>
                <w:b/>
                <w:bCs/>
                <w:spacing w:val="-4"/>
                <w:sz w:val="18"/>
                <w:szCs w:val="18"/>
              </w:rPr>
              <w:t>考试水平</w:t>
            </w:r>
          </w:p>
        </w:tc>
      </w:tr>
      <w:tr w14:paraId="757072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9" w:hRule="atLeast"/>
        </w:trPr>
        <w:tc>
          <w:tcPr>
            <w:tcW w:w="883" w:type="dxa"/>
            <w:vMerge w:val="continue"/>
            <w:tcBorders>
              <w:top w:val="nil"/>
            </w:tcBorders>
            <w:vAlign w:val="top"/>
          </w:tcPr>
          <w:p w14:paraId="7216690A">
            <w:pPr>
              <w:rPr>
                <w:rFonts w:ascii="Arial"/>
                <w:sz w:val="21"/>
              </w:rPr>
            </w:pPr>
          </w:p>
        </w:tc>
        <w:tc>
          <w:tcPr>
            <w:tcW w:w="2324" w:type="dxa"/>
            <w:vMerge w:val="continue"/>
            <w:tcBorders>
              <w:top w:val="nil"/>
            </w:tcBorders>
            <w:vAlign w:val="top"/>
          </w:tcPr>
          <w:p w14:paraId="65E2C038">
            <w:pPr>
              <w:rPr>
                <w:rFonts w:ascii="Arial"/>
                <w:sz w:val="21"/>
              </w:rPr>
            </w:pPr>
          </w:p>
        </w:tc>
        <w:tc>
          <w:tcPr>
            <w:tcW w:w="220" w:type="dxa"/>
            <w:vAlign w:val="top"/>
          </w:tcPr>
          <w:p w14:paraId="40E39247">
            <w:pPr>
              <w:pStyle w:val="6"/>
              <w:spacing w:before="104" w:line="179" w:lineRule="auto"/>
              <w:ind w:left="20"/>
              <w:rPr>
                <w:sz w:val="18"/>
                <w:szCs w:val="18"/>
              </w:rPr>
            </w:pPr>
            <w:r>
              <w:rPr>
                <w:b/>
                <w:bCs/>
                <w:spacing w:val="-2"/>
                <w:sz w:val="18"/>
                <w:szCs w:val="18"/>
              </w:rPr>
              <w:t>A</w:t>
            </w:r>
          </w:p>
        </w:tc>
        <w:tc>
          <w:tcPr>
            <w:tcW w:w="229" w:type="dxa"/>
            <w:vAlign w:val="top"/>
          </w:tcPr>
          <w:p w14:paraId="77E1C07A">
            <w:pPr>
              <w:pStyle w:val="6"/>
              <w:spacing w:before="107" w:line="176" w:lineRule="auto"/>
              <w:ind w:left="20"/>
              <w:rPr>
                <w:sz w:val="18"/>
                <w:szCs w:val="18"/>
              </w:rPr>
            </w:pPr>
            <w:r>
              <w:rPr>
                <w:b/>
                <w:bCs/>
                <w:spacing w:val="-2"/>
                <w:sz w:val="18"/>
                <w:szCs w:val="18"/>
              </w:rPr>
              <w:t>B</w:t>
            </w:r>
          </w:p>
        </w:tc>
        <w:tc>
          <w:tcPr>
            <w:tcW w:w="229" w:type="dxa"/>
            <w:vAlign w:val="top"/>
          </w:tcPr>
          <w:p w14:paraId="3A91A864">
            <w:pPr>
              <w:pStyle w:val="6"/>
              <w:spacing w:before="105" w:line="178" w:lineRule="auto"/>
              <w:ind w:left="59"/>
              <w:rPr>
                <w:sz w:val="18"/>
                <w:szCs w:val="18"/>
              </w:rPr>
            </w:pPr>
            <w:r>
              <w:rPr>
                <w:sz w:val="18"/>
                <w:szCs w:val="18"/>
              </w:rPr>
              <w:t>C</w:t>
            </w:r>
          </w:p>
        </w:tc>
        <w:tc>
          <w:tcPr>
            <w:tcW w:w="234" w:type="dxa"/>
            <w:vAlign w:val="top"/>
          </w:tcPr>
          <w:p w14:paraId="287F9F83">
            <w:pPr>
              <w:pStyle w:val="6"/>
              <w:spacing w:before="107" w:line="176" w:lineRule="auto"/>
              <w:ind w:left="19"/>
              <w:rPr>
                <w:sz w:val="18"/>
                <w:szCs w:val="18"/>
              </w:rPr>
            </w:pPr>
            <w:r>
              <w:rPr>
                <w:sz w:val="18"/>
                <w:szCs w:val="18"/>
              </w:rPr>
              <w:t>D</w:t>
            </w:r>
          </w:p>
        </w:tc>
      </w:tr>
      <w:tr w14:paraId="007CE3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46" w:hRule="atLeast"/>
        </w:trPr>
        <w:tc>
          <w:tcPr>
            <w:tcW w:w="883" w:type="dxa"/>
            <w:vAlign w:val="top"/>
          </w:tcPr>
          <w:p w14:paraId="46A0E25E">
            <w:pPr>
              <w:pStyle w:val="6"/>
              <w:spacing w:before="250" w:line="206" w:lineRule="auto"/>
              <w:ind w:left="165"/>
              <w:rPr>
                <w:sz w:val="18"/>
                <w:szCs w:val="18"/>
              </w:rPr>
            </w:pPr>
            <w:r>
              <w:rPr>
                <w:spacing w:val="6"/>
                <w:sz w:val="18"/>
                <w:szCs w:val="18"/>
              </w:rPr>
              <w:t>附录一</w:t>
            </w:r>
          </w:p>
          <w:p w14:paraId="0F6B7B78">
            <w:pPr>
              <w:pStyle w:val="6"/>
              <w:spacing w:line="220" w:lineRule="auto"/>
              <w:ind w:left="74"/>
              <w:rPr>
                <w:sz w:val="18"/>
                <w:szCs w:val="18"/>
              </w:rPr>
            </w:pPr>
            <w:r>
              <w:rPr>
                <w:spacing w:val="-2"/>
                <w:sz w:val="18"/>
                <w:szCs w:val="18"/>
              </w:rPr>
              <w:t>入、出境</w:t>
            </w:r>
          </w:p>
          <w:p w14:paraId="02867666">
            <w:pPr>
              <w:pStyle w:val="6"/>
              <w:spacing w:before="27" w:line="221" w:lineRule="auto"/>
              <w:ind w:left="254"/>
              <w:rPr>
                <w:sz w:val="18"/>
                <w:szCs w:val="18"/>
              </w:rPr>
            </w:pPr>
            <w:r>
              <w:rPr>
                <w:spacing w:val="5"/>
                <w:sz w:val="18"/>
                <w:szCs w:val="18"/>
              </w:rPr>
              <w:t>知识</w:t>
            </w:r>
          </w:p>
        </w:tc>
        <w:tc>
          <w:tcPr>
            <w:tcW w:w="2324" w:type="dxa"/>
            <w:vAlign w:val="top"/>
          </w:tcPr>
          <w:p w14:paraId="55120C54">
            <w:pPr>
              <w:pStyle w:val="6"/>
              <w:spacing w:before="120" w:line="226" w:lineRule="auto"/>
              <w:ind w:left="12" w:right="494"/>
              <w:rPr>
                <w:sz w:val="18"/>
                <w:szCs w:val="18"/>
              </w:rPr>
            </w:pPr>
            <w:r>
              <w:rPr>
                <w:sz w:val="18"/>
                <w:szCs w:val="18"/>
              </w:rPr>
              <w:t>1.入出境应持有的证件</w:t>
            </w:r>
            <w:r>
              <w:rPr>
                <w:spacing w:val="6"/>
                <w:sz w:val="18"/>
                <w:szCs w:val="18"/>
              </w:rPr>
              <w:t xml:space="preserve"> </w:t>
            </w:r>
            <w:r>
              <w:rPr>
                <w:spacing w:val="-2"/>
                <w:sz w:val="18"/>
                <w:szCs w:val="18"/>
              </w:rPr>
              <w:t>2.入出境手续</w:t>
            </w:r>
          </w:p>
          <w:p w14:paraId="73C67476">
            <w:pPr>
              <w:pStyle w:val="6"/>
              <w:spacing w:line="220" w:lineRule="auto"/>
              <w:ind w:left="12"/>
              <w:rPr>
                <w:sz w:val="18"/>
                <w:szCs w:val="18"/>
              </w:rPr>
            </w:pPr>
            <w:r>
              <w:rPr>
                <w:spacing w:val="2"/>
                <w:sz w:val="18"/>
                <w:szCs w:val="18"/>
              </w:rPr>
              <w:t>3.不准入、出境的人员</w:t>
            </w:r>
          </w:p>
          <w:p w14:paraId="1051ACBF">
            <w:pPr>
              <w:pStyle w:val="6"/>
              <w:spacing w:before="15" w:line="220" w:lineRule="auto"/>
              <w:ind w:left="12"/>
              <w:rPr>
                <w:sz w:val="18"/>
                <w:szCs w:val="18"/>
              </w:rPr>
            </w:pPr>
            <w:r>
              <w:rPr>
                <w:spacing w:val="-1"/>
                <w:sz w:val="18"/>
                <w:szCs w:val="18"/>
              </w:rPr>
              <w:t>4.对进出境物品的有关规定</w:t>
            </w:r>
          </w:p>
        </w:tc>
        <w:tc>
          <w:tcPr>
            <w:tcW w:w="220" w:type="dxa"/>
            <w:vAlign w:val="top"/>
          </w:tcPr>
          <w:p w14:paraId="4A30524B">
            <w:pPr>
              <w:rPr>
                <w:rFonts w:ascii="Arial"/>
                <w:sz w:val="21"/>
              </w:rPr>
            </w:pPr>
          </w:p>
        </w:tc>
        <w:tc>
          <w:tcPr>
            <w:tcW w:w="229" w:type="dxa"/>
            <w:vAlign w:val="top"/>
          </w:tcPr>
          <w:p w14:paraId="5DE1C0B1">
            <w:pPr>
              <w:rPr>
                <w:rFonts w:ascii="Arial"/>
                <w:sz w:val="21"/>
              </w:rPr>
            </w:pPr>
          </w:p>
        </w:tc>
        <w:tc>
          <w:tcPr>
            <w:tcW w:w="229" w:type="dxa"/>
            <w:vAlign w:val="top"/>
          </w:tcPr>
          <w:p w14:paraId="3E9D1C81">
            <w:pPr>
              <w:rPr>
                <w:rFonts w:ascii="Arial"/>
                <w:sz w:val="21"/>
              </w:rPr>
            </w:pPr>
          </w:p>
        </w:tc>
        <w:tc>
          <w:tcPr>
            <w:tcW w:w="234" w:type="dxa"/>
            <w:vAlign w:val="top"/>
          </w:tcPr>
          <w:p w14:paraId="1EF6DC76">
            <w:pPr>
              <w:rPr>
                <w:rFonts w:ascii="Arial"/>
                <w:sz w:val="21"/>
              </w:rPr>
            </w:pPr>
          </w:p>
        </w:tc>
      </w:tr>
      <w:tr w14:paraId="246438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4" w:hRule="atLeast"/>
        </w:trPr>
        <w:tc>
          <w:tcPr>
            <w:tcW w:w="883" w:type="dxa"/>
            <w:tcBorders>
              <w:bottom w:val="nil"/>
            </w:tcBorders>
            <w:vAlign w:val="top"/>
          </w:tcPr>
          <w:p w14:paraId="2950A8B2">
            <w:pPr>
              <w:pStyle w:val="6"/>
              <w:spacing w:before="93" w:line="185" w:lineRule="auto"/>
              <w:ind w:left="74"/>
              <w:rPr>
                <w:sz w:val="18"/>
                <w:szCs w:val="18"/>
              </w:rPr>
            </w:pPr>
            <w:r>
              <w:rPr>
                <w:spacing w:val="2"/>
                <w:sz w:val="18"/>
                <w:szCs w:val="18"/>
              </w:rPr>
              <w:t>附录二卫</w:t>
            </w:r>
          </w:p>
        </w:tc>
        <w:tc>
          <w:tcPr>
            <w:tcW w:w="2324" w:type="dxa"/>
            <w:tcBorders>
              <w:bottom w:val="nil"/>
            </w:tcBorders>
            <w:vAlign w:val="top"/>
          </w:tcPr>
          <w:p w14:paraId="27116D94">
            <w:pPr>
              <w:pStyle w:val="6"/>
              <w:spacing w:before="94" w:line="184" w:lineRule="auto"/>
              <w:ind w:left="12"/>
              <w:rPr>
                <w:sz w:val="18"/>
                <w:szCs w:val="18"/>
              </w:rPr>
            </w:pPr>
            <w:r>
              <w:rPr>
                <w:spacing w:val="1"/>
                <w:sz w:val="18"/>
                <w:szCs w:val="18"/>
              </w:rPr>
              <w:t>1.旅游保健知识</w:t>
            </w:r>
          </w:p>
        </w:tc>
        <w:tc>
          <w:tcPr>
            <w:tcW w:w="220" w:type="dxa"/>
            <w:tcBorders>
              <w:bottom w:val="nil"/>
            </w:tcBorders>
            <w:vAlign w:val="top"/>
          </w:tcPr>
          <w:p w14:paraId="09ECD41C">
            <w:pPr>
              <w:rPr>
                <w:rFonts w:ascii="Arial"/>
                <w:sz w:val="21"/>
              </w:rPr>
            </w:pPr>
          </w:p>
        </w:tc>
        <w:tc>
          <w:tcPr>
            <w:tcW w:w="229" w:type="dxa"/>
            <w:tcBorders>
              <w:bottom w:val="nil"/>
            </w:tcBorders>
            <w:vAlign w:val="top"/>
          </w:tcPr>
          <w:p w14:paraId="78BFEBF9">
            <w:pPr>
              <w:rPr>
                <w:rFonts w:ascii="Arial"/>
                <w:sz w:val="21"/>
              </w:rPr>
            </w:pPr>
          </w:p>
        </w:tc>
        <w:tc>
          <w:tcPr>
            <w:tcW w:w="229" w:type="dxa"/>
            <w:tcBorders>
              <w:bottom w:val="nil"/>
            </w:tcBorders>
            <w:vAlign w:val="top"/>
          </w:tcPr>
          <w:p w14:paraId="2FAF073C">
            <w:pPr>
              <w:rPr>
                <w:rFonts w:ascii="Arial"/>
                <w:sz w:val="21"/>
              </w:rPr>
            </w:pPr>
          </w:p>
        </w:tc>
        <w:tc>
          <w:tcPr>
            <w:tcW w:w="234" w:type="dxa"/>
            <w:tcBorders>
              <w:bottom w:val="nil"/>
            </w:tcBorders>
            <w:vAlign w:val="top"/>
          </w:tcPr>
          <w:p w14:paraId="7309350B">
            <w:pPr>
              <w:rPr>
                <w:rFonts w:ascii="Arial"/>
                <w:sz w:val="21"/>
              </w:rPr>
            </w:pPr>
          </w:p>
        </w:tc>
      </w:tr>
      <w:tr w14:paraId="0A5067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2" w:hRule="atLeast"/>
        </w:trPr>
        <w:tc>
          <w:tcPr>
            <w:tcW w:w="883" w:type="dxa"/>
            <w:tcBorders>
              <w:top w:val="nil"/>
              <w:bottom w:val="nil"/>
            </w:tcBorders>
            <w:vAlign w:val="top"/>
          </w:tcPr>
          <w:p w14:paraId="4BB10B63">
            <w:pPr>
              <w:pStyle w:val="6"/>
              <w:spacing w:before="31" w:line="185" w:lineRule="auto"/>
              <w:ind w:left="165"/>
              <w:rPr>
                <w:sz w:val="18"/>
                <w:szCs w:val="18"/>
              </w:rPr>
            </w:pPr>
            <w:r>
              <w:rPr>
                <w:spacing w:val="-2"/>
                <w:sz w:val="18"/>
                <w:szCs w:val="18"/>
              </w:rPr>
              <w:t>生安全</w:t>
            </w:r>
          </w:p>
        </w:tc>
        <w:tc>
          <w:tcPr>
            <w:tcW w:w="2324" w:type="dxa"/>
            <w:tcBorders>
              <w:top w:val="nil"/>
              <w:bottom w:val="nil"/>
            </w:tcBorders>
            <w:vAlign w:val="top"/>
          </w:tcPr>
          <w:p w14:paraId="650E3E23">
            <w:pPr>
              <w:pStyle w:val="6"/>
              <w:spacing w:before="30" w:line="186" w:lineRule="auto"/>
              <w:ind w:left="12"/>
              <w:rPr>
                <w:sz w:val="18"/>
                <w:szCs w:val="18"/>
              </w:rPr>
            </w:pPr>
            <w:r>
              <w:rPr>
                <w:spacing w:val="-1"/>
                <w:sz w:val="18"/>
                <w:szCs w:val="18"/>
              </w:rPr>
              <w:t>2.旅游常见疾病和急症的防</w:t>
            </w:r>
          </w:p>
        </w:tc>
        <w:tc>
          <w:tcPr>
            <w:tcW w:w="220" w:type="dxa"/>
            <w:tcBorders>
              <w:top w:val="nil"/>
              <w:bottom w:val="nil"/>
            </w:tcBorders>
            <w:vAlign w:val="top"/>
          </w:tcPr>
          <w:p w14:paraId="1FE704D6">
            <w:pPr>
              <w:spacing w:line="212" w:lineRule="exact"/>
              <w:rPr>
                <w:rFonts w:ascii="Arial"/>
                <w:sz w:val="18"/>
              </w:rPr>
            </w:pPr>
          </w:p>
        </w:tc>
        <w:tc>
          <w:tcPr>
            <w:tcW w:w="229" w:type="dxa"/>
            <w:tcBorders>
              <w:top w:val="nil"/>
              <w:bottom w:val="nil"/>
            </w:tcBorders>
            <w:vAlign w:val="top"/>
          </w:tcPr>
          <w:p w14:paraId="5201D928">
            <w:pPr>
              <w:spacing w:line="212" w:lineRule="exact"/>
              <w:rPr>
                <w:rFonts w:ascii="Arial"/>
                <w:sz w:val="18"/>
              </w:rPr>
            </w:pPr>
          </w:p>
        </w:tc>
        <w:tc>
          <w:tcPr>
            <w:tcW w:w="229" w:type="dxa"/>
            <w:tcBorders>
              <w:top w:val="nil"/>
              <w:bottom w:val="nil"/>
            </w:tcBorders>
            <w:vAlign w:val="top"/>
          </w:tcPr>
          <w:p w14:paraId="50D673C5">
            <w:pPr>
              <w:spacing w:line="212" w:lineRule="exact"/>
              <w:rPr>
                <w:rFonts w:ascii="Arial"/>
                <w:sz w:val="18"/>
              </w:rPr>
            </w:pPr>
          </w:p>
        </w:tc>
        <w:tc>
          <w:tcPr>
            <w:tcW w:w="234" w:type="dxa"/>
            <w:tcBorders>
              <w:top w:val="nil"/>
              <w:bottom w:val="nil"/>
            </w:tcBorders>
            <w:vAlign w:val="top"/>
          </w:tcPr>
          <w:p w14:paraId="17FDC597">
            <w:pPr>
              <w:spacing w:line="212" w:lineRule="exact"/>
              <w:rPr>
                <w:rFonts w:ascii="Arial"/>
                <w:sz w:val="18"/>
              </w:rPr>
            </w:pPr>
          </w:p>
        </w:tc>
      </w:tr>
      <w:tr w14:paraId="196657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6" w:hRule="atLeast"/>
        </w:trPr>
        <w:tc>
          <w:tcPr>
            <w:tcW w:w="883" w:type="dxa"/>
            <w:tcBorders>
              <w:top w:val="nil"/>
            </w:tcBorders>
            <w:vAlign w:val="top"/>
          </w:tcPr>
          <w:p w14:paraId="58FF3633">
            <w:pPr>
              <w:pStyle w:val="6"/>
              <w:spacing w:before="30" w:line="211" w:lineRule="auto"/>
              <w:ind w:left="254"/>
              <w:rPr>
                <w:sz w:val="18"/>
                <w:szCs w:val="18"/>
              </w:rPr>
            </w:pPr>
            <w:r>
              <w:rPr>
                <w:spacing w:val="5"/>
                <w:sz w:val="18"/>
                <w:szCs w:val="18"/>
              </w:rPr>
              <w:t>知识</w:t>
            </w:r>
          </w:p>
        </w:tc>
        <w:tc>
          <w:tcPr>
            <w:tcW w:w="2324" w:type="dxa"/>
            <w:tcBorders>
              <w:top w:val="nil"/>
            </w:tcBorders>
            <w:vAlign w:val="top"/>
          </w:tcPr>
          <w:p w14:paraId="67A3B96B">
            <w:pPr>
              <w:pStyle w:val="6"/>
              <w:spacing w:before="30" w:line="211" w:lineRule="auto"/>
              <w:ind w:left="12"/>
              <w:rPr>
                <w:sz w:val="18"/>
                <w:szCs w:val="18"/>
              </w:rPr>
            </w:pPr>
            <w:r>
              <w:rPr>
                <w:spacing w:val="3"/>
                <w:sz w:val="18"/>
                <w:szCs w:val="18"/>
              </w:rPr>
              <w:t>治知识</w:t>
            </w:r>
          </w:p>
        </w:tc>
        <w:tc>
          <w:tcPr>
            <w:tcW w:w="220" w:type="dxa"/>
            <w:tcBorders>
              <w:top w:val="nil"/>
            </w:tcBorders>
            <w:vAlign w:val="top"/>
          </w:tcPr>
          <w:p w14:paraId="564FB6F9">
            <w:pPr>
              <w:spacing w:line="236" w:lineRule="exact"/>
              <w:rPr>
                <w:rFonts w:ascii="Arial"/>
                <w:sz w:val="20"/>
              </w:rPr>
            </w:pPr>
          </w:p>
        </w:tc>
        <w:tc>
          <w:tcPr>
            <w:tcW w:w="229" w:type="dxa"/>
            <w:tcBorders>
              <w:top w:val="nil"/>
            </w:tcBorders>
            <w:vAlign w:val="top"/>
          </w:tcPr>
          <w:p w14:paraId="1FA2283F">
            <w:pPr>
              <w:spacing w:line="236" w:lineRule="exact"/>
              <w:rPr>
                <w:rFonts w:ascii="Arial"/>
                <w:sz w:val="20"/>
              </w:rPr>
            </w:pPr>
          </w:p>
        </w:tc>
        <w:tc>
          <w:tcPr>
            <w:tcW w:w="229" w:type="dxa"/>
            <w:tcBorders>
              <w:top w:val="nil"/>
            </w:tcBorders>
            <w:vAlign w:val="top"/>
          </w:tcPr>
          <w:p w14:paraId="6B81E56D">
            <w:pPr>
              <w:spacing w:line="236" w:lineRule="exact"/>
              <w:rPr>
                <w:rFonts w:ascii="Arial"/>
                <w:sz w:val="20"/>
              </w:rPr>
            </w:pPr>
          </w:p>
        </w:tc>
        <w:tc>
          <w:tcPr>
            <w:tcW w:w="234" w:type="dxa"/>
            <w:tcBorders>
              <w:top w:val="nil"/>
            </w:tcBorders>
            <w:vAlign w:val="top"/>
          </w:tcPr>
          <w:p w14:paraId="0B3AFC6F">
            <w:pPr>
              <w:spacing w:line="236" w:lineRule="exact"/>
              <w:rPr>
                <w:rFonts w:ascii="Arial"/>
                <w:sz w:val="20"/>
              </w:rPr>
            </w:pPr>
          </w:p>
        </w:tc>
      </w:tr>
    </w:tbl>
    <w:p w14:paraId="4AC41576">
      <w:pPr>
        <w:spacing w:before="69" w:line="221" w:lineRule="auto"/>
        <w:ind w:left="93"/>
        <w:rPr>
          <w:rFonts w:ascii="黑体" w:hAnsi="黑体" w:eastAsia="黑体" w:cs="黑体"/>
          <w:sz w:val="23"/>
          <w:szCs w:val="23"/>
        </w:rPr>
      </w:pPr>
      <w:r>
        <w:rPr>
          <w:rFonts w:ascii="黑体" w:hAnsi="黑体" w:eastAsia="黑体" w:cs="黑体"/>
          <w:b/>
          <w:bCs/>
          <w:spacing w:val="-7"/>
          <w:sz w:val="23"/>
          <w:szCs w:val="23"/>
        </w:rPr>
        <w:t>四、考试形式和试卷结构</w:t>
      </w:r>
    </w:p>
    <w:p w14:paraId="0A764F82">
      <w:pPr>
        <w:spacing w:before="97" w:line="219" w:lineRule="auto"/>
        <w:ind w:left="430"/>
        <w:rPr>
          <w:rFonts w:ascii="宋体" w:hAnsi="宋体" w:eastAsia="宋体" w:cs="宋体"/>
          <w:sz w:val="16"/>
          <w:szCs w:val="16"/>
        </w:rPr>
      </w:pPr>
      <w:r>
        <w:rPr>
          <w:rFonts w:ascii="宋体" w:hAnsi="宋体" w:eastAsia="宋体" w:cs="宋体"/>
          <w:spacing w:val="2"/>
          <w:sz w:val="16"/>
          <w:szCs w:val="16"/>
        </w:rPr>
        <w:t>1.考核形式：</w:t>
      </w:r>
    </w:p>
    <w:p w14:paraId="55D145CC">
      <w:pPr>
        <w:spacing w:before="100" w:line="334" w:lineRule="auto"/>
        <w:ind w:left="430" w:right="540"/>
        <w:rPr>
          <w:rFonts w:ascii="宋体" w:hAnsi="宋体" w:eastAsia="宋体" w:cs="宋体"/>
          <w:sz w:val="16"/>
          <w:szCs w:val="16"/>
        </w:rPr>
      </w:pPr>
      <w:r>
        <w:rPr>
          <w:rFonts w:ascii="宋体" w:hAnsi="宋体" w:eastAsia="宋体" w:cs="宋体"/>
          <w:spacing w:val="13"/>
          <w:sz w:val="16"/>
          <w:szCs w:val="16"/>
        </w:rPr>
        <w:t>考试采用闭卷笔答方式。考试时间为150分钟。</w:t>
      </w:r>
      <w:r>
        <w:rPr>
          <w:rFonts w:ascii="宋体" w:hAnsi="宋体" w:eastAsia="宋体" w:cs="宋体"/>
          <w:spacing w:val="12"/>
          <w:sz w:val="16"/>
          <w:szCs w:val="16"/>
        </w:rPr>
        <w:t xml:space="preserve"> </w:t>
      </w:r>
      <w:r>
        <w:rPr>
          <w:rFonts w:ascii="宋体" w:hAnsi="宋体" w:eastAsia="宋体" w:cs="宋体"/>
          <w:spacing w:val="2"/>
          <w:sz w:val="16"/>
          <w:szCs w:val="16"/>
        </w:rPr>
        <w:t>2.试卷结构：</w:t>
      </w:r>
    </w:p>
    <w:p w14:paraId="548062F2">
      <w:pPr>
        <w:spacing w:before="1" w:line="299" w:lineRule="auto"/>
        <w:ind w:left="70" w:right="346" w:firstLine="420"/>
        <w:rPr>
          <w:rFonts w:ascii="宋体" w:hAnsi="宋体" w:eastAsia="宋体" w:cs="宋体"/>
          <w:sz w:val="16"/>
          <w:szCs w:val="16"/>
        </w:rPr>
      </w:pPr>
      <w:r>
        <w:rPr>
          <w:rFonts w:ascii="宋体" w:hAnsi="宋体" w:eastAsia="宋体" w:cs="宋体"/>
          <w:spacing w:val="14"/>
          <w:sz w:val="16"/>
          <w:szCs w:val="16"/>
        </w:rPr>
        <w:t>(1)按知识点分：(不同专业可根据实际情况在5%</w:t>
      </w:r>
      <w:r>
        <w:rPr>
          <w:rFonts w:ascii="宋体" w:hAnsi="宋体" w:eastAsia="宋体" w:cs="宋体"/>
          <w:spacing w:val="16"/>
          <w:sz w:val="16"/>
          <w:szCs w:val="16"/>
        </w:rPr>
        <w:t xml:space="preserve"> </w:t>
      </w:r>
      <w:r>
        <w:rPr>
          <w:rFonts w:ascii="宋体" w:hAnsi="宋体" w:eastAsia="宋体" w:cs="宋体"/>
          <w:spacing w:val="13"/>
          <w:sz w:val="16"/>
          <w:szCs w:val="16"/>
        </w:rPr>
        <w:t>的比例内增减)</w:t>
      </w:r>
    </w:p>
    <w:tbl>
      <w:tblPr>
        <w:tblStyle w:val="5"/>
        <w:tblW w:w="4119"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401"/>
        <w:gridCol w:w="908"/>
        <w:gridCol w:w="907"/>
        <w:gridCol w:w="903"/>
      </w:tblGrid>
      <w:tr w14:paraId="28111A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46" w:hRule="atLeast"/>
        </w:trPr>
        <w:tc>
          <w:tcPr>
            <w:tcW w:w="1401" w:type="dxa"/>
            <w:tcBorders>
              <w:top w:val="single" w:color="000000" w:sz="2" w:space="0"/>
              <w:bottom w:val="single" w:color="000000" w:sz="2" w:space="0"/>
              <w:tl2br w:val="single" w:color="000000" w:sz="2" w:space="0"/>
            </w:tcBorders>
            <w:vAlign w:val="top"/>
          </w:tcPr>
          <w:p w14:paraId="3D2789CA">
            <w:pPr>
              <w:pStyle w:val="6"/>
              <w:spacing w:before="85" w:line="205" w:lineRule="auto"/>
              <w:ind w:left="737"/>
            </w:pPr>
            <w:r>
              <w:rPr>
                <w:b/>
                <w:bCs/>
                <w:spacing w:val="-5"/>
              </w:rPr>
              <w:t>百分比</w:t>
            </w:r>
          </w:p>
          <w:p w14:paraId="5EE5AB25">
            <w:pPr>
              <w:pStyle w:val="6"/>
              <w:spacing w:line="219" w:lineRule="auto"/>
              <w:ind w:left="227"/>
            </w:pPr>
            <w:r>
              <w:rPr>
                <w:b/>
                <w:bCs/>
                <w:spacing w:val="-4"/>
              </w:rPr>
              <w:t>类别</w:t>
            </w:r>
          </w:p>
        </w:tc>
        <w:tc>
          <w:tcPr>
            <w:tcW w:w="908" w:type="dxa"/>
            <w:tcBorders>
              <w:top w:val="single" w:color="000000" w:sz="2" w:space="0"/>
              <w:bottom w:val="single" w:color="000000" w:sz="2" w:space="0"/>
            </w:tcBorders>
            <w:vAlign w:val="top"/>
          </w:tcPr>
          <w:p w14:paraId="5ED1BEBD">
            <w:pPr>
              <w:pStyle w:val="6"/>
              <w:spacing w:before="239" w:line="183" w:lineRule="auto"/>
              <w:ind w:left="316"/>
            </w:pPr>
            <w:r>
              <w:rPr>
                <w:b/>
                <w:bCs/>
                <w:spacing w:val="-5"/>
              </w:rPr>
              <w:t>30%</w:t>
            </w:r>
          </w:p>
        </w:tc>
        <w:tc>
          <w:tcPr>
            <w:tcW w:w="907" w:type="dxa"/>
            <w:tcBorders>
              <w:top w:val="single" w:color="000000" w:sz="2" w:space="0"/>
              <w:bottom w:val="single" w:color="000000" w:sz="2" w:space="0"/>
            </w:tcBorders>
            <w:vAlign w:val="top"/>
          </w:tcPr>
          <w:p w14:paraId="4A93B2F7">
            <w:pPr>
              <w:pStyle w:val="6"/>
              <w:spacing w:before="239" w:line="183" w:lineRule="auto"/>
              <w:ind w:left="318"/>
            </w:pPr>
            <w:r>
              <w:rPr>
                <w:b/>
                <w:bCs/>
                <w:spacing w:val="-5"/>
              </w:rPr>
              <w:t>35%</w:t>
            </w:r>
          </w:p>
        </w:tc>
        <w:tc>
          <w:tcPr>
            <w:tcW w:w="903" w:type="dxa"/>
            <w:tcBorders>
              <w:top w:val="single" w:color="000000" w:sz="2" w:space="0"/>
              <w:bottom w:val="single" w:color="000000" w:sz="2" w:space="0"/>
            </w:tcBorders>
            <w:vAlign w:val="top"/>
          </w:tcPr>
          <w:p w14:paraId="2EEB8762">
            <w:pPr>
              <w:pStyle w:val="6"/>
              <w:spacing w:before="239" w:line="183" w:lineRule="auto"/>
              <w:ind w:left="321"/>
            </w:pPr>
            <w:r>
              <w:rPr>
                <w:b/>
                <w:bCs/>
                <w:spacing w:val="-5"/>
              </w:rPr>
              <w:t>35%</w:t>
            </w:r>
          </w:p>
        </w:tc>
      </w:tr>
      <w:tr w14:paraId="2B15CE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7" w:hRule="atLeast"/>
        </w:trPr>
        <w:tc>
          <w:tcPr>
            <w:tcW w:w="1401" w:type="dxa"/>
            <w:tcBorders>
              <w:top w:val="single" w:color="000000" w:sz="2" w:space="0"/>
              <w:bottom w:val="single" w:color="000000" w:sz="2" w:space="0"/>
            </w:tcBorders>
            <w:vAlign w:val="top"/>
          </w:tcPr>
          <w:p w14:paraId="72B4D1D7">
            <w:pPr>
              <w:pStyle w:val="6"/>
              <w:spacing w:before="122" w:line="220" w:lineRule="auto"/>
              <w:ind w:left="357"/>
            </w:pPr>
            <w:r>
              <w:rPr>
                <w:b/>
                <w:bCs/>
                <w:spacing w:val="-3"/>
              </w:rPr>
              <w:t>旅游专业</w:t>
            </w:r>
          </w:p>
        </w:tc>
        <w:tc>
          <w:tcPr>
            <w:tcW w:w="908" w:type="dxa"/>
            <w:tcBorders>
              <w:top w:val="single" w:color="000000" w:sz="2" w:space="0"/>
              <w:bottom w:val="single" w:color="000000" w:sz="2" w:space="0"/>
            </w:tcBorders>
            <w:vAlign w:val="top"/>
          </w:tcPr>
          <w:p w14:paraId="252B1B8C">
            <w:pPr>
              <w:pStyle w:val="6"/>
              <w:spacing w:before="122" w:line="219" w:lineRule="auto"/>
              <w:ind w:left="106"/>
            </w:pPr>
            <w:r>
              <w:rPr>
                <w:b/>
                <w:bCs/>
                <w:spacing w:val="-3"/>
              </w:rPr>
              <w:t>旅游概论</w:t>
            </w:r>
          </w:p>
        </w:tc>
        <w:tc>
          <w:tcPr>
            <w:tcW w:w="907" w:type="dxa"/>
            <w:tcBorders>
              <w:top w:val="single" w:color="000000" w:sz="2" w:space="0"/>
              <w:bottom w:val="single" w:color="000000" w:sz="2" w:space="0"/>
            </w:tcBorders>
            <w:vAlign w:val="top"/>
          </w:tcPr>
          <w:p w14:paraId="12EDE2A5">
            <w:pPr>
              <w:pStyle w:val="6"/>
              <w:spacing w:before="43" w:line="192" w:lineRule="auto"/>
              <w:ind w:left="278" w:right="104" w:hanging="170"/>
            </w:pPr>
            <w:r>
              <w:rPr>
                <w:b/>
                <w:bCs/>
                <w:spacing w:val="-1"/>
              </w:rPr>
              <w:t>中国旅游</w:t>
            </w:r>
            <w:r>
              <w:t xml:space="preserve"> </w:t>
            </w:r>
            <w:r>
              <w:rPr>
                <w:b/>
                <w:bCs/>
                <w:spacing w:val="-4"/>
              </w:rPr>
              <w:t>地理</w:t>
            </w:r>
          </w:p>
        </w:tc>
        <w:tc>
          <w:tcPr>
            <w:tcW w:w="903" w:type="dxa"/>
            <w:tcBorders>
              <w:top w:val="single" w:color="000000" w:sz="2" w:space="0"/>
              <w:bottom w:val="single" w:color="000000" w:sz="2" w:space="0"/>
            </w:tcBorders>
            <w:vAlign w:val="top"/>
          </w:tcPr>
          <w:p w14:paraId="6B97616B">
            <w:pPr>
              <w:pStyle w:val="6"/>
              <w:spacing w:before="122" w:line="219" w:lineRule="auto"/>
              <w:ind w:left="111"/>
            </w:pPr>
            <w:r>
              <w:rPr>
                <w:b/>
                <w:bCs/>
                <w:spacing w:val="-4"/>
              </w:rPr>
              <w:t>导游实务</w:t>
            </w:r>
          </w:p>
        </w:tc>
      </w:tr>
    </w:tbl>
    <w:p w14:paraId="20E5EC11">
      <w:pPr>
        <w:pStyle w:val="2"/>
        <w:spacing w:line="14" w:lineRule="auto"/>
        <w:rPr>
          <w:sz w:val="2"/>
        </w:rPr>
      </w:pPr>
    </w:p>
    <w:p w14:paraId="2F4AC73C">
      <w:pPr>
        <w:pStyle w:val="2"/>
        <w:spacing w:line="14" w:lineRule="auto"/>
        <w:rPr>
          <w:sz w:val="2"/>
        </w:rPr>
      </w:pPr>
      <w:r>
        <w:rPr>
          <w:sz w:val="2"/>
          <w:szCs w:val="2"/>
        </w:rPr>
        <w:br w:type="column"/>
      </w:r>
    </w:p>
    <w:p w14:paraId="73242CEE">
      <w:pPr>
        <w:spacing w:before="20" w:line="212" w:lineRule="auto"/>
        <w:ind w:left="440"/>
        <w:rPr>
          <w:rFonts w:ascii="宋体" w:hAnsi="宋体" w:eastAsia="宋体" w:cs="宋体"/>
          <w:sz w:val="19"/>
          <w:szCs w:val="19"/>
        </w:rPr>
      </w:pPr>
      <w:r>
        <w:rPr>
          <w:rFonts w:ascii="宋体" w:hAnsi="宋体" w:eastAsia="宋体" w:cs="宋体"/>
          <w:spacing w:val="1"/>
          <w:sz w:val="19"/>
          <w:szCs w:val="19"/>
        </w:rPr>
        <w:t>(2)按考试水平分：(机动范围±5%)</w:t>
      </w:r>
    </w:p>
    <w:tbl>
      <w:tblPr>
        <w:tblStyle w:val="5"/>
        <w:tblW w:w="4140" w:type="dxa"/>
        <w:tblInd w:w="2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53"/>
        <w:gridCol w:w="818"/>
        <w:gridCol w:w="818"/>
        <w:gridCol w:w="818"/>
        <w:gridCol w:w="833"/>
      </w:tblGrid>
      <w:tr w14:paraId="238F25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9" w:hRule="atLeast"/>
        </w:trPr>
        <w:tc>
          <w:tcPr>
            <w:tcW w:w="853" w:type="dxa"/>
            <w:vAlign w:val="top"/>
          </w:tcPr>
          <w:p w14:paraId="50F94AB2">
            <w:pPr>
              <w:pStyle w:val="6"/>
              <w:spacing w:before="89" w:line="220" w:lineRule="auto"/>
              <w:ind w:left="97"/>
              <w:rPr>
                <w:sz w:val="16"/>
                <w:szCs w:val="16"/>
              </w:rPr>
            </w:pPr>
            <w:r>
              <w:rPr>
                <w:b/>
                <w:bCs/>
                <w:spacing w:val="-1"/>
                <w:sz w:val="16"/>
                <w:szCs w:val="16"/>
              </w:rPr>
              <w:t>目标要求</w:t>
            </w:r>
          </w:p>
        </w:tc>
        <w:tc>
          <w:tcPr>
            <w:tcW w:w="818" w:type="dxa"/>
            <w:vAlign w:val="top"/>
          </w:tcPr>
          <w:p w14:paraId="0097AEB3">
            <w:pPr>
              <w:pStyle w:val="6"/>
              <w:spacing w:before="131" w:line="184" w:lineRule="auto"/>
              <w:ind w:left="364"/>
              <w:rPr>
                <w:sz w:val="16"/>
                <w:szCs w:val="16"/>
              </w:rPr>
            </w:pPr>
            <w:r>
              <w:rPr>
                <w:b/>
                <w:bCs/>
                <w:spacing w:val="-2"/>
                <w:sz w:val="16"/>
                <w:szCs w:val="16"/>
              </w:rPr>
              <w:t>A</w:t>
            </w:r>
          </w:p>
        </w:tc>
        <w:tc>
          <w:tcPr>
            <w:tcW w:w="818" w:type="dxa"/>
            <w:vAlign w:val="top"/>
          </w:tcPr>
          <w:p w14:paraId="2250FAD4">
            <w:pPr>
              <w:pStyle w:val="6"/>
              <w:spacing w:before="133" w:line="182" w:lineRule="auto"/>
              <w:ind w:left="366"/>
              <w:rPr>
                <w:sz w:val="16"/>
                <w:szCs w:val="16"/>
              </w:rPr>
            </w:pPr>
            <w:r>
              <w:rPr>
                <w:b/>
                <w:bCs/>
                <w:spacing w:val="-2"/>
                <w:sz w:val="16"/>
                <w:szCs w:val="16"/>
              </w:rPr>
              <w:t>B</w:t>
            </w:r>
          </w:p>
        </w:tc>
        <w:tc>
          <w:tcPr>
            <w:tcW w:w="818" w:type="dxa"/>
            <w:vAlign w:val="top"/>
          </w:tcPr>
          <w:p w14:paraId="1B66B821">
            <w:pPr>
              <w:pStyle w:val="6"/>
              <w:spacing w:before="131" w:line="183" w:lineRule="auto"/>
              <w:ind w:left="368"/>
              <w:rPr>
                <w:sz w:val="16"/>
                <w:szCs w:val="16"/>
              </w:rPr>
            </w:pPr>
            <w:r>
              <w:rPr>
                <w:b/>
                <w:bCs/>
                <w:spacing w:val="-2"/>
                <w:sz w:val="16"/>
                <w:szCs w:val="16"/>
              </w:rPr>
              <w:t>C</w:t>
            </w:r>
          </w:p>
        </w:tc>
        <w:tc>
          <w:tcPr>
            <w:tcW w:w="833" w:type="dxa"/>
            <w:vAlign w:val="top"/>
          </w:tcPr>
          <w:p w14:paraId="420F76E4">
            <w:pPr>
              <w:pStyle w:val="6"/>
              <w:spacing w:before="133" w:line="182" w:lineRule="auto"/>
              <w:ind w:left="370"/>
              <w:rPr>
                <w:sz w:val="16"/>
                <w:szCs w:val="16"/>
              </w:rPr>
            </w:pPr>
            <w:r>
              <w:rPr>
                <w:b/>
                <w:bCs/>
                <w:spacing w:val="-2"/>
                <w:sz w:val="16"/>
                <w:szCs w:val="16"/>
              </w:rPr>
              <w:t>D</w:t>
            </w:r>
          </w:p>
        </w:tc>
      </w:tr>
      <w:tr w14:paraId="3D2222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0" w:hRule="atLeast"/>
        </w:trPr>
        <w:tc>
          <w:tcPr>
            <w:tcW w:w="853" w:type="dxa"/>
            <w:vAlign w:val="top"/>
          </w:tcPr>
          <w:p w14:paraId="313FA508">
            <w:pPr>
              <w:pStyle w:val="6"/>
              <w:spacing w:before="80" w:line="220" w:lineRule="auto"/>
              <w:ind w:left="177"/>
              <w:rPr>
                <w:sz w:val="16"/>
                <w:szCs w:val="16"/>
              </w:rPr>
            </w:pPr>
            <w:r>
              <w:rPr>
                <w:b/>
                <w:bCs/>
                <w:spacing w:val="-5"/>
                <w:sz w:val="16"/>
                <w:szCs w:val="16"/>
              </w:rPr>
              <w:t>百分比</w:t>
            </w:r>
          </w:p>
        </w:tc>
        <w:tc>
          <w:tcPr>
            <w:tcW w:w="818" w:type="dxa"/>
            <w:vAlign w:val="top"/>
          </w:tcPr>
          <w:p w14:paraId="4C343B28">
            <w:pPr>
              <w:pStyle w:val="6"/>
              <w:spacing w:before="122" w:line="183" w:lineRule="auto"/>
              <w:ind w:left="284"/>
              <w:rPr>
                <w:sz w:val="16"/>
                <w:szCs w:val="16"/>
              </w:rPr>
            </w:pPr>
            <w:r>
              <w:rPr>
                <w:b/>
                <w:bCs/>
                <w:spacing w:val="-3"/>
                <w:sz w:val="16"/>
                <w:szCs w:val="16"/>
              </w:rPr>
              <w:t>40%</w:t>
            </w:r>
          </w:p>
        </w:tc>
        <w:tc>
          <w:tcPr>
            <w:tcW w:w="818" w:type="dxa"/>
            <w:vAlign w:val="top"/>
          </w:tcPr>
          <w:p w14:paraId="46E3C7E4">
            <w:pPr>
              <w:pStyle w:val="6"/>
              <w:spacing w:before="122" w:line="183" w:lineRule="auto"/>
              <w:ind w:left="286"/>
              <w:rPr>
                <w:sz w:val="16"/>
                <w:szCs w:val="16"/>
              </w:rPr>
            </w:pPr>
            <w:r>
              <w:rPr>
                <w:b/>
                <w:bCs/>
                <w:spacing w:val="-4"/>
                <w:sz w:val="16"/>
                <w:szCs w:val="16"/>
              </w:rPr>
              <w:t>20%</w:t>
            </w:r>
          </w:p>
        </w:tc>
        <w:tc>
          <w:tcPr>
            <w:tcW w:w="818" w:type="dxa"/>
            <w:vAlign w:val="top"/>
          </w:tcPr>
          <w:p w14:paraId="09577AC5">
            <w:pPr>
              <w:pStyle w:val="6"/>
              <w:spacing w:before="122" w:line="183" w:lineRule="auto"/>
              <w:ind w:left="288"/>
              <w:rPr>
                <w:sz w:val="16"/>
                <w:szCs w:val="16"/>
              </w:rPr>
            </w:pPr>
            <w:r>
              <w:rPr>
                <w:b/>
                <w:bCs/>
                <w:spacing w:val="-4"/>
                <w:sz w:val="16"/>
                <w:szCs w:val="16"/>
              </w:rPr>
              <w:t>20%</w:t>
            </w:r>
          </w:p>
        </w:tc>
        <w:tc>
          <w:tcPr>
            <w:tcW w:w="833" w:type="dxa"/>
            <w:vAlign w:val="top"/>
          </w:tcPr>
          <w:p w14:paraId="1C449203">
            <w:pPr>
              <w:pStyle w:val="6"/>
              <w:spacing w:before="122" w:line="183" w:lineRule="auto"/>
              <w:ind w:left="290"/>
              <w:rPr>
                <w:sz w:val="16"/>
                <w:szCs w:val="16"/>
              </w:rPr>
            </w:pPr>
            <w:r>
              <w:rPr>
                <w:b/>
                <w:bCs/>
                <w:spacing w:val="-4"/>
                <w:sz w:val="16"/>
                <w:szCs w:val="16"/>
              </w:rPr>
              <w:t>20%</w:t>
            </w:r>
          </w:p>
        </w:tc>
      </w:tr>
    </w:tbl>
    <w:p w14:paraId="3C4FDFF2">
      <w:pPr>
        <w:spacing w:before="61" w:line="219" w:lineRule="auto"/>
        <w:ind w:left="430"/>
        <w:rPr>
          <w:rFonts w:ascii="宋体" w:hAnsi="宋体" w:eastAsia="宋体" w:cs="宋体"/>
          <w:sz w:val="16"/>
          <w:szCs w:val="16"/>
        </w:rPr>
      </w:pPr>
      <w:r>
        <w:rPr>
          <w:rFonts w:ascii="宋体" w:hAnsi="宋体" w:eastAsia="宋体" w:cs="宋体"/>
          <w:spacing w:val="17"/>
          <w:sz w:val="16"/>
          <w:szCs w:val="16"/>
        </w:rPr>
        <w:t>(3)按题型分：</w:t>
      </w:r>
    </w:p>
    <w:p w14:paraId="56D80A48">
      <w:pPr>
        <w:spacing w:before="100" w:line="219" w:lineRule="auto"/>
        <w:ind w:left="380"/>
        <w:rPr>
          <w:rFonts w:ascii="宋体" w:hAnsi="宋体" w:eastAsia="宋体" w:cs="宋体"/>
          <w:sz w:val="17"/>
          <w:szCs w:val="17"/>
        </w:rPr>
      </w:pPr>
      <w:r>
        <w:rPr>
          <w:rFonts w:ascii="宋体" w:hAnsi="宋体" w:eastAsia="宋体" w:cs="宋体"/>
          <w:spacing w:val="-2"/>
          <w:sz w:val="17"/>
          <w:szCs w:val="17"/>
        </w:rPr>
        <w:t>第一部分：《旅游概论》</w:t>
      </w:r>
    </w:p>
    <w:p w14:paraId="697C6FE3">
      <w:pPr>
        <w:spacing w:line="26" w:lineRule="exact"/>
      </w:pPr>
    </w:p>
    <w:tbl>
      <w:tblPr>
        <w:tblStyle w:val="5"/>
        <w:tblW w:w="4140" w:type="dxa"/>
        <w:tblInd w:w="1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33"/>
        <w:gridCol w:w="828"/>
        <w:gridCol w:w="828"/>
        <w:gridCol w:w="828"/>
        <w:gridCol w:w="823"/>
      </w:tblGrid>
      <w:tr w14:paraId="776C93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0" w:hRule="atLeast"/>
        </w:trPr>
        <w:tc>
          <w:tcPr>
            <w:tcW w:w="833" w:type="dxa"/>
            <w:vAlign w:val="top"/>
          </w:tcPr>
          <w:p w14:paraId="1D6BCB78">
            <w:pPr>
              <w:pStyle w:val="6"/>
              <w:spacing w:before="81" w:line="221" w:lineRule="auto"/>
              <w:ind w:left="237"/>
            </w:pPr>
            <w:r>
              <w:rPr>
                <w:b/>
                <w:bCs/>
                <w:spacing w:val="-4"/>
              </w:rPr>
              <w:t>题型</w:t>
            </w:r>
          </w:p>
        </w:tc>
        <w:tc>
          <w:tcPr>
            <w:tcW w:w="828" w:type="dxa"/>
            <w:vAlign w:val="top"/>
          </w:tcPr>
          <w:p w14:paraId="269631BC">
            <w:pPr>
              <w:pStyle w:val="6"/>
              <w:spacing w:before="80" w:line="221" w:lineRule="auto"/>
              <w:ind w:left="154"/>
            </w:pPr>
            <w:r>
              <w:rPr>
                <w:b/>
                <w:bCs/>
                <w:spacing w:val="-4"/>
              </w:rPr>
              <w:t>选择题</w:t>
            </w:r>
          </w:p>
        </w:tc>
        <w:tc>
          <w:tcPr>
            <w:tcW w:w="828" w:type="dxa"/>
            <w:vAlign w:val="top"/>
          </w:tcPr>
          <w:p w14:paraId="505F13BD">
            <w:pPr>
              <w:pStyle w:val="6"/>
              <w:spacing w:before="79" w:line="219" w:lineRule="auto"/>
              <w:ind w:left="156"/>
            </w:pPr>
            <w:r>
              <w:rPr>
                <w:b/>
                <w:bCs/>
                <w:spacing w:val="-4"/>
              </w:rPr>
              <w:t>判断题</w:t>
            </w:r>
          </w:p>
        </w:tc>
        <w:tc>
          <w:tcPr>
            <w:tcW w:w="828" w:type="dxa"/>
            <w:vAlign w:val="top"/>
          </w:tcPr>
          <w:p w14:paraId="0F84D90E">
            <w:pPr>
              <w:pStyle w:val="6"/>
              <w:spacing w:before="78" w:line="219" w:lineRule="auto"/>
              <w:ind w:left="158"/>
            </w:pPr>
            <w:r>
              <w:rPr>
                <w:b/>
                <w:bCs/>
                <w:spacing w:val="-5"/>
              </w:rPr>
              <w:t>简答题</w:t>
            </w:r>
          </w:p>
        </w:tc>
        <w:tc>
          <w:tcPr>
            <w:tcW w:w="823" w:type="dxa"/>
            <w:vAlign w:val="top"/>
          </w:tcPr>
          <w:p w14:paraId="699C0ACA">
            <w:pPr>
              <w:pStyle w:val="6"/>
              <w:spacing w:before="80" w:line="220" w:lineRule="auto"/>
              <w:ind w:left="150"/>
            </w:pPr>
            <w:r>
              <w:rPr>
                <w:b/>
                <w:bCs/>
                <w:spacing w:val="-4"/>
              </w:rPr>
              <w:t>综述题</w:t>
            </w:r>
          </w:p>
        </w:tc>
      </w:tr>
      <w:tr w14:paraId="23AC84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0" w:hRule="atLeast"/>
        </w:trPr>
        <w:tc>
          <w:tcPr>
            <w:tcW w:w="833" w:type="dxa"/>
            <w:vAlign w:val="top"/>
          </w:tcPr>
          <w:p w14:paraId="0DE8DBEB">
            <w:pPr>
              <w:pStyle w:val="6"/>
              <w:spacing w:before="80" w:line="220" w:lineRule="auto"/>
              <w:ind w:left="157"/>
            </w:pPr>
            <w:r>
              <w:rPr>
                <w:b/>
                <w:bCs/>
                <w:spacing w:val="-5"/>
              </w:rPr>
              <w:t>百分比</w:t>
            </w:r>
          </w:p>
        </w:tc>
        <w:tc>
          <w:tcPr>
            <w:tcW w:w="828" w:type="dxa"/>
            <w:vAlign w:val="top"/>
          </w:tcPr>
          <w:p w14:paraId="57E50527">
            <w:pPr>
              <w:pStyle w:val="6"/>
              <w:spacing w:before="124" w:line="183" w:lineRule="auto"/>
              <w:ind w:left="274"/>
            </w:pPr>
            <w:r>
              <w:rPr>
                <w:b/>
                <w:bCs/>
                <w:spacing w:val="-4"/>
              </w:rPr>
              <w:t>40%</w:t>
            </w:r>
          </w:p>
        </w:tc>
        <w:tc>
          <w:tcPr>
            <w:tcW w:w="828" w:type="dxa"/>
            <w:vAlign w:val="top"/>
          </w:tcPr>
          <w:p w14:paraId="078B7163">
            <w:pPr>
              <w:pStyle w:val="6"/>
              <w:spacing w:before="124" w:line="183" w:lineRule="auto"/>
              <w:ind w:left="276"/>
            </w:pPr>
            <w:r>
              <w:rPr>
                <w:b/>
                <w:bCs/>
                <w:spacing w:val="-4"/>
              </w:rPr>
              <w:t>20%</w:t>
            </w:r>
          </w:p>
        </w:tc>
        <w:tc>
          <w:tcPr>
            <w:tcW w:w="828" w:type="dxa"/>
            <w:vAlign w:val="top"/>
          </w:tcPr>
          <w:p w14:paraId="1710C8FE">
            <w:pPr>
              <w:pStyle w:val="6"/>
              <w:spacing w:before="124" w:line="183" w:lineRule="auto"/>
              <w:ind w:left="278"/>
            </w:pPr>
            <w:r>
              <w:rPr>
                <w:b/>
                <w:bCs/>
                <w:spacing w:val="-4"/>
              </w:rPr>
              <w:t>20%</w:t>
            </w:r>
          </w:p>
        </w:tc>
        <w:tc>
          <w:tcPr>
            <w:tcW w:w="823" w:type="dxa"/>
            <w:vAlign w:val="top"/>
          </w:tcPr>
          <w:p w14:paraId="396E563D">
            <w:pPr>
              <w:pStyle w:val="6"/>
              <w:spacing w:before="124" w:line="183" w:lineRule="auto"/>
              <w:ind w:left="280"/>
            </w:pPr>
            <w:r>
              <w:rPr>
                <w:b/>
                <w:bCs/>
                <w:spacing w:val="-4"/>
              </w:rPr>
              <w:t>20%</w:t>
            </w:r>
          </w:p>
        </w:tc>
      </w:tr>
    </w:tbl>
    <w:p w14:paraId="7663C2A3">
      <w:pPr>
        <w:spacing w:before="52" w:line="219" w:lineRule="auto"/>
        <w:ind w:left="380"/>
        <w:rPr>
          <w:rFonts w:ascii="宋体" w:hAnsi="宋体" w:eastAsia="宋体" w:cs="宋体"/>
          <w:sz w:val="17"/>
          <w:szCs w:val="17"/>
        </w:rPr>
      </w:pPr>
      <w:r>
        <w:rPr>
          <w:rFonts w:ascii="宋体" w:hAnsi="宋体" w:eastAsia="宋体" w:cs="宋体"/>
          <w:spacing w:val="-1"/>
          <w:sz w:val="17"/>
          <w:szCs w:val="17"/>
        </w:rPr>
        <w:t>第二部分：《中国旅游地理》</w:t>
      </w:r>
    </w:p>
    <w:p w14:paraId="18FB69F5">
      <w:pPr>
        <w:spacing w:line="26" w:lineRule="exact"/>
      </w:pPr>
    </w:p>
    <w:tbl>
      <w:tblPr>
        <w:tblStyle w:val="5"/>
        <w:tblW w:w="4140" w:type="dxa"/>
        <w:tblInd w:w="2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33"/>
        <w:gridCol w:w="828"/>
        <w:gridCol w:w="828"/>
        <w:gridCol w:w="828"/>
        <w:gridCol w:w="823"/>
      </w:tblGrid>
      <w:tr w14:paraId="030F5D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9" w:hRule="atLeast"/>
        </w:trPr>
        <w:tc>
          <w:tcPr>
            <w:tcW w:w="833" w:type="dxa"/>
            <w:vAlign w:val="top"/>
          </w:tcPr>
          <w:p w14:paraId="6E2F7AC1">
            <w:pPr>
              <w:pStyle w:val="6"/>
              <w:spacing w:before="141" w:line="221" w:lineRule="auto"/>
              <w:ind w:left="237"/>
            </w:pPr>
            <w:r>
              <w:rPr>
                <w:b/>
                <w:bCs/>
                <w:spacing w:val="-4"/>
              </w:rPr>
              <w:t>题型</w:t>
            </w:r>
          </w:p>
        </w:tc>
        <w:tc>
          <w:tcPr>
            <w:tcW w:w="828" w:type="dxa"/>
            <w:vAlign w:val="top"/>
          </w:tcPr>
          <w:p w14:paraId="2FF7226C">
            <w:pPr>
              <w:pStyle w:val="6"/>
              <w:spacing w:before="20" w:line="222" w:lineRule="auto"/>
              <w:ind w:left="64" w:right="41" w:firstLine="89"/>
            </w:pPr>
            <w:r>
              <w:rPr>
                <w:b/>
                <w:bCs/>
                <w:spacing w:val="-4"/>
              </w:rPr>
              <w:t>选择题</w:t>
            </w:r>
            <w:r>
              <w:t xml:space="preserve">  </w:t>
            </w:r>
            <w:r>
              <w:rPr>
                <w:b/>
                <w:bCs/>
                <w:spacing w:val="4"/>
              </w:rPr>
              <w:t>(含多选)</w:t>
            </w:r>
          </w:p>
        </w:tc>
        <w:tc>
          <w:tcPr>
            <w:tcW w:w="828" w:type="dxa"/>
            <w:vAlign w:val="top"/>
          </w:tcPr>
          <w:p w14:paraId="40388FD5">
            <w:pPr>
              <w:pStyle w:val="6"/>
              <w:spacing w:before="239" w:line="206" w:lineRule="auto"/>
              <w:ind w:left="156"/>
            </w:pPr>
            <w:r>
              <w:rPr>
                <w:b/>
                <w:bCs/>
                <w:spacing w:val="-5"/>
              </w:rPr>
              <w:t>简答题</w:t>
            </w:r>
          </w:p>
        </w:tc>
        <w:tc>
          <w:tcPr>
            <w:tcW w:w="828" w:type="dxa"/>
            <w:vAlign w:val="top"/>
          </w:tcPr>
          <w:p w14:paraId="41557F5B">
            <w:pPr>
              <w:pStyle w:val="6"/>
              <w:spacing w:before="20" w:line="222" w:lineRule="auto"/>
              <w:ind w:left="238" w:right="158" w:hanging="80"/>
            </w:pPr>
            <w:r>
              <w:rPr>
                <w:b/>
                <w:bCs/>
                <w:spacing w:val="-5"/>
              </w:rPr>
              <w:t>绘图读</w:t>
            </w:r>
            <w:r>
              <w:t xml:space="preserve"> </w:t>
            </w:r>
            <w:r>
              <w:rPr>
                <w:b/>
                <w:bCs/>
              </w:rPr>
              <w:t>图题</w:t>
            </w:r>
          </w:p>
        </w:tc>
        <w:tc>
          <w:tcPr>
            <w:tcW w:w="823" w:type="dxa"/>
            <w:vAlign w:val="top"/>
          </w:tcPr>
          <w:p w14:paraId="269B7615">
            <w:pPr>
              <w:pStyle w:val="6"/>
              <w:spacing w:before="29" w:line="217" w:lineRule="auto"/>
              <w:ind w:left="150" w:right="161" w:firstLine="89"/>
            </w:pPr>
            <w:r>
              <w:rPr>
                <w:b/>
                <w:bCs/>
                <w:spacing w:val="-7"/>
              </w:rPr>
              <w:t>综合</w:t>
            </w:r>
            <w:r>
              <w:t xml:space="preserve">  </w:t>
            </w:r>
            <w:r>
              <w:rPr>
                <w:b/>
                <w:bCs/>
                <w:spacing w:val="-5"/>
              </w:rPr>
              <w:t>分析题</w:t>
            </w:r>
          </w:p>
        </w:tc>
      </w:tr>
      <w:tr w14:paraId="4AD04A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0" w:hRule="atLeast"/>
        </w:trPr>
        <w:tc>
          <w:tcPr>
            <w:tcW w:w="833" w:type="dxa"/>
            <w:vAlign w:val="top"/>
          </w:tcPr>
          <w:p w14:paraId="0115EAEB">
            <w:pPr>
              <w:pStyle w:val="6"/>
              <w:spacing w:before="81" w:line="220" w:lineRule="auto"/>
              <w:ind w:left="157"/>
            </w:pPr>
            <w:r>
              <w:rPr>
                <w:b/>
                <w:bCs/>
                <w:spacing w:val="-5"/>
              </w:rPr>
              <w:t>百分比</w:t>
            </w:r>
          </w:p>
        </w:tc>
        <w:tc>
          <w:tcPr>
            <w:tcW w:w="828" w:type="dxa"/>
            <w:vAlign w:val="top"/>
          </w:tcPr>
          <w:p w14:paraId="539C630B">
            <w:pPr>
              <w:pStyle w:val="6"/>
              <w:spacing w:before="125" w:line="183" w:lineRule="auto"/>
              <w:ind w:left="274"/>
            </w:pPr>
            <w:r>
              <w:rPr>
                <w:b/>
                <w:bCs/>
                <w:spacing w:val="-4"/>
              </w:rPr>
              <w:t>40%</w:t>
            </w:r>
          </w:p>
        </w:tc>
        <w:tc>
          <w:tcPr>
            <w:tcW w:w="828" w:type="dxa"/>
            <w:vAlign w:val="top"/>
          </w:tcPr>
          <w:p w14:paraId="318464A1">
            <w:pPr>
              <w:pStyle w:val="6"/>
              <w:spacing w:before="125" w:line="183" w:lineRule="auto"/>
              <w:ind w:left="276"/>
            </w:pPr>
            <w:r>
              <w:rPr>
                <w:b/>
                <w:bCs/>
                <w:spacing w:val="-4"/>
              </w:rPr>
              <w:t>20%</w:t>
            </w:r>
          </w:p>
        </w:tc>
        <w:tc>
          <w:tcPr>
            <w:tcW w:w="828" w:type="dxa"/>
            <w:vAlign w:val="top"/>
          </w:tcPr>
          <w:p w14:paraId="0FC01FD5">
            <w:pPr>
              <w:pStyle w:val="6"/>
              <w:spacing w:before="125" w:line="183" w:lineRule="auto"/>
              <w:ind w:left="278"/>
            </w:pPr>
            <w:r>
              <w:rPr>
                <w:b/>
                <w:bCs/>
                <w:spacing w:val="-4"/>
              </w:rPr>
              <w:t>20%</w:t>
            </w:r>
          </w:p>
        </w:tc>
        <w:tc>
          <w:tcPr>
            <w:tcW w:w="823" w:type="dxa"/>
            <w:vAlign w:val="top"/>
          </w:tcPr>
          <w:p w14:paraId="1DCF0E0F">
            <w:pPr>
              <w:pStyle w:val="6"/>
              <w:spacing w:before="125" w:line="183" w:lineRule="auto"/>
              <w:ind w:left="280"/>
            </w:pPr>
            <w:r>
              <w:rPr>
                <w:b/>
                <w:bCs/>
                <w:spacing w:val="-4"/>
              </w:rPr>
              <w:t>20%</w:t>
            </w:r>
          </w:p>
        </w:tc>
      </w:tr>
    </w:tbl>
    <w:p w14:paraId="4938F83C">
      <w:pPr>
        <w:spacing w:before="62" w:line="219" w:lineRule="auto"/>
        <w:ind w:left="380"/>
        <w:rPr>
          <w:rFonts w:ascii="宋体" w:hAnsi="宋体" w:eastAsia="宋体" w:cs="宋体"/>
          <w:sz w:val="18"/>
          <w:szCs w:val="18"/>
        </w:rPr>
      </w:pPr>
      <w:r>
        <w:rPr>
          <w:rFonts w:ascii="宋体" w:hAnsi="宋体" w:eastAsia="宋体" w:cs="宋体"/>
          <w:spacing w:val="-2"/>
          <w:sz w:val="18"/>
          <w:szCs w:val="18"/>
        </w:rPr>
        <w:t>第三部分：《导游实务》</w:t>
      </w:r>
    </w:p>
    <w:p w14:paraId="66FB66D1">
      <w:pPr>
        <w:spacing w:line="14" w:lineRule="exact"/>
      </w:pPr>
    </w:p>
    <w:tbl>
      <w:tblPr>
        <w:tblStyle w:val="5"/>
        <w:tblW w:w="4140" w:type="dxa"/>
        <w:tblInd w:w="2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33"/>
        <w:gridCol w:w="828"/>
        <w:gridCol w:w="828"/>
        <w:gridCol w:w="828"/>
        <w:gridCol w:w="823"/>
      </w:tblGrid>
      <w:tr w14:paraId="34478E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9" w:hRule="atLeast"/>
        </w:trPr>
        <w:tc>
          <w:tcPr>
            <w:tcW w:w="833" w:type="dxa"/>
            <w:vAlign w:val="top"/>
          </w:tcPr>
          <w:p w14:paraId="4135F062">
            <w:pPr>
              <w:pStyle w:val="6"/>
              <w:spacing w:before="141" w:line="221" w:lineRule="auto"/>
              <w:ind w:left="237"/>
            </w:pPr>
            <w:r>
              <w:rPr>
                <w:b/>
                <w:bCs/>
                <w:spacing w:val="-4"/>
              </w:rPr>
              <w:t>题型</w:t>
            </w:r>
          </w:p>
        </w:tc>
        <w:tc>
          <w:tcPr>
            <w:tcW w:w="828" w:type="dxa"/>
            <w:vAlign w:val="top"/>
          </w:tcPr>
          <w:p w14:paraId="6EA74627">
            <w:pPr>
              <w:pStyle w:val="6"/>
              <w:spacing w:before="140" w:line="221" w:lineRule="auto"/>
              <w:ind w:left="154"/>
            </w:pPr>
            <w:r>
              <w:rPr>
                <w:b/>
                <w:bCs/>
                <w:spacing w:val="-4"/>
              </w:rPr>
              <w:t>选择题</w:t>
            </w:r>
          </w:p>
        </w:tc>
        <w:tc>
          <w:tcPr>
            <w:tcW w:w="828" w:type="dxa"/>
            <w:vAlign w:val="top"/>
          </w:tcPr>
          <w:p w14:paraId="626C82AB">
            <w:pPr>
              <w:pStyle w:val="6"/>
              <w:spacing w:before="139" w:line="219" w:lineRule="auto"/>
              <w:ind w:left="156"/>
            </w:pPr>
            <w:r>
              <w:rPr>
                <w:b/>
                <w:bCs/>
                <w:spacing w:val="-4"/>
              </w:rPr>
              <w:t>判断题</w:t>
            </w:r>
          </w:p>
        </w:tc>
        <w:tc>
          <w:tcPr>
            <w:tcW w:w="828" w:type="dxa"/>
            <w:vAlign w:val="top"/>
          </w:tcPr>
          <w:p w14:paraId="3C5A7481">
            <w:pPr>
              <w:pStyle w:val="6"/>
              <w:spacing w:before="138" w:line="219" w:lineRule="auto"/>
              <w:ind w:left="158"/>
            </w:pPr>
            <w:r>
              <w:rPr>
                <w:b/>
                <w:bCs/>
                <w:spacing w:val="-5"/>
              </w:rPr>
              <w:t>简答题</w:t>
            </w:r>
          </w:p>
        </w:tc>
        <w:tc>
          <w:tcPr>
            <w:tcW w:w="823" w:type="dxa"/>
            <w:vAlign w:val="top"/>
          </w:tcPr>
          <w:p w14:paraId="637C6692">
            <w:pPr>
              <w:pStyle w:val="6"/>
              <w:spacing w:before="39" w:line="208" w:lineRule="auto"/>
              <w:ind w:left="150" w:right="161" w:firstLine="89"/>
            </w:pPr>
            <w:r>
              <w:rPr>
                <w:b/>
                <w:bCs/>
                <w:spacing w:val="-6"/>
              </w:rPr>
              <w:t>案例</w:t>
            </w:r>
            <w:r>
              <w:t xml:space="preserve">  </w:t>
            </w:r>
            <w:r>
              <w:rPr>
                <w:b/>
                <w:bCs/>
                <w:spacing w:val="-5"/>
              </w:rPr>
              <w:t>分析题</w:t>
            </w:r>
          </w:p>
        </w:tc>
      </w:tr>
      <w:tr w14:paraId="321DDE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0" w:hRule="atLeast"/>
        </w:trPr>
        <w:tc>
          <w:tcPr>
            <w:tcW w:w="833" w:type="dxa"/>
            <w:vAlign w:val="top"/>
          </w:tcPr>
          <w:p w14:paraId="6A59B823">
            <w:pPr>
              <w:pStyle w:val="6"/>
              <w:spacing w:before="80" w:line="220" w:lineRule="auto"/>
              <w:ind w:left="157"/>
            </w:pPr>
            <w:r>
              <w:rPr>
                <w:b/>
                <w:bCs/>
                <w:spacing w:val="-5"/>
              </w:rPr>
              <w:t>百分比</w:t>
            </w:r>
          </w:p>
        </w:tc>
        <w:tc>
          <w:tcPr>
            <w:tcW w:w="828" w:type="dxa"/>
            <w:vAlign w:val="top"/>
          </w:tcPr>
          <w:p w14:paraId="060B5581">
            <w:pPr>
              <w:pStyle w:val="6"/>
              <w:spacing w:before="125" w:line="183" w:lineRule="auto"/>
              <w:ind w:left="274"/>
            </w:pPr>
            <w:r>
              <w:rPr>
                <w:b/>
                <w:bCs/>
                <w:spacing w:val="-4"/>
              </w:rPr>
              <w:t>40%</w:t>
            </w:r>
          </w:p>
        </w:tc>
        <w:tc>
          <w:tcPr>
            <w:tcW w:w="828" w:type="dxa"/>
            <w:vAlign w:val="top"/>
          </w:tcPr>
          <w:p w14:paraId="7EF9DE54">
            <w:pPr>
              <w:pStyle w:val="6"/>
              <w:spacing w:before="125" w:line="183" w:lineRule="auto"/>
              <w:ind w:left="276"/>
            </w:pPr>
            <w:r>
              <w:rPr>
                <w:b/>
                <w:bCs/>
                <w:spacing w:val="-4"/>
              </w:rPr>
              <w:t>20%</w:t>
            </w:r>
          </w:p>
        </w:tc>
        <w:tc>
          <w:tcPr>
            <w:tcW w:w="828" w:type="dxa"/>
            <w:vAlign w:val="top"/>
          </w:tcPr>
          <w:p w14:paraId="5204E0CB">
            <w:pPr>
              <w:pStyle w:val="6"/>
              <w:spacing w:before="125" w:line="183" w:lineRule="auto"/>
              <w:ind w:left="278"/>
            </w:pPr>
            <w:r>
              <w:rPr>
                <w:b/>
                <w:bCs/>
                <w:spacing w:val="-4"/>
              </w:rPr>
              <w:t>20%</w:t>
            </w:r>
          </w:p>
        </w:tc>
        <w:tc>
          <w:tcPr>
            <w:tcW w:w="823" w:type="dxa"/>
            <w:vAlign w:val="top"/>
          </w:tcPr>
          <w:p w14:paraId="18CDF3AE">
            <w:pPr>
              <w:pStyle w:val="6"/>
              <w:spacing w:before="125" w:line="183" w:lineRule="auto"/>
              <w:ind w:left="280"/>
            </w:pPr>
            <w:r>
              <w:rPr>
                <w:b/>
                <w:bCs/>
                <w:spacing w:val="-4"/>
              </w:rPr>
              <w:t>20%</w:t>
            </w:r>
          </w:p>
        </w:tc>
      </w:tr>
    </w:tbl>
    <w:p w14:paraId="00A50D9C">
      <w:pPr>
        <w:pStyle w:val="2"/>
        <w:spacing w:line="448" w:lineRule="auto"/>
      </w:pPr>
    </w:p>
    <w:p w14:paraId="21BCB37C">
      <w:pPr>
        <w:spacing w:before="89" w:line="273" w:lineRule="auto"/>
        <w:ind w:left="1532" w:right="344" w:hanging="1239"/>
        <w:rPr>
          <w:rFonts w:ascii="黑体" w:hAnsi="黑体" w:eastAsia="黑体" w:cs="黑体"/>
          <w:sz w:val="27"/>
          <w:szCs w:val="27"/>
        </w:rPr>
      </w:pPr>
      <w:r>
        <w:rPr>
          <w:rFonts w:ascii="黑体" w:hAnsi="黑体" w:eastAsia="黑体" w:cs="黑体"/>
          <w:b/>
          <w:bCs/>
          <w:spacing w:val="22"/>
          <w:sz w:val="27"/>
          <w:szCs w:val="27"/>
        </w:rPr>
        <w:t>旅游大类(餐饮类)专业理论</w:t>
      </w:r>
      <w:r>
        <w:rPr>
          <w:rFonts w:ascii="黑体" w:hAnsi="黑体" w:eastAsia="黑体" w:cs="黑体"/>
          <w:spacing w:val="7"/>
          <w:sz w:val="27"/>
          <w:szCs w:val="27"/>
        </w:rPr>
        <w:t xml:space="preserve"> </w:t>
      </w:r>
      <w:r>
        <w:rPr>
          <w:rFonts w:ascii="黑体" w:hAnsi="黑体" w:eastAsia="黑体" w:cs="黑体"/>
          <w:b/>
          <w:bCs/>
          <w:spacing w:val="-5"/>
          <w:sz w:val="27"/>
          <w:szCs w:val="27"/>
        </w:rPr>
        <w:t>考试纲要</w:t>
      </w:r>
    </w:p>
    <w:p w14:paraId="759F900C">
      <w:pPr>
        <w:pStyle w:val="2"/>
        <w:spacing w:line="444" w:lineRule="auto"/>
      </w:pPr>
    </w:p>
    <w:p w14:paraId="51361335">
      <w:pPr>
        <w:spacing w:before="75" w:line="221" w:lineRule="auto"/>
        <w:ind w:left="3"/>
        <w:rPr>
          <w:rFonts w:ascii="黑体" w:hAnsi="黑体" w:eastAsia="黑体" w:cs="黑体"/>
          <w:sz w:val="23"/>
          <w:szCs w:val="23"/>
        </w:rPr>
      </w:pPr>
      <w:r>
        <w:rPr>
          <w:rFonts w:ascii="黑体" w:hAnsi="黑体" w:eastAsia="黑体" w:cs="黑体"/>
          <w:b/>
          <w:bCs/>
          <w:spacing w:val="-7"/>
          <w:sz w:val="23"/>
          <w:szCs w:val="23"/>
        </w:rPr>
        <w:t>一、考试范围和内容</w:t>
      </w:r>
    </w:p>
    <w:p w14:paraId="638D050F">
      <w:pPr>
        <w:tabs>
          <w:tab w:val="left" w:pos="80"/>
        </w:tabs>
        <w:spacing w:before="109" w:line="329" w:lineRule="auto"/>
        <w:ind w:right="19" w:firstLine="390"/>
        <w:jc w:val="both"/>
        <w:rPr>
          <w:rFonts w:ascii="宋体" w:hAnsi="宋体" w:eastAsia="宋体" w:cs="宋体"/>
          <w:sz w:val="16"/>
          <w:szCs w:val="16"/>
        </w:rPr>
      </w:pPr>
      <w:r>
        <w:rPr>
          <w:rFonts w:ascii="宋体" w:hAnsi="宋体" w:eastAsia="宋体" w:cs="宋体"/>
          <w:spacing w:val="17"/>
          <w:sz w:val="16"/>
          <w:szCs w:val="16"/>
        </w:rPr>
        <w:t>本纲要以教育部2017年颁布的《中等职</w:t>
      </w:r>
      <w:r>
        <w:rPr>
          <w:rFonts w:ascii="宋体" w:hAnsi="宋体" w:eastAsia="宋体" w:cs="宋体"/>
          <w:spacing w:val="16"/>
          <w:sz w:val="16"/>
          <w:szCs w:val="16"/>
        </w:rPr>
        <w:t>业学校专</w:t>
      </w:r>
      <w:r>
        <w:rPr>
          <w:rFonts w:ascii="宋体" w:hAnsi="宋体" w:eastAsia="宋体" w:cs="宋体"/>
          <w:sz w:val="16"/>
          <w:szCs w:val="16"/>
        </w:rPr>
        <w:t xml:space="preserve"> </w:t>
      </w:r>
      <w:r>
        <w:rPr>
          <w:rFonts w:ascii="黑体" w:hAnsi="黑体" w:eastAsia="黑体" w:cs="黑体"/>
          <w:spacing w:val="19"/>
          <w:sz w:val="16"/>
          <w:szCs w:val="16"/>
        </w:rPr>
        <w:t>业教学标准》(旅游服务类)为依据，以高等教育出版</w:t>
      </w:r>
      <w:r>
        <w:rPr>
          <w:rFonts w:ascii="黑体" w:hAnsi="黑体" w:eastAsia="黑体" w:cs="黑体"/>
          <w:sz w:val="16"/>
          <w:szCs w:val="16"/>
        </w:rPr>
        <w:t xml:space="preserve"> </w:t>
      </w:r>
      <w:r>
        <w:rPr>
          <w:rFonts w:ascii="宋体" w:hAnsi="宋体" w:eastAsia="宋体" w:cs="宋体"/>
          <w:spacing w:val="12"/>
          <w:sz w:val="16"/>
          <w:szCs w:val="16"/>
        </w:rPr>
        <w:t>社“十四五”职业教育国家规划教材为蓝本，其中《烹</w:t>
      </w:r>
      <w:r>
        <w:rPr>
          <w:rFonts w:ascii="宋体" w:hAnsi="宋体" w:eastAsia="宋体" w:cs="宋体"/>
          <w:spacing w:val="9"/>
          <w:sz w:val="16"/>
          <w:szCs w:val="16"/>
        </w:rPr>
        <w:t xml:space="preserve"> </w:t>
      </w:r>
      <w:r>
        <w:rPr>
          <w:rFonts w:ascii="宋体" w:hAnsi="宋体" w:eastAsia="宋体" w:cs="宋体"/>
          <w:spacing w:val="17"/>
          <w:sz w:val="16"/>
          <w:szCs w:val="16"/>
        </w:rPr>
        <w:t>饪概论》陈光新主编(高等教育出版社，2019年</w:t>
      </w:r>
      <w:r>
        <w:rPr>
          <w:rFonts w:ascii="宋体" w:hAnsi="宋体" w:eastAsia="宋体" w:cs="宋体"/>
          <w:spacing w:val="16"/>
          <w:sz w:val="16"/>
          <w:szCs w:val="16"/>
        </w:rPr>
        <w:t>9月第</w:t>
      </w:r>
      <w:r>
        <w:rPr>
          <w:rFonts w:ascii="宋体" w:hAnsi="宋体" w:eastAsia="宋体" w:cs="宋体"/>
          <w:sz w:val="16"/>
          <w:szCs w:val="16"/>
        </w:rPr>
        <w:t xml:space="preserve">  </w:t>
      </w:r>
      <w:r>
        <w:rPr>
          <w:rFonts w:ascii="宋体" w:hAnsi="宋体" w:eastAsia="宋体" w:cs="宋体"/>
          <w:spacing w:val="7"/>
          <w:sz w:val="16"/>
          <w:szCs w:val="16"/>
        </w:rPr>
        <w:t xml:space="preserve">四版)、《烹饪原料知识》孙一慰主编(高等教育出版社， </w:t>
      </w:r>
      <w:r>
        <w:rPr>
          <w:rFonts w:ascii="宋体" w:hAnsi="宋体" w:eastAsia="宋体" w:cs="宋体"/>
          <w:spacing w:val="17"/>
          <w:sz w:val="16"/>
          <w:szCs w:val="16"/>
        </w:rPr>
        <w:t>2022年2月第三版)、《食品营养与卫生》余桂恩主编</w:t>
      </w:r>
      <w:r>
        <w:rPr>
          <w:rFonts w:ascii="宋体" w:hAnsi="宋体" w:eastAsia="宋体" w:cs="宋体"/>
          <w:spacing w:val="18"/>
          <w:sz w:val="16"/>
          <w:szCs w:val="16"/>
        </w:rPr>
        <w:t xml:space="preserve"> </w:t>
      </w:r>
      <w:r>
        <w:rPr>
          <w:rFonts w:ascii="宋体" w:hAnsi="宋体" w:eastAsia="宋体" w:cs="宋体"/>
          <w:sz w:val="16"/>
          <w:szCs w:val="16"/>
        </w:rPr>
        <w:tab/>
      </w:r>
      <w:r>
        <w:rPr>
          <w:rFonts w:ascii="宋体" w:hAnsi="宋体" w:eastAsia="宋体" w:cs="宋体"/>
          <w:spacing w:val="20"/>
          <w:sz w:val="16"/>
          <w:szCs w:val="16"/>
        </w:rPr>
        <w:t>(高等教育出版社，2022年2月第二版),同时参考其</w:t>
      </w:r>
      <w:r>
        <w:rPr>
          <w:rFonts w:ascii="宋体" w:hAnsi="宋体" w:eastAsia="宋体" w:cs="宋体"/>
          <w:spacing w:val="15"/>
          <w:sz w:val="16"/>
          <w:szCs w:val="16"/>
        </w:rPr>
        <w:t xml:space="preserve"> </w:t>
      </w:r>
      <w:r>
        <w:rPr>
          <w:rFonts w:ascii="宋体" w:hAnsi="宋体" w:eastAsia="宋体" w:cs="宋体"/>
          <w:spacing w:val="8"/>
          <w:sz w:val="16"/>
          <w:szCs w:val="16"/>
        </w:rPr>
        <w:t>他出版社的中等职业学校专业课程教材。</w:t>
      </w:r>
    </w:p>
    <w:p w14:paraId="0C017127">
      <w:pPr>
        <w:spacing w:before="13" w:line="321" w:lineRule="auto"/>
        <w:ind w:firstLine="360"/>
        <w:jc w:val="both"/>
        <w:rPr>
          <w:rFonts w:ascii="宋体" w:hAnsi="宋体" w:eastAsia="宋体" w:cs="宋体"/>
          <w:sz w:val="16"/>
          <w:szCs w:val="16"/>
        </w:rPr>
      </w:pPr>
      <w:r>
        <w:rPr>
          <w:rFonts w:ascii="宋体" w:hAnsi="宋体" w:eastAsia="宋体" w:cs="宋体"/>
          <w:spacing w:val="12"/>
          <w:sz w:val="16"/>
          <w:szCs w:val="16"/>
        </w:rPr>
        <w:t>《烹饪概论》主要内容包括：走进“烹饪概论”课</w:t>
      </w:r>
      <w:r>
        <w:rPr>
          <w:rFonts w:ascii="宋体" w:hAnsi="宋体" w:eastAsia="宋体" w:cs="宋体"/>
          <w:spacing w:val="4"/>
          <w:sz w:val="16"/>
          <w:szCs w:val="16"/>
        </w:rPr>
        <w:t xml:space="preserve"> </w:t>
      </w:r>
      <w:r>
        <w:rPr>
          <w:rFonts w:ascii="宋体" w:hAnsi="宋体" w:eastAsia="宋体" w:cs="宋体"/>
          <w:spacing w:val="11"/>
          <w:sz w:val="16"/>
          <w:szCs w:val="16"/>
        </w:rPr>
        <w:t>程、中国烹饪简史、中国烹饪原理和技术规范、中国菜</w:t>
      </w:r>
      <w:r>
        <w:rPr>
          <w:rFonts w:ascii="宋体" w:hAnsi="宋体" w:eastAsia="宋体" w:cs="宋体"/>
          <w:spacing w:val="6"/>
          <w:sz w:val="16"/>
          <w:szCs w:val="16"/>
        </w:rPr>
        <w:t xml:space="preserve">  </w:t>
      </w:r>
      <w:r>
        <w:rPr>
          <w:rFonts w:ascii="宋体" w:hAnsi="宋体" w:eastAsia="宋体" w:cs="宋体"/>
          <w:spacing w:val="12"/>
          <w:sz w:val="16"/>
          <w:szCs w:val="16"/>
        </w:rPr>
        <w:t>点、中国筵宴、中国烹饪风味流派、中国饮食民俗、中</w:t>
      </w:r>
      <w:r>
        <w:rPr>
          <w:rFonts w:ascii="宋体" w:hAnsi="宋体" w:eastAsia="宋体" w:cs="宋体"/>
          <w:spacing w:val="9"/>
          <w:sz w:val="16"/>
          <w:szCs w:val="16"/>
        </w:rPr>
        <w:t xml:space="preserve">  </w:t>
      </w:r>
      <w:r>
        <w:rPr>
          <w:rFonts w:ascii="黑体" w:hAnsi="黑体" w:eastAsia="黑体" w:cs="黑体"/>
          <w:spacing w:val="12"/>
          <w:sz w:val="16"/>
          <w:szCs w:val="16"/>
        </w:rPr>
        <w:t>国饮食文化、中国当代餐饮市场等九个部分。《烹饪原</w:t>
      </w:r>
      <w:r>
        <w:rPr>
          <w:rFonts w:ascii="黑体" w:hAnsi="黑体" w:eastAsia="黑体" w:cs="黑体"/>
          <w:spacing w:val="6"/>
          <w:sz w:val="16"/>
          <w:szCs w:val="16"/>
        </w:rPr>
        <w:t xml:space="preserve">  </w:t>
      </w:r>
      <w:r>
        <w:rPr>
          <w:rFonts w:ascii="宋体" w:hAnsi="宋体" w:eastAsia="宋体" w:cs="宋体"/>
          <w:spacing w:val="15"/>
          <w:sz w:val="16"/>
          <w:szCs w:val="16"/>
        </w:rPr>
        <w:t>料知识》主要内容包括：烹饪原料概述、主配原料-粮</w:t>
      </w:r>
      <w:r>
        <w:rPr>
          <w:rFonts w:ascii="宋体" w:hAnsi="宋体" w:eastAsia="宋体" w:cs="宋体"/>
          <w:spacing w:val="7"/>
          <w:sz w:val="16"/>
          <w:szCs w:val="16"/>
        </w:rPr>
        <w:t xml:space="preserve">  </w:t>
      </w:r>
      <w:r>
        <w:rPr>
          <w:rFonts w:ascii="宋体" w:hAnsi="宋体" w:eastAsia="宋体" w:cs="宋体"/>
          <w:spacing w:val="17"/>
          <w:sz w:val="16"/>
          <w:szCs w:val="16"/>
        </w:rPr>
        <w:t>食类、主配原料-蔬菜类、主配原料-</w:t>
      </w:r>
      <w:r>
        <w:rPr>
          <w:rFonts w:ascii="宋体" w:hAnsi="宋体" w:eastAsia="宋体" w:cs="宋体"/>
          <w:spacing w:val="-44"/>
          <w:sz w:val="16"/>
          <w:szCs w:val="16"/>
        </w:rPr>
        <w:t xml:space="preserve"> </w:t>
      </w:r>
      <w:r>
        <w:rPr>
          <w:rFonts w:ascii="宋体" w:hAnsi="宋体" w:eastAsia="宋体" w:cs="宋体"/>
          <w:spacing w:val="17"/>
          <w:sz w:val="16"/>
          <w:szCs w:val="16"/>
        </w:rPr>
        <w:t>畜禽类、主</w:t>
      </w:r>
      <w:r>
        <w:rPr>
          <w:rFonts w:ascii="宋体" w:hAnsi="宋体" w:eastAsia="宋体" w:cs="宋体"/>
          <w:spacing w:val="16"/>
          <w:sz w:val="16"/>
          <w:szCs w:val="16"/>
        </w:rPr>
        <w:t>配原</w:t>
      </w:r>
      <w:r>
        <w:rPr>
          <w:rFonts w:ascii="宋体" w:hAnsi="宋体" w:eastAsia="宋体" w:cs="宋体"/>
          <w:sz w:val="16"/>
          <w:szCs w:val="16"/>
        </w:rPr>
        <w:t xml:space="preserve">  </w:t>
      </w:r>
      <w:r>
        <w:rPr>
          <w:rFonts w:ascii="宋体" w:hAnsi="宋体" w:eastAsia="宋体" w:cs="宋体"/>
          <w:spacing w:val="19"/>
          <w:sz w:val="16"/>
          <w:szCs w:val="16"/>
        </w:rPr>
        <w:t>料-水产品类、主配原料-果品类、调味原料、佐助原</w:t>
      </w:r>
      <w:r>
        <w:rPr>
          <w:rFonts w:ascii="宋体" w:hAnsi="宋体" w:eastAsia="宋体" w:cs="宋体"/>
          <w:spacing w:val="2"/>
          <w:sz w:val="16"/>
          <w:szCs w:val="16"/>
        </w:rPr>
        <w:t xml:space="preserve">  </w:t>
      </w:r>
      <w:r>
        <w:rPr>
          <w:rFonts w:ascii="宋体" w:hAnsi="宋体" w:eastAsia="宋体" w:cs="宋体"/>
          <w:spacing w:val="12"/>
          <w:sz w:val="16"/>
          <w:szCs w:val="16"/>
        </w:rPr>
        <w:t>料、地方名特原料(暂不做考试要求)等九个部</w:t>
      </w:r>
      <w:r>
        <w:rPr>
          <w:rFonts w:ascii="宋体" w:hAnsi="宋体" w:eastAsia="宋体" w:cs="宋体"/>
          <w:spacing w:val="11"/>
          <w:sz w:val="16"/>
          <w:szCs w:val="16"/>
        </w:rPr>
        <w:t>分。《食</w:t>
      </w:r>
      <w:r>
        <w:rPr>
          <w:rFonts w:ascii="宋体" w:hAnsi="宋体" w:eastAsia="宋体" w:cs="宋体"/>
          <w:sz w:val="16"/>
          <w:szCs w:val="16"/>
        </w:rPr>
        <w:t xml:space="preserve">  </w:t>
      </w:r>
      <w:r>
        <w:rPr>
          <w:rFonts w:ascii="宋体" w:hAnsi="宋体" w:eastAsia="宋体" w:cs="宋体"/>
          <w:spacing w:val="2"/>
          <w:sz w:val="16"/>
          <w:szCs w:val="16"/>
        </w:rPr>
        <w:t>品营养与卫生》主要内容包括：绪论、人体必需的</w:t>
      </w:r>
      <w:r>
        <w:rPr>
          <w:rFonts w:ascii="宋体" w:hAnsi="宋体" w:eastAsia="宋体" w:cs="宋体"/>
          <w:spacing w:val="1"/>
          <w:sz w:val="16"/>
          <w:szCs w:val="16"/>
        </w:rPr>
        <w:t>营养素、</w:t>
      </w:r>
      <w:r>
        <w:rPr>
          <w:rFonts w:ascii="宋体" w:hAnsi="宋体" w:eastAsia="宋体" w:cs="宋体"/>
          <w:sz w:val="16"/>
          <w:szCs w:val="16"/>
        </w:rPr>
        <w:t xml:space="preserve"> </w:t>
      </w:r>
      <w:r>
        <w:rPr>
          <w:rFonts w:ascii="宋体" w:hAnsi="宋体" w:eastAsia="宋体" w:cs="宋体"/>
          <w:spacing w:val="12"/>
          <w:sz w:val="16"/>
          <w:szCs w:val="16"/>
        </w:rPr>
        <w:t>各类食物的营养价值、合理营养与平衡膳食、食品安全</w:t>
      </w:r>
      <w:r>
        <w:rPr>
          <w:rFonts w:ascii="宋体" w:hAnsi="宋体" w:eastAsia="宋体" w:cs="宋体"/>
          <w:spacing w:val="4"/>
          <w:sz w:val="16"/>
          <w:szCs w:val="16"/>
        </w:rPr>
        <w:t xml:space="preserve">  </w:t>
      </w:r>
      <w:r>
        <w:rPr>
          <w:rFonts w:ascii="宋体" w:hAnsi="宋体" w:eastAsia="宋体" w:cs="宋体"/>
          <w:spacing w:val="7"/>
          <w:sz w:val="16"/>
          <w:szCs w:val="16"/>
        </w:rPr>
        <w:t>管理等五个部分。</w:t>
      </w:r>
    </w:p>
    <w:p w14:paraId="31E0024D">
      <w:pPr>
        <w:spacing w:before="101" w:line="221" w:lineRule="auto"/>
        <w:ind w:left="3"/>
        <w:rPr>
          <w:rFonts w:ascii="黑体" w:hAnsi="黑体" w:eastAsia="黑体" w:cs="黑体"/>
          <w:sz w:val="23"/>
          <w:szCs w:val="23"/>
        </w:rPr>
      </w:pPr>
      <w:r>
        <w:rPr>
          <w:rFonts w:ascii="黑体" w:hAnsi="黑体" w:eastAsia="黑体" w:cs="黑体"/>
          <w:b/>
          <w:bCs/>
          <w:spacing w:val="-6"/>
          <w:sz w:val="23"/>
          <w:szCs w:val="23"/>
        </w:rPr>
        <w:t>二、考试目标和水平层次</w:t>
      </w:r>
    </w:p>
    <w:p w14:paraId="615FC317">
      <w:pPr>
        <w:spacing w:before="27" w:line="206" w:lineRule="auto"/>
        <w:ind w:left="580"/>
        <w:rPr>
          <w:rFonts w:ascii="宋体" w:hAnsi="宋体" w:eastAsia="宋体" w:cs="宋体"/>
          <w:sz w:val="16"/>
          <w:szCs w:val="16"/>
        </w:rPr>
      </w:pPr>
      <w:r>
        <w:rPr>
          <w:rFonts w:ascii="宋体" w:hAnsi="宋体" w:eastAsia="宋体" w:cs="宋体"/>
          <w:spacing w:val="9"/>
          <w:sz w:val="16"/>
          <w:szCs w:val="16"/>
        </w:rPr>
        <w:t>考试目标是考试要求的具体化，每个考试目标包</w:t>
      </w:r>
    </w:p>
    <w:p w14:paraId="53C7BEF0">
      <w:pPr>
        <w:spacing w:line="206" w:lineRule="auto"/>
        <w:rPr>
          <w:rFonts w:ascii="宋体" w:hAnsi="宋体" w:eastAsia="宋体" w:cs="宋体"/>
          <w:sz w:val="16"/>
          <w:szCs w:val="16"/>
        </w:rPr>
        <w:sectPr>
          <w:type w:val="continuous"/>
          <w:pgSz w:w="10660" w:h="15080"/>
          <w:pgMar w:top="400" w:right="980" w:bottom="927" w:left="819" w:header="0" w:footer="718" w:gutter="0"/>
          <w:cols w:equalWidth="0" w:num="2">
            <w:col w:w="4550" w:space="100"/>
            <w:col w:w="4210"/>
          </w:cols>
        </w:sectPr>
      </w:pPr>
    </w:p>
    <w:p w14:paraId="2B4AD41F">
      <w:pPr>
        <w:spacing w:before="10"/>
      </w:pPr>
    </w:p>
    <w:p w14:paraId="51AC7025">
      <w:pPr>
        <w:spacing w:before="10"/>
      </w:pPr>
    </w:p>
    <w:p w14:paraId="40BC7767">
      <w:pPr>
        <w:spacing w:before="10"/>
      </w:pPr>
    </w:p>
    <w:p w14:paraId="4FBFD800">
      <w:pPr>
        <w:spacing w:before="9"/>
      </w:pPr>
    </w:p>
    <w:p w14:paraId="03841F7F">
      <w:pPr>
        <w:sectPr>
          <w:footerReference r:id="rId53" w:type="default"/>
          <w:pgSz w:w="10660" w:h="15080"/>
          <w:pgMar w:top="400" w:right="885" w:bottom="925" w:left="1019" w:header="0" w:footer="705" w:gutter="0"/>
          <w:cols w:equalWidth="0" w:num="1">
            <w:col w:w="8755"/>
          </w:cols>
        </w:sectPr>
      </w:pPr>
    </w:p>
    <w:p w14:paraId="6695C7D6">
      <w:pPr>
        <w:spacing w:before="10" w:line="312" w:lineRule="auto"/>
        <w:ind w:left="10" w:right="279" w:firstLine="10"/>
        <w:jc w:val="both"/>
        <w:rPr>
          <w:rFonts w:ascii="宋体" w:hAnsi="宋体" w:eastAsia="宋体" w:cs="宋体"/>
          <w:sz w:val="17"/>
          <w:szCs w:val="17"/>
        </w:rPr>
      </w:pPr>
      <w:r>
        <w:rPr>
          <w:rFonts w:ascii="宋体" w:hAnsi="宋体" w:eastAsia="宋体" w:cs="宋体"/>
          <w:spacing w:val="2"/>
          <w:sz w:val="17"/>
          <w:szCs w:val="17"/>
        </w:rPr>
        <w:t>含知识与技能要点、考试条目和考试水平三个方</w:t>
      </w:r>
      <w:r>
        <w:rPr>
          <w:rFonts w:ascii="宋体" w:hAnsi="宋体" w:eastAsia="宋体" w:cs="宋体"/>
          <w:spacing w:val="1"/>
          <w:sz w:val="17"/>
          <w:szCs w:val="17"/>
        </w:rPr>
        <w:t>面。考</w:t>
      </w:r>
      <w:r>
        <w:rPr>
          <w:rFonts w:ascii="宋体" w:hAnsi="宋体" w:eastAsia="宋体" w:cs="宋体"/>
          <w:sz w:val="17"/>
          <w:szCs w:val="17"/>
        </w:rPr>
        <w:t xml:space="preserve">  试水平由低到高分为四个层次，它们依次是：</w:t>
      </w:r>
      <w:r>
        <w:rPr>
          <w:rFonts w:ascii="Times New Roman" w:hAnsi="Times New Roman" w:eastAsia="Times New Roman" w:cs="Times New Roman"/>
          <w:sz w:val="17"/>
          <w:szCs w:val="17"/>
        </w:rPr>
        <w:t>A</w:t>
      </w:r>
      <w:r>
        <w:rPr>
          <w:rFonts w:ascii="宋体" w:hAnsi="宋体" w:eastAsia="宋体" w:cs="宋体"/>
          <w:sz w:val="17"/>
          <w:szCs w:val="17"/>
        </w:rPr>
        <w:t>(识记)、</w:t>
      </w:r>
      <w:r>
        <w:rPr>
          <w:rFonts w:ascii="宋体" w:hAnsi="宋体" w:eastAsia="宋体" w:cs="宋体"/>
          <w:spacing w:val="1"/>
          <w:sz w:val="17"/>
          <w:szCs w:val="17"/>
        </w:rPr>
        <w:t xml:space="preserve"> </w:t>
      </w:r>
      <w:r>
        <w:rPr>
          <w:rFonts w:ascii="Times New Roman" w:hAnsi="Times New Roman" w:eastAsia="Times New Roman" w:cs="Times New Roman"/>
          <w:spacing w:val="-2"/>
          <w:sz w:val="17"/>
          <w:szCs w:val="17"/>
        </w:rPr>
        <w:t>B</w:t>
      </w:r>
      <w:r>
        <w:rPr>
          <w:rFonts w:ascii="宋体" w:hAnsi="宋体" w:eastAsia="宋体" w:cs="宋体"/>
          <w:spacing w:val="-2"/>
          <w:sz w:val="17"/>
          <w:szCs w:val="17"/>
        </w:rPr>
        <w:t>(理解)、</w:t>
      </w:r>
      <w:r>
        <w:rPr>
          <w:rFonts w:ascii="Times New Roman" w:hAnsi="Times New Roman" w:eastAsia="Times New Roman" w:cs="Times New Roman"/>
          <w:spacing w:val="-2"/>
          <w:sz w:val="17"/>
          <w:szCs w:val="17"/>
        </w:rPr>
        <w:t>C</w:t>
      </w:r>
      <w:r>
        <w:rPr>
          <w:rFonts w:ascii="宋体" w:hAnsi="宋体" w:eastAsia="宋体" w:cs="宋体"/>
          <w:spacing w:val="-2"/>
          <w:sz w:val="17"/>
          <w:szCs w:val="17"/>
        </w:rPr>
        <w:t>(掌握)、</w:t>
      </w:r>
      <w:r>
        <w:rPr>
          <w:rFonts w:ascii="Times New Roman" w:hAnsi="Times New Roman" w:eastAsia="Times New Roman" w:cs="Times New Roman"/>
          <w:spacing w:val="-2"/>
          <w:sz w:val="17"/>
          <w:szCs w:val="17"/>
        </w:rPr>
        <w:t>D</w:t>
      </w:r>
      <w:r>
        <w:rPr>
          <w:rFonts w:ascii="宋体" w:hAnsi="宋体" w:eastAsia="宋体" w:cs="宋体"/>
          <w:spacing w:val="-2"/>
          <w:sz w:val="17"/>
          <w:szCs w:val="17"/>
        </w:rPr>
        <w:t>(综合运用)。</w:t>
      </w:r>
    </w:p>
    <w:p w14:paraId="2A79B88E">
      <w:pPr>
        <w:spacing w:before="9" w:line="306" w:lineRule="auto"/>
        <w:ind w:left="10" w:right="280" w:firstLine="540"/>
        <w:jc w:val="both"/>
        <w:rPr>
          <w:rFonts w:ascii="宋体" w:hAnsi="宋体" w:eastAsia="宋体" w:cs="宋体"/>
          <w:sz w:val="17"/>
          <w:szCs w:val="17"/>
        </w:rPr>
      </w:pPr>
      <w:r>
        <w:rPr>
          <w:rFonts w:ascii="Times New Roman" w:hAnsi="Times New Roman" w:eastAsia="Times New Roman" w:cs="Times New Roman"/>
          <w:spacing w:val="2"/>
          <w:sz w:val="17"/>
          <w:szCs w:val="17"/>
        </w:rPr>
        <w:t>A</w:t>
      </w:r>
      <w:r>
        <w:rPr>
          <w:rFonts w:ascii="宋体" w:hAnsi="宋体" w:eastAsia="宋体" w:cs="宋体"/>
          <w:spacing w:val="2"/>
          <w:sz w:val="17"/>
          <w:szCs w:val="17"/>
        </w:rPr>
        <w:t>(识记):指对知识的识别和记忆，正确的回忆、</w:t>
      </w:r>
      <w:r>
        <w:rPr>
          <w:rFonts w:ascii="宋体" w:hAnsi="宋体" w:eastAsia="宋体" w:cs="宋体"/>
          <w:spacing w:val="10"/>
          <w:sz w:val="17"/>
          <w:szCs w:val="17"/>
        </w:rPr>
        <w:t xml:space="preserve"> </w:t>
      </w:r>
      <w:r>
        <w:rPr>
          <w:rFonts w:ascii="宋体" w:hAnsi="宋体" w:eastAsia="宋体" w:cs="宋体"/>
          <w:spacing w:val="2"/>
          <w:sz w:val="17"/>
          <w:szCs w:val="17"/>
        </w:rPr>
        <w:t>再认、再现学过的专业课知识，即在记忆水平上考核考</w:t>
      </w:r>
      <w:r>
        <w:rPr>
          <w:rFonts w:ascii="宋体" w:hAnsi="宋体" w:eastAsia="宋体" w:cs="宋体"/>
          <w:spacing w:val="3"/>
          <w:sz w:val="17"/>
          <w:szCs w:val="17"/>
        </w:rPr>
        <w:t xml:space="preserve">  </w:t>
      </w:r>
      <w:r>
        <w:rPr>
          <w:rFonts w:ascii="宋体" w:hAnsi="宋体" w:eastAsia="宋体" w:cs="宋体"/>
          <w:spacing w:val="-2"/>
          <w:sz w:val="17"/>
          <w:szCs w:val="17"/>
        </w:rPr>
        <w:t>生的学习结果。例如维生素的概念。</w:t>
      </w:r>
    </w:p>
    <w:p w14:paraId="1A37EBA0">
      <w:pPr>
        <w:spacing w:before="27" w:line="310" w:lineRule="auto"/>
        <w:ind w:right="324" w:firstLine="540"/>
        <w:jc w:val="both"/>
        <w:rPr>
          <w:rFonts w:ascii="宋体" w:hAnsi="宋体" w:eastAsia="宋体" w:cs="宋体"/>
          <w:sz w:val="17"/>
          <w:szCs w:val="17"/>
        </w:rPr>
      </w:pPr>
      <w:r>
        <w:rPr>
          <w:rFonts w:ascii="Times New Roman" w:hAnsi="Times New Roman" w:eastAsia="Times New Roman" w:cs="Times New Roman"/>
          <w:spacing w:val="9"/>
          <w:sz w:val="17"/>
          <w:szCs w:val="17"/>
        </w:rPr>
        <w:t>B</w:t>
      </w:r>
      <w:r>
        <w:rPr>
          <w:rFonts w:ascii="宋体" w:hAnsi="宋体" w:eastAsia="宋体" w:cs="宋体"/>
          <w:spacing w:val="9"/>
          <w:sz w:val="17"/>
          <w:szCs w:val="17"/>
        </w:rPr>
        <w:t>(理解):指对知识进一步认识。除了包括“识</w:t>
      </w:r>
      <w:r>
        <w:rPr>
          <w:rFonts w:ascii="宋体" w:hAnsi="宋体" w:eastAsia="宋体" w:cs="宋体"/>
          <w:spacing w:val="2"/>
          <w:sz w:val="17"/>
          <w:szCs w:val="17"/>
        </w:rPr>
        <w:t xml:space="preserve"> 记”的要求外，还应了解所学知识的确切含义以及与其</w:t>
      </w:r>
      <w:r>
        <w:rPr>
          <w:rFonts w:ascii="宋体" w:hAnsi="宋体" w:eastAsia="宋体" w:cs="宋体"/>
          <w:spacing w:val="18"/>
          <w:sz w:val="17"/>
          <w:szCs w:val="17"/>
        </w:rPr>
        <w:t xml:space="preserve"> </w:t>
      </w:r>
      <w:r>
        <w:rPr>
          <w:rFonts w:ascii="宋体" w:hAnsi="宋体" w:eastAsia="宋体" w:cs="宋体"/>
          <w:spacing w:val="2"/>
          <w:sz w:val="17"/>
          <w:szCs w:val="17"/>
        </w:rPr>
        <w:t>相关知识的内在联系，即要求考生能从实质上领会所学</w:t>
      </w:r>
      <w:r>
        <w:rPr>
          <w:rFonts w:ascii="宋体" w:hAnsi="宋体" w:eastAsia="宋体" w:cs="宋体"/>
          <w:spacing w:val="10"/>
          <w:sz w:val="17"/>
          <w:szCs w:val="17"/>
        </w:rPr>
        <w:t xml:space="preserve"> </w:t>
      </w:r>
      <w:r>
        <w:rPr>
          <w:rFonts w:ascii="宋体" w:hAnsi="宋体" w:eastAsia="宋体" w:cs="宋体"/>
          <w:spacing w:val="2"/>
          <w:sz w:val="17"/>
          <w:szCs w:val="17"/>
        </w:rPr>
        <w:t>知识的含义，以及相关知识之间的内在联系。例如鱼类</w:t>
      </w:r>
      <w:r>
        <w:rPr>
          <w:rFonts w:ascii="宋体" w:hAnsi="宋体" w:eastAsia="宋体" w:cs="宋体"/>
          <w:spacing w:val="8"/>
          <w:sz w:val="17"/>
          <w:szCs w:val="17"/>
        </w:rPr>
        <w:t xml:space="preserve"> </w:t>
      </w:r>
      <w:r>
        <w:rPr>
          <w:rFonts w:ascii="宋体" w:hAnsi="宋体" w:eastAsia="宋体" w:cs="宋体"/>
          <w:spacing w:val="6"/>
          <w:sz w:val="17"/>
          <w:szCs w:val="17"/>
        </w:rPr>
        <w:t>食品的蛋白质和脂肪的营养特点是什么?为什</w:t>
      </w:r>
      <w:r>
        <w:rPr>
          <w:rFonts w:ascii="宋体" w:hAnsi="宋体" w:eastAsia="宋体" w:cs="宋体"/>
          <w:spacing w:val="5"/>
          <w:sz w:val="17"/>
          <w:szCs w:val="17"/>
        </w:rPr>
        <w:t>么容易消</w:t>
      </w:r>
      <w:r>
        <w:rPr>
          <w:rFonts w:ascii="宋体" w:hAnsi="宋体" w:eastAsia="宋体" w:cs="宋体"/>
          <w:sz w:val="17"/>
          <w:szCs w:val="17"/>
        </w:rPr>
        <w:t xml:space="preserve"> </w:t>
      </w:r>
      <w:r>
        <w:rPr>
          <w:rFonts w:ascii="宋体" w:hAnsi="宋体" w:eastAsia="宋体" w:cs="宋体"/>
          <w:spacing w:val="-6"/>
          <w:sz w:val="17"/>
          <w:szCs w:val="17"/>
        </w:rPr>
        <w:t>化吸收等。</w:t>
      </w:r>
    </w:p>
    <w:p w14:paraId="1CA205A2">
      <w:pPr>
        <w:spacing w:before="24" w:line="306" w:lineRule="auto"/>
        <w:ind w:left="10" w:right="351" w:firstLine="359"/>
        <w:jc w:val="both"/>
        <w:rPr>
          <w:rFonts w:ascii="宋体" w:hAnsi="宋体" w:eastAsia="宋体" w:cs="宋体"/>
          <w:sz w:val="17"/>
          <w:szCs w:val="17"/>
        </w:rPr>
      </w:pPr>
      <w:r>
        <w:rPr>
          <w:rFonts w:ascii="Times New Roman" w:hAnsi="Times New Roman" w:eastAsia="Times New Roman" w:cs="Times New Roman"/>
          <w:spacing w:val="15"/>
          <w:sz w:val="17"/>
          <w:szCs w:val="17"/>
        </w:rPr>
        <w:t>C</w:t>
      </w:r>
      <w:r>
        <w:rPr>
          <w:rFonts w:ascii="宋体" w:hAnsi="宋体" w:eastAsia="宋体" w:cs="宋体"/>
          <w:spacing w:val="15"/>
          <w:sz w:val="17"/>
          <w:szCs w:val="17"/>
        </w:rPr>
        <w:t>(掌握):在理解的基础上，用所学过的理论知</w:t>
      </w:r>
      <w:r>
        <w:rPr>
          <w:rFonts w:ascii="宋体" w:hAnsi="宋体" w:eastAsia="宋体" w:cs="宋体"/>
          <w:spacing w:val="13"/>
          <w:sz w:val="17"/>
          <w:szCs w:val="17"/>
        </w:rPr>
        <w:t xml:space="preserve"> </w:t>
      </w:r>
      <w:r>
        <w:rPr>
          <w:rFonts w:ascii="宋体" w:hAnsi="宋体" w:eastAsia="宋体" w:cs="宋体"/>
          <w:spacing w:val="1"/>
          <w:sz w:val="17"/>
          <w:szCs w:val="17"/>
        </w:rPr>
        <w:t>识及方法解决现实情况下出现的简单问题，即考核学生</w:t>
      </w:r>
      <w:r>
        <w:rPr>
          <w:rFonts w:ascii="宋体" w:hAnsi="宋体" w:eastAsia="宋体" w:cs="宋体"/>
          <w:spacing w:val="13"/>
          <w:sz w:val="17"/>
          <w:szCs w:val="17"/>
        </w:rPr>
        <w:t xml:space="preserve"> </w:t>
      </w:r>
      <w:r>
        <w:rPr>
          <w:rFonts w:ascii="宋体" w:hAnsi="宋体" w:eastAsia="宋体" w:cs="宋体"/>
          <w:spacing w:val="-2"/>
          <w:sz w:val="17"/>
          <w:szCs w:val="17"/>
        </w:rPr>
        <w:t>在新的情况中解决问题的初步能力。</w:t>
      </w:r>
    </w:p>
    <w:p w14:paraId="5E2E44FE">
      <w:pPr>
        <w:spacing w:before="34" w:line="220" w:lineRule="auto"/>
        <w:ind w:left="390"/>
        <w:rPr>
          <w:rFonts w:ascii="宋体" w:hAnsi="宋体" w:eastAsia="宋体" w:cs="宋体"/>
          <w:sz w:val="16"/>
          <w:szCs w:val="16"/>
        </w:rPr>
      </w:pPr>
      <w:r>
        <w:rPr>
          <w:rFonts w:ascii="宋体" w:hAnsi="宋体" w:eastAsia="宋体" w:cs="宋体"/>
          <w:sz w:val="16"/>
          <w:szCs w:val="16"/>
        </w:rPr>
        <w:t>例如填表比较：</w:t>
      </w:r>
    </w:p>
    <w:p w14:paraId="509FF9DF">
      <w:pPr>
        <w:spacing w:line="18" w:lineRule="exact"/>
      </w:pPr>
    </w:p>
    <w:tbl>
      <w:tblPr>
        <w:tblStyle w:val="5"/>
        <w:tblW w:w="4130" w:type="dxa"/>
        <w:tblInd w:w="2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422"/>
        <w:gridCol w:w="748"/>
        <w:gridCol w:w="798"/>
        <w:gridCol w:w="1162"/>
      </w:tblGrid>
      <w:tr w14:paraId="75E3C8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40" w:hRule="atLeast"/>
        </w:trPr>
        <w:tc>
          <w:tcPr>
            <w:tcW w:w="1422" w:type="dxa"/>
            <w:tcBorders>
              <w:tl2br w:val="single" w:color="000000" w:sz="4" w:space="0"/>
            </w:tcBorders>
            <w:vAlign w:val="top"/>
          </w:tcPr>
          <w:p w14:paraId="57ACDBEE">
            <w:pPr>
              <w:pStyle w:val="6"/>
              <w:spacing w:before="73" w:line="221" w:lineRule="auto"/>
              <w:ind w:left="764"/>
              <w:rPr>
                <w:sz w:val="18"/>
                <w:szCs w:val="18"/>
              </w:rPr>
            </w:pPr>
            <w:r>
              <w:rPr>
                <w:spacing w:val="-3"/>
                <w:sz w:val="18"/>
                <w:szCs w:val="18"/>
              </w:rPr>
              <w:t>谷物</w:t>
            </w:r>
          </w:p>
          <w:p w14:paraId="5739B475">
            <w:pPr>
              <w:pStyle w:val="6"/>
              <w:spacing w:before="23" w:line="219" w:lineRule="auto"/>
              <w:ind w:left="144"/>
              <w:rPr>
                <w:sz w:val="18"/>
                <w:szCs w:val="18"/>
              </w:rPr>
            </w:pPr>
            <w:r>
              <w:rPr>
                <w:spacing w:val="7"/>
                <w:sz w:val="18"/>
                <w:szCs w:val="18"/>
              </w:rPr>
              <w:t>类别</w:t>
            </w:r>
          </w:p>
        </w:tc>
        <w:tc>
          <w:tcPr>
            <w:tcW w:w="748" w:type="dxa"/>
            <w:vAlign w:val="top"/>
          </w:tcPr>
          <w:p w14:paraId="5B77A6B7">
            <w:pPr>
              <w:pStyle w:val="6"/>
              <w:spacing w:before="183" w:line="220" w:lineRule="auto"/>
              <w:ind w:left="213"/>
              <w:rPr>
                <w:sz w:val="18"/>
                <w:szCs w:val="18"/>
              </w:rPr>
            </w:pPr>
            <w:r>
              <w:rPr>
                <w:spacing w:val="-3"/>
                <w:sz w:val="18"/>
                <w:szCs w:val="18"/>
              </w:rPr>
              <w:t>大豆</w:t>
            </w:r>
          </w:p>
        </w:tc>
        <w:tc>
          <w:tcPr>
            <w:tcW w:w="798" w:type="dxa"/>
            <w:vAlign w:val="top"/>
          </w:tcPr>
          <w:p w14:paraId="3289CE3D">
            <w:pPr>
              <w:pStyle w:val="6"/>
              <w:spacing w:before="181" w:line="219" w:lineRule="auto"/>
              <w:ind w:left="224"/>
              <w:rPr>
                <w:sz w:val="18"/>
                <w:szCs w:val="18"/>
              </w:rPr>
            </w:pPr>
            <w:r>
              <w:rPr>
                <w:spacing w:val="4"/>
                <w:sz w:val="18"/>
                <w:szCs w:val="18"/>
              </w:rPr>
              <w:t>小麦</w:t>
            </w:r>
          </w:p>
        </w:tc>
        <w:tc>
          <w:tcPr>
            <w:tcW w:w="1162" w:type="dxa"/>
            <w:vAlign w:val="top"/>
          </w:tcPr>
          <w:p w14:paraId="35DA4DC7">
            <w:pPr>
              <w:pStyle w:val="6"/>
              <w:spacing w:before="182" w:line="219" w:lineRule="auto"/>
              <w:ind w:left="406"/>
              <w:rPr>
                <w:sz w:val="18"/>
                <w:szCs w:val="18"/>
              </w:rPr>
            </w:pPr>
            <w:r>
              <w:rPr>
                <w:spacing w:val="-3"/>
                <w:sz w:val="18"/>
                <w:szCs w:val="18"/>
              </w:rPr>
              <w:t>大米</w:t>
            </w:r>
          </w:p>
        </w:tc>
      </w:tr>
      <w:tr w14:paraId="27F083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7" w:hRule="atLeast"/>
        </w:trPr>
        <w:tc>
          <w:tcPr>
            <w:tcW w:w="1422" w:type="dxa"/>
            <w:vAlign w:val="top"/>
          </w:tcPr>
          <w:p w14:paraId="674C4573">
            <w:pPr>
              <w:pStyle w:val="6"/>
              <w:spacing w:before="53" w:line="219" w:lineRule="auto"/>
              <w:ind w:left="404"/>
              <w:rPr>
                <w:sz w:val="18"/>
                <w:szCs w:val="18"/>
              </w:rPr>
            </w:pPr>
            <w:r>
              <w:rPr>
                <w:spacing w:val="5"/>
                <w:sz w:val="18"/>
                <w:szCs w:val="18"/>
              </w:rPr>
              <w:t>烹饪应用</w:t>
            </w:r>
          </w:p>
        </w:tc>
        <w:tc>
          <w:tcPr>
            <w:tcW w:w="748" w:type="dxa"/>
            <w:vAlign w:val="top"/>
          </w:tcPr>
          <w:p w14:paraId="76E59FEA">
            <w:pPr>
              <w:rPr>
                <w:rFonts w:ascii="Arial"/>
                <w:sz w:val="21"/>
              </w:rPr>
            </w:pPr>
          </w:p>
        </w:tc>
        <w:tc>
          <w:tcPr>
            <w:tcW w:w="798" w:type="dxa"/>
            <w:vAlign w:val="top"/>
          </w:tcPr>
          <w:p w14:paraId="6A6A2B84">
            <w:pPr>
              <w:rPr>
                <w:rFonts w:ascii="Arial"/>
                <w:sz w:val="21"/>
              </w:rPr>
            </w:pPr>
          </w:p>
        </w:tc>
        <w:tc>
          <w:tcPr>
            <w:tcW w:w="1162" w:type="dxa"/>
            <w:vAlign w:val="top"/>
          </w:tcPr>
          <w:p w14:paraId="38B264F6">
            <w:pPr>
              <w:rPr>
                <w:rFonts w:ascii="Arial"/>
                <w:sz w:val="21"/>
              </w:rPr>
            </w:pPr>
          </w:p>
        </w:tc>
      </w:tr>
      <w:tr w14:paraId="091192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3" w:hRule="atLeast"/>
        </w:trPr>
        <w:tc>
          <w:tcPr>
            <w:tcW w:w="1422" w:type="dxa"/>
            <w:vAlign w:val="top"/>
          </w:tcPr>
          <w:p w14:paraId="3A189D82">
            <w:pPr>
              <w:pStyle w:val="6"/>
              <w:spacing w:before="44" w:line="214" w:lineRule="auto"/>
              <w:ind w:left="404"/>
              <w:rPr>
                <w:sz w:val="18"/>
                <w:szCs w:val="18"/>
              </w:rPr>
            </w:pPr>
            <w:r>
              <w:rPr>
                <w:spacing w:val="-3"/>
                <w:sz w:val="18"/>
                <w:szCs w:val="18"/>
              </w:rPr>
              <w:t>营养价值</w:t>
            </w:r>
          </w:p>
        </w:tc>
        <w:tc>
          <w:tcPr>
            <w:tcW w:w="748" w:type="dxa"/>
            <w:vAlign w:val="top"/>
          </w:tcPr>
          <w:p w14:paraId="024A8680">
            <w:pPr>
              <w:rPr>
                <w:rFonts w:ascii="Arial"/>
                <w:sz w:val="21"/>
              </w:rPr>
            </w:pPr>
          </w:p>
        </w:tc>
        <w:tc>
          <w:tcPr>
            <w:tcW w:w="798" w:type="dxa"/>
            <w:vAlign w:val="top"/>
          </w:tcPr>
          <w:p w14:paraId="2D2C5988">
            <w:pPr>
              <w:rPr>
                <w:rFonts w:ascii="Arial"/>
                <w:sz w:val="21"/>
              </w:rPr>
            </w:pPr>
          </w:p>
        </w:tc>
        <w:tc>
          <w:tcPr>
            <w:tcW w:w="1162" w:type="dxa"/>
            <w:vAlign w:val="top"/>
          </w:tcPr>
          <w:p w14:paraId="735D5595">
            <w:pPr>
              <w:rPr>
                <w:rFonts w:ascii="Arial"/>
                <w:sz w:val="21"/>
              </w:rPr>
            </w:pPr>
          </w:p>
        </w:tc>
      </w:tr>
    </w:tbl>
    <w:p w14:paraId="5CFE9EAA">
      <w:pPr>
        <w:spacing w:before="63" w:line="312" w:lineRule="auto"/>
        <w:ind w:right="348" w:firstLine="380"/>
        <w:rPr>
          <w:rFonts w:ascii="宋体" w:hAnsi="宋体" w:eastAsia="宋体" w:cs="宋体"/>
          <w:sz w:val="17"/>
          <w:szCs w:val="17"/>
        </w:rPr>
      </w:pPr>
      <w:r>
        <w:rPr>
          <w:rFonts w:ascii="Times New Roman" w:hAnsi="Times New Roman" w:eastAsia="Times New Roman" w:cs="Times New Roman"/>
          <w:spacing w:val="5"/>
          <w:sz w:val="17"/>
          <w:szCs w:val="17"/>
        </w:rPr>
        <w:t>D</w:t>
      </w:r>
      <w:r>
        <w:rPr>
          <w:rFonts w:ascii="宋体" w:hAnsi="宋体" w:eastAsia="宋体" w:cs="宋体"/>
          <w:spacing w:val="5"/>
          <w:sz w:val="17"/>
          <w:szCs w:val="17"/>
        </w:rPr>
        <w:t>(综合应用):综合运用所学的理论专业课知识，</w:t>
      </w:r>
      <w:r>
        <w:rPr>
          <w:rFonts w:ascii="宋体" w:hAnsi="宋体" w:eastAsia="宋体" w:cs="宋体"/>
          <w:spacing w:val="11"/>
          <w:sz w:val="17"/>
          <w:szCs w:val="17"/>
        </w:rPr>
        <w:t xml:space="preserve"> </w:t>
      </w:r>
      <w:r>
        <w:rPr>
          <w:rFonts w:ascii="宋体" w:hAnsi="宋体" w:eastAsia="宋体" w:cs="宋体"/>
          <w:spacing w:val="2"/>
          <w:sz w:val="17"/>
          <w:szCs w:val="17"/>
        </w:rPr>
        <w:t>去分析、判断、解决现实情况中较复杂的问题，要求考</w:t>
      </w:r>
      <w:r>
        <w:rPr>
          <w:rFonts w:ascii="宋体" w:hAnsi="宋体" w:eastAsia="宋体" w:cs="宋体"/>
          <w:spacing w:val="17"/>
          <w:sz w:val="17"/>
          <w:szCs w:val="17"/>
        </w:rPr>
        <w:t xml:space="preserve"> </w:t>
      </w:r>
      <w:r>
        <w:rPr>
          <w:rFonts w:ascii="宋体" w:hAnsi="宋体" w:eastAsia="宋体" w:cs="宋体"/>
          <w:spacing w:val="2"/>
          <w:sz w:val="17"/>
          <w:szCs w:val="17"/>
        </w:rPr>
        <w:t>生对知识有较强的综合运用能力。例如要求考生运用课</w:t>
      </w:r>
      <w:r>
        <w:rPr>
          <w:rFonts w:ascii="宋体" w:hAnsi="宋体" w:eastAsia="宋体" w:cs="宋体"/>
          <w:spacing w:val="7"/>
          <w:sz w:val="17"/>
          <w:szCs w:val="17"/>
        </w:rPr>
        <w:t xml:space="preserve"> </w:t>
      </w:r>
      <w:r>
        <w:rPr>
          <w:rFonts w:ascii="宋体" w:hAnsi="宋体" w:eastAsia="宋体" w:cs="宋体"/>
          <w:spacing w:val="2"/>
          <w:sz w:val="17"/>
          <w:szCs w:val="17"/>
        </w:rPr>
        <w:t>本所学知识，谈谈案例题中烹饪原料的保管问题以及如</w:t>
      </w:r>
      <w:r>
        <w:rPr>
          <w:rFonts w:ascii="宋体" w:hAnsi="宋体" w:eastAsia="宋体" w:cs="宋体"/>
          <w:spacing w:val="13"/>
          <w:sz w:val="17"/>
          <w:szCs w:val="17"/>
        </w:rPr>
        <w:t xml:space="preserve"> </w:t>
      </w:r>
      <w:r>
        <w:rPr>
          <w:rFonts w:ascii="宋体" w:hAnsi="宋体" w:eastAsia="宋体" w:cs="宋体"/>
          <w:spacing w:val="-6"/>
          <w:sz w:val="17"/>
          <w:szCs w:val="17"/>
        </w:rPr>
        <w:t>何鉴别等。</w:t>
      </w:r>
    </w:p>
    <w:p w14:paraId="29985F55">
      <w:pPr>
        <w:spacing w:before="60" w:line="221" w:lineRule="auto"/>
        <w:ind w:left="10"/>
        <w:rPr>
          <w:rFonts w:ascii="黑体" w:hAnsi="黑体" w:eastAsia="黑体" w:cs="黑体"/>
          <w:sz w:val="17"/>
          <w:szCs w:val="17"/>
        </w:rPr>
      </w:pPr>
      <w:r>
        <w:rPr>
          <w:rFonts w:ascii="黑体" w:hAnsi="黑体" w:eastAsia="黑体" w:cs="黑体"/>
          <w:spacing w:val="-10"/>
          <w:sz w:val="17"/>
          <w:szCs w:val="17"/>
        </w:rPr>
        <w:t>三</w:t>
      </w:r>
      <w:r>
        <w:rPr>
          <w:rFonts w:ascii="黑体" w:hAnsi="黑体" w:eastAsia="黑体" w:cs="黑体"/>
          <w:spacing w:val="53"/>
          <w:w w:val="101"/>
          <w:sz w:val="17"/>
          <w:szCs w:val="17"/>
        </w:rPr>
        <w:t xml:space="preserve"> </w:t>
      </w:r>
      <w:r>
        <w:rPr>
          <w:rFonts w:ascii="黑体" w:hAnsi="黑体" w:eastAsia="黑体" w:cs="黑体"/>
          <w:spacing w:val="-10"/>
          <w:sz w:val="17"/>
          <w:szCs w:val="17"/>
        </w:rPr>
        <w:t>、考</w:t>
      </w:r>
      <w:r>
        <w:rPr>
          <w:rFonts w:ascii="黑体" w:hAnsi="黑体" w:eastAsia="黑体" w:cs="黑体"/>
          <w:spacing w:val="7"/>
          <w:sz w:val="17"/>
          <w:szCs w:val="17"/>
        </w:rPr>
        <w:t xml:space="preserve"> </w:t>
      </w:r>
      <w:r>
        <w:rPr>
          <w:rFonts w:ascii="黑体" w:hAnsi="黑体" w:eastAsia="黑体" w:cs="黑体"/>
          <w:spacing w:val="-10"/>
          <w:sz w:val="17"/>
          <w:szCs w:val="17"/>
        </w:rPr>
        <w:t>试</w:t>
      </w:r>
      <w:r>
        <w:rPr>
          <w:rFonts w:ascii="黑体" w:hAnsi="黑体" w:eastAsia="黑体" w:cs="黑体"/>
          <w:spacing w:val="26"/>
          <w:w w:val="101"/>
          <w:sz w:val="17"/>
          <w:szCs w:val="17"/>
        </w:rPr>
        <w:t xml:space="preserve"> </w:t>
      </w:r>
      <w:r>
        <w:rPr>
          <w:rFonts w:ascii="黑体" w:hAnsi="黑体" w:eastAsia="黑体" w:cs="黑体"/>
          <w:spacing w:val="-10"/>
          <w:sz w:val="17"/>
          <w:szCs w:val="17"/>
        </w:rPr>
        <w:t>目 标</w:t>
      </w:r>
    </w:p>
    <w:p w14:paraId="2C979369">
      <w:pPr>
        <w:pStyle w:val="2"/>
        <w:spacing w:line="428" w:lineRule="auto"/>
      </w:pPr>
    </w:p>
    <w:p w14:paraId="0927FA38">
      <w:pPr>
        <w:spacing w:before="56" w:line="221" w:lineRule="auto"/>
        <w:ind w:left="1190"/>
        <w:rPr>
          <w:rFonts w:ascii="黑体" w:hAnsi="黑体" w:eastAsia="黑体" w:cs="黑体"/>
          <w:sz w:val="17"/>
          <w:szCs w:val="17"/>
        </w:rPr>
      </w:pPr>
      <w:r>
        <w:rPr>
          <w:rFonts w:ascii="黑体" w:hAnsi="黑体" w:eastAsia="黑体" w:cs="黑体"/>
          <w:spacing w:val="-2"/>
          <w:sz w:val="17"/>
          <w:szCs w:val="17"/>
        </w:rPr>
        <w:t>第</w:t>
      </w:r>
      <w:r>
        <w:rPr>
          <w:rFonts w:ascii="黑体" w:hAnsi="黑体" w:eastAsia="黑体" w:cs="黑体"/>
          <w:spacing w:val="-33"/>
          <w:sz w:val="17"/>
          <w:szCs w:val="17"/>
        </w:rPr>
        <w:t xml:space="preserve"> </w:t>
      </w:r>
      <w:r>
        <w:rPr>
          <w:rFonts w:ascii="黑体" w:hAnsi="黑体" w:eastAsia="黑体" w:cs="黑体"/>
          <w:spacing w:val="-2"/>
          <w:sz w:val="17"/>
          <w:szCs w:val="17"/>
        </w:rPr>
        <w:t>一</w:t>
      </w:r>
      <w:r>
        <w:rPr>
          <w:rFonts w:ascii="黑体" w:hAnsi="黑体" w:eastAsia="黑体" w:cs="黑体"/>
          <w:spacing w:val="-36"/>
          <w:sz w:val="17"/>
          <w:szCs w:val="17"/>
        </w:rPr>
        <w:t xml:space="preserve"> </w:t>
      </w:r>
      <w:r>
        <w:rPr>
          <w:rFonts w:ascii="黑体" w:hAnsi="黑体" w:eastAsia="黑体" w:cs="黑体"/>
          <w:spacing w:val="-2"/>
          <w:sz w:val="17"/>
          <w:szCs w:val="17"/>
        </w:rPr>
        <w:t>部分</w:t>
      </w:r>
      <w:r>
        <w:rPr>
          <w:rFonts w:ascii="黑体" w:hAnsi="黑体" w:eastAsia="黑体" w:cs="黑体"/>
          <w:spacing w:val="12"/>
          <w:sz w:val="17"/>
          <w:szCs w:val="17"/>
        </w:rPr>
        <w:t xml:space="preserve">  </w:t>
      </w:r>
      <w:r>
        <w:rPr>
          <w:rFonts w:ascii="黑体" w:hAnsi="黑体" w:eastAsia="黑体" w:cs="黑体"/>
          <w:spacing w:val="-2"/>
          <w:sz w:val="17"/>
          <w:szCs w:val="17"/>
        </w:rPr>
        <w:t>烹</w:t>
      </w:r>
      <w:r>
        <w:rPr>
          <w:rFonts w:ascii="黑体" w:hAnsi="黑体" w:eastAsia="黑体" w:cs="黑体"/>
          <w:spacing w:val="-38"/>
          <w:sz w:val="17"/>
          <w:szCs w:val="17"/>
        </w:rPr>
        <w:t xml:space="preserve"> </w:t>
      </w:r>
      <w:r>
        <w:rPr>
          <w:rFonts w:ascii="黑体" w:hAnsi="黑体" w:eastAsia="黑体" w:cs="黑体"/>
          <w:spacing w:val="-2"/>
          <w:sz w:val="17"/>
          <w:szCs w:val="17"/>
        </w:rPr>
        <w:t>饪</w:t>
      </w:r>
      <w:r>
        <w:rPr>
          <w:rFonts w:ascii="黑体" w:hAnsi="黑体" w:eastAsia="黑体" w:cs="黑体"/>
          <w:spacing w:val="-39"/>
          <w:sz w:val="17"/>
          <w:szCs w:val="17"/>
        </w:rPr>
        <w:t xml:space="preserve"> </w:t>
      </w:r>
      <w:r>
        <w:rPr>
          <w:rFonts w:ascii="黑体" w:hAnsi="黑体" w:eastAsia="黑体" w:cs="黑体"/>
          <w:spacing w:val="-2"/>
          <w:sz w:val="17"/>
          <w:szCs w:val="17"/>
        </w:rPr>
        <w:t>概</w:t>
      </w:r>
      <w:r>
        <w:rPr>
          <w:rFonts w:ascii="黑体" w:hAnsi="黑体" w:eastAsia="黑体" w:cs="黑体"/>
          <w:spacing w:val="-35"/>
          <w:sz w:val="17"/>
          <w:szCs w:val="17"/>
        </w:rPr>
        <w:t xml:space="preserve"> </w:t>
      </w:r>
      <w:r>
        <w:rPr>
          <w:rFonts w:ascii="黑体" w:hAnsi="黑体" w:eastAsia="黑体" w:cs="黑体"/>
          <w:spacing w:val="-2"/>
          <w:sz w:val="17"/>
          <w:szCs w:val="17"/>
        </w:rPr>
        <w:t>论</w:t>
      </w:r>
    </w:p>
    <w:p w14:paraId="6EEE97AA">
      <w:pPr>
        <w:spacing w:before="19" w:line="220" w:lineRule="auto"/>
        <w:ind w:left="380"/>
        <w:rPr>
          <w:rFonts w:ascii="宋体" w:hAnsi="宋体" w:eastAsia="宋体" w:cs="宋体"/>
          <w:sz w:val="16"/>
          <w:szCs w:val="16"/>
        </w:rPr>
      </w:pPr>
      <w:r>
        <w:rPr>
          <w:rFonts w:ascii="宋体" w:hAnsi="宋体" w:eastAsia="宋体" w:cs="宋体"/>
          <w:spacing w:val="-3"/>
          <w:sz w:val="16"/>
          <w:szCs w:val="16"/>
        </w:rPr>
        <w:t>绪论</w:t>
      </w:r>
    </w:p>
    <w:p w14:paraId="261B639A">
      <w:pPr>
        <w:spacing w:line="27" w:lineRule="exact"/>
      </w:pPr>
    </w:p>
    <w:tbl>
      <w:tblPr>
        <w:tblStyle w:val="5"/>
        <w:tblW w:w="4119" w:type="dxa"/>
        <w:tblInd w:w="2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24"/>
        <w:gridCol w:w="220"/>
        <w:gridCol w:w="229"/>
        <w:gridCol w:w="229"/>
        <w:gridCol w:w="224"/>
      </w:tblGrid>
      <w:tr w14:paraId="6C56B3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2" w:hRule="atLeast"/>
        </w:trPr>
        <w:tc>
          <w:tcPr>
            <w:tcW w:w="893" w:type="dxa"/>
            <w:vMerge w:val="restart"/>
            <w:tcBorders>
              <w:bottom w:val="nil"/>
            </w:tcBorders>
            <w:vAlign w:val="top"/>
          </w:tcPr>
          <w:p w14:paraId="715A460A">
            <w:pPr>
              <w:pStyle w:val="6"/>
              <w:spacing w:before="131" w:line="220" w:lineRule="auto"/>
              <w:ind w:left="266" w:right="25" w:hanging="249"/>
            </w:pPr>
            <w:r>
              <w:rPr>
                <w:b/>
                <w:bCs/>
                <w:spacing w:val="-4"/>
              </w:rPr>
              <w:t>知识与技能</w:t>
            </w:r>
            <w:r>
              <w:t xml:space="preserve"> </w:t>
            </w:r>
            <w:r>
              <w:rPr>
                <w:b/>
                <w:bCs/>
                <w:spacing w:val="-4"/>
              </w:rPr>
              <w:t>要点</w:t>
            </w:r>
          </w:p>
        </w:tc>
        <w:tc>
          <w:tcPr>
            <w:tcW w:w="2324" w:type="dxa"/>
            <w:vMerge w:val="restart"/>
            <w:tcBorders>
              <w:bottom w:val="nil"/>
            </w:tcBorders>
            <w:vAlign w:val="top"/>
          </w:tcPr>
          <w:p w14:paraId="1B170B49">
            <w:pPr>
              <w:pStyle w:val="6"/>
              <w:spacing w:before="249" w:line="219" w:lineRule="auto"/>
              <w:ind w:left="814"/>
            </w:pPr>
            <w:r>
              <w:rPr>
                <w:b/>
                <w:bCs/>
                <w:spacing w:val="5"/>
              </w:rPr>
              <w:t>考试条目</w:t>
            </w:r>
          </w:p>
        </w:tc>
        <w:tc>
          <w:tcPr>
            <w:tcW w:w="902" w:type="dxa"/>
            <w:gridSpan w:val="4"/>
            <w:vAlign w:val="top"/>
          </w:tcPr>
          <w:p w14:paraId="15F9A736">
            <w:pPr>
              <w:pStyle w:val="6"/>
              <w:spacing w:before="79" w:line="219" w:lineRule="auto"/>
              <w:ind w:left="120"/>
            </w:pPr>
            <w:r>
              <w:rPr>
                <w:b/>
                <w:bCs/>
                <w:spacing w:val="-4"/>
              </w:rPr>
              <w:t>考试水平</w:t>
            </w:r>
          </w:p>
        </w:tc>
      </w:tr>
      <w:tr w14:paraId="2BB62B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8" w:hRule="atLeast"/>
        </w:trPr>
        <w:tc>
          <w:tcPr>
            <w:tcW w:w="893" w:type="dxa"/>
            <w:vMerge w:val="continue"/>
            <w:tcBorders>
              <w:top w:val="nil"/>
            </w:tcBorders>
            <w:vAlign w:val="top"/>
          </w:tcPr>
          <w:p w14:paraId="2E621898">
            <w:pPr>
              <w:rPr>
                <w:rFonts w:ascii="Arial"/>
                <w:sz w:val="21"/>
              </w:rPr>
            </w:pPr>
          </w:p>
        </w:tc>
        <w:tc>
          <w:tcPr>
            <w:tcW w:w="2324" w:type="dxa"/>
            <w:vMerge w:val="continue"/>
            <w:tcBorders>
              <w:top w:val="nil"/>
            </w:tcBorders>
            <w:vAlign w:val="top"/>
          </w:tcPr>
          <w:p w14:paraId="67DD6067">
            <w:pPr>
              <w:rPr>
                <w:rFonts w:ascii="Arial"/>
                <w:sz w:val="21"/>
              </w:rPr>
            </w:pPr>
          </w:p>
        </w:tc>
        <w:tc>
          <w:tcPr>
            <w:tcW w:w="220" w:type="dxa"/>
            <w:vAlign w:val="top"/>
          </w:tcPr>
          <w:p w14:paraId="0CD921F6">
            <w:pPr>
              <w:pStyle w:val="6"/>
              <w:spacing w:before="122" w:line="184" w:lineRule="auto"/>
              <w:ind w:left="20"/>
            </w:pPr>
            <w:r>
              <w:rPr>
                <w:b/>
                <w:bCs/>
                <w:spacing w:val="-2"/>
              </w:rPr>
              <w:t>A</w:t>
            </w:r>
          </w:p>
        </w:tc>
        <w:tc>
          <w:tcPr>
            <w:tcW w:w="229" w:type="dxa"/>
            <w:vAlign w:val="top"/>
          </w:tcPr>
          <w:p w14:paraId="14E70BBB">
            <w:pPr>
              <w:pStyle w:val="6"/>
              <w:spacing w:before="124" w:line="182" w:lineRule="auto"/>
              <w:ind w:left="20"/>
            </w:pPr>
            <w:r>
              <w:rPr>
                <w:b/>
                <w:bCs/>
                <w:spacing w:val="-2"/>
              </w:rPr>
              <w:t>B</w:t>
            </w:r>
          </w:p>
        </w:tc>
        <w:tc>
          <w:tcPr>
            <w:tcW w:w="229" w:type="dxa"/>
            <w:vAlign w:val="top"/>
          </w:tcPr>
          <w:p w14:paraId="174266FD">
            <w:pPr>
              <w:pStyle w:val="6"/>
              <w:spacing w:before="123" w:line="183" w:lineRule="auto"/>
              <w:ind w:left="18"/>
            </w:pPr>
            <w:r>
              <w:t>C</w:t>
            </w:r>
          </w:p>
        </w:tc>
        <w:tc>
          <w:tcPr>
            <w:tcW w:w="224" w:type="dxa"/>
            <w:vAlign w:val="top"/>
          </w:tcPr>
          <w:p w14:paraId="2E6E44EA">
            <w:pPr>
              <w:pStyle w:val="6"/>
              <w:spacing w:before="124" w:line="182" w:lineRule="auto"/>
              <w:ind w:left="22"/>
            </w:pPr>
            <w:r>
              <w:rPr>
                <w:b/>
                <w:bCs/>
                <w:spacing w:val="-2"/>
              </w:rPr>
              <w:t>D</w:t>
            </w:r>
          </w:p>
        </w:tc>
      </w:tr>
      <w:tr w14:paraId="113CCB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60" w:hRule="atLeast"/>
        </w:trPr>
        <w:tc>
          <w:tcPr>
            <w:tcW w:w="893" w:type="dxa"/>
            <w:vAlign w:val="top"/>
          </w:tcPr>
          <w:p w14:paraId="36E55F38">
            <w:pPr>
              <w:pStyle w:val="6"/>
              <w:spacing w:before="38" w:line="219" w:lineRule="auto"/>
              <w:ind w:left="97"/>
            </w:pPr>
            <w:r>
              <w:rPr>
                <w:b/>
                <w:bCs/>
                <w:spacing w:val="-5"/>
              </w:rPr>
              <w:t>烹饪学科</w:t>
            </w:r>
          </w:p>
          <w:p w14:paraId="6C67EE58">
            <w:pPr>
              <w:pStyle w:val="6"/>
              <w:spacing w:before="18" w:line="219" w:lineRule="auto"/>
              <w:ind w:left="187"/>
            </w:pPr>
            <w:r>
              <w:rPr>
                <w:b/>
                <w:bCs/>
                <w:spacing w:val="-1"/>
              </w:rPr>
              <w:t>的基本</w:t>
            </w:r>
          </w:p>
          <w:p w14:paraId="4218E4C3">
            <w:pPr>
              <w:pStyle w:val="6"/>
              <w:spacing w:before="19" w:line="185" w:lineRule="auto"/>
              <w:ind w:left="267"/>
            </w:pPr>
            <w:r>
              <w:rPr>
                <w:b/>
                <w:bCs/>
                <w:spacing w:val="-4"/>
              </w:rPr>
              <w:t>概念</w:t>
            </w:r>
          </w:p>
        </w:tc>
        <w:tc>
          <w:tcPr>
            <w:tcW w:w="2324" w:type="dxa"/>
            <w:vAlign w:val="top"/>
          </w:tcPr>
          <w:p w14:paraId="19480188">
            <w:pPr>
              <w:pStyle w:val="6"/>
              <w:spacing w:before="149" w:line="223" w:lineRule="auto"/>
              <w:ind w:left="24" w:right="59" w:firstLine="110"/>
            </w:pPr>
            <w:r>
              <w:rPr>
                <w:b/>
                <w:bCs/>
                <w:spacing w:val="4"/>
              </w:rPr>
              <w:t>烹饪、烹调技术、烹饪学、</w:t>
            </w:r>
            <w:r>
              <w:rPr>
                <w:spacing w:val="9"/>
              </w:rPr>
              <w:t xml:space="preserve"> </w:t>
            </w:r>
            <w:r>
              <w:rPr>
                <w:b/>
                <w:bCs/>
                <w:spacing w:val="-4"/>
              </w:rPr>
              <w:t>烹饪概论的基本概念</w:t>
            </w:r>
          </w:p>
        </w:tc>
        <w:tc>
          <w:tcPr>
            <w:tcW w:w="220" w:type="dxa"/>
            <w:vAlign w:val="top"/>
          </w:tcPr>
          <w:p w14:paraId="67FF16D5">
            <w:pPr>
              <w:pStyle w:val="6"/>
              <w:spacing w:before="283" w:line="238" w:lineRule="auto"/>
              <w:ind w:left="18"/>
              <w:rPr>
                <w:sz w:val="13"/>
                <w:szCs w:val="13"/>
              </w:rPr>
            </w:pPr>
            <w:r>
              <w:rPr>
                <w:sz w:val="13"/>
                <w:szCs w:val="13"/>
              </w:rPr>
              <w:t>√</w:t>
            </w:r>
          </w:p>
        </w:tc>
        <w:tc>
          <w:tcPr>
            <w:tcW w:w="229" w:type="dxa"/>
            <w:vAlign w:val="top"/>
          </w:tcPr>
          <w:p w14:paraId="339CD9AC">
            <w:pPr>
              <w:rPr>
                <w:rFonts w:ascii="Arial"/>
                <w:sz w:val="21"/>
              </w:rPr>
            </w:pPr>
          </w:p>
        </w:tc>
        <w:tc>
          <w:tcPr>
            <w:tcW w:w="229" w:type="dxa"/>
            <w:vAlign w:val="top"/>
          </w:tcPr>
          <w:p w14:paraId="489423D4">
            <w:pPr>
              <w:rPr>
                <w:rFonts w:ascii="Arial"/>
                <w:sz w:val="21"/>
              </w:rPr>
            </w:pPr>
          </w:p>
        </w:tc>
        <w:tc>
          <w:tcPr>
            <w:tcW w:w="224" w:type="dxa"/>
            <w:vAlign w:val="top"/>
          </w:tcPr>
          <w:p w14:paraId="2CB04FD1">
            <w:pPr>
              <w:rPr>
                <w:rFonts w:ascii="Arial"/>
                <w:sz w:val="21"/>
              </w:rPr>
            </w:pPr>
          </w:p>
        </w:tc>
      </w:tr>
    </w:tbl>
    <w:p w14:paraId="29E24C5D">
      <w:pPr>
        <w:spacing w:before="71" w:line="230" w:lineRule="auto"/>
        <w:ind w:left="380"/>
        <w:rPr>
          <w:rFonts w:ascii="宋体" w:hAnsi="宋体" w:eastAsia="宋体" w:cs="宋体"/>
          <w:sz w:val="17"/>
          <w:szCs w:val="17"/>
        </w:rPr>
      </w:pPr>
      <w:r>
        <w:rPr>
          <w:rFonts w:ascii="宋体" w:hAnsi="宋体" w:eastAsia="宋体" w:cs="宋体"/>
          <w:sz w:val="17"/>
          <w:szCs w:val="17"/>
        </w:rPr>
        <w:t>第一讲</w:t>
      </w:r>
      <w:r>
        <w:rPr>
          <w:rFonts w:ascii="宋体" w:hAnsi="宋体" w:eastAsia="宋体" w:cs="宋体"/>
          <w:spacing w:val="71"/>
          <w:sz w:val="17"/>
          <w:szCs w:val="17"/>
        </w:rPr>
        <w:t xml:space="preserve"> </w:t>
      </w:r>
      <w:r>
        <w:rPr>
          <w:rFonts w:ascii="宋体" w:hAnsi="宋体" w:eastAsia="宋体" w:cs="宋体"/>
          <w:sz w:val="17"/>
          <w:szCs w:val="17"/>
        </w:rPr>
        <w:t>中国烹饪简史</w:t>
      </w:r>
    </w:p>
    <w:p w14:paraId="08E5682D">
      <w:pPr>
        <w:spacing w:line="77" w:lineRule="auto"/>
        <w:rPr>
          <w:rFonts w:ascii="Arial"/>
          <w:sz w:val="2"/>
        </w:rPr>
      </w:pPr>
    </w:p>
    <w:tbl>
      <w:tblPr>
        <w:tblStyle w:val="5"/>
        <w:tblW w:w="4119" w:type="dxa"/>
        <w:tblInd w:w="2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24"/>
        <w:gridCol w:w="220"/>
        <w:gridCol w:w="229"/>
        <w:gridCol w:w="229"/>
        <w:gridCol w:w="224"/>
      </w:tblGrid>
      <w:tr w14:paraId="481D36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9" w:hRule="atLeast"/>
        </w:trPr>
        <w:tc>
          <w:tcPr>
            <w:tcW w:w="893" w:type="dxa"/>
            <w:vMerge w:val="restart"/>
            <w:tcBorders>
              <w:top w:val="single" w:color="000000" w:sz="2" w:space="0"/>
              <w:bottom w:val="nil"/>
            </w:tcBorders>
            <w:vAlign w:val="top"/>
          </w:tcPr>
          <w:p w14:paraId="30CA6A39">
            <w:pPr>
              <w:pStyle w:val="6"/>
              <w:spacing w:before="116" w:line="231" w:lineRule="auto"/>
              <w:ind w:left="266" w:right="25" w:hanging="249"/>
            </w:pPr>
            <w:r>
              <w:rPr>
                <w:b/>
                <w:bCs/>
                <w:spacing w:val="-4"/>
              </w:rPr>
              <w:t>知识与技能</w:t>
            </w:r>
            <w:r>
              <w:t xml:space="preserve"> </w:t>
            </w:r>
            <w:r>
              <w:rPr>
                <w:b/>
                <w:bCs/>
                <w:spacing w:val="-4"/>
              </w:rPr>
              <w:t>要点</w:t>
            </w:r>
          </w:p>
        </w:tc>
        <w:tc>
          <w:tcPr>
            <w:tcW w:w="2324" w:type="dxa"/>
            <w:vMerge w:val="restart"/>
            <w:tcBorders>
              <w:top w:val="single" w:color="000000" w:sz="2" w:space="0"/>
              <w:bottom w:val="nil"/>
            </w:tcBorders>
            <w:vAlign w:val="top"/>
          </w:tcPr>
          <w:p w14:paraId="3F957746">
            <w:pPr>
              <w:pStyle w:val="6"/>
              <w:spacing w:before="234" w:line="219" w:lineRule="auto"/>
              <w:ind w:left="844"/>
            </w:pPr>
            <w:r>
              <w:rPr>
                <w:b/>
                <w:bCs/>
                <w:spacing w:val="5"/>
              </w:rPr>
              <w:t>考试条目</w:t>
            </w:r>
          </w:p>
        </w:tc>
        <w:tc>
          <w:tcPr>
            <w:tcW w:w="902" w:type="dxa"/>
            <w:gridSpan w:val="4"/>
            <w:tcBorders>
              <w:top w:val="single" w:color="000000" w:sz="2" w:space="0"/>
              <w:bottom w:val="single" w:color="000000" w:sz="2" w:space="0"/>
            </w:tcBorders>
            <w:vAlign w:val="top"/>
          </w:tcPr>
          <w:p w14:paraId="560AB863">
            <w:pPr>
              <w:pStyle w:val="6"/>
              <w:spacing w:before="94" w:line="219" w:lineRule="auto"/>
              <w:ind w:left="120"/>
            </w:pPr>
            <w:r>
              <w:rPr>
                <w:b/>
                <w:bCs/>
                <w:spacing w:val="-4"/>
              </w:rPr>
              <w:t>考试水平</w:t>
            </w:r>
          </w:p>
        </w:tc>
      </w:tr>
      <w:tr w14:paraId="364B2F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4" w:hRule="atLeast"/>
        </w:trPr>
        <w:tc>
          <w:tcPr>
            <w:tcW w:w="893" w:type="dxa"/>
            <w:vMerge w:val="continue"/>
            <w:tcBorders>
              <w:top w:val="nil"/>
              <w:bottom w:val="single" w:color="000000" w:sz="2" w:space="0"/>
            </w:tcBorders>
            <w:vAlign w:val="top"/>
          </w:tcPr>
          <w:p w14:paraId="317AFB94">
            <w:pPr>
              <w:rPr>
                <w:rFonts w:ascii="Arial"/>
                <w:sz w:val="21"/>
              </w:rPr>
            </w:pPr>
          </w:p>
        </w:tc>
        <w:tc>
          <w:tcPr>
            <w:tcW w:w="2324" w:type="dxa"/>
            <w:vMerge w:val="continue"/>
            <w:tcBorders>
              <w:top w:val="nil"/>
              <w:bottom w:val="single" w:color="000000" w:sz="2" w:space="0"/>
            </w:tcBorders>
            <w:vAlign w:val="top"/>
          </w:tcPr>
          <w:p w14:paraId="6AE9C548">
            <w:pPr>
              <w:rPr>
                <w:rFonts w:ascii="Arial"/>
                <w:sz w:val="21"/>
              </w:rPr>
            </w:pPr>
          </w:p>
        </w:tc>
        <w:tc>
          <w:tcPr>
            <w:tcW w:w="220" w:type="dxa"/>
            <w:tcBorders>
              <w:top w:val="single" w:color="000000" w:sz="2" w:space="0"/>
              <w:bottom w:val="single" w:color="000000" w:sz="2" w:space="0"/>
            </w:tcBorders>
            <w:vAlign w:val="top"/>
          </w:tcPr>
          <w:p w14:paraId="1F3723CA">
            <w:pPr>
              <w:pStyle w:val="6"/>
              <w:spacing w:before="95" w:line="183" w:lineRule="auto"/>
              <w:ind w:left="20"/>
            </w:pPr>
            <w:r>
              <w:rPr>
                <w:b/>
                <w:bCs/>
                <w:spacing w:val="-2"/>
              </w:rPr>
              <w:t>A</w:t>
            </w:r>
          </w:p>
        </w:tc>
        <w:tc>
          <w:tcPr>
            <w:tcW w:w="229" w:type="dxa"/>
            <w:tcBorders>
              <w:top w:val="single" w:color="000000" w:sz="2" w:space="0"/>
              <w:bottom w:val="single" w:color="000000" w:sz="2" w:space="0"/>
            </w:tcBorders>
            <w:vAlign w:val="top"/>
          </w:tcPr>
          <w:p w14:paraId="012A5555">
            <w:pPr>
              <w:pStyle w:val="6"/>
              <w:spacing w:before="98" w:line="180" w:lineRule="auto"/>
              <w:ind w:left="20"/>
            </w:pPr>
            <w:r>
              <w:rPr>
                <w:b/>
                <w:bCs/>
                <w:spacing w:val="-2"/>
              </w:rPr>
              <w:t>B</w:t>
            </w:r>
          </w:p>
        </w:tc>
        <w:tc>
          <w:tcPr>
            <w:tcW w:w="229" w:type="dxa"/>
            <w:tcBorders>
              <w:top w:val="single" w:color="000000" w:sz="2" w:space="0"/>
              <w:bottom w:val="single" w:color="000000" w:sz="2" w:space="0"/>
            </w:tcBorders>
            <w:vAlign w:val="top"/>
          </w:tcPr>
          <w:p w14:paraId="5DA295B9">
            <w:pPr>
              <w:pStyle w:val="6"/>
              <w:spacing w:before="96" w:line="182" w:lineRule="auto"/>
              <w:ind w:left="18"/>
            </w:pPr>
            <w:r>
              <w:t>C</w:t>
            </w:r>
          </w:p>
        </w:tc>
        <w:tc>
          <w:tcPr>
            <w:tcW w:w="224" w:type="dxa"/>
            <w:tcBorders>
              <w:top w:val="single" w:color="000000" w:sz="2" w:space="0"/>
              <w:bottom w:val="single" w:color="000000" w:sz="2" w:space="0"/>
            </w:tcBorders>
            <w:vAlign w:val="top"/>
          </w:tcPr>
          <w:p w14:paraId="008DA522">
            <w:pPr>
              <w:pStyle w:val="6"/>
              <w:spacing w:before="98" w:line="180" w:lineRule="auto"/>
              <w:ind w:left="20"/>
            </w:pPr>
            <w:r>
              <w:t>D</w:t>
            </w:r>
          </w:p>
        </w:tc>
      </w:tr>
      <w:tr w14:paraId="67DE2C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93" w:hRule="atLeast"/>
        </w:trPr>
        <w:tc>
          <w:tcPr>
            <w:tcW w:w="893" w:type="dxa"/>
            <w:tcBorders>
              <w:top w:val="single" w:color="000000" w:sz="2" w:space="0"/>
              <w:bottom w:val="single" w:color="000000" w:sz="2" w:space="0"/>
            </w:tcBorders>
            <w:vAlign w:val="top"/>
          </w:tcPr>
          <w:p w14:paraId="12046805">
            <w:pPr>
              <w:pStyle w:val="6"/>
              <w:spacing w:before="154" w:line="220" w:lineRule="auto"/>
              <w:ind w:left="94"/>
            </w:pPr>
            <w:r>
              <w:rPr>
                <w:spacing w:val="1"/>
              </w:rPr>
              <w:t>中国烹饪</w:t>
            </w:r>
          </w:p>
          <w:p w14:paraId="247E0E27">
            <w:pPr>
              <w:pStyle w:val="6"/>
              <w:spacing w:before="17" w:line="220" w:lineRule="auto"/>
              <w:ind w:left="184"/>
            </w:pPr>
            <w:r>
              <w:rPr>
                <w:spacing w:val="2"/>
              </w:rPr>
              <w:t>的起源</w:t>
            </w:r>
          </w:p>
        </w:tc>
        <w:tc>
          <w:tcPr>
            <w:tcW w:w="2324" w:type="dxa"/>
            <w:tcBorders>
              <w:top w:val="single" w:color="000000" w:sz="2" w:space="0"/>
              <w:bottom w:val="single" w:color="000000" w:sz="2" w:space="0"/>
            </w:tcBorders>
            <w:vAlign w:val="top"/>
          </w:tcPr>
          <w:p w14:paraId="21A46DF9">
            <w:pPr>
              <w:pStyle w:val="6"/>
              <w:spacing w:before="162" w:line="230" w:lineRule="auto"/>
              <w:ind w:left="12" w:right="610"/>
            </w:pPr>
            <w:r>
              <w:rPr>
                <w:spacing w:val="1"/>
              </w:rPr>
              <w:t>1.饮食文明的三部曲</w:t>
            </w:r>
            <w:r>
              <w:rPr>
                <w:spacing w:val="4"/>
              </w:rPr>
              <w:t xml:space="preserve">  </w:t>
            </w:r>
            <w:r>
              <w:rPr>
                <w:spacing w:val="-1"/>
              </w:rPr>
              <w:t>2.中国烹饪诞生的标志</w:t>
            </w:r>
          </w:p>
        </w:tc>
        <w:tc>
          <w:tcPr>
            <w:tcW w:w="220" w:type="dxa"/>
            <w:tcBorders>
              <w:top w:val="single" w:color="000000" w:sz="2" w:space="0"/>
              <w:bottom w:val="single" w:color="000000" w:sz="2" w:space="0"/>
            </w:tcBorders>
            <w:vAlign w:val="top"/>
          </w:tcPr>
          <w:p w14:paraId="01692824">
            <w:pPr>
              <w:rPr>
                <w:rFonts w:ascii="Arial"/>
                <w:sz w:val="21"/>
              </w:rPr>
            </w:pPr>
          </w:p>
        </w:tc>
        <w:tc>
          <w:tcPr>
            <w:tcW w:w="229" w:type="dxa"/>
            <w:tcBorders>
              <w:top w:val="single" w:color="000000" w:sz="2" w:space="0"/>
              <w:bottom w:val="single" w:color="000000" w:sz="2" w:space="0"/>
            </w:tcBorders>
            <w:vAlign w:val="top"/>
          </w:tcPr>
          <w:p w14:paraId="0B3126B6">
            <w:pPr>
              <w:rPr>
                <w:rFonts w:ascii="Arial"/>
                <w:sz w:val="21"/>
              </w:rPr>
            </w:pPr>
          </w:p>
        </w:tc>
        <w:tc>
          <w:tcPr>
            <w:tcW w:w="229" w:type="dxa"/>
            <w:tcBorders>
              <w:top w:val="single" w:color="000000" w:sz="2" w:space="0"/>
              <w:bottom w:val="single" w:color="000000" w:sz="2" w:space="0"/>
            </w:tcBorders>
            <w:vAlign w:val="top"/>
          </w:tcPr>
          <w:p w14:paraId="3C709E66">
            <w:pPr>
              <w:spacing w:before="211" w:line="307" w:lineRule="exact"/>
              <w:ind w:firstLine="41"/>
            </w:pPr>
            <w:r>
              <w:rPr>
                <w:position w:val="-6"/>
              </w:rPr>
              <w:drawing>
                <wp:inline distT="0" distB="0" distL="0" distR="0">
                  <wp:extent cx="92075" cy="194945"/>
                  <wp:effectExtent l="0" t="0" r="0" b="0"/>
                  <wp:docPr id="264" name="IM 264"/>
                  <wp:cNvGraphicFramePr/>
                  <a:graphic xmlns:a="http://schemas.openxmlformats.org/drawingml/2006/main">
                    <a:graphicData uri="http://schemas.openxmlformats.org/drawingml/2006/picture">
                      <pic:pic xmlns:pic="http://schemas.openxmlformats.org/drawingml/2006/picture">
                        <pic:nvPicPr>
                          <pic:cNvPr id="264" name="IM 264"/>
                          <pic:cNvPicPr/>
                        </pic:nvPicPr>
                        <pic:blipFill>
                          <a:blip r:embed="rId297"/>
                          <a:stretch>
                            <a:fillRect/>
                          </a:stretch>
                        </pic:blipFill>
                        <pic:spPr>
                          <a:xfrm>
                            <a:off x="0" y="0"/>
                            <a:ext cx="92093" cy="194963"/>
                          </a:xfrm>
                          <a:prstGeom prst="rect">
                            <a:avLst/>
                          </a:prstGeom>
                        </pic:spPr>
                      </pic:pic>
                    </a:graphicData>
                  </a:graphic>
                </wp:inline>
              </w:drawing>
            </w:r>
          </w:p>
        </w:tc>
        <w:tc>
          <w:tcPr>
            <w:tcW w:w="224" w:type="dxa"/>
            <w:tcBorders>
              <w:top w:val="single" w:color="000000" w:sz="2" w:space="0"/>
              <w:bottom w:val="single" w:color="000000" w:sz="2" w:space="0"/>
            </w:tcBorders>
            <w:vAlign w:val="top"/>
          </w:tcPr>
          <w:p w14:paraId="420192AB">
            <w:pPr>
              <w:rPr>
                <w:rFonts w:ascii="Arial"/>
                <w:sz w:val="21"/>
              </w:rPr>
            </w:pPr>
          </w:p>
        </w:tc>
      </w:tr>
      <w:tr w14:paraId="25759E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67" w:hRule="atLeast"/>
        </w:trPr>
        <w:tc>
          <w:tcPr>
            <w:tcW w:w="893" w:type="dxa"/>
            <w:tcBorders>
              <w:top w:val="single" w:color="000000" w:sz="2" w:space="0"/>
              <w:bottom w:val="single" w:color="000000" w:sz="2" w:space="0"/>
            </w:tcBorders>
            <w:vAlign w:val="top"/>
          </w:tcPr>
          <w:p w14:paraId="7DB2125E">
            <w:pPr>
              <w:spacing w:line="328" w:lineRule="auto"/>
              <w:rPr>
                <w:rFonts w:ascii="Arial"/>
                <w:sz w:val="21"/>
              </w:rPr>
            </w:pPr>
          </w:p>
          <w:p w14:paraId="5D6FB4EB">
            <w:pPr>
              <w:pStyle w:val="6"/>
              <w:spacing w:before="55" w:line="220" w:lineRule="auto"/>
              <w:ind w:left="94"/>
            </w:pPr>
            <w:r>
              <w:rPr>
                <w:spacing w:val="1"/>
              </w:rPr>
              <w:t>中国烹饪</w:t>
            </w:r>
          </w:p>
          <w:p w14:paraId="09AFF2E1">
            <w:pPr>
              <w:pStyle w:val="6"/>
              <w:spacing w:before="37" w:line="220" w:lineRule="auto"/>
              <w:ind w:left="184"/>
            </w:pPr>
            <w:r>
              <w:rPr>
                <w:spacing w:val="3"/>
              </w:rPr>
              <w:t>的发展</w:t>
            </w:r>
          </w:p>
        </w:tc>
        <w:tc>
          <w:tcPr>
            <w:tcW w:w="2324" w:type="dxa"/>
            <w:tcBorders>
              <w:top w:val="single" w:color="000000" w:sz="2" w:space="0"/>
              <w:bottom w:val="single" w:color="000000" w:sz="2" w:space="0"/>
            </w:tcBorders>
            <w:vAlign w:val="top"/>
          </w:tcPr>
          <w:p w14:paraId="0B659DD7">
            <w:pPr>
              <w:pStyle w:val="6"/>
              <w:spacing w:before="195" w:line="219" w:lineRule="auto"/>
              <w:ind w:left="12"/>
            </w:pPr>
            <w:r>
              <w:rPr>
                <w:spacing w:val="1"/>
              </w:rPr>
              <w:t>1.先秦时期</w:t>
            </w:r>
          </w:p>
          <w:p w14:paraId="0F5A9C6D">
            <w:pPr>
              <w:pStyle w:val="6"/>
              <w:spacing w:before="8" w:line="235" w:lineRule="auto"/>
              <w:ind w:left="12" w:right="1100"/>
            </w:pPr>
            <w:r>
              <w:rPr>
                <w:spacing w:val="-2"/>
              </w:rPr>
              <w:t>2.汉魏六朝时期</w:t>
            </w:r>
            <w:r>
              <w:rPr>
                <w:spacing w:val="6"/>
              </w:rPr>
              <w:t xml:space="preserve"> </w:t>
            </w:r>
            <w:r>
              <w:rPr>
                <w:spacing w:val="1"/>
              </w:rPr>
              <w:t>3.隋唐宋元时期</w:t>
            </w:r>
          </w:p>
          <w:p w14:paraId="173482E7">
            <w:pPr>
              <w:pStyle w:val="6"/>
              <w:spacing w:before="6" w:line="219" w:lineRule="auto"/>
              <w:ind w:left="12"/>
            </w:pPr>
            <w:r>
              <w:rPr>
                <w:spacing w:val="-1"/>
              </w:rPr>
              <w:t>4.明清时期</w:t>
            </w:r>
          </w:p>
        </w:tc>
        <w:tc>
          <w:tcPr>
            <w:tcW w:w="220" w:type="dxa"/>
            <w:tcBorders>
              <w:top w:val="single" w:color="000000" w:sz="2" w:space="0"/>
              <w:bottom w:val="single" w:color="000000" w:sz="2" w:space="0"/>
            </w:tcBorders>
            <w:vAlign w:val="top"/>
          </w:tcPr>
          <w:p w14:paraId="29230433">
            <w:pPr>
              <w:spacing w:before="235" w:line="313" w:lineRule="exact"/>
              <w:ind w:firstLine="42"/>
            </w:pPr>
            <w:r>
              <w:rPr>
                <w:position w:val="-6"/>
              </w:rPr>
              <w:drawing>
                <wp:inline distT="0" distB="0" distL="0" distR="0">
                  <wp:extent cx="94615" cy="198755"/>
                  <wp:effectExtent l="0" t="0" r="0" b="0"/>
                  <wp:docPr id="266" name="IM 266"/>
                  <wp:cNvGraphicFramePr/>
                  <a:graphic xmlns:a="http://schemas.openxmlformats.org/drawingml/2006/main">
                    <a:graphicData uri="http://schemas.openxmlformats.org/drawingml/2006/picture">
                      <pic:pic xmlns:pic="http://schemas.openxmlformats.org/drawingml/2006/picture">
                        <pic:nvPicPr>
                          <pic:cNvPr id="266" name="IM 266"/>
                          <pic:cNvPicPr/>
                        </pic:nvPicPr>
                        <pic:blipFill>
                          <a:blip r:embed="rId298"/>
                          <a:stretch>
                            <a:fillRect/>
                          </a:stretch>
                        </pic:blipFill>
                        <pic:spPr>
                          <a:xfrm>
                            <a:off x="0" y="0"/>
                            <a:ext cx="94839" cy="199005"/>
                          </a:xfrm>
                          <a:prstGeom prst="rect">
                            <a:avLst/>
                          </a:prstGeom>
                        </pic:spPr>
                      </pic:pic>
                    </a:graphicData>
                  </a:graphic>
                </wp:inline>
              </w:drawing>
            </w:r>
          </w:p>
        </w:tc>
        <w:tc>
          <w:tcPr>
            <w:tcW w:w="229" w:type="dxa"/>
            <w:tcBorders>
              <w:top w:val="single" w:color="000000" w:sz="2" w:space="0"/>
              <w:bottom w:val="single" w:color="000000" w:sz="2" w:space="0"/>
            </w:tcBorders>
            <w:vAlign w:val="top"/>
          </w:tcPr>
          <w:p w14:paraId="1B7EB48C">
            <w:pPr>
              <w:rPr>
                <w:rFonts w:ascii="Arial"/>
                <w:sz w:val="21"/>
              </w:rPr>
            </w:pPr>
          </w:p>
        </w:tc>
        <w:tc>
          <w:tcPr>
            <w:tcW w:w="229" w:type="dxa"/>
            <w:tcBorders>
              <w:top w:val="single" w:color="000000" w:sz="2" w:space="0"/>
              <w:bottom w:val="single" w:color="000000" w:sz="2" w:space="0"/>
            </w:tcBorders>
            <w:vAlign w:val="top"/>
          </w:tcPr>
          <w:p w14:paraId="227AE151">
            <w:pPr>
              <w:spacing w:line="330" w:lineRule="auto"/>
              <w:rPr>
                <w:rFonts w:ascii="Arial"/>
                <w:sz w:val="21"/>
              </w:rPr>
            </w:pPr>
          </w:p>
          <w:p w14:paraId="19C99CAB">
            <w:pPr>
              <w:spacing w:line="331" w:lineRule="auto"/>
              <w:rPr>
                <w:rFonts w:ascii="Arial"/>
                <w:sz w:val="21"/>
              </w:rPr>
            </w:pPr>
          </w:p>
          <w:p w14:paraId="0336E902">
            <w:pPr>
              <w:spacing w:line="313" w:lineRule="exact"/>
              <w:ind w:firstLine="39"/>
            </w:pPr>
            <w:r>
              <w:rPr>
                <w:position w:val="-6"/>
              </w:rPr>
              <w:drawing>
                <wp:inline distT="0" distB="0" distL="0" distR="0">
                  <wp:extent cx="100330" cy="198755"/>
                  <wp:effectExtent l="0" t="0" r="0" b="0"/>
                  <wp:docPr id="268" name="IM 268"/>
                  <wp:cNvGraphicFramePr/>
                  <a:graphic xmlns:a="http://schemas.openxmlformats.org/drawingml/2006/main">
                    <a:graphicData uri="http://schemas.openxmlformats.org/drawingml/2006/picture">
                      <pic:pic xmlns:pic="http://schemas.openxmlformats.org/drawingml/2006/picture">
                        <pic:nvPicPr>
                          <pic:cNvPr id="268" name="IM 268"/>
                          <pic:cNvPicPr/>
                        </pic:nvPicPr>
                        <pic:blipFill>
                          <a:blip r:embed="rId299"/>
                          <a:stretch>
                            <a:fillRect/>
                          </a:stretch>
                        </pic:blipFill>
                        <pic:spPr>
                          <a:xfrm>
                            <a:off x="0" y="0"/>
                            <a:ext cx="100879" cy="199005"/>
                          </a:xfrm>
                          <a:prstGeom prst="rect">
                            <a:avLst/>
                          </a:prstGeom>
                        </pic:spPr>
                      </pic:pic>
                    </a:graphicData>
                  </a:graphic>
                </wp:inline>
              </w:drawing>
            </w:r>
          </w:p>
        </w:tc>
        <w:tc>
          <w:tcPr>
            <w:tcW w:w="224" w:type="dxa"/>
            <w:tcBorders>
              <w:top w:val="single" w:color="000000" w:sz="2" w:space="0"/>
              <w:bottom w:val="single" w:color="000000" w:sz="2" w:space="0"/>
            </w:tcBorders>
            <w:vAlign w:val="top"/>
          </w:tcPr>
          <w:p w14:paraId="646BDC56">
            <w:pPr>
              <w:rPr>
                <w:rFonts w:ascii="Arial"/>
                <w:sz w:val="21"/>
              </w:rPr>
            </w:pPr>
          </w:p>
        </w:tc>
      </w:tr>
    </w:tbl>
    <w:p w14:paraId="675339B4">
      <w:pPr>
        <w:pStyle w:val="2"/>
        <w:spacing w:line="14" w:lineRule="auto"/>
        <w:rPr>
          <w:sz w:val="2"/>
        </w:rPr>
      </w:pPr>
    </w:p>
    <w:p w14:paraId="7C22A6A8">
      <w:pPr>
        <w:pStyle w:val="2"/>
        <w:spacing w:line="14" w:lineRule="auto"/>
        <w:rPr>
          <w:sz w:val="2"/>
        </w:rPr>
      </w:pPr>
      <w:r>
        <w:rPr>
          <w:sz w:val="2"/>
          <w:szCs w:val="2"/>
        </w:rPr>
        <w:br w:type="column"/>
      </w:r>
    </w:p>
    <w:tbl>
      <w:tblPr>
        <w:tblStyle w:val="5"/>
        <w:tblW w:w="4119" w:type="dxa"/>
        <w:tblInd w:w="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14"/>
        <w:gridCol w:w="229"/>
        <w:gridCol w:w="220"/>
        <w:gridCol w:w="229"/>
        <w:gridCol w:w="234"/>
      </w:tblGrid>
      <w:tr w14:paraId="3EE0CD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9" w:hRule="atLeast"/>
        </w:trPr>
        <w:tc>
          <w:tcPr>
            <w:tcW w:w="893" w:type="dxa"/>
            <w:vMerge w:val="restart"/>
            <w:tcBorders>
              <w:top w:val="single" w:color="000000" w:sz="2" w:space="0"/>
              <w:bottom w:val="nil"/>
            </w:tcBorders>
            <w:vAlign w:val="top"/>
          </w:tcPr>
          <w:p w14:paraId="748EFB41">
            <w:pPr>
              <w:pStyle w:val="6"/>
              <w:spacing w:before="115" w:line="230" w:lineRule="auto"/>
              <w:ind w:left="257" w:right="1" w:hanging="240"/>
              <w:rPr>
                <w:sz w:val="18"/>
                <w:szCs w:val="18"/>
              </w:rPr>
            </w:pPr>
            <w:r>
              <w:rPr>
                <w:b/>
                <w:bCs/>
                <w:spacing w:val="-10"/>
                <w:sz w:val="18"/>
                <w:szCs w:val="18"/>
              </w:rPr>
              <w:t>知识与技能</w:t>
            </w:r>
            <w:r>
              <w:rPr>
                <w:spacing w:val="3"/>
                <w:sz w:val="18"/>
                <w:szCs w:val="18"/>
              </w:rPr>
              <w:t xml:space="preserve"> </w:t>
            </w:r>
            <w:r>
              <w:rPr>
                <w:b/>
                <w:bCs/>
                <w:spacing w:val="-4"/>
                <w:sz w:val="18"/>
                <w:szCs w:val="18"/>
              </w:rPr>
              <w:t>要点</w:t>
            </w:r>
          </w:p>
        </w:tc>
        <w:tc>
          <w:tcPr>
            <w:tcW w:w="2314" w:type="dxa"/>
            <w:vMerge w:val="restart"/>
            <w:tcBorders>
              <w:top w:val="single" w:color="000000" w:sz="2" w:space="0"/>
              <w:bottom w:val="nil"/>
            </w:tcBorders>
            <w:vAlign w:val="top"/>
          </w:tcPr>
          <w:p w14:paraId="075AFCBB">
            <w:pPr>
              <w:pStyle w:val="6"/>
              <w:spacing w:before="224" w:line="219" w:lineRule="auto"/>
              <w:ind w:left="824"/>
              <w:rPr>
                <w:sz w:val="18"/>
                <w:szCs w:val="18"/>
              </w:rPr>
            </w:pPr>
            <w:r>
              <w:rPr>
                <w:b/>
                <w:bCs/>
                <w:spacing w:val="5"/>
                <w:sz w:val="18"/>
                <w:szCs w:val="18"/>
              </w:rPr>
              <w:t>考试条目</w:t>
            </w:r>
          </w:p>
        </w:tc>
        <w:tc>
          <w:tcPr>
            <w:tcW w:w="912" w:type="dxa"/>
            <w:gridSpan w:val="4"/>
            <w:tcBorders>
              <w:top w:val="single" w:color="000000" w:sz="2" w:space="0"/>
              <w:bottom w:val="single" w:color="000000" w:sz="2" w:space="0"/>
            </w:tcBorders>
            <w:vAlign w:val="top"/>
          </w:tcPr>
          <w:p w14:paraId="30A9D507">
            <w:pPr>
              <w:pStyle w:val="6"/>
              <w:spacing w:before="84" w:line="219" w:lineRule="auto"/>
              <w:ind w:left="150"/>
              <w:rPr>
                <w:sz w:val="18"/>
                <w:szCs w:val="18"/>
              </w:rPr>
            </w:pPr>
            <w:r>
              <w:rPr>
                <w:b/>
                <w:bCs/>
                <w:spacing w:val="-4"/>
                <w:sz w:val="18"/>
                <w:szCs w:val="18"/>
              </w:rPr>
              <w:t>考试水平</w:t>
            </w:r>
          </w:p>
        </w:tc>
      </w:tr>
      <w:tr w14:paraId="7884A5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4" w:hRule="atLeast"/>
        </w:trPr>
        <w:tc>
          <w:tcPr>
            <w:tcW w:w="893" w:type="dxa"/>
            <w:vMerge w:val="continue"/>
            <w:tcBorders>
              <w:top w:val="nil"/>
              <w:bottom w:val="single" w:color="000000" w:sz="2" w:space="0"/>
            </w:tcBorders>
            <w:vAlign w:val="top"/>
          </w:tcPr>
          <w:p w14:paraId="0F9D99FD">
            <w:pPr>
              <w:rPr>
                <w:rFonts w:ascii="Arial"/>
                <w:sz w:val="21"/>
              </w:rPr>
            </w:pPr>
          </w:p>
        </w:tc>
        <w:tc>
          <w:tcPr>
            <w:tcW w:w="2314" w:type="dxa"/>
            <w:vMerge w:val="continue"/>
            <w:tcBorders>
              <w:top w:val="nil"/>
              <w:bottom w:val="single" w:color="000000" w:sz="2" w:space="0"/>
            </w:tcBorders>
            <w:vAlign w:val="top"/>
          </w:tcPr>
          <w:p w14:paraId="73C29233">
            <w:pPr>
              <w:rPr>
                <w:rFonts w:ascii="Arial"/>
                <w:sz w:val="21"/>
              </w:rPr>
            </w:pPr>
          </w:p>
        </w:tc>
        <w:tc>
          <w:tcPr>
            <w:tcW w:w="229" w:type="dxa"/>
            <w:tcBorders>
              <w:top w:val="single" w:color="000000" w:sz="2" w:space="0"/>
              <w:bottom w:val="single" w:color="000000" w:sz="2" w:space="0"/>
            </w:tcBorders>
            <w:vAlign w:val="top"/>
          </w:tcPr>
          <w:p w14:paraId="61C8EF6A">
            <w:pPr>
              <w:pStyle w:val="6"/>
              <w:spacing w:before="98" w:line="170" w:lineRule="auto"/>
              <w:ind w:left="70"/>
              <w:rPr>
                <w:sz w:val="18"/>
                <w:szCs w:val="18"/>
              </w:rPr>
            </w:pPr>
            <w:r>
              <w:rPr>
                <w:b/>
                <w:bCs/>
                <w:spacing w:val="-2"/>
                <w:sz w:val="18"/>
                <w:szCs w:val="18"/>
              </w:rPr>
              <w:t>A</w:t>
            </w:r>
          </w:p>
        </w:tc>
        <w:tc>
          <w:tcPr>
            <w:tcW w:w="220" w:type="dxa"/>
            <w:tcBorders>
              <w:top w:val="single" w:color="000000" w:sz="2" w:space="0"/>
              <w:bottom w:val="single" w:color="000000" w:sz="2" w:space="0"/>
            </w:tcBorders>
            <w:vAlign w:val="top"/>
          </w:tcPr>
          <w:p w14:paraId="3EE6084F">
            <w:pPr>
              <w:pStyle w:val="6"/>
              <w:spacing w:before="101" w:line="167" w:lineRule="auto"/>
              <w:ind w:left="61"/>
              <w:rPr>
                <w:sz w:val="18"/>
                <w:szCs w:val="18"/>
              </w:rPr>
            </w:pPr>
            <w:r>
              <w:rPr>
                <w:b/>
                <w:bCs/>
                <w:spacing w:val="-2"/>
                <w:sz w:val="18"/>
                <w:szCs w:val="18"/>
              </w:rPr>
              <w:t>B</w:t>
            </w:r>
          </w:p>
        </w:tc>
        <w:tc>
          <w:tcPr>
            <w:tcW w:w="229" w:type="dxa"/>
            <w:tcBorders>
              <w:top w:val="single" w:color="000000" w:sz="2" w:space="0"/>
              <w:bottom w:val="single" w:color="000000" w:sz="2" w:space="0"/>
            </w:tcBorders>
            <w:vAlign w:val="top"/>
          </w:tcPr>
          <w:p w14:paraId="2F27683B">
            <w:pPr>
              <w:pStyle w:val="6"/>
              <w:spacing w:before="98" w:line="170" w:lineRule="auto"/>
              <w:ind w:left="71"/>
              <w:rPr>
                <w:sz w:val="18"/>
                <w:szCs w:val="18"/>
              </w:rPr>
            </w:pPr>
            <w:r>
              <w:rPr>
                <w:b/>
                <w:bCs/>
                <w:spacing w:val="-2"/>
                <w:sz w:val="18"/>
                <w:szCs w:val="18"/>
              </w:rPr>
              <w:t>C</w:t>
            </w:r>
          </w:p>
        </w:tc>
        <w:tc>
          <w:tcPr>
            <w:tcW w:w="234" w:type="dxa"/>
            <w:tcBorders>
              <w:top w:val="single" w:color="000000" w:sz="2" w:space="0"/>
              <w:bottom w:val="single" w:color="000000" w:sz="2" w:space="0"/>
            </w:tcBorders>
            <w:vAlign w:val="top"/>
          </w:tcPr>
          <w:p w14:paraId="3D7A99E7">
            <w:pPr>
              <w:pStyle w:val="6"/>
              <w:spacing w:before="101" w:line="167" w:lineRule="auto"/>
              <w:ind w:left="22"/>
              <w:rPr>
                <w:sz w:val="18"/>
                <w:szCs w:val="18"/>
              </w:rPr>
            </w:pPr>
            <w:r>
              <w:rPr>
                <w:b/>
                <w:bCs/>
                <w:spacing w:val="-2"/>
                <w:sz w:val="18"/>
                <w:szCs w:val="18"/>
              </w:rPr>
              <w:t>D</w:t>
            </w:r>
          </w:p>
        </w:tc>
      </w:tr>
      <w:tr w14:paraId="336E9A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13" w:hRule="atLeast"/>
        </w:trPr>
        <w:tc>
          <w:tcPr>
            <w:tcW w:w="893" w:type="dxa"/>
            <w:tcBorders>
              <w:top w:val="single" w:color="000000" w:sz="2" w:space="0"/>
              <w:bottom w:val="single" w:color="000000" w:sz="2" w:space="0"/>
            </w:tcBorders>
            <w:vAlign w:val="top"/>
          </w:tcPr>
          <w:p w14:paraId="0F1B1914">
            <w:pPr>
              <w:pStyle w:val="6"/>
              <w:spacing w:before="154" w:line="220" w:lineRule="auto"/>
              <w:ind w:left="75"/>
              <w:rPr>
                <w:sz w:val="18"/>
                <w:szCs w:val="18"/>
              </w:rPr>
            </w:pPr>
            <w:r>
              <w:rPr>
                <w:spacing w:val="2"/>
                <w:sz w:val="18"/>
                <w:szCs w:val="18"/>
              </w:rPr>
              <w:t>中国烹饪</w:t>
            </w:r>
          </w:p>
          <w:p w14:paraId="63D1BBF9">
            <w:pPr>
              <w:pStyle w:val="6"/>
              <w:spacing w:before="47" w:line="222" w:lineRule="auto"/>
              <w:ind w:left="165"/>
              <w:rPr>
                <w:sz w:val="18"/>
                <w:szCs w:val="18"/>
              </w:rPr>
            </w:pPr>
            <w:r>
              <w:rPr>
                <w:spacing w:val="3"/>
                <w:sz w:val="18"/>
                <w:szCs w:val="18"/>
              </w:rPr>
              <w:t>的昌盛</w:t>
            </w:r>
          </w:p>
        </w:tc>
        <w:tc>
          <w:tcPr>
            <w:tcW w:w="2314" w:type="dxa"/>
            <w:tcBorders>
              <w:top w:val="single" w:color="000000" w:sz="2" w:space="0"/>
              <w:bottom w:val="single" w:color="000000" w:sz="2" w:space="0"/>
            </w:tcBorders>
            <w:vAlign w:val="top"/>
          </w:tcPr>
          <w:p w14:paraId="453DD3AC">
            <w:pPr>
              <w:pStyle w:val="6"/>
              <w:spacing w:before="184" w:line="220" w:lineRule="auto"/>
              <w:ind w:left="12"/>
              <w:rPr>
                <w:sz w:val="18"/>
                <w:szCs w:val="18"/>
              </w:rPr>
            </w:pPr>
            <w:r>
              <w:rPr>
                <w:spacing w:val="1"/>
                <w:sz w:val="18"/>
                <w:szCs w:val="18"/>
              </w:rPr>
              <w:t>1.中华民国时期</w:t>
            </w:r>
          </w:p>
          <w:p w14:paraId="7E45F392">
            <w:pPr>
              <w:pStyle w:val="6"/>
              <w:spacing w:before="4" w:line="219" w:lineRule="auto"/>
              <w:ind w:left="12"/>
              <w:rPr>
                <w:sz w:val="18"/>
                <w:szCs w:val="18"/>
              </w:rPr>
            </w:pPr>
            <w:r>
              <w:rPr>
                <w:spacing w:val="1"/>
                <w:sz w:val="18"/>
                <w:szCs w:val="18"/>
              </w:rPr>
              <w:t>2.中华人民共和国时期</w:t>
            </w:r>
          </w:p>
        </w:tc>
        <w:tc>
          <w:tcPr>
            <w:tcW w:w="229" w:type="dxa"/>
            <w:tcBorders>
              <w:top w:val="single" w:color="000000" w:sz="2" w:space="0"/>
              <w:bottom w:val="single" w:color="000000" w:sz="2" w:space="0"/>
            </w:tcBorders>
            <w:vAlign w:val="top"/>
          </w:tcPr>
          <w:p w14:paraId="1AB52317">
            <w:pPr>
              <w:pStyle w:val="6"/>
              <w:spacing w:before="183" w:line="238" w:lineRule="auto"/>
              <w:ind w:left="48"/>
              <w:rPr>
                <w:sz w:val="12"/>
                <w:szCs w:val="12"/>
              </w:rPr>
            </w:pPr>
            <w:r>
              <w:rPr>
                <w:sz w:val="12"/>
                <w:szCs w:val="12"/>
              </w:rPr>
              <w:t>√</w:t>
            </w:r>
          </w:p>
        </w:tc>
        <w:tc>
          <w:tcPr>
            <w:tcW w:w="220" w:type="dxa"/>
            <w:tcBorders>
              <w:top w:val="single" w:color="000000" w:sz="2" w:space="0"/>
              <w:bottom w:val="single" w:color="000000" w:sz="2" w:space="0"/>
            </w:tcBorders>
            <w:vAlign w:val="top"/>
          </w:tcPr>
          <w:p w14:paraId="1EAA127F">
            <w:pPr>
              <w:rPr>
                <w:rFonts w:ascii="Arial"/>
                <w:sz w:val="21"/>
              </w:rPr>
            </w:pPr>
          </w:p>
        </w:tc>
        <w:tc>
          <w:tcPr>
            <w:tcW w:w="229" w:type="dxa"/>
            <w:tcBorders>
              <w:top w:val="single" w:color="000000" w:sz="2" w:space="0"/>
              <w:bottom w:val="single" w:color="000000" w:sz="2" w:space="0"/>
            </w:tcBorders>
            <w:vAlign w:val="top"/>
          </w:tcPr>
          <w:p w14:paraId="0405C409">
            <w:pPr>
              <w:spacing w:line="322" w:lineRule="auto"/>
              <w:rPr>
                <w:rFonts w:ascii="Arial"/>
                <w:sz w:val="21"/>
              </w:rPr>
            </w:pPr>
          </w:p>
          <w:p w14:paraId="006580C1">
            <w:pPr>
              <w:pStyle w:val="6"/>
              <w:spacing w:before="39" w:line="238" w:lineRule="auto"/>
              <w:ind w:left="49"/>
              <w:rPr>
                <w:sz w:val="12"/>
                <w:szCs w:val="12"/>
              </w:rPr>
            </w:pPr>
            <w:r>
              <w:rPr>
                <w:sz w:val="12"/>
                <w:szCs w:val="12"/>
              </w:rPr>
              <w:t>√</w:t>
            </w:r>
          </w:p>
        </w:tc>
        <w:tc>
          <w:tcPr>
            <w:tcW w:w="234" w:type="dxa"/>
            <w:tcBorders>
              <w:top w:val="single" w:color="000000" w:sz="2" w:space="0"/>
              <w:bottom w:val="single" w:color="000000" w:sz="2" w:space="0"/>
            </w:tcBorders>
            <w:vAlign w:val="top"/>
          </w:tcPr>
          <w:p w14:paraId="73D8193F">
            <w:pPr>
              <w:rPr>
                <w:rFonts w:ascii="Arial"/>
                <w:sz w:val="21"/>
              </w:rPr>
            </w:pPr>
          </w:p>
        </w:tc>
      </w:tr>
      <w:tr w14:paraId="4648F6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07" w:hRule="atLeast"/>
        </w:trPr>
        <w:tc>
          <w:tcPr>
            <w:tcW w:w="893" w:type="dxa"/>
            <w:tcBorders>
              <w:top w:val="single" w:color="000000" w:sz="2" w:space="0"/>
              <w:bottom w:val="single" w:color="000000" w:sz="2" w:space="0"/>
            </w:tcBorders>
            <w:vAlign w:val="top"/>
          </w:tcPr>
          <w:p w14:paraId="742133C1">
            <w:pPr>
              <w:spacing w:line="246" w:lineRule="auto"/>
              <w:rPr>
                <w:rFonts w:ascii="Arial"/>
                <w:sz w:val="21"/>
              </w:rPr>
            </w:pPr>
          </w:p>
          <w:p w14:paraId="1C10C054">
            <w:pPr>
              <w:pStyle w:val="6"/>
              <w:spacing w:before="59" w:line="243" w:lineRule="auto"/>
              <w:ind w:left="75" w:right="79"/>
              <w:rPr>
                <w:sz w:val="18"/>
                <w:szCs w:val="18"/>
              </w:rPr>
            </w:pPr>
            <w:r>
              <w:rPr>
                <w:spacing w:val="2"/>
                <w:sz w:val="18"/>
                <w:szCs w:val="18"/>
              </w:rPr>
              <w:t>中国烹饪</w:t>
            </w:r>
            <w:r>
              <w:rPr>
                <w:sz w:val="18"/>
                <w:szCs w:val="18"/>
              </w:rPr>
              <w:t xml:space="preserve"> </w:t>
            </w:r>
            <w:r>
              <w:rPr>
                <w:spacing w:val="-2"/>
                <w:sz w:val="18"/>
                <w:szCs w:val="18"/>
              </w:rPr>
              <w:t>史的启示</w:t>
            </w:r>
          </w:p>
        </w:tc>
        <w:tc>
          <w:tcPr>
            <w:tcW w:w="2314" w:type="dxa"/>
            <w:tcBorders>
              <w:top w:val="single" w:color="000000" w:sz="2" w:space="0"/>
              <w:bottom w:val="single" w:color="000000" w:sz="2" w:space="0"/>
            </w:tcBorders>
            <w:vAlign w:val="top"/>
          </w:tcPr>
          <w:p w14:paraId="73E87F2F">
            <w:pPr>
              <w:pStyle w:val="6"/>
              <w:spacing w:before="104" w:line="226" w:lineRule="auto"/>
              <w:ind w:left="12" w:right="117"/>
              <w:jc w:val="both"/>
              <w:rPr>
                <w:sz w:val="18"/>
                <w:szCs w:val="18"/>
              </w:rPr>
            </w:pPr>
            <w:r>
              <w:rPr>
                <w:sz w:val="18"/>
                <w:szCs w:val="18"/>
              </w:rPr>
              <w:t>1.中国烹饪是优秀文化遗产</w:t>
            </w:r>
            <w:r>
              <w:rPr>
                <w:spacing w:val="10"/>
                <w:sz w:val="18"/>
                <w:szCs w:val="18"/>
              </w:rPr>
              <w:t xml:space="preserve"> </w:t>
            </w:r>
            <w:r>
              <w:rPr>
                <w:spacing w:val="1"/>
                <w:sz w:val="18"/>
                <w:szCs w:val="18"/>
              </w:rPr>
              <w:t>2.中国烹饪的情韵、风味和</w:t>
            </w:r>
            <w:r>
              <w:rPr>
                <w:sz w:val="18"/>
                <w:szCs w:val="18"/>
              </w:rPr>
              <w:t xml:space="preserve"> </w:t>
            </w:r>
            <w:r>
              <w:rPr>
                <w:spacing w:val="-2"/>
                <w:sz w:val="18"/>
                <w:szCs w:val="18"/>
              </w:rPr>
              <w:t>美学价值</w:t>
            </w:r>
          </w:p>
          <w:p w14:paraId="588D838F">
            <w:pPr>
              <w:pStyle w:val="6"/>
              <w:spacing w:line="219" w:lineRule="auto"/>
              <w:ind w:left="12"/>
              <w:rPr>
                <w:sz w:val="18"/>
                <w:szCs w:val="18"/>
              </w:rPr>
            </w:pPr>
            <w:r>
              <w:rPr>
                <w:spacing w:val="-1"/>
                <w:sz w:val="18"/>
                <w:szCs w:val="18"/>
              </w:rPr>
              <w:t>3.中国烹饪振兴的大计方针</w:t>
            </w:r>
          </w:p>
        </w:tc>
        <w:tc>
          <w:tcPr>
            <w:tcW w:w="229" w:type="dxa"/>
            <w:tcBorders>
              <w:top w:val="single" w:color="000000" w:sz="2" w:space="0"/>
              <w:bottom w:val="single" w:color="000000" w:sz="2" w:space="0"/>
            </w:tcBorders>
            <w:vAlign w:val="top"/>
          </w:tcPr>
          <w:p w14:paraId="72B76980">
            <w:pPr>
              <w:rPr>
                <w:rFonts w:ascii="Arial"/>
                <w:sz w:val="21"/>
              </w:rPr>
            </w:pPr>
          </w:p>
        </w:tc>
        <w:tc>
          <w:tcPr>
            <w:tcW w:w="220" w:type="dxa"/>
            <w:tcBorders>
              <w:top w:val="single" w:color="000000" w:sz="2" w:space="0"/>
              <w:bottom w:val="single" w:color="000000" w:sz="2" w:space="0"/>
            </w:tcBorders>
            <w:vAlign w:val="top"/>
          </w:tcPr>
          <w:p w14:paraId="3707DA1C">
            <w:pPr>
              <w:pStyle w:val="6"/>
              <w:spacing w:before="105" w:line="238" w:lineRule="auto"/>
              <w:ind w:left="48"/>
              <w:rPr>
                <w:sz w:val="12"/>
                <w:szCs w:val="12"/>
              </w:rPr>
            </w:pPr>
            <w:r>
              <w:rPr>
                <w:sz w:val="12"/>
                <w:szCs w:val="12"/>
              </w:rPr>
              <w:t>√</w:t>
            </w:r>
          </w:p>
        </w:tc>
        <w:tc>
          <w:tcPr>
            <w:tcW w:w="229" w:type="dxa"/>
            <w:tcBorders>
              <w:top w:val="single" w:color="000000" w:sz="2" w:space="0"/>
              <w:bottom w:val="single" w:color="000000" w:sz="2" w:space="0"/>
            </w:tcBorders>
            <w:vAlign w:val="top"/>
          </w:tcPr>
          <w:p w14:paraId="59B6401D">
            <w:pPr>
              <w:rPr>
                <w:rFonts w:ascii="Arial"/>
                <w:sz w:val="21"/>
              </w:rPr>
            </w:pPr>
          </w:p>
        </w:tc>
        <w:tc>
          <w:tcPr>
            <w:tcW w:w="234" w:type="dxa"/>
            <w:tcBorders>
              <w:top w:val="single" w:color="000000" w:sz="2" w:space="0"/>
              <w:bottom w:val="single" w:color="000000" w:sz="2" w:space="0"/>
            </w:tcBorders>
            <w:vAlign w:val="top"/>
          </w:tcPr>
          <w:p w14:paraId="3D593C0D">
            <w:pPr>
              <w:spacing w:line="284" w:lineRule="auto"/>
              <w:rPr>
                <w:rFonts w:ascii="Arial"/>
                <w:sz w:val="21"/>
              </w:rPr>
            </w:pPr>
            <w:r>
              <mc:AlternateContent>
                <mc:Choice Requires="wps">
                  <w:drawing>
                    <wp:anchor distT="0" distB="0" distL="0" distR="0" simplePos="0" relativeHeight="251674624" behindDoc="0" locked="0" layoutInCell="1" allowOverlap="1">
                      <wp:simplePos x="0" y="0"/>
                      <wp:positionH relativeFrom="rightMargin">
                        <wp:posOffset>-133985</wp:posOffset>
                      </wp:positionH>
                      <wp:positionV relativeFrom="topMargin">
                        <wp:posOffset>303530</wp:posOffset>
                      </wp:positionV>
                      <wp:extent cx="133985" cy="184150"/>
                      <wp:effectExtent l="0" t="0" r="0" b="0"/>
                      <wp:wrapNone/>
                      <wp:docPr id="270" name="TextBox 270"/>
                      <wp:cNvGraphicFramePr/>
                      <a:graphic xmlns:a="http://schemas.openxmlformats.org/drawingml/2006/main">
                        <a:graphicData uri="http://schemas.microsoft.com/office/word/2010/wordprocessingShape">
                          <wps:wsp>
                            <wps:cNvSpPr txBox="1"/>
                            <wps:spPr>
                              <a:xfrm rot="16200000">
                                <a:off x="-134107" y="303531"/>
                                <a:ext cx="133985" cy="184150"/>
                              </a:xfrm>
                              <a:prstGeom prst="rect">
                                <a:avLst/>
                              </a:prstGeom>
                              <a:noFill/>
                              <a:ln w="0" cap="flat">
                                <a:noFill/>
                                <a:prstDash val="solid"/>
                                <a:miter lim="0"/>
                              </a:ln>
                            </wps:spPr>
                            <wps:style>
                              <a:lnRef idx="0">
                                <a:schemeClr val="accent1"/>
                              </a:lnRef>
                              <a:fillRef idx="0">
                                <a:schemeClr val="accent1"/>
                              </a:fillRef>
                              <a:effectRef idx="0">
                                <a:schemeClr val="accent1"/>
                              </a:effectRef>
                              <a:fontRef idx="minor">
                                <a:schemeClr val="dk1"/>
                              </a:fontRef>
                            </wps:style>
                            <wps:txbx>
                              <w:txbxContent>
                                <w:p w14:paraId="2482C6F9">
                                  <w:pPr>
                                    <w:pStyle w:val="6"/>
                                    <w:spacing w:before="54" w:line="220" w:lineRule="auto"/>
                                    <w:ind w:left="20"/>
                                    <w:rPr>
                                      <w:sz w:val="18"/>
                                      <w:szCs w:val="18"/>
                                    </w:rPr>
                                  </w:pPr>
                                  <w:r>
                                    <w:rPr>
                                      <w:sz w:val="18"/>
                                      <w:szCs w:val="18"/>
                                    </w:rPr>
                                    <w:t>八</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TextBox 270" o:spid="_x0000_s1026" o:spt="202" type="#_x0000_t202" style="position:absolute;left:0pt;margin-left:0.9pt;margin-top:24.15pt;height:14.5pt;width:10.55pt;mso-position-horizontal-relative:page;mso-position-vertical-relative:page;rotation:-5898240f;z-index:251674624;mso-width-relative:page;mso-height-relative:page;" filled="f" stroked="f" coordsize="21600,21600" o:gfxdata="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TfzxVNUAAAAGAQAADwAA&#10;AAAAAAABACAAAAAiAAAAZHJzL2Rvd25yZXYueG1sUEsBAhQAFAAAAAgAh07iQNRXtJdSAgAApAQA&#10;AA4AAAAAAAAAAQAgAAAAJAEAAGRycy9lMm9Eb2MueG1sUEsFBgAAAAAGAAYAWQEAAOgFAAAAAA==&#10;">
                      <v:fill on="f" focussize="0,0"/>
                      <v:stroke on="f" weight="0pt" miterlimit="0" joinstyle="miter"/>
                      <v:imagedata o:title=""/>
                      <o:lock v:ext="edit" aspectratio="f"/>
                      <v:textbox inset="0mm,0mm,0mm,0mm">
                        <w:txbxContent>
                          <w:p w14:paraId="2482C6F9">
                            <w:pPr>
                              <w:pStyle w:val="6"/>
                              <w:spacing w:before="54" w:line="220" w:lineRule="auto"/>
                              <w:ind w:left="20"/>
                              <w:rPr>
                                <w:sz w:val="18"/>
                                <w:szCs w:val="18"/>
                              </w:rPr>
                            </w:pPr>
                            <w:r>
                              <w:rPr>
                                <w:sz w:val="18"/>
                                <w:szCs w:val="18"/>
                              </w:rPr>
                              <w:t>八</w:t>
                            </w:r>
                          </w:p>
                        </w:txbxContent>
                      </v:textbox>
                    </v:shape>
                  </w:pict>
                </mc:Fallback>
              </mc:AlternateContent>
            </w:r>
          </w:p>
          <w:p w14:paraId="47285B5A">
            <w:pPr>
              <w:pStyle w:val="6"/>
              <w:spacing w:before="39" w:line="238" w:lineRule="auto"/>
              <w:ind w:left="19"/>
              <w:rPr>
                <w:sz w:val="12"/>
                <w:szCs w:val="12"/>
              </w:rPr>
            </w:pPr>
            <w:r>
              <w:rPr>
                <w:sz w:val="12"/>
                <w:szCs w:val="12"/>
              </w:rPr>
              <w:t>√</w:t>
            </w:r>
          </w:p>
        </w:tc>
      </w:tr>
    </w:tbl>
    <w:p w14:paraId="369D73C8">
      <w:pPr>
        <w:spacing w:before="72" w:line="219" w:lineRule="auto"/>
        <w:ind w:left="365"/>
        <w:rPr>
          <w:rFonts w:ascii="宋体" w:hAnsi="宋体" w:eastAsia="宋体" w:cs="宋体"/>
          <w:sz w:val="17"/>
          <w:szCs w:val="17"/>
        </w:rPr>
      </w:pPr>
      <w:r>
        <w:rPr>
          <w:rFonts w:ascii="宋体" w:hAnsi="宋体" w:eastAsia="宋体" w:cs="宋体"/>
          <w:spacing w:val="-2"/>
          <w:sz w:val="17"/>
          <w:szCs w:val="17"/>
        </w:rPr>
        <w:t>第二讲</w:t>
      </w:r>
      <w:r>
        <w:rPr>
          <w:rFonts w:ascii="宋体" w:hAnsi="宋体" w:eastAsia="宋体" w:cs="宋体"/>
          <w:spacing w:val="11"/>
          <w:sz w:val="17"/>
          <w:szCs w:val="17"/>
        </w:rPr>
        <w:t xml:space="preserve">  </w:t>
      </w:r>
      <w:r>
        <w:rPr>
          <w:rFonts w:ascii="宋体" w:hAnsi="宋体" w:eastAsia="宋体" w:cs="宋体"/>
          <w:spacing w:val="-2"/>
          <w:sz w:val="17"/>
          <w:szCs w:val="17"/>
        </w:rPr>
        <w:t>中国烹饪原理和技术规范</w:t>
      </w:r>
    </w:p>
    <w:p w14:paraId="52A4BFCD">
      <w:pPr>
        <w:spacing w:line="16" w:lineRule="exact"/>
      </w:pPr>
    </w:p>
    <w:tbl>
      <w:tblPr>
        <w:tblStyle w:val="5"/>
        <w:tblW w:w="4130" w:type="dxa"/>
        <w:tblInd w:w="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14"/>
        <w:gridCol w:w="229"/>
        <w:gridCol w:w="220"/>
        <w:gridCol w:w="230"/>
        <w:gridCol w:w="244"/>
      </w:tblGrid>
      <w:tr w14:paraId="301156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4" w:hRule="atLeast"/>
        </w:trPr>
        <w:tc>
          <w:tcPr>
            <w:tcW w:w="893" w:type="dxa"/>
            <w:vMerge w:val="restart"/>
            <w:tcBorders>
              <w:bottom w:val="nil"/>
            </w:tcBorders>
            <w:vAlign w:val="top"/>
          </w:tcPr>
          <w:p w14:paraId="563C5C5F">
            <w:pPr>
              <w:pStyle w:val="6"/>
              <w:spacing w:before="140" w:line="230" w:lineRule="auto"/>
              <w:ind w:left="257" w:right="1" w:hanging="240"/>
              <w:rPr>
                <w:sz w:val="18"/>
                <w:szCs w:val="18"/>
              </w:rPr>
            </w:pPr>
            <w:r>
              <w:rPr>
                <w:b/>
                <w:bCs/>
                <w:spacing w:val="-10"/>
                <w:sz w:val="18"/>
                <w:szCs w:val="18"/>
              </w:rPr>
              <w:t>知识与技能</w:t>
            </w:r>
            <w:r>
              <w:rPr>
                <w:spacing w:val="3"/>
                <w:sz w:val="18"/>
                <w:szCs w:val="18"/>
              </w:rPr>
              <w:t xml:space="preserve"> </w:t>
            </w:r>
            <w:r>
              <w:rPr>
                <w:b/>
                <w:bCs/>
                <w:spacing w:val="-4"/>
                <w:sz w:val="18"/>
                <w:szCs w:val="18"/>
              </w:rPr>
              <w:t>要点</w:t>
            </w:r>
          </w:p>
        </w:tc>
        <w:tc>
          <w:tcPr>
            <w:tcW w:w="2314" w:type="dxa"/>
            <w:vMerge w:val="restart"/>
            <w:tcBorders>
              <w:bottom w:val="nil"/>
            </w:tcBorders>
            <w:vAlign w:val="top"/>
          </w:tcPr>
          <w:p w14:paraId="6AEBD82A">
            <w:pPr>
              <w:pStyle w:val="6"/>
              <w:spacing w:before="250" w:line="219" w:lineRule="auto"/>
              <w:ind w:left="854"/>
              <w:rPr>
                <w:sz w:val="18"/>
                <w:szCs w:val="18"/>
              </w:rPr>
            </w:pPr>
            <w:r>
              <w:rPr>
                <w:b/>
                <w:bCs/>
                <w:spacing w:val="5"/>
                <w:sz w:val="18"/>
                <w:szCs w:val="18"/>
              </w:rPr>
              <w:t>考试条目</w:t>
            </w:r>
          </w:p>
        </w:tc>
        <w:tc>
          <w:tcPr>
            <w:tcW w:w="923" w:type="dxa"/>
            <w:gridSpan w:val="4"/>
            <w:vAlign w:val="top"/>
          </w:tcPr>
          <w:p w14:paraId="0441A860">
            <w:pPr>
              <w:pStyle w:val="6"/>
              <w:spacing w:before="80" w:line="219" w:lineRule="auto"/>
              <w:ind w:left="150"/>
              <w:rPr>
                <w:sz w:val="18"/>
                <w:szCs w:val="18"/>
              </w:rPr>
            </w:pPr>
            <w:r>
              <w:rPr>
                <w:b/>
                <w:bCs/>
                <w:spacing w:val="-4"/>
                <w:sz w:val="18"/>
                <w:szCs w:val="18"/>
              </w:rPr>
              <w:t>考试水平</w:t>
            </w:r>
          </w:p>
        </w:tc>
      </w:tr>
      <w:tr w14:paraId="589CB3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893" w:type="dxa"/>
            <w:vMerge w:val="continue"/>
            <w:tcBorders>
              <w:top w:val="nil"/>
            </w:tcBorders>
            <w:vAlign w:val="top"/>
          </w:tcPr>
          <w:p w14:paraId="05CA2B8D">
            <w:pPr>
              <w:rPr>
                <w:rFonts w:ascii="Arial"/>
                <w:sz w:val="21"/>
              </w:rPr>
            </w:pPr>
          </w:p>
        </w:tc>
        <w:tc>
          <w:tcPr>
            <w:tcW w:w="2314" w:type="dxa"/>
            <w:vMerge w:val="continue"/>
            <w:tcBorders>
              <w:top w:val="nil"/>
            </w:tcBorders>
            <w:vAlign w:val="top"/>
          </w:tcPr>
          <w:p w14:paraId="02AD6853">
            <w:pPr>
              <w:rPr>
                <w:rFonts w:ascii="Arial"/>
                <w:sz w:val="21"/>
              </w:rPr>
            </w:pPr>
          </w:p>
        </w:tc>
        <w:tc>
          <w:tcPr>
            <w:tcW w:w="229" w:type="dxa"/>
            <w:vAlign w:val="top"/>
          </w:tcPr>
          <w:p w14:paraId="3C4016E2">
            <w:pPr>
              <w:pStyle w:val="6"/>
              <w:spacing w:before="113" w:line="184" w:lineRule="auto"/>
              <w:ind w:left="20"/>
              <w:rPr>
                <w:sz w:val="18"/>
                <w:szCs w:val="18"/>
              </w:rPr>
            </w:pPr>
            <w:r>
              <w:rPr>
                <w:b/>
                <w:bCs/>
                <w:spacing w:val="-2"/>
                <w:sz w:val="18"/>
                <w:szCs w:val="18"/>
              </w:rPr>
              <w:t>A</w:t>
            </w:r>
          </w:p>
        </w:tc>
        <w:tc>
          <w:tcPr>
            <w:tcW w:w="220" w:type="dxa"/>
            <w:vAlign w:val="top"/>
          </w:tcPr>
          <w:p w14:paraId="16FC5097">
            <w:pPr>
              <w:pStyle w:val="6"/>
              <w:spacing w:before="115" w:line="182" w:lineRule="auto"/>
              <w:ind w:left="51"/>
              <w:rPr>
                <w:sz w:val="18"/>
                <w:szCs w:val="18"/>
              </w:rPr>
            </w:pPr>
            <w:r>
              <w:rPr>
                <w:b/>
                <w:bCs/>
                <w:spacing w:val="-2"/>
                <w:sz w:val="18"/>
                <w:szCs w:val="18"/>
              </w:rPr>
              <w:t>B</w:t>
            </w:r>
          </w:p>
        </w:tc>
        <w:tc>
          <w:tcPr>
            <w:tcW w:w="230" w:type="dxa"/>
            <w:vAlign w:val="top"/>
          </w:tcPr>
          <w:p w14:paraId="7BA0A5D9">
            <w:pPr>
              <w:pStyle w:val="6"/>
              <w:spacing w:before="113" w:line="183" w:lineRule="auto"/>
              <w:jc w:val="right"/>
              <w:rPr>
                <w:sz w:val="18"/>
                <w:szCs w:val="18"/>
              </w:rPr>
            </w:pPr>
            <w:r>
              <w:rPr>
                <w:b/>
                <w:bCs/>
                <w:spacing w:val="-10"/>
                <w:w w:val="96"/>
                <w:sz w:val="18"/>
                <w:szCs w:val="18"/>
              </w:rPr>
              <w:t>C</w:t>
            </w:r>
          </w:p>
        </w:tc>
        <w:tc>
          <w:tcPr>
            <w:tcW w:w="244" w:type="dxa"/>
            <w:vAlign w:val="top"/>
          </w:tcPr>
          <w:p w14:paraId="5ABADA08">
            <w:pPr>
              <w:pStyle w:val="6"/>
              <w:spacing w:before="115" w:line="182" w:lineRule="auto"/>
              <w:ind w:left="71"/>
              <w:rPr>
                <w:sz w:val="18"/>
                <w:szCs w:val="18"/>
              </w:rPr>
            </w:pPr>
            <w:r>
              <w:rPr>
                <w:b/>
                <w:bCs/>
                <w:spacing w:val="-2"/>
                <w:sz w:val="18"/>
                <w:szCs w:val="18"/>
              </w:rPr>
              <w:t>D</w:t>
            </w:r>
          </w:p>
        </w:tc>
      </w:tr>
      <w:tr w14:paraId="2558F2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9" w:hRule="atLeast"/>
        </w:trPr>
        <w:tc>
          <w:tcPr>
            <w:tcW w:w="893" w:type="dxa"/>
            <w:vAlign w:val="top"/>
          </w:tcPr>
          <w:p w14:paraId="459848E0">
            <w:pPr>
              <w:pStyle w:val="6"/>
              <w:spacing w:before="110" w:line="220" w:lineRule="auto"/>
              <w:ind w:left="75"/>
              <w:rPr>
                <w:sz w:val="18"/>
                <w:szCs w:val="18"/>
              </w:rPr>
            </w:pPr>
            <w:r>
              <w:rPr>
                <w:spacing w:val="2"/>
                <w:sz w:val="18"/>
                <w:szCs w:val="18"/>
              </w:rPr>
              <w:t>中国烹饪</w:t>
            </w:r>
          </w:p>
          <w:p w14:paraId="31AAC610">
            <w:pPr>
              <w:pStyle w:val="6"/>
              <w:spacing w:before="24" w:line="219" w:lineRule="auto"/>
              <w:ind w:left="165"/>
              <w:rPr>
                <w:sz w:val="18"/>
                <w:szCs w:val="18"/>
              </w:rPr>
            </w:pPr>
            <w:r>
              <w:rPr>
                <w:spacing w:val="2"/>
                <w:sz w:val="18"/>
                <w:szCs w:val="18"/>
              </w:rPr>
              <w:t>的要素</w:t>
            </w:r>
          </w:p>
        </w:tc>
        <w:tc>
          <w:tcPr>
            <w:tcW w:w="2314" w:type="dxa"/>
            <w:vAlign w:val="top"/>
          </w:tcPr>
          <w:p w14:paraId="46E271BA">
            <w:pPr>
              <w:pStyle w:val="6"/>
              <w:spacing w:before="109" w:line="234" w:lineRule="auto"/>
              <w:ind w:left="12" w:right="843"/>
              <w:rPr>
                <w:sz w:val="18"/>
                <w:szCs w:val="18"/>
              </w:rPr>
            </w:pPr>
            <w:r>
              <w:rPr>
                <w:sz w:val="18"/>
                <w:szCs w:val="18"/>
              </w:rPr>
              <w:t>1.烹饪的八大要素</w:t>
            </w:r>
            <w:r>
              <w:rPr>
                <w:spacing w:val="7"/>
                <w:sz w:val="18"/>
                <w:szCs w:val="18"/>
              </w:rPr>
              <w:t xml:space="preserve"> </w:t>
            </w:r>
            <w:r>
              <w:rPr>
                <w:spacing w:val="3"/>
                <w:sz w:val="18"/>
                <w:szCs w:val="18"/>
              </w:rPr>
              <w:t>2.烹饪的作用</w:t>
            </w:r>
          </w:p>
        </w:tc>
        <w:tc>
          <w:tcPr>
            <w:tcW w:w="229" w:type="dxa"/>
            <w:vAlign w:val="top"/>
          </w:tcPr>
          <w:p w14:paraId="53F0CC1A">
            <w:pPr>
              <w:rPr>
                <w:rFonts w:ascii="Arial"/>
                <w:sz w:val="21"/>
              </w:rPr>
            </w:pPr>
          </w:p>
        </w:tc>
        <w:tc>
          <w:tcPr>
            <w:tcW w:w="220" w:type="dxa"/>
            <w:vAlign w:val="top"/>
          </w:tcPr>
          <w:p w14:paraId="617D1CF9">
            <w:pPr>
              <w:rPr>
                <w:rFonts w:ascii="Arial"/>
                <w:sz w:val="21"/>
              </w:rPr>
            </w:pPr>
          </w:p>
        </w:tc>
        <w:tc>
          <w:tcPr>
            <w:tcW w:w="230" w:type="dxa"/>
            <w:vAlign w:val="top"/>
          </w:tcPr>
          <w:p w14:paraId="76142944">
            <w:pPr>
              <w:rPr>
                <w:rFonts w:ascii="Arial"/>
                <w:sz w:val="21"/>
              </w:rPr>
            </w:pPr>
          </w:p>
        </w:tc>
        <w:tc>
          <w:tcPr>
            <w:tcW w:w="244" w:type="dxa"/>
            <w:vAlign w:val="top"/>
          </w:tcPr>
          <w:p w14:paraId="3B2141EB">
            <w:pPr>
              <w:rPr>
                <w:rFonts w:ascii="Arial"/>
                <w:sz w:val="21"/>
              </w:rPr>
            </w:pPr>
          </w:p>
        </w:tc>
      </w:tr>
      <w:tr w14:paraId="6F49BF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78" w:hRule="atLeast"/>
        </w:trPr>
        <w:tc>
          <w:tcPr>
            <w:tcW w:w="893" w:type="dxa"/>
            <w:vAlign w:val="top"/>
          </w:tcPr>
          <w:p w14:paraId="5F2387C0">
            <w:pPr>
              <w:pStyle w:val="6"/>
              <w:spacing w:before="231" w:line="220" w:lineRule="auto"/>
              <w:ind w:left="75"/>
              <w:rPr>
                <w:sz w:val="18"/>
                <w:szCs w:val="18"/>
              </w:rPr>
            </w:pPr>
            <w:r>
              <w:rPr>
                <w:spacing w:val="2"/>
                <w:sz w:val="18"/>
                <w:szCs w:val="18"/>
              </w:rPr>
              <w:t>中国烹饪</w:t>
            </w:r>
          </w:p>
          <w:p w14:paraId="1F13AC42">
            <w:pPr>
              <w:pStyle w:val="6"/>
              <w:spacing w:before="36" w:line="214" w:lineRule="auto"/>
              <w:ind w:left="75"/>
              <w:rPr>
                <w:sz w:val="18"/>
                <w:szCs w:val="18"/>
              </w:rPr>
            </w:pPr>
            <w:r>
              <w:rPr>
                <w:spacing w:val="2"/>
                <w:sz w:val="18"/>
                <w:szCs w:val="18"/>
              </w:rPr>
              <w:t>的民族文</w:t>
            </w:r>
          </w:p>
          <w:p w14:paraId="7D0F9EB6">
            <w:pPr>
              <w:pStyle w:val="6"/>
              <w:spacing w:line="219" w:lineRule="auto"/>
              <w:ind w:left="165"/>
              <w:rPr>
                <w:sz w:val="18"/>
                <w:szCs w:val="18"/>
              </w:rPr>
            </w:pPr>
            <w:r>
              <w:rPr>
                <w:spacing w:val="6"/>
                <w:sz w:val="18"/>
                <w:szCs w:val="18"/>
              </w:rPr>
              <w:t>化特质</w:t>
            </w:r>
          </w:p>
        </w:tc>
        <w:tc>
          <w:tcPr>
            <w:tcW w:w="2314" w:type="dxa"/>
            <w:vAlign w:val="top"/>
          </w:tcPr>
          <w:p w14:paraId="6114B464">
            <w:pPr>
              <w:pStyle w:val="6"/>
              <w:spacing w:before="141" w:line="226" w:lineRule="auto"/>
              <w:ind w:left="12" w:right="483"/>
              <w:rPr>
                <w:sz w:val="18"/>
                <w:szCs w:val="18"/>
              </w:rPr>
            </w:pPr>
            <w:r>
              <w:rPr>
                <w:sz w:val="18"/>
                <w:szCs w:val="18"/>
              </w:rPr>
              <w:t>1.养助益充的营养理论</w:t>
            </w:r>
            <w:r>
              <w:rPr>
                <w:spacing w:val="7"/>
                <w:sz w:val="18"/>
                <w:szCs w:val="18"/>
              </w:rPr>
              <w:t xml:space="preserve"> </w:t>
            </w:r>
            <w:r>
              <w:rPr>
                <w:spacing w:val="-1"/>
                <w:sz w:val="18"/>
                <w:szCs w:val="18"/>
              </w:rPr>
              <w:t>2.五位调和的境界说</w:t>
            </w:r>
          </w:p>
          <w:p w14:paraId="3A2398ED">
            <w:pPr>
              <w:pStyle w:val="6"/>
              <w:spacing w:before="1" w:line="221" w:lineRule="auto"/>
              <w:ind w:left="12" w:right="678"/>
              <w:rPr>
                <w:sz w:val="18"/>
                <w:szCs w:val="18"/>
              </w:rPr>
            </w:pPr>
            <w:r>
              <w:rPr>
                <w:spacing w:val="-2"/>
                <w:sz w:val="18"/>
                <w:szCs w:val="18"/>
              </w:rPr>
              <w:t>3.奇正互变的烹调法</w:t>
            </w:r>
            <w:r>
              <w:rPr>
                <w:spacing w:val="8"/>
                <w:sz w:val="18"/>
                <w:szCs w:val="18"/>
              </w:rPr>
              <w:t xml:space="preserve"> </w:t>
            </w:r>
            <w:r>
              <w:rPr>
                <w:spacing w:val="-1"/>
                <w:sz w:val="18"/>
                <w:szCs w:val="18"/>
              </w:rPr>
              <w:t>4.畅神悦情的美食观</w:t>
            </w:r>
          </w:p>
        </w:tc>
        <w:tc>
          <w:tcPr>
            <w:tcW w:w="229" w:type="dxa"/>
            <w:vAlign w:val="top"/>
          </w:tcPr>
          <w:p w14:paraId="501AB959">
            <w:pPr>
              <w:rPr>
                <w:rFonts w:ascii="Arial"/>
                <w:sz w:val="21"/>
              </w:rPr>
            </w:pPr>
          </w:p>
        </w:tc>
        <w:tc>
          <w:tcPr>
            <w:tcW w:w="220" w:type="dxa"/>
            <w:vAlign w:val="top"/>
          </w:tcPr>
          <w:p w14:paraId="30045914">
            <w:pPr>
              <w:rPr>
                <w:rFonts w:ascii="Arial"/>
                <w:sz w:val="21"/>
              </w:rPr>
            </w:pPr>
          </w:p>
        </w:tc>
        <w:tc>
          <w:tcPr>
            <w:tcW w:w="230" w:type="dxa"/>
            <w:vAlign w:val="top"/>
          </w:tcPr>
          <w:p w14:paraId="2519FC72">
            <w:pPr>
              <w:rPr>
                <w:rFonts w:ascii="Arial"/>
                <w:sz w:val="21"/>
              </w:rPr>
            </w:pPr>
          </w:p>
        </w:tc>
        <w:tc>
          <w:tcPr>
            <w:tcW w:w="244" w:type="dxa"/>
            <w:vAlign w:val="top"/>
          </w:tcPr>
          <w:p w14:paraId="4D6CCC95">
            <w:pPr>
              <w:rPr>
                <w:rFonts w:ascii="Arial"/>
                <w:sz w:val="21"/>
              </w:rPr>
            </w:pPr>
          </w:p>
        </w:tc>
      </w:tr>
      <w:tr w14:paraId="62E078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27" w:hRule="atLeast"/>
        </w:trPr>
        <w:tc>
          <w:tcPr>
            <w:tcW w:w="893" w:type="dxa"/>
            <w:vAlign w:val="top"/>
          </w:tcPr>
          <w:p w14:paraId="5C3D42C4">
            <w:pPr>
              <w:pStyle w:val="6"/>
              <w:spacing w:before="263" w:line="220" w:lineRule="auto"/>
              <w:ind w:left="75"/>
              <w:rPr>
                <w:sz w:val="18"/>
                <w:szCs w:val="18"/>
              </w:rPr>
            </w:pPr>
            <w:r>
              <w:rPr>
                <w:spacing w:val="2"/>
                <w:sz w:val="18"/>
                <w:szCs w:val="18"/>
              </w:rPr>
              <w:t>中国烹饪</w:t>
            </w:r>
          </w:p>
          <w:p w14:paraId="08C8E85D">
            <w:pPr>
              <w:pStyle w:val="6"/>
              <w:spacing w:before="23" w:line="219" w:lineRule="auto"/>
              <w:ind w:left="75"/>
              <w:rPr>
                <w:sz w:val="18"/>
                <w:szCs w:val="18"/>
              </w:rPr>
            </w:pPr>
            <w:r>
              <w:rPr>
                <w:spacing w:val="1"/>
                <w:sz w:val="18"/>
                <w:szCs w:val="18"/>
              </w:rPr>
              <w:t>的传统技</w:t>
            </w:r>
          </w:p>
          <w:p w14:paraId="0863D0E2">
            <w:pPr>
              <w:pStyle w:val="6"/>
              <w:spacing w:before="7" w:line="219" w:lineRule="auto"/>
              <w:ind w:left="165"/>
              <w:rPr>
                <w:sz w:val="18"/>
                <w:szCs w:val="18"/>
              </w:rPr>
            </w:pPr>
            <w:r>
              <w:rPr>
                <w:spacing w:val="-2"/>
                <w:sz w:val="18"/>
                <w:szCs w:val="18"/>
              </w:rPr>
              <w:t>术规范</w:t>
            </w:r>
          </w:p>
        </w:tc>
        <w:tc>
          <w:tcPr>
            <w:tcW w:w="2314" w:type="dxa"/>
            <w:vAlign w:val="top"/>
          </w:tcPr>
          <w:p w14:paraId="46655C18">
            <w:pPr>
              <w:pStyle w:val="6"/>
              <w:spacing w:before="173" w:line="219" w:lineRule="auto"/>
              <w:ind w:left="12" w:right="1196"/>
              <w:jc w:val="both"/>
              <w:rPr>
                <w:sz w:val="18"/>
                <w:szCs w:val="18"/>
              </w:rPr>
            </w:pPr>
            <w:r>
              <w:rPr>
                <w:spacing w:val="1"/>
                <w:sz w:val="18"/>
                <w:szCs w:val="18"/>
              </w:rPr>
              <w:t>1.选料与组配</w:t>
            </w:r>
            <w:r>
              <w:rPr>
                <w:sz w:val="18"/>
                <w:szCs w:val="18"/>
              </w:rPr>
              <w:t xml:space="preserve"> </w:t>
            </w:r>
            <w:r>
              <w:rPr>
                <w:spacing w:val="1"/>
                <w:sz w:val="18"/>
                <w:szCs w:val="18"/>
              </w:rPr>
              <w:t>2.刀工与造型</w:t>
            </w:r>
            <w:r>
              <w:rPr>
                <w:spacing w:val="3"/>
                <w:sz w:val="18"/>
                <w:szCs w:val="18"/>
              </w:rPr>
              <w:t xml:space="preserve"> </w:t>
            </w:r>
            <w:r>
              <w:rPr>
                <w:spacing w:val="-2"/>
                <w:sz w:val="18"/>
                <w:szCs w:val="18"/>
              </w:rPr>
              <w:t>3.施水与调味</w:t>
            </w:r>
            <w:r>
              <w:rPr>
                <w:spacing w:val="2"/>
                <w:sz w:val="18"/>
                <w:szCs w:val="18"/>
              </w:rPr>
              <w:t xml:space="preserve"> 4.加热与烹制</w:t>
            </w:r>
          </w:p>
        </w:tc>
        <w:tc>
          <w:tcPr>
            <w:tcW w:w="229" w:type="dxa"/>
            <w:vAlign w:val="top"/>
          </w:tcPr>
          <w:p w14:paraId="6A089B21">
            <w:pPr>
              <w:rPr>
                <w:rFonts w:ascii="Arial"/>
                <w:sz w:val="21"/>
              </w:rPr>
            </w:pPr>
          </w:p>
        </w:tc>
        <w:tc>
          <w:tcPr>
            <w:tcW w:w="220" w:type="dxa"/>
            <w:vAlign w:val="top"/>
          </w:tcPr>
          <w:p w14:paraId="4AF8A0EC">
            <w:pPr>
              <w:rPr>
                <w:rFonts w:ascii="Arial"/>
                <w:sz w:val="21"/>
              </w:rPr>
            </w:pPr>
          </w:p>
        </w:tc>
        <w:tc>
          <w:tcPr>
            <w:tcW w:w="230" w:type="dxa"/>
            <w:vAlign w:val="top"/>
          </w:tcPr>
          <w:p w14:paraId="34D8B0E7">
            <w:pPr>
              <w:spacing w:before="193" w:line="772" w:lineRule="exact"/>
              <w:ind w:firstLine="53"/>
            </w:pPr>
            <w:r>
              <w:rPr>
                <w:position w:val="-15"/>
              </w:rPr>
              <w:drawing>
                <wp:inline distT="0" distB="0" distL="0" distR="0">
                  <wp:extent cx="82550" cy="489585"/>
                  <wp:effectExtent l="0" t="0" r="0" b="0"/>
                  <wp:docPr id="272" name="IM 272"/>
                  <wp:cNvGraphicFramePr/>
                  <a:graphic xmlns:a="http://schemas.openxmlformats.org/drawingml/2006/main">
                    <a:graphicData uri="http://schemas.openxmlformats.org/drawingml/2006/picture">
                      <pic:pic xmlns:pic="http://schemas.openxmlformats.org/drawingml/2006/picture">
                        <pic:nvPicPr>
                          <pic:cNvPr id="272" name="IM 272"/>
                          <pic:cNvPicPr/>
                        </pic:nvPicPr>
                        <pic:blipFill>
                          <a:blip r:embed="rId300"/>
                          <a:stretch>
                            <a:fillRect/>
                          </a:stretch>
                        </pic:blipFill>
                        <pic:spPr>
                          <a:xfrm>
                            <a:off x="0" y="0"/>
                            <a:ext cx="82953" cy="490083"/>
                          </a:xfrm>
                          <a:prstGeom prst="rect">
                            <a:avLst/>
                          </a:prstGeom>
                        </pic:spPr>
                      </pic:pic>
                    </a:graphicData>
                  </a:graphic>
                </wp:inline>
              </w:drawing>
            </w:r>
          </w:p>
        </w:tc>
        <w:tc>
          <w:tcPr>
            <w:tcW w:w="244" w:type="dxa"/>
            <w:vAlign w:val="top"/>
          </w:tcPr>
          <w:p w14:paraId="5A287DE9">
            <w:pPr>
              <w:rPr>
                <w:rFonts w:ascii="Arial"/>
                <w:sz w:val="21"/>
              </w:rPr>
            </w:pPr>
          </w:p>
        </w:tc>
      </w:tr>
      <w:tr w14:paraId="16F8D4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0" w:hRule="atLeast"/>
        </w:trPr>
        <w:tc>
          <w:tcPr>
            <w:tcW w:w="893" w:type="dxa"/>
            <w:vMerge w:val="restart"/>
            <w:tcBorders>
              <w:bottom w:val="nil"/>
            </w:tcBorders>
            <w:vAlign w:val="top"/>
          </w:tcPr>
          <w:p w14:paraId="7FC8D389">
            <w:pPr>
              <w:pStyle w:val="6"/>
              <w:spacing w:before="236" w:line="220" w:lineRule="auto"/>
              <w:ind w:left="75"/>
              <w:rPr>
                <w:sz w:val="18"/>
                <w:szCs w:val="18"/>
              </w:rPr>
            </w:pPr>
            <w:r>
              <w:rPr>
                <w:spacing w:val="2"/>
                <w:sz w:val="18"/>
                <w:szCs w:val="18"/>
              </w:rPr>
              <w:t>中国烹饪</w:t>
            </w:r>
          </w:p>
          <w:p w14:paraId="49F1567D">
            <w:pPr>
              <w:pStyle w:val="6"/>
              <w:spacing w:before="5" w:line="220" w:lineRule="auto"/>
              <w:ind w:left="75"/>
              <w:rPr>
                <w:sz w:val="18"/>
                <w:szCs w:val="18"/>
              </w:rPr>
            </w:pPr>
            <w:r>
              <w:rPr>
                <w:spacing w:val="-2"/>
                <w:sz w:val="18"/>
                <w:szCs w:val="18"/>
              </w:rPr>
              <w:t>工艺的现</w:t>
            </w:r>
          </w:p>
          <w:p w14:paraId="444AF57B">
            <w:pPr>
              <w:pStyle w:val="6"/>
              <w:spacing w:before="15" w:line="219" w:lineRule="auto"/>
              <w:ind w:left="254"/>
              <w:rPr>
                <w:sz w:val="18"/>
                <w:szCs w:val="18"/>
              </w:rPr>
            </w:pPr>
            <w:r>
              <w:rPr>
                <w:spacing w:val="-2"/>
                <w:sz w:val="18"/>
                <w:szCs w:val="18"/>
              </w:rPr>
              <w:t>代化</w:t>
            </w:r>
          </w:p>
        </w:tc>
        <w:tc>
          <w:tcPr>
            <w:tcW w:w="2314" w:type="dxa"/>
            <w:tcBorders>
              <w:bottom w:val="nil"/>
            </w:tcBorders>
            <w:vAlign w:val="top"/>
          </w:tcPr>
          <w:p w14:paraId="2FCC3F8B">
            <w:pPr>
              <w:pStyle w:val="6"/>
              <w:spacing w:before="134" w:line="180" w:lineRule="auto"/>
              <w:ind w:left="12"/>
              <w:rPr>
                <w:sz w:val="18"/>
                <w:szCs w:val="18"/>
              </w:rPr>
            </w:pPr>
            <w:r>
              <w:rPr>
                <w:sz w:val="18"/>
                <w:szCs w:val="18"/>
              </w:rPr>
              <w:t>1.饮食观念科学化</w:t>
            </w:r>
          </w:p>
        </w:tc>
        <w:tc>
          <w:tcPr>
            <w:tcW w:w="229" w:type="dxa"/>
            <w:tcBorders>
              <w:bottom w:val="nil"/>
            </w:tcBorders>
            <w:vAlign w:val="top"/>
          </w:tcPr>
          <w:p w14:paraId="06B3AA78">
            <w:pPr>
              <w:rPr>
                <w:rFonts w:ascii="Arial"/>
                <w:sz w:val="21"/>
              </w:rPr>
            </w:pPr>
          </w:p>
        </w:tc>
        <w:tc>
          <w:tcPr>
            <w:tcW w:w="220" w:type="dxa"/>
            <w:tcBorders>
              <w:bottom w:val="nil"/>
            </w:tcBorders>
            <w:vAlign w:val="top"/>
          </w:tcPr>
          <w:p w14:paraId="0C36724D">
            <w:pPr>
              <w:rPr>
                <w:rFonts w:ascii="Arial"/>
                <w:sz w:val="21"/>
              </w:rPr>
            </w:pPr>
          </w:p>
        </w:tc>
        <w:tc>
          <w:tcPr>
            <w:tcW w:w="230" w:type="dxa"/>
            <w:tcBorders>
              <w:bottom w:val="nil"/>
            </w:tcBorders>
            <w:vAlign w:val="top"/>
          </w:tcPr>
          <w:p w14:paraId="7332CEF0">
            <w:pPr>
              <w:pStyle w:val="6"/>
              <w:spacing w:before="174" w:line="208" w:lineRule="auto"/>
              <w:ind w:left="29"/>
              <w:rPr>
                <w:sz w:val="12"/>
                <w:szCs w:val="12"/>
              </w:rPr>
            </w:pPr>
            <w:r>
              <w:rPr>
                <w:sz w:val="12"/>
                <w:szCs w:val="12"/>
              </w:rPr>
              <w:t>√</w:t>
            </w:r>
          </w:p>
        </w:tc>
        <w:tc>
          <w:tcPr>
            <w:tcW w:w="244" w:type="dxa"/>
            <w:tcBorders>
              <w:bottom w:val="nil"/>
            </w:tcBorders>
            <w:vAlign w:val="top"/>
          </w:tcPr>
          <w:p w14:paraId="72FB9013">
            <w:pPr>
              <w:rPr>
                <w:rFonts w:ascii="Arial"/>
                <w:sz w:val="21"/>
              </w:rPr>
            </w:pPr>
          </w:p>
        </w:tc>
      </w:tr>
      <w:tr w14:paraId="719D01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0" w:hRule="atLeast"/>
        </w:trPr>
        <w:tc>
          <w:tcPr>
            <w:tcW w:w="893" w:type="dxa"/>
            <w:vMerge w:val="continue"/>
            <w:tcBorders>
              <w:top w:val="nil"/>
              <w:bottom w:val="nil"/>
            </w:tcBorders>
            <w:vAlign w:val="top"/>
          </w:tcPr>
          <w:p w14:paraId="2C4CBEC1">
            <w:pPr>
              <w:rPr>
                <w:rFonts w:ascii="Arial"/>
                <w:sz w:val="21"/>
              </w:rPr>
            </w:pPr>
          </w:p>
        </w:tc>
        <w:tc>
          <w:tcPr>
            <w:tcW w:w="2314" w:type="dxa"/>
            <w:tcBorders>
              <w:top w:val="nil"/>
              <w:bottom w:val="nil"/>
            </w:tcBorders>
            <w:vAlign w:val="top"/>
          </w:tcPr>
          <w:p w14:paraId="59AAE983">
            <w:pPr>
              <w:pStyle w:val="6"/>
              <w:spacing w:before="35" w:line="189" w:lineRule="auto"/>
              <w:ind w:left="12"/>
              <w:rPr>
                <w:sz w:val="18"/>
                <w:szCs w:val="18"/>
              </w:rPr>
            </w:pPr>
            <w:r>
              <w:rPr>
                <w:spacing w:val="-1"/>
                <w:sz w:val="18"/>
                <w:szCs w:val="18"/>
              </w:rPr>
              <w:t>2.膳食结构合理化(中国居</w:t>
            </w:r>
          </w:p>
        </w:tc>
        <w:tc>
          <w:tcPr>
            <w:tcW w:w="229" w:type="dxa"/>
            <w:tcBorders>
              <w:top w:val="nil"/>
              <w:bottom w:val="nil"/>
            </w:tcBorders>
            <w:vAlign w:val="top"/>
          </w:tcPr>
          <w:p w14:paraId="64D26FDE">
            <w:pPr>
              <w:spacing w:line="220" w:lineRule="exact"/>
              <w:rPr>
                <w:rFonts w:ascii="Arial"/>
                <w:sz w:val="19"/>
              </w:rPr>
            </w:pPr>
          </w:p>
        </w:tc>
        <w:tc>
          <w:tcPr>
            <w:tcW w:w="220" w:type="dxa"/>
            <w:tcBorders>
              <w:top w:val="nil"/>
              <w:bottom w:val="nil"/>
            </w:tcBorders>
            <w:vAlign w:val="top"/>
          </w:tcPr>
          <w:p w14:paraId="3DBF145A">
            <w:pPr>
              <w:spacing w:line="220" w:lineRule="exact"/>
              <w:rPr>
                <w:rFonts w:ascii="Arial"/>
                <w:sz w:val="19"/>
              </w:rPr>
            </w:pPr>
          </w:p>
        </w:tc>
        <w:tc>
          <w:tcPr>
            <w:tcW w:w="230" w:type="dxa"/>
            <w:tcBorders>
              <w:top w:val="nil"/>
              <w:bottom w:val="nil"/>
            </w:tcBorders>
            <w:vAlign w:val="top"/>
          </w:tcPr>
          <w:p w14:paraId="7F3F1F52">
            <w:pPr>
              <w:spacing w:line="220" w:lineRule="exact"/>
              <w:rPr>
                <w:rFonts w:ascii="Arial"/>
                <w:sz w:val="19"/>
              </w:rPr>
            </w:pPr>
          </w:p>
        </w:tc>
        <w:tc>
          <w:tcPr>
            <w:tcW w:w="244" w:type="dxa"/>
            <w:tcBorders>
              <w:top w:val="nil"/>
              <w:bottom w:val="nil"/>
            </w:tcBorders>
            <w:vAlign w:val="top"/>
          </w:tcPr>
          <w:p w14:paraId="0F3F1B7D">
            <w:pPr>
              <w:pStyle w:val="6"/>
              <w:spacing w:before="15" w:line="238" w:lineRule="auto"/>
              <w:ind w:left="59"/>
              <w:rPr>
                <w:sz w:val="12"/>
                <w:szCs w:val="12"/>
              </w:rPr>
            </w:pPr>
            <w:r>
              <w:rPr>
                <w:sz w:val="12"/>
                <w:szCs w:val="12"/>
              </w:rPr>
              <w:t>√</w:t>
            </w:r>
          </w:p>
        </w:tc>
      </w:tr>
      <w:tr w14:paraId="1A4B10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3" w:hRule="atLeast"/>
        </w:trPr>
        <w:tc>
          <w:tcPr>
            <w:tcW w:w="893" w:type="dxa"/>
            <w:vMerge w:val="continue"/>
            <w:tcBorders>
              <w:top w:val="nil"/>
            </w:tcBorders>
            <w:vAlign w:val="top"/>
          </w:tcPr>
          <w:p w14:paraId="5CE0DED2">
            <w:pPr>
              <w:rPr>
                <w:rFonts w:ascii="Arial"/>
                <w:sz w:val="21"/>
              </w:rPr>
            </w:pPr>
          </w:p>
        </w:tc>
        <w:tc>
          <w:tcPr>
            <w:tcW w:w="2314" w:type="dxa"/>
            <w:tcBorders>
              <w:top w:val="nil"/>
            </w:tcBorders>
            <w:vAlign w:val="top"/>
          </w:tcPr>
          <w:p w14:paraId="31A72EBE">
            <w:pPr>
              <w:pStyle w:val="6"/>
              <w:spacing w:before="35" w:line="218" w:lineRule="auto"/>
              <w:ind w:left="12" w:right="722"/>
              <w:rPr>
                <w:sz w:val="18"/>
                <w:szCs w:val="18"/>
              </w:rPr>
            </w:pPr>
            <w:r>
              <w:rPr>
                <w:spacing w:val="4"/>
                <w:sz w:val="18"/>
                <w:szCs w:val="18"/>
              </w:rPr>
              <w:t>民膳食结构和指南)</w:t>
            </w:r>
            <w:r>
              <w:rPr>
                <w:spacing w:val="2"/>
                <w:sz w:val="18"/>
                <w:szCs w:val="18"/>
              </w:rPr>
              <w:t xml:space="preserve"> </w:t>
            </w:r>
            <w:r>
              <w:rPr>
                <w:spacing w:val="-1"/>
                <w:sz w:val="18"/>
                <w:szCs w:val="18"/>
              </w:rPr>
              <w:t>3.烹调技法标准化</w:t>
            </w:r>
          </w:p>
        </w:tc>
        <w:tc>
          <w:tcPr>
            <w:tcW w:w="229" w:type="dxa"/>
            <w:tcBorders>
              <w:top w:val="nil"/>
            </w:tcBorders>
            <w:vAlign w:val="top"/>
          </w:tcPr>
          <w:p w14:paraId="4BEE0F42">
            <w:pPr>
              <w:rPr>
                <w:rFonts w:ascii="Arial"/>
                <w:sz w:val="21"/>
              </w:rPr>
            </w:pPr>
          </w:p>
        </w:tc>
        <w:tc>
          <w:tcPr>
            <w:tcW w:w="220" w:type="dxa"/>
            <w:tcBorders>
              <w:top w:val="nil"/>
            </w:tcBorders>
            <w:vAlign w:val="top"/>
          </w:tcPr>
          <w:p w14:paraId="3E185DA3">
            <w:pPr>
              <w:rPr>
                <w:rFonts w:ascii="Arial"/>
                <w:sz w:val="21"/>
              </w:rPr>
            </w:pPr>
          </w:p>
        </w:tc>
        <w:tc>
          <w:tcPr>
            <w:tcW w:w="230" w:type="dxa"/>
            <w:tcBorders>
              <w:top w:val="nil"/>
            </w:tcBorders>
            <w:vAlign w:val="top"/>
          </w:tcPr>
          <w:p w14:paraId="57235B1E">
            <w:pPr>
              <w:rPr>
                <w:rFonts w:ascii="Arial"/>
                <w:sz w:val="21"/>
              </w:rPr>
            </w:pPr>
          </w:p>
        </w:tc>
        <w:tc>
          <w:tcPr>
            <w:tcW w:w="244" w:type="dxa"/>
            <w:tcBorders>
              <w:top w:val="nil"/>
            </w:tcBorders>
            <w:textDirection w:val="tbRlV"/>
            <w:vAlign w:val="top"/>
          </w:tcPr>
          <w:p w14:paraId="640AE145">
            <w:pPr>
              <w:pStyle w:val="6"/>
              <w:spacing w:before="61" w:line="185" w:lineRule="exact"/>
              <w:rPr>
                <w:sz w:val="24"/>
                <w:szCs w:val="24"/>
              </w:rPr>
            </w:pPr>
            <w:r>
              <w:rPr>
                <w:spacing w:val="25"/>
                <w:w w:val="138"/>
                <w:position w:val="-4"/>
                <w:sz w:val="24"/>
                <w:szCs w:val="24"/>
              </w:rPr>
              <w:t>V</w:t>
            </w:r>
          </w:p>
        </w:tc>
      </w:tr>
    </w:tbl>
    <w:p w14:paraId="7DC1AC0C">
      <w:pPr>
        <w:spacing w:before="72" w:line="219" w:lineRule="auto"/>
        <w:ind w:left="365"/>
        <w:rPr>
          <w:rFonts w:ascii="宋体" w:hAnsi="宋体" w:eastAsia="宋体" w:cs="宋体"/>
          <w:sz w:val="18"/>
          <w:szCs w:val="18"/>
        </w:rPr>
      </w:pPr>
      <w:r>
        <w:rPr>
          <w:rFonts w:ascii="宋体" w:hAnsi="宋体" w:eastAsia="宋体" w:cs="宋体"/>
          <w:spacing w:val="-2"/>
          <w:sz w:val="18"/>
          <w:szCs w:val="18"/>
        </w:rPr>
        <w:t>第三讲</w:t>
      </w:r>
      <w:r>
        <w:rPr>
          <w:rFonts w:ascii="宋体" w:hAnsi="宋体" w:eastAsia="宋体" w:cs="宋体"/>
          <w:spacing w:val="32"/>
          <w:sz w:val="18"/>
          <w:szCs w:val="18"/>
        </w:rPr>
        <w:t xml:space="preserve"> </w:t>
      </w:r>
      <w:r>
        <w:rPr>
          <w:rFonts w:ascii="宋体" w:hAnsi="宋体" w:eastAsia="宋体" w:cs="宋体"/>
          <w:spacing w:val="-2"/>
          <w:sz w:val="18"/>
          <w:szCs w:val="18"/>
        </w:rPr>
        <w:t>中国菜点</w:t>
      </w:r>
    </w:p>
    <w:p w14:paraId="300DC11D">
      <w:pPr>
        <w:spacing w:line="145" w:lineRule="auto"/>
        <w:rPr>
          <w:rFonts w:ascii="Arial"/>
          <w:sz w:val="2"/>
        </w:rPr>
      </w:pPr>
    </w:p>
    <w:tbl>
      <w:tblPr>
        <w:tblStyle w:val="5"/>
        <w:tblW w:w="412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04"/>
        <w:gridCol w:w="2301"/>
        <w:gridCol w:w="230"/>
        <w:gridCol w:w="220"/>
        <w:gridCol w:w="230"/>
        <w:gridCol w:w="235"/>
      </w:tblGrid>
      <w:tr w14:paraId="60F56F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4" w:hRule="atLeast"/>
        </w:trPr>
        <w:tc>
          <w:tcPr>
            <w:tcW w:w="904" w:type="dxa"/>
            <w:vMerge w:val="restart"/>
            <w:tcBorders>
              <w:bottom w:val="nil"/>
            </w:tcBorders>
            <w:vAlign w:val="top"/>
          </w:tcPr>
          <w:p w14:paraId="234086A5">
            <w:pPr>
              <w:pStyle w:val="6"/>
              <w:spacing w:before="141" w:line="231" w:lineRule="auto"/>
              <w:ind w:left="276" w:right="36" w:hanging="259"/>
            </w:pPr>
            <w:r>
              <w:rPr>
                <w:b/>
                <w:bCs/>
                <w:spacing w:val="-4"/>
              </w:rPr>
              <w:t>知识与技能</w:t>
            </w:r>
            <w:r>
              <w:t xml:space="preserve"> </w:t>
            </w:r>
            <w:r>
              <w:rPr>
                <w:b/>
                <w:bCs/>
                <w:spacing w:val="-4"/>
              </w:rPr>
              <w:t>要点</w:t>
            </w:r>
          </w:p>
        </w:tc>
        <w:tc>
          <w:tcPr>
            <w:tcW w:w="2301" w:type="dxa"/>
            <w:vMerge w:val="restart"/>
            <w:tcBorders>
              <w:bottom w:val="nil"/>
            </w:tcBorders>
            <w:vAlign w:val="top"/>
          </w:tcPr>
          <w:p w14:paraId="5337E5DC">
            <w:pPr>
              <w:pStyle w:val="6"/>
              <w:spacing w:before="259" w:line="219" w:lineRule="auto"/>
              <w:ind w:left="833"/>
            </w:pPr>
            <w:r>
              <w:rPr>
                <w:b/>
                <w:bCs/>
                <w:spacing w:val="5"/>
              </w:rPr>
              <w:t>考试条目</w:t>
            </w:r>
          </w:p>
        </w:tc>
        <w:tc>
          <w:tcPr>
            <w:tcW w:w="915" w:type="dxa"/>
            <w:gridSpan w:val="4"/>
            <w:vAlign w:val="top"/>
          </w:tcPr>
          <w:p w14:paraId="17F20685">
            <w:pPr>
              <w:pStyle w:val="6"/>
              <w:spacing w:before="79" w:line="219" w:lineRule="auto"/>
              <w:ind w:left="152"/>
            </w:pPr>
            <w:r>
              <w:rPr>
                <w:b/>
                <w:bCs/>
                <w:spacing w:val="-4"/>
              </w:rPr>
              <w:t>考试水平</w:t>
            </w:r>
          </w:p>
        </w:tc>
      </w:tr>
      <w:tr w14:paraId="4A2147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9" w:hRule="atLeast"/>
        </w:trPr>
        <w:tc>
          <w:tcPr>
            <w:tcW w:w="904" w:type="dxa"/>
            <w:vMerge w:val="continue"/>
            <w:tcBorders>
              <w:top w:val="nil"/>
            </w:tcBorders>
            <w:vAlign w:val="top"/>
          </w:tcPr>
          <w:p w14:paraId="0CADDA05">
            <w:pPr>
              <w:rPr>
                <w:rFonts w:ascii="Arial"/>
                <w:sz w:val="21"/>
              </w:rPr>
            </w:pPr>
          </w:p>
        </w:tc>
        <w:tc>
          <w:tcPr>
            <w:tcW w:w="2301" w:type="dxa"/>
            <w:vMerge w:val="continue"/>
            <w:tcBorders>
              <w:top w:val="nil"/>
            </w:tcBorders>
            <w:vAlign w:val="top"/>
          </w:tcPr>
          <w:p w14:paraId="7152AB31">
            <w:pPr>
              <w:rPr>
                <w:rFonts w:ascii="Arial"/>
                <w:sz w:val="21"/>
              </w:rPr>
            </w:pPr>
          </w:p>
        </w:tc>
        <w:tc>
          <w:tcPr>
            <w:tcW w:w="230" w:type="dxa"/>
            <w:vAlign w:val="top"/>
          </w:tcPr>
          <w:p w14:paraId="6D4F7F13">
            <w:pPr>
              <w:pStyle w:val="6"/>
              <w:spacing w:before="130" w:line="184" w:lineRule="auto"/>
              <w:ind w:left="22"/>
            </w:pPr>
            <w:r>
              <w:rPr>
                <w:b/>
                <w:bCs/>
                <w:spacing w:val="-2"/>
              </w:rPr>
              <w:t>A</w:t>
            </w:r>
          </w:p>
        </w:tc>
        <w:tc>
          <w:tcPr>
            <w:tcW w:w="220" w:type="dxa"/>
            <w:vAlign w:val="top"/>
          </w:tcPr>
          <w:p w14:paraId="2A2E78D4">
            <w:pPr>
              <w:pStyle w:val="6"/>
              <w:spacing w:before="132" w:line="182" w:lineRule="auto"/>
              <w:ind w:left="62"/>
            </w:pPr>
            <w:r>
              <w:rPr>
                <w:b/>
                <w:bCs/>
                <w:spacing w:val="-2"/>
              </w:rPr>
              <w:t>B</w:t>
            </w:r>
          </w:p>
        </w:tc>
        <w:tc>
          <w:tcPr>
            <w:tcW w:w="230" w:type="dxa"/>
            <w:vAlign w:val="top"/>
          </w:tcPr>
          <w:p w14:paraId="36147C79">
            <w:pPr>
              <w:pStyle w:val="6"/>
              <w:spacing w:before="130" w:line="183" w:lineRule="auto"/>
              <w:ind w:left="22"/>
            </w:pPr>
            <w:r>
              <w:rPr>
                <w:b/>
                <w:bCs/>
                <w:spacing w:val="-2"/>
              </w:rPr>
              <w:t>C</w:t>
            </w:r>
          </w:p>
        </w:tc>
        <w:tc>
          <w:tcPr>
            <w:tcW w:w="235" w:type="dxa"/>
            <w:vAlign w:val="top"/>
          </w:tcPr>
          <w:p w14:paraId="6016452B">
            <w:pPr>
              <w:pStyle w:val="6"/>
              <w:spacing w:before="132" w:line="182" w:lineRule="auto"/>
              <w:ind w:left="72"/>
            </w:pPr>
            <w:r>
              <w:rPr>
                <w:b/>
                <w:bCs/>
                <w:spacing w:val="-2"/>
              </w:rPr>
              <w:t>D</w:t>
            </w:r>
          </w:p>
        </w:tc>
      </w:tr>
      <w:tr w14:paraId="53C6A9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08" w:hRule="atLeast"/>
        </w:trPr>
        <w:tc>
          <w:tcPr>
            <w:tcW w:w="904" w:type="dxa"/>
            <w:vAlign w:val="top"/>
          </w:tcPr>
          <w:p w14:paraId="162C98BC">
            <w:pPr>
              <w:pStyle w:val="6"/>
              <w:spacing w:before="99" w:line="219" w:lineRule="auto"/>
              <w:ind w:left="105"/>
            </w:pPr>
            <w:r>
              <w:rPr>
                <w:spacing w:val="3"/>
              </w:rPr>
              <w:t>中国菜点</w:t>
            </w:r>
          </w:p>
          <w:p w14:paraId="0E80AEA0">
            <w:pPr>
              <w:pStyle w:val="6"/>
              <w:spacing w:before="19" w:line="221" w:lineRule="auto"/>
              <w:ind w:left="105"/>
            </w:pPr>
            <w:r>
              <w:rPr>
                <w:spacing w:val="3"/>
              </w:rPr>
              <w:t>的属性和</w:t>
            </w:r>
          </w:p>
          <w:p w14:paraId="4F2A7640">
            <w:pPr>
              <w:pStyle w:val="6"/>
              <w:spacing w:before="16" w:line="220" w:lineRule="auto"/>
              <w:ind w:left="275"/>
            </w:pPr>
            <w:r>
              <w:rPr>
                <w:spacing w:val="10"/>
              </w:rPr>
              <w:t>命名</w:t>
            </w:r>
          </w:p>
        </w:tc>
        <w:tc>
          <w:tcPr>
            <w:tcW w:w="2301" w:type="dxa"/>
            <w:vAlign w:val="top"/>
          </w:tcPr>
          <w:p w14:paraId="44A94A00">
            <w:pPr>
              <w:pStyle w:val="6"/>
              <w:spacing w:before="128" w:line="217" w:lineRule="auto"/>
              <w:ind w:left="11"/>
            </w:pPr>
            <w:r>
              <w:t>1.菜点的属性</w:t>
            </w:r>
          </w:p>
          <w:p w14:paraId="4015AA67">
            <w:pPr>
              <w:pStyle w:val="6"/>
              <w:spacing w:before="1" w:line="223" w:lineRule="auto"/>
              <w:ind w:left="11" w:right="904"/>
            </w:pPr>
            <w:r>
              <w:rPr>
                <w:spacing w:val="1"/>
              </w:rPr>
              <w:t>2.菜点的命名原则</w:t>
            </w:r>
            <w:r>
              <w:rPr>
                <w:spacing w:val="5"/>
              </w:rPr>
              <w:t xml:space="preserve"> </w:t>
            </w:r>
            <w:r>
              <w:rPr>
                <w:spacing w:val="-2"/>
              </w:rPr>
              <w:t>3.菜点的命名方法</w:t>
            </w:r>
          </w:p>
        </w:tc>
        <w:tc>
          <w:tcPr>
            <w:tcW w:w="230" w:type="dxa"/>
            <w:vAlign w:val="top"/>
          </w:tcPr>
          <w:p w14:paraId="2ABB4E0A">
            <w:pPr>
              <w:rPr>
                <w:rFonts w:ascii="Arial"/>
                <w:sz w:val="21"/>
              </w:rPr>
            </w:pPr>
          </w:p>
        </w:tc>
        <w:tc>
          <w:tcPr>
            <w:tcW w:w="220" w:type="dxa"/>
            <w:vAlign w:val="top"/>
          </w:tcPr>
          <w:p w14:paraId="3B1D845A">
            <w:pPr>
              <w:pStyle w:val="6"/>
              <w:spacing w:before="193" w:line="182" w:lineRule="auto"/>
              <w:ind w:left="59"/>
            </w:pPr>
            <w:r>
              <w:t>V</w:t>
            </w:r>
          </w:p>
        </w:tc>
        <w:tc>
          <w:tcPr>
            <w:tcW w:w="230" w:type="dxa"/>
            <w:vAlign w:val="top"/>
          </w:tcPr>
          <w:p w14:paraId="5ABB5BB0">
            <w:pPr>
              <w:spacing w:line="306" w:lineRule="auto"/>
              <w:rPr>
                <w:rFonts w:ascii="Arial"/>
                <w:sz w:val="21"/>
              </w:rPr>
            </w:pPr>
          </w:p>
          <w:p w14:paraId="6C6B96F6">
            <w:pPr>
              <w:pStyle w:val="6"/>
              <w:spacing w:before="55" w:line="182" w:lineRule="auto"/>
              <w:ind w:left="10"/>
            </w:pPr>
            <w:r>
              <w:t>V</w:t>
            </w:r>
          </w:p>
        </w:tc>
        <w:tc>
          <w:tcPr>
            <w:tcW w:w="235" w:type="dxa"/>
            <w:vAlign w:val="top"/>
          </w:tcPr>
          <w:p w14:paraId="4F05A16C">
            <w:pPr>
              <w:spacing w:line="262" w:lineRule="auto"/>
              <w:rPr>
                <w:rFonts w:ascii="Arial"/>
                <w:sz w:val="21"/>
              </w:rPr>
            </w:pPr>
          </w:p>
          <w:p w14:paraId="278EDF80">
            <w:pPr>
              <w:spacing w:line="262" w:lineRule="auto"/>
              <w:rPr>
                <w:rFonts w:ascii="Arial"/>
                <w:sz w:val="21"/>
              </w:rPr>
            </w:pPr>
          </w:p>
          <w:p w14:paraId="39CEC4D0">
            <w:pPr>
              <w:pStyle w:val="6"/>
              <w:spacing w:before="43" w:line="238" w:lineRule="auto"/>
              <w:ind w:left="50"/>
              <w:rPr>
                <w:sz w:val="13"/>
                <w:szCs w:val="13"/>
              </w:rPr>
            </w:pPr>
            <w:r>
              <w:rPr>
                <w:sz w:val="13"/>
                <w:szCs w:val="13"/>
              </w:rPr>
              <w:t>√</w:t>
            </w:r>
          </w:p>
        </w:tc>
      </w:tr>
      <w:tr w14:paraId="272959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35" w:hRule="atLeast"/>
        </w:trPr>
        <w:tc>
          <w:tcPr>
            <w:tcW w:w="904" w:type="dxa"/>
            <w:vAlign w:val="top"/>
          </w:tcPr>
          <w:p w14:paraId="69F2BF8A">
            <w:pPr>
              <w:spacing w:line="242" w:lineRule="auto"/>
              <w:rPr>
                <w:rFonts w:ascii="Arial"/>
                <w:sz w:val="21"/>
              </w:rPr>
            </w:pPr>
          </w:p>
          <w:p w14:paraId="5A27224D">
            <w:pPr>
              <w:spacing w:line="242" w:lineRule="auto"/>
              <w:rPr>
                <w:rFonts w:ascii="Arial"/>
                <w:sz w:val="21"/>
              </w:rPr>
            </w:pPr>
          </w:p>
          <w:p w14:paraId="66A8D4F6">
            <w:pPr>
              <w:spacing w:line="243" w:lineRule="auto"/>
              <w:rPr>
                <w:rFonts w:ascii="Arial"/>
                <w:sz w:val="21"/>
              </w:rPr>
            </w:pPr>
          </w:p>
          <w:p w14:paraId="20EA2668">
            <w:pPr>
              <w:spacing w:line="243" w:lineRule="auto"/>
              <w:rPr>
                <w:rFonts w:ascii="Arial"/>
                <w:sz w:val="21"/>
              </w:rPr>
            </w:pPr>
          </w:p>
          <w:p w14:paraId="5D40CAA4">
            <w:pPr>
              <w:pStyle w:val="6"/>
              <w:spacing w:before="55" w:line="248" w:lineRule="auto"/>
              <w:ind w:left="185" w:right="93" w:hanging="80"/>
            </w:pPr>
            <w:r>
              <w:rPr>
                <w:spacing w:val="3"/>
              </w:rPr>
              <w:t>中国菜点</w:t>
            </w:r>
            <w:r>
              <w:rPr>
                <w:spacing w:val="2"/>
              </w:rPr>
              <w:t xml:space="preserve"> 的构成</w:t>
            </w:r>
          </w:p>
        </w:tc>
        <w:tc>
          <w:tcPr>
            <w:tcW w:w="2301" w:type="dxa"/>
            <w:vAlign w:val="top"/>
          </w:tcPr>
          <w:p w14:paraId="6FF30D44">
            <w:pPr>
              <w:pStyle w:val="6"/>
              <w:spacing w:before="149" w:line="237" w:lineRule="auto"/>
              <w:ind w:left="11" w:right="1511"/>
            </w:pPr>
            <w:r>
              <w:rPr>
                <w:spacing w:val="1"/>
              </w:rPr>
              <w:t>1.祭祀菜</w:t>
            </w:r>
            <w:r>
              <w:t xml:space="preserve">  </w:t>
            </w:r>
            <w:r>
              <w:rPr>
                <w:spacing w:val="-2"/>
              </w:rPr>
              <w:t>2.宫廷菜</w:t>
            </w:r>
            <w:r>
              <w:t xml:space="preserve">  </w:t>
            </w:r>
            <w:r>
              <w:rPr>
                <w:spacing w:val="-3"/>
              </w:rPr>
              <w:t>3.官府菜</w:t>
            </w:r>
            <w:r>
              <w:rPr>
                <w:spacing w:val="1"/>
              </w:rPr>
              <w:t xml:space="preserve">  </w:t>
            </w:r>
            <w:r>
              <w:rPr>
                <w:spacing w:val="-2"/>
              </w:rPr>
              <w:t>4.商贾菜</w:t>
            </w:r>
            <w:r>
              <w:rPr>
                <w:spacing w:val="1"/>
              </w:rPr>
              <w:t xml:space="preserve">  </w:t>
            </w:r>
            <w:r>
              <w:rPr>
                <w:spacing w:val="-3"/>
              </w:rPr>
              <w:t>5.寺观菜</w:t>
            </w:r>
            <w:r>
              <w:rPr>
                <w:spacing w:val="1"/>
              </w:rPr>
              <w:t xml:space="preserve">  </w:t>
            </w:r>
            <w:r>
              <w:rPr>
                <w:spacing w:val="-2"/>
              </w:rPr>
              <w:t>6.养生菜</w:t>
            </w:r>
            <w:r>
              <w:t xml:space="preserve">  </w:t>
            </w:r>
            <w:r>
              <w:rPr>
                <w:spacing w:val="-3"/>
              </w:rPr>
              <w:t>7.名族菜</w:t>
            </w:r>
            <w:r>
              <w:rPr>
                <w:spacing w:val="1"/>
              </w:rPr>
              <w:t xml:space="preserve">  </w:t>
            </w:r>
            <w:r>
              <w:rPr>
                <w:spacing w:val="-2"/>
              </w:rPr>
              <w:t>8.民间菜</w:t>
            </w:r>
            <w:r>
              <w:t xml:space="preserve">  </w:t>
            </w:r>
            <w:r>
              <w:rPr>
                <w:spacing w:val="-2"/>
              </w:rPr>
              <w:t>9.外来菜</w:t>
            </w:r>
            <w:r>
              <w:t xml:space="preserve">  10.市肆菜</w:t>
            </w:r>
          </w:p>
        </w:tc>
        <w:tc>
          <w:tcPr>
            <w:tcW w:w="230" w:type="dxa"/>
            <w:vAlign w:val="top"/>
          </w:tcPr>
          <w:p w14:paraId="6B652B43">
            <w:pPr>
              <w:spacing w:before="104" w:line="1820" w:lineRule="exact"/>
              <w:ind w:firstLine="30"/>
            </w:pPr>
            <w:r>
              <w:rPr>
                <w:position w:val="-36"/>
              </w:rPr>
              <w:drawing>
                <wp:inline distT="0" distB="0" distL="0" distR="0">
                  <wp:extent cx="107950" cy="1155700"/>
                  <wp:effectExtent l="0" t="0" r="0" b="0"/>
                  <wp:docPr id="274" name="IM 274"/>
                  <wp:cNvGraphicFramePr/>
                  <a:graphic xmlns:a="http://schemas.openxmlformats.org/drawingml/2006/main">
                    <a:graphicData uri="http://schemas.openxmlformats.org/drawingml/2006/picture">
                      <pic:pic xmlns:pic="http://schemas.openxmlformats.org/drawingml/2006/picture">
                        <pic:nvPicPr>
                          <pic:cNvPr id="274" name="IM 274"/>
                          <pic:cNvPicPr/>
                        </pic:nvPicPr>
                        <pic:blipFill>
                          <a:blip r:embed="rId301"/>
                          <a:stretch>
                            <a:fillRect/>
                          </a:stretch>
                        </pic:blipFill>
                        <pic:spPr>
                          <a:xfrm>
                            <a:off x="0" y="0"/>
                            <a:ext cx="107967" cy="1155703"/>
                          </a:xfrm>
                          <a:prstGeom prst="rect">
                            <a:avLst/>
                          </a:prstGeom>
                        </pic:spPr>
                      </pic:pic>
                    </a:graphicData>
                  </a:graphic>
                </wp:inline>
              </w:drawing>
            </w:r>
          </w:p>
        </w:tc>
        <w:tc>
          <w:tcPr>
            <w:tcW w:w="220" w:type="dxa"/>
            <w:vAlign w:val="top"/>
          </w:tcPr>
          <w:p w14:paraId="1D2174D0">
            <w:pPr>
              <w:spacing w:before="104" w:line="1820" w:lineRule="exact"/>
              <w:ind w:firstLine="30"/>
            </w:pPr>
            <w:r>
              <w:rPr>
                <w:position w:val="-36"/>
              </w:rPr>
              <w:drawing>
                <wp:inline distT="0" distB="0" distL="0" distR="0">
                  <wp:extent cx="101600" cy="1155700"/>
                  <wp:effectExtent l="0" t="0" r="0" b="0"/>
                  <wp:docPr id="276" name="IM 276"/>
                  <wp:cNvGraphicFramePr/>
                  <a:graphic xmlns:a="http://schemas.openxmlformats.org/drawingml/2006/main">
                    <a:graphicData uri="http://schemas.openxmlformats.org/drawingml/2006/picture">
                      <pic:pic xmlns:pic="http://schemas.openxmlformats.org/drawingml/2006/picture">
                        <pic:nvPicPr>
                          <pic:cNvPr id="276" name="IM 276"/>
                          <pic:cNvPicPr/>
                        </pic:nvPicPr>
                        <pic:blipFill>
                          <a:blip r:embed="rId302"/>
                          <a:stretch>
                            <a:fillRect/>
                          </a:stretch>
                        </pic:blipFill>
                        <pic:spPr>
                          <a:xfrm>
                            <a:off x="0" y="0"/>
                            <a:ext cx="101604" cy="1155703"/>
                          </a:xfrm>
                          <a:prstGeom prst="rect">
                            <a:avLst/>
                          </a:prstGeom>
                        </pic:spPr>
                      </pic:pic>
                    </a:graphicData>
                  </a:graphic>
                </wp:inline>
              </w:drawing>
            </w:r>
          </w:p>
        </w:tc>
        <w:tc>
          <w:tcPr>
            <w:tcW w:w="230" w:type="dxa"/>
            <w:vAlign w:val="top"/>
          </w:tcPr>
          <w:p w14:paraId="1827D01B">
            <w:pPr>
              <w:spacing w:before="104" w:line="1820" w:lineRule="exact"/>
              <w:ind w:firstLine="30"/>
            </w:pPr>
            <w:r>
              <w:rPr>
                <w:position w:val="-36"/>
              </w:rPr>
              <w:drawing>
                <wp:inline distT="0" distB="0" distL="0" distR="0">
                  <wp:extent cx="107950" cy="1155700"/>
                  <wp:effectExtent l="0" t="0" r="0" b="0"/>
                  <wp:docPr id="278" name="IM 278"/>
                  <wp:cNvGraphicFramePr/>
                  <a:graphic xmlns:a="http://schemas.openxmlformats.org/drawingml/2006/main">
                    <a:graphicData uri="http://schemas.openxmlformats.org/drawingml/2006/picture">
                      <pic:pic xmlns:pic="http://schemas.openxmlformats.org/drawingml/2006/picture">
                        <pic:nvPicPr>
                          <pic:cNvPr id="278" name="IM 278"/>
                          <pic:cNvPicPr/>
                        </pic:nvPicPr>
                        <pic:blipFill>
                          <a:blip r:embed="rId303"/>
                          <a:stretch>
                            <a:fillRect/>
                          </a:stretch>
                        </pic:blipFill>
                        <pic:spPr>
                          <a:xfrm>
                            <a:off x="0" y="0"/>
                            <a:ext cx="107967" cy="1155703"/>
                          </a:xfrm>
                          <a:prstGeom prst="rect">
                            <a:avLst/>
                          </a:prstGeom>
                        </pic:spPr>
                      </pic:pic>
                    </a:graphicData>
                  </a:graphic>
                </wp:inline>
              </w:drawing>
            </w:r>
          </w:p>
        </w:tc>
        <w:tc>
          <w:tcPr>
            <w:tcW w:w="235" w:type="dxa"/>
            <w:vAlign w:val="top"/>
          </w:tcPr>
          <w:p w14:paraId="1112655E">
            <w:pPr>
              <w:spacing w:line="243" w:lineRule="auto"/>
              <w:rPr>
                <w:rFonts w:ascii="Arial"/>
                <w:sz w:val="21"/>
              </w:rPr>
            </w:pPr>
          </w:p>
          <w:p w14:paraId="4A5167A3">
            <w:pPr>
              <w:spacing w:line="243" w:lineRule="auto"/>
              <w:rPr>
                <w:rFonts w:ascii="Arial"/>
                <w:sz w:val="21"/>
              </w:rPr>
            </w:pPr>
          </w:p>
          <w:p w14:paraId="4C5C7B0A">
            <w:pPr>
              <w:spacing w:line="243" w:lineRule="auto"/>
              <w:rPr>
                <w:rFonts w:ascii="Arial"/>
                <w:sz w:val="21"/>
              </w:rPr>
            </w:pPr>
          </w:p>
          <w:p w14:paraId="675E33A6">
            <w:pPr>
              <w:spacing w:line="244" w:lineRule="auto"/>
              <w:rPr>
                <w:rFonts w:ascii="Arial"/>
                <w:sz w:val="21"/>
              </w:rPr>
            </w:pPr>
          </w:p>
          <w:p w14:paraId="146C40F3">
            <w:pPr>
              <w:spacing w:line="244" w:lineRule="auto"/>
              <w:rPr>
                <w:rFonts w:ascii="Arial"/>
                <w:sz w:val="21"/>
              </w:rPr>
            </w:pPr>
          </w:p>
          <w:p w14:paraId="46F84492">
            <w:pPr>
              <w:spacing w:line="244" w:lineRule="auto"/>
              <w:rPr>
                <w:rFonts w:ascii="Arial"/>
                <w:sz w:val="21"/>
              </w:rPr>
            </w:pPr>
          </w:p>
          <w:p w14:paraId="1F423B5F">
            <w:pPr>
              <w:spacing w:line="244" w:lineRule="auto"/>
              <w:rPr>
                <w:rFonts w:ascii="Arial"/>
                <w:sz w:val="21"/>
              </w:rPr>
            </w:pPr>
          </w:p>
          <w:p w14:paraId="0DDEEDB9">
            <w:pPr>
              <w:spacing w:line="244" w:lineRule="auto"/>
              <w:rPr>
                <w:rFonts w:ascii="Arial"/>
                <w:sz w:val="21"/>
              </w:rPr>
            </w:pPr>
          </w:p>
          <w:p w14:paraId="278045FD">
            <w:pPr>
              <w:spacing w:line="314" w:lineRule="exact"/>
              <w:ind w:firstLine="50"/>
            </w:pPr>
            <w:r>
              <w:rPr>
                <w:position w:val="-6"/>
              </w:rPr>
              <w:drawing>
                <wp:inline distT="0" distB="0" distL="0" distR="0">
                  <wp:extent cx="75565" cy="198755"/>
                  <wp:effectExtent l="0" t="0" r="0" b="0"/>
                  <wp:docPr id="280" name="IM 280"/>
                  <wp:cNvGraphicFramePr/>
                  <a:graphic xmlns:a="http://schemas.openxmlformats.org/drawingml/2006/main">
                    <a:graphicData uri="http://schemas.openxmlformats.org/drawingml/2006/picture">
                      <pic:pic xmlns:pic="http://schemas.openxmlformats.org/drawingml/2006/picture">
                        <pic:nvPicPr>
                          <pic:cNvPr id="280" name="IM 280"/>
                          <pic:cNvPicPr/>
                        </pic:nvPicPr>
                        <pic:blipFill>
                          <a:blip r:embed="rId304"/>
                          <a:stretch>
                            <a:fillRect/>
                          </a:stretch>
                        </pic:blipFill>
                        <pic:spPr>
                          <a:xfrm>
                            <a:off x="0" y="0"/>
                            <a:ext cx="76181" cy="198985"/>
                          </a:xfrm>
                          <a:prstGeom prst="rect">
                            <a:avLst/>
                          </a:prstGeom>
                        </pic:spPr>
                      </pic:pic>
                    </a:graphicData>
                  </a:graphic>
                </wp:inline>
              </w:drawing>
            </w:r>
          </w:p>
        </w:tc>
      </w:tr>
      <w:tr w14:paraId="103DA2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63" w:hRule="atLeast"/>
        </w:trPr>
        <w:tc>
          <w:tcPr>
            <w:tcW w:w="904" w:type="dxa"/>
            <w:vAlign w:val="top"/>
          </w:tcPr>
          <w:p w14:paraId="6FB7BD33">
            <w:pPr>
              <w:pStyle w:val="6"/>
              <w:spacing w:before="74" w:line="243" w:lineRule="auto"/>
              <w:ind w:left="105" w:right="100"/>
              <w:jc w:val="both"/>
            </w:pPr>
            <w:r>
              <w:rPr>
                <w:spacing w:val="2"/>
              </w:rPr>
              <w:t>中国当代</w:t>
            </w:r>
            <w:r>
              <w:t xml:space="preserve"> </w:t>
            </w:r>
            <w:r>
              <w:rPr>
                <w:spacing w:val="-2"/>
              </w:rPr>
              <w:t>菜点流行</w:t>
            </w:r>
            <w:r>
              <w:t xml:space="preserve"> </w:t>
            </w:r>
            <w:r>
              <w:rPr>
                <w:spacing w:val="24"/>
              </w:rPr>
              <w:t>潮与迷</w:t>
            </w:r>
          </w:p>
          <w:p w14:paraId="14CABA93">
            <w:pPr>
              <w:pStyle w:val="6"/>
              <w:spacing w:line="219" w:lineRule="auto"/>
              <w:ind w:left="275"/>
            </w:pPr>
            <w:r>
              <w:rPr>
                <w:spacing w:val="-2"/>
              </w:rPr>
              <w:t>宗菜</w:t>
            </w:r>
          </w:p>
        </w:tc>
        <w:tc>
          <w:tcPr>
            <w:tcW w:w="2301" w:type="dxa"/>
            <w:vAlign w:val="top"/>
          </w:tcPr>
          <w:p w14:paraId="16513DDD">
            <w:pPr>
              <w:spacing w:line="258" w:lineRule="auto"/>
              <w:rPr>
                <w:rFonts w:ascii="Arial"/>
                <w:sz w:val="21"/>
              </w:rPr>
            </w:pPr>
          </w:p>
          <w:p w14:paraId="493C9907">
            <w:pPr>
              <w:pStyle w:val="6"/>
              <w:spacing w:before="55" w:line="224" w:lineRule="auto"/>
              <w:ind w:left="11" w:right="565"/>
            </w:pPr>
            <w:r>
              <w:rPr>
                <w:spacing w:val="1"/>
              </w:rPr>
              <w:t xml:space="preserve">1.中国当代菜点流行潮 </w:t>
            </w:r>
            <w:r>
              <w:rPr>
                <w:spacing w:val="-2"/>
              </w:rPr>
              <w:t>2.迷宗菜</w:t>
            </w:r>
          </w:p>
        </w:tc>
        <w:tc>
          <w:tcPr>
            <w:tcW w:w="230" w:type="dxa"/>
            <w:vAlign w:val="top"/>
          </w:tcPr>
          <w:p w14:paraId="4D58BD34">
            <w:pPr>
              <w:rPr>
                <w:rFonts w:ascii="Arial"/>
                <w:sz w:val="21"/>
              </w:rPr>
            </w:pPr>
          </w:p>
        </w:tc>
        <w:tc>
          <w:tcPr>
            <w:tcW w:w="220" w:type="dxa"/>
            <w:vAlign w:val="top"/>
          </w:tcPr>
          <w:p w14:paraId="1D0874DF">
            <w:pPr>
              <w:rPr>
                <w:rFonts w:ascii="Arial"/>
                <w:sz w:val="21"/>
              </w:rPr>
            </w:pPr>
          </w:p>
        </w:tc>
        <w:tc>
          <w:tcPr>
            <w:tcW w:w="230" w:type="dxa"/>
            <w:vAlign w:val="top"/>
          </w:tcPr>
          <w:p w14:paraId="34F03EFF">
            <w:pPr>
              <w:rPr>
                <w:rFonts w:ascii="Arial"/>
                <w:sz w:val="21"/>
              </w:rPr>
            </w:pPr>
          </w:p>
        </w:tc>
        <w:tc>
          <w:tcPr>
            <w:tcW w:w="235" w:type="dxa"/>
            <w:vAlign w:val="top"/>
          </w:tcPr>
          <w:p w14:paraId="6ED2D3AE">
            <w:pPr>
              <w:rPr>
                <w:rFonts w:ascii="Arial"/>
                <w:sz w:val="21"/>
              </w:rPr>
            </w:pPr>
          </w:p>
        </w:tc>
      </w:tr>
    </w:tbl>
    <w:p w14:paraId="5EB19D94">
      <w:pPr>
        <w:pStyle w:val="2"/>
        <w:spacing w:line="30" w:lineRule="exact"/>
        <w:rPr>
          <w:sz w:val="2"/>
        </w:rPr>
      </w:pPr>
    </w:p>
    <w:p w14:paraId="6DDC24E9">
      <w:pPr>
        <w:spacing w:line="30" w:lineRule="exact"/>
        <w:rPr>
          <w:sz w:val="2"/>
          <w:szCs w:val="2"/>
        </w:rPr>
        <w:sectPr>
          <w:type w:val="continuous"/>
          <w:pgSz w:w="10660" w:h="15080"/>
          <w:pgMar w:top="400" w:right="885" w:bottom="925" w:left="1019" w:header="0" w:footer="705" w:gutter="0"/>
          <w:cols w:equalWidth="0" w:num="2">
            <w:col w:w="4496" w:space="100"/>
            <w:col w:w="4160"/>
          </w:cols>
        </w:sectPr>
      </w:pPr>
    </w:p>
    <w:p w14:paraId="67BCF207">
      <w:pPr>
        <w:spacing w:before="10"/>
      </w:pPr>
    </w:p>
    <w:p w14:paraId="2E93C210">
      <w:pPr>
        <w:spacing w:before="10"/>
      </w:pPr>
    </w:p>
    <w:p w14:paraId="33633DC7">
      <w:pPr>
        <w:spacing w:before="10"/>
      </w:pPr>
    </w:p>
    <w:p w14:paraId="6C14E360">
      <w:pPr>
        <w:spacing w:before="9"/>
      </w:pPr>
    </w:p>
    <w:p w14:paraId="2F908A22">
      <w:pPr>
        <w:sectPr>
          <w:footerReference r:id="rId54" w:type="default"/>
          <w:pgSz w:w="10660" w:h="15080"/>
          <w:pgMar w:top="400" w:right="1034" w:bottom="927" w:left="819" w:header="0" w:footer="718" w:gutter="0"/>
          <w:cols w:equalWidth="0" w:num="1">
            <w:col w:w="8806"/>
          </w:cols>
        </w:sectPr>
      </w:pPr>
    </w:p>
    <w:p w14:paraId="015A487F">
      <w:pPr>
        <w:spacing w:before="2" w:line="219" w:lineRule="auto"/>
        <w:ind w:left="440"/>
        <w:rPr>
          <w:rFonts w:ascii="宋体" w:hAnsi="宋体" w:eastAsia="宋体" w:cs="宋体"/>
          <w:sz w:val="18"/>
          <w:szCs w:val="18"/>
        </w:rPr>
      </w:pPr>
      <w:r>
        <w:rPr>
          <w:rFonts w:ascii="宋体" w:hAnsi="宋体" w:eastAsia="宋体" w:cs="宋体"/>
          <w:spacing w:val="-4"/>
          <w:sz w:val="18"/>
          <w:szCs w:val="18"/>
        </w:rPr>
        <w:t>第四讲</w:t>
      </w:r>
      <w:r>
        <w:rPr>
          <w:rFonts w:ascii="宋体" w:hAnsi="宋体" w:eastAsia="宋体" w:cs="宋体"/>
          <w:spacing w:val="12"/>
          <w:sz w:val="18"/>
          <w:szCs w:val="18"/>
        </w:rPr>
        <w:t xml:space="preserve">  </w:t>
      </w:r>
      <w:r>
        <w:rPr>
          <w:rFonts w:ascii="宋体" w:hAnsi="宋体" w:eastAsia="宋体" w:cs="宋体"/>
          <w:spacing w:val="-4"/>
          <w:sz w:val="18"/>
          <w:szCs w:val="18"/>
        </w:rPr>
        <w:t>中国筵宴</w:t>
      </w:r>
    </w:p>
    <w:p w14:paraId="6B3296F0">
      <w:pPr>
        <w:spacing w:line="145" w:lineRule="auto"/>
        <w:rPr>
          <w:rFonts w:ascii="Arial"/>
          <w:sz w:val="2"/>
        </w:rPr>
      </w:pPr>
    </w:p>
    <w:tbl>
      <w:tblPr>
        <w:tblStyle w:val="5"/>
        <w:tblW w:w="4130"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14"/>
        <w:gridCol w:w="230"/>
        <w:gridCol w:w="230"/>
        <w:gridCol w:w="219"/>
        <w:gridCol w:w="244"/>
      </w:tblGrid>
      <w:tr w14:paraId="4F08BB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4" w:hRule="atLeast"/>
        </w:trPr>
        <w:tc>
          <w:tcPr>
            <w:tcW w:w="893" w:type="dxa"/>
            <w:vMerge w:val="restart"/>
            <w:tcBorders>
              <w:bottom w:val="nil"/>
            </w:tcBorders>
            <w:vAlign w:val="top"/>
          </w:tcPr>
          <w:p w14:paraId="05CF1875">
            <w:pPr>
              <w:pStyle w:val="6"/>
              <w:spacing w:before="141" w:line="220" w:lineRule="auto"/>
              <w:ind w:left="267" w:right="25" w:hanging="250"/>
            </w:pPr>
            <w:r>
              <w:rPr>
                <w:b/>
                <w:bCs/>
                <w:spacing w:val="-4"/>
              </w:rPr>
              <w:t>知识与技能</w:t>
            </w:r>
            <w:r>
              <w:t xml:space="preserve"> </w:t>
            </w:r>
            <w:r>
              <w:rPr>
                <w:b/>
                <w:bCs/>
                <w:spacing w:val="-4"/>
              </w:rPr>
              <w:t>要点</w:t>
            </w:r>
          </w:p>
        </w:tc>
        <w:tc>
          <w:tcPr>
            <w:tcW w:w="2314" w:type="dxa"/>
            <w:vMerge w:val="restart"/>
            <w:tcBorders>
              <w:bottom w:val="nil"/>
            </w:tcBorders>
            <w:vAlign w:val="top"/>
          </w:tcPr>
          <w:p w14:paraId="1605E215">
            <w:pPr>
              <w:pStyle w:val="6"/>
              <w:spacing w:before="249" w:line="219" w:lineRule="auto"/>
              <w:ind w:left="834"/>
            </w:pPr>
            <w:r>
              <w:rPr>
                <w:b/>
                <w:bCs/>
                <w:spacing w:val="5"/>
              </w:rPr>
              <w:t>考试条目</w:t>
            </w:r>
          </w:p>
        </w:tc>
        <w:tc>
          <w:tcPr>
            <w:tcW w:w="923" w:type="dxa"/>
            <w:gridSpan w:val="4"/>
            <w:vAlign w:val="top"/>
          </w:tcPr>
          <w:p w14:paraId="316EB084">
            <w:pPr>
              <w:pStyle w:val="6"/>
              <w:spacing w:before="89" w:line="219" w:lineRule="auto"/>
              <w:ind w:left="140"/>
            </w:pPr>
            <w:r>
              <w:rPr>
                <w:b/>
                <w:bCs/>
                <w:spacing w:val="-4"/>
              </w:rPr>
              <w:t>考试水平</w:t>
            </w:r>
          </w:p>
        </w:tc>
      </w:tr>
      <w:tr w14:paraId="156D50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893" w:type="dxa"/>
            <w:vMerge w:val="continue"/>
            <w:tcBorders>
              <w:top w:val="nil"/>
            </w:tcBorders>
            <w:vAlign w:val="top"/>
          </w:tcPr>
          <w:p w14:paraId="5C556A9F">
            <w:pPr>
              <w:rPr>
                <w:rFonts w:ascii="Arial"/>
                <w:sz w:val="21"/>
              </w:rPr>
            </w:pPr>
          </w:p>
        </w:tc>
        <w:tc>
          <w:tcPr>
            <w:tcW w:w="2314" w:type="dxa"/>
            <w:vMerge w:val="continue"/>
            <w:tcBorders>
              <w:top w:val="nil"/>
            </w:tcBorders>
            <w:vAlign w:val="top"/>
          </w:tcPr>
          <w:p w14:paraId="2780DD87">
            <w:pPr>
              <w:rPr>
                <w:rFonts w:ascii="Arial"/>
                <w:sz w:val="21"/>
              </w:rPr>
            </w:pPr>
          </w:p>
        </w:tc>
        <w:tc>
          <w:tcPr>
            <w:tcW w:w="230" w:type="dxa"/>
            <w:vAlign w:val="top"/>
          </w:tcPr>
          <w:p w14:paraId="421CA096">
            <w:pPr>
              <w:pStyle w:val="6"/>
              <w:spacing w:before="120" w:line="184" w:lineRule="auto"/>
              <w:jc w:val="right"/>
            </w:pPr>
            <w:r>
              <w:rPr>
                <w:b/>
                <w:bCs/>
                <w:spacing w:val="-1"/>
                <w:w w:val="92"/>
              </w:rPr>
              <w:t>A</w:t>
            </w:r>
          </w:p>
        </w:tc>
        <w:tc>
          <w:tcPr>
            <w:tcW w:w="230" w:type="dxa"/>
            <w:vAlign w:val="top"/>
          </w:tcPr>
          <w:p w14:paraId="56037A19">
            <w:pPr>
              <w:pStyle w:val="6"/>
              <w:spacing w:before="122" w:line="182" w:lineRule="auto"/>
              <w:ind w:left="20"/>
            </w:pPr>
            <w:r>
              <w:rPr>
                <w:b/>
                <w:bCs/>
                <w:spacing w:val="-2"/>
              </w:rPr>
              <w:t>B</w:t>
            </w:r>
          </w:p>
        </w:tc>
        <w:tc>
          <w:tcPr>
            <w:tcW w:w="219" w:type="dxa"/>
            <w:vAlign w:val="top"/>
          </w:tcPr>
          <w:p w14:paraId="2146330F">
            <w:pPr>
              <w:pStyle w:val="6"/>
              <w:spacing w:before="121" w:line="183" w:lineRule="auto"/>
              <w:ind w:left="48"/>
            </w:pPr>
            <w:r>
              <w:t>C</w:t>
            </w:r>
          </w:p>
        </w:tc>
        <w:tc>
          <w:tcPr>
            <w:tcW w:w="244" w:type="dxa"/>
            <w:vAlign w:val="top"/>
          </w:tcPr>
          <w:p w14:paraId="47EEA071">
            <w:pPr>
              <w:pStyle w:val="6"/>
              <w:spacing w:before="122" w:line="182" w:lineRule="auto"/>
              <w:ind w:left="71"/>
            </w:pPr>
            <w:r>
              <w:rPr>
                <w:b/>
                <w:bCs/>
                <w:spacing w:val="-2"/>
              </w:rPr>
              <w:t>D</w:t>
            </w:r>
          </w:p>
        </w:tc>
      </w:tr>
      <w:tr w14:paraId="5AB7C1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8" w:hRule="atLeast"/>
        </w:trPr>
        <w:tc>
          <w:tcPr>
            <w:tcW w:w="893" w:type="dxa"/>
            <w:vAlign w:val="top"/>
          </w:tcPr>
          <w:p w14:paraId="6BADC300">
            <w:pPr>
              <w:pStyle w:val="6"/>
              <w:spacing w:before="119" w:line="229" w:lineRule="auto"/>
              <w:ind w:left="94" w:right="94"/>
            </w:pPr>
            <w:r>
              <w:rPr>
                <w:spacing w:val="-2"/>
              </w:rPr>
              <w:t>筵宴的特</w:t>
            </w:r>
            <w:r>
              <w:t xml:space="preserve"> </w:t>
            </w:r>
            <w:r>
              <w:rPr>
                <w:spacing w:val="3"/>
              </w:rPr>
              <w:t>征和类别</w:t>
            </w:r>
          </w:p>
        </w:tc>
        <w:tc>
          <w:tcPr>
            <w:tcW w:w="2314" w:type="dxa"/>
            <w:vAlign w:val="top"/>
          </w:tcPr>
          <w:p w14:paraId="7A9B3A59">
            <w:pPr>
              <w:pStyle w:val="6"/>
              <w:spacing w:before="138" w:line="224" w:lineRule="auto"/>
              <w:ind w:left="11" w:right="1264"/>
            </w:pPr>
            <w:r>
              <w:rPr>
                <w:spacing w:val="1"/>
              </w:rPr>
              <w:t>1.筵宴的概念</w:t>
            </w:r>
            <w:r>
              <w:t xml:space="preserve"> </w:t>
            </w:r>
            <w:r>
              <w:rPr>
                <w:spacing w:val="-2"/>
              </w:rPr>
              <w:t>2.筵宴的特征</w:t>
            </w:r>
          </w:p>
        </w:tc>
        <w:tc>
          <w:tcPr>
            <w:tcW w:w="230" w:type="dxa"/>
            <w:vAlign w:val="top"/>
          </w:tcPr>
          <w:p w14:paraId="5C0308A5">
            <w:pPr>
              <w:pStyle w:val="6"/>
              <w:spacing w:before="138" w:line="238" w:lineRule="auto"/>
              <w:ind w:left="17"/>
              <w:rPr>
                <w:sz w:val="12"/>
                <w:szCs w:val="12"/>
              </w:rPr>
            </w:pPr>
            <w:r>
              <w:rPr>
                <w:sz w:val="12"/>
                <w:szCs w:val="12"/>
              </w:rPr>
              <w:t>√</w:t>
            </w:r>
          </w:p>
        </w:tc>
        <w:tc>
          <w:tcPr>
            <w:tcW w:w="230" w:type="dxa"/>
            <w:vAlign w:val="top"/>
          </w:tcPr>
          <w:p w14:paraId="108F9E55">
            <w:pPr>
              <w:rPr>
                <w:rFonts w:ascii="Arial"/>
                <w:sz w:val="21"/>
              </w:rPr>
            </w:pPr>
          </w:p>
        </w:tc>
        <w:tc>
          <w:tcPr>
            <w:tcW w:w="219" w:type="dxa"/>
            <w:vAlign w:val="top"/>
          </w:tcPr>
          <w:p w14:paraId="7A9D4BF7">
            <w:pPr>
              <w:rPr>
                <w:rFonts w:ascii="Arial"/>
                <w:sz w:val="21"/>
              </w:rPr>
            </w:pPr>
          </w:p>
        </w:tc>
        <w:tc>
          <w:tcPr>
            <w:tcW w:w="244" w:type="dxa"/>
            <w:vAlign w:val="top"/>
          </w:tcPr>
          <w:p w14:paraId="5877C580">
            <w:pPr>
              <w:spacing w:line="308" w:lineRule="auto"/>
              <w:rPr>
                <w:rFonts w:ascii="Arial"/>
                <w:sz w:val="21"/>
              </w:rPr>
            </w:pPr>
          </w:p>
          <w:p w14:paraId="6BA9776D">
            <w:pPr>
              <w:pStyle w:val="6"/>
              <w:spacing w:before="39" w:line="238" w:lineRule="auto"/>
              <w:ind w:left="58"/>
              <w:rPr>
                <w:sz w:val="12"/>
                <w:szCs w:val="12"/>
              </w:rPr>
            </w:pPr>
            <w:r>
              <w:rPr>
                <w:sz w:val="12"/>
                <w:szCs w:val="12"/>
              </w:rPr>
              <w:t>√</w:t>
            </w:r>
          </w:p>
        </w:tc>
      </w:tr>
      <w:tr w14:paraId="3AFB1F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66" w:hRule="atLeast"/>
        </w:trPr>
        <w:tc>
          <w:tcPr>
            <w:tcW w:w="893" w:type="dxa"/>
            <w:vAlign w:val="top"/>
          </w:tcPr>
          <w:p w14:paraId="3EFBA040">
            <w:pPr>
              <w:spacing w:line="264" w:lineRule="auto"/>
              <w:rPr>
                <w:rFonts w:ascii="Arial"/>
                <w:sz w:val="21"/>
              </w:rPr>
            </w:pPr>
          </w:p>
          <w:p w14:paraId="4E161C88">
            <w:pPr>
              <w:pStyle w:val="6"/>
              <w:spacing w:before="55" w:line="219" w:lineRule="auto"/>
              <w:ind w:left="94"/>
            </w:pPr>
            <w:r>
              <w:rPr>
                <w:spacing w:val="-2"/>
              </w:rPr>
              <w:t>筵宴设计</w:t>
            </w:r>
          </w:p>
          <w:p w14:paraId="2CA4B853">
            <w:pPr>
              <w:pStyle w:val="6"/>
              <w:spacing w:before="18" w:line="220" w:lineRule="auto"/>
              <w:ind w:left="94"/>
            </w:pPr>
            <w:r>
              <w:rPr>
                <w:spacing w:val="3"/>
              </w:rPr>
              <w:t>的原则与</w:t>
            </w:r>
          </w:p>
          <w:p w14:paraId="78F8AFA4">
            <w:pPr>
              <w:pStyle w:val="6"/>
              <w:spacing w:before="37" w:line="221" w:lineRule="auto"/>
              <w:ind w:left="265"/>
            </w:pPr>
            <w:r>
              <w:rPr>
                <w:spacing w:val="-2"/>
              </w:rPr>
              <w:t>要求</w:t>
            </w:r>
          </w:p>
        </w:tc>
        <w:tc>
          <w:tcPr>
            <w:tcW w:w="2314" w:type="dxa"/>
            <w:vAlign w:val="top"/>
          </w:tcPr>
          <w:p w14:paraId="313794F1">
            <w:pPr>
              <w:pStyle w:val="6"/>
              <w:spacing w:before="220" w:line="232" w:lineRule="auto"/>
              <w:ind w:left="11" w:right="916"/>
              <w:jc w:val="both"/>
            </w:pPr>
            <w:r>
              <w:rPr>
                <w:spacing w:val="1"/>
              </w:rPr>
              <w:t>1.筵宴设计的原则</w:t>
            </w:r>
            <w:r>
              <w:rPr>
                <w:spacing w:val="5"/>
              </w:rPr>
              <w:t xml:space="preserve"> </w:t>
            </w:r>
            <w:r>
              <w:rPr>
                <w:spacing w:val="-1"/>
              </w:rPr>
              <w:t>2.筵宴设计的内容</w:t>
            </w:r>
            <w:r>
              <w:t xml:space="preserve"> </w:t>
            </w:r>
            <w:r>
              <w:rPr>
                <w:spacing w:val="-2"/>
              </w:rPr>
              <w:t>3.科学排菜</w:t>
            </w:r>
          </w:p>
          <w:p w14:paraId="546C7509">
            <w:pPr>
              <w:pStyle w:val="6"/>
              <w:spacing w:before="39" w:line="219" w:lineRule="auto"/>
              <w:ind w:left="11"/>
            </w:pPr>
            <w:r>
              <w:rPr>
                <w:spacing w:val="2"/>
              </w:rPr>
              <w:t>4.席谱编制</w:t>
            </w:r>
          </w:p>
        </w:tc>
        <w:tc>
          <w:tcPr>
            <w:tcW w:w="230" w:type="dxa"/>
            <w:vAlign w:val="top"/>
          </w:tcPr>
          <w:p w14:paraId="0C15280D">
            <w:pPr>
              <w:rPr>
                <w:rFonts w:ascii="Arial"/>
                <w:sz w:val="21"/>
              </w:rPr>
            </w:pPr>
          </w:p>
        </w:tc>
        <w:tc>
          <w:tcPr>
            <w:tcW w:w="230" w:type="dxa"/>
            <w:vAlign w:val="top"/>
          </w:tcPr>
          <w:p w14:paraId="09047FA4">
            <w:pPr>
              <w:rPr>
                <w:rFonts w:ascii="Arial"/>
                <w:sz w:val="21"/>
              </w:rPr>
            </w:pPr>
          </w:p>
        </w:tc>
        <w:tc>
          <w:tcPr>
            <w:tcW w:w="219" w:type="dxa"/>
            <w:vAlign w:val="top"/>
          </w:tcPr>
          <w:p w14:paraId="3B29DC4C">
            <w:pPr>
              <w:rPr>
                <w:rFonts w:ascii="Arial"/>
                <w:sz w:val="21"/>
              </w:rPr>
            </w:pPr>
          </w:p>
        </w:tc>
        <w:tc>
          <w:tcPr>
            <w:tcW w:w="244" w:type="dxa"/>
            <w:vAlign w:val="top"/>
          </w:tcPr>
          <w:p w14:paraId="632D0462">
            <w:pPr>
              <w:rPr>
                <w:rFonts w:ascii="Arial"/>
                <w:sz w:val="21"/>
              </w:rPr>
            </w:pPr>
          </w:p>
        </w:tc>
      </w:tr>
      <w:tr w14:paraId="70B02A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52" w:hRule="atLeast"/>
        </w:trPr>
        <w:tc>
          <w:tcPr>
            <w:tcW w:w="893" w:type="dxa"/>
            <w:vAlign w:val="top"/>
          </w:tcPr>
          <w:p w14:paraId="342F0EA4">
            <w:pPr>
              <w:pStyle w:val="6"/>
              <w:spacing w:before="25" w:line="219" w:lineRule="auto"/>
              <w:ind w:left="94"/>
            </w:pPr>
            <w:r>
              <w:rPr>
                <w:spacing w:val="-2"/>
              </w:rPr>
              <w:t>筵宴改革</w:t>
            </w:r>
          </w:p>
          <w:p w14:paraId="673EDB52">
            <w:pPr>
              <w:pStyle w:val="6"/>
              <w:spacing w:before="38" w:line="220" w:lineRule="auto"/>
              <w:ind w:left="94"/>
            </w:pPr>
            <w:r>
              <w:rPr>
                <w:spacing w:val="-2"/>
              </w:rPr>
              <w:t>与试行分</w:t>
            </w:r>
          </w:p>
          <w:p w14:paraId="52FAD1BB">
            <w:pPr>
              <w:pStyle w:val="6"/>
              <w:spacing w:before="7" w:line="181" w:lineRule="auto"/>
              <w:ind w:left="265"/>
            </w:pPr>
            <w:r>
              <w:rPr>
                <w:spacing w:val="7"/>
              </w:rPr>
              <w:t>餐制</w:t>
            </w:r>
          </w:p>
        </w:tc>
        <w:tc>
          <w:tcPr>
            <w:tcW w:w="2314" w:type="dxa"/>
            <w:vAlign w:val="top"/>
          </w:tcPr>
          <w:p w14:paraId="55ACBE6D">
            <w:pPr>
              <w:pStyle w:val="6"/>
              <w:spacing w:before="155" w:line="219" w:lineRule="auto"/>
              <w:ind w:left="11"/>
            </w:pPr>
            <w:r>
              <w:rPr>
                <w:spacing w:val="1"/>
              </w:rPr>
              <w:t>1.筵宴改革</w:t>
            </w:r>
          </w:p>
          <w:p w14:paraId="7E85C021">
            <w:pPr>
              <w:pStyle w:val="6"/>
              <w:spacing w:before="8" w:line="219" w:lineRule="auto"/>
              <w:ind w:left="11"/>
            </w:pPr>
            <w:r>
              <w:rPr>
                <w:spacing w:val="2"/>
              </w:rPr>
              <w:t>2.试行分餐制</w:t>
            </w:r>
          </w:p>
        </w:tc>
        <w:tc>
          <w:tcPr>
            <w:tcW w:w="230" w:type="dxa"/>
            <w:vAlign w:val="top"/>
          </w:tcPr>
          <w:p w14:paraId="55465788">
            <w:pPr>
              <w:rPr>
                <w:rFonts w:ascii="Arial"/>
                <w:sz w:val="21"/>
              </w:rPr>
            </w:pPr>
          </w:p>
        </w:tc>
        <w:tc>
          <w:tcPr>
            <w:tcW w:w="230" w:type="dxa"/>
            <w:vAlign w:val="top"/>
          </w:tcPr>
          <w:p w14:paraId="2A3483BA">
            <w:pPr>
              <w:rPr>
                <w:rFonts w:ascii="Arial"/>
                <w:sz w:val="21"/>
              </w:rPr>
            </w:pPr>
          </w:p>
        </w:tc>
        <w:tc>
          <w:tcPr>
            <w:tcW w:w="219" w:type="dxa"/>
            <w:vAlign w:val="top"/>
          </w:tcPr>
          <w:p w14:paraId="781347A6">
            <w:pPr>
              <w:rPr>
                <w:rFonts w:ascii="Arial"/>
                <w:sz w:val="21"/>
              </w:rPr>
            </w:pPr>
          </w:p>
        </w:tc>
        <w:tc>
          <w:tcPr>
            <w:tcW w:w="244" w:type="dxa"/>
            <w:vAlign w:val="top"/>
          </w:tcPr>
          <w:p w14:paraId="7EDA2C76">
            <w:pPr>
              <w:rPr>
                <w:rFonts w:ascii="Arial"/>
                <w:sz w:val="21"/>
              </w:rPr>
            </w:pPr>
          </w:p>
        </w:tc>
      </w:tr>
    </w:tbl>
    <w:p w14:paraId="7F7682B6">
      <w:pPr>
        <w:spacing w:before="72" w:line="219" w:lineRule="auto"/>
        <w:ind w:left="450"/>
        <w:rPr>
          <w:rFonts w:ascii="宋体" w:hAnsi="宋体" w:eastAsia="宋体" w:cs="宋体"/>
          <w:sz w:val="17"/>
          <w:szCs w:val="17"/>
        </w:rPr>
      </w:pPr>
      <w:r>
        <w:rPr>
          <w:rFonts w:ascii="宋体" w:hAnsi="宋体" w:eastAsia="宋体" w:cs="宋体"/>
          <w:spacing w:val="-3"/>
          <w:sz w:val="17"/>
          <w:szCs w:val="17"/>
        </w:rPr>
        <w:t>第五讲</w:t>
      </w:r>
      <w:r>
        <w:rPr>
          <w:rFonts w:ascii="宋体" w:hAnsi="宋体" w:eastAsia="宋体" w:cs="宋体"/>
          <w:spacing w:val="28"/>
          <w:sz w:val="17"/>
          <w:szCs w:val="17"/>
        </w:rPr>
        <w:t xml:space="preserve"> </w:t>
      </w:r>
      <w:r>
        <w:rPr>
          <w:rFonts w:ascii="宋体" w:hAnsi="宋体" w:eastAsia="宋体" w:cs="宋体"/>
          <w:spacing w:val="-3"/>
          <w:sz w:val="17"/>
          <w:szCs w:val="17"/>
        </w:rPr>
        <w:t>中国烹饪风味流派</w:t>
      </w:r>
    </w:p>
    <w:p w14:paraId="7E976CAC">
      <w:pPr>
        <w:spacing w:line="26" w:lineRule="exact"/>
      </w:pPr>
    </w:p>
    <w:tbl>
      <w:tblPr>
        <w:tblStyle w:val="5"/>
        <w:tblW w:w="4130"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14"/>
        <w:gridCol w:w="230"/>
        <w:gridCol w:w="230"/>
        <w:gridCol w:w="219"/>
        <w:gridCol w:w="244"/>
      </w:tblGrid>
      <w:tr w14:paraId="34DC2B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4" w:hRule="atLeast"/>
        </w:trPr>
        <w:tc>
          <w:tcPr>
            <w:tcW w:w="893" w:type="dxa"/>
            <w:vMerge w:val="restart"/>
            <w:tcBorders>
              <w:bottom w:val="nil"/>
            </w:tcBorders>
            <w:vAlign w:val="top"/>
          </w:tcPr>
          <w:p w14:paraId="775B7CE2">
            <w:pPr>
              <w:pStyle w:val="6"/>
              <w:spacing w:before="140" w:line="226" w:lineRule="auto"/>
              <w:ind w:left="267" w:right="25" w:hanging="250"/>
            </w:pPr>
            <w:r>
              <w:rPr>
                <w:b/>
                <w:bCs/>
                <w:spacing w:val="-4"/>
              </w:rPr>
              <w:t>知识与技能</w:t>
            </w:r>
            <w:r>
              <w:t xml:space="preserve"> </w:t>
            </w:r>
            <w:r>
              <w:rPr>
                <w:b/>
                <w:bCs/>
                <w:spacing w:val="-4"/>
              </w:rPr>
              <w:t>要点</w:t>
            </w:r>
          </w:p>
        </w:tc>
        <w:tc>
          <w:tcPr>
            <w:tcW w:w="2314" w:type="dxa"/>
            <w:vMerge w:val="restart"/>
            <w:tcBorders>
              <w:bottom w:val="nil"/>
            </w:tcBorders>
            <w:vAlign w:val="top"/>
          </w:tcPr>
          <w:p w14:paraId="1BBAB935">
            <w:pPr>
              <w:pStyle w:val="6"/>
              <w:spacing w:before="249" w:line="219" w:lineRule="auto"/>
              <w:ind w:left="844"/>
            </w:pPr>
            <w:r>
              <w:rPr>
                <w:b/>
                <w:bCs/>
                <w:spacing w:val="5"/>
              </w:rPr>
              <w:t>考试条目</w:t>
            </w:r>
          </w:p>
        </w:tc>
        <w:tc>
          <w:tcPr>
            <w:tcW w:w="923" w:type="dxa"/>
            <w:gridSpan w:val="4"/>
            <w:vAlign w:val="top"/>
          </w:tcPr>
          <w:p w14:paraId="6A147EF0">
            <w:pPr>
              <w:pStyle w:val="6"/>
              <w:spacing w:before="79" w:line="219" w:lineRule="auto"/>
              <w:ind w:left="140"/>
            </w:pPr>
            <w:r>
              <w:rPr>
                <w:b/>
                <w:bCs/>
                <w:spacing w:val="-4"/>
              </w:rPr>
              <w:t>考试水平</w:t>
            </w:r>
          </w:p>
        </w:tc>
      </w:tr>
      <w:tr w14:paraId="5570B5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893" w:type="dxa"/>
            <w:vMerge w:val="continue"/>
            <w:tcBorders>
              <w:top w:val="nil"/>
            </w:tcBorders>
            <w:vAlign w:val="top"/>
          </w:tcPr>
          <w:p w14:paraId="70B8F4F6">
            <w:pPr>
              <w:rPr>
                <w:rFonts w:ascii="Arial"/>
                <w:sz w:val="21"/>
              </w:rPr>
            </w:pPr>
          </w:p>
        </w:tc>
        <w:tc>
          <w:tcPr>
            <w:tcW w:w="2314" w:type="dxa"/>
            <w:vMerge w:val="continue"/>
            <w:tcBorders>
              <w:top w:val="nil"/>
            </w:tcBorders>
            <w:vAlign w:val="top"/>
          </w:tcPr>
          <w:p w14:paraId="6602798B">
            <w:pPr>
              <w:rPr>
                <w:rFonts w:ascii="Arial"/>
                <w:sz w:val="21"/>
              </w:rPr>
            </w:pPr>
          </w:p>
        </w:tc>
        <w:tc>
          <w:tcPr>
            <w:tcW w:w="230" w:type="dxa"/>
            <w:vAlign w:val="top"/>
          </w:tcPr>
          <w:p w14:paraId="69CA60D6">
            <w:pPr>
              <w:pStyle w:val="6"/>
              <w:spacing w:before="120" w:line="184" w:lineRule="auto"/>
              <w:ind w:left="20"/>
            </w:pPr>
            <w:r>
              <w:rPr>
                <w:b/>
                <w:bCs/>
                <w:spacing w:val="-2"/>
              </w:rPr>
              <w:t>A</w:t>
            </w:r>
          </w:p>
        </w:tc>
        <w:tc>
          <w:tcPr>
            <w:tcW w:w="230" w:type="dxa"/>
            <w:vAlign w:val="top"/>
          </w:tcPr>
          <w:p w14:paraId="154A6564">
            <w:pPr>
              <w:pStyle w:val="6"/>
              <w:spacing w:before="122" w:line="182" w:lineRule="auto"/>
              <w:ind w:left="20"/>
            </w:pPr>
            <w:r>
              <w:rPr>
                <w:b/>
                <w:bCs/>
                <w:spacing w:val="-2"/>
              </w:rPr>
              <w:t>B</w:t>
            </w:r>
          </w:p>
        </w:tc>
        <w:tc>
          <w:tcPr>
            <w:tcW w:w="219" w:type="dxa"/>
            <w:vAlign w:val="top"/>
          </w:tcPr>
          <w:p w14:paraId="3258BA12">
            <w:pPr>
              <w:pStyle w:val="6"/>
              <w:spacing w:before="120" w:line="183" w:lineRule="auto"/>
              <w:ind w:left="50"/>
            </w:pPr>
            <w:r>
              <w:rPr>
                <w:b/>
                <w:bCs/>
                <w:spacing w:val="-2"/>
              </w:rPr>
              <w:t>C</w:t>
            </w:r>
          </w:p>
        </w:tc>
        <w:tc>
          <w:tcPr>
            <w:tcW w:w="244" w:type="dxa"/>
            <w:vAlign w:val="top"/>
          </w:tcPr>
          <w:p w14:paraId="66B85976">
            <w:pPr>
              <w:pStyle w:val="6"/>
              <w:spacing w:before="122" w:line="182" w:lineRule="auto"/>
              <w:ind w:left="51"/>
            </w:pPr>
            <w:r>
              <w:rPr>
                <w:b/>
                <w:bCs/>
                <w:spacing w:val="-2"/>
              </w:rPr>
              <w:t>D</w:t>
            </w:r>
          </w:p>
        </w:tc>
      </w:tr>
      <w:tr w14:paraId="31FF93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17" w:hRule="atLeast"/>
        </w:trPr>
        <w:tc>
          <w:tcPr>
            <w:tcW w:w="893" w:type="dxa"/>
            <w:vAlign w:val="top"/>
          </w:tcPr>
          <w:p w14:paraId="04820CF7">
            <w:pPr>
              <w:pStyle w:val="6"/>
              <w:spacing w:before="109" w:line="219" w:lineRule="auto"/>
              <w:ind w:left="94"/>
            </w:pPr>
            <w:r>
              <w:rPr>
                <w:spacing w:val="-2"/>
              </w:rPr>
              <w:t>什么是烹</w:t>
            </w:r>
          </w:p>
          <w:p w14:paraId="6477A400">
            <w:pPr>
              <w:pStyle w:val="6"/>
              <w:spacing w:before="37" w:line="226" w:lineRule="auto"/>
              <w:ind w:left="264" w:right="194" w:hanging="80"/>
            </w:pPr>
            <w:r>
              <w:rPr>
                <w:spacing w:val="-3"/>
              </w:rPr>
              <w:t>饪风味</w:t>
            </w:r>
            <w:r>
              <w:rPr>
                <w:spacing w:val="1"/>
              </w:rPr>
              <w:t xml:space="preserve"> </w:t>
            </w:r>
            <w:r>
              <w:rPr>
                <w:spacing w:val="-2"/>
              </w:rPr>
              <w:t>流派</w:t>
            </w:r>
          </w:p>
        </w:tc>
        <w:tc>
          <w:tcPr>
            <w:tcW w:w="2314" w:type="dxa"/>
            <w:vAlign w:val="top"/>
          </w:tcPr>
          <w:p w14:paraId="59A28B00">
            <w:pPr>
              <w:pStyle w:val="6"/>
              <w:spacing w:before="129" w:line="229" w:lineRule="auto"/>
              <w:ind w:left="11" w:right="574"/>
              <w:jc w:val="both"/>
            </w:pPr>
            <w:r>
              <w:t>1.烹饪风味流派的含义</w:t>
            </w:r>
            <w:r>
              <w:rPr>
                <w:spacing w:val="7"/>
              </w:rPr>
              <w:t xml:space="preserve"> </w:t>
            </w:r>
            <w:r>
              <w:rPr>
                <w:spacing w:val="1"/>
              </w:rPr>
              <w:t>2.烹饪风味流派的成因</w:t>
            </w:r>
            <w:r>
              <w:rPr>
                <w:spacing w:val="5"/>
              </w:rPr>
              <w:t xml:space="preserve"> </w:t>
            </w:r>
            <w:r>
              <w:rPr>
                <w:spacing w:val="1"/>
              </w:rPr>
              <w:t>3.烹饪风味流派的认定</w:t>
            </w:r>
          </w:p>
        </w:tc>
        <w:tc>
          <w:tcPr>
            <w:tcW w:w="230" w:type="dxa"/>
            <w:vAlign w:val="top"/>
          </w:tcPr>
          <w:p w14:paraId="5DE0D9E7">
            <w:pPr>
              <w:pStyle w:val="6"/>
              <w:spacing w:before="126" w:line="238" w:lineRule="auto"/>
              <w:ind w:left="17"/>
            </w:pPr>
            <w:r>
              <w:t>√</w:t>
            </w:r>
          </w:p>
        </w:tc>
        <w:tc>
          <w:tcPr>
            <w:tcW w:w="230" w:type="dxa"/>
            <w:vAlign w:val="top"/>
          </w:tcPr>
          <w:p w14:paraId="62644112">
            <w:pPr>
              <w:rPr>
                <w:rFonts w:ascii="Arial"/>
                <w:sz w:val="21"/>
              </w:rPr>
            </w:pPr>
          </w:p>
        </w:tc>
        <w:tc>
          <w:tcPr>
            <w:tcW w:w="219" w:type="dxa"/>
            <w:vAlign w:val="top"/>
          </w:tcPr>
          <w:p w14:paraId="22A7B634">
            <w:pPr>
              <w:rPr>
                <w:rFonts w:ascii="Arial"/>
                <w:sz w:val="21"/>
              </w:rPr>
            </w:pPr>
          </w:p>
        </w:tc>
        <w:tc>
          <w:tcPr>
            <w:tcW w:w="244" w:type="dxa"/>
            <w:vAlign w:val="top"/>
          </w:tcPr>
          <w:p w14:paraId="768E5A8A">
            <w:pPr>
              <w:rPr>
                <w:rFonts w:ascii="Arial"/>
                <w:sz w:val="21"/>
              </w:rPr>
            </w:pPr>
          </w:p>
        </w:tc>
      </w:tr>
      <w:tr w14:paraId="577072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67" w:hRule="atLeast"/>
        </w:trPr>
        <w:tc>
          <w:tcPr>
            <w:tcW w:w="893" w:type="dxa"/>
            <w:vAlign w:val="top"/>
          </w:tcPr>
          <w:p w14:paraId="065B1A64">
            <w:pPr>
              <w:pStyle w:val="6"/>
              <w:spacing w:before="242" w:line="231" w:lineRule="auto"/>
              <w:ind w:left="264" w:right="99" w:hanging="170"/>
            </w:pPr>
            <w:r>
              <w:rPr>
                <w:spacing w:val="2"/>
              </w:rPr>
              <w:t>中菜主要</w:t>
            </w:r>
            <w:r>
              <w:t xml:space="preserve"> </w:t>
            </w:r>
            <w:r>
              <w:rPr>
                <w:spacing w:val="-2"/>
              </w:rPr>
              <w:t>流派</w:t>
            </w:r>
          </w:p>
        </w:tc>
        <w:tc>
          <w:tcPr>
            <w:tcW w:w="2314" w:type="dxa"/>
            <w:vAlign w:val="top"/>
          </w:tcPr>
          <w:p w14:paraId="7C0E63C1">
            <w:pPr>
              <w:pStyle w:val="6"/>
              <w:spacing w:before="161" w:line="233" w:lineRule="auto"/>
              <w:ind w:left="11" w:right="1095"/>
              <w:jc w:val="both"/>
            </w:pPr>
            <w:r>
              <w:t>1.地方风味流派</w:t>
            </w:r>
            <w:r>
              <w:rPr>
                <w:spacing w:val="5"/>
              </w:rPr>
              <w:t xml:space="preserve"> </w:t>
            </w:r>
            <w:r>
              <w:rPr>
                <w:spacing w:val="-2"/>
              </w:rPr>
              <w:t>2.宗教风味流派</w:t>
            </w:r>
            <w:r>
              <w:rPr>
                <w:spacing w:val="6"/>
              </w:rPr>
              <w:t xml:space="preserve"> </w:t>
            </w:r>
            <w:r>
              <w:rPr>
                <w:spacing w:val="-2"/>
              </w:rPr>
              <w:t>3.家族风味流派</w:t>
            </w:r>
          </w:p>
        </w:tc>
        <w:tc>
          <w:tcPr>
            <w:tcW w:w="230" w:type="dxa"/>
            <w:vAlign w:val="top"/>
          </w:tcPr>
          <w:p w14:paraId="0042C0EB">
            <w:pPr>
              <w:rPr>
                <w:rFonts w:ascii="Arial"/>
                <w:sz w:val="21"/>
              </w:rPr>
            </w:pPr>
          </w:p>
        </w:tc>
        <w:tc>
          <w:tcPr>
            <w:tcW w:w="230" w:type="dxa"/>
            <w:vAlign w:val="top"/>
          </w:tcPr>
          <w:p w14:paraId="5708BC45">
            <w:pPr>
              <w:spacing w:line="407" w:lineRule="auto"/>
              <w:rPr>
                <w:rFonts w:ascii="Arial"/>
                <w:sz w:val="21"/>
              </w:rPr>
            </w:pPr>
          </w:p>
          <w:p w14:paraId="7FB826E1">
            <w:pPr>
              <w:spacing w:line="307" w:lineRule="exact"/>
              <w:ind w:firstLine="35"/>
            </w:pPr>
            <w:r>
              <w:rPr>
                <w:position w:val="-6"/>
              </w:rPr>
              <w:drawing>
                <wp:inline distT="0" distB="0" distL="0" distR="0">
                  <wp:extent cx="97790" cy="194945"/>
                  <wp:effectExtent l="0" t="0" r="0" b="0"/>
                  <wp:docPr id="282" name="IM 282"/>
                  <wp:cNvGraphicFramePr/>
                  <a:graphic xmlns:a="http://schemas.openxmlformats.org/drawingml/2006/main">
                    <a:graphicData uri="http://schemas.openxmlformats.org/drawingml/2006/picture">
                      <pic:pic xmlns:pic="http://schemas.openxmlformats.org/drawingml/2006/picture">
                        <pic:nvPicPr>
                          <pic:cNvPr id="282" name="IM 282"/>
                          <pic:cNvPicPr/>
                        </pic:nvPicPr>
                        <pic:blipFill>
                          <a:blip r:embed="rId305"/>
                          <a:stretch>
                            <a:fillRect/>
                          </a:stretch>
                        </pic:blipFill>
                        <pic:spPr>
                          <a:xfrm>
                            <a:off x="0" y="0"/>
                            <a:ext cx="98422" cy="195346"/>
                          </a:xfrm>
                          <a:prstGeom prst="rect">
                            <a:avLst/>
                          </a:prstGeom>
                        </pic:spPr>
                      </pic:pic>
                    </a:graphicData>
                  </a:graphic>
                </wp:inline>
              </w:drawing>
            </w:r>
          </w:p>
        </w:tc>
        <w:tc>
          <w:tcPr>
            <w:tcW w:w="219" w:type="dxa"/>
            <w:vAlign w:val="top"/>
          </w:tcPr>
          <w:p w14:paraId="529FBD5B">
            <w:pPr>
              <w:rPr>
                <w:rFonts w:ascii="Arial"/>
                <w:sz w:val="21"/>
              </w:rPr>
            </w:pPr>
          </w:p>
        </w:tc>
        <w:tc>
          <w:tcPr>
            <w:tcW w:w="244" w:type="dxa"/>
            <w:vAlign w:val="top"/>
          </w:tcPr>
          <w:p w14:paraId="2DE44D16">
            <w:pPr>
              <w:rPr>
                <w:rFonts w:ascii="Arial"/>
                <w:sz w:val="21"/>
              </w:rPr>
            </w:pPr>
          </w:p>
        </w:tc>
      </w:tr>
      <w:tr w14:paraId="4BA83A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42" w:hRule="atLeast"/>
        </w:trPr>
        <w:tc>
          <w:tcPr>
            <w:tcW w:w="893" w:type="dxa"/>
            <w:vAlign w:val="top"/>
          </w:tcPr>
          <w:p w14:paraId="38B19FE0">
            <w:pPr>
              <w:pStyle w:val="6"/>
              <w:spacing w:before="235" w:line="239" w:lineRule="auto"/>
              <w:ind w:left="264" w:right="99" w:hanging="170"/>
            </w:pPr>
            <w:r>
              <w:rPr>
                <w:spacing w:val="2"/>
              </w:rPr>
              <w:t>中点主要</w:t>
            </w:r>
            <w:r>
              <w:t xml:space="preserve"> </w:t>
            </w:r>
            <w:r>
              <w:rPr>
                <w:spacing w:val="-2"/>
              </w:rPr>
              <w:t>流派</w:t>
            </w:r>
          </w:p>
        </w:tc>
        <w:tc>
          <w:tcPr>
            <w:tcW w:w="2314" w:type="dxa"/>
            <w:vAlign w:val="top"/>
          </w:tcPr>
          <w:p w14:paraId="5E4E804F">
            <w:pPr>
              <w:pStyle w:val="6"/>
              <w:spacing w:before="155" w:line="220" w:lineRule="auto"/>
              <w:ind w:left="11"/>
            </w:pPr>
            <w:r>
              <w:t>1.三大面点流派</w:t>
            </w:r>
          </w:p>
          <w:p w14:paraId="7311ADF2">
            <w:pPr>
              <w:pStyle w:val="6"/>
              <w:spacing w:before="6" w:line="219" w:lineRule="auto"/>
              <w:ind w:left="11"/>
            </w:pPr>
            <w:r>
              <w:rPr>
                <w:spacing w:val="-1"/>
              </w:rPr>
              <w:t>2.八大小吃帮式</w:t>
            </w:r>
          </w:p>
          <w:p w14:paraId="4C7A7E90">
            <w:pPr>
              <w:pStyle w:val="6"/>
              <w:spacing w:before="8" w:line="219" w:lineRule="auto"/>
              <w:ind w:left="11"/>
            </w:pPr>
            <w:r>
              <w:rPr>
                <w:spacing w:val="1"/>
              </w:rPr>
              <w:t>3.十二类特色细点</w:t>
            </w:r>
          </w:p>
        </w:tc>
        <w:tc>
          <w:tcPr>
            <w:tcW w:w="230" w:type="dxa"/>
            <w:vAlign w:val="top"/>
          </w:tcPr>
          <w:p w14:paraId="3137F778">
            <w:pPr>
              <w:rPr>
                <w:rFonts w:ascii="Arial"/>
                <w:sz w:val="21"/>
              </w:rPr>
            </w:pPr>
          </w:p>
        </w:tc>
        <w:tc>
          <w:tcPr>
            <w:tcW w:w="230" w:type="dxa"/>
            <w:vAlign w:val="top"/>
          </w:tcPr>
          <w:p w14:paraId="7FA07046">
            <w:pPr>
              <w:rPr>
                <w:rFonts w:ascii="Arial"/>
                <w:sz w:val="21"/>
              </w:rPr>
            </w:pPr>
          </w:p>
        </w:tc>
        <w:tc>
          <w:tcPr>
            <w:tcW w:w="219" w:type="dxa"/>
            <w:vAlign w:val="top"/>
          </w:tcPr>
          <w:p w14:paraId="442556E5">
            <w:pPr>
              <w:rPr>
                <w:rFonts w:ascii="Arial"/>
                <w:sz w:val="21"/>
              </w:rPr>
            </w:pPr>
          </w:p>
        </w:tc>
        <w:tc>
          <w:tcPr>
            <w:tcW w:w="244" w:type="dxa"/>
            <w:vAlign w:val="top"/>
          </w:tcPr>
          <w:p w14:paraId="7C1ED809">
            <w:pPr>
              <w:rPr>
                <w:rFonts w:ascii="Arial"/>
                <w:sz w:val="21"/>
              </w:rPr>
            </w:pPr>
          </w:p>
        </w:tc>
      </w:tr>
    </w:tbl>
    <w:p w14:paraId="2026AD21">
      <w:pPr>
        <w:spacing w:before="72" w:line="219" w:lineRule="auto"/>
        <w:ind w:left="440"/>
        <w:rPr>
          <w:rFonts w:ascii="宋体" w:hAnsi="宋体" w:eastAsia="宋体" w:cs="宋体"/>
          <w:sz w:val="18"/>
          <w:szCs w:val="18"/>
        </w:rPr>
      </w:pPr>
      <w:r>
        <w:rPr>
          <w:rFonts w:ascii="宋体" w:hAnsi="宋体" w:eastAsia="宋体" w:cs="宋体"/>
          <w:spacing w:val="-3"/>
          <w:sz w:val="18"/>
          <w:szCs w:val="18"/>
        </w:rPr>
        <w:t>第六讲</w:t>
      </w:r>
      <w:r>
        <w:rPr>
          <w:rFonts w:ascii="宋体" w:hAnsi="宋体" w:eastAsia="宋体" w:cs="宋体"/>
          <w:spacing w:val="23"/>
          <w:w w:val="101"/>
          <w:sz w:val="18"/>
          <w:szCs w:val="18"/>
        </w:rPr>
        <w:t xml:space="preserve"> </w:t>
      </w:r>
      <w:r>
        <w:rPr>
          <w:rFonts w:ascii="宋体" w:hAnsi="宋体" w:eastAsia="宋体" w:cs="宋体"/>
          <w:spacing w:val="-3"/>
          <w:sz w:val="18"/>
          <w:szCs w:val="18"/>
        </w:rPr>
        <w:t>中国饮食民俗</w:t>
      </w:r>
    </w:p>
    <w:p w14:paraId="35D4A08B">
      <w:pPr>
        <w:spacing w:line="145" w:lineRule="auto"/>
        <w:rPr>
          <w:rFonts w:ascii="Arial"/>
          <w:sz w:val="2"/>
        </w:rPr>
      </w:pPr>
    </w:p>
    <w:tbl>
      <w:tblPr>
        <w:tblStyle w:val="5"/>
        <w:tblW w:w="4119"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04"/>
        <w:gridCol w:w="229"/>
        <w:gridCol w:w="230"/>
        <w:gridCol w:w="229"/>
        <w:gridCol w:w="234"/>
      </w:tblGrid>
      <w:tr w14:paraId="295CDB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5" w:hRule="atLeast"/>
        </w:trPr>
        <w:tc>
          <w:tcPr>
            <w:tcW w:w="893" w:type="dxa"/>
            <w:vMerge w:val="restart"/>
            <w:tcBorders>
              <w:bottom w:val="nil"/>
            </w:tcBorders>
            <w:vAlign w:val="top"/>
          </w:tcPr>
          <w:p w14:paraId="6AB27A93">
            <w:pPr>
              <w:pStyle w:val="6"/>
              <w:spacing w:before="141" w:line="214" w:lineRule="auto"/>
              <w:ind w:left="257" w:right="1" w:hanging="240"/>
              <w:rPr>
                <w:sz w:val="18"/>
                <w:szCs w:val="18"/>
              </w:rPr>
            </w:pPr>
            <w:r>
              <w:rPr>
                <w:b/>
                <w:bCs/>
                <w:spacing w:val="-10"/>
                <w:sz w:val="18"/>
                <w:szCs w:val="18"/>
              </w:rPr>
              <w:t>知识与技能</w:t>
            </w:r>
            <w:r>
              <w:rPr>
                <w:spacing w:val="3"/>
                <w:sz w:val="18"/>
                <w:szCs w:val="18"/>
              </w:rPr>
              <w:t xml:space="preserve"> </w:t>
            </w:r>
            <w:r>
              <w:rPr>
                <w:b/>
                <w:bCs/>
                <w:spacing w:val="-4"/>
                <w:sz w:val="18"/>
                <w:szCs w:val="18"/>
              </w:rPr>
              <w:t>要点</w:t>
            </w:r>
          </w:p>
        </w:tc>
        <w:tc>
          <w:tcPr>
            <w:tcW w:w="2304" w:type="dxa"/>
            <w:vMerge w:val="restart"/>
            <w:tcBorders>
              <w:bottom w:val="nil"/>
            </w:tcBorders>
            <w:vAlign w:val="top"/>
          </w:tcPr>
          <w:p w14:paraId="5CED5DEB">
            <w:pPr>
              <w:pStyle w:val="6"/>
              <w:spacing w:before="239" w:line="219" w:lineRule="auto"/>
              <w:ind w:left="834"/>
              <w:rPr>
                <w:sz w:val="18"/>
                <w:szCs w:val="18"/>
              </w:rPr>
            </w:pPr>
            <w:r>
              <w:rPr>
                <w:b/>
                <w:bCs/>
                <w:spacing w:val="5"/>
                <w:sz w:val="18"/>
                <w:szCs w:val="18"/>
              </w:rPr>
              <w:t>考试条目</w:t>
            </w:r>
          </w:p>
        </w:tc>
        <w:tc>
          <w:tcPr>
            <w:tcW w:w="922" w:type="dxa"/>
            <w:gridSpan w:val="4"/>
            <w:vAlign w:val="top"/>
          </w:tcPr>
          <w:p w14:paraId="300B0B17">
            <w:pPr>
              <w:pStyle w:val="6"/>
              <w:spacing w:before="79" w:line="219" w:lineRule="auto"/>
              <w:ind w:left="140"/>
              <w:rPr>
                <w:sz w:val="18"/>
                <w:szCs w:val="18"/>
              </w:rPr>
            </w:pPr>
            <w:r>
              <w:rPr>
                <w:b/>
                <w:bCs/>
                <w:spacing w:val="-4"/>
                <w:sz w:val="18"/>
                <w:szCs w:val="18"/>
              </w:rPr>
              <w:t>考试水平</w:t>
            </w:r>
          </w:p>
        </w:tc>
      </w:tr>
      <w:tr w14:paraId="38995F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893" w:type="dxa"/>
            <w:vMerge w:val="continue"/>
            <w:tcBorders>
              <w:top w:val="nil"/>
            </w:tcBorders>
            <w:vAlign w:val="top"/>
          </w:tcPr>
          <w:p w14:paraId="2B9FEED1">
            <w:pPr>
              <w:rPr>
                <w:rFonts w:ascii="Arial"/>
                <w:sz w:val="21"/>
              </w:rPr>
            </w:pPr>
          </w:p>
        </w:tc>
        <w:tc>
          <w:tcPr>
            <w:tcW w:w="2304" w:type="dxa"/>
            <w:vMerge w:val="continue"/>
            <w:tcBorders>
              <w:top w:val="nil"/>
            </w:tcBorders>
            <w:vAlign w:val="top"/>
          </w:tcPr>
          <w:p w14:paraId="29C482F5">
            <w:pPr>
              <w:rPr>
                <w:rFonts w:ascii="Arial"/>
                <w:sz w:val="21"/>
              </w:rPr>
            </w:pPr>
          </w:p>
        </w:tc>
        <w:tc>
          <w:tcPr>
            <w:tcW w:w="229" w:type="dxa"/>
            <w:vAlign w:val="top"/>
          </w:tcPr>
          <w:p w14:paraId="398D8858">
            <w:pPr>
              <w:pStyle w:val="6"/>
              <w:spacing w:before="112" w:line="184" w:lineRule="auto"/>
              <w:ind w:left="20"/>
              <w:rPr>
                <w:sz w:val="18"/>
                <w:szCs w:val="18"/>
              </w:rPr>
            </w:pPr>
            <w:r>
              <w:rPr>
                <w:b/>
                <w:bCs/>
                <w:spacing w:val="-2"/>
                <w:sz w:val="18"/>
                <w:szCs w:val="18"/>
              </w:rPr>
              <w:t>A</w:t>
            </w:r>
          </w:p>
        </w:tc>
        <w:tc>
          <w:tcPr>
            <w:tcW w:w="230" w:type="dxa"/>
            <w:vAlign w:val="top"/>
          </w:tcPr>
          <w:p w14:paraId="20EB7D98">
            <w:pPr>
              <w:pStyle w:val="6"/>
              <w:spacing w:before="114" w:line="182" w:lineRule="auto"/>
              <w:ind w:left="21"/>
              <w:rPr>
                <w:sz w:val="18"/>
                <w:szCs w:val="18"/>
              </w:rPr>
            </w:pPr>
            <w:r>
              <w:rPr>
                <w:b/>
                <w:bCs/>
                <w:spacing w:val="-2"/>
                <w:sz w:val="18"/>
                <w:szCs w:val="18"/>
              </w:rPr>
              <w:t>B</w:t>
            </w:r>
          </w:p>
        </w:tc>
        <w:tc>
          <w:tcPr>
            <w:tcW w:w="229" w:type="dxa"/>
            <w:vAlign w:val="top"/>
          </w:tcPr>
          <w:p w14:paraId="70CF601B">
            <w:pPr>
              <w:pStyle w:val="6"/>
              <w:spacing w:before="112" w:line="183" w:lineRule="auto"/>
              <w:ind w:left="51"/>
              <w:rPr>
                <w:sz w:val="18"/>
                <w:szCs w:val="18"/>
              </w:rPr>
            </w:pPr>
            <w:r>
              <w:rPr>
                <w:b/>
                <w:bCs/>
                <w:spacing w:val="-2"/>
                <w:sz w:val="18"/>
                <w:szCs w:val="18"/>
              </w:rPr>
              <w:t>C</w:t>
            </w:r>
          </w:p>
        </w:tc>
        <w:tc>
          <w:tcPr>
            <w:tcW w:w="234" w:type="dxa"/>
            <w:vAlign w:val="top"/>
          </w:tcPr>
          <w:p w14:paraId="68571D30">
            <w:pPr>
              <w:pStyle w:val="6"/>
              <w:spacing w:before="114" w:line="182" w:lineRule="auto"/>
              <w:ind w:left="12"/>
              <w:rPr>
                <w:sz w:val="18"/>
                <w:szCs w:val="18"/>
              </w:rPr>
            </w:pPr>
            <w:r>
              <w:rPr>
                <w:b/>
                <w:bCs/>
                <w:spacing w:val="-2"/>
                <w:sz w:val="18"/>
                <w:szCs w:val="18"/>
              </w:rPr>
              <w:t>D</w:t>
            </w:r>
          </w:p>
        </w:tc>
      </w:tr>
      <w:tr w14:paraId="2F616F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78" w:hRule="atLeast"/>
        </w:trPr>
        <w:tc>
          <w:tcPr>
            <w:tcW w:w="893" w:type="dxa"/>
            <w:vAlign w:val="top"/>
          </w:tcPr>
          <w:p w14:paraId="73F6E58D">
            <w:pPr>
              <w:pStyle w:val="6"/>
              <w:spacing w:before="289" w:line="232" w:lineRule="auto"/>
              <w:ind w:left="254" w:right="95" w:hanging="180"/>
              <w:rPr>
                <w:sz w:val="18"/>
                <w:szCs w:val="18"/>
              </w:rPr>
            </w:pPr>
            <w:r>
              <w:rPr>
                <w:spacing w:val="-2"/>
                <w:sz w:val="18"/>
                <w:szCs w:val="18"/>
              </w:rPr>
              <w:t>饮食民俗</w:t>
            </w:r>
            <w:r>
              <w:rPr>
                <w:sz w:val="18"/>
                <w:szCs w:val="18"/>
              </w:rPr>
              <w:t xml:space="preserve"> </w:t>
            </w:r>
            <w:r>
              <w:rPr>
                <w:spacing w:val="-2"/>
                <w:sz w:val="18"/>
                <w:szCs w:val="18"/>
              </w:rPr>
              <w:t>概述</w:t>
            </w:r>
          </w:p>
        </w:tc>
        <w:tc>
          <w:tcPr>
            <w:tcW w:w="2304" w:type="dxa"/>
            <w:vAlign w:val="top"/>
          </w:tcPr>
          <w:p w14:paraId="4ADA217F">
            <w:pPr>
              <w:pStyle w:val="6"/>
              <w:spacing w:before="79" w:line="223" w:lineRule="auto"/>
              <w:ind w:left="11" w:right="1183"/>
              <w:jc w:val="both"/>
              <w:rPr>
                <w:sz w:val="18"/>
                <w:szCs w:val="18"/>
              </w:rPr>
            </w:pPr>
            <w:r>
              <w:rPr>
                <w:spacing w:val="1"/>
                <w:sz w:val="18"/>
                <w:szCs w:val="18"/>
              </w:rPr>
              <w:t>1.民俗与食俗</w:t>
            </w:r>
            <w:r>
              <w:rPr>
                <w:sz w:val="18"/>
                <w:szCs w:val="18"/>
              </w:rPr>
              <w:t xml:space="preserve"> </w:t>
            </w:r>
            <w:r>
              <w:rPr>
                <w:spacing w:val="2"/>
                <w:sz w:val="18"/>
                <w:szCs w:val="18"/>
              </w:rPr>
              <w:t>2.食俗的成因</w:t>
            </w:r>
            <w:r>
              <w:rPr>
                <w:spacing w:val="3"/>
                <w:sz w:val="18"/>
                <w:szCs w:val="18"/>
              </w:rPr>
              <w:t xml:space="preserve"> </w:t>
            </w:r>
            <w:r>
              <w:rPr>
                <w:spacing w:val="-2"/>
                <w:sz w:val="18"/>
                <w:szCs w:val="18"/>
              </w:rPr>
              <w:t>3.食俗特征</w:t>
            </w:r>
          </w:p>
          <w:p w14:paraId="0DE8AC1A">
            <w:pPr>
              <w:pStyle w:val="6"/>
              <w:spacing w:before="26" w:line="215" w:lineRule="auto"/>
              <w:ind w:left="11"/>
              <w:rPr>
                <w:sz w:val="18"/>
                <w:szCs w:val="18"/>
              </w:rPr>
            </w:pPr>
            <w:r>
              <w:rPr>
                <w:spacing w:val="-1"/>
                <w:sz w:val="18"/>
                <w:szCs w:val="18"/>
              </w:rPr>
              <w:t>4.中国饮食民俗的表现形式</w:t>
            </w:r>
          </w:p>
        </w:tc>
        <w:tc>
          <w:tcPr>
            <w:tcW w:w="229" w:type="dxa"/>
            <w:vAlign w:val="top"/>
          </w:tcPr>
          <w:p w14:paraId="153F6277">
            <w:pPr>
              <w:spacing w:line="281" w:lineRule="auto"/>
              <w:rPr>
                <w:rFonts w:ascii="Arial"/>
                <w:sz w:val="21"/>
              </w:rPr>
            </w:pPr>
          </w:p>
          <w:p w14:paraId="2CD4F497">
            <w:pPr>
              <w:spacing w:line="282" w:lineRule="auto"/>
              <w:rPr>
                <w:rFonts w:ascii="Arial"/>
                <w:sz w:val="21"/>
              </w:rPr>
            </w:pPr>
          </w:p>
          <w:p w14:paraId="1B9D9623">
            <w:pPr>
              <w:spacing w:line="326" w:lineRule="exact"/>
              <w:ind w:firstLine="52"/>
            </w:pPr>
            <w:r>
              <w:rPr>
                <w:position w:val="-6"/>
              </w:rPr>
              <w:drawing>
                <wp:inline distT="0" distB="0" distL="0" distR="0">
                  <wp:extent cx="82550" cy="207010"/>
                  <wp:effectExtent l="0" t="0" r="0" b="0"/>
                  <wp:docPr id="284" name="IM 284"/>
                  <wp:cNvGraphicFramePr/>
                  <a:graphic xmlns:a="http://schemas.openxmlformats.org/drawingml/2006/main">
                    <a:graphicData uri="http://schemas.openxmlformats.org/drawingml/2006/picture">
                      <pic:pic xmlns:pic="http://schemas.openxmlformats.org/drawingml/2006/picture">
                        <pic:nvPicPr>
                          <pic:cNvPr id="284" name="IM 284"/>
                          <pic:cNvPicPr/>
                        </pic:nvPicPr>
                        <pic:blipFill>
                          <a:blip r:embed="rId306"/>
                          <a:stretch>
                            <a:fillRect/>
                          </a:stretch>
                        </pic:blipFill>
                        <pic:spPr>
                          <a:xfrm>
                            <a:off x="0" y="0"/>
                            <a:ext cx="82984" cy="207262"/>
                          </a:xfrm>
                          <a:prstGeom prst="rect">
                            <a:avLst/>
                          </a:prstGeom>
                        </pic:spPr>
                      </pic:pic>
                    </a:graphicData>
                  </a:graphic>
                </wp:inline>
              </w:drawing>
            </w:r>
          </w:p>
        </w:tc>
        <w:tc>
          <w:tcPr>
            <w:tcW w:w="230" w:type="dxa"/>
            <w:vAlign w:val="top"/>
          </w:tcPr>
          <w:p w14:paraId="4E7AC361">
            <w:pPr>
              <w:rPr>
                <w:rFonts w:ascii="Arial"/>
                <w:sz w:val="21"/>
              </w:rPr>
            </w:pPr>
          </w:p>
        </w:tc>
        <w:tc>
          <w:tcPr>
            <w:tcW w:w="229" w:type="dxa"/>
            <w:vAlign w:val="top"/>
          </w:tcPr>
          <w:p w14:paraId="41BAE8E9">
            <w:pPr>
              <w:rPr>
                <w:rFonts w:ascii="Arial"/>
                <w:sz w:val="21"/>
              </w:rPr>
            </w:pPr>
          </w:p>
        </w:tc>
        <w:tc>
          <w:tcPr>
            <w:tcW w:w="234" w:type="dxa"/>
            <w:vAlign w:val="top"/>
          </w:tcPr>
          <w:p w14:paraId="750A67B9">
            <w:pPr>
              <w:spacing w:line="275" w:lineRule="auto"/>
              <w:rPr>
                <w:rFonts w:ascii="Arial"/>
                <w:sz w:val="21"/>
              </w:rPr>
            </w:pPr>
          </w:p>
          <w:p w14:paraId="7EFD568C">
            <w:pPr>
              <w:pStyle w:val="6"/>
              <w:spacing w:before="42" w:line="238" w:lineRule="auto"/>
              <w:ind w:left="9"/>
              <w:rPr>
                <w:sz w:val="13"/>
                <w:szCs w:val="13"/>
              </w:rPr>
            </w:pPr>
            <w:r>
              <w:rPr>
                <w:sz w:val="13"/>
                <w:szCs w:val="13"/>
              </w:rPr>
              <w:t>√</w:t>
            </w:r>
          </w:p>
        </w:tc>
      </w:tr>
      <w:tr w14:paraId="20BE0E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16" w:hRule="atLeast"/>
        </w:trPr>
        <w:tc>
          <w:tcPr>
            <w:tcW w:w="893" w:type="dxa"/>
            <w:vAlign w:val="top"/>
          </w:tcPr>
          <w:p w14:paraId="7260A0F3">
            <w:pPr>
              <w:spacing w:line="258" w:lineRule="auto"/>
              <w:rPr>
                <w:rFonts w:ascii="Arial"/>
                <w:sz w:val="21"/>
              </w:rPr>
            </w:pPr>
          </w:p>
          <w:p w14:paraId="4DA082C2">
            <w:pPr>
              <w:spacing w:line="259" w:lineRule="auto"/>
              <w:rPr>
                <w:rFonts w:ascii="Arial"/>
                <w:sz w:val="21"/>
              </w:rPr>
            </w:pPr>
          </w:p>
          <w:p w14:paraId="3DA21D7F">
            <w:pPr>
              <w:spacing w:line="259" w:lineRule="auto"/>
              <w:rPr>
                <w:rFonts w:ascii="Arial"/>
                <w:sz w:val="21"/>
              </w:rPr>
            </w:pPr>
          </w:p>
          <w:p w14:paraId="5E8CF43E">
            <w:pPr>
              <w:pStyle w:val="6"/>
              <w:spacing w:before="59" w:line="208" w:lineRule="auto"/>
              <w:ind w:left="254" w:right="95" w:hanging="180"/>
              <w:rPr>
                <w:sz w:val="18"/>
                <w:szCs w:val="18"/>
              </w:rPr>
            </w:pPr>
            <w:r>
              <w:rPr>
                <w:spacing w:val="-2"/>
                <w:sz w:val="18"/>
                <w:szCs w:val="18"/>
              </w:rPr>
              <w:t>年节文化</w:t>
            </w:r>
            <w:r>
              <w:rPr>
                <w:sz w:val="18"/>
                <w:szCs w:val="18"/>
              </w:rPr>
              <w:t xml:space="preserve"> </w:t>
            </w:r>
            <w:r>
              <w:rPr>
                <w:spacing w:val="-2"/>
                <w:sz w:val="18"/>
                <w:szCs w:val="18"/>
              </w:rPr>
              <w:t>食俗</w:t>
            </w:r>
          </w:p>
        </w:tc>
        <w:tc>
          <w:tcPr>
            <w:tcW w:w="2304" w:type="dxa"/>
            <w:vAlign w:val="top"/>
          </w:tcPr>
          <w:p w14:paraId="6275EDCC">
            <w:pPr>
              <w:pStyle w:val="6"/>
              <w:spacing w:before="160" w:line="220" w:lineRule="auto"/>
              <w:ind w:left="11"/>
              <w:rPr>
                <w:sz w:val="18"/>
                <w:szCs w:val="18"/>
              </w:rPr>
            </w:pPr>
            <w:r>
              <w:rPr>
                <w:spacing w:val="1"/>
                <w:sz w:val="18"/>
                <w:szCs w:val="18"/>
              </w:rPr>
              <w:t>1.春节食俗</w:t>
            </w:r>
          </w:p>
          <w:p w14:paraId="26AC594E">
            <w:pPr>
              <w:pStyle w:val="6"/>
              <w:spacing w:before="22" w:line="225" w:lineRule="auto"/>
              <w:ind w:left="11" w:right="1208"/>
              <w:rPr>
                <w:sz w:val="18"/>
                <w:szCs w:val="18"/>
              </w:rPr>
            </w:pPr>
            <w:r>
              <w:rPr>
                <w:spacing w:val="-2"/>
                <w:sz w:val="18"/>
                <w:szCs w:val="18"/>
              </w:rPr>
              <w:t>2.元宵节食俗</w:t>
            </w:r>
            <w:r>
              <w:rPr>
                <w:spacing w:val="3"/>
                <w:sz w:val="18"/>
                <w:szCs w:val="18"/>
              </w:rPr>
              <w:t xml:space="preserve"> </w:t>
            </w:r>
            <w:r>
              <w:rPr>
                <w:spacing w:val="-2"/>
                <w:sz w:val="18"/>
                <w:szCs w:val="18"/>
              </w:rPr>
              <w:t>3.清明节食俗</w:t>
            </w:r>
            <w:r>
              <w:rPr>
                <w:spacing w:val="2"/>
                <w:sz w:val="18"/>
                <w:szCs w:val="18"/>
              </w:rPr>
              <w:t xml:space="preserve"> </w:t>
            </w:r>
            <w:r>
              <w:rPr>
                <w:spacing w:val="-1"/>
                <w:sz w:val="18"/>
                <w:szCs w:val="18"/>
              </w:rPr>
              <w:t>4.端午节食俗</w:t>
            </w:r>
            <w:r>
              <w:rPr>
                <w:sz w:val="18"/>
                <w:szCs w:val="18"/>
              </w:rPr>
              <w:t xml:space="preserve"> </w:t>
            </w:r>
            <w:r>
              <w:rPr>
                <w:spacing w:val="-2"/>
                <w:sz w:val="18"/>
                <w:szCs w:val="18"/>
              </w:rPr>
              <w:t>5.中秋节食俗</w:t>
            </w:r>
            <w:r>
              <w:rPr>
                <w:spacing w:val="2"/>
                <w:sz w:val="18"/>
                <w:szCs w:val="18"/>
              </w:rPr>
              <w:t xml:space="preserve"> </w:t>
            </w:r>
            <w:r>
              <w:rPr>
                <w:spacing w:val="-2"/>
                <w:sz w:val="18"/>
                <w:szCs w:val="18"/>
              </w:rPr>
              <w:t>6.重阳节食俗</w:t>
            </w:r>
            <w:r>
              <w:rPr>
                <w:spacing w:val="4"/>
                <w:sz w:val="18"/>
                <w:szCs w:val="18"/>
              </w:rPr>
              <w:t xml:space="preserve"> </w:t>
            </w:r>
            <w:r>
              <w:rPr>
                <w:spacing w:val="-2"/>
                <w:sz w:val="18"/>
                <w:szCs w:val="18"/>
              </w:rPr>
              <w:t>7.冬至节食俗</w:t>
            </w:r>
            <w:r>
              <w:rPr>
                <w:spacing w:val="1"/>
                <w:sz w:val="18"/>
                <w:szCs w:val="18"/>
              </w:rPr>
              <w:t xml:space="preserve"> </w:t>
            </w:r>
            <w:r>
              <w:rPr>
                <w:spacing w:val="-2"/>
                <w:sz w:val="18"/>
                <w:szCs w:val="18"/>
              </w:rPr>
              <w:t>8.除夕节食俗</w:t>
            </w:r>
          </w:p>
        </w:tc>
        <w:tc>
          <w:tcPr>
            <w:tcW w:w="229" w:type="dxa"/>
            <w:vAlign w:val="top"/>
          </w:tcPr>
          <w:p w14:paraId="3C94413A">
            <w:pPr>
              <w:rPr>
                <w:rFonts w:ascii="Arial"/>
                <w:sz w:val="21"/>
              </w:rPr>
            </w:pPr>
          </w:p>
        </w:tc>
        <w:tc>
          <w:tcPr>
            <w:tcW w:w="230" w:type="dxa"/>
            <w:vAlign w:val="top"/>
          </w:tcPr>
          <w:p w14:paraId="7C2A378E">
            <w:pPr>
              <w:rPr>
                <w:rFonts w:ascii="Arial"/>
                <w:sz w:val="21"/>
              </w:rPr>
            </w:pPr>
          </w:p>
        </w:tc>
        <w:tc>
          <w:tcPr>
            <w:tcW w:w="229" w:type="dxa"/>
            <w:vAlign w:val="top"/>
          </w:tcPr>
          <w:p w14:paraId="2D75872E">
            <w:pPr>
              <w:rPr>
                <w:rFonts w:ascii="Arial"/>
                <w:sz w:val="21"/>
              </w:rPr>
            </w:pPr>
          </w:p>
        </w:tc>
        <w:tc>
          <w:tcPr>
            <w:tcW w:w="234" w:type="dxa"/>
            <w:vAlign w:val="top"/>
          </w:tcPr>
          <w:p w14:paraId="1BDC3D3B">
            <w:pPr>
              <w:pStyle w:val="6"/>
              <w:spacing w:before="158" w:line="238" w:lineRule="auto"/>
              <w:ind w:left="19"/>
              <w:rPr>
                <w:sz w:val="18"/>
                <w:szCs w:val="18"/>
              </w:rPr>
            </w:pPr>
            <w:r>
              <w:rPr>
                <w:sz w:val="18"/>
                <w:szCs w:val="18"/>
              </w:rPr>
              <w:t>√</w:t>
            </w:r>
          </w:p>
          <w:p w14:paraId="452E4F41">
            <w:pPr>
              <w:spacing w:line="277" w:lineRule="auto"/>
              <w:rPr>
                <w:rFonts w:ascii="Arial"/>
                <w:sz w:val="21"/>
              </w:rPr>
            </w:pPr>
          </w:p>
          <w:p w14:paraId="0EF50FA9">
            <w:pPr>
              <w:spacing w:line="277" w:lineRule="auto"/>
              <w:rPr>
                <w:rFonts w:ascii="Arial"/>
                <w:sz w:val="21"/>
              </w:rPr>
            </w:pPr>
          </w:p>
          <w:p w14:paraId="4A189E33">
            <w:pPr>
              <w:spacing w:line="277" w:lineRule="auto"/>
              <w:rPr>
                <w:rFonts w:ascii="Arial"/>
                <w:sz w:val="21"/>
              </w:rPr>
            </w:pPr>
          </w:p>
          <w:p w14:paraId="678C202C">
            <w:pPr>
              <w:spacing w:line="277" w:lineRule="auto"/>
              <w:rPr>
                <w:rFonts w:ascii="Arial"/>
                <w:sz w:val="21"/>
              </w:rPr>
            </w:pPr>
          </w:p>
          <w:p w14:paraId="601E0372">
            <w:pPr>
              <w:spacing w:line="130" w:lineRule="exact"/>
              <w:ind w:left="64"/>
            </w:pPr>
            <w:r>
              <w:rPr>
                <w:position w:val="-3"/>
              </w:rPr>
              <w:drawing>
                <wp:inline distT="0" distB="0" distL="0" distR="0">
                  <wp:extent cx="81915" cy="81915"/>
                  <wp:effectExtent l="0" t="0" r="0" b="0"/>
                  <wp:docPr id="286" name="IM 286"/>
                  <wp:cNvGraphicFramePr/>
                  <a:graphic xmlns:a="http://schemas.openxmlformats.org/drawingml/2006/main">
                    <a:graphicData uri="http://schemas.openxmlformats.org/drawingml/2006/picture">
                      <pic:pic xmlns:pic="http://schemas.openxmlformats.org/drawingml/2006/picture">
                        <pic:nvPicPr>
                          <pic:cNvPr id="286" name="IM 286"/>
                          <pic:cNvPicPr/>
                        </pic:nvPicPr>
                        <pic:blipFill>
                          <a:blip r:embed="rId307"/>
                          <a:stretch>
                            <a:fillRect/>
                          </a:stretch>
                        </pic:blipFill>
                        <pic:spPr>
                          <a:xfrm>
                            <a:off x="0" y="0"/>
                            <a:ext cx="82549" cy="82543"/>
                          </a:xfrm>
                          <a:prstGeom prst="rect">
                            <a:avLst/>
                          </a:prstGeom>
                        </pic:spPr>
                      </pic:pic>
                    </a:graphicData>
                  </a:graphic>
                </wp:inline>
              </w:drawing>
            </w:r>
          </w:p>
        </w:tc>
      </w:tr>
      <w:tr w14:paraId="37F0E5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893" w:type="dxa"/>
            <w:vAlign w:val="top"/>
          </w:tcPr>
          <w:p w14:paraId="4316310E">
            <w:pPr>
              <w:pStyle w:val="6"/>
              <w:spacing w:before="35" w:line="207" w:lineRule="auto"/>
              <w:ind w:left="254" w:right="95" w:hanging="180"/>
              <w:rPr>
                <w:sz w:val="18"/>
                <w:szCs w:val="18"/>
              </w:rPr>
            </w:pPr>
            <w:r>
              <w:rPr>
                <w:spacing w:val="-2"/>
                <w:sz w:val="18"/>
                <w:szCs w:val="18"/>
              </w:rPr>
              <w:t>地方风情</w:t>
            </w:r>
            <w:r>
              <w:rPr>
                <w:sz w:val="18"/>
                <w:szCs w:val="18"/>
              </w:rPr>
              <w:t xml:space="preserve"> </w:t>
            </w:r>
            <w:r>
              <w:rPr>
                <w:spacing w:val="-2"/>
                <w:sz w:val="18"/>
                <w:szCs w:val="18"/>
              </w:rPr>
              <w:t>食俗</w:t>
            </w:r>
          </w:p>
        </w:tc>
        <w:tc>
          <w:tcPr>
            <w:tcW w:w="2304" w:type="dxa"/>
            <w:vAlign w:val="top"/>
          </w:tcPr>
          <w:p w14:paraId="527C2714">
            <w:pPr>
              <w:pStyle w:val="6"/>
              <w:spacing w:before="144" w:line="219" w:lineRule="auto"/>
              <w:ind w:left="11"/>
              <w:rPr>
                <w:sz w:val="18"/>
                <w:szCs w:val="18"/>
              </w:rPr>
            </w:pPr>
            <w:r>
              <w:rPr>
                <w:spacing w:val="-2"/>
                <w:sz w:val="18"/>
                <w:szCs w:val="18"/>
              </w:rPr>
              <w:t>省区乡土食俗</w:t>
            </w:r>
          </w:p>
        </w:tc>
        <w:tc>
          <w:tcPr>
            <w:tcW w:w="229" w:type="dxa"/>
            <w:vAlign w:val="top"/>
          </w:tcPr>
          <w:p w14:paraId="4AFBC5B0">
            <w:pPr>
              <w:rPr>
                <w:rFonts w:ascii="Arial"/>
                <w:sz w:val="21"/>
              </w:rPr>
            </w:pPr>
          </w:p>
        </w:tc>
        <w:tc>
          <w:tcPr>
            <w:tcW w:w="230" w:type="dxa"/>
            <w:vAlign w:val="top"/>
          </w:tcPr>
          <w:p w14:paraId="3426E773">
            <w:pPr>
              <w:spacing w:before="192" w:line="116" w:lineRule="exact"/>
              <w:ind w:firstLine="50"/>
            </w:pPr>
            <w:r>
              <w:rPr>
                <w:position w:val="-2"/>
              </w:rPr>
              <w:drawing>
                <wp:inline distT="0" distB="0" distL="0" distR="0">
                  <wp:extent cx="80645" cy="73025"/>
                  <wp:effectExtent l="0" t="0" r="0" b="0"/>
                  <wp:docPr id="288" name="IM 288"/>
                  <wp:cNvGraphicFramePr/>
                  <a:graphic xmlns:a="http://schemas.openxmlformats.org/drawingml/2006/main">
                    <a:graphicData uri="http://schemas.openxmlformats.org/drawingml/2006/picture">
                      <pic:pic xmlns:pic="http://schemas.openxmlformats.org/drawingml/2006/picture">
                        <pic:nvPicPr>
                          <pic:cNvPr id="288" name="IM 288"/>
                          <pic:cNvPicPr/>
                        </pic:nvPicPr>
                        <pic:blipFill>
                          <a:blip r:embed="rId308"/>
                          <a:stretch>
                            <a:fillRect/>
                          </a:stretch>
                        </pic:blipFill>
                        <pic:spPr>
                          <a:xfrm>
                            <a:off x="0" y="0"/>
                            <a:ext cx="81053" cy="73657"/>
                          </a:xfrm>
                          <a:prstGeom prst="rect">
                            <a:avLst/>
                          </a:prstGeom>
                        </pic:spPr>
                      </pic:pic>
                    </a:graphicData>
                  </a:graphic>
                </wp:inline>
              </w:drawing>
            </w:r>
          </w:p>
        </w:tc>
        <w:tc>
          <w:tcPr>
            <w:tcW w:w="229" w:type="dxa"/>
            <w:vAlign w:val="top"/>
          </w:tcPr>
          <w:p w14:paraId="66F9E5BA">
            <w:pPr>
              <w:rPr>
                <w:rFonts w:ascii="Arial"/>
                <w:sz w:val="21"/>
              </w:rPr>
            </w:pPr>
          </w:p>
        </w:tc>
        <w:tc>
          <w:tcPr>
            <w:tcW w:w="234" w:type="dxa"/>
            <w:vAlign w:val="top"/>
          </w:tcPr>
          <w:p w14:paraId="5BB5EDE4">
            <w:pPr>
              <w:rPr>
                <w:rFonts w:ascii="Arial"/>
                <w:sz w:val="21"/>
              </w:rPr>
            </w:pPr>
          </w:p>
        </w:tc>
      </w:tr>
      <w:tr w14:paraId="351FF7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13" w:hRule="atLeast"/>
        </w:trPr>
        <w:tc>
          <w:tcPr>
            <w:tcW w:w="893" w:type="dxa"/>
            <w:vAlign w:val="top"/>
          </w:tcPr>
          <w:p w14:paraId="1DFD7DBC">
            <w:pPr>
              <w:spacing w:line="263" w:lineRule="auto"/>
              <w:rPr>
                <w:rFonts w:ascii="Arial"/>
                <w:sz w:val="21"/>
              </w:rPr>
            </w:pPr>
          </w:p>
          <w:p w14:paraId="34ECAB11">
            <w:pPr>
              <w:pStyle w:val="6"/>
              <w:spacing w:before="59" w:line="229" w:lineRule="auto"/>
              <w:ind w:left="254" w:right="76" w:hanging="180"/>
              <w:rPr>
                <w:sz w:val="18"/>
                <w:szCs w:val="18"/>
              </w:rPr>
            </w:pPr>
            <w:r>
              <w:rPr>
                <w:spacing w:val="2"/>
                <w:sz w:val="18"/>
                <w:szCs w:val="18"/>
              </w:rPr>
              <w:t xml:space="preserve">宗教信仰 </w:t>
            </w:r>
            <w:r>
              <w:rPr>
                <w:spacing w:val="-2"/>
                <w:sz w:val="18"/>
                <w:szCs w:val="18"/>
              </w:rPr>
              <w:t>食俗</w:t>
            </w:r>
          </w:p>
        </w:tc>
        <w:tc>
          <w:tcPr>
            <w:tcW w:w="2304" w:type="dxa"/>
            <w:vAlign w:val="top"/>
          </w:tcPr>
          <w:p w14:paraId="45C6F45E">
            <w:pPr>
              <w:pStyle w:val="6"/>
              <w:spacing w:before="205" w:line="219" w:lineRule="auto"/>
              <w:ind w:left="11"/>
              <w:rPr>
                <w:sz w:val="18"/>
                <w:szCs w:val="18"/>
              </w:rPr>
            </w:pPr>
            <w:r>
              <w:rPr>
                <w:spacing w:val="1"/>
                <w:sz w:val="18"/>
                <w:szCs w:val="18"/>
              </w:rPr>
              <w:t>1.佛教食俗</w:t>
            </w:r>
          </w:p>
          <w:p w14:paraId="0E1E4DE1">
            <w:pPr>
              <w:pStyle w:val="6"/>
              <w:spacing w:before="36" w:line="212" w:lineRule="auto"/>
              <w:ind w:left="11" w:right="1031"/>
              <w:rPr>
                <w:sz w:val="18"/>
                <w:szCs w:val="18"/>
              </w:rPr>
            </w:pPr>
            <w:r>
              <w:rPr>
                <w:spacing w:val="-2"/>
                <w:sz w:val="18"/>
                <w:szCs w:val="18"/>
              </w:rPr>
              <w:t>2.伊斯兰教食俗</w:t>
            </w:r>
            <w:r>
              <w:rPr>
                <w:spacing w:val="5"/>
                <w:sz w:val="18"/>
                <w:szCs w:val="18"/>
              </w:rPr>
              <w:t xml:space="preserve"> </w:t>
            </w:r>
            <w:r>
              <w:rPr>
                <w:spacing w:val="-2"/>
                <w:sz w:val="18"/>
                <w:szCs w:val="18"/>
              </w:rPr>
              <w:t>3.基督教食俗</w:t>
            </w:r>
          </w:p>
        </w:tc>
        <w:tc>
          <w:tcPr>
            <w:tcW w:w="229" w:type="dxa"/>
            <w:vAlign w:val="top"/>
          </w:tcPr>
          <w:p w14:paraId="7C457370">
            <w:pPr>
              <w:rPr>
                <w:rFonts w:ascii="Arial"/>
                <w:sz w:val="21"/>
              </w:rPr>
            </w:pPr>
          </w:p>
        </w:tc>
        <w:tc>
          <w:tcPr>
            <w:tcW w:w="230" w:type="dxa"/>
            <w:vAlign w:val="top"/>
          </w:tcPr>
          <w:p w14:paraId="2905076D">
            <w:pPr>
              <w:rPr>
                <w:rFonts w:ascii="Arial"/>
                <w:sz w:val="21"/>
              </w:rPr>
            </w:pPr>
            <w:r>
              <w:drawing>
                <wp:anchor distT="0" distB="0" distL="0" distR="0" simplePos="0" relativeHeight="251675648" behindDoc="1" locked="0" layoutInCell="1" allowOverlap="1">
                  <wp:simplePos x="0" y="0"/>
                  <wp:positionH relativeFrom="rightMargin">
                    <wp:posOffset>-122555</wp:posOffset>
                  </wp:positionH>
                  <wp:positionV relativeFrom="topMargin">
                    <wp:posOffset>155575</wp:posOffset>
                  </wp:positionV>
                  <wp:extent cx="207645" cy="358140"/>
                  <wp:effectExtent l="0" t="0" r="0" b="0"/>
                  <wp:wrapNone/>
                  <wp:docPr id="290" name="IM 290"/>
                  <wp:cNvGraphicFramePr/>
                  <a:graphic xmlns:a="http://schemas.openxmlformats.org/drawingml/2006/main">
                    <a:graphicData uri="http://schemas.openxmlformats.org/drawingml/2006/picture">
                      <pic:pic xmlns:pic="http://schemas.openxmlformats.org/drawingml/2006/picture">
                        <pic:nvPicPr>
                          <pic:cNvPr id="290" name="IM 290"/>
                          <pic:cNvPicPr/>
                        </pic:nvPicPr>
                        <pic:blipFill>
                          <a:blip r:embed="rId309"/>
                          <a:stretch>
                            <a:fillRect/>
                          </a:stretch>
                        </pic:blipFill>
                        <pic:spPr>
                          <a:xfrm>
                            <a:off x="0" y="0"/>
                            <a:ext cx="207901" cy="358076"/>
                          </a:xfrm>
                          <a:prstGeom prst="rect">
                            <a:avLst/>
                          </a:prstGeom>
                        </pic:spPr>
                      </pic:pic>
                    </a:graphicData>
                  </a:graphic>
                </wp:anchor>
              </w:drawing>
            </w:r>
          </w:p>
        </w:tc>
        <w:tc>
          <w:tcPr>
            <w:tcW w:w="229" w:type="dxa"/>
            <w:vAlign w:val="top"/>
          </w:tcPr>
          <w:p w14:paraId="6C3D2494">
            <w:pPr>
              <w:rPr>
                <w:rFonts w:ascii="Arial"/>
                <w:sz w:val="21"/>
              </w:rPr>
            </w:pPr>
          </w:p>
        </w:tc>
        <w:tc>
          <w:tcPr>
            <w:tcW w:w="234" w:type="dxa"/>
            <w:vAlign w:val="top"/>
          </w:tcPr>
          <w:p w14:paraId="325FD7C3">
            <w:pPr>
              <w:rPr>
                <w:rFonts w:ascii="Arial"/>
                <w:sz w:val="21"/>
              </w:rPr>
            </w:pPr>
          </w:p>
        </w:tc>
      </w:tr>
    </w:tbl>
    <w:p w14:paraId="44EEA4C8">
      <w:pPr>
        <w:pStyle w:val="2"/>
        <w:spacing w:line="19" w:lineRule="exact"/>
        <w:rPr>
          <w:sz w:val="2"/>
        </w:rPr>
      </w:pPr>
    </w:p>
    <w:p w14:paraId="25EF35B9">
      <w:pPr>
        <w:pStyle w:val="2"/>
        <w:spacing w:line="14" w:lineRule="auto"/>
        <w:rPr>
          <w:sz w:val="2"/>
        </w:rPr>
      </w:pPr>
      <w:r>
        <w:rPr>
          <w:sz w:val="2"/>
          <w:szCs w:val="2"/>
        </w:rPr>
        <w:br w:type="column"/>
      </w: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24"/>
        <w:gridCol w:w="220"/>
        <w:gridCol w:w="229"/>
        <w:gridCol w:w="229"/>
        <w:gridCol w:w="224"/>
      </w:tblGrid>
      <w:tr w14:paraId="067F83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9" w:hRule="atLeast"/>
        </w:trPr>
        <w:tc>
          <w:tcPr>
            <w:tcW w:w="893" w:type="dxa"/>
            <w:vMerge w:val="restart"/>
            <w:tcBorders>
              <w:top w:val="single" w:color="000000" w:sz="2" w:space="0"/>
              <w:bottom w:val="nil"/>
            </w:tcBorders>
            <w:vAlign w:val="top"/>
          </w:tcPr>
          <w:p w14:paraId="2731A893">
            <w:pPr>
              <w:pStyle w:val="6"/>
              <w:spacing w:before="156" w:line="214" w:lineRule="auto"/>
              <w:ind w:left="257" w:right="1" w:hanging="240"/>
              <w:rPr>
                <w:sz w:val="18"/>
                <w:szCs w:val="18"/>
              </w:rPr>
            </w:pPr>
            <w:r>
              <w:rPr>
                <w:b/>
                <w:bCs/>
                <w:spacing w:val="-10"/>
                <w:sz w:val="18"/>
                <w:szCs w:val="18"/>
              </w:rPr>
              <w:t>知识与技能</w:t>
            </w:r>
            <w:r>
              <w:rPr>
                <w:spacing w:val="3"/>
                <w:sz w:val="18"/>
                <w:szCs w:val="18"/>
              </w:rPr>
              <w:t xml:space="preserve"> </w:t>
            </w:r>
            <w:r>
              <w:rPr>
                <w:b/>
                <w:bCs/>
                <w:spacing w:val="-4"/>
                <w:sz w:val="18"/>
                <w:szCs w:val="18"/>
              </w:rPr>
              <w:t>要点</w:t>
            </w:r>
          </w:p>
        </w:tc>
        <w:tc>
          <w:tcPr>
            <w:tcW w:w="2324" w:type="dxa"/>
            <w:vMerge w:val="restart"/>
            <w:tcBorders>
              <w:top w:val="single" w:color="000000" w:sz="2" w:space="0"/>
              <w:bottom w:val="nil"/>
            </w:tcBorders>
            <w:vAlign w:val="top"/>
          </w:tcPr>
          <w:p w14:paraId="57974480">
            <w:pPr>
              <w:pStyle w:val="6"/>
              <w:spacing w:before="254" w:line="219" w:lineRule="auto"/>
              <w:ind w:left="834"/>
              <w:rPr>
                <w:sz w:val="18"/>
                <w:szCs w:val="18"/>
              </w:rPr>
            </w:pPr>
            <w:r>
              <w:rPr>
                <w:b/>
                <w:bCs/>
                <w:spacing w:val="5"/>
                <w:sz w:val="18"/>
                <w:szCs w:val="18"/>
              </w:rPr>
              <w:t>考试条目</w:t>
            </w:r>
          </w:p>
        </w:tc>
        <w:tc>
          <w:tcPr>
            <w:tcW w:w="902" w:type="dxa"/>
            <w:gridSpan w:val="4"/>
            <w:tcBorders>
              <w:top w:val="single" w:color="000000" w:sz="2" w:space="0"/>
              <w:bottom w:val="single" w:color="000000" w:sz="2" w:space="0"/>
            </w:tcBorders>
            <w:vAlign w:val="top"/>
          </w:tcPr>
          <w:p w14:paraId="07C7C029">
            <w:pPr>
              <w:pStyle w:val="6"/>
              <w:spacing w:before="84" w:line="219" w:lineRule="auto"/>
              <w:ind w:left="110"/>
              <w:rPr>
                <w:sz w:val="18"/>
                <w:szCs w:val="18"/>
              </w:rPr>
            </w:pPr>
            <w:r>
              <w:rPr>
                <w:b/>
                <w:bCs/>
                <w:spacing w:val="-4"/>
                <w:sz w:val="18"/>
                <w:szCs w:val="18"/>
              </w:rPr>
              <w:t>考试水平</w:t>
            </w:r>
          </w:p>
        </w:tc>
      </w:tr>
      <w:tr w14:paraId="495F0A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4" w:hRule="atLeast"/>
        </w:trPr>
        <w:tc>
          <w:tcPr>
            <w:tcW w:w="893" w:type="dxa"/>
            <w:vMerge w:val="continue"/>
            <w:tcBorders>
              <w:top w:val="nil"/>
              <w:bottom w:val="single" w:color="000000" w:sz="2" w:space="0"/>
            </w:tcBorders>
            <w:vAlign w:val="top"/>
          </w:tcPr>
          <w:p w14:paraId="67759BD7">
            <w:pPr>
              <w:rPr>
                <w:rFonts w:ascii="Arial"/>
                <w:sz w:val="21"/>
              </w:rPr>
            </w:pPr>
          </w:p>
        </w:tc>
        <w:tc>
          <w:tcPr>
            <w:tcW w:w="2324" w:type="dxa"/>
            <w:vMerge w:val="continue"/>
            <w:tcBorders>
              <w:top w:val="nil"/>
              <w:bottom w:val="single" w:color="000000" w:sz="2" w:space="0"/>
            </w:tcBorders>
            <w:vAlign w:val="top"/>
          </w:tcPr>
          <w:p w14:paraId="3A9F8943">
            <w:pPr>
              <w:rPr>
                <w:rFonts w:ascii="Arial"/>
                <w:sz w:val="21"/>
              </w:rPr>
            </w:pPr>
          </w:p>
        </w:tc>
        <w:tc>
          <w:tcPr>
            <w:tcW w:w="220" w:type="dxa"/>
            <w:tcBorders>
              <w:top w:val="single" w:color="000000" w:sz="2" w:space="0"/>
              <w:bottom w:val="single" w:color="000000" w:sz="2" w:space="0"/>
            </w:tcBorders>
            <w:vAlign w:val="top"/>
          </w:tcPr>
          <w:p w14:paraId="249BB804">
            <w:pPr>
              <w:pStyle w:val="6"/>
              <w:spacing w:before="118" w:line="184" w:lineRule="auto"/>
              <w:ind w:left="20"/>
              <w:rPr>
                <w:sz w:val="18"/>
                <w:szCs w:val="18"/>
              </w:rPr>
            </w:pPr>
            <w:r>
              <w:rPr>
                <w:b/>
                <w:bCs/>
                <w:spacing w:val="-2"/>
                <w:sz w:val="18"/>
                <w:szCs w:val="18"/>
              </w:rPr>
              <w:t>A</w:t>
            </w:r>
          </w:p>
        </w:tc>
        <w:tc>
          <w:tcPr>
            <w:tcW w:w="229" w:type="dxa"/>
            <w:tcBorders>
              <w:top w:val="single" w:color="000000" w:sz="2" w:space="0"/>
              <w:bottom w:val="single" w:color="000000" w:sz="2" w:space="0"/>
            </w:tcBorders>
            <w:vAlign w:val="top"/>
          </w:tcPr>
          <w:p w14:paraId="6355EF55">
            <w:pPr>
              <w:pStyle w:val="6"/>
              <w:spacing w:before="120" w:line="182" w:lineRule="auto"/>
              <w:ind w:left="40"/>
              <w:rPr>
                <w:sz w:val="18"/>
                <w:szCs w:val="18"/>
              </w:rPr>
            </w:pPr>
            <w:r>
              <w:rPr>
                <w:b/>
                <w:bCs/>
                <w:spacing w:val="-2"/>
                <w:sz w:val="18"/>
                <w:szCs w:val="18"/>
              </w:rPr>
              <w:t>B</w:t>
            </w:r>
          </w:p>
        </w:tc>
        <w:tc>
          <w:tcPr>
            <w:tcW w:w="229" w:type="dxa"/>
            <w:tcBorders>
              <w:top w:val="single" w:color="000000" w:sz="2" w:space="0"/>
              <w:bottom w:val="single" w:color="000000" w:sz="2" w:space="0"/>
            </w:tcBorders>
            <w:vAlign w:val="top"/>
          </w:tcPr>
          <w:p w14:paraId="1D9E0791">
            <w:pPr>
              <w:pStyle w:val="6"/>
              <w:spacing w:before="118" w:line="183" w:lineRule="auto"/>
              <w:ind w:left="21"/>
              <w:rPr>
                <w:sz w:val="18"/>
                <w:szCs w:val="18"/>
              </w:rPr>
            </w:pPr>
            <w:r>
              <w:rPr>
                <w:b/>
                <w:bCs/>
                <w:spacing w:val="-2"/>
                <w:sz w:val="18"/>
                <w:szCs w:val="18"/>
              </w:rPr>
              <w:t>C</w:t>
            </w:r>
          </w:p>
        </w:tc>
        <w:tc>
          <w:tcPr>
            <w:tcW w:w="224" w:type="dxa"/>
            <w:tcBorders>
              <w:top w:val="single" w:color="000000" w:sz="2" w:space="0"/>
              <w:bottom w:val="single" w:color="000000" w:sz="2" w:space="0"/>
            </w:tcBorders>
            <w:vAlign w:val="top"/>
          </w:tcPr>
          <w:p w14:paraId="1516CBE8">
            <w:pPr>
              <w:pStyle w:val="6"/>
              <w:spacing w:before="120" w:line="182" w:lineRule="auto"/>
              <w:ind w:left="62"/>
              <w:rPr>
                <w:sz w:val="18"/>
                <w:szCs w:val="18"/>
              </w:rPr>
            </w:pPr>
            <w:r>
              <w:rPr>
                <w:b/>
                <w:bCs/>
                <w:spacing w:val="-2"/>
                <w:sz w:val="18"/>
                <w:szCs w:val="18"/>
              </w:rPr>
              <w:t>D</w:t>
            </w:r>
          </w:p>
        </w:tc>
      </w:tr>
      <w:tr w14:paraId="17450A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25" w:hRule="atLeast"/>
        </w:trPr>
        <w:tc>
          <w:tcPr>
            <w:tcW w:w="893" w:type="dxa"/>
            <w:tcBorders>
              <w:top w:val="single" w:color="000000" w:sz="2" w:space="0"/>
              <w:bottom w:val="single" w:color="000000" w:sz="2" w:space="0"/>
            </w:tcBorders>
            <w:vAlign w:val="top"/>
          </w:tcPr>
          <w:p w14:paraId="2FF7F864">
            <w:pPr>
              <w:spacing w:line="308" w:lineRule="auto"/>
              <w:rPr>
                <w:rFonts w:ascii="Arial"/>
                <w:sz w:val="21"/>
              </w:rPr>
            </w:pPr>
          </w:p>
          <w:p w14:paraId="3D8BD1B5">
            <w:pPr>
              <w:spacing w:line="309" w:lineRule="auto"/>
              <w:rPr>
                <w:rFonts w:ascii="Arial"/>
                <w:sz w:val="21"/>
              </w:rPr>
            </w:pPr>
          </w:p>
          <w:p w14:paraId="11D3FFA4">
            <w:pPr>
              <w:spacing w:line="309" w:lineRule="auto"/>
              <w:rPr>
                <w:rFonts w:ascii="Arial"/>
                <w:sz w:val="21"/>
              </w:rPr>
            </w:pPr>
          </w:p>
          <w:p w14:paraId="1AA7B3A5">
            <w:pPr>
              <w:pStyle w:val="6"/>
              <w:spacing w:before="58" w:line="213" w:lineRule="auto"/>
              <w:ind w:left="257" w:right="93" w:hanging="180"/>
              <w:rPr>
                <w:sz w:val="18"/>
                <w:szCs w:val="18"/>
              </w:rPr>
            </w:pPr>
            <w:r>
              <w:rPr>
                <w:b/>
                <w:bCs/>
                <w:spacing w:val="-4"/>
                <w:sz w:val="18"/>
                <w:szCs w:val="18"/>
              </w:rPr>
              <w:t>少数民族</w:t>
            </w:r>
            <w:r>
              <w:rPr>
                <w:sz w:val="18"/>
                <w:szCs w:val="18"/>
              </w:rPr>
              <w:t xml:space="preserve"> </w:t>
            </w:r>
            <w:r>
              <w:rPr>
                <w:b/>
                <w:bCs/>
                <w:spacing w:val="-4"/>
                <w:sz w:val="18"/>
                <w:szCs w:val="18"/>
              </w:rPr>
              <w:t>食俗</w:t>
            </w:r>
          </w:p>
        </w:tc>
        <w:tc>
          <w:tcPr>
            <w:tcW w:w="2324" w:type="dxa"/>
            <w:tcBorders>
              <w:top w:val="single" w:color="000000" w:sz="2" w:space="0"/>
              <w:bottom w:val="single" w:color="000000" w:sz="2" w:space="0"/>
            </w:tcBorders>
            <w:vAlign w:val="top"/>
          </w:tcPr>
          <w:p w14:paraId="214E00D4">
            <w:pPr>
              <w:pStyle w:val="6"/>
              <w:spacing w:before="111" w:line="212" w:lineRule="auto"/>
              <w:ind w:left="14" w:right="1216"/>
              <w:rPr>
                <w:sz w:val="18"/>
                <w:szCs w:val="18"/>
              </w:rPr>
            </w:pPr>
            <w:r>
              <w:rPr>
                <w:b/>
                <w:bCs/>
                <w:spacing w:val="-2"/>
                <w:sz w:val="18"/>
                <w:szCs w:val="18"/>
              </w:rPr>
              <w:t>1.朝鲜族食俗</w:t>
            </w:r>
            <w:r>
              <w:rPr>
                <w:spacing w:val="2"/>
                <w:sz w:val="18"/>
                <w:szCs w:val="18"/>
              </w:rPr>
              <w:t xml:space="preserve"> </w:t>
            </w:r>
            <w:r>
              <w:rPr>
                <w:b/>
                <w:bCs/>
                <w:spacing w:val="-4"/>
                <w:sz w:val="18"/>
                <w:szCs w:val="18"/>
              </w:rPr>
              <w:t>2.满族食俗</w:t>
            </w:r>
          </w:p>
          <w:p w14:paraId="049D5D0A">
            <w:pPr>
              <w:pStyle w:val="6"/>
              <w:spacing w:before="6" w:line="223" w:lineRule="auto"/>
              <w:ind w:left="14" w:right="1230"/>
              <w:rPr>
                <w:sz w:val="18"/>
                <w:szCs w:val="18"/>
              </w:rPr>
            </w:pPr>
            <w:r>
              <w:rPr>
                <w:b/>
                <w:bCs/>
                <w:spacing w:val="-4"/>
                <w:sz w:val="18"/>
                <w:szCs w:val="18"/>
              </w:rPr>
              <w:t>3.蒙古族食俗</w:t>
            </w:r>
            <w:r>
              <w:rPr>
                <w:spacing w:val="3"/>
                <w:sz w:val="18"/>
                <w:szCs w:val="18"/>
              </w:rPr>
              <w:t xml:space="preserve"> </w:t>
            </w:r>
            <w:r>
              <w:rPr>
                <w:b/>
                <w:bCs/>
                <w:spacing w:val="-2"/>
                <w:sz w:val="18"/>
                <w:szCs w:val="18"/>
              </w:rPr>
              <w:t>4.回族食俗</w:t>
            </w:r>
          </w:p>
          <w:p w14:paraId="60FD597E">
            <w:pPr>
              <w:pStyle w:val="6"/>
              <w:spacing w:before="26" w:line="212" w:lineRule="auto"/>
              <w:ind w:left="14" w:right="1050"/>
              <w:rPr>
                <w:sz w:val="18"/>
                <w:szCs w:val="18"/>
              </w:rPr>
            </w:pPr>
            <w:r>
              <w:rPr>
                <w:b/>
                <w:bCs/>
                <w:spacing w:val="-4"/>
                <w:sz w:val="18"/>
                <w:szCs w:val="18"/>
              </w:rPr>
              <w:t>5.维吾尔族食俗</w:t>
            </w:r>
            <w:r>
              <w:rPr>
                <w:spacing w:val="5"/>
                <w:sz w:val="18"/>
                <w:szCs w:val="18"/>
              </w:rPr>
              <w:t xml:space="preserve"> </w:t>
            </w:r>
            <w:r>
              <w:rPr>
                <w:b/>
                <w:bCs/>
                <w:spacing w:val="-3"/>
                <w:sz w:val="18"/>
                <w:szCs w:val="18"/>
              </w:rPr>
              <w:t>6.彝族食俗</w:t>
            </w:r>
          </w:p>
          <w:p w14:paraId="5307782D">
            <w:pPr>
              <w:pStyle w:val="6"/>
              <w:spacing w:before="24" w:line="206" w:lineRule="auto"/>
              <w:ind w:left="14"/>
              <w:rPr>
                <w:sz w:val="18"/>
                <w:szCs w:val="18"/>
              </w:rPr>
            </w:pPr>
            <w:r>
              <w:rPr>
                <w:b/>
                <w:bCs/>
                <w:spacing w:val="-4"/>
                <w:sz w:val="18"/>
                <w:szCs w:val="18"/>
              </w:rPr>
              <w:t>7.藏族食俗</w:t>
            </w:r>
          </w:p>
          <w:p w14:paraId="42C80F8D">
            <w:pPr>
              <w:pStyle w:val="6"/>
              <w:spacing w:line="219" w:lineRule="auto"/>
              <w:ind w:left="14"/>
              <w:rPr>
                <w:sz w:val="18"/>
                <w:szCs w:val="18"/>
              </w:rPr>
            </w:pPr>
            <w:r>
              <w:rPr>
                <w:b/>
                <w:bCs/>
                <w:spacing w:val="-3"/>
                <w:sz w:val="18"/>
                <w:szCs w:val="18"/>
              </w:rPr>
              <w:t>8.苗族食俗</w:t>
            </w:r>
          </w:p>
          <w:p w14:paraId="74F9FFFF">
            <w:pPr>
              <w:pStyle w:val="6"/>
              <w:spacing w:before="25" w:line="212" w:lineRule="auto"/>
              <w:ind w:left="14" w:right="1227"/>
              <w:rPr>
                <w:sz w:val="18"/>
                <w:szCs w:val="18"/>
              </w:rPr>
            </w:pPr>
            <w:r>
              <w:rPr>
                <w:b/>
                <w:bCs/>
                <w:spacing w:val="-3"/>
                <w:sz w:val="18"/>
                <w:szCs w:val="18"/>
              </w:rPr>
              <w:t>9.土家族食俗</w:t>
            </w:r>
            <w:r>
              <w:rPr>
                <w:sz w:val="18"/>
                <w:szCs w:val="18"/>
              </w:rPr>
              <w:t xml:space="preserve"> </w:t>
            </w:r>
            <w:r>
              <w:rPr>
                <w:b/>
                <w:bCs/>
                <w:spacing w:val="-2"/>
                <w:sz w:val="18"/>
                <w:szCs w:val="18"/>
              </w:rPr>
              <w:t>10.壮族食俗</w:t>
            </w:r>
          </w:p>
        </w:tc>
        <w:tc>
          <w:tcPr>
            <w:tcW w:w="220" w:type="dxa"/>
            <w:tcBorders>
              <w:top w:val="single" w:color="000000" w:sz="2" w:space="0"/>
              <w:bottom w:val="single" w:color="000000" w:sz="2" w:space="0"/>
            </w:tcBorders>
            <w:vAlign w:val="top"/>
          </w:tcPr>
          <w:p w14:paraId="350DB707">
            <w:pPr>
              <w:rPr>
                <w:rFonts w:ascii="Arial"/>
                <w:sz w:val="21"/>
              </w:rPr>
            </w:pPr>
          </w:p>
        </w:tc>
        <w:tc>
          <w:tcPr>
            <w:tcW w:w="229" w:type="dxa"/>
            <w:tcBorders>
              <w:top w:val="single" w:color="000000" w:sz="2" w:space="0"/>
              <w:bottom w:val="single" w:color="000000" w:sz="2" w:space="0"/>
            </w:tcBorders>
            <w:vAlign w:val="top"/>
          </w:tcPr>
          <w:p w14:paraId="0E0FD460">
            <w:pPr>
              <w:rPr>
                <w:rFonts w:ascii="Arial"/>
                <w:sz w:val="21"/>
              </w:rPr>
            </w:pPr>
          </w:p>
        </w:tc>
        <w:tc>
          <w:tcPr>
            <w:tcW w:w="229" w:type="dxa"/>
            <w:tcBorders>
              <w:top w:val="single" w:color="000000" w:sz="2" w:space="0"/>
              <w:bottom w:val="single" w:color="000000" w:sz="2" w:space="0"/>
            </w:tcBorders>
            <w:vAlign w:val="top"/>
          </w:tcPr>
          <w:p w14:paraId="78630B4F">
            <w:pPr>
              <w:rPr>
                <w:rFonts w:ascii="Arial"/>
                <w:sz w:val="21"/>
              </w:rPr>
            </w:pPr>
          </w:p>
        </w:tc>
        <w:tc>
          <w:tcPr>
            <w:tcW w:w="224" w:type="dxa"/>
            <w:tcBorders>
              <w:top w:val="single" w:color="000000" w:sz="2" w:space="0"/>
              <w:bottom w:val="single" w:color="000000" w:sz="2" w:space="0"/>
            </w:tcBorders>
            <w:vAlign w:val="top"/>
          </w:tcPr>
          <w:p w14:paraId="5ED9433E">
            <w:pPr>
              <w:spacing w:line="249" w:lineRule="auto"/>
              <w:rPr>
                <w:rFonts w:ascii="Arial"/>
                <w:sz w:val="21"/>
              </w:rPr>
            </w:pPr>
          </w:p>
          <w:p w14:paraId="67F9BE52">
            <w:pPr>
              <w:spacing w:line="249" w:lineRule="auto"/>
              <w:rPr>
                <w:rFonts w:ascii="Arial"/>
                <w:sz w:val="21"/>
              </w:rPr>
            </w:pPr>
          </w:p>
          <w:p w14:paraId="35EC3307">
            <w:pPr>
              <w:spacing w:line="250" w:lineRule="auto"/>
              <w:rPr>
                <w:rFonts w:ascii="Arial"/>
                <w:sz w:val="21"/>
              </w:rPr>
            </w:pPr>
          </w:p>
          <w:p w14:paraId="4B39831B">
            <w:pPr>
              <w:pStyle w:val="6"/>
              <w:spacing w:before="59" w:line="238" w:lineRule="auto"/>
              <w:ind w:left="20"/>
              <w:rPr>
                <w:sz w:val="18"/>
                <w:szCs w:val="18"/>
              </w:rPr>
            </w:pPr>
            <w:r>
              <w:rPr>
                <w:sz w:val="18"/>
                <w:szCs w:val="18"/>
              </w:rPr>
              <w:t>√</w:t>
            </w:r>
          </w:p>
        </w:tc>
      </w:tr>
    </w:tbl>
    <w:p w14:paraId="4E455FD0">
      <w:pPr>
        <w:spacing w:before="72" w:line="219" w:lineRule="auto"/>
        <w:ind w:left="354"/>
        <w:rPr>
          <w:rFonts w:ascii="宋体" w:hAnsi="宋体" w:eastAsia="宋体" w:cs="宋体"/>
          <w:sz w:val="18"/>
          <w:szCs w:val="18"/>
        </w:rPr>
      </w:pPr>
      <w:r>
        <w:rPr>
          <w:rFonts w:ascii="宋体" w:hAnsi="宋体" w:eastAsia="宋体" w:cs="宋体"/>
          <w:spacing w:val="-3"/>
          <w:sz w:val="18"/>
          <w:szCs w:val="18"/>
        </w:rPr>
        <w:t>第七讲</w:t>
      </w:r>
      <w:r>
        <w:rPr>
          <w:rFonts w:ascii="宋体" w:hAnsi="宋体" w:eastAsia="宋体" w:cs="宋体"/>
          <w:spacing w:val="23"/>
          <w:w w:val="101"/>
          <w:sz w:val="18"/>
          <w:szCs w:val="18"/>
        </w:rPr>
        <w:t xml:space="preserve"> </w:t>
      </w:r>
      <w:r>
        <w:rPr>
          <w:rFonts w:ascii="宋体" w:hAnsi="宋体" w:eastAsia="宋体" w:cs="宋体"/>
          <w:spacing w:val="-3"/>
          <w:sz w:val="18"/>
          <w:szCs w:val="18"/>
        </w:rPr>
        <w:t>中国饮食文化</w:t>
      </w:r>
    </w:p>
    <w:p w14:paraId="257D71CF">
      <w:pPr>
        <w:spacing w:line="145" w:lineRule="auto"/>
        <w:rPr>
          <w:rFonts w:ascii="Arial"/>
          <w:sz w:val="2"/>
        </w:rPr>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24"/>
        <w:gridCol w:w="220"/>
        <w:gridCol w:w="229"/>
        <w:gridCol w:w="229"/>
        <w:gridCol w:w="224"/>
      </w:tblGrid>
      <w:tr w14:paraId="38FFB7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3" w:hRule="atLeast"/>
        </w:trPr>
        <w:tc>
          <w:tcPr>
            <w:tcW w:w="893" w:type="dxa"/>
            <w:vMerge w:val="restart"/>
            <w:tcBorders>
              <w:bottom w:val="nil"/>
            </w:tcBorders>
            <w:vAlign w:val="top"/>
          </w:tcPr>
          <w:p w14:paraId="1A3166A7">
            <w:pPr>
              <w:pStyle w:val="6"/>
              <w:spacing w:before="141" w:line="231" w:lineRule="auto"/>
              <w:ind w:left="267" w:right="25" w:hanging="250"/>
            </w:pPr>
            <w:r>
              <w:rPr>
                <w:b/>
                <w:bCs/>
                <w:spacing w:val="-4"/>
              </w:rPr>
              <w:t>知识与技能</w:t>
            </w:r>
            <w:r>
              <w:t xml:space="preserve"> </w:t>
            </w:r>
            <w:r>
              <w:rPr>
                <w:b/>
                <w:bCs/>
                <w:spacing w:val="-4"/>
              </w:rPr>
              <w:t>要点</w:t>
            </w:r>
          </w:p>
        </w:tc>
        <w:tc>
          <w:tcPr>
            <w:tcW w:w="2324" w:type="dxa"/>
            <w:vMerge w:val="restart"/>
            <w:tcBorders>
              <w:bottom w:val="nil"/>
            </w:tcBorders>
            <w:vAlign w:val="top"/>
          </w:tcPr>
          <w:p w14:paraId="6DB0F32E">
            <w:pPr>
              <w:pStyle w:val="6"/>
              <w:spacing w:before="249" w:line="219" w:lineRule="auto"/>
              <w:ind w:left="834"/>
            </w:pPr>
            <w:r>
              <w:rPr>
                <w:b/>
                <w:bCs/>
                <w:spacing w:val="5"/>
              </w:rPr>
              <w:t>考试条目</w:t>
            </w:r>
          </w:p>
        </w:tc>
        <w:tc>
          <w:tcPr>
            <w:tcW w:w="902" w:type="dxa"/>
            <w:gridSpan w:val="4"/>
            <w:vAlign w:val="top"/>
          </w:tcPr>
          <w:p w14:paraId="4DA184D9">
            <w:pPr>
              <w:pStyle w:val="6"/>
              <w:spacing w:before="89" w:line="219" w:lineRule="auto"/>
              <w:ind w:left="120"/>
            </w:pPr>
            <w:r>
              <w:rPr>
                <w:b/>
                <w:bCs/>
                <w:spacing w:val="-4"/>
              </w:rPr>
              <w:t>考试水平</w:t>
            </w:r>
          </w:p>
        </w:tc>
      </w:tr>
      <w:tr w14:paraId="74B72B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8" w:hRule="atLeast"/>
        </w:trPr>
        <w:tc>
          <w:tcPr>
            <w:tcW w:w="893" w:type="dxa"/>
            <w:vMerge w:val="continue"/>
            <w:tcBorders>
              <w:top w:val="nil"/>
            </w:tcBorders>
            <w:vAlign w:val="top"/>
          </w:tcPr>
          <w:p w14:paraId="28D5F08C">
            <w:pPr>
              <w:rPr>
                <w:rFonts w:ascii="Arial"/>
                <w:sz w:val="21"/>
              </w:rPr>
            </w:pPr>
          </w:p>
        </w:tc>
        <w:tc>
          <w:tcPr>
            <w:tcW w:w="2324" w:type="dxa"/>
            <w:vMerge w:val="continue"/>
            <w:tcBorders>
              <w:top w:val="nil"/>
            </w:tcBorders>
            <w:vAlign w:val="top"/>
          </w:tcPr>
          <w:p w14:paraId="5B8BA0AF">
            <w:pPr>
              <w:rPr>
                <w:rFonts w:ascii="Arial"/>
                <w:sz w:val="21"/>
              </w:rPr>
            </w:pPr>
          </w:p>
        </w:tc>
        <w:tc>
          <w:tcPr>
            <w:tcW w:w="220" w:type="dxa"/>
            <w:vAlign w:val="top"/>
          </w:tcPr>
          <w:p w14:paraId="6DB8FEFB">
            <w:pPr>
              <w:pStyle w:val="6"/>
              <w:spacing w:before="121" w:line="184" w:lineRule="auto"/>
              <w:ind w:left="20"/>
            </w:pPr>
            <w:r>
              <w:rPr>
                <w:b/>
                <w:bCs/>
                <w:spacing w:val="-2"/>
              </w:rPr>
              <w:t>A</w:t>
            </w:r>
          </w:p>
        </w:tc>
        <w:tc>
          <w:tcPr>
            <w:tcW w:w="229" w:type="dxa"/>
            <w:vAlign w:val="top"/>
          </w:tcPr>
          <w:p w14:paraId="5DF41D35">
            <w:pPr>
              <w:pStyle w:val="6"/>
              <w:spacing w:before="123" w:line="182" w:lineRule="auto"/>
              <w:ind w:left="20"/>
            </w:pPr>
            <w:r>
              <w:rPr>
                <w:b/>
                <w:bCs/>
                <w:spacing w:val="-2"/>
              </w:rPr>
              <w:t>B</w:t>
            </w:r>
          </w:p>
        </w:tc>
        <w:tc>
          <w:tcPr>
            <w:tcW w:w="229" w:type="dxa"/>
            <w:vAlign w:val="top"/>
          </w:tcPr>
          <w:p w14:paraId="0E54A47A">
            <w:pPr>
              <w:pStyle w:val="6"/>
              <w:spacing w:before="121" w:line="183" w:lineRule="auto"/>
              <w:ind w:left="51"/>
            </w:pPr>
            <w:r>
              <w:rPr>
                <w:b/>
                <w:bCs/>
                <w:spacing w:val="-2"/>
              </w:rPr>
              <w:t>C</w:t>
            </w:r>
          </w:p>
        </w:tc>
        <w:tc>
          <w:tcPr>
            <w:tcW w:w="224" w:type="dxa"/>
            <w:vAlign w:val="top"/>
          </w:tcPr>
          <w:p w14:paraId="5F433768">
            <w:pPr>
              <w:pStyle w:val="6"/>
              <w:spacing w:before="123" w:line="182" w:lineRule="auto"/>
              <w:ind w:left="22"/>
            </w:pPr>
            <w:r>
              <w:rPr>
                <w:b/>
                <w:bCs/>
                <w:spacing w:val="-2"/>
              </w:rPr>
              <w:t>D</w:t>
            </w:r>
          </w:p>
        </w:tc>
      </w:tr>
      <w:tr w14:paraId="2C0CA8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17" w:hRule="atLeast"/>
        </w:trPr>
        <w:tc>
          <w:tcPr>
            <w:tcW w:w="893" w:type="dxa"/>
            <w:vAlign w:val="top"/>
          </w:tcPr>
          <w:p w14:paraId="1FDC5944">
            <w:pPr>
              <w:pStyle w:val="6"/>
              <w:spacing w:before="102" w:line="268" w:lineRule="auto"/>
              <w:ind w:left="264" w:right="114" w:hanging="170"/>
            </w:pPr>
            <w:r>
              <w:rPr>
                <w:spacing w:val="-2"/>
              </w:rPr>
              <w:t>饮食文化</w:t>
            </w:r>
            <w:r>
              <w:t xml:space="preserve"> </w:t>
            </w:r>
            <w:r>
              <w:rPr>
                <w:spacing w:val="-2"/>
              </w:rPr>
              <w:t>概述</w:t>
            </w:r>
          </w:p>
        </w:tc>
        <w:tc>
          <w:tcPr>
            <w:tcW w:w="2324" w:type="dxa"/>
            <w:vAlign w:val="top"/>
          </w:tcPr>
          <w:p w14:paraId="1A23F90C">
            <w:pPr>
              <w:pStyle w:val="6"/>
              <w:spacing w:before="121" w:line="220" w:lineRule="auto"/>
              <w:ind w:left="11"/>
            </w:pPr>
            <w:r>
              <w:rPr>
                <w:spacing w:val="1"/>
              </w:rPr>
              <w:t>1.世界饮食文化的体系</w:t>
            </w:r>
          </w:p>
          <w:p w14:paraId="1A2A9CD0">
            <w:pPr>
              <w:pStyle w:val="6"/>
              <w:spacing w:before="15" w:line="219" w:lineRule="auto"/>
              <w:ind w:left="11"/>
            </w:pPr>
            <w:r>
              <w:rPr>
                <w:spacing w:val="-1"/>
              </w:rPr>
              <w:t>2.中国饮食文化的研究对象</w:t>
            </w:r>
          </w:p>
        </w:tc>
        <w:tc>
          <w:tcPr>
            <w:tcW w:w="220" w:type="dxa"/>
            <w:vAlign w:val="top"/>
          </w:tcPr>
          <w:p w14:paraId="396B15A0">
            <w:pPr>
              <w:rPr>
                <w:rFonts w:ascii="Arial"/>
                <w:sz w:val="21"/>
              </w:rPr>
            </w:pPr>
          </w:p>
        </w:tc>
        <w:tc>
          <w:tcPr>
            <w:tcW w:w="229" w:type="dxa"/>
            <w:vAlign w:val="top"/>
          </w:tcPr>
          <w:p w14:paraId="5F35D8F8">
            <w:pPr>
              <w:rPr>
                <w:rFonts w:ascii="Arial"/>
                <w:sz w:val="21"/>
              </w:rPr>
            </w:pPr>
          </w:p>
        </w:tc>
        <w:tc>
          <w:tcPr>
            <w:tcW w:w="229" w:type="dxa"/>
            <w:vAlign w:val="top"/>
          </w:tcPr>
          <w:p w14:paraId="2202B0AC">
            <w:pPr>
              <w:rPr>
                <w:rFonts w:ascii="Arial"/>
                <w:sz w:val="21"/>
              </w:rPr>
            </w:pPr>
          </w:p>
        </w:tc>
        <w:tc>
          <w:tcPr>
            <w:tcW w:w="224" w:type="dxa"/>
            <w:vAlign w:val="top"/>
          </w:tcPr>
          <w:p w14:paraId="5D141163">
            <w:pPr>
              <w:rPr>
                <w:rFonts w:ascii="Arial"/>
                <w:sz w:val="21"/>
              </w:rPr>
            </w:pPr>
          </w:p>
        </w:tc>
      </w:tr>
      <w:tr w14:paraId="00A541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62" w:hRule="atLeast"/>
        </w:trPr>
        <w:tc>
          <w:tcPr>
            <w:tcW w:w="893" w:type="dxa"/>
            <w:vAlign w:val="top"/>
          </w:tcPr>
          <w:p w14:paraId="1672917D">
            <w:pPr>
              <w:pStyle w:val="6"/>
              <w:spacing w:before="144" w:line="229" w:lineRule="auto"/>
              <w:ind w:left="94" w:right="100"/>
            </w:pPr>
            <w:r>
              <w:rPr>
                <w:spacing w:val="1"/>
              </w:rPr>
              <w:t>中国烹饪</w:t>
            </w:r>
            <w:r>
              <w:rPr>
                <w:spacing w:val="2"/>
              </w:rPr>
              <w:t xml:space="preserve"> </w:t>
            </w:r>
            <w:r>
              <w:rPr>
                <w:spacing w:val="-2"/>
              </w:rPr>
              <w:t>文化遗产</w:t>
            </w:r>
          </w:p>
        </w:tc>
        <w:tc>
          <w:tcPr>
            <w:tcW w:w="2324" w:type="dxa"/>
            <w:vAlign w:val="top"/>
          </w:tcPr>
          <w:p w14:paraId="179829A8">
            <w:pPr>
              <w:pStyle w:val="6"/>
              <w:spacing w:before="153" w:line="224" w:lineRule="auto"/>
              <w:ind w:left="11" w:right="761"/>
            </w:pPr>
            <w:r>
              <w:rPr>
                <w:spacing w:val="1"/>
              </w:rPr>
              <w:t>1.主要烹饪文化遗产</w:t>
            </w:r>
            <w:r>
              <w:t xml:space="preserve"> </w:t>
            </w:r>
            <w:r>
              <w:rPr>
                <w:spacing w:val="-1"/>
              </w:rPr>
              <w:t>2.其他烹饪文化遗产</w:t>
            </w:r>
          </w:p>
        </w:tc>
        <w:tc>
          <w:tcPr>
            <w:tcW w:w="220" w:type="dxa"/>
            <w:vAlign w:val="top"/>
          </w:tcPr>
          <w:p w14:paraId="4DB77911">
            <w:pPr>
              <w:rPr>
                <w:rFonts w:ascii="Arial"/>
                <w:sz w:val="21"/>
              </w:rPr>
            </w:pPr>
          </w:p>
        </w:tc>
        <w:tc>
          <w:tcPr>
            <w:tcW w:w="229" w:type="dxa"/>
            <w:vAlign w:val="top"/>
          </w:tcPr>
          <w:p w14:paraId="269DFB3D">
            <w:pPr>
              <w:rPr>
                <w:rFonts w:ascii="Arial"/>
                <w:sz w:val="21"/>
              </w:rPr>
            </w:pPr>
          </w:p>
        </w:tc>
        <w:tc>
          <w:tcPr>
            <w:tcW w:w="229" w:type="dxa"/>
            <w:vAlign w:val="top"/>
          </w:tcPr>
          <w:p w14:paraId="76F8DA35">
            <w:pPr>
              <w:rPr>
                <w:rFonts w:ascii="Arial"/>
                <w:sz w:val="21"/>
              </w:rPr>
            </w:pPr>
          </w:p>
        </w:tc>
        <w:tc>
          <w:tcPr>
            <w:tcW w:w="224" w:type="dxa"/>
            <w:vAlign w:val="top"/>
          </w:tcPr>
          <w:p w14:paraId="7908BA88">
            <w:pPr>
              <w:rPr>
                <w:rFonts w:ascii="Arial"/>
                <w:sz w:val="21"/>
              </w:rPr>
            </w:pPr>
          </w:p>
        </w:tc>
      </w:tr>
    </w:tbl>
    <w:p w14:paraId="136C8730">
      <w:pPr>
        <w:spacing w:before="72" w:line="219" w:lineRule="auto"/>
        <w:ind w:left="354"/>
        <w:rPr>
          <w:rFonts w:ascii="宋体" w:hAnsi="宋体" w:eastAsia="宋体" w:cs="宋体"/>
          <w:sz w:val="17"/>
          <w:szCs w:val="17"/>
        </w:rPr>
      </w:pPr>
      <w:r>
        <w:rPr>
          <w:rFonts w:ascii="宋体" w:hAnsi="宋体" w:eastAsia="宋体" w:cs="宋体"/>
          <w:spacing w:val="-3"/>
          <w:sz w:val="17"/>
          <w:szCs w:val="17"/>
        </w:rPr>
        <w:t>第八讲</w:t>
      </w:r>
      <w:r>
        <w:rPr>
          <w:rFonts w:ascii="宋体" w:hAnsi="宋体" w:eastAsia="宋体" w:cs="宋体"/>
          <w:spacing w:val="28"/>
          <w:sz w:val="17"/>
          <w:szCs w:val="17"/>
        </w:rPr>
        <w:t xml:space="preserve"> </w:t>
      </w:r>
      <w:r>
        <w:rPr>
          <w:rFonts w:ascii="宋体" w:hAnsi="宋体" w:eastAsia="宋体" w:cs="宋体"/>
          <w:spacing w:val="-3"/>
          <w:sz w:val="17"/>
          <w:szCs w:val="17"/>
        </w:rPr>
        <w:t>中国当代餐饮市场</w:t>
      </w:r>
    </w:p>
    <w:p w14:paraId="40F8FB18">
      <w:pPr>
        <w:spacing w:line="26" w:lineRule="exact"/>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24"/>
        <w:gridCol w:w="220"/>
        <w:gridCol w:w="229"/>
        <w:gridCol w:w="229"/>
        <w:gridCol w:w="224"/>
      </w:tblGrid>
      <w:tr w14:paraId="3F3304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4" w:hRule="atLeast"/>
        </w:trPr>
        <w:tc>
          <w:tcPr>
            <w:tcW w:w="893" w:type="dxa"/>
            <w:vMerge w:val="restart"/>
            <w:tcBorders>
              <w:bottom w:val="nil"/>
            </w:tcBorders>
            <w:vAlign w:val="top"/>
          </w:tcPr>
          <w:p w14:paraId="60FEF3B0">
            <w:pPr>
              <w:pStyle w:val="6"/>
              <w:spacing w:before="141" w:line="214" w:lineRule="auto"/>
              <w:ind w:left="257" w:right="1" w:hanging="240"/>
              <w:rPr>
                <w:sz w:val="18"/>
                <w:szCs w:val="18"/>
              </w:rPr>
            </w:pPr>
            <w:r>
              <w:rPr>
                <w:b/>
                <w:bCs/>
                <w:spacing w:val="-10"/>
                <w:sz w:val="18"/>
                <w:szCs w:val="18"/>
              </w:rPr>
              <w:t>知识与技能</w:t>
            </w:r>
            <w:r>
              <w:rPr>
                <w:spacing w:val="3"/>
                <w:sz w:val="18"/>
                <w:szCs w:val="18"/>
              </w:rPr>
              <w:t xml:space="preserve"> </w:t>
            </w:r>
            <w:r>
              <w:rPr>
                <w:b/>
                <w:bCs/>
                <w:spacing w:val="-4"/>
                <w:sz w:val="18"/>
                <w:szCs w:val="18"/>
              </w:rPr>
              <w:t>要点</w:t>
            </w:r>
          </w:p>
        </w:tc>
        <w:tc>
          <w:tcPr>
            <w:tcW w:w="2324" w:type="dxa"/>
            <w:vMerge w:val="restart"/>
            <w:tcBorders>
              <w:bottom w:val="nil"/>
            </w:tcBorders>
            <w:vAlign w:val="top"/>
          </w:tcPr>
          <w:p w14:paraId="38762F28">
            <w:pPr>
              <w:pStyle w:val="6"/>
              <w:spacing w:before="239" w:line="219" w:lineRule="auto"/>
              <w:ind w:left="834"/>
              <w:rPr>
                <w:sz w:val="18"/>
                <w:szCs w:val="18"/>
              </w:rPr>
            </w:pPr>
            <w:r>
              <w:rPr>
                <w:b/>
                <w:bCs/>
                <w:spacing w:val="5"/>
                <w:sz w:val="18"/>
                <w:szCs w:val="18"/>
              </w:rPr>
              <w:t>考试条目</w:t>
            </w:r>
          </w:p>
        </w:tc>
        <w:tc>
          <w:tcPr>
            <w:tcW w:w="902" w:type="dxa"/>
            <w:gridSpan w:val="4"/>
            <w:vAlign w:val="top"/>
          </w:tcPr>
          <w:p w14:paraId="40AF6807">
            <w:pPr>
              <w:pStyle w:val="6"/>
              <w:spacing w:before="79" w:line="219" w:lineRule="auto"/>
              <w:ind w:left="120"/>
              <w:rPr>
                <w:sz w:val="18"/>
                <w:szCs w:val="18"/>
              </w:rPr>
            </w:pPr>
            <w:r>
              <w:rPr>
                <w:b/>
                <w:bCs/>
                <w:spacing w:val="-4"/>
                <w:sz w:val="18"/>
                <w:szCs w:val="18"/>
              </w:rPr>
              <w:t>考试水平</w:t>
            </w:r>
          </w:p>
        </w:tc>
      </w:tr>
      <w:tr w14:paraId="402987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893" w:type="dxa"/>
            <w:vMerge w:val="continue"/>
            <w:tcBorders>
              <w:top w:val="nil"/>
            </w:tcBorders>
            <w:vAlign w:val="top"/>
          </w:tcPr>
          <w:p w14:paraId="58C9885E">
            <w:pPr>
              <w:rPr>
                <w:rFonts w:ascii="Arial"/>
                <w:sz w:val="21"/>
              </w:rPr>
            </w:pPr>
          </w:p>
        </w:tc>
        <w:tc>
          <w:tcPr>
            <w:tcW w:w="2324" w:type="dxa"/>
            <w:vMerge w:val="continue"/>
            <w:tcBorders>
              <w:top w:val="nil"/>
            </w:tcBorders>
            <w:vAlign w:val="top"/>
          </w:tcPr>
          <w:p w14:paraId="137FA850">
            <w:pPr>
              <w:rPr>
                <w:rFonts w:ascii="Arial"/>
                <w:sz w:val="21"/>
              </w:rPr>
            </w:pPr>
          </w:p>
        </w:tc>
        <w:tc>
          <w:tcPr>
            <w:tcW w:w="220" w:type="dxa"/>
            <w:vAlign w:val="top"/>
          </w:tcPr>
          <w:p w14:paraId="41F36F97">
            <w:pPr>
              <w:pStyle w:val="6"/>
              <w:spacing w:before="113" w:line="184" w:lineRule="auto"/>
              <w:ind w:left="20"/>
              <w:rPr>
                <w:sz w:val="18"/>
                <w:szCs w:val="18"/>
              </w:rPr>
            </w:pPr>
            <w:r>
              <w:rPr>
                <w:b/>
                <w:bCs/>
                <w:spacing w:val="-2"/>
                <w:sz w:val="18"/>
                <w:szCs w:val="18"/>
              </w:rPr>
              <w:t>A</w:t>
            </w:r>
          </w:p>
        </w:tc>
        <w:tc>
          <w:tcPr>
            <w:tcW w:w="229" w:type="dxa"/>
            <w:vAlign w:val="top"/>
          </w:tcPr>
          <w:p w14:paraId="4ED17075">
            <w:pPr>
              <w:pStyle w:val="6"/>
              <w:spacing w:before="115" w:line="182" w:lineRule="auto"/>
              <w:ind w:left="20"/>
              <w:rPr>
                <w:sz w:val="18"/>
                <w:szCs w:val="18"/>
              </w:rPr>
            </w:pPr>
            <w:r>
              <w:rPr>
                <w:b/>
                <w:bCs/>
                <w:spacing w:val="-2"/>
                <w:sz w:val="18"/>
                <w:szCs w:val="18"/>
              </w:rPr>
              <w:t>B</w:t>
            </w:r>
          </w:p>
        </w:tc>
        <w:tc>
          <w:tcPr>
            <w:tcW w:w="229" w:type="dxa"/>
            <w:vAlign w:val="top"/>
          </w:tcPr>
          <w:p w14:paraId="36AF3415">
            <w:pPr>
              <w:pStyle w:val="6"/>
              <w:spacing w:before="113" w:line="183" w:lineRule="auto"/>
              <w:ind w:left="71"/>
              <w:rPr>
                <w:sz w:val="18"/>
                <w:szCs w:val="18"/>
              </w:rPr>
            </w:pPr>
            <w:r>
              <w:rPr>
                <w:b/>
                <w:bCs/>
                <w:spacing w:val="-2"/>
                <w:sz w:val="18"/>
                <w:szCs w:val="18"/>
              </w:rPr>
              <w:t>C</w:t>
            </w:r>
          </w:p>
        </w:tc>
        <w:tc>
          <w:tcPr>
            <w:tcW w:w="224" w:type="dxa"/>
            <w:vAlign w:val="top"/>
          </w:tcPr>
          <w:p w14:paraId="1C3602AE">
            <w:pPr>
              <w:pStyle w:val="6"/>
              <w:spacing w:before="115" w:line="182" w:lineRule="auto"/>
              <w:ind w:left="22"/>
              <w:rPr>
                <w:sz w:val="18"/>
                <w:szCs w:val="18"/>
              </w:rPr>
            </w:pPr>
            <w:r>
              <w:rPr>
                <w:b/>
                <w:bCs/>
                <w:spacing w:val="-2"/>
                <w:sz w:val="18"/>
                <w:szCs w:val="18"/>
              </w:rPr>
              <w:t>D</w:t>
            </w:r>
          </w:p>
        </w:tc>
      </w:tr>
      <w:tr w14:paraId="5F3FA4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36" w:hRule="atLeast"/>
        </w:trPr>
        <w:tc>
          <w:tcPr>
            <w:tcW w:w="893" w:type="dxa"/>
            <w:vAlign w:val="top"/>
          </w:tcPr>
          <w:p w14:paraId="0D6AD97F">
            <w:pPr>
              <w:spacing w:line="408" w:lineRule="auto"/>
              <w:rPr>
                <w:rFonts w:ascii="Arial"/>
                <w:sz w:val="21"/>
              </w:rPr>
            </w:pPr>
          </w:p>
          <w:p w14:paraId="08114886">
            <w:pPr>
              <w:pStyle w:val="6"/>
              <w:spacing w:before="58" w:line="219" w:lineRule="auto"/>
              <w:ind w:left="74"/>
              <w:rPr>
                <w:sz w:val="18"/>
                <w:szCs w:val="18"/>
              </w:rPr>
            </w:pPr>
            <w:r>
              <w:rPr>
                <w:spacing w:val="2"/>
                <w:sz w:val="18"/>
                <w:szCs w:val="18"/>
              </w:rPr>
              <w:t>中国当代</w:t>
            </w:r>
          </w:p>
          <w:p w14:paraId="644E3782">
            <w:pPr>
              <w:pStyle w:val="6"/>
              <w:spacing w:before="6" w:line="219" w:lineRule="auto"/>
              <w:ind w:left="74"/>
              <w:rPr>
                <w:sz w:val="18"/>
                <w:szCs w:val="18"/>
              </w:rPr>
            </w:pPr>
            <w:r>
              <w:rPr>
                <w:spacing w:val="-2"/>
                <w:sz w:val="18"/>
                <w:szCs w:val="18"/>
              </w:rPr>
              <w:t>餐饮市场</w:t>
            </w:r>
          </w:p>
          <w:p w14:paraId="7212B107">
            <w:pPr>
              <w:pStyle w:val="6"/>
              <w:spacing w:before="16" w:line="219" w:lineRule="auto"/>
              <w:ind w:left="254"/>
              <w:rPr>
                <w:sz w:val="18"/>
                <w:szCs w:val="18"/>
              </w:rPr>
            </w:pPr>
            <w:r>
              <w:rPr>
                <w:spacing w:val="8"/>
                <w:sz w:val="18"/>
                <w:szCs w:val="18"/>
              </w:rPr>
              <w:t>格局</w:t>
            </w:r>
          </w:p>
        </w:tc>
        <w:tc>
          <w:tcPr>
            <w:tcW w:w="2324" w:type="dxa"/>
            <w:vAlign w:val="top"/>
          </w:tcPr>
          <w:p w14:paraId="3A750E13">
            <w:pPr>
              <w:pStyle w:val="6"/>
              <w:spacing w:before="259" w:line="219" w:lineRule="auto"/>
              <w:ind w:left="11"/>
              <w:rPr>
                <w:sz w:val="18"/>
                <w:szCs w:val="18"/>
              </w:rPr>
            </w:pPr>
            <w:r>
              <w:rPr>
                <w:sz w:val="18"/>
                <w:szCs w:val="18"/>
              </w:rPr>
              <w:t>1.餐饮市场及其属性</w:t>
            </w:r>
          </w:p>
          <w:p w14:paraId="17D12BEC">
            <w:pPr>
              <w:pStyle w:val="6"/>
              <w:spacing w:before="7" w:line="225" w:lineRule="auto"/>
              <w:ind w:left="11" w:right="151"/>
              <w:rPr>
                <w:sz w:val="18"/>
                <w:szCs w:val="18"/>
              </w:rPr>
            </w:pPr>
            <w:r>
              <w:rPr>
                <w:spacing w:val="-1"/>
                <w:sz w:val="18"/>
                <w:szCs w:val="18"/>
              </w:rPr>
              <w:t>2.网点构成、从业人员与经</w:t>
            </w:r>
            <w:r>
              <w:rPr>
                <w:spacing w:val="2"/>
                <w:sz w:val="18"/>
                <w:szCs w:val="18"/>
              </w:rPr>
              <w:t xml:space="preserve"> </w:t>
            </w:r>
            <w:r>
              <w:rPr>
                <w:spacing w:val="-3"/>
                <w:sz w:val="18"/>
                <w:szCs w:val="18"/>
              </w:rPr>
              <w:t>营业绩</w:t>
            </w:r>
          </w:p>
          <w:p w14:paraId="216D50AB">
            <w:pPr>
              <w:pStyle w:val="6"/>
              <w:spacing w:before="1" w:line="221" w:lineRule="auto"/>
              <w:ind w:left="11" w:right="487"/>
              <w:rPr>
                <w:sz w:val="18"/>
                <w:szCs w:val="18"/>
              </w:rPr>
            </w:pPr>
            <w:r>
              <w:rPr>
                <w:spacing w:val="-1"/>
                <w:sz w:val="18"/>
                <w:szCs w:val="18"/>
              </w:rPr>
              <w:t>3.竞争态势的四大变化</w:t>
            </w:r>
            <w:r>
              <w:rPr>
                <w:sz w:val="18"/>
                <w:szCs w:val="18"/>
              </w:rPr>
              <w:t xml:space="preserve"> </w:t>
            </w:r>
            <w:r>
              <w:rPr>
                <w:spacing w:val="1"/>
                <w:sz w:val="18"/>
                <w:szCs w:val="18"/>
              </w:rPr>
              <w:t>4.潜在危机与发展趋势</w:t>
            </w:r>
          </w:p>
        </w:tc>
        <w:tc>
          <w:tcPr>
            <w:tcW w:w="220" w:type="dxa"/>
            <w:vAlign w:val="top"/>
          </w:tcPr>
          <w:p w14:paraId="1E61B20B">
            <w:pPr>
              <w:rPr>
                <w:rFonts w:ascii="Arial"/>
                <w:sz w:val="21"/>
              </w:rPr>
            </w:pPr>
          </w:p>
        </w:tc>
        <w:tc>
          <w:tcPr>
            <w:tcW w:w="229" w:type="dxa"/>
            <w:vAlign w:val="top"/>
          </w:tcPr>
          <w:p w14:paraId="018018B5">
            <w:pPr>
              <w:rPr>
                <w:rFonts w:ascii="Arial"/>
                <w:sz w:val="21"/>
              </w:rPr>
            </w:pPr>
          </w:p>
        </w:tc>
        <w:tc>
          <w:tcPr>
            <w:tcW w:w="229" w:type="dxa"/>
            <w:vAlign w:val="top"/>
          </w:tcPr>
          <w:p w14:paraId="599FB1B2">
            <w:pPr>
              <w:rPr>
                <w:rFonts w:ascii="Arial"/>
                <w:sz w:val="21"/>
              </w:rPr>
            </w:pPr>
          </w:p>
        </w:tc>
        <w:tc>
          <w:tcPr>
            <w:tcW w:w="224" w:type="dxa"/>
            <w:vAlign w:val="top"/>
          </w:tcPr>
          <w:p w14:paraId="5B4BC86A">
            <w:pPr>
              <w:rPr>
                <w:rFonts w:ascii="Arial"/>
                <w:sz w:val="21"/>
              </w:rPr>
            </w:pPr>
          </w:p>
        </w:tc>
      </w:tr>
      <w:tr w14:paraId="46A251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8" w:hRule="atLeast"/>
        </w:trPr>
        <w:tc>
          <w:tcPr>
            <w:tcW w:w="893" w:type="dxa"/>
            <w:vAlign w:val="top"/>
          </w:tcPr>
          <w:p w14:paraId="0482E84D">
            <w:pPr>
              <w:pStyle w:val="6"/>
              <w:spacing w:before="104" w:line="222" w:lineRule="auto"/>
              <w:ind w:left="74" w:right="78"/>
              <w:rPr>
                <w:sz w:val="18"/>
                <w:szCs w:val="18"/>
              </w:rPr>
            </w:pPr>
            <w:r>
              <w:rPr>
                <w:spacing w:val="2"/>
                <w:sz w:val="18"/>
                <w:szCs w:val="18"/>
              </w:rPr>
              <w:t>市场需要</w:t>
            </w:r>
            <w:r>
              <w:rPr>
                <w:sz w:val="18"/>
                <w:szCs w:val="18"/>
              </w:rPr>
              <w:t xml:space="preserve"> </w:t>
            </w:r>
            <w:r>
              <w:rPr>
                <w:spacing w:val="-2"/>
                <w:sz w:val="18"/>
                <w:szCs w:val="18"/>
              </w:rPr>
              <w:t>新型厨师</w:t>
            </w:r>
          </w:p>
        </w:tc>
        <w:tc>
          <w:tcPr>
            <w:tcW w:w="2324" w:type="dxa"/>
            <w:vAlign w:val="top"/>
          </w:tcPr>
          <w:p w14:paraId="225A5C84">
            <w:pPr>
              <w:pStyle w:val="6"/>
              <w:spacing w:before="123" w:line="219" w:lineRule="auto"/>
              <w:ind w:left="11"/>
              <w:rPr>
                <w:sz w:val="18"/>
                <w:szCs w:val="18"/>
              </w:rPr>
            </w:pPr>
            <w:r>
              <w:rPr>
                <w:sz w:val="18"/>
                <w:szCs w:val="18"/>
              </w:rPr>
              <w:t>1.厨师队伍现状</w:t>
            </w:r>
          </w:p>
          <w:p w14:paraId="6C280FF2">
            <w:pPr>
              <w:pStyle w:val="6"/>
              <w:spacing w:before="6" w:line="219" w:lineRule="auto"/>
              <w:ind w:left="11"/>
              <w:rPr>
                <w:sz w:val="18"/>
                <w:szCs w:val="18"/>
              </w:rPr>
            </w:pPr>
            <w:r>
              <w:rPr>
                <w:spacing w:val="-1"/>
                <w:sz w:val="18"/>
                <w:szCs w:val="18"/>
              </w:rPr>
              <w:t>2.大力培养“四三型”厨师</w:t>
            </w:r>
          </w:p>
        </w:tc>
        <w:tc>
          <w:tcPr>
            <w:tcW w:w="220" w:type="dxa"/>
            <w:vAlign w:val="top"/>
          </w:tcPr>
          <w:p w14:paraId="7419DE00">
            <w:pPr>
              <w:rPr>
                <w:rFonts w:ascii="Arial"/>
                <w:sz w:val="21"/>
              </w:rPr>
            </w:pPr>
          </w:p>
        </w:tc>
        <w:tc>
          <w:tcPr>
            <w:tcW w:w="229" w:type="dxa"/>
            <w:vAlign w:val="top"/>
          </w:tcPr>
          <w:p w14:paraId="6296B586">
            <w:pPr>
              <w:rPr>
                <w:rFonts w:ascii="Arial"/>
                <w:sz w:val="21"/>
              </w:rPr>
            </w:pPr>
          </w:p>
        </w:tc>
        <w:tc>
          <w:tcPr>
            <w:tcW w:w="229" w:type="dxa"/>
            <w:vAlign w:val="top"/>
          </w:tcPr>
          <w:p w14:paraId="40110AB4">
            <w:pPr>
              <w:rPr>
                <w:rFonts w:ascii="Arial"/>
                <w:sz w:val="21"/>
              </w:rPr>
            </w:pPr>
          </w:p>
        </w:tc>
        <w:tc>
          <w:tcPr>
            <w:tcW w:w="224" w:type="dxa"/>
            <w:vAlign w:val="top"/>
          </w:tcPr>
          <w:p w14:paraId="1B0DA508">
            <w:pPr>
              <w:rPr>
                <w:rFonts w:ascii="Arial"/>
                <w:sz w:val="21"/>
              </w:rPr>
            </w:pPr>
          </w:p>
        </w:tc>
      </w:tr>
      <w:tr w14:paraId="795FC4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98" w:hRule="atLeast"/>
        </w:trPr>
        <w:tc>
          <w:tcPr>
            <w:tcW w:w="893" w:type="dxa"/>
            <w:vAlign w:val="top"/>
          </w:tcPr>
          <w:p w14:paraId="56117638">
            <w:pPr>
              <w:pStyle w:val="6"/>
              <w:spacing w:before="65" w:line="205" w:lineRule="auto"/>
              <w:ind w:left="74"/>
              <w:rPr>
                <w:sz w:val="18"/>
                <w:szCs w:val="18"/>
              </w:rPr>
            </w:pPr>
            <w:r>
              <w:rPr>
                <w:spacing w:val="1"/>
                <w:sz w:val="18"/>
                <w:szCs w:val="18"/>
              </w:rPr>
              <w:t>时代呼唤</w:t>
            </w:r>
          </w:p>
          <w:p w14:paraId="63F345AB">
            <w:pPr>
              <w:pStyle w:val="6"/>
              <w:spacing w:line="219" w:lineRule="auto"/>
              <w:ind w:left="124"/>
              <w:rPr>
                <w:sz w:val="18"/>
                <w:szCs w:val="18"/>
              </w:rPr>
            </w:pPr>
            <w:r>
              <w:rPr>
                <w:spacing w:val="-3"/>
                <w:sz w:val="18"/>
                <w:szCs w:val="18"/>
              </w:rPr>
              <w:t>"绿色餐</w:t>
            </w:r>
          </w:p>
          <w:p w14:paraId="61459A14">
            <w:pPr>
              <w:pStyle w:val="6"/>
              <w:spacing w:before="26" w:line="187" w:lineRule="auto"/>
              <w:ind w:left="254"/>
              <w:rPr>
                <w:sz w:val="18"/>
                <w:szCs w:val="18"/>
              </w:rPr>
            </w:pPr>
            <w:r>
              <w:rPr>
                <w:spacing w:val="29"/>
                <w:sz w:val="18"/>
                <w:szCs w:val="18"/>
              </w:rPr>
              <w:t>饮</w:t>
            </w:r>
            <w:r>
              <w:rPr>
                <w:spacing w:val="28"/>
                <w:sz w:val="18"/>
                <w:szCs w:val="18"/>
              </w:rPr>
              <w:t xml:space="preserve"> </w:t>
            </w:r>
            <w:r>
              <w:rPr>
                <w:spacing w:val="29"/>
                <w:sz w:val="18"/>
                <w:szCs w:val="18"/>
              </w:rPr>
              <w:t>”</w:t>
            </w:r>
          </w:p>
        </w:tc>
        <w:tc>
          <w:tcPr>
            <w:tcW w:w="2324" w:type="dxa"/>
            <w:vAlign w:val="top"/>
          </w:tcPr>
          <w:p w14:paraId="0F41174C">
            <w:pPr>
              <w:pStyle w:val="6"/>
              <w:spacing w:before="175" w:line="217" w:lineRule="auto"/>
              <w:ind w:left="11" w:right="494"/>
              <w:rPr>
                <w:sz w:val="18"/>
                <w:szCs w:val="18"/>
              </w:rPr>
            </w:pPr>
            <w:r>
              <w:rPr>
                <w:sz w:val="18"/>
                <w:szCs w:val="18"/>
              </w:rPr>
              <w:t>1.绿色餐饮和绿色承诺</w:t>
            </w:r>
            <w:r>
              <w:rPr>
                <w:spacing w:val="6"/>
                <w:sz w:val="18"/>
                <w:szCs w:val="18"/>
              </w:rPr>
              <w:t xml:space="preserve"> </w:t>
            </w:r>
            <w:r>
              <w:rPr>
                <w:spacing w:val="-1"/>
                <w:sz w:val="18"/>
                <w:szCs w:val="18"/>
              </w:rPr>
              <w:t>2.绿色餐饮的实施</w:t>
            </w:r>
          </w:p>
        </w:tc>
        <w:tc>
          <w:tcPr>
            <w:tcW w:w="220" w:type="dxa"/>
            <w:vAlign w:val="top"/>
          </w:tcPr>
          <w:p w14:paraId="46FC4B0E">
            <w:pPr>
              <w:rPr>
                <w:rFonts w:ascii="Arial"/>
                <w:sz w:val="21"/>
              </w:rPr>
            </w:pPr>
          </w:p>
        </w:tc>
        <w:tc>
          <w:tcPr>
            <w:tcW w:w="229" w:type="dxa"/>
            <w:vAlign w:val="top"/>
          </w:tcPr>
          <w:p w14:paraId="281708F9">
            <w:pPr>
              <w:rPr>
                <w:rFonts w:ascii="Arial"/>
                <w:sz w:val="21"/>
              </w:rPr>
            </w:pPr>
          </w:p>
        </w:tc>
        <w:tc>
          <w:tcPr>
            <w:tcW w:w="229" w:type="dxa"/>
            <w:vAlign w:val="top"/>
          </w:tcPr>
          <w:p w14:paraId="4F8CEFEE">
            <w:pPr>
              <w:rPr>
                <w:rFonts w:ascii="Arial"/>
                <w:sz w:val="21"/>
              </w:rPr>
            </w:pPr>
          </w:p>
        </w:tc>
        <w:tc>
          <w:tcPr>
            <w:tcW w:w="224" w:type="dxa"/>
            <w:vAlign w:val="top"/>
          </w:tcPr>
          <w:p w14:paraId="7929D50E">
            <w:pPr>
              <w:rPr>
                <w:rFonts w:ascii="Arial"/>
                <w:sz w:val="21"/>
              </w:rPr>
            </w:pPr>
          </w:p>
        </w:tc>
      </w:tr>
      <w:tr w14:paraId="2E1C7F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4" w:hRule="atLeast"/>
        </w:trPr>
        <w:tc>
          <w:tcPr>
            <w:tcW w:w="893" w:type="dxa"/>
            <w:vAlign w:val="top"/>
          </w:tcPr>
          <w:p w14:paraId="027FBB52">
            <w:pPr>
              <w:pStyle w:val="6"/>
              <w:spacing w:before="87" w:line="229" w:lineRule="auto"/>
              <w:ind w:left="74" w:right="80"/>
              <w:rPr>
                <w:sz w:val="18"/>
                <w:szCs w:val="18"/>
              </w:rPr>
            </w:pPr>
            <w:r>
              <w:rPr>
                <w:spacing w:val="1"/>
                <w:sz w:val="18"/>
                <w:szCs w:val="18"/>
              </w:rPr>
              <w:t>中国餐饮</w:t>
            </w:r>
            <w:r>
              <w:rPr>
                <w:spacing w:val="2"/>
                <w:sz w:val="18"/>
                <w:szCs w:val="18"/>
              </w:rPr>
              <w:t xml:space="preserve"> </w:t>
            </w:r>
            <w:r>
              <w:rPr>
                <w:spacing w:val="-2"/>
                <w:sz w:val="18"/>
                <w:szCs w:val="18"/>
              </w:rPr>
              <w:t>走向世界</w:t>
            </w:r>
          </w:p>
        </w:tc>
        <w:tc>
          <w:tcPr>
            <w:tcW w:w="2324" w:type="dxa"/>
            <w:vAlign w:val="top"/>
          </w:tcPr>
          <w:p w14:paraId="14960AA3">
            <w:pPr>
              <w:pStyle w:val="6"/>
              <w:spacing w:before="96" w:line="228" w:lineRule="auto"/>
              <w:ind w:left="11" w:right="313"/>
              <w:rPr>
                <w:sz w:val="18"/>
                <w:szCs w:val="18"/>
              </w:rPr>
            </w:pPr>
            <w:r>
              <w:rPr>
                <w:sz w:val="18"/>
                <w:szCs w:val="18"/>
              </w:rPr>
              <w:t>1.中国餐饮综合实力评估</w:t>
            </w:r>
            <w:r>
              <w:rPr>
                <w:spacing w:val="7"/>
                <w:sz w:val="18"/>
                <w:szCs w:val="18"/>
              </w:rPr>
              <w:t xml:space="preserve"> </w:t>
            </w:r>
            <w:r>
              <w:rPr>
                <w:spacing w:val="-1"/>
                <w:sz w:val="18"/>
                <w:szCs w:val="18"/>
              </w:rPr>
              <w:t>2.中国餐饮如何走向世界</w:t>
            </w:r>
          </w:p>
        </w:tc>
        <w:tc>
          <w:tcPr>
            <w:tcW w:w="220" w:type="dxa"/>
            <w:vAlign w:val="top"/>
          </w:tcPr>
          <w:p w14:paraId="555D426E">
            <w:pPr>
              <w:rPr>
                <w:rFonts w:ascii="Arial"/>
                <w:sz w:val="21"/>
              </w:rPr>
            </w:pPr>
          </w:p>
        </w:tc>
        <w:tc>
          <w:tcPr>
            <w:tcW w:w="229" w:type="dxa"/>
            <w:vAlign w:val="top"/>
          </w:tcPr>
          <w:p w14:paraId="4486BCFD">
            <w:pPr>
              <w:rPr>
                <w:rFonts w:ascii="Arial"/>
                <w:sz w:val="21"/>
              </w:rPr>
            </w:pPr>
          </w:p>
        </w:tc>
        <w:tc>
          <w:tcPr>
            <w:tcW w:w="229" w:type="dxa"/>
            <w:vAlign w:val="top"/>
          </w:tcPr>
          <w:p w14:paraId="3825E069">
            <w:pPr>
              <w:pStyle w:val="6"/>
              <w:spacing w:before="115" w:line="238" w:lineRule="auto"/>
              <w:ind w:left="18"/>
              <w:rPr>
                <w:sz w:val="18"/>
                <w:szCs w:val="18"/>
              </w:rPr>
            </w:pPr>
            <w:r>
              <w:rPr>
                <w:sz w:val="18"/>
                <w:szCs w:val="18"/>
              </w:rPr>
              <w:t>√</w:t>
            </w:r>
          </w:p>
        </w:tc>
        <w:tc>
          <w:tcPr>
            <w:tcW w:w="224" w:type="dxa"/>
            <w:vAlign w:val="top"/>
          </w:tcPr>
          <w:p w14:paraId="6FCD7090">
            <w:pPr>
              <w:rPr>
                <w:rFonts w:ascii="Arial"/>
                <w:sz w:val="21"/>
              </w:rPr>
            </w:pPr>
          </w:p>
        </w:tc>
      </w:tr>
    </w:tbl>
    <w:p w14:paraId="0330AFB8">
      <w:pPr>
        <w:pStyle w:val="2"/>
        <w:spacing w:line="361" w:lineRule="auto"/>
      </w:pPr>
    </w:p>
    <w:p w14:paraId="487CE7CA">
      <w:pPr>
        <w:spacing w:before="65" w:line="221" w:lineRule="auto"/>
        <w:ind w:left="957"/>
        <w:rPr>
          <w:rFonts w:ascii="黑体" w:hAnsi="黑体" w:eastAsia="黑体" w:cs="黑体"/>
          <w:sz w:val="20"/>
          <w:szCs w:val="20"/>
        </w:rPr>
      </w:pPr>
      <w:r>
        <w:rPr>
          <w:rFonts w:ascii="黑体" w:hAnsi="黑体" w:eastAsia="黑体" w:cs="黑体"/>
          <w:b/>
          <w:bCs/>
          <w:spacing w:val="-4"/>
          <w:sz w:val="20"/>
          <w:szCs w:val="20"/>
        </w:rPr>
        <w:t>第二部分</w:t>
      </w:r>
      <w:r>
        <w:rPr>
          <w:rFonts w:ascii="黑体" w:hAnsi="黑体" w:eastAsia="黑体" w:cs="黑体"/>
          <w:spacing w:val="98"/>
          <w:sz w:val="20"/>
          <w:szCs w:val="20"/>
        </w:rPr>
        <w:t xml:space="preserve"> </w:t>
      </w:r>
      <w:r>
        <w:rPr>
          <w:rFonts w:ascii="黑体" w:hAnsi="黑体" w:eastAsia="黑体" w:cs="黑体"/>
          <w:b/>
          <w:bCs/>
          <w:spacing w:val="-4"/>
          <w:sz w:val="20"/>
          <w:szCs w:val="20"/>
        </w:rPr>
        <w:t>烹饪原料知识</w:t>
      </w:r>
    </w:p>
    <w:p w14:paraId="7533B9AA">
      <w:pPr>
        <w:pStyle w:val="2"/>
        <w:spacing w:line="274" w:lineRule="auto"/>
      </w:pPr>
    </w:p>
    <w:p w14:paraId="2C39CA84">
      <w:pPr>
        <w:spacing w:before="65" w:line="221" w:lineRule="auto"/>
        <w:ind w:left="1057"/>
        <w:rPr>
          <w:rFonts w:ascii="黑体" w:hAnsi="黑体" w:eastAsia="黑体" w:cs="黑体"/>
          <w:sz w:val="20"/>
          <w:szCs w:val="20"/>
        </w:rPr>
      </w:pPr>
      <w:r>
        <w:rPr>
          <w:rFonts w:ascii="黑体" w:hAnsi="黑体" w:eastAsia="黑体" w:cs="黑体"/>
          <w:b/>
          <w:bCs/>
          <w:spacing w:val="-7"/>
          <w:sz w:val="20"/>
          <w:szCs w:val="20"/>
        </w:rPr>
        <w:t>第一章</w:t>
      </w:r>
      <w:r>
        <w:rPr>
          <w:rFonts w:ascii="黑体" w:hAnsi="黑体" w:eastAsia="黑体" w:cs="黑体"/>
          <w:spacing w:val="16"/>
          <w:sz w:val="20"/>
          <w:szCs w:val="20"/>
        </w:rPr>
        <w:t xml:space="preserve">  </w:t>
      </w:r>
      <w:r>
        <w:rPr>
          <w:rFonts w:ascii="黑体" w:hAnsi="黑体" w:eastAsia="黑体" w:cs="黑体"/>
          <w:b/>
          <w:bCs/>
          <w:spacing w:val="-7"/>
          <w:sz w:val="20"/>
          <w:szCs w:val="20"/>
        </w:rPr>
        <w:t>烹饪原料概述</w:t>
      </w:r>
    </w:p>
    <w:p w14:paraId="7093D4CF">
      <w:pPr>
        <w:spacing w:line="82" w:lineRule="exact"/>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24"/>
        <w:gridCol w:w="220"/>
        <w:gridCol w:w="229"/>
        <w:gridCol w:w="229"/>
        <w:gridCol w:w="224"/>
      </w:tblGrid>
      <w:tr w14:paraId="64D129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8" w:hRule="atLeast"/>
        </w:trPr>
        <w:tc>
          <w:tcPr>
            <w:tcW w:w="893" w:type="dxa"/>
            <w:vMerge w:val="restart"/>
            <w:tcBorders>
              <w:top w:val="single" w:color="000000" w:sz="2" w:space="0"/>
              <w:bottom w:val="nil"/>
            </w:tcBorders>
            <w:vAlign w:val="top"/>
          </w:tcPr>
          <w:p w14:paraId="2029AC4C">
            <w:pPr>
              <w:pStyle w:val="6"/>
              <w:spacing w:before="65" w:line="231" w:lineRule="auto"/>
              <w:ind w:left="267" w:right="25" w:hanging="250"/>
            </w:pPr>
            <w:r>
              <w:rPr>
                <w:b/>
                <w:bCs/>
                <w:spacing w:val="-4"/>
              </w:rPr>
              <w:t>知识与技能</w:t>
            </w:r>
            <w:r>
              <w:t xml:space="preserve"> </w:t>
            </w:r>
            <w:r>
              <w:rPr>
                <w:b/>
                <w:bCs/>
                <w:spacing w:val="-4"/>
              </w:rPr>
              <w:t>要点</w:t>
            </w:r>
          </w:p>
        </w:tc>
        <w:tc>
          <w:tcPr>
            <w:tcW w:w="2324" w:type="dxa"/>
            <w:vMerge w:val="restart"/>
            <w:tcBorders>
              <w:top w:val="single" w:color="000000" w:sz="2" w:space="0"/>
              <w:bottom w:val="nil"/>
            </w:tcBorders>
            <w:vAlign w:val="top"/>
          </w:tcPr>
          <w:p w14:paraId="7FC5B257">
            <w:pPr>
              <w:pStyle w:val="6"/>
              <w:spacing w:before="174" w:line="219" w:lineRule="auto"/>
              <w:ind w:left="814"/>
            </w:pPr>
            <w:r>
              <w:rPr>
                <w:b/>
                <w:bCs/>
                <w:spacing w:val="5"/>
              </w:rPr>
              <w:t>考试条目</w:t>
            </w:r>
          </w:p>
        </w:tc>
        <w:tc>
          <w:tcPr>
            <w:tcW w:w="902" w:type="dxa"/>
            <w:gridSpan w:val="4"/>
            <w:tcBorders>
              <w:top w:val="single" w:color="000000" w:sz="2" w:space="0"/>
              <w:bottom w:val="single" w:color="000000" w:sz="2" w:space="0"/>
            </w:tcBorders>
            <w:vAlign w:val="top"/>
          </w:tcPr>
          <w:p w14:paraId="657B7AE7">
            <w:pPr>
              <w:pStyle w:val="6"/>
              <w:spacing w:before="54" w:line="219" w:lineRule="auto"/>
              <w:ind w:left="120"/>
            </w:pPr>
            <w:r>
              <w:rPr>
                <w:b/>
                <w:bCs/>
                <w:spacing w:val="-4"/>
              </w:rPr>
              <w:t>考试水平</w:t>
            </w:r>
          </w:p>
        </w:tc>
      </w:tr>
      <w:tr w14:paraId="1AAF70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4" w:hRule="atLeast"/>
        </w:trPr>
        <w:tc>
          <w:tcPr>
            <w:tcW w:w="893" w:type="dxa"/>
            <w:vMerge w:val="continue"/>
            <w:tcBorders>
              <w:top w:val="nil"/>
              <w:bottom w:val="single" w:color="000000" w:sz="2" w:space="0"/>
            </w:tcBorders>
            <w:vAlign w:val="top"/>
          </w:tcPr>
          <w:p w14:paraId="239A1332">
            <w:pPr>
              <w:rPr>
                <w:rFonts w:ascii="Arial"/>
                <w:sz w:val="21"/>
              </w:rPr>
            </w:pPr>
          </w:p>
        </w:tc>
        <w:tc>
          <w:tcPr>
            <w:tcW w:w="2324" w:type="dxa"/>
            <w:vMerge w:val="continue"/>
            <w:tcBorders>
              <w:top w:val="nil"/>
              <w:bottom w:val="single" w:color="000000" w:sz="2" w:space="0"/>
            </w:tcBorders>
            <w:vAlign w:val="top"/>
          </w:tcPr>
          <w:p w14:paraId="50282A9F">
            <w:pPr>
              <w:rPr>
                <w:rFonts w:ascii="Arial"/>
                <w:sz w:val="21"/>
              </w:rPr>
            </w:pPr>
          </w:p>
        </w:tc>
        <w:tc>
          <w:tcPr>
            <w:tcW w:w="220" w:type="dxa"/>
            <w:tcBorders>
              <w:top w:val="single" w:color="000000" w:sz="2" w:space="0"/>
              <w:bottom w:val="single" w:color="000000" w:sz="2" w:space="0"/>
            </w:tcBorders>
            <w:vAlign w:val="top"/>
          </w:tcPr>
          <w:p w14:paraId="3812CEFB">
            <w:pPr>
              <w:pStyle w:val="6"/>
              <w:spacing w:before="85" w:line="161" w:lineRule="auto"/>
              <w:ind w:left="20"/>
            </w:pPr>
            <w:r>
              <w:rPr>
                <w:b/>
                <w:bCs/>
                <w:spacing w:val="-2"/>
              </w:rPr>
              <w:t>A</w:t>
            </w:r>
          </w:p>
        </w:tc>
        <w:tc>
          <w:tcPr>
            <w:tcW w:w="229" w:type="dxa"/>
            <w:tcBorders>
              <w:top w:val="single" w:color="000000" w:sz="2" w:space="0"/>
              <w:bottom w:val="single" w:color="000000" w:sz="2" w:space="0"/>
            </w:tcBorders>
            <w:vAlign w:val="top"/>
          </w:tcPr>
          <w:p w14:paraId="2FB98237">
            <w:pPr>
              <w:pStyle w:val="6"/>
              <w:spacing w:before="88" w:line="158" w:lineRule="auto"/>
              <w:ind w:left="20"/>
            </w:pPr>
            <w:r>
              <w:rPr>
                <w:b/>
                <w:bCs/>
                <w:spacing w:val="-2"/>
              </w:rPr>
              <w:t>B</w:t>
            </w:r>
          </w:p>
        </w:tc>
        <w:tc>
          <w:tcPr>
            <w:tcW w:w="229" w:type="dxa"/>
            <w:tcBorders>
              <w:top w:val="single" w:color="000000" w:sz="2" w:space="0"/>
              <w:bottom w:val="single" w:color="000000" w:sz="2" w:space="0"/>
            </w:tcBorders>
            <w:vAlign w:val="top"/>
          </w:tcPr>
          <w:p w14:paraId="35659088">
            <w:pPr>
              <w:pStyle w:val="6"/>
              <w:spacing w:before="86" w:line="160" w:lineRule="auto"/>
              <w:ind w:left="21"/>
            </w:pPr>
            <w:r>
              <w:rPr>
                <w:b/>
                <w:bCs/>
                <w:spacing w:val="-2"/>
              </w:rPr>
              <w:t>C</w:t>
            </w:r>
          </w:p>
        </w:tc>
        <w:tc>
          <w:tcPr>
            <w:tcW w:w="224" w:type="dxa"/>
            <w:tcBorders>
              <w:top w:val="single" w:color="000000" w:sz="2" w:space="0"/>
              <w:bottom w:val="single" w:color="000000" w:sz="2" w:space="0"/>
            </w:tcBorders>
            <w:vAlign w:val="top"/>
          </w:tcPr>
          <w:p w14:paraId="42125F87">
            <w:pPr>
              <w:pStyle w:val="6"/>
              <w:spacing w:before="88" w:line="158" w:lineRule="auto"/>
              <w:ind w:left="22"/>
            </w:pPr>
            <w:r>
              <w:rPr>
                <w:b/>
                <w:bCs/>
                <w:spacing w:val="-2"/>
              </w:rPr>
              <w:t>D</w:t>
            </w:r>
          </w:p>
        </w:tc>
      </w:tr>
      <w:tr w14:paraId="303ACE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66" w:hRule="atLeast"/>
        </w:trPr>
        <w:tc>
          <w:tcPr>
            <w:tcW w:w="893" w:type="dxa"/>
            <w:tcBorders>
              <w:top w:val="single" w:color="000000" w:sz="2" w:space="0"/>
              <w:bottom w:val="single" w:color="000000" w:sz="2" w:space="0"/>
            </w:tcBorders>
            <w:vAlign w:val="top"/>
          </w:tcPr>
          <w:p w14:paraId="59E81BB8">
            <w:pPr>
              <w:pStyle w:val="6"/>
              <w:spacing w:before="182" w:line="220" w:lineRule="auto"/>
              <w:ind w:left="97"/>
            </w:pPr>
            <w:r>
              <w:rPr>
                <w:b/>
                <w:bCs/>
                <w:spacing w:val="-5"/>
              </w:rPr>
              <w:t>烹饪原料</w:t>
            </w:r>
          </w:p>
          <w:p w14:paraId="0C340620">
            <w:pPr>
              <w:pStyle w:val="6"/>
              <w:spacing w:before="36" w:line="218" w:lineRule="auto"/>
              <w:ind w:left="97"/>
            </w:pPr>
            <w:r>
              <w:rPr>
                <w:b/>
                <w:bCs/>
                <w:spacing w:val="-1"/>
              </w:rPr>
              <w:t>的概念及</w:t>
            </w:r>
          </w:p>
          <w:p w14:paraId="58EB8ECB">
            <w:pPr>
              <w:pStyle w:val="6"/>
              <w:spacing w:line="219" w:lineRule="auto"/>
              <w:ind w:left="267"/>
            </w:pPr>
            <w:r>
              <w:rPr>
                <w:b/>
                <w:bCs/>
                <w:spacing w:val="-5"/>
              </w:rPr>
              <w:t>发展</w:t>
            </w:r>
          </w:p>
        </w:tc>
        <w:tc>
          <w:tcPr>
            <w:tcW w:w="2324" w:type="dxa"/>
            <w:tcBorders>
              <w:top w:val="single" w:color="000000" w:sz="2" w:space="0"/>
              <w:bottom w:val="single" w:color="000000" w:sz="2" w:space="0"/>
            </w:tcBorders>
            <w:vAlign w:val="top"/>
          </w:tcPr>
          <w:p w14:paraId="04CC3637">
            <w:pPr>
              <w:pStyle w:val="6"/>
              <w:spacing w:before="79" w:line="232" w:lineRule="auto"/>
              <w:ind w:left="54" w:right="45"/>
            </w:pPr>
            <w:r>
              <w:rPr>
                <w:b/>
                <w:bCs/>
                <w:spacing w:val="-2"/>
              </w:rPr>
              <w:t>1.烹饪原料的概念及研究内容</w:t>
            </w:r>
            <w:r>
              <w:rPr>
                <w:spacing w:val="5"/>
              </w:rPr>
              <w:t xml:space="preserve"> </w:t>
            </w:r>
            <w:r>
              <w:rPr>
                <w:b/>
                <w:bCs/>
                <w:spacing w:val="3"/>
              </w:rPr>
              <w:t>2.中国烹饪原料的发展概况</w:t>
            </w:r>
            <w:r>
              <w:rPr>
                <w:spacing w:val="4"/>
              </w:rPr>
              <w:t xml:space="preserve">  </w:t>
            </w:r>
            <w:r>
              <w:rPr>
                <w:b/>
                <w:bCs/>
                <w:spacing w:val="-3"/>
              </w:rPr>
              <w:t>3.学习烹饪原料知识的重要性</w:t>
            </w:r>
            <w:r>
              <w:rPr>
                <w:spacing w:val="5"/>
              </w:rPr>
              <w:t xml:space="preserve"> </w:t>
            </w:r>
            <w:r>
              <w:rPr>
                <w:b/>
                <w:bCs/>
                <w:spacing w:val="-3"/>
              </w:rPr>
              <w:t>4.烹饪原料资源的利用和保护</w:t>
            </w:r>
          </w:p>
        </w:tc>
        <w:tc>
          <w:tcPr>
            <w:tcW w:w="220" w:type="dxa"/>
            <w:tcBorders>
              <w:top w:val="single" w:color="000000" w:sz="2" w:space="0"/>
              <w:bottom w:val="single" w:color="000000" w:sz="2" w:space="0"/>
            </w:tcBorders>
            <w:vAlign w:val="top"/>
          </w:tcPr>
          <w:p w14:paraId="7E04F640">
            <w:pPr>
              <w:rPr>
                <w:rFonts w:ascii="Arial"/>
                <w:sz w:val="21"/>
              </w:rPr>
            </w:pPr>
          </w:p>
        </w:tc>
        <w:tc>
          <w:tcPr>
            <w:tcW w:w="229" w:type="dxa"/>
            <w:tcBorders>
              <w:top w:val="single" w:color="000000" w:sz="2" w:space="0"/>
              <w:bottom w:val="single" w:color="000000" w:sz="2" w:space="0"/>
            </w:tcBorders>
            <w:vAlign w:val="top"/>
          </w:tcPr>
          <w:p w14:paraId="2855F470">
            <w:pPr>
              <w:rPr>
                <w:rFonts w:ascii="Arial"/>
                <w:sz w:val="21"/>
              </w:rPr>
            </w:pPr>
          </w:p>
        </w:tc>
        <w:tc>
          <w:tcPr>
            <w:tcW w:w="229" w:type="dxa"/>
            <w:tcBorders>
              <w:top w:val="single" w:color="000000" w:sz="2" w:space="0"/>
              <w:bottom w:val="single" w:color="000000" w:sz="2" w:space="0"/>
            </w:tcBorders>
            <w:vAlign w:val="top"/>
          </w:tcPr>
          <w:p w14:paraId="23BF95B0">
            <w:pPr>
              <w:rPr>
                <w:rFonts w:ascii="Arial"/>
                <w:sz w:val="21"/>
              </w:rPr>
            </w:pPr>
          </w:p>
        </w:tc>
        <w:tc>
          <w:tcPr>
            <w:tcW w:w="224" w:type="dxa"/>
            <w:tcBorders>
              <w:top w:val="single" w:color="000000" w:sz="2" w:space="0"/>
              <w:bottom w:val="single" w:color="000000" w:sz="2" w:space="0"/>
            </w:tcBorders>
            <w:vAlign w:val="top"/>
          </w:tcPr>
          <w:p w14:paraId="2FE88228">
            <w:pPr>
              <w:rPr>
                <w:rFonts w:ascii="Arial"/>
                <w:sz w:val="21"/>
              </w:rPr>
            </w:pPr>
          </w:p>
        </w:tc>
      </w:tr>
    </w:tbl>
    <w:p w14:paraId="436887EA">
      <w:pPr>
        <w:pStyle w:val="2"/>
        <w:spacing w:line="14" w:lineRule="auto"/>
        <w:rPr>
          <w:sz w:val="2"/>
        </w:rPr>
      </w:pPr>
    </w:p>
    <w:p w14:paraId="206CFC0B">
      <w:pPr>
        <w:spacing w:line="14" w:lineRule="auto"/>
        <w:rPr>
          <w:sz w:val="2"/>
          <w:szCs w:val="2"/>
        </w:rPr>
        <w:sectPr>
          <w:type w:val="continuous"/>
          <w:pgSz w:w="10660" w:h="15080"/>
          <w:pgMar w:top="400" w:right="1034" w:bottom="927" w:left="819" w:header="0" w:footer="718" w:gutter="0"/>
          <w:cols w:equalWidth="0" w:num="2">
            <w:col w:w="4576" w:space="100"/>
            <w:col w:w="4130"/>
          </w:cols>
        </w:sectPr>
      </w:pPr>
    </w:p>
    <w:p w14:paraId="09345D67">
      <w:pPr>
        <w:spacing w:before="9"/>
      </w:pPr>
      <w:r>
        <w:pict>
          <v:shape id="_x0000_s1027" o:spid="_x0000_s1027" o:spt="202" type="#_x0000_t202" style="position:absolute;left:0pt;margin-left:50.7pt;margin-top:69.2pt;height:120.05pt;width:208.5pt;mso-position-horizontal-relative:page;mso-position-vertical-relative:page;z-index:251678720;mso-width-relative:page;mso-height-relative:page;" filled="f" stroked="f" coordsize="21600,21600" o:allowincell="f">
            <v:path/>
            <v:fill on="f" focussize="0,0"/>
            <v:stroke on="f"/>
            <v:imagedata o:title=""/>
            <o:lock v:ext="edit" aspectratio="f"/>
            <v:textbox inset="0mm,0mm,0mm,0mm">
              <w:txbxContent>
                <w:p w14:paraId="0E1E5D25">
                  <w:pPr>
                    <w:spacing w:line="20" w:lineRule="exact"/>
                  </w:pPr>
                </w:p>
                <w:tbl>
                  <w:tblPr>
                    <w:tblStyle w:val="5"/>
                    <w:tblW w:w="4119" w:type="dxa"/>
                    <w:tblInd w:w="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14"/>
                    <w:gridCol w:w="229"/>
                    <w:gridCol w:w="229"/>
                    <w:gridCol w:w="220"/>
                    <w:gridCol w:w="234"/>
                  </w:tblGrid>
                  <w:tr w14:paraId="603820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4" w:hRule="atLeast"/>
                    </w:trPr>
                    <w:tc>
                      <w:tcPr>
                        <w:tcW w:w="893" w:type="dxa"/>
                        <w:vMerge w:val="restart"/>
                        <w:tcBorders>
                          <w:bottom w:val="nil"/>
                        </w:tcBorders>
                        <w:vAlign w:val="top"/>
                      </w:tcPr>
                      <w:p w14:paraId="5C62AD95">
                        <w:pPr>
                          <w:pStyle w:val="6"/>
                          <w:spacing w:before="71" w:line="220" w:lineRule="auto"/>
                          <w:ind w:left="266" w:right="25" w:hanging="249"/>
                        </w:pPr>
                        <w:r>
                          <w:rPr>
                            <w:b/>
                            <w:bCs/>
                            <w:spacing w:val="-4"/>
                          </w:rPr>
                          <w:t>知识与技能</w:t>
                        </w:r>
                        <w:r>
                          <w:t xml:space="preserve"> </w:t>
                        </w:r>
                        <w:r>
                          <w:rPr>
                            <w:b/>
                            <w:bCs/>
                            <w:spacing w:val="-4"/>
                          </w:rPr>
                          <w:t>要点</w:t>
                        </w:r>
                      </w:p>
                    </w:tc>
                    <w:tc>
                      <w:tcPr>
                        <w:tcW w:w="2314" w:type="dxa"/>
                        <w:vMerge w:val="restart"/>
                        <w:tcBorders>
                          <w:bottom w:val="nil"/>
                        </w:tcBorders>
                        <w:vAlign w:val="top"/>
                      </w:tcPr>
                      <w:p w14:paraId="35E6CC13">
                        <w:pPr>
                          <w:pStyle w:val="6"/>
                          <w:spacing w:before="179" w:line="219" w:lineRule="auto"/>
                          <w:ind w:left="844"/>
                        </w:pPr>
                        <w:r>
                          <w:rPr>
                            <w:b/>
                            <w:bCs/>
                            <w:spacing w:val="5"/>
                          </w:rPr>
                          <w:t>考试条目</w:t>
                        </w:r>
                      </w:p>
                    </w:tc>
                    <w:tc>
                      <w:tcPr>
                        <w:tcW w:w="912" w:type="dxa"/>
                        <w:gridSpan w:val="4"/>
                        <w:vAlign w:val="top"/>
                      </w:tcPr>
                      <w:p w14:paraId="366C6C08">
                        <w:pPr>
                          <w:pStyle w:val="6"/>
                          <w:spacing w:before="49" w:line="219" w:lineRule="auto"/>
                          <w:ind w:left="120"/>
                        </w:pPr>
                        <w:r>
                          <w:rPr>
                            <w:b/>
                            <w:bCs/>
                            <w:spacing w:val="-4"/>
                          </w:rPr>
                          <w:t>考试水平</w:t>
                        </w:r>
                      </w:p>
                    </w:tc>
                  </w:tr>
                  <w:tr w14:paraId="240F9F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9" w:hRule="atLeast"/>
                    </w:trPr>
                    <w:tc>
                      <w:tcPr>
                        <w:tcW w:w="893" w:type="dxa"/>
                        <w:vMerge w:val="continue"/>
                        <w:tcBorders>
                          <w:top w:val="nil"/>
                        </w:tcBorders>
                        <w:vAlign w:val="top"/>
                      </w:tcPr>
                      <w:p w14:paraId="3EF6DE82">
                        <w:pPr>
                          <w:rPr>
                            <w:rFonts w:ascii="Arial"/>
                            <w:sz w:val="21"/>
                          </w:rPr>
                        </w:pPr>
                      </w:p>
                    </w:tc>
                    <w:tc>
                      <w:tcPr>
                        <w:tcW w:w="2314" w:type="dxa"/>
                        <w:vMerge w:val="continue"/>
                        <w:tcBorders>
                          <w:top w:val="nil"/>
                        </w:tcBorders>
                        <w:vAlign w:val="top"/>
                      </w:tcPr>
                      <w:p w14:paraId="083CEE6D">
                        <w:pPr>
                          <w:rPr>
                            <w:rFonts w:ascii="Arial"/>
                            <w:sz w:val="21"/>
                          </w:rPr>
                        </w:pPr>
                      </w:p>
                    </w:tc>
                    <w:tc>
                      <w:tcPr>
                        <w:tcW w:w="229" w:type="dxa"/>
                        <w:vAlign w:val="top"/>
                      </w:tcPr>
                      <w:p w14:paraId="7F77F4A0">
                        <w:pPr>
                          <w:pStyle w:val="6"/>
                          <w:spacing w:before="80" w:line="161" w:lineRule="auto"/>
                          <w:ind w:left="70"/>
                        </w:pPr>
                        <w:r>
                          <w:rPr>
                            <w:b/>
                            <w:bCs/>
                            <w:spacing w:val="-2"/>
                          </w:rPr>
                          <w:t>A</w:t>
                        </w:r>
                      </w:p>
                    </w:tc>
                    <w:tc>
                      <w:tcPr>
                        <w:tcW w:w="229" w:type="dxa"/>
                        <w:vAlign w:val="top"/>
                      </w:tcPr>
                      <w:p w14:paraId="579FF488">
                        <w:pPr>
                          <w:pStyle w:val="6"/>
                          <w:spacing w:before="82" w:line="159" w:lineRule="auto"/>
                          <w:ind w:left="71"/>
                        </w:pPr>
                        <w:r>
                          <w:rPr>
                            <w:b/>
                            <w:bCs/>
                            <w:spacing w:val="-2"/>
                          </w:rPr>
                          <w:t>B</w:t>
                        </w:r>
                      </w:p>
                    </w:tc>
                    <w:tc>
                      <w:tcPr>
                        <w:tcW w:w="220" w:type="dxa"/>
                        <w:vAlign w:val="top"/>
                      </w:tcPr>
                      <w:p w14:paraId="3CDDBA1B">
                        <w:pPr>
                          <w:pStyle w:val="6"/>
                          <w:spacing w:before="81" w:line="160" w:lineRule="auto"/>
                          <w:ind w:left="60"/>
                        </w:pPr>
                        <w:r>
                          <w:t>C</w:t>
                        </w:r>
                      </w:p>
                    </w:tc>
                    <w:tc>
                      <w:tcPr>
                        <w:tcW w:w="234" w:type="dxa"/>
                        <w:vAlign w:val="top"/>
                      </w:tcPr>
                      <w:p w14:paraId="460FC2C9">
                        <w:pPr>
                          <w:pStyle w:val="6"/>
                          <w:spacing w:before="82" w:line="159" w:lineRule="auto"/>
                          <w:ind w:right="6"/>
                          <w:jc w:val="right"/>
                        </w:pPr>
                        <w:r>
                          <w:rPr>
                            <w:b/>
                            <w:bCs/>
                            <w:spacing w:val="-2"/>
                          </w:rPr>
                          <w:t>D</w:t>
                        </w:r>
                      </w:p>
                    </w:tc>
                  </w:tr>
                  <w:tr w14:paraId="7F1626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06" w:hRule="atLeast"/>
                    </w:trPr>
                    <w:tc>
                      <w:tcPr>
                        <w:tcW w:w="893" w:type="dxa"/>
                        <w:vAlign w:val="top"/>
                      </w:tcPr>
                      <w:p w14:paraId="3EF00AD6">
                        <w:pPr>
                          <w:pStyle w:val="6"/>
                          <w:spacing w:before="99" w:line="232" w:lineRule="auto"/>
                          <w:ind w:left="94" w:right="94"/>
                          <w:jc w:val="both"/>
                        </w:pPr>
                        <w:r>
                          <w:rPr>
                            <w:spacing w:val="-4"/>
                          </w:rPr>
                          <w:t>烹饪原料</w:t>
                        </w:r>
                        <w:r>
                          <w:rPr>
                            <w:spacing w:val="2"/>
                          </w:rPr>
                          <w:t xml:space="preserve"> </w:t>
                        </w:r>
                        <w:r>
                          <w:rPr>
                            <w:spacing w:val="3"/>
                          </w:rPr>
                          <w:t>的分类与</w:t>
                        </w:r>
                        <w:r>
                          <w:t xml:space="preserve"> </w:t>
                        </w:r>
                        <w:r>
                          <w:rPr>
                            <w:spacing w:val="-3"/>
                          </w:rPr>
                          <w:t>营养成分</w:t>
                        </w:r>
                      </w:p>
                    </w:tc>
                    <w:tc>
                      <w:tcPr>
                        <w:tcW w:w="2314" w:type="dxa"/>
                        <w:vAlign w:val="top"/>
                      </w:tcPr>
                      <w:p w14:paraId="30471B68">
                        <w:pPr>
                          <w:pStyle w:val="6"/>
                          <w:spacing w:before="209" w:line="219" w:lineRule="auto"/>
                          <w:ind w:left="12"/>
                        </w:pPr>
                        <w:r>
                          <w:t>1.烹饪原料的分类</w:t>
                        </w:r>
                      </w:p>
                      <w:p w14:paraId="484F7D36">
                        <w:pPr>
                          <w:pStyle w:val="6"/>
                          <w:spacing w:before="28" w:line="219" w:lineRule="auto"/>
                          <w:ind w:left="12"/>
                        </w:pPr>
                        <w:r>
                          <w:rPr>
                            <w:spacing w:val="-1"/>
                          </w:rPr>
                          <w:t>2.烹饪原料的营养成分</w:t>
                        </w:r>
                      </w:p>
                    </w:tc>
                    <w:tc>
                      <w:tcPr>
                        <w:tcW w:w="229" w:type="dxa"/>
                        <w:vAlign w:val="top"/>
                      </w:tcPr>
                      <w:p w14:paraId="0FC37515">
                        <w:pPr>
                          <w:pStyle w:val="6"/>
                          <w:spacing w:before="236" w:line="238" w:lineRule="auto"/>
                          <w:ind w:left="28"/>
                        </w:pPr>
                        <w:r>
                          <w:t>√</w:t>
                        </w:r>
                      </w:p>
                    </w:tc>
                    <w:tc>
                      <w:tcPr>
                        <w:tcW w:w="229" w:type="dxa"/>
                        <w:vAlign w:val="top"/>
                      </w:tcPr>
                      <w:p w14:paraId="5278B59F">
                        <w:pPr>
                          <w:rPr>
                            <w:rFonts w:ascii="Arial"/>
                            <w:sz w:val="21"/>
                          </w:rPr>
                        </w:pPr>
                      </w:p>
                    </w:tc>
                    <w:tc>
                      <w:tcPr>
                        <w:tcW w:w="220" w:type="dxa"/>
                        <w:vAlign w:val="top"/>
                      </w:tcPr>
                      <w:p w14:paraId="7586CA98">
                        <w:pPr>
                          <w:spacing w:line="398" w:lineRule="auto"/>
                          <w:rPr>
                            <w:rFonts w:ascii="Arial"/>
                            <w:sz w:val="21"/>
                          </w:rPr>
                        </w:pPr>
                      </w:p>
                      <w:p w14:paraId="7220E3A5">
                        <w:pPr>
                          <w:pStyle w:val="6"/>
                          <w:spacing w:before="55" w:line="238" w:lineRule="auto"/>
                          <w:ind w:left="19"/>
                        </w:pPr>
                        <w:r>
                          <w:t>√</w:t>
                        </w:r>
                      </w:p>
                    </w:tc>
                    <w:tc>
                      <w:tcPr>
                        <w:tcW w:w="234" w:type="dxa"/>
                        <w:vAlign w:val="top"/>
                      </w:tcPr>
                      <w:p w14:paraId="198FAA92">
                        <w:pPr>
                          <w:rPr>
                            <w:rFonts w:ascii="Arial"/>
                            <w:sz w:val="21"/>
                          </w:rPr>
                        </w:pPr>
                      </w:p>
                    </w:tc>
                  </w:tr>
                  <w:tr w14:paraId="39E63F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91" w:hRule="atLeast"/>
                    </w:trPr>
                    <w:tc>
                      <w:tcPr>
                        <w:tcW w:w="893" w:type="dxa"/>
                        <w:vAlign w:val="top"/>
                      </w:tcPr>
                      <w:p w14:paraId="6EE20112">
                        <w:pPr>
                          <w:pStyle w:val="6"/>
                          <w:spacing w:before="193" w:line="232" w:lineRule="auto"/>
                          <w:ind w:left="94" w:right="100"/>
                          <w:jc w:val="both"/>
                        </w:pPr>
                        <w:r>
                          <w:rPr>
                            <w:spacing w:val="-4"/>
                          </w:rPr>
                          <w:t>烹饪原料</w:t>
                        </w:r>
                        <w:r>
                          <w:rPr>
                            <w:spacing w:val="2"/>
                          </w:rPr>
                          <w:t xml:space="preserve"> </w:t>
                        </w:r>
                        <w:r>
                          <w:rPr>
                            <w:spacing w:val="1"/>
                          </w:rPr>
                          <w:t>的品质检</w:t>
                        </w:r>
                        <w:r>
                          <w:rPr>
                            <w:spacing w:val="2"/>
                          </w:rPr>
                          <w:t xml:space="preserve"> </w:t>
                        </w:r>
                        <w:r>
                          <w:rPr>
                            <w:spacing w:val="-2"/>
                          </w:rPr>
                          <w:t>验与保管</w:t>
                        </w:r>
                      </w:p>
                    </w:tc>
                    <w:tc>
                      <w:tcPr>
                        <w:tcW w:w="2314" w:type="dxa"/>
                        <w:vAlign w:val="top"/>
                      </w:tcPr>
                      <w:p w14:paraId="60410304">
                        <w:pPr>
                          <w:pStyle w:val="6"/>
                          <w:spacing w:before="103" w:line="219" w:lineRule="auto"/>
                          <w:ind w:left="12"/>
                        </w:pPr>
                        <w:r>
                          <w:t>1.烹饪原料的品质检验</w:t>
                        </w:r>
                      </w:p>
                      <w:p w14:paraId="012757E7">
                        <w:pPr>
                          <w:pStyle w:val="6"/>
                          <w:spacing w:before="8" w:line="236" w:lineRule="auto"/>
                          <w:ind w:left="12" w:right="238"/>
                        </w:pPr>
                        <w:r>
                          <w:rPr>
                            <w:spacing w:val="1"/>
                          </w:rPr>
                          <w:t>2.影响烹饪原料品质变化的</w:t>
                        </w:r>
                        <w:r>
                          <w:t xml:space="preserve"> </w:t>
                        </w:r>
                        <w:r>
                          <w:rPr>
                            <w:spacing w:val="3"/>
                          </w:rPr>
                          <w:t>因素</w:t>
                        </w:r>
                      </w:p>
                      <w:p w14:paraId="4FDFAFD0">
                        <w:pPr>
                          <w:pStyle w:val="6"/>
                          <w:spacing w:before="5" w:line="219" w:lineRule="auto"/>
                          <w:ind w:left="12"/>
                        </w:pPr>
                        <w:r>
                          <w:rPr>
                            <w:spacing w:val="-1"/>
                          </w:rPr>
                          <w:t>3.烹饪原料的常用保管方法</w:t>
                        </w:r>
                      </w:p>
                    </w:tc>
                    <w:tc>
                      <w:tcPr>
                        <w:tcW w:w="229" w:type="dxa"/>
                        <w:vAlign w:val="top"/>
                      </w:tcPr>
                      <w:p w14:paraId="54D3B06F">
                        <w:pPr>
                          <w:rPr>
                            <w:rFonts w:ascii="Arial"/>
                            <w:sz w:val="21"/>
                          </w:rPr>
                        </w:pPr>
                      </w:p>
                    </w:tc>
                    <w:tc>
                      <w:tcPr>
                        <w:tcW w:w="229" w:type="dxa"/>
                        <w:vAlign w:val="top"/>
                      </w:tcPr>
                      <w:p w14:paraId="22706FB6">
                        <w:pPr>
                          <w:pStyle w:val="6"/>
                          <w:spacing w:before="120" w:line="238" w:lineRule="auto"/>
                          <w:ind w:left="29"/>
                        </w:pPr>
                        <w:r>
                          <w:t>√</w:t>
                        </w:r>
                      </w:p>
                    </w:tc>
                    <w:tc>
                      <w:tcPr>
                        <w:tcW w:w="220" w:type="dxa"/>
                        <w:vAlign w:val="top"/>
                      </w:tcPr>
                      <w:p w14:paraId="6C0A7E21">
                        <w:pPr>
                          <w:rPr>
                            <w:rFonts w:ascii="Arial"/>
                            <w:sz w:val="21"/>
                          </w:rPr>
                        </w:pPr>
                      </w:p>
                    </w:tc>
                    <w:tc>
                      <w:tcPr>
                        <w:tcW w:w="234" w:type="dxa"/>
                        <w:vAlign w:val="top"/>
                      </w:tcPr>
                      <w:p w14:paraId="738B30D8">
                        <w:pPr>
                          <w:spacing w:line="263" w:lineRule="auto"/>
                          <w:rPr>
                            <w:rFonts w:ascii="Arial"/>
                            <w:sz w:val="21"/>
                          </w:rPr>
                        </w:pPr>
                      </w:p>
                      <w:p w14:paraId="0876978C">
                        <w:pPr>
                          <w:pStyle w:val="6"/>
                          <w:spacing w:before="55" w:line="238" w:lineRule="auto"/>
                          <w:ind w:left="30"/>
                        </w:pPr>
                        <w:r>
                          <w:t>√</w:t>
                        </w:r>
                      </w:p>
                    </w:tc>
                  </w:tr>
                </w:tbl>
                <w:p w14:paraId="3315D798">
                  <w:pPr>
                    <w:pStyle w:val="2"/>
                  </w:pPr>
                </w:p>
              </w:txbxContent>
            </v:textbox>
          </v:shape>
        </w:pict>
      </w:r>
      <w:r>
        <w:pict>
          <v:shape id="_x0000_s1028" o:spid="_x0000_s1028" o:spt="202" type="#_x0000_t202" style="position:absolute;left:0pt;margin-left:90.1pt;margin-top:193.7pt;height:13.85pt;width:126.65pt;mso-position-horizontal-relative:page;mso-position-vertical-relative:page;z-index:251679744;mso-width-relative:page;mso-height-relative:page;" filled="f" stroked="f" coordsize="21600,21600" o:allowincell="f">
            <v:path/>
            <v:fill on="f" focussize="0,0"/>
            <v:stroke on="f"/>
            <v:imagedata o:title=""/>
            <o:lock v:ext="edit" aspectratio="f"/>
            <v:textbox inset="0mm,0mm,0mm,0mm">
              <w:txbxContent>
                <w:p w14:paraId="455C4ED4">
                  <w:pPr>
                    <w:spacing w:before="19" w:line="219" w:lineRule="auto"/>
                    <w:ind w:left="20"/>
                    <w:rPr>
                      <w:rFonts w:ascii="宋体" w:hAnsi="宋体" w:eastAsia="宋体" w:cs="宋体"/>
                      <w:sz w:val="20"/>
                      <w:szCs w:val="20"/>
                    </w:rPr>
                  </w:pPr>
                  <w:r>
                    <w:rPr>
                      <w:rFonts w:ascii="宋体" w:hAnsi="宋体" w:eastAsia="宋体" w:cs="宋体"/>
                      <w:b/>
                      <w:bCs/>
                      <w:spacing w:val="-3"/>
                      <w:sz w:val="20"/>
                      <w:szCs w:val="20"/>
                    </w:rPr>
                    <w:t>第二章</w:t>
                  </w:r>
                  <w:r>
                    <w:rPr>
                      <w:rFonts w:ascii="宋体" w:hAnsi="宋体" w:eastAsia="宋体" w:cs="宋体"/>
                      <w:spacing w:val="-3"/>
                      <w:sz w:val="20"/>
                      <w:szCs w:val="20"/>
                    </w:rPr>
                    <w:t xml:space="preserve"> </w:t>
                  </w:r>
                  <w:r>
                    <w:rPr>
                      <w:rFonts w:ascii="宋体" w:hAnsi="宋体" w:eastAsia="宋体" w:cs="宋体"/>
                      <w:b/>
                      <w:bCs/>
                      <w:spacing w:val="-3"/>
                      <w:sz w:val="20"/>
                      <w:szCs w:val="20"/>
                    </w:rPr>
                    <w:t>主配原料——粮食类</w:t>
                  </w:r>
                </w:p>
              </w:txbxContent>
            </v:textbox>
          </v:shape>
        </w:pict>
      </w:r>
      <w:r>
        <w:pict>
          <v:shape id="_x0000_s1029" o:spid="_x0000_s1029" o:spt="202" type="#_x0000_t202" style="position:absolute;left:0pt;margin-left:280.2pt;margin-top:69.7pt;height:283.55pt;width:208.5pt;mso-position-horizontal-relative:page;mso-position-vertical-relative:page;z-index:251677696;mso-width-relative:page;mso-height-relative:page;" filled="f" stroked="f" coordsize="21600,21600" o:allowincell="f">
            <v:path/>
            <v:fill on="f" focussize="0,0"/>
            <v:stroke on="f"/>
            <v:imagedata o:title=""/>
            <o:lock v:ext="edit" aspectratio="f"/>
            <v:textbox inset="0mm,0mm,0mm,0mm">
              <w:txbxContent>
                <w:p w14:paraId="1C6F21FE">
                  <w:pPr>
                    <w:spacing w:line="20" w:lineRule="exact"/>
                  </w:pPr>
                </w:p>
                <w:tbl>
                  <w:tblPr>
                    <w:tblStyle w:val="5"/>
                    <w:tblW w:w="4119" w:type="dxa"/>
                    <w:tblInd w:w="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14"/>
                    <w:gridCol w:w="220"/>
                    <w:gridCol w:w="229"/>
                    <w:gridCol w:w="229"/>
                    <w:gridCol w:w="234"/>
                  </w:tblGrid>
                  <w:tr w14:paraId="609B50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5" w:hRule="atLeast"/>
                    </w:trPr>
                    <w:tc>
                      <w:tcPr>
                        <w:tcW w:w="893" w:type="dxa"/>
                        <w:vMerge w:val="restart"/>
                        <w:tcBorders>
                          <w:bottom w:val="nil"/>
                        </w:tcBorders>
                        <w:vAlign w:val="top"/>
                      </w:tcPr>
                      <w:p w14:paraId="6C03293A">
                        <w:pPr>
                          <w:pStyle w:val="6"/>
                          <w:spacing w:before="71" w:line="231" w:lineRule="auto"/>
                          <w:ind w:left="266" w:right="25" w:hanging="249"/>
                        </w:pPr>
                        <w:r>
                          <w:rPr>
                            <w:b/>
                            <w:bCs/>
                            <w:spacing w:val="-4"/>
                          </w:rPr>
                          <w:t>知识与技能</w:t>
                        </w:r>
                        <w:r>
                          <w:t xml:space="preserve"> </w:t>
                        </w:r>
                        <w:r>
                          <w:rPr>
                            <w:b/>
                            <w:bCs/>
                            <w:spacing w:val="-4"/>
                          </w:rPr>
                          <w:t>要点</w:t>
                        </w:r>
                      </w:p>
                    </w:tc>
                    <w:tc>
                      <w:tcPr>
                        <w:tcW w:w="2314" w:type="dxa"/>
                        <w:vMerge w:val="restart"/>
                        <w:tcBorders>
                          <w:bottom w:val="nil"/>
                        </w:tcBorders>
                        <w:vAlign w:val="top"/>
                      </w:tcPr>
                      <w:p w14:paraId="24F32BF1">
                        <w:pPr>
                          <w:pStyle w:val="6"/>
                          <w:spacing w:before="189" w:line="219" w:lineRule="auto"/>
                          <w:ind w:left="824"/>
                        </w:pPr>
                        <w:r>
                          <w:rPr>
                            <w:b/>
                            <w:bCs/>
                            <w:spacing w:val="5"/>
                          </w:rPr>
                          <w:t>考试条目</w:t>
                        </w:r>
                      </w:p>
                    </w:tc>
                    <w:tc>
                      <w:tcPr>
                        <w:tcW w:w="912" w:type="dxa"/>
                        <w:gridSpan w:val="4"/>
                        <w:vAlign w:val="top"/>
                      </w:tcPr>
                      <w:p w14:paraId="1E09C076">
                        <w:pPr>
                          <w:pStyle w:val="6"/>
                          <w:spacing w:before="59" w:line="219" w:lineRule="auto"/>
                          <w:ind w:left="140"/>
                        </w:pPr>
                        <w:r>
                          <w:rPr>
                            <w:b/>
                            <w:bCs/>
                            <w:spacing w:val="-4"/>
                          </w:rPr>
                          <w:t>考试水平</w:t>
                        </w:r>
                      </w:p>
                    </w:tc>
                  </w:tr>
                  <w:tr w14:paraId="5AA341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9" w:hRule="atLeast"/>
                    </w:trPr>
                    <w:tc>
                      <w:tcPr>
                        <w:tcW w:w="893" w:type="dxa"/>
                        <w:vMerge w:val="continue"/>
                        <w:tcBorders>
                          <w:top w:val="nil"/>
                        </w:tcBorders>
                        <w:vAlign w:val="top"/>
                      </w:tcPr>
                      <w:p w14:paraId="262405FA">
                        <w:pPr>
                          <w:rPr>
                            <w:rFonts w:ascii="Arial"/>
                            <w:sz w:val="21"/>
                          </w:rPr>
                        </w:pPr>
                      </w:p>
                    </w:tc>
                    <w:tc>
                      <w:tcPr>
                        <w:tcW w:w="2314" w:type="dxa"/>
                        <w:vMerge w:val="continue"/>
                        <w:tcBorders>
                          <w:top w:val="nil"/>
                        </w:tcBorders>
                        <w:vAlign w:val="top"/>
                      </w:tcPr>
                      <w:p w14:paraId="0F5F5BE4">
                        <w:pPr>
                          <w:rPr>
                            <w:rFonts w:ascii="Arial"/>
                            <w:sz w:val="21"/>
                          </w:rPr>
                        </w:pPr>
                      </w:p>
                    </w:tc>
                    <w:tc>
                      <w:tcPr>
                        <w:tcW w:w="220" w:type="dxa"/>
                        <w:vAlign w:val="top"/>
                      </w:tcPr>
                      <w:p w14:paraId="1B1D1039">
                        <w:pPr>
                          <w:pStyle w:val="6"/>
                          <w:spacing w:before="79" w:line="173" w:lineRule="auto"/>
                          <w:ind w:left="20"/>
                        </w:pPr>
                        <w:r>
                          <w:rPr>
                            <w:b/>
                            <w:bCs/>
                            <w:spacing w:val="-2"/>
                          </w:rPr>
                          <w:t>A</w:t>
                        </w:r>
                      </w:p>
                    </w:tc>
                    <w:tc>
                      <w:tcPr>
                        <w:tcW w:w="229" w:type="dxa"/>
                        <w:vAlign w:val="top"/>
                      </w:tcPr>
                      <w:p w14:paraId="284C2CD4">
                        <w:pPr>
                          <w:pStyle w:val="6"/>
                          <w:spacing w:before="82" w:line="170" w:lineRule="auto"/>
                          <w:ind w:left="40"/>
                        </w:pPr>
                        <w:r>
                          <w:rPr>
                            <w:b/>
                            <w:bCs/>
                            <w:spacing w:val="-2"/>
                          </w:rPr>
                          <w:t>B</w:t>
                        </w:r>
                      </w:p>
                    </w:tc>
                    <w:tc>
                      <w:tcPr>
                        <w:tcW w:w="229" w:type="dxa"/>
                        <w:vAlign w:val="top"/>
                      </w:tcPr>
                      <w:p w14:paraId="57FDE091">
                        <w:pPr>
                          <w:pStyle w:val="6"/>
                          <w:spacing w:before="79" w:line="173" w:lineRule="auto"/>
                          <w:ind w:left="41"/>
                        </w:pPr>
                        <w:r>
                          <w:rPr>
                            <w:b/>
                            <w:bCs/>
                            <w:spacing w:val="-2"/>
                          </w:rPr>
                          <w:t>C</w:t>
                        </w:r>
                      </w:p>
                    </w:tc>
                    <w:tc>
                      <w:tcPr>
                        <w:tcW w:w="234" w:type="dxa"/>
                        <w:vAlign w:val="top"/>
                      </w:tcPr>
                      <w:p w14:paraId="3FF4975A">
                        <w:pPr>
                          <w:pStyle w:val="6"/>
                          <w:spacing w:before="82" w:line="170" w:lineRule="auto"/>
                          <w:ind w:left="32"/>
                        </w:pPr>
                        <w:r>
                          <w:rPr>
                            <w:b/>
                            <w:bCs/>
                            <w:spacing w:val="-2"/>
                          </w:rPr>
                          <w:t>D</w:t>
                        </w:r>
                      </w:p>
                    </w:tc>
                  </w:tr>
                  <w:tr w14:paraId="2A2E0D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26" w:hRule="atLeast"/>
                    </w:trPr>
                    <w:tc>
                      <w:tcPr>
                        <w:tcW w:w="893" w:type="dxa"/>
                        <w:vAlign w:val="top"/>
                      </w:tcPr>
                      <w:p w14:paraId="49C2A70B">
                        <w:pPr>
                          <w:spacing w:line="319" w:lineRule="auto"/>
                          <w:rPr>
                            <w:rFonts w:ascii="Arial"/>
                            <w:sz w:val="21"/>
                          </w:rPr>
                        </w:pPr>
                      </w:p>
                      <w:p w14:paraId="05758629">
                        <w:pPr>
                          <w:spacing w:line="319" w:lineRule="auto"/>
                          <w:rPr>
                            <w:rFonts w:ascii="Arial"/>
                            <w:sz w:val="21"/>
                          </w:rPr>
                        </w:pPr>
                      </w:p>
                      <w:p w14:paraId="675884A1">
                        <w:pPr>
                          <w:spacing w:line="319" w:lineRule="auto"/>
                          <w:rPr>
                            <w:rFonts w:ascii="Arial"/>
                            <w:sz w:val="21"/>
                          </w:rPr>
                        </w:pPr>
                      </w:p>
                      <w:p w14:paraId="0756FE53">
                        <w:pPr>
                          <w:pStyle w:val="6"/>
                          <w:spacing w:before="55" w:line="258" w:lineRule="auto"/>
                          <w:ind w:left="94" w:right="118"/>
                        </w:pPr>
                        <w:r>
                          <w:rPr>
                            <w:spacing w:val="-3"/>
                          </w:rPr>
                          <w:t>常用蔬菜</w:t>
                        </w:r>
                        <w:r>
                          <w:t xml:space="preserve"> </w:t>
                        </w:r>
                        <w:r>
                          <w:rPr>
                            <w:spacing w:val="-3"/>
                          </w:rPr>
                          <w:t>原料种类</w:t>
                        </w:r>
                      </w:p>
                    </w:tc>
                    <w:tc>
                      <w:tcPr>
                        <w:tcW w:w="2314" w:type="dxa"/>
                        <w:vAlign w:val="top"/>
                      </w:tcPr>
                      <w:p w14:paraId="0C7EF0F5">
                        <w:pPr>
                          <w:pStyle w:val="6"/>
                          <w:spacing w:before="247" w:line="239" w:lineRule="auto"/>
                          <w:ind w:left="12" w:right="1264"/>
                          <w:jc w:val="both"/>
                        </w:pPr>
                        <w:r>
                          <w:rPr>
                            <w:spacing w:val="1"/>
                          </w:rPr>
                          <w:t>1.叶菜类蔬菜</w:t>
                        </w:r>
                        <w:r>
                          <w:t xml:space="preserve"> </w:t>
                        </w:r>
                        <w:r>
                          <w:rPr>
                            <w:spacing w:val="-2"/>
                          </w:rPr>
                          <w:t>2.茎菜类蔬菜</w:t>
                        </w:r>
                        <w:r>
                          <w:rPr>
                            <w:spacing w:val="4"/>
                          </w:rPr>
                          <w:t xml:space="preserve"> </w:t>
                        </w:r>
                        <w:r>
                          <w:rPr>
                            <w:spacing w:val="-2"/>
                          </w:rPr>
                          <w:t>3.根菜类蔬菜</w:t>
                        </w:r>
                        <w:r>
                          <w:rPr>
                            <w:spacing w:val="2"/>
                          </w:rPr>
                          <w:t xml:space="preserve"> </w:t>
                        </w:r>
                        <w:r>
                          <w:rPr>
                            <w:spacing w:val="-1"/>
                          </w:rPr>
                          <w:t>4.果菜类蔬菜</w:t>
                        </w:r>
                        <w:r>
                          <w:t xml:space="preserve"> </w:t>
                        </w:r>
                        <w:r>
                          <w:rPr>
                            <w:spacing w:val="-2"/>
                          </w:rPr>
                          <w:t>5.花菜类蔬菜</w:t>
                        </w:r>
                        <w:r>
                          <w:rPr>
                            <w:spacing w:val="2"/>
                          </w:rPr>
                          <w:t xml:space="preserve"> </w:t>
                        </w:r>
                        <w:r>
                          <w:rPr>
                            <w:spacing w:val="-1"/>
                          </w:rPr>
                          <w:t>6.芽苗类蔬菜</w:t>
                        </w:r>
                      </w:p>
                      <w:p w14:paraId="375574F1">
                        <w:pPr>
                          <w:pStyle w:val="6"/>
                          <w:spacing w:line="219" w:lineRule="auto"/>
                          <w:ind w:left="12"/>
                        </w:pPr>
                        <w:r>
                          <w:rPr>
                            <w:spacing w:val="-1"/>
                          </w:rPr>
                          <w:t>7.食用菌藻地衣蕨类蔬菜</w:t>
                        </w:r>
                      </w:p>
                      <w:p w14:paraId="0F2EB8C6">
                        <w:pPr>
                          <w:pStyle w:val="6"/>
                          <w:spacing w:before="38" w:line="229" w:lineRule="auto"/>
                          <w:ind w:left="12" w:right="237"/>
                        </w:pPr>
                        <w:r>
                          <w:rPr>
                            <w:spacing w:val="1"/>
                          </w:rPr>
                          <w:t>8.运用所学知识，对案例原</w:t>
                        </w:r>
                        <w:r>
                          <w:t xml:space="preserve"> </w:t>
                        </w:r>
                        <w:r>
                          <w:rPr>
                            <w:spacing w:val="1"/>
                          </w:rPr>
                          <w:t>料实施保管及鉴别</w:t>
                        </w:r>
                      </w:p>
                    </w:tc>
                    <w:tc>
                      <w:tcPr>
                        <w:tcW w:w="220" w:type="dxa"/>
                        <w:vAlign w:val="top"/>
                      </w:tcPr>
                      <w:p w14:paraId="0BE5F620">
                        <w:pPr>
                          <w:rPr>
                            <w:rFonts w:ascii="Arial"/>
                            <w:sz w:val="21"/>
                          </w:rPr>
                        </w:pPr>
                      </w:p>
                    </w:tc>
                    <w:tc>
                      <w:tcPr>
                        <w:tcW w:w="229" w:type="dxa"/>
                        <w:vAlign w:val="top"/>
                      </w:tcPr>
                      <w:p w14:paraId="60C51DE6">
                        <w:pPr>
                          <w:rPr>
                            <w:rFonts w:ascii="Arial"/>
                            <w:sz w:val="21"/>
                          </w:rPr>
                        </w:pPr>
                      </w:p>
                    </w:tc>
                    <w:tc>
                      <w:tcPr>
                        <w:tcW w:w="229" w:type="dxa"/>
                        <w:vAlign w:val="top"/>
                      </w:tcPr>
                      <w:p w14:paraId="5F4908B1">
                        <w:pPr>
                          <w:rPr>
                            <w:rFonts w:ascii="Arial"/>
                            <w:sz w:val="21"/>
                          </w:rPr>
                        </w:pPr>
                      </w:p>
                    </w:tc>
                    <w:tc>
                      <w:tcPr>
                        <w:tcW w:w="234" w:type="dxa"/>
                        <w:vAlign w:val="top"/>
                      </w:tcPr>
                      <w:p w14:paraId="259E9F2F">
                        <w:pPr>
                          <w:rPr>
                            <w:rFonts w:ascii="Arial"/>
                            <w:sz w:val="21"/>
                          </w:rPr>
                        </w:pPr>
                      </w:p>
                    </w:tc>
                  </w:tr>
                  <w:tr w14:paraId="4EDACD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20" w:hRule="atLeast"/>
                    </w:trPr>
                    <w:tc>
                      <w:tcPr>
                        <w:tcW w:w="893" w:type="dxa"/>
                        <w:vAlign w:val="top"/>
                      </w:tcPr>
                      <w:p w14:paraId="6DEC5C1A">
                        <w:pPr>
                          <w:spacing w:line="292" w:lineRule="auto"/>
                          <w:rPr>
                            <w:rFonts w:ascii="Arial"/>
                            <w:sz w:val="21"/>
                          </w:rPr>
                        </w:pPr>
                      </w:p>
                      <w:p w14:paraId="355395EC">
                        <w:pPr>
                          <w:spacing w:line="292" w:lineRule="auto"/>
                          <w:rPr>
                            <w:rFonts w:ascii="Arial"/>
                            <w:sz w:val="21"/>
                          </w:rPr>
                        </w:pPr>
                      </w:p>
                      <w:p w14:paraId="040FE0C5">
                        <w:pPr>
                          <w:spacing w:line="292" w:lineRule="auto"/>
                          <w:rPr>
                            <w:rFonts w:ascii="Arial"/>
                            <w:sz w:val="21"/>
                          </w:rPr>
                        </w:pPr>
                      </w:p>
                      <w:p w14:paraId="4DF89A00">
                        <w:pPr>
                          <w:spacing w:line="293" w:lineRule="auto"/>
                          <w:rPr>
                            <w:rFonts w:ascii="Arial"/>
                            <w:sz w:val="21"/>
                          </w:rPr>
                        </w:pPr>
                      </w:p>
                      <w:p w14:paraId="6DF2B4C1">
                        <w:pPr>
                          <w:pStyle w:val="6"/>
                          <w:spacing w:before="55" w:line="219" w:lineRule="auto"/>
                          <w:ind w:left="94"/>
                        </w:pPr>
                        <w:r>
                          <w:rPr>
                            <w:spacing w:val="4"/>
                          </w:rPr>
                          <w:t>蔬菜制品</w:t>
                        </w:r>
                      </w:p>
                    </w:tc>
                    <w:tc>
                      <w:tcPr>
                        <w:tcW w:w="2314" w:type="dxa"/>
                        <w:vAlign w:val="top"/>
                      </w:tcPr>
                      <w:p w14:paraId="7A1C52F6">
                        <w:pPr>
                          <w:pStyle w:val="6"/>
                          <w:spacing w:before="53" w:line="222" w:lineRule="auto"/>
                          <w:ind w:left="12" w:right="1598"/>
                        </w:pPr>
                        <w:r>
                          <w:rPr>
                            <w:spacing w:val="2"/>
                          </w:rPr>
                          <w:t xml:space="preserve">1.玉兰片 </w:t>
                        </w:r>
                        <w:r>
                          <w:rPr>
                            <w:spacing w:val="-3"/>
                          </w:rPr>
                          <w:t>2.笋干</w:t>
                        </w:r>
                      </w:p>
                      <w:p w14:paraId="0F448A38">
                        <w:pPr>
                          <w:pStyle w:val="6"/>
                          <w:spacing w:before="1" w:line="230" w:lineRule="auto"/>
                          <w:ind w:left="12" w:right="1621"/>
                        </w:pPr>
                        <w:r>
                          <w:rPr>
                            <w:spacing w:val="-3"/>
                          </w:rPr>
                          <w:t>3.金针菜</w:t>
                        </w:r>
                        <w:r>
                          <w:rPr>
                            <w:spacing w:val="3"/>
                          </w:rPr>
                          <w:t xml:space="preserve"> </w:t>
                        </w:r>
                        <w:r>
                          <w:rPr>
                            <w:spacing w:val="-2"/>
                          </w:rPr>
                          <w:t>4.魔芋</w:t>
                        </w:r>
                      </w:p>
                      <w:p w14:paraId="1ACB9CF1">
                        <w:pPr>
                          <w:pStyle w:val="6"/>
                          <w:spacing w:before="25" w:line="219" w:lineRule="auto"/>
                          <w:ind w:left="12"/>
                        </w:pPr>
                        <w:r>
                          <w:rPr>
                            <w:spacing w:val="-3"/>
                          </w:rPr>
                          <w:t>5.泡菜</w:t>
                        </w:r>
                      </w:p>
                      <w:p w14:paraId="0F76AEC6">
                        <w:pPr>
                          <w:pStyle w:val="6"/>
                          <w:spacing w:before="8" w:line="219" w:lineRule="auto"/>
                          <w:ind w:left="12"/>
                        </w:pPr>
                        <w:r>
                          <w:rPr>
                            <w:spacing w:val="-2"/>
                          </w:rPr>
                          <w:t>6.榨菜</w:t>
                        </w:r>
                      </w:p>
                      <w:p w14:paraId="4A8E55DE">
                        <w:pPr>
                          <w:pStyle w:val="6"/>
                          <w:spacing w:before="18" w:line="219" w:lineRule="auto"/>
                          <w:ind w:left="12"/>
                        </w:pPr>
                        <w:r>
                          <w:rPr>
                            <w:spacing w:val="-2"/>
                          </w:rPr>
                          <w:t>7.冬菜</w:t>
                        </w:r>
                      </w:p>
                      <w:p w14:paraId="024DBD77">
                        <w:pPr>
                          <w:pStyle w:val="6"/>
                          <w:spacing w:before="16" w:line="234" w:lineRule="auto"/>
                          <w:ind w:left="12" w:right="1619"/>
                        </w:pPr>
                        <w:r>
                          <w:rPr>
                            <w:spacing w:val="-2"/>
                          </w:rPr>
                          <w:t>8.霉干菜</w:t>
                        </w:r>
                        <w:r>
                          <w:rPr>
                            <w:spacing w:val="1"/>
                          </w:rPr>
                          <w:t xml:space="preserve"> </w:t>
                        </w:r>
                        <w:r>
                          <w:rPr>
                            <w:spacing w:val="-2"/>
                          </w:rPr>
                          <w:t>9.雪里燕</w:t>
                        </w:r>
                        <w:r>
                          <w:rPr>
                            <w:spacing w:val="1"/>
                          </w:rPr>
                          <w:t xml:space="preserve"> </w:t>
                        </w:r>
                        <w:r>
                          <w:t>10.琼脂</w:t>
                        </w:r>
                      </w:p>
                      <w:p w14:paraId="59363478">
                        <w:pPr>
                          <w:pStyle w:val="6"/>
                          <w:spacing w:before="25" w:line="205" w:lineRule="auto"/>
                          <w:ind w:left="12" w:right="158"/>
                        </w:pPr>
                        <w:r>
                          <w:t>11.运用所学知识，对案例原</w:t>
                        </w:r>
                        <w:r>
                          <w:rPr>
                            <w:spacing w:val="7"/>
                          </w:rPr>
                          <w:t xml:space="preserve"> </w:t>
                        </w:r>
                        <w:r>
                          <w:rPr>
                            <w:spacing w:val="1"/>
                          </w:rPr>
                          <w:t>料实施保管及鉴别</w:t>
                        </w:r>
                      </w:p>
                    </w:tc>
                    <w:tc>
                      <w:tcPr>
                        <w:tcW w:w="220" w:type="dxa"/>
                        <w:vAlign w:val="top"/>
                      </w:tcPr>
                      <w:p w14:paraId="2207F05A">
                        <w:pPr>
                          <w:rPr>
                            <w:rFonts w:ascii="Arial"/>
                            <w:sz w:val="21"/>
                          </w:rPr>
                        </w:pPr>
                      </w:p>
                    </w:tc>
                    <w:tc>
                      <w:tcPr>
                        <w:tcW w:w="229" w:type="dxa"/>
                        <w:vAlign w:val="top"/>
                      </w:tcPr>
                      <w:p w14:paraId="5B2C10B3">
                        <w:pPr>
                          <w:rPr>
                            <w:rFonts w:ascii="Arial"/>
                            <w:sz w:val="21"/>
                          </w:rPr>
                        </w:pPr>
                      </w:p>
                    </w:tc>
                    <w:tc>
                      <w:tcPr>
                        <w:tcW w:w="229" w:type="dxa"/>
                        <w:vAlign w:val="top"/>
                      </w:tcPr>
                      <w:p w14:paraId="5A66E598">
                        <w:pPr>
                          <w:rPr>
                            <w:rFonts w:ascii="Arial"/>
                            <w:sz w:val="21"/>
                          </w:rPr>
                        </w:pPr>
                      </w:p>
                    </w:tc>
                    <w:tc>
                      <w:tcPr>
                        <w:tcW w:w="234" w:type="dxa"/>
                        <w:vAlign w:val="top"/>
                      </w:tcPr>
                      <w:p w14:paraId="7887579B">
                        <w:pPr>
                          <w:rPr>
                            <w:rFonts w:ascii="Arial"/>
                            <w:sz w:val="21"/>
                          </w:rPr>
                        </w:pPr>
                      </w:p>
                    </w:tc>
                  </w:tr>
                </w:tbl>
                <w:p w14:paraId="260B6BC8">
                  <w:pPr>
                    <w:pStyle w:val="2"/>
                  </w:pPr>
                </w:p>
              </w:txbxContent>
            </v:textbox>
          </v:shape>
        </w:pict>
      </w:r>
      <w:r>
        <w:pict>
          <v:shape id="_x0000_s1030" o:spid="_x0000_s1030" o:spt="202" type="#_x0000_t202" style="position:absolute;left:0pt;margin-left:319.1pt;margin-top:358.2pt;height:13.85pt;width:126.65pt;mso-position-horizontal-relative:page;mso-position-vertical-relative:page;z-index:251680768;mso-width-relative:page;mso-height-relative:page;" filled="f" stroked="f" coordsize="21600,21600" o:allowincell="f">
            <v:path/>
            <v:fill on="f" focussize="0,0"/>
            <v:stroke on="f"/>
            <v:imagedata o:title=""/>
            <o:lock v:ext="edit" aspectratio="f"/>
            <v:textbox inset="0mm,0mm,0mm,0mm">
              <w:txbxContent>
                <w:p w14:paraId="3653FB46">
                  <w:pPr>
                    <w:spacing w:before="19" w:line="219" w:lineRule="auto"/>
                    <w:ind w:left="20"/>
                    <w:rPr>
                      <w:rFonts w:ascii="宋体" w:hAnsi="宋体" w:eastAsia="宋体" w:cs="宋体"/>
                      <w:sz w:val="20"/>
                      <w:szCs w:val="20"/>
                    </w:rPr>
                  </w:pPr>
                  <w:r>
                    <w:rPr>
                      <w:rFonts w:ascii="宋体" w:hAnsi="宋体" w:eastAsia="宋体" w:cs="宋体"/>
                      <w:b/>
                      <w:bCs/>
                      <w:spacing w:val="-3"/>
                      <w:sz w:val="20"/>
                      <w:szCs w:val="20"/>
                    </w:rPr>
                    <w:t>第四章</w:t>
                  </w:r>
                  <w:r>
                    <w:rPr>
                      <w:rFonts w:ascii="宋体" w:hAnsi="宋体" w:eastAsia="宋体" w:cs="宋体"/>
                      <w:spacing w:val="-3"/>
                      <w:sz w:val="20"/>
                      <w:szCs w:val="20"/>
                    </w:rPr>
                    <w:t xml:space="preserve"> </w:t>
                  </w:r>
                  <w:r>
                    <w:rPr>
                      <w:rFonts w:ascii="宋体" w:hAnsi="宋体" w:eastAsia="宋体" w:cs="宋体"/>
                      <w:b/>
                      <w:bCs/>
                      <w:spacing w:val="-3"/>
                      <w:sz w:val="20"/>
                      <w:szCs w:val="20"/>
                    </w:rPr>
                    <w:t>主配原料——畜禽类</w:t>
                  </w:r>
                </w:p>
              </w:txbxContent>
            </v:textbox>
          </v:shape>
        </w:pict>
      </w:r>
      <w:r>
        <w:pict>
          <v:shape id="_x0000_s1031" o:spid="_x0000_s1031" o:spt="202" type="#_x0000_t202" style="position:absolute;left:0pt;margin-left:280.2pt;margin-top:370.75pt;height:326.55pt;width:208.5pt;mso-position-horizontal-relative:page;mso-position-vertical-relative:page;z-index:251676672;mso-width-relative:page;mso-height-relative:page;" filled="f" stroked="f" coordsize="21600,21600" o:allowincell="f">
            <v:path/>
            <v:fill on="f" focussize="0,0"/>
            <v:stroke on="f"/>
            <v:imagedata o:title=""/>
            <o:lock v:ext="edit" aspectratio="f"/>
            <v:textbox inset="0mm,0mm,0mm,0mm">
              <w:txbxContent>
                <w:p w14:paraId="60C9B353">
                  <w:pPr>
                    <w:spacing w:line="20" w:lineRule="exact"/>
                  </w:pPr>
                </w:p>
                <w:tbl>
                  <w:tblPr>
                    <w:tblStyle w:val="5"/>
                    <w:tblW w:w="4119" w:type="dxa"/>
                    <w:tblInd w:w="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83"/>
                    <w:gridCol w:w="2324"/>
                    <w:gridCol w:w="229"/>
                    <w:gridCol w:w="229"/>
                    <w:gridCol w:w="220"/>
                    <w:gridCol w:w="234"/>
                  </w:tblGrid>
                  <w:tr w14:paraId="6C52AA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5" w:hRule="atLeast"/>
                    </w:trPr>
                    <w:tc>
                      <w:tcPr>
                        <w:tcW w:w="883" w:type="dxa"/>
                        <w:vMerge w:val="restart"/>
                        <w:tcBorders>
                          <w:bottom w:val="nil"/>
                        </w:tcBorders>
                        <w:vAlign w:val="top"/>
                      </w:tcPr>
                      <w:p w14:paraId="77F1DE77">
                        <w:pPr>
                          <w:pStyle w:val="6"/>
                          <w:spacing w:before="60" w:line="236" w:lineRule="auto"/>
                          <w:ind w:left="257" w:right="1" w:hanging="240"/>
                          <w:rPr>
                            <w:sz w:val="18"/>
                            <w:szCs w:val="18"/>
                          </w:rPr>
                        </w:pPr>
                        <w:r>
                          <w:rPr>
                            <w:b/>
                            <w:bCs/>
                            <w:spacing w:val="-13"/>
                            <w:sz w:val="18"/>
                            <w:szCs w:val="18"/>
                          </w:rPr>
                          <w:t>知</w:t>
                        </w:r>
                        <w:r>
                          <w:rPr>
                            <w:b/>
                            <w:bCs/>
                            <w:spacing w:val="-12"/>
                            <w:sz w:val="18"/>
                            <w:szCs w:val="18"/>
                          </w:rPr>
                          <w:t>识与技</w:t>
                        </w:r>
                        <w:r>
                          <w:rPr>
                            <w:b/>
                            <w:bCs/>
                            <w:spacing w:val="-11"/>
                            <w:sz w:val="18"/>
                            <w:szCs w:val="18"/>
                          </w:rPr>
                          <w:t>能</w:t>
                        </w:r>
                        <w:r>
                          <w:rPr>
                            <w:spacing w:val="3"/>
                            <w:sz w:val="18"/>
                            <w:szCs w:val="18"/>
                          </w:rPr>
                          <w:t xml:space="preserve"> </w:t>
                        </w:r>
                        <w:r>
                          <w:rPr>
                            <w:b/>
                            <w:bCs/>
                            <w:spacing w:val="-4"/>
                            <w:sz w:val="18"/>
                            <w:szCs w:val="18"/>
                          </w:rPr>
                          <w:t>要点</w:t>
                        </w:r>
                      </w:p>
                    </w:tc>
                    <w:tc>
                      <w:tcPr>
                        <w:tcW w:w="2324" w:type="dxa"/>
                        <w:vMerge w:val="restart"/>
                        <w:tcBorders>
                          <w:bottom w:val="nil"/>
                        </w:tcBorders>
                        <w:vAlign w:val="top"/>
                      </w:tcPr>
                      <w:p w14:paraId="52D7B313">
                        <w:pPr>
                          <w:pStyle w:val="6"/>
                          <w:spacing w:before="179" w:line="219" w:lineRule="auto"/>
                          <w:ind w:left="844"/>
                          <w:rPr>
                            <w:sz w:val="18"/>
                            <w:szCs w:val="18"/>
                          </w:rPr>
                        </w:pPr>
                        <w:r>
                          <w:rPr>
                            <w:b/>
                            <w:bCs/>
                            <w:spacing w:val="5"/>
                            <w:sz w:val="18"/>
                            <w:szCs w:val="18"/>
                          </w:rPr>
                          <w:t>考试条目</w:t>
                        </w:r>
                      </w:p>
                    </w:tc>
                    <w:tc>
                      <w:tcPr>
                        <w:tcW w:w="912" w:type="dxa"/>
                        <w:gridSpan w:val="4"/>
                        <w:vAlign w:val="top"/>
                      </w:tcPr>
                      <w:p w14:paraId="7A6D8DB4">
                        <w:pPr>
                          <w:pStyle w:val="6"/>
                          <w:spacing w:before="49" w:line="219" w:lineRule="auto"/>
                          <w:ind w:left="140"/>
                          <w:rPr>
                            <w:sz w:val="18"/>
                            <w:szCs w:val="18"/>
                          </w:rPr>
                        </w:pPr>
                        <w:r>
                          <w:rPr>
                            <w:b/>
                            <w:bCs/>
                            <w:spacing w:val="-4"/>
                            <w:sz w:val="18"/>
                            <w:szCs w:val="18"/>
                          </w:rPr>
                          <w:t>考试水平</w:t>
                        </w:r>
                      </w:p>
                    </w:tc>
                  </w:tr>
                  <w:tr w14:paraId="762BD1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0" w:hRule="atLeast"/>
                    </w:trPr>
                    <w:tc>
                      <w:tcPr>
                        <w:tcW w:w="883" w:type="dxa"/>
                        <w:vMerge w:val="continue"/>
                        <w:tcBorders>
                          <w:top w:val="nil"/>
                        </w:tcBorders>
                        <w:vAlign w:val="top"/>
                      </w:tcPr>
                      <w:p w14:paraId="0670C0AD">
                        <w:pPr>
                          <w:rPr>
                            <w:rFonts w:ascii="Arial"/>
                            <w:sz w:val="21"/>
                          </w:rPr>
                        </w:pPr>
                      </w:p>
                    </w:tc>
                    <w:tc>
                      <w:tcPr>
                        <w:tcW w:w="2324" w:type="dxa"/>
                        <w:vMerge w:val="continue"/>
                        <w:tcBorders>
                          <w:top w:val="nil"/>
                        </w:tcBorders>
                        <w:vAlign w:val="top"/>
                      </w:tcPr>
                      <w:p w14:paraId="717B01FF">
                        <w:pPr>
                          <w:rPr>
                            <w:rFonts w:ascii="Arial"/>
                            <w:sz w:val="21"/>
                          </w:rPr>
                        </w:pPr>
                      </w:p>
                    </w:tc>
                    <w:tc>
                      <w:tcPr>
                        <w:tcW w:w="229" w:type="dxa"/>
                        <w:vAlign w:val="top"/>
                      </w:tcPr>
                      <w:p w14:paraId="774D3CFB">
                        <w:pPr>
                          <w:pStyle w:val="6"/>
                          <w:spacing w:before="72" w:line="162" w:lineRule="auto"/>
                          <w:ind w:left="67"/>
                          <w:rPr>
                            <w:sz w:val="18"/>
                            <w:szCs w:val="18"/>
                          </w:rPr>
                        </w:pPr>
                        <w:r>
                          <w:rPr>
                            <w:sz w:val="18"/>
                            <w:szCs w:val="18"/>
                          </w:rPr>
                          <w:t>A</w:t>
                        </w:r>
                      </w:p>
                    </w:tc>
                    <w:tc>
                      <w:tcPr>
                        <w:tcW w:w="229" w:type="dxa"/>
                        <w:vAlign w:val="top"/>
                      </w:tcPr>
                      <w:p w14:paraId="5590A0E6">
                        <w:pPr>
                          <w:pStyle w:val="6"/>
                          <w:spacing w:before="74" w:line="159" w:lineRule="auto"/>
                          <w:ind w:left="31"/>
                          <w:rPr>
                            <w:sz w:val="18"/>
                            <w:szCs w:val="18"/>
                          </w:rPr>
                        </w:pPr>
                        <w:r>
                          <w:rPr>
                            <w:b/>
                            <w:bCs/>
                            <w:spacing w:val="-2"/>
                            <w:sz w:val="18"/>
                            <w:szCs w:val="18"/>
                          </w:rPr>
                          <w:t>B</w:t>
                        </w:r>
                      </w:p>
                    </w:tc>
                    <w:tc>
                      <w:tcPr>
                        <w:tcW w:w="220" w:type="dxa"/>
                        <w:vAlign w:val="top"/>
                      </w:tcPr>
                      <w:p w14:paraId="26DE4B8D">
                        <w:pPr>
                          <w:pStyle w:val="6"/>
                          <w:spacing w:before="73" w:line="160" w:lineRule="auto"/>
                          <w:ind w:left="50"/>
                          <w:rPr>
                            <w:sz w:val="18"/>
                            <w:szCs w:val="18"/>
                          </w:rPr>
                        </w:pPr>
                        <w:r>
                          <w:rPr>
                            <w:sz w:val="18"/>
                            <w:szCs w:val="18"/>
                          </w:rPr>
                          <w:t>C</w:t>
                        </w:r>
                      </w:p>
                    </w:tc>
                    <w:tc>
                      <w:tcPr>
                        <w:tcW w:w="234" w:type="dxa"/>
                        <w:vAlign w:val="top"/>
                      </w:tcPr>
                      <w:p w14:paraId="428C5842">
                        <w:pPr>
                          <w:pStyle w:val="6"/>
                          <w:spacing w:before="74" w:line="159" w:lineRule="auto"/>
                          <w:ind w:left="52"/>
                          <w:rPr>
                            <w:sz w:val="18"/>
                            <w:szCs w:val="18"/>
                          </w:rPr>
                        </w:pPr>
                        <w:r>
                          <w:rPr>
                            <w:b/>
                            <w:bCs/>
                            <w:spacing w:val="-2"/>
                            <w:sz w:val="18"/>
                            <w:szCs w:val="18"/>
                          </w:rPr>
                          <w:t>D</w:t>
                        </w:r>
                      </w:p>
                    </w:tc>
                  </w:tr>
                  <w:tr w14:paraId="3D30FF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08" w:hRule="atLeast"/>
                    </w:trPr>
                    <w:tc>
                      <w:tcPr>
                        <w:tcW w:w="883" w:type="dxa"/>
                        <w:vAlign w:val="top"/>
                      </w:tcPr>
                      <w:p w14:paraId="27E7C498">
                        <w:pPr>
                          <w:spacing w:line="336" w:lineRule="auto"/>
                          <w:rPr>
                            <w:rFonts w:ascii="Arial"/>
                            <w:sz w:val="21"/>
                          </w:rPr>
                        </w:pPr>
                      </w:p>
                      <w:p w14:paraId="27791628">
                        <w:pPr>
                          <w:pStyle w:val="6"/>
                          <w:spacing w:before="59" w:line="219" w:lineRule="auto"/>
                          <w:ind w:left="75"/>
                          <w:rPr>
                            <w:sz w:val="18"/>
                            <w:szCs w:val="18"/>
                          </w:rPr>
                        </w:pPr>
                        <w:r>
                          <w:rPr>
                            <w:spacing w:val="3"/>
                            <w:sz w:val="18"/>
                            <w:szCs w:val="18"/>
                          </w:rPr>
                          <w:t>畜禽类原</w:t>
                        </w:r>
                      </w:p>
                      <w:p w14:paraId="038F4337">
                        <w:pPr>
                          <w:pStyle w:val="6"/>
                          <w:spacing w:before="46" w:line="219" w:lineRule="auto"/>
                          <w:ind w:left="165"/>
                          <w:rPr>
                            <w:sz w:val="18"/>
                            <w:szCs w:val="18"/>
                          </w:rPr>
                        </w:pPr>
                        <w:r>
                          <w:rPr>
                            <w:spacing w:val="-2"/>
                            <w:sz w:val="18"/>
                            <w:szCs w:val="18"/>
                          </w:rPr>
                          <w:t>料概述</w:t>
                        </w:r>
                      </w:p>
                    </w:tc>
                    <w:tc>
                      <w:tcPr>
                        <w:tcW w:w="2324" w:type="dxa"/>
                        <w:vAlign w:val="top"/>
                      </w:tcPr>
                      <w:p w14:paraId="37BAA5A7">
                        <w:pPr>
                          <w:pStyle w:val="6"/>
                          <w:spacing w:before="77" w:line="223" w:lineRule="auto"/>
                          <w:ind w:left="2" w:right="123" w:firstLine="20"/>
                          <w:rPr>
                            <w:sz w:val="18"/>
                            <w:szCs w:val="18"/>
                          </w:rPr>
                        </w:pPr>
                        <w:r>
                          <w:rPr>
                            <w:sz w:val="18"/>
                            <w:szCs w:val="18"/>
                          </w:rPr>
                          <w:t>1.畜禽类原料的概念及营养</w:t>
                        </w:r>
                        <w:r>
                          <w:rPr>
                            <w:spacing w:val="7"/>
                            <w:sz w:val="18"/>
                            <w:szCs w:val="18"/>
                          </w:rPr>
                          <w:t xml:space="preserve"> </w:t>
                        </w:r>
                        <w:r>
                          <w:rPr>
                            <w:spacing w:val="-3"/>
                            <w:sz w:val="18"/>
                            <w:szCs w:val="18"/>
                          </w:rPr>
                          <w:t>成分</w:t>
                        </w:r>
                      </w:p>
                      <w:p w14:paraId="27F2862B">
                        <w:pPr>
                          <w:pStyle w:val="6"/>
                          <w:spacing w:before="25" w:line="217" w:lineRule="auto"/>
                          <w:ind w:left="2" w:right="320"/>
                          <w:rPr>
                            <w:sz w:val="18"/>
                            <w:szCs w:val="18"/>
                          </w:rPr>
                        </w:pPr>
                        <w:r>
                          <w:rPr>
                            <w:sz w:val="18"/>
                            <w:szCs w:val="18"/>
                          </w:rPr>
                          <w:t>2.畜禽类原料的组织结构</w:t>
                        </w:r>
                        <w:r>
                          <w:rPr>
                            <w:spacing w:val="10"/>
                            <w:sz w:val="18"/>
                            <w:szCs w:val="18"/>
                          </w:rPr>
                          <w:t xml:space="preserve"> </w:t>
                        </w:r>
                        <w:r>
                          <w:rPr>
                            <w:spacing w:val="1"/>
                            <w:sz w:val="18"/>
                            <w:szCs w:val="18"/>
                          </w:rPr>
                          <w:t>3.畜禽类的部位分档</w:t>
                        </w:r>
                      </w:p>
                      <w:p w14:paraId="1CE90A10">
                        <w:pPr>
                          <w:pStyle w:val="6"/>
                          <w:spacing w:before="16" w:line="219" w:lineRule="auto"/>
                          <w:ind w:left="2"/>
                          <w:rPr>
                            <w:sz w:val="18"/>
                            <w:szCs w:val="18"/>
                          </w:rPr>
                        </w:pPr>
                        <w:r>
                          <w:rPr>
                            <w:spacing w:val="1"/>
                            <w:sz w:val="18"/>
                            <w:szCs w:val="18"/>
                          </w:rPr>
                          <w:t>4.畜禽类原料的烹饪应用</w:t>
                        </w:r>
                      </w:p>
                    </w:tc>
                    <w:tc>
                      <w:tcPr>
                        <w:tcW w:w="229" w:type="dxa"/>
                        <w:vAlign w:val="top"/>
                      </w:tcPr>
                      <w:p w14:paraId="6CC9F740">
                        <w:pPr>
                          <w:pStyle w:val="6"/>
                          <w:spacing w:before="95" w:line="238" w:lineRule="auto"/>
                          <w:ind w:left="17"/>
                          <w:rPr>
                            <w:sz w:val="18"/>
                            <w:szCs w:val="18"/>
                          </w:rPr>
                        </w:pPr>
                        <w:r>
                          <w:rPr>
                            <w:sz w:val="18"/>
                            <w:szCs w:val="18"/>
                          </w:rPr>
                          <w:t>√</w:t>
                        </w:r>
                      </w:p>
                    </w:tc>
                    <w:tc>
                      <w:tcPr>
                        <w:tcW w:w="229" w:type="dxa"/>
                        <w:vAlign w:val="top"/>
                      </w:tcPr>
                      <w:p w14:paraId="61957A7A">
                        <w:pPr>
                          <w:rPr>
                            <w:rFonts w:ascii="Arial"/>
                            <w:sz w:val="21"/>
                          </w:rPr>
                        </w:pPr>
                      </w:p>
                    </w:tc>
                    <w:tc>
                      <w:tcPr>
                        <w:tcW w:w="220" w:type="dxa"/>
                        <w:vAlign w:val="top"/>
                      </w:tcPr>
                      <w:p w14:paraId="36FA933B">
                        <w:pPr>
                          <w:rPr>
                            <w:rFonts w:ascii="Arial"/>
                            <w:sz w:val="21"/>
                          </w:rPr>
                        </w:pPr>
                      </w:p>
                    </w:tc>
                    <w:tc>
                      <w:tcPr>
                        <w:tcW w:w="234" w:type="dxa"/>
                        <w:vAlign w:val="top"/>
                      </w:tcPr>
                      <w:p w14:paraId="3D914C0C">
                        <w:pPr>
                          <w:rPr>
                            <w:rFonts w:ascii="Arial"/>
                            <w:sz w:val="21"/>
                          </w:rPr>
                        </w:pPr>
                      </w:p>
                    </w:tc>
                  </w:tr>
                  <w:tr w14:paraId="601BA2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9" w:hRule="atLeast"/>
                    </w:trPr>
                    <w:tc>
                      <w:tcPr>
                        <w:tcW w:w="883" w:type="dxa"/>
                        <w:vAlign w:val="top"/>
                      </w:tcPr>
                      <w:p w14:paraId="2542E909">
                        <w:pPr>
                          <w:pStyle w:val="6"/>
                          <w:spacing w:before="119" w:line="219" w:lineRule="auto"/>
                          <w:ind w:left="75"/>
                          <w:rPr>
                            <w:sz w:val="18"/>
                            <w:szCs w:val="18"/>
                          </w:rPr>
                        </w:pPr>
                        <w:r>
                          <w:rPr>
                            <w:spacing w:val="3"/>
                            <w:sz w:val="18"/>
                            <w:szCs w:val="18"/>
                          </w:rPr>
                          <w:t>畜禽类原</w:t>
                        </w:r>
                      </w:p>
                      <w:p w14:paraId="4A661444">
                        <w:pPr>
                          <w:pStyle w:val="6"/>
                          <w:spacing w:before="16" w:line="219" w:lineRule="auto"/>
                          <w:ind w:left="165"/>
                          <w:rPr>
                            <w:sz w:val="18"/>
                            <w:szCs w:val="18"/>
                          </w:rPr>
                        </w:pPr>
                        <w:r>
                          <w:rPr>
                            <w:spacing w:val="-2"/>
                            <w:sz w:val="18"/>
                            <w:szCs w:val="18"/>
                          </w:rPr>
                          <w:t>料种类</w:t>
                        </w:r>
                      </w:p>
                    </w:tc>
                    <w:tc>
                      <w:tcPr>
                        <w:tcW w:w="2324" w:type="dxa"/>
                        <w:vAlign w:val="top"/>
                      </w:tcPr>
                      <w:p w14:paraId="39041538">
                        <w:pPr>
                          <w:pStyle w:val="6"/>
                          <w:spacing w:before="139" w:line="212" w:lineRule="auto"/>
                          <w:ind w:left="2" w:right="1225"/>
                          <w:rPr>
                            <w:sz w:val="18"/>
                            <w:szCs w:val="18"/>
                          </w:rPr>
                        </w:pPr>
                        <w:r>
                          <w:rPr>
                            <w:sz w:val="18"/>
                            <w:szCs w:val="18"/>
                          </w:rPr>
                          <w:t>1.家畜类原料</w:t>
                        </w:r>
                        <w:r>
                          <w:rPr>
                            <w:spacing w:val="5"/>
                            <w:sz w:val="18"/>
                            <w:szCs w:val="18"/>
                          </w:rPr>
                          <w:t xml:space="preserve"> </w:t>
                        </w:r>
                        <w:r>
                          <w:rPr>
                            <w:spacing w:val="-2"/>
                            <w:sz w:val="18"/>
                            <w:szCs w:val="18"/>
                          </w:rPr>
                          <w:t>2.家禽类原料</w:t>
                        </w:r>
                      </w:p>
                    </w:tc>
                    <w:tc>
                      <w:tcPr>
                        <w:tcW w:w="229" w:type="dxa"/>
                        <w:vAlign w:val="top"/>
                      </w:tcPr>
                      <w:p w14:paraId="7C4207F3">
                        <w:pPr>
                          <w:rPr>
                            <w:rFonts w:ascii="Arial"/>
                            <w:sz w:val="21"/>
                          </w:rPr>
                        </w:pPr>
                      </w:p>
                    </w:tc>
                    <w:tc>
                      <w:tcPr>
                        <w:tcW w:w="229" w:type="dxa"/>
                        <w:vAlign w:val="top"/>
                      </w:tcPr>
                      <w:p w14:paraId="4CD87243">
                        <w:pPr>
                          <w:rPr>
                            <w:rFonts w:ascii="Arial"/>
                            <w:sz w:val="21"/>
                          </w:rPr>
                        </w:pPr>
                      </w:p>
                    </w:tc>
                    <w:tc>
                      <w:tcPr>
                        <w:tcW w:w="220" w:type="dxa"/>
                        <w:vAlign w:val="top"/>
                      </w:tcPr>
                      <w:p w14:paraId="2E3E4E8F">
                        <w:pPr>
                          <w:spacing w:before="171" w:line="320" w:lineRule="exact"/>
                          <w:ind w:firstLine="37"/>
                        </w:pPr>
                        <w:r>
                          <w:rPr>
                            <w:position w:val="-6"/>
                          </w:rPr>
                          <w:drawing>
                            <wp:inline distT="0" distB="0" distL="0" distR="0">
                              <wp:extent cx="85725" cy="202565"/>
                              <wp:effectExtent l="0" t="0" r="0" b="0"/>
                              <wp:docPr id="292" name="IM 292"/>
                              <wp:cNvGraphicFramePr/>
                              <a:graphic xmlns:a="http://schemas.openxmlformats.org/drawingml/2006/main">
                                <a:graphicData uri="http://schemas.openxmlformats.org/drawingml/2006/picture">
                                  <pic:pic xmlns:pic="http://schemas.openxmlformats.org/drawingml/2006/picture">
                                    <pic:nvPicPr>
                                      <pic:cNvPr id="292" name="IM 292"/>
                                      <pic:cNvPicPr/>
                                    </pic:nvPicPr>
                                    <pic:blipFill>
                                      <a:blip r:embed="rId310"/>
                                      <a:stretch>
                                        <a:fillRect/>
                                      </a:stretch>
                                    </pic:blipFill>
                                    <pic:spPr>
                                      <a:xfrm>
                                        <a:off x="0" y="0"/>
                                        <a:ext cx="85922" cy="203160"/>
                                      </a:xfrm>
                                      <a:prstGeom prst="rect">
                                        <a:avLst/>
                                      </a:prstGeom>
                                    </pic:spPr>
                                  </pic:pic>
                                </a:graphicData>
                              </a:graphic>
                            </wp:inline>
                          </w:drawing>
                        </w:r>
                      </w:p>
                    </w:tc>
                    <w:tc>
                      <w:tcPr>
                        <w:tcW w:w="234" w:type="dxa"/>
                        <w:vAlign w:val="top"/>
                      </w:tcPr>
                      <w:p w14:paraId="3F642E33">
                        <w:pPr>
                          <w:rPr>
                            <w:rFonts w:ascii="Arial"/>
                            <w:sz w:val="21"/>
                          </w:rPr>
                        </w:pPr>
                      </w:p>
                    </w:tc>
                  </w:tr>
                  <w:tr w14:paraId="426D95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79" w:hRule="atLeast"/>
                    </w:trPr>
                    <w:tc>
                      <w:tcPr>
                        <w:tcW w:w="883" w:type="dxa"/>
                        <w:vAlign w:val="top"/>
                      </w:tcPr>
                      <w:p w14:paraId="50F7228E">
                        <w:pPr>
                          <w:pStyle w:val="6"/>
                          <w:spacing w:before="190" w:line="219" w:lineRule="auto"/>
                          <w:ind w:left="165"/>
                          <w:rPr>
                            <w:sz w:val="18"/>
                            <w:szCs w:val="18"/>
                          </w:rPr>
                        </w:pPr>
                        <w:r>
                          <w:rPr>
                            <w:spacing w:val="5"/>
                            <w:sz w:val="18"/>
                            <w:szCs w:val="18"/>
                          </w:rPr>
                          <w:t>畜禽肉</w:t>
                        </w:r>
                      </w:p>
                      <w:p w14:paraId="2DCCCDAF">
                        <w:pPr>
                          <w:pStyle w:val="6"/>
                          <w:spacing w:before="36" w:line="220" w:lineRule="auto"/>
                          <w:ind w:left="254"/>
                          <w:rPr>
                            <w:sz w:val="18"/>
                            <w:szCs w:val="18"/>
                          </w:rPr>
                        </w:pPr>
                        <w:r>
                          <w:rPr>
                            <w:spacing w:val="9"/>
                            <w:sz w:val="18"/>
                            <w:szCs w:val="18"/>
                          </w:rPr>
                          <w:t>制品</w:t>
                        </w:r>
                      </w:p>
                    </w:tc>
                    <w:tc>
                      <w:tcPr>
                        <w:tcW w:w="2324" w:type="dxa"/>
                        <w:vAlign w:val="top"/>
                      </w:tcPr>
                      <w:p w14:paraId="51DF7D94">
                        <w:pPr>
                          <w:pStyle w:val="6"/>
                          <w:spacing w:before="91" w:line="230" w:lineRule="auto"/>
                          <w:ind w:left="2" w:right="678"/>
                          <w:jc w:val="both"/>
                          <w:rPr>
                            <w:sz w:val="18"/>
                            <w:szCs w:val="18"/>
                          </w:rPr>
                        </w:pPr>
                        <w:r>
                          <w:rPr>
                            <w:sz w:val="18"/>
                            <w:szCs w:val="18"/>
                          </w:rPr>
                          <w:t>1.畜禽肉制品的分类</w:t>
                        </w:r>
                        <w:r>
                          <w:rPr>
                            <w:spacing w:val="6"/>
                            <w:sz w:val="18"/>
                            <w:szCs w:val="18"/>
                          </w:rPr>
                          <w:t xml:space="preserve"> </w:t>
                        </w:r>
                        <w:r>
                          <w:rPr>
                            <w:spacing w:val="1"/>
                            <w:sz w:val="18"/>
                            <w:szCs w:val="18"/>
                          </w:rPr>
                          <w:t>2.畜禽肉制品的品种</w:t>
                        </w:r>
                        <w:r>
                          <w:rPr>
                            <w:spacing w:val="2"/>
                            <w:sz w:val="18"/>
                            <w:szCs w:val="18"/>
                          </w:rPr>
                          <w:t xml:space="preserve"> 3.其他畜禽制品</w:t>
                        </w:r>
                      </w:p>
                    </w:tc>
                    <w:tc>
                      <w:tcPr>
                        <w:tcW w:w="229" w:type="dxa"/>
                        <w:vAlign w:val="top"/>
                      </w:tcPr>
                      <w:p w14:paraId="6D85CDDE">
                        <w:pPr>
                          <w:spacing w:before="139" w:line="525" w:lineRule="exact"/>
                          <w:ind w:firstLine="51"/>
                        </w:pPr>
                        <w:r>
                          <w:rPr>
                            <w:position w:val="-10"/>
                          </w:rPr>
                          <w:drawing>
                            <wp:inline distT="0" distB="0" distL="0" distR="0">
                              <wp:extent cx="83185" cy="333375"/>
                              <wp:effectExtent l="0" t="0" r="0" b="0"/>
                              <wp:docPr id="294" name="IM 294"/>
                              <wp:cNvGraphicFramePr/>
                              <a:graphic xmlns:a="http://schemas.openxmlformats.org/drawingml/2006/main">
                                <a:graphicData uri="http://schemas.openxmlformats.org/drawingml/2006/picture">
                                  <pic:pic xmlns:pic="http://schemas.openxmlformats.org/drawingml/2006/picture">
                                    <pic:nvPicPr>
                                      <pic:cNvPr id="294" name="IM 294"/>
                                      <pic:cNvPicPr/>
                                    </pic:nvPicPr>
                                    <pic:blipFill>
                                      <a:blip r:embed="rId311"/>
                                      <a:stretch>
                                        <a:fillRect/>
                                      </a:stretch>
                                    </pic:blipFill>
                                    <pic:spPr>
                                      <a:xfrm>
                                        <a:off x="0" y="0"/>
                                        <a:ext cx="83335" cy="333381"/>
                                      </a:xfrm>
                                      <a:prstGeom prst="rect">
                                        <a:avLst/>
                                      </a:prstGeom>
                                    </pic:spPr>
                                  </pic:pic>
                                </a:graphicData>
                              </a:graphic>
                            </wp:inline>
                          </w:drawing>
                        </w:r>
                      </w:p>
                    </w:tc>
                    <w:tc>
                      <w:tcPr>
                        <w:tcW w:w="229" w:type="dxa"/>
                        <w:vAlign w:val="top"/>
                      </w:tcPr>
                      <w:p w14:paraId="35966241">
                        <w:pPr>
                          <w:rPr>
                            <w:rFonts w:ascii="Arial"/>
                            <w:sz w:val="21"/>
                          </w:rPr>
                        </w:pPr>
                      </w:p>
                    </w:tc>
                    <w:tc>
                      <w:tcPr>
                        <w:tcW w:w="220" w:type="dxa"/>
                        <w:vAlign w:val="top"/>
                      </w:tcPr>
                      <w:p w14:paraId="30F83066">
                        <w:pPr>
                          <w:rPr>
                            <w:rFonts w:ascii="Arial"/>
                            <w:sz w:val="21"/>
                          </w:rPr>
                        </w:pPr>
                      </w:p>
                    </w:tc>
                    <w:tc>
                      <w:tcPr>
                        <w:tcW w:w="234" w:type="dxa"/>
                        <w:vAlign w:val="top"/>
                      </w:tcPr>
                      <w:p w14:paraId="4946E0DB">
                        <w:pPr>
                          <w:rPr>
                            <w:rFonts w:ascii="Arial"/>
                            <w:sz w:val="21"/>
                          </w:rPr>
                        </w:pPr>
                      </w:p>
                    </w:tc>
                  </w:tr>
                  <w:tr w14:paraId="256711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97" w:hRule="atLeast"/>
                    </w:trPr>
                    <w:tc>
                      <w:tcPr>
                        <w:tcW w:w="883" w:type="dxa"/>
                        <w:vAlign w:val="top"/>
                      </w:tcPr>
                      <w:p w14:paraId="01ACD826">
                        <w:pPr>
                          <w:spacing w:line="331" w:lineRule="auto"/>
                          <w:rPr>
                            <w:rFonts w:ascii="Arial"/>
                            <w:sz w:val="21"/>
                          </w:rPr>
                        </w:pPr>
                      </w:p>
                      <w:p w14:paraId="146A1DE3">
                        <w:pPr>
                          <w:pStyle w:val="6"/>
                          <w:spacing w:before="58" w:line="219" w:lineRule="auto"/>
                          <w:ind w:left="75"/>
                          <w:rPr>
                            <w:sz w:val="18"/>
                            <w:szCs w:val="18"/>
                          </w:rPr>
                        </w:pPr>
                        <w:r>
                          <w:rPr>
                            <w:spacing w:val="3"/>
                            <w:sz w:val="18"/>
                            <w:szCs w:val="18"/>
                          </w:rPr>
                          <w:t>畜禽类原</w:t>
                        </w:r>
                      </w:p>
                      <w:p w14:paraId="00884386">
                        <w:pPr>
                          <w:pStyle w:val="6"/>
                          <w:spacing w:before="6" w:line="220" w:lineRule="auto"/>
                          <w:ind w:left="75"/>
                          <w:rPr>
                            <w:sz w:val="18"/>
                            <w:szCs w:val="18"/>
                          </w:rPr>
                        </w:pPr>
                        <w:r>
                          <w:rPr>
                            <w:spacing w:val="5"/>
                            <w:sz w:val="18"/>
                            <w:szCs w:val="18"/>
                          </w:rPr>
                          <w:t>料的品质</w:t>
                        </w:r>
                      </w:p>
                      <w:p w14:paraId="7EC66A0B">
                        <w:pPr>
                          <w:pStyle w:val="6"/>
                          <w:spacing w:before="24" w:line="205" w:lineRule="auto"/>
                          <w:ind w:left="165"/>
                          <w:rPr>
                            <w:sz w:val="18"/>
                            <w:szCs w:val="18"/>
                          </w:rPr>
                        </w:pPr>
                        <w:r>
                          <w:rPr>
                            <w:spacing w:val="4"/>
                            <w:sz w:val="18"/>
                            <w:szCs w:val="18"/>
                          </w:rPr>
                          <w:t>检验与</w:t>
                        </w:r>
                      </w:p>
                      <w:p w14:paraId="36CA6659">
                        <w:pPr>
                          <w:pStyle w:val="6"/>
                          <w:spacing w:line="219" w:lineRule="auto"/>
                          <w:ind w:left="254"/>
                          <w:rPr>
                            <w:sz w:val="18"/>
                            <w:szCs w:val="18"/>
                          </w:rPr>
                        </w:pPr>
                        <w:r>
                          <w:rPr>
                            <w:spacing w:val="-2"/>
                            <w:sz w:val="18"/>
                            <w:szCs w:val="18"/>
                          </w:rPr>
                          <w:t>保管</w:t>
                        </w:r>
                      </w:p>
                    </w:tc>
                    <w:tc>
                      <w:tcPr>
                        <w:tcW w:w="2324" w:type="dxa"/>
                        <w:vAlign w:val="top"/>
                      </w:tcPr>
                      <w:p w14:paraId="2D5680CD">
                        <w:pPr>
                          <w:pStyle w:val="6"/>
                          <w:spacing w:before="81" w:line="212" w:lineRule="auto"/>
                          <w:ind w:left="2" w:right="134" w:firstLine="10"/>
                          <w:rPr>
                            <w:sz w:val="18"/>
                            <w:szCs w:val="18"/>
                          </w:rPr>
                        </w:pPr>
                        <w:r>
                          <w:rPr>
                            <w:sz w:val="18"/>
                            <w:szCs w:val="18"/>
                          </w:rPr>
                          <w:t>1.影响畜禽类原料质量变化</w:t>
                        </w:r>
                        <w:r>
                          <w:rPr>
                            <w:spacing w:val="6"/>
                            <w:sz w:val="18"/>
                            <w:szCs w:val="18"/>
                          </w:rPr>
                          <w:t xml:space="preserve"> </w:t>
                        </w:r>
                        <w:r>
                          <w:rPr>
                            <w:spacing w:val="2"/>
                            <w:sz w:val="18"/>
                            <w:szCs w:val="18"/>
                          </w:rPr>
                          <w:t>的因素</w:t>
                        </w:r>
                      </w:p>
                      <w:p w14:paraId="11AEC467">
                        <w:pPr>
                          <w:pStyle w:val="6"/>
                          <w:spacing w:before="26" w:line="212" w:lineRule="auto"/>
                          <w:ind w:left="2" w:right="121" w:firstLine="10"/>
                          <w:rPr>
                            <w:sz w:val="18"/>
                            <w:szCs w:val="18"/>
                          </w:rPr>
                        </w:pPr>
                        <w:r>
                          <w:rPr>
                            <w:spacing w:val="1"/>
                            <w:sz w:val="18"/>
                            <w:szCs w:val="18"/>
                          </w:rPr>
                          <w:t>2.畜禽类原料及内脏的品质</w:t>
                        </w:r>
                        <w:r>
                          <w:rPr>
                            <w:spacing w:val="6"/>
                            <w:sz w:val="18"/>
                            <w:szCs w:val="18"/>
                          </w:rPr>
                          <w:t xml:space="preserve"> </w:t>
                        </w:r>
                        <w:r>
                          <w:rPr>
                            <w:spacing w:val="-2"/>
                            <w:sz w:val="18"/>
                            <w:szCs w:val="18"/>
                          </w:rPr>
                          <w:t>检验</w:t>
                        </w:r>
                      </w:p>
                      <w:p w14:paraId="07E388C9">
                        <w:pPr>
                          <w:pStyle w:val="6"/>
                          <w:spacing w:before="16" w:line="215" w:lineRule="auto"/>
                          <w:ind w:left="2"/>
                          <w:rPr>
                            <w:sz w:val="18"/>
                            <w:szCs w:val="18"/>
                          </w:rPr>
                        </w:pPr>
                        <w:r>
                          <w:rPr>
                            <w:spacing w:val="-1"/>
                            <w:sz w:val="18"/>
                            <w:szCs w:val="18"/>
                          </w:rPr>
                          <w:t>3.畜禽肉制品的品质检验</w:t>
                        </w:r>
                      </w:p>
                      <w:p w14:paraId="749B00C0">
                        <w:pPr>
                          <w:pStyle w:val="6"/>
                          <w:spacing w:before="1" w:line="218" w:lineRule="auto"/>
                          <w:ind w:left="2" w:right="158"/>
                          <w:rPr>
                            <w:sz w:val="18"/>
                            <w:szCs w:val="18"/>
                          </w:rPr>
                        </w:pPr>
                        <w:r>
                          <w:rPr>
                            <w:spacing w:val="-1"/>
                            <w:sz w:val="18"/>
                            <w:szCs w:val="18"/>
                          </w:rPr>
                          <w:t>4.用过瘦肉精的猪肉的检验</w:t>
                        </w:r>
                        <w:r>
                          <w:rPr>
                            <w:spacing w:val="5"/>
                            <w:sz w:val="18"/>
                            <w:szCs w:val="18"/>
                          </w:rPr>
                          <w:t xml:space="preserve"> </w:t>
                        </w:r>
                        <w:r>
                          <w:rPr>
                            <w:spacing w:val="1"/>
                            <w:sz w:val="18"/>
                            <w:szCs w:val="18"/>
                          </w:rPr>
                          <w:t>5.畜禽类原料的保管</w:t>
                        </w:r>
                      </w:p>
                    </w:tc>
                    <w:tc>
                      <w:tcPr>
                        <w:tcW w:w="229" w:type="dxa"/>
                        <w:vAlign w:val="top"/>
                      </w:tcPr>
                      <w:p w14:paraId="33B4A69C">
                        <w:pPr>
                          <w:rPr>
                            <w:rFonts w:ascii="Arial"/>
                            <w:sz w:val="21"/>
                          </w:rPr>
                        </w:pPr>
                      </w:p>
                    </w:tc>
                    <w:tc>
                      <w:tcPr>
                        <w:tcW w:w="229" w:type="dxa"/>
                        <w:vAlign w:val="top"/>
                      </w:tcPr>
                      <w:p w14:paraId="4A197DA8">
                        <w:pPr>
                          <w:rPr>
                            <w:rFonts w:ascii="Arial"/>
                            <w:sz w:val="21"/>
                          </w:rPr>
                        </w:pPr>
                      </w:p>
                    </w:tc>
                    <w:tc>
                      <w:tcPr>
                        <w:tcW w:w="220" w:type="dxa"/>
                        <w:vAlign w:val="top"/>
                      </w:tcPr>
                      <w:p w14:paraId="1C7285C5">
                        <w:pPr>
                          <w:rPr>
                            <w:rFonts w:ascii="Arial"/>
                            <w:sz w:val="21"/>
                          </w:rPr>
                        </w:pPr>
                      </w:p>
                    </w:tc>
                    <w:tc>
                      <w:tcPr>
                        <w:tcW w:w="234" w:type="dxa"/>
                        <w:vAlign w:val="top"/>
                      </w:tcPr>
                      <w:p w14:paraId="7500B2C9">
                        <w:pPr>
                          <w:rPr>
                            <w:rFonts w:ascii="Arial"/>
                            <w:sz w:val="21"/>
                          </w:rPr>
                        </w:pPr>
                      </w:p>
                    </w:tc>
                  </w:tr>
                  <w:tr w14:paraId="197602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72" w:hRule="atLeast"/>
                    </w:trPr>
                    <w:tc>
                      <w:tcPr>
                        <w:tcW w:w="883" w:type="dxa"/>
                        <w:vAlign w:val="top"/>
                      </w:tcPr>
                      <w:p w14:paraId="7B78522F">
                        <w:pPr>
                          <w:spacing w:line="346" w:lineRule="auto"/>
                          <w:rPr>
                            <w:rFonts w:ascii="Arial"/>
                            <w:sz w:val="21"/>
                          </w:rPr>
                        </w:pPr>
                      </w:p>
                      <w:p w14:paraId="677394D1">
                        <w:pPr>
                          <w:spacing w:line="346" w:lineRule="auto"/>
                          <w:rPr>
                            <w:rFonts w:ascii="Arial"/>
                            <w:sz w:val="21"/>
                          </w:rPr>
                        </w:pPr>
                      </w:p>
                      <w:p w14:paraId="7A3A1D4A">
                        <w:pPr>
                          <w:pStyle w:val="6"/>
                          <w:spacing w:before="58" w:line="220" w:lineRule="auto"/>
                          <w:ind w:left="165"/>
                          <w:rPr>
                            <w:sz w:val="18"/>
                            <w:szCs w:val="18"/>
                          </w:rPr>
                        </w:pPr>
                        <w:r>
                          <w:rPr>
                            <w:spacing w:val="6"/>
                            <w:sz w:val="18"/>
                            <w:szCs w:val="18"/>
                          </w:rPr>
                          <w:t>蛋乳品</w:t>
                        </w:r>
                      </w:p>
                    </w:tc>
                    <w:tc>
                      <w:tcPr>
                        <w:tcW w:w="2324" w:type="dxa"/>
                        <w:vAlign w:val="top"/>
                      </w:tcPr>
                      <w:p w14:paraId="516097F8">
                        <w:pPr>
                          <w:pStyle w:val="6"/>
                          <w:spacing w:before="113" w:line="226" w:lineRule="auto"/>
                          <w:ind w:left="2" w:right="324"/>
                          <w:rPr>
                            <w:sz w:val="18"/>
                            <w:szCs w:val="18"/>
                          </w:rPr>
                        </w:pPr>
                        <w:r>
                          <w:rPr>
                            <w:sz w:val="18"/>
                            <w:szCs w:val="18"/>
                          </w:rPr>
                          <w:t>1.蛋品的概念与营养成分</w:t>
                        </w:r>
                        <w:r>
                          <w:rPr>
                            <w:spacing w:val="6"/>
                            <w:sz w:val="18"/>
                            <w:szCs w:val="18"/>
                          </w:rPr>
                          <w:t xml:space="preserve"> </w:t>
                        </w:r>
                        <w:r>
                          <w:rPr>
                            <w:spacing w:val="-1"/>
                            <w:sz w:val="18"/>
                            <w:szCs w:val="18"/>
                          </w:rPr>
                          <w:t>2.鲜蛋与蛋制品的种类</w:t>
                        </w:r>
                      </w:p>
                      <w:p w14:paraId="1CEB622A">
                        <w:pPr>
                          <w:pStyle w:val="6"/>
                          <w:spacing w:line="219" w:lineRule="auto"/>
                          <w:jc w:val="right"/>
                          <w:rPr>
                            <w:sz w:val="18"/>
                            <w:szCs w:val="18"/>
                          </w:rPr>
                        </w:pPr>
                        <w:r>
                          <w:rPr>
                            <w:spacing w:val="-3"/>
                            <w:sz w:val="18"/>
                            <w:szCs w:val="18"/>
                          </w:rPr>
                          <w:t>3.蛋品原料的品质检验与保管</w:t>
                        </w:r>
                      </w:p>
                      <w:p w14:paraId="1F15238B">
                        <w:pPr>
                          <w:pStyle w:val="6"/>
                          <w:spacing w:before="26" w:line="212" w:lineRule="auto"/>
                          <w:ind w:left="2" w:right="338"/>
                          <w:rPr>
                            <w:sz w:val="18"/>
                            <w:szCs w:val="18"/>
                          </w:rPr>
                        </w:pPr>
                        <w:r>
                          <w:rPr>
                            <w:spacing w:val="-1"/>
                            <w:sz w:val="18"/>
                            <w:szCs w:val="18"/>
                          </w:rPr>
                          <w:t>4.乳品的概念与营养成分</w:t>
                        </w:r>
                        <w:r>
                          <w:rPr>
                            <w:spacing w:val="4"/>
                            <w:sz w:val="18"/>
                            <w:szCs w:val="18"/>
                          </w:rPr>
                          <w:t xml:space="preserve"> </w:t>
                        </w:r>
                        <w:r>
                          <w:rPr>
                            <w:spacing w:val="-1"/>
                            <w:sz w:val="18"/>
                            <w:szCs w:val="18"/>
                          </w:rPr>
                          <w:t>5.乳与乳制品的种类</w:t>
                        </w:r>
                      </w:p>
                      <w:p w14:paraId="2FBF1FC5">
                        <w:pPr>
                          <w:pStyle w:val="6"/>
                          <w:spacing w:before="26" w:line="212" w:lineRule="auto"/>
                          <w:ind w:left="2" w:right="127" w:firstLine="10"/>
                          <w:rPr>
                            <w:sz w:val="18"/>
                            <w:szCs w:val="18"/>
                          </w:rPr>
                        </w:pPr>
                        <w:r>
                          <w:rPr>
                            <w:spacing w:val="1"/>
                            <w:sz w:val="18"/>
                            <w:szCs w:val="18"/>
                          </w:rPr>
                          <w:t>6.运用所学知识，对案例原</w:t>
                        </w:r>
                        <w:r>
                          <w:rPr>
                            <w:sz w:val="18"/>
                            <w:szCs w:val="18"/>
                          </w:rPr>
                          <w:t xml:space="preserve"> </w:t>
                        </w:r>
                        <w:r>
                          <w:rPr>
                            <w:spacing w:val="1"/>
                            <w:sz w:val="18"/>
                            <w:szCs w:val="18"/>
                          </w:rPr>
                          <w:t>料实施保管及鉴别</w:t>
                        </w:r>
                      </w:p>
                    </w:tc>
                    <w:tc>
                      <w:tcPr>
                        <w:tcW w:w="229" w:type="dxa"/>
                        <w:vAlign w:val="top"/>
                      </w:tcPr>
                      <w:p w14:paraId="6036CC5D">
                        <w:pPr>
                          <w:rPr>
                            <w:rFonts w:ascii="Arial"/>
                            <w:sz w:val="21"/>
                          </w:rPr>
                        </w:pPr>
                      </w:p>
                    </w:tc>
                    <w:tc>
                      <w:tcPr>
                        <w:tcW w:w="229" w:type="dxa"/>
                        <w:vAlign w:val="top"/>
                      </w:tcPr>
                      <w:p w14:paraId="06F0049F">
                        <w:pPr>
                          <w:rPr>
                            <w:rFonts w:ascii="Arial"/>
                            <w:sz w:val="21"/>
                          </w:rPr>
                        </w:pPr>
                      </w:p>
                    </w:tc>
                    <w:tc>
                      <w:tcPr>
                        <w:tcW w:w="220" w:type="dxa"/>
                        <w:vAlign w:val="top"/>
                      </w:tcPr>
                      <w:p w14:paraId="5A607D07">
                        <w:pPr>
                          <w:rPr>
                            <w:rFonts w:ascii="Arial"/>
                            <w:sz w:val="21"/>
                          </w:rPr>
                        </w:pPr>
                      </w:p>
                    </w:tc>
                    <w:tc>
                      <w:tcPr>
                        <w:tcW w:w="234" w:type="dxa"/>
                        <w:vAlign w:val="top"/>
                      </w:tcPr>
                      <w:p w14:paraId="5B1D7E95">
                        <w:pPr>
                          <w:rPr>
                            <w:rFonts w:ascii="Arial"/>
                            <w:sz w:val="21"/>
                          </w:rPr>
                        </w:pPr>
                      </w:p>
                    </w:tc>
                  </w:tr>
                </w:tbl>
                <w:p w14:paraId="41024482">
                  <w:pPr>
                    <w:pStyle w:val="2"/>
                  </w:pPr>
                </w:p>
              </w:txbxContent>
            </v:textbox>
          </v:shape>
        </w:pict>
      </w:r>
    </w:p>
    <w:p w14:paraId="759BA565">
      <w:pPr>
        <w:spacing w:before="9"/>
      </w:pPr>
    </w:p>
    <w:p w14:paraId="796D5534">
      <w:pPr>
        <w:spacing w:before="8"/>
      </w:pPr>
    </w:p>
    <w:p w14:paraId="3B37CA3E">
      <w:pPr>
        <w:spacing w:before="8"/>
      </w:pPr>
    </w:p>
    <w:p w14:paraId="69C8020C">
      <w:pPr>
        <w:spacing w:before="8"/>
      </w:pPr>
    </w:p>
    <w:p w14:paraId="2B6F1FA8">
      <w:pPr>
        <w:spacing w:before="8"/>
      </w:pPr>
    </w:p>
    <w:p w14:paraId="03C186D9">
      <w:pPr>
        <w:spacing w:before="8"/>
      </w:pPr>
    </w:p>
    <w:p w14:paraId="50BCABD4">
      <w:pPr>
        <w:spacing w:before="8"/>
      </w:pPr>
    </w:p>
    <w:p w14:paraId="41CCBB03">
      <w:pPr>
        <w:spacing w:before="8"/>
      </w:pPr>
    </w:p>
    <w:p w14:paraId="495A2A96">
      <w:pPr>
        <w:spacing w:before="8"/>
      </w:pPr>
    </w:p>
    <w:p w14:paraId="2F34541C">
      <w:pPr>
        <w:spacing w:before="8"/>
      </w:pPr>
    </w:p>
    <w:p w14:paraId="53A67CB8">
      <w:pPr>
        <w:spacing w:before="8"/>
      </w:pPr>
    </w:p>
    <w:p w14:paraId="6EAF0032">
      <w:pPr>
        <w:spacing w:before="8"/>
      </w:pPr>
    </w:p>
    <w:p w14:paraId="17CBB463">
      <w:pPr>
        <w:spacing w:before="8"/>
      </w:pPr>
    </w:p>
    <w:p w14:paraId="3BF1078E">
      <w:pPr>
        <w:spacing w:before="8"/>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04"/>
        <w:gridCol w:w="229"/>
        <w:gridCol w:w="220"/>
        <w:gridCol w:w="229"/>
        <w:gridCol w:w="244"/>
      </w:tblGrid>
      <w:tr w14:paraId="237513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4" w:hRule="atLeast"/>
        </w:trPr>
        <w:tc>
          <w:tcPr>
            <w:tcW w:w="893" w:type="dxa"/>
            <w:vMerge w:val="restart"/>
            <w:tcBorders>
              <w:bottom w:val="nil"/>
            </w:tcBorders>
            <w:vAlign w:val="top"/>
          </w:tcPr>
          <w:p w14:paraId="79A0D5EF">
            <w:pPr>
              <w:pStyle w:val="6"/>
              <w:spacing w:before="81" w:line="231" w:lineRule="auto"/>
              <w:ind w:left="266" w:right="25" w:hanging="249"/>
            </w:pPr>
            <w:r>
              <w:rPr>
                <w:b/>
                <w:bCs/>
                <w:spacing w:val="-4"/>
              </w:rPr>
              <w:t>知识与技能</w:t>
            </w:r>
            <w:r>
              <w:t xml:space="preserve"> </w:t>
            </w:r>
            <w:r>
              <w:rPr>
                <w:b/>
                <w:bCs/>
                <w:spacing w:val="-4"/>
              </w:rPr>
              <w:t>要点</w:t>
            </w:r>
          </w:p>
        </w:tc>
        <w:tc>
          <w:tcPr>
            <w:tcW w:w="2304" w:type="dxa"/>
            <w:vMerge w:val="restart"/>
            <w:tcBorders>
              <w:bottom w:val="nil"/>
            </w:tcBorders>
            <w:vAlign w:val="top"/>
          </w:tcPr>
          <w:p w14:paraId="3B99D7CE">
            <w:pPr>
              <w:pStyle w:val="6"/>
              <w:spacing w:before="179" w:line="219" w:lineRule="auto"/>
              <w:ind w:left="834"/>
            </w:pPr>
            <w:r>
              <w:rPr>
                <w:b/>
                <w:bCs/>
                <w:spacing w:val="5"/>
              </w:rPr>
              <w:t>考试条目</w:t>
            </w:r>
          </w:p>
        </w:tc>
        <w:tc>
          <w:tcPr>
            <w:tcW w:w="922" w:type="dxa"/>
            <w:gridSpan w:val="4"/>
            <w:vAlign w:val="top"/>
          </w:tcPr>
          <w:p w14:paraId="426423C1">
            <w:pPr>
              <w:pStyle w:val="6"/>
              <w:spacing w:before="59" w:line="219" w:lineRule="auto"/>
              <w:ind w:left="130"/>
            </w:pPr>
            <w:r>
              <w:rPr>
                <w:b/>
                <w:bCs/>
                <w:spacing w:val="-4"/>
              </w:rPr>
              <w:t>考试水平</w:t>
            </w:r>
          </w:p>
        </w:tc>
      </w:tr>
      <w:tr w14:paraId="35C6C7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0" w:hRule="atLeast"/>
        </w:trPr>
        <w:tc>
          <w:tcPr>
            <w:tcW w:w="893" w:type="dxa"/>
            <w:vMerge w:val="continue"/>
            <w:tcBorders>
              <w:top w:val="nil"/>
            </w:tcBorders>
            <w:vAlign w:val="top"/>
          </w:tcPr>
          <w:p w14:paraId="1959F36D">
            <w:pPr>
              <w:rPr>
                <w:rFonts w:ascii="Arial"/>
                <w:sz w:val="21"/>
              </w:rPr>
            </w:pPr>
          </w:p>
        </w:tc>
        <w:tc>
          <w:tcPr>
            <w:tcW w:w="2304" w:type="dxa"/>
            <w:vMerge w:val="continue"/>
            <w:tcBorders>
              <w:top w:val="nil"/>
            </w:tcBorders>
            <w:vAlign w:val="top"/>
          </w:tcPr>
          <w:p w14:paraId="3DA4C4D1">
            <w:pPr>
              <w:rPr>
                <w:rFonts w:ascii="Arial"/>
                <w:sz w:val="21"/>
              </w:rPr>
            </w:pPr>
          </w:p>
        </w:tc>
        <w:tc>
          <w:tcPr>
            <w:tcW w:w="229" w:type="dxa"/>
            <w:vAlign w:val="top"/>
          </w:tcPr>
          <w:p w14:paraId="7594E788">
            <w:pPr>
              <w:pStyle w:val="6"/>
              <w:spacing w:before="80" w:line="162" w:lineRule="auto"/>
              <w:ind w:left="70"/>
            </w:pPr>
            <w:r>
              <w:rPr>
                <w:b/>
                <w:bCs/>
                <w:spacing w:val="-2"/>
              </w:rPr>
              <w:t>A</w:t>
            </w:r>
          </w:p>
        </w:tc>
        <w:tc>
          <w:tcPr>
            <w:tcW w:w="220" w:type="dxa"/>
            <w:vAlign w:val="top"/>
          </w:tcPr>
          <w:p w14:paraId="2C788CA1">
            <w:pPr>
              <w:pStyle w:val="6"/>
              <w:spacing w:before="82" w:line="160" w:lineRule="auto"/>
              <w:ind w:left="21"/>
            </w:pPr>
            <w:r>
              <w:rPr>
                <w:b/>
                <w:bCs/>
                <w:spacing w:val="-2"/>
              </w:rPr>
              <w:t>B</w:t>
            </w:r>
          </w:p>
        </w:tc>
        <w:tc>
          <w:tcPr>
            <w:tcW w:w="229" w:type="dxa"/>
            <w:vAlign w:val="top"/>
          </w:tcPr>
          <w:p w14:paraId="1C5C181A">
            <w:pPr>
              <w:pStyle w:val="6"/>
              <w:spacing w:before="81" w:line="161" w:lineRule="auto"/>
              <w:ind w:left="58"/>
            </w:pPr>
            <w:r>
              <w:t>C</w:t>
            </w:r>
          </w:p>
        </w:tc>
        <w:tc>
          <w:tcPr>
            <w:tcW w:w="244" w:type="dxa"/>
            <w:vAlign w:val="top"/>
          </w:tcPr>
          <w:p w14:paraId="5BF346D3">
            <w:pPr>
              <w:pStyle w:val="6"/>
              <w:spacing w:before="82" w:line="160" w:lineRule="auto"/>
              <w:ind w:left="32"/>
            </w:pPr>
            <w:r>
              <w:rPr>
                <w:b/>
                <w:bCs/>
                <w:spacing w:val="-2"/>
              </w:rPr>
              <w:t>D</w:t>
            </w:r>
          </w:p>
        </w:tc>
      </w:tr>
      <w:tr w14:paraId="7D4DF7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69" w:hRule="atLeast"/>
        </w:trPr>
        <w:tc>
          <w:tcPr>
            <w:tcW w:w="893" w:type="dxa"/>
            <w:vAlign w:val="top"/>
          </w:tcPr>
          <w:p w14:paraId="251B51FE">
            <w:pPr>
              <w:pStyle w:val="6"/>
              <w:spacing w:before="256" w:line="219" w:lineRule="auto"/>
              <w:ind w:left="94"/>
            </w:pPr>
            <w:r>
              <w:rPr>
                <w:spacing w:val="3"/>
              </w:rPr>
              <w:t>粮食类原</w:t>
            </w:r>
          </w:p>
          <w:p w14:paraId="4F5429ED">
            <w:pPr>
              <w:pStyle w:val="6"/>
              <w:spacing w:before="19" w:line="219" w:lineRule="auto"/>
              <w:ind w:left="184"/>
            </w:pPr>
            <w:r>
              <w:rPr>
                <w:spacing w:val="-2"/>
              </w:rPr>
              <w:t>料概述</w:t>
            </w:r>
          </w:p>
        </w:tc>
        <w:tc>
          <w:tcPr>
            <w:tcW w:w="2304" w:type="dxa"/>
            <w:vAlign w:val="top"/>
          </w:tcPr>
          <w:p w14:paraId="33D0675C">
            <w:pPr>
              <w:pStyle w:val="6"/>
              <w:spacing w:before="146" w:line="229" w:lineRule="auto"/>
              <w:ind w:left="12" w:right="396"/>
            </w:pPr>
            <w:r>
              <w:t>1.粮食类原料的组织结构</w:t>
            </w:r>
            <w:r>
              <w:rPr>
                <w:spacing w:val="10"/>
              </w:rPr>
              <w:t xml:space="preserve"> </w:t>
            </w:r>
            <w:r>
              <w:rPr>
                <w:spacing w:val="1"/>
              </w:rPr>
              <w:t>2.粮食类原料的营养特点</w:t>
            </w:r>
          </w:p>
          <w:p w14:paraId="26299E79">
            <w:pPr>
              <w:pStyle w:val="6"/>
              <w:spacing w:before="8" w:line="219" w:lineRule="auto"/>
              <w:ind w:left="12"/>
            </w:pPr>
            <w:r>
              <w:rPr>
                <w:spacing w:val="1"/>
              </w:rPr>
              <w:t>3.粮食类原料在烹饪中的应用</w:t>
            </w:r>
          </w:p>
        </w:tc>
        <w:tc>
          <w:tcPr>
            <w:tcW w:w="229" w:type="dxa"/>
            <w:vAlign w:val="top"/>
          </w:tcPr>
          <w:p w14:paraId="2ECFDC65">
            <w:pPr>
              <w:rPr>
                <w:rFonts w:ascii="Arial"/>
                <w:sz w:val="21"/>
              </w:rPr>
            </w:pPr>
          </w:p>
        </w:tc>
        <w:tc>
          <w:tcPr>
            <w:tcW w:w="220" w:type="dxa"/>
            <w:vAlign w:val="top"/>
          </w:tcPr>
          <w:p w14:paraId="37892D9D">
            <w:pPr>
              <w:rPr>
                <w:rFonts w:ascii="Arial"/>
                <w:sz w:val="21"/>
              </w:rPr>
            </w:pPr>
          </w:p>
        </w:tc>
        <w:tc>
          <w:tcPr>
            <w:tcW w:w="229" w:type="dxa"/>
            <w:vAlign w:val="top"/>
          </w:tcPr>
          <w:p w14:paraId="66BC4723">
            <w:pPr>
              <w:rPr>
                <w:rFonts w:ascii="Arial"/>
                <w:sz w:val="21"/>
              </w:rPr>
            </w:pPr>
          </w:p>
        </w:tc>
        <w:tc>
          <w:tcPr>
            <w:tcW w:w="244" w:type="dxa"/>
            <w:vAlign w:val="top"/>
          </w:tcPr>
          <w:p w14:paraId="3989A8A4">
            <w:pPr>
              <w:rPr>
                <w:rFonts w:ascii="Arial"/>
                <w:sz w:val="21"/>
              </w:rPr>
            </w:pPr>
          </w:p>
        </w:tc>
      </w:tr>
      <w:tr w14:paraId="6130B1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9" w:hRule="atLeast"/>
        </w:trPr>
        <w:tc>
          <w:tcPr>
            <w:tcW w:w="893" w:type="dxa"/>
            <w:vAlign w:val="top"/>
          </w:tcPr>
          <w:p w14:paraId="119FE9E5">
            <w:pPr>
              <w:pStyle w:val="6"/>
              <w:spacing w:before="209" w:line="219" w:lineRule="auto"/>
              <w:ind w:left="265"/>
            </w:pPr>
            <w:r>
              <w:rPr>
                <w:spacing w:val="-3"/>
              </w:rPr>
              <w:t>大米</w:t>
            </w:r>
          </w:p>
        </w:tc>
        <w:tc>
          <w:tcPr>
            <w:tcW w:w="2304" w:type="dxa"/>
            <w:vAlign w:val="top"/>
          </w:tcPr>
          <w:p w14:paraId="66F4E430">
            <w:pPr>
              <w:pStyle w:val="6"/>
              <w:spacing w:before="109" w:line="247" w:lineRule="auto"/>
              <w:ind w:left="12" w:right="736"/>
            </w:pPr>
            <w:r>
              <w:rPr>
                <w:spacing w:val="1"/>
              </w:rPr>
              <w:t>1.大米的品种及特点</w:t>
            </w:r>
            <w:r>
              <w:rPr>
                <w:spacing w:val="4"/>
              </w:rPr>
              <w:t xml:space="preserve"> </w:t>
            </w:r>
            <w:r>
              <w:rPr>
                <w:spacing w:val="-1"/>
              </w:rPr>
              <w:t>2.大米的品质检验</w:t>
            </w:r>
          </w:p>
        </w:tc>
        <w:tc>
          <w:tcPr>
            <w:tcW w:w="229" w:type="dxa"/>
            <w:vAlign w:val="top"/>
          </w:tcPr>
          <w:p w14:paraId="6ECFAFB6">
            <w:pPr>
              <w:pStyle w:val="6"/>
              <w:spacing w:before="130" w:line="238" w:lineRule="auto"/>
              <w:ind w:left="48"/>
              <w:rPr>
                <w:sz w:val="13"/>
                <w:szCs w:val="13"/>
              </w:rPr>
            </w:pPr>
            <w:r>
              <w:rPr>
                <w:sz w:val="13"/>
                <w:szCs w:val="13"/>
              </w:rPr>
              <w:t>√</w:t>
            </w:r>
          </w:p>
        </w:tc>
        <w:tc>
          <w:tcPr>
            <w:tcW w:w="220" w:type="dxa"/>
            <w:vAlign w:val="top"/>
          </w:tcPr>
          <w:p w14:paraId="14F46ED8">
            <w:pPr>
              <w:rPr>
                <w:rFonts w:ascii="Arial"/>
                <w:sz w:val="21"/>
              </w:rPr>
            </w:pPr>
          </w:p>
        </w:tc>
        <w:tc>
          <w:tcPr>
            <w:tcW w:w="229" w:type="dxa"/>
            <w:vAlign w:val="top"/>
          </w:tcPr>
          <w:p w14:paraId="26DD9385">
            <w:pPr>
              <w:rPr>
                <w:rFonts w:ascii="Arial"/>
                <w:sz w:val="21"/>
              </w:rPr>
            </w:pPr>
          </w:p>
        </w:tc>
        <w:tc>
          <w:tcPr>
            <w:tcW w:w="244" w:type="dxa"/>
            <w:vAlign w:val="top"/>
          </w:tcPr>
          <w:p w14:paraId="37F55F51">
            <w:pPr>
              <w:rPr>
                <w:rFonts w:ascii="Arial"/>
                <w:sz w:val="21"/>
              </w:rPr>
            </w:pPr>
          </w:p>
        </w:tc>
      </w:tr>
      <w:tr w14:paraId="0FF613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79" w:hRule="atLeast"/>
        </w:trPr>
        <w:tc>
          <w:tcPr>
            <w:tcW w:w="893" w:type="dxa"/>
            <w:vAlign w:val="top"/>
          </w:tcPr>
          <w:p w14:paraId="18810961">
            <w:pPr>
              <w:pStyle w:val="6"/>
              <w:spacing w:before="260" w:line="219" w:lineRule="auto"/>
              <w:ind w:left="265"/>
            </w:pPr>
            <w:r>
              <w:rPr>
                <w:spacing w:val="-2"/>
              </w:rPr>
              <w:t>面粉</w:t>
            </w:r>
          </w:p>
        </w:tc>
        <w:tc>
          <w:tcPr>
            <w:tcW w:w="2304" w:type="dxa"/>
            <w:vAlign w:val="top"/>
          </w:tcPr>
          <w:p w14:paraId="3FFB966E">
            <w:pPr>
              <w:pStyle w:val="6"/>
              <w:spacing w:before="49" w:line="239" w:lineRule="auto"/>
              <w:ind w:left="12" w:right="203" w:firstLine="19"/>
            </w:pPr>
            <w:r>
              <w:rPr>
                <w:spacing w:val="1"/>
              </w:rPr>
              <w:t>1.面粉的种类及其在烹饪中</w:t>
            </w:r>
            <w:r>
              <w:rPr>
                <w:spacing w:val="4"/>
              </w:rPr>
              <w:t xml:space="preserve"> </w:t>
            </w:r>
            <w:r>
              <w:rPr>
                <w:spacing w:val="6"/>
              </w:rPr>
              <w:t>的应用</w:t>
            </w:r>
          </w:p>
          <w:p w14:paraId="5DE7E4A7">
            <w:pPr>
              <w:pStyle w:val="6"/>
              <w:spacing w:line="195" w:lineRule="auto"/>
              <w:ind w:left="12"/>
            </w:pPr>
            <w:r>
              <w:rPr>
                <w:spacing w:val="-1"/>
              </w:rPr>
              <w:t>2.面粉的品质检验</w:t>
            </w:r>
          </w:p>
        </w:tc>
        <w:tc>
          <w:tcPr>
            <w:tcW w:w="229" w:type="dxa"/>
            <w:vAlign w:val="top"/>
          </w:tcPr>
          <w:p w14:paraId="302599F9">
            <w:pPr>
              <w:pStyle w:val="6"/>
              <w:spacing w:before="71" w:line="238" w:lineRule="auto"/>
              <w:ind w:left="48"/>
              <w:rPr>
                <w:sz w:val="13"/>
                <w:szCs w:val="13"/>
              </w:rPr>
            </w:pPr>
            <w:r>
              <w:rPr>
                <w:sz w:val="13"/>
                <w:szCs w:val="13"/>
              </w:rPr>
              <w:t>√</w:t>
            </w:r>
          </w:p>
        </w:tc>
        <w:tc>
          <w:tcPr>
            <w:tcW w:w="220" w:type="dxa"/>
            <w:vAlign w:val="top"/>
          </w:tcPr>
          <w:p w14:paraId="09135FD2">
            <w:pPr>
              <w:rPr>
                <w:rFonts w:ascii="Arial"/>
                <w:sz w:val="21"/>
              </w:rPr>
            </w:pPr>
          </w:p>
        </w:tc>
        <w:tc>
          <w:tcPr>
            <w:tcW w:w="229" w:type="dxa"/>
            <w:vAlign w:val="top"/>
          </w:tcPr>
          <w:p w14:paraId="1D75A66B">
            <w:pPr>
              <w:rPr>
                <w:rFonts w:ascii="Arial"/>
                <w:sz w:val="21"/>
              </w:rPr>
            </w:pPr>
          </w:p>
        </w:tc>
        <w:tc>
          <w:tcPr>
            <w:tcW w:w="244" w:type="dxa"/>
            <w:vAlign w:val="top"/>
          </w:tcPr>
          <w:p w14:paraId="1C4E557C">
            <w:pPr>
              <w:rPr>
                <w:rFonts w:ascii="Arial"/>
                <w:sz w:val="21"/>
              </w:rPr>
            </w:pPr>
          </w:p>
        </w:tc>
      </w:tr>
      <w:tr w14:paraId="283871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45" w:hRule="atLeast"/>
        </w:trPr>
        <w:tc>
          <w:tcPr>
            <w:tcW w:w="893" w:type="dxa"/>
            <w:vAlign w:val="top"/>
          </w:tcPr>
          <w:p w14:paraId="1EF8B5F0">
            <w:pPr>
              <w:spacing w:line="270" w:lineRule="auto"/>
              <w:rPr>
                <w:rFonts w:ascii="Arial"/>
                <w:sz w:val="21"/>
              </w:rPr>
            </w:pPr>
          </w:p>
          <w:p w14:paraId="4F0EBA6B">
            <w:pPr>
              <w:spacing w:line="270" w:lineRule="auto"/>
              <w:rPr>
                <w:rFonts w:ascii="Arial"/>
                <w:sz w:val="21"/>
              </w:rPr>
            </w:pPr>
          </w:p>
          <w:p w14:paraId="11D97B0E">
            <w:pPr>
              <w:spacing w:line="271" w:lineRule="auto"/>
              <w:rPr>
                <w:rFonts w:ascii="Arial"/>
                <w:sz w:val="21"/>
              </w:rPr>
            </w:pPr>
          </w:p>
          <w:p w14:paraId="2355EB99">
            <w:pPr>
              <w:spacing w:line="271" w:lineRule="auto"/>
              <w:rPr>
                <w:rFonts w:ascii="Arial"/>
                <w:sz w:val="21"/>
              </w:rPr>
            </w:pPr>
          </w:p>
          <w:p w14:paraId="4F25FC07">
            <w:pPr>
              <w:spacing w:line="271" w:lineRule="auto"/>
              <w:rPr>
                <w:rFonts w:ascii="Arial"/>
                <w:sz w:val="21"/>
              </w:rPr>
            </w:pPr>
          </w:p>
          <w:p w14:paraId="2DBB9801">
            <w:pPr>
              <w:spacing w:line="271" w:lineRule="auto"/>
              <w:rPr>
                <w:rFonts w:ascii="Arial"/>
                <w:sz w:val="21"/>
              </w:rPr>
            </w:pPr>
          </w:p>
          <w:p w14:paraId="6F0ACBD7">
            <w:pPr>
              <w:pStyle w:val="6"/>
              <w:spacing w:before="55" w:line="219" w:lineRule="auto"/>
              <w:ind w:left="265"/>
            </w:pPr>
            <w:r>
              <w:rPr>
                <w:spacing w:val="-2"/>
              </w:rPr>
              <w:t>杂粮</w:t>
            </w:r>
          </w:p>
        </w:tc>
        <w:tc>
          <w:tcPr>
            <w:tcW w:w="2304" w:type="dxa"/>
            <w:vAlign w:val="top"/>
          </w:tcPr>
          <w:p w14:paraId="54981924">
            <w:pPr>
              <w:pStyle w:val="6"/>
              <w:spacing w:before="171" w:line="218" w:lineRule="auto"/>
              <w:ind w:left="12" w:right="1764"/>
            </w:pPr>
            <w:r>
              <w:rPr>
                <w:spacing w:val="1"/>
              </w:rPr>
              <w:t>1.玉米</w:t>
            </w:r>
            <w:r>
              <w:rPr>
                <w:spacing w:val="2"/>
              </w:rPr>
              <w:t xml:space="preserve"> </w:t>
            </w:r>
            <w:r>
              <w:rPr>
                <w:spacing w:val="-1"/>
              </w:rPr>
              <w:t>2.小米</w:t>
            </w:r>
          </w:p>
          <w:p w14:paraId="2FE71D31">
            <w:pPr>
              <w:pStyle w:val="6"/>
              <w:spacing w:before="38" w:line="220" w:lineRule="auto"/>
              <w:ind w:left="12"/>
            </w:pPr>
            <w:r>
              <w:rPr>
                <w:spacing w:val="-2"/>
              </w:rPr>
              <w:t>3.大豆</w:t>
            </w:r>
          </w:p>
          <w:p w14:paraId="5936C7EC">
            <w:pPr>
              <w:pStyle w:val="6"/>
              <w:spacing w:before="17" w:line="218" w:lineRule="auto"/>
              <w:ind w:left="12"/>
            </w:pPr>
            <w:r>
              <w:rPr>
                <w:spacing w:val="-1"/>
              </w:rPr>
              <w:t>4.绿豆</w:t>
            </w:r>
          </w:p>
          <w:p w14:paraId="79A95425">
            <w:pPr>
              <w:pStyle w:val="6"/>
              <w:spacing w:line="227" w:lineRule="auto"/>
              <w:ind w:left="12" w:right="1611"/>
            </w:pPr>
            <w:r>
              <w:rPr>
                <w:spacing w:val="-3"/>
              </w:rPr>
              <w:t>5.红小豆</w:t>
            </w:r>
            <w:r>
              <w:rPr>
                <w:spacing w:val="3"/>
              </w:rPr>
              <w:t xml:space="preserve"> </w:t>
            </w:r>
            <w:r>
              <w:rPr>
                <w:spacing w:val="-1"/>
              </w:rPr>
              <w:t>6.膏梁</w:t>
            </w:r>
          </w:p>
          <w:p w14:paraId="5F972279">
            <w:pPr>
              <w:pStyle w:val="6"/>
              <w:spacing w:before="19" w:line="237" w:lineRule="auto"/>
              <w:ind w:left="12" w:right="1684"/>
            </w:pPr>
            <w:r>
              <w:rPr>
                <w:spacing w:val="-3"/>
              </w:rPr>
              <w:t>7.大麦</w:t>
            </w:r>
            <w:r>
              <w:t xml:space="preserve">  </w:t>
            </w:r>
            <w:r>
              <w:rPr>
                <w:spacing w:val="-2"/>
              </w:rPr>
              <w:t>8.荞麦</w:t>
            </w:r>
            <w:r>
              <w:t xml:space="preserve">  </w:t>
            </w:r>
            <w:r>
              <w:rPr>
                <w:spacing w:val="-2"/>
              </w:rPr>
              <w:t>9.燕麦</w:t>
            </w:r>
            <w:r>
              <w:t xml:space="preserve">  10.莜麦</w:t>
            </w:r>
            <w:r>
              <w:rPr>
                <w:spacing w:val="1"/>
              </w:rPr>
              <w:t xml:space="preserve"> </w:t>
            </w:r>
            <w:r>
              <w:t>11.青稞</w:t>
            </w:r>
            <w:r>
              <w:rPr>
                <w:spacing w:val="1"/>
              </w:rPr>
              <w:t xml:space="preserve"> </w:t>
            </w:r>
            <w:r>
              <w:t>12.豌豆</w:t>
            </w:r>
            <w:r>
              <w:rPr>
                <w:spacing w:val="1"/>
              </w:rPr>
              <w:t xml:space="preserve"> </w:t>
            </w:r>
            <w:r>
              <w:t>13.蚕豆</w:t>
            </w:r>
          </w:p>
          <w:p w14:paraId="57EC3A5F">
            <w:pPr>
              <w:pStyle w:val="6"/>
              <w:spacing w:before="24" w:line="223" w:lineRule="auto"/>
              <w:ind w:left="12" w:right="145" w:firstLine="9"/>
            </w:pPr>
            <w:r>
              <w:t xml:space="preserve">14.运用所学知识，进行原料 </w:t>
            </w:r>
            <w:r>
              <w:rPr>
                <w:spacing w:val="2"/>
              </w:rPr>
              <w:t>的保管及鉴别</w:t>
            </w:r>
          </w:p>
        </w:tc>
        <w:tc>
          <w:tcPr>
            <w:tcW w:w="229" w:type="dxa"/>
            <w:vAlign w:val="top"/>
          </w:tcPr>
          <w:p w14:paraId="7A9ED7BB">
            <w:pPr>
              <w:rPr>
                <w:rFonts w:ascii="Arial"/>
                <w:sz w:val="21"/>
              </w:rPr>
            </w:pPr>
          </w:p>
        </w:tc>
        <w:tc>
          <w:tcPr>
            <w:tcW w:w="220" w:type="dxa"/>
            <w:vAlign w:val="top"/>
          </w:tcPr>
          <w:p w14:paraId="3D9644BA">
            <w:pPr>
              <w:rPr>
                <w:rFonts w:ascii="Arial"/>
                <w:sz w:val="21"/>
              </w:rPr>
            </w:pPr>
          </w:p>
        </w:tc>
        <w:tc>
          <w:tcPr>
            <w:tcW w:w="229" w:type="dxa"/>
            <w:vAlign w:val="top"/>
          </w:tcPr>
          <w:p w14:paraId="05098701">
            <w:pPr>
              <w:rPr>
                <w:rFonts w:ascii="Arial"/>
                <w:sz w:val="21"/>
              </w:rPr>
            </w:pPr>
          </w:p>
        </w:tc>
        <w:tc>
          <w:tcPr>
            <w:tcW w:w="244" w:type="dxa"/>
            <w:vAlign w:val="top"/>
          </w:tcPr>
          <w:p w14:paraId="2593C416">
            <w:pPr>
              <w:rPr>
                <w:rFonts w:ascii="Arial"/>
                <w:sz w:val="21"/>
              </w:rPr>
            </w:pPr>
          </w:p>
        </w:tc>
      </w:tr>
      <w:tr w14:paraId="21EB14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53" w:hRule="atLeast"/>
        </w:trPr>
        <w:tc>
          <w:tcPr>
            <w:tcW w:w="893" w:type="dxa"/>
            <w:vAlign w:val="top"/>
          </w:tcPr>
          <w:p w14:paraId="445666A2">
            <w:pPr>
              <w:spacing w:line="317" w:lineRule="auto"/>
              <w:rPr>
                <w:rFonts w:ascii="Arial"/>
                <w:sz w:val="21"/>
              </w:rPr>
            </w:pPr>
          </w:p>
          <w:p w14:paraId="33E2B4A4">
            <w:pPr>
              <w:spacing w:line="318" w:lineRule="auto"/>
              <w:rPr>
                <w:rFonts w:ascii="Arial"/>
                <w:sz w:val="21"/>
              </w:rPr>
            </w:pPr>
          </w:p>
          <w:p w14:paraId="4581EE55">
            <w:pPr>
              <w:pStyle w:val="6"/>
              <w:spacing w:before="55" w:line="219" w:lineRule="auto"/>
              <w:ind w:left="94"/>
            </w:pPr>
            <w:r>
              <w:rPr>
                <w:spacing w:val="4"/>
              </w:rPr>
              <w:t>粮食制品</w:t>
            </w:r>
          </w:p>
        </w:tc>
        <w:tc>
          <w:tcPr>
            <w:tcW w:w="2304" w:type="dxa"/>
            <w:vAlign w:val="top"/>
          </w:tcPr>
          <w:p w14:paraId="73D1B5A1">
            <w:pPr>
              <w:pStyle w:val="6"/>
              <w:spacing w:before="178" w:line="233" w:lineRule="auto"/>
              <w:ind w:left="12" w:right="1414"/>
              <w:jc w:val="both"/>
            </w:pPr>
            <w:r>
              <w:rPr>
                <w:spacing w:val="2"/>
              </w:rPr>
              <w:t>1.大豆制品</w:t>
            </w:r>
            <w:r>
              <w:rPr>
                <w:spacing w:val="4"/>
              </w:rPr>
              <w:t xml:space="preserve"> </w:t>
            </w:r>
            <w:r>
              <w:rPr>
                <w:spacing w:val="2"/>
              </w:rPr>
              <w:t>2.面粉制品</w:t>
            </w:r>
            <w:r>
              <w:rPr>
                <w:spacing w:val="4"/>
              </w:rPr>
              <w:t xml:space="preserve"> </w:t>
            </w:r>
            <w:r>
              <w:rPr>
                <w:spacing w:val="2"/>
              </w:rPr>
              <w:t>3.米粉制品</w:t>
            </w:r>
            <w:r>
              <w:rPr>
                <w:spacing w:val="4"/>
              </w:rPr>
              <w:t xml:space="preserve"> </w:t>
            </w:r>
            <w:r>
              <w:rPr>
                <w:spacing w:val="2"/>
              </w:rPr>
              <w:t>4.杂粮制品</w:t>
            </w:r>
          </w:p>
          <w:p w14:paraId="12A492BD">
            <w:pPr>
              <w:pStyle w:val="6"/>
              <w:spacing w:before="1" w:line="235" w:lineRule="auto"/>
              <w:ind w:left="12" w:right="227"/>
            </w:pPr>
            <w:r>
              <w:rPr>
                <w:spacing w:val="1"/>
              </w:rPr>
              <w:t>5.运用所学知识，对案例原</w:t>
            </w:r>
            <w:r>
              <w:t xml:space="preserve"> </w:t>
            </w:r>
            <w:r>
              <w:rPr>
                <w:spacing w:val="1"/>
              </w:rPr>
              <w:t>料实施保管及鉴别</w:t>
            </w:r>
          </w:p>
        </w:tc>
        <w:tc>
          <w:tcPr>
            <w:tcW w:w="229" w:type="dxa"/>
            <w:vAlign w:val="top"/>
          </w:tcPr>
          <w:p w14:paraId="200B8250">
            <w:pPr>
              <w:rPr>
                <w:rFonts w:ascii="Arial"/>
                <w:sz w:val="21"/>
              </w:rPr>
            </w:pPr>
          </w:p>
        </w:tc>
        <w:tc>
          <w:tcPr>
            <w:tcW w:w="220" w:type="dxa"/>
            <w:vAlign w:val="top"/>
          </w:tcPr>
          <w:p w14:paraId="2D8D1AA2">
            <w:pPr>
              <w:rPr>
                <w:rFonts w:ascii="Arial"/>
                <w:sz w:val="21"/>
              </w:rPr>
            </w:pPr>
          </w:p>
        </w:tc>
        <w:tc>
          <w:tcPr>
            <w:tcW w:w="229" w:type="dxa"/>
            <w:vAlign w:val="top"/>
          </w:tcPr>
          <w:p w14:paraId="3E9D96B9">
            <w:pPr>
              <w:spacing w:before="216" w:line="744" w:lineRule="exact"/>
              <w:ind w:firstLine="56"/>
            </w:pPr>
            <w:r>
              <w:rPr>
                <w:position w:val="-14"/>
              </w:rPr>
              <w:drawing>
                <wp:inline distT="0" distB="0" distL="0" distR="0">
                  <wp:extent cx="97790" cy="472440"/>
                  <wp:effectExtent l="0" t="0" r="0" b="0"/>
                  <wp:docPr id="296" name="IM 296"/>
                  <wp:cNvGraphicFramePr/>
                  <a:graphic xmlns:a="http://schemas.openxmlformats.org/drawingml/2006/main">
                    <a:graphicData uri="http://schemas.openxmlformats.org/drawingml/2006/picture">
                      <pic:pic xmlns:pic="http://schemas.openxmlformats.org/drawingml/2006/picture">
                        <pic:nvPicPr>
                          <pic:cNvPr id="296" name="IM 296"/>
                          <pic:cNvPicPr/>
                        </pic:nvPicPr>
                        <pic:blipFill>
                          <a:blip r:embed="rId312"/>
                          <a:stretch>
                            <a:fillRect/>
                          </a:stretch>
                        </pic:blipFill>
                        <pic:spPr>
                          <a:xfrm>
                            <a:off x="0" y="0"/>
                            <a:ext cx="98197" cy="472747"/>
                          </a:xfrm>
                          <a:prstGeom prst="rect">
                            <a:avLst/>
                          </a:prstGeom>
                        </pic:spPr>
                      </pic:pic>
                    </a:graphicData>
                  </a:graphic>
                </wp:inline>
              </w:drawing>
            </w:r>
          </w:p>
        </w:tc>
        <w:tc>
          <w:tcPr>
            <w:tcW w:w="244" w:type="dxa"/>
            <w:vAlign w:val="top"/>
          </w:tcPr>
          <w:p w14:paraId="4F5CBA72">
            <w:pPr>
              <w:rPr>
                <w:rFonts w:ascii="Arial"/>
                <w:sz w:val="21"/>
              </w:rPr>
            </w:pPr>
          </w:p>
        </w:tc>
      </w:tr>
    </w:tbl>
    <w:p w14:paraId="74C74A74">
      <w:pPr>
        <w:spacing w:before="128" w:line="219" w:lineRule="auto"/>
        <w:ind w:left="787"/>
        <w:rPr>
          <w:rFonts w:ascii="宋体" w:hAnsi="宋体" w:eastAsia="宋体" w:cs="宋体"/>
          <w:sz w:val="19"/>
          <w:szCs w:val="19"/>
        </w:rPr>
      </w:pPr>
      <w:r>
        <w:rPr>
          <w:rFonts w:ascii="宋体" w:hAnsi="宋体" w:eastAsia="宋体" w:cs="宋体"/>
          <w:b/>
          <w:bCs/>
          <w:spacing w:val="-3"/>
          <w:sz w:val="19"/>
          <w:szCs w:val="19"/>
        </w:rPr>
        <w:t>第三章</w:t>
      </w:r>
      <w:r>
        <w:rPr>
          <w:rFonts w:ascii="宋体" w:hAnsi="宋体" w:eastAsia="宋体" w:cs="宋体"/>
          <w:spacing w:val="-3"/>
          <w:sz w:val="19"/>
          <w:szCs w:val="19"/>
        </w:rPr>
        <w:t xml:space="preserve">  </w:t>
      </w:r>
      <w:r>
        <w:rPr>
          <w:rFonts w:ascii="宋体" w:hAnsi="宋体" w:eastAsia="宋体" w:cs="宋体"/>
          <w:b/>
          <w:bCs/>
          <w:spacing w:val="-3"/>
          <w:sz w:val="19"/>
          <w:szCs w:val="19"/>
        </w:rPr>
        <w:t>主配原料——蔬菜类</w:t>
      </w:r>
    </w:p>
    <w:p w14:paraId="5C5CD3AB">
      <w:pPr>
        <w:spacing w:line="15" w:lineRule="exact"/>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03"/>
        <w:gridCol w:w="2314"/>
        <w:gridCol w:w="229"/>
        <w:gridCol w:w="220"/>
        <w:gridCol w:w="229"/>
        <w:gridCol w:w="224"/>
      </w:tblGrid>
      <w:tr w14:paraId="3AF56E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3" w:hRule="atLeast"/>
        </w:trPr>
        <w:tc>
          <w:tcPr>
            <w:tcW w:w="903" w:type="dxa"/>
            <w:vMerge w:val="restart"/>
            <w:tcBorders>
              <w:bottom w:val="nil"/>
            </w:tcBorders>
            <w:vAlign w:val="top"/>
          </w:tcPr>
          <w:p w14:paraId="1D27A343">
            <w:pPr>
              <w:pStyle w:val="6"/>
              <w:spacing w:before="80" w:line="225" w:lineRule="auto"/>
              <w:ind w:left="263" w:hanging="246"/>
              <w:rPr>
                <w:sz w:val="18"/>
                <w:szCs w:val="18"/>
              </w:rPr>
            </w:pPr>
            <w:r>
              <w:rPr>
                <w:b/>
                <w:bCs/>
                <w:spacing w:val="-7"/>
                <w:sz w:val="18"/>
                <w:szCs w:val="18"/>
              </w:rPr>
              <w:t>知识与技能</w:t>
            </w:r>
            <w:r>
              <w:rPr>
                <w:sz w:val="18"/>
                <w:szCs w:val="18"/>
              </w:rPr>
              <w:t xml:space="preserve"> </w:t>
            </w:r>
            <w:r>
              <w:rPr>
                <w:b/>
                <w:bCs/>
                <w:spacing w:val="-6"/>
                <w:sz w:val="18"/>
                <w:szCs w:val="18"/>
              </w:rPr>
              <w:t>要点</w:t>
            </w:r>
          </w:p>
        </w:tc>
        <w:tc>
          <w:tcPr>
            <w:tcW w:w="2314" w:type="dxa"/>
            <w:vMerge w:val="restart"/>
            <w:tcBorders>
              <w:bottom w:val="nil"/>
            </w:tcBorders>
            <w:vAlign w:val="top"/>
          </w:tcPr>
          <w:p w14:paraId="118033B0">
            <w:pPr>
              <w:pStyle w:val="6"/>
              <w:spacing w:before="179" w:line="219" w:lineRule="auto"/>
              <w:ind w:left="834"/>
              <w:rPr>
                <w:sz w:val="18"/>
                <w:szCs w:val="18"/>
              </w:rPr>
            </w:pPr>
            <w:r>
              <w:rPr>
                <w:b/>
                <w:bCs/>
                <w:spacing w:val="5"/>
                <w:sz w:val="18"/>
                <w:szCs w:val="18"/>
              </w:rPr>
              <w:t>考试条目</w:t>
            </w:r>
          </w:p>
        </w:tc>
        <w:tc>
          <w:tcPr>
            <w:tcW w:w="902" w:type="dxa"/>
            <w:gridSpan w:val="4"/>
            <w:vAlign w:val="top"/>
          </w:tcPr>
          <w:p w14:paraId="27016CC7">
            <w:pPr>
              <w:pStyle w:val="6"/>
              <w:spacing w:before="59" w:line="219" w:lineRule="auto"/>
              <w:ind w:left="130"/>
              <w:rPr>
                <w:sz w:val="18"/>
                <w:szCs w:val="18"/>
              </w:rPr>
            </w:pPr>
            <w:r>
              <w:rPr>
                <w:b/>
                <w:bCs/>
                <w:spacing w:val="-4"/>
                <w:sz w:val="18"/>
                <w:szCs w:val="18"/>
              </w:rPr>
              <w:t>考试水平</w:t>
            </w:r>
          </w:p>
        </w:tc>
      </w:tr>
      <w:tr w14:paraId="6BF664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28" w:hRule="atLeast"/>
        </w:trPr>
        <w:tc>
          <w:tcPr>
            <w:tcW w:w="903" w:type="dxa"/>
            <w:vMerge w:val="continue"/>
            <w:tcBorders>
              <w:top w:val="nil"/>
            </w:tcBorders>
            <w:vAlign w:val="top"/>
          </w:tcPr>
          <w:p w14:paraId="3B4241BF">
            <w:pPr>
              <w:rPr>
                <w:rFonts w:ascii="Arial"/>
                <w:sz w:val="21"/>
              </w:rPr>
            </w:pPr>
          </w:p>
        </w:tc>
        <w:tc>
          <w:tcPr>
            <w:tcW w:w="2314" w:type="dxa"/>
            <w:vMerge w:val="continue"/>
            <w:tcBorders>
              <w:top w:val="nil"/>
            </w:tcBorders>
            <w:vAlign w:val="top"/>
          </w:tcPr>
          <w:p w14:paraId="04B7996B">
            <w:pPr>
              <w:rPr>
                <w:rFonts w:ascii="Arial"/>
                <w:sz w:val="21"/>
              </w:rPr>
            </w:pPr>
          </w:p>
        </w:tc>
        <w:tc>
          <w:tcPr>
            <w:tcW w:w="229" w:type="dxa"/>
            <w:vAlign w:val="top"/>
          </w:tcPr>
          <w:p w14:paraId="2555B65A">
            <w:pPr>
              <w:pStyle w:val="6"/>
              <w:spacing w:before="74" w:line="144" w:lineRule="exact"/>
              <w:ind w:left="30"/>
              <w:rPr>
                <w:sz w:val="18"/>
                <w:szCs w:val="18"/>
              </w:rPr>
            </w:pPr>
            <w:r>
              <w:rPr>
                <w:b/>
                <w:bCs/>
                <w:spacing w:val="-2"/>
                <w:position w:val="-2"/>
                <w:sz w:val="18"/>
                <w:szCs w:val="18"/>
              </w:rPr>
              <w:t>A</w:t>
            </w:r>
          </w:p>
        </w:tc>
        <w:tc>
          <w:tcPr>
            <w:tcW w:w="220" w:type="dxa"/>
            <w:vAlign w:val="top"/>
          </w:tcPr>
          <w:p w14:paraId="2356D201">
            <w:pPr>
              <w:pStyle w:val="6"/>
              <w:spacing w:before="77" w:line="141" w:lineRule="exact"/>
              <w:ind w:left="21"/>
              <w:rPr>
                <w:sz w:val="18"/>
                <w:szCs w:val="18"/>
              </w:rPr>
            </w:pPr>
            <w:r>
              <w:rPr>
                <w:b/>
                <w:bCs/>
                <w:spacing w:val="-2"/>
                <w:position w:val="-2"/>
                <w:sz w:val="18"/>
                <w:szCs w:val="18"/>
              </w:rPr>
              <w:t>B</w:t>
            </w:r>
          </w:p>
        </w:tc>
        <w:tc>
          <w:tcPr>
            <w:tcW w:w="229" w:type="dxa"/>
            <w:vAlign w:val="top"/>
          </w:tcPr>
          <w:p w14:paraId="4B2A111E">
            <w:pPr>
              <w:pStyle w:val="6"/>
              <w:spacing w:before="74" w:line="144" w:lineRule="exact"/>
              <w:ind w:left="41"/>
              <w:rPr>
                <w:sz w:val="18"/>
                <w:szCs w:val="18"/>
              </w:rPr>
            </w:pPr>
            <w:r>
              <w:rPr>
                <w:b/>
                <w:bCs/>
                <w:spacing w:val="-2"/>
                <w:position w:val="-2"/>
                <w:sz w:val="18"/>
                <w:szCs w:val="18"/>
              </w:rPr>
              <w:t>C</w:t>
            </w:r>
          </w:p>
        </w:tc>
        <w:tc>
          <w:tcPr>
            <w:tcW w:w="224" w:type="dxa"/>
            <w:vAlign w:val="top"/>
          </w:tcPr>
          <w:p w14:paraId="5AF1A11F">
            <w:pPr>
              <w:pStyle w:val="6"/>
              <w:spacing w:before="77" w:line="141" w:lineRule="exact"/>
              <w:ind w:left="62"/>
              <w:rPr>
                <w:sz w:val="18"/>
                <w:szCs w:val="18"/>
              </w:rPr>
            </w:pPr>
            <w:r>
              <w:rPr>
                <w:b/>
                <w:bCs/>
                <w:spacing w:val="-2"/>
                <w:position w:val="-2"/>
                <w:sz w:val="18"/>
                <w:szCs w:val="18"/>
              </w:rPr>
              <w:t>D</w:t>
            </w:r>
          </w:p>
        </w:tc>
      </w:tr>
      <w:tr w14:paraId="3C5B85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08" w:hRule="atLeast"/>
        </w:trPr>
        <w:tc>
          <w:tcPr>
            <w:tcW w:w="903" w:type="dxa"/>
            <w:vAlign w:val="top"/>
          </w:tcPr>
          <w:p w14:paraId="2BE020E6">
            <w:pPr>
              <w:spacing w:line="258" w:lineRule="auto"/>
              <w:rPr>
                <w:rFonts w:ascii="Arial"/>
                <w:sz w:val="21"/>
              </w:rPr>
            </w:pPr>
          </w:p>
          <w:p w14:paraId="4C2E0382">
            <w:pPr>
              <w:pStyle w:val="6"/>
              <w:spacing w:before="59" w:line="219" w:lineRule="auto"/>
              <w:ind w:left="87"/>
              <w:rPr>
                <w:sz w:val="18"/>
                <w:szCs w:val="18"/>
              </w:rPr>
            </w:pPr>
            <w:r>
              <w:rPr>
                <w:b/>
                <w:bCs/>
                <w:sz w:val="18"/>
                <w:szCs w:val="18"/>
              </w:rPr>
              <w:t>蔬菜类原</w:t>
            </w:r>
          </w:p>
          <w:p w14:paraId="33E55DD2">
            <w:pPr>
              <w:pStyle w:val="6"/>
              <w:spacing w:before="16" w:line="219" w:lineRule="auto"/>
              <w:ind w:left="177"/>
              <w:rPr>
                <w:sz w:val="18"/>
                <w:szCs w:val="18"/>
              </w:rPr>
            </w:pPr>
            <w:r>
              <w:rPr>
                <w:b/>
                <w:bCs/>
                <w:spacing w:val="-4"/>
                <w:sz w:val="18"/>
                <w:szCs w:val="18"/>
              </w:rPr>
              <w:t>料概述</w:t>
            </w:r>
          </w:p>
        </w:tc>
        <w:tc>
          <w:tcPr>
            <w:tcW w:w="2314" w:type="dxa"/>
            <w:vAlign w:val="top"/>
          </w:tcPr>
          <w:p w14:paraId="2F52EA8C">
            <w:pPr>
              <w:pStyle w:val="6"/>
              <w:spacing w:before="89" w:line="228" w:lineRule="auto"/>
              <w:ind w:left="14" w:right="126"/>
              <w:rPr>
                <w:sz w:val="18"/>
                <w:szCs w:val="18"/>
              </w:rPr>
            </w:pPr>
            <w:r>
              <w:rPr>
                <w:b/>
                <w:bCs/>
                <w:spacing w:val="-2"/>
                <w:sz w:val="18"/>
                <w:szCs w:val="18"/>
              </w:rPr>
              <w:t>1.蔬菜类原料的概念与营养</w:t>
            </w:r>
            <w:r>
              <w:rPr>
                <w:spacing w:val="3"/>
                <w:sz w:val="18"/>
                <w:szCs w:val="18"/>
              </w:rPr>
              <w:t xml:space="preserve"> </w:t>
            </w:r>
            <w:r>
              <w:rPr>
                <w:b/>
                <w:bCs/>
                <w:spacing w:val="-5"/>
                <w:sz w:val="18"/>
                <w:szCs w:val="18"/>
              </w:rPr>
              <w:t>成分</w:t>
            </w:r>
          </w:p>
          <w:p w14:paraId="3566B0EB">
            <w:pPr>
              <w:pStyle w:val="6"/>
              <w:spacing w:before="14" w:line="224" w:lineRule="auto"/>
              <w:ind w:left="14" w:right="138"/>
              <w:rPr>
                <w:sz w:val="18"/>
                <w:szCs w:val="18"/>
              </w:rPr>
            </w:pPr>
            <w:r>
              <w:rPr>
                <w:b/>
                <w:bCs/>
                <w:spacing w:val="-3"/>
                <w:sz w:val="18"/>
                <w:szCs w:val="18"/>
              </w:rPr>
              <w:t>2.蔬菜类原料的分类方法和</w:t>
            </w:r>
            <w:r>
              <w:rPr>
                <w:spacing w:val="4"/>
                <w:sz w:val="18"/>
                <w:szCs w:val="18"/>
              </w:rPr>
              <w:t xml:space="preserve"> </w:t>
            </w:r>
            <w:r>
              <w:rPr>
                <w:b/>
                <w:bCs/>
                <w:spacing w:val="2"/>
                <w:sz w:val="18"/>
                <w:szCs w:val="18"/>
              </w:rPr>
              <w:t>烹饪应用</w:t>
            </w:r>
          </w:p>
        </w:tc>
        <w:tc>
          <w:tcPr>
            <w:tcW w:w="229" w:type="dxa"/>
            <w:vAlign w:val="top"/>
          </w:tcPr>
          <w:p w14:paraId="5FF7D4D2">
            <w:pPr>
              <w:pStyle w:val="6"/>
              <w:spacing w:before="139" w:line="238" w:lineRule="auto"/>
              <w:ind w:left="17"/>
              <w:rPr>
                <w:sz w:val="18"/>
                <w:szCs w:val="18"/>
              </w:rPr>
            </w:pPr>
            <w:r>
              <w:rPr>
                <w:sz w:val="18"/>
                <w:szCs w:val="18"/>
              </w:rPr>
              <w:t>√</w:t>
            </w:r>
          </w:p>
        </w:tc>
        <w:tc>
          <w:tcPr>
            <w:tcW w:w="220" w:type="dxa"/>
            <w:vAlign w:val="top"/>
          </w:tcPr>
          <w:p w14:paraId="0848349A">
            <w:pPr>
              <w:rPr>
                <w:rFonts w:ascii="Arial"/>
                <w:sz w:val="21"/>
              </w:rPr>
            </w:pPr>
          </w:p>
        </w:tc>
        <w:tc>
          <w:tcPr>
            <w:tcW w:w="229" w:type="dxa"/>
            <w:vAlign w:val="top"/>
          </w:tcPr>
          <w:p w14:paraId="2EB08597">
            <w:pPr>
              <w:rPr>
                <w:rFonts w:ascii="Arial"/>
                <w:sz w:val="21"/>
              </w:rPr>
            </w:pPr>
          </w:p>
        </w:tc>
        <w:tc>
          <w:tcPr>
            <w:tcW w:w="224" w:type="dxa"/>
            <w:vAlign w:val="top"/>
          </w:tcPr>
          <w:p w14:paraId="33F69531">
            <w:pPr>
              <w:spacing w:line="249" w:lineRule="auto"/>
              <w:rPr>
                <w:rFonts w:ascii="Arial"/>
                <w:sz w:val="21"/>
              </w:rPr>
            </w:pPr>
          </w:p>
          <w:p w14:paraId="03F750B1">
            <w:pPr>
              <w:spacing w:line="249" w:lineRule="auto"/>
              <w:rPr>
                <w:rFonts w:ascii="Arial"/>
                <w:sz w:val="21"/>
              </w:rPr>
            </w:pPr>
          </w:p>
          <w:p w14:paraId="53E427CD">
            <w:pPr>
              <w:pStyle w:val="6"/>
              <w:spacing w:before="39" w:line="238" w:lineRule="auto"/>
              <w:ind w:left="50"/>
              <w:rPr>
                <w:sz w:val="12"/>
                <w:szCs w:val="12"/>
              </w:rPr>
            </w:pPr>
            <w:r>
              <w:rPr>
                <w:sz w:val="12"/>
                <w:szCs w:val="12"/>
              </w:rPr>
              <w:t>√</w:t>
            </w:r>
          </w:p>
        </w:tc>
      </w:tr>
    </w:tbl>
    <w:p w14:paraId="017017C5">
      <w:pPr>
        <w:pStyle w:val="2"/>
        <w:spacing w:line="209" w:lineRule="exact"/>
        <w:rPr>
          <w:sz w:val="18"/>
        </w:rPr>
      </w:pPr>
    </w:p>
    <w:p w14:paraId="31BA09F1">
      <w:pPr>
        <w:spacing w:line="209" w:lineRule="exact"/>
        <w:rPr>
          <w:sz w:val="18"/>
          <w:szCs w:val="18"/>
        </w:rPr>
        <w:sectPr>
          <w:footerReference r:id="rId55" w:type="default"/>
          <w:pgSz w:w="10660" w:h="15080"/>
          <w:pgMar w:top="400" w:right="875" w:bottom="925" w:left="1034" w:header="0" w:footer="705" w:gutter="0"/>
          <w:cols w:space="720" w:num="1"/>
        </w:sectPr>
      </w:pPr>
    </w:p>
    <w:p w14:paraId="7756F279">
      <w:pPr>
        <w:spacing w:before="10"/>
      </w:pPr>
    </w:p>
    <w:p w14:paraId="7FBEB2BD">
      <w:pPr>
        <w:spacing w:before="10"/>
      </w:pPr>
    </w:p>
    <w:p w14:paraId="338C29E2">
      <w:pPr>
        <w:spacing w:before="10"/>
      </w:pPr>
    </w:p>
    <w:p w14:paraId="0E95AB06">
      <w:pPr>
        <w:spacing w:before="9"/>
      </w:pPr>
    </w:p>
    <w:p w14:paraId="753D7CB5">
      <w:pPr>
        <w:sectPr>
          <w:footerReference r:id="rId56" w:type="default"/>
          <w:pgSz w:w="10660" w:h="15080"/>
          <w:pgMar w:top="400" w:right="1024" w:bottom="927" w:left="819" w:header="0" w:footer="719" w:gutter="0"/>
          <w:cols w:equalWidth="0" w:num="1">
            <w:col w:w="8816"/>
          </w:cols>
        </w:sectPr>
      </w:pPr>
    </w:p>
    <w:p w14:paraId="12ECD280">
      <w:pPr>
        <w:spacing w:before="18" w:line="219" w:lineRule="auto"/>
        <w:ind w:left="752"/>
        <w:rPr>
          <w:rFonts w:ascii="宋体" w:hAnsi="宋体" w:eastAsia="宋体" w:cs="宋体"/>
          <w:sz w:val="19"/>
          <w:szCs w:val="19"/>
        </w:rPr>
      </w:pPr>
      <w:r>
        <w:rPr>
          <w:rFonts w:ascii="宋体" w:hAnsi="宋体" w:eastAsia="宋体" w:cs="宋体"/>
          <w:b/>
          <w:bCs/>
          <w:spacing w:val="-3"/>
          <w:sz w:val="19"/>
          <w:szCs w:val="19"/>
        </w:rPr>
        <w:t>第五章</w:t>
      </w:r>
      <w:r>
        <w:rPr>
          <w:rFonts w:ascii="宋体" w:hAnsi="宋体" w:eastAsia="宋体" w:cs="宋体"/>
          <w:spacing w:val="-3"/>
          <w:sz w:val="19"/>
          <w:szCs w:val="19"/>
        </w:rPr>
        <w:t xml:space="preserve">  </w:t>
      </w:r>
      <w:r>
        <w:rPr>
          <w:rFonts w:ascii="宋体" w:hAnsi="宋体" w:eastAsia="宋体" w:cs="宋体"/>
          <w:b/>
          <w:bCs/>
          <w:spacing w:val="-3"/>
          <w:sz w:val="19"/>
          <w:szCs w:val="19"/>
        </w:rPr>
        <w:t>主配原料——水产品类</w:t>
      </w:r>
    </w:p>
    <w:p w14:paraId="1BAFBD47">
      <w:pPr>
        <w:spacing w:line="25" w:lineRule="exact"/>
      </w:pPr>
    </w:p>
    <w:tbl>
      <w:tblPr>
        <w:tblStyle w:val="5"/>
        <w:tblW w:w="4090"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63"/>
        <w:gridCol w:w="2324"/>
        <w:gridCol w:w="220"/>
        <w:gridCol w:w="229"/>
        <w:gridCol w:w="239"/>
        <w:gridCol w:w="215"/>
      </w:tblGrid>
      <w:tr w14:paraId="64B168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4" w:hRule="atLeast"/>
        </w:trPr>
        <w:tc>
          <w:tcPr>
            <w:tcW w:w="863" w:type="dxa"/>
            <w:vMerge w:val="restart"/>
            <w:tcBorders>
              <w:bottom w:val="nil"/>
            </w:tcBorders>
            <w:vAlign w:val="top"/>
          </w:tcPr>
          <w:p w14:paraId="63100561">
            <w:pPr>
              <w:pStyle w:val="6"/>
              <w:spacing w:before="61" w:line="214" w:lineRule="auto"/>
              <w:ind w:left="247" w:right="1" w:hanging="230"/>
              <w:rPr>
                <w:sz w:val="18"/>
                <w:szCs w:val="18"/>
              </w:rPr>
            </w:pPr>
            <w:r>
              <w:rPr>
                <w:b/>
                <w:bCs/>
                <w:spacing w:val="-18"/>
                <w:sz w:val="18"/>
                <w:szCs w:val="18"/>
              </w:rPr>
              <w:t>知</w:t>
            </w:r>
            <w:r>
              <w:rPr>
                <w:b/>
                <w:bCs/>
                <w:spacing w:val="-17"/>
                <w:sz w:val="18"/>
                <w:szCs w:val="18"/>
              </w:rPr>
              <w:t>识与技</w:t>
            </w:r>
            <w:r>
              <w:rPr>
                <w:b/>
                <w:bCs/>
                <w:spacing w:val="-11"/>
                <w:sz w:val="18"/>
                <w:szCs w:val="18"/>
              </w:rPr>
              <w:t>能</w:t>
            </w:r>
            <w:r>
              <w:rPr>
                <w:spacing w:val="3"/>
                <w:sz w:val="18"/>
                <w:szCs w:val="18"/>
              </w:rPr>
              <w:t xml:space="preserve"> </w:t>
            </w:r>
            <w:r>
              <w:rPr>
                <w:b/>
                <w:bCs/>
                <w:spacing w:val="-4"/>
                <w:sz w:val="18"/>
                <w:szCs w:val="18"/>
              </w:rPr>
              <w:t>要点</w:t>
            </w:r>
          </w:p>
        </w:tc>
        <w:tc>
          <w:tcPr>
            <w:tcW w:w="2324" w:type="dxa"/>
            <w:vMerge w:val="restart"/>
            <w:tcBorders>
              <w:bottom w:val="nil"/>
            </w:tcBorders>
            <w:vAlign w:val="top"/>
          </w:tcPr>
          <w:p w14:paraId="52F0667A">
            <w:pPr>
              <w:pStyle w:val="6"/>
              <w:spacing w:before="169" w:line="219" w:lineRule="auto"/>
              <w:ind w:left="854"/>
              <w:rPr>
                <w:sz w:val="18"/>
                <w:szCs w:val="18"/>
              </w:rPr>
            </w:pPr>
            <w:r>
              <w:rPr>
                <w:b/>
                <w:bCs/>
                <w:spacing w:val="5"/>
                <w:sz w:val="18"/>
                <w:szCs w:val="18"/>
              </w:rPr>
              <w:t>考试条目</w:t>
            </w:r>
          </w:p>
        </w:tc>
        <w:tc>
          <w:tcPr>
            <w:tcW w:w="903" w:type="dxa"/>
            <w:gridSpan w:val="4"/>
            <w:vAlign w:val="top"/>
          </w:tcPr>
          <w:p w14:paraId="43F18700">
            <w:pPr>
              <w:pStyle w:val="6"/>
              <w:spacing w:before="39" w:line="219" w:lineRule="auto"/>
              <w:ind w:left="140"/>
              <w:rPr>
                <w:sz w:val="18"/>
                <w:szCs w:val="18"/>
              </w:rPr>
            </w:pPr>
            <w:r>
              <w:rPr>
                <w:b/>
                <w:bCs/>
                <w:spacing w:val="-4"/>
                <w:sz w:val="18"/>
                <w:szCs w:val="18"/>
              </w:rPr>
              <w:t>考试水平</w:t>
            </w:r>
          </w:p>
        </w:tc>
      </w:tr>
      <w:tr w14:paraId="1C3D0A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0" w:hRule="atLeast"/>
        </w:trPr>
        <w:tc>
          <w:tcPr>
            <w:tcW w:w="863" w:type="dxa"/>
            <w:vMerge w:val="continue"/>
            <w:tcBorders>
              <w:top w:val="nil"/>
            </w:tcBorders>
            <w:vAlign w:val="top"/>
          </w:tcPr>
          <w:p w14:paraId="11115181">
            <w:pPr>
              <w:rPr>
                <w:rFonts w:ascii="Arial"/>
                <w:sz w:val="21"/>
              </w:rPr>
            </w:pPr>
          </w:p>
        </w:tc>
        <w:tc>
          <w:tcPr>
            <w:tcW w:w="2324" w:type="dxa"/>
            <w:vMerge w:val="continue"/>
            <w:tcBorders>
              <w:top w:val="nil"/>
            </w:tcBorders>
            <w:vAlign w:val="top"/>
          </w:tcPr>
          <w:p w14:paraId="437BE165">
            <w:pPr>
              <w:rPr>
                <w:rFonts w:ascii="Arial"/>
                <w:sz w:val="21"/>
              </w:rPr>
            </w:pPr>
          </w:p>
        </w:tc>
        <w:tc>
          <w:tcPr>
            <w:tcW w:w="220" w:type="dxa"/>
            <w:vAlign w:val="top"/>
          </w:tcPr>
          <w:p w14:paraId="11E61599">
            <w:pPr>
              <w:pStyle w:val="6"/>
              <w:spacing w:before="83" w:line="161" w:lineRule="auto"/>
              <w:ind w:left="50"/>
              <w:rPr>
                <w:sz w:val="18"/>
                <w:szCs w:val="18"/>
              </w:rPr>
            </w:pPr>
            <w:r>
              <w:rPr>
                <w:b/>
                <w:bCs/>
                <w:spacing w:val="-2"/>
                <w:sz w:val="18"/>
                <w:szCs w:val="18"/>
              </w:rPr>
              <w:t>A</w:t>
            </w:r>
          </w:p>
        </w:tc>
        <w:tc>
          <w:tcPr>
            <w:tcW w:w="229" w:type="dxa"/>
            <w:vAlign w:val="top"/>
          </w:tcPr>
          <w:p w14:paraId="73A4EEBC">
            <w:pPr>
              <w:pStyle w:val="6"/>
              <w:spacing w:before="85" w:line="158" w:lineRule="auto"/>
              <w:ind w:left="60"/>
              <w:rPr>
                <w:sz w:val="18"/>
                <w:szCs w:val="18"/>
              </w:rPr>
            </w:pPr>
            <w:r>
              <w:rPr>
                <w:b/>
                <w:bCs/>
                <w:spacing w:val="-2"/>
                <w:sz w:val="18"/>
                <w:szCs w:val="18"/>
              </w:rPr>
              <w:t>B</w:t>
            </w:r>
          </w:p>
        </w:tc>
        <w:tc>
          <w:tcPr>
            <w:tcW w:w="239" w:type="dxa"/>
            <w:vAlign w:val="top"/>
          </w:tcPr>
          <w:p w14:paraId="5FB14A21">
            <w:pPr>
              <w:pStyle w:val="6"/>
              <w:spacing w:before="83" w:line="160" w:lineRule="auto"/>
              <w:ind w:left="71"/>
              <w:rPr>
                <w:sz w:val="18"/>
                <w:szCs w:val="18"/>
              </w:rPr>
            </w:pPr>
            <w:r>
              <w:rPr>
                <w:b/>
                <w:bCs/>
                <w:spacing w:val="-2"/>
                <w:sz w:val="18"/>
                <w:szCs w:val="18"/>
              </w:rPr>
              <w:t>C</w:t>
            </w:r>
          </w:p>
        </w:tc>
        <w:tc>
          <w:tcPr>
            <w:tcW w:w="215" w:type="dxa"/>
            <w:vAlign w:val="top"/>
          </w:tcPr>
          <w:p w14:paraId="4C955AD1">
            <w:pPr>
              <w:pStyle w:val="6"/>
              <w:spacing w:before="85" w:line="158" w:lineRule="auto"/>
              <w:ind w:left="50"/>
              <w:rPr>
                <w:sz w:val="18"/>
                <w:szCs w:val="18"/>
              </w:rPr>
            </w:pPr>
            <w:r>
              <w:rPr>
                <w:sz w:val="18"/>
                <w:szCs w:val="18"/>
              </w:rPr>
              <w:t>D</w:t>
            </w:r>
          </w:p>
        </w:tc>
      </w:tr>
      <w:tr w14:paraId="5EC0E1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69" w:hRule="atLeast"/>
        </w:trPr>
        <w:tc>
          <w:tcPr>
            <w:tcW w:w="863" w:type="dxa"/>
            <w:vAlign w:val="top"/>
          </w:tcPr>
          <w:p w14:paraId="0FE5BB1D">
            <w:pPr>
              <w:spacing w:line="427" w:lineRule="auto"/>
              <w:rPr>
                <w:rFonts w:ascii="Arial"/>
                <w:sz w:val="21"/>
              </w:rPr>
            </w:pPr>
          </w:p>
          <w:p w14:paraId="206F7CA4">
            <w:pPr>
              <w:pStyle w:val="6"/>
              <w:spacing w:before="59" w:line="222" w:lineRule="auto"/>
              <w:ind w:left="64" w:right="77"/>
              <w:rPr>
                <w:sz w:val="18"/>
                <w:szCs w:val="18"/>
              </w:rPr>
            </w:pPr>
            <w:r>
              <w:rPr>
                <w:spacing w:val="-3"/>
                <w:sz w:val="18"/>
                <w:szCs w:val="18"/>
              </w:rPr>
              <w:t>水产品类</w:t>
            </w:r>
            <w:r>
              <w:rPr>
                <w:spacing w:val="1"/>
                <w:sz w:val="18"/>
                <w:szCs w:val="18"/>
              </w:rPr>
              <w:t xml:space="preserve"> </w:t>
            </w:r>
            <w:r>
              <w:rPr>
                <w:spacing w:val="-3"/>
                <w:sz w:val="18"/>
                <w:szCs w:val="18"/>
              </w:rPr>
              <w:t>原料概述</w:t>
            </w:r>
          </w:p>
        </w:tc>
        <w:tc>
          <w:tcPr>
            <w:tcW w:w="2324" w:type="dxa"/>
            <w:vAlign w:val="top"/>
          </w:tcPr>
          <w:p w14:paraId="4D4C87DB">
            <w:pPr>
              <w:pStyle w:val="6"/>
              <w:spacing w:before="167" w:line="226" w:lineRule="auto"/>
              <w:ind w:left="11" w:right="110" w:firstLine="20"/>
              <w:rPr>
                <w:sz w:val="18"/>
                <w:szCs w:val="18"/>
              </w:rPr>
            </w:pPr>
            <w:r>
              <w:rPr>
                <w:sz w:val="18"/>
                <w:szCs w:val="18"/>
              </w:rPr>
              <w:t>1.水产品类原料的分类及营</w:t>
            </w:r>
            <w:r>
              <w:rPr>
                <w:spacing w:val="10"/>
                <w:sz w:val="18"/>
                <w:szCs w:val="18"/>
              </w:rPr>
              <w:t xml:space="preserve"> </w:t>
            </w:r>
            <w:r>
              <w:rPr>
                <w:spacing w:val="-2"/>
                <w:sz w:val="18"/>
                <w:szCs w:val="18"/>
              </w:rPr>
              <w:t>养成分</w:t>
            </w:r>
          </w:p>
          <w:p w14:paraId="7C257BEF">
            <w:pPr>
              <w:pStyle w:val="6"/>
              <w:spacing w:before="1" w:line="225" w:lineRule="auto"/>
              <w:ind w:left="11" w:right="130"/>
              <w:rPr>
                <w:sz w:val="18"/>
                <w:szCs w:val="18"/>
              </w:rPr>
            </w:pPr>
            <w:r>
              <w:rPr>
                <w:sz w:val="18"/>
                <w:szCs w:val="18"/>
              </w:rPr>
              <w:t>2.水产品类原料的组织结构</w:t>
            </w:r>
            <w:r>
              <w:rPr>
                <w:spacing w:val="10"/>
                <w:sz w:val="18"/>
                <w:szCs w:val="18"/>
              </w:rPr>
              <w:t xml:space="preserve"> </w:t>
            </w:r>
            <w:r>
              <w:rPr>
                <w:spacing w:val="1"/>
                <w:sz w:val="18"/>
                <w:szCs w:val="18"/>
              </w:rPr>
              <w:t>3.鱼的部位分档</w:t>
            </w:r>
          </w:p>
          <w:p w14:paraId="586C7750">
            <w:pPr>
              <w:pStyle w:val="6"/>
              <w:spacing w:line="219" w:lineRule="auto"/>
              <w:ind w:left="11"/>
              <w:rPr>
                <w:sz w:val="18"/>
                <w:szCs w:val="18"/>
              </w:rPr>
            </w:pPr>
            <w:r>
              <w:rPr>
                <w:spacing w:val="1"/>
                <w:sz w:val="18"/>
                <w:szCs w:val="18"/>
              </w:rPr>
              <w:t>4.水产品类原料的烹饪应用</w:t>
            </w:r>
          </w:p>
        </w:tc>
        <w:tc>
          <w:tcPr>
            <w:tcW w:w="220" w:type="dxa"/>
            <w:vAlign w:val="top"/>
          </w:tcPr>
          <w:p w14:paraId="5B0B31C8">
            <w:pPr>
              <w:pStyle w:val="6"/>
              <w:spacing w:before="137" w:line="238" w:lineRule="auto"/>
              <w:ind w:right="2"/>
              <w:jc w:val="right"/>
              <w:rPr>
                <w:sz w:val="12"/>
                <w:szCs w:val="12"/>
              </w:rPr>
            </w:pPr>
            <w:r>
              <w:rPr>
                <w:sz w:val="12"/>
                <w:szCs w:val="12"/>
              </w:rPr>
              <w:t>√</w:t>
            </w:r>
          </w:p>
        </w:tc>
        <w:tc>
          <w:tcPr>
            <w:tcW w:w="229" w:type="dxa"/>
            <w:vAlign w:val="top"/>
          </w:tcPr>
          <w:p w14:paraId="6AA95B7C">
            <w:pPr>
              <w:rPr>
                <w:rFonts w:ascii="Arial"/>
                <w:sz w:val="21"/>
              </w:rPr>
            </w:pPr>
          </w:p>
        </w:tc>
        <w:tc>
          <w:tcPr>
            <w:tcW w:w="239" w:type="dxa"/>
            <w:vAlign w:val="top"/>
          </w:tcPr>
          <w:p w14:paraId="4A9BA96B">
            <w:pPr>
              <w:rPr>
                <w:rFonts w:ascii="Arial"/>
                <w:sz w:val="21"/>
              </w:rPr>
            </w:pPr>
          </w:p>
        </w:tc>
        <w:tc>
          <w:tcPr>
            <w:tcW w:w="215" w:type="dxa"/>
            <w:vAlign w:val="top"/>
          </w:tcPr>
          <w:p w14:paraId="46E61161">
            <w:pPr>
              <w:rPr>
                <w:rFonts w:ascii="Arial"/>
                <w:sz w:val="21"/>
              </w:rPr>
            </w:pPr>
          </w:p>
        </w:tc>
      </w:tr>
      <w:tr w14:paraId="44A133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55" w:hRule="atLeast"/>
        </w:trPr>
        <w:tc>
          <w:tcPr>
            <w:tcW w:w="863" w:type="dxa"/>
            <w:vAlign w:val="top"/>
          </w:tcPr>
          <w:p w14:paraId="3ABC203A">
            <w:pPr>
              <w:spacing w:line="250" w:lineRule="auto"/>
              <w:rPr>
                <w:rFonts w:ascii="Arial"/>
                <w:sz w:val="21"/>
              </w:rPr>
            </w:pPr>
          </w:p>
          <w:p w14:paraId="64DB8925">
            <w:pPr>
              <w:spacing w:line="250" w:lineRule="auto"/>
              <w:rPr>
                <w:rFonts w:ascii="Arial"/>
                <w:sz w:val="21"/>
              </w:rPr>
            </w:pPr>
          </w:p>
          <w:p w14:paraId="14A9782A">
            <w:pPr>
              <w:spacing w:line="250" w:lineRule="auto"/>
              <w:rPr>
                <w:rFonts w:ascii="Arial"/>
                <w:sz w:val="21"/>
              </w:rPr>
            </w:pPr>
          </w:p>
          <w:p w14:paraId="0B005190">
            <w:pPr>
              <w:spacing w:line="250" w:lineRule="auto"/>
              <w:rPr>
                <w:rFonts w:ascii="Arial"/>
                <w:sz w:val="21"/>
              </w:rPr>
            </w:pPr>
          </w:p>
          <w:p w14:paraId="782017B4">
            <w:pPr>
              <w:spacing w:line="251" w:lineRule="auto"/>
              <w:rPr>
                <w:rFonts w:ascii="Arial"/>
                <w:sz w:val="21"/>
              </w:rPr>
            </w:pPr>
          </w:p>
          <w:p w14:paraId="4183030E">
            <w:pPr>
              <w:spacing w:line="251" w:lineRule="auto"/>
              <w:rPr>
                <w:rFonts w:ascii="Arial"/>
                <w:sz w:val="21"/>
              </w:rPr>
            </w:pPr>
          </w:p>
          <w:p w14:paraId="443F70B1">
            <w:pPr>
              <w:spacing w:line="251" w:lineRule="auto"/>
              <w:rPr>
                <w:rFonts w:ascii="Arial"/>
                <w:sz w:val="21"/>
              </w:rPr>
            </w:pPr>
          </w:p>
          <w:p w14:paraId="2A3F5ECA">
            <w:pPr>
              <w:spacing w:line="251" w:lineRule="auto"/>
              <w:rPr>
                <w:rFonts w:ascii="Arial"/>
                <w:sz w:val="21"/>
              </w:rPr>
            </w:pPr>
          </w:p>
          <w:p w14:paraId="6843B150">
            <w:pPr>
              <w:spacing w:line="251" w:lineRule="auto"/>
              <w:rPr>
                <w:rFonts w:ascii="Arial"/>
                <w:sz w:val="21"/>
              </w:rPr>
            </w:pPr>
          </w:p>
          <w:p w14:paraId="020E588A">
            <w:pPr>
              <w:spacing w:line="251" w:lineRule="auto"/>
              <w:rPr>
                <w:rFonts w:ascii="Arial"/>
                <w:sz w:val="21"/>
              </w:rPr>
            </w:pPr>
          </w:p>
          <w:p w14:paraId="575FFC87">
            <w:pPr>
              <w:pStyle w:val="6"/>
              <w:spacing w:before="58" w:line="222" w:lineRule="auto"/>
              <w:ind w:left="64" w:right="54"/>
              <w:rPr>
                <w:sz w:val="18"/>
                <w:szCs w:val="18"/>
              </w:rPr>
            </w:pPr>
            <w:r>
              <w:rPr>
                <w:spacing w:val="2"/>
                <w:sz w:val="18"/>
                <w:szCs w:val="18"/>
              </w:rPr>
              <w:t>常用海洋</w:t>
            </w:r>
            <w:r>
              <w:rPr>
                <w:sz w:val="18"/>
                <w:szCs w:val="18"/>
              </w:rPr>
              <w:t xml:space="preserve"> </w:t>
            </w:r>
            <w:r>
              <w:rPr>
                <w:spacing w:val="3"/>
                <w:sz w:val="18"/>
                <w:szCs w:val="18"/>
              </w:rPr>
              <w:t>鱼类品种</w:t>
            </w:r>
          </w:p>
        </w:tc>
        <w:tc>
          <w:tcPr>
            <w:tcW w:w="2324" w:type="dxa"/>
            <w:vAlign w:val="top"/>
          </w:tcPr>
          <w:p w14:paraId="37D55929">
            <w:pPr>
              <w:pStyle w:val="6"/>
              <w:spacing w:before="157" w:line="228" w:lineRule="auto"/>
              <w:ind w:left="11" w:right="1573"/>
              <w:rPr>
                <w:sz w:val="18"/>
                <w:szCs w:val="18"/>
              </w:rPr>
            </w:pPr>
            <w:r>
              <w:rPr>
                <w:spacing w:val="1"/>
                <w:sz w:val="18"/>
                <w:szCs w:val="18"/>
              </w:rPr>
              <w:t>1.大黄鱼</w:t>
            </w:r>
            <w:r>
              <w:rPr>
                <w:spacing w:val="2"/>
                <w:sz w:val="18"/>
                <w:szCs w:val="18"/>
              </w:rPr>
              <w:t xml:space="preserve"> </w:t>
            </w:r>
            <w:r>
              <w:rPr>
                <w:spacing w:val="-2"/>
                <w:sz w:val="18"/>
                <w:szCs w:val="18"/>
              </w:rPr>
              <w:t>2.小黄鱼</w:t>
            </w:r>
            <w:r>
              <w:rPr>
                <w:sz w:val="18"/>
                <w:szCs w:val="18"/>
              </w:rPr>
              <w:t xml:space="preserve"> </w:t>
            </w:r>
            <w:r>
              <w:rPr>
                <w:spacing w:val="-3"/>
                <w:sz w:val="18"/>
                <w:szCs w:val="18"/>
              </w:rPr>
              <w:t>3.黄姑鱼</w:t>
            </w:r>
            <w:r>
              <w:rPr>
                <w:spacing w:val="3"/>
                <w:sz w:val="18"/>
                <w:szCs w:val="18"/>
              </w:rPr>
              <w:t xml:space="preserve"> </w:t>
            </w:r>
            <w:r>
              <w:rPr>
                <w:spacing w:val="-2"/>
                <w:sz w:val="18"/>
                <w:szCs w:val="18"/>
              </w:rPr>
              <w:t>4.白姑鱼</w:t>
            </w:r>
            <w:r>
              <w:rPr>
                <w:spacing w:val="2"/>
                <w:sz w:val="18"/>
                <w:szCs w:val="18"/>
              </w:rPr>
              <w:t xml:space="preserve"> </w:t>
            </w:r>
            <w:r>
              <w:rPr>
                <w:spacing w:val="-1"/>
                <w:sz w:val="18"/>
                <w:szCs w:val="18"/>
              </w:rPr>
              <w:t>5.晚鱼</w:t>
            </w:r>
          </w:p>
          <w:p w14:paraId="3283BA8C">
            <w:pPr>
              <w:pStyle w:val="6"/>
              <w:spacing w:before="3" w:line="225" w:lineRule="auto"/>
              <w:ind w:left="11" w:right="1769"/>
              <w:rPr>
                <w:sz w:val="18"/>
                <w:szCs w:val="18"/>
              </w:rPr>
            </w:pPr>
            <w:r>
              <w:rPr>
                <w:spacing w:val="-3"/>
                <w:sz w:val="18"/>
                <w:szCs w:val="18"/>
              </w:rPr>
              <w:t>6.带鱼</w:t>
            </w:r>
            <w:r>
              <w:rPr>
                <w:spacing w:val="2"/>
                <w:sz w:val="18"/>
                <w:szCs w:val="18"/>
              </w:rPr>
              <w:t xml:space="preserve"> </w:t>
            </w:r>
            <w:r>
              <w:rPr>
                <w:spacing w:val="-3"/>
                <w:sz w:val="18"/>
                <w:szCs w:val="18"/>
              </w:rPr>
              <w:t>7.蚴鱼</w:t>
            </w:r>
            <w:r>
              <w:rPr>
                <w:sz w:val="18"/>
                <w:szCs w:val="18"/>
              </w:rPr>
              <w:t xml:space="preserve"> </w:t>
            </w:r>
            <w:r>
              <w:rPr>
                <w:spacing w:val="-2"/>
                <w:sz w:val="18"/>
                <w:szCs w:val="18"/>
              </w:rPr>
              <w:t>8.牙鲜</w:t>
            </w:r>
            <w:r>
              <w:rPr>
                <w:sz w:val="18"/>
                <w:szCs w:val="18"/>
              </w:rPr>
              <w:t xml:space="preserve"> 9.蝶</w:t>
            </w:r>
          </w:p>
          <w:p w14:paraId="58960A6B">
            <w:pPr>
              <w:pStyle w:val="6"/>
              <w:spacing w:line="215" w:lineRule="auto"/>
              <w:ind w:left="11"/>
              <w:rPr>
                <w:sz w:val="18"/>
                <w:szCs w:val="18"/>
              </w:rPr>
            </w:pPr>
            <w:r>
              <w:rPr>
                <w:spacing w:val="4"/>
                <w:sz w:val="18"/>
                <w:szCs w:val="18"/>
              </w:rPr>
              <w:t>10.鳊</w:t>
            </w:r>
          </w:p>
          <w:p w14:paraId="64ECBCB8">
            <w:pPr>
              <w:pStyle w:val="6"/>
              <w:spacing w:line="220" w:lineRule="auto"/>
              <w:ind w:left="11"/>
              <w:rPr>
                <w:sz w:val="18"/>
                <w:szCs w:val="18"/>
              </w:rPr>
            </w:pPr>
            <w:r>
              <w:rPr>
                <w:spacing w:val="2"/>
                <w:sz w:val="18"/>
                <w:szCs w:val="18"/>
              </w:rPr>
              <w:t>11.舌鳊</w:t>
            </w:r>
          </w:p>
          <w:p w14:paraId="693F9DDE">
            <w:pPr>
              <w:pStyle w:val="6"/>
              <w:spacing w:before="17" w:line="214" w:lineRule="auto"/>
              <w:ind w:left="11"/>
              <w:rPr>
                <w:sz w:val="18"/>
                <w:szCs w:val="18"/>
              </w:rPr>
            </w:pPr>
            <w:r>
              <w:rPr>
                <w:spacing w:val="1"/>
                <w:sz w:val="18"/>
                <w:szCs w:val="18"/>
              </w:rPr>
              <w:t>12.鲳鱼</w:t>
            </w:r>
          </w:p>
          <w:p w14:paraId="7A1C007A">
            <w:pPr>
              <w:pStyle w:val="6"/>
              <w:spacing w:line="220" w:lineRule="auto"/>
              <w:ind w:left="11"/>
              <w:rPr>
                <w:sz w:val="18"/>
                <w:szCs w:val="18"/>
              </w:rPr>
            </w:pPr>
            <w:r>
              <w:rPr>
                <w:spacing w:val="1"/>
                <w:sz w:val="18"/>
                <w:szCs w:val="18"/>
              </w:rPr>
              <w:t>13.鲅鱼</w:t>
            </w:r>
          </w:p>
          <w:p w14:paraId="5833F26D">
            <w:pPr>
              <w:pStyle w:val="6"/>
              <w:spacing w:before="26" w:line="205" w:lineRule="auto"/>
              <w:ind w:left="11"/>
              <w:rPr>
                <w:sz w:val="18"/>
                <w:szCs w:val="18"/>
              </w:rPr>
            </w:pPr>
            <w:r>
              <w:rPr>
                <w:spacing w:val="1"/>
                <w:sz w:val="18"/>
                <w:szCs w:val="18"/>
              </w:rPr>
              <w:t>14.鲐鱼</w:t>
            </w:r>
          </w:p>
          <w:p w14:paraId="12F0A646">
            <w:pPr>
              <w:pStyle w:val="6"/>
              <w:spacing w:line="221" w:lineRule="auto"/>
              <w:ind w:left="11"/>
              <w:rPr>
                <w:sz w:val="18"/>
                <w:szCs w:val="18"/>
              </w:rPr>
            </w:pPr>
            <w:r>
              <w:rPr>
                <w:spacing w:val="1"/>
                <w:sz w:val="18"/>
                <w:szCs w:val="18"/>
              </w:rPr>
              <w:t>15.加吉鱼</w:t>
            </w:r>
          </w:p>
          <w:p w14:paraId="001280BD">
            <w:pPr>
              <w:pStyle w:val="6"/>
              <w:spacing w:before="22" w:line="205" w:lineRule="auto"/>
              <w:ind w:left="11"/>
              <w:rPr>
                <w:sz w:val="18"/>
                <w:szCs w:val="18"/>
              </w:rPr>
            </w:pPr>
            <w:r>
              <w:rPr>
                <w:spacing w:val="1"/>
                <w:sz w:val="18"/>
                <w:szCs w:val="18"/>
              </w:rPr>
              <w:t>16.红鳍笛鲷</w:t>
            </w:r>
          </w:p>
          <w:p w14:paraId="161D7716">
            <w:pPr>
              <w:pStyle w:val="6"/>
              <w:spacing w:line="219" w:lineRule="auto"/>
              <w:ind w:left="11"/>
              <w:rPr>
                <w:sz w:val="18"/>
                <w:szCs w:val="18"/>
              </w:rPr>
            </w:pPr>
            <w:r>
              <w:rPr>
                <w:spacing w:val="1"/>
                <w:sz w:val="18"/>
                <w:szCs w:val="18"/>
              </w:rPr>
              <w:t>17.鲈鱼</w:t>
            </w:r>
          </w:p>
          <w:p w14:paraId="207214E4">
            <w:pPr>
              <w:pStyle w:val="6"/>
              <w:spacing w:before="27" w:line="218" w:lineRule="auto"/>
              <w:ind w:left="11"/>
              <w:rPr>
                <w:sz w:val="18"/>
                <w:szCs w:val="18"/>
              </w:rPr>
            </w:pPr>
            <w:r>
              <w:rPr>
                <w:spacing w:val="1"/>
                <w:sz w:val="18"/>
                <w:szCs w:val="18"/>
              </w:rPr>
              <w:t>18.海鳗</w:t>
            </w:r>
          </w:p>
          <w:p w14:paraId="6C7F0770">
            <w:pPr>
              <w:pStyle w:val="6"/>
              <w:spacing w:before="1" w:line="216" w:lineRule="auto"/>
              <w:ind w:left="11" w:right="1483"/>
              <w:rPr>
                <w:sz w:val="18"/>
                <w:szCs w:val="18"/>
              </w:rPr>
            </w:pPr>
            <w:r>
              <w:rPr>
                <w:spacing w:val="1"/>
                <w:sz w:val="18"/>
                <w:szCs w:val="18"/>
              </w:rPr>
              <w:t xml:space="preserve">19.石斑鱼 </w:t>
            </w:r>
            <w:r>
              <w:rPr>
                <w:spacing w:val="-2"/>
                <w:sz w:val="18"/>
                <w:szCs w:val="18"/>
              </w:rPr>
              <w:t>20.鲱鱼</w:t>
            </w:r>
          </w:p>
          <w:p w14:paraId="3DD30548">
            <w:pPr>
              <w:pStyle w:val="6"/>
              <w:spacing w:before="17" w:line="221" w:lineRule="auto"/>
              <w:ind w:left="11" w:right="1501"/>
              <w:rPr>
                <w:sz w:val="18"/>
                <w:szCs w:val="18"/>
              </w:rPr>
            </w:pPr>
            <w:r>
              <w:rPr>
                <w:spacing w:val="-2"/>
                <w:sz w:val="18"/>
                <w:szCs w:val="18"/>
              </w:rPr>
              <w:t>21.马面鲀</w:t>
            </w:r>
            <w:r>
              <w:rPr>
                <w:spacing w:val="1"/>
                <w:sz w:val="18"/>
                <w:szCs w:val="18"/>
              </w:rPr>
              <w:t xml:space="preserve"> </w:t>
            </w:r>
            <w:r>
              <w:rPr>
                <w:spacing w:val="-2"/>
                <w:sz w:val="18"/>
                <w:szCs w:val="18"/>
              </w:rPr>
              <w:t>22.沙丁鱼</w:t>
            </w:r>
            <w:r>
              <w:rPr>
                <w:spacing w:val="1"/>
                <w:sz w:val="18"/>
                <w:szCs w:val="18"/>
              </w:rPr>
              <w:t xml:space="preserve"> </w:t>
            </w:r>
            <w:r>
              <w:rPr>
                <w:spacing w:val="2"/>
                <w:sz w:val="18"/>
                <w:szCs w:val="18"/>
              </w:rPr>
              <w:t>23.孔鲧</w:t>
            </w:r>
            <w:r>
              <w:rPr>
                <w:sz w:val="18"/>
                <w:szCs w:val="18"/>
              </w:rPr>
              <w:t xml:space="preserve">  </w:t>
            </w:r>
            <w:r>
              <w:rPr>
                <w:spacing w:val="-2"/>
                <w:sz w:val="18"/>
                <w:szCs w:val="18"/>
              </w:rPr>
              <w:t>24.金枪鱼</w:t>
            </w:r>
          </w:p>
        </w:tc>
        <w:tc>
          <w:tcPr>
            <w:tcW w:w="220" w:type="dxa"/>
            <w:vAlign w:val="top"/>
          </w:tcPr>
          <w:p w14:paraId="753F7908">
            <w:pPr>
              <w:rPr>
                <w:rFonts w:ascii="Arial"/>
                <w:sz w:val="21"/>
              </w:rPr>
            </w:pPr>
          </w:p>
        </w:tc>
        <w:tc>
          <w:tcPr>
            <w:tcW w:w="229" w:type="dxa"/>
            <w:vAlign w:val="top"/>
          </w:tcPr>
          <w:p w14:paraId="2689866C">
            <w:pPr>
              <w:rPr>
                <w:rFonts w:ascii="Arial"/>
                <w:sz w:val="21"/>
              </w:rPr>
            </w:pPr>
          </w:p>
        </w:tc>
        <w:tc>
          <w:tcPr>
            <w:tcW w:w="239" w:type="dxa"/>
            <w:vAlign w:val="top"/>
          </w:tcPr>
          <w:p w14:paraId="46D78B5A">
            <w:pPr>
              <w:spacing w:before="226" w:line="308" w:lineRule="exact"/>
              <w:ind w:firstLine="54"/>
            </w:pPr>
            <w:r>
              <w:rPr>
                <w:position w:val="-6"/>
              </w:rPr>
              <w:drawing>
                <wp:inline distT="0" distB="0" distL="0" distR="0">
                  <wp:extent cx="94615" cy="194945"/>
                  <wp:effectExtent l="0" t="0" r="0" b="0"/>
                  <wp:docPr id="298" name="IM 298"/>
                  <wp:cNvGraphicFramePr/>
                  <a:graphic xmlns:a="http://schemas.openxmlformats.org/drawingml/2006/main">
                    <a:graphicData uri="http://schemas.openxmlformats.org/drawingml/2006/picture">
                      <pic:pic xmlns:pic="http://schemas.openxmlformats.org/drawingml/2006/picture">
                        <pic:nvPicPr>
                          <pic:cNvPr id="298" name="IM 298"/>
                          <pic:cNvPicPr/>
                        </pic:nvPicPr>
                        <pic:blipFill>
                          <a:blip r:embed="rId313"/>
                          <a:stretch>
                            <a:fillRect/>
                          </a:stretch>
                        </pic:blipFill>
                        <pic:spPr>
                          <a:xfrm>
                            <a:off x="0" y="0"/>
                            <a:ext cx="95241" cy="195405"/>
                          </a:xfrm>
                          <a:prstGeom prst="rect">
                            <a:avLst/>
                          </a:prstGeom>
                        </pic:spPr>
                      </pic:pic>
                    </a:graphicData>
                  </a:graphic>
                </wp:inline>
              </w:drawing>
            </w:r>
          </w:p>
        </w:tc>
        <w:tc>
          <w:tcPr>
            <w:tcW w:w="215" w:type="dxa"/>
            <w:vAlign w:val="top"/>
          </w:tcPr>
          <w:p w14:paraId="6C0ACA91">
            <w:pPr>
              <w:rPr>
                <w:rFonts w:ascii="Arial"/>
                <w:sz w:val="21"/>
              </w:rPr>
            </w:pPr>
          </w:p>
        </w:tc>
      </w:tr>
      <w:tr w14:paraId="2693CF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41" w:hRule="atLeast"/>
        </w:trPr>
        <w:tc>
          <w:tcPr>
            <w:tcW w:w="863" w:type="dxa"/>
            <w:vAlign w:val="top"/>
          </w:tcPr>
          <w:p w14:paraId="1E5F2F3D">
            <w:pPr>
              <w:spacing w:line="263" w:lineRule="auto"/>
              <w:rPr>
                <w:rFonts w:ascii="Arial"/>
                <w:sz w:val="21"/>
              </w:rPr>
            </w:pPr>
          </w:p>
          <w:p w14:paraId="300F0E73">
            <w:pPr>
              <w:spacing w:line="264" w:lineRule="auto"/>
              <w:rPr>
                <w:rFonts w:ascii="Arial"/>
                <w:sz w:val="21"/>
              </w:rPr>
            </w:pPr>
          </w:p>
          <w:p w14:paraId="77B746CF">
            <w:pPr>
              <w:spacing w:line="264" w:lineRule="auto"/>
              <w:rPr>
                <w:rFonts w:ascii="Arial"/>
                <w:sz w:val="21"/>
              </w:rPr>
            </w:pPr>
          </w:p>
          <w:p w14:paraId="0655703A">
            <w:pPr>
              <w:spacing w:line="264" w:lineRule="auto"/>
              <w:rPr>
                <w:rFonts w:ascii="Arial"/>
                <w:sz w:val="21"/>
              </w:rPr>
            </w:pPr>
          </w:p>
          <w:p w14:paraId="64EEEC70">
            <w:pPr>
              <w:spacing w:line="264" w:lineRule="auto"/>
              <w:rPr>
                <w:rFonts w:ascii="Arial"/>
                <w:sz w:val="21"/>
              </w:rPr>
            </w:pPr>
          </w:p>
          <w:p w14:paraId="72030EFA">
            <w:pPr>
              <w:spacing w:line="264" w:lineRule="auto"/>
              <w:rPr>
                <w:rFonts w:ascii="Arial"/>
                <w:sz w:val="21"/>
              </w:rPr>
            </w:pPr>
          </w:p>
          <w:p w14:paraId="2D406102">
            <w:pPr>
              <w:spacing w:line="264" w:lineRule="auto"/>
              <w:rPr>
                <w:rFonts w:ascii="Arial"/>
                <w:sz w:val="21"/>
              </w:rPr>
            </w:pPr>
          </w:p>
          <w:p w14:paraId="63B9C348">
            <w:pPr>
              <w:spacing w:line="264" w:lineRule="auto"/>
              <w:rPr>
                <w:rFonts w:ascii="Arial"/>
                <w:sz w:val="21"/>
              </w:rPr>
            </w:pPr>
          </w:p>
          <w:p w14:paraId="469CE85F">
            <w:pPr>
              <w:pStyle w:val="6"/>
              <w:spacing w:before="58" w:line="244" w:lineRule="auto"/>
              <w:ind w:left="64" w:right="54"/>
              <w:rPr>
                <w:sz w:val="18"/>
                <w:szCs w:val="18"/>
              </w:rPr>
            </w:pPr>
            <w:r>
              <w:rPr>
                <w:spacing w:val="-3"/>
                <w:sz w:val="18"/>
                <w:szCs w:val="18"/>
              </w:rPr>
              <w:t>常用淡水</w:t>
            </w:r>
            <w:r>
              <w:rPr>
                <w:sz w:val="18"/>
                <w:szCs w:val="18"/>
              </w:rPr>
              <w:t xml:space="preserve"> </w:t>
            </w:r>
            <w:r>
              <w:rPr>
                <w:spacing w:val="3"/>
                <w:sz w:val="18"/>
                <w:szCs w:val="18"/>
              </w:rPr>
              <w:t>鱼类品种</w:t>
            </w:r>
          </w:p>
        </w:tc>
        <w:tc>
          <w:tcPr>
            <w:tcW w:w="2324" w:type="dxa"/>
            <w:vAlign w:val="top"/>
          </w:tcPr>
          <w:p w14:paraId="6EC2E54E">
            <w:pPr>
              <w:pStyle w:val="6"/>
              <w:spacing w:before="116" w:line="221" w:lineRule="auto"/>
              <w:ind w:left="11"/>
              <w:rPr>
                <w:sz w:val="18"/>
                <w:szCs w:val="18"/>
              </w:rPr>
            </w:pPr>
            <w:r>
              <w:rPr>
                <w:spacing w:val="2"/>
                <w:sz w:val="18"/>
                <w:szCs w:val="18"/>
              </w:rPr>
              <w:t>1.鲥鱼</w:t>
            </w:r>
          </w:p>
          <w:p w14:paraId="0F2907CE">
            <w:pPr>
              <w:pStyle w:val="6"/>
              <w:spacing w:before="3" w:line="208" w:lineRule="auto"/>
              <w:ind w:left="11" w:right="1411"/>
              <w:rPr>
                <w:sz w:val="18"/>
                <w:szCs w:val="18"/>
              </w:rPr>
            </w:pPr>
            <w:r>
              <w:rPr>
                <w:spacing w:val="-2"/>
                <w:sz w:val="18"/>
                <w:szCs w:val="18"/>
              </w:rPr>
              <w:t>2.大马哈鱼</w:t>
            </w:r>
            <w:r>
              <w:rPr>
                <w:spacing w:val="1"/>
                <w:sz w:val="18"/>
                <w:szCs w:val="18"/>
              </w:rPr>
              <w:t xml:space="preserve"> </w:t>
            </w:r>
            <w:r>
              <w:rPr>
                <w:spacing w:val="-4"/>
                <w:sz w:val="18"/>
                <w:szCs w:val="18"/>
              </w:rPr>
              <w:t>3.蛴</w:t>
            </w:r>
          </w:p>
          <w:p w14:paraId="53C1C738">
            <w:pPr>
              <w:pStyle w:val="6"/>
              <w:spacing w:before="14" w:line="220" w:lineRule="auto"/>
              <w:ind w:left="11"/>
              <w:rPr>
                <w:sz w:val="18"/>
                <w:szCs w:val="18"/>
              </w:rPr>
            </w:pPr>
            <w:r>
              <w:rPr>
                <w:spacing w:val="-2"/>
                <w:sz w:val="18"/>
                <w:szCs w:val="18"/>
              </w:rPr>
              <w:t>4.鳗鳙</w:t>
            </w:r>
          </w:p>
          <w:p w14:paraId="79FEFE53">
            <w:pPr>
              <w:pStyle w:val="6"/>
              <w:spacing w:before="8" w:line="223" w:lineRule="auto"/>
              <w:ind w:left="11"/>
              <w:rPr>
                <w:sz w:val="18"/>
                <w:szCs w:val="18"/>
              </w:rPr>
            </w:pPr>
            <w:r>
              <w:rPr>
                <w:spacing w:val="-2"/>
                <w:sz w:val="18"/>
                <w:szCs w:val="18"/>
              </w:rPr>
              <w:t>5.银鱼</w:t>
            </w:r>
          </w:p>
          <w:p w14:paraId="01EFDF38">
            <w:pPr>
              <w:pStyle w:val="6"/>
              <w:spacing w:before="7" w:line="218" w:lineRule="auto"/>
              <w:ind w:left="11"/>
              <w:rPr>
                <w:sz w:val="18"/>
                <w:szCs w:val="18"/>
              </w:rPr>
            </w:pPr>
            <w:r>
              <w:rPr>
                <w:spacing w:val="-2"/>
                <w:sz w:val="18"/>
                <w:szCs w:val="18"/>
              </w:rPr>
              <w:t>6.鲤鱼</w:t>
            </w:r>
          </w:p>
          <w:p w14:paraId="2BB30B5A">
            <w:pPr>
              <w:pStyle w:val="6"/>
              <w:spacing w:line="220" w:lineRule="auto"/>
              <w:ind w:left="11"/>
              <w:rPr>
                <w:sz w:val="18"/>
                <w:szCs w:val="18"/>
              </w:rPr>
            </w:pPr>
            <w:r>
              <w:rPr>
                <w:spacing w:val="-3"/>
                <w:sz w:val="18"/>
                <w:szCs w:val="18"/>
              </w:rPr>
              <w:t>7.鲫鱼</w:t>
            </w:r>
          </w:p>
          <w:p w14:paraId="6E0FEB8A">
            <w:pPr>
              <w:pStyle w:val="6"/>
              <w:spacing w:before="29" w:line="201" w:lineRule="auto"/>
              <w:ind w:left="11"/>
              <w:rPr>
                <w:sz w:val="18"/>
                <w:szCs w:val="18"/>
              </w:rPr>
            </w:pPr>
            <w:r>
              <w:rPr>
                <w:spacing w:val="-2"/>
                <w:sz w:val="18"/>
                <w:szCs w:val="18"/>
              </w:rPr>
              <w:t>8.鲢鱼</w:t>
            </w:r>
          </w:p>
          <w:p w14:paraId="4E4B5968">
            <w:pPr>
              <w:pStyle w:val="6"/>
              <w:spacing w:line="220" w:lineRule="auto"/>
              <w:ind w:left="11"/>
              <w:rPr>
                <w:sz w:val="18"/>
                <w:szCs w:val="18"/>
              </w:rPr>
            </w:pPr>
            <w:r>
              <w:rPr>
                <w:spacing w:val="-2"/>
                <w:sz w:val="18"/>
                <w:szCs w:val="18"/>
              </w:rPr>
              <w:t>9.鳙鱼</w:t>
            </w:r>
          </w:p>
          <w:p w14:paraId="1DCB4D69">
            <w:pPr>
              <w:pStyle w:val="6"/>
              <w:spacing w:before="5" w:line="219" w:lineRule="auto"/>
              <w:ind w:left="11"/>
              <w:rPr>
                <w:sz w:val="18"/>
                <w:szCs w:val="18"/>
              </w:rPr>
            </w:pPr>
            <w:r>
              <w:rPr>
                <w:spacing w:val="1"/>
                <w:sz w:val="18"/>
                <w:szCs w:val="18"/>
              </w:rPr>
              <w:t>10.草鱼</w:t>
            </w:r>
          </w:p>
          <w:p w14:paraId="51477A03">
            <w:pPr>
              <w:pStyle w:val="6"/>
              <w:spacing w:before="5" w:line="219" w:lineRule="auto"/>
              <w:ind w:left="11"/>
              <w:rPr>
                <w:sz w:val="18"/>
                <w:szCs w:val="18"/>
              </w:rPr>
            </w:pPr>
            <w:r>
              <w:rPr>
                <w:spacing w:val="1"/>
                <w:sz w:val="18"/>
                <w:szCs w:val="18"/>
              </w:rPr>
              <w:t>11.青鱼</w:t>
            </w:r>
          </w:p>
          <w:p w14:paraId="38E7C4BA">
            <w:pPr>
              <w:pStyle w:val="6"/>
              <w:spacing w:before="7" w:line="219" w:lineRule="auto"/>
              <w:ind w:left="11"/>
              <w:rPr>
                <w:sz w:val="18"/>
                <w:szCs w:val="18"/>
              </w:rPr>
            </w:pPr>
            <w:r>
              <w:rPr>
                <w:spacing w:val="1"/>
                <w:sz w:val="18"/>
                <w:szCs w:val="18"/>
              </w:rPr>
              <w:t>12.鳜鱼</w:t>
            </w:r>
          </w:p>
          <w:p w14:paraId="0F966F49">
            <w:pPr>
              <w:pStyle w:val="6"/>
              <w:spacing w:before="21" w:line="215" w:lineRule="auto"/>
              <w:ind w:left="11"/>
              <w:rPr>
                <w:sz w:val="18"/>
                <w:szCs w:val="18"/>
              </w:rPr>
            </w:pPr>
            <w:r>
              <w:rPr>
                <w:spacing w:val="2"/>
                <w:sz w:val="18"/>
                <w:szCs w:val="18"/>
              </w:rPr>
              <w:t>13.黑鱼</w:t>
            </w:r>
          </w:p>
          <w:p w14:paraId="05353A50">
            <w:pPr>
              <w:pStyle w:val="6"/>
              <w:spacing w:before="1" w:line="223" w:lineRule="auto"/>
              <w:ind w:left="11"/>
              <w:rPr>
                <w:sz w:val="18"/>
                <w:szCs w:val="18"/>
              </w:rPr>
            </w:pPr>
            <w:r>
              <w:rPr>
                <w:spacing w:val="1"/>
                <w:sz w:val="18"/>
                <w:szCs w:val="18"/>
              </w:rPr>
              <w:t>14.感鱼</w:t>
            </w:r>
          </w:p>
          <w:p w14:paraId="5EDC532E">
            <w:pPr>
              <w:pStyle w:val="6"/>
              <w:spacing w:before="7" w:line="219" w:lineRule="auto"/>
              <w:ind w:left="11" w:right="1482"/>
              <w:rPr>
                <w:sz w:val="18"/>
                <w:szCs w:val="18"/>
              </w:rPr>
            </w:pPr>
            <w:r>
              <w:rPr>
                <w:spacing w:val="1"/>
                <w:sz w:val="18"/>
                <w:szCs w:val="18"/>
              </w:rPr>
              <w:t>15.团头鲂</w:t>
            </w:r>
            <w:r>
              <w:rPr>
                <w:spacing w:val="2"/>
                <w:sz w:val="18"/>
                <w:szCs w:val="18"/>
              </w:rPr>
              <w:t xml:space="preserve"> </w:t>
            </w:r>
            <w:r>
              <w:rPr>
                <w:spacing w:val="1"/>
                <w:sz w:val="18"/>
                <w:szCs w:val="18"/>
              </w:rPr>
              <w:t>16.鳝鱼</w:t>
            </w:r>
          </w:p>
          <w:p w14:paraId="1E16377F">
            <w:pPr>
              <w:pStyle w:val="6"/>
              <w:spacing w:before="34" w:line="210" w:lineRule="auto"/>
              <w:ind w:left="11" w:right="1303"/>
              <w:rPr>
                <w:sz w:val="18"/>
                <w:szCs w:val="18"/>
              </w:rPr>
            </w:pPr>
            <w:r>
              <w:rPr>
                <w:spacing w:val="1"/>
                <w:sz w:val="18"/>
                <w:szCs w:val="18"/>
              </w:rPr>
              <w:t>17.非洲鲫鱼</w:t>
            </w:r>
            <w:r>
              <w:rPr>
                <w:sz w:val="18"/>
                <w:szCs w:val="18"/>
              </w:rPr>
              <w:t xml:space="preserve"> </w:t>
            </w:r>
            <w:r>
              <w:rPr>
                <w:spacing w:val="1"/>
                <w:sz w:val="18"/>
                <w:szCs w:val="18"/>
              </w:rPr>
              <w:t>18.虹鳟鱼</w:t>
            </w:r>
          </w:p>
          <w:p w14:paraId="1F67AE27">
            <w:pPr>
              <w:pStyle w:val="6"/>
              <w:spacing w:before="1" w:line="224" w:lineRule="auto"/>
              <w:ind w:left="11" w:right="1483"/>
              <w:rPr>
                <w:sz w:val="18"/>
                <w:szCs w:val="18"/>
              </w:rPr>
            </w:pPr>
            <w:r>
              <w:rPr>
                <w:spacing w:val="1"/>
                <w:sz w:val="18"/>
                <w:szCs w:val="18"/>
              </w:rPr>
              <w:t xml:space="preserve">19.黄颡鱼 </w:t>
            </w:r>
            <w:r>
              <w:rPr>
                <w:spacing w:val="-2"/>
                <w:sz w:val="18"/>
                <w:szCs w:val="18"/>
              </w:rPr>
              <w:t>20.鲇鱼</w:t>
            </w:r>
          </w:p>
          <w:p w14:paraId="693DF3B7">
            <w:pPr>
              <w:pStyle w:val="6"/>
              <w:spacing w:before="2" w:line="219" w:lineRule="auto"/>
              <w:ind w:left="11"/>
              <w:rPr>
                <w:sz w:val="18"/>
                <w:szCs w:val="18"/>
              </w:rPr>
            </w:pPr>
            <w:r>
              <w:rPr>
                <w:spacing w:val="-1"/>
                <w:sz w:val="18"/>
                <w:szCs w:val="18"/>
              </w:rPr>
              <w:t>21.泥鳅</w:t>
            </w:r>
          </w:p>
        </w:tc>
        <w:tc>
          <w:tcPr>
            <w:tcW w:w="220" w:type="dxa"/>
            <w:vAlign w:val="top"/>
          </w:tcPr>
          <w:p w14:paraId="5F456FA3">
            <w:pPr>
              <w:rPr>
                <w:rFonts w:ascii="Arial"/>
                <w:sz w:val="21"/>
              </w:rPr>
            </w:pPr>
          </w:p>
        </w:tc>
        <w:tc>
          <w:tcPr>
            <w:tcW w:w="229" w:type="dxa"/>
            <w:vAlign w:val="top"/>
          </w:tcPr>
          <w:p w14:paraId="1442A168">
            <w:pPr>
              <w:rPr>
                <w:rFonts w:ascii="Arial"/>
                <w:sz w:val="21"/>
              </w:rPr>
            </w:pPr>
          </w:p>
        </w:tc>
        <w:tc>
          <w:tcPr>
            <w:tcW w:w="239" w:type="dxa"/>
            <w:vAlign w:val="top"/>
          </w:tcPr>
          <w:p w14:paraId="568ADB9A">
            <w:pPr>
              <w:rPr>
                <w:rFonts w:ascii="Arial"/>
                <w:sz w:val="21"/>
              </w:rPr>
            </w:pPr>
          </w:p>
        </w:tc>
        <w:tc>
          <w:tcPr>
            <w:tcW w:w="215" w:type="dxa"/>
            <w:vAlign w:val="top"/>
          </w:tcPr>
          <w:p w14:paraId="48400B21">
            <w:pPr>
              <w:rPr>
                <w:rFonts w:ascii="Arial"/>
                <w:sz w:val="21"/>
              </w:rPr>
            </w:pPr>
          </w:p>
        </w:tc>
      </w:tr>
    </w:tbl>
    <w:p w14:paraId="67573F4A">
      <w:pPr>
        <w:pStyle w:val="2"/>
        <w:spacing w:line="30" w:lineRule="exact"/>
        <w:rPr>
          <w:sz w:val="2"/>
        </w:rPr>
      </w:pPr>
    </w:p>
    <w:p w14:paraId="1459199B">
      <w:pPr>
        <w:pStyle w:val="2"/>
        <w:spacing w:line="14" w:lineRule="auto"/>
        <w:rPr>
          <w:sz w:val="2"/>
        </w:rPr>
      </w:pPr>
      <w:r>
        <w:rPr>
          <w:sz w:val="2"/>
          <w:szCs w:val="2"/>
        </w:rPr>
        <w:br w:type="column"/>
      </w:r>
    </w:p>
    <w:tbl>
      <w:tblPr>
        <w:tblStyle w:val="5"/>
        <w:tblW w:w="413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14"/>
        <w:gridCol w:w="230"/>
        <w:gridCol w:w="230"/>
        <w:gridCol w:w="219"/>
        <w:gridCol w:w="244"/>
      </w:tblGrid>
      <w:tr w14:paraId="645E55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893" w:type="dxa"/>
            <w:vMerge w:val="restart"/>
            <w:tcBorders>
              <w:top w:val="single" w:color="000000" w:sz="2" w:space="0"/>
              <w:bottom w:val="nil"/>
            </w:tcBorders>
            <w:vAlign w:val="top"/>
          </w:tcPr>
          <w:p w14:paraId="38479176">
            <w:pPr>
              <w:pStyle w:val="6"/>
              <w:spacing w:before="76" w:line="239" w:lineRule="auto"/>
              <w:ind w:left="267" w:right="25" w:hanging="250"/>
            </w:pPr>
            <w:r>
              <w:rPr>
                <w:b/>
                <w:bCs/>
                <w:spacing w:val="-4"/>
              </w:rPr>
              <w:t>知识与技能</w:t>
            </w:r>
            <w:r>
              <w:t xml:space="preserve"> </w:t>
            </w:r>
            <w:r>
              <w:rPr>
                <w:b/>
                <w:bCs/>
                <w:spacing w:val="-4"/>
              </w:rPr>
              <w:t>要点</w:t>
            </w:r>
          </w:p>
        </w:tc>
        <w:tc>
          <w:tcPr>
            <w:tcW w:w="2314" w:type="dxa"/>
            <w:vMerge w:val="restart"/>
            <w:tcBorders>
              <w:top w:val="single" w:color="000000" w:sz="2" w:space="0"/>
              <w:bottom w:val="nil"/>
            </w:tcBorders>
            <w:vAlign w:val="top"/>
          </w:tcPr>
          <w:p w14:paraId="154194A5">
            <w:pPr>
              <w:pStyle w:val="6"/>
              <w:spacing w:before="194" w:line="219" w:lineRule="auto"/>
              <w:ind w:left="844"/>
            </w:pPr>
            <w:r>
              <w:rPr>
                <w:b/>
                <w:bCs/>
                <w:spacing w:val="5"/>
              </w:rPr>
              <w:t>考试条目</w:t>
            </w:r>
          </w:p>
        </w:tc>
        <w:tc>
          <w:tcPr>
            <w:tcW w:w="923" w:type="dxa"/>
            <w:gridSpan w:val="4"/>
            <w:tcBorders>
              <w:top w:val="single" w:color="000000" w:sz="2" w:space="0"/>
              <w:bottom w:val="single" w:color="000000" w:sz="2" w:space="0"/>
            </w:tcBorders>
            <w:vAlign w:val="top"/>
          </w:tcPr>
          <w:p w14:paraId="6B9778F2">
            <w:pPr>
              <w:pStyle w:val="6"/>
              <w:spacing w:before="64" w:line="219" w:lineRule="auto"/>
              <w:ind w:left="140"/>
            </w:pPr>
            <w:r>
              <w:rPr>
                <w:b/>
                <w:bCs/>
                <w:spacing w:val="-4"/>
              </w:rPr>
              <w:t>考试水平</w:t>
            </w:r>
          </w:p>
        </w:tc>
      </w:tr>
      <w:tr w14:paraId="1EF2EC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4" w:hRule="atLeast"/>
        </w:trPr>
        <w:tc>
          <w:tcPr>
            <w:tcW w:w="893" w:type="dxa"/>
            <w:vMerge w:val="continue"/>
            <w:tcBorders>
              <w:top w:val="nil"/>
              <w:bottom w:val="single" w:color="000000" w:sz="2" w:space="0"/>
            </w:tcBorders>
            <w:vAlign w:val="top"/>
          </w:tcPr>
          <w:p w14:paraId="36B429F7">
            <w:pPr>
              <w:rPr>
                <w:rFonts w:ascii="Arial"/>
                <w:sz w:val="21"/>
              </w:rPr>
            </w:pPr>
          </w:p>
        </w:tc>
        <w:tc>
          <w:tcPr>
            <w:tcW w:w="2314" w:type="dxa"/>
            <w:vMerge w:val="continue"/>
            <w:tcBorders>
              <w:top w:val="nil"/>
              <w:bottom w:val="single" w:color="000000" w:sz="2" w:space="0"/>
            </w:tcBorders>
            <w:vAlign w:val="top"/>
          </w:tcPr>
          <w:p w14:paraId="0BDEA4FB">
            <w:pPr>
              <w:rPr>
                <w:rFonts w:ascii="Arial"/>
                <w:sz w:val="21"/>
              </w:rPr>
            </w:pPr>
          </w:p>
        </w:tc>
        <w:tc>
          <w:tcPr>
            <w:tcW w:w="230" w:type="dxa"/>
            <w:tcBorders>
              <w:top w:val="single" w:color="000000" w:sz="2" w:space="0"/>
              <w:bottom w:val="single" w:color="000000" w:sz="2" w:space="0"/>
            </w:tcBorders>
            <w:vAlign w:val="top"/>
          </w:tcPr>
          <w:p w14:paraId="598AC54C">
            <w:pPr>
              <w:pStyle w:val="6"/>
              <w:spacing w:before="83" w:line="163" w:lineRule="auto"/>
              <w:ind w:left="20"/>
            </w:pPr>
            <w:r>
              <w:rPr>
                <w:b/>
                <w:bCs/>
                <w:spacing w:val="-2"/>
              </w:rPr>
              <w:t>A</w:t>
            </w:r>
          </w:p>
        </w:tc>
        <w:tc>
          <w:tcPr>
            <w:tcW w:w="230" w:type="dxa"/>
            <w:tcBorders>
              <w:top w:val="single" w:color="000000" w:sz="2" w:space="0"/>
              <w:bottom w:val="single" w:color="000000" w:sz="2" w:space="0"/>
            </w:tcBorders>
            <w:vAlign w:val="top"/>
          </w:tcPr>
          <w:p w14:paraId="5894A123">
            <w:pPr>
              <w:pStyle w:val="6"/>
              <w:spacing w:before="86" w:line="160" w:lineRule="auto"/>
              <w:ind w:left="20"/>
            </w:pPr>
            <w:r>
              <w:rPr>
                <w:b/>
                <w:bCs/>
                <w:spacing w:val="-2"/>
              </w:rPr>
              <w:t>B</w:t>
            </w:r>
          </w:p>
        </w:tc>
        <w:tc>
          <w:tcPr>
            <w:tcW w:w="219" w:type="dxa"/>
            <w:tcBorders>
              <w:top w:val="single" w:color="000000" w:sz="2" w:space="0"/>
              <w:bottom w:val="single" w:color="000000" w:sz="2" w:space="0"/>
            </w:tcBorders>
            <w:vAlign w:val="top"/>
          </w:tcPr>
          <w:p w14:paraId="5A16CBE2">
            <w:pPr>
              <w:pStyle w:val="6"/>
              <w:spacing w:before="85" w:line="161" w:lineRule="auto"/>
              <w:ind w:left="48"/>
            </w:pPr>
            <w:r>
              <w:t>C</w:t>
            </w:r>
          </w:p>
        </w:tc>
        <w:tc>
          <w:tcPr>
            <w:tcW w:w="244" w:type="dxa"/>
            <w:tcBorders>
              <w:top w:val="single" w:color="000000" w:sz="2" w:space="0"/>
              <w:bottom w:val="single" w:color="000000" w:sz="2" w:space="0"/>
            </w:tcBorders>
            <w:vAlign w:val="top"/>
          </w:tcPr>
          <w:p w14:paraId="01742824">
            <w:pPr>
              <w:pStyle w:val="6"/>
              <w:spacing w:before="86" w:line="160" w:lineRule="auto"/>
              <w:ind w:left="31"/>
            </w:pPr>
            <w:r>
              <w:rPr>
                <w:b/>
                <w:bCs/>
                <w:spacing w:val="-2"/>
              </w:rPr>
              <w:t>D</w:t>
            </w:r>
          </w:p>
        </w:tc>
      </w:tr>
      <w:tr w14:paraId="1F571F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73" w:hRule="atLeast"/>
        </w:trPr>
        <w:tc>
          <w:tcPr>
            <w:tcW w:w="893" w:type="dxa"/>
            <w:tcBorders>
              <w:top w:val="single" w:color="000000" w:sz="2" w:space="0"/>
              <w:bottom w:val="single" w:color="000000" w:sz="2" w:space="0"/>
            </w:tcBorders>
            <w:vAlign w:val="top"/>
          </w:tcPr>
          <w:p w14:paraId="64375731">
            <w:pPr>
              <w:pStyle w:val="6"/>
              <w:spacing w:before="262" w:line="229" w:lineRule="auto"/>
              <w:ind w:left="94" w:right="90"/>
            </w:pPr>
            <w:r>
              <w:rPr>
                <w:spacing w:val="-2"/>
              </w:rPr>
              <w:t>其他动物</w:t>
            </w:r>
            <w:r>
              <w:t xml:space="preserve"> </w:t>
            </w:r>
            <w:r>
              <w:rPr>
                <w:spacing w:val="4"/>
              </w:rPr>
              <w:t>性水产品</w:t>
            </w:r>
          </w:p>
        </w:tc>
        <w:tc>
          <w:tcPr>
            <w:tcW w:w="2314" w:type="dxa"/>
            <w:tcBorders>
              <w:top w:val="single" w:color="000000" w:sz="2" w:space="0"/>
              <w:bottom w:val="single" w:color="000000" w:sz="2" w:space="0"/>
            </w:tcBorders>
            <w:vAlign w:val="top"/>
          </w:tcPr>
          <w:p w14:paraId="2E86524B">
            <w:pPr>
              <w:pStyle w:val="6"/>
              <w:spacing w:before="142" w:line="218" w:lineRule="auto"/>
              <w:ind w:left="2" w:right="1444"/>
            </w:pPr>
            <w:r>
              <w:rPr>
                <w:spacing w:val="1"/>
              </w:rPr>
              <w:t>1.虾、蟹类</w:t>
            </w:r>
            <w:r>
              <w:t xml:space="preserve"> </w:t>
            </w:r>
            <w:r>
              <w:rPr>
                <w:spacing w:val="-2"/>
              </w:rPr>
              <w:t>2.软体类</w:t>
            </w:r>
          </w:p>
          <w:p w14:paraId="44080F64">
            <w:pPr>
              <w:pStyle w:val="6"/>
              <w:spacing w:before="58" w:line="219" w:lineRule="auto"/>
              <w:ind w:left="2"/>
            </w:pPr>
            <w:r>
              <w:rPr>
                <w:spacing w:val="-2"/>
              </w:rPr>
              <w:t>3.爬行类、两栖类</w:t>
            </w:r>
          </w:p>
        </w:tc>
        <w:tc>
          <w:tcPr>
            <w:tcW w:w="230" w:type="dxa"/>
            <w:tcBorders>
              <w:top w:val="single" w:color="000000" w:sz="2" w:space="0"/>
              <w:bottom w:val="single" w:color="000000" w:sz="2" w:space="0"/>
            </w:tcBorders>
            <w:vAlign w:val="top"/>
          </w:tcPr>
          <w:p w14:paraId="3FFDAEED">
            <w:pPr>
              <w:rPr>
                <w:rFonts w:ascii="Arial"/>
                <w:sz w:val="21"/>
              </w:rPr>
            </w:pPr>
          </w:p>
        </w:tc>
        <w:tc>
          <w:tcPr>
            <w:tcW w:w="230" w:type="dxa"/>
            <w:tcBorders>
              <w:top w:val="single" w:color="000000" w:sz="2" w:space="0"/>
              <w:bottom w:val="single" w:color="000000" w:sz="2" w:space="0"/>
            </w:tcBorders>
            <w:vAlign w:val="top"/>
          </w:tcPr>
          <w:p w14:paraId="1A530A93">
            <w:pPr>
              <w:rPr>
                <w:rFonts w:ascii="Arial"/>
                <w:sz w:val="21"/>
              </w:rPr>
            </w:pPr>
          </w:p>
        </w:tc>
        <w:tc>
          <w:tcPr>
            <w:tcW w:w="219" w:type="dxa"/>
            <w:tcBorders>
              <w:top w:val="single" w:color="000000" w:sz="2" w:space="0"/>
              <w:bottom w:val="single" w:color="000000" w:sz="2" w:space="0"/>
            </w:tcBorders>
            <w:vAlign w:val="top"/>
          </w:tcPr>
          <w:p w14:paraId="02B3BEAB">
            <w:pPr>
              <w:rPr>
                <w:rFonts w:ascii="Arial"/>
                <w:sz w:val="21"/>
              </w:rPr>
            </w:pPr>
          </w:p>
        </w:tc>
        <w:tc>
          <w:tcPr>
            <w:tcW w:w="244" w:type="dxa"/>
            <w:tcBorders>
              <w:top w:val="single" w:color="000000" w:sz="2" w:space="0"/>
              <w:bottom w:val="single" w:color="000000" w:sz="2" w:space="0"/>
            </w:tcBorders>
            <w:vAlign w:val="top"/>
          </w:tcPr>
          <w:p w14:paraId="2819CD76">
            <w:pPr>
              <w:rPr>
                <w:rFonts w:ascii="Arial"/>
                <w:sz w:val="21"/>
              </w:rPr>
            </w:pPr>
          </w:p>
        </w:tc>
      </w:tr>
      <w:tr w14:paraId="324670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4" w:hRule="atLeast"/>
        </w:trPr>
        <w:tc>
          <w:tcPr>
            <w:tcW w:w="893" w:type="dxa"/>
            <w:tcBorders>
              <w:top w:val="single" w:color="000000" w:sz="2" w:space="0"/>
              <w:bottom w:val="single" w:color="000000" w:sz="2" w:space="0"/>
            </w:tcBorders>
            <w:vAlign w:val="top"/>
          </w:tcPr>
          <w:p w14:paraId="7143537C">
            <w:pPr>
              <w:pStyle w:val="6"/>
              <w:spacing w:before="103" w:line="230" w:lineRule="auto"/>
              <w:ind w:left="264" w:right="196" w:hanging="80"/>
            </w:pPr>
            <w:r>
              <w:rPr>
                <w:spacing w:val="-3"/>
              </w:rPr>
              <w:t>水产类</w:t>
            </w:r>
            <w:r>
              <w:t xml:space="preserve"> </w:t>
            </w:r>
            <w:r>
              <w:rPr>
                <w:spacing w:val="8"/>
              </w:rPr>
              <w:t>制品</w:t>
            </w:r>
          </w:p>
        </w:tc>
        <w:tc>
          <w:tcPr>
            <w:tcW w:w="2314" w:type="dxa"/>
            <w:tcBorders>
              <w:top w:val="single" w:color="000000" w:sz="2" w:space="0"/>
              <w:bottom w:val="single" w:color="000000" w:sz="2" w:space="0"/>
            </w:tcBorders>
            <w:vAlign w:val="top"/>
          </w:tcPr>
          <w:p w14:paraId="23C14F19">
            <w:pPr>
              <w:pStyle w:val="6"/>
              <w:spacing w:before="114" w:line="236" w:lineRule="auto"/>
              <w:ind w:left="2" w:right="246"/>
            </w:pPr>
            <w:r>
              <w:rPr>
                <w:spacing w:val="1"/>
              </w:rPr>
              <w:t>1.水产类制品的分类及特点 2.水产类制品的品种</w:t>
            </w:r>
          </w:p>
        </w:tc>
        <w:tc>
          <w:tcPr>
            <w:tcW w:w="230" w:type="dxa"/>
            <w:tcBorders>
              <w:top w:val="single" w:color="000000" w:sz="2" w:space="0"/>
              <w:bottom w:val="single" w:color="000000" w:sz="2" w:space="0"/>
            </w:tcBorders>
            <w:vAlign w:val="top"/>
          </w:tcPr>
          <w:p w14:paraId="13F1FDF8">
            <w:pPr>
              <w:rPr>
                <w:rFonts w:ascii="Arial"/>
                <w:sz w:val="21"/>
              </w:rPr>
            </w:pPr>
          </w:p>
        </w:tc>
        <w:tc>
          <w:tcPr>
            <w:tcW w:w="230" w:type="dxa"/>
            <w:tcBorders>
              <w:top w:val="single" w:color="000000" w:sz="2" w:space="0"/>
              <w:bottom w:val="single" w:color="000000" w:sz="2" w:space="0"/>
            </w:tcBorders>
            <w:vAlign w:val="top"/>
          </w:tcPr>
          <w:p w14:paraId="2B8B997D">
            <w:pPr>
              <w:rPr>
                <w:rFonts w:ascii="Arial"/>
                <w:sz w:val="21"/>
              </w:rPr>
            </w:pPr>
          </w:p>
        </w:tc>
        <w:tc>
          <w:tcPr>
            <w:tcW w:w="219" w:type="dxa"/>
            <w:tcBorders>
              <w:top w:val="single" w:color="000000" w:sz="2" w:space="0"/>
              <w:bottom w:val="single" w:color="000000" w:sz="2" w:space="0"/>
            </w:tcBorders>
            <w:vAlign w:val="top"/>
          </w:tcPr>
          <w:p w14:paraId="7C490F41">
            <w:pPr>
              <w:rPr>
                <w:rFonts w:ascii="Arial"/>
                <w:sz w:val="21"/>
              </w:rPr>
            </w:pPr>
          </w:p>
        </w:tc>
        <w:tc>
          <w:tcPr>
            <w:tcW w:w="244" w:type="dxa"/>
            <w:tcBorders>
              <w:top w:val="single" w:color="000000" w:sz="2" w:space="0"/>
              <w:bottom w:val="single" w:color="000000" w:sz="2" w:space="0"/>
            </w:tcBorders>
            <w:vAlign w:val="top"/>
          </w:tcPr>
          <w:p w14:paraId="58ABD41A">
            <w:pPr>
              <w:rPr>
                <w:rFonts w:ascii="Arial"/>
                <w:sz w:val="21"/>
              </w:rPr>
            </w:pPr>
          </w:p>
        </w:tc>
      </w:tr>
      <w:tr w14:paraId="013F30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4" w:hRule="atLeast"/>
        </w:trPr>
        <w:tc>
          <w:tcPr>
            <w:tcW w:w="893" w:type="dxa"/>
            <w:tcBorders>
              <w:top w:val="single" w:color="000000" w:sz="2" w:space="0"/>
              <w:bottom w:val="single" w:color="000000" w:sz="2" w:space="0"/>
            </w:tcBorders>
            <w:vAlign w:val="top"/>
          </w:tcPr>
          <w:p w14:paraId="4F8D66D3">
            <w:pPr>
              <w:pStyle w:val="6"/>
              <w:spacing w:before="195" w:line="218" w:lineRule="auto"/>
              <w:ind w:left="264" w:right="196" w:hanging="80"/>
            </w:pPr>
            <w:r>
              <w:rPr>
                <w:spacing w:val="-3"/>
              </w:rPr>
              <w:t>人造水</w:t>
            </w:r>
            <w:r>
              <w:t xml:space="preserve"> </w:t>
            </w:r>
            <w:r>
              <w:rPr>
                <w:spacing w:val="8"/>
              </w:rPr>
              <w:t>产品</w:t>
            </w:r>
          </w:p>
        </w:tc>
        <w:tc>
          <w:tcPr>
            <w:tcW w:w="2314" w:type="dxa"/>
            <w:tcBorders>
              <w:top w:val="single" w:color="000000" w:sz="2" w:space="0"/>
              <w:bottom w:val="single" w:color="000000" w:sz="2" w:space="0"/>
            </w:tcBorders>
            <w:vAlign w:val="top"/>
          </w:tcPr>
          <w:p w14:paraId="0A8706AC">
            <w:pPr>
              <w:pStyle w:val="6"/>
              <w:spacing w:before="85" w:line="232" w:lineRule="auto"/>
              <w:ind w:left="2" w:right="756"/>
              <w:jc w:val="both"/>
            </w:pPr>
            <w:r>
              <w:t>1.人造水产品的发展</w:t>
            </w:r>
            <w:r>
              <w:rPr>
                <w:spacing w:val="8"/>
              </w:rPr>
              <w:t xml:space="preserve"> </w:t>
            </w:r>
            <w:r>
              <w:rPr>
                <w:spacing w:val="1"/>
              </w:rPr>
              <w:t>2.人造水产品的优点</w:t>
            </w:r>
            <w:r>
              <w:rPr>
                <w:spacing w:val="4"/>
              </w:rPr>
              <w:t xml:space="preserve"> </w:t>
            </w:r>
            <w:r>
              <w:rPr>
                <w:spacing w:val="-1"/>
              </w:rPr>
              <w:t>3.人造水产品的种类</w:t>
            </w:r>
          </w:p>
        </w:tc>
        <w:tc>
          <w:tcPr>
            <w:tcW w:w="230" w:type="dxa"/>
            <w:tcBorders>
              <w:top w:val="single" w:color="000000" w:sz="2" w:space="0"/>
              <w:bottom w:val="single" w:color="000000" w:sz="2" w:space="0"/>
            </w:tcBorders>
            <w:vAlign w:val="top"/>
          </w:tcPr>
          <w:p w14:paraId="3D4BE5E6">
            <w:pPr>
              <w:rPr>
                <w:rFonts w:ascii="Arial"/>
                <w:sz w:val="21"/>
              </w:rPr>
            </w:pPr>
          </w:p>
        </w:tc>
        <w:tc>
          <w:tcPr>
            <w:tcW w:w="230" w:type="dxa"/>
            <w:tcBorders>
              <w:top w:val="single" w:color="000000" w:sz="2" w:space="0"/>
              <w:bottom w:val="single" w:color="000000" w:sz="2" w:space="0"/>
            </w:tcBorders>
            <w:vAlign w:val="top"/>
          </w:tcPr>
          <w:p w14:paraId="6A5CEF5A">
            <w:pPr>
              <w:rPr>
                <w:rFonts w:ascii="Arial"/>
                <w:sz w:val="21"/>
              </w:rPr>
            </w:pPr>
          </w:p>
        </w:tc>
        <w:tc>
          <w:tcPr>
            <w:tcW w:w="219" w:type="dxa"/>
            <w:tcBorders>
              <w:top w:val="single" w:color="000000" w:sz="2" w:space="0"/>
              <w:bottom w:val="single" w:color="000000" w:sz="2" w:space="0"/>
            </w:tcBorders>
            <w:vAlign w:val="top"/>
          </w:tcPr>
          <w:p w14:paraId="758C2C0F">
            <w:pPr>
              <w:rPr>
                <w:rFonts w:ascii="Arial"/>
                <w:sz w:val="21"/>
              </w:rPr>
            </w:pPr>
          </w:p>
        </w:tc>
        <w:tc>
          <w:tcPr>
            <w:tcW w:w="244" w:type="dxa"/>
            <w:tcBorders>
              <w:top w:val="single" w:color="000000" w:sz="2" w:space="0"/>
              <w:bottom w:val="single" w:color="000000" w:sz="2" w:space="0"/>
            </w:tcBorders>
            <w:vAlign w:val="top"/>
          </w:tcPr>
          <w:p w14:paraId="447858E5">
            <w:pPr>
              <w:rPr>
                <w:rFonts w:ascii="Arial"/>
                <w:sz w:val="21"/>
              </w:rPr>
            </w:pPr>
          </w:p>
        </w:tc>
      </w:tr>
      <w:tr w14:paraId="5AAC9C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78" w:hRule="atLeast"/>
        </w:trPr>
        <w:tc>
          <w:tcPr>
            <w:tcW w:w="893" w:type="dxa"/>
            <w:tcBorders>
              <w:top w:val="single" w:color="000000" w:sz="2" w:space="0"/>
              <w:bottom w:val="single" w:color="000000" w:sz="2" w:space="0"/>
            </w:tcBorders>
            <w:vAlign w:val="top"/>
          </w:tcPr>
          <w:p w14:paraId="1AC7A62B">
            <w:pPr>
              <w:pStyle w:val="6"/>
              <w:spacing w:before="35" w:line="219" w:lineRule="auto"/>
              <w:ind w:left="94"/>
            </w:pPr>
            <w:r>
              <w:rPr>
                <w:spacing w:val="-2"/>
              </w:rPr>
              <w:t>水产品类</w:t>
            </w:r>
          </w:p>
          <w:p w14:paraId="697E8F59">
            <w:pPr>
              <w:pStyle w:val="6"/>
              <w:spacing w:before="18" w:line="220" w:lineRule="auto"/>
              <w:ind w:left="94"/>
            </w:pPr>
            <w:r>
              <w:rPr>
                <w:spacing w:val="4"/>
              </w:rPr>
              <w:t>原料的品</w:t>
            </w:r>
          </w:p>
          <w:p w14:paraId="0046592F">
            <w:pPr>
              <w:pStyle w:val="6"/>
              <w:spacing w:before="16" w:line="217" w:lineRule="auto"/>
              <w:ind w:left="94"/>
            </w:pPr>
            <w:r>
              <w:rPr>
                <w:spacing w:val="3"/>
              </w:rPr>
              <w:t>质检验与</w:t>
            </w:r>
          </w:p>
          <w:p w14:paraId="6F6C1125">
            <w:pPr>
              <w:pStyle w:val="6"/>
              <w:spacing w:line="209" w:lineRule="auto"/>
              <w:ind w:left="265"/>
            </w:pPr>
            <w:r>
              <w:rPr>
                <w:spacing w:val="-2"/>
              </w:rPr>
              <w:t>保管</w:t>
            </w:r>
          </w:p>
        </w:tc>
        <w:tc>
          <w:tcPr>
            <w:tcW w:w="2314" w:type="dxa"/>
            <w:tcBorders>
              <w:top w:val="single" w:color="000000" w:sz="2" w:space="0"/>
              <w:bottom w:val="single" w:color="000000" w:sz="2" w:space="0"/>
            </w:tcBorders>
            <w:vAlign w:val="top"/>
          </w:tcPr>
          <w:p w14:paraId="76F515C6">
            <w:pPr>
              <w:pStyle w:val="6"/>
              <w:spacing w:before="264" w:line="224" w:lineRule="auto"/>
              <w:ind w:left="2" w:right="254"/>
            </w:pPr>
            <w:r>
              <w:t>1.水产品类原料的品质检验</w:t>
            </w:r>
            <w:r>
              <w:rPr>
                <w:spacing w:val="6"/>
              </w:rPr>
              <w:t xml:space="preserve"> </w:t>
            </w:r>
            <w:r>
              <w:rPr>
                <w:spacing w:val="-1"/>
              </w:rPr>
              <w:t>2.水产品类原料的保管</w:t>
            </w:r>
          </w:p>
        </w:tc>
        <w:tc>
          <w:tcPr>
            <w:tcW w:w="230" w:type="dxa"/>
            <w:tcBorders>
              <w:top w:val="single" w:color="000000" w:sz="2" w:space="0"/>
              <w:bottom w:val="single" w:color="000000" w:sz="2" w:space="0"/>
            </w:tcBorders>
            <w:vAlign w:val="top"/>
          </w:tcPr>
          <w:p w14:paraId="099AF675">
            <w:pPr>
              <w:rPr>
                <w:rFonts w:ascii="Arial"/>
                <w:sz w:val="21"/>
              </w:rPr>
            </w:pPr>
          </w:p>
        </w:tc>
        <w:tc>
          <w:tcPr>
            <w:tcW w:w="230" w:type="dxa"/>
            <w:tcBorders>
              <w:top w:val="single" w:color="000000" w:sz="2" w:space="0"/>
              <w:bottom w:val="single" w:color="000000" w:sz="2" w:space="0"/>
            </w:tcBorders>
            <w:vAlign w:val="top"/>
          </w:tcPr>
          <w:p w14:paraId="37B57AFE">
            <w:pPr>
              <w:rPr>
                <w:rFonts w:ascii="Arial"/>
                <w:sz w:val="21"/>
              </w:rPr>
            </w:pPr>
          </w:p>
        </w:tc>
        <w:tc>
          <w:tcPr>
            <w:tcW w:w="219" w:type="dxa"/>
            <w:tcBorders>
              <w:top w:val="single" w:color="000000" w:sz="2" w:space="0"/>
              <w:bottom w:val="single" w:color="000000" w:sz="2" w:space="0"/>
            </w:tcBorders>
            <w:vAlign w:val="top"/>
          </w:tcPr>
          <w:p w14:paraId="5149D90F">
            <w:pPr>
              <w:rPr>
                <w:rFonts w:ascii="Arial"/>
                <w:sz w:val="21"/>
              </w:rPr>
            </w:pPr>
          </w:p>
        </w:tc>
        <w:tc>
          <w:tcPr>
            <w:tcW w:w="244" w:type="dxa"/>
            <w:tcBorders>
              <w:top w:val="single" w:color="000000" w:sz="2" w:space="0"/>
              <w:bottom w:val="single" w:color="000000" w:sz="2" w:space="0"/>
            </w:tcBorders>
            <w:vAlign w:val="top"/>
          </w:tcPr>
          <w:p w14:paraId="1DC50DD2">
            <w:pPr>
              <w:rPr>
                <w:rFonts w:ascii="Arial"/>
                <w:sz w:val="21"/>
              </w:rPr>
            </w:pPr>
          </w:p>
        </w:tc>
      </w:tr>
    </w:tbl>
    <w:p w14:paraId="1CBC4B72">
      <w:pPr>
        <w:spacing w:before="118" w:line="221" w:lineRule="auto"/>
        <w:ind w:left="787"/>
        <w:rPr>
          <w:rFonts w:ascii="黑体" w:hAnsi="黑体" w:eastAsia="黑体" w:cs="黑体"/>
          <w:sz w:val="20"/>
          <w:szCs w:val="20"/>
        </w:rPr>
      </w:pPr>
      <w:r>
        <w:rPr>
          <w:rFonts w:ascii="黑体" w:hAnsi="黑体" w:eastAsia="黑体" w:cs="黑体"/>
          <w:b/>
          <w:bCs/>
          <w:spacing w:val="-7"/>
          <w:sz w:val="20"/>
          <w:szCs w:val="20"/>
        </w:rPr>
        <w:t>第六章</w:t>
      </w:r>
      <w:r>
        <w:rPr>
          <w:rFonts w:ascii="黑体" w:hAnsi="黑体" w:eastAsia="黑体" w:cs="黑体"/>
          <w:spacing w:val="18"/>
          <w:sz w:val="20"/>
          <w:szCs w:val="20"/>
        </w:rPr>
        <w:t xml:space="preserve">  </w:t>
      </w:r>
      <w:r>
        <w:rPr>
          <w:rFonts w:ascii="黑体" w:hAnsi="黑体" w:eastAsia="黑体" w:cs="黑体"/>
          <w:b/>
          <w:bCs/>
          <w:spacing w:val="-7"/>
          <w:sz w:val="20"/>
          <w:szCs w:val="20"/>
        </w:rPr>
        <w:t>主配原料——果品类</w:t>
      </w:r>
    </w:p>
    <w:p w14:paraId="4B9FE2FA">
      <w:pPr>
        <w:spacing w:line="32" w:lineRule="exact"/>
      </w:pPr>
    </w:p>
    <w:tbl>
      <w:tblPr>
        <w:tblStyle w:val="5"/>
        <w:tblW w:w="413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14"/>
        <w:gridCol w:w="230"/>
        <w:gridCol w:w="230"/>
        <w:gridCol w:w="219"/>
        <w:gridCol w:w="244"/>
      </w:tblGrid>
      <w:tr w14:paraId="667E67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4" w:hRule="atLeast"/>
        </w:trPr>
        <w:tc>
          <w:tcPr>
            <w:tcW w:w="893" w:type="dxa"/>
            <w:vMerge w:val="restart"/>
            <w:tcBorders>
              <w:bottom w:val="nil"/>
            </w:tcBorders>
            <w:vAlign w:val="top"/>
          </w:tcPr>
          <w:p w14:paraId="4F163D43">
            <w:pPr>
              <w:pStyle w:val="6"/>
              <w:spacing w:before="61" w:line="231" w:lineRule="auto"/>
              <w:ind w:left="267" w:right="25" w:hanging="250"/>
            </w:pPr>
            <w:r>
              <w:rPr>
                <w:b/>
                <w:bCs/>
                <w:spacing w:val="-4"/>
              </w:rPr>
              <w:t>知识与技能</w:t>
            </w:r>
            <w:r>
              <w:t xml:space="preserve"> </w:t>
            </w:r>
            <w:r>
              <w:rPr>
                <w:b/>
                <w:bCs/>
                <w:spacing w:val="-4"/>
              </w:rPr>
              <w:t>要点</w:t>
            </w:r>
          </w:p>
        </w:tc>
        <w:tc>
          <w:tcPr>
            <w:tcW w:w="2314" w:type="dxa"/>
            <w:vMerge w:val="restart"/>
            <w:tcBorders>
              <w:bottom w:val="nil"/>
            </w:tcBorders>
            <w:vAlign w:val="top"/>
          </w:tcPr>
          <w:p w14:paraId="0463C29D">
            <w:pPr>
              <w:pStyle w:val="6"/>
              <w:spacing w:before="179" w:line="219" w:lineRule="auto"/>
              <w:ind w:left="844"/>
            </w:pPr>
            <w:r>
              <w:rPr>
                <w:b/>
                <w:bCs/>
                <w:spacing w:val="5"/>
              </w:rPr>
              <w:t>考试条目</w:t>
            </w:r>
          </w:p>
        </w:tc>
        <w:tc>
          <w:tcPr>
            <w:tcW w:w="923" w:type="dxa"/>
            <w:gridSpan w:val="4"/>
            <w:vAlign w:val="top"/>
          </w:tcPr>
          <w:p w14:paraId="3BBC2C54">
            <w:pPr>
              <w:pStyle w:val="6"/>
              <w:spacing w:before="49" w:line="219" w:lineRule="auto"/>
              <w:ind w:left="140"/>
            </w:pPr>
            <w:r>
              <w:rPr>
                <w:b/>
                <w:bCs/>
                <w:spacing w:val="-4"/>
              </w:rPr>
              <w:t>考试水平</w:t>
            </w:r>
          </w:p>
        </w:tc>
      </w:tr>
      <w:tr w14:paraId="78700F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9" w:hRule="atLeast"/>
        </w:trPr>
        <w:tc>
          <w:tcPr>
            <w:tcW w:w="893" w:type="dxa"/>
            <w:vMerge w:val="continue"/>
            <w:tcBorders>
              <w:top w:val="nil"/>
            </w:tcBorders>
            <w:vAlign w:val="top"/>
          </w:tcPr>
          <w:p w14:paraId="32947A79">
            <w:pPr>
              <w:rPr>
                <w:rFonts w:ascii="Arial"/>
                <w:sz w:val="21"/>
              </w:rPr>
            </w:pPr>
          </w:p>
        </w:tc>
        <w:tc>
          <w:tcPr>
            <w:tcW w:w="2314" w:type="dxa"/>
            <w:vMerge w:val="continue"/>
            <w:tcBorders>
              <w:top w:val="nil"/>
            </w:tcBorders>
            <w:vAlign w:val="top"/>
          </w:tcPr>
          <w:p w14:paraId="5788AE18">
            <w:pPr>
              <w:rPr>
                <w:rFonts w:ascii="Arial"/>
                <w:sz w:val="21"/>
              </w:rPr>
            </w:pPr>
          </w:p>
        </w:tc>
        <w:tc>
          <w:tcPr>
            <w:tcW w:w="230" w:type="dxa"/>
            <w:vAlign w:val="top"/>
          </w:tcPr>
          <w:p w14:paraId="7CBEF589">
            <w:pPr>
              <w:pStyle w:val="6"/>
              <w:spacing w:before="80" w:line="172" w:lineRule="auto"/>
              <w:ind w:left="50"/>
            </w:pPr>
            <w:r>
              <w:rPr>
                <w:b/>
                <w:bCs/>
                <w:spacing w:val="-2"/>
              </w:rPr>
              <w:t>A</w:t>
            </w:r>
          </w:p>
        </w:tc>
        <w:tc>
          <w:tcPr>
            <w:tcW w:w="230" w:type="dxa"/>
            <w:vAlign w:val="top"/>
          </w:tcPr>
          <w:p w14:paraId="4C17547F">
            <w:pPr>
              <w:pStyle w:val="6"/>
              <w:spacing w:before="83" w:line="169" w:lineRule="auto"/>
              <w:ind w:left="20"/>
            </w:pPr>
            <w:r>
              <w:rPr>
                <w:b/>
                <w:bCs/>
                <w:spacing w:val="-2"/>
              </w:rPr>
              <w:t>B</w:t>
            </w:r>
          </w:p>
        </w:tc>
        <w:tc>
          <w:tcPr>
            <w:tcW w:w="219" w:type="dxa"/>
            <w:vAlign w:val="top"/>
          </w:tcPr>
          <w:p w14:paraId="57687364">
            <w:pPr>
              <w:pStyle w:val="6"/>
              <w:spacing w:before="80" w:line="172" w:lineRule="auto"/>
              <w:ind w:left="60"/>
            </w:pPr>
            <w:r>
              <w:rPr>
                <w:b/>
                <w:bCs/>
                <w:spacing w:val="-2"/>
              </w:rPr>
              <w:t>C</w:t>
            </w:r>
          </w:p>
        </w:tc>
        <w:tc>
          <w:tcPr>
            <w:tcW w:w="244" w:type="dxa"/>
            <w:vAlign w:val="top"/>
          </w:tcPr>
          <w:p w14:paraId="35592243">
            <w:pPr>
              <w:pStyle w:val="6"/>
              <w:spacing w:before="83" w:line="169" w:lineRule="auto"/>
              <w:jc w:val="right"/>
            </w:pPr>
            <w:r>
              <w:rPr>
                <w:b/>
                <w:bCs/>
                <w:spacing w:val="-6"/>
              </w:rPr>
              <w:t>D</w:t>
            </w:r>
          </w:p>
        </w:tc>
      </w:tr>
      <w:tr w14:paraId="08DED7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86" w:hRule="atLeast"/>
        </w:trPr>
        <w:tc>
          <w:tcPr>
            <w:tcW w:w="893" w:type="dxa"/>
            <w:vAlign w:val="top"/>
          </w:tcPr>
          <w:p w14:paraId="35AF0392">
            <w:pPr>
              <w:spacing w:line="311" w:lineRule="auto"/>
              <w:rPr>
                <w:rFonts w:ascii="Arial"/>
                <w:sz w:val="21"/>
              </w:rPr>
            </w:pPr>
          </w:p>
          <w:p w14:paraId="60C86D65">
            <w:pPr>
              <w:pStyle w:val="6"/>
              <w:spacing w:before="56" w:line="219" w:lineRule="auto"/>
              <w:ind w:left="94"/>
            </w:pPr>
            <w:r>
              <w:rPr>
                <w:spacing w:val="3"/>
              </w:rPr>
              <w:t>果品类原</w:t>
            </w:r>
          </w:p>
          <w:p w14:paraId="305527B9">
            <w:pPr>
              <w:pStyle w:val="6"/>
              <w:spacing w:before="18" w:line="219" w:lineRule="auto"/>
              <w:ind w:left="184"/>
            </w:pPr>
            <w:r>
              <w:rPr>
                <w:spacing w:val="-2"/>
              </w:rPr>
              <w:t>料概述</w:t>
            </w:r>
          </w:p>
        </w:tc>
        <w:tc>
          <w:tcPr>
            <w:tcW w:w="2314" w:type="dxa"/>
            <w:vAlign w:val="top"/>
          </w:tcPr>
          <w:p w14:paraId="18EB47AE">
            <w:pPr>
              <w:pStyle w:val="6"/>
              <w:spacing w:before="148" w:line="224" w:lineRule="auto"/>
              <w:ind w:left="11" w:right="245"/>
            </w:pPr>
            <w:r>
              <w:t>1.果品类原料的概念及构造</w:t>
            </w:r>
            <w:r>
              <w:rPr>
                <w:spacing w:val="5"/>
              </w:rPr>
              <w:t xml:space="preserve"> </w:t>
            </w:r>
            <w:r>
              <w:rPr>
                <w:spacing w:val="-1"/>
              </w:rPr>
              <w:t>2.果品的主要营养成分</w:t>
            </w:r>
          </w:p>
          <w:p w14:paraId="2487E47D">
            <w:pPr>
              <w:pStyle w:val="6"/>
              <w:spacing w:before="8" w:line="219" w:lineRule="auto"/>
              <w:ind w:left="11"/>
            </w:pPr>
            <w:r>
              <w:rPr>
                <w:spacing w:val="-1"/>
              </w:rPr>
              <w:t>3.果品类原料的分类</w:t>
            </w:r>
          </w:p>
          <w:p w14:paraId="238E7076">
            <w:pPr>
              <w:pStyle w:val="6"/>
              <w:spacing w:before="28" w:line="219" w:lineRule="auto"/>
              <w:ind w:left="11"/>
            </w:pPr>
            <w:r>
              <w:rPr>
                <w:spacing w:val="1"/>
              </w:rPr>
              <w:t>4.果品类原料的烹饪应用</w:t>
            </w:r>
          </w:p>
        </w:tc>
        <w:tc>
          <w:tcPr>
            <w:tcW w:w="230" w:type="dxa"/>
            <w:vAlign w:val="top"/>
          </w:tcPr>
          <w:p w14:paraId="11F2DA99">
            <w:pPr>
              <w:pStyle w:val="6"/>
              <w:spacing w:before="140" w:line="238" w:lineRule="auto"/>
              <w:jc w:val="right"/>
              <w:rPr>
                <w:sz w:val="13"/>
                <w:szCs w:val="13"/>
              </w:rPr>
            </w:pPr>
            <w:r>
              <w:rPr>
                <w:spacing w:val="-38"/>
                <w:sz w:val="13"/>
                <w:szCs w:val="13"/>
              </w:rPr>
              <w:t>√</w:t>
            </w:r>
          </w:p>
        </w:tc>
        <w:tc>
          <w:tcPr>
            <w:tcW w:w="230" w:type="dxa"/>
            <w:vAlign w:val="top"/>
          </w:tcPr>
          <w:p w14:paraId="7F052E7E">
            <w:pPr>
              <w:rPr>
                <w:rFonts w:ascii="Arial"/>
                <w:sz w:val="21"/>
              </w:rPr>
            </w:pPr>
          </w:p>
        </w:tc>
        <w:tc>
          <w:tcPr>
            <w:tcW w:w="219" w:type="dxa"/>
            <w:vAlign w:val="top"/>
          </w:tcPr>
          <w:p w14:paraId="2E60E4C6">
            <w:pPr>
              <w:spacing w:line="326" w:lineRule="auto"/>
              <w:rPr>
                <w:rFonts w:ascii="Arial"/>
                <w:sz w:val="21"/>
              </w:rPr>
            </w:pPr>
          </w:p>
          <w:p w14:paraId="393A0FE7">
            <w:pPr>
              <w:pStyle w:val="6"/>
              <w:spacing w:before="42" w:line="238" w:lineRule="auto"/>
              <w:ind w:left="38"/>
              <w:rPr>
                <w:sz w:val="13"/>
                <w:szCs w:val="13"/>
              </w:rPr>
            </w:pPr>
            <w:r>
              <w:rPr>
                <w:sz w:val="13"/>
                <w:szCs w:val="13"/>
              </w:rPr>
              <w:t>√</w:t>
            </w:r>
          </w:p>
        </w:tc>
        <w:tc>
          <w:tcPr>
            <w:tcW w:w="244" w:type="dxa"/>
            <w:vAlign w:val="top"/>
          </w:tcPr>
          <w:p w14:paraId="588B4B9C">
            <w:pPr>
              <w:spacing w:line="257" w:lineRule="auto"/>
              <w:rPr>
                <w:rFonts w:ascii="Arial"/>
                <w:sz w:val="21"/>
              </w:rPr>
            </w:pPr>
          </w:p>
          <w:p w14:paraId="3E3E0321">
            <w:pPr>
              <w:spacing w:line="258" w:lineRule="auto"/>
              <w:rPr>
                <w:rFonts w:ascii="Arial"/>
                <w:sz w:val="21"/>
              </w:rPr>
            </w:pPr>
          </w:p>
          <w:p w14:paraId="5D1C98FF">
            <w:pPr>
              <w:spacing w:line="258" w:lineRule="auto"/>
              <w:rPr>
                <w:rFonts w:ascii="Arial"/>
                <w:sz w:val="21"/>
              </w:rPr>
            </w:pPr>
          </w:p>
          <w:p w14:paraId="64499709">
            <w:pPr>
              <w:pStyle w:val="6"/>
              <w:spacing w:before="42" w:line="238" w:lineRule="auto"/>
              <w:jc w:val="right"/>
              <w:rPr>
                <w:sz w:val="13"/>
                <w:szCs w:val="13"/>
              </w:rPr>
            </w:pPr>
            <w:r>
              <w:rPr>
                <w:spacing w:val="-38"/>
                <w:sz w:val="13"/>
                <w:szCs w:val="13"/>
              </w:rPr>
              <w:t>√</w:t>
            </w:r>
          </w:p>
        </w:tc>
      </w:tr>
      <w:tr w14:paraId="5FD8EE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51" w:hRule="atLeast"/>
        </w:trPr>
        <w:tc>
          <w:tcPr>
            <w:tcW w:w="893" w:type="dxa"/>
            <w:vAlign w:val="top"/>
          </w:tcPr>
          <w:p w14:paraId="78421F64">
            <w:pPr>
              <w:spacing w:line="405" w:lineRule="auto"/>
              <w:rPr>
                <w:rFonts w:ascii="Arial"/>
                <w:sz w:val="21"/>
              </w:rPr>
            </w:pPr>
          </w:p>
          <w:p w14:paraId="4500E3D1">
            <w:pPr>
              <w:pStyle w:val="6"/>
              <w:spacing w:before="55" w:line="219" w:lineRule="auto"/>
              <w:ind w:left="94"/>
            </w:pPr>
            <w:r>
              <w:rPr>
                <w:spacing w:val="3"/>
              </w:rPr>
              <w:t>果品类原</w:t>
            </w:r>
          </w:p>
          <w:p w14:paraId="6633836D">
            <w:pPr>
              <w:pStyle w:val="6"/>
              <w:spacing w:before="18" w:line="220" w:lineRule="auto"/>
              <w:ind w:left="184"/>
            </w:pPr>
            <w:r>
              <w:rPr>
                <w:spacing w:val="-2"/>
              </w:rPr>
              <w:t>料品种</w:t>
            </w:r>
          </w:p>
        </w:tc>
        <w:tc>
          <w:tcPr>
            <w:tcW w:w="2314" w:type="dxa"/>
            <w:vAlign w:val="top"/>
          </w:tcPr>
          <w:p w14:paraId="295276A0">
            <w:pPr>
              <w:pStyle w:val="6"/>
              <w:spacing w:before="133" w:line="216" w:lineRule="auto"/>
              <w:ind w:left="11"/>
            </w:pPr>
            <w:r>
              <w:rPr>
                <w:spacing w:val="1"/>
              </w:rPr>
              <w:t>1.常用的鲜果</w:t>
            </w:r>
          </w:p>
          <w:p w14:paraId="6A4797C8">
            <w:pPr>
              <w:pStyle w:val="6"/>
              <w:spacing w:line="230" w:lineRule="auto"/>
              <w:ind w:left="11" w:right="770"/>
            </w:pPr>
            <w:r>
              <w:rPr>
                <w:spacing w:val="-1"/>
              </w:rPr>
              <w:t>2.常用的干果、果干</w:t>
            </w:r>
            <w:r>
              <w:t xml:space="preserve"> </w:t>
            </w:r>
            <w:r>
              <w:rPr>
                <w:spacing w:val="2"/>
              </w:rPr>
              <w:t>3.糖制果品</w:t>
            </w:r>
          </w:p>
          <w:p w14:paraId="0361DAA6">
            <w:pPr>
              <w:pStyle w:val="6"/>
              <w:spacing w:before="16" w:line="229" w:lineRule="auto"/>
              <w:ind w:left="11" w:right="258"/>
            </w:pPr>
            <w:r>
              <w:rPr>
                <w:spacing w:val="-1"/>
              </w:rPr>
              <w:t>4.运用所学知识，对案例原</w:t>
            </w:r>
            <w:r>
              <w:rPr>
                <w:spacing w:val="6"/>
              </w:rPr>
              <w:t xml:space="preserve"> </w:t>
            </w:r>
            <w:r>
              <w:rPr>
                <w:spacing w:val="1"/>
              </w:rPr>
              <w:t>料实施保管及鉴别</w:t>
            </w:r>
          </w:p>
        </w:tc>
        <w:tc>
          <w:tcPr>
            <w:tcW w:w="230" w:type="dxa"/>
            <w:vAlign w:val="top"/>
          </w:tcPr>
          <w:p w14:paraId="373890D8">
            <w:pPr>
              <w:spacing w:before="164" w:line="532" w:lineRule="exact"/>
              <w:ind w:firstLine="42"/>
            </w:pPr>
            <w:r>
              <w:rPr>
                <w:position w:val="-10"/>
              </w:rPr>
              <w:drawing>
                <wp:inline distT="0" distB="0" distL="0" distR="0">
                  <wp:extent cx="94615" cy="337820"/>
                  <wp:effectExtent l="0" t="0" r="0" b="0"/>
                  <wp:docPr id="300" name="IM 300"/>
                  <wp:cNvGraphicFramePr/>
                  <a:graphic xmlns:a="http://schemas.openxmlformats.org/drawingml/2006/main">
                    <a:graphicData uri="http://schemas.openxmlformats.org/drawingml/2006/picture">
                      <pic:pic xmlns:pic="http://schemas.openxmlformats.org/drawingml/2006/picture">
                        <pic:nvPicPr>
                          <pic:cNvPr id="300" name="IM 300"/>
                          <pic:cNvPicPr/>
                        </pic:nvPicPr>
                        <pic:blipFill>
                          <a:blip r:embed="rId314"/>
                          <a:stretch>
                            <a:fillRect/>
                          </a:stretch>
                        </pic:blipFill>
                        <pic:spPr>
                          <a:xfrm>
                            <a:off x="0" y="0"/>
                            <a:ext cx="94839" cy="338121"/>
                          </a:xfrm>
                          <a:prstGeom prst="rect">
                            <a:avLst/>
                          </a:prstGeom>
                        </pic:spPr>
                      </pic:pic>
                    </a:graphicData>
                  </a:graphic>
                </wp:inline>
              </w:drawing>
            </w:r>
          </w:p>
        </w:tc>
        <w:tc>
          <w:tcPr>
            <w:tcW w:w="230" w:type="dxa"/>
            <w:vAlign w:val="top"/>
          </w:tcPr>
          <w:p w14:paraId="4447C2E4">
            <w:pPr>
              <w:rPr>
                <w:rFonts w:ascii="Arial"/>
                <w:sz w:val="21"/>
              </w:rPr>
            </w:pPr>
          </w:p>
        </w:tc>
        <w:tc>
          <w:tcPr>
            <w:tcW w:w="219" w:type="dxa"/>
            <w:vAlign w:val="top"/>
          </w:tcPr>
          <w:p w14:paraId="130EB033">
            <w:pPr>
              <w:rPr>
                <w:rFonts w:ascii="Arial"/>
                <w:sz w:val="21"/>
              </w:rPr>
            </w:pPr>
          </w:p>
        </w:tc>
        <w:tc>
          <w:tcPr>
            <w:tcW w:w="244" w:type="dxa"/>
            <w:vAlign w:val="top"/>
          </w:tcPr>
          <w:p w14:paraId="3DCF7A5E">
            <w:pPr>
              <w:rPr>
                <w:rFonts w:ascii="Arial"/>
                <w:sz w:val="21"/>
              </w:rPr>
            </w:pPr>
          </w:p>
        </w:tc>
      </w:tr>
    </w:tbl>
    <w:p w14:paraId="2B67299E">
      <w:pPr>
        <w:spacing w:before="129" w:line="219" w:lineRule="auto"/>
        <w:ind w:left="1287"/>
        <w:rPr>
          <w:rFonts w:ascii="宋体" w:hAnsi="宋体" w:eastAsia="宋体" w:cs="宋体"/>
          <w:sz w:val="21"/>
          <w:szCs w:val="21"/>
        </w:rPr>
      </w:pPr>
      <w:r>
        <w:rPr>
          <w:rFonts w:ascii="宋体" w:hAnsi="宋体" w:eastAsia="宋体" w:cs="宋体"/>
          <w:b/>
          <w:bCs/>
          <w:spacing w:val="-3"/>
          <w:sz w:val="21"/>
          <w:szCs w:val="21"/>
        </w:rPr>
        <w:t>第七章</w:t>
      </w:r>
      <w:r>
        <w:rPr>
          <w:rFonts w:ascii="宋体" w:hAnsi="宋体" w:eastAsia="宋体" w:cs="宋体"/>
          <w:spacing w:val="-3"/>
          <w:sz w:val="21"/>
          <w:szCs w:val="21"/>
        </w:rPr>
        <w:t xml:space="preserve"> </w:t>
      </w:r>
      <w:r>
        <w:rPr>
          <w:rFonts w:ascii="宋体" w:hAnsi="宋体" w:eastAsia="宋体" w:cs="宋体"/>
          <w:b/>
          <w:bCs/>
          <w:spacing w:val="-3"/>
          <w:sz w:val="21"/>
          <w:szCs w:val="21"/>
        </w:rPr>
        <w:t>调味原料</w:t>
      </w:r>
    </w:p>
    <w:p w14:paraId="1EE261C4">
      <w:pPr>
        <w:spacing w:line="16" w:lineRule="auto"/>
        <w:rPr>
          <w:rFonts w:ascii="Arial"/>
          <w:sz w:val="2"/>
        </w:rPr>
      </w:pPr>
    </w:p>
    <w:tbl>
      <w:tblPr>
        <w:tblStyle w:val="5"/>
        <w:tblW w:w="413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14"/>
        <w:gridCol w:w="230"/>
        <w:gridCol w:w="230"/>
        <w:gridCol w:w="219"/>
        <w:gridCol w:w="244"/>
      </w:tblGrid>
      <w:tr w14:paraId="6E852B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4" w:hRule="atLeast"/>
        </w:trPr>
        <w:tc>
          <w:tcPr>
            <w:tcW w:w="893" w:type="dxa"/>
            <w:vMerge w:val="restart"/>
            <w:tcBorders>
              <w:bottom w:val="nil"/>
            </w:tcBorders>
            <w:vAlign w:val="top"/>
          </w:tcPr>
          <w:p w14:paraId="600CF08A">
            <w:pPr>
              <w:pStyle w:val="6"/>
              <w:spacing w:before="80" w:line="226" w:lineRule="auto"/>
              <w:ind w:left="267" w:right="25" w:hanging="250"/>
            </w:pPr>
            <w:r>
              <w:rPr>
                <w:b/>
                <w:bCs/>
                <w:spacing w:val="-4"/>
              </w:rPr>
              <w:t>知识与技能</w:t>
            </w:r>
            <w:r>
              <w:t xml:space="preserve"> </w:t>
            </w:r>
            <w:r>
              <w:rPr>
                <w:b/>
                <w:bCs/>
                <w:spacing w:val="-4"/>
              </w:rPr>
              <w:t>要点</w:t>
            </w:r>
          </w:p>
        </w:tc>
        <w:tc>
          <w:tcPr>
            <w:tcW w:w="2314" w:type="dxa"/>
            <w:vMerge w:val="restart"/>
            <w:tcBorders>
              <w:bottom w:val="nil"/>
            </w:tcBorders>
            <w:vAlign w:val="top"/>
          </w:tcPr>
          <w:p w14:paraId="539C5103">
            <w:pPr>
              <w:pStyle w:val="6"/>
              <w:spacing w:before="189" w:line="219" w:lineRule="auto"/>
              <w:ind w:left="844"/>
            </w:pPr>
            <w:r>
              <w:rPr>
                <w:b/>
                <w:bCs/>
                <w:spacing w:val="5"/>
              </w:rPr>
              <w:t>考试条目</w:t>
            </w:r>
          </w:p>
        </w:tc>
        <w:tc>
          <w:tcPr>
            <w:tcW w:w="923" w:type="dxa"/>
            <w:gridSpan w:val="4"/>
            <w:vAlign w:val="top"/>
          </w:tcPr>
          <w:p w14:paraId="1EB15BB0">
            <w:pPr>
              <w:pStyle w:val="6"/>
              <w:spacing w:before="29" w:line="211" w:lineRule="auto"/>
              <w:ind w:left="140"/>
            </w:pPr>
            <w:r>
              <w:rPr>
                <w:b/>
                <w:bCs/>
                <w:spacing w:val="-4"/>
              </w:rPr>
              <w:t>考试水平</w:t>
            </w:r>
          </w:p>
        </w:tc>
      </w:tr>
      <w:tr w14:paraId="54D4F2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893" w:type="dxa"/>
            <w:vMerge w:val="continue"/>
            <w:tcBorders>
              <w:top w:val="nil"/>
            </w:tcBorders>
            <w:vAlign w:val="top"/>
          </w:tcPr>
          <w:p w14:paraId="1C2C95FC">
            <w:pPr>
              <w:rPr>
                <w:rFonts w:ascii="Arial"/>
                <w:sz w:val="21"/>
              </w:rPr>
            </w:pPr>
          </w:p>
        </w:tc>
        <w:tc>
          <w:tcPr>
            <w:tcW w:w="2314" w:type="dxa"/>
            <w:vMerge w:val="continue"/>
            <w:tcBorders>
              <w:top w:val="nil"/>
            </w:tcBorders>
            <w:vAlign w:val="top"/>
          </w:tcPr>
          <w:p w14:paraId="5D1FE3AE">
            <w:pPr>
              <w:rPr>
                <w:rFonts w:ascii="Arial"/>
                <w:sz w:val="21"/>
              </w:rPr>
            </w:pPr>
          </w:p>
        </w:tc>
        <w:tc>
          <w:tcPr>
            <w:tcW w:w="230" w:type="dxa"/>
            <w:vAlign w:val="top"/>
          </w:tcPr>
          <w:p w14:paraId="00CA9D1D">
            <w:pPr>
              <w:pStyle w:val="6"/>
              <w:spacing w:before="110" w:line="184" w:lineRule="auto"/>
              <w:jc w:val="right"/>
            </w:pPr>
            <w:r>
              <w:rPr>
                <w:b/>
                <w:bCs/>
                <w:spacing w:val="-1"/>
                <w:w w:val="92"/>
              </w:rPr>
              <w:t>A</w:t>
            </w:r>
          </w:p>
        </w:tc>
        <w:tc>
          <w:tcPr>
            <w:tcW w:w="230" w:type="dxa"/>
            <w:vAlign w:val="top"/>
          </w:tcPr>
          <w:p w14:paraId="01A71F4F">
            <w:pPr>
              <w:pStyle w:val="6"/>
              <w:spacing w:before="112" w:line="182" w:lineRule="auto"/>
              <w:ind w:left="20"/>
            </w:pPr>
            <w:r>
              <w:rPr>
                <w:b/>
                <w:bCs/>
                <w:spacing w:val="-2"/>
              </w:rPr>
              <w:t>B</w:t>
            </w:r>
          </w:p>
        </w:tc>
        <w:tc>
          <w:tcPr>
            <w:tcW w:w="219" w:type="dxa"/>
            <w:vAlign w:val="top"/>
          </w:tcPr>
          <w:p w14:paraId="7A336C72">
            <w:pPr>
              <w:pStyle w:val="6"/>
              <w:spacing w:before="110" w:line="183" w:lineRule="auto"/>
              <w:ind w:left="50"/>
            </w:pPr>
            <w:r>
              <w:rPr>
                <w:b/>
                <w:bCs/>
                <w:spacing w:val="-2"/>
              </w:rPr>
              <w:t>C</w:t>
            </w:r>
          </w:p>
        </w:tc>
        <w:tc>
          <w:tcPr>
            <w:tcW w:w="244" w:type="dxa"/>
            <w:vAlign w:val="top"/>
          </w:tcPr>
          <w:p w14:paraId="5BC782BA">
            <w:pPr>
              <w:pStyle w:val="6"/>
              <w:spacing w:before="112" w:line="182" w:lineRule="auto"/>
              <w:ind w:left="51"/>
            </w:pPr>
            <w:r>
              <w:rPr>
                <w:b/>
                <w:bCs/>
                <w:spacing w:val="-2"/>
              </w:rPr>
              <w:t>D</w:t>
            </w:r>
          </w:p>
        </w:tc>
      </w:tr>
      <w:tr w14:paraId="239A8E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58" w:hRule="atLeast"/>
        </w:trPr>
        <w:tc>
          <w:tcPr>
            <w:tcW w:w="893" w:type="dxa"/>
            <w:vAlign w:val="top"/>
          </w:tcPr>
          <w:p w14:paraId="308000C8">
            <w:pPr>
              <w:pStyle w:val="6"/>
              <w:spacing w:before="138" w:line="236" w:lineRule="auto"/>
              <w:ind w:left="264" w:right="115" w:hanging="170"/>
            </w:pPr>
            <w:r>
              <w:rPr>
                <w:spacing w:val="-2"/>
              </w:rPr>
              <w:t>调味原料</w:t>
            </w:r>
            <w:r>
              <w:t xml:space="preserve"> </w:t>
            </w:r>
            <w:r>
              <w:rPr>
                <w:spacing w:val="-2"/>
              </w:rPr>
              <w:t>概述</w:t>
            </w:r>
          </w:p>
        </w:tc>
        <w:tc>
          <w:tcPr>
            <w:tcW w:w="2314" w:type="dxa"/>
            <w:vAlign w:val="top"/>
          </w:tcPr>
          <w:p w14:paraId="2736A76B">
            <w:pPr>
              <w:pStyle w:val="6"/>
              <w:spacing w:before="39" w:line="219" w:lineRule="auto"/>
              <w:ind w:left="11"/>
            </w:pPr>
            <w:r>
              <w:t>1.调味原料的概念</w:t>
            </w:r>
          </w:p>
          <w:p w14:paraId="66FF2DFC">
            <w:pPr>
              <w:pStyle w:val="6"/>
              <w:spacing w:before="18" w:line="211" w:lineRule="auto"/>
              <w:ind w:left="11" w:right="260"/>
            </w:pPr>
            <w:r>
              <w:rPr>
                <w:spacing w:val="-1"/>
              </w:rPr>
              <w:t>2.调味原料的分类和在烹饪</w:t>
            </w:r>
            <w:r>
              <w:rPr>
                <w:spacing w:val="3"/>
              </w:rPr>
              <w:t xml:space="preserve"> </w:t>
            </w:r>
            <w:r>
              <w:rPr>
                <w:spacing w:val="5"/>
              </w:rPr>
              <w:t>中的作用</w:t>
            </w:r>
          </w:p>
        </w:tc>
        <w:tc>
          <w:tcPr>
            <w:tcW w:w="230" w:type="dxa"/>
            <w:vAlign w:val="top"/>
          </w:tcPr>
          <w:p w14:paraId="14A90309">
            <w:pPr>
              <w:pStyle w:val="6"/>
              <w:spacing w:before="60" w:line="238" w:lineRule="auto"/>
              <w:jc w:val="right"/>
              <w:rPr>
                <w:sz w:val="13"/>
                <w:szCs w:val="13"/>
              </w:rPr>
            </w:pPr>
            <w:r>
              <w:rPr>
                <w:spacing w:val="-38"/>
                <w:sz w:val="13"/>
                <w:szCs w:val="13"/>
              </w:rPr>
              <w:t>√</w:t>
            </w:r>
          </w:p>
        </w:tc>
        <w:tc>
          <w:tcPr>
            <w:tcW w:w="230" w:type="dxa"/>
            <w:vAlign w:val="top"/>
          </w:tcPr>
          <w:p w14:paraId="2DA17C1F">
            <w:pPr>
              <w:rPr>
                <w:rFonts w:ascii="Arial"/>
                <w:sz w:val="21"/>
              </w:rPr>
            </w:pPr>
          </w:p>
        </w:tc>
        <w:tc>
          <w:tcPr>
            <w:tcW w:w="219" w:type="dxa"/>
            <w:vAlign w:val="top"/>
          </w:tcPr>
          <w:p w14:paraId="5D785338">
            <w:pPr>
              <w:pStyle w:val="6"/>
              <w:spacing w:before="280" w:line="238" w:lineRule="auto"/>
              <w:ind w:left="17"/>
              <w:rPr>
                <w:sz w:val="13"/>
                <w:szCs w:val="13"/>
              </w:rPr>
            </w:pPr>
            <w:r>
              <w:rPr>
                <w:sz w:val="13"/>
                <w:szCs w:val="13"/>
              </w:rPr>
              <w:t>√</w:t>
            </w:r>
          </w:p>
        </w:tc>
        <w:tc>
          <w:tcPr>
            <w:tcW w:w="244" w:type="dxa"/>
            <w:vAlign w:val="top"/>
          </w:tcPr>
          <w:p w14:paraId="127AADFD">
            <w:pPr>
              <w:rPr>
                <w:rFonts w:ascii="Arial"/>
                <w:sz w:val="21"/>
              </w:rPr>
            </w:pPr>
          </w:p>
        </w:tc>
      </w:tr>
      <w:tr w14:paraId="40B2AC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28" w:hRule="atLeast"/>
        </w:trPr>
        <w:tc>
          <w:tcPr>
            <w:tcW w:w="893" w:type="dxa"/>
            <w:vAlign w:val="top"/>
          </w:tcPr>
          <w:p w14:paraId="3FF8B5CC">
            <w:pPr>
              <w:spacing w:line="310" w:lineRule="auto"/>
              <w:rPr>
                <w:rFonts w:ascii="Arial"/>
                <w:sz w:val="21"/>
              </w:rPr>
            </w:pPr>
          </w:p>
          <w:p w14:paraId="4B3159A8">
            <w:pPr>
              <w:spacing w:line="310" w:lineRule="auto"/>
              <w:rPr>
                <w:rFonts w:ascii="Arial"/>
                <w:sz w:val="21"/>
              </w:rPr>
            </w:pPr>
          </w:p>
          <w:p w14:paraId="4DB8DC70">
            <w:pPr>
              <w:spacing w:line="311" w:lineRule="auto"/>
              <w:rPr>
                <w:rFonts w:ascii="Arial"/>
                <w:sz w:val="21"/>
              </w:rPr>
            </w:pPr>
          </w:p>
          <w:p w14:paraId="1F04A2DB">
            <w:pPr>
              <w:pStyle w:val="6"/>
              <w:spacing w:before="55" w:line="223" w:lineRule="auto"/>
              <w:ind w:left="264" w:right="94" w:hanging="170"/>
            </w:pPr>
            <w:r>
              <w:rPr>
                <w:spacing w:val="3"/>
              </w:rPr>
              <w:t>调味品的</w:t>
            </w:r>
            <w:r>
              <w:t xml:space="preserve"> </w:t>
            </w:r>
            <w:r>
              <w:rPr>
                <w:spacing w:val="-2"/>
              </w:rPr>
              <w:t>种类</w:t>
            </w:r>
          </w:p>
        </w:tc>
        <w:tc>
          <w:tcPr>
            <w:tcW w:w="2314" w:type="dxa"/>
            <w:vAlign w:val="top"/>
          </w:tcPr>
          <w:p w14:paraId="760EA748">
            <w:pPr>
              <w:pStyle w:val="6"/>
              <w:spacing w:before="122" w:line="235" w:lineRule="auto"/>
              <w:ind w:left="11" w:right="1254"/>
              <w:jc w:val="both"/>
            </w:pPr>
            <w:r>
              <w:rPr>
                <w:spacing w:val="2"/>
              </w:rPr>
              <w:t>1.咸味调味品 2.甜味调味品 3.酸味调味品 4.鲜味调味品 5.辣味调味品 6.香味调味品 7.苦味调味品 8.复合调味品</w:t>
            </w:r>
          </w:p>
          <w:p w14:paraId="1F5733E7">
            <w:pPr>
              <w:pStyle w:val="6"/>
              <w:spacing w:before="27" w:line="218" w:lineRule="auto"/>
              <w:ind w:left="11" w:right="238"/>
            </w:pPr>
            <w:r>
              <w:rPr>
                <w:spacing w:val="1"/>
              </w:rPr>
              <w:t>9.运用所学知识，对案例原</w:t>
            </w:r>
            <w:r>
              <w:t xml:space="preserve"> </w:t>
            </w:r>
            <w:r>
              <w:rPr>
                <w:spacing w:val="1"/>
              </w:rPr>
              <w:t>料实施保管及鉴别</w:t>
            </w:r>
          </w:p>
        </w:tc>
        <w:tc>
          <w:tcPr>
            <w:tcW w:w="230" w:type="dxa"/>
            <w:vAlign w:val="top"/>
          </w:tcPr>
          <w:p w14:paraId="5A102AF9">
            <w:pPr>
              <w:rPr>
                <w:rFonts w:ascii="Arial"/>
                <w:sz w:val="21"/>
              </w:rPr>
            </w:pPr>
          </w:p>
        </w:tc>
        <w:tc>
          <w:tcPr>
            <w:tcW w:w="230" w:type="dxa"/>
            <w:vAlign w:val="top"/>
          </w:tcPr>
          <w:p w14:paraId="0C5C841A">
            <w:pPr>
              <w:rPr>
                <w:rFonts w:ascii="Arial"/>
                <w:sz w:val="21"/>
              </w:rPr>
            </w:pPr>
          </w:p>
        </w:tc>
        <w:tc>
          <w:tcPr>
            <w:tcW w:w="219" w:type="dxa"/>
            <w:vAlign w:val="top"/>
          </w:tcPr>
          <w:p w14:paraId="38F0E22D">
            <w:pPr>
              <w:rPr>
                <w:rFonts w:ascii="Arial"/>
                <w:sz w:val="21"/>
              </w:rPr>
            </w:pPr>
          </w:p>
        </w:tc>
        <w:tc>
          <w:tcPr>
            <w:tcW w:w="244" w:type="dxa"/>
            <w:vAlign w:val="top"/>
          </w:tcPr>
          <w:p w14:paraId="479396E2">
            <w:pPr>
              <w:rPr>
                <w:rFonts w:ascii="Arial"/>
                <w:sz w:val="21"/>
              </w:rPr>
            </w:pPr>
          </w:p>
        </w:tc>
      </w:tr>
    </w:tbl>
    <w:p w14:paraId="69813E10">
      <w:pPr>
        <w:spacing w:before="139" w:line="219" w:lineRule="auto"/>
        <w:ind w:left="1287"/>
        <w:rPr>
          <w:rFonts w:ascii="宋体" w:hAnsi="宋体" w:eastAsia="宋体" w:cs="宋体"/>
          <w:sz w:val="20"/>
          <w:szCs w:val="20"/>
        </w:rPr>
      </w:pPr>
      <w:r>
        <w:rPr>
          <w:rFonts w:ascii="宋体" w:hAnsi="宋体" w:eastAsia="宋体" w:cs="宋体"/>
          <w:b/>
          <w:bCs/>
          <w:spacing w:val="-3"/>
          <w:sz w:val="20"/>
          <w:szCs w:val="20"/>
        </w:rPr>
        <w:t>第八章</w:t>
      </w:r>
      <w:r>
        <w:rPr>
          <w:rFonts w:ascii="宋体" w:hAnsi="宋体" w:eastAsia="宋体" w:cs="宋体"/>
          <w:spacing w:val="-3"/>
          <w:sz w:val="20"/>
          <w:szCs w:val="20"/>
        </w:rPr>
        <w:t xml:space="preserve">  </w:t>
      </w:r>
      <w:r>
        <w:rPr>
          <w:rFonts w:ascii="宋体" w:hAnsi="宋体" w:eastAsia="宋体" w:cs="宋体"/>
          <w:b/>
          <w:bCs/>
          <w:spacing w:val="-3"/>
          <w:sz w:val="20"/>
          <w:szCs w:val="20"/>
        </w:rPr>
        <w:t>佐助原料</w:t>
      </w:r>
    </w:p>
    <w:p w14:paraId="271146F3">
      <w:pPr>
        <w:spacing w:line="38" w:lineRule="auto"/>
        <w:rPr>
          <w:rFonts w:ascii="Arial"/>
          <w:sz w:val="2"/>
        </w:rPr>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14"/>
        <w:gridCol w:w="230"/>
        <w:gridCol w:w="229"/>
        <w:gridCol w:w="219"/>
        <w:gridCol w:w="234"/>
      </w:tblGrid>
      <w:tr w14:paraId="7D9DEF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9" w:hRule="atLeast"/>
        </w:trPr>
        <w:tc>
          <w:tcPr>
            <w:tcW w:w="893" w:type="dxa"/>
            <w:vMerge w:val="restart"/>
            <w:tcBorders>
              <w:top w:val="single" w:color="000000" w:sz="2" w:space="0"/>
              <w:bottom w:val="nil"/>
            </w:tcBorders>
            <w:vAlign w:val="top"/>
          </w:tcPr>
          <w:p w14:paraId="26BF14A8">
            <w:pPr>
              <w:pStyle w:val="6"/>
              <w:spacing w:before="75" w:line="220" w:lineRule="auto"/>
              <w:ind w:left="267" w:right="25" w:hanging="250"/>
            </w:pPr>
            <w:r>
              <w:rPr>
                <w:b/>
                <w:bCs/>
                <w:spacing w:val="-4"/>
              </w:rPr>
              <w:t>知识与技能</w:t>
            </w:r>
            <w:r>
              <w:t xml:space="preserve"> </w:t>
            </w:r>
            <w:r>
              <w:rPr>
                <w:b/>
                <w:bCs/>
                <w:spacing w:val="-4"/>
              </w:rPr>
              <w:t>要点</w:t>
            </w:r>
          </w:p>
        </w:tc>
        <w:tc>
          <w:tcPr>
            <w:tcW w:w="2314" w:type="dxa"/>
            <w:vMerge w:val="restart"/>
            <w:tcBorders>
              <w:top w:val="single" w:color="000000" w:sz="2" w:space="0"/>
              <w:bottom w:val="nil"/>
            </w:tcBorders>
            <w:vAlign w:val="top"/>
          </w:tcPr>
          <w:p w14:paraId="57EF7A7B">
            <w:pPr>
              <w:pStyle w:val="6"/>
              <w:spacing w:before="194" w:line="219" w:lineRule="auto"/>
              <w:ind w:left="844"/>
            </w:pPr>
            <w:r>
              <w:rPr>
                <w:b/>
                <w:bCs/>
                <w:spacing w:val="5"/>
              </w:rPr>
              <w:t>考试条目</w:t>
            </w:r>
          </w:p>
        </w:tc>
        <w:tc>
          <w:tcPr>
            <w:tcW w:w="912" w:type="dxa"/>
            <w:gridSpan w:val="4"/>
            <w:tcBorders>
              <w:top w:val="single" w:color="000000" w:sz="2" w:space="0"/>
              <w:bottom w:val="single" w:color="000000" w:sz="2" w:space="0"/>
            </w:tcBorders>
            <w:vAlign w:val="top"/>
          </w:tcPr>
          <w:p w14:paraId="4B99E570">
            <w:pPr>
              <w:pStyle w:val="6"/>
              <w:spacing w:before="33" w:line="201" w:lineRule="auto"/>
              <w:ind w:left="140"/>
            </w:pPr>
            <w:r>
              <w:rPr>
                <w:b/>
                <w:bCs/>
                <w:spacing w:val="-4"/>
              </w:rPr>
              <w:t>考试水平</w:t>
            </w:r>
          </w:p>
        </w:tc>
      </w:tr>
      <w:tr w14:paraId="7F198F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3" w:hRule="atLeast"/>
        </w:trPr>
        <w:tc>
          <w:tcPr>
            <w:tcW w:w="893" w:type="dxa"/>
            <w:vMerge w:val="continue"/>
            <w:tcBorders>
              <w:top w:val="nil"/>
              <w:bottom w:val="single" w:color="000000" w:sz="2" w:space="0"/>
            </w:tcBorders>
            <w:vAlign w:val="top"/>
          </w:tcPr>
          <w:p w14:paraId="21CCDE04">
            <w:pPr>
              <w:rPr>
                <w:rFonts w:ascii="Arial"/>
                <w:sz w:val="21"/>
              </w:rPr>
            </w:pPr>
          </w:p>
        </w:tc>
        <w:tc>
          <w:tcPr>
            <w:tcW w:w="2314" w:type="dxa"/>
            <w:vMerge w:val="continue"/>
            <w:tcBorders>
              <w:top w:val="nil"/>
              <w:bottom w:val="single" w:color="000000" w:sz="2" w:space="0"/>
            </w:tcBorders>
            <w:vAlign w:val="top"/>
          </w:tcPr>
          <w:p w14:paraId="2794D950">
            <w:pPr>
              <w:rPr>
                <w:rFonts w:ascii="Arial"/>
                <w:sz w:val="21"/>
              </w:rPr>
            </w:pPr>
          </w:p>
        </w:tc>
        <w:tc>
          <w:tcPr>
            <w:tcW w:w="230" w:type="dxa"/>
            <w:tcBorders>
              <w:top w:val="single" w:color="000000" w:sz="2" w:space="0"/>
              <w:bottom w:val="single" w:color="000000" w:sz="2" w:space="0"/>
            </w:tcBorders>
            <w:vAlign w:val="top"/>
          </w:tcPr>
          <w:p w14:paraId="5BE00333">
            <w:pPr>
              <w:pStyle w:val="6"/>
              <w:spacing w:before="115" w:line="184" w:lineRule="auto"/>
              <w:ind w:left="50"/>
            </w:pPr>
            <w:r>
              <w:rPr>
                <w:b/>
                <w:bCs/>
                <w:spacing w:val="-2"/>
              </w:rPr>
              <w:t>A</w:t>
            </w:r>
          </w:p>
        </w:tc>
        <w:tc>
          <w:tcPr>
            <w:tcW w:w="229" w:type="dxa"/>
            <w:tcBorders>
              <w:top w:val="single" w:color="000000" w:sz="2" w:space="0"/>
              <w:bottom w:val="single" w:color="000000" w:sz="2" w:space="0"/>
            </w:tcBorders>
            <w:vAlign w:val="top"/>
          </w:tcPr>
          <w:p w14:paraId="450A2DC0">
            <w:pPr>
              <w:pStyle w:val="6"/>
              <w:spacing w:before="117" w:line="182" w:lineRule="auto"/>
              <w:ind w:left="20"/>
            </w:pPr>
            <w:r>
              <w:rPr>
                <w:b/>
                <w:bCs/>
                <w:spacing w:val="-2"/>
              </w:rPr>
              <w:t>B</w:t>
            </w:r>
          </w:p>
        </w:tc>
        <w:tc>
          <w:tcPr>
            <w:tcW w:w="219" w:type="dxa"/>
            <w:tcBorders>
              <w:top w:val="single" w:color="000000" w:sz="2" w:space="0"/>
              <w:bottom w:val="single" w:color="000000" w:sz="2" w:space="0"/>
            </w:tcBorders>
            <w:vAlign w:val="top"/>
          </w:tcPr>
          <w:p w14:paraId="1F953CC1">
            <w:pPr>
              <w:pStyle w:val="6"/>
              <w:spacing w:before="115" w:line="183" w:lineRule="auto"/>
              <w:ind w:left="51"/>
            </w:pPr>
            <w:r>
              <w:rPr>
                <w:b/>
                <w:bCs/>
                <w:spacing w:val="-2"/>
              </w:rPr>
              <w:t>C</w:t>
            </w:r>
          </w:p>
        </w:tc>
        <w:tc>
          <w:tcPr>
            <w:tcW w:w="234" w:type="dxa"/>
            <w:tcBorders>
              <w:top w:val="single" w:color="000000" w:sz="2" w:space="0"/>
              <w:bottom w:val="single" w:color="000000" w:sz="2" w:space="0"/>
            </w:tcBorders>
            <w:vAlign w:val="top"/>
          </w:tcPr>
          <w:p w14:paraId="7371BE14">
            <w:pPr>
              <w:pStyle w:val="6"/>
              <w:spacing w:before="117" w:line="182" w:lineRule="auto"/>
              <w:ind w:left="62"/>
            </w:pPr>
            <w:r>
              <w:rPr>
                <w:b/>
                <w:bCs/>
                <w:spacing w:val="-2"/>
              </w:rPr>
              <w:t>D</w:t>
            </w:r>
          </w:p>
        </w:tc>
      </w:tr>
      <w:tr w14:paraId="5623B6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6" w:hRule="atLeast"/>
        </w:trPr>
        <w:tc>
          <w:tcPr>
            <w:tcW w:w="893" w:type="dxa"/>
            <w:tcBorders>
              <w:top w:val="single" w:color="000000" w:sz="2" w:space="0"/>
              <w:bottom w:val="single" w:color="000000" w:sz="2" w:space="0"/>
            </w:tcBorders>
            <w:vAlign w:val="top"/>
          </w:tcPr>
          <w:p w14:paraId="578DDC25">
            <w:pPr>
              <w:pStyle w:val="6"/>
              <w:spacing w:before="151" w:line="229" w:lineRule="auto"/>
              <w:ind w:left="267" w:right="111" w:hanging="170"/>
            </w:pPr>
            <w:r>
              <w:rPr>
                <w:b/>
                <w:bCs/>
                <w:spacing w:val="-4"/>
              </w:rPr>
              <w:t>佐助原料</w:t>
            </w:r>
            <w:r>
              <w:rPr>
                <w:spacing w:val="1"/>
              </w:rPr>
              <w:t xml:space="preserve"> </w:t>
            </w:r>
            <w:r>
              <w:rPr>
                <w:b/>
                <w:bCs/>
                <w:spacing w:val="-4"/>
              </w:rPr>
              <w:t>概述</w:t>
            </w:r>
          </w:p>
        </w:tc>
        <w:tc>
          <w:tcPr>
            <w:tcW w:w="2314" w:type="dxa"/>
            <w:tcBorders>
              <w:top w:val="single" w:color="000000" w:sz="2" w:space="0"/>
              <w:bottom w:val="single" w:color="000000" w:sz="2" w:space="0"/>
            </w:tcBorders>
            <w:vAlign w:val="top"/>
          </w:tcPr>
          <w:p w14:paraId="4BBF81BF">
            <w:pPr>
              <w:pStyle w:val="6"/>
              <w:spacing w:before="51" w:line="226" w:lineRule="auto"/>
              <w:ind w:left="14" w:right="913"/>
              <w:jc w:val="both"/>
            </w:pPr>
            <w:r>
              <w:rPr>
                <w:b/>
                <w:bCs/>
                <w:spacing w:val="-2"/>
              </w:rPr>
              <w:t>1.佐助原料的概念</w:t>
            </w:r>
            <w:r>
              <w:rPr>
                <w:spacing w:val="3"/>
              </w:rPr>
              <w:t xml:space="preserve"> </w:t>
            </w:r>
            <w:r>
              <w:rPr>
                <w:b/>
                <w:bCs/>
                <w:spacing w:val="-3"/>
              </w:rPr>
              <w:t>2.佐助原料的分类</w:t>
            </w:r>
            <w:r>
              <w:rPr>
                <w:spacing w:val="1"/>
              </w:rPr>
              <w:t xml:space="preserve"> </w:t>
            </w:r>
            <w:r>
              <w:rPr>
                <w:b/>
                <w:bCs/>
                <w:spacing w:val="-1"/>
              </w:rPr>
              <w:t>3.佐助原料的作用</w:t>
            </w:r>
          </w:p>
        </w:tc>
        <w:tc>
          <w:tcPr>
            <w:tcW w:w="230" w:type="dxa"/>
            <w:tcBorders>
              <w:top w:val="single" w:color="000000" w:sz="2" w:space="0"/>
              <w:bottom w:val="single" w:color="000000" w:sz="2" w:space="0"/>
            </w:tcBorders>
            <w:vAlign w:val="top"/>
          </w:tcPr>
          <w:p w14:paraId="394C80E4">
            <w:pPr>
              <w:spacing w:before="104" w:line="294" w:lineRule="exact"/>
              <w:ind w:firstLine="51"/>
            </w:pPr>
            <w:r>
              <w:rPr>
                <w:position w:val="-5"/>
              </w:rPr>
              <w:drawing>
                <wp:inline distT="0" distB="0" distL="0" distR="0">
                  <wp:extent cx="82550" cy="186055"/>
                  <wp:effectExtent l="0" t="0" r="0" b="0"/>
                  <wp:docPr id="302" name="IM 302"/>
                  <wp:cNvGraphicFramePr/>
                  <a:graphic xmlns:a="http://schemas.openxmlformats.org/drawingml/2006/main">
                    <a:graphicData uri="http://schemas.openxmlformats.org/drawingml/2006/picture">
                      <pic:pic xmlns:pic="http://schemas.openxmlformats.org/drawingml/2006/picture">
                        <pic:nvPicPr>
                          <pic:cNvPr id="302" name="IM 302"/>
                          <pic:cNvPicPr/>
                        </pic:nvPicPr>
                        <pic:blipFill>
                          <a:blip r:embed="rId315"/>
                          <a:stretch>
                            <a:fillRect/>
                          </a:stretch>
                        </pic:blipFill>
                        <pic:spPr>
                          <a:xfrm>
                            <a:off x="0" y="0"/>
                            <a:ext cx="82984" cy="186464"/>
                          </a:xfrm>
                          <a:prstGeom prst="rect">
                            <a:avLst/>
                          </a:prstGeom>
                        </pic:spPr>
                      </pic:pic>
                    </a:graphicData>
                  </a:graphic>
                </wp:inline>
              </w:drawing>
            </w:r>
          </w:p>
        </w:tc>
        <w:tc>
          <w:tcPr>
            <w:tcW w:w="229" w:type="dxa"/>
            <w:tcBorders>
              <w:top w:val="single" w:color="000000" w:sz="2" w:space="0"/>
              <w:bottom w:val="single" w:color="000000" w:sz="2" w:space="0"/>
            </w:tcBorders>
            <w:vAlign w:val="top"/>
          </w:tcPr>
          <w:p w14:paraId="54743919">
            <w:pPr>
              <w:rPr>
                <w:rFonts w:ascii="Arial"/>
                <w:sz w:val="21"/>
              </w:rPr>
            </w:pPr>
          </w:p>
        </w:tc>
        <w:tc>
          <w:tcPr>
            <w:tcW w:w="219" w:type="dxa"/>
            <w:tcBorders>
              <w:top w:val="single" w:color="000000" w:sz="2" w:space="0"/>
              <w:bottom w:val="single" w:color="000000" w:sz="2" w:space="0"/>
            </w:tcBorders>
            <w:vAlign w:val="top"/>
          </w:tcPr>
          <w:p w14:paraId="3CBA07D4">
            <w:pPr>
              <w:rPr>
                <w:rFonts w:ascii="Arial"/>
                <w:sz w:val="21"/>
              </w:rPr>
            </w:pPr>
          </w:p>
        </w:tc>
        <w:tc>
          <w:tcPr>
            <w:tcW w:w="234" w:type="dxa"/>
            <w:tcBorders>
              <w:top w:val="single" w:color="000000" w:sz="2" w:space="0"/>
              <w:bottom w:val="single" w:color="000000" w:sz="2" w:space="0"/>
            </w:tcBorders>
            <w:vAlign w:val="top"/>
          </w:tcPr>
          <w:p w14:paraId="64A6D246">
            <w:pPr>
              <w:rPr>
                <w:rFonts w:ascii="Arial"/>
                <w:sz w:val="21"/>
              </w:rPr>
            </w:pPr>
          </w:p>
        </w:tc>
      </w:tr>
    </w:tbl>
    <w:p w14:paraId="247B2BAC">
      <w:pPr>
        <w:pStyle w:val="2"/>
        <w:spacing w:line="14" w:lineRule="auto"/>
        <w:rPr>
          <w:sz w:val="2"/>
        </w:rPr>
      </w:pPr>
    </w:p>
    <w:p w14:paraId="72B53BDF">
      <w:pPr>
        <w:spacing w:line="14" w:lineRule="auto"/>
        <w:rPr>
          <w:sz w:val="2"/>
          <w:szCs w:val="2"/>
        </w:rPr>
        <w:sectPr>
          <w:type w:val="continuous"/>
          <w:pgSz w:w="10660" w:h="15080"/>
          <w:pgMar w:top="400" w:right="1024" w:bottom="927" w:left="819" w:header="0" w:footer="719" w:gutter="0"/>
          <w:cols w:equalWidth="0" w:num="2">
            <w:col w:w="4576" w:space="100"/>
            <w:col w:w="4141"/>
          </w:cols>
        </w:sectPr>
      </w:pPr>
    </w:p>
    <w:p w14:paraId="2BCAFD17">
      <w:pPr>
        <w:spacing w:before="10"/>
      </w:pPr>
    </w:p>
    <w:p w14:paraId="5BB02DA3">
      <w:pPr>
        <w:spacing w:before="10"/>
      </w:pPr>
    </w:p>
    <w:p w14:paraId="0AF6BD01">
      <w:pPr>
        <w:spacing w:before="10"/>
      </w:pPr>
    </w:p>
    <w:p w14:paraId="27C2C86B">
      <w:pPr>
        <w:spacing w:before="9"/>
      </w:pPr>
    </w:p>
    <w:p w14:paraId="0A011BC7">
      <w:pPr>
        <w:sectPr>
          <w:footerReference r:id="rId57" w:type="default"/>
          <w:pgSz w:w="10660" w:h="15080"/>
          <w:pgMar w:top="400" w:right="679" w:bottom="925" w:left="1034" w:header="0" w:footer="705" w:gutter="0"/>
          <w:cols w:equalWidth="0" w:num="1">
            <w:col w:w="8946"/>
          </w:cols>
        </w:sectPr>
      </w:pPr>
    </w:p>
    <w:p w14:paraId="2B08EC9D">
      <w:pPr>
        <w:spacing w:line="103" w:lineRule="auto"/>
        <w:rPr>
          <w:rFonts w:ascii="Arial"/>
          <w:sz w:val="2"/>
        </w:rPr>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24"/>
        <w:gridCol w:w="210"/>
        <w:gridCol w:w="229"/>
        <w:gridCol w:w="229"/>
        <w:gridCol w:w="234"/>
      </w:tblGrid>
      <w:tr w14:paraId="3646A3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4" w:hRule="atLeast"/>
        </w:trPr>
        <w:tc>
          <w:tcPr>
            <w:tcW w:w="893" w:type="dxa"/>
            <w:vMerge w:val="restart"/>
            <w:tcBorders>
              <w:bottom w:val="nil"/>
            </w:tcBorders>
            <w:vAlign w:val="top"/>
          </w:tcPr>
          <w:p w14:paraId="527DA879">
            <w:pPr>
              <w:pStyle w:val="6"/>
              <w:spacing w:before="79" w:line="221" w:lineRule="auto"/>
              <w:ind w:left="266" w:right="25" w:hanging="249"/>
            </w:pPr>
            <w:r>
              <w:rPr>
                <w:b/>
                <w:bCs/>
                <w:spacing w:val="-4"/>
              </w:rPr>
              <w:t>知识与技能</w:t>
            </w:r>
            <w:r>
              <w:t xml:space="preserve"> </w:t>
            </w:r>
            <w:r>
              <w:rPr>
                <w:b/>
                <w:bCs/>
                <w:spacing w:val="-4"/>
              </w:rPr>
              <w:t>要点</w:t>
            </w:r>
          </w:p>
        </w:tc>
        <w:tc>
          <w:tcPr>
            <w:tcW w:w="2324" w:type="dxa"/>
            <w:vMerge w:val="restart"/>
            <w:tcBorders>
              <w:bottom w:val="nil"/>
            </w:tcBorders>
            <w:vAlign w:val="top"/>
          </w:tcPr>
          <w:p w14:paraId="655F3628">
            <w:pPr>
              <w:pStyle w:val="6"/>
              <w:spacing w:before="189" w:line="219" w:lineRule="auto"/>
              <w:ind w:left="844"/>
            </w:pPr>
            <w:r>
              <w:rPr>
                <w:b/>
                <w:bCs/>
                <w:spacing w:val="5"/>
              </w:rPr>
              <w:t>考试条目</w:t>
            </w:r>
          </w:p>
        </w:tc>
        <w:tc>
          <w:tcPr>
            <w:tcW w:w="902" w:type="dxa"/>
            <w:gridSpan w:val="4"/>
            <w:vAlign w:val="top"/>
          </w:tcPr>
          <w:p w14:paraId="7D2765C6">
            <w:pPr>
              <w:pStyle w:val="6"/>
              <w:spacing w:before="29" w:line="211" w:lineRule="auto"/>
              <w:ind w:left="120"/>
            </w:pPr>
            <w:r>
              <w:rPr>
                <w:b/>
                <w:bCs/>
                <w:spacing w:val="-4"/>
              </w:rPr>
              <w:t>考试水平</w:t>
            </w:r>
          </w:p>
        </w:tc>
      </w:tr>
      <w:tr w14:paraId="337332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893" w:type="dxa"/>
            <w:vMerge w:val="continue"/>
            <w:tcBorders>
              <w:top w:val="nil"/>
            </w:tcBorders>
            <w:vAlign w:val="top"/>
          </w:tcPr>
          <w:p w14:paraId="467ABC82">
            <w:pPr>
              <w:rPr>
                <w:rFonts w:ascii="Arial"/>
                <w:sz w:val="21"/>
              </w:rPr>
            </w:pPr>
          </w:p>
        </w:tc>
        <w:tc>
          <w:tcPr>
            <w:tcW w:w="2324" w:type="dxa"/>
            <w:vMerge w:val="continue"/>
            <w:tcBorders>
              <w:top w:val="nil"/>
            </w:tcBorders>
            <w:vAlign w:val="top"/>
          </w:tcPr>
          <w:p w14:paraId="166D3886">
            <w:pPr>
              <w:rPr>
                <w:rFonts w:ascii="Arial"/>
                <w:sz w:val="21"/>
              </w:rPr>
            </w:pPr>
          </w:p>
        </w:tc>
        <w:tc>
          <w:tcPr>
            <w:tcW w:w="210" w:type="dxa"/>
            <w:vAlign w:val="top"/>
          </w:tcPr>
          <w:p w14:paraId="69F6CD57">
            <w:pPr>
              <w:pStyle w:val="6"/>
              <w:spacing w:before="110" w:line="184" w:lineRule="auto"/>
              <w:ind w:left="20"/>
            </w:pPr>
            <w:r>
              <w:rPr>
                <w:b/>
                <w:bCs/>
                <w:spacing w:val="-2"/>
              </w:rPr>
              <w:t>A</w:t>
            </w:r>
          </w:p>
        </w:tc>
        <w:tc>
          <w:tcPr>
            <w:tcW w:w="229" w:type="dxa"/>
            <w:vAlign w:val="top"/>
          </w:tcPr>
          <w:p w14:paraId="62C531C7">
            <w:pPr>
              <w:pStyle w:val="6"/>
              <w:spacing w:before="112" w:line="182" w:lineRule="auto"/>
              <w:ind w:left="20"/>
            </w:pPr>
            <w:r>
              <w:rPr>
                <w:b/>
                <w:bCs/>
                <w:spacing w:val="-2"/>
              </w:rPr>
              <w:t>B</w:t>
            </w:r>
          </w:p>
        </w:tc>
        <w:tc>
          <w:tcPr>
            <w:tcW w:w="229" w:type="dxa"/>
            <w:vAlign w:val="top"/>
          </w:tcPr>
          <w:p w14:paraId="687F7061">
            <w:pPr>
              <w:pStyle w:val="6"/>
              <w:spacing w:before="111" w:line="183" w:lineRule="auto"/>
              <w:ind w:left="19"/>
            </w:pPr>
            <w:r>
              <w:t>C</w:t>
            </w:r>
          </w:p>
        </w:tc>
        <w:tc>
          <w:tcPr>
            <w:tcW w:w="234" w:type="dxa"/>
            <w:vAlign w:val="top"/>
          </w:tcPr>
          <w:p w14:paraId="38908401">
            <w:pPr>
              <w:pStyle w:val="6"/>
              <w:spacing w:before="112" w:line="182" w:lineRule="auto"/>
              <w:ind w:left="22"/>
            </w:pPr>
            <w:r>
              <w:rPr>
                <w:b/>
                <w:bCs/>
                <w:spacing w:val="-2"/>
              </w:rPr>
              <w:t>D</w:t>
            </w:r>
          </w:p>
        </w:tc>
      </w:tr>
      <w:tr w14:paraId="3F0FE5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17" w:hRule="atLeast"/>
        </w:trPr>
        <w:tc>
          <w:tcPr>
            <w:tcW w:w="893" w:type="dxa"/>
            <w:vAlign w:val="top"/>
          </w:tcPr>
          <w:p w14:paraId="58E6869A">
            <w:pPr>
              <w:spacing w:line="260" w:lineRule="auto"/>
              <w:rPr>
                <w:rFonts w:ascii="Arial"/>
                <w:sz w:val="21"/>
              </w:rPr>
            </w:pPr>
          </w:p>
          <w:p w14:paraId="0E5334C2">
            <w:pPr>
              <w:spacing w:line="261" w:lineRule="auto"/>
              <w:rPr>
                <w:rFonts w:ascii="Arial"/>
                <w:sz w:val="21"/>
              </w:rPr>
            </w:pPr>
          </w:p>
          <w:p w14:paraId="10F2531B">
            <w:pPr>
              <w:pStyle w:val="6"/>
              <w:spacing w:before="55" w:line="220" w:lineRule="auto"/>
              <w:ind w:left="94"/>
            </w:pPr>
            <w:r>
              <w:rPr>
                <w:spacing w:val="-2"/>
              </w:rPr>
              <w:t>食用油脂</w:t>
            </w:r>
          </w:p>
        </w:tc>
        <w:tc>
          <w:tcPr>
            <w:tcW w:w="2324" w:type="dxa"/>
            <w:vAlign w:val="top"/>
          </w:tcPr>
          <w:p w14:paraId="5B51E4EC">
            <w:pPr>
              <w:pStyle w:val="6"/>
              <w:spacing w:before="149" w:line="219" w:lineRule="auto"/>
              <w:ind w:left="12"/>
            </w:pPr>
            <w:r>
              <w:t>1.食用油脂的概念</w:t>
            </w:r>
          </w:p>
          <w:p w14:paraId="525E5539">
            <w:pPr>
              <w:pStyle w:val="6"/>
              <w:spacing w:before="7" w:line="219" w:lineRule="auto"/>
              <w:ind w:left="12"/>
            </w:pPr>
            <w:r>
              <w:rPr>
                <w:spacing w:val="-1"/>
              </w:rPr>
              <w:t>2.食用油脂的营养简介</w:t>
            </w:r>
          </w:p>
          <w:p w14:paraId="76A9A236">
            <w:pPr>
              <w:pStyle w:val="6"/>
              <w:spacing w:before="30" w:line="233" w:lineRule="auto"/>
              <w:ind w:left="12" w:right="241"/>
            </w:pPr>
            <w:r>
              <w:rPr>
                <w:spacing w:val="1"/>
              </w:rPr>
              <w:t>3.食用油脂在烹饪中的作用</w:t>
            </w:r>
            <w:r>
              <w:rPr>
                <w:spacing w:val="6"/>
              </w:rPr>
              <w:t xml:space="preserve"> </w:t>
            </w:r>
            <w:r>
              <w:rPr>
                <w:spacing w:val="-1"/>
              </w:rPr>
              <w:t>4.常用食用油脂</w:t>
            </w:r>
          </w:p>
          <w:p w14:paraId="50274390">
            <w:pPr>
              <w:pStyle w:val="6"/>
              <w:spacing w:line="219" w:lineRule="auto"/>
              <w:ind w:left="12"/>
            </w:pPr>
            <w:r>
              <w:rPr>
                <w:spacing w:val="-1"/>
              </w:rPr>
              <w:t>5.食用油脂的品质检验和保管</w:t>
            </w:r>
          </w:p>
        </w:tc>
        <w:tc>
          <w:tcPr>
            <w:tcW w:w="210" w:type="dxa"/>
            <w:vAlign w:val="top"/>
          </w:tcPr>
          <w:p w14:paraId="5AA6C336">
            <w:pPr>
              <w:rPr>
                <w:rFonts w:ascii="Arial"/>
                <w:sz w:val="21"/>
              </w:rPr>
            </w:pPr>
          </w:p>
        </w:tc>
        <w:tc>
          <w:tcPr>
            <w:tcW w:w="229" w:type="dxa"/>
            <w:vAlign w:val="top"/>
          </w:tcPr>
          <w:p w14:paraId="5CCAE4F4">
            <w:pPr>
              <w:rPr>
                <w:rFonts w:ascii="Arial"/>
                <w:sz w:val="21"/>
              </w:rPr>
            </w:pPr>
          </w:p>
        </w:tc>
        <w:tc>
          <w:tcPr>
            <w:tcW w:w="229" w:type="dxa"/>
            <w:vAlign w:val="top"/>
          </w:tcPr>
          <w:p w14:paraId="21AEF81C">
            <w:pPr>
              <w:rPr>
                <w:rFonts w:ascii="Arial"/>
                <w:sz w:val="21"/>
              </w:rPr>
            </w:pPr>
          </w:p>
        </w:tc>
        <w:tc>
          <w:tcPr>
            <w:tcW w:w="234" w:type="dxa"/>
            <w:vAlign w:val="top"/>
          </w:tcPr>
          <w:p w14:paraId="5C9AE653">
            <w:pPr>
              <w:rPr>
                <w:rFonts w:ascii="Arial"/>
                <w:sz w:val="21"/>
              </w:rPr>
            </w:pPr>
          </w:p>
        </w:tc>
      </w:tr>
      <w:tr w14:paraId="0297FE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88" w:hRule="atLeast"/>
        </w:trPr>
        <w:tc>
          <w:tcPr>
            <w:tcW w:w="893" w:type="dxa"/>
            <w:vAlign w:val="top"/>
          </w:tcPr>
          <w:p w14:paraId="2D3A21D8">
            <w:pPr>
              <w:spacing w:line="404" w:lineRule="auto"/>
              <w:rPr>
                <w:rFonts w:ascii="Arial"/>
                <w:sz w:val="21"/>
              </w:rPr>
            </w:pPr>
          </w:p>
          <w:p w14:paraId="68CB6051">
            <w:pPr>
              <w:pStyle w:val="6"/>
              <w:spacing w:before="55" w:line="219" w:lineRule="auto"/>
              <w:ind w:left="265"/>
            </w:pPr>
            <w:r>
              <w:rPr>
                <w:spacing w:val="-3"/>
              </w:rPr>
              <w:t>芡粉</w:t>
            </w:r>
          </w:p>
        </w:tc>
        <w:tc>
          <w:tcPr>
            <w:tcW w:w="2324" w:type="dxa"/>
            <w:vAlign w:val="top"/>
          </w:tcPr>
          <w:p w14:paraId="67B5DE00">
            <w:pPr>
              <w:pStyle w:val="6"/>
              <w:spacing w:before="32" w:line="219" w:lineRule="auto"/>
              <w:ind w:left="12"/>
            </w:pPr>
            <w:r>
              <w:rPr>
                <w:spacing w:val="2"/>
              </w:rPr>
              <w:t>1.芡粉的特点</w:t>
            </w:r>
          </w:p>
          <w:p w14:paraId="0F28C54F">
            <w:pPr>
              <w:pStyle w:val="6"/>
              <w:spacing w:before="18" w:line="229" w:lineRule="auto"/>
              <w:ind w:left="12" w:right="581"/>
            </w:pPr>
            <w:r>
              <w:rPr>
                <w:spacing w:val="1"/>
              </w:rPr>
              <w:t>2.芡粉在烹饪中的作用</w:t>
            </w:r>
            <w:r>
              <w:rPr>
                <w:spacing w:val="8"/>
              </w:rPr>
              <w:t xml:space="preserve"> </w:t>
            </w:r>
            <w:r>
              <w:rPr>
                <w:spacing w:val="-2"/>
              </w:rPr>
              <w:t>3.常用芡粉</w:t>
            </w:r>
          </w:p>
          <w:p w14:paraId="084B9471">
            <w:pPr>
              <w:pStyle w:val="6"/>
              <w:spacing w:before="28" w:line="204" w:lineRule="auto"/>
              <w:ind w:left="12" w:right="267"/>
            </w:pPr>
            <w:r>
              <w:rPr>
                <w:spacing w:val="-1"/>
              </w:rPr>
              <w:t>4.运用所学知识，对案例原</w:t>
            </w:r>
            <w:r>
              <w:rPr>
                <w:spacing w:val="6"/>
              </w:rPr>
              <w:t xml:space="preserve"> </w:t>
            </w:r>
            <w:r>
              <w:rPr>
                <w:spacing w:val="1"/>
              </w:rPr>
              <w:t>料实施保管及鉴别</w:t>
            </w:r>
          </w:p>
        </w:tc>
        <w:tc>
          <w:tcPr>
            <w:tcW w:w="210" w:type="dxa"/>
            <w:vAlign w:val="top"/>
          </w:tcPr>
          <w:p w14:paraId="648CC772">
            <w:pPr>
              <w:rPr>
                <w:rFonts w:ascii="Arial"/>
                <w:sz w:val="21"/>
              </w:rPr>
            </w:pPr>
          </w:p>
        </w:tc>
        <w:tc>
          <w:tcPr>
            <w:tcW w:w="229" w:type="dxa"/>
            <w:vAlign w:val="top"/>
          </w:tcPr>
          <w:p w14:paraId="69291939">
            <w:pPr>
              <w:rPr>
                <w:rFonts w:ascii="Arial"/>
                <w:sz w:val="21"/>
              </w:rPr>
            </w:pPr>
          </w:p>
        </w:tc>
        <w:tc>
          <w:tcPr>
            <w:tcW w:w="229" w:type="dxa"/>
            <w:vAlign w:val="top"/>
          </w:tcPr>
          <w:p w14:paraId="55081EFD">
            <w:pPr>
              <w:rPr>
                <w:rFonts w:ascii="Arial"/>
                <w:sz w:val="21"/>
              </w:rPr>
            </w:pPr>
          </w:p>
        </w:tc>
        <w:tc>
          <w:tcPr>
            <w:tcW w:w="234" w:type="dxa"/>
            <w:vAlign w:val="top"/>
          </w:tcPr>
          <w:p w14:paraId="4656DB64">
            <w:pPr>
              <w:rPr>
                <w:rFonts w:ascii="Arial"/>
                <w:sz w:val="21"/>
              </w:rPr>
            </w:pPr>
          </w:p>
        </w:tc>
      </w:tr>
      <w:tr w14:paraId="7DB43B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32" w:hRule="atLeast"/>
        </w:trPr>
        <w:tc>
          <w:tcPr>
            <w:tcW w:w="893" w:type="dxa"/>
            <w:vAlign w:val="top"/>
          </w:tcPr>
          <w:p w14:paraId="173A27A1">
            <w:pPr>
              <w:spacing w:line="475" w:lineRule="auto"/>
              <w:rPr>
                <w:rFonts w:ascii="Arial"/>
                <w:sz w:val="21"/>
              </w:rPr>
            </w:pPr>
          </w:p>
          <w:p w14:paraId="5CBDEAEB">
            <w:pPr>
              <w:pStyle w:val="6"/>
              <w:spacing w:before="55" w:line="246" w:lineRule="auto"/>
              <w:ind w:left="264" w:right="194" w:hanging="80"/>
            </w:pPr>
            <w:r>
              <w:rPr>
                <w:spacing w:val="-3"/>
              </w:rPr>
              <w:t>食品添</w:t>
            </w:r>
            <w:r>
              <w:rPr>
                <w:spacing w:val="1"/>
              </w:rPr>
              <w:t xml:space="preserve"> </w:t>
            </w:r>
            <w:r>
              <w:rPr>
                <w:spacing w:val="-2"/>
              </w:rPr>
              <w:t>加剂</w:t>
            </w:r>
          </w:p>
        </w:tc>
        <w:tc>
          <w:tcPr>
            <w:tcW w:w="2324" w:type="dxa"/>
            <w:vAlign w:val="top"/>
          </w:tcPr>
          <w:p w14:paraId="3366F2A6">
            <w:pPr>
              <w:pStyle w:val="6"/>
              <w:spacing w:before="104" w:line="223" w:lineRule="auto"/>
              <w:ind w:left="12" w:right="1611"/>
            </w:pPr>
            <w:r>
              <w:rPr>
                <w:spacing w:val="2"/>
              </w:rPr>
              <w:t>1.膨松剂</w:t>
            </w:r>
            <w:r>
              <w:t xml:space="preserve"> </w:t>
            </w:r>
            <w:r>
              <w:rPr>
                <w:spacing w:val="-2"/>
              </w:rPr>
              <w:t>2.着色剂</w:t>
            </w:r>
          </w:p>
          <w:p w14:paraId="65548CA6">
            <w:pPr>
              <w:pStyle w:val="6"/>
              <w:spacing w:before="18" w:line="219" w:lineRule="auto"/>
              <w:ind w:left="12"/>
            </w:pPr>
            <w:r>
              <w:rPr>
                <w:spacing w:val="-2"/>
              </w:rPr>
              <w:t>3.致嫩剂——嫩肉剂</w:t>
            </w:r>
          </w:p>
          <w:p w14:paraId="61621BF0">
            <w:pPr>
              <w:pStyle w:val="6"/>
              <w:spacing w:before="39" w:line="218" w:lineRule="auto"/>
              <w:ind w:left="12"/>
            </w:pPr>
            <w:r>
              <w:rPr>
                <w:spacing w:val="-1"/>
              </w:rPr>
              <w:t>4.增稠剂——食用明胶</w:t>
            </w:r>
          </w:p>
          <w:p w14:paraId="4D0F2BB1">
            <w:pPr>
              <w:pStyle w:val="6"/>
              <w:spacing w:before="1" w:line="242" w:lineRule="auto"/>
              <w:ind w:left="12" w:right="247"/>
            </w:pPr>
            <w:r>
              <w:rPr>
                <w:spacing w:val="1"/>
              </w:rPr>
              <w:t>5.运用所学知识，对案例原</w:t>
            </w:r>
            <w:r>
              <w:t xml:space="preserve"> </w:t>
            </w:r>
            <w:r>
              <w:rPr>
                <w:spacing w:val="1"/>
              </w:rPr>
              <w:t>料实施保管及鉴别</w:t>
            </w:r>
          </w:p>
        </w:tc>
        <w:tc>
          <w:tcPr>
            <w:tcW w:w="210" w:type="dxa"/>
            <w:vAlign w:val="top"/>
          </w:tcPr>
          <w:p w14:paraId="6EAEAB36">
            <w:pPr>
              <w:rPr>
                <w:rFonts w:ascii="Arial"/>
                <w:sz w:val="21"/>
              </w:rPr>
            </w:pPr>
          </w:p>
        </w:tc>
        <w:tc>
          <w:tcPr>
            <w:tcW w:w="229" w:type="dxa"/>
            <w:vAlign w:val="top"/>
          </w:tcPr>
          <w:p w14:paraId="54B4ACD4">
            <w:pPr>
              <w:rPr>
                <w:rFonts w:ascii="Arial"/>
                <w:sz w:val="21"/>
              </w:rPr>
            </w:pPr>
          </w:p>
        </w:tc>
        <w:tc>
          <w:tcPr>
            <w:tcW w:w="229" w:type="dxa"/>
            <w:vAlign w:val="top"/>
          </w:tcPr>
          <w:p w14:paraId="0F32E52A">
            <w:pPr>
              <w:rPr>
                <w:rFonts w:ascii="Arial"/>
                <w:sz w:val="21"/>
              </w:rPr>
            </w:pPr>
          </w:p>
        </w:tc>
        <w:tc>
          <w:tcPr>
            <w:tcW w:w="234" w:type="dxa"/>
            <w:vAlign w:val="top"/>
          </w:tcPr>
          <w:p w14:paraId="3C7E01AA">
            <w:pPr>
              <w:rPr>
                <w:rFonts w:ascii="Arial"/>
                <w:sz w:val="21"/>
              </w:rPr>
            </w:pPr>
          </w:p>
        </w:tc>
      </w:tr>
    </w:tbl>
    <w:p w14:paraId="294BFD2B">
      <w:pPr>
        <w:spacing w:before="108" w:line="221" w:lineRule="auto"/>
        <w:ind w:left="877"/>
        <w:rPr>
          <w:rFonts w:ascii="黑体" w:hAnsi="黑体" w:eastAsia="黑体" w:cs="黑体"/>
          <w:sz w:val="20"/>
          <w:szCs w:val="20"/>
        </w:rPr>
      </w:pPr>
      <w:r>
        <w:rPr>
          <w:rFonts w:ascii="黑体" w:hAnsi="黑体" w:eastAsia="黑体" w:cs="黑体"/>
          <w:b/>
          <w:bCs/>
          <w:spacing w:val="-6"/>
          <w:sz w:val="20"/>
          <w:szCs w:val="20"/>
        </w:rPr>
        <w:t>第三部分</w:t>
      </w:r>
      <w:r>
        <w:rPr>
          <w:rFonts w:ascii="黑体" w:hAnsi="黑体" w:eastAsia="黑体" w:cs="黑体"/>
          <w:spacing w:val="12"/>
          <w:sz w:val="20"/>
          <w:szCs w:val="20"/>
        </w:rPr>
        <w:t xml:space="preserve">  </w:t>
      </w:r>
      <w:r>
        <w:rPr>
          <w:rFonts w:ascii="黑体" w:hAnsi="黑体" w:eastAsia="黑体" w:cs="黑体"/>
          <w:b/>
          <w:bCs/>
          <w:spacing w:val="-6"/>
          <w:sz w:val="20"/>
          <w:szCs w:val="20"/>
        </w:rPr>
        <w:t>食品营养与卫生</w:t>
      </w:r>
    </w:p>
    <w:p w14:paraId="308EAA33">
      <w:pPr>
        <w:spacing w:before="14" w:line="220" w:lineRule="auto"/>
        <w:ind w:left="354"/>
        <w:rPr>
          <w:rFonts w:ascii="宋体" w:hAnsi="宋体" w:eastAsia="宋体" w:cs="宋体"/>
          <w:sz w:val="16"/>
          <w:szCs w:val="16"/>
        </w:rPr>
      </w:pPr>
      <w:r>
        <w:rPr>
          <w:rFonts w:ascii="宋体" w:hAnsi="宋体" w:eastAsia="宋体" w:cs="宋体"/>
          <w:spacing w:val="-3"/>
          <w:sz w:val="16"/>
          <w:szCs w:val="16"/>
        </w:rPr>
        <w:t>绪论</w:t>
      </w:r>
    </w:p>
    <w:p w14:paraId="1EE4EF27">
      <w:pPr>
        <w:spacing w:line="27" w:lineRule="exact"/>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83"/>
        <w:gridCol w:w="2324"/>
        <w:gridCol w:w="219"/>
        <w:gridCol w:w="229"/>
        <w:gridCol w:w="230"/>
        <w:gridCol w:w="234"/>
      </w:tblGrid>
      <w:tr w14:paraId="28200B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3" w:hRule="atLeast"/>
        </w:trPr>
        <w:tc>
          <w:tcPr>
            <w:tcW w:w="883" w:type="dxa"/>
            <w:vMerge w:val="restart"/>
            <w:tcBorders>
              <w:bottom w:val="nil"/>
            </w:tcBorders>
            <w:vAlign w:val="top"/>
          </w:tcPr>
          <w:p w14:paraId="7AFE96A3">
            <w:pPr>
              <w:pStyle w:val="6"/>
              <w:spacing w:before="140" w:line="226" w:lineRule="auto"/>
              <w:ind w:left="266" w:right="25" w:hanging="259"/>
            </w:pPr>
            <w:r>
              <w:rPr>
                <w:b/>
                <w:bCs/>
                <w:spacing w:val="-4"/>
              </w:rPr>
              <w:t>知识与技能</w:t>
            </w:r>
            <w:r>
              <w:t xml:space="preserve"> </w:t>
            </w:r>
            <w:r>
              <w:rPr>
                <w:b/>
                <w:bCs/>
                <w:spacing w:val="-4"/>
              </w:rPr>
              <w:t>要点</w:t>
            </w:r>
          </w:p>
        </w:tc>
        <w:tc>
          <w:tcPr>
            <w:tcW w:w="2324" w:type="dxa"/>
            <w:vMerge w:val="restart"/>
            <w:tcBorders>
              <w:bottom w:val="nil"/>
            </w:tcBorders>
            <w:vAlign w:val="top"/>
          </w:tcPr>
          <w:p w14:paraId="5988067B">
            <w:pPr>
              <w:pStyle w:val="6"/>
              <w:spacing w:before="249" w:line="219" w:lineRule="auto"/>
              <w:ind w:left="814"/>
            </w:pPr>
            <w:r>
              <w:rPr>
                <w:b/>
                <w:bCs/>
                <w:spacing w:val="5"/>
              </w:rPr>
              <w:t>考试条目</w:t>
            </w:r>
          </w:p>
        </w:tc>
        <w:tc>
          <w:tcPr>
            <w:tcW w:w="912" w:type="dxa"/>
            <w:gridSpan w:val="4"/>
            <w:vAlign w:val="top"/>
          </w:tcPr>
          <w:p w14:paraId="1051F559">
            <w:pPr>
              <w:pStyle w:val="6"/>
              <w:spacing w:before="89" w:line="219" w:lineRule="auto"/>
              <w:ind w:left="120"/>
            </w:pPr>
            <w:r>
              <w:rPr>
                <w:b/>
                <w:bCs/>
                <w:spacing w:val="-4"/>
              </w:rPr>
              <w:t>考试水平</w:t>
            </w:r>
          </w:p>
        </w:tc>
      </w:tr>
      <w:tr w14:paraId="7585D5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8" w:hRule="atLeast"/>
        </w:trPr>
        <w:tc>
          <w:tcPr>
            <w:tcW w:w="883" w:type="dxa"/>
            <w:vMerge w:val="continue"/>
            <w:tcBorders>
              <w:top w:val="nil"/>
            </w:tcBorders>
            <w:vAlign w:val="top"/>
          </w:tcPr>
          <w:p w14:paraId="52DBA071">
            <w:pPr>
              <w:rPr>
                <w:rFonts w:ascii="Arial"/>
                <w:sz w:val="21"/>
              </w:rPr>
            </w:pPr>
          </w:p>
        </w:tc>
        <w:tc>
          <w:tcPr>
            <w:tcW w:w="2324" w:type="dxa"/>
            <w:vMerge w:val="continue"/>
            <w:tcBorders>
              <w:top w:val="nil"/>
            </w:tcBorders>
            <w:vAlign w:val="top"/>
          </w:tcPr>
          <w:p w14:paraId="6A253FDE">
            <w:pPr>
              <w:rPr>
                <w:rFonts w:ascii="Arial"/>
                <w:sz w:val="21"/>
              </w:rPr>
            </w:pPr>
          </w:p>
        </w:tc>
        <w:tc>
          <w:tcPr>
            <w:tcW w:w="219" w:type="dxa"/>
            <w:vAlign w:val="top"/>
          </w:tcPr>
          <w:p w14:paraId="21B71052">
            <w:pPr>
              <w:pStyle w:val="6"/>
              <w:spacing w:before="121" w:line="184" w:lineRule="auto"/>
              <w:ind w:left="20"/>
            </w:pPr>
            <w:r>
              <w:rPr>
                <w:b/>
                <w:bCs/>
                <w:spacing w:val="-2"/>
              </w:rPr>
              <w:t>A</w:t>
            </w:r>
          </w:p>
        </w:tc>
        <w:tc>
          <w:tcPr>
            <w:tcW w:w="229" w:type="dxa"/>
            <w:vAlign w:val="top"/>
          </w:tcPr>
          <w:p w14:paraId="792DCDA8">
            <w:pPr>
              <w:pStyle w:val="6"/>
              <w:spacing w:before="123" w:line="182" w:lineRule="auto"/>
              <w:ind w:left="21"/>
            </w:pPr>
            <w:r>
              <w:rPr>
                <w:b/>
                <w:bCs/>
                <w:spacing w:val="-2"/>
              </w:rPr>
              <w:t>B</w:t>
            </w:r>
          </w:p>
        </w:tc>
        <w:tc>
          <w:tcPr>
            <w:tcW w:w="230" w:type="dxa"/>
            <w:vAlign w:val="top"/>
          </w:tcPr>
          <w:p w14:paraId="5E1420FC">
            <w:pPr>
              <w:pStyle w:val="6"/>
              <w:spacing w:before="121" w:line="183" w:lineRule="auto"/>
              <w:ind w:left="22"/>
            </w:pPr>
            <w:r>
              <w:rPr>
                <w:b/>
                <w:bCs/>
                <w:spacing w:val="-2"/>
              </w:rPr>
              <w:t>C</w:t>
            </w:r>
          </w:p>
        </w:tc>
        <w:tc>
          <w:tcPr>
            <w:tcW w:w="234" w:type="dxa"/>
            <w:vAlign w:val="top"/>
          </w:tcPr>
          <w:p w14:paraId="03708F72">
            <w:pPr>
              <w:pStyle w:val="6"/>
              <w:spacing w:before="123" w:line="182" w:lineRule="auto"/>
              <w:ind w:left="22"/>
            </w:pPr>
            <w:r>
              <w:rPr>
                <w:b/>
                <w:bCs/>
                <w:spacing w:val="-2"/>
              </w:rPr>
              <w:t>D</w:t>
            </w:r>
          </w:p>
        </w:tc>
      </w:tr>
      <w:tr w14:paraId="0FA10E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1" w:hRule="atLeast"/>
        </w:trPr>
        <w:tc>
          <w:tcPr>
            <w:tcW w:w="883" w:type="dxa"/>
            <w:tcBorders>
              <w:bottom w:val="nil"/>
            </w:tcBorders>
            <w:vAlign w:val="top"/>
          </w:tcPr>
          <w:p w14:paraId="58715254">
            <w:pPr>
              <w:pStyle w:val="6"/>
              <w:spacing w:before="108" w:line="198" w:lineRule="auto"/>
              <w:jc w:val="right"/>
            </w:pPr>
            <w:r>
              <w:rPr>
                <w:b/>
                <w:bCs/>
                <w:spacing w:val="1"/>
              </w:rPr>
              <w:t>食品营养、</w:t>
            </w:r>
          </w:p>
        </w:tc>
        <w:tc>
          <w:tcPr>
            <w:tcW w:w="2324" w:type="dxa"/>
            <w:tcBorders>
              <w:bottom w:val="nil"/>
            </w:tcBorders>
            <w:vAlign w:val="top"/>
          </w:tcPr>
          <w:p w14:paraId="330A7321">
            <w:pPr>
              <w:pStyle w:val="6"/>
              <w:spacing w:before="118" w:line="187" w:lineRule="auto"/>
              <w:ind w:left="54"/>
            </w:pPr>
            <w:r>
              <w:rPr>
                <w:b/>
                <w:bCs/>
                <w:spacing w:val="-2"/>
              </w:rPr>
              <w:t>1.食品营养与食品安全的发展</w:t>
            </w:r>
          </w:p>
        </w:tc>
        <w:tc>
          <w:tcPr>
            <w:tcW w:w="219" w:type="dxa"/>
            <w:tcBorders>
              <w:bottom w:val="nil"/>
            </w:tcBorders>
            <w:vAlign w:val="top"/>
          </w:tcPr>
          <w:p w14:paraId="754B18A9">
            <w:pPr>
              <w:rPr>
                <w:rFonts w:ascii="Arial"/>
                <w:sz w:val="21"/>
              </w:rPr>
            </w:pPr>
          </w:p>
        </w:tc>
        <w:tc>
          <w:tcPr>
            <w:tcW w:w="229" w:type="dxa"/>
            <w:tcBorders>
              <w:bottom w:val="nil"/>
            </w:tcBorders>
            <w:vAlign w:val="top"/>
          </w:tcPr>
          <w:p w14:paraId="455AE992">
            <w:pPr>
              <w:rPr>
                <w:rFonts w:ascii="Arial"/>
                <w:sz w:val="21"/>
              </w:rPr>
            </w:pPr>
          </w:p>
        </w:tc>
        <w:tc>
          <w:tcPr>
            <w:tcW w:w="230" w:type="dxa"/>
            <w:tcBorders>
              <w:bottom w:val="nil"/>
            </w:tcBorders>
            <w:vAlign w:val="top"/>
          </w:tcPr>
          <w:p w14:paraId="37A44DF5">
            <w:pPr>
              <w:rPr>
                <w:rFonts w:ascii="Arial"/>
                <w:sz w:val="21"/>
              </w:rPr>
            </w:pPr>
          </w:p>
        </w:tc>
        <w:tc>
          <w:tcPr>
            <w:tcW w:w="234" w:type="dxa"/>
            <w:tcBorders>
              <w:bottom w:val="nil"/>
            </w:tcBorders>
            <w:vAlign w:val="top"/>
          </w:tcPr>
          <w:p w14:paraId="03759C13">
            <w:pPr>
              <w:rPr>
                <w:rFonts w:ascii="Arial"/>
                <w:sz w:val="21"/>
              </w:rPr>
            </w:pPr>
          </w:p>
        </w:tc>
      </w:tr>
      <w:tr w14:paraId="407EC5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9" w:hRule="atLeast"/>
        </w:trPr>
        <w:tc>
          <w:tcPr>
            <w:tcW w:w="883" w:type="dxa"/>
            <w:tcBorders>
              <w:top w:val="nil"/>
              <w:bottom w:val="nil"/>
            </w:tcBorders>
            <w:vAlign w:val="top"/>
          </w:tcPr>
          <w:p w14:paraId="23401963">
            <w:pPr>
              <w:pStyle w:val="6"/>
              <w:spacing w:before="28" w:line="196" w:lineRule="auto"/>
              <w:ind w:left="7"/>
            </w:pPr>
            <w:r>
              <w:rPr>
                <w:b/>
                <w:bCs/>
                <w:spacing w:val="-3"/>
              </w:rPr>
              <w:t>食品安全相</w:t>
            </w:r>
          </w:p>
        </w:tc>
        <w:tc>
          <w:tcPr>
            <w:tcW w:w="2324" w:type="dxa"/>
            <w:tcBorders>
              <w:top w:val="nil"/>
              <w:bottom w:val="nil"/>
            </w:tcBorders>
            <w:vAlign w:val="top"/>
          </w:tcPr>
          <w:p w14:paraId="45BA08EB">
            <w:pPr>
              <w:pStyle w:val="6"/>
              <w:spacing w:before="27" w:line="197" w:lineRule="auto"/>
              <w:ind w:left="134"/>
            </w:pPr>
            <w:r>
              <w:rPr>
                <w:b/>
                <w:bCs/>
                <w:spacing w:val="-3"/>
              </w:rPr>
              <w:t>2.食品营养与安全对于人体</w:t>
            </w:r>
          </w:p>
        </w:tc>
        <w:tc>
          <w:tcPr>
            <w:tcW w:w="219" w:type="dxa"/>
            <w:tcBorders>
              <w:top w:val="nil"/>
              <w:bottom w:val="nil"/>
            </w:tcBorders>
            <w:vAlign w:val="top"/>
          </w:tcPr>
          <w:p w14:paraId="0099F7DC">
            <w:pPr>
              <w:spacing w:line="209" w:lineRule="exact"/>
              <w:rPr>
                <w:rFonts w:ascii="Arial"/>
                <w:sz w:val="18"/>
              </w:rPr>
            </w:pPr>
          </w:p>
        </w:tc>
        <w:tc>
          <w:tcPr>
            <w:tcW w:w="229" w:type="dxa"/>
            <w:tcBorders>
              <w:top w:val="nil"/>
              <w:bottom w:val="nil"/>
            </w:tcBorders>
            <w:vAlign w:val="top"/>
          </w:tcPr>
          <w:p w14:paraId="7849D482">
            <w:pPr>
              <w:spacing w:line="209" w:lineRule="exact"/>
              <w:rPr>
                <w:rFonts w:ascii="Arial"/>
                <w:sz w:val="18"/>
              </w:rPr>
            </w:pPr>
          </w:p>
        </w:tc>
        <w:tc>
          <w:tcPr>
            <w:tcW w:w="230" w:type="dxa"/>
            <w:tcBorders>
              <w:top w:val="nil"/>
              <w:bottom w:val="nil"/>
            </w:tcBorders>
            <w:vAlign w:val="top"/>
          </w:tcPr>
          <w:p w14:paraId="5EBC0C8F">
            <w:pPr>
              <w:spacing w:line="209" w:lineRule="exact"/>
              <w:rPr>
                <w:rFonts w:ascii="Arial"/>
                <w:sz w:val="18"/>
              </w:rPr>
            </w:pPr>
          </w:p>
        </w:tc>
        <w:tc>
          <w:tcPr>
            <w:tcW w:w="234" w:type="dxa"/>
            <w:tcBorders>
              <w:top w:val="nil"/>
              <w:bottom w:val="nil"/>
            </w:tcBorders>
            <w:vAlign w:val="top"/>
          </w:tcPr>
          <w:p w14:paraId="35274B83">
            <w:pPr>
              <w:spacing w:line="209" w:lineRule="exact"/>
              <w:rPr>
                <w:rFonts w:ascii="Arial"/>
                <w:sz w:val="18"/>
              </w:rPr>
            </w:pPr>
          </w:p>
        </w:tc>
      </w:tr>
      <w:tr w14:paraId="3DF55A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3" w:hRule="atLeast"/>
        </w:trPr>
        <w:tc>
          <w:tcPr>
            <w:tcW w:w="883" w:type="dxa"/>
            <w:tcBorders>
              <w:top w:val="nil"/>
              <w:bottom w:val="nil"/>
            </w:tcBorders>
            <w:vAlign w:val="top"/>
          </w:tcPr>
          <w:p w14:paraId="0815A403">
            <w:pPr>
              <w:pStyle w:val="6"/>
              <w:spacing w:before="48" w:line="179" w:lineRule="auto"/>
              <w:ind w:left="7"/>
            </w:pPr>
            <w:r>
              <w:rPr>
                <w:b/>
                <w:bCs/>
                <w:spacing w:val="-4"/>
              </w:rPr>
              <w:t>关概念及研</w:t>
            </w:r>
          </w:p>
        </w:tc>
        <w:tc>
          <w:tcPr>
            <w:tcW w:w="2324" w:type="dxa"/>
            <w:tcBorders>
              <w:top w:val="nil"/>
              <w:bottom w:val="nil"/>
            </w:tcBorders>
            <w:vAlign w:val="top"/>
          </w:tcPr>
          <w:p w14:paraId="2A368EF0">
            <w:pPr>
              <w:pStyle w:val="6"/>
              <w:spacing w:before="38" w:line="190" w:lineRule="auto"/>
              <w:ind w:left="134"/>
            </w:pPr>
            <w:r>
              <w:rPr>
                <w:b/>
                <w:bCs/>
                <w:spacing w:val="-3"/>
              </w:rPr>
              <w:t>健康及专业发展的意义的研</w:t>
            </w:r>
          </w:p>
        </w:tc>
        <w:tc>
          <w:tcPr>
            <w:tcW w:w="219" w:type="dxa"/>
            <w:tcBorders>
              <w:top w:val="nil"/>
              <w:bottom w:val="nil"/>
            </w:tcBorders>
            <w:vAlign w:val="top"/>
          </w:tcPr>
          <w:p w14:paraId="222A946B">
            <w:pPr>
              <w:spacing w:line="212" w:lineRule="exact"/>
              <w:rPr>
                <w:rFonts w:ascii="Arial"/>
                <w:sz w:val="18"/>
              </w:rPr>
            </w:pPr>
          </w:p>
        </w:tc>
        <w:tc>
          <w:tcPr>
            <w:tcW w:w="229" w:type="dxa"/>
            <w:tcBorders>
              <w:top w:val="nil"/>
              <w:bottom w:val="nil"/>
            </w:tcBorders>
            <w:vAlign w:val="top"/>
          </w:tcPr>
          <w:p w14:paraId="6E4D8D1F">
            <w:pPr>
              <w:spacing w:line="212" w:lineRule="exact"/>
              <w:rPr>
                <w:rFonts w:ascii="Arial"/>
                <w:sz w:val="18"/>
              </w:rPr>
            </w:pPr>
          </w:p>
        </w:tc>
        <w:tc>
          <w:tcPr>
            <w:tcW w:w="230" w:type="dxa"/>
            <w:tcBorders>
              <w:top w:val="nil"/>
              <w:bottom w:val="nil"/>
            </w:tcBorders>
            <w:vAlign w:val="top"/>
          </w:tcPr>
          <w:p w14:paraId="0D5EB133">
            <w:pPr>
              <w:spacing w:line="212" w:lineRule="exact"/>
              <w:rPr>
                <w:rFonts w:ascii="Arial"/>
                <w:sz w:val="18"/>
              </w:rPr>
            </w:pPr>
          </w:p>
        </w:tc>
        <w:tc>
          <w:tcPr>
            <w:tcW w:w="234" w:type="dxa"/>
            <w:tcBorders>
              <w:top w:val="nil"/>
              <w:bottom w:val="nil"/>
            </w:tcBorders>
            <w:vAlign w:val="top"/>
          </w:tcPr>
          <w:p w14:paraId="056EBCFF">
            <w:pPr>
              <w:spacing w:line="212" w:lineRule="exact"/>
              <w:rPr>
                <w:rFonts w:ascii="Arial"/>
                <w:sz w:val="18"/>
              </w:rPr>
            </w:pPr>
          </w:p>
        </w:tc>
      </w:tr>
      <w:tr w14:paraId="16BCC6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5" w:hRule="atLeast"/>
        </w:trPr>
        <w:tc>
          <w:tcPr>
            <w:tcW w:w="883" w:type="dxa"/>
            <w:tcBorders>
              <w:top w:val="nil"/>
            </w:tcBorders>
            <w:vAlign w:val="top"/>
          </w:tcPr>
          <w:p w14:paraId="11B0477B">
            <w:pPr>
              <w:pStyle w:val="6"/>
              <w:spacing w:before="24" w:line="219" w:lineRule="auto"/>
              <w:ind w:left="177"/>
            </w:pPr>
            <w:r>
              <w:rPr>
                <w:b/>
                <w:bCs/>
                <w:spacing w:val="-6"/>
              </w:rPr>
              <w:t>究对象</w:t>
            </w:r>
          </w:p>
        </w:tc>
        <w:tc>
          <w:tcPr>
            <w:tcW w:w="2324" w:type="dxa"/>
            <w:tcBorders>
              <w:top w:val="nil"/>
            </w:tcBorders>
            <w:vAlign w:val="top"/>
          </w:tcPr>
          <w:p w14:paraId="6DE14421">
            <w:pPr>
              <w:pStyle w:val="6"/>
              <w:spacing w:before="24" w:line="219" w:lineRule="auto"/>
              <w:ind w:left="14"/>
            </w:pPr>
            <w:r>
              <w:rPr>
                <w:b/>
                <w:bCs/>
                <w:spacing w:val="-4"/>
              </w:rPr>
              <w:t>究对象和内容</w:t>
            </w:r>
          </w:p>
        </w:tc>
        <w:tc>
          <w:tcPr>
            <w:tcW w:w="219" w:type="dxa"/>
            <w:tcBorders>
              <w:top w:val="nil"/>
            </w:tcBorders>
            <w:vAlign w:val="top"/>
          </w:tcPr>
          <w:p w14:paraId="07BC6555">
            <w:pPr>
              <w:rPr>
                <w:rFonts w:ascii="Arial"/>
                <w:sz w:val="21"/>
              </w:rPr>
            </w:pPr>
          </w:p>
        </w:tc>
        <w:tc>
          <w:tcPr>
            <w:tcW w:w="229" w:type="dxa"/>
            <w:tcBorders>
              <w:top w:val="nil"/>
            </w:tcBorders>
            <w:vAlign w:val="top"/>
          </w:tcPr>
          <w:p w14:paraId="5EA63107">
            <w:pPr>
              <w:rPr>
                <w:rFonts w:ascii="Arial"/>
                <w:sz w:val="21"/>
              </w:rPr>
            </w:pPr>
          </w:p>
        </w:tc>
        <w:tc>
          <w:tcPr>
            <w:tcW w:w="230" w:type="dxa"/>
            <w:tcBorders>
              <w:top w:val="nil"/>
            </w:tcBorders>
            <w:vAlign w:val="top"/>
          </w:tcPr>
          <w:p w14:paraId="73FABAB2">
            <w:pPr>
              <w:rPr>
                <w:rFonts w:ascii="Arial"/>
                <w:sz w:val="21"/>
              </w:rPr>
            </w:pPr>
          </w:p>
        </w:tc>
        <w:tc>
          <w:tcPr>
            <w:tcW w:w="234" w:type="dxa"/>
            <w:tcBorders>
              <w:top w:val="nil"/>
            </w:tcBorders>
            <w:vAlign w:val="top"/>
          </w:tcPr>
          <w:p w14:paraId="0AFA1DB6">
            <w:pPr>
              <w:rPr>
                <w:rFonts w:ascii="Arial"/>
                <w:sz w:val="21"/>
              </w:rPr>
            </w:pPr>
          </w:p>
        </w:tc>
      </w:tr>
    </w:tbl>
    <w:p w14:paraId="6B7DE903">
      <w:pPr>
        <w:spacing w:before="82" w:line="219" w:lineRule="auto"/>
        <w:ind w:left="354"/>
        <w:rPr>
          <w:rFonts w:ascii="宋体" w:hAnsi="宋体" w:eastAsia="宋体" w:cs="宋体"/>
          <w:sz w:val="18"/>
          <w:szCs w:val="18"/>
        </w:rPr>
      </w:pPr>
      <w:r>
        <w:rPr>
          <w:rFonts w:ascii="宋体" w:hAnsi="宋体" w:eastAsia="宋体" w:cs="宋体"/>
          <w:spacing w:val="-1"/>
          <w:sz w:val="18"/>
          <w:szCs w:val="18"/>
        </w:rPr>
        <w:t>项目一 人体必需的营养素</w:t>
      </w:r>
    </w:p>
    <w:p w14:paraId="2C5B35CC">
      <w:pPr>
        <w:spacing w:line="144" w:lineRule="auto"/>
        <w:rPr>
          <w:rFonts w:ascii="Arial"/>
          <w:sz w:val="2"/>
        </w:rPr>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73"/>
        <w:gridCol w:w="2324"/>
        <w:gridCol w:w="220"/>
        <w:gridCol w:w="229"/>
        <w:gridCol w:w="239"/>
        <w:gridCol w:w="234"/>
      </w:tblGrid>
      <w:tr w14:paraId="12284C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trPr>
        <w:tc>
          <w:tcPr>
            <w:tcW w:w="873" w:type="dxa"/>
            <w:vMerge w:val="restart"/>
            <w:tcBorders>
              <w:top w:val="single" w:color="000000" w:sz="2" w:space="0"/>
              <w:bottom w:val="nil"/>
            </w:tcBorders>
            <w:vAlign w:val="top"/>
          </w:tcPr>
          <w:p w14:paraId="48313F31">
            <w:pPr>
              <w:pStyle w:val="6"/>
              <w:spacing w:before="76" w:line="214" w:lineRule="auto"/>
              <w:ind w:left="247" w:right="1" w:hanging="230"/>
              <w:rPr>
                <w:sz w:val="18"/>
                <w:szCs w:val="18"/>
              </w:rPr>
            </w:pPr>
            <w:r>
              <w:rPr>
                <w:b/>
                <w:bCs/>
                <w:spacing w:val="-15"/>
                <w:sz w:val="18"/>
                <w:szCs w:val="18"/>
              </w:rPr>
              <w:t>知识与</w:t>
            </w:r>
            <w:r>
              <w:rPr>
                <w:b/>
                <w:bCs/>
                <w:spacing w:val="-14"/>
                <w:sz w:val="18"/>
                <w:szCs w:val="18"/>
              </w:rPr>
              <w:t>技</w:t>
            </w:r>
            <w:r>
              <w:rPr>
                <w:b/>
                <w:bCs/>
                <w:spacing w:val="-11"/>
                <w:sz w:val="18"/>
                <w:szCs w:val="18"/>
              </w:rPr>
              <w:t>能</w:t>
            </w:r>
            <w:r>
              <w:rPr>
                <w:spacing w:val="3"/>
                <w:sz w:val="18"/>
                <w:szCs w:val="18"/>
              </w:rPr>
              <w:t xml:space="preserve"> </w:t>
            </w:r>
            <w:r>
              <w:rPr>
                <w:b/>
                <w:bCs/>
                <w:spacing w:val="-4"/>
                <w:sz w:val="18"/>
                <w:szCs w:val="18"/>
              </w:rPr>
              <w:t>要点</w:t>
            </w:r>
          </w:p>
        </w:tc>
        <w:tc>
          <w:tcPr>
            <w:tcW w:w="2324" w:type="dxa"/>
            <w:vMerge w:val="restart"/>
            <w:tcBorders>
              <w:top w:val="single" w:color="000000" w:sz="2" w:space="0"/>
              <w:bottom w:val="nil"/>
            </w:tcBorders>
            <w:vAlign w:val="top"/>
          </w:tcPr>
          <w:p w14:paraId="4556FFE5">
            <w:pPr>
              <w:pStyle w:val="6"/>
              <w:spacing w:before="184" w:line="219" w:lineRule="auto"/>
              <w:ind w:left="844"/>
              <w:rPr>
                <w:sz w:val="18"/>
                <w:szCs w:val="18"/>
              </w:rPr>
            </w:pPr>
            <w:r>
              <w:rPr>
                <w:b/>
                <w:bCs/>
                <w:spacing w:val="5"/>
                <w:sz w:val="18"/>
                <w:szCs w:val="18"/>
              </w:rPr>
              <w:t>考试条目</w:t>
            </w:r>
          </w:p>
        </w:tc>
        <w:tc>
          <w:tcPr>
            <w:tcW w:w="922" w:type="dxa"/>
            <w:gridSpan w:val="4"/>
            <w:tcBorders>
              <w:top w:val="single" w:color="000000" w:sz="2" w:space="0"/>
              <w:bottom w:val="single" w:color="000000" w:sz="2" w:space="0"/>
            </w:tcBorders>
            <w:vAlign w:val="top"/>
          </w:tcPr>
          <w:p w14:paraId="2B0F2E77">
            <w:pPr>
              <w:pStyle w:val="6"/>
              <w:spacing w:before="44" w:line="219" w:lineRule="auto"/>
              <w:ind w:left="130"/>
              <w:rPr>
                <w:sz w:val="18"/>
                <w:szCs w:val="18"/>
              </w:rPr>
            </w:pPr>
            <w:r>
              <w:rPr>
                <w:b/>
                <w:bCs/>
                <w:spacing w:val="-4"/>
                <w:sz w:val="18"/>
                <w:szCs w:val="18"/>
              </w:rPr>
              <w:t>考试水平</w:t>
            </w:r>
          </w:p>
        </w:tc>
      </w:tr>
      <w:tr w14:paraId="653143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4" w:hRule="atLeast"/>
        </w:trPr>
        <w:tc>
          <w:tcPr>
            <w:tcW w:w="873" w:type="dxa"/>
            <w:vMerge w:val="continue"/>
            <w:tcBorders>
              <w:top w:val="nil"/>
              <w:bottom w:val="single" w:color="000000" w:sz="2" w:space="0"/>
            </w:tcBorders>
            <w:vAlign w:val="top"/>
          </w:tcPr>
          <w:p w14:paraId="2B2C90D6">
            <w:pPr>
              <w:rPr>
                <w:rFonts w:ascii="Arial"/>
                <w:sz w:val="21"/>
              </w:rPr>
            </w:pPr>
          </w:p>
        </w:tc>
        <w:tc>
          <w:tcPr>
            <w:tcW w:w="2324" w:type="dxa"/>
            <w:vMerge w:val="continue"/>
            <w:tcBorders>
              <w:top w:val="nil"/>
              <w:bottom w:val="single" w:color="000000" w:sz="2" w:space="0"/>
            </w:tcBorders>
            <w:vAlign w:val="top"/>
          </w:tcPr>
          <w:p w14:paraId="7BB399AC">
            <w:pPr>
              <w:rPr>
                <w:rFonts w:ascii="Arial"/>
                <w:sz w:val="21"/>
              </w:rPr>
            </w:pPr>
          </w:p>
        </w:tc>
        <w:tc>
          <w:tcPr>
            <w:tcW w:w="220" w:type="dxa"/>
            <w:tcBorders>
              <w:top w:val="single" w:color="000000" w:sz="2" w:space="0"/>
              <w:bottom w:val="single" w:color="000000" w:sz="2" w:space="0"/>
            </w:tcBorders>
            <w:vAlign w:val="top"/>
          </w:tcPr>
          <w:p w14:paraId="49B22B14">
            <w:pPr>
              <w:pStyle w:val="6"/>
              <w:spacing w:before="87" w:line="171" w:lineRule="auto"/>
              <w:ind w:left="20"/>
              <w:rPr>
                <w:sz w:val="18"/>
                <w:szCs w:val="18"/>
              </w:rPr>
            </w:pPr>
            <w:r>
              <w:rPr>
                <w:b/>
                <w:bCs/>
                <w:spacing w:val="-2"/>
                <w:sz w:val="18"/>
                <w:szCs w:val="18"/>
              </w:rPr>
              <w:t>A</w:t>
            </w:r>
          </w:p>
        </w:tc>
        <w:tc>
          <w:tcPr>
            <w:tcW w:w="229" w:type="dxa"/>
            <w:tcBorders>
              <w:top w:val="single" w:color="000000" w:sz="2" w:space="0"/>
              <w:bottom w:val="single" w:color="000000" w:sz="2" w:space="0"/>
            </w:tcBorders>
            <w:vAlign w:val="top"/>
          </w:tcPr>
          <w:p w14:paraId="16F0E064">
            <w:pPr>
              <w:pStyle w:val="6"/>
              <w:spacing w:before="90" w:line="168" w:lineRule="auto"/>
              <w:ind w:left="20"/>
              <w:rPr>
                <w:sz w:val="18"/>
                <w:szCs w:val="18"/>
              </w:rPr>
            </w:pPr>
            <w:r>
              <w:rPr>
                <w:b/>
                <w:bCs/>
                <w:spacing w:val="-2"/>
                <w:sz w:val="18"/>
                <w:szCs w:val="18"/>
              </w:rPr>
              <w:t>B</w:t>
            </w:r>
          </w:p>
        </w:tc>
        <w:tc>
          <w:tcPr>
            <w:tcW w:w="239" w:type="dxa"/>
            <w:tcBorders>
              <w:top w:val="single" w:color="000000" w:sz="2" w:space="0"/>
              <w:bottom w:val="single" w:color="000000" w:sz="2" w:space="0"/>
            </w:tcBorders>
            <w:vAlign w:val="top"/>
          </w:tcPr>
          <w:p w14:paraId="5B613706">
            <w:pPr>
              <w:pStyle w:val="6"/>
              <w:spacing w:before="87" w:line="171" w:lineRule="auto"/>
              <w:ind w:left="21"/>
              <w:rPr>
                <w:sz w:val="18"/>
                <w:szCs w:val="18"/>
              </w:rPr>
            </w:pPr>
            <w:r>
              <w:rPr>
                <w:b/>
                <w:bCs/>
                <w:spacing w:val="-2"/>
                <w:sz w:val="18"/>
                <w:szCs w:val="18"/>
              </w:rPr>
              <w:t>C</w:t>
            </w:r>
          </w:p>
        </w:tc>
        <w:tc>
          <w:tcPr>
            <w:tcW w:w="234" w:type="dxa"/>
            <w:tcBorders>
              <w:top w:val="single" w:color="000000" w:sz="2" w:space="0"/>
              <w:bottom w:val="single" w:color="000000" w:sz="2" w:space="0"/>
            </w:tcBorders>
            <w:vAlign w:val="top"/>
          </w:tcPr>
          <w:p w14:paraId="1198AF88">
            <w:pPr>
              <w:pStyle w:val="6"/>
              <w:spacing w:before="90" w:line="168" w:lineRule="auto"/>
              <w:ind w:left="22"/>
              <w:rPr>
                <w:sz w:val="18"/>
                <w:szCs w:val="18"/>
              </w:rPr>
            </w:pPr>
            <w:r>
              <w:rPr>
                <w:b/>
                <w:bCs/>
                <w:spacing w:val="-2"/>
                <w:sz w:val="18"/>
                <w:szCs w:val="18"/>
              </w:rPr>
              <w:t>D</w:t>
            </w:r>
          </w:p>
        </w:tc>
      </w:tr>
      <w:tr w14:paraId="58A109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34" w:hRule="atLeast"/>
        </w:trPr>
        <w:tc>
          <w:tcPr>
            <w:tcW w:w="873" w:type="dxa"/>
            <w:tcBorders>
              <w:top w:val="single" w:color="000000" w:sz="2" w:space="0"/>
              <w:bottom w:val="single" w:color="000000" w:sz="2" w:space="0"/>
            </w:tcBorders>
            <w:vAlign w:val="top"/>
          </w:tcPr>
          <w:p w14:paraId="06238946">
            <w:pPr>
              <w:pStyle w:val="6"/>
              <w:spacing w:before="124" w:line="227" w:lineRule="auto"/>
              <w:ind w:left="65" w:right="69"/>
              <w:rPr>
                <w:sz w:val="18"/>
                <w:szCs w:val="18"/>
              </w:rPr>
            </w:pPr>
            <w:r>
              <w:rPr>
                <w:spacing w:val="-3"/>
                <w:sz w:val="18"/>
                <w:szCs w:val="18"/>
              </w:rPr>
              <w:t>人体必需</w:t>
            </w:r>
            <w:r>
              <w:rPr>
                <w:spacing w:val="2"/>
                <w:sz w:val="18"/>
                <w:szCs w:val="18"/>
              </w:rPr>
              <w:t xml:space="preserve"> 的营养素</w:t>
            </w:r>
          </w:p>
        </w:tc>
        <w:tc>
          <w:tcPr>
            <w:tcW w:w="2324" w:type="dxa"/>
            <w:tcBorders>
              <w:top w:val="single" w:color="000000" w:sz="2" w:space="0"/>
              <w:bottom w:val="single" w:color="000000" w:sz="2" w:space="0"/>
            </w:tcBorders>
            <w:vAlign w:val="top"/>
          </w:tcPr>
          <w:p w14:paraId="2CA5E425">
            <w:pPr>
              <w:pStyle w:val="6"/>
              <w:spacing w:before="143" w:line="217" w:lineRule="auto"/>
              <w:ind w:left="12" w:right="1041"/>
              <w:rPr>
                <w:sz w:val="18"/>
                <w:szCs w:val="18"/>
              </w:rPr>
            </w:pPr>
            <w:r>
              <w:rPr>
                <w:sz w:val="18"/>
                <w:szCs w:val="18"/>
              </w:rPr>
              <w:t xml:space="preserve">1.营养的概念。 </w:t>
            </w:r>
            <w:r>
              <w:rPr>
                <w:spacing w:val="-1"/>
                <w:sz w:val="18"/>
                <w:szCs w:val="18"/>
              </w:rPr>
              <w:t>2.营养素的概念</w:t>
            </w:r>
          </w:p>
        </w:tc>
        <w:tc>
          <w:tcPr>
            <w:tcW w:w="220" w:type="dxa"/>
            <w:tcBorders>
              <w:top w:val="single" w:color="000000" w:sz="2" w:space="0"/>
              <w:bottom w:val="single" w:color="000000" w:sz="2" w:space="0"/>
            </w:tcBorders>
            <w:vAlign w:val="top"/>
          </w:tcPr>
          <w:p w14:paraId="19D94D55">
            <w:pPr>
              <w:rPr>
                <w:rFonts w:ascii="Arial"/>
                <w:sz w:val="21"/>
              </w:rPr>
            </w:pPr>
          </w:p>
        </w:tc>
        <w:tc>
          <w:tcPr>
            <w:tcW w:w="229" w:type="dxa"/>
            <w:tcBorders>
              <w:top w:val="single" w:color="000000" w:sz="2" w:space="0"/>
              <w:bottom w:val="single" w:color="000000" w:sz="2" w:space="0"/>
            </w:tcBorders>
            <w:textDirection w:val="tbRlV"/>
            <w:vAlign w:val="top"/>
          </w:tcPr>
          <w:p w14:paraId="7376B42C">
            <w:pPr>
              <w:pStyle w:val="6"/>
              <w:spacing w:before="59" w:line="144" w:lineRule="exact"/>
              <w:ind w:left="201"/>
              <w:rPr>
                <w:sz w:val="18"/>
                <w:szCs w:val="18"/>
              </w:rPr>
            </w:pPr>
            <w:r>
              <w:rPr>
                <w:position w:val="-3"/>
                <w:sz w:val="18"/>
                <w:szCs w:val="18"/>
              </w:rPr>
              <w:t>√</w:t>
            </w:r>
          </w:p>
        </w:tc>
        <w:tc>
          <w:tcPr>
            <w:tcW w:w="239" w:type="dxa"/>
            <w:tcBorders>
              <w:top w:val="single" w:color="000000" w:sz="2" w:space="0"/>
              <w:bottom w:val="single" w:color="000000" w:sz="2" w:space="0"/>
            </w:tcBorders>
            <w:vAlign w:val="top"/>
          </w:tcPr>
          <w:p w14:paraId="50BF2828">
            <w:pPr>
              <w:rPr>
                <w:rFonts w:ascii="Arial"/>
                <w:sz w:val="21"/>
              </w:rPr>
            </w:pPr>
          </w:p>
        </w:tc>
        <w:tc>
          <w:tcPr>
            <w:tcW w:w="234" w:type="dxa"/>
            <w:tcBorders>
              <w:top w:val="single" w:color="000000" w:sz="2" w:space="0"/>
              <w:bottom w:val="single" w:color="000000" w:sz="2" w:space="0"/>
            </w:tcBorders>
            <w:vAlign w:val="top"/>
          </w:tcPr>
          <w:p w14:paraId="26D954CF">
            <w:pPr>
              <w:rPr>
                <w:rFonts w:ascii="Arial"/>
                <w:sz w:val="21"/>
              </w:rPr>
            </w:pPr>
          </w:p>
        </w:tc>
      </w:tr>
      <w:tr w14:paraId="055F02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4" w:hRule="atLeast"/>
        </w:trPr>
        <w:tc>
          <w:tcPr>
            <w:tcW w:w="873" w:type="dxa"/>
            <w:tcBorders>
              <w:top w:val="single" w:color="000000" w:sz="2" w:space="0"/>
              <w:bottom w:val="single" w:color="000000" w:sz="2" w:space="0"/>
            </w:tcBorders>
            <w:vAlign w:val="top"/>
          </w:tcPr>
          <w:p w14:paraId="506AD878">
            <w:pPr>
              <w:pStyle w:val="6"/>
              <w:spacing w:before="284" w:line="219" w:lineRule="auto"/>
              <w:ind w:left="65"/>
              <w:rPr>
                <w:sz w:val="18"/>
                <w:szCs w:val="18"/>
              </w:rPr>
            </w:pPr>
            <w:r>
              <w:rPr>
                <w:spacing w:val="-2"/>
                <w:sz w:val="18"/>
                <w:szCs w:val="18"/>
              </w:rPr>
              <w:t>认识糖类</w:t>
            </w:r>
          </w:p>
        </w:tc>
        <w:tc>
          <w:tcPr>
            <w:tcW w:w="2324" w:type="dxa"/>
            <w:tcBorders>
              <w:top w:val="single" w:color="000000" w:sz="2" w:space="0"/>
              <w:bottom w:val="single" w:color="000000" w:sz="2" w:space="0"/>
            </w:tcBorders>
            <w:vAlign w:val="top"/>
          </w:tcPr>
          <w:p w14:paraId="18334D09">
            <w:pPr>
              <w:pStyle w:val="6"/>
              <w:spacing w:before="83" w:line="226" w:lineRule="auto"/>
              <w:ind w:left="12" w:right="674"/>
              <w:rPr>
                <w:sz w:val="18"/>
                <w:szCs w:val="18"/>
              </w:rPr>
            </w:pPr>
            <w:r>
              <w:rPr>
                <w:sz w:val="18"/>
                <w:szCs w:val="18"/>
              </w:rPr>
              <w:t>1.糖类的组成和分类</w:t>
            </w:r>
            <w:r>
              <w:rPr>
                <w:spacing w:val="6"/>
                <w:sz w:val="18"/>
                <w:szCs w:val="18"/>
              </w:rPr>
              <w:t xml:space="preserve"> </w:t>
            </w:r>
            <w:r>
              <w:rPr>
                <w:spacing w:val="-2"/>
                <w:sz w:val="18"/>
                <w:szCs w:val="18"/>
              </w:rPr>
              <w:t>2.糖类的生理功能</w:t>
            </w:r>
          </w:p>
          <w:p w14:paraId="5DE5BF82">
            <w:pPr>
              <w:pStyle w:val="6"/>
              <w:spacing w:line="215" w:lineRule="auto"/>
              <w:jc w:val="right"/>
              <w:rPr>
                <w:sz w:val="18"/>
                <w:szCs w:val="18"/>
              </w:rPr>
            </w:pPr>
            <w:r>
              <w:rPr>
                <w:spacing w:val="-17"/>
                <w:w w:val="95"/>
                <w:sz w:val="18"/>
                <w:szCs w:val="18"/>
              </w:rPr>
              <w:t>3.各种糖类的功能及与健康的关系</w:t>
            </w:r>
          </w:p>
        </w:tc>
        <w:tc>
          <w:tcPr>
            <w:tcW w:w="220" w:type="dxa"/>
            <w:tcBorders>
              <w:top w:val="single" w:color="000000" w:sz="2" w:space="0"/>
              <w:bottom w:val="single" w:color="000000" w:sz="2" w:space="0"/>
            </w:tcBorders>
            <w:vAlign w:val="top"/>
          </w:tcPr>
          <w:p w14:paraId="1E84073C">
            <w:pPr>
              <w:rPr>
                <w:rFonts w:ascii="Arial"/>
                <w:sz w:val="21"/>
              </w:rPr>
            </w:pPr>
          </w:p>
        </w:tc>
        <w:tc>
          <w:tcPr>
            <w:tcW w:w="229" w:type="dxa"/>
            <w:tcBorders>
              <w:top w:val="single" w:color="000000" w:sz="2" w:space="0"/>
              <w:bottom w:val="single" w:color="000000" w:sz="2" w:space="0"/>
            </w:tcBorders>
            <w:vAlign w:val="top"/>
          </w:tcPr>
          <w:p w14:paraId="7BAC2920">
            <w:pPr>
              <w:rPr>
                <w:rFonts w:ascii="Arial"/>
                <w:sz w:val="21"/>
              </w:rPr>
            </w:pPr>
          </w:p>
        </w:tc>
        <w:tc>
          <w:tcPr>
            <w:tcW w:w="239" w:type="dxa"/>
            <w:tcBorders>
              <w:top w:val="single" w:color="000000" w:sz="2" w:space="0"/>
              <w:bottom w:val="single" w:color="000000" w:sz="2" w:space="0"/>
            </w:tcBorders>
            <w:vAlign w:val="top"/>
          </w:tcPr>
          <w:p w14:paraId="4156660A">
            <w:pPr>
              <w:rPr>
                <w:rFonts w:ascii="Arial"/>
                <w:sz w:val="21"/>
              </w:rPr>
            </w:pPr>
          </w:p>
        </w:tc>
        <w:tc>
          <w:tcPr>
            <w:tcW w:w="234" w:type="dxa"/>
            <w:tcBorders>
              <w:top w:val="single" w:color="000000" w:sz="2" w:space="0"/>
              <w:bottom w:val="single" w:color="000000" w:sz="2" w:space="0"/>
            </w:tcBorders>
            <w:vAlign w:val="top"/>
          </w:tcPr>
          <w:p w14:paraId="6477E5A4">
            <w:pPr>
              <w:rPr>
                <w:rFonts w:ascii="Arial"/>
                <w:sz w:val="21"/>
              </w:rPr>
            </w:pPr>
          </w:p>
        </w:tc>
      </w:tr>
      <w:tr w14:paraId="6ED412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84" w:hRule="atLeast"/>
        </w:trPr>
        <w:tc>
          <w:tcPr>
            <w:tcW w:w="873" w:type="dxa"/>
            <w:tcBorders>
              <w:top w:val="single" w:color="000000" w:sz="2" w:space="0"/>
              <w:bottom w:val="single" w:color="000000" w:sz="2" w:space="0"/>
            </w:tcBorders>
            <w:vAlign w:val="top"/>
          </w:tcPr>
          <w:p w14:paraId="347CC122">
            <w:pPr>
              <w:spacing w:line="256" w:lineRule="auto"/>
              <w:rPr>
                <w:rFonts w:ascii="Arial"/>
                <w:sz w:val="21"/>
              </w:rPr>
            </w:pPr>
          </w:p>
          <w:p w14:paraId="14DCF6ED">
            <w:pPr>
              <w:pStyle w:val="6"/>
              <w:spacing w:before="59" w:line="222" w:lineRule="auto"/>
              <w:ind w:left="155" w:right="147" w:firstLine="89"/>
              <w:rPr>
                <w:sz w:val="18"/>
                <w:szCs w:val="18"/>
              </w:rPr>
            </w:pPr>
            <w:r>
              <w:rPr>
                <w:spacing w:val="-4"/>
                <w:sz w:val="18"/>
                <w:szCs w:val="18"/>
              </w:rPr>
              <w:t>认识</w:t>
            </w:r>
            <w:r>
              <w:rPr>
                <w:sz w:val="18"/>
                <w:szCs w:val="18"/>
              </w:rPr>
              <w:t xml:space="preserve">  </w:t>
            </w:r>
            <w:r>
              <w:rPr>
                <w:spacing w:val="6"/>
                <w:sz w:val="18"/>
                <w:szCs w:val="18"/>
              </w:rPr>
              <w:t>蛋白质</w:t>
            </w:r>
          </w:p>
        </w:tc>
        <w:tc>
          <w:tcPr>
            <w:tcW w:w="2324" w:type="dxa"/>
            <w:tcBorders>
              <w:top w:val="single" w:color="000000" w:sz="2" w:space="0"/>
              <w:bottom w:val="single" w:color="000000" w:sz="2" w:space="0"/>
            </w:tcBorders>
            <w:vAlign w:val="top"/>
          </w:tcPr>
          <w:p w14:paraId="680E8FBF">
            <w:pPr>
              <w:pStyle w:val="6"/>
              <w:spacing w:before="84" w:line="220" w:lineRule="auto"/>
              <w:ind w:left="12" w:right="494"/>
              <w:rPr>
                <w:sz w:val="18"/>
                <w:szCs w:val="18"/>
              </w:rPr>
            </w:pPr>
            <w:r>
              <w:rPr>
                <w:sz w:val="18"/>
                <w:szCs w:val="18"/>
              </w:rPr>
              <w:t>1.蛋白质的组成和分类</w:t>
            </w:r>
            <w:r>
              <w:rPr>
                <w:spacing w:val="6"/>
                <w:sz w:val="18"/>
                <w:szCs w:val="18"/>
              </w:rPr>
              <w:t xml:space="preserve"> </w:t>
            </w:r>
            <w:r>
              <w:rPr>
                <w:spacing w:val="-1"/>
                <w:sz w:val="18"/>
                <w:szCs w:val="18"/>
              </w:rPr>
              <w:t>2.蛋白质的生理功能</w:t>
            </w:r>
          </w:p>
          <w:p w14:paraId="14BE9347">
            <w:pPr>
              <w:pStyle w:val="6"/>
              <w:spacing w:line="229" w:lineRule="auto"/>
              <w:ind w:left="12"/>
              <w:rPr>
                <w:sz w:val="18"/>
                <w:szCs w:val="18"/>
              </w:rPr>
            </w:pPr>
            <w:r>
              <w:rPr>
                <w:spacing w:val="-3"/>
                <w:sz w:val="18"/>
                <w:szCs w:val="18"/>
              </w:rPr>
              <w:t>3.食用蛋白质营养价值的评价</w:t>
            </w:r>
            <w:r>
              <w:rPr>
                <w:spacing w:val="2"/>
                <w:sz w:val="18"/>
                <w:szCs w:val="18"/>
              </w:rPr>
              <w:t xml:space="preserve"> </w:t>
            </w:r>
            <w:r>
              <w:rPr>
                <w:spacing w:val="1"/>
                <w:sz w:val="18"/>
                <w:szCs w:val="18"/>
              </w:rPr>
              <w:t>4.蛋白质的互补作用</w:t>
            </w:r>
          </w:p>
        </w:tc>
        <w:tc>
          <w:tcPr>
            <w:tcW w:w="220" w:type="dxa"/>
            <w:tcBorders>
              <w:top w:val="single" w:color="000000" w:sz="2" w:space="0"/>
              <w:bottom w:val="single" w:color="000000" w:sz="2" w:space="0"/>
            </w:tcBorders>
            <w:vAlign w:val="top"/>
          </w:tcPr>
          <w:p w14:paraId="397A7AA3">
            <w:pPr>
              <w:rPr>
                <w:rFonts w:ascii="Arial"/>
                <w:sz w:val="21"/>
              </w:rPr>
            </w:pPr>
          </w:p>
        </w:tc>
        <w:tc>
          <w:tcPr>
            <w:tcW w:w="229" w:type="dxa"/>
            <w:tcBorders>
              <w:top w:val="single" w:color="000000" w:sz="2" w:space="0"/>
              <w:bottom w:val="single" w:color="000000" w:sz="2" w:space="0"/>
            </w:tcBorders>
            <w:vAlign w:val="top"/>
          </w:tcPr>
          <w:p w14:paraId="04881B1C">
            <w:pPr>
              <w:rPr>
                <w:rFonts w:ascii="Arial"/>
                <w:sz w:val="21"/>
              </w:rPr>
            </w:pPr>
          </w:p>
        </w:tc>
        <w:tc>
          <w:tcPr>
            <w:tcW w:w="239" w:type="dxa"/>
            <w:tcBorders>
              <w:top w:val="single" w:color="000000" w:sz="2" w:space="0"/>
              <w:bottom w:val="single" w:color="000000" w:sz="2" w:space="0"/>
            </w:tcBorders>
            <w:vAlign w:val="top"/>
          </w:tcPr>
          <w:p w14:paraId="70A62E02">
            <w:pPr>
              <w:rPr>
                <w:rFonts w:ascii="Arial"/>
                <w:sz w:val="21"/>
              </w:rPr>
            </w:pPr>
          </w:p>
        </w:tc>
        <w:tc>
          <w:tcPr>
            <w:tcW w:w="234" w:type="dxa"/>
            <w:tcBorders>
              <w:top w:val="single" w:color="000000" w:sz="2" w:space="0"/>
              <w:bottom w:val="single" w:color="000000" w:sz="2" w:space="0"/>
            </w:tcBorders>
            <w:vAlign w:val="top"/>
          </w:tcPr>
          <w:p w14:paraId="333310FB">
            <w:pPr>
              <w:rPr>
                <w:rFonts w:ascii="Arial"/>
                <w:sz w:val="21"/>
              </w:rPr>
            </w:pPr>
          </w:p>
        </w:tc>
      </w:tr>
      <w:tr w14:paraId="246244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14" w:hRule="atLeast"/>
        </w:trPr>
        <w:tc>
          <w:tcPr>
            <w:tcW w:w="873" w:type="dxa"/>
            <w:tcBorders>
              <w:top w:val="single" w:color="000000" w:sz="2" w:space="0"/>
              <w:bottom w:val="single" w:color="000000" w:sz="2" w:space="0"/>
            </w:tcBorders>
            <w:vAlign w:val="top"/>
          </w:tcPr>
          <w:p w14:paraId="0044A9BD">
            <w:pPr>
              <w:spacing w:line="265" w:lineRule="auto"/>
              <w:rPr>
                <w:rFonts w:ascii="Arial"/>
                <w:sz w:val="21"/>
              </w:rPr>
            </w:pPr>
          </w:p>
          <w:p w14:paraId="011EE6C1">
            <w:pPr>
              <w:pStyle w:val="6"/>
              <w:spacing w:before="59" w:line="219" w:lineRule="auto"/>
              <w:ind w:left="65"/>
              <w:rPr>
                <w:sz w:val="18"/>
                <w:szCs w:val="18"/>
              </w:rPr>
            </w:pPr>
            <w:r>
              <w:rPr>
                <w:spacing w:val="-2"/>
                <w:sz w:val="18"/>
                <w:szCs w:val="18"/>
              </w:rPr>
              <w:t>认识脂类</w:t>
            </w:r>
          </w:p>
        </w:tc>
        <w:tc>
          <w:tcPr>
            <w:tcW w:w="2324" w:type="dxa"/>
            <w:tcBorders>
              <w:top w:val="single" w:color="000000" w:sz="2" w:space="0"/>
              <w:bottom w:val="single" w:color="000000" w:sz="2" w:space="0"/>
            </w:tcBorders>
            <w:vAlign w:val="top"/>
          </w:tcPr>
          <w:p w14:paraId="1744692D">
            <w:pPr>
              <w:pStyle w:val="6"/>
              <w:spacing w:before="126" w:line="222" w:lineRule="auto"/>
              <w:ind w:left="12" w:right="674"/>
              <w:rPr>
                <w:sz w:val="18"/>
                <w:szCs w:val="18"/>
              </w:rPr>
            </w:pPr>
            <w:r>
              <w:rPr>
                <w:sz w:val="18"/>
                <w:szCs w:val="18"/>
              </w:rPr>
              <w:t>1.脂类的结构和分类</w:t>
            </w:r>
            <w:r>
              <w:rPr>
                <w:spacing w:val="6"/>
                <w:sz w:val="18"/>
                <w:szCs w:val="18"/>
              </w:rPr>
              <w:t xml:space="preserve"> </w:t>
            </w:r>
            <w:r>
              <w:rPr>
                <w:spacing w:val="-1"/>
                <w:sz w:val="18"/>
                <w:szCs w:val="18"/>
              </w:rPr>
              <w:t>2.脂类的生理功能</w:t>
            </w:r>
          </w:p>
          <w:p w14:paraId="5D11F6A9">
            <w:pPr>
              <w:pStyle w:val="6"/>
              <w:spacing w:before="4" w:line="218" w:lineRule="auto"/>
              <w:jc w:val="right"/>
              <w:rPr>
                <w:sz w:val="18"/>
                <w:szCs w:val="18"/>
              </w:rPr>
            </w:pPr>
            <w:r>
              <w:rPr>
                <w:spacing w:val="-3"/>
                <w:sz w:val="18"/>
                <w:szCs w:val="18"/>
              </w:rPr>
              <w:t>3.食用脂肪的营养价值的评价</w:t>
            </w:r>
          </w:p>
        </w:tc>
        <w:tc>
          <w:tcPr>
            <w:tcW w:w="220" w:type="dxa"/>
            <w:tcBorders>
              <w:top w:val="single" w:color="000000" w:sz="2" w:space="0"/>
              <w:bottom w:val="single" w:color="000000" w:sz="2" w:space="0"/>
            </w:tcBorders>
            <w:vAlign w:val="top"/>
          </w:tcPr>
          <w:p w14:paraId="6E5843E3">
            <w:pPr>
              <w:rPr>
                <w:rFonts w:ascii="Arial"/>
                <w:sz w:val="21"/>
              </w:rPr>
            </w:pPr>
          </w:p>
        </w:tc>
        <w:tc>
          <w:tcPr>
            <w:tcW w:w="229" w:type="dxa"/>
            <w:tcBorders>
              <w:top w:val="single" w:color="000000" w:sz="2" w:space="0"/>
              <w:bottom w:val="single" w:color="000000" w:sz="2" w:space="0"/>
            </w:tcBorders>
            <w:vAlign w:val="top"/>
          </w:tcPr>
          <w:p w14:paraId="1EE0ED09">
            <w:pPr>
              <w:rPr>
                <w:rFonts w:ascii="Arial"/>
                <w:sz w:val="21"/>
              </w:rPr>
            </w:pPr>
          </w:p>
        </w:tc>
        <w:tc>
          <w:tcPr>
            <w:tcW w:w="239" w:type="dxa"/>
            <w:tcBorders>
              <w:top w:val="single" w:color="000000" w:sz="2" w:space="0"/>
              <w:bottom w:val="single" w:color="000000" w:sz="2" w:space="0"/>
            </w:tcBorders>
            <w:vAlign w:val="top"/>
          </w:tcPr>
          <w:p w14:paraId="47F5FB91">
            <w:pPr>
              <w:rPr>
                <w:rFonts w:ascii="Arial"/>
                <w:sz w:val="21"/>
              </w:rPr>
            </w:pPr>
          </w:p>
        </w:tc>
        <w:tc>
          <w:tcPr>
            <w:tcW w:w="234" w:type="dxa"/>
            <w:tcBorders>
              <w:top w:val="single" w:color="000000" w:sz="2" w:space="0"/>
              <w:bottom w:val="single" w:color="000000" w:sz="2" w:space="0"/>
            </w:tcBorders>
            <w:vAlign w:val="top"/>
          </w:tcPr>
          <w:p w14:paraId="044CB068">
            <w:pPr>
              <w:rPr>
                <w:rFonts w:ascii="Arial"/>
                <w:sz w:val="21"/>
              </w:rPr>
            </w:pPr>
          </w:p>
        </w:tc>
      </w:tr>
      <w:tr w14:paraId="1E214C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718" w:hRule="atLeast"/>
        </w:trPr>
        <w:tc>
          <w:tcPr>
            <w:tcW w:w="873" w:type="dxa"/>
            <w:tcBorders>
              <w:top w:val="single" w:color="000000" w:sz="2" w:space="0"/>
              <w:bottom w:val="single" w:color="000000" w:sz="2" w:space="0"/>
            </w:tcBorders>
            <w:vAlign w:val="top"/>
          </w:tcPr>
          <w:p w14:paraId="6077AD3E">
            <w:pPr>
              <w:spacing w:line="312" w:lineRule="auto"/>
              <w:rPr>
                <w:rFonts w:ascii="Arial"/>
                <w:sz w:val="21"/>
              </w:rPr>
            </w:pPr>
          </w:p>
          <w:p w14:paraId="4C531156">
            <w:pPr>
              <w:spacing w:line="312" w:lineRule="auto"/>
              <w:rPr>
                <w:rFonts w:ascii="Arial"/>
                <w:sz w:val="21"/>
              </w:rPr>
            </w:pPr>
          </w:p>
          <w:p w14:paraId="33EB067F">
            <w:pPr>
              <w:pStyle w:val="6"/>
              <w:spacing w:before="58" w:line="212" w:lineRule="auto"/>
              <w:ind w:left="155" w:right="177" w:firstLine="89"/>
              <w:rPr>
                <w:sz w:val="18"/>
                <w:szCs w:val="18"/>
              </w:rPr>
            </w:pPr>
            <w:r>
              <w:rPr>
                <w:spacing w:val="-4"/>
                <w:sz w:val="18"/>
                <w:szCs w:val="18"/>
              </w:rPr>
              <w:t>认识</w:t>
            </w:r>
            <w:r>
              <w:rPr>
                <w:sz w:val="18"/>
                <w:szCs w:val="18"/>
              </w:rPr>
              <w:t xml:space="preserve">  </w:t>
            </w:r>
            <w:r>
              <w:rPr>
                <w:spacing w:val="-4"/>
                <w:sz w:val="18"/>
                <w:szCs w:val="18"/>
              </w:rPr>
              <w:t>维生素</w:t>
            </w:r>
          </w:p>
        </w:tc>
        <w:tc>
          <w:tcPr>
            <w:tcW w:w="2324" w:type="dxa"/>
            <w:tcBorders>
              <w:top w:val="single" w:color="000000" w:sz="2" w:space="0"/>
              <w:bottom w:val="single" w:color="000000" w:sz="2" w:space="0"/>
            </w:tcBorders>
            <w:vAlign w:val="top"/>
          </w:tcPr>
          <w:p w14:paraId="70135257">
            <w:pPr>
              <w:pStyle w:val="6"/>
              <w:spacing w:before="137" w:line="222" w:lineRule="auto"/>
              <w:ind w:left="12" w:right="478"/>
              <w:rPr>
                <w:sz w:val="18"/>
                <w:szCs w:val="18"/>
              </w:rPr>
            </w:pPr>
            <w:r>
              <w:rPr>
                <w:spacing w:val="1"/>
                <w:sz w:val="18"/>
                <w:szCs w:val="18"/>
              </w:rPr>
              <w:t>1.维生素的概念及作用</w:t>
            </w:r>
            <w:r>
              <w:rPr>
                <w:spacing w:val="9"/>
                <w:sz w:val="18"/>
                <w:szCs w:val="18"/>
              </w:rPr>
              <w:t xml:space="preserve"> </w:t>
            </w:r>
            <w:r>
              <w:rPr>
                <w:spacing w:val="2"/>
                <w:sz w:val="18"/>
                <w:szCs w:val="18"/>
              </w:rPr>
              <w:t>2.维生素的分类及命名</w:t>
            </w:r>
          </w:p>
          <w:p w14:paraId="616AC427">
            <w:pPr>
              <w:pStyle w:val="6"/>
              <w:spacing w:before="6" w:line="220" w:lineRule="auto"/>
              <w:ind w:left="12"/>
              <w:rPr>
                <w:sz w:val="18"/>
                <w:szCs w:val="18"/>
              </w:rPr>
            </w:pPr>
            <w:r>
              <w:rPr>
                <w:spacing w:val="-3"/>
                <w:sz w:val="18"/>
                <w:szCs w:val="18"/>
              </w:rPr>
              <w:t>3.常见脂溶性维生素的功能及</w:t>
            </w:r>
            <w:r>
              <w:rPr>
                <w:spacing w:val="2"/>
                <w:sz w:val="18"/>
                <w:szCs w:val="18"/>
              </w:rPr>
              <w:t xml:space="preserve"> </w:t>
            </w:r>
            <w:r>
              <w:rPr>
                <w:spacing w:val="1"/>
                <w:sz w:val="18"/>
                <w:szCs w:val="18"/>
              </w:rPr>
              <w:t>与健康的关系(</w:t>
            </w:r>
            <w:r>
              <w:rPr>
                <w:sz w:val="18"/>
                <w:szCs w:val="18"/>
              </w:rPr>
              <w:t>VA</w:t>
            </w:r>
            <w:r>
              <w:rPr>
                <w:spacing w:val="1"/>
                <w:sz w:val="18"/>
                <w:szCs w:val="18"/>
              </w:rPr>
              <w:t>、</w:t>
            </w:r>
            <w:r>
              <w:rPr>
                <w:sz w:val="18"/>
                <w:szCs w:val="18"/>
              </w:rPr>
              <w:t>VD</w:t>
            </w:r>
            <w:r>
              <w:rPr>
                <w:spacing w:val="1"/>
                <w:sz w:val="18"/>
                <w:szCs w:val="18"/>
              </w:rPr>
              <w:t>、</w:t>
            </w:r>
            <w:r>
              <w:rPr>
                <w:sz w:val="18"/>
                <w:szCs w:val="18"/>
              </w:rPr>
              <w:t>VE</w:t>
            </w:r>
            <w:r>
              <w:rPr>
                <w:spacing w:val="1"/>
                <w:sz w:val="18"/>
                <w:szCs w:val="18"/>
              </w:rPr>
              <w:t>)</w:t>
            </w:r>
          </w:p>
          <w:p w14:paraId="3BDE1A44">
            <w:pPr>
              <w:pStyle w:val="6"/>
              <w:spacing w:before="1" w:line="223" w:lineRule="auto"/>
              <w:ind w:left="12" w:right="232"/>
              <w:jc w:val="both"/>
              <w:rPr>
                <w:sz w:val="18"/>
                <w:szCs w:val="18"/>
              </w:rPr>
            </w:pPr>
            <w:r>
              <w:rPr>
                <w:spacing w:val="-1"/>
                <w:sz w:val="18"/>
                <w:szCs w:val="18"/>
              </w:rPr>
              <w:t>4.常见水溶性维生素的功</w:t>
            </w:r>
            <w:r>
              <w:rPr>
                <w:spacing w:val="2"/>
                <w:sz w:val="18"/>
                <w:szCs w:val="18"/>
              </w:rPr>
              <w:t xml:space="preserve">  </w:t>
            </w:r>
            <w:r>
              <w:rPr>
                <w:spacing w:val="8"/>
                <w:sz w:val="18"/>
                <w:szCs w:val="18"/>
              </w:rPr>
              <w:t>能及与健康的关系(</w:t>
            </w:r>
            <w:r>
              <w:rPr>
                <w:sz w:val="18"/>
                <w:szCs w:val="18"/>
              </w:rPr>
              <w:t>VB</w:t>
            </w:r>
            <w:r>
              <w:rPr>
                <w:spacing w:val="8"/>
                <w:sz w:val="18"/>
                <w:szCs w:val="18"/>
              </w:rPr>
              <w:t>1、</w:t>
            </w:r>
            <w:r>
              <w:rPr>
                <w:sz w:val="18"/>
                <w:szCs w:val="18"/>
              </w:rPr>
              <w:t xml:space="preserve"> VB</w:t>
            </w:r>
            <w:r>
              <w:rPr>
                <w:spacing w:val="6"/>
                <w:sz w:val="18"/>
                <w:szCs w:val="18"/>
              </w:rPr>
              <w:t>2、</w:t>
            </w:r>
            <w:r>
              <w:rPr>
                <w:sz w:val="18"/>
                <w:szCs w:val="18"/>
              </w:rPr>
              <w:t>VC</w:t>
            </w:r>
            <w:r>
              <w:rPr>
                <w:spacing w:val="6"/>
                <w:sz w:val="18"/>
                <w:szCs w:val="18"/>
              </w:rPr>
              <w:t>、叶酸)</w:t>
            </w:r>
          </w:p>
        </w:tc>
        <w:tc>
          <w:tcPr>
            <w:tcW w:w="220" w:type="dxa"/>
            <w:tcBorders>
              <w:top w:val="single" w:color="000000" w:sz="2" w:space="0"/>
              <w:bottom w:val="single" w:color="000000" w:sz="2" w:space="0"/>
            </w:tcBorders>
            <w:vAlign w:val="top"/>
          </w:tcPr>
          <w:p w14:paraId="1C2A0CB6">
            <w:pPr>
              <w:spacing w:before="179" w:line="319" w:lineRule="exact"/>
              <w:ind w:firstLine="40"/>
            </w:pPr>
            <w:r>
              <w:rPr>
                <w:position w:val="-6"/>
              </w:rPr>
              <w:drawing>
                <wp:inline distT="0" distB="0" distL="0" distR="0">
                  <wp:extent cx="92075" cy="202565"/>
                  <wp:effectExtent l="0" t="0" r="0" b="0"/>
                  <wp:docPr id="304" name="IM 304"/>
                  <wp:cNvGraphicFramePr/>
                  <a:graphic xmlns:a="http://schemas.openxmlformats.org/drawingml/2006/main">
                    <a:graphicData uri="http://schemas.openxmlformats.org/drawingml/2006/picture">
                      <pic:pic xmlns:pic="http://schemas.openxmlformats.org/drawingml/2006/picture">
                        <pic:nvPicPr>
                          <pic:cNvPr id="304" name="IM 304"/>
                          <pic:cNvPicPr/>
                        </pic:nvPicPr>
                        <pic:blipFill>
                          <a:blip r:embed="rId316"/>
                          <a:stretch>
                            <a:fillRect/>
                          </a:stretch>
                        </pic:blipFill>
                        <pic:spPr>
                          <a:xfrm>
                            <a:off x="0" y="0"/>
                            <a:ext cx="92093" cy="203132"/>
                          </a:xfrm>
                          <a:prstGeom prst="rect">
                            <a:avLst/>
                          </a:prstGeom>
                        </pic:spPr>
                      </pic:pic>
                    </a:graphicData>
                  </a:graphic>
                </wp:inline>
              </w:drawing>
            </w:r>
          </w:p>
        </w:tc>
        <w:tc>
          <w:tcPr>
            <w:tcW w:w="229" w:type="dxa"/>
            <w:tcBorders>
              <w:top w:val="single" w:color="000000" w:sz="2" w:space="0"/>
              <w:bottom w:val="single" w:color="000000" w:sz="2" w:space="0"/>
            </w:tcBorders>
            <w:vAlign w:val="top"/>
          </w:tcPr>
          <w:p w14:paraId="63A26D48">
            <w:pPr>
              <w:rPr>
                <w:rFonts w:ascii="Arial"/>
                <w:sz w:val="21"/>
              </w:rPr>
            </w:pPr>
          </w:p>
        </w:tc>
        <w:tc>
          <w:tcPr>
            <w:tcW w:w="239" w:type="dxa"/>
            <w:tcBorders>
              <w:top w:val="single" w:color="000000" w:sz="2" w:space="0"/>
              <w:bottom w:val="single" w:color="000000" w:sz="2" w:space="0"/>
            </w:tcBorders>
            <w:vAlign w:val="top"/>
          </w:tcPr>
          <w:p w14:paraId="07F4B816">
            <w:pPr>
              <w:rPr>
                <w:rFonts w:ascii="Arial"/>
                <w:sz w:val="21"/>
              </w:rPr>
            </w:pPr>
          </w:p>
        </w:tc>
        <w:tc>
          <w:tcPr>
            <w:tcW w:w="234" w:type="dxa"/>
            <w:tcBorders>
              <w:top w:val="single" w:color="000000" w:sz="2" w:space="0"/>
              <w:bottom w:val="single" w:color="000000" w:sz="2" w:space="0"/>
            </w:tcBorders>
            <w:vAlign w:val="top"/>
          </w:tcPr>
          <w:p w14:paraId="74747D72">
            <w:pPr>
              <w:rPr>
                <w:rFonts w:ascii="Arial"/>
                <w:sz w:val="21"/>
              </w:rPr>
            </w:pPr>
          </w:p>
        </w:tc>
      </w:tr>
    </w:tbl>
    <w:p w14:paraId="38DD69E0">
      <w:pPr>
        <w:pStyle w:val="2"/>
        <w:spacing w:line="14" w:lineRule="auto"/>
        <w:rPr>
          <w:sz w:val="2"/>
        </w:rPr>
      </w:pPr>
    </w:p>
    <w:p w14:paraId="1B00BE18">
      <w:pPr>
        <w:pStyle w:val="2"/>
        <w:spacing w:line="14" w:lineRule="auto"/>
        <w:rPr>
          <w:sz w:val="2"/>
        </w:rPr>
      </w:pPr>
      <w:r>
        <w:rPr>
          <w:sz w:val="2"/>
          <w:szCs w:val="2"/>
        </w:rPr>
        <w:br w:type="column"/>
      </w:r>
    </w:p>
    <w:tbl>
      <w:tblPr>
        <w:tblStyle w:val="5"/>
        <w:tblW w:w="4130" w:type="dxa"/>
        <w:tblInd w:w="6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24"/>
        <w:gridCol w:w="210"/>
        <w:gridCol w:w="229"/>
        <w:gridCol w:w="230"/>
        <w:gridCol w:w="244"/>
      </w:tblGrid>
      <w:tr w14:paraId="48F570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9" w:hRule="atLeast"/>
        </w:trPr>
        <w:tc>
          <w:tcPr>
            <w:tcW w:w="893" w:type="dxa"/>
            <w:vMerge w:val="restart"/>
            <w:tcBorders>
              <w:top w:val="single" w:color="000000" w:sz="2" w:space="0"/>
              <w:bottom w:val="nil"/>
            </w:tcBorders>
            <w:vAlign w:val="top"/>
          </w:tcPr>
          <w:p w14:paraId="607FF35C">
            <w:pPr>
              <w:pStyle w:val="6"/>
              <w:spacing w:before="85" w:line="225" w:lineRule="auto"/>
              <w:ind w:left="257" w:right="1" w:hanging="240"/>
              <w:rPr>
                <w:sz w:val="18"/>
                <w:szCs w:val="18"/>
              </w:rPr>
            </w:pPr>
            <w:r>
              <w:rPr>
                <w:b/>
                <w:bCs/>
                <w:spacing w:val="-10"/>
                <w:sz w:val="18"/>
                <w:szCs w:val="18"/>
              </w:rPr>
              <w:t>知识与技能</w:t>
            </w:r>
            <w:r>
              <w:rPr>
                <w:spacing w:val="3"/>
                <w:sz w:val="18"/>
                <w:szCs w:val="18"/>
              </w:rPr>
              <w:t xml:space="preserve"> </w:t>
            </w:r>
            <w:r>
              <w:rPr>
                <w:b/>
                <w:bCs/>
                <w:spacing w:val="-4"/>
                <w:sz w:val="18"/>
                <w:szCs w:val="18"/>
              </w:rPr>
              <w:t>要点</w:t>
            </w:r>
          </w:p>
        </w:tc>
        <w:tc>
          <w:tcPr>
            <w:tcW w:w="2324" w:type="dxa"/>
            <w:vMerge w:val="restart"/>
            <w:tcBorders>
              <w:top w:val="single" w:color="000000" w:sz="2" w:space="0"/>
              <w:bottom w:val="nil"/>
            </w:tcBorders>
            <w:vAlign w:val="top"/>
          </w:tcPr>
          <w:p w14:paraId="551098A4">
            <w:pPr>
              <w:pStyle w:val="6"/>
              <w:spacing w:before="194" w:line="219" w:lineRule="auto"/>
              <w:ind w:left="834"/>
              <w:rPr>
                <w:sz w:val="18"/>
                <w:szCs w:val="18"/>
              </w:rPr>
            </w:pPr>
            <w:r>
              <w:rPr>
                <w:b/>
                <w:bCs/>
                <w:spacing w:val="5"/>
                <w:sz w:val="18"/>
                <w:szCs w:val="18"/>
              </w:rPr>
              <w:t>考试条目</w:t>
            </w:r>
          </w:p>
        </w:tc>
        <w:tc>
          <w:tcPr>
            <w:tcW w:w="913" w:type="dxa"/>
            <w:gridSpan w:val="4"/>
            <w:tcBorders>
              <w:top w:val="single" w:color="000000" w:sz="2" w:space="0"/>
              <w:bottom w:val="single" w:color="000000" w:sz="2" w:space="0"/>
            </w:tcBorders>
            <w:vAlign w:val="top"/>
          </w:tcPr>
          <w:p w14:paraId="5833BB57">
            <w:pPr>
              <w:pStyle w:val="6"/>
              <w:spacing w:before="54" w:line="219" w:lineRule="auto"/>
              <w:ind w:left="140"/>
              <w:rPr>
                <w:sz w:val="18"/>
                <w:szCs w:val="18"/>
              </w:rPr>
            </w:pPr>
            <w:r>
              <w:rPr>
                <w:b/>
                <w:bCs/>
                <w:spacing w:val="-4"/>
                <w:sz w:val="18"/>
                <w:szCs w:val="18"/>
              </w:rPr>
              <w:t>考试水平</w:t>
            </w:r>
          </w:p>
        </w:tc>
      </w:tr>
      <w:tr w14:paraId="7E6B52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4" w:hRule="atLeast"/>
        </w:trPr>
        <w:tc>
          <w:tcPr>
            <w:tcW w:w="893" w:type="dxa"/>
            <w:vMerge w:val="continue"/>
            <w:tcBorders>
              <w:top w:val="nil"/>
              <w:bottom w:val="single" w:color="000000" w:sz="2" w:space="0"/>
            </w:tcBorders>
            <w:vAlign w:val="top"/>
          </w:tcPr>
          <w:p w14:paraId="0C9F5D2B">
            <w:pPr>
              <w:rPr>
                <w:rFonts w:ascii="Arial"/>
                <w:sz w:val="21"/>
              </w:rPr>
            </w:pPr>
          </w:p>
        </w:tc>
        <w:tc>
          <w:tcPr>
            <w:tcW w:w="2324" w:type="dxa"/>
            <w:vMerge w:val="continue"/>
            <w:tcBorders>
              <w:top w:val="nil"/>
              <w:bottom w:val="single" w:color="000000" w:sz="2" w:space="0"/>
            </w:tcBorders>
            <w:vAlign w:val="top"/>
          </w:tcPr>
          <w:p w14:paraId="21011150">
            <w:pPr>
              <w:rPr>
                <w:rFonts w:ascii="Arial"/>
                <w:sz w:val="21"/>
              </w:rPr>
            </w:pPr>
          </w:p>
        </w:tc>
        <w:tc>
          <w:tcPr>
            <w:tcW w:w="210" w:type="dxa"/>
            <w:tcBorders>
              <w:top w:val="single" w:color="000000" w:sz="2" w:space="0"/>
              <w:bottom w:val="single" w:color="000000" w:sz="2" w:space="0"/>
            </w:tcBorders>
            <w:vAlign w:val="top"/>
          </w:tcPr>
          <w:p w14:paraId="4C5DA070">
            <w:pPr>
              <w:pStyle w:val="6"/>
              <w:spacing w:before="88" w:line="170" w:lineRule="auto"/>
              <w:ind w:left="57"/>
              <w:rPr>
                <w:sz w:val="18"/>
                <w:szCs w:val="18"/>
              </w:rPr>
            </w:pPr>
            <w:r>
              <w:rPr>
                <w:sz w:val="18"/>
                <w:szCs w:val="18"/>
              </w:rPr>
              <w:t>A</w:t>
            </w:r>
          </w:p>
        </w:tc>
        <w:tc>
          <w:tcPr>
            <w:tcW w:w="229" w:type="dxa"/>
            <w:tcBorders>
              <w:top w:val="single" w:color="000000" w:sz="2" w:space="0"/>
              <w:bottom w:val="single" w:color="000000" w:sz="2" w:space="0"/>
            </w:tcBorders>
            <w:vAlign w:val="top"/>
          </w:tcPr>
          <w:p w14:paraId="37B8B92A">
            <w:pPr>
              <w:pStyle w:val="6"/>
              <w:spacing w:before="91" w:line="167" w:lineRule="auto"/>
              <w:ind w:left="40"/>
              <w:rPr>
                <w:sz w:val="18"/>
                <w:szCs w:val="18"/>
              </w:rPr>
            </w:pPr>
            <w:r>
              <w:rPr>
                <w:b/>
                <w:bCs/>
                <w:spacing w:val="-2"/>
                <w:sz w:val="18"/>
                <w:szCs w:val="18"/>
              </w:rPr>
              <w:t>B</w:t>
            </w:r>
          </w:p>
        </w:tc>
        <w:tc>
          <w:tcPr>
            <w:tcW w:w="230" w:type="dxa"/>
            <w:tcBorders>
              <w:top w:val="single" w:color="000000" w:sz="2" w:space="0"/>
              <w:bottom w:val="single" w:color="000000" w:sz="2" w:space="0"/>
            </w:tcBorders>
            <w:vAlign w:val="top"/>
          </w:tcPr>
          <w:p w14:paraId="1D265CCE">
            <w:pPr>
              <w:pStyle w:val="6"/>
              <w:spacing w:before="88" w:line="170" w:lineRule="auto"/>
              <w:ind w:left="21"/>
              <w:rPr>
                <w:sz w:val="18"/>
                <w:szCs w:val="18"/>
              </w:rPr>
            </w:pPr>
            <w:r>
              <w:rPr>
                <w:b/>
                <w:bCs/>
                <w:spacing w:val="-2"/>
                <w:sz w:val="18"/>
                <w:szCs w:val="18"/>
              </w:rPr>
              <w:t>C</w:t>
            </w:r>
          </w:p>
        </w:tc>
        <w:tc>
          <w:tcPr>
            <w:tcW w:w="244" w:type="dxa"/>
            <w:tcBorders>
              <w:top w:val="single" w:color="000000" w:sz="2" w:space="0"/>
              <w:bottom w:val="single" w:color="000000" w:sz="2" w:space="0"/>
            </w:tcBorders>
            <w:vAlign w:val="top"/>
          </w:tcPr>
          <w:p w14:paraId="3B914799">
            <w:pPr>
              <w:pStyle w:val="6"/>
              <w:spacing w:before="91" w:line="167" w:lineRule="auto"/>
              <w:ind w:left="21"/>
              <w:rPr>
                <w:sz w:val="18"/>
                <w:szCs w:val="18"/>
              </w:rPr>
            </w:pPr>
            <w:r>
              <w:rPr>
                <w:b/>
                <w:bCs/>
                <w:spacing w:val="-2"/>
                <w:sz w:val="18"/>
                <w:szCs w:val="18"/>
              </w:rPr>
              <w:t>D</w:t>
            </w:r>
          </w:p>
        </w:tc>
      </w:tr>
      <w:tr w14:paraId="773E07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3" w:hRule="atLeast"/>
        </w:trPr>
        <w:tc>
          <w:tcPr>
            <w:tcW w:w="893" w:type="dxa"/>
            <w:tcBorders>
              <w:top w:val="single" w:color="000000" w:sz="2" w:space="0"/>
              <w:bottom w:val="single" w:color="000000" w:sz="2" w:space="0"/>
            </w:tcBorders>
            <w:vAlign w:val="top"/>
          </w:tcPr>
          <w:p w14:paraId="4157783B">
            <w:pPr>
              <w:pStyle w:val="6"/>
              <w:spacing w:before="184" w:line="232" w:lineRule="auto"/>
              <w:ind w:left="165" w:right="157" w:firstLine="89"/>
              <w:rPr>
                <w:sz w:val="18"/>
                <w:szCs w:val="18"/>
              </w:rPr>
            </w:pPr>
            <w:r>
              <w:rPr>
                <w:spacing w:val="-4"/>
                <w:sz w:val="18"/>
                <w:szCs w:val="18"/>
              </w:rPr>
              <w:t>认识</w:t>
            </w:r>
            <w:r>
              <w:rPr>
                <w:sz w:val="18"/>
                <w:szCs w:val="18"/>
              </w:rPr>
              <w:t xml:space="preserve">  </w:t>
            </w:r>
            <w:r>
              <w:rPr>
                <w:spacing w:val="6"/>
                <w:sz w:val="18"/>
                <w:szCs w:val="18"/>
              </w:rPr>
              <w:t>矿物质</w:t>
            </w:r>
          </w:p>
        </w:tc>
        <w:tc>
          <w:tcPr>
            <w:tcW w:w="2324" w:type="dxa"/>
            <w:tcBorders>
              <w:top w:val="single" w:color="000000" w:sz="2" w:space="0"/>
              <w:bottom w:val="single" w:color="000000" w:sz="2" w:space="0"/>
            </w:tcBorders>
            <w:vAlign w:val="top"/>
          </w:tcPr>
          <w:p w14:paraId="216614AE">
            <w:pPr>
              <w:pStyle w:val="6"/>
              <w:spacing w:before="74" w:line="219" w:lineRule="auto"/>
              <w:ind w:left="12"/>
              <w:rPr>
                <w:sz w:val="18"/>
                <w:szCs w:val="18"/>
              </w:rPr>
            </w:pPr>
            <w:r>
              <w:rPr>
                <w:sz w:val="18"/>
                <w:szCs w:val="18"/>
              </w:rPr>
              <w:t>1.矿物质的组成及分类</w:t>
            </w:r>
          </w:p>
          <w:p w14:paraId="53362851">
            <w:pPr>
              <w:pStyle w:val="6"/>
              <w:spacing w:before="16" w:line="216" w:lineRule="auto"/>
              <w:ind w:left="12"/>
              <w:rPr>
                <w:sz w:val="18"/>
                <w:szCs w:val="18"/>
              </w:rPr>
            </w:pPr>
            <w:r>
              <w:rPr>
                <w:spacing w:val="-1"/>
                <w:sz w:val="18"/>
                <w:szCs w:val="18"/>
              </w:rPr>
              <w:t>2.常见矿物质的功能与健康</w:t>
            </w:r>
          </w:p>
          <w:p w14:paraId="7174663A">
            <w:pPr>
              <w:pStyle w:val="6"/>
              <w:spacing w:line="219" w:lineRule="auto"/>
              <w:jc w:val="right"/>
              <w:rPr>
                <w:sz w:val="18"/>
                <w:szCs w:val="18"/>
              </w:rPr>
            </w:pPr>
            <w:r>
              <w:rPr>
                <w:spacing w:val="-3"/>
                <w:sz w:val="18"/>
                <w:szCs w:val="18"/>
              </w:rPr>
              <w:t>的关系(钙、铁、锌、碘、硒)</w:t>
            </w:r>
          </w:p>
        </w:tc>
        <w:tc>
          <w:tcPr>
            <w:tcW w:w="210" w:type="dxa"/>
            <w:tcBorders>
              <w:top w:val="single" w:color="000000" w:sz="2" w:space="0"/>
              <w:bottom w:val="single" w:color="000000" w:sz="2" w:space="0"/>
            </w:tcBorders>
            <w:vAlign w:val="top"/>
          </w:tcPr>
          <w:p w14:paraId="1F048B69">
            <w:pPr>
              <w:pStyle w:val="6"/>
              <w:spacing w:before="93" w:line="238" w:lineRule="auto"/>
              <w:ind w:left="38"/>
              <w:rPr>
                <w:sz w:val="12"/>
                <w:szCs w:val="12"/>
              </w:rPr>
            </w:pPr>
            <w:r>
              <w:rPr>
                <w:sz w:val="12"/>
                <w:szCs w:val="12"/>
              </w:rPr>
              <w:t>√</w:t>
            </w:r>
          </w:p>
        </w:tc>
        <w:tc>
          <w:tcPr>
            <w:tcW w:w="229" w:type="dxa"/>
            <w:tcBorders>
              <w:top w:val="single" w:color="000000" w:sz="2" w:space="0"/>
              <w:bottom w:val="single" w:color="000000" w:sz="2" w:space="0"/>
            </w:tcBorders>
            <w:vAlign w:val="top"/>
          </w:tcPr>
          <w:p w14:paraId="360AF738">
            <w:pPr>
              <w:rPr>
                <w:rFonts w:ascii="Arial"/>
                <w:sz w:val="21"/>
              </w:rPr>
            </w:pPr>
          </w:p>
        </w:tc>
        <w:tc>
          <w:tcPr>
            <w:tcW w:w="230" w:type="dxa"/>
            <w:tcBorders>
              <w:top w:val="single" w:color="000000" w:sz="2" w:space="0"/>
              <w:bottom w:val="single" w:color="000000" w:sz="2" w:space="0"/>
            </w:tcBorders>
            <w:vAlign w:val="top"/>
          </w:tcPr>
          <w:p w14:paraId="10828895">
            <w:pPr>
              <w:rPr>
                <w:rFonts w:ascii="Arial"/>
                <w:sz w:val="21"/>
              </w:rPr>
            </w:pPr>
          </w:p>
        </w:tc>
        <w:tc>
          <w:tcPr>
            <w:tcW w:w="244" w:type="dxa"/>
            <w:tcBorders>
              <w:top w:val="single" w:color="000000" w:sz="2" w:space="0"/>
              <w:bottom w:val="single" w:color="000000" w:sz="2" w:space="0"/>
            </w:tcBorders>
            <w:vAlign w:val="top"/>
          </w:tcPr>
          <w:p w14:paraId="1F526D93">
            <w:pPr>
              <w:spacing w:line="241" w:lineRule="auto"/>
              <w:rPr>
                <w:rFonts w:ascii="Arial"/>
                <w:sz w:val="21"/>
              </w:rPr>
            </w:pPr>
          </w:p>
          <w:p w14:paraId="5A900B11">
            <w:pPr>
              <w:pStyle w:val="6"/>
              <w:spacing w:before="59" w:line="238" w:lineRule="auto"/>
              <w:ind w:left="18"/>
              <w:rPr>
                <w:sz w:val="18"/>
                <w:szCs w:val="18"/>
              </w:rPr>
            </w:pPr>
            <w:r>
              <w:rPr>
                <w:sz w:val="18"/>
                <w:szCs w:val="18"/>
              </w:rPr>
              <w:t>√</w:t>
            </w:r>
          </w:p>
        </w:tc>
      </w:tr>
      <w:tr w14:paraId="3835A3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07" w:hRule="atLeast"/>
        </w:trPr>
        <w:tc>
          <w:tcPr>
            <w:tcW w:w="893" w:type="dxa"/>
            <w:tcBorders>
              <w:top w:val="single" w:color="000000" w:sz="2" w:space="0"/>
              <w:bottom w:val="single" w:color="000000" w:sz="2" w:space="0"/>
            </w:tcBorders>
            <w:vAlign w:val="top"/>
          </w:tcPr>
          <w:p w14:paraId="10A57223">
            <w:pPr>
              <w:spacing w:line="404" w:lineRule="auto"/>
              <w:rPr>
                <w:rFonts w:ascii="Arial"/>
                <w:sz w:val="21"/>
              </w:rPr>
            </w:pPr>
          </w:p>
          <w:p w14:paraId="74189584">
            <w:pPr>
              <w:pStyle w:val="6"/>
              <w:spacing w:before="58" w:line="219" w:lineRule="auto"/>
              <w:ind w:left="165"/>
              <w:rPr>
                <w:sz w:val="18"/>
                <w:szCs w:val="18"/>
              </w:rPr>
            </w:pPr>
            <w:r>
              <w:rPr>
                <w:spacing w:val="-2"/>
                <w:sz w:val="18"/>
                <w:szCs w:val="18"/>
              </w:rPr>
              <w:t>认识水</w:t>
            </w:r>
          </w:p>
        </w:tc>
        <w:tc>
          <w:tcPr>
            <w:tcW w:w="2324" w:type="dxa"/>
            <w:tcBorders>
              <w:top w:val="single" w:color="000000" w:sz="2" w:space="0"/>
              <w:bottom w:val="single" w:color="000000" w:sz="2" w:space="0"/>
            </w:tcBorders>
            <w:vAlign w:val="top"/>
          </w:tcPr>
          <w:p w14:paraId="53C5DD0F">
            <w:pPr>
              <w:pStyle w:val="6"/>
              <w:spacing w:before="35" w:line="219" w:lineRule="auto"/>
              <w:ind w:left="12"/>
              <w:rPr>
                <w:sz w:val="18"/>
                <w:szCs w:val="18"/>
              </w:rPr>
            </w:pPr>
            <w:r>
              <w:rPr>
                <w:sz w:val="18"/>
                <w:szCs w:val="18"/>
              </w:rPr>
              <w:t>1.水的主要生理功能</w:t>
            </w:r>
          </w:p>
          <w:p w14:paraId="2B31DA30">
            <w:pPr>
              <w:pStyle w:val="6"/>
              <w:spacing w:before="16" w:line="217" w:lineRule="auto"/>
              <w:ind w:left="31" w:right="127" w:hanging="19"/>
              <w:rPr>
                <w:sz w:val="18"/>
                <w:szCs w:val="18"/>
              </w:rPr>
            </w:pPr>
            <w:r>
              <w:rPr>
                <w:spacing w:val="1"/>
                <w:sz w:val="18"/>
                <w:szCs w:val="18"/>
              </w:rPr>
              <w:t>2.生活中常见的水与健康的</w:t>
            </w:r>
            <w:r>
              <w:rPr>
                <w:sz w:val="18"/>
                <w:szCs w:val="18"/>
              </w:rPr>
              <w:t xml:space="preserve"> </w:t>
            </w:r>
            <w:r>
              <w:rPr>
                <w:spacing w:val="-1"/>
                <w:sz w:val="18"/>
                <w:szCs w:val="18"/>
              </w:rPr>
              <w:t>关系(白开水、纯净水、矿</w:t>
            </w:r>
          </w:p>
          <w:p w14:paraId="77C3B63B">
            <w:pPr>
              <w:pStyle w:val="6"/>
              <w:spacing w:before="26" w:line="194" w:lineRule="auto"/>
              <w:ind w:left="31"/>
              <w:rPr>
                <w:sz w:val="18"/>
                <w:szCs w:val="18"/>
              </w:rPr>
            </w:pPr>
            <w:r>
              <w:rPr>
                <w:spacing w:val="6"/>
                <w:sz w:val="18"/>
                <w:szCs w:val="18"/>
              </w:rPr>
              <w:t>泉水、饮料)</w:t>
            </w:r>
          </w:p>
          <w:p w14:paraId="2B247324">
            <w:pPr>
              <w:pStyle w:val="6"/>
              <w:spacing w:line="197" w:lineRule="auto"/>
              <w:ind w:left="22"/>
              <w:rPr>
                <w:sz w:val="18"/>
                <w:szCs w:val="18"/>
              </w:rPr>
            </w:pPr>
            <w:r>
              <w:rPr>
                <w:spacing w:val="-2"/>
                <w:sz w:val="18"/>
                <w:szCs w:val="18"/>
              </w:rPr>
              <w:t>3.科学合理补水</w:t>
            </w:r>
          </w:p>
        </w:tc>
        <w:tc>
          <w:tcPr>
            <w:tcW w:w="210" w:type="dxa"/>
            <w:tcBorders>
              <w:top w:val="single" w:color="000000" w:sz="2" w:space="0"/>
              <w:bottom w:val="single" w:color="000000" w:sz="2" w:space="0"/>
            </w:tcBorders>
            <w:vAlign w:val="top"/>
          </w:tcPr>
          <w:p w14:paraId="1B50364C">
            <w:pPr>
              <w:rPr>
                <w:rFonts w:ascii="Arial"/>
                <w:sz w:val="21"/>
              </w:rPr>
            </w:pPr>
          </w:p>
        </w:tc>
        <w:tc>
          <w:tcPr>
            <w:tcW w:w="229" w:type="dxa"/>
            <w:tcBorders>
              <w:top w:val="single" w:color="000000" w:sz="2" w:space="0"/>
              <w:bottom w:val="single" w:color="000000" w:sz="2" w:space="0"/>
            </w:tcBorders>
            <w:vAlign w:val="top"/>
          </w:tcPr>
          <w:p w14:paraId="25727DB3">
            <w:pPr>
              <w:pStyle w:val="6"/>
              <w:spacing w:before="56" w:line="238" w:lineRule="auto"/>
              <w:ind w:left="18"/>
              <w:rPr>
                <w:sz w:val="13"/>
                <w:szCs w:val="13"/>
              </w:rPr>
            </w:pPr>
            <w:r>
              <w:rPr>
                <w:sz w:val="13"/>
                <w:szCs w:val="13"/>
              </w:rPr>
              <w:t>√</w:t>
            </w:r>
          </w:p>
        </w:tc>
        <w:tc>
          <w:tcPr>
            <w:tcW w:w="230" w:type="dxa"/>
            <w:tcBorders>
              <w:top w:val="single" w:color="000000" w:sz="2" w:space="0"/>
              <w:bottom w:val="single" w:color="000000" w:sz="2" w:space="0"/>
            </w:tcBorders>
            <w:vAlign w:val="top"/>
          </w:tcPr>
          <w:p w14:paraId="421E13DD">
            <w:pPr>
              <w:rPr>
                <w:rFonts w:ascii="Arial"/>
                <w:sz w:val="21"/>
              </w:rPr>
            </w:pPr>
          </w:p>
        </w:tc>
        <w:tc>
          <w:tcPr>
            <w:tcW w:w="244" w:type="dxa"/>
            <w:tcBorders>
              <w:top w:val="single" w:color="000000" w:sz="2" w:space="0"/>
              <w:bottom w:val="single" w:color="000000" w:sz="2" w:space="0"/>
            </w:tcBorders>
            <w:textDirection w:val="tbRlV"/>
            <w:vAlign w:val="top"/>
          </w:tcPr>
          <w:p w14:paraId="614E2846">
            <w:pPr>
              <w:pStyle w:val="6"/>
              <w:spacing w:before="101" w:line="185" w:lineRule="exact"/>
              <w:ind w:left="473"/>
              <w:rPr>
                <w:sz w:val="24"/>
                <w:szCs w:val="24"/>
              </w:rPr>
            </w:pPr>
            <w:r>
              <w:pict>
                <v:shape id="_x0000_s1032" o:spid="_x0000_s1032" o:spt="202" type="#_x0000_t202" style="position:absolute;left:0pt;margin-left:0.2pt;margin-top:12.4pt;height:10.9pt;width:6.4pt;mso-position-horizontal-relative:page;mso-position-vertical-relative:page;z-index:251681792;mso-width-relative:page;mso-height-relative:page;" filled="f" stroked="f" coordsize="21600,21600">
                  <v:path/>
                  <v:fill on="f" focussize="0,0"/>
                  <v:stroke on="f"/>
                  <v:imagedata o:title=""/>
                  <o:lock v:ext="edit" aspectratio="f"/>
                  <v:textbox inset="0mm,0mm,0mm,0mm">
                    <w:txbxContent>
                      <w:p w14:paraId="3DC5ED51">
                        <w:pPr>
                          <w:pStyle w:val="6"/>
                          <w:spacing w:before="19" w:line="182" w:lineRule="auto"/>
                          <w:ind w:left="20"/>
                          <w:rPr>
                            <w:sz w:val="18"/>
                            <w:szCs w:val="18"/>
                          </w:rPr>
                        </w:pPr>
                        <w:r>
                          <w:rPr>
                            <w:sz w:val="18"/>
                            <w:szCs w:val="18"/>
                          </w:rPr>
                          <w:t>V</w:t>
                        </w:r>
                      </w:p>
                    </w:txbxContent>
                  </v:textbox>
                </v:shape>
              </w:pict>
            </w:r>
            <w:r>
              <w:rPr>
                <w:spacing w:val="27"/>
                <w:w w:val="150"/>
                <w:position w:val="-4"/>
                <w:sz w:val="24"/>
                <w:szCs w:val="24"/>
              </w:rPr>
              <w:t>V</w:t>
            </w:r>
          </w:p>
        </w:tc>
      </w:tr>
    </w:tbl>
    <w:p w14:paraId="7C4765E3">
      <w:pPr>
        <w:spacing w:before="90" w:line="218" w:lineRule="auto"/>
        <w:ind w:left="410"/>
        <w:rPr>
          <w:rFonts w:ascii="宋体" w:hAnsi="宋体" w:eastAsia="宋体" w:cs="宋体"/>
          <w:sz w:val="18"/>
          <w:szCs w:val="18"/>
        </w:rPr>
      </w:pPr>
      <w:r>
        <w:rPr>
          <w:rFonts w:ascii="宋体" w:hAnsi="宋体" w:eastAsia="宋体" w:cs="宋体"/>
          <w:spacing w:val="-1"/>
          <w:sz w:val="18"/>
          <w:szCs w:val="18"/>
        </w:rPr>
        <w:t>项目二 各类食物的营养价值</w:t>
      </w:r>
    </w:p>
    <w:p w14:paraId="7D080F55">
      <w:pPr>
        <w:spacing w:line="69" w:lineRule="auto"/>
        <w:rPr>
          <w:rFonts w:ascii="Arial"/>
          <w:sz w:val="2"/>
        </w:rPr>
      </w:pPr>
    </w:p>
    <w:tbl>
      <w:tblPr>
        <w:tblStyle w:val="5"/>
        <w:tblW w:w="4110" w:type="dxa"/>
        <w:tblInd w:w="6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73"/>
        <w:gridCol w:w="2324"/>
        <w:gridCol w:w="220"/>
        <w:gridCol w:w="229"/>
        <w:gridCol w:w="240"/>
        <w:gridCol w:w="224"/>
      </w:tblGrid>
      <w:tr w14:paraId="7AAF7C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5" w:hRule="atLeast"/>
        </w:trPr>
        <w:tc>
          <w:tcPr>
            <w:tcW w:w="873" w:type="dxa"/>
            <w:vMerge w:val="restart"/>
            <w:tcBorders>
              <w:bottom w:val="nil"/>
            </w:tcBorders>
            <w:vAlign w:val="top"/>
          </w:tcPr>
          <w:p w14:paraId="425BC326">
            <w:pPr>
              <w:pStyle w:val="6"/>
              <w:spacing w:before="101" w:line="231" w:lineRule="auto"/>
              <w:ind w:left="256" w:right="5" w:hanging="239"/>
            </w:pPr>
            <w:r>
              <w:rPr>
                <w:b/>
                <w:bCs/>
                <w:spacing w:val="-4"/>
              </w:rPr>
              <w:t>知识与技能</w:t>
            </w:r>
            <w:r>
              <w:t xml:space="preserve"> </w:t>
            </w:r>
            <w:r>
              <w:rPr>
                <w:b/>
                <w:bCs/>
                <w:spacing w:val="-4"/>
              </w:rPr>
              <w:t>要点</w:t>
            </w:r>
          </w:p>
        </w:tc>
        <w:tc>
          <w:tcPr>
            <w:tcW w:w="2324" w:type="dxa"/>
            <w:vMerge w:val="restart"/>
            <w:tcBorders>
              <w:bottom w:val="nil"/>
            </w:tcBorders>
            <w:vAlign w:val="top"/>
          </w:tcPr>
          <w:p w14:paraId="30A7DB3E">
            <w:pPr>
              <w:pStyle w:val="6"/>
              <w:spacing w:before="219" w:line="219" w:lineRule="auto"/>
              <w:ind w:left="834"/>
            </w:pPr>
            <w:r>
              <w:rPr>
                <w:b/>
                <w:bCs/>
                <w:spacing w:val="5"/>
              </w:rPr>
              <w:t>考试条目</w:t>
            </w:r>
          </w:p>
        </w:tc>
        <w:tc>
          <w:tcPr>
            <w:tcW w:w="913" w:type="dxa"/>
            <w:gridSpan w:val="4"/>
            <w:vAlign w:val="top"/>
          </w:tcPr>
          <w:p w14:paraId="1DA4855A">
            <w:pPr>
              <w:pStyle w:val="6"/>
              <w:spacing w:before="59" w:line="219" w:lineRule="auto"/>
              <w:ind w:left="130"/>
            </w:pPr>
            <w:r>
              <w:rPr>
                <w:b/>
                <w:bCs/>
                <w:spacing w:val="-4"/>
              </w:rPr>
              <w:t>考试水平</w:t>
            </w:r>
          </w:p>
        </w:tc>
      </w:tr>
      <w:tr w14:paraId="3F6599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873" w:type="dxa"/>
            <w:vMerge w:val="continue"/>
            <w:tcBorders>
              <w:top w:val="nil"/>
            </w:tcBorders>
            <w:vAlign w:val="top"/>
          </w:tcPr>
          <w:p w14:paraId="54A4B00E">
            <w:pPr>
              <w:rPr>
                <w:rFonts w:ascii="Arial"/>
                <w:sz w:val="21"/>
              </w:rPr>
            </w:pPr>
          </w:p>
        </w:tc>
        <w:tc>
          <w:tcPr>
            <w:tcW w:w="2324" w:type="dxa"/>
            <w:vMerge w:val="continue"/>
            <w:tcBorders>
              <w:top w:val="nil"/>
            </w:tcBorders>
            <w:vAlign w:val="top"/>
          </w:tcPr>
          <w:p w14:paraId="0AC35249">
            <w:pPr>
              <w:rPr>
                <w:rFonts w:ascii="Arial"/>
                <w:sz w:val="21"/>
              </w:rPr>
            </w:pPr>
          </w:p>
        </w:tc>
        <w:tc>
          <w:tcPr>
            <w:tcW w:w="220" w:type="dxa"/>
            <w:vAlign w:val="top"/>
          </w:tcPr>
          <w:p w14:paraId="683BA9DC">
            <w:pPr>
              <w:pStyle w:val="6"/>
              <w:spacing w:before="109" w:line="184" w:lineRule="auto"/>
              <w:ind w:left="60"/>
            </w:pPr>
            <w:r>
              <w:rPr>
                <w:b/>
                <w:bCs/>
                <w:spacing w:val="-2"/>
              </w:rPr>
              <w:t>A</w:t>
            </w:r>
          </w:p>
        </w:tc>
        <w:tc>
          <w:tcPr>
            <w:tcW w:w="229" w:type="dxa"/>
            <w:vAlign w:val="top"/>
          </w:tcPr>
          <w:p w14:paraId="2929B75F">
            <w:pPr>
              <w:pStyle w:val="6"/>
              <w:spacing w:before="111" w:line="182" w:lineRule="auto"/>
              <w:ind w:left="20"/>
            </w:pPr>
            <w:r>
              <w:rPr>
                <w:b/>
                <w:bCs/>
                <w:spacing w:val="-2"/>
              </w:rPr>
              <w:t>B</w:t>
            </w:r>
          </w:p>
        </w:tc>
        <w:tc>
          <w:tcPr>
            <w:tcW w:w="240" w:type="dxa"/>
            <w:vAlign w:val="top"/>
          </w:tcPr>
          <w:p w14:paraId="38D6D2D8">
            <w:pPr>
              <w:pStyle w:val="6"/>
              <w:spacing w:before="109" w:line="183" w:lineRule="auto"/>
              <w:ind w:left="71"/>
            </w:pPr>
            <w:r>
              <w:rPr>
                <w:b/>
                <w:bCs/>
                <w:spacing w:val="-2"/>
              </w:rPr>
              <w:t>C</w:t>
            </w:r>
          </w:p>
        </w:tc>
        <w:tc>
          <w:tcPr>
            <w:tcW w:w="224" w:type="dxa"/>
            <w:vAlign w:val="top"/>
          </w:tcPr>
          <w:p w14:paraId="19B7DADA">
            <w:pPr>
              <w:pStyle w:val="6"/>
              <w:spacing w:before="111" w:line="182" w:lineRule="auto"/>
              <w:ind w:left="61"/>
            </w:pPr>
            <w:r>
              <w:rPr>
                <w:b/>
                <w:bCs/>
                <w:spacing w:val="-2"/>
              </w:rPr>
              <w:t>D</w:t>
            </w:r>
          </w:p>
        </w:tc>
      </w:tr>
      <w:tr w14:paraId="73864B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28" w:hRule="atLeast"/>
        </w:trPr>
        <w:tc>
          <w:tcPr>
            <w:tcW w:w="873" w:type="dxa"/>
            <w:vAlign w:val="top"/>
          </w:tcPr>
          <w:p w14:paraId="7B06E2BE">
            <w:pPr>
              <w:spacing w:line="371" w:lineRule="auto"/>
              <w:rPr>
                <w:rFonts w:ascii="Arial"/>
                <w:sz w:val="21"/>
              </w:rPr>
            </w:pPr>
          </w:p>
          <w:p w14:paraId="687BDE04">
            <w:pPr>
              <w:pStyle w:val="6"/>
              <w:spacing w:before="55" w:line="223" w:lineRule="auto"/>
              <w:ind w:left="85"/>
            </w:pPr>
            <w:r>
              <w:rPr>
                <w:spacing w:val="-16"/>
              </w:rPr>
              <w:t>认识“五</w:t>
            </w:r>
            <w:r>
              <w:t xml:space="preserve">   </w:t>
            </w:r>
            <w:r>
              <w:rPr>
                <w:spacing w:val="24"/>
              </w:rPr>
              <w:t>谷为养”</w:t>
            </w:r>
          </w:p>
        </w:tc>
        <w:tc>
          <w:tcPr>
            <w:tcW w:w="2324" w:type="dxa"/>
            <w:vAlign w:val="top"/>
          </w:tcPr>
          <w:p w14:paraId="0D14D75A">
            <w:pPr>
              <w:pStyle w:val="6"/>
              <w:spacing w:before="98" w:line="219" w:lineRule="auto"/>
              <w:ind w:left="12"/>
            </w:pPr>
            <w:r>
              <w:rPr>
                <w:spacing w:val="-2"/>
              </w:rPr>
              <w:t>1.</w:t>
            </w:r>
            <w:r>
              <w:rPr>
                <w:spacing w:val="-60"/>
              </w:rPr>
              <w:t xml:space="preserve"> </w:t>
            </w:r>
            <w:r>
              <w:rPr>
                <w:spacing w:val="-2"/>
              </w:rPr>
              <w:t>“五谷为养”概述</w:t>
            </w:r>
          </w:p>
          <w:p w14:paraId="011019FB">
            <w:pPr>
              <w:pStyle w:val="6"/>
              <w:spacing w:before="7" w:line="219" w:lineRule="auto"/>
              <w:ind w:left="12"/>
            </w:pPr>
            <w:r>
              <w:rPr>
                <w:spacing w:val="-1"/>
              </w:rPr>
              <w:t>2.常见的五谷杂粮品种的营</w:t>
            </w:r>
          </w:p>
          <w:p w14:paraId="7FB9B460">
            <w:pPr>
              <w:pStyle w:val="6"/>
              <w:spacing w:before="37" w:line="218" w:lineRule="auto"/>
              <w:ind w:left="22"/>
            </w:pPr>
            <w:r>
              <w:rPr>
                <w:spacing w:val="-1"/>
              </w:rPr>
              <w:t>养价值及养生作用(糙米、糯</w:t>
            </w:r>
          </w:p>
          <w:p w14:paraId="757641E8">
            <w:pPr>
              <w:pStyle w:val="6"/>
              <w:spacing w:before="9" w:line="237" w:lineRule="auto"/>
              <w:ind w:left="12" w:firstLine="19"/>
            </w:pPr>
            <w:r>
              <w:rPr>
                <w:spacing w:val="-7"/>
              </w:rPr>
              <w:t>米、小米、燕麦、荞麦、黄豆、</w:t>
            </w:r>
            <w:r>
              <w:t xml:space="preserve"> </w:t>
            </w:r>
            <w:r>
              <w:rPr>
                <w:spacing w:val="-3"/>
              </w:rPr>
              <w:t>绿豆、黑豆、赤小豆、薏米)</w:t>
            </w:r>
          </w:p>
        </w:tc>
        <w:tc>
          <w:tcPr>
            <w:tcW w:w="220" w:type="dxa"/>
            <w:vAlign w:val="top"/>
          </w:tcPr>
          <w:p w14:paraId="088E8358">
            <w:pPr>
              <w:pStyle w:val="6"/>
              <w:spacing w:before="99" w:line="238" w:lineRule="auto"/>
              <w:ind w:left="38"/>
              <w:rPr>
                <w:sz w:val="13"/>
                <w:szCs w:val="13"/>
              </w:rPr>
            </w:pPr>
            <w:r>
              <w:rPr>
                <w:sz w:val="13"/>
                <w:szCs w:val="13"/>
              </w:rPr>
              <w:t>√</w:t>
            </w:r>
          </w:p>
        </w:tc>
        <w:tc>
          <w:tcPr>
            <w:tcW w:w="229" w:type="dxa"/>
            <w:vAlign w:val="top"/>
          </w:tcPr>
          <w:p w14:paraId="0F3EC983">
            <w:pPr>
              <w:rPr>
                <w:rFonts w:ascii="Arial"/>
                <w:sz w:val="21"/>
              </w:rPr>
            </w:pPr>
          </w:p>
        </w:tc>
        <w:tc>
          <w:tcPr>
            <w:tcW w:w="240" w:type="dxa"/>
            <w:vAlign w:val="top"/>
          </w:tcPr>
          <w:p w14:paraId="556647E3">
            <w:pPr>
              <w:rPr>
                <w:rFonts w:ascii="Arial"/>
                <w:sz w:val="21"/>
              </w:rPr>
            </w:pPr>
          </w:p>
        </w:tc>
        <w:tc>
          <w:tcPr>
            <w:tcW w:w="224" w:type="dxa"/>
            <w:vAlign w:val="top"/>
          </w:tcPr>
          <w:p w14:paraId="5627AC66">
            <w:pPr>
              <w:spacing w:line="275" w:lineRule="auto"/>
              <w:rPr>
                <w:rFonts w:ascii="Arial"/>
                <w:sz w:val="21"/>
              </w:rPr>
            </w:pPr>
          </w:p>
          <w:p w14:paraId="2641EF1A">
            <w:pPr>
              <w:pStyle w:val="6"/>
              <w:spacing w:before="42" w:line="238" w:lineRule="auto"/>
              <w:ind w:left="39"/>
              <w:rPr>
                <w:sz w:val="13"/>
                <w:szCs w:val="13"/>
              </w:rPr>
            </w:pPr>
            <w:r>
              <w:rPr>
                <w:sz w:val="13"/>
                <w:szCs w:val="13"/>
              </w:rPr>
              <w:t>√</w:t>
            </w:r>
          </w:p>
        </w:tc>
      </w:tr>
      <w:tr w14:paraId="44EBEC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808" w:hRule="atLeast"/>
        </w:trPr>
        <w:tc>
          <w:tcPr>
            <w:tcW w:w="873" w:type="dxa"/>
            <w:vAlign w:val="top"/>
          </w:tcPr>
          <w:p w14:paraId="2D5F00FA">
            <w:pPr>
              <w:spacing w:line="335" w:lineRule="auto"/>
              <w:rPr>
                <w:rFonts w:ascii="Arial"/>
                <w:sz w:val="21"/>
              </w:rPr>
            </w:pPr>
          </w:p>
          <w:p w14:paraId="53D0428D">
            <w:pPr>
              <w:spacing w:line="336" w:lineRule="auto"/>
              <w:rPr>
                <w:rFonts w:ascii="Arial"/>
                <w:sz w:val="21"/>
              </w:rPr>
            </w:pPr>
          </w:p>
          <w:p w14:paraId="6D9600AE">
            <w:pPr>
              <w:pStyle w:val="6"/>
              <w:spacing w:before="55" w:line="230" w:lineRule="auto"/>
              <w:ind w:left="85"/>
            </w:pPr>
            <w:r>
              <w:rPr>
                <w:spacing w:val="-16"/>
              </w:rPr>
              <w:t>认识“五</w:t>
            </w:r>
            <w:r>
              <w:t xml:space="preserve">   </w:t>
            </w:r>
            <w:r>
              <w:rPr>
                <w:spacing w:val="24"/>
              </w:rPr>
              <w:t>畜为宜”</w:t>
            </w:r>
          </w:p>
        </w:tc>
        <w:tc>
          <w:tcPr>
            <w:tcW w:w="2324" w:type="dxa"/>
            <w:vAlign w:val="top"/>
          </w:tcPr>
          <w:p w14:paraId="20BF4689">
            <w:pPr>
              <w:pStyle w:val="6"/>
              <w:spacing w:before="60" w:line="219" w:lineRule="auto"/>
              <w:ind w:left="22"/>
            </w:pPr>
            <w:r>
              <w:rPr>
                <w:spacing w:val="1"/>
              </w:rPr>
              <w:t>1.肉类食品的营养特点</w:t>
            </w:r>
          </w:p>
          <w:p w14:paraId="28DC0A83">
            <w:pPr>
              <w:pStyle w:val="6"/>
              <w:spacing w:before="28" w:line="235" w:lineRule="auto"/>
              <w:ind w:left="12" w:right="87" w:firstLine="10"/>
            </w:pPr>
            <w:r>
              <w:rPr>
                <w:spacing w:val="1"/>
              </w:rPr>
              <w:t>2.常见畜、禽、鱼肉品种的</w:t>
            </w:r>
            <w:r>
              <w:t xml:space="preserve">   </w:t>
            </w:r>
            <w:r>
              <w:rPr>
                <w:spacing w:val="6"/>
              </w:rPr>
              <w:t>营养价值及养生作用(猪肉、</w:t>
            </w:r>
            <w:r>
              <w:rPr>
                <w:spacing w:val="10"/>
              </w:rPr>
              <w:t xml:space="preserve"> </w:t>
            </w:r>
            <w:r>
              <w:rPr>
                <w:spacing w:val="7"/>
              </w:rPr>
              <w:t>牛肉、羊肉、鸡肉、鸭肉、</w:t>
            </w:r>
            <w:r>
              <w:rPr>
                <w:spacing w:val="5"/>
              </w:rPr>
              <w:t xml:space="preserve">  </w:t>
            </w:r>
            <w:r>
              <w:rPr>
                <w:spacing w:val="7"/>
              </w:rPr>
              <w:t>鹅肉、虾肉、蟹肉、鲤鱼、</w:t>
            </w:r>
            <w:r>
              <w:t xml:space="preserve">  </w:t>
            </w:r>
            <w:r>
              <w:rPr>
                <w:spacing w:val="-1"/>
              </w:rPr>
              <w:t>鲫鱼、海参及牡蛎)奶蛋类</w:t>
            </w:r>
          </w:p>
          <w:p w14:paraId="1BCF9B73">
            <w:pPr>
              <w:pStyle w:val="6"/>
              <w:spacing w:before="16" w:line="219" w:lineRule="auto"/>
              <w:ind w:left="12" w:right="173"/>
            </w:pPr>
            <w:r>
              <w:rPr>
                <w:spacing w:val="1"/>
              </w:rPr>
              <w:t>食品的营养价值及养生作用</w:t>
            </w:r>
            <w:r>
              <w:rPr>
                <w:spacing w:val="3"/>
              </w:rPr>
              <w:t xml:space="preserve">  </w:t>
            </w:r>
            <w:r>
              <w:t>(牛奶、羊奶、鸡蛋、鹤鹑蛋</w:t>
            </w:r>
          </w:p>
        </w:tc>
        <w:tc>
          <w:tcPr>
            <w:tcW w:w="220" w:type="dxa"/>
            <w:vAlign w:val="top"/>
          </w:tcPr>
          <w:p w14:paraId="7BBF77FD">
            <w:pPr>
              <w:pStyle w:val="6"/>
              <w:spacing w:before="81" w:line="238" w:lineRule="auto"/>
              <w:ind w:left="38"/>
              <w:rPr>
                <w:sz w:val="13"/>
                <w:szCs w:val="13"/>
              </w:rPr>
            </w:pPr>
            <w:r>
              <w:rPr>
                <w:sz w:val="13"/>
                <w:szCs w:val="13"/>
              </w:rPr>
              <w:t>√</w:t>
            </w:r>
          </w:p>
        </w:tc>
        <w:tc>
          <w:tcPr>
            <w:tcW w:w="229" w:type="dxa"/>
            <w:vAlign w:val="top"/>
          </w:tcPr>
          <w:p w14:paraId="4DC994FB">
            <w:pPr>
              <w:rPr>
                <w:rFonts w:ascii="Arial"/>
                <w:sz w:val="21"/>
              </w:rPr>
            </w:pPr>
          </w:p>
        </w:tc>
        <w:tc>
          <w:tcPr>
            <w:tcW w:w="240" w:type="dxa"/>
            <w:vAlign w:val="top"/>
          </w:tcPr>
          <w:p w14:paraId="2DF7E2E9">
            <w:pPr>
              <w:rPr>
                <w:rFonts w:ascii="Arial"/>
                <w:sz w:val="21"/>
              </w:rPr>
            </w:pPr>
          </w:p>
        </w:tc>
        <w:tc>
          <w:tcPr>
            <w:tcW w:w="224" w:type="dxa"/>
            <w:vAlign w:val="top"/>
          </w:tcPr>
          <w:p w14:paraId="041A2048">
            <w:pPr>
              <w:pStyle w:val="6"/>
              <w:spacing w:before="281" w:line="238" w:lineRule="auto"/>
              <w:ind w:left="39"/>
              <w:rPr>
                <w:sz w:val="13"/>
                <w:szCs w:val="13"/>
              </w:rPr>
            </w:pPr>
            <w:r>
              <w:rPr>
                <w:sz w:val="13"/>
                <w:szCs w:val="13"/>
              </w:rPr>
              <w:t>√</w:t>
            </w:r>
          </w:p>
        </w:tc>
      </w:tr>
      <w:tr w14:paraId="40008D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78" w:hRule="atLeast"/>
        </w:trPr>
        <w:tc>
          <w:tcPr>
            <w:tcW w:w="873" w:type="dxa"/>
            <w:vAlign w:val="top"/>
          </w:tcPr>
          <w:p w14:paraId="3A45234F">
            <w:pPr>
              <w:spacing w:line="464" w:lineRule="auto"/>
              <w:rPr>
                <w:rFonts w:ascii="Arial"/>
                <w:sz w:val="21"/>
              </w:rPr>
            </w:pPr>
          </w:p>
          <w:p w14:paraId="7CC1428F">
            <w:pPr>
              <w:pStyle w:val="6"/>
              <w:spacing w:before="55" w:line="218" w:lineRule="auto"/>
              <w:ind w:left="85"/>
            </w:pPr>
            <w:r>
              <w:rPr>
                <w:spacing w:val="-16"/>
              </w:rPr>
              <w:t>认识“五</w:t>
            </w:r>
            <w:r>
              <w:t xml:space="preserve">   </w:t>
            </w:r>
            <w:r>
              <w:rPr>
                <w:spacing w:val="24"/>
              </w:rPr>
              <w:t>菜为充”</w:t>
            </w:r>
          </w:p>
        </w:tc>
        <w:tc>
          <w:tcPr>
            <w:tcW w:w="2324" w:type="dxa"/>
            <w:vAlign w:val="top"/>
          </w:tcPr>
          <w:p w14:paraId="2696C878">
            <w:pPr>
              <w:pStyle w:val="6"/>
              <w:spacing w:before="72" w:line="219" w:lineRule="auto"/>
              <w:ind w:left="22"/>
            </w:pPr>
            <w:r>
              <w:rPr>
                <w:spacing w:val="1"/>
              </w:rPr>
              <w:t>1.蔬菜类食品的营养特点</w:t>
            </w:r>
          </w:p>
          <w:p w14:paraId="3C1206B8">
            <w:pPr>
              <w:pStyle w:val="6"/>
              <w:spacing w:before="26" w:line="218" w:lineRule="auto"/>
              <w:ind w:left="12"/>
            </w:pPr>
            <w:r>
              <w:rPr>
                <w:spacing w:val="-1"/>
              </w:rPr>
              <w:t>2.常见蔬菜类品种的营养价</w:t>
            </w:r>
          </w:p>
          <w:p w14:paraId="63B16B54">
            <w:pPr>
              <w:pStyle w:val="6"/>
              <w:spacing w:before="3" w:line="233" w:lineRule="auto"/>
              <w:ind w:left="12"/>
            </w:pPr>
            <w:r>
              <w:t>值及养生作用(大白菜、芹菜、</w:t>
            </w:r>
            <w:r>
              <w:rPr>
                <w:spacing w:val="5"/>
              </w:rPr>
              <w:t xml:space="preserve"> </w:t>
            </w:r>
            <w:r>
              <w:rPr>
                <w:spacing w:val="2"/>
              </w:rPr>
              <w:t>菠菜、韭菜、萝卜、胡萝卜、</w:t>
            </w:r>
            <w:r>
              <w:rPr>
                <w:spacing w:val="9"/>
              </w:rPr>
              <w:t xml:space="preserve"> </w:t>
            </w:r>
            <w:r>
              <w:rPr>
                <w:spacing w:val="2"/>
              </w:rPr>
              <w:t>马铃薯、大蒜、苦瓜、黄瓜、</w:t>
            </w:r>
            <w:r>
              <w:t xml:space="preserve">  </w:t>
            </w:r>
            <w:r>
              <w:rPr>
                <w:spacing w:val="-3"/>
              </w:rPr>
              <w:t>南瓜、冬瓜、青椒、番茄)</w:t>
            </w:r>
          </w:p>
        </w:tc>
        <w:tc>
          <w:tcPr>
            <w:tcW w:w="220" w:type="dxa"/>
            <w:vAlign w:val="top"/>
          </w:tcPr>
          <w:p w14:paraId="34478A62">
            <w:pPr>
              <w:pStyle w:val="6"/>
              <w:spacing w:before="83" w:line="238" w:lineRule="auto"/>
              <w:ind w:left="38"/>
              <w:rPr>
                <w:sz w:val="13"/>
                <w:szCs w:val="13"/>
              </w:rPr>
            </w:pPr>
            <w:r>
              <w:rPr>
                <w:sz w:val="13"/>
                <w:szCs w:val="13"/>
              </w:rPr>
              <w:t>√</w:t>
            </w:r>
          </w:p>
        </w:tc>
        <w:tc>
          <w:tcPr>
            <w:tcW w:w="229" w:type="dxa"/>
            <w:vAlign w:val="top"/>
          </w:tcPr>
          <w:p w14:paraId="7DC375D8">
            <w:pPr>
              <w:rPr>
                <w:rFonts w:ascii="Arial"/>
                <w:sz w:val="21"/>
              </w:rPr>
            </w:pPr>
          </w:p>
        </w:tc>
        <w:tc>
          <w:tcPr>
            <w:tcW w:w="240" w:type="dxa"/>
            <w:vAlign w:val="top"/>
          </w:tcPr>
          <w:p w14:paraId="40FB71B7">
            <w:pPr>
              <w:rPr>
                <w:rFonts w:ascii="Arial"/>
                <w:sz w:val="21"/>
              </w:rPr>
            </w:pPr>
          </w:p>
        </w:tc>
        <w:tc>
          <w:tcPr>
            <w:tcW w:w="224" w:type="dxa"/>
            <w:vAlign w:val="top"/>
          </w:tcPr>
          <w:p w14:paraId="6985B84F">
            <w:pPr>
              <w:pStyle w:val="6"/>
              <w:spacing w:before="273" w:line="238" w:lineRule="auto"/>
              <w:ind w:left="39"/>
              <w:rPr>
                <w:sz w:val="13"/>
                <w:szCs w:val="13"/>
              </w:rPr>
            </w:pPr>
            <w:r>
              <w:rPr>
                <w:sz w:val="13"/>
                <w:szCs w:val="13"/>
              </w:rPr>
              <w:t>√</w:t>
            </w:r>
          </w:p>
        </w:tc>
      </w:tr>
      <w:tr w14:paraId="32D1D5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848" w:hRule="atLeast"/>
        </w:trPr>
        <w:tc>
          <w:tcPr>
            <w:tcW w:w="873" w:type="dxa"/>
            <w:vAlign w:val="top"/>
          </w:tcPr>
          <w:p w14:paraId="618A5BC1">
            <w:pPr>
              <w:spacing w:line="347" w:lineRule="auto"/>
              <w:rPr>
                <w:rFonts w:ascii="Arial"/>
                <w:sz w:val="21"/>
              </w:rPr>
            </w:pPr>
          </w:p>
          <w:p w14:paraId="4F5996AF">
            <w:pPr>
              <w:spacing w:line="348" w:lineRule="auto"/>
              <w:rPr>
                <w:rFonts w:ascii="Arial"/>
                <w:sz w:val="21"/>
              </w:rPr>
            </w:pPr>
          </w:p>
          <w:p w14:paraId="48A8937C">
            <w:pPr>
              <w:pStyle w:val="6"/>
              <w:spacing w:before="55" w:line="224" w:lineRule="auto"/>
              <w:ind w:left="85"/>
            </w:pPr>
            <w:r>
              <w:rPr>
                <w:spacing w:val="-16"/>
              </w:rPr>
              <w:t>认识“五</w:t>
            </w:r>
            <w:r>
              <w:t xml:space="preserve">   </w:t>
            </w:r>
            <w:r>
              <w:rPr>
                <w:spacing w:val="24"/>
              </w:rPr>
              <w:t>果为助”</w:t>
            </w:r>
          </w:p>
        </w:tc>
        <w:tc>
          <w:tcPr>
            <w:tcW w:w="2324" w:type="dxa"/>
            <w:vAlign w:val="top"/>
          </w:tcPr>
          <w:p w14:paraId="200DBD60">
            <w:pPr>
              <w:pStyle w:val="6"/>
              <w:spacing w:before="94" w:line="219" w:lineRule="auto"/>
              <w:ind w:left="22"/>
            </w:pPr>
            <w:r>
              <w:rPr>
                <w:spacing w:val="1"/>
              </w:rPr>
              <w:t>1.果品类的营养特点</w:t>
            </w:r>
          </w:p>
          <w:p w14:paraId="6A326D51">
            <w:pPr>
              <w:pStyle w:val="6"/>
              <w:spacing w:before="6" w:line="238" w:lineRule="auto"/>
              <w:ind w:left="22" w:right="270" w:hanging="10"/>
            </w:pPr>
            <w:r>
              <w:rPr>
                <w:spacing w:val="-1"/>
              </w:rPr>
              <w:t>2.常见水果品种的营养价值</w:t>
            </w:r>
            <w:r>
              <w:rPr>
                <w:spacing w:val="3"/>
              </w:rPr>
              <w:t xml:space="preserve"> </w:t>
            </w:r>
            <w:r>
              <w:rPr>
                <w:spacing w:val="-1"/>
              </w:rPr>
              <w:t>及养生作用(苹果、梨、柑</w:t>
            </w:r>
          </w:p>
          <w:p w14:paraId="7AC71F36">
            <w:pPr>
              <w:pStyle w:val="6"/>
              <w:spacing w:before="3" w:line="235" w:lineRule="auto"/>
              <w:ind w:left="12"/>
            </w:pPr>
            <w:r>
              <w:rPr>
                <w:spacing w:val="-6"/>
              </w:rPr>
              <w:t>橘类水果、西瓜、香蕉、大枣、</w:t>
            </w:r>
            <w:r>
              <w:rPr>
                <w:spacing w:val="4"/>
              </w:rPr>
              <w:t xml:space="preserve"> </w:t>
            </w:r>
            <w:r>
              <w:rPr>
                <w:spacing w:val="-4"/>
              </w:rPr>
              <w:t>山楂、木瓜、荔枝、龙眼、桃)</w:t>
            </w:r>
            <w:r>
              <w:rPr>
                <w:spacing w:val="6"/>
              </w:rPr>
              <w:t xml:space="preserve"> </w:t>
            </w:r>
            <w:r>
              <w:rPr>
                <w:spacing w:val="-5"/>
              </w:rPr>
              <w:t>3.常见干果类品种的营养价</w:t>
            </w:r>
          </w:p>
          <w:p w14:paraId="214F0384">
            <w:pPr>
              <w:pStyle w:val="6"/>
              <w:spacing w:before="30" w:line="225" w:lineRule="auto"/>
              <w:ind w:left="32" w:right="87" w:hanging="10"/>
            </w:pPr>
            <w:r>
              <w:rPr>
                <w:spacing w:val="6"/>
              </w:rPr>
              <w:t>值及养生作用(板栗、核桃、</w:t>
            </w:r>
            <w:r>
              <w:t xml:space="preserve"> </w:t>
            </w:r>
            <w:r>
              <w:rPr>
                <w:spacing w:val="5"/>
              </w:rPr>
              <w:t>腰果、瓜子)</w:t>
            </w:r>
          </w:p>
        </w:tc>
        <w:tc>
          <w:tcPr>
            <w:tcW w:w="220" w:type="dxa"/>
            <w:vAlign w:val="top"/>
          </w:tcPr>
          <w:p w14:paraId="1C35FBD7">
            <w:pPr>
              <w:pStyle w:val="6"/>
              <w:spacing w:before="135" w:line="238" w:lineRule="auto"/>
              <w:ind w:left="38"/>
              <w:rPr>
                <w:sz w:val="13"/>
                <w:szCs w:val="13"/>
              </w:rPr>
            </w:pPr>
            <w:r>
              <w:rPr>
                <w:sz w:val="13"/>
                <w:szCs w:val="13"/>
              </w:rPr>
              <w:t>√</w:t>
            </w:r>
          </w:p>
        </w:tc>
        <w:tc>
          <w:tcPr>
            <w:tcW w:w="229" w:type="dxa"/>
            <w:vAlign w:val="top"/>
          </w:tcPr>
          <w:p w14:paraId="54397520">
            <w:pPr>
              <w:rPr>
                <w:rFonts w:ascii="Arial"/>
                <w:sz w:val="21"/>
              </w:rPr>
            </w:pPr>
          </w:p>
        </w:tc>
        <w:tc>
          <w:tcPr>
            <w:tcW w:w="240" w:type="dxa"/>
            <w:vAlign w:val="top"/>
          </w:tcPr>
          <w:p w14:paraId="11FA66DD">
            <w:pPr>
              <w:rPr>
                <w:rFonts w:ascii="Arial"/>
                <w:sz w:val="21"/>
              </w:rPr>
            </w:pPr>
          </w:p>
        </w:tc>
        <w:tc>
          <w:tcPr>
            <w:tcW w:w="224" w:type="dxa"/>
            <w:textDirection w:val="tbRlV"/>
            <w:vAlign w:val="top"/>
          </w:tcPr>
          <w:p w14:paraId="3B6BF493">
            <w:pPr>
              <w:pStyle w:val="6"/>
              <w:spacing w:before="14" w:line="197" w:lineRule="auto"/>
              <w:ind w:left="462"/>
              <w:rPr>
                <w:sz w:val="19"/>
                <w:szCs w:val="19"/>
              </w:rPr>
            </w:pPr>
            <w:r>
              <w:pict>
                <v:shape id="_x0000_s1033" o:spid="_x0000_s1033" o:spt="202" type="#_x0000_t202" style="position:absolute;left:0pt;margin-left:1.25pt;margin-top:14.75pt;height:10.4pt;width:6.65pt;mso-position-horizontal-relative:page;mso-position-vertical-relative:page;z-index:251682816;mso-width-relative:page;mso-height-relative:page;" filled="f" stroked="f" coordsize="21600,21600">
                  <v:path/>
                  <v:fill on="f" focussize="0,0"/>
                  <v:stroke on="f"/>
                  <v:imagedata o:title=""/>
                  <o:lock v:ext="edit" aspectratio="f"/>
                  <v:textbox inset="0mm,0mm,0mm,0mm">
                    <w:txbxContent>
                      <w:p w14:paraId="3C6723E8">
                        <w:pPr>
                          <w:pStyle w:val="6"/>
                          <w:spacing w:before="20" w:line="238" w:lineRule="auto"/>
                          <w:jc w:val="right"/>
                          <w:rPr>
                            <w:sz w:val="13"/>
                            <w:szCs w:val="13"/>
                          </w:rPr>
                        </w:pPr>
                        <w:r>
                          <w:rPr>
                            <w:spacing w:val="-38"/>
                            <w:sz w:val="13"/>
                            <w:szCs w:val="13"/>
                          </w:rPr>
                          <w:t>√</w:t>
                        </w:r>
                      </w:p>
                    </w:txbxContent>
                  </v:textbox>
                </v:shape>
              </w:pict>
            </w:r>
            <w:r>
              <w:rPr>
                <w:sz w:val="19"/>
                <w:szCs w:val="19"/>
              </w:rPr>
              <w:t>八</w:t>
            </w:r>
          </w:p>
        </w:tc>
      </w:tr>
      <w:tr w14:paraId="34D8B8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73" w:hRule="atLeast"/>
        </w:trPr>
        <w:tc>
          <w:tcPr>
            <w:tcW w:w="873" w:type="dxa"/>
            <w:vAlign w:val="top"/>
          </w:tcPr>
          <w:p w14:paraId="7E78C062">
            <w:pPr>
              <w:spacing w:line="269" w:lineRule="auto"/>
              <w:rPr>
                <w:rFonts w:ascii="Arial"/>
                <w:sz w:val="21"/>
              </w:rPr>
            </w:pPr>
          </w:p>
          <w:p w14:paraId="342E52A9">
            <w:pPr>
              <w:pStyle w:val="6"/>
              <w:spacing w:before="55" w:line="220" w:lineRule="auto"/>
              <w:ind w:left="85"/>
            </w:pPr>
            <w:r>
              <w:rPr>
                <w:spacing w:val="-2"/>
              </w:rPr>
              <w:t>认识食物</w:t>
            </w:r>
          </w:p>
          <w:p w14:paraId="412AF86F">
            <w:pPr>
              <w:pStyle w:val="6"/>
              <w:spacing w:before="18" w:line="204" w:lineRule="auto"/>
              <w:ind w:left="175"/>
            </w:pPr>
            <w:r>
              <w:rPr>
                <w:spacing w:val="5"/>
              </w:rPr>
              <w:t>的“四</w:t>
            </w:r>
          </w:p>
          <w:p w14:paraId="7FCE6CBB">
            <w:pPr>
              <w:pStyle w:val="6"/>
              <w:spacing w:line="220" w:lineRule="auto"/>
              <w:jc w:val="right"/>
              <w:rPr>
                <w:sz w:val="16"/>
                <w:szCs w:val="16"/>
              </w:rPr>
            </w:pPr>
            <w:r>
              <w:rPr>
                <w:spacing w:val="-19"/>
                <w:sz w:val="16"/>
                <w:szCs w:val="16"/>
              </w:rPr>
              <w:t>气”“五味”</w:t>
            </w:r>
          </w:p>
        </w:tc>
        <w:tc>
          <w:tcPr>
            <w:tcW w:w="2324" w:type="dxa"/>
            <w:vAlign w:val="top"/>
          </w:tcPr>
          <w:p w14:paraId="2A1A1AA2">
            <w:pPr>
              <w:pStyle w:val="6"/>
              <w:spacing w:before="95" w:line="217" w:lineRule="auto"/>
              <w:ind w:left="12"/>
            </w:pPr>
            <w:r>
              <w:rPr>
                <w:spacing w:val="-2"/>
              </w:rPr>
              <w:t>1.</w:t>
            </w:r>
            <w:r>
              <w:rPr>
                <w:spacing w:val="-60"/>
              </w:rPr>
              <w:t xml:space="preserve"> </w:t>
            </w:r>
            <w:r>
              <w:rPr>
                <w:spacing w:val="-2"/>
              </w:rPr>
              <w:t>“四气”的含义</w:t>
            </w:r>
          </w:p>
          <w:p w14:paraId="49528770">
            <w:pPr>
              <w:pStyle w:val="6"/>
              <w:spacing w:before="1" w:line="237" w:lineRule="auto"/>
              <w:ind w:left="12" w:right="270"/>
            </w:pPr>
            <w:r>
              <w:rPr>
                <w:spacing w:val="-1"/>
              </w:rPr>
              <w:t>2.食物“四气”的作用与养</w:t>
            </w:r>
            <w:r>
              <w:rPr>
                <w:spacing w:val="3"/>
              </w:rPr>
              <w:t xml:space="preserve"> </w:t>
            </w:r>
            <w:r>
              <w:rPr>
                <w:spacing w:val="20"/>
              </w:rPr>
              <w:t>生食物的“五味”</w:t>
            </w:r>
          </w:p>
          <w:p w14:paraId="3E36156C">
            <w:pPr>
              <w:pStyle w:val="6"/>
              <w:spacing w:before="2" w:line="219" w:lineRule="auto"/>
              <w:ind w:left="22"/>
            </w:pPr>
            <w:r>
              <w:rPr>
                <w:spacing w:val="-2"/>
              </w:rPr>
              <w:t>3.“五味”的含义</w:t>
            </w:r>
          </w:p>
          <w:p w14:paraId="5D60A385">
            <w:pPr>
              <w:pStyle w:val="6"/>
              <w:spacing w:before="28" w:line="214" w:lineRule="auto"/>
              <w:ind w:left="12"/>
            </w:pPr>
            <w:r>
              <w:rPr>
                <w:spacing w:val="-1"/>
              </w:rPr>
              <w:t>4.食物“五味”的作用与养生</w:t>
            </w:r>
          </w:p>
        </w:tc>
        <w:tc>
          <w:tcPr>
            <w:tcW w:w="220" w:type="dxa"/>
            <w:vAlign w:val="top"/>
          </w:tcPr>
          <w:p w14:paraId="5EAB75A4">
            <w:pPr>
              <w:pStyle w:val="6"/>
              <w:spacing w:before="97" w:line="238" w:lineRule="auto"/>
              <w:ind w:left="38"/>
              <w:rPr>
                <w:sz w:val="13"/>
                <w:szCs w:val="13"/>
              </w:rPr>
            </w:pPr>
            <w:r>
              <w:rPr>
                <w:sz w:val="13"/>
                <w:szCs w:val="13"/>
              </w:rPr>
              <w:t>√</w:t>
            </w:r>
          </w:p>
        </w:tc>
        <w:tc>
          <w:tcPr>
            <w:tcW w:w="229" w:type="dxa"/>
            <w:vAlign w:val="top"/>
          </w:tcPr>
          <w:p w14:paraId="5FA976C1">
            <w:pPr>
              <w:rPr>
                <w:rFonts w:ascii="Arial"/>
                <w:sz w:val="21"/>
              </w:rPr>
            </w:pPr>
          </w:p>
        </w:tc>
        <w:tc>
          <w:tcPr>
            <w:tcW w:w="240" w:type="dxa"/>
            <w:vAlign w:val="top"/>
          </w:tcPr>
          <w:p w14:paraId="0BF3824B">
            <w:pPr>
              <w:spacing w:line="246" w:lineRule="auto"/>
              <w:rPr>
                <w:rFonts w:ascii="Arial"/>
                <w:sz w:val="21"/>
              </w:rPr>
            </w:pPr>
          </w:p>
          <w:p w14:paraId="5C819024">
            <w:pPr>
              <w:pStyle w:val="6"/>
              <w:spacing w:before="55" w:line="238" w:lineRule="auto"/>
              <w:ind w:left="29"/>
            </w:pPr>
            <w:r>
              <w:t>√</w:t>
            </w:r>
          </w:p>
          <w:p w14:paraId="758150B2">
            <w:pPr>
              <w:spacing w:line="361" w:lineRule="auto"/>
              <w:rPr>
                <w:rFonts w:ascii="Arial"/>
                <w:sz w:val="21"/>
              </w:rPr>
            </w:pPr>
          </w:p>
          <w:p w14:paraId="6477FAA2">
            <w:pPr>
              <w:pStyle w:val="6"/>
              <w:spacing w:before="55" w:line="182" w:lineRule="auto"/>
              <w:ind w:left="69"/>
            </w:pPr>
            <w:r>
              <w:t>V</w:t>
            </w:r>
          </w:p>
        </w:tc>
        <w:tc>
          <w:tcPr>
            <w:tcW w:w="224" w:type="dxa"/>
            <w:vAlign w:val="top"/>
          </w:tcPr>
          <w:p w14:paraId="1AC1DE40">
            <w:pPr>
              <w:rPr>
                <w:rFonts w:ascii="Arial"/>
                <w:sz w:val="21"/>
              </w:rPr>
            </w:pPr>
          </w:p>
        </w:tc>
      </w:tr>
    </w:tbl>
    <w:p w14:paraId="1F15C90F">
      <w:pPr>
        <w:tabs>
          <w:tab w:val="left" w:pos="410"/>
        </w:tabs>
        <w:spacing w:before="72" w:line="219" w:lineRule="auto"/>
        <w:rPr>
          <w:rFonts w:ascii="宋体" w:hAnsi="宋体" w:eastAsia="宋体" w:cs="宋体"/>
          <w:sz w:val="18"/>
          <w:szCs w:val="18"/>
        </w:rPr>
      </w:pPr>
      <w:r>
        <w:rPr>
          <w:rFonts w:ascii="宋体" w:hAnsi="宋体" w:eastAsia="宋体" w:cs="宋体"/>
          <w:sz w:val="18"/>
          <w:szCs w:val="18"/>
        </w:rPr>
        <w:tab/>
      </w:r>
      <w:r>
        <w:rPr>
          <w:rFonts w:ascii="宋体" w:hAnsi="宋体" w:eastAsia="宋体" w:cs="宋体"/>
          <w:spacing w:val="-2"/>
          <w:sz w:val="18"/>
          <w:szCs w:val="18"/>
        </w:rPr>
        <w:t xml:space="preserve">项目三：合理营养与平衡膳食                   </w:t>
      </w:r>
    </w:p>
    <w:p w14:paraId="610CFC47">
      <w:pPr>
        <w:spacing w:line="41" w:lineRule="auto"/>
        <w:rPr>
          <w:rFonts w:ascii="Arial"/>
          <w:sz w:val="2"/>
        </w:rPr>
      </w:pPr>
    </w:p>
    <w:tbl>
      <w:tblPr>
        <w:tblStyle w:val="5"/>
        <w:tblW w:w="4119" w:type="dxa"/>
        <w:tblInd w:w="6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24"/>
        <w:gridCol w:w="219"/>
        <w:gridCol w:w="229"/>
        <w:gridCol w:w="230"/>
        <w:gridCol w:w="224"/>
      </w:tblGrid>
      <w:tr w14:paraId="31AB14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8" w:hRule="atLeast"/>
        </w:trPr>
        <w:tc>
          <w:tcPr>
            <w:tcW w:w="893" w:type="dxa"/>
            <w:vMerge w:val="restart"/>
            <w:tcBorders>
              <w:top w:val="single" w:color="000000" w:sz="2" w:space="0"/>
              <w:bottom w:val="nil"/>
            </w:tcBorders>
            <w:vAlign w:val="top"/>
          </w:tcPr>
          <w:p w14:paraId="5A1F22C7">
            <w:pPr>
              <w:pStyle w:val="6"/>
              <w:spacing w:before="65" w:line="226" w:lineRule="auto"/>
              <w:ind w:left="266" w:right="25" w:hanging="249"/>
            </w:pPr>
            <w:r>
              <w:rPr>
                <w:b/>
                <w:bCs/>
                <w:spacing w:val="-4"/>
              </w:rPr>
              <w:t>知识与技能</w:t>
            </w:r>
            <w:r>
              <w:t xml:space="preserve"> </w:t>
            </w:r>
            <w:r>
              <w:rPr>
                <w:b/>
                <w:bCs/>
                <w:spacing w:val="-4"/>
              </w:rPr>
              <w:t>要点</w:t>
            </w:r>
          </w:p>
        </w:tc>
        <w:tc>
          <w:tcPr>
            <w:tcW w:w="2324" w:type="dxa"/>
            <w:vMerge w:val="restart"/>
            <w:tcBorders>
              <w:top w:val="single" w:color="000000" w:sz="2" w:space="0"/>
              <w:bottom w:val="nil"/>
            </w:tcBorders>
            <w:vAlign w:val="top"/>
          </w:tcPr>
          <w:p w14:paraId="57666653">
            <w:pPr>
              <w:pStyle w:val="6"/>
              <w:spacing w:before="164" w:line="219" w:lineRule="auto"/>
              <w:ind w:left="814"/>
            </w:pPr>
            <w:r>
              <w:rPr>
                <w:b/>
                <w:bCs/>
                <w:spacing w:val="5"/>
              </w:rPr>
              <w:t>考试条目</w:t>
            </w:r>
          </w:p>
        </w:tc>
        <w:tc>
          <w:tcPr>
            <w:tcW w:w="902" w:type="dxa"/>
            <w:gridSpan w:val="4"/>
            <w:tcBorders>
              <w:top w:val="single" w:color="000000" w:sz="2" w:space="0"/>
              <w:bottom w:val="single" w:color="000000" w:sz="2" w:space="0"/>
            </w:tcBorders>
            <w:vAlign w:val="top"/>
          </w:tcPr>
          <w:p w14:paraId="72BEDD2A">
            <w:pPr>
              <w:pStyle w:val="6"/>
              <w:spacing w:before="54" w:line="219" w:lineRule="auto"/>
              <w:ind w:left="120"/>
            </w:pPr>
            <w:r>
              <w:rPr>
                <w:b/>
                <w:bCs/>
                <w:spacing w:val="-4"/>
              </w:rPr>
              <w:t>考试水平</w:t>
            </w:r>
          </w:p>
        </w:tc>
      </w:tr>
      <w:tr w14:paraId="061475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4" w:hRule="atLeast"/>
        </w:trPr>
        <w:tc>
          <w:tcPr>
            <w:tcW w:w="893" w:type="dxa"/>
            <w:vMerge w:val="continue"/>
            <w:tcBorders>
              <w:top w:val="nil"/>
              <w:bottom w:val="single" w:color="000000" w:sz="2" w:space="0"/>
            </w:tcBorders>
            <w:vAlign w:val="top"/>
          </w:tcPr>
          <w:p w14:paraId="4063E7D2">
            <w:pPr>
              <w:rPr>
                <w:rFonts w:ascii="Arial"/>
                <w:sz w:val="21"/>
              </w:rPr>
            </w:pPr>
          </w:p>
        </w:tc>
        <w:tc>
          <w:tcPr>
            <w:tcW w:w="2324" w:type="dxa"/>
            <w:vMerge w:val="continue"/>
            <w:tcBorders>
              <w:top w:val="nil"/>
              <w:bottom w:val="single" w:color="000000" w:sz="2" w:space="0"/>
            </w:tcBorders>
            <w:vAlign w:val="top"/>
          </w:tcPr>
          <w:p w14:paraId="2C47A60F">
            <w:pPr>
              <w:rPr>
                <w:rFonts w:ascii="Arial"/>
                <w:sz w:val="21"/>
              </w:rPr>
            </w:pPr>
          </w:p>
        </w:tc>
        <w:tc>
          <w:tcPr>
            <w:tcW w:w="219" w:type="dxa"/>
            <w:tcBorders>
              <w:top w:val="single" w:color="000000" w:sz="2" w:space="0"/>
              <w:bottom w:val="single" w:color="000000" w:sz="2" w:space="0"/>
            </w:tcBorders>
            <w:vAlign w:val="top"/>
          </w:tcPr>
          <w:p w14:paraId="316389C7">
            <w:pPr>
              <w:pStyle w:val="6"/>
              <w:spacing w:before="66" w:line="137" w:lineRule="exact"/>
              <w:ind w:left="57"/>
            </w:pPr>
            <w:r>
              <w:rPr>
                <w:position w:val="-2"/>
              </w:rPr>
              <w:t>A</w:t>
            </w:r>
          </w:p>
        </w:tc>
        <w:tc>
          <w:tcPr>
            <w:tcW w:w="229" w:type="dxa"/>
            <w:tcBorders>
              <w:top w:val="single" w:color="000000" w:sz="2" w:space="0"/>
              <w:bottom w:val="single" w:color="000000" w:sz="2" w:space="0"/>
            </w:tcBorders>
            <w:vAlign w:val="top"/>
          </w:tcPr>
          <w:p w14:paraId="42EE4BCA">
            <w:pPr>
              <w:pStyle w:val="6"/>
              <w:spacing w:before="68" w:line="135" w:lineRule="exact"/>
              <w:ind w:left="19"/>
            </w:pPr>
            <w:r>
              <w:rPr>
                <w:position w:val="-2"/>
              </w:rPr>
              <w:t>B</w:t>
            </w:r>
          </w:p>
        </w:tc>
        <w:tc>
          <w:tcPr>
            <w:tcW w:w="230" w:type="dxa"/>
            <w:tcBorders>
              <w:top w:val="single" w:color="000000" w:sz="2" w:space="0"/>
              <w:bottom w:val="single" w:color="000000" w:sz="2" w:space="0"/>
            </w:tcBorders>
            <w:vAlign w:val="top"/>
          </w:tcPr>
          <w:p w14:paraId="3A3A5900">
            <w:pPr>
              <w:pStyle w:val="6"/>
              <w:spacing w:before="67" w:line="136" w:lineRule="exact"/>
              <w:ind w:left="20"/>
            </w:pPr>
            <w:r>
              <w:rPr>
                <w:position w:val="-2"/>
              </w:rPr>
              <w:t>C</w:t>
            </w:r>
          </w:p>
        </w:tc>
        <w:tc>
          <w:tcPr>
            <w:tcW w:w="224" w:type="dxa"/>
            <w:tcBorders>
              <w:top w:val="single" w:color="000000" w:sz="2" w:space="0"/>
              <w:bottom w:val="single" w:color="000000" w:sz="2" w:space="0"/>
            </w:tcBorders>
            <w:vAlign w:val="top"/>
          </w:tcPr>
          <w:p w14:paraId="6D1EBFEA">
            <w:pPr>
              <w:pStyle w:val="6"/>
              <w:spacing w:before="68" w:line="135" w:lineRule="exact"/>
              <w:ind w:left="20"/>
            </w:pPr>
            <w:r>
              <w:rPr>
                <w:position w:val="-2"/>
              </w:rPr>
              <w:t>D</w:t>
            </w:r>
          </w:p>
        </w:tc>
      </w:tr>
      <w:tr w14:paraId="164CEC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86" w:hRule="atLeast"/>
        </w:trPr>
        <w:tc>
          <w:tcPr>
            <w:tcW w:w="893" w:type="dxa"/>
            <w:tcBorders>
              <w:top w:val="single" w:color="000000" w:sz="2" w:space="0"/>
              <w:bottom w:val="single" w:color="000000" w:sz="2" w:space="0"/>
            </w:tcBorders>
            <w:vAlign w:val="top"/>
          </w:tcPr>
          <w:p w14:paraId="04062663">
            <w:pPr>
              <w:spacing w:line="307" w:lineRule="auto"/>
              <w:rPr>
                <w:rFonts w:ascii="Arial"/>
                <w:sz w:val="21"/>
              </w:rPr>
            </w:pPr>
          </w:p>
          <w:p w14:paraId="2A12E1D6">
            <w:pPr>
              <w:pStyle w:val="6"/>
              <w:spacing w:before="55" w:line="221" w:lineRule="auto"/>
              <w:ind w:left="94"/>
            </w:pPr>
            <w:r>
              <w:rPr>
                <w:spacing w:val="-2"/>
              </w:rPr>
              <w:t>认识热能</w:t>
            </w:r>
          </w:p>
        </w:tc>
        <w:tc>
          <w:tcPr>
            <w:tcW w:w="2324" w:type="dxa"/>
            <w:tcBorders>
              <w:top w:val="single" w:color="000000" w:sz="2" w:space="0"/>
              <w:bottom w:val="single" w:color="000000" w:sz="2" w:space="0"/>
            </w:tcBorders>
            <w:vAlign w:val="top"/>
          </w:tcPr>
          <w:p w14:paraId="3ADFB13B">
            <w:pPr>
              <w:pStyle w:val="6"/>
              <w:spacing w:before="44" w:line="218" w:lineRule="auto"/>
              <w:ind w:left="21" w:hanging="9"/>
            </w:pPr>
            <w:r>
              <w:rPr>
                <w:spacing w:val="-17"/>
              </w:rPr>
              <w:t>1.热量的来源及</w:t>
            </w:r>
            <w:r>
              <w:rPr>
                <w:spacing w:val="-16"/>
              </w:rPr>
              <w:t>用途、单位及换</w:t>
            </w:r>
            <w:r>
              <w:rPr>
                <w:spacing w:val="-8"/>
              </w:rPr>
              <w:t>算</w:t>
            </w:r>
            <w:r>
              <w:rPr>
                <w:spacing w:val="6"/>
              </w:rPr>
              <w:t xml:space="preserve"> </w:t>
            </w:r>
            <w:r>
              <w:rPr>
                <w:spacing w:val="-2"/>
              </w:rPr>
              <w:t>2.热能的计算</w:t>
            </w:r>
          </w:p>
          <w:p w14:paraId="06170008">
            <w:pPr>
              <w:pStyle w:val="6"/>
              <w:spacing w:before="26" w:line="219" w:lineRule="auto"/>
              <w:ind w:left="31" w:right="151" w:firstLine="100"/>
            </w:pPr>
            <w:r>
              <w:rPr>
                <w:spacing w:val="-1"/>
              </w:rPr>
              <w:t>3.热量与运动、减肥健身之</w:t>
            </w:r>
            <w:r>
              <w:rPr>
                <w:spacing w:val="1"/>
              </w:rPr>
              <w:t xml:space="preserve"> </w:t>
            </w:r>
            <w:r>
              <w:rPr>
                <w:spacing w:val="3"/>
              </w:rPr>
              <w:t>间的关系</w:t>
            </w:r>
          </w:p>
        </w:tc>
        <w:tc>
          <w:tcPr>
            <w:tcW w:w="219" w:type="dxa"/>
            <w:tcBorders>
              <w:top w:val="single" w:color="000000" w:sz="2" w:space="0"/>
              <w:bottom w:val="single" w:color="000000" w:sz="2" w:space="0"/>
            </w:tcBorders>
            <w:vAlign w:val="top"/>
          </w:tcPr>
          <w:p w14:paraId="094B76C9">
            <w:pPr>
              <w:pStyle w:val="6"/>
              <w:spacing w:before="61" w:line="238" w:lineRule="auto"/>
              <w:ind w:left="18"/>
            </w:pPr>
            <w:r>
              <w:t>√</w:t>
            </w:r>
          </w:p>
        </w:tc>
        <w:tc>
          <w:tcPr>
            <w:tcW w:w="229" w:type="dxa"/>
            <w:tcBorders>
              <w:top w:val="single" w:color="000000" w:sz="2" w:space="0"/>
              <w:bottom w:val="single" w:color="000000" w:sz="2" w:space="0"/>
            </w:tcBorders>
            <w:vAlign w:val="top"/>
          </w:tcPr>
          <w:p w14:paraId="5384C7D2">
            <w:pPr>
              <w:rPr>
                <w:rFonts w:ascii="Arial"/>
                <w:sz w:val="21"/>
              </w:rPr>
            </w:pPr>
          </w:p>
        </w:tc>
        <w:tc>
          <w:tcPr>
            <w:tcW w:w="230" w:type="dxa"/>
            <w:tcBorders>
              <w:top w:val="single" w:color="000000" w:sz="2" w:space="0"/>
              <w:bottom w:val="single" w:color="000000" w:sz="2" w:space="0"/>
            </w:tcBorders>
            <w:vAlign w:val="top"/>
          </w:tcPr>
          <w:p w14:paraId="3AE14B68">
            <w:pPr>
              <w:rPr>
                <w:rFonts w:ascii="Arial"/>
                <w:sz w:val="21"/>
              </w:rPr>
            </w:pPr>
          </w:p>
        </w:tc>
        <w:tc>
          <w:tcPr>
            <w:tcW w:w="224" w:type="dxa"/>
            <w:tcBorders>
              <w:top w:val="single" w:color="000000" w:sz="2" w:space="0"/>
              <w:bottom w:val="single" w:color="000000" w:sz="2" w:space="0"/>
            </w:tcBorders>
            <w:vAlign w:val="top"/>
          </w:tcPr>
          <w:p w14:paraId="135C035D">
            <w:pPr>
              <w:rPr>
                <w:rFonts w:ascii="Arial"/>
                <w:sz w:val="21"/>
              </w:rPr>
            </w:pPr>
          </w:p>
        </w:tc>
      </w:tr>
    </w:tbl>
    <w:p w14:paraId="619D0E65">
      <w:pPr>
        <w:pStyle w:val="2"/>
        <w:spacing w:line="14" w:lineRule="auto"/>
        <w:rPr>
          <w:sz w:val="2"/>
        </w:rPr>
      </w:pPr>
    </w:p>
    <w:p w14:paraId="73D4ED85">
      <w:pPr>
        <w:spacing w:line="14" w:lineRule="auto"/>
        <w:rPr>
          <w:sz w:val="2"/>
          <w:szCs w:val="2"/>
        </w:rPr>
        <w:sectPr>
          <w:type w:val="continuous"/>
          <w:pgSz w:w="10660" w:h="15080"/>
          <w:pgMar w:top="400" w:right="679" w:bottom="925" w:left="1034" w:header="0" w:footer="705" w:gutter="0"/>
          <w:cols w:equalWidth="0" w:num="2">
            <w:col w:w="4435" w:space="100"/>
            <w:col w:w="4411"/>
          </w:cols>
        </w:sectPr>
      </w:pPr>
    </w:p>
    <w:p w14:paraId="2F42377F">
      <w:pPr>
        <w:spacing w:before="10"/>
      </w:pPr>
    </w:p>
    <w:p w14:paraId="2EE73014">
      <w:pPr>
        <w:spacing w:before="10"/>
      </w:pPr>
    </w:p>
    <w:p w14:paraId="4AF882BE">
      <w:pPr>
        <w:spacing w:before="10"/>
      </w:pPr>
    </w:p>
    <w:p w14:paraId="6DDC84EC">
      <w:pPr>
        <w:spacing w:before="9"/>
      </w:pPr>
    </w:p>
    <w:p w14:paraId="267AB7F5">
      <w:pPr>
        <w:sectPr>
          <w:footerReference r:id="rId58" w:type="default"/>
          <w:pgSz w:w="10660" w:h="15080"/>
          <w:pgMar w:top="400" w:right="959" w:bottom="925" w:left="809" w:header="0" w:footer="705" w:gutter="0"/>
          <w:cols w:equalWidth="0" w:num="1">
            <w:col w:w="8891"/>
          </w:cols>
        </w:sectPr>
      </w:pPr>
    </w:p>
    <w:p w14:paraId="736EAEFC">
      <w:pPr>
        <w:spacing w:line="103" w:lineRule="auto"/>
        <w:rPr>
          <w:rFonts w:ascii="Arial"/>
          <w:sz w:val="2"/>
        </w:rPr>
      </w:pPr>
    </w:p>
    <w:tbl>
      <w:tblPr>
        <w:tblStyle w:val="5"/>
        <w:tblW w:w="4119" w:type="dxa"/>
        <w:tblInd w:w="9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14"/>
        <w:gridCol w:w="230"/>
        <w:gridCol w:w="229"/>
        <w:gridCol w:w="229"/>
        <w:gridCol w:w="224"/>
      </w:tblGrid>
      <w:tr w14:paraId="294452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90" w:hRule="atLeast"/>
        </w:trPr>
        <w:tc>
          <w:tcPr>
            <w:tcW w:w="893" w:type="dxa"/>
            <w:vAlign w:val="top"/>
          </w:tcPr>
          <w:p w14:paraId="149D8B52">
            <w:pPr>
              <w:pStyle w:val="6"/>
              <w:spacing w:before="283" w:line="220" w:lineRule="auto"/>
              <w:ind w:left="74"/>
              <w:rPr>
                <w:sz w:val="18"/>
                <w:szCs w:val="18"/>
              </w:rPr>
            </w:pPr>
            <w:r>
              <w:rPr>
                <w:spacing w:val="4"/>
                <w:sz w:val="18"/>
                <w:szCs w:val="18"/>
              </w:rPr>
              <w:t>认识“中</w:t>
            </w:r>
          </w:p>
          <w:p w14:paraId="72A477B6">
            <w:pPr>
              <w:pStyle w:val="6"/>
              <w:spacing w:before="5" w:line="220" w:lineRule="auto"/>
              <w:ind w:left="74"/>
              <w:rPr>
                <w:sz w:val="18"/>
                <w:szCs w:val="18"/>
              </w:rPr>
            </w:pPr>
            <w:r>
              <w:rPr>
                <w:spacing w:val="2"/>
                <w:sz w:val="18"/>
                <w:szCs w:val="18"/>
              </w:rPr>
              <w:t>国居民平</w:t>
            </w:r>
          </w:p>
          <w:p w14:paraId="5DE635CB">
            <w:pPr>
              <w:pStyle w:val="6"/>
              <w:spacing w:before="5" w:line="220" w:lineRule="auto"/>
              <w:ind w:left="74"/>
              <w:rPr>
                <w:sz w:val="18"/>
                <w:szCs w:val="18"/>
              </w:rPr>
            </w:pPr>
            <w:r>
              <w:rPr>
                <w:spacing w:val="-2"/>
                <w:sz w:val="18"/>
                <w:szCs w:val="18"/>
              </w:rPr>
              <w:t>衡膳食宝</w:t>
            </w:r>
          </w:p>
          <w:p w14:paraId="3CF5849B">
            <w:pPr>
              <w:pStyle w:val="6"/>
              <w:spacing w:before="7" w:line="221" w:lineRule="auto"/>
              <w:ind w:left="344"/>
              <w:rPr>
                <w:sz w:val="18"/>
                <w:szCs w:val="18"/>
              </w:rPr>
            </w:pPr>
            <w:r>
              <w:rPr>
                <w:sz w:val="18"/>
                <w:szCs w:val="18"/>
              </w:rPr>
              <w:t>塔</w:t>
            </w:r>
          </w:p>
        </w:tc>
        <w:tc>
          <w:tcPr>
            <w:tcW w:w="2314" w:type="dxa"/>
            <w:vAlign w:val="top"/>
          </w:tcPr>
          <w:p w14:paraId="1A2F4FA2">
            <w:pPr>
              <w:pStyle w:val="6"/>
              <w:spacing w:before="72" w:line="224" w:lineRule="auto"/>
              <w:ind w:left="2" w:right="339"/>
              <w:jc w:val="both"/>
              <w:rPr>
                <w:sz w:val="18"/>
                <w:szCs w:val="18"/>
              </w:rPr>
            </w:pPr>
            <w:r>
              <w:rPr>
                <w:sz w:val="18"/>
                <w:szCs w:val="18"/>
              </w:rPr>
              <w:t>1.合理营养的基本要求</w:t>
            </w:r>
            <w:r>
              <w:rPr>
                <w:spacing w:val="3"/>
                <w:sz w:val="18"/>
                <w:szCs w:val="18"/>
              </w:rPr>
              <w:t xml:space="preserve">  </w:t>
            </w:r>
            <w:r>
              <w:rPr>
                <w:spacing w:val="-1"/>
                <w:sz w:val="18"/>
                <w:szCs w:val="18"/>
              </w:rPr>
              <w:t>2.平衡膳食的基本理论</w:t>
            </w:r>
            <w:r>
              <w:rPr>
                <w:sz w:val="18"/>
                <w:szCs w:val="18"/>
              </w:rPr>
              <w:t xml:space="preserve">   </w:t>
            </w:r>
            <w:r>
              <w:rPr>
                <w:spacing w:val="-2"/>
                <w:sz w:val="18"/>
                <w:szCs w:val="18"/>
              </w:rPr>
              <w:t>3.《中国居民膳食指南》</w:t>
            </w:r>
            <w:r>
              <w:rPr>
                <w:spacing w:val="5"/>
                <w:sz w:val="18"/>
                <w:szCs w:val="18"/>
              </w:rPr>
              <w:t xml:space="preserve"> </w:t>
            </w:r>
            <w:r>
              <w:rPr>
                <w:sz w:val="18"/>
                <w:szCs w:val="18"/>
              </w:rPr>
              <w:t>(2022)的内容解读</w:t>
            </w:r>
          </w:p>
          <w:p w14:paraId="1B0888AC">
            <w:pPr>
              <w:pStyle w:val="6"/>
              <w:spacing w:before="6" w:line="220" w:lineRule="auto"/>
              <w:jc w:val="right"/>
              <w:rPr>
                <w:sz w:val="18"/>
                <w:szCs w:val="18"/>
              </w:rPr>
            </w:pPr>
            <w:r>
              <w:rPr>
                <w:spacing w:val="-3"/>
                <w:sz w:val="18"/>
                <w:szCs w:val="18"/>
              </w:rPr>
              <w:t>4.《中国居民平衡膳食宝塔》</w:t>
            </w:r>
          </w:p>
          <w:p w14:paraId="2E091CAA">
            <w:pPr>
              <w:pStyle w:val="6"/>
              <w:spacing w:before="5" w:line="212" w:lineRule="auto"/>
              <w:ind w:left="2"/>
              <w:rPr>
                <w:sz w:val="18"/>
                <w:szCs w:val="18"/>
              </w:rPr>
            </w:pPr>
            <w:r>
              <w:rPr>
                <w:spacing w:val="1"/>
                <w:sz w:val="18"/>
                <w:szCs w:val="18"/>
              </w:rPr>
              <w:t>(2022)应用指导</w:t>
            </w:r>
          </w:p>
        </w:tc>
        <w:tc>
          <w:tcPr>
            <w:tcW w:w="230" w:type="dxa"/>
            <w:vAlign w:val="top"/>
          </w:tcPr>
          <w:p w14:paraId="15BC9923">
            <w:pPr>
              <w:rPr>
                <w:rFonts w:ascii="Arial"/>
                <w:sz w:val="21"/>
              </w:rPr>
            </w:pPr>
          </w:p>
        </w:tc>
        <w:tc>
          <w:tcPr>
            <w:tcW w:w="229" w:type="dxa"/>
            <w:vAlign w:val="top"/>
          </w:tcPr>
          <w:p w14:paraId="0E34C9F1">
            <w:pPr>
              <w:rPr>
                <w:rFonts w:ascii="Arial"/>
                <w:sz w:val="21"/>
              </w:rPr>
            </w:pPr>
          </w:p>
        </w:tc>
        <w:tc>
          <w:tcPr>
            <w:tcW w:w="229" w:type="dxa"/>
            <w:vAlign w:val="top"/>
          </w:tcPr>
          <w:p w14:paraId="2807DAFC">
            <w:pPr>
              <w:rPr>
                <w:rFonts w:ascii="Arial"/>
                <w:sz w:val="21"/>
              </w:rPr>
            </w:pPr>
          </w:p>
        </w:tc>
        <w:tc>
          <w:tcPr>
            <w:tcW w:w="224" w:type="dxa"/>
            <w:vAlign w:val="top"/>
          </w:tcPr>
          <w:p w14:paraId="37321D1B">
            <w:pPr>
              <w:rPr>
                <w:rFonts w:ascii="Arial"/>
                <w:sz w:val="21"/>
              </w:rPr>
            </w:pPr>
          </w:p>
        </w:tc>
      </w:tr>
      <w:tr w14:paraId="3CB13F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30" w:hRule="atLeast"/>
        </w:trPr>
        <w:tc>
          <w:tcPr>
            <w:tcW w:w="893" w:type="dxa"/>
            <w:vAlign w:val="top"/>
          </w:tcPr>
          <w:p w14:paraId="0F2D174D">
            <w:pPr>
              <w:spacing w:line="341" w:lineRule="auto"/>
              <w:rPr>
                <w:rFonts w:ascii="Arial"/>
                <w:sz w:val="21"/>
              </w:rPr>
            </w:pPr>
          </w:p>
          <w:p w14:paraId="658FF21B">
            <w:pPr>
              <w:pStyle w:val="6"/>
              <w:spacing w:before="59" w:line="219" w:lineRule="auto"/>
              <w:ind w:left="74"/>
              <w:rPr>
                <w:sz w:val="18"/>
                <w:szCs w:val="18"/>
              </w:rPr>
            </w:pPr>
            <w:r>
              <w:rPr>
                <w:spacing w:val="-2"/>
                <w:sz w:val="18"/>
                <w:szCs w:val="18"/>
              </w:rPr>
              <w:t>认识各类</w:t>
            </w:r>
          </w:p>
          <w:p w14:paraId="481EDCB2">
            <w:pPr>
              <w:pStyle w:val="6"/>
              <w:spacing w:before="6" w:line="219" w:lineRule="auto"/>
              <w:ind w:left="74"/>
              <w:rPr>
                <w:sz w:val="18"/>
                <w:szCs w:val="18"/>
              </w:rPr>
            </w:pPr>
            <w:r>
              <w:rPr>
                <w:spacing w:val="-2"/>
                <w:sz w:val="18"/>
                <w:szCs w:val="18"/>
              </w:rPr>
              <w:t>特殊人群</w:t>
            </w:r>
          </w:p>
          <w:p w14:paraId="080A79B5">
            <w:pPr>
              <w:pStyle w:val="6"/>
              <w:spacing w:before="6" w:line="220" w:lineRule="auto"/>
              <w:ind w:left="74"/>
              <w:rPr>
                <w:sz w:val="18"/>
                <w:szCs w:val="18"/>
              </w:rPr>
            </w:pPr>
            <w:r>
              <w:rPr>
                <w:spacing w:val="2"/>
                <w:sz w:val="18"/>
                <w:szCs w:val="18"/>
              </w:rPr>
              <w:t>的膳食营</w:t>
            </w:r>
          </w:p>
          <w:p w14:paraId="156B0E83">
            <w:pPr>
              <w:pStyle w:val="6"/>
              <w:spacing w:before="5" w:line="219" w:lineRule="auto"/>
              <w:ind w:left="165"/>
              <w:rPr>
                <w:sz w:val="18"/>
                <w:szCs w:val="18"/>
              </w:rPr>
            </w:pPr>
            <w:r>
              <w:rPr>
                <w:spacing w:val="5"/>
                <w:sz w:val="18"/>
                <w:szCs w:val="18"/>
              </w:rPr>
              <w:t>养特点</w:t>
            </w:r>
          </w:p>
        </w:tc>
        <w:tc>
          <w:tcPr>
            <w:tcW w:w="2314" w:type="dxa"/>
            <w:vAlign w:val="top"/>
          </w:tcPr>
          <w:p w14:paraId="613069B5">
            <w:pPr>
              <w:pStyle w:val="6"/>
              <w:spacing w:before="81" w:line="226" w:lineRule="auto"/>
              <w:ind w:left="2" w:right="665"/>
              <w:rPr>
                <w:sz w:val="18"/>
                <w:szCs w:val="18"/>
              </w:rPr>
            </w:pPr>
            <w:r>
              <w:rPr>
                <w:spacing w:val="1"/>
                <w:sz w:val="18"/>
                <w:szCs w:val="18"/>
              </w:rPr>
              <w:t>1.幼儿膳食营养特点</w:t>
            </w:r>
            <w:r>
              <w:rPr>
                <w:spacing w:val="5"/>
                <w:sz w:val="18"/>
                <w:szCs w:val="18"/>
              </w:rPr>
              <w:t xml:space="preserve"> </w:t>
            </w:r>
            <w:r>
              <w:rPr>
                <w:spacing w:val="1"/>
                <w:sz w:val="18"/>
                <w:szCs w:val="18"/>
              </w:rPr>
              <w:t>2.老人膳食营养特点</w:t>
            </w:r>
          </w:p>
          <w:p w14:paraId="10C44F44">
            <w:pPr>
              <w:pStyle w:val="6"/>
              <w:spacing w:before="1" w:line="225" w:lineRule="auto"/>
              <w:ind w:left="2" w:right="152"/>
              <w:rPr>
                <w:sz w:val="18"/>
                <w:szCs w:val="18"/>
              </w:rPr>
            </w:pPr>
            <w:r>
              <w:rPr>
                <w:spacing w:val="-1"/>
                <w:sz w:val="18"/>
                <w:szCs w:val="18"/>
              </w:rPr>
              <w:t>3.高血压和冠心病病人的膳</w:t>
            </w:r>
            <w:r>
              <w:rPr>
                <w:spacing w:val="1"/>
                <w:sz w:val="18"/>
                <w:szCs w:val="18"/>
              </w:rPr>
              <w:t xml:space="preserve"> </w:t>
            </w:r>
            <w:r>
              <w:rPr>
                <w:spacing w:val="3"/>
                <w:sz w:val="18"/>
                <w:szCs w:val="18"/>
              </w:rPr>
              <w:t>食营养特点</w:t>
            </w:r>
          </w:p>
          <w:p w14:paraId="1DC14A10">
            <w:pPr>
              <w:pStyle w:val="6"/>
              <w:spacing w:before="2" w:line="224" w:lineRule="auto"/>
              <w:ind w:left="2"/>
              <w:rPr>
                <w:sz w:val="18"/>
                <w:szCs w:val="18"/>
              </w:rPr>
            </w:pPr>
            <w:r>
              <w:rPr>
                <w:spacing w:val="-3"/>
                <w:sz w:val="18"/>
                <w:szCs w:val="18"/>
              </w:rPr>
              <w:t>4.糖尿病病人的膳食营养特点</w:t>
            </w:r>
            <w:r>
              <w:rPr>
                <w:spacing w:val="2"/>
                <w:sz w:val="18"/>
                <w:szCs w:val="18"/>
              </w:rPr>
              <w:t xml:space="preserve"> </w:t>
            </w:r>
            <w:r>
              <w:rPr>
                <w:sz w:val="18"/>
                <w:szCs w:val="18"/>
              </w:rPr>
              <w:t xml:space="preserve">5.消化性溃疡病人的膳食营  </w:t>
            </w:r>
            <w:r>
              <w:rPr>
                <w:spacing w:val="2"/>
                <w:sz w:val="18"/>
                <w:szCs w:val="18"/>
              </w:rPr>
              <w:t>养特点</w:t>
            </w:r>
          </w:p>
        </w:tc>
        <w:tc>
          <w:tcPr>
            <w:tcW w:w="230" w:type="dxa"/>
            <w:vAlign w:val="top"/>
          </w:tcPr>
          <w:p w14:paraId="7F978DF2">
            <w:pPr>
              <w:rPr>
                <w:rFonts w:ascii="Arial"/>
                <w:sz w:val="21"/>
              </w:rPr>
            </w:pPr>
          </w:p>
        </w:tc>
        <w:tc>
          <w:tcPr>
            <w:tcW w:w="229" w:type="dxa"/>
            <w:vAlign w:val="top"/>
          </w:tcPr>
          <w:p w14:paraId="7918FEAB">
            <w:pPr>
              <w:rPr>
                <w:rFonts w:ascii="Arial"/>
                <w:sz w:val="21"/>
              </w:rPr>
            </w:pPr>
          </w:p>
        </w:tc>
        <w:tc>
          <w:tcPr>
            <w:tcW w:w="229" w:type="dxa"/>
            <w:vAlign w:val="top"/>
          </w:tcPr>
          <w:p w14:paraId="0AA6383D">
            <w:pPr>
              <w:rPr>
                <w:rFonts w:ascii="Arial"/>
                <w:sz w:val="21"/>
              </w:rPr>
            </w:pPr>
          </w:p>
        </w:tc>
        <w:tc>
          <w:tcPr>
            <w:tcW w:w="224" w:type="dxa"/>
            <w:vAlign w:val="top"/>
          </w:tcPr>
          <w:p w14:paraId="38EFEC9D">
            <w:pPr>
              <w:rPr>
                <w:rFonts w:ascii="Arial"/>
                <w:sz w:val="21"/>
              </w:rPr>
            </w:pPr>
          </w:p>
        </w:tc>
      </w:tr>
    </w:tbl>
    <w:p w14:paraId="3E3ABD68">
      <w:pPr>
        <w:spacing w:before="72" w:line="219" w:lineRule="auto"/>
        <w:ind w:left="450"/>
        <w:rPr>
          <w:rFonts w:ascii="宋体" w:hAnsi="宋体" w:eastAsia="宋体" w:cs="宋体"/>
          <w:sz w:val="17"/>
          <w:szCs w:val="17"/>
        </w:rPr>
      </w:pPr>
      <w:r>
        <w:rPr>
          <w:rFonts w:ascii="宋体" w:hAnsi="宋体" w:eastAsia="宋体" w:cs="宋体"/>
          <w:spacing w:val="-1"/>
          <w:sz w:val="17"/>
          <w:szCs w:val="17"/>
        </w:rPr>
        <w:t>项目四：食品安全管理</w:t>
      </w:r>
    </w:p>
    <w:p w14:paraId="5E793337">
      <w:pPr>
        <w:spacing w:line="16" w:lineRule="exact"/>
      </w:pPr>
    </w:p>
    <w:tbl>
      <w:tblPr>
        <w:tblStyle w:val="5"/>
        <w:tblW w:w="4119" w:type="dxa"/>
        <w:tblInd w:w="9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83"/>
        <w:gridCol w:w="2314"/>
        <w:gridCol w:w="229"/>
        <w:gridCol w:w="230"/>
        <w:gridCol w:w="229"/>
        <w:gridCol w:w="234"/>
      </w:tblGrid>
      <w:tr w14:paraId="2A48DD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4" w:hRule="atLeast"/>
        </w:trPr>
        <w:tc>
          <w:tcPr>
            <w:tcW w:w="883" w:type="dxa"/>
            <w:vMerge w:val="restart"/>
            <w:tcBorders>
              <w:bottom w:val="nil"/>
            </w:tcBorders>
            <w:vAlign w:val="top"/>
          </w:tcPr>
          <w:p w14:paraId="480F0DDE">
            <w:pPr>
              <w:pStyle w:val="6"/>
              <w:spacing w:before="111" w:line="220" w:lineRule="auto"/>
              <w:ind w:left="266" w:right="25" w:hanging="259"/>
            </w:pPr>
            <w:r>
              <w:rPr>
                <w:b/>
                <w:bCs/>
                <w:spacing w:val="-4"/>
              </w:rPr>
              <w:t>知识与技能</w:t>
            </w:r>
            <w:r>
              <w:t xml:space="preserve"> </w:t>
            </w:r>
            <w:r>
              <w:rPr>
                <w:b/>
                <w:bCs/>
                <w:spacing w:val="-4"/>
              </w:rPr>
              <w:t>要点</w:t>
            </w:r>
          </w:p>
        </w:tc>
        <w:tc>
          <w:tcPr>
            <w:tcW w:w="2314" w:type="dxa"/>
            <w:vMerge w:val="restart"/>
            <w:tcBorders>
              <w:bottom w:val="nil"/>
            </w:tcBorders>
            <w:vAlign w:val="top"/>
          </w:tcPr>
          <w:p w14:paraId="4BE91B89">
            <w:pPr>
              <w:pStyle w:val="6"/>
              <w:spacing w:before="219" w:line="219" w:lineRule="auto"/>
              <w:ind w:left="844"/>
            </w:pPr>
            <w:r>
              <w:rPr>
                <w:b/>
                <w:bCs/>
                <w:spacing w:val="5"/>
              </w:rPr>
              <w:t>考试条目</w:t>
            </w:r>
          </w:p>
        </w:tc>
        <w:tc>
          <w:tcPr>
            <w:tcW w:w="922" w:type="dxa"/>
            <w:gridSpan w:val="4"/>
            <w:vAlign w:val="top"/>
          </w:tcPr>
          <w:p w14:paraId="1BD7D3D4">
            <w:pPr>
              <w:pStyle w:val="6"/>
              <w:spacing w:before="49" w:line="219" w:lineRule="auto"/>
              <w:ind w:left="150"/>
            </w:pPr>
            <w:r>
              <w:rPr>
                <w:b/>
                <w:bCs/>
                <w:spacing w:val="-4"/>
              </w:rPr>
              <w:t>考试水平</w:t>
            </w:r>
          </w:p>
        </w:tc>
      </w:tr>
      <w:tr w14:paraId="22339F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9" w:hRule="atLeast"/>
        </w:trPr>
        <w:tc>
          <w:tcPr>
            <w:tcW w:w="883" w:type="dxa"/>
            <w:vMerge w:val="continue"/>
            <w:tcBorders>
              <w:top w:val="nil"/>
            </w:tcBorders>
            <w:vAlign w:val="top"/>
          </w:tcPr>
          <w:p w14:paraId="3C428702">
            <w:pPr>
              <w:rPr>
                <w:rFonts w:ascii="Arial"/>
                <w:sz w:val="21"/>
              </w:rPr>
            </w:pPr>
          </w:p>
        </w:tc>
        <w:tc>
          <w:tcPr>
            <w:tcW w:w="2314" w:type="dxa"/>
            <w:vMerge w:val="continue"/>
            <w:tcBorders>
              <w:top w:val="nil"/>
            </w:tcBorders>
            <w:vAlign w:val="top"/>
          </w:tcPr>
          <w:p w14:paraId="26A341E4">
            <w:pPr>
              <w:rPr>
                <w:rFonts w:ascii="Arial"/>
                <w:sz w:val="21"/>
              </w:rPr>
            </w:pPr>
          </w:p>
        </w:tc>
        <w:tc>
          <w:tcPr>
            <w:tcW w:w="229" w:type="dxa"/>
            <w:vAlign w:val="top"/>
          </w:tcPr>
          <w:p w14:paraId="4A8F2B62">
            <w:pPr>
              <w:pStyle w:val="6"/>
              <w:spacing w:before="120" w:line="184" w:lineRule="auto"/>
              <w:ind w:left="70"/>
            </w:pPr>
            <w:r>
              <w:rPr>
                <w:b/>
                <w:bCs/>
                <w:spacing w:val="-2"/>
              </w:rPr>
              <w:t>A</w:t>
            </w:r>
          </w:p>
        </w:tc>
        <w:tc>
          <w:tcPr>
            <w:tcW w:w="230" w:type="dxa"/>
            <w:vAlign w:val="top"/>
          </w:tcPr>
          <w:p w14:paraId="0E4C5E01">
            <w:pPr>
              <w:pStyle w:val="6"/>
              <w:spacing w:before="122" w:line="182" w:lineRule="auto"/>
              <w:ind w:left="21"/>
            </w:pPr>
            <w:r>
              <w:rPr>
                <w:b/>
                <w:bCs/>
                <w:spacing w:val="-2"/>
              </w:rPr>
              <w:t>B</w:t>
            </w:r>
          </w:p>
        </w:tc>
        <w:tc>
          <w:tcPr>
            <w:tcW w:w="229" w:type="dxa"/>
            <w:vAlign w:val="top"/>
          </w:tcPr>
          <w:p w14:paraId="344CF0B2">
            <w:pPr>
              <w:pStyle w:val="6"/>
              <w:spacing w:before="120" w:line="183" w:lineRule="auto"/>
              <w:jc w:val="right"/>
            </w:pPr>
            <w:r>
              <w:rPr>
                <w:b/>
                <w:bCs/>
                <w:spacing w:val="-10"/>
              </w:rPr>
              <w:t>C</w:t>
            </w:r>
          </w:p>
        </w:tc>
        <w:tc>
          <w:tcPr>
            <w:tcW w:w="234" w:type="dxa"/>
            <w:vAlign w:val="top"/>
          </w:tcPr>
          <w:p w14:paraId="23E8B088">
            <w:pPr>
              <w:pStyle w:val="6"/>
              <w:spacing w:before="122" w:line="182" w:lineRule="auto"/>
              <w:ind w:left="22"/>
            </w:pPr>
            <w:r>
              <w:rPr>
                <w:b/>
                <w:bCs/>
                <w:spacing w:val="-2"/>
              </w:rPr>
              <w:t>D</w:t>
            </w:r>
          </w:p>
        </w:tc>
      </w:tr>
      <w:tr w14:paraId="133DA8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78" w:hRule="atLeast"/>
        </w:trPr>
        <w:tc>
          <w:tcPr>
            <w:tcW w:w="883" w:type="dxa"/>
            <w:vAlign w:val="top"/>
          </w:tcPr>
          <w:p w14:paraId="6EAE7934">
            <w:pPr>
              <w:pStyle w:val="6"/>
              <w:spacing w:before="159" w:line="218" w:lineRule="auto"/>
              <w:ind w:left="264" w:right="104" w:hanging="170"/>
            </w:pPr>
            <w:r>
              <w:rPr>
                <w:spacing w:val="-2"/>
              </w:rPr>
              <w:t>食品安全</w:t>
            </w:r>
            <w:r>
              <w:t xml:space="preserve"> </w:t>
            </w:r>
            <w:r>
              <w:rPr>
                <w:spacing w:val="-3"/>
              </w:rPr>
              <w:t>管理</w:t>
            </w:r>
          </w:p>
        </w:tc>
        <w:tc>
          <w:tcPr>
            <w:tcW w:w="2314" w:type="dxa"/>
            <w:vAlign w:val="top"/>
          </w:tcPr>
          <w:p w14:paraId="45897E30">
            <w:pPr>
              <w:pStyle w:val="6"/>
              <w:spacing w:before="149" w:line="236" w:lineRule="auto"/>
              <w:ind w:left="12" w:right="755"/>
            </w:pPr>
            <w:r>
              <w:t>1.食品安全管理概述</w:t>
            </w:r>
            <w:r>
              <w:rPr>
                <w:spacing w:val="5"/>
              </w:rPr>
              <w:t xml:space="preserve"> </w:t>
            </w:r>
            <w:r>
              <w:rPr>
                <w:spacing w:val="-1"/>
              </w:rPr>
              <w:t>2.食品安全管理含义</w:t>
            </w:r>
          </w:p>
        </w:tc>
        <w:tc>
          <w:tcPr>
            <w:tcW w:w="229" w:type="dxa"/>
            <w:vAlign w:val="top"/>
          </w:tcPr>
          <w:p w14:paraId="57C217DA">
            <w:pPr>
              <w:pStyle w:val="6"/>
              <w:spacing w:before="170" w:line="238" w:lineRule="auto"/>
              <w:ind w:left="48"/>
              <w:rPr>
                <w:sz w:val="13"/>
                <w:szCs w:val="13"/>
              </w:rPr>
            </w:pPr>
            <w:r>
              <w:rPr>
                <w:sz w:val="13"/>
                <w:szCs w:val="13"/>
              </w:rPr>
              <w:t>√</w:t>
            </w:r>
          </w:p>
        </w:tc>
        <w:tc>
          <w:tcPr>
            <w:tcW w:w="230" w:type="dxa"/>
            <w:vAlign w:val="top"/>
          </w:tcPr>
          <w:p w14:paraId="0D3491A7">
            <w:pPr>
              <w:rPr>
                <w:rFonts w:ascii="Arial"/>
                <w:sz w:val="21"/>
              </w:rPr>
            </w:pPr>
          </w:p>
        </w:tc>
        <w:tc>
          <w:tcPr>
            <w:tcW w:w="229" w:type="dxa"/>
            <w:vAlign w:val="top"/>
          </w:tcPr>
          <w:p w14:paraId="166698CC">
            <w:pPr>
              <w:spacing w:line="328" w:lineRule="auto"/>
              <w:rPr>
                <w:rFonts w:ascii="Arial"/>
                <w:sz w:val="21"/>
              </w:rPr>
            </w:pPr>
          </w:p>
          <w:p w14:paraId="67EAFA47">
            <w:pPr>
              <w:pStyle w:val="6"/>
              <w:spacing w:before="56" w:line="238" w:lineRule="auto"/>
              <w:jc w:val="right"/>
            </w:pPr>
            <w:r>
              <w:rPr>
                <w:spacing w:val="-49"/>
              </w:rPr>
              <w:t>√</w:t>
            </w:r>
          </w:p>
        </w:tc>
        <w:tc>
          <w:tcPr>
            <w:tcW w:w="234" w:type="dxa"/>
            <w:vAlign w:val="top"/>
          </w:tcPr>
          <w:p w14:paraId="59CE7F20">
            <w:pPr>
              <w:rPr>
                <w:rFonts w:ascii="Arial"/>
                <w:sz w:val="21"/>
              </w:rPr>
            </w:pPr>
          </w:p>
        </w:tc>
      </w:tr>
      <w:tr w14:paraId="2B0CAA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78" w:hRule="atLeast"/>
        </w:trPr>
        <w:tc>
          <w:tcPr>
            <w:tcW w:w="883" w:type="dxa"/>
            <w:vAlign w:val="top"/>
          </w:tcPr>
          <w:p w14:paraId="22FFB5B3">
            <w:pPr>
              <w:pStyle w:val="6"/>
              <w:spacing w:before="31" w:line="220" w:lineRule="auto"/>
              <w:ind w:left="94"/>
            </w:pPr>
            <w:r>
              <w:rPr>
                <w:spacing w:val="4"/>
              </w:rPr>
              <w:t>认识食品</w:t>
            </w:r>
          </w:p>
          <w:p w14:paraId="6BF29A0D">
            <w:pPr>
              <w:pStyle w:val="6"/>
              <w:spacing w:before="58" w:line="204" w:lineRule="auto"/>
              <w:ind w:left="264" w:right="174" w:hanging="90"/>
            </w:pPr>
            <w:r>
              <w:rPr>
                <w:spacing w:val="4"/>
              </w:rPr>
              <w:t>污染的</w:t>
            </w:r>
            <w:r>
              <w:t xml:space="preserve"> </w:t>
            </w:r>
            <w:r>
              <w:rPr>
                <w:spacing w:val="-2"/>
              </w:rPr>
              <w:t>种类</w:t>
            </w:r>
          </w:p>
        </w:tc>
        <w:tc>
          <w:tcPr>
            <w:tcW w:w="2314" w:type="dxa"/>
            <w:vAlign w:val="top"/>
          </w:tcPr>
          <w:p w14:paraId="54FFC4D9">
            <w:pPr>
              <w:pStyle w:val="6"/>
              <w:spacing w:before="171" w:line="219" w:lineRule="auto"/>
              <w:ind w:left="12"/>
            </w:pPr>
            <w:r>
              <w:t>1.食品污染概述</w:t>
            </w:r>
          </w:p>
          <w:p w14:paraId="268A3D22">
            <w:pPr>
              <w:pStyle w:val="6"/>
              <w:spacing w:before="8" w:line="219" w:lineRule="auto"/>
              <w:ind w:left="12"/>
            </w:pPr>
            <w:r>
              <w:rPr>
                <w:spacing w:val="1"/>
              </w:rPr>
              <w:t>2.食品污染分类及特点</w:t>
            </w:r>
          </w:p>
        </w:tc>
        <w:tc>
          <w:tcPr>
            <w:tcW w:w="229" w:type="dxa"/>
            <w:vAlign w:val="top"/>
          </w:tcPr>
          <w:p w14:paraId="7FB7F958">
            <w:pPr>
              <w:pStyle w:val="6"/>
              <w:spacing w:before="162" w:line="238" w:lineRule="auto"/>
              <w:ind w:left="48"/>
              <w:rPr>
                <w:sz w:val="13"/>
                <w:szCs w:val="13"/>
              </w:rPr>
            </w:pPr>
            <w:r>
              <w:rPr>
                <w:sz w:val="13"/>
                <w:szCs w:val="13"/>
              </w:rPr>
              <w:t>√</w:t>
            </w:r>
          </w:p>
        </w:tc>
        <w:tc>
          <w:tcPr>
            <w:tcW w:w="230" w:type="dxa"/>
            <w:vAlign w:val="top"/>
          </w:tcPr>
          <w:p w14:paraId="65EC7D07">
            <w:pPr>
              <w:rPr>
                <w:rFonts w:ascii="Arial"/>
                <w:sz w:val="21"/>
              </w:rPr>
            </w:pPr>
          </w:p>
        </w:tc>
        <w:tc>
          <w:tcPr>
            <w:tcW w:w="229" w:type="dxa"/>
            <w:vAlign w:val="top"/>
          </w:tcPr>
          <w:p w14:paraId="051D16BF">
            <w:pPr>
              <w:rPr>
                <w:rFonts w:ascii="Arial"/>
                <w:sz w:val="21"/>
              </w:rPr>
            </w:pPr>
          </w:p>
        </w:tc>
        <w:tc>
          <w:tcPr>
            <w:tcW w:w="234" w:type="dxa"/>
            <w:vAlign w:val="top"/>
          </w:tcPr>
          <w:p w14:paraId="0CF31E9C">
            <w:pPr>
              <w:spacing w:line="338" w:lineRule="auto"/>
              <w:rPr>
                <w:rFonts w:ascii="Arial"/>
                <w:sz w:val="21"/>
              </w:rPr>
            </w:pPr>
          </w:p>
          <w:p w14:paraId="56C1E254">
            <w:pPr>
              <w:pStyle w:val="6"/>
              <w:spacing w:before="42" w:line="238" w:lineRule="auto"/>
              <w:ind w:left="19"/>
              <w:rPr>
                <w:sz w:val="13"/>
                <w:szCs w:val="13"/>
              </w:rPr>
            </w:pPr>
            <w:r>
              <w:rPr>
                <w:sz w:val="13"/>
                <w:szCs w:val="13"/>
              </w:rPr>
              <w:t>√</w:t>
            </w:r>
          </w:p>
        </w:tc>
      </w:tr>
      <w:tr w14:paraId="7F577B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58" w:hRule="atLeast"/>
        </w:trPr>
        <w:tc>
          <w:tcPr>
            <w:tcW w:w="883" w:type="dxa"/>
            <w:vAlign w:val="top"/>
          </w:tcPr>
          <w:p w14:paraId="275DAE23">
            <w:pPr>
              <w:pStyle w:val="6"/>
              <w:spacing w:before="54" w:line="215" w:lineRule="auto"/>
              <w:ind w:left="94" w:right="80"/>
              <w:jc w:val="both"/>
            </w:pPr>
            <w:r>
              <w:rPr>
                <w:spacing w:val="4"/>
              </w:rPr>
              <w:t>认识食品</w:t>
            </w:r>
            <w:r>
              <w:t xml:space="preserve"> </w:t>
            </w:r>
            <w:r>
              <w:rPr>
                <w:spacing w:val="-2"/>
              </w:rPr>
              <w:t>污染危害</w:t>
            </w:r>
            <w:r>
              <w:t xml:space="preserve"> </w:t>
            </w:r>
            <w:r>
              <w:rPr>
                <w:spacing w:val="31"/>
              </w:rPr>
              <w:t>及防治</w:t>
            </w:r>
          </w:p>
        </w:tc>
        <w:tc>
          <w:tcPr>
            <w:tcW w:w="2314" w:type="dxa"/>
            <w:vAlign w:val="top"/>
          </w:tcPr>
          <w:p w14:paraId="44FC12AA">
            <w:pPr>
              <w:pStyle w:val="6"/>
              <w:spacing w:before="152" w:line="230" w:lineRule="auto"/>
              <w:ind w:left="12" w:right="40" w:firstLine="29"/>
            </w:pPr>
            <w:r>
              <w:t>1.食品污染对人体健康的危害</w:t>
            </w:r>
            <w:r>
              <w:rPr>
                <w:spacing w:val="10"/>
              </w:rPr>
              <w:t xml:space="preserve"> </w:t>
            </w:r>
            <w:r>
              <w:rPr>
                <w:spacing w:val="-1"/>
              </w:rPr>
              <w:t>2.食品污染的预防</w:t>
            </w:r>
          </w:p>
        </w:tc>
        <w:tc>
          <w:tcPr>
            <w:tcW w:w="229" w:type="dxa"/>
            <w:vAlign w:val="top"/>
          </w:tcPr>
          <w:p w14:paraId="735BD706">
            <w:pPr>
              <w:pStyle w:val="6"/>
              <w:spacing w:before="154" w:line="238" w:lineRule="auto"/>
              <w:ind w:left="48"/>
              <w:rPr>
                <w:sz w:val="13"/>
                <w:szCs w:val="13"/>
              </w:rPr>
            </w:pPr>
            <w:r>
              <w:rPr>
                <w:sz w:val="13"/>
                <w:szCs w:val="13"/>
              </w:rPr>
              <w:t>√</w:t>
            </w:r>
          </w:p>
        </w:tc>
        <w:tc>
          <w:tcPr>
            <w:tcW w:w="230" w:type="dxa"/>
            <w:vAlign w:val="top"/>
          </w:tcPr>
          <w:p w14:paraId="7DD7C378">
            <w:pPr>
              <w:rPr>
                <w:rFonts w:ascii="Arial"/>
                <w:sz w:val="21"/>
              </w:rPr>
            </w:pPr>
          </w:p>
        </w:tc>
        <w:tc>
          <w:tcPr>
            <w:tcW w:w="229" w:type="dxa"/>
            <w:vAlign w:val="top"/>
          </w:tcPr>
          <w:p w14:paraId="08988FEA">
            <w:pPr>
              <w:rPr>
                <w:rFonts w:ascii="Arial"/>
                <w:sz w:val="21"/>
              </w:rPr>
            </w:pPr>
          </w:p>
        </w:tc>
        <w:tc>
          <w:tcPr>
            <w:tcW w:w="234" w:type="dxa"/>
            <w:vAlign w:val="top"/>
          </w:tcPr>
          <w:p w14:paraId="4CE28392">
            <w:pPr>
              <w:spacing w:line="310" w:lineRule="auto"/>
              <w:rPr>
                <w:rFonts w:ascii="Arial"/>
                <w:sz w:val="21"/>
              </w:rPr>
            </w:pPr>
          </w:p>
          <w:p w14:paraId="035A5CDD">
            <w:pPr>
              <w:pStyle w:val="6"/>
              <w:spacing w:before="42" w:line="238" w:lineRule="auto"/>
              <w:ind w:left="19"/>
              <w:rPr>
                <w:sz w:val="13"/>
                <w:szCs w:val="13"/>
              </w:rPr>
            </w:pPr>
            <w:r>
              <w:rPr>
                <w:sz w:val="13"/>
                <w:szCs w:val="13"/>
              </w:rPr>
              <w:t>√</w:t>
            </w:r>
          </w:p>
        </w:tc>
      </w:tr>
      <w:tr w14:paraId="46CF60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33" w:hRule="atLeast"/>
        </w:trPr>
        <w:tc>
          <w:tcPr>
            <w:tcW w:w="883" w:type="dxa"/>
            <w:vAlign w:val="top"/>
          </w:tcPr>
          <w:p w14:paraId="7C03EF85">
            <w:pPr>
              <w:pStyle w:val="6"/>
              <w:spacing w:before="54" w:line="234" w:lineRule="auto"/>
              <w:ind w:left="94" w:right="80"/>
              <w:jc w:val="both"/>
            </w:pPr>
            <w:r>
              <w:rPr>
                <w:spacing w:val="4"/>
              </w:rPr>
              <w:t>认识食品</w:t>
            </w:r>
            <w:r>
              <w:t xml:space="preserve"> </w:t>
            </w:r>
            <w:r>
              <w:rPr>
                <w:spacing w:val="3"/>
              </w:rPr>
              <w:t>安全法与</w:t>
            </w:r>
            <w:r>
              <w:t xml:space="preserve"> </w:t>
            </w:r>
            <w:r>
              <w:rPr>
                <w:spacing w:val="-2"/>
              </w:rPr>
              <w:t>食品安全</w:t>
            </w:r>
            <w:r>
              <w:t xml:space="preserve"> </w:t>
            </w:r>
            <w:r>
              <w:rPr>
                <w:spacing w:val="2"/>
              </w:rPr>
              <w:t>管理制度</w:t>
            </w:r>
          </w:p>
        </w:tc>
        <w:tc>
          <w:tcPr>
            <w:tcW w:w="2314" w:type="dxa"/>
            <w:vAlign w:val="top"/>
          </w:tcPr>
          <w:p w14:paraId="5C02EEE8">
            <w:pPr>
              <w:pStyle w:val="6"/>
              <w:spacing w:before="175" w:line="232" w:lineRule="auto"/>
              <w:ind w:left="12" w:right="251"/>
              <w:jc w:val="both"/>
            </w:pPr>
            <w:r>
              <w:t xml:space="preserve">1.《中华人民共和国食品安 </w:t>
            </w:r>
            <w:r>
              <w:rPr>
                <w:spacing w:val="-1"/>
              </w:rPr>
              <w:t>全法》的颁布、修订及意义</w:t>
            </w:r>
            <w:r>
              <w:rPr>
                <w:spacing w:val="4"/>
              </w:rPr>
              <w:t xml:space="preserve"> </w:t>
            </w:r>
            <w:r>
              <w:rPr>
                <w:spacing w:val="-1"/>
              </w:rPr>
              <w:t>2.食品安全管理制度</w:t>
            </w:r>
          </w:p>
        </w:tc>
        <w:tc>
          <w:tcPr>
            <w:tcW w:w="229" w:type="dxa"/>
            <w:vAlign w:val="top"/>
          </w:tcPr>
          <w:p w14:paraId="1314488C">
            <w:pPr>
              <w:rPr>
                <w:rFonts w:ascii="Arial"/>
                <w:sz w:val="21"/>
              </w:rPr>
            </w:pPr>
          </w:p>
        </w:tc>
        <w:tc>
          <w:tcPr>
            <w:tcW w:w="230" w:type="dxa"/>
            <w:vAlign w:val="top"/>
          </w:tcPr>
          <w:p w14:paraId="10A235A6">
            <w:pPr>
              <w:rPr>
                <w:rFonts w:ascii="Arial"/>
                <w:sz w:val="21"/>
              </w:rPr>
            </w:pPr>
          </w:p>
        </w:tc>
        <w:tc>
          <w:tcPr>
            <w:tcW w:w="229" w:type="dxa"/>
            <w:vAlign w:val="top"/>
          </w:tcPr>
          <w:p w14:paraId="14AFBB34">
            <w:pPr>
              <w:rPr>
                <w:rFonts w:ascii="Arial"/>
                <w:sz w:val="21"/>
              </w:rPr>
            </w:pPr>
          </w:p>
        </w:tc>
        <w:tc>
          <w:tcPr>
            <w:tcW w:w="234" w:type="dxa"/>
            <w:vAlign w:val="top"/>
          </w:tcPr>
          <w:p w14:paraId="473996C4">
            <w:pPr>
              <w:rPr>
                <w:rFonts w:ascii="Arial"/>
                <w:sz w:val="21"/>
              </w:rPr>
            </w:pPr>
          </w:p>
        </w:tc>
      </w:tr>
    </w:tbl>
    <w:p w14:paraId="08ABAD40">
      <w:pPr>
        <w:spacing w:before="69" w:line="221" w:lineRule="auto"/>
        <w:ind w:left="103"/>
        <w:rPr>
          <w:rFonts w:ascii="黑体" w:hAnsi="黑体" w:eastAsia="黑体" w:cs="黑体"/>
          <w:sz w:val="23"/>
          <w:szCs w:val="23"/>
        </w:rPr>
      </w:pPr>
      <w:r>
        <w:rPr>
          <w:rFonts w:ascii="黑体" w:hAnsi="黑体" w:eastAsia="黑体" w:cs="黑体"/>
          <w:b/>
          <w:bCs/>
          <w:spacing w:val="-7"/>
          <w:sz w:val="23"/>
          <w:szCs w:val="23"/>
        </w:rPr>
        <w:t>四、考试形式和试卷结构</w:t>
      </w:r>
    </w:p>
    <w:p w14:paraId="4058BEE4">
      <w:pPr>
        <w:spacing w:before="87" w:line="219" w:lineRule="auto"/>
        <w:ind w:left="430"/>
        <w:rPr>
          <w:rFonts w:ascii="宋体" w:hAnsi="宋体" w:eastAsia="宋体" w:cs="宋体"/>
          <w:sz w:val="17"/>
          <w:szCs w:val="17"/>
        </w:rPr>
      </w:pPr>
      <w:r>
        <w:rPr>
          <w:rFonts w:ascii="宋体" w:hAnsi="宋体" w:eastAsia="宋体" w:cs="宋体"/>
          <w:spacing w:val="-4"/>
          <w:sz w:val="17"/>
          <w:szCs w:val="17"/>
        </w:rPr>
        <w:t>1. 考核形式：</w:t>
      </w:r>
    </w:p>
    <w:p w14:paraId="0E976F93">
      <w:pPr>
        <w:spacing w:before="87" w:line="219" w:lineRule="auto"/>
        <w:ind w:left="430"/>
        <w:rPr>
          <w:rFonts w:ascii="宋体" w:hAnsi="宋体" w:eastAsia="宋体" w:cs="宋体"/>
          <w:sz w:val="17"/>
          <w:szCs w:val="17"/>
        </w:rPr>
      </w:pPr>
      <w:r>
        <w:rPr>
          <w:rFonts w:ascii="宋体" w:hAnsi="宋体" w:eastAsia="宋体" w:cs="宋体"/>
          <w:spacing w:val="2"/>
          <w:sz w:val="17"/>
          <w:szCs w:val="17"/>
        </w:rPr>
        <w:t>考试采用闭卷笔答方式。考试时间为150分钟。</w:t>
      </w:r>
    </w:p>
    <w:p w14:paraId="7E176EB2">
      <w:pPr>
        <w:spacing w:before="99" w:line="220" w:lineRule="auto"/>
        <w:ind w:left="430"/>
        <w:rPr>
          <w:rFonts w:ascii="宋体" w:hAnsi="宋体" w:eastAsia="宋体" w:cs="宋体"/>
          <w:sz w:val="17"/>
          <w:szCs w:val="17"/>
        </w:rPr>
      </w:pPr>
      <w:r>
        <w:rPr>
          <w:rFonts w:ascii="宋体" w:hAnsi="宋体" w:eastAsia="宋体" w:cs="宋体"/>
          <w:spacing w:val="-4"/>
          <w:sz w:val="17"/>
          <w:szCs w:val="17"/>
        </w:rPr>
        <w:t>2. 试卷结构：</w:t>
      </w:r>
    </w:p>
    <w:p w14:paraId="6034DFD6">
      <w:pPr>
        <w:spacing w:before="86" w:line="262" w:lineRule="auto"/>
        <w:ind w:left="80" w:right="356" w:firstLine="480"/>
        <w:rPr>
          <w:rFonts w:ascii="宋体" w:hAnsi="宋体" w:eastAsia="宋体" w:cs="宋体"/>
          <w:sz w:val="17"/>
          <w:szCs w:val="17"/>
        </w:rPr>
      </w:pPr>
      <w:r>
        <w:rPr>
          <w:rFonts w:ascii="宋体" w:hAnsi="宋体" w:eastAsia="宋体" w:cs="宋体"/>
          <w:spacing w:val="3"/>
          <w:sz w:val="17"/>
          <w:szCs w:val="17"/>
        </w:rPr>
        <w:t>(1)按知识点分：(不同科目可根据实际情况在5%</w:t>
      </w:r>
      <w:r>
        <w:rPr>
          <w:rFonts w:ascii="宋体" w:hAnsi="宋体" w:eastAsia="宋体" w:cs="宋体"/>
          <w:sz w:val="17"/>
          <w:szCs w:val="17"/>
        </w:rPr>
        <w:t xml:space="preserve"> </w:t>
      </w:r>
      <w:r>
        <w:rPr>
          <w:rFonts w:ascii="宋体" w:hAnsi="宋体" w:eastAsia="宋体" w:cs="宋体"/>
          <w:spacing w:val="4"/>
          <w:sz w:val="17"/>
          <w:szCs w:val="17"/>
        </w:rPr>
        <w:t>的比例内增减)</w:t>
      </w:r>
    </w:p>
    <w:p w14:paraId="14B52818">
      <w:pPr>
        <w:spacing w:line="26" w:lineRule="exact"/>
      </w:pPr>
    </w:p>
    <w:tbl>
      <w:tblPr>
        <w:tblStyle w:val="5"/>
        <w:tblW w:w="4130" w:type="dxa"/>
        <w:tblInd w:w="9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93"/>
        <w:gridCol w:w="798"/>
        <w:gridCol w:w="1187"/>
        <w:gridCol w:w="1352"/>
      </w:tblGrid>
      <w:tr w14:paraId="356D8E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9" w:hRule="atLeast"/>
        </w:trPr>
        <w:tc>
          <w:tcPr>
            <w:tcW w:w="793" w:type="dxa"/>
            <w:vAlign w:val="top"/>
          </w:tcPr>
          <w:p w14:paraId="73225CF5">
            <w:pPr>
              <w:pStyle w:val="6"/>
              <w:spacing w:before="29" w:line="215" w:lineRule="auto"/>
              <w:ind w:left="117"/>
              <w:rPr>
                <w:sz w:val="18"/>
                <w:szCs w:val="18"/>
              </w:rPr>
            </w:pPr>
            <w:r>
              <w:rPr>
                <w:b/>
                <w:bCs/>
                <w:spacing w:val="-5"/>
                <w:sz w:val="18"/>
                <w:szCs w:val="18"/>
              </w:rPr>
              <w:t>百分比</w:t>
            </w:r>
          </w:p>
          <w:p w14:paraId="2AC5E9A8">
            <w:pPr>
              <w:pStyle w:val="6"/>
              <w:spacing w:line="194" w:lineRule="auto"/>
              <w:ind w:left="207"/>
              <w:rPr>
                <w:sz w:val="18"/>
                <w:szCs w:val="18"/>
              </w:rPr>
            </w:pPr>
            <w:r>
              <w:rPr>
                <w:b/>
                <w:bCs/>
                <w:spacing w:val="-4"/>
                <w:sz w:val="18"/>
                <w:szCs w:val="18"/>
              </w:rPr>
              <w:t>类别</w:t>
            </w:r>
          </w:p>
        </w:tc>
        <w:tc>
          <w:tcPr>
            <w:tcW w:w="798" w:type="dxa"/>
            <w:vAlign w:val="top"/>
          </w:tcPr>
          <w:p w14:paraId="25F9EEE1">
            <w:pPr>
              <w:pStyle w:val="6"/>
              <w:spacing w:before="177" w:line="183" w:lineRule="auto"/>
              <w:ind w:left="254"/>
              <w:rPr>
                <w:sz w:val="18"/>
                <w:szCs w:val="18"/>
              </w:rPr>
            </w:pPr>
            <w:r>
              <w:rPr>
                <w:b/>
                <w:bCs/>
                <w:spacing w:val="-5"/>
                <w:sz w:val="18"/>
                <w:szCs w:val="18"/>
              </w:rPr>
              <w:t>30%</w:t>
            </w:r>
          </w:p>
        </w:tc>
        <w:tc>
          <w:tcPr>
            <w:tcW w:w="1187" w:type="dxa"/>
            <w:vAlign w:val="top"/>
          </w:tcPr>
          <w:p w14:paraId="2821E995">
            <w:pPr>
              <w:pStyle w:val="6"/>
              <w:spacing w:before="177" w:line="183" w:lineRule="auto"/>
              <w:ind w:left="456"/>
              <w:rPr>
                <w:sz w:val="18"/>
                <w:szCs w:val="18"/>
              </w:rPr>
            </w:pPr>
            <w:r>
              <w:rPr>
                <w:b/>
                <w:bCs/>
                <w:spacing w:val="-5"/>
                <w:sz w:val="18"/>
                <w:szCs w:val="18"/>
              </w:rPr>
              <w:t>35%</w:t>
            </w:r>
          </w:p>
        </w:tc>
        <w:tc>
          <w:tcPr>
            <w:tcW w:w="1352" w:type="dxa"/>
            <w:vAlign w:val="top"/>
          </w:tcPr>
          <w:p w14:paraId="18685B10">
            <w:pPr>
              <w:pStyle w:val="6"/>
              <w:spacing w:before="177" w:line="183" w:lineRule="auto"/>
              <w:ind w:left="539"/>
              <w:rPr>
                <w:sz w:val="18"/>
                <w:szCs w:val="18"/>
              </w:rPr>
            </w:pPr>
            <w:r>
              <w:rPr>
                <w:b/>
                <w:bCs/>
                <w:spacing w:val="-5"/>
                <w:sz w:val="18"/>
                <w:szCs w:val="18"/>
              </w:rPr>
              <w:t>35%</w:t>
            </w:r>
          </w:p>
        </w:tc>
      </w:tr>
      <w:tr w14:paraId="673F16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0" w:hRule="atLeast"/>
        </w:trPr>
        <w:tc>
          <w:tcPr>
            <w:tcW w:w="793" w:type="dxa"/>
            <w:vAlign w:val="top"/>
          </w:tcPr>
          <w:p w14:paraId="7B372DDF">
            <w:pPr>
              <w:pStyle w:val="6"/>
              <w:spacing w:before="101" w:line="220" w:lineRule="auto"/>
              <w:ind w:left="27"/>
              <w:rPr>
                <w:sz w:val="18"/>
                <w:szCs w:val="18"/>
              </w:rPr>
            </w:pPr>
            <w:r>
              <w:rPr>
                <w:b/>
                <w:bCs/>
                <w:spacing w:val="-5"/>
                <w:sz w:val="18"/>
                <w:szCs w:val="18"/>
              </w:rPr>
              <w:t>烹饪专业</w:t>
            </w:r>
          </w:p>
        </w:tc>
        <w:tc>
          <w:tcPr>
            <w:tcW w:w="798" w:type="dxa"/>
            <w:vAlign w:val="top"/>
          </w:tcPr>
          <w:p w14:paraId="65B07D87">
            <w:pPr>
              <w:pStyle w:val="6"/>
              <w:spacing w:before="100" w:line="219" w:lineRule="auto"/>
              <w:ind w:left="34"/>
              <w:rPr>
                <w:sz w:val="18"/>
                <w:szCs w:val="18"/>
              </w:rPr>
            </w:pPr>
            <w:r>
              <w:rPr>
                <w:b/>
                <w:bCs/>
                <w:spacing w:val="-5"/>
                <w:sz w:val="18"/>
                <w:szCs w:val="18"/>
              </w:rPr>
              <w:t>烹饪概论</w:t>
            </w:r>
          </w:p>
        </w:tc>
        <w:tc>
          <w:tcPr>
            <w:tcW w:w="1187" w:type="dxa"/>
            <w:vAlign w:val="top"/>
          </w:tcPr>
          <w:p w14:paraId="755B28C3">
            <w:pPr>
              <w:pStyle w:val="6"/>
              <w:spacing w:before="101" w:line="220" w:lineRule="auto"/>
              <w:ind w:left="46"/>
              <w:rPr>
                <w:sz w:val="18"/>
                <w:szCs w:val="18"/>
              </w:rPr>
            </w:pPr>
            <w:r>
              <w:rPr>
                <w:b/>
                <w:bCs/>
                <w:spacing w:val="-4"/>
                <w:sz w:val="18"/>
                <w:szCs w:val="18"/>
              </w:rPr>
              <w:t>烹饪原料知识</w:t>
            </w:r>
          </w:p>
        </w:tc>
        <w:tc>
          <w:tcPr>
            <w:tcW w:w="1352" w:type="dxa"/>
            <w:vAlign w:val="top"/>
          </w:tcPr>
          <w:p w14:paraId="0D1DD53D">
            <w:pPr>
              <w:pStyle w:val="6"/>
              <w:spacing w:before="100" w:line="219" w:lineRule="auto"/>
              <w:ind w:left="39"/>
              <w:rPr>
                <w:sz w:val="18"/>
                <w:szCs w:val="18"/>
              </w:rPr>
            </w:pPr>
            <w:r>
              <w:rPr>
                <w:b/>
                <w:bCs/>
                <w:spacing w:val="-3"/>
                <w:sz w:val="18"/>
                <w:szCs w:val="18"/>
              </w:rPr>
              <w:t>食品营养与卫生</w:t>
            </w:r>
          </w:p>
        </w:tc>
      </w:tr>
    </w:tbl>
    <w:p w14:paraId="56065691">
      <w:pPr>
        <w:spacing w:before="72" w:line="219" w:lineRule="auto"/>
        <w:ind w:left="500"/>
        <w:rPr>
          <w:rFonts w:ascii="宋体" w:hAnsi="宋体" w:eastAsia="宋体" w:cs="宋体"/>
          <w:sz w:val="19"/>
          <w:szCs w:val="19"/>
        </w:rPr>
      </w:pPr>
      <w:r>
        <w:rPr>
          <w:rFonts w:ascii="宋体" w:hAnsi="宋体" w:eastAsia="宋体" w:cs="宋体"/>
          <w:spacing w:val="1"/>
          <w:sz w:val="19"/>
          <w:szCs w:val="19"/>
        </w:rPr>
        <w:t>(2)按考试水平分：(机动范围±5%)</w:t>
      </w:r>
    </w:p>
    <w:p w14:paraId="0FDA9FDD">
      <w:pPr>
        <w:spacing w:line="34" w:lineRule="auto"/>
        <w:rPr>
          <w:rFonts w:ascii="Arial"/>
          <w:sz w:val="2"/>
        </w:rPr>
      </w:pPr>
    </w:p>
    <w:tbl>
      <w:tblPr>
        <w:tblStyle w:val="5"/>
        <w:tblW w:w="4130" w:type="dxa"/>
        <w:tblInd w:w="9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93"/>
        <w:gridCol w:w="788"/>
        <w:gridCol w:w="938"/>
        <w:gridCol w:w="848"/>
        <w:gridCol w:w="763"/>
      </w:tblGrid>
      <w:tr w14:paraId="6CF14B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9" w:hRule="atLeast"/>
        </w:trPr>
        <w:tc>
          <w:tcPr>
            <w:tcW w:w="793" w:type="dxa"/>
            <w:vAlign w:val="top"/>
          </w:tcPr>
          <w:p w14:paraId="283D21AE">
            <w:pPr>
              <w:pStyle w:val="6"/>
              <w:spacing w:before="110" w:line="220" w:lineRule="auto"/>
              <w:ind w:left="47"/>
            </w:pPr>
            <w:r>
              <w:rPr>
                <w:b/>
                <w:bCs/>
                <w:spacing w:val="-2"/>
              </w:rPr>
              <w:t>目标要求</w:t>
            </w:r>
          </w:p>
        </w:tc>
        <w:tc>
          <w:tcPr>
            <w:tcW w:w="788" w:type="dxa"/>
            <w:vAlign w:val="top"/>
          </w:tcPr>
          <w:p w14:paraId="3F3F5BD5">
            <w:pPr>
              <w:pStyle w:val="6"/>
              <w:spacing w:before="154" w:line="184" w:lineRule="auto"/>
              <w:ind w:left="344"/>
            </w:pPr>
            <w:r>
              <w:rPr>
                <w:b/>
                <w:bCs/>
                <w:spacing w:val="-2"/>
              </w:rPr>
              <w:t>A</w:t>
            </w:r>
          </w:p>
        </w:tc>
        <w:tc>
          <w:tcPr>
            <w:tcW w:w="938" w:type="dxa"/>
            <w:vAlign w:val="top"/>
          </w:tcPr>
          <w:p w14:paraId="09CFE8FB">
            <w:pPr>
              <w:pStyle w:val="6"/>
              <w:spacing w:before="156" w:line="182" w:lineRule="auto"/>
              <w:ind w:left="416"/>
            </w:pPr>
            <w:r>
              <w:rPr>
                <w:b/>
                <w:bCs/>
                <w:spacing w:val="-2"/>
              </w:rPr>
              <w:t>B</w:t>
            </w:r>
          </w:p>
        </w:tc>
        <w:tc>
          <w:tcPr>
            <w:tcW w:w="848" w:type="dxa"/>
            <w:vAlign w:val="top"/>
          </w:tcPr>
          <w:p w14:paraId="758DEE46">
            <w:pPr>
              <w:pStyle w:val="6"/>
              <w:spacing w:before="154" w:line="183" w:lineRule="auto"/>
              <w:ind w:left="378"/>
            </w:pPr>
            <w:r>
              <w:rPr>
                <w:b/>
                <w:bCs/>
                <w:spacing w:val="-2"/>
              </w:rPr>
              <w:t>C</w:t>
            </w:r>
          </w:p>
        </w:tc>
        <w:tc>
          <w:tcPr>
            <w:tcW w:w="763" w:type="dxa"/>
            <w:vAlign w:val="top"/>
          </w:tcPr>
          <w:p w14:paraId="429CFBC9">
            <w:pPr>
              <w:pStyle w:val="6"/>
              <w:spacing w:before="156" w:line="182" w:lineRule="auto"/>
              <w:ind w:left="330"/>
            </w:pPr>
            <w:r>
              <w:rPr>
                <w:b/>
                <w:bCs/>
                <w:spacing w:val="-2"/>
              </w:rPr>
              <w:t>D</w:t>
            </w:r>
          </w:p>
        </w:tc>
      </w:tr>
      <w:tr w14:paraId="0D4D5E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0" w:hRule="atLeast"/>
        </w:trPr>
        <w:tc>
          <w:tcPr>
            <w:tcW w:w="793" w:type="dxa"/>
            <w:vAlign w:val="top"/>
          </w:tcPr>
          <w:p w14:paraId="22C6CF06">
            <w:pPr>
              <w:pStyle w:val="6"/>
              <w:spacing w:before="111" w:line="220" w:lineRule="auto"/>
              <w:ind w:left="137"/>
            </w:pPr>
            <w:r>
              <w:rPr>
                <w:b/>
                <w:bCs/>
                <w:spacing w:val="-5"/>
              </w:rPr>
              <w:t>百分比</w:t>
            </w:r>
          </w:p>
        </w:tc>
        <w:tc>
          <w:tcPr>
            <w:tcW w:w="788" w:type="dxa"/>
            <w:vAlign w:val="top"/>
          </w:tcPr>
          <w:p w14:paraId="17B0FD94">
            <w:pPr>
              <w:pStyle w:val="6"/>
              <w:spacing w:before="155" w:line="183" w:lineRule="auto"/>
              <w:ind w:left="254"/>
            </w:pPr>
            <w:r>
              <w:rPr>
                <w:b/>
                <w:bCs/>
                <w:spacing w:val="-4"/>
              </w:rPr>
              <w:t>40%</w:t>
            </w:r>
          </w:p>
        </w:tc>
        <w:tc>
          <w:tcPr>
            <w:tcW w:w="938" w:type="dxa"/>
            <w:vAlign w:val="top"/>
          </w:tcPr>
          <w:p w14:paraId="7ECE5C54">
            <w:pPr>
              <w:pStyle w:val="6"/>
              <w:spacing w:before="155" w:line="183" w:lineRule="auto"/>
              <w:ind w:left="336"/>
            </w:pPr>
            <w:r>
              <w:rPr>
                <w:b/>
                <w:bCs/>
                <w:spacing w:val="-4"/>
              </w:rPr>
              <w:t>20%</w:t>
            </w:r>
          </w:p>
        </w:tc>
        <w:tc>
          <w:tcPr>
            <w:tcW w:w="848" w:type="dxa"/>
            <w:vAlign w:val="top"/>
          </w:tcPr>
          <w:p w14:paraId="58C018E4">
            <w:pPr>
              <w:pStyle w:val="6"/>
              <w:spacing w:before="155" w:line="183" w:lineRule="auto"/>
              <w:ind w:left="288"/>
            </w:pPr>
            <w:r>
              <w:rPr>
                <w:b/>
                <w:bCs/>
                <w:spacing w:val="-4"/>
              </w:rPr>
              <w:t>20%</w:t>
            </w:r>
          </w:p>
        </w:tc>
        <w:tc>
          <w:tcPr>
            <w:tcW w:w="763" w:type="dxa"/>
            <w:vAlign w:val="top"/>
          </w:tcPr>
          <w:p w14:paraId="180477FC">
            <w:pPr>
              <w:pStyle w:val="6"/>
              <w:spacing w:before="155" w:line="183" w:lineRule="auto"/>
              <w:ind w:left="250"/>
            </w:pPr>
            <w:r>
              <w:rPr>
                <w:b/>
                <w:bCs/>
                <w:spacing w:val="-4"/>
              </w:rPr>
              <w:t>20%</w:t>
            </w:r>
          </w:p>
        </w:tc>
      </w:tr>
    </w:tbl>
    <w:p w14:paraId="23C22B2C">
      <w:pPr>
        <w:spacing w:before="42" w:line="219" w:lineRule="auto"/>
        <w:ind w:left="510"/>
        <w:rPr>
          <w:rFonts w:ascii="宋体" w:hAnsi="宋体" w:eastAsia="宋体" w:cs="宋体"/>
          <w:sz w:val="17"/>
          <w:szCs w:val="17"/>
        </w:rPr>
      </w:pPr>
      <w:r>
        <w:rPr>
          <w:rFonts w:ascii="宋体" w:hAnsi="宋体" w:eastAsia="宋体" w:cs="宋体"/>
          <w:spacing w:val="7"/>
          <w:sz w:val="17"/>
          <w:szCs w:val="17"/>
        </w:rPr>
        <w:t>(3)按题型分：</w:t>
      </w:r>
    </w:p>
    <w:p w14:paraId="186FCDDC">
      <w:pPr>
        <w:spacing w:before="98" w:line="219" w:lineRule="auto"/>
        <w:ind w:left="450"/>
        <w:rPr>
          <w:rFonts w:ascii="宋体" w:hAnsi="宋体" w:eastAsia="宋体" w:cs="宋体"/>
          <w:sz w:val="18"/>
          <w:szCs w:val="18"/>
        </w:rPr>
      </w:pPr>
      <w:r>
        <w:rPr>
          <w:rFonts w:ascii="宋体" w:hAnsi="宋体" w:eastAsia="宋体" w:cs="宋体"/>
          <w:spacing w:val="-2"/>
          <w:sz w:val="18"/>
          <w:szCs w:val="18"/>
        </w:rPr>
        <w:t>第一部分：《烹饪概论》</w:t>
      </w:r>
    </w:p>
    <w:p w14:paraId="74D37CD1">
      <w:pPr>
        <w:spacing w:line="14" w:lineRule="exact"/>
      </w:pPr>
    </w:p>
    <w:tbl>
      <w:tblPr>
        <w:tblStyle w:val="5"/>
        <w:tblW w:w="4119" w:type="dxa"/>
        <w:tblInd w:w="9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03"/>
        <w:gridCol w:w="638"/>
        <w:gridCol w:w="928"/>
        <w:gridCol w:w="958"/>
        <w:gridCol w:w="992"/>
      </w:tblGrid>
      <w:tr w14:paraId="30695A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9" w:hRule="atLeast"/>
        </w:trPr>
        <w:tc>
          <w:tcPr>
            <w:tcW w:w="603" w:type="dxa"/>
            <w:vAlign w:val="top"/>
          </w:tcPr>
          <w:p w14:paraId="4A51CACE">
            <w:pPr>
              <w:pStyle w:val="6"/>
              <w:spacing w:before="131" w:line="221" w:lineRule="auto"/>
              <w:ind w:left="127"/>
            </w:pPr>
            <w:r>
              <w:rPr>
                <w:b/>
                <w:bCs/>
                <w:spacing w:val="-4"/>
              </w:rPr>
              <w:t>题型</w:t>
            </w:r>
          </w:p>
        </w:tc>
        <w:tc>
          <w:tcPr>
            <w:tcW w:w="638" w:type="dxa"/>
            <w:vAlign w:val="top"/>
          </w:tcPr>
          <w:p w14:paraId="3DA825DD">
            <w:pPr>
              <w:pStyle w:val="6"/>
              <w:spacing w:before="130" w:line="221" w:lineRule="auto"/>
              <w:ind w:left="54"/>
            </w:pPr>
            <w:r>
              <w:rPr>
                <w:b/>
                <w:bCs/>
                <w:spacing w:val="-4"/>
              </w:rPr>
              <w:t>选择题</w:t>
            </w:r>
          </w:p>
        </w:tc>
        <w:tc>
          <w:tcPr>
            <w:tcW w:w="928" w:type="dxa"/>
            <w:vAlign w:val="top"/>
          </w:tcPr>
          <w:p w14:paraId="0679014C">
            <w:pPr>
              <w:pStyle w:val="6"/>
              <w:spacing w:before="129" w:line="219" w:lineRule="auto"/>
              <w:ind w:left="206"/>
            </w:pPr>
            <w:r>
              <w:rPr>
                <w:b/>
                <w:bCs/>
                <w:spacing w:val="-4"/>
              </w:rPr>
              <w:t>判断题</w:t>
            </w:r>
          </w:p>
        </w:tc>
        <w:tc>
          <w:tcPr>
            <w:tcW w:w="958" w:type="dxa"/>
            <w:vAlign w:val="top"/>
          </w:tcPr>
          <w:p w14:paraId="658B6AF5">
            <w:pPr>
              <w:pStyle w:val="6"/>
              <w:spacing w:before="128" w:line="219" w:lineRule="auto"/>
              <w:ind w:left="218"/>
            </w:pPr>
            <w:r>
              <w:rPr>
                <w:b/>
                <w:bCs/>
                <w:spacing w:val="-5"/>
              </w:rPr>
              <w:t>简答题</w:t>
            </w:r>
          </w:p>
        </w:tc>
        <w:tc>
          <w:tcPr>
            <w:tcW w:w="992" w:type="dxa"/>
            <w:vAlign w:val="top"/>
          </w:tcPr>
          <w:p w14:paraId="42444014">
            <w:pPr>
              <w:pStyle w:val="6"/>
              <w:spacing w:before="130" w:line="220" w:lineRule="auto"/>
              <w:ind w:left="70"/>
            </w:pPr>
            <w:r>
              <w:rPr>
                <w:b/>
                <w:bCs/>
                <w:spacing w:val="-4"/>
              </w:rPr>
              <w:t>综合分析题</w:t>
            </w:r>
          </w:p>
        </w:tc>
      </w:tr>
      <w:tr w14:paraId="2D6814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0" w:hRule="atLeast"/>
        </w:trPr>
        <w:tc>
          <w:tcPr>
            <w:tcW w:w="603" w:type="dxa"/>
            <w:vAlign w:val="top"/>
          </w:tcPr>
          <w:p w14:paraId="3C06BC87">
            <w:pPr>
              <w:pStyle w:val="6"/>
              <w:spacing w:before="111" w:line="220" w:lineRule="auto"/>
              <w:ind w:left="37"/>
            </w:pPr>
            <w:r>
              <w:rPr>
                <w:b/>
                <w:bCs/>
                <w:spacing w:val="-5"/>
              </w:rPr>
              <w:t>百分比</w:t>
            </w:r>
          </w:p>
        </w:tc>
        <w:tc>
          <w:tcPr>
            <w:tcW w:w="638" w:type="dxa"/>
            <w:vAlign w:val="top"/>
          </w:tcPr>
          <w:p w14:paraId="4F31BD5E">
            <w:pPr>
              <w:pStyle w:val="6"/>
              <w:spacing w:before="155" w:line="183" w:lineRule="auto"/>
              <w:ind w:left="184"/>
            </w:pPr>
            <w:r>
              <w:rPr>
                <w:b/>
                <w:bCs/>
                <w:spacing w:val="-4"/>
              </w:rPr>
              <w:t>40%</w:t>
            </w:r>
          </w:p>
        </w:tc>
        <w:tc>
          <w:tcPr>
            <w:tcW w:w="928" w:type="dxa"/>
            <w:vAlign w:val="top"/>
          </w:tcPr>
          <w:p w14:paraId="1B116E00">
            <w:pPr>
              <w:pStyle w:val="6"/>
              <w:spacing w:before="155" w:line="183" w:lineRule="auto"/>
              <w:ind w:left="326"/>
            </w:pPr>
            <w:r>
              <w:rPr>
                <w:b/>
                <w:bCs/>
                <w:spacing w:val="-4"/>
              </w:rPr>
              <w:t>20%</w:t>
            </w:r>
          </w:p>
        </w:tc>
        <w:tc>
          <w:tcPr>
            <w:tcW w:w="958" w:type="dxa"/>
            <w:vAlign w:val="top"/>
          </w:tcPr>
          <w:p w14:paraId="67E48DD6">
            <w:pPr>
              <w:pStyle w:val="6"/>
              <w:spacing w:before="155" w:line="183" w:lineRule="auto"/>
              <w:ind w:left="348"/>
            </w:pPr>
            <w:r>
              <w:rPr>
                <w:b/>
                <w:bCs/>
                <w:spacing w:val="-4"/>
              </w:rPr>
              <w:t>20%</w:t>
            </w:r>
          </w:p>
        </w:tc>
        <w:tc>
          <w:tcPr>
            <w:tcW w:w="992" w:type="dxa"/>
            <w:vAlign w:val="top"/>
          </w:tcPr>
          <w:p w14:paraId="3DA8F80D">
            <w:pPr>
              <w:pStyle w:val="6"/>
              <w:spacing w:before="155" w:line="183" w:lineRule="auto"/>
              <w:ind w:left="360"/>
            </w:pPr>
            <w:r>
              <w:rPr>
                <w:b/>
                <w:bCs/>
                <w:spacing w:val="-4"/>
              </w:rPr>
              <w:t>20%</w:t>
            </w:r>
          </w:p>
        </w:tc>
      </w:tr>
    </w:tbl>
    <w:p w14:paraId="633423A2">
      <w:pPr>
        <w:spacing w:before="52" w:line="219" w:lineRule="auto"/>
        <w:ind w:left="430"/>
        <w:rPr>
          <w:rFonts w:ascii="宋体" w:hAnsi="宋体" w:eastAsia="宋体" w:cs="宋体"/>
          <w:sz w:val="17"/>
          <w:szCs w:val="17"/>
        </w:rPr>
      </w:pPr>
      <w:r>
        <w:rPr>
          <w:rFonts w:ascii="宋体" w:hAnsi="宋体" w:eastAsia="宋体" w:cs="宋体"/>
          <w:spacing w:val="1"/>
          <w:sz w:val="17"/>
          <w:szCs w:val="17"/>
        </w:rPr>
        <w:t>第二部分：《烹饪原料知识》</w:t>
      </w:r>
    </w:p>
    <w:p w14:paraId="64EFEFC9">
      <w:pPr>
        <w:pStyle w:val="2"/>
        <w:spacing w:line="14" w:lineRule="auto"/>
        <w:rPr>
          <w:sz w:val="2"/>
        </w:rPr>
      </w:pPr>
      <w:r>
        <w:rPr>
          <w:sz w:val="2"/>
          <w:szCs w:val="2"/>
        </w:rPr>
        <w:br w:type="column"/>
      </w:r>
    </w:p>
    <w:tbl>
      <w:tblPr>
        <w:tblStyle w:val="5"/>
        <w:tblW w:w="4140" w:type="dxa"/>
        <w:tblInd w:w="2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93"/>
        <w:gridCol w:w="848"/>
        <w:gridCol w:w="798"/>
        <w:gridCol w:w="728"/>
        <w:gridCol w:w="973"/>
      </w:tblGrid>
      <w:tr w14:paraId="43AC5B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6" w:hRule="atLeast"/>
        </w:trPr>
        <w:tc>
          <w:tcPr>
            <w:tcW w:w="793" w:type="dxa"/>
            <w:tcBorders>
              <w:top w:val="single" w:color="000000" w:sz="2" w:space="0"/>
              <w:bottom w:val="single" w:color="000000" w:sz="2" w:space="0"/>
            </w:tcBorders>
            <w:vAlign w:val="top"/>
          </w:tcPr>
          <w:p w14:paraId="4BF7C273">
            <w:pPr>
              <w:pStyle w:val="6"/>
              <w:spacing w:before="95" w:line="221" w:lineRule="auto"/>
              <w:ind w:left="227"/>
              <w:rPr>
                <w:sz w:val="16"/>
                <w:szCs w:val="16"/>
              </w:rPr>
            </w:pPr>
            <w:r>
              <w:rPr>
                <w:b/>
                <w:bCs/>
                <w:spacing w:val="-4"/>
                <w:sz w:val="16"/>
                <w:szCs w:val="16"/>
              </w:rPr>
              <w:t>题型</w:t>
            </w:r>
          </w:p>
        </w:tc>
        <w:tc>
          <w:tcPr>
            <w:tcW w:w="848" w:type="dxa"/>
            <w:tcBorders>
              <w:top w:val="single" w:color="000000" w:sz="2" w:space="0"/>
              <w:bottom w:val="single" w:color="000000" w:sz="2" w:space="0"/>
            </w:tcBorders>
            <w:vAlign w:val="top"/>
          </w:tcPr>
          <w:p w14:paraId="41091D2C">
            <w:pPr>
              <w:pStyle w:val="6"/>
              <w:spacing w:before="95" w:line="220" w:lineRule="auto"/>
              <w:ind w:left="174"/>
              <w:rPr>
                <w:sz w:val="16"/>
                <w:szCs w:val="16"/>
              </w:rPr>
            </w:pPr>
            <w:r>
              <w:rPr>
                <w:b/>
                <w:bCs/>
                <w:spacing w:val="-3"/>
                <w:sz w:val="16"/>
                <w:szCs w:val="16"/>
              </w:rPr>
              <w:t>选择题</w:t>
            </w:r>
          </w:p>
        </w:tc>
        <w:tc>
          <w:tcPr>
            <w:tcW w:w="798" w:type="dxa"/>
            <w:tcBorders>
              <w:top w:val="single" w:color="000000" w:sz="2" w:space="0"/>
              <w:bottom w:val="single" w:color="000000" w:sz="2" w:space="0"/>
            </w:tcBorders>
            <w:vAlign w:val="top"/>
          </w:tcPr>
          <w:p w14:paraId="625BB1F8">
            <w:pPr>
              <w:pStyle w:val="6"/>
              <w:spacing w:before="93" w:line="219" w:lineRule="auto"/>
              <w:ind w:left="156"/>
              <w:rPr>
                <w:sz w:val="16"/>
                <w:szCs w:val="16"/>
              </w:rPr>
            </w:pPr>
            <w:r>
              <w:rPr>
                <w:b/>
                <w:bCs/>
                <w:spacing w:val="-4"/>
                <w:sz w:val="16"/>
                <w:szCs w:val="16"/>
              </w:rPr>
              <w:t>判断题</w:t>
            </w:r>
          </w:p>
        </w:tc>
        <w:tc>
          <w:tcPr>
            <w:tcW w:w="728" w:type="dxa"/>
            <w:tcBorders>
              <w:top w:val="single" w:color="000000" w:sz="2" w:space="0"/>
              <w:bottom w:val="single" w:color="000000" w:sz="2" w:space="0"/>
            </w:tcBorders>
            <w:vAlign w:val="top"/>
          </w:tcPr>
          <w:p w14:paraId="2CEEA96A">
            <w:pPr>
              <w:pStyle w:val="6"/>
              <w:spacing w:before="93" w:line="218" w:lineRule="auto"/>
              <w:ind w:left="118"/>
              <w:rPr>
                <w:sz w:val="16"/>
                <w:szCs w:val="16"/>
              </w:rPr>
            </w:pPr>
            <w:r>
              <w:rPr>
                <w:b/>
                <w:bCs/>
                <w:spacing w:val="-4"/>
                <w:sz w:val="16"/>
                <w:szCs w:val="16"/>
              </w:rPr>
              <w:t>简答题</w:t>
            </w:r>
          </w:p>
        </w:tc>
        <w:tc>
          <w:tcPr>
            <w:tcW w:w="973" w:type="dxa"/>
            <w:tcBorders>
              <w:top w:val="single" w:color="000000" w:sz="2" w:space="0"/>
              <w:bottom w:val="single" w:color="000000" w:sz="2" w:space="0"/>
            </w:tcBorders>
            <w:vAlign w:val="top"/>
          </w:tcPr>
          <w:p w14:paraId="78B77BF5">
            <w:pPr>
              <w:pStyle w:val="6"/>
              <w:spacing w:before="94" w:line="220" w:lineRule="auto"/>
              <w:ind w:left="80"/>
              <w:rPr>
                <w:sz w:val="16"/>
                <w:szCs w:val="16"/>
              </w:rPr>
            </w:pPr>
            <w:r>
              <w:rPr>
                <w:b/>
                <w:bCs/>
                <w:spacing w:val="-3"/>
                <w:sz w:val="16"/>
                <w:szCs w:val="16"/>
              </w:rPr>
              <w:t>综合分析题</w:t>
            </w:r>
          </w:p>
        </w:tc>
      </w:tr>
      <w:tr w14:paraId="5FAF5C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7" w:hRule="atLeast"/>
        </w:trPr>
        <w:tc>
          <w:tcPr>
            <w:tcW w:w="793" w:type="dxa"/>
            <w:tcBorders>
              <w:top w:val="single" w:color="000000" w:sz="2" w:space="0"/>
              <w:bottom w:val="single" w:color="000000" w:sz="2" w:space="0"/>
            </w:tcBorders>
            <w:vAlign w:val="top"/>
          </w:tcPr>
          <w:p w14:paraId="317E7D44">
            <w:pPr>
              <w:pStyle w:val="6"/>
              <w:spacing w:before="82" w:line="220" w:lineRule="auto"/>
              <w:ind w:left="147"/>
              <w:rPr>
                <w:sz w:val="16"/>
                <w:szCs w:val="16"/>
              </w:rPr>
            </w:pPr>
            <w:r>
              <w:rPr>
                <w:b/>
                <w:bCs/>
                <w:spacing w:val="-5"/>
                <w:sz w:val="16"/>
                <w:szCs w:val="16"/>
              </w:rPr>
              <w:t>百分比</w:t>
            </w:r>
          </w:p>
        </w:tc>
        <w:tc>
          <w:tcPr>
            <w:tcW w:w="848" w:type="dxa"/>
            <w:tcBorders>
              <w:top w:val="single" w:color="000000" w:sz="2" w:space="0"/>
              <w:bottom w:val="single" w:color="000000" w:sz="2" w:space="0"/>
            </w:tcBorders>
            <w:vAlign w:val="top"/>
          </w:tcPr>
          <w:p w14:paraId="6625E69F">
            <w:pPr>
              <w:pStyle w:val="6"/>
              <w:spacing w:before="124" w:line="183" w:lineRule="auto"/>
              <w:ind w:left="294"/>
              <w:rPr>
                <w:sz w:val="16"/>
                <w:szCs w:val="16"/>
              </w:rPr>
            </w:pPr>
            <w:r>
              <w:rPr>
                <w:b/>
                <w:bCs/>
                <w:spacing w:val="-3"/>
                <w:sz w:val="16"/>
                <w:szCs w:val="16"/>
              </w:rPr>
              <w:t>40%</w:t>
            </w:r>
          </w:p>
        </w:tc>
        <w:tc>
          <w:tcPr>
            <w:tcW w:w="798" w:type="dxa"/>
            <w:tcBorders>
              <w:top w:val="single" w:color="000000" w:sz="2" w:space="0"/>
              <w:bottom w:val="single" w:color="000000" w:sz="2" w:space="0"/>
            </w:tcBorders>
            <w:vAlign w:val="top"/>
          </w:tcPr>
          <w:p w14:paraId="4440265C">
            <w:pPr>
              <w:pStyle w:val="6"/>
              <w:spacing w:before="124" w:line="183" w:lineRule="auto"/>
              <w:ind w:left="276"/>
              <w:rPr>
                <w:sz w:val="16"/>
                <w:szCs w:val="16"/>
              </w:rPr>
            </w:pPr>
            <w:r>
              <w:rPr>
                <w:b/>
                <w:bCs/>
                <w:spacing w:val="-4"/>
                <w:sz w:val="16"/>
                <w:szCs w:val="16"/>
              </w:rPr>
              <w:t>20%</w:t>
            </w:r>
          </w:p>
        </w:tc>
        <w:tc>
          <w:tcPr>
            <w:tcW w:w="728" w:type="dxa"/>
            <w:tcBorders>
              <w:top w:val="single" w:color="000000" w:sz="2" w:space="0"/>
              <w:bottom w:val="single" w:color="000000" w:sz="2" w:space="0"/>
            </w:tcBorders>
            <w:vAlign w:val="top"/>
          </w:tcPr>
          <w:p w14:paraId="20889FBB">
            <w:pPr>
              <w:pStyle w:val="6"/>
              <w:spacing w:before="124" w:line="183" w:lineRule="auto"/>
              <w:ind w:left="238"/>
              <w:rPr>
                <w:sz w:val="16"/>
                <w:szCs w:val="16"/>
              </w:rPr>
            </w:pPr>
            <w:r>
              <w:rPr>
                <w:b/>
                <w:bCs/>
                <w:spacing w:val="-4"/>
                <w:sz w:val="16"/>
                <w:szCs w:val="16"/>
              </w:rPr>
              <w:t>20%</w:t>
            </w:r>
          </w:p>
        </w:tc>
        <w:tc>
          <w:tcPr>
            <w:tcW w:w="973" w:type="dxa"/>
            <w:tcBorders>
              <w:top w:val="single" w:color="000000" w:sz="2" w:space="0"/>
              <w:bottom w:val="single" w:color="000000" w:sz="2" w:space="0"/>
            </w:tcBorders>
            <w:vAlign w:val="top"/>
          </w:tcPr>
          <w:p w14:paraId="36D4E4D9">
            <w:pPr>
              <w:pStyle w:val="6"/>
              <w:spacing w:before="124" w:line="183" w:lineRule="auto"/>
              <w:ind w:left="360"/>
              <w:rPr>
                <w:sz w:val="16"/>
                <w:szCs w:val="16"/>
              </w:rPr>
            </w:pPr>
            <w:r>
              <w:rPr>
                <w:b/>
                <w:bCs/>
                <w:spacing w:val="-4"/>
                <w:sz w:val="16"/>
                <w:szCs w:val="16"/>
              </w:rPr>
              <w:t>20%</w:t>
            </w:r>
          </w:p>
        </w:tc>
      </w:tr>
    </w:tbl>
    <w:p w14:paraId="0C73D855">
      <w:pPr>
        <w:spacing w:before="72" w:line="219" w:lineRule="auto"/>
        <w:ind w:left="380"/>
        <w:rPr>
          <w:rFonts w:ascii="宋体" w:hAnsi="宋体" w:eastAsia="宋体" w:cs="宋体"/>
          <w:sz w:val="18"/>
          <w:szCs w:val="18"/>
        </w:rPr>
      </w:pPr>
      <w:r>
        <w:rPr>
          <w:rFonts w:ascii="宋体" w:hAnsi="宋体" w:eastAsia="宋体" w:cs="宋体"/>
          <w:spacing w:val="-1"/>
          <w:sz w:val="18"/>
          <w:szCs w:val="18"/>
        </w:rPr>
        <w:t>第三部分：《食品营养与卫生》</w:t>
      </w:r>
    </w:p>
    <w:p w14:paraId="6BBDD810">
      <w:pPr>
        <w:spacing w:line="145" w:lineRule="auto"/>
        <w:rPr>
          <w:rFonts w:ascii="Arial"/>
          <w:sz w:val="2"/>
        </w:rPr>
      </w:pPr>
    </w:p>
    <w:tbl>
      <w:tblPr>
        <w:tblStyle w:val="5"/>
        <w:tblW w:w="4130" w:type="dxa"/>
        <w:tblInd w:w="2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93"/>
        <w:gridCol w:w="878"/>
        <w:gridCol w:w="798"/>
        <w:gridCol w:w="718"/>
        <w:gridCol w:w="943"/>
      </w:tblGrid>
      <w:tr w14:paraId="1DE9D8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9" w:hRule="atLeast"/>
        </w:trPr>
        <w:tc>
          <w:tcPr>
            <w:tcW w:w="793" w:type="dxa"/>
            <w:vAlign w:val="top"/>
          </w:tcPr>
          <w:p w14:paraId="4F94B801">
            <w:pPr>
              <w:pStyle w:val="6"/>
              <w:spacing w:before="132" w:line="221" w:lineRule="auto"/>
              <w:ind w:left="207"/>
              <w:rPr>
                <w:sz w:val="18"/>
                <w:szCs w:val="18"/>
              </w:rPr>
            </w:pPr>
            <w:r>
              <w:rPr>
                <w:b/>
                <w:bCs/>
                <w:spacing w:val="-4"/>
                <w:sz w:val="18"/>
                <w:szCs w:val="18"/>
              </w:rPr>
              <w:t>题型</w:t>
            </w:r>
          </w:p>
        </w:tc>
        <w:tc>
          <w:tcPr>
            <w:tcW w:w="878" w:type="dxa"/>
            <w:vAlign w:val="top"/>
          </w:tcPr>
          <w:p w14:paraId="21B85BFD">
            <w:pPr>
              <w:pStyle w:val="6"/>
              <w:spacing w:before="130" w:line="221" w:lineRule="auto"/>
              <w:ind w:left="164"/>
              <w:rPr>
                <w:sz w:val="18"/>
                <w:szCs w:val="18"/>
              </w:rPr>
            </w:pPr>
            <w:r>
              <w:rPr>
                <w:b/>
                <w:bCs/>
                <w:spacing w:val="-4"/>
                <w:sz w:val="18"/>
                <w:szCs w:val="18"/>
              </w:rPr>
              <w:t>选择题</w:t>
            </w:r>
          </w:p>
        </w:tc>
        <w:tc>
          <w:tcPr>
            <w:tcW w:w="798" w:type="dxa"/>
            <w:vAlign w:val="top"/>
          </w:tcPr>
          <w:p w14:paraId="20F23E47">
            <w:pPr>
              <w:pStyle w:val="6"/>
              <w:spacing w:before="129" w:line="219" w:lineRule="auto"/>
              <w:ind w:left="126"/>
              <w:rPr>
                <w:sz w:val="18"/>
                <w:szCs w:val="18"/>
              </w:rPr>
            </w:pPr>
            <w:r>
              <w:rPr>
                <w:b/>
                <w:bCs/>
                <w:spacing w:val="-4"/>
                <w:sz w:val="18"/>
                <w:szCs w:val="18"/>
              </w:rPr>
              <w:t>判断题</w:t>
            </w:r>
          </w:p>
        </w:tc>
        <w:tc>
          <w:tcPr>
            <w:tcW w:w="718" w:type="dxa"/>
            <w:vAlign w:val="top"/>
          </w:tcPr>
          <w:p w14:paraId="51024973">
            <w:pPr>
              <w:pStyle w:val="6"/>
              <w:spacing w:before="128" w:line="219" w:lineRule="auto"/>
              <w:ind w:left="88"/>
              <w:rPr>
                <w:sz w:val="18"/>
                <w:szCs w:val="18"/>
              </w:rPr>
            </w:pPr>
            <w:r>
              <w:rPr>
                <w:b/>
                <w:bCs/>
                <w:spacing w:val="-5"/>
                <w:sz w:val="18"/>
                <w:szCs w:val="18"/>
              </w:rPr>
              <w:t>简答题</w:t>
            </w:r>
          </w:p>
        </w:tc>
        <w:tc>
          <w:tcPr>
            <w:tcW w:w="943" w:type="dxa"/>
            <w:vAlign w:val="top"/>
          </w:tcPr>
          <w:p w14:paraId="48C5437A">
            <w:pPr>
              <w:pStyle w:val="6"/>
              <w:spacing w:before="30" w:line="215" w:lineRule="auto"/>
              <w:ind w:left="200"/>
              <w:rPr>
                <w:sz w:val="18"/>
                <w:szCs w:val="18"/>
              </w:rPr>
            </w:pPr>
            <w:r>
              <w:rPr>
                <w:b/>
                <w:bCs/>
                <w:spacing w:val="-4"/>
                <w:sz w:val="18"/>
                <w:szCs w:val="18"/>
              </w:rPr>
              <w:t>综合分</w:t>
            </w:r>
          </w:p>
          <w:p w14:paraId="69D05F2C">
            <w:pPr>
              <w:pStyle w:val="6"/>
              <w:spacing w:line="193" w:lineRule="auto"/>
              <w:ind w:left="290"/>
              <w:rPr>
                <w:sz w:val="18"/>
                <w:szCs w:val="18"/>
              </w:rPr>
            </w:pPr>
            <w:r>
              <w:rPr>
                <w:b/>
                <w:bCs/>
                <w:spacing w:val="-5"/>
                <w:sz w:val="18"/>
                <w:szCs w:val="18"/>
              </w:rPr>
              <w:t>析题</w:t>
            </w:r>
          </w:p>
        </w:tc>
      </w:tr>
      <w:tr w14:paraId="1DCD72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1" w:hRule="atLeast"/>
        </w:trPr>
        <w:tc>
          <w:tcPr>
            <w:tcW w:w="793" w:type="dxa"/>
            <w:vAlign w:val="top"/>
          </w:tcPr>
          <w:p w14:paraId="487C9BC9">
            <w:pPr>
              <w:pStyle w:val="6"/>
              <w:spacing w:before="81" w:line="220" w:lineRule="auto"/>
              <w:ind w:left="117"/>
              <w:rPr>
                <w:sz w:val="18"/>
                <w:szCs w:val="18"/>
              </w:rPr>
            </w:pPr>
            <w:r>
              <w:rPr>
                <w:b/>
                <w:bCs/>
                <w:spacing w:val="-5"/>
                <w:sz w:val="18"/>
                <w:szCs w:val="18"/>
              </w:rPr>
              <w:t>百分比</w:t>
            </w:r>
          </w:p>
        </w:tc>
        <w:tc>
          <w:tcPr>
            <w:tcW w:w="878" w:type="dxa"/>
            <w:vAlign w:val="top"/>
          </w:tcPr>
          <w:p w14:paraId="508F337A">
            <w:pPr>
              <w:pStyle w:val="6"/>
              <w:spacing w:before="128" w:line="183" w:lineRule="auto"/>
              <w:ind w:left="294"/>
              <w:rPr>
                <w:sz w:val="18"/>
                <w:szCs w:val="18"/>
              </w:rPr>
            </w:pPr>
            <w:r>
              <w:rPr>
                <w:b/>
                <w:bCs/>
                <w:spacing w:val="-4"/>
                <w:sz w:val="18"/>
                <w:szCs w:val="18"/>
              </w:rPr>
              <w:t>40%</w:t>
            </w:r>
          </w:p>
        </w:tc>
        <w:tc>
          <w:tcPr>
            <w:tcW w:w="798" w:type="dxa"/>
            <w:vAlign w:val="top"/>
          </w:tcPr>
          <w:p w14:paraId="4AD701B8">
            <w:pPr>
              <w:pStyle w:val="6"/>
              <w:spacing w:before="128" w:line="183" w:lineRule="auto"/>
              <w:ind w:left="256"/>
              <w:rPr>
                <w:sz w:val="18"/>
                <w:szCs w:val="18"/>
              </w:rPr>
            </w:pPr>
            <w:r>
              <w:rPr>
                <w:b/>
                <w:bCs/>
                <w:spacing w:val="-4"/>
                <w:sz w:val="18"/>
                <w:szCs w:val="18"/>
              </w:rPr>
              <w:t>20%</w:t>
            </w:r>
          </w:p>
        </w:tc>
        <w:tc>
          <w:tcPr>
            <w:tcW w:w="718" w:type="dxa"/>
            <w:vAlign w:val="top"/>
          </w:tcPr>
          <w:p w14:paraId="0DB7A6A3">
            <w:pPr>
              <w:pStyle w:val="6"/>
              <w:spacing w:before="128" w:line="183" w:lineRule="auto"/>
              <w:ind w:left="218"/>
              <w:rPr>
                <w:sz w:val="18"/>
                <w:szCs w:val="18"/>
              </w:rPr>
            </w:pPr>
            <w:r>
              <w:rPr>
                <w:b/>
                <w:bCs/>
                <w:spacing w:val="-4"/>
                <w:sz w:val="18"/>
                <w:szCs w:val="18"/>
              </w:rPr>
              <w:t>20%</w:t>
            </w:r>
          </w:p>
        </w:tc>
        <w:tc>
          <w:tcPr>
            <w:tcW w:w="943" w:type="dxa"/>
            <w:vAlign w:val="top"/>
          </w:tcPr>
          <w:p w14:paraId="3F51D794">
            <w:pPr>
              <w:pStyle w:val="6"/>
              <w:spacing w:before="128" w:line="183" w:lineRule="auto"/>
              <w:ind w:left="330"/>
              <w:rPr>
                <w:sz w:val="18"/>
                <w:szCs w:val="18"/>
              </w:rPr>
            </w:pPr>
            <w:r>
              <w:rPr>
                <w:b/>
                <w:bCs/>
                <w:spacing w:val="-4"/>
                <w:sz w:val="18"/>
                <w:szCs w:val="18"/>
              </w:rPr>
              <w:t>20%</w:t>
            </w:r>
          </w:p>
        </w:tc>
      </w:tr>
    </w:tbl>
    <w:p w14:paraId="1C923E55">
      <w:pPr>
        <w:pStyle w:val="2"/>
        <w:spacing w:line="350" w:lineRule="auto"/>
      </w:pPr>
    </w:p>
    <w:p w14:paraId="75277D04">
      <w:pPr>
        <w:spacing w:before="87" w:line="254" w:lineRule="auto"/>
        <w:ind w:left="1543" w:right="354" w:hanging="1260"/>
        <w:outlineLvl w:val="0"/>
        <w:rPr>
          <w:rFonts w:ascii="黑体" w:hAnsi="黑体" w:eastAsia="黑体" w:cs="黑体"/>
          <w:sz w:val="27"/>
          <w:szCs w:val="27"/>
        </w:rPr>
      </w:pPr>
      <w:bookmarkStart w:id="38" w:name="bookmark8"/>
      <w:bookmarkEnd w:id="38"/>
      <w:r>
        <w:rPr>
          <w:rFonts w:ascii="黑体" w:hAnsi="黑体" w:eastAsia="黑体" w:cs="黑体"/>
          <w:b/>
          <w:bCs/>
          <w:spacing w:val="3"/>
          <w:sz w:val="27"/>
          <w:szCs w:val="27"/>
        </w:rPr>
        <w:t>公共管理与服务大类专业理论</w:t>
      </w:r>
      <w:r>
        <w:rPr>
          <w:rFonts w:ascii="黑体" w:hAnsi="黑体" w:eastAsia="黑体" w:cs="黑体"/>
          <w:spacing w:val="4"/>
          <w:sz w:val="27"/>
          <w:szCs w:val="27"/>
        </w:rPr>
        <w:t xml:space="preserve"> </w:t>
      </w:r>
      <w:bookmarkStart w:id="39" w:name="bookmark8"/>
      <w:bookmarkEnd w:id="39"/>
      <w:r>
        <w:rPr>
          <w:rFonts w:ascii="黑体" w:hAnsi="黑体" w:eastAsia="黑体" w:cs="黑体"/>
          <w:b/>
          <w:bCs/>
          <w:sz w:val="27"/>
          <w:szCs w:val="27"/>
        </w:rPr>
        <w:t>考试纲要</w:t>
      </w:r>
    </w:p>
    <w:p w14:paraId="257042FE">
      <w:pPr>
        <w:pStyle w:val="2"/>
        <w:spacing w:line="259" w:lineRule="auto"/>
      </w:pPr>
    </w:p>
    <w:p w14:paraId="6CEE6C98">
      <w:pPr>
        <w:pStyle w:val="2"/>
        <w:spacing w:line="259" w:lineRule="auto"/>
      </w:pPr>
    </w:p>
    <w:p w14:paraId="32DD940D">
      <w:pPr>
        <w:spacing w:before="74" w:line="221" w:lineRule="auto"/>
        <w:ind w:left="3"/>
        <w:rPr>
          <w:rFonts w:ascii="黑体" w:hAnsi="黑体" w:eastAsia="黑体" w:cs="黑体"/>
          <w:sz w:val="23"/>
          <w:szCs w:val="23"/>
        </w:rPr>
      </w:pPr>
      <w:r>
        <w:rPr>
          <w:rFonts w:ascii="黑体" w:hAnsi="黑体" w:eastAsia="黑体" w:cs="黑体"/>
          <w:b/>
          <w:bCs/>
          <w:spacing w:val="-7"/>
          <w:sz w:val="23"/>
          <w:szCs w:val="23"/>
        </w:rPr>
        <w:t>一、考试范围和内容</w:t>
      </w:r>
    </w:p>
    <w:p w14:paraId="202E5A18">
      <w:pPr>
        <w:spacing w:before="91" w:line="312" w:lineRule="auto"/>
        <w:ind w:firstLine="380"/>
        <w:rPr>
          <w:rFonts w:ascii="宋体" w:hAnsi="宋体" w:eastAsia="宋体" w:cs="宋体"/>
          <w:sz w:val="17"/>
          <w:szCs w:val="17"/>
        </w:rPr>
      </w:pPr>
      <w:r>
        <w:rPr>
          <w:rFonts w:ascii="宋体" w:hAnsi="宋体" w:eastAsia="宋体" w:cs="宋体"/>
          <w:spacing w:val="8"/>
          <w:sz w:val="17"/>
          <w:szCs w:val="17"/>
        </w:rPr>
        <w:t>本纲要以教育部2009年颁布的《中等职业学校计</w:t>
      </w:r>
      <w:r>
        <w:rPr>
          <w:rFonts w:ascii="宋体" w:hAnsi="宋体" w:eastAsia="宋体" w:cs="宋体"/>
          <w:spacing w:val="6"/>
          <w:sz w:val="17"/>
          <w:szCs w:val="17"/>
        </w:rPr>
        <w:t xml:space="preserve">  </w:t>
      </w:r>
      <w:r>
        <w:rPr>
          <w:rFonts w:ascii="宋体" w:hAnsi="宋体" w:eastAsia="宋体" w:cs="宋体"/>
          <w:spacing w:val="2"/>
          <w:sz w:val="17"/>
          <w:szCs w:val="17"/>
        </w:rPr>
        <w:t>算机应用基础教学大纲》和《中等职业学校文秘</w:t>
      </w:r>
      <w:r>
        <w:rPr>
          <w:rFonts w:ascii="宋体" w:hAnsi="宋体" w:eastAsia="宋体" w:cs="宋体"/>
          <w:spacing w:val="1"/>
          <w:sz w:val="17"/>
          <w:szCs w:val="17"/>
        </w:rPr>
        <w:t>专业教</w:t>
      </w:r>
      <w:r>
        <w:rPr>
          <w:rFonts w:ascii="宋体" w:hAnsi="宋体" w:eastAsia="宋体" w:cs="宋体"/>
          <w:sz w:val="17"/>
          <w:szCs w:val="17"/>
        </w:rPr>
        <w:t xml:space="preserve">  </w:t>
      </w:r>
      <w:r>
        <w:rPr>
          <w:rFonts w:ascii="宋体" w:hAnsi="宋体" w:eastAsia="宋体" w:cs="宋体"/>
          <w:spacing w:val="-5"/>
          <w:sz w:val="17"/>
          <w:szCs w:val="17"/>
        </w:rPr>
        <w:t>学指导方案》中的“秘书基础课程教学基本要求”和“文</w:t>
      </w:r>
      <w:r>
        <w:rPr>
          <w:rFonts w:ascii="宋体" w:hAnsi="宋体" w:eastAsia="宋体" w:cs="宋体"/>
          <w:spacing w:val="1"/>
          <w:sz w:val="17"/>
          <w:szCs w:val="17"/>
        </w:rPr>
        <w:t xml:space="preserve">  </w:t>
      </w:r>
      <w:r>
        <w:rPr>
          <w:rFonts w:ascii="宋体" w:hAnsi="宋体" w:eastAsia="宋体" w:cs="宋体"/>
          <w:spacing w:val="2"/>
          <w:sz w:val="17"/>
          <w:szCs w:val="17"/>
        </w:rPr>
        <w:t>书与档案管理基础课程教学基本要求”为依据，根据清</w:t>
      </w:r>
      <w:r>
        <w:rPr>
          <w:rFonts w:ascii="宋体" w:hAnsi="宋体" w:eastAsia="宋体" w:cs="宋体"/>
          <w:sz w:val="17"/>
          <w:szCs w:val="17"/>
        </w:rPr>
        <w:t xml:space="preserve">  </w:t>
      </w:r>
      <w:r>
        <w:rPr>
          <w:rFonts w:ascii="宋体" w:hAnsi="宋体" w:eastAsia="宋体" w:cs="宋体"/>
          <w:spacing w:val="-1"/>
          <w:sz w:val="17"/>
          <w:szCs w:val="17"/>
        </w:rPr>
        <w:t>华大学出版社《职业教育“十三五”改革创新规划教材：</w:t>
      </w:r>
      <w:r>
        <w:rPr>
          <w:rFonts w:ascii="宋体" w:hAnsi="宋体" w:eastAsia="宋体" w:cs="宋体"/>
          <w:spacing w:val="4"/>
          <w:sz w:val="17"/>
          <w:szCs w:val="17"/>
        </w:rPr>
        <w:t xml:space="preserve"> </w:t>
      </w:r>
      <w:r>
        <w:rPr>
          <w:rFonts w:ascii="宋体" w:hAnsi="宋体" w:eastAsia="宋体" w:cs="宋体"/>
          <w:spacing w:val="3"/>
          <w:sz w:val="17"/>
          <w:szCs w:val="17"/>
        </w:rPr>
        <w:t>计算机应用基础</w:t>
      </w:r>
      <w:r>
        <w:rPr>
          <w:rFonts w:ascii="宋体" w:hAnsi="宋体" w:eastAsia="宋体" w:cs="宋体"/>
          <w:spacing w:val="-45"/>
          <w:sz w:val="17"/>
          <w:szCs w:val="17"/>
        </w:rPr>
        <w:t xml:space="preserve"> </w:t>
      </w:r>
      <w:r>
        <w:rPr>
          <w:rFonts w:ascii="Times New Roman" w:hAnsi="Times New Roman" w:eastAsia="Times New Roman" w:cs="Times New Roman"/>
          <w:spacing w:val="3"/>
          <w:sz w:val="17"/>
          <w:szCs w:val="17"/>
        </w:rPr>
        <w:t>(</w:t>
      </w:r>
      <w:r>
        <w:rPr>
          <w:rFonts w:ascii="Times New Roman" w:hAnsi="Times New Roman" w:eastAsia="Times New Roman" w:cs="Times New Roman"/>
          <w:sz w:val="17"/>
          <w:szCs w:val="17"/>
        </w:rPr>
        <w:t>Windows</w:t>
      </w:r>
      <w:r>
        <w:rPr>
          <w:rFonts w:ascii="Times New Roman" w:hAnsi="Times New Roman" w:eastAsia="Times New Roman" w:cs="Times New Roman"/>
          <w:spacing w:val="3"/>
          <w:sz w:val="17"/>
          <w:szCs w:val="17"/>
        </w:rPr>
        <w:t>10+</w:t>
      </w:r>
      <w:r>
        <w:rPr>
          <w:rFonts w:ascii="Times New Roman" w:hAnsi="Times New Roman" w:eastAsia="Times New Roman" w:cs="Times New Roman"/>
          <w:sz w:val="17"/>
          <w:szCs w:val="17"/>
        </w:rPr>
        <w:t>Office</w:t>
      </w:r>
      <w:r>
        <w:rPr>
          <w:rFonts w:ascii="Times New Roman" w:hAnsi="Times New Roman" w:eastAsia="Times New Roman" w:cs="Times New Roman"/>
          <w:spacing w:val="3"/>
          <w:sz w:val="17"/>
          <w:szCs w:val="17"/>
        </w:rPr>
        <w:t xml:space="preserve">    2016)</w:t>
      </w:r>
      <w:r>
        <w:rPr>
          <w:rFonts w:ascii="宋体" w:hAnsi="宋体" w:eastAsia="宋体" w:cs="宋体"/>
          <w:spacing w:val="2"/>
          <w:sz w:val="17"/>
          <w:szCs w:val="17"/>
        </w:rPr>
        <w:t>》、高等教</w:t>
      </w:r>
      <w:r>
        <w:rPr>
          <w:rFonts w:ascii="宋体" w:hAnsi="宋体" w:eastAsia="宋体" w:cs="宋体"/>
          <w:sz w:val="17"/>
          <w:szCs w:val="17"/>
        </w:rPr>
        <w:t xml:space="preserve">  </w:t>
      </w:r>
      <w:r>
        <w:rPr>
          <w:rFonts w:ascii="宋体" w:hAnsi="宋体" w:eastAsia="宋体" w:cs="宋体"/>
          <w:spacing w:val="-1"/>
          <w:sz w:val="17"/>
          <w:szCs w:val="17"/>
        </w:rPr>
        <w:t>育出版社出版的中等职业学校国家规划教材《秘书基础》</w:t>
      </w:r>
      <w:r>
        <w:rPr>
          <w:rFonts w:ascii="宋体" w:hAnsi="宋体" w:eastAsia="宋体" w:cs="宋体"/>
          <w:spacing w:val="4"/>
          <w:sz w:val="17"/>
          <w:szCs w:val="17"/>
        </w:rPr>
        <w:t xml:space="preserve"> </w:t>
      </w:r>
      <w:r>
        <w:rPr>
          <w:rFonts w:ascii="宋体" w:hAnsi="宋体" w:eastAsia="宋体" w:cs="宋体"/>
          <w:spacing w:val="13"/>
          <w:sz w:val="17"/>
          <w:szCs w:val="17"/>
        </w:rPr>
        <w:t>(第二版)和《文书拟写与档案管理》(马永飞、孙大</w:t>
      </w:r>
      <w:r>
        <w:rPr>
          <w:rFonts w:ascii="宋体" w:hAnsi="宋体" w:eastAsia="宋体" w:cs="宋体"/>
          <w:spacing w:val="5"/>
          <w:sz w:val="17"/>
          <w:szCs w:val="17"/>
        </w:rPr>
        <w:t xml:space="preserve">  江主编)三本教材编制而成，考虑到现阶段我省职业教  </w:t>
      </w:r>
      <w:r>
        <w:rPr>
          <w:rFonts w:ascii="宋体" w:hAnsi="宋体" w:eastAsia="宋体" w:cs="宋体"/>
          <w:spacing w:val="2"/>
          <w:sz w:val="17"/>
          <w:szCs w:val="17"/>
        </w:rPr>
        <w:t xml:space="preserve">育特点，结合高等学校专业发展规划对部分内容做出相  </w:t>
      </w:r>
      <w:r>
        <w:rPr>
          <w:rFonts w:ascii="宋体" w:hAnsi="宋体" w:eastAsia="宋体" w:cs="宋体"/>
          <w:spacing w:val="-2"/>
          <w:sz w:val="17"/>
          <w:szCs w:val="17"/>
        </w:rPr>
        <w:t>应调整，强调了对专业技能掌握的考查。</w:t>
      </w:r>
    </w:p>
    <w:p w14:paraId="5CB7C49B">
      <w:pPr>
        <w:spacing w:before="23" w:line="312" w:lineRule="auto"/>
        <w:ind w:right="11" w:firstLine="380"/>
        <w:rPr>
          <w:rFonts w:ascii="宋体" w:hAnsi="宋体" w:eastAsia="宋体" w:cs="宋体"/>
          <w:sz w:val="17"/>
          <w:szCs w:val="17"/>
        </w:rPr>
      </w:pPr>
      <w:r>
        <w:rPr>
          <w:rFonts w:ascii="宋体" w:hAnsi="宋体" w:eastAsia="宋体" w:cs="宋体"/>
          <w:spacing w:val="17"/>
          <w:sz w:val="17"/>
          <w:szCs w:val="17"/>
        </w:rPr>
        <w:t>计算机应用基础的主要内容包括认识计算机、</w:t>
      </w:r>
      <w:r>
        <w:rPr>
          <w:rFonts w:ascii="宋体" w:hAnsi="宋体" w:eastAsia="宋体" w:cs="宋体"/>
          <w:spacing w:val="1"/>
          <w:sz w:val="17"/>
          <w:szCs w:val="17"/>
        </w:rPr>
        <w:t xml:space="preserve">  </w:t>
      </w:r>
      <w:r>
        <w:rPr>
          <w:rFonts w:ascii="宋体" w:hAnsi="宋体" w:eastAsia="宋体" w:cs="宋体"/>
          <w:sz w:val="17"/>
          <w:szCs w:val="17"/>
        </w:rPr>
        <w:t>Windows10</w:t>
      </w:r>
      <w:r>
        <w:rPr>
          <w:rFonts w:ascii="宋体" w:hAnsi="宋体" w:eastAsia="宋体" w:cs="宋体"/>
          <w:spacing w:val="-39"/>
          <w:sz w:val="17"/>
          <w:szCs w:val="17"/>
        </w:rPr>
        <w:t xml:space="preserve"> </w:t>
      </w:r>
      <w:r>
        <w:rPr>
          <w:rFonts w:ascii="宋体" w:hAnsi="宋体" w:eastAsia="宋体" w:cs="宋体"/>
          <w:sz w:val="17"/>
          <w:szCs w:val="17"/>
        </w:rPr>
        <w:t xml:space="preserve">操作系统、Internet应用、Word2016 文字处  </w:t>
      </w:r>
      <w:r>
        <w:rPr>
          <w:rFonts w:ascii="宋体" w:hAnsi="宋体" w:eastAsia="宋体" w:cs="宋体"/>
          <w:spacing w:val="7"/>
          <w:sz w:val="17"/>
          <w:szCs w:val="17"/>
        </w:rPr>
        <w:t>理软件应用、</w:t>
      </w:r>
      <w:r>
        <w:rPr>
          <w:rFonts w:ascii="Times New Roman" w:hAnsi="Times New Roman" w:eastAsia="Times New Roman" w:cs="Times New Roman"/>
          <w:sz w:val="17"/>
          <w:szCs w:val="17"/>
        </w:rPr>
        <w:t>Excel</w:t>
      </w:r>
      <w:r>
        <w:rPr>
          <w:rFonts w:ascii="Times New Roman" w:hAnsi="Times New Roman" w:eastAsia="Times New Roman" w:cs="Times New Roman"/>
          <w:spacing w:val="7"/>
          <w:sz w:val="17"/>
          <w:szCs w:val="17"/>
        </w:rPr>
        <w:t>2016</w:t>
      </w:r>
      <w:r>
        <w:rPr>
          <w:rFonts w:ascii="宋体" w:hAnsi="宋体" w:eastAsia="宋体" w:cs="宋体"/>
          <w:spacing w:val="7"/>
          <w:sz w:val="17"/>
          <w:szCs w:val="17"/>
        </w:rPr>
        <w:t>电子表格处理软件应用等。秘</w:t>
      </w:r>
      <w:r>
        <w:rPr>
          <w:rFonts w:ascii="宋体" w:hAnsi="宋体" w:eastAsia="宋体" w:cs="宋体"/>
          <w:spacing w:val="4"/>
          <w:sz w:val="17"/>
          <w:szCs w:val="17"/>
        </w:rPr>
        <w:t xml:space="preserve">  </w:t>
      </w:r>
      <w:r>
        <w:rPr>
          <w:rFonts w:ascii="宋体" w:hAnsi="宋体" w:eastAsia="宋体" w:cs="宋体"/>
          <w:spacing w:val="2"/>
          <w:sz w:val="17"/>
          <w:szCs w:val="17"/>
        </w:rPr>
        <w:t>书基础的主要内容包括：秘书工作的基本知识，秘书工</w:t>
      </w:r>
      <w:r>
        <w:rPr>
          <w:rFonts w:ascii="宋体" w:hAnsi="宋体" w:eastAsia="宋体" w:cs="宋体"/>
          <w:sz w:val="17"/>
          <w:szCs w:val="17"/>
        </w:rPr>
        <w:t xml:space="preserve">  </w:t>
      </w:r>
      <w:r>
        <w:rPr>
          <w:rFonts w:ascii="宋体" w:hAnsi="宋体" w:eastAsia="宋体" w:cs="宋体"/>
          <w:spacing w:val="2"/>
          <w:sz w:val="17"/>
          <w:szCs w:val="17"/>
        </w:rPr>
        <w:t>作的特点、作用及主要内容，秘书工作的基本原则及一</w:t>
      </w:r>
      <w:r>
        <w:rPr>
          <w:rFonts w:ascii="宋体" w:hAnsi="宋体" w:eastAsia="宋体" w:cs="宋体"/>
          <w:sz w:val="17"/>
          <w:szCs w:val="17"/>
        </w:rPr>
        <w:t xml:space="preserve">  </w:t>
      </w:r>
      <w:r>
        <w:rPr>
          <w:rFonts w:ascii="宋体" w:hAnsi="宋体" w:eastAsia="宋体" w:cs="宋体"/>
          <w:spacing w:val="2"/>
          <w:sz w:val="17"/>
          <w:szCs w:val="17"/>
        </w:rPr>
        <w:t>般工作方法，秘书人员的素质要求及职业道德等。文书</w:t>
      </w:r>
      <w:r>
        <w:rPr>
          <w:rFonts w:ascii="宋体" w:hAnsi="宋体" w:eastAsia="宋体" w:cs="宋体"/>
          <w:spacing w:val="1"/>
          <w:sz w:val="17"/>
          <w:szCs w:val="17"/>
        </w:rPr>
        <w:t xml:space="preserve">  </w:t>
      </w:r>
      <w:r>
        <w:rPr>
          <w:rFonts w:ascii="宋体" w:hAnsi="宋体" w:eastAsia="宋体" w:cs="宋体"/>
          <w:spacing w:val="-2"/>
          <w:sz w:val="17"/>
          <w:szCs w:val="17"/>
        </w:rPr>
        <w:t>拟写与档案管理的主要内容包括：文书拟写、文书办理、</w:t>
      </w:r>
      <w:r>
        <w:rPr>
          <w:rFonts w:ascii="宋体" w:hAnsi="宋体" w:eastAsia="宋体" w:cs="宋体"/>
          <w:spacing w:val="17"/>
          <w:sz w:val="17"/>
          <w:szCs w:val="17"/>
        </w:rPr>
        <w:t xml:space="preserve"> </w:t>
      </w:r>
      <w:r>
        <w:rPr>
          <w:rFonts w:ascii="宋体" w:hAnsi="宋体" w:eastAsia="宋体" w:cs="宋体"/>
          <w:spacing w:val="-2"/>
          <w:sz w:val="17"/>
          <w:szCs w:val="17"/>
        </w:rPr>
        <w:t>纸质文件的档案管理、电子文件与数字档案管理等。</w:t>
      </w:r>
    </w:p>
    <w:p w14:paraId="6B8DBA9C">
      <w:pPr>
        <w:spacing w:before="25" w:line="306" w:lineRule="auto"/>
        <w:ind w:right="82" w:firstLine="380"/>
        <w:rPr>
          <w:rFonts w:ascii="宋体" w:hAnsi="宋体" w:eastAsia="宋体" w:cs="宋体"/>
          <w:sz w:val="17"/>
          <w:szCs w:val="17"/>
        </w:rPr>
      </w:pPr>
      <w:r>
        <w:rPr>
          <w:rFonts w:ascii="宋体" w:hAnsi="宋体" w:eastAsia="宋体" w:cs="宋体"/>
          <w:spacing w:val="-1"/>
          <w:sz w:val="17"/>
          <w:szCs w:val="17"/>
        </w:rPr>
        <w:t>专业综合理论考试不仅考查学生对基本知识、基本</w:t>
      </w:r>
      <w:r>
        <w:rPr>
          <w:rFonts w:ascii="宋体" w:hAnsi="宋体" w:eastAsia="宋体" w:cs="宋体"/>
          <w:spacing w:val="13"/>
          <w:sz w:val="17"/>
          <w:szCs w:val="17"/>
        </w:rPr>
        <w:t xml:space="preserve"> </w:t>
      </w:r>
      <w:r>
        <w:rPr>
          <w:rFonts w:ascii="宋体" w:hAnsi="宋体" w:eastAsia="宋体" w:cs="宋体"/>
          <w:spacing w:val="2"/>
          <w:sz w:val="17"/>
          <w:szCs w:val="17"/>
        </w:rPr>
        <w:t>理论和基本方法的掌握，还突出考查其在工作情境中分</w:t>
      </w:r>
      <w:r>
        <w:rPr>
          <w:rFonts w:ascii="宋体" w:hAnsi="宋体" w:eastAsia="宋体" w:cs="宋体"/>
          <w:spacing w:val="18"/>
          <w:sz w:val="17"/>
          <w:szCs w:val="17"/>
        </w:rPr>
        <w:t xml:space="preserve"> </w:t>
      </w:r>
      <w:r>
        <w:rPr>
          <w:rFonts w:ascii="宋体" w:hAnsi="宋体" w:eastAsia="宋体" w:cs="宋体"/>
          <w:spacing w:val="-3"/>
          <w:sz w:val="17"/>
          <w:szCs w:val="17"/>
        </w:rPr>
        <w:t>析问题和解决问题的能力。</w:t>
      </w:r>
    </w:p>
    <w:p w14:paraId="7969CFC2">
      <w:pPr>
        <w:spacing w:before="22" w:line="221" w:lineRule="auto"/>
        <w:ind w:left="3"/>
        <w:rPr>
          <w:rFonts w:ascii="黑体" w:hAnsi="黑体" w:eastAsia="黑体" w:cs="黑体"/>
          <w:sz w:val="23"/>
          <w:szCs w:val="23"/>
        </w:rPr>
      </w:pPr>
      <w:r>
        <w:rPr>
          <w:rFonts w:ascii="黑体" w:hAnsi="黑体" w:eastAsia="黑体" w:cs="黑体"/>
          <w:b/>
          <w:bCs/>
          <w:spacing w:val="-6"/>
          <w:sz w:val="23"/>
          <w:szCs w:val="23"/>
        </w:rPr>
        <w:t>二、考试目标和水平层次</w:t>
      </w:r>
    </w:p>
    <w:p w14:paraId="3688472E">
      <w:pPr>
        <w:spacing w:before="88" w:line="296" w:lineRule="auto"/>
        <w:ind w:right="77" w:firstLine="380"/>
        <w:jc w:val="both"/>
        <w:rPr>
          <w:rFonts w:ascii="宋体" w:hAnsi="宋体" w:eastAsia="宋体" w:cs="宋体"/>
          <w:sz w:val="17"/>
          <w:szCs w:val="17"/>
        </w:rPr>
      </w:pPr>
      <w:r>
        <w:rPr>
          <w:rFonts w:ascii="宋体" w:hAnsi="宋体" w:eastAsia="宋体" w:cs="宋体"/>
          <w:spacing w:val="-1"/>
          <w:sz w:val="17"/>
          <w:szCs w:val="17"/>
        </w:rPr>
        <w:t>本纲要各科考试目标以专题为序，包括知识与技能</w:t>
      </w:r>
      <w:r>
        <w:rPr>
          <w:rFonts w:ascii="宋体" w:hAnsi="宋体" w:eastAsia="宋体" w:cs="宋体"/>
          <w:spacing w:val="13"/>
          <w:sz w:val="17"/>
          <w:szCs w:val="17"/>
        </w:rPr>
        <w:t xml:space="preserve"> </w:t>
      </w:r>
      <w:r>
        <w:rPr>
          <w:rFonts w:ascii="宋体" w:hAnsi="宋体" w:eastAsia="宋体" w:cs="宋体"/>
          <w:spacing w:val="3"/>
          <w:sz w:val="17"/>
          <w:szCs w:val="17"/>
        </w:rPr>
        <w:t>要点、考试条目和考试水平三部分。知识与</w:t>
      </w:r>
      <w:r>
        <w:rPr>
          <w:rFonts w:ascii="宋体" w:hAnsi="宋体" w:eastAsia="宋体" w:cs="宋体"/>
          <w:spacing w:val="2"/>
          <w:sz w:val="17"/>
          <w:szCs w:val="17"/>
        </w:rPr>
        <w:t>技能要点是</w:t>
      </w:r>
      <w:r>
        <w:rPr>
          <w:rFonts w:ascii="宋体" w:hAnsi="宋体" w:eastAsia="宋体" w:cs="宋体"/>
          <w:sz w:val="17"/>
          <w:szCs w:val="17"/>
        </w:rPr>
        <w:t xml:space="preserve"> </w:t>
      </w:r>
      <w:r>
        <w:rPr>
          <w:rFonts w:ascii="宋体" w:hAnsi="宋体" w:eastAsia="宋体" w:cs="宋体"/>
          <w:spacing w:val="3"/>
          <w:sz w:val="17"/>
          <w:szCs w:val="17"/>
        </w:rPr>
        <w:t>本学科学生应知应会的基础知识和基本技能，考试条目</w:t>
      </w:r>
      <w:r>
        <w:rPr>
          <w:rFonts w:ascii="宋体" w:hAnsi="宋体" w:eastAsia="宋体" w:cs="宋体"/>
          <w:sz w:val="17"/>
          <w:szCs w:val="17"/>
        </w:rPr>
        <w:t xml:space="preserve"> </w:t>
      </w:r>
      <w:r>
        <w:rPr>
          <w:rFonts w:ascii="宋体" w:hAnsi="宋体" w:eastAsia="宋体" w:cs="宋体"/>
          <w:spacing w:val="2"/>
          <w:sz w:val="17"/>
          <w:szCs w:val="17"/>
        </w:rPr>
        <w:t>是知识与技能要点细化内容具体项目，考试水平</w:t>
      </w:r>
      <w:r>
        <w:rPr>
          <w:rFonts w:ascii="宋体" w:hAnsi="宋体" w:eastAsia="宋体" w:cs="宋体"/>
          <w:spacing w:val="1"/>
          <w:sz w:val="17"/>
          <w:szCs w:val="17"/>
        </w:rPr>
        <w:t>具体地</w:t>
      </w:r>
      <w:r>
        <w:rPr>
          <w:rFonts w:ascii="宋体" w:hAnsi="宋体" w:eastAsia="宋体" w:cs="宋体"/>
          <w:sz w:val="17"/>
          <w:szCs w:val="17"/>
        </w:rPr>
        <w:t xml:space="preserve"> </w:t>
      </w:r>
      <w:r>
        <w:rPr>
          <w:rFonts w:ascii="宋体" w:hAnsi="宋体" w:eastAsia="宋体" w:cs="宋体"/>
          <w:spacing w:val="2"/>
          <w:sz w:val="17"/>
          <w:szCs w:val="17"/>
        </w:rPr>
        <w:t>确定了以上三门课的基本知识和技能考查层次，本次纲 要的修订根据与时俱进的要求，将部分落后于时代发展</w:t>
      </w:r>
      <w:r>
        <w:rPr>
          <w:rFonts w:ascii="宋体" w:hAnsi="宋体" w:eastAsia="宋体" w:cs="宋体"/>
          <w:sz w:val="17"/>
          <w:szCs w:val="17"/>
        </w:rPr>
        <w:t xml:space="preserve"> </w:t>
      </w:r>
      <w:r>
        <w:rPr>
          <w:rFonts w:ascii="宋体" w:hAnsi="宋体" w:eastAsia="宋体" w:cs="宋体"/>
          <w:spacing w:val="2"/>
          <w:sz w:val="17"/>
          <w:szCs w:val="17"/>
        </w:rPr>
        <w:t>的内容降低了难度并减少了考点，另强化了教材中部分</w:t>
      </w:r>
    </w:p>
    <w:p w14:paraId="6E7A264A">
      <w:pPr>
        <w:spacing w:line="296" w:lineRule="auto"/>
        <w:rPr>
          <w:rFonts w:ascii="宋体" w:hAnsi="宋体" w:eastAsia="宋体" w:cs="宋体"/>
          <w:sz w:val="17"/>
          <w:szCs w:val="17"/>
        </w:rPr>
        <w:sectPr>
          <w:type w:val="continuous"/>
          <w:pgSz w:w="10660" w:h="15080"/>
          <w:pgMar w:top="400" w:right="959" w:bottom="925" w:left="809" w:header="0" w:footer="705" w:gutter="0"/>
          <w:cols w:equalWidth="0" w:num="2">
            <w:col w:w="4561" w:space="100"/>
            <w:col w:w="4231"/>
          </w:cols>
        </w:sectPr>
      </w:pPr>
    </w:p>
    <w:p w14:paraId="48E7FB2E">
      <w:pPr>
        <w:spacing w:before="2"/>
      </w:pPr>
    </w:p>
    <w:p w14:paraId="17878280">
      <w:pPr>
        <w:spacing w:before="2"/>
      </w:pPr>
    </w:p>
    <w:p w14:paraId="3BCF40C0">
      <w:pPr>
        <w:spacing w:before="1"/>
      </w:pPr>
    </w:p>
    <w:p w14:paraId="163463C8">
      <w:pPr>
        <w:spacing w:before="1"/>
      </w:pPr>
    </w:p>
    <w:p w14:paraId="3C950D8F">
      <w:pPr>
        <w:sectPr>
          <w:footerReference r:id="rId59" w:type="default"/>
          <w:pgSz w:w="10660" w:h="15080"/>
          <w:pgMar w:top="400" w:right="885" w:bottom="925" w:left="1019" w:header="0" w:footer="705" w:gutter="0"/>
          <w:cols w:equalWidth="0" w:num="1">
            <w:col w:w="8755"/>
          </w:cols>
        </w:sectPr>
      </w:pPr>
    </w:p>
    <w:p w14:paraId="48013F7C">
      <w:pPr>
        <w:spacing w:before="34" w:line="308" w:lineRule="auto"/>
        <w:ind w:right="350"/>
        <w:jc w:val="both"/>
        <w:rPr>
          <w:rFonts w:ascii="宋体" w:hAnsi="宋体" w:eastAsia="宋体" w:cs="宋体"/>
          <w:sz w:val="17"/>
          <w:szCs w:val="17"/>
        </w:rPr>
      </w:pPr>
      <w:r>
        <w:rPr>
          <w:rFonts w:ascii="宋体" w:hAnsi="宋体" w:eastAsia="宋体" w:cs="宋体"/>
          <w:spacing w:val="3"/>
          <w:sz w:val="17"/>
          <w:szCs w:val="17"/>
        </w:rPr>
        <w:t>反映先进的工作理念和工作方法的知识点。考</w:t>
      </w:r>
      <w:r>
        <w:rPr>
          <w:rFonts w:ascii="宋体" w:hAnsi="宋体" w:eastAsia="宋体" w:cs="宋体"/>
          <w:spacing w:val="2"/>
          <w:sz w:val="17"/>
          <w:szCs w:val="17"/>
        </w:rPr>
        <w:t>试水平由</w:t>
      </w:r>
      <w:r>
        <w:rPr>
          <w:rFonts w:ascii="宋体" w:hAnsi="宋体" w:eastAsia="宋体" w:cs="宋体"/>
          <w:sz w:val="17"/>
          <w:szCs w:val="17"/>
        </w:rPr>
        <w:t xml:space="preserve"> </w:t>
      </w:r>
      <w:r>
        <w:rPr>
          <w:rFonts w:ascii="宋体" w:hAnsi="宋体" w:eastAsia="宋体" w:cs="宋体"/>
          <w:spacing w:val="-7"/>
          <w:sz w:val="17"/>
          <w:szCs w:val="17"/>
        </w:rPr>
        <w:t>低到高设置为四个层次：</w:t>
      </w:r>
      <w:r>
        <w:rPr>
          <w:rFonts w:ascii="Times New Roman" w:hAnsi="Times New Roman" w:eastAsia="Times New Roman" w:cs="Times New Roman"/>
          <w:spacing w:val="-7"/>
          <w:sz w:val="17"/>
          <w:szCs w:val="17"/>
        </w:rPr>
        <w:t>A</w:t>
      </w:r>
      <w:r>
        <w:rPr>
          <w:rFonts w:ascii="宋体" w:hAnsi="宋体" w:eastAsia="宋体" w:cs="宋体"/>
          <w:spacing w:val="-7"/>
          <w:sz w:val="17"/>
          <w:szCs w:val="17"/>
        </w:rPr>
        <w:t>(</w:t>
      </w:r>
      <w:r>
        <w:rPr>
          <w:rFonts w:ascii="宋体" w:hAnsi="宋体" w:eastAsia="宋体" w:cs="宋体"/>
          <w:spacing w:val="-31"/>
          <w:sz w:val="17"/>
          <w:szCs w:val="17"/>
        </w:rPr>
        <w:t xml:space="preserve"> </w:t>
      </w:r>
      <w:r>
        <w:rPr>
          <w:rFonts w:ascii="宋体" w:hAnsi="宋体" w:eastAsia="宋体" w:cs="宋体"/>
          <w:spacing w:val="-7"/>
          <w:sz w:val="17"/>
          <w:szCs w:val="17"/>
        </w:rPr>
        <w:t>识</w:t>
      </w:r>
      <w:r>
        <w:rPr>
          <w:rFonts w:ascii="宋体" w:hAnsi="宋体" w:eastAsia="宋体" w:cs="宋体"/>
          <w:spacing w:val="-32"/>
          <w:sz w:val="17"/>
          <w:szCs w:val="17"/>
        </w:rPr>
        <w:t xml:space="preserve"> </w:t>
      </w:r>
      <w:r>
        <w:rPr>
          <w:rFonts w:ascii="宋体" w:hAnsi="宋体" w:eastAsia="宋体" w:cs="宋体"/>
          <w:spacing w:val="-7"/>
          <w:sz w:val="17"/>
          <w:szCs w:val="17"/>
        </w:rPr>
        <w:t>记</w:t>
      </w:r>
      <w:r>
        <w:rPr>
          <w:rFonts w:ascii="宋体" w:hAnsi="宋体" w:eastAsia="宋体" w:cs="宋体"/>
          <w:spacing w:val="-32"/>
          <w:sz w:val="17"/>
          <w:szCs w:val="17"/>
        </w:rPr>
        <w:t xml:space="preserve"> </w:t>
      </w:r>
      <w:r>
        <w:rPr>
          <w:rFonts w:ascii="宋体" w:hAnsi="宋体" w:eastAsia="宋体" w:cs="宋体"/>
          <w:spacing w:val="-7"/>
          <w:sz w:val="17"/>
          <w:szCs w:val="17"/>
        </w:rPr>
        <w:t>)</w:t>
      </w:r>
      <w:r>
        <w:rPr>
          <w:rFonts w:ascii="宋体" w:hAnsi="宋体" w:eastAsia="宋体" w:cs="宋体"/>
          <w:spacing w:val="-38"/>
          <w:sz w:val="17"/>
          <w:szCs w:val="17"/>
        </w:rPr>
        <w:t xml:space="preserve"> </w:t>
      </w:r>
      <w:r>
        <w:rPr>
          <w:rFonts w:ascii="宋体" w:hAnsi="宋体" w:eastAsia="宋体" w:cs="宋体"/>
          <w:spacing w:val="-7"/>
          <w:sz w:val="17"/>
          <w:szCs w:val="17"/>
        </w:rPr>
        <w:t>、</w:t>
      </w:r>
      <w:r>
        <w:rPr>
          <w:rFonts w:ascii="Times New Roman" w:hAnsi="Times New Roman" w:eastAsia="Times New Roman" w:cs="Times New Roman"/>
          <w:spacing w:val="-7"/>
          <w:sz w:val="17"/>
          <w:szCs w:val="17"/>
        </w:rPr>
        <w:t>B</w:t>
      </w:r>
      <w:r>
        <w:rPr>
          <w:rFonts w:ascii="宋体" w:hAnsi="宋体" w:eastAsia="宋体" w:cs="宋体"/>
          <w:spacing w:val="-7"/>
          <w:sz w:val="17"/>
          <w:szCs w:val="17"/>
        </w:rPr>
        <w:t>(</w:t>
      </w:r>
      <w:r>
        <w:rPr>
          <w:rFonts w:ascii="宋体" w:hAnsi="宋体" w:eastAsia="宋体" w:cs="宋体"/>
          <w:spacing w:val="-30"/>
          <w:sz w:val="17"/>
          <w:szCs w:val="17"/>
        </w:rPr>
        <w:t xml:space="preserve"> </w:t>
      </w:r>
      <w:r>
        <w:rPr>
          <w:rFonts w:ascii="宋体" w:hAnsi="宋体" w:eastAsia="宋体" w:cs="宋体"/>
          <w:spacing w:val="-7"/>
          <w:sz w:val="17"/>
          <w:szCs w:val="17"/>
        </w:rPr>
        <w:t>理</w:t>
      </w:r>
      <w:r>
        <w:rPr>
          <w:rFonts w:ascii="宋体" w:hAnsi="宋体" w:eastAsia="宋体" w:cs="宋体"/>
          <w:spacing w:val="-32"/>
          <w:sz w:val="17"/>
          <w:szCs w:val="17"/>
        </w:rPr>
        <w:t xml:space="preserve"> </w:t>
      </w:r>
      <w:r>
        <w:rPr>
          <w:rFonts w:ascii="宋体" w:hAnsi="宋体" w:eastAsia="宋体" w:cs="宋体"/>
          <w:spacing w:val="-8"/>
          <w:sz w:val="17"/>
          <w:szCs w:val="17"/>
        </w:rPr>
        <w:t>解</w:t>
      </w:r>
      <w:r>
        <w:rPr>
          <w:rFonts w:ascii="宋体" w:hAnsi="宋体" w:eastAsia="宋体" w:cs="宋体"/>
          <w:spacing w:val="-31"/>
          <w:sz w:val="17"/>
          <w:szCs w:val="17"/>
        </w:rPr>
        <w:t xml:space="preserve"> </w:t>
      </w:r>
      <w:r>
        <w:rPr>
          <w:rFonts w:ascii="宋体" w:hAnsi="宋体" w:eastAsia="宋体" w:cs="宋体"/>
          <w:spacing w:val="-8"/>
          <w:sz w:val="17"/>
          <w:szCs w:val="17"/>
        </w:rPr>
        <w:t>)</w:t>
      </w:r>
      <w:r>
        <w:rPr>
          <w:rFonts w:ascii="宋体" w:hAnsi="宋体" w:eastAsia="宋体" w:cs="宋体"/>
          <w:spacing w:val="-39"/>
          <w:sz w:val="17"/>
          <w:szCs w:val="17"/>
        </w:rPr>
        <w:t xml:space="preserve"> </w:t>
      </w:r>
      <w:r>
        <w:rPr>
          <w:rFonts w:ascii="宋体" w:hAnsi="宋体" w:eastAsia="宋体" w:cs="宋体"/>
          <w:spacing w:val="-8"/>
          <w:sz w:val="17"/>
          <w:szCs w:val="17"/>
        </w:rPr>
        <w:t>、</w:t>
      </w:r>
      <w:r>
        <w:rPr>
          <w:rFonts w:ascii="Times New Roman" w:hAnsi="Times New Roman" w:eastAsia="Times New Roman" w:cs="Times New Roman"/>
          <w:spacing w:val="-8"/>
          <w:sz w:val="17"/>
          <w:szCs w:val="17"/>
        </w:rPr>
        <w:t>C</w:t>
      </w:r>
      <w:r>
        <w:rPr>
          <w:rFonts w:ascii="宋体" w:hAnsi="宋体" w:eastAsia="宋体" w:cs="宋体"/>
          <w:spacing w:val="-8"/>
          <w:sz w:val="17"/>
          <w:szCs w:val="17"/>
        </w:rPr>
        <w:t>( 掌</w:t>
      </w:r>
      <w:r>
        <w:rPr>
          <w:rFonts w:ascii="宋体" w:hAnsi="宋体" w:eastAsia="宋体" w:cs="宋体"/>
          <w:sz w:val="17"/>
          <w:szCs w:val="17"/>
        </w:rPr>
        <w:t xml:space="preserve"> </w:t>
      </w:r>
      <w:r>
        <w:rPr>
          <w:rFonts w:ascii="宋体" w:hAnsi="宋体" w:eastAsia="宋体" w:cs="宋体"/>
          <w:spacing w:val="9"/>
          <w:sz w:val="17"/>
          <w:szCs w:val="17"/>
        </w:rPr>
        <w:t>握</w:t>
      </w:r>
      <w:r>
        <w:rPr>
          <w:rFonts w:ascii="宋体" w:hAnsi="宋体" w:eastAsia="宋体" w:cs="宋体"/>
          <w:spacing w:val="-3"/>
          <w:sz w:val="17"/>
          <w:szCs w:val="17"/>
        </w:rPr>
        <w:t xml:space="preserve"> </w:t>
      </w:r>
      <w:r>
        <w:rPr>
          <w:rFonts w:ascii="宋体" w:hAnsi="宋体" w:eastAsia="宋体" w:cs="宋体"/>
          <w:spacing w:val="9"/>
          <w:sz w:val="17"/>
          <w:szCs w:val="17"/>
        </w:rPr>
        <w:t>)</w:t>
      </w:r>
      <w:r>
        <w:rPr>
          <w:rFonts w:ascii="宋体" w:hAnsi="宋体" w:eastAsia="宋体" w:cs="宋体"/>
          <w:spacing w:val="-24"/>
          <w:sz w:val="17"/>
          <w:szCs w:val="17"/>
        </w:rPr>
        <w:t xml:space="preserve"> </w:t>
      </w:r>
      <w:r>
        <w:rPr>
          <w:rFonts w:ascii="宋体" w:hAnsi="宋体" w:eastAsia="宋体" w:cs="宋体"/>
          <w:spacing w:val="9"/>
          <w:sz w:val="17"/>
          <w:szCs w:val="17"/>
        </w:rPr>
        <w:t>、</w:t>
      </w:r>
      <w:r>
        <w:rPr>
          <w:rFonts w:ascii="Times New Roman" w:hAnsi="Times New Roman" w:eastAsia="Times New Roman" w:cs="Times New Roman"/>
          <w:spacing w:val="9"/>
          <w:sz w:val="17"/>
          <w:szCs w:val="17"/>
        </w:rPr>
        <w:t>D</w:t>
      </w:r>
      <w:r>
        <w:rPr>
          <w:rFonts w:ascii="宋体" w:hAnsi="宋体" w:eastAsia="宋体" w:cs="宋体"/>
          <w:spacing w:val="9"/>
          <w:sz w:val="17"/>
          <w:szCs w:val="17"/>
        </w:rPr>
        <w:t>(综合运用)。每一高级层次考试水平同时包</w:t>
      </w:r>
      <w:r>
        <w:rPr>
          <w:rFonts w:ascii="宋体" w:hAnsi="宋体" w:eastAsia="宋体" w:cs="宋体"/>
          <w:sz w:val="17"/>
          <w:szCs w:val="17"/>
        </w:rPr>
        <w:t xml:space="preserve"> </w:t>
      </w:r>
      <w:r>
        <w:rPr>
          <w:rFonts w:ascii="宋体" w:hAnsi="宋体" w:eastAsia="宋体" w:cs="宋体"/>
          <w:spacing w:val="-3"/>
          <w:sz w:val="17"/>
          <w:szCs w:val="17"/>
        </w:rPr>
        <w:t>含它的较层次考试水平。其具体含义为：</w:t>
      </w:r>
    </w:p>
    <w:p w14:paraId="526DFB84">
      <w:pPr>
        <w:spacing w:before="13" w:line="308" w:lineRule="auto"/>
        <w:ind w:right="348" w:firstLine="370"/>
        <w:jc w:val="both"/>
        <w:rPr>
          <w:rFonts w:ascii="宋体" w:hAnsi="宋体" w:eastAsia="宋体" w:cs="宋体"/>
          <w:sz w:val="17"/>
          <w:szCs w:val="17"/>
        </w:rPr>
      </w:pPr>
      <w:r>
        <w:rPr>
          <w:rFonts w:ascii="Times New Roman" w:hAnsi="Times New Roman" w:eastAsia="Times New Roman" w:cs="Times New Roman"/>
          <w:spacing w:val="15"/>
          <w:sz w:val="17"/>
          <w:szCs w:val="17"/>
        </w:rPr>
        <w:t>A</w:t>
      </w:r>
      <w:r>
        <w:rPr>
          <w:rFonts w:ascii="宋体" w:hAnsi="宋体" w:eastAsia="宋体" w:cs="宋体"/>
          <w:spacing w:val="15"/>
          <w:sz w:val="17"/>
          <w:szCs w:val="17"/>
        </w:rPr>
        <w:t>(识记):指正确地回忆、再现学过的计算</w:t>
      </w:r>
      <w:r>
        <w:rPr>
          <w:rFonts w:ascii="宋体" w:hAnsi="宋体" w:eastAsia="宋体" w:cs="宋体"/>
          <w:spacing w:val="14"/>
          <w:sz w:val="17"/>
          <w:szCs w:val="17"/>
        </w:rPr>
        <w:t>机应</w:t>
      </w:r>
      <w:r>
        <w:rPr>
          <w:rFonts w:ascii="宋体" w:hAnsi="宋体" w:eastAsia="宋体" w:cs="宋体"/>
          <w:sz w:val="17"/>
          <w:szCs w:val="17"/>
        </w:rPr>
        <w:t xml:space="preserve"> </w:t>
      </w:r>
      <w:r>
        <w:rPr>
          <w:rFonts w:ascii="宋体" w:hAnsi="宋体" w:eastAsia="宋体" w:cs="宋体"/>
          <w:spacing w:val="2"/>
          <w:sz w:val="17"/>
          <w:szCs w:val="17"/>
        </w:rPr>
        <w:t>用基础、秘书基础和文书拟写与档案管理的知识。即在</w:t>
      </w:r>
      <w:r>
        <w:rPr>
          <w:rFonts w:ascii="宋体" w:hAnsi="宋体" w:eastAsia="宋体" w:cs="宋体"/>
          <w:spacing w:val="10"/>
          <w:sz w:val="17"/>
          <w:szCs w:val="17"/>
        </w:rPr>
        <w:t xml:space="preserve"> </w:t>
      </w:r>
      <w:r>
        <w:rPr>
          <w:rFonts w:ascii="宋体" w:hAnsi="宋体" w:eastAsia="宋体" w:cs="宋体"/>
          <w:spacing w:val="2"/>
          <w:sz w:val="17"/>
          <w:szCs w:val="17"/>
        </w:rPr>
        <w:t>记忆的水平上考核学生的学习成果。要求考生能从题目</w:t>
      </w:r>
      <w:r>
        <w:rPr>
          <w:rFonts w:ascii="宋体" w:hAnsi="宋体" w:eastAsia="宋体" w:cs="宋体"/>
          <w:spacing w:val="13"/>
          <w:sz w:val="17"/>
          <w:szCs w:val="17"/>
        </w:rPr>
        <w:t xml:space="preserve"> </w:t>
      </w:r>
      <w:r>
        <w:rPr>
          <w:rFonts w:ascii="宋体" w:hAnsi="宋体" w:eastAsia="宋体" w:cs="宋体"/>
          <w:spacing w:val="9"/>
          <w:sz w:val="17"/>
          <w:szCs w:val="17"/>
        </w:rPr>
        <w:t>所提供的材料中识别出学过的知识(再现)或者能按题</w:t>
      </w:r>
      <w:r>
        <w:rPr>
          <w:rFonts w:ascii="宋体" w:hAnsi="宋体" w:eastAsia="宋体" w:cs="宋体"/>
          <w:spacing w:val="11"/>
          <w:sz w:val="17"/>
          <w:szCs w:val="17"/>
        </w:rPr>
        <w:t xml:space="preserve"> </w:t>
      </w:r>
      <w:r>
        <w:rPr>
          <w:rFonts w:ascii="宋体" w:hAnsi="宋体" w:eastAsia="宋体" w:cs="宋体"/>
          <w:spacing w:val="9"/>
          <w:sz w:val="17"/>
          <w:szCs w:val="17"/>
        </w:rPr>
        <w:t>目要求复述学过的知识(回忆)。考核时，所提供的问</w:t>
      </w:r>
      <w:r>
        <w:rPr>
          <w:rFonts w:ascii="宋体" w:hAnsi="宋体" w:eastAsia="宋体" w:cs="宋体"/>
          <w:spacing w:val="2"/>
          <w:sz w:val="17"/>
          <w:szCs w:val="17"/>
        </w:rPr>
        <w:t xml:space="preserve"> 题情境都是在教学中出现过的，试题或答案和教学中的</w:t>
      </w:r>
      <w:r>
        <w:rPr>
          <w:rFonts w:ascii="宋体" w:hAnsi="宋体" w:eastAsia="宋体" w:cs="宋体"/>
          <w:spacing w:val="14"/>
          <w:sz w:val="17"/>
          <w:szCs w:val="17"/>
        </w:rPr>
        <w:t xml:space="preserve"> </w:t>
      </w:r>
      <w:r>
        <w:rPr>
          <w:rFonts w:ascii="宋体" w:hAnsi="宋体" w:eastAsia="宋体" w:cs="宋体"/>
          <w:spacing w:val="2"/>
          <w:sz w:val="17"/>
          <w:szCs w:val="17"/>
        </w:rPr>
        <w:t>相同或相似。包括记忆本专业各学科中基本概念的文字</w:t>
      </w:r>
      <w:r>
        <w:rPr>
          <w:rFonts w:ascii="宋体" w:hAnsi="宋体" w:eastAsia="宋体" w:cs="宋体"/>
          <w:spacing w:val="8"/>
          <w:sz w:val="17"/>
          <w:szCs w:val="17"/>
        </w:rPr>
        <w:t xml:space="preserve"> </w:t>
      </w:r>
      <w:r>
        <w:rPr>
          <w:rFonts w:ascii="宋体" w:hAnsi="宋体" w:eastAsia="宋体" w:cs="宋体"/>
          <w:spacing w:val="3"/>
          <w:sz w:val="17"/>
          <w:szCs w:val="17"/>
        </w:rPr>
        <w:t>及叙述符号，能够识别并记住本专业各学科中的专</w:t>
      </w:r>
      <w:r>
        <w:rPr>
          <w:rFonts w:ascii="宋体" w:hAnsi="宋体" w:eastAsia="宋体" w:cs="宋体"/>
          <w:spacing w:val="2"/>
          <w:sz w:val="17"/>
          <w:szCs w:val="17"/>
        </w:rPr>
        <w:t>用名</w:t>
      </w:r>
      <w:r>
        <w:rPr>
          <w:rFonts w:ascii="宋体" w:hAnsi="宋体" w:eastAsia="宋体" w:cs="宋体"/>
          <w:sz w:val="17"/>
          <w:szCs w:val="17"/>
        </w:rPr>
        <w:t xml:space="preserve"> </w:t>
      </w:r>
      <w:r>
        <w:rPr>
          <w:rFonts w:ascii="宋体" w:hAnsi="宋体" w:eastAsia="宋体" w:cs="宋体"/>
          <w:spacing w:val="-5"/>
          <w:sz w:val="17"/>
          <w:szCs w:val="17"/>
        </w:rPr>
        <w:t>词及其解释。</w:t>
      </w:r>
    </w:p>
    <w:p w14:paraId="54C2DB06">
      <w:pPr>
        <w:spacing w:before="45" w:line="302" w:lineRule="auto"/>
        <w:ind w:right="349" w:firstLine="370"/>
        <w:jc w:val="both"/>
        <w:rPr>
          <w:rFonts w:ascii="宋体" w:hAnsi="宋体" w:eastAsia="宋体" w:cs="宋体"/>
          <w:sz w:val="17"/>
          <w:szCs w:val="17"/>
        </w:rPr>
      </w:pPr>
      <w:r>
        <w:rPr>
          <w:rFonts w:ascii="Times New Roman" w:hAnsi="Times New Roman" w:eastAsia="Times New Roman" w:cs="Times New Roman"/>
          <w:spacing w:val="15"/>
          <w:sz w:val="17"/>
          <w:szCs w:val="17"/>
        </w:rPr>
        <w:t>B</w:t>
      </w:r>
      <w:r>
        <w:rPr>
          <w:rFonts w:ascii="宋体" w:hAnsi="宋体" w:eastAsia="宋体" w:cs="宋体"/>
          <w:spacing w:val="15"/>
          <w:sz w:val="17"/>
          <w:szCs w:val="17"/>
        </w:rPr>
        <w:t>(理解):在记忆基础上，正确领会所学知识的</w:t>
      </w:r>
      <w:r>
        <w:rPr>
          <w:rFonts w:ascii="宋体" w:hAnsi="宋体" w:eastAsia="宋体" w:cs="宋体"/>
          <w:spacing w:val="13"/>
          <w:sz w:val="17"/>
          <w:szCs w:val="17"/>
        </w:rPr>
        <w:t xml:space="preserve"> </w:t>
      </w:r>
      <w:r>
        <w:rPr>
          <w:rFonts w:ascii="宋体" w:hAnsi="宋体" w:eastAsia="宋体" w:cs="宋体"/>
          <w:spacing w:val="2"/>
          <w:sz w:val="17"/>
          <w:szCs w:val="17"/>
        </w:rPr>
        <w:t>意义及其相关知识的内在联系，即要求学生能从实质上</w:t>
      </w:r>
      <w:r>
        <w:rPr>
          <w:rFonts w:ascii="宋体" w:hAnsi="宋体" w:eastAsia="宋体" w:cs="宋体"/>
          <w:spacing w:val="8"/>
          <w:sz w:val="17"/>
          <w:szCs w:val="17"/>
        </w:rPr>
        <w:t xml:space="preserve"> </w:t>
      </w:r>
      <w:r>
        <w:rPr>
          <w:rFonts w:ascii="宋体" w:hAnsi="宋体" w:eastAsia="宋体" w:cs="宋体"/>
          <w:spacing w:val="2"/>
          <w:sz w:val="17"/>
          <w:szCs w:val="17"/>
        </w:rPr>
        <w:t>领会所学知识的涵义。考核时，可以要求学生在保留材</w:t>
      </w:r>
      <w:r>
        <w:rPr>
          <w:rFonts w:ascii="宋体" w:hAnsi="宋体" w:eastAsia="宋体" w:cs="宋体"/>
          <w:spacing w:val="6"/>
          <w:sz w:val="17"/>
          <w:szCs w:val="17"/>
        </w:rPr>
        <w:t xml:space="preserve"> </w:t>
      </w:r>
      <w:r>
        <w:rPr>
          <w:rFonts w:ascii="宋体" w:hAnsi="宋体" w:eastAsia="宋体" w:cs="宋体"/>
          <w:spacing w:val="3"/>
          <w:sz w:val="17"/>
          <w:szCs w:val="17"/>
        </w:rPr>
        <w:t>料基本内容的前提下，改变材料的表述形式，包</w:t>
      </w:r>
      <w:r>
        <w:rPr>
          <w:rFonts w:ascii="宋体" w:hAnsi="宋体" w:eastAsia="宋体" w:cs="宋体"/>
          <w:spacing w:val="2"/>
          <w:sz w:val="17"/>
          <w:szCs w:val="17"/>
        </w:rPr>
        <w:t>括能用</w:t>
      </w:r>
      <w:r>
        <w:rPr>
          <w:rFonts w:ascii="宋体" w:hAnsi="宋体" w:eastAsia="宋体" w:cs="宋体"/>
          <w:sz w:val="17"/>
          <w:szCs w:val="17"/>
        </w:rPr>
        <w:t xml:space="preserve"> </w:t>
      </w:r>
      <w:r>
        <w:rPr>
          <w:rFonts w:ascii="宋体" w:hAnsi="宋体" w:eastAsia="宋体" w:cs="宋体"/>
          <w:spacing w:val="2"/>
          <w:sz w:val="17"/>
          <w:szCs w:val="17"/>
        </w:rPr>
        <w:t>不同于教材中的表达形式准确地说明或解释一些有关计</w:t>
      </w:r>
      <w:r>
        <w:rPr>
          <w:rFonts w:ascii="宋体" w:hAnsi="宋体" w:eastAsia="宋体" w:cs="宋体"/>
          <w:spacing w:val="8"/>
          <w:sz w:val="17"/>
          <w:szCs w:val="17"/>
        </w:rPr>
        <w:t xml:space="preserve"> </w:t>
      </w:r>
      <w:r>
        <w:rPr>
          <w:rFonts w:ascii="宋体" w:hAnsi="宋体" w:eastAsia="宋体" w:cs="宋体"/>
          <w:spacing w:val="2"/>
          <w:sz w:val="17"/>
          <w:szCs w:val="17"/>
        </w:rPr>
        <w:t>算机应用、秘书工作和文书拟写与档案管理工作中的现</w:t>
      </w:r>
      <w:r>
        <w:rPr>
          <w:rFonts w:ascii="宋体" w:hAnsi="宋体" w:eastAsia="宋体" w:cs="宋体"/>
          <w:spacing w:val="7"/>
          <w:sz w:val="17"/>
          <w:szCs w:val="17"/>
        </w:rPr>
        <w:t xml:space="preserve"> </w:t>
      </w:r>
      <w:r>
        <w:rPr>
          <w:rFonts w:ascii="宋体" w:hAnsi="宋体" w:eastAsia="宋体" w:cs="宋体"/>
          <w:spacing w:val="2"/>
          <w:sz w:val="17"/>
          <w:szCs w:val="17"/>
        </w:rPr>
        <w:t>象或问题上。譬如，能够用自己的语言复述或解释计算</w:t>
      </w:r>
      <w:r>
        <w:rPr>
          <w:rFonts w:ascii="宋体" w:hAnsi="宋体" w:eastAsia="宋体" w:cs="宋体"/>
          <w:spacing w:val="8"/>
          <w:sz w:val="17"/>
          <w:szCs w:val="17"/>
        </w:rPr>
        <w:t xml:space="preserve"> </w:t>
      </w:r>
      <w:r>
        <w:rPr>
          <w:rFonts w:ascii="宋体" w:hAnsi="宋体" w:eastAsia="宋体" w:cs="宋体"/>
          <w:spacing w:val="2"/>
          <w:sz w:val="17"/>
          <w:szCs w:val="17"/>
        </w:rPr>
        <w:t>机的有关原理、能够根据知识的相关联系把握秘书的主</w:t>
      </w:r>
      <w:r>
        <w:rPr>
          <w:rFonts w:ascii="宋体" w:hAnsi="宋体" w:eastAsia="宋体" w:cs="宋体"/>
          <w:spacing w:val="10"/>
          <w:sz w:val="17"/>
          <w:szCs w:val="17"/>
        </w:rPr>
        <w:t xml:space="preserve"> </w:t>
      </w:r>
      <w:r>
        <w:rPr>
          <w:rFonts w:ascii="宋体" w:hAnsi="宋体" w:eastAsia="宋体" w:cs="宋体"/>
          <w:spacing w:val="2"/>
          <w:sz w:val="17"/>
          <w:szCs w:val="17"/>
        </w:rPr>
        <w:t>要任务、掌握领导活动的要素、领导意图的形成，如何</w:t>
      </w:r>
      <w:r>
        <w:rPr>
          <w:rFonts w:ascii="宋体" w:hAnsi="宋体" w:eastAsia="宋体" w:cs="宋体"/>
          <w:spacing w:val="7"/>
          <w:sz w:val="17"/>
          <w:szCs w:val="17"/>
        </w:rPr>
        <w:t xml:space="preserve"> </w:t>
      </w:r>
      <w:r>
        <w:rPr>
          <w:rFonts w:ascii="宋体" w:hAnsi="宋体" w:eastAsia="宋体" w:cs="宋体"/>
          <w:spacing w:val="3"/>
          <w:sz w:val="17"/>
          <w:szCs w:val="17"/>
        </w:rPr>
        <w:t>与领导者相处等，能够熟记并区别各种公文</w:t>
      </w:r>
      <w:r>
        <w:rPr>
          <w:rFonts w:ascii="宋体" w:hAnsi="宋体" w:eastAsia="宋体" w:cs="宋体"/>
          <w:spacing w:val="2"/>
          <w:sz w:val="17"/>
          <w:szCs w:val="17"/>
        </w:rPr>
        <w:t>的特点、明</w:t>
      </w:r>
      <w:r>
        <w:rPr>
          <w:rFonts w:ascii="宋体" w:hAnsi="宋体" w:eastAsia="宋体" w:cs="宋体"/>
          <w:sz w:val="17"/>
          <w:szCs w:val="17"/>
        </w:rPr>
        <w:t xml:space="preserve"> </w:t>
      </w:r>
      <w:r>
        <w:rPr>
          <w:rFonts w:ascii="宋体" w:hAnsi="宋体" w:eastAsia="宋体" w:cs="宋体"/>
          <w:spacing w:val="-2"/>
          <w:sz w:val="17"/>
          <w:szCs w:val="17"/>
        </w:rPr>
        <w:t>确纸质档案与数字档案管理的工作步骤等。</w:t>
      </w:r>
    </w:p>
    <w:p w14:paraId="670BF43F">
      <w:pPr>
        <w:spacing w:before="115" w:line="301" w:lineRule="auto"/>
        <w:ind w:right="284" w:firstLine="370"/>
        <w:rPr>
          <w:rFonts w:ascii="宋体" w:hAnsi="宋体" w:eastAsia="宋体" w:cs="宋体"/>
          <w:sz w:val="17"/>
          <w:szCs w:val="17"/>
        </w:rPr>
      </w:pPr>
      <w:r>
        <w:rPr>
          <w:rFonts w:ascii="Times New Roman" w:hAnsi="Times New Roman" w:eastAsia="Times New Roman" w:cs="Times New Roman"/>
          <w:spacing w:val="3"/>
          <w:sz w:val="17"/>
          <w:szCs w:val="17"/>
        </w:rPr>
        <w:t>C</w:t>
      </w:r>
      <w:r>
        <w:rPr>
          <w:rFonts w:ascii="宋体" w:hAnsi="宋体" w:eastAsia="宋体" w:cs="宋体"/>
          <w:spacing w:val="3"/>
          <w:sz w:val="17"/>
          <w:szCs w:val="17"/>
        </w:rPr>
        <w:t xml:space="preserve">(掌握):指考查学生对所学计算机应用基础知识、 </w:t>
      </w:r>
      <w:r>
        <w:rPr>
          <w:rFonts w:ascii="宋体" w:hAnsi="宋体" w:eastAsia="宋体" w:cs="宋体"/>
          <w:spacing w:val="2"/>
          <w:sz w:val="17"/>
          <w:szCs w:val="17"/>
        </w:rPr>
        <w:t>秘书基础和文书拟写与档案管理知识的初步</w:t>
      </w:r>
      <w:r>
        <w:rPr>
          <w:rFonts w:ascii="宋体" w:hAnsi="宋体" w:eastAsia="宋体" w:cs="宋体"/>
          <w:spacing w:val="1"/>
          <w:sz w:val="17"/>
          <w:szCs w:val="17"/>
        </w:rPr>
        <w:t>应用能力。</w:t>
      </w:r>
      <w:r>
        <w:rPr>
          <w:rFonts w:ascii="宋体" w:hAnsi="宋体" w:eastAsia="宋体" w:cs="宋体"/>
          <w:sz w:val="17"/>
          <w:szCs w:val="17"/>
        </w:rPr>
        <w:t xml:space="preserve">  </w:t>
      </w:r>
      <w:r>
        <w:rPr>
          <w:rFonts w:ascii="宋体" w:hAnsi="宋体" w:eastAsia="宋体" w:cs="宋体"/>
          <w:spacing w:val="3"/>
          <w:sz w:val="17"/>
          <w:szCs w:val="17"/>
        </w:rPr>
        <w:t>能灵活地运用所掌握的计算机应用基础知识，对</w:t>
      </w:r>
      <w:r>
        <w:rPr>
          <w:rFonts w:ascii="宋体" w:hAnsi="宋体" w:eastAsia="宋体" w:cs="宋体"/>
          <w:spacing w:val="2"/>
          <w:sz w:val="17"/>
          <w:szCs w:val="17"/>
        </w:rPr>
        <w:t>在使用</w:t>
      </w:r>
      <w:r>
        <w:rPr>
          <w:rFonts w:ascii="宋体" w:hAnsi="宋体" w:eastAsia="宋体" w:cs="宋体"/>
          <w:sz w:val="17"/>
          <w:szCs w:val="17"/>
        </w:rPr>
        <w:t xml:space="preserve"> </w:t>
      </w:r>
      <w:r>
        <w:rPr>
          <w:rFonts w:ascii="宋体" w:hAnsi="宋体" w:eastAsia="宋体" w:cs="宋体"/>
          <w:spacing w:val="2"/>
          <w:sz w:val="17"/>
          <w:szCs w:val="17"/>
        </w:rPr>
        <w:t>计算机过程中所出现的出错信息做出解释，能使用计算</w:t>
      </w:r>
      <w:r>
        <w:rPr>
          <w:rFonts w:ascii="宋体" w:hAnsi="宋体" w:eastAsia="宋体" w:cs="宋体"/>
          <w:spacing w:val="4"/>
          <w:sz w:val="17"/>
          <w:szCs w:val="17"/>
        </w:rPr>
        <w:t xml:space="preserve">  </w:t>
      </w:r>
      <w:r>
        <w:rPr>
          <w:rFonts w:ascii="宋体" w:hAnsi="宋体" w:eastAsia="宋体" w:cs="宋体"/>
          <w:spacing w:val="2"/>
          <w:sz w:val="17"/>
          <w:szCs w:val="17"/>
        </w:rPr>
        <w:t>机进行简单的操作，具有初步解决问题的能力。运用所</w:t>
      </w:r>
      <w:r>
        <w:rPr>
          <w:rFonts w:ascii="宋体" w:hAnsi="宋体" w:eastAsia="宋体" w:cs="宋体"/>
          <w:spacing w:val="3"/>
          <w:sz w:val="17"/>
          <w:szCs w:val="17"/>
        </w:rPr>
        <w:t xml:space="preserve">  </w:t>
      </w:r>
      <w:r>
        <w:rPr>
          <w:rFonts w:ascii="宋体" w:hAnsi="宋体" w:eastAsia="宋体" w:cs="宋体"/>
          <w:spacing w:val="2"/>
          <w:sz w:val="17"/>
          <w:szCs w:val="17"/>
        </w:rPr>
        <w:t>学过的秘书基础知识和文书与档案的知识解决新情境下</w:t>
      </w:r>
      <w:r>
        <w:rPr>
          <w:rFonts w:ascii="宋体" w:hAnsi="宋体" w:eastAsia="宋体" w:cs="宋体"/>
          <w:spacing w:val="6"/>
          <w:sz w:val="17"/>
          <w:szCs w:val="17"/>
        </w:rPr>
        <w:t xml:space="preserve">  </w:t>
      </w:r>
      <w:r>
        <w:rPr>
          <w:rFonts w:ascii="宋体" w:hAnsi="宋体" w:eastAsia="宋体" w:cs="宋体"/>
          <w:spacing w:val="1"/>
          <w:sz w:val="17"/>
          <w:szCs w:val="17"/>
        </w:rPr>
        <w:t>出现的简单问题。如对所给的信息情境材料分析比较，</w:t>
      </w:r>
      <w:r>
        <w:rPr>
          <w:rFonts w:ascii="宋体" w:hAnsi="宋体" w:eastAsia="宋体" w:cs="宋体"/>
          <w:sz w:val="17"/>
          <w:szCs w:val="17"/>
        </w:rPr>
        <w:t xml:space="preserve">  </w:t>
      </w:r>
      <w:r>
        <w:rPr>
          <w:rFonts w:ascii="宋体" w:hAnsi="宋体" w:eastAsia="宋体" w:cs="宋体"/>
          <w:spacing w:val="2"/>
          <w:sz w:val="17"/>
          <w:szCs w:val="17"/>
        </w:rPr>
        <w:t>指出此时信息工作应依据的原则，以考核学生分析、比</w:t>
      </w:r>
      <w:r>
        <w:rPr>
          <w:rFonts w:ascii="宋体" w:hAnsi="宋体" w:eastAsia="宋体" w:cs="宋体"/>
          <w:spacing w:val="5"/>
          <w:sz w:val="17"/>
          <w:szCs w:val="17"/>
        </w:rPr>
        <w:t xml:space="preserve">  </w:t>
      </w:r>
      <w:r>
        <w:rPr>
          <w:rFonts w:ascii="宋体" w:hAnsi="宋体" w:eastAsia="宋体" w:cs="宋体"/>
          <w:spacing w:val="-3"/>
          <w:sz w:val="17"/>
          <w:szCs w:val="17"/>
        </w:rPr>
        <w:t>较和解决问题的能力。</w:t>
      </w:r>
    </w:p>
    <w:p w14:paraId="5FAE61A7">
      <w:pPr>
        <w:spacing w:before="94" w:line="299" w:lineRule="auto"/>
        <w:ind w:right="288" w:firstLine="370"/>
        <w:jc w:val="both"/>
        <w:rPr>
          <w:rFonts w:ascii="宋体" w:hAnsi="宋体" w:eastAsia="宋体" w:cs="宋体"/>
          <w:sz w:val="17"/>
          <w:szCs w:val="17"/>
        </w:rPr>
      </w:pPr>
      <w:r>
        <w:rPr>
          <w:rFonts w:ascii="Times New Roman" w:hAnsi="Times New Roman" w:eastAsia="Times New Roman" w:cs="Times New Roman"/>
          <w:spacing w:val="15"/>
          <w:sz w:val="17"/>
          <w:szCs w:val="17"/>
        </w:rPr>
        <w:t>D</w:t>
      </w:r>
      <w:r>
        <w:rPr>
          <w:rFonts w:ascii="宋体" w:hAnsi="宋体" w:eastAsia="宋体" w:cs="宋体"/>
          <w:spacing w:val="15"/>
          <w:sz w:val="17"/>
          <w:szCs w:val="17"/>
        </w:rPr>
        <w:t>(综合运用):指综合运用所学的计算机应</w:t>
      </w:r>
      <w:r>
        <w:rPr>
          <w:rFonts w:ascii="宋体" w:hAnsi="宋体" w:eastAsia="宋体" w:cs="宋体"/>
          <w:spacing w:val="14"/>
          <w:sz w:val="17"/>
          <w:szCs w:val="17"/>
        </w:rPr>
        <w:t>用基</w:t>
      </w:r>
      <w:r>
        <w:rPr>
          <w:rFonts w:ascii="宋体" w:hAnsi="宋体" w:eastAsia="宋体" w:cs="宋体"/>
          <w:sz w:val="17"/>
          <w:szCs w:val="17"/>
        </w:rPr>
        <w:t xml:space="preserve">  </w:t>
      </w:r>
      <w:r>
        <w:rPr>
          <w:rFonts w:ascii="宋体" w:hAnsi="宋体" w:eastAsia="宋体" w:cs="宋体"/>
          <w:spacing w:val="2"/>
          <w:sz w:val="17"/>
          <w:szCs w:val="17"/>
        </w:rPr>
        <w:t>础知识、秘书基础知识和文书拟写与档案管理的知识和</w:t>
      </w:r>
      <w:r>
        <w:rPr>
          <w:rFonts w:ascii="宋体" w:hAnsi="宋体" w:eastAsia="宋体" w:cs="宋体"/>
          <w:spacing w:val="7"/>
          <w:sz w:val="17"/>
          <w:szCs w:val="17"/>
        </w:rPr>
        <w:t xml:space="preserve">  </w:t>
      </w:r>
      <w:r>
        <w:rPr>
          <w:rFonts w:ascii="宋体" w:hAnsi="宋体" w:eastAsia="宋体" w:cs="宋体"/>
          <w:spacing w:val="2"/>
          <w:sz w:val="17"/>
          <w:szCs w:val="17"/>
        </w:rPr>
        <w:t>方法去分析、判断、解决新情境中较为复杂的问题。即</w:t>
      </w:r>
      <w:r>
        <w:rPr>
          <w:rFonts w:ascii="宋体" w:hAnsi="宋体" w:eastAsia="宋体" w:cs="宋体"/>
          <w:spacing w:val="18"/>
          <w:sz w:val="17"/>
          <w:szCs w:val="17"/>
        </w:rPr>
        <w:t xml:space="preserve"> </w:t>
      </w:r>
      <w:r>
        <w:rPr>
          <w:rFonts w:ascii="宋体" w:hAnsi="宋体" w:eastAsia="宋体" w:cs="宋体"/>
          <w:spacing w:val="2"/>
          <w:sz w:val="17"/>
          <w:szCs w:val="17"/>
        </w:rPr>
        <w:t>要求学生能灵活运用所学知识解决实际工作中的综合性</w:t>
      </w:r>
      <w:r>
        <w:rPr>
          <w:rFonts w:ascii="宋体" w:hAnsi="宋体" w:eastAsia="宋体" w:cs="宋体"/>
          <w:spacing w:val="3"/>
          <w:sz w:val="17"/>
          <w:szCs w:val="17"/>
        </w:rPr>
        <w:t xml:space="preserve">  </w:t>
      </w:r>
      <w:r>
        <w:rPr>
          <w:rFonts w:ascii="宋体" w:hAnsi="宋体" w:eastAsia="宋体" w:cs="宋体"/>
          <w:spacing w:val="2"/>
          <w:sz w:val="17"/>
          <w:szCs w:val="17"/>
        </w:rPr>
        <w:t>问题，以考核学生综合应用能力。譬如在新情境中解决</w:t>
      </w:r>
      <w:r>
        <w:rPr>
          <w:rFonts w:ascii="宋体" w:hAnsi="宋体" w:eastAsia="宋体" w:cs="宋体"/>
          <w:spacing w:val="3"/>
          <w:sz w:val="17"/>
          <w:szCs w:val="17"/>
        </w:rPr>
        <w:t xml:space="preserve">  </w:t>
      </w:r>
      <w:r>
        <w:rPr>
          <w:rFonts w:ascii="宋体" w:hAnsi="宋体" w:eastAsia="宋体" w:cs="宋体"/>
          <w:spacing w:val="2"/>
          <w:sz w:val="17"/>
          <w:szCs w:val="17"/>
        </w:rPr>
        <w:t>秘书与领导班子相处、与具体领导人相处的问题，对信</w:t>
      </w:r>
      <w:r>
        <w:rPr>
          <w:rFonts w:ascii="宋体" w:hAnsi="宋体" w:eastAsia="宋体" w:cs="宋体"/>
          <w:spacing w:val="6"/>
          <w:sz w:val="17"/>
          <w:szCs w:val="17"/>
        </w:rPr>
        <w:t xml:space="preserve">  </w:t>
      </w:r>
      <w:r>
        <w:rPr>
          <w:rFonts w:ascii="宋体" w:hAnsi="宋体" w:eastAsia="宋体" w:cs="宋体"/>
          <w:spacing w:val="-2"/>
          <w:sz w:val="17"/>
          <w:szCs w:val="17"/>
        </w:rPr>
        <w:t>息进行处理、选择、进行调查研究、正确辅佐领导决策、</w:t>
      </w:r>
      <w:r>
        <w:rPr>
          <w:rFonts w:ascii="宋体" w:hAnsi="宋体" w:eastAsia="宋体" w:cs="宋体"/>
          <w:spacing w:val="10"/>
          <w:sz w:val="17"/>
          <w:szCs w:val="17"/>
        </w:rPr>
        <w:t xml:space="preserve"> </w:t>
      </w:r>
      <w:r>
        <w:rPr>
          <w:rFonts w:ascii="宋体" w:hAnsi="宋体" w:eastAsia="宋体" w:cs="宋体"/>
          <w:spacing w:val="2"/>
          <w:sz w:val="17"/>
          <w:szCs w:val="17"/>
        </w:rPr>
        <w:t>分析失调状态、会议组织等实际工作问题等，以及如何</w:t>
      </w:r>
      <w:r>
        <w:rPr>
          <w:rFonts w:ascii="宋体" w:hAnsi="宋体" w:eastAsia="宋体" w:cs="宋体"/>
          <w:spacing w:val="3"/>
          <w:sz w:val="17"/>
          <w:szCs w:val="17"/>
        </w:rPr>
        <w:t xml:space="preserve">  </w:t>
      </w:r>
      <w:r>
        <w:rPr>
          <w:rFonts w:ascii="宋体" w:hAnsi="宋体" w:eastAsia="宋体" w:cs="宋体"/>
          <w:spacing w:val="2"/>
          <w:sz w:val="17"/>
          <w:szCs w:val="17"/>
        </w:rPr>
        <w:t>依据文书与档案工作的原则要求在新情境中进行文书拟</w:t>
      </w:r>
      <w:r>
        <w:rPr>
          <w:rFonts w:ascii="宋体" w:hAnsi="宋体" w:eastAsia="宋体" w:cs="宋体"/>
          <w:spacing w:val="5"/>
          <w:sz w:val="17"/>
          <w:szCs w:val="17"/>
        </w:rPr>
        <w:t xml:space="preserve">  </w:t>
      </w:r>
      <w:r>
        <w:rPr>
          <w:rFonts w:ascii="宋体" w:hAnsi="宋体" w:eastAsia="宋体" w:cs="宋体"/>
          <w:spacing w:val="2"/>
          <w:sz w:val="17"/>
          <w:szCs w:val="17"/>
        </w:rPr>
        <w:t>写、办理、归档管理等，把握电子文件整理与纸质文件</w:t>
      </w:r>
      <w:r>
        <w:rPr>
          <w:rFonts w:ascii="宋体" w:hAnsi="宋体" w:eastAsia="宋体" w:cs="宋体"/>
          <w:spacing w:val="4"/>
          <w:sz w:val="17"/>
          <w:szCs w:val="17"/>
        </w:rPr>
        <w:t xml:space="preserve">  </w:t>
      </w:r>
      <w:r>
        <w:rPr>
          <w:rFonts w:ascii="宋体" w:hAnsi="宋体" w:eastAsia="宋体" w:cs="宋体"/>
          <w:spacing w:val="2"/>
          <w:sz w:val="17"/>
          <w:szCs w:val="17"/>
        </w:rPr>
        <w:t>整理的联系与区别，开展好档案数字化管理，能够按照</w:t>
      </w:r>
    </w:p>
    <w:p w14:paraId="45A454BE">
      <w:pPr>
        <w:pStyle w:val="2"/>
        <w:spacing w:line="14" w:lineRule="auto"/>
        <w:rPr>
          <w:sz w:val="2"/>
        </w:rPr>
      </w:pPr>
      <w:r>
        <w:rPr>
          <w:sz w:val="2"/>
          <w:szCs w:val="2"/>
        </w:rPr>
        <w:br w:type="column"/>
      </w:r>
    </w:p>
    <w:p w14:paraId="2339ED77">
      <w:pPr>
        <w:spacing w:before="32" w:line="219" w:lineRule="auto"/>
        <w:rPr>
          <w:rFonts w:ascii="宋体" w:hAnsi="宋体" w:eastAsia="宋体" w:cs="宋体"/>
          <w:sz w:val="17"/>
          <w:szCs w:val="17"/>
        </w:rPr>
      </w:pPr>
      <w:r>
        <w:rPr>
          <w:rFonts w:ascii="宋体" w:hAnsi="宋体" w:eastAsia="宋体" w:cs="宋体"/>
          <w:spacing w:val="-3"/>
          <w:sz w:val="17"/>
          <w:szCs w:val="17"/>
        </w:rPr>
        <w:t>要求写出规范的公文等。</w:t>
      </w:r>
    </w:p>
    <w:p w14:paraId="0639D06B">
      <w:pPr>
        <w:spacing w:before="145" w:line="219" w:lineRule="auto"/>
        <w:ind w:left="12"/>
        <w:rPr>
          <w:rFonts w:ascii="宋体" w:hAnsi="宋体" w:eastAsia="宋体" w:cs="宋体"/>
          <w:sz w:val="17"/>
          <w:szCs w:val="17"/>
        </w:rPr>
      </w:pPr>
      <w:r>
        <w:rPr>
          <w:rFonts w:ascii="宋体" w:hAnsi="宋体" w:eastAsia="宋体" w:cs="宋体"/>
          <w:b/>
          <w:bCs/>
          <w:spacing w:val="-16"/>
          <w:sz w:val="17"/>
          <w:szCs w:val="17"/>
        </w:rPr>
        <w:t>三</w:t>
      </w:r>
      <w:r>
        <w:rPr>
          <w:rFonts w:ascii="宋体" w:hAnsi="宋体" w:eastAsia="宋体" w:cs="宋体"/>
          <w:spacing w:val="36"/>
          <w:w w:val="101"/>
          <w:sz w:val="17"/>
          <w:szCs w:val="17"/>
        </w:rPr>
        <w:t xml:space="preserve"> </w:t>
      </w:r>
      <w:r>
        <w:rPr>
          <w:rFonts w:ascii="宋体" w:hAnsi="宋体" w:eastAsia="宋体" w:cs="宋体"/>
          <w:b/>
          <w:bCs/>
          <w:spacing w:val="-16"/>
          <w:sz w:val="17"/>
          <w:szCs w:val="17"/>
        </w:rPr>
        <w:t>、考</w:t>
      </w:r>
      <w:r>
        <w:rPr>
          <w:rFonts w:ascii="宋体" w:hAnsi="宋体" w:eastAsia="宋体" w:cs="宋体"/>
          <w:spacing w:val="4"/>
          <w:sz w:val="17"/>
          <w:szCs w:val="17"/>
        </w:rPr>
        <w:t xml:space="preserve"> </w:t>
      </w:r>
      <w:r>
        <w:rPr>
          <w:rFonts w:ascii="宋体" w:hAnsi="宋体" w:eastAsia="宋体" w:cs="宋体"/>
          <w:b/>
          <w:bCs/>
          <w:spacing w:val="-16"/>
          <w:sz w:val="17"/>
          <w:szCs w:val="17"/>
        </w:rPr>
        <w:t>试</w:t>
      </w:r>
      <w:r>
        <w:rPr>
          <w:rFonts w:ascii="宋体" w:hAnsi="宋体" w:eastAsia="宋体" w:cs="宋体"/>
          <w:spacing w:val="37"/>
          <w:sz w:val="17"/>
          <w:szCs w:val="17"/>
        </w:rPr>
        <w:t xml:space="preserve"> </w:t>
      </w:r>
      <w:r>
        <w:rPr>
          <w:rFonts w:ascii="宋体" w:hAnsi="宋体" w:eastAsia="宋体" w:cs="宋体"/>
          <w:b/>
          <w:bCs/>
          <w:spacing w:val="-16"/>
          <w:sz w:val="17"/>
          <w:szCs w:val="17"/>
        </w:rPr>
        <w:t>目</w:t>
      </w:r>
      <w:r>
        <w:rPr>
          <w:rFonts w:ascii="宋体" w:hAnsi="宋体" w:eastAsia="宋体" w:cs="宋体"/>
          <w:spacing w:val="5"/>
          <w:sz w:val="17"/>
          <w:szCs w:val="17"/>
        </w:rPr>
        <w:t xml:space="preserve"> </w:t>
      </w:r>
      <w:r>
        <w:rPr>
          <w:rFonts w:ascii="宋体" w:hAnsi="宋体" w:eastAsia="宋体" w:cs="宋体"/>
          <w:b/>
          <w:bCs/>
          <w:spacing w:val="-16"/>
          <w:sz w:val="17"/>
          <w:szCs w:val="17"/>
        </w:rPr>
        <w:t>标</w:t>
      </w:r>
    </w:p>
    <w:p w14:paraId="69BB7673">
      <w:pPr>
        <w:pStyle w:val="2"/>
        <w:spacing w:line="428" w:lineRule="auto"/>
      </w:pPr>
    </w:p>
    <w:p w14:paraId="17252939">
      <w:pPr>
        <w:spacing w:before="56" w:line="221" w:lineRule="auto"/>
        <w:ind w:left="892"/>
        <w:rPr>
          <w:rFonts w:ascii="黑体" w:hAnsi="黑体" w:eastAsia="黑体" w:cs="黑体"/>
          <w:sz w:val="17"/>
          <w:szCs w:val="17"/>
        </w:rPr>
      </w:pPr>
      <w:r>
        <w:rPr>
          <w:rFonts w:ascii="黑体" w:hAnsi="黑体" w:eastAsia="黑体" w:cs="黑体"/>
          <w:b/>
          <w:bCs/>
          <w:spacing w:val="19"/>
          <w:sz w:val="17"/>
          <w:szCs w:val="17"/>
        </w:rPr>
        <w:t>第</w:t>
      </w:r>
      <w:r>
        <w:rPr>
          <w:rFonts w:ascii="黑体" w:hAnsi="黑体" w:eastAsia="黑体" w:cs="黑体"/>
          <w:spacing w:val="-29"/>
          <w:sz w:val="17"/>
          <w:szCs w:val="17"/>
        </w:rPr>
        <w:t xml:space="preserve"> </w:t>
      </w:r>
      <w:r>
        <w:rPr>
          <w:rFonts w:ascii="黑体" w:hAnsi="黑体" w:eastAsia="黑体" w:cs="黑体"/>
          <w:b/>
          <w:bCs/>
          <w:spacing w:val="19"/>
          <w:sz w:val="17"/>
          <w:szCs w:val="17"/>
        </w:rPr>
        <w:t>一</w:t>
      </w:r>
      <w:r>
        <w:rPr>
          <w:rFonts w:ascii="黑体" w:hAnsi="黑体" w:eastAsia="黑体" w:cs="黑体"/>
          <w:spacing w:val="-36"/>
          <w:sz w:val="17"/>
          <w:szCs w:val="17"/>
        </w:rPr>
        <w:t xml:space="preserve"> </w:t>
      </w:r>
      <w:r>
        <w:rPr>
          <w:rFonts w:ascii="黑体" w:hAnsi="黑体" w:eastAsia="黑体" w:cs="黑体"/>
          <w:b/>
          <w:bCs/>
          <w:spacing w:val="19"/>
          <w:sz w:val="17"/>
          <w:szCs w:val="17"/>
        </w:rPr>
        <w:t>部分</w:t>
      </w:r>
      <w:r>
        <w:rPr>
          <w:rFonts w:ascii="黑体" w:hAnsi="黑体" w:eastAsia="黑体" w:cs="黑体"/>
          <w:spacing w:val="85"/>
          <w:sz w:val="17"/>
          <w:szCs w:val="17"/>
        </w:rPr>
        <w:t xml:space="preserve"> </w:t>
      </w:r>
      <w:r>
        <w:rPr>
          <w:rFonts w:ascii="黑体" w:hAnsi="黑体" w:eastAsia="黑体" w:cs="黑体"/>
          <w:b/>
          <w:bCs/>
          <w:spacing w:val="19"/>
          <w:sz w:val="17"/>
          <w:szCs w:val="17"/>
        </w:rPr>
        <w:t>计算机应用基础</w:t>
      </w:r>
    </w:p>
    <w:p w14:paraId="3AD2C915">
      <w:pPr>
        <w:pStyle w:val="2"/>
        <w:spacing w:line="329" w:lineRule="auto"/>
      </w:pPr>
    </w:p>
    <w:p w14:paraId="01C8FCC8">
      <w:pPr>
        <w:spacing w:before="56" w:line="222" w:lineRule="auto"/>
        <w:ind w:left="1172"/>
        <w:rPr>
          <w:rFonts w:ascii="黑体" w:hAnsi="黑体" w:eastAsia="黑体" w:cs="黑体"/>
          <w:sz w:val="17"/>
          <w:szCs w:val="17"/>
        </w:rPr>
      </w:pPr>
      <w:r>
        <w:rPr>
          <w:rFonts w:ascii="黑体" w:hAnsi="黑体" w:eastAsia="黑体" w:cs="黑体"/>
          <w:b/>
          <w:bCs/>
          <w:spacing w:val="-4"/>
          <w:sz w:val="17"/>
          <w:szCs w:val="17"/>
        </w:rPr>
        <w:t>专题</w:t>
      </w:r>
      <w:r>
        <w:rPr>
          <w:rFonts w:ascii="黑体" w:hAnsi="黑体" w:eastAsia="黑体" w:cs="黑体"/>
          <w:spacing w:val="-34"/>
          <w:sz w:val="17"/>
          <w:szCs w:val="17"/>
        </w:rPr>
        <w:t xml:space="preserve"> </w:t>
      </w:r>
      <w:r>
        <w:rPr>
          <w:rFonts w:ascii="黑体" w:hAnsi="黑体" w:eastAsia="黑体" w:cs="黑体"/>
          <w:b/>
          <w:bCs/>
          <w:spacing w:val="-4"/>
          <w:sz w:val="17"/>
          <w:szCs w:val="17"/>
        </w:rPr>
        <w:t>一</w:t>
      </w:r>
      <w:r>
        <w:rPr>
          <w:rFonts w:ascii="黑体" w:hAnsi="黑体" w:eastAsia="黑体" w:cs="黑体"/>
          <w:spacing w:val="18"/>
          <w:sz w:val="17"/>
          <w:szCs w:val="17"/>
        </w:rPr>
        <w:t xml:space="preserve">  </w:t>
      </w:r>
      <w:r>
        <w:rPr>
          <w:rFonts w:ascii="黑体" w:hAnsi="黑体" w:eastAsia="黑体" w:cs="黑体"/>
          <w:b/>
          <w:bCs/>
          <w:spacing w:val="-4"/>
          <w:sz w:val="17"/>
          <w:szCs w:val="17"/>
        </w:rPr>
        <w:t>认</w:t>
      </w:r>
      <w:r>
        <w:rPr>
          <w:rFonts w:ascii="黑体" w:hAnsi="黑体" w:eastAsia="黑体" w:cs="黑体"/>
          <w:spacing w:val="-38"/>
          <w:sz w:val="17"/>
          <w:szCs w:val="17"/>
        </w:rPr>
        <w:t xml:space="preserve"> </w:t>
      </w:r>
      <w:r>
        <w:rPr>
          <w:rFonts w:ascii="黑体" w:hAnsi="黑体" w:eastAsia="黑体" w:cs="黑体"/>
          <w:b/>
          <w:bCs/>
          <w:spacing w:val="-4"/>
          <w:sz w:val="17"/>
          <w:szCs w:val="17"/>
        </w:rPr>
        <w:t>识</w:t>
      </w:r>
      <w:r>
        <w:rPr>
          <w:rFonts w:ascii="黑体" w:hAnsi="黑体" w:eastAsia="黑体" w:cs="黑体"/>
          <w:spacing w:val="-38"/>
          <w:sz w:val="17"/>
          <w:szCs w:val="17"/>
        </w:rPr>
        <w:t xml:space="preserve"> </w:t>
      </w:r>
      <w:r>
        <w:rPr>
          <w:rFonts w:ascii="黑体" w:hAnsi="黑体" w:eastAsia="黑体" w:cs="黑体"/>
          <w:b/>
          <w:bCs/>
          <w:spacing w:val="-4"/>
          <w:sz w:val="17"/>
          <w:szCs w:val="17"/>
        </w:rPr>
        <w:t>计</w:t>
      </w:r>
      <w:r>
        <w:rPr>
          <w:rFonts w:ascii="黑体" w:hAnsi="黑体" w:eastAsia="黑体" w:cs="黑体"/>
          <w:spacing w:val="-39"/>
          <w:sz w:val="17"/>
          <w:szCs w:val="17"/>
        </w:rPr>
        <w:t xml:space="preserve"> </w:t>
      </w:r>
      <w:r>
        <w:rPr>
          <w:rFonts w:ascii="黑体" w:hAnsi="黑体" w:eastAsia="黑体" w:cs="黑体"/>
          <w:b/>
          <w:bCs/>
          <w:spacing w:val="-4"/>
          <w:sz w:val="17"/>
          <w:szCs w:val="17"/>
        </w:rPr>
        <w:t>算</w:t>
      </w:r>
      <w:r>
        <w:rPr>
          <w:rFonts w:ascii="黑体" w:hAnsi="黑体" w:eastAsia="黑体" w:cs="黑体"/>
          <w:spacing w:val="-39"/>
          <w:sz w:val="17"/>
          <w:szCs w:val="17"/>
        </w:rPr>
        <w:t xml:space="preserve"> </w:t>
      </w:r>
      <w:r>
        <w:rPr>
          <w:rFonts w:ascii="黑体" w:hAnsi="黑体" w:eastAsia="黑体" w:cs="黑体"/>
          <w:b/>
          <w:bCs/>
          <w:spacing w:val="-4"/>
          <w:sz w:val="17"/>
          <w:szCs w:val="17"/>
        </w:rPr>
        <w:t>机</w:t>
      </w:r>
    </w:p>
    <w:p w14:paraId="5BBA103E">
      <w:pPr>
        <w:spacing w:line="87" w:lineRule="exact"/>
      </w:pPr>
    </w:p>
    <w:tbl>
      <w:tblPr>
        <w:tblStyle w:val="5"/>
        <w:tblW w:w="4130" w:type="dxa"/>
        <w:tblInd w:w="1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14"/>
        <w:gridCol w:w="239"/>
        <w:gridCol w:w="220"/>
        <w:gridCol w:w="230"/>
        <w:gridCol w:w="234"/>
      </w:tblGrid>
      <w:tr w14:paraId="451077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4" w:hRule="atLeast"/>
        </w:trPr>
        <w:tc>
          <w:tcPr>
            <w:tcW w:w="893" w:type="dxa"/>
            <w:vMerge w:val="restart"/>
            <w:tcBorders>
              <w:bottom w:val="nil"/>
            </w:tcBorders>
            <w:vAlign w:val="top"/>
          </w:tcPr>
          <w:p w14:paraId="6949C65F">
            <w:pPr>
              <w:pStyle w:val="6"/>
              <w:spacing w:before="80" w:line="230" w:lineRule="auto"/>
              <w:ind w:left="257" w:right="1" w:hanging="240"/>
              <w:rPr>
                <w:sz w:val="18"/>
                <w:szCs w:val="18"/>
              </w:rPr>
            </w:pPr>
            <w:r>
              <w:rPr>
                <w:b/>
                <w:bCs/>
                <w:spacing w:val="-10"/>
                <w:sz w:val="18"/>
                <w:szCs w:val="18"/>
              </w:rPr>
              <w:t>知识与技能</w:t>
            </w:r>
            <w:r>
              <w:rPr>
                <w:spacing w:val="3"/>
                <w:sz w:val="18"/>
                <w:szCs w:val="18"/>
              </w:rPr>
              <w:t xml:space="preserve"> </w:t>
            </w:r>
            <w:r>
              <w:rPr>
                <w:b/>
                <w:bCs/>
                <w:spacing w:val="-4"/>
                <w:sz w:val="18"/>
                <w:szCs w:val="18"/>
              </w:rPr>
              <w:t>要点</w:t>
            </w:r>
          </w:p>
        </w:tc>
        <w:tc>
          <w:tcPr>
            <w:tcW w:w="2314" w:type="dxa"/>
            <w:vMerge w:val="restart"/>
            <w:tcBorders>
              <w:bottom w:val="nil"/>
            </w:tcBorders>
            <w:vAlign w:val="top"/>
          </w:tcPr>
          <w:p w14:paraId="77D1B868">
            <w:pPr>
              <w:pStyle w:val="6"/>
              <w:spacing w:before="190" w:line="219" w:lineRule="auto"/>
              <w:ind w:left="844"/>
              <w:rPr>
                <w:sz w:val="18"/>
                <w:szCs w:val="18"/>
              </w:rPr>
            </w:pPr>
            <w:r>
              <w:rPr>
                <w:b/>
                <w:bCs/>
                <w:spacing w:val="5"/>
                <w:sz w:val="18"/>
                <w:szCs w:val="18"/>
              </w:rPr>
              <w:t>考试条目</w:t>
            </w:r>
          </w:p>
        </w:tc>
        <w:tc>
          <w:tcPr>
            <w:tcW w:w="923" w:type="dxa"/>
            <w:gridSpan w:val="4"/>
            <w:vAlign w:val="top"/>
          </w:tcPr>
          <w:p w14:paraId="54D97A36">
            <w:pPr>
              <w:pStyle w:val="6"/>
              <w:spacing w:before="49" w:line="219" w:lineRule="auto"/>
              <w:ind w:left="150"/>
              <w:rPr>
                <w:sz w:val="18"/>
                <w:szCs w:val="18"/>
              </w:rPr>
            </w:pPr>
            <w:r>
              <w:rPr>
                <w:b/>
                <w:bCs/>
                <w:spacing w:val="-4"/>
                <w:sz w:val="18"/>
                <w:szCs w:val="18"/>
              </w:rPr>
              <w:t>考试水平</w:t>
            </w:r>
          </w:p>
        </w:tc>
      </w:tr>
      <w:tr w14:paraId="591314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trPr>
        <w:tc>
          <w:tcPr>
            <w:tcW w:w="893" w:type="dxa"/>
            <w:vMerge w:val="continue"/>
            <w:tcBorders>
              <w:top w:val="nil"/>
            </w:tcBorders>
            <w:vAlign w:val="top"/>
          </w:tcPr>
          <w:p w14:paraId="00AB5051">
            <w:pPr>
              <w:rPr>
                <w:rFonts w:ascii="Arial"/>
                <w:sz w:val="21"/>
              </w:rPr>
            </w:pPr>
          </w:p>
        </w:tc>
        <w:tc>
          <w:tcPr>
            <w:tcW w:w="2314" w:type="dxa"/>
            <w:vMerge w:val="continue"/>
            <w:tcBorders>
              <w:top w:val="nil"/>
            </w:tcBorders>
            <w:vAlign w:val="top"/>
          </w:tcPr>
          <w:p w14:paraId="526E1AFF">
            <w:pPr>
              <w:rPr>
                <w:rFonts w:ascii="Arial"/>
                <w:sz w:val="21"/>
              </w:rPr>
            </w:pPr>
          </w:p>
        </w:tc>
        <w:tc>
          <w:tcPr>
            <w:tcW w:w="239" w:type="dxa"/>
            <w:vAlign w:val="top"/>
          </w:tcPr>
          <w:p w14:paraId="6E095AC4">
            <w:pPr>
              <w:pStyle w:val="6"/>
              <w:spacing w:before="93" w:line="171" w:lineRule="auto"/>
              <w:ind w:left="20"/>
              <w:rPr>
                <w:sz w:val="18"/>
                <w:szCs w:val="18"/>
              </w:rPr>
            </w:pPr>
            <w:r>
              <w:rPr>
                <w:b/>
                <w:bCs/>
                <w:spacing w:val="-2"/>
                <w:sz w:val="18"/>
                <w:szCs w:val="18"/>
              </w:rPr>
              <w:t>A</w:t>
            </w:r>
          </w:p>
        </w:tc>
        <w:tc>
          <w:tcPr>
            <w:tcW w:w="220" w:type="dxa"/>
            <w:vAlign w:val="top"/>
          </w:tcPr>
          <w:p w14:paraId="572D906A">
            <w:pPr>
              <w:pStyle w:val="6"/>
              <w:spacing w:before="96" w:line="168" w:lineRule="auto"/>
              <w:ind w:left="11"/>
              <w:rPr>
                <w:sz w:val="18"/>
                <w:szCs w:val="18"/>
              </w:rPr>
            </w:pPr>
            <w:r>
              <w:rPr>
                <w:b/>
                <w:bCs/>
                <w:spacing w:val="-2"/>
                <w:sz w:val="18"/>
                <w:szCs w:val="18"/>
              </w:rPr>
              <w:t>B</w:t>
            </w:r>
          </w:p>
        </w:tc>
        <w:tc>
          <w:tcPr>
            <w:tcW w:w="230" w:type="dxa"/>
            <w:vAlign w:val="top"/>
          </w:tcPr>
          <w:p w14:paraId="6D271837">
            <w:pPr>
              <w:pStyle w:val="6"/>
              <w:spacing w:before="94" w:line="170" w:lineRule="auto"/>
              <w:ind w:left="21"/>
              <w:rPr>
                <w:sz w:val="18"/>
                <w:szCs w:val="18"/>
              </w:rPr>
            </w:pPr>
            <w:r>
              <w:rPr>
                <w:b/>
                <w:bCs/>
                <w:spacing w:val="-2"/>
                <w:sz w:val="18"/>
                <w:szCs w:val="18"/>
              </w:rPr>
              <w:t>C</w:t>
            </w:r>
          </w:p>
        </w:tc>
        <w:tc>
          <w:tcPr>
            <w:tcW w:w="234" w:type="dxa"/>
            <w:vAlign w:val="top"/>
          </w:tcPr>
          <w:p w14:paraId="5F928C94">
            <w:pPr>
              <w:pStyle w:val="6"/>
              <w:spacing w:before="96" w:line="168" w:lineRule="auto"/>
              <w:ind w:left="71"/>
              <w:rPr>
                <w:sz w:val="18"/>
                <w:szCs w:val="18"/>
              </w:rPr>
            </w:pPr>
            <w:r>
              <w:rPr>
                <w:b/>
                <w:bCs/>
                <w:spacing w:val="-2"/>
                <w:sz w:val="18"/>
                <w:szCs w:val="18"/>
              </w:rPr>
              <w:t>D</w:t>
            </w:r>
          </w:p>
        </w:tc>
      </w:tr>
      <w:tr w14:paraId="277594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39" w:hRule="atLeast"/>
        </w:trPr>
        <w:tc>
          <w:tcPr>
            <w:tcW w:w="893" w:type="dxa"/>
            <w:vAlign w:val="top"/>
          </w:tcPr>
          <w:p w14:paraId="545C314E">
            <w:pPr>
              <w:pStyle w:val="6"/>
              <w:spacing w:before="227" w:line="216" w:lineRule="auto"/>
              <w:ind w:left="75"/>
              <w:rPr>
                <w:sz w:val="18"/>
                <w:szCs w:val="18"/>
              </w:rPr>
            </w:pPr>
            <w:r>
              <w:rPr>
                <w:spacing w:val="-2"/>
                <w:sz w:val="18"/>
                <w:szCs w:val="18"/>
              </w:rPr>
              <w:t>计算机硬</w:t>
            </w:r>
          </w:p>
          <w:p w14:paraId="70CEC331">
            <w:pPr>
              <w:pStyle w:val="6"/>
              <w:spacing w:line="219" w:lineRule="auto"/>
              <w:ind w:left="165"/>
              <w:rPr>
                <w:sz w:val="18"/>
                <w:szCs w:val="18"/>
              </w:rPr>
            </w:pPr>
            <w:r>
              <w:rPr>
                <w:spacing w:val="-2"/>
                <w:sz w:val="18"/>
                <w:szCs w:val="18"/>
              </w:rPr>
              <w:t>件构成</w:t>
            </w:r>
          </w:p>
        </w:tc>
        <w:tc>
          <w:tcPr>
            <w:tcW w:w="2314" w:type="dxa"/>
            <w:vAlign w:val="top"/>
          </w:tcPr>
          <w:p w14:paraId="323BF70A">
            <w:pPr>
              <w:pStyle w:val="6"/>
              <w:spacing w:before="238" w:line="215" w:lineRule="auto"/>
              <w:ind w:left="12"/>
              <w:rPr>
                <w:sz w:val="18"/>
                <w:szCs w:val="18"/>
              </w:rPr>
            </w:pPr>
            <w:r>
              <w:rPr>
                <w:sz w:val="18"/>
                <w:szCs w:val="18"/>
              </w:rPr>
              <w:t>1.计算机核心硬件</w:t>
            </w:r>
          </w:p>
          <w:p w14:paraId="50BEB7C0">
            <w:pPr>
              <w:pStyle w:val="6"/>
              <w:spacing w:line="218" w:lineRule="auto"/>
              <w:ind w:left="12"/>
              <w:rPr>
                <w:sz w:val="18"/>
                <w:szCs w:val="18"/>
              </w:rPr>
            </w:pPr>
            <w:r>
              <w:rPr>
                <w:spacing w:val="-1"/>
                <w:sz w:val="18"/>
                <w:szCs w:val="18"/>
              </w:rPr>
              <w:t>2.计算机硬件部件的功能</w:t>
            </w:r>
          </w:p>
        </w:tc>
        <w:tc>
          <w:tcPr>
            <w:tcW w:w="239" w:type="dxa"/>
            <w:vAlign w:val="top"/>
          </w:tcPr>
          <w:p w14:paraId="513A7821">
            <w:pPr>
              <w:rPr>
                <w:rFonts w:ascii="Arial"/>
                <w:sz w:val="21"/>
              </w:rPr>
            </w:pPr>
          </w:p>
        </w:tc>
        <w:tc>
          <w:tcPr>
            <w:tcW w:w="220" w:type="dxa"/>
            <w:vAlign w:val="top"/>
          </w:tcPr>
          <w:p w14:paraId="26D14569">
            <w:pPr>
              <w:rPr>
                <w:rFonts w:ascii="Arial"/>
                <w:sz w:val="21"/>
              </w:rPr>
            </w:pPr>
          </w:p>
        </w:tc>
        <w:tc>
          <w:tcPr>
            <w:tcW w:w="230" w:type="dxa"/>
            <w:vAlign w:val="top"/>
          </w:tcPr>
          <w:p w14:paraId="039CB48C">
            <w:pPr>
              <w:rPr>
                <w:rFonts w:ascii="Arial"/>
                <w:sz w:val="21"/>
              </w:rPr>
            </w:pPr>
          </w:p>
        </w:tc>
        <w:tc>
          <w:tcPr>
            <w:tcW w:w="234" w:type="dxa"/>
            <w:vAlign w:val="top"/>
          </w:tcPr>
          <w:p w14:paraId="23243EC2">
            <w:pPr>
              <w:rPr>
                <w:rFonts w:ascii="Arial"/>
                <w:sz w:val="21"/>
              </w:rPr>
            </w:pPr>
          </w:p>
        </w:tc>
      </w:tr>
      <w:tr w14:paraId="3AF972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767" w:hRule="atLeast"/>
        </w:trPr>
        <w:tc>
          <w:tcPr>
            <w:tcW w:w="893" w:type="dxa"/>
            <w:vAlign w:val="top"/>
          </w:tcPr>
          <w:p w14:paraId="6A60906E">
            <w:pPr>
              <w:spacing w:line="263" w:lineRule="auto"/>
              <w:rPr>
                <w:rFonts w:ascii="Arial"/>
                <w:sz w:val="21"/>
              </w:rPr>
            </w:pPr>
          </w:p>
          <w:p w14:paraId="6A577C93">
            <w:pPr>
              <w:spacing w:line="263" w:lineRule="auto"/>
              <w:rPr>
                <w:rFonts w:ascii="Arial"/>
                <w:sz w:val="21"/>
              </w:rPr>
            </w:pPr>
          </w:p>
          <w:p w14:paraId="3D5D4B58">
            <w:pPr>
              <w:pStyle w:val="6"/>
              <w:spacing w:before="59" w:line="219" w:lineRule="auto"/>
              <w:ind w:left="75"/>
              <w:rPr>
                <w:sz w:val="18"/>
                <w:szCs w:val="18"/>
              </w:rPr>
            </w:pPr>
            <w:r>
              <w:rPr>
                <w:spacing w:val="4"/>
                <w:sz w:val="18"/>
                <w:szCs w:val="18"/>
              </w:rPr>
              <w:t>计算机系</w:t>
            </w:r>
          </w:p>
          <w:p w14:paraId="26B0DAA7">
            <w:pPr>
              <w:pStyle w:val="6"/>
              <w:spacing w:before="17" w:line="217" w:lineRule="auto"/>
              <w:ind w:left="165"/>
              <w:rPr>
                <w:sz w:val="18"/>
                <w:szCs w:val="18"/>
              </w:rPr>
            </w:pPr>
            <w:r>
              <w:rPr>
                <w:spacing w:val="-3"/>
                <w:sz w:val="18"/>
                <w:szCs w:val="18"/>
              </w:rPr>
              <w:t>统基本</w:t>
            </w:r>
          </w:p>
          <w:p w14:paraId="5223DAC2">
            <w:pPr>
              <w:pStyle w:val="6"/>
              <w:spacing w:line="220" w:lineRule="auto"/>
              <w:ind w:left="254"/>
              <w:rPr>
                <w:sz w:val="18"/>
                <w:szCs w:val="18"/>
              </w:rPr>
            </w:pPr>
            <w:r>
              <w:rPr>
                <w:spacing w:val="-3"/>
                <w:sz w:val="18"/>
                <w:szCs w:val="18"/>
              </w:rPr>
              <w:t>组成</w:t>
            </w:r>
          </w:p>
        </w:tc>
        <w:tc>
          <w:tcPr>
            <w:tcW w:w="2314" w:type="dxa"/>
            <w:vAlign w:val="top"/>
          </w:tcPr>
          <w:p w14:paraId="0B135339">
            <w:pPr>
              <w:pStyle w:val="6"/>
              <w:spacing w:before="178" w:line="205" w:lineRule="auto"/>
              <w:ind w:left="12"/>
              <w:rPr>
                <w:sz w:val="18"/>
                <w:szCs w:val="18"/>
              </w:rPr>
            </w:pPr>
            <w:r>
              <w:rPr>
                <w:sz w:val="18"/>
                <w:szCs w:val="18"/>
              </w:rPr>
              <w:t>1.计算机的系统组成</w:t>
            </w:r>
          </w:p>
          <w:p w14:paraId="5C62DEC0">
            <w:pPr>
              <w:pStyle w:val="6"/>
              <w:spacing w:before="1" w:line="225" w:lineRule="auto"/>
              <w:ind w:left="12" w:right="141"/>
              <w:rPr>
                <w:sz w:val="18"/>
                <w:szCs w:val="18"/>
              </w:rPr>
            </w:pPr>
            <w:r>
              <w:rPr>
                <w:spacing w:val="-1"/>
                <w:sz w:val="18"/>
                <w:szCs w:val="18"/>
              </w:rPr>
              <w:t>2.计算机系统的特点、分类</w:t>
            </w:r>
            <w:r>
              <w:rPr>
                <w:spacing w:val="2"/>
                <w:sz w:val="18"/>
                <w:szCs w:val="18"/>
              </w:rPr>
              <w:t xml:space="preserve"> </w:t>
            </w:r>
            <w:r>
              <w:rPr>
                <w:spacing w:val="7"/>
                <w:sz w:val="18"/>
                <w:szCs w:val="18"/>
              </w:rPr>
              <w:t>和应用</w:t>
            </w:r>
          </w:p>
          <w:p w14:paraId="5FCDE68D">
            <w:pPr>
              <w:pStyle w:val="6"/>
              <w:spacing w:line="217" w:lineRule="auto"/>
              <w:ind w:left="12" w:right="858"/>
              <w:rPr>
                <w:sz w:val="18"/>
                <w:szCs w:val="18"/>
              </w:rPr>
            </w:pPr>
            <w:r>
              <w:rPr>
                <w:spacing w:val="-2"/>
                <w:sz w:val="18"/>
                <w:szCs w:val="18"/>
              </w:rPr>
              <w:t>3.计算机硬件系统</w:t>
            </w:r>
            <w:r>
              <w:rPr>
                <w:spacing w:val="6"/>
                <w:sz w:val="18"/>
                <w:szCs w:val="18"/>
              </w:rPr>
              <w:t xml:space="preserve"> </w:t>
            </w:r>
            <w:r>
              <w:rPr>
                <w:spacing w:val="-1"/>
                <w:sz w:val="18"/>
                <w:szCs w:val="18"/>
              </w:rPr>
              <w:t>4.计算机软件系统</w:t>
            </w:r>
          </w:p>
          <w:p w14:paraId="4790F3B5">
            <w:pPr>
              <w:pStyle w:val="6"/>
              <w:spacing w:before="16" w:line="217" w:lineRule="auto"/>
              <w:ind w:left="12" w:right="502"/>
              <w:rPr>
                <w:sz w:val="18"/>
                <w:szCs w:val="18"/>
              </w:rPr>
            </w:pPr>
            <w:r>
              <w:rPr>
                <w:spacing w:val="-1"/>
                <w:sz w:val="18"/>
                <w:szCs w:val="18"/>
              </w:rPr>
              <w:t>5.计算机主要性能指标</w:t>
            </w:r>
            <w:r>
              <w:rPr>
                <w:sz w:val="18"/>
                <w:szCs w:val="18"/>
              </w:rPr>
              <w:t xml:space="preserve"> </w:t>
            </w:r>
            <w:r>
              <w:rPr>
                <w:spacing w:val="-1"/>
                <w:sz w:val="18"/>
                <w:szCs w:val="18"/>
              </w:rPr>
              <w:t>6.计算机数据单位</w:t>
            </w:r>
          </w:p>
        </w:tc>
        <w:tc>
          <w:tcPr>
            <w:tcW w:w="239" w:type="dxa"/>
            <w:vAlign w:val="top"/>
          </w:tcPr>
          <w:p w14:paraId="7421F4FE">
            <w:pPr>
              <w:rPr>
                <w:rFonts w:ascii="Arial"/>
                <w:sz w:val="21"/>
              </w:rPr>
            </w:pPr>
          </w:p>
        </w:tc>
        <w:tc>
          <w:tcPr>
            <w:tcW w:w="220" w:type="dxa"/>
            <w:vAlign w:val="top"/>
          </w:tcPr>
          <w:p w14:paraId="46AD9429">
            <w:pPr>
              <w:pStyle w:val="6"/>
              <w:spacing w:before="166" w:line="182" w:lineRule="auto"/>
              <w:ind w:left="9"/>
              <w:rPr>
                <w:sz w:val="18"/>
                <w:szCs w:val="18"/>
              </w:rPr>
            </w:pPr>
            <w:r>
              <w:rPr>
                <w:sz w:val="18"/>
                <w:szCs w:val="18"/>
              </w:rPr>
              <w:t>V</w:t>
            </w:r>
          </w:p>
        </w:tc>
        <w:tc>
          <w:tcPr>
            <w:tcW w:w="230" w:type="dxa"/>
            <w:vAlign w:val="top"/>
          </w:tcPr>
          <w:p w14:paraId="771174BF">
            <w:pPr>
              <w:rPr>
                <w:rFonts w:ascii="Arial"/>
                <w:sz w:val="21"/>
              </w:rPr>
            </w:pPr>
          </w:p>
        </w:tc>
        <w:tc>
          <w:tcPr>
            <w:tcW w:w="234" w:type="dxa"/>
            <w:vAlign w:val="top"/>
          </w:tcPr>
          <w:p w14:paraId="2B5FD578">
            <w:pPr>
              <w:spacing w:line="328" w:lineRule="auto"/>
              <w:rPr>
                <w:rFonts w:ascii="Arial"/>
                <w:sz w:val="21"/>
              </w:rPr>
            </w:pPr>
          </w:p>
          <w:p w14:paraId="0871EFB4">
            <w:pPr>
              <w:pStyle w:val="6"/>
              <w:spacing w:before="39" w:line="238" w:lineRule="auto"/>
              <w:ind w:left="49"/>
              <w:rPr>
                <w:sz w:val="12"/>
                <w:szCs w:val="12"/>
              </w:rPr>
            </w:pPr>
            <w:r>
              <w:rPr>
                <w:sz w:val="12"/>
                <w:szCs w:val="12"/>
              </w:rPr>
              <w:t>√</w:t>
            </w:r>
          </w:p>
        </w:tc>
      </w:tr>
      <w:tr w14:paraId="5ED747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27" w:hRule="atLeast"/>
        </w:trPr>
        <w:tc>
          <w:tcPr>
            <w:tcW w:w="893" w:type="dxa"/>
            <w:vAlign w:val="top"/>
          </w:tcPr>
          <w:p w14:paraId="2D21A5DD">
            <w:pPr>
              <w:spacing w:line="459" w:lineRule="auto"/>
              <w:rPr>
                <w:rFonts w:ascii="Arial"/>
                <w:sz w:val="21"/>
              </w:rPr>
            </w:pPr>
          </w:p>
          <w:p w14:paraId="75EF738D">
            <w:pPr>
              <w:pStyle w:val="6"/>
              <w:spacing w:before="59" w:line="219" w:lineRule="auto"/>
              <w:ind w:left="75"/>
              <w:rPr>
                <w:sz w:val="18"/>
                <w:szCs w:val="18"/>
              </w:rPr>
            </w:pPr>
            <w:r>
              <w:rPr>
                <w:spacing w:val="3"/>
                <w:sz w:val="18"/>
                <w:szCs w:val="18"/>
              </w:rPr>
              <w:t>计算机的</w:t>
            </w:r>
          </w:p>
          <w:p w14:paraId="5D11F40C">
            <w:pPr>
              <w:pStyle w:val="6"/>
              <w:spacing w:before="7" w:line="219" w:lineRule="auto"/>
              <w:ind w:left="75"/>
              <w:rPr>
                <w:sz w:val="18"/>
                <w:szCs w:val="18"/>
              </w:rPr>
            </w:pPr>
            <w:r>
              <w:rPr>
                <w:spacing w:val="3"/>
                <w:sz w:val="18"/>
                <w:szCs w:val="18"/>
              </w:rPr>
              <w:t>发展与信</w:t>
            </w:r>
          </w:p>
          <w:p w14:paraId="7D444E35">
            <w:pPr>
              <w:pStyle w:val="6"/>
              <w:spacing w:before="27" w:line="221" w:lineRule="auto"/>
              <w:ind w:left="165"/>
              <w:rPr>
                <w:sz w:val="18"/>
                <w:szCs w:val="18"/>
              </w:rPr>
            </w:pPr>
            <w:r>
              <w:rPr>
                <w:spacing w:val="2"/>
                <w:sz w:val="18"/>
                <w:szCs w:val="18"/>
              </w:rPr>
              <w:t>息安全</w:t>
            </w:r>
          </w:p>
        </w:tc>
        <w:tc>
          <w:tcPr>
            <w:tcW w:w="2314" w:type="dxa"/>
            <w:vAlign w:val="top"/>
          </w:tcPr>
          <w:p w14:paraId="75666C46">
            <w:pPr>
              <w:pStyle w:val="6"/>
              <w:spacing w:before="42" w:line="227" w:lineRule="auto"/>
              <w:ind w:left="12" w:right="665"/>
              <w:rPr>
                <w:sz w:val="18"/>
                <w:szCs w:val="18"/>
              </w:rPr>
            </w:pPr>
            <w:r>
              <w:rPr>
                <w:sz w:val="18"/>
                <w:szCs w:val="18"/>
              </w:rPr>
              <w:t>1.计算机的发展过程</w:t>
            </w:r>
            <w:r>
              <w:rPr>
                <w:spacing w:val="5"/>
                <w:sz w:val="18"/>
                <w:szCs w:val="18"/>
              </w:rPr>
              <w:t xml:space="preserve"> </w:t>
            </w:r>
            <w:r>
              <w:rPr>
                <w:spacing w:val="1"/>
                <w:sz w:val="18"/>
                <w:szCs w:val="18"/>
              </w:rPr>
              <w:t>2.计算机发展趋势</w:t>
            </w:r>
          </w:p>
          <w:p w14:paraId="662CB742">
            <w:pPr>
              <w:pStyle w:val="6"/>
              <w:spacing w:before="27" w:line="210" w:lineRule="auto"/>
              <w:ind w:left="12"/>
              <w:rPr>
                <w:sz w:val="18"/>
                <w:szCs w:val="18"/>
              </w:rPr>
            </w:pPr>
            <w:r>
              <w:rPr>
                <w:spacing w:val="-4"/>
                <w:sz w:val="18"/>
                <w:szCs w:val="18"/>
              </w:rPr>
              <w:t>3.计算机病毒的定义、特征、</w:t>
            </w:r>
            <w:r>
              <w:rPr>
                <w:spacing w:val="6"/>
                <w:sz w:val="18"/>
                <w:szCs w:val="18"/>
              </w:rPr>
              <w:t xml:space="preserve"> </w:t>
            </w:r>
            <w:r>
              <w:rPr>
                <w:spacing w:val="-7"/>
                <w:sz w:val="18"/>
                <w:szCs w:val="18"/>
              </w:rPr>
              <w:t>分类和传播途径</w:t>
            </w:r>
          </w:p>
          <w:p w14:paraId="69AD3567">
            <w:pPr>
              <w:pStyle w:val="6"/>
              <w:spacing w:line="234" w:lineRule="auto"/>
              <w:ind w:left="12" w:right="138"/>
              <w:rPr>
                <w:sz w:val="18"/>
                <w:szCs w:val="18"/>
              </w:rPr>
            </w:pPr>
            <w:r>
              <w:rPr>
                <w:spacing w:val="-1"/>
                <w:sz w:val="18"/>
                <w:szCs w:val="18"/>
              </w:rPr>
              <w:t>4.计算机病毒的防治和信息</w:t>
            </w:r>
            <w:r>
              <w:rPr>
                <w:spacing w:val="5"/>
                <w:sz w:val="18"/>
                <w:szCs w:val="18"/>
              </w:rPr>
              <w:t xml:space="preserve"> </w:t>
            </w:r>
            <w:r>
              <w:rPr>
                <w:spacing w:val="2"/>
                <w:sz w:val="18"/>
                <w:szCs w:val="18"/>
              </w:rPr>
              <w:t>安全的防范</w:t>
            </w:r>
          </w:p>
        </w:tc>
        <w:tc>
          <w:tcPr>
            <w:tcW w:w="239" w:type="dxa"/>
            <w:vAlign w:val="top"/>
          </w:tcPr>
          <w:p w14:paraId="73FA2F6D">
            <w:pPr>
              <w:rPr>
                <w:rFonts w:ascii="Arial"/>
                <w:sz w:val="21"/>
              </w:rPr>
            </w:pPr>
          </w:p>
        </w:tc>
        <w:tc>
          <w:tcPr>
            <w:tcW w:w="220" w:type="dxa"/>
            <w:vAlign w:val="top"/>
          </w:tcPr>
          <w:p w14:paraId="5819D649">
            <w:pPr>
              <w:rPr>
                <w:rFonts w:ascii="Arial"/>
                <w:sz w:val="21"/>
              </w:rPr>
            </w:pPr>
          </w:p>
        </w:tc>
        <w:tc>
          <w:tcPr>
            <w:tcW w:w="230" w:type="dxa"/>
            <w:vAlign w:val="top"/>
          </w:tcPr>
          <w:p w14:paraId="58166DE9">
            <w:pPr>
              <w:rPr>
                <w:rFonts w:ascii="Arial"/>
                <w:sz w:val="21"/>
              </w:rPr>
            </w:pPr>
          </w:p>
        </w:tc>
        <w:tc>
          <w:tcPr>
            <w:tcW w:w="234" w:type="dxa"/>
            <w:vAlign w:val="top"/>
          </w:tcPr>
          <w:p w14:paraId="411C11B5">
            <w:pPr>
              <w:spacing w:line="282" w:lineRule="auto"/>
              <w:rPr>
                <w:rFonts w:ascii="Arial"/>
                <w:sz w:val="21"/>
              </w:rPr>
            </w:pPr>
          </w:p>
          <w:p w14:paraId="3DEC31DF">
            <w:pPr>
              <w:spacing w:line="282" w:lineRule="auto"/>
              <w:rPr>
                <w:rFonts w:ascii="Arial"/>
                <w:sz w:val="21"/>
              </w:rPr>
            </w:pPr>
          </w:p>
          <w:p w14:paraId="591633DB">
            <w:pPr>
              <w:spacing w:line="283" w:lineRule="auto"/>
              <w:rPr>
                <w:rFonts w:ascii="Arial"/>
                <w:sz w:val="21"/>
              </w:rPr>
            </w:pPr>
          </w:p>
          <w:p w14:paraId="1FCCCDBB">
            <w:pPr>
              <w:pStyle w:val="6"/>
              <w:spacing w:before="39" w:line="238" w:lineRule="auto"/>
              <w:ind w:left="49"/>
              <w:rPr>
                <w:sz w:val="12"/>
                <w:szCs w:val="12"/>
              </w:rPr>
            </w:pPr>
            <w:r>
              <w:rPr>
                <w:sz w:val="12"/>
                <w:szCs w:val="12"/>
              </w:rPr>
              <w:t>√</w:t>
            </w:r>
          </w:p>
        </w:tc>
      </w:tr>
      <w:tr w14:paraId="0F5DB1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83" w:hRule="atLeast"/>
        </w:trPr>
        <w:tc>
          <w:tcPr>
            <w:tcW w:w="893" w:type="dxa"/>
            <w:vAlign w:val="top"/>
          </w:tcPr>
          <w:p w14:paraId="0C92D23B">
            <w:pPr>
              <w:spacing w:line="265" w:lineRule="auto"/>
              <w:rPr>
                <w:rFonts w:ascii="Arial"/>
                <w:sz w:val="21"/>
              </w:rPr>
            </w:pPr>
          </w:p>
          <w:p w14:paraId="50B045D1">
            <w:pPr>
              <w:pStyle w:val="6"/>
              <w:spacing w:before="58" w:line="207" w:lineRule="auto"/>
              <w:ind w:left="165"/>
              <w:rPr>
                <w:sz w:val="18"/>
                <w:szCs w:val="18"/>
              </w:rPr>
            </w:pPr>
            <w:r>
              <w:rPr>
                <w:spacing w:val="3"/>
                <w:sz w:val="18"/>
                <w:szCs w:val="18"/>
              </w:rPr>
              <w:t>中英文</w:t>
            </w:r>
          </w:p>
          <w:p w14:paraId="59DEA99A">
            <w:pPr>
              <w:pStyle w:val="6"/>
              <w:spacing w:line="221" w:lineRule="auto"/>
              <w:ind w:left="254"/>
              <w:rPr>
                <w:sz w:val="18"/>
                <w:szCs w:val="18"/>
              </w:rPr>
            </w:pPr>
            <w:r>
              <w:rPr>
                <w:spacing w:val="-2"/>
                <w:sz w:val="18"/>
                <w:szCs w:val="18"/>
              </w:rPr>
              <w:t>录入</w:t>
            </w:r>
          </w:p>
        </w:tc>
        <w:tc>
          <w:tcPr>
            <w:tcW w:w="2314" w:type="dxa"/>
            <w:vAlign w:val="top"/>
          </w:tcPr>
          <w:p w14:paraId="31058DC1">
            <w:pPr>
              <w:pStyle w:val="6"/>
              <w:spacing w:before="216" w:line="204" w:lineRule="auto"/>
              <w:ind w:left="12"/>
              <w:rPr>
                <w:sz w:val="18"/>
                <w:szCs w:val="18"/>
              </w:rPr>
            </w:pPr>
            <w:r>
              <w:rPr>
                <w:spacing w:val="1"/>
                <w:sz w:val="18"/>
                <w:szCs w:val="18"/>
              </w:rPr>
              <w:t>1.键盘的认识</w:t>
            </w:r>
          </w:p>
          <w:p w14:paraId="38BB3CE8">
            <w:pPr>
              <w:pStyle w:val="6"/>
              <w:spacing w:before="1" w:line="227" w:lineRule="auto"/>
              <w:ind w:left="12" w:right="650"/>
              <w:rPr>
                <w:sz w:val="18"/>
                <w:szCs w:val="18"/>
              </w:rPr>
            </w:pPr>
            <w:r>
              <w:rPr>
                <w:spacing w:val="2"/>
                <w:sz w:val="18"/>
                <w:szCs w:val="18"/>
              </w:rPr>
              <w:t>2.中文输入法的选用</w:t>
            </w:r>
            <w:r>
              <w:rPr>
                <w:sz w:val="18"/>
                <w:szCs w:val="18"/>
              </w:rPr>
              <w:t xml:space="preserve"> </w:t>
            </w:r>
            <w:r>
              <w:rPr>
                <w:spacing w:val="-1"/>
                <w:sz w:val="18"/>
                <w:szCs w:val="18"/>
              </w:rPr>
              <w:t>3.中文输入法的设置</w:t>
            </w:r>
          </w:p>
        </w:tc>
        <w:tc>
          <w:tcPr>
            <w:tcW w:w="239" w:type="dxa"/>
            <w:vAlign w:val="top"/>
          </w:tcPr>
          <w:p w14:paraId="5F26E8F7">
            <w:pPr>
              <w:rPr>
                <w:rFonts w:ascii="Arial"/>
                <w:sz w:val="21"/>
              </w:rPr>
            </w:pPr>
          </w:p>
        </w:tc>
        <w:tc>
          <w:tcPr>
            <w:tcW w:w="220" w:type="dxa"/>
            <w:vAlign w:val="top"/>
          </w:tcPr>
          <w:p w14:paraId="36E9B247">
            <w:pPr>
              <w:rPr>
                <w:rFonts w:ascii="Arial"/>
                <w:sz w:val="21"/>
              </w:rPr>
            </w:pPr>
          </w:p>
        </w:tc>
        <w:tc>
          <w:tcPr>
            <w:tcW w:w="230" w:type="dxa"/>
            <w:vAlign w:val="top"/>
          </w:tcPr>
          <w:p w14:paraId="06ED39DE">
            <w:pPr>
              <w:rPr>
                <w:rFonts w:ascii="Arial"/>
                <w:sz w:val="21"/>
              </w:rPr>
            </w:pPr>
          </w:p>
        </w:tc>
        <w:tc>
          <w:tcPr>
            <w:tcW w:w="234" w:type="dxa"/>
            <w:vAlign w:val="top"/>
          </w:tcPr>
          <w:p w14:paraId="10A9E31A">
            <w:pPr>
              <w:spacing w:line="301" w:lineRule="auto"/>
              <w:rPr>
                <w:rFonts w:ascii="Arial"/>
                <w:sz w:val="21"/>
              </w:rPr>
            </w:pPr>
          </w:p>
          <w:p w14:paraId="3425C733">
            <w:pPr>
              <w:spacing w:line="301" w:lineRule="auto"/>
              <w:rPr>
                <w:rFonts w:ascii="Arial"/>
                <w:sz w:val="21"/>
              </w:rPr>
            </w:pPr>
          </w:p>
          <w:p w14:paraId="55193ED3">
            <w:pPr>
              <w:pStyle w:val="6"/>
              <w:spacing w:before="39" w:line="238" w:lineRule="auto"/>
              <w:ind w:left="49"/>
              <w:rPr>
                <w:sz w:val="12"/>
                <w:szCs w:val="12"/>
              </w:rPr>
            </w:pPr>
            <w:r>
              <w:rPr>
                <w:sz w:val="12"/>
                <w:szCs w:val="12"/>
              </w:rPr>
              <w:t>√</w:t>
            </w:r>
          </w:p>
        </w:tc>
      </w:tr>
    </w:tbl>
    <w:p w14:paraId="7235EC8B">
      <w:pPr>
        <w:pStyle w:val="2"/>
        <w:spacing w:before="140" w:line="219" w:lineRule="auto"/>
        <w:ind w:left="722"/>
        <w:rPr>
          <w:rFonts w:ascii="宋体" w:hAnsi="宋体" w:eastAsia="宋体" w:cs="宋体"/>
          <w:sz w:val="17"/>
          <w:szCs w:val="17"/>
        </w:rPr>
      </w:pPr>
      <w:r>
        <w:rPr>
          <w:rFonts w:ascii="宋体" w:hAnsi="宋体" w:eastAsia="宋体" w:cs="宋体"/>
          <w:b/>
          <w:bCs/>
          <w:spacing w:val="4"/>
          <w:sz w:val="17"/>
          <w:szCs w:val="17"/>
        </w:rPr>
        <w:t>专题二</w:t>
      </w:r>
      <w:r>
        <w:rPr>
          <w:rFonts w:ascii="宋体" w:hAnsi="宋体" w:eastAsia="宋体" w:cs="宋体"/>
          <w:spacing w:val="16"/>
          <w:sz w:val="17"/>
          <w:szCs w:val="17"/>
        </w:rPr>
        <w:t xml:space="preserve">  </w:t>
      </w:r>
      <w:r>
        <w:rPr>
          <w:b/>
          <w:bCs/>
          <w:sz w:val="17"/>
          <w:szCs w:val="17"/>
        </w:rPr>
        <w:t>Windows</w:t>
      </w:r>
      <w:r>
        <w:rPr>
          <w:b/>
          <w:bCs/>
          <w:spacing w:val="16"/>
          <w:sz w:val="17"/>
          <w:szCs w:val="17"/>
        </w:rPr>
        <w:t xml:space="preserve">   </w:t>
      </w:r>
      <w:r>
        <w:rPr>
          <w:b/>
          <w:bCs/>
          <w:spacing w:val="4"/>
          <w:sz w:val="17"/>
          <w:szCs w:val="17"/>
        </w:rPr>
        <w:t>10</w:t>
      </w:r>
      <w:r>
        <w:rPr>
          <w:rFonts w:ascii="宋体" w:hAnsi="宋体" w:eastAsia="宋体" w:cs="宋体"/>
          <w:b/>
          <w:bCs/>
          <w:spacing w:val="4"/>
          <w:sz w:val="17"/>
          <w:szCs w:val="17"/>
        </w:rPr>
        <w:t>操</w:t>
      </w:r>
      <w:r>
        <w:rPr>
          <w:rFonts w:ascii="宋体" w:hAnsi="宋体" w:eastAsia="宋体" w:cs="宋体"/>
          <w:spacing w:val="-35"/>
          <w:sz w:val="17"/>
          <w:szCs w:val="17"/>
        </w:rPr>
        <w:t xml:space="preserve"> </w:t>
      </w:r>
      <w:r>
        <w:rPr>
          <w:rFonts w:ascii="宋体" w:hAnsi="宋体" w:eastAsia="宋体" w:cs="宋体"/>
          <w:b/>
          <w:bCs/>
          <w:spacing w:val="4"/>
          <w:sz w:val="17"/>
          <w:szCs w:val="17"/>
        </w:rPr>
        <w:t>作</w:t>
      </w:r>
      <w:r>
        <w:rPr>
          <w:rFonts w:ascii="宋体" w:hAnsi="宋体" w:eastAsia="宋体" w:cs="宋体"/>
          <w:spacing w:val="-32"/>
          <w:sz w:val="17"/>
          <w:szCs w:val="17"/>
        </w:rPr>
        <w:t xml:space="preserve"> </w:t>
      </w:r>
      <w:r>
        <w:rPr>
          <w:rFonts w:ascii="宋体" w:hAnsi="宋体" w:eastAsia="宋体" w:cs="宋体"/>
          <w:b/>
          <w:bCs/>
          <w:spacing w:val="4"/>
          <w:sz w:val="17"/>
          <w:szCs w:val="17"/>
        </w:rPr>
        <w:t>系</w:t>
      </w:r>
      <w:r>
        <w:rPr>
          <w:rFonts w:ascii="宋体" w:hAnsi="宋体" w:eastAsia="宋体" w:cs="宋体"/>
          <w:spacing w:val="-31"/>
          <w:sz w:val="17"/>
          <w:szCs w:val="17"/>
        </w:rPr>
        <w:t xml:space="preserve"> </w:t>
      </w:r>
      <w:r>
        <w:rPr>
          <w:rFonts w:ascii="宋体" w:hAnsi="宋体" w:eastAsia="宋体" w:cs="宋体"/>
          <w:b/>
          <w:bCs/>
          <w:spacing w:val="4"/>
          <w:sz w:val="17"/>
          <w:szCs w:val="17"/>
        </w:rPr>
        <w:t>统</w:t>
      </w:r>
    </w:p>
    <w:p w14:paraId="78669430">
      <w:pPr>
        <w:spacing w:line="99" w:lineRule="exact"/>
      </w:pPr>
    </w:p>
    <w:tbl>
      <w:tblPr>
        <w:tblStyle w:val="5"/>
        <w:tblW w:w="4130" w:type="dxa"/>
        <w:tblInd w:w="1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14"/>
        <w:gridCol w:w="229"/>
        <w:gridCol w:w="230"/>
        <w:gridCol w:w="220"/>
        <w:gridCol w:w="244"/>
      </w:tblGrid>
      <w:tr w14:paraId="2D19EF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9" w:hRule="atLeast"/>
        </w:trPr>
        <w:tc>
          <w:tcPr>
            <w:tcW w:w="893" w:type="dxa"/>
            <w:vMerge w:val="restart"/>
            <w:tcBorders>
              <w:top w:val="single" w:color="000000" w:sz="2" w:space="0"/>
              <w:bottom w:val="nil"/>
            </w:tcBorders>
            <w:vAlign w:val="top"/>
          </w:tcPr>
          <w:p w14:paraId="4B474144">
            <w:pPr>
              <w:pStyle w:val="6"/>
              <w:spacing w:before="85" w:line="225" w:lineRule="auto"/>
              <w:ind w:left="257" w:right="1" w:hanging="240"/>
              <w:rPr>
                <w:sz w:val="18"/>
                <w:szCs w:val="18"/>
              </w:rPr>
            </w:pPr>
            <w:r>
              <w:rPr>
                <w:b/>
                <w:bCs/>
                <w:spacing w:val="-10"/>
                <w:sz w:val="18"/>
                <w:szCs w:val="18"/>
              </w:rPr>
              <w:t>知识与技能</w:t>
            </w:r>
            <w:r>
              <w:rPr>
                <w:spacing w:val="3"/>
                <w:sz w:val="18"/>
                <w:szCs w:val="18"/>
              </w:rPr>
              <w:t xml:space="preserve"> </w:t>
            </w:r>
            <w:r>
              <w:rPr>
                <w:b/>
                <w:bCs/>
                <w:spacing w:val="-4"/>
                <w:sz w:val="18"/>
                <w:szCs w:val="18"/>
              </w:rPr>
              <w:t>要点</w:t>
            </w:r>
          </w:p>
        </w:tc>
        <w:tc>
          <w:tcPr>
            <w:tcW w:w="2314" w:type="dxa"/>
            <w:vMerge w:val="restart"/>
            <w:tcBorders>
              <w:top w:val="single" w:color="000000" w:sz="2" w:space="0"/>
              <w:bottom w:val="nil"/>
            </w:tcBorders>
            <w:vAlign w:val="top"/>
          </w:tcPr>
          <w:p w14:paraId="3EF1DF13">
            <w:pPr>
              <w:pStyle w:val="6"/>
              <w:spacing w:before="194" w:line="219" w:lineRule="auto"/>
              <w:ind w:left="844"/>
              <w:rPr>
                <w:sz w:val="18"/>
                <w:szCs w:val="18"/>
              </w:rPr>
            </w:pPr>
            <w:r>
              <w:rPr>
                <w:b/>
                <w:bCs/>
                <w:spacing w:val="5"/>
                <w:sz w:val="18"/>
                <w:szCs w:val="18"/>
              </w:rPr>
              <w:t>考试条目</w:t>
            </w:r>
          </w:p>
        </w:tc>
        <w:tc>
          <w:tcPr>
            <w:tcW w:w="923" w:type="dxa"/>
            <w:gridSpan w:val="4"/>
            <w:tcBorders>
              <w:top w:val="single" w:color="000000" w:sz="2" w:space="0"/>
              <w:bottom w:val="single" w:color="000000" w:sz="2" w:space="0"/>
            </w:tcBorders>
            <w:vAlign w:val="top"/>
          </w:tcPr>
          <w:p w14:paraId="048F2CAD">
            <w:pPr>
              <w:pStyle w:val="6"/>
              <w:spacing w:before="54" w:line="219" w:lineRule="auto"/>
              <w:ind w:left="150"/>
              <w:rPr>
                <w:sz w:val="18"/>
                <w:szCs w:val="18"/>
              </w:rPr>
            </w:pPr>
            <w:r>
              <w:rPr>
                <w:b/>
                <w:bCs/>
                <w:spacing w:val="-4"/>
                <w:sz w:val="18"/>
                <w:szCs w:val="18"/>
              </w:rPr>
              <w:t>考试水平</w:t>
            </w:r>
          </w:p>
        </w:tc>
      </w:tr>
      <w:tr w14:paraId="3F5434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4" w:hRule="atLeast"/>
        </w:trPr>
        <w:tc>
          <w:tcPr>
            <w:tcW w:w="893" w:type="dxa"/>
            <w:vMerge w:val="continue"/>
            <w:tcBorders>
              <w:top w:val="nil"/>
              <w:bottom w:val="single" w:color="000000" w:sz="2" w:space="0"/>
            </w:tcBorders>
            <w:vAlign w:val="top"/>
          </w:tcPr>
          <w:p w14:paraId="492EE7DB">
            <w:pPr>
              <w:rPr>
                <w:rFonts w:ascii="Arial"/>
                <w:sz w:val="21"/>
              </w:rPr>
            </w:pPr>
          </w:p>
        </w:tc>
        <w:tc>
          <w:tcPr>
            <w:tcW w:w="2314" w:type="dxa"/>
            <w:vMerge w:val="continue"/>
            <w:tcBorders>
              <w:top w:val="nil"/>
              <w:bottom w:val="single" w:color="000000" w:sz="2" w:space="0"/>
            </w:tcBorders>
            <w:vAlign w:val="top"/>
          </w:tcPr>
          <w:p w14:paraId="4A352326">
            <w:pPr>
              <w:rPr>
                <w:rFonts w:ascii="Arial"/>
                <w:sz w:val="21"/>
              </w:rPr>
            </w:pPr>
          </w:p>
        </w:tc>
        <w:tc>
          <w:tcPr>
            <w:tcW w:w="229" w:type="dxa"/>
            <w:tcBorders>
              <w:top w:val="single" w:color="000000" w:sz="2" w:space="0"/>
              <w:bottom w:val="single" w:color="000000" w:sz="2" w:space="0"/>
            </w:tcBorders>
            <w:vAlign w:val="top"/>
          </w:tcPr>
          <w:p w14:paraId="25EB16A5">
            <w:pPr>
              <w:pStyle w:val="6"/>
              <w:spacing w:before="88" w:line="170" w:lineRule="auto"/>
              <w:ind w:left="70"/>
              <w:rPr>
                <w:sz w:val="18"/>
                <w:szCs w:val="18"/>
              </w:rPr>
            </w:pPr>
            <w:r>
              <w:rPr>
                <w:b/>
                <w:bCs/>
                <w:spacing w:val="-2"/>
                <w:sz w:val="18"/>
                <w:szCs w:val="18"/>
              </w:rPr>
              <w:t>A</w:t>
            </w:r>
          </w:p>
        </w:tc>
        <w:tc>
          <w:tcPr>
            <w:tcW w:w="230" w:type="dxa"/>
            <w:tcBorders>
              <w:top w:val="single" w:color="000000" w:sz="2" w:space="0"/>
              <w:bottom w:val="single" w:color="000000" w:sz="2" w:space="0"/>
            </w:tcBorders>
            <w:vAlign w:val="top"/>
          </w:tcPr>
          <w:p w14:paraId="77443C5B">
            <w:pPr>
              <w:pStyle w:val="6"/>
              <w:spacing w:before="91" w:line="167" w:lineRule="auto"/>
              <w:ind w:left="71"/>
              <w:rPr>
                <w:sz w:val="18"/>
                <w:szCs w:val="18"/>
              </w:rPr>
            </w:pPr>
            <w:r>
              <w:rPr>
                <w:b/>
                <w:bCs/>
                <w:spacing w:val="-2"/>
                <w:sz w:val="18"/>
                <w:szCs w:val="18"/>
              </w:rPr>
              <w:t>B</w:t>
            </w:r>
          </w:p>
        </w:tc>
        <w:tc>
          <w:tcPr>
            <w:tcW w:w="220" w:type="dxa"/>
            <w:tcBorders>
              <w:top w:val="single" w:color="000000" w:sz="2" w:space="0"/>
              <w:bottom w:val="single" w:color="000000" w:sz="2" w:space="0"/>
            </w:tcBorders>
            <w:vAlign w:val="top"/>
          </w:tcPr>
          <w:p w14:paraId="6A06791E">
            <w:pPr>
              <w:pStyle w:val="6"/>
              <w:spacing w:before="88" w:line="170" w:lineRule="auto"/>
              <w:ind w:left="21"/>
              <w:rPr>
                <w:sz w:val="18"/>
                <w:szCs w:val="18"/>
              </w:rPr>
            </w:pPr>
            <w:r>
              <w:rPr>
                <w:b/>
                <w:bCs/>
                <w:spacing w:val="-2"/>
                <w:sz w:val="18"/>
                <w:szCs w:val="18"/>
              </w:rPr>
              <w:t>C</w:t>
            </w:r>
          </w:p>
        </w:tc>
        <w:tc>
          <w:tcPr>
            <w:tcW w:w="244" w:type="dxa"/>
            <w:tcBorders>
              <w:top w:val="single" w:color="000000" w:sz="2" w:space="0"/>
              <w:bottom w:val="single" w:color="000000" w:sz="2" w:space="0"/>
            </w:tcBorders>
            <w:vAlign w:val="top"/>
          </w:tcPr>
          <w:p w14:paraId="2E874D69">
            <w:pPr>
              <w:pStyle w:val="6"/>
              <w:spacing w:before="91" w:line="167" w:lineRule="auto"/>
              <w:ind w:left="31"/>
              <w:rPr>
                <w:sz w:val="18"/>
                <w:szCs w:val="18"/>
              </w:rPr>
            </w:pPr>
            <w:r>
              <w:rPr>
                <w:b/>
                <w:bCs/>
                <w:spacing w:val="-2"/>
                <w:sz w:val="18"/>
                <w:szCs w:val="18"/>
              </w:rPr>
              <w:t>D</w:t>
            </w:r>
          </w:p>
        </w:tc>
      </w:tr>
      <w:tr w14:paraId="4DC19B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44" w:hRule="atLeast"/>
        </w:trPr>
        <w:tc>
          <w:tcPr>
            <w:tcW w:w="893" w:type="dxa"/>
            <w:tcBorders>
              <w:top w:val="single" w:color="000000" w:sz="2" w:space="0"/>
              <w:bottom w:val="single" w:color="000000" w:sz="2" w:space="0"/>
            </w:tcBorders>
            <w:vAlign w:val="top"/>
          </w:tcPr>
          <w:p w14:paraId="3522524E">
            <w:pPr>
              <w:pStyle w:val="6"/>
              <w:spacing w:before="271" w:line="204" w:lineRule="auto"/>
              <w:ind w:left="164" w:right="39" w:hanging="130"/>
              <w:rPr>
                <w:sz w:val="18"/>
                <w:szCs w:val="18"/>
              </w:rPr>
            </w:pPr>
            <w:r>
              <w:rPr>
                <w:spacing w:val="-1"/>
                <w:sz w:val="18"/>
                <w:szCs w:val="18"/>
              </w:rPr>
              <w:t>Windows10</w:t>
            </w:r>
            <w:r>
              <w:rPr>
                <w:spacing w:val="6"/>
                <w:sz w:val="18"/>
                <w:szCs w:val="18"/>
              </w:rPr>
              <w:t xml:space="preserve"> </w:t>
            </w:r>
            <w:r>
              <w:rPr>
                <w:spacing w:val="2"/>
                <w:sz w:val="18"/>
                <w:szCs w:val="18"/>
              </w:rPr>
              <w:t>的安装</w:t>
            </w:r>
          </w:p>
        </w:tc>
        <w:tc>
          <w:tcPr>
            <w:tcW w:w="2314" w:type="dxa"/>
            <w:tcBorders>
              <w:top w:val="single" w:color="000000" w:sz="2" w:space="0"/>
              <w:bottom w:val="single" w:color="000000" w:sz="2" w:space="0"/>
            </w:tcBorders>
            <w:vAlign w:val="top"/>
          </w:tcPr>
          <w:p w14:paraId="0E4783C5">
            <w:pPr>
              <w:pStyle w:val="6"/>
              <w:spacing w:before="134" w:line="215" w:lineRule="auto"/>
              <w:ind w:left="12"/>
              <w:rPr>
                <w:sz w:val="18"/>
                <w:szCs w:val="18"/>
              </w:rPr>
            </w:pPr>
            <w:r>
              <w:rPr>
                <w:spacing w:val="-1"/>
                <w:sz w:val="18"/>
                <w:szCs w:val="18"/>
              </w:rPr>
              <w:t>操作系统的概念和功能</w:t>
            </w:r>
          </w:p>
          <w:p w14:paraId="34B238F5">
            <w:pPr>
              <w:pStyle w:val="6"/>
              <w:spacing w:before="1" w:line="227" w:lineRule="auto"/>
              <w:ind w:left="12" w:right="297"/>
              <w:rPr>
                <w:sz w:val="18"/>
                <w:szCs w:val="18"/>
              </w:rPr>
            </w:pPr>
            <w:r>
              <w:rPr>
                <w:spacing w:val="-1"/>
                <w:sz w:val="18"/>
                <w:szCs w:val="18"/>
              </w:rPr>
              <w:t>2.Windows</w:t>
            </w:r>
            <w:r>
              <w:rPr>
                <w:spacing w:val="29"/>
                <w:sz w:val="18"/>
                <w:szCs w:val="18"/>
              </w:rPr>
              <w:t xml:space="preserve"> </w:t>
            </w:r>
            <w:r>
              <w:rPr>
                <w:spacing w:val="-1"/>
                <w:sz w:val="18"/>
                <w:szCs w:val="18"/>
              </w:rPr>
              <w:t>10操作系统的</w:t>
            </w:r>
            <w:r>
              <w:rPr>
                <w:sz w:val="18"/>
                <w:szCs w:val="18"/>
              </w:rPr>
              <w:t xml:space="preserve"> </w:t>
            </w:r>
            <w:r>
              <w:rPr>
                <w:spacing w:val="8"/>
                <w:sz w:val="18"/>
                <w:szCs w:val="18"/>
              </w:rPr>
              <w:t>特点</w:t>
            </w:r>
          </w:p>
        </w:tc>
        <w:tc>
          <w:tcPr>
            <w:tcW w:w="229" w:type="dxa"/>
            <w:tcBorders>
              <w:top w:val="single" w:color="000000" w:sz="2" w:space="0"/>
              <w:bottom w:val="single" w:color="000000" w:sz="2" w:space="0"/>
            </w:tcBorders>
            <w:vAlign w:val="top"/>
          </w:tcPr>
          <w:p w14:paraId="74296F09">
            <w:pPr>
              <w:pStyle w:val="6"/>
              <w:spacing w:before="115" w:line="238" w:lineRule="auto"/>
              <w:ind w:left="48"/>
              <w:rPr>
                <w:sz w:val="13"/>
                <w:szCs w:val="13"/>
              </w:rPr>
            </w:pPr>
            <w:r>
              <w:rPr>
                <w:sz w:val="13"/>
                <w:szCs w:val="13"/>
              </w:rPr>
              <w:t>√</w:t>
            </w:r>
          </w:p>
        </w:tc>
        <w:tc>
          <w:tcPr>
            <w:tcW w:w="230" w:type="dxa"/>
            <w:tcBorders>
              <w:top w:val="single" w:color="000000" w:sz="2" w:space="0"/>
              <w:bottom w:val="single" w:color="000000" w:sz="2" w:space="0"/>
            </w:tcBorders>
            <w:vAlign w:val="top"/>
          </w:tcPr>
          <w:p w14:paraId="3BF4A396">
            <w:pPr>
              <w:spacing w:line="330" w:lineRule="auto"/>
              <w:rPr>
                <w:rFonts w:ascii="Arial"/>
                <w:sz w:val="21"/>
              </w:rPr>
            </w:pPr>
          </w:p>
          <w:p w14:paraId="5BBFEE59">
            <w:pPr>
              <w:pStyle w:val="6"/>
              <w:spacing w:before="43" w:line="238" w:lineRule="auto"/>
              <w:ind w:left="48"/>
              <w:rPr>
                <w:sz w:val="13"/>
                <w:szCs w:val="13"/>
              </w:rPr>
            </w:pPr>
            <w:r>
              <w:rPr>
                <w:sz w:val="13"/>
                <w:szCs w:val="13"/>
              </w:rPr>
              <w:t>√</w:t>
            </w:r>
          </w:p>
        </w:tc>
        <w:tc>
          <w:tcPr>
            <w:tcW w:w="220" w:type="dxa"/>
            <w:tcBorders>
              <w:top w:val="single" w:color="000000" w:sz="2" w:space="0"/>
              <w:bottom w:val="single" w:color="000000" w:sz="2" w:space="0"/>
            </w:tcBorders>
            <w:vAlign w:val="top"/>
          </w:tcPr>
          <w:p w14:paraId="42518A1F">
            <w:pPr>
              <w:rPr>
                <w:rFonts w:ascii="Arial"/>
                <w:sz w:val="21"/>
              </w:rPr>
            </w:pPr>
          </w:p>
        </w:tc>
        <w:tc>
          <w:tcPr>
            <w:tcW w:w="244" w:type="dxa"/>
            <w:tcBorders>
              <w:top w:val="single" w:color="000000" w:sz="2" w:space="0"/>
              <w:bottom w:val="single" w:color="000000" w:sz="2" w:space="0"/>
            </w:tcBorders>
            <w:vAlign w:val="top"/>
          </w:tcPr>
          <w:p w14:paraId="62FF6042">
            <w:pPr>
              <w:rPr>
                <w:rFonts w:ascii="Arial"/>
                <w:sz w:val="21"/>
              </w:rPr>
            </w:pPr>
          </w:p>
        </w:tc>
      </w:tr>
      <w:tr w14:paraId="556A1E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16" w:hRule="atLeast"/>
        </w:trPr>
        <w:tc>
          <w:tcPr>
            <w:tcW w:w="893" w:type="dxa"/>
            <w:tcBorders>
              <w:top w:val="single" w:color="000000" w:sz="2" w:space="0"/>
              <w:bottom w:val="single" w:color="000000" w:sz="2" w:space="0"/>
            </w:tcBorders>
            <w:vAlign w:val="top"/>
          </w:tcPr>
          <w:p w14:paraId="6161A771">
            <w:pPr>
              <w:spacing w:line="281" w:lineRule="auto"/>
              <w:rPr>
                <w:rFonts w:ascii="Arial"/>
                <w:sz w:val="21"/>
              </w:rPr>
            </w:pPr>
          </w:p>
          <w:p w14:paraId="25FA5A3F">
            <w:pPr>
              <w:spacing w:line="282" w:lineRule="auto"/>
              <w:rPr>
                <w:rFonts w:ascii="Arial"/>
                <w:sz w:val="21"/>
              </w:rPr>
            </w:pPr>
          </w:p>
          <w:p w14:paraId="481F137C">
            <w:pPr>
              <w:spacing w:line="282" w:lineRule="auto"/>
              <w:rPr>
                <w:rFonts w:ascii="Arial"/>
                <w:sz w:val="21"/>
              </w:rPr>
            </w:pPr>
          </w:p>
          <w:p w14:paraId="6BC99EA8">
            <w:pPr>
              <w:spacing w:line="282" w:lineRule="auto"/>
              <w:rPr>
                <w:rFonts w:ascii="Arial"/>
                <w:sz w:val="21"/>
              </w:rPr>
            </w:pPr>
          </w:p>
          <w:p w14:paraId="45284537">
            <w:pPr>
              <w:pStyle w:val="6"/>
              <w:spacing w:before="58" w:line="180" w:lineRule="auto"/>
              <w:ind w:left="34"/>
              <w:rPr>
                <w:sz w:val="18"/>
                <w:szCs w:val="18"/>
              </w:rPr>
            </w:pPr>
            <w:r>
              <w:rPr>
                <w:spacing w:val="-1"/>
                <w:sz w:val="18"/>
                <w:szCs w:val="18"/>
              </w:rPr>
              <w:t>Windows10</w:t>
            </w:r>
          </w:p>
          <w:p w14:paraId="6CA8200A">
            <w:pPr>
              <w:pStyle w:val="6"/>
              <w:spacing w:line="214" w:lineRule="auto"/>
              <w:ind w:left="165"/>
              <w:rPr>
                <w:sz w:val="18"/>
                <w:szCs w:val="18"/>
              </w:rPr>
            </w:pPr>
            <w:r>
              <w:rPr>
                <w:spacing w:val="2"/>
                <w:sz w:val="18"/>
                <w:szCs w:val="18"/>
              </w:rPr>
              <w:t>的基本</w:t>
            </w:r>
          </w:p>
          <w:p w14:paraId="0F95AAE6">
            <w:pPr>
              <w:pStyle w:val="6"/>
              <w:spacing w:before="7" w:line="219" w:lineRule="auto"/>
              <w:ind w:left="254"/>
              <w:rPr>
                <w:sz w:val="18"/>
                <w:szCs w:val="18"/>
              </w:rPr>
            </w:pPr>
            <w:r>
              <w:rPr>
                <w:spacing w:val="-2"/>
                <w:sz w:val="18"/>
                <w:szCs w:val="18"/>
              </w:rPr>
              <w:t>操作</w:t>
            </w:r>
          </w:p>
        </w:tc>
        <w:tc>
          <w:tcPr>
            <w:tcW w:w="2314" w:type="dxa"/>
            <w:tcBorders>
              <w:top w:val="single" w:color="000000" w:sz="2" w:space="0"/>
              <w:bottom w:val="single" w:color="000000" w:sz="2" w:space="0"/>
            </w:tcBorders>
            <w:vAlign w:val="top"/>
          </w:tcPr>
          <w:p w14:paraId="4EDE098A">
            <w:pPr>
              <w:pStyle w:val="6"/>
              <w:spacing w:before="34" w:line="215" w:lineRule="auto"/>
              <w:ind w:left="12"/>
              <w:rPr>
                <w:sz w:val="18"/>
                <w:szCs w:val="18"/>
              </w:rPr>
            </w:pPr>
            <w:r>
              <w:rPr>
                <w:spacing w:val="-1"/>
                <w:sz w:val="18"/>
                <w:szCs w:val="18"/>
              </w:rPr>
              <w:t>1.Windows</w:t>
            </w:r>
            <w:r>
              <w:rPr>
                <w:spacing w:val="24"/>
                <w:sz w:val="18"/>
                <w:szCs w:val="18"/>
              </w:rPr>
              <w:t xml:space="preserve"> </w:t>
            </w:r>
            <w:r>
              <w:rPr>
                <w:spacing w:val="-1"/>
                <w:sz w:val="18"/>
                <w:szCs w:val="18"/>
              </w:rPr>
              <w:t>10操作界面</w:t>
            </w:r>
          </w:p>
          <w:p w14:paraId="1AB45534">
            <w:pPr>
              <w:pStyle w:val="6"/>
              <w:spacing w:before="1" w:line="230" w:lineRule="auto"/>
              <w:ind w:left="12" w:right="141"/>
              <w:rPr>
                <w:sz w:val="18"/>
                <w:szCs w:val="18"/>
              </w:rPr>
            </w:pPr>
            <w:r>
              <w:rPr>
                <w:spacing w:val="-2"/>
                <w:sz w:val="18"/>
                <w:szCs w:val="18"/>
              </w:rPr>
              <w:t>2.Windows</w:t>
            </w:r>
            <w:r>
              <w:rPr>
                <w:spacing w:val="23"/>
                <w:sz w:val="18"/>
                <w:szCs w:val="18"/>
              </w:rPr>
              <w:t xml:space="preserve"> </w:t>
            </w:r>
            <w:r>
              <w:rPr>
                <w:spacing w:val="-2"/>
                <w:sz w:val="18"/>
                <w:szCs w:val="18"/>
              </w:rPr>
              <w:t>10桌面及其基本</w:t>
            </w:r>
            <w:r>
              <w:rPr>
                <w:sz w:val="18"/>
                <w:szCs w:val="18"/>
              </w:rPr>
              <w:t xml:space="preserve"> </w:t>
            </w:r>
            <w:r>
              <w:rPr>
                <w:spacing w:val="-2"/>
                <w:sz w:val="18"/>
                <w:szCs w:val="18"/>
              </w:rPr>
              <w:t>操作</w:t>
            </w:r>
          </w:p>
          <w:p w14:paraId="67C5E172">
            <w:pPr>
              <w:pStyle w:val="6"/>
              <w:spacing w:before="1" w:line="216" w:lineRule="auto"/>
              <w:ind w:left="12" w:right="142"/>
              <w:rPr>
                <w:sz w:val="18"/>
                <w:szCs w:val="18"/>
              </w:rPr>
            </w:pPr>
            <w:r>
              <w:rPr>
                <w:spacing w:val="-2"/>
                <w:sz w:val="18"/>
                <w:szCs w:val="18"/>
              </w:rPr>
              <w:t>3.Windows</w:t>
            </w:r>
            <w:r>
              <w:rPr>
                <w:spacing w:val="22"/>
                <w:sz w:val="18"/>
                <w:szCs w:val="18"/>
              </w:rPr>
              <w:t xml:space="preserve"> </w:t>
            </w:r>
            <w:r>
              <w:rPr>
                <w:spacing w:val="-2"/>
                <w:sz w:val="18"/>
                <w:szCs w:val="18"/>
              </w:rPr>
              <w:t>10开始菜单及其</w:t>
            </w:r>
            <w:r>
              <w:rPr>
                <w:sz w:val="18"/>
                <w:szCs w:val="18"/>
              </w:rPr>
              <w:t xml:space="preserve"> </w:t>
            </w:r>
            <w:r>
              <w:rPr>
                <w:spacing w:val="-2"/>
                <w:sz w:val="18"/>
                <w:szCs w:val="18"/>
              </w:rPr>
              <w:t>基本操作</w:t>
            </w:r>
          </w:p>
          <w:p w14:paraId="7B294855">
            <w:pPr>
              <w:pStyle w:val="6"/>
              <w:spacing w:before="7" w:line="225" w:lineRule="auto"/>
              <w:ind w:left="12" w:right="138"/>
              <w:rPr>
                <w:sz w:val="18"/>
                <w:szCs w:val="18"/>
              </w:rPr>
            </w:pPr>
            <w:r>
              <w:rPr>
                <w:spacing w:val="-2"/>
                <w:sz w:val="18"/>
                <w:szCs w:val="18"/>
              </w:rPr>
              <w:t>4.Windows</w:t>
            </w:r>
            <w:r>
              <w:rPr>
                <w:spacing w:val="26"/>
                <w:sz w:val="18"/>
                <w:szCs w:val="18"/>
              </w:rPr>
              <w:t xml:space="preserve"> </w:t>
            </w:r>
            <w:r>
              <w:rPr>
                <w:spacing w:val="-2"/>
                <w:sz w:val="18"/>
                <w:szCs w:val="18"/>
              </w:rPr>
              <w:t>10任务栏及其基</w:t>
            </w:r>
            <w:r>
              <w:rPr>
                <w:sz w:val="18"/>
                <w:szCs w:val="18"/>
              </w:rPr>
              <w:t xml:space="preserve"> </w:t>
            </w:r>
            <w:r>
              <w:rPr>
                <w:spacing w:val="-2"/>
                <w:sz w:val="18"/>
                <w:szCs w:val="18"/>
              </w:rPr>
              <w:t>本操作</w:t>
            </w:r>
          </w:p>
          <w:p w14:paraId="04E0AE8D">
            <w:pPr>
              <w:pStyle w:val="6"/>
              <w:spacing w:before="1" w:line="217" w:lineRule="auto"/>
              <w:ind w:left="12" w:right="142"/>
              <w:rPr>
                <w:sz w:val="18"/>
                <w:szCs w:val="18"/>
              </w:rPr>
            </w:pPr>
            <w:r>
              <w:rPr>
                <w:spacing w:val="-2"/>
                <w:sz w:val="18"/>
                <w:szCs w:val="18"/>
              </w:rPr>
              <w:t>5.Windows</w:t>
            </w:r>
            <w:r>
              <w:rPr>
                <w:spacing w:val="22"/>
                <w:sz w:val="18"/>
                <w:szCs w:val="18"/>
              </w:rPr>
              <w:t xml:space="preserve"> </w:t>
            </w:r>
            <w:r>
              <w:rPr>
                <w:spacing w:val="-2"/>
                <w:sz w:val="18"/>
                <w:szCs w:val="18"/>
              </w:rPr>
              <w:t>10窗口及其基本</w:t>
            </w:r>
            <w:r>
              <w:rPr>
                <w:sz w:val="18"/>
                <w:szCs w:val="18"/>
              </w:rPr>
              <w:t xml:space="preserve"> </w:t>
            </w:r>
            <w:r>
              <w:rPr>
                <w:spacing w:val="-2"/>
                <w:sz w:val="18"/>
                <w:szCs w:val="18"/>
              </w:rPr>
              <w:t>操作</w:t>
            </w:r>
          </w:p>
          <w:p w14:paraId="2C909CFC">
            <w:pPr>
              <w:pStyle w:val="6"/>
              <w:spacing w:before="16" w:line="231" w:lineRule="auto"/>
              <w:ind w:left="12" w:right="140"/>
              <w:rPr>
                <w:sz w:val="18"/>
                <w:szCs w:val="18"/>
              </w:rPr>
            </w:pPr>
            <w:r>
              <w:rPr>
                <w:spacing w:val="-2"/>
                <w:sz w:val="18"/>
                <w:szCs w:val="18"/>
              </w:rPr>
              <w:t>6.Windows</w:t>
            </w:r>
            <w:r>
              <w:rPr>
                <w:spacing w:val="24"/>
                <w:sz w:val="18"/>
                <w:szCs w:val="18"/>
              </w:rPr>
              <w:t xml:space="preserve"> </w:t>
            </w:r>
            <w:r>
              <w:rPr>
                <w:spacing w:val="-2"/>
                <w:sz w:val="18"/>
                <w:szCs w:val="18"/>
              </w:rPr>
              <w:t>10对话框及其基</w:t>
            </w:r>
            <w:r>
              <w:rPr>
                <w:sz w:val="18"/>
                <w:szCs w:val="18"/>
              </w:rPr>
              <w:t xml:space="preserve"> </w:t>
            </w:r>
            <w:r>
              <w:rPr>
                <w:spacing w:val="-2"/>
                <w:sz w:val="18"/>
                <w:szCs w:val="18"/>
              </w:rPr>
              <w:t>本操作</w:t>
            </w:r>
          </w:p>
          <w:p w14:paraId="3CE0F889">
            <w:pPr>
              <w:pStyle w:val="6"/>
              <w:spacing w:before="1" w:line="226" w:lineRule="auto"/>
              <w:ind w:left="12" w:right="143"/>
              <w:rPr>
                <w:sz w:val="18"/>
                <w:szCs w:val="18"/>
              </w:rPr>
            </w:pPr>
            <w:r>
              <w:rPr>
                <w:spacing w:val="-2"/>
                <w:sz w:val="18"/>
                <w:szCs w:val="18"/>
              </w:rPr>
              <w:t>7.Windows</w:t>
            </w:r>
            <w:r>
              <w:rPr>
                <w:spacing w:val="21"/>
                <w:sz w:val="18"/>
                <w:szCs w:val="18"/>
              </w:rPr>
              <w:t xml:space="preserve"> </w:t>
            </w:r>
            <w:r>
              <w:rPr>
                <w:spacing w:val="-2"/>
                <w:sz w:val="18"/>
                <w:szCs w:val="18"/>
              </w:rPr>
              <w:t>10图标、快捷方</w:t>
            </w:r>
            <w:r>
              <w:rPr>
                <w:sz w:val="18"/>
                <w:szCs w:val="18"/>
              </w:rPr>
              <w:t xml:space="preserve"> </w:t>
            </w:r>
            <w:r>
              <w:rPr>
                <w:spacing w:val="1"/>
                <w:sz w:val="18"/>
                <w:szCs w:val="18"/>
              </w:rPr>
              <w:t>式及其基本操作</w:t>
            </w:r>
          </w:p>
        </w:tc>
        <w:tc>
          <w:tcPr>
            <w:tcW w:w="229" w:type="dxa"/>
            <w:tcBorders>
              <w:top w:val="single" w:color="000000" w:sz="2" w:space="0"/>
              <w:bottom w:val="single" w:color="000000" w:sz="2" w:space="0"/>
            </w:tcBorders>
            <w:vAlign w:val="top"/>
          </w:tcPr>
          <w:p w14:paraId="7FAC92FB">
            <w:pPr>
              <w:pStyle w:val="6"/>
              <w:spacing w:before="45" w:line="238" w:lineRule="auto"/>
              <w:ind w:left="48"/>
              <w:rPr>
                <w:sz w:val="13"/>
                <w:szCs w:val="13"/>
              </w:rPr>
            </w:pPr>
            <w:r>
              <w:rPr>
                <w:sz w:val="13"/>
                <w:szCs w:val="13"/>
              </w:rPr>
              <w:t>√</w:t>
            </w:r>
          </w:p>
        </w:tc>
        <w:tc>
          <w:tcPr>
            <w:tcW w:w="230" w:type="dxa"/>
            <w:tcBorders>
              <w:top w:val="single" w:color="000000" w:sz="2" w:space="0"/>
              <w:bottom w:val="single" w:color="000000" w:sz="2" w:space="0"/>
            </w:tcBorders>
            <w:vAlign w:val="top"/>
          </w:tcPr>
          <w:p w14:paraId="777B3CD0">
            <w:pPr>
              <w:rPr>
                <w:rFonts w:ascii="Arial"/>
                <w:sz w:val="21"/>
              </w:rPr>
            </w:pPr>
          </w:p>
        </w:tc>
        <w:tc>
          <w:tcPr>
            <w:tcW w:w="220" w:type="dxa"/>
            <w:tcBorders>
              <w:top w:val="single" w:color="000000" w:sz="2" w:space="0"/>
              <w:bottom w:val="single" w:color="000000" w:sz="2" w:space="0"/>
            </w:tcBorders>
            <w:vAlign w:val="top"/>
          </w:tcPr>
          <w:p w14:paraId="29B1DAA3">
            <w:pPr>
              <w:rPr>
                <w:rFonts w:ascii="Arial"/>
                <w:sz w:val="21"/>
              </w:rPr>
            </w:pPr>
          </w:p>
        </w:tc>
        <w:tc>
          <w:tcPr>
            <w:tcW w:w="244" w:type="dxa"/>
            <w:tcBorders>
              <w:top w:val="single" w:color="000000" w:sz="2" w:space="0"/>
              <w:bottom w:val="single" w:color="000000" w:sz="2" w:space="0"/>
            </w:tcBorders>
            <w:vAlign w:val="top"/>
          </w:tcPr>
          <w:p w14:paraId="63FBBEB5">
            <w:pPr>
              <w:rPr>
                <w:rFonts w:ascii="Arial"/>
                <w:sz w:val="21"/>
              </w:rPr>
            </w:pPr>
          </w:p>
        </w:tc>
      </w:tr>
    </w:tbl>
    <w:p w14:paraId="5B3488C2">
      <w:pPr>
        <w:pStyle w:val="2"/>
        <w:spacing w:line="14" w:lineRule="auto"/>
        <w:rPr>
          <w:sz w:val="2"/>
        </w:rPr>
      </w:pPr>
    </w:p>
    <w:p w14:paraId="2AEA1200">
      <w:pPr>
        <w:spacing w:line="14" w:lineRule="auto"/>
        <w:rPr>
          <w:sz w:val="2"/>
          <w:szCs w:val="2"/>
        </w:rPr>
        <w:sectPr>
          <w:type w:val="continuous"/>
          <w:pgSz w:w="10660" w:h="15080"/>
          <w:pgMar w:top="400" w:right="885" w:bottom="925" w:left="1019" w:header="0" w:footer="705" w:gutter="0"/>
          <w:cols w:equalWidth="0" w:num="2">
            <w:col w:w="4501" w:space="100"/>
            <w:col w:w="4155"/>
          </w:cols>
        </w:sectPr>
      </w:pPr>
    </w:p>
    <w:p w14:paraId="183CE512">
      <w:pPr>
        <w:spacing w:before="8"/>
      </w:pPr>
      <w:r>
        <w:pict>
          <v:shape id="_x0000_s1034" o:spid="_x0000_s1034" o:spt="202" type="#_x0000_t202" style="position:absolute;left:0pt;margin-left:43.25pt;margin-top:69.7pt;height:260.55pt;width:209.05pt;mso-position-horizontal-relative:page;mso-position-vertical-relative:page;z-index:251683840;mso-width-relative:page;mso-height-relative:page;" filled="f" stroked="f" coordsize="21600,21600" o:allowincell="f">
            <v:path/>
            <v:fill on="f" focussize="0,0"/>
            <v:stroke on="f"/>
            <v:imagedata o:title=""/>
            <o:lock v:ext="edit" aspectratio="f"/>
            <v:textbox inset="0mm,0mm,0mm,0mm">
              <w:txbxContent>
                <w:p w14:paraId="15423D31">
                  <w:pPr>
                    <w:spacing w:line="20" w:lineRule="exact"/>
                  </w:pPr>
                </w:p>
                <w:tbl>
                  <w:tblPr>
                    <w:tblStyle w:val="5"/>
                    <w:tblW w:w="4130" w:type="dxa"/>
                    <w:tblInd w:w="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24"/>
                    <w:gridCol w:w="230"/>
                    <w:gridCol w:w="230"/>
                    <w:gridCol w:w="219"/>
                    <w:gridCol w:w="234"/>
                  </w:tblGrid>
                  <w:tr w14:paraId="7FB238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30" w:hRule="atLeast"/>
                    </w:trPr>
                    <w:tc>
                      <w:tcPr>
                        <w:tcW w:w="893" w:type="dxa"/>
                        <w:vAlign w:val="top"/>
                      </w:tcPr>
                      <w:p w14:paraId="72FC4493">
                        <w:pPr>
                          <w:spacing w:line="246" w:lineRule="auto"/>
                          <w:rPr>
                            <w:rFonts w:ascii="Arial"/>
                            <w:sz w:val="21"/>
                          </w:rPr>
                        </w:pPr>
                      </w:p>
                      <w:p w14:paraId="57F8FE7D">
                        <w:pPr>
                          <w:spacing w:line="246" w:lineRule="auto"/>
                          <w:rPr>
                            <w:rFonts w:ascii="Arial"/>
                            <w:sz w:val="21"/>
                          </w:rPr>
                        </w:pPr>
                      </w:p>
                      <w:p w14:paraId="51A69556">
                        <w:pPr>
                          <w:spacing w:line="247" w:lineRule="auto"/>
                          <w:rPr>
                            <w:rFonts w:ascii="Arial"/>
                            <w:sz w:val="21"/>
                          </w:rPr>
                        </w:pPr>
                      </w:p>
                      <w:p w14:paraId="44F509AD">
                        <w:pPr>
                          <w:spacing w:line="247" w:lineRule="auto"/>
                          <w:rPr>
                            <w:rFonts w:ascii="Arial"/>
                            <w:sz w:val="21"/>
                          </w:rPr>
                        </w:pPr>
                      </w:p>
                      <w:p w14:paraId="60548D82">
                        <w:pPr>
                          <w:pStyle w:val="6"/>
                          <w:spacing w:before="55" w:line="223" w:lineRule="auto"/>
                          <w:ind w:left="184" w:right="64" w:hanging="129"/>
                        </w:pPr>
                        <w:r>
                          <w:rPr>
                            <w:spacing w:val="-1"/>
                          </w:rPr>
                          <w:t>Windows10</w:t>
                        </w:r>
                        <w:r>
                          <w:rPr>
                            <w:spacing w:val="6"/>
                          </w:rPr>
                          <w:t xml:space="preserve"> </w:t>
                        </w:r>
                        <w:r>
                          <w:rPr>
                            <w:spacing w:val="2"/>
                          </w:rPr>
                          <w:t>的文件</w:t>
                        </w:r>
                        <w:r>
                          <w:t xml:space="preserve">  </w:t>
                        </w:r>
                        <w:r>
                          <w:rPr>
                            <w:spacing w:val="37"/>
                          </w:rPr>
                          <w:t>操作</w:t>
                        </w:r>
                      </w:p>
                    </w:tc>
                    <w:tc>
                      <w:tcPr>
                        <w:tcW w:w="2324" w:type="dxa"/>
                        <w:vAlign w:val="top"/>
                      </w:tcPr>
                      <w:p w14:paraId="1F6E54FE">
                        <w:pPr>
                          <w:pStyle w:val="6"/>
                          <w:spacing w:before="22" w:line="229" w:lineRule="auto"/>
                          <w:ind w:left="12" w:right="254"/>
                        </w:pPr>
                        <w:bookmarkStart w:id="74" w:name="bookmark34"/>
                        <w:bookmarkEnd w:id="74"/>
                        <w:r>
                          <w:t>1.文件资源管理器及其基本</w:t>
                        </w:r>
                        <w:r>
                          <w:rPr>
                            <w:spacing w:val="6"/>
                          </w:rPr>
                          <w:t xml:space="preserve"> </w:t>
                        </w:r>
                        <w:r>
                          <w:rPr>
                            <w:spacing w:val="-2"/>
                          </w:rPr>
                          <w:t>操作</w:t>
                        </w:r>
                      </w:p>
                      <w:p w14:paraId="6CF0985D">
                        <w:pPr>
                          <w:pStyle w:val="6"/>
                          <w:spacing w:before="18" w:line="229" w:lineRule="auto"/>
                          <w:ind w:left="12" w:right="411"/>
                        </w:pPr>
                        <w:r>
                          <w:rPr>
                            <w:spacing w:val="1"/>
                          </w:rPr>
                          <w:t>2.剪贴板和回收站的使用</w:t>
                        </w:r>
                        <w:r>
                          <w:rPr>
                            <w:spacing w:val="7"/>
                          </w:rPr>
                          <w:t xml:space="preserve"> </w:t>
                        </w:r>
                        <w:r>
                          <w:rPr>
                            <w:spacing w:val="-1"/>
                          </w:rPr>
                          <w:t>3.管理文件及文件夹</w:t>
                        </w:r>
                      </w:p>
                      <w:p w14:paraId="4A143F8C">
                        <w:pPr>
                          <w:pStyle w:val="6"/>
                          <w:spacing w:before="16" w:line="217" w:lineRule="auto"/>
                          <w:ind w:left="231"/>
                        </w:pPr>
                        <w:r>
                          <w:rPr>
                            <w:spacing w:val="-1"/>
                          </w:rPr>
                          <w:t>①文件和文件夹的概念</w:t>
                        </w:r>
                      </w:p>
                      <w:p w14:paraId="2B6C4D8B">
                        <w:pPr>
                          <w:pStyle w:val="6"/>
                          <w:spacing w:before="40" w:line="217" w:lineRule="auto"/>
                          <w:ind w:left="262"/>
                        </w:pPr>
                        <w:r>
                          <w:rPr>
                            <w:spacing w:val="-1"/>
                          </w:rPr>
                          <w:t>②创建文件与文件夹</w:t>
                        </w:r>
                      </w:p>
                      <w:p w14:paraId="280E0B23">
                        <w:pPr>
                          <w:pStyle w:val="6"/>
                          <w:spacing w:before="10" w:line="217" w:lineRule="auto"/>
                          <w:ind w:right="26"/>
                          <w:jc w:val="right"/>
                        </w:pPr>
                        <w:r>
                          <w:rPr>
                            <w:spacing w:val="-1"/>
                          </w:rPr>
                          <w:t>③移动、复制文件或文件夹</w:t>
                        </w:r>
                      </w:p>
                      <w:p w14:paraId="062789B5">
                        <w:pPr>
                          <w:pStyle w:val="6"/>
                          <w:spacing w:before="40" w:line="217" w:lineRule="auto"/>
                          <w:ind w:right="6"/>
                          <w:jc w:val="right"/>
                        </w:pPr>
                        <w:r>
                          <w:rPr>
                            <w:spacing w:val="-1"/>
                          </w:rPr>
                          <w:t>④修改文件或文件夹的名称</w:t>
                        </w:r>
                      </w:p>
                      <w:p w14:paraId="74B0A3B8">
                        <w:pPr>
                          <w:pStyle w:val="6"/>
                          <w:spacing w:line="217" w:lineRule="auto"/>
                          <w:ind w:left="252"/>
                        </w:pPr>
                        <w:r>
                          <w:rPr>
                            <w:spacing w:val="-1"/>
                          </w:rPr>
                          <w:t>⑤删除文件或文件夹</w:t>
                        </w:r>
                      </w:p>
                      <w:p w14:paraId="046ECB80">
                        <w:pPr>
                          <w:pStyle w:val="6"/>
                          <w:spacing w:before="20" w:line="217" w:lineRule="auto"/>
                          <w:jc w:val="right"/>
                        </w:pPr>
                        <w:r>
                          <w:rPr>
                            <w:spacing w:val="-14"/>
                          </w:rPr>
                          <w:t>⑥恢复被</w:t>
                        </w:r>
                        <w:r>
                          <w:rPr>
                            <w:spacing w:val="-13"/>
                          </w:rPr>
                          <w:t>删除的文件或文件</w:t>
                        </w:r>
                        <w:r>
                          <w:rPr>
                            <w:spacing w:val="-9"/>
                          </w:rPr>
                          <w:t>夹</w:t>
                        </w:r>
                      </w:p>
                      <w:p w14:paraId="6A470D85">
                        <w:pPr>
                          <w:pStyle w:val="6"/>
                          <w:spacing w:before="19" w:line="212" w:lineRule="auto"/>
                          <w:ind w:left="262" w:right="17"/>
                        </w:pPr>
                        <w:r>
                          <w:rPr>
                            <w:spacing w:val="-1"/>
                          </w:rPr>
                          <w:t>⑦修改文件或文件夹的属性</w:t>
                        </w:r>
                        <w:r>
                          <w:rPr>
                            <w:spacing w:val="5"/>
                          </w:rPr>
                          <w:t xml:space="preserve"> </w:t>
                        </w:r>
                        <w:r>
                          <w:rPr>
                            <w:spacing w:val="-1"/>
                          </w:rPr>
                          <w:t>8查找文件或文件夹</w:t>
                        </w:r>
                      </w:p>
                    </w:tc>
                    <w:tc>
                      <w:tcPr>
                        <w:tcW w:w="230" w:type="dxa"/>
                        <w:vAlign w:val="top"/>
                      </w:tcPr>
                      <w:p w14:paraId="76A58562">
                        <w:pPr>
                          <w:rPr>
                            <w:rFonts w:ascii="Arial"/>
                            <w:sz w:val="21"/>
                          </w:rPr>
                        </w:pPr>
                      </w:p>
                    </w:tc>
                    <w:tc>
                      <w:tcPr>
                        <w:tcW w:w="230" w:type="dxa"/>
                        <w:vAlign w:val="top"/>
                      </w:tcPr>
                      <w:p w14:paraId="1CDF0854">
                        <w:pPr>
                          <w:rPr>
                            <w:rFonts w:ascii="Arial"/>
                            <w:sz w:val="21"/>
                          </w:rPr>
                        </w:pPr>
                      </w:p>
                    </w:tc>
                    <w:tc>
                      <w:tcPr>
                        <w:tcW w:w="219" w:type="dxa"/>
                        <w:vAlign w:val="top"/>
                      </w:tcPr>
                      <w:p w14:paraId="38F86640">
                        <w:pPr>
                          <w:rPr>
                            <w:rFonts w:ascii="Arial"/>
                            <w:sz w:val="21"/>
                          </w:rPr>
                        </w:pPr>
                      </w:p>
                    </w:tc>
                    <w:tc>
                      <w:tcPr>
                        <w:tcW w:w="234" w:type="dxa"/>
                        <w:vAlign w:val="top"/>
                      </w:tcPr>
                      <w:p w14:paraId="15DF2DA8">
                        <w:pPr>
                          <w:rPr>
                            <w:rFonts w:ascii="Arial"/>
                            <w:sz w:val="21"/>
                          </w:rPr>
                        </w:pPr>
                      </w:p>
                    </w:tc>
                  </w:tr>
                  <w:tr w14:paraId="14FA7E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767" w:hRule="atLeast"/>
                    </w:trPr>
                    <w:tc>
                      <w:tcPr>
                        <w:tcW w:w="893" w:type="dxa"/>
                        <w:vAlign w:val="top"/>
                      </w:tcPr>
                      <w:p w14:paraId="34A247CB">
                        <w:pPr>
                          <w:spacing w:line="279" w:lineRule="auto"/>
                          <w:rPr>
                            <w:rFonts w:ascii="Arial"/>
                            <w:sz w:val="21"/>
                          </w:rPr>
                        </w:pPr>
                      </w:p>
                      <w:p w14:paraId="534068A8">
                        <w:pPr>
                          <w:spacing w:line="280" w:lineRule="auto"/>
                          <w:rPr>
                            <w:rFonts w:ascii="Arial"/>
                            <w:sz w:val="21"/>
                          </w:rPr>
                        </w:pPr>
                      </w:p>
                      <w:p w14:paraId="26A92156">
                        <w:pPr>
                          <w:pStyle w:val="6"/>
                          <w:spacing w:before="56" w:line="219" w:lineRule="auto"/>
                          <w:ind w:left="184" w:right="64" w:hanging="129"/>
                        </w:pPr>
                        <w:r>
                          <w:rPr>
                            <w:spacing w:val="-1"/>
                          </w:rPr>
                          <w:t>Windows10</w:t>
                        </w:r>
                        <w:r>
                          <w:rPr>
                            <w:spacing w:val="6"/>
                          </w:rPr>
                          <w:t xml:space="preserve"> </w:t>
                        </w:r>
                        <w:r>
                          <w:rPr>
                            <w:spacing w:val="2"/>
                          </w:rPr>
                          <w:t>的系统</w:t>
                        </w:r>
                      </w:p>
                      <w:p w14:paraId="4040D09C">
                        <w:pPr>
                          <w:pStyle w:val="6"/>
                          <w:spacing w:line="219" w:lineRule="auto"/>
                          <w:ind w:left="94"/>
                        </w:pPr>
                        <w:r>
                          <w:rPr>
                            <w:spacing w:val="2"/>
                          </w:rPr>
                          <w:t>管理操作</w:t>
                        </w:r>
                      </w:p>
                    </w:tc>
                    <w:tc>
                      <w:tcPr>
                        <w:tcW w:w="2324" w:type="dxa"/>
                        <w:vAlign w:val="top"/>
                      </w:tcPr>
                      <w:p w14:paraId="34E1FFD6">
                        <w:pPr>
                          <w:pStyle w:val="6"/>
                          <w:spacing w:before="42" w:line="220" w:lineRule="auto"/>
                          <w:ind w:left="12"/>
                        </w:pPr>
                        <w:r>
                          <w:rPr>
                            <w:spacing w:val="1"/>
                          </w:rPr>
                          <w:t>1.</w:t>
                        </w:r>
                        <w:r>
                          <w:t>Windows</w:t>
                        </w:r>
                        <w:r>
                          <w:rPr>
                            <w:spacing w:val="1"/>
                          </w:rPr>
                          <w:t>10设置及其常用</w:t>
                        </w:r>
                      </w:p>
                      <w:p w14:paraId="5C515E8A">
                        <w:pPr>
                          <w:pStyle w:val="6"/>
                          <w:spacing w:before="26" w:line="208" w:lineRule="auto"/>
                          <w:ind w:left="12"/>
                        </w:pPr>
                        <w:r>
                          <w:rPr>
                            <w:spacing w:val="-2"/>
                          </w:rPr>
                          <w:t>基本操作</w:t>
                        </w:r>
                      </w:p>
                      <w:p w14:paraId="7FD171D1">
                        <w:pPr>
                          <w:pStyle w:val="6"/>
                          <w:spacing w:line="220" w:lineRule="auto"/>
                          <w:ind w:left="12"/>
                        </w:pPr>
                        <w:r>
                          <w:rPr>
                            <w:spacing w:val="-1"/>
                          </w:rPr>
                          <w:t>2.系统属性设置</w:t>
                        </w:r>
                      </w:p>
                      <w:p w14:paraId="19556875">
                        <w:pPr>
                          <w:pStyle w:val="6"/>
                          <w:spacing w:before="47" w:line="206" w:lineRule="auto"/>
                          <w:ind w:left="12"/>
                        </w:pPr>
                        <w:r>
                          <w:rPr>
                            <w:spacing w:val="-2"/>
                          </w:rPr>
                          <w:t>3.显示属性设置</w:t>
                        </w:r>
                      </w:p>
                      <w:p w14:paraId="0CFE28C3">
                        <w:pPr>
                          <w:pStyle w:val="6"/>
                          <w:spacing w:line="220" w:lineRule="auto"/>
                          <w:ind w:left="12"/>
                        </w:pPr>
                        <w:r>
                          <w:rPr>
                            <w:spacing w:val="-1"/>
                          </w:rPr>
                          <w:t>4.网络属性设置</w:t>
                        </w:r>
                      </w:p>
                      <w:p w14:paraId="6DBF5386">
                        <w:pPr>
                          <w:pStyle w:val="6"/>
                          <w:spacing w:before="36" w:line="220" w:lineRule="auto"/>
                          <w:ind w:left="12"/>
                        </w:pPr>
                        <w:r>
                          <w:rPr>
                            <w:spacing w:val="-2"/>
                          </w:rPr>
                          <w:t>5.程序安装与卸载</w:t>
                        </w:r>
                      </w:p>
                      <w:p w14:paraId="734783BC">
                        <w:pPr>
                          <w:pStyle w:val="6"/>
                          <w:spacing w:before="16" w:line="215" w:lineRule="auto"/>
                          <w:ind w:left="12" w:right="779"/>
                        </w:pPr>
                        <w:r>
                          <w:rPr>
                            <w:spacing w:val="-1"/>
                          </w:rPr>
                          <w:t>6.外观和个性化设置</w:t>
                        </w:r>
                        <w:r>
                          <w:rPr>
                            <w:spacing w:val="1"/>
                          </w:rPr>
                          <w:t xml:space="preserve"> </w:t>
                        </w:r>
                        <w:r>
                          <w:rPr>
                            <w:spacing w:val="-1"/>
                          </w:rPr>
                          <w:t>7.时间和语言设置</w:t>
                        </w:r>
                      </w:p>
                    </w:tc>
                    <w:tc>
                      <w:tcPr>
                        <w:tcW w:w="230" w:type="dxa"/>
                        <w:vAlign w:val="top"/>
                      </w:tcPr>
                      <w:p w14:paraId="47AE2550">
                        <w:pPr>
                          <w:rPr>
                            <w:rFonts w:ascii="Arial"/>
                            <w:sz w:val="21"/>
                          </w:rPr>
                        </w:pPr>
                      </w:p>
                    </w:tc>
                    <w:tc>
                      <w:tcPr>
                        <w:tcW w:w="230" w:type="dxa"/>
                        <w:vAlign w:val="top"/>
                      </w:tcPr>
                      <w:p w14:paraId="225FB87C">
                        <w:pPr>
                          <w:rPr>
                            <w:rFonts w:ascii="Arial"/>
                            <w:sz w:val="21"/>
                          </w:rPr>
                        </w:pPr>
                      </w:p>
                    </w:tc>
                    <w:tc>
                      <w:tcPr>
                        <w:tcW w:w="219" w:type="dxa"/>
                        <w:vAlign w:val="top"/>
                      </w:tcPr>
                      <w:p w14:paraId="15CD2B5E">
                        <w:pPr>
                          <w:rPr>
                            <w:rFonts w:ascii="Arial"/>
                            <w:sz w:val="21"/>
                          </w:rPr>
                        </w:pPr>
                      </w:p>
                    </w:tc>
                    <w:tc>
                      <w:tcPr>
                        <w:tcW w:w="234" w:type="dxa"/>
                        <w:vAlign w:val="top"/>
                      </w:tcPr>
                      <w:p w14:paraId="7A5FFBDB">
                        <w:pPr>
                          <w:rPr>
                            <w:rFonts w:ascii="Arial"/>
                            <w:sz w:val="21"/>
                          </w:rPr>
                        </w:pPr>
                      </w:p>
                    </w:tc>
                  </w:tr>
                  <w:tr w14:paraId="77CFF4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33" w:hRule="atLeast"/>
                    </w:trPr>
                    <w:tc>
                      <w:tcPr>
                        <w:tcW w:w="893" w:type="dxa"/>
                        <w:vAlign w:val="top"/>
                      </w:tcPr>
                      <w:p w14:paraId="0DB62D61">
                        <w:pPr>
                          <w:pStyle w:val="6"/>
                          <w:spacing w:before="112" w:line="210" w:lineRule="auto"/>
                          <w:ind w:left="55"/>
                        </w:pPr>
                        <w:r>
                          <w:rPr>
                            <w:spacing w:val="-1"/>
                          </w:rPr>
                          <w:t>Windows10</w:t>
                        </w:r>
                      </w:p>
                      <w:p w14:paraId="52228A87">
                        <w:pPr>
                          <w:pStyle w:val="6"/>
                          <w:spacing w:line="216" w:lineRule="auto"/>
                          <w:ind w:left="15"/>
                        </w:pPr>
                        <w:r>
                          <w:rPr>
                            <w:spacing w:val="2"/>
                          </w:rPr>
                          <w:t>的系统维护</w:t>
                        </w:r>
                      </w:p>
                      <w:p w14:paraId="473D4622">
                        <w:pPr>
                          <w:pStyle w:val="6"/>
                          <w:spacing w:line="219" w:lineRule="auto"/>
                          <w:ind w:left="265"/>
                        </w:pPr>
                        <w:r>
                          <w:rPr>
                            <w:spacing w:val="-2"/>
                          </w:rPr>
                          <w:t>操作</w:t>
                        </w:r>
                      </w:p>
                    </w:tc>
                    <w:tc>
                      <w:tcPr>
                        <w:tcW w:w="2324" w:type="dxa"/>
                        <w:vAlign w:val="top"/>
                      </w:tcPr>
                      <w:p w14:paraId="22F0E02D">
                        <w:pPr>
                          <w:pStyle w:val="6"/>
                          <w:spacing w:before="65" w:line="239" w:lineRule="auto"/>
                          <w:ind w:left="12" w:right="1439"/>
                        </w:pPr>
                        <w:r>
                          <w:rPr>
                            <w:spacing w:val="2"/>
                          </w:rPr>
                          <w:t>1.磁盘维护</w:t>
                        </w:r>
                        <w:r>
                          <w:t xml:space="preserve"> </w:t>
                        </w:r>
                        <w:r>
                          <w:rPr>
                            <w:spacing w:val="-2"/>
                          </w:rPr>
                          <w:t>2.系统属性</w:t>
                        </w:r>
                      </w:p>
                      <w:p w14:paraId="06DB78B3">
                        <w:pPr>
                          <w:pStyle w:val="6"/>
                          <w:spacing w:line="220" w:lineRule="auto"/>
                          <w:ind w:left="12"/>
                        </w:pPr>
                        <w:r>
                          <w:rPr>
                            <w:spacing w:val="-2"/>
                          </w:rPr>
                          <w:t>3.更新和安全</w:t>
                        </w:r>
                      </w:p>
                    </w:tc>
                    <w:tc>
                      <w:tcPr>
                        <w:tcW w:w="230" w:type="dxa"/>
                        <w:vAlign w:val="top"/>
                      </w:tcPr>
                      <w:p w14:paraId="2AB773A5">
                        <w:pPr>
                          <w:rPr>
                            <w:rFonts w:ascii="Arial"/>
                            <w:sz w:val="21"/>
                          </w:rPr>
                        </w:pPr>
                      </w:p>
                    </w:tc>
                    <w:tc>
                      <w:tcPr>
                        <w:tcW w:w="230" w:type="dxa"/>
                        <w:vAlign w:val="top"/>
                      </w:tcPr>
                      <w:p w14:paraId="49C08722">
                        <w:pPr>
                          <w:rPr>
                            <w:rFonts w:ascii="Arial"/>
                            <w:sz w:val="21"/>
                          </w:rPr>
                        </w:pPr>
                      </w:p>
                    </w:tc>
                    <w:tc>
                      <w:tcPr>
                        <w:tcW w:w="219" w:type="dxa"/>
                        <w:vAlign w:val="top"/>
                      </w:tcPr>
                      <w:p w14:paraId="0E908E11">
                        <w:pPr>
                          <w:rPr>
                            <w:rFonts w:ascii="Arial"/>
                            <w:sz w:val="21"/>
                          </w:rPr>
                        </w:pPr>
                      </w:p>
                    </w:tc>
                    <w:tc>
                      <w:tcPr>
                        <w:tcW w:w="234" w:type="dxa"/>
                        <w:vAlign w:val="top"/>
                      </w:tcPr>
                      <w:p w14:paraId="252C1E70">
                        <w:pPr>
                          <w:rPr>
                            <w:rFonts w:ascii="Arial"/>
                            <w:sz w:val="21"/>
                          </w:rPr>
                        </w:pPr>
                      </w:p>
                    </w:tc>
                  </w:tr>
                </w:tbl>
                <w:p w14:paraId="230DA51C">
                  <w:pPr>
                    <w:pStyle w:val="2"/>
                  </w:pPr>
                </w:p>
              </w:txbxContent>
            </v:textbox>
          </v:shape>
        </w:pict>
      </w:r>
      <w:r>
        <w:pict>
          <v:shape id="_x0000_s1035" o:spid="_x0000_s1035" o:spt="202" type="#_x0000_t202" style="position:absolute;left:0pt;margin-left:99.1pt;margin-top:334.25pt;height:14.05pt;width:98.15pt;mso-position-horizontal-relative:page;mso-position-vertical-relative:page;z-index:251687936;mso-width-relative:page;mso-height-relative:page;" filled="f" stroked="f" coordsize="21600,21600" o:allowincell="f">
            <v:path/>
            <v:fill on="f" focussize="0,0"/>
            <v:stroke on="f"/>
            <v:imagedata o:title=""/>
            <o:lock v:ext="edit" aspectratio="f"/>
            <v:textbox inset="0mm,0mm,0mm,0mm">
              <w:txbxContent>
                <w:p w14:paraId="05C1E440">
                  <w:pPr>
                    <w:pStyle w:val="2"/>
                    <w:spacing w:before="20" w:line="222" w:lineRule="auto"/>
                    <w:ind w:left="20"/>
                    <w:rPr>
                      <w:rFonts w:ascii="黑体" w:hAnsi="黑体" w:eastAsia="黑体" w:cs="黑体"/>
                      <w:sz w:val="20"/>
                      <w:szCs w:val="20"/>
                    </w:rPr>
                  </w:pPr>
                  <w:r>
                    <w:rPr>
                      <w:rFonts w:ascii="黑体" w:hAnsi="黑体" w:eastAsia="黑体" w:cs="黑体"/>
                      <w:b/>
                      <w:bCs/>
                      <w:spacing w:val="-2"/>
                      <w:sz w:val="20"/>
                      <w:szCs w:val="20"/>
                    </w:rPr>
                    <w:t>专题三</w:t>
                  </w:r>
                  <w:r>
                    <w:rPr>
                      <w:rFonts w:ascii="黑体" w:hAnsi="黑体" w:eastAsia="黑体" w:cs="黑体"/>
                      <w:spacing w:val="59"/>
                      <w:sz w:val="20"/>
                      <w:szCs w:val="20"/>
                    </w:rPr>
                    <w:t xml:space="preserve"> </w:t>
                  </w:r>
                  <w:r>
                    <w:rPr>
                      <w:b/>
                      <w:bCs/>
                      <w:spacing w:val="-2"/>
                      <w:sz w:val="20"/>
                      <w:szCs w:val="20"/>
                    </w:rPr>
                    <w:t>Internet</w:t>
                  </w:r>
                  <w:r>
                    <w:rPr>
                      <w:b/>
                      <w:bCs/>
                      <w:spacing w:val="-12"/>
                      <w:sz w:val="20"/>
                      <w:szCs w:val="20"/>
                    </w:rPr>
                    <w:t xml:space="preserve"> </w:t>
                  </w:r>
                  <w:r>
                    <w:rPr>
                      <w:rFonts w:ascii="黑体" w:hAnsi="黑体" w:eastAsia="黑体" w:cs="黑体"/>
                      <w:b/>
                      <w:bCs/>
                      <w:spacing w:val="-2"/>
                      <w:sz w:val="20"/>
                      <w:szCs w:val="20"/>
                    </w:rPr>
                    <w:t>应用</w:t>
                  </w:r>
                </w:p>
              </w:txbxContent>
            </v:textbox>
          </v:shape>
        </w:pict>
      </w:r>
      <w:r>
        <w:pict>
          <v:shape id="_x0000_s1036" o:spid="_x0000_s1036" o:spt="202" type="#_x0000_t202" style="position:absolute;left:0pt;margin-left:43.75pt;margin-top:349.75pt;height:248.5pt;width:209.05pt;mso-position-horizontal-relative:page;mso-position-vertical-relative:page;z-index:251684864;mso-width-relative:page;mso-height-relative:page;" filled="f" stroked="f" coordsize="21600,21600" o:allowincell="f">
            <v:path/>
            <v:fill on="f" focussize="0,0"/>
            <v:stroke on="f"/>
            <v:imagedata o:title=""/>
            <o:lock v:ext="edit" aspectratio="f"/>
            <v:textbox inset="0mm,0mm,0mm,0mm">
              <w:txbxContent>
                <w:p w14:paraId="3AE772C1">
                  <w:pPr>
                    <w:spacing w:line="20" w:lineRule="exact"/>
                  </w:pPr>
                </w:p>
                <w:tbl>
                  <w:tblPr>
                    <w:tblStyle w:val="5"/>
                    <w:tblW w:w="4130" w:type="dxa"/>
                    <w:tblInd w:w="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14"/>
                    <w:gridCol w:w="230"/>
                    <w:gridCol w:w="230"/>
                    <w:gridCol w:w="219"/>
                    <w:gridCol w:w="244"/>
                  </w:tblGrid>
                  <w:tr w14:paraId="1F7C36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4" w:hRule="atLeast"/>
                    </w:trPr>
                    <w:tc>
                      <w:tcPr>
                        <w:tcW w:w="893" w:type="dxa"/>
                        <w:vMerge w:val="restart"/>
                        <w:tcBorders>
                          <w:bottom w:val="nil"/>
                        </w:tcBorders>
                        <w:vAlign w:val="top"/>
                      </w:tcPr>
                      <w:p w14:paraId="5F8C99AD">
                        <w:pPr>
                          <w:pStyle w:val="6"/>
                          <w:spacing w:before="91" w:line="214" w:lineRule="auto"/>
                          <w:ind w:left="257" w:right="1" w:hanging="240"/>
                          <w:rPr>
                            <w:sz w:val="18"/>
                            <w:szCs w:val="18"/>
                          </w:rPr>
                        </w:pPr>
                        <w:r>
                          <w:rPr>
                            <w:b/>
                            <w:bCs/>
                            <w:spacing w:val="-10"/>
                            <w:sz w:val="18"/>
                            <w:szCs w:val="18"/>
                          </w:rPr>
                          <w:t>知识与技能</w:t>
                        </w:r>
                        <w:r>
                          <w:rPr>
                            <w:spacing w:val="3"/>
                            <w:sz w:val="18"/>
                            <w:szCs w:val="18"/>
                          </w:rPr>
                          <w:t xml:space="preserve"> </w:t>
                        </w:r>
                        <w:r>
                          <w:rPr>
                            <w:b/>
                            <w:bCs/>
                            <w:spacing w:val="-4"/>
                            <w:sz w:val="18"/>
                            <w:szCs w:val="18"/>
                          </w:rPr>
                          <w:t>要点</w:t>
                        </w:r>
                      </w:p>
                    </w:tc>
                    <w:tc>
                      <w:tcPr>
                        <w:tcW w:w="2314" w:type="dxa"/>
                        <w:vMerge w:val="restart"/>
                        <w:tcBorders>
                          <w:bottom w:val="nil"/>
                        </w:tcBorders>
                        <w:vAlign w:val="top"/>
                      </w:tcPr>
                      <w:p w14:paraId="6D0B7C10">
                        <w:pPr>
                          <w:pStyle w:val="6"/>
                          <w:spacing w:before="189" w:line="219" w:lineRule="auto"/>
                          <w:ind w:left="834"/>
                          <w:rPr>
                            <w:sz w:val="18"/>
                            <w:szCs w:val="18"/>
                          </w:rPr>
                        </w:pPr>
                        <w:r>
                          <w:rPr>
                            <w:b/>
                            <w:bCs/>
                            <w:spacing w:val="5"/>
                            <w:sz w:val="18"/>
                            <w:szCs w:val="18"/>
                          </w:rPr>
                          <w:t>考试条目</w:t>
                        </w:r>
                      </w:p>
                    </w:tc>
                    <w:tc>
                      <w:tcPr>
                        <w:tcW w:w="923" w:type="dxa"/>
                        <w:gridSpan w:val="4"/>
                        <w:vAlign w:val="top"/>
                      </w:tcPr>
                      <w:p w14:paraId="24BECA37">
                        <w:pPr>
                          <w:pStyle w:val="6"/>
                          <w:spacing w:before="49" w:line="219" w:lineRule="auto"/>
                          <w:ind w:left="130"/>
                          <w:rPr>
                            <w:sz w:val="18"/>
                            <w:szCs w:val="18"/>
                          </w:rPr>
                        </w:pPr>
                        <w:r>
                          <w:rPr>
                            <w:b/>
                            <w:bCs/>
                            <w:spacing w:val="-4"/>
                            <w:sz w:val="18"/>
                            <w:szCs w:val="18"/>
                          </w:rPr>
                          <w:t>考试水平</w:t>
                        </w:r>
                      </w:p>
                    </w:tc>
                  </w:tr>
                  <w:tr w14:paraId="57DC6A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893" w:type="dxa"/>
                        <w:vMerge w:val="continue"/>
                        <w:tcBorders>
                          <w:top w:val="nil"/>
                        </w:tcBorders>
                        <w:vAlign w:val="top"/>
                      </w:tcPr>
                      <w:p w14:paraId="7B052DDF">
                        <w:pPr>
                          <w:rPr>
                            <w:rFonts w:ascii="Arial"/>
                            <w:sz w:val="21"/>
                          </w:rPr>
                        </w:pPr>
                      </w:p>
                    </w:tc>
                    <w:tc>
                      <w:tcPr>
                        <w:tcW w:w="2314" w:type="dxa"/>
                        <w:vMerge w:val="continue"/>
                        <w:tcBorders>
                          <w:top w:val="nil"/>
                        </w:tcBorders>
                        <w:vAlign w:val="top"/>
                      </w:tcPr>
                      <w:p w14:paraId="51FB6BF9">
                        <w:pPr>
                          <w:rPr>
                            <w:rFonts w:ascii="Arial"/>
                            <w:sz w:val="21"/>
                          </w:rPr>
                        </w:pPr>
                      </w:p>
                    </w:tc>
                    <w:tc>
                      <w:tcPr>
                        <w:tcW w:w="230" w:type="dxa"/>
                        <w:vAlign w:val="top"/>
                      </w:tcPr>
                      <w:p w14:paraId="4EF2001A">
                        <w:pPr>
                          <w:pStyle w:val="6"/>
                          <w:spacing w:before="93" w:line="170" w:lineRule="auto"/>
                          <w:ind w:left="50"/>
                          <w:rPr>
                            <w:sz w:val="18"/>
                            <w:szCs w:val="18"/>
                          </w:rPr>
                        </w:pPr>
                        <w:r>
                          <w:rPr>
                            <w:b/>
                            <w:bCs/>
                            <w:spacing w:val="-2"/>
                            <w:sz w:val="18"/>
                            <w:szCs w:val="18"/>
                          </w:rPr>
                          <w:t>A</w:t>
                        </w:r>
                      </w:p>
                    </w:tc>
                    <w:tc>
                      <w:tcPr>
                        <w:tcW w:w="230" w:type="dxa"/>
                        <w:vAlign w:val="top"/>
                      </w:tcPr>
                      <w:p w14:paraId="42C594CD">
                        <w:pPr>
                          <w:pStyle w:val="6"/>
                          <w:spacing w:before="96" w:line="167" w:lineRule="auto"/>
                          <w:ind w:left="20"/>
                          <w:rPr>
                            <w:sz w:val="18"/>
                            <w:szCs w:val="18"/>
                          </w:rPr>
                        </w:pPr>
                        <w:r>
                          <w:rPr>
                            <w:b/>
                            <w:bCs/>
                            <w:spacing w:val="-2"/>
                            <w:sz w:val="18"/>
                            <w:szCs w:val="18"/>
                          </w:rPr>
                          <w:t>B</w:t>
                        </w:r>
                      </w:p>
                    </w:tc>
                    <w:tc>
                      <w:tcPr>
                        <w:tcW w:w="219" w:type="dxa"/>
                        <w:vAlign w:val="top"/>
                      </w:tcPr>
                      <w:p w14:paraId="5602ADCB">
                        <w:pPr>
                          <w:pStyle w:val="6"/>
                          <w:spacing w:before="95" w:line="168" w:lineRule="auto"/>
                          <w:ind w:left="37"/>
                          <w:rPr>
                            <w:sz w:val="18"/>
                            <w:szCs w:val="18"/>
                          </w:rPr>
                        </w:pPr>
                        <w:r>
                          <w:rPr>
                            <w:sz w:val="18"/>
                            <w:szCs w:val="18"/>
                          </w:rPr>
                          <w:t>C</w:t>
                        </w:r>
                      </w:p>
                    </w:tc>
                    <w:tc>
                      <w:tcPr>
                        <w:tcW w:w="244" w:type="dxa"/>
                        <w:vAlign w:val="top"/>
                      </w:tcPr>
                      <w:p w14:paraId="1DC0B9E9">
                        <w:pPr>
                          <w:pStyle w:val="6"/>
                          <w:spacing w:before="96" w:line="167" w:lineRule="auto"/>
                          <w:ind w:left="21"/>
                          <w:rPr>
                            <w:sz w:val="18"/>
                            <w:szCs w:val="18"/>
                          </w:rPr>
                        </w:pPr>
                        <w:r>
                          <w:rPr>
                            <w:b/>
                            <w:bCs/>
                            <w:spacing w:val="-2"/>
                            <w:sz w:val="18"/>
                            <w:szCs w:val="18"/>
                          </w:rPr>
                          <w:t>D</w:t>
                        </w:r>
                      </w:p>
                    </w:tc>
                  </w:tr>
                  <w:tr w14:paraId="5327FF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67" w:hRule="atLeast"/>
                    </w:trPr>
                    <w:tc>
                      <w:tcPr>
                        <w:tcW w:w="893" w:type="dxa"/>
                        <w:vAlign w:val="top"/>
                      </w:tcPr>
                      <w:p w14:paraId="3D8B1226">
                        <w:pPr>
                          <w:spacing w:line="441" w:lineRule="auto"/>
                          <w:rPr>
                            <w:rFonts w:ascii="Arial"/>
                            <w:sz w:val="21"/>
                          </w:rPr>
                        </w:pPr>
                      </w:p>
                      <w:p w14:paraId="24335DE5">
                        <w:pPr>
                          <w:pStyle w:val="6"/>
                          <w:spacing w:before="59" w:line="222" w:lineRule="auto"/>
                          <w:ind w:left="249" w:hanging="235"/>
                          <w:rPr>
                            <w:sz w:val="18"/>
                            <w:szCs w:val="18"/>
                          </w:rPr>
                        </w:pPr>
                        <w:r>
                          <w:rPr>
                            <w:spacing w:val="-4"/>
                            <w:sz w:val="18"/>
                            <w:szCs w:val="18"/>
                          </w:rPr>
                          <w:t>Internet的</w:t>
                        </w:r>
                        <w:r>
                          <w:rPr>
                            <w:spacing w:val="3"/>
                            <w:sz w:val="18"/>
                            <w:szCs w:val="18"/>
                          </w:rPr>
                          <w:t xml:space="preserve"> </w:t>
                        </w:r>
                        <w:r>
                          <w:rPr>
                            <w:spacing w:val="-4"/>
                            <w:sz w:val="18"/>
                            <w:szCs w:val="18"/>
                          </w:rPr>
                          <w:t>接入</w:t>
                        </w:r>
                      </w:p>
                    </w:tc>
                    <w:tc>
                      <w:tcPr>
                        <w:tcW w:w="2314" w:type="dxa"/>
                        <w:vAlign w:val="top"/>
                      </w:tcPr>
                      <w:p w14:paraId="55BDCDAB">
                        <w:pPr>
                          <w:pStyle w:val="6"/>
                          <w:spacing w:before="58" w:line="219" w:lineRule="auto"/>
                          <w:ind w:left="2"/>
                          <w:rPr>
                            <w:sz w:val="18"/>
                            <w:szCs w:val="18"/>
                          </w:rPr>
                        </w:pPr>
                        <w:r>
                          <w:rPr>
                            <w:sz w:val="18"/>
                            <w:szCs w:val="18"/>
                          </w:rPr>
                          <w:t>1.因特网的基本概念</w:t>
                        </w:r>
                      </w:p>
                      <w:p w14:paraId="678DD008">
                        <w:pPr>
                          <w:pStyle w:val="6"/>
                          <w:spacing w:before="5" w:line="224" w:lineRule="auto"/>
                          <w:ind w:left="2" w:right="331"/>
                          <w:rPr>
                            <w:sz w:val="18"/>
                            <w:szCs w:val="18"/>
                          </w:rPr>
                        </w:pPr>
                        <w:r>
                          <w:rPr>
                            <w:spacing w:val="-1"/>
                            <w:sz w:val="18"/>
                            <w:szCs w:val="18"/>
                          </w:rPr>
                          <w:t>2.因特网提供的主要服务</w:t>
                        </w:r>
                        <w:r>
                          <w:rPr>
                            <w:spacing w:val="1"/>
                            <w:sz w:val="18"/>
                            <w:szCs w:val="18"/>
                          </w:rPr>
                          <w:t xml:space="preserve"> </w:t>
                        </w:r>
                        <w:r>
                          <w:rPr>
                            <w:spacing w:val="-2"/>
                            <w:sz w:val="18"/>
                            <w:szCs w:val="18"/>
                          </w:rPr>
                          <w:t>3.TCP/IP协议</w:t>
                        </w:r>
                      </w:p>
                      <w:p w14:paraId="33AA7B4E">
                        <w:pPr>
                          <w:pStyle w:val="6"/>
                          <w:spacing w:before="4" w:line="226" w:lineRule="auto"/>
                          <w:ind w:left="2" w:right="328"/>
                          <w:rPr>
                            <w:sz w:val="18"/>
                            <w:szCs w:val="18"/>
                          </w:rPr>
                        </w:pPr>
                        <w:r>
                          <w:rPr>
                            <w:spacing w:val="-1"/>
                            <w:sz w:val="18"/>
                            <w:szCs w:val="18"/>
                          </w:rPr>
                          <w:t>4.因特网的常用接入方式</w:t>
                        </w:r>
                        <w:r>
                          <w:rPr>
                            <w:spacing w:val="4"/>
                            <w:sz w:val="18"/>
                            <w:szCs w:val="18"/>
                          </w:rPr>
                          <w:t xml:space="preserve"> </w:t>
                        </w:r>
                        <w:r>
                          <w:rPr>
                            <w:spacing w:val="-1"/>
                            <w:sz w:val="18"/>
                            <w:szCs w:val="18"/>
                          </w:rPr>
                          <w:t>5.因特网接入相关设备</w:t>
                        </w:r>
                      </w:p>
                      <w:p w14:paraId="47258579">
                        <w:pPr>
                          <w:pStyle w:val="6"/>
                          <w:spacing w:line="202" w:lineRule="auto"/>
                          <w:ind w:left="2"/>
                          <w:rPr>
                            <w:sz w:val="18"/>
                            <w:szCs w:val="18"/>
                          </w:rPr>
                        </w:pPr>
                        <w:r>
                          <w:rPr>
                            <w:spacing w:val="-1"/>
                            <w:sz w:val="18"/>
                            <w:szCs w:val="18"/>
                          </w:rPr>
                          <w:t>6.无线路由器的配置</w:t>
                        </w:r>
                      </w:p>
                    </w:tc>
                    <w:tc>
                      <w:tcPr>
                        <w:tcW w:w="230" w:type="dxa"/>
                        <w:vAlign w:val="top"/>
                      </w:tcPr>
                      <w:p w14:paraId="26E1CB40">
                        <w:pPr>
                          <w:rPr>
                            <w:rFonts w:ascii="Arial"/>
                            <w:sz w:val="21"/>
                          </w:rPr>
                        </w:pPr>
                      </w:p>
                    </w:tc>
                    <w:tc>
                      <w:tcPr>
                        <w:tcW w:w="230" w:type="dxa"/>
                        <w:vAlign w:val="top"/>
                      </w:tcPr>
                      <w:p w14:paraId="59C55AC9">
                        <w:pPr>
                          <w:rPr>
                            <w:rFonts w:ascii="Arial"/>
                            <w:sz w:val="21"/>
                          </w:rPr>
                        </w:pPr>
                      </w:p>
                    </w:tc>
                    <w:tc>
                      <w:tcPr>
                        <w:tcW w:w="219" w:type="dxa"/>
                        <w:vAlign w:val="top"/>
                      </w:tcPr>
                      <w:p w14:paraId="280FE28F">
                        <w:pPr>
                          <w:rPr>
                            <w:rFonts w:ascii="Arial"/>
                            <w:sz w:val="21"/>
                          </w:rPr>
                        </w:pPr>
                      </w:p>
                    </w:tc>
                    <w:tc>
                      <w:tcPr>
                        <w:tcW w:w="244" w:type="dxa"/>
                        <w:vAlign w:val="top"/>
                      </w:tcPr>
                      <w:p w14:paraId="2A069807">
                        <w:pPr>
                          <w:rPr>
                            <w:rFonts w:ascii="Arial"/>
                            <w:sz w:val="21"/>
                          </w:rPr>
                        </w:pPr>
                      </w:p>
                    </w:tc>
                  </w:tr>
                  <w:tr w14:paraId="547C0B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38" w:hRule="atLeast"/>
                    </w:trPr>
                    <w:tc>
                      <w:tcPr>
                        <w:tcW w:w="893" w:type="dxa"/>
                        <w:vAlign w:val="top"/>
                      </w:tcPr>
                      <w:p w14:paraId="123C25A7">
                        <w:pPr>
                          <w:spacing w:line="261" w:lineRule="auto"/>
                          <w:rPr>
                            <w:rFonts w:ascii="Arial"/>
                            <w:sz w:val="21"/>
                          </w:rPr>
                        </w:pPr>
                      </w:p>
                      <w:p w14:paraId="12D82BF5">
                        <w:pPr>
                          <w:pStyle w:val="6"/>
                          <w:spacing w:before="58" w:line="228" w:lineRule="auto"/>
                          <w:ind w:left="254" w:right="74" w:hanging="180"/>
                          <w:rPr>
                            <w:sz w:val="18"/>
                            <w:szCs w:val="18"/>
                          </w:rPr>
                        </w:pPr>
                        <w:r>
                          <w:rPr>
                            <w:spacing w:val="3"/>
                            <w:sz w:val="18"/>
                            <w:szCs w:val="18"/>
                          </w:rPr>
                          <w:t>网络信息</w:t>
                        </w:r>
                        <w:r>
                          <w:rPr>
                            <w:sz w:val="18"/>
                            <w:szCs w:val="18"/>
                          </w:rPr>
                          <w:t xml:space="preserve"> </w:t>
                        </w:r>
                        <w:r>
                          <w:rPr>
                            <w:spacing w:val="-3"/>
                            <w:sz w:val="18"/>
                            <w:szCs w:val="18"/>
                          </w:rPr>
                          <w:t>获取</w:t>
                        </w:r>
                      </w:p>
                    </w:tc>
                    <w:tc>
                      <w:tcPr>
                        <w:tcW w:w="2314" w:type="dxa"/>
                        <w:vAlign w:val="top"/>
                      </w:tcPr>
                      <w:p w14:paraId="0B96A351">
                        <w:pPr>
                          <w:pStyle w:val="6"/>
                          <w:spacing w:before="112" w:line="227" w:lineRule="auto"/>
                          <w:ind w:left="2" w:right="128"/>
                          <w:rPr>
                            <w:sz w:val="18"/>
                            <w:szCs w:val="18"/>
                          </w:rPr>
                        </w:pPr>
                        <w:r>
                          <w:rPr>
                            <w:spacing w:val="-1"/>
                            <w:sz w:val="18"/>
                            <w:szCs w:val="18"/>
                          </w:rPr>
                          <w:t>1.配置浏览器的常用参数，</w:t>
                        </w:r>
                        <w:r>
                          <w:rPr>
                            <w:spacing w:val="11"/>
                            <w:sz w:val="18"/>
                            <w:szCs w:val="18"/>
                          </w:rPr>
                          <w:t xml:space="preserve"> </w:t>
                        </w:r>
                        <w:r>
                          <w:rPr>
                            <w:spacing w:val="1"/>
                            <w:sz w:val="18"/>
                            <w:szCs w:val="18"/>
                          </w:rPr>
                          <w:t>使用浏览器浏览和下载信息</w:t>
                        </w:r>
                        <w:r>
                          <w:rPr>
                            <w:sz w:val="18"/>
                            <w:szCs w:val="18"/>
                          </w:rPr>
                          <w:t xml:space="preserve"> </w:t>
                        </w:r>
                        <w:r>
                          <w:rPr>
                            <w:spacing w:val="-1"/>
                            <w:sz w:val="18"/>
                            <w:szCs w:val="18"/>
                          </w:rPr>
                          <w:t>2.保存网页和网页收藏</w:t>
                        </w:r>
                      </w:p>
                      <w:p w14:paraId="7A698B7F">
                        <w:pPr>
                          <w:pStyle w:val="6"/>
                          <w:spacing w:before="6" w:line="219" w:lineRule="auto"/>
                          <w:ind w:left="2"/>
                          <w:rPr>
                            <w:sz w:val="18"/>
                            <w:szCs w:val="18"/>
                          </w:rPr>
                        </w:pPr>
                        <w:r>
                          <w:rPr>
                            <w:spacing w:val="1"/>
                            <w:sz w:val="18"/>
                            <w:szCs w:val="18"/>
                          </w:rPr>
                          <w:t>3.搜索引擎概念及使用</w:t>
                        </w:r>
                      </w:p>
                    </w:tc>
                    <w:tc>
                      <w:tcPr>
                        <w:tcW w:w="230" w:type="dxa"/>
                        <w:vAlign w:val="top"/>
                      </w:tcPr>
                      <w:p w14:paraId="31E65A34">
                        <w:pPr>
                          <w:rPr>
                            <w:rFonts w:ascii="Arial"/>
                            <w:sz w:val="21"/>
                          </w:rPr>
                        </w:pPr>
                      </w:p>
                    </w:tc>
                    <w:tc>
                      <w:tcPr>
                        <w:tcW w:w="230" w:type="dxa"/>
                        <w:vAlign w:val="top"/>
                      </w:tcPr>
                      <w:p w14:paraId="66BC13B0">
                        <w:pPr>
                          <w:rPr>
                            <w:rFonts w:ascii="Arial"/>
                            <w:sz w:val="21"/>
                          </w:rPr>
                        </w:pPr>
                      </w:p>
                    </w:tc>
                    <w:tc>
                      <w:tcPr>
                        <w:tcW w:w="219" w:type="dxa"/>
                        <w:vAlign w:val="top"/>
                      </w:tcPr>
                      <w:p w14:paraId="2E2695C7">
                        <w:pPr>
                          <w:rPr>
                            <w:rFonts w:ascii="Arial"/>
                            <w:sz w:val="21"/>
                          </w:rPr>
                        </w:pPr>
                      </w:p>
                    </w:tc>
                    <w:tc>
                      <w:tcPr>
                        <w:tcW w:w="244" w:type="dxa"/>
                        <w:vAlign w:val="top"/>
                      </w:tcPr>
                      <w:p w14:paraId="23BA93BF">
                        <w:pPr>
                          <w:rPr>
                            <w:rFonts w:ascii="Arial"/>
                            <w:sz w:val="21"/>
                          </w:rPr>
                        </w:pPr>
                      </w:p>
                    </w:tc>
                  </w:tr>
                  <w:tr w14:paraId="197581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28" w:hRule="atLeast"/>
                    </w:trPr>
                    <w:tc>
                      <w:tcPr>
                        <w:tcW w:w="893" w:type="dxa"/>
                        <w:vAlign w:val="top"/>
                      </w:tcPr>
                      <w:p w14:paraId="2701F3F0">
                        <w:pPr>
                          <w:pStyle w:val="6"/>
                          <w:spacing w:before="293" w:line="214" w:lineRule="auto"/>
                          <w:ind w:left="254" w:right="74" w:hanging="180"/>
                          <w:rPr>
                            <w:sz w:val="18"/>
                            <w:szCs w:val="18"/>
                          </w:rPr>
                        </w:pPr>
                        <w:r>
                          <w:rPr>
                            <w:spacing w:val="3"/>
                            <w:sz w:val="18"/>
                            <w:szCs w:val="18"/>
                          </w:rPr>
                          <w:t>网络信息</w:t>
                        </w:r>
                        <w:r>
                          <w:rPr>
                            <w:sz w:val="18"/>
                            <w:szCs w:val="18"/>
                          </w:rPr>
                          <w:t xml:space="preserve"> </w:t>
                        </w:r>
                        <w:r>
                          <w:rPr>
                            <w:spacing w:val="-3"/>
                            <w:sz w:val="18"/>
                            <w:szCs w:val="18"/>
                          </w:rPr>
                          <w:t>交流</w:t>
                        </w:r>
                      </w:p>
                    </w:tc>
                    <w:tc>
                      <w:tcPr>
                        <w:tcW w:w="2314" w:type="dxa"/>
                        <w:vAlign w:val="top"/>
                      </w:tcPr>
                      <w:p w14:paraId="41C8C568">
                        <w:pPr>
                          <w:pStyle w:val="6"/>
                          <w:spacing w:before="64" w:line="219" w:lineRule="auto"/>
                          <w:ind w:left="2"/>
                          <w:rPr>
                            <w:sz w:val="18"/>
                            <w:szCs w:val="18"/>
                          </w:rPr>
                        </w:pPr>
                        <w:r>
                          <w:rPr>
                            <w:spacing w:val="3"/>
                            <w:sz w:val="18"/>
                            <w:szCs w:val="18"/>
                          </w:rPr>
                          <w:t>1.常用即时通信软件(</w:t>
                        </w:r>
                        <w:r>
                          <w:rPr>
                            <w:sz w:val="18"/>
                            <w:szCs w:val="18"/>
                          </w:rPr>
                          <w:t>QQ</w:t>
                        </w:r>
                        <w:r>
                          <w:rPr>
                            <w:spacing w:val="3"/>
                            <w:sz w:val="18"/>
                            <w:szCs w:val="18"/>
                          </w:rPr>
                          <w:t>)</w:t>
                        </w:r>
                      </w:p>
                      <w:p w14:paraId="1B750A4B">
                        <w:pPr>
                          <w:pStyle w:val="6"/>
                          <w:spacing w:before="7" w:line="222" w:lineRule="auto"/>
                          <w:ind w:left="2"/>
                          <w:rPr>
                            <w:sz w:val="18"/>
                            <w:szCs w:val="18"/>
                          </w:rPr>
                        </w:pPr>
                        <w:r>
                          <w:rPr>
                            <w:spacing w:val="-3"/>
                            <w:sz w:val="18"/>
                            <w:szCs w:val="18"/>
                          </w:rPr>
                          <w:t>2.电子邮箱概念、组成和申请</w:t>
                        </w:r>
                        <w:r>
                          <w:rPr>
                            <w:spacing w:val="2"/>
                            <w:sz w:val="18"/>
                            <w:szCs w:val="18"/>
                          </w:rPr>
                          <w:t xml:space="preserve"> </w:t>
                        </w:r>
                        <w:r>
                          <w:rPr>
                            <w:spacing w:val="-2"/>
                            <w:sz w:val="18"/>
                            <w:szCs w:val="18"/>
                          </w:rPr>
                          <w:t>3.使用和管理电子邮件</w:t>
                        </w:r>
                      </w:p>
                      <w:p w14:paraId="56B3C4F1">
                        <w:pPr>
                          <w:pStyle w:val="6"/>
                          <w:spacing w:before="15" w:line="189" w:lineRule="auto"/>
                          <w:ind w:left="2"/>
                          <w:rPr>
                            <w:sz w:val="18"/>
                            <w:szCs w:val="18"/>
                          </w:rPr>
                        </w:pPr>
                        <w:r>
                          <w:rPr>
                            <w:spacing w:val="1"/>
                            <w:sz w:val="18"/>
                            <w:szCs w:val="18"/>
                          </w:rPr>
                          <w:t>4.</w:t>
                        </w:r>
                        <w:r>
                          <w:rPr>
                            <w:sz w:val="18"/>
                            <w:szCs w:val="18"/>
                          </w:rPr>
                          <w:t>BBS</w:t>
                        </w:r>
                        <w:r>
                          <w:rPr>
                            <w:spacing w:val="1"/>
                            <w:sz w:val="18"/>
                            <w:szCs w:val="18"/>
                          </w:rPr>
                          <w:t>、博客、微信的使用</w:t>
                        </w:r>
                      </w:p>
                    </w:tc>
                    <w:tc>
                      <w:tcPr>
                        <w:tcW w:w="230" w:type="dxa"/>
                        <w:vAlign w:val="top"/>
                      </w:tcPr>
                      <w:p w14:paraId="7C199978">
                        <w:pPr>
                          <w:rPr>
                            <w:rFonts w:ascii="Arial"/>
                            <w:sz w:val="21"/>
                          </w:rPr>
                        </w:pPr>
                      </w:p>
                    </w:tc>
                    <w:tc>
                      <w:tcPr>
                        <w:tcW w:w="230" w:type="dxa"/>
                        <w:vAlign w:val="top"/>
                      </w:tcPr>
                      <w:p w14:paraId="46EACA8A">
                        <w:pPr>
                          <w:rPr>
                            <w:rFonts w:ascii="Arial"/>
                            <w:sz w:val="21"/>
                          </w:rPr>
                        </w:pPr>
                      </w:p>
                    </w:tc>
                    <w:tc>
                      <w:tcPr>
                        <w:tcW w:w="219" w:type="dxa"/>
                        <w:vAlign w:val="top"/>
                      </w:tcPr>
                      <w:p w14:paraId="6DB2E468">
                        <w:pPr>
                          <w:rPr>
                            <w:rFonts w:ascii="Arial"/>
                            <w:sz w:val="21"/>
                          </w:rPr>
                        </w:pPr>
                      </w:p>
                    </w:tc>
                    <w:tc>
                      <w:tcPr>
                        <w:tcW w:w="244" w:type="dxa"/>
                        <w:vAlign w:val="top"/>
                      </w:tcPr>
                      <w:p w14:paraId="7F21F215">
                        <w:pPr>
                          <w:rPr>
                            <w:rFonts w:ascii="Arial"/>
                            <w:sz w:val="21"/>
                          </w:rPr>
                        </w:pPr>
                      </w:p>
                    </w:tc>
                  </w:tr>
                  <w:tr w14:paraId="2F0F49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73" w:hRule="atLeast"/>
                    </w:trPr>
                    <w:tc>
                      <w:tcPr>
                        <w:tcW w:w="893" w:type="dxa"/>
                        <w:vAlign w:val="top"/>
                      </w:tcPr>
                      <w:p w14:paraId="275DB519">
                        <w:pPr>
                          <w:spacing w:line="346" w:lineRule="auto"/>
                          <w:rPr>
                            <w:rFonts w:ascii="Arial"/>
                            <w:sz w:val="21"/>
                          </w:rPr>
                        </w:pPr>
                      </w:p>
                      <w:p w14:paraId="55DE69F4">
                        <w:pPr>
                          <w:pStyle w:val="6"/>
                          <w:spacing w:before="58" w:line="220" w:lineRule="auto"/>
                          <w:ind w:left="74"/>
                          <w:rPr>
                            <w:sz w:val="18"/>
                            <w:szCs w:val="18"/>
                          </w:rPr>
                        </w:pPr>
                        <w:r>
                          <w:rPr>
                            <w:spacing w:val="1"/>
                            <w:sz w:val="18"/>
                            <w:szCs w:val="18"/>
                          </w:rPr>
                          <w:t>网上生活</w:t>
                        </w:r>
                      </w:p>
                    </w:tc>
                    <w:tc>
                      <w:tcPr>
                        <w:tcW w:w="2314" w:type="dxa"/>
                        <w:vAlign w:val="top"/>
                      </w:tcPr>
                      <w:p w14:paraId="4D0FCD0B">
                        <w:pPr>
                          <w:pStyle w:val="6"/>
                          <w:spacing w:before="89" w:line="222" w:lineRule="auto"/>
                          <w:ind w:left="21"/>
                          <w:rPr>
                            <w:sz w:val="18"/>
                            <w:szCs w:val="18"/>
                          </w:rPr>
                        </w:pPr>
                        <w:r>
                          <w:rPr>
                            <w:spacing w:val="1"/>
                            <w:sz w:val="18"/>
                            <w:szCs w:val="18"/>
                          </w:rPr>
                          <w:t>1.网络空间(网络日志、网</w:t>
                        </w:r>
                      </w:p>
                      <w:p w14:paraId="686C427C">
                        <w:pPr>
                          <w:pStyle w:val="6"/>
                          <w:spacing w:before="9" w:line="217" w:lineRule="auto"/>
                          <w:ind w:left="2" w:firstLine="9"/>
                          <w:rPr>
                            <w:sz w:val="18"/>
                            <w:szCs w:val="18"/>
                          </w:rPr>
                        </w:pPr>
                        <w:r>
                          <w:rPr>
                            <w:spacing w:val="-6"/>
                            <w:sz w:val="18"/>
                            <w:szCs w:val="18"/>
                          </w:rPr>
                          <w:t>络硬盘和网络相册等)的使用</w:t>
                        </w:r>
                        <w:r>
                          <w:rPr>
                            <w:sz w:val="18"/>
                            <w:szCs w:val="18"/>
                          </w:rPr>
                          <w:t xml:space="preserve">  </w:t>
                        </w:r>
                        <w:r>
                          <w:rPr>
                            <w:spacing w:val="-9"/>
                            <w:sz w:val="18"/>
                            <w:szCs w:val="18"/>
                          </w:rPr>
                          <w:t>2.网络常用服务(天气、订票、</w:t>
                        </w:r>
                        <w:r>
                          <w:rPr>
                            <w:spacing w:val="5"/>
                            <w:sz w:val="18"/>
                            <w:szCs w:val="18"/>
                          </w:rPr>
                          <w:t xml:space="preserve"> </w:t>
                        </w:r>
                        <w:r>
                          <w:rPr>
                            <w:spacing w:val="-3"/>
                            <w:sz w:val="18"/>
                            <w:szCs w:val="18"/>
                          </w:rPr>
                          <w:t>求职和网上购物等)</w:t>
                        </w:r>
                      </w:p>
                    </w:tc>
                    <w:tc>
                      <w:tcPr>
                        <w:tcW w:w="230" w:type="dxa"/>
                        <w:vAlign w:val="top"/>
                      </w:tcPr>
                      <w:p w14:paraId="29705290">
                        <w:pPr>
                          <w:rPr>
                            <w:rFonts w:ascii="Arial"/>
                            <w:sz w:val="21"/>
                          </w:rPr>
                        </w:pPr>
                      </w:p>
                    </w:tc>
                    <w:tc>
                      <w:tcPr>
                        <w:tcW w:w="230" w:type="dxa"/>
                        <w:vAlign w:val="top"/>
                      </w:tcPr>
                      <w:p w14:paraId="6E1E62DD">
                        <w:pPr>
                          <w:rPr>
                            <w:rFonts w:ascii="Arial"/>
                            <w:sz w:val="21"/>
                          </w:rPr>
                        </w:pPr>
                      </w:p>
                    </w:tc>
                    <w:tc>
                      <w:tcPr>
                        <w:tcW w:w="219" w:type="dxa"/>
                        <w:vAlign w:val="top"/>
                      </w:tcPr>
                      <w:p w14:paraId="60B5A8E9">
                        <w:pPr>
                          <w:rPr>
                            <w:rFonts w:ascii="Arial"/>
                            <w:sz w:val="21"/>
                          </w:rPr>
                        </w:pPr>
                      </w:p>
                    </w:tc>
                    <w:tc>
                      <w:tcPr>
                        <w:tcW w:w="244" w:type="dxa"/>
                        <w:vAlign w:val="top"/>
                      </w:tcPr>
                      <w:p w14:paraId="24224E1A">
                        <w:pPr>
                          <w:rPr>
                            <w:rFonts w:ascii="Arial"/>
                            <w:sz w:val="21"/>
                          </w:rPr>
                        </w:pPr>
                      </w:p>
                    </w:tc>
                  </w:tr>
                </w:tbl>
                <w:p w14:paraId="42721D8D">
                  <w:pPr>
                    <w:pStyle w:val="2"/>
                  </w:pPr>
                </w:p>
              </w:txbxContent>
            </v:textbox>
          </v:shape>
        </w:pict>
      </w:r>
      <w:r>
        <w:pict>
          <v:shape id="_x0000_s1037" o:spid="_x0000_s1037" o:spt="202" type="#_x0000_t202" style="position:absolute;left:0pt;margin-left:62.1pt;margin-top:602.2pt;height:14.05pt;width:172.5pt;mso-position-horizontal-relative:page;mso-position-vertical-relative:page;z-index:251686912;mso-width-relative:page;mso-height-relative:page;" filled="f" stroked="f" coordsize="21600,21600" o:allowincell="f">
            <v:path/>
            <v:fill on="f" focussize="0,0"/>
            <v:stroke on="f"/>
            <v:imagedata o:title=""/>
            <o:lock v:ext="edit" aspectratio="f"/>
            <v:textbox inset="0mm,0mm,0mm,0mm">
              <w:txbxContent>
                <w:p w14:paraId="3ECD807B">
                  <w:pPr>
                    <w:pStyle w:val="2"/>
                    <w:spacing w:before="19" w:line="222" w:lineRule="auto"/>
                    <w:ind w:left="20"/>
                    <w:rPr>
                      <w:rFonts w:ascii="黑体" w:hAnsi="黑体" w:eastAsia="黑体" w:cs="黑体"/>
                      <w:sz w:val="20"/>
                      <w:szCs w:val="20"/>
                    </w:rPr>
                  </w:pPr>
                  <w:r>
                    <w:rPr>
                      <w:rFonts w:ascii="黑体" w:hAnsi="黑体" w:eastAsia="黑体" w:cs="黑体"/>
                      <w:b/>
                      <w:bCs/>
                      <w:spacing w:val="-3"/>
                      <w:sz w:val="20"/>
                      <w:szCs w:val="20"/>
                    </w:rPr>
                    <w:t>专题四</w:t>
                  </w:r>
                  <w:r>
                    <w:rPr>
                      <w:rFonts w:ascii="黑体" w:hAnsi="黑体" w:eastAsia="黑体" w:cs="黑体"/>
                      <w:spacing w:val="102"/>
                      <w:sz w:val="20"/>
                      <w:szCs w:val="20"/>
                    </w:rPr>
                    <w:t xml:space="preserve"> </w:t>
                  </w:r>
                  <w:r>
                    <w:rPr>
                      <w:b/>
                      <w:bCs/>
                      <w:spacing w:val="-3"/>
                      <w:sz w:val="20"/>
                      <w:szCs w:val="20"/>
                    </w:rPr>
                    <w:t>Word 2016</w:t>
                  </w:r>
                  <w:r>
                    <w:rPr>
                      <w:b/>
                      <w:bCs/>
                      <w:spacing w:val="-23"/>
                      <w:sz w:val="20"/>
                      <w:szCs w:val="20"/>
                    </w:rPr>
                    <w:t xml:space="preserve"> </w:t>
                  </w:r>
                  <w:r>
                    <w:rPr>
                      <w:rFonts w:ascii="黑体" w:hAnsi="黑体" w:eastAsia="黑体" w:cs="黑体"/>
                      <w:b/>
                      <w:bCs/>
                      <w:spacing w:val="-3"/>
                      <w:sz w:val="20"/>
                      <w:szCs w:val="20"/>
                    </w:rPr>
                    <w:t>文字处理软件应用</w:t>
                  </w:r>
                </w:p>
              </w:txbxContent>
            </v:textbox>
          </v:shape>
        </w:pict>
      </w:r>
      <w:r>
        <w:pict>
          <v:shape id="_x0000_s1038" o:spid="_x0000_s1038" o:spt="202" type="#_x0000_t202" style="position:absolute;left:0pt;margin-left:43.75pt;margin-top:618.25pt;height:79.5pt;width:209.05pt;mso-position-horizontal-relative:page;mso-position-vertical-relative:page;z-index:251685888;mso-width-relative:page;mso-height-relative:page;" filled="f" stroked="f" coordsize="21600,21600" o:allowincell="f">
            <v:path/>
            <v:fill on="f" focussize="0,0"/>
            <v:stroke on="f"/>
            <v:imagedata o:title=""/>
            <o:lock v:ext="edit" aspectratio="f"/>
            <v:textbox inset="0mm,0mm,0mm,0mm">
              <w:txbxContent>
                <w:p w14:paraId="5658ADE6">
                  <w:pPr>
                    <w:spacing w:line="20" w:lineRule="exact"/>
                  </w:pPr>
                </w:p>
                <w:tbl>
                  <w:tblPr>
                    <w:tblStyle w:val="5"/>
                    <w:tblW w:w="4130" w:type="dxa"/>
                    <w:tblInd w:w="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14"/>
                    <w:gridCol w:w="230"/>
                    <w:gridCol w:w="230"/>
                    <w:gridCol w:w="219"/>
                    <w:gridCol w:w="244"/>
                  </w:tblGrid>
                  <w:tr w14:paraId="70BBA5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3" w:hRule="atLeast"/>
                    </w:trPr>
                    <w:tc>
                      <w:tcPr>
                        <w:tcW w:w="893" w:type="dxa"/>
                        <w:vMerge w:val="restart"/>
                        <w:tcBorders>
                          <w:bottom w:val="nil"/>
                        </w:tcBorders>
                        <w:vAlign w:val="top"/>
                      </w:tcPr>
                      <w:p w14:paraId="5FF992D3">
                        <w:pPr>
                          <w:pStyle w:val="6"/>
                          <w:spacing w:before="111" w:line="220" w:lineRule="auto"/>
                          <w:ind w:left="267" w:right="25" w:hanging="250"/>
                        </w:pPr>
                        <w:r>
                          <w:rPr>
                            <w:b/>
                            <w:bCs/>
                            <w:spacing w:val="-4"/>
                          </w:rPr>
                          <w:t>知识与技能</w:t>
                        </w:r>
                        <w:r>
                          <w:t xml:space="preserve"> </w:t>
                        </w:r>
                        <w:r>
                          <w:rPr>
                            <w:b/>
                            <w:bCs/>
                            <w:spacing w:val="-4"/>
                          </w:rPr>
                          <w:t>要点</w:t>
                        </w:r>
                      </w:p>
                    </w:tc>
                    <w:tc>
                      <w:tcPr>
                        <w:tcW w:w="2314" w:type="dxa"/>
                        <w:vMerge w:val="restart"/>
                        <w:tcBorders>
                          <w:bottom w:val="nil"/>
                        </w:tcBorders>
                        <w:vAlign w:val="top"/>
                      </w:tcPr>
                      <w:p w14:paraId="3AFBED78">
                        <w:pPr>
                          <w:pStyle w:val="6"/>
                          <w:spacing w:before="219" w:line="219" w:lineRule="auto"/>
                          <w:ind w:left="834"/>
                        </w:pPr>
                        <w:r>
                          <w:rPr>
                            <w:b/>
                            <w:bCs/>
                            <w:spacing w:val="5"/>
                          </w:rPr>
                          <w:t>考试条目</w:t>
                        </w:r>
                      </w:p>
                    </w:tc>
                    <w:tc>
                      <w:tcPr>
                        <w:tcW w:w="923" w:type="dxa"/>
                        <w:gridSpan w:val="4"/>
                        <w:vAlign w:val="top"/>
                      </w:tcPr>
                      <w:p w14:paraId="499F77F5">
                        <w:pPr>
                          <w:pStyle w:val="6"/>
                          <w:spacing w:before="69" w:line="219" w:lineRule="auto"/>
                          <w:ind w:left="130"/>
                        </w:pPr>
                        <w:r>
                          <w:rPr>
                            <w:b/>
                            <w:bCs/>
                            <w:spacing w:val="-4"/>
                          </w:rPr>
                          <w:t>考试水平</w:t>
                        </w:r>
                      </w:p>
                    </w:tc>
                  </w:tr>
                  <w:tr w14:paraId="3E78D6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7" w:hRule="atLeast"/>
                    </w:trPr>
                    <w:tc>
                      <w:tcPr>
                        <w:tcW w:w="893" w:type="dxa"/>
                        <w:vMerge w:val="continue"/>
                        <w:tcBorders>
                          <w:top w:val="nil"/>
                        </w:tcBorders>
                        <w:vAlign w:val="top"/>
                      </w:tcPr>
                      <w:p w14:paraId="0F36637B">
                        <w:pPr>
                          <w:rPr>
                            <w:rFonts w:ascii="Arial"/>
                            <w:sz w:val="21"/>
                          </w:rPr>
                        </w:pPr>
                      </w:p>
                    </w:tc>
                    <w:tc>
                      <w:tcPr>
                        <w:tcW w:w="2314" w:type="dxa"/>
                        <w:vMerge w:val="continue"/>
                        <w:tcBorders>
                          <w:top w:val="nil"/>
                        </w:tcBorders>
                        <w:vAlign w:val="top"/>
                      </w:tcPr>
                      <w:p w14:paraId="5FB031C7">
                        <w:pPr>
                          <w:rPr>
                            <w:rFonts w:ascii="Arial"/>
                            <w:sz w:val="21"/>
                          </w:rPr>
                        </w:pPr>
                      </w:p>
                    </w:tc>
                    <w:tc>
                      <w:tcPr>
                        <w:tcW w:w="230" w:type="dxa"/>
                        <w:vAlign w:val="top"/>
                      </w:tcPr>
                      <w:p w14:paraId="0E89E0F4">
                        <w:pPr>
                          <w:pStyle w:val="6"/>
                          <w:spacing w:before="111" w:line="184" w:lineRule="auto"/>
                          <w:ind w:left="50"/>
                        </w:pPr>
                        <w:r>
                          <w:rPr>
                            <w:b/>
                            <w:bCs/>
                            <w:spacing w:val="-2"/>
                          </w:rPr>
                          <w:t>A</w:t>
                        </w:r>
                      </w:p>
                    </w:tc>
                    <w:tc>
                      <w:tcPr>
                        <w:tcW w:w="230" w:type="dxa"/>
                        <w:vAlign w:val="top"/>
                      </w:tcPr>
                      <w:p w14:paraId="1FAB6857">
                        <w:pPr>
                          <w:pStyle w:val="6"/>
                          <w:spacing w:before="113" w:line="182" w:lineRule="auto"/>
                          <w:ind w:left="20"/>
                        </w:pPr>
                        <w:r>
                          <w:rPr>
                            <w:b/>
                            <w:bCs/>
                            <w:spacing w:val="-2"/>
                          </w:rPr>
                          <w:t>B</w:t>
                        </w:r>
                      </w:p>
                    </w:tc>
                    <w:tc>
                      <w:tcPr>
                        <w:tcW w:w="219" w:type="dxa"/>
                        <w:vAlign w:val="top"/>
                      </w:tcPr>
                      <w:p w14:paraId="5EEC1E6C">
                        <w:pPr>
                          <w:pStyle w:val="6"/>
                          <w:spacing w:before="112" w:line="183" w:lineRule="auto"/>
                          <w:ind w:left="37"/>
                        </w:pPr>
                        <w:r>
                          <w:t>C</w:t>
                        </w:r>
                      </w:p>
                    </w:tc>
                    <w:tc>
                      <w:tcPr>
                        <w:tcW w:w="244" w:type="dxa"/>
                        <w:vAlign w:val="top"/>
                      </w:tcPr>
                      <w:p w14:paraId="7AC16EF7">
                        <w:pPr>
                          <w:pStyle w:val="6"/>
                          <w:spacing w:before="113" w:line="182" w:lineRule="auto"/>
                          <w:ind w:left="21"/>
                        </w:pPr>
                        <w:r>
                          <w:rPr>
                            <w:b/>
                            <w:bCs/>
                            <w:spacing w:val="-2"/>
                          </w:rPr>
                          <w:t>D</w:t>
                        </w:r>
                      </w:p>
                    </w:tc>
                  </w:tr>
                  <w:tr w14:paraId="4DDCC4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9" w:hRule="atLeast"/>
                    </w:trPr>
                    <w:tc>
                      <w:tcPr>
                        <w:tcW w:w="893" w:type="dxa"/>
                        <w:vAlign w:val="top"/>
                      </w:tcPr>
                      <w:p w14:paraId="15DF375B">
                        <w:pPr>
                          <w:pStyle w:val="6"/>
                          <w:spacing w:before="169" w:line="217" w:lineRule="auto"/>
                          <w:ind w:left="97"/>
                        </w:pPr>
                        <w:r>
                          <w:rPr>
                            <w:b/>
                            <w:bCs/>
                            <w:spacing w:val="-4"/>
                          </w:rPr>
                          <w:t>文档的创</w:t>
                        </w:r>
                      </w:p>
                      <w:p w14:paraId="2B7016CE">
                        <w:pPr>
                          <w:pStyle w:val="6"/>
                          <w:spacing w:line="219" w:lineRule="auto"/>
                          <w:jc w:val="right"/>
                        </w:pPr>
                        <w:r>
                          <w:rPr>
                            <w:b/>
                            <w:bCs/>
                            <w:spacing w:val="1"/>
                          </w:rPr>
                          <w:t>建、保存、</w:t>
                        </w:r>
                      </w:p>
                      <w:p w14:paraId="0908CFEA">
                        <w:pPr>
                          <w:pStyle w:val="6"/>
                          <w:spacing w:before="21" w:line="223" w:lineRule="auto"/>
                          <w:ind w:left="267"/>
                        </w:pPr>
                        <w:r>
                          <w:rPr>
                            <w:b/>
                            <w:bCs/>
                            <w:spacing w:val="6"/>
                          </w:rPr>
                          <w:t>退出</w:t>
                        </w:r>
                      </w:p>
                    </w:tc>
                    <w:tc>
                      <w:tcPr>
                        <w:tcW w:w="2314" w:type="dxa"/>
                        <w:vAlign w:val="top"/>
                      </w:tcPr>
                      <w:p w14:paraId="27B26CB3">
                        <w:pPr>
                          <w:pStyle w:val="6"/>
                          <w:spacing w:before="59" w:line="219" w:lineRule="auto"/>
                          <w:ind w:left="14"/>
                        </w:pPr>
                        <w:r>
                          <w:rPr>
                            <w:b/>
                            <w:bCs/>
                            <w:spacing w:val="-2"/>
                          </w:rPr>
                          <w:t>1.Word2016的功能和特点</w:t>
                        </w:r>
                      </w:p>
                      <w:p w14:paraId="557DD9CD">
                        <w:pPr>
                          <w:pStyle w:val="6"/>
                          <w:spacing w:before="7" w:line="224" w:lineRule="auto"/>
                          <w:ind w:left="14"/>
                        </w:pPr>
                        <w:r>
                          <w:rPr>
                            <w:b/>
                            <w:bCs/>
                            <w:spacing w:val="-7"/>
                          </w:rPr>
                          <w:t>2.Word2016窗口界面与基本操作</w:t>
                        </w:r>
                        <w:r>
                          <w:rPr>
                            <w:spacing w:val="7"/>
                          </w:rPr>
                          <w:t xml:space="preserve"> </w:t>
                        </w:r>
                        <w:r>
                          <w:rPr>
                            <w:b/>
                            <w:bCs/>
                            <w:spacing w:val="-4"/>
                          </w:rPr>
                          <w:t>3.新建、退出文档</w:t>
                        </w:r>
                      </w:p>
                      <w:p w14:paraId="59D3279A">
                        <w:pPr>
                          <w:pStyle w:val="6"/>
                          <w:spacing w:before="17" w:line="217" w:lineRule="auto"/>
                          <w:ind w:left="14"/>
                        </w:pPr>
                        <w:r>
                          <w:rPr>
                            <w:b/>
                            <w:bCs/>
                            <w:spacing w:val="-3"/>
                          </w:rPr>
                          <w:t>4.打开、保存及保护文档</w:t>
                        </w:r>
                      </w:p>
                    </w:tc>
                    <w:tc>
                      <w:tcPr>
                        <w:tcW w:w="230" w:type="dxa"/>
                        <w:vAlign w:val="top"/>
                      </w:tcPr>
                      <w:p w14:paraId="510DD470">
                        <w:pPr>
                          <w:rPr>
                            <w:rFonts w:ascii="Arial"/>
                            <w:sz w:val="21"/>
                          </w:rPr>
                        </w:pPr>
                      </w:p>
                    </w:tc>
                    <w:tc>
                      <w:tcPr>
                        <w:tcW w:w="230" w:type="dxa"/>
                        <w:vAlign w:val="top"/>
                      </w:tcPr>
                      <w:p w14:paraId="5810E169">
                        <w:pPr>
                          <w:rPr>
                            <w:rFonts w:ascii="Arial"/>
                            <w:sz w:val="21"/>
                          </w:rPr>
                        </w:pPr>
                      </w:p>
                    </w:tc>
                    <w:tc>
                      <w:tcPr>
                        <w:tcW w:w="219" w:type="dxa"/>
                        <w:vAlign w:val="top"/>
                      </w:tcPr>
                      <w:p w14:paraId="2F7A6175">
                        <w:pPr>
                          <w:rPr>
                            <w:rFonts w:ascii="Arial"/>
                            <w:sz w:val="21"/>
                          </w:rPr>
                        </w:pPr>
                      </w:p>
                    </w:tc>
                    <w:tc>
                      <w:tcPr>
                        <w:tcW w:w="244" w:type="dxa"/>
                        <w:vAlign w:val="top"/>
                      </w:tcPr>
                      <w:p w14:paraId="5891ED35">
                        <w:pPr>
                          <w:rPr>
                            <w:rFonts w:ascii="Arial"/>
                            <w:sz w:val="21"/>
                          </w:rPr>
                        </w:pPr>
                      </w:p>
                    </w:tc>
                  </w:tr>
                </w:tbl>
                <w:p w14:paraId="0A8AFBD4">
                  <w:pPr>
                    <w:pStyle w:val="2"/>
                  </w:pPr>
                </w:p>
              </w:txbxContent>
            </v:textbox>
          </v:shape>
        </w:pict>
      </w:r>
    </w:p>
    <w:p w14:paraId="02382EE6">
      <w:pPr>
        <w:spacing w:before="7"/>
      </w:pPr>
    </w:p>
    <w:p w14:paraId="2B058A30">
      <w:pPr>
        <w:spacing w:before="7"/>
      </w:pPr>
    </w:p>
    <w:p w14:paraId="38C43C9E">
      <w:pPr>
        <w:spacing w:before="7"/>
      </w:pPr>
    </w:p>
    <w:tbl>
      <w:tblPr>
        <w:tblStyle w:val="5"/>
        <w:tblW w:w="4109" w:type="dxa"/>
        <w:tblInd w:w="46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03"/>
        <w:gridCol w:w="2304"/>
        <w:gridCol w:w="230"/>
        <w:gridCol w:w="229"/>
        <w:gridCol w:w="219"/>
        <w:gridCol w:w="224"/>
      </w:tblGrid>
      <w:tr w14:paraId="24F677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23" w:hRule="atLeast"/>
        </w:trPr>
        <w:tc>
          <w:tcPr>
            <w:tcW w:w="903" w:type="dxa"/>
            <w:vAlign w:val="top"/>
          </w:tcPr>
          <w:p w14:paraId="31D24F2C">
            <w:pPr>
              <w:spacing w:line="255" w:lineRule="auto"/>
              <w:rPr>
                <w:rFonts w:ascii="Arial"/>
                <w:sz w:val="21"/>
              </w:rPr>
            </w:pPr>
          </w:p>
          <w:p w14:paraId="12137F93">
            <w:pPr>
              <w:spacing w:line="255" w:lineRule="auto"/>
              <w:rPr>
                <w:rFonts w:ascii="Arial"/>
                <w:sz w:val="21"/>
              </w:rPr>
            </w:pPr>
          </w:p>
          <w:p w14:paraId="12A0C233">
            <w:pPr>
              <w:spacing w:line="255" w:lineRule="auto"/>
              <w:rPr>
                <w:rFonts w:ascii="Arial"/>
                <w:sz w:val="21"/>
              </w:rPr>
            </w:pPr>
          </w:p>
          <w:p w14:paraId="101F2C76">
            <w:pPr>
              <w:spacing w:line="255" w:lineRule="auto"/>
              <w:rPr>
                <w:rFonts w:ascii="Arial"/>
                <w:sz w:val="21"/>
              </w:rPr>
            </w:pPr>
          </w:p>
          <w:p w14:paraId="35AE856D">
            <w:pPr>
              <w:pStyle w:val="6"/>
              <w:spacing w:before="55" w:line="218" w:lineRule="auto"/>
              <w:ind w:left="105" w:right="113"/>
            </w:pPr>
            <w:r>
              <w:rPr>
                <w:spacing w:val="-2"/>
              </w:rPr>
              <w:t>文档的输</w:t>
            </w:r>
            <w:r>
              <w:t xml:space="preserve"> </w:t>
            </w:r>
            <w:r>
              <w:rPr>
                <w:spacing w:val="-2"/>
              </w:rPr>
              <w:t>入与编辑</w:t>
            </w:r>
          </w:p>
        </w:tc>
        <w:tc>
          <w:tcPr>
            <w:tcW w:w="2304" w:type="dxa"/>
            <w:vAlign w:val="top"/>
          </w:tcPr>
          <w:p w14:paraId="54957A97">
            <w:pPr>
              <w:spacing w:line="284" w:lineRule="auto"/>
              <w:rPr>
                <w:rFonts w:ascii="Arial"/>
                <w:sz w:val="21"/>
              </w:rPr>
            </w:pPr>
          </w:p>
          <w:p w14:paraId="155C6977">
            <w:pPr>
              <w:pStyle w:val="6"/>
              <w:spacing w:before="56" w:line="227" w:lineRule="auto"/>
              <w:ind w:left="11" w:right="914"/>
            </w:pPr>
            <w:r>
              <w:t>1.文档内容的输入</w:t>
            </w:r>
            <w:r>
              <w:rPr>
                <w:spacing w:val="6"/>
              </w:rPr>
              <w:t xml:space="preserve"> </w:t>
            </w:r>
            <w:r>
              <w:rPr>
                <w:spacing w:val="2"/>
              </w:rPr>
              <w:t>2.编辑文档</w:t>
            </w:r>
          </w:p>
          <w:p w14:paraId="0FA3EE3E">
            <w:pPr>
              <w:pStyle w:val="6"/>
              <w:spacing w:line="217" w:lineRule="auto"/>
              <w:ind w:left="252"/>
            </w:pPr>
            <w:r>
              <w:rPr>
                <w:spacing w:val="-1"/>
              </w:rPr>
              <w:t>①选定操作</w:t>
            </w:r>
          </w:p>
          <w:p w14:paraId="09EF8CA3">
            <w:pPr>
              <w:pStyle w:val="6"/>
              <w:spacing w:before="10" w:line="217" w:lineRule="auto"/>
              <w:ind w:left="231"/>
            </w:pPr>
            <w:r>
              <w:rPr>
                <w:spacing w:val="-1"/>
              </w:rPr>
              <w:t>②插入和修改操作</w:t>
            </w:r>
          </w:p>
          <w:p w14:paraId="2615CB61">
            <w:pPr>
              <w:pStyle w:val="6"/>
              <w:spacing w:line="217" w:lineRule="auto"/>
              <w:ind w:left="231"/>
            </w:pPr>
            <w:r>
              <w:rPr>
                <w:spacing w:val="-1"/>
              </w:rPr>
              <w:t>③删除操作</w:t>
            </w:r>
          </w:p>
          <w:p w14:paraId="23B824B8">
            <w:pPr>
              <w:pStyle w:val="6"/>
              <w:spacing w:before="10" w:line="217" w:lineRule="auto"/>
              <w:ind w:left="252"/>
            </w:pPr>
            <w:r>
              <w:rPr>
                <w:spacing w:val="-1"/>
              </w:rPr>
              <w:t>④复制与移动操作</w:t>
            </w:r>
          </w:p>
          <w:p w14:paraId="536288F2">
            <w:pPr>
              <w:pStyle w:val="6"/>
              <w:spacing w:before="10" w:line="217" w:lineRule="auto"/>
              <w:ind w:left="252"/>
            </w:pPr>
            <w:r>
              <w:rPr>
                <w:spacing w:val="-1"/>
              </w:rPr>
              <w:t>⑤查找和替换操作</w:t>
            </w:r>
          </w:p>
          <w:p w14:paraId="11C4E675">
            <w:pPr>
              <w:pStyle w:val="6"/>
              <w:spacing w:before="20" w:line="230" w:lineRule="auto"/>
              <w:ind w:left="11" w:right="569" w:firstLine="240"/>
            </w:pPr>
            <w:r>
              <w:rPr>
                <w:spacing w:val="-1"/>
              </w:rPr>
              <w:t>⑥撤销与恢复操作</w:t>
            </w:r>
            <w:r>
              <w:t xml:space="preserve">  </w:t>
            </w:r>
            <w:r>
              <w:rPr>
                <w:spacing w:val="1"/>
              </w:rPr>
              <w:t>3.打印预览与打印文档</w:t>
            </w:r>
          </w:p>
        </w:tc>
        <w:tc>
          <w:tcPr>
            <w:tcW w:w="230" w:type="dxa"/>
            <w:vAlign w:val="top"/>
          </w:tcPr>
          <w:p w14:paraId="13D67FE0">
            <w:pPr>
              <w:rPr>
                <w:rFonts w:ascii="Arial"/>
                <w:sz w:val="21"/>
              </w:rPr>
            </w:pPr>
          </w:p>
        </w:tc>
        <w:tc>
          <w:tcPr>
            <w:tcW w:w="229" w:type="dxa"/>
            <w:vAlign w:val="top"/>
          </w:tcPr>
          <w:p w14:paraId="537D2C26">
            <w:pPr>
              <w:rPr>
                <w:rFonts w:ascii="Arial"/>
                <w:sz w:val="21"/>
              </w:rPr>
            </w:pPr>
          </w:p>
        </w:tc>
        <w:tc>
          <w:tcPr>
            <w:tcW w:w="219" w:type="dxa"/>
            <w:vAlign w:val="top"/>
          </w:tcPr>
          <w:p w14:paraId="7314BB62">
            <w:pPr>
              <w:rPr>
                <w:rFonts w:ascii="Arial"/>
                <w:sz w:val="21"/>
              </w:rPr>
            </w:pPr>
          </w:p>
        </w:tc>
        <w:tc>
          <w:tcPr>
            <w:tcW w:w="224" w:type="dxa"/>
            <w:vAlign w:val="top"/>
          </w:tcPr>
          <w:p w14:paraId="4F25FAEE">
            <w:pPr>
              <w:spacing w:line="255" w:lineRule="auto"/>
              <w:rPr>
                <w:rFonts w:ascii="Arial"/>
                <w:sz w:val="21"/>
              </w:rPr>
            </w:pPr>
          </w:p>
          <w:p w14:paraId="7BFE7606">
            <w:pPr>
              <w:spacing w:line="256" w:lineRule="auto"/>
              <w:rPr>
                <w:rFonts w:ascii="Arial"/>
                <w:sz w:val="21"/>
              </w:rPr>
            </w:pPr>
          </w:p>
          <w:p w14:paraId="16B18399">
            <w:pPr>
              <w:spacing w:line="256" w:lineRule="auto"/>
              <w:rPr>
                <w:rFonts w:ascii="Arial"/>
                <w:sz w:val="21"/>
              </w:rPr>
            </w:pPr>
          </w:p>
          <w:p w14:paraId="1466D578">
            <w:pPr>
              <w:spacing w:line="775" w:lineRule="exact"/>
            </w:pPr>
            <w:r>
              <w:rPr>
                <w:position w:val="-15"/>
              </w:rPr>
              <w:drawing>
                <wp:inline distT="0" distB="0" distL="0" distR="0">
                  <wp:extent cx="133985" cy="491490"/>
                  <wp:effectExtent l="0" t="0" r="0" b="0"/>
                  <wp:docPr id="306" name="IM 306"/>
                  <wp:cNvGraphicFramePr/>
                  <a:graphic xmlns:a="http://schemas.openxmlformats.org/drawingml/2006/main">
                    <a:graphicData uri="http://schemas.openxmlformats.org/drawingml/2006/picture">
                      <pic:pic xmlns:pic="http://schemas.openxmlformats.org/drawingml/2006/picture">
                        <pic:nvPicPr>
                          <pic:cNvPr id="306" name="IM 306"/>
                          <pic:cNvPicPr/>
                        </pic:nvPicPr>
                        <pic:blipFill>
                          <a:blip r:embed="rId317"/>
                          <a:stretch>
                            <a:fillRect/>
                          </a:stretch>
                        </pic:blipFill>
                        <pic:spPr>
                          <a:xfrm>
                            <a:off x="0" y="0"/>
                            <a:ext cx="134599" cy="492116"/>
                          </a:xfrm>
                          <a:prstGeom prst="rect">
                            <a:avLst/>
                          </a:prstGeom>
                        </pic:spPr>
                      </pic:pic>
                    </a:graphicData>
                  </a:graphic>
                </wp:inline>
              </w:drawing>
            </w:r>
          </w:p>
        </w:tc>
      </w:tr>
      <w:tr w14:paraId="4B3B11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77" w:hRule="atLeast"/>
        </w:trPr>
        <w:tc>
          <w:tcPr>
            <w:tcW w:w="903" w:type="dxa"/>
            <w:vAlign w:val="top"/>
          </w:tcPr>
          <w:p w14:paraId="1848B75C">
            <w:pPr>
              <w:spacing w:line="269" w:lineRule="auto"/>
              <w:rPr>
                <w:rFonts w:ascii="Arial"/>
                <w:sz w:val="21"/>
              </w:rPr>
            </w:pPr>
          </w:p>
          <w:p w14:paraId="49825CC6">
            <w:pPr>
              <w:spacing w:line="269" w:lineRule="auto"/>
              <w:rPr>
                <w:rFonts w:ascii="Arial"/>
                <w:sz w:val="21"/>
              </w:rPr>
            </w:pPr>
          </w:p>
          <w:p w14:paraId="0F9E1F9A">
            <w:pPr>
              <w:spacing w:line="269" w:lineRule="auto"/>
              <w:rPr>
                <w:rFonts w:ascii="Arial"/>
                <w:sz w:val="21"/>
              </w:rPr>
            </w:pPr>
          </w:p>
          <w:p w14:paraId="05CAA5ED">
            <w:pPr>
              <w:spacing w:line="270" w:lineRule="auto"/>
              <w:rPr>
                <w:rFonts w:ascii="Arial"/>
                <w:sz w:val="21"/>
              </w:rPr>
            </w:pPr>
          </w:p>
          <w:p w14:paraId="161FEF5F">
            <w:pPr>
              <w:pStyle w:val="6"/>
              <w:spacing w:before="55" w:line="236" w:lineRule="auto"/>
              <w:ind w:left="274" w:right="95" w:hanging="169"/>
            </w:pPr>
            <w:r>
              <w:rPr>
                <w:spacing w:val="3"/>
              </w:rPr>
              <w:t>设置文档</w:t>
            </w:r>
            <w:r>
              <w:t xml:space="preserve"> </w:t>
            </w:r>
            <w:r>
              <w:rPr>
                <w:spacing w:val="-2"/>
              </w:rPr>
              <w:t>格式</w:t>
            </w:r>
          </w:p>
        </w:tc>
        <w:tc>
          <w:tcPr>
            <w:tcW w:w="2304" w:type="dxa"/>
            <w:vAlign w:val="top"/>
          </w:tcPr>
          <w:p w14:paraId="10C09335">
            <w:pPr>
              <w:spacing w:line="262" w:lineRule="auto"/>
              <w:rPr>
                <w:rFonts w:ascii="Arial"/>
                <w:sz w:val="21"/>
              </w:rPr>
            </w:pPr>
          </w:p>
          <w:p w14:paraId="0DA01A84">
            <w:pPr>
              <w:pStyle w:val="6"/>
              <w:spacing w:before="55" w:line="218" w:lineRule="auto"/>
              <w:ind w:left="21"/>
            </w:pPr>
            <w:r>
              <w:rPr>
                <w:spacing w:val="4"/>
              </w:rPr>
              <w:t>1.设置字符格式：设置字体、</w:t>
            </w:r>
            <w:r>
              <w:rPr>
                <w:spacing w:val="5"/>
              </w:rPr>
              <w:t xml:space="preserve"> </w:t>
            </w:r>
            <w:r>
              <w:rPr>
                <w:spacing w:val="-3"/>
              </w:rPr>
              <w:t>字形、字号、字符间距、字</w:t>
            </w:r>
          </w:p>
          <w:p w14:paraId="5EAD2AAE">
            <w:pPr>
              <w:pStyle w:val="6"/>
              <w:spacing w:before="17" w:line="219" w:lineRule="auto"/>
              <w:ind w:left="11"/>
            </w:pPr>
            <w:r>
              <w:rPr>
                <w:spacing w:val="-1"/>
              </w:rPr>
              <w:t>符边框和底纹、文本效果</w:t>
            </w:r>
          </w:p>
          <w:p w14:paraId="383A96CE">
            <w:pPr>
              <w:pStyle w:val="6"/>
              <w:spacing w:before="19" w:line="215" w:lineRule="auto"/>
              <w:ind w:left="11"/>
            </w:pPr>
            <w:r>
              <w:rPr>
                <w:spacing w:val="-1"/>
              </w:rPr>
              <w:t>2.设置段落格式</w:t>
            </w:r>
          </w:p>
          <w:p w14:paraId="17EAAA97">
            <w:pPr>
              <w:pStyle w:val="6"/>
              <w:spacing w:before="1" w:line="222" w:lineRule="auto"/>
              <w:ind w:left="31" w:right="207" w:firstLine="189"/>
            </w:pPr>
            <w:r>
              <w:rPr>
                <w:spacing w:val="-1"/>
              </w:rPr>
              <w:t>①设置段落缩进、段落对</w:t>
            </w:r>
            <w:r>
              <w:rPr>
                <w:spacing w:val="4"/>
              </w:rPr>
              <w:t xml:space="preserve"> </w:t>
            </w:r>
            <w:r>
              <w:rPr>
                <w:spacing w:val="-1"/>
              </w:rPr>
              <w:t>齐方式、行间距和段落间距</w:t>
            </w:r>
          </w:p>
          <w:p w14:paraId="13D3D0C0">
            <w:pPr>
              <w:pStyle w:val="6"/>
              <w:spacing w:line="217" w:lineRule="auto"/>
              <w:ind w:right="16"/>
              <w:jc w:val="right"/>
            </w:pPr>
            <w:r>
              <w:rPr>
                <w:spacing w:val="-1"/>
              </w:rPr>
              <w:t>②设置段落编号和项目符号</w:t>
            </w:r>
          </w:p>
          <w:p w14:paraId="037BBE86">
            <w:pPr>
              <w:pStyle w:val="6"/>
              <w:spacing w:before="30" w:line="195" w:lineRule="auto"/>
              <w:ind w:left="261"/>
            </w:pPr>
            <w:r>
              <w:rPr>
                <w:spacing w:val="-1"/>
              </w:rPr>
              <w:t>③设置首字下沉</w:t>
            </w:r>
          </w:p>
          <w:p w14:paraId="70DBDE71">
            <w:pPr>
              <w:pStyle w:val="6"/>
              <w:spacing w:line="241" w:lineRule="auto"/>
              <w:ind w:left="11" w:right="347" w:firstLine="240"/>
            </w:pPr>
            <w:r>
              <w:rPr>
                <w:spacing w:val="-1"/>
              </w:rPr>
              <w:t>④设置段落边框和底纹</w:t>
            </w:r>
            <w:r>
              <w:rPr>
                <w:spacing w:val="3"/>
              </w:rPr>
              <w:t xml:space="preserve"> </w:t>
            </w:r>
            <w:r>
              <w:rPr>
                <w:spacing w:val="2"/>
              </w:rPr>
              <w:t>3.格式刷的使用</w:t>
            </w:r>
          </w:p>
        </w:tc>
        <w:tc>
          <w:tcPr>
            <w:tcW w:w="230" w:type="dxa"/>
            <w:vAlign w:val="top"/>
          </w:tcPr>
          <w:p w14:paraId="10B80177">
            <w:pPr>
              <w:rPr>
                <w:rFonts w:ascii="Arial"/>
                <w:sz w:val="21"/>
              </w:rPr>
            </w:pPr>
          </w:p>
        </w:tc>
        <w:tc>
          <w:tcPr>
            <w:tcW w:w="229" w:type="dxa"/>
            <w:vAlign w:val="top"/>
          </w:tcPr>
          <w:p w14:paraId="6A654A4C">
            <w:pPr>
              <w:rPr>
                <w:rFonts w:ascii="Arial"/>
                <w:sz w:val="21"/>
              </w:rPr>
            </w:pPr>
          </w:p>
        </w:tc>
        <w:tc>
          <w:tcPr>
            <w:tcW w:w="219" w:type="dxa"/>
            <w:vAlign w:val="top"/>
          </w:tcPr>
          <w:p w14:paraId="4B6A2E57">
            <w:pPr>
              <w:rPr>
                <w:rFonts w:ascii="Arial"/>
                <w:sz w:val="21"/>
              </w:rPr>
            </w:pPr>
          </w:p>
        </w:tc>
        <w:tc>
          <w:tcPr>
            <w:tcW w:w="224" w:type="dxa"/>
            <w:vAlign w:val="top"/>
          </w:tcPr>
          <w:p w14:paraId="25CDB9B3">
            <w:pPr>
              <w:pStyle w:val="6"/>
              <w:spacing w:before="270" w:line="238" w:lineRule="auto"/>
              <w:ind w:left="19"/>
              <w:rPr>
                <w:sz w:val="13"/>
                <w:szCs w:val="13"/>
              </w:rPr>
            </w:pPr>
            <w:r>
              <w:rPr>
                <w:sz w:val="13"/>
                <w:szCs w:val="13"/>
              </w:rPr>
              <w:t>√</w:t>
            </w:r>
          </w:p>
          <w:p w14:paraId="5B4A144B">
            <w:pPr>
              <w:spacing w:line="273" w:lineRule="auto"/>
              <w:rPr>
                <w:rFonts w:ascii="Arial"/>
                <w:sz w:val="21"/>
              </w:rPr>
            </w:pPr>
          </w:p>
          <w:p w14:paraId="6A1FC030">
            <w:pPr>
              <w:spacing w:line="273" w:lineRule="auto"/>
              <w:rPr>
                <w:rFonts w:ascii="Arial"/>
                <w:sz w:val="21"/>
              </w:rPr>
            </w:pPr>
          </w:p>
          <w:p w14:paraId="4DC89E9A">
            <w:pPr>
              <w:spacing w:line="273" w:lineRule="auto"/>
              <w:rPr>
                <w:rFonts w:ascii="Arial"/>
                <w:sz w:val="21"/>
              </w:rPr>
            </w:pPr>
          </w:p>
          <w:p w14:paraId="13EBD41C">
            <w:pPr>
              <w:spacing w:line="273" w:lineRule="auto"/>
              <w:rPr>
                <w:rFonts w:ascii="Arial"/>
                <w:sz w:val="21"/>
              </w:rPr>
            </w:pPr>
          </w:p>
          <w:p w14:paraId="3220C404">
            <w:pPr>
              <w:spacing w:line="273" w:lineRule="auto"/>
              <w:rPr>
                <w:rFonts w:ascii="Arial"/>
                <w:sz w:val="21"/>
              </w:rPr>
            </w:pPr>
          </w:p>
          <w:p w14:paraId="08DF71C8">
            <w:pPr>
              <w:spacing w:line="273" w:lineRule="auto"/>
              <w:rPr>
                <w:rFonts w:ascii="Arial"/>
                <w:sz w:val="21"/>
              </w:rPr>
            </w:pPr>
          </w:p>
          <w:p w14:paraId="32D55325">
            <w:pPr>
              <w:spacing w:line="308" w:lineRule="exact"/>
              <w:ind w:left="49"/>
            </w:pPr>
            <w:r>
              <w:rPr>
                <w:position w:val="-6"/>
              </w:rPr>
              <w:drawing>
                <wp:inline distT="0" distB="0" distL="0" distR="0">
                  <wp:extent cx="88265" cy="194945"/>
                  <wp:effectExtent l="0" t="0" r="0" b="0"/>
                  <wp:docPr id="308" name="IM 308"/>
                  <wp:cNvGraphicFramePr/>
                  <a:graphic xmlns:a="http://schemas.openxmlformats.org/drawingml/2006/main">
                    <a:graphicData uri="http://schemas.openxmlformats.org/drawingml/2006/picture">
                      <pic:pic xmlns:pic="http://schemas.openxmlformats.org/drawingml/2006/picture">
                        <pic:nvPicPr>
                          <pic:cNvPr id="308" name="IM 308"/>
                          <pic:cNvPicPr/>
                        </pic:nvPicPr>
                        <pic:blipFill>
                          <a:blip r:embed="rId318"/>
                          <a:stretch>
                            <a:fillRect/>
                          </a:stretch>
                        </pic:blipFill>
                        <pic:spPr>
                          <a:xfrm>
                            <a:off x="0" y="0"/>
                            <a:ext cx="88891" cy="195405"/>
                          </a:xfrm>
                          <a:prstGeom prst="rect">
                            <a:avLst/>
                          </a:prstGeom>
                        </pic:spPr>
                      </pic:pic>
                    </a:graphicData>
                  </a:graphic>
                </wp:inline>
              </w:drawing>
            </w:r>
          </w:p>
        </w:tc>
      </w:tr>
      <w:tr w14:paraId="36D4B1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58" w:hRule="atLeast"/>
        </w:trPr>
        <w:tc>
          <w:tcPr>
            <w:tcW w:w="903" w:type="dxa"/>
            <w:vAlign w:val="top"/>
          </w:tcPr>
          <w:p w14:paraId="494361DD">
            <w:pPr>
              <w:spacing w:line="274" w:lineRule="auto"/>
              <w:rPr>
                <w:rFonts w:ascii="Arial"/>
                <w:sz w:val="21"/>
              </w:rPr>
            </w:pPr>
          </w:p>
          <w:p w14:paraId="539FBE52">
            <w:pPr>
              <w:spacing w:line="274" w:lineRule="auto"/>
              <w:rPr>
                <w:rFonts w:ascii="Arial"/>
                <w:sz w:val="21"/>
              </w:rPr>
            </w:pPr>
          </w:p>
          <w:p w14:paraId="777D0E62">
            <w:pPr>
              <w:spacing w:line="274" w:lineRule="auto"/>
              <w:rPr>
                <w:rFonts w:ascii="Arial"/>
                <w:sz w:val="21"/>
              </w:rPr>
            </w:pPr>
          </w:p>
          <w:p w14:paraId="041A2C39">
            <w:pPr>
              <w:pStyle w:val="6"/>
              <w:spacing w:before="55" w:line="221" w:lineRule="auto"/>
              <w:ind w:left="105"/>
            </w:pPr>
            <w:r>
              <w:rPr>
                <w:spacing w:val="-3"/>
              </w:rPr>
              <w:t>页面设置</w:t>
            </w:r>
          </w:p>
          <w:p w14:paraId="2D705EF6">
            <w:pPr>
              <w:pStyle w:val="6"/>
              <w:spacing w:before="25" w:line="219" w:lineRule="auto"/>
              <w:ind w:left="105"/>
            </w:pPr>
            <w:r>
              <w:rPr>
                <w:spacing w:val="-2"/>
              </w:rPr>
              <w:t>与输出打</w:t>
            </w:r>
          </w:p>
          <w:p w14:paraId="26769577">
            <w:pPr>
              <w:pStyle w:val="6"/>
              <w:spacing w:before="8" w:line="219" w:lineRule="auto"/>
              <w:ind w:left="354"/>
            </w:pPr>
            <w:r>
              <w:t>印</w:t>
            </w:r>
          </w:p>
        </w:tc>
        <w:tc>
          <w:tcPr>
            <w:tcW w:w="2304" w:type="dxa"/>
            <w:vAlign w:val="top"/>
          </w:tcPr>
          <w:p w14:paraId="33EA30F9">
            <w:pPr>
              <w:spacing w:line="324" w:lineRule="auto"/>
              <w:rPr>
                <w:rFonts w:ascii="Arial"/>
                <w:sz w:val="21"/>
              </w:rPr>
            </w:pPr>
          </w:p>
          <w:p w14:paraId="4E3A1FA8">
            <w:pPr>
              <w:pStyle w:val="6"/>
              <w:spacing w:before="56" w:line="219" w:lineRule="auto"/>
              <w:ind w:left="11"/>
            </w:pPr>
            <w:r>
              <w:t>1.设置页面格式</w:t>
            </w:r>
          </w:p>
          <w:p w14:paraId="185CF4E1">
            <w:pPr>
              <w:pStyle w:val="6"/>
              <w:spacing w:before="6" w:line="217" w:lineRule="auto"/>
              <w:ind w:left="242"/>
            </w:pPr>
            <w:r>
              <w:rPr>
                <w:spacing w:val="-1"/>
              </w:rPr>
              <w:t>①视图模式与视图的切换</w:t>
            </w:r>
          </w:p>
          <w:p w14:paraId="21676EA5">
            <w:pPr>
              <w:pStyle w:val="6"/>
              <w:spacing w:line="220" w:lineRule="auto"/>
              <w:ind w:left="11" w:firstLine="231"/>
            </w:pPr>
            <w:r>
              <w:t>②设置页边距、纸张大小、</w:t>
            </w:r>
            <w:r>
              <w:rPr>
                <w:spacing w:val="9"/>
              </w:rPr>
              <w:t xml:space="preserve"> </w:t>
            </w:r>
            <w:r>
              <w:rPr>
                <w:spacing w:val="-6"/>
              </w:rPr>
              <w:t>版面效果</w:t>
            </w:r>
          </w:p>
          <w:p w14:paraId="4550B20E">
            <w:pPr>
              <w:pStyle w:val="6"/>
              <w:spacing w:before="14" w:line="217" w:lineRule="auto"/>
              <w:ind w:left="231"/>
            </w:pPr>
            <w:r>
              <w:rPr>
                <w:spacing w:val="-1"/>
              </w:rPr>
              <w:t>③设置分栏</w:t>
            </w:r>
          </w:p>
          <w:p w14:paraId="6AE140F1">
            <w:pPr>
              <w:pStyle w:val="6"/>
              <w:spacing w:before="20" w:line="217" w:lineRule="auto"/>
              <w:ind w:left="261"/>
            </w:pPr>
            <w:r>
              <w:rPr>
                <w:spacing w:val="-1"/>
              </w:rPr>
              <w:t>④分节控制</w:t>
            </w:r>
          </w:p>
          <w:p w14:paraId="01FFBB1C">
            <w:pPr>
              <w:pStyle w:val="6"/>
              <w:spacing w:before="9" w:line="225" w:lineRule="auto"/>
              <w:ind w:left="11" w:right="186" w:firstLine="210"/>
            </w:pPr>
            <w:r>
              <w:rPr>
                <w:spacing w:val="1"/>
              </w:rPr>
              <w:t>⑤设置页眉、页脚及水印</w:t>
            </w:r>
            <w:r>
              <w:rPr>
                <w:spacing w:val="3"/>
              </w:rPr>
              <w:t xml:space="preserve"> </w:t>
            </w:r>
            <w:r>
              <w:rPr>
                <w:spacing w:val="2"/>
              </w:rPr>
              <w:t>2.样式的新建和使用</w:t>
            </w:r>
          </w:p>
        </w:tc>
        <w:tc>
          <w:tcPr>
            <w:tcW w:w="230" w:type="dxa"/>
            <w:vAlign w:val="top"/>
          </w:tcPr>
          <w:p w14:paraId="52AEFE87">
            <w:pPr>
              <w:rPr>
                <w:rFonts w:ascii="Arial"/>
                <w:sz w:val="21"/>
              </w:rPr>
            </w:pPr>
          </w:p>
        </w:tc>
        <w:tc>
          <w:tcPr>
            <w:tcW w:w="229" w:type="dxa"/>
            <w:vAlign w:val="top"/>
          </w:tcPr>
          <w:p w14:paraId="0FFBB8ED">
            <w:pPr>
              <w:rPr>
                <w:rFonts w:ascii="Arial"/>
                <w:sz w:val="21"/>
              </w:rPr>
            </w:pPr>
          </w:p>
        </w:tc>
        <w:tc>
          <w:tcPr>
            <w:tcW w:w="219" w:type="dxa"/>
            <w:vAlign w:val="top"/>
          </w:tcPr>
          <w:p w14:paraId="1DC40816">
            <w:pPr>
              <w:rPr>
                <w:rFonts w:ascii="Arial"/>
                <w:sz w:val="21"/>
              </w:rPr>
            </w:pPr>
          </w:p>
        </w:tc>
        <w:tc>
          <w:tcPr>
            <w:tcW w:w="224" w:type="dxa"/>
            <w:vAlign w:val="top"/>
          </w:tcPr>
          <w:p w14:paraId="4B6CB589">
            <w:pPr>
              <w:rPr>
                <w:rFonts w:ascii="Arial"/>
                <w:sz w:val="21"/>
              </w:rPr>
            </w:pPr>
          </w:p>
        </w:tc>
      </w:tr>
      <w:tr w14:paraId="47602B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27" w:hRule="atLeast"/>
        </w:trPr>
        <w:tc>
          <w:tcPr>
            <w:tcW w:w="903" w:type="dxa"/>
            <w:vAlign w:val="top"/>
          </w:tcPr>
          <w:p w14:paraId="4B9A57B9">
            <w:pPr>
              <w:spacing w:line="256" w:lineRule="auto"/>
              <w:rPr>
                <w:rFonts w:ascii="Arial"/>
                <w:sz w:val="21"/>
              </w:rPr>
            </w:pPr>
          </w:p>
          <w:p w14:paraId="22E1D90C">
            <w:pPr>
              <w:spacing w:line="256" w:lineRule="auto"/>
              <w:rPr>
                <w:rFonts w:ascii="Arial"/>
                <w:sz w:val="21"/>
              </w:rPr>
            </w:pPr>
          </w:p>
          <w:p w14:paraId="3A5AA161">
            <w:pPr>
              <w:spacing w:line="256" w:lineRule="auto"/>
              <w:rPr>
                <w:rFonts w:ascii="Arial"/>
                <w:sz w:val="21"/>
              </w:rPr>
            </w:pPr>
          </w:p>
          <w:p w14:paraId="7306E5D7">
            <w:pPr>
              <w:spacing w:line="256" w:lineRule="auto"/>
              <w:rPr>
                <w:rFonts w:ascii="Arial"/>
                <w:sz w:val="21"/>
              </w:rPr>
            </w:pPr>
          </w:p>
          <w:p w14:paraId="5D876950">
            <w:pPr>
              <w:spacing w:line="257" w:lineRule="auto"/>
              <w:rPr>
                <w:rFonts w:ascii="Arial"/>
                <w:sz w:val="21"/>
              </w:rPr>
            </w:pPr>
          </w:p>
          <w:p w14:paraId="1AC6A201">
            <w:pPr>
              <w:spacing w:line="257" w:lineRule="auto"/>
              <w:rPr>
                <w:rFonts w:ascii="Arial"/>
                <w:sz w:val="21"/>
              </w:rPr>
            </w:pPr>
          </w:p>
          <w:p w14:paraId="2E41F4B0">
            <w:pPr>
              <w:pStyle w:val="6"/>
              <w:spacing w:before="56" w:line="230" w:lineRule="auto"/>
              <w:ind w:left="184" w:right="113" w:hanging="79"/>
            </w:pPr>
            <w:r>
              <w:rPr>
                <w:spacing w:val="-2"/>
              </w:rPr>
              <w:t>表格制作</w:t>
            </w:r>
            <w:r>
              <w:rPr>
                <w:spacing w:val="1"/>
              </w:rPr>
              <w:t xml:space="preserve"> </w:t>
            </w:r>
            <w:r>
              <w:rPr>
                <w:spacing w:val="-3"/>
              </w:rPr>
              <w:t>与美化</w:t>
            </w:r>
          </w:p>
        </w:tc>
        <w:tc>
          <w:tcPr>
            <w:tcW w:w="2304" w:type="dxa"/>
            <w:vAlign w:val="top"/>
          </w:tcPr>
          <w:p w14:paraId="13725DD7">
            <w:pPr>
              <w:spacing w:line="296" w:lineRule="auto"/>
              <w:rPr>
                <w:rFonts w:ascii="Arial"/>
                <w:sz w:val="21"/>
              </w:rPr>
            </w:pPr>
          </w:p>
          <w:p w14:paraId="7BFEA368">
            <w:pPr>
              <w:pStyle w:val="6"/>
              <w:spacing w:before="55" w:line="213" w:lineRule="auto"/>
              <w:ind w:left="11" w:right="1424"/>
            </w:pPr>
            <w:r>
              <w:rPr>
                <w:spacing w:val="1"/>
              </w:rPr>
              <w:t>1.创建表格</w:t>
            </w:r>
            <w:r>
              <w:t xml:space="preserve"> </w:t>
            </w:r>
            <w:r>
              <w:rPr>
                <w:spacing w:val="-2"/>
              </w:rPr>
              <w:t>2.编辑表格</w:t>
            </w:r>
          </w:p>
          <w:p w14:paraId="1A45F429">
            <w:pPr>
              <w:pStyle w:val="6"/>
              <w:spacing w:before="15" w:line="223" w:lineRule="auto"/>
              <w:ind w:left="11" w:right="207" w:firstLine="210"/>
            </w:pPr>
            <w:r>
              <w:rPr>
                <w:spacing w:val="-1"/>
              </w:rPr>
              <w:t>①单元格、行、列操作：</w:t>
            </w:r>
            <w:r>
              <w:rPr>
                <w:spacing w:val="4"/>
              </w:rPr>
              <w:t xml:space="preserve"> </w:t>
            </w:r>
            <w:r>
              <w:rPr>
                <w:spacing w:val="-1"/>
              </w:rPr>
              <w:t>选定、插入、删除</w:t>
            </w:r>
          </w:p>
          <w:p w14:paraId="5E464EAD">
            <w:pPr>
              <w:pStyle w:val="6"/>
              <w:spacing w:line="217" w:lineRule="auto"/>
              <w:ind w:left="252"/>
            </w:pPr>
            <w:r>
              <w:rPr>
                <w:spacing w:val="-1"/>
              </w:rPr>
              <w:t>②调整行高与列宽</w:t>
            </w:r>
          </w:p>
          <w:p w14:paraId="1C5E94F3">
            <w:pPr>
              <w:pStyle w:val="6"/>
              <w:spacing w:before="20" w:line="228" w:lineRule="auto"/>
              <w:ind w:left="11" w:right="17" w:firstLine="230"/>
            </w:pPr>
            <w:r>
              <w:rPr>
                <w:spacing w:val="-1"/>
              </w:rPr>
              <w:t>③合并与拆分单元格、表格</w:t>
            </w:r>
            <w:r>
              <w:rPr>
                <w:spacing w:val="5"/>
              </w:rPr>
              <w:t xml:space="preserve"> </w:t>
            </w:r>
            <w:r>
              <w:rPr>
                <w:spacing w:val="-2"/>
              </w:rPr>
              <w:t>3.表格的格式化</w:t>
            </w:r>
          </w:p>
          <w:p w14:paraId="616824FC">
            <w:pPr>
              <w:pStyle w:val="6"/>
              <w:spacing w:line="217" w:lineRule="auto"/>
              <w:ind w:left="242"/>
            </w:pPr>
            <w:r>
              <w:rPr>
                <w:spacing w:val="-1"/>
              </w:rPr>
              <w:t>①设置表格的边框和底纹</w:t>
            </w:r>
          </w:p>
          <w:p w14:paraId="60A10A11">
            <w:pPr>
              <w:pStyle w:val="6"/>
              <w:spacing w:before="20" w:line="225" w:lineRule="auto"/>
              <w:ind w:left="11" w:right="847" w:firstLine="249"/>
            </w:pPr>
            <w:r>
              <w:rPr>
                <w:spacing w:val="-1"/>
              </w:rPr>
              <w:t>②绘制斜线表头</w:t>
            </w:r>
            <w:r>
              <w:t xml:space="preserve"> </w:t>
            </w:r>
            <w:r>
              <w:rPr>
                <w:spacing w:val="-2"/>
              </w:rPr>
              <w:t>4.其他</w:t>
            </w:r>
          </w:p>
          <w:p w14:paraId="0C6423BA">
            <w:pPr>
              <w:pStyle w:val="6"/>
              <w:spacing w:before="5" w:line="217" w:lineRule="auto"/>
              <w:ind w:left="252"/>
            </w:pPr>
            <w:r>
              <w:rPr>
                <w:spacing w:val="-1"/>
              </w:rPr>
              <w:t>①表格属性</w:t>
            </w:r>
          </w:p>
          <w:p w14:paraId="4B8FD560">
            <w:pPr>
              <w:pStyle w:val="6"/>
              <w:spacing w:line="206" w:lineRule="auto"/>
              <w:ind w:left="261"/>
            </w:pPr>
            <w:r>
              <w:rPr>
                <w:spacing w:val="-1"/>
              </w:rPr>
              <w:t>②标题行重复</w:t>
            </w:r>
          </w:p>
          <w:p w14:paraId="1C113E39">
            <w:pPr>
              <w:pStyle w:val="6"/>
              <w:spacing w:line="217" w:lineRule="auto"/>
              <w:ind w:left="242"/>
            </w:pPr>
            <w:r>
              <w:rPr>
                <w:spacing w:val="-1"/>
              </w:rPr>
              <w:t>③表格数据的计算与排序</w:t>
            </w:r>
          </w:p>
          <w:p w14:paraId="69DC12F3">
            <w:pPr>
              <w:pStyle w:val="6"/>
              <w:spacing w:before="31" w:line="217" w:lineRule="auto"/>
              <w:ind w:left="242"/>
            </w:pPr>
            <w:r>
              <w:rPr>
                <w:spacing w:val="-1"/>
              </w:rPr>
              <w:t>④表格与文本的相互转化</w:t>
            </w:r>
          </w:p>
        </w:tc>
        <w:tc>
          <w:tcPr>
            <w:tcW w:w="230" w:type="dxa"/>
            <w:vAlign w:val="top"/>
          </w:tcPr>
          <w:p w14:paraId="1B8B47F6">
            <w:pPr>
              <w:rPr>
                <w:rFonts w:ascii="Arial"/>
                <w:sz w:val="21"/>
              </w:rPr>
            </w:pPr>
          </w:p>
        </w:tc>
        <w:tc>
          <w:tcPr>
            <w:tcW w:w="229" w:type="dxa"/>
            <w:vAlign w:val="top"/>
          </w:tcPr>
          <w:p w14:paraId="4BA6698B">
            <w:pPr>
              <w:rPr>
                <w:rFonts w:ascii="Arial"/>
                <w:sz w:val="21"/>
              </w:rPr>
            </w:pPr>
          </w:p>
        </w:tc>
        <w:tc>
          <w:tcPr>
            <w:tcW w:w="219" w:type="dxa"/>
            <w:vAlign w:val="top"/>
          </w:tcPr>
          <w:p w14:paraId="07445FE4">
            <w:pPr>
              <w:rPr>
                <w:rFonts w:ascii="Arial"/>
                <w:sz w:val="21"/>
              </w:rPr>
            </w:pPr>
          </w:p>
        </w:tc>
        <w:tc>
          <w:tcPr>
            <w:tcW w:w="224" w:type="dxa"/>
            <w:vAlign w:val="top"/>
          </w:tcPr>
          <w:p w14:paraId="70B6732A">
            <w:pPr>
              <w:rPr>
                <w:rFonts w:ascii="Arial"/>
                <w:sz w:val="21"/>
              </w:rPr>
            </w:pPr>
          </w:p>
        </w:tc>
      </w:tr>
      <w:tr w14:paraId="57A760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74" w:hRule="atLeast"/>
        </w:trPr>
        <w:tc>
          <w:tcPr>
            <w:tcW w:w="903" w:type="dxa"/>
            <w:vAlign w:val="top"/>
          </w:tcPr>
          <w:p w14:paraId="06C53269">
            <w:pPr>
              <w:spacing w:line="460" w:lineRule="auto"/>
              <w:rPr>
                <w:rFonts w:ascii="Arial"/>
                <w:sz w:val="21"/>
              </w:rPr>
            </w:pPr>
          </w:p>
          <w:p w14:paraId="335BCA31">
            <w:pPr>
              <w:pStyle w:val="6"/>
              <w:spacing w:before="55" w:line="236" w:lineRule="auto"/>
              <w:ind w:left="274" w:right="100" w:hanging="169"/>
            </w:pPr>
            <w:r>
              <w:rPr>
                <w:spacing w:val="1"/>
              </w:rPr>
              <w:t>图文混合</w:t>
            </w:r>
            <w:r>
              <w:rPr>
                <w:spacing w:val="2"/>
              </w:rPr>
              <w:t xml:space="preserve"> </w:t>
            </w:r>
            <w:r>
              <w:rPr>
                <w:spacing w:val="-2"/>
              </w:rPr>
              <w:t>排版</w:t>
            </w:r>
          </w:p>
        </w:tc>
        <w:tc>
          <w:tcPr>
            <w:tcW w:w="2304" w:type="dxa"/>
            <w:vAlign w:val="top"/>
          </w:tcPr>
          <w:p w14:paraId="6DDC9835">
            <w:pPr>
              <w:pStyle w:val="6"/>
              <w:spacing w:before="187" w:line="236" w:lineRule="auto"/>
              <w:ind w:left="11" w:right="236"/>
            </w:pPr>
            <w:r>
              <w:t>1.图片、艺术字插入与设置</w:t>
            </w:r>
            <w:r>
              <w:rPr>
                <w:spacing w:val="4"/>
              </w:rPr>
              <w:t xml:space="preserve"> </w:t>
            </w:r>
            <w:r>
              <w:rPr>
                <w:spacing w:val="-1"/>
              </w:rPr>
              <w:t>2.绘制与编辑图形</w:t>
            </w:r>
          </w:p>
          <w:p w14:paraId="527A1853">
            <w:pPr>
              <w:pStyle w:val="6"/>
              <w:spacing w:before="3" w:line="219" w:lineRule="auto"/>
              <w:ind w:left="11"/>
            </w:pPr>
            <w:r>
              <w:rPr>
                <w:spacing w:val="-1"/>
              </w:rPr>
              <w:t>3.文本框的插入与设置</w:t>
            </w:r>
          </w:p>
          <w:p w14:paraId="5D8E2683">
            <w:pPr>
              <w:pStyle w:val="6"/>
              <w:spacing w:before="29" w:line="225" w:lineRule="auto"/>
              <w:ind w:left="11" w:right="417"/>
            </w:pPr>
            <w:r>
              <w:rPr>
                <w:spacing w:val="-1"/>
              </w:rPr>
              <w:t>4.数学公式的插入和编辑</w:t>
            </w:r>
            <w:r>
              <w:rPr>
                <w:spacing w:val="5"/>
              </w:rPr>
              <w:t xml:space="preserve"> </w:t>
            </w:r>
            <w:r>
              <w:rPr>
                <w:spacing w:val="-1"/>
              </w:rPr>
              <w:t>5.图、文、表混排</w:t>
            </w:r>
          </w:p>
        </w:tc>
        <w:tc>
          <w:tcPr>
            <w:tcW w:w="230" w:type="dxa"/>
            <w:vAlign w:val="top"/>
          </w:tcPr>
          <w:p w14:paraId="48EBDC21">
            <w:pPr>
              <w:rPr>
                <w:rFonts w:ascii="Arial"/>
                <w:sz w:val="21"/>
              </w:rPr>
            </w:pPr>
          </w:p>
        </w:tc>
        <w:tc>
          <w:tcPr>
            <w:tcW w:w="229" w:type="dxa"/>
            <w:vAlign w:val="top"/>
          </w:tcPr>
          <w:p w14:paraId="3071DFEB">
            <w:pPr>
              <w:rPr>
                <w:rFonts w:ascii="Arial"/>
                <w:sz w:val="21"/>
              </w:rPr>
            </w:pPr>
          </w:p>
        </w:tc>
        <w:tc>
          <w:tcPr>
            <w:tcW w:w="219" w:type="dxa"/>
            <w:vAlign w:val="top"/>
          </w:tcPr>
          <w:p w14:paraId="3F8E8770">
            <w:pPr>
              <w:rPr>
                <w:rFonts w:ascii="Arial"/>
                <w:sz w:val="21"/>
              </w:rPr>
            </w:pPr>
          </w:p>
        </w:tc>
        <w:tc>
          <w:tcPr>
            <w:tcW w:w="224" w:type="dxa"/>
            <w:vAlign w:val="top"/>
          </w:tcPr>
          <w:p w14:paraId="5D172731">
            <w:pPr>
              <w:rPr>
                <w:rFonts w:ascii="Arial"/>
                <w:sz w:val="21"/>
              </w:rPr>
            </w:pPr>
          </w:p>
        </w:tc>
      </w:tr>
    </w:tbl>
    <w:p w14:paraId="4586D366">
      <w:pPr>
        <w:pStyle w:val="2"/>
        <w:spacing w:line="228" w:lineRule="exact"/>
        <w:rPr>
          <w:sz w:val="19"/>
        </w:rPr>
      </w:pPr>
    </w:p>
    <w:p w14:paraId="0BF439EF">
      <w:pPr>
        <w:spacing w:line="228" w:lineRule="exact"/>
        <w:rPr>
          <w:sz w:val="19"/>
          <w:szCs w:val="19"/>
        </w:rPr>
        <w:sectPr>
          <w:footerReference r:id="rId60" w:type="default"/>
          <w:pgSz w:w="10660" w:h="15080"/>
          <w:pgMar w:top="400" w:right="1045" w:bottom="926" w:left="819" w:header="0" w:footer="705" w:gutter="0"/>
          <w:cols w:space="720" w:num="1"/>
        </w:sectPr>
      </w:pPr>
    </w:p>
    <w:p w14:paraId="4C673BDB">
      <w:pPr>
        <w:spacing w:before="10"/>
      </w:pPr>
    </w:p>
    <w:p w14:paraId="03CD7F26">
      <w:pPr>
        <w:spacing w:before="10"/>
      </w:pPr>
    </w:p>
    <w:p w14:paraId="19EE49EF">
      <w:pPr>
        <w:spacing w:before="10"/>
      </w:pPr>
    </w:p>
    <w:p w14:paraId="07D72332">
      <w:pPr>
        <w:spacing w:before="9"/>
      </w:pPr>
    </w:p>
    <w:p w14:paraId="1E61F4D5">
      <w:pPr>
        <w:sectPr>
          <w:footerReference r:id="rId61" w:type="default"/>
          <w:pgSz w:w="10660" w:h="15080"/>
          <w:pgMar w:top="400" w:right="885" w:bottom="925" w:left="1024" w:header="0" w:footer="705" w:gutter="0"/>
          <w:cols w:equalWidth="0" w:num="1">
            <w:col w:w="8750"/>
          </w:cols>
        </w:sectPr>
      </w:pPr>
    </w:p>
    <w:p w14:paraId="1678BCA3">
      <w:pPr>
        <w:spacing w:line="222" w:lineRule="auto"/>
        <w:ind w:left="157"/>
        <w:rPr>
          <w:rFonts w:ascii="黑体" w:hAnsi="黑体" w:eastAsia="黑体" w:cs="黑体"/>
          <w:sz w:val="20"/>
          <w:szCs w:val="20"/>
        </w:rPr>
      </w:pPr>
      <w:r>
        <w:rPr>
          <w:rFonts w:ascii="黑体" w:hAnsi="黑体" w:eastAsia="黑体" w:cs="黑体"/>
          <w:b/>
          <w:bCs/>
          <w:spacing w:val="-3"/>
          <w:sz w:val="20"/>
          <w:szCs w:val="20"/>
        </w:rPr>
        <w:t>专题五</w:t>
      </w:r>
      <w:r>
        <w:rPr>
          <w:rFonts w:ascii="黑体" w:hAnsi="黑体" w:eastAsia="黑体" w:cs="黑体"/>
          <w:spacing w:val="-3"/>
          <w:sz w:val="20"/>
          <w:szCs w:val="20"/>
        </w:rPr>
        <w:t xml:space="preserve">  </w:t>
      </w:r>
      <w:r>
        <w:rPr>
          <w:rFonts w:ascii="宋体" w:hAnsi="宋体" w:eastAsia="宋体" w:cs="宋体"/>
          <w:b/>
          <w:bCs/>
          <w:spacing w:val="-3"/>
          <w:sz w:val="20"/>
          <w:szCs w:val="20"/>
        </w:rPr>
        <w:t>Excel</w:t>
      </w:r>
      <w:r>
        <w:rPr>
          <w:rFonts w:ascii="宋体" w:hAnsi="宋体" w:eastAsia="宋体" w:cs="宋体"/>
          <w:spacing w:val="-3"/>
          <w:sz w:val="20"/>
          <w:szCs w:val="20"/>
        </w:rPr>
        <w:t xml:space="preserve"> </w:t>
      </w:r>
      <w:r>
        <w:rPr>
          <w:rFonts w:ascii="宋体" w:hAnsi="宋体" w:eastAsia="宋体" w:cs="宋体"/>
          <w:b/>
          <w:bCs/>
          <w:spacing w:val="-3"/>
          <w:sz w:val="20"/>
          <w:szCs w:val="20"/>
        </w:rPr>
        <w:t>2016</w:t>
      </w:r>
      <w:r>
        <w:rPr>
          <w:rFonts w:ascii="宋体" w:hAnsi="宋体" w:eastAsia="宋体" w:cs="宋体"/>
          <w:spacing w:val="-40"/>
          <w:sz w:val="20"/>
          <w:szCs w:val="20"/>
        </w:rPr>
        <w:t xml:space="preserve"> </w:t>
      </w:r>
      <w:r>
        <w:rPr>
          <w:rFonts w:ascii="黑体" w:hAnsi="黑体" w:eastAsia="黑体" w:cs="黑体"/>
          <w:b/>
          <w:bCs/>
          <w:spacing w:val="-3"/>
          <w:sz w:val="20"/>
          <w:szCs w:val="20"/>
        </w:rPr>
        <w:t>电子表格处理软件应用</w:t>
      </w:r>
    </w:p>
    <w:p w14:paraId="70D2A2CD">
      <w:pPr>
        <w:spacing w:line="88" w:lineRule="exact"/>
      </w:pPr>
    </w:p>
    <w:tbl>
      <w:tblPr>
        <w:tblStyle w:val="5"/>
        <w:tblW w:w="410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83"/>
        <w:gridCol w:w="2314"/>
        <w:gridCol w:w="239"/>
        <w:gridCol w:w="230"/>
        <w:gridCol w:w="220"/>
        <w:gridCol w:w="214"/>
      </w:tblGrid>
      <w:tr w14:paraId="1AFE0B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0" w:hRule="atLeast"/>
        </w:trPr>
        <w:tc>
          <w:tcPr>
            <w:tcW w:w="883" w:type="dxa"/>
            <w:vMerge w:val="restart"/>
            <w:tcBorders>
              <w:top w:val="single" w:color="000000" w:sz="2" w:space="0"/>
              <w:bottom w:val="nil"/>
            </w:tcBorders>
            <w:vAlign w:val="top"/>
          </w:tcPr>
          <w:p w14:paraId="394DD1F8">
            <w:pPr>
              <w:pStyle w:val="6"/>
              <w:spacing w:before="106" w:line="214" w:lineRule="auto"/>
              <w:ind w:left="257" w:right="1" w:hanging="240"/>
              <w:rPr>
                <w:sz w:val="18"/>
                <w:szCs w:val="18"/>
              </w:rPr>
            </w:pPr>
            <w:r>
              <w:rPr>
                <w:b/>
                <w:bCs/>
                <w:spacing w:val="-13"/>
                <w:sz w:val="18"/>
                <w:szCs w:val="18"/>
              </w:rPr>
              <w:t>知</w:t>
            </w:r>
            <w:r>
              <w:rPr>
                <w:b/>
                <w:bCs/>
                <w:spacing w:val="-12"/>
                <w:sz w:val="18"/>
                <w:szCs w:val="18"/>
              </w:rPr>
              <w:t>识与技</w:t>
            </w:r>
            <w:r>
              <w:rPr>
                <w:b/>
                <w:bCs/>
                <w:spacing w:val="-11"/>
                <w:sz w:val="18"/>
                <w:szCs w:val="18"/>
              </w:rPr>
              <w:t>能</w:t>
            </w:r>
            <w:r>
              <w:rPr>
                <w:spacing w:val="3"/>
                <w:sz w:val="18"/>
                <w:szCs w:val="18"/>
              </w:rPr>
              <w:t xml:space="preserve"> </w:t>
            </w:r>
            <w:r>
              <w:rPr>
                <w:b/>
                <w:bCs/>
                <w:spacing w:val="-4"/>
                <w:sz w:val="18"/>
                <w:szCs w:val="18"/>
              </w:rPr>
              <w:t>要点</w:t>
            </w:r>
          </w:p>
        </w:tc>
        <w:tc>
          <w:tcPr>
            <w:tcW w:w="2314" w:type="dxa"/>
            <w:vMerge w:val="restart"/>
            <w:tcBorders>
              <w:top w:val="single" w:color="000000" w:sz="2" w:space="0"/>
              <w:bottom w:val="nil"/>
            </w:tcBorders>
            <w:vAlign w:val="top"/>
          </w:tcPr>
          <w:p w14:paraId="47FAA6E9">
            <w:pPr>
              <w:pStyle w:val="6"/>
              <w:spacing w:before="215" w:line="219" w:lineRule="auto"/>
              <w:ind w:left="844"/>
              <w:rPr>
                <w:sz w:val="18"/>
                <w:szCs w:val="18"/>
              </w:rPr>
            </w:pPr>
            <w:r>
              <w:rPr>
                <w:b/>
                <w:bCs/>
                <w:spacing w:val="5"/>
                <w:sz w:val="18"/>
                <w:szCs w:val="18"/>
              </w:rPr>
              <w:t>考试条目</w:t>
            </w:r>
          </w:p>
        </w:tc>
        <w:tc>
          <w:tcPr>
            <w:tcW w:w="903" w:type="dxa"/>
            <w:gridSpan w:val="4"/>
            <w:tcBorders>
              <w:top w:val="single" w:color="000000" w:sz="2" w:space="0"/>
              <w:bottom w:val="single" w:color="000000" w:sz="2" w:space="0"/>
            </w:tcBorders>
            <w:vAlign w:val="top"/>
          </w:tcPr>
          <w:p w14:paraId="5DCF0BB1">
            <w:pPr>
              <w:pStyle w:val="6"/>
              <w:spacing w:before="55" w:line="219" w:lineRule="auto"/>
              <w:ind w:left="140"/>
              <w:rPr>
                <w:sz w:val="18"/>
                <w:szCs w:val="18"/>
              </w:rPr>
            </w:pPr>
            <w:r>
              <w:rPr>
                <w:b/>
                <w:bCs/>
                <w:spacing w:val="-4"/>
                <w:sz w:val="18"/>
                <w:szCs w:val="18"/>
              </w:rPr>
              <w:t>考试水平</w:t>
            </w:r>
          </w:p>
        </w:tc>
      </w:tr>
      <w:tr w14:paraId="2D3AF0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5" w:hRule="atLeast"/>
        </w:trPr>
        <w:tc>
          <w:tcPr>
            <w:tcW w:w="883" w:type="dxa"/>
            <w:vMerge w:val="continue"/>
            <w:tcBorders>
              <w:top w:val="nil"/>
              <w:bottom w:val="single" w:color="000000" w:sz="2" w:space="0"/>
            </w:tcBorders>
            <w:vAlign w:val="top"/>
          </w:tcPr>
          <w:p w14:paraId="41A728F8">
            <w:pPr>
              <w:rPr>
                <w:rFonts w:ascii="Arial"/>
                <w:sz w:val="21"/>
              </w:rPr>
            </w:pPr>
          </w:p>
        </w:tc>
        <w:tc>
          <w:tcPr>
            <w:tcW w:w="2314" w:type="dxa"/>
            <w:vMerge w:val="continue"/>
            <w:tcBorders>
              <w:top w:val="nil"/>
              <w:bottom w:val="single" w:color="000000" w:sz="2" w:space="0"/>
            </w:tcBorders>
            <w:vAlign w:val="top"/>
          </w:tcPr>
          <w:p w14:paraId="18B439B6">
            <w:pPr>
              <w:rPr>
                <w:rFonts w:ascii="Arial"/>
                <w:sz w:val="21"/>
              </w:rPr>
            </w:pPr>
          </w:p>
        </w:tc>
        <w:tc>
          <w:tcPr>
            <w:tcW w:w="239" w:type="dxa"/>
            <w:tcBorders>
              <w:top w:val="single" w:color="000000" w:sz="2" w:space="0"/>
              <w:bottom w:val="single" w:color="000000" w:sz="2" w:space="0"/>
            </w:tcBorders>
            <w:vAlign w:val="top"/>
          </w:tcPr>
          <w:p w14:paraId="07643D55">
            <w:pPr>
              <w:pStyle w:val="6"/>
              <w:spacing w:before="107" w:line="184" w:lineRule="auto"/>
              <w:ind w:left="70"/>
              <w:rPr>
                <w:sz w:val="18"/>
                <w:szCs w:val="18"/>
              </w:rPr>
            </w:pPr>
            <w:r>
              <w:rPr>
                <w:b/>
                <w:bCs/>
                <w:spacing w:val="-2"/>
                <w:sz w:val="18"/>
                <w:szCs w:val="18"/>
              </w:rPr>
              <w:t>A</w:t>
            </w:r>
          </w:p>
        </w:tc>
        <w:tc>
          <w:tcPr>
            <w:tcW w:w="230" w:type="dxa"/>
            <w:tcBorders>
              <w:top w:val="single" w:color="000000" w:sz="2" w:space="0"/>
              <w:bottom w:val="single" w:color="000000" w:sz="2" w:space="0"/>
            </w:tcBorders>
            <w:vAlign w:val="top"/>
          </w:tcPr>
          <w:p w14:paraId="325D32C6">
            <w:pPr>
              <w:pStyle w:val="6"/>
              <w:spacing w:before="109" w:line="182" w:lineRule="auto"/>
              <w:ind w:left="21"/>
              <w:rPr>
                <w:sz w:val="18"/>
                <w:szCs w:val="18"/>
              </w:rPr>
            </w:pPr>
            <w:r>
              <w:rPr>
                <w:b/>
                <w:bCs/>
                <w:spacing w:val="-2"/>
                <w:sz w:val="18"/>
                <w:szCs w:val="18"/>
              </w:rPr>
              <w:t>B</w:t>
            </w:r>
          </w:p>
        </w:tc>
        <w:tc>
          <w:tcPr>
            <w:tcW w:w="220" w:type="dxa"/>
            <w:tcBorders>
              <w:top w:val="single" w:color="000000" w:sz="2" w:space="0"/>
              <w:bottom w:val="single" w:color="000000" w:sz="2" w:space="0"/>
            </w:tcBorders>
            <w:vAlign w:val="top"/>
          </w:tcPr>
          <w:p w14:paraId="7C352B24">
            <w:pPr>
              <w:pStyle w:val="6"/>
              <w:spacing w:before="107" w:line="183" w:lineRule="auto"/>
              <w:ind w:left="21"/>
              <w:rPr>
                <w:sz w:val="18"/>
                <w:szCs w:val="18"/>
              </w:rPr>
            </w:pPr>
            <w:r>
              <w:rPr>
                <w:b/>
                <w:bCs/>
                <w:spacing w:val="-2"/>
                <w:sz w:val="18"/>
                <w:szCs w:val="18"/>
              </w:rPr>
              <w:t>C</w:t>
            </w:r>
          </w:p>
        </w:tc>
        <w:tc>
          <w:tcPr>
            <w:tcW w:w="214" w:type="dxa"/>
            <w:tcBorders>
              <w:top w:val="single" w:color="000000" w:sz="2" w:space="0"/>
              <w:bottom w:val="single" w:color="000000" w:sz="2" w:space="0"/>
            </w:tcBorders>
            <w:vAlign w:val="top"/>
          </w:tcPr>
          <w:p w14:paraId="3332C259">
            <w:pPr>
              <w:pStyle w:val="6"/>
              <w:spacing w:before="109" w:line="182" w:lineRule="auto"/>
              <w:ind w:left="61"/>
              <w:rPr>
                <w:sz w:val="18"/>
                <w:szCs w:val="18"/>
              </w:rPr>
            </w:pPr>
            <w:r>
              <w:rPr>
                <w:b/>
                <w:bCs/>
                <w:spacing w:val="-2"/>
                <w:sz w:val="18"/>
                <w:szCs w:val="18"/>
              </w:rPr>
              <w:t>D</w:t>
            </w:r>
          </w:p>
        </w:tc>
      </w:tr>
      <w:tr w14:paraId="445876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63" w:hRule="atLeast"/>
        </w:trPr>
        <w:tc>
          <w:tcPr>
            <w:tcW w:w="883" w:type="dxa"/>
            <w:tcBorders>
              <w:top w:val="single" w:color="000000" w:sz="2" w:space="0"/>
              <w:bottom w:val="single" w:color="000000" w:sz="2" w:space="0"/>
            </w:tcBorders>
            <w:vAlign w:val="top"/>
          </w:tcPr>
          <w:p w14:paraId="31010585">
            <w:pPr>
              <w:spacing w:line="272" w:lineRule="auto"/>
              <w:rPr>
                <w:rFonts w:ascii="Arial"/>
                <w:sz w:val="21"/>
              </w:rPr>
            </w:pPr>
          </w:p>
          <w:p w14:paraId="69D117B4">
            <w:pPr>
              <w:spacing w:line="272" w:lineRule="auto"/>
              <w:rPr>
                <w:rFonts w:ascii="Arial"/>
                <w:sz w:val="21"/>
              </w:rPr>
            </w:pPr>
          </w:p>
          <w:p w14:paraId="388F2733">
            <w:pPr>
              <w:spacing w:line="272" w:lineRule="auto"/>
              <w:rPr>
                <w:rFonts w:ascii="Arial"/>
                <w:sz w:val="21"/>
              </w:rPr>
            </w:pPr>
          </w:p>
          <w:p w14:paraId="4A9A24C2">
            <w:pPr>
              <w:spacing w:line="272" w:lineRule="auto"/>
              <w:rPr>
                <w:rFonts w:ascii="Arial"/>
                <w:sz w:val="21"/>
              </w:rPr>
            </w:pPr>
          </w:p>
          <w:p w14:paraId="0678F943">
            <w:pPr>
              <w:spacing w:line="273" w:lineRule="auto"/>
              <w:rPr>
                <w:rFonts w:ascii="Arial"/>
                <w:sz w:val="21"/>
              </w:rPr>
            </w:pPr>
          </w:p>
          <w:p w14:paraId="74894E32">
            <w:pPr>
              <w:spacing w:line="273" w:lineRule="auto"/>
              <w:rPr>
                <w:rFonts w:ascii="Arial"/>
                <w:sz w:val="21"/>
              </w:rPr>
            </w:pPr>
          </w:p>
          <w:p w14:paraId="28B16918">
            <w:pPr>
              <w:pStyle w:val="6"/>
              <w:spacing w:before="58" w:line="204" w:lineRule="auto"/>
              <w:ind w:left="75"/>
              <w:rPr>
                <w:sz w:val="18"/>
                <w:szCs w:val="18"/>
              </w:rPr>
            </w:pPr>
            <w:r>
              <w:rPr>
                <w:spacing w:val="3"/>
                <w:sz w:val="18"/>
                <w:szCs w:val="18"/>
              </w:rPr>
              <w:t>工作表的</w:t>
            </w:r>
          </w:p>
          <w:p w14:paraId="7C570DD4">
            <w:pPr>
              <w:pStyle w:val="6"/>
              <w:spacing w:line="219" w:lineRule="auto"/>
              <w:ind w:left="75"/>
              <w:rPr>
                <w:sz w:val="18"/>
                <w:szCs w:val="18"/>
              </w:rPr>
            </w:pPr>
            <w:r>
              <w:rPr>
                <w:spacing w:val="-2"/>
                <w:sz w:val="18"/>
                <w:szCs w:val="18"/>
              </w:rPr>
              <w:t>编辑与数</w:t>
            </w:r>
          </w:p>
          <w:p w14:paraId="6C8789C2">
            <w:pPr>
              <w:pStyle w:val="6"/>
              <w:spacing w:before="26" w:line="219" w:lineRule="auto"/>
              <w:ind w:left="165"/>
              <w:rPr>
                <w:sz w:val="18"/>
                <w:szCs w:val="18"/>
              </w:rPr>
            </w:pPr>
            <w:r>
              <w:rPr>
                <w:spacing w:val="-2"/>
                <w:sz w:val="18"/>
                <w:szCs w:val="18"/>
              </w:rPr>
              <w:t>据输入</w:t>
            </w:r>
          </w:p>
        </w:tc>
        <w:tc>
          <w:tcPr>
            <w:tcW w:w="2314" w:type="dxa"/>
            <w:tcBorders>
              <w:top w:val="single" w:color="000000" w:sz="2" w:space="0"/>
              <w:bottom w:val="single" w:color="000000" w:sz="2" w:space="0"/>
            </w:tcBorders>
            <w:vAlign w:val="top"/>
          </w:tcPr>
          <w:p w14:paraId="6196C10B">
            <w:pPr>
              <w:pStyle w:val="6"/>
              <w:spacing w:before="42" w:line="220" w:lineRule="auto"/>
              <w:ind w:left="12"/>
              <w:rPr>
                <w:sz w:val="18"/>
                <w:szCs w:val="18"/>
              </w:rPr>
            </w:pPr>
            <w:r>
              <w:rPr>
                <w:spacing w:val="2"/>
                <w:sz w:val="18"/>
                <w:szCs w:val="18"/>
              </w:rPr>
              <w:t>1.</w:t>
            </w:r>
            <w:r>
              <w:rPr>
                <w:sz w:val="18"/>
                <w:szCs w:val="18"/>
              </w:rPr>
              <w:t>Excel</w:t>
            </w:r>
            <w:r>
              <w:rPr>
                <w:spacing w:val="2"/>
                <w:sz w:val="18"/>
                <w:szCs w:val="18"/>
              </w:rPr>
              <w:t>的启动与退出</w:t>
            </w:r>
          </w:p>
          <w:p w14:paraId="37647EAE">
            <w:pPr>
              <w:pStyle w:val="6"/>
              <w:spacing w:before="16" w:line="216" w:lineRule="auto"/>
              <w:ind w:left="12"/>
              <w:rPr>
                <w:sz w:val="18"/>
                <w:szCs w:val="18"/>
              </w:rPr>
            </w:pPr>
            <w:r>
              <w:rPr>
                <w:spacing w:val="-6"/>
                <w:sz w:val="18"/>
                <w:szCs w:val="18"/>
              </w:rPr>
              <w:t>2.Excel工作窗口的组成及工</w:t>
            </w:r>
            <w:r>
              <w:rPr>
                <w:spacing w:val="1"/>
                <w:sz w:val="18"/>
                <w:szCs w:val="18"/>
              </w:rPr>
              <w:t xml:space="preserve">  </w:t>
            </w:r>
            <w:r>
              <w:rPr>
                <w:spacing w:val="-4"/>
                <w:sz w:val="18"/>
                <w:szCs w:val="18"/>
              </w:rPr>
              <w:t>作表基本操作：新建、保存、</w:t>
            </w:r>
          </w:p>
          <w:p w14:paraId="20691DBC">
            <w:pPr>
              <w:pStyle w:val="6"/>
              <w:spacing w:before="26" w:line="205" w:lineRule="auto"/>
              <w:ind w:left="12"/>
              <w:rPr>
                <w:sz w:val="18"/>
                <w:szCs w:val="18"/>
              </w:rPr>
            </w:pPr>
            <w:r>
              <w:rPr>
                <w:spacing w:val="-2"/>
                <w:sz w:val="18"/>
                <w:szCs w:val="18"/>
              </w:rPr>
              <w:t>保护、删除</w:t>
            </w:r>
          </w:p>
          <w:p w14:paraId="030A7BE2">
            <w:pPr>
              <w:pStyle w:val="6"/>
              <w:spacing w:line="231" w:lineRule="auto"/>
              <w:ind w:left="22"/>
              <w:rPr>
                <w:sz w:val="18"/>
                <w:szCs w:val="18"/>
              </w:rPr>
            </w:pPr>
            <w:r>
              <w:rPr>
                <w:spacing w:val="-9"/>
                <w:sz w:val="18"/>
                <w:szCs w:val="18"/>
              </w:rPr>
              <w:t>3.Excel的基本概念：工作簿、</w:t>
            </w:r>
            <w:r>
              <w:rPr>
                <w:spacing w:val="3"/>
                <w:sz w:val="18"/>
                <w:szCs w:val="18"/>
              </w:rPr>
              <w:t xml:space="preserve"> </w:t>
            </w:r>
            <w:r>
              <w:rPr>
                <w:spacing w:val="-18"/>
                <w:sz w:val="18"/>
                <w:szCs w:val="18"/>
              </w:rPr>
              <w:t>工作表、单元格、活动单元格、</w:t>
            </w:r>
          </w:p>
          <w:p w14:paraId="08B7D91D">
            <w:pPr>
              <w:pStyle w:val="6"/>
              <w:spacing w:line="219" w:lineRule="auto"/>
              <w:ind w:left="12" w:right="1212"/>
              <w:rPr>
                <w:sz w:val="18"/>
                <w:szCs w:val="18"/>
              </w:rPr>
            </w:pPr>
            <w:r>
              <w:rPr>
                <w:spacing w:val="-2"/>
                <w:sz w:val="18"/>
                <w:szCs w:val="18"/>
              </w:rPr>
              <w:t>单元格区域</w:t>
            </w:r>
            <w:r>
              <w:rPr>
                <w:sz w:val="18"/>
                <w:szCs w:val="18"/>
              </w:rPr>
              <w:t xml:space="preserve">   </w:t>
            </w:r>
            <w:r>
              <w:rPr>
                <w:spacing w:val="-1"/>
                <w:sz w:val="18"/>
                <w:szCs w:val="18"/>
              </w:rPr>
              <w:t>4.输入数据：</w:t>
            </w:r>
          </w:p>
          <w:p w14:paraId="34751F8B">
            <w:pPr>
              <w:pStyle w:val="6"/>
              <w:spacing w:before="1" w:line="224" w:lineRule="auto"/>
              <w:ind w:left="12"/>
              <w:rPr>
                <w:sz w:val="18"/>
                <w:szCs w:val="18"/>
              </w:rPr>
            </w:pPr>
            <w:r>
              <w:rPr>
                <w:spacing w:val="-4"/>
                <w:sz w:val="18"/>
                <w:szCs w:val="18"/>
              </w:rPr>
              <w:t>①不同类型数据的输入方法：</w:t>
            </w:r>
            <w:r>
              <w:rPr>
                <w:spacing w:val="2"/>
                <w:sz w:val="18"/>
                <w:szCs w:val="18"/>
              </w:rPr>
              <w:t xml:space="preserve"> </w:t>
            </w:r>
            <w:r>
              <w:rPr>
                <w:spacing w:val="-1"/>
                <w:sz w:val="18"/>
                <w:szCs w:val="18"/>
              </w:rPr>
              <w:t>数值数据、文本数据、日期</w:t>
            </w:r>
            <w:r>
              <w:rPr>
                <w:spacing w:val="3"/>
                <w:sz w:val="18"/>
                <w:szCs w:val="18"/>
              </w:rPr>
              <w:t xml:space="preserve">  </w:t>
            </w:r>
            <w:r>
              <w:rPr>
                <w:spacing w:val="-4"/>
                <w:sz w:val="18"/>
                <w:szCs w:val="18"/>
              </w:rPr>
              <w:t>和时间数据、特定格式数据</w:t>
            </w:r>
          </w:p>
          <w:p w14:paraId="2E5881DD">
            <w:pPr>
              <w:pStyle w:val="6"/>
              <w:spacing w:before="4" w:line="217" w:lineRule="auto"/>
              <w:ind w:left="12"/>
              <w:rPr>
                <w:sz w:val="18"/>
                <w:szCs w:val="18"/>
              </w:rPr>
            </w:pPr>
            <w:r>
              <w:rPr>
                <w:spacing w:val="-1"/>
                <w:sz w:val="18"/>
                <w:szCs w:val="18"/>
              </w:rPr>
              <w:t>②Excel的自动填充功能</w:t>
            </w:r>
          </w:p>
          <w:p w14:paraId="1F50DDD2">
            <w:pPr>
              <w:pStyle w:val="6"/>
              <w:spacing w:before="1" w:line="224" w:lineRule="auto"/>
              <w:ind w:left="12" w:right="131"/>
              <w:rPr>
                <w:sz w:val="18"/>
                <w:szCs w:val="18"/>
              </w:rPr>
            </w:pPr>
            <w:r>
              <w:rPr>
                <w:spacing w:val="-1"/>
                <w:sz w:val="18"/>
                <w:szCs w:val="18"/>
              </w:rPr>
              <w:t>5.组织和管理工作表：重命</w:t>
            </w:r>
            <w:r>
              <w:rPr>
                <w:spacing w:val="1"/>
                <w:sz w:val="18"/>
                <w:szCs w:val="18"/>
              </w:rPr>
              <w:t xml:space="preserve"> </w:t>
            </w:r>
            <w:r>
              <w:rPr>
                <w:sz w:val="18"/>
                <w:szCs w:val="18"/>
              </w:rPr>
              <w:t xml:space="preserve">名、添加或删除、移动或复 </w:t>
            </w:r>
            <w:r>
              <w:rPr>
                <w:spacing w:val="-2"/>
                <w:sz w:val="18"/>
                <w:szCs w:val="18"/>
              </w:rPr>
              <w:t>制工作表</w:t>
            </w:r>
          </w:p>
          <w:p w14:paraId="6C342272">
            <w:pPr>
              <w:pStyle w:val="6"/>
              <w:spacing w:before="15" w:line="219" w:lineRule="auto"/>
              <w:ind w:left="12"/>
              <w:rPr>
                <w:sz w:val="18"/>
                <w:szCs w:val="18"/>
              </w:rPr>
            </w:pPr>
            <w:r>
              <w:rPr>
                <w:spacing w:val="-1"/>
                <w:sz w:val="18"/>
                <w:szCs w:val="18"/>
              </w:rPr>
              <w:t>6.查找与替换单元格数据</w:t>
            </w:r>
          </w:p>
          <w:p w14:paraId="609288E5">
            <w:pPr>
              <w:pStyle w:val="6"/>
              <w:spacing w:before="26" w:line="190" w:lineRule="auto"/>
              <w:ind w:left="12" w:right="41"/>
              <w:rPr>
                <w:sz w:val="18"/>
                <w:szCs w:val="18"/>
              </w:rPr>
            </w:pPr>
            <w:r>
              <w:rPr>
                <w:spacing w:val="6"/>
                <w:sz w:val="18"/>
                <w:szCs w:val="18"/>
              </w:rPr>
              <w:t>7.编辑单元格数据：修改、</w:t>
            </w:r>
            <w:r>
              <w:rPr>
                <w:spacing w:val="11"/>
                <w:sz w:val="18"/>
                <w:szCs w:val="18"/>
              </w:rPr>
              <w:t xml:space="preserve"> </w:t>
            </w:r>
            <w:r>
              <w:rPr>
                <w:spacing w:val="-1"/>
                <w:sz w:val="18"/>
                <w:szCs w:val="18"/>
              </w:rPr>
              <w:t>清除、复制与移动</w:t>
            </w:r>
          </w:p>
        </w:tc>
        <w:tc>
          <w:tcPr>
            <w:tcW w:w="239" w:type="dxa"/>
            <w:tcBorders>
              <w:top w:val="single" w:color="000000" w:sz="2" w:space="0"/>
              <w:bottom w:val="single" w:color="000000" w:sz="2" w:space="0"/>
            </w:tcBorders>
            <w:vAlign w:val="top"/>
          </w:tcPr>
          <w:p w14:paraId="57632EC8">
            <w:pPr>
              <w:pStyle w:val="6"/>
              <w:spacing w:before="71" w:line="238" w:lineRule="auto"/>
              <w:ind w:left="58"/>
              <w:rPr>
                <w:sz w:val="12"/>
                <w:szCs w:val="12"/>
              </w:rPr>
            </w:pPr>
            <w:r>
              <w:rPr>
                <w:sz w:val="12"/>
                <w:szCs w:val="12"/>
              </w:rPr>
              <w:t>√</w:t>
            </w:r>
          </w:p>
        </w:tc>
        <w:tc>
          <w:tcPr>
            <w:tcW w:w="230" w:type="dxa"/>
            <w:tcBorders>
              <w:top w:val="single" w:color="000000" w:sz="2" w:space="0"/>
              <w:bottom w:val="single" w:color="000000" w:sz="2" w:space="0"/>
            </w:tcBorders>
            <w:vAlign w:val="top"/>
          </w:tcPr>
          <w:p w14:paraId="4DFBC61E">
            <w:pPr>
              <w:rPr>
                <w:rFonts w:ascii="Arial"/>
                <w:sz w:val="21"/>
              </w:rPr>
            </w:pPr>
          </w:p>
        </w:tc>
        <w:tc>
          <w:tcPr>
            <w:tcW w:w="220" w:type="dxa"/>
            <w:tcBorders>
              <w:top w:val="single" w:color="000000" w:sz="2" w:space="0"/>
              <w:bottom w:val="single" w:color="000000" w:sz="2" w:space="0"/>
            </w:tcBorders>
            <w:vAlign w:val="top"/>
          </w:tcPr>
          <w:p w14:paraId="1720D7C6">
            <w:pPr>
              <w:rPr>
                <w:rFonts w:ascii="Arial"/>
                <w:sz w:val="21"/>
              </w:rPr>
            </w:pPr>
          </w:p>
        </w:tc>
        <w:tc>
          <w:tcPr>
            <w:tcW w:w="214" w:type="dxa"/>
            <w:tcBorders>
              <w:top w:val="single" w:color="000000" w:sz="2" w:space="0"/>
              <w:bottom w:val="single" w:color="000000" w:sz="2" w:space="0"/>
            </w:tcBorders>
            <w:vAlign w:val="top"/>
          </w:tcPr>
          <w:p w14:paraId="54EB107A">
            <w:pPr>
              <w:rPr>
                <w:rFonts w:ascii="Arial"/>
                <w:sz w:val="21"/>
              </w:rPr>
            </w:pPr>
          </w:p>
        </w:tc>
      </w:tr>
      <w:tr w14:paraId="3C8D1C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63" w:hRule="atLeast"/>
        </w:trPr>
        <w:tc>
          <w:tcPr>
            <w:tcW w:w="883" w:type="dxa"/>
            <w:tcBorders>
              <w:top w:val="single" w:color="000000" w:sz="2" w:space="0"/>
              <w:bottom w:val="single" w:color="000000" w:sz="2" w:space="0"/>
            </w:tcBorders>
            <w:vAlign w:val="top"/>
          </w:tcPr>
          <w:p w14:paraId="6825AF1D">
            <w:pPr>
              <w:spacing w:line="292" w:lineRule="auto"/>
              <w:rPr>
                <w:rFonts w:ascii="Arial"/>
                <w:sz w:val="21"/>
              </w:rPr>
            </w:pPr>
          </w:p>
          <w:p w14:paraId="36D46048">
            <w:pPr>
              <w:spacing w:line="292" w:lineRule="auto"/>
              <w:rPr>
                <w:rFonts w:ascii="Arial"/>
                <w:sz w:val="21"/>
              </w:rPr>
            </w:pPr>
          </w:p>
          <w:p w14:paraId="37C253CC">
            <w:pPr>
              <w:spacing w:line="292" w:lineRule="auto"/>
              <w:rPr>
                <w:rFonts w:ascii="Arial"/>
                <w:sz w:val="21"/>
              </w:rPr>
            </w:pPr>
          </w:p>
          <w:p w14:paraId="2F69BEE4">
            <w:pPr>
              <w:spacing w:line="292" w:lineRule="auto"/>
              <w:rPr>
                <w:rFonts w:ascii="Arial"/>
                <w:sz w:val="21"/>
              </w:rPr>
            </w:pPr>
          </w:p>
          <w:p w14:paraId="536C6888">
            <w:pPr>
              <w:pStyle w:val="6"/>
              <w:spacing w:before="59" w:line="220" w:lineRule="auto"/>
              <w:ind w:left="75"/>
              <w:rPr>
                <w:sz w:val="18"/>
                <w:szCs w:val="18"/>
              </w:rPr>
            </w:pPr>
            <w:r>
              <w:rPr>
                <w:spacing w:val="3"/>
                <w:sz w:val="18"/>
                <w:szCs w:val="18"/>
              </w:rPr>
              <w:t>工作表的</w:t>
            </w:r>
          </w:p>
          <w:p w14:paraId="3EE14143">
            <w:pPr>
              <w:pStyle w:val="6"/>
              <w:spacing w:before="5" w:line="220" w:lineRule="auto"/>
              <w:ind w:left="165"/>
              <w:rPr>
                <w:sz w:val="18"/>
                <w:szCs w:val="18"/>
              </w:rPr>
            </w:pPr>
            <w:r>
              <w:rPr>
                <w:spacing w:val="4"/>
                <w:sz w:val="18"/>
                <w:szCs w:val="18"/>
              </w:rPr>
              <w:t>美化和</w:t>
            </w:r>
          </w:p>
          <w:p w14:paraId="3C2DCD21">
            <w:pPr>
              <w:pStyle w:val="6"/>
              <w:spacing w:before="4" w:line="219" w:lineRule="auto"/>
              <w:ind w:left="254"/>
              <w:rPr>
                <w:sz w:val="18"/>
                <w:szCs w:val="18"/>
              </w:rPr>
            </w:pPr>
            <w:r>
              <w:rPr>
                <w:spacing w:val="8"/>
                <w:sz w:val="18"/>
                <w:szCs w:val="18"/>
              </w:rPr>
              <w:t>打印</w:t>
            </w:r>
          </w:p>
        </w:tc>
        <w:tc>
          <w:tcPr>
            <w:tcW w:w="2314" w:type="dxa"/>
            <w:tcBorders>
              <w:top w:val="single" w:color="000000" w:sz="2" w:space="0"/>
              <w:bottom w:val="single" w:color="000000" w:sz="2" w:space="0"/>
            </w:tcBorders>
            <w:vAlign w:val="top"/>
          </w:tcPr>
          <w:p w14:paraId="6D016FDA">
            <w:pPr>
              <w:pStyle w:val="6"/>
              <w:spacing w:before="144" w:line="217" w:lineRule="auto"/>
              <w:ind w:left="12"/>
              <w:rPr>
                <w:sz w:val="18"/>
                <w:szCs w:val="18"/>
              </w:rPr>
            </w:pPr>
            <w:r>
              <w:rPr>
                <w:spacing w:val="-4"/>
                <w:sz w:val="18"/>
                <w:szCs w:val="18"/>
              </w:rPr>
              <w:t>1.设置单元格的字体、颜色、</w:t>
            </w:r>
            <w:r>
              <w:rPr>
                <w:spacing w:val="6"/>
                <w:sz w:val="18"/>
                <w:szCs w:val="18"/>
              </w:rPr>
              <w:t xml:space="preserve"> </w:t>
            </w:r>
            <w:r>
              <w:rPr>
                <w:spacing w:val="-7"/>
                <w:sz w:val="18"/>
                <w:szCs w:val="18"/>
              </w:rPr>
              <w:t>背景图案和数据对齐方式</w:t>
            </w:r>
          </w:p>
          <w:p w14:paraId="3A47B9D0">
            <w:pPr>
              <w:pStyle w:val="6"/>
              <w:spacing w:before="16" w:line="222" w:lineRule="auto"/>
              <w:ind w:left="12"/>
              <w:rPr>
                <w:sz w:val="18"/>
                <w:szCs w:val="18"/>
              </w:rPr>
            </w:pPr>
            <w:r>
              <w:rPr>
                <w:sz w:val="18"/>
                <w:szCs w:val="18"/>
              </w:rPr>
              <w:t>2.调整工作表的行高与列宽</w:t>
            </w:r>
            <w:r>
              <w:rPr>
                <w:spacing w:val="4"/>
                <w:sz w:val="18"/>
                <w:szCs w:val="18"/>
              </w:rPr>
              <w:t xml:space="preserve">  </w:t>
            </w:r>
            <w:r>
              <w:rPr>
                <w:spacing w:val="-4"/>
                <w:sz w:val="18"/>
                <w:szCs w:val="18"/>
              </w:rPr>
              <w:t>3.设置单元格的边框线和底纹</w:t>
            </w:r>
            <w:r>
              <w:rPr>
                <w:spacing w:val="6"/>
                <w:sz w:val="18"/>
                <w:szCs w:val="18"/>
              </w:rPr>
              <w:t xml:space="preserve"> </w:t>
            </w:r>
            <w:r>
              <w:rPr>
                <w:spacing w:val="-1"/>
                <w:sz w:val="18"/>
                <w:szCs w:val="18"/>
              </w:rPr>
              <w:t>4.设置单元格的数字格式</w:t>
            </w:r>
          </w:p>
          <w:p w14:paraId="11EB7CCF">
            <w:pPr>
              <w:pStyle w:val="6"/>
              <w:spacing w:line="227" w:lineRule="auto"/>
              <w:ind w:left="12" w:firstLine="9"/>
              <w:rPr>
                <w:sz w:val="18"/>
                <w:szCs w:val="18"/>
              </w:rPr>
            </w:pPr>
            <w:r>
              <w:rPr>
                <w:spacing w:val="-7"/>
                <w:sz w:val="18"/>
                <w:szCs w:val="18"/>
              </w:rPr>
              <w:t>5.单元格的基本操作：选择</w:t>
            </w:r>
            <w:r>
              <w:rPr>
                <w:sz w:val="18"/>
                <w:szCs w:val="18"/>
              </w:rPr>
              <w:t xml:space="preserve">   </w:t>
            </w:r>
            <w:r>
              <w:rPr>
                <w:spacing w:val="-4"/>
                <w:sz w:val="18"/>
                <w:szCs w:val="18"/>
              </w:rPr>
              <w:t>单元格、单元格区域，插入、</w:t>
            </w:r>
            <w:r>
              <w:rPr>
                <w:spacing w:val="2"/>
                <w:sz w:val="18"/>
                <w:szCs w:val="18"/>
              </w:rPr>
              <w:t xml:space="preserve"> </w:t>
            </w:r>
            <w:r>
              <w:rPr>
                <w:spacing w:val="-7"/>
                <w:sz w:val="18"/>
                <w:szCs w:val="18"/>
              </w:rPr>
              <w:t>删除、合并与拆分单元格</w:t>
            </w:r>
          </w:p>
          <w:p w14:paraId="0519525D">
            <w:pPr>
              <w:pStyle w:val="6"/>
              <w:spacing w:before="6" w:line="223" w:lineRule="auto"/>
              <w:ind w:left="12"/>
              <w:rPr>
                <w:sz w:val="18"/>
                <w:szCs w:val="18"/>
              </w:rPr>
            </w:pPr>
            <w:r>
              <w:rPr>
                <w:sz w:val="18"/>
                <w:szCs w:val="18"/>
              </w:rPr>
              <w:t>6.调整工作表的行高与列宽</w:t>
            </w:r>
            <w:r>
              <w:rPr>
                <w:spacing w:val="3"/>
                <w:sz w:val="18"/>
                <w:szCs w:val="18"/>
              </w:rPr>
              <w:t xml:space="preserve">  </w:t>
            </w:r>
            <w:r>
              <w:rPr>
                <w:spacing w:val="-4"/>
                <w:sz w:val="18"/>
                <w:szCs w:val="18"/>
              </w:rPr>
              <w:t>7.插入或删除行、列、单元格</w:t>
            </w:r>
            <w:r>
              <w:rPr>
                <w:spacing w:val="6"/>
                <w:sz w:val="18"/>
                <w:szCs w:val="18"/>
              </w:rPr>
              <w:t xml:space="preserve"> </w:t>
            </w:r>
            <w:r>
              <w:rPr>
                <w:spacing w:val="-4"/>
                <w:sz w:val="18"/>
                <w:szCs w:val="18"/>
              </w:rPr>
              <w:t>8.</w:t>
            </w:r>
            <w:r>
              <w:rPr>
                <w:spacing w:val="-53"/>
                <w:sz w:val="18"/>
                <w:szCs w:val="18"/>
              </w:rPr>
              <w:t xml:space="preserve"> </w:t>
            </w:r>
            <w:r>
              <w:rPr>
                <w:spacing w:val="-4"/>
                <w:sz w:val="18"/>
                <w:szCs w:val="18"/>
              </w:rPr>
              <w:t>自动套用格式和条件格式</w:t>
            </w:r>
            <w:r>
              <w:rPr>
                <w:sz w:val="18"/>
                <w:szCs w:val="18"/>
              </w:rPr>
              <w:t xml:space="preserve">  </w:t>
            </w:r>
            <w:r>
              <w:rPr>
                <w:spacing w:val="-2"/>
                <w:sz w:val="18"/>
                <w:szCs w:val="18"/>
              </w:rPr>
              <w:t>9.撤销与恢复操作</w:t>
            </w:r>
          </w:p>
          <w:p w14:paraId="789959C1">
            <w:pPr>
              <w:pStyle w:val="6"/>
              <w:spacing w:line="219" w:lineRule="auto"/>
              <w:ind w:left="12"/>
              <w:rPr>
                <w:sz w:val="18"/>
                <w:szCs w:val="18"/>
              </w:rPr>
            </w:pPr>
            <w:r>
              <w:rPr>
                <w:sz w:val="18"/>
                <w:szCs w:val="18"/>
              </w:rPr>
              <w:t>10.打印预览与打印工作表</w:t>
            </w:r>
          </w:p>
        </w:tc>
        <w:tc>
          <w:tcPr>
            <w:tcW w:w="239" w:type="dxa"/>
            <w:tcBorders>
              <w:top w:val="single" w:color="000000" w:sz="2" w:space="0"/>
              <w:bottom w:val="single" w:color="000000" w:sz="2" w:space="0"/>
            </w:tcBorders>
            <w:vAlign w:val="top"/>
          </w:tcPr>
          <w:p w14:paraId="38AD062B">
            <w:pPr>
              <w:rPr>
                <w:rFonts w:ascii="Arial"/>
                <w:sz w:val="21"/>
              </w:rPr>
            </w:pPr>
          </w:p>
        </w:tc>
        <w:tc>
          <w:tcPr>
            <w:tcW w:w="230" w:type="dxa"/>
            <w:tcBorders>
              <w:top w:val="single" w:color="000000" w:sz="2" w:space="0"/>
              <w:bottom w:val="single" w:color="000000" w:sz="2" w:space="0"/>
            </w:tcBorders>
            <w:vAlign w:val="top"/>
          </w:tcPr>
          <w:p w14:paraId="4ECD433A">
            <w:pPr>
              <w:rPr>
                <w:rFonts w:ascii="Arial"/>
                <w:sz w:val="21"/>
              </w:rPr>
            </w:pPr>
          </w:p>
        </w:tc>
        <w:tc>
          <w:tcPr>
            <w:tcW w:w="220" w:type="dxa"/>
            <w:tcBorders>
              <w:top w:val="single" w:color="000000" w:sz="2" w:space="0"/>
              <w:bottom w:val="single" w:color="000000" w:sz="2" w:space="0"/>
            </w:tcBorders>
            <w:vAlign w:val="top"/>
          </w:tcPr>
          <w:p w14:paraId="77E0E7B1">
            <w:pPr>
              <w:spacing w:line="262" w:lineRule="auto"/>
              <w:rPr>
                <w:rFonts w:ascii="Arial"/>
                <w:sz w:val="21"/>
              </w:rPr>
            </w:pPr>
          </w:p>
          <w:p w14:paraId="2A25DCD6">
            <w:pPr>
              <w:spacing w:line="262" w:lineRule="auto"/>
              <w:rPr>
                <w:rFonts w:ascii="Arial"/>
                <w:sz w:val="21"/>
              </w:rPr>
            </w:pPr>
          </w:p>
          <w:p w14:paraId="757CEABF">
            <w:pPr>
              <w:spacing w:line="262" w:lineRule="auto"/>
              <w:rPr>
                <w:rFonts w:ascii="Arial"/>
                <w:sz w:val="21"/>
              </w:rPr>
            </w:pPr>
          </w:p>
          <w:p w14:paraId="3626F284">
            <w:pPr>
              <w:spacing w:line="262" w:lineRule="auto"/>
              <w:rPr>
                <w:rFonts w:ascii="Arial"/>
                <w:sz w:val="21"/>
              </w:rPr>
            </w:pPr>
          </w:p>
          <w:p w14:paraId="535EE8EA">
            <w:pPr>
              <w:spacing w:line="262" w:lineRule="auto"/>
              <w:rPr>
                <w:rFonts w:ascii="Arial"/>
                <w:sz w:val="21"/>
              </w:rPr>
            </w:pPr>
          </w:p>
          <w:p w14:paraId="765A0968">
            <w:pPr>
              <w:spacing w:line="263" w:lineRule="auto"/>
              <w:rPr>
                <w:rFonts w:ascii="Arial"/>
                <w:sz w:val="21"/>
              </w:rPr>
            </w:pPr>
          </w:p>
          <w:p w14:paraId="1B6079E4">
            <w:pPr>
              <w:spacing w:line="263" w:lineRule="auto"/>
              <w:rPr>
                <w:rFonts w:ascii="Arial"/>
                <w:sz w:val="21"/>
              </w:rPr>
            </w:pPr>
          </w:p>
          <w:p w14:paraId="56679E95">
            <w:pPr>
              <w:spacing w:line="321" w:lineRule="exact"/>
              <w:ind w:firstLine="44"/>
            </w:pPr>
            <w:r>
              <w:rPr>
                <w:position w:val="-6"/>
              </w:rPr>
              <w:drawing>
                <wp:inline distT="0" distB="0" distL="0" distR="0">
                  <wp:extent cx="94615" cy="203200"/>
                  <wp:effectExtent l="0" t="0" r="0" b="0"/>
                  <wp:docPr id="310" name="IM 310"/>
                  <wp:cNvGraphicFramePr/>
                  <a:graphic xmlns:a="http://schemas.openxmlformats.org/drawingml/2006/main">
                    <a:graphicData uri="http://schemas.openxmlformats.org/drawingml/2006/picture">
                      <pic:pic xmlns:pic="http://schemas.openxmlformats.org/drawingml/2006/picture">
                        <pic:nvPicPr>
                          <pic:cNvPr id="310" name="IM 310"/>
                          <pic:cNvPicPr/>
                        </pic:nvPicPr>
                        <pic:blipFill>
                          <a:blip r:embed="rId319"/>
                          <a:stretch>
                            <a:fillRect/>
                          </a:stretch>
                        </pic:blipFill>
                        <pic:spPr>
                          <a:xfrm>
                            <a:off x="0" y="0"/>
                            <a:ext cx="95241" cy="203462"/>
                          </a:xfrm>
                          <a:prstGeom prst="rect">
                            <a:avLst/>
                          </a:prstGeom>
                        </pic:spPr>
                      </pic:pic>
                    </a:graphicData>
                  </a:graphic>
                </wp:inline>
              </w:drawing>
            </w:r>
          </w:p>
        </w:tc>
        <w:tc>
          <w:tcPr>
            <w:tcW w:w="214" w:type="dxa"/>
            <w:tcBorders>
              <w:top w:val="single" w:color="000000" w:sz="2" w:space="0"/>
              <w:bottom w:val="single" w:color="000000" w:sz="2" w:space="0"/>
            </w:tcBorders>
            <w:vAlign w:val="top"/>
          </w:tcPr>
          <w:p w14:paraId="264C0063">
            <w:pPr>
              <w:rPr>
                <w:rFonts w:ascii="Arial"/>
                <w:sz w:val="21"/>
              </w:rPr>
            </w:pPr>
          </w:p>
        </w:tc>
      </w:tr>
      <w:tr w14:paraId="0A2E09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33" w:hRule="atLeast"/>
        </w:trPr>
        <w:tc>
          <w:tcPr>
            <w:tcW w:w="883" w:type="dxa"/>
            <w:tcBorders>
              <w:top w:val="single" w:color="000000" w:sz="2" w:space="0"/>
              <w:bottom w:val="single" w:color="000000" w:sz="2" w:space="0"/>
            </w:tcBorders>
            <w:vAlign w:val="top"/>
          </w:tcPr>
          <w:p w14:paraId="53A2A790">
            <w:pPr>
              <w:spacing w:line="289" w:lineRule="auto"/>
              <w:rPr>
                <w:rFonts w:ascii="Arial"/>
                <w:sz w:val="21"/>
              </w:rPr>
            </w:pPr>
          </w:p>
          <w:p w14:paraId="795ED9D3">
            <w:pPr>
              <w:spacing w:line="290" w:lineRule="auto"/>
              <w:rPr>
                <w:rFonts w:ascii="Arial"/>
                <w:sz w:val="21"/>
              </w:rPr>
            </w:pPr>
          </w:p>
          <w:p w14:paraId="07B61769">
            <w:pPr>
              <w:spacing w:line="290" w:lineRule="auto"/>
              <w:rPr>
                <w:rFonts w:ascii="Arial"/>
                <w:sz w:val="21"/>
              </w:rPr>
            </w:pPr>
          </w:p>
          <w:p w14:paraId="14D91240">
            <w:pPr>
              <w:spacing w:line="290" w:lineRule="auto"/>
              <w:rPr>
                <w:rFonts w:ascii="Arial"/>
                <w:sz w:val="21"/>
              </w:rPr>
            </w:pPr>
          </w:p>
          <w:p w14:paraId="1337241E">
            <w:pPr>
              <w:pStyle w:val="6"/>
              <w:spacing w:before="59" w:line="219" w:lineRule="auto"/>
              <w:ind w:left="75"/>
              <w:rPr>
                <w:sz w:val="18"/>
                <w:szCs w:val="18"/>
              </w:rPr>
            </w:pPr>
            <w:r>
              <w:rPr>
                <w:spacing w:val="-2"/>
                <w:sz w:val="18"/>
                <w:szCs w:val="18"/>
              </w:rPr>
              <w:t>使用公式</w:t>
            </w:r>
          </w:p>
          <w:p w14:paraId="5EA2C834">
            <w:pPr>
              <w:pStyle w:val="6"/>
              <w:spacing w:before="16" w:line="219" w:lineRule="auto"/>
              <w:ind w:left="75"/>
              <w:rPr>
                <w:sz w:val="18"/>
                <w:szCs w:val="18"/>
              </w:rPr>
            </w:pPr>
            <w:r>
              <w:rPr>
                <w:spacing w:val="-2"/>
                <w:sz w:val="18"/>
                <w:szCs w:val="18"/>
              </w:rPr>
              <w:t>和函数计</w:t>
            </w:r>
          </w:p>
          <w:p w14:paraId="7D765733">
            <w:pPr>
              <w:pStyle w:val="6"/>
              <w:spacing w:before="16" w:line="219" w:lineRule="auto"/>
              <w:ind w:left="165"/>
              <w:rPr>
                <w:sz w:val="18"/>
                <w:szCs w:val="18"/>
              </w:rPr>
            </w:pPr>
            <w:r>
              <w:rPr>
                <w:spacing w:val="-2"/>
                <w:sz w:val="18"/>
                <w:szCs w:val="18"/>
              </w:rPr>
              <w:t>算数据</w:t>
            </w:r>
          </w:p>
        </w:tc>
        <w:tc>
          <w:tcPr>
            <w:tcW w:w="2314" w:type="dxa"/>
            <w:tcBorders>
              <w:top w:val="single" w:color="000000" w:sz="2" w:space="0"/>
              <w:bottom w:val="single" w:color="000000" w:sz="2" w:space="0"/>
            </w:tcBorders>
            <w:vAlign w:val="top"/>
          </w:tcPr>
          <w:p w14:paraId="21B903B5">
            <w:pPr>
              <w:pStyle w:val="6"/>
              <w:spacing w:before="234" w:line="219" w:lineRule="auto"/>
              <w:ind w:left="12" w:right="89" w:firstLine="29"/>
              <w:rPr>
                <w:sz w:val="18"/>
                <w:szCs w:val="18"/>
              </w:rPr>
            </w:pPr>
            <w:r>
              <w:rPr>
                <w:sz w:val="18"/>
                <w:szCs w:val="18"/>
              </w:rPr>
              <w:t>1.建立、修改、复制与移动</w:t>
            </w:r>
            <w:r>
              <w:rPr>
                <w:spacing w:val="11"/>
                <w:sz w:val="18"/>
                <w:szCs w:val="18"/>
              </w:rPr>
              <w:t xml:space="preserve"> </w:t>
            </w:r>
            <w:r>
              <w:rPr>
                <w:spacing w:val="-4"/>
                <w:sz w:val="18"/>
                <w:szCs w:val="18"/>
              </w:rPr>
              <w:t>公式</w:t>
            </w:r>
          </w:p>
          <w:p w14:paraId="0567CDD0">
            <w:pPr>
              <w:pStyle w:val="6"/>
              <w:spacing w:before="12" w:line="221" w:lineRule="auto"/>
              <w:ind w:left="12" w:right="657"/>
              <w:rPr>
                <w:sz w:val="18"/>
                <w:szCs w:val="18"/>
              </w:rPr>
            </w:pPr>
            <w:r>
              <w:rPr>
                <w:spacing w:val="1"/>
                <w:sz w:val="18"/>
                <w:szCs w:val="18"/>
              </w:rPr>
              <w:t>2.运算符与优先级别</w:t>
            </w:r>
            <w:r>
              <w:rPr>
                <w:spacing w:val="3"/>
                <w:sz w:val="18"/>
                <w:szCs w:val="18"/>
              </w:rPr>
              <w:t xml:space="preserve"> </w:t>
            </w:r>
            <w:r>
              <w:rPr>
                <w:spacing w:val="1"/>
                <w:sz w:val="18"/>
                <w:szCs w:val="18"/>
              </w:rPr>
              <w:t>3.公式的错误信息</w:t>
            </w:r>
          </w:p>
          <w:p w14:paraId="5500514D">
            <w:pPr>
              <w:pStyle w:val="6"/>
              <w:spacing w:before="1" w:line="234" w:lineRule="auto"/>
              <w:ind w:left="12"/>
              <w:rPr>
                <w:sz w:val="18"/>
                <w:szCs w:val="18"/>
              </w:rPr>
            </w:pPr>
            <w:r>
              <w:rPr>
                <w:spacing w:val="-4"/>
                <w:sz w:val="18"/>
                <w:szCs w:val="18"/>
              </w:rPr>
              <w:t>4.单元格的引用：绝对引用、</w:t>
            </w:r>
            <w:r>
              <w:rPr>
                <w:spacing w:val="6"/>
                <w:sz w:val="18"/>
                <w:szCs w:val="18"/>
              </w:rPr>
              <w:t xml:space="preserve"> </w:t>
            </w:r>
            <w:r>
              <w:rPr>
                <w:spacing w:val="-4"/>
                <w:sz w:val="18"/>
                <w:szCs w:val="18"/>
              </w:rPr>
              <w:t>相对引用、混合引用</w:t>
            </w:r>
          </w:p>
          <w:p w14:paraId="36F569BC">
            <w:pPr>
              <w:pStyle w:val="6"/>
              <w:spacing w:before="2" w:line="215" w:lineRule="auto"/>
              <w:ind w:left="12"/>
              <w:rPr>
                <w:sz w:val="18"/>
                <w:szCs w:val="18"/>
              </w:rPr>
            </w:pPr>
            <w:r>
              <w:rPr>
                <w:spacing w:val="-1"/>
                <w:sz w:val="18"/>
                <w:szCs w:val="18"/>
              </w:rPr>
              <w:t>5.函数的使用方法</w:t>
            </w:r>
          </w:p>
          <w:p w14:paraId="19D53B8A">
            <w:pPr>
              <w:pStyle w:val="6"/>
              <w:spacing w:line="219" w:lineRule="auto"/>
              <w:ind w:left="12"/>
              <w:rPr>
                <w:sz w:val="18"/>
                <w:szCs w:val="18"/>
              </w:rPr>
            </w:pPr>
            <w:r>
              <w:rPr>
                <w:spacing w:val="10"/>
                <w:sz w:val="18"/>
                <w:szCs w:val="18"/>
              </w:rPr>
              <w:t>6.常用函数：</w:t>
            </w:r>
            <w:r>
              <w:rPr>
                <w:sz w:val="18"/>
                <w:szCs w:val="18"/>
              </w:rPr>
              <w:t>SUM</w:t>
            </w:r>
            <w:r>
              <w:rPr>
                <w:spacing w:val="10"/>
                <w:sz w:val="18"/>
                <w:szCs w:val="18"/>
              </w:rPr>
              <w:t>、</w:t>
            </w:r>
            <w:r>
              <w:rPr>
                <w:sz w:val="18"/>
                <w:szCs w:val="18"/>
              </w:rPr>
              <w:t>SUMIF</w:t>
            </w:r>
            <w:r>
              <w:rPr>
                <w:spacing w:val="10"/>
                <w:sz w:val="18"/>
                <w:szCs w:val="18"/>
              </w:rPr>
              <w:t>、</w:t>
            </w:r>
          </w:p>
          <w:p w14:paraId="1F1CD9AC">
            <w:pPr>
              <w:pStyle w:val="6"/>
              <w:spacing w:before="79" w:line="208" w:lineRule="auto"/>
              <w:ind w:left="12" w:right="798"/>
              <w:rPr>
                <w:sz w:val="18"/>
                <w:szCs w:val="18"/>
              </w:rPr>
            </w:pPr>
            <w:r>
              <w:rPr>
                <w:sz w:val="18"/>
                <w:szCs w:val="18"/>
              </w:rPr>
              <w:t xml:space="preserve">AVERAGE、COUNT、 </w:t>
            </w:r>
            <w:r>
              <w:rPr>
                <w:spacing w:val="-3"/>
                <w:sz w:val="18"/>
                <w:szCs w:val="18"/>
              </w:rPr>
              <w:t>cOUNTA、COUNTIF、</w:t>
            </w:r>
          </w:p>
          <w:p w14:paraId="76012A37">
            <w:pPr>
              <w:pStyle w:val="6"/>
              <w:spacing w:before="7" w:line="233" w:lineRule="auto"/>
              <w:ind w:left="12"/>
              <w:rPr>
                <w:sz w:val="18"/>
                <w:szCs w:val="18"/>
              </w:rPr>
            </w:pPr>
            <w:r>
              <w:rPr>
                <w:spacing w:val="-5"/>
                <w:sz w:val="18"/>
                <w:szCs w:val="18"/>
              </w:rPr>
              <w:t>M</w:t>
            </w:r>
            <w:r>
              <w:rPr>
                <w:spacing w:val="14"/>
                <w:sz w:val="18"/>
                <w:szCs w:val="18"/>
              </w:rPr>
              <w:t xml:space="preserve"> </w:t>
            </w:r>
            <w:r>
              <w:rPr>
                <w:spacing w:val="-5"/>
                <w:sz w:val="18"/>
                <w:szCs w:val="18"/>
              </w:rPr>
              <w:t>A</w:t>
            </w:r>
            <w:r>
              <w:rPr>
                <w:spacing w:val="17"/>
                <w:sz w:val="18"/>
                <w:szCs w:val="18"/>
              </w:rPr>
              <w:t xml:space="preserve"> </w:t>
            </w:r>
            <w:r>
              <w:rPr>
                <w:spacing w:val="-5"/>
                <w:sz w:val="18"/>
                <w:szCs w:val="18"/>
              </w:rPr>
              <w:t>X、</w:t>
            </w:r>
            <w:r>
              <w:rPr>
                <w:spacing w:val="14"/>
                <w:sz w:val="18"/>
                <w:szCs w:val="18"/>
              </w:rPr>
              <w:t xml:space="preserve">  </w:t>
            </w:r>
            <w:r>
              <w:rPr>
                <w:spacing w:val="-5"/>
                <w:sz w:val="18"/>
                <w:szCs w:val="18"/>
              </w:rPr>
              <w:t>M</w:t>
            </w:r>
            <w:r>
              <w:rPr>
                <w:spacing w:val="30"/>
                <w:sz w:val="18"/>
                <w:szCs w:val="18"/>
              </w:rPr>
              <w:t xml:space="preserve"> </w:t>
            </w:r>
            <w:r>
              <w:rPr>
                <w:spacing w:val="-5"/>
                <w:sz w:val="18"/>
                <w:szCs w:val="18"/>
              </w:rPr>
              <w:t>I</w:t>
            </w:r>
            <w:r>
              <w:rPr>
                <w:spacing w:val="14"/>
                <w:sz w:val="18"/>
                <w:szCs w:val="18"/>
              </w:rPr>
              <w:t xml:space="preserve"> </w:t>
            </w:r>
            <w:r>
              <w:rPr>
                <w:spacing w:val="-5"/>
                <w:sz w:val="18"/>
                <w:szCs w:val="18"/>
              </w:rPr>
              <w:t>N、</w:t>
            </w:r>
            <w:r>
              <w:rPr>
                <w:spacing w:val="21"/>
                <w:sz w:val="18"/>
                <w:szCs w:val="18"/>
              </w:rPr>
              <w:t xml:space="preserve">  </w:t>
            </w:r>
            <w:r>
              <w:rPr>
                <w:spacing w:val="-5"/>
                <w:sz w:val="18"/>
                <w:szCs w:val="18"/>
              </w:rPr>
              <w:t>I</w:t>
            </w:r>
            <w:r>
              <w:rPr>
                <w:spacing w:val="19"/>
                <w:sz w:val="18"/>
                <w:szCs w:val="18"/>
              </w:rPr>
              <w:t xml:space="preserve"> </w:t>
            </w:r>
            <w:r>
              <w:rPr>
                <w:spacing w:val="-5"/>
                <w:sz w:val="18"/>
                <w:szCs w:val="18"/>
              </w:rPr>
              <w:t>F、</w:t>
            </w:r>
          </w:p>
          <w:p w14:paraId="6A7BBA92">
            <w:pPr>
              <w:pStyle w:val="6"/>
              <w:spacing w:line="184" w:lineRule="auto"/>
              <w:ind w:left="12"/>
              <w:rPr>
                <w:sz w:val="18"/>
                <w:szCs w:val="18"/>
              </w:rPr>
            </w:pPr>
            <w:r>
              <w:rPr>
                <w:spacing w:val="-1"/>
                <w:sz w:val="18"/>
                <w:szCs w:val="18"/>
              </w:rPr>
              <w:t>PRODUCT、RANK</w:t>
            </w:r>
          </w:p>
        </w:tc>
        <w:tc>
          <w:tcPr>
            <w:tcW w:w="239" w:type="dxa"/>
            <w:tcBorders>
              <w:top w:val="single" w:color="000000" w:sz="2" w:space="0"/>
              <w:bottom w:val="single" w:color="000000" w:sz="2" w:space="0"/>
            </w:tcBorders>
            <w:vAlign w:val="top"/>
          </w:tcPr>
          <w:p w14:paraId="7383D044">
            <w:pPr>
              <w:rPr>
                <w:rFonts w:ascii="Arial"/>
                <w:sz w:val="21"/>
              </w:rPr>
            </w:pPr>
          </w:p>
        </w:tc>
        <w:tc>
          <w:tcPr>
            <w:tcW w:w="230" w:type="dxa"/>
            <w:tcBorders>
              <w:top w:val="single" w:color="000000" w:sz="2" w:space="0"/>
              <w:bottom w:val="single" w:color="000000" w:sz="2" w:space="0"/>
            </w:tcBorders>
            <w:vAlign w:val="top"/>
          </w:tcPr>
          <w:p w14:paraId="75A6138E">
            <w:pPr>
              <w:spacing w:line="251" w:lineRule="auto"/>
              <w:rPr>
                <w:rFonts w:ascii="Arial"/>
                <w:sz w:val="21"/>
              </w:rPr>
            </w:pPr>
          </w:p>
          <w:p w14:paraId="2D2E138F">
            <w:pPr>
              <w:spacing w:line="251" w:lineRule="auto"/>
              <w:rPr>
                <w:rFonts w:ascii="Arial"/>
                <w:sz w:val="21"/>
              </w:rPr>
            </w:pPr>
          </w:p>
          <w:p w14:paraId="4CC4562E">
            <w:pPr>
              <w:spacing w:line="251" w:lineRule="auto"/>
              <w:rPr>
                <w:rFonts w:ascii="Arial"/>
                <w:sz w:val="21"/>
              </w:rPr>
            </w:pPr>
          </w:p>
          <w:p w14:paraId="15F320B5">
            <w:pPr>
              <w:spacing w:line="520" w:lineRule="exact"/>
              <w:ind w:firstLine="40"/>
            </w:pPr>
            <w:r>
              <w:rPr>
                <w:position w:val="-10"/>
              </w:rPr>
              <w:drawing>
                <wp:inline distT="0" distB="0" distL="0" distR="0">
                  <wp:extent cx="92075" cy="329565"/>
                  <wp:effectExtent l="0" t="0" r="0" b="0"/>
                  <wp:docPr id="312" name="IM 312"/>
                  <wp:cNvGraphicFramePr/>
                  <a:graphic xmlns:a="http://schemas.openxmlformats.org/drawingml/2006/main">
                    <a:graphicData uri="http://schemas.openxmlformats.org/drawingml/2006/picture">
                      <pic:pic xmlns:pic="http://schemas.openxmlformats.org/drawingml/2006/picture">
                        <pic:nvPicPr>
                          <pic:cNvPr id="312" name="IM 312"/>
                          <pic:cNvPicPr/>
                        </pic:nvPicPr>
                        <pic:blipFill>
                          <a:blip r:embed="rId320"/>
                          <a:stretch>
                            <a:fillRect/>
                          </a:stretch>
                        </pic:blipFill>
                        <pic:spPr>
                          <a:xfrm>
                            <a:off x="0" y="0"/>
                            <a:ext cx="92633" cy="330151"/>
                          </a:xfrm>
                          <a:prstGeom prst="rect">
                            <a:avLst/>
                          </a:prstGeom>
                        </pic:spPr>
                      </pic:pic>
                    </a:graphicData>
                  </a:graphic>
                </wp:inline>
              </w:drawing>
            </w:r>
          </w:p>
        </w:tc>
        <w:tc>
          <w:tcPr>
            <w:tcW w:w="220" w:type="dxa"/>
            <w:tcBorders>
              <w:top w:val="single" w:color="000000" w:sz="2" w:space="0"/>
              <w:bottom w:val="single" w:color="000000" w:sz="2" w:space="0"/>
            </w:tcBorders>
            <w:vAlign w:val="top"/>
          </w:tcPr>
          <w:p w14:paraId="4434EC8C">
            <w:pPr>
              <w:spacing w:line="298" w:lineRule="auto"/>
              <w:rPr>
                <w:rFonts w:ascii="Arial"/>
                <w:sz w:val="21"/>
              </w:rPr>
            </w:pPr>
          </w:p>
          <w:p w14:paraId="1C48B9F8">
            <w:pPr>
              <w:spacing w:line="105" w:lineRule="exact"/>
              <w:ind w:firstLine="50"/>
            </w:pPr>
            <w:r>
              <w:rPr>
                <w:position w:val="-2"/>
              </w:rPr>
              <w:drawing>
                <wp:inline distT="0" distB="0" distL="0" distR="0">
                  <wp:extent cx="80010" cy="66675"/>
                  <wp:effectExtent l="0" t="0" r="0" b="0"/>
                  <wp:docPr id="314" name="IM 314"/>
                  <wp:cNvGraphicFramePr/>
                  <a:graphic xmlns:a="http://schemas.openxmlformats.org/drawingml/2006/main">
                    <a:graphicData uri="http://schemas.openxmlformats.org/drawingml/2006/picture">
                      <pic:pic xmlns:pic="http://schemas.openxmlformats.org/drawingml/2006/picture">
                        <pic:nvPicPr>
                          <pic:cNvPr id="314" name="IM 314"/>
                          <pic:cNvPicPr/>
                        </pic:nvPicPr>
                        <pic:blipFill>
                          <a:blip r:embed="rId321"/>
                          <a:stretch>
                            <a:fillRect/>
                          </a:stretch>
                        </pic:blipFill>
                        <pic:spPr>
                          <a:xfrm>
                            <a:off x="0" y="0"/>
                            <a:ext cx="80015" cy="66676"/>
                          </a:xfrm>
                          <a:prstGeom prst="rect">
                            <a:avLst/>
                          </a:prstGeom>
                        </pic:spPr>
                      </pic:pic>
                    </a:graphicData>
                  </a:graphic>
                </wp:inline>
              </w:drawing>
            </w:r>
          </w:p>
        </w:tc>
        <w:tc>
          <w:tcPr>
            <w:tcW w:w="214" w:type="dxa"/>
            <w:tcBorders>
              <w:top w:val="single" w:color="000000" w:sz="2" w:space="0"/>
              <w:bottom w:val="single" w:color="000000" w:sz="2" w:space="0"/>
            </w:tcBorders>
            <w:vAlign w:val="top"/>
          </w:tcPr>
          <w:p w14:paraId="5A922FE9">
            <w:pPr>
              <w:rPr>
                <w:rFonts w:ascii="Arial"/>
                <w:sz w:val="21"/>
              </w:rPr>
            </w:pPr>
          </w:p>
        </w:tc>
      </w:tr>
      <w:tr w14:paraId="51FB0F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89" w:hRule="atLeast"/>
        </w:trPr>
        <w:tc>
          <w:tcPr>
            <w:tcW w:w="883" w:type="dxa"/>
            <w:tcBorders>
              <w:top w:val="single" w:color="000000" w:sz="2" w:space="0"/>
              <w:bottom w:val="single" w:color="000000" w:sz="2" w:space="0"/>
            </w:tcBorders>
            <w:vAlign w:val="top"/>
          </w:tcPr>
          <w:p w14:paraId="104E04FF">
            <w:pPr>
              <w:spacing w:line="396" w:lineRule="auto"/>
              <w:rPr>
                <w:rFonts w:ascii="Arial"/>
                <w:sz w:val="21"/>
              </w:rPr>
            </w:pPr>
          </w:p>
          <w:p w14:paraId="3A6FC555">
            <w:pPr>
              <w:pStyle w:val="6"/>
              <w:spacing w:before="58" w:line="219" w:lineRule="auto"/>
              <w:ind w:left="75"/>
              <w:rPr>
                <w:sz w:val="18"/>
                <w:szCs w:val="18"/>
              </w:rPr>
            </w:pPr>
            <w:r>
              <w:rPr>
                <w:spacing w:val="1"/>
                <w:sz w:val="18"/>
                <w:szCs w:val="18"/>
              </w:rPr>
              <w:t>电子表格</w:t>
            </w:r>
          </w:p>
          <w:p w14:paraId="502267CE">
            <w:pPr>
              <w:pStyle w:val="6"/>
              <w:spacing w:before="16" w:line="215" w:lineRule="auto"/>
              <w:ind w:left="165"/>
              <w:rPr>
                <w:sz w:val="18"/>
                <w:szCs w:val="18"/>
              </w:rPr>
            </w:pPr>
            <w:r>
              <w:rPr>
                <w:spacing w:val="3"/>
                <w:sz w:val="18"/>
                <w:szCs w:val="18"/>
              </w:rPr>
              <w:t>的数据</w:t>
            </w:r>
          </w:p>
          <w:p w14:paraId="2DA5CD38">
            <w:pPr>
              <w:pStyle w:val="6"/>
              <w:spacing w:line="219" w:lineRule="auto"/>
              <w:ind w:left="254"/>
              <w:rPr>
                <w:sz w:val="18"/>
                <w:szCs w:val="18"/>
              </w:rPr>
            </w:pPr>
            <w:r>
              <w:rPr>
                <w:spacing w:val="-3"/>
                <w:sz w:val="18"/>
                <w:szCs w:val="18"/>
              </w:rPr>
              <w:t>管理</w:t>
            </w:r>
          </w:p>
        </w:tc>
        <w:tc>
          <w:tcPr>
            <w:tcW w:w="2314" w:type="dxa"/>
            <w:tcBorders>
              <w:top w:val="single" w:color="000000" w:sz="2" w:space="0"/>
              <w:bottom w:val="single" w:color="000000" w:sz="2" w:space="0"/>
            </w:tcBorders>
            <w:vAlign w:val="top"/>
          </w:tcPr>
          <w:p w14:paraId="2E9288C5">
            <w:pPr>
              <w:pStyle w:val="6"/>
              <w:spacing w:before="237" w:line="222" w:lineRule="auto"/>
              <w:ind w:left="12"/>
              <w:rPr>
                <w:sz w:val="18"/>
                <w:szCs w:val="18"/>
              </w:rPr>
            </w:pPr>
            <w:r>
              <w:rPr>
                <w:spacing w:val="-4"/>
                <w:sz w:val="18"/>
                <w:szCs w:val="18"/>
              </w:rPr>
              <w:t>1.数据的排序：单条件排序、</w:t>
            </w:r>
            <w:r>
              <w:rPr>
                <w:spacing w:val="6"/>
                <w:sz w:val="18"/>
                <w:szCs w:val="18"/>
              </w:rPr>
              <w:t xml:space="preserve"> </w:t>
            </w:r>
            <w:r>
              <w:rPr>
                <w:spacing w:val="-6"/>
                <w:sz w:val="18"/>
                <w:szCs w:val="18"/>
              </w:rPr>
              <w:t>多条件排序、自定义排序</w:t>
            </w:r>
          </w:p>
          <w:p w14:paraId="28C5190E">
            <w:pPr>
              <w:pStyle w:val="6"/>
              <w:spacing w:before="6" w:line="217" w:lineRule="auto"/>
              <w:ind w:left="12" w:right="41"/>
              <w:rPr>
                <w:sz w:val="18"/>
                <w:szCs w:val="18"/>
              </w:rPr>
            </w:pPr>
            <w:r>
              <w:rPr>
                <w:spacing w:val="6"/>
                <w:sz w:val="18"/>
                <w:szCs w:val="18"/>
              </w:rPr>
              <w:t>2.数据的筛选：自动筛选、</w:t>
            </w:r>
            <w:r>
              <w:rPr>
                <w:spacing w:val="11"/>
                <w:sz w:val="18"/>
                <w:szCs w:val="18"/>
              </w:rPr>
              <w:t xml:space="preserve"> </w:t>
            </w:r>
            <w:r>
              <w:rPr>
                <w:spacing w:val="-3"/>
                <w:sz w:val="18"/>
                <w:szCs w:val="18"/>
              </w:rPr>
              <w:t>高级筛选</w:t>
            </w:r>
          </w:p>
          <w:p w14:paraId="1CCECC2B">
            <w:pPr>
              <w:pStyle w:val="6"/>
              <w:spacing w:before="6" w:line="219" w:lineRule="auto"/>
              <w:ind w:left="12"/>
              <w:rPr>
                <w:sz w:val="18"/>
                <w:szCs w:val="18"/>
              </w:rPr>
            </w:pPr>
            <w:r>
              <w:rPr>
                <w:spacing w:val="1"/>
                <w:sz w:val="18"/>
                <w:szCs w:val="18"/>
              </w:rPr>
              <w:t>3.数据的分类汇总</w:t>
            </w:r>
          </w:p>
        </w:tc>
        <w:tc>
          <w:tcPr>
            <w:tcW w:w="239" w:type="dxa"/>
            <w:tcBorders>
              <w:top w:val="single" w:color="000000" w:sz="2" w:space="0"/>
              <w:bottom w:val="single" w:color="000000" w:sz="2" w:space="0"/>
            </w:tcBorders>
            <w:vAlign w:val="top"/>
          </w:tcPr>
          <w:p w14:paraId="5B153E6E">
            <w:pPr>
              <w:rPr>
                <w:rFonts w:ascii="Arial"/>
                <w:sz w:val="21"/>
              </w:rPr>
            </w:pPr>
          </w:p>
        </w:tc>
        <w:tc>
          <w:tcPr>
            <w:tcW w:w="230" w:type="dxa"/>
            <w:tcBorders>
              <w:top w:val="single" w:color="000000" w:sz="2" w:space="0"/>
              <w:bottom w:val="single" w:color="000000" w:sz="2" w:space="0"/>
            </w:tcBorders>
            <w:vAlign w:val="top"/>
          </w:tcPr>
          <w:p w14:paraId="7ED50E14">
            <w:pPr>
              <w:rPr>
                <w:rFonts w:ascii="Arial"/>
                <w:sz w:val="21"/>
              </w:rPr>
            </w:pPr>
          </w:p>
        </w:tc>
        <w:tc>
          <w:tcPr>
            <w:tcW w:w="220" w:type="dxa"/>
            <w:tcBorders>
              <w:top w:val="single" w:color="000000" w:sz="2" w:space="0"/>
              <w:bottom w:val="single" w:color="000000" w:sz="2" w:space="0"/>
            </w:tcBorders>
            <w:vAlign w:val="top"/>
          </w:tcPr>
          <w:p w14:paraId="410546C9">
            <w:pPr>
              <w:rPr>
                <w:rFonts w:ascii="Arial"/>
                <w:sz w:val="21"/>
              </w:rPr>
            </w:pPr>
          </w:p>
        </w:tc>
        <w:tc>
          <w:tcPr>
            <w:tcW w:w="214" w:type="dxa"/>
            <w:tcBorders>
              <w:top w:val="single" w:color="000000" w:sz="2" w:space="0"/>
              <w:bottom w:val="single" w:color="000000" w:sz="2" w:space="0"/>
            </w:tcBorders>
            <w:vAlign w:val="top"/>
          </w:tcPr>
          <w:p w14:paraId="3D1EDB4B">
            <w:pPr>
              <w:rPr>
                <w:rFonts w:ascii="Arial"/>
                <w:sz w:val="21"/>
              </w:rPr>
            </w:pPr>
          </w:p>
        </w:tc>
      </w:tr>
    </w:tbl>
    <w:p w14:paraId="57E3926E">
      <w:pPr>
        <w:pStyle w:val="2"/>
        <w:spacing w:line="14" w:lineRule="auto"/>
        <w:rPr>
          <w:sz w:val="2"/>
        </w:rPr>
      </w:pPr>
    </w:p>
    <w:p w14:paraId="7A3E9FF7">
      <w:pPr>
        <w:pStyle w:val="2"/>
        <w:spacing w:line="14" w:lineRule="auto"/>
        <w:rPr>
          <w:sz w:val="2"/>
        </w:rPr>
      </w:pPr>
      <w:r>
        <w:rPr>
          <w:sz w:val="2"/>
          <w:szCs w:val="2"/>
        </w:rPr>
        <w:br w:type="column"/>
      </w:r>
    </w:p>
    <w:tbl>
      <w:tblPr>
        <w:tblStyle w:val="5"/>
        <w:tblW w:w="413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14"/>
        <w:gridCol w:w="229"/>
        <w:gridCol w:w="230"/>
        <w:gridCol w:w="220"/>
        <w:gridCol w:w="244"/>
      </w:tblGrid>
      <w:tr w14:paraId="7EC326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893" w:type="dxa"/>
            <w:vMerge w:val="restart"/>
            <w:tcBorders>
              <w:top w:val="single" w:color="000000" w:sz="2" w:space="0"/>
              <w:bottom w:val="nil"/>
            </w:tcBorders>
            <w:vAlign w:val="top"/>
          </w:tcPr>
          <w:p w14:paraId="3DB67A63">
            <w:pPr>
              <w:pStyle w:val="6"/>
              <w:spacing w:before="115" w:line="230" w:lineRule="auto"/>
              <w:ind w:left="257" w:right="1" w:hanging="240"/>
              <w:rPr>
                <w:sz w:val="18"/>
                <w:szCs w:val="18"/>
              </w:rPr>
            </w:pPr>
            <w:r>
              <w:rPr>
                <w:b/>
                <w:bCs/>
                <w:spacing w:val="-10"/>
                <w:sz w:val="18"/>
                <w:szCs w:val="18"/>
              </w:rPr>
              <w:t>知识与技能</w:t>
            </w:r>
            <w:r>
              <w:rPr>
                <w:spacing w:val="3"/>
                <w:sz w:val="18"/>
                <w:szCs w:val="18"/>
              </w:rPr>
              <w:t xml:space="preserve"> </w:t>
            </w:r>
            <w:r>
              <w:rPr>
                <w:b/>
                <w:bCs/>
                <w:spacing w:val="-4"/>
                <w:sz w:val="18"/>
                <w:szCs w:val="18"/>
              </w:rPr>
              <w:t>要点</w:t>
            </w:r>
          </w:p>
        </w:tc>
        <w:tc>
          <w:tcPr>
            <w:tcW w:w="2314" w:type="dxa"/>
            <w:vMerge w:val="restart"/>
            <w:tcBorders>
              <w:top w:val="single" w:color="000000" w:sz="2" w:space="0"/>
              <w:bottom w:val="nil"/>
            </w:tcBorders>
            <w:vAlign w:val="top"/>
          </w:tcPr>
          <w:p w14:paraId="2F196CAE">
            <w:pPr>
              <w:pStyle w:val="6"/>
              <w:spacing w:before="224" w:line="219" w:lineRule="auto"/>
              <w:ind w:left="824"/>
              <w:rPr>
                <w:sz w:val="18"/>
                <w:szCs w:val="18"/>
              </w:rPr>
            </w:pPr>
            <w:r>
              <w:rPr>
                <w:b/>
                <w:bCs/>
                <w:spacing w:val="5"/>
                <w:sz w:val="18"/>
                <w:szCs w:val="18"/>
              </w:rPr>
              <w:t>考试条目</w:t>
            </w:r>
          </w:p>
        </w:tc>
        <w:tc>
          <w:tcPr>
            <w:tcW w:w="923" w:type="dxa"/>
            <w:gridSpan w:val="4"/>
            <w:tcBorders>
              <w:top w:val="single" w:color="000000" w:sz="2" w:space="0"/>
              <w:bottom w:val="single" w:color="000000" w:sz="2" w:space="0"/>
            </w:tcBorders>
            <w:vAlign w:val="top"/>
          </w:tcPr>
          <w:p w14:paraId="2B5DE847">
            <w:pPr>
              <w:pStyle w:val="6"/>
              <w:spacing w:before="74" w:line="219" w:lineRule="auto"/>
              <w:ind w:left="150"/>
              <w:rPr>
                <w:sz w:val="18"/>
                <w:szCs w:val="18"/>
              </w:rPr>
            </w:pPr>
            <w:r>
              <w:rPr>
                <w:b/>
                <w:bCs/>
                <w:spacing w:val="-4"/>
                <w:sz w:val="18"/>
                <w:szCs w:val="18"/>
              </w:rPr>
              <w:t>考试水平</w:t>
            </w:r>
          </w:p>
        </w:tc>
      </w:tr>
      <w:tr w14:paraId="5814DF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4" w:hRule="atLeast"/>
        </w:trPr>
        <w:tc>
          <w:tcPr>
            <w:tcW w:w="893" w:type="dxa"/>
            <w:vMerge w:val="continue"/>
            <w:tcBorders>
              <w:top w:val="nil"/>
              <w:bottom w:val="single" w:color="000000" w:sz="2" w:space="0"/>
            </w:tcBorders>
            <w:vAlign w:val="top"/>
          </w:tcPr>
          <w:p w14:paraId="03C39EC0">
            <w:pPr>
              <w:rPr>
                <w:rFonts w:ascii="Arial"/>
                <w:sz w:val="21"/>
              </w:rPr>
            </w:pPr>
          </w:p>
        </w:tc>
        <w:tc>
          <w:tcPr>
            <w:tcW w:w="2314" w:type="dxa"/>
            <w:vMerge w:val="continue"/>
            <w:tcBorders>
              <w:top w:val="nil"/>
              <w:bottom w:val="single" w:color="000000" w:sz="2" w:space="0"/>
            </w:tcBorders>
            <w:vAlign w:val="top"/>
          </w:tcPr>
          <w:p w14:paraId="633595EF">
            <w:pPr>
              <w:rPr>
                <w:rFonts w:ascii="Arial"/>
                <w:sz w:val="21"/>
              </w:rPr>
            </w:pPr>
          </w:p>
        </w:tc>
        <w:tc>
          <w:tcPr>
            <w:tcW w:w="229" w:type="dxa"/>
            <w:tcBorders>
              <w:top w:val="single" w:color="000000" w:sz="2" w:space="0"/>
              <w:bottom w:val="single" w:color="000000" w:sz="2" w:space="0"/>
            </w:tcBorders>
            <w:vAlign w:val="top"/>
          </w:tcPr>
          <w:p w14:paraId="220BB680">
            <w:pPr>
              <w:pStyle w:val="6"/>
              <w:spacing w:before="108" w:line="180" w:lineRule="auto"/>
              <w:ind w:left="50"/>
              <w:rPr>
                <w:sz w:val="18"/>
                <w:szCs w:val="18"/>
              </w:rPr>
            </w:pPr>
            <w:r>
              <w:rPr>
                <w:b/>
                <w:bCs/>
                <w:spacing w:val="-2"/>
                <w:sz w:val="18"/>
                <w:szCs w:val="18"/>
              </w:rPr>
              <w:t>A</w:t>
            </w:r>
          </w:p>
        </w:tc>
        <w:tc>
          <w:tcPr>
            <w:tcW w:w="230" w:type="dxa"/>
            <w:tcBorders>
              <w:top w:val="single" w:color="000000" w:sz="2" w:space="0"/>
              <w:bottom w:val="single" w:color="000000" w:sz="2" w:space="0"/>
            </w:tcBorders>
            <w:vAlign w:val="top"/>
          </w:tcPr>
          <w:p w14:paraId="6AD62025">
            <w:pPr>
              <w:pStyle w:val="6"/>
              <w:spacing w:before="110" w:line="178" w:lineRule="auto"/>
              <w:ind w:left="31"/>
              <w:rPr>
                <w:sz w:val="18"/>
                <w:szCs w:val="18"/>
              </w:rPr>
            </w:pPr>
            <w:r>
              <w:rPr>
                <w:b/>
                <w:bCs/>
                <w:spacing w:val="-2"/>
                <w:sz w:val="18"/>
                <w:szCs w:val="18"/>
              </w:rPr>
              <w:t>B</w:t>
            </w:r>
          </w:p>
        </w:tc>
        <w:tc>
          <w:tcPr>
            <w:tcW w:w="220" w:type="dxa"/>
            <w:tcBorders>
              <w:top w:val="single" w:color="000000" w:sz="2" w:space="0"/>
              <w:bottom w:val="single" w:color="000000" w:sz="2" w:space="0"/>
            </w:tcBorders>
            <w:vAlign w:val="top"/>
          </w:tcPr>
          <w:p w14:paraId="2A99B7CA">
            <w:pPr>
              <w:pStyle w:val="6"/>
              <w:spacing w:before="108" w:line="180" w:lineRule="auto"/>
              <w:ind w:left="61"/>
              <w:rPr>
                <w:sz w:val="18"/>
                <w:szCs w:val="18"/>
              </w:rPr>
            </w:pPr>
            <w:r>
              <w:rPr>
                <w:b/>
                <w:bCs/>
                <w:spacing w:val="-2"/>
                <w:sz w:val="18"/>
                <w:szCs w:val="18"/>
              </w:rPr>
              <w:t>C</w:t>
            </w:r>
          </w:p>
        </w:tc>
        <w:tc>
          <w:tcPr>
            <w:tcW w:w="244" w:type="dxa"/>
            <w:tcBorders>
              <w:top w:val="single" w:color="000000" w:sz="2" w:space="0"/>
              <w:bottom w:val="single" w:color="000000" w:sz="2" w:space="0"/>
            </w:tcBorders>
            <w:vAlign w:val="top"/>
          </w:tcPr>
          <w:p w14:paraId="0F665D7C">
            <w:pPr>
              <w:pStyle w:val="6"/>
              <w:spacing w:before="110" w:line="178" w:lineRule="auto"/>
              <w:ind w:left="21"/>
              <w:rPr>
                <w:sz w:val="18"/>
                <w:szCs w:val="18"/>
              </w:rPr>
            </w:pPr>
            <w:r>
              <w:rPr>
                <w:b/>
                <w:bCs/>
                <w:spacing w:val="-2"/>
                <w:sz w:val="18"/>
                <w:szCs w:val="18"/>
              </w:rPr>
              <w:t>D</w:t>
            </w:r>
          </w:p>
        </w:tc>
      </w:tr>
      <w:tr w14:paraId="6E9B87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65" w:hRule="atLeast"/>
        </w:trPr>
        <w:tc>
          <w:tcPr>
            <w:tcW w:w="893" w:type="dxa"/>
            <w:tcBorders>
              <w:top w:val="single" w:color="000000" w:sz="2" w:space="0"/>
              <w:bottom w:val="single" w:color="000000" w:sz="2" w:space="0"/>
            </w:tcBorders>
            <w:vAlign w:val="top"/>
          </w:tcPr>
          <w:p w14:paraId="5D15276B">
            <w:pPr>
              <w:pStyle w:val="6"/>
              <w:spacing w:before="271" w:line="229" w:lineRule="auto"/>
              <w:ind w:left="17" w:right="93" w:firstLine="60"/>
              <w:jc w:val="both"/>
              <w:rPr>
                <w:sz w:val="18"/>
                <w:szCs w:val="18"/>
              </w:rPr>
            </w:pPr>
            <w:r>
              <w:rPr>
                <w:b/>
                <w:bCs/>
                <w:spacing w:val="-4"/>
                <w:sz w:val="18"/>
                <w:szCs w:val="18"/>
              </w:rPr>
              <w:t>使用图表</w:t>
            </w:r>
            <w:r>
              <w:rPr>
                <w:sz w:val="18"/>
                <w:szCs w:val="18"/>
              </w:rPr>
              <w:t xml:space="preserve"> </w:t>
            </w:r>
            <w:r>
              <w:rPr>
                <w:b/>
                <w:bCs/>
                <w:spacing w:val="11"/>
                <w:sz w:val="18"/>
                <w:szCs w:val="18"/>
              </w:rPr>
              <w:t>和数据透</w:t>
            </w:r>
            <w:r>
              <w:rPr>
                <w:sz w:val="18"/>
                <w:szCs w:val="18"/>
              </w:rPr>
              <w:t xml:space="preserve"> </w:t>
            </w:r>
            <w:r>
              <w:rPr>
                <w:b/>
                <w:bCs/>
                <w:spacing w:val="10"/>
                <w:sz w:val="18"/>
                <w:szCs w:val="18"/>
              </w:rPr>
              <w:t>析图表分</w:t>
            </w:r>
            <w:r>
              <w:rPr>
                <w:spacing w:val="2"/>
                <w:sz w:val="18"/>
                <w:szCs w:val="18"/>
              </w:rPr>
              <w:t xml:space="preserve"> </w:t>
            </w:r>
            <w:r>
              <w:rPr>
                <w:b/>
                <w:bCs/>
                <w:spacing w:val="-4"/>
                <w:sz w:val="18"/>
                <w:szCs w:val="18"/>
              </w:rPr>
              <w:t>析数据</w:t>
            </w:r>
          </w:p>
        </w:tc>
        <w:tc>
          <w:tcPr>
            <w:tcW w:w="2314" w:type="dxa"/>
            <w:tcBorders>
              <w:top w:val="single" w:color="000000" w:sz="2" w:space="0"/>
              <w:bottom w:val="single" w:color="000000" w:sz="2" w:space="0"/>
            </w:tcBorders>
            <w:vAlign w:val="top"/>
          </w:tcPr>
          <w:p w14:paraId="74DD5EFD">
            <w:pPr>
              <w:pStyle w:val="6"/>
              <w:spacing w:before="52" w:line="221" w:lineRule="auto"/>
              <w:ind w:left="14"/>
              <w:rPr>
                <w:sz w:val="18"/>
                <w:szCs w:val="18"/>
              </w:rPr>
            </w:pPr>
            <w:r>
              <w:rPr>
                <w:b/>
                <w:bCs/>
                <w:spacing w:val="-2"/>
                <w:sz w:val="18"/>
                <w:szCs w:val="18"/>
              </w:rPr>
              <w:t>1.创建图表</w:t>
            </w:r>
          </w:p>
          <w:p w14:paraId="21C79EA5">
            <w:pPr>
              <w:pStyle w:val="6"/>
              <w:spacing w:before="3" w:line="219" w:lineRule="auto"/>
              <w:ind w:left="14"/>
              <w:rPr>
                <w:sz w:val="18"/>
                <w:szCs w:val="18"/>
              </w:rPr>
            </w:pPr>
            <w:r>
              <w:rPr>
                <w:b/>
                <w:bCs/>
                <w:spacing w:val="-3"/>
                <w:sz w:val="18"/>
                <w:szCs w:val="18"/>
              </w:rPr>
              <w:t>2.编辑和美化图表</w:t>
            </w:r>
          </w:p>
          <w:p w14:paraId="42C8B1DD">
            <w:pPr>
              <w:pStyle w:val="6"/>
              <w:spacing w:before="14" w:line="217" w:lineRule="auto"/>
              <w:ind w:left="234"/>
              <w:rPr>
                <w:sz w:val="18"/>
                <w:szCs w:val="18"/>
              </w:rPr>
            </w:pPr>
            <w:r>
              <w:rPr>
                <w:b/>
                <w:bCs/>
                <w:spacing w:val="-3"/>
                <w:sz w:val="18"/>
                <w:szCs w:val="18"/>
              </w:rPr>
              <w:t>①调整图表的位置和大小</w:t>
            </w:r>
          </w:p>
          <w:p w14:paraId="7AADAE68">
            <w:pPr>
              <w:pStyle w:val="6"/>
              <w:spacing w:before="8" w:line="217" w:lineRule="auto"/>
              <w:jc w:val="right"/>
              <w:rPr>
                <w:sz w:val="18"/>
                <w:szCs w:val="18"/>
              </w:rPr>
            </w:pPr>
            <w:r>
              <w:rPr>
                <w:b/>
                <w:bCs/>
                <w:spacing w:val="-12"/>
                <w:sz w:val="18"/>
                <w:szCs w:val="18"/>
              </w:rPr>
              <w:t>②添</w:t>
            </w:r>
            <w:r>
              <w:rPr>
                <w:b/>
                <w:bCs/>
                <w:spacing w:val="-11"/>
                <w:sz w:val="18"/>
                <w:szCs w:val="18"/>
              </w:rPr>
              <w:t>加图表标题并修饰图</w:t>
            </w:r>
            <w:r>
              <w:rPr>
                <w:b/>
                <w:bCs/>
                <w:spacing w:val="-9"/>
                <w:sz w:val="18"/>
                <w:szCs w:val="18"/>
              </w:rPr>
              <w:t>表</w:t>
            </w:r>
          </w:p>
          <w:p w14:paraId="72F38C66">
            <w:pPr>
              <w:pStyle w:val="6"/>
              <w:spacing w:before="18" w:line="205" w:lineRule="auto"/>
              <w:ind w:left="254"/>
              <w:rPr>
                <w:sz w:val="18"/>
                <w:szCs w:val="18"/>
              </w:rPr>
            </w:pPr>
            <w:r>
              <w:rPr>
                <w:b/>
                <w:bCs/>
                <w:spacing w:val="-3"/>
                <w:sz w:val="18"/>
                <w:szCs w:val="18"/>
              </w:rPr>
              <w:t>③添加图表图例</w:t>
            </w:r>
          </w:p>
          <w:p w14:paraId="75F396CF">
            <w:pPr>
              <w:pStyle w:val="6"/>
              <w:spacing w:line="211" w:lineRule="auto"/>
              <w:ind w:left="244"/>
              <w:rPr>
                <w:sz w:val="18"/>
                <w:szCs w:val="18"/>
              </w:rPr>
            </w:pPr>
            <w:r>
              <w:rPr>
                <w:b/>
                <w:bCs/>
                <w:spacing w:val="-3"/>
                <w:sz w:val="18"/>
                <w:szCs w:val="18"/>
              </w:rPr>
              <w:t>④修改图表类型和对象</w:t>
            </w:r>
          </w:p>
        </w:tc>
        <w:tc>
          <w:tcPr>
            <w:tcW w:w="229" w:type="dxa"/>
            <w:tcBorders>
              <w:top w:val="single" w:color="000000" w:sz="2" w:space="0"/>
              <w:bottom w:val="single" w:color="000000" w:sz="2" w:space="0"/>
            </w:tcBorders>
            <w:vAlign w:val="top"/>
          </w:tcPr>
          <w:p w14:paraId="22A2B3A3">
            <w:pPr>
              <w:rPr>
                <w:rFonts w:ascii="Arial"/>
                <w:sz w:val="21"/>
              </w:rPr>
            </w:pPr>
          </w:p>
        </w:tc>
        <w:tc>
          <w:tcPr>
            <w:tcW w:w="230" w:type="dxa"/>
            <w:tcBorders>
              <w:top w:val="single" w:color="000000" w:sz="2" w:space="0"/>
              <w:bottom w:val="single" w:color="000000" w:sz="2" w:space="0"/>
            </w:tcBorders>
            <w:vAlign w:val="top"/>
          </w:tcPr>
          <w:p w14:paraId="3AE0C0B2">
            <w:pPr>
              <w:rPr>
                <w:rFonts w:ascii="Arial"/>
                <w:sz w:val="21"/>
              </w:rPr>
            </w:pPr>
          </w:p>
        </w:tc>
        <w:tc>
          <w:tcPr>
            <w:tcW w:w="220" w:type="dxa"/>
            <w:tcBorders>
              <w:top w:val="single" w:color="000000" w:sz="2" w:space="0"/>
              <w:bottom w:val="single" w:color="000000" w:sz="2" w:space="0"/>
            </w:tcBorders>
            <w:vAlign w:val="top"/>
          </w:tcPr>
          <w:p w14:paraId="67ED84C6">
            <w:pPr>
              <w:pStyle w:val="6"/>
              <w:spacing w:before="83" w:line="238" w:lineRule="auto"/>
              <w:ind w:left="49"/>
              <w:rPr>
                <w:sz w:val="12"/>
                <w:szCs w:val="12"/>
              </w:rPr>
            </w:pPr>
            <w:r>
              <w:rPr>
                <w:sz w:val="12"/>
                <w:szCs w:val="12"/>
              </w:rPr>
              <w:t>√</w:t>
            </w:r>
          </w:p>
        </w:tc>
        <w:tc>
          <w:tcPr>
            <w:tcW w:w="244" w:type="dxa"/>
            <w:tcBorders>
              <w:top w:val="single" w:color="000000" w:sz="2" w:space="0"/>
              <w:bottom w:val="single" w:color="000000" w:sz="2" w:space="0"/>
            </w:tcBorders>
            <w:vAlign w:val="top"/>
          </w:tcPr>
          <w:p w14:paraId="3CFDC894">
            <w:pPr>
              <w:rPr>
                <w:rFonts w:ascii="Arial"/>
                <w:sz w:val="21"/>
              </w:rPr>
            </w:pPr>
          </w:p>
        </w:tc>
      </w:tr>
    </w:tbl>
    <w:p w14:paraId="203C06CA">
      <w:pPr>
        <w:spacing w:before="118" w:line="221" w:lineRule="auto"/>
        <w:ind w:left="1167"/>
        <w:rPr>
          <w:rFonts w:ascii="黑体" w:hAnsi="黑体" w:eastAsia="黑体" w:cs="黑体"/>
          <w:sz w:val="20"/>
          <w:szCs w:val="20"/>
        </w:rPr>
      </w:pPr>
      <w:r>
        <w:rPr>
          <w:rFonts w:ascii="黑体" w:hAnsi="黑体" w:eastAsia="黑体" w:cs="黑体"/>
          <w:b/>
          <w:bCs/>
          <w:spacing w:val="-4"/>
          <w:sz w:val="20"/>
          <w:szCs w:val="20"/>
        </w:rPr>
        <w:t>第二部分</w:t>
      </w:r>
      <w:r>
        <w:rPr>
          <w:rFonts w:ascii="黑体" w:hAnsi="黑体" w:eastAsia="黑体" w:cs="黑体"/>
          <w:spacing w:val="98"/>
          <w:sz w:val="20"/>
          <w:szCs w:val="20"/>
        </w:rPr>
        <w:t xml:space="preserve"> </w:t>
      </w:r>
      <w:r>
        <w:rPr>
          <w:rFonts w:ascii="黑体" w:hAnsi="黑体" w:eastAsia="黑体" w:cs="黑体"/>
          <w:b/>
          <w:bCs/>
          <w:spacing w:val="-4"/>
          <w:sz w:val="20"/>
          <w:szCs w:val="20"/>
        </w:rPr>
        <w:t>秘书基础</w:t>
      </w:r>
    </w:p>
    <w:p w14:paraId="1D3FC7B4">
      <w:pPr>
        <w:pStyle w:val="2"/>
        <w:spacing w:line="293" w:lineRule="auto"/>
      </w:pPr>
    </w:p>
    <w:p w14:paraId="12EF3E68">
      <w:pPr>
        <w:spacing w:before="65" w:line="221" w:lineRule="auto"/>
        <w:ind w:left="667"/>
        <w:rPr>
          <w:rFonts w:ascii="黑体" w:hAnsi="黑体" w:eastAsia="黑体" w:cs="黑体"/>
          <w:sz w:val="20"/>
          <w:szCs w:val="20"/>
        </w:rPr>
      </w:pPr>
      <w:r>
        <w:rPr>
          <w:rFonts w:ascii="黑体" w:hAnsi="黑体" w:eastAsia="黑体" w:cs="黑体"/>
          <w:b/>
          <w:bCs/>
          <w:spacing w:val="-3"/>
          <w:sz w:val="20"/>
          <w:szCs w:val="20"/>
        </w:rPr>
        <w:t>专题一</w:t>
      </w:r>
      <w:r>
        <w:rPr>
          <w:rFonts w:ascii="黑体" w:hAnsi="黑体" w:eastAsia="黑体" w:cs="黑体"/>
          <w:spacing w:val="-3"/>
          <w:sz w:val="20"/>
          <w:szCs w:val="20"/>
        </w:rPr>
        <w:t xml:space="preserve">  </w:t>
      </w:r>
      <w:r>
        <w:rPr>
          <w:rFonts w:ascii="黑体" w:hAnsi="黑体" w:eastAsia="黑体" w:cs="黑体"/>
          <w:b/>
          <w:bCs/>
          <w:spacing w:val="-3"/>
          <w:sz w:val="20"/>
          <w:szCs w:val="20"/>
        </w:rPr>
        <w:t>秘书工作及其发展趋势</w:t>
      </w:r>
    </w:p>
    <w:p w14:paraId="36E79789">
      <w:pPr>
        <w:spacing w:line="82" w:lineRule="exact"/>
      </w:pPr>
    </w:p>
    <w:tbl>
      <w:tblPr>
        <w:tblStyle w:val="5"/>
        <w:tblW w:w="413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14"/>
        <w:gridCol w:w="229"/>
        <w:gridCol w:w="230"/>
        <w:gridCol w:w="220"/>
        <w:gridCol w:w="244"/>
      </w:tblGrid>
      <w:tr w14:paraId="52CCEA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3" w:hRule="atLeast"/>
        </w:trPr>
        <w:tc>
          <w:tcPr>
            <w:tcW w:w="893" w:type="dxa"/>
            <w:vMerge w:val="restart"/>
            <w:tcBorders>
              <w:bottom w:val="nil"/>
            </w:tcBorders>
            <w:vAlign w:val="top"/>
          </w:tcPr>
          <w:p w14:paraId="208490B4">
            <w:pPr>
              <w:pStyle w:val="6"/>
              <w:spacing w:before="20" w:line="225" w:lineRule="auto"/>
              <w:ind w:left="187" w:right="195" w:firstLine="79"/>
            </w:pPr>
            <w:r>
              <w:rPr>
                <w:b/>
                <w:bCs/>
                <w:spacing w:val="-7"/>
              </w:rPr>
              <w:t>知识</w:t>
            </w:r>
            <w:r>
              <w:t xml:space="preserve">  </w:t>
            </w:r>
            <w:r>
              <w:rPr>
                <w:b/>
                <w:bCs/>
                <w:spacing w:val="-6"/>
              </w:rPr>
              <w:t>与技能</w:t>
            </w:r>
            <w:r>
              <w:rPr>
                <w:spacing w:val="1"/>
              </w:rPr>
              <w:t xml:space="preserve"> </w:t>
            </w:r>
            <w:r>
              <w:rPr>
                <w:b/>
                <w:bCs/>
                <w:spacing w:val="34"/>
              </w:rPr>
              <w:t>要点</w:t>
            </w:r>
          </w:p>
        </w:tc>
        <w:tc>
          <w:tcPr>
            <w:tcW w:w="2314" w:type="dxa"/>
            <w:vMerge w:val="restart"/>
            <w:tcBorders>
              <w:bottom w:val="nil"/>
            </w:tcBorders>
            <w:vAlign w:val="top"/>
          </w:tcPr>
          <w:p w14:paraId="6E01E29C">
            <w:pPr>
              <w:pStyle w:val="6"/>
              <w:spacing w:before="239" w:line="219" w:lineRule="auto"/>
              <w:ind w:left="834"/>
            </w:pPr>
            <w:r>
              <w:rPr>
                <w:b/>
                <w:bCs/>
                <w:spacing w:val="5"/>
              </w:rPr>
              <w:t>考试条目</w:t>
            </w:r>
          </w:p>
        </w:tc>
        <w:tc>
          <w:tcPr>
            <w:tcW w:w="923" w:type="dxa"/>
            <w:gridSpan w:val="4"/>
            <w:vAlign w:val="top"/>
          </w:tcPr>
          <w:p w14:paraId="7817BC48">
            <w:pPr>
              <w:pStyle w:val="6"/>
              <w:spacing w:before="79" w:line="219" w:lineRule="auto"/>
              <w:ind w:left="150"/>
            </w:pPr>
            <w:r>
              <w:rPr>
                <w:b/>
                <w:bCs/>
                <w:spacing w:val="-4"/>
              </w:rPr>
              <w:t>考试水平</w:t>
            </w:r>
          </w:p>
        </w:tc>
      </w:tr>
      <w:tr w14:paraId="2EC759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893" w:type="dxa"/>
            <w:vMerge w:val="continue"/>
            <w:tcBorders>
              <w:top w:val="nil"/>
            </w:tcBorders>
            <w:vAlign w:val="top"/>
          </w:tcPr>
          <w:p w14:paraId="751647B5">
            <w:pPr>
              <w:rPr>
                <w:rFonts w:ascii="Arial"/>
                <w:sz w:val="21"/>
              </w:rPr>
            </w:pPr>
          </w:p>
        </w:tc>
        <w:tc>
          <w:tcPr>
            <w:tcW w:w="2314" w:type="dxa"/>
            <w:vMerge w:val="continue"/>
            <w:tcBorders>
              <w:top w:val="nil"/>
            </w:tcBorders>
            <w:vAlign w:val="top"/>
          </w:tcPr>
          <w:p w14:paraId="43479ECB">
            <w:pPr>
              <w:rPr>
                <w:rFonts w:ascii="Arial"/>
                <w:sz w:val="21"/>
              </w:rPr>
            </w:pPr>
          </w:p>
        </w:tc>
        <w:tc>
          <w:tcPr>
            <w:tcW w:w="229" w:type="dxa"/>
            <w:vAlign w:val="top"/>
          </w:tcPr>
          <w:p w14:paraId="3A3BC142">
            <w:pPr>
              <w:pStyle w:val="6"/>
              <w:spacing w:before="111" w:line="184" w:lineRule="auto"/>
              <w:ind w:left="20"/>
            </w:pPr>
            <w:r>
              <w:rPr>
                <w:b/>
                <w:bCs/>
                <w:spacing w:val="-2"/>
              </w:rPr>
              <w:t>A</w:t>
            </w:r>
          </w:p>
        </w:tc>
        <w:tc>
          <w:tcPr>
            <w:tcW w:w="230" w:type="dxa"/>
            <w:vAlign w:val="top"/>
          </w:tcPr>
          <w:p w14:paraId="76D2697A">
            <w:pPr>
              <w:pStyle w:val="6"/>
              <w:spacing w:before="113" w:line="182" w:lineRule="auto"/>
              <w:ind w:left="21"/>
            </w:pPr>
            <w:r>
              <w:rPr>
                <w:b/>
                <w:bCs/>
                <w:spacing w:val="-2"/>
              </w:rPr>
              <w:t>B</w:t>
            </w:r>
          </w:p>
        </w:tc>
        <w:tc>
          <w:tcPr>
            <w:tcW w:w="220" w:type="dxa"/>
            <w:vAlign w:val="top"/>
          </w:tcPr>
          <w:p w14:paraId="38F5659F">
            <w:pPr>
              <w:pStyle w:val="6"/>
              <w:spacing w:before="111" w:line="183" w:lineRule="auto"/>
              <w:ind w:left="41"/>
            </w:pPr>
            <w:r>
              <w:rPr>
                <w:b/>
                <w:bCs/>
                <w:spacing w:val="-2"/>
              </w:rPr>
              <w:t>C</w:t>
            </w:r>
          </w:p>
        </w:tc>
        <w:tc>
          <w:tcPr>
            <w:tcW w:w="244" w:type="dxa"/>
            <w:vAlign w:val="top"/>
          </w:tcPr>
          <w:p w14:paraId="3125BE70">
            <w:pPr>
              <w:pStyle w:val="6"/>
              <w:spacing w:before="113" w:line="182" w:lineRule="auto"/>
              <w:ind w:right="7"/>
              <w:jc w:val="right"/>
            </w:pPr>
            <w:r>
              <w:rPr>
                <w:b/>
                <w:bCs/>
                <w:spacing w:val="-2"/>
              </w:rPr>
              <w:t>D</w:t>
            </w:r>
          </w:p>
        </w:tc>
      </w:tr>
      <w:tr w14:paraId="6D05FB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76" w:hRule="atLeast"/>
        </w:trPr>
        <w:tc>
          <w:tcPr>
            <w:tcW w:w="893" w:type="dxa"/>
            <w:vAlign w:val="top"/>
          </w:tcPr>
          <w:p w14:paraId="1DE160BB">
            <w:pPr>
              <w:spacing w:line="252" w:lineRule="auto"/>
              <w:rPr>
                <w:rFonts w:ascii="Arial"/>
                <w:sz w:val="21"/>
              </w:rPr>
            </w:pPr>
          </w:p>
          <w:p w14:paraId="69E8B7CE">
            <w:pPr>
              <w:pStyle w:val="6"/>
              <w:spacing w:before="55" w:line="219" w:lineRule="auto"/>
              <w:ind w:left="25"/>
            </w:pPr>
            <w:r>
              <w:rPr>
                <w:spacing w:val="-2"/>
              </w:rPr>
              <w:t>秘书工作</w:t>
            </w:r>
          </w:p>
        </w:tc>
        <w:tc>
          <w:tcPr>
            <w:tcW w:w="2314" w:type="dxa"/>
            <w:vAlign w:val="top"/>
          </w:tcPr>
          <w:p w14:paraId="79F443F0">
            <w:pPr>
              <w:pStyle w:val="6"/>
              <w:spacing w:before="109" w:line="217" w:lineRule="auto"/>
              <w:ind w:left="12"/>
            </w:pPr>
            <w:r>
              <w:rPr>
                <w:spacing w:val="1"/>
              </w:rPr>
              <w:t>1.秘书的含义</w:t>
            </w:r>
          </w:p>
          <w:p w14:paraId="4F7DCB80">
            <w:pPr>
              <w:pStyle w:val="6"/>
              <w:spacing w:line="236" w:lineRule="auto"/>
              <w:ind w:left="12" w:right="90"/>
            </w:pPr>
            <w:r>
              <w:rPr>
                <w:spacing w:val="-1"/>
              </w:rPr>
              <w:t>2.秘书工作的含义及基本属性</w:t>
            </w:r>
            <w:r>
              <w:rPr>
                <w:spacing w:val="4"/>
              </w:rPr>
              <w:t xml:space="preserve"> </w:t>
            </w:r>
            <w:r>
              <w:rPr>
                <w:spacing w:val="-1"/>
              </w:rPr>
              <w:t>3.秘书工作的主要任务</w:t>
            </w:r>
          </w:p>
        </w:tc>
        <w:tc>
          <w:tcPr>
            <w:tcW w:w="229" w:type="dxa"/>
            <w:vAlign w:val="top"/>
          </w:tcPr>
          <w:p w14:paraId="4F29514B">
            <w:pPr>
              <w:rPr>
                <w:rFonts w:ascii="Arial"/>
                <w:sz w:val="21"/>
              </w:rPr>
            </w:pPr>
          </w:p>
        </w:tc>
        <w:tc>
          <w:tcPr>
            <w:tcW w:w="230" w:type="dxa"/>
            <w:vAlign w:val="top"/>
          </w:tcPr>
          <w:p w14:paraId="20842830">
            <w:pPr>
              <w:rPr>
                <w:rFonts w:ascii="Arial"/>
                <w:sz w:val="21"/>
              </w:rPr>
            </w:pPr>
          </w:p>
        </w:tc>
        <w:tc>
          <w:tcPr>
            <w:tcW w:w="220" w:type="dxa"/>
            <w:vAlign w:val="top"/>
          </w:tcPr>
          <w:p w14:paraId="49B79A36">
            <w:pPr>
              <w:rPr>
                <w:rFonts w:ascii="Arial"/>
                <w:sz w:val="21"/>
              </w:rPr>
            </w:pPr>
          </w:p>
        </w:tc>
        <w:tc>
          <w:tcPr>
            <w:tcW w:w="244" w:type="dxa"/>
            <w:vAlign w:val="top"/>
          </w:tcPr>
          <w:p w14:paraId="4B296299">
            <w:pPr>
              <w:rPr>
                <w:rFonts w:ascii="Arial"/>
                <w:sz w:val="21"/>
              </w:rPr>
            </w:pPr>
          </w:p>
        </w:tc>
      </w:tr>
      <w:tr w14:paraId="5F7965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81" w:hRule="atLeast"/>
        </w:trPr>
        <w:tc>
          <w:tcPr>
            <w:tcW w:w="893" w:type="dxa"/>
            <w:vAlign w:val="top"/>
          </w:tcPr>
          <w:p w14:paraId="54BC3D85">
            <w:pPr>
              <w:pStyle w:val="6"/>
              <w:spacing w:before="114" w:line="225" w:lineRule="auto"/>
              <w:ind w:left="15" w:right="16"/>
              <w:jc w:val="both"/>
            </w:pPr>
            <w:r>
              <w:rPr>
                <w:spacing w:val="-10"/>
              </w:rPr>
              <w:t>我 国</w:t>
            </w:r>
            <w:r>
              <w:rPr>
                <w:spacing w:val="-20"/>
              </w:rPr>
              <w:t xml:space="preserve"> </w:t>
            </w:r>
            <w:r>
              <w:rPr>
                <w:spacing w:val="-10"/>
              </w:rPr>
              <w:t>秘</w:t>
            </w:r>
            <w:r>
              <w:rPr>
                <w:spacing w:val="-15"/>
              </w:rPr>
              <w:t xml:space="preserve"> </w:t>
            </w:r>
            <w:r>
              <w:rPr>
                <w:spacing w:val="-10"/>
              </w:rPr>
              <w:t>书</w:t>
            </w:r>
            <w:r>
              <w:t xml:space="preserve"> </w:t>
            </w:r>
            <w:r>
              <w:rPr>
                <w:spacing w:val="-11"/>
              </w:rPr>
              <w:t>工</w:t>
            </w:r>
            <w:r>
              <w:rPr>
                <w:spacing w:val="-17"/>
              </w:rPr>
              <w:t xml:space="preserve"> </w:t>
            </w:r>
            <w:r>
              <w:rPr>
                <w:spacing w:val="-11"/>
              </w:rPr>
              <w:t>作 的</w:t>
            </w:r>
            <w:r>
              <w:rPr>
                <w:spacing w:val="-17"/>
              </w:rPr>
              <w:t xml:space="preserve"> </w:t>
            </w:r>
            <w:r>
              <w:rPr>
                <w:spacing w:val="-11"/>
              </w:rPr>
              <w:t>发</w:t>
            </w:r>
            <w:r>
              <w:t xml:space="preserve"> </w:t>
            </w:r>
            <w:r>
              <w:rPr>
                <w:spacing w:val="4"/>
              </w:rPr>
              <w:t>展趋势</w:t>
            </w:r>
          </w:p>
        </w:tc>
        <w:tc>
          <w:tcPr>
            <w:tcW w:w="2314" w:type="dxa"/>
            <w:vAlign w:val="top"/>
          </w:tcPr>
          <w:p w14:paraId="678022E1">
            <w:pPr>
              <w:pStyle w:val="6"/>
              <w:spacing w:before="104" w:line="219" w:lineRule="auto"/>
              <w:ind w:left="12"/>
            </w:pPr>
            <w:r>
              <w:rPr>
                <w:spacing w:val="1"/>
              </w:rPr>
              <w:t>1.参谋职能强化趋势</w:t>
            </w:r>
          </w:p>
          <w:p w14:paraId="00D6D6EE">
            <w:pPr>
              <w:pStyle w:val="6"/>
              <w:spacing w:before="7" w:line="237" w:lineRule="auto"/>
              <w:ind w:left="12" w:right="238"/>
            </w:pPr>
            <w:r>
              <w:rPr>
                <w:spacing w:val="1"/>
              </w:rPr>
              <w:t>2.秘书工作管理科学化趋势</w:t>
            </w:r>
            <w:r>
              <w:t xml:space="preserve"> </w:t>
            </w:r>
            <w:r>
              <w:rPr>
                <w:spacing w:val="1"/>
              </w:rPr>
              <w:t>3.办公手段现代化趋势</w:t>
            </w:r>
          </w:p>
        </w:tc>
        <w:tc>
          <w:tcPr>
            <w:tcW w:w="229" w:type="dxa"/>
            <w:vAlign w:val="top"/>
          </w:tcPr>
          <w:p w14:paraId="0AAE549C">
            <w:pPr>
              <w:rPr>
                <w:rFonts w:ascii="Arial"/>
                <w:sz w:val="21"/>
              </w:rPr>
            </w:pPr>
          </w:p>
        </w:tc>
        <w:tc>
          <w:tcPr>
            <w:tcW w:w="230" w:type="dxa"/>
            <w:vAlign w:val="top"/>
          </w:tcPr>
          <w:p w14:paraId="3E7E2923">
            <w:pPr>
              <w:rPr>
                <w:rFonts w:ascii="Arial"/>
                <w:sz w:val="21"/>
              </w:rPr>
            </w:pPr>
          </w:p>
        </w:tc>
        <w:tc>
          <w:tcPr>
            <w:tcW w:w="220" w:type="dxa"/>
            <w:vAlign w:val="top"/>
          </w:tcPr>
          <w:p w14:paraId="293F841E">
            <w:pPr>
              <w:rPr>
                <w:rFonts w:ascii="Arial"/>
                <w:sz w:val="21"/>
              </w:rPr>
            </w:pPr>
          </w:p>
        </w:tc>
        <w:tc>
          <w:tcPr>
            <w:tcW w:w="244" w:type="dxa"/>
            <w:vAlign w:val="top"/>
          </w:tcPr>
          <w:p w14:paraId="69C07EBE">
            <w:pPr>
              <w:pStyle w:val="6"/>
              <w:spacing w:before="124" w:line="238" w:lineRule="auto"/>
              <w:ind w:left="18"/>
              <w:rPr>
                <w:sz w:val="12"/>
                <w:szCs w:val="12"/>
              </w:rPr>
            </w:pPr>
            <w:r>
              <w:rPr>
                <w:sz w:val="12"/>
                <w:szCs w:val="12"/>
              </w:rPr>
              <w:t>√</w:t>
            </w:r>
          </w:p>
        </w:tc>
      </w:tr>
    </w:tbl>
    <w:p w14:paraId="227A4870">
      <w:pPr>
        <w:spacing w:before="119" w:line="222" w:lineRule="auto"/>
        <w:ind w:left="177"/>
        <w:rPr>
          <w:rFonts w:ascii="黑体" w:hAnsi="黑体" w:eastAsia="黑体" w:cs="黑体"/>
          <w:sz w:val="20"/>
          <w:szCs w:val="20"/>
        </w:rPr>
      </w:pPr>
      <w:r>
        <w:rPr>
          <w:rFonts w:ascii="黑体" w:hAnsi="黑体" w:eastAsia="黑体" w:cs="黑体"/>
          <w:b/>
          <w:bCs/>
          <w:spacing w:val="-3"/>
          <w:sz w:val="20"/>
          <w:szCs w:val="20"/>
        </w:rPr>
        <w:t>专题二</w:t>
      </w:r>
      <w:r>
        <w:rPr>
          <w:rFonts w:ascii="黑体" w:hAnsi="黑体" w:eastAsia="黑体" w:cs="黑体"/>
          <w:spacing w:val="-3"/>
          <w:sz w:val="20"/>
          <w:szCs w:val="20"/>
        </w:rPr>
        <w:t xml:space="preserve">  </w:t>
      </w:r>
      <w:r>
        <w:rPr>
          <w:rFonts w:ascii="黑体" w:hAnsi="黑体" w:eastAsia="黑体" w:cs="黑体"/>
          <w:b/>
          <w:bCs/>
          <w:spacing w:val="-3"/>
          <w:sz w:val="20"/>
          <w:szCs w:val="20"/>
        </w:rPr>
        <w:t>秘书工作的基本原则、特点和作用</w:t>
      </w:r>
    </w:p>
    <w:p w14:paraId="28DA24DF">
      <w:pPr>
        <w:spacing w:line="90" w:lineRule="exact"/>
      </w:pPr>
    </w:p>
    <w:tbl>
      <w:tblPr>
        <w:tblStyle w:val="5"/>
        <w:tblW w:w="413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14"/>
        <w:gridCol w:w="229"/>
        <w:gridCol w:w="230"/>
        <w:gridCol w:w="220"/>
        <w:gridCol w:w="244"/>
      </w:tblGrid>
      <w:tr w14:paraId="72933A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4" w:hRule="atLeast"/>
        </w:trPr>
        <w:tc>
          <w:tcPr>
            <w:tcW w:w="893" w:type="dxa"/>
            <w:vMerge w:val="restart"/>
            <w:tcBorders>
              <w:bottom w:val="nil"/>
            </w:tcBorders>
            <w:vAlign w:val="top"/>
          </w:tcPr>
          <w:p w14:paraId="111AC317">
            <w:pPr>
              <w:pStyle w:val="6"/>
              <w:spacing w:before="30" w:line="229" w:lineRule="auto"/>
              <w:ind w:left="187" w:right="195" w:firstLine="79"/>
            </w:pPr>
            <w:r>
              <w:rPr>
                <w:b/>
                <w:bCs/>
                <w:spacing w:val="-7"/>
              </w:rPr>
              <w:t>知识</w:t>
            </w:r>
            <w:r>
              <w:t xml:space="preserve">  </w:t>
            </w:r>
            <w:r>
              <w:rPr>
                <w:b/>
                <w:bCs/>
                <w:spacing w:val="-6"/>
              </w:rPr>
              <w:t>与技能</w:t>
            </w:r>
            <w:r>
              <w:rPr>
                <w:spacing w:val="1"/>
              </w:rPr>
              <w:t xml:space="preserve"> </w:t>
            </w:r>
            <w:r>
              <w:rPr>
                <w:b/>
                <w:bCs/>
                <w:spacing w:val="34"/>
              </w:rPr>
              <w:t>要点</w:t>
            </w:r>
          </w:p>
        </w:tc>
        <w:tc>
          <w:tcPr>
            <w:tcW w:w="2314" w:type="dxa"/>
            <w:vMerge w:val="restart"/>
            <w:tcBorders>
              <w:bottom w:val="nil"/>
            </w:tcBorders>
            <w:vAlign w:val="top"/>
          </w:tcPr>
          <w:p w14:paraId="68516345">
            <w:pPr>
              <w:pStyle w:val="6"/>
              <w:spacing w:before="249" w:line="219" w:lineRule="auto"/>
              <w:ind w:left="834"/>
            </w:pPr>
            <w:r>
              <w:rPr>
                <w:b/>
                <w:bCs/>
                <w:spacing w:val="5"/>
              </w:rPr>
              <w:t>考试条目</w:t>
            </w:r>
          </w:p>
        </w:tc>
        <w:tc>
          <w:tcPr>
            <w:tcW w:w="923" w:type="dxa"/>
            <w:gridSpan w:val="4"/>
            <w:vAlign w:val="top"/>
          </w:tcPr>
          <w:p w14:paraId="64A5CB42">
            <w:pPr>
              <w:pStyle w:val="6"/>
              <w:spacing w:before="89" w:line="219" w:lineRule="auto"/>
              <w:ind w:left="150"/>
            </w:pPr>
            <w:r>
              <w:rPr>
                <w:b/>
                <w:bCs/>
                <w:spacing w:val="-4"/>
              </w:rPr>
              <w:t>考试水平</w:t>
            </w:r>
          </w:p>
        </w:tc>
      </w:tr>
      <w:tr w14:paraId="688190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893" w:type="dxa"/>
            <w:vMerge w:val="continue"/>
            <w:tcBorders>
              <w:top w:val="nil"/>
            </w:tcBorders>
            <w:vAlign w:val="top"/>
          </w:tcPr>
          <w:p w14:paraId="2451EE7F">
            <w:pPr>
              <w:rPr>
                <w:rFonts w:ascii="Arial"/>
                <w:sz w:val="21"/>
              </w:rPr>
            </w:pPr>
          </w:p>
        </w:tc>
        <w:tc>
          <w:tcPr>
            <w:tcW w:w="2314" w:type="dxa"/>
            <w:vMerge w:val="continue"/>
            <w:tcBorders>
              <w:top w:val="nil"/>
            </w:tcBorders>
            <w:vAlign w:val="top"/>
          </w:tcPr>
          <w:p w14:paraId="151437A0">
            <w:pPr>
              <w:rPr>
                <w:rFonts w:ascii="Arial"/>
                <w:sz w:val="21"/>
              </w:rPr>
            </w:pPr>
          </w:p>
        </w:tc>
        <w:tc>
          <w:tcPr>
            <w:tcW w:w="229" w:type="dxa"/>
            <w:vAlign w:val="top"/>
          </w:tcPr>
          <w:p w14:paraId="181A11C5">
            <w:pPr>
              <w:pStyle w:val="6"/>
              <w:spacing w:before="120" w:line="184" w:lineRule="auto"/>
              <w:ind w:left="70"/>
            </w:pPr>
            <w:r>
              <w:rPr>
                <w:b/>
                <w:bCs/>
                <w:spacing w:val="-2"/>
              </w:rPr>
              <w:t>A</w:t>
            </w:r>
          </w:p>
        </w:tc>
        <w:tc>
          <w:tcPr>
            <w:tcW w:w="230" w:type="dxa"/>
            <w:vAlign w:val="top"/>
          </w:tcPr>
          <w:p w14:paraId="5EB976C7">
            <w:pPr>
              <w:pStyle w:val="6"/>
              <w:spacing w:before="122" w:line="182" w:lineRule="auto"/>
              <w:ind w:left="71"/>
            </w:pPr>
            <w:r>
              <w:rPr>
                <w:b/>
                <w:bCs/>
                <w:spacing w:val="-2"/>
              </w:rPr>
              <w:t>B</w:t>
            </w:r>
          </w:p>
        </w:tc>
        <w:tc>
          <w:tcPr>
            <w:tcW w:w="220" w:type="dxa"/>
            <w:vAlign w:val="top"/>
          </w:tcPr>
          <w:p w14:paraId="61B3B10E">
            <w:pPr>
              <w:pStyle w:val="6"/>
              <w:spacing w:before="120" w:line="183" w:lineRule="auto"/>
              <w:ind w:left="61"/>
            </w:pPr>
            <w:r>
              <w:rPr>
                <w:b/>
                <w:bCs/>
                <w:spacing w:val="-2"/>
              </w:rPr>
              <w:t>C</w:t>
            </w:r>
          </w:p>
        </w:tc>
        <w:tc>
          <w:tcPr>
            <w:tcW w:w="244" w:type="dxa"/>
            <w:vAlign w:val="top"/>
          </w:tcPr>
          <w:p w14:paraId="2EA63EE6">
            <w:pPr>
              <w:pStyle w:val="6"/>
              <w:spacing w:before="122" w:line="182" w:lineRule="auto"/>
              <w:ind w:left="71"/>
            </w:pPr>
            <w:r>
              <w:rPr>
                <w:b/>
                <w:bCs/>
                <w:spacing w:val="-2"/>
              </w:rPr>
              <w:t>D</w:t>
            </w:r>
          </w:p>
        </w:tc>
      </w:tr>
      <w:tr w14:paraId="7DCBC8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9" w:hRule="atLeast"/>
        </w:trPr>
        <w:tc>
          <w:tcPr>
            <w:tcW w:w="893" w:type="dxa"/>
            <w:vAlign w:val="top"/>
          </w:tcPr>
          <w:p w14:paraId="7A60E115">
            <w:pPr>
              <w:pStyle w:val="6"/>
              <w:spacing w:before="199" w:line="220" w:lineRule="auto"/>
              <w:ind w:left="94"/>
            </w:pPr>
            <w:r>
              <w:rPr>
                <w:spacing w:val="-2"/>
              </w:rPr>
              <w:t>领导活动</w:t>
            </w:r>
          </w:p>
        </w:tc>
        <w:tc>
          <w:tcPr>
            <w:tcW w:w="2314" w:type="dxa"/>
            <w:vAlign w:val="top"/>
          </w:tcPr>
          <w:p w14:paraId="2D8784D1">
            <w:pPr>
              <w:pStyle w:val="6"/>
              <w:spacing w:before="109" w:line="223" w:lineRule="auto"/>
              <w:ind w:left="12" w:right="920"/>
            </w:pPr>
            <w:r>
              <w:rPr>
                <w:spacing w:val="1"/>
              </w:rPr>
              <w:t xml:space="preserve">1.领导和领导活动 </w:t>
            </w:r>
            <w:r>
              <w:rPr>
                <w:spacing w:val="-1"/>
              </w:rPr>
              <w:t>2.领导活动的要素</w:t>
            </w:r>
          </w:p>
        </w:tc>
        <w:tc>
          <w:tcPr>
            <w:tcW w:w="229" w:type="dxa"/>
            <w:vAlign w:val="top"/>
          </w:tcPr>
          <w:p w14:paraId="5A8F2AD7">
            <w:pPr>
              <w:pStyle w:val="6"/>
              <w:spacing w:before="135" w:line="238" w:lineRule="auto"/>
              <w:ind w:left="28"/>
            </w:pPr>
            <w:r>
              <w:t>√</w:t>
            </w:r>
          </w:p>
        </w:tc>
        <w:tc>
          <w:tcPr>
            <w:tcW w:w="230" w:type="dxa"/>
            <w:vAlign w:val="top"/>
          </w:tcPr>
          <w:p w14:paraId="039F8AA7">
            <w:pPr>
              <w:spacing w:line="259" w:lineRule="auto"/>
              <w:rPr>
                <w:rFonts w:ascii="Arial"/>
                <w:sz w:val="21"/>
              </w:rPr>
            </w:pPr>
          </w:p>
          <w:p w14:paraId="065AF1E0">
            <w:pPr>
              <w:pStyle w:val="6"/>
              <w:spacing w:before="55" w:line="238" w:lineRule="auto"/>
              <w:ind w:left="29"/>
            </w:pPr>
            <w:r>
              <w:t>√</w:t>
            </w:r>
          </w:p>
        </w:tc>
        <w:tc>
          <w:tcPr>
            <w:tcW w:w="220" w:type="dxa"/>
            <w:vAlign w:val="top"/>
          </w:tcPr>
          <w:p w14:paraId="7572FAFC">
            <w:pPr>
              <w:rPr>
                <w:rFonts w:ascii="Arial"/>
                <w:sz w:val="21"/>
              </w:rPr>
            </w:pPr>
          </w:p>
        </w:tc>
        <w:tc>
          <w:tcPr>
            <w:tcW w:w="244" w:type="dxa"/>
            <w:vAlign w:val="top"/>
          </w:tcPr>
          <w:p w14:paraId="33B02EDE">
            <w:pPr>
              <w:rPr>
                <w:rFonts w:ascii="Arial"/>
                <w:sz w:val="21"/>
              </w:rPr>
            </w:pPr>
          </w:p>
        </w:tc>
      </w:tr>
      <w:tr w14:paraId="3AAAB4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58" w:hRule="atLeast"/>
        </w:trPr>
        <w:tc>
          <w:tcPr>
            <w:tcW w:w="893" w:type="dxa"/>
            <w:vAlign w:val="top"/>
          </w:tcPr>
          <w:p w14:paraId="782417F2">
            <w:pPr>
              <w:pStyle w:val="6"/>
              <w:spacing w:before="250" w:line="220" w:lineRule="auto"/>
              <w:ind w:left="94"/>
            </w:pPr>
            <w:r>
              <w:rPr>
                <w:spacing w:val="3"/>
              </w:rPr>
              <w:t>领导意图</w:t>
            </w:r>
          </w:p>
        </w:tc>
        <w:tc>
          <w:tcPr>
            <w:tcW w:w="2314" w:type="dxa"/>
            <w:vAlign w:val="top"/>
          </w:tcPr>
          <w:p w14:paraId="64270778">
            <w:pPr>
              <w:pStyle w:val="6"/>
              <w:spacing w:before="149" w:line="230" w:lineRule="auto"/>
              <w:ind w:left="12" w:right="923"/>
            </w:pPr>
            <w:r>
              <w:t>1.领导意图的含义</w:t>
            </w:r>
            <w:r>
              <w:rPr>
                <w:spacing w:val="7"/>
              </w:rPr>
              <w:t xml:space="preserve"> </w:t>
            </w:r>
            <w:r>
              <w:rPr>
                <w:spacing w:val="-1"/>
              </w:rPr>
              <w:t>2.领导意图的形成</w:t>
            </w:r>
          </w:p>
        </w:tc>
        <w:tc>
          <w:tcPr>
            <w:tcW w:w="229" w:type="dxa"/>
            <w:vAlign w:val="top"/>
          </w:tcPr>
          <w:p w14:paraId="6EEDAD02">
            <w:pPr>
              <w:pStyle w:val="6"/>
              <w:spacing w:before="177" w:line="238" w:lineRule="auto"/>
              <w:ind w:left="28"/>
            </w:pPr>
            <w:r>
              <w:t>√</w:t>
            </w:r>
          </w:p>
        </w:tc>
        <w:tc>
          <w:tcPr>
            <w:tcW w:w="230" w:type="dxa"/>
            <w:vAlign w:val="top"/>
          </w:tcPr>
          <w:p w14:paraId="631BC7AE">
            <w:pPr>
              <w:spacing w:line="319" w:lineRule="auto"/>
              <w:rPr>
                <w:rFonts w:ascii="Arial"/>
                <w:sz w:val="21"/>
              </w:rPr>
            </w:pPr>
          </w:p>
          <w:p w14:paraId="11B0D160">
            <w:pPr>
              <w:pStyle w:val="6"/>
              <w:spacing w:before="56" w:line="238" w:lineRule="auto"/>
              <w:ind w:left="29"/>
            </w:pPr>
            <w:r>
              <w:t>√</w:t>
            </w:r>
          </w:p>
        </w:tc>
        <w:tc>
          <w:tcPr>
            <w:tcW w:w="220" w:type="dxa"/>
            <w:vAlign w:val="top"/>
          </w:tcPr>
          <w:p w14:paraId="35B95105">
            <w:pPr>
              <w:rPr>
                <w:rFonts w:ascii="Arial"/>
                <w:sz w:val="21"/>
              </w:rPr>
            </w:pPr>
          </w:p>
        </w:tc>
        <w:tc>
          <w:tcPr>
            <w:tcW w:w="244" w:type="dxa"/>
            <w:vAlign w:val="top"/>
          </w:tcPr>
          <w:p w14:paraId="7285BEA5">
            <w:pPr>
              <w:rPr>
                <w:rFonts w:ascii="Arial"/>
                <w:sz w:val="21"/>
              </w:rPr>
            </w:pPr>
          </w:p>
        </w:tc>
      </w:tr>
      <w:tr w14:paraId="7C8900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78" w:hRule="atLeast"/>
        </w:trPr>
        <w:tc>
          <w:tcPr>
            <w:tcW w:w="893" w:type="dxa"/>
            <w:vAlign w:val="top"/>
          </w:tcPr>
          <w:p w14:paraId="7871413C">
            <w:pPr>
              <w:pStyle w:val="6"/>
              <w:spacing w:before="50" w:line="222" w:lineRule="auto"/>
              <w:ind w:left="94" w:right="92"/>
              <w:jc w:val="both"/>
            </w:pPr>
            <w:r>
              <w:rPr>
                <w:spacing w:val="-2"/>
              </w:rPr>
              <w:t>秘书工作</w:t>
            </w:r>
            <w:r>
              <w:rPr>
                <w:spacing w:val="1"/>
              </w:rPr>
              <w:t xml:space="preserve"> </w:t>
            </w:r>
            <w:r>
              <w:rPr>
                <w:spacing w:val="-2"/>
              </w:rPr>
              <w:t>在领导活</w:t>
            </w:r>
            <w:r>
              <w:rPr>
                <w:spacing w:val="1"/>
              </w:rPr>
              <w:t xml:space="preserve"> </w:t>
            </w:r>
            <w:r>
              <w:rPr>
                <w:spacing w:val="-2"/>
              </w:rPr>
              <w:t>动中的作</w:t>
            </w:r>
            <w:r>
              <w:t xml:space="preserve"> </w:t>
            </w:r>
            <w:r>
              <w:rPr>
                <w:spacing w:val="3"/>
              </w:rPr>
              <w:t>用和特点</w:t>
            </w:r>
          </w:p>
        </w:tc>
        <w:tc>
          <w:tcPr>
            <w:tcW w:w="2314" w:type="dxa"/>
            <w:vAlign w:val="top"/>
          </w:tcPr>
          <w:p w14:paraId="44A3A328">
            <w:pPr>
              <w:pStyle w:val="6"/>
              <w:spacing w:before="271" w:line="223" w:lineRule="auto"/>
              <w:ind w:left="12"/>
            </w:pPr>
            <w:r>
              <w:rPr>
                <w:spacing w:val="-6"/>
              </w:rPr>
              <w:t>1.秘书工作在领导活动中的作用</w:t>
            </w:r>
            <w:r>
              <w:t xml:space="preserve"> </w:t>
            </w:r>
            <w:r>
              <w:rPr>
                <w:spacing w:val="-7"/>
              </w:rPr>
              <w:t>2.秘书工作在领导活动中的特点</w:t>
            </w:r>
          </w:p>
        </w:tc>
        <w:tc>
          <w:tcPr>
            <w:tcW w:w="229" w:type="dxa"/>
            <w:vAlign w:val="top"/>
          </w:tcPr>
          <w:p w14:paraId="7BD66301">
            <w:pPr>
              <w:rPr>
                <w:rFonts w:ascii="Arial"/>
                <w:sz w:val="21"/>
              </w:rPr>
            </w:pPr>
          </w:p>
        </w:tc>
        <w:tc>
          <w:tcPr>
            <w:tcW w:w="230" w:type="dxa"/>
            <w:vAlign w:val="top"/>
          </w:tcPr>
          <w:p w14:paraId="5FC0B55E">
            <w:pPr>
              <w:rPr>
                <w:rFonts w:ascii="Arial"/>
                <w:sz w:val="21"/>
              </w:rPr>
            </w:pPr>
          </w:p>
        </w:tc>
        <w:tc>
          <w:tcPr>
            <w:tcW w:w="220" w:type="dxa"/>
            <w:vAlign w:val="top"/>
          </w:tcPr>
          <w:p w14:paraId="09CD4CD3">
            <w:pPr>
              <w:rPr>
                <w:rFonts w:ascii="Arial"/>
                <w:sz w:val="21"/>
              </w:rPr>
            </w:pPr>
          </w:p>
        </w:tc>
        <w:tc>
          <w:tcPr>
            <w:tcW w:w="244" w:type="dxa"/>
            <w:textDirection w:val="btLr"/>
            <w:vAlign w:val="top"/>
          </w:tcPr>
          <w:p w14:paraId="14B0D75C">
            <w:pPr>
              <w:pStyle w:val="6"/>
              <w:spacing w:before="52" w:line="209" w:lineRule="auto"/>
              <w:ind w:left="229"/>
            </w:pPr>
            <w:r>
              <w:rPr>
                <w:spacing w:val="-7"/>
              </w:rPr>
              <w:t>≤v</w:t>
            </w:r>
          </w:p>
        </w:tc>
      </w:tr>
      <w:tr w14:paraId="73664C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02" w:hRule="atLeast"/>
        </w:trPr>
        <w:tc>
          <w:tcPr>
            <w:tcW w:w="893" w:type="dxa"/>
            <w:vAlign w:val="top"/>
          </w:tcPr>
          <w:p w14:paraId="019E855B">
            <w:pPr>
              <w:pStyle w:val="6"/>
              <w:spacing w:before="102" w:line="219" w:lineRule="auto"/>
              <w:ind w:left="94"/>
            </w:pPr>
            <w:r>
              <w:rPr>
                <w:spacing w:val="-2"/>
              </w:rPr>
              <w:t>秘书与领</w:t>
            </w:r>
          </w:p>
          <w:p w14:paraId="3FC177D1">
            <w:pPr>
              <w:pStyle w:val="6"/>
              <w:spacing w:before="30" w:line="215" w:lineRule="auto"/>
              <w:ind w:left="94"/>
            </w:pPr>
            <w:r>
              <w:rPr>
                <w:spacing w:val="-3"/>
              </w:rPr>
              <w:t>导者相处</w:t>
            </w:r>
          </w:p>
          <w:p w14:paraId="583CAFEF">
            <w:pPr>
              <w:pStyle w:val="6"/>
              <w:spacing w:line="218" w:lineRule="auto"/>
              <w:ind w:left="185"/>
            </w:pPr>
            <w:r>
              <w:rPr>
                <w:spacing w:val="2"/>
              </w:rPr>
              <w:t>的基本</w:t>
            </w:r>
          </w:p>
          <w:p w14:paraId="708972C3">
            <w:pPr>
              <w:pStyle w:val="6"/>
              <w:spacing w:before="30" w:line="220" w:lineRule="auto"/>
              <w:ind w:left="265"/>
            </w:pPr>
            <w:r>
              <w:rPr>
                <w:spacing w:val="7"/>
              </w:rPr>
              <w:t>原则</w:t>
            </w:r>
          </w:p>
        </w:tc>
        <w:tc>
          <w:tcPr>
            <w:tcW w:w="2314" w:type="dxa"/>
            <w:vAlign w:val="top"/>
          </w:tcPr>
          <w:p w14:paraId="7B523433">
            <w:pPr>
              <w:pStyle w:val="6"/>
              <w:spacing w:before="92" w:line="219" w:lineRule="auto"/>
              <w:ind w:left="12"/>
            </w:pPr>
            <w:r>
              <w:rPr>
                <w:spacing w:val="1"/>
              </w:rPr>
              <w:t>1.秘书与领导者的关系</w:t>
            </w:r>
          </w:p>
          <w:p w14:paraId="1BC25DFD">
            <w:pPr>
              <w:pStyle w:val="6"/>
              <w:spacing w:before="8" w:line="250" w:lineRule="auto"/>
              <w:ind w:left="12" w:right="260"/>
            </w:pPr>
            <w:r>
              <w:rPr>
                <w:spacing w:val="-1"/>
              </w:rPr>
              <w:t>2.秘书与领导班子相处的基</w:t>
            </w:r>
            <w:r>
              <w:rPr>
                <w:spacing w:val="3"/>
              </w:rPr>
              <w:t xml:space="preserve"> </w:t>
            </w:r>
            <w:r>
              <w:rPr>
                <w:spacing w:val="5"/>
              </w:rPr>
              <w:t>本原则</w:t>
            </w:r>
          </w:p>
          <w:p w14:paraId="6A373937">
            <w:pPr>
              <w:pStyle w:val="6"/>
              <w:spacing w:line="218" w:lineRule="auto"/>
              <w:jc w:val="right"/>
            </w:pPr>
            <w:r>
              <w:rPr>
                <w:spacing w:val="-6"/>
              </w:rPr>
              <w:t>3.秘书与具体领导人相处的原则</w:t>
            </w:r>
          </w:p>
        </w:tc>
        <w:tc>
          <w:tcPr>
            <w:tcW w:w="229" w:type="dxa"/>
            <w:vAlign w:val="top"/>
          </w:tcPr>
          <w:p w14:paraId="1E6AD1B7">
            <w:pPr>
              <w:rPr>
                <w:rFonts w:ascii="Arial"/>
                <w:sz w:val="21"/>
              </w:rPr>
            </w:pPr>
          </w:p>
        </w:tc>
        <w:tc>
          <w:tcPr>
            <w:tcW w:w="230" w:type="dxa"/>
            <w:vAlign w:val="top"/>
          </w:tcPr>
          <w:p w14:paraId="4B2E68A0">
            <w:pPr>
              <w:rPr>
                <w:rFonts w:ascii="Arial"/>
                <w:sz w:val="21"/>
              </w:rPr>
            </w:pPr>
          </w:p>
        </w:tc>
        <w:tc>
          <w:tcPr>
            <w:tcW w:w="220" w:type="dxa"/>
            <w:vAlign w:val="top"/>
          </w:tcPr>
          <w:p w14:paraId="284BA2DF">
            <w:pPr>
              <w:pStyle w:val="6"/>
              <w:spacing w:before="108" w:line="182" w:lineRule="auto"/>
              <w:ind w:left="59"/>
            </w:pPr>
            <w:r>
              <w:t>V</w:t>
            </w:r>
          </w:p>
        </w:tc>
        <w:tc>
          <w:tcPr>
            <w:tcW w:w="244" w:type="dxa"/>
            <w:textDirection w:val="tbRlV"/>
            <w:vAlign w:val="top"/>
          </w:tcPr>
          <w:p w14:paraId="01C24A76">
            <w:pPr>
              <w:pStyle w:val="6"/>
              <w:spacing w:before="61" w:line="185" w:lineRule="exact"/>
              <w:ind w:left="392"/>
              <w:rPr>
                <w:sz w:val="24"/>
                <w:szCs w:val="24"/>
              </w:rPr>
            </w:pPr>
            <w:r>
              <w:pict>
                <v:shape id="_x0000_s1039" o:spid="_x0000_s1039" o:spt="202" type="#_x0000_t202" style="position:absolute;left:0pt;margin-left:0.75pt;margin-top:10.5pt;height:13pt;width:8.1pt;mso-position-horizontal-relative:page;mso-position-vertical-relative:page;z-index:251688960;mso-width-relative:page;mso-height-relative:page;" filled="f" stroked="f" coordsize="21600,21600">
                  <v:path/>
                  <v:fill on="f" focussize="0,0"/>
                  <v:stroke on="f"/>
                  <v:imagedata o:title=""/>
                  <o:lock v:ext="edit" aspectratio="f"/>
                  <v:textbox inset="0mm,0mm,0mm,0mm">
                    <w:txbxContent>
                      <w:p w14:paraId="36927730">
                        <w:pPr>
                          <w:pStyle w:val="6"/>
                          <w:spacing w:before="20" w:line="238" w:lineRule="auto"/>
                          <w:jc w:val="right"/>
                        </w:pPr>
                        <w:r>
                          <w:rPr>
                            <w:spacing w:val="-49"/>
                          </w:rPr>
                          <w:t>√</w:t>
                        </w:r>
                      </w:p>
                    </w:txbxContent>
                  </v:textbox>
                </v:shape>
              </w:pict>
            </w:r>
            <w:r>
              <w:rPr>
                <w:spacing w:val="27"/>
                <w:w w:val="150"/>
                <w:position w:val="-4"/>
                <w:sz w:val="24"/>
                <w:szCs w:val="24"/>
              </w:rPr>
              <w:t>V</w:t>
            </w:r>
          </w:p>
        </w:tc>
      </w:tr>
    </w:tbl>
    <w:p w14:paraId="5E46685E">
      <w:pPr>
        <w:spacing w:before="109" w:line="222" w:lineRule="auto"/>
        <w:ind w:left="977"/>
        <w:rPr>
          <w:rFonts w:ascii="黑体" w:hAnsi="黑体" w:eastAsia="黑体" w:cs="黑体"/>
          <w:sz w:val="20"/>
          <w:szCs w:val="20"/>
        </w:rPr>
      </w:pPr>
      <w:r>
        <w:rPr>
          <w:rFonts w:ascii="黑体" w:hAnsi="黑体" w:eastAsia="黑体" w:cs="黑体"/>
          <w:b/>
          <w:bCs/>
          <w:spacing w:val="-4"/>
          <w:sz w:val="20"/>
          <w:szCs w:val="20"/>
        </w:rPr>
        <w:t>专题三</w:t>
      </w:r>
      <w:r>
        <w:rPr>
          <w:rFonts w:ascii="黑体" w:hAnsi="黑体" w:eastAsia="黑体" w:cs="黑体"/>
          <w:spacing w:val="-4"/>
          <w:sz w:val="20"/>
          <w:szCs w:val="20"/>
        </w:rPr>
        <w:t xml:space="preserve">  </w:t>
      </w:r>
      <w:r>
        <w:rPr>
          <w:rFonts w:ascii="黑体" w:hAnsi="黑体" w:eastAsia="黑体" w:cs="黑体"/>
          <w:b/>
          <w:bCs/>
          <w:spacing w:val="-4"/>
          <w:sz w:val="20"/>
          <w:szCs w:val="20"/>
        </w:rPr>
        <w:t>信息与秘书工作</w:t>
      </w:r>
    </w:p>
    <w:p w14:paraId="4B580F6E">
      <w:pPr>
        <w:spacing w:line="90" w:lineRule="exact"/>
      </w:pPr>
    </w:p>
    <w:tbl>
      <w:tblPr>
        <w:tblStyle w:val="5"/>
        <w:tblW w:w="413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14"/>
        <w:gridCol w:w="229"/>
        <w:gridCol w:w="230"/>
        <w:gridCol w:w="220"/>
        <w:gridCol w:w="244"/>
      </w:tblGrid>
      <w:tr w14:paraId="5E67D6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9" w:hRule="atLeast"/>
        </w:trPr>
        <w:tc>
          <w:tcPr>
            <w:tcW w:w="893" w:type="dxa"/>
            <w:vMerge w:val="restart"/>
            <w:tcBorders>
              <w:top w:val="single" w:color="000000" w:sz="2" w:space="0"/>
              <w:bottom w:val="nil"/>
            </w:tcBorders>
            <w:vAlign w:val="top"/>
          </w:tcPr>
          <w:p w14:paraId="02B806D7">
            <w:pPr>
              <w:pStyle w:val="6"/>
              <w:spacing w:before="26" w:line="225" w:lineRule="auto"/>
              <w:ind w:left="187" w:right="195" w:firstLine="79"/>
            </w:pPr>
            <w:r>
              <w:rPr>
                <w:b/>
                <w:bCs/>
                <w:spacing w:val="-7"/>
              </w:rPr>
              <w:t>知识</w:t>
            </w:r>
            <w:r>
              <w:t xml:space="preserve">  </w:t>
            </w:r>
            <w:r>
              <w:rPr>
                <w:b/>
                <w:bCs/>
                <w:spacing w:val="-6"/>
              </w:rPr>
              <w:t>与技能</w:t>
            </w:r>
            <w:r>
              <w:rPr>
                <w:spacing w:val="1"/>
              </w:rPr>
              <w:t xml:space="preserve"> </w:t>
            </w:r>
            <w:r>
              <w:rPr>
                <w:b/>
                <w:bCs/>
                <w:spacing w:val="34"/>
              </w:rPr>
              <w:t>要点</w:t>
            </w:r>
          </w:p>
        </w:tc>
        <w:tc>
          <w:tcPr>
            <w:tcW w:w="2314" w:type="dxa"/>
            <w:vMerge w:val="restart"/>
            <w:tcBorders>
              <w:top w:val="single" w:color="000000" w:sz="2" w:space="0"/>
              <w:bottom w:val="nil"/>
            </w:tcBorders>
            <w:vAlign w:val="top"/>
          </w:tcPr>
          <w:p w14:paraId="122E4CB8">
            <w:pPr>
              <w:pStyle w:val="6"/>
              <w:spacing w:before="244" w:line="219" w:lineRule="auto"/>
              <w:ind w:left="834"/>
            </w:pPr>
            <w:r>
              <w:rPr>
                <w:b/>
                <w:bCs/>
                <w:spacing w:val="5"/>
              </w:rPr>
              <w:t>考试条目</w:t>
            </w:r>
          </w:p>
        </w:tc>
        <w:tc>
          <w:tcPr>
            <w:tcW w:w="923" w:type="dxa"/>
            <w:gridSpan w:val="4"/>
            <w:tcBorders>
              <w:top w:val="single" w:color="000000" w:sz="2" w:space="0"/>
              <w:bottom w:val="single" w:color="000000" w:sz="2" w:space="0"/>
            </w:tcBorders>
            <w:vAlign w:val="top"/>
          </w:tcPr>
          <w:p w14:paraId="5219A122">
            <w:pPr>
              <w:pStyle w:val="6"/>
              <w:spacing w:before="64" w:line="219" w:lineRule="auto"/>
              <w:ind w:left="130"/>
            </w:pPr>
            <w:r>
              <w:rPr>
                <w:b/>
                <w:bCs/>
                <w:spacing w:val="-4"/>
              </w:rPr>
              <w:t>考试水平</w:t>
            </w:r>
          </w:p>
        </w:tc>
      </w:tr>
      <w:tr w14:paraId="2F4822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4" w:hRule="atLeast"/>
        </w:trPr>
        <w:tc>
          <w:tcPr>
            <w:tcW w:w="893" w:type="dxa"/>
            <w:vMerge w:val="continue"/>
            <w:tcBorders>
              <w:top w:val="nil"/>
              <w:bottom w:val="single" w:color="000000" w:sz="2" w:space="0"/>
            </w:tcBorders>
            <w:vAlign w:val="top"/>
          </w:tcPr>
          <w:p w14:paraId="41E34FC5">
            <w:pPr>
              <w:rPr>
                <w:rFonts w:ascii="Arial"/>
                <w:sz w:val="21"/>
              </w:rPr>
            </w:pPr>
          </w:p>
        </w:tc>
        <w:tc>
          <w:tcPr>
            <w:tcW w:w="2314" w:type="dxa"/>
            <w:vMerge w:val="continue"/>
            <w:tcBorders>
              <w:top w:val="nil"/>
              <w:bottom w:val="single" w:color="000000" w:sz="2" w:space="0"/>
            </w:tcBorders>
            <w:vAlign w:val="top"/>
          </w:tcPr>
          <w:p w14:paraId="6312D7D5">
            <w:pPr>
              <w:rPr>
                <w:rFonts w:ascii="Arial"/>
                <w:sz w:val="21"/>
              </w:rPr>
            </w:pPr>
          </w:p>
        </w:tc>
        <w:tc>
          <w:tcPr>
            <w:tcW w:w="229" w:type="dxa"/>
            <w:tcBorders>
              <w:top w:val="single" w:color="000000" w:sz="2" w:space="0"/>
              <w:bottom w:val="single" w:color="000000" w:sz="2" w:space="0"/>
            </w:tcBorders>
            <w:vAlign w:val="top"/>
          </w:tcPr>
          <w:p w14:paraId="1BA31E58">
            <w:pPr>
              <w:pStyle w:val="6"/>
              <w:spacing w:before="145" w:line="184" w:lineRule="auto"/>
              <w:ind w:left="50"/>
            </w:pPr>
            <w:r>
              <w:rPr>
                <w:b/>
                <w:bCs/>
                <w:spacing w:val="-2"/>
              </w:rPr>
              <w:t>A</w:t>
            </w:r>
          </w:p>
        </w:tc>
        <w:tc>
          <w:tcPr>
            <w:tcW w:w="230" w:type="dxa"/>
            <w:tcBorders>
              <w:top w:val="single" w:color="000000" w:sz="2" w:space="0"/>
              <w:bottom w:val="single" w:color="000000" w:sz="2" w:space="0"/>
            </w:tcBorders>
            <w:vAlign w:val="top"/>
          </w:tcPr>
          <w:p w14:paraId="6EE3EA5E">
            <w:pPr>
              <w:pStyle w:val="6"/>
              <w:spacing w:before="147" w:line="182" w:lineRule="auto"/>
              <w:ind w:left="31"/>
            </w:pPr>
            <w:r>
              <w:rPr>
                <w:b/>
                <w:bCs/>
                <w:spacing w:val="-2"/>
              </w:rPr>
              <w:t>B</w:t>
            </w:r>
          </w:p>
        </w:tc>
        <w:tc>
          <w:tcPr>
            <w:tcW w:w="220" w:type="dxa"/>
            <w:tcBorders>
              <w:top w:val="single" w:color="000000" w:sz="2" w:space="0"/>
              <w:bottom w:val="single" w:color="000000" w:sz="2" w:space="0"/>
            </w:tcBorders>
            <w:vAlign w:val="top"/>
          </w:tcPr>
          <w:p w14:paraId="0A1C4367">
            <w:pPr>
              <w:pStyle w:val="6"/>
              <w:spacing w:before="145" w:line="183" w:lineRule="auto"/>
              <w:ind w:left="41"/>
            </w:pPr>
            <w:r>
              <w:rPr>
                <w:b/>
                <w:bCs/>
                <w:spacing w:val="-2"/>
              </w:rPr>
              <w:t>C</w:t>
            </w:r>
          </w:p>
        </w:tc>
        <w:tc>
          <w:tcPr>
            <w:tcW w:w="244" w:type="dxa"/>
            <w:tcBorders>
              <w:top w:val="single" w:color="000000" w:sz="2" w:space="0"/>
              <w:bottom w:val="single" w:color="000000" w:sz="2" w:space="0"/>
            </w:tcBorders>
            <w:vAlign w:val="top"/>
          </w:tcPr>
          <w:p w14:paraId="6D683F1D">
            <w:pPr>
              <w:pStyle w:val="6"/>
              <w:spacing w:before="147" w:line="182" w:lineRule="auto"/>
              <w:ind w:left="41"/>
            </w:pPr>
            <w:r>
              <w:rPr>
                <w:b/>
                <w:bCs/>
                <w:spacing w:val="-2"/>
              </w:rPr>
              <w:t>D</w:t>
            </w:r>
          </w:p>
        </w:tc>
      </w:tr>
      <w:tr w14:paraId="1706DA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83" w:hRule="atLeast"/>
        </w:trPr>
        <w:tc>
          <w:tcPr>
            <w:tcW w:w="893" w:type="dxa"/>
            <w:tcBorders>
              <w:top w:val="single" w:color="000000" w:sz="2" w:space="0"/>
              <w:bottom w:val="single" w:color="000000" w:sz="2" w:space="0"/>
            </w:tcBorders>
            <w:vAlign w:val="top"/>
          </w:tcPr>
          <w:p w14:paraId="6459DC9B">
            <w:pPr>
              <w:pStyle w:val="6"/>
              <w:spacing w:before="33" w:line="219" w:lineRule="auto"/>
              <w:ind w:left="94"/>
            </w:pPr>
            <w:r>
              <w:rPr>
                <w:spacing w:val="-2"/>
              </w:rPr>
              <w:t>信息及其</w:t>
            </w:r>
          </w:p>
          <w:p w14:paraId="70C9BCCF">
            <w:pPr>
              <w:pStyle w:val="6"/>
              <w:spacing w:before="17" w:line="219" w:lineRule="auto"/>
              <w:ind w:left="94"/>
            </w:pPr>
            <w:r>
              <w:rPr>
                <w:spacing w:val="-2"/>
              </w:rPr>
              <w:t>在秘书工</w:t>
            </w:r>
          </w:p>
          <w:p w14:paraId="452D21F1">
            <w:pPr>
              <w:pStyle w:val="6"/>
              <w:spacing w:before="39" w:line="217" w:lineRule="auto"/>
              <w:ind w:left="185"/>
            </w:pPr>
            <w:r>
              <w:rPr>
                <w:spacing w:val="4"/>
              </w:rPr>
              <w:t>作中的</w:t>
            </w:r>
          </w:p>
          <w:p w14:paraId="664CF105">
            <w:pPr>
              <w:pStyle w:val="6"/>
              <w:spacing w:line="194" w:lineRule="auto"/>
              <w:ind w:left="265"/>
            </w:pPr>
            <w:r>
              <w:rPr>
                <w:spacing w:val="10"/>
              </w:rPr>
              <w:t>作用</w:t>
            </w:r>
          </w:p>
        </w:tc>
        <w:tc>
          <w:tcPr>
            <w:tcW w:w="2314" w:type="dxa"/>
            <w:tcBorders>
              <w:top w:val="single" w:color="000000" w:sz="2" w:space="0"/>
              <w:bottom w:val="single" w:color="000000" w:sz="2" w:space="0"/>
            </w:tcBorders>
            <w:vAlign w:val="top"/>
          </w:tcPr>
          <w:p w14:paraId="6CC13363">
            <w:pPr>
              <w:pStyle w:val="6"/>
              <w:spacing w:before="153" w:line="219" w:lineRule="auto"/>
              <w:ind w:left="12"/>
            </w:pPr>
            <w:r>
              <w:t>1.信息的概念与特征</w:t>
            </w:r>
          </w:p>
          <w:p w14:paraId="6D0B1ED6">
            <w:pPr>
              <w:pStyle w:val="6"/>
              <w:spacing w:before="17" w:line="223" w:lineRule="auto"/>
              <w:ind w:left="12"/>
            </w:pPr>
            <w:r>
              <w:rPr>
                <w:spacing w:val="-7"/>
              </w:rPr>
              <w:t>2.现代社会信息工作的基本特征</w:t>
            </w:r>
            <w:r>
              <w:rPr>
                <w:spacing w:val="3"/>
              </w:rPr>
              <w:t xml:space="preserve"> </w:t>
            </w:r>
            <w:r>
              <w:rPr>
                <w:spacing w:val="-6"/>
              </w:rPr>
              <w:t>3.信息工作在秘书活动中的作用</w:t>
            </w:r>
          </w:p>
        </w:tc>
        <w:tc>
          <w:tcPr>
            <w:tcW w:w="229" w:type="dxa"/>
            <w:tcBorders>
              <w:top w:val="single" w:color="000000" w:sz="2" w:space="0"/>
              <w:bottom w:val="single" w:color="000000" w:sz="2" w:space="0"/>
            </w:tcBorders>
            <w:vAlign w:val="top"/>
          </w:tcPr>
          <w:p w14:paraId="6CB87043">
            <w:pPr>
              <w:rPr>
                <w:rFonts w:ascii="Arial"/>
                <w:sz w:val="21"/>
              </w:rPr>
            </w:pPr>
          </w:p>
        </w:tc>
        <w:tc>
          <w:tcPr>
            <w:tcW w:w="230" w:type="dxa"/>
            <w:tcBorders>
              <w:top w:val="single" w:color="000000" w:sz="2" w:space="0"/>
              <w:bottom w:val="single" w:color="000000" w:sz="2" w:space="0"/>
            </w:tcBorders>
            <w:vAlign w:val="top"/>
          </w:tcPr>
          <w:p w14:paraId="706E187E">
            <w:pPr>
              <w:rPr>
                <w:rFonts w:ascii="Arial"/>
                <w:sz w:val="21"/>
              </w:rPr>
            </w:pPr>
          </w:p>
        </w:tc>
        <w:tc>
          <w:tcPr>
            <w:tcW w:w="220" w:type="dxa"/>
            <w:tcBorders>
              <w:top w:val="single" w:color="000000" w:sz="2" w:space="0"/>
              <w:bottom w:val="single" w:color="000000" w:sz="2" w:space="0"/>
            </w:tcBorders>
            <w:vAlign w:val="top"/>
          </w:tcPr>
          <w:p w14:paraId="7FEFE643">
            <w:pPr>
              <w:rPr>
                <w:rFonts w:ascii="Arial"/>
                <w:sz w:val="21"/>
              </w:rPr>
            </w:pPr>
          </w:p>
        </w:tc>
        <w:tc>
          <w:tcPr>
            <w:tcW w:w="244" w:type="dxa"/>
            <w:tcBorders>
              <w:top w:val="single" w:color="000000" w:sz="2" w:space="0"/>
              <w:bottom w:val="single" w:color="000000" w:sz="2" w:space="0"/>
            </w:tcBorders>
            <w:vAlign w:val="top"/>
          </w:tcPr>
          <w:p w14:paraId="16CB6CFC">
            <w:pPr>
              <w:rPr>
                <w:rFonts w:ascii="Arial"/>
                <w:sz w:val="21"/>
              </w:rPr>
            </w:pPr>
          </w:p>
        </w:tc>
      </w:tr>
      <w:tr w14:paraId="63D3F7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27" w:hRule="atLeast"/>
        </w:trPr>
        <w:tc>
          <w:tcPr>
            <w:tcW w:w="893" w:type="dxa"/>
            <w:tcBorders>
              <w:top w:val="single" w:color="000000" w:sz="2" w:space="0"/>
              <w:bottom w:val="single" w:color="000000" w:sz="2" w:space="0"/>
            </w:tcBorders>
            <w:vAlign w:val="top"/>
          </w:tcPr>
          <w:p w14:paraId="67578D7D">
            <w:pPr>
              <w:pStyle w:val="6"/>
              <w:spacing w:before="74" w:line="218" w:lineRule="auto"/>
              <w:ind w:left="94"/>
            </w:pPr>
            <w:r>
              <w:rPr>
                <w:spacing w:val="-2"/>
              </w:rPr>
              <w:t>秘书信息</w:t>
            </w:r>
          </w:p>
          <w:p w14:paraId="54A90505">
            <w:pPr>
              <w:pStyle w:val="6"/>
              <w:spacing w:line="219" w:lineRule="auto"/>
              <w:ind w:left="94"/>
            </w:pPr>
            <w:r>
              <w:rPr>
                <w:spacing w:val="-2"/>
              </w:rPr>
              <w:t>工作的特</w:t>
            </w:r>
          </w:p>
          <w:p w14:paraId="6C8D2228">
            <w:pPr>
              <w:pStyle w:val="6"/>
              <w:spacing w:before="18" w:line="220" w:lineRule="auto"/>
              <w:ind w:left="94"/>
            </w:pPr>
            <w:r>
              <w:rPr>
                <w:spacing w:val="3"/>
              </w:rPr>
              <w:t>点、原则</w:t>
            </w:r>
          </w:p>
          <w:p w14:paraId="1EF598AE">
            <w:pPr>
              <w:pStyle w:val="6"/>
              <w:spacing w:before="37" w:line="197" w:lineRule="auto"/>
              <w:ind w:left="185"/>
            </w:pPr>
            <w:r>
              <w:rPr>
                <w:spacing w:val="-2"/>
              </w:rPr>
              <w:t>和要求</w:t>
            </w:r>
          </w:p>
        </w:tc>
        <w:tc>
          <w:tcPr>
            <w:tcW w:w="2314" w:type="dxa"/>
            <w:tcBorders>
              <w:top w:val="single" w:color="000000" w:sz="2" w:space="0"/>
              <w:bottom w:val="single" w:color="000000" w:sz="2" w:space="0"/>
            </w:tcBorders>
            <w:vAlign w:val="top"/>
          </w:tcPr>
          <w:p w14:paraId="13B3B855">
            <w:pPr>
              <w:pStyle w:val="6"/>
              <w:spacing w:before="173" w:line="219" w:lineRule="auto"/>
              <w:ind w:left="12"/>
            </w:pPr>
            <w:r>
              <w:rPr>
                <w:spacing w:val="1"/>
              </w:rPr>
              <w:t>1.秘书信息工作的特点</w:t>
            </w:r>
          </w:p>
          <w:p w14:paraId="0DAF3B99">
            <w:pPr>
              <w:pStyle w:val="6"/>
              <w:spacing w:before="38" w:line="217" w:lineRule="auto"/>
              <w:ind w:left="12"/>
            </w:pPr>
            <w:r>
              <w:rPr>
                <w:spacing w:val="1"/>
              </w:rPr>
              <w:t>2.秘书信息工作的原则</w:t>
            </w:r>
          </w:p>
          <w:p w14:paraId="1C4C130C">
            <w:pPr>
              <w:pStyle w:val="6"/>
              <w:spacing w:line="218" w:lineRule="auto"/>
              <w:ind w:left="12"/>
            </w:pPr>
            <w:r>
              <w:rPr>
                <w:spacing w:val="-1"/>
              </w:rPr>
              <w:t>3.秘书信息工作的基本要求</w:t>
            </w:r>
          </w:p>
        </w:tc>
        <w:tc>
          <w:tcPr>
            <w:tcW w:w="229" w:type="dxa"/>
            <w:tcBorders>
              <w:top w:val="single" w:color="000000" w:sz="2" w:space="0"/>
              <w:bottom w:val="single" w:color="000000" w:sz="2" w:space="0"/>
            </w:tcBorders>
            <w:vAlign w:val="top"/>
          </w:tcPr>
          <w:p w14:paraId="75E6FEDB">
            <w:pPr>
              <w:rPr>
                <w:rFonts w:ascii="Arial"/>
                <w:sz w:val="21"/>
              </w:rPr>
            </w:pPr>
          </w:p>
        </w:tc>
        <w:tc>
          <w:tcPr>
            <w:tcW w:w="230" w:type="dxa"/>
            <w:tcBorders>
              <w:top w:val="single" w:color="000000" w:sz="2" w:space="0"/>
              <w:bottom w:val="single" w:color="000000" w:sz="2" w:space="0"/>
            </w:tcBorders>
            <w:vAlign w:val="top"/>
          </w:tcPr>
          <w:p w14:paraId="0E31E777">
            <w:pPr>
              <w:rPr>
                <w:rFonts w:ascii="Arial"/>
                <w:sz w:val="21"/>
              </w:rPr>
            </w:pPr>
          </w:p>
        </w:tc>
        <w:tc>
          <w:tcPr>
            <w:tcW w:w="220" w:type="dxa"/>
            <w:tcBorders>
              <w:top w:val="single" w:color="000000" w:sz="2" w:space="0"/>
              <w:bottom w:val="single" w:color="000000" w:sz="2" w:space="0"/>
            </w:tcBorders>
            <w:vAlign w:val="top"/>
          </w:tcPr>
          <w:p w14:paraId="30146B0D">
            <w:pPr>
              <w:spacing w:before="211" w:line="320" w:lineRule="exact"/>
              <w:ind w:firstLine="27"/>
            </w:pPr>
            <w:r>
              <w:rPr>
                <w:position w:val="-6"/>
              </w:rPr>
              <w:drawing>
                <wp:inline distT="0" distB="0" distL="0" distR="0">
                  <wp:extent cx="97790" cy="203200"/>
                  <wp:effectExtent l="0" t="0" r="0" b="0"/>
                  <wp:docPr id="316" name="IM 316"/>
                  <wp:cNvGraphicFramePr/>
                  <a:graphic xmlns:a="http://schemas.openxmlformats.org/drawingml/2006/main">
                    <a:graphicData uri="http://schemas.openxmlformats.org/drawingml/2006/picture">
                      <pic:pic xmlns:pic="http://schemas.openxmlformats.org/drawingml/2006/picture">
                        <pic:nvPicPr>
                          <pic:cNvPr id="316" name="IM 316"/>
                          <pic:cNvPicPr/>
                        </pic:nvPicPr>
                        <pic:blipFill>
                          <a:blip r:embed="rId322"/>
                          <a:stretch>
                            <a:fillRect/>
                          </a:stretch>
                        </pic:blipFill>
                        <pic:spPr>
                          <a:xfrm>
                            <a:off x="0" y="0"/>
                            <a:ext cx="98197" cy="203373"/>
                          </a:xfrm>
                          <a:prstGeom prst="rect">
                            <a:avLst/>
                          </a:prstGeom>
                        </pic:spPr>
                      </pic:pic>
                    </a:graphicData>
                  </a:graphic>
                </wp:inline>
              </w:drawing>
            </w:r>
          </w:p>
        </w:tc>
        <w:tc>
          <w:tcPr>
            <w:tcW w:w="244" w:type="dxa"/>
            <w:tcBorders>
              <w:top w:val="single" w:color="000000" w:sz="2" w:space="0"/>
              <w:bottom w:val="single" w:color="000000" w:sz="2" w:space="0"/>
            </w:tcBorders>
            <w:vAlign w:val="top"/>
          </w:tcPr>
          <w:p w14:paraId="2249BCC7">
            <w:pPr>
              <w:rPr>
                <w:rFonts w:ascii="Arial"/>
                <w:sz w:val="21"/>
              </w:rPr>
            </w:pPr>
          </w:p>
        </w:tc>
      </w:tr>
    </w:tbl>
    <w:p w14:paraId="58240F3E">
      <w:pPr>
        <w:pStyle w:val="2"/>
        <w:spacing w:line="14" w:lineRule="auto"/>
        <w:rPr>
          <w:sz w:val="2"/>
        </w:rPr>
      </w:pPr>
    </w:p>
    <w:p w14:paraId="31CD23BC">
      <w:pPr>
        <w:spacing w:line="14" w:lineRule="auto"/>
        <w:rPr>
          <w:sz w:val="2"/>
          <w:szCs w:val="2"/>
        </w:rPr>
        <w:sectPr>
          <w:type w:val="continuous"/>
          <w:pgSz w:w="10660" w:h="15080"/>
          <w:pgMar w:top="400" w:right="885" w:bottom="925" w:left="1024" w:header="0" w:footer="705" w:gutter="0"/>
          <w:cols w:equalWidth="0" w:num="2">
            <w:col w:w="4501" w:space="100"/>
            <w:col w:w="4150"/>
          </w:cols>
        </w:sectPr>
      </w:pPr>
    </w:p>
    <w:p w14:paraId="4B71ABD3">
      <w:pPr>
        <w:spacing w:before="10"/>
      </w:pPr>
    </w:p>
    <w:p w14:paraId="0449F460">
      <w:pPr>
        <w:spacing w:before="10"/>
      </w:pPr>
    </w:p>
    <w:p w14:paraId="16FEC398">
      <w:pPr>
        <w:spacing w:before="10"/>
      </w:pPr>
    </w:p>
    <w:p w14:paraId="39CEFE78">
      <w:pPr>
        <w:spacing w:before="9"/>
      </w:pPr>
    </w:p>
    <w:p w14:paraId="684B57A4">
      <w:pPr>
        <w:sectPr>
          <w:footerReference r:id="rId62" w:type="default"/>
          <w:pgSz w:w="10660" w:h="15080"/>
          <w:pgMar w:top="400" w:right="1034" w:bottom="927" w:left="819" w:header="0" w:footer="719" w:gutter="0"/>
          <w:cols w:equalWidth="0" w:num="1">
            <w:col w:w="8806"/>
          </w:cols>
        </w:sectPr>
      </w:pPr>
    </w:p>
    <w:tbl>
      <w:tblPr>
        <w:tblStyle w:val="5"/>
        <w:tblW w:w="4130"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14"/>
        <w:gridCol w:w="230"/>
        <w:gridCol w:w="230"/>
        <w:gridCol w:w="219"/>
        <w:gridCol w:w="244"/>
      </w:tblGrid>
      <w:tr w14:paraId="64DDAB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4" w:hRule="atLeast"/>
        </w:trPr>
        <w:tc>
          <w:tcPr>
            <w:tcW w:w="893" w:type="dxa"/>
            <w:vMerge w:val="restart"/>
            <w:tcBorders>
              <w:bottom w:val="nil"/>
            </w:tcBorders>
            <w:vAlign w:val="top"/>
          </w:tcPr>
          <w:p w14:paraId="03008DBF">
            <w:pPr>
              <w:pStyle w:val="6"/>
              <w:spacing w:before="30" w:line="216" w:lineRule="auto"/>
              <w:ind w:left="187" w:right="195" w:firstLine="80"/>
            </w:pPr>
            <w:r>
              <w:rPr>
                <w:b/>
                <w:bCs/>
                <w:spacing w:val="-7"/>
              </w:rPr>
              <w:t>知识</w:t>
            </w:r>
            <w:r>
              <w:t xml:space="preserve">  </w:t>
            </w:r>
            <w:r>
              <w:rPr>
                <w:b/>
                <w:bCs/>
                <w:spacing w:val="-6"/>
              </w:rPr>
              <w:t>与技能</w:t>
            </w:r>
            <w:r>
              <w:rPr>
                <w:spacing w:val="1"/>
              </w:rPr>
              <w:t xml:space="preserve"> </w:t>
            </w:r>
            <w:r>
              <w:rPr>
                <w:b/>
                <w:bCs/>
                <w:spacing w:val="34"/>
              </w:rPr>
              <w:t>要点</w:t>
            </w:r>
          </w:p>
        </w:tc>
        <w:tc>
          <w:tcPr>
            <w:tcW w:w="2314" w:type="dxa"/>
            <w:vMerge w:val="restart"/>
            <w:tcBorders>
              <w:bottom w:val="nil"/>
            </w:tcBorders>
            <w:vAlign w:val="top"/>
          </w:tcPr>
          <w:p w14:paraId="5D234B1A">
            <w:pPr>
              <w:pStyle w:val="6"/>
              <w:spacing w:before="249" w:line="219" w:lineRule="auto"/>
              <w:ind w:left="844"/>
            </w:pPr>
            <w:r>
              <w:rPr>
                <w:b/>
                <w:bCs/>
                <w:spacing w:val="5"/>
              </w:rPr>
              <w:t>考试条目</w:t>
            </w:r>
          </w:p>
        </w:tc>
        <w:tc>
          <w:tcPr>
            <w:tcW w:w="923" w:type="dxa"/>
            <w:gridSpan w:val="4"/>
            <w:vAlign w:val="top"/>
          </w:tcPr>
          <w:p w14:paraId="6B81024C">
            <w:pPr>
              <w:pStyle w:val="6"/>
              <w:spacing w:before="59" w:line="219" w:lineRule="auto"/>
              <w:ind w:left="130"/>
            </w:pPr>
            <w:r>
              <w:rPr>
                <w:b/>
                <w:bCs/>
                <w:spacing w:val="-4"/>
              </w:rPr>
              <w:t>考试水平</w:t>
            </w:r>
          </w:p>
        </w:tc>
      </w:tr>
      <w:tr w14:paraId="5C30FF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8" w:hRule="atLeast"/>
        </w:trPr>
        <w:tc>
          <w:tcPr>
            <w:tcW w:w="893" w:type="dxa"/>
            <w:vMerge w:val="continue"/>
            <w:tcBorders>
              <w:top w:val="nil"/>
            </w:tcBorders>
            <w:vAlign w:val="top"/>
          </w:tcPr>
          <w:p w14:paraId="5D3EA389">
            <w:pPr>
              <w:rPr>
                <w:rFonts w:ascii="Arial"/>
                <w:sz w:val="21"/>
              </w:rPr>
            </w:pPr>
          </w:p>
        </w:tc>
        <w:tc>
          <w:tcPr>
            <w:tcW w:w="2314" w:type="dxa"/>
            <w:vMerge w:val="continue"/>
            <w:tcBorders>
              <w:top w:val="nil"/>
            </w:tcBorders>
            <w:vAlign w:val="top"/>
          </w:tcPr>
          <w:p w14:paraId="5D84FA28">
            <w:pPr>
              <w:rPr>
                <w:rFonts w:ascii="Arial"/>
                <w:sz w:val="21"/>
              </w:rPr>
            </w:pPr>
          </w:p>
        </w:tc>
        <w:tc>
          <w:tcPr>
            <w:tcW w:w="230" w:type="dxa"/>
            <w:vAlign w:val="top"/>
          </w:tcPr>
          <w:p w14:paraId="7A465EDF">
            <w:pPr>
              <w:pStyle w:val="6"/>
              <w:spacing w:before="140" w:line="184" w:lineRule="auto"/>
              <w:ind w:left="50"/>
            </w:pPr>
            <w:r>
              <w:rPr>
                <w:b/>
                <w:bCs/>
                <w:spacing w:val="-2"/>
              </w:rPr>
              <w:t>A</w:t>
            </w:r>
          </w:p>
        </w:tc>
        <w:tc>
          <w:tcPr>
            <w:tcW w:w="230" w:type="dxa"/>
            <w:vAlign w:val="top"/>
          </w:tcPr>
          <w:p w14:paraId="060AA436">
            <w:pPr>
              <w:pStyle w:val="6"/>
              <w:spacing w:before="142" w:line="182" w:lineRule="auto"/>
              <w:ind w:left="20"/>
            </w:pPr>
            <w:r>
              <w:rPr>
                <w:b/>
                <w:bCs/>
                <w:spacing w:val="-2"/>
              </w:rPr>
              <w:t>B</w:t>
            </w:r>
          </w:p>
        </w:tc>
        <w:tc>
          <w:tcPr>
            <w:tcW w:w="219" w:type="dxa"/>
            <w:vAlign w:val="top"/>
          </w:tcPr>
          <w:p w14:paraId="0FDFBB7F">
            <w:pPr>
              <w:pStyle w:val="6"/>
              <w:spacing w:before="141" w:line="183" w:lineRule="auto"/>
              <w:ind w:left="48"/>
            </w:pPr>
            <w:r>
              <w:t>C</w:t>
            </w:r>
          </w:p>
        </w:tc>
        <w:tc>
          <w:tcPr>
            <w:tcW w:w="244" w:type="dxa"/>
            <w:vAlign w:val="top"/>
          </w:tcPr>
          <w:p w14:paraId="405514EF">
            <w:pPr>
              <w:pStyle w:val="6"/>
              <w:spacing w:before="142" w:line="182" w:lineRule="auto"/>
              <w:ind w:left="21"/>
            </w:pPr>
            <w:r>
              <w:rPr>
                <w:b/>
                <w:bCs/>
                <w:spacing w:val="-2"/>
              </w:rPr>
              <w:t>D</w:t>
            </w:r>
          </w:p>
        </w:tc>
      </w:tr>
      <w:tr w14:paraId="275421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76" w:hRule="atLeast"/>
        </w:trPr>
        <w:tc>
          <w:tcPr>
            <w:tcW w:w="893" w:type="dxa"/>
            <w:vAlign w:val="top"/>
          </w:tcPr>
          <w:p w14:paraId="4411847B">
            <w:pPr>
              <w:pStyle w:val="6"/>
              <w:spacing w:before="220" w:line="218" w:lineRule="auto"/>
              <w:ind w:left="264" w:right="194" w:hanging="80"/>
            </w:pPr>
            <w:r>
              <w:rPr>
                <w:spacing w:val="-3"/>
              </w:rPr>
              <w:t>信息的</w:t>
            </w:r>
            <w:r>
              <w:rPr>
                <w:spacing w:val="1"/>
              </w:rPr>
              <w:t xml:space="preserve"> </w:t>
            </w:r>
            <w:r>
              <w:rPr>
                <w:spacing w:val="-4"/>
              </w:rPr>
              <w:t>收集</w:t>
            </w:r>
          </w:p>
        </w:tc>
        <w:tc>
          <w:tcPr>
            <w:tcW w:w="2314" w:type="dxa"/>
            <w:vAlign w:val="top"/>
          </w:tcPr>
          <w:p w14:paraId="15B3E723">
            <w:pPr>
              <w:pStyle w:val="6"/>
              <w:spacing w:before="79" w:line="241" w:lineRule="auto"/>
              <w:ind w:left="2" w:right="933"/>
              <w:jc w:val="both"/>
            </w:pPr>
            <w:r>
              <w:t>1.信息收集的内容</w:t>
            </w:r>
            <w:r>
              <w:rPr>
                <w:spacing w:val="7"/>
              </w:rPr>
              <w:t xml:space="preserve"> </w:t>
            </w:r>
            <w:r>
              <w:rPr>
                <w:spacing w:val="-1"/>
              </w:rPr>
              <w:t>2.信息收集的渠道</w:t>
            </w:r>
            <w:r>
              <w:t xml:space="preserve"> </w:t>
            </w:r>
            <w:r>
              <w:rPr>
                <w:spacing w:val="-2"/>
              </w:rPr>
              <w:t>3.信息收集的方法</w:t>
            </w:r>
          </w:p>
        </w:tc>
        <w:tc>
          <w:tcPr>
            <w:tcW w:w="230" w:type="dxa"/>
            <w:vAlign w:val="top"/>
          </w:tcPr>
          <w:p w14:paraId="2093523F">
            <w:pPr>
              <w:rPr>
                <w:rFonts w:ascii="Arial"/>
                <w:sz w:val="21"/>
              </w:rPr>
            </w:pPr>
          </w:p>
        </w:tc>
        <w:tc>
          <w:tcPr>
            <w:tcW w:w="230" w:type="dxa"/>
            <w:vAlign w:val="top"/>
          </w:tcPr>
          <w:p w14:paraId="24308099">
            <w:pPr>
              <w:rPr>
                <w:rFonts w:ascii="Arial"/>
                <w:sz w:val="21"/>
              </w:rPr>
            </w:pPr>
          </w:p>
        </w:tc>
        <w:tc>
          <w:tcPr>
            <w:tcW w:w="219" w:type="dxa"/>
            <w:vAlign w:val="top"/>
          </w:tcPr>
          <w:p w14:paraId="67508126">
            <w:pPr>
              <w:rPr>
                <w:rFonts w:ascii="Arial"/>
                <w:sz w:val="21"/>
              </w:rPr>
            </w:pPr>
          </w:p>
        </w:tc>
        <w:tc>
          <w:tcPr>
            <w:tcW w:w="244" w:type="dxa"/>
            <w:vAlign w:val="top"/>
          </w:tcPr>
          <w:p w14:paraId="418A57B5">
            <w:pPr>
              <w:rPr>
                <w:rFonts w:ascii="Arial"/>
                <w:sz w:val="21"/>
              </w:rPr>
            </w:pPr>
          </w:p>
        </w:tc>
      </w:tr>
      <w:tr w14:paraId="040B94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32" w:hRule="atLeast"/>
        </w:trPr>
        <w:tc>
          <w:tcPr>
            <w:tcW w:w="893" w:type="dxa"/>
            <w:vAlign w:val="top"/>
          </w:tcPr>
          <w:p w14:paraId="6C424FAE">
            <w:pPr>
              <w:pStyle w:val="6"/>
              <w:spacing w:before="203" w:line="228" w:lineRule="auto"/>
              <w:ind w:left="264" w:right="194" w:hanging="80"/>
            </w:pPr>
            <w:r>
              <w:rPr>
                <w:spacing w:val="-3"/>
              </w:rPr>
              <w:t>信息的</w:t>
            </w:r>
            <w:r>
              <w:rPr>
                <w:spacing w:val="1"/>
              </w:rPr>
              <w:t xml:space="preserve"> </w:t>
            </w:r>
            <w:r>
              <w:rPr>
                <w:spacing w:val="-3"/>
              </w:rPr>
              <w:t>处理</w:t>
            </w:r>
          </w:p>
        </w:tc>
        <w:tc>
          <w:tcPr>
            <w:tcW w:w="2314" w:type="dxa"/>
            <w:vAlign w:val="top"/>
          </w:tcPr>
          <w:p w14:paraId="46CBBDDA">
            <w:pPr>
              <w:pStyle w:val="6"/>
              <w:spacing w:before="84" w:line="229" w:lineRule="auto"/>
              <w:ind w:left="2" w:right="932"/>
            </w:pPr>
            <w:r>
              <w:rPr>
                <w:spacing w:val="1"/>
              </w:rPr>
              <w:t>1.信息的整理加工</w:t>
            </w:r>
            <w:r>
              <w:t xml:space="preserve"> </w:t>
            </w:r>
            <w:r>
              <w:rPr>
                <w:spacing w:val="1"/>
              </w:rPr>
              <w:t>1.信息的储存</w:t>
            </w:r>
          </w:p>
          <w:p w14:paraId="6B2F8DA8">
            <w:pPr>
              <w:pStyle w:val="6"/>
              <w:spacing w:before="27" w:line="205" w:lineRule="auto"/>
              <w:ind w:left="2"/>
            </w:pPr>
            <w:r>
              <w:rPr>
                <w:spacing w:val="-2"/>
              </w:rPr>
              <w:t>2.信息的传递</w:t>
            </w:r>
          </w:p>
        </w:tc>
        <w:tc>
          <w:tcPr>
            <w:tcW w:w="230" w:type="dxa"/>
            <w:vAlign w:val="top"/>
          </w:tcPr>
          <w:p w14:paraId="6EDA7F91">
            <w:pPr>
              <w:rPr>
                <w:rFonts w:ascii="Arial"/>
                <w:sz w:val="21"/>
              </w:rPr>
            </w:pPr>
          </w:p>
        </w:tc>
        <w:tc>
          <w:tcPr>
            <w:tcW w:w="230" w:type="dxa"/>
            <w:vAlign w:val="top"/>
          </w:tcPr>
          <w:p w14:paraId="7C55B41E">
            <w:pPr>
              <w:rPr>
                <w:rFonts w:ascii="Arial"/>
                <w:sz w:val="21"/>
              </w:rPr>
            </w:pPr>
          </w:p>
        </w:tc>
        <w:tc>
          <w:tcPr>
            <w:tcW w:w="219" w:type="dxa"/>
            <w:vAlign w:val="top"/>
          </w:tcPr>
          <w:p w14:paraId="696200E8">
            <w:pPr>
              <w:rPr>
                <w:rFonts w:ascii="Arial"/>
                <w:sz w:val="21"/>
              </w:rPr>
            </w:pPr>
          </w:p>
        </w:tc>
        <w:tc>
          <w:tcPr>
            <w:tcW w:w="244" w:type="dxa"/>
            <w:vAlign w:val="top"/>
          </w:tcPr>
          <w:p w14:paraId="3E23428A">
            <w:pPr>
              <w:rPr>
                <w:rFonts w:ascii="Arial"/>
                <w:sz w:val="21"/>
              </w:rPr>
            </w:pPr>
          </w:p>
        </w:tc>
      </w:tr>
    </w:tbl>
    <w:p w14:paraId="6AE1BF06">
      <w:pPr>
        <w:spacing w:before="129" w:line="222" w:lineRule="auto"/>
        <w:ind w:left="1342"/>
        <w:rPr>
          <w:rFonts w:ascii="黑体" w:hAnsi="黑体" w:eastAsia="黑体" w:cs="黑体"/>
          <w:sz w:val="20"/>
          <w:szCs w:val="20"/>
        </w:rPr>
      </w:pPr>
      <w:r>
        <w:rPr>
          <w:rFonts w:ascii="黑体" w:hAnsi="黑体" w:eastAsia="黑体" w:cs="黑体"/>
          <w:b/>
          <w:bCs/>
          <w:spacing w:val="-9"/>
          <w:sz w:val="20"/>
          <w:szCs w:val="20"/>
        </w:rPr>
        <w:t>专题四</w:t>
      </w:r>
      <w:r>
        <w:rPr>
          <w:rFonts w:ascii="黑体" w:hAnsi="黑体" w:eastAsia="黑体" w:cs="黑体"/>
          <w:spacing w:val="10"/>
          <w:sz w:val="20"/>
          <w:szCs w:val="20"/>
        </w:rPr>
        <w:t xml:space="preserve">  </w:t>
      </w:r>
      <w:r>
        <w:rPr>
          <w:rFonts w:ascii="黑体" w:hAnsi="黑体" w:eastAsia="黑体" w:cs="黑体"/>
          <w:b/>
          <w:bCs/>
          <w:spacing w:val="-9"/>
          <w:sz w:val="20"/>
          <w:szCs w:val="20"/>
        </w:rPr>
        <w:t>辅佐决策</w:t>
      </w:r>
    </w:p>
    <w:p w14:paraId="4BDE58B3">
      <w:pPr>
        <w:spacing w:line="70" w:lineRule="exact"/>
      </w:pPr>
    </w:p>
    <w:tbl>
      <w:tblPr>
        <w:tblStyle w:val="5"/>
        <w:tblW w:w="4130"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14"/>
        <w:gridCol w:w="230"/>
        <w:gridCol w:w="230"/>
        <w:gridCol w:w="219"/>
        <w:gridCol w:w="244"/>
      </w:tblGrid>
      <w:tr w14:paraId="0F9625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4" w:hRule="atLeast"/>
        </w:trPr>
        <w:tc>
          <w:tcPr>
            <w:tcW w:w="893" w:type="dxa"/>
            <w:vMerge w:val="restart"/>
            <w:tcBorders>
              <w:bottom w:val="nil"/>
            </w:tcBorders>
            <w:vAlign w:val="top"/>
          </w:tcPr>
          <w:p w14:paraId="0349AC64">
            <w:pPr>
              <w:pStyle w:val="6"/>
              <w:spacing w:before="22" w:line="221" w:lineRule="auto"/>
              <w:ind w:left="257"/>
              <w:rPr>
                <w:sz w:val="18"/>
                <w:szCs w:val="18"/>
              </w:rPr>
            </w:pPr>
            <w:r>
              <w:rPr>
                <w:b/>
                <w:bCs/>
                <w:spacing w:val="-5"/>
                <w:sz w:val="18"/>
                <w:szCs w:val="18"/>
              </w:rPr>
              <w:t>知识</w:t>
            </w:r>
          </w:p>
          <w:p w14:paraId="7BFEDE00">
            <w:pPr>
              <w:pStyle w:val="6"/>
              <w:spacing w:before="3" w:line="217" w:lineRule="auto"/>
              <w:ind w:left="167"/>
              <w:rPr>
                <w:sz w:val="18"/>
                <w:szCs w:val="18"/>
              </w:rPr>
            </w:pPr>
            <w:r>
              <w:rPr>
                <w:b/>
                <w:bCs/>
                <w:spacing w:val="-5"/>
                <w:sz w:val="18"/>
                <w:szCs w:val="18"/>
              </w:rPr>
              <w:t>与技能</w:t>
            </w:r>
          </w:p>
          <w:p w14:paraId="762BB90A">
            <w:pPr>
              <w:pStyle w:val="6"/>
              <w:spacing w:line="195" w:lineRule="auto"/>
              <w:ind w:left="257"/>
              <w:rPr>
                <w:sz w:val="18"/>
                <w:szCs w:val="18"/>
              </w:rPr>
            </w:pPr>
            <w:r>
              <w:rPr>
                <w:b/>
                <w:bCs/>
                <w:spacing w:val="-4"/>
                <w:sz w:val="18"/>
                <w:szCs w:val="18"/>
              </w:rPr>
              <w:t>要点</w:t>
            </w:r>
          </w:p>
        </w:tc>
        <w:tc>
          <w:tcPr>
            <w:tcW w:w="2314" w:type="dxa"/>
            <w:vMerge w:val="restart"/>
            <w:tcBorders>
              <w:bottom w:val="nil"/>
            </w:tcBorders>
            <w:vAlign w:val="top"/>
          </w:tcPr>
          <w:p w14:paraId="31505AE9">
            <w:pPr>
              <w:pStyle w:val="6"/>
              <w:spacing w:before="239" w:line="219" w:lineRule="auto"/>
              <w:ind w:left="844"/>
              <w:rPr>
                <w:sz w:val="18"/>
                <w:szCs w:val="18"/>
              </w:rPr>
            </w:pPr>
            <w:r>
              <w:rPr>
                <w:b/>
                <w:bCs/>
                <w:spacing w:val="5"/>
                <w:sz w:val="18"/>
                <w:szCs w:val="18"/>
              </w:rPr>
              <w:t>考试条目</w:t>
            </w:r>
          </w:p>
        </w:tc>
        <w:tc>
          <w:tcPr>
            <w:tcW w:w="923" w:type="dxa"/>
            <w:gridSpan w:val="4"/>
            <w:vAlign w:val="top"/>
          </w:tcPr>
          <w:p w14:paraId="6523A469">
            <w:pPr>
              <w:pStyle w:val="6"/>
              <w:spacing w:before="79" w:line="219" w:lineRule="auto"/>
              <w:ind w:left="140"/>
              <w:rPr>
                <w:sz w:val="18"/>
                <w:szCs w:val="18"/>
              </w:rPr>
            </w:pPr>
            <w:r>
              <w:rPr>
                <w:b/>
                <w:bCs/>
                <w:spacing w:val="-4"/>
                <w:sz w:val="18"/>
                <w:szCs w:val="18"/>
              </w:rPr>
              <w:t>考试水平</w:t>
            </w:r>
          </w:p>
        </w:tc>
      </w:tr>
      <w:tr w14:paraId="1DFDA6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893" w:type="dxa"/>
            <w:vMerge w:val="continue"/>
            <w:tcBorders>
              <w:top w:val="nil"/>
            </w:tcBorders>
            <w:vAlign w:val="top"/>
          </w:tcPr>
          <w:p w14:paraId="115E908D">
            <w:pPr>
              <w:rPr>
                <w:rFonts w:ascii="Arial"/>
                <w:sz w:val="21"/>
              </w:rPr>
            </w:pPr>
          </w:p>
        </w:tc>
        <w:tc>
          <w:tcPr>
            <w:tcW w:w="2314" w:type="dxa"/>
            <w:vMerge w:val="continue"/>
            <w:tcBorders>
              <w:top w:val="nil"/>
            </w:tcBorders>
            <w:vAlign w:val="top"/>
          </w:tcPr>
          <w:p w14:paraId="241945CC">
            <w:pPr>
              <w:rPr>
                <w:rFonts w:ascii="Arial"/>
                <w:sz w:val="21"/>
              </w:rPr>
            </w:pPr>
          </w:p>
        </w:tc>
        <w:tc>
          <w:tcPr>
            <w:tcW w:w="230" w:type="dxa"/>
            <w:vAlign w:val="top"/>
          </w:tcPr>
          <w:p w14:paraId="641D7EC7">
            <w:pPr>
              <w:pStyle w:val="6"/>
              <w:spacing w:before="113" w:line="184" w:lineRule="auto"/>
              <w:jc w:val="right"/>
              <w:rPr>
                <w:sz w:val="18"/>
                <w:szCs w:val="18"/>
              </w:rPr>
            </w:pPr>
            <w:r>
              <w:rPr>
                <w:b/>
                <w:bCs/>
                <w:spacing w:val="-4"/>
                <w:sz w:val="18"/>
                <w:szCs w:val="18"/>
              </w:rPr>
              <w:t>A</w:t>
            </w:r>
          </w:p>
        </w:tc>
        <w:tc>
          <w:tcPr>
            <w:tcW w:w="230" w:type="dxa"/>
            <w:vAlign w:val="top"/>
          </w:tcPr>
          <w:p w14:paraId="44A722D6">
            <w:pPr>
              <w:pStyle w:val="6"/>
              <w:spacing w:before="115" w:line="182" w:lineRule="auto"/>
              <w:ind w:left="20"/>
              <w:rPr>
                <w:sz w:val="18"/>
                <w:szCs w:val="18"/>
              </w:rPr>
            </w:pPr>
            <w:r>
              <w:rPr>
                <w:b/>
                <w:bCs/>
                <w:spacing w:val="-2"/>
                <w:sz w:val="18"/>
                <w:szCs w:val="18"/>
              </w:rPr>
              <w:t>B</w:t>
            </w:r>
          </w:p>
        </w:tc>
        <w:tc>
          <w:tcPr>
            <w:tcW w:w="219" w:type="dxa"/>
            <w:vAlign w:val="top"/>
          </w:tcPr>
          <w:p w14:paraId="1DEC7DFF">
            <w:pPr>
              <w:pStyle w:val="6"/>
              <w:spacing w:before="114" w:line="183" w:lineRule="auto"/>
              <w:ind w:left="27"/>
              <w:rPr>
                <w:sz w:val="18"/>
                <w:szCs w:val="18"/>
              </w:rPr>
            </w:pPr>
            <w:r>
              <w:rPr>
                <w:sz w:val="18"/>
                <w:szCs w:val="18"/>
              </w:rPr>
              <w:t>C</w:t>
            </w:r>
          </w:p>
        </w:tc>
        <w:tc>
          <w:tcPr>
            <w:tcW w:w="244" w:type="dxa"/>
            <w:vAlign w:val="top"/>
          </w:tcPr>
          <w:p w14:paraId="778B0ED7">
            <w:pPr>
              <w:pStyle w:val="6"/>
              <w:spacing w:before="115" w:line="182" w:lineRule="auto"/>
              <w:ind w:left="31"/>
              <w:rPr>
                <w:sz w:val="18"/>
                <w:szCs w:val="18"/>
              </w:rPr>
            </w:pPr>
            <w:r>
              <w:rPr>
                <w:b/>
                <w:bCs/>
                <w:spacing w:val="-2"/>
                <w:sz w:val="18"/>
                <w:szCs w:val="18"/>
              </w:rPr>
              <w:t>D</w:t>
            </w:r>
          </w:p>
        </w:tc>
      </w:tr>
      <w:tr w14:paraId="2C2614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16" w:hRule="atLeast"/>
        </w:trPr>
        <w:tc>
          <w:tcPr>
            <w:tcW w:w="893" w:type="dxa"/>
            <w:vAlign w:val="top"/>
          </w:tcPr>
          <w:p w14:paraId="7E43A4C9">
            <w:pPr>
              <w:pStyle w:val="6"/>
              <w:spacing w:before="208" w:line="219" w:lineRule="auto"/>
              <w:ind w:left="74"/>
              <w:rPr>
                <w:sz w:val="18"/>
                <w:szCs w:val="18"/>
              </w:rPr>
            </w:pPr>
            <w:r>
              <w:rPr>
                <w:spacing w:val="-2"/>
                <w:sz w:val="18"/>
                <w:szCs w:val="18"/>
              </w:rPr>
              <w:t>科学决策</w:t>
            </w:r>
          </w:p>
          <w:p w14:paraId="4C01D686">
            <w:pPr>
              <w:pStyle w:val="6"/>
              <w:spacing w:before="7" w:line="219" w:lineRule="auto"/>
              <w:ind w:left="165"/>
              <w:rPr>
                <w:sz w:val="18"/>
                <w:szCs w:val="18"/>
              </w:rPr>
            </w:pPr>
            <w:r>
              <w:rPr>
                <w:spacing w:val="-2"/>
                <w:sz w:val="18"/>
                <w:szCs w:val="18"/>
              </w:rPr>
              <w:t>和决策</w:t>
            </w:r>
          </w:p>
          <w:p w14:paraId="73DBF999">
            <w:pPr>
              <w:pStyle w:val="6"/>
              <w:spacing w:before="16" w:line="220" w:lineRule="auto"/>
              <w:ind w:left="254"/>
              <w:rPr>
                <w:sz w:val="18"/>
                <w:szCs w:val="18"/>
              </w:rPr>
            </w:pPr>
            <w:r>
              <w:rPr>
                <w:spacing w:val="-2"/>
                <w:sz w:val="18"/>
                <w:szCs w:val="18"/>
              </w:rPr>
              <w:t>程序</w:t>
            </w:r>
          </w:p>
        </w:tc>
        <w:tc>
          <w:tcPr>
            <w:tcW w:w="2314" w:type="dxa"/>
            <w:vAlign w:val="top"/>
          </w:tcPr>
          <w:p w14:paraId="57A04E0E">
            <w:pPr>
              <w:pStyle w:val="6"/>
              <w:spacing w:before="98" w:line="228" w:lineRule="auto"/>
              <w:ind w:left="11" w:right="113" w:firstLine="10"/>
              <w:rPr>
                <w:sz w:val="18"/>
                <w:szCs w:val="18"/>
              </w:rPr>
            </w:pPr>
            <w:r>
              <w:rPr>
                <w:sz w:val="18"/>
                <w:szCs w:val="18"/>
              </w:rPr>
              <w:t>1.决策的含义与决策的基本</w:t>
            </w:r>
            <w:r>
              <w:rPr>
                <w:spacing w:val="7"/>
                <w:sz w:val="18"/>
                <w:szCs w:val="18"/>
              </w:rPr>
              <w:t xml:space="preserve"> </w:t>
            </w:r>
            <w:r>
              <w:rPr>
                <w:spacing w:val="-2"/>
                <w:sz w:val="18"/>
                <w:szCs w:val="18"/>
              </w:rPr>
              <w:t>特征</w:t>
            </w:r>
          </w:p>
          <w:p w14:paraId="4D8B9932">
            <w:pPr>
              <w:pStyle w:val="6"/>
              <w:spacing w:before="4" w:line="229" w:lineRule="auto"/>
              <w:ind w:left="11" w:right="141"/>
              <w:rPr>
                <w:sz w:val="18"/>
                <w:szCs w:val="18"/>
              </w:rPr>
            </w:pPr>
            <w:r>
              <w:rPr>
                <w:spacing w:val="-1"/>
                <w:sz w:val="18"/>
                <w:szCs w:val="18"/>
              </w:rPr>
              <w:t>2.科学决策的四个阶段及一</w:t>
            </w:r>
            <w:r>
              <w:rPr>
                <w:spacing w:val="2"/>
                <w:sz w:val="18"/>
                <w:szCs w:val="18"/>
              </w:rPr>
              <w:t xml:space="preserve"> </w:t>
            </w:r>
            <w:r>
              <w:rPr>
                <w:spacing w:val="-2"/>
                <w:sz w:val="18"/>
                <w:szCs w:val="18"/>
              </w:rPr>
              <w:t>般程序</w:t>
            </w:r>
          </w:p>
        </w:tc>
        <w:tc>
          <w:tcPr>
            <w:tcW w:w="230" w:type="dxa"/>
            <w:vAlign w:val="top"/>
          </w:tcPr>
          <w:p w14:paraId="59AA2361">
            <w:pPr>
              <w:pStyle w:val="6"/>
              <w:spacing w:before="110" w:line="238" w:lineRule="auto"/>
              <w:ind w:left="28"/>
              <w:rPr>
                <w:sz w:val="13"/>
                <w:szCs w:val="13"/>
              </w:rPr>
            </w:pPr>
            <w:r>
              <w:rPr>
                <w:sz w:val="13"/>
                <w:szCs w:val="13"/>
              </w:rPr>
              <w:t>√</w:t>
            </w:r>
          </w:p>
        </w:tc>
        <w:tc>
          <w:tcPr>
            <w:tcW w:w="230" w:type="dxa"/>
            <w:vAlign w:val="top"/>
          </w:tcPr>
          <w:p w14:paraId="04E744BA">
            <w:pPr>
              <w:rPr>
                <w:rFonts w:ascii="Arial"/>
                <w:sz w:val="21"/>
              </w:rPr>
            </w:pPr>
          </w:p>
        </w:tc>
        <w:tc>
          <w:tcPr>
            <w:tcW w:w="219" w:type="dxa"/>
            <w:vAlign w:val="top"/>
          </w:tcPr>
          <w:p w14:paraId="4986F57D">
            <w:pPr>
              <w:spacing w:line="247" w:lineRule="auto"/>
              <w:rPr>
                <w:rFonts w:ascii="Arial"/>
                <w:sz w:val="21"/>
              </w:rPr>
            </w:pPr>
          </w:p>
          <w:p w14:paraId="73178838">
            <w:pPr>
              <w:spacing w:line="248" w:lineRule="auto"/>
              <w:rPr>
                <w:rFonts w:ascii="Arial"/>
                <w:sz w:val="21"/>
              </w:rPr>
            </w:pPr>
          </w:p>
          <w:p w14:paraId="76774A71">
            <w:pPr>
              <w:pStyle w:val="6"/>
              <w:spacing w:before="42" w:line="238" w:lineRule="auto"/>
              <w:ind w:left="37"/>
              <w:rPr>
                <w:sz w:val="13"/>
                <w:szCs w:val="13"/>
              </w:rPr>
            </w:pPr>
            <w:r>
              <w:rPr>
                <w:sz w:val="13"/>
                <w:szCs w:val="13"/>
              </w:rPr>
              <w:t>√</w:t>
            </w:r>
          </w:p>
        </w:tc>
        <w:tc>
          <w:tcPr>
            <w:tcW w:w="244" w:type="dxa"/>
            <w:vAlign w:val="top"/>
          </w:tcPr>
          <w:p w14:paraId="755CC77C">
            <w:pPr>
              <w:rPr>
                <w:rFonts w:ascii="Arial"/>
                <w:sz w:val="21"/>
              </w:rPr>
            </w:pPr>
          </w:p>
        </w:tc>
      </w:tr>
      <w:tr w14:paraId="322A62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01" w:hRule="atLeast"/>
        </w:trPr>
        <w:tc>
          <w:tcPr>
            <w:tcW w:w="893" w:type="dxa"/>
            <w:vAlign w:val="top"/>
          </w:tcPr>
          <w:p w14:paraId="4B5506F5">
            <w:pPr>
              <w:pStyle w:val="6"/>
              <w:spacing w:before="112" w:line="206" w:lineRule="auto"/>
              <w:ind w:left="74"/>
              <w:rPr>
                <w:sz w:val="18"/>
                <w:szCs w:val="18"/>
              </w:rPr>
            </w:pPr>
            <w:r>
              <w:rPr>
                <w:spacing w:val="-2"/>
                <w:sz w:val="18"/>
                <w:szCs w:val="18"/>
              </w:rPr>
              <w:t>秘书工作</w:t>
            </w:r>
          </w:p>
          <w:p w14:paraId="523CBD44">
            <w:pPr>
              <w:pStyle w:val="6"/>
              <w:spacing w:line="219" w:lineRule="auto"/>
              <w:ind w:left="74"/>
              <w:rPr>
                <w:sz w:val="18"/>
                <w:szCs w:val="18"/>
              </w:rPr>
            </w:pPr>
            <w:r>
              <w:rPr>
                <w:spacing w:val="4"/>
                <w:sz w:val="18"/>
                <w:szCs w:val="18"/>
              </w:rPr>
              <w:t>在决策中</w:t>
            </w:r>
          </w:p>
          <w:p w14:paraId="11E1CED5">
            <w:pPr>
              <w:pStyle w:val="6"/>
              <w:spacing w:before="27" w:line="215" w:lineRule="auto"/>
              <w:ind w:left="74"/>
              <w:rPr>
                <w:sz w:val="18"/>
                <w:szCs w:val="18"/>
              </w:rPr>
            </w:pPr>
            <w:r>
              <w:rPr>
                <w:spacing w:val="3"/>
                <w:sz w:val="18"/>
                <w:szCs w:val="18"/>
              </w:rPr>
              <w:t>的地位和</w:t>
            </w:r>
          </w:p>
          <w:p w14:paraId="0E19A93A">
            <w:pPr>
              <w:pStyle w:val="6"/>
              <w:spacing w:line="220" w:lineRule="auto"/>
              <w:ind w:left="254"/>
              <w:rPr>
                <w:sz w:val="18"/>
                <w:szCs w:val="18"/>
              </w:rPr>
            </w:pPr>
            <w:r>
              <w:rPr>
                <w:spacing w:val="10"/>
                <w:sz w:val="18"/>
                <w:szCs w:val="18"/>
              </w:rPr>
              <w:t>作用</w:t>
            </w:r>
          </w:p>
        </w:tc>
        <w:tc>
          <w:tcPr>
            <w:tcW w:w="2314" w:type="dxa"/>
            <w:vAlign w:val="top"/>
          </w:tcPr>
          <w:p w14:paraId="0B5992BA">
            <w:pPr>
              <w:spacing w:line="251" w:lineRule="auto"/>
              <w:rPr>
                <w:rFonts w:ascii="Arial"/>
                <w:sz w:val="21"/>
              </w:rPr>
            </w:pPr>
          </w:p>
          <w:p w14:paraId="2567D1A0">
            <w:pPr>
              <w:pStyle w:val="6"/>
              <w:spacing w:before="59" w:line="235" w:lineRule="auto"/>
              <w:ind w:left="11" w:right="117"/>
              <w:rPr>
                <w:sz w:val="18"/>
                <w:szCs w:val="18"/>
              </w:rPr>
            </w:pPr>
            <w:r>
              <w:rPr>
                <w:spacing w:val="1"/>
                <w:sz w:val="18"/>
                <w:szCs w:val="18"/>
              </w:rPr>
              <w:t>秘书人员辅佐决策的地位和 主要职能工作</w:t>
            </w:r>
          </w:p>
        </w:tc>
        <w:tc>
          <w:tcPr>
            <w:tcW w:w="230" w:type="dxa"/>
            <w:vAlign w:val="top"/>
          </w:tcPr>
          <w:p w14:paraId="0CB3B836">
            <w:pPr>
              <w:rPr>
                <w:rFonts w:ascii="Arial"/>
                <w:sz w:val="21"/>
              </w:rPr>
            </w:pPr>
          </w:p>
        </w:tc>
        <w:tc>
          <w:tcPr>
            <w:tcW w:w="230" w:type="dxa"/>
            <w:vAlign w:val="top"/>
          </w:tcPr>
          <w:p w14:paraId="701FF09D">
            <w:pPr>
              <w:rPr>
                <w:rFonts w:ascii="Arial"/>
                <w:sz w:val="21"/>
              </w:rPr>
            </w:pPr>
          </w:p>
        </w:tc>
        <w:tc>
          <w:tcPr>
            <w:tcW w:w="219" w:type="dxa"/>
            <w:vAlign w:val="top"/>
          </w:tcPr>
          <w:p w14:paraId="7AB056BA">
            <w:pPr>
              <w:spacing w:line="250" w:lineRule="auto"/>
              <w:rPr>
                <w:rFonts w:ascii="Arial"/>
                <w:sz w:val="21"/>
              </w:rPr>
            </w:pPr>
          </w:p>
          <w:p w14:paraId="674DB4B1">
            <w:pPr>
              <w:pStyle w:val="6"/>
              <w:spacing w:before="42" w:line="238" w:lineRule="auto"/>
              <w:ind w:left="37"/>
              <w:rPr>
                <w:sz w:val="13"/>
                <w:szCs w:val="13"/>
              </w:rPr>
            </w:pPr>
            <w:r>
              <w:rPr>
                <w:sz w:val="13"/>
                <w:szCs w:val="13"/>
              </w:rPr>
              <w:t>√</w:t>
            </w:r>
          </w:p>
        </w:tc>
        <w:tc>
          <w:tcPr>
            <w:tcW w:w="244" w:type="dxa"/>
            <w:vAlign w:val="top"/>
          </w:tcPr>
          <w:p w14:paraId="5EACE2C8">
            <w:pPr>
              <w:rPr>
                <w:rFonts w:ascii="Arial"/>
                <w:sz w:val="21"/>
              </w:rPr>
            </w:pPr>
          </w:p>
        </w:tc>
      </w:tr>
    </w:tbl>
    <w:p w14:paraId="30BF8C18">
      <w:pPr>
        <w:spacing w:before="128" w:line="221" w:lineRule="auto"/>
        <w:ind w:left="1342"/>
        <w:rPr>
          <w:rFonts w:ascii="黑体" w:hAnsi="黑体" w:eastAsia="黑体" w:cs="黑体"/>
          <w:sz w:val="20"/>
          <w:szCs w:val="20"/>
        </w:rPr>
      </w:pPr>
      <w:r>
        <w:rPr>
          <w:rFonts w:ascii="黑体" w:hAnsi="黑体" w:eastAsia="黑体" w:cs="黑体"/>
          <w:b/>
          <w:bCs/>
          <w:spacing w:val="-9"/>
          <w:sz w:val="20"/>
          <w:szCs w:val="20"/>
        </w:rPr>
        <w:t>专题五</w:t>
      </w:r>
      <w:r>
        <w:rPr>
          <w:rFonts w:ascii="黑体" w:hAnsi="黑体" w:eastAsia="黑体" w:cs="黑体"/>
          <w:spacing w:val="11"/>
          <w:sz w:val="20"/>
          <w:szCs w:val="20"/>
        </w:rPr>
        <w:t xml:space="preserve">  </w:t>
      </w:r>
      <w:r>
        <w:rPr>
          <w:rFonts w:ascii="黑体" w:hAnsi="黑体" w:eastAsia="黑体" w:cs="黑体"/>
          <w:b/>
          <w:bCs/>
          <w:spacing w:val="-9"/>
          <w:sz w:val="20"/>
          <w:szCs w:val="20"/>
        </w:rPr>
        <w:t>检查督办</w:t>
      </w:r>
    </w:p>
    <w:p w14:paraId="1E6DBC37">
      <w:pPr>
        <w:spacing w:line="82" w:lineRule="exact"/>
      </w:pPr>
    </w:p>
    <w:tbl>
      <w:tblPr>
        <w:tblStyle w:val="5"/>
        <w:tblW w:w="4130"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14"/>
        <w:gridCol w:w="230"/>
        <w:gridCol w:w="230"/>
        <w:gridCol w:w="219"/>
        <w:gridCol w:w="244"/>
      </w:tblGrid>
      <w:tr w14:paraId="2160A9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4" w:hRule="atLeast"/>
        </w:trPr>
        <w:tc>
          <w:tcPr>
            <w:tcW w:w="893" w:type="dxa"/>
            <w:vMerge w:val="restart"/>
            <w:tcBorders>
              <w:bottom w:val="nil"/>
            </w:tcBorders>
            <w:vAlign w:val="top"/>
          </w:tcPr>
          <w:p w14:paraId="653BE928">
            <w:pPr>
              <w:pStyle w:val="6"/>
              <w:spacing w:before="32" w:line="204" w:lineRule="auto"/>
              <w:ind w:left="257"/>
              <w:rPr>
                <w:sz w:val="18"/>
                <w:szCs w:val="18"/>
              </w:rPr>
            </w:pPr>
            <w:r>
              <w:rPr>
                <w:b/>
                <w:bCs/>
                <w:spacing w:val="-5"/>
                <w:sz w:val="18"/>
                <w:szCs w:val="18"/>
              </w:rPr>
              <w:t>知识</w:t>
            </w:r>
          </w:p>
          <w:p w14:paraId="4417B64E">
            <w:pPr>
              <w:pStyle w:val="6"/>
              <w:spacing w:line="220" w:lineRule="auto"/>
              <w:ind w:left="167"/>
              <w:rPr>
                <w:sz w:val="18"/>
                <w:szCs w:val="18"/>
              </w:rPr>
            </w:pPr>
            <w:r>
              <w:rPr>
                <w:b/>
                <w:bCs/>
                <w:spacing w:val="-5"/>
                <w:sz w:val="18"/>
                <w:szCs w:val="18"/>
              </w:rPr>
              <w:t>与技能</w:t>
            </w:r>
          </w:p>
          <w:p w14:paraId="443680AA">
            <w:pPr>
              <w:pStyle w:val="6"/>
              <w:spacing w:before="16" w:line="195" w:lineRule="auto"/>
              <w:ind w:left="257"/>
              <w:rPr>
                <w:sz w:val="18"/>
                <w:szCs w:val="18"/>
              </w:rPr>
            </w:pPr>
            <w:r>
              <w:rPr>
                <w:b/>
                <w:bCs/>
                <w:spacing w:val="-4"/>
                <w:sz w:val="18"/>
                <w:szCs w:val="18"/>
              </w:rPr>
              <w:t>要点</w:t>
            </w:r>
          </w:p>
        </w:tc>
        <w:tc>
          <w:tcPr>
            <w:tcW w:w="2314" w:type="dxa"/>
            <w:vMerge w:val="restart"/>
            <w:tcBorders>
              <w:bottom w:val="nil"/>
            </w:tcBorders>
            <w:vAlign w:val="top"/>
          </w:tcPr>
          <w:p w14:paraId="321E94D2">
            <w:pPr>
              <w:pStyle w:val="6"/>
              <w:spacing w:before="239" w:line="219" w:lineRule="auto"/>
              <w:ind w:left="834"/>
              <w:rPr>
                <w:sz w:val="18"/>
                <w:szCs w:val="18"/>
              </w:rPr>
            </w:pPr>
            <w:r>
              <w:rPr>
                <w:b/>
                <w:bCs/>
                <w:spacing w:val="5"/>
                <w:sz w:val="18"/>
                <w:szCs w:val="18"/>
              </w:rPr>
              <w:t>考试条目</w:t>
            </w:r>
          </w:p>
        </w:tc>
        <w:tc>
          <w:tcPr>
            <w:tcW w:w="923" w:type="dxa"/>
            <w:gridSpan w:val="4"/>
            <w:vAlign w:val="top"/>
          </w:tcPr>
          <w:p w14:paraId="3A29101C">
            <w:pPr>
              <w:pStyle w:val="6"/>
              <w:spacing w:before="49" w:line="219" w:lineRule="auto"/>
              <w:ind w:left="130"/>
              <w:rPr>
                <w:sz w:val="18"/>
                <w:szCs w:val="18"/>
              </w:rPr>
            </w:pPr>
            <w:r>
              <w:rPr>
                <w:b/>
                <w:bCs/>
                <w:spacing w:val="-4"/>
                <w:sz w:val="18"/>
                <w:szCs w:val="18"/>
              </w:rPr>
              <w:t>考试水平</w:t>
            </w:r>
          </w:p>
        </w:tc>
      </w:tr>
      <w:tr w14:paraId="0FDFF4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893" w:type="dxa"/>
            <w:vMerge w:val="continue"/>
            <w:tcBorders>
              <w:top w:val="nil"/>
            </w:tcBorders>
            <w:vAlign w:val="top"/>
          </w:tcPr>
          <w:p w14:paraId="69CAC305">
            <w:pPr>
              <w:rPr>
                <w:rFonts w:ascii="Arial"/>
                <w:sz w:val="21"/>
              </w:rPr>
            </w:pPr>
          </w:p>
        </w:tc>
        <w:tc>
          <w:tcPr>
            <w:tcW w:w="2314" w:type="dxa"/>
            <w:vMerge w:val="continue"/>
            <w:tcBorders>
              <w:top w:val="nil"/>
            </w:tcBorders>
            <w:vAlign w:val="top"/>
          </w:tcPr>
          <w:p w14:paraId="4DB7BECF">
            <w:pPr>
              <w:rPr>
                <w:rFonts w:ascii="Arial"/>
                <w:sz w:val="21"/>
              </w:rPr>
            </w:pPr>
          </w:p>
        </w:tc>
        <w:tc>
          <w:tcPr>
            <w:tcW w:w="230" w:type="dxa"/>
            <w:vAlign w:val="top"/>
          </w:tcPr>
          <w:p w14:paraId="24B4888F">
            <w:pPr>
              <w:pStyle w:val="6"/>
              <w:spacing w:before="143" w:line="184" w:lineRule="auto"/>
              <w:ind w:left="70"/>
              <w:rPr>
                <w:sz w:val="18"/>
                <w:szCs w:val="18"/>
              </w:rPr>
            </w:pPr>
            <w:r>
              <w:rPr>
                <w:b/>
                <w:bCs/>
                <w:spacing w:val="-2"/>
                <w:sz w:val="18"/>
                <w:szCs w:val="18"/>
              </w:rPr>
              <w:t>A</w:t>
            </w:r>
          </w:p>
        </w:tc>
        <w:tc>
          <w:tcPr>
            <w:tcW w:w="230" w:type="dxa"/>
            <w:vAlign w:val="top"/>
          </w:tcPr>
          <w:p w14:paraId="526A657B">
            <w:pPr>
              <w:pStyle w:val="6"/>
              <w:spacing w:before="145" w:line="182" w:lineRule="auto"/>
              <w:ind w:left="20"/>
              <w:rPr>
                <w:sz w:val="18"/>
                <w:szCs w:val="18"/>
              </w:rPr>
            </w:pPr>
            <w:r>
              <w:rPr>
                <w:b/>
                <w:bCs/>
                <w:spacing w:val="-2"/>
                <w:sz w:val="18"/>
                <w:szCs w:val="18"/>
              </w:rPr>
              <w:t>B</w:t>
            </w:r>
          </w:p>
        </w:tc>
        <w:tc>
          <w:tcPr>
            <w:tcW w:w="219" w:type="dxa"/>
            <w:vAlign w:val="top"/>
          </w:tcPr>
          <w:p w14:paraId="3C3FF64F">
            <w:pPr>
              <w:pStyle w:val="6"/>
              <w:spacing w:before="143" w:line="183" w:lineRule="auto"/>
              <w:ind w:left="50"/>
              <w:rPr>
                <w:sz w:val="18"/>
                <w:szCs w:val="18"/>
              </w:rPr>
            </w:pPr>
            <w:r>
              <w:rPr>
                <w:b/>
                <w:bCs/>
                <w:spacing w:val="-2"/>
                <w:sz w:val="18"/>
                <w:szCs w:val="18"/>
              </w:rPr>
              <w:t>C</w:t>
            </w:r>
          </w:p>
        </w:tc>
        <w:tc>
          <w:tcPr>
            <w:tcW w:w="244" w:type="dxa"/>
            <w:vAlign w:val="top"/>
          </w:tcPr>
          <w:p w14:paraId="207F3F3C">
            <w:pPr>
              <w:pStyle w:val="6"/>
              <w:spacing w:before="145" w:line="182" w:lineRule="auto"/>
              <w:ind w:left="21"/>
              <w:rPr>
                <w:sz w:val="18"/>
                <w:szCs w:val="18"/>
              </w:rPr>
            </w:pPr>
            <w:r>
              <w:rPr>
                <w:b/>
                <w:bCs/>
                <w:spacing w:val="-2"/>
                <w:sz w:val="18"/>
                <w:szCs w:val="18"/>
              </w:rPr>
              <w:t>D</w:t>
            </w:r>
          </w:p>
        </w:tc>
      </w:tr>
      <w:tr w14:paraId="45FD6D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17" w:hRule="atLeast"/>
        </w:trPr>
        <w:tc>
          <w:tcPr>
            <w:tcW w:w="893" w:type="dxa"/>
            <w:vAlign w:val="top"/>
          </w:tcPr>
          <w:p w14:paraId="32BB176D">
            <w:pPr>
              <w:pStyle w:val="6"/>
              <w:spacing w:before="149" w:line="219" w:lineRule="auto"/>
              <w:ind w:left="74"/>
              <w:rPr>
                <w:sz w:val="18"/>
                <w:szCs w:val="18"/>
              </w:rPr>
            </w:pPr>
            <w:r>
              <w:rPr>
                <w:spacing w:val="-2"/>
                <w:sz w:val="18"/>
                <w:szCs w:val="18"/>
              </w:rPr>
              <w:t>检查督办</w:t>
            </w:r>
          </w:p>
          <w:p w14:paraId="64D0247C">
            <w:pPr>
              <w:pStyle w:val="6"/>
              <w:spacing w:before="7" w:line="221" w:lineRule="auto"/>
              <w:ind w:left="74"/>
              <w:rPr>
                <w:sz w:val="18"/>
                <w:szCs w:val="18"/>
              </w:rPr>
            </w:pPr>
            <w:r>
              <w:rPr>
                <w:spacing w:val="-2"/>
                <w:sz w:val="18"/>
                <w:szCs w:val="18"/>
              </w:rPr>
              <w:t>及其地位</w:t>
            </w:r>
          </w:p>
          <w:p w14:paraId="780AEBF9">
            <w:pPr>
              <w:pStyle w:val="6"/>
              <w:spacing w:before="14" w:line="220" w:lineRule="auto"/>
              <w:ind w:left="254"/>
              <w:rPr>
                <w:sz w:val="18"/>
                <w:szCs w:val="18"/>
              </w:rPr>
            </w:pPr>
            <w:r>
              <w:rPr>
                <w:spacing w:val="10"/>
                <w:sz w:val="18"/>
                <w:szCs w:val="18"/>
              </w:rPr>
              <w:t>作用</w:t>
            </w:r>
          </w:p>
        </w:tc>
        <w:tc>
          <w:tcPr>
            <w:tcW w:w="2314" w:type="dxa"/>
            <w:vAlign w:val="top"/>
          </w:tcPr>
          <w:p w14:paraId="56BCAB8B">
            <w:pPr>
              <w:pStyle w:val="6"/>
              <w:spacing w:before="160" w:line="227" w:lineRule="auto"/>
              <w:ind w:left="2"/>
              <w:rPr>
                <w:sz w:val="18"/>
                <w:szCs w:val="18"/>
              </w:rPr>
            </w:pPr>
            <w:r>
              <w:rPr>
                <w:spacing w:val="-16"/>
                <w:sz w:val="18"/>
                <w:szCs w:val="18"/>
              </w:rPr>
              <w:t>1.检查督办的</w:t>
            </w:r>
            <w:r>
              <w:rPr>
                <w:spacing w:val="-15"/>
                <w:sz w:val="18"/>
                <w:szCs w:val="18"/>
              </w:rPr>
              <w:t>含义、范围和对</w:t>
            </w:r>
            <w:r>
              <w:rPr>
                <w:spacing w:val="-8"/>
                <w:sz w:val="18"/>
                <w:szCs w:val="18"/>
              </w:rPr>
              <w:t>象</w:t>
            </w:r>
            <w:r>
              <w:rPr>
                <w:spacing w:val="5"/>
                <w:sz w:val="18"/>
                <w:szCs w:val="18"/>
              </w:rPr>
              <w:t xml:space="preserve"> </w:t>
            </w:r>
            <w:r>
              <w:rPr>
                <w:spacing w:val="-1"/>
                <w:sz w:val="18"/>
                <w:szCs w:val="18"/>
              </w:rPr>
              <w:t>2.秘书工作中检查督办的地</w:t>
            </w:r>
            <w:r>
              <w:rPr>
                <w:spacing w:val="3"/>
                <w:sz w:val="18"/>
                <w:szCs w:val="18"/>
              </w:rPr>
              <w:t xml:space="preserve">  </w:t>
            </w:r>
            <w:r>
              <w:rPr>
                <w:spacing w:val="5"/>
                <w:sz w:val="18"/>
                <w:szCs w:val="18"/>
              </w:rPr>
              <w:t>位与作用</w:t>
            </w:r>
          </w:p>
        </w:tc>
        <w:tc>
          <w:tcPr>
            <w:tcW w:w="230" w:type="dxa"/>
            <w:vAlign w:val="top"/>
          </w:tcPr>
          <w:p w14:paraId="778F4721">
            <w:pPr>
              <w:rPr>
                <w:rFonts w:ascii="Arial"/>
                <w:sz w:val="21"/>
              </w:rPr>
            </w:pPr>
          </w:p>
        </w:tc>
        <w:tc>
          <w:tcPr>
            <w:tcW w:w="230" w:type="dxa"/>
            <w:vAlign w:val="top"/>
          </w:tcPr>
          <w:p w14:paraId="0BA95D53">
            <w:pPr>
              <w:rPr>
                <w:rFonts w:ascii="Arial"/>
                <w:sz w:val="21"/>
              </w:rPr>
            </w:pPr>
          </w:p>
        </w:tc>
        <w:tc>
          <w:tcPr>
            <w:tcW w:w="219" w:type="dxa"/>
            <w:vAlign w:val="top"/>
          </w:tcPr>
          <w:p w14:paraId="5410C164">
            <w:pPr>
              <w:rPr>
                <w:rFonts w:ascii="Arial"/>
                <w:sz w:val="21"/>
              </w:rPr>
            </w:pPr>
          </w:p>
        </w:tc>
        <w:tc>
          <w:tcPr>
            <w:tcW w:w="244" w:type="dxa"/>
            <w:vAlign w:val="top"/>
          </w:tcPr>
          <w:p w14:paraId="798D26AF">
            <w:pPr>
              <w:rPr>
                <w:rFonts w:ascii="Arial"/>
                <w:sz w:val="21"/>
              </w:rPr>
            </w:pPr>
          </w:p>
        </w:tc>
      </w:tr>
      <w:tr w14:paraId="75F39B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57" w:hRule="atLeast"/>
        </w:trPr>
        <w:tc>
          <w:tcPr>
            <w:tcW w:w="893" w:type="dxa"/>
            <w:vAlign w:val="top"/>
          </w:tcPr>
          <w:p w14:paraId="360EFB51">
            <w:pPr>
              <w:pStyle w:val="6"/>
              <w:spacing w:before="141" w:line="206" w:lineRule="auto"/>
              <w:ind w:left="74"/>
              <w:rPr>
                <w:sz w:val="18"/>
                <w:szCs w:val="18"/>
              </w:rPr>
            </w:pPr>
            <w:r>
              <w:rPr>
                <w:spacing w:val="5"/>
                <w:sz w:val="18"/>
                <w:szCs w:val="18"/>
              </w:rPr>
              <w:t>秘书部门</w:t>
            </w:r>
          </w:p>
          <w:p w14:paraId="36E7313A">
            <w:pPr>
              <w:pStyle w:val="6"/>
              <w:spacing w:line="219" w:lineRule="auto"/>
              <w:ind w:left="74"/>
              <w:rPr>
                <w:sz w:val="18"/>
                <w:szCs w:val="18"/>
              </w:rPr>
            </w:pPr>
            <w:r>
              <w:rPr>
                <w:spacing w:val="-2"/>
                <w:sz w:val="18"/>
                <w:szCs w:val="18"/>
              </w:rPr>
              <w:t>检查督办</w:t>
            </w:r>
          </w:p>
          <w:p w14:paraId="4B783B28">
            <w:pPr>
              <w:pStyle w:val="6"/>
              <w:spacing w:before="29" w:line="222" w:lineRule="auto"/>
              <w:ind w:left="74"/>
              <w:rPr>
                <w:sz w:val="18"/>
                <w:szCs w:val="18"/>
              </w:rPr>
            </w:pPr>
            <w:r>
              <w:rPr>
                <w:spacing w:val="2"/>
                <w:sz w:val="18"/>
                <w:szCs w:val="18"/>
              </w:rPr>
              <w:t>的主要工</w:t>
            </w:r>
          </w:p>
          <w:p w14:paraId="797AB5ED">
            <w:pPr>
              <w:pStyle w:val="6"/>
              <w:spacing w:line="219" w:lineRule="auto"/>
              <w:ind w:left="165"/>
              <w:rPr>
                <w:sz w:val="18"/>
                <w:szCs w:val="18"/>
              </w:rPr>
            </w:pPr>
            <w:r>
              <w:rPr>
                <w:spacing w:val="-2"/>
                <w:sz w:val="18"/>
                <w:szCs w:val="18"/>
              </w:rPr>
              <w:t>作内容</w:t>
            </w:r>
          </w:p>
        </w:tc>
        <w:tc>
          <w:tcPr>
            <w:tcW w:w="2314" w:type="dxa"/>
            <w:vAlign w:val="top"/>
          </w:tcPr>
          <w:p w14:paraId="20948A25">
            <w:pPr>
              <w:pStyle w:val="6"/>
              <w:spacing w:before="110" w:line="221" w:lineRule="auto"/>
              <w:ind w:left="2" w:right="122" w:firstLine="9"/>
              <w:rPr>
                <w:sz w:val="18"/>
                <w:szCs w:val="18"/>
              </w:rPr>
            </w:pPr>
            <w:r>
              <w:rPr>
                <w:sz w:val="18"/>
                <w:szCs w:val="18"/>
              </w:rPr>
              <w:t>1.秘书部门检查督办的职能</w:t>
            </w:r>
            <w:r>
              <w:rPr>
                <w:spacing w:val="8"/>
                <w:sz w:val="18"/>
                <w:szCs w:val="18"/>
              </w:rPr>
              <w:t xml:space="preserve"> </w:t>
            </w:r>
            <w:r>
              <w:rPr>
                <w:spacing w:val="-2"/>
                <w:sz w:val="18"/>
                <w:szCs w:val="18"/>
              </w:rPr>
              <w:t>基础</w:t>
            </w:r>
          </w:p>
          <w:p w14:paraId="325425E5">
            <w:pPr>
              <w:pStyle w:val="6"/>
              <w:spacing w:before="1" w:line="253" w:lineRule="auto"/>
              <w:ind w:left="2" w:right="117" w:firstLine="9"/>
              <w:rPr>
                <w:sz w:val="18"/>
                <w:szCs w:val="18"/>
              </w:rPr>
            </w:pPr>
            <w:r>
              <w:rPr>
                <w:spacing w:val="1"/>
                <w:sz w:val="18"/>
                <w:szCs w:val="18"/>
              </w:rPr>
              <w:t>2.秘书部门检查督办工作的</w:t>
            </w:r>
            <w:r>
              <w:rPr>
                <w:sz w:val="18"/>
                <w:szCs w:val="18"/>
              </w:rPr>
              <w:t xml:space="preserve"> </w:t>
            </w:r>
            <w:r>
              <w:rPr>
                <w:spacing w:val="-2"/>
                <w:sz w:val="18"/>
                <w:szCs w:val="18"/>
              </w:rPr>
              <w:t>主要工作内容</w:t>
            </w:r>
          </w:p>
        </w:tc>
        <w:tc>
          <w:tcPr>
            <w:tcW w:w="230" w:type="dxa"/>
            <w:vAlign w:val="top"/>
          </w:tcPr>
          <w:p w14:paraId="3DDA0FE5">
            <w:pPr>
              <w:pStyle w:val="6"/>
              <w:spacing w:before="123" w:line="238" w:lineRule="auto"/>
              <w:ind w:left="47"/>
              <w:rPr>
                <w:sz w:val="13"/>
                <w:szCs w:val="13"/>
              </w:rPr>
            </w:pPr>
            <w:r>
              <w:rPr>
                <w:sz w:val="13"/>
                <w:szCs w:val="13"/>
              </w:rPr>
              <w:t>√</w:t>
            </w:r>
          </w:p>
          <w:p w14:paraId="2EC29F70">
            <w:pPr>
              <w:pStyle w:val="6"/>
              <w:spacing w:before="262" w:line="238" w:lineRule="auto"/>
              <w:ind w:left="47"/>
              <w:rPr>
                <w:sz w:val="13"/>
                <w:szCs w:val="13"/>
              </w:rPr>
            </w:pPr>
            <w:r>
              <w:rPr>
                <w:sz w:val="13"/>
                <w:szCs w:val="13"/>
              </w:rPr>
              <w:t>√</w:t>
            </w:r>
          </w:p>
        </w:tc>
        <w:tc>
          <w:tcPr>
            <w:tcW w:w="230" w:type="dxa"/>
            <w:vAlign w:val="top"/>
          </w:tcPr>
          <w:p w14:paraId="75F5ACF1">
            <w:pPr>
              <w:rPr>
                <w:rFonts w:ascii="Arial"/>
                <w:sz w:val="21"/>
              </w:rPr>
            </w:pPr>
          </w:p>
        </w:tc>
        <w:tc>
          <w:tcPr>
            <w:tcW w:w="219" w:type="dxa"/>
            <w:vAlign w:val="top"/>
          </w:tcPr>
          <w:p w14:paraId="310BA611">
            <w:pPr>
              <w:rPr>
                <w:rFonts w:ascii="Arial"/>
                <w:sz w:val="21"/>
              </w:rPr>
            </w:pPr>
          </w:p>
        </w:tc>
        <w:tc>
          <w:tcPr>
            <w:tcW w:w="244" w:type="dxa"/>
            <w:vAlign w:val="top"/>
          </w:tcPr>
          <w:p w14:paraId="2CCF32EE">
            <w:pPr>
              <w:rPr>
                <w:rFonts w:ascii="Arial"/>
                <w:sz w:val="21"/>
              </w:rPr>
            </w:pPr>
          </w:p>
        </w:tc>
      </w:tr>
      <w:tr w14:paraId="57ED41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72" w:hRule="atLeast"/>
        </w:trPr>
        <w:tc>
          <w:tcPr>
            <w:tcW w:w="893" w:type="dxa"/>
            <w:vAlign w:val="top"/>
          </w:tcPr>
          <w:p w14:paraId="68006042">
            <w:pPr>
              <w:pStyle w:val="6"/>
              <w:spacing w:before="134" w:line="219" w:lineRule="auto"/>
              <w:ind w:left="74"/>
              <w:rPr>
                <w:sz w:val="18"/>
                <w:szCs w:val="18"/>
              </w:rPr>
            </w:pPr>
            <w:r>
              <w:rPr>
                <w:spacing w:val="-2"/>
                <w:sz w:val="18"/>
                <w:szCs w:val="18"/>
              </w:rPr>
              <w:t>秘书工作</w:t>
            </w:r>
          </w:p>
          <w:p w14:paraId="6A8369A4">
            <w:pPr>
              <w:pStyle w:val="6"/>
              <w:spacing w:before="7" w:line="219" w:lineRule="auto"/>
              <w:ind w:left="74"/>
              <w:rPr>
                <w:sz w:val="18"/>
                <w:szCs w:val="18"/>
              </w:rPr>
            </w:pPr>
            <w:r>
              <w:rPr>
                <w:spacing w:val="2"/>
                <w:sz w:val="18"/>
                <w:szCs w:val="18"/>
              </w:rPr>
              <w:t>中检查督</w:t>
            </w:r>
          </w:p>
          <w:p w14:paraId="5D06E21A">
            <w:pPr>
              <w:pStyle w:val="6"/>
              <w:spacing w:before="6" w:line="219" w:lineRule="auto"/>
              <w:ind w:left="74"/>
              <w:rPr>
                <w:sz w:val="18"/>
                <w:szCs w:val="18"/>
              </w:rPr>
            </w:pPr>
            <w:r>
              <w:rPr>
                <w:spacing w:val="4"/>
                <w:sz w:val="18"/>
                <w:szCs w:val="18"/>
              </w:rPr>
              <w:t>办的特点</w:t>
            </w:r>
          </w:p>
          <w:p w14:paraId="06907875">
            <w:pPr>
              <w:pStyle w:val="6"/>
              <w:spacing w:before="17" w:line="221" w:lineRule="auto"/>
              <w:ind w:left="165"/>
              <w:rPr>
                <w:sz w:val="18"/>
                <w:szCs w:val="18"/>
              </w:rPr>
            </w:pPr>
            <w:r>
              <w:rPr>
                <w:spacing w:val="-2"/>
                <w:sz w:val="18"/>
                <w:szCs w:val="18"/>
              </w:rPr>
              <w:t>和方法</w:t>
            </w:r>
          </w:p>
        </w:tc>
        <w:tc>
          <w:tcPr>
            <w:tcW w:w="2314" w:type="dxa"/>
            <w:vAlign w:val="top"/>
          </w:tcPr>
          <w:p w14:paraId="5CA3CB8A">
            <w:pPr>
              <w:pStyle w:val="6"/>
              <w:spacing w:before="143" w:line="218" w:lineRule="auto"/>
              <w:ind w:left="2" w:right="98" w:firstLine="29"/>
              <w:rPr>
                <w:sz w:val="18"/>
                <w:szCs w:val="18"/>
              </w:rPr>
            </w:pPr>
            <w:r>
              <w:rPr>
                <w:spacing w:val="1"/>
                <w:sz w:val="18"/>
                <w:szCs w:val="18"/>
              </w:rPr>
              <w:t>1.秘书部门检查督办工作的</w:t>
            </w:r>
            <w:r>
              <w:rPr>
                <w:sz w:val="18"/>
                <w:szCs w:val="18"/>
              </w:rPr>
              <w:t xml:space="preserve"> </w:t>
            </w:r>
            <w:r>
              <w:rPr>
                <w:spacing w:val="8"/>
                <w:sz w:val="18"/>
                <w:szCs w:val="18"/>
              </w:rPr>
              <w:t>特点</w:t>
            </w:r>
          </w:p>
          <w:p w14:paraId="3B903E71">
            <w:pPr>
              <w:pStyle w:val="6"/>
              <w:spacing w:before="6" w:line="224" w:lineRule="auto"/>
              <w:ind w:left="2" w:right="117" w:firstLine="9"/>
              <w:rPr>
                <w:sz w:val="18"/>
                <w:szCs w:val="18"/>
              </w:rPr>
            </w:pPr>
            <w:r>
              <w:rPr>
                <w:spacing w:val="1"/>
                <w:sz w:val="18"/>
                <w:szCs w:val="18"/>
              </w:rPr>
              <w:t>2.秘书部门检查督办工作的</w:t>
            </w:r>
            <w:r>
              <w:rPr>
                <w:sz w:val="18"/>
                <w:szCs w:val="18"/>
              </w:rPr>
              <w:t xml:space="preserve"> </w:t>
            </w:r>
            <w:r>
              <w:rPr>
                <w:spacing w:val="-3"/>
                <w:sz w:val="18"/>
                <w:szCs w:val="18"/>
              </w:rPr>
              <w:t>一般方法</w:t>
            </w:r>
          </w:p>
        </w:tc>
        <w:tc>
          <w:tcPr>
            <w:tcW w:w="230" w:type="dxa"/>
            <w:vAlign w:val="top"/>
          </w:tcPr>
          <w:p w14:paraId="4E6BBFC6">
            <w:pPr>
              <w:pStyle w:val="6"/>
              <w:spacing w:before="156" w:line="238" w:lineRule="auto"/>
              <w:ind w:left="47"/>
              <w:rPr>
                <w:sz w:val="13"/>
                <w:szCs w:val="13"/>
              </w:rPr>
            </w:pPr>
            <w:r>
              <w:rPr>
                <w:sz w:val="13"/>
                <w:szCs w:val="13"/>
              </w:rPr>
              <w:t>√</w:t>
            </w:r>
          </w:p>
        </w:tc>
        <w:tc>
          <w:tcPr>
            <w:tcW w:w="230" w:type="dxa"/>
            <w:vAlign w:val="top"/>
          </w:tcPr>
          <w:p w14:paraId="2FEBF8AF">
            <w:pPr>
              <w:rPr>
                <w:rFonts w:ascii="Arial"/>
                <w:sz w:val="21"/>
              </w:rPr>
            </w:pPr>
          </w:p>
        </w:tc>
        <w:tc>
          <w:tcPr>
            <w:tcW w:w="219" w:type="dxa"/>
            <w:vAlign w:val="top"/>
          </w:tcPr>
          <w:p w14:paraId="3FFF4642">
            <w:pPr>
              <w:rPr>
                <w:rFonts w:ascii="Arial"/>
                <w:sz w:val="21"/>
              </w:rPr>
            </w:pPr>
          </w:p>
        </w:tc>
        <w:tc>
          <w:tcPr>
            <w:tcW w:w="244" w:type="dxa"/>
            <w:vAlign w:val="top"/>
          </w:tcPr>
          <w:p w14:paraId="40460AD8">
            <w:pPr>
              <w:rPr>
                <w:rFonts w:ascii="Arial"/>
                <w:sz w:val="21"/>
              </w:rPr>
            </w:pPr>
          </w:p>
        </w:tc>
      </w:tr>
    </w:tbl>
    <w:p w14:paraId="4F506CAA">
      <w:pPr>
        <w:spacing w:before="110" w:line="222" w:lineRule="auto"/>
        <w:ind w:left="1342"/>
        <w:rPr>
          <w:rFonts w:ascii="黑体" w:hAnsi="黑体" w:eastAsia="黑体" w:cs="黑体"/>
          <w:sz w:val="20"/>
          <w:szCs w:val="20"/>
        </w:rPr>
      </w:pPr>
      <w:r>
        <w:rPr>
          <w:rFonts w:ascii="黑体" w:hAnsi="黑体" w:eastAsia="黑体" w:cs="黑体"/>
          <w:b/>
          <w:bCs/>
          <w:spacing w:val="4"/>
          <w:sz w:val="20"/>
          <w:szCs w:val="20"/>
        </w:rPr>
        <w:t>专题六</w:t>
      </w:r>
      <w:r>
        <w:rPr>
          <w:rFonts w:ascii="黑体" w:hAnsi="黑体" w:eastAsia="黑体" w:cs="黑体"/>
          <w:spacing w:val="33"/>
          <w:sz w:val="20"/>
          <w:szCs w:val="20"/>
        </w:rPr>
        <w:t xml:space="preserve"> </w:t>
      </w:r>
      <w:r>
        <w:rPr>
          <w:rFonts w:ascii="黑体" w:hAnsi="黑体" w:eastAsia="黑体" w:cs="黑体"/>
          <w:b/>
          <w:bCs/>
          <w:spacing w:val="4"/>
          <w:sz w:val="20"/>
          <w:szCs w:val="20"/>
        </w:rPr>
        <w:t>沟通协调</w:t>
      </w:r>
    </w:p>
    <w:p w14:paraId="4C059362">
      <w:pPr>
        <w:spacing w:line="99" w:lineRule="exact"/>
      </w:pPr>
    </w:p>
    <w:tbl>
      <w:tblPr>
        <w:tblStyle w:val="5"/>
        <w:tblW w:w="4130"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14"/>
        <w:gridCol w:w="230"/>
        <w:gridCol w:w="230"/>
        <w:gridCol w:w="219"/>
        <w:gridCol w:w="244"/>
      </w:tblGrid>
      <w:tr w14:paraId="324941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9" w:hRule="atLeast"/>
        </w:trPr>
        <w:tc>
          <w:tcPr>
            <w:tcW w:w="893" w:type="dxa"/>
            <w:vMerge w:val="restart"/>
            <w:tcBorders>
              <w:top w:val="single" w:color="000000" w:sz="2" w:space="0"/>
              <w:bottom w:val="nil"/>
            </w:tcBorders>
            <w:vAlign w:val="top"/>
          </w:tcPr>
          <w:p w14:paraId="1D35135D">
            <w:pPr>
              <w:pStyle w:val="6"/>
              <w:spacing w:before="26" w:line="225" w:lineRule="auto"/>
              <w:ind w:left="187" w:right="195" w:firstLine="80"/>
            </w:pPr>
            <w:r>
              <w:rPr>
                <w:b/>
                <w:bCs/>
                <w:spacing w:val="-7"/>
              </w:rPr>
              <w:t>知识</w:t>
            </w:r>
            <w:r>
              <w:t xml:space="preserve">  </w:t>
            </w:r>
            <w:r>
              <w:rPr>
                <w:b/>
                <w:bCs/>
                <w:spacing w:val="-6"/>
              </w:rPr>
              <w:t>与技能</w:t>
            </w:r>
            <w:r>
              <w:rPr>
                <w:spacing w:val="1"/>
              </w:rPr>
              <w:t xml:space="preserve"> </w:t>
            </w:r>
            <w:r>
              <w:rPr>
                <w:b/>
                <w:bCs/>
                <w:spacing w:val="34"/>
              </w:rPr>
              <w:t>要点</w:t>
            </w:r>
          </w:p>
        </w:tc>
        <w:tc>
          <w:tcPr>
            <w:tcW w:w="2314" w:type="dxa"/>
            <w:vMerge w:val="restart"/>
            <w:tcBorders>
              <w:top w:val="single" w:color="000000" w:sz="2" w:space="0"/>
              <w:bottom w:val="nil"/>
            </w:tcBorders>
            <w:vAlign w:val="top"/>
          </w:tcPr>
          <w:p w14:paraId="2CE935CE">
            <w:pPr>
              <w:pStyle w:val="6"/>
              <w:spacing w:before="244" w:line="219" w:lineRule="auto"/>
              <w:ind w:left="844"/>
            </w:pPr>
            <w:r>
              <w:rPr>
                <w:b/>
                <w:bCs/>
                <w:spacing w:val="5"/>
              </w:rPr>
              <w:t>考试条目</w:t>
            </w:r>
          </w:p>
        </w:tc>
        <w:tc>
          <w:tcPr>
            <w:tcW w:w="923" w:type="dxa"/>
            <w:gridSpan w:val="4"/>
            <w:tcBorders>
              <w:top w:val="single" w:color="000000" w:sz="2" w:space="0"/>
              <w:bottom w:val="single" w:color="000000" w:sz="2" w:space="0"/>
            </w:tcBorders>
            <w:vAlign w:val="top"/>
          </w:tcPr>
          <w:p w14:paraId="05419E9C">
            <w:pPr>
              <w:pStyle w:val="6"/>
              <w:spacing w:before="54" w:line="219" w:lineRule="auto"/>
              <w:ind w:left="140"/>
            </w:pPr>
            <w:r>
              <w:rPr>
                <w:b/>
                <w:bCs/>
                <w:spacing w:val="-4"/>
              </w:rPr>
              <w:t>考试水平</w:t>
            </w:r>
          </w:p>
        </w:tc>
      </w:tr>
      <w:tr w14:paraId="76082F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4" w:hRule="atLeast"/>
        </w:trPr>
        <w:tc>
          <w:tcPr>
            <w:tcW w:w="893" w:type="dxa"/>
            <w:vMerge w:val="continue"/>
            <w:tcBorders>
              <w:top w:val="nil"/>
              <w:bottom w:val="single" w:color="000000" w:sz="2" w:space="0"/>
            </w:tcBorders>
            <w:vAlign w:val="top"/>
          </w:tcPr>
          <w:p w14:paraId="26B2708D">
            <w:pPr>
              <w:rPr>
                <w:rFonts w:ascii="Arial"/>
                <w:sz w:val="21"/>
              </w:rPr>
            </w:pPr>
          </w:p>
        </w:tc>
        <w:tc>
          <w:tcPr>
            <w:tcW w:w="2314" w:type="dxa"/>
            <w:vMerge w:val="continue"/>
            <w:tcBorders>
              <w:top w:val="nil"/>
              <w:bottom w:val="single" w:color="000000" w:sz="2" w:space="0"/>
            </w:tcBorders>
            <w:vAlign w:val="top"/>
          </w:tcPr>
          <w:p w14:paraId="58BF3945">
            <w:pPr>
              <w:rPr>
                <w:rFonts w:ascii="Arial"/>
                <w:sz w:val="21"/>
              </w:rPr>
            </w:pPr>
          </w:p>
        </w:tc>
        <w:tc>
          <w:tcPr>
            <w:tcW w:w="230" w:type="dxa"/>
            <w:tcBorders>
              <w:top w:val="single" w:color="000000" w:sz="2" w:space="0"/>
              <w:bottom w:val="single" w:color="000000" w:sz="2" w:space="0"/>
            </w:tcBorders>
            <w:vAlign w:val="top"/>
          </w:tcPr>
          <w:p w14:paraId="1B082184">
            <w:pPr>
              <w:pStyle w:val="6"/>
              <w:spacing w:before="145" w:line="184" w:lineRule="auto"/>
              <w:ind w:left="20"/>
            </w:pPr>
            <w:r>
              <w:rPr>
                <w:b/>
                <w:bCs/>
                <w:spacing w:val="-2"/>
              </w:rPr>
              <w:t>A</w:t>
            </w:r>
          </w:p>
        </w:tc>
        <w:tc>
          <w:tcPr>
            <w:tcW w:w="230" w:type="dxa"/>
            <w:tcBorders>
              <w:top w:val="single" w:color="000000" w:sz="2" w:space="0"/>
              <w:bottom w:val="single" w:color="000000" w:sz="2" w:space="0"/>
            </w:tcBorders>
            <w:vAlign w:val="top"/>
          </w:tcPr>
          <w:p w14:paraId="2A8035FF">
            <w:pPr>
              <w:pStyle w:val="6"/>
              <w:spacing w:before="147" w:line="182" w:lineRule="auto"/>
              <w:ind w:left="20"/>
            </w:pPr>
            <w:r>
              <w:rPr>
                <w:b/>
                <w:bCs/>
                <w:spacing w:val="-2"/>
              </w:rPr>
              <w:t>B</w:t>
            </w:r>
          </w:p>
        </w:tc>
        <w:tc>
          <w:tcPr>
            <w:tcW w:w="219" w:type="dxa"/>
            <w:tcBorders>
              <w:top w:val="single" w:color="000000" w:sz="2" w:space="0"/>
              <w:bottom w:val="single" w:color="000000" w:sz="2" w:space="0"/>
            </w:tcBorders>
            <w:vAlign w:val="top"/>
          </w:tcPr>
          <w:p w14:paraId="7C1D614F">
            <w:pPr>
              <w:pStyle w:val="6"/>
              <w:spacing w:before="145" w:line="183" w:lineRule="auto"/>
              <w:ind w:left="20"/>
            </w:pPr>
            <w:r>
              <w:rPr>
                <w:b/>
                <w:bCs/>
                <w:spacing w:val="-2"/>
              </w:rPr>
              <w:t>C</w:t>
            </w:r>
          </w:p>
        </w:tc>
        <w:tc>
          <w:tcPr>
            <w:tcW w:w="244" w:type="dxa"/>
            <w:tcBorders>
              <w:top w:val="single" w:color="000000" w:sz="2" w:space="0"/>
              <w:bottom w:val="single" w:color="000000" w:sz="2" w:space="0"/>
            </w:tcBorders>
            <w:vAlign w:val="top"/>
          </w:tcPr>
          <w:p w14:paraId="739BDADC">
            <w:pPr>
              <w:pStyle w:val="6"/>
              <w:spacing w:before="147" w:line="182" w:lineRule="auto"/>
              <w:ind w:left="21"/>
            </w:pPr>
            <w:r>
              <w:rPr>
                <w:b/>
                <w:bCs/>
                <w:spacing w:val="-2"/>
              </w:rPr>
              <w:t>D</w:t>
            </w:r>
          </w:p>
        </w:tc>
      </w:tr>
      <w:tr w14:paraId="2B541B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3" w:hRule="atLeast"/>
        </w:trPr>
        <w:tc>
          <w:tcPr>
            <w:tcW w:w="893" w:type="dxa"/>
            <w:tcBorders>
              <w:top w:val="single" w:color="000000" w:sz="2" w:space="0"/>
              <w:bottom w:val="single" w:color="000000" w:sz="2" w:space="0"/>
            </w:tcBorders>
            <w:vAlign w:val="top"/>
          </w:tcPr>
          <w:p w14:paraId="6EAD426B">
            <w:pPr>
              <w:pStyle w:val="6"/>
              <w:spacing w:before="173" w:line="222" w:lineRule="auto"/>
              <w:ind w:left="14" w:firstLine="79"/>
            </w:pPr>
            <w:r>
              <w:rPr>
                <w:spacing w:val="2"/>
              </w:rPr>
              <w:t>沟通协调</w:t>
            </w:r>
            <w:r>
              <w:t xml:space="preserve">  </w:t>
            </w:r>
            <w:r>
              <w:rPr>
                <w:spacing w:val="3"/>
              </w:rPr>
              <w:t>的意义、内</w:t>
            </w:r>
            <w:r>
              <w:rPr>
                <w:spacing w:val="2"/>
              </w:rPr>
              <w:t xml:space="preserve"> </w:t>
            </w:r>
            <w:r>
              <w:rPr>
                <w:spacing w:val="22"/>
              </w:rPr>
              <w:t>容和范围</w:t>
            </w:r>
          </w:p>
        </w:tc>
        <w:tc>
          <w:tcPr>
            <w:tcW w:w="2314" w:type="dxa"/>
            <w:tcBorders>
              <w:top w:val="single" w:color="000000" w:sz="2" w:space="0"/>
              <w:bottom w:val="single" w:color="000000" w:sz="2" w:space="0"/>
            </w:tcBorders>
            <w:vAlign w:val="top"/>
          </w:tcPr>
          <w:p w14:paraId="516CD545">
            <w:pPr>
              <w:pStyle w:val="6"/>
              <w:spacing w:before="273" w:line="220" w:lineRule="auto"/>
              <w:ind w:left="11"/>
            </w:pPr>
            <w:r>
              <w:t>1.沟通协调的意义</w:t>
            </w:r>
          </w:p>
          <w:p w14:paraId="1B7FC35F">
            <w:pPr>
              <w:pStyle w:val="6"/>
              <w:spacing w:before="5" w:line="219" w:lineRule="auto"/>
              <w:ind w:left="11"/>
            </w:pPr>
            <w:r>
              <w:rPr>
                <w:spacing w:val="1"/>
              </w:rPr>
              <w:t>2.秘书沟通协调的内容与范围</w:t>
            </w:r>
          </w:p>
        </w:tc>
        <w:tc>
          <w:tcPr>
            <w:tcW w:w="230" w:type="dxa"/>
            <w:tcBorders>
              <w:top w:val="single" w:color="000000" w:sz="2" w:space="0"/>
              <w:bottom w:val="single" w:color="000000" w:sz="2" w:space="0"/>
            </w:tcBorders>
            <w:vAlign w:val="top"/>
          </w:tcPr>
          <w:p w14:paraId="3152B3FC">
            <w:pPr>
              <w:rPr>
                <w:rFonts w:ascii="Arial"/>
                <w:sz w:val="21"/>
              </w:rPr>
            </w:pPr>
          </w:p>
        </w:tc>
        <w:tc>
          <w:tcPr>
            <w:tcW w:w="230" w:type="dxa"/>
            <w:tcBorders>
              <w:top w:val="single" w:color="000000" w:sz="2" w:space="0"/>
              <w:bottom w:val="single" w:color="000000" w:sz="2" w:space="0"/>
            </w:tcBorders>
            <w:vAlign w:val="top"/>
          </w:tcPr>
          <w:p w14:paraId="49C3C2CE">
            <w:pPr>
              <w:rPr>
                <w:rFonts w:ascii="Arial"/>
                <w:sz w:val="21"/>
              </w:rPr>
            </w:pPr>
          </w:p>
        </w:tc>
        <w:tc>
          <w:tcPr>
            <w:tcW w:w="219" w:type="dxa"/>
            <w:tcBorders>
              <w:top w:val="single" w:color="000000" w:sz="2" w:space="0"/>
              <w:bottom w:val="single" w:color="000000" w:sz="2" w:space="0"/>
            </w:tcBorders>
            <w:vAlign w:val="top"/>
          </w:tcPr>
          <w:p w14:paraId="1FD5A367">
            <w:pPr>
              <w:rPr>
                <w:rFonts w:ascii="Arial"/>
                <w:sz w:val="21"/>
              </w:rPr>
            </w:pPr>
          </w:p>
        </w:tc>
        <w:tc>
          <w:tcPr>
            <w:tcW w:w="244" w:type="dxa"/>
            <w:tcBorders>
              <w:top w:val="single" w:color="000000" w:sz="2" w:space="0"/>
              <w:bottom w:val="single" w:color="000000" w:sz="2" w:space="0"/>
            </w:tcBorders>
            <w:vAlign w:val="top"/>
          </w:tcPr>
          <w:p w14:paraId="5CF1AD25">
            <w:pPr>
              <w:rPr>
                <w:rFonts w:ascii="Arial"/>
                <w:sz w:val="21"/>
              </w:rPr>
            </w:pPr>
          </w:p>
        </w:tc>
      </w:tr>
      <w:tr w14:paraId="1AEEC4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37" w:hRule="atLeast"/>
        </w:trPr>
        <w:tc>
          <w:tcPr>
            <w:tcW w:w="893" w:type="dxa"/>
            <w:tcBorders>
              <w:top w:val="single" w:color="000000" w:sz="2" w:space="0"/>
              <w:bottom w:val="single" w:color="000000" w:sz="2" w:space="0"/>
            </w:tcBorders>
            <w:vAlign w:val="top"/>
          </w:tcPr>
          <w:p w14:paraId="6248399C">
            <w:pPr>
              <w:pStyle w:val="6"/>
              <w:spacing w:before="163" w:line="219" w:lineRule="auto"/>
              <w:ind w:left="14"/>
            </w:pPr>
            <w:r>
              <w:rPr>
                <w:spacing w:val="-1"/>
              </w:rPr>
              <w:t>秘书沟通协</w:t>
            </w:r>
          </w:p>
          <w:p w14:paraId="116494B0">
            <w:pPr>
              <w:pStyle w:val="6"/>
              <w:spacing w:before="41" w:line="221" w:lineRule="auto"/>
              <w:ind w:left="14"/>
            </w:pPr>
            <w:r>
              <w:rPr>
                <w:spacing w:val="-2"/>
              </w:rPr>
              <w:t>调的原理及</w:t>
            </w:r>
          </w:p>
          <w:p w14:paraId="77F8DB4D">
            <w:pPr>
              <w:pStyle w:val="6"/>
              <w:spacing w:before="14" w:line="219" w:lineRule="auto"/>
              <w:ind w:left="184"/>
            </w:pPr>
            <w:r>
              <w:rPr>
                <w:spacing w:val="5"/>
              </w:rPr>
              <w:t>其特点</w:t>
            </w:r>
          </w:p>
        </w:tc>
        <w:tc>
          <w:tcPr>
            <w:tcW w:w="2314" w:type="dxa"/>
            <w:tcBorders>
              <w:top w:val="single" w:color="000000" w:sz="2" w:space="0"/>
              <w:bottom w:val="single" w:color="000000" w:sz="2" w:space="0"/>
            </w:tcBorders>
            <w:vAlign w:val="top"/>
          </w:tcPr>
          <w:p w14:paraId="26C7BE4E">
            <w:pPr>
              <w:pStyle w:val="6"/>
              <w:spacing w:before="283" w:line="229" w:lineRule="auto"/>
              <w:ind w:left="11" w:right="236"/>
            </w:pPr>
            <w:r>
              <w:t>1.秘书沟通协调的基本原理</w:t>
            </w:r>
            <w:r>
              <w:rPr>
                <w:spacing w:val="4"/>
              </w:rPr>
              <w:t xml:space="preserve"> </w:t>
            </w:r>
            <w:r>
              <w:rPr>
                <w:spacing w:val="1"/>
              </w:rPr>
              <w:t>2.秘书沟通协调工作的特点</w:t>
            </w:r>
          </w:p>
        </w:tc>
        <w:tc>
          <w:tcPr>
            <w:tcW w:w="230" w:type="dxa"/>
            <w:tcBorders>
              <w:top w:val="single" w:color="000000" w:sz="2" w:space="0"/>
              <w:bottom w:val="single" w:color="000000" w:sz="2" w:space="0"/>
            </w:tcBorders>
            <w:vAlign w:val="top"/>
          </w:tcPr>
          <w:p w14:paraId="448E15AC">
            <w:pPr>
              <w:rPr>
                <w:rFonts w:ascii="Arial"/>
                <w:sz w:val="21"/>
              </w:rPr>
            </w:pPr>
          </w:p>
        </w:tc>
        <w:tc>
          <w:tcPr>
            <w:tcW w:w="230" w:type="dxa"/>
            <w:tcBorders>
              <w:top w:val="single" w:color="000000" w:sz="2" w:space="0"/>
              <w:bottom w:val="single" w:color="000000" w:sz="2" w:space="0"/>
            </w:tcBorders>
            <w:vAlign w:val="top"/>
          </w:tcPr>
          <w:p w14:paraId="52BCF7EF">
            <w:pPr>
              <w:rPr>
                <w:rFonts w:ascii="Arial"/>
                <w:sz w:val="21"/>
              </w:rPr>
            </w:pPr>
          </w:p>
        </w:tc>
        <w:tc>
          <w:tcPr>
            <w:tcW w:w="219" w:type="dxa"/>
            <w:tcBorders>
              <w:top w:val="single" w:color="000000" w:sz="2" w:space="0"/>
              <w:bottom w:val="single" w:color="000000" w:sz="2" w:space="0"/>
            </w:tcBorders>
            <w:vAlign w:val="top"/>
          </w:tcPr>
          <w:p w14:paraId="130A6B42">
            <w:pPr>
              <w:rPr>
                <w:rFonts w:ascii="Arial"/>
                <w:sz w:val="21"/>
              </w:rPr>
            </w:pPr>
          </w:p>
        </w:tc>
        <w:tc>
          <w:tcPr>
            <w:tcW w:w="244" w:type="dxa"/>
            <w:tcBorders>
              <w:top w:val="single" w:color="000000" w:sz="2" w:space="0"/>
              <w:bottom w:val="single" w:color="000000" w:sz="2" w:space="0"/>
            </w:tcBorders>
            <w:vAlign w:val="top"/>
          </w:tcPr>
          <w:p w14:paraId="44D00253">
            <w:pPr>
              <w:rPr>
                <w:rFonts w:ascii="Arial"/>
                <w:sz w:val="21"/>
              </w:rPr>
            </w:pPr>
          </w:p>
        </w:tc>
      </w:tr>
    </w:tbl>
    <w:p w14:paraId="67F69D6B">
      <w:pPr>
        <w:pStyle w:val="2"/>
        <w:spacing w:line="14" w:lineRule="auto"/>
        <w:rPr>
          <w:sz w:val="2"/>
        </w:rPr>
      </w:pPr>
    </w:p>
    <w:p w14:paraId="74DF577D">
      <w:pPr>
        <w:pStyle w:val="2"/>
        <w:spacing w:line="14" w:lineRule="auto"/>
        <w:rPr>
          <w:sz w:val="2"/>
        </w:rPr>
      </w:pPr>
      <w:r>
        <w:rPr>
          <w:sz w:val="2"/>
          <w:szCs w:val="2"/>
        </w:rPr>
        <w:br w:type="column"/>
      </w: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83"/>
        <w:gridCol w:w="2324"/>
        <w:gridCol w:w="220"/>
        <w:gridCol w:w="229"/>
        <w:gridCol w:w="229"/>
        <w:gridCol w:w="234"/>
      </w:tblGrid>
      <w:tr w14:paraId="78ED25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9" w:hRule="atLeast"/>
        </w:trPr>
        <w:tc>
          <w:tcPr>
            <w:tcW w:w="883" w:type="dxa"/>
            <w:vMerge w:val="restart"/>
            <w:tcBorders>
              <w:top w:val="single" w:color="000000" w:sz="2" w:space="0"/>
              <w:bottom w:val="nil"/>
            </w:tcBorders>
            <w:vAlign w:val="top"/>
          </w:tcPr>
          <w:p w14:paraId="6130B728">
            <w:pPr>
              <w:pStyle w:val="6"/>
              <w:spacing w:before="36" w:line="225" w:lineRule="auto"/>
              <w:ind w:left="177" w:right="195" w:firstLine="90"/>
              <w:jc w:val="right"/>
            </w:pPr>
            <w:r>
              <w:rPr>
                <w:b/>
                <w:bCs/>
                <w:spacing w:val="-7"/>
              </w:rPr>
              <w:t>知识</w:t>
            </w:r>
            <w:r>
              <w:t xml:space="preserve">  </w:t>
            </w:r>
            <w:r>
              <w:rPr>
                <w:b/>
                <w:bCs/>
                <w:spacing w:val="-6"/>
              </w:rPr>
              <w:t>与技能</w:t>
            </w:r>
            <w:r>
              <w:rPr>
                <w:spacing w:val="1"/>
              </w:rPr>
              <w:t xml:space="preserve"> </w:t>
            </w:r>
            <w:r>
              <w:rPr>
                <w:b/>
                <w:bCs/>
                <w:spacing w:val="-4"/>
              </w:rPr>
              <w:t>要点</w:t>
            </w:r>
          </w:p>
        </w:tc>
        <w:tc>
          <w:tcPr>
            <w:tcW w:w="2324" w:type="dxa"/>
            <w:vMerge w:val="restart"/>
            <w:tcBorders>
              <w:top w:val="single" w:color="000000" w:sz="2" w:space="0"/>
              <w:bottom w:val="nil"/>
            </w:tcBorders>
            <w:vAlign w:val="top"/>
          </w:tcPr>
          <w:p w14:paraId="09249E09">
            <w:pPr>
              <w:pStyle w:val="6"/>
              <w:spacing w:before="254" w:line="219" w:lineRule="auto"/>
              <w:ind w:left="814"/>
            </w:pPr>
            <w:r>
              <w:rPr>
                <w:b/>
                <w:bCs/>
                <w:spacing w:val="5"/>
              </w:rPr>
              <w:t>考试条目</w:t>
            </w:r>
          </w:p>
        </w:tc>
        <w:tc>
          <w:tcPr>
            <w:tcW w:w="912" w:type="dxa"/>
            <w:gridSpan w:val="4"/>
            <w:tcBorders>
              <w:top w:val="single" w:color="000000" w:sz="2" w:space="0"/>
              <w:bottom w:val="single" w:color="000000" w:sz="2" w:space="0"/>
            </w:tcBorders>
            <w:vAlign w:val="top"/>
          </w:tcPr>
          <w:p w14:paraId="60BBE172">
            <w:pPr>
              <w:pStyle w:val="6"/>
              <w:spacing w:before="64" w:line="219" w:lineRule="auto"/>
              <w:ind w:left="120"/>
            </w:pPr>
            <w:r>
              <w:rPr>
                <w:b/>
                <w:bCs/>
                <w:spacing w:val="-4"/>
              </w:rPr>
              <w:t>考试水平</w:t>
            </w:r>
          </w:p>
        </w:tc>
      </w:tr>
      <w:tr w14:paraId="4D93FF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4" w:hRule="atLeast"/>
        </w:trPr>
        <w:tc>
          <w:tcPr>
            <w:tcW w:w="883" w:type="dxa"/>
            <w:vMerge w:val="continue"/>
            <w:tcBorders>
              <w:top w:val="nil"/>
              <w:bottom w:val="single" w:color="000000" w:sz="2" w:space="0"/>
            </w:tcBorders>
            <w:vAlign w:val="top"/>
          </w:tcPr>
          <w:p w14:paraId="3AD18D50">
            <w:pPr>
              <w:rPr>
                <w:rFonts w:ascii="Arial"/>
                <w:sz w:val="21"/>
              </w:rPr>
            </w:pPr>
          </w:p>
        </w:tc>
        <w:tc>
          <w:tcPr>
            <w:tcW w:w="2324" w:type="dxa"/>
            <w:vMerge w:val="continue"/>
            <w:tcBorders>
              <w:top w:val="nil"/>
              <w:bottom w:val="single" w:color="000000" w:sz="2" w:space="0"/>
            </w:tcBorders>
            <w:vAlign w:val="top"/>
          </w:tcPr>
          <w:p w14:paraId="74796276">
            <w:pPr>
              <w:rPr>
                <w:rFonts w:ascii="Arial"/>
                <w:sz w:val="21"/>
              </w:rPr>
            </w:pPr>
          </w:p>
        </w:tc>
        <w:tc>
          <w:tcPr>
            <w:tcW w:w="220" w:type="dxa"/>
            <w:tcBorders>
              <w:top w:val="single" w:color="000000" w:sz="2" w:space="0"/>
              <w:bottom w:val="single" w:color="000000" w:sz="2" w:space="0"/>
            </w:tcBorders>
            <w:vAlign w:val="top"/>
          </w:tcPr>
          <w:p w14:paraId="4039D7F7">
            <w:pPr>
              <w:pStyle w:val="6"/>
              <w:spacing w:before="145" w:line="184" w:lineRule="auto"/>
              <w:ind w:left="20"/>
            </w:pPr>
            <w:r>
              <w:rPr>
                <w:b/>
                <w:bCs/>
                <w:spacing w:val="-2"/>
              </w:rPr>
              <w:t>A</w:t>
            </w:r>
          </w:p>
        </w:tc>
        <w:tc>
          <w:tcPr>
            <w:tcW w:w="229" w:type="dxa"/>
            <w:tcBorders>
              <w:top w:val="single" w:color="000000" w:sz="2" w:space="0"/>
              <w:bottom w:val="single" w:color="000000" w:sz="2" w:space="0"/>
            </w:tcBorders>
            <w:vAlign w:val="top"/>
          </w:tcPr>
          <w:p w14:paraId="3145B6B1">
            <w:pPr>
              <w:pStyle w:val="6"/>
              <w:spacing w:before="147" w:line="182" w:lineRule="auto"/>
              <w:ind w:left="20"/>
            </w:pPr>
            <w:r>
              <w:rPr>
                <w:b/>
                <w:bCs/>
                <w:spacing w:val="-2"/>
              </w:rPr>
              <w:t>B</w:t>
            </w:r>
          </w:p>
        </w:tc>
        <w:tc>
          <w:tcPr>
            <w:tcW w:w="229" w:type="dxa"/>
            <w:tcBorders>
              <w:top w:val="single" w:color="000000" w:sz="2" w:space="0"/>
              <w:bottom w:val="single" w:color="000000" w:sz="2" w:space="0"/>
            </w:tcBorders>
            <w:vAlign w:val="top"/>
          </w:tcPr>
          <w:p w14:paraId="67FF5F6C">
            <w:pPr>
              <w:pStyle w:val="6"/>
              <w:spacing w:before="145" w:line="183" w:lineRule="auto"/>
              <w:ind w:left="41"/>
            </w:pPr>
            <w:r>
              <w:rPr>
                <w:b/>
                <w:bCs/>
                <w:spacing w:val="-2"/>
              </w:rPr>
              <w:t>C</w:t>
            </w:r>
          </w:p>
        </w:tc>
        <w:tc>
          <w:tcPr>
            <w:tcW w:w="234" w:type="dxa"/>
            <w:tcBorders>
              <w:top w:val="single" w:color="000000" w:sz="2" w:space="0"/>
              <w:bottom w:val="single" w:color="000000" w:sz="2" w:space="0"/>
            </w:tcBorders>
            <w:vAlign w:val="top"/>
          </w:tcPr>
          <w:p w14:paraId="051D0486">
            <w:pPr>
              <w:pStyle w:val="6"/>
              <w:spacing w:before="147" w:line="182" w:lineRule="auto"/>
              <w:ind w:left="22"/>
            </w:pPr>
            <w:r>
              <w:rPr>
                <w:b/>
                <w:bCs/>
                <w:spacing w:val="-2"/>
              </w:rPr>
              <w:t>D</w:t>
            </w:r>
          </w:p>
        </w:tc>
      </w:tr>
      <w:tr w14:paraId="2B942A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1" w:hRule="atLeast"/>
        </w:trPr>
        <w:tc>
          <w:tcPr>
            <w:tcW w:w="883" w:type="dxa"/>
            <w:tcBorders>
              <w:top w:val="single" w:color="000000" w:sz="2" w:space="0"/>
              <w:bottom w:val="nil"/>
            </w:tcBorders>
            <w:vAlign w:val="top"/>
          </w:tcPr>
          <w:p w14:paraId="622A0B7D">
            <w:pPr>
              <w:spacing w:line="303" w:lineRule="auto"/>
              <w:rPr>
                <w:rFonts w:ascii="Arial"/>
                <w:sz w:val="21"/>
              </w:rPr>
            </w:pPr>
          </w:p>
          <w:p w14:paraId="27A46874">
            <w:pPr>
              <w:pStyle w:val="6"/>
              <w:spacing w:before="55" w:line="207" w:lineRule="auto"/>
              <w:ind w:left="97"/>
            </w:pPr>
            <w:r>
              <w:rPr>
                <w:b/>
                <w:bCs/>
                <w:spacing w:val="-3"/>
              </w:rPr>
              <w:t>秘书沟通</w:t>
            </w:r>
          </w:p>
        </w:tc>
        <w:tc>
          <w:tcPr>
            <w:tcW w:w="2324" w:type="dxa"/>
            <w:tcBorders>
              <w:top w:val="single" w:color="000000" w:sz="2" w:space="0"/>
              <w:bottom w:val="nil"/>
            </w:tcBorders>
            <w:vAlign w:val="top"/>
          </w:tcPr>
          <w:p w14:paraId="415B8403">
            <w:pPr>
              <w:spacing w:line="322" w:lineRule="auto"/>
              <w:rPr>
                <w:rFonts w:ascii="Arial"/>
                <w:sz w:val="21"/>
              </w:rPr>
            </w:pPr>
          </w:p>
          <w:p w14:paraId="23E3CCE5">
            <w:pPr>
              <w:pStyle w:val="6"/>
              <w:spacing w:before="55" w:line="186" w:lineRule="auto"/>
              <w:ind w:left="134"/>
            </w:pPr>
            <w:r>
              <w:rPr>
                <w:b/>
                <w:bCs/>
                <w:spacing w:val="-1"/>
              </w:rPr>
              <w:t>1.秘书沟通协调的基本原则</w:t>
            </w:r>
          </w:p>
        </w:tc>
        <w:tc>
          <w:tcPr>
            <w:tcW w:w="220" w:type="dxa"/>
            <w:tcBorders>
              <w:top w:val="single" w:color="000000" w:sz="2" w:space="0"/>
              <w:bottom w:val="nil"/>
            </w:tcBorders>
            <w:vAlign w:val="top"/>
          </w:tcPr>
          <w:p w14:paraId="788AA38D">
            <w:pPr>
              <w:rPr>
                <w:rFonts w:ascii="Arial"/>
                <w:sz w:val="21"/>
              </w:rPr>
            </w:pPr>
          </w:p>
        </w:tc>
        <w:tc>
          <w:tcPr>
            <w:tcW w:w="229" w:type="dxa"/>
            <w:tcBorders>
              <w:top w:val="single" w:color="000000" w:sz="2" w:space="0"/>
              <w:bottom w:val="nil"/>
            </w:tcBorders>
            <w:vAlign w:val="top"/>
          </w:tcPr>
          <w:p w14:paraId="5AE6AEF4">
            <w:pPr>
              <w:rPr>
                <w:rFonts w:ascii="Arial"/>
                <w:sz w:val="21"/>
              </w:rPr>
            </w:pPr>
          </w:p>
        </w:tc>
        <w:tc>
          <w:tcPr>
            <w:tcW w:w="229" w:type="dxa"/>
            <w:tcBorders>
              <w:top w:val="single" w:color="000000" w:sz="2" w:space="0"/>
              <w:bottom w:val="nil"/>
            </w:tcBorders>
            <w:vAlign w:val="top"/>
          </w:tcPr>
          <w:p w14:paraId="00B2BE47">
            <w:pPr>
              <w:rPr>
                <w:rFonts w:ascii="Arial"/>
                <w:sz w:val="21"/>
              </w:rPr>
            </w:pPr>
          </w:p>
        </w:tc>
        <w:tc>
          <w:tcPr>
            <w:tcW w:w="234" w:type="dxa"/>
            <w:tcBorders>
              <w:top w:val="single" w:color="000000" w:sz="2" w:space="0"/>
              <w:bottom w:val="nil"/>
            </w:tcBorders>
            <w:vAlign w:val="top"/>
          </w:tcPr>
          <w:p w14:paraId="27E3F3E2">
            <w:pPr>
              <w:rPr>
                <w:rFonts w:ascii="Arial"/>
                <w:sz w:val="21"/>
              </w:rPr>
            </w:pPr>
          </w:p>
        </w:tc>
      </w:tr>
      <w:tr w14:paraId="307F0A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0" w:hRule="atLeast"/>
        </w:trPr>
        <w:tc>
          <w:tcPr>
            <w:tcW w:w="883" w:type="dxa"/>
            <w:tcBorders>
              <w:top w:val="nil"/>
              <w:bottom w:val="nil"/>
            </w:tcBorders>
            <w:vAlign w:val="top"/>
          </w:tcPr>
          <w:p w14:paraId="51A5A5E2">
            <w:pPr>
              <w:pStyle w:val="6"/>
              <w:spacing w:before="40" w:line="184" w:lineRule="auto"/>
              <w:ind w:left="97"/>
            </w:pPr>
            <w:r>
              <w:rPr>
                <w:b/>
                <w:bCs/>
                <w:spacing w:val="-4"/>
              </w:rPr>
              <w:t>协调的原</w:t>
            </w:r>
          </w:p>
        </w:tc>
        <w:tc>
          <w:tcPr>
            <w:tcW w:w="2324" w:type="dxa"/>
            <w:tcBorders>
              <w:top w:val="nil"/>
              <w:bottom w:val="nil"/>
            </w:tcBorders>
            <w:vAlign w:val="top"/>
          </w:tcPr>
          <w:p w14:paraId="40BC0383">
            <w:pPr>
              <w:pStyle w:val="6"/>
              <w:spacing w:before="19" w:line="207" w:lineRule="auto"/>
              <w:ind w:left="134"/>
            </w:pPr>
            <w:r>
              <w:rPr>
                <w:b/>
                <w:bCs/>
                <w:spacing w:val="-3"/>
              </w:rPr>
              <w:t>2.秘书沟通协调的基本要求</w:t>
            </w:r>
          </w:p>
        </w:tc>
        <w:tc>
          <w:tcPr>
            <w:tcW w:w="220" w:type="dxa"/>
            <w:tcBorders>
              <w:top w:val="nil"/>
              <w:bottom w:val="nil"/>
            </w:tcBorders>
            <w:vAlign w:val="top"/>
          </w:tcPr>
          <w:p w14:paraId="0B1DF338">
            <w:pPr>
              <w:spacing w:line="210" w:lineRule="exact"/>
              <w:rPr>
                <w:rFonts w:ascii="Arial"/>
                <w:sz w:val="18"/>
              </w:rPr>
            </w:pPr>
          </w:p>
        </w:tc>
        <w:tc>
          <w:tcPr>
            <w:tcW w:w="229" w:type="dxa"/>
            <w:tcBorders>
              <w:top w:val="nil"/>
              <w:bottom w:val="nil"/>
            </w:tcBorders>
            <w:vAlign w:val="top"/>
          </w:tcPr>
          <w:p w14:paraId="77D19082">
            <w:pPr>
              <w:spacing w:line="210" w:lineRule="exact"/>
              <w:rPr>
                <w:rFonts w:ascii="Arial"/>
                <w:sz w:val="18"/>
              </w:rPr>
            </w:pPr>
          </w:p>
        </w:tc>
        <w:tc>
          <w:tcPr>
            <w:tcW w:w="229" w:type="dxa"/>
            <w:tcBorders>
              <w:top w:val="nil"/>
              <w:bottom w:val="nil"/>
            </w:tcBorders>
            <w:vAlign w:val="top"/>
          </w:tcPr>
          <w:p w14:paraId="0098A4BC">
            <w:pPr>
              <w:spacing w:line="210" w:lineRule="exact"/>
              <w:rPr>
                <w:rFonts w:ascii="Arial"/>
                <w:sz w:val="18"/>
              </w:rPr>
            </w:pPr>
          </w:p>
        </w:tc>
        <w:tc>
          <w:tcPr>
            <w:tcW w:w="234" w:type="dxa"/>
            <w:tcBorders>
              <w:top w:val="nil"/>
              <w:bottom w:val="nil"/>
            </w:tcBorders>
            <w:vAlign w:val="top"/>
          </w:tcPr>
          <w:p w14:paraId="35F913F4">
            <w:pPr>
              <w:spacing w:line="210" w:lineRule="exact"/>
              <w:rPr>
                <w:rFonts w:ascii="Arial"/>
                <w:sz w:val="18"/>
              </w:rPr>
            </w:pPr>
          </w:p>
        </w:tc>
      </w:tr>
      <w:tr w14:paraId="1EF06A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8" w:hRule="atLeast"/>
        </w:trPr>
        <w:tc>
          <w:tcPr>
            <w:tcW w:w="883" w:type="dxa"/>
            <w:tcBorders>
              <w:top w:val="nil"/>
              <w:bottom w:val="nil"/>
            </w:tcBorders>
            <w:vAlign w:val="top"/>
          </w:tcPr>
          <w:p w14:paraId="04F23914">
            <w:pPr>
              <w:pStyle w:val="6"/>
              <w:spacing w:before="20" w:line="215" w:lineRule="auto"/>
              <w:ind w:left="97"/>
            </w:pPr>
            <w:r>
              <w:rPr>
                <w:b/>
                <w:bCs/>
                <w:spacing w:val="-4"/>
              </w:rPr>
              <w:t>则、要求</w:t>
            </w:r>
          </w:p>
        </w:tc>
        <w:tc>
          <w:tcPr>
            <w:tcW w:w="2324" w:type="dxa"/>
            <w:tcBorders>
              <w:top w:val="nil"/>
              <w:bottom w:val="nil"/>
            </w:tcBorders>
            <w:vAlign w:val="top"/>
          </w:tcPr>
          <w:p w14:paraId="4F05F003">
            <w:pPr>
              <w:pStyle w:val="6"/>
              <w:spacing w:before="39" w:line="194" w:lineRule="auto"/>
              <w:ind w:left="134"/>
            </w:pPr>
            <w:r>
              <w:rPr>
                <w:b/>
                <w:bCs/>
                <w:spacing w:val="-3"/>
              </w:rPr>
              <w:t>3.秘书沟通协调的基本方式</w:t>
            </w:r>
          </w:p>
        </w:tc>
        <w:tc>
          <w:tcPr>
            <w:tcW w:w="220" w:type="dxa"/>
            <w:tcBorders>
              <w:top w:val="nil"/>
              <w:bottom w:val="nil"/>
            </w:tcBorders>
            <w:vAlign w:val="top"/>
          </w:tcPr>
          <w:p w14:paraId="25EF07D7">
            <w:pPr>
              <w:spacing w:line="218" w:lineRule="exact"/>
              <w:rPr>
                <w:rFonts w:ascii="Arial"/>
                <w:sz w:val="18"/>
              </w:rPr>
            </w:pPr>
          </w:p>
        </w:tc>
        <w:tc>
          <w:tcPr>
            <w:tcW w:w="229" w:type="dxa"/>
            <w:tcBorders>
              <w:top w:val="nil"/>
              <w:bottom w:val="nil"/>
            </w:tcBorders>
            <w:vAlign w:val="top"/>
          </w:tcPr>
          <w:p w14:paraId="0FC40061">
            <w:pPr>
              <w:spacing w:line="218" w:lineRule="exact"/>
              <w:rPr>
                <w:rFonts w:ascii="Arial"/>
                <w:sz w:val="18"/>
              </w:rPr>
            </w:pPr>
          </w:p>
        </w:tc>
        <w:tc>
          <w:tcPr>
            <w:tcW w:w="229" w:type="dxa"/>
            <w:tcBorders>
              <w:top w:val="nil"/>
              <w:bottom w:val="nil"/>
            </w:tcBorders>
            <w:vAlign w:val="top"/>
          </w:tcPr>
          <w:p w14:paraId="43016BBD">
            <w:pPr>
              <w:spacing w:line="218" w:lineRule="exact"/>
              <w:rPr>
                <w:rFonts w:ascii="Arial"/>
                <w:sz w:val="18"/>
              </w:rPr>
            </w:pPr>
          </w:p>
        </w:tc>
        <w:tc>
          <w:tcPr>
            <w:tcW w:w="234" w:type="dxa"/>
            <w:tcBorders>
              <w:top w:val="nil"/>
              <w:bottom w:val="nil"/>
            </w:tcBorders>
            <w:vAlign w:val="top"/>
          </w:tcPr>
          <w:p w14:paraId="55682B5D">
            <w:pPr>
              <w:spacing w:line="218" w:lineRule="exact"/>
              <w:rPr>
                <w:rFonts w:ascii="Arial"/>
                <w:sz w:val="18"/>
              </w:rPr>
            </w:pPr>
          </w:p>
        </w:tc>
      </w:tr>
      <w:tr w14:paraId="34E530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6" w:hRule="atLeast"/>
        </w:trPr>
        <w:tc>
          <w:tcPr>
            <w:tcW w:w="883" w:type="dxa"/>
            <w:tcBorders>
              <w:top w:val="nil"/>
              <w:bottom w:val="single" w:color="000000" w:sz="2" w:space="0"/>
            </w:tcBorders>
            <w:vAlign w:val="top"/>
          </w:tcPr>
          <w:p w14:paraId="2B1C2987">
            <w:pPr>
              <w:pStyle w:val="6"/>
              <w:spacing w:before="42" w:line="221" w:lineRule="auto"/>
              <w:ind w:left="177"/>
            </w:pPr>
            <w:r>
              <w:rPr>
                <w:b/>
                <w:bCs/>
                <w:spacing w:val="-4"/>
              </w:rPr>
              <w:t>和方法</w:t>
            </w:r>
          </w:p>
        </w:tc>
        <w:tc>
          <w:tcPr>
            <w:tcW w:w="2324" w:type="dxa"/>
            <w:tcBorders>
              <w:top w:val="nil"/>
              <w:bottom w:val="single" w:color="000000" w:sz="2" w:space="0"/>
            </w:tcBorders>
            <w:vAlign w:val="top"/>
          </w:tcPr>
          <w:p w14:paraId="6AC3DAB8">
            <w:pPr>
              <w:pStyle w:val="6"/>
              <w:spacing w:before="31" w:line="218" w:lineRule="auto"/>
              <w:ind w:left="134"/>
            </w:pPr>
            <w:r>
              <w:rPr>
                <w:b/>
                <w:bCs/>
                <w:spacing w:val="-3"/>
              </w:rPr>
              <w:t>4.秘书沟通协调的常用方法</w:t>
            </w:r>
          </w:p>
        </w:tc>
        <w:tc>
          <w:tcPr>
            <w:tcW w:w="220" w:type="dxa"/>
            <w:tcBorders>
              <w:top w:val="nil"/>
              <w:bottom w:val="single" w:color="000000" w:sz="2" w:space="0"/>
            </w:tcBorders>
            <w:vAlign w:val="top"/>
          </w:tcPr>
          <w:p w14:paraId="4F17C595">
            <w:pPr>
              <w:rPr>
                <w:rFonts w:ascii="Arial"/>
                <w:sz w:val="21"/>
              </w:rPr>
            </w:pPr>
          </w:p>
        </w:tc>
        <w:tc>
          <w:tcPr>
            <w:tcW w:w="229" w:type="dxa"/>
            <w:tcBorders>
              <w:top w:val="nil"/>
              <w:bottom w:val="single" w:color="000000" w:sz="2" w:space="0"/>
            </w:tcBorders>
            <w:vAlign w:val="top"/>
          </w:tcPr>
          <w:p w14:paraId="69C63115">
            <w:pPr>
              <w:rPr>
                <w:rFonts w:ascii="Arial"/>
                <w:sz w:val="21"/>
              </w:rPr>
            </w:pPr>
          </w:p>
        </w:tc>
        <w:tc>
          <w:tcPr>
            <w:tcW w:w="229" w:type="dxa"/>
            <w:tcBorders>
              <w:top w:val="nil"/>
              <w:bottom w:val="single" w:color="000000" w:sz="2" w:space="0"/>
            </w:tcBorders>
            <w:vAlign w:val="top"/>
          </w:tcPr>
          <w:p w14:paraId="405E30BA">
            <w:pPr>
              <w:rPr>
                <w:rFonts w:ascii="Arial"/>
                <w:sz w:val="21"/>
              </w:rPr>
            </w:pPr>
          </w:p>
        </w:tc>
        <w:tc>
          <w:tcPr>
            <w:tcW w:w="234" w:type="dxa"/>
            <w:tcBorders>
              <w:top w:val="nil"/>
              <w:bottom w:val="single" w:color="000000" w:sz="2" w:space="0"/>
            </w:tcBorders>
            <w:vAlign w:val="top"/>
          </w:tcPr>
          <w:p w14:paraId="14F5884D">
            <w:pPr>
              <w:rPr>
                <w:rFonts w:ascii="Arial"/>
                <w:sz w:val="21"/>
              </w:rPr>
            </w:pPr>
          </w:p>
        </w:tc>
      </w:tr>
    </w:tbl>
    <w:p w14:paraId="311CF1E3">
      <w:pPr>
        <w:spacing w:before="129" w:line="222" w:lineRule="auto"/>
        <w:ind w:left="1267"/>
        <w:rPr>
          <w:rFonts w:ascii="黑体" w:hAnsi="黑体" w:eastAsia="黑体" w:cs="黑体"/>
          <w:sz w:val="20"/>
          <w:szCs w:val="20"/>
        </w:rPr>
      </w:pPr>
      <w:r>
        <w:rPr>
          <w:rFonts w:ascii="黑体" w:hAnsi="黑体" w:eastAsia="黑体" w:cs="黑体"/>
          <w:b/>
          <w:bCs/>
          <w:spacing w:val="-5"/>
          <w:sz w:val="20"/>
          <w:szCs w:val="20"/>
        </w:rPr>
        <w:t>专题七</w:t>
      </w:r>
      <w:r>
        <w:rPr>
          <w:rFonts w:ascii="黑体" w:hAnsi="黑体" w:eastAsia="黑体" w:cs="黑体"/>
          <w:spacing w:val="92"/>
          <w:sz w:val="20"/>
          <w:szCs w:val="20"/>
        </w:rPr>
        <w:t xml:space="preserve"> </w:t>
      </w:r>
      <w:r>
        <w:rPr>
          <w:rFonts w:ascii="黑体" w:hAnsi="黑体" w:eastAsia="黑体" w:cs="黑体"/>
          <w:b/>
          <w:bCs/>
          <w:spacing w:val="-5"/>
          <w:sz w:val="20"/>
          <w:szCs w:val="20"/>
        </w:rPr>
        <w:t>调查研究</w:t>
      </w:r>
    </w:p>
    <w:p w14:paraId="65C57FBF">
      <w:pPr>
        <w:spacing w:line="70" w:lineRule="exact"/>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83"/>
        <w:gridCol w:w="2324"/>
        <w:gridCol w:w="220"/>
        <w:gridCol w:w="229"/>
        <w:gridCol w:w="229"/>
        <w:gridCol w:w="234"/>
      </w:tblGrid>
      <w:tr w14:paraId="5A5154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4" w:hRule="atLeast"/>
        </w:trPr>
        <w:tc>
          <w:tcPr>
            <w:tcW w:w="883" w:type="dxa"/>
            <w:vMerge w:val="restart"/>
            <w:tcBorders>
              <w:bottom w:val="nil"/>
            </w:tcBorders>
            <w:vAlign w:val="top"/>
          </w:tcPr>
          <w:p w14:paraId="1632F76C">
            <w:pPr>
              <w:pStyle w:val="6"/>
              <w:spacing w:before="31" w:line="215" w:lineRule="auto"/>
              <w:ind w:left="257"/>
              <w:rPr>
                <w:sz w:val="18"/>
                <w:szCs w:val="18"/>
              </w:rPr>
            </w:pPr>
            <w:r>
              <w:rPr>
                <w:b/>
                <w:bCs/>
                <w:spacing w:val="-5"/>
                <w:sz w:val="18"/>
                <w:szCs w:val="18"/>
              </w:rPr>
              <w:t>知识</w:t>
            </w:r>
          </w:p>
          <w:p w14:paraId="56DE6FD7">
            <w:pPr>
              <w:pStyle w:val="6"/>
              <w:spacing w:line="216" w:lineRule="auto"/>
              <w:ind w:left="167"/>
              <w:rPr>
                <w:sz w:val="18"/>
                <w:szCs w:val="18"/>
              </w:rPr>
            </w:pPr>
            <w:r>
              <w:rPr>
                <w:b/>
                <w:bCs/>
                <w:spacing w:val="-5"/>
                <w:sz w:val="18"/>
                <w:szCs w:val="18"/>
              </w:rPr>
              <w:t>与技能</w:t>
            </w:r>
          </w:p>
          <w:p w14:paraId="55C65A6C">
            <w:pPr>
              <w:pStyle w:val="6"/>
              <w:spacing w:line="195" w:lineRule="auto"/>
              <w:ind w:left="257"/>
              <w:rPr>
                <w:sz w:val="18"/>
                <w:szCs w:val="18"/>
              </w:rPr>
            </w:pPr>
            <w:r>
              <w:rPr>
                <w:b/>
                <w:bCs/>
                <w:spacing w:val="-4"/>
                <w:sz w:val="18"/>
                <w:szCs w:val="18"/>
              </w:rPr>
              <w:t>要点</w:t>
            </w:r>
          </w:p>
        </w:tc>
        <w:tc>
          <w:tcPr>
            <w:tcW w:w="2324" w:type="dxa"/>
            <w:vMerge w:val="restart"/>
            <w:tcBorders>
              <w:bottom w:val="nil"/>
            </w:tcBorders>
            <w:vAlign w:val="top"/>
          </w:tcPr>
          <w:p w14:paraId="24176D76">
            <w:pPr>
              <w:pStyle w:val="6"/>
              <w:spacing w:before="239" w:line="219" w:lineRule="auto"/>
              <w:ind w:left="834"/>
              <w:rPr>
                <w:sz w:val="18"/>
                <w:szCs w:val="18"/>
              </w:rPr>
            </w:pPr>
            <w:r>
              <w:rPr>
                <w:b/>
                <w:bCs/>
                <w:spacing w:val="5"/>
                <w:sz w:val="18"/>
                <w:szCs w:val="18"/>
              </w:rPr>
              <w:t>考试条目</w:t>
            </w:r>
          </w:p>
        </w:tc>
        <w:tc>
          <w:tcPr>
            <w:tcW w:w="912" w:type="dxa"/>
            <w:gridSpan w:val="4"/>
            <w:vAlign w:val="top"/>
          </w:tcPr>
          <w:p w14:paraId="29370CA9">
            <w:pPr>
              <w:pStyle w:val="6"/>
              <w:spacing w:before="50" w:line="219" w:lineRule="auto"/>
              <w:ind w:left="140"/>
              <w:rPr>
                <w:sz w:val="18"/>
                <w:szCs w:val="18"/>
              </w:rPr>
            </w:pPr>
            <w:r>
              <w:rPr>
                <w:b/>
                <w:bCs/>
                <w:spacing w:val="-4"/>
                <w:sz w:val="18"/>
                <w:szCs w:val="18"/>
              </w:rPr>
              <w:t>考试水平</w:t>
            </w:r>
          </w:p>
        </w:tc>
      </w:tr>
      <w:tr w14:paraId="6CCFD3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9" w:hRule="atLeast"/>
        </w:trPr>
        <w:tc>
          <w:tcPr>
            <w:tcW w:w="883" w:type="dxa"/>
            <w:vMerge w:val="continue"/>
            <w:tcBorders>
              <w:top w:val="nil"/>
            </w:tcBorders>
            <w:vAlign w:val="top"/>
          </w:tcPr>
          <w:p w14:paraId="540766DA">
            <w:pPr>
              <w:rPr>
                <w:rFonts w:ascii="Arial"/>
                <w:sz w:val="21"/>
              </w:rPr>
            </w:pPr>
          </w:p>
        </w:tc>
        <w:tc>
          <w:tcPr>
            <w:tcW w:w="2324" w:type="dxa"/>
            <w:vMerge w:val="continue"/>
            <w:tcBorders>
              <w:top w:val="nil"/>
            </w:tcBorders>
            <w:vAlign w:val="top"/>
          </w:tcPr>
          <w:p w14:paraId="233FF12A">
            <w:pPr>
              <w:rPr>
                <w:rFonts w:ascii="Arial"/>
                <w:sz w:val="21"/>
              </w:rPr>
            </w:pPr>
          </w:p>
        </w:tc>
        <w:tc>
          <w:tcPr>
            <w:tcW w:w="220" w:type="dxa"/>
            <w:vAlign w:val="top"/>
          </w:tcPr>
          <w:p w14:paraId="471434A4">
            <w:pPr>
              <w:pStyle w:val="6"/>
              <w:spacing w:before="133" w:line="184" w:lineRule="auto"/>
              <w:ind w:left="20"/>
              <w:rPr>
                <w:sz w:val="18"/>
                <w:szCs w:val="18"/>
              </w:rPr>
            </w:pPr>
            <w:r>
              <w:rPr>
                <w:b/>
                <w:bCs/>
                <w:spacing w:val="-2"/>
                <w:sz w:val="18"/>
                <w:szCs w:val="18"/>
              </w:rPr>
              <w:t>A</w:t>
            </w:r>
          </w:p>
        </w:tc>
        <w:tc>
          <w:tcPr>
            <w:tcW w:w="229" w:type="dxa"/>
            <w:vAlign w:val="top"/>
          </w:tcPr>
          <w:p w14:paraId="009552EA">
            <w:pPr>
              <w:pStyle w:val="6"/>
              <w:spacing w:before="135" w:line="182" w:lineRule="auto"/>
              <w:ind w:left="20"/>
              <w:rPr>
                <w:sz w:val="18"/>
                <w:szCs w:val="18"/>
              </w:rPr>
            </w:pPr>
            <w:r>
              <w:rPr>
                <w:b/>
                <w:bCs/>
                <w:spacing w:val="-2"/>
                <w:sz w:val="18"/>
                <w:szCs w:val="18"/>
              </w:rPr>
              <w:t>B</w:t>
            </w:r>
          </w:p>
        </w:tc>
        <w:tc>
          <w:tcPr>
            <w:tcW w:w="229" w:type="dxa"/>
            <w:vAlign w:val="top"/>
          </w:tcPr>
          <w:p w14:paraId="32C57A56">
            <w:pPr>
              <w:pStyle w:val="6"/>
              <w:spacing w:before="133" w:line="183" w:lineRule="auto"/>
              <w:ind w:left="41"/>
              <w:rPr>
                <w:sz w:val="18"/>
                <w:szCs w:val="18"/>
              </w:rPr>
            </w:pPr>
            <w:r>
              <w:rPr>
                <w:b/>
                <w:bCs/>
                <w:spacing w:val="-2"/>
                <w:sz w:val="18"/>
                <w:szCs w:val="18"/>
              </w:rPr>
              <w:t>C</w:t>
            </w:r>
          </w:p>
        </w:tc>
        <w:tc>
          <w:tcPr>
            <w:tcW w:w="234" w:type="dxa"/>
            <w:vAlign w:val="top"/>
          </w:tcPr>
          <w:p w14:paraId="4C34D9EF">
            <w:pPr>
              <w:pStyle w:val="6"/>
              <w:spacing w:before="135" w:line="182" w:lineRule="auto"/>
              <w:ind w:left="22"/>
              <w:rPr>
                <w:sz w:val="18"/>
                <w:szCs w:val="18"/>
              </w:rPr>
            </w:pPr>
            <w:r>
              <w:rPr>
                <w:b/>
                <w:bCs/>
                <w:spacing w:val="-2"/>
                <w:sz w:val="18"/>
                <w:szCs w:val="18"/>
              </w:rPr>
              <w:t>D</w:t>
            </w:r>
          </w:p>
        </w:tc>
      </w:tr>
      <w:tr w14:paraId="136296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16" w:hRule="atLeast"/>
        </w:trPr>
        <w:tc>
          <w:tcPr>
            <w:tcW w:w="883" w:type="dxa"/>
            <w:vAlign w:val="top"/>
          </w:tcPr>
          <w:p w14:paraId="4C65A947">
            <w:pPr>
              <w:spacing w:line="278" w:lineRule="auto"/>
              <w:rPr>
                <w:rFonts w:ascii="Arial"/>
                <w:sz w:val="21"/>
              </w:rPr>
            </w:pPr>
          </w:p>
          <w:p w14:paraId="58007940">
            <w:pPr>
              <w:pStyle w:val="6"/>
              <w:spacing w:before="58" w:line="219" w:lineRule="auto"/>
              <w:ind w:left="74"/>
              <w:rPr>
                <w:sz w:val="18"/>
                <w:szCs w:val="18"/>
              </w:rPr>
            </w:pPr>
            <w:r>
              <w:rPr>
                <w:spacing w:val="-2"/>
                <w:sz w:val="18"/>
                <w:szCs w:val="18"/>
              </w:rPr>
              <w:t>调查研究</w:t>
            </w:r>
          </w:p>
          <w:p w14:paraId="2ECE941C">
            <w:pPr>
              <w:pStyle w:val="6"/>
              <w:spacing w:before="6" w:line="219" w:lineRule="auto"/>
              <w:ind w:left="74"/>
              <w:rPr>
                <w:sz w:val="18"/>
                <w:szCs w:val="18"/>
              </w:rPr>
            </w:pPr>
            <w:r>
              <w:rPr>
                <w:spacing w:val="-2"/>
                <w:sz w:val="18"/>
                <w:szCs w:val="18"/>
              </w:rPr>
              <w:t>是秘书人</w:t>
            </w:r>
          </w:p>
          <w:p w14:paraId="23F7F94C">
            <w:pPr>
              <w:pStyle w:val="6"/>
              <w:spacing w:before="28" w:line="221" w:lineRule="auto"/>
              <w:ind w:left="254"/>
              <w:rPr>
                <w:sz w:val="18"/>
                <w:szCs w:val="18"/>
              </w:rPr>
            </w:pPr>
            <w:r>
              <w:rPr>
                <w:spacing w:val="7"/>
                <w:sz w:val="18"/>
                <w:szCs w:val="18"/>
              </w:rPr>
              <w:t>员的</w:t>
            </w:r>
          </w:p>
          <w:p w14:paraId="7DC039B4">
            <w:pPr>
              <w:pStyle w:val="6"/>
              <w:spacing w:before="2" w:line="219" w:lineRule="auto"/>
              <w:ind w:left="164"/>
              <w:rPr>
                <w:sz w:val="18"/>
                <w:szCs w:val="18"/>
              </w:rPr>
            </w:pPr>
            <w:r>
              <w:rPr>
                <w:spacing w:val="-2"/>
                <w:sz w:val="18"/>
                <w:szCs w:val="18"/>
              </w:rPr>
              <w:t>基本功</w:t>
            </w:r>
          </w:p>
        </w:tc>
        <w:tc>
          <w:tcPr>
            <w:tcW w:w="2324" w:type="dxa"/>
            <w:vAlign w:val="top"/>
          </w:tcPr>
          <w:p w14:paraId="33C062F5">
            <w:pPr>
              <w:pStyle w:val="6"/>
              <w:spacing w:before="138" w:line="214" w:lineRule="auto"/>
              <w:ind w:left="12" w:right="123" w:firstLine="9"/>
              <w:rPr>
                <w:sz w:val="18"/>
                <w:szCs w:val="18"/>
              </w:rPr>
            </w:pPr>
            <w:r>
              <w:rPr>
                <w:sz w:val="18"/>
                <w:szCs w:val="18"/>
              </w:rPr>
              <w:t>1.调查研究是秘书人员的重</w:t>
            </w:r>
            <w:r>
              <w:rPr>
                <w:spacing w:val="7"/>
                <w:sz w:val="18"/>
                <w:szCs w:val="18"/>
              </w:rPr>
              <w:t xml:space="preserve"> </w:t>
            </w:r>
            <w:r>
              <w:rPr>
                <w:spacing w:val="-2"/>
                <w:sz w:val="18"/>
                <w:szCs w:val="18"/>
              </w:rPr>
              <w:t>要职责</w:t>
            </w:r>
          </w:p>
          <w:p w14:paraId="063B5A94">
            <w:pPr>
              <w:pStyle w:val="6"/>
              <w:spacing w:before="24" w:line="216" w:lineRule="auto"/>
              <w:ind w:left="12" w:firstLine="9"/>
              <w:rPr>
                <w:sz w:val="18"/>
                <w:szCs w:val="18"/>
              </w:rPr>
            </w:pPr>
            <w:r>
              <w:rPr>
                <w:spacing w:val="-16"/>
                <w:sz w:val="18"/>
                <w:szCs w:val="18"/>
              </w:rPr>
              <w:t>2.秘书部门调查研究工作的特点</w:t>
            </w:r>
            <w:r>
              <w:rPr>
                <w:spacing w:val="11"/>
                <w:sz w:val="18"/>
                <w:szCs w:val="18"/>
              </w:rPr>
              <w:t xml:space="preserve"> </w:t>
            </w:r>
            <w:r>
              <w:rPr>
                <w:spacing w:val="-1"/>
                <w:sz w:val="18"/>
                <w:szCs w:val="18"/>
              </w:rPr>
              <w:t>3.秘书人员要练好调查研究</w:t>
            </w:r>
            <w:r>
              <w:rPr>
                <w:spacing w:val="4"/>
                <w:sz w:val="18"/>
                <w:szCs w:val="18"/>
              </w:rPr>
              <w:t xml:space="preserve">  </w:t>
            </w:r>
            <w:r>
              <w:rPr>
                <w:spacing w:val="1"/>
                <w:sz w:val="18"/>
                <w:szCs w:val="18"/>
              </w:rPr>
              <w:t>的基本功</w:t>
            </w:r>
          </w:p>
          <w:p w14:paraId="19A1958B">
            <w:pPr>
              <w:pStyle w:val="6"/>
              <w:spacing w:before="26" w:line="219" w:lineRule="auto"/>
              <w:jc w:val="right"/>
              <w:rPr>
                <w:sz w:val="18"/>
                <w:szCs w:val="18"/>
              </w:rPr>
            </w:pPr>
            <w:r>
              <w:rPr>
                <w:spacing w:val="-16"/>
                <w:sz w:val="18"/>
                <w:szCs w:val="18"/>
              </w:rPr>
              <w:t>4.秘书</w:t>
            </w:r>
            <w:r>
              <w:rPr>
                <w:spacing w:val="-15"/>
                <w:sz w:val="18"/>
                <w:szCs w:val="18"/>
              </w:rPr>
              <w:t>调查研究工作的一般程</w:t>
            </w:r>
            <w:r>
              <w:rPr>
                <w:spacing w:val="-11"/>
                <w:sz w:val="18"/>
                <w:szCs w:val="18"/>
              </w:rPr>
              <w:t>序</w:t>
            </w:r>
          </w:p>
        </w:tc>
        <w:tc>
          <w:tcPr>
            <w:tcW w:w="220" w:type="dxa"/>
            <w:vAlign w:val="top"/>
          </w:tcPr>
          <w:p w14:paraId="5D1E2FFA">
            <w:pPr>
              <w:pStyle w:val="6"/>
              <w:spacing w:before="149" w:line="238" w:lineRule="auto"/>
              <w:ind w:left="17"/>
              <w:rPr>
                <w:sz w:val="12"/>
                <w:szCs w:val="12"/>
              </w:rPr>
            </w:pPr>
            <w:r>
              <w:rPr>
                <w:sz w:val="12"/>
                <w:szCs w:val="12"/>
              </w:rPr>
              <w:t>√</w:t>
            </w:r>
          </w:p>
        </w:tc>
        <w:tc>
          <w:tcPr>
            <w:tcW w:w="229" w:type="dxa"/>
            <w:vAlign w:val="top"/>
          </w:tcPr>
          <w:p w14:paraId="412804DB">
            <w:pPr>
              <w:spacing w:line="307" w:lineRule="auto"/>
              <w:rPr>
                <w:rFonts w:ascii="Arial"/>
                <w:sz w:val="21"/>
              </w:rPr>
            </w:pPr>
          </w:p>
          <w:p w14:paraId="7B822EA7">
            <w:pPr>
              <w:spacing w:line="308" w:lineRule="auto"/>
              <w:rPr>
                <w:rFonts w:ascii="Arial"/>
                <w:sz w:val="21"/>
              </w:rPr>
            </w:pPr>
          </w:p>
          <w:p w14:paraId="54615524">
            <w:pPr>
              <w:spacing w:line="314" w:lineRule="exact"/>
              <w:ind w:firstLine="51"/>
            </w:pPr>
            <w:r>
              <w:rPr>
                <w:position w:val="-6"/>
              </w:rPr>
              <w:drawing>
                <wp:inline distT="0" distB="0" distL="0" distR="0">
                  <wp:extent cx="83185" cy="198755"/>
                  <wp:effectExtent l="0" t="0" r="0" b="0"/>
                  <wp:docPr id="318" name="IM 318"/>
                  <wp:cNvGraphicFramePr/>
                  <a:graphic xmlns:a="http://schemas.openxmlformats.org/drawingml/2006/main">
                    <a:graphicData uri="http://schemas.openxmlformats.org/drawingml/2006/picture">
                      <pic:pic xmlns:pic="http://schemas.openxmlformats.org/drawingml/2006/picture">
                        <pic:nvPicPr>
                          <pic:cNvPr id="318" name="IM 318"/>
                          <pic:cNvPicPr/>
                        </pic:nvPicPr>
                        <pic:blipFill>
                          <a:blip r:embed="rId323"/>
                          <a:stretch>
                            <a:fillRect/>
                          </a:stretch>
                        </pic:blipFill>
                        <pic:spPr>
                          <a:xfrm>
                            <a:off x="0" y="0"/>
                            <a:ext cx="83335" cy="199115"/>
                          </a:xfrm>
                          <a:prstGeom prst="rect">
                            <a:avLst/>
                          </a:prstGeom>
                        </pic:spPr>
                      </pic:pic>
                    </a:graphicData>
                  </a:graphic>
                </wp:inline>
              </w:drawing>
            </w:r>
          </w:p>
        </w:tc>
        <w:tc>
          <w:tcPr>
            <w:tcW w:w="229" w:type="dxa"/>
            <w:vAlign w:val="top"/>
          </w:tcPr>
          <w:p w14:paraId="6C0EE53B">
            <w:pPr>
              <w:rPr>
                <w:rFonts w:ascii="Arial"/>
                <w:sz w:val="21"/>
              </w:rPr>
            </w:pPr>
          </w:p>
        </w:tc>
        <w:tc>
          <w:tcPr>
            <w:tcW w:w="234" w:type="dxa"/>
            <w:vAlign w:val="top"/>
          </w:tcPr>
          <w:p w14:paraId="5AF7071F">
            <w:pPr>
              <w:rPr>
                <w:rFonts w:ascii="Arial"/>
                <w:sz w:val="21"/>
              </w:rPr>
            </w:pPr>
          </w:p>
        </w:tc>
      </w:tr>
      <w:tr w14:paraId="66DABC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68" w:hRule="atLeast"/>
        </w:trPr>
        <w:tc>
          <w:tcPr>
            <w:tcW w:w="883" w:type="dxa"/>
            <w:vAlign w:val="top"/>
          </w:tcPr>
          <w:p w14:paraId="11957097">
            <w:pPr>
              <w:pStyle w:val="6"/>
              <w:spacing w:before="132" w:line="219" w:lineRule="auto"/>
              <w:ind w:left="74"/>
              <w:rPr>
                <w:sz w:val="18"/>
                <w:szCs w:val="18"/>
              </w:rPr>
            </w:pPr>
            <w:r>
              <w:rPr>
                <w:spacing w:val="-2"/>
                <w:sz w:val="18"/>
                <w:szCs w:val="18"/>
              </w:rPr>
              <w:t>调查研究</w:t>
            </w:r>
          </w:p>
          <w:p w14:paraId="6C3FBD6D">
            <w:pPr>
              <w:pStyle w:val="6"/>
              <w:spacing w:before="27" w:line="217" w:lineRule="auto"/>
              <w:ind w:left="74"/>
              <w:rPr>
                <w:sz w:val="18"/>
                <w:szCs w:val="18"/>
              </w:rPr>
            </w:pPr>
            <w:r>
              <w:rPr>
                <w:spacing w:val="3"/>
                <w:sz w:val="18"/>
                <w:szCs w:val="18"/>
              </w:rPr>
              <w:t>的类型和</w:t>
            </w:r>
          </w:p>
          <w:p w14:paraId="73029A8B">
            <w:pPr>
              <w:pStyle w:val="6"/>
              <w:spacing w:line="220" w:lineRule="auto"/>
              <w:ind w:left="254"/>
              <w:rPr>
                <w:sz w:val="18"/>
                <w:szCs w:val="18"/>
              </w:rPr>
            </w:pPr>
            <w:r>
              <w:rPr>
                <w:spacing w:val="-2"/>
                <w:sz w:val="18"/>
                <w:szCs w:val="18"/>
              </w:rPr>
              <w:t>方式</w:t>
            </w:r>
          </w:p>
        </w:tc>
        <w:tc>
          <w:tcPr>
            <w:tcW w:w="2324" w:type="dxa"/>
            <w:vAlign w:val="top"/>
          </w:tcPr>
          <w:p w14:paraId="1077D632">
            <w:pPr>
              <w:pStyle w:val="6"/>
              <w:spacing w:before="141" w:line="227" w:lineRule="auto"/>
              <w:ind w:left="12" w:firstLine="9"/>
              <w:jc w:val="both"/>
              <w:rPr>
                <w:sz w:val="18"/>
                <w:szCs w:val="18"/>
              </w:rPr>
            </w:pPr>
            <w:r>
              <w:rPr>
                <w:spacing w:val="-4"/>
                <w:sz w:val="18"/>
                <w:szCs w:val="18"/>
              </w:rPr>
              <w:t>1.调查研究中常用的调查方式</w:t>
            </w:r>
            <w:r>
              <w:rPr>
                <w:spacing w:val="7"/>
                <w:sz w:val="18"/>
                <w:szCs w:val="18"/>
              </w:rPr>
              <w:t xml:space="preserve"> </w:t>
            </w:r>
            <w:r>
              <w:rPr>
                <w:spacing w:val="-3"/>
                <w:sz w:val="18"/>
                <w:szCs w:val="18"/>
              </w:rPr>
              <w:t>2.调查研究中常见的调查方法</w:t>
            </w:r>
            <w:r>
              <w:rPr>
                <w:spacing w:val="2"/>
                <w:sz w:val="18"/>
                <w:szCs w:val="18"/>
              </w:rPr>
              <w:t xml:space="preserve"> </w:t>
            </w:r>
            <w:r>
              <w:rPr>
                <w:spacing w:val="-2"/>
                <w:sz w:val="18"/>
                <w:szCs w:val="18"/>
              </w:rPr>
              <w:t>3.几种新颖的调查方法</w:t>
            </w:r>
          </w:p>
        </w:tc>
        <w:tc>
          <w:tcPr>
            <w:tcW w:w="220" w:type="dxa"/>
            <w:vAlign w:val="top"/>
          </w:tcPr>
          <w:p w14:paraId="73DBAE52">
            <w:pPr>
              <w:rPr>
                <w:rFonts w:ascii="Arial"/>
                <w:sz w:val="21"/>
              </w:rPr>
            </w:pPr>
          </w:p>
        </w:tc>
        <w:tc>
          <w:tcPr>
            <w:tcW w:w="229" w:type="dxa"/>
            <w:vAlign w:val="top"/>
          </w:tcPr>
          <w:p w14:paraId="6FC128DD">
            <w:pPr>
              <w:rPr>
                <w:rFonts w:ascii="Arial"/>
                <w:sz w:val="21"/>
              </w:rPr>
            </w:pPr>
          </w:p>
        </w:tc>
        <w:tc>
          <w:tcPr>
            <w:tcW w:w="229" w:type="dxa"/>
            <w:vAlign w:val="top"/>
          </w:tcPr>
          <w:p w14:paraId="037200D3">
            <w:pPr>
              <w:rPr>
                <w:rFonts w:ascii="Arial"/>
                <w:sz w:val="21"/>
              </w:rPr>
            </w:pPr>
          </w:p>
        </w:tc>
        <w:tc>
          <w:tcPr>
            <w:tcW w:w="234" w:type="dxa"/>
            <w:vAlign w:val="top"/>
          </w:tcPr>
          <w:p w14:paraId="2D4FBB0D">
            <w:pPr>
              <w:spacing w:before="177" w:line="333" w:lineRule="exact"/>
              <w:ind w:firstLine="50"/>
            </w:pPr>
            <w:r>
              <w:rPr>
                <w:position w:val="-6"/>
              </w:rPr>
              <w:drawing>
                <wp:inline distT="0" distB="0" distL="0" distR="0">
                  <wp:extent cx="80010" cy="211455"/>
                  <wp:effectExtent l="0" t="0" r="0" b="0"/>
                  <wp:docPr id="320" name="IM 320"/>
                  <wp:cNvGraphicFramePr/>
                  <a:graphic xmlns:a="http://schemas.openxmlformats.org/drawingml/2006/main">
                    <a:graphicData uri="http://schemas.openxmlformats.org/drawingml/2006/picture">
                      <pic:pic xmlns:pic="http://schemas.openxmlformats.org/drawingml/2006/picture">
                        <pic:nvPicPr>
                          <pic:cNvPr id="320" name="IM 320"/>
                          <pic:cNvPicPr/>
                        </pic:nvPicPr>
                        <pic:blipFill>
                          <a:blip r:embed="rId324"/>
                          <a:stretch>
                            <a:fillRect/>
                          </a:stretch>
                        </pic:blipFill>
                        <pic:spPr>
                          <a:xfrm>
                            <a:off x="0" y="0"/>
                            <a:ext cx="80581" cy="211689"/>
                          </a:xfrm>
                          <a:prstGeom prst="rect">
                            <a:avLst/>
                          </a:prstGeom>
                        </pic:spPr>
                      </pic:pic>
                    </a:graphicData>
                  </a:graphic>
                </wp:inline>
              </w:drawing>
            </w:r>
          </w:p>
        </w:tc>
      </w:tr>
      <w:tr w14:paraId="72C66A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43" w:hRule="atLeast"/>
        </w:trPr>
        <w:tc>
          <w:tcPr>
            <w:tcW w:w="883" w:type="dxa"/>
            <w:vAlign w:val="top"/>
          </w:tcPr>
          <w:p w14:paraId="5C71A62B">
            <w:pPr>
              <w:pStyle w:val="6"/>
              <w:spacing w:before="136" w:line="220" w:lineRule="auto"/>
              <w:ind w:left="74"/>
              <w:rPr>
                <w:sz w:val="18"/>
                <w:szCs w:val="18"/>
              </w:rPr>
            </w:pPr>
            <w:r>
              <w:rPr>
                <w:spacing w:val="3"/>
                <w:sz w:val="18"/>
                <w:szCs w:val="18"/>
              </w:rPr>
              <w:t>调查中的</w:t>
            </w:r>
          </w:p>
          <w:p w14:paraId="05E2B512">
            <w:pPr>
              <w:pStyle w:val="6"/>
              <w:spacing w:before="25" w:line="204" w:lineRule="auto"/>
              <w:ind w:left="164"/>
              <w:rPr>
                <w:sz w:val="18"/>
                <w:szCs w:val="18"/>
              </w:rPr>
            </w:pPr>
            <w:r>
              <w:rPr>
                <w:spacing w:val="4"/>
                <w:sz w:val="18"/>
                <w:szCs w:val="18"/>
              </w:rPr>
              <w:t>分析与</w:t>
            </w:r>
          </w:p>
          <w:p w14:paraId="11DB81E3">
            <w:pPr>
              <w:pStyle w:val="6"/>
              <w:spacing w:line="218" w:lineRule="auto"/>
              <w:ind w:left="254"/>
              <w:rPr>
                <w:sz w:val="18"/>
                <w:szCs w:val="18"/>
              </w:rPr>
            </w:pPr>
            <w:r>
              <w:rPr>
                <w:spacing w:val="-2"/>
                <w:sz w:val="18"/>
                <w:szCs w:val="18"/>
              </w:rPr>
              <w:t>研究</w:t>
            </w:r>
          </w:p>
        </w:tc>
        <w:tc>
          <w:tcPr>
            <w:tcW w:w="2324" w:type="dxa"/>
            <w:vAlign w:val="top"/>
          </w:tcPr>
          <w:p w14:paraId="7F471018">
            <w:pPr>
              <w:pStyle w:val="6"/>
              <w:spacing w:before="145" w:line="215" w:lineRule="auto"/>
              <w:ind w:left="12"/>
              <w:rPr>
                <w:sz w:val="18"/>
                <w:szCs w:val="18"/>
              </w:rPr>
            </w:pPr>
            <w:r>
              <w:rPr>
                <w:spacing w:val="1"/>
                <w:sz w:val="18"/>
                <w:szCs w:val="18"/>
              </w:rPr>
              <w:t>1.调查与研究的关系</w:t>
            </w:r>
          </w:p>
          <w:p w14:paraId="184F6752">
            <w:pPr>
              <w:pStyle w:val="6"/>
              <w:spacing w:line="227" w:lineRule="auto"/>
              <w:ind w:left="12" w:right="331"/>
              <w:rPr>
                <w:sz w:val="18"/>
                <w:szCs w:val="18"/>
              </w:rPr>
            </w:pPr>
            <w:r>
              <w:rPr>
                <w:spacing w:val="-1"/>
                <w:sz w:val="18"/>
                <w:szCs w:val="18"/>
              </w:rPr>
              <w:t>2.分析研究的过程和要求</w:t>
            </w:r>
            <w:r>
              <w:rPr>
                <w:spacing w:val="1"/>
                <w:sz w:val="18"/>
                <w:szCs w:val="18"/>
              </w:rPr>
              <w:t xml:space="preserve"> </w:t>
            </w:r>
            <w:r>
              <w:rPr>
                <w:spacing w:val="-1"/>
                <w:sz w:val="18"/>
                <w:szCs w:val="18"/>
              </w:rPr>
              <w:t>3.分析研究的几种方法</w:t>
            </w:r>
          </w:p>
        </w:tc>
        <w:tc>
          <w:tcPr>
            <w:tcW w:w="220" w:type="dxa"/>
            <w:vAlign w:val="top"/>
          </w:tcPr>
          <w:p w14:paraId="0D499F7E">
            <w:pPr>
              <w:rPr>
                <w:rFonts w:ascii="Arial"/>
                <w:sz w:val="21"/>
              </w:rPr>
            </w:pPr>
          </w:p>
        </w:tc>
        <w:tc>
          <w:tcPr>
            <w:tcW w:w="229" w:type="dxa"/>
            <w:vAlign w:val="top"/>
          </w:tcPr>
          <w:p w14:paraId="18B6ACC8">
            <w:pPr>
              <w:rPr>
                <w:rFonts w:ascii="Arial"/>
                <w:sz w:val="21"/>
              </w:rPr>
            </w:pPr>
          </w:p>
        </w:tc>
        <w:tc>
          <w:tcPr>
            <w:tcW w:w="229" w:type="dxa"/>
            <w:vAlign w:val="top"/>
          </w:tcPr>
          <w:p w14:paraId="311CC139">
            <w:pPr>
              <w:spacing w:line="395" w:lineRule="auto"/>
              <w:rPr>
                <w:rFonts w:ascii="Arial"/>
                <w:sz w:val="21"/>
              </w:rPr>
            </w:pPr>
          </w:p>
          <w:p w14:paraId="473B6212">
            <w:pPr>
              <w:spacing w:line="313" w:lineRule="exact"/>
              <w:ind w:firstLine="49"/>
            </w:pPr>
            <w:r>
              <w:rPr>
                <w:position w:val="-6"/>
              </w:rPr>
              <w:drawing>
                <wp:inline distT="0" distB="0" distL="0" distR="0">
                  <wp:extent cx="80010" cy="198120"/>
                  <wp:effectExtent l="0" t="0" r="0" b="0"/>
                  <wp:docPr id="322" name="IM 322"/>
                  <wp:cNvGraphicFramePr/>
                  <a:graphic xmlns:a="http://schemas.openxmlformats.org/drawingml/2006/main">
                    <a:graphicData uri="http://schemas.openxmlformats.org/drawingml/2006/picture">
                      <pic:pic xmlns:pic="http://schemas.openxmlformats.org/drawingml/2006/picture">
                        <pic:nvPicPr>
                          <pic:cNvPr id="322" name="IM 322"/>
                          <pic:cNvPicPr/>
                        </pic:nvPicPr>
                        <pic:blipFill>
                          <a:blip r:embed="rId325"/>
                          <a:stretch>
                            <a:fillRect/>
                          </a:stretch>
                        </pic:blipFill>
                        <pic:spPr>
                          <a:xfrm>
                            <a:off x="0" y="0"/>
                            <a:ext cx="80581" cy="198667"/>
                          </a:xfrm>
                          <a:prstGeom prst="rect">
                            <a:avLst/>
                          </a:prstGeom>
                        </pic:spPr>
                      </pic:pic>
                    </a:graphicData>
                  </a:graphic>
                </wp:inline>
              </w:drawing>
            </w:r>
          </w:p>
        </w:tc>
        <w:tc>
          <w:tcPr>
            <w:tcW w:w="234" w:type="dxa"/>
            <w:vAlign w:val="top"/>
          </w:tcPr>
          <w:p w14:paraId="266B2AB3">
            <w:pPr>
              <w:rPr>
                <w:rFonts w:ascii="Arial"/>
                <w:sz w:val="21"/>
              </w:rPr>
            </w:pPr>
          </w:p>
        </w:tc>
      </w:tr>
    </w:tbl>
    <w:p w14:paraId="2479DE76">
      <w:pPr>
        <w:spacing w:before="129" w:line="222" w:lineRule="auto"/>
        <w:ind w:left="1267"/>
        <w:rPr>
          <w:rFonts w:ascii="黑体" w:hAnsi="黑体" w:eastAsia="黑体" w:cs="黑体"/>
          <w:sz w:val="20"/>
          <w:szCs w:val="20"/>
        </w:rPr>
      </w:pPr>
      <w:r>
        <w:rPr>
          <w:rFonts w:ascii="黑体" w:hAnsi="黑体" w:eastAsia="黑体" w:cs="黑体"/>
          <w:b/>
          <w:bCs/>
          <w:spacing w:val="-5"/>
          <w:sz w:val="20"/>
          <w:szCs w:val="20"/>
        </w:rPr>
        <w:t>专题八</w:t>
      </w:r>
      <w:r>
        <w:rPr>
          <w:rFonts w:ascii="黑体" w:hAnsi="黑体" w:eastAsia="黑体" w:cs="黑体"/>
          <w:spacing w:val="94"/>
          <w:sz w:val="20"/>
          <w:szCs w:val="20"/>
        </w:rPr>
        <w:t xml:space="preserve"> </w:t>
      </w:r>
      <w:r>
        <w:rPr>
          <w:rFonts w:ascii="黑体" w:hAnsi="黑体" w:eastAsia="黑体" w:cs="黑体"/>
          <w:b/>
          <w:bCs/>
          <w:spacing w:val="-5"/>
          <w:sz w:val="20"/>
          <w:szCs w:val="20"/>
        </w:rPr>
        <w:t>会议工作</w:t>
      </w:r>
    </w:p>
    <w:p w14:paraId="74EB2BE0">
      <w:pPr>
        <w:spacing w:line="70" w:lineRule="exact"/>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83"/>
        <w:gridCol w:w="2324"/>
        <w:gridCol w:w="220"/>
        <w:gridCol w:w="229"/>
        <w:gridCol w:w="229"/>
        <w:gridCol w:w="234"/>
      </w:tblGrid>
      <w:tr w14:paraId="5939A5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4" w:hRule="atLeast"/>
        </w:trPr>
        <w:tc>
          <w:tcPr>
            <w:tcW w:w="883" w:type="dxa"/>
            <w:vMerge w:val="restart"/>
            <w:tcBorders>
              <w:bottom w:val="nil"/>
            </w:tcBorders>
            <w:vAlign w:val="top"/>
          </w:tcPr>
          <w:p w14:paraId="251CE103">
            <w:pPr>
              <w:pStyle w:val="6"/>
              <w:spacing w:before="92" w:line="221" w:lineRule="auto"/>
              <w:ind w:left="257"/>
              <w:rPr>
                <w:sz w:val="18"/>
                <w:szCs w:val="18"/>
              </w:rPr>
            </w:pPr>
            <w:r>
              <w:rPr>
                <w:b/>
                <w:bCs/>
                <w:spacing w:val="-5"/>
                <w:sz w:val="18"/>
                <w:szCs w:val="18"/>
              </w:rPr>
              <w:t>知识</w:t>
            </w:r>
          </w:p>
          <w:p w14:paraId="036C7992">
            <w:pPr>
              <w:pStyle w:val="6"/>
              <w:spacing w:before="2" w:line="221" w:lineRule="auto"/>
              <w:jc w:val="right"/>
              <w:rPr>
                <w:sz w:val="18"/>
                <w:szCs w:val="18"/>
              </w:rPr>
            </w:pPr>
            <w:r>
              <w:rPr>
                <w:b/>
                <w:bCs/>
                <w:spacing w:val="-11"/>
                <w:sz w:val="18"/>
                <w:szCs w:val="18"/>
              </w:rPr>
              <w:t>与技能要点</w:t>
            </w:r>
          </w:p>
        </w:tc>
        <w:tc>
          <w:tcPr>
            <w:tcW w:w="2324" w:type="dxa"/>
            <w:vMerge w:val="restart"/>
            <w:tcBorders>
              <w:bottom w:val="nil"/>
            </w:tcBorders>
            <w:vAlign w:val="top"/>
          </w:tcPr>
          <w:p w14:paraId="77CE45FF">
            <w:pPr>
              <w:pStyle w:val="6"/>
              <w:spacing w:before="190" w:line="219" w:lineRule="auto"/>
              <w:ind w:left="844"/>
              <w:rPr>
                <w:sz w:val="18"/>
                <w:szCs w:val="18"/>
              </w:rPr>
            </w:pPr>
            <w:r>
              <w:rPr>
                <w:b/>
                <w:bCs/>
                <w:spacing w:val="5"/>
                <w:sz w:val="18"/>
                <w:szCs w:val="18"/>
              </w:rPr>
              <w:t>考试条目</w:t>
            </w:r>
          </w:p>
        </w:tc>
        <w:tc>
          <w:tcPr>
            <w:tcW w:w="912" w:type="dxa"/>
            <w:gridSpan w:val="4"/>
            <w:vAlign w:val="top"/>
          </w:tcPr>
          <w:p w14:paraId="39386EF2">
            <w:pPr>
              <w:pStyle w:val="6"/>
              <w:spacing w:before="49" w:line="219" w:lineRule="auto"/>
              <w:ind w:left="130"/>
              <w:rPr>
                <w:sz w:val="18"/>
                <w:szCs w:val="18"/>
              </w:rPr>
            </w:pPr>
            <w:r>
              <w:rPr>
                <w:b/>
                <w:bCs/>
                <w:spacing w:val="-4"/>
                <w:sz w:val="18"/>
                <w:szCs w:val="18"/>
              </w:rPr>
              <w:t>考试水平</w:t>
            </w:r>
          </w:p>
        </w:tc>
      </w:tr>
      <w:tr w14:paraId="00061A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883" w:type="dxa"/>
            <w:vMerge w:val="continue"/>
            <w:tcBorders>
              <w:top w:val="nil"/>
            </w:tcBorders>
            <w:vAlign w:val="top"/>
          </w:tcPr>
          <w:p w14:paraId="27F71546">
            <w:pPr>
              <w:rPr>
                <w:rFonts w:ascii="Arial"/>
                <w:sz w:val="21"/>
              </w:rPr>
            </w:pPr>
          </w:p>
        </w:tc>
        <w:tc>
          <w:tcPr>
            <w:tcW w:w="2324" w:type="dxa"/>
            <w:vMerge w:val="continue"/>
            <w:tcBorders>
              <w:top w:val="nil"/>
            </w:tcBorders>
            <w:vAlign w:val="top"/>
          </w:tcPr>
          <w:p w14:paraId="2388A8C7">
            <w:pPr>
              <w:rPr>
                <w:rFonts w:ascii="Arial"/>
                <w:sz w:val="21"/>
              </w:rPr>
            </w:pPr>
          </w:p>
        </w:tc>
        <w:tc>
          <w:tcPr>
            <w:tcW w:w="220" w:type="dxa"/>
            <w:vAlign w:val="top"/>
          </w:tcPr>
          <w:p w14:paraId="108FD521">
            <w:pPr>
              <w:pStyle w:val="6"/>
              <w:spacing w:before="93" w:line="170" w:lineRule="auto"/>
              <w:ind w:left="20"/>
              <w:rPr>
                <w:sz w:val="18"/>
                <w:szCs w:val="18"/>
              </w:rPr>
            </w:pPr>
            <w:r>
              <w:rPr>
                <w:b/>
                <w:bCs/>
                <w:spacing w:val="-2"/>
                <w:sz w:val="18"/>
                <w:szCs w:val="18"/>
              </w:rPr>
              <w:t>A</w:t>
            </w:r>
          </w:p>
        </w:tc>
        <w:tc>
          <w:tcPr>
            <w:tcW w:w="229" w:type="dxa"/>
            <w:vAlign w:val="top"/>
          </w:tcPr>
          <w:p w14:paraId="0386954A">
            <w:pPr>
              <w:pStyle w:val="6"/>
              <w:spacing w:before="96" w:line="167" w:lineRule="auto"/>
              <w:ind w:left="40"/>
              <w:rPr>
                <w:sz w:val="18"/>
                <w:szCs w:val="18"/>
              </w:rPr>
            </w:pPr>
            <w:r>
              <w:rPr>
                <w:b/>
                <w:bCs/>
                <w:spacing w:val="-2"/>
                <w:sz w:val="18"/>
                <w:szCs w:val="18"/>
              </w:rPr>
              <w:t>B</w:t>
            </w:r>
          </w:p>
        </w:tc>
        <w:tc>
          <w:tcPr>
            <w:tcW w:w="229" w:type="dxa"/>
            <w:vAlign w:val="top"/>
          </w:tcPr>
          <w:p w14:paraId="26765E28">
            <w:pPr>
              <w:pStyle w:val="6"/>
              <w:spacing w:before="93" w:line="170" w:lineRule="auto"/>
              <w:ind w:left="21"/>
              <w:rPr>
                <w:sz w:val="18"/>
                <w:szCs w:val="18"/>
              </w:rPr>
            </w:pPr>
            <w:r>
              <w:rPr>
                <w:b/>
                <w:bCs/>
                <w:spacing w:val="-2"/>
                <w:sz w:val="18"/>
                <w:szCs w:val="18"/>
              </w:rPr>
              <w:t>C</w:t>
            </w:r>
          </w:p>
        </w:tc>
        <w:tc>
          <w:tcPr>
            <w:tcW w:w="234" w:type="dxa"/>
            <w:vAlign w:val="top"/>
          </w:tcPr>
          <w:p w14:paraId="5F9D8BBC">
            <w:pPr>
              <w:pStyle w:val="6"/>
              <w:spacing w:before="96" w:line="167" w:lineRule="auto"/>
              <w:ind w:left="42"/>
              <w:rPr>
                <w:sz w:val="18"/>
                <w:szCs w:val="18"/>
              </w:rPr>
            </w:pPr>
            <w:r>
              <w:rPr>
                <w:b/>
                <w:bCs/>
                <w:spacing w:val="-2"/>
                <w:sz w:val="18"/>
                <w:szCs w:val="18"/>
              </w:rPr>
              <w:t>D</w:t>
            </w:r>
          </w:p>
        </w:tc>
      </w:tr>
      <w:tr w14:paraId="671E2F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97" w:hRule="atLeast"/>
        </w:trPr>
        <w:tc>
          <w:tcPr>
            <w:tcW w:w="883" w:type="dxa"/>
            <w:vAlign w:val="top"/>
          </w:tcPr>
          <w:p w14:paraId="750E6901">
            <w:pPr>
              <w:spacing w:line="397" w:lineRule="auto"/>
              <w:rPr>
                <w:rFonts w:ascii="Arial"/>
                <w:sz w:val="21"/>
              </w:rPr>
            </w:pPr>
          </w:p>
          <w:p w14:paraId="5D14E13D">
            <w:pPr>
              <w:pStyle w:val="6"/>
              <w:spacing w:before="58" w:line="219" w:lineRule="auto"/>
              <w:ind w:left="74"/>
              <w:rPr>
                <w:sz w:val="18"/>
                <w:szCs w:val="18"/>
              </w:rPr>
            </w:pPr>
            <w:r>
              <w:rPr>
                <w:spacing w:val="-2"/>
                <w:sz w:val="18"/>
                <w:szCs w:val="18"/>
              </w:rPr>
              <w:t>会议概述</w:t>
            </w:r>
          </w:p>
        </w:tc>
        <w:tc>
          <w:tcPr>
            <w:tcW w:w="2324" w:type="dxa"/>
            <w:vAlign w:val="top"/>
          </w:tcPr>
          <w:p w14:paraId="3A043820">
            <w:pPr>
              <w:pStyle w:val="6"/>
              <w:spacing w:before="28" w:line="219" w:lineRule="auto"/>
              <w:ind w:left="12"/>
              <w:rPr>
                <w:sz w:val="18"/>
                <w:szCs w:val="18"/>
              </w:rPr>
            </w:pPr>
            <w:r>
              <w:rPr>
                <w:spacing w:val="1"/>
                <w:sz w:val="18"/>
                <w:szCs w:val="18"/>
              </w:rPr>
              <w:t>1.会议概念</w:t>
            </w:r>
          </w:p>
          <w:p w14:paraId="207D5BA5">
            <w:pPr>
              <w:pStyle w:val="6"/>
              <w:spacing w:before="6" w:line="215" w:lineRule="auto"/>
              <w:ind w:left="12" w:right="1200"/>
              <w:rPr>
                <w:sz w:val="18"/>
                <w:szCs w:val="18"/>
              </w:rPr>
            </w:pPr>
            <w:r>
              <w:rPr>
                <w:spacing w:val="-2"/>
                <w:sz w:val="18"/>
                <w:szCs w:val="18"/>
              </w:rPr>
              <w:t>2.会议的要素</w:t>
            </w:r>
            <w:r>
              <w:rPr>
                <w:spacing w:val="3"/>
                <w:sz w:val="18"/>
                <w:szCs w:val="18"/>
              </w:rPr>
              <w:t xml:space="preserve"> </w:t>
            </w:r>
            <w:r>
              <w:rPr>
                <w:spacing w:val="-2"/>
                <w:sz w:val="18"/>
                <w:szCs w:val="18"/>
              </w:rPr>
              <w:t>3.会议的种类</w:t>
            </w:r>
            <w:r>
              <w:rPr>
                <w:spacing w:val="2"/>
                <w:sz w:val="18"/>
                <w:szCs w:val="18"/>
              </w:rPr>
              <w:t xml:space="preserve"> </w:t>
            </w:r>
            <w:r>
              <w:rPr>
                <w:spacing w:val="3"/>
                <w:sz w:val="18"/>
                <w:szCs w:val="18"/>
              </w:rPr>
              <w:t>4.会议的作用</w:t>
            </w:r>
            <w:r>
              <w:rPr>
                <w:sz w:val="18"/>
                <w:szCs w:val="18"/>
              </w:rPr>
              <w:t xml:space="preserve"> </w:t>
            </w:r>
            <w:r>
              <w:rPr>
                <w:spacing w:val="2"/>
                <w:sz w:val="18"/>
                <w:szCs w:val="18"/>
              </w:rPr>
              <w:t>5.会议的控制</w:t>
            </w:r>
          </w:p>
        </w:tc>
        <w:tc>
          <w:tcPr>
            <w:tcW w:w="220" w:type="dxa"/>
            <w:vAlign w:val="top"/>
          </w:tcPr>
          <w:p w14:paraId="6BD0FCD9">
            <w:pPr>
              <w:rPr>
                <w:rFonts w:ascii="Arial"/>
                <w:sz w:val="21"/>
              </w:rPr>
            </w:pPr>
          </w:p>
        </w:tc>
        <w:tc>
          <w:tcPr>
            <w:tcW w:w="229" w:type="dxa"/>
            <w:vAlign w:val="top"/>
          </w:tcPr>
          <w:p w14:paraId="2597C14A">
            <w:pPr>
              <w:rPr>
                <w:rFonts w:ascii="Arial"/>
                <w:sz w:val="21"/>
              </w:rPr>
            </w:pPr>
          </w:p>
        </w:tc>
        <w:tc>
          <w:tcPr>
            <w:tcW w:w="229" w:type="dxa"/>
            <w:vAlign w:val="top"/>
          </w:tcPr>
          <w:p w14:paraId="1DA5F833">
            <w:pPr>
              <w:rPr>
                <w:rFonts w:ascii="Arial"/>
                <w:sz w:val="21"/>
              </w:rPr>
            </w:pPr>
          </w:p>
        </w:tc>
        <w:tc>
          <w:tcPr>
            <w:tcW w:w="234" w:type="dxa"/>
            <w:vAlign w:val="top"/>
          </w:tcPr>
          <w:p w14:paraId="16D0826E">
            <w:pPr>
              <w:rPr>
                <w:rFonts w:ascii="Arial"/>
                <w:sz w:val="21"/>
              </w:rPr>
            </w:pPr>
          </w:p>
        </w:tc>
      </w:tr>
      <w:tr w14:paraId="7EDB12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67" w:hRule="atLeast"/>
        </w:trPr>
        <w:tc>
          <w:tcPr>
            <w:tcW w:w="883" w:type="dxa"/>
            <w:vAlign w:val="top"/>
          </w:tcPr>
          <w:p w14:paraId="4E844FE8">
            <w:pPr>
              <w:pStyle w:val="6"/>
              <w:spacing w:before="240" w:line="229" w:lineRule="auto"/>
              <w:ind w:left="254" w:right="84" w:hanging="180"/>
              <w:rPr>
                <w:sz w:val="18"/>
                <w:szCs w:val="18"/>
              </w:rPr>
            </w:pPr>
            <w:r>
              <w:rPr>
                <w:spacing w:val="-2"/>
                <w:sz w:val="18"/>
                <w:szCs w:val="18"/>
              </w:rPr>
              <w:t>会议筹备</w:t>
            </w:r>
            <w:r>
              <w:rPr>
                <w:sz w:val="18"/>
                <w:szCs w:val="18"/>
              </w:rPr>
              <w:t xml:space="preserve"> </w:t>
            </w:r>
            <w:r>
              <w:rPr>
                <w:spacing w:val="5"/>
                <w:sz w:val="18"/>
                <w:szCs w:val="18"/>
              </w:rPr>
              <w:t>工作</w:t>
            </w:r>
          </w:p>
        </w:tc>
        <w:tc>
          <w:tcPr>
            <w:tcW w:w="2324" w:type="dxa"/>
            <w:vAlign w:val="top"/>
          </w:tcPr>
          <w:p w14:paraId="0AE6312C">
            <w:pPr>
              <w:pStyle w:val="6"/>
              <w:spacing w:before="141" w:line="219" w:lineRule="auto"/>
              <w:ind w:left="12"/>
              <w:rPr>
                <w:sz w:val="18"/>
                <w:szCs w:val="18"/>
              </w:rPr>
            </w:pPr>
            <w:r>
              <w:rPr>
                <w:sz w:val="18"/>
                <w:szCs w:val="18"/>
              </w:rPr>
              <w:t>1.会议筹备工作的内容</w:t>
            </w:r>
          </w:p>
          <w:p w14:paraId="4FACFCB7">
            <w:pPr>
              <w:pStyle w:val="6"/>
              <w:spacing w:before="16" w:line="217" w:lineRule="auto"/>
              <w:ind w:left="12"/>
              <w:rPr>
                <w:sz w:val="18"/>
                <w:szCs w:val="18"/>
              </w:rPr>
            </w:pPr>
            <w:r>
              <w:rPr>
                <w:spacing w:val="-2"/>
                <w:sz w:val="18"/>
                <w:szCs w:val="18"/>
              </w:rPr>
              <w:t>2.会议筹备工作的基本方法</w:t>
            </w:r>
            <w:r>
              <w:rPr>
                <w:spacing w:val="4"/>
                <w:sz w:val="18"/>
                <w:szCs w:val="18"/>
              </w:rPr>
              <w:t xml:space="preserve">  </w:t>
            </w:r>
            <w:r>
              <w:rPr>
                <w:spacing w:val="-3"/>
                <w:sz w:val="18"/>
                <w:szCs w:val="18"/>
              </w:rPr>
              <w:t>3.会议筹备工作应注意的问题</w:t>
            </w:r>
          </w:p>
        </w:tc>
        <w:tc>
          <w:tcPr>
            <w:tcW w:w="220" w:type="dxa"/>
            <w:vAlign w:val="top"/>
          </w:tcPr>
          <w:p w14:paraId="19A1AF21">
            <w:pPr>
              <w:rPr>
                <w:rFonts w:ascii="Arial"/>
                <w:sz w:val="21"/>
              </w:rPr>
            </w:pPr>
          </w:p>
        </w:tc>
        <w:tc>
          <w:tcPr>
            <w:tcW w:w="229" w:type="dxa"/>
            <w:vAlign w:val="top"/>
          </w:tcPr>
          <w:p w14:paraId="7DD326EC">
            <w:pPr>
              <w:rPr>
                <w:rFonts w:ascii="Arial"/>
                <w:sz w:val="21"/>
              </w:rPr>
            </w:pPr>
          </w:p>
        </w:tc>
        <w:tc>
          <w:tcPr>
            <w:tcW w:w="229" w:type="dxa"/>
            <w:vAlign w:val="top"/>
          </w:tcPr>
          <w:p w14:paraId="72703F95">
            <w:pPr>
              <w:rPr>
                <w:rFonts w:ascii="Arial"/>
                <w:sz w:val="21"/>
              </w:rPr>
            </w:pPr>
          </w:p>
        </w:tc>
        <w:tc>
          <w:tcPr>
            <w:tcW w:w="234" w:type="dxa"/>
            <w:vAlign w:val="top"/>
          </w:tcPr>
          <w:p w14:paraId="50E49787">
            <w:pPr>
              <w:rPr>
                <w:rFonts w:ascii="Arial"/>
                <w:sz w:val="21"/>
              </w:rPr>
            </w:pPr>
          </w:p>
        </w:tc>
      </w:tr>
      <w:tr w14:paraId="6DA7F3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9" w:hRule="atLeast"/>
        </w:trPr>
        <w:tc>
          <w:tcPr>
            <w:tcW w:w="883" w:type="dxa"/>
            <w:vAlign w:val="top"/>
          </w:tcPr>
          <w:p w14:paraId="2B90CA48">
            <w:pPr>
              <w:pStyle w:val="6"/>
              <w:spacing w:before="134" w:line="219" w:lineRule="auto"/>
              <w:ind w:left="14"/>
              <w:rPr>
                <w:sz w:val="18"/>
                <w:szCs w:val="18"/>
              </w:rPr>
            </w:pPr>
            <w:r>
              <w:rPr>
                <w:spacing w:val="-2"/>
                <w:sz w:val="18"/>
                <w:szCs w:val="18"/>
              </w:rPr>
              <w:t>会中工作</w:t>
            </w:r>
          </w:p>
        </w:tc>
        <w:tc>
          <w:tcPr>
            <w:tcW w:w="2324" w:type="dxa"/>
            <w:vAlign w:val="top"/>
          </w:tcPr>
          <w:p w14:paraId="158B813F">
            <w:pPr>
              <w:pStyle w:val="6"/>
              <w:spacing w:before="134" w:line="219" w:lineRule="auto"/>
              <w:ind w:left="12"/>
              <w:rPr>
                <w:sz w:val="18"/>
                <w:szCs w:val="18"/>
              </w:rPr>
            </w:pPr>
            <w:r>
              <w:rPr>
                <w:spacing w:val="-1"/>
                <w:sz w:val="18"/>
                <w:szCs w:val="18"/>
              </w:rPr>
              <w:t>会中的十项工作</w:t>
            </w:r>
          </w:p>
        </w:tc>
        <w:tc>
          <w:tcPr>
            <w:tcW w:w="220" w:type="dxa"/>
            <w:vAlign w:val="top"/>
          </w:tcPr>
          <w:p w14:paraId="0E541F81">
            <w:pPr>
              <w:rPr>
                <w:rFonts w:ascii="Arial"/>
                <w:sz w:val="21"/>
              </w:rPr>
            </w:pPr>
          </w:p>
        </w:tc>
        <w:tc>
          <w:tcPr>
            <w:tcW w:w="229" w:type="dxa"/>
            <w:vAlign w:val="top"/>
          </w:tcPr>
          <w:p w14:paraId="32FA3516">
            <w:pPr>
              <w:rPr>
                <w:rFonts w:ascii="Arial"/>
                <w:sz w:val="21"/>
              </w:rPr>
            </w:pPr>
          </w:p>
        </w:tc>
        <w:tc>
          <w:tcPr>
            <w:tcW w:w="229" w:type="dxa"/>
            <w:vAlign w:val="top"/>
          </w:tcPr>
          <w:p w14:paraId="790B4689">
            <w:pPr>
              <w:rPr>
                <w:rFonts w:ascii="Arial"/>
                <w:sz w:val="21"/>
              </w:rPr>
            </w:pPr>
          </w:p>
        </w:tc>
        <w:tc>
          <w:tcPr>
            <w:tcW w:w="234" w:type="dxa"/>
            <w:vAlign w:val="top"/>
          </w:tcPr>
          <w:p w14:paraId="66B92F87">
            <w:pPr>
              <w:pStyle w:val="6"/>
              <w:spacing w:before="176" w:line="238" w:lineRule="auto"/>
              <w:ind w:left="19"/>
              <w:rPr>
                <w:sz w:val="13"/>
                <w:szCs w:val="13"/>
              </w:rPr>
            </w:pPr>
            <w:r>
              <w:rPr>
                <w:sz w:val="13"/>
                <w:szCs w:val="13"/>
              </w:rPr>
              <w:t>√</w:t>
            </w:r>
          </w:p>
        </w:tc>
      </w:tr>
      <w:tr w14:paraId="25E10D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4" w:hRule="atLeast"/>
        </w:trPr>
        <w:tc>
          <w:tcPr>
            <w:tcW w:w="883" w:type="dxa"/>
            <w:vAlign w:val="top"/>
          </w:tcPr>
          <w:p w14:paraId="28257EC6">
            <w:pPr>
              <w:pStyle w:val="6"/>
              <w:spacing w:before="135" w:line="219" w:lineRule="auto"/>
              <w:ind w:left="14"/>
              <w:rPr>
                <w:sz w:val="18"/>
                <w:szCs w:val="18"/>
              </w:rPr>
            </w:pPr>
            <w:r>
              <w:rPr>
                <w:spacing w:val="-2"/>
                <w:sz w:val="18"/>
                <w:szCs w:val="18"/>
              </w:rPr>
              <w:t>会后工作</w:t>
            </w:r>
          </w:p>
        </w:tc>
        <w:tc>
          <w:tcPr>
            <w:tcW w:w="2324" w:type="dxa"/>
            <w:vAlign w:val="top"/>
          </w:tcPr>
          <w:p w14:paraId="2DA1A203">
            <w:pPr>
              <w:pStyle w:val="6"/>
              <w:spacing w:before="135" w:line="219" w:lineRule="auto"/>
              <w:ind w:left="12"/>
              <w:rPr>
                <w:sz w:val="18"/>
                <w:szCs w:val="18"/>
              </w:rPr>
            </w:pPr>
            <w:r>
              <w:rPr>
                <w:spacing w:val="-1"/>
                <w:sz w:val="18"/>
                <w:szCs w:val="18"/>
              </w:rPr>
              <w:t>会议善后的八项工作</w:t>
            </w:r>
          </w:p>
        </w:tc>
        <w:tc>
          <w:tcPr>
            <w:tcW w:w="220" w:type="dxa"/>
            <w:vAlign w:val="top"/>
          </w:tcPr>
          <w:p w14:paraId="3F728B29">
            <w:pPr>
              <w:rPr>
                <w:rFonts w:ascii="Arial"/>
                <w:sz w:val="21"/>
              </w:rPr>
            </w:pPr>
          </w:p>
        </w:tc>
        <w:tc>
          <w:tcPr>
            <w:tcW w:w="229" w:type="dxa"/>
            <w:vAlign w:val="top"/>
          </w:tcPr>
          <w:p w14:paraId="21D5D0B4">
            <w:pPr>
              <w:rPr>
                <w:rFonts w:ascii="Arial"/>
                <w:sz w:val="21"/>
              </w:rPr>
            </w:pPr>
          </w:p>
        </w:tc>
        <w:tc>
          <w:tcPr>
            <w:tcW w:w="229" w:type="dxa"/>
            <w:vAlign w:val="top"/>
          </w:tcPr>
          <w:p w14:paraId="51911213">
            <w:pPr>
              <w:rPr>
                <w:rFonts w:ascii="Arial"/>
                <w:sz w:val="21"/>
              </w:rPr>
            </w:pPr>
          </w:p>
        </w:tc>
        <w:tc>
          <w:tcPr>
            <w:tcW w:w="234" w:type="dxa"/>
            <w:vAlign w:val="top"/>
          </w:tcPr>
          <w:p w14:paraId="25239656">
            <w:pPr>
              <w:pStyle w:val="6"/>
              <w:spacing w:before="167" w:line="238" w:lineRule="auto"/>
              <w:ind w:left="19"/>
              <w:rPr>
                <w:sz w:val="13"/>
                <w:szCs w:val="13"/>
              </w:rPr>
            </w:pPr>
            <w:r>
              <w:rPr>
                <w:sz w:val="13"/>
                <w:szCs w:val="13"/>
              </w:rPr>
              <w:t>√</w:t>
            </w:r>
          </w:p>
        </w:tc>
      </w:tr>
    </w:tbl>
    <w:p w14:paraId="1F254AF8">
      <w:pPr>
        <w:spacing w:before="130" w:line="222" w:lineRule="auto"/>
        <w:ind w:left="1267"/>
        <w:rPr>
          <w:rFonts w:ascii="黑体" w:hAnsi="黑体" w:eastAsia="黑体" w:cs="黑体"/>
          <w:sz w:val="20"/>
          <w:szCs w:val="20"/>
        </w:rPr>
      </w:pPr>
      <w:r>
        <w:rPr>
          <w:rFonts w:ascii="黑体" w:hAnsi="黑体" w:eastAsia="黑体" w:cs="黑体"/>
          <w:b/>
          <w:bCs/>
          <w:spacing w:val="-6"/>
          <w:sz w:val="20"/>
          <w:szCs w:val="20"/>
        </w:rPr>
        <w:t>专题九</w:t>
      </w:r>
      <w:r>
        <w:rPr>
          <w:rFonts w:ascii="黑体" w:hAnsi="黑体" w:eastAsia="黑体" w:cs="黑体"/>
          <w:spacing w:val="96"/>
          <w:sz w:val="20"/>
          <w:szCs w:val="20"/>
        </w:rPr>
        <w:t xml:space="preserve"> </w:t>
      </w:r>
      <w:r>
        <w:rPr>
          <w:rFonts w:ascii="黑体" w:hAnsi="黑体" w:eastAsia="黑体" w:cs="黑体"/>
          <w:b/>
          <w:bCs/>
          <w:spacing w:val="-6"/>
          <w:sz w:val="20"/>
          <w:szCs w:val="20"/>
        </w:rPr>
        <w:t>单位值班</w:t>
      </w:r>
    </w:p>
    <w:p w14:paraId="3C2FB49D">
      <w:pPr>
        <w:spacing w:line="69" w:lineRule="exact"/>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24"/>
        <w:gridCol w:w="220"/>
        <w:gridCol w:w="229"/>
        <w:gridCol w:w="229"/>
        <w:gridCol w:w="224"/>
      </w:tblGrid>
      <w:tr w14:paraId="3F3E79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3" w:hRule="atLeast"/>
        </w:trPr>
        <w:tc>
          <w:tcPr>
            <w:tcW w:w="893" w:type="dxa"/>
            <w:vMerge w:val="restart"/>
            <w:tcBorders>
              <w:bottom w:val="nil"/>
            </w:tcBorders>
            <w:vAlign w:val="top"/>
          </w:tcPr>
          <w:p w14:paraId="199419C4">
            <w:pPr>
              <w:pStyle w:val="6"/>
              <w:spacing w:before="31" w:line="221" w:lineRule="auto"/>
              <w:ind w:left="257"/>
            </w:pPr>
            <w:r>
              <w:rPr>
                <w:b/>
                <w:bCs/>
                <w:spacing w:val="-5"/>
              </w:rPr>
              <w:t>知识</w:t>
            </w:r>
          </w:p>
          <w:p w14:paraId="1153E0C3">
            <w:pPr>
              <w:pStyle w:val="6"/>
              <w:spacing w:before="5" w:line="208" w:lineRule="auto"/>
              <w:ind w:left="17"/>
            </w:pPr>
            <w:r>
              <w:rPr>
                <w:b/>
                <w:bCs/>
              </w:rPr>
              <w:t>与技能要点</w:t>
            </w:r>
          </w:p>
        </w:tc>
        <w:tc>
          <w:tcPr>
            <w:tcW w:w="2324" w:type="dxa"/>
            <w:vMerge w:val="restart"/>
            <w:tcBorders>
              <w:bottom w:val="nil"/>
            </w:tcBorders>
            <w:vAlign w:val="top"/>
          </w:tcPr>
          <w:p w14:paraId="69177014">
            <w:pPr>
              <w:pStyle w:val="6"/>
              <w:spacing w:before="139" w:line="219" w:lineRule="auto"/>
              <w:ind w:left="844"/>
            </w:pPr>
            <w:r>
              <w:rPr>
                <w:b/>
                <w:bCs/>
                <w:spacing w:val="5"/>
              </w:rPr>
              <w:t>考试条目</w:t>
            </w:r>
          </w:p>
        </w:tc>
        <w:tc>
          <w:tcPr>
            <w:tcW w:w="902" w:type="dxa"/>
            <w:gridSpan w:val="4"/>
            <w:vAlign w:val="top"/>
          </w:tcPr>
          <w:p w14:paraId="234A3FE8">
            <w:pPr>
              <w:pStyle w:val="6"/>
              <w:spacing w:before="29" w:line="199" w:lineRule="auto"/>
              <w:ind w:left="120"/>
            </w:pPr>
            <w:r>
              <w:rPr>
                <w:b/>
                <w:bCs/>
                <w:spacing w:val="-4"/>
              </w:rPr>
              <w:t>考试水平</w:t>
            </w:r>
          </w:p>
        </w:tc>
      </w:tr>
      <w:tr w14:paraId="04C959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9" w:hRule="atLeast"/>
        </w:trPr>
        <w:tc>
          <w:tcPr>
            <w:tcW w:w="893" w:type="dxa"/>
            <w:vMerge w:val="continue"/>
            <w:tcBorders>
              <w:top w:val="nil"/>
            </w:tcBorders>
            <w:vAlign w:val="top"/>
          </w:tcPr>
          <w:p w14:paraId="1D8A1341">
            <w:pPr>
              <w:rPr>
                <w:rFonts w:ascii="Arial"/>
                <w:sz w:val="21"/>
              </w:rPr>
            </w:pPr>
          </w:p>
        </w:tc>
        <w:tc>
          <w:tcPr>
            <w:tcW w:w="2324" w:type="dxa"/>
            <w:vMerge w:val="continue"/>
            <w:tcBorders>
              <w:top w:val="nil"/>
            </w:tcBorders>
            <w:vAlign w:val="top"/>
          </w:tcPr>
          <w:p w14:paraId="6679E03A">
            <w:pPr>
              <w:rPr>
                <w:rFonts w:ascii="Arial"/>
                <w:sz w:val="21"/>
              </w:rPr>
            </w:pPr>
          </w:p>
        </w:tc>
        <w:tc>
          <w:tcPr>
            <w:tcW w:w="220" w:type="dxa"/>
            <w:vAlign w:val="top"/>
          </w:tcPr>
          <w:p w14:paraId="0A1D0B40">
            <w:pPr>
              <w:pStyle w:val="6"/>
              <w:spacing w:before="61" w:line="137" w:lineRule="exact"/>
              <w:ind w:left="18"/>
            </w:pPr>
            <w:r>
              <w:rPr>
                <w:position w:val="-2"/>
              </w:rPr>
              <w:t>A</w:t>
            </w:r>
          </w:p>
        </w:tc>
        <w:tc>
          <w:tcPr>
            <w:tcW w:w="229" w:type="dxa"/>
            <w:vAlign w:val="top"/>
          </w:tcPr>
          <w:p w14:paraId="4247ABB2">
            <w:pPr>
              <w:pStyle w:val="6"/>
              <w:spacing w:before="63" w:line="135" w:lineRule="exact"/>
              <w:ind w:left="18"/>
            </w:pPr>
            <w:r>
              <w:rPr>
                <w:position w:val="-2"/>
              </w:rPr>
              <w:t>B</w:t>
            </w:r>
          </w:p>
        </w:tc>
        <w:tc>
          <w:tcPr>
            <w:tcW w:w="229" w:type="dxa"/>
            <w:vAlign w:val="top"/>
          </w:tcPr>
          <w:p w14:paraId="6D628088">
            <w:pPr>
              <w:pStyle w:val="6"/>
              <w:spacing w:before="62" w:line="136" w:lineRule="exact"/>
              <w:ind w:left="18"/>
            </w:pPr>
            <w:r>
              <w:rPr>
                <w:position w:val="-2"/>
              </w:rPr>
              <w:t>C</w:t>
            </w:r>
          </w:p>
        </w:tc>
        <w:tc>
          <w:tcPr>
            <w:tcW w:w="224" w:type="dxa"/>
            <w:vAlign w:val="top"/>
          </w:tcPr>
          <w:p w14:paraId="093CBA70">
            <w:pPr>
              <w:pStyle w:val="6"/>
              <w:spacing w:before="63" w:line="135" w:lineRule="exact"/>
              <w:ind w:left="20"/>
            </w:pPr>
            <w:r>
              <w:rPr>
                <w:position w:val="-2"/>
              </w:rPr>
              <w:t>D</w:t>
            </w:r>
          </w:p>
        </w:tc>
      </w:tr>
      <w:tr w14:paraId="081195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98" w:hRule="atLeast"/>
        </w:trPr>
        <w:tc>
          <w:tcPr>
            <w:tcW w:w="893" w:type="dxa"/>
            <w:vAlign w:val="top"/>
          </w:tcPr>
          <w:p w14:paraId="00EA7CB6">
            <w:pPr>
              <w:spacing w:line="412" w:lineRule="auto"/>
              <w:rPr>
                <w:rFonts w:ascii="Arial"/>
                <w:sz w:val="21"/>
              </w:rPr>
            </w:pPr>
          </w:p>
          <w:p w14:paraId="4EBABDB8">
            <w:pPr>
              <w:pStyle w:val="6"/>
              <w:spacing w:before="55" w:line="219" w:lineRule="auto"/>
              <w:ind w:left="14"/>
            </w:pPr>
            <w:r>
              <w:rPr>
                <w:spacing w:val="-2"/>
              </w:rPr>
              <w:t>信访工作</w:t>
            </w:r>
          </w:p>
        </w:tc>
        <w:tc>
          <w:tcPr>
            <w:tcW w:w="2324" w:type="dxa"/>
            <w:vAlign w:val="top"/>
          </w:tcPr>
          <w:p w14:paraId="551B2C66">
            <w:pPr>
              <w:pStyle w:val="6"/>
              <w:spacing w:before="150" w:line="219" w:lineRule="auto"/>
              <w:ind w:left="11"/>
            </w:pPr>
            <w:r>
              <w:rPr>
                <w:spacing w:val="1"/>
              </w:rPr>
              <w:t>1.信访工作的特点</w:t>
            </w:r>
          </w:p>
          <w:p w14:paraId="107E9199">
            <w:pPr>
              <w:pStyle w:val="6"/>
              <w:spacing w:before="7" w:line="248" w:lineRule="auto"/>
              <w:ind w:left="11" w:right="610"/>
            </w:pPr>
            <w:r>
              <w:rPr>
                <w:spacing w:val="-1"/>
              </w:rPr>
              <w:t>2.信访工作的基本要求</w:t>
            </w:r>
            <w:r>
              <w:rPr>
                <w:spacing w:val="1"/>
              </w:rPr>
              <w:t xml:space="preserve"> </w:t>
            </w:r>
            <w:r>
              <w:rPr>
                <w:spacing w:val="-2"/>
              </w:rPr>
              <w:t>3.来信的处理</w:t>
            </w:r>
          </w:p>
          <w:p w14:paraId="04190C0D">
            <w:pPr>
              <w:pStyle w:val="6"/>
              <w:spacing w:before="4" w:line="219" w:lineRule="auto"/>
              <w:ind w:left="11"/>
            </w:pPr>
            <w:r>
              <w:rPr>
                <w:spacing w:val="-1"/>
              </w:rPr>
              <w:t>4.来访的处理</w:t>
            </w:r>
          </w:p>
        </w:tc>
        <w:tc>
          <w:tcPr>
            <w:tcW w:w="220" w:type="dxa"/>
            <w:vAlign w:val="top"/>
          </w:tcPr>
          <w:p w14:paraId="29D95E9A">
            <w:pPr>
              <w:rPr>
                <w:rFonts w:ascii="Arial"/>
                <w:sz w:val="21"/>
              </w:rPr>
            </w:pPr>
          </w:p>
        </w:tc>
        <w:tc>
          <w:tcPr>
            <w:tcW w:w="229" w:type="dxa"/>
            <w:vAlign w:val="top"/>
          </w:tcPr>
          <w:p w14:paraId="4DD1CDF4">
            <w:pPr>
              <w:spacing w:before="180" w:line="544" w:lineRule="exact"/>
              <w:ind w:firstLine="40"/>
            </w:pPr>
            <w:r>
              <w:rPr>
                <w:position w:val="-10"/>
              </w:rPr>
              <w:drawing>
                <wp:inline distT="0" distB="0" distL="0" distR="0">
                  <wp:extent cx="92075" cy="344805"/>
                  <wp:effectExtent l="0" t="0" r="0" b="0"/>
                  <wp:docPr id="324" name="IM 324"/>
                  <wp:cNvGraphicFramePr/>
                  <a:graphic xmlns:a="http://schemas.openxmlformats.org/drawingml/2006/main">
                    <a:graphicData uri="http://schemas.openxmlformats.org/drawingml/2006/picture">
                      <pic:pic xmlns:pic="http://schemas.openxmlformats.org/drawingml/2006/picture">
                        <pic:nvPicPr>
                          <pic:cNvPr id="324" name="IM 324"/>
                          <pic:cNvPicPr/>
                        </pic:nvPicPr>
                        <pic:blipFill>
                          <a:blip r:embed="rId326"/>
                          <a:stretch>
                            <a:fillRect/>
                          </a:stretch>
                        </pic:blipFill>
                        <pic:spPr>
                          <a:xfrm>
                            <a:off x="0" y="0"/>
                            <a:ext cx="92093" cy="345418"/>
                          </a:xfrm>
                          <a:prstGeom prst="rect">
                            <a:avLst/>
                          </a:prstGeom>
                        </pic:spPr>
                      </pic:pic>
                    </a:graphicData>
                  </a:graphic>
                </wp:inline>
              </w:drawing>
            </w:r>
          </w:p>
        </w:tc>
        <w:tc>
          <w:tcPr>
            <w:tcW w:w="229" w:type="dxa"/>
            <w:vAlign w:val="top"/>
          </w:tcPr>
          <w:p w14:paraId="4F396D41">
            <w:pPr>
              <w:rPr>
                <w:rFonts w:ascii="Arial"/>
                <w:sz w:val="21"/>
              </w:rPr>
            </w:pPr>
          </w:p>
        </w:tc>
        <w:tc>
          <w:tcPr>
            <w:tcW w:w="224" w:type="dxa"/>
            <w:vAlign w:val="top"/>
          </w:tcPr>
          <w:p w14:paraId="00B230A4">
            <w:pPr>
              <w:rPr>
                <w:rFonts w:ascii="Arial"/>
                <w:sz w:val="21"/>
              </w:rPr>
            </w:pPr>
          </w:p>
        </w:tc>
      </w:tr>
    </w:tbl>
    <w:p w14:paraId="1D2525BC">
      <w:pPr>
        <w:pStyle w:val="2"/>
        <w:spacing w:line="104" w:lineRule="auto"/>
        <w:rPr>
          <w:sz w:val="2"/>
        </w:rPr>
      </w:pPr>
    </w:p>
    <w:p w14:paraId="45905A3F">
      <w:pPr>
        <w:spacing w:line="104" w:lineRule="auto"/>
        <w:rPr>
          <w:sz w:val="2"/>
          <w:szCs w:val="2"/>
        </w:rPr>
        <w:sectPr>
          <w:type w:val="continuous"/>
          <w:pgSz w:w="10660" w:h="15080"/>
          <w:pgMar w:top="400" w:right="1034" w:bottom="927" w:left="819" w:header="0" w:footer="719" w:gutter="0"/>
          <w:cols w:equalWidth="0" w:num="2">
            <w:col w:w="4576" w:space="100"/>
            <w:col w:w="4130"/>
          </w:cols>
        </w:sectPr>
      </w:pPr>
    </w:p>
    <w:p w14:paraId="590FB31C">
      <w:pPr>
        <w:spacing w:before="10"/>
      </w:pPr>
    </w:p>
    <w:p w14:paraId="740E4E95">
      <w:pPr>
        <w:spacing w:before="10"/>
      </w:pPr>
    </w:p>
    <w:p w14:paraId="053289DC">
      <w:pPr>
        <w:spacing w:before="10"/>
      </w:pPr>
    </w:p>
    <w:p w14:paraId="2CD818CD">
      <w:pPr>
        <w:spacing w:before="9"/>
      </w:pPr>
    </w:p>
    <w:p w14:paraId="10F60E4C">
      <w:pPr>
        <w:sectPr>
          <w:footerReference r:id="rId63" w:type="default"/>
          <w:pgSz w:w="10660" w:h="15080"/>
          <w:pgMar w:top="400" w:right="885" w:bottom="925" w:left="1024" w:header="0" w:footer="705" w:gutter="0"/>
          <w:cols w:equalWidth="0" w:num="1">
            <w:col w:w="8750"/>
          </w:cols>
        </w:sectPr>
      </w:pPr>
    </w:p>
    <w:p w14:paraId="37FE078A">
      <w:pPr>
        <w:spacing w:line="103" w:lineRule="auto"/>
        <w:rPr>
          <w:rFonts w:ascii="Arial"/>
          <w:sz w:val="2"/>
        </w:rPr>
      </w:pPr>
    </w:p>
    <w:tbl>
      <w:tblPr>
        <w:tblStyle w:val="5"/>
        <w:tblW w:w="4119" w:type="dxa"/>
        <w:tblInd w:w="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83"/>
        <w:gridCol w:w="2324"/>
        <w:gridCol w:w="229"/>
        <w:gridCol w:w="229"/>
        <w:gridCol w:w="220"/>
        <w:gridCol w:w="234"/>
      </w:tblGrid>
      <w:tr w14:paraId="2E3F33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30" w:hRule="atLeast"/>
        </w:trPr>
        <w:tc>
          <w:tcPr>
            <w:tcW w:w="883" w:type="dxa"/>
            <w:vAlign w:val="top"/>
          </w:tcPr>
          <w:p w14:paraId="11E99A13">
            <w:pPr>
              <w:spacing w:line="322" w:lineRule="auto"/>
              <w:rPr>
                <w:rFonts w:ascii="Arial"/>
                <w:sz w:val="21"/>
              </w:rPr>
            </w:pPr>
          </w:p>
          <w:p w14:paraId="16C33B17">
            <w:pPr>
              <w:pStyle w:val="6"/>
              <w:spacing w:before="58" w:line="219" w:lineRule="auto"/>
              <w:ind w:left="15"/>
              <w:rPr>
                <w:sz w:val="18"/>
                <w:szCs w:val="18"/>
              </w:rPr>
            </w:pPr>
            <w:r>
              <w:rPr>
                <w:spacing w:val="-2"/>
                <w:sz w:val="18"/>
                <w:szCs w:val="18"/>
              </w:rPr>
              <w:t>单位值班</w:t>
            </w:r>
          </w:p>
        </w:tc>
        <w:tc>
          <w:tcPr>
            <w:tcW w:w="2324" w:type="dxa"/>
            <w:vAlign w:val="top"/>
          </w:tcPr>
          <w:p w14:paraId="5831C129">
            <w:pPr>
              <w:pStyle w:val="6"/>
              <w:spacing w:before="172" w:line="227" w:lineRule="auto"/>
              <w:ind w:left="12" w:right="492"/>
              <w:jc w:val="both"/>
              <w:rPr>
                <w:sz w:val="18"/>
                <w:szCs w:val="18"/>
              </w:rPr>
            </w:pPr>
            <w:r>
              <w:rPr>
                <w:sz w:val="18"/>
                <w:szCs w:val="18"/>
              </w:rPr>
              <w:t>1.值班的主要工作内容</w:t>
            </w:r>
            <w:r>
              <w:rPr>
                <w:spacing w:val="8"/>
                <w:sz w:val="18"/>
                <w:szCs w:val="18"/>
              </w:rPr>
              <w:t xml:space="preserve"> </w:t>
            </w:r>
            <w:r>
              <w:rPr>
                <w:spacing w:val="-1"/>
                <w:sz w:val="18"/>
                <w:szCs w:val="18"/>
              </w:rPr>
              <w:t>2.值班工作的主要制度</w:t>
            </w:r>
            <w:r>
              <w:rPr>
                <w:sz w:val="18"/>
                <w:szCs w:val="18"/>
              </w:rPr>
              <w:t xml:space="preserve"> </w:t>
            </w:r>
            <w:r>
              <w:rPr>
                <w:spacing w:val="-1"/>
                <w:sz w:val="18"/>
                <w:szCs w:val="18"/>
              </w:rPr>
              <w:t>3.值班人员的素质要求</w:t>
            </w:r>
          </w:p>
        </w:tc>
        <w:tc>
          <w:tcPr>
            <w:tcW w:w="229" w:type="dxa"/>
            <w:vAlign w:val="top"/>
          </w:tcPr>
          <w:p w14:paraId="681B74CA">
            <w:pPr>
              <w:rPr>
                <w:rFonts w:ascii="Arial"/>
                <w:sz w:val="21"/>
              </w:rPr>
            </w:pPr>
          </w:p>
        </w:tc>
        <w:tc>
          <w:tcPr>
            <w:tcW w:w="229" w:type="dxa"/>
            <w:vAlign w:val="top"/>
          </w:tcPr>
          <w:p w14:paraId="4A6EE344">
            <w:pPr>
              <w:rPr>
                <w:rFonts w:ascii="Arial"/>
                <w:sz w:val="21"/>
              </w:rPr>
            </w:pPr>
          </w:p>
        </w:tc>
        <w:tc>
          <w:tcPr>
            <w:tcW w:w="220" w:type="dxa"/>
            <w:vAlign w:val="top"/>
          </w:tcPr>
          <w:p w14:paraId="61D5DB70">
            <w:pPr>
              <w:rPr>
                <w:rFonts w:ascii="Arial"/>
                <w:sz w:val="21"/>
              </w:rPr>
            </w:pPr>
          </w:p>
        </w:tc>
        <w:tc>
          <w:tcPr>
            <w:tcW w:w="234" w:type="dxa"/>
            <w:vAlign w:val="top"/>
          </w:tcPr>
          <w:p w14:paraId="6BE67414">
            <w:pPr>
              <w:rPr>
                <w:rFonts w:ascii="Arial"/>
                <w:sz w:val="21"/>
              </w:rPr>
            </w:pPr>
          </w:p>
        </w:tc>
      </w:tr>
    </w:tbl>
    <w:p w14:paraId="7100E5DA">
      <w:pPr>
        <w:spacing w:before="118" w:line="221" w:lineRule="auto"/>
        <w:ind w:left="1277"/>
        <w:rPr>
          <w:rFonts w:ascii="黑体" w:hAnsi="黑体" w:eastAsia="黑体" w:cs="黑体"/>
          <w:sz w:val="20"/>
          <w:szCs w:val="20"/>
        </w:rPr>
      </w:pPr>
      <w:r>
        <w:rPr>
          <w:rFonts w:ascii="黑体" w:hAnsi="黑体" w:eastAsia="黑体" w:cs="黑体"/>
          <w:b/>
          <w:bCs/>
          <w:spacing w:val="25"/>
          <w:sz w:val="20"/>
          <w:szCs w:val="20"/>
        </w:rPr>
        <w:t>专题十日常事务</w:t>
      </w:r>
    </w:p>
    <w:p w14:paraId="49F47A04">
      <w:pPr>
        <w:spacing w:line="82" w:lineRule="exact"/>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24"/>
        <w:gridCol w:w="219"/>
        <w:gridCol w:w="229"/>
        <w:gridCol w:w="230"/>
        <w:gridCol w:w="224"/>
      </w:tblGrid>
      <w:tr w14:paraId="235AD0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4" w:hRule="atLeast"/>
        </w:trPr>
        <w:tc>
          <w:tcPr>
            <w:tcW w:w="893" w:type="dxa"/>
            <w:vMerge w:val="restart"/>
            <w:tcBorders>
              <w:bottom w:val="nil"/>
            </w:tcBorders>
            <w:vAlign w:val="top"/>
          </w:tcPr>
          <w:p w14:paraId="1F2A8BB3">
            <w:pPr>
              <w:pStyle w:val="6"/>
              <w:spacing w:before="31" w:line="194" w:lineRule="auto"/>
              <w:ind w:left="257"/>
              <w:rPr>
                <w:sz w:val="18"/>
                <w:szCs w:val="18"/>
              </w:rPr>
            </w:pPr>
            <w:r>
              <w:rPr>
                <w:b/>
                <w:bCs/>
                <w:spacing w:val="-5"/>
                <w:sz w:val="18"/>
                <w:szCs w:val="18"/>
              </w:rPr>
              <w:t>知识</w:t>
            </w:r>
          </w:p>
          <w:p w14:paraId="0F3091B5">
            <w:pPr>
              <w:pStyle w:val="6"/>
              <w:spacing w:line="196" w:lineRule="auto"/>
              <w:ind w:left="167"/>
              <w:rPr>
                <w:sz w:val="18"/>
                <w:szCs w:val="18"/>
              </w:rPr>
            </w:pPr>
            <w:r>
              <w:rPr>
                <w:b/>
                <w:bCs/>
                <w:spacing w:val="-5"/>
                <w:sz w:val="18"/>
                <w:szCs w:val="18"/>
              </w:rPr>
              <w:t>与技能</w:t>
            </w:r>
          </w:p>
          <w:p w14:paraId="26FC81F7">
            <w:pPr>
              <w:pStyle w:val="6"/>
              <w:spacing w:line="222" w:lineRule="auto"/>
              <w:ind w:left="277"/>
              <w:rPr>
                <w:sz w:val="18"/>
                <w:szCs w:val="18"/>
              </w:rPr>
            </w:pPr>
            <w:r>
              <w:rPr>
                <w:b/>
                <w:bCs/>
                <w:spacing w:val="-4"/>
                <w:sz w:val="18"/>
                <w:szCs w:val="18"/>
              </w:rPr>
              <w:t>要点</w:t>
            </w:r>
          </w:p>
        </w:tc>
        <w:tc>
          <w:tcPr>
            <w:tcW w:w="2324" w:type="dxa"/>
            <w:vMerge w:val="restart"/>
            <w:tcBorders>
              <w:bottom w:val="nil"/>
            </w:tcBorders>
            <w:vAlign w:val="top"/>
          </w:tcPr>
          <w:p w14:paraId="7BBA21EB">
            <w:pPr>
              <w:pStyle w:val="6"/>
              <w:spacing w:before="239" w:line="219" w:lineRule="auto"/>
              <w:ind w:left="844"/>
              <w:rPr>
                <w:sz w:val="18"/>
                <w:szCs w:val="18"/>
              </w:rPr>
            </w:pPr>
            <w:r>
              <w:rPr>
                <w:b/>
                <w:bCs/>
                <w:spacing w:val="5"/>
                <w:sz w:val="18"/>
                <w:szCs w:val="18"/>
              </w:rPr>
              <w:t>考试条目</w:t>
            </w:r>
          </w:p>
        </w:tc>
        <w:tc>
          <w:tcPr>
            <w:tcW w:w="902" w:type="dxa"/>
            <w:gridSpan w:val="4"/>
            <w:vAlign w:val="top"/>
          </w:tcPr>
          <w:p w14:paraId="051CC1FE">
            <w:pPr>
              <w:pStyle w:val="6"/>
              <w:spacing w:before="79" w:line="219" w:lineRule="auto"/>
              <w:ind w:left="130"/>
              <w:rPr>
                <w:sz w:val="18"/>
                <w:szCs w:val="18"/>
              </w:rPr>
            </w:pPr>
            <w:r>
              <w:rPr>
                <w:b/>
                <w:bCs/>
                <w:spacing w:val="-4"/>
                <w:sz w:val="18"/>
                <w:szCs w:val="18"/>
              </w:rPr>
              <w:t>考试水平</w:t>
            </w:r>
          </w:p>
        </w:tc>
      </w:tr>
      <w:tr w14:paraId="5586B3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893" w:type="dxa"/>
            <w:vMerge w:val="continue"/>
            <w:tcBorders>
              <w:top w:val="nil"/>
            </w:tcBorders>
            <w:vAlign w:val="top"/>
          </w:tcPr>
          <w:p w14:paraId="396F4515">
            <w:pPr>
              <w:rPr>
                <w:rFonts w:ascii="Arial"/>
                <w:sz w:val="21"/>
              </w:rPr>
            </w:pPr>
          </w:p>
        </w:tc>
        <w:tc>
          <w:tcPr>
            <w:tcW w:w="2324" w:type="dxa"/>
            <w:vMerge w:val="continue"/>
            <w:tcBorders>
              <w:top w:val="nil"/>
            </w:tcBorders>
            <w:vAlign w:val="top"/>
          </w:tcPr>
          <w:p w14:paraId="7419A1EB">
            <w:pPr>
              <w:rPr>
                <w:rFonts w:ascii="Arial"/>
                <w:sz w:val="21"/>
              </w:rPr>
            </w:pPr>
          </w:p>
        </w:tc>
        <w:tc>
          <w:tcPr>
            <w:tcW w:w="219" w:type="dxa"/>
            <w:vAlign w:val="top"/>
          </w:tcPr>
          <w:p w14:paraId="64CCE938">
            <w:pPr>
              <w:pStyle w:val="6"/>
              <w:spacing w:before="113" w:line="184" w:lineRule="auto"/>
              <w:ind w:left="17"/>
              <w:rPr>
                <w:sz w:val="18"/>
                <w:szCs w:val="18"/>
              </w:rPr>
            </w:pPr>
            <w:r>
              <w:rPr>
                <w:sz w:val="18"/>
                <w:szCs w:val="18"/>
              </w:rPr>
              <w:t>A</w:t>
            </w:r>
          </w:p>
        </w:tc>
        <w:tc>
          <w:tcPr>
            <w:tcW w:w="229" w:type="dxa"/>
            <w:vAlign w:val="top"/>
          </w:tcPr>
          <w:p w14:paraId="53881138">
            <w:pPr>
              <w:pStyle w:val="6"/>
              <w:spacing w:before="115" w:line="182" w:lineRule="auto"/>
              <w:ind w:left="19"/>
              <w:rPr>
                <w:sz w:val="18"/>
                <w:szCs w:val="18"/>
              </w:rPr>
            </w:pPr>
            <w:r>
              <w:rPr>
                <w:sz w:val="18"/>
                <w:szCs w:val="18"/>
              </w:rPr>
              <w:t>B</w:t>
            </w:r>
          </w:p>
        </w:tc>
        <w:tc>
          <w:tcPr>
            <w:tcW w:w="230" w:type="dxa"/>
            <w:vAlign w:val="top"/>
          </w:tcPr>
          <w:p w14:paraId="09CF0CA5">
            <w:pPr>
              <w:pStyle w:val="6"/>
              <w:spacing w:before="114" w:line="183" w:lineRule="auto"/>
              <w:ind w:left="70"/>
              <w:rPr>
                <w:sz w:val="18"/>
                <w:szCs w:val="18"/>
              </w:rPr>
            </w:pPr>
            <w:r>
              <w:rPr>
                <w:sz w:val="18"/>
                <w:szCs w:val="18"/>
              </w:rPr>
              <w:t>C</w:t>
            </w:r>
          </w:p>
        </w:tc>
        <w:tc>
          <w:tcPr>
            <w:tcW w:w="224" w:type="dxa"/>
            <w:vAlign w:val="top"/>
          </w:tcPr>
          <w:p w14:paraId="113DF1CE">
            <w:pPr>
              <w:pStyle w:val="6"/>
              <w:spacing w:before="115" w:line="182" w:lineRule="auto"/>
              <w:ind w:left="60"/>
              <w:rPr>
                <w:sz w:val="18"/>
                <w:szCs w:val="18"/>
              </w:rPr>
            </w:pPr>
            <w:r>
              <w:rPr>
                <w:sz w:val="18"/>
                <w:szCs w:val="18"/>
              </w:rPr>
              <w:t>D</w:t>
            </w:r>
          </w:p>
        </w:tc>
      </w:tr>
      <w:tr w14:paraId="7B5B4B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58" w:hRule="atLeast"/>
        </w:trPr>
        <w:tc>
          <w:tcPr>
            <w:tcW w:w="893" w:type="dxa"/>
            <w:vAlign w:val="top"/>
          </w:tcPr>
          <w:p w14:paraId="56973139">
            <w:pPr>
              <w:spacing w:line="428" w:lineRule="auto"/>
              <w:rPr>
                <w:rFonts w:ascii="Arial"/>
                <w:sz w:val="21"/>
              </w:rPr>
            </w:pPr>
          </w:p>
          <w:p w14:paraId="15DFB6FA">
            <w:pPr>
              <w:pStyle w:val="6"/>
              <w:spacing w:before="58" w:line="219" w:lineRule="auto"/>
              <w:ind w:left="75"/>
              <w:rPr>
                <w:sz w:val="18"/>
                <w:szCs w:val="18"/>
              </w:rPr>
            </w:pPr>
            <w:r>
              <w:rPr>
                <w:spacing w:val="-2"/>
                <w:sz w:val="18"/>
                <w:szCs w:val="18"/>
              </w:rPr>
              <w:t>来客接待</w:t>
            </w:r>
          </w:p>
        </w:tc>
        <w:tc>
          <w:tcPr>
            <w:tcW w:w="2324" w:type="dxa"/>
            <w:vAlign w:val="top"/>
          </w:tcPr>
          <w:p w14:paraId="75C5BF05">
            <w:pPr>
              <w:pStyle w:val="6"/>
              <w:spacing w:before="158" w:line="232" w:lineRule="auto"/>
              <w:ind w:left="12" w:right="1029"/>
              <w:jc w:val="both"/>
              <w:rPr>
                <w:sz w:val="18"/>
                <w:szCs w:val="18"/>
              </w:rPr>
            </w:pPr>
            <w:r>
              <w:rPr>
                <w:spacing w:val="1"/>
                <w:sz w:val="18"/>
                <w:szCs w:val="18"/>
              </w:rPr>
              <w:t>1.内宾接待工作</w:t>
            </w:r>
            <w:r>
              <w:rPr>
                <w:spacing w:val="2"/>
                <w:sz w:val="18"/>
                <w:szCs w:val="18"/>
              </w:rPr>
              <w:t xml:space="preserve"> </w:t>
            </w:r>
            <w:r>
              <w:rPr>
                <w:spacing w:val="1"/>
                <w:sz w:val="18"/>
                <w:szCs w:val="18"/>
              </w:rPr>
              <w:t>2.外宾接待工作</w:t>
            </w:r>
            <w:r>
              <w:rPr>
                <w:spacing w:val="2"/>
                <w:sz w:val="18"/>
                <w:szCs w:val="18"/>
              </w:rPr>
              <w:t xml:space="preserve"> </w:t>
            </w:r>
            <w:r>
              <w:rPr>
                <w:spacing w:val="1"/>
                <w:sz w:val="18"/>
                <w:szCs w:val="18"/>
              </w:rPr>
              <w:t>3.领导接待工作</w:t>
            </w:r>
            <w:r>
              <w:rPr>
                <w:spacing w:val="2"/>
                <w:sz w:val="18"/>
                <w:szCs w:val="18"/>
              </w:rPr>
              <w:t xml:space="preserve"> </w:t>
            </w:r>
            <w:r>
              <w:rPr>
                <w:spacing w:val="-1"/>
                <w:sz w:val="18"/>
                <w:szCs w:val="18"/>
              </w:rPr>
              <w:t>4.群众接待工作</w:t>
            </w:r>
          </w:p>
        </w:tc>
        <w:tc>
          <w:tcPr>
            <w:tcW w:w="219" w:type="dxa"/>
            <w:vAlign w:val="top"/>
          </w:tcPr>
          <w:p w14:paraId="112602AB">
            <w:pPr>
              <w:rPr>
                <w:rFonts w:ascii="Arial"/>
                <w:sz w:val="21"/>
              </w:rPr>
            </w:pPr>
          </w:p>
        </w:tc>
        <w:tc>
          <w:tcPr>
            <w:tcW w:w="229" w:type="dxa"/>
            <w:vAlign w:val="top"/>
          </w:tcPr>
          <w:p w14:paraId="2D2F1B98">
            <w:pPr>
              <w:rPr>
                <w:rFonts w:ascii="Arial"/>
                <w:sz w:val="21"/>
              </w:rPr>
            </w:pPr>
          </w:p>
        </w:tc>
        <w:tc>
          <w:tcPr>
            <w:tcW w:w="230" w:type="dxa"/>
            <w:vAlign w:val="top"/>
          </w:tcPr>
          <w:p w14:paraId="6C3E38AE">
            <w:pPr>
              <w:spacing w:before="220" w:line="752" w:lineRule="exact"/>
              <w:ind w:firstLine="40"/>
            </w:pPr>
            <w:r>
              <w:rPr>
                <w:position w:val="-15"/>
              </w:rPr>
              <w:drawing>
                <wp:inline distT="0" distB="0" distL="0" distR="0">
                  <wp:extent cx="88265" cy="477520"/>
                  <wp:effectExtent l="0" t="0" r="0" b="0"/>
                  <wp:docPr id="326" name="IM 326"/>
                  <wp:cNvGraphicFramePr/>
                  <a:graphic xmlns:a="http://schemas.openxmlformats.org/drawingml/2006/main">
                    <a:graphicData uri="http://schemas.openxmlformats.org/drawingml/2006/picture">
                      <pic:pic xmlns:pic="http://schemas.openxmlformats.org/drawingml/2006/picture">
                        <pic:nvPicPr>
                          <pic:cNvPr id="326" name="IM 326"/>
                          <pic:cNvPicPr/>
                        </pic:nvPicPr>
                        <pic:blipFill>
                          <a:blip r:embed="rId327"/>
                          <a:stretch>
                            <a:fillRect/>
                          </a:stretch>
                        </pic:blipFill>
                        <pic:spPr>
                          <a:xfrm>
                            <a:off x="0" y="0"/>
                            <a:ext cx="88891" cy="477648"/>
                          </a:xfrm>
                          <a:prstGeom prst="rect">
                            <a:avLst/>
                          </a:prstGeom>
                        </pic:spPr>
                      </pic:pic>
                    </a:graphicData>
                  </a:graphic>
                </wp:inline>
              </w:drawing>
            </w:r>
          </w:p>
        </w:tc>
        <w:tc>
          <w:tcPr>
            <w:tcW w:w="224" w:type="dxa"/>
            <w:vAlign w:val="top"/>
          </w:tcPr>
          <w:p w14:paraId="46C85BAC">
            <w:pPr>
              <w:rPr>
                <w:rFonts w:ascii="Arial"/>
                <w:sz w:val="21"/>
              </w:rPr>
            </w:pPr>
          </w:p>
        </w:tc>
      </w:tr>
      <w:tr w14:paraId="3CCD63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68" w:hRule="atLeast"/>
        </w:trPr>
        <w:tc>
          <w:tcPr>
            <w:tcW w:w="893" w:type="dxa"/>
            <w:vAlign w:val="top"/>
          </w:tcPr>
          <w:p w14:paraId="25B2DB29">
            <w:pPr>
              <w:spacing w:line="291" w:lineRule="auto"/>
              <w:rPr>
                <w:rFonts w:ascii="Arial"/>
                <w:sz w:val="21"/>
              </w:rPr>
            </w:pPr>
          </w:p>
          <w:p w14:paraId="4DEBC9A7">
            <w:pPr>
              <w:pStyle w:val="6"/>
              <w:spacing w:before="59" w:line="220" w:lineRule="auto"/>
              <w:ind w:left="75"/>
              <w:rPr>
                <w:sz w:val="18"/>
                <w:szCs w:val="18"/>
              </w:rPr>
            </w:pPr>
            <w:r>
              <w:rPr>
                <w:spacing w:val="-2"/>
                <w:sz w:val="18"/>
                <w:szCs w:val="18"/>
              </w:rPr>
              <w:t>接打电话</w:t>
            </w:r>
          </w:p>
        </w:tc>
        <w:tc>
          <w:tcPr>
            <w:tcW w:w="2324" w:type="dxa"/>
            <w:vAlign w:val="top"/>
          </w:tcPr>
          <w:p w14:paraId="164CE34D">
            <w:pPr>
              <w:pStyle w:val="6"/>
              <w:spacing w:before="140" w:line="219" w:lineRule="auto"/>
              <w:ind w:left="12"/>
              <w:rPr>
                <w:sz w:val="18"/>
                <w:szCs w:val="18"/>
              </w:rPr>
            </w:pPr>
            <w:r>
              <w:rPr>
                <w:spacing w:val="1"/>
                <w:sz w:val="18"/>
                <w:szCs w:val="18"/>
              </w:rPr>
              <w:t>1.电话与机关工作</w:t>
            </w:r>
          </w:p>
          <w:p w14:paraId="466D137E">
            <w:pPr>
              <w:pStyle w:val="6"/>
              <w:spacing w:before="17" w:line="218" w:lineRule="auto"/>
              <w:ind w:left="12" w:right="665"/>
              <w:rPr>
                <w:sz w:val="18"/>
                <w:szCs w:val="18"/>
              </w:rPr>
            </w:pPr>
            <w:r>
              <w:rPr>
                <w:spacing w:val="1"/>
                <w:sz w:val="18"/>
                <w:szCs w:val="18"/>
              </w:rPr>
              <w:t>2.打电话的基本原则</w:t>
            </w:r>
            <w:r>
              <w:rPr>
                <w:spacing w:val="5"/>
                <w:sz w:val="18"/>
                <w:szCs w:val="18"/>
              </w:rPr>
              <w:t xml:space="preserve"> </w:t>
            </w:r>
            <w:r>
              <w:rPr>
                <w:spacing w:val="1"/>
                <w:sz w:val="18"/>
                <w:szCs w:val="18"/>
              </w:rPr>
              <w:t>3.打电话的注意事项</w:t>
            </w:r>
          </w:p>
        </w:tc>
        <w:tc>
          <w:tcPr>
            <w:tcW w:w="219" w:type="dxa"/>
            <w:vAlign w:val="top"/>
          </w:tcPr>
          <w:p w14:paraId="1B27E386">
            <w:pPr>
              <w:rPr>
                <w:rFonts w:ascii="Arial"/>
                <w:sz w:val="21"/>
              </w:rPr>
            </w:pPr>
          </w:p>
        </w:tc>
        <w:tc>
          <w:tcPr>
            <w:tcW w:w="229" w:type="dxa"/>
            <w:vAlign w:val="top"/>
          </w:tcPr>
          <w:p w14:paraId="5F666763">
            <w:pPr>
              <w:rPr>
                <w:rFonts w:ascii="Arial"/>
                <w:sz w:val="21"/>
              </w:rPr>
            </w:pPr>
          </w:p>
        </w:tc>
        <w:tc>
          <w:tcPr>
            <w:tcW w:w="230" w:type="dxa"/>
            <w:vAlign w:val="top"/>
          </w:tcPr>
          <w:p w14:paraId="4A2E39BD">
            <w:pPr>
              <w:spacing w:line="369" w:lineRule="auto"/>
              <w:rPr>
                <w:rFonts w:ascii="Arial"/>
                <w:sz w:val="21"/>
              </w:rPr>
            </w:pPr>
          </w:p>
          <w:p w14:paraId="038ABBC0">
            <w:pPr>
              <w:spacing w:line="353" w:lineRule="exact"/>
              <w:ind w:firstLine="45"/>
            </w:pPr>
            <w:r>
              <w:rPr>
                <w:position w:val="-7"/>
              </w:rPr>
              <w:drawing>
                <wp:inline distT="0" distB="0" distL="0" distR="0">
                  <wp:extent cx="94615" cy="224155"/>
                  <wp:effectExtent l="0" t="0" r="0" b="0"/>
                  <wp:docPr id="328" name="IM 328"/>
                  <wp:cNvGraphicFramePr/>
                  <a:graphic xmlns:a="http://schemas.openxmlformats.org/drawingml/2006/main">
                    <a:graphicData uri="http://schemas.openxmlformats.org/drawingml/2006/picture">
                      <pic:pic xmlns:pic="http://schemas.openxmlformats.org/drawingml/2006/picture">
                        <pic:nvPicPr>
                          <pic:cNvPr id="328" name="IM 328"/>
                          <pic:cNvPicPr/>
                        </pic:nvPicPr>
                        <pic:blipFill>
                          <a:blip r:embed="rId328"/>
                          <a:stretch>
                            <a:fillRect/>
                          </a:stretch>
                        </pic:blipFill>
                        <pic:spPr>
                          <a:xfrm>
                            <a:off x="0" y="0"/>
                            <a:ext cx="95241" cy="224206"/>
                          </a:xfrm>
                          <a:prstGeom prst="rect">
                            <a:avLst/>
                          </a:prstGeom>
                        </pic:spPr>
                      </pic:pic>
                    </a:graphicData>
                  </a:graphic>
                </wp:inline>
              </w:drawing>
            </w:r>
          </w:p>
        </w:tc>
        <w:tc>
          <w:tcPr>
            <w:tcW w:w="224" w:type="dxa"/>
            <w:vAlign w:val="top"/>
          </w:tcPr>
          <w:p w14:paraId="08B71F8D">
            <w:pPr>
              <w:rPr>
                <w:rFonts w:ascii="Arial"/>
                <w:sz w:val="21"/>
              </w:rPr>
            </w:pPr>
          </w:p>
        </w:tc>
      </w:tr>
      <w:tr w14:paraId="34FDFA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8" w:hRule="atLeast"/>
        </w:trPr>
        <w:tc>
          <w:tcPr>
            <w:tcW w:w="893" w:type="dxa"/>
            <w:vAlign w:val="top"/>
          </w:tcPr>
          <w:p w14:paraId="5C96C2C8">
            <w:pPr>
              <w:spacing w:line="243" w:lineRule="auto"/>
              <w:rPr>
                <w:rFonts w:ascii="Arial"/>
                <w:sz w:val="21"/>
              </w:rPr>
            </w:pPr>
          </w:p>
          <w:p w14:paraId="204B0837">
            <w:pPr>
              <w:pStyle w:val="6"/>
              <w:spacing w:before="59" w:line="219" w:lineRule="auto"/>
              <w:ind w:left="75"/>
              <w:rPr>
                <w:sz w:val="18"/>
                <w:szCs w:val="18"/>
              </w:rPr>
            </w:pPr>
            <w:r>
              <w:rPr>
                <w:spacing w:val="-2"/>
                <w:sz w:val="18"/>
                <w:szCs w:val="18"/>
              </w:rPr>
              <w:t>信件处理</w:t>
            </w:r>
          </w:p>
        </w:tc>
        <w:tc>
          <w:tcPr>
            <w:tcW w:w="2324" w:type="dxa"/>
            <w:vAlign w:val="top"/>
          </w:tcPr>
          <w:p w14:paraId="0BC08E0B">
            <w:pPr>
              <w:pStyle w:val="6"/>
              <w:spacing w:before="213" w:line="217" w:lineRule="auto"/>
              <w:ind w:left="12" w:right="493"/>
              <w:rPr>
                <w:sz w:val="18"/>
                <w:szCs w:val="18"/>
              </w:rPr>
            </w:pPr>
            <w:r>
              <w:rPr>
                <w:sz w:val="18"/>
                <w:szCs w:val="18"/>
              </w:rPr>
              <w:t>1.处理信件的大致步骤</w:t>
            </w:r>
            <w:r>
              <w:rPr>
                <w:spacing w:val="7"/>
                <w:sz w:val="18"/>
                <w:szCs w:val="18"/>
              </w:rPr>
              <w:t xml:space="preserve"> </w:t>
            </w:r>
            <w:r>
              <w:rPr>
                <w:spacing w:val="-1"/>
                <w:sz w:val="18"/>
                <w:szCs w:val="18"/>
              </w:rPr>
              <w:t>2.处理信件的一般要求</w:t>
            </w:r>
          </w:p>
        </w:tc>
        <w:tc>
          <w:tcPr>
            <w:tcW w:w="219" w:type="dxa"/>
            <w:vAlign w:val="top"/>
          </w:tcPr>
          <w:p w14:paraId="5994F684">
            <w:pPr>
              <w:rPr>
                <w:rFonts w:ascii="Arial"/>
                <w:sz w:val="21"/>
              </w:rPr>
            </w:pPr>
          </w:p>
        </w:tc>
        <w:tc>
          <w:tcPr>
            <w:tcW w:w="229" w:type="dxa"/>
            <w:vAlign w:val="top"/>
          </w:tcPr>
          <w:p w14:paraId="112F8CD7">
            <w:pPr>
              <w:rPr>
                <w:rFonts w:ascii="Arial"/>
                <w:sz w:val="21"/>
              </w:rPr>
            </w:pPr>
          </w:p>
        </w:tc>
        <w:tc>
          <w:tcPr>
            <w:tcW w:w="230" w:type="dxa"/>
            <w:vAlign w:val="top"/>
          </w:tcPr>
          <w:p w14:paraId="5C43774A">
            <w:pPr>
              <w:rPr>
                <w:rFonts w:ascii="Arial"/>
                <w:sz w:val="21"/>
              </w:rPr>
            </w:pPr>
          </w:p>
        </w:tc>
        <w:tc>
          <w:tcPr>
            <w:tcW w:w="224" w:type="dxa"/>
            <w:vAlign w:val="top"/>
          </w:tcPr>
          <w:p w14:paraId="094E7A6E">
            <w:pPr>
              <w:rPr>
                <w:rFonts w:ascii="Arial"/>
                <w:sz w:val="21"/>
              </w:rPr>
            </w:pPr>
          </w:p>
        </w:tc>
      </w:tr>
      <w:tr w14:paraId="3E8142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49" w:hRule="atLeast"/>
        </w:trPr>
        <w:tc>
          <w:tcPr>
            <w:tcW w:w="893" w:type="dxa"/>
            <w:vAlign w:val="top"/>
          </w:tcPr>
          <w:p w14:paraId="66DA450B">
            <w:pPr>
              <w:pStyle w:val="6"/>
              <w:spacing w:before="245" w:line="219" w:lineRule="auto"/>
              <w:ind w:left="75"/>
              <w:rPr>
                <w:sz w:val="18"/>
                <w:szCs w:val="18"/>
              </w:rPr>
            </w:pPr>
            <w:r>
              <w:rPr>
                <w:spacing w:val="1"/>
                <w:sz w:val="18"/>
                <w:szCs w:val="18"/>
              </w:rPr>
              <w:t>印信管理</w:t>
            </w:r>
          </w:p>
        </w:tc>
        <w:tc>
          <w:tcPr>
            <w:tcW w:w="2324" w:type="dxa"/>
            <w:vAlign w:val="top"/>
          </w:tcPr>
          <w:p w14:paraId="13507026">
            <w:pPr>
              <w:pStyle w:val="6"/>
              <w:spacing w:before="155" w:line="215" w:lineRule="auto"/>
              <w:ind w:left="12"/>
              <w:rPr>
                <w:sz w:val="18"/>
                <w:szCs w:val="18"/>
              </w:rPr>
            </w:pPr>
            <w:r>
              <w:rPr>
                <w:sz w:val="18"/>
                <w:szCs w:val="18"/>
              </w:rPr>
              <w:t>1.印章及其管理</w:t>
            </w:r>
          </w:p>
          <w:p w14:paraId="5F83397D">
            <w:pPr>
              <w:pStyle w:val="6"/>
              <w:spacing w:line="218" w:lineRule="auto"/>
              <w:ind w:left="12"/>
              <w:rPr>
                <w:sz w:val="18"/>
                <w:szCs w:val="18"/>
              </w:rPr>
            </w:pPr>
            <w:r>
              <w:rPr>
                <w:spacing w:val="-2"/>
                <w:sz w:val="18"/>
                <w:szCs w:val="18"/>
              </w:rPr>
              <w:t>2.介绍信及其管理</w:t>
            </w:r>
          </w:p>
        </w:tc>
        <w:tc>
          <w:tcPr>
            <w:tcW w:w="219" w:type="dxa"/>
            <w:vAlign w:val="top"/>
          </w:tcPr>
          <w:p w14:paraId="4FBBFF28">
            <w:pPr>
              <w:rPr>
                <w:rFonts w:ascii="Arial"/>
                <w:sz w:val="21"/>
              </w:rPr>
            </w:pPr>
          </w:p>
        </w:tc>
        <w:tc>
          <w:tcPr>
            <w:tcW w:w="229" w:type="dxa"/>
            <w:vAlign w:val="top"/>
          </w:tcPr>
          <w:p w14:paraId="69AC1A09">
            <w:pPr>
              <w:rPr>
                <w:rFonts w:ascii="Arial"/>
                <w:sz w:val="21"/>
              </w:rPr>
            </w:pPr>
          </w:p>
        </w:tc>
        <w:tc>
          <w:tcPr>
            <w:tcW w:w="230" w:type="dxa"/>
            <w:vAlign w:val="top"/>
          </w:tcPr>
          <w:p w14:paraId="7DBA817E">
            <w:pPr>
              <w:rPr>
                <w:rFonts w:ascii="Arial"/>
                <w:sz w:val="21"/>
              </w:rPr>
            </w:pPr>
          </w:p>
        </w:tc>
        <w:tc>
          <w:tcPr>
            <w:tcW w:w="224" w:type="dxa"/>
            <w:vAlign w:val="top"/>
          </w:tcPr>
          <w:p w14:paraId="0933C5A2">
            <w:pPr>
              <w:rPr>
                <w:rFonts w:ascii="Arial"/>
                <w:sz w:val="21"/>
              </w:rPr>
            </w:pPr>
          </w:p>
        </w:tc>
      </w:tr>
      <w:tr w14:paraId="55D0FA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93" w:hRule="atLeast"/>
        </w:trPr>
        <w:tc>
          <w:tcPr>
            <w:tcW w:w="893" w:type="dxa"/>
            <w:vAlign w:val="top"/>
          </w:tcPr>
          <w:p w14:paraId="2C85B5E0">
            <w:pPr>
              <w:pStyle w:val="6"/>
              <w:spacing w:before="247" w:line="221" w:lineRule="auto"/>
              <w:ind w:left="75"/>
              <w:rPr>
                <w:sz w:val="18"/>
                <w:szCs w:val="18"/>
              </w:rPr>
            </w:pPr>
            <w:r>
              <w:rPr>
                <w:spacing w:val="-2"/>
                <w:sz w:val="18"/>
                <w:szCs w:val="18"/>
              </w:rPr>
              <w:t>合理安排</w:t>
            </w:r>
          </w:p>
          <w:p w14:paraId="3D67B0A4">
            <w:pPr>
              <w:pStyle w:val="6"/>
              <w:spacing w:before="13" w:line="219" w:lineRule="auto"/>
              <w:ind w:left="75"/>
              <w:rPr>
                <w:sz w:val="18"/>
                <w:szCs w:val="18"/>
              </w:rPr>
            </w:pPr>
            <w:r>
              <w:rPr>
                <w:spacing w:val="-2"/>
                <w:sz w:val="18"/>
                <w:szCs w:val="18"/>
              </w:rPr>
              <w:t>领导公务</w:t>
            </w:r>
          </w:p>
          <w:p w14:paraId="7B9CE7E2">
            <w:pPr>
              <w:pStyle w:val="6"/>
              <w:spacing w:before="26" w:line="220" w:lineRule="auto"/>
              <w:ind w:left="254"/>
              <w:rPr>
                <w:sz w:val="18"/>
                <w:szCs w:val="18"/>
              </w:rPr>
            </w:pPr>
            <w:r>
              <w:rPr>
                <w:spacing w:val="6"/>
                <w:sz w:val="18"/>
                <w:szCs w:val="18"/>
              </w:rPr>
              <w:t>活动</w:t>
            </w:r>
          </w:p>
        </w:tc>
        <w:tc>
          <w:tcPr>
            <w:tcW w:w="2324" w:type="dxa"/>
            <w:vAlign w:val="top"/>
          </w:tcPr>
          <w:p w14:paraId="5662870D">
            <w:pPr>
              <w:pStyle w:val="6"/>
              <w:spacing w:before="135" w:line="231" w:lineRule="auto"/>
              <w:ind w:left="12" w:right="134"/>
              <w:rPr>
                <w:sz w:val="18"/>
                <w:szCs w:val="18"/>
              </w:rPr>
            </w:pPr>
            <w:r>
              <w:rPr>
                <w:sz w:val="18"/>
                <w:szCs w:val="18"/>
              </w:rPr>
              <w:t>1.安排领导公务活动的一般</w:t>
            </w:r>
            <w:r>
              <w:rPr>
                <w:spacing w:val="6"/>
                <w:sz w:val="18"/>
                <w:szCs w:val="18"/>
              </w:rPr>
              <w:t xml:space="preserve"> </w:t>
            </w:r>
            <w:r>
              <w:rPr>
                <w:spacing w:val="8"/>
                <w:sz w:val="18"/>
                <w:szCs w:val="18"/>
              </w:rPr>
              <w:t>原则</w:t>
            </w:r>
          </w:p>
          <w:p w14:paraId="431687B5">
            <w:pPr>
              <w:pStyle w:val="6"/>
              <w:spacing w:before="1" w:line="234" w:lineRule="auto"/>
              <w:ind w:left="12" w:right="129"/>
              <w:rPr>
                <w:sz w:val="18"/>
                <w:szCs w:val="18"/>
              </w:rPr>
            </w:pPr>
            <w:r>
              <w:rPr>
                <w:sz w:val="18"/>
                <w:szCs w:val="18"/>
              </w:rPr>
              <w:t>2.办公室安排领导公务活动</w:t>
            </w:r>
            <w:r>
              <w:rPr>
                <w:spacing w:val="11"/>
                <w:sz w:val="18"/>
                <w:szCs w:val="18"/>
              </w:rPr>
              <w:t xml:space="preserve"> </w:t>
            </w:r>
            <w:r>
              <w:rPr>
                <w:spacing w:val="1"/>
                <w:sz w:val="18"/>
                <w:szCs w:val="18"/>
              </w:rPr>
              <w:t>的具体方法</w:t>
            </w:r>
          </w:p>
        </w:tc>
        <w:tc>
          <w:tcPr>
            <w:tcW w:w="219" w:type="dxa"/>
            <w:vAlign w:val="top"/>
          </w:tcPr>
          <w:p w14:paraId="18D8D28D">
            <w:pPr>
              <w:rPr>
                <w:rFonts w:ascii="Arial"/>
                <w:sz w:val="21"/>
              </w:rPr>
            </w:pPr>
          </w:p>
        </w:tc>
        <w:tc>
          <w:tcPr>
            <w:tcW w:w="229" w:type="dxa"/>
            <w:vAlign w:val="top"/>
          </w:tcPr>
          <w:p w14:paraId="05478D4D">
            <w:pPr>
              <w:rPr>
                <w:rFonts w:ascii="Arial"/>
                <w:sz w:val="21"/>
              </w:rPr>
            </w:pPr>
          </w:p>
        </w:tc>
        <w:tc>
          <w:tcPr>
            <w:tcW w:w="230" w:type="dxa"/>
            <w:vAlign w:val="top"/>
          </w:tcPr>
          <w:p w14:paraId="3755E29B">
            <w:pPr>
              <w:pStyle w:val="6"/>
              <w:spacing w:before="147" w:line="238" w:lineRule="auto"/>
              <w:ind w:left="50"/>
              <w:rPr>
                <w:sz w:val="13"/>
                <w:szCs w:val="13"/>
              </w:rPr>
            </w:pPr>
            <w:r>
              <w:rPr>
                <w:sz w:val="13"/>
                <w:szCs w:val="13"/>
              </w:rPr>
              <w:t>√</w:t>
            </w:r>
          </w:p>
        </w:tc>
        <w:tc>
          <w:tcPr>
            <w:tcW w:w="224" w:type="dxa"/>
            <w:vAlign w:val="top"/>
          </w:tcPr>
          <w:p w14:paraId="3E4C4BAA">
            <w:pPr>
              <w:spacing w:line="260" w:lineRule="auto"/>
              <w:rPr>
                <w:rFonts w:ascii="Arial"/>
                <w:sz w:val="21"/>
              </w:rPr>
            </w:pPr>
          </w:p>
          <w:p w14:paraId="374B3C4A">
            <w:pPr>
              <w:spacing w:line="261" w:lineRule="auto"/>
              <w:rPr>
                <w:rFonts w:ascii="Arial"/>
                <w:sz w:val="21"/>
              </w:rPr>
            </w:pPr>
          </w:p>
          <w:p w14:paraId="260D1CCB">
            <w:pPr>
              <w:pStyle w:val="6"/>
              <w:spacing w:before="43" w:line="238" w:lineRule="auto"/>
              <w:ind w:left="40"/>
              <w:rPr>
                <w:sz w:val="13"/>
                <w:szCs w:val="13"/>
              </w:rPr>
            </w:pPr>
            <w:r>
              <w:rPr>
                <w:sz w:val="13"/>
                <w:szCs w:val="13"/>
              </w:rPr>
              <w:t>√</w:t>
            </w:r>
          </w:p>
        </w:tc>
      </w:tr>
    </w:tbl>
    <w:p w14:paraId="5F605E90">
      <w:pPr>
        <w:spacing w:before="118" w:line="221" w:lineRule="auto"/>
        <w:ind w:left="1177"/>
        <w:rPr>
          <w:rFonts w:ascii="黑体" w:hAnsi="黑体" w:eastAsia="黑体" w:cs="黑体"/>
          <w:sz w:val="20"/>
          <w:szCs w:val="20"/>
        </w:rPr>
      </w:pPr>
      <w:r>
        <w:rPr>
          <w:rFonts w:ascii="黑体" w:hAnsi="黑体" w:eastAsia="黑体" w:cs="黑体"/>
          <w:b/>
          <w:bCs/>
          <w:spacing w:val="-4"/>
          <w:sz w:val="20"/>
          <w:szCs w:val="20"/>
        </w:rPr>
        <w:t>专题十一</w:t>
      </w:r>
      <w:r>
        <w:rPr>
          <w:rFonts w:ascii="黑体" w:hAnsi="黑体" w:eastAsia="黑体" w:cs="黑体"/>
          <w:spacing w:val="-4"/>
          <w:sz w:val="20"/>
          <w:szCs w:val="20"/>
        </w:rPr>
        <w:t xml:space="preserve">  </w:t>
      </w:r>
      <w:r>
        <w:rPr>
          <w:rFonts w:ascii="黑体" w:hAnsi="黑体" w:eastAsia="黑体" w:cs="黑体"/>
          <w:b/>
          <w:bCs/>
          <w:spacing w:val="-4"/>
          <w:sz w:val="20"/>
          <w:szCs w:val="20"/>
        </w:rPr>
        <w:t>保密工作</w:t>
      </w:r>
    </w:p>
    <w:p w14:paraId="01FB056F">
      <w:pPr>
        <w:spacing w:line="81" w:lineRule="exact"/>
      </w:pPr>
    </w:p>
    <w:tbl>
      <w:tblPr>
        <w:tblStyle w:val="5"/>
        <w:tblW w:w="4119" w:type="dxa"/>
        <w:tblInd w:w="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83"/>
        <w:gridCol w:w="2324"/>
        <w:gridCol w:w="219"/>
        <w:gridCol w:w="229"/>
        <w:gridCol w:w="230"/>
        <w:gridCol w:w="234"/>
      </w:tblGrid>
      <w:tr w14:paraId="6488F5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4" w:hRule="atLeast"/>
        </w:trPr>
        <w:tc>
          <w:tcPr>
            <w:tcW w:w="883" w:type="dxa"/>
            <w:vMerge w:val="restart"/>
            <w:tcBorders>
              <w:bottom w:val="nil"/>
            </w:tcBorders>
            <w:vAlign w:val="top"/>
          </w:tcPr>
          <w:p w14:paraId="32FA1F55">
            <w:pPr>
              <w:pStyle w:val="6"/>
              <w:spacing w:before="31" w:line="215" w:lineRule="auto"/>
              <w:ind w:left="257"/>
              <w:rPr>
                <w:sz w:val="18"/>
                <w:szCs w:val="18"/>
              </w:rPr>
            </w:pPr>
            <w:r>
              <w:rPr>
                <w:b/>
                <w:bCs/>
                <w:spacing w:val="-5"/>
                <w:sz w:val="18"/>
                <w:szCs w:val="18"/>
              </w:rPr>
              <w:t>知识</w:t>
            </w:r>
          </w:p>
          <w:p w14:paraId="7C0FD727">
            <w:pPr>
              <w:pStyle w:val="6"/>
              <w:spacing w:line="216" w:lineRule="auto"/>
              <w:ind w:left="167"/>
              <w:rPr>
                <w:sz w:val="18"/>
                <w:szCs w:val="18"/>
              </w:rPr>
            </w:pPr>
            <w:r>
              <w:rPr>
                <w:b/>
                <w:bCs/>
                <w:spacing w:val="-5"/>
                <w:sz w:val="18"/>
                <w:szCs w:val="18"/>
              </w:rPr>
              <w:t>与技能</w:t>
            </w:r>
          </w:p>
          <w:p w14:paraId="3520A1F1">
            <w:pPr>
              <w:pStyle w:val="6"/>
              <w:spacing w:line="195" w:lineRule="auto"/>
              <w:ind w:left="257"/>
              <w:rPr>
                <w:sz w:val="18"/>
                <w:szCs w:val="18"/>
              </w:rPr>
            </w:pPr>
            <w:r>
              <w:rPr>
                <w:b/>
                <w:bCs/>
                <w:spacing w:val="-4"/>
                <w:sz w:val="18"/>
                <w:szCs w:val="18"/>
              </w:rPr>
              <w:t>要点</w:t>
            </w:r>
          </w:p>
        </w:tc>
        <w:tc>
          <w:tcPr>
            <w:tcW w:w="2324" w:type="dxa"/>
            <w:vMerge w:val="restart"/>
            <w:tcBorders>
              <w:bottom w:val="nil"/>
            </w:tcBorders>
            <w:vAlign w:val="top"/>
          </w:tcPr>
          <w:p w14:paraId="0A348A7E">
            <w:pPr>
              <w:pStyle w:val="6"/>
              <w:spacing w:before="240" w:line="219" w:lineRule="auto"/>
              <w:ind w:left="844"/>
              <w:rPr>
                <w:sz w:val="18"/>
                <w:szCs w:val="18"/>
              </w:rPr>
            </w:pPr>
            <w:r>
              <w:rPr>
                <w:b/>
                <w:bCs/>
                <w:spacing w:val="5"/>
                <w:sz w:val="18"/>
                <w:szCs w:val="18"/>
              </w:rPr>
              <w:t>考试条目</w:t>
            </w:r>
          </w:p>
        </w:tc>
        <w:tc>
          <w:tcPr>
            <w:tcW w:w="912" w:type="dxa"/>
            <w:gridSpan w:val="4"/>
            <w:vAlign w:val="top"/>
          </w:tcPr>
          <w:p w14:paraId="41ACC31B">
            <w:pPr>
              <w:pStyle w:val="6"/>
              <w:spacing w:before="50" w:line="219" w:lineRule="auto"/>
              <w:ind w:left="130"/>
              <w:rPr>
                <w:sz w:val="18"/>
                <w:szCs w:val="18"/>
              </w:rPr>
            </w:pPr>
            <w:r>
              <w:rPr>
                <w:b/>
                <w:bCs/>
                <w:spacing w:val="-4"/>
                <w:sz w:val="18"/>
                <w:szCs w:val="18"/>
              </w:rPr>
              <w:t>考试水平</w:t>
            </w:r>
          </w:p>
        </w:tc>
      </w:tr>
      <w:tr w14:paraId="22AAA8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9" w:hRule="atLeast"/>
        </w:trPr>
        <w:tc>
          <w:tcPr>
            <w:tcW w:w="883" w:type="dxa"/>
            <w:vMerge w:val="continue"/>
            <w:tcBorders>
              <w:top w:val="nil"/>
            </w:tcBorders>
            <w:vAlign w:val="top"/>
          </w:tcPr>
          <w:p w14:paraId="03513B84">
            <w:pPr>
              <w:rPr>
                <w:rFonts w:ascii="Arial"/>
                <w:sz w:val="21"/>
              </w:rPr>
            </w:pPr>
          </w:p>
        </w:tc>
        <w:tc>
          <w:tcPr>
            <w:tcW w:w="2324" w:type="dxa"/>
            <w:vMerge w:val="continue"/>
            <w:tcBorders>
              <w:top w:val="nil"/>
            </w:tcBorders>
            <w:vAlign w:val="top"/>
          </w:tcPr>
          <w:p w14:paraId="1BD3B163">
            <w:pPr>
              <w:rPr>
                <w:rFonts w:ascii="Arial"/>
                <w:sz w:val="21"/>
              </w:rPr>
            </w:pPr>
          </w:p>
        </w:tc>
        <w:tc>
          <w:tcPr>
            <w:tcW w:w="219" w:type="dxa"/>
            <w:vAlign w:val="top"/>
          </w:tcPr>
          <w:p w14:paraId="422BC58A">
            <w:pPr>
              <w:pStyle w:val="6"/>
              <w:spacing w:before="133" w:line="184" w:lineRule="auto"/>
              <w:ind w:left="20"/>
              <w:rPr>
                <w:sz w:val="18"/>
                <w:szCs w:val="18"/>
              </w:rPr>
            </w:pPr>
            <w:r>
              <w:rPr>
                <w:b/>
                <w:bCs/>
                <w:spacing w:val="-2"/>
                <w:sz w:val="18"/>
                <w:szCs w:val="18"/>
              </w:rPr>
              <w:t>A</w:t>
            </w:r>
          </w:p>
        </w:tc>
        <w:tc>
          <w:tcPr>
            <w:tcW w:w="229" w:type="dxa"/>
            <w:vAlign w:val="top"/>
          </w:tcPr>
          <w:p w14:paraId="45987877">
            <w:pPr>
              <w:pStyle w:val="6"/>
              <w:spacing w:before="135" w:line="182" w:lineRule="auto"/>
              <w:ind w:left="21"/>
              <w:rPr>
                <w:sz w:val="18"/>
                <w:szCs w:val="18"/>
              </w:rPr>
            </w:pPr>
            <w:r>
              <w:rPr>
                <w:b/>
                <w:bCs/>
                <w:spacing w:val="-2"/>
                <w:sz w:val="18"/>
                <w:szCs w:val="18"/>
              </w:rPr>
              <w:t>B</w:t>
            </w:r>
          </w:p>
        </w:tc>
        <w:tc>
          <w:tcPr>
            <w:tcW w:w="230" w:type="dxa"/>
            <w:vAlign w:val="top"/>
          </w:tcPr>
          <w:p w14:paraId="594D5C95">
            <w:pPr>
              <w:pStyle w:val="6"/>
              <w:spacing w:before="133" w:line="183" w:lineRule="auto"/>
              <w:ind w:left="22"/>
              <w:rPr>
                <w:sz w:val="18"/>
                <w:szCs w:val="18"/>
              </w:rPr>
            </w:pPr>
            <w:r>
              <w:rPr>
                <w:b/>
                <w:bCs/>
                <w:spacing w:val="-2"/>
                <w:sz w:val="18"/>
                <w:szCs w:val="18"/>
              </w:rPr>
              <w:t>C</w:t>
            </w:r>
          </w:p>
        </w:tc>
        <w:tc>
          <w:tcPr>
            <w:tcW w:w="234" w:type="dxa"/>
            <w:vAlign w:val="top"/>
          </w:tcPr>
          <w:p w14:paraId="5F07EB22">
            <w:pPr>
              <w:pStyle w:val="6"/>
              <w:spacing w:before="135" w:line="182" w:lineRule="auto"/>
              <w:ind w:left="22"/>
              <w:rPr>
                <w:sz w:val="18"/>
                <w:szCs w:val="18"/>
              </w:rPr>
            </w:pPr>
            <w:r>
              <w:rPr>
                <w:b/>
                <w:bCs/>
                <w:spacing w:val="-2"/>
                <w:sz w:val="18"/>
                <w:szCs w:val="18"/>
              </w:rPr>
              <w:t>D</w:t>
            </w:r>
          </w:p>
        </w:tc>
      </w:tr>
      <w:tr w14:paraId="2A2A21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67" w:hRule="atLeast"/>
        </w:trPr>
        <w:tc>
          <w:tcPr>
            <w:tcW w:w="883" w:type="dxa"/>
            <w:vAlign w:val="top"/>
          </w:tcPr>
          <w:p w14:paraId="29B83F22">
            <w:pPr>
              <w:pStyle w:val="6"/>
              <w:spacing w:before="240" w:line="220" w:lineRule="auto"/>
              <w:ind w:left="75"/>
              <w:rPr>
                <w:sz w:val="18"/>
                <w:szCs w:val="18"/>
              </w:rPr>
            </w:pPr>
            <w:r>
              <w:rPr>
                <w:spacing w:val="-2"/>
                <w:sz w:val="18"/>
                <w:szCs w:val="18"/>
              </w:rPr>
              <w:t>保密与保</w:t>
            </w:r>
          </w:p>
          <w:p w14:paraId="3DD97180">
            <w:pPr>
              <w:pStyle w:val="6"/>
              <w:spacing w:before="25" w:line="220" w:lineRule="auto"/>
              <w:ind w:left="165"/>
              <w:rPr>
                <w:sz w:val="18"/>
                <w:szCs w:val="18"/>
              </w:rPr>
            </w:pPr>
            <w:r>
              <w:rPr>
                <w:spacing w:val="-2"/>
                <w:sz w:val="18"/>
                <w:szCs w:val="18"/>
              </w:rPr>
              <w:t>密工作</w:t>
            </w:r>
          </w:p>
        </w:tc>
        <w:tc>
          <w:tcPr>
            <w:tcW w:w="2324" w:type="dxa"/>
            <w:vAlign w:val="top"/>
          </w:tcPr>
          <w:p w14:paraId="6B33065C">
            <w:pPr>
              <w:pStyle w:val="6"/>
              <w:spacing w:before="159" w:line="215" w:lineRule="auto"/>
              <w:ind w:left="2"/>
              <w:rPr>
                <w:sz w:val="18"/>
                <w:szCs w:val="18"/>
              </w:rPr>
            </w:pPr>
            <w:r>
              <w:rPr>
                <w:spacing w:val="1"/>
                <w:sz w:val="18"/>
                <w:szCs w:val="18"/>
              </w:rPr>
              <w:t>1.保密的含义</w:t>
            </w:r>
          </w:p>
          <w:p w14:paraId="26F190D9">
            <w:pPr>
              <w:pStyle w:val="6"/>
              <w:spacing w:line="219" w:lineRule="auto"/>
              <w:ind w:left="2"/>
              <w:rPr>
                <w:sz w:val="18"/>
                <w:szCs w:val="18"/>
              </w:rPr>
            </w:pPr>
            <w:r>
              <w:rPr>
                <w:spacing w:val="2"/>
                <w:sz w:val="18"/>
                <w:szCs w:val="18"/>
              </w:rPr>
              <w:t>2.保密的特点</w:t>
            </w:r>
          </w:p>
          <w:p w14:paraId="6729DA32">
            <w:pPr>
              <w:pStyle w:val="6"/>
              <w:spacing w:before="6" w:line="220" w:lineRule="auto"/>
              <w:ind w:left="2"/>
              <w:rPr>
                <w:sz w:val="18"/>
                <w:szCs w:val="18"/>
              </w:rPr>
            </w:pPr>
            <w:r>
              <w:rPr>
                <w:spacing w:val="-2"/>
                <w:sz w:val="18"/>
                <w:szCs w:val="18"/>
              </w:rPr>
              <w:t>3.保密工作的意义</w:t>
            </w:r>
          </w:p>
        </w:tc>
        <w:tc>
          <w:tcPr>
            <w:tcW w:w="219" w:type="dxa"/>
            <w:vAlign w:val="top"/>
          </w:tcPr>
          <w:p w14:paraId="44A57024">
            <w:pPr>
              <w:rPr>
                <w:rFonts w:ascii="Arial"/>
                <w:sz w:val="21"/>
              </w:rPr>
            </w:pPr>
          </w:p>
        </w:tc>
        <w:tc>
          <w:tcPr>
            <w:tcW w:w="229" w:type="dxa"/>
            <w:vAlign w:val="top"/>
          </w:tcPr>
          <w:p w14:paraId="6DE7A9C6">
            <w:pPr>
              <w:spacing w:line="404" w:lineRule="auto"/>
              <w:rPr>
                <w:rFonts w:ascii="Arial"/>
                <w:sz w:val="21"/>
              </w:rPr>
            </w:pPr>
          </w:p>
          <w:p w14:paraId="70A6CCC0">
            <w:pPr>
              <w:spacing w:line="308" w:lineRule="exact"/>
              <w:ind w:firstLine="49"/>
            </w:pPr>
            <w:r>
              <w:rPr>
                <w:position w:val="-6"/>
              </w:rPr>
              <w:drawing>
                <wp:inline distT="0" distB="0" distL="0" distR="0">
                  <wp:extent cx="92075" cy="194945"/>
                  <wp:effectExtent l="0" t="0" r="0" b="0"/>
                  <wp:docPr id="330" name="IM 330"/>
                  <wp:cNvGraphicFramePr/>
                  <a:graphic xmlns:a="http://schemas.openxmlformats.org/drawingml/2006/main">
                    <a:graphicData uri="http://schemas.openxmlformats.org/drawingml/2006/picture">
                      <pic:pic xmlns:pic="http://schemas.openxmlformats.org/drawingml/2006/picture">
                        <pic:nvPicPr>
                          <pic:cNvPr id="330" name="IM 330"/>
                          <pic:cNvPicPr/>
                        </pic:nvPicPr>
                        <pic:blipFill>
                          <a:blip r:embed="rId329"/>
                          <a:stretch>
                            <a:fillRect/>
                          </a:stretch>
                        </pic:blipFill>
                        <pic:spPr>
                          <a:xfrm>
                            <a:off x="0" y="0"/>
                            <a:ext cx="92093" cy="195405"/>
                          </a:xfrm>
                          <a:prstGeom prst="rect">
                            <a:avLst/>
                          </a:prstGeom>
                        </pic:spPr>
                      </pic:pic>
                    </a:graphicData>
                  </a:graphic>
                </wp:inline>
              </w:drawing>
            </w:r>
          </w:p>
        </w:tc>
        <w:tc>
          <w:tcPr>
            <w:tcW w:w="230" w:type="dxa"/>
            <w:vAlign w:val="top"/>
          </w:tcPr>
          <w:p w14:paraId="1E0E4C23">
            <w:pPr>
              <w:rPr>
                <w:rFonts w:ascii="Arial"/>
                <w:sz w:val="21"/>
              </w:rPr>
            </w:pPr>
          </w:p>
        </w:tc>
        <w:tc>
          <w:tcPr>
            <w:tcW w:w="234" w:type="dxa"/>
            <w:vAlign w:val="top"/>
          </w:tcPr>
          <w:p w14:paraId="1249B576">
            <w:pPr>
              <w:rPr>
                <w:rFonts w:ascii="Arial"/>
                <w:sz w:val="21"/>
              </w:rPr>
            </w:pPr>
          </w:p>
        </w:tc>
      </w:tr>
      <w:tr w14:paraId="196E42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26" w:hRule="atLeast"/>
        </w:trPr>
        <w:tc>
          <w:tcPr>
            <w:tcW w:w="883" w:type="dxa"/>
            <w:vAlign w:val="top"/>
          </w:tcPr>
          <w:p w14:paraId="76DD0CCD">
            <w:pPr>
              <w:spacing w:line="401" w:lineRule="auto"/>
              <w:rPr>
                <w:rFonts w:ascii="Arial"/>
                <w:sz w:val="21"/>
              </w:rPr>
            </w:pPr>
          </w:p>
          <w:p w14:paraId="4C10BDA9">
            <w:pPr>
              <w:pStyle w:val="6"/>
              <w:spacing w:before="59" w:line="219" w:lineRule="auto"/>
              <w:ind w:left="75"/>
              <w:rPr>
                <w:sz w:val="18"/>
                <w:szCs w:val="18"/>
              </w:rPr>
            </w:pPr>
            <w:r>
              <w:rPr>
                <w:spacing w:val="-2"/>
                <w:sz w:val="18"/>
                <w:szCs w:val="18"/>
              </w:rPr>
              <w:t>秘密的范</w:t>
            </w:r>
          </w:p>
          <w:p w14:paraId="21277D06">
            <w:pPr>
              <w:pStyle w:val="6"/>
              <w:spacing w:before="6" w:line="220" w:lineRule="auto"/>
              <w:ind w:left="75"/>
              <w:rPr>
                <w:sz w:val="18"/>
                <w:szCs w:val="18"/>
              </w:rPr>
            </w:pPr>
            <w:r>
              <w:rPr>
                <w:spacing w:val="2"/>
                <w:sz w:val="18"/>
                <w:szCs w:val="18"/>
              </w:rPr>
              <w:t>围与保密</w:t>
            </w:r>
          </w:p>
          <w:p w14:paraId="7FD8A51F">
            <w:pPr>
              <w:pStyle w:val="6"/>
              <w:spacing w:before="16" w:line="221" w:lineRule="auto"/>
              <w:ind w:left="254"/>
              <w:rPr>
                <w:sz w:val="18"/>
                <w:szCs w:val="18"/>
              </w:rPr>
            </w:pPr>
            <w:r>
              <w:rPr>
                <w:spacing w:val="-2"/>
                <w:sz w:val="18"/>
                <w:szCs w:val="18"/>
              </w:rPr>
              <w:t>方法</w:t>
            </w:r>
          </w:p>
        </w:tc>
        <w:tc>
          <w:tcPr>
            <w:tcW w:w="2324" w:type="dxa"/>
            <w:vAlign w:val="top"/>
          </w:tcPr>
          <w:p w14:paraId="4BAB99EA">
            <w:pPr>
              <w:pStyle w:val="6"/>
              <w:spacing w:before="140" w:line="226" w:lineRule="auto"/>
              <w:ind w:left="2" w:right="1215"/>
              <w:jc w:val="both"/>
              <w:rPr>
                <w:sz w:val="18"/>
                <w:szCs w:val="18"/>
              </w:rPr>
            </w:pPr>
            <w:r>
              <w:rPr>
                <w:spacing w:val="1"/>
                <w:sz w:val="18"/>
                <w:szCs w:val="18"/>
              </w:rPr>
              <w:t>1.秘密的类型</w:t>
            </w:r>
            <w:r>
              <w:rPr>
                <w:spacing w:val="3"/>
                <w:sz w:val="18"/>
                <w:szCs w:val="18"/>
              </w:rPr>
              <w:t xml:space="preserve"> </w:t>
            </w:r>
            <w:r>
              <w:rPr>
                <w:spacing w:val="2"/>
                <w:sz w:val="18"/>
                <w:szCs w:val="18"/>
              </w:rPr>
              <w:t>2.秘密的范围</w:t>
            </w:r>
            <w:r>
              <w:rPr>
                <w:spacing w:val="1"/>
                <w:sz w:val="18"/>
                <w:szCs w:val="18"/>
              </w:rPr>
              <w:t xml:space="preserve"> 3.秘密的等级</w:t>
            </w:r>
            <w:r>
              <w:rPr>
                <w:spacing w:val="3"/>
                <w:sz w:val="18"/>
                <w:szCs w:val="18"/>
              </w:rPr>
              <w:t xml:space="preserve"> </w:t>
            </w:r>
            <w:r>
              <w:rPr>
                <w:spacing w:val="2"/>
                <w:sz w:val="18"/>
                <w:szCs w:val="18"/>
              </w:rPr>
              <w:t>4.保密的原则</w:t>
            </w:r>
          </w:p>
          <w:p w14:paraId="599C2CA5">
            <w:pPr>
              <w:pStyle w:val="6"/>
              <w:spacing w:before="1" w:line="226" w:lineRule="auto"/>
              <w:ind w:left="2"/>
              <w:rPr>
                <w:sz w:val="18"/>
                <w:szCs w:val="18"/>
              </w:rPr>
            </w:pPr>
            <w:r>
              <w:rPr>
                <w:spacing w:val="4"/>
                <w:sz w:val="18"/>
                <w:szCs w:val="18"/>
              </w:rPr>
              <w:t xml:space="preserve">5.保密的措施和方法(文件、 </w:t>
            </w:r>
            <w:r>
              <w:rPr>
                <w:spacing w:val="1"/>
                <w:sz w:val="18"/>
                <w:szCs w:val="18"/>
              </w:rPr>
              <w:t>会议、科技、社会交往)</w:t>
            </w:r>
          </w:p>
        </w:tc>
        <w:tc>
          <w:tcPr>
            <w:tcW w:w="219" w:type="dxa"/>
            <w:vAlign w:val="top"/>
          </w:tcPr>
          <w:p w14:paraId="5CA12333">
            <w:pPr>
              <w:rPr>
                <w:rFonts w:ascii="Arial"/>
                <w:sz w:val="21"/>
              </w:rPr>
            </w:pPr>
          </w:p>
        </w:tc>
        <w:tc>
          <w:tcPr>
            <w:tcW w:w="229" w:type="dxa"/>
            <w:vAlign w:val="top"/>
          </w:tcPr>
          <w:p w14:paraId="296D1BA1">
            <w:pPr>
              <w:spacing w:line="405" w:lineRule="auto"/>
              <w:rPr>
                <w:rFonts w:ascii="Arial"/>
                <w:sz w:val="21"/>
              </w:rPr>
            </w:pPr>
          </w:p>
          <w:p w14:paraId="75E376FC">
            <w:pPr>
              <w:spacing w:line="320" w:lineRule="exact"/>
              <w:ind w:firstLine="52"/>
            </w:pPr>
            <w:r>
              <w:rPr>
                <w:position w:val="-6"/>
              </w:rPr>
              <w:drawing>
                <wp:inline distT="0" distB="0" distL="0" distR="0">
                  <wp:extent cx="83185" cy="202565"/>
                  <wp:effectExtent l="0" t="0" r="0" b="0"/>
                  <wp:docPr id="332" name="IM 332"/>
                  <wp:cNvGraphicFramePr/>
                  <a:graphic xmlns:a="http://schemas.openxmlformats.org/drawingml/2006/main">
                    <a:graphicData uri="http://schemas.openxmlformats.org/drawingml/2006/picture">
                      <pic:pic xmlns:pic="http://schemas.openxmlformats.org/drawingml/2006/picture">
                        <pic:nvPicPr>
                          <pic:cNvPr id="332" name="IM 332"/>
                          <pic:cNvPicPr/>
                        </pic:nvPicPr>
                        <pic:blipFill>
                          <a:blip r:embed="rId330"/>
                          <a:stretch>
                            <a:fillRect/>
                          </a:stretch>
                        </pic:blipFill>
                        <pic:spPr>
                          <a:xfrm>
                            <a:off x="0" y="0"/>
                            <a:ext cx="83336" cy="202964"/>
                          </a:xfrm>
                          <a:prstGeom prst="rect">
                            <a:avLst/>
                          </a:prstGeom>
                        </pic:spPr>
                      </pic:pic>
                    </a:graphicData>
                  </a:graphic>
                </wp:inline>
              </w:drawing>
            </w:r>
          </w:p>
        </w:tc>
        <w:tc>
          <w:tcPr>
            <w:tcW w:w="230" w:type="dxa"/>
            <w:vAlign w:val="top"/>
          </w:tcPr>
          <w:p w14:paraId="1E22B4B4">
            <w:pPr>
              <w:rPr>
                <w:rFonts w:ascii="Arial"/>
                <w:sz w:val="21"/>
              </w:rPr>
            </w:pPr>
          </w:p>
        </w:tc>
        <w:tc>
          <w:tcPr>
            <w:tcW w:w="234" w:type="dxa"/>
            <w:vAlign w:val="top"/>
          </w:tcPr>
          <w:p w14:paraId="2F301ABF">
            <w:pPr>
              <w:rPr>
                <w:rFonts w:ascii="Arial"/>
                <w:sz w:val="21"/>
              </w:rPr>
            </w:pPr>
          </w:p>
        </w:tc>
      </w:tr>
      <w:tr w14:paraId="36B8C2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53" w:hRule="atLeast"/>
        </w:trPr>
        <w:tc>
          <w:tcPr>
            <w:tcW w:w="883" w:type="dxa"/>
            <w:vAlign w:val="top"/>
          </w:tcPr>
          <w:p w14:paraId="40B564D2">
            <w:pPr>
              <w:pStyle w:val="6"/>
              <w:spacing w:before="137" w:line="227" w:lineRule="auto"/>
              <w:ind w:left="75" w:right="84"/>
              <w:rPr>
                <w:sz w:val="18"/>
                <w:szCs w:val="18"/>
              </w:rPr>
            </w:pPr>
            <w:r>
              <w:rPr>
                <w:spacing w:val="-2"/>
                <w:sz w:val="18"/>
                <w:szCs w:val="18"/>
              </w:rPr>
              <w:t>保密的纪</w:t>
            </w:r>
            <w:r>
              <w:rPr>
                <w:sz w:val="18"/>
                <w:szCs w:val="18"/>
              </w:rPr>
              <w:t xml:space="preserve"> </w:t>
            </w:r>
            <w:r>
              <w:rPr>
                <w:spacing w:val="-2"/>
                <w:sz w:val="18"/>
                <w:szCs w:val="18"/>
              </w:rPr>
              <w:t>律与责任</w:t>
            </w:r>
          </w:p>
        </w:tc>
        <w:tc>
          <w:tcPr>
            <w:tcW w:w="2324" w:type="dxa"/>
            <w:vAlign w:val="top"/>
          </w:tcPr>
          <w:p w14:paraId="3E3EE3BA">
            <w:pPr>
              <w:pStyle w:val="6"/>
              <w:spacing w:before="166" w:line="217" w:lineRule="auto"/>
              <w:ind w:left="2" w:right="1224"/>
              <w:rPr>
                <w:sz w:val="18"/>
                <w:szCs w:val="18"/>
              </w:rPr>
            </w:pPr>
            <w:r>
              <w:rPr>
                <w:spacing w:val="1"/>
                <w:sz w:val="18"/>
                <w:szCs w:val="18"/>
              </w:rPr>
              <w:t>1.保密的责任</w:t>
            </w:r>
            <w:r>
              <w:rPr>
                <w:sz w:val="18"/>
                <w:szCs w:val="18"/>
              </w:rPr>
              <w:t xml:space="preserve"> </w:t>
            </w:r>
            <w:r>
              <w:rPr>
                <w:spacing w:val="-2"/>
                <w:sz w:val="18"/>
                <w:szCs w:val="18"/>
              </w:rPr>
              <w:t>2.保密的纪律</w:t>
            </w:r>
          </w:p>
        </w:tc>
        <w:tc>
          <w:tcPr>
            <w:tcW w:w="219" w:type="dxa"/>
            <w:vAlign w:val="top"/>
          </w:tcPr>
          <w:p w14:paraId="7549D390">
            <w:pPr>
              <w:rPr>
                <w:rFonts w:ascii="Arial"/>
                <w:sz w:val="21"/>
              </w:rPr>
            </w:pPr>
          </w:p>
        </w:tc>
        <w:tc>
          <w:tcPr>
            <w:tcW w:w="229" w:type="dxa"/>
            <w:vAlign w:val="top"/>
          </w:tcPr>
          <w:p w14:paraId="2AB2431E">
            <w:pPr>
              <w:rPr>
                <w:rFonts w:ascii="Arial"/>
                <w:sz w:val="21"/>
              </w:rPr>
            </w:pPr>
          </w:p>
        </w:tc>
        <w:tc>
          <w:tcPr>
            <w:tcW w:w="230" w:type="dxa"/>
            <w:vAlign w:val="top"/>
          </w:tcPr>
          <w:p w14:paraId="441A48C1">
            <w:pPr>
              <w:spacing w:before="186" w:line="314" w:lineRule="exact"/>
              <w:ind w:firstLine="37"/>
            </w:pPr>
            <w:r>
              <w:rPr>
                <w:position w:val="-6"/>
              </w:rPr>
              <w:drawing>
                <wp:inline distT="0" distB="0" distL="0" distR="0">
                  <wp:extent cx="97790" cy="198755"/>
                  <wp:effectExtent l="0" t="0" r="0" b="0"/>
                  <wp:docPr id="334" name="IM 334"/>
                  <wp:cNvGraphicFramePr/>
                  <a:graphic xmlns:a="http://schemas.openxmlformats.org/drawingml/2006/main">
                    <a:graphicData uri="http://schemas.openxmlformats.org/drawingml/2006/picture">
                      <pic:pic xmlns:pic="http://schemas.openxmlformats.org/drawingml/2006/picture">
                        <pic:nvPicPr>
                          <pic:cNvPr id="334" name="IM 334"/>
                          <pic:cNvPicPr/>
                        </pic:nvPicPr>
                        <pic:blipFill>
                          <a:blip r:embed="rId331"/>
                          <a:stretch>
                            <a:fillRect/>
                          </a:stretch>
                        </pic:blipFill>
                        <pic:spPr>
                          <a:xfrm>
                            <a:off x="0" y="0"/>
                            <a:ext cx="98197" cy="199115"/>
                          </a:xfrm>
                          <a:prstGeom prst="rect">
                            <a:avLst/>
                          </a:prstGeom>
                        </pic:spPr>
                      </pic:pic>
                    </a:graphicData>
                  </a:graphic>
                </wp:inline>
              </w:drawing>
            </w:r>
          </w:p>
        </w:tc>
        <w:tc>
          <w:tcPr>
            <w:tcW w:w="234" w:type="dxa"/>
            <w:vAlign w:val="top"/>
          </w:tcPr>
          <w:p w14:paraId="412E7352">
            <w:pPr>
              <w:rPr>
                <w:rFonts w:ascii="Arial"/>
                <w:sz w:val="21"/>
              </w:rPr>
            </w:pPr>
          </w:p>
        </w:tc>
      </w:tr>
    </w:tbl>
    <w:p w14:paraId="1BE85076">
      <w:pPr>
        <w:spacing w:before="118" w:line="221" w:lineRule="auto"/>
        <w:ind w:left="87"/>
        <w:rPr>
          <w:rFonts w:ascii="黑体" w:hAnsi="黑体" w:eastAsia="黑体" w:cs="黑体"/>
          <w:sz w:val="20"/>
          <w:szCs w:val="20"/>
        </w:rPr>
      </w:pPr>
      <w:r>
        <w:rPr>
          <w:rFonts w:ascii="黑体" w:hAnsi="黑体" w:eastAsia="黑体" w:cs="黑体"/>
          <w:b/>
          <w:bCs/>
          <w:spacing w:val="-4"/>
          <w:sz w:val="20"/>
          <w:szCs w:val="20"/>
        </w:rPr>
        <w:t>专题十二</w:t>
      </w:r>
      <w:r>
        <w:rPr>
          <w:rFonts w:ascii="黑体" w:hAnsi="黑体" w:eastAsia="黑体" w:cs="黑体"/>
          <w:spacing w:val="107"/>
          <w:sz w:val="20"/>
          <w:szCs w:val="20"/>
        </w:rPr>
        <w:t xml:space="preserve"> </w:t>
      </w:r>
      <w:r>
        <w:rPr>
          <w:rFonts w:ascii="黑体" w:hAnsi="黑体" w:eastAsia="黑体" w:cs="黑体"/>
          <w:b/>
          <w:bCs/>
          <w:spacing w:val="-4"/>
          <w:sz w:val="20"/>
          <w:szCs w:val="20"/>
        </w:rPr>
        <w:t>秘书的基本素养、条件和职业道德</w:t>
      </w:r>
    </w:p>
    <w:p w14:paraId="627227EA">
      <w:pPr>
        <w:spacing w:line="72" w:lineRule="exact"/>
      </w:pPr>
    </w:p>
    <w:tbl>
      <w:tblPr>
        <w:tblStyle w:val="5"/>
        <w:tblW w:w="4119" w:type="dxa"/>
        <w:tblInd w:w="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14"/>
        <w:gridCol w:w="229"/>
        <w:gridCol w:w="229"/>
        <w:gridCol w:w="220"/>
        <w:gridCol w:w="234"/>
      </w:tblGrid>
      <w:tr w14:paraId="107FF7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3" w:hRule="atLeast"/>
        </w:trPr>
        <w:tc>
          <w:tcPr>
            <w:tcW w:w="893" w:type="dxa"/>
            <w:vMerge w:val="restart"/>
            <w:tcBorders>
              <w:bottom w:val="nil"/>
            </w:tcBorders>
            <w:vAlign w:val="top"/>
          </w:tcPr>
          <w:p w14:paraId="4CD50DD2">
            <w:pPr>
              <w:pStyle w:val="6"/>
              <w:spacing w:before="21" w:line="215" w:lineRule="auto"/>
              <w:ind w:left="257"/>
              <w:rPr>
                <w:sz w:val="18"/>
                <w:szCs w:val="18"/>
              </w:rPr>
            </w:pPr>
            <w:r>
              <w:rPr>
                <w:b/>
                <w:bCs/>
                <w:spacing w:val="-5"/>
                <w:sz w:val="18"/>
                <w:szCs w:val="18"/>
              </w:rPr>
              <w:t>知识</w:t>
            </w:r>
          </w:p>
          <w:p w14:paraId="7ED428A5">
            <w:pPr>
              <w:pStyle w:val="6"/>
              <w:spacing w:line="220" w:lineRule="auto"/>
              <w:ind w:left="167"/>
              <w:rPr>
                <w:sz w:val="18"/>
                <w:szCs w:val="18"/>
              </w:rPr>
            </w:pPr>
            <w:r>
              <w:rPr>
                <w:b/>
                <w:bCs/>
                <w:spacing w:val="-5"/>
                <w:sz w:val="18"/>
                <w:szCs w:val="18"/>
              </w:rPr>
              <w:t>与技能</w:t>
            </w:r>
          </w:p>
          <w:p w14:paraId="7B0C3287">
            <w:pPr>
              <w:pStyle w:val="6"/>
              <w:spacing w:before="6" w:line="192" w:lineRule="auto"/>
              <w:ind w:left="257"/>
              <w:rPr>
                <w:sz w:val="18"/>
                <w:szCs w:val="18"/>
              </w:rPr>
            </w:pPr>
            <w:r>
              <w:rPr>
                <w:b/>
                <w:bCs/>
                <w:spacing w:val="-4"/>
                <w:sz w:val="18"/>
                <w:szCs w:val="18"/>
              </w:rPr>
              <w:t>要点</w:t>
            </w:r>
          </w:p>
        </w:tc>
        <w:tc>
          <w:tcPr>
            <w:tcW w:w="2314" w:type="dxa"/>
            <w:vMerge w:val="restart"/>
            <w:tcBorders>
              <w:bottom w:val="nil"/>
            </w:tcBorders>
            <w:vAlign w:val="top"/>
          </w:tcPr>
          <w:p w14:paraId="607E104B">
            <w:pPr>
              <w:pStyle w:val="6"/>
              <w:spacing w:before="239" w:line="219" w:lineRule="auto"/>
              <w:ind w:left="834"/>
              <w:rPr>
                <w:sz w:val="18"/>
                <w:szCs w:val="18"/>
              </w:rPr>
            </w:pPr>
            <w:r>
              <w:rPr>
                <w:b/>
                <w:bCs/>
                <w:spacing w:val="5"/>
                <w:sz w:val="18"/>
                <w:szCs w:val="18"/>
              </w:rPr>
              <w:t>考试条目</w:t>
            </w:r>
          </w:p>
        </w:tc>
        <w:tc>
          <w:tcPr>
            <w:tcW w:w="912" w:type="dxa"/>
            <w:gridSpan w:val="4"/>
            <w:vAlign w:val="top"/>
          </w:tcPr>
          <w:p w14:paraId="21505724">
            <w:pPr>
              <w:pStyle w:val="6"/>
              <w:spacing w:before="49" w:line="219" w:lineRule="auto"/>
              <w:ind w:left="130"/>
              <w:rPr>
                <w:sz w:val="18"/>
                <w:szCs w:val="18"/>
              </w:rPr>
            </w:pPr>
            <w:r>
              <w:rPr>
                <w:b/>
                <w:bCs/>
                <w:spacing w:val="-4"/>
                <w:sz w:val="18"/>
                <w:szCs w:val="18"/>
              </w:rPr>
              <w:t>考试水平</w:t>
            </w:r>
          </w:p>
        </w:tc>
      </w:tr>
      <w:tr w14:paraId="3DD84D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7" w:hRule="atLeast"/>
        </w:trPr>
        <w:tc>
          <w:tcPr>
            <w:tcW w:w="893" w:type="dxa"/>
            <w:vMerge w:val="continue"/>
            <w:tcBorders>
              <w:top w:val="nil"/>
            </w:tcBorders>
            <w:vAlign w:val="top"/>
          </w:tcPr>
          <w:p w14:paraId="0479A905">
            <w:pPr>
              <w:rPr>
                <w:rFonts w:ascii="Arial"/>
                <w:sz w:val="21"/>
              </w:rPr>
            </w:pPr>
          </w:p>
        </w:tc>
        <w:tc>
          <w:tcPr>
            <w:tcW w:w="2314" w:type="dxa"/>
            <w:vMerge w:val="continue"/>
            <w:tcBorders>
              <w:top w:val="nil"/>
            </w:tcBorders>
            <w:vAlign w:val="top"/>
          </w:tcPr>
          <w:p w14:paraId="6E4B329D">
            <w:pPr>
              <w:rPr>
                <w:rFonts w:ascii="Arial"/>
                <w:sz w:val="21"/>
              </w:rPr>
            </w:pPr>
          </w:p>
        </w:tc>
        <w:tc>
          <w:tcPr>
            <w:tcW w:w="229" w:type="dxa"/>
            <w:vAlign w:val="top"/>
          </w:tcPr>
          <w:p w14:paraId="3EFF6FEA">
            <w:pPr>
              <w:pStyle w:val="6"/>
              <w:spacing w:before="134" w:line="184" w:lineRule="auto"/>
              <w:ind w:left="17"/>
              <w:rPr>
                <w:sz w:val="18"/>
                <w:szCs w:val="18"/>
              </w:rPr>
            </w:pPr>
            <w:r>
              <w:rPr>
                <w:sz w:val="18"/>
                <w:szCs w:val="18"/>
              </w:rPr>
              <w:t>A</w:t>
            </w:r>
          </w:p>
        </w:tc>
        <w:tc>
          <w:tcPr>
            <w:tcW w:w="229" w:type="dxa"/>
            <w:vAlign w:val="top"/>
          </w:tcPr>
          <w:p w14:paraId="4816234E">
            <w:pPr>
              <w:pStyle w:val="6"/>
              <w:spacing w:before="136" w:line="182" w:lineRule="auto"/>
              <w:ind w:left="39"/>
              <w:rPr>
                <w:sz w:val="18"/>
                <w:szCs w:val="18"/>
              </w:rPr>
            </w:pPr>
            <w:r>
              <w:rPr>
                <w:sz w:val="18"/>
                <w:szCs w:val="18"/>
              </w:rPr>
              <w:t>B</w:t>
            </w:r>
          </w:p>
        </w:tc>
        <w:tc>
          <w:tcPr>
            <w:tcW w:w="220" w:type="dxa"/>
            <w:vAlign w:val="top"/>
          </w:tcPr>
          <w:p w14:paraId="4BE8EC2B">
            <w:pPr>
              <w:pStyle w:val="6"/>
              <w:spacing w:before="135" w:line="183" w:lineRule="auto"/>
              <w:ind w:left="19"/>
              <w:rPr>
                <w:sz w:val="18"/>
                <w:szCs w:val="18"/>
              </w:rPr>
            </w:pPr>
            <w:r>
              <w:rPr>
                <w:sz w:val="18"/>
                <w:szCs w:val="18"/>
              </w:rPr>
              <w:t>C</w:t>
            </w:r>
          </w:p>
        </w:tc>
        <w:tc>
          <w:tcPr>
            <w:tcW w:w="234" w:type="dxa"/>
            <w:vAlign w:val="top"/>
          </w:tcPr>
          <w:p w14:paraId="36F4CAD5">
            <w:pPr>
              <w:pStyle w:val="6"/>
              <w:spacing w:before="136" w:line="182" w:lineRule="auto"/>
              <w:ind w:left="19"/>
              <w:rPr>
                <w:sz w:val="18"/>
                <w:szCs w:val="18"/>
              </w:rPr>
            </w:pPr>
            <w:r>
              <w:rPr>
                <w:sz w:val="18"/>
                <w:szCs w:val="18"/>
              </w:rPr>
              <w:t>D</w:t>
            </w:r>
          </w:p>
        </w:tc>
      </w:tr>
      <w:tr w14:paraId="2C7E41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0" w:hRule="atLeast"/>
        </w:trPr>
        <w:tc>
          <w:tcPr>
            <w:tcW w:w="893" w:type="dxa"/>
            <w:vAlign w:val="top"/>
          </w:tcPr>
          <w:p w14:paraId="60D17C46">
            <w:pPr>
              <w:pStyle w:val="6"/>
              <w:spacing w:before="91" w:line="219" w:lineRule="auto"/>
              <w:ind w:left="75"/>
              <w:rPr>
                <w:sz w:val="18"/>
                <w:szCs w:val="18"/>
              </w:rPr>
            </w:pPr>
            <w:r>
              <w:rPr>
                <w:spacing w:val="6"/>
                <w:sz w:val="18"/>
                <w:szCs w:val="18"/>
              </w:rPr>
              <w:t>秘书人员</w:t>
            </w:r>
          </w:p>
          <w:p w14:paraId="585ED424">
            <w:pPr>
              <w:pStyle w:val="6"/>
              <w:spacing w:before="17" w:line="219" w:lineRule="auto"/>
              <w:ind w:left="165"/>
              <w:rPr>
                <w:sz w:val="18"/>
                <w:szCs w:val="18"/>
              </w:rPr>
            </w:pPr>
            <w:r>
              <w:rPr>
                <w:spacing w:val="2"/>
                <w:sz w:val="18"/>
                <w:szCs w:val="18"/>
              </w:rPr>
              <w:t>的素养</w:t>
            </w:r>
          </w:p>
        </w:tc>
        <w:tc>
          <w:tcPr>
            <w:tcW w:w="2314" w:type="dxa"/>
            <w:vAlign w:val="top"/>
          </w:tcPr>
          <w:p w14:paraId="75981FF3">
            <w:pPr>
              <w:pStyle w:val="6"/>
              <w:spacing w:before="122" w:line="215" w:lineRule="auto"/>
              <w:ind w:left="2"/>
              <w:rPr>
                <w:sz w:val="18"/>
                <w:szCs w:val="18"/>
              </w:rPr>
            </w:pPr>
            <w:r>
              <w:rPr>
                <w:sz w:val="18"/>
                <w:szCs w:val="18"/>
              </w:rPr>
              <w:t>1.秘书人员的政治修养</w:t>
            </w:r>
          </w:p>
          <w:p w14:paraId="72722276">
            <w:pPr>
              <w:pStyle w:val="6"/>
              <w:spacing w:line="218" w:lineRule="auto"/>
              <w:ind w:left="2"/>
              <w:rPr>
                <w:sz w:val="18"/>
                <w:szCs w:val="18"/>
              </w:rPr>
            </w:pPr>
            <w:r>
              <w:rPr>
                <w:spacing w:val="-1"/>
                <w:sz w:val="18"/>
                <w:szCs w:val="18"/>
              </w:rPr>
              <w:t>2.秘书人员的情感意志修养</w:t>
            </w:r>
          </w:p>
        </w:tc>
        <w:tc>
          <w:tcPr>
            <w:tcW w:w="229" w:type="dxa"/>
            <w:vAlign w:val="top"/>
          </w:tcPr>
          <w:p w14:paraId="72E0A2B6">
            <w:pPr>
              <w:rPr>
                <w:rFonts w:ascii="Arial"/>
                <w:sz w:val="21"/>
              </w:rPr>
            </w:pPr>
          </w:p>
        </w:tc>
        <w:tc>
          <w:tcPr>
            <w:tcW w:w="229" w:type="dxa"/>
            <w:vAlign w:val="top"/>
          </w:tcPr>
          <w:p w14:paraId="098218C4">
            <w:pPr>
              <w:rPr>
                <w:rFonts w:ascii="Arial"/>
                <w:sz w:val="21"/>
              </w:rPr>
            </w:pPr>
          </w:p>
        </w:tc>
        <w:tc>
          <w:tcPr>
            <w:tcW w:w="220" w:type="dxa"/>
            <w:vAlign w:val="top"/>
          </w:tcPr>
          <w:p w14:paraId="6ECD3644">
            <w:pPr>
              <w:rPr>
                <w:rFonts w:ascii="Arial"/>
                <w:sz w:val="21"/>
              </w:rPr>
            </w:pPr>
          </w:p>
        </w:tc>
        <w:tc>
          <w:tcPr>
            <w:tcW w:w="234" w:type="dxa"/>
            <w:vAlign w:val="top"/>
          </w:tcPr>
          <w:p w14:paraId="7FE33E52">
            <w:pPr>
              <w:rPr>
                <w:rFonts w:ascii="Arial"/>
                <w:sz w:val="21"/>
              </w:rPr>
            </w:pPr>
          </w:p>
        </w:tc>
      </w:tr>
    </w:tbl>
    <w:p w14:paraId="668AAD6A">
      <w:pPr>
        <w:pStyle w:val="2"/>
        <w:spacing w:line="104" w:lineRule="auto"/>
        <w:rPr>
          <w:sz w:val="2"/>
        </w:rPr>
      </w:pPr>
    </w:p>
    <w:p w14:paraId="3EE48073">
      <w:pPr>
        <w:pStyle w:val="2"/>
        <w:spacing w:line="14" w:lineRule="auto"/>
        <w:rPr>
          <w:sz w:val="2"/>
        </w:rPr>
      </w:pPr>
      <w:r>
        <w:rPr>
          <w:sz w:val="2"/>
          <w:szCs w:val="2"/>
        </w:rPr>
        <w:br w:type="column"/>
      </w:r>
    </w:p>
    <w:tbl>
      <w:tblPr>
        <w:tblStyle w:val="5"/>
        <w:tblW w:w="4130" w:type="dxa"/>
        <w:tblInd w:w="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14"/>
        <w:gridCol w:w="229"/>
        <w:gridCol w:w="230"/>
        <w:gridCol w:w="230"/>
        <w:gridCol w:w="234"/>
      </w:tblGrid>
      <w:tr w14:paraId="3D3011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9" w:hRule="atLeast"/>
        </w:trPr>
        <w:tc>
          <w:tcPr>
            <w:tcW w:w="893" w:type="dxa"/>
            <w:vMerge w:val="restart"/>
            <w:tcBorders>
              <w:top w:val="single" w:color="000000" w:sz="2" w:space="0"/>
              <w:bottom w:val="nil"/>
            </w:tcBorders>
            <w:vAlign w:val="top"/>
          </w:tcPr>
          <w:p w14:paraId="48EA12A9">
            <w:pPr>
              <w:pStyle w:val="6"/>
              <w:spacing w:before="36" w:line="221" w:lineRule="auto"/>
              <w:ind w:left="267"/>
            </w:pPr>
            <w:r>
              <w:rPr>
                <w:b/>
                <w:bCs/>
                <w:spacing w:val="-5"/>
              </w:rPr>
              <w:t>知识</w:t>
            </w:r>
          </w:p>
          <w:p w14:paraId="1DC52D85">
            <w:pPr>
              <w:pStyle w:val="6"/>
              <w:spacing w:before="5" w:line="197" w:lineRule="auto"/>
              <w:ind w:left="187"/>
            </w:pPr>
            <w:r>
              <w:rPr>
                <w:b/>
                <w:bCs/>
                <w:spacing w:val="-5"/>
              </w:rPr>
              <w:t>与技能</w:t>
            </w:r>
          </w:p>
          <w:p w14:paraId="0F83DBE6">
            <w:pPr>
              <w:pStyle w:val="6"/>
              <w:spacing w:line="222" w:lineRule="auto"/>
              <w:ind w:left="277"/>
            </w:pPr>
            <w:r>
              <w:rPr>
                <w:b/>
                <w:bCs/>
                <w:spacing w:val="-4"/>
              </w:rPr>
              <w:t>要点</w:t>
            </w:r>
          </w:p>
        </w:tc>
        <w:tc>
          <w:tcPr>
            <w:tcW w:w="2314" w:type="dxa"/>
            <w:vMerge w:val="restart"/>
            <w:tcBorders>
              <w:top w:val="single" w:color="000000" w:sz="2" w:space="0"/>
              <w:bottom w:val="nil"/>
            </w:tcBorders>
            <w:vAlign w:val="top"/>
          </w:tcPr>
          <w:p w14:paraId="62056FF7">
            <w:pPr>
              <w:pStyle w:val="6"/>
              <w:spacing w:before="254" w:line="219" w:lineRule="auto"/>
              <w:ind w:left="834"/>
            </w:pPr>
            <w:r>
              <w:rPr>
                <w:b/>
                <w:bCs/>
                <w:spacing w:val="5"/>
              </w:rPr>
              <w:t>考试条目</w:t>
            </w:r>
          </w:p>
        </w:tc>
        <w:tc>
          <w:tcPr>
            <w:tcW w:w="923" w:type="dxa"/>
            <w:gridSpan w:val="4"/>
            <w:tcBorders>
              <w:top w:val="single" w:color="000000" w:sz="2" w:space="0"/>
              <w:bottom w:val="single" w:color="000000" w:sz="2" w:space="0"/>
            </w:tcBorders>
            <w:vAlign w:val="top"/>
          </w:tcPr>
          <w:p w14:paraId="46B62E9D">
            <w:pPr>
              <w:pStyle w:val="6"/>
              <w:spacing w:before="64" w:line="219" w:lineRule="auto"/>
              <w:ind w:left="140"/>
            </w:pPr>
            <w:r>
              <w:rPr>
                <w:b/>
                <w:bCs/>
                <w:spacing w:val="-4"/>
              </w:rPr>
              <w:t>考试水平</w:t>
            </w:r>
          </w:p>
        </w:tc>
      </w:tr>
      <w:tr w14:paraId="15439B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4" w:hRule="atLeast"/>
        </w:trPr>
        <w:tc>
          <w:tcPr>
            <w:tcW w:w="893" w:type="dxa"/>
            <w:vMerge w:val="continue"/>
            <w:tcBorders>
              <w:top w:val="nil"/>
              <w:bottom w:val="single" w:color="000000" w:sz="2" w:space="0"/>
            </w:tcBorders>
            <w:vAlign w:val="top"/>
          </w:tcPr>
          <w:p w14:paraId="148F829E">
            <w:pPr>
              <w:rPr>
                <w:rFonts w:ascii="Arial"/>
                <w:sz w:val="21"/>
              </w:rPr>
            </w:pPr>
          </w:p>
        </w:tc>
        <w:tc>
          <w:tcPr>
            <w:tcW w:w="2314" w:type="dxa"/>
            <w:vMerge w:val="continue"/>
            <w:tcBorders>
              <w:top w:val="nil"/>
              <w:bottom w:val="single" w:color="000000" w:sz="2" w:space="0"/>
            </w:tcBorders>
            <w:vAlign w:val="top"/>
          </w:tcPr>
          <w:p w14:paraId="4ED068B8">
            <w:pPr>
              <w:rPr>
                <w:rFonts w:ascii="Arial"/>
                <w:sz w:val="21"/>
              </w:rPr>
            </w:pPr>
          </w:p>
        </w:tc>
        <w:tc>
          <w:tcPr>
            <w:tcW w:w="229" w:type="dxa"/>
            <w:tcBorders>
              <w:top w:val="single" w:color="000000" w:sz="2" w:space="0"/>
              <w:bottom w:val="single" w:color="000000" w:sz="2" w:space="0"/>
            </w:tcBorders>
            <w:vAlign w:val="top"/>
          </w:tcPr>
          <w:p w14:paraId="4EABD757">
            <w:pPr>
              <w:pStyle w:val="6"/>
              <w:spacing w:before="145" w:line="184" w:lineRule="auto"/>
              <w:ind w:left="70"/>
            </w:pPr>
            <w:r>
              <w:rPr>
                <w:b/>
                <w:bCs/>
                <w:spacing w:val="-2"/>
              </w:rPr>
              <w:t>A</w:t>
            </w:r>
          </w:p>
        </w:tc>
        <w:tc>
          <w:tcPr>
            <w:tcW w:w="230" w:type="dxa"/>
            <w:tcBorders>
              <w:top w:val="single" w:color="000000" w:sz="2" w:space="0"/>
              <w:bottom w:val="single" w:color="000000" w:sz="2" w:space="0"/>
            </w:tcBorders>
            <w:vAlign w:val="top"/>
          </w:tcPr>
          <w:p w14:paraId="5E891A41">
            <w:pPr>
              <w:pStyle w:val="6"/>
              <w:spacing w:before="147" w:line="182" w:lineRule="auto"/>
              <w:ind w:left="21"/>
            </w:pPr>
            <w:r>
              <w:rPr>
                <w:b/>
                <w:bCs/>
                <w:spacing w:val="-2"/>
              </w:rPr>
              <w:t>B</w:t>
            </w:r>
          </w:p>
        </w:tc>
        <w:tc>
          <w:tcPr>
            <w:tcW w:w="230" w:type="dxa"/>
            <w:tcBorders>
              <w:top w:val="single" w:color="000000" w:sz="2" w:space="0"/>
              <w:bottom w:val="single" w:color="000000" w:sz="2" w:space="0"/>
            </w:tcBorders>
            <w:vAlign w:val="top"/>
          </w:tcPr>
          <w:p w14:paraId="2D79E258">
            <w:pPr>
              <w:pStyle w:val="6"/>
              <w:spacing w:before="146" w:line="183" w:lineRule="auto"/>
              <w:ind w:left="19"/>
            </w:pPr>
            <w:r>
              <w:t>C</w:t>
            </w:r>
          </w:p>
        </w:tc>
        <w:tc>
          <w:tcPr>
            <w:tcW w:w="234" w:type="dxa"/>
            <w:tcBorders>
              <w:top w:val="single" w:color="000000" w:sz="2" w:space="0"/>
              <w:bottom w:val="single" w:color="000000" w:sz="2" w:space="0"/>
            </w:tcBorders>
            <w:vAlign w:val="top"/>
          </w:tcPr>
          <w:p w14:paraId="7FFCC8E1">
            <w:pPr>
              <w:pStyle w:val="6"/>
              <w:spacing w:before="147" w:line="182" w:lineRule="auto"/>
              <w:ind w:left="71"/>
            </w:pPr>
            <w:r>
              <w:rPr>
                <w:b/>
                <w:bCs/>
                <w:spacing w:val="-2"/>
              </w:rPr>
              <w:t>D</w:t>
            </w:r>
          </w:p>
        </w:tc>
      </w:tr>
      <w:tr w14:paraId="5903D1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02" w:hRule="atLeast"/>
        </w:trPr>
        <w:tc>
          <w:tcPr>
            <w:tcW w:w="893" w:type="dxa"/>
            <w:tcBorders>
              <w:top w:val="single" w:color="000000" w:sz="2" w:space="0"/>
              <w:bottom w:val="single" w:color="000000" w:sz="2" w:space="0"/>
            </w:tcBorders>
            <w:vAlign w:val="top"/>
          </w:tcPr>
          <w:p w14:paraId="44F5B37C">
            <w:pPr>
              <w:pStyle w:val="6"/>
              <w:spacing w:before="292" w:line="219" w:lineRule="auto"/>
              <w:ind w:left="94"/>
            </w:pPr>
            <w:r>
              <w:rPr>
                <w:spacing w:val="5"/>
              </w:rPr>
              <w:t>秘书人员</w:t>
            </w:r>
          </w:p>
          <w:p w14:paraId="240BBFC6">
            <w:pPr>
              <w:pStyle w:val="6"/>
              <w:spacing w:before="40" w:line="216" w:lineRule="auto"/>
              <w:ind w:left="94"/>
            </w:pPr>
            <w:r>
              <w:rPr>
                <w:spacing w:val="2"/>
              </w:rPr>
              <w:t>的知识结</w:t>
            </w:r>
          </w:p>
          <w:p w14:paraId="6B1FA700">
            <w:pPr>
              <w:pStyle w:val="6"/>
              <w:spacing w:line="219" w:lineRule="auto"/>
              <w:ind w:left="94"/>
            </w:pPr>
            <w:r>
              <w:rPr>
                <w:spacing w:val="3"/>
              </w:rPr>
              <w:t>构与能力</w:t>
            </w:r>
          </w:p>
          <w:p w14:paraId="1EA4441F">
            <w:pPr>
              <w:pStyle w:val="6"/>
              <w:spacing w:before="29" w:line="221" w:lineRule="auto"/>
              <w:ind w:left="265"/>
            </w:pPr>
            <w:r>
              <w:rPr>
                <w:spacing w:val="-2"/>
              </w:rPr>
              <w:t>要求</w:t>
            </w:r>
          </w:p>
        </w:tc>
        <w:tc>
          <w:tcPr>
            <w:tcW w:w="2314" w:type="dxa"/>
            <w:tcBorders>
              <w:top w:val="single" w:color="000000" w:sz="2" w:space="0"/>
              <w:bottom w:val="single" w:color="000000" w:sz="2" w:space="0"/>
            </w:tcBorders>
            <w:vAlign w:val="top"/>
          </w:tcPr>
          <w:p w14:paraId="3A4F2BA9">
            <w:pPr>
              <w:pStyle w:val="6"/>
              <w:spacing w:before="73" w:line="239" w:lineRule="auto"/>
              <w:ind w:left="12" w:right="240"/>
              <w:jc w:val="both"/>
            </w:pPr>
            <w:r>
              <w:t>1.秘书人员的基础知识结构</w:t>
            </w:r>
            <w:r>
              <w:rPr>
                <w:spacing w:val="10"/>
              </w:rPr>
              <w:t xml:space="preserve"> </w:t>
            </w:r>
            <w:r>
              <w:rPr>
                <w:spacing w:val="-1"/>
              </w:rPr>
              <w:t>2.秘书人员的专业知识结构</w:t>
            </w:r>
            <w:r>
              <w:rPr>
                <w:spacing w:val="3"/>
              </w:rPr>
              <w:t xml:space="preserve"> </w:t>
            </w:r>
            <w:r>
              <w:t>3.秘书人员的相关辅助知识</w:t>
            </w:r>
            <w:r>
              <w:rPr>
                <w:spacing w:val="9"/>
              </w:rPr>
              <w:t xml:space="preserve"> </w:t>
            </w:r>
            <w:r>
              <w:rPr>
                <w:spacing w:val="-1"/>
              </w:rPr>
              <w:t>4.秘书人员的能力要求</w:t>
            </w:r>
          </w:p>
          <w:p w14:paraId="27ABE930">
            <w:pPr>
              <w:pStyle w:val="6"/>
              <w:spacing w:before="8" w:line="223" w:lineRule="auto"/>
              <w:ind w:left="12" w:right="238"/>
            </w:pPr>
            <w:r>
              <w:rPr>
                <w:spacing w:val="1"/>
              </w:rPr>
              <w:t>5.秘书人员知识能力培养的</w:t>
            </w:r>
            <w:r>
              <w:t xml:space="preserve"> </w:t>
            </w:r>
            <w:r>
              <w:rPr>
                <w:spacing w:val="-2"/>
              </w:rPr>
              <w:t>基本途径</w:t>
            </w:r>
          </w:p>
        </w:tc>
        <w:tc>
          <w:tcPr>
            <w:tcW w:w="229" w:type="dxa"/>
            <w:tcBorders>
              <w:top w:val="single" w:color="000000" w:sz="2" w:space="0"/>
              <w:bottom w:val="single" w:color="000000" w:sz="2" w:space="0"/>
            </w:tcBorders>
            <w:vAlign w:val="top"/>
          </w:tcPr>
          <w:p w14:paraId="7151C1FE">
            <w:pPr>
              <w:pStyle w:val="6"/>
              <w:spacing w:before="84" w:line="238" w:lineRule="auto"/>
              <w:ind w:left="48"/>
              <w:rPr>
                <w:sz w:val="13"/>
                <w:szCs w:val="13"/>
              </w:rPr>
            </w:pPr>
            <w:r>
              <w:rPr>
                <w:sz w:val="13"/>
                <w:szCs w:val="13"/>
              </w:rPr>
              <w:t>√</w:t>
            </w:r>
          </w:p>
        </w:tc>
        <w:tc>
          <w:tcPr>
            <w:tcW w:w="230" w:type="dxa"/>
            <w:tcBorders>
              <w:top w:val="single" w:color="000000" w:sz="2" w:space="0"/>
              <w:bottom w:val="single" w:color="000000" w:sz="2" w:space="0"/>
            </w:tcBorders>
            <w:vAlign w:val="top"/>
          </w:tcPr>
          <w:p w14:paraId="5D196F72">
            <w:pPr>
              <w:rPr>
                <w:rFonts w:ascii="Arial"/>
                <w:sz w:val="21"/>
              </w:rPr>
            </w:pPr>
          </w:p>
        </w:tc>
        <w:tc>
          <w:tcPr>
            <w:tcW w:w="230" w:type="dxa"/>
            <w:tcBorders>
              <w:top w:val="single" w:color="000000" w:sz="2" w:space="0"/>
              <w:bottom w:val="single" w:color="000000" w:sz="2" w:space="0"/>
            </w:tcBorders>
            <w:vAlign w:val="top"/>
          </w:tcPr>
          <w:p w14:paraId="60271A92">
            <w:pPr>
              <w:rPr>
                <w:rFonts w:ascii="Arial"/>
                <w:sz w:val="21"/>
              </w:rPr>
            </w:pPr>
          </w:p>
        </w:tc>
        <w:tc>
          <w:tcPr>
            <w:tcW w:w="234" w:type="dxa"/>
            <w:tcBorders>
              <w:top w:val="single" w:color="000000" w:sz="2" w:space="0"/>
              <w:bottom w:val="single" w:color="000000" w:sz="2" w:space="0"/>
            </w:tcBorders>
            <w:vAlign w:val="top"/>
          </w:tcPr>
          <w:p w14:paraId="7FC593A8">
            <w:pPr>
              <w:rPr>
                <w:rFonts w:ascii="Arial"/>
                <w:sz w:val="21"/>
              </w:rPr>
            </w:pPr>
          </w:p>
        </w:tc>
      </w:tr>
      <w:tr w14:paraId="0D07D9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58" w:hRule="atLeast"/>
        </w:trPr>
        <w:tc>
          <w:tcPr>
            <w:tcW w:w="893" w:type="dxa"/>
            <w:tcBorders>
              <w:top w:val="single" w:color="000000" w:sz="2" w:space="0"/>
              <w:bottom w:val="single" w:color="000000" w:sz="2" w:space="0"/>
            </w:tcBorders>
            <w:vAlign w:val="top"/>
          </w:tcPr>
          <w:p w14:paraId="595A19C8">
            <w:pPr>
              <w:pStyle w:val="6"/>
              <w:spacing w:before="84" w:line="219" w:lineRule="auto"/>
              <w:ind w:left="94"/>
            </w:pPr>
            <w:r>
              <w:rPr>
                <w:spacing w:val="5"/>
              </w:rPr>
              <w:t>秘书人员</w:t>
            </w:r>
          </w:p>
          <w:p w14:paraId="2030FCAC">
            <w:pPr>
              <w:pStyle w:val="6"/>
              <w:spacing w:before="31" w:line="225" w:lineRule="auto"/>
              <w:ind w:left="264" w:right="182" w:hanging="79"/>
            </w:pPr>
            <w:r>
              <w:rPr>
                <w:spacing w:val="1"/>
              </w:rPr>
              <w:t xml:space="preserve">的职业 </w:t>
            </w:r>
            <w:r>
              <w:rPr>
                <w:spacing w:val="-2"/>
              </w:rPr>
              <w:t>道德</w:t>
            </w:r>
          </w:p>
        </w:tc>
        <w:tc>
          <w:tcPr>
            <w:tcW w:w="2314" w:type="dxa"/>
            <w:tcBorders>
              <w:top w:val="single" w:color="000000" w:sz="2" w:space="0"/>
              <w:bottom w:val="single" w:color="000000" w:sz="2" w:space="0"/>
            </w:tcBorders>
            <w:vAlign w:val="top"/>
          </w:tcPr>
          <w:p w14:paraId="0EFF72A3">
            <w:pPr>
              <w:pStyle w:val="6"/>
              <w:spacing w:before="104" w:line="225" w:lineRule="auto"/>
              <w:ind w:left="12" w:right="244"/>
            </w:pPr>
            <w:r>
              <w:t>1.秘书人员树立良好职业道</w:t>
            </w:r>
            <w:r>
              <w:rPr>
                <w:spacing w:val="6"/>
              </w:rPr>
              <w:t xml:space="preserve"> </w:t>
            </w:r>
            <w:r>
              <w:rPr>
                <w:spacing w:val="-2"/>
              </w:rPr>
              <w:t>德的意义</w:t>
            </w:r>
          </w:p>
          <w:p w14:paraId="7866DD1A">
            <w:pPr>
              <w:pStyle w:val="6"/>
              <w:spacing w:before="5" w:line="219" w:lineRule="auto"/>
              <w:jc w:val="right"/>
            </w:pPr>
            <w:r>
              <w:rPr>
                <w:spacing w:val="-6"/>
              </w:rPr>
              <w:t>2.秘书人员职业道德的基本内容</w:t>
            </w:r>
          </w:p>
        </w:tc>
        <w:tc>
          <w:tcPr>
            <w:tcW w:w="229" w:type="dxa"/>
            <w:tcBorders>
              <w:top w:val="single" w:color="000000" w:sz="2" w:space="0"/>
              <w:bottom w:val="single" w:color="000000" w:sz="2" w:space="0"/>
            </w:tcBorders>
            <w:vAlign w:val="top"/>
          </w:tcPr>
          <w:p w14:paraId="45E1ED7C">
            <w:pPr>
              <w:rPr>
                <w:rFonts w:ascii="Arial"/>
                <w:sz w:val="21"/>
              </w:rPr>
            </w:pPr>
          </w:p>
        </w:tc>
        <w:tc>
          <w:tcPr>
            <w:tcW w:w="230" w:type="dxa"/>
            <w:tcBorders>
              <w:top w:val="single" w:color="000000" w:sz="2" w:space="0"/>
              <w:bottom w:val="single" w:color="000000" w:sz="2" w:space="0"/>
            </w:tcBorders>
            <w:vAlign w:val="top"/>
          </w:tcPr>
          <w:p w14:paraId="04726B11">
            <w:pPr>
              <w:rPr>
                <w:rFonts w:ascii="Arial"/>
                <w:sz w:val="21"/>
              </w:rPr>
            </w:pPr>
          </w:p>
        </w:tc>
        <w:tc>
          <w:tcPr>
            <w:tcW w:w="230" w:type="dxa"/>
            <w:tcBorders>
              <w:top w:val="single" w:color="000000" w:sz="2" w:space="0"/>
              <w:bottom w:val="single" w:color="000000" w:sz="2" w:space="0"/>
            </w:tcBorders>
            <w:vAlign w:val="top"/>
          </w:tcPr>
          <w:p w14:paraId="73604207">
            <w:pPr>
              <w:pStyle w:val="6"/>
              <w:spacing w:before="105" w:line="238" w:lineRule="auto"/>
              <w:ind w:left="9"/>
              <w:rPr>
                <w:sz w:val="12"/>
                <w:szCs w:val="12"/>
              </w:rPr>
            </w:pPr>
            <w:r>
              <w:rPr>
                <w:sz w:val="12"/>
                <w:szCs w:val="12"/>
              </w:rPr>
              <w:t>√</w:t>
            </w:r>
          </w:p>
        </w:tc>
        <w:tc>
          <w:tcPr>
            <w:tcW w:w="234" w:type="dxa"/>
            <w:tcBorders>
              <w:top w:val="single" w:color="000000" w:sz="2" w:space="0"/>
              <w:bottom w:val="single" w:color="000000" w:sz="2" w:space="0"/>
            </w:tcBorders>
            <w:vAlign w:val="top"/>
          </w:tcPr>
          <w:p w14:paraId="2B5E582E">
            <w:pPr>
              <w:spacing w:line="245" w:lineRule="auto"/>
              <w:rPr>
                <w:rFonts w:ascii="Arial"/>
                <w:sz w:val="21"/>
              </w:rPr>
            </w:pPr>
          </w:p>
          <w:p w14:paraId="234CC2EF">
            <w:pPr>
              <w:spacing w:line="246" w:lineRule="auto"/>
              <w:rPr>
                <w:rFonts w:ascii="Arial"/>
                <w:sz w:val="21"/>
              </w:rPr>
            </w:pPr>
          </w:p>
          <w:p w14:paraId="31700412">
            <w:pPr>
              <w:pStyle w:val="6"/>
              <w:spacing w:before="43" w:line="238" w:lineRule="auto"/>
              <w:ind w:left="49"/>
              <w:rPr>
                <w:sz w:val="13"/>
                <w:szCs w:val="13"/>
              </w:rPr>
            </w:pPr>
            <w:r>
              <w:rPr>
                <w:sz w:val="13"/>
                <w:szCs w:val="13"/>
              </w:rPr>
              <w:t>√</w:t>
            </w:r>
          </w:p>
        </w:tc>
      </w:tr>
    </w:tbl>
    <w:p w14:paraId="2F89ECAC">
      <w:pPr>
        <w:spacing w:before="130" w:line="244" w:lineRule="auto"/>
        <w:ind w:left="1286" w:right="702" w:hanging="609"/>
        <w:rPr>
          <w:rFonts w:ascii="黑体" w:hAnsi="黑体" w:eastAsia="黑体" w:cs="黑体"/>
          <w:sz w:val="20"/>
          <w:szCs w:val="20"/>
        </w:rPr>
      </w:pPr>
      <w:r>
        <w:rPr>
          <w:rFonts w:ascii="黑体" w:hAnsi="黑体" w:eastAsia="黑体" w:cs="黑体"/>
          <w:b/>
          <w:bCs/>
          <w:spacing w:val="-4"/>
          <w:sz w:val="20"/>
          <w:szCs w:val="20"/>
        </w:rPr>
        <w:t>第三部分</w:t>
      </w:r>
      <w:r>
        <w:rPr>
          <w:rFonts w:ascii="黑体" w:hAnsi="黑体" w:eastAsia="黑体" w:cs="黑体"/>
          <w:spacing w:val="103"/>
          <w:sz w:val="20"/>
          <w:szCs w:val="20"/>
        </w:rPr>
        <w:t xml:space="preserve"> </w:t>
      </w:r>
      <w:r>
        <w:rPr>
          <w:rFonts w:ascii="黑体" w:hAnsi="黑体" w:eastAsia="黑体" w:cs="黑体"/>
          <w:b/>
          <w:bCs/>
          <w:spacing w:val="-4"/>
          <w:sz w:val="20"/>
          <w:szCs w:val="20"/>
        </w:rPr>
        <w:t>文书拟写与档案管理</w:t>
      </w:r>
      <w:r>
        <w:rPr>
          <w:rFonts w:ascii="黑体" w:hAnsi="黑体" w:eastAsia="黑体" w:cs="黑体"/>
          <w:sz w:val="20"/>
          <w:szCs w:val="20"/>
        </w:rPr>
        <w:t xml:space="preserve"> </w:t>
      </w:r>
      <w:r>
        <w:rPr>
          <w:rFonts w:ascii="黑体" w:hAnsi="黑体" w:eastAsia="黑体" w:cs="黑体"/>
          <w:b/>
          <w:bCs/>
          <w:spacing w:val="-4"/>
          <w:sz w:val="20"/>
          <w:szCs w:val="20"/>
        </w:rPr>
        <w:t>专题一</w:t>
      </w:r>
      <w:r>
        <w:rPr>
          <w:rFonts w:ascii="黑体" w:hAnsi="黑体" w:eastAsia="黑体" w:cs="黑体"/>
          <w:spacing w:val="-4"/>
          <w:sz w:val="20"/>
          <w:szCs w:val="20"/>
        </w:rPr>
        <w:t xml:space="preserve">  </w:t>
      </w:r>
      <w:r>
        <w:rPr>
          <w:rFonts w:ascii="黑体" w:hAnsi="黑体" w:eastAsia="黑体" w:cs="黑体"/>
          <w:b/>
          <w:bCs/>
          <w:spacing w:val="-4"/>
          <w:sz w:val="20"/>
          <w:szCs w:val="20"/>
        </w:rPr>
        <w:t>公文拟写</w:t>
      </w:r>
    </w:p>
    <w:p w14:paraId="1ABA52D9">
      <w:pPr>
        <w:spacing w:line="91" w:lineRule="exact"/>
      </w:pPr>
    </w:p>
    <w:tbl>
      <w:tblPr>
        <w:tblStyle w:val="5"/>
        <w:tblW w:w="413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83"/>
        <w:gridCol w:w="2324"/>
        <w:gridCol w:w="230"/>
        <w:gridCol w:w="219"/>
        <w:gridCol w:w="240"/>
        <w:gridCol w:w="234"/>
      </w:tblGrid>
      <w:tr w14:paraId="76DFD4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0" w:hRule="atLeast"/>
        </w:trPr>
        <w:tc>
          <w:tcPr>
            <w:tcW w:w="883" w:type="dxa"/>
            <w:vMerge w:val="restart"/>
            <w:tcBorders>
              <w:top w:val="single" w:color="000000" w:sz="2" w:space="0"/>
              <w:bottom w:val="nil"/>
            </w:tcBorders>
            <w:vAlign w:val="top"/>
          </w:tcPr>
          <w:p w14:paraId="36438242">
            <w:pPr>
              <w:pStyle w:val="6"/>
              <w:spacing w:before="86" w:line="209" w:lineRule="auto"/>
              <w:ind w:left="247" w:right="1" w:hanging="230"/>
              <w:rPr>
                <w:sz w:val="19"/>
                <w:szCs w:val="19"/>
              </w:rPr>
            </w:pPr>
            <w:r>
              <w:rPr>
                <w:b/>
                <w:bCs/>
                <w:spacing w:val="-25"/>
                <w:sz w:val="19"/>
                <w:szCs w:val="19"/>
              </w:rPr>
              <w:t>知识</w:t>
            </w:r>
            <w:r>
              <w:rPr>
                <w:b/>
                <w:bCs/>
                <w:spacing w:val="-24"/>
                <w:sz w:val="19"/>
                <w:szCs w:val="19"/>
              </w:rPr>
              <w:t>与技</w:t>
            </w:r>
            <w:r>
              <w:rPr>
                <w:b/>
                <w:bCs/>
                <w:spacing w:val="-12"/>
                <w:sz w:val="19"/>
                <w:szCs w:val="19"/>
              </w:rPr>
              <w:t>能</w:t>
            </w:r>
            <w:r>
              <w:rPr>
                <w:spacing w:val="2"/>
                <w:sz w:val="19"/>
                <w:szCs w:val="19"/>
              </w:rPr>
              <w:t xml:space="preserve"> </w:t>
            </w:r>
            <w:r>
              <w:rPr>
                <w:b/>
                <w:bCs/>
                <w:spacing w:val="-5"/>
                <w:sz w:val="19"/>
                <w:szCs w:val="19"/>
              </w:rPr>
              <w:t>要点</w:t>
            </w:r>
          </w:p>
        </w:tc>
        <w:tc>
          <w:tcPr>
            <w:tcW w:w="2324" w:type="dxa"/>
            <w:vMerge w:val="restart"/>
            <w:tcBorders>
              <w:top w:val="single" w:color="000000" w:sz="2" w:space="0"/>
              <w:bottom w:val="nil"/>
            </w:tcBorders>
            <w:vAlign w:val="top"/>
          </w:tcPr>
          <w:p w14:paraId="4A883215">
            <w:pPr>
              <w:pStyle w:val="6"/>
              <w:spacing w:before="195" w:line="219" w:lineRule="auto"/>
              <w:ind w:left="834"/>
              <w:rPr>
                <w:sz w:val="19"/>
                <w:szCs w:val="19"/>
              </w:rPr>
            </w:pPr>
            <w:r>
              <w:rPr>
                <w:b/>
                <w:bCs/>
                <w:spacing w:val="5"/>
                <w:sz w:val="19"/>
                <w:szCs w:val="19"/>
              </w:rPr>
              <w:t>考试条目</w:t>
            </w:r>
          </w:p>
        </w:tc>
        <w:tc>
          <w:tcPr>
            <w:tcW w:w="923" w:type="dxa"/>
            <w:gridSpan w:val="4"/>
            <w:tcBorders>
              <w:top w:val="single" w:color="000000" w:sz="2" w:space="0"/>
              <w:bottom w:val="single" w:color="000000" w:sz="2" w:space="0"/>
            </w:tcBorders>
            <w:vAlign w:val="top"/>
          </w:tcPr>
          <w:p w14:paraId="7263EAF3">
            <w:pPr>
              <w:pStyle w:val="6"/>
              <w:spacing w:before="44" w:line="219" w:lineRule="auto"/>
              <w:ind w:right="7"/>
              <w:jc w:val="right"/>
              <w:rPr>
                <w:sz w:val="19"/>
                <w:szCs w:val="19"/>
              </w:rPr>
            </w:pPr>
            <w:r>
              <w:rPr>
                <w:b/>
                <w:bCs/>
                <w:spacing w:val="-4"/>
                <w:sz w:val="19"/>
                <w:szCs w:val="19"/>
              </w:rPr>
              <w:t>考试水平</w:t>
            </w:r>
          </w:p>
        </w:tc>
      </w:tr>
      <w:tr w14:paraId="0E1C18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4" w:hRule="atLeast"/>
        </w:trPr>
        <w:tc>
          <w:tcPr>
            <w:tcW w:w="883" w:type="dxa"/>
            <w:vMerge w:val="continue"/>
            <w:tcBorders>
              <w:top w:val="nil"/>
              <w:bottom w:val="single" w:color="000000" w:sz="2" w:space="0"/>
            </w:tcBorders>
            <w:vAlign w:val="top"/>
          </w:tcPr>
          <w:p w14:paraId="1EED961A">
            <w:pPr>
              <w:rPr>
                <w:rFonts w:ascii="Arial"/>
                <w:sz w:val="21"/>
              </w:rPr>
            </w:pPr>
          </w:p>
        </w:tc>
        <w:tc>
          <w:tcPr>
            <w:tcW w:w="2324" w:type="dxa"/>
            <w:vMerge w:val="continue"/>
            <w:tcBorders>
              <w:top w:val="nil"/>
              <w:bottom w:val="single" w:color="000000" w:sz="2" w:space="0"/>
            </w:tcBorders>
            <w:vAlign w:val="top"/>
          </w:tcPr>
          <w:p w14:paraId="4402057D">
            <w:pPr>
              <w:rPr>
                <w:rFonts w:ascii="Arial"/>
                <w:sz w:val="21"/>
              </w:rPr>
            </w:pPr>
          </w:p>
        </w:tc>
        <w:tc>
          <w:tcPr>
            <w:tcW w:w="230" w:type="dxa"/>
            <w:tcBorders>
              <w:top w:val="single" w:color="000000" w:sz="2" w:space="0"/>
              <w:bottom w:val="single" w:color="000000" w:sz="2" w:space="0"/>
            </w:tcBorders>
            <w:vAlign w:val="top"/>
          </w:tcPr>
          <w:p w14:paraId="65405719">
            <w:pPr>
              <w:pStyle w:val="6"/>
              <w:spacing w:before="100" w:line="169" w:lineRule="auto"/>
              <w:ind w:left="58"/>
              <w:rPr>
                <w:sz w:val="19"/>
                <w:szCs w:val="19"/>
              </w:rPr>
            </w:pPr>
            <w:r>
              <w:rPr>
                <w:sz w:val="19"/>
                <w:szCs w:val="19"/>
              </w:rPr>
              <w:t>A</w:t>
            </w:r>
          </w:p>
        </w:tc>
        <w:tc>
          <w:tcPr>
            <w:tcW w:w="219" w:type="dxa"/>
            <w:tcBorders>
              <w:top w:val="single" w:color="000000" w:sz="2" w:space="0"/>
              <w:bottom w:val="single" w:color="000000" w:sz="2" w:space="0"/>
            </w:tcBorders>
            <w:vAlign w:val="top"/>
          </w:tcPr>
          <w:p w14:paraId="72502595">
            <w:pPr>
              <w:pStyle w:val="6"/>
              <w:spacing w:before="103" w:line="166" w:lineRule="auto"/>
              <w:ind w:left="20"/>
              <w:rPr>
                <w:sz w:val="19"/>
                <w:szCs w:val="19"/>
              </w:rPr>
            </w:pPr>
            <w:r>
              <w:rPr>
                <w:b/>
                <w:bCs/>
                <w:spacing w:val="-2"/>
                <w:sz w:val="19"/>
                <w:szCs w:val="19"/>
              </w:rPr>
              <w:t>B</w:t>
            </w:r>
          </w:p>
        </w:tc>
        <w:tc>
          <w:tcPr>
            <w:tcW w:w="240" w:type="dxa"/>
            <w:tcBorders>
              <w:top w:val="single" w:color="000000" w:sz="2" w:space="0"/>
              <w:bottom w:val="single" w:color="000000" w:sz="2" w:space="0"/>
            </w:tcBorders>
            <w:vAlign w:val="top"/>
          </w:tcPr>
          <w:p w14:paraId="22E0F2A7">
            <w:pPr>
              <w:pStyle w:val="6"/>
              <w:spacing w:before="102" w:line="167" w:lineRule="auto"/>
              <w:ind w:left="29"/>
              <w:rPr>
                <w:sz w:val="19"/>
                <w:szCs w:val="19"/>
              </w:rPr>
            </w:pPr>
            <w:r>
              <w:rPr>
                <w:sz w:val="19"/>
                <w:szCs w:val="19"/>
              </w:rPr>
              <w:t>C</w:t>
            </w:r>
          </w:p>
        </w:tc>
        <w:tc>
          <w:tcPr>
            <w:tcW w:w="234" w:type="dxa"/>
            <w:tcBorders>
              <w:top w:val="single" w:color="000000" w:sz="2" w:space="0"/>
              <w:bottom w:val="single" w:color="000000" w:sz="2" w:space="0"/>
            </w:tcBorders>
            <w:vAlign w:val="top"/>
          </w:tcPr>
          <w:p w14:paraId="3F164E11">
            <w:pPr>
              <w:pStyle w:val="6"/>
              <w:spacing w:before="103" w:line="166" w:lineRule="auto"/>
              <w:ind w:left="59"/>
              <w:rPr>
                <w:sz w:val="19"/>
                <w:szCs w:val="19"/>
              </w:rPr>
            </w:pPr>
            <w:r>
              <w:rPr>
                <w:sz w:val="19"/>
                <w:szCs w:val="19"/>
              </w:rPr>
              <w:t>D</w:t>
            </w:r>
          </w:p>
        </w:tc>
      </w:tr>
      <w:tr w14:paraId="6BECBA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354" w:hRule="atLeast"/>
        </w:trPr>
        <w:tc>
          <w:tcPr>
            <w:tcW w:w="883" w:type="dxa"/>
            <w:tcBorders>
              <w:top w:val="single" w:color="000000" w:sz="2" w:space="0"/>
              <w:bottom w:val="single" w:color="000000" w:sz="2" w:space="0"/>
            </w:tcBorders>
            <w:vAlign w:val="top"/>
          </w:tcPr>
          <w:p w14:paraId="33544A61">
            <w:pPr>
              <w:spacing w:line="244" w:lineRule="auto"/>
              <w:rPr>
                <w:rFonts w:ascii="Arial"/>
                <w:sz w:val="21"/>
              </w:rPr>
            </w:pPr>
          </w:p>
          <w:p w14:paraId="01120859">
            <w:pPr>
              <w:spacing w:line="244" w:lineRule="auto"/>
              <w:rPr>
                <w:rFonts w:ascii="Arial"/>
                <w:sz w:val="21"/>
              </w:rPr>
            </w:pPr>
          </w:p>
          <w:p w14:paraId="454E682B">
            <w:pPr>
              <w:spacing w:line="244" w:lineRule="auto"/>
              <w:rPr>
                <w:rFonts w:ascii="Arial"/>
                <w:sz w:val="21"/>
              </w:rPr>
            </w:pPr>
          </w:p>
          <w:p w14:paraId="6AE794C5">
            <w:pPr>
              <w:spacing w:line="245" w:lineRule="auto"/>
              <w:rPr>
                <w:rFonts w:ascii="Arial"/>
                <w:sz w:val="21"/>
              </w:rPr>
            </w:pPr>
          </w:p>
          <w:p w14:paraId="72070EE6">
            <w:pPr>
              <w:spacing w:line="245" w:lineRule="auto"/>
              <w:rPr>
                <w:rFonts w:ascii="Arial"/>
                <w:sz w:val="21"/>
              </w:rPr>
            </w:pPr>
          </w:p>
          <w:p w14:paraId="530E2611">
            <w:pPr>
              <w:spacing w:line="245" w:lineRule="auto"/>
              <w:rPr>
                <w:rFonts w:ascii="Arial"/>
                <w:sz w:val="21"/>
              </w:rPr>
            </w:pPr>
          </w:p>
          <w:p w14:paraId="3391CBFE">
            <w:pPr>
              <w:spacing w:line="245" w:lineRule="auto"/>
              <w:rPr>
                <w:rFonts w:ascii="Arial"/>
                <w:sz w:val="21"/>
              </w:rPr>
            </w:pPr>
          </w:p>
          <w:p w14:paraId="5FCD124C">
            <w:pPr>
              <w:spacing w:line="245" w:lineRule="auto"/>
              <w:rPr>
                <w:rFonts w:ascii="Arial"/>
                <w:sz w:val="21"/>
              </w:rPr>
            </w:pPr>
          </w:p>
          <w:p w14:paraId="14A9526C">
            <w:pPr>
              <w:spacing w:line="245" w:lineRule="auto"/>
              <w:rPr>
                <w:rFonts w:ascii="Arial"/>
                <w:sz w:val="21"/>
              </w:rPr>
            </w:pPr>
          </w:p>
          <w:p w14:paraId="71F5130A">
            <w:pPr>
              <w:spacing w:line="245" w:lineRule="auto"/>
              <w:rPr>
                <w:rFonts w:ascii="Arial"/>
                <w:sz w:val="21"/>
              </w:rPr>
            </w:pPr>
          </w:p>
          <w:p w14:paraId="6FDD9581">
            <w:pPr>
              <w:spacing w:line="245" w:lineRule="auto"/>
              <w:rPr>
                <w:rFonts w:ascii="Arial"/>
                <w:sz w:val="21"/>
              </w:rPr>
            </w:pPr>
          </w:p>
          <w:p w14:paraId="70DD12CE">
            <w:pPr>
              <w:spacing w:line="245" w:lineRule="auto"/>
              <w:rPr>
                <w:rFonts w:ascii="Arial"/>
                <w:sz w:val="21"/>
              </w:rPr>
            </w:pPr>
          </w:p>
          <w:p w14:paraId="4EEB709B">
            <w:pPr>
              <w:spacing w:line="245" w:lineRule="auto"/>
              <w:rPr>
                <w:rFonts w:ascii="Arial"/>
                <w:sz w:val="21"/>
              </w:rPr>
            </w:pPr>
          </w:p>
          <w:p w14:paraId="58AC2A5C">
            <w:pPr>
              <w:spacing w:line="245" w:lineRule="auto"/>
              <w:rPr>
                <w:rFonts w:ascii="Arial"/>
                <w:sz w:val="21"/>
              </w:rPr>
            </w:pPr>
          </w:p>
          <w:p w14:paraId="6B0CECAA">
            <w:pPr>
              <w:spacing w:line="245" w:lineRule="auto"/>
              <w:rPr>
                <w:rFonts w:ascii="Arial"/>
                <w:sz w:val="21"/>
              </w:rPr>
            </w:pPr>
          </w:p>
          <w:p w14:paraId="182D404F">
            <w:pPr>
              <w:spacing w:line="245" w:lineRule="auto"/>
              <w:rPr>
                <w:rFonts w:ascii="Arial"/>
                <w:sz w:val="21"/>
              </w:rPr>
            </w:pPr>
          </w:p>
          <w:p w14:paraId="6BF7FE26">
            <w:pPr>
              <w:pStyle w:val="6"/>
              <w:spacing w:before="62" w:line="204" w:lineRule="auto"/>
              <w:ind w:left="245"/>
              <w:rPr>
                <w:sz w:val="19"/>
                <w:szCs w:val="19"/>
              </w:rPr>
            </w:pPr>
            <w:r>
              <w:rPr>
                <w:spacing w:val="6"/>
                <w:sz w:val="19"/>
                <w:szCs w:val="19"/>
              </w:rPr>
              <w:t>撰写</w:t>
            </w:r>
          </w:p>
          <w:p w14:paraId="30B0D575">
            <w:pPr>
              <w:pStyle w:val="6"/>
              <w:spacing w:line="220" w:lineRule="auto"/>
              <w:ind w:left="55"/>
              <w:rPr>
                <w:sz w:val="19"/>
                <w:szCs w:val="19"/>
              </w:rPr>
            </w:pPr>
            <w:r>
              <w:rPr>
                <w:spacing w:val="2"/>
                <w:sz w:val="19"/>
                <w:szCs w:val="19"/>
              </w:rPr>
              <w:t>行政公文</w:t>
            </w:r>
          </w:p>
        </w:tc>
        <w:tc>
          <w:tcPr>
            <w:tcW w:w="2324" w:type="dxa"/>
            <w:tcBorders>
              <w:top w:val="single" w:color="000000" w:sz="2" w:space="0"/>
              <w:bottom w:val="single" w:color="000000" w:sz="2" w:space="0"/>
            </w:tcBorders>
            <w:vAlign w:val="top"/>
          </w:tcPr>
          <w:p w14:paraId="6DEC0873">
            <w:pPr>
              <w:spacing w:line="474" w:lineRule="auto"/>
              <w:rPr>
                <w:rFonts w:ascii="Arial"/>
                <w:sz w:val="21"/>
              </w:rPr>
            </w:pPr>
          </w:p>
          <w:p w14:paraId="1A707AA0">
            <w:pPr>
              <w:pStyle w:val="6"/>
              <w:spacing w:before="61" w:line="202" w:lineRule="auto"/>
              <w:ind w:left="94" w:right="1542"/>
              <w:rPr>
                <w:sz w:val="19"/>
                <w:szCs w:val="19"/>
              </w:rPr>
            </w:pPr>
            <w:r>
              <w:rPr>
                <w:b/>
                <w:bCs/>
                <w:spacing w:val="-1"/>
                <w:sz w:val="19"/>
                <w:szCs w:val="19"/>
              </w:rPr>
              <w:t>1.决定</w:t>
            </w:r>
            <w:r>
              <w:rPr>
                <w:spacing w:val="1"/>
                <w:sz w:val="19"/>
                <w:szCs w:val="19"/>
              </w:rPr>
              <w:t xml:space="preserve">  </w:t>
            </w:r>
            <w:r>
              <w:rPr>
                <w:b/>
                <w:bCs/>
                <w:spacing w:val="-1"/>
                <w:sz w:val="19"/>
                <w:szCs w:val="19"/>
              </w:rPr>
              <w:t>(1)概念</w:t>
            </w:r>
            <w:r>
              <w:rPr>
                <w:spacing w:val="1"/>
                <w:sz w:val="19"/>
                <w:szCs w:val="19"/>
              </w:rPr>
              <w:t xml:space="preserve"> </w:t>
            </w:r>
            <w:r>
              <w:rPr>
                <w:b/>
                <w:bCs/>
                <w:sz w:val="19"/>
                <w:szCs w:val="19"/>
              </w:rPr>
              <w:t>(2)结构</w:t>
            </w:r>
            <w:r>
              <w:rPr>
                <w:spacing w:val="1"/>
                <w:sz w:val="19"/>
                <w:szCs w:val="19"/>
              </w:rPr>
              <w:t xml:space="preserve"> </w:t>
            </w:r>
            <w:r>
              <w:rPr>
                <w:b/>
                <w:bCs/>
                <w:spacing w:val="-4"/>
                <w:sz w:val="19"/>
                <w:szCs w:val="19"/>
              </w:rPr>
              <w:t>2.通知</w:t>
            </w:r>
          </w:p>
          <w:p w14:paraId="4566071D">
            <w:pPr>
              <w:pStyle w:val="6"/>
              <w:spacing w:line="214" w:lineRule="auto"/>
              <w:ind w:left="94"/>
              <w:rPr>
                <w:sz w:val="19"/>
                <w:szCs w:val="19"/>
              </w:rPr>
            </w:pPr>
            <w:r>
              <w:rPr>
                <w:b/>
                <w:bCs/>
                <w:spacing w:val="-2"/>
                <w:sz w:val="19"/>
                <w:szCs w:val="19"/>
              </w:rPr>
              <w:t>(1)概念及分类</w:t>
            </w:r>
          </w:p>
          <w:p w14:paraId="7D07E8B8">
            <w:pPr>
              <w:pStyle w:val="6"/>
              <w:spacing w:before="1" w:line="203" w:lineRule="auto"/>
              <w:ind w:left="94" w:right="402"/>
              <w:rPr>
                <w:sz w:val="19"/>
                <w:szCs w:val="19"/>
              </w:rPr>
            </w:pPr>
            <w:r>
              <w:rPr>
                <w:b/>
                <w:bCs/>
                <w:spacing w:val="-1"/>
                <w:sz w:val="19"/>
                <w:szCs w:val="19"/>
              </w:rPr>
              <w:t>(2)事项性通知的结构</w:t>
            </w:r>
            <w:r>
              <w:rPr>
                <w:sz w:val="19"/>
                <w:szCs w:val="19"/>
              </w:rPr>
              <w:t xml:space="preserve"> </w:t>
            </w:r>
            <w:r>
              <w:rPr>
                <w:b/>
                <w:bCs/>
                <w:spacing w:val="-5"/>
                <w:sz w:val="19"/>
                <w:szCs w:val="19"/>
              </w:rPr>
              <w:t>3.通报</w:t>
            </w:r>
          </w:p>
          <w:p w14:paraId="5E3441B2">
            <w:pPr>
              <w:pStyle w:val="6"/>
              <w:spacing w:line="194" w:lineRule="auto"/>
              <w:ind w:left="94"/>
              <w:rPr>
                <w:sz w:val="19"/>
                <w:szCs w:val="19"/>
              </w:rPr>
            </w:pPr>
            <w:r>
              <w:rPr>
                <w:b/>
                <w:bCs/>
                <w:spacing w:val="-2"/>
                <w:sz w:val="19"/>
                <w:szCs w:val="19"/>
              </w:rPr>
              <w:t>(1)概念及分类</w:t>
            </w:r>
          </w:p>
          <w:p w14:paraId="7E31A039">
            <w:pPr>
              <w:pStyle w:val="6"/>
              <w:spacing w:before="2" w:line="213" w:lineRule="auto"/>
              <w:ind w:left="94" w:right="1537"/>
              <w:jc w:val="both"/>
              <w:rPr>
                <w:sz w:val="19"/>
                <w:szCs w:val="19"/>
              </w:rPr>
            </w:pPr>
            <w:r>
              <w:rPr>
                <w:b/>
                <w:bCs/>
                <w:spacing w:val="1"/>
                <w:sz w:val="19"/>
                <w:szCs w:val="19"/>
              </w:rPr>
              <w:t>(2)特点</w:t>
            </w:r>
            <w:r>
              <w:rPr>
                <w:sz w:val="19"/>
                <w:szCs w:val="19"/>
              </w:rPr>
              <w:t xml:space="preserve"> </w:t>
            </w:r>
            <w:r>
              <w:rPr>
                <w:b/>
                <w:bCs/>
                <w:sz w:val="19"/>
                <w:szCs w:val="19"/>
              </w:rPr>
              <w:t>(3)结构</w:t>
            </w:r>
            <w:r>
              <w:rPr>
                <w:spacing w:val="1"/>
                <w:sz w:val="19"/>
                <w:szCs w:val="19"/>
              </w:rPr>
              <w:t xml:space="preserve"> </w:t>
            </w:r>
            <w:r>
              <w:rPr>
                <w:b/>
                <w:bCs/>
                <w:spacing w:val="-4"/>
                <w:sz w:val="19"/>
                <w:szCs w:val="19"/>
              </w:rPr>
              <w:t>4.报告</w:t>
            </w:r>
          </w:p>
          <w:p w14:paraId="65E74B12">
            <w:pPr>
              <w:pStyle w:val="6"/>
              <w:spacing w:line="194" w:lineRule="auto"/>
              <w:ind w:left="94"/>
              <w:rPr>
                <w:sz w:val="19"/>
                <w:szCs w:val="19"/>
              </w:rPr>
            </w:pPr>
            <w:r>
              <w:rPr>
                <w:b/>
                <w:bCs/>
                <w:spacing w:val="-2"/>
                <w:sz w:val="19"/>
                <w:szCs w:val="19"/>
              </w:rPr>
              <w:t>(1)概念及分类</w:t>
            </w:r>
          </w:p>
          <w:p w14:paraId="355B7EA8">
            <w:pPr>
              <w:pStyle w:val="6"/>
              <w:spacing w:before="3" w:line="200" w:lineRule="auto"/>
              <w:ind w:left="14" w:right="1537" w:firstLine="80"/>
              <w:jc w:val="both"/>
              <w:rPr>
                <w:sz w:val="19"/>
                <w:szCs w:val="19"/>
              </w:rPr>
            </w:pPr>
            <w:r>
              <w:rPr>
                <w:b/>
                <w:bCs/>
                <w:spacing w:val="1"/>
                <w:sz w:val="19"/>
                <w:szCs w:val="19"/>
              </w:rPr>
              <w:t>(2)特点</w:t>
            </w:r>
            <w:r>
              <w:rPr>
                <w:sz w:val="19"/>
                <w:szCs w:val="19"/>
              </w:rPr>
              <w:t xml:space="preserve"> </w:t>
            </w:r>
            <w:r>
              <w:rPr>
                <w:b/>
                <w:bCs/>
                <w:spacing w:val="16"/>
                <w:sz w:val="19"/>
                <w:szCs w:val="19"/>
              </w:rPr>
              <w:t>(3)结构</w:t>
            </w:r>
            <w:r>
              <w:rPr>
                <w:spacing w:val="1"/>
                <w:sz w:val="19"/>
                <w:szCs w:val="19"/>
              </w:rPr>
              <w:t xml:space="preserve"> </w:t>
            </w:r>
            <w:r>
              <w:rPr>
                <w:b/>
                <w:bCs/>
                <w:spacing w:val="-5"/>
                <w:sz w:val="19"/>
                <w:szCs w:val="19"/>
              </w:rPr>
              <w:t>5.请示</w:t>
            </w:r>
          </w:p>
          <w:p w14:paraId="586E48D7">
            <w:pPr>
              <w:pStyle w:val="6"/>
              <w:spacing w:line="194" w:lineRule="auto"/>
              <w:ind w:left="94"/>
              <w:rPr>
                <w:sz w:val="19"/>
                <w:szCs w:val="19"/>
              </w:rPr>
            </w:pPr>
            <w:r>
              <w:rPr>
                <w:b/>
                <w:bCs/>
                <w:spacing w:val="-2"/>
                <w:sz w:val="19"/>
                <w:szCs w:val="19"/>
              </w:rPr>
              <w:t>(1)概念及写作要求</w:t>
            </w:r>
          </w:p>
          <w:p w14:paraId="4B0858C5">
            <w:pPr>
              <w:pStyle w:val="6"/>
              <w:spacing w:before="1" w:line="207" w:lineRule="auto"/>
              <w:ind w:left="94" w:right="1537"/>
              <w:jc w:val="both"/>
              <w:rPr>
                <w:sz w:val="19"/>
                <w:szCs w:val="19"/>
              </w:rPr>
            </w:pPr>
            <w:r>
              <w:rPr>
                <w:b/>
                <w:bCs/>
                <w:spacing w:val="1"/>
                <w:sz w:val="19"/>
                <w:szCs w:val="19"/>
              </w:rPr>
              <w:t>(2)特点</w:t>
            </w:r>
            <w:r>
              <w:rPr>
                <w:sz w:val="19"/>
                <w:szCs w:val="19"/>
              </w:rPr>
              <w:t xml:space="preserve"> </w:t>
            </w:r>
            <w:r>
              <w:rPr>
                <w:b/>
                <w:bCs/>
                <w:sz w:val="19"/>
                <w:szCs w:val="19"/>
              </w:rPr>
              <w:t>(3)结构</w:t>
            </w:r>
            <w:r>
              <w:rPr>
                <w:spacing w:val="1"/>
                <w:sz w:val="19"/>
                <w:szCs w:val="19"/>
              </w:rPr>
              <w:t xml:space="preserve"> </w:t>
            </w:r>
            <w:r>
              <w:rPr>
                <w:b/>
                <w:bCs/>
                <w:spacing w:val="-5"/>
                <w:sz w:val="19"/>
                <w:szCs w:val="19"/>
              </w:rPr>
              <w:t>6.批复</w:t>
            </w:r>
          </w:p>
          <w:p w14:paraId="4606B940">
            <w:pPr>
              <w:pStyle w:val="6"/>
              <w:spacing w:line="194" w:lineRule="auto"/>
              <w:ind w:left="94"/>
              <w:rPr>
                <w:sz w:val="19"/>
                <w:szCs w:val="19"/>
              </w:rPr>
            </w:pPr>
            <w:r>
              <w:rPr>
                <w:b/>
                <w:bCs/>
                <w:spacing w:val="-2"/>
                <w:sz w:val="19"/>
                <w:szCs w:val="19"/>
              </w:rPr>
              <w:t>(1)概念及写作要求</w:t>
            </w:r>
          </w:p>
          <w:p w14:paraId="2068DA12">
            <w:pPr>
              <w:pStyle w:val="6"/>
              <w:spacing w:before="3" w:line="203" w:lineRule="auto"/>
              <w:ind w:left="94" w:right="1537"/>
              <w:jc w:val="both"/>
              <w:rPr>
                <w:sz w:val="19"/>
                <w:szCs w:val="19"/>
              </w:rPr>
            </w:pPr>
            <w:r>
              <w:rPr>
                <w:b/>
                <w:bCs/>
                <w:spacing w:val="1"/>
                <w:sz w:val="19"/>
                <w:szCs w:val="19"/>
              </w:rPr>
              <w:t>(2)特点</w:t>
            </w:r>
            <w:r>
              <w:rPr>
                <w:sz w:val="19"/>
                <w:szCs w:val="19"/>
              </w:rPr>
              <w:t xml:space="preserve"> </w:t>
            </w:r>
            <w:r>
              <w:rPr>
                <w:b/>
                <w:bCs/>
                <w:sz w:val="19"/>
                <w:szCs w:val="19"/>
              </w:rPr>
              <w:t>(3)结构</w:t>
            </w:r>
            <w:r>
              <w:rPr>
                <w:spacing w:val="1"/>
                <w:sz w:val="19"/>
                <w:szCs w:val="19"/>
              </w:rPr>
              <w:t xml:space="preserve"> </w:t>
            </w:r>
            <w:r>
              <w:rPr>
                <w:b/>
                <w:bCs/>
                <w:spacing w:val="9"/>
                <w:sz w:val="19"/>
                <w:szCs w:val="19"/>
              </w:rPr>
              <w:t>7.函</w:t>
            </w:r>
          </w:p>
          <w:p w14:paraId="39CAF75D">
            <w:pPr>
              <w:pStyle w:val="6"/>
              <w:spacing w:before="1" w:line="213" w:lineRule="auto"/>
              <w:ind w:left="94"/>
              <w:rPr>
                <w:sz w:val="19"/>
                <w:szCs w:val="19"/>
              </w:rPr>
            </w:pPr>
            <w:r>
              <w:rPr>
                <w:b/>
                <w:bCs/>
                <w:spacing w:val="-2"/>
                <w:sz w:val="19"/>
                <w:szCs w:val="19"/>
              </w:rPr>
              <w:t>(1)概念及分类</w:t>
            </w:r>
          </w:p>
          <w:p w14:paraId="16B6E336">
            <w:pPr>
              <w:pStyle w:val="6"/>
              <w:spacing w:before="2" w:line="200" w:lineRule="auto"/>
              <w:ind w:left="94" w:right="1537"/>
              <w:jc w:val="both"/>
              <w:rPr>
                <w:sz w:val="19"/>
                <w:szCs w:val="19"/>
              </w:rPr>
            </w:pPr>
            <w:r>
              <w:rPr>
                <w:b/>
                <w:bCs/>
                <w:spacing w:val="1"/>
                <w:sz w:val="19"/>
                <w:szCs w:val="19"/>
              </w:rPr>
              <w:t>(2)特点</w:t>
            </w:r>
            <w:r>
              <w:rPr>
                <w:sz w:val="19"/>
                <w:szCs w:val="19"/>
              </w:rPr>
              <w:t xml:space="preserve"> </w:t>
            </w:r>
            <w:r>
              <w:rPr>
                <w:b/>
                <w:bCs/>
                <w:sz w:val="19"/>
                <w:szCs w:val="19"/>
              </w:rPr>
              <w:t>(3)结构</w:t>
            </w:r>
            <w:r>
              <w:rPr>
                <w:spacing w:val="1"/>
                <w:sz w:val="19"/>
                <w:szCs w:val="19"/>
              </w:rPr>
              <w:t xml:space="preserve"> </w:t>
            </w:r>
            <w:r>
              <w:rPr>
                <w:b/>
                <w:bCs/>
                <w:spacing w:val="-3"/>
                <w:sz w:val="19"/>
                <w:szCs w:val="19"/>
              </w:rPr>
              <w:t>8.纪要</w:t>
            </w:r>
          </w:p>
          <w:p w14:paraId="75425EB8">
            <w:pPr>
              <w:pStyle w:val="6"/>
              <w:spacing w:before="1" w:line="203" w:lineRule="auto"/>
              <w:ind w:left="94"/>
              <w:rPr>
                <w:sz w:val="19"/>
                <w:szCs w:val="19"/>
              </w:rPr>
            </w:pPr>
            <w:r>
              <w:rPr>
                <w:b/>
                <w:bCs/>
                <w:spacing w:val="-1"/>
                <w:sz w:val="19"/>
                <w:szCs w:val="19"/>
              </w:rPr>
              <w:t>(1)概念</w:t>
            </w:r>
          </w:p>
          <w:p w14:paraId="5978B551">
            <w:pPr>
              <w:pStyle w:val="6"/>
              <w:spacing w:before="1" w:line="219" w:lineRule="auto"/>
              <w:ind w:left="94"/>
              <w:rPr>
                <w:sz w:val="19"/>
                <w:szCs w:val="19"/>
              </w:rPr>
            </w:pPr>
            <w:r>
              <w:rPr>
                <w:b/>
                <w:bCs/>
                <w:spacing w:val="1"/>
                <w:sz w:val="19"/>
                <w:szCs w:val="19"/>
              </w:rPr>
              <w:t>(2)特点</w:t>
            </w:r>
          </w:p>
          <w:p w14:paraId="1D163A74">
            <w:pPr>
              <w:pStyle w:val="6"/>
              <w:spacing w:before="4" w:line="206" w:lineRule="auto"/>
              <w:ind w:left="94"/>
              <w:rPr>
                <w:sz w:val="19"/>
                <w:szCs w:val="19"/>
              </w:rPr>
            </w:pPr>
            <w:r>
              <w:rPr>
                <w:b/>
                <w:bCs/>
                <w:sz w:val="19"/>
                <w:szCs w:val="19"/>
              </w:rPr>
              <w:t>(3)结构</w:t>
            </w:r>
          </w:p>
          <w:p w14:paraId="7F8429E7">
            <w:pPr>
              <w:pStyle w:val="6"/>
              <w:spacing w:before="5" w:line="206" w:lineRule="auto"/>
              <w:ind w:left="94" w:right="1251"/>
              <w:rPr>
                <w:sz w:val="19"/>
                <w:szCs w:val="19"/>
              </w:rPr>
            </w:pPr>
            <w:r>
              <w:rPr>
                <w:b/>
                <w:bCs/>
                <w:sz w:val="19"/>
                <w:szCs w:val="19"/>
              </w:rPr>
              <w:t>9.知识平台</w:t>
            </w:r>
            <w:r>
              <w:rPr>
                <w:spacing w:val="2"/>
                <w:sz w:val="19"/>
                <w:szCs w:val="19"/>
              </w:rPr>
              <w:t xml:space="preserve"> </w:t>
            </w:r>
            <w:r>
              <w:rPr>
                <w:b/>
                <w:bCs/>
                <w:spacing w:val="-5"/>
                <w:sz w:val="19"/>
                <w:szCs w:val="19"/>
              </w:rPr>
              <w:t>公文的概念</w:t>
            </w:r>
            <w:r>
              <w:rPr>
                <w:sz w:val="19"/>
                <w:szCs w:val="19"/>
              </w:rPr>
              <w:t xml:space="preserve"> </w:t>
            </w:r>
            <w:r>
              <w:rPr>
                <w:b/>
                <w:bCs/>
                <w:sz w:val="19"/>
                <w:szCs w:val="19"/>
              </w:rPr>
              <w:t>公文的特点</w:t>
            </w:r>
            <w:r>
              <w:rPr>
                <w:sz w:val="19"/>
                <w:szCs w:val="19"/>
              </w:rPr>
              <w:t xml:space="preserve"> </w:t>
            </w:r>
            <w:r>
              <w:rPr>
                <w:b/>
                <w:bCs/>
                <w:spacing w:val="-5"/>
                <w:sz w:val="19"/>
                <w:szCs w:val="19"/>
              </w:rPr>
              <w:t>公文的种类</w:t>
            </w:r>
            <w:r>
              <w:rPr>
                <w:sz w:val="19"/>
                <w:szCs w:val="19"/>
              </w:rPr>
              <w:t xml:space="preserve"> </w:t>
            </w:r>
            <w:r>
              <w:rPr>
                <w:b/>
                <w:bCs/>
                <w:spacing w:val="1"/>
                <w:sz w:val="19"/>
                <w:szCs w:val="19"/>
              </w:rPr>
              <w:t>公文的作用</w:t>
            </w:r>
          </w:p>
        </w:tc>
        <w:tc>
          <w:tcPr>
            <w:tcW w:w="230" w:type="dxa"/>
            <w:tcBorders>
              <w:top w:val="single" w:color="000000" w:sz="2" w:space="0"/>
              <w:bottom w:val="single" w:color="000000" w:sz="2" w:space="0"/>
            </w:tcBorders>
            <w:vAlign w:val="top"/>
          </w:tcPr>
          <w:p w14:paraId="0E3B5FC4">
            <w:pPr>
              <w:spacing w:line="348" w:lineRule="auto"/>
              <w:rPr>
                <w:rFonts w:ascii="Arial"/>
                <w:sz w:val="21"/>
              </w:rPr>
            </w:pPr>
          </w:p>
          <w:p w14:paraId="119A2310">
            <w:pPr>
              <w:spacing w:line="349" w:lineRule="auto"/>
              <w:rPr>
                <w:rFonts w:ascii="Arial"/>
                <w:sz w:val="21"/>
              </w:rPr>
            </w:pPr>
          </w:p>
          <w:p w14:paraId="74EF4546">
            <w:pPr>
              <w:pStyle w:val="6"/>
              <w:spacing w:before="42" w:line="238" w:lineRule="auto"/>
              <w:ind w:left="48"/>
              <w:rPr>
                <w:sz w:val="13"/>
                <w:szCs w:val="13"/>
              </w:rPr>
            </w:pPr>
            <w:r>
              <w:rPr>
                <w:sz w:val="13"/>
                <w:szCs w:val="13"/>
              </w:rPr>
              <w:t>√</w:t>
            </w:r>
          </w:p>
        </w:tc>
        <w:tc>
          <w:tcPr>
            <w:tcW w:w="219" w:type="dxa"/>
            <w:tcBorders>
              <w:top w:val="single" w:color="000000" w:sz="2" w:space="0"/>
              <w:bottom w:val="single" w:color="000000" w:sz="2" w:space="0"/>
            </w:tcBorders>
            <w:vAlign w:val="top"/>
          </w:tcPr>
          <w:p w14:paraId="3A547911">
            <w:pPr>
              <w:rPr>
                <w:rFonts w:ascii="Arial"/>
                <w:sz w:val="21"/>
              </w:rPr>
            </w:pPr>
          </w:p>
        </w:tc>
        <w:tc>
          <w:tcPr>
            <w:tcW w:w="240" w:type="dxa"/>
            <w:tcBorders>
              <w:top w:val="single" w:color="000000" w:sz="2" w:space="0"/>
              <w:bottom w:val="single" w:color="000000" w:sz="2" w:space="0"/>
            </w:tcBorders>
            <w:vAlign w:val="top"/>
          </w:tcPr>
          <w:p w14:paraId="2B59CAE0">
            <w:pPr>
              <w:spacing w:line="262" w:lineRule="auto"/>
              <w:rPr>
                <w:rFonts w:ascii="Arial"/>
                <w:sz w:val="21"/>
              </w:rPr>
            </w:pPr>
          </w:p>
          <w:p w14:paraId="59F84ED5">
            <w:pPr>
              <w:spacing w:line="262" w:lineRule="auto"/>
              <w:rPr>
                <w:rFonts w:ascii="Arial"/>
                <w:sz w:val="21"/>
              </w:rPr>
            </w:pPr>
          </w:p>
          <w:p w14:paraId="1A6179D3">
            <w:pPr>
              <w:spacing w:line="263" w:lineRule="auto"/>
              <w:rPr>
                <w:rFonts w:ascii="Arial"/>
                <w:sz w:val="21"/>
              </w:rPr>
            </w:pPr>
          </w:p>
          <w:p w14:paraId="566A0A6E">
            <w:pPr>
              <w:pStyle w:val="6"/>
              <w:spacing w:before="61" w:line="182" w:lineRule="auto"/>
              <w:ind w:left="9"/>
              <w:rPr>
                <w:sz w:val="19"/>
                <w:szCs w:val="19"/>
              </w:rPr>
            </w:pPr>
            <w:r>
              <w:rPr>
                <w:sz w:val="19"/>
                <w:szCs w:val="19"/>
              </w:rPr>
              <w:t>V</w:t>
            </w:r>
          </w:p>
        </w:tc>
        <w:tc>
          <w:tcPr>
            <w:tcW w:w="234" w:type="dxa"/>
            <w:tcBorders>
              <w:top w:val="single" w:color="000000" w:sz="2" w:space="0"/>
              <w:bottom w:val="single" w:color="000000" w:sz="2" w:space="0"/>
            </w:tcBorders>
            <w:vAlign w:val="top"/>
          </w:tcPr>
          <w:p w14:paraId="01CB4A00">
            <w:pPr>
              <w:spacing w:line="248" w:lineRule="auto"/>
              <w:rPr>
                <w:rFonts w:ascii="Arial"/>
                <w:sz w:val="21"/>
              </w:rPr>
            </w:pPr>
          </w:p>
          <w:p w14:paraId="60A7C835">
            <w:pPr>
              <w:spacing w:line="248" w:lineRule="auto"/>
              <w:rPr>
                <w:rFonts w:ascii="Arial"/>
                <w:sz w:val="21"/>
              </w:rPr>
            </w:pPr>
          </w:p>
          <w:p w14:paraId="5050DE6B">
            <w:pPr>
              <w:spacing w:line="249" w:lineRule="auto"/>
              <w:rPr>
                <w:rFonts w:ascii="Arial"/>
                <w:sz w:val="21"/>
              </w:rPr>
            </w:pPr>
          </w:p>
          <w:p w14:paraId="3FD68365">
            <w:pPr>
              <w:spacing w:line="249" w:lineRule="auto"/>
              <w:rPr>
                <w:rFonts w:ascii="Arial"/>
                <w:sz w:val="21"/>
              </w:rPr>
            </w:pPr>
          </w:p>
          <w:p w14:paraId="78BBF71F">
            <w:pPr>
              <w:spacing w:line="249" w:lineRule="auto"/>
              <w:rPr>
                <w:rFonts w:ascii="Arial"/>
                <w:sz w:val="21"/>
              </w:rPr>
            </w:pPr>
          </w:p>
          <w:p w14:paraId="2F194154">
            <w:pPr>
              <w:spacing w:line="249" w:lineRule="auto"/>
              <w:rPr>
                <w:rFonts w:ascii="Arial"/>
                <w:sz w:val="21"/>
              </w:rPr>
            </w:pPr>
          </w:p>
          <w:p w14:paraId="01EF65D0">
            <w:pPr>
              <w:pStyle w:val="6"/>
              <w:spacing w:before="42" w:line="238" w:lineRule="auto"/>
              <w:ind w:left="49"/>
              <w:rPr>
                <w:sz w:val="13"/>
                <w:szCs w:val="13"/>
              </w:rPr>
            </w:pPr>
            <w:r>
              <w:rPr>
                <w:sz w:val="13"/>
                <w:szCs w:val="13"/>
              </w:rPr>
              <w:t>√</w:t>
            </w:r>
          </w:p>
        </w:tc>
      </w:tr>
    </w:tbl>
    <w:p w14:paraId="0560D76B">
      <w:pPr>
        <w:pStyle w:val="2"/>
        <w:spacing w:line="14" w:lineRule="auto"/>
        <w:rPr>
          <w:sz w:val="2"/>
        </w:rPr>
      </w:pPr>
    </w:p>
    <w:p w14:paraId="01C62C73">
      <w:pPr>
        <w:spacing w:line="14" w:lineRule="auto"/>
        <w:rPr>
          <w:sz w:val="2"/>
          <w:szCs w:val="2"/>
        </w:rPr>
        <w:sectPr>
          <w:type w:val="continuous"/>
          <w:pgSz w:w="10660" w:h="15080"/>
          <w:pgMar w:top="400" w:right="885" w:bottom="925" w:left="1024" w:header="0" w:footer="705" w:gutter="0"/>
          <w:cols w:equalWidth="0" w:num="2">
            <w:col w:w="4490" w:space="100"/>
            <w:col w:w="4160"/>
          </w:cols>
        </w:sectPr>
      </w:pPr>
    </w:p>
    <w:p w14:paraId="6746AAC1">
      <w:pPr>
        <w:spacing w:before="13"/>
      </w:pPr>
      <w:r>
        <w:pict>
          <v:shape id="_x0000_s1040" o:spid="_x0000_s1040" o:spt="202" type="#_x0000_t202" style="position:absolute;left:0pt;margin-left:273.25pt;margin-top:69.2pt;height:308.15pt;width:208.5pt;mso-position-horizontal-relative:page;mso-position-vertical-relative:page;z-index:251689984;mso-width-relative:page;mso-height-relative:page;" filled="f" stroked="f" coordsize="21600,21600" o:allowincell="f">
            <v:path/>
            <v:fill on="f" focussize="0,0"/>
            <v:stroke on="f"/>
            <v:imagedata o:title=""/>
            <o:lock v:ext="edit" aspectratio="f"/>
            <v:textbox inset="0mm,0mm,0mm,0mm">
              <w:txbxContent>
                <w:p w14:paraId="768907CD">
                  <w:pPr>
                    <w:spacing w:line="20" w:lineRule="exact"/>
                  </w:pPr>
                </w:p>
                <w:tbl>
                  <w:tblPr>
                    <w:tblStyle w:val="5"/>
                    <w:tblW w:w="4119" w:type="dxa"/>
                    <w:tblInd w:w="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14"/>
                    <w:gridCol w:w="229"/>
                    <w:gridCol w:w="230"/>
                    <w:gridCol w:w="219"/>
                    <w:gridCol w:w="234"/>
                  </w:tblGrid>
                  <w:tr w14:paraId="563314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4" w:hRule="atLeast"/>
                    </w:trPr>
                    <w:tc>
                      <w:tcPr>
                        <w:tcW w:w="893" w:type="dxa"/>
                        <w:vMerge w:val="restart"/>
                        <w:tcBorders>
                          <w:bottom w:val="nil"/>
                        </w:tcBorders>
                        <w:vAlign w:val="top"/>
                      </w:tcPr>
                      <w:p w14:paraId="71B3915F">
                        <w:pPr>
                          <w:pStyle w:val="6"/>
                          <w:spacing w:before="30" w:line="196" w:lineRule="auto"/>
                          <w:ind w:left="247" w:right="1" w:hanging="230"/>
                          <w:rPr>
                            <w:sz w:val="19"/>
                            <w:szCs w:val="19"/>
                          </w:rPr>
                        </w:pPr>
                        <w:r>
                          <w:rPr>
                            <w:b/>
                            <w:bCs/>
                            <w:spacing w:val="-22"/>
                            <w:sz w:val="19"/>
                            <w:szCs w:val="19"/>
                          </w:rPr>
                          <w:t>知识与技</w:t>
                        </w:r>
                        <w:r>
                          <w:rPr>
                            <w:b/>
                            <w:bCs/>
                            <w:spacing w:val="-12"/>
                            <w:sz w:val="19"/>
                            <w:szCs w:val="19"/>
                          </w:rPr>
                          <w:t>能</w:t>
                        </w:r>
                        <w:r>
                          <w:rPr>
                            <w:spacing w:val="2"/>
                            <w:sz w:val="19"/>
                            <w:szCs w:val="19"/>
                          </w:rPr>
                          <w:t xml:space="preserve"> </w:t>
                        </w:r>
                        <w:r>
                          <w:rPr>
                            <w:b/>
                            <w:bCs/>
                            <w:spacing w:val="-5"/>
                            <w:sz w:val="19"/>
                            <w:szCs w:val="19"/>
                          </w:rPr>
                          <w:t>要点</w:t>
                        </w:r>
                      </w:p>
                    </w:tc>
                    <w:tc>
                      <w:tcPr>
                        <w:tcW w:w="2314" w:type="dxa"/>
                        <w:vMerge w:val="restart"/>
                        <w:tcBorders>
                          <w:bottom w:val="nil"/>
                        </w:tcBorders>
                        <w:vAlign w:val="top"/>
                      </w:tcPr>
                      <w:p w14:paraId="5DF6BC0D">
                        <w:pPr>
                          <w:pStyle w:val="6"/>
                          <w:spacing w:before="130" w:line="219" w:lineRule="auto"/>
                          <w:ind w:left="834"/>
                          <w:rPr>
                            <w:sz w:val="19"/>
                            <w:szCs w:val="19"/>
                          </w:rPr>
                        </w:pPr>
                        <w:r>
                          <w:rPr>
                            <w:b/>
                            <w:bCs/>
                            <w:spacing w:val="5"/>
                            <w:sz w:val="19"/>
                            <w:szCs w:val="19"/>
                          </w:rPr>
                          <w:t>考试条目</w:t>
                        </w:r>
                      </w:p>
                    </w:tc>
                    <w:tc>
                      <w:tcPr>
                        <w:tcW w:w="912" w:type="dxa"/>
                        <w:gridSpan w:val="4"/>
                        <w:vAlign w:val="top"/>
                      </w:tcPr>
                      <w:p w14:paraId="264BA473">
                        <w:pPr>
                          <w:pStyle w:val="6"/>
                          <w:spacing w:before="19" w:line="189" w:lineRule="auto"/>
                          <w:ind w:right="16"/>
                          <w:jc w:val="right"/>
                          <w:rPr>
                            <w:sz w:val="19"/>
                            <w:szCs w:val="19"/>
                          </w:rPr>
                        </w:pPr>
                        <w:r>
                          <w:rPr>
                            <w:b/>
                            <w:bCs/>
                            <w:spacing w:val="-4"/>
                            <w:sz w:val="19"/>
                            <w:szCs w:val="19"/>
                          </w:rPr>
                          <w:t>考试水平</w:t>
                        </w:r>
                      </w:p>
                    </w:tc>
                  </w:tr>
                  <w:tr w14:paraId="613F6F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0" w:hRule="atLeast"/>
                    </w:trPr>
                    <w:tc>
                      <w:tcPr>
                        <w:tcW w:w="893" w:type="dxa"/>
                        <w:vMerge w:val="continue"/>
                        <w:tcBorders>
                          <w:top w:val="nil"/>
                        </w:tcBorders>
                        <w:vAlign w:val="top"/>
                      </w:tcPr>
                      <w:p w14:paraId="20175BFD">
                        <w:pPr>
                          <w:rPr>
                            <w:rFonts w:ascii="Arial"/>
                            <w:sz w:val="21"/>
                          </w:rPr>
                        </w:pPr>
                      </w:p>
                    </w:tc>
                    <w:tc>
                      <w:tcPr>
                        <w:tcW w:w="2314" w:type="dxa"/>
                        <w:vMerge w:val="continue"/>
                        <w:tcBorders>
                          <w:top w:val="nil"/>
                        </w:tcBorders>
                        <w:vAlign w:val="top"/>
                      </w:tcPr>
                      <w:p w14:paraId="26E40A3B">
                        <w:pPr>
                          <w:rPr>
                            <w:rFonts w:ascii="Arial"/>
                            <w:sz w:val="21"/>
                          </w:rPr>
                        </w:pPr>
                      </w:p>
                    </w:tc>
                    <w:tc>
                      <w:tcPr>
                        <w:tcW w:w="229" w:type="dxa"/>
                        <w:vAlign w:val="top"/>
                      </w:tcPr>
                      <w:p w14:paraId="22A17028">
                        <w:pPr>
                          <w:pStyle w:val="6"/>
                          <w:spacing w:before="46" w:line="153" w:lineRule="exact"/>
                          <w:ind w:left="20"/>
                          <w:rPr>
                            <w:sz w:val="19"/>
                            <w:szCs w:val="19"/>
                          </w:rPr>
                        </w:pPr>
                        <w:r>
                          <w:rPr>
                            <w:b/>
                            <w:bCs/>
                            <w:spacing w:val="-2"/>
                            <w:position w:val="-2"/>
                            <w:sz w:val="19"/>
                            <w:szCs w:val="19"/>
                          </w:rPr>
                          <w:t>A</w:t>
                        </w:r>
                      </w:p>
                    </w:tc>
                    <w:tc>
                      <w:tcPr>
                        <w:tcW w:w="230" w:type="dxa"/>
                        <w:vAlign w:val="top"/>
                      </w:tcPr>
                      <w:p w14:paraId="19A775BA">
                        <w:pPr>
                          <w:pStyle w:val="6"/>
                          <w:spacing w:before="49" w:line="151" w:lineRule="exact"/>
                          <w:ind w:left="41"/>
                          <w:rPr>
                            <w:sz w:val="19"/>
                            <w:szCs w:val="19"/>
                          </w:rPr>
                        </w:pPr>
                        <w:r>
                          <w:rPr>
                            <w:b/>
                            <w:bCs/>
                            <w:spacing w:val="-2"/>
                            <w:position w:val="-2"/>
                            <w:sz w:val="19"/>
                            <w:szCs w:val="19"/>
                          </w:rPr>
                          <w:t>B</w:t>
                        </w:r>
                      </w:p>
                    </w:tc>
                    <w:tc>
                      <w:tcPr>
                        <w:tcW w:w="219" w:type="dxa"/>
                        <w:vAlign w:val="top"/>
                      </w:tcPr>
                      <w:p w14:paraId="42F2F418">
                        <w:pPr>
                          <w:pStyle w:val="6"/>
                          <w:spacing w:before="46" w:line="153" w:lineRule="exact"/>
                          <w:ind w:left="21"/>
                          <w:rPr>
                            <w:sz w:val="19"/>
                            <w:szCs w:val="19"/>
                          </w:rPr>
                        </w:pPr>
                        <w:r>
                          <w:rPr>
                            <w:b/>
                            <w:bCs/>
                            <w:spacing w:val="-2"/>
                            <w:position w:val="-2"/>
                            <w:sz w:val="19"/>
                            <w:szCs w:val="19"/>
                          </w:rPr>
                          <w:t>C</w:t>
                        </w:r>
                      </w:p>
                    </w:tc>
                    <w:tc>
                      <w:tcPr>
                        <w:tcW w:w="234" w:type="dxa"/>
                        <w:vAlign w:val="top"/>
                      </w:tcPr>
                      <w:p w14:paraId="0781CD8D">
                        <w:pPr>
                          <w:pStyle w:val="6"/>
                          <w:spacing w:before="49" w:line="151" w:lineRule="exact"/>
                          <w:ind w:left="42"/>
                          <w:rPr>
                            <w:sz w:val="19"/>
                            <w:szCs w:val="19"/>
                          </w:rPr>
                        </w:pPr>
                        <w:r>
                          <w:rPr>
                            <w:b/>
                            <w:bCs/>
                            <w:spacing w:val="-2"/>
                            <w:position w:val="-2"/>
                            <w:sz w:val="19"/>
                            <w:szCs w:val="19"/>
                          </w:rPr>
                          <w:t>D</w:t>
                        </w:r>
                      </w:p>
                    </w:tc>
                  </w:tr>
                  <w:tr w14:paraId="195248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16" w:hRule="atLeast"/>
                    </w:trPr>
                    <w:tc>
                      <w:tcPr>
                        <w:tcW w:w="893" w:type="dxa"/>
                        <w:vAlign w:val="top"/>
                      </w:tcPr>
                      <w:p w14:paraId="41281B20">
                        <w:pPr>
                          <w:spacing w:line="287" w:lineRule="auto"/>
                          <w:rPr>
                            <w:rFonts w:ascii="Arial"/>
                            <w:sz w:val="21"/>
                          </w:rPr>
                        </w:pPr>
                      </w:p>
                      <w:p w14:paraId="1D5CDD71">
                        <w:pPr>
                          <w:spacing w:line="287" w:lineRule="auto"/>
                          <w:rPr>
                            <w:rFonts w:ascii="Arial"/>
                            <w:sz w:val="21"/>
                          </w:rPr>
                        </w:pPr>
                      </w:p>
                      <w:p w14:paraId="36694FFE">
                        <w:pPr>
                          <w:spacing w:line="288" w:lineRule="auto"/>
                          <w:rPr>
                            <w:rFonts w:ascii="Arial"/>
                            <w:sz w:val="21"/>
                          </w:rPr>
                        </w:pPr>
                      </w:p>
                      <w:p w14:paraId="6560EB02">
                        <w:pPr>
                          <w:spacing w:line="288" w:lineRule="auto"/>
                          <w:rPr>
                            <w:rFonts w:ascii="Arial"/>
                            <w:sz w:val="21"/>
                          </w:rPr>
                        </w:pPr>
                      </w:p>
                      <w:p w14:paraId="78BC13B4">
                        <w:pPr>
                          <w:pStyle w:val="6"/>
                          <w:spacing w:before="61" w:line="219" w:lineRule="auto"/>
                          <w:ind w:left="55"/>
                          <w:rPr>
                            <w:sz w:val="19"/>
                            <w:szCs w:val="19"/>
                          </w:rPr>
                        </w:pPr>
                        <w:r>
                          <w:rPr>
                            <w:spacing w:val="1"/>
                            <w:sz w:val="19"/>
                            <w:szCs w:val="19"/>
                          </w:rPr>
                          <w:t>收文办理</w:t>
                        </w:r>
                      </w:p>
                    </w:tc>
                    <w:tc>
                      <w:tcPr>
                        <w:tcW w:w="2314" w:type="dxa"/>
                        <w:vAlign w:val="top"/>
                      </w:tcPr>
                      <w:p w14:paraId="23F25D92">
                        <w:pPr>
                          <w:pStyle w:val="6"/>
                          <w:spacing w:before="40" w:line="196" w:lineRule="auto"/>
                          <w:ind w:left="71" w:right="1080"/>
                          <w:jc w:val="both"/>
                          <w:rPr>
                            <w:sz w:val="19"/>
                            <w:szCs w:val="19"/>
                          </w:rPr>
                        </w:pPr>
                        <w:r>
                          <w:rPr>
                            <w:spacing w:val="1"/>
                            <w:sz w:val="19"/>
                            <w:szCs w:val="19"/>
                          </w:rPr>
                          <w:t>1.签收、登记 (1)任务分析</w:t>
                        </w:r>
                        <w:r>
                          <w:rPr>
                            <w:spacing w:val="2"/>
                            <w:sz w:val="19"/>
                            <w:szCs w:val="19"/>
                          </w:rPr>
                          <w:t xml:space="preserve">  </w:t>
                        </w:r>
                        <w:r>
                          <w:rPr>
                            <w:spacing w:val="1"/>
                            <w:sz w:val="19"/>
                            <w:szCs w:val="19"/>
                          </w:rPr>
                          <w:t>(2)工作步骤</w:t>
                        </w:r>
                        <w:r>
                          <w:rPr>
                            <w:spacing w:val="2"/>
                            <w:sz w:val="19"/>
                            <w:szCs w:val="19"/>
                          </w:rPr>
                          <w:t xml:space="preserve">  </w:t>
                        </w:r>
                        <w:r>
                          <w:rPr>
                            <w:spacing w:val="1"/>
                            <w:sz w:val="19"/>
                            <w:szCs w:val="19"/>
                          </w:rPr>
                          <w:t>2.初审、承办</w:t>
                        </w:r>
                        <w:r>
                          <w:rPr>
                            <w:spacing w:val="3"/>
                            <w:sz w:val="19"/>
                            <w:szCs w:val="19"/>
                          </w:rPr>
                          <w:t xml:space="preserve"> </w:t>
                        </w:r>
                        <w:r>
                          <w:rPr>
                            <w:spacing w:val="1"/>
                            <w:sz w:val="19"/>
                            <w:szCs w:val="19"/>
                          </w:rPr>
                          <w:t>(1)任务分析</w:t>
                        </w:r>
                      </w:p>
                      <w:p w14:paraId="5E3501E1">
                        <w:pPr>
                          <w:pStyle w:val="6"/>
                          <w:spacing w:line="193" w:lineRule="auto"/>
                          <w:ind w:left="71"/>
                          <w:rPr>
                            <w:sz w:val="19"/>
                            <w:szCs w:val="19"/>
                          </w:rPr>
                        </w:pPr>
                        <w:r>
                          <w:rPr>
                            <w:spacing w:val="1"/>
                            <w:sz w:val="19"/>
                            <w:szCs w:val="19"/>
                          </w:rPr>
                          <w:t>(2)工作步骤</w:t>
                        </w:r>
                      </w:p>
                      <w:p w14:paraId="7ACBC219">
                        <w:pPr>
                          <w:pStyle w:val="6"/>
                          <w:spacing w:before="1" w:line="194" w:lineRule="auto"/>
                          <w:ind w:left="71"/>
                          <w:rPr>
                            <w:sz w:val="19"/>
                            <w:szCs w:val="19"/>
                          </w:rPr>
                        </w:pPr>
                        <w:r>
                          <w:rPr>
                            <w:sz w:val="19"/>
                            <w:szCs w:val="19"/>
                          </w:rPr>
                          <w:t>3.传阅、催办、答复</w:t>
                        </w:r>
                      </w:p>
                      <w:p w14:paraId="2961E001">
                        <w:pPr>
                          <w:pStyle w:val="6"/>
                          <w:spacing w:line="194" w:lineRule="auto"/>
                          <w:ind w:left="71"/>
                          <w:rPr>
                            <w:sz w:val="19"/>
                            <w:szCs w:val="19"/>
                          </w:rPr>
                        </w:pPr>
                        <w:r>
                          <w:rPr>
                            <w:spacing w:val="1"/>
                            <w:sz w:val="19"/>
                            <w:szCs w:val="19"/>
                          </w:rPr>
                          <w:t>(1)任务分析</w:t>
                        </w:r>
                      </w:p>
                      <w:p w14:paraId="0A0776EB">
                        <w:pPr>
                          <w:pStyle w:val="6"/>
                          <w:spacing w:before="1" w:line="189" w:lineRule="auto"/>
                          <w:ind w:left="71" w:right="1173"/>
                          <w:rPr>
                            <w:sz w:val="19"/>
                            <w:szCs w:val="19"/>
                          </w:rPr>
                        </w:pPr>
                        <w:r>
                          <w:rPr>
                            <w:spacing w:val="1"/>
                            <w:sz w:val="19"/>
                            <w:szCs w:val="19"/>
                          </w:rPr>
                          <w:t>(2)工作步骤</w:t>
                        </w:r>
                        <w:r>
                          <w:rPr>
                            <w:spacing w:val="5"/>
                            <w:sz w:val="19"/>
                            <w:szCs w:val="19"/>
                          </w:rPr>
                          <w:t xml:space="preserve"> </w:t>
                        </w:r>
                        <w:r>
                          <w:rPr>
                            <w:spacing w:val="3"/>
                            <w:sz w:val="19"/>
                            <w:szCs w:val="19"/>
                          </w:rPr>
                          <w:t>4.知识平台</w:t>
                        </w:r>
                      </w:p>
                      <w:p w14:paraId="39D0D2AC">
                        <w:pPr>
                          <w:pStyle w:val="6"/>
                          <w:spacing w:before="1" w:line="193" w:lineRule="auto"/>
                          <w:ind w:left="71"/>
                          <w:rPr>
                            <w:sz w:val="19"/>
                            <w:szCs w:val="19"/>
                          </w:rPr>
                        </w:pPr>
                        <w:r>
                          <w:rPr>
                            <w:spacing w:val="3"/>
                            <w:sz w:val="19"/>
                            <w:szCs w:val="19"/>
                          </w:rPr>
                          <w:t>(1)文秘部门的基本职能、</w:t>
                        </w:r>
                        <w:r>
                          <w:rPr>
                            <w:spacing w:val="7"/>
                            <w:sz w:val="19"/>
                            <w:szCs w:val="19"/>
                          </w:rPr>
                          <w:t xml:space="preserve"> </w:t>
                        </w:r>
                        <w:r>
                          <w:rPr>
                            <w:spacing w:val="-5"/>
                            <w:sz w:val="19"/>
                            <w:szCs w:val="19"/>
                          </w:rPr>
                          <w:t>任务和具体工作内容</w:t>
                        </w:r>
                      </w:p>
                      <w:p w14:paraId="5D36F6FF">
                        <w:pPr>
                          <w:pStyle w:val="6"/>
                          <w:spacing w:line="163" w:lineRule="auto"/>
                          <w:jc w:val="right"/>
                          <w:rPr>
                            <w:sz w:val="19"/>
                            <w:szCs w:val="19"/>
                          </w:rPr>
                        </w:pPr>
                        <w:r>
                          <w:rPr>
                            <w:spacing w:val="-10"/>
                            <w:sz w:val="19"/>
                            <w:szCs w:val="19"/>
                          </w:rPr>
                          <w:t>(2)公文处理工作的基本原则</w:t>
                        </w:r>
                      </w:p>
                    </w:tc>
                    <w:tc>
                      <w:tcPr>
                        <w:tcW w:w="229" w:type="dxa"/>
                        <w:vAlign w:val="top"/>
                      </w:tcPr>
                      <w:p w14:paraId="0F5A9F7B">
                        <w:pPr>
                          <w:rPr>
                            <w:rFonts w:ascii="Arial"/>
                            <w:sz w:val="21"/>
                          </w:rPr>
                        </w:pPr>
                      </w:p>
                    </w:tc>
                    <w:tc>
                      <w:tcPr>
                        <w:tcW w:w="230" w:type="dxa"/>
                        <w:vAlign w:val="top"/>
                      </w:tcPr>
                      <w:p w14:paraId="3CE200ED">
                        <w:pPr>
                          <w:rPr>
                            <w:rFonts w:ascii="Arial"/>
                            <w:sz w:val="21"/>
                          </w:rPr>
                        </w:pPr>
                      </w:p>
                    </w:tc>
                    <w:tc>
                      <w:tcPr>
                        <w:tcW w:w="219" w:type="dxa"/>
                        <w:vAlign w:val="top"/>
                      </w:tcPr>
                      <w:p w14:paraId="33B20DCD">
                        <w:pPr>
                          <w:rPr>
                            <w:rFonts w:ascii="Arial"/>
                            <w:sz w:val="21"/>
                          </w:rPr>
                        </w:pPr>
                      </w:p>
                    </w:tc>
                    <w:tc>
                      <w:tcPr>
                        <w:tcW w:w="234" w:type="dxa"/>
                        <w:vAlign w:val="top"/>
                      </w:tcPr>
                      <w:p w14:paraId="02673FFA">
                        <w:pPr>
                          <w:rPr>
                            <w:rFonts w:ascii="Arial"/>
                            <w:sz w:val="21"/>
                          </w:rPr>
                        </w:pPr>
                      </w:p>
                    </w:tc>
                  </w:tr>
                  <w:tr w14:paraId="0F4C7C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22" w:hRule="atLeast"/>
                    </w:trPr>
                    <w:tc>
                      <w:tcPr>
                        <w:tcW w:w="893" w:type="dxa"/>
                        <w:vAlign w:val="top"/>
                      </w:tcPr>
                      <w:p w14:paraId="7BADD234">
                        <w:pPr>
                          <w:spacing w:line="252" w:lineRule="auto"/>
                          <w:rPr>
                            <w:rFonts w:ascii="Arial"/>
                            <w:sz w:val="21"/>
                          </w:rPr>
                        </w:pPr>
                      </w:p>
                      <w:p w14:paraId="52AF4E9A">
                        <w:pPr>
                          <w:spacing w:line="252" w:lineRule="auto"/>
                          <w:rPr>
                            <w:rFonts w:ascii="Arial"/>
                            <w:sz w:val="21"/>
                          </w:rPr>
                        </w:pPr>
                      </w:p>
                      <w:p w14:paraId="634466AF">
                        <w:pPr>
                          <w:spacing w:line="252" w:lineRule="auto"/>
                          <w:rPr>
                            <w:rFonts w:ascii="Arial"/>
                            <w:sz w:val="21"/>
                          </w:rPr>
                        </w:pPr>
                      </w:p>
                      <w:p w14:paraId="56E2339C">
                        <w:pPr>
                          <w:spacing w:line="253" w:lineRule="auto"/>
                          <w:rPr>
                            <w:rFonts w:ascii="Arial"/>
                            <w:sz w:val="21"/>
                          </w:rPr>
                        </w:pPr>
                      </w:p>
                      <w:p w14:paraId="1E70E801">
                        <w:pPr>
                          <w:spacing w:line="253" w:lineRule="auto"/>
                          <w:rPr>
                            <w:rFonts w:ascii="Arial"/>
                            <w:sz w:val="21"/>
                          </w:rPr>
                        </w:pPr>
                      </w:p>
                      <w:p w14:paraId="2A679115">
                        <w:pPr>
                          <w:pStyle w:val="6"/>
                          <w:spacing w:before="61" w:line="208" w:lineRule="auto"/>
                          <w:ind w:left="55" w:right="76"/>
                          <w:rPr>
                            <w:sz w:val="19"/>
                            <w:szCs w:val="19"/>
                          </w:rPr>
                        </w:pPr>
                        <w:r>
                          <w:rPr>
                            <w:spacing w:val="-3"/>
                            <w:sz w:val="19"/>
                            <w:szCs w:val="19"/>
                          </w:rPr>
                          <w:t>文书的清</w:t>
                        </w:r>
                        <w:r>
                          <w:rPr>
                            <w:spacing w:val="2"/>
                            <w:sz w:val="19"/>
                            <w:szCs w:val="19"/>
                          </w:rPr>
                          <w:t xml:space="preserve"> </w:t>
                        </w:r>
                        <w:r>
                          <w:rPr>
                            <w:spacing w:val="-3"/>
                            <w:sz w:val="19"/>
                            <w:szCs w:val="19"/>
                          </w:rPr>
                          <w:t>退与销毁</w:t>
                        </w:r>
                      </w:p>
                    </w:tc>
                    <w:tc>
                      <w:tcPr>
                        <w:tcW w:w="2314" w:type="dxa"/>
                        <w:vAlign w:val="top"/>
                      </w:tcPr>
                      <w:p w14:paraId="1BE86E5C">
                        <w:pPr>
                          <w:pStyle w:val="6"/>
                          <w:spacing w:before="52" w:line="194" w:lineRule="auto"/>
                          <w:ind w:left="71"/>
                          <w:rPr>
                            <w:sz w:val="19"/>
                            <w:szCs w:val="19"/>
                          </w:rPr>
                        </w:pPr>
                        <w:r>
                          <w:rPr>
                            <w:spacing w:val="2"/>
                            <w:sz w:val="19"/>
                            <w:szCs w:val="19"/>
                          </w:rPr>
                          <w:t>1.销毁</w:t>
                        </w:r>
                      </w:p>
                      <w:p w14:paraId="7481EB2C">
                        <w:pPr>
                          <w:pStyle w:val="6"/>
                          <w:spacing w:line="194" w:lineRule="auto"/>
                          <w:ind w:left="71"/>
                          <w:rPr>
                            <w:sz w:val="19"/>
                            <w:szCs w:val="19"/>
                          </w:rPr>
                        </w:pPr>
                        <w:r>
                          <w:rPr>
                            <w:spacing w:val="1"/>
                            <w:sz w:val="19"/>
                            <w:szCs w:val="19"/>
                          </w:rPr>
                          <w:t>(1)任务分析</w:t>
                        </w:r>
                      </w:p>
                      <w:p w14:paraId="4504C781">
                        <w:pPr>
                          <w:pStyle w:val="6"/>
                          <w:spacing w:before="1" w:line="189" w:lineRule="auto"/>
                          <w:ind w:left="71" w:right="1173"/>
                          <w:rPr>
                            <w:sz w:val="19"/>
                            <w:szCs w:val="19"/>
                          </w:rPr>
                        </w:pPr>
                        <w:r>
                          <w:rPr>
                            <w:spacing w:val="1"/>
                            <w:sz w:val="19"/>
                            <w:szCs w:val="19"/>
                          </w:rPr>
                          <w:t>(2)工作步骤</w:t>
                        </w:r>
                        <w:r>
                          <w:rPr>
                            <w:spacing w:val="5"/>
                            <w:sz w:val="19"/>
                            <w:szCs w:val="19"/>
                          </w:rPr>
                          <w:t xml:space="preserve"> </w:t>
                        </w:r>
                        <w:r>
                          <w:rPr>
                            <w:spacing w:val="-3"/>
                            <w:sz w:val="19"/>
                            <w:szCs w:val="19"/>
                          </w:rPr>
                          <w:t>2.清退</w:t>
                        </w:r>
                      </w:p>
                      <w:p w14:paraId="0B30B5DA">
                        <w:pPr>
                          <w:pStyle w:val="6"/>
                          <w:spacing w:line="194" w:lineRule="auto"/>
                          <w:ind w:left="71"/>
                          <w:rPr>
                            <w:sz w:val="19"/>
                            <w:szCs w:val="19"/>
                          </w:rPr>
                        </w:pPr>
                        <w:r>
                          <w:rPr>
                            <w:spacing w:val="1"/>
                            <w:sz w:val="19"/>
                            <w:szCs w:val="19"/>
                          </w:rPr>
                          <w:t>(1)任务分析</w:t>
                        </w:r>
                      </w:p>
                      <w:p w14:paraId="2DDD4BE2">
                        <w:pPr>
                          <w:pStyle w:val="6"/>
                          <w:spacing w:line="189" w:lineRule="auto"/>
                          <w:ind w:left="71" w:right="1173"/>
                          <w:rPr>
                            <w:sz w:val="19"/>
                            <w:szCs w:val="19"/>
                          </w:rPr>
                        </w:pPr>
                        <w:r>
                          <w:rPr>
                            <w:spacing w:val="1"/>
                            <w:sz w:val="19"/>
                            <w:szCs w:val="19"/>
                          </w:rPr>
                          <w:t>(2)工作步骤</w:t>
                        </w:r>
                        <w:r>
                          <w:rPr>
                            <w:spacing w:val="5"/>
                            <w:sz w:val="19"/>
                            <w:szCs w:val="19"/>
                          </w:rPr>
                          <w:t xml:space="preserve"> </w:t>
                        </w:r>
                        <w:r>
                          <w:rPr>
                            <w:spacing w:val="-2"/>
                            <w:sz w:val="19"/>
                            <w:szCs w:val="19"/>
                          </w:rPr>
                          <w:t>3.暂存</w:t>
                        </w:r>
                      </w:p>
                      <w:p w14:paraId="32666DCA">
                        <w:pPr>
                          <w:pStyle w:val="6"/>
                          <w:spacing w:before="1" w:line="194" w:lineRule="auto"/>
                          <w:ind w:left="71"/>
                          <w:rPr>
                            <w:sz w:val="19"/>
                            <w:szCs w:val="19"/>
                          </w:rPr>
                        </w:pPr>
                        <w:r>
                          <w:rPr>
                            <w:spacing w:val="1"/>
                            <w:sz w:val="19"/>
                            <w:szCs w:val="19"/>
                          </w:rPr>
                          <w:t>(1)任务分析</w:t>
                        </w:r>
                      </w:p>
                      <w:p w14:paraId="495BC212">
                        <w:pPr>
                          <w:pStyle w:val="6"/>
                          <w:spacing w:line="204" w:lineRule="auto"/>
                          <w:ind w:left="71" w:right="1173"/>
                          <w:rPr>
                            <w:sz w:val="19"/>
                            <w:szCs w:val="19"/>
                          </w:rPr>
                        </w:pPr>
                        <w:r>
                          <w:rPr>
                            <w:spacing w:val="1"/>
                            <w:sz w:val="19"/>
                            <w:szCs w:val="19"/>
                          </w:rPr>
                          <w:t>(2)工作步骤</w:t>
                        </w:r>
                        <w:r>
                          <w:rPr>
                            <w:spacing w:val="5"/>
                            <w:sz w:val="19"/>
                            <w:szCs w:val="19"/>
                          </w:rPr>
                          <w:t xml:space="preserve"> </w:t>
                        </w:r>
                        <w:r>
                          <w:rPr>
                            <w:spacing w:val="3"/>
                            <w:sz w:val="19"/>
                            <w:szCs w:val="19"/>
                          </w:rPr>
                          <w:t>4.知识平台</w:t>
                        </w:r>
                      </w:p>
                      <w:p w14:paraId="50972E3C">
                        <w:pPr>
                          <w:pStyle w:val="6"/>
                          <w:spacing w:line="184" w:lineRule="auto"/>
                          <w:ind w:left="71"/>
                          <w:rPr>
                            <w:sz w:val="19"/>
                            <w:szCs w:val="19"/>
                          </w:rPr>
                        </w:pPr>
                        <w:r>
                          <w:rPr>
                            <w:spacing w:val="1"/>
                            <w:sz w:val="19"/>
                            <w:szCs w:val="19"/>
                          </w:rPr>
                          <w:t>(1)文档人员的职业责任</w:t>
                        </w:r>
                      </w:p>
                      <w:p w14:paraId="520BCC5F">
                        <w:pPr>
                          <w:pStyle w:val="6"/>
                          <w:spacing w:before="1" w:line="194" w:lineRule="auto"/>
                          <w:ind w:left="71"/>
                          <w:rPr>
                            <w:sz w:val="19"/>
                            <w:szCs w:val="19"/>
                          </w:rPr>
                        </w:pPr>
                        <w:r>
                          <w:rPr>
                            <w:spacing w:val="1"/>
                            <w:sz w:val="19"/>
                            <w:szCs w:val="19"/>
                          </w:rPr>
                          <w:t>(2)文档人员的职业道德</w:t>
                        </w:r>
                      </w:p>
                      <w:p w14:paraId="4343985B">
                        <w:pPr>
                          <w:pStyle w:val="6"/>
                          <w:spacing w:line="184" w:lineRule="auto"/>
                          <w:ind w:left="71"/>
                          <w:rPr>
                            <w:sz w:val="19"/>
                            <w:szCs w:val="19"/>
                          </w:rPr>
                        </w:pPr>
                        <w:r>
                          <w:rPr>
                            <w:spacing w:val="1"/>
                            <w:sz w:val="19"/>
                            <w:szCs w:val="19"/>
                          </w:rPr>
                          <w:t>(3)文档人员的职业素养</w:t>
                        </w:r>
                      </w:p>
                      <w:p w14:paraId="435AEA33">
                        <w:pPr>
                          <w:pStyle w:val="6"/>
                          <w:spacing w:before="1" w:line="184" w:lineRule="auto"/>
                          <w:ind w:left="71" w:right="37"/>
                          <w:rPr>
                            <w:sz w:val="19"/>
                            <w:szCs w:val="19"/>
                          </w:rPr>
                        </w:pPr>
                        <w:r>
                          <w:rPr>
                            <w:sz w:val="19"/>
                            <w:szCs w:val="19"/>
                          </w:rPr>
                          <w:t>(4)文书与档案管理人员的</w:t>
                        </w:r>
                        <w:r>
                          <w:rPr>
                            <w:spacing w:val="8"/>
                            <w:sz w:val="19"/>
                            <w:szCs w:val="19"/>
                          </w:rPr>
                          <w:t xml:space="preserve"> </w:t>
                        </w:r>
                        <w:r>
                          <w:rPr>
                            <w:spacing w:val="-2"/>
                            <w:sz w:val="19"/>
                            <w:szCs w:val="19"/>
                          </w:rPr>
                          <w:t>职业形象</w:t>
                        </w:r>
                      </w:p>
                    </w:tc>
                    <w:tc>
                      <w:tcPr>
                        <w:tcW w:w="229" w:type="dxa"/>
                        <w:vAlign w:val="top"/>
                      </w:tcPr>
                      <w:p w14:paraId="3CC66560">
                        <w:pPr>
                          <w:rPr>
                            <w:rFonts w:ascii="Arial"/>
                            <w:sz w:val="21"/>
                          </w:rPr>
                        </w:pPr>
                      </w:p>
                    </w:tc>
                    <w:tc>
                      <w:tcPr>
                        <w:tcW w:w="230" w:type="dxa"/>
                        <w:vAlign w:val="top"/>
                      </w:tcPr>
                      <w:p w14:paraId="497A0603">
                        <w:pPr>
                          <w:rPr>
                            <w:rFonts w:ascii="Arial"/>
                            <w:sz w:val="21"/>
                          </w:rPr>
                        </w:pPr>
                      </w:p>
                    </w:tc>
                    <w:tc>
                      <w:tcPr>
                        <w:tcW w:w="219" w:type="dxa"/>
                        <w:vAlign w:val="top"/>
                      </w:tcPr>
                      <w:p w14:paraId="378AB132">
                        <w:pPr>
                          <w:rPr>
                            <w:rFonts w:ascii="Arial"/>
                            <w:sz w:val="21"/>
                          </w:rPr>
                        </w:pPr>
                      </w:p>
                    </w:tc>
                    <w:tc>
                      <w:tcPr>
                        <w:tcW w:w="234" w:type="dxa"/>
                        <w:vAlign w:val="top"/>
                      </w:tcPr>
                      <w:p w14:paraId="5DEEAD33">
                        <w:pPr>
                          <w:rPr>
                            <w:rFonts w:ascii="Arial"/>
                            <w:sz w:val="21"/>
                          </w:rPr>
                        </w:pPr>
                      </w:p>
                    </w:tc>
                  </w:tr>
                </w:tbl>
                <w:p w14:paraId="590BC5F8">
                  <w:pPr>
                    <w:pStyle w:val="2"/>
                  </w:pPr>
                </w:p>
              </w:txbxContent>
            </v:textbox>
          </v:shape>
        </w:pict>
      </w:r>
      <w:r>
        <w:pict>
          <v:shape id="_x0000_s1041" o:spid="_x0000_s1041" o:spt="202" type="#_x0000_t202" style="position:absolute;left:0pt;margin-left:312.1pt;margin-top:381.2pt;height:14.05pt;width:131pt;mso-position-horizontal-relative:page;mso-position-vertical-relative:page;z-index:251692032;mso-width-relative:page;mso-height-relative:page;" filled="f" stroked="f" coordsize="21600,21600" o:allowincell="f">
            <v:path/>
            <v:fill on="f" focussize="0,0"/>
            <v:stroke on="f"/>
            <v:imagedata o:title=""/>
            <o:lock v:ext="edit" aspectratio="f"/>
            <v:textbox inset="0mm,0mm,0mm,0mm">
              <w:txbxContent>
                <w:p w14:paraId="723B01A9">
                  <w:pPr>
                    <w:spacing w:before="19" w:line="222" w:lineRule="auto"/>
                    <w:ind w:left="20"/>
                    <w:rPr>
                      <w:rFonts w:ascii="黑体" w:hAnsi="黑体" w:eastAsia="黑体" w:cs="黑体"/>
                      <w:sz w:val="20"/>
                      <w:szCs w:val="20"/>
                    </w:rPr>
                  </w:pPr>
                  <w:r>
                    <w:rPr>
                      <w:rFonts w:ascii="黑体" w:hAnsi="黑体" w:eastAsia="黑体" w:cs="黑体"/>
                      <w:b/>
                      <w:bCs/>
                      <w:spacing w:val="-4"/>
                      <w:sz w:val="20"/>
                      <w:szCs w:val="20"/>
                    </w:rPr>
                    <w:t>专题三</w:t>
                  </w:r>
                  <w:r>
                    <w:rPr>
                      <w:rFonts w:ascii="黑体" w:hAnsi="黑体" w:eastAsia="黑体" w:cs="黑体"/>
                      <w:spacing w:val="-4"/>
                      <w:sz w:val="20"/>
                      <w:szCs w:val="20"/>
                    </w:rPr>
                    <w:t xml:space="preserve">  </w:t>
                  </w:r>
                  <w:r>
                    <w:rPr>
                      <w:rFonts w:ascii="黑体" w:hAnsi="黑体" w:eastAsia="黑体" w:cs="黑体"/>
                      <w:b/>
                      <w:bCs/>
                      <w:spacing w:val="-4"/>
                      <w:sz w:val="20"/>
                      <w:szCs w:val="20"/>
                    </w:rPr>
                    <w:t>纸质文件的档案管理</w:t>
                  </w:r>
                </w:p>
              </w:txbxContent>
            </v:textbox>
          </v:shape>
        </w:pict>
      </w:r>
      <w:r>
        <w:pict>
          <v:shape id="_x0000_s1042" o:spid="_x0000_s1042" o:spt="202" type="#_x0000_t202" style="position:absolute;left:0pt;margin-left:273.25pt;margin-top:396.7pt;height:301.5pt;width:208.5pt;mso-position-horizontal-relative:page;mso-position-vertical-relative:page;z-index:251691008;mso-width-relative:page;mso-height-relative:page;" filled="f" stroked="f" coordsize="21600,21600" o:allowincell="f">
            <v:path/>
            <v:fill on="f" focussize="0,0"/>
            <v:stroke on="f"/>
            <v:imagedata o:title=""/>
            <o:lock v:ext="edit" aspectratio="f"/>
            <v:textbox inset="0mm,0mm,0mm,0mm">
              <w:txbxContent>
                <w:p w14:paraId="67D641E1">
                  <w:pPr>
                    <w:spacing w:line="20" w:lineRule="exact"/>
                  </w:pPr>
                </w:p>
                <w:tbl>
                  <w:tblPr>
                    <w:tblStyle w:val="5"/>
                    <w:tblW w:w="4119" w:type="dxa"/>
                    <w:tblInd w:w="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83"/>
                    <w:gridCol w:w="2334"/>
                    <w:gridCol w:w="220"/>
                    <w:gridCol w:w="229"/>
                    <w:gridCol w:w="229"/>
                    <w:gridCol w:w="224"/>
                  </w:tblGrid>
                  <w:tr w14:paraId="2450FF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4" w:hRule="atLeast"/>
                    </w:trPr>
                    <w:tc>
                      <w:tcPr>
                        <w:tcW w:w="883" w:type="dxa"/>
                        <w:vMerge w:val="restart"/>
                        <w:tcBorders>
                          <w:bottom w:val="nil"/>
                        </w:tcBorders>
                        <w:vAlign w:val="top"/>
                      </w:tcPr>
                      <w:p w14:paraId="67FB60A3">
                        <w:pPr>
                          <w:pStyle w:val="6"/>
                          <w:spacing w:before="30" w:line="196" w:lineRule="auto"/>
                          <w:ind w:left="247" w:right="1" w:hanging="230"/>
                          <w:rPr>
                            <w:sz w:val="19"/>
                            <w:szCs w:val="19"/>
                          </w:rPr>
                        </w:pPr>
                        <w:r>
                          <w:rPr>
                            <w:b/>
                            <w:bCs/>
                            <w:spacing w:val="-25"/>
                            <w:sz w:val="19"/>
                            <w:szCs w:val="19"/>
                          </w:rPr>
                          <w:t>知识</w:t>
                        </w:r>
                        <w:r>
                          <w:rPr>
                            <w:b/>
                            <w:bCs/>
                            <w:spacing w:val="-24"/>
                            <w:sz w:val="19"/>
                            <w:szCs w:val="19"/>
                          </w:rPr>
                          <w:t>与技</w:t>
                        </w:r>
                        <w:r>
                          <w:rPr>
                            <w:b/>
                            <w:bCs/>
                            <w:spacing w:val="-12"/>
                            <w:sz w:val="19"/>
                            <w:szCs w:val="19"/>
                          </w:rPr>
                          <w:t>能</w:t>
                        </w:r>
                        <w:r>
                          <w:rPr>
                            <w:spacing w:val="2"/>
                            <w:sz w:val="19"/>
                            <w:szCs w:val="19"/>
                          </w:rPr>
                          <w:t xml:space="preserve"> </w:t>
                        </w:r>
                        <w:r>
                          <w:rPr>
                            <w:b/>
                            <w:bCs/>
                            <w:spacing w:val="-5"/>
                            <w:sz w:val="19"/>
                            <w:szCs w:val="19"/>
                          </w:rPr>
                          <w:t>要点</w:t>
                        </w:r>
                      </w:p>
                    </w:tc>
                    <w:tc>
                      <w:tcPr>
                        <w:tcW w:w="2334" w:type="dxa"/>
                        <w:vMerge w:val="restart"/>
                        <w:tcBorders>
                          <w:bottom w:val="nil"/>
                        </w:tcBorders>
                        <w:vAlign w:val="top"/>
                      </w:tcPr>
                      <w:p w14:paraId="2325CB6C">
                        <w:pPr>
                          <w:pStyle w:val="6"/>
                          <w:spacing w:before="130" w:line="219" w:lineRule="auto"/>
                          <w:ind w:left="844"/>
                          <w:rPr>
                            <w:sz w:val="19"/>
                            <w:szCs w:val="19"/>
                          </w:rPr>
                        </w:pPr>
                        <w:r>
                          <w:rPr>
                            <w:b/>
                            <w:bCs/>
                            <w:spacing w:val="5"/>
                            <w:sz w:val="19"/>
                            <w:szCs w:val="19"/>
                          </w:rPr>
                          <w:t>考试条目</w:t>
                        </w:r>
                      </w:p>
                    </w:tc>
                    <w:tc>
                      <w:tcPr>
                        <w:tcW w:w="902" w:type="dxa"/>
                        <w:gridSpan w:val="4"/>
                        <w:vAlign w:val="top"/>
                      </w:tcPr>
                      <w:p w14:paraId="03937ABB">
                        <w:pPr>
                          <w:pStyle w:val="6"/>
                          <w:spacing w:before="19" w:line="189" w:lineRule="auto"/>
                          <w:ind w:right="16"/>
                          <w:jc w:val="right"/>
                          <w:rPr>
                            <w:sz w:val="19"/>
                            <w:szCs w:val="19"/>
                          </w:rPr>
                        </w:pPr>
                        <w:r>
                          <w:rPr>
                            <w:b/>
                            <w:bCs/>
                            <w:spacing w:val="-4"/>
                            <w:sz w:val="19"/>
                            <w:szCs w:val="19"/>
                          </w:rPr>
                          <w:t>考试水平</w:t>
                        </w:r>
                      </w:p>
                    </w:tc>
                  </w:tr>
                  <w:tr w14:paraId="43E1A1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0" w:hRule="atLeast"/>
                    </w:trPr>
                    <w:tc>
                      <w:tcPr>
                        <w:tcW w:w="883" w:type="dxa"/>
                        <w:vMerge w:val="continue"/>
                        <w:tcBorders>
                          <w:top w:val="nil"/>
                        </w:tcBorders>
                        <w:vAlign w:val="top"/>
                      </w:tcPr>
                      <w:p w14:paraId="641A1CDC">
                        <w:pPr>
                          <w:rPr>
                            <w:rFonts w:ascii="Arial"/>
                            <w:sz w:val="21"/>
                          </w:rPr>
                        </w:pPr>
                      </w:p>
                    </w:tc>
                    <w:tc>
                      <w:tcPr>
                        <w:tcW w:w="2334" w:type="dxa"/>
                        <w:vMerge w:val="continue"/>
                        <w:tcBorders>
                          <w:top w:val="nil"/>
                        </w:tcBorders>
                        <w:vAlign w:val="top"/>
                      </w:tcPr>
                      <w:p w14:paraId="399CB8B6">
                        <w:pPr>
                          <w:rPr>
                            <w:rFonts w:ascii="Arial"/>
                            <w:sz w:val="21"/>
                          </w:rPr>
                        </w:pPr>
                      </w:p>
                    </w:tc>
                    <w:tc>
                      <w:tcPr>
                        <w:tcW w:w="220" w:type="dxa"/>
                        <w:vAlign w:val="top"/>
                      </w:tcPr>
                      <w:p w14:paraId="74A2D9F7">
                        <w:pPr>
                          <w:pStyle w:val="6"/>
                          <w:spacing w:before="46" w:line="153" w:lineRule="exact"/>
                          <w:ind w:left="20"/>
                          <w:rPr>
                            <w:sz w:val="19"/>
                            <w:szCs w:val="19"/>
                          </w:rPr>
                        </w:pPr>
                        <w:r>
                          <w:rPr>
                            <w:b/>
                            <w:bCs/>
                            <w:spacing w:val="-2"/>
                            <w:position w:val="-2"/>
                            <w:sz w:val="19"/>
                            <w:szCs w:val="19"/>
                          </w:rPr>
                          <w:t>A</w:t>
                        </w:r>
                      </w:p>
                    </w:tc>
                    <w:tc>
                      <w:tcPr>
                        <w:tcW w:w="229" w:type="dxa"/>
                        <w:vAlign w:val="top"/>
                      </w:tcPr>
                      <w:p w14:paraId="187EB54F">
                        <w:pPr>
                          <w:pStyle w:val="6"/>
                          <w:spacing w:before="49" w:line="151" w:lineRule="exact"/>
                          <w:ind w:left="20"/>
                          <w:rPr>
                            <w:sz w:val="19"/>
                            <w:szCs w:val="19"/>
                          </w:rPr>
                        </w:pPr>
                        <w:r>
                          <w:rPr>
                            <w:b/>
                            <w:bCs/>
                            <w:spacing w:val="-2"/>
                            <w:position w:val="-2"/>
                            <w:sz w:val="19"/>
                            <w:szCs w:val="19"/>
                          </w:rPr>
                          <w:t>B</w:t>
                        </w:r>
                      </w:p>
                    </w:tc>
                    <w:tc>
                      <w:tcPr>
                        <w:tcW w:w="229" w:type="dxa"/>
                        <w:vAlign w:val="top"/>
                      </w:tcPr>
                      <w:p w14:paraId="65A6075C">
                        <w:pPr>
                          <w:pStyle w:val="6"/>
                          <w:spacing w:before="46" w:line="153" w:lineRule="exact"/>
                          <w:ind w:left="21"/>
                          <w:rPr>
                            <w:sz w:val="19"/>
                            <w:szCs w:val="19"/>
                          </w:rPr>
                        </w:pPr>
                        <w:r>
                          <w:rPr>
                            <w:b/>
                            <w:bCs/>
                            <w:spacing w:val="-2"/>
                            <w:position w:val="-2"/>
                            <w:sz w:val="19"/>
                            <w:szCs w:val="19"/>
                          </w:rPr>
                          <w:t>C</w:t>
                        </w:r>
                      </w:p>
                    </w:tc>
                    <w:tc>
                      <w:tcPr>
                        <w:tcW w:w="224" w:type="dxa"/>
                        <w:vAlign w:val="top"/>
                      </w:tcPr>
                      <w:p w14:paraId="3236D328">
                        <w:pPr>
                          <w:pStyle w:val="6"/>
                          <w:spacing w:before="49" w:line="151" w:lineRule="exact"/>
                          <w:ind w:left="22"/>
                          <w:rPr>
                            <w:sz w:val="19"/>
                            <w:szCs w:val="19"/>
                          </w:rPr>
                        </w:pPr>
                        <w:r>
                          <w:rPr>
                            <w:b/>
                            <w:bCs/>
                            <w:spacing w:val="-2"/>
                            <w:position w:val="-2"/>
                            <w:sz w:val="19"/>
                            <w:szCs w:val="19"/>
                          </w:rPr>
                          <w:t>D</w:t>
                        </w:r>
                      </w:p>
                    </w:tc>
                  </w:tr>
                  <w:tr w14:paraId="54FBE8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3" w:hRule="atLeast"/>
                    </w:trPr>
                    <w:tc>
                      <w:tcPr>
                        <w:tcW w:w="883" w:type="dxa"/>
                        <w:vMerge w:val="restart"/>
                        <w:tcBorders>
                          <w:bottom w:val="nil"/>
                        </w:tcBorders>
                        <w:vAlign w:val="top"/>
                      </w:tcPr>
                      <w:p w14:paraId="209243D2">
                        <w:pPr>
                          <w:spacing w:line="250" w:lineRule="auto"/>
                          <w:rPr>
                            <w:rFonts w:ascii="Arial"/>
                            <w:sz w:val="21"/>
                          </w:rPr>
                        </w:pPr>
                      </w:p>
                      <w:p w14:paraId="0FE061F3">
                        <w:pPr>
                          <w:spacing w:line="250" w:lineRule="auto"/>
                          <w:rPr>
                            <w:rFonts w:ascii="Arial"/>
                            <w:sz w:val="21"/>
                          </w:rPr>
                        </w:pPr>
                      </w:p>
                      <w:p w14:paraId="32A5CEDF">
                        <w:pPr>
                          <w:spacing w:line="250" w:lineRule="auto"/>
                          <w:rPr>
                            <w:rFonts w:ascii="Arial"/>
                            <w:sz w:val="21"/>
                          </w:rPr>
                        </w:pPr>
                      </w:p>
                      <w:p w14:paraId="761B22EC">
                        <w:pPr>
                          <w:spacing w:line="250" w:lineRule="auto"/>
                          <w:rPr>
                            <w:rFonts w:ascii="Arial"/>
                            <w:sz w:val="21"/>
                          </w:rPr>
                        </w:pPr>
                      </w:p>
                      <w:p w14:paraId="670A8D91">
                        <w:pPr>
                          <w:spacing w:line="251" w:lineRule="auto"/>
                          <w:rPr>
                            <w:rFonts w:ascii="Arial"/>
                            <w:sz w:val="21"/>
                          </w:rPr>
                        </w:pPr>
                      </w:p>
                      <w:p w14:paraId="1E6E11E3">
                        <w:pPr>
                          <w:spacing w:line="251" w:lineRule="auto"/>
                          <w:rPr>
                            <w:rFonts w:ascii="Arial"/>
                            <w:sz w:val="21"/>
                          </w:rPr>
                        </w:pPr>
                      </w:p>
                      <w:p w14:paraId="40C3E130">
                        <w:pPr>
                          <w:spacing w:line="251" w:lineRule="auto"/>
                          <w:rPr>
                            <w:rFonts w:ascii="Arial"/>
                            <w:sz w:val="21"/>
                          </w:rPr>
                        </w:pPr>
                      </w:p>
                      <w:p w14:paraId="0C259D3D">
                        <w:pPr>
                          <w:spacing w:line="251" w:lineRule="auto"/>
                          <w:rPr>
                            <w:rFonts w:ascii="Arial"/>
                            <w:sz w:val="21"/>
                          </w:rPr>
                        </w:pPr>
                      </w:p>
                      <w:p w14:paraId="673DB847">
                        <w:pPr>
                          <w:spacing w:line="251" w:lineRule="auto"/>
                          <w:rPr>
                            <w:rFonts w:ascii="Arial"/>
                            <w:sz w:val="21"/>
                          </w:rPr>
                        </w:pPr>
                      </w:p>
                      <w:p w14:paraId="58388991">
                        <w:pPr>
                          <w:spacing w:line="251" w:lineRule="auto"/>
                          <w:rPr>
                            <w:rFonts w:ascii="Arial"/>
                            <w:sz w:val="21"/>
                          </w:rPr>
                        </w:pPr>
                      </w:p>
                      <w:p w14:paraId="73404D87">
                        <w:pPr>
                          <w:pStyle w:val="6"/>
                          <w:spacing w:before="61" w:line="187" w:lineRule="auto"/>
                          <w:ind w:left="247"/>
                          <w:rPr>
                            <w:sz w:val="19"/>
                            <w:szCs w:val="19"/>
                          </w:rPr>
                        </w:pPr>
                        <w:r>
                          <w:rPr>
                            <w:b/>
                            <w:bCs/>
                            <w:spacing w:val="-5"/>
                            <w:sz w:val="19"/>
                            <w:szCs w:val="19"/>
                          </w:rPr>
                          <w:t>整理</w:t>
                        </w:r>
                      </w:p>
                      <w:p w14:paraId="4FC648D0">
                        <w:pPr>
                          <w:pStyle w:val="6"/>
                          <w:spacing w:line="219" w:lineRule="auto"/>
                          <w:ind w:left="57"/>
                          <w:rPr>
                            <w:sz w:val="19"/>
                            <w:szCs w:val="19"/>
                          </w:rPr>
                        </w:pPr>
                        <w:r>
                          <w:rPr>
                            <w:b/>
                            <w:bCs/>
                            <w:spacing w:val="-5"/>
                            <w:sz w:val="19"/>
                            <w:szCs w:val="19"/>
                          </w:rPr>
                          <w:t>归档文件</w:t>
                        </w:r>
                      </w:p>
                    </w:tc>
                    <w:tc>
                      <w:tcPr>
                        <w:tcW w:w="2334" w:type="dxa"/>
                        <w:tcBorders>
                          <w:bottom w:val="nil"/>
                        </w:tcBorders>
                        <w:vAlign w:val="top"/>
                      </w:tcPr>
                      <w:p w14:paraId="524995B6">
                        <w:pPr>
                          <w:pStyle w:val="6"/>
                          <w:spacing w:before="86" w:line="194" w:lineRule="auto"/>
                          <w:ind w:left="84"/>
                          <w:rPr>
                            <w:sz w:val="19"/>
                            <w:szCs w:val="19"/>
                          </w:rPr>
                        </w:pPr>
                        <w:r>
                          <w:rPr>
                            <w:b/>
                            <w:bCs/>
                            <w:spacing w:val="-2"/>
                            <w:sz w:val="19"/>
                            <w:szCs w:val="19"/>
                          </w:rPr>
                          <w:t>1.组件</w:t>
                        </w:r>
                      </w:p>
                      <w:p w14:paraId="4AE5E227">
                        <w:pPr>
                          <w:pStyle w:val="6"/>
                          <w:spacing w:line="194" w:lineRule="auto"/>
                          <w:ind w:left="84"/>
                          <w:rPr>
                            <w:sz w:val="19"/>
                            <w:szCs w:val="19"/>
                          </w:rPr>
                        </w:pPr>
                        <w:r>
                          <w:rPr>
                            <w:b/>
                            <w:bCs/>
                            <w:spacing w:val="-3"/>
                            <w:sz w:val="19"/>
                            <w:szCs w:val="19"/>
                          </w:rPr>
                          <w:t>(1)任务分析</w:t>
                        </w:r>
                      </w:p>
                      <w:p w14:paraId="1D4F9D4D">
                        <w:pPr>
                          <w:pStyle w:val="6"/>
                          <w:spacing w:line="181" w:lineRule="auto"/>
                          <w:ind w:left="84"/>
                          <w:rPr>
                            <w:sz w:val="19"/>
                            <w:szCs w:val="19"/>
                          </w:rPr>
                        </w:pPr>
                        <w:r>
                          <w:rPr>
                            <w:b/>
                            <w:bCs/>
                            <w:spacing w:val="-3"/>
                            <w:sz w:val="19"/>
                            <w:szCs w:val="19"/>
                          </w:rPr>
                          <w:t>(2)工作步骤</w:t>
                        </w:r>
                      </w:p>
                    </w:tc>
                    <w:tc>
                      <w:tcPr>
                        <w:tcW w:w="220" w:type="dxa"/>
                        <w:tcBorders>
                          <w:bottom w:val="nil"/>
                        </w:tcBorders>
                        <w:vAlign w:val="top"/>
                      </w:tcPr>
                      <w:p w14:paraId="42F4E574">
                        <w:pPr>
                          <w:rPr>
                            <w:rFonts w:ascii="Arial"/>
                            <w:sz w:val="21"/>
                          </w:rPr>
                        </w:pPr>
                      </w:p>
                    </w:tc>
                    <w:tc>
                      <w:tcPr>
                        <w:tcW w:w="229" w:type="dxa"/>
                        <w:tcBorders>
                          <w:bottom w:val="nil"/>
                        </w:tcBorders>
                        <w:vAlign w:val="top"/>
                      </w:tcPr>
                      <w:p w14:paraId="0FC0AA3B">
                        <w:pPr>
                          <w:rPr>
                            <w:rFonts w:ascii="Arial"/>
                            <w:sz w:val="21"/>
                          </w:rPr>
                        </w:pPr>
                      </w:p>
                    </w:tc>
                    <w:tc>
                      <w:tcPr>
                        <w:tcW w:w="229" w:type="dxa"/>
                        <w:tcBorders>
                          <w:bottom w:val="nil"/>
                        </w:tcBorders>
                        <w:vAlign w:val="top"/>
                      </w:tcPr>
                      <w:p w14:paraId="10AFD5AA">
                        <w:pPr>
                          <w:rPr>
                            <w:rFonts w:ascii="Arial"/>
                            <w:sz w:val="21"/>
                          </w:rPr>
                        </w:pPr>
                      </w:p>
                    </w:tc>
                    <w:tc>
                      <w:tcPr>
                        <w:tcW w:w="224" w:type="dxa"/>
                        <w:tcBorders>
                          <w:bottom w:val="nil"/>
                        </w:tcBorders>
                        <w:vAlign w:val="top"/>
                      </w:tcPr>
                      <w:p w14:paraId="051EE1F7">
                        <w:pPr>
                          <w:rPr>
                            <w:rFonts w:ascii="Arial"/>
                            <w:sz w:val="21"/>
                          </w:rPr>
                        </w:pPr>
                      </w:p>
                    </w:tc>
                  </w:tr>
                  <w:tr w14:paraId="16D757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4" w:hRule="atLeast"/>
                    </w:trPr>
                    <w:tc>
                      <w:tcPr>
                        <w:tcW w:w="883" w:type="dxa"/>
                        <w:vMerge w:val="continue"/>
                        <w:tcBorders>
                          <w:top w:val="nil"/>
                          <w:bottom w:val="nil"/>
                        </w:tcBorders>
                        <w:vAlign w:val="top"/>
                      </w:tcPr>
                      <w:p w14:paraId="2029B200">
                        <w:pPr>
                          <w:rPr>
                            <w:rFonts w:ascii="Arial"/>
                            <w:sz w:val="21"/>
                          </w:rPr>
                        </w:pPr>
                      </w:p>
                    </w:tc>
                    <w:tc>
                      <w:tcPr>
                        <w:tcW w:w="2334" w:type="dxa"/>
                        <w:tcBorders>
                          <w:top w:val="nil"/>
                          <w:bottom w:val="nil"/>
                        </w:tcBorders>
                        <w:vAlign w:val="top"/>
                      </w:tcPr>
                      <w:p w14:paraId="44D26C33">
                        <w:pPr>
                          <w:pStyle w:val="6"/>
                          <w:spacing w:before="13" w:line="194" w:lineRule="auto"/>
                          <w:ind w:left="84"/>
                          <w:rPr>
                            <w:sz w:val="19"/>
                            <w:szCs w:val="19"/>
                          </w:rPr>
                        </w:pPr>
                        <w:r>
                          <w:rPr>
                            <w:b/>
                            <w:bCs/>
                            <w:spacing w:val="-4"/>
                            <w:sz w:val="19"/>
                            <w:szCs w:val="19"/>
                          </w:rPr>
                          <w:t>2.分类</w:t>
                        </w:r>
                      </w:p>
                      <w:p w14:paraId="364D28E1">
                        <w:pPr>
                          <w:pStyle w:val="6"/>
                          <w:spacing w:line="194" w:lineRule="auto"/>
                          <w:ind w:left="84"/>
                          <w:rPr>
                            <w:sz w:val="19"/>
                            <w:szCs w:val="19"/>
                          </w:rPr>
                        </w:pPr>
                        <w:r>
                          <w:rPr>
                            <w:b/>
                            <w:bCs/>
                            <w:spacing w:val="-3"/>
                            <w:sz w:val="19"/>
                            <w:szCs w:val="19"/>
                          </w:rPr>
                          <w:t>(1)任务分析</w:t>
                        </w:r>
                      </w:p>
                      <w:p w14:paraId="07A1FD16">
                        <w:pPr>
                          <w:pStyle w:val="6"/>
                          <w:spacing w:line="175" w:lineRule="auto"/>
                          <w:ind w:left="84"/>
                          <w:rPr>
                            <w:sz w:val="19"/>
                            <w:szCs w:val="19"/>
                          </w:rPr>
                        </w:pPr>
                        <w:r>
                          <w:rPr>
                            <w:b/>
                            <w:bCs/>
                            <w:spacing w:val="-3"/>
                            <w:sz w:val="19"/>
                            <w:szCs w:val="19"/>
                          </w:rPr>
                          <w:t>(2)工作步骤</w:t>
                        </w:r>
                      </w:p>
                    </w:tc>
                    <w:tc>
                      <w:tcPr>
                        <w:tcW w:w="220" w:type="dxa"/>
                        <w:tcBorders>
                          <w:top w:val="nil"/>
                          <w:bottom w:val="nil"/>
                        </w:tcBorders>
                        <w:vAlign w:val="top"/>
                      </w:tcPr>
                      <w:p w14:paraId="5ED7F89E">
                        <w:pPr>
                          <w:rPr>
                            <w:rFonts w:ascii="Arial"/>
                            <w:sz w:val="21"/>
                          </w:rPr>
                        </w:pPr>
                      </w:p>
                    </w:tc>
                    <w:tc>
                      <w:tcPr>
                        <w:tcW w:w="229" w:type="dxa"/>
                        <w:tcBorders>
                          <w:top w:val="nil"/>
                          <w:bottom w:val="nil"/>
                        </w:tcBorders>
                        <w:vAlign w:val="top"/>
                      </w:tcPr>
                      <w:p w14:paraId="758E831F">
                        <w:pPr>
                          <w:rPr>
                            <w:rFonts w:ascii="Arial"/>
                            <w:sz w:val="21"/>
                          </w:rPr>
                        </w:pPr>
                      </w:p>
                    </w:tc>
                    <w:tc>
                      <w:tcPr>
                        <w:tcW w:w="229" w:type="dxa"/>
                        <w:tcBorders>
                          <w:top w:val="nil"/>
                          <w:bottom w:val="nil"/>
                        </w:tcBorders>
                        <w:vAlign w:val="top"/>
                      </w:tcPr>
                      <w:p w14:paraId="505BDD90">
                        <w:pPr>
                          <w:rPr>
                            <w:rFonts w:ascii="Arial"/>
                            <w:sz w:val="21"/>
                          </w:rPr>
                        </w:pPr>
                      </w:p>
                    </w:tc>
                    <w:tc>
                      <w:tcPr>
                        <w:tcW w:w="224" w:type="dxa"/>
                        <w:tcBorders>
                          <w:top w:val="nil"/>
                          <w:bottom w:val="nil"/>
                        </w:tcBorders>
                        <w:vAlign w:val="top"/>
                      </w:tcPr>
                      <w:p w14:paraId="300A9E47">
                        <w:pPr>
                          <w:rPr>
                            <w:rFonts w:ascii="Arial"/>
                            <w:sz w:val="21"/>
                          </w:rPr>
                        </w:pPr>
                      </w:p>
                    </w:tc>
                  </w:tr>
                  <w:tr w14:paraId="0F494D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8" w:hRule="atLeast"/>
                    </w:trPr>
                    <w:tc>
                      <w:tcPr>
                        <w:tcW w:w="883" w:type="dxa"/>
                        <w:vMerge w:val="continue"/>
                        <w:tcBorders>
                          <w:top w:val="nil"/>
                          <w:bottom w:val="nil"/>
                        </w:tcBorders>
                        <w:vAlign w:val="top"/>
                      </w:tcPr>
                      <w:p w14:paraId="7F40F7D4">
                        <w:pPr>
                          <w:rPr>
                            <w:rFonts w:ascii="Arial"/>
                            <w:sz w:val="21"/>
                          </w:rPr>
                        </w:pPr>
                      </w:p>
                    </w:tc>
                    <w:tc>
                      <w:tcPr>
                        <w:tcW w:w="2334" w:type="dxa"/>
                        <w:tcBorders>
                          <w:top w:val="nil"/>
                          <w:bottom w:val="nil"/>
                        </w:tcBorders>
                        <w:vAlign w:val="top"/>
                      </w:tcPr>
                      <w:p w14:paraId="73F96EC6">
                        <w:pPr>
                          <w:pStyle w:val="6"/>
                          <w:spacing w:before="10" w:line="193" w:lineRule="auto"/>
                          <w:ind w:left="84"/>
                          <w:rPr>
                            <w:sz w:val="19"/>
                            <w:szCs w:val="19"/>
                          </w:rPr>
                        </w:pPr>
                        <w:r>
                          <w:rPr>
                            <w:b/>
                            <w:bCs/>
                            <w:sz w:val="19"/>
                            <w:szCs w:val="19"/>
                          </w:rPr>
                          <w:t>3.排列</w:t>
                        </w:r>
                      </w:p>
                      <w:p w14:paraId="00A8313D">
                        <w:pPr>
                          <w:pStyle w:val="6"/>
                          <w:spacing w:line="194" w:lineRule="auto"/>
                          <w:ind w:left="84"/>
                          <w:rPr>
                            <w:sz w:val="19"/>
                            <w:szCs w:val="19"/>
                          </w:rPr>
                        </w:pPr>
                        <w:r>
                          <w:rPr>
                            <w:b/>
                            <w:bCs/>
                            <w:spacing w:val="-3"/>
                            <w:sz w:val="19"/>
                            <w:szCs w:val="19"/>
                          </w:rPr>
                          <w:t>(1)任务分析</w:t>
                        </w:r>
                      </w:p>
                      <w:p w14:paraId="662BC96C">
                        <w:pPr>
                          <w:pStyle w:val="6"/>
                          <w:spacing w:line="174" w:lineRule="auto"/>
                          <w:ind w:left="84"/>
                          <w:rPr>
                            <w:sz w:val="19"/>
                            <w:szCs w:val="19"/>
                          </w:rPr>
                        </w:pPr>
                        <w:r>
                          <w:rPr>
                            <w:b/>
                            <w:bCs/>
                            <w:spacing w:val="-3"/>
                            <w:sz w:val="19"/>
                            <w:szCs w:val="19"/>
                          </w:rPr>
                          <w:t>(2)工作步骤</w:t>
                        </w:r>
                      </w:p>
                    </w:tc>
                    <w:tc>
                      <w:tcPr>
                        <w:tcW w:w="220" w:type="dxa"/>
                        <w:tcBorders>
                          <w:top w:val="nil"/>
                          <w:bottom w:val="nil"/>
                        </w:tcBorders>
                        <w:vAlign w:val="top"/>
                      </w:tcPr>
                      <w:p w14:paraId="26C0D048">
                        <w:pPr>
                          <w:rPr>
                            <w:rFonts w:ascii="Arial"/>
                            <w:sz w:val="21"/>
                          </w:rPr>
                        </w:pPr>
                      </w:p>
                    </w:tc>
                    <w:tc>
                      <w:tcPr>
                        <w:tcW w:w="229" w:type="dxa"/>
                        <w:tcBorders>
                          <w:top w:val="nil"/>
                          <w:bottom w:val="nil"/>
                        </w:tcBorders>
                        <w:vAlign w:val="top"/>
                      </w:tcPr>
                      <w:p w14:paraId="5C6CE12F">
                        <w:pPr>
                          <w:rPr>
                            <w:rFonts w:ascii="Arial"/>
                            <w:sz w:val="21"/>
                          </w:rPr>
                        </w:pPr>
                      </w:p>
                    </w:tc>
                    <w:tc>
                      <w:tcPr>
                        <w:tcW w:w="229" w:type="dxa"/>
                        <w:tcBorders>
                          <w:top w:val="nil"/>
                          <w:bottom w:val="nil"/>
                        </w:tcBorders>
                        <w:vAlign w:val="top"/>
                      </w:tcPr>
                      <w:p w14:paraId="6B859BAD">
                        <w:pPr>
                          <w:rPr>
                            <w:rFonts w:ascii="Arial"/>
                            <w:sz w:val="21"/>
                          </w:rPr>
                        </w:pPr>
                      </w:p>
                    </w:tc>
                    <w:tc>
                      <w:tcPr>
                        <w:tcW w:w="224" w:type="dxa"/>
                        <w:tcBorders>
                          <w:top w:val="nil"/>
                          <w:bottom w:val="nil"/>
                        </w:tcBorders>
                        <w:vAlign w:val="top"/>
                      </w:tcPr>
                      <w:p w14:paraId="27ED9C66">
                        <w:pPr>
                          <w:rPr>
                            <w:rFonts w:ascii="Arial"/>
                            <w:sz w:val="21"/>
                          </w:rPr>
                        </w:pPr>
                      </w:p>
                    </w:tc>
                  </w:tr>
                  <w:tr w14:paraId="448E2A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83" w:type="dxa"/>
                        <w:vMerge w:val="continue"/>
                        <w:tcBorders>
                          <w:top w:val="nil"/>
                          <w:bottom w:val="nil"/>
                        </w:tcBorders>
                        <w:vAlign w:val="top"/>
                      </w:tcPr>
                      <w:p w14:paraId="2F461A82">
                        <w:pPr>
                          <w:rPr>
                            <w:rFonts w:ascii="Arial"/>
                            <w:sz w:val="21"/>
                          </w:rPr>
                        </w:pPr>
                      </w:p>
                    </w:tc>
                    <w:tc>
                      <w:tcPr>
                        <w:tcW w:w="2334" w:type="dxa"/>
                        <w:tcBorders>
                          <w:top w:val="nil"/>
                          <w:bottom w:val="nil"/>
                        </w:tcBorders>
                        <w:vAlign w:val="top"/>
                      </w:tcPr>
                      <w:p w14:paraId="1B49BE8D">
                        <w:pPr>
                          <w:pStyle w:val="6"/>
                          <w:spacing w:before="11" w:line="194" w:lineRule="auto"/>
                          <w:ind w:left="84"/>
                          <w:rPr>
                            <w:sz w:val="19"/>
                            <w:szCs w:val="19"/>
                          </w:rPr>
                        </w:pPr>
                        <w:r>
                          <w:rPr>
                            <w:b/>
                            <w:bCs/>
                            <w:spacing w:val="-4"/>
                            <w:sz w:val="19"/>
                            <w:szCs w:val="19"/>
                          </w:rPr>
                          <w:t>4.编号</w:t>
                        </w:r>
                      </w:p>
                      <w:p w14:paraId="771F7D10">
                        <w:pPr>
                          <w:pStyle w:val="6"/>
                          <w:spacing w:line="194" w:lineRule="auto"/>
                          <w:ind w:left="84"/>
                          <w:rPr>
                            <w:sz w:val="19"/>
                            <w:szCs w:val="19"/>
                          </w:rPr>
                        </w:pPr>
                        <w:r>
                          <w:rPr>
                            <w:b/>
                            <w:bCs/>
                            <w:spacing w:val="-3"/>
                            <w:sz w:val="19"/>
                            <w:szCs w:val="19"/>
                          </w:rPr>
                          <w:t>(1)任务分析</w:t>
                        </w:r>
                      </w:p>
                      <w:p w14:paraId="3D30C281">
                        <w:pPr>
                          <w:pStyle w:val="6"/>
                          <w:spacing w:line="173" w:lineRule="auto"/>
                          <w:ind w:left="84"/>
                          <w:rPr>
                            <w:sz w:val="19"/>
                            <w:szCs w:val="19"/>
                          </w:rPr>
                        </w:pPr>
                        <w:r>
                          <w:rPr>
                            <w:b/>
                            <w:bCs/>
                            <w:spacing w:val="-3"/>
                            <w:sz w:val="19"/>
                            <w:szCs w:val="19"/>
                          </w:rPr>
                          <w:t>(2)工作步骤</w:t>
                        </w:r>
                      </w:p>
                    </w:tc>
                    <w:tc>
                      <w:tcPr>
                        <w:tcW w:w="220" w:type="dxa"/>
                        <w:tcBorders>
                          <w:top w:val="nil"/>
                          <w:bottom w:val="nil"/>
                        </w:tcBorders>
                        <w:vAlign w:val="top"/>
                      </w:tcPr>
                      <w:p w14:paraId="69468C97">
                        <w:pPr>
                          <w:rPr>
                            <w:rFonts w:ascii="Arial"/>
                            <w:sz w:val="21"/>
                          </w:rPr>
                        </w:pPr>
                      </w:p>
                    </w:tc>
                    <w:tc>
                      <w:tcPr>
                        <w:tcW w:w="229" w:type="dxa"/>
                        <w:tcBorders>
                          <w:top w:val="nil"/>
                          <w:bottom w:val="nil"/>
                        </w:tcBorders>
                        <w:vAlign w:val="top"/>
                      </w:tcPr>
                      <w:p w14:paraId="3FBFB63A">
                        <w:pPr>
                          <w:rPr>
                            <w:rFonts w:ascii="Arial"/>
                            <w:sz w:val="21"/>
                          </w:rPr>
                        </w:pPr>
                      </w:p>
                    </w:tc>
                    <w:tc>
                      <w:tcPr>
                        <w:tcW w:w="229" w:type="dxa"/>
                        <w:tcBorders>
                          <w:top w:val="nil"/>
                          <w:bottom w:val="nil"/>
                        </w:tcBorders>
                        <w:vAlign w:val="top"/>
                      </w:tcPr>
                      <w:p w14:paraId="1FFC53D6">
                        <w:pPr>
                          <w:rPr>
                            <w:rFonts w:ascii="Arial"/>
                            <w:sz w:val="21"/>
                          </w:rPr>
                        </w:pPr>
                      </w:p>
                    </w:tc>
                    <w:tc>
                      <w:tcPr>
                        <w:tcW w:w="224" w:type="dxa"/>
                        <w:tcBorders>
                          <w:top w:val="nil"/>
                          <w:bottom w:val="nil"/>
                        </w:tcBorders>
                        <w:vAlign w:val="top"/>
                      </w:tcPr>
                      <w:p w14:paraId="4F8913CA">
                        <w:pPr>
                          <w:rPr>
                            <w:rFonts w:ascii="Arial"/>
                            <w:sz w:val="21"/>
                          </w:rPr>
                        </w:pPr>
                      </w:p>
                    </w:tc>
                  </w:tr>
                  <w:tr w14:paraId="27F39D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83" w:type="dxa"/>
                        <w:vMerge w:val="continue"/>
                        <w:tcBorders>
                          <w:top w:val="nil"/>
                          <w:bottom w:val="nil"/>
                        </w:tcBorders>
                        <w:vAlign w:val="top"/>
                      </w:tcPr>
                      <w:p w14:paraId="0D895230">
                        <w:pPr>
                          <w:rPr>
                            <w:rFonts w:ascii="Arial"/>
                            <w:sz w:val="21"/>
                          </w:rPr>
                        </w:pPr>
                      </w:p>
                    </w:tc>
                    <w:tc>
                      <w:tcPr>
                        <w:tcW w:w="2334" w:type="dxa"/>
                        <w:tcBorders>
                          <w:top w:val="nil"/>
                          <w:bottom w:val="nil"/>
                        </w:tcBorders>
                        <w:vAlign w:val="top"/>
                      </w:tcPr>
                      <w:p w14:paraId="036BDC69">
                        <w:pPr>
                          <w:pStyle w:val="6"/>
                          <w:spacing w:before="12" w:line="194" w:lineRule="auto"/>
                          <w:ind w:left="84"/>
                          <w:rPr>
                            <w:sz w:val="19"/>
                            <w:szCs w:val="19"/>
                          </w:rPr>
                        </w:pPr>
                        <w:r>
                          <w:rPr>
                            <w:b/>
                            <w:bCs/>
                            <w:spacing w:val="-5"/>
                            <w:sz w:val="19"/>
                            <w:szCs w:val="19"/>
                          </w:rPr>
                          <w:t>5.装订</w:t>
                        </w:r>
                      </w:p>
                      <w:p w14:paraId="16021351">
                        <w:pPr>
                          <w:pStyle w:val="6"/>
                          <w:spacing w:line="194" w:lineRule="auto"/>
                          <w:ind w:left="84"/>
                          <w:rPr>
                            <w:sz w:val="19"/>
                            <w:szCs w:val="19"/>
                          </w:rPr>
                        </w:pPr>
                        <w:r>
                          <w:rPr>
                            <w:b/>
                            <w:bCs/>
                            <w:spacing w:val="-3"/>
                            <w:sz w:val="19"/>
                            <w:szCs w:val="19"/>
                          </w:rPr>
                          <w:t>(1)任务分析</w:t>
                        </w:r>
                      </w:p>
                      <w:p w14:paraId="15E11725">
                        <w:pPr>
                          <w:pStyle w:val="6"/>
                          <w:spacing w:line="172" w:lineRule="auto"/>
                          <w:ind w:left="84"/>
                          <w:rPr>
                            <w:sz w:val="19"/>
                            <w:szCs w:val="19"/>
                          </w:rPr>
                        </w:pPr>
                        <w:r>
                          <w:rPr>
                            <w:b/>
                            <w:bCs/>
                            <w:spacing w:val="-3"/>
                            <w:sz w:val="19"/>
                            <w:szCs w:val="19"/>
                          </w:rPr>
                          <w:t>(2)工作步骤</w:t>
                        </w:r>
                      </w:p>
                    </w:tc>
                    <w:tc>
                      <w:tcPr>
                        <w:tcW w:w="220" w:type="dxa"/>
                        <w:tcBorders>
                          <w:top w:val="nil"/>
                          <w:bottom w:val="nil"/>
                        </w:tcBorders>
                        <w:vAlign w:val="top"/>
                      </w:tcPr>
                      <w:p w14:paraId="17A28745">
                        <w:pPr>
                          <w:rPr>
                            <w:rFonts w:ascii="Arial"/>
                            <w:sz w:val="21"/>
                          </w:rPr>
                        </w:pPr>
                      </w:p>
                    </w:tc>
                    <w:tc>
                      <w:tcPr>
                        <w:tcW w:w="229" w:type="dxa"/>
                        <w:tcBorders>
                          <w:top w:val="nil"/>
                          <w:bottom w:val="nil"/>
                        </w:tcBorders>
                        <w:vAlign w:val="top"/>
                      </w:tcPr>
                      <w:p w14:paraId="6B8A7B79">
                        <w:pPr>
                          <w:rPr>
                            <w:rFonts w:ascii="Arial"/>
                            <w:sz w:val="21"/>
                          </w:rPr>
                        </w:pPr>
                      </w:p>
                    </w:tc>
                    <w:tc>
                      <w:tcPr>
                        <w:tcW w:w="229" w:type="dxa"/>
                        <w:tcBorders>
                          <w:top w:val="nil"/>
                          <w:bottom w:val="nil"/>
                        </w:tcBorders>
                        <w:vAlign w:val="top"/>
                      </w:tcPr>
                      <w:p w14:paraId="508D2688">
                        <w:pPr>
                          <w:rPr>
                            <w:rFonts w:ascii="Arial"/>
                            <w:sz w:val="21"/>
                          </w:rPr>
                        </w:pPr>
                      </w:p>
                    </w:tc>
                    <w:tc>
                      <w:tcPr>
                        <w:tcW w:w="224" w:type="dxa"/>
                        <w:tcBorders>
                          <w:top w:val="nil"/>
                          <w:bottom w:val="nil"/>
                        </w:tcBorders>
                        <w:vAlign w:val="top"/>
                      </w:tcPr>
                      <w:p w14:paraId="47ECC9F4">
                        <w:pPr>
                          <w:rPr>
                            <w:rFonts w:ascii="Arial"/>
                            <w:sz w:val="21"/>
                          </w:rPr>
                        </w:pPr>
                      </w:p>
                    </w:tc>
                  </w:tr>
                  <w:tr w14:paraId="71D166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83" w:type="dxa"/>
                        <w:vMerge w:val="continue"/>
                        <w:tcBorders>
                          <w:top w:val="nil"/>
                          <w:bottom w:val="nil"/>
                        </w:tcBorders>
                        <w:vAlign w:val="top"/>
                      </w:tcPr>
                      <w:p w14:paraId="500AD73A">
                        <w:pPr>
                          <w:rPr>
                            <w:rFonts w:ascii="Arial"/>
                            <w:sz w:val="21"/>
                          </w:rPr>
                        </w:pPr>
                      </w:p>
                    </w:tc>
                    <w:tc>
                      <w:tcPr>
                        <w:tcW w:w="2334" w:type="dxa"/>
                        <w:tcBorders>
                          <w:top w:val="nil"/>
                          <w:bottom w:val="nil"/>
                        </w:tcBorders>
                        <w:vAlign w:val="top"/>
                      </w:tcPr>
                      <w:p w14:paraId="6F2A6F7F">
                        <w:pPr>
                          <w:pStyle w:val="6"/>
                          <w:spacing w:before="13" w:line="194" w:lineRule="auto"/>
                          <w:ind w:left="84"/>
                          <w:rPr>
                            <w:sz w:val="19"/>
                            <w:szCs w:val="19"/>
                          </w:rPr>
                        </w:pPr>
                        <w:r>
                          <w:rPr>
                            <w:b/>
                            <w:bCs/>
                            <w:spacing w:val="5"/>
                            <w:sz w:val="19"/>
                            <w:szCs w:val="19"/>
                          </w:rPr>
                          <w:t>6.编目</w:t>
                        </w:r>
                      </w:p>
                      <w:p w14:paraId="059C8D2B">
                        <w:pPr>
                          <w:pStyle w:val="6"/>
                          <w:spacing w:line="194" w:lineRule="auto"/>
                          <w:ind w:left="84"/>
                          <w:rPr>
                            <w:sz w:val="19"/>
                            <w:szCs w:val="19"/>
                          </w:rPr>
                        </w:pPr>
                        <w:r>
                          <w:rPr>
                            <w:b/>
                            <w:bCs/>
                            <w:spacing w:val="-3"/>
                            <w:sz w:val="19"/>
                            <w:szCs w:val="19"/>
                          </w:rPr>
                          <w:t>(1)任务分析</w:t>
                        </w:r>
                      </w:p>
                      <w:p w14:paraId="057C2664">
                        <w:pPr>
                          <w:pStyle w:val="6"/>
                          <w:spacing w:line="171" w:lineRule="auto"/>
                          <w:ind w:left="84"/>
                          <w:rPr>
                            <w:sz w:val="19"/>
                            <w:szCs w:val="19"/>
                          </w:rPr>
                        </w:pPr>
                        <w:r>
                          <w:rPr>
                            <w:b/>
                            <w:bCs/>
                            <w:spacing w:val="-3"/>
                            <w:sz w:val="19"/>
                            <w:szCs w:val="19"/>
                          </w:rPr>
                          <w:t>(2)工作步骤</w:t>
                        </w:r>
                      </w:p>
                    </w:tc>
                    <w:tc>
                      <w:tcPr>
                        <w:tcW w:w="220" w:type="dxa"/>
                        <w:tcBorders>
                          <w:top w:val="nil"/>
                          <w:bottom w:val="nil"/>
                        </w:tcBorders>
                        <w:vAlign w:val="top"/>
                      </w:tcPr>
                      <w:p w14:paraId="0EB3B5E6">
                        <w:pPr>
                          <w:rPr>
                            <w:rFonts w:ascii="Arial"/>
                            <w:sz w:val="21"/>
                          </w:rPr>
                        </w:pPr>
                      </w:p>
                    </w:tc>
                    <w:tc>
                      <w:tcPr>
                        <w:tcW w:w="229" w:type="dxa"/>
                        <w:tcBorders>
                          <w:top w:val="nil"/>
                          <w:bottom w:val="nil"/>
                        </w:tcBorders>
                        <w:vAlign w:val="top"/>
                      </w:tcPr>
                      <w:p w14:paraId="3A782F7A">
                        <w:pPr>
                          <w:rPr>
                            <w:rFonts w:ascii="Arial"/>
                            <w:sz w:val="21"/>
                          </w:rPr>
                        </w:pPr>
                      </w:p>
                    </w:tc>
                    <w:tc>
                      <w:tcPr>
                        <w:tcW w:w="229" w:type="dxa"/>
                        <w:tcBorders>
                          <w:top w:val="nil"/>
                          <w:bottom w:val="nil"/>
                        </w:tcBorders>
                        <w:vAlign w:val="top"/>
                      </w:tcPr>
                      <w:p w14:paraId="5D6A580A">
                        <w:pPr>
                          <w:rPr>
                            <w:rFonts w:ascii="Arial"/>
                            <w:sz w:val="21"/>
                          </w:rPr>
                        </w:pPr>
                      </w:p>
                    </w:tc>
                    <w:tc>
                      <w:tcPr>
                        <w:tcW w:w="224" w:type="dxa"/>
                        <w:tcBorders>
                          <w:top w:val="nil"/>
                          <w:bottom w:val="nil"/>
                        </w:tcBorders>
                        <w:vAlign w:val="top"/>
                      </w:tcPr>
                      <w:p w14:paraId="1AAF2EFA">
                        <w:pPr>
                          <w:rPr>
                            <w:rFonts w:ascii="Arial"/>
                            <w:sz w:val="21"/>
                          </w:rPr>
                        </w:pPr>
                      </w:p>
                    </w:tc>
                  </w:tr>
                  <w:tr w14:paraId="102555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0" w:hRule="atLeast"/>
                    </w:trPr>
                    <w:tc>
                      <w:tcPr>
                        <w:tcW w:w="883" w:type="dxa"/>
                        <w:vMerge w:val="continue"/>
                        <w:tcBorders>
                          <w:top w:val="nil"/>
                          <w:bottom w:val="nil"/>
                        </w:tcBorders>
                        <w:vAlign w:val="top"/>
                      </w:tcPr>
                      <w:p w14:paraId="047B908A">
                        <w:pPr>
                          <w:rPr>
                            <w:rFonts w:ascii="Arial"/>
                            <w:sz w:val="21"/>
                          </w:rPr>
                        </w:pPr>
                      </w:p>
                    </w:tc>
                    <w:tc>
                      <w:tcPr>
                        <w:tcW w:w="2334" w:type="dxa"/>
                        <w:tcBorders>
                          <w:top w:val="nil"/>
                          <w:bottom w:val="nil"/>
                        </w:tcBorders>
                        <w:vAlign w:val="top"/>
                      </w:tcPr>
                      <w:p w14:paraId="5AA53D29">
                        <w:pPr>
                          <w:pStyle w:val="6"/>
                          <w:spacing w:before="14" w:line="194" w:lineRule="auto"/>
                          <w:ind w:left="84"/>
                          <w:rPr>
                            <w:sz w:val="19"/>
                            <w:szCs w:val="19"/>
                          </w:rPr>
                        </w:pPr>
                        <w:r>
                          <w:rPr>
                            <w:b/>
                            <w:bCs/>
                            <w:spacing w:val="-5"/>
                            <w:sz w:val="19"/>
                            <w:szCs w:val="19"/>
                          </w:rPr>
                          <w:t>7.装盒</w:t>
                        </w:r>
                      </w:p>
                      <w:p w14:paraId="4B2030F0">
                        <w:pPr>
                          <w:pStyle w:val="6"/>
                          <w:spacing w:line="194" w:lineRule="auto"/>
                          <w:ind w:left="84"/>
                          <w:rPr>
                            <w:sz w:val="19"/>
                            <w:szCs w:val="19"/>
                          </w:rPr>
                        </w:pPr>
                        <w:r>
                          <w:rPr>
                            <w:b/>
                            <w:bCs/>
                            <w:spacing w:val="-3"/>
                            <w:sz w:val="19"/>
                            <w:szCs w:val="19"/>
                          </w:rPr>
                          <w:t>(1)任务分析</w:t>
                        </w:r>
                      </w:p>
                      <w:p w14:paraId="0847A043">
                        <w:pPr>
                          <w:pStyle w:val="6"/>
                          <w:spacing w:line="171" w:lineRule="auto"/>
                          <w:ind w:left="84"/>
                          <w:rPr>
                            <w:sz w:val="19"/>
                            <w:szCs w:val="19"/>
                          </w:rPr>
                        </w:pPr>
                        <w:r>
                          <w:rPr>
                            <w:b/>
                            <w:bCs/>
                            <w:spacing w:val="-3"/>
                            <w:sz w:val="19"/>
                            <w:szCs w:val="19"/>
                          </w:rPr>
                          <w:t>(2)工作步骤</w:t>
                        </w:r>
                      </w:p>
                    </w:tc>
                    <w:tc>
                      <w:tcPr>
                        <w:tcW w:w="220" w:type="dxa"/>
                        <w:tcBorders>
                          <w:top w:val="nil"/>
                          <w:bottom w:val="nil"/>
                        </w:tcBorders>
                        <w:vAlign w:val="top"/>
                      </w:tcPr>
                      <w:p w14:paraId="6D9BF194">
                        <w:pPr>
                          <w:rPr>
                            <w:rFonts w:ascii="Arial"/>
                            <w:sz w:val="21"/>
                          </w:rPr>
                        </w:pPr>
                      </w:p>
                    </w:tc>
                    <w:tc>
                      <w:tcPr>
                        <w:tcW w:w="229" w:type="dxa"/>
                        <w:tcBorders>
                          <w:top w:val="nil"/>
                          <w:bottom w:val="nil"/>
                        </w:tcBorders>
                        <w:vAlign w:val="top"/>
                      </w:tcPr>
                      <w:p w14:paraId="51A39488">
                        <w:pPr>
                          <w:rPr>
                            <w:rFonts w:ascii="Arial"/>
                            <w:sz w:val="21"/>
                          </w:rPr>
                        </w:pPr>
                      </w:p>
                    </w:tc>
                    <w:tc>
                      <w:tcPr>
                        <w:tcW w:w="229" w:type="dxa"/>
                        <w:tcBorders>
                          <w:top w:val="nil"/>
                          <w:bottom w:val="nil"/>
                        </w:tcBorders>
                        <w:vAlign w:val="top"/>
                      </w:tcPr>
                      <w:p w14:paraId="316865CB">
                        <w:pPr>
                          <w:rPr>
                            <w:rFonts w:ascii="Arial"/>
                            <w:sz w:val="21"/>
                          </w:rPr>
                        </w:pPr>
                      </w:p>
                    </w:tc>
                    <w:tc>
                      <w:tcPr>
                        <w:tcW w:w="224" w:type="dxa"/>
                        <w:tcBorders>
                          <w:top w:val="nil"/>
                          <w:bottom w:val="nil"/>
                        </w:tcBorders>
                        <w:vAlign w:val="top"/>
                      </w:tcPr>
                      <w:p w14:paraId="5986D4E4">
                        <w:pPr>
                          <w:rPr>
                            <w:rFonts w:ascii="Arial"/>
                            <w:sz w:val="21"/>
                          </w:rPr>
                        </w:pPr>
                      </w:p>
                    </w:tc>
                  </w:tr>
                  <w:tr w14:paraId="112373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33" w:hRule="atLeast"/>
                    </w:trPr>
                    <w:tc>
                      <w:tcPr>
                        <w:tcW w:w="883" w:type="dxa"/>
                        <w:vMerge w:val="continue"/>
                        <w:tcBorders>
                          <w:top w:val="nil"/>
                        </w:tcBorders>
                        <w:vAlign w:val="top"/>
                      </w:tcPr>
                      <w:p w14:paraId="3EBA1E04">
                        <w:pPr>
                          <w:rPr>
                            <w:rFonts w:ascii="Arial"/>
                            <w:sz w:val="21"/>
                          </w:rPr>
                        </w:pPr>
                      </w:p>
                    </w:tc>
                    <w:tc>
                      <w:tcPr>
                        <w:tcW w:w="2334" w:type="dxa"/>
                        <w:tcBorders>
                          <w:top w:val="nil"/>
                        </w:tcBorders>
                        <w:vAlign w:val="top"/>
                      </w:tcPr>
                      <w:p w14:paraId="04E68A7A">
                        <w:pPr>
                          <w:pStyle w:val="6"/>
                          <w:spacing w:before="15" w:line="192" w:lineRule="auto"/>
                          <w:ind w:left="84"/>
                          <w:rPr>
                            <w:sz w:val="19"/>
                            <w:szCs w:val="19"/>
                          </w:rPr>
                        </w:pPr>
                        <w:r>
                          <w:rPr>
                            <w:b/>
                            <w:bCs/>
                            <w:sz w:val="19"/>
                            <w:szCs w:val="19"/>
                          </w:rPr>
                          <w:t>8.知识平台</w:t>
                        </w:r>
                      </w:p>
                      <w:p w14:paraId="5D988384">
                        <w:pPr>
                          <w:pStyle w:val="6"/>
                          <w:spacing w:before="1" w:line="194" w:lineRule="auto"/>
                          <w:ind w:left="83" w:right="69" w:hanging="19"/>
                          <w:rPr>
                            <w:sz w:val="19"/>
                            <w:szCs w:val="19"/>
                          </w:rPr>
                        </w:pPr>
                        <w:r>
                          <w:rPr>
                            <w:b/>
                            <w:bCs/>
                            <w:spacing w:val="-2"/>
                            <w:sz w:val="19"/>
                            <w:szCs w:val="19"/>
                          </w:rPr>
                          <w:t>(1)文书与档案管理工作的</w:t>
                        </w:r>
                        <w:r>
                          <w:rPr>
                            <w:spacing w:val="3"/>
                            <w:sz w:val="19"/>
                            <w:szCs w:val="19"/>
                          </w:rPr>
                          <w:t xml:space="preserve"> </w:t>
                        </w:r>
                        <w:r>
                          <w:rPr>
                            <w:b/>
                            <w:bCs/>
                            <w:spacing w:val="-4"/>
                            <w:sz w:val="19"/>
                            <w:szCs w:val="19"/>
                          </w:rPr>
                          <w:t>职业内涵</w:t>
                        </w:r>
                      </w:p>
                      <w:p w14:paraId="74CA8321">
                        <w:pPr>
                          <w:pStyle w:val="6"/>
                          <w:spacing w:line="193" w:lineRule="auto"/>
                          <w:jc w:val="right"/>
                          <w:rPr>
                            <w:sz w:val="19"/>
                            <w:szCs w:val="19"/>
                          </w:rPr>
                        </w:pPr>
                        <w:r>
                          <w:rPr>
                            <w:b/>
                            <w:bCs/>
                            <w:spacing w:val="-13"/>
                            <w:sz w:val="19"/>
                            <w:szCs w:val="19"/>
                          </w:rPr>
                          <w:t>(2)</w:t>
                        </w:r>
                        <w:r>
                          <w:rPr>
                            <w:b/>
                            <w:bCs/>
                            <w:spacing w:val="-12"/>
                            <w:sz w:val="19"/>
                            <w:szCs w:val="19"/>
                          </w:rPr>
                          <w:t>归档文件整理的相关概</w:t>
                        </w:r>
                        <w:r>
                          <w:rPr>
                            <w:b/>
                            <w:bCs/>
                            <w:spacing w:val="-9"/>
                            <w:sz w:val="19"/>
                            <w:szCs w:val="19"/>
                          </w:rPr>
                          <w:t>念</w:t>
                        </w:r>
                      </w:p>
                      <w:p w14:paraId="18628226">
                        <w:pPr>
                          <w:pStyle w:val="6"/>
                          <w:spacing w:line="194" w:lineRule="auto"/>
                          <w:jc w:val="right"/>
                          <w:rPr>
                            <w:sz w:val="19"/>
                            <w:szCs w:val="19"/>
                          </w:rPr>
                        </w:pPr>
                        <w:r>
                          <w:rPr>
                            <w:b/>
                            <w:bCs/>
                            <w:spacing w:val="-12"/>
                            <w:sz w:val="19"/>
                            <w:szCs w:val="19"/>
                          </w:rPr>
                          <w:t>(3)归档文件整理的基本原则</w:t>
                        </w:r>
                      </w:p>
                      <w:p w14:paraId="585039E4">
                        <w:pPr>
                          <w:pStyle w:val="6"/>
                          <w:spacing w:line="203" w:lineRule="auto"/>
                          <w:ind w:left="84"/>
                          <w:rPr>
                            <w:sz w:val="19"/>
                            <w:szCs w:val="19"/>
                          </w:rPr>
                        </w:pPr>
                        <w:r>
                          <w:rPr>
                            <w:b/>
                            <w:bCs/>
                            <w:spacing w:val="-1"/>
                            <w:sz w:val="19"/>
                            <w:szCs w:val="19"/>
                          </w:rPr>
                          <w:t>(4)归档范围</w:t>
                        </w:r>
                      </w:p>
                    </w:tc>
                    <w:tc>
                      <w:tcPr>
                        <w:tcW w:w="220" w:type="dxa"/>
                        <w:tcBorders>
                          <w:top w:val="nil"/>
                        </w:tcBorders>
                        <w:vAlign w:val="top"/>
                      </w:tcPr>
                      <w:p w14:paraId="4C322D24">
                        <w:pPr>
                          <w:rPr>
                            <w:rFonts w:ascii="Arial"/>
                            <w:sz w:val="21"/>
                          </w:rPr>
                        </w:pPr>
                      </w:p>
                    </w:tc>
                    <w:tc>
                      <w:tcPr>
                        <w:tcW w:w="229" w:type="dxa"/>
                        <w:tcBorders>
                          <w:top w:val="nil"/>
                        </w:tcBorders>
                        <w:vAlign w:val="top"/>
                      </w:tcPr>
                      <w:p w14:paraId="4C283318">
                        <w:pPr>
                          <w:rPr>
                            <w:rFonts w:ascii="Arial"/>
                            <w:sz w:val="21"/>
                          </w:rPr>
                        </w:pPr>
                      </w:p>
                    </w:tc>
                    <w:tc>
                      <w:tcPr>
                        <w:tcW w:w="229" w:type="dxa"/>
                        <w:tcBorders>
                          <w:top w:val="nil"/>
                        </w:tcBorders>
                        <w:vAlign w:val="top"/>
                      </w:tcPr>
                      <w:p w14:paraId="455D0179">
                        <w:pPr>
                          <w:rPr>
                            <w:rFonts w:ascii="Arial"/>
                            <w:sz w:val="21"/>
                          </w:rPr>
                        </w:pPr>
                      </w:p>
                    </w:tc>
                    <w:tc>
                      <w:tcPr>
                        <w:tcW w:w="224" w:type="dxa"/>
                        <w:tcBorders>
                          <w:top w:val="nil"/>
                        </w:tcBorders>
                        <w:vAlign w:val="top"/>
                      </w:tcPr>
                      <w:p w14:paraId="17F1B78C">
                        <w:pPr>
                          <w:rPr>
                            <w:rFonts w:ascii="Arial"/>
                            <w:sz w:val="21"/>
                          </w:rPr>
                        </w:pPr>
                      </w:p>
                    </w:tc>
                  </w:tr>
                </w:tbl>
                <w:p w14:paraId="447F5ED9">
                  <w:pPr>
                    <w:pStyle w:val="2"/>
                  </w:pPr>
                </w:p>
              </w:txbxContent>
            </v:textbox>
          </v:shape>
        </w:pict>
      </w:r>
    </w:p>
    <w:p w14:paraId="6D256FD1">
      <w:pPr>
        <w:spacing w:before="12"/>
      </w:pPr>
    </w:p>
    <w:p w14:paraId="29E4D6CF">
      <w:pPr>
        <w:spacing w:before="12"/>
      </w:pPr>
    </w:p>
    <w:p w14:paraId="4E6353DB">
      <w:pPr>
        <w:spacing w:before="12"/>
      </w:pPr>
    </w:p>
    <w:tbl>
      <w:tblPr>
        <w:tblStyle w:val="5"/>
        <w:tblW w:w="4140" w:type="dxa"/>
        <w:tblInd w:w="7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24"/>
        <w:gridCol w:w="230"/>
        <w:gridCol w:w="220"/>
        <w:gridCol w:w="229"/>
        <w:gridCol w:w="244"/>
      </w:tblGrid>
      <w:tr w14:paraId="4D6634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893" w:type="dxa"/>
            <w:vMerge w:val="restart"/>
            <w:tcBorders>
              <w:bottom w:val="nil"/>
            </w:tcBorders>
            <w:vAlign w:val="top"/>
          </w:tcPr>
          <w:p w14:paraId="0DFC8155">
            <w:pPr>
              <w:pStyle w:val="6"/>
              <w:spacing w:before="80" w:line="224" w:lineRule="auto"/>
              <w:ind w:left="247" w:right="1" w:hanging="230"/>
              <w:rPr>
                <w:sz w:val="19"/>
                <w:szCs w:val="19"/>
              </w:rPr>
            </w:pPr>
            <w:r>
              <w:rPr>
                <w:b/>
                <w:bCs/>
                <w:spacing w:val="-22"/>
                <w:sz w:val="19"/>
                <w:szCs w:val="19"/>
              </w:rPr>
              <w:t>知识与技</w:t>
            </w:r>
            <w:r>
              <w:rPr>
                <w:b/>
                <w:bCs/>
                <w:spacing w:val="-12"/>
                <w:sz w:val="19"/>
                <w:szCs w:val="19"/>
              </w:rPr>
              <w:t>能</w:t>
            </w:r>
            <w:r>
              <w:rPr>
                <w:spacing w:val="2"/>
                <w:sz w:val="19"/>
                <w:szCs w:val="19"/>
              </w:rPr>
              <w:t xml:space="preserve"> </w:t>
            </w:r>
            <w:r>
              <w:rPr>
                <w:b/>
                <w:bCs/>
                <w:spacing w:val="-5"/>
                <w:sz w:val="19"/>
                <w:szCs w:val="19"/>
              </w:rPr>
              <w:t>要点</w:t>
            </w:r>
          </w:p>
        </w:tc>
        <w:tc>
          <w:tcPr>
            <w:tcW w:w="2324" w:type="dxa"/>
            <w:vMerge w:val="restart"/>
            <w:tcBorders>
              <w:bottom w:val="nil"/>
            </w:tcBorders>
            <w:vAlign w:val="top"/>
          </w:tcPr>
          <w:p w14:paraId="36C28D8A">
            <w:pPr>
              <w:pStyle w:val="6"/>
              <w:spacing w:before="190" w:line="219" w:lineRule="auto"/>
              <w:ind w:left="854"/>
              <w:rPr>
                <w:sz w:val="19"/>
                <w:szCs w:val="19"/>
              </w:rPr>
            </w:pPr>
            <w:r>
              <w:rPr>
                <w:b/>
                <w:bCs/>
                <w:spacing w:val="5"/>
                <w:sz w:val="19"/>
                <w:szCs w:val="19"/>
              </w:rPr>
              <w:t>考试条目</w:t>
            </w:r>
          </w:p>
        </w:tc>
        <w:tc>
          <w:tcPr>
            <w:tcW w:w="923" w:type="dxa"/>
            <w:gridSpan w:val="4"/>
            <w:vAlign w:val="top"/>
          </w:tcPr>
          <w:p w14:paraId="770A1565">
            <w:pPr>
              <w:pStyle w:val="6"/>
              <w:spacing w:before="39" w:line="219" w:lineRule="auto"/>
              <w:ind w:right="17"/>
              <w:jc w:val="right"/>
              <w:rPr>
                <w:sz w:val="19"/>
                <w:szCs w:val="19"/>
              </w:rPr>
            </w:pPr>
            <w:r>
              <w:rPr>
                <w:b/>
                <w:bCs/>
                <w:spacing w:val="-4"/>
                <w:sz w:val="19"/>
                <w:szCs w:val="19"/>
              </w:rPr>
              <w:t>考试水平</w:t>
            </w:r>
          </w:p>
        </w:tc>
      </w:tr>
      <w:tr w14:paraId="2864CC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0" w:hRule="atLeast"/>
        </w:trPr>
        <w:tc>
          <w:tcPr>
            <w:tcW w:w="893" w:type="dxa"/>
            <w:vMerge w:val="continue"/>
            <w:tcBorders>
              <w:top w:val="nil"/>
            </w:tcBorders>
            <w:vAlign w:val="top"/>
          </w:tcPr>
          <w:p w14:paraId="6AE69EAB">
            <w:pPr>
              <w:rPr>
                <w:rFonts w:ascii="Arial"/>
                <w:sz w:val="21"/>
              </w:rPr>
            </w:pPr>
          </w:p>
        </w:tc>
        <w:tc>
          <w:tcPr>
            <w:tcW w:w="2324" w:type="dxa"/>
            <w:vMerge w:val="continue"/>
            <w:tcBorders>
              <w:top w:val="nil"/>
            </w:tcBorders>
            <w:vAlign w:val="top"/>
          </w:tcPr>
          <w:p w14:paraId="2BA63ABB">
            <w:pPr>
              <w:rPr>
                <w:rFonts w:ascii="Arial"/>
                <w:sz w:val="21"/>
              </w:rPr>
            </w:pPr>
          </w:p>
        </w:tc>
        <w:tc>
          <w:tcPr>
            <w:tcW w:w="230" w:type="dxa"/>
            <w:vAlign w:val="top"/>
          </w:tcPr>
          <w:p w14:paraId="7103A1D3">
            <w:pPr>
              <w:pStyle w:val="6"/>
              <w:spacing w:before="95" w:line="179" w:lineRule="auto"/>
              <w:ind w:left="60"/>
              <w:rPr>
                <w:sz w:val="19"/>
                <w:szCs w:val="19"/>
              </w:rPr>
            </w:pPr>
            <w:r>
              <w:rPr>
                <w:b/>
                <w:bCs/>
                <w:spacing w:val="-2"/>
                <w:sz w:val="19"/>
                <w:szCs w:val="19"/>
              </w:rPr>
              <w:t>A</w:t>
            </w:r>
          </w:p>
        </w:tc>
        <w:tc>
          <w:tcPr>
            <w:tcW w:w="220" w:type="dxa"/>
            <w:vAlign w:val="top"/>
          </w:tcPr>
          <w:p w14:paraId="0B089A07">
            <w:pPr>
              <w:pStyle w:val="6"/>
              <w:spacing w:before="97" w:line="177" w:lineRule="auto"/>
              <w:ind w:left="20"/>
              <w:rPr>
                <w:sz w:val="19"/>
                <w:szCs w:val="19"/>
              </w:rPr>
            </w:pPr>
            <w:r>
              <w:rPr>
                <w:b/>
                <w:bCs/>
                <w:spacing w:val="-2"/>
                <w:sz w:val="19"/>
                <w:szCs w:val="19"/>
              </w:rPr>
              <w:t>B</w:t>
            </w:r>
          </w:p>
        </w:tc>
        <w:tc>
          <w:tcPr>
            <w:tcW w:w="229" w:type="dxa"/>
            <w:vAlign w:val="top"/>
          </w:tcPr>
          <w:p w14:paraId="566D632A">
            <w:pPr>
              <w:pStyle w:val="6"/>
              <w:spacing w:before="96" w:line="178" w:lineRule="auto"/>
              <w:ind w:left="37"/>
              <w:rPr>
                <w:sz w:val="19"/>
                <w:szCs w:val="19"/>
              </w:rPr>
            </w:pPr>
            <w:r>
              <w:rPr>
                <w:sz w:val="19"/>
                <w:szCs w:val="19"/>
              </w:rPr>
              <w:t>C</w:t>
            </w:r>
          </w:p>
        </w:tc>
        <w:tc>
          <w:tcPr>
            <w:tcW w:w="244" w:type="dxa"/>
            <w:vAlign w:val="top"/>
          </w:tcPr>
          <w:p w14:paraId="7A0E60D7">
            <w:pPr>
              <w:pStyle w:val="6"/>
              <w:spacing w:before="97" w:line="177" w:lineRule="auto"/>
              <w:ind w:right="7"/>
              <w:jc w:val="right"/>
              <w:rPr>
                <w:sz w:val="19"/>
                <w:szCs w:val="19"/>
              </w:rPr>
            </w:pPr>
            <w:r>
              <w:rPr>
                <w:b/>
                <w:bCs/>
                <w:spacing w:val="-2"/>
                <w:sz w:val="19"/>
                <w:szCs w:val="19"/>
              </w:rPr>
              <w:t>D</w:t>
            </w:r>
          </w:p>
        </w:tc>
      </w:tr>
      <w:tr w14:paraId="57B66F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74" w:hRule="atLeast"/>
        </w:trPr>
        <w:tc>
          <w:tcPr>
            <w:tcW w:w="893" w:type="dxa"/>
            <w:vAlign w:val="top"/>
          </w:tcPr>
          <w:p w14:paraId="7D0EA322">
            <w:pPr>
              <w:spacing w:line="241" w:lineRule="auto"/>
              <w:rPr>
                <w:rFonts w:ascii="Arial"/>
                <w:sz w:val="21"/>
              </w:rPr>
            </w:pPr>
          </w:p>
          <w:p w14:paraId="6B6E4DC2">
            <w:pPr>
              <w:spacing w:line="241" w:lineRule="auto"/>
              <w:rPr>
                <w:rFonts w:ascii="Arial"/>
                <w:sz w:val="21"/>
              </w:rPr>
            </w:pPr>
          </w:p>
          <w:p w14:paraId="2B2A160D">
            <w:pPr>
              <w:spacing w:line="241" w:lineRule="auto"/>
              <w:rPr>
                <w:rFonts w:ascii="Arial"/>
                <w:sz w:val="21"/>
              </w:rPr>
            </w:pPr>
          </w:p>
          <w:p w14:paraId="49D1B6AA">
            <w:pPr>
              <w:spacing w:line="241" w:lineRule="auto"/>
              <w:rPr>
                <w:rFonts w:ascii="Arial"/>
                <w:sz w:val="21"/>
              </w:rPr>
            </w:pPr>
          </w:p>
          <w:p w14:paraId="3F887E9B">
            <w:pPr>
              <w:spacing w:line="242" w:lineRule="auto"/>
              <w:rPr>
                <w:rFonts w:ascii="Arial"/>
                <w:sz w:val="21"/>
              </w:rPr>
            </w:pPr>
          </w:p>
          <w:p w14:paraId="79A7C506">
            <w:pPr>
              <w:spacing w:line="242" w:lineRule="auto"/>
              <w:rPr>
                <w:rFonts w:ascii="Arial"/>
                <w:sz w:val="21"/>
              </w:rPr>
            </w:pPr>
          </w:p>
          <w:p w14:paraId="25FB1842">
            <w:pPr>
              <w:spacing w:line="242" w:lineRule="auto"/>
              <w:rPr>
                <w:rFonts w:ascii="Arial"/>
                <w:sz w:val="21"/>
              </w:rPr>
            </w:pPr>
          </w:p>
          <w:p w14:paraId="0EAF4C89">
            <w:pPr>
              <w:spacing w:line="242" w:lineRule="auto"/>
              <w:rPr>
                <w:rFonts w:ascii="Arial"/>
                <w:sz w:val="21"/>
              </w:rPr>
            </w:pPr>
          </w:p>
          <w:p w14:paraId="30F8D565">
            <w:pPr>
              <w:pStyle w:val="6"/>
              <w:spacing w:before="62" w:line="207" w:lineRule="auto"/>
              <w:ind w:left="55" w:right="75" w:firstLine="189"/>
              <w:rPr>
                <w:sz w:val="19"/>
                <w:szCs w:val="19"/>
              </w:rPr>
            </w:pPr>
            <w:r>
              <w:rPr>
                <w:spacing w:val="7"/>
                <w:sz w:val="19"/>
                <w:szCs w:val="19"/>
              </w:rPr>
              <w:t>拟写</w:t>
            </w:r>
            <w:r>
              <w:rPr>
                <w:sz w:val="19"/>
                <w:szCs w:val="19"/>
              </w:rPr>
              <w:t xml:space="preserve">  </w:t>
            </w:r>
            <w:r>
              <w:rPr>
                <w:spacing w:val="-2"/>
                <w:sz w:val="19"/>
                <w:szCs w:val="19"/>
              </w:rPr>
              <w:t>事务文书</w:t>
            </w:r>
          </w:p>
        </w:tc>
        <w:tc>
          <w:tcPr>
            <w:tcW w:w="2324" w:type="dxa"/>
            <w:vAlign w:val="top"/>
          </w:tcPr>
          <w:p w14:paraId="56511182">
            <w:pPr>
              <w:pStyle w:val="6"/>
              <w:spacing w:before="39" w:line="212" w:lineRule="auto"/>
              <w:ind w:left="81"/>
              <w:rPr>
                <w:sz w:val="19"/>
                <w:szCs w:val="19"/>
              </w:rPr>
            </w:pPr>
            <w:r>
              <w:rPr>
                <w:spacing w:val="3"/>
                <w:sz w:val="19"/>
                <w:szCs w:val="19"/>
              </w:rPr>
              <w:t>1.计划</w:t>
            </w:r>
          </w:p>
          <w:p w14:paraId="4DCEC953">
            <w:pPr>
              <w:pStyle w:val="6"/>
              <w:spacing w:line="194" w:lineRule="auto"/>
              <w:ind w:left="81"/>
              <w:rPr>
                <w:sz w:val="19"/>
                <w:szCs w:val="19"/>
              </w:rPr>
            </w:pPr>
            <w:r>
              <w:rPr>
                <w:spacing w:val="2"/>
                <w:sz w:val="19"/>
                <w:szCs w:val="19"/>
              </w:rPr>
              <w:t>(1)概念</w:t>
            </w:r>
          </w:p>
          <w:p w14:paraId="2127668D">
            <w:pPr>
              <w:pStyle w:val="6"/>
              <w:spacing w:line="213" w:lineRule="auto"/>
              <w:ind w:left="81"/>
              <w:rPr>
                <w:sz w:val="19"/>
                <w:szCs w:val="19"/>
              </w:rPr>
            </w:pPr>
            <w:r>
              <w:rPr>
                <w:spacing w:val="2"/>
                <w:sz w:val="19"/>
                <w:szCs w:val="19"/>
              </w:rPr>
              <w:t>(2)种类</w:t>
            </w:r>
          </w:p>
          <w:p w14:paraId="58C5E584">
            <w:pPr>
              <w:pStyle w:val="6"/>
              <w:spacing w:line="219" w:lineRule="auto"/>
              <w:ind w:left="81"/>
              <w:rPr>
                <w:sz w:val="19"/>
                <w:szCs w:val="19"/>
              </w:rPr>
            </w:pPr>
            <w:r>
              <w:rPr>
                <w:spacing w:val="4"/>
                <w:sz w:val="19"/>
                <w:szCs w:val="19"/>
              </w:rPr>
              <w:t>(3)特点</w:t>
            </w:r>
          </w:p>
          <w:p w14:paraId="0718ABAB">
            <w:pPr>
              <w:pStyle w:val="6"/>
              <w:spacing w:before="15" w:line="213" w:lineRule="auto"/>
              <w:ind w:left="81" w:right="1549"/>
              <w:rPr>
                <w:sz w:val="19"/>
                <w:szCs w:val="19"/>
              </w:rPr>
            </w:pPr>
            <w:r>
              <w:rPr>
                <w:spacing w:val="3"/>
                <w:sz w:val="19"/>
                <w:szCs w:val="19"/>
              </w:rPr>
              <w:t>(4)结构</w:t>
            </w:r>
            <w:r>
              <w:rPr>
                <w:spacing w:val="1"/>
                <w:sz w:val="19"/>
                <w:szCs w:val="19"/>
              </w:rPr>
              <w:t xml:space="preserve"> </w:t>
            </w:r>
            <w:r>
              <w:rPr>
                <w:spacing w:val="3"/>
                <w:sz w:val="19"/>
                <w:szCs w:val="19"/>
              </w:rPr>
              <w:t>2.总结</w:t>
            </w:r>
          </w:p>
          <w:p w14:paraId="120AE7F3">
            <w:pPr>
              <w:pStyle w:val="6"/>
              <w:spacing w:before="1" w:line="194" w:lineRule="auto"/>
              <w:ind w:left="81"/>
              <w:rPr>
                <w:sz w:val="19"/>
                <w:szCs w:val="19"/>
              </w:rPr>
            </w:pPr>
            <w:r>
              <w:rPr>
                <w:spacing w:val="1"/>
                <w:sz w:val="19"/>
                <w:szCs w:val="19"/>
              </w:rPr>
              <w:t>(1)概念及分类</w:t>
            </w:r>
          </w:p>
          <w:p w14:paraId="77E550DA">
            <w:pPr>
              <w:pStyle w:val="6"/>
              <w:spacing w:line="219" w:lineRule="auto"/>
              <w:ind w:left="81"/>
              <w:rPr>
                <w:sz w:val="19"/>
                <w:szCs w:val="19"/>
              </w:rPr>
            </w:pPr>
            <w:r>
              <w:rPr>
                <w:spacing w:val="4"/>
                <w:sz w:val="19"/>
                <w:szCs w:val="19"/>
              </w:rPr>
              <w:t>(2)特点</w:t>
            </w:r>
          </w:p>
          <w:p w14:paraId="506B1CF2">
            <w:pPr>
              <w:pStyle w:val="6"/>
              <w:spacing w:before="14" w:line="204" w:lineRule="auto"/>
              <w:ind w:left="81" w:right="1549"/>
              <w:rPr>
                <w:sz w:val="19"/>
                <w:szCs w:val="19"/>
              </w:rPr>
            </w:pPr>
            <w:r>
              <w:rPr>
                <w:spacing w:val="3"/>
                <w:sz w:val="19"/>
                <w:szCs w:val="19"/>
              </w:rPr>
              <w:t>(3)结构</w:t>
            </w:r>
            <w:r>
              <w:rPr>
                <w:spacing w:val="1"/>
                <w:sz w:val="19"/>
                <w:szCs w:val="19"/>
              </w:rPr>
              <w:t xml:space="preserve"> </w:t>
            </w:r>
            <w:r>
              <w:rPr>
                <w:spacing w:val="2"/>
                <w:sz w:val="19"/>
                <w:szCs w:val="19"/>
              </w:rPr>
              <w:t>3.简报</w:t>
            </w:r>
          </w:p>
          <w:p w14:paraId="35FAA12E">
            <w:pPr>
              <w:pStyle w:val="6"/>
              <w:spacing w:before="1" w:line="213" w:lineRule="auto"/>
              <w:ind w:left="81"/>
              <w:rPr>
                <w:sz w:val="19"/>
                <w:szCs w:val="19"/>
              </w:rPr>
            </w:pPr>
            <w:r>
              <w:rPr>
                <w:spacing w:val="2"/>
                <w:sz w:val="19"/>
                <w:szCs w:val="19"/>
              </w:rPr>
              <w:t>(1)概念与类型</w:t>
            </w:r>
          </w:p>
          <w:p w14:paraId="49071734">
            <w:pPr>
              <w:pStyle w:val="6"/>
              <w:spacing w:before="1" w:line="219" w:lineRule="auto"/>
              <w:ind w:left="81"/>
              <w:rPr>
                <w:sz w:val="19"/>
                <w:szCs w:val="19"/>
              </w:rPr>
            </w:pPr>
            <w:r>
              <w:rPr>
                <w:spacing w:val="4"/>
                <w:sz w:val="19"/>
                <w:szCs w:val="19"/>
              </w:rPr>
              <w:t>(2)特点</w:t>
            </w:r>
          </w:p>
          <w:p w14:paraId="6E5D8D06">
            <w:pPr>
              <w:pStyle w:val="6"/>
              <w:spacing w:before="5" w:line="207" w:lineRule="auto"/>
              <w:ind w:left="81" w:right="1549"/>
              <w:rPr>
                <w:sz w:val="19"/>
                <w:szCs w:val="19"/>
              </w:rPr>
            </w:pPr>
            <w:r>
              <w:rPr>
                <w:spacing w:val="3"/>
                <w:sz w:val="19"/>
                <w:szCs w:val="19"/>
              </w:rPr>
              <w:t>(3)结构</w:t>
            </w:r>
            <w:r>
              <w:rPr>
                <w:spacing w:val="1"/>
                <w:sz w:val="19"/>
                <w:szCs w:val="19"/>
              </w:rPr>
              <w:t xml:space="preserve"> </w:t>
            </w:r>
            <w:r>
              <w:rPr>
                <w:spacing w:val="-1"/>
                <w:sz w:val="19"/>
                <w:szCs w:val="19"/>
              </w:rPr>
              <w:t>4.启事</w:t>
            </w:r>
          </w:p>
          <w:p w14:paraId="7B7D86CD">
            <w:pPr>
              <w:pStyle w:val="6"/>
              <w:spacing w:before="13" w:line="204" w:lineRule="auto"/>
              <w:ind w:left="81"/>
              <w:rPr>
                <w:sz w:val="19"/>
                <w:szCs w:val="19"/>
              </w:rPr>
            </w:pPr>
            <w:r>
              <w:rPr>
                <w:spacing w:val="1"/>
                <w:sz w:val="19"/>
                <w:szCs w:val="19"/>
              </w:rPr>
              <w:t>(1)概念及分类</w:t>
            </w:r>
          </w:p>
          <w:p w14:paraId="1B074B0D">
            <w:pPr>
              <w:pStyle w:val="6"/>
              <w:spacing w:before="1" w:line="204" w:lineRule="auto"/>
              <w:ind w:left="81"/>
              <w:rPr>
                <w:sz w:val="19"/>
                <w:szCs w:val="19"/>
              </w:rPr>
            </w:pPr>
            <w:r>
              <w:rPr>
                <w:spacing w:val="4"/>
                <w:sz w:val="19"/>
                <w:szCs w:val="19"/>
              </w:rPr>
              <w:t>(2)特点</w:t>
            </w:r>
          </w:p>
          <w:p w14:paraId="111B12DC">
            <w:pPr>
              <w:pStyle w:val="6"/>
              <w:spacing w:line="220" w:lineRule="auto"/>
              <w:ind w:left="81"/>
              <w:rPr>
                <w:sz w:val="19"/>
                <w:szCs w:val="19"/>
              </w:rPr>
            </w:pPr>
            <w:r>
              <w:rPr>
                <w:spacing w:val="3"/>
                <w:sz w:val="19"/>
                <w:szCs w:val="19"/>
              </w:rPr>
              <w:t>(3)结构</w:t>
            </w:r>
          </w:p>
          <w:p w14:paraId="372BED94">
            <w:pPr>
              <w:pStyle w:val="6"/>
              <w:spacing w:before="14" w:line="202" w:lineRule="auto"/>
              <w:ind w:left="81"/>
              <w:rPr>
                <w:sz w:val="19"/>
                <w:szCs w:val="19"/>
              </w:rPr>
            </w:pPr>
            <w:r>
              <w:rPr>
                <w:spacing w:val="3"/>
                <w:sz w:val="19"/>
                <w:szCs w:val="19"/>
              </w:rPr>
              <w:t>5.知识平台</w:t>
            </w:r>
          </w:p>
          <w:p w14:paraId="224FE2F8">
            <w:pPr>
              <w:pStyle w:val="6"/>
              <w:spacing w:before="1" w:line="184" w:lineRule="auto"/>
              <w:ind w:left="81"/>
              <w:rPr>
                <w:sz w:val="19"/>
                <w:szCs w:val="19"/>
              </w:rPr>
            </w:pPr>
            <w:r>
              <w:rPr>
                <w:spacing w:val="2"/>
                <w:sz w:val="19"/>
                <w:szCs w:val="19"/>
              </w:rPr>
              <w:t>(1)公文的语言特点</w:t>
            </w:r>
          </w:p>
          <w:p w14:paraId="4C0B756A">
            <w:pPr>
              <w:pStyle w:val="6"/>
              <w:spacing w:before="1" w:line="190" w:lineRule="auto"/>
              <w:ind w:left="81"/>
              <w:rPr>
                <w:sz w:val="19"/>
                <w:szCs w:val="19"/>
              </w:rPr>
            </w:pPr>
            <w:r>
              <w:rPr>
                <w:spacing w:val="1"/>
                <w:sz w:val="19"/>
                <w:szCs w:val="19"/>
              </w:rPr>
              <w:t>(2)起草公文的要求</w:t>
            </w:r>
          </w:p>
        </w:tc>
        <w:tc>
          <w:tcPr>
            <w:tcW w:w="230" w:type="dxa"/>
            <w:vAlign w:val="top"/>
          </w:tcPr>
          <w:p w14:paraId="641C5853">
            <w:pPr>
              <w:pStyle w:val="6"/>
              <w:spacing w:before="257" w:line="238" w:lineRule="auto"/>
              <w:ind w:left="47"/>
              <w:rPr>
                <w:sz w:val="12"/>
                <w:szCs w:val="12"/>
              </w:rPr>
            </w:pPr>
            <w:r>
              <w:rPr>
                <w:sz w:val="12"/>
                <w:szCs w:val="12"/>
              </w:rPr>
              <w:t>√</w:t>
            </w:r>
          </w:p>
        </w:tc>
        <w:tc>
          <w:tcPr>
            <w:tcW w:w="220" w:type="dxa"/>
            <w:vAlign w:val="top"/>
          </w:tcPr>
          <w:p w14:paraId="4B2AD888">
            <w:pPr>
              <w:spacing w:line="246" w:lineRule="auto"/>
              <w:rPr>
                <w:rFonts w:ascii="Arial"/>
                <w:sz w:val="21"/>
              </w:rPr>
            </w:pPr>
          </w:p>
          <w:p w14:paraId="63F06DCF">
            <w:pPr>
              <w:spacing w:line="246" w:lineRule="auto"/>
              <w:rPr>
                <w:rFonts w:ascii="Arial"/>
                <w:sz w:val="21"/>
              </w:rPr>
            </w:pPr>
          </w:p>
          <w:p w14:paraId="4FE24C7B">
            <w:pPr>
              <w:spacing w:line="246" w:lineRule="auto"/>
              <w:rPr>
                <w:rFonts w:ascii="Arial"/>
                <w:sz w:val="21"/>
              </w:rPr>
            </w:pPr>
          </w:p>
          <w:p w14:paraId="48B985A7">
            <w:pPr>
              <w:spacing w:line="246" w:lineRule="auto"/>
              <w:rPr>
                <w:rFonts w:ascii="Arial"/>
                <w:sz w:val="21"/>
              </w:rPr>
            </w:pPr>
          </w:p>
          <w:p w14:paraId="5E673705">
            <w:pPr>
              <w:spacing w:line="247" w:lineRule="auto"/>
              <w:rPr>
                <w:rFonts w:ascii="Arial"/>
                <w:sz w:val="21"/>
              </w:rPr>
            </w:pPr>
          </w:p>
          <w:p w14:paraId="7BDC3578">
            <w:pPr>
              <w:spacing w:line="247" w:lineRule="auto"/>
              <w:rPr>
                <w:rFonts w:ascii="Arial"/>
                <w:sz w:val="21"/>
              </w:rPr>
            </w:pPr>
          </w:p>
          <w:p w14:paraId="3AC5DEC3">
            <w:pPr>
              <w:spacing w:line="247" w:lineRule="auto"/>
              <w:rPr>
                <w:rFonts w:ascii="Arial"/>
                <w:sz w:val="21"/>
              </w:rPr>
            </w:pPr>
          </w:p>
          <w:p w14:paraId="326659F2">
            <w:pPr>
              <w:spacing w:line="247" w:lineRule="auto"/>
              <w:rPr>
                <w:rFonts w:ascii="Arial"/>
                <w:sz w:val="21"/>
              </w:rPr>
            </w:pPr>
          </w:p>
          <w:p w14:paraId="21336EA2">
            <w:pPr>
              <w:spacing w:line="247" w:lineRule="auto"/>
              <w:rPr>
                <w:rFonts w:ascii="Arial"/>
                <w:sz w:val="21"/>
              </w:rPr>
            </w:pPr>
          </w:p>
          <w:p w14:paraId="75AA8385">
            <w:pPr>
              <w:spacing w:line="1221" w:lineRule="exact"/>
              <w:ind w:firstLine="40"/>
            </w:pPr>
            <w:r>
              <w:rPr>
                <w:position w:val="-24"/>
              </w:rPr>
              <w:drawing>
                <wp:inline distT="0" distB="0" distL="0" distR="0">
                  <wp:extent cx="96520" cy="774700"/>
                  <wp:effectExtent l="0" t="0" r="0" b="0"/>
                  <wp:docPr id="336" name="IM 336"/>
                  <wp:cNvGraphicFramePr/>
                  <a:graphic xmlns:a="http://schemas.openxmlformats.org/drawingml/2006/main">
                    <a:graphicData uri="http://schemas.openxmlformats.org/drawingml/2006/picture">
                      <pic:pic xmlns:pic="http://schemas.openxmlformats.org/drawingml/2006/picture">
                        <pic:nvPicPr>
                          <pic:cNvPr id="336" name="IM 336"/>
                          <pic:cNvPicPr/>
                        </pic:nvPicPr>
                        <pic:blipFill>
                          <a:blip r:embed="rId332"/>
                          <a:stretch>
                            <a:fillRect/>
                          </a:stretch>
                        </pic:blipFill>
                        <pic:spPr>
                          <a:xfrm>
                            <a:off x="0" y="0"/>
                            <a:ext cx="96832" cy="775289"/>
                          </a:xfrm>
                          <a:prstGeom prst="rect">
                            <a:avLst/>
                          </a:prstGeom>
                        </pic:spPr>
                      </pic:pic>
                    </a:graphicData>
                  </a:graphic>
                </wp:inline>
              </w:drawing>
            </w:r>
          </w:p>
        </w:tc>
        <w:tc>
          <w:tcPr>
            <w:tcW w:w="229" w:type="dxa"/>
            <w:vAlign w:val="top"/>
          </w:tcPr>
          <w:p w14:paraId="10386562">
            <w:pPr>
              <w:spacing w:line="257" w:lineRule="auto"/>
              <w:rPr>
                <w:rFonts w:ascii="Arial"/>
                <w:sz w:val="21"/>
              </w:rPr>
            </w:pPr>
          </w:p>
          <w:p w14:paraId="555DDFBE">
            <w:pPr>
              <w:spacing w:line="257" w:lineRule="auto"/>
              <w:rPr>
                <w:rFonts w:ascii="Arial"/>
                <w:sz w:val="21"/>
              </w:rPr>
            </w:pPr>
          </w:p>
          <w:p w14:paraId="42D206F9">
            <w:pPr>
              <w:spacing w:line="257" w:lineRule="auto"/>
              <w:rPr>
                <w:rFonts w:ascii="Arial"/>
                <w:sz w:val="21"/>
              </w:rPr>
            </w:pPr>
          </w:p>
          <w:p w14:paraId="0190A31B">
            <w:pPr>
              <w:spacing w:line="257" w:lineRule="auto"/>
              <w:rPr>
                <w:rFonts w:ascii="Arial"/>
                <w:sz w:val="21"/>
              </w:rPr>
            </w:pPr>
          </w:p>
          <w:p w14:paraId="0686A6DD">
            <w:pPr>
              <w:spacing w:line="257" w:lineRule="auto"/>
              <w:rPr>
                <w:rFonts w:ascii="Arial"/>
                <w:sz w:val="21"/>
              </w:rPr>
            </w:pPr>
          </w:p>
          <w:p w14:paraId="0F6B4BFE">
            <w:pPr>
              <w:spacing w:line="258" w:lineRule="auto"/>
              <w:rPr>
                <w:rFonts w:ascii="Arial"/>
                <w:sz w:val="21"/>
              </w:rPr>
            </w:pPr>
          </w:p>
          <w:p w14:paraId="105BA03C">
            <w:pPr>
              <w:spacing w:line="258" w:lineRule="auto"/>
              <w:rPr>
                <w:rFonts w:ascii="Arial"/>
                <w:sz w:val="21"/>
              </w:rPr>
            </w:pPr>
          </w:p>
          <w:p w14:paraId="52908216">
            <w:pPr>
              <w:spacing w:line="258" w:lineRule="auto"/>
              <w:rPr>
                <w:rFonts w:ascii="Arial"/>
                <w:sz w:val="21"/>
              </w:rPr>
            </w:pPr>
          </w:p>
          <w:p w14:paraId="0559730F">
            <w:pPr>
              <w:spacing w:line="258" w:lineRule="auto"/>
              <w:rPr>
                <w:rFonts w:ascii="Arial"/>
                <w:sz w:val="21"/>
              </w:rPr>
            </w:pPr>
          </w:p>
          <w:p w14:paraId="0DE35D10">
            <w:pPr>
              <w:spacing w:line="258" w:lineRule="auto"/>
              <w:rPr>
                <w:rFonts w:ascii="Arial"/>
                <w:sz w:val="21"/>
              </w:rPr>
            </w:pPr>
          </w:p>
          <w:p w14:paraId="49EF7ABA">
            <w:pPr>
              <w:pStyle w:val="6"/>
              <w:spacing w:before="58" w:line="239" w:lineRule="exact"/>
              <w:ind w:left="17"/>
              <w:rPr>
                <w:sz w:val="18"/>
                <w:szCs w:val="18"/>
              </w:rPr>
            </w:pPr>
            <w:r>
              <w:rPr>
                <w:position w:val="1"/>
                <w:sz w:val="18"/>
                <w:szCs w:val="18"/>
              </w:rPr>
              <w:t>√</w:t>
            </w:r>
          </w:p>
          <w:p w14:paraId="4F7681AB">
            <w:pPr>
              <w:spacing w:line="281" w:lineRule="auto"/>
              <w:rPr>
                <w:rFonts w:ascii="Arial"/>
                <w:sz w:val="21"/>
              </w:rPr>
            </w:pPr>
          </w:p>
          <w:p w14:paraId="121C62AD">
            <w:pPr>
              <w:spacing w:line="282" w:lineRule="auto"/>
              <w:rPr>
                <w:rFonts w:ascii="Arial"/>
                <w:sz w:val="21"/>
              </w:rPr>
            </w:pPr>
          </w:p>
          <w:p w14:paraId="51D61B9B">
            <w:pPr>
              <w:spacing w:line="282" w:lineRule="auto"/>
              <w:rPr>
                <w:rFonts w:ascii="Arial"/>
                <w:sz w:val="21"/>
              </w:rPr>
            </w:pPr>
          </w:p>
          <w:p w14:paraId="3755424A">
            <w:pPr>
              <w:spacing w:line="282" w:lineRule="auto"/>
              <w:rPr>
                <w:rFonts w:ascii="Arial"/>
                <w:sz w:val="21"/>
              </w:rPr>
            </w:pPr>
          </w:p>
          <w:p w14:paraId="1C5F1A31">
            <w:pPr>
              <w:spacing w:line="321" w:lineRule="exact"/>
              <w:ind w:left="42"/>
            </w:pPr>
            <w:r>
              <w:rPr>
                <w:position w:val="-6"/>
              </w:rPr>
              <w:drawing>
                <wp:inline distT="0" distB="0" distL="0" distR="0">
                  <wp:extent cx="95250" cy="203200"/>
                  <wp:effectExtent l="0" t="0" r="0" b="0"/>
                  <wp:docPr id="338" name="IM 338"/>
                  <wp:cNvGraphicFramePr/>
                  <a:graphic xmlns:a="http://schemas.openxmlformats.org/drawingml/2006/main">
                    <a:graphicData uri="http://schemas.openxmlformats.org/drawingml/2006/picture">
                      <pic:pic xmlns:pic="http://schemas.openxmlformats.org/drawingml/2006/picture">
                        <pic:nvPicPr>
                          <pic:cNvPr id="338" name="IM 338"/>
                          <pic:cNvPicPr/>
                        </pic:nvPicPr>
                        <pic:blipFill>
                          <a:blip r:embed="rId333"/>
                          <a:stretch>
                            <a:fillRect/>
                          </a:stretch>
                        </pic:blipFill>
                        <pic:spPr>
                          <a:xfrm>
                            <a:off x="0" y="0"/>
                            <a:ext cx="95275" cy="203485"/>
                          </a:xfrm>
                          <a:prstGeom prst="rect">
                            <a:avLst/>
                          </a:prstGeom>
                        </pic:spPr>
                      </pic:pic>
                    </a:graphicData>
                  </a:graphic>
                </wp:inline>
              </w:drawing>
            </w:r>
          </w:p>
        </w:tc>
        <w:tc>
          <w:tcPr>
            <w:tcW w:w="244" w:type="dxa"/>
            <w:vAlign w:val="top"/>
          </w:tcPr>
          <w:p w14:paraId="6068DF01">
            <w:pPr>
              <w:spacing w:line="246" w:lineRule="auto"/>
              <w:rPr>
                <w:rFonts w:ascii="Arial"/>
                <w:sz w:val="21"/>
              </w:rPr>
            </w:pPr>
          </w:p>
          <w:p w14:paraId="1BCFF975">
            <w:pPr>
              <w:spacing w:line="246" w:lineRule="auto"/>
              <w:rPr>
                <w:rFonts w:ascii="Arial"/>
                <w:sz w:val="21"/>
              </w:rPr>
            </w:pPr>
          </w:p>
          <w:p w14:paraId="7B8F1661">
            <w:pPr>
              <w:spacing w:line="246" w:lineRule="auto"/>
              <w:rPr>
                <w:rFonts w:ascii="Arial"/>
                <w:sz w:val="21"/>
              </w:rPr>
            </w:pPr>
          </w:p>
          <w:p w14:paraId="1DD48187">
            <w:pPr>
              <w:spacing w:line="246" w:lineRule="auto"/>
              <w:rPr>
                <w:rFonts w:ascii="Arial"/>
                <w:sz w:val="21"/>
              </w:rPr>
            </w:pPr>
          </w:p>
          <w:p w14:paraId="7737C166">
            <w:pPr>
              <w:spacing w:line="246" w:lineRule="auto"/>
              <w:rPr>
                <w:rFonts w:ascii="Arial"/>
                <w:sz w:val="21"/>
              </w:rPr>
            </w:pPr>
          </w:p>
          <w:p w14:paraId="42E92579">
            <w:pPr>
              <w:spacing w:line="246" w:lineRule="auto"/>
              <w:rPr>
                <w:rFonts w:ascii="Arial"/>
                <w:sz w:val="21"/>
              </w:rPr>
            </w:pPr>
          </w:p>
          <w:p w14:paraId="78F67999">
            <w:pPr>
              <w:spacing w:line="246" w:lineRule="auto"/>
              <w:rPr>
                <w:rFonts w:ascii="Arial"/>
                <w:sz w:val="21"/>
              </w:rPr>
            </w:pPr>
          </w:p>
          <w:p w14:paraId="2D3FA02B">
            <w:pPr>
              <w:spacing w:line="246" w:lineRule="auto"/>
              <w:rPr>
                <w:rFonts w:ascii="Arial"/>
                <w:sz w:val="21"/>
              </w:rPr>
            </w:pPr>
          </w:p>
          <w:p w14:paraId="4BADDB57">
            <w:pPr>
              <w:spacing w:line="246" w:lineRule="auto"/>
              <w:rPr>
                <w:rFonts w:ascii="Arial"/>
                <w:sz w:val="21"/>
              </w:rPr>
            </w:pPr>
          </w:p>
          <w:p w14:paraId="4C9FCE32">
            <w:pPr>
              <w:spacing w:line="247" w:lineRule="auto"/>
              <w:rPr>
                <w:rFonts w:ascii="Arial"/>
                <w:sz w:val="21"/>
              </w:rPr>
            </w:pPr>
          </w:p>
          <w:p w14:paraId="5AF5D885">
            <w:pPr>
              <w:spacing w:line="247" w:lineRule="auto"/>
              <w:rPr>
                <w:rFonts w:ascii="Arial"/>
                <w:sz w:val="21"/>
              </w:rPr>
            </w:pPr>
          </w:p>
          <w:p w14:paraId="21A3B266">
            <w:pPr>
              <w:spacing w:line="247" w:lineRule="auto"/>
              <w:rPr>
                <w:rFonts w:ascii="Arial"/>
                <w:sz w:val="21"/>
              </w:rPr>
            </w:pPr>
          </w:p>
          <w:p w14:paraId="74B27C64">
            <w:pPr>
              <w:spacing w:line="247" w:lineRule="auto"/>
              <w:rPr>
                <w:rFonts w:ascii="Arial"/>
                <w:sz w:val="21"/>
              </w:rPr>
            </w:pPr>
          </w:p>
          <w:p w14:paraId="0D6549D0">
            <w:pPr>
              <w:spacing w:line="247" w:lineRule="auto"/>
              <w:rPr>
                <w:rFonts w:ascii="Arial"/>
                <w:sz w:val="21"/>
              </w:rPr>
            </w:pPr>
          </w:p>
          <w:p w14:paraId="0C9C9BA8">
            <w:pPr>
              <w:pStyle w:val="6"/>
              <w:spacing w:before="59" w:line="239" w:lineRule="exact"/>
              <w:ind w:left="19"/>
              <w:rPr>
                <w:sz w:val="18"/>
                <w:szCs w:val="18"/>
              </w:rPr>
            </w:pPr>
            <w:r>
              <w:rPr>
                <w:position w:val="1"/>
                <w:sz w:val="18"/>
                <w:szCs w:val="18"/>
              </w:rPr>
              <w:t>√</w:t>
            </w:r>
          </w:p>
        </w:tc>
      </w:tr>
      <w:tr w14:paraId="379E19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01" w:hRule="atLeast"/>
        </w:trPr>
        <w:tc>
          <w:tcPr>
            <w:tcW w:w="893" w:type="dxa"/>
            <w:vAlign w:val="top"/>
          </w:tcPr>
          <w:p w14:paraId="229BA322">
            <w:pPr>
              <w:spacing w:line="282" w:lineRule="auto"/>
              <w:rPr>
                <w:rFonts w:ascii="Arial"/>
                <w:sz w:val="21"/>
              </w:rPr>
            </w:pPr>
          </w:p>
          <w:p w14:paraId="064284C9">
            <w:pPr>
              <w:spacing w:line="282" w:lineRule="auto"/>
              <w:rPr>
                <w:rFonts w:ascii="Arial"/>
                <w:sz w:val="21"/>
              </w:rPr>
            </w:pPr>
          </w:p>
          <w:p w14:paraId="361DE400">
            <w:pPr>
              <w:spacing w:line="282" w:lineRule="auto"/>
              <w:rPr>
                <w:rFonts w:ascii="Arial"/>
                <w:sz w:val="21"/>
              </w:rPr>
            </w:pPr>
          </w:p>
          <w:p w14:paraId="0F6597D2">
            <w:pPr>
              <w:spacing w:line="283" w:lineRule="auto"/>
              <w:rPr>
                <w:rFonts w:ascii="Arial"/>
                <w:sz w:val="21"/>
              </w:rPr>
            </w:pPr>
          </w:p>
          <w:p w14:paraId="6D78A64A">
            <w:pPr>
              <w:spacing w:line="283" w:lineRule="auto"/>
              <w:rPr>
                <w:rFonts w:ascii="Arial"/>
                <w:sz w:val="21"/>
              </w:rPr>
            </w:pPr>
          </w:p>
          <w:p w14:paraId="6BBAE1B2">
            <w:pPr>
              <w:pStyle w:val="6"/>
              <w:spacing w:before="62" w:line="204" w:lineRule="auto"/>
              <w:ind w:left="244"/>
              <w:rPr>
                <w:sz w:val="19"/>
                <w:szCs w:val="19"/>
              </w:rPr>
            </w:pPr>
            <w:r>
              <w:rPr>
                <w:spacing w:val="7"/>
                <w:sz w:val="19"/>
                <w:szCs w:val="19"/>
              </w:rPr>
              <w:t>拟写</w:t>
            </w:r>
          </w:p>
          <w:p w14:paraId="02970EAC">
            <w:pPr>
              <w:pStyle w:val="6"/>
              <w:spacing w:line="218" w:lineRule="auto"/>
              <w:ind w:left="55"/>
              <w:rPr>
                <w:sz w:val="19"/>
                <w:szCs w:val="19"/>
              </w:rPr>
            </w:pPr>
            <w:r>
              <w:rPr>
                <w:spacing w:val="3"/>
                <w:sz w:val="19"/>
                <w:szCs w:val="19"/>
              </w:rPr>
              <w:t>礼仪文书</w:t>
            </w:r>
          </w:p>
        </w:tc>
        <w:tc>
          <w:tcPr>
            <w:tcW w:w="2324" w:type="dxa"/>
            <w:vAlign w:val="top"/>
          </w:tcPr>
          <w:p w14:paraId="21D47D1E">
            <w:pPr>
              <w:pStyle w:val="6"/>
              <w:spacing w:before="143" w:line="214" w:lineRule="auto"/>
              <w:ind w:left="81"/>
              <w:rPr>
                <w:sz w:val="19"/>
                <w:szCs w:val="19"/>
              </w:rPr>
            </w:pPr>
            <w:r>
              <w:rPr>
                <w:spacing w:val="2"/>
                <w:sz w:val="19"/>
                <w:szCs w:val="19"/>
              </w:rPr>
              <w:t>1.请束</w:t>
            </w:r>
          </w:p>
          <w:p w14:paraId="63FB53BB">
            <w:pPr>
              <w:pStyle w:val="6"/>
              <w:spacing w:before="1" w:line="215" w:lineRule="auto"/>
              <w:ind w:left="81" w:right="1549"/>
              <w:rPr>
                <w:sz w:val="19"/>
                <w:szCs w:val="19"/>
              </w:rPr>
            </w:pPr>
            <w:r>
              <w:rPr>
                <w:spacing w:val="2"/>
                <w:sz w:val="19"/>
                <w:szCs w:val="19"/>
              </w:rPr>
              <w:t xml:space="preserve">(1)概念 </w:t>
            </w:r>
            <w:r>
              <w:rPr>
                <w:spacing w:val="3"/>
                <w:sz w:val="19"/>
                <w:szCs w:val="19"/>
              </w:rPr>
              <w:t>(2)结构</w:t>
            </w:r>
            <w:r>
              <w:rPr>
                <w:spacing w:val="1"/>
                <w:sz w:val="19"/>
                <w:szCs w:val="19"/>
              </w:rPr>
              <w:t xml:space="preserve"> </w:t>
            </w:r>
            <w:r>
              <w:rPr>
                <w:spacing w:val="3"/>
                <w:sz w:val="19"/>
                <w:szCs w:val="19"/>
              </w:rPr>
              <w:t>2.贺信</w:t>
            </w:r>
          </w:p>
          <w:p w14:paraId="3EEC2A2D">
            <w:pPr>
              <w:pStyle w:val="6"/>
              <w:spacing w:before="13" w:line="213" w:lineRule="auto"/>
              <w:ind w:left="81" w:right="1458"/>
              <w:rPr>
                <w:sz w:val="19"/>
                <w:szCs w:val="19"/>
              </w:rPr>
            </w:pPr>
            <w:r>
              <w:rPr>
                <w:spacing w:val="2"/>
                <w:sz w:val="19"/>
                <w:szCs w:val="19"/>
              </w:rPr>
              <w:t>(1)概念</w:t>
            </w:r>
            <w:r>
              <w:rPr>
                <w:spacing w:val="1"/>
                <w:sz w:val="19"/>
                <w:szCs w:val="19"/>
              </w:rPr>
              <w:t xml:space="preserve">  </w:t>
            </w:r>
            <w:r>
              <w:rPr>
                <w:spacing w:val="3"/>
                <w:sz w:val="19"/>
                <w:szCs w:val="19"/>
              </w:rPr>
              <w:t>(2)结构</w:t>
            </w:r>
            <w:r>
              <w:rPr>
                <w:sz w:val="19"/>
                <w:szCs w:val="19"/>
              </w:rPr>
              <w:t xml:space="preserve">  </w:t>
            </w:r>
            <w:r>
              <w:rPr>
                <w:spacing w:val="2"/>
                <w:sz w:val="19"/>
                <w:szCs w:val="19"/>
              </w:rPr>
              <w:t>3.邀请信 (1)概念</w:t>
            </w:r>
          </w:p>
          <w:p w14:paraId="59E75AFD">
            <w:pPr>
              <w:pStyle w:val="6"/>
              <w:spacing w:before="3" w:line="215" w:lineRule="auto"/>
              <w:ind w:left="81"/>
              <w:rPr>
                <w:sz w:val="19"/>
                <w:szCs w:val="19"/>
              </w:rPr>
            </w:pPr>
            <w:r>
              <w:rPr>
                <w:spacing w:val="2"/>
                <w:sz w:val="19"/>
                <w:szCs w:val="19"/>
              </w:rPr>
              <w:t>(2)与请柬的区别</w:t>
            </w:r>
          </w:p>
          <w:p w14:paraId="4508F9D2">
            <w:pPr>
              <w:pStyle w:val="6"/>
              <w:spacing w:before="1" w:line="206" w:lineRule="auto"/>
              <w:ind w:left="81" w:right="1173"/>
              <w:rPr>
                <w:sz w:val="19"/>
                <w:szCs w:val="19"/>
              </w:rPr>
            </w:pPr>
            <w:r>
              <w:rPr>
                <w:spacing w:val="1"/>
                <w:sz w:val="19"/>
                <w:szCs w:val="19"/>
              </w:rPr>
              <w:t>(3)写作要求</w:t>
            </w:r>
            <w:r>
              <w:rPr>
                <w:spacing w:val="5"/>
                <w:sz w:val="19"/>
                <w:szCs w:val="19"/>
              </w:rPr>
              <w:t xml:space="preserve"> </w:t>
            </w:r>
            <w:r>
              <w:rPr>
                <w:spacing w:val="2"/>
                <w:sz w:val="19"/>
                <w:szCs w:val="19"/>
              </w:rPr>
              <w:t>4.感谢信</w:t>
            </w:r>
          </w:p>
          <w:p w14:paraId="49FAAFBA">
            <w:pPr>
              <w:pStyle w:val="6"/>
              <w:spacing w:before="27" w:line="203" w:lineRule="auto"/>
              <w:ind w:left="81"/>
              <w:rPr>
                <w:sz w:val="19"/>
                <w:szCs w:val="19"/>
              </w:rPr>
            </w:pPr>
            <w:r>
              <w:rPr>
                <w:spacing w:val="3"/>
                <w:sz w:val="19"/>
                <w:szCs w:val="19"/>
              </w:rPr>
              <w:t>5.知识平台</w:t>
            </w:r>
          </w:p>
          <w:p w14:paraId="4A3BD97D">
            <w:pPr>
              <w:pStyle w:val="6"/>
              <w:spacing w:before="1" w:line="212" w:lineRule="auto"/>
              <w:ind w:left="81"/>
              <w:rPr>
                <w:sz w:val="19"/>
                <w:szCs w:val="19"/>
              </w:rPr>
            </w:pPr>
            <w:r>
              <w:rPr>
                <w:spacing w:val="3"/>
                <w:sz w:val="19"/>
                <w:szCs w:val="19"/>
              </w:rPr>
              <w:t>公文的语言运用</w:t>
            </w:r>
          </w:p>
          <w:p w14:paraId="6F6EB883">
            <w:pPr>
              <w:pStyle w:val="6"/>
              <w:spacing w:line="220" w:lineRule="auto"/>
              <w:ind w:left="81"/>
              <w:rPr>
                <w:sz w:val="19"/>
                <w:szCs w:val="19"/>
              </w:rPr>
            </w:pPr>
            <w:r>
              <w:rPr>
                <w:sz w:val="19"/>
                <w:szCs w:val="19"/>
              </w:rPr>
              <w:t>公文常用的表述方式</w:t>
            </w:r>
          </w:p>
        </w:tc>
        <w:tc>
          <w:tcPr>
            <w:tcW w:w="230" w:type="dxa"/>
            <w:vAlign w:val="top"/>
          </w:tcPr>
          <w:p w14:paraId="4CF7A933">
            <w:pPr>
              <w:rPr>
                <w:rFonts w:ascii="Arial"/>
                <w:sz w:val="21"/>
              </w:rPr>
            </w:pPr>
          </w:p>
        </w:tc>
        <w:tc>
          <w:tcPr>
            <w:tcW w:w="220" w:type="dxa"/>
            <w:vAlign w:val="top"/>
          </w:tcPr>
          <w:p w14:paraId="340649A4">
            <w:pPr>
              <w:rPr>
                <w:rFonts w:ascii="Arial"/>
                <w:sz w:val="21"/>
              </w:rPr>
            </w:pPr>
          </w:p>
        </w:tc>
        <w:tc>
          <w:tcPr>
            <w:tcW w:w="229" w:type="dxa"/>
            <w:vAlign w:val="top"/>
          </w:tcPr>
          <w:p w14:paraId="786033F6">
            <w:pPr>
              <w:spacing w:line="257" w:lineRule="auto"/>
              <w:rPr>
                <w:rFonts w:ascii="Arial"/>
                <w:sz w:val="21"/>
              </w:rPr>
            </w:pPr>
          </w:p>
          <w:p w14:paraId="4C2AAED6">
            <w:pPr>
              <w:spacing w:line="257" w:lineRule="auto"/>
              <w:rPr>
                <w:rFonts w:ascii="Arial"/>
                <w:sz w:val="21"/>
              </w:rPr>
            </w:pPr>
          </w:p>
          <w:p w14:paraId="10C2C77F">
            <w:pPr>
              <w:spacing w:line="257" w:lineRule="auto"/>
              <w:rPr>
                <w:rFonts w:ascii="Arial"/>
                <w:sz w:val="21"/>
              </w:rPr>
            </w:pPr>
          </w:p>
          <w:p w14:paraId="326050A7">
            <w:pPr>
              <w:spacing w:line="258" w:lineRule="auto"/>
              <w:rPr>
                <w:rFonts w:ascii="Arial"/>
                <w:sz w:val="21"/>
              </w:rPr>
            </w:pPr>
          </w:p>
          <w:p w14:paraId="5EE17CFA">
            <w:pPr>
              <w:spacing w:line="258" w:lineRule="auto"/>
              <w:rPr>
                <w:rFonts w:ascii="Arial"/>
                <w:sz w:val="21"/>
              </w:rPr>
            </w:pPr>
          </w:p>
          <w:p w14:paraId="2B3F293C">
            <w:pPr>
              <w:spacing w:line="258" w:lineRule="auto"/>
              <w:rPr>
                <w:rFonts w:ascii="Arial"/>
                <w:sz w:val="21"/>
              </w:rPr>
            </w:pPr>
          </w:p>
          <w:p w14:paraId="160F0557">
            <w:pPr>
              <w:spacing w:line="258" w:lineRule="auto"/>
              <w:rPr>
                <w:rFonts w:ascii="Arial"/>
                <w:sz w:val="21"/>
              </w:rPr>
            </w:pPr>
          </w:p>
          <w:p w14:paraId="3DBC937E">
            <w:pPr>
              <w:spacing w:line="258" w:lineRule="auto"/>
              <w:rPr>
                <w:rFonts w:ascii="Arial"/>
                <w:sz w:val="21"/>
              </w:rPr>
            </w:pPr>
          </w:p>
          <w:p w14:paraId="02E10ACB">
            <w:pPr>
              <w:spacing w:line="258" w:lineRule="auto"/>
              <w:rPr>
                <w:rFonts w:ascii="Arial"/>
                <w:sz w:val="21"/>
              </w:rPr>
            </w:pPr>
          </w:p>
          <w:p w14:paraId="447C487E">
            <w:pPr>
              <w:spacing w:line="258" w:lineRule="auto"/>
              <w:rPr>
                <w:rFonts w:ascii="Arial"/>
                <w:sz w:val="21"/>
              </w:rPr>
            </w:pPr>
          </w:p>
          <w:p w14:paraId="398F1819">
            <w:pPr>
              <w:spacing w:line="258" w:lineRule="auto"/>
              <w:rPr>
                <w:rFonts w:ascii="Arial"/>
                <w:sz w:val="21"/>
              </w:rPr>
            </w:pPr>
          </w:p>
          <w:p w14:paraId="794D7C05">
            <w:pPr>
              <w:spacing w:line="314" w:lineRule="exact"/>
              <w:ind w:firstLine="65"/>
            </w:pPr>
            <w:r>
              <w:rPr>
                <w:position w:val="-6"/>
              </w:rPr>
              <w:drawing>
                <wp:inline distT="0" distB="0" distL="0" distR="0">
                  <wp:extent cx="88900" cy="198755"/>
                  <wp:effectExtent l="0" t="0" r="0" b="0"/>
                  <wp:docPr id="340" name="IM 340"/>
                  <wp:cNvGraphicFramePr/>
                  <a:graphic xmlns:a="http://schemas.openxmlformats.org/drawingml/2006/main">
                    <a:graphicData uri="http://schemas.openxmlformats.org/drawingml/2006/picture">
                      <pic:pic xmlns:pic="http://schemas.openxmlformats.org/drawingml/2006/picture">
                        <pic:nvPicPr>
                          <pic:cNvPr id="340" name="IM 340"/>
                          <pic:cNvPicPr/>
                        </pic:nvPicPr>
                        <pic:blipFill>
                          <a:blip r:embed="rId334"/>
                          <a:stretch>
                            <a:fillRect/>
                          </a:stretch>
                        </pic:blipFill>
                        <pic:spPr>
                          <a:xfrm>
                            <a:off x="0" y="0"/>
                            <a:ext cx="88912" cy="199115"/>
                          </a:xfrm>
                          <a:prstGeom prst="rect">
                            <a:avLst/>
                          </a:prstGeom>
                        </pic:spPr>
                      </pic:pic>
                    </a:graphicData>
                  </a:graphic>
                </wp:inline>
              </w:drawing>
            </w:r>
          </w:p>
        </w:tc>
        <w:tc>
          <w:tcPr>
            <w:tcW w:w="244" w:type="dxa"/>
            <w:vAlign w:val="top"/>
          </w:tcPr>
          <w:p w14:paraId="2CB44D9F">
            <w:pPr>
              <w:spacing w:line="419" w:lineRule="auto"/>
              <w:rPr>
                <w:rFonts w:ascii="Arial"/>
                <w:sz w:val="21"/>
              </w:rPr>
            </w:pPr>
          </w:p>
          <w:p w14:paraId="41885341">
            <w:pPr>
              <w:pStyle w:val="6"/>
              <w:spacing w:before="42" w:line="238" w:lineRule="auto"/>
              <w:ind w:left="29"/>
              <w:rPr>
                <w:sz w:val="13"/>
                <w:szCs w:val="13"/>
              </w:rPr>
            </w:pPr>
            <w:r>
              <w:rPr>
                <w:sz w:val="13"/>
                <w:szCs w:val="13"/>
              </w:rPr>
              <w:t>√</w:t>
            </w:r>
          </w:p>
        </w:tc>
      </w:tr>
    </w:tbl>
    <w:p w14:paraId="0E9A88CF">
      <w:pPr>
        <w:spacing w:before="108" w:line="221" w:lineRule="auto"/>
        <w:ind w:left="1352"/>
        <w:rPr>
          <w:rFonts w:ascii="黑体" w:hAnsi="黑体" w:eastAsia="黑体" w:cs="黑体"/>
          <w:sz w:val="20"/>
          <w:szCs w:val="20"/>
        </w:rPr>
      </w:pPr>
      <w:r>
        <w:rPr>
          <w:rFonts w:ascii="黑体" w:hAnsi="黑体" w:eastAsia="黑体" w:cs="黑体"/>
          <w:b/>
          <w:bCs/>
          <w:spacing w:val="-4"/>
          <w:sz w:val="20"/>
          <w:szCs w:val="20"/>
        </w:rPr>
        <w:t>专题二</w:t>
      </w:r>
      <w:r>
        <w:rPr>
          <w:rFonts w:ascii="黑体" w:hAnsi="黑体" w:eastAsia="黑体" w:cs="黑体"/>
          <w:spacing w:val="-4"/>
          <w:sz w:val="20"/>
          <w:szCs w:val="20"/>
        </w:rPr>
        <w:t xml:space="preserve">  </w:t>
      </w:r>
      <w:r>
        <w:rPr>
          <w:rFonts w:ascii="黑体" w:hAnsi="黑体" w:eastAsia="黑体" w:cs="黑体"/>
          <w:b/>
          <w:bCs/>
          <w:spacing w:val="-4"/>
          <w:sz w:val="20"/>
          <w:szCs w:val="20"/>
        </w:rPr>
        <w:t>文书办理</w:t>
      </w:r>
    </w:p>
    <w:p w14:paraId="17E494CD">
      <w:pPr>
        <w:spacing w:line="81" w:lineRule="exact"/>
      </w:pPr>
    </w:p>
    <w:tbl>
      <w:tblPr>
        <w:tblStyle w:val="5"/>
        <w:tblW w:w="4119" w:type="dxa"/>
        <w:tblInd w:w="9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24"/>
        <w:gridCol w:w="220"/>
        <w:gridCol w:w="219"/>
        <w:gridCol w:w="229"/>
        <w:gridCol w:w="234"/>
      </w:tblGrid>
      <w:tr w14:paraId="7B73D8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4" w:hRule="atLeast"/>
        </w:trPr>
        <w:tc>
          <w:tcPr>
            <w:tcW w:w="893" w:type="dxa"/>
            <w:vMerge w:val="restart"/>
            <w:tcBorders>
              <w:bottom w:val="nil"/>
            </w:tcBorders>
            <w:vAlign w:val="top"/>
          </w:tcPr>
          <w:p w14:paraId="047ED07D">
            <w:pPr>
              <w:pStyle w:val="6"/>
              <w:spacing w:before="21" w:line="195" w:lineRule="auto"/>
              <w:ind w:left="277" w:right="1" w:hanging="260"/>
              <w:rPr>
                <w:sz w:val="19"/>
                <w:szCs w:val="19"/>
              </w:rPr>
            </w:pPr>
            <w:r>
              <w:rPr>
                <w:b/>
                <w:bCs/>
                <w:spacing w:val="-22"/>
                <w:sz w:val="19"/>
                <w:szCs w:val="19"/>
              </w:rPr>
              <w:t>知识与技</w:t>
            </w:r>
            <w:r>
              <w:rPr>
                <w:b/>
                <w:bCs/>
                <w:spacing w:val="-12"/>
                <w:sz w:val="19"/>
                <w:szCs w:val="19"/>
              </w:rPr>
              <w:t>能</w:t>
            </w:r>
            <w:r>
              <w:rPr>
                <w:spacing w:val="2"/>
                <w:sz w:val="19"/>
                <w:szCs w:val="19"/>
              </w:rPr>
              <w:t xml:space="preserve"> </w:t>
            </w:r>
            <w:r>
              <w:rPr>
                <w:b/>
                <w:bCs/>
                <w:spacing w:val="-5"/>
                <w:sz w:val="19"/>
                <w:szCs w:val="19"/>
              </w:rPr>
              <w:t>要点</w:t>
            </w:r>
          </w:p>
        </w:tc>
        <w:tc>
          <w:tcPr>
            <w:tcW w:w="2324" w:type="dxa"/>
            <w:vMerge w:val="restart"/>
            <w:tcBorders>
              <w:bottom w:val="nil"/>
            </w:tcBorders>
            <w:vAlign w:val="top"/>
          </w:tcPr>
          <w:p w14:paraId="28864DA4">
            <w:pPr>
              <w:pStyle w:val="6"/>
              <w:spacing w:before="120" w:line="219" w:lineRule="auto"/>
              <w:ind w:left="834"/>
              <w:rPr>
                <w:sz w:val="19"/>
                <w:szCs w:val="19"/>
              </w:rPr>
            </w:pPr>
            <w:r>
              <w:rPr>
                <w:b/>
                <w:bCs/>
                <w:spacing w:val="5"/>
                <w:sz w:val="19"/>
                <w:szCs w:val="19"/>
              </w:rPr>
              <w:t>考试条目</w:t>
            </w:r>
          </w:p>
        </w:tc>
        <w:tc>
          <w:tcPr>
            <w:tcW w:w="902" w:type="dxa"/>
            <w:gridSpan w:val="4"/>
            <w:vAlign w:val="top"/>
          </w:tcPr>
          <w:p w14:paraId="3B1127A0">
            <w:pPr>
              <w:pStyle w:val="6"/>
              <w:spacing w:before="19" w:line="189" w:lineRule="auto"/>
              <w:ind w:right="16"/>
              <w:jc w:val="right"/>
              <w:rPr>
                <w:sz w:val="19"/>
                <w:szCs w:val="19"/>
              </w:rPr>
            </w:pPr>
            <w:r>
              <w:rPr>
                <w:b/>
                <w:bCs/>
                <w:spacing w:val="-4"/>
                <w:sz w:val="19"/>
                <w:szCs w:val="19"/>
              </w:rPr>
              <w:t>考试水平</w:t>
            </w:r>
          </w:p>
        </w:tc>
      </w:tr>
      <w:tr w14:paraId="08EA1F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99" w:hRule="atLeast"/>
        </w:trPr>
        <w:tc>
          <w:tcPr>
            <w:tcW w:w="893" w:type="dxa"/>
            <w:vMerge w:val="continue"/>
            <w:tcBorders>
              <w:top w:val="nil"/>
            </w:tcBorders>
            <w:vAlign w:val="top"/>
          </w:tcPr>
          <w:p w14:paraId="41E0DA27">
            <w:pPr>
              <w:rPr>
                <w:rFonts w:ascii="Arial"/>
                <w:sz w:val="21"/>
              </w:rPr>
            </w:pPr>
          </w:p>
        </w:tc>
        <w:tc>
          <w:tcPr>
            <w:tcW w:w="2324" w:type="dxa"/>
            <w:vMerge w:val="continue"/>
            <w:tcBorders>
              <w:top w:val="nil"/>
            </w:tcBorders>
            <w:vAlign w:val="top"/>
          </w:tcPr>
          <w:p w14:paraId="44584299">
            <w:pPr>
              <w:rPr>
                <w:rFonts w:ascii="Arial"/>
                <w:sz w:val="21"/>
              </w:rPr>
            </w:pPr>
          </w:p>
        </w:tc>
        <w:tc>
          <w:tcPr>
            <w:tcW w:w="220" w:type="dxa"/>
            <w:vAlign w:val="top"/>
          </w:tcPr>
          <w:p w14:paraId="75C68F71">
            <w:pPr>
              <w:pStyle w:val="6"/>
              <w:spacing w:before="66" w:line="122" w:lineRule="exact"/>
              <w:ind w:left="20"/>
              <w:rPr>
                <w:sz w:val="19"/>
                <w:szCs w:val="19"/>
              </w:rPr>
            </w:pPr>
            <w:r>
              <w:rPr>
                <w:b/>
                <w:bCs/>
                <w:spacing w:val="-2"/>
                <w:position w:val="-3"/>
                <w:sz w:val="19"/>
                <w:szCs w:val="19"/>
              </w:rPr>
              <w:t>A</w:t>
            </w:r>
          </w:p>
        </w:tc>
        <w:tc>
          <w:tcPr>
            <w:tcW w:w="219" w:type="dxa"/>
            <w:vAlign w:val="top"/>
          </w:tcPr>
          <w:p w14:paraId="05BB1019">
            <w:pPr>
              <w:pStyle w:val="6"/>
              <w:spacing w:before="69" w:line="119" w:lineRule="exact"/>
              <w:ind w:left="20"/>
              <w:rPr>
                <w:sz w:val="19"/>
                <w:szCs w:val="19"/>
              </w:rPr>
            </w:pPr>
            <w:r>
              <w:rPr>
                <w:b/>
                <w:bCs/>
                <w:spacing w:val="-2"/>
                <w:position w:val="-3"/>
                <w:sz w:val="19"/>
                <w:szCs w:val="19"/>
              </w:rPr>
              <w:t>B</w:t>
            </w:r>
          </w:p>
        </w:tc>
        <w:tc>
          <w:tcPr>
            <w:tcW w:w="229" w:type="dxa"/>
            <w:vAlign w:val="top"/>
          </w:tcPr>
          <w:p w14:paraId="0FB573E0">
            <w:pPr>
              <w:pStyle w:val="6"/>
              <w:spacing w:before="67" w:line="121" w:lineRule="exact"/>
              <w:ind w:left="18"/>
              <w:rPr>
                <w:sz w:val="19"/>
                <w:szCs w:val="19"/>
              </w:rPr>
            </w:pPr>
            <w:r>
              <w:rPr>
                <w:position w:val="-3"/>
                <w:sz w:val="19"/>
                <w:szCs w:val="19"/>
              </w:rPr>
              <w:t>C</w:t>
            </w:r>
          </w:p>
        </w:tc>
        <w:tc>
          <w:tcPr>
            <w:tcW w:w="234" w:type="dxa"/>
            <w:vAlign w:val="top"/>
          </w:tcPr>
          <w:p w14:paraId="7BE5EAEE">
            <w:pPr>
              <w:pStyle w:val="6"/>
              <w:spacing w:before="69" w:line="119" w:lineRule="exact"/>
              <w:ind w:left="42"/>
              <w:rPr>
                <w:sz w:val="19"/>
                <w:szCs w:val="19"/>
              </w:rPr>
            </w:pPr>
            <w:r>
              <w:rPr>
                <w:b/>
                <w:bCs/>
                <w:spacing w:val="-2"/>
                <w:position w:val="-3"/>
                <w:sz w:val="19"/>
                <w:szCs w:val="19"/>
              </w:rPr>
              <w:t>D</w:t>
            </w:r>
          </w:p>
        </w:tc>
      </w:tr>
      <w:tr w14:paraId="5A9181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8" w:hRule="atLeast"/>
        </w:trPr>
        <w:tc>
          <w:tcPr>
            <w:tcW w:w="893" w:type="dxa"/>
            <w:vMerge w:val="restart"/>
            <w:tcBorders>
              <w:bottom w:val="nil"/>
            </w:tcBorders>
            <w:vAlign w:val="top"/>
          </w:tcPr>
          <w:p w14:paraId="6EDAAB8C">
            <w:pPr>
              <w:spacing w:line="252" w:lineRule="auto"/>
              <w:rPr>
                <w:rFonts w:ascii="Arial"/>
                <w:sz w:val="21"/>
              </w:rPr>
            </w:pPr>
          </w:p>
          <w:p w14:paraId="4158EE07">
            <w:pPr>
              <w:spacing w:line="252" w:lineRule="auto"/>
              <w:rPr>
                <w:rFonts w:ascii="Arial"/>
                <w:sz w:val="21"/>
              </w:rPr>
            </w:pPr>
          </w:p>
          <w:p w14:paraId="75DFBD0B">
            <w:pPr>
              <w:spacing w:line="253" w:lineRule="auto"/>
              <w:rPr>
                <w:rFonts w:ascii="Arial"/>
                <w:sz w:val="21"/>
              </w:rPr>
            </w:pPr>
          </w:p>
          <w:p w14:paraId="3EE1DF57">
            <w:pPr>
              <w:spacing w:line="253" w:lineRule="auto"/>
              <w:rPr>
                <w:rFonts w:ascii="Arial"/>
                <w:sz w:val="21"/>
              </w:rPr>
            </w:pPr>
          </w:p>
          <w:p w14:paraId="50BF495E">
            <w:pPr>
              <w:spacing w:line="253" w:lineRule="auto"/>
              <w:rPr>
                <w:rFonts w:ascii="Arial"/>
                <w:sz w:val="21"/>
              </w:rPr>
            </w:pPr>
          </w:p>
          <w:p w14:paraId="6FE65149">
            <w:pPr>
              <w:spacing w:line="253" w:lineRule="auto"/>
              <w:rPr>
                <w:rFonts w:ascii="Arial"/>
                <w:sz w:val="21"/>
              </w:rPr>
            </w:pPr>
          </w:p>
          <w:p w14:paraId="3255A61A">
            <w:pPr>
              <w:pStyle w:val="6"/>
              <w:spacing w:before="61" w:line="219" w:lineRule="auto"/>
              <w:ind w:left="17"/>
              <w:rPr>
                <w:sz w:val="19"/>
                <w:szCs w:val="19"/>
              </w:rPr>
            </w:pPr>
            <w:r>
              <w:rPr>
                <w:b/>
                <w:bCs/>
                <w:spacing w:val="-4"/>
                <w:sz w:val="19"/>
                <w:szCs w:val="19"/>
              </w:rPr>
              <w:t>发文办理</w:t>
            </w:r>
          </w:p>
        </w:tc>
        <w:tc>
          <w:tcPr>
            <w:tcW w:w="2324" w:type="dxa"/>
            <w:tcBorders>
              <w:bottom w:val="nil"/>
            </w:tcBorders>
            <w:vAlign w:val="top"/>
          </w:tcPr>
          <w:p w14:paraId="7F610098">
            <w:pPr>
              <w:pStyle w:val="6"/>
              <w:spacing w:before="17" w:line="195" w:lineRule="auto"/>
              <w:ind w:left="14"/>
              <w:rPr>
                <w:sz w:val="19"/>
                <w:szCs w:val="19"/>
              </w:rPr>
            </w:pPr>
            <w:r>
              <w:rPr>
                <w:b/>
                <w:bCs/>
                <w:spacing w:val="-2"/>
                <w:sz w:val="19"/>
                <w:szCs w:val="19"/>
              </w:rPr>
              <w:t>1.起草公文</w:t>
            </w:r>
          </w:p>
        </w:tc>
        <w:tc>
          <w:tcPr>
            <w:tcW w:w="220" w:type="dxa"/>
            <w:tcBorders>
              <w:bottom w:val="nil"/>
            </w:tcBorders>
            <w:vAlign w:val="top"/>
          </w:tcPr>
          <w:p w14:paraId="6B2DB674">
            <w:pPr>
              <w:spacing w:line="217" w:lineRule="exact"/>
              <w:rPr>
                <w:rFonts w:ascii="Arial"/>
                <w:sz w:val="18"/>
              </w:rPr>
            </w:pPr>
          </w:p>
        </w:tc>
        <w:tc>
          <w:tcPr>
            <w:tcW w:w="219" w:type="dxa"/>
            <w:tcBorders>
              <w:bottom w:val="nil"/>
            </w:tcBorders>
            <w:vAlign w:val="top"/>
          </w:tcPr>
          <w:p w14:paraId="76EC1691">
            <w:pPr>
              <w:spacing w:line="217" w:lineRule="exact"/>
              <w:rPr>
                <w:rFonts w:ascii="Arial"/>
                <w:sz w:val="18"/>
              </w:rPr>
            </w:pPr>
          </w:p>
        </w:tc>
        <w:tc>
          <w:tcPr>
            <w:tcW w:w="229" w:type="dxa"/>
            <w:tcBorders>
              <w:bottom w:val="nil"/>
            </w:tcBorders>
            <w:vAlign w:val="top"/>
          </w:tcPr>
          <w:p w14:paraId="4A182B8F">
            <w:pPr>
              <w:spacing w:line="217" w:lineRule="exact"/>
              <w:rPr>
                <w:rFonts w:ascii="Arial"/>
                <w:sz w:val="18"/>
              </w:rPr>
            </w:pPr>
          </w:p>
        </w:tc>
        <w:tc>
          <w:tcPr>
            <w:tcW w:w="234" w:type="dxa"/>
            <w:tcBorders>
              <w:bottom w:val="nil"/>
            </w:tcBorders>
            <w:vAlign w:val="top"/>
          </w:tcPr>
          <w:p w14:paraId="40703339">
            <w:pPr>
              <w:spacing w:line="217" w:lineRule="exact"/>
              <w:rPr>
                <w:rFonts w:ascii="Arial"/>
                <w:sz w:val="18"/>
              </w:rPr>
            </w:pPr>
          </w:p>
        </w:tc>
      </w:tr>
      <w:tr w14:paraId="109666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43" w:hRule="atLeast"/>
        </w:trPr>
        <w:tc>
          <w:tcPr>
            <w:tcW w:w="893" w:type="dxa"/>
            <w:vMerge w:val="continue"/>
            <w:tcBorders>
              <w:top w:val="nil"/>
              <w:bottom w:val="nil"/>
            </w:tcBorders>
            <w:vAlign w:val="top"/>
          </w:tcPr>
          <w:p w14:paraId="48CDC9C9">
            <w:pPr>
              <w:rPr>
                <w:rFonts w:ascii="Arial"/>
                <w:sz w:val="21"/>
              </w:rPr>
            </w:pPr>
          </w:p>
        </w:tc>
        <w:tc>
          <w:tcPr>
            <w:tcW w:w="2324" w:type="dxa"/>
            <w:tcBorders>
              <w:top w:val="nil"/>
              <w:bottom w:val="nil"/>
            </w:tcBorders>
            <w:vAlign w:val="top"/>
          </w:tcPr>
          <w:p w14:paraId="1165E39D">
            <w:pPr>
              <w:pStyle w:val="6"/>
              <w:spacing w:before="30" w:line="195" w:lineRule="auto"/>
              <w:ind w:left="14" w:right="1165" w:firstLine="80"/>
              <w:jc w:val="both"/>
              <w:rPr>
                <w:sz w:val="19"/>
                <w:szCs w:val="19"/>
              </w:rPr>
            </w:pPr>
            <w:r>
              <w:rPr>
                <w:b/>
                <w:bCs/>
                <w:spacing w:val="-1"/>
                <w:sz w:val="19"/>
                <w:szCs w:val="19"/>
              </w:rPr>
              <w:t>(1)任务分析</w:t>
            </w:r>
            <w:r>
              <w:rPr>
                <w:sz w:val="19"/>
                <w:szCs w:val="19"/>
              </w:rPr>
              <w:t xml:space="preserve"> </w:t>
            </w:r>
            <w:r>
              <w:rPr>
                <w:b/>
                <w:bCs/>
                <w:spacing w:val="10"/>
                <w:sz w:val="19"/>
                <w:szCs w:val="19"/>
              </w:rPr>
              <w:t>(2)工作步骤</w:t>
            </w:r>
            <w:r>
              <w:rPr>
                <w:spacing w:val="3"/>
                <w:sz w:val="19"/>
                <w:szCs w:val="19"/>
              </w:rPr>
              <w:t xml:space="preserve"> </w:t>
            </w:r>
            <w:r>
              <w:rPr>
                <w:b/>
                <w:bCs/>
                <w:spacing w:val="-4"/>
                <w:sz w:val="19"/>
                <w:szCs w:val="19"/>
              </w:rPr>
              <w:t>2.审核、签发</w:t>
            </w:r>
            <w:r>
              <w:rPr>
                <w:spacing w:val="3"/>
                <w:sz w:val="19"/>
                <w:szCs w:val="19"/>
              </w:rPr>
              <w:t xml:space="preserve"> </w:t>
            </w:r>
            <w:r>
              <w:rPr>
                <w:b/>
                <w:bCs/>
                <w:spacing w:val="10"/>
                <w:sz w:val="19"/>
                <w:szCs w:val="19"/>
              </w:rPr>
              <w:t>(1)任务分析</w:t>
            </w:r>
          </w:p>
        </w:tc>
        <w:tc>
          <w:tcPr>
            <w:tcW w:w="220" w:type="dxa"/>
            <w:tcBorders>
              <w:top w:val="nil"/>
              <w:bottom w:val="nil"/>
            </w:tcBorders>
            <w:vAlign w:val="top"/>
          </w:tcPr>
          <w:p w14:paraId="34CD90B4">
            <w:pPr>
              <w:rPr>
                <w:rFonts w:ascii="Arial"/>
                <w:sz w:val="21"/>
              </w:rPr>
            </w:pPr>
          </w:p>
        </w:tc>
        <w:tc>
          <w:tcPr>
            <w:tcW w:w="219" w:type="dxa"/>
            <w:tcBorders>
              <w:top w:val="nil"/>
              <w:bottom w:val="nil"/>
            </w:tcBorders>
            <w:vAlign w:val="top"/>
          </w:tcPr>
          <w:p w14:paraId="248FFA1D">
            <w:pPr>
              <w:rPr>
                <w:rFonts w:ascii="Arial"/>
                <w:sz w:val="21"/>
              </w:rPr>
            </w:pPr>
          </w:p>
        </w:tc>
        <w:tc>
          <w:tcPr>
            <w:tcW w:w="229" w:type="dxa"/>
            <w:tcBorders>
              <w:top w:val="nil"/>
              <w:bottom w:val="nil"/>
            </w:tcBorders>
            <w:vAlign w:val="top"/>
          </w:tcPr>
          <w:p w14:paraId="78459F65">
            <w:pPr>
              <w:rPr>
                <w:rFonts w:ascii="Arial"/>
                <w:sz w:val="21"/>
              </w:rPr>
            </w:pPr>
          </w:p>
        </w:tc>
        <w:tc>
          <w:tcPr>
            <w:tcW w:w="234" w:type="dxa"/>
            <w:tcBorders>
              <w:top w:val="nil"/>
              <w:bottom w:val="nil"/>
            </w:tcBorders>
            <w:vAlign w:val="top"/>
          </w:tcPr>
          <w:p w14:paraId="5638A2C6">
            <w:pPr>
              <w:rPr>
                <w:rFonts w:ascii="Arial"/>
                <w:sz w:val="21"/>
              </w:rPr>
            </w:pPr>
          </w:p>
        </w:tc>
      </w:tr>
      <w:tr w14:paraId="59E53E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4" w:hRule="atLeast"/>
        </w:trPr>
        <w:tc>
          <w:tcPr>
            <w:tcW w:w="893" w:type="dxa"/>
            <w:vMerge w:val="continue"/>
            <w:tcBorders>
              <w:top w:val="nil"/>
              <w:bottom w:val="nil"/>
            </w:tcBorders>
            <w:vAlign w:val="top"/>
          </w:tcPr>
          <w:p w14:paraId="1D191FEA">
            <w:pPr>
              <w:rPr>
                <w:rFonts w:ascii="Arial"/>
                <w:sz w:val="21"/>
              </w:rPr>
            </w:pPr>
          </w:p>
        </w:tc>
        <w:tc>
          <w:tcPr>
            <w:tcW w:w="2324" w:type="dxa"/>
            <w:tcBorders>
              <w:top w:val="nil"/>
              <w:bottom w:val="nil"/>
            </w:tcBorders>
            <w:vAlign w:val="top"/>
          </w:tcPr>
          <w:p w14:paraId="3AE9CCD2">
            <w:pPr>
              <w:pStyle w:val="6"/>
              <w:spacing w:before="27" w:line="188" w:lineRule="auto"/>
              <w:ind w:left="94" w:right="1090"/>
              <w:rPr>
                <w:sz w:val="19"/>
                <w:szCs w:val="19"/>
              </w:rPr>
            </w:pPr>
            <w:r>
              <w:rPr>
                <w:b/>
                <w:bCs/>
                <w:spacing w:val="-1"/>
                <w:sz w:val="19"/>
                <w:szCs w:val="19"/>
              </w:rPr>
              <w:t>(2)工作步骤</w:t>
            </w:r>
            <w:r>
              <w:rPr>
                <w:sz w:val="19"/>
                <w:szCs w:val="19"/>
              </w:rPr>
              <w:t xml:space="preserve">  </w:t>
            </w:r>
            <w:r>
              <w:rPr>
                <w:b/>
                <w:bCs/>
                <w:spacing w:val="-4"/>
                <w:sz w:val="19"/>
                <w:szCs w:val="19"/>
              </w:rPr>
              <w:t>3.复核、登记</w:t>
            </w:r>
          </w:p>
        </w:tc>
        <w:tc>
          <w:tcPr>
            <w:tcW w:w="220" w:type="dxa"/>
            <w:tcBorders>
              <w:top w:val="nil"/>
              <w:bottom w:val="nil"/>
            </w:tcBorders>
            <w:vAlign w:val="top"/>
          </w:tcPr>
          <w:p w14:paraId="6AB3A742">
            <w:pPr>
              <w:rPr>
                <w:rFonts w:ascii="Arial"/>
                <w:sz w:val="21"/>
              </w:rPr>
            </w:pPr>
          </w:p>
        </w:tc>
        <w:tc>
          <w:tcPr>
            <w:tcW w:w="219" w:type="dxa"/>
            <w:tcBorders>
              <w:top w:val="nil"/>
              <w:bottom w:val="nil"/>
            </w:tcBorders>
            <w:vAlign w:val="top"/>
          </w:tcPr>
          <w:p w14:paraId="02C4AF17">
            <w:pPr>
              <w:rPr>
                <w:rFonts w:ascii="Arial"/>
                <w:sz w:val="21"/>
              </w:rPr>
            </w:pPr>
          </w:p>
        </w:tc>
        <w:tc>
          <w:tcPr>
            <w:tcW w:w="229" w:type="dxa"/>
            <w:tcBorders>
              <w:top w:val="nil"/>
              <w:bottom w:val="nil"/>
            </w:tcBorders>
            <w:vAlign w:val="top"/>
          </w:tcPr>
          <w:p w14:paraId="740C919A">
            <w:pPr>
              <w:rPr>
                <w:rFonts w:ascii="Arial"/>
                <w:sz w:val="21"/>
              </w:rPr>
            </w:pPr>
          </w:p>
        </w:tc>
        <w:tc>
          <w:tcPr>
            <w:tcW w:w="234" w:type="dxa"/>
            <w:tcBorders>
              <w:top w:val="nil"/>
              <w:bottom w:val="nil"/>
            </w:tcBorders>
            <w:vAlign w:val="top"/>
          </w:tcPr>
          <w:p w14:paraId="65286986">
            <w:pPr>
              <w:rPr>
                <w:rFonts w:ascii="Arial"/>
                <w:sz w:val="21"/>
              </w:rPr>
            </w:pPr>
          </w:p>
        </w:tc>
      </w:tr>
      <w:tr w14:paraId="44D02E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39" w:hRule="atLeast"/>
        </w:trPr>
        <w:tc>
          <w:tcPr>
            <w:tcW w:w="893" w:type="dxa"/>
            <w:vMerge w:val="continue"/>
            <w:tcBorders>
              <w:top w:val="nil"/>
              <w:bottom w:val="nil"/>
            </w:tcBorders>
            <w:vAlign w:val="top"/>
          </w:tcPr>
          <w:p w14:paraId="6329495E">
            <w:pPr>
              <w:rPr>
                <w:rFonts w:ascii="Arial"/>
                <w:sz w:val="21"/>
              </w:rPr>
            </w:pPr>
          </w:p>
        </w:tc>
        <w:tc>
          <w:tcPr>
            <w:tcW w:w="2324" w:type="dxa"/>
            <w:tcBorders>
              <w:top w:val="nil"/>
              <w:bottom w:val="nil"/>
            </w:tcBorders>
            <w:vAlign w:val="top"/>
          </w:tcPr>
          <w:p w14:paraId="36AD47BF">
            <w:pPr>
              <w:pStyle w:val="6"/>
              <w:spacing w:before="22" w:line="199" w:lineRule="auto"/>
              <w:ind w:left="94" w:right="1085"/>
              <w:jc w:val="both"/>
              <w:rPr>
                <w:sz w:val="19"/>
                <w:szCs w:val="19"/>
              </w:rPr>
            </w:pPr>
            <w:r>
              <w:rPr>
                <w:b/>
                <w:bCs/>
                <w:spacing w:val="-1"/>
                <w:sz w:val="19"/>
                <w:szCs w:val="19"/>
              </w:rPr>
              <w:t>(1)任务分析</w:t>
            </w:r>
            <w:r>
              <w:rPr>
                <w:sz w:val="19"/>
                <w:szCs w:val="19"/>
              </w:rPr>
              <w:t xml:space="preserve">  </w:t>
            </w:r>
            <w:r>
              <w:rPr>
                <w:b/>
                <w:bCs/>
                <w:spacing w:val="-1"/>
                <w:sz w:val="19"/>
                <w:szCs w:val="19"/>
              </w:rPr>
              <w:t>(2)工作步骤</w:t>
            </w:r>
            <w:r>
              <w:rPr>
                <w:sz w:val="19"/>
                <w:szCs w:val="19"/>
              </w:rPr>
              <w:t xml:space="preserve">  </w:t>
            </w:r>
            <w:r>
              <w:rPr>
                <w:b/>
                <w:bCs/>
                <w:spacing w:val="-3"/>
                <w:sz w:val="19"/>
                <w:szCs w:val="19"/>
              </w:rPr>
              <w:t>4.印制、核发</w:t>
            </w:r>
            <w:r>
              <w:rPr>
                <w:sz w:val="19"/>
                <w:szCs w:val="19"/>
              </w:rPr>
              <w:t xml:space="preserve"> </w:t>
            </w:r>
            <w:r>
              <w:rPr>
                <w:b/>
                <w:bCs/>
                <w:spacing w:val="-1"/>
                <w:sz w:val="19"/>
                <w:szCs w:val="19"/>
              </w:rPr>
              <w:t>(1)任务分析</w:t>
            </w:r>
          </w:p>
          <w:p w14:paraId="0D6E0E6D">
            <w:pPr>
              <w:pStyle w:val="6"/>
              <w:spacing w:line="181" w:lineRule="auto"/>
              <w:ind w:left="94"/>
              <w:rPr>
                <w:sz w:val="19"/>
                <w:szCs w:val="19"/>
              </w:rPr>
            </w:pPr>
            <w:r>
              <w:rPr>
                <w:b/>
                <w:bCs/>
                <w:spacing w:val="-1"/>
                <w:sz w:val="19"/>
                <w:szCs w:val="19"/>
              </w:rPr>
              <w:t>(2)工作步骤</w:t>
            </w:r>
          </w:p>
        </w:tc>
        <w:tc>
          <w:tcPr>
            <w:tcW w:w="220" w:type="dxa"/>
            <w:tcBorders>
              <w:top w:val="nil"/>
              <w:bottom w:val="nil"/>
            </w:tcBorders>
            <w:vAlign w:val="top"/>
          </w:tcPr>
          <w:p w14:paraId="3CBE93F7">
            <w:pPr>
              <w:rPr>
                <w:rFonts w:ascii="Arial"/>
                <w:sz w:val="21"/>
              </w:rPr>
            </w:pPr>
          </w:p>
        </w:tc>
        <w:tc>
          <w:tcPr>
            <w:tcW w:w="219" w:type="dxa"/>
            <w:tcBorders>
              <w:top w:val="nil"/>
              <w:bottom w:val="nil"/>
            </w:tcBorders>
            <w:vAlign w:val="top"/>
          </w:tcPr>
          <w:p w14:paraId="205A79BE">
            <w:pPr>
              <w:rPr>
                <w:rFonts w:ascii="Arial"/>
                <w:sz w:val="21"/>
              </w:rPr>
            </w:pPr>
          </w:p>
        </w:tc>
        <w:tc>
          <w:tcPr>
            <w:tcW w:w="229" w:type="dxa"/>
            <w:tcBorders>
              <w:top w:val="nil"/>
              <w:bottom w:val="nil"/>
            </w:tcBorders>
            <w:vAlign w:val="top"/>
          </w:tcPr>
          <w:p w14:paraId="3BFBFCCE">
            <w:pPr>
              <w:rPr>
                <w:rFonts w:ascii="Arial"/>
                <w:sz w:val="21"/>
              </w:rPr>
            </w:pPr>
          </w:p>
        </w:tc>
        <w:tc>
          <w:tcPr>
            <w:tcW w:w="234" w:type="dxa"/>
            <w:tcBorders>
              <w:top w:val="nil"/>
              <w:bottom w:val="nil"/>
            </w:tcBorders>
            <w:vAlign w:val="top"/>
          </w:tcPr>
          <w:p w14:paraId="258DBDD9">
            <w:pPr>
              <w:rPr>
                <w:rFonts w:ascii="Arial"/>
                <w:sz w:val="21"/>
              </w:rPr>
            </w:pPr>
          </w:p>
        </w:tc>
      </w:tr>
      <w:tr w14:paraId="157CD0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33" w:hRule="atLeast"/>
        </w:trPr>
        <w:tc>
          <w:tcPr>
            <w:tcW w:w="893" w:type="dxa"/>
            <w:vMerge w:val="continue"/>
            <w:tcBorders>
              <w:top w:val="nil"/>
            </w:tcBorders>
            <w:vAlign w:val="top"/>
          </w:tcPr>
          <w:p w14:paraId="1CDE1D48">
            <w:pPr>
              <w:rPr>
                <w:rFonts w:ascii="Arial"/>
                <w:sz w:val="21"/>
              </w:rPr>
            </w:pPr>
          </w:p>
        </w:tc>
        <w:tc>
          <w:tcPr>
            <w:tcW w:w="2324" w:type="dxa"/>
            <w:tcBorders>
              <w:top w:val="nil"/>
            </w:tcBorders>
            <w:vAlign w:val="top"/>
          </w:tcPr>
          <w:p w14:paraId="32753024">
            <w:pPr>
              <w:pStyle w:val="6"/>
              <w:spacing w:before="24" w:line="193" w:lineRule="auto"/>
              <w:ind w:left="94"/>
              <w:rPr>
                <w:sz w:val="19"/>
                <w:szCs w:val="19"/>
              </w:rPr>
            </w:pPr>
            <w:r>
              <w:rPr>
                <w:b/>
                <w:bCs/>
                <w:sz w:val="19"/>
                <w:szCs w:val="19"/>
              </w:rPr>
              <w:t>5.知识平台</w:t>
            </w:r>
          </w:p>
          <w:p w14:paraId="02DEFB16">
            <w:pPr>
              <w:pStyle w:val="6"/>
              <w:spacing w:line="203" w:lineRule="auto"/>
              <w:ind w:left="94"/>
              <w:rPr>
                <w:sz w:val="19"/>
                <w:szCs w:val="19"/>
              </w:rPr>
            </w:pPr>
            <w:r>
              <w:rPr>
                <w:b/>
                <w:bCs/>
                <w:sz w:val="19"/>
                <w:szCs w:val="19"/>
              </w:rPr>
              <w:t>(1)行文规则</w:t>
            </w:r>
          </w:p>
          <w:p w14:paraId="4491ED48">
            <w:pPr>
              <w:pStyle w:val="6"/>
              <w:spacing w:before="1" w:line="189" w:lineRule="auto"/>
              <w:ind w:left="94" w:right="24" w:firstLine="9"/>
              <w:rPr>
                <w:sz w:val="19"/>
                <w:szCs w:val="19"/>
              </w:rPr>
            </w:pPr>
            <w:r>
              <w:rPr>
                <w:b/>
                <w:bCs/>
                <w:spacing w:val="-2"/>
                <w:sz w:val="19"/>
                <w:szCs w:val="19"/>
              </w:rPr>
              <w:t>(2)行文规范、格式规范及</w:t>
            </w:r>
            <w:r>
              <w:rPr>
                <w:sz w:val="19"/>
                <w:szCs w:val="19"/>
              </w:rPr>
              <w:t xml:space="preserve"> </w:t>
            </w:r>
            <w:r>
              <w:rPr>
                <w:b/>
                <w:bCs/>
                <w:spacing w:val="-2"/>
                <w:sz w:val="19"/>
                <w:szCs w:val="19"/>
              </w:rPr>
              <w:t>印装要求</w:t>
            </w:r>
          </w:p>
        </w:tc>
        <w:tc>
          <w:tcPr>
            <w:tcW w:w="220" w:type="dxa"/>
            <w:tcBorders>
              <w:top w:val="nil"/>
            </w:tcBorders>
            <w:vAlign w:val="top"/>
          </w:tcPr>
          <w:p w14:paraId="491290C2">
            <w:pPr>
              <w:rPr>
                <w:rFonts w:ascii="Arial"/>
                <w:sz w:val="21"/>
              </w:rPr>
            </w:pPr>
          </w:p>
        </w:tc>
        <w:tc>
          <w:tcPr>
            <w:tcW w:w="219" w:type="dxa"/>
            <w:tcBorders>
              <w:top w:val="nil"/>
            </w:tcBorders>
            <w:vAlign w:val="top"/>
          </w:tcPr>
          <w:p w14:paraId="4A76A9A3">
            <w:pPr>
              <w:rPr>
                <w:rFonts w:ascii="Arial"/>
                <w:sz w:val="21"/>
              </w:rPr>
            </w:pPr>
          </w:p>
        </w:tc>
        <w:tc>
          <w:tcPr>
            <w:tcW w:w="229" w:type="dxa"/>
            <w:tcBorders>
              <w:top w:val="nil"/>
            </w:tcBorders>
            <w:vAlign w:val="top"/>
          </w:tcPr>
          <w:p w14:paraId="7C42D290">
            <w:pPr>
              <w:rPr>
                <w:rFonts w:ascii="Arial"/>
                <w:sz w:val="21"/>
              </w:rPr>
            </w:pPr>
          </w:p>
        </w:tc>
        <w:tc>
          <w:tcPr>
            <w:tcW w:w="234" w:type="dxa"/>
            <w:tcBorders>
              <w:top w:val="nil"/>
            </w:tcBorders>
            <w:vAlign w:val="top"/>
          </w:tcPr>
          <w:p w14:paraId="0EC73C90">
            <w:pPr>
              <w:rPr>
                <w:rFonts w:ascii="Arial"/>
                <w:sz w:val="21"/>
              </w:rPr>
            </w:pPr>
          </w:p>
        </w:tc>
      </w:tr>
    </w:tbl>
    <w:p w14:paraId="539863AE">
      <w:pPr>
        <w:pStyle w:val="2"/>
        <w:spacing w:line="177" w:lineRule="exact"/>
        <w:rPr>
          <w:sz w:val="15"/>
        </w:rPr>
      </w:pPr>
    </w:p>
    <w:p w14:paraId="61C4593F">
      <w:pPr>
        <w:spacing w:line="177" w:lineRule="exact"/>
        <w:rPr>
          <w:sz w:val="15"/>
          <w:szCs w:val="15"/>
        </w:rPr>
        <w:sectPr>
          <w:footerReference r:id="rId64" w:type="default"/>
          <w:pgSz w:w="10660" w:h="15080"/>
          <w:pgMar w:top="400" w:right="1045" w:bottom="927" w:left="819" w:header="0" w:footer="719" w:gutter="0"/>
          <w:cols w:space="720" w:num="1"/>
        </w:sectPr>
      </w:pPr>
    </w:p>
    <w:p w14:paraId="30AD9CDB">
      <w:pPr>
        <w:spacing w:before="13"/>
      </w:pPr>
    </w:p>
    <w:p w14:paraId="402DCC08">
      <w:pPr>
        <w:spacing w:before="12"/>
      </w:pPr>
    </w:p>
    <w:p w14:paraId="72F3ABB2">
      <w:pPr>
        <w:spacing w:before="12"/>
      </w:pPr>
    </w:p>
    <w:p w14:paraId="04EC98CE">
      <w:pPr>
        <w:spacing w:before="12"/>
      </w:pPr>
    </w:p>
    <w:p w14:paraId="69BCF4AF">
      <w:pPr>
        <w:sectPr>
          <w:footerReference r:id="rId65" w:type="default"/>
          <w:pgSz w:w="10660" w:h="15080"/>
          <w:pgMar w:top="400" w:right="875" w:bottom="936" w:left="1005" w:header="0" w:footer="715" w:gutter="0"/>
          <w:cols w:equalWidth="0" w:num="1">
            <w:col w:w="8780"/>
          </w:cols>
        </w:sectPr>
      </w:pPr>
    </w:p>
    <w:tbl>
      <w:tblPr>
        <w:tblStyle w:val="5"/>
        <w:tblW w:w="4120" w:type="dxa"/>
        <w:tblInd w:w="14"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03"/>
        <w:gridCol w:w="2304"/>
        <w:gridCol w:w="239"/>
        <w:gridCol w:w="220"/>
        <w:gridCol w:w="220"/>
        <w:gridCol w:w="234"/>
      </w:tblGrid>
      <w:tr w14:paraId="35F427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5" w:hRule="atLeast"/>
        </w:trPr>
        <w:tc>
          <w:tcPr>
            <w:tcW w:w="903" w:type="dxa"/>
            <w:vMerge w:val="restart"/>
            <w:tcBorders>
              <w:bottom w:val="nil"/>
            </w:tcBorders>
            <w:vAlign w:val="top"/>
          </w:tcPr>
          <w:p w14:paraId="1B7B3EA0">
            <w:pPr>
              <w:pStyle w:val="6"/>
              <w:spacing w:before="20" w:line="196" w:lineRule="auto"/>
              <w:ind w:left="257" w:right="1" w:hanging="240"/>
              <w:rPr>
                <w:sz w:val="19"/>
                <w:szCs w:val="19"/>
              </w:rPr>
            </w:pPr>
            <w:r>
              <w:rPr>
                <w:b/>
                <w:bCs/>
                <w:spacing w:val="-20"/>
                <w:sz w:val="19"/>
                <w:szCs w:val="19"/>
              </w:rPr>
              <w:t>知识</w:t>
            </w:r>
            <w:r>
              <w:rPr>
                <w:b/>
                <w:bCs/>
                <w:spacing w:val="-19"/>
                <w:sz w:val="19"/>
                <w:szCs w:val="19"/>
              </w:rPr>
              <w:t>与技</w:t>
            </w:r>
            <w:r>
              <w:rPr>
                <w:b/>
                <w:bCs/>
                <w:spacing w:val="-12"/>
                <w:sz w:val="19"/>
                <w:szCs w:val="19"/>
              </w:rPr>
              <w:t>能</w:t>
            </w:r>
            <w:r>
              <w:rPr>
                <w:spacing w:val="2"/>
                <w:sz w:val="19"/>
                <w:szCs w:val="19"/>
              </w:rPr>
              <w:t xml:space="preserve"> </w:t>
            </w:r>
            <w:r>
              <w:rPr>
                <w:b/>
                <w:bCs/>
                <w:spacing w:val="-5"/>
                <w:sz w:val="19"/>
                <w:szCs w:val="19"/>
              </w:rPr>
              <w:t>要点</w:t>
            </w:r>
          </w:p>
        </w:tc>
        <w:tc>
          <w:tcPr>
            <w:tcW w:w="2304" w:type="dxa"/>
            <w:vMerge w:val="restart"/>
            <w:tcBorders>
              <w:bottom w:val="nil"/>
            </w:tcBorders>
            <w:vAlign w:val="top"/>
          </w:tcPr>
          <w:p w14:paraId="252CEB64">
            <w:pPr>
              <w:pStyle w:val="6"/>
              <w:spacing w:before="120" w:line="219" w:lineRule="auto"/>
              <w:ind w:left="834"/>
              <w:rPr>
                <w:sz w:val="19"/>
                <w:szCs w:val="19"/>
              </w:rPr>
            </w:pPr>
            <w:r>
              <w:rPr>
                <w:b/>
                <w:bCs/>
                <w:spacing w:val="5"/>
                <w:sz w:val="19"/>
                <w:szCs w:val="19"/>
              </w:rPr>
              <w:t>考试条目</w:t>
            </w:r>
          </w:p>
        </w:tc>
        <w:tc>
          <w:tcPr>
            <w:tcW w:w="913" w:type="dxa"/>
            <w:gridSpan w:val="4"/>
            <w:vAlign w:val="top"/>
          </w:tcPr>
          <w:p w14:paraId="464975BF">
            <w:pPr>
              <w:pStyle w:val="6"/>
              <w:spacing w:before="19" w:line="190" w:lineRule="auto"/>
              <w:ind w:right="17"/>
              <w:jc w:val="right"/>
              <w:rPr>
                <w:sz w:val="19"/>
                <w:szCs w:val="19"/>
              </w:rPr>
            </w:pPr>
            <w:r>
              <w:rPr>
                <w:b/>
                <w:bCs/>
                <w:spacing w:val="-4"/>
                <w:sz w:val="19"/>
                <w:szCs w:val="19"/>
              </w:rPr>
              <w:t>考试水平</w:t>
            </w:r>
          </w:p>
        </w:tc>
      </w:tr>
      <w:tr w14:paraId="5E1AF2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99" w:hRule="atLeast"/>
        </w:trPr>
        <w:tc>
          <w:tcPr>
            <w:tcW w:w="903" w:type="dxa"/>
            <w:vMerge w:val="continue"/>
            <w:tcBorders>
              <w:top w:val="nil"/>
            </w:tcBorders>
            <w:vAlign w:val="top"/>
          </w:tcPr>
          <w:p w14:paraId="514AB9D3">
            <w:pPr>
              <w:rPr>
                <w:rFonts w:ascii="Arial"/>
                <w:sz w:val="21"/>
              </w:rPr>
            </w:pPr>
          </w:p>
        </w:tc>
        <w:tc>
          <w:tcPr>
            <w:tcW w:w="2304" w:type="dxa"/>
            <w:vMerge w:val="continue"/>
            <w:tcBorders>
              <w:top w:val="nil"/>
            </w:tcBorders>
            <w:vAlign w:val="top"/>
          </w:tcPr>
          <w:p w14:paraId="0573F8FD">
            <w:pPr>
              <w:rPr>
                <w:rFonts w:ascii="Arial"/>
                <w:sz w:val="21"/>
              </w:rPr>
            </w:pPr>
          </w:p>
        </w:tc>
        <w:tc>
          <w:tcPr>
            <w:tcW w:w="239" w:type="dxa"/>
            <w:vAlign w:val="top"/>
          </w:tcPr>
          <w:p w14:paraId="5A9097D5">
            <w:pPr>
              <w:pStyle w:val="6"/>
              <w:spacing w:before="65" w:line="124" w:lineRule="exact"/>
              <w:ind w:left="30"/>
              <w:rPr>
                <w:sz w:val="19"/>
                <w:szCs w:val="19"/>
              </w:rPr>
            </w:pPr>
            <w:r>
              <w:rPr>
                <w:b/>
                <w:bCs/>
                <w:spacing w:val="-2"/>
                <w:position w:val="-3"/>
                <w:sz w:val="19"/>
                <w:szCs w:val="19"/>
              </w:rPr>
              <w:t>A</w:t>
            </w:r>
          </w:p>
        </w:tc>
        <w:tc>
          <w:tcPr>
            <w:tcW w:w="220" w:type="dxa"/>
            <w:vAlign w:val="top"/>
          </w:tcPr>
          <w:p w14:paraId="75D69A38">
            <w:pPr>
              <w:pStyle w:val="6"/>
              <w:spacing w:before="68" w:line="121" w:lineRule="exact"/>
              <w:ind w:left="21"/>
              <w:rPr>
                <w:sz w:val="19"/>
                <w:szCs w:val="19"/>
              </w:rPr>
            </w:pPr>
            <w:r>
              <w:rPr>
                <w:b/>
                <w:bCs/>
                <w:spacing w:val="-2"/>
                <w:position w:val="-3"/>
                <w:sz w:val="19"/>
                <w:szCs w:val="19"/>
              </w:rPr>
              <w:t>B</w:t>
            </w:r>
          </w:p>
        </w:tc>
        <w:tc>
          <w:tcPr>
            <w:tcW w:w="220" w:type="dxa"/>
            <w:vAlign w:val="top"/>
          </w:tcPr>
          <w:p w14:paraId="28BC689D">
            <w:pPr>
              <w:pStyle w:val="6"/>
              <w:spacing w:before="65" w:line="124" w:lineRule="exact"/>
              <w:ind w:left="31"/>
              <w:rPr>
                <w:sz w:val="19"/>
                <w:szCs w:val="19"/>
              </w:rPr>
            </w:pPr>
            <w:r>
              <w:rPr>
                <w:b/>
                <w:bCs/>
                <w:spacing w:val="-2"/>
                <w:position w:val="-3"/>
                <w:sz w:val="19"/>
                <w:szCs w:val="19"/>
              </w:rPr>
              <w:t>C</w:t>
            </w:r>
          </w:p>
        </w:tc>
        <w:tc>
          <w:tcPr>
            <w:tcW w:w="234" w:type="dxa"/>
            <w:vAlign w:val="top"/>
          </w:tcPr>
          <w:p w14:paraId="019726AD">
            <w:pPr>
              <w:pStyle w:val="6"/>
              <w:spacing w:before="68" w:line="121" w:lineRule="exact"/>
              <w:ind w:left="21"/>
              <w:rPr>
                <w:sz w:val="19"/>
                <w:szCs w:val="19"/>
              </w:rPr>
            </w:pPr>
            <w:r>
              <w:rPr>
                <w:b/>
                <w:bCs/>
                <w:spacing w:val="-2"/>
                <w:position w:val="-3"/>
                <w:sz w:val="19"/>
                <w:szCs w:val="19"/>
              </w:rPr>
              <w:t>D</w:t>
            </w:r>
          </w:p>
        </w:tc>
      </w:tr>
      <w:tr w14:paraId="7C9D89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06" w:hRule="atLeast"/>
        </w:trPr>
        <w:tc>
          <w:tcPr>
            <w:tcW w:w="903" w:type="dxa"/>
            <w:vAlign w:val="top"/>
          </w:tcPr>
          <w:p w14:paraId="1435EDD5">
            <w:pPr>
              <w:spacing w:line="264" w:lineRule="auto"/>
              <w:rPr>
                <w:rFonts w:ascii="Arial"/>
                <w:sz w:val="21"/>
              </w:rPr>
            </w:pPr>
          </w:p>
          <w:p w14:paraId="1D47A371">
            <w:pPr>
              <w:spacing w:line="264" w:lineRule="auto"/>
              <w:rPr>
                <w:rFonts w:ascii="Arial"/>
                <w:sz w:val="21"/>
              </w:rPr>
            </w:pPr>
          </w:p>
          <w:p w14:paraId="28C4DB67">
            <w:pPr>
              <w:spacing w:line="264" w:lineRule="auto"/>
              <w:rPr>
                <w:rFonts w:ascii="Arial"/>
                <w:sz w:val="21"/>
              </w:rPr>
            </w:pPr>
          </w:p>
          <w:p w14:paraId="0EF3027D">
            <w:pPr>
              <w:spacing w:line="264" w:lineRule="auto"/>
              <w:rPr>
                <w:rFonts w:ascii="Arial"/>
                <w:sz w:val="21"/>
              </w:rPr>
            </w:pPr>
          </w:p>
          <w:p w14:paraId="68EDA357">
            <w:pPr>
              <w:spacing w:line="264" w:lineRule="auto"/>
              <w:rPr>
                <w:rFonts w:ascii="Arial"/>
                <w:sz w:val="21"/>
              </w:rPr>
            </w:pPr>
          </w:p>
          <w:p w14:paraId="138FFD3C">
            <w:pPr>
              <w:spacing w:line="264" w:lineRule="auto"/>
              <w:rPr>
                <w:rFonts w:ascii="Arial"/>
                <w:sz w:val="21"/>
              </w:rPr>
            </w:pPr>
          </w:p>
          <w:p w14:paraId="1B3F7ECC">
            <w:pPr>
              <w:spacing w:line="264" w:lineRule="auto"/>
              <w:rPr>
                <w:rFonts w:ascii="Arial"/>
                <w:sz w:val="21"/>
              </w:rPr>
            </w:pPr>
          </w:p>
          <w:p w14:paraId="3FCCD25B">
            <w:pPr>
              <w:spacing w:line="265" w:lineRule="auto"/>
              <w:rPr>
                <w:rFonts w:ascii="Arial"/>
                <w:sz w:val="21"/>
              </w:rPr>
            </w:pPr>
          </w:p>
          <w:p w14:paraId="5DC2A255">
            <w:pPr>
              <w:spacing w:line="265" w:lineRule="auto"/>
              <w:rPr>
                <w:rFonts w:ascii="Arial"/>
                <w:sz w:val="21"/>
              </w:rPr>
            </w:pPr>
          </w:p>
          <w:p w14:paraId="3F6EB129">
            <w:pPr>
              <w:pStyle w:val="6"/>
              <w:spacing w:before="62" w:line="217" w:lineRule="auto"/>
              <w:ind w:left="257" w:right="74" w:hanging="190"/>
              <w:rPr>
                <w:sz w:val="19"/>
                <w:szCs w:val="19"/>
              </w:rPr>
            </w:pPr>
            <w:r>
              <w:rPr>
                <w:b/>
                <w:bCs/>
                <w:spacing w:val="-5"/>
                <w:sz w:val="19"/>
                <w:szCs w:val="19"/>
              </w:rPr>
              <w:t>纸质档案</w:t>
            </w:r>
            <w:r>
              <w:rPr>
                <w:spacing w:val="2"/>
                <w:sz w:val="19"/>
                <w:szCs w:val="19"/>
              </w:rPr>
              <w:t xml:space="preserve"> </w:t>
            </w:r>
            <w:r>
              <w:rPr>
                <w:b/>
                <w:bCs/>
                <w:spacing w:val="-5"/>
                <w:sz w:val="19"/>
                <w:szCs w:val="19"/>
              </w:rPr>
              <w:t>管理</w:t>
            </w:r>
          </w:p>
        </w:tc>
        <w:tc>
          <w:tcPr>
            <w:tcW w:w="2304" w:type="dxa"/>
            <w:vAlign w:val="top"/>
          </w:tcPr>
          <w:p w14:paraId="6CA8C25F">
            <w:pPr>
              <w:pStyle w:val="6"/>
              <w:spacing w:before="276" w:line="219" w:lineRule="auto"/>
              <w:ind w:left="74"/>
              <w:rPr>
                <w:sz w:val="19"/>
                <w:szCs w:val="19"/>
              </w:rPr>
            </w:pPr>
            <w:r>
              <w:rPr>
                <w:b/>
                <w:bCs/>
                <w:spacing w:val="-1"/>
                <w:sz w:val="19"/>
                <w:szCs w:val="19"/>
              </w:rPr>
              <w:t>1.接收归档</w:t>
            </w:r>
          </w:p>
          <w:p w14:paraId="3A7A720B">
            <w:pPr>
              <w:pStyle w:val="6"/>
              <w:spacing w:before="4" w:line="204" w:lineRule="auto"/>
              <w:ind w:left="74"/>
              <w:rPr>
                <w:sz w:val="19"/>
                <w:szCs w:val="19"/>
              </w:rPr>
            </w:pPr>
            <w:r>
              <w:rPr>
                <w:b/>
                <w:bCs/>
                <w:spacing w:val="-1"/>
                <w:sz w:val="19"/>
                <w:szCs w:val="19"/>
              </w:rPr>
              <w:t>(1)任务分析</w:t>
            </w:r>
          </w:p>
          <w:p w14:paraId="7131BEBE">
            <w:pPr>
              <w:pStyle w:val="6"/>
              <w:spacing w:line="195" w:lineRule="auto"/>
              <w:ind w:left="74"/>
              <w:rPr>
                <w:sz w:val="19"/>
                <w:szCs w:val="19"/>
              </w:rPr>
            </w:pPr>
            <w:r>
              <w:rPr>
                <w:b/>
                <w:bCs/>
                <w:spacing w:val="-1"/>
                <w:sz w:val="19"/>
                <w:szCs w:val="19"/>
              </w:rPr>
              <w:t>(2)工作步骤</w:t>
            </w:r>
          </w:p>
          <w:p w14:paraId="5E4AD7E4">
            <w:pPr>
              <w:pStyle w:val="6"/>
              <w:spacing w:line="220" w:lineRule="auto"/>
              <w:ind w:left="74"/>
              <w:rPr>
                <w:sz w:val="19"/>
                <w:szCs w:val="19"/>
              </w:rPr>
            </w:pPr>
            <w:r>
              <w:rPr>
                <w:b/>
                <w:bCs/>
                <w:spacing w:val="-4"/>
                <w:sz w:val="19"/>
                <w:szCs w:val="19"/>
              </w:rPr>
              <w:t>2.整理上架</w:t>
            </w:r>
          </w:p>
          <w:p w14:paraId="6ED0F5B8">
            <w:pPr>
              <w:pStyle w:val="6"/>
              <w:spacing w:before="2" w:line="204" w:lineRule="auto"/>
              <w:ind w:left="74"/>
              <w:rPr>
                <w:sz w:val="19"/>
                <w:szCs w:val="19"/>
              </w:rPr>
            </w:pPr>
            <w:r>
              <w:rPr>
                <w:b/>
                <w:bCs/>
                <w:spacing w:val="-1"/>
                <w:sz w:val="19"/>
                <w:szCs w:val="19"/>
              </w:rPr>
              <w:t>(1)任务分析</w:t>
            </w:r>
          </w:p>
          <w:p w14:paraId="205F5EBD">
            <w:pPr>
              <w:pStyle w:val="6"/>
              <w:spacing w:line="219" w:lineRule="auto"/>
              <w:ind w:left="74"/>
              <w:rPr>
                <w:sz w:val="19"/>
                <w:szCs w:val="19"/>
              </w:rPr>
            </w:pPr>
            <w:r>
              <w:rPr>
                <w:b/>
                <w:bCs/>
                <w:spacing w:val="-1"/>
                <w:sz w:val="19"/>
                <w:szCs w:val="19"/>
              </w:rPr>
              <w:t>(2)工作步骤</w:t>
            </w:r>
          </w:p>
          <w:p w14:paraId="1A082C1D">
            <w:pPr>
              <w:pStyle w:val="6"/>
              <w:spacing w:before="14" w:line="194" w:lineRule="auto"/>
              <w:ind w:left="74"/>
              <w:rPr>
                <w:sz w:val="19"/>
                <w:szCs w:val="19"/>
              </w:rPr>
            </w:pPr>
            <w:r>
              <w:rPr>
                <w:b/>
                <w:bCs/>
                <w:spacing w:val="-4"/>
                <w:sz w:val="19"/>
                <w:szCs w:val="19"/>
              </w:rPr>
              <w:t>3.安全保管</w:t>
            </w:r>
          </w:p>
          <w:p w14:paraId="5AD9EF67">
            <w:pPr>
              <w:pStyle w:val="6"/>
              <w:spacing w:line="219" w:lineRule="auto"/>
              <w:ind w:left="74"/>
              <w:rPr>
                <w:sz w:val="19"/>
                <w:szCs w:val="19"/>
              </w:rPr>
            </w:pPr>
            <w:r>
              <w:rPr>
                <w:b/>
                <w:bCs/>
                <w:spacing w:val="-1"/>
                <w:sz w:val="19"/>
                <w:szCs w:val="19"/>
              </w:rPr>
              <w:t>(1)任务分析</w:t>
            </w:r>
          </w:p>
          <w:p w14:paraId="2950D931">
            <w:pPr>
              <w:pStyle w:val="6"/>
              <w:spacing w:before="15" w:line="215" w:lineRule="auto"/>
              <w:ind w:left="74"/>
              <w:rPr>
                <w:sz w:val="19"/>
                <w:szCs w:val="19"/>
              </w:rPr>
            </w:pPr>
            <w:r>
              <w:rPr>
                <w:b/>
                <w:bCs/>
                <w:spacing w:val="-1"/>
                <w:sz w:val="19"/>
                <w:szCs w:val="19"/>
              </w:rPr>
              <w:t>(2)工作步骤</w:t>
            </w:r>
          </w:p>
          <w:p w14:paraId="0F9C4009">
            <w:pPr>
              <w:pStyle w:val="6"/>
              <w:spacing w:line="212" w:lineRule="auto"/>
              <w:ind w:left="74"/>
              <w:rPr>
                <w:sz w:val="19"/>
                <w:szCs w:val="19"/>
              </w:rPr>
            </w:pPr>
            <w:r>
              <w:rPr>
                <w:b/>
                <w:bCs/>
                <w:spacing w:val="-3"/>
                <w:sz w:val="19"/>
                <w:szCs w:val="19"/>
              </w:rPr>
              <w:t>4.登记统计</w:t>
            </w:r>
          </w:p>
          <w:p w14:paraId="4E500B6A">
            <w:pPr>
              <w:pStyle w:val="6"/>
              <w:spacing w:before="1" w:line="194" w:lineRule="auto"/>
              <w:ind w:left="74"/>
              <w:rPr>
                <w:sz w:val="19"/>
                <w:szCs w:val="19"/>
              </w:rPr>
            </w:pPr>
            <w:r>
              <w:rPr>
                <w:b/>
                <w:bCs/>
                <w:spacing w:val="-1"/>
                <w:sz w:val="19"/>
                <w:szCs w:val="19"/>
              </w:rPr>
              <w:t>(1)任务分析</w:t>
            </w:r>
          </w:p>
          <w:p w14:paraId="4FE18581">
            <w:pPr>
              <w:pStyle w:val="6"/>
              <w:spacing w:line="219" w:lineRule="auto"/>
              <w:ind w:left="74"/>
              <w:rPr>
                <w:sz w:val="19"/>
                <w:szCs w:val="19"/>
              </w:rPr>
            </w:pPr>
            <w:r>
              <w:rPr>
                <w:b/>
                <w:bCs/>
                <w:spacing w:val="-1"/>
                <w:sz w:val="19"/>
                <w:szCs w:val="19"/>
              </w:rPr>
              <w:t>(2)工作步骤</w:t>
            </w:r>
          </w:p>
          <w:p w14:paraId="66618615">
            <w:pPr>
              <w:pStyle w:val="6"/>
              <w:spacing w:before="23" w:line="205" w:lineRule="auto"/>
              <w:ind w:left="74"/>
              <w:rPr>
                <w:sz w:val="19"/>
                <w:szCs w:val="19"/>
              </w:rPr>
            </w:pPr>
            <w:r>
              <w:rPr>
                <w:b/>
                <w:bCs/>
                <w:sz w:val="19"/>
                <w:szCs w:val="19"/>
              </w:rPr>
              <w:t>5.提供利用</w:t>
            </w:r>
          </w:p>
          <w:p w14:paraId="68A6F15D">
            <w:pPr>
              <w:pStyle w:val="6"/>
              <w:spacing w:line="219" w:lineRule="auto"/>
              <w:ind w:left="74"/>
              <w:rPr>
                <w:sz w:val="19"/>
                <w:szCs w:val="19"/>
              </w:rPr>
            </w:pPr>
            <w:r>
              <w:rPr>
                <w:b/>
                <w:bCs/>
                <w:spacing w:val="-1"/>
                <w:sz w:val="19"/>
                <w:szCs w:val="19"/>
              </w:rPr>
              <w:t>(1)任务分析</w:t>
            </w:r>
          </w:p>
          <w:p w14:paraId="08EDE3DB">
            <w:pPr>
              <w:pStyle w:val="6"/>
              <w:spacing w:before="5" w:line="206" w:lineRule="auto"/>
              <w:ind w:left="74"/>
              <w:rPr>
                <w:sz w:val="19"/>
                <w:szCs w:val="19"/>
              </w:rPr>
            </w:pPr>
            <w:r>
              <w:rPr>
                <w:b/>
                <w:bCs/>
                <w:spacing w:val="-1"/>
                <w:sz w:val="19"/>
                <w:szCs w:val="19"/>
              </w:rPr>
              <w:t>(2)工作步骤</w:t>
            </w:r>
          </w:p>
          <w:p w14:paraId="76CDB836">
            <w:pPr>
              <w:pStyle w:val="6"/>
              <w:spacing w:before="1" w:line="220" w:lineRule="auto"/>
              <w:ind w:left="74"/>
              <w:rPr>
                <w:sz w:val="19"/>
                <w:szCs w:val="19"/>
              </w:rPr>
            </w:pPr>
            <w:r>
              <w:rPr>
                <w:b/>
                <w:bCs/>
                <w:sz w:val="19"/>
                <w:szCs w:val="19"/>
              </w:rPr>
              <w:t>6.知识平台</w:t>
            </w:r>
          </w:p>
          <w:p w14:paraId="6F186F96">
            <w:pPr>
              <w:pStyle w:val="6"/>
              <w:spacing w:line="204" w:lineRule="auto"/>
              <w:ind w:left="74"/>
              <w:rPr>
                <w:sz w:val="19"/>
                <w:szCs w:val="19"/>
              </w:rPr>
            </w:pPr>
            <w:r>
              <w:rPr>
                <w:b/>
                <w:bCs/>
                <w:spacing w:val="-1"/>
                <w:sz w:val="19"/>
                <w:szCs w:val="19"/>
              </w:rPr>
              <w:t>(1)文书与档案</w:t>
            </w:r>
          </w:p>
          <w:p w14:paraId="730FFB2E">
            <w:pPr>
              <w:pStyle w:val="6"/>
              <w:spacing w:before="1" w:line="219" w:lineRule="auto"/>
              <w:ind w:left="74"/>
              <w:rPr>
                <w:sz w:val="19"/>
                <w:szCs w:val="19"/>
              </w:rPr>
            </w:pPr>
            <w:r>
              <w:rPr>
                <w:b/>
                <w:bCs/>
                <w:spacing w:val="-1"/>
                <w:sz w:val="19"/>
                <w:szCs w:val="19"/>
              </w:rPr>
              <w:t>(2)接收归档</w:t>
            </w:r>
          </w:p>
          <w:p w14:paraId="4D0D26A1">
            <w:pPr>
              <w:pStyle w:val="6"/>
              <w:spacing w:before="4" w:line="204" w:lineRule="auto"/>
              <w:ind w:left="74"/>
              <w:rPr>
                <w:sz w:val="19"/>
                <w:szCs w:val="19"/>
              </w:rPr>
            </w:pPr>
            <w:r>
              <w:rPr>
                <w:b/>
                <w:bCs/>
                <w:spacing w:val="-2"/>
                <w:sz w:val="19"/>
                <w:szCs w:val="19"/>
              </w:rPr>
              <w:t>(3)档案整理</w:t>
            </w:r>
          </w:p>
          <w:p w14:paraId="728C2C54">
            <w:pPr>
              <w:pStyle w:val="6"/>
              <w:spacing w:line="194" w:lineRule="auto"/>
              <w:ind w:left="74"/>
              <w:rPr>
                <w:sz w:val="19"/>
                <w:szCs w:val="19"/>
              </w:rPr>
            </w:pPr>
            <w:r>
              <w:rPr>
                <w:b/>
                <w:bCs/>
                <w:spacing w:val="-1"/>
                <w:sz w:val="19"/>
                <w:szCs w:val="19"/>
              </w:rPr>
              <w:t>(4)安全保管</w:t>
            </w:r>
          </w:p>
          <w:p w14:paraId="54F89EC4">
            <w:pPr>
              <w:pStyle w:val="6"/>
              <w:spacing w:before="1" w:line="219" w:lineRule="auto"/>
              <w:ind w:left="74"/>
              <w:rPr>
                <w:sz w:val="19"/>
                <w:szCs w:val="19"/>
              </w:rPr>
            </w:pPr>
            <w:r>
              <w:rPr>
                <w:b/>
                <w:bCs/>
                <w:spacing w:val="-1"/>
                <w:sz w:val="19"/>
                <w:szCs w:val="19"/>
              </w:rPr>
              <w:t>(5)档案统计</w:t>
            </w:r>
          </w:p>
          <w:p w14:paraId="76811B23">
            <w:pPr>
              <w:pStyle w:val="6"/>
              <w:spacing w:before="4" w:line="219" w:lineRule="auto"/>
              <w:jc w:val="right"/>
              <w:rPr>
                <w:sz w:val="19"/>
                <w:szCs w:val="19"/>
              </w:rPr>
            </w:pPr>
            <w:r>
              <w:rPr>
                <w:b/>
                <w:bCs/>
                <w:spacing w:val="-27"/>
                <w:sz w:val="19"/>
                <w:szCs w:val="19"/>
              </w:rPr>
              <w:t>(6)档案利用工作的意</w:t>
            </w:r>
            <w:r>
              <w:rPr>
                <w:b/>
                <w:bCs/>
                <w:spacing w:val="-26"/>
                <w:sz w:val="19"/>
                <w:szCs w:val="19"/>
              </w:rPr>
              <w:t>义与目</w:t>
            </w:r>
            <w:r>
              <w:rPr>
                <w:b/>
                <w:bCs/>
                <w:spacing w:val="-15"/>
                <w:sz w:val="19"/>
                <w:szCs w:val="19"/>
              </w:rPr>
              <w:t>的</w:t>
            </w:r>
          </w:p>
        </w:tc>
        <w:tc>
          <w:tcPr>
            <w:tcW w:w="239" w:type="dxa"/>
            <w:vAlign w:val="top"/>
          </w:tcPr>
          <w:p w14:paraId="6EF5BF34">
            <w:pPr>
              <w:rPr>
                <w:rFonts w:ascii="Arial"/>
                <w:sz w:val="21"/>
              </w:rPr>
            </w:pPr>
          </w:p>
        </w:tc>
        <w:tc>
          <w:tcPr>
            <w:tcW w:w="220" w:type="dxa"/>
            <w:vAlign w:val="top"/>
          </w:tcPr>
          <w:p w14:paraId="36885C00">
            <w:pPr>
              <w:rPr>
                <w:rFonts w:ascii="Arial"/>
                <w:sz w:val="21"/>
              </w:rPr>
            </w:pPr>
          </w:p>
        </w:tc>
        <w:tc>
          <w:tcPr>
            <w:tcW w:w="220" w:type="dxa"/>
            <w:vAlign w:val="top"/>
          </w:tcPr>
          <w:p w14:paraId="48125B61">
            <w:pPr>
              <w:rPr>
                <w:rFonts w:ascii="Arial"/>
                <w:sz w:val="21"/>
              </w:rPr>
            </w:pPr>
          </w:p>
        </w:tc>
        <w:tc>
          <w:tcPr>
            <w:tcW w:w="234" w:type="dxa"/>
            <w:vAlign w:val="top"/>
          </w:tcPr>
          <w:p w14:paraId="44219142">
            <w:pPr>
              <w:rPr>
                <w:rFonts w:ascii="Arial"/>
                <w:sz w:val="21"/>
              </w:rPr>
            </w:pPr>
          </w:p>
        </w:tc>
      </w:tr>
    </w:tbl>
    <w:p w14:paraId="06005F0A">
      <w:pPr>
        <w:spacing w:before="129" w:line="222" w:lineRule="auto"/>
        <w:ind w:left="597"/>
        <w:rPr>
          <w:rFonts w:ascii="黑体" w:hAnsi="黑体" w:eastAsia="黑体" w:cs="黑体"/>
          <w:sz w:val="20"/>
          <w:szCs w:val="20"/>
        </w:rPr>
      </w:pPr>
      <w:r>
        <w:rPr>
          <w:rFonts w:ascii="黑体" w:hAnsi="黑体" w:eastAsia="黑体" w:cs="黑体"/>
          <w:b/>
          <w:bCs/>
          <w:spacing w:val="-5"/>
          <w:sz w:val="20"/>
          <w:szCs w:val="20"/>
        </w:rPr>
        <w:t>专题四</w:t>
      </w:r>
      <w:r>
        <w:rPr>
          <w:rFonts w:ascii="黑体" w:hAnsi="黑体" w:eastAsia="黑体" w:cs="黑体"/>
          <w:spacing w:val="-5"/>
          <w:sz w:val="20"/>
          <w:szCs w:val="20"/>
        </w:rPr>
        <w:t xml:space="preserve">  </w:t>
      </w:r>
      <w:r>
        <w:rPr>
          <w:rFonts w:ascii="黑体" w:hAnsi="黑体" w:eastAsia="黑体" w:cs="黑体"/>
          <w:b/>
          <w:bCs/>
          <w:spacing w:val="-5"/>
          <w:sz w:val="20"/>
          <w:szCs w:val="20"/>
        </w:rPr>
        <w:t>电子文件与数字档案管理</w:t>
      </w:r>
    </w:p>
    <w:p w14:paraId="576687D7">
      <w:pPr>
        <w:spacing w:line="70" w:lineRule="exact"/>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03"/>
        <w:gridCol w:w="2304"/>
        <w:gridCol w:w="229"/>
        <w:gridCol w:w="229"/>
        <w:gridCol w:w="220"/>
        <w:gridCol w:w="234"/>
      </w:tblGrid>
      <w:tr w14:paraId="4AE013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9" w:hRule="atLeast"/>
        </w:trPr>
        <w:tc>
          <w:tcPr>
            <w:tcW w:w="903" w:type="dxa"/>
            <w:vMerge w:val="restart"/>
            <w:tcBorders>
              <w:top w:val="single" w:color="000000" w:sz="2" w:space="0"/>
              <w:bottom w:val="nil"/>
            </w:tcBorders>
            <w:vAlign w:val="top"/>
          </w:tcPr>
          <w:p w14:paraId="10C54351">
            <w:pPr>
              <w:pStyle w:val="6"/>
              <w:spacing w:before="145" w:line="219" w:lineRule="auto"/>
              <w:ind w:left="257" w:right="1" w:hanging="240"/>
              <w:rPr>
                <w:sz w:val="19"/>
                <w:szCs w:val="19"/>
              </w:rPr>
            </w:pPr>
            <w:r>
              <w:rPr>
                <w:b/>
                <w:bCs/>
                <w:spacing w:val="-20"/>
                <w:sz w:val="19"/>
                <w:szCs w:val="19"/>
              </w:rPr>
              <w:t>知识</w:t>
            </w:r>
            <w:r>
              <w:rPr>
                <w:b/>
                <w:bCs/>
                <w:spacing w:val="-19"/>
                <w:sz w:val="19"/>
                <w:szCs w:val="19"/>
              </w:rPr>
              <w:t>与技</w:t>
            </w:r>
            <w:r>
              <w:rPr>
                <w:b/>
                <w:bCs/>
                <w:spacing w:val="-12"/>
                <w:sz w:val="19"/>
                <w:szCs w:val="19"/>
              </w:rPr>
              <w:t>能</w:t>
            </w:r>
            <w:r>
              <w:rPr>
                <w:spacing w:val="3"/>
                <w:sz w:val="19"/>
                <w:szCs w:val="19"/>
              </w:rPr>
              <w:t xml:space="preserve"> </w:t>
            </w:r>
            <w:r>
              <w:rPr>
                <w:b/>
                <w:bCs/>
                <w:spacing w:val="-5"/>
                <w:sz w:val="19"/>
                <w:szCs w:val="19"/>
              </w:rPr>
              <w:t>要点</w:t>
            </w:r>
          </w:p>
        </w:tc>
        <w:tc>
          <w:tcPr>
            <w:tcW w:w="2304" w:type="dxa"/>
            <w:vMerge w:val="restart"/>
            <w:tcBorders>
              <w:top w:val="single" w:color="000000" w:sz="2" w:space="0"/>
              <w:bottom w:val="nil"/>
            </w:tcBorders>
            <w:vAlign w:val="top"/>
          </w:tcPr>
          <w:p w14:paraId="19B58E87">
            <w:pPr>
              <w:pStyle w:val="6"/>
              <w:spacing w:before="255" w:line="219" w:lineRule="auto"/>
              <w:ind w:left="834"/>
              <w:rPr>
                <w:sz w:val="19"/>
                <w:szCs w:val="19"/>
              </w:rPr>
            </w:pPr>
            <w:r>
              <w:rPr>
                <w:b/>
                <w:bCs/>
                <w:spacing w:val="5"/>
                <w:sz w:val="19"/>
                <w:szCs w:val="19"/>
              </w:rPr>
              <w:t>考试条目</w:t>
            </w:r>
          </w:p>
        </w:tc>
        <w:tc>
          <w:tcPr>
            <w:tcW w:w="912" w:type="dxa"/>
            <w:gridSpan w:val="4"/>
            <w:tcBorders>
              <w:top w:val="single" w:color="000000" w:sz="2" w:space="0"/>
              <w:bottom w:val="single" w:color="000000" w:sz="2" w:space="0"/>
            </w:tcBorders>
            <w:vAlign w:val="top"/>
          </w:tcPr>
          <w:p w14:paraId="0AA39CDE">
            <w:pPr>
              <w:pStyle w:val="6"/>
              <w:spacing w:before="85" w:line="219" w:lineRule="auto"/>
              <w:ind w:right="16"/>
              <w:jc w:val="right"/>
              <w:rPr>
                <w:sz w:val="19"/>
                <w:szCs w:val="19"/>
              </w:rPr>
            </w:pPr>
            <w:r>
              <w:rPr>
                <w:b/>
                <w:bCs/>
                <w:spacing w:val="-4"/>
                <w:sz w:val="19"/>
                <w:szCs w:val="19"/>
              </w:rPr>
              <w:t>考试水平</w:t>
            </w:r>
          </w:p>
        </w:tc>
      </w:tr>
      <w:tr w14:paraId="481AB4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5" w:hRule="atLeast"/>
        </w:trPr>
        <w:tc>
          <w:tcPr>
            <w:tcW w:w="903" w:type="dxa"/>
            <w:vMerge w:val="continue"/>
            <w:tcBorders>
              <w:top w:val="nil"/>
              <w:bottom w:val="single" w:color="000000" w:sz="2" w:space="0"/>
            </w:tcBorders>
            <w:vAlign w:val="top"/>
          </w:tcPr>
          <w:p w14:paraId="7989BB14">
            <w:pPr>
              <w:rPr>
                <w:rFonts w:ascii="Arial"/>
                <w:sz w:val="21"/>
              </w:rPr>
            </w:pPr>
          </w:p>
        </w:tc>
        <w:tc>
          <w:tcPr>
            <w:tcW w:w="2304" w:type="dxa"/>
            <w:vMerge w:val="continue"/>
            <w:tcBorders>
              <w:top w:val="nil"/>
              <w:bottom w:val="single" w:color="000000" w:sz="2" w:space="0"/>
            </w:tcBorders>
            <w:vAlign w:val="top"/>
          </w:tcPr>
          <w:p w14:paraId="767F738E">
            <w:pPr>
              <w:rPr>
                <w:rFonts w:ascii="Arial"/>
                <w:sz w:val="21"/>
              </w:rPr>
            </w:pPr>
          </w:p>
        </w:tc>
        <w:tc>
          <w:tcPr>
            <w:tcW w:w="229" w:type="dxa"/>
            <w:tcBorders>
              <w:top w:val="single" w:color="000000" w:sz="2" w:space="0"/>
              <w:bottom w:val="single" w:color="000000" w:sz="2" w:space="0"/>
            </w:tcBorders>
            <w:vAlign w:val="top"/>
          </w:tcPr>
          <w:p w14:paraId="2C8EB895">
            <w:pPr>
              <w:pStyle w:val="6"/>
              <w:spacing w:before="121" w:line="184" w:lineRule="auto"/>
              <w:ind w:left="20"/>
              <w:rPr>
                <w:sz w:val="19"/>
                <w:szCs w:val="19"/>
              </w:rPr>
            </w:pPr>
            <w:r>
              <w:rPr>
                <w:b/>
                <w:bCs/>
                <w:spacing w:val="-2"/>
                <w:sz w:val="19"/>
                <w:szCs w:val="19"/>
              </w:rPr>
              <w:t>A</w:t>
            </w:r>
          </w:p>
        </w:tc>
        <w:tc>
          <w:tcPr>
            <w:tcW w:w="229" w:type="dxa"/>
            <w:tcBorders>
              <w:top w:val="single" w:color="000000" w:sz="2" w:space="0"/>
              <w:bottom w:val="single" w:color="000000" w:sz="2" w:space="0"/>
            </w:tcBorders>
            <w:vAlign w:val="top"/>
          </w:tcPr>
          <w:p w14:paraId="3AAAD44A">
            <w:pPr>
              <w:pStyle w:val="6"/>
              <w:spacing w:before="123" w:line="182" w:lineRule="auto"/>
              <w:ind w:left="21"/>
              <w:rPr>
                <w:sz w:val="19"/>
                <w:szCs w:val="19"/>
              </w:rPr>
            </w:pPr>
            <w:r>
              <w:rPr>
                <w:b/>
                <w:bCs/>
                <w:spacing w:val="-2"/>
                <w:sz w:val="19"/>
                <w:szCs w:val="19"/>
              </w:rPr>
              <w:t>B</w:t>
            </w:r>
          </w:p>
        </w:tc>
        <w:tc>
          <w:tcPr>
            <w:tcW w:w="220" w:type="dxa"/>
            <w:tcBorders>
              <w:top w:val="single" w:color="000000" w:sz="2" w:space="0"/>
              <w:bottom w:val="single" w:color="000000" w:sz="2" w:space="0"/>
            </w:tcBorders>
            <w:vAlign w:val="top"/>
          </w:tcPr>
          <w:p w14:paraId="52C5FA11">
            <w:pPr>
              <w:pStyle w:val="6"/>
              <w:spacing w:before="121" w:line="183" w:lineRule="auto"/>
              <w:ind w:left="52"/>
              <w:rPr>
                <w:sz w:val="19"/>
                <w:szCs w:val="19"/>
              </w:rPr>
            </w:pPr>
            <w:r>
              <w:rPr>
                <w:b/>
                <w:bCs/>
                <w:spacing w:val="-2"/>
                <w:sz w:val="19"/>
                <w:szCs w:val="19"/>
              </w:rPr>
              <w:t>C</w:t>
            </w:r>
          </w:p>
        </w:tc>
        <w:tc>
          <w:tcPr>
            <w:tcW w:w="234" w:type="dxa"/>
            <w:tcBorders>
              <w:top w:val="single" w:color="000000" w:sz="2" w:space="0"/>
              <w:bottom w:val="single" w:color="000000" w:sz="2" w:space="0"/>
            </w:tcBorders>
            <w:vAlign w:val="top"/>
          </w:tcPr>
          <w:p w14:paraId="31CBC140">
            <w:pPr>
              <w:pStyle w:val="6"/>
              <w:spacing w:before="123" w:line="182" w:lineRule="auto"/>
              <w:ind w:left="22"/>
              <w:rPr>
                <w:sz w:val="19"/>
                <w:szCs w:val="19"/>
              </w:rPr>
            </w:pPr>
            <w:r>
              <w:rPr>
                <w:b/>
                <w:bCs/>
                <w:spacing w:val="-2"/>
                <w:sz w:val="19"/>
                <w:szCs w:val="19"/>
              </w:rPr>
              <w:t>D</w:t>
            </w:r>
          </w:p>
        </w:tc>
      </w:tr>
      <w:tr w14:paraId="2317CF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32" w:hRule="atLeast"/>
        </w:trPr>
        <w:tc>
          <w:tcPr>
            <w:tcW w:w="903" w:type="dxa"/>
            <w:tcBorders>
              <w:top w:val="single" w:color="000000" w:sz="2" w:space="0"/>
              <w:bottom w:val="single" w:color="000000" w:sz="2" w:space="0"/>
            </w:tcBorders>
            <w:vAlign w:val="top"/>
          </w:tcPr>
          <w:p w14:paraId="1DB1B42B">
            <w:pPr>
              <w:spacing w:line="318" w:lineRule="auto"/>
              <w:rPr>
                <w:rFonts w:ascii="Arial"/>
                <w:sz w:val="21"/>
              </w:rPr>
            </w:pPr>
          </w:p>
          <w:p w14:paraId="3EE3BAF5">
            <w:pPr>
              <w:spacing w:line="318" w:lineRule="auto"/>
              <w:rPr>
                <w:rFonts w:ascii="Arial"/>
                <w:sz w:val="21"/>
              </w:rPr>
            </w:pPr>
          </w:p>
          <w:p w14:paraId="46A33317">
            <w:pPr>
              <w:spacing w:line="318" w:lineRule="auto"/>
              <w:rPr>
                <w:rFonts w:ascii="Arial"/>
                <w:sz w:val="21"/>
              </w:rPr>
            </w:pPr>
          </w:p>
          <w:p w14:paraId="602120A1">
            <w:pPr>
              <w:pStyle w:val="6"/>
              <w:spacing w:before="62" w:line="228" w:lineRule="auto"/>
              <w:ind w:left="254" w:right="59" w:hanging="190"/>
              <w:rPr>
                <w:sz w:val="19"/>
                <w:szCs w:val="19"/>
              </w:rPr>
            </w:pPr>
            <w:r>
              <w:rPr>
                <w:spacing w:val="2"/>
                <w:sz w:val="19"/>
                <w:szCs w:val="19"/>
              </w:rPr>
              <w:t>电子文件</w:t>
            </w:r>
            <w:r>
              <w:rPr>
                <w:sz w:val="19"/>
                <w:szCs w:val="19"/>
              </w:rPr>
              <w:t xml:space="preserve"> </w:t>
            </w:r>
            <w:r>
              <w:rPr>
                <w:spacing w:val="-3"/>
                <w:sz w:val="19"/>
                <w:szCs w:val="19"/>
              </w:rPr>
              <w:t>生成</w:t>
            </w:r>
          </w:p>
        </w:tc>
        <w:tc>
          <w:tcPr>
            <w:tcW w:w="2304" w:type="dxa"/>
            <w:tcBorders>
              <w:top w:val="single" w:color="000000" w:sz="2" w:space="0"/>
              <w:bottom w:val="single" w:color="000000" w:sz="2" w:space="0"/>
            </w:tcBorders>
            <w:vAlign w:val="top"/>
          </w:tcPr>
          <w:p w14:paraId="08E00FFC">
            <w:pPr>
              <w:pStyle w:val="6"/>
              <w:spacing w:before="256" w:line="214" w:lineRule="auto"/>
              <w:ind w:left="71" w:right="1163"/>
              <w:rPr>
                <w:sz w:val="19"/>
                <w:szCs w:val="19"/>
              </w:rPr>
            </w:pPr>
            <w:r>
              <w:rPr>
                <w:spacing w:val="1"/>
                <w:sz w:val="19"/>
                <w:szCs w:val="19"/>
              </w:rPr>
              <w:t>1.电子收文  (1)任务分析</w:t>
            </w:r>
            <w:r>
              <w:rPr>
                <w:spacing w:val="5"/>
                <w:sz w:val="19"/>
                <w:szCs w:val="19"/>
              </w:rPr>
              <w:t xml:space="preserve"> </w:t>
            </w:r>
            <w:r>
              <w:rPr>
                <w:spacing w:val="1"/>
                <w:sz w:val="19"/>
                <w:szCs w:val="19"/>
              </w:rPr>
              <w:t>(2)工作步骤</w:t>
            </w:r>
            <w:r>
              <w:rPr>
                <w:spacing w:val="5"/>
                <w:sz w:val="19"/>
                <w:szCs w:val="19"/>
              </w:rPr>
              <w:t xml:space="preserve"> </w:t>
            </w:r>
            <w:r>
              <w:rPr>
                <w:spacing w:val="1"/>
                <w:sz w:val="19"/>
                <w:szCs w:val="19"/>
              </w:rPr>
              <w:t>2.电子发文  (1)任务分析</w:t>
            </w:r>
            <w:r>
              <w:rPr>
                <w:spacing w:val="5"/>
                <w:sz w:val="19"/>
                <w:szCs w:val="19"/>
              </w:rPr>
              <w:t xml:space="preserve"> </w:t>
            </w:r>
            <w:r>
              <w:rPr>
                <w:spacing w:val="1"/>
                <w:sz w:val="19"/>
                <w:szCs w:val="19"/>
              </w:rPr>
              <w:t>(2)工作步骤</w:t>
            </w:r>
            <w:r>
              <w:rPr>
                <w:spacing w:val="5"/>
                <w:sz w:val="19"/>
                <w:szCs w:val="19"/>
              </w:rPr>
              <w:t xml:space="preserve"> </w:t>
            </w:r>
            <w:r>
              <w:rPr>
                <w:spacing w:val="3"/>
                <w:sz w:val="19"/>
                <w:szCs w:val="19"/>
              </w:rPr>
              <w:t>3.知识平台</w:t>
            </w:r>
            <w:r>
              <w:rPr>
                <w:sz w:val="19"/>
                <w:szCs w:val="19"/>
              </w:rPr>
              <w:t xml:space="preserve">  </w:t>
            </w:r>
            <w:r>
              <w:rPr>
                <w:spacing w:val="1"/>
                <w:sz w:val="19"/>
                <w:szCs w:val="19"/>
              </w:rPr>
              <w:t>(1)电子文件</w:t>
            </w:r>
          </w:p>
          <w:p w14:paraId="6CE5E3CB">
            <w:pPr>
              <w:pStyle w:val="6"/>
              <w:spacing w:before="24" w:line="219" w:lineRule="auto"/>
              <w:ind w:left="71"/>
              <w:rPr>
                <w:sz w:val="19"/>
                <w:szCs w:val="19"/>
              </w:rPr>
            </w:pPr>
            <w:r>
              <w:rPr>
                <w:spacing w:val="2"/>
                <w:sz w:val="19"/>
                <w:szCs w:val="19"/>
              </w:rPr>
              <w:t>(2)数字档案</w:t>
            </w:r>
          </w:p>
        </w:tc>
        <w:tc>
          <w:tcPr>
            <w:tcW w:w="229" w:type="dxa"/>
            <w:tcBorders>
              <w:top w:val="single" w:color="000000" w:sz="2" w:space="0"/>
              <w:bottom w:val="single" w:color="000000" w:sz="2" w:space="0"/>
            </w:tcBorders>
            <w:vAlign w:val="top"/>
          </w:tcPr>
          <w:p w14:paraId="55EBA487">
            <w:pPr>
              <w:rPr>
                <w:rFonts w:ascii="Arial"/>
                <w:sz w:val="21"/>
              </w:rPr>
            </w:pPr>
          </w:p>
        </w:tc>
        <w:tc>
          <w:tcPr>
            <w:tcW w:w="229" w:type="dxa"/>
            <w:tcBorders>
              <w:top w:val="single" w:color="000000" w:sz="2" w:space="0"/>
              <w:bottom w:val="single" w:color="000000" w:sz="2" w:space="0"/>
            </w:tcBorders>
            <w:vAlign w:val="top"/>
          </w:tcPr>
          <w:p w14:paraId="3DFFD87C">
            <w:pPr>
              <w:rPr>
                <w:rFonts w:ascii="Arial"/>
                <w:sz w:val="21"/>
              </w:rPr>
            </w:pPr>
          </w:p>
        </w:tc>
        <w:tc>
          <w:tcPr>
            <w:tcW w:w="220" w:type="dxa"/>
            <w:tcBorders>
              <w:top w:val="single" w:color="000000" w:sz="2" w:space="0"/>
              <w:bottom w:val="single" w:color="000000" w:sz="2" w:space="0"/>
            </w:tcBorders>
            <w:vAlign w:val="top"/>
          </w:tcPr>
          <w:p w14:paraId="729C3220">
            <w:pPr>
              <w:rPr>
                <w:rFonts w:ascii="Arial"/>
                <w:sz w:val="21"/>
              </w:rPr>
            </w:pPr>
          </w:p>
        </w:tc>
        <w:tc>
          <w:tcPr>
            <w:tcW w:w="234" w:type="dxa"/>
            <w:tcBorders>
              <w:top w:val="single" w:color="000000" w:sz="2" w:space="0"/>
              <w:bottom w:val="single" w:color="000000" w:sz="2" w:space="0"/>
            </w:tcBorders>
            <w:vAlign w:val="top"/>
          </w:tcPr>
          <w:p w14:paraId="707CC5FA">
            <w:pPr>
              <w:spacing w:line="261" w:lineRule="auto"/>
              <w:rPr>
                <w:rFonts w:ascii="Arial"/>
                <w:sz w:val="21"/>
              </w:rPr>
            </w:pPr>
          </w:p>
          <w:p w14:paraId="1CA19738">
            <w:pPr>
              <w:spacing w:line="261" w:lineRule="auto"/>
              <w:rPr>
                <w:rFonts w:ascii="Arial"/>
                <w:sz w:val="21"/>
              </w:rPr>
            </w:pPr>
          </w:p>
          <w:p w14:paraId="4DF7EE45">
            <w:pPr>
              <w:spacing w:line="261" w:lineRule="auto"/>
              <w:rPr>
                <w:rFonts w:ascii="Arial"/>
                <w:sz w:val="21"/>
              </w:rPr>
            </w:pPr>
          </w:p>
          <w:p w14:paraId="5916C619">
            <w:pPr>
              <w:spacing w:line="262" w:lineRule="auto"/>
              <w:rPr>
                <w:rFonts w:ascii="Arial"/>
                <w:sz w:val="21"/>
              </w:rPr>
            </w:pPr>
          </w:p>
          <w:p w14:paraId="5EF45A49">
            <w:pPr>
              <w:spacing w:line="262" w:lineRule="auto"/>
              <w:rPr>
                <w:rFonts w:ascii="Arial"/>
                <w:sz w:val="21"/>
              </w:rPr>
            </w:pPr>
          </w:p>
          <w:p w14:paraId="026C4A12">
            <w:pPr>
              <w:spacing w:line="262" w:lineRule="auto"/>
              <w:rPr>
                <w:rFonts w:ascii="Arial"/>
                <w:sz w:val="21"/>
              </w:rPr>
            </w:pPr>
          </w:p>
          <w:p w14:paraId="390642F8">
            <w:pPr>
              <w:spacing w:line="262" w:lineRule="auto"/>
              <w:rPr>
                <w:rFonts w:ascii="Arial"/>
                <w:sz w:val="21"/>
              </w:rPr>
            </w:pPr>
          </w:p>
          <w:p w14:paraId="2DF4B0A9">
            <w:pPr>
              <w:spacing w:line="314" w:lineRule="exact"/>
              <w:ind w:firstLine="67"/>
            </w:pPr>
            <w:r>
              <w:rPr>
                <w:position w:val="-6"/>
              </w:rPr>
              <w:drawing>
                <wp:inline distT="0" distB="0" distL="0" distR="0">
                  <wp:extent cx="85725" cy="198755"/>
                  <wp:effectExtent l="0" t="0" r="0" b="0"/>
                  <wp:docPr id="342" name="IM 342"/>
                  <wp:cNvGraphicFramePr/>
                  <a:graphic xmlns:a="http://schemas.openxmlformats.org/drawingml/2006/main">
                    <a:graphicData uri="http://schemas.openxmlformats.org/drawingml/2006/picture">
                      <pic:pic xmlns:pic="http://schemas.openxmlformats.org/drawingml/2006/picture">
                        <pic:nvPicPr>
                          <pic:cNvPr id="342" name="IM 342"/>
                          <pic:cNvPicPr/>
                        </pic:nvPicPr>
                        <pic:blipFill>
                          <a:blip r:embed="rId335"/>
                          <a:stretch>
                            <a:fillRect/>
                          </a:stretch>
                        </pic:blipFill>
                        <pic:spPr>
                          <a:xfrm>
                            <a:off x="0" y="0"/>
                            <a:ext cx="85730" cy="199250"/>
                          </a:xfrm>
                          <a:prstGeom prst="rect">
                            <a:avLst/>
                          </a:prstGeom>
                        </pic:spPr>
                      </pic:pic>
                    </a:graphicData>
                  </a:graphic>
                </wp:inline>
              </w:drawing>
            </w:r>
          </w:p>
        </w:tc>
      </w:tr>
      <w:tr w14:paraId="28A877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57" w:hRule="atLeast"/>
        </w:trPr>
        <w:tc>
          <w:tcPr>
            <w:tcW w:w="903" w:type="dxa"/>
            <w:tcBorders>
              <w:top w:val="single" w:color="000000" w:sz="2" w:space="0"/>
              <w:bottom w:val="single" w:color="000000" w:sz="2" w:space="0"/>
            </w:tcBorders>
            <w:vAlign w:val="top"/>
          </w:tcPr>
          <w:p w14:paraId="6AFFE1B8">
            <w:pPr>
              <w:spacing w:line="243" w:lineRule="auto"/>
              <w:rPr>
                <w:rFonts w:ascii="Arial"/>
                <w:sz w:val="21"/>
              </w:rPr>
            </w:pPr>
          </w:p>
          <w:p w14:paraId="246ED0A1">
            <w:pPr>
              <w:spacing w:line="243" w:lineRule="auto"/>
              <w:rPr>
                <w:rFonts w:ascii="Arial"/>
                <w:sz w:val="21"/>
              </w:rPr>
            </w:pPr>
          </w:p>
          <w:p w14:paraId="23FC6771">
            <w:pPr>
              <w:spacing w:line="243" w:lineRule="auto"/>
              <w:rPr>
                <w:rFonts w:ascii="Arial"/>
                <w:sz w:val="21"/>
              </w:rPr>
            </w:pPr>
          </w:p>
          <w:p w14:paraId="256D837F">
            <w:pPr>
              <w:spacing w:line="243" w:lineRule="auto"/>
              <w:rPr>
                <w:rFonts w:ascii="Arial"/>
                <w:sz w:val="21"/>
              </w:rPr>
            </w:pPr>
          </w:p>
          <w:p w14:paraId="22DC5CA5">
            <w:pPr>
              <w:spacing w:line="244" w:lineRule="auto"/>
              <w:rPr>
                <w:rFonts w:ascii="Arial"/>
                <w:sz w:val="21"/>
              </w:rPr>
            </w:pPr>
          </w:p>
          <w:p w14:paraId="01B9ED91">
            <w:pPr>
              <w:pStyle w:val="6"/>
              <w:spacing w:before="62" w:line="219" w:lineRule="auto"/>
              <w:ind w:left="64"/>
              <w:rPr>
                <w:sz w:val="19"/>
                <w:szCs w:val="19"/>
              </w:rPr>
            </w:pPr>
            <w:r>
              <w:rPr>
                <w:spacing w:val="2"/>
                <w:sz w:val="19"/>
                <w:szCs w:val="19"/>
              </w:rPr>
              <w:t>电子文件</w:t>
            </w:r>
          </w:p>
          <w:p w14:paraId="30130EA7">
            <w:pPr>
              <w:pStyle w:val="6"/>
              <w:spacing w:before="14" w:line="204" w:lineRule="auto"/>
              <w:ind w:left="64"/>
              <w:rPr>
                <w:sz w:val="19"/>
                <w:szCs w:val="19"/>
              </w:rPr>
            </w:pPr>
            <w:r>
              <w:rPr>
                <w:spacing w:val="2"/>
                <w:sz w:val="19"/>
                <w:szCs w:val="19"/>
              </w:rPr>
              <w:t>归档前处</w:t>
            </w:r>
          </w:p>
          <w:p w14:paraId="34D5007F">
            <w:pPr>
              <w:pStyle w:val="6"/>
              <w:spacing w:line="229" w:lineRule="auto"/>
              <w:ind w:left="344"/>
              <w:rPr>
                <w:sz w:val="19"/>
                <w:szCs w:val="19"/>
              </w:rPr>
            </w:pPr>
            <w:r>
              <w:rPr>
                <w:sz w:val="19"/>
                <w:szCs w:val="19"/>
              </w:rPr>
              <w:t>理</w:t>
            </w:r>
          </w:p>
        </w:tc>
        <w:tc>
          <w:tcPr>
            <w:tcW w:w="2304" w:type="dxa"/>
            <w:tcBorders>
              <w:top w:val="single" w:color="000000" w:sz="2" w:space="0"/>
              <w:bottom w:val="single" w:color="000000" w:sz="2" w:space="0"/>
            </w:tcBorders>
            <w:vAlign w:val="top"/>
          </w:tcPr>
          <w:p w14:paraId="76285C3E">
            <w:pPr>
              <w:pStyle w:val="6"/>
              <w:spacing w:before="191" w:line="213" w:lineRule="auto"/>
              <w:ind w:left="71" w:right="1163"/>
              <w:rPr>
                <w:sz w:val="19"/>
                <w:szCs w:val="19"/>
              </w:rPr>
            </w:pPr>
            <w:r>
              <w:rPr>
                <w:spacing w:val="1"/>
                <w:sz w:val="19"/>
                <w:szCs w:val="19"/>
              </w:rPr>
              <w:t>1.网上整理</w:t>
            </w:r>
            <w:r>
              <w:rPr>
                <w:sz w:val="19"/>
                <w:szCs w:val="19"/>
              </w:rPr>
              <w:t xml:space="preserve">  </w:t>
            </w:r>
            <w:r>
              <w:rPr>
                <w:spacing w:val="1"/>
                <w:sz w:val="19"/>
                <w:szCs w:val="19"/>
              </w:rPr>
              <w:t>(1)工作任务</w:t>
            </w:r>
            <w:r>
              <w:rPr>
                <w:spacing w:val="5"/>
                <w:sz w:val="19"/>
                <w:szCs w:val="19"/>
              </w:rPr>
              <w:t xml:space="preserve"> </w:t>
            </w:r>
            <w:r>
              <w:rPr>
                <w:spacing w:val="1"/>
                <w:sz w:val="19"/>
                <w:szCs w:val="19"/>
              </w:rPr>
              <w:t>(2)工作步骤</w:t>
            </w:r>
            <w:r>
              <w:rPr>
                <w:spacing w:val="5"/>
                <w:sz w:val="19"/>
                <w:szCs w:val="19"/>
              </w:rPr>
              <w:t xml:space="preserve"> </w:t>
            </w:r>
            <w:r>
              <w:rPr>
                <w:spacing w:val="-2"/>
                <w:sz w:val="19"/>
                <w:szCs w:val="19"/>
              </w:rPr>
              <w:t>2.追加文件</w:t>
            </w:r>
            <w:r>
              <w:rPr>
                <w:sz w:val="19"/>
                <w:szCs w:val="19"/>
              </w:rPr>
              <w:t xml:space="preserve">  </w:t>
            </w:r>
            <w:r>
              <w:rPr>
                <w:spacing w:val="1"/>
                <w:sz w:val="19"/>
                <w:szCs w:val="19"/>
              </w:rPr>
              <w:t>(1)工作任务</w:t>
            </w:r>
            <w:r>
              <w:rPr>
                <w:spacing w:val="5"/>
                <w:sz w:val="19"/>
                <w:szCs w:val="19"/>
              </w:rPr>
              <w:t xml:space="preserve"> </w:t>
            </w:r>
            <w:r>
              <w:rPr>
                <w:spacing w:val="1"/>
                <w:sz w:val="19"/>
                <w:szCs w:val="19"/>
              </w:rPr>
              <w:t>(2)工作步骤</w:t>
            </w:r>
            <w:r>
              <w:rPr>
                <w:spacing w:val="5"/>
                <w:sz w:val="19"/>
                <w:szCs w:val="19"/>
              </w:rPr>
              <w:t xml:space="preserve"> </w:t>
            </w:r>
            <w:r>
              <w:rPr>
                <w:spacing w:val="2"/>
                <w:sz w:val="19"/>
                <w:szCs w:val="19"/>
              </w:rPr>
              <w:t>3.预归档</w:t>
            </w:r>
          </w:p>
          <w:p w14:paraId="326E5346">
            <w:pPr>
              <w:pStyle w:val="6"/>
              <w:spacing w:before="2" w:line="216" w:lineRule="auto"/>
              <w:ind w:left="71" w:right="1163"/>
              <w:rPr>
                <w:sz w:val="19"/>
                <w:szCs w:val="19"/>
              </w:rPr>
            </w:pPr>
            <w:r>
              <w:rPr>
                <w:spacing w:val="1"/>
                <w:sz w:val="19"/>
                <w:szCs w:val="19"/>
              </w:rPr>
              <w:t>(1)工作任务</w:t>
            </w:r>
            <w:r>
              <w:rPr>
                <w:spacing w:val="5"/>
                <w:sz w:val="19"/>
                <w:szCs w:val="19"/>
              </w:rPr>
              <w:t xml:space="preserve"> </w:t>
            </w:r>
            <w:r>
              <w:rPr>
                <w:spacing w:val="1"/>
                <w:sz w:val="19"/>
                <w:szCs w:val="19"/>
              </w:rPr>
              <w:t>(2)工作步骤</w:t>
            </w:r>
            <w:r>
              <w:rPr>
                <w:spacing w:val="5"/>
                <w:sz w:val="19"/>
                <w:szCs w:val="19"/>
              </w:rPr>
              <w:t xml:space="preserve"> </w:t>
            </w:r>
            <w:r>
              <w:rPr>
                <w:spacing w:val="3"/>
                <w:sz w:val="19"/>
                <w:szCs w:val="19"/>
              </w:rPr>
              <w:t>4.知识平台</w:t>
            </w:r>
          </w:p>
          <w:p w14:paraId="2F10DB70">
            <w:pPr>
              <w:pStyle w:val="6"/>
              <w:spacing w:line="203" w:lineRule="auto"/>
              <w:ind w:left="71"/>
              <w:rPr>
                <w:sz w:val="19"/>
                <w:szCs w:val="19"/>
              </w:rPr>
            </w:pPr>
            <w:r>
              <w:rPr>
                <w:spacing w:val="2"/>
                <w:sz w:val="19"/>
                <w:szCs w:val="19"/>
              </w:rPr>
              <w:t>(1)电子文件管理原则</w:t>
            </w:r>
          </w:p>
          <w:p w14:paraId="11F9E9C0">
            <w:pPr>
              <w:pStyle w:val="6"/>
              <w:spacing w:line="228" w:lineRule="auto"/>
              <w:ind w:left="71" w:right="22" w:firstLine="10"/>
              <w:rPr>
                <w:sz w:val="19"/>
                <w:szCs w:val="19"/>
              </w:rPr>
            </w:pPr>
            <w:r>
              <w:rPr>
                <w:sz w:val="19"/>
                <w:szCs w:val="19"/>
              </w:rPr>
              <w:t>(2)电子文件与纸质文件整</w:t>
            </w:r>
            <w:r>
              <w:rPr>
                <w:spacing w:val="3"/>
                <w:sz w:val="19"/>
                <w:szCs w:val="19"/>
              </w:rPr>
              <w:t xml:space="preserve"> </w:t>
            </w:r>
            <w:r>
              <w:rPr>
                <w:spacing w:val="-3"/>
                <w:sz w:val="19"/>
                <w:szCs w:val="19"/>
              </w:rPr>
              <w:t>理比较</w:t>
            </w:r>
          </w:p>
        </w:tc>
        <w:tc>
          <w:tcPr>
            <w:tcW w:w="229" w:type="dxa"/>
            <w:tcBorders>
              <w:top w:val="single" w:color="000000" w:sz="2" w:space="0"/>
              <w:bottom w:val="single" w:color="000000" w:sz="2" w:space="0"/>
            </w:tcBorders>
            <w:vAlign w:val="top"/>
          </w:tcPr>
          <w:p w14:paraId="1DC5E3B0">
            <w:pPr>
              <w:rPr>
                <w:rFonts w:ascii="Arial"/>
                <w:sz w:val="21"/>
              </w:rPr>
            </w:pPr>
          </w:p>
        </w:tc>
        <w:tc>
          <w:tcPr>
            <w:tcW w:w="229" w:type="dxa"/>
            <w:tcBorders>
              <w:top w:val="single" w:color="000000" w:sz="2" w:space="0"/>
              <w:bottom w:val="single" w:color="000000" w:sz="2" w:space="0"/>
            </w:tcBorders>
            <w:vAlign w:val="top"/>
          </w:tcPr>
          <w:p w14:paraId="63CABB9F">
            <w:pPr>
              <w:rPr>
                <w:rFonts w:ascii="Arial"/>
                <w:sz w:val="21"/>
              </w:rPr>
            </w:pPr>
          </w:p>
        </w:tc>
        <w:tc>
          <w:tcPr>
            <w:tcW w:w="220" w:type="dxa"/>
            <w:tcBorders>
              <w:top w:val="single" w:color="000000" w:sz="2" w:space="0"/>
              <w:bottom w:val="single" w:color="000000" w:sz="2" w:space="0"/>
            </w:tcBorders>
            <w:vAlign w:val="top"/>
          </w:tcPr>
          <w:p w14:paraId="503B794F">
            <w:pPr>
              <w:rPr>
                <w:rFonts w:ascii="Arial"/>
                <w:sz w:val="21"/>
              </w:rPr>
            </w:pPr>
          </w:p>
        </w:tc>
        <w:tc>
          <w:tcPr>
            <w:tcW w:w="234" w:type="dxa"/>
            <w:tcBorders>
              <w:top w:val="single" w:color="000000" w:sz="2" w:space="0"/>
              <w:bottom w:val="single" w:color="000000" w:sz="2" w:space="0"/>
            </w:tcBorders>
            <w:vAlign w:val="top"/>
          </w:tcPr>
          <w:p w14:paraId="064BA3E5">
            <w:pPr>
              <w:rPr>
                <w:rFonts w:ascii="Arial"/>
                <w:sz w:val="21"/>
              </w:rPr>
            </w:pPr>
          </w:p>
        </w:tc>
      </w:tr>
    </w:tbl>
    <w:p w14:paraId="0ED14DFC">
      <w:pPr>
        <w:pStyle w:val="2"/>
        <w:spacing w:line="14" w:lineRule="auto"/>
        <w:rPr>
          <w:sz w:val="2"/>
        </w:rPr>
      </w:pPr>
    </w:p>
    <w:p w14:paraId="75832217">
      <w:pPr>
        <w:pStyle w:val="2"/>
        <w:spacing w:line="14" w:lineRule="auto"/>
        <w:rPr>
          <w:sz w:val="2"/>
        </w:rPr>
      </w:pPr>
      <w:r>
        <w:rPr>
          <w:sz w:val="2"/>
          <w:szCs w:val="2"/>
        </w:rPr>
        <w:br w:type="column"/>
      </w:r>
    </w:p>
    <w:tbl>
      <w:tblPr>
        <w:tblStyle w:val="5"/>
        <w:tblW w:w="412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14"/>
        <w:gridCol w:w="229"/>
        <w:gridCol w:w="220"/>
        <w:gridCol w:w="229"/>
        <w:gridCol w:w="235"/>
      </w:tblGrid>
      <w:tr w14:paraId="615C32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893" w:type="dxa"/>
            <w:vMerge w:val="restart"/>
            <w:tcBorders>
              <w:top w:val="single" w:color="000000" w:sz="2" w:space="0"/>
              <w:bottom w:val="nil"/>
            </w:tcBorders>
            <w:vAlign w:val="top"/>
          </w:tcPr>
          <w:p w14:paraId="357FC8B2">
            <w:pPr>
              <w:pStyle w:val="6"/>
              <w:spacing w:before="166" w:line="209" w:lineRule="auto"/>
              <w:ind w:left="247" w:right="1" w:hanging="230"/>
              <w:rPr>
                <w:sz w:val="19"/>
                <w:szCs w:val="19"/>
              </w:rPr>
            </w:pPr>
            <w:r>
              <w:rPr>
                <w:b/>
                <w:bCs/>
                <w:spacing w:val="-22"/>
                <w:sz w:val="19"/>
                <w:szCs w:val="19"/>
              </w:rPr>
              <w:t>知识与技</w:t>
            </w:r>
            <w:r>
              <w:rPr>
                <w:b/>
                <w:bCs/>
                <w:spacing w:val="-12"/>
                <w:sz w:val="19"/>
                <w:szCs w:val="19"/>
              </w:rPr>
              <w:t>能</w:t>
            </w:r>
            <w:r>
              <w:rPr>
                <w:spacing w:val="2"/>
                <w:sz w:val="19"/>
                <w:szCs w:val="19"/>
              </w:rPr>
              <w:t xml:space="preserve"> </w:t>
            </w:r>
            <w:r>
              <w:rPr>
                <w:b/>
                <w:bCs/>
                <w:spacing w:val="-5"/>
                <w:sz w:val="19"/>
                <w:szCs w:val="19"/>
              </w:rPr>
              <w:t>要点</w:t>
            </w:r>
          </w:p>
        </w:tc>
        <w:tc>
          <w:tcPr>
            <w:tcW w:w="2314" w:type="dxa"/>
            <w:vMerge w:val="restart"/>
            <w:tcBorders>
              <w:top w:val="single" w:color="000000" w:sz="2" w:space="0"/>
              <w:bottom w:val="nil"/>
            </w:tcBorders>
            <w:vAlign w:val="top"/>
          </w:tcPr>
          <w:p w14:paraId="48AC6A78">
            <w:pPr>
              <w:pStyle w:val="6"/>
              <w:spacing w:before="255" w:line="219" w:lineRule="auto"/>
              <w:ind w:left="834"/>
              <w:rPr>
                <w:sz w:val="19"/>
                <w:szCs w:val="19"/>
              </w:rPr>
            </w:pPr>
            <w:r>
              <w:rPr>
                <w:b/>
                <w:bCs/>
                <w:spacing w:val="5"/>
                <w:sz w:val="19"/>
                <w:szCs w:val="19"/>
              </w:rPr>
              <w:t>考试条目</w:t>
            </w:r>
          </w:p>
        </w:tc>
        <w:tc>
          <w:tcPr>
            <w:tcW w:w="913" w:type="dxa"/>
            <w:gridSpan w:val="4"/>
            <w:tcBorders>
              <w:top w:val="single" w:color="000000" w:sz="2" w:space="0"/>
              <w:bottom w:val="single" w:color="000000" w:sz="2" w:space="0"/>
            </w:tcBorders>
            <w:vAlign w:val="top"/>
          </w:tcPr>
          <w:p w14:paraId="54FD1136">
            <w:pPr>
              <w:pStyle w:val="6"/>
              <w:spacing w:before="95" w:line="219" w:lineRule="auto"/>
              <w:jc w:val="right"/>
              <w:rPr>
                <w:sz w:val="19"/>
                <w:szCs w:val="19"/>
              </w:rPr>
            </w:pPr>
            <w:r>
              <w:rPr>
                <w:b/>
                <w:bCs/>
                <w:spacing w:val="-7"/>
                <w:sz w:val="19"/>
                <w:szCs w:val="19"/>
              </w:rPr>
              <w:t>考试水平</w:t>
            </w:r>
          </w:p>
        </w:tc>
      </w:tr>
      <w:tr w14:paraId="73A168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4" w:hRule="atLeast"/>
        </w:trPr>
        <w:tc>
          <w:tcPr>
            <w:tcW w:w="893" w:type="dxa"/>
            <w:vMerge w:val="continue"/>
            <w:tcBorders>
              <w:top w:val="nil"/>
              <w:bottom w:val="single" w:color="000000" w:sz="2" w:space="0"/>
            </w:tcBorders>
            <w:vAlign w:val="top"/>
          </w:tcPr>
          <w:p w14:paraId="50C54A55">
            <w:pPr>
              <w:rPr>
                <w:rFonts w:ascii="Arial"/>
                <w:sz w:val="21"/>
              </w:rPr>
            </w:pPr>
          </w:p>
        </w:tc>
        <w:tc>
          <w:tcPr>
            <w:tcW w:w="2314" w:type="dxa"/>
            <w:vMerge w:val="continue"/>
            <w:tcBorders>
              <w:top w:val="nil"/>
              <w:bottom w:val="single" w:color="000000" w:sz="2" w:space="0"/>
            </w:tcBorders>
            <w:vAlign w:val="top"/>
          </w:tcPr>
          <w:p w14:paraId="5C847982">
            <w:pPr>
              <w:rPr>
                <w:rFonts w:ascii="Arial"/>
                <w:sz w:val="21"/>
              </w:rPr>
            </w:pPr>
          </w:p>
        </w:tc>
        <w:tc>
          <w:tcPr>
            <w:tcW w:w="229" w:type="dxa"/>
            <w:tcBorders>
              <w:top w:val="single" w:color="000000" w:sz="2" w:space="0"/>
              <w:bottom w:val="single" w:color="000000" w:sz="2" w:space="0"/>
            </w:tcBorders>
            <w:vAlign w:val="top"/>
          </w:tcPr>
          <w:p w14:paraId="55E6B0EE">
            <w:pPr>
              <w:pStyle w:val="6"/>
              <w:spacing w:before="121" w:line="184" w:lineRule="auto"/>
              <w:ind w:left="30"/>
              <w:rPr>
                <w:sz w:val="19"/>
                <w:szCs w:val="19"/>
              </w:rPr>
            </w:pPr>
            <w:r>
              <w:rPr>
                <w:b/>
                <w:bCs/>
                <w:spacing w:val="-2"/>
                <w:sz w:val="19"/>
                <w:szCs w:val="19"/>
              </w:rPr>
              <w:t>A</w:t>
            </w:r>
          </w:p>
        </w:tc>
        <w:tc>
          <w:tcPr>
            <w:tcW w:w="220" w:type="dxa"/>
            <w:tcBorders>
              <w:top w:val="single" w:color="000000" w:sz="2" w:space="0"/>
              <w:bottom w:val="single" w:color="000000" w:sz="2" w:space="0"/>
            </w:tcBorders>
            <w:vAlign w:val="top"/>
          </w:tcPr>
          <w:p w14:paraId="3D5E36C4">
            <w:pPr>
              <w:pStyle w:val="6"/>
              <w:spacing w:before="123" w:line="182" w:lineRule="auto"/>
              <w:ind w:left="21"/>
              <w:rPr>
                <w:sz w:val="19"/>
                <w:szCs w:val="19"/>
              </w:rPr>
            </w:pPr>
            <w:r>
              <w:rPr>
                <w:b/>
                <w:bCs/>
                <w:spacing w:val="-2"/>
                <w:sz w:val="19"/>
                <w:szCs w:val="19"/>
              </w:rPr>
              <w:t>B</w:t>
            </w:r>
          </w:p>
        </w:tc>
        <w:tc>
          <w:tcPr>
            <w:tcW w:w="229" w:type="dxa"/>
            <w:tcBorders>
              <w:top w:val="single" w:color="000000" w:sz="2" w:space="0"/>
              <w:bottom w:val="single" w:color="000000" w:sz="2" w:space="0"/>
            </w:tcBorders>
            <w:vAlign w:val="top"/>
          </w:tcPr>
          <w:p w14:paraId="71CBA617">
            <w:pPr>
              <w:pStyle w:val="6"/>
              <w:spacing w:before="121" w:line="183" w:lineRule="auto"/>
              <w:ind w:left="51"/>
              <w:rPr>
                <w:sz w:val="19"/>
                <w:szCs w:val="19"/>
              </w:rPr>
            </w:pPr>
            <w:r>
              <w:rPr>
                <w:b/>
                <w:bCs/>
                <w:spacing w:val="-2"/>
                <w:sz w:val="19"/>
                <w:szCs w:val="19"/>
              </w:rPr>
              <w:t>C</w:t>
            </w:r>
          </w:p>
        </w:tc>
        <w:tc>
          <w:tcPr>
            <w:tcW w:w="235" w:type="dxa"/>
            <w:tcBorders>
              <w:top w:val="single" w:color="000000" w:sz="2" w:space="0"/>
              <w:bottom w:val="single" w:color="000000" w:sz="2" w:space="0"/>
            </w:tcBorders>
            <w:vAlign w:val="top"/>
          </w:tcPr>
          <w:p w14:paraId="33A5CB00">
            <w:pPr>
              <w:pStyle w:val="6"/>
              <w:spacing w:before="123" w:line="182" w:lineRule="auto"/>
              <w:ind w:left="62"/>
              <w:rPr>
                <w:sz w:val="19"/>
                <w:szCs w:val="19"/>
              </w:rPr>
            </w:pPr>
            <w:r>
              <w:rPr>
                <w:b/>
                <w:bCs/>
                <w:spacing w:val="-2"/>
                <w:sz w:val="19"/>
                <w:szCs w:val="19"/>
              </w:rPr>
              <w:t>D</w:t>
            </w:r>
          </w:p>
        </w:tc>
      </w:tr>
      <w:tr w14:paraId="56E7A6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55" w:hRule="atLeast"/>
        </w:trPr>
        <w:tc>
          <w:tcPr>
            <w:tcW w:w="893" w:type="dxa"/>
            <w:tcBorders>
              <w:top w:val="single" w:color="000000" w:sz="2" w:space="0"/>
              <w:bottom w:val="single" w:color="000000" w:sz="2" w:space="0"/>
            </w:tcBorders>
            <w:vAlign w:val="top"/>
          </w:tcPr>
          <w:p w14:paraId="577919E8">
            <w:pPr>
              <w:spacing w:line="242" w:lineRule="auto"/>
              <w:rPr>
                <w:rFonts w:ascii="Arial"/>
                <w:sz w:val="21"/>
              </w:rPr>
            </w:pPr>
          </w:p>
          <w:p w14:paraId="39ADE760">
            <w:pPr>
              <w:spacing w:line="242" w:lineRule="auto"/>
              <w:rPr>
                <w:rFonts w:ascii="Arial"/>
                <w:sz w:val="21"/>
              </w:rPr>
            </w:pPr>
          </w:p>
          <w:p w14:paraId="59AA9612">
            <w:pPr>
              <w:spacing w:line="242" w:lineRule="auto"/>
              <w:rPr>
                <w:rFonts w:ascii="Arial"/>
                <w:sz w:val="21"/>
              </w:rPr>
            </w:pPr>
          </w:p>
          <w:p w14:paraId="24CE8EEE">
            <w:pPr>
              <w:spacing w:line="242" w:lineRule="auto"/>
              <w:rPr>
                <w:rFonts w:ascii="Arial"/>
                <w:sz w:val="21"/>
              </w:rPr>
            </w:pPr>
          </w:p>
          <w:p w14:paraId="0A83129A">
            <w:pPr>
              <w:spacing w:line="243" w:lineRule="auto"/>
              <w:rPr>
                <w:rFonts w:ascii="Arial"/>
                <w:sz w:val="21"/>
              </w:rPr>
            </w:pPr>
          </w:p>
          <w:p w14:paraId="0F7290DA">
            <w:pPr>
              <w:pStyle w:val="6"/>
              <w:spacing w:before="62" w:line="207" w:lineRule="auto"/>
              <w:ind w:left="246" w:right="74" w:hanging="189"/>
              <w:rPr>
                <w:sz w:val="19"/>
                <w:szCs w:val="19"/>
              </w:rPr>
            </w:pPr>
            <w:r>
              <w:rPr>
                <w:b/>
                <w:bCs/>
                <w:spacing w:val="-5"/>
                <w:sz w:val="19"/>
                <w:szCs w:val="19"/>
              </w:rPr>
              <w:t>数字档案</w:t>
            </w:r>
            <w:r>
              <w:rPr>
                <w:spacing w:val="2"/>
                <w:sz w:val="19"/>
                <w:szCs w:val="19"/>
              </w:rPr>
              <w:t xml:space="preserve"> </w:t>
            </w:r>
            <w:r>
              <w:rPr>
                <w:b/>
                <w:bCs/>
                <w:spacing w:val="-5"/>
                <w:sz w:val="19"/>
                <w:szCs w:val="19"/>
              </w:rPr>
              <w:t>管理</w:t>
            </w:r>
          </w:p>
        </w:tc>
        <w:tc>
          <w:tcPr>
            <w:tcW w:w="2314" w:type="dxa"/>
            <w:tcBorders>
              <w:top w:val="single" w:color="000000" w:sz="2" w:space="0"/>
              <w:bottom w:val="single" w:color="000000" w:sz="2" w:space="0"/>
            </w:tcBorders>
            <w:vAlign w:val="top"/>
          </w:tcPr>
          <w:p w14:paraId="4B0EBEBD">
            <w:pPr>
              <w:pStyle w:val="6"/>
              <w:spacing w:before="100" w:line="214" w:lineRule="auto"/>
              <w:ind w:left="14" w:right="950"/>
              <w:rPr>
                <w:sz w:val="19"/>
                <w:szCs w:val="19"/>
              </w:rPr>
            </w:pPr>
            <w:r>
              <w:rPr>
                <w:b/>
                <w:bCs/>
                <w:spacing w:val="-1"/>
                <w:sz w:val="19"/>
                <w:szCs w:val="19"/>
              </w:rPr>
              <w:t>1.电子文件归档</w:t>
            </w:r>
            <w:r>
              <w:rPr>
                <w:sz w:val="19"/>
                <w:szCs w:val="19"/>
              </w:rPr>
              <w:t xml:space="preserve"> </w:t>
            </w:r>
            <w:r>
              <w:rPr>
                <w:b/>
                <w:bCs/>
                <w:spacing w:val="-1"/>
                <w:sz w:val="19"/>
                <w:szCs w:val="19"/>
              </w:rPr>
              <w:t>(1)工作任务</w:t>
            </w:r>
          </w:p>
          <w:p w14:paraId="69E88A65">
            <w:pPr>
              <w:pStyle w:val="6"/>
              <w:spacing w:line="213" w:lineRule="auto"/>
              <w:ind w:left="14"/>
              <w:rPr>
                <w:sz w:val="19"/>
                <w:szCs w:val="19"/>
              </w:rPr>
            </w:pPr>
            <w:r>
              <w:rPr>
                <w:b/>
                <w:bCs/>
                <w:spacing w:val="-1"/>
                <w:sz w:val="19"/>
                <w:szCs w:val="19"/>
              </w:rPr>
              <w:t>(2)工作步骤</w:t>
            </w:r>
          </w:p>
          <w:p w14:paraId="2759D9B3">
            <w:pPr>
              <w:pStyle w:val="6"/>
              <w:spacing w:before="1" w:line="203" w:lineRule="auto"/>
              <w:ind w:left="14" w:right="968"/>
              <w:rPr>
                <w:sz w:val="19"/>
                <w:szCs w:val="19"/>
              </w:rPr>
            </w:pPr>
            <w:r>
              <w:rPr>
                <w:b/>
                <w:bCs/>
                <w:spacing w:val="-4"/>
                <w:sz w:val="19"/>
                <w:szCs w:val="19"/>
              </w:rPr>
              <w:t>2.数字档案维护</w:t>
            </w:r>
            <w:r>
              <w:rPr>
                <w:spacing w:val="5"/>
                <w:sz w:val="19"/>
                <w:szCs w:val="19"/>
              </w:rPr>
              <w:t xml:space="preserve"> </w:t>
            </w:r>
            <w:r>
              <w:rPr>
                <w:b/>
                <w:bCs/>
                <w:spacing w:val="-1"/>
                <w:sz w:val="19"/>
                <w:szCs w:val="19"/>
              </w:rPr>
              <w:t>(1)工作任务</w:t>
            </w:r>
          </w:p>
          <w:p w14:paraId="0C91F2F6">
            <w:pPr>
              <w:pStyle w:val="6"/>
              <w:spacing w:line="219" w:lineRule="auto"/>
              <w:ind w:left="14"/>
              <w:rPr>
                <w:sz w:val="19"/>
                <w:szCs w:val="19"/>
              </w:rPr>
            </w:pPr>
            <w:r>
              <w:rPr>
                <w:b/>
                <w:bCs/>
                <w:spacing w:val="-1"/>
                <w:sz w:val="19"/>
                <w:szCs w:val="19"/>
              </w:rPr>
              <w:t>(2)工作步骤</w:t>
            </w:r>
          </w:p>
          <w:p w14:paraId="2316117F">
            <w:pPr>
              <w:pStyle w:val="6"/>
              <w:spacing w:before="14" w:line="207" w:lineRule="auto"/>
              <w:ind w:left="14" w:right="941"/>
              <w:rPr>
                <w:sz w:val="19"/>
                <w:szCs w:val="19"/>
              </w:rPr>
            </w:pPr>
            <w:r>
              <w:rPr>
                <w:b/>
                <w:bCs/>
                <w:sz w:val="19"/>
                <w:szCs w:val="19"/>
              </w:rPr>
              <w:t>3.数字档案利用</w:t>
            </w:r>
            <w:r>
              <w:rPr>
                <w:sz w:val="19"/>
                <w:szCs w:val="19"/>
              </w:rPr>
              <w:t xml:space="preserve"> </w:t>
            </w:r>
            <w:r>
              <w:rPr>
                <w:b/>
                <w:bCs/>
                <w:spacing w:val="-1"/>
                <w:sz w:val="19"/>
                <w:szCs w:val="19"/>
              </w:rPr>
              <w:t>(1)工作任务</w:t>
            </w:r>
          </w:p>
          <w:p w14:paraId="3799156C">
            <w:pPr>
              <w:pStyle w:val="6"/>
              <w:spacing w:before="14" w:line="216" w:lineRule="auto"/>
              <w:ind w:left="14"/>
              <w:rPr>
                <w:sz w:val="19"/>
                <w:szCs w:val="19"/>
              </w:rPr>
            </w:pPr>
            <w:r>
              <w:rPr>
                <w:b/>
                <w:bCs/>
                <w:spacing w:val="-1"/>
                <w:sz w:val="19"/>
                <w:szCs w:val="19"/>
              </w:rPr>
              <w:t>(2)工作步骤</w:t>
            </w:r>
          </w:p>
          <w:p w14:paraId="2C6F3685">
            <w:pPr>
              <w:pStyle w:val="6"/>
              <w:spacing w:before="1" w:line="211" w:lineRule="auto"/>
              <w:ind w:left="14"/>
              <w:rPr>
                <w:sz w:val="19"/>
                <w:szCs w:val="19"/>
              </w:rPr>
            </w:pPr>
            <w:r>
              <w:rPr>
                <w:b/>
                <w:bCs/>
                <w:sz w:val="19"/>
                <w:szCs w:val="19"/>
              </w:rPr>
              <w:t>4.知识平台</w:t>
            </w:r>
          </w:p>
          <w:p w14:paraId="148266C8">
            <w:pPr>
              <w:pStyle w:val="6"/>
              <w:spacing w:line="204" w:lineRule="auto"/>
              <w:ind w:left="14"/>
              <w:rPr>
                <w:sz w:val="19"/>
                <w:szCs w:val="19"/>
              </w:rPr>
            </w:pPr>
            <w:r>
              <w:rPr>
                <w:b/>
                <w:bCs/>
                <w:spacing w:val="-2"/>
                <w:sz w:val="19"/>
                <w:szCs w:val="19"/>
              </w:rPr>
              <w:t>(1)档案数字化</w:t>
            </w:r>
          </w:p>
          <w:p w14:paraId="7C22EFB7">
            <w:pPr>
              <w:pStyle w:val="6"/>
              <w:spacing w:before="1" w:line="203" w:lineRule="auto"/>
              <w:ind w:left="14"/>
              <w:rPr>
                <w:sz w:val="19"/>
                <w:szCs w:val="19"/>
              </w:rPr>
            </w:pPr>
            <w:r>
              <w:rPr>
                <w:b/>
                <w:bCs/>
                <w:spacing w:val="-2"/>
                <w:sz w:val="19"/>
                <w:szCs w:val="19"/>
              </w:rPr>
              <w:t>(2)电子文件的销毁</w:t>
            </w:r>
          </w:p>
          <w:p w14:paraId="6345EE62">
            <w:pPr>
              <w:pStyle w:val="6"/>
              <w:spacing w:line="218" w:lineRule="auto"/>
              <w:ind w:left="14"/>
              <w:rPr>
                <w:sz w:val="19"/>
                <w:szCs w:val="19"/>
              </w:rPr>
            </w:pPr>
            <w:r>
              <w:rPr>
                <w:b/>
                <w:bCs/>
                <w:spacing w:val="-2"/>
                <w:sz w:val="19"/>
                <w:szCs w:val="19"/>
              </w:rPr>
              <w:t>(3)光盘管理</w:t>
            </w:r>
          </w:p>
        </w:tc>
        <w:tc>
          <w:tcPr>
            <w:tcW w:w="229" w:type="dxa"/>
            <w:tcBorders>
              <w:top w:val="single" w:color="000000" w:sz="2" w:space="0"/>
              <w:bottom w:val="single" w:color="000000" w:sz="2" w:space="0"/>
            </w:tcBorders>
            <w:vAlign w:val="top"/>
          </w:tcPr>
          <w:p w14:paraId="7C25CCBD">
            <w:pPr>
              <w:spacing w:before="146" w:line="1860" w:lineRule="exact"/>
              <w:ind w:firstLine="28"/>
            </w:pPr>
            <w:r>
              <w:rPr>
                <w:position w:val="-37"/>
              </w:rPr>
              <w:drawing>
                <wp:inline distT="0" distB="0" distL="0" distR="0">
                  <wp:extent cx="107950" cy="1180465"/>
                  <wp:effectExtent l="0" t="0" r="0" b="0"/>
                  <wp:docPr id="344" name="IM 344"/>
                  <wp:cNvGraphicFramePr/>
                  <a:graphic xmlns:a="http://schemas.openxmlformats.org/drawingml/2006/main">
                    <a:graphicData uri="http://schemas.openxmlformats.org/drawingml/2006/picture">
                      <pic:pic xmlns:pic="http://schemas.openxmlformats.org/drawingml/2006/picture">
                        <pic:nvPicPr>
                          <pic:cNvPr id="344" name="IM 344"/>
                          <pic:cNvPicPr/>
                        </pic:nvPicPr>
                        <pic:blipFill>
                          <a:blip r:embed="rId336"/>
                          <a:stretch>
                            <a:fillRect/>
                          </a:stretch>
                        </pic:blipFill>
                        <pic:spPr>
                          <a:xfrm>
                            <a:off x="0" y="0"/>
                            <a:ext cx="107967" cy="1180634"/>
                          </a:xfrm>
                          <a:prstGeom prst="rect">
                            <a:avLst/>
                          </a:prstGeom>
                        </pic:spPr>
                      </pic:pic>
                    </a:graphicData>
                  </a:graphic>
                </wp:inline>
              </w:drawing>
            </w:r>
          </w:p>
        </w:tc>
        <w:tc>
          <w:tcPr>
            <w:tcW w:w="220" w:type="dxa"/>
            <w:tcBorders>
              <w:top w:val="single" w:color="000000" w:sz="2" w:space="0"/>
              <w:bottom w:val="single" w:color="000000" w:sz="2" w:space="0"/>
            </w:tcBorders>
            <w:vAlign w:val="top"/>
          </w:tcPr>
          <w:p w14:paraId="30FE4876">
            <w:pPr>
              <w:spacing w:before="146" w:line="1860" w:lineRule="exact"/>
              <w:ind w:firstLine="29"/>
            </w:pPr>
            <w:r>
              <w:rPr>
                <w:position w:val="-37"/>
              </w:rPr>
              <w:drawing>
                <wp:inline distT="0" distB="0" distL="0" distR="0">
                  <wp:extent cx="101600" cy="1180465"/>
                  <wp:effectExtent l="0" t="0" r="0" b="0"/>
                  <wp:docPr id="346" name="IM 346"/>
                  <wp:cNvGraphicFramePr/>
                  <a:graphic xmlns:a="http://schemas.openxmlformats.org/drawingml/2006/main">
                    <a:graphicData uri="http://schemas.openxmlformats.org/drawingml/2006/picture">
                      <pic:pic xmlns:pic="http://schemas.openxmlformats.org/drawingml/2006/picture">
                        <pic:nvPicPr>
                          <pic:cNvPr id="346" name="IM 346"/>
                          <pic:cNvPicPr/>
                        </pic:nvPicPr>
                        <pic:blipFill>
                          <a:blip r:embed="rId337"/>
                          <a:stretch>
                            <a:fillRect/>
                          </a:stretch>
                        </pic:blipFill>
                        <pic:spPr>
                          <a:xfrm>
                            <a:off x="0" y="0"/>
                            <a:ext cx="101603" cy="1180634"/>
                          </a:xfrm>
                          <a:prstGeom prst="rect">
                            <a:avLst/>
                          </a:prstGeom>
                        </pic:spPr>
                      </pic:pic>
                    </a:graphicData>
                  </a:graphic>
                </wp:inline>
              </w:drawing>
            </w:r>
          </w:p>
        </w:tc>
        <w:tc>
          <w:tcPr>
            <w:tcW w:w="229" w:type="dxa"/>
            <w:tcBorders>
              <w:top w:val="single" w:color="000000" w:sz="2" w:space="0"/>
              <w:bottom w:val="single" w:color="000000" w:sz="2" w:space="0"/>
            </w:tcBorders>
            <w:vAlign w:val="top"/>
          </w:tcPr>
          <w:p w14:paraId="35653D6C">
            <w:pPr>
              <w:rPr>
                <w:rFonts w:ascii="Arial"/>
                <w:sz w:val="21"/>
              </w:rPr>
            </w:pPr>
          </w:p>
        </w:tc>
        <w:tc>
          <w:tcPr>
            <w:tcW w:w="235" w:type="dxa"/>
            <w:tcBorders>
              <w:top w:val="single" w:color="000000" w:sz="2" w:space="0"/>
              <w:bottom w:val="single" w:color="000000" w:sz="2" w:space="0"/>
            </w:tcBorders>
            <w:vAlign w:val="top"/>
          </w:tcPr>
          <w:p w14:paraId="5FE03B2A">
            <w:pPr>
              <w:rPr>
                <w:rFonts w:ascii="Arial"/>
                <w:sz w:val="21"/>
              </w:rPr>
            </w:pPr>
          </w:p>
        </w:tc>
      </w:tr>
    </w:tbl>
    <w:p w14:paraId="21ABD1D9">
      <w:pPr>
        <w:spacing w:before="59" w:line="221" w:lineRule="auto"/>
        <w:ind w:left="18"/>
        <w:rPr>
          <w:rFonts w:ascii="黑体" w:hAnsi="黑体" w:eastAsia="黑体" w:cs="黑体"/>
          <w:sz w:val="23"/>
          <w:szCs w:val="23"/>
        </w:rPr>
      </w:pPr>
      <w:r>
        <w:rPr>
          <w:rFonts w:ascii="黑体" w:hAnsi="黑体" w:eastAsia="黑体" w:cs="黑体"/>
          <w:b/>
          <w:bCs/>
          <w:spacing w:val="-8"/>
          <w:sz w:val="23"/>
          <w:szCs w:val="23"/>
        </w:rPr>
        <w:t>四、考试形式和试卷结构</w:t>
      </w:r>
    </w:p>
    <w:p w14:paraId="07D23A75">
      <w:pPr>
        <w:spacing w:before="86" w:line="219" w:lineRule="auto"/>
        <w:ind w:left="355"/>
        <w:rPr>
          <w:rFonts w:ascii="宋体" w:hAnsi="宋体" w:eastAsia="宋体" w:cs="宋体"/>
          <w:sz w:val="15"/>
          <w:szCs w:val="15"/>
        </w:rPr>
      </w:pPr>
      <w:r>
        <w:rPr>
          <w:rFonts w:ascii="宋体" w:hAnsi="宋体" w:eastAsia="宋体" w:cs="宋体"/>
          <w:spacing w:val="10"/>
          <w:sz w:val="15"/>
          <w:szCs w:val="15"/>
        </w:rPr>
        <w:t>1.考试形式：</w:t>
      </w:r>
    </w:p>
    <w:p w14:paraId="4133F9AC">
      <w:pPr>
        <w:spacing w:before="112" w:line="337" w:lineRule="auto"/>
        <w:ind w:left="355" w:right="2111"/>
        <w:rPr>
          <w:rFonts w:ascii="宋体" w:hAnsi="宋体" w:eastAsia="宋体" w:cs="宋体"/>
          <w:sz w:val="15"/>
          <w:szCs w:val="15"/>
        </w:rPr>
      </w:pPr>
      <w:r>
        <w:rPr>
          <w:rFonts w:ascii="宋体" w:hAnsi="宋体" w:eastAsia="宋体" w:cs="宋体"/>
          <w:spacing w:val="-1"/>
          <w:sz w:val="17"/>
          <w:szCs w:val="17"/>
        </w:rPr>
        <w:t>考试采用闭卷笔答形式</w:t>
      </w:r>
      <w:r>
        <w:rPr>
          <w:rFonts w:ascii="宋体" w:hAnsi="宋体" w:eastAsia="宋体" w:cs="宋体"/>
          <w:spacing w:val="2"/>
          <w:sz w:val="17"/>
          <w:szCs w:val="17"/>
        </w:rPr>
        <w:t xml:space="preserve"> </w:t>
      </w:r>
      <w:r>
        <w:rPr>
          <w:rFonts w:ascii="宋体" w:hAnsi="宋体" w:eastAsia="宋体" w:cs="宋体"/>
          <w:spacing w:val="10"/>
          <w:sz w:val="15"/>
          <w:szCs w:val="15"/>
        </w:rPr>
        <w:t>1.试卷结构：</w:t>
      </w:r>
    </w:p>
    <w:p w14:paraId="43C7A599">
      <w:pPr>
        <w:spacing w:before="26" w:line="213" w:lineRule="auto"/>
        <w:ind w:left="445"/>
        <w:rPr>
          <w:rFonts w:ascii="宋体" w:hAnsi="宋体" w:eastAsia="宋体" w:cs="宋体"/>
          <w:sz w:val="18"/>
          <w:szCs w:val="18"/>
        </w:rPr>
      </w:pPr>
      <w:r>
        <w:rPr>
          <w:rFonts w:ascii="宋体" w:hAnsi="宋体" w:eastAsia="宋体" w:cs="宋体"/>
          <w:sz w:val="18"/>
          <w:szCs w:val="18"/>
        </w:rPr>
        <w:t>(1)按知识点分：</w:t>
      </w: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63"/>
        <w:gridCol w:w="2444"/>
        <w:gridCol w:w="912"/>
      </w:tblGrid>
      <w:tr w14:paraId="21C8FF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4" w:hRule="atLeast"/>
        </w:trPr>
        <w:tc>
          <w:tcPr>
            <w:tcW w:w="3207" w:type="dxa"/>
            <w:gridSpan w:val="2"/>
            <w:vAlign w:val="top"/>
          </w:tcPr>
          <w:p w14:paraId="775E25AA">
            <w:pPr>
              <w:pStyle w:val="6"/>
              <w:spacing w:before="99" w:line="219" w:lineRule="auto"/>
              <w:ind w:left="1277"/>
            </w:pPr>
            <w:r>
              <w:rPr>
                <w:b/>
                <w:bCs/>
                <w:spacing w:val="-4"/>
              </w:rPr>
              <w:t>知识内容</w:t>
            </w:r>
          </w:p>
        </w:tc>
        <w:tc>
          <w:tcPr>
            <w:tcW w:w="912" w:type="dxa"/>
            <w:vAlign w:val="top"/>
          </w:tcPr>
          <w:p w14:paraId="52848BA4">
            <w:pPr>
              <w:pStyle w:val="6"/>
              <w:spacing w:before="99" w:line="219" w:lineRule="auto"/>
              <w:ind w:left="110"/>
            </w:pPr>
            <w:r>
              <w:rPr>
                <w:b/>
                <w:bCs/>
                <w:spacing w:val="-4"/>
              </w:rPr>
              <w:t>试卷分值</w:t>
            </w:r>
          </w:p>
        </w:tc>
      </w:tr>
      <w:tr w14:paraId="00C526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 w:hRule="atLeast"/>
        </w:trPr>
        <w:tc>
          <w:tcPr>
            <w:tcW w:w="763" w:type="dxa"/>
            <w:vMerge w:val="restart"/>
            <w:tcBorders>
              <w:bottom w:val="nil"/>
            </w:tcBorders>
            <w:vAlign w:val="top"/>
          </w:tcPr>
          <w:p w14:paraId="1EBB8A7C">
            <w:pPr>
              <w:spacing w:line="349" w:lineRule="auto"/>
              <w:rPr>
                <w:rFonts w:ascii="Arial"/>
                <w:sz w:val="21"/>
              </w:rPr>
            </w:pPr>
          </w:p>
          <w:p w14:paraId="4D30607F">
            <w:pPr>
              <w:pStyle w:val="6"/>
              <w:spacing w:before="55" w:line="219" w:lineRule="auto"/>
              <w:ind w:left="115"/>
            </w:pPr>
            <w:r>
              <w:rPr>
                <w:spacing w:val="-2"/>
              </w:rPr>
              <w:t>计算机</w:t>
            </w:r>
          </w:p>
          <w:p w14:paraId="5B176FB3">
            <w:pPr>
              <w:pStyle w:val="6"/>
              <w:spacing w:before="20" w:line="221" w:lineRule="auto"/>
              <w:ind w:left="205"/>
            </w:pPr>
            <w:r>
              <w:rPr>
                <w:spacing w:val="10"/>
              </w:rPr>
              <w:t>应用</w:t>
            </w:r>
          </w:p>
          <w:p w14:paraId="67731A3D">
            <w:pPr>
              <w:pStyle w:val="6"/>
              <w:spacing w:line="225" w:lineRule="auto"/>
              <w:ind w:left="205"/>
            </w:pPr>
            <w:r>
              <w:rPr>
                <w:spacing w:val="-2"/>
              </w:rPr>
              <w:t>基础</w:t>
            </w:r>
          </w:p>
        </w:tc>
        <w:tc>
          <w:tcPr>
            <w:tcW w:w="2444" w:type="dxa"/>
            <w:vAlign w:val="top"/>
          </w:tcPr>
          <w:p w14:paraId="71EB45A1">
            <w:pPr>
              <w:pStyle w:val="6"/>
              <w:spacing w:before="46" w:line="219" w:lineRule="auto"/>
              <w:ind w:left="11"/>
            </w:pPr>
            <w:r>
              <w:rPr>
                <w:spacing w:val="-2"/>
              </w:rPr>
              <w:t>认识计算机</w:t>
            </w:r>
          </w:p>
        </w:tc>
        <w:tc>
          <w:tcPr>
            <w:tcW w:w="912" w:type="dxa"/>
            <w:vMerge w:val="restart"/>
            <w:tcBorders>
              <w:bottom w:val="nil"/>
            </w:tcBorders>
            <w:vAlign w:val="top"/>
          </w:tcPr>
          <w:p w14:paraId="71D5B17C">
            <w:pPr>
              <w:spacing w:line="274" w:lineRule="auto"/>
              <w:rPr>
                <w:rFonts w:ascii="Arial"/>
                <w:sz w:val="21"/>
              </w:rPr>
            </w:pPr>
          </w:p>
          <w:p w14:paraId="56A86D3E">
            <w:pPr>
              <w:spacing w:line="275" w:lineRule="auto"/>
              <w:rPr>
                <w:rFonts w:ascii="Arial"/>
                <w:sz w:val="21"/>
              </w:rPr>
            </w:pPr>
          </w:p>
          <w:p w14:paraId="73E0F593">
            <w:pPr>
              <w:pStyle w:val="6"/>
              <w:spacing w:before="56" w:line="220" w:lineRule="auto"/>
              <w:ind w:left="238"/>
            </w:pPr>
            <w:r>
              <w:rPr>
                <w:spacing w:val="-7"/>
              </w:rPr>
              <w:t>5</w:t>
            </w:r>
            <w:r>
              <w:rPr>
                <w:spacing w:val="-27"/>
              </w:rPr>
              <w:t xml:space="preserve"> </w:t>
            </w:r>
            <w:r>
              <w:rPr>
                <w:spacing w:val="-7"/>
              </w:rPr>
              <w:t>0</w:t>
            </w:r>
            <w:r>
              <w:rPr>
                <w:spacing w:val="-27"/>
              </w:rPr>
              <w:t xml:space="preserve"> </w:t>
            </w:r>
            <w:r>
              <w:rPr>
                <w:spacing w:val="-7"/>
              </w:rPr>
              <w:t>分</w:t>
            </w:r>
          </w:p>
        </w:tc>
      </w:tr>
      <w:tr w14:paraId="353D3F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0" w:hRule="atLeast"/>
        </w:trPr>
        <w:tc>
          <w:tcPr>
            <w:tcW w:w="763" w:type="dxa"/>
            <w:vMerge w:val="continue"/>
            <w:tcBorders>
              <w:top w:val="nil"/>
              <w:bottom w:val="nil"/>
            </w:tcBorders>
            <w:vAlign w:val="top"/>
          </w:tcPr>
          <w:p w14:paraId="433C8866">
            <w:pPr>
              <w:rPr>
                <w:rFonts w:ascii="Arial"/>
                <w:sz w:val="21"/>
              </w:rPr>
            </w:pPr>
          </w:p>
        </w:tc>
        <w:tc>
          <w:tcPr>
            <w:tcW w:w="2444" w:type="dxa"/>
            <w:vAlign w:val="top"/>
          </w:tcPr>
          <w:p w14:paraId="1627F0EA">
            <w:pPr>
              <w:pStyle w:val="6"/>
              <w:spacing w:before="58" w:line="219" w:lineRule="auto"/>
              <w:ind w:left="11"/>
            </w:pPr>
            <w:r>
              <w:rPr>
                <w:spacing w:val="-1"/>
              </w:rPr>
              <w:t>Windows10操作系统</w:t>
            </w:r>
          </w:p>
        </w:tc>
        <w:tc>
          <w:tcPr>
            <w:tcW w:w="912" w:type="dxa"/>
            <w:vMerge w:val="continue"/>
            <w:tcBorders>
              <w:top w:val="nil"/>
              <w:bottom w:val="nil"/>
            </w:tcBorders>
            <w:vAlign w:val="top"/>
          </w:tcPr>
          <w:p w14:paraId="5B4DEDBB">
            <w:pPr>
              <w:rPr>
                <w:rFonts w:ascii="Arial"/>
                <w:sz w:val="21"/>
              </w:rPr>
            </w:pPr>
          </w:p>
        </w:tc>
      </w:tr>
      <w:tr w14:paraId="5D9964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0" w:hRule="atLeast"/>
        </w:trPr>
        <w:tc>
          <w:tcPr>
            <w:tcW w:w="763" w:type="dxa"/>
            <w:vMerge w:val="continue"/>
            <w:tcBorders>
              <w:top w:val="nil"/>
              <w:bottom w:val="nil"/>
            </w:tcBorders>
            <w:vAlign w:val="top"/>
          </w:tcPr>
          <w:p w14:paraId="41487CB5">
            <w:pPr>
              <w:rPr>
                <w:rFonts w:ascii="Arial"/>
                <w:sz w:val="21"/>
              </w:rPr>
            </w:pPr>
          </w:p>
        </w:tc>
        <w:tc>
          <w:tcPr>
            <w:tcW w:w="2444" w:type="dxa"/>
            <w:vAlign w:val="top"/>
          </w:tcPr>
          <w:p w14:paraId="7B769282">
            <w:pPr>
              <w:pStyle w:val="6"/>
              <w:spacing w:before="59" w:line="221" w:lineRule="auto"/>
              <w:ind w:left="11"/>
            </w:pPr>
            <w:r>
              <w:t>Internet</w:t>
            </w:r>
            <w:r>
              <w:rPr>
                <w:spacing w:val="6"/>
              </w:rPr>
              <w:t>的应用</w:t>
            </w:r>
          </w:p>
        </w:tc>
        <w:tc>
          <w:tcPr>
            <w:tcW w:w="912" w:type="dxa"/>
            <w:vMerge w:val="continue"/>
            <w:tcBorders>
              <w:top w:val="nil"/>
              <w:bottom w:val="nil"/>
            </w:tcBorders>
            <w:vAlign w:val="top"/>
          </w:tcPr>
          <w:p w14:paraId="5A80AA02">
            <w:pPr>
              <w:rPr>
                <w:rFonts w:ascii="Arial"/>
                <w:sz w:val="21"/>
              </w:rPr>
            </w:pPr>
          </w:p>
        </w:tc>
      </w:tr>
      <w:tr w14:paraId="5C0239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763" w:type="dxa"/>
            <w:vMerge w:val="continue"/>
            <w:tcBorders>
              <w:top w:val="nil"/>
              <w:bottom w:val="nil"/>
            </w:tcBorders>
            <w:vAlign w:val="top"/>
          </w:tcPr>
          <w:p w14:paraId="01103104">
            <w:pPr>
              <w:rPr>
                <w:rFonts w:ascii="Arial"/>
                <w:sz w:val="21"/>
              </w:rPr>
            </w:pPr>
          </w:p>
        </w:tc>
        <w:tc>
          <w:tcPr>
            <w:tcW w:w="2444" w:type="dxa"/>
            <w:vAlign w:val="top"/>
          </w:tcPr>
          <w:p w14:paraId="66F99CDB">
            <w:pPr>
              <w:pStyle w:val="6"/>
              <w:spacing w:before="48" w:line="219" w:lineRule="auto"/>
              <w:ind w:left="11"/>
            </w:pPr>
            <w:r>
              <w:t>Word</w:t>
            </w:r>
            <w:r>
              <w:rPr>
                <w:spacing w:val="1"/>
              </w:rPr>
              <w:t>2016文字处理软件应用</w:t>
            </w:r>
          </w:p>
        </w:tc>
        <w:tc>
          <w:tcPr>
            <w:tcW w:w="912" w:type="dxa"/>
            <w:vMerge w:val="continue"/>
            <w:tcBorders>
              <w:top w:val="nil"/>
              <w:bottom w:val="nil"/>
            </w:tcBorders>
            <w:vAlign w:val="top"/>
          </w:tcPr>
          <w:p w14:paraId="3FE33716">
            <w:pPr>
              <w:rPr>
                <w:rFonts w:ascii="Arial"/>
                <w:sz w:val="21"/>
              </w:rPr>
            </w:pPr>
          </w:p>
        </w:tc>
      </w:tr>
      <w:tr w14:paraId="53E4B8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 w:hRule="atLeast"/>
        </w:trPr>
        <w:tc>
          <w:tcPr>
            <w:tcW w:w="763" w:type="dxa"/>
            <w:vMerge w:val="continue"/>
            <w:tcBorders>
              <w:top w:val="nil"/>
            </w:tcBorders>
            <w:vAlign w:val="top"/>
          </w:tcPr>
          <w:p w14:paraId="18AA8C7D">
            <w:pPr>
              <w:rPr>
                <w:rFonts w:ascii="Arial"/>
                <w:sz w:val="21"/>
              </w:rPr>
            </w:pPr>
          </w:p>
        </w:tc>
        <w:tc>
          <w:tcPr>
            <w:tcW w:w="2444" w:type="dxa"/>
            <w:vAlign w:val="top"/>
          </w:tcPr>
          <w:p w14:paraId="2A146243">
            <w:pPr>
              <w:pStyle w:val="6"/>
              <w:spacing w:before="48" w:line="219" w:lineRule="auto"/>
              <w:jc w:val="right"/>
            </w:pPr>
            <w:r>
              <w:rPr>
                <w:spacing w:val="-7"/>
              </w:rPr>
              <w:t>Excel 2016电子表格处理软件应用</w:t>
            </w:r>
          </w:p>
        </w:tc>
        <w:tc>
          <w:tcPr>
            <w:tcW w:w="912" w:type="dxa"/>
            <w:vMerge w:val="continue"/>
            <w:tcBorders>
              <w:top w:val="nil"/>
            </w:tcBorders>
            <w:vAlign w:val="top"/>
          </w:tcPr>
          <w:p w14:paraId="49C1499D">
            <w:pPr>
              <w:rPr>
                <w:rFonts w:ascii="Arial"/>
                <w:sz w:val="21"/>
              </w:rPr>
            </w:pPr>
          </w:p>
        </w:tc>
      </w:tr>
      <w:tr w14:paraId="21BCD7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9" w:hRule="atLeast"/>
        </w:trPr>
        <w:tc>
          <w:tcPr>
            <w:tcW w:w="763" w:type="dxa"/>
            <w:vMerge w:val="restart"/>
            <w:tcBorders>
              <w:bottom w:val="nil"/>
            </w:tcBorders>
            <w:vAlign w:val="top"/>
          </w:tcPr>
          <w:p w14:paraId="2151AE81">
            <w:pPr>
              <w:rPr>
                <w:rFonts w:ascii="Arial"/>
                <w:sz w:val="21"/>
              </w:rPr>
            </w:pPr>
          </w:p>
          <w:p w14:paraId="77B1A11F">
            <w:pPr>
              <w:rPr>
                <w:rFonts w:ascii="Arial"/>
                <w:sz w:val="21"/>
              </w:rPr>
            </w:pPr>
          </w:p>
          <w:p w14:paraId="6E5E1C1C">
            <w:pPr>
              <w:rPr>
                <w:rFonts w:ascii="Arial"/>
                <w:sz w:val="21"/>
              </w:rPr>
            </w:pPr>
          </w:p>
          <w:p w14:paraId="1BDB5AFA">
            <w:pPr>
              <w:spacing w:line="241" w:lineRule="auto"/>
              <w:rPr>
                <w:rFonts w:ascii="Arial"/>
                <w:sz w:val="21"/>
              </w:rPr>
            </w:pPr>
          </w:p>
          <w:p w14:paraId="1F732C8B">
            <w:pPr>
              <w:spacing w:line="241" w:lineRule="auto"/>
              <w:rPr>
                <w:rFonts w:ascii="Arial"/>
                <w:sz w:val="21"/>
              </w:rPr>
            </w:pPr>
          </w:p>
          <w:p w14:paraId="53246261">
            <w:pPr>
              <w:spacing w:line="241" w:lineRule="auto"/>
              <w:rPr>
                <w:rFonts w:ascii="Arial"/>
                <w:sz w:val="21"/>
              </w:rPr>
            </w:pPr>
          </w:p>
          <w:p w14:paraId="5168E7E2">
            <w:pPr>
              <w:pStyle w:val="6"/>
              <w:spacing w:before="56" w:line="246" w:lineRule="auto"/>
              <w:ind w:left="205" w:right="213"/>
            </w:pPr>
            <w:r>
              <w:rPr>
                <w:spacing w:val="-3"/>
              </w:rPr>
              <w:t>秘书</w:t>
            </w:r>
            <w:r>
              <w:t xml:space="preserve"> </w:t>
            </w:r>
            <w:r>
              <w:rPr>
                <w:spacing w:val="-4"/>
              </w:rPr>
              <w:t>基础</w:t>
            </w:r>
          </w:p>
        </w:tc>
        <w:tc>
          <w:tcPr>
            <w:tcW w:w="2444" w:type="dxa"/>
            <w:vAlign w:val="top"/>
          </w:tcPr>
          <w:p w14:paraId="768647E0">
            <w:pPr>
              <w:pStyle w:val="6"/>
              <w:spacing w:before="57" w:line="219" w:lineRule="auto"/>
              <w:ind w:left="11"/>
            </w:pPr>
            <w:r>
              <w:rPr>
                <w:spacing w:val="-1"/>
              </w:rPr>
              <w:t>秘书工作及其发展趋势</w:t>
            </w:r>
          </w:p>
        </w:tc>
        <w:tc>
          <w:tcPr>
            <w:tcW w:w="912" w:type="dxa"/>
            <w:vMerge w:val="restart"/>
            <w:tcBorders>
              <w:bottom w:val="nil"/>
            </w:tcBorders>
            <w:vAlign w:val="top"/>
          </w:tcPr>
          <w:p w14:paraId="4A31A93A">
            <w:pPr>
              <w:spacing w:line="259" w:lineRule="auto"/>
              <w:rPr>
                <w:rFonts w:ascii="Arial"/>
                <w:sz w:val="21"/>
              </w:rPr>
            </w:pPr>
          </w:p>
          <w:p w14:paraId="0EA0EF91">
            <w:pPr>
              <w:spacing w:line="259" w:lineRule="auto"/>
              <w:rPr>
                <w:rFonts w:ascii="Arial"/>
                <w:sz w:val="21"/>
              </w:rPr>
            </w:pPr>
          </w:p>
          <w:p w14:paraId="6022F9B9">
            <w:pPr>
              <w:spacing w:line="259" w:lineRule="auto"/>
              <w:rPr>
                <w:rFonts w:ascii="Arial"/>
                <w:sz w:val="21"/>
              </w:rPr>
            </w:pPr>
          </w:p>
          <w:p w14:paraId="4B8AAF43">
            <w:pPr>
              <w:spacing w:line="259" w:lineRule="auto"/>
              <w:rPr>
                <w:rFonts w:ascii="Arial"/>
                <w:sz w:val="21"/>
              </w:rPr>
            </w:pPr>
          </w:p>
          <w:p w14:paraId="234C1D4E">
            <w:pPr>
              <w:spacing w:line="259" w:lineRule="auto"/>
              <w:rPr>
                <w:rFonts w:ascii="Arial"/>
                <w:sz w:val="21"/>
              </w:rPr>
            </w:pPr>
          </w:p>
          <w:p w14:paraId="4BDF547C">
            <w:pPr>
              <w:spacing w:line="259" w:lineRule="auto"/>
              <w:rPr>
                <w:rFonts w:ascii="Arial"/>
                <w:sz w:val="21"/>
              </w:rPr>
            </w:pPr>
          </w:p>
          <w:p w14:paraId="7734C974">
            <w:pPr>
              <w:pStyle w:val="6"/>
              <w:spacing w:before="55" w:line="220" w:lineRule="auto"/>
              <w:ind w:left="238"/>
            </w:pPr>
            <w:r>
              <w:rPr>
                <w:spacing w:val="-6"/>
              </w:rPr>
              <w:t>8</w:t>
            </w:r>
            <w:r>
              <w:rPr>
                <w:spacing w:val="-28"/>
              </w:rPr>
              <w:t xml:space="preserve"> </w:t>
            </w:r>
            <w:r>
              <w:rPr>
                <w:spacing w:val="-6"/>
              </w:rPr>
              <w:t>0</w:t>
            </w:r>
            <w:r>
              <w:rPr>
                <w:spacing w:val="-30"/>
              </w:rPr>
              <w:t xml:space="preserve"> </w:t>
            </w:r>
            <w:r>
              <w:rPr>
                <w:spacing w:val="-6"/>
              </w:rPr>
              <w:t>分</w:t>
            </w:r>
          </w:p>
        </w:tc>
      </w:tr>
      <w:tr w14:paraId="41536C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0" w:hRule="atLeast"/>
        </w:trPr>
        <w:tc>
          <w:tcPr>
            <w:tcW w:w="763" w:type="dxa"/>
            <w:vMerge w:val="continue"/>
            <w:tcBorders>
              <w:top w:val="nil"/>
              <w:bottom w:val="nil"/>
            </w:tcBorders>
            <w:vAlign w:val="top"/>
          </w:tcPr>
          <w:p w14:paraId="36F2B906">
            <w:pPr>
              <w:rPr>
                <w:rFonts w:ascii="Arial"/>
                <w:sz w:val="21"/>
              </w:rPr>
            </w:pPr>
          </w:p>
        </w:tc>
        <w:tc>
          <w:tcPr>
            <w:tcW w:w="2444" w:type="dxa"/>
            <w:vAlign w:val="top"/>
          </w:tcPr>
          <w:p w14:paraId="60E699F9">
            <w:pPr>
              <w:pStyle w:val="6"/>
              <w:spacing w:before="58" w:line="219" w:lineRule="auto"/>
              <w:jc w:val="right"/>
            </w:pPr>
            <w:r>
              <w:rPr>
                <w:spacing w:val="-9"/>
              </w:rPr>
              <w:t>秘书工作的基本原则、特点和作用</w:t>
            </w:r>
          </w:p>
        </w:tc>
        <w:tc>
          <w:tcPr>
            <w:tcW w:w="912" w:type="dxa"/>
            <w:vMerge w:val="continue"/>
            <w:tcBorders>
              <w:top w:val="nil"/>
              <w:bottom w:val="nil"/>
            </w:tcBorders>
            <w:vAlign w:val="top"/>
          </w:tcPr>
          <w:p w14:paraId="044D4B42">
            <w:pPr>
              <w:rPr>
                <w:rFonts w:ascii="Arial"/>
                <w:sz w:val="21"/>
              </w:rPr>
            </w:pPr>
          </w:p>
        </w:tc>
      </w:tr>
      <w:tr w14:paraId="30B728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trPr>
        <w:tc>
          <w:tcPr>
            <w:tcW w:w="763" w:type="dxa"/>
            <w:vMerge w:val="continue"/>
            <w:tcBorders>
              <w:top w:val="nil"/>
              <w:bottom w:val="nil"/>
            </w:tcBorders>
            <w:vAlign w:val="top"/>
          </w:tcPr>
          <w:p w14:paraId="623E55B1">
            <w:pPr>
              <w:rPr>
                <w:rFonts w:ascii="Arial"/>
                <w:sz w:val="21"/>
              </w:rPr>
            </w:pPr>
          </w:p>
        </w:tc>
        <w:tc>
          <w:tcPr>
            <w:tcW w:w="2444" w:type="dxa"/>
            <w:vAlign w:val="top"/>
          </w:tcPr>
          <w:p w14:paraId="4BF2F5AB">
            <w:pPr>
              <w:pStyle w:val="6"/>
              <w:spacing w:before="48" w:line="219" w:lineRule="auto"/>
              <w:ind w:left="11"/>
            </w:pPr>
            <w:r>
              <w:rPr>
                <w:spacing w:val="-1"/>
              </w:rPr>
              <w:t>信息与秘书工作</w:t>
            </w:r>
          </w:p>
        </w:tc>
        <w:tc>
          <w:tcPr>
            <w:tcW w:w="912" w:type="dxa"/>
            <w:vMerge w:val="continue"/>
            <w:tcBorders>
              <w:top w:val="nil"/>
              <w:bottom w:val="nil"/>
            </w:tcBorders>
            <w:vAlign w:val="top"/>
          </w:tcPr>
          <w:p w14:paraId="69442526">
            <w:pPr>
              <w:rPr>
                <w:rFonts w:ascii="Arial"/>
                <w:sz w:val="21"/>
              </w:rPr>
            </w:pPr>
          </w:p>
        </w:tc>
      </w:tr>
      <w:tr w14:paraId="690E66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9" w:hRule="atLeast"/>
        </w:trPr>
        <w:tc>
          <w:tcPr>
            <w:tcW w:w="763" w:type="dxa"/>
            <w:vMerge w:val="continue"/>
            <w:tcBorders>
              <w:top w:val="nil"/>
              <w:bottom w:val="nil"/>
            </w:tcBorders>
            <w:vAlign w:val="top"/>
          </w:tcPr>
          <w:p w14:paraId="50DCCD1E">
            <w:pPr>
              <w:rPr>
                <w:rFonts w:ascii="Arial"/>
                <w:sz w:val="21"/>
              </w:rPr>
            </w:pPr>
          </w:p>
        </w:tc>
        <w:tc>
          <w:tcPr>
            <w:tcW w:w="2444" w:type="dxa"/>
            <w:vAlign w:val="top"/>
          </w:tcPr>
          <w:p w14:paraId="7CBAA22C">
            <w:pPr>
              <w:pStyle w:val="6"/>
              <w:spacing w:before="60" w:line="219" w:lineRule="auto"/>
              <w:ind w:left="11"/>
            </w:pPr>
            <w:r>
              <w:rPr>
                <w:spacing w:val="-2"/>
              </w:rPr>
              <w:t>辅佐决策</w:t>
            </w:r>
          </w:p>
        </w:tc>
        <w:tc>
          <w:tcPr>
            <w:tcW w:w="912" w:type="dxa"/>
            <w:vMerge w:val="continue"/>
            <w:tcBorders>
              <w:top w:val="nil"/>
              <w:bottom w:val="nil"/>
            </w:tcBorders>
            <w:vAlign w:val="top"/>
          </w:tcPr>
          <w:p w14:paraId="27F9CD09">
            <w:pPr>
              <w:rPr>
                <w:rFonts w:ascii="Arial"/>
                <w:sz w:val="21"/>
              </w:rPr>
            </w:pPr>
          </w:p>
        </w:tc>
      </w:tr>
      <w:tr w14:paraId="01C6CA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763" w:type="dxa"/>
            <w:vMerge w:val="continue"/>
            <w:tcBorders>
              <w:top w:val="nil"/>
              <w:bottom w:val="nil"/>
            </w:tcBorders>
            <w:vAlign w:val="top"/>
          </w:tcPr>
          <w:p w14:paraId="6B4B865C">
            <w:pPr>
              <w:rPr>
                <w:rFonts w:ascii="Arial"/>
                <w:sz w:val="21"/>
              </w:rPr>
            </w:pPr>
          </w:p>
        </w:tc>
        <w:tc>
          <w:tcPr>
            <w:tcW w:w="2444" w:type="dxa"/>
            <w:vAlign w:val="top"/>
          </w:tcPr>
          <w:p w14:paraId="55BE7CC1">
            <w:pPr>
              <w:pStyle w:val="6"/>
              <w:spacing w:before="51" w:line="215" w:lineRule="auto"/>
              <w:ind w:left="11"/>
            </w:pPr>
            <w:r>
              <w:rPr>
                <w:spacing w:val="-2"/>
              </w:rPr>
              <w:t>检查督办</w:t>
            </w:r>
          </w:p>
        </w:tc>
        <w:tc>
          <w:tcPr>
            <w:tcW w:w="912" w:type="dxa"/>
            <w:vMerge w:val="continue"/>
            <w:tcBorders>
              <w:top w:val="nil"/>
              <w:bottom w:val="nil"/>
            </w:tcBorders>
            <w:vAlign w:val="top"/>
          </w:tcPr>
          <w:p w14:paraId="00FF1FD1">
            <w:pPr>
              <w:rPr>
                <w:rFonts w:ascii="Arial"/>
                <w:sz w:val="21"/>
              </w:rPr>
            </w:pPr>
          </w:p>
        </w:tc>
      </w:tr>
      <w:tr w14:paraId="082CBC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trPr>
        <w:tc>
          <w:tcPr>
            <w:tcW w:w="763" w:type="dxa"/>
            <w:vMerge w:val="continue"/>
            <w:tcBorders>
              <w:top w:val="nil"/>
              <w:bottom w:val="nil"/>
            </w:tcBorders>
            <w:vAlign w:val="top"/>
          </w:tcPr>
          <w:p w14:paraId="2D82FFB9">
            <w:pPr>
              <w:rPr>
                <w:rFonts w:ascii="Arial"/>
                <w:sz w:val="21"/>
              </w:rPr>
            </w:pPr>
          </w:p>
        </w:tc>
        <w:tc>
          <w:tcPr>
            <w:tcW w:w="2444" w:type="dxa"/>
            <w:vAlign w:val="top"/>
          </w:tcPr>
          <w:p w14:paraId="13B2A2D4">
            <w:pPr>
              <w:pStyle w:val="6"/>
              <w:spacing w:before="52" w:line="220" w:lineRule="auto"/>
              <w:ind w:left="11"/>
            </w:pPr>
            <w:r>
              <w:rPr>
                <w:spacing w:val="3"/>
              </w:rPr>
              <w:t>沟通协调</w:t>
            </w:r>
          </w:p>
        </w:tc>
        <w:tc>
          <w:tcPr>
            <w:tcW w:w="912" w:type="dxa"/>
            <w:vMerge w:val="continue"/>
            <w:tcBorders>
              <w:top w:val="nil"/>
              <w:bottom w:val="nil"/>
            </w:tcBorders>
            <w:vAlign w:val="top"/>
          </w:tcPr>
          <w:p w14:paraId="79C06301">
            <w:pPr>
              <w:rPr>
                <w:rFonts w:ascii="Arial"/>
                <w:sz w:val="21"/>
              </w:rPr>
            </w:pPr>
          </w:p>
        </w:tc>
      </w:tr>
      <w:tr w14:paraId="36865A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0" w:hRule="atLeast"/>
        </w:trPr>
        <w:tc>
          <w:tcPr>
            <w:tcW w:w="763" w:type="dxa"/>
            <w:vMerge w:val="continue"/>
            <w:tcBorders>
              <w:top w:val="nil"/>
              <w:bottom w:val="nil"/>
            </w:tcBorders>
            <w:vAlign w:val="top"/>
          </w:tcPr>
          <w:p w14:paraId="5703E3C9">
            <w:pPr>
              <w:rPr>
                <w:rFonts w:ascii="Arial"/>
                <w:sz w:val="21"/>
              </w:rPr>
            </w:pPr>
          </w:p>
        </w:tc>
        <w:tc>
          <w:tcPr>
            <w:tcW w:w="2444" w:type="dxa"/>
            <w:vAlign w:val="top"/>
          </w:tcPr>
          <w:p w14:paraId="479E18A4">
            <w:pPr>
              <w:pStyle w:val="6"/>
              <w:spacing w:before="60" w:line="219" w:lineRule="auto"/>
              <w:ind w:left="11"/>
            </w:pPr>
            <w:r>
              <w:rPr>
                <w:spacing w:val="-2"/>
              </w:rPr>
              <w:t>调查研究</w:t>
            </w:r>
          </w:p>
        </w:tc>
        <w:tc>
          <w:tcPr>
            <w:tcW w:w="912" w:type="dxa"/>
            <w:vMerge w:val="continue"/>
            <w:tcBorders>
              <w:top w:val="nil"/>
              <w:bottom w:val="nil"/>
            </w:tcBorders>
            <w:vAlign w:val="top"/>
          </w:tcPr>
          <w:p w14:paraId="741A1629">
            <w:pPr>
              <w:rPr>
                <w:rFonts w:ascii="Arial"/>
                <w:sz w:val="21"/>
              </w:rPr>
            </w:pPr>
          </w:p>
        </w:tc>
      </w:tr>
      <w:tr w14:paraId="7A565C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9" w:hRule="atLeast"/>
        </w:trPr>
        <w:tc>
          <w:tcPr>
            <w:tcW w:w="763" w:type="dxa"/>
            <w:vMerge w:val="continue"/>
            <w:tcBorders>
              <w:top w:val="nil"/>
              <w:bottom w:val="nil"/>
            </w:tcBorders>
            <w:vAlign w:val="top"/>
          </w:tcPr>
          <w:p w14:paraId="2C13BAD5">
            <w:pPr>
              <w:rPr>
                <w:rFonts w:ascii="Arial"/>
                <w:sz w:val="21"/>
              </w:rPr>
            </w:pPr>
          </w:p>
        </w:tc>
        <w:tc>
          <w:tcPr>
            <w:tcW w:w="2444" w:type="dxa"/>
            <w:vAlign w:val="top"/>
          </w:tcPr>
          <w:p w14:paraId="3DC46113">
            <w:pPr>
              <w:pStyle w:val="6"/>
              <w:spacing w:before="60" w:line="219" w:lineRule="auto"/>
              <w:ind w:left="11"/>
            </w:pPr>
            <w:r>
              <w:rPr>
                <w:spacing w:val="-2"/>
              </w:rPr>
              <w:t>会议工作</w:t>
            </w:r>
          </w:p>
        </w:tc>
        <w:tc>
          <w:tcPr>
            <w:tcW w:w="912" w:type="dxa"/>
            <w:vMerge w:val="continue"/>
            <w:tcBorders>
              <w:top w:val="nil"/>
              <w:bottom w:val="nil"/>
            </w:tcBorders>
            <w:vAlign w:val="top"/>
          </w:tcPr>
          <w:p w14:paraId="16B279A3">
            <w:pPr>
              <w:rPr>
                <w:rFonts w:ascii="Arial"/>
                <w:sz w:val="21"/>
              </w:rPr>
            </w:pPr>
          </w:p>
        </w:tc>
      </w:tr>
      <w:tr w14:paraId="4F606F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 w:hRule="atLeast"/>
        </w:trPr>
        <w:tc>
          <w:tcPr>
            <w:tcW w:w="763" w:type="dxa"/>
            <w:vMerge w:val="continue"/>
            <w:tcBorders>
              <w:top w:val="nil"/>
              <w:bottom w:val="nil"/>
            </w:tcBorders>
            <w:vAlign w:val="top"/>
          </w:tcPr>
          <w:p w14:paraId="59D7CFC3">
            <w:pPr>
              <w:rPr>
                <w:rFonts w:ascii="Arial"/>
                <w:sz w:val="21"/>
              </w:rPr>
            </w:pPr>
          </w:p>
        </w:tc>
        <w:tc>
          <w:tcPr>
            <w:tcW w:w="2444" w:type="dxa"/>
            <w:vAlign w:val="top"/>
          </w:tcPr>
          <w:p w14:paraId="281F5E51">
            <w:pPr>
              <w:pStyle w:val="6"/>
              <w:spacing w:before="52" w:line="214" w:lineRule="auto"/>
              <w:ind w:left="11"/>
            </w:pPr>
            <w:r>
              <w:rPr>
                <w:spacing w:val="-2"/>
              </w:rPr>
              <w:t>信访和值班</w:t>
            </w:r>
          </w:p>
        </w:tc>
        <w:tc>
          <w:tcPr>
            <w:tcW w:w="912" w:type="dxa"/>
            <w:vMerge w:val="continue"/>
            <w:tcBorders>
              <w:top w:val="nil"/>
              <w:bottom w:val="nil"/>
            </w:tcBorders>
            <w:vAlign w:val="top"/>
          </w:tcPr>
          <w:p w14:paraId="59317D0B">
            <w:pPr>
              <w:rPr>
                <w:rFonts w:ascii="Arial"/>
                <w:sz w:val="21"/>
              </w:rPr>
            </w:pPr>
          </w:p>
        </w:tc>
      </w:tr>
      <w:tr w14:paraId="79B0E5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9" w:hRule="atLeast"/>
        </w:trPr>
        <w:tc>
          <w:tcPr>
            <w:tcW w:w="763" w:type="dxa"/>
            <w:vMerge w:val="continue"/>
            <w:tcBorders>
              <w:top w:val="nil"/>
              <w:bottom w:val="nil"/>
            </w:tcBorders>
            <w:vAlign w:val="top"/>
          </w:tcPr>
          <w:p w14:paraId="7BF67F1B">
            <w:pPr>
              <w:rPr>
                <w:rFonts w:ascii="Arial"/>
                <w:sz w:val="21"/>
              </w:rPr>
            </w:pPr>
          </w:p>
        </w:tc>
        <w:tc>
          <w:tcPr>
            <w:tcW w:w="2444" w:type="dxa"/>
            <w:vAlign w:val="top"/>
          </w:tcPr>
          <w:p w14:paraId="39E6F7FF">
            <w:pPr>
              <w:pStyle w:val="6"/>
              <w:spacing w:before="63" w:line="219" w:lineRule="auto"/>
              <w:ind w:left="11"/>
            </w:pPr>
            <w:r>
              <w:rPr>
                <w:spacing w:val="1"/>
              </w:rPr>
              <w:t>日常事务</w:t>
            </w:r>
          </w:p>
        </w:tc>
        <w:tc>
          <w:tcPr>
            <w:tcW w:w="912" w:type="dxa"/>
            <w:vMerge w:val="continue"/>
            <w:tcBorders>
              <w:top w:val="nil"/>
              <w:bottom w:val="nil"/>
            </w:tcBorders>
            <w:vAlign w:val="top"/>
          </w:tcPr>
          <w:p w14:paraId="45E5F220">
            <w:pPr>
              <w:rPr>
                <w:rFonts w:ascii="Arial"/>
                <w:sz w:val="21"/>
              </w:rPr>
            </w:pPr>
          </w:p>
        </w:tc>
      </w:tr>
      <w:tr w14:paraId="1C0BD0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trPr>
        <w:tc>
          <w:tcPr>
            <w:tcW w:w="763" w:type="dxa"/>
            <w:vMerge w:val="continue"/>
            <w:tcBorders>
              <w:top w:val="nil"/>
              <w:bottom w:val="nil"/>
            </w:tcBorders>
            <w:vAlign w:val="top"/>
          </w:tcPr>
          <w:p w14:paraId="7EFE792C">
            <w:pPr>
              <w:rPr>
                <w:rFonts w:ascii="Arial"/>
                <w:sz w:val="21"/>
              </w:rPr>
            </w:pPr>
          </w:p>
        </w:tc>
        <w:tc>
          <w:tcPr>
            <w:tcW w:w="2444" w:type="dxa"/>
            <w:vAlign w:val="top"/>
          </w:tcPr>
          <w:p w14:paraId="584868A6">
            <w:pPr>
              <w:pStyle w:val="6"/>
              <w:spacing w:before="54" w:line="220" w:lineRule="auto"/>
              <w:ind w:left="11"/>
            </w:pPr>
            <w:r>
              <w:rPr>
                <w:spacing w:val="-2"/>
              </w:rPr>
              <w:t>保密工作</w:t>
            </w:r>
          </w:p>
        </w:tc>
        <w:tc>
          <w:tcPr>
            <w:tcW w:w="912" w:type="dxa"/>
            <w:vMerge w:val="continue"/>
            <w:tcBorders>
              <w:top w:val="nil"/>
              <w:bottom w:val="nil"/>
            </w:tcBorders>
            <w:vAlign w:val="top"/>
          </w:tcPr>
          <w:p w14:paraId="281406FE">
            <w:pPr>
              <w:rPr>
                <w:rFonts w:ascii="Arial"/>
                <w:sz w:val="21"/>
              </w:rPr>
            </w:pPr>
          </w:p>
        </w:tc>
      </w:tr>
      <w:tr w14:paraId="78D4DA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9" w:hRule="atLeast"/>
        </w:trPr>
        <w:tc>
          <w:tcPr>
            <w:tcW w:w="763" w:type="dxa"/>
            <w:vMerge w:val="continue"/>
            <w:tcBorders>
              <w:top w:val="nil"/>
            </w:tcBorders>
            <w:vAlign w:val="top"/>
          </w:tcPr>
          <w:p w14:paraId="2CF45818">
            <w:pPr>
              <w:rPr>
                <w:rFonts w:ascii="Arial"/>
                <w:sz w:val="21"/>
              </w:rPr>
            </w:pPr>
          </w:p>
        </w:tc>
        <w:tc>
          <w:tcPr>
            <w:tcW w:w="2444" w:type="dxa"/>
            <w:vAlign w:val="top"/>
          </w:tcPr>
          <w:p w14:paraId="347D1A23">
            <w:pPr>
              <w:pStyle w:val="6"/>
              <w:spacing w:before="62" w:line="219" w:lineRule="auto"/>
              <w:jc w:val="right"/>
            </w:pPr>
            <w:r>
              <w:rPr>
                <w:spacing w:val="-9"/>
              </w:rPr>
              <w:t>秘书的基本素养、条件和职业道德</w:t>
            </w:r>
          </w:p>
        </w:tc>
        <w:tc>
          <w:tcPr>
            <w:tcW w:w="912" w:type="dxa"/>
            <w:vMerge w:val="continue"/>
            <w:tcBorders>
              <w:top w:val="nil"/>
            </w:tcBorders>
            <w:vAlign w:val="top"/>
          </w:tcPr>
          <w:p w14:paraId="0F78D748">
            <w:pPr>
              <w:rPr>
                <w:rFonts w:ascii="Arial"/>
                <w:sz w:val="21"/>
              </w:rPr>
            </w:pPr>
          </w:p>
        </w:tc>
      </w:tr>
      <w:tr w14:paraId="7B61CA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0" w:hRule="atLeast"/>
        </w:trPr>
        <w:tc>
          <w:tcPr>
            <w:tcW w:w="763" w:type="dxa"/>
            <w:vMerge w:val="restart"/>
            <w:tcBorders>
              <w:bottom w:val="nil"/>
            </w:tcBorders>
            <w:vAlign w:val="top"/>
          </w:tcPr>
          <w:p w14:paraId="2F2DB7ED">
            <w:pPr>
              <w:pStyle w:val="6"/>
              <w:spacing w:before="63" w:line="219" w:lineRule="auto"/>
              <w:ind w:left="115"/>
            </w:pPr>
            <w:r>
              <w:rPr>
                <w:spacing w:val="-2"/>
              </w:rPr>
              <w:t>文书拟</w:t>
            </w:r>
          </w:p>
          <w:p w14:paraId="7B973008">
            <w:pPr>
              <w:pStyle w:val="6"/>
              <w:spacing w:before="21" w:line="221" w:lineRule="auto"/>
              <w:ind w:left="205"/>
            </w:pPr>
            <w:r>
              <w:rPr>
                <w:spacing w:val="6"/>
              </w:rPr>
              <w:t>写与</w:t>
            </w:r>
          </w:p>
          <w:p w14:paraId="261F98BE">
            <w:pPr>
              <w:pStyle w:val="6"/>
              <w:spacing w:before="14" w:line="219" w:lineRule="auto"/>
              <w:ind w:left="115"/>
            </w:pPr>
            <w:r>
              <w:rPr>
                <w:spacing w:val="-2"/>
              </w:rPr>
              <w:t>档案管</w:t>
            </w:r>
          </w:p>
          <w:p w14:paraId="14ADBD5F">
            <w:pPr>
              <w:pStyle w:val="6"/>
              <w:spacing w:before="7" w:line="229" w:lineRule="auto"/>
              <w:ind w:left="285"/>
            </w:pPr>
            <w:r>
              <w:t>理</w:t>
            </w:r>
          </w:p>
        </w:tc>
        <w:tc>
          <w:tcPr>
            <w:tcW w:w="2444" w:type="dxa"/>
            <w:vAlign w:val="top"/>
          </w:tcPr>
          <w:p w14:paraId="5E107BA5">
            <w:pPr>
              <w:pStyle w:val="6"/>
              <w:spacing w:before="63" w:line="219" w:lineRule="auto"/>
              <w:ind w:left="11"/>
            </w:pPr>
            <w:r>
              <w:rPr>
                <w:spacing w:val="3"/>
              </w:rPr>
              <w:t>文书拟写</w:t>
            </w:r>
          </w:p>
        </w:tc>
        <w:tc>
          <w:tcPr>
            <w:tcW w:w="912" w:type="dxa"/>
            <w:vMerge w:val="restart"/>
            <w:tcBorders>
              <w:bottom w:val="nil"/>
            </w:tcBorders>
            <w:vAlign w:val="top"/>
          </w:tcPr>
          <w:p w14:paraId="16CEBEE5">
            <w:pPr>
              <w:spacing w:line="427" w:lineRule="auto"/>
              <w:rPr>
                <w:rFonts w:ascii="Arial"/>
                <w:sz w:val="21"/>
              </w:rPr>
            </w:pPr>
          </w:p>
          <w:p w14:paraId="65963A51">
            <w:pPr>
              <w:pStyle w:val="6"/>
              <w:spacing w:before="55" w:line="220" w:lineRule="auto"/>
              <w:ind w:left="277"/>
            </w:pPr>
            <w:r>
              <w:rPr>
                <w:spacing w:val="-2"/>
              </w:rPr>
              <w:t>70分</w:t>
            </w:r>
          </w:p>
        </w:tc>
      </w:tr>
      <w:tr w14:paraId="0D9FDD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763" w:type="dxa"/>
            <w:vMerge w:val="continue"/>
            <w:tcBorders>
              <w:top w:val="nil"/>
              <w:bottom w:val="nil"/>
            </w:tcBorders>
            <w:vAlign w:val="top"/>
          </w:tcPr>
          <w:p w14:paraId="44258B19">
            <w:pPr>
              <w:rPr>
                <w:rFonts w:ascii="Arial"/>
                <w:sz w:val="21"/>
              </w:rPr>
            </w:pPr>
          </w:p>
        </w:tc>
        <w:tc>
          <w:tcPr>
            <w:tcW w:w="2444" w:type="dxa"/>
            <w:vAlign w:val="top"/>
          </w:tcPr>
          <w:p w14:paraId="73707972">
            <w:pPr>
              <w:pStyle w:val="6"/>
              <w:spacing w:before="54" w:line="219" w:lineRule="auto"/>
              <w:ind w:left="11"/>
            </w:pPr>
            <w:r>
              <w:rPr>
                <w:spacing w:val="-2"/>
              </w:rPr>
              <w:t>文书办理</w:t>
            </w:r>
          </w:p>
        </w:tc>
        <w:tc>
          <w:tcPr>
            <w:tcW w:w="912" w:type="dxa"/>
            <w:vMerge w:val="continue"/>
            <w:tcBorders>
              <w:top w:val="nil"/>
              <w:bottom w:val="nil"/>
            </w:tcBorders>
            <w:vAlign w:val="top"/>
          </w:tcPr>
          <w:p w14:paraId="7698CC92">
            <w:pPr>
              <w:rPr>
                <w:rFonts w:ascii="Arial"/>
                <w:sz w:val="21"/>
              </w:rPr>
            </w:pPr>
          </w:p>
        </w:tc>
      </w:tr>
      <w:tr w14:paraId="7F26B4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 w:hRule="atLeast"/>
        </w:trPr>
        <w:tc>
          <w:tcPr>
            <w:tcW w:w="763" w:type="dxa"/>
            <w:vMerge w:val="continue"/>
            <w:tcBorders>
              <w:top w:val="nil"/>
              <w:bottom w:val="nil"/>
            </w:tcBorders>
            <w:vAlign w:val="top"/>
          </w:tcPr>
          <w:p w14:paraId="112CD839">
            <w:pPr>
              <w:rPr>
                <w:rFonts w:ascii="Arial"/>
                <w:sz w:val="21"/>
              </w:rPr>
            </w:pPr>
          </w:p>
        </w:tc>
        <w:tc>
          <w:tcPr>
            <w:tcW w:w="2444" w:type="dxa"/>
            <w:vAlign w:val="top"/>
          </w:tcPr>
          <w:p w14:paraId="06D9A69E">
            <w:pPr>
              <w:pStyle w:val="6"/>
              <w:spacing w:before="55" w:line="211" w:lineRule="auto"/>
              <w:ind w:left="11"/>
            </w:pPr>
            <w:r>
              <w:rPr>
                <w:spacing w:val="-1"/>
              </w:rPr>
              <w:t>纸质文件的档案管理</w:t>
            </w:r>
          </w:p>
        </w:tc>
        <w:tc>
          <w:tcPr>
            <w:tcW w:w="912" w:type="dxa"/>
            <w:vMerge w:val="continue"/>
            <w:tcBorders>
              <w:top w:val="nil"/>
              <w:bottom w:val="nil"/>
            </w:tcBorders>
            <w:vAlign w:val="top"/>
          </w:tcPr>
          <w:p w14:paraId="42DBD1F0">
            <w:pPr>
              <w:rPr>
                <w:rFonts w:ascii="Arial"/>
                <w:sz w:val="21"/>
              </w:rPr>
            </w:pPr>
          </w:p>
        </w:tc>
      </w:tr>
      <w:tr w14:paraId="1F8526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4" w:hRule="atLeast"/>
        </w:trPr>
        <w:tc>
          <w:tcPr>
            <w:tcW w:w="763" w:type="dxa"/>
            <w:vMerge w:val="continue"/>
            <w:tcBorders>
              <w:top w:val="nil"/>
            </w:tcBorders>
            <w:vAlign w:val="top"/>
          </w:tcPr>
          <w:p w14:paraId="1E62A8E9">
            <w:pPr>
              <w:rPr>
                <w:rFonts w:ascii="Arial"/>
                <w:sz w:val="21"/>
              </w:rPr>
            </w:pPr>
          </w:p>
        </w:tc>
        <w:tc>
          <w:tcPr>
            <w:tcW w:w="2444" w:type="dxa"/>
            <w:vAlign w:val="top"/>
          </w:tcPr>
          <w:p w14:paraId="67A5D3C5">
            <w:pPr>
              <w:pStyle w:val="6"/>
              <w:spacing w:before="66" w:line="219" w:lineRule="auto"/>
              <w:ind w:left="11"/>
            </w:pPr>
            <w:r>
              <w:t>电子文件与数字档案管理</w:t>
            </w:r>
          </w:p>
        </w:tc>
        <w:tc>
          <w:tcPr>
            <w:tcW w:w="912" w:type="dxa"/>
            <w:vMerge w:val="continue"/>
            <w:tcBorders>
              <w:top w:val="nil"/>
            </w:tcBorders>
            <w:vAlign w:val="top"/>
          </w:tcPr>
          <w:p w14:paraId="2B7BCA72">
            <w:pPr>
              <w:rPr>
                <w:rFonts w:ascii="Arial"/>
                <w:sz w:val="21"/>
              </w:rPr>
            </w:pPr>
          </w:p>
        </w:tc>
      </w:tr>
    </w:tbl>
    <w:p w14:paraId="1F2C0382">
      <w:pPr>
        <w:spacing w:before="62" w:line="219" w:lineRule="auto"/>
        <w:ind w:left="435"/>
        <w:rPr>
          <w:rFonts w:ascii="宋体" w:hAnsi="宋体" w:eastAsia="宋体" w:cs="宋体"/>
          <w:sz w:val="18"/>
          <w:szCs w:val="18"/>
        </w:rPr>
      </w:pPr>
      <w:r>
        <w:rPr>
          <w:rFonts w:ascii="宋体" w:hAnsi="宋体" w:eastAsia="宋体" w:cs="宋体"/>
          <w:sz w:val="18"/>
          <w:szCs w:val="18"/>
        </w:rPr>
        <w:t>(2)按考试水平分：</w:t>
      </w:r>
    </w:p>
    <w:p w14:paraId="238498F6">
      <w:pPr>
        <w:spacing w:line="14" w:lineRule="exact"/>
      </w:pPr>
    </w:p>
    <w:tbl>
      <w:tblPr>
        <w:tblStyle w:val="5"/>
        <w:tblW w:w="413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73"/>
        <w:gridCol w:w="828"/>
        <w:gridCol w:w="838"/>
        <w:gridCol w:w="838"/>
        <w:gridCol w:w="853"/>
      </w:tblGrid>
      <w:tr w14:paraId="7B72D8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773" w:type="dxa"/>
            <w:vAlign w:val="top"/>
          </w:tcPr>
          <w:p w14:paraId="508B91EE">
            <w:pPr>
              <w:pStyle w:val="6"/>
              <w:spacing w:before="92" w:line="220" w:lineRule="auto"/>
              <w:ind w:left="215"/>
              <w:rPr>
                <w:sz w:val="16"/>
                <w:szCs w:val="16"/>
              </w:rPr>
            </w:pPr>
            <w:r>
              <w:rPr>
                <w:spacing w:val="6"/>
                <w:sz w:val="16"/>
                <w:szCs w:val="16"/>
              </w:rPr>
              <w:t>目标</w:t>
            </w:r>
          </w:p>
        </w:tc>
        <w:tc>
          <w:tcPr>
            <w:tcW w:w="828" w:type="dxa"/>
            <w:vAlign w:val="top"/>
          </w:tcPr>
          <w:p w14:paraId="45D30A9B">
            <w:pPr>
              <w:pStyle w:val="6"/>
              <w:spacing w:before="132" w:line="184" w:lineRule="auto"/>
              <w:ind w:left="361"/>
              <w:rPr>
                <w:sz w:val="16"/>
                <w:szCs w:val="16"/>
              </w:rPr>
            </w:pPr>
            <w:r>
              <w:rPr>
                <w:sz w:val="16"/>
                <w:szCs w:val="16"/>
              </w:rPr>
              <w:t>A</w:t>
            </w:r>
          </w:p>
        </w:tc>
        <w:tc>
          <w:tcPr>
            <w:tcW w:w="838" w:type="dxa"/>
            <w:vAlign w:val="top"/>
          </w:tcPr>
          <w:p w14:paraId="0E678D16">
            <w:pPr>
              <w:pStyle w:val="6"/>
              <w:spacing w:before="133" w:line="182" w:lineRule="auto"/>
              <w:ind w:left="373"/>
              <w:rPr>
                <w:sz w:val="16"/>
                <w:szCs w:val="16"/>
              </w:rPr>
            </w:pPr>
            <w:r>
              <w:rPr>
                <w:sz w:val="16"/>
                <w:szCs w:val="16"/>
              </w:rPr>
              <w:t>B</w:t>
            </w:r>
          </w:p>
        </w:tc>
        <w:tc>
          <w:tcPr>
            <w:tcW w:w="838" w:type="dxa"/>
            <w:vAlign w:val="top"/>
          </w:tcPr>
          <w:p w14:paraId="79B659C6">
            <w:pPr>
              <w:pStyle w:val="6"/>
              <w:spacing w:before="132" w:line="183" w:lineRule="auto"/>
              <w:ind w:left="375"/>
              <w:rPr>
                <w:sz w:val="16"/>
                <w:szCs w:val="16"/>
              </w:rPr>
            </w:pPr>
            <w:r>
              <w:rPr>
                <w:sz w:val="16"/>
                <w:szCs w:val="16"/>
              </w:rPr>
              <w:t>C</w:t>
            </w:r>
          </w:p>
        </w:tc>
        <w:tc>
          <w:tcPr>
            <w:tcW w:w="853" w:type="dxa"/>
            <w:vAlign w:val="top"/>
          </w:tcPr>
          <w:p w14:paraId="32A0B29A">
            <w:pPr>
              <w:pStyle w:val="6"/>
              <w:spacing w:before="133" w:line="182" w:lineRule="auto"/>
              <w:ind w:left="378"/>
              <w:rPr>
                <w:sz w:val="16"/>
                <w:szCs w:val="16"/>
              </w:rPr>
            </w:pPr>
            <w:r>
              <w:rPr>
                <w:sz w:val="16"/>
                <w:szCs w:val="16"/>
              </w:rPr>
              <w:t>D</w:t>
            </w:r>
          </w:p>
        </w:tc>
      </w:tr>
      <w:tr w14:paraId="551617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0" w:hRule="atLeast"/>
        </w:trPr>
        <w:tc>
          <w:tcPr>
            <w:tcW w:w="773" w:type="dxa"/>
            <w:vAlign w:val="top"/>
          </w:tcPr>
          <w:p w14:paraId="43F19EC5">
            <w:pPr>
              <w:pStyle w:val="6"/>
              <w:spacing w:before="82" w:line="220" w:lineRule="auto"/>
              <w:ind w:left="135"/>
              <w:rPr>
                <w:sz w:val="16"/>
                <w:szCs w:val="16"/>
              </w:rPr>
            </w:pPr>
            <w:r>
              <w:rPr>
                <w:spacing w:val="3"/>
                <w:sz w:val="16"/>
                <w:szCs w:val="16"/>
              </w:rPr>
              <w:t>百分比</w:t>
            </w:r>
          </w:p>
        </w:tc>
        <w:tc>
          <w:tcPr>
            <w:tcW w:w="828" w:type="dxa"/>
            <w:vAlign w:val="top"/>
          </w:tcPr>
          <w:p w14:paraId="579A27BD">
            <w:pPr>
              <w:pStyle w:val="6"/>
              <w:spacing w:before="122" w:line="183" w:lineRule="auto"/>
              <w:ind w:left="282"/>
              <w:rPr>
                <w:sz w:val="16"/>
                <w:szCs w:val="16"/>
              </w:rPr>
            </w:pPr>
            <w:r>
              <w:rPr>
                <w:spacing w:val="-3"/>
                <w:sz w:val="16"/>
                <w:szCs w:val="16"/>
              </w:rPr>
              <w:t>30%</w:t>
            </w:r>
          </w:p>
        </w:tc>
        <w:tc>
          <w:tcPr>
            <w:tcW w:w="838" w:type="dxa"/>
            <w:vAlign w:val="top"/>
          </w:tcPr>
          <w:p w14:paraId="33EE0E6A">
            <w:pPr>
              <w:pStyle w:val="6"/>
              <w:spacing w:before="122" w:line="183" w:lineRule="auto"/>
              <w:ind w:left="294"/>
              <w:rPr>
                <w:sz w:val="16"/>
                <w:szCs w:val="16"/>
              </w:rPr>
            </w:pPr>
            <w:r>
              <w:rPr>
                <w:spacing w:val="-2"/>
                <w:sz w:val="16"/>
                <w:szCs w:val="16"/>
              </w:rPr>
              <w:t>20%</w:t>
            </w:r>
          </w:p>
        </w:tc>
        <w:tc>
          <w:tcPr>
            <w:tcW w:w="838" w:type="dxa"/>
            <w:vAlign w:val="top"/>
          </w:tcPr>
          <w:p w14:paraId="3A6A51E3">
            <w:pPr>
              <w:pStyle w:val="6"/>
              <w:spacing w:before="122" w:line="183" w:lineRule="auto"/>
              <w:ind w:left="296"/>
              <w:rPr>
                <w:sz w:val="16"/>
                <w:szCs w:val="16"/>
              </w:rPr>
            </w:pPr>
            <w:r>
              <w:rPr>
                <w:spacing w:val="-3"/>
                <w:sz w:val="16"/>
                <w:szCs w:val="16"/>
              </w:rPr>
              <w:t>30%</w:t>
            </w:r>
          </w:p>
        </w:tc>
        <w:tc>
          <w:tcPr>
            <w:tcW w:w="853" w:type="dxa"/>
            <w:vAlign w:val="top"/>
          </w:tcPr>
          <w:p w14:paraId="4B1F2445">
            <w:pPr>
              <w:pStyle w:val="6"/>
              <w:spacing w:before="122" w:line="183" w:lineRule="auto"/>
              <w:ind w:left="298"/>
              <w:rPr>
                <w:sz w:val="16"/>
                <w:szCs w:val="16"/>
              </w:rPr>
            </w:pPr>
            <w:r>
              <w:rPr>
                <w:spacing w:val="-2"/>
                <w:sz w:val="16"/>
                <w:szCs w:val="16"/>
              </w:rPr>
              <w:t>20%</w:t>
            </w:r>
          </w:p>
        </w:tc>
      </w:tr>
    </w:tbl>
    <w:p w14:paraId="2A00EA2C">
      <w:pPr>
        <w:pStyle w:val="2"/>
        <w:spacing w:line="104" w:lineRule="auto"/>
        <w:rPr>
          <w:sz w:val="2"/>
        </w:rPr>
      </w:pPr>
    </w:p>
    <w:p w14:paraId="405CD356">
      <w:pPr>
        <w:spacing w:line="104" w:lineRule="auto"/>
        <w:rPr>
          <w:sz w:val="2"/>
          <w:szCs w:val="2"/>
        </w:rPr>
        <w:sectPr>
          <w:type w:val="continuous"/>
          <w:pgSz w:w="10660" w:h="15080"/>
          <w:pgMar w:top="400" w:right="875" w:bottom="936" w:left="1005" w:header="0" w:footer="715" w:gutter="0"/>
          <w:cols w:equalWidth="0" w:num="2">
            <w:col w:w="4520" w:space="100"/>
            <w:col w:w="4160"/>
          </w:cols>
        </w:sectPr>
      </w:pPr>
    </w:p>
    <w:p w14:paraId="738F1A8F">
      <w:pPr>
        <w:spacing w:before="4"/>
      </w:pPr>
    </w:p>
    <w:p w14:paraId="66BF6B91">
      <w:pPr>
        <w:spacing w:before="4"/>
      </w:pPr>
    </w:p>
    <w:p w14:paraId="50D4A2A4">
      <w:pPr>
        <w:spacing w:before="3"/>
      </w:pPr>
    </w:p>
    <w:p w14:paraId="42156D1F">
      <w:pPr>
        <w:spacing w:before="3"/>
      </w:pPr>
    </w:p>
    <w:p w14:paraId="5E54C2AE">
      <w:pPr>
        <w:sectPr>
          <w:footerReference r:id="rId66" w:type="default"/>
          <w:pgSz w:w="10660" w:h="15080"/>
          <w:pgMar w:top="400" w:right="1014" w:bottom="925" w:left="809" w:header="0" w:footer="705" w:gutter="0"/>
          <w:cols w:equalWidth="0" w:num="1">
            <w:col w:w="8836"/>
          </w:cols>
        </w:sectPr>
      </w:pPr>
    </w:p>
    <w:p w14:paraId="0B7FCE92">
      <w:pPr>
        <w:spacing w:before="46" w:line="213" w:lineRule="auto"/>
        <w:ind w:left="480"/>
        <w:rPr>
          <w:rFonts w:ascii="宋体" w:hAnsi="宋体" w:eastAsia="宋体" w:cs="宋体"/>
          <w:sz w:val="18"/>
          <w:szCs w:val="18"/>
        </w:rPr>
      </w:pPr>
      <w:r>
        <w:rPr>
          <w:rFonts w:ascii="宋体" w:hAnsi="宋体" w:eastAsia="宋体" w:cs="宋体"/>
          <w:sz w:val="18"/>
          <w:szCs w:val="18"/>
        </w:rPr>
        <w:t>(3)按题型分：</w:t>
      </w:r>
    </w:p>
    <w:tbl>
      <w:tblPr>
        <w:tblStyle w:val="5"/>
        <w:tblW w:w="4130" w:type="dxa"/>
        <w:tblInd w:w="4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072"/>
        <w:gridCol w:w="1028"/>
        <w:gridCol w:w="1017"/>
        <w:gridCol w:w="1013"/>
      </w:tblGrid>
      <w:tr w14:paraId="05F46A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0" w:hRule="atLeast"/>
        </w:trPr>
        <w:tc>
          <w:tcPr>
            <w:tcW w:w="1072" w:type="dxa"/>
            <w:vAlign w:val="top"/>
          </w:tcPr>
          <w:p w14:paraId="26FBB329">
            <w:pPr>
              <w:pStyle w:val="6"/>
              <w:spacing w:before="144" w:line="221" w:lineRule="auto"/>
              <w:ind w:left="315"/>
            </w:pPr>
            <w:r>
              <w:rPr>
                <w:spacing w:val="-4"/>
              </w:rPr>
              <w:t>题</w:t>
            </w:r>
            <w:r>
              <w:rPr>
                <w:spacing w:val="12"/>
              </w:rPr>
              <w:t xml:space="preserve"> </w:t>
            </w:r>
            <w:r>
              <w:rPr>
                <w:spacing w:val="-4"/>
              </w:rPr>
              <w:t>型</w:t>
            </w:r>
          </w:p>
        </w:tc>
        <w:tc>
          <w:tcPr>
            <w:tcW w:w="1028" w:type="dxa"/>
            <w:vAlign w:val="top"/>
          </w:tcPr>
          <w:p w14:paraId="24EC49E3">
            <w:pPr>
              <w:pStyle w:val="6"/>
              <w:spacing w:before="142" w:line="220" w:lineRule="auto"/>
              <w:ind w:left="83"/>
            </w:pPr>
            <w:r>
              <w:rPr>
                <w:spacing w:val="-2"/>
              </w:rPr>
              <w:t>单项选择题</w:t>
            </w:r>
          </w:p>
        </w:tc>
        <w:tc>
          <w:tcPr>
            <w:tcW w:w="1017" w:type="dxa"/>
            <w:vAlign w:val="top"/>
          </w:tcPr>
          <w:p w14:paraId="168D56A1">
            <w:pPr>
              <w:pStyle w:val="6"/>
              <w:spacing w:before="142" w:line="220" w:lineRule="auto"/>
              <w:ind w:left="74"/>
            </w:pPr>
            <w:r>
              <w:rPr>
                <w:spacing w:val="1"/>
              </w:rPr>
              <w:t>多项选择题</w:t>
            </w:r>
          </w:p>
        </w:tc>
        <w:tc>
          <w:tcPr>
            <w:tcW w:w="1013" w:type="dxa"/>
            <w:vAlign w:val="top"/>
          </w:tcPr>
          <w:p w14:paraId="12CC306A">
            <w:pPr>
              <w:pStyle w:val="6"/>
              <w:spacing w:before="142" w:line="220" w:lineRule="auto"/>
              <w:ind w:left="247"/>
            </w:pPr>
            <w:r>
              <w:rPr>
                <w:spacing w:val="-2"/>
              </w:rPr>
              <w:t>综合题</w:t>
            </w:r>
          </w:p>
        </w:tc>
      </w:tr>
      <w:tr w14:paraId="4E95BB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0" w:hRule="atLeast"/>
        </w:trPr>
        <w:tc>
          <w:tcPr>
            <w:tcW w:w="1072" w:type="dxa"/>
            <w:vAlign w:val="top"/>
          </w:tcPr>
          <w:p w14:paraId="5B03E203">
            <w:pPr>
              <w:pStyle w:val="6"/>
              <w:spacing w:before="142" w:line="220" w:lineRule="auto"/>
              <w:ind w:left="274"/>
            </w:pPr>
            <w:r>
              <w:rPr>
                <w:spacing w:val="3"/>
              </w:rPr>
              <w:t>百分比</w:t>
            </w:r>
          </w:p>
        </w:tc>
        <w:tc>
          <w:tcPr>
            <w:tcW w:w="1028" w:type="dxa"/>
            <w:vAlign w:val="top"/>
          </w:tcPr>
          <w:p w14:paraId="50D41AB8">
            <w:pPr>
              <w:pStyle w:val="6"/>
              <w:spacing w:before="185" w:line="183" w:lineRule="auto"/>
              <w:ind w:left="372"/>
            </w:pPr>
            <w:r>
              <w:rPr>
                <w:spacing w:val="-3"/>
              </w:rPr>
              <w:t>35%</w:t>
            </w:r>
          </w:p>
        </w:tc>
        <w:tc>
          <w:tcPr>
            <w:tcW w:w="1017" w:type="dxa"/>
            <w:vAlign w:val="top"/>
          </w:tcPr>
          <w:p w14:paraId="37E619E4">
            <w:pPr>
              <w:pStyle w:val="6"/>
              <w:spacing w:before="184" w:line="184" w:lineRule="auto"/>
              <w:ind w:left="374"/>
            </w:pPr>
            <w:r>
              <w:rPr>
                <w:spacing w:val="-5"/>
              </w:rPr>
              <w:t>15%</w:t>
            </w:r>
          </w:p>
        </w:tc>
        <w:tc>
          <w:tcPr>
            <w:tcW w:w="1013" w:type="dxa"/>
            <w:vAlign w:val="top"/>
          </w:tcPr>
          <w:p w14:paraId="769FA6A5">
            <w:pPr>
              <w:pStyle w:val="6"/>
              <w:spacing w:before="185" w:line="183" w:lineRule="auto"/>
              <w:ind w:left="367"/>
            </w:pPr>
            <w:r>
              <w:rPr>
                <w:spacing w:val="-3"/>
              </w:rPr>
              <w:t>50%</w:t>
            </w:r>
          </w:p>
        </w:tc>
      </w:tr>
    </w:tbl>
    <w:p w14:paraId="7846B49D">
      <w:pPr>
        <w:spacing w:before="59" w:line="311" w:lineRule="auto"/>
        <w:ind w:right="472" w:firstLine="390"/>
        <w:rPr>
          <w:rFonts w:ascii="宋体" w:hAnsi="宋体" w:eastAsia="宋体" w:cs="宋体"/>
          <w:sz w:val="17"/>
          <w:szCs w:val="17"/>
        </w:rPr>
      </w:pPr>
      <w:r>
        <w:rPr>
          <w:rFonts w:ascii="宋体" w:hAnsi="宋体" w:eastAsia="宋体" w:cs="宋体"/>
          <w:spacing w:val="15"/>
          <w:sz w:val="17"/>
          <w:szCs w:val="17"/>
        </w:rPr>
        <w:t>说明：试卷难度题约20%,中等难度题约4</w:t>
      </w:r>
      <w:r>
        <w:rPr>
          <w:rFonts w:ascii="宋体" w:hAnsi="宋体" w:eastAsia="宋体" w:cs="宋体"/>
          <w:spacing w:val="14"/>
          <w:sz w:val="17"/>
          <w:szCs w:val="17"/>
        </w:rPr>
        <w:t>0%,基</w:t>
      </w:r>
      <w:r>
        <w:rPr>
          <w:rFonts w:ascii="宋体" w:hAnsi="宋体" w:eastAsia="宋体" w:cs="宋体"/>
          <w:sz w:val="17"/>
          <w:szCs w:val="17"/>
        </w:rPr>
        <w:t xml:space="preserve"> </w:t>
      </w:r>
      <w:r>
        <w:rPr>
          <w:rFonts w:ascii="宋体" w:hAnsi="宋体" w:eastAsia="宋体" w:cs="宋体"/>
          <w:spacing w:val="20"/>
          <w:sz w:val="17"/>
          <w:szCs w:val="17"/>
        </w:rPr>
        <w:t>础题约40%,机动范围±5%。</w:t>
      </w:r>
    </w:p>
    <w:p w14:paraId="221AF7EE">
      <w:pPr>
        <w:pStyle w:val="2"/>
        <w:spacing w:line="337" w:lineRule="auto"/>
      </w:pPr>
    </w:p>
    <w:p w14:paraId="665F2085">
      <w:pPr>
        <w:spacing w:before="88" w:line="221" w:lineRule="auto"/>
        <w:ind w:left="193"/>
        <w:outlineLvl w:val="0"/>
        <w:rPr>
          <w:rFonts w:ascii="黑体" w:hAnsi="黑体" w:eastAsia="黑体" w:cs="黑体"/>
          <w:sz w:val="27"/>
          <w:szCs w:val="27"/>
        </w:rPr>
      </w:pPr>
      <w:bookmarkStart w:id="40" w:name="bookmark9"/>
      <w:bookmarkEnd w:id="40"/>
      <w:r>
        <w:rPr>
          <w:rFonts w:ascii="黑体" w:hAnsi="黑体" w:eastAsia="黑体" w:cs="黑体"/>
          <w:b/>
          <w:bCs/>
          <w:sz w:val="27"/>
          <w:szCs w:val="27"/>
        </w:rPr>
        <w:t>医药卫生大类专业理论考试纲要</w:t>
      </w:r>
    </w:p>
    <w:p w14:paraId="0810C9AA">
      <w:pPr>
        <w:pStyle w:val="2"/>
        <w:spacing w:line="369" w:lineRule="auto"/>
      </w:pPr>
    </w:p>
    <w:p w14:paraId="4175E94F">
      <w:pPr>
        <w:spacing w:before="75" w:line="221" w:lineRule="auto"/>
        <w:ind w:left="3"/>
        <w:rPr>
          <w:rFonts w:ascii="黑体" w:hAnsi="黑体" w:eastAsia="黑体" w:cs="黑体"/>
          <w:sz w:val="23"/>
          <w:szCs w:val="23"/>
        </w:rPr>
      </w:pPr>
      <w:r>
        <w:rPr>
          <w:rFonts w:ascii="黑体" w:hAnsi="黑体" w:eastAsia="黑体" w:cs="黑体"/>
          <w:b/>
          <w:bCs/>
          <w:spacing w:val="-6"/>
          <w:sz w:val="23"/>
          <w:szCs w:val="23"/>
        </w:rPr>
        <w:t>一、考试范围和内容</w:t>
      </w:r>
    </w:p>
    <w:p w14:paraId="0E74762D">
      <w:pPr>
        <w:spacing w:before="84" w:line="311" w:lineRule="auto"/>
        <w:ind w:right="471" w:firstLine="390"/>
        <w:jc w:val="both"/>
        <w:rPr>
          <w:rFonts w:ascii="宋体" w:hAnsi="宋体" w:eastAsia="宋体" w:cs="宋体"/>
          <w:sz w:val="17"/>
          <w:szCs w:val="17"/>
        </w:rPr>
      </w:pPr>
      <w:r>
        <w:rPr>
          <w:rFonts w:ascii="宋体" w:hAnsi="宋体" w:eastAsia="宋体" w:cs="宋体"/>
          <w:sz w:val="17"/>
          <w:szCs w:val="17"/>
        </w:rPr>
        <w:t>本考试纲要以全国中等职业学校专业教学标准及最</w:t>
      </w:r>
      <w:r>
        <w:rPr>
          <w:rFonts w:ascii="宋体" w:hAnsi="宋体" w:eastAsia="宋体" w:cs="宋体"/>
          <w:spacing w:val="17"/>
          <w:sz w:val="17"/>
          <w:szCs w:val="17"/>
        </w:rPr>
        <w:t xml:space="preserve"> </w:t>
      </w:r>
      <w:r>
        <w:rPr>
          <w:rFonts w:ascii="宋体" w:hAnsi="宋体" w:eastAsia="宋体" w:cs="宋体"/>
          <w:spacing w:val="3"/>
          <w:sz w:val="17"/>
          <w:szCs w:val="17"/>
        </w:rPr>
        <w:t>新颁布的国家护士执业资格考试大纲为依据</w:t>
      </w:r>
      <w:r>
        <w:rPr>
          <w:rFonts w:ascii="宋体" w:hAnsi="宋体" w:eastAsia="宋体" w:cs="宋体"/>
          <w:spacing w:val="2"/>
          <w:sz w:val="17"/>
          <w:szCs w:val="17"/>
        </w:rPr>
        <w:t>，以全国卫</w:t>
      </w:r>
      <w:r>
        <w:rPr>
          <w:rFonts w:ascii="宋体" w:hAnsi="宋体" w:eastAsia="宋体" w:cs="宋体"/>
          <w:sz w:val="17"/>
          <w:szCs w:val="17"/>
        </w:rPr>
        <w:t xml:space="preserve"> </w:t>
      </w:r>
      <w:r>
        <w:rPr>
          <w:rFonts w:ascii="宋体" w:hAnsi="宋体" w:eastAsia="宋体" w:cs="宋体"/>
          <w:spacing w:val="2"/>
          <w:sz w:val="17"/>
          <w:szCs w:val="17"/>
        </w:rPr>
        <w:t>生职业院校规划教材《人体解剖学基础》《生理学》以</w:t>
      </w:r>
      <w:r>
        <w:rPr>
          <w:rFonts w:ascii="宋体" w:hAnsi="宋体" w:eastAsia="宋体" w:cs="宋体"/>
          <w:spacing w:val="6"/>
          <w:sz w:val="17"/>
          <w:szCs w:val="17"/>
        </w:rPr>
        <w:t xml:space="preserve"> </w:t>
      </w:r>
      <w:r>
        <w:rPr>
          <w:rFonts w:ascii="宋体" w:hAnsi="宋体" w:eastAsia="宋体" w:cs="宋体"/>
          <w:spacing w:val="9"/>
          <w:sz w:val="17"/>
          <w:szCs w:val="17"/>
        </w:rPr>
        <w:t xml:space="preserve">及《病理学基础》为蓝本。考试内容侧重考查考生对 </w:t>
      </w:r>
      <w:r>
        <w:rPr>
          <w:rFonts w:ascii="宋体" w:hAnsi="宋体" w:eastAsia="宋体" w:cs="宋体"/>
          <w:spacing w:val="2"/>
          <w:sz w:val="17"/>
          <w:szCs w:val="17"/>
        </w:rPr>
        <w:t>专业基础知识和基本技能的掌握程度，同时注重</w:t>
      </w:r>
      <w:r>
        <w:rPr>
          <w:rFonts w:ascii="宋体" w:hAnsi="宋体" w:eastAsia="宋体" w:cs="宋体"/>
          <w:spacing w:val="1"/>
          <w:sz w:val="17"/>
          <w:szCs w:val="17"/>
        </w:rPr>
        <w:t>考查考</w:t>
      </w:r>
      <w:r>
        <w:rPr>
          <w:rFonts w:ascii="宋体" w:hAnsi="宋体" w:eastAsia="宋体" w:cs="宋体"/>
          <w:sz w:val="17"/>
          <w:szCs w:val="17"/>
        </w:rPr>
        <w:t xml:space="preserve"> </w:t>
      </w:r>
      <w:r>
        <w:rPr>
          <w:rFonts w:ascii="宋体" w:hAnsi="宋体" w:eastAsia="宋体" w:cs="宋体"/>
          <w:spacing w:val="-3"/>
          <w:sz w:val="17"/>
          <w:szCs w:val="17"/>
        </w:rPr>
        <w:t>生对知识点的实际运用能力。</w:t>
      </w:r>
    </w:p>
    <w:p w14:paraId="1BFE01B6">
      <w:pPr>
        <w:spacing w:before="22" w:line="221" w:lineRule="auto"/>
        <w:ind w:left="3"/>
        <w:rPr>
          <w:rFonts w:ascii="黑体" w:hAnsi="黑体" w:eastAsia="黑体" w:cs="黑体"/>
          <w:sz w:val="23"/>
          <w:szCs w:val="23"/>
        </w:rPr>
      </w:pPr>
      <w:r>
        <w:rPr>
          <w:rFonts w:ascii="黑体" w:hAnsi="黑体" w:eastAsia="黑体" w:cs="黑体"/>
          <w:b/>
          <w:bCs/>
          <w:spacing w:val="-4"/>
          <w:sz w:val="23"/>
          <w:szCs w:val="23"/>
        </w:rPr>
        <w:t>二、考试目标和水平层次</w:t>
      </w:r>
    </w:p>
    <w:p w14:paraId="40AE4CDB">
      <w:pPr>
        <w:spacing w:before="86" w:line="318" w:lineRule="auto"/>
        <w:ind w:right="394" w:firstLine="390"/>
        <w:jc w:val="both"/>
        <w:rPr>
          <w:rFonts w:ascii="宋体" w:hAnsi="宋体" w:eastAsia="宋体" w:cs="宋体"/>
          <w:sz w:val="14"/>
          <w:szCs w:val="14"/>
        </w:rPr>
      </w:pPr>
      <w:r>
        <w:rPr>
          <w:rFonts w:ascii="宋体" w:hAnsi="宋体" w:eastAsia="宋体" w:cs="宋体"/>
          <w:spacing w:val="-4"/>
          <w:sz w:val="17"/>
          <w:szCs w:val="17"/>
        </w:rPr>
        <w:t>本纲以各科目的章节为序，每章分知识与技能要点、</w:t>
      </w:r>
      <w:r>
        <w:rPr>
          <w:rFonts w:ascii="宋体" w:hAnsi="宋体" w:eastAsia="宋体" w:cs="宋体"/>
          <w:spacing w:val="15"/>
          <w:sz w:val="17"/>
          <w:szCs w:val="17"/>
        </w:rPr>
        <w:t xml:space="preserve"> </w:t>
      </w:r>
      <w:r>
        <w:rPr>
          <w:rFonts w:ascii="宋体" w:hAnsi="宋体" w:eastAsia="宋体" w:cs="宋体"/>
          <w:spacing w:val="2"/>
          <w:sz w:val="17"/>
          <w:szCs w:val="17"/>
        </w:rPr>
        <w:t>考试条目和考试水平三部分。“知识与技能要点”的确  定以中等职业学校毕业生必须具备的最基本的知识与技</w:t>
      </w:r>
      <w:r>
        <w:rPr>
          <w:rFonts w:ascii="宋体" w:hAnsi="宋体" w:eastAsia="宋体" w:cs="宋体"/>
          <w:spacing w:val="9"/>
          <w:sz w:val="17"/>
          <w:szCs w:val="17"/>
        </w:rPr>
        <w:t xml:space="preserve">  </w:t>
      </w:r>
      <w:r>
        <w:rPr>
          <w:rFonts w:ascii="宋体" w:hAnsi="宋体" w:eastAsia="宋体" w:cs="宋体"/>
          <w:spacing w:val="-1"/>
          <w:sz w:val="17"/>
          <w:szCs w:val="17"/>
        </w:rPr>
        <w:t>能为标准。“考试条目”是知识与技能要点的细化条目。</w:t>
      </w:r>
      <w:r>
        <w:rPr>
          <w:rFonts w:ascii="宋体" w:hAnsi="宋体" w:eastAsia="宋体" w:cs="宋体"/>
          <w:sz w:val="17"/>
          <w:szCs w:val="17"/>
        </w:rPr>
        <w:t xml:space="preserve"> </w:t>
      </w:r>
      <w:r>
        <w:rPr>
          <w:rFonts w:ascii="宋体" w:hAnsi="宋体" w:eastAsia="宋体" w:cs="宋体"/>
          <w:spacing w:val="3"/>
          <w:sz w:val="17"/>
          <w:szCs w:val="17"/>
        </w:rPr>
        <w:t>“考试水平”是对考试条目考查层次的具</w:t>
      </w:r>
      <w:r>
        <w:rPr>
          <w:rFonts w:ascii="宋体" w:hAnsi="宋体" w:eastAsia="宋体" w:cs="宋体"/>
          <w:spacing w:val="2"/>
          <w:sz w:val="17"/>
          <w:szCs w:val="17"/>
        </w:rPr>
        <w:t>体化。基本含</w:t>
      </w:r>
      <w:r>
        <w:rPr>
          <w:rFonts w:ascii="宋体" w:hAnsi="宋体" w:eastAsia="宋体" w:cs="宋体"/>
          <w:sz w:val="17"/>
          <w:szCs w:val="17"/>
        </w:rPr>
        <w:t xml:space="preserve">  </w:t>
      </w:r>
      <w:r>
        <w:rPr>
          <w:rFonts w:ascii="宋体" w:hAnsi="宋体" w:eastAsia="宋体" w:cs="宋体"/>
          <w:spacing w:val="16"/>
          <w:sz w:val="14"/>
          <w:szCs w:val="14"/>
        </w:rPr>
        <w:t>义如下</w:t>
      </w:r>
      <w:r>
        <w:rPr>
          <w:rFonts w:ascii="宋体" w:hAnsi="宋体" w:eastAsia="宋体" w:cs="宋体"/>
          <w:spacing w:val="-33"/>
          <w:sz w:val="14"/>
          <w:szCs w:val="14"/>
        </w:rPr>
        <w:t xml:space="preserve"> </w:t>
      </w:r>
      <w:r>
        <w:rPr>
          <w:rFonts w:ascii="宋体" w:hAnsi="宋体" w:eastAsia="宋体" w:cs="宋体"/>
          <w:spacing w:val="16"/>
          <w:sz w:val="14"/>
          <w:szCs w:val="14"/>
        </w:rPr>
        <w:t>：</w:t>
      </w:r>
    </w:p>
    <w:p w14:paraId="768531F5">
      <w:pPr>
        <w:spacing w:before="38" w:line="308" w:lineRule="auto"/>
        <w:ind w:right="395" w:firstLine="390"/>
        <w:jc w:val="both"/>
        <w:rPr>
          <w:rFonts w:ascii="宋体" w:hAnsi="宋体" w:eastAsia="宋体" w:cs="宋体"/>
          <w:sz w:val="17"/>
          <w:szCs w:val="17"/>
        </w:rPr>
      </w:pPr>
      <w:r>
        <w:rPr>
          <w:rFonts w:ascii="Times New Roman" w:hAnsi="Times New Roman" w:eastAsia="Times New Roman" w:cs="Times New Roman"/>
          <w:spacing w:val="-5"/>
          <w:sz w:val="17"/>
          <w:szCs w:val="17"/>
        </w:rPr>
        <w:t>A</w:t>
      </w:r>
      <w:r>
        <w:rPr>
          <w:rFonts w:ascii="宋体" w:hAnsi="宋体" w:eastAsia="宋体" w:cs="宋体"/>
          <w:spacing w:val="-5"/>
          <w:sz w:val="17"/>
          <w:szCs w:val="17"/>
        </w:rPr>
        <w:t>(识记):对知识的识别和记忆，正确地回忆、再认、</w:t>
      </w:r>
      <w:r>
        <w:rPr>
          <w:rFonts w:ascii="宋体" w:hAnsi="宋体" w:eastAsia="宋体" w:cs="宋体"/>
          <w:spacing w:val="11"/>
          <w:sz w:val="17"/>
          <w:szCs w:val="17"/>
        </w:rPr>
        <w:t xml:space="preserve"> </w:t>
      </w:r>
      <w:r>
        <w:rPr>
          <w:rFonts w:ascii="宋体" w:hAnsi="宋体" w:eastAsia="宋体" w:cs="宋体"/>
          <w:spacing w:val="3"/>
          <w:sz w:val="17"/>
          <w:szCs w:val="17"/>
        </w:rPr>
        <w:t>再现学过的基础知识，即在记忆水平上考核考生的学习</w:t>
      </w:r>
      <w:r>
        <w:rPr>
          <w:rFonts w:ascii="宋体" w:hAnsi="宋体" w:eastAsia="宋体" w:cs="宋体"/>
          <w:spacing w:val="11"/>
          <w:sz w:val="17"/>
          <w:szCs w:val="17"/>
        </w:rPr>
        <w:t xml:space="preserve"> </w:t>
      </w:r>
      <w:r>
        <w:rPr>
          <w:rFonts w:ascii="宋体" w:hAnsi="宋体" w:eastAsia="宋体" w:cs="宋体"/>
          <w:spacing w:val="3"/>
          <w:sz w:val="17"/>
          <w:szCs w:val="17"/>
        </w:rPr>
        <w:t>成果。例如心脏由四个心腔组成，分别是左心房、</w:t>
      </w:r>
      <w:r>
        <w:rPr>
          <w:rFonts w:ascii="宋体" w:hAnsi="宋体" w:eastAsia="宋体" w:cs="宋体"/>
          <w:spacing w:val="2"/>
          <w:sz w:val="17"/>
          <w:szCs w:val="17"/>
        </w:rPr>
        <w:t>左心</w:t>
      </w:r>
      <w:r>
        <w:rPr>
          <w:rFonts w:ascii="宋体" w:hAnsi="宋体" w:eastAsia="宋体" w:cs="宋体"/>
          <w:sz w:val="17"/>
          <w:szCs w:val="17"/>
        </w:rPr>
        <w:t xml:space="preserve">  </w:t>
      </w:r>
      <w:r>
        <w:rPr>
          <w:rFonts w:ascii="宋体" w:hAnsi="宋体" w:eastAsia="宋体" w:cs="宋体"/>
          <w:spacing w:val="-1"/>
          <w:sz w:val="17"/>
          <w:szCs w:val="17"/>
        </w:rPr>
        <w:t>室、右心房和右心室。</w:t>
      </w:r>
    </w:p>
    <w:p w14:paraId="3F8BB46E">
      <w:pPr>
        <w:spacing w:before="25" w:line="308" w:lineRule="auto"/>
        <w:ind w:right="292" w:firstLine="390"/>
        <w:rPr>
          <w:rFonts w:ascii="宋体" w:hAnsi="宋体" w:eastAsia="宋体" w:cs="宋体"/>
          <w:sz w:val="17"/>
          <w:szCs w:val="17"/>
        </w:rPr>
      </w:pPr>
      <w:r>
        <w:rPr>
          <w:rFonts w:ascii="Times New Roman" w:hAnsi="Times New Roman" w:eastAsia="Times New Roman" w:cs="Times New Roman"/>
          <w:spacing w:val="7"/>
          <w:sz w:val="17"/>
          <w:szCs w:val="17"/>
        </w:rPr>
        <w:t>B</w:t>
      </w:r>
      <w:r>
        <w:rPr>
          <w:rFonts w:ascii="宋体" w:hAnsi="宋体" w:eastAsia="宋体" w:cs="宋体"/>
          <w:spacing w:val="7"/>
          <w:sz w:val="17"/>
          <w:szCs w:val="17"/>
        </w:rPr>
        <w:t>(理解):对知识的进一步认识，除了达到“识记”</w:t>
      </w:r>
      <w:r>
        <w:rPr>
          <w:rFonts w:ascii="宋体" w:hAnsi="宋体" w:eastAsia="宋体" w:cs="宋体"/>
          <w:sz w:val="17"/>
          <w:szCs w:val="17"/>
        </w:rPr>
        <w:t xml:space="preserve"> </w:t>
      </w:r>
      <w:r>
        <w:rPr>
          <w:rFonts w:ascii="宋体" w:hAnsi="宋体" w:eastAsia="宋体" w:cs="宋体"/>
          <w:spacing w:val="3"/>
          <w:sz w:val="17"/>
          <w:szCs w:val="17"/>
        </w:rPr>
        <w:t>的要求外，还应了解所学知识的确切含义以</w:t>
      </w:r>
      <w:r>
        <w:rPr>
          <w:rFonts w:ascii="宋体" w:hAnsi="宋体" w:eastAsia="宋体" w:cs="宋体"/>
          <w:spacing w:val="2"/>
          <w:sz w:val="17"/>
          <w:szCs w:val="17"/>
        </w:rPr>
        <w:t>及与其相关</w:t>
      </w:r>
      <w:r>
        <w:rPr>
          <w:rFonts w:ascii="宋体" w:hAnsi="宋体" w:eastAsia="宋体" w:cs="宋体"/>
          <w:sz w:val="17"/>
          <w:szCs w:val="17"/>
        </w:rPr>
        <w:t xml:space="preserve">   </w:t>
      </w:r>
      <w:r>
        <w:rPr>
          <w:rFonts w:ascii="宋体" w:hAnsi="宋体" w:eastAsia="宋体" w:cs="宋体"/>
          <w:spacing w:val="3"/>
          <w:sz w:val="17"/>
          <w:szCs w:val="17"/>
        </w:rPr>
        <w:t>知识的内在联系。例如子宫的固定装置就是</w:t>
      </w:r>
      <w:r>
        <w:rPr>
          <w:rFonts w:ascii="宋体" w:hAnsi="宋体" w:eastAsia="宋体" w:cs="宋体"/>
          <w:spacing w:val="2"/>
          <w:sz w:val="17"/>
          <w:szCs w:val="17"/>
        </w:rPr>
        <w:t>维持子宫前</w:t>
      </w:r>
      <w:r>
        <w:rPr>
          <w:rFonts w:ascii="宋体" w:hAnsi="宋体" w:eastAsia="宋体" w:cs="宋体"/>
          <w:sz w:val="17"/>
          <w:szCs w:val="17"/>
        </w:rPr>
        <w:t xml:space="preserve">   </w:t>
      </w:r>
      <w:r>
        <w:rPr>
          <w:rFonts w:ascii="宋体" w:hAnsi="宋体" w:eastAsia="宋体" w:cs="宋体"/>
          <w:spacing w:val="-4"/>
          <w:sz w:val="17"/>
          <w:szCs w:val="17"/>
        </w:rPr>
        <w:t>倾前屈位的原因。</w:t>
      </w:r>
    </w:p>
    <w:p w14:paraId="6B51DD86">
      <w:pPr>
        <w:spacing w:before="25" w:line="308" w:lineRule="auto"/>
        <w:ind w:right="472" w:firstLine="390"/>
        <w:rPr>
          <w:rFonts w:ascii="宋体" w:hAnsi="宋体" w:eastAsia="宋体" w:cs="宋体"/>
          <w:sz w:val="17"/>
          <w:szCs w:val="17"/>
        </w:rPr>
      </w:pPr>
      <w:r>
        <w:rPr>
          <w:rFonts w:ascii="Times New Roman" w:hAnsi="Times New Roman" w:eastAsia="Times New Roman" w:cs="Times New Roman"/>
          <w:spacing w:val="15"/>
          <w:sz w:val="17"/>
          <w:szCs w:val="17"/>
        </w:rPr>
        <w:t>C</w:t>
      </w:r>
      <w:r>
        <w:rPr>
          <w:rFonts w:ascii="宋体" w:hAnsi="宋体" w:eastAsia="宋体" w:cs="宋体"/>
          <w:spacing w:val="15"/>
          <w:sz w:val="17"/>
          <w:szCs w:val="17"/>
        </w:rPr>
        <w:t>(掌握):在理解的基础上，用新学知识</w:t>
      </w:r>
      <w:r>
        <w:rPr>
          <w:rFonts w:ascii="宋体" w:hAnsi="宋体" w:eastAsia="宋体" w:cs="宋体"/>
          <w:spacing w:val="14"/>
          <w:sz w:val="17"/>
          <w:szCs w:val="17"/>
        </w:rPr>
        <w:t>及学过</w:t>
      </w:r>
      <w:r>
        <w:rPr>
          <w:rFonts w:ascii="宋体" w:hAnsi="宋体" w:eastAsia="宋体" w:cs="宋体"/>
          <w:sz w:val="17"/>
          <w:szCs w:val="17"/>
        </w:rPr>
        <w:t xml:space="preserve"> </w:t>
      </w:r>
      <w:r>
        <w:rPr>
          <w:rFonts w:ascii="宋体" w:hAnsi="宋体" w:eastAsia="宋体" w:cs="宋体"/>
          <w:spacing w:val="9"/>
          <w:sz w:val="17"/>
          <w:szCs w:val="17"/>
        </w:rPr>
        <w:t>的方法解释一些常见的临床现象。例如内囊的概念及</w:t>
      </w:r>
      <w:r>
        <w:rPr>
          <w:rFonts w:ascii="宋体" w:hAnsi="宋体" w:eastAsia="宋体" w:cs="宋体"/>
          <w:spacing w:val="11"/>
          <w:sz w:val="17"/>
          <w:szCs w:val="17"/>
        </w:rPr>
        <w:t xml:space="preserve"> </w:t>
      </w:r>
      <w:r>
        <w:rPr>
          <w:rFonts w:ascii="宋体" w:hAnsi="宋体" w:eastAsia="宋体" w:cs="宋体"/>
          <w:spacing w:val="2"/>
          <w:sz w:val="17"/>
          <w:szCs w:val="17"/>
        </w:rPr>
        <w:t>一侧内囊损伤时可出现对侧半身躯体感觉和躯体运动障</w:t>
      </w:r>
      <w:r>
        <w:rPr>
          <w:rFonts w:ascii="宋体" w:hAnsi="宋体" w:eastAsia="宋体" w:cs="宋体"/>
          <w:spacing w:val="18"/>
          <w:sz w:val="17"/>
          <w:szCs w:val="17"/>
        </w:rPr>
        <w:t xml:space="preserve"> </w:t>
      </w:r>
      <w:r>
        <w:rPr>
          <w:rFonts w:ascii="宋体" w:hAnsi="宋体" w:eastAsia="宋体" w:cs="宋体"/>
          <w:spacing w:val="2"/>
          <w:sz w:val="17"/>
          <w:szCs w:val="17"/>
        </w:rPr>
        <w:t>碍。这是考核学习解决实践问题的初步能力。</w:t>
      </w:r>
    </w:p>
    <w:p w14:paraId="44BDDC5D">
      <w:pPr>
        <w:spacing w:before="24" w:line="310" w:lineRule="auto"/>
        <w:ind w:right="459" w:firstLine="390"/>
        <w:rPr>
          <w:rFonts w:ascii="宋体" w:hAnsi="宋体" w:eastAsia="宋体" w:cs="宋体"/>
          <w:sz w:val="17"/>
          <w:szCs w:val="17"/>
        </w:rPr>
      </w:pPr>
      <w:r>
        <w:rPr>
          <w:rFonts w:ascii="Times New Roman" w:hAnsi="Times New Roman" w:eastAsia="Times New Roman" w:cs="Times New Roman"/>
          <w:spacing w:val="15"/>
          <w:sz w:val="17"/>
          <w:szCs w:val="17"/>
        </w:rPr>
        <w:t>D</w:t>
      </w:r>
      <w:r>
        <w:rPr>
          <w:rFonts w:ascii="宋体" w:hAnsi="宋体" w:eastAsia="宋体" w:cs="宋体"/>
          <w:spacing w:val="15"/>
          <w:sz w:val="17"/>
          <w:szCs w:val="17"/>
        </w:rPr>
        <w:t>(综合运用):考查考生对新学知识的综合应用</w:t>
      </w:r>
      <w:r>
        <w:rPr>
          <w:rFonts w:ascii="宋体" w:hAnsi="宋体" w:eastAsia="宋体" w:cs="宋体"/>
          <w:spacing w:val="1"/>
          <w:sz w:val="17"/>
          <w:szCs w:val="17"/>
        </w:rPr>
        <w:t xml:space="preserve"> </w:t>
      </w:r>
      <w:r>
        <w:rPr>
          <w:rFonts w:ascii="宋体" w:hAnsi="宋体" w:eastAsia="宋体" w:cs="宋体"/>
          <w:spacing w:val="2"/>
          <w:sz w:val="17"/>
          <w:szCs w:val="17"/>
        </w:rPr>
        <w:t>能力，即要求考生能够灵活地应用所学的知识分析、判</w:t>
      </w:r>
      <w:r>
        <w:rPr>
          <w:rFonts w:ascii="宋体" w:hAnsi="宋体" w:eastAsia="宋体" w:cs="宋体"/>
          <w:spacing w:val="3"/>
          <w:sz w:val="17"/>
          <w:szCs w:val="17"/>
        </w:rPr>
        <w:t xml:space="preserve"> 断、解决实际临床问题。例如阑尾根部的体</w:t>
      </w:r>
      <w:r>
        <w:rPr>
          <w:rFonts w:ascii="宋体" w:hAnsi="宋体" w:eastAsia="宋体" w:cs="宋体"/>
          <w:spacing w:val="2"/>
          <w:sz w:val="17"/>
          <w:szCs w:val="17"/>
        </w:rPr>
        <w:t>表投影点是</w:t>
      </w:r>
      <w:r>
        <w:rPr>
          <w:rFonts w:ascii="宋体" w:hAnsi="宋体" w:eastAsia="宋体" w:cs="宋体"/>
          <w:sz w:val="17"/>
          <w:szCs w:val="17"/>
        </w:rPr>
        <w:t xml:space="preserve"> </w:t>
      </w:r>
      <w:r>
        <w:rPr>
          <w:rFonts w:ascii="宋体" w:hAnsi="宋体" w:eastAsia="宋体" w:cs="宋体"/>
          <w:spacing w:val="1"/>
          <w:sz w:val="17"/>
          <w:szCs w:val="17"/>
        </w:rPr>
        <w:t>脐与右骼前上棘连线的中外三分之一交点称为麦氏点，</w:t>
      </w:r>
      <w:r>
        <w:rPr>
          <w:rFonts w:ascii="宋体" w:hAnsi="宋体" w:eastAsia="宋体" w:cs="宋体"/>
          <w:sz w:val="17"/>
          <w:szCs w:val="17"/>
        </w:rPr>
        <w:t xml:space="preserve"> </w:t>
      </w:r>
      <w:r>
        <w:rPr>
          <w:rFonts w:ascii="宋体" w:hAnsi="宋体" w:eastAsia="宋体" w:cs="宋体"/>
          <w:spacing w:val="-1"/>
          <w:sz w:val="17"/>
          <w:szCs w:val="17"/>
        </w:rPr>
        <w:t>阑尾炎时该点可出现压痛和反跳痛。</w:t>
      </w:r>
    </w:p>
    <w:p w14:paraId="1FC87F81">
      <w:pPr>
        <w:spacing w:before="24" w:line="255" w:lineRule="auto"/>
        <w:ind w:right="472" w:firstLine="390"/>
        <w:rPr>
          <w:rFonts w:ascii="宋体" w:hAnsi="宋体" w:eastAsia="宋体" w:cs="宋体"/>
          <w:sz w:val="17"/>
          <w:szCs w:val="17"/>
        </w:rPr>
      </w:pPr>
      <w:r>
        <w:rPr>
          <w:rFonts w:ascii="宋体" w:hAnsi="宋体" w:eastAsia="宋体" w:cs="宋体"/>
          <w:sz w:val="17"/>
          <w:szCs w:val="17"/>
        </w:rPr>
        <w:t>这四个层次的考试水平由简单到复杂，由低级到高</w:t>
      </w:r>
      <w:r>
        <w:rPr>
          <w:rFonts w:ascii="宋体" w:hAnsi="宋体" w:eastAsia="宋体" w:cs="宋体"/>
          <w:spacing w:val="16"/>
          <w:sz w:val="17"/>
          <w:szCs w:val="17"/>
        </w:rPr>
        <w:t xml:space="preserve"> </w:t>
      </w:r>
      <w:r>
        <w:rPr>
          <w:rFonts w:ascii="宋体" w:hAnsi="宋体" w:eastAsia="宋体" w:cs="宋体"/>
          <w:spacing w:val="2"/>
          <w:sz w:val="17"/>
          <w:szCs w:val="17"/>
        </w:rPr>
        <w:t>级，每一较高层次的考试水平要求都同时包含了它的较</w:t>
      </w:r>
    </w:p>
    <w:p w14:paraId="5EA04131">
      <w:pPr>
        <w:pStyle w:val="2"/>
        <w:spacing w:line="14" w:lineRule="auto"/>
        <w:rPr>
          <w:sz w:val="2"/>
        </w:rPr>
      </w:pPr>
      <w:r>
        <w:rPr>
          <w:sz w:val="2"/>
          <w:szCs w:val="2"/>
        </w:rPr>
        <w:br w:type="column"/>
      </w:r>
    </w:p>
    <w:p w14:paraId="2D342664">
      <w:pPr>
        <w:spacing w:before="34" w:line="219" w:lineRule="auto"/>
        <w:rPr>
          <w:rFonts w:ascii="宋体" w:hAnsi="宋体" w:eastAsia="宋体" w:cs="宋体"/>
          <w:sz w:val="17"/>
          <w:szCs w:val="17"/>
        </w:rPr>
      </w:pPr>
      <w:r>
        <w:rPr>
          <w:rFonts w:ascii="宋体" w:hAnsi="宋体" w:eastAsia="宋体" w:cs="宋体"/>
          <w:spacing w:val="-3"/>
          <w:sz w:val="17"/>
          <w:szCs w:val="17"/>
        </w:rPr>
        <w:t>低层次考试水平的要求。</w:t>
      </w:r>
    </w:p>
    <w:p w14:paraId="66985F4E">
      <w:pPr>
        <w:spacing w:before="75" w:line="221" w:lineRule="auto"/>
        <w:ind w:left="13"/>
        <w:rPr>
          <w:rFonts w:ascii="黑体" w:hAnsi="黑体" w:eastAsia="黑体" w:cs="黑体"/>
          <w:sz w:val="23"/>
          <w:szCs w:val="23"/>
        </w:rPr>
      </w:pPr>
      <w:r>
        <w:rPr>
          <w:rFonts w:ascii="黑体" w:hAnsi="黑体" w:eastAsia="黑体" w:cs="黑体"/>
          <w:b/>
          <w:bCs/>
          <w:spacing w:val="-7"/>
          <w:sz w:val="23"/>
          <w:szCs w:val="23"/>
        </w:rPr>
        <w:t>三、考试目标</w:t>
      </w:r>
    </w:p>
    <w:p w14:paraId="552ACA5B">
      <w:pPr>
        <w:pStyle w:val="2"/>
        <w:spacing w:line="415" w:lineRule="auto"/>
      </w:pPr>
    </w:p>
    <w:p w14:paraId="17A4392B">
      <w:pPr>
        <w:spacing w:before="56" w:line="221" w:lineRule="auto"/>
        <w:ind w:left="1082"/>
        <w:rPr>
          <w:rFonts w:ascii="黑体" w:hAnsi="黑体" w:eastAsia="黑体" w:cs="黑体"/>
          <w:sz w:val="17"/>
          <w:szCs w:val="17"/>
        </w:rPr>
      </w:pPr>
      <w:r>
        <w:rPr>
          <w:rFonts w:ascii="黑体" w:hAnsi="黑体" w:eastAsia="黑体" w:cs="黑体"/>
          <w:b/>
          <w:bCs/>
          <w:spacing w:val="-5"/>
          <w:sz w:val="17"/>
          <w:szCs w:val="17"/>
        </w:rPr>
        <w:t>第</w:t>
      </w:r>
      <w:r>
        <w:rPr>
          <w:rFonts w:ascii="黑体" w:hAnsi="黑体" w:eastAsia="黑体" w:cs="黑体"/>
          <w:spacing w:val="-36"/>
          <w:sz w:val="17"/>
          <w:szCs w:val="17"/>
        </w:rPr>
        <w:t xml:space="preserve"> </w:t>
      </w:r>
      <w:r>
        <w:rPr>
          <w:rFonts w:ascii="黑体" w:hAnsi="黑体" w:eastAsia="黑体" w:cs="黑体"/>
          <w:b/>
          <w:bCs/>
          <w:spacing w:val="-5"/>
          <w:sz w:val="17"/>
          <w:szCs w:val="17"/>
        </w:rPr>
        <w:t>一</w:t>
      </w:r>
      <w:r>
        <w:rPr>
          <w:rFonts w:ascii="黑体" w:hAnsi="黑体" w:eastAsia="黑体" w:cs="黑体"/>
          <w:spacing w:val="-42"/>
          <w:sz w:val="17"/>
          <w:szCs w:val="17"/>
        </w:rPr>
        <w:t xml:space="preserve"> </w:t>
      </w:r>
      <w:r>
        <w:rPr>
          <w:rFonts w:ascii="黑体" w:hAnsi="黑体" w:eastAsia="黑体" w:cs="黑体"/>
          <w:b/>
          <w:bCs/>
          <w:spacing w:val="-5"/>
          <w:sz w:val="17"/>
          <w:szCs w:val="17"/>
        </w:rPr>
        <w:t>部分</w:t>
      </w:r>
      <w:r>
        <w:rPr>
          <w:rFonts w:ascii="黑体" w:hAnsi="黑体" w:eastAsia="黑体" w:cs="黑体"/>
          <w:spacing w:val="24"/>
          <w:sz w:val="17"/>
          <w:szCs w:val="17"/>
        </w:rPr>
        <w:t xml:space="preserve">  </w:t>
      </w:r>
      <w:r>
        <w:rPr>
          <w:rFonts w:ascii="黑体" w:hAnsi="黑体" w:eastAsia="黑体" w:cs="黑体"/>
          <w:b/>
          <w:bCs/>
          <w:spacing w:val="-5"/>
          <w:sz w:val="17"/>
          <w:szCs w:val="17"/>
        </w:rPr>
        <w:t>人</w:t>
      </w:r>
      <w:r>
        <w:rPr>
          <w:rFonts w:ascii="黑体" w:hAnsi="黑体" w:eastAsia="黑体" w:cs="黑体"/>
          <w:spacing w:val="-36"/>
          <w:sz w:val="17"/>
          <w:szCs w:val="17"/>
        </w:rPr>
        <w:t xml:space="preserve"> </w:t>
      </w:r>
      <w:r>
        <w:rPr>
          <w:rFonts w:ascii="黑体" w:hAnsi="黑体" w:eastAsia="黑体" w:cs="黑体"/>
          <w:b/>
          <w:bCs/>
          <w:spacing w:val="-5"/>
          <w:sz w:val="17"/>
          <w:szCs w:val="17"/>
        </w:rPr>
        <w:t>体</w:t>
      </w:r>
      <w:r>
        <w:rPr>
          <w:rFonts w:ascii="黑体" w:hAnsi="黑体" w:eastAsia="黑体" w:cs="黑体"/>
          <w:spacing w:val="-38"/>
          <w:sz w:val="17"/>
          <w:szCs w:val="17"/>
        </w:rPr>
        <w:t xml:space="preserve"> </w:t>
      </w:r>
      <w:r>
        <w:rPr>
          <w:rFonts w:ascii="黑体" w:hAnsi="黑体" w:eastAsia="黑体" w:cs="黑体"/>
          <w:b/>
          <w:bCs/>
          <w:spacing w:val="-5"/>
          <w:sz w:val="17"/>
          <w:szCs w:val="17"/>
        </w:rPr>
        <w:t>解</w:t>
      </w:r>
      <w:r>
        <w:rPr>
          <w:rFonts w:ascii="黑体" w:hAnsi="黑体" w:eastAsia="黑体" w:cs="黑体"/>
          <w:spacing w:val="-38"/>
          <w:sz w:val="17"/>
          <w:szCs w:val="17"/>
        </w:rPr>
        <w:t xml:space="preserve"> </w:t>
      </w:r>
      <w:r>
        <w:rPr>
          <w:rFonts w:ascii="黑体" w:hAnsi="黑体" w:eastAsia="黑体" w:cs="黑体"/>
          <w:b/>
          <w:bCs/>
          <w:spacing w:val="-5"/>
          <w:sz w:val="17"/>
          <w:szCs w:val="17"/>
        </w:rPr>
        <w:t>剖</w:t>
      </w:r>
      <w:r>
        <w:rPr>
          <w:rFonts w:ascii="黑体" w:hAnsi="黑体" w:eastAsia="黑体" w:cs="黑体"/>
          <w:spacing w:val="-31"/>
          <w:sz w:val="17"/>
          <w:szCs w:val="17"/>
        </w:rPr>
        <w:t xml:space="preserve"> </w:t>
      </w:r>
      <w:r>
        <w:rPr>
          <w:rFonts w:ascii="黑体" w:hAnsi="黑体" w:eastAsia="黑体" w:cs="黑体"/>
          <w:b/>
          <w:bCs/>
          <w:spacing w:val="-5"/>
          <w:sz w:val="17"/>
          <w:szCs w:val="17"/>
        </w:rPr>
        <w:t>学</w:t>
      </w:r>
    </w:p>
    <w:p w14:paraId="4ABEEB6D">
      <w:pPr>
        <w:pStyle w:val="2"/>
        <w:spacing w:line="329" w:lineRule="auto"/>
      </w:pPr>
    </w:p>
    <w:p w14:paraId="01A057B6">
      <w:pPr>
        <w:spacing w:before="55" w:line="221" w:lineRule="auto"/>
        <w:ind w:left="1282"/>
        <w:rPr>
          <w:rFonts w:ascii="黑体" w:hAnsi="黑体" w:eastAsia="黑体" w:cs="黑体"/>
          <w:sz w:val="17"/>
          <w:szCs w:val="17"/>
        </w:rPr>
      </w:pPr>
      <w:r>
        <w:rPr>
          <w:rFonts w:ascii="黑体" w:hAnsi="黑体" w:eastAsia="黑体" w:cs="黑体"/>
          <w:b/>
          <w:bCs/>
          <w:spacing w:val="-9"/>
          <w:sz w:val="17"/>
          <w:szCs w:val="17"/>
        </w:rPr>
        <w:t>第</w:t>
      </w:r>
      <w:r>
        <w:rPr>
          <w:rFonts w:ascii="黑体" w:hAnsi="黑体" w:eastAsia="黑体" w:cs="黑体"/>
          <w:spacing w:val="-42"/>
          <w:sz w:val="17"/>
          <w:szCs w:val="17"/>
        </w:rPr>
        <w:t xml:space="preserve"> </w:t>
      </w:r>
      <w:r>
        <w:rPr>
          <w:rFonts w:ascii="黑体" w:hAnsi="黑体" w:eastAsia="黑体" w:cs="黑体"/>
          <w:b/>
          <w:bCs/>
          <w:spacing w:val="-9"/>
          <w:sz w:val="17"/>
          <w:szCs w:val="17"/>
        </w:rPr>
        <w:t>一</w:t>
      </w:r>
      <w:r>
        <w:rPr>
          <w:rFonts w:ascii="黑体" w:hAnsi="黑体" w:eastAsia="黑体" w:cs="黑体"/>
          <w:spacing w:val="-43"/>
          <w:sz w:val="17"/>
          <w:szCs w:val="17"/>
        </w:rPr>
        <w:t xml:space="preserve"> </w:t>
      </w:r>
      <w:r>
        <w:rPr>
          <w:rFonts w:ascii="黑体" w:hAnsi="黑体" w:eastAsia="黑体" w:cs="黑体"/>
          <w:b/>
          <w:bCs/>
          <w:spacing w:val="-9"/>
          <w:sz w:val="17"/>
          <w:szCs w:val="17"/>
        </w:rPr>
        <w:t>章</w:t>
      </w:r>
      <w:r>
        <w:rPr>
          <w:rFonts w:ascii="黑体" w:hAnsi="黑体" w:eastAsia="黑体" w:cs="黑体"/>
          <w:spacing w:val="24"/>
          <w:sz w:val="17"/>
          <w:szCs w:val="17"/>
        </w:rPr>
        <w:t xml:space="preserve">  </w:t>
      </w:r>
      <w:r>
        <w:rPr>
          <w:rFonts w:ascii="黑体" w:hAnsi="黑体" w:eastAsia="黑体" w:cs="黑体"/>
          <w:b/>
          <w:bCs/>
          <w:spacing w:val="-9"/>
          <w:sz w:val="17"/>
          <w:szCs w:val="17"/>
        </w:rPr>
        <w:t>运</w:t>
      </w:r>
      <w:r>
        <w:rPr>
          <w:rFonts w:ascii="黑体" w:hAnsi="黑体" w:eastAsia="黑体" w:cs="黑体"/>
          <w:spacing w:val="-38"/>
          <w:sz w:val="17"/>
          <w:szCs w:val="17"/>
        </w:rPr>
        <w:t xml:space="preserve"> </w:t>
      </w:r>
      <w:r>
        <w:rPr>
          <w:rFonts w:ascii="黑体" w:hAnsi="黑体" w:eastAsia="黑体" w:cs="黑体"/>
          <w:b/>
          <w:bCs/>
          <w:spacing w:val="-9"/>
          <w:sz w:val="17"/>
          <w:szCs w:val="17"/>
        </w:rPr>
        <w:t>动</w:t>
      </w:r>
      <w:r>
        <w:rPr>
          <w:rFonts w:ascii="黑体" w:hAnsi="黑体" w:eastAsia="黑体" w:cs="黑体"/>
          <w:spacing w:val="-34"/>
          <w:sz w:val="17"/>
          <w:szCs w:val="17"/>
        </w:rPr>
        <w:t xml:space="preserve"> </w:t>
      </w:r>
      <w:r>
        <w:rPr>
          <w:rFonts w:ascii="黑体" w:hAnsi="黑体" w:eastAsia="黑体" w:cs="黑体"/>
          <w:b/>
          <w:bCs/>
          <w:spacing w:val="-9"/>
          <w:sz w:val="17"/>
          <w:szCs w:val="17"/>
        </w:rPr>
        <w:t>系</w:t>
      </w:r>
      <w:r>
        <w:rPr>
          <w:rFonts w:ascii="黑体" w:hAnsi="黑体" w:eastAsia="黑体" w:cs="黑体"/>
          <w:spacing w:val="-40"/>
          <w:sz w:val="17"/>
          <w:szCs w:val="17"/>
        </w:rPr>
        <w:t xml:space="preserve"> </w:t>
      </w:r>
      <w:r>
        <w:rPr>
          <w:rFonts w:ascii="黑体" w:hAnsi="黑体" w:eastAsia="黑体" w:cs="黑体"/>
          <w:b/>
          <w:bCs/>
          <w:spacing w:val="-9"/>
          <w:sz w:val="17"/>
          <w:szCs w:val="17"/>
        </w:rPr>
        <w:t>统</w:t>
      </w:r>
    </w:p>
    <w:p w14:paraId="1A79031B">
      <w:pPr>
        <w:spacing w:line="69" w:lineRule="exact"/>
      </w:pPr>
    </w:p>
    <w:tbl>
      <w:tblPr>
        <w:tblStyle w:val="5"/>
        <w:tblW w:w="4100" w:type="dxa"/>
        <w:tblInd w:w="1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73"/>
        <w:gridCol w:w="2334"/>
        <w:gridCol w:w="210"/>
        <w:gridCol w:w="229"/>
        <w:gridCol w:w="240"/>
        <w:gridCol w:w="214"/>
      </w:tblGrid>
      <w:tr w14:paraId="7F321F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4" w:hRule="atLeast"/>
        </w:trPr>
        <w:tc>
          <w:tcPr>
            <w:tcW w:w="873" w:type="dxa"/>
            <w:vMerge w:val="restart"/>
            <w:tcBorders>
              <w:bottom w:val="nil"/>
            </w:tcBorders>
            <w:vAlign w:val="top"/>
          </w:tcPr>
          <w:p w14:paraId="0BDB98E2">
            <w:pPr>
              <w:pStyle w:val="6"/>
              <w:spacing w:before="220" w:line="225" w:lineRule="auto"/>
              <w:ind w:left="247" w:right="1" w:hanging="230"/>
              <w:rPr>
                <w:sz w:val="18"/>
                <w:szCs w:val="18"/>
              </w:rPr>
            </w:pPr>
            <w:r>
              <w:rPr>
                <w:b/>
                <w:bCs/>
                <w:spacing w:val="-15"/>
                <w:sz w:val="18"/>
                <w:szCs w:val="18"/>
              </w:rPr>
              <w:t>知识与</w:t>
            </w:r>
            <w:r>
              <w:rPr>
                <w:b/>
                <w:bCs/>
                <w:spacing w:val="-14"/>
                <w:sz w:val="18"/>
                <w:szCs w:val="18"/>
              </w:rPr>
              <w:t>技</w:t>
            </w:r>
            <w:r>
              <w:rPr>
                <w:b/>
                <w:bCs/>
                <w:spacing w:val="-11"/>
                <w:sz w:val="18"/>
                <w:szCs w:val="18"/>
              </w:rPr>
              <w:t>能</w:t>
            </w:r>
            <w:r>
              <w:rPr>
                <w:spacing w:val="3"/>
                <w:sz w:val="18"/>
                <w:szCs w:val="18"/>
              </w:rPr>
              <w:t xml:space="preserve"> </w:t>
            </w:r>
            <w:r>
              <w:rPr>
                <w:b/>
                <w:bCs/>
                <w:spacing w:val="-4"/>
                <w:sz w:val="18"/>
                <w:szCs w:val="18"/>
              </w:rPr>
              <w:t>要点</w:t>
            </w:r>
          </w:p>
        </w:tc>
        <w:tc>
          <w:tcPr>
            <w:tcW w:w="2334" w:type="dxa"/>
            <w:vMerge w:val="restart"/>
            <w:tcBorders>
              <w:bottom w:val="nil"/>
            </w:tcBorders>
            <w:vAlign w:val="top"/>
          </w:tcPr>
          <w:p w14:paraId="30D56F27">
            <w:pPr>
              <w:spacing w:line="249" w:lineRule="auto"/>
              <w:rPr>
                <w:rFonts w:ascii="Arial"/>
                <w:sz w:val="21"/>
              </w:rPr>
            </w:pPr>
          </w:p>
          <w:p w14:paraId="1B0EFE3F">
            <w:pPr>
              <w:pStyle w:val="6"/>
              <w:spacing w:before="59" w:line="219" w:lineRule="auto"/>
              <w:ind w:left="864"/>
              <w:rPr>
                <w:sz w:val="18"/>
                <w:szCs w:val="18"/>
              </w:rPr>
            </w:pPr>
            <w:r>
              <w:rPr>
                <w:b/>
                <w:bCs/>
                <w:spacing w:val="5"/>
                <w:sz w:val="18"/>
                <w:szCs w:val="18"/>
              </w:rPr>
              <w:t>考试条目</w:t>
            </w:r>
          </w:p>
        </w:tc>
        <w:tc>
          <w:tcPr>
            <w:tcW w:w="893" w:type="dxa"/>
            <w:gridSpan w:val="4"/>
            <w:vAlign w:val="top"/>
          </w:tcPr>
          <w:p w14:paraId="1DFC0198">
            <w:pPr>
              <w:pStyle w:val="6"/>
              <w:spacing w:before="119" w:line="219" w:lineRule="auto"/>
              <w:ind w:left="120"/>
              <w:rPr>
                <w:sz w:val="18"/>
                <w:szCs w:val="18"/>
              </w:rPr>
            </w:pPr>
            <w:r>
              <w:rPr>
                <w:b/>
                <w:bCs/>
                <w:spacing w:val="-4"/>
                <w:sz w:val="18"/>
                <w:szCs w:val="18"/>
              </w:rPr>
              <w:t>考试水平</w:t>
            </w:r>
          </w:p>
        </w:tc>
      </w:tr>
      <w:tr w14:paraId="09DE83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0" w:hRule="atLeast"/>
        </w:trPr>
        <w:tc>
          <w:tcPr>
            <w:tcW w:w="873" w:type="dxa"/>
            <w:vMerge w:val="continue"/>
            <w:tcBorders>
              <w:top w:val="nil"/>
            </w:tcBorders>
            <w:vAlign w:val="top"/>
          </w:tcPr>
          <w:p w14:paraId="549FC2BF">
            <w:pPr>
              <w:rPr>
                <w:rFonts w:ascii="Arial"/>
                <w:sz w:val="21"/>
              </w:rPr>
            </w:pPr>
          </w:p>
        </w:tc>
        <w:tc>
          <w:tcPr>
            <w:tcW w:w="2334" w:type="dxa"/>
            <w:vMerge w:val="continue"/>
            <w:tcBorders>
              <w:top w:val="nil"/>
            </w:tcBorders>
            <w:vAlign w:val="top"/>
          </w:tcPr>
          <w:p w14:paraId="0F8C1D7C">
            <w:pPr>
              <w:rPr>
                <w:rFonts w:ascii="Arial"/>
                <w:sz w:val="21"/>
              </w:rPr>
            </w:pPr>
          </w:p>
        </w:tc>
        <w:tc>
          <w:tcPr>
            <w:tcW w:w="210" w:type="dxa"/>
            <w:vAlign w:val="top"/>
          </w:tcPr>
          <w:p w14:paraId="661C6FE4">
            <w:pPr>
              <w:pStyle w:val="6"/>
              <w:spacing w:before="143" w:line="184" w:lineRule="auto"/>
              <w:ind w:left="60"/>
              <w:rPr>
                <w:sz w:val="18"/>
                <w:szCs w:val="18"/>
              </w:rPr>
            </w:pPr>
            <w:r>
              <w:rPr>
                <w:b/>
                <w:bCs/>
                <w:spacing w:val="-2"/>
                <w:sz w:val="18"/>
                <w:szCs w:val="18"/>
              </w:rPr>
              <w:t>A</w:t>
            </w:r>
          </w:p>
        </w:tc>
        <w:tc>
          <w:tcPr>
            <w:tcW w:w="229" w:type="dxa"/>
            <w:vAlign w:val="top"/>
          </w:tcPr>
          <w:p w14:paraId="7468A91A">
            <w:pPr>
              <w:pStyle w:val="6"/>
              <w:spacing w:before="145" w:line="182" w:lineRule="auto"/>
              <w:ind w:left="70"/>
              <w:rPr>
                <w:sz w:val="18"/>
                <w:szCs w:val="18"/>
              </w:rPr>
            </w:pPr>
            <w:r>
              <w:rPr>
                <w:b/>
                <w:bCs/>
                <w:spacing w:val="-2"/>
                <w:sz w:val="18"/>
                <w:szCs w:val="18"/>
              </w:rPr>
              <w:t>B</w:t>
            </w:r>
          </w:p>
        </w:tc>
        <w:tc>
          <w:tcPr>
            <w:tcW w:w="240" w:type="dxa"/>
            <w:vAlign w:val="top"/>
          </w:tcPr>
          <w:p w14:paraId="2F551D25">
            <w:pPr>
              <w:pStyle w:val="6"/>
              <w:spacing w:before="136" w:line="183" w:lineRule="auto"/>
              <w:ind w:left="31"/>
              <w:rPr>
                <w:sz w:val="19"/>
                <w:szCs w:val="19"/>
              </w:rPr>
            </w:pPr>
            <w:r>
              <w:rPr>
                <w:b/>
                <w:bCs/>
                <w:spacing w:val="-2"/>
                <w:sz w:val="19"/>
                <w:szCs w:val="19"/>
              </w:rPr>
              <w:t>C</w:t>
            </w:r>
          </w:p>
        </w:tc>
        <w:tc>
          <w:tcPr>
            <w:tcW w:w="214" w:type="dxa"/>
            <w:vAlign w:val="top"/>
          </w:tcPr>
          <w:p w14:paraId="1CB22C8E">
            <w:pPr>
              <w:pStyle w:val="6"/>
              <w:spacing w:before="145" w:line="182" w:lineRule="auto"/>
              <w:ind w:left="58"/>
              <w:rPr>
                <w:sz w:val="18"/>
                <w:szCs w:val="18"/>
              </w:rPr>
            </w:pPr>
            <w:r>
              <w:rPr>
                <w:sz w:val="18"/>
                <w:szCs w:val="18"/>
              </w:rPr>
              <w:t>D</w:t>
            </w:r>
          </w:p>
        </w:tc>
      </w:tr>
      <w:tr w14:paraId="21A8A3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9" w:hRule="atLeast"/>
        </w:trPr>
        <w:tc>
          <w:tcPr>
            <w:tcW w:w="873" w:type="dxa"/>
            <w:vAlign w:val="top"/>
          </w:tcPr>
          <w:p w14:paraId="26E60C51">
            <w:pPr>
              <w:pStyle w:val="6"/>
              <w:spacing w:before="58" w:line="219" w:lineRule="auto"/>
              <w:ind w:left="244"/>
              <w:rPr>
                <w:sz w:val="18"/>
                <w:szCs w:val="18"/>
              </w:rPr>
            </w:pPr>
            <w:r>
              <w:rPr>
                <w:spacing w:val="-2"/>
                <w:sz w:val="18"/>
                <w:szCs w:val="18"/>
              </w:rPr>
              <w:t>概述</w:t>
            </w:r>
          </w:p>
        </w:tc>
        <w:tc>
          <w:tcPr>
            <w:tcW w:w="2334" w:type="dxa"/>
            <w:vAlign w:val="top"/>
          </w:tcPr>
          <w:p w14:paraId="53B60A5E">
            <w:pPr>
              <w:pStyle w:val="6"/>
              <w:spacing w:before="58" w:line="220" w:lineRule="auto"/>
              <w:ind w:left="12"/>
              <w:rPr>
                <w:sz w:val="18"/>
                <w:szCs w:val="18"/>
              </w:rPr>
            </w:pPr>
            <w:r>
              <w:rPr>
                <w:spacing w:val="-1"/>
                <w:sz w:val="18"/>
                <w:szCs w:val="18"/>
              </w:rPr>
              <w:t>运动系统的组成</w:t>
            </w:r>
          </w:p>
        </w:tc>
        <w:tc>
          <w:tcPr>
            <w:tcW w:w="210" w:type="dxa"/>
            <w:vAlign w:val="top"/>
          </w:tcPr>
          <w:p w14:paraId="2A58187E">
            <w:pPr>
              <w:pStyle w:val="6"/>
              <w:spacing w:before="89" w:line="238" w:lineRule="auto"/>
              <w:ind w:left="38"/>
              <w:rPr>
                <w:sz w:val="13"/>
                <w:szCs w:val="13"/>
              </w:rPr>
            </w:pPr>
            <w:r>
              <w:rPr>
                <w:sz w:val="13"/>
                <w:szCs w:val="13"/>
              </w:rPr>
              <w:t>√</w:t>
            </w:r>
          </w:p>
        </w:tc>
        <w:tc>
          <w:tcPr>
            <w:tcW w:w="229" w:type="dxa"/>
            <w:vAlign w:val="top"/>
          </w:tcPr>
          <w:p w14:paraId="1B52A704">
            <w:pPr>
              <w:rPr>
                <w:rFonts w:ascii="Arial"/>
                <w:sz w:val="21"/>
              </w:rPr>
            </w:pPr>
          </w:p>
        </w:tc>
        <w:tc>
          <w:tcPr>
            <w:tcW w:w="240" w:type="dxa"/>
            <w:vAlign w:val="top"/>
          </w:tcPr>
          <w:p w14:paraId="05F9B4F1">
            <w:pPr>
              <w:rPr>
                <w:rFonts w:ascii="Arial"/>
                <w:sz w:val="21"/>
              </w:rPr>
            </w:pPr>
          </w:p>
        </w:tc>
        <w:tc>
          <w:tcPr>
            <w:tcW w:w="214" w:type="dxa"/>
            <w:vAlign w:val="top"/>
          </w:tcPr>
          <w:p w14:paraId="73B8E8B5">
            <w:pPr>
              <w:rPr>
                <w:rFonts w:ascii="Arial"/>
                <w:sz w:val="21"/>
              </w:rPr>
            </w:pPr>
          </w:p>
        </w:tc>
      </w:tr>
      <w:tr w14:paraId="0D4059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0" w:hRule="atLeast"/>
        </w:trPr>
        <w:tc>
          <w:tcPr>
            <w:tcW w:w="873" w:type="dxa"/>
            <w:vMerge w:val="restart"/>
            <w:tcBorders>
              <w:bottom w:val="nil"/>
            </w:tcBorders>
            <w:vAlign w:val="top"/>
          </w:tcPr>
          <w:p w14:paraId="7F55F361">
            <w:pPr>
              <w:spacing w:line="281" w:lineRule="auto"/>
              <w:rPr>
                <w:rFonts w:ascii="Arial"/>
                <w:sz w:val="21"/>
              </w:rPr>
            </w:pPr>
          </w:p>
          <w:p w14:paraId="00DF4500">
            <w:pPr>
              <w:spacing w:line="281" w:lineRule="auto"/>
              <w:rPr>
                <w:rFonts w:ascii="Arial"/>
                <w:sz w:val="21"/>
              </w:rPr>
            </w:pPr>
          </w:p>
          <w:p w14:paraId="1139CF79">
            <w:pPr>
              <w:spacing w:line="282" w:lineRule="auto"/>
              <w:rPr>
                <w:rFonts w:ascii="Arial"/>
                <w:sz w:val="21"/>
              </w:rPr>
            </w:pPr>
          </w:p>
          <w:p w14:paraId="43530936">
            <w:pPr>
              <w:pStyle w:val="6"/>
              <w:spacing w:before="59" w:line="214" w:lineRule="auto"/>
              <w:ind w:left="334" w:right="85" w:hanging="269"/>
              <w:rPr>
                <w:sz w:val="18"/>
                <w:szCs w:val="18"/>
              </w:rPr>
            </w:pPr>
            <w:r>
              <w:rPr>
                <w:spacing w:val="-2"/>
                <w:sz w:val="18"/>
                <w:szCs w:val="18"/>
              </w:rPr>
              <w:t>骨和骨连</w:t>
            </w:r>
            <w:r>
              <w:rPr>
                <w:sz w:val="18"/>
                <w:szCs w:val="18"/>
              </w:rPr>
              <w:t xml:space="preserve"> 结</w:t>
            </w:r>
          </w:p>
        </w:tc>
        <w:tc>
          <w:tcPr>
            <w:tcW w:w="2334" w:type="dxa"/>
            <w:vMerge w:val="restart"/>
            <w:tcBorders>
              <w:bottom w:val="nil"/>
            </w:tcBorders>
            <w:vAlign w:val="top"/>
          </w:tcPr>
          <w:p w14:paraId="46B79B9C">
            <w:pPr>
              <w:pStyle w:val="6"/>
              <w:spacing w:before="240" w:line="222" w:lineRule="auto"/>
              <w:ind w:left="12" w:right="864"/>
              <w:rPr>
                <w:sz w:val="18"/>
                <w:szCs w:val="18"/>
              </w:rPr>
            </w:pPr>
            <w:r>
              <w:rPr>
                <w:sz w:val="18"/>
                <w:szCs w:val="18"/>
              </w:rPr>
              <w:t>1.骨的形态和分类</w:t>
            </w:r>
            <w:r>
              <w:rPr>
                <w:spacing w:val="6"/>
                <w:sz w:val="18"/>
                <w:szCs w:val="18"/>
              </w:rPr>
              <w:t xml:space="preserve"> </w:t>
            </w:r>
            <w:r>
              <w:rPr>
                <w:spacing w:val="1"/>
                <w:sz w:val="18"/>
                <w:szCs w:val="18"/>
              </w:rPr>
              <w:t>2.骨的结构</w:t>
            </w:r>
          </w:p>
          <w:p w14:paraId="3D4DD3FC">
            <w:pPr>
              <w:pStyle w:val="6"/>
              <w:spacing w:before="15" w:line="217" w:lineRule="auto"/>
              <w:ind w:left="12" w:right="162"/>
              <w:rPr>
                <w:sz w:val="18"/>
                <w:szCs w:val="18"/>
              </w:rPr>
            </w:pPr>
            <w:r>
              <w:rPr>
                <w:spacing w:val="-1"/>
                <w:sz w:val="18"/>
                <w:szCs w:val="18"/>
              </w:rPr>
              <w:t>3.骨的化学成分与物理特性</w:t>
            </w:r>
            <w:r>
              <w:rPr>
                <w:spacing w:val="1"/>
                <w:sz w:val="18"/>
                <w:szCs w:val="18"/>
              </w:rPr>
              <w:t xml:space="preserve"> </w:t>
            </w:r>
            <w:r>
              <w:rPr>
                <w:spacing w:val="-1"/>
                <w:sz w:val="18"/>
                <w:szCs w:val="18"/>
              </w:rPr>
              <w:t>4.关节的基本结构</w:t>
            </w:r>
          </w:p>
          <w:p w14:paraId="0F7DA577">
            <w:pPr>
              <w:pStyle w:val="6"/>
              <w:spacing w:before="18" w:line="220" w:lineRule="auto"/>
              <w:ind w:left="12"/>
              <w:rPr>
                <w:sz w:val="18"/>
                <w:szCs w:val="18"/>
              </w:rPr>
            </w:pPr>
            <w:r>
              <w:rPr>
                <w:spacing w:val="1"/>
                <w:sz w:val="18"/>
                <w:szCs w:val="18"/>
              </w:rPr>
              <w:t>5.关节的辅助结构</w:t>
            </w:r>
          </w:p>
        </w:tc>
        <w:tc>
          <w:tcPr>
            <w:tcW w:w="210" w:type="dxa"/>
            <w:vAlign w:val="top"/>
          </w:tcPr>
          <w:p w14:paraId="440D8251">
            <w:pPr>
              <w:rPr>
                <w:rFonts w:ascii="Arial"/>
                <w:sz w:val="21"/>
              </w:rPr>
            </w:pPr>
          </w:p>
        </w:tc>
        <w:tc>
          <w:tcPr>
            <w:tcW w:w="229" w:type="dxa"/>
            <w:vAlign w:val="top"/>
          </w:tcPr>
          <w:p w14:paraId="2553876C">
            <w:pPr>
              <w:pStyle w:val="6"/>
              <w:spacing w:before="90" w:line="238" w:lineRule="auto"/>
              <w:ind w:left="48"/>
              <w:rPr>
                <w:sz w:val="13"/>
                <w:szCs w:val="13"/>
              </w:rPr>
            </w:pPr>
            <w:r>
              <w:rPr>
                <w:sz w:val="13"/>
                <w:szCs w:val="13"/>
              </w:rPr>
              <w:t>√</w:t>
            </w:r>
          </w:p>
        </w:tc>
        <w:tc>
          <w:tcPr>
            <w:tcW w:w="240" w:type="dxa"/>
            <w:vAlign w:val="top"/>
          </w:tcPr>
          <w:p w14:paraId="7A9070D7">
            <w:pPr>
              <w:rPr>
                <w:rFonts w:ascii="Arial"/>
                <w:sz w:val="21"/>
              </w:rPr>
            </w:pPr>
          </w:p>
        </w:tc>
        <w:tc>
          <w:tcPr>
            <w:tcW w:w="214" w:type="dxa"/>
            <w:vAlign w:val="top"/>
          </w:tcPr>
          <w:p w14:paraId="37BDAC77">
            <w:pPr>
              <w:rPr>
                <w:rFonts w:ascii="Arial"/>
                <w:sz w:val="21"/>
              </w:rPr>
            </w:pPr>
          </w:p>
        </w:tc>
      </w:tr>
      <w:tr w14:paraId="780BBB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0" w:hRule="atLeast"/>
        </w:trPr>
        <w:tc>
          <w:tcPr>
            <w:tcW w:w="873" w:type="dxa"/>
            <w:vMerge w:val="continue"/>
            <w:tcBorders>
              <w:top w:val="nil"/>
              <w:bottom w:val="nil"/>
            </w:tcBorders>
            <w:vAlign w:val="top"/>
          </w:tcPr>
          <w:p w14:paraId="54BF4E01">
            <w:pPr>
              <w:rPr>
                <w:rFonts w:ascii="Arial"/>
                <w:sz w:val="21"/>
              </w:rPr>
            </w:pPr>
          </w:p>
        </w:tc>
        <w:tc>
          <w:tcPr>
            <w:tcW w:w="2334" w:type="dxa"/>
            <w:vMerge w:val="continue"/>
            <w:tcBorders>
              <w:top w:val="nil"/>
              <w:bottom w:val="nil"/>
            </w:tcBorders>
            <w:vAlign w:val="top"/>
          </w:tcPr>
          <w:p w14:paraId="71A38281">
            <w:pPr>
              <w:rPr>
                <w:rFonts w:ascii="Arial"/>
                <w:sz w:val="21"/>
              </w:rPr>
            </w:pPr>
          </w:p>
        </w:tc>
        <w:tc>
          <w:tcPr>
            <w:tcW w:w="210" w:type="dxa"/>
            <w:vAlign w:val="top"/>
          </w:tcPr>
          <w:p w14:paraId="26081443">
            <w:pPr>
              <w:rPr>
                <w:rFonts w:ascii="Arial"/>
                <w:sz w:val="21"/>
              </w:rPr>
            </w:pPr>
          </w:p>
        </w:tc>
        <w:tc>
          <w:tcPr>
            <w:tcW w:w="229" w:type="dxa"/>
            <w:vAlign w:val="top"/>
          </w:tcPr>
          <w:p w14:paraId="1FE55CB0">
            <w:pPr>
              <w:pStyle w:val="6"/>
              <w:spacing w:before="90" w:line="238" w:lineRule="auto"/>
              <w:ind w:left="48"/>
              <w:rPr>
                <w:sz w:val="13"/>
                <w:szCs w:val="13"/>
              </w:rPr>
            </w:pPr>
            <w:r>
              <w:rPr>
                <w:sz w:val="13"/>
                <w:szCs w:val="13"/>
              </w:rPr>
              <w:t>√</w:t>
            </w:r>
          </w:p>
        </w:tc>
        <w:tc>
          <w:tcPr>
            <w:tcW w:w="240" w:type="dxa"/>
            <w:vAlign w:val="top"/>
          </w:tcPr>
          <w:p w14:paraId="6537CCB2">
            <w:pPr>
              <w:rPr>
                <w:rFonts w:ascii="Arial"/>
                <w:sz w:val="21"/>
              </w:rPr>
            </w:pPr>
          </w:p>
        </w:tc>
        <w:tc>
          <w:tcPr>
            <w:tcW w:w="214" w:type="dxa"/>
            <w:vAlign w:val="top"/>
          </w:tcPr>
          <w:p w14:paraId="40903DA5">
            <w:pPr>
              <w:rPr>
                <w:rFonts w:ascii="Arial"/>
                <w:sz w:val="21"/>
              </w:rPr>
            </w:pPr>
          </w:p>
        </w:tc>
      </w:tr>
      <w:tr w14:paraId="5B5DC4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0" w:hRule="atLeast"/>
        </w:trPr>
        <w:tc>
          <w:tcPr>
            <w:tcW w:w="873" w:type="dxa"/>
            <w:vMerge w:val="continue"/>
            <w:tcBorders>
              <w:top w:val="nil"/>
              <w:bottom w:val="nil"/>
            </w:tcBorders>
            <w:vAlign w:val="top"/>
          </w:tcPr>
          <w:p w14:paraId="74420A2B">
            <w:pPr>
              <w:rPr>
                <w:rFonts w:ascii="Arial"/>
                <w:sz w:val="21"/>
              </w:rPr>
            </w:pPr>
          </w:p>
        </w:tc>
        <w:tc>
          <w:tcPr>
            <w:tcW w:w="2334" w:type="dxa"/>
            <w:vMerge w:val="continue"/>
            <w:tcBorders>
              <w:top w:val="nil"/>
              <w:bottom w:val="nil"/>
            </w:tcBorders>
            <w:vAlign w:val="top"/>
          </w:tcPr>
          <w:p w14:paraId="242B9B18">
            <w:pPr>
              <w:rPr>
                <w:rFonts w:ascii="Arial"/>
                <w:sz w:val="21"/>
              </w:rPr>
            </w:pPr>
          </w:p>
        </w:tc>
        <w:tc>
          <w:tcPr>
            <w:tcW w:w="210" w:type="dxa"/>
            <w:vAlign w:val="top"/>
          </w:tcPr>
          <w:p w14:paraId="36E12C0B">
            <w:pPr>
              <w:pStyle w:val="6"/>
              <w:spacing w:before="90" w:line="238" w:lineRule="auto"/>
              <w:ind w:left="17"/>
              <w:rPr>
                <w:sz w:val="13"/>
                <w:szCs w:val="13"/>
              </w:rPr>
            </w:pPr>
            <w:r>
              <w:rPr>
                <w:sz w:val="13"/>
                <w:szCs w:val="13"/>
              </w:rPr>
              <w:t>√</w:t>
            </w:r>
          </w:p>
        </w:tc>
        <w:tc>
          <w:tcPr>
            <w:tcW w:w="229" w:type="dxa"/>
            <w:vAlign w:val="top"/>
          </w:tcPr>
          <w:p w14:paraId="709B1843">
            <w:pPr>
              <w:rPr>
                <w:rFonts w:ascii="Arial"/>
                <w:sz w:val="21"/>
              </w:rPr>
            </w:pPr>
          </w:p>
        </w:tc>
        <w:tc>
          <w:tcPr>
            <w:tcW w:w="240" w:type="dxa"/>
            <w:vAlign w:val="top"/>
          </w:tcPr>
          <w:p w14:paraId="060466F2">
            <w:pPr>
              <w:rPr>
                <w:rFonts w:ascii="Arial"/>
                <w:sz w:val="21"/>
              </w:rPr>
            </w:pPr>
          </w:p>
        </w:tc>
        <w:tc>
          <w:tcPr>
            <w:tcW w:w="214" w:type="dxa"/>
            <w:vAlign w:val="top"/>
          </w:tcPr>
          <w:p w14:paraId="754FD195">
            <w:pPr>
              <w:rPr>
                <w:rFonts w:ascii="Arial"/>
                <w:sz w:val="21"/>
              </w:rPr>
            </w:pPr>
          </w:p>
        </w:tc>
      </w:tr>
      <w:tr w14:paraId="02D9A7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9" w:hRule="atLeast"/>
        </w:trPr>
        <w:tc>
          <w:tcPr>
            <w:tcW w:w="873" w:type="dxa"/>
            <w:vMerge w:val="continue"/>
            <w:tcBorders>
              <w:top w:val="nil"/>
              <w:bottom w:val="nil"/>
            </w:tcBorders>
            <w:vAlign w:val="top"/>
          </w:tcPr>
          <w:p w14:paraId="333230E0">
            <w:pPr>
              <w:rPr>
                <w:rFonts w:ascii="Arial"/>
                <w:sz w:val="21"/>
              </w:rPr>
            </w:pPr>
          </w:p>
        </w:tc>
        <w:tc>
          <w:tcPr>
            <w:tcW w:w="2334" w:type="dxa"/>
            <w:vMerge w:val="continue"/>
            <w:tcBorders>
              <w:top w:val="nil"/>
              <w:bottom w:val="nil"/>
            </w:tcBorders>
            <w:vAlign w:val="top"/>
          </w:tcPr>
          <w:p w14:paraId="1A488981">
            <w:pPr>
              <w:rPr>
                <w:rFonts w:ascii="Arial"/>
                <w:sz w:val="21"/>
              </w:rPr>
            </w:pPr>
          </w:p>
        </w:tc>
        <w:tc>
          <w:tcPr>
            <w:tcW w:w="210" w:type="dxa"/>
            <w:vAlign w:val="top"/>
          </w:tcPr>
          <w:p w14:paraId="3EF5F6CA">
            <w:pPr>
              <w:rPr>
                <w:rFonts w:ascii="Arial"/>
                <w:sz w:val="21"/>
              </w:rPr>
            </w:pPr>
          </w:p>
        </w:tc>
        <w:tc>
          <w:tcPr>
            <w:tcW w:w="229" w:type="dxa"/>
            <w:vAlign w:val="top"/>
          </w:tcPr>
          <w:p w14:paraId="00248662">
            <w:pPr>
              <w:pStyle w:val="6"/>
              <w:spacing w:before="90" w:line="238" w:lineRule="auto"/>
              <w:ind w:left="48"/>
              <w:rPr>
                <w:sz w:val="13"/>
                <w:szCs w:val="13"/>
              </w:rPr>
            </w:pPr>
            <w:r>
              <w:rPr>
                <w:sz w:val="13"/>
                <w:szCs w:val="13"/>
              </w:rPr>
              <w:t>√</w:t>
            </w:r>
          </w:p>
        </w:tc>
        <w:tc>
          <w:tcPr>
            <w:tcW w:w="240" w:type="dxa"/>
            <w:vAlign w:val="top"/>
          </w:tcPr>
          <w:p w14:paraId="5D22D192">
            <w:pPr>
              <w:rPr>
                <w:rFonts w:ascii="Arial"/>
                <w:sz w:val="21"/>
              </w:rPr>
            </w:pPr>
          </w:p>
        </w:tc>
        <w:tc>
          <w:tcPr>
            <w:tcW w:w="214" w:type="dxa"/>
            <w:vAlign w:val="top"/>
          </w:tcPr>
          <w:p w14:paraId="0BE73AC1">
            <w:pPr>
              <w:rPr>
                <w:rFonts w:ascii="Arial"/>
                <w:sz w:val="21"/>
              </w:rPr>
            </w:pPr>
          </w:p>
        </w:tc>
      </w:tr>
      <w:tr w14:paraId="4AF960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9" w:hRule="atLeast"/>
        </w:trPr>
        <w:tc>
          <w:tcPr>
            <w:tcW w:w="873" w:type="dxa"/>
            <w:vMerge w:val="continue"/>
            <w:tcBorders>
              <w:top w:val="nil"/>
            </w:tcBorders>
            <w:vAlign w:val="top"/>
          </w:tcPr>
          <w:p w14:paraId="63283DD5">
            <w:pPr>
              <w:rPr>
                <w:rFonts w:ascii="Arial"/>
                <w:sz w:val="21"/>
              </w:rPr>
            </w:pPr>
          </w:p>
        </w:tc>
        <w:tc>
          <w:tcPr>
            <w:tcW w:w="2334" w:type="dxa"/>
            <w:vMerge w:val="continue"/>
            <w:tcBorders>
              <w:top w:val="nil"/>
            </w:tcBorders>
            <w:vAlign w:val="top"/>
          </w:tcPr>
          <w:p w14:paraId="48753A8A">
            <w:pPr>
              <w:rPr>
                <w:rFonts w:ascii="Arial"/>
                <w:sz w:val="21"/>
              </w:rPr>
            </w:pPr>
          </w:p>
        </w:tc>
        <w:tc>
          <w:tcPr>
            <w:tcW w:w="210" w:type="dxa"/>
            <w:vAlign w:val="top"/>
          </w:tcPr>
          <w:p w14:paraId="5EC2027E">
            <w:pPr>
              <w:rPr>
                <w:rFonts w:ascii="Arial"/>
                <w:sz w:val="21"/>
              </w:rPr>
            </w:pPr>
          </w:p>
        </w:tc>
        <w:tc>
          <w:tcPr>
            <w:tcW w:w="229" w:type="dxa"/>
            <w:vAlign w:val="top"/>
          </w:tcPr>
          <w:p w14:paraId="54A4E9D2">
            <w:pPr>
              <w:rPr>
                <w:rFonts w:ascii="Arial"/>
                <w:sz w:val="21"/>
              </w:rPr>
            </w:pPr>
          </w:p>
        </w:tc>
        <w:tc>
          <w:tcPr>
            <w:tcW w:w="240" w:type="dxa"/>
            <w:vAlign w:val="top"/>
          </w:tcPr>
          <w:p w14:paraId="5BB4070A">
            <w:pPr>
              <w:rPr>
                <w:rFonts w:ascii="Arial"/>
                <w:sz w:val="21"/>
              </w:rPr>
            </w:pPr>
          </w:p>
        </w:tc>
        <w:tc>
          <w:tcPr>
            <w:tcW w:w="214" w:type="dxa"/>
            <w:vAlign w:val="top"/>
          </w:tcPr>
          <w:p w14:paraId="07A08234">
            <w:pPr>
              <w:rPr>
                <w:rFonts w:ascii="Arial"/>
                <w:sz w:val="21"/>
              </w:rPr>
            </w:pPr>
          </w:p>
        </w:tc>
      </w:tr>
      <w:tr w14:paraId="30CB03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0" w:hRule="atLeast"/>
        </w:trPr>
        <w:tc>
          <w:tcPr>
            <w:tcW w:w="873" w:type="dxa"/>
            <w:vMerge w:val="restart"/>
            <w:tcBorders>
              <w:bottom w:val="nil"/>
            </w:tcBorders>
            <w:vAlign w:val="top"/>
          </w:tcPr>
          <w:p w14:paraId="2E2F8D38">
            <w:pPr>
              <w:spacing w:line="298" w:lineRule="auto"/>
              <w:rPr>
                <w:rFonts w:ascii="Arial"/>
                <w:sz w:val="21"/>
              </w:rPr>
            </w:pPr>
          </w:p>
          <w:p w14:paraId="170677E4">
            <w:pPr>
              <w:spacing w:line="298" w:lineRule="auto"/>
              <w:rPr>
                <w:rFonts w:ascii="Arial"/>
                <w:sz w:val="21"/>
              </w:rPr>
            </w:pPr>
          </w:p>
          <w:p w14:paraId="5297A5D8">
            <w:pPr>
              <w:spacing w:line="299" w:lineRule="auto"/>
              <w:rPr>
                <w:rFonts w:ascii="Arial"/>
                <w:sz w:val="21"/>
              </w:rPr>
            </w:pPr>
          </w:p>
          <w:p w14:paraId="497D83DC">
            <w:pPr>
              <w:spacing w:line="299" w:lineRule="auto"/>
              <w:rPr>
                <w:rFonts w:ascii="Arial"/>
                <w:sz w:val="21"/>
              </w:rPr>
            </w:pPr>
          </w:p>
          <w:p w14:paraId="379AA3D9">
            <w:pPr>
              <w:pStyle w:val="6"/>
              <w:spacing w:before="58" w:line="219" w:lineRule="auto"/>
              <w:ind w:left="65"/>
              <w:rPr>
                <w:sz w:val="18"/>
                <w:szCs w:val="18"/>
              </w:rPr>
            </w:pPr>
            <w:r>
              <w:rPr>
                <w:spacing w:val="-2"/>
                <w:sz w:val="18"/>
                <w:szCs w:val="18"/>
              </w:rPr>
              <w:t>躯干骨及</w:t>
            </w:r>
          </w:p>
          <w:p w14:paraId="3557FE97">
            <w:pPr>
              <w:pStyle w:val="6"/>
              <w:spacing w:before="28" w:line="221" w:lineRule="auto"/>
              <w:ind w:left="155"/>
              <w:rPr>
                <w:sz w:val="18"/>
                <w:szCs w:val="18"/>
              </w:rPr>
            </w:pPr>
            <w:r>
              <w:rPr>
                <w:spacing w:val="-2"/>
                <w:sz w:val="18"/>
                <w:szCs w:val="18"/>
              </w:rPr>
              <w:t>其连结</w:t>
            </w:r>
          </w:p>
        </w:tc>
        <w:tc>
          <w:tcPr>
            <w:tcW w:w="2334" w:type="dxa"/>
            <w:vMerge w:val="restart"/>
            <w:tcBorders>
              <w:bottom w:val="nil"/>
            </w:tcBorders>
            <w:vAlign w:val="top"/>
          </w:tcPr>
          <w:p w14:paraId="692B7BCA">
            <w:pPr>
              <w:pStyle w:val="6"/>
              <w:spacing w:before="70" w:line="216" w:lineRule="auto"/>
              <w:ind w:left="12"/>
              <w:rPr>
                <w:sz w:val="18"/>
                <w:szCs w:val="18"/>
              </w:rPr>
            </w:pPr>
            <w:r>
              <w:rPr>
                <w:sz w:val="18"/>
                <w:szCs w:val="18"/>
              </w:rPr>
              <w:t>1.躯干各骨的位置和名称</w:t>
            </w:r>
          </w:p>
          <w:p w14:paraId="5E1D400A">
            <w:pPr>
              <w:pStyle w:val="6"/>
              <w:spacing w:line="219" w:lineRule="auto"/>
              <w:ind w:left="12"/>
              <w:rPr>
                <w:sz w:val="18"/>
                <w:szCs w:val="18"/>
              </w:rPr>
            </w:pPr>
            <w:r>
              <w:rPr>
                <w:spacing w:val="-2"/>
                <w:sz w:val="18"/>
                <w:szCs w:val="18"/>
              </w:rPr>
              <w:t>2.椎骨的一般形态</w:t>
            </w:r>
          </w:p>
          <w:p w14:paraId="5B18D560">
            <w:pPr>
              <w:pStyle w:val="6"/>
              <w:spacing w:before="16" w:line="215" w:lineRule="auto"/>
              <w:ind w:left="12"/>
              <w:rPr>
                <w:sz w:val="18"/>
                <w:szCs w:val="18"/>
              </w:rPr>
            </w:pPr>
            <w:r>
              <w:rPr>
                <w:spacing w:val="1"/>
                <w:sz w:val="18"/>
                <w:szCs w:val="18"/>
              </w:rPr>
              <w:t>3.各部椎骨的特点</w:t>
            </w:r>
          </w:p>
          <w:p w14:paraId="07BEA3A8">
            <w:pPr>
              <w:pStyle w:val="6"/>
              <w:spacing w:line="220" w:lineRule="auto"/>
              <w:ind w:left="12" w:right="675"/>
              <w:rPr>
                <w:sz w:val="18"/>
                <w:szCs w:val="18"/>
              </w:rPr>
            </w:pPr>
            <w:r>
              <w:rPr>
                <w:spacing w:val="1"/>
                <w:sz w:val="18"/>
                <w:szCs w:val="18"/>
              </w:rPr>
              <w:t>4.椎间盘的结构特点</w:t>
            </w:r>
            <w:r>
              <w:rPr>
                <w:spacing w:val="5"/>
                <w:sz w:val="18"/>
                <w:szCs w:val="18"/>
              </w:rPr>
              <w:t xml:space="preserve"> </w:t>
            </w:r>
            <w:r>
              <w:rPr>
                <w:spacing w:val="-2"/>
                <w:sz w:val="18"/>
                <w:szCs w:val="18"/>
              </w:rPr>
              <w:t>5.连结椎骨的韧带</w:t>
            </w:r>
          </w:p>
          <w:p w14:paraId="6250DE4C">
            <w:pPr>
              <w:pStyle w:val="6"/>
              <w:spacing w:line="226" w:lineRule="auto"/>
              <w:ind w:left="12" w:right="499"/>
              <w:rPr>
                <w:sz w:val="18"/>
                <w:szCs w:val="18"/>
              </w:rPr>
            </w:pPr>
            <w:r>
              <w:rPr>
                <w:spacing w:val="1"/>
                <w:sz w:val="18"/>
                <w:szCs w:val="18"/>
              </w:rPr>
              <w:t>6.脊柱的整体观和运动</w:t>
            </w:r>
            <w:r>
              <w:rPr>
                <w:sz w:val="18"/>
                <w:szCs w:val="18"/>
              </w:rPr>
              <w:t xml:space="preserve"> </w:t>
            </w:r>
            <w:r>
              <w:rPr>
                <w:spacing w:val="1"/>
                <w:sz w:val="18"/>
                <w:szCs w:val="18"/>
              </w:rPr>
              <w:t>7.胸骨和肋的结构</w:t>
            </w:r>
          </w:p>
          <w:p w14:paraId="68C849A2">
            <w:pPr>
              <w:pStyle w:val="6"/>
              <w:spacing w:before="1" w:line="214" w:lineRule="auto"/>
              <w:ind w:left="12" w:right="499"/>
              <w:rPr>
                <w:sz w:val="18"/>
                <w:szCs w:val="18"/>
              </w:rPr>
            </w:pPr>
            <w:r>
              <w:rPr>
                <w:spacing w:val="1"/>
                <w:sz w:val="18"/>
                <w:szCs w:val="18"/>
              </w:rPr>
              <w:t>8.胸廓的整体观和运动</w:t>
            </w:r>
            <w:r>
              <w:rPr>
                <w:sz w:val="18"/>
                <w:szCs w:val="18"/>
              </w:rPr>
              <w:t xml:space="preserve"> </w:t>
            </w:r>
            <w:r>
              <w:rPr>
                <w:spacing w:val="-1"/>
                <w:sz w:val="18"/>
                <w:szCs w:val="18"/>
              </w:rPr>
              <w:t>9.躯干骨的骨性标志</w:t>
            </w:r>
          </w:p>
        </w:tc>
        <w:tc>
          <w:tcPr>
            <w:tcW w:w="210" w:type="dxa"/>
            <w:vAlign w:val="top"/>
          </w:tcPr>
          <w:p w14:paraId="7BDAB2B1">
            <w:pPr>
              <w:spacing w:line="190" w:lineRule="exact"/>
              <w:rPr>
                <w:rFonts w:ascii="Arial"/>
                <w:sz w:val="16"/>
              </w:rPr>
            </w:pPr>
          </w:p>
        </w:tc>
        <w:tc>
          <w:tcPr>
            <w:tcW w:w="229" w:type="dxa"/>
            <w:vAlign w:val="top"/>
          </w:tcPr>
          <w:p w14:paraId="4908F35C">
            <w:pPr>
              <w:spacing w:line="190" w:lineRule="exact"/>
              <w:rPr>
                <w:rFonts w:ascii="Arial"/>
                <w:sz w:val="16"/>
              </w:rPr>
            </w:pPr>
          </w:p>
        </w:tc>
        <w:tc>
          <w:tcPr>
            <w:tcW w:w="240" w:type="dxa"/>
            <w:vAlign w:val="top"/>
          </w:tcPr>
          <w:p w14:paraId="1B390F0D">
            <w:pPr>
              <w:spacing w:line="190" w:lineRule="exact"/>
              <w:rPr>
                <w:rFonts w:ascii="Arial"/>
                <w:sz w:val="16"/>
              </w:rPr>
            </w:pPr>
          </w:p>
        </w:tc>
        <w:tc>
          <w:tcPr>
            <w:tcW w:w="214" w:type="dxa"/>
            <w:vAlign w:val="top"/>
          </w:tcPr>
          <w:p w14:paraId="2A64D5DB">
            <w:pPr>
              <w:spacing w:line="190" w:lineRule="exact"/>
              <w:rPr>
                <w:rFonts w:ascii="Arial"/>
                <w:sz w:val="16"/>
              </w:rPr>
            </w:pPr>
          </w:p>
        </w:tc>
      </w:tr>
      <w:tr w14:paraId="76CA2C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0" w:hRule="atLeast"/>
        </w:trPr>
        <w:tc>
          <w:tcPr>
            <w:tcW w:w="873" w:type="dxa"/>
            <w:vMerge w:val="continue"/>
            <w:tcBorders>
              <w:top w:val="nil"/>
              <w:bottom w:val="nil"/>
            </w:tcBorders>
            <w:vAlign w:val="top"/>
          </w:tcPr>
          <w:p w14:paraId="1399311A">
            <w:pPr>
              <w:rPr>
                <w:rFonts w:ascii="Arial"/>
                <w:sz w:val="21"/>
              </w:rPr>
            </w:pPr>
          </w:p>
        </w:tc>
        <w:tc>
          <w:tcPr>
            <w:tcW w:w="2334" w:type="dxa"/>
            <w:vMerge w:val="continue"/>
            <w:tcBorders>
              <w:top w:val="nil"/>
              <w:bottom w:val="nil"/>
            </w:tcBorders>
            <w:vAlign w:val="top"/>
          </w:tcPr>
          <w:p w14:paraId="109F641B">
            <w:pPr>
              <w:rPr>
                <w:rFonts w:ascii="Arial"/>
                <w:sz w:val="21"/>
              </w:rPr>
            </w:pPr>
          </w:p>
        </w:tc>
        <w:tc>
          <w:tcPr>
            <w:tcW w:w="210" w:type="dxa"/>
            <w:vAlign w:val="top"/>
          </w:tcPr>
          <w:p w14:paraId="669F7DD2">
            <w:pPr>
              <w:spacing w:line="210" w:lineRule="exact"/>
              <w:rPr>
                <w:rFonts w:ascii="Arial"/>
                <w:sz w:val="18"/>
              </w:rPr>
            </w:pPr>
          </w:p>
        </w:tc>
        <w:tc>
          <w:tcPr>
            <w:tcW w:w="229" w:type="dxa"/>
            <w:vAlign w:val="top"/>
          </w:tcPr>
          <w:p w14:paraId="3FCE7ACF">
            <w:pPr>
              <w:spacing w:line="210" w:lineRule="exact"/>
              <w:rPr>
                <w:rFonts w:ascii="Arial"/>
                <w:sz w:val="18"/>
              </w:rPr>
            </w:pPr>
          </w:p>
        </w:tc>
        <w:tc>
          <w:tcPr>
            <w:tcW w:w="240" w:type="dxa"/>
            <w:vAlign w:val="top"/>
          </w:tcPr>
          <w:p w14:paraId="26483262">
            <w:pPr>
              <w:spacing w:line="210" w:lineRule="exact"/>
              <w:rPr>
                <w:rFonts w:ascii="Arial"/>
                <w:sz w:val="18"/>
              </w:rPr>
            </w:pPr>
          </w:p>
        </w:tc>
        <w:tc>
          <w:tcPr>
            <w:tcW w:w="214" w:type="dxa"/>
            <w:vAlign w:val="top"/>
          </w:tcPr>
          <w:p w14:paraId="1FD3F391">
            <w:pPr>
              <w:spacing w:line="210" w:lineRule="exact"/>
              <w:rPr>
                <w:rFonts w:ascii="Arial"/>
                <w:sz w:val="18"/>
              </w:rPr>
            </w:pPr>
          </w:p>
        </w:tc>
      </w:tr>
      <w:tr w14:paraId="51C750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0" w:hRule="atLeast"/>
        </w:trPr>
        <w:tc>
          <w:tcPr>
            <w:tcW w:w="873" w:type="dxa"/>
            <w:vMerge w:val="continue"/>
            <w:tcBorders>
              <w:top w:val="nil"/>
              <w:bottom w:val="nil"/>
            </w:tcBorders>
            <w:vAlign w:val="top"/>
          </w:tcPr>
          <w:p w14:paraId="58803600">
            <w:pPr>
              <w:rPr>
                <w:rFonts w:ascii="Arial"/>
                <w:sz w:val="21"/>
              </w:rPr>
            </w:pPr>
          </w:p>
        </w:tc>
        <w:tc>
          <w:tcPr>
            <w:tcW w:w="2334" w:type="dxa"/>
            <w:vMerge w:val="continue"/>
            <w:tcBorders>
              <w:top w:val="nil"/>
              <w:bottom w:val="nil"/>
            </w:tcBorders>
            <w:vAlign w:val="top"/>
          </w:tcPr>
          <w:p w14:paraId="0302D70A">
            <w:pPr>
              <w:rPr>
                <w:rFonts w:ascii="Arial"/>
                <w:sz w:val="21"/>
              </w:rPr>
            </w:pPr>
          </w:p>
        </w:tc>
        <w:tc>
          <w:tcPr>
            <w:tcW w:w="210" w:type="dxa"/>
            <w:vAlign w:val="top"/>
          </w:tcPr>
          <w:p w14:paraId="18E0F154">
            <w:pPr>
              <w:spacing w:line="200" w:lineRule="exact"/>
              <w:rPr>
                <w:rFonts w:ascii="Arial"/>
                <w:sz w:val="17"/>
              </w:rPr>
            </w:pPr>
          </w:p>
        </w:tc>
        <w:tc>
          <w:tcPr>
            <w:tcW w:w="229" w:type="dxa"/>
            <w:vAlign w:val="top"/>
          </w:tcPr>
          <w:p w14:paraId="2A6D8AB6">
            <w:pPr>
              <w:spacing w:line="200" w:lineRule="exact"/>
              <w:rPr>
                <w:rFonts w:ascii="Arial"/>
                <w:sz w:val="17"/>
              </w:rPr>
            </w:pPr>
          </w:p>
        </w:tc>
        <w:tc>
          <w:tcPr>
            <w:tcW w:w="240" w:type="dxa"/>
            <w:vAlign w:val="top"/>
          </w:tcPr>
          <w:p w14:paraId="6458D55F">
            <w:pPr>
              <w:spacing w:line="200" w:lineRule="exact"/>
              <w:rPr>
                <w:rFonts w:ascii="Arial"/>
                <w:sz w:val="17"/>
              </w:rPr>
            </w:pPr>
          </w:p>
        </w:tc>
        <w:tc>
          <w:tcPr>
            <w:tcW w:w="214" w:type="dxa"/>
            <w:vAlign w:val="top"/>
          </w:tcPr>
          <w:p w14:paraId="03667293">
            <w:pPr>
              <w:spacing w:line="200" w:lineRule="exact"/>
              <w:rPr>
                <w:rFonts w:ascii="Arial"/>
                <w:sz w:val="17"/>
              </w:rPr>
            </w:pPr>
          </w:p>
        </w:tc>
      </w:tr>
      <w:tr w14:paraId="12F266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0" w:hRule="atLeast"/>
        </w:trPr>
        <w:tc>
          <w:tcPr>
            <w:tcW w:w="873" w:type="dxa"/>
            <w:vMerge w:val="continue"/>
            <w:tcBorders>
              <w:top w:val="nil"/>
              <w:bottom w:val="nil"/>
            </w:tcBorders>
            <w:vAlign w:val="top"/>
          </w:tcPr>
          <w:p w14:paraId="108A3433">
            <w:pPr>
              <w:rPr>
                <w:rFonts w:ascii="Arial"/>
                <w:sz w:val="21"/>
              </w:rPr>
            </w:pPr>
          </w:p>
        </w:tc>
        <w:tc>
          <w:tcPr>
            <w:tcW w:w="2334" w:type="dxa"/>
            <w:vMerge w:val="continue"/>
            <w:tcBorders>
              <w:top w:val="nil"/>
              <w:bottom w:val="nil"/>
            </w:tcBorders>
            <w:vAlign w:val="top"/>
          </w:tcPr>
          <w:p w14:paraId="3B6818A7">
            <w:pPr>
              <w:rPr>
                <w:rFonts w:ascii="Arial"/>
                <w:sz w:val="21"/>
              </w:rPr>
            </w:pPr>
          </w:p>
        </w:tc>
        <w:tc>
          <w:tcPr>
            <w:tcW w:w="210" w:type="dxa"/>
            <w:vAlign w:val="top"/>
          </w:tcPr>
          <w:p w14:paraId="675844DA">
            <w:pPr>
              <w:spacing w:line="210" w:lineRule="exact"/>
              <w:rPr>
                <w:rFonts w:ascii="Arial"/>
                <w:sz w:val="18"/>
              </w:rPr>
            </w:pPr>
          </w:p>
        </w:tc>
        <w:tc>
          <w:tcPr>
            <w:tcW w:w="229" w:type="dxa"/>
            <w:vAlign w:val="top"/>
          </w:tcPr>
          <w:p w14:paraId="652B47A4">
            <w:pPr>
              <w:spacing w:line="210" w:lineRule="exact"/>
              <w:rPr>
                <w:rFonts w:ascii="Arial"/>
                <w:sz w:val="18"/>
              </w:rPr>
            </w:pPr>
          </w:p>
        </w:tc>
        <w:tc>
          <w:tcPr>
            <w:tcW w:w="240" w:type="dxa"/>
            <w:vAlign w:val="top"/>
          </w:tcPr>
          <w:p w14:paraId="03507BE0">
            <w:pPr>
              <w:spacing w:line="210" w:lineRule="exact"/>
              <w:rPr>
                <w:rFonts w:ascii="Arial"/>
                <w:sz w:val="18"/>
              </w:rPr>
            </w:pPr>
          </w:p>
        </w:tc>
        <w:tc>
          <w:tcPr>
            <w:tcW w:w="214" w:type="dxa"/>
            <w:vAlign w:val="top"/>
          </w:tcPr>
          <w:p w14:paraId="2AB06DF7">
            <w:pPr>
              <w:spacing w:line="210" w:lineRule="exact"/>
              <w:rPr>
                <w:rFonts w:ascii="Arial"/>
                <w:sz w:val="18"/>
              </w:rPr>
            </w:pPr>
          </w:p>
        </w:tc>
      </w:tr>
      <w:tr w14:paraId="6AE288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0" w:hRule="atLeast"/>
        </w:trPr>
        <w:tc>
          <w:tcPr>
            <w:tcW w:w="873" w:type="dxa"/>
            <w:vMerge w:val="continue"/>
            <w:tcBorders>
              <w:top w:val="nil"/>
              <w:bottom w:val="nil"/>
            </w:tcBorders>
            <w:vAlign w:val="top"/>
          </w:tcPr>
          <w:p w14:paraId="4FC03E9B">
            <w:pPr>
              <w:rPr>
                <w:rFonts w:ascii="Arial"/>
                <w:sz w:val="21"/>
              </w:rPr>
            </w:pPr>
          </w:p>
        </w:tc>
        <w:tc>
          <w:tcPr>
            <w:tcW w:w="2334" w:type="dxa"/>
            <w:vMerge w:val="continue"/>
            <w:tcBorders>
              <w:top w:val="nil"/>
              <w:bottom w:val="nil"/>
            </w:tcBorders>
            <w:vAlign w:val="top"/>
          </w:tcPr>
          <w:p w14:paraId="443034E5">
            <w:pPr>
              <w:rPr>
                <w:rFonts w:ascii="Arial"/>
                <w:sz w:val="21"/>
              </w:rPr>
            </w:pPr>
          </w:p>
        </w:tc>
        <w:tc>
          <w:tcPr>
            <w:tcW w:w="210" w:type="dxa"/>
            <w:vAlign w:val="top"/>
          </w:tcPr>
          <w:p w14:paraId="44A083DC">
            <w:pPr>
              <w:spacing w:line="220" w:lineRule="exact"/>
              <w:rPr>
                <w:rFonts w:ascii="Arial"/>
                <w:sz w:val="19"/>
              </w:rPr>
            </w:pPr>
          </w:p>
        </w:tc>
        <w:tc>
          <w:tcPr>
            <w:tcW w:w="229" w:type="dxa"/>
            <w:vAlign w:val="top"/>
          </w:tcPr>
          <w:p w14:paraId="3FF7D2AF">
            <w:pPr>
              <w:spacing w:line="220" w:lineRule="exact"/>
              <w:rPr>
                <w:rFonts w:ascii="Arial"/>
                <w:sz w:val="19"/>
              </w:rPr>
            </w:pPr>
          </w:p>
        </w:tc>
        <w:tc>
          <w:tcPr>
            <w:tcW w:w="240" w:type="dxa"/>
            <w:vAlign w:val="top"/>
          </w:tcPr>
          <w:p w14:paraId="7073CB48">
            <w:pPr>
              <w:spacing w:line="220" w:lineRule="exact"/>
              <w:rPr>
                <w:rFonts w:ascii="Arial"/>
                <w:sz w:val="19"/>
              </w:rPr>
            </w:pPr>
          </w:p>
        </w:tc>
        <w:tc>
          <w:tcPr>
            <w:tcW w:w="214" w:type="dxa"/>
            <w:vAlign w:val="top"/>
          </w:tcPr>
          <w:p w14:paraId="5D909E4E">
            <w:pPr>
              <w:spacing w:line="220" w:lineRule="exact"/>
              <w:rPr>
                <w:rFonts w:ascii="Arial"/>
                <w:sz w:val="19"/>
              </w:rPr>
            </w:pPr>
          </w:p>
        </w:tc>
      </w:tr>
      <w:tr w14:paraId="60C13F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0" w:hRule="atLeast"/>
        </w:trPr>
        <w:tc>
          <w:tcPr>
            <w:tcW w:w="873" w:type="dxa"/>
            <w:vMerge w:val="continue"/>
            <w:tcBorders>
              <w:top w:val="nil"/>
              <w:bottom w:val="nil"/>
            </w:tcBorders>
            <w:vAlign w:val="top"/>
          </w:tcPr>
          <w:p w14:paraId="31904ECE">
            <w:pPr>
              <w:rPr>
                <w:rFonts w:ascii="Arial"/>
                <w:sz w:val="21"/>
              </w:rPr>
            </w:pPr>
          </w:p>
        </w:tc>
        <w:tc>
          <w:tcPr>
            <w:tcW w:w="2334" w:type="dxa"/>
            <w:vMerge w:val="continue"/>
            <w:tcBorders>
              <w:top w:val="nil"/>
              <w:bottom w:val="nil"/>
            </w:tcBorders>
            <w:vAlign w:val="top"/>
          </w:tcPr>
          <w:p w14:paraId="218B7F48">
            <w:pPr>
              <w:rPr>
                <w:rFonts w:ascii="Arial"/>
                <w:sz w:val="21"/>
              </w:rPr>
            </w:pPr>
          </w:p>
        </w:tc>
        <w:tc>
          <w:tcPr>
            <w:tcW w:w="210" w:type="dxa"/>
            <w:vAlign w:val="top"/>
          </w:tcPr>
          <w:p w14:paraId="28B3F044">
            <w:pPr>
              <w:spacing w:line="190" w:lineRule="exact"/>
              <w:rPr>
                <w:rFonts w:ascii="Arial"/>
                <w:sz w:val="16"/>
              </w:rPr>
            </w:pPr>
          </w:p>
        </w:tc>
        <w:tc>
          <w:tcPr>
            <w:tcW w:w="229" w:type="dxa"/>
            <w:vAlign w:val="top"/>
          </w:tcPr>
          <w:p w14:paraId="0BF2325A">
            <w:pPr>
              <w:spacing w:line="190" w:lineRule="exact"/>
              <w:rPr>
                <w:rFonts w:ascii="Arial"/>
                <w:sz w:val="16"/>
              </w:rPr>
            </w:pPr>
          </w:p>
        </w:tc>
        <w:tc>
          <w:tcPr>
            <w:tcW w:w="240" w:type="dxa"/>
            <w:vAlign w:val="top"/>
          </w:tcPr>
          <w:p w14:paraId="26A23833">
            <w:pPr>
              <w:spacing w:line="190" w:lineRule="exact"/>
              <w:rPr>
                <w:rFonts w:ascii="Arial"/>
                <w:sz w:val="16"/>
              </w:rPr>
            </w:pPr>
          </w:p>
        </w:tc>
        <w:tc>
          <w:tcPr>
            <w:tcW w:w="214" w:type="dxa"/>
            <w:vAlign w:val="top"/>
          </w:tcPr>
          <w:p w14:paraId="2F0CABA2">
            <w:pPr>
              <w:spacing w:line="190" w:lineRule="exact"/>
              <w:rPr>
                <w:rFonts w:ascii="Arial"/>
                <w:sz w:val="16"/>
              </w:rPr>
            </w:pPr>
          </w:p>
        </w:tc>
      </w:tr>
      <w:tr w14:paraId="5E4FF3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0" w:hRule="atLeast"/>
        </w:trPr>
        <w:tc>
          <w:tcPr>
            <w:tcW w:w="873" w:type="dxa"/>
            <w:vMerge w:val="continue"/>
            <w:tcBorders>
              <w:top w:val="nil"/>
              <w:bottom w:val="nil"/>
            </w:tcBorders>
            <w:vAlign w:val="top"/>
          </w:tcPr>
          <w:p w14:paraId="242382C3">
            <w:pPr>
              <w:rPr>
                <w:rFonts w:ascii="Arial"/>
                <w:sz w:val="21"/>
              </w:rPr>
            </w:pPr>
          </w:p>
        </w:tc>
        <w:tc>
          <w:tcPr>
            <w:tcW w:w="2334" w:type="dxa"/>
            <w:vMerge w:val="continue"/>
            <w:tcBorders>
              <w:top w:val="nil"/>
              <w:bottom w:val="nil"/>
            </w:tcBorders>
            <w:vAlign w:val="top"/>
          </w:tcPr>
          <w:p w14:paraId="31180D44">
            <w:pPr>
              <w:rPr>
                <w:rFonts w:ascii="Arial"/>
                <w:sz w:val="21"/>
              </w:rPr>
            </w:pPr>
          </w:p>
        </w:tc>
        <w:tc>
          <w:tcPr>
            <w:tcW w:w="210" w:type="dxa"/>
            <w:vAlign w:val="top"/>
          </w:tcPr>
          <w:p w14:paraId="3DD7AE46">
            <w:pPr>
              <w:spacing w:line="220" w:lineRule="exact"/>
              <w:rPr>
                <w:rFonts w:ascii="Arial"/>
                <w:sz w:val="19"/>
              </w:rPr>
            </w:pPr>
          </w:p>
        </w:tc>
        <w:tc>
          <w:tcPr>
            <w:tcW w:w="229" w:type="dxa"/>
            <w:vAlign w:val="top"/>
          </w:tcPr>
          <w:p w14:paraId="28DF6E6C">
            <w:pPr>
              <w:spacing w:line="220" w:lineRule="exact"/>
              <w:rPr>
                <w:rFonts w:ascii="Arial"/>
                <w:sz w:val="19"/>
              </w:rPr>
            </w:pPr>
          </w:p>
        </w:tc>
        <w:tc>
          <w:tcPr>
            <w:tcW w:w="240" w:type="dxa"/>
            <w:vAlign w:val="top"/>
          </w:tcPr>
          <w:p w14:paraId="56313BC3">
            <w:pPr>
              <w:spacing w:line="220" w:lineRule="exact"/>
              <w:rPr>
                <w:rFonts w:ascii="Arial"/>
                <w:sz w:val="19"/>
              </w:rPr>
            </w:pPr>
          </w:p>
        </w:tc>
        <w:tc>
          <w:tcPr>
            <w:tcW w:w="214" w:type="dxa"/>
            <w:vAlign w:val="top"/>
          </w:tcPr>
          <w:p w14:paraId="0D9AD428">
            <w:pPr>
              <w:spacing w:line="220" w:lineRule="exact"/>
              <w:rPr>
                <w:rFonts w:ascii="Arial"/>
                <w:sz w:val="19"/>
              </w:rPr>
            </w:pPr>
          </w:p>
        </w:tc>
      </w:tr>
      <w:tr w14:paraId="18D2CC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0" w:hRule="atLeast"/>
        </w:trPr>
        <w:tc>
          <w:tcPr>
            <w:tcW w:w="873" w:type="dxa"/>
            <w:vMerge w:val="continue"/>
            <w:tcBorders>
              <w:top w:val="nil"/>
              <w:bottom w:val="nil"/>
            </w:tcBorders>
            <w:vAlign w:val="top"/>
          </w:tcPr>
          <w:p w14:paraId="7E65EFBE">
            <w:pPr>
              <w:rPr>
                <w:rFonts w:ascii="Arial"/>
                <w:sz w:val="21"/>
              </w:rPr>
            </w:pPr>
          </w:p>
        </w:tc>
        <w:tc>
          <w:tcPr>
            <w:tcW w:w="2334" w:type="dxa"/>
            <w:vMerge w:val="continue"/>
            <w:tcBorders>
              <w:top w:val="nil"/>
              <w:bottom w:val="nil"/>
            </w:tcBorders>
            <w:vAlign w:val="top"/>
          </w:tcPr>
          <w:p w14:paraId="3B361C9F">
            <w:pPr>
              <w:rPr>
                <w:rFonts w:ascii="Arial"/>
                <w:sz w:val="21"/>
              </w:rPr>
            </w:pPr>
          </w:p>
        </w:tc>
        <w:tc>
          <w:tcPr>
            <w:tcW w:w="210" w:type="dxa"/>
            <w:vAlign w:val="top"/>
          </w:tcPr>
          <w:p w14:paraId="6F281EED">
            <w:pPr>
              <w:spacing w:line="210" w:lineRule="exact"/>
              <w:rPr>
                <w:rFonts w:ascii="Arial"/>
                <w:sz w:val="18"/>
              </w:rPr>
            </w:pPr>
          </w:p>
        </w:tc>
        <w:tc>
          <w:tcPr>
            <w:tcW w:w="229" w:type="dxa"/>
            <w:vAlign w:val="top"/>
          </w:tcPr>
          <w:p w14:paraId="202A39FF">
            <w:pPr>
              <w:spacing w:line="210" w:lineRule="exact"/>
              <w:rPr>
                <w:rFonts w:ascii="Arial"/>
                <w:sz w:val="18"/>
              </w:rPr>
            </w:pPr>
          </w:p>
        </w:tc>
        <w:tc>
          <w:tcPr>
            <w:tcW w:w="240" w:type="dxa"/>
            <w:vAlign w:val="top"/>
          </w:tcPr>
          <w:p w14:paraId="45F793DC">
            <w:pPr>
              <w:spacing w:line="210" w:lineRule="exact"/>
              <w:rPr>
                <w:rFonts w:ascii="Arial"/>
                <w:sz w:val="18"/>
              </w:rPr>
            </w:pPr>
          </w:p>
        </w:tc>
        <w:tc>
          <w:tcPr>
            <w:tcW w:w="214" w:type="dxa"/>
            <w:vAlign w:val="top"/>
          </w:tcPr>
          <w:p w14:paraId="1A77D722">
            <w:pPr>
              <w:spacing w:line="210" w:lineRule="exact"/>
              <w:rPr>
                <w:rFonts w:ascii="Arial"/>
                <w:sz w:val="18"/>
              </w:rPr>
            </w:pPr>
          </w:p>
        </w:tc>
      </w:tr>
      <w:tr w14:paraId="3433C0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0" w:hRule="atLeast"/>
        </w:trPr>
        <w:tc>
          <w:tcPr>
            <w:tcW w:w="873" w:type="dxa"/>
            <w:vMerge w:val="continue"/>
            <w:tcBorders>
              <w:top w:val="nil"/>
            </w:tcBorders>
            <w:vAlign w:val="top"/>
          </w:tcPr>
          <w:p w14:paraId="03F9FFDC">
            <w:pPr>
              <w:rPr>
                <w:rFonts w:ascii="Arial"/>
                <w:sz w:val="21"/>
              </w:rPr>
            </w:pPr>
          </w:p>
        </w:tc>
        <w:tc>
          <w:tcPr>
            <w:tcW w:w="2334" w:type="dxa"/>
            <w:vMerge w:val="continue"/>
            <w:tcBorders>
              <w:top w:val="nil"/>
            </w:tcBorders>
            <w:vAlign w:val="top"/>
          </w:tcPr>
          <w:p w14:paraId="03903097">
            <w:pPr>
              <w:rPr>
                <w:rFonts w:ascii="Arial"/>
                <w:sz w:val="21"/>
              </w:rPr>
            </w:pPr>
          </w:p>
        </w:tc>
        <w:tc>
          <w:tcPr>
            <w:tcW w:w="210" w:type="dxa"/>
            <w:vAlign w:val="top"/>
          </w:tcPr>
          <w:p w14:paraId="3B9EC2FA">
            <w:pPr>
              <w:spacing w:line="200" w:lineRule="exact"/>
              <w:rPr>
                <w:rFonts w:ascii="Arial"/>
                <w:sz w:val="17"/>
              </w:rPr>
            </w:pPr>
          </w:p>
        </w:tc>
        <w:tc>
          <w:tcPr>
            <w:tcW w:w="229" w:type="dxa"/>
            <w:vAlign w:val="top"/>
          </w:tcPr>
          <w:p w14:paraId="43F4A607">
            <w:pPr>
              <w:spacing w:line="200" w:lineRule="exact"/>
              <w:rPr>
                <w:rFonts w:ascii="Arial"/>
                <w:sz w:val="17"/>
              </w:rPr>
            </w:pPr>
          </w:p>
        </w:tc>
        <w:tc>
          <w:tcPr>
            <w:tcW w:w="240" w:type="dxa"/>
            <w:vAlign w:val="top"/>
          </w:tcPr>
          <w:p w14:paraId="68BE21D8">
            <w:pPr>
              <w:spacing w:line="200" w:lineRule="exact"/>
              <w:rPr>
                <w:rFonts w:ascii="Arial"/>
                <w:sz w:val="17"/>
              </w:rPr>
            </w:pPr>
          </w:p>
        </w:tc>
        <w:tc>
          <w:tcPr>
            <w:tcW w:w="214" w:type="dxa"/>
            <w:vAlign w:val="top"/>
          </w:tcPr>
          <w:p w14:paraId="2C45ACEC">
            <w:pPr>
              <w:spacing w:line="200" w:lineRule="exact"/>
              <w:rPr>
                <w:rFonts w:ascii="Arial"/>
                <w:sz w:val="17"/>
              </w:rPr>
            </w:pPr>
          </w:p>
        </w:tc>
      </w:tr>
      <w:tr w14:paraId="1CFB1F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0" w:hRule="atLeast"/>
        </w:trPr>
        <w:tc>
          <w:tcPr>
            <w:tcW w:w="873" w:type="dxa"/>
            <w:vMerge w:val="restart"/>
            <w:tcBorders>
              <w:bottom w:val="nil"/>
            </w:tcBorders>
            <w:vAlign w:val="top"/>
          </w:tcPr>
          <w:p w14:paraId="4C5BCC9C">
            <w:pPr>
              <w:spacing w:line="479" w:lineRule="auto"/>
              <w:rPr>
                <w:rFonts w:ascii="Arial"/>
                <w:sz w:val="21"/>
              </w:rPr>
            </w:pPr>
          </w:p>
          <w:p w14:paraId="5FBBD034">
            <w:pPr>
              <w:pStyle w:val="6"/>
              <w:spacing w:before="59" w:line="229" w:lineRule="auto"/>
              <w:ind w:left="15" w:right="84" w:firstLine="49"/>
              <w:rPr>
                <w:sz w:val="18"/>
                <w:szCs w:val="18"/>
              </w:rPr>
            </w:pPr>
            <w:r>
              <w:rPr>
                <w:spacing w:val="-2"/>
                <w:sz w:val="18"/>
                <w:szCs w:val="18"/>
              </w:rPr>
              <w:t>颅骨及其</w:t>
            </w:r>
            <w:r>
              <w:rPr>
                <w:sz w:val="18"/>
                <w:szCs w:val="18"/>
              </w:rPr>
              <w:t xml:space="preserve"> </w:t>
            </w:r>
            <w:r>
              <w:rPr>
                <w:spacing w:val="-2"/>
                <w:sz w:val="18"/>
                <w:szCs w:val="18"/>
              </w:rPr>
              <w:t>连结</w:t>
            </w:r>
          </w:p>
        </w:tc>
        <w:tc>
          <w:tcPr>
            <w:tcW w:w="2334" w:type="dxa"/>
            <w:vMerge w:val="restart"/>
            <w:tcBorders>
              <w:bottom w:val="nil"/>
            </w:tcBorders>
            <w:vAlign w:val="top"/>
          </w:tcPr>
          <w:p w14:paraId="6ABCDEC0">
            <w:pPr>
              <w:pStyle w:val="6"/>
              <w:spacing w:before="121" w:line="220" w:lineRule="auto"/>
              <w:ind w:left="12"/>
              <w:rPr>
                <w:sz w:val="18"/>
                <w:szCs w:val="18"/>
              </w:rPr>
            </w:pPr>
            <w:r>
              <w:rPr>
                <w:spacing w:val="1"/>
                <w:sz w:val="18"/>
                <w:szCs w:val="18"/>
              </w:rPr>
              <w:t>1.颅的组成</w:t>
            </w:r>
          </w:p>
          <w:p w14:paraId="4B1C9345">
            <w:pPr>
              <w:pStyle w:val="6"/>
              <w:spacing w:before="15" w:line="194" w:lineRule="auto"/>
              <w:ind w:left="12"/>
              <w:rPr>
                <w:sz w:val="18"/>
                <w:szCs w:val="18"/>
              </w:rPr>
            </w:pPr>
            <w:r>
              <w:rPr>
                <w:spacing w:val="-2"/>
                <w:sz w:val="18"/>
                <w:szCs w:val="18"/>
              </w:rPr>
              <w:t>2.颅的整体观</w:t>
            </w:r>
          </w:p>
          <w:p w14:paraId="5725EF44">
            <w:pPr>
              <w:pStyle w:val="6"/>
              <w:spacing w:line="226" w:lineRule="auto"/>
              <w:ind w:left="12" w:right="152" w:firstLine="10"/>
              <w:rPr>
                <w:sz w:val="18"/>
                <w:szCs w:val="18"/>
              </w:rPr>
            </w:pPr>
            <w:r>
              <w:rPr>
                <w:spacing w:val="-1"/>
                <w:sz w:val="18"/>
                <w:szCs w:val="18"/>
              </w:rPr>
              <w:t>3.新生儿颅囱的特点和临床</w:t>
            </w:r>
            <w:r>
              <w:rPr>
                <w:spacing w:val="1"/>
                <w:sz w:val="18"/>
                <w:szCs w:val="18"/>
              </w:rPr>
              <w:t xml:space="preserve"> </w:t>
            </w:r>
            <w:r>
              <w:rPr>
                <w:spacing w:val="4"/>
                <w:sz w:val="18"/>
                <w:szCs w:val="18"/>
              </w:rPr>
              <w:t>意义</w:t>
            </w:r>
          </w:p>
          <w:p w14:paraId="250118BF">
            <w:pPr>
              <w:pStyle w:val="6"/>
              <w:spacing w:line="232" w:lineRule="auto"/>
              <w:ind w:left="12" w:right="158"/>
              <w:rPr>
                <w:sz w:val="18"/>
                <w:szCs w:val="18"/>
              </w:rPr>
            </w:pPr>
            <w:r>
              <w:rPr>
                <w:spacing w:val="-1"/>
                <w:sz w:val="18"/>
                <w:szCs w:val="18"/>
              </w:rPr>
              <w:t>4.颞下颌关节的组成和运动</w:t>
            </w:r>
            <w:r>
              <w:rPr>
                <w:spacing w:val="5"/>
                <w:sz w:val="18"/>
                <w:szCs w:val="18"/>
              </w:rPr>
              <w:t xml:space="preserve"> </w:t>
            </w:r>
            <w:r>
              <w:rPr>
                <w:spacing w:val="1"/>
                <w:sz w:val="18"/>
                <w:szCs w:val="18"/>
              </w:rPr>
              <w:t>5.头部的骨性标志</w:t>
            </w:r>
          </w:p>
        </w:tc>
        <w:tc>
          <w:tcPr>
            <w:tcW w:w="210" w:type="dxa"/>
            <w:vAlign w:val="top"/>
          </w:tcPr>
          <w:p w14:paraId="3C6CE524">
            <w:pPr>
              <w:rPr>
                <w:rFonts w:ascii="Arial"/>
                <w:sz w:val="21"/>
              </w:rPr>
            </w:pPr>
          </w:p>
        </w:tc>
        <w:tc>
          <w:tcPr>
            <w:tcW w:w="229" w:type="dxa"/>
            <w:vAlign w:val="top"/>
          </w:tcPr>
          <w:p w14:paraId="7BCE0154">
            <w:pPr>
              <w:rPr>
                <w:rFonts w:ascii="Arial"/>
                <w:sz w:val="21"/>
              </w:rPr>
            </w:pPr>
          </w:p>
        </w:tc>
        <w:tc>
          <w:tcPr>
            <w:tcW w:w="240" w:type="dxa"/>
            <w:vAlign w:val="top"/>
          </w:tcPr>
          <w:p w14:paraId="685A0F48">
            <w:pPr>
              <w:rPr>
                <w:rFonts w:ascii="Arial"/>
                <w:sz w:val="21"/>
              </w:rPr>
            </w:pPr>
          </w:p>
        </w:tc>
        <w:tc>
          <w:tcPr>
            <w:tcW w:w="214" w:type="dxa"/>
            <w:vAlign w:val="top"/>
          </w:tcPr>
          <w:p w14:paraId="363F7A5D">
            <w:pPr>
              <w:rPr>
                <w:rFonts w:ascii="Arial"/>
                <w:sz w:val="21"/>
              </w:rPr>
            </w:pPr>
          </w:p>
        </w:tc>
      </w:tr>
      <w:tr w14:paraId="35B651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trPr>
        <w:tc>
          <w:tcPr>
            <w:tcW w:w="873" w:type="dxa"/>
            <w:vMerge w:val="continue"/>
            <w:tcBorders>
              <w:top w:val="nil"/>
              <w:bottom w:val="nil"/>
            </w:tcBorders>
            <w:vAlign w:val="top"/>
          </w:tcPr>
          <w:p w14:paraId="137F5110">
            <w:pPr>
              <w:rPr>
                <w:rFonts w:ascii="Arial"/>
                <w:sz w:val="21"/>
              </w:rPr>
            </w:pPr>
          </w:p>
        </w:tc>
        <w:tc>
          <w:tcPr>
            <w:tcW w:w="2334" w:type="dxa"/>
            <w:vMerge w:val="continue"/>
            <w:tcBorders>
              <w:top w:val="nil"/>
              <w:bottom w:val="nil"/>
            </w:tcBorders>
            <w:vAlign w:val="top"/>
          </w:tcPr>
          <w:p w14:paraId="1B14C48D">
            <w:pPr>
              <w:rPr>
                <w:rFonts w:ascii="Arial"/>
                <w:sz w:val="21"/>
              </w:rPr>
            </w:pPr>
          </w:p>
        </w:tc>
        <w:tc>
          <w:tcPr>
            <w:tcW w:w="210" w:type="dxa"/>
            <w:vAlign w:val="top"/>
          </w:tcPr>
          <w:p w14:paraId="2C34D7D0">
            <w:pPr>
              <w:rPr>
                <w:rFonts w:ascii="Arial"/>
                <w:sz w:val="21"/>
              </w:rPr>
            </w:pPr>
          </w:p>
        </w:tc>
        <w:tc>
          <w:tcPr>
            <w:tcW w:w="229" w:type="dxa"/>
            <w:vAlign w:val="top"/>
          </w:tcPr>
          <w:p w14:paraId="6CB840C7">
            <w:pPr>
              <w:rPr>
                <w:rFonts w:ascii="Arial"/>
                <w:sz w:val="21"/>
              </w:rPr>
            </w:pPr>
          </w:p>
        </w:tc>
        <w:tc>
          <w:tcPr>
            <w:tcW w:w="240" w:type="dxa"/>
            <w:vAlign w:val="top"/>
          </w:tcPr>
          <w:p w14:paraId="2DB38008">
            <w:pPr>
              <w:rPr>
                <w:rFonts w:ascii="Arial"/>
                <w:sz w:val="21"/>
              </w:rPr>
            </w:pPr>
          </w:p>
        </w:tc>
        <w:tc>
          <w:tcPr>
            <w:tcW w:w="214" w:type="dxa"/>
            <w:vAlign w:val="top"/>
          </w:tcPr>
          <w:p w14:paraId="54F5A500">
            <w:pPr>
              <w:rPr>
                <w:rFonts w:ascii="Arial"/>
                <w:sz w:val="21"/>
              </w:rPr>
            </w:pPr>
          </w:p>
        </w:tc>
      </w:tr>
      <w:tr w14:paraId="32738B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0" w:hRule="atLeast"/>
        </w:trPr>
        <w:tc>
          <w:tcPr>
            <w:tcW w:w="873" w:type="dxa"/>
            <w:vMerge w:val="continue"/>
            <w:tcBorders>
              <w:top w:val="nil"/>
              <w:bottom w:val="nil"/>
            </w:tcBorders>
            <w:vAlign w:val="top"/>
          </w:tcPr>
          <w:p w14:paraId="4398DCEC">
            <w:pPr>
              <w:rPr>
                <w:rFonts w:ascii="Arial"/>
                <w:sz w:val="21"/>
              </w:rPr>
            </w:pPr>
          </w:p>
        </w:tc>
        <w:tc>
          <w:tcPr>
            <w:tcW w:w="2334" w:type="dxa"/>
            <w:vMerge w:val="continue"/>
            <w:tcBorders>
              <w:top w:val="nil"/>
              <w:bottom w:val="nil"/>
            </w:tcBorders>
            <w:vAlign w:val="top"/>
          </w:tcPr>
          <w:p w14:paraId="3331B901">
            <w:pPr>
              <w:rPr>
                <w:rFonts w:ascii="Arial"/>
                <w:sz w:val="21"/>
              </w:rPr>
            </w:pPr>
          </w:p>
        </w:tc>
        <w:tc>
          <w:tcPr>
            <w:tcW w:w="210" w:type="dxa"/>
            <w:vAlign w:val="top"/>
          </w:tcPr>
          <w:p w14:paraId="1480761A">
            <w:pPr>
              <w:rPr>
                <w:rFonts w:ascii="Arial"/>
                <w:sz w:val="21"/>
              </w:rPr>
            </w:pPr>
          </w:p>
        </w:tc>
        <w:tc>
          <w:tcPr>
            <w:tcW w:w="229" w:type="dxa"/>
            <w:vAlign w:val="top"/>
          </w:tcPr>
          <w:p w14:paraId="5DEC6CDC">
            <w:pPr>
              <w:rPr>
                <w:rFonts w:ascii="Arial"/>
                <w:sz w:val="21"/>
              </w:rPr>
            </w:pPr>
          </w:p>
        </w:tc>
        <w:tc>
          <w:tcPr>
            <w:tcW w:w="240" w:type="dxa"/>
            <w:vAlign w:val="top"/>
          </w:tcPr>
          <w:p w14:paraId="0D6856CE">
            <w:pPr>
              <w:rPr>
                <w:rFonts w:ascii="Arial"/>
                <w:sz w:val="21"/>
              </w:rPr>
            </w:pPr>
          </w:p>
        </w:tc>
        <w:tc>
          <w:tcPr>
            <w:tcW w:w="214" w:type="dxa"/>
            <w:vAlign w:val="top"/>
          </w:tcPr>
          <w:p w14:paraId="203F30FD">
            <w:pPr>
              <w:rPr>
                <w:rFonts w:ascii="Arial"/>
                <w:sz w:val="21"/>
              </w:rPr>
            </w:pPr>
          </w:p>
        </w:tc>
      </w:tr>
      <w:tr w14:paraId="060F10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9" w:hRule="atLeast"/>
        </w:trPr>
        <w:tc>
          <w:tcPr>
            <w:tcW w:w="873" w:type="dxa"/>
            <w:vMerge w:val="continue"/>
            <w:tcBorders>
              <w:top w:val="nil"/>
              <w:bottom w:val="nil"/>
            </w:tcBorders>
            <w:vAlign w:val="top"/>
          </w:tcPr>
          <w:p w14:paraId="6B2D025B">
            <w:pPr>
              <w:rPr>
                <w:rFonts w:ascii="Arial"/>
                <w:sz w:val="21"/>
              </w:rPr>
            </w:pPr>
          </w:p>
        </w:tc>
        <w:tc>
          <w:tcPr>
            <w:tcW w:w="2334" w:type="dxa"/>
            <w:vMerge w:val="continue"/>
            <w:tcBorders>
              <w:top w:val="nil"/>
              <w:bottom w:val="nil"/>
            </w:tcBorders>
            <w:vAlign w:val="top"/>
          </w:tcPr>
          <w:p w14:paraId="3DD9326E">
            <w:pPr>
              <w:rPr>
                <w:rFonts w:ascii="Arial"/>
                <w:sz w:val="21"/>
              </w:rPr>
            </w:pPr>
          </w:p>
        </w:tc>
        <w:tc>
          <w:tcPr>
            <w:tcW w:w="210" w:type="dxa"/>
            <w:vAlign w:val="top"/>
          </w:tcPr>
          <w:p w14:paraId="7BA481BD">
            <w:pPr>
              <w:rPr>
                <w:rFonts w:ascii="Arial"/>
                <w:sz w:val="21"/>
              </w:rPr>
            </w:pPr>
          </w:p>
        </w:tc>
        <w:tc>
          <w:tcPr>
            <w:tcW w:w="229" w:type="dxa"/>
            <w:vAlign w:val="top"/>
          </w:tcPr>
          <w:p w14:paraId="1F5465C7">
            <w:pPr>
              <w:rPr>
                <w:rFonts w:ascii="Arial"/>
                <w:sz w:val="21"/>
              </w:rPr>
            </w:pPr>
          </w:p>
        </w:tc>
        <w:tc>
          <w:tcPr>
            <w:tcW w:w="240" w:type="dxa"/>
            <w:vAlign w:val="top"/>
          </w:tcPr>
          <w:p w14:paraId="391F933E">
            <w:pPr>
              <w:rPr>
                <w:rFonts w:ascii="Arial"/>
                <w:sz w:val="21"/>
              </w:rPr>
            </w:pPr>
          </w:p>
        </w:tc>
        <w:tc>
          <w:tcPr>
            <w:tcW w:w="214" w:type="dxa"/>
            <w:vAlign w:val="top"/>
          </w:tcPr>
          <w:p w14:paraId="5938AD80">
            <w:pPr>
              <w:rPr>
                <w:rFonts w:ascii="Arial"/>
                <w:sz w:val="21"/>
              </w:rPr>
            </w:pPr>
          </w:p>
        </w:tc>
      </w:tr>
      <w:tr w14:paraId="63843F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 w:hRule="atLeast"/>
        </w:trPr>
        <w:tc>
          <w:tcPr>
            <w:tcW w:w="873" w:type="dxa"/>
            <w:vMerge w:val="continue"/>
            <w:tcBorders>
              <w:top w:val="nil"/>
            </w:tcBorders>
            <w:vAlign w:val="top"/>
          </w:tcPr>
          <w:p w14:paraId="4F4B297E">
            <w:pPr>
              <w:rPr>
                <w:rFonts w:ascii="Arial"/>
                <w:sz w:val="21"/>
              </w:rPr>
            </w:pPr>
          </w:p>
        </w:tc>
        <w:tc>
          <w:tcPr>
            <w:tcW w:w="2334" w:type="dxa"/>
            <w:vMerge w:val="continue"/>
            <w:tcBorders>
              <w:top w:val="nil"/>
            </w:tcBorders>
            <w:vAlign w:val="top"/>
          </w:tcPr>
          <w:p w14:paraId="5936EE01">
            <w:pPr>
              <w:rPr>
                <w:rFonts w:ascii="Arial"/>
                <w:sz w:val="21"/>
              </w:rPr>
            </w:pPr>
          </w:p>
        </w:tc>
        <w:tc>
          <w:tcPr>
            <w:tcW w:w="210" w:type="dxa"/>
            <w:vAlign w:val="top"/>
          </w:tcPr>
          <w:p w14:paraId="6CB6CE92">
            <w:pPr>
              <w:rPr>
                <w:rFonts w:ascii="Arial"/>
                <w:sz w:val="21"/>
              </w:rPr>
            </w:pPr>
          </w:p>
        </w:tc>
        <w:tc>
          <w:tcPr>
            <w:tcW w:w="229" w:type="dxa"/>
            <w:vAlign w:val="top"/>
          </w:tcPr>
          <w:p w14:paraId="2ABD296F">
            <w:pPr>
              <w:rPr>
                <w:rFonts w:ascii="Arial"/>
                <w:sz w:val="21"/>
              </w:rPr>
            </w:pPr>
          </w:p>
        </w:tc>
        <w:tc>
          <w:tcPr>
            <w:tcW w:w="240" w:type="dxa"/>
            <w:vAlign w:val="top"/>
          </w:tcPr>
          <w:p w14:paraId="1F50CEE0">
            <w:pPr>
              <w:rPr>
                <w:rFonts w:ascii="Arial"/>
                <w:sz w:val="21"/>
              </w:rPr>
            </w:pPr>
          </w:p>
        </w:tc>
        <w:tc>
          <w:tcPr>
            <w:tcW w:w="214" w:type="dxa"/>
            <w:vAlign w:val="top"/>
          </w:tcPr>
          <w:p w14:paraId="102BAB26">
            <w:pPr>
              <w:rPr>
                <w:rFonts w:ascii="Arial"/>
                <w:sz w:val="21"/>
              </w:rPr>
            </w:pPr>
          </w:p>
        </w:tc>
      </w:tr>
      <w:tr w14:paraId="316910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9" w:hRule="atLeast"/>
        </w:trPr>
        <w:tc>
          <w:tcPr>
            <w:tcW w:w="873" w:type="dxa"/>
            <w:vMerge w:val="restart"/>
            <w:tcBorders>
              <w:bottom w:val="nil"/>
            </w:tcBorders>
            <w:vAlign w:val="top"/>
          </w:tcPr>
          <w:p w14:paraId="60C41E81">
            <w:pPr>
              <w:spacing w:line="285" w:lineRule="auto"/>
              <w:rPr>
                <w:rFonts w:ascii="Arial"/>
                <w:sz w:val="21"/>
              </w:rPr>
            </w:pPr>
          </w:p>
          <w:p w14:paraId="40A4854A">
            <w:pPr>
              <w:spacing w:line="285" w:lineRule="auto"/>
              <w:rPr>
                <w:rFonts w:ascii="Arial"/>
                <w:sz w:val="21"/>
              </w:rPr>
            </w:pPr>
          </w:p>
          <w:p w14:paraId="06A03857">
            <w:pPr>
              <w:pStyle w:val="6"/>
              <w:spacing w:before="58" w:line="235" w:lineRule="auto"/>
              <w:ind w:left="15" w:right="68" w:firstLine="49"/>
              <w:rPr>
                <w:sz w:val="18"/>
                <w:szCs w:val="18"/>
              </w:rPr>
            </w:pPr>
            <w:r>
              <w:rPr>
                <w:spacing w:val="2"/>
                <w:sz w:val="18"/>
                <w:szCs w:val="18"/>
              </w:rPr>
              <w:t>四肢骨及</w:t>
            </w:r>
            <w:r>
              <w:rPr>
                <w:sz w:val="18"/>
                <w:szCs w:val="18"/>
              </w:rPr>
              <w:t xml:space="preserve"> </w:t>
            </w:r>
            <w:r>
              <w:rPr>
                <w:spacing w:val="-2"/>
                <w:sz w:val="18"/>
                <w:szCs w:val="18"/>
              </w:rPr>
              <w:t>其连结</w:t>
            </w:r>
          </w:p>
        </w:tc>
        <w:tc>
          <w:tcPr>
            <w:tcW w:w="2334" w:type="dxa"/>
            <w:vMerge w:val="restart"/>
            <w:tcBorders>
              <w:bottom w:val="nil"/>
            </w:tcBorders>
            <w:vAlign w:val="top"/>
          </w:tcPr>
          <w:p w14:paraId="7BDC8AB8">
            <w:pPr>
              <w:pStyle w:val="6"/>
              <w:spacing w:before="93" w:line="224" w:lineRule="auto"/>
              <w:ind w:left="12"/>
              <w:rPr>
                <w:sz w:val="18"/>
                <w:szCs w:val="18"/>
              </w:rPr>
            </w:pPr>
            <w:r>
              <w:rPr>
                <w:spacing w:val="-6"/>
                <w:sz w:val="18"/>
                <w:szCs w:val="18"/>
              </w:rPr>
              <w:t>1.上、下肢骨的名称和位置</w:t>
            </w:r>
            <w:r>
              <w:rPr>
                <w:spacing w:val="1"/>
                <w:sz w:val="18"/>
                <w:szCs w:val="18"/>
              </w:rPr>
              <w:t xml:space="preserve">   </w:t>
            </w:r>
            <w:r>
              <w:rPr>
                <w:spacing w:val="-3"/>
                <w:sz w:val="18"/>
                <w:szCs w:val="18"/>
              </w:rPr>
              <w:t>2.肩关节、肘关节、髋关节、</w:t>
            </w:r>
            <w:r>
              <w:rPr>
                <w:spacing w:val="12"/>
                <w:sz w:val="18"/>
                <w:szCs w:val="18"/>
              </w:rPr>
              <w:t xml:space="preserve"> </w:t>
            </w:r>
            <w:r>
              <w:rPr>
                <w:spacing w:val="-6"/>
                <w:sz w:val="18"/>
                <w:szCs w:val="18"/>
              </w:rPr>
              <w:t>膝关节的组成、结构特点和</w:t>
            </w:r>
            <w:r>
              <w:rPr>
                <w:spacing w:val="1"/>
                <w:sz w:val="18"/>
                <w:szCs w:val="18"/>
              </w:rPr>
              <w:t xml:space="preserve">   </w:t>
            </w:r>
            <w:r>
              <w:rPr>
                <w:spacing w:val="-5"/>
                <w:sz w:val="18"/>
                <w:szCs w:val="18"/>
              </w:rPr>
              <w:t>运动</w:t>
            </w:r>
          </w:p>
          <w:p w14:paraId="0EAA9EA9">
            <w:pPr>
              <w:pStyle w:val="6"/>
              <w:spacing w:before="5" w:line="212" w:lineRule="auto"/>
              <w:ind w:left="12" w:right="137"/>
              <w:rPr>
                <w:sz w:val="18"/>
                <w:szCs w:val="18"/>
              </w:rPr>
            </w:pPr>
            <w:r>
              <w:rPr>
                <w:spacing w:val="1"/>
                <w:sz w:val="18"/>
                <w:szCs w:val="18"/>
              </w:rPr>
              <w:t>3.骨盆的组成、分部和性别</w:t>
            </w:r>
            <w:r>
              <w:rPr>
                <w:sz w:val="18"/>
                <w:szCs w:val="18"/>
              </w:rPr>
              <w:t xml:space="preserve"> </w:t>
            </w:r>
            <w:r>
              <w:rPr>
                <w:spacing w:val="5"/>
                <w:sz w:val="18"/>
                <w:szCs w:val="18"/>
              </w:rPr>
              <w:t>差异</w:t>
            </w:r>
          </w:p>
          <w:p w14:paraId="7FC6074E">
            <w:pPr>
              <w:pStyle w:val="6"/>
              <w:spacing w:before="46" w:line="200" w:lineRule="auto"/>
              <w:ind w:left="12"/>
              <w:rPr>
                <w:sz w:val="18"/>
                <w:szCs w:val="18"/>
              </w:rPr>
            </w:pPr>
            <w:r>
              <w:rPr>
                <w:spacing w:val="-1"/>
                <w:sz w:val="18"/>
                <w:szCs w:val="18"/>
              </w:rPr>
              <w:t>4.四肢骨的骨性标志</w:t>
            </w:r>
          </w:p>
        </w:tc>
        <w:tc>
          <w:tcPr>
            <w:tcW w:w="210" w:type="dxa"/>
            <w:vAlign w:val="top"/>
          </w:tcPr>
          <w:p w14:paraId="387D6636">
            <w:pPr>
              <w:rPr>
                <w:rFonts w:ascii="Arial"/>
                <w:sz w:val="21"/>
              </w:rPr>
            </w:pPr>
          </w:p>
        </w:tc>
        <w:tc>
          <w:tcPr>
            <w:tcW w:w="229" w:type="dxa"/>
            <w:vAlign w:val="top"/>
          </w:tcPr>
          <w:p w14:paraId="3900084E">
            <w:pPr>
              <w:rPr>
                <w:rFonts w:ascii="Arial"/>
                <w:sz w:val="21"/>
              </w:rPr>
            </w:pPr>
          </w:p>
        </w:tc>
        <w:tc>
          <w:tcPr>
            <w:tcW w:w="240" w:type="dxa"/>
            <w:vAlign w:val="top"/>
          </w:tcPr>
          <w:p w14:paraId="7F63B522">
            <w:pPr>
              <w:rPr>
                <w:rFonts w:ascii="Arial"/>
                <w:sz w:val="21"/>
              </w:rPr>
            </w:pPr>
          </w:p>
        </w:tc>
        <w:tc>
          <w:tcPr>
            <w:tcW w:w="214" w:type="dxa"/>
            <w:vAlign w:val="top"/>
          </w:tcPr>
          <w:p w14:paraId="0BD0262D">
            <w:pPr>
              <w:rPr>
                <w:rFonts w:ascii="Arial"/>
                <w:sz w:val="21"/>
              </w:rPr>
            </w:pPr>
          </w:p>
        </w:tc>
      </w:tr>
      <w:tr w14:paraId="147231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9" w:hRule="atLeast"/>
        </w:trPr>
        <w:tc>
          <w:tcPr>
            <w:tcW w:w="873" w:type="dxa"/>
            <w:vMerge w:val="continue"/>
            <w:tcBorders>
              <w:top w:val="nil"/>
              <w:bottom w:val="nil"/>
            </w:tcBorders>
            <w:vAlign w:val="top"/>
          </w:tcPr>
          <w:p w14:paraId="53FA2C51">
            <w:pPr>
              <w:rPr>
                <w:rFonts w:ascii="Arial"/>
                <w:sz w:val="21"/>
              </w:rPr>
            </w:pPr>
          </w:p>
        </w:tc>
        <w:tc>
          <w:tcPr>
            <w:tcW w:w="2334" w:type="dxa"/>
            <w:vMerge w:val="continue"/>
            <w:tcBorders>
              <w:top w:val="nil"/>
              <w:bottom w:val="nil"/>
            </w:tcBorders>
            <w:vAlign w:val="top"/>
          </w:tcPr>
          <w:p w14:paraId="0DB9D404">
            <w:pPr>
              <w:rPr>
                <w:rFonts w:ascii="Arial"/>
                <w:sz w:val="21"/>
              </w:rPr>
            </w:pPr>
          </w:p>
        </w:tc>
        <w:tc>
          <w:tcPr>
            <w:tcW w:w="210" w:type="dxa"/>
            <w:vAlign w:val="top"/>
          </w:tcPr>
          <w:p w14:paraId="10ADC8F3">
            <w:pPr>
              <w:rPr>
                <w:rFonts w:ascii="Arial"/>
                <w:sz w:val="21"/>
              </w:rPr>
            </w:pPr>
          </w:p>
        </w:tc>
        <w:tc>
          <w:tcPr>
            <w:tcW w:w="229" w:type="dxa"/>
            <w:vAlign w:val="top"/>
          </w:tcPr>
          <w:p w14:paraId="60C98B37">
            <w:pPr>
              <w:rPr>
                <w:rFonts w:ascii="Arial"/>
                <w:sz w:val="21"/>
              </w:rPr>
            </w:pPr>
          </w:p>
        </w:tc>
        <w:tc>
          <w:tcPr>
            <w:tcW w:w="240" w:type="dxa"/>
            <w:vAlign w:val="top"/>
          </w:tcPr>
          <w:p w14:paraId="5A40E5E8">
            <w:pPr>
              <w:pStyle w:val="6"/>
              <w:spacing w:before="204" w:line="238" w:lineRule="auto"/>
              <w:ind w:left="48"/>
              <w:rPr>
                <w:sz w:val="13"/>
                <w:szCs w:val="13"/>
              </w:rPr>
            </w:pPr>
            <w:r>
              <w:rPr>
                <w:sz w:val="13"/>
                <w:szCs w:val="13"/>
              </w:rPr>
              <w:t>√</w:t>
            </w:r>
          </w:p>
        </w:tc>
        <w:tc>
          <w:tcPr>
            <w:tcW w:w="214" w:type="dxa"/>
            <w:vAlign w:val="top"/>
          </w:tcPr>
          <w:p w14:paraId="71796E22">
            <w:pPr>
              <w:rPr>
                <w:rFonts w:ascii="Arial"/>
                <w:sz w:val="21"/>
              </w:rPr>
            </w:pPr>
          </w:p>
        </w:tc>
      </w:tr>
      <w:tr w14:paraId="7071DB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9" w:hRule="atLeast"/>
        </w:trPr>
        <w:tc>
          <w:tcPr>
            <w:tcW w:w="873" w:type="dxa"/>
            <w:vMerge w:val="continue"/>
            <w:tcBorders>
              <w:top w:val="nil"/>
              <w:bottom w:val="nil"/>
            </w:tcBorders>
            <w:vAlign w:val="top"/>
          </w:tcPr>
          <w:p w14:paraId="1B9E5867">
            <w:pPr>
              <w:rPr>
                <w:rFonts w:ascii="Arial"/>
                <w:sz w:val="21"/>
              </w:rPr>
            </w:pPr>
          </w:p>
        </w:tc>
        <w:tc>
          <w:tcPr>
            <w:tcW w:w="2334" w:type="dxa"/>
            <w:vMerge w:val="continue"/>
            <w:tcBorders>
              <w:top w:val="nil"/>
              <w:bottom w:val="nil"/>
            </w:tcBorders>
            <w:vAlign w:val="top"/>
          </w:tcPr>
          <w:p w14:paraId="67A96FB5">
            <w:pPr>
              <w:rPr>
                <w:rFonts w:ascii="Arial"/>
                <w:sz w:val="21"/>
              </w:rPr>
            </w:pPr>
          </w:p>
        </w:tc>
        <w:tc>
          <w:tcPr>
            <w:tcW w:w="210" w:type="dxa"/>
            <w:vAlign w:val="top"/>
          </w:tcPr>
          <w:p w14:paraId="49209C11">
            <w:pPr>
              <w:rPr>
                <w:rFonts w:ascii="Arial"/>
                <w:sz w:val="21"/>
              </w:rPr>
            </w:pPr>
          </w:p>
        </w:tc>
        <w:tc>
          <w:tcPr>
            <w:tcW w:w="229" w:type="dxa"/>
            <w:vAlign w:val="top"/>
          </w:tcPr>
          <w:p w14:paraId="42082720">
            <w:pPr>
              <w:pStyle w:val="6"/>
              <w:spacing w:before="205" w:line="238" w:lineRule="auto"/>
              <w:ind w:left="48"/>
              <w:rPr>
                <w:sz w:val="13"/>
                <w:szCs w:val="13"/>
              </w:rPr>
            </w:pPr>
            <w:r>
              <w:rPr>
                <w:sz w:val="13"/>
                <w:szCs w:val="13"/>
              </w:rPr>
              <w:t>√</w:t>
            </w:r>
          </w:p>
        </w:tc>
        <w:tc>
          <w:tcPr>
            <w:tcW w:w="240" w:type="dxa"/>
            <w:vAlign w:val="top"/>
          </w:tcPr>
          <w:p w14:paraId="3362C489">
            <w:pPr>
              <w:rPr>
                <w:rFonts w:ascii="Arial"/>
                <w:sz w:val="21"/>
              </w:rPr>
            </w:pPr>
          </w:p>
        </w:tc>
        <w:tc>
          <w:tcPr>
            <w:tcW w:w="214" w:type="dxa"/>
            <w:vAlign w:val="top"/>
          </w:tcPr>
          <w:p w14:paraId="7A5E0EA3">
            <w:pPr>
              <w:rPr>
                <w:rFonts w:ascii="Arial"/>
                <w:sz w:val="21"/>
              </w:rPr>
            </w:pPr>
          </w:p>
        </w:tc>
      </w:tr>
      <w:tr w14:paraId="402BC8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0" w:hRule="atLeast"/>
        </w:trPr>
        <w:tc>
          <w:tcPr>
            <w:tcW w:w="873" w:type="dxa"/>
            <w:vMerge w:val="continue"/>
            <w:tcBorders>
              <w:top w:val="nil"/>
            </w:tcBorders>
            <w:vAlign w:val="top"/>
          </w:tcPr>
          <w:p w14:paraId="3D712A88">
            <w:pPr>
              <w:rPr>
                <w:rFonts w:ascii="Arial"/>
                <w:sz w:val="21"/>
              </w:rPr>
            </w:pPr>
          </w:p>
        </w:tc>
        <w:tc>
          <w:tcPr>
            <w:tcW w:w="2334" w:type="dxa"/>
            <w:vMerge w:val="continue"/>
            <w:tcBorders>
              <w:top w:val="nil"/>
            </w:tcBorders>
            <w:vAlign w:val="top"/>
          </w:tcPr>
          <w:p w14:paraId="66B3A056">
            <w:pPr>
              <w:rPr>
                <w:rFonts w:ascii="Arial"/>
                <w:sz w:val="21"/>
              </w:rPr>
            </w:pPr>
          </w:p>
        </w:tc>
        <w:tc>
          <w:tcPr>
            <w:tcW w:w="210" w:type="dxa"/>
            <w:vAlign w:val="top"/>
          </w:tcPr>
          <w:p w14:paraId="79DE6758">
            <w:pPr>
              <w:spacing w:line="210" w:lineRule="exact"/>
              <w:rPr>
                <w:rFonts w:ascii="Arial"/>
                <w:sz w:val="18"/>
              </w:rPr>
            </w:pPr>
          </w:p>
        </w:tc>
        <w:tc>
          <w:tcPr>
            <w:tcW w:w="229" w:type="dxa"/>
            <w:vAlign w:val="top"/>
          </w:tcPr>
          <w:p w14:paraId="3014AF5F">
            <w:pPr>
              <w:spacing w:line="210" w:lineRule="exact"/>
              <w:rPr>
                <w:rFonts w:ascii="Arial"/>
                <w:sz w:val="18"/>
              </w:rPr>
            </w:pPr>
          </w:p>
        </w:tc>
        <w:tc>
          <w:tcPr>
            <w:tcW w:w="240" w:type="dxa"/>
            <w:vAlign w:val="top"/>
          </w:tcPr>
          <w:p w14:paraId="273AACC2">
            <w:pPr>
              <w:spacing w:line="210" w:lineRule="exact"/>
              <w:rPr>
                <w:rFonts w:ascii="Arial"/>
                <w:sz w:val="18"/>
              </w:rPr>
            </w:pPr>
          </w:p>
        </w:tc>
        <w:tc>
          <w:tcPr>
            <w:tcW w:w="214" w:type="dxa"/>
            <w:vAlign w:val="top"/>
          </w:tcPr>
          <w:p w14:paraId="223B1D85">
            <w:pPr>
              <w:pStyle w:val="6"/>
              <w:spacing w:before="73" w:line="136" w:lineRule="exact"/>
              <w:ind w:left="58"/>
              <w:rPr>
                <w:sz w:val="18"/>
                <w:szCs w:val="18"/>
              </w:rPr>
            </w:pPr>
            <w:r>
              <w:rPr>
                <w:position w:val="-2"/>
                <w:sz w:val="18"/>
                <w:szCs w:val="18"/>
              </w:rPr>
              <w:t>V</w:t>
            </w:r>
          </w:p>
        </w:tc>
      </w:tr>
      <w:tr w14:paraId="3C4931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0" w:hRule="atLeast"/>
        </w:trPr>
        <w:tc>
          <w:tcPr>
            <w:tcW w:w="873" w:type="dxa"/>
            <w:vAlign w:val="top"/>
          </w:tcPr>
          <w:p w14:paraId="7C36BAC0">
            <w:pPr>
              <w:pStyle w:val="6"/>
              <w:spacing w:before="85" w:line="219" w:lineRule="auto"/>
              <w:ind w:left="15"/>
              <w:rPr>
                <w:sz w:val="18"/>
                <w:szCs w:val="18"/>
              </w:rPr>
            </w:pPr>
            <w:r>
              <w:rPr>
                <w:spacing w:val="-2"/>
                <w:sz w:val="18"/>
                <w:szCs w:val="18"/>
              </w:rPr>
              <w:t>肌的概述</w:t>
            </w:r>
          </w:p>
        </w:tc>
        <w:tc>
          <w:tcPr>
            <w:tcW w:w="2334" w:type="dxa"/>
            <w:vAlign w:val="top"/>
          </w:tcPr>
          <w:p w14:paraId="219812F8">
            <w:pPr>
              <w:pStyle w:val="6"/>
              <w:spacing w:before="85" w:line="219" w:lineRule="auto"/>
              <w:ind w:left="12"/>
              <w:rPr>
                <w:sz w:val="18"/>
                <w:szCs w:val="18"/>
              </w:rPr>
            </w:pPr>
            <w:r>
              <w:rPr>
                <w:spacing w:val="-1"/>
                <w:sz w:val="18"/>
                <w:szCs w:val="18"/>
              </w:rPr>
              <w:t>肌的分类和肌的辅助结构</w:t>
            </w:r>
          </w:p>
        </w:tc>
        <w:tc>
          <w:tcPr>
            <w:tcW w:w="210" w:type="dxa"/>
            <w:vAlign w:val="top"/>
          </w:tcPr>
          <w:p w14:paraId="6EF7275F">
            <w:pPr>
              <w:pStyle w:val="6"/>
              <w:spacing w:before="116" w:line="238" w:lineRule="auto"/>
              <w:ind w:left="38"/>
              <w:rPr>
                <w:sz w:val="13"/>
                <w:szCs w:val="13"/>
              </w:rPr>
            </w:pPr>
            <w:r>
              <w:rPr>
                <w:sz w:val="13"/>
                <w:szCs w:val="13"/>
              </w:rPr>
              <w:t>√</w:t>
            </w:r>
          </w:p>
        </w:tc>
        <w:tc>
          <w:tcPr>
            <w:tcW w:w="229" w:type="dxa"/>
            <w:vAlign w:val="top"/>
          </w:tcPr>
          <w:p w14:paraId="735B00D6">
            <w:pPr>
              <w:rPr>
                <w:rFonts w:ascii="Arial"/>
                <w:sz w:val="21"/>
              </w:rPr>
            </w:pPr>
          </w:p>
        </w:tc>
        <w:tc>
          <w:tcPr>
            <w:tcW w:w="240" w:type="dxa"/>
            <w:vAlign w:val="top"/>
          </w:tcPr>
          <w:p w14:paraId="306FE188">
            <w:pPr>
              <w:rPr>
                <w:rFonts w:ascii="Arial"/>
                <w:sz w:val="21"/>
              </w:rPr>
            </w:pPr>
          </w:p>
        </w:tc>
        <w:tc>
          <w:tcPr>
            <w:tcW w:w="214" w:type="dxa"/>
            <w:vAlign w:val="top"/>
          </w:tcPr>
          <w:p w14:paraId="2EA429FC">
            <w:pPr>
              <w:rPr>
                <w:rFonts w:ascii="Arial"/>
                <w:sz w:val="21"/>
              </w:rPr>
            </w:pPr>
          </w:p>
        </w:tc>
      </w:tr>
      <w:tr w14:paraId="12047D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9" w:hRule="atLeast"/>
        </w:trPr>
        <w:tc>
          <w:tcPr>
            <w:tcW w:w="873" w:type="dxa"/>
            <w:vMerge w:val="restart"/>
            <w:tcBorders>
              <w:bottom w:val="nil"/>
            </w:tcBorders>
            <w:vAlign w:val="top"/>
          </w:tcPr>
          <w:p w14:paraId="5FF60488">
            <w:pPr>
              <w:spacing w:line="276" w:lineRule="auto"/>
              <w:rPr>
                <w:rFonts w:ascii="Arial"/>
                <w:sz w:val="21"/>
              </w:rPr>
            </w:pPr>
          </w:p>
          <w:p w14:paraId="7DEE1ACD">
            <w:pPr>
              <w:spacing w:line="277" w:lineRule="auto"/>
              <w:rPr>
                <w:rFonts w:ascii="Arial"/>
                <w:sz w:val="21"/>
              </w:rPr>
            </w:pPr>
          </w:p>
          <w:p w14:paraId="11B2E71B">
            <w:pPr>
              <w:spacing w:line="277" w:lineRule="auto"/>
              <w:rPr>
                <w:rFonts w:ascii="Arial"/>
                <w:sz w:val="21"/>
              </w:rPr>
            </w:pPr>
          </w:p>
          <w:p w14:paraId="78500BB9">
            <w:pPr>
              <w:pStyle w:val="6"/>
              <w:spacing w:before="59" w:line="219" w:lineRule="auto"/>
              <w:ind w:left="15"/>
              <w:rPr>
                <w:sz w:val="18"/>
                <w:szCs w:val="18"/>
              </w:rPr>
            </w:pPr>
            <w:r>
              <w:rPr>
                <w:spacing w:val="-2"/>
                <w:sz w:val="18"/>
                <w:szCs w:val="18"/>
              </w:rPr>
              <w:t>躯干肌</w:t>
            </w:r>
          </w:p>
        </w:tc>
        <w:tc>
          <w:tcPr>
            <w:tcW w:w="2334" w:type="dxa"/>
            <w:vMerge w:val="restart"/>
            <w:tcBorders>
              <w:bottom w:val="nil"/>
            </w:tcBorders>
            <w:vAlign w:val="top"/>
          </w:tcPr>
          <w:p w14:paraId="167DE5B9">
            <w:pPr>
              <w:pStyle w:val="6"/>
              <w:spacing w:before="45" w:line="224" w:lineRule="auto"/>
              <w:ind w:left="12" w:firstLine="29"/>
              <w:rPr>
                <w:sz w:val="18"/>
                <w:szCs w:val="18"/>
              </w:rPr>
            </w:pPr>
            <w:r>
              <w:rPr>
                <w:spacing w:val="-5"/>
                <w:sz w:val="18"/>
                <w:szCs w:val="18"/>
              </w:rPr>
              <w:t>1.躯干肌的分部及各肌的名称</w:t>
            </w:r>
            <w:r>
              <w:rPr>
                <w:spacing w:val="11"/>
                <w:sz w:val="18"/>
                <w:szCs w:val="18"/>
              </w:rPr>
              <w:t xml:space="preserve"> </w:t>
            </w:r>
            <w:r>
              <w:rPr>
                <w:sz w:val="18"/>
                <w:szCs w:val="18"/>
              </w:rPr>
              <w:t>2.胸锁乳突肌、斜方肌、背</w:t>
            </w:r>
            <w:r>
              <w:rPr>
                <w:spacing w:val="1"/>
                <w:sz w:val="18"/>
                <w:szCs w:val="18"/>
              </w:rPr>
              <w:t xml:space="preserve">  </w:t>
            </w:r>
            <w:r>
              <w:rPr>
                <w:sz w:val="18"/>
                <w:szCs w:val="18"/>
              </w:rPr>
              <w:t>阔肌、胸大肌和肋间肌的</w:t>
            </w:r>
          </w:p>
          <w:p w14:paraId="4FFA1824">
            <w:pPr>
              <w:pStyle w:val="6"/>
              <w:spacing w:before="5" w:line="220" w:lineRule="auto"/>
              <w:ind w:left="12"/>
              <w:rPr>
                <w:sz w:val="18"/>
                <w:szCs w:val="18"/>
              </w:rPr>
            </w:pPr>
            <w:r>
              <w:rPr>
                <w:spacing w:val="4"/>
                <w:sz w:val="18"/>
                <w:szCs w:val="18"/>
              </w:rPr>
              <w:t>位置和作用</w:t>
            </w:r>
          </w:p>
          <w:p w14:paraId="78208925">
            <w:pPr>
              <w:pStyle w:val="6"/>
              <w:spacing w:before="4" w:line="218" w:lineRule="auto"/>
              <w:ind w:left="12" w:right="137"/>
              <w:rPr>
                <w:sz w:val="18"/>
                <w:szCs w:val="18"/>
              </w:rPr>
            </w:pPr>
            <w:r>
              <w:rPr>
                <w:spacing w:val="1"/>
                <w:sz w:val="18"/>
                <w:szCs w:val="18"/>
              </w:rPr>
              <w:t>3.膈的位置、形态、结构和</w:t>
            </w:r>
            <w:r>
              <w:rPr>
                <w:sz w:val="18"/>
                <w:szCs w:val="18"/>
              </w:rPr>
              <w:t xml:space="preserve"> </w:t>
            </w:r>
            <w:r>
              <w:rPr>
                <w:spacing w:val="10"/>
                <w:sz w:val="18"/>
                <w:szCs w:val="18"/>
              </w:rPr>
              <w:t>作用</w:t>
            </w:r>
          </w:p>
          <w:p w14:paraId="4B04160B">
            <w:pPr>
              <w:pStyle w:val="6"/>
              <w:spacing w:before="15" w:line="205" w:lineRule="auto"/>
              <w:ind w:left="12" w:right="61"/>
              <w:rPr>
                <w:sz w:val="18"/>
                <w:szCs w:val="18"/>
              </w:rPr>
            </w:pPr>
            <w:r>
              <w:rPr>
                <w:spacing w:val="6"/>
                <w:sz w:val="18"/>
                <w:szCs w:val="18"/>
              </w:rPr>
              <w:t>4.腹前外侧壁各肌的名称、</w:t>
            </w:r>
            <w:r>
              <w:rPr>
                <w:spacing w:val="11"/>
                <w:sz w:val="18"/>
                <w:szCs w:val="18"/>
              </w:rPr>
              <w:t xml:space="preserve"> </w:t>
            </w:r>
            <w:r>
              <w:rPr>
                <w:spacing w:val="2"/>
                <w:sz w:val="18"/>
                <w:szCs w:val="18"/>
              </w:rPr>
              <w:t>位置和纤维方向</w:t>
            </w:r>
          </w:p>
          <w:p w14:paraId="7D513F87">
            <w:pPr>
              <w:pStyle w:val="6"/>
              <w:spacing w:line="187" w:lineRule="auto"/>
              <w:ind w:left="12"/>
              <w:rPr>
                <w:sz w:val="18"/>
                <w:szCs w:val="18"/>
              </w:rPr>
            </w:pPr>
            <w:r>
              <w:rPr>
                <w:spacing w:val="-1"/>
                <w:sz w:val="18"/>
                <w:szCs w:val="18"/>
              </w:rPr>
              <w:t>5.腹股沟管的位置和内容物</w:t>
            </w:r>
          </w:p>
        </w:tc>
        <w:tc>
          <w:tcPr>
            <w:tcW w:w="210" w:type="dxa"/>
            <w:vAlign w:val="top"/>
          </w:tcPr>
          <w:p w14:paraId="22B518F0">
            <w:pPr>
              <w:rPr>
                <w:rFonts w:ascii="Arial"/>
                <w:sz w:val="21"/>
              </w:rPr>
            </w:pPr>
          </w:p>
        </w:tc>
        <w:tc>
          <w:tcPr>
            <w:tcW w:w="229" w:type="dxa"/>
            <w:vAlign w:val="top"/>
          </w:tcPr>
          <w:p w14:paraId="5AC025E0">
            <w:pPr>
              <w:pStyle w:val="6"/>
              <w:spacing w:before="146" w:line="238" w:lineRule="auto"/>
              <w:ind w:left="48"/>
              <w:rPr>
                <w:sz w:val="13"/>
                <w:szCs w:val="13"/>
              </w:rPr>
            </w:pPr>
            <w:r>
              <w:rPr>
                <w:sz w:val="13"/>
                <w:szCs w:val="13"/>
              </w:rPr>
              <w:t>√</w:t>
            </w:r>
          </w:p>
        </w:tc>
        <w:tc>
          <w:tcPr>
            <w:tcW w:w="240" w:type="dxa"/>
            <w:vAlign w:val="top"/>
          </w:tcPr>
          <w:p w14:paraId="2FE2D954">
            <w:pPr>
              <w:rPr>
                <w:rFonts w:ascii="Arial"/>
                <w:sz w:val="21"/>
              </w:rPr>
            </w:pPr>
          </w:p>
        </w:tc>
        <w:tc>
          <w:tcPr>
            <w:tcW w:w="214" w:type="dxa"/>
            <w:vAlign w:val="top"/>
          </w:tcPr>
          <w:p w14:paraId="1463BB25">
            <w:pPr>
              <w:rPr>
                <w:rFonts w:ascii="Arial"/>
                <w:sz w:val="21"/>
              </w:rPr>
            </w:pPr>
          </w:p>
        </w:tc>
      </w:tr>
      <w:tr w14:paraId="771A48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39" w:hRule="atLeast"/>
        </w:trPr>
        <w:tc>
          <w:tcPr>
            <w:tcW w:w="873" w:type="dxa"/>
            <w:vMerge w:val="continue"/>
            <w:tcBorders>
              <w:top w:val="nil"/>
              <w:bottom w:val="nil"/>
            </w:tcBorders>
            <w:vAlign w:val="top"/>
          </w:tcPr>
          <w:p w14:paraId="64CE215F">
            <w:pPr>
              <w:rPr>
                <w:rFonts w:ascii="Arial"/>
                <w:sz w:val="21"/>
              </w:rPr>
            </w:pPr>
          </w:p>
        </w:tc>
        <w:tc>
          <w:tcPr>
            <w:tcW w:w="2334" w:type="dxa"/>
            <w:vMerge w:val="continue"/>
            <w:tcBorders>
              <w:top w:val="nil"/>
              <w:bottom w:val="nil"/>
            </w:tcBorders>
            <w:vAlign w:val="top"/>
          </w:tcPr>
          <w:p w14:paraId="343AF244">
            <w:pPr>
              <w:rPr>
                <w:rFonts w:ascii="Arial"/>
                <w:sz w:val="21"/>
              </w:rPr>
            </w:pPr>
          </w:p>
        </w:tc>
        <w:tc>
          <w:tcPr>
            <w:tcW w:w="210" w:type="dxa"/>
            <w:vAlign w:val="top"/>
          </w:tcPr>
          <w:p w14:paraId="5E4777AF">
            <w:pPr>
              <w:rPr>
                <w:rFonts w:ascii="Arial"/>
                <w:sz w:val="21"/>
              </w:rPr>
            </w:pPr>
          </w:p>
        </w:tc>
        <w:tc>
          <w:tcPr>
            <w:tcW w:w="229" w:type="dxa"/>
            <w:vAlign w:val="top"/>
          </w:tcPr>
          <w:p w14:paraId="24351B8F">
            <w:pPr>
              <w:spacing w:line="283" w:lineRule="auto"/>
              <w:rPr>
                <w:rFonts w:ascii="Arial"/>
                <w:sz w:val="21"/>
              </w:rPr>
            </w:pPr>
          </w:p>
          <w:p w14:paraId="7D3E8190">
            <w:pPr>
              <w:pStyle w:val="6"/>
              <w:spacing w:before="42" w:line="238" w:lineRule="auto"/>
              <w:ind w:left="48"/>
              <w:rPr>
                <w:sz w:val="13"/>
                <w:szCs w:val="13"/>
              </w:rPr>
            </w:pPr>
            <w:r>
              <w:rPr>
                <w:sz w:val="13"/>
                <w:szCs w:val="13"/>
              </w:rPr>
              <w:t>√</w:t>
            </w:r>
          </w:p>
        </w:tc>
        <w:tc>
          <w:tcPr>
            <w:tcW w:w="240" w:type="dxa"/>
            <w:vAlign w:val="top"/>
          </w:tcPr>
          <w:p w14:paraId="4EE9B338">
            <w:pPr>
              <w:rPr>
                <w:rFonts w:ascii="Arial"/>
                <w:sz w:val="21"/>
              </w:rPr>
            </w:pPr>
          </w:p>
        </w:tc>
        <w:tc>
          <w:tcPr>
            <w:tcW w:w="214" w:type="dxa"/>
            <w:vAlign w:val="top"/>
          </w:tcPr>
          <w:p w14:paraId="19252541">
            <w:pPr>
              <w:rPr>
                <w:rFonts w:ascii="Arial"/>
                <w:sz w:val="21"/>
              </w:rPr>
            </w:pPr>
          </w:p>
        </w:tc>
      </w:tr>
      <w:tr w14:paraId="1BED28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0" w:hRule="atLeast"/>
        </w:trPr>
        <w:tc>
          <w:tcPr>
            <w:tcW w:w="873" w:type="dxa"/>
            <w:vMerge w:val="continue"/>
            <w:tcBorders>
              <w:top w:val="nil"/>
              <w:bottom w:val="nil"/>
            </w:tcBorders>
            <w:vAlign w:val="top"/>
          </w:tcPr>
          <w:p w14:paraId="61EB9D8D">
            <w:pPr>
              <w:rPr>
                <w:rFonts w:ascii="Arial"/>
                <w:sz w:val="21"/>
              </w:rPr>
            </w:pPr>
          </w:p>
        </w:tc>
        <w:tc>
          <w:tcPr>
            <w:tcW w:w="2334" w:type="dxa"/>
            <w:vMerge w:val="continue"/>
            <w:tcBorders>
              <w:top w:val="nil"/>
              <w:bottom w:val="nil"/>
            </w:tcBorders>
            <w:vAlign w:val="top"/>
          </w:tcPr>
          <w:p w14:paraId="17DB1CE0">
            <w:pPr>
              <w:rPr>
                <w:rFonts w:ascii="Arial"/>
                <w:sz w:val="21"/>
              </w:rPr>
            </w:pPr>
          </w:p>
        </w:tc>
        <w:tc>
          <w:tcPr>
            <w:tcW w:w="210" w:type="dxa"/>
            <w:vAlign w:val="top"/>
          </w:tcPr>
          <w:p w14:paraId="6E9DB880">
            <w:pPr>
              <w:spacing w:line="190" w:lineRule="exact"/>
              <w:rPr>
                <w:rFonts w:ascii="Arial"/>
                <w:sz w:val="16"/>
              </w:rPr>
            </w:pPr>
          </w:p>
        </w:tc>
        <w:tc>
          <w:tcPr>
            <w:tcW w:w="229" w:type="dxa"/>
            <w:vAlign w:val="top"/>
          </w:tcPr>
          <w:p w14:paraId="6FA0FBB4">
            <w:pPr>
              <w:pStyle w:val="6"/>
              <w:spacing w:before="58" w:line="187" w:lineRule="auto"/>
              <w:ind w:left="48"/>
              <w:rPr>
                <w:sz w:val="13"/>
                <w:szCs w:val="13"/>
              </w:rPr>
            </w:pPr>
            <w:r>
              <w:rPr>
                <w:sz w:val="13"/>
                <w:szCs w:val="13"/>
              </w:rPr>
              <w:t>√</w:t>
            </w:r>
          </w:p>
        </w:tc>
        <w:tc>
          <w:tcPr>
            <w:tcW w:w="240" w:type="dxa"/>
            <w:vAlign w:val="top"/>
          </w:tcPr>
          <w:p w14:paraId="2A592A70">
            <w:pPr>
              <w:spacing w:line="190" w:lineRule="exact"/>
              <w:rPr>
                <w:rFonts w:ascii="Arial"/>
                <w:sz w:val="16"/>
              </w:rPr>
            </w:pPr>
          </w:p>
        </w:tc>
        <w:tc>
          <w:tcPr>
            <w:tcW w:w="214" w:type="dxa"/>
            <w:vAlign w:val="top"/>
          </w:tcPr>
          <w:p w14:paraId="77FFF17E">
            <w:pPr>
              <w:spacing w:line="190" w:lineRule="exact"/>
              <w:rPr>
                <w:rFonts w:ascii="Arial"/>
                <w:sz w:val="16"/>
              </w:rPr>
            </w:pPr>
          </w:p>
        </w:tc>
      </w:tr>
      <w:tr w14:paraId="1C2E88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0" w:hRule="atLeast"/>
        </w:trPr>
        <w:tc>
          <w:tcPr>
            <w:tcW w:w="873" w:type="dxa"/>
            <w:vMerge w:val="continue"/>
            <w:tcBorders>
              <w:top w:val="nil"/>
              <w:bottom w:val="nil"/>
            </w:tcBorders>
            <w:vAlign w:val="top"/>
          </w:tcPr>
          <w:p w14:paraId="7A9D09C8">
            <w:pPr>
              <w:rPr>
                <w:rFonts w:ascii="Arial"/>
                <w:sz w:val="21"/>
              </w:rPr>
            </w:pPr>
          </w:p>
        </w:tc>
        <w:tc>
          <w:tcPr>
            <w:tcW w:w="2334" w:type="dxa"/>
            <w:vMerge w:val="continue"/>
            <w:tcBorders>
              <w:top w:val="nil"/>
              <w:bottom w:val="nil"/>
            </w:tcBorders>
            <w:vAlign w:val="top"/>
          </w:tcPr>
          <w:p w14:paraId="03EDB559">
            <w:pPr>
              <w:rPr>
                <w:rFonts w:ascii="Arial"/>
                <w:sz w:val="21"/>
              </w:rPr>
            </w:pPr>
          </w:p>
        </w:tc>
        <w:tc>
          <w:tcPr>
            <w:tcW w:w="210" w:type="dxa"/>
            <w:vAlign w:val="top"/>
          </w:tcPr>
          <w:p w14:paraId="0F57F4E5">
            <w:pPr>
              <w:rPr>
                <w:rFonts w:ascii="Arial"/>
                <w:sz w:val="21"/>
              </w:rPr>
            </w:pPr>
          </w:p>
        </w:tc>
        <w:tc>
          <w:tcPr>
            <w:tcW w:w="229" w:type="dxa"/>
            <w:vAlign w:val="top"/>
          </w:tcPr>
          <w:p w14:paraId="36CB7707">
            <w:pPr>
              <w:pStyle w:val="6"/>
              <w:spacing w:before="139" w:line="182" w:lineRule="auto"/>
              <w:ind w:left="77"/>
              <w:rPr>
                <w:sz w:val="13"/>
                <w:szCs w:val="13"/>
              </w:rPr>
            </w:pPr>
            <w:r>
              <w:rPr>
                <w:sz w:val="13"/>
                <w:szCs w:val="13"/>
              </w:rPr>
              <w:t>V</w:t>
            </w:r>
          </w:p>
        </w:tc>
        <w:tc>
          <w:tcPr>
            <w:tcW w:w="240" w:type="dxa"/>
            <w:vAlign w:val="top"/>
          </w:tcPr>
          <w:p w14:paraId="57E36AD1">
            <w:pPr>
              <w:rPr>
                <w:rFonts w:ascii="Arial"/>
                <w:sz w:val="21"/>
              </w:rPr>
            </w:pPr>
          </w:p>
        </w:tc>
        <w:tc>
          <w:tcPr>
            <w:tcW w:w="214" w:type="dxa"/>
            <w:vAlign w:val="top"/>
          </w:tcPr>
          <w:p w14:paraId="6ACEC70F">
            <w:pPr>
              <w:rPr>
                <w:rFonts w:ascii="Arial"/>
                <w:sz w:val="21"/>
              </w:rPr>
            </w:pPr>
          </w:p>
        </w:tc>
      </w:tr>
      <w:tr w14:paraId="475CDD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trPr>
        <w:tc>
          <w:tcPr>
            <w:tcW w:w="873" w:type="dxa"/>
            <w:vMerge w:val="continue"/>
            <w:tcBorders>
              <w:top w:val="nil"/>
            </w:tcBorders>
            <w:vAlign w:val="top"/>
          </w:tcPr>
          <w:p w14:paraId="6AE53BA3">
            <w:pPr>
              <w:rPr>
                <w:rFonts w:ascii="Arial"/>
                <w:sz w:val="21"/>
              </w:rPr>
            </w:pPr>
          </w:p>
        </w:tc>
        <w:tc>
          <w:tcPr>
            <w:tcW w:w="2334" w:type="dxa"/>
            <w:vMerge w:val="continue"/>
            <w:tcBorders>
              <w:top w:val="nil"/>
            </w:tcBorders>
            <w:vAlign w:val="top"/>
          </w:tcPr>
          <w:p w14:paraId="24A12DD3">
            <w:pPr>
              <w:rPr>
                <w:rFonts w:ascii="Arial"/>
                <w:sz w:val="21"/>
              </w:rPr>
            </w:pPr>
          </w:p>
        </w:tc>
        <w:tc>
          <w:tcPr>
            <w:tcW w:w="210" w:type="dxa"/>
            <w:vAlign w:val="top"/>
          </w:tcPr>
          <w:p w14:paraId="3B05D301">
            <w:pPr>
              <w:rPr>
                <w:rFonts w:ascii="Arial"/>
                <w:sz w:val="21"/>
              </w:rPr>
            </w:pPr>
          </w:p>
        </w:tc>
        <w:tc>
          <w:tcPr>
            <w:tcW w:w="229" w:type="dxa"/>
            <w:vAlign w:val="top"/>
          </w:tcPr>
          <w:p w14:paraId="68EB3FEA">
            <w:pPr>
              <w:rPr>
                <w:rFonts w:ascii="Arial"/>
                <w:sz w:val="21"/>
              </w:rPr>
            </w:pPr>
          </w:p>
        </w:tc>
        <w:tc>
          <w:tcPr>
            <w:tcW w:w="240" w:type="dxa"/>
            <w:vAlign w:val="top"/>
          </w:tcPr>
          <w:p w14:paraId="2D4F6F2B">
            <w:pPr>
              <w:pStyle w:val="6"/>
              <w:spacing w:before="88" w:line="238" w:lineRule="auto"/>
              <w:ind w:left="48"/>
              <w:rPr>
                <w:sz w:val="13"/>
                <w:szCs w:val="13"/>
              </w:rPr>
            </w:pPr>
            <w:r>
              <w:rPr>
                <w:sz w:val="13"/>
                <w:szCs w:val="13"/>
              </w:rPr>
              <w:t>√</w:t>
            </w:r>
          </w:p>
        </w:tc>
        <w:tc>
          <w:tcPr>
            <w:tcW w:w="214" w:type="dxa"/>
            <w:vAlign w:val="top"/>
          </w:tcPr>
          <w:p w14:paraId="6567B1AB">
            <w:pPr>
              <w:rPr>
                <w:rFonts w:ascii="Arial"/>
                <w:sz w:val="21"/>
              </w:rPr>
            </w:pPr>
          </w:p>
        </w:tc>
      </w:tr>
      <w:tr w14:paraId="35C287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4" w:hRule="atLeast"/>
        </w:trPr>
        <w:tc>
          <w:tcPr>
            <w:tcW w:w="873" w:type="dxa"/>
            <w:vAlign w:val="top"/>
          </w:tcPr>
          <w:p w14:paraId="0352E7A6">
            <w:pPr>
              <w:pStyle w:val="6"/>
              <w:spacing w:before="197" w:line="219" w:lineRule="auto"/>
              <w:ind w:left="15"/>
              <w:rPr>
                <w:sz w:val="18"/>
                <w:szCs w:val="18"/>
              </w:rPr>
            </w:pPr>
            <w:r>
              <w:rPr>
                <w:spacing w:val="-3"/>
                <w:sz w:val="18"/>
                <w:szCs w:val="18"/>
              </w:rPr>
              <w:t>头肌</w:t>
            </w:r>
          </w:p>
        </w:tc>
        <w:tc>
          <w:tcPr>
            <w:tcW w:w="2334" w:type="dxa"/>
            <w:vAlign w:val="top"/>
          </w:tcPr>
          <w:p w14:paraId="6EA4E32F">
            <w:pPr>
              <w:pStyle w:val="6"/>
              <w:spacing w:before="197" w:line="219" w:lineRule="auto"/>
              <w:ind w:left="12"/>
              <w:rPr>
                <w:sz w:val="18"/>
                <w:szCs w:val="18"/>
              </w:rPr>
            </w:pPr>
            <w:r>
              <w:rPr>
                <w:spacing w:val="-1"/>
                <w:sz w:val="18"/>
                <w:szCs w:val="18"/>
              </w:rPr>
              <w:t>头肌的分部及各肌的名称</w:t>
            </w:r>
          </w:p>
        </w:tc>
        <w:tc>
          <w:tcPr>
            <w:tcW w:w="210" w:type="dxa"/>
            <w:vAlign w:val="top"/>
          </w:tcPr>
          <w:p w14:paraId="62B38EDE">
            <w:pPr>
              <w:pStyle w:val="6"/>
              <w:spacing w:before="228" w:line="238" w:lineRule="auto"/>
              <w:ind w:left="17"/>
              <w:rPr>
                <w:sz w:val="13"/>
                <w:szCs w:val="13"/>
              </w:rPr>
            </w:pPr>
            <w:r>
              <w:rPr>
                <w:sz w:val="13"/>
                <w:szCs w:val="13"/>
              </w:rPr>
              <w:t>√</w:t>
            </w:r>
          </w:p>
        </w:tc>
        <w:tc>
          <w:tcPr>
            <w:tcW w:w="229" w:type="dxa"/>
            <w:vAlign w:val="top"/>
          </w:tcPr>
          <w:p w14:paraId="757D973E">
            <w:pPr>
              <w:rPr>
                <w:rFonts w:ascii="Arial"/>
                <w:sz w:val="21"/>
              </w:rPr>
            </w:pPr>
          </w:p>
        </w:tc>
        <w:tc>
          <w:tcPr>
            <w:tcW w:w="240" w:type="dxa"/>
            <w:vAlign w:val="top"/>
          </w:tcPr>
          <w:p w14:paraId="33413313">
            <w:pPr>
              <w:rPr>
                <w:rFonts w:ascii="Arial"/>
                <w:sz w:val="21"/>
              </w:rPr>
            </w:pPr>
          </w:p>
        </w:tc>
        <w:tc>
          <w:tcPr>
            <w:tcW w:w="214" w:type="dxa"/>
            <w:vAlign w:val="top"/>
          </w:tcPr>
          <w:p w14:paraId="7BF1A434">
            <w:pPr>
              <w:rPr>
                <w:rFonts w:ascii="Arial"/>
                <w:sz w:val="21"/>
              </w:rPr>
            </w:pPr>
          </w:p>
        </w:tc>
      </w:tr>
    </w:tbl>
    <w:p w14:paraId="6E98A015">
      <w:pPr>
        <w:pStyle w:val="2"/>
        <w:spacing w:line="31" w:lineRule="exact"/>
        <w:rPr>
          <w:sz w:val="2"/>
        </w:rPr>
      </w:pPr>
    </w:p>
    <w:p w14:paraId="6FA66D47">
      <w:pPr>
        <w:spacing w:line="31" w:lineRule="exact"/>
        <w:rPr>
          <w:sz w:val="2"/>
          <w:szCs w:val="2"/>
        </w:rPr>
        <w:sectPr>
          <w:type w:val="continuous"/>
          <w:pgSz w:w="10660" w:h="15080"/>
          <w:pgMar w:top="400" w:right="1014" w:bottom="925" w:left="809" w:header="0" w:footer="705" w:gutter="0"/>
          <w:cols w:equalWidth="0" w:num="2">
            <w:col w:w="4621" w:space="100"/>
            <w:col w:w="4116"/>
          </w:cols>
        </w:sectPr>
      </w:pPr>
    </w:p>
    <w:p w14:paraId="2E5E9FBD">
      <w:pPr>
        <w:spacing w:before="10"/>
      </w:pPr>
    </w:p>
    <w:p w14:paraId="3B94103E">
      <w:pPr>
        <w:spacing w:before="9"/>
      </w:pPr>
    </w:p>
    <w:p w14:paraId="1140ACBF">
      <w:pPr>
        <w:spacing w:before="9"/>
      </w:pPr>
    </w:p>
    <w:p w14:paraId="665E6BC7">
      <w:pPr>
        <w:spacing w:before="9"/>
      </w:pPr>
    </w:p>
    <w:p w14:paraId="41D94CE3">
      <w:pPr>
        <w:sectPr>
          <w:footerReference r:id="rId67" w:type="default"/>
          <w:pgSz w:w="10660" w:h="15080"/>
          <w:pgMar w:top="400" w:right="885" w:bottom="925" w:left="1034" w:header="0" w:footer="705" w:gutter="0"/>
          <w:cols w:equalWidth="0" w:num="1">
            <w:col w:w="8740"/>
          </w:cols>
        </w:sectPr>
      </w:pPr>
    </w:p>
    <w:p w14:paraId="2EFB6DC6">
      <w:pPr>
        <w:spacing w:line="116" w:lineRule="auto"/>
        <w:rPr>
          <w:rFonts w:ascii="Arial"/>
          <w:sz w:val="2"/>
        </w:rPr>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24"/>
        <w:gridCol w:w="219"/>
        <w:gridCol w:w="220"/>
        <w:gridCol w:w="229"/>
        <w:gridCol w:w="234"/>
      </w:tblGrid>
      <w:tr w14:paraId="6F17DB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4" w:hRule="atLeast"/>
        </w:trPr>
        <w:tc>
          <w:tcPr>
            <w:tcW w:w="893" w:type="dxa"/>
            <w:vMerge w:val="restart"/>
            <w:tcBorders>
              <w:bottom w:val="nil"/>
            </w:tcBorders>
            <w:vAlign w:val="top"/>
          </w:tcPr>
          <w:p w14:paraId="626BCE54">
            <w:pPr>
              <w:pStyle w:val="6"/>
              <w:spacing w:before="212" w:line="219" w:lineRule="auto"/>
              <w:ind w:left="257" w:right="1" w:hanging="240"/>
              <w:rPr>
                <w:sz w:val="18"/>
                <w:szCs w:val="18"/>
              </w:rPr>
            </w:pPr>
            <w:r>
              <w:rPr>
                <w:b/>
                <w:bCs/>
                <w:spacing w:val="-10"/>
                <w:sz w:val="18"/>
                <w:szCs w:val="18"/>
              </w:rPr>
              <w:t>知识与技能</w:t>
            </w:r>
            <w:r>
              <w:rPr>
                <w:spacing w:val="3"/>
                <w:sz w:val="18"/>
                <w:szCs w:val="18"/>
              </w:rPr>
              <w:t xml:space="preserve"> </w:t>
            </w:r>
            <w:r>
              <w:rPr>
                <w:b/>
                <w:bCs/>
                <w:spacing w:val="-4"/>
                <w:sz w:val="18"/>
                <w:szCs w:val="18"/>
              </w:rPr>
              <w:t>要点</w:t>
            </w:r>
          </w:p>
        </w:tc>
        <w:tc>
          <w:tcPr>
            <w:tcW w:w="2324" w:type="dxa"/>
            <w:vMerge w:val="restart"/>
            <w:tcBorders>
              <w:bottom w:val="nil"/>
            </w:tcBorders>
            <w:vAlign w:val="top"/>
          </w:tcPr>
          <w:p w14:paraId="76872E8B">
            <w:pPr>
              <w:spacing w:line="250" w:lineRule="auto"/>
              <w:rPr>
                <w:rFonts w:ascii="Arial"/>
                <w:sz w:val="21"/>
              </w:rPr>
            </w:pPr>
          </w:p>
          <w:p w14:paraId="28CEA1CC">
            <w:pPr>
              <w:pStyle w:val="6"/>
              <w:spacing w:before="58" w:line="219" w:lineRule="auto"/>
              <w:ind w:left="844"/>
              <w:rPr>
                <w:sz w:val="18"/>
                <w:szCs w:val="18"/>
              </w:rPr>
            </w:pPr>
            <w:r>
              <w:rPr>
                <w:b/>
                <w:bCs/>
                <w:spacing w:val="5"/>
                <w:sz w:val="18"/>
                <w:szCs w:val="18"/>
              </w:rPr>
              <w:t>考试条目</w:t>
            </w:r>
          </w:p>
        </w:tc>
        <w:tc>
          <w:tcPr>
            <w:tcW w:w="902" w:type="dxa"/>
            <w:gridSpan w:val="4"/>
            <w:vAlign w:val="top"/>
          </w:tcPr>
          <w:p w14:paraId="43F8E25A">
            <w:pPr>
              <w:pStyle w:val="6"/>
              <w:spacing w:before="120" w:line="219" w:lineRule="auto"/>
              <w:ind w:left="120"/>
              <w:rPr>
                <w:sz w:val="18"/>
                <w:szCs w:val="18"/>
              </w:rPr>
            </w:pPr>
            <w:r>
              <w:rPr>
                <w:b/>
                <w:bCs/>
                <w:spacing w:val="-4"/>
                <w:sz w:val="18"/>
                <w:szCs w:val="18"/>
              </w:rPr>
              <w:t>考试水平</w:t>
            </w:r>
          </w:p>
        </w:tc>
      </w:tr>
      <w:tr w14:paraId="5F178C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9" w:hRule="atLeast"/>
        </w:trPr>
        <w:tc>
          <w:tcPr>
            <w:tcW w:w="893" w:type="dxa"/>
            <w:vMerge w:val="continue"/>
            <w:tcBorders>
              <w:top w:val="nil"/>
            </w:tcBorders>
            <w:vAlign w:val="top"/>
          </w:tcPr>
          <w:p w14:paraId="1CC8A9A6">
            <w:pPr>
              <w:rPr>
                <w:rFonts w:ascii="Arial"/>
                <w:sz w:val="21"/>
              </w:rPr>
            </w:pPr>
          </w:p>
        </w:tc>
        <w:tc>
          <w:tcPr>
            <w:tcW w:w="2324" w:type="dxa"/>
            <w:vMerge w:val="continue"/>
            <w:tcBorders>
              <w:top w:val="nil"/>
            </w:tcBorders>
            <w:vAlign w:val="top"/>
          </w:tcPr>
          <w:p w14:paraId="75CCEDC3">
            <w:pPr>
              <w:rPr>
                <w:rFonts w:ascii="Arial"/>
                <w:sz w:val="21"/>
              </w:rPr>
            </w:pPr>
          </w:p>
        </w:tc>
        <w:tc>
          <w:tcPr>
            <w:tcW w:w="219" w:type="dxa"/>
            <w:vAlign w:val="top"/>
          </w:tcPr>
          <w:p w14:paraId="054658F5">
            <w:pPr>
              <w:pStyle w:val="6"/>
              <w:spacing w:before="143" w:line="184" w:lineRule="auto"/>
              <w:ind w:left="60"/>
              <w:rPr>
                <w:sz w:val="18"/>
                <w:szCs w:val="18"/>
              </w:rPr>
            </w:pPr>
            <w:r>
              <w:rPr>
                <w:b/>
                <w:bCs/>
                <w:spacing w:val="-2"/>
                <w:sz w:val="18"/>
                <w:szCs w:val="18"/>
              </w:rPr>
              <w:t>A</w:t>
            </w:r>
          </w:p>
        </w:tc>
        <w:tc>
          <w:tcPr>
            <w:tcW w:w="220" w:type="dxa"/>
            <w:vAlign w:val="top"/>
          </w:tcPr>
          <w:p w14:paraId="0DA2D2A9">
            <w:pPr>
              <w:pStyle w:val="6"/>
              <w:spacing w:before="145" w:line="182" w:lineRule="auto"/>
              <w:ind w:left="21"/>
              <w:rPr>
                <w:sz w:val="18"/>
                <w:szCs w:val="18"/>
              </w:rPr>
            </w:pPr>
            <w:r>
              <w:rPr>
                <w:b/>
                <w:bCs/>
                <w:spacing w:val="-2"/>
                <w:sz w:val="18"/>
                <w:szCs w:val="18"/>
              </w:rPr>
              <w:t>B</w:t>
            </w:r>
          </w:p>
        </w:tc>
        <w:tc>
          <w:tcPr>
            <w:tcW w:w="229" w:type="dxa"/>
            <w:vAlign w:val="top"/>
          </w:tcPr>
          <w:p w14:paraId="3674783C">
            <w:pPr>
              <w:pStyle w:val="6"/>
              <w:spacing w:before="146" w:line="183" w:lineRule="auto"/>
              <w:ind w:left="21"/>
              <w:rPr>
                <w:sz w:val="19"/>
                <w:szCs w:val="19"/>
              </w:rPr>
            </w:pPr>
            <w:r>
              <w:rPr>
                <w:b/>
                <w:bCs/>
                <w:spacing w:val="-2"/>
                <w:sz w:val="19"/>
                <w:szCs w:val="19"/>
              </w:rPr>
              <w:t>C</w:t>
            </w:r>
          </w:p>
        </w:tc>
        <w:tc>
          <w:tcPr>
            <w:tcW w:w="234" w:type="dxa"/>
            <w:vAlign w:val="top"/>
          </w:tcPr>
          <w:p w14:paraId="5D5E795E">
            <w:pPr>
              <w:pStyle w:val="6"/>
              <w:spacing w:before="145" w:line="182" w:lineRule="auto"/>
              <w:ind w:left="22"/>
              <w:rPr>
                <w:sz w:val="18"/>
                <w:szCs w:val="18"/>
              </w:rPr>
            </w:pPr>
            <w:r>
              <w:rPr>
                <w:b/>
                <w:bCs/>
                <w:spacing w:val="-2"/>
                <w:sz w:val="18"/>
                <w:szCs w:val="18"/>
              </w:rPr>
              <w:t>D</w:t>
            </w:r>
          </w:p>
        </w:tc>
      </w:tr>
      <w:tr w14:paraId="05E1D9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9" w:hRule="atLeast"/>
        </w:trPr>
        <w:tc>
          <w:tcPr>
            <w:tcW w:w="893" w:type="dxa"/>
            <w:vMerge w:val="restart"/>
            <w:tcBorders>
              <w:bottom w:val="nil"/>
            </w:tcBorders>
            <w:vAlign w:val="top"/>
          </w:tcPr>
          <w:p w14:paraId="087BB548">
            <w:pPr>
              <w:spacing w:line="278" w:lineRule="auto"/>
              <w:rPr>
                <w:rFonts w:ascii="Arial"/>
                <w:sz w:val="21"/>
              </w:rPr>
            </w:pPr>
          </w:p>
          <w:p w14:paraId="61CB8DDB">
            <w:pPr>
              <w:spacing w:line="279" w:lineRule="auto"/>
              <w:rPr>
                <w:rFonts w:ascii="Arial"/>
                <w:sz w:val="21"/>
              </w:rPr>
            </w:pPr>
          </w:p>
          <w:p w14:paraId="50F1F408">
            <w:pPr>
              <w:spacing w:line="279" w:lineRule="auto"/>
              <w:rPr>
                <w:rFonts w:ascii="Arial"/>
                <w:sz w:val="21"/>
              </w:rPr>
            </w:pPr>
          </w:p>
          <w:p w14:paraId="2B7D42A1">
            <w:pPr>
              <w:pStyle w:val="6"/>
              <w:spacing w:before="59" w:line="221" w:lineRule="auto"/>
              <w:ind w:left="15"/>
              <w:rPr>
                <w:sz w:val="18"/>
                <w:szCs w:val="18"/>
              </w:rPr>
            </w:pPr>
            <w:r>
              <w:rPr>
                <w:spacing w:val="2"/>
                <w:sz w:val="18"/>
                <w:szCs w:val="18"/>
              </w:rPr>
              <w:t>四肢肌</w:t>
            </w:r>
          </w:p>
        </w:tc>
        <w:tc>
          <w:tcPr>
            <w:tcW w:w="2324" w:type="dxa"/>
            <w:vMerge w:val="restart"/>
            <w:tcBorders>
              <w:bottom w:val="nil"/>
            </w:tcBorders>
            <w:vAlign w:val="top"/>
          </w:tcPr>
          <w:p w14:paraId="03F9C096">
            <w:pPr>
              <w:pStyle w:val="6"/>
              <w:spacing w:before="39" w:line="222" w:lineRule="auto"/>
              <w:ind w:left="12" w:right="134"/>
              <w:jc w:val="both"/>
              <w:rPr>
                <w:sz w:val="18"/>
                <w:szCs w:val="18"/>
              </w:rPr>
            </w:pPr>
            <w:r>
              <w:rPr>
                <w:sz w:val="18"/>
                <w:szCs w:val="18"/>
              </w:rPr>
              <w:t>1.上、下肢肌的分部和分群</w:t>
            </w:r>
            <w:r>
              <w:rPr>
                <w:spacing w:val="6"/>
                <w:sz w:val="18"/>
                <w:szCs w:val="18"/>
              </w:rPr>
              <w:t xml:space="preserve"> </w:t>
            </w:r>
            <w:r>
              <w:rPr>
                <w:spacing w:val="-1"/>
                <w:sz w:val="18"/>
                <w:szCs w:val="18"/>
              </w:rPr>
              <w:t>2.三角肌、肱二头肌和肱三</w:t>
            </w:r>
            <w:r>
              <w:rPr>
                <w:spacing w:val="2"/>
                <w:sz w:val="18"/>
                <w:szCs w:val="18"/>
              </w:rPr>
              <w:t xml:space="preserve"> 头肌的位置和作用</w:t>
            </w:r>
          </w:p>
          <w:p w14:paraId="7769B803">
            <w:pPr>
              <w:pStyle w:val="6"/>
              <w:spacing w:before="1" w:line="225" w:lineRule="auto"/>
              <w:ind w:left="12" w:right="152"/>
              <w:rPr>
                <w:sz w:val="18"/>
                <w:szCs w:val="18"/>
              </w:rPr>
            </w:pPr>
            <w:r>
              <w:rPr>
                <w:spacing w:val="-1"/>
                <w:sz w:val="18"/>
                <w:szCs w:val="18"/>
              </w:rPr>
              <w:t>3.前臂肌和手肌的分群及其</w:t>
            </w:r>
            <w:r>
              <w:rPr>
                <w:spacing w:val="1"/>
                <w:sz w:val="18"/>
                <w:szCs w:val="18"/>
              </w:rPr>
              <w:t xml:space="preserve"> </w:t>
            </w:r>
            <w:r>
              <w:rPr>
                <w:spacing w:val="10"/>
                <w:sz w:val="18"/>
                <w:szCs w:val="18"/>
              </w:rPr>
              <w:t>作用</w:t>
            </w:r>
          </w:p>
          <w:p w14:paraId="5D7CE2FD">
            <w:pPr>
              <w:pStyle w:val="6"/>
              <w:spacing w:line="225" w:lineRule="auto"/>
              <w:ind w:left="12" w:right="148"/>
              <w:rPr>
                <w:sz w:val="18"/>
                <w:szCs w:val="18"/>
              </w:rPr>
            </w:pPr>
            <w:r>
              <w:rPr>
                <w:spacing w:val="-1"/>
                <w:sz w:val="18"/>
                <w:szCs w:val="18"/>
              </w:rPr>
              <w:t>4.臀大肌、股四头肌和小腿</w:t>
            </w:r>
            <w:r>
              <w:rPr>
                <w:spacing w:val="5"/>
                <w:sz w:val="18"/>
                <w:szCs w:val="18"/>
              </w:rPr>
              <w:t xml:space="preserve"> </w:t>
            </w:r>
            <w:r>
              <w:rPr>
                <w:spacing w:val="2"/>
                <w:sz w:val="18"/>
                <w:szCs w:val="18"/>
              </w:rPr>
              <w:t>三头肌的位置及作用</w:t>
            </w:r>
          </w:p>
          <w:p w14:paraId="1A9B1DFF">
            <w:pPr>
              <w:pStyle w:val="6"/>
              <w:spacing w:line="199" w:lineRule="auto"/>
              <w:ind w:left="12" w:right="117"/>
              <w:rPr>
                <w:sz w:val="18"/>
                <w:szCs w:val="18"/>
              </w:rPr>
            </w:pPr>
            <w:r>
              <w:rPr>
                <w:spacing w:val="1"/>
                <w:sz w:val="18"/>
                <w:szCs w:val="18"/>
              </w:rPr>
              <w:t>5.股三角的位置、组成和内</w:t>
            </w:r>
            <w:r>
              <w:rPr>
                <w:spacing w:val="10"/>
                <w:sz w:val="18"/>
                <w:szCs w:val="18"/>
              </w:rPr>
              <w:t xml:space="preserve"> </w:t>
            </w:r>
            <w:r>
              <w:rPr>
                <w:spacing w:val="3"/>
                <w:sz w:val="18"/>
                <w:szCs w:val="18"/>
              </w:rPr>
              <w:t>容结构</w:t>
            </w:r>
          </w:p>
        </w:tc>
        <w:tc>
          <w:tcPr>
            <w:tcW w:w="219" w:type="dxa"/>
            <w:vAlign w:val="top"/>
          </w:tcPr>
          <w:p w14:paraId="2BFC9E03">
            <w:pPr>
              <w:pStyle w:val="6"/>
              <w:spacing w:before="70" w:line="225" w:lineRule="auto"/>
              <w:ind w:left="38"/>
              <w:rPr>
                <w:sz w:val="13"/>
                <w:szCs w:val="13"/>
              </w:rPr>
            </w:pPr>
            <w:r>
              <w:rPr>
                <w:sz w:val="13"/>
                <w:szCs w:val="13"/>
              </w:rPr>
              <w:t>√</w:t>
            </w:r>
          </w:p>
        </w:tc>
        <w:tc>
          <w:tcPr>
            <w:tcW w:w="220" w:type="dxa"/>
            <w:vAlign w:val="top"/>
          </w:tcPr>
          <w:p w14:paraId="19D6E388">
            <w:pPr>
              <w:spacing w:line="229" w:lineRule="exact"/>
              <w:rPr>
                <w:rFonts w:ascii="Arial"/>
                <w:sz w:val="19"/>
              </w:rPr>
            </w:pPr>
          </w:p>
        </w:tc>
        <w:tc>
          <w:tcPr>
            <w:tcW w:w="229" w:type="dxa"/>
            <w:vAlign w:val="top"/>
          </w:tcPr>
          <w:p w14:paraId="3E556246">
            <w:pPr>
              <w:spacing w:line="229" w:lineRule="exact"/>
              <w:rPr>
                <w:rFonts w:ascii="Arial"/>
                <w:sz w:val="19"/>
              </w:rPr>
            </w:pPr>
          </w:p>
        </w:tc>
        <w:tc>
          <w:tcPr>
            <w:tcW w:w="234" w:type="dxa"/>
            <w:vAlign w:val="top"/>
          </w:tcPr>
          <w:p w14:paraId="6C895E53">
            <w:pPr>
              <w:spacing w:line="229" w:lineRule="exact"/>
              <w:rPr>
                <w:rFonts w:ascii="Arial"/>
                <w:sz w:val="19"/>
              </w:rPr>
            </w:pPr>
          </w:p>
        </w:tc>
      </w:tr>
      <w:tr w14:paraId="6983BE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9" w:hRule="atLeast"/>
        </w:trPr>
        <w:tc>
          <w:tcPr>
            <w:tcW w:w="893" w:type="dxa"/>
            <w:vMerge w:val="continue"/>
            <w:tcBorders>
              <w:top w:val="nil"/>
              <w:bottom w:val="nil"/>
            </w:tcBorders>
            <w:vAlign w:val="top"/>
          </w:tcPr>
          <w:p w14:paraId="5BC537E1">
            <w:pPr>
              <w:rPr>
                <w:rFonts w:ascii="Arial"/>
                <w:sz w:val="21"/>
              </w:rPr>
            </w:pPr>
          </w:p>
        </w:tc>
        <w:tc>
          <w:tcPr>
            <w:tcW w:w="2324" w:type="dxa"/>
            <w:vMerge w:val="continue"/>
            <w:tcBorders>
              <w:top w:val="nil"/>
              <w:bottom w:val="nil"/>
            </w:tcBorders>
            <w:vAlign w:val="top"/>
          </w:tcPr>
          <w:p w14:paraId="17C2D089">
            <w:pPr>
              <w:rPr>
                <w:rFonts w:ascii="Arial"/>
                <w:sz w:val="21"/>
              </w:rPr>
            </w:pPr>
          </w:p>
        </w:tc>
        <w:tc>
          <w:tcPr>
            <w:tcW w:w="219" w:type="dxa"/>
            <w:vAlign w:val="top"/>
          </w:tcPr>
          <w:p w14:paraId="429E05FB">
            <w:pPr>
              <w:spacing w:line="229" w:lineRule="exact"/>
              <w:rPr>
                <w:rFonts w:ascii="Arial"/>
                <w:sz w:val="19"/>
              </w:rPr>
            </w:pPr>
          </w:p>
        </w:tc>
        <w:tc>
          <w:tcPr>
            <w:tcW w:w="220" w:type="dxa"/>
            <w:vAlign w:val="top"/>
          </w:tcPr>
          <w:p w14:paraId="56F163E7">
            <w:pPr>
              <w:spacing w:line="229" w:lineRule="exact"/>
              <w:rPr>
                <w:rFonts w:ascii="Arial"/>
                <w:sz w:val="19"/>
              </w:rPr>
            </w:pPr>
          </w:p>
        </w:tc>
        <w:tc>
          <w:tcPr>
            <w:tcW w:w="229" w:type="dxa"/>
            <w:vAlign w:val="top"/>
          </w:tcPr>
          <w:p w14:paraId="00BCEED4">
            <w:pPr>
              <w:pStyle w:val="6"/>
              <w:spacing w:before="71" w:line="224" w:lineRule="auto"/>
              <w:ind w:left="19"/>
              <w:rPr>
                <w:sz w:val="13"/>
                <w:szCs w:val="13"/>
              </w:rPr>
            </w:pPr>
            <w:r>
              <w:rPr>
                <w:sz w:val="13"/>
                <w:szCs w:val="13"/>
              </w:rPr>
              <w:t>√</w:t>
            </w:r>
          </w:p>
        </w:tc>
        <w:tc>
          <w:tcPr>
            <w:tcW w:w="234" w:type="dxa"/>
            <w:vAlign w:val="top"/>
          </w:tcPr>
          <w:p w14:paraId="2376E4D3">
            <w:pPr>
              <w:spacing w:line="229" w:lineRule="exact"/>
              <w:rPr>
                <w:rFonts w:ascii="Arial"/>
                <w:sz w:val="19"/>
              </w:rPr>
            </w:pPr>
          </w:p>
        </w:tc>
      </w:tr>
      <w:tr w14:paraId="2101ED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8" w:hRule="atLeast"/>
        </w:trPr>
        <w:tc>
          <w:tcPr>
            <w:tcW w:w="893" w:type="dxa"/>
            <w:vMerge w:val="continue"/>
            <w:tcBorders>
              <w:top w:val="nil"/>
              <w:bottom w:val="nil"/>
            </w:tcBorders>
            <w:vAlign w:val="top"/>
          </w:tcPr>
          <w:p w14:paraId="70F37AAC">
            <w:pPr>
              <w:rPr>
                <w:rFonts w:ascii="Arial"/>
                <w:sz w:val="21"/>
              </w:rPr>
            </w:pPr>
          </w:p>
        </w:tc>
        <w:tc>
          <w:tcPr>
            <w:tcW w:w="2324" w:type="dxa"/>
            <w:vMerge w:val="continue"/>
            <w:tcBorders>
              <w:top w:val="nil"/>
              <w:bottom w:val="nil"/>
            </w:tcBorders>
            <w:vAlign w:val="top"/>
          </w:tcPr>
          <w:p w14:paraId="3508EB6C">
            <w:pPr>
              <w:rPr>
                <w:rFonts w:ascii="Arial"/>
                <w:sz w:val="21"/>
              </w:rPr>
            </w:pPr>
          </w:p>
        </w:tc>
        <w:tc>
          <w:tcPr>
            <w:tcW w:w="219" w:type="dxa"/>
            <w:vAlign w:val="top"/>
          </w:tcPr>
          <w:p w14:paraId="298DA33A">
            <w:pPr>
              <w:rPr>
                <w:rFonts w:ascii="Arial"/>
                <w:sz w:val="21"/>
              </w:rPr>
            </w:pPr>
          </w:p>
        </w:tc>
        <w:tc>
          <w:tcPr>
            <w:tcW w:w="220" w:type="dxa"/>
            <w:vAlign w:val="top"/>
          </w:tcPr>
          <w:p w14:paraId="1B1C23A9">
            <w:pPr>
              <w:rPr>
                <w:rFonts w:ascii="Arial"/>
                <w:sz w:val="21"/>
              </w:rPr>
            </w:pPr>
          </w:p>
        </w:tc>
        <w:tc>
          <w:tcPr>
            <w:tcW w:w="229" w:type="dxa"/>
            <w:vAlign w:val="top"/>
          </w:tcPr>
          <w:p w14:paraId="5540137C">
            <w:pPr>
              <w:rPr>
                <w:rFonts w:ascii="Arial"/>
                <w:sz w:val="21"/>
              </w:rPr>
            </w:pPr>
          </w:p>
        </w:tc>
        <w:tc>
          <w:tcPr>
            <w:tcW w:w="234" w:type="dxa"/>
            <w:vAlign w:val="top"/>
          </w:tcPr>
          <w:p w14:paraId="0DBC3845">
            <w:pPr>
              <w:rPr>
                <w:rFonts w:ascii="Arial"/>
                <w:sz w:val="21"/>
              </w:rPr>
            </w:pPr>
          </w:p>
        </w:tc>
      </w:tr>
      <w:tr w14:paraId="7C1CA1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8" w:hRule="atLeast"/>
        </w:trPr>
        <w:tc>
          <w:tcPr>
            <w:tcW w:w="893" w:type="dxa"/>
            <w:vMerge w:val="continue"/>
            <w:tcBorders>
              <w:top w:val="nil"/>
              <w:bottom w:val="nil"/>
            </w:tcBorders>
            <w:vAlign w:val="top"/>
          </w:tcPr>
          <w:p w14:paraId="32A111E4">
            <w:pPr>
              <w:rPr>
                <w:rFonts w:ascii="Arial"/>
                <w:sz w:val="21"/>
              </w:rPr>
            </w:pPr>
          </w:p>
        </w:tc>
        <w:tc>
          <w:tcPr>
            <w:tcW w:w="2324" w:type="dxa"/>
            <w:vMerge w:val="continue"/>
            <w:tcBorders>
              <w:top w:val="nil"/>
              <w:bottom w:val="nil"/>
            </w:tcBorders>
            <w:vAlign w:val="top"/>
          </w:tcPr>
          <w:p w14:paraId="22112A20">
            <w:pPr>
              <w:rPr>
                <w:rFonts w:ascii="Arial"/>
                <w:sz w:val="21"/>
              </w:rPr>
            </w:pPr>
          </w:p>
        </w:tc>
        <w:tc>
          <w:tcPr>
            <w:tcW w:w="219" w:type="dxa"/>
            <w:vAlign w:val="top"/>
          </w:tcPr>
          <w:p w14:paraId="5FD1585A">
            <w:pPr>
              <w:rPr>
                <w:rFonts w:ascii="Arial"/>
                <w:sz w:val="21"/>
              </w:rPr>
            </w:pPr>
          </w:p>
        </w:tc>
        <w:tc>
          <w:tcPr>
            <w:tcW w:w="220" w:type="dxa"/>
            <w:vAlign w:val="top"/>
          </w:tcPr>
          <w:p w14:paraId="6B13B919">
            <w:pPr>
              <w:rPr>
                <w:rFonts w:ascii="Arial"/>
                <w:sz w:val="21"/>
              </w:rPr>
            </w:pPr>
          </w:p>
        </w:tc>
        <w:tc>
          <w:tcPr>
            <w:tcW w:w="229" w:type="dxa"/>
            <w:vAlign w:val="top"/>
          </w:tcPr>
          <w:p w14:paraId="687C02C0">
            <w:pPr>
              <w:pStyle w:val="6"/>
              <w:spacing w:before="194" w:line="238" w:lineRule="auto"/>
              <w:ind w:left="19"/>
              <w:rPr>
                <w:sz w:val="13"/>
                <w:szCs w:val="13"/>
              </w:rPr>
            </w:pPr>
            <w:r>
              <w:rPr>
                <w:sz w:val="13"/>
                <w:szCs w:val="13"/>
              </w:rPr>
              <w:t>√</w:t>
            </w:r>
          </w:p>
        </w:tc>
        <w:tc>
          <w:tcPr>
            <w:tcW w:w="234" w:type="dxa"/>
            <w:vAlign w:val="top"/>
          </w:tcPr>
          <w:p w14:paraId="6072850D">
            <w:pPr>
              <w:rPr>
                <w:rFonts w:ascii="Arial"/>
                <w:sz w:val="21"/>
              </w:rPr>
            </w:pPr>
          </w:p>
        </w:tc>
      </w:tr>
      <w:tr w14:paraId="2F5AE4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3" w:hRule="atLeast"/>
        </w:trPr>
        <w:tc>
          <w:tcPr>
            <w:tcW w:w="893" w:type="dxa"/>
            <w:vMerge w:val="continue"/>
            <w:tcBorders>
              <w:top w:val="nil"/>
            </w:tcBorders>
            <w:vAlign w:val="top"/>
          </w:tcPr>
          <w:p w14:paraId="0C03A87A">
            <w:pPr>
              <w:rPr>
                <w:rFonts w:ascii="Arial"/>
                <w:sz w:val="21"/>
              </w:rPr>
            </w:pPr>
          </w:p>
        </w:tc>
        <w:tc>
          <w:tcPr>
            <w:tcW w:w="2324" w:type="dxa"/>
            <w:vMerge w:val="continue"/>
            <w:tcBorders>
              <w:top w:val="nil"/>
            </w:tcBorders>
            <w:vAlign w:val="top"/>
          </w:tcPr>
          <w:p w14:paraId="54FFE2CB">
            <w:pPr>
              <w:rPr>
                <w:rFonts w:ascii="Arial"/>
                <w:sz w:val="21"/>
              </w:rPr>
            </w:pPr>
          </w:p>
        </w:tc>
        <w:tc>
          <w:tcPr>
            <w:tcW w:w="219" w:type="dxa"/>
            <w:vAlign w:val="top"/>
          </w:tcPr>
          <w:p w14:paraId="299DCEBB">
            <w:pPr>
              <w:rPr>
                <w:rFonts w:ascii="Arial"/>
                <w:sz w:val="21"/>
              </w:rPr>
            </w:pPr>
          </w:p>
        </w:tc>
        <w:tc>
          <w:tcPr>
            <w:tcW w:w="220" w:type="dxa"/>
            <w:vAlign w:val="top"/>
          </w:tcPr>
          <w:p w14:paraId="42F22A61">
            <w:pPr>
              <w:pStyle w:val="6"/>
              <w:spacing w:before="195" w:line="238" w:lineRule="auto"/>
              <w:ind w:left="19"/>
              <w:rPr>
                <w:sz w:val="12"/>
                <w:szCs w:val="12"/>
              </w:rPr>
            </w:pPr>
            <w:r>
              <w:rPr>
                <w:sz w:val="12"/>
                <w:szCs w:val="12"/>
              </w:rPr>
              <w:t>√</w:t>
            </w:r>
          </w:p>
        </w:tc>
        <w:tc>
          <w:tcPr>
            <w:tcW w:w="229" w:type="dxa"/>
            <w:vAlign w:val="top"/>
          </w:tcPr>
          <w:p w14:paraId="3376E56A">
            <w:pPr>
              <w:rPr>
                <w:rFonts w:ascii="Arial"/>
                <w:sz w:val="21"/>
              </w:rPr>
            </w:pPr>
          </w:p>
        </w:tc>
        <w:tc>
          <w:tcPr>
            <w:tcW w:w="234" w:type="dxa"/>
            <w:vAlign w:val="top"/>
          </w:tcPr>
          <w:p w14:paraId="1243BAB1">
            <w:pPr>
              <w:rPr>
                <w:rFonts w:ascii="Arial"/>
                <w:sz w:val="21"/>
              </w:rPr>
            </w:pPr>
          </w:p>
        </w:tc>
      </w:tr>
    </w:tbl>
    <w:p w14:paraId="7F2D08C0">
      <w:pPr>
        <w:spacing w:before="118" w:line="221" w:lineRule="auto"/>
        <w:ind w:left="1287"/>
        <w:rPr>
          <w:rFonts w:ascii="黑体" w:hAnsi="黑体" w:eastAsia="黑体" w:cs="黑体"/>
          <w:sz w:val="20"/>
          <w:szCs w:val="20"/>
        </w:rPr>
      </w:pPr>
      <w:r>
        <w:rPr>
          <w:rFonts w:ascii="黑体" w:hAnsi="黑体" w:eastAsia="黑体" w:cs="黑体"/>
          <w:b/>
          <w:bCs/>
          <w:spacing w:val="-9"/>
          <w:sz w:val="20"/>
          <w:szCs w:val="20"/>
        </w:rPr>
        <w:t>第二章</w:t>
      </w:r>
      <w:r>
        <w:rPr>
          <w:rFonts w:ascii="黑体" w:hAnsi="黑体" w:eastAsia="黑体" w:cs="黑体"/>
          <w:spacing w:val="5"/>
          <w:sz w:val="20"/>
          <w:szCs w:val="20"/>
        </w:rPr>
        <w:t xml:space="preserve">  </w:t>
      </w:r>
      <w:r>
        <w:rPr>
          <w:rFonts w:ascii="黑体" w:hAnsi="黑体" w:eastAsia="黑体" w:cs="黑体"/>
          <w:b/>
          <w:bCs/>
          <w:spacing w:val="-9"/>
          <w:sz w:val="20"/>
          <w:szCs w:val="20"/>
        </w:rPr>
        <w:t>消化系统</w:t>
      </w:r>
    </w:p>
    <w:p w14:paraId="5001A6A1">
      <w:pPr>
        <w:spacing w:line="72" w:lineRule="exact"/>
      </w:pPr>
    </w:p>
    <w:tbl>
      <w:tblPr>
        <w:tblStyle w:val="5"/>
        <w:tblW w:w="409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73"/>
        <w:gridCol w:w="2324"/>
        <w:gridCol w:w="220"/>
        <w:gridCol w:w="219"/>
        <w:gridCol w:w="230"/>
        <w:gridCol w:w="224"/>
      </w:tblGrid>
      <w:tr w14:paraId="6C021E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4" w:hRule="atLeast"/>
        </w:trPr>
        <w:tc>
          <w:tcPr>
            <w:tcW w:w="873" w:type="dxa"/>
            <w:vMerge w:val="restart"/>
            <w:tcBorders>
              <w:bottom w:val="nil"/>
            </w:tcBorders>
            <w:vAlign w:val="top"/>
          </w:tcPr>
          <w:p w14:paraId="01DF20D8">
            <w:pPr>
              <w:pStyle w:val="6"/>
              <w:spacing w:before="212" w:line="219" w:lineRule="auto"/>
              <w:ind w:left="247" w:right="1" w:hanging="230"/>
              <w:rPr>
                <w:sz w:val="18"/>
                <w:szCs w:val="18"/>
              </w:rPr>
            </w:pPr>
            <w:r>
              <w:rPr>
                <w:b/>
                <w:bCs/>
                <w:spacing w:val="-15"/>
                <w:sz w:val="18"/>
                <w:szCs w:val="18"/>
              </w:rPr>
              <w:t>知识与</w:t>
            </w:r>
            <w:r>
              <w:rPr>
                <w:b/>
                <w:bCs/>
                <w:spacing w:val="-14"/>
                <w:sz w:val="18"/>
                <w:szCs w:val="18"/>
              </w:rPr>
              <w:t>技</w:t>
            </w:r>
            <w:r>
              <w:rPr>
                <w:b/>
                <w:bCs/>
                <w:spacing w:val="-11"/>
                <w:sz w:val="18"/>
                <w:szCs w:val="18"/>
              </w:rPr>
              <w:t>能</w:t>
            </w:r>
            <w:r>
              <w:rPr>
                <w:spacing w:val="3"/>
                <w:sz w:val="18"/>
                <w:szCs w:val="18"/>
              </w:rPr>
              <w:t xml:space="preserve"> </w:t>
            </w:r>
            <w:r>
              <w:rPr>
                <w:b/>
                <w:bCs/>
                <w:spacing w:val="-4"/>
                <w:sz w:val="18"/>
                <w:szCs w:val="18"/>
              </w:rPr>
              <w:t>要点</w:t>
            </w:r>
          </w:p>
        </w:tc>
        <w:tc>
          <w:tcPr>
            <w:tcW w:w="2324" w:type="dxa"/>
            <w:vMerge w:val="restart"/>
            <w:tcBorders>
              <w:bottom w:val="nil"/>
            </w:tcBorders>
            <w:vAlign w:val="top"/>
          </w:tcPr>
          <w:p w14:paraId="074A001F">
            <w:pPr>
              <w:spacing w:line="249" w:lineRule="auto"/>
              <w:rPr>
                <w:rFonts w:ascii="Arial"/>
                <w:sz w:val="21"/>
              </w:rPr>
            </w:pPr>
          </w:p>
          <w:p w14:paraId="19A222BA">
            <w:pPr>
              <w:pStyle w:val="6"/>
              <w:spacing w:before="59" w:line="219" w:lineRule="auto"/>
              <w:ind w:left="854"/>
              <w:rPr>
                <w:sz w:val="18"/>
                <w:szCs w:val="18"/>
              </w:rPr>
            </w:pPr>
            <w:r>
              <w:rPr>
                <w:b/>
                <w:bCs/>
                <w:spacing w:val="5"/>
                <w:sz w:val="18"/>
                <w:szCs w:val="18"/>
              </w:rPr>
              <w:t>考试条目</w:t>
            </w:r>
          </w:p>
        </w:tc>
        <w:tc>
          <w:tcPr>
            <w:tcW w:w="893" w:type="dxa"/>
            <w:gridSpan w:val="4"/>
            <w:vAlign w:val="top"/>
          </w:tcPr>
          <w:p w14:paraId="3B83FD6B">
            <w:pPr>
              <w:pStyle w:val="6"/>
              <w:spacing w:before="99" w:line="219" w:lineRule="auto"/>
              <w:ind w:left="120"/>
              <w:rPr>
                <w:sz w:val="18"/>
                <w:szCs w:val="18"/>
              </w:rPr>
            </w:pPr>
            <w:r>
              <w:rPr>
                <w:b/>
                <w:bCs/>
                <w:spacing w:val="-4"/>
                <w:sz w:val="18"/>
                <w:szCs w:val="18"/>
              </w:rPr>
              <w:t>考试水平</w:t>
            </w:r>
          </w:p>
        </w:tc>
      </w:tr>
      <w:tr w14:paraId="7F006F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9" w:hRule="atLeast"/>
        </w:trPr>
        <w:tc>
          <w:tcPr>
            <w:tcW w:w="873" w:type="dxa"/>
            <w:vMerge w:val="continue"/>
            <w:tcBorders>
              <w:top w:val="nil"/>
            </w:tcBorders>
            <w:vAlign w:val="top"/>
          </w:tcPr>
          <w:p w14:paraId="338523D3">
            <w:pPr>
              <w:rPr>
                <w:rFonts w:ascii="Arial"/>
                <w:sz w:val="21"/>
              </w:rPr>
            </w:pPr>
          </w:p>
        </w:tc>
        <w:tc>
          <w:tcPr>
            <w:tcW w:w="2324" w:type="dxa"/>
            <w:vMerge w:val="continue"/>
            <w:tcBorders>
              <w:top w:val="nil"/>
            </w:tcBorders>
            <w:vAlign w:val="top"/>
          </w:tcPr>
          <w:p w14:paraId="1DC2A984">
            <w:pPr>
              <w:rPr>
                <w:rFonts w:ascii="Arial"/>
                <w:sz w:val="21"/>
              </w:rPr>
            </w:pPr>
          </w:p>
        </w:tc>
        <w:tc>
          <w:tcPr>
            <w:tcW w:w="220" w:type="dxa"/>
            <w:vAlign w:val="top"/>
          </w:tcPr>
          <w:p w14:paraId="24631E94">
            <w:pPr>
              <w:pStyle w:val="6"/>
              <w:spacing w:before="153" w:line="184" w:lineRule="auto"/>
              <w:ind w:left="60"/>
              <w:rPr>
                <w:sz w:val="18"/>
                <w:szCs w:val="18"/>
              </w:rPr>
            </w:pPr>
            <w:r>
              <w:rPr>
                <w:b/>
                <w:bCs/>
                <w:spacing w:val="-2"/>
                <w:sz w:val="18"/>
                <w:szCs w:val="18"/>
              </w:rPr>
              <w:t>A</w:t>
            </w:r>
          </w:p>
        </w:tc>
        <w:tc>
          <w:tcPr>
            <w:tcW w:w="219" w:type="dxa"/>
            <w:vAlign w:val="top"/>
          </w:tcPr>
          <w:p w14:paraId="5FFDF000">
            <w:pPr>
              <w:pStyle w:val="6"/>
              <w:spacing w:before="155" w:line="182" w:lineRule="auto"/>
              <w:ind w:left="60"/>
              <w:rPr>
                <w:sz w:val="18"/>
                <w:szCs w:val="18"/>
              </w:rPr>
            </w:pPr>
            <w:r>
              <w:rPr>
                <w:b/>
                <w:bCs/>
                <w:spacing w:val="-2"/>
                <w:sz w:val="18"/>
                <w:szCs w:val="18"/>
              </w:rPr>
              <w:t>B</w:t>
            </w:r>
          </w:p>
        </w:tc>
        <w:tc>
          <w:tcPr>
            <w:tcW w:w="230" w:type="dxa"/>
            <w:vAlign w:val="top"/>
          </w:tcPr>
          <w:p w14:paraId="0CF7F78D">
            <w:pPr>
              <w:pStyle w:val="6"/>
              <w:spacing w:before="154" w:line="183" w:lineRule="auto"/>
              <w:ind w:left="68"/>
              <w:rPr>
                <w:sz w:val="18"/>
                <w:szCs w:val="18"/>
              </w:rPr>
            </w:pPr>
            <w:r>
              <w:rPr>
                <w:sz w:val="18"/>
                <w:szCs w:val="18"/>
              </w:rPr>
              <w:t>C</w:t>
            </w:r>
          </w:p>
        </w:tc>
        <w:tc>
          <w:tcPr>
            <w:tcW w:w="224" w:type="dxa"/>
            <w:vAlign w:val="top"/>
          </w:tcPr>
          <w:p w14:paraId="5A18E8CF">
            <w:pPr>
              <w:pStyle w:val="6"/>
              <w:spacing w:before="155" w:line="182" w:lineRule="auto"/>
              <w:ind w:left="61"/>
              <w:rPr>
                <w:sz w:val="18"/>
                <w:szCs w:val="18"/>
              </w:rPr>
            </w:pPr>
            <w:r>
              <w:rPr>
                <w:b/>
                <w:bCs/>
                <w:spacing w:val="-2"/>
                <w:sz w:val="18"/>
                <w:szCs w:val="18"/>
              </w:rPr>
              <w:t>D</w:t>
            </w:r>
          </w:p>
        </w:tc>
      </w:tr>
      <w:tr w14:paraId="23D063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9" w:hRule="atLeast"/>
        </w:trPr>
        <w:tc>
          <w:tcPr>
            <w:tcW w:w="873" w:type="dxa"/>
            <w:vMerge w:val="restart"/>
            <w:tcBorders>
              <w:bottom w:val="nil"/>
            </w:tcBorders>
            <w:vAlign w:val="top"/>
          </w:tcPr>
          <w:p w14:paraId="015B96F2">
            <w:pPr>
              <w:spacing w:line="249" w:lineRule="auto"/>
              <w:rPr>
                <w:rFonts w:ascii="Arial"/>
                <w:sz w:val="21"/>
              </w:rPr>
            </w:pPr>
          </w:p>
          <w:p w14:paraId="74B6B218">
            <w:pPr>
              <w:pStyle w:val="6"/>
              <w:spacing w:before="58" w:line="219" w:lineRule="auto"/>
              <w:ind w:left="244"/>
              <w:rPr>
                <w:sz w:val="18"/>
                <w:szCs w:val="18"/>
              </w:rPr>
            </w:pPr>
            <w:r>
              <w:rPr>
                <w:spacing w:val="-2"/>
                <w:sz w:val="18"/>
                <w:szCs w:val="18"/>
              </w:rPr>
              <w:t>概述</w:t>
            </w:r>
          </w:p>
        </w:tc>
        <w:tc>
          <w:tcPr>
            <w:tcW w:w="2324" w:type="dxa"/>
            <w:vMerge w:val="restart"/>
            <w:tcBorders>
              <w:bottom w:val="nil"/>
            </w:tcBorders>
            <w:vAlign w:val="top"/>
          </w:tcPr>
          <w:p w14:paraId="2B1D342A">
            <w:pPr>
              <w:pStyle w:val="6"/>
              <w:spacing w:before="230" w:line="221" w:lineRule="auto"/>
              <w:ind w:left="12"/>
              <w:rPr>
                <w:sz w:val="18"/>
                <w:szCs w:val="18"/>
              </w:rPr>
            </w:pPr>
            <w:r>
              <w:rPr>
                <w:sz w:val="18"/>
                <w:szCs w:val="18"/>
              </w:rPr>
              <w:t>1.消化系统的组成</w:t>
            </w:r>
          </w:p>
          <w:p w14:paraId="08D12F9B">
            <w:pPr>
              <w:pStyle w:val="6"/>
              <w:spacing w:before="13" w:line="219" w:lineRule="auto"/>
              <w:ind w:left="12"/>
              <w:rPr>
                <w:sz w:val="18"/>
                <w:szCs w:val="18"/>
              </w:rPr>
            </w:pPr>
            <w:r>
              <w:rPr>
                <w:spacing w:val="-1"/>
                <w:sz w:val="18"/>
                <w:szCs w:val="18"/>
              </w:rPr>
              <w:t>2.上、下消化道的概念</w:t>
            </w:r>
          </w:p>
        </w:tc>
        <w:tc>
          <w:tcPr>
            <w:tcW w:w="220" w:type="dxa"/>
            <w:vAlign w:val="top"/>
          </w:tcPr>
          <w:p w14:paraId="27268775">
            <w:pPr>
              <w:pStyle w:val="6"/>
              <w:spacing w:before="150" w:line="238" w:lineRule="auto"/>
              <w:ind w:left="38"/>
              <w:rPr>
                <w:sz w:val="13"/>
                <w:szCs w:val="13"/>
              </w:rPr>
            </w:pPr>
            <w:r>
              <w:rPr>
                <w:sz w:val="13"/>
                <w:szCs w:val="13"/>
              </w:rPr>
              <w:t>√</w:t>
            </w:r>
          </w:p>
        </w:tc>
        <w:tc>
          <w:tcPr>
            <w:tcW w:w="219" w:type="dxa"/>
            <w:vAlign w:val="top"/>
          </w:tcPr>
          <w:p w14:paraId="7B274170">
            <w:pPr>
              <w:rPr>
                <w:rFonts w:ascii="Arial"/>
                <w:sz w:val="21"/>
              </w:rPr>
            </w:pPr>
          </w:p>
        </w:tc>
        <w:tc>
          <w:tcPr>
            <w:tcW w:w="230" w:type="dxa"/>
            <w:vAlign w:val="top"/>
          </w:tcPr>
          <w:p w14:paraId="106199A9">
            <w:pPr>
              <w:rPr>
                <w:rFonts w:ascii="Arial"/>
                <w:sz w:val="21"/>
              </w:rPr>
            </w:pPr>
          </w:p>
        </w:tc>
        <w:tc>
          <w:tcPr>
            <w:tcW w:w="224" w:type="dxa"/>
            <w:vAlign w:val="top"/>
          </w:tcPr>
          <w:p w14:paraId="65BD406C">
            <w:pPr>
              <w:rPr>
                <w:rFonts w:ascii="Arial"/>
                <w:sz w:val="21"/>
              </w:rPr>
            </w:pPr>
          </w:p>
        </w:tc>
      </w:tr>
      <w:tr w14:paraId="2C84EA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0" w:hRule="atLeast"/>
        </w:trPr>
        <w:tc>
          <w:tcPr>
            <w:tcW w:w="873" w:type="dxa"/>
            <w:vMerge w:val="continue"/>
            <w:tcBorders>
              <w:top w:val="nil"/>
            </w:tcBorders>
            <w:vAlign w:val="top"/>
          </w:tcPr>
          <w:p w14:paraId="389785DE">
            <w:pPr>
              <w:rPr>
                <w:rFonts w:ascii="Arial"/>
                <w:sz w:val="21"/>
              </w:rPr>
            </w:pPr>
          </w:p>
        </w:tc>
        <w:tc>
          <w:tcPr>
            <w:tcW w:w="2324" w:type="dxa"/>
            <w:vMerge w:val="continue"/>
            <w:tcBorders>
              <w:top w:val="nil"/>
            </w:tcBorders>
            <w:vAlign w:val="top"/>
          </w:tcPr>
          <w:p w14:paraId="536066A5">
            <w:pPr>
              <w:rPr>
                <w:rFonts w:ascii="Arial"/>
                <w:sz w:val="21"/>
              </w:rPr>
            </w:pPr>
          </w:p>
        </w:tc>
        <w:tc>
          <w:tcPr>
            <w:tcW w:w="220" w:type="dxa"/>
            <w:vAlign w:val="top"/>
          </w:tcPr>
          <w:p w14:paraId="1C5D27F4">
            <w:pPr>
              <w:rPr>
                <w:rFonts w:ascii="Arial"/>
                <w:sz w:val="21"/>
              </w:rPr>
            </w:pPr>
          </w:p>
        </w:tc>
        <w:tc>
          <w:tcPr>
            <w:tcW w:w="219" w:type="dxa"/>
            <w:vAlign w:val="top"/>
          </w:tcPr>
          <w:p w14:paraId="55E8C853">
            <w:pPr>
              <w:pStyle w:val="6"/>
              <w:spacing w:before="141" w:line="238" w:lineRule="auto"/>
              <w:ind w:left="38"/>
              <w:rPr>
                <w:sz w:val="13"/>
                <w:szCs w:val="13"/>
              </w:rPr>
            </w:pPr>
            <w:r>
              <w:rPr>
                <w:sz w:val="13"/>
                <w:szCs w:val="13"/>
              </w:rPr>
              <w:t>√</w:t>
            </w:r>
          </w:p>
        </w:tc>
        <w:tc>
          <w:tcPr>
            <w:tcW w:w="230" w:type="dxa"/>
            <w:vAlign w:val="top"/>
          </w:tcPr>
          <w:p w14:paraId="62C97BD6">
            <w:pPr>
              <w:rPr>
                <w:rFonts w:ascii="Arial"/>
                <w:sz w:val="21"/>
              </w:rPr>
            </w:pPr>
          </w:p>
        </w:tc>
        <w:tc>
          <w:tcPr>
            <w:tcW w:w="224" w:type="dxa"/>
            <w:vAlign w:val="top"/>
          </w:tcPr>
          <w:p w14:paraId="439C927E">
            <w:pPr>
              <w:rPr>
                <w:rFonts w:ascii="Arial"/>
                <w:sz w:val="21"/>
              </w:rPr>
            </w:pPr>
          </w:p>
        </w:tc>
      </w:tr>
      <w:tr w14:paraId="5EF1D8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0" w:hRule="atLeast"/>
        </w:trPr>
        <w:tc>
          <w:tcPr>
            <w:tcW w:w="873" w:type="dxa"/>
            <w:vMerge w:val="restart"/>
            <w:tcBorders>
              <w:bottom w:val="nil"/>
            </w:tcBorders>
            <w:vAlign w:val="top"/>
          </w:tcPr>
          <w:p w14:paraId="54A1C7A9">
            <w:pPr>
              <w:spacing w:line="244" w:lineRule="auto"/>
              <w:rPr>
                <w:rFonts w:ascii="Arial"/>
                <w:sz w:val="21"/>
              </w:rPr>
            </w:pPr>
          </w:p>
          <w:p w14:paraId="46DE3586">
            <w:pPr>
              <w:spacing w:line="244" w:lineRule="auto"/>
              <w:rPr>
                <w:rFonts w:ascii="Arial"/>
                <w:sz w:val="21"/>
              </w:rPr>
            </w:pPr>
          </w:p>
          <w:p w14:paraId="48A8188B">
            <w:pPr>
              <w:pStyle w:val="6"/>
              <w:spacing w:before="59" w:line="219" w:lineRule="auto"/>
              <w:ind w:left="244"/>
              <w:rPr>
                <w:sz w:val="18"/>
                <w:szCs w:val="18"/>
              </w:rPr>
            </w:pPr>
            <w:r>
              <w:rPr>
                <w:spacing w:val="8"/>
                <w:sz w:val="18"/>
                <w:szCs w:val="18"/>
              </w:rPr>
              <w:t>口腔</w:t>
            </w:r>
          </w:p>
        </w:tc>
        <w:tc>
          <w:tcPr>
            <w:tcW w:w="2324" w:type="dxa"/>
            <w:vMerge w:val="restart"/>
            <w:tcBorders>
              <w:bottom w:val="nil"/>
            </w:tcBorders>
            <w:vAlign w:val="top"/>
          </w:tcPr>
          <w:p w14:paraId="240A6130">
            <w:pPr>
              <w:pStyle w:val="6"/>
              <w:spacing w:before="140" w:line="215" w:lineRule="auto"/>
              <w:ind w:left="12"/>
              <w:rPr>
                <w:sz w:val="18"/>
                <w:szCs w:val="18"/>
              </w:rPr>
            </w:pPr>
            <w:r>
              <w:rPr>
                <w:spacing w:val="1"/>
                <w:sz w:val="18"/>
                <w:szCs w:val="18"/>
              </w:rPr>
              <w:t>1.咽峡的构成</w:t>
            </w:r>
          </w:p>
          <w:p w14:paraId="638EDECA">
            <w:pPr>
              <w:pStyle w:val="6"/>
              <w:spacing w:line="229" w:lineRule="auto"/>
              <w:ind w:left="12" w:right="151"/>
              <w:rPr>
                <w:sz w:val="18"/>
                <w:szCs w:val="18"/>
              </w:rPr>
            </w:pPr>
            <w:r>
              <w:rPr>
                <w:spacing w:val="-1"/>
                <w:sz w:val="18"/>
                <w:szCs w:val="18"/>
              </w:rPr>
              <w:t>2.舌的形态、舌乳头的名称</w:t>
            </w:r>
            <w:r>
              <w:rPr>
                <w:spacing w:val="2"/>
                <w:sz w:val="18"/>
                <w:szCs w:val="18"/>
              </w:rPr>
              <w:t xml:space="preserve"> </w:t>
            </w:r>
            <w:r>
              <w:rPr>
                <w:spacing w:val="-2"/>
                <w:sz w:val="18"/>
                <w:szCs w:val="18"/>
              </w:rPr>
              <w:t>和功能</w:t>
            </w:r>
          </w:p>
          <w:p w14:paraId="1E680CCB">
            <w:pPr>
              <w:pStyle w:val="6"/>
              <w:spacing w:before="3" w:line="229" w:lineRule="auto"/>
              <w:ind w:left="12" w:right="127"/>
              <w:rPr>
                <w:sz w:val="18"/>
                <w:szCs w:val="18"/>
              </w:rPr>
            </w:pPr>
            <w:r>
              <w:rPr>
                <w:spacing w:val="1"/>
                <w:sz w:val="18"/>
                <w:szCs w:val="18"/>
              </w:rPr>
              <w:t>3.牙的形态、构造、排列和</w:t>
            </w:r>
            <w:r>
              <w:rPr>
                <w:sz w:val="18"/>
                <w:szCs w:val="18"/>
              </w:rPr>
              <w:t xml:space="preserve"> </w:t>
            </w:r>
            <w:r>
              <w:rPr>
                <w:spacing w:val="-2"/>
                <w:sz w:val="18"/>
                <w:szCs w:val="18"/>
              </w:rPr>
              <w:t>牙周组织</w:t>
            </w:r>
          </w:p>
        </w:tc>
        <w:tc>
          <w:tcPr>
            <w:tcW w:w="220" w:type="dxa"/>
            <w:vAlign w:val="top"/>
          </w:tcPr>
          <w:p w14:paraId="09E78CF6">
            <w:pPr>
              <w:spacing w:line="210" w:lineRule="exact"/>
              <w:rPr>
                <w:rFonts w:ascii="Arial"/>
                <w:sz w:val="18"/>
              </w:rPr>
            </w:pPr>
          </w:p>
        </w:tc>
        <w:tc>
          <w:tcPr>
            <w:tcW w:w="219" w:type="dxa"/>
            <w:vAlign w:val="top"/>
          </w:tcPr>
          <w:p w14:paraId="033DEC08">
            <w:pPr>
              <w:pStyle w:val="6"/>
              <w:spacing w:before="61" w:line="211" w:lineRule="auto"/>
              <w:ind w:left="38"/>
              <w:rPr>
                <w:sz w:val="13"/>
                <w:szCs w:val="13"/>
              </w:rPr>
            </w:pPr>
            <w:r>
              <w:rPr>
                <w:sz w:val="13"/>
                <w:szCs w:val="13"/>
              </w:rPr>
              <w:t>√</w:t>
            </w:r>
          </w:p>
        </w:tc>
        <w:tc>
          <w:tcPr>
            <w:tcW w:w="230" w:type="dxa"/>
            <w:vAlign w:val="top"/>
          </w:tcPr>
          <w:p w14:paraId="7EF6F974">
            <w:pPr>
              <w:spacing w:line="210" w:lineRule="exact"/>
              <w:rPr>
                <w:rFonts w:ascii="Arial"/>
                <w:sz w:val="18"/>
              </w:rPr>
            </w:pPr>
          </w:p>
        </w:tc>
        <w:tc>
          <w:tcPr>
            <w:tcW w:w="224" w:type="dxa"/>
            <w:vAlign w:val="top"/>
          </w:tcPr>
          <w:p w14:paraId="40090C26">
            <w:pPr>
              <w:spacing w:line="210" w:lineRule="exact"/>
              <w:rPr>
                <w:rFonts w:ascii="Arial"/>
                <w:sz w:val="18"/>
              </w:rPr>
            </w:pPr>
          </w:p>
        </w:tc>
      </w:tr>
      <w:tr w14:paraId="5186FD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0" w:hRule="atLeast"/>
        </w:trPr>
        <w:tc>
          <w:tcPr>
            <w:tcW w:w="873" w:type="dxa"/>
            <w:vMerge w:val="continue"/>
            <w:tcBorders>
              <w:top w:val="nil"/>
              <w:bottom w:val="nil"/>
            </w:tcBorders>
            <w:vAlign w:val="top"/>
          </w:tcPr>
          <w:p w14:paraId="42BD1332">
            <w:pPr>
              <w:rPr>
                <w:rFonts w:ascii="Arial"/>
                <w:sz w:val="21"/>
              </w:rPr>
            </w:pPr>
          </w:p>
        </w:tc>
        <w:tc>
          <w:tcPr>
            <w:tcW w:w="2324" w:type="dxa"/>
            <w:vMerge w:val="continue"/>
            <w:tcBorders>
              <w:top w:val="nil"/>
              <w:bottom w:val="nil"/>
            </w:tcBorders>
            <w:vAlign w:val="top"/>
          </w:tcPr>
          <w:p w14:paraId="7DEA7171">
            <w:pPr>
              <w:rPr>
                <w:rFonts w:ascii="Arial"/>
                <w:sz w:val="21"/>
              </w:rPr>
            </w:pPr>
          </w:p>
        </w:tc>
        <w:tc>
          <w:tcPr>
            <w:tcW w:w="220" w:type="dxa"/>
            <w:vAlign w:val="top"/>
          </w:tcPr>
          <w:p w14:paraId="6DDBDCC3">
            <w:pPr>
              <w:spacing w:line="200" w:lineRule="exact"/>
              <w:rPr>
                <w:rFonts w:ascii="Arial"/>
                <w:sz w:val="17"/>
              </w:rPr>
            </w:pPr>
          </w:p>
        </w:tc>
        <w:tc>
          <w:tcPr>
            <w:tcW w:w="219" w:type="dxa"/>
            <w:vAlign w:val="top"/>
          </w:tcPr>
          <w:p w14:paraId="1A579181">
            <w:pPr>
              <w:spacing w:line="200" w:lineRule="exact"/>
              <w:rPr>
                <w:rFonts w:ascii="Arial"/>
                <w:sz w:val="17"/>
              </w:rPr>
            </w:pPr>
          </w:p>
        </w:tc>
        <w:tc>
          <w:tcPr>
            <w:tcW w:w="230" w:type="dxa"/>
            <w:vAlign w:val="top"/>
          </w:tcPr>
          <w:p w14:paraId="1B339D9E">
            <w:pPr>
              <w:spacing w:line="200" w:lineRule="exact"/>
              <w:rPr>
                <w:rFonts w:ascii="Arial"/>
                <w:sz w:val="17"/>
              </w:rPr>
            </w:pPr>
          </w:p>
        </w:tc>
        <w:tc>
          <w:tcPr>
            <w:tcW w:w="224" w:type="dxa"/>
            <w:vAlign w:val="top"/>
          </w:tcPr>
          <w:p w14:paraId="1595D6B1">
            <w:pPr>
              <w:spacing w:line="200" w:lineRule="exact"/>
              <w:rPr>
                <w:rFonts w:ascii="Arial"/>
                <w:sz w:val="17"/>
              </w:rPr>
            </w:pPr>
          </w:p>
        </w:tc>
      </w:tr>
      <w:tr w14:paraId="632A68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19" w:hRule="atLeast"/>
        </w:trPr>
        <w:tc>
          <w:tcPr>
            <w:tcW w:w="873" w:type="dxa"/>
            <w:vMerge w:val="continue"/>
            <w:tcBorders>
              <w:top w:val="nil"/>
            </w:tcBorders>
            <w:vAlign w:val="top"/>
          </w:tcPr>
          <w:p w14:paraId="6A542192">
            <w:pPr>
              <w:rPr>
                <w:rFonts w:ascii="Arial"/>
                <w:sz w:val="21"/>
              </w:rPr>
            </w:pPr>
          </w:p>
        </w:tc>
        <w:tc>
          <w:tcPr>
            <w:tcW w:w="2324" w:type="dxa"/>
            <w:vMerge w:val="continue"/>
            <w:tcBorders>
              <w:top w:val="nil"/>
            </w:tcBorders>
            <w:vAlign w:val="top"/>
          </w:tcPr>
          <w:p w14:paraId="5E4EC4F2">
            <w:pPr>
              <w:rPr>
                <w:rFonts w:ascii="Arial"/>
                <w:sz w:val="21"/>
              </w:rPr>
            </w:pPr>
          </w:p>
        </w:tc>
        <w:tc>
          <w:tcPr>
            <w:tcW w:w="220" w:type="dxa"/>
            <w:vAlign w:val="top"/>
          </w:tcPr>
          <w:p w14:paraId="06447EE5">
            <w:pPr>
              <w:rPr>
                <w:rFonts w:ascii="Arial"/>
                <w:sz w:val="21"/>
              </w:rPr>
            </w:pPr>
          </w:p>
        </w:tc>
        <w:tc>
          <w:tcPr>
            <w:tcW w:w="219" w:type="dxa"/>
            <w:vAlign w:val="top"/>
          </w:tcPr>
          <w:p w14:paraId="5173986B">
            <w:pPr>
              <w:rPr>
                <w:rFonts w:ascii="Arial"/>
                <w:sz w:val="21"/>
              </w:rPr>
            </w:pPr>
          </w:p>
        </w:tc>
        <w:tc>
          <w:tcPr>
            <w:tcW w:w="230" w:type="dxa"/>
            <w:vAlign w:val="top"/>
          </w:tcPr>
          <w:p w14:paraId="26CF80CE">
            <w:pPr>
              <w:rPr>
                <w:rFonts w:ascii="Arial"/>
                <w:sz w:val="21"/>
              </w:rPr>
            </w:pPr>
          </w:p>
        </w:tc>
        <w:tc>
          <w:tcPr>
            <w:tcW w:w="224" w:type="dxa"/>
            <w:vAlign w:val="top"/>
          </w:tcPr>
          <w:p w14:paraId="36B0D2D6">
            <w:pPr>
              <w:rPr>
                <w:rFonts w:ascii="Arial"/>
                <w:sz w:val="21"/>
              </w:rPr>
            </w:pPr>
          </w:p>
        </w:tc>
      </w:tr>
      <w:tr w14:paraId="3EDA3E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0" w:hRule="atLeast"/>
        </w:trPr>
        <w:tc>
          <w:tcPr>
            <w:tcW w:w="873" w:type="dxa"/>
            <w:vMerge w:val="restart"/>
            <w:tcBorders>
              <w:bottom w:val="nil"/>
            </w:tcBorders>
            <w:vAlign w:val="top"/>
          </w:tcPr>
          <w:p w14:paraId="2AB32B81">
            <w:pPr>
              <w:spacing w:line="392" w:lineRule="auto"/>
              <w:rPr>
                <w:rFonts w:ascii="Arial"/>
                <w:sz w:val="21"/>
              </w:rPr>
            </w:pPr>
          </w:p>
          <w:p w14:paraId="5B2BBB9B">
            <w:pPr>
              <w:pStyle w:val="6"/>
              <w:spacing w:before="59" w:line="221" w:lineRule="auto"/>
              <w:ind w:left="244"/>
              <w:rPr>
                <w:sz w:val="18"/>
                <w:szCs w:val="18"/>
              </w:rPr>
            </w:pPr>
            <w:r>
              <w:rPr>
                <w:spacing w:val="4"/>
                <w:sz w:val="18"/>
                <w:szCs w:val="18"/>
              </w:rPr>
              <w:t>小肠</w:t>
            </w:r>
          </w:p>
        </w:tc>
        <w:tc>
          <w:tcPr>
            <w:tcW w:w="2324" w:type="dxa"/>
            <w:vMerge w:val="restart"/>
            <w:tcBorders>
              <w:bottom w:val="nil"/>
            </w:tcBorders>
            <w:vAlign w:val="top"/>
          </w:tcPr>
          <w:p w14:paraId="43492401">
            <w:pPr>
              <w:pStyle w:val="6"/>
              <w:spacing w:before="161" w:line="205" w:lineRule="auto"/>
              <w:ind w:left="12"/>
              <w:rPr>
                <w:sz w:val="18"/>
                <w:szCs w:val="18"/>
              </w:rPr>
            </w:pPr>
            <w:r>
              <w:rPr>
                <w:spacing w:val="1"/>
                <w:sz w:val="18"/>
                <w:szCs w:val="18"/>
              </w:rPr>
              <w:t>1.小肠的分部</w:t>
            </w:r>
          </w:p>
          <w:p w14:paraId="7428DDEF">
            <w:pPr>
              <w:pStyle w:val="6"/>
              <w:spacing w:line="220" w:lineRule="auto"/>
              <w:ind w:left="12" w:right="331"/>
              <w:rPr>
                <w:sz w:val="18"/>
                <w:szCs w:val="18"/>
              </w:rPr>
            </w:pPr>
            <w:r>
              <w:rPr>
                <w:spacing w:val="-1"/>
                <w:sz w:val="18"/>
                <w:szCs w:val="18"/>
              </w:rPr>
              <w:t>2.十二指肠的位置和分部</w:t>
            </w:r>
            <w:r>
              <w:rPr>
                <w:spacing w:val="1"/>
                <w:sz w:val="18"/>
                <w:szCs w:val="18"/>
              </w:rPr>
              <w:t xml:space="preserve"> 3.空肠和回肠的区别</w:t>
            </w:r>
          </w:p>
          <w:p w14:paraId="0BECAAEA">
            <w:pPr>
              <w:pStyle w:val="6"/>
              <w:spacing w:line="219" w:lineRule="auto"/>
              <w:jc w:val="right"/>
              <w:rPr>
                <w:sz w:val="18"/>
                <w:szCs w:val="18"/>
              </w:rPr>
            </w:pPr>
            <w:r>
              <w:rPr>
                <w:spacing w:val="-3"/>
                <w:sz w:val="18"/>
                <w:szCs w:val="18"/>
              </w:rPr>
              <w:t>4.手术识别空肠起始端的标志</w:t>
            </w:r>
          </w:p>
        </w:tc>
        <w:tc>
          <w:tcPr>
            <w:tcW w:w="220" w:type="dxa"/>
            <w:vAlign w:val="top"/>
          </w:tcPr>
          <w:p w14:paraId="63720432">
            <w:pPr>
              <w:spacing w:line="240" w:lineRule="exact"/>
              <w:rPr>
                <w:rFonts w:ascii="Arial"/>
                <w:sz w:val="20"/>
              </w:rPr>
            </w:pPr>
          </w:p>
        </w:tc>
        <w:tc>
          <w:tcPr>
            <w:tcW w:w="219" w:type="dxa"/>
            <w:vAlign w:val="top"/>
          </w:tcPr>
          <w:p w14:paraId="7F89A914">
            <w:pPr>
              <w:spacing w:line="240" w:lineRule="exact"/>
              <w:rPr>
                <w:rFonts w:ascii="Arial"/>
                <w:sz w:val="20"/>
              </w:rPr>
            </w:pPr>
          </w:p>
        </w:tc>
        <w:tc>
          <w:tcPr>
            <w:tcW w:w="230" w:type="dxa"/>
            <w:vAlign w:val="top"/>
          </w:tcPr>
          <w:p w14:paraId="5F8A7626">
            <w:pPr>
              <w:spacing w:line="240" w:lineRule="exact"/>
              <w:rPr>
                <w:rFonts w:ascii="Arial"/>
                <w:sz w:val="20"/>
              </w:rPr>
            </w:pPr>
          </w:p>
        </w:tc>
        <w:tc>
          <w:tcPr>
            <w:tcW w:w="224" w:type="dxa"/>
            <w:vAlign w:val="top"/>
          </w:tcPr>
          <w:p w14:paraId="254664CC">
            <w:pPr>
              <w:spacing w:line="240" w:lineRule="exact"/>
              <w:rPr>
                <w:rFonts w:ascii="Arial"/>
                <w:sz w:val="20"/>
              </w:rPr>
            </w:pPr>
          </w:p>
        </w:tc>
      </w:tr>
      <w:tr w14:paraId="0E159F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trPr>
        <w:tc>
          <w:tcPr>
            <w:tcW w:w="873" w:type="dxa"/>
            <w:vMerge w:val="continue"/>
            <w:tcBorders>
              <w:top w:val="nil"/>
              <w:bottom w:val="nil"/>
            </w:tcBorders>
            <w:vAlign w:val="top"/>
          </w:tcPr>
          <w:p w14:paraId="5574D4EB">
            <w:pPr>
              <w:rPr>
                <w:rFonts w:ascii="Arial"/>
                <w:sz w:val="21"/>
              </w:rPr>
            </w:pPr>
          </w:p>
        </w:tc>
        <w:tc>
          <w:tcPr>
            <w:tcW w:w="2324" w:type="dxa"/>
            <w:vMerge w:val="continue"/>
            <w:tcBorders>
              <w:top w:val="nil"/>
              <w:bottom w:val="nil"/>
            </w:tcBorders>
            <w:vAlign w:val="top"/>
          </w:tcPr>
          <w:p w14:paraId="2A0D96C8">
            <w:pPr>
              <w:rPr>
                <w:rFonts w:ascii="Arial"/>
                <w:sz w:val="21"/>
              </w:rPr>
            </w:pPr>
          </w:p>
        </w:tc>
        <w:tc>
          <w:tcPr>
            <w:tcW w:w="220" w:type="dxa"/>
            <w:vAlign w:val="top"/>
          </w:tcPr>
          <w:p w14:paraId="77A3C343">
            <w:pPr>
              <w:rPr>
                <w:rFonts w:ascii="Arial"/>
                <w:sz w:val="21"/>
              </w:rPr>
            </w:pPr>
          </w:p>
        </w:tc>
        <w:tc>
          <w:tcPr>
            <w:tcW w:w="219" w:type="dxa"/>
            <w:vAlign w:val="top"/>
          </w:tcPr>
          <w:p w14:paraId="19C539EF">
            <w:pPr>
              <w:rPr>
                <w:rFonts w:ascii="Arial"/>
                <w:sz w:val="21"/>
              </w:rPr>
            </w:pPr>
          </w:p>
        </w:tc>
        <w:tc>
          <w:tcPr>
            <w:tcW w:w="230" w:type="dxa"/>
            <w:vAlign w:val="top"/>
          </w:tcPr>
          <w:p w14:paraId="34D087D3">
            <w:pPr>
              <w:rPr>
                <w:rFonts w:ascii="Arial"/>
                <w:sz w:val="21"/>
              </w:rPr>
            </w:pPr>
          </w:p>
        </w:tc>
        <w:tc>
          <w:tcPr>
            <w:tcW w:w="224" w:type="dxa"/>
            <w:vAlign w:val="top"/>
          </w:tcPr>
          <w:p w14:paraId="2E483175">
            <w:pPr>
              <w:rPr>
                <w:rFonts w:ascii="Arial"/>
                <w:sz w:val="21"/>
              </w:rPr>
            </w:pPr>
          </w:p>
        </w:tc>
      </w:tr>
      <w:tr w14:paraId="037672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0" w:hRule="atLeast"/>
        </w:trPr>
        <w:tc>
          <w:tcPr>
            <w:tcW w:w="873" w:type="dxa"/>
            <w:vMerge w:val="continue"/>
            <w:tcBorders>
              <w:top w:val="nil"/>
              <w:bottom w:val="nil"/>
            </w:tcBorders>
            <w:vAlign w:val="top"/>
          </w:tcPr>
          <w:p w14:paraId="267BE2DE">
            <w:pPr>
              <w:rPr>
                <w:rFonts w:ascii="Arial"/>
                <w:sz w:val="21"/>
              </w:rPr>
            </w:pPr>
          </w:p>
        </w:tc>
        <w:tc>
          <w:tcPr>
            <w:tcW w:w="2324" w:type="dxa"/>
            <w:vMerge w:val="continue"/>
            <w:tcBorders>
              <w:top w:val="nil"/>
              <w:bottom w:val="nil"/>
            </w:tcBorders>
            <w:vAlign w:val="top"/>
          </w:tcPr>
          <w:p w14:paraId="44112151">
            <w:pPr>
              <w:rPr>
                <w:rFonts w:ascii="Arial"/>
                <w:sz w:val="21"/>
              </w:rPr>
            </w:pPr>
          </w:p>
        </w:tc>
        <w:tc>
          <w:tcPr>
            <w:tcW w:w="220" w:type="dxa"/>
            <w:vAlign w:val="top"/>
          </w:tcPr>
          <w:p w14:paraId="2A0FE611">
            <w:pPr>
              <w:spacing w:line="240" w:lineRule="exact"/>
              <w:rPr>
                <w:rFonts w:ascii="Arial"/>
                <w:sz w:val="20"/>
              </w:rPr>
            </w:pPr>
          </w:p>
        </w:tc>
        <w:tc>
          <w:tcPr>
            <w:tcW w:w="219" w:type="dxa"/>
            <w:vAlign w:val="top"/>
          </w:tcPr>
          <w:p w14:paraId="24DDEE64">
            <w:pPr>
              <w:spacing w:line="240" w:lineRule="exact"/>
              <w:rPr>
                <w:rFonts w:ascii="Arial"/>
                <w:sz w:val="20"/>
              </w:rPr>
            </w:pPr>
          </w:p>
        </w:tc>
        <w:tc>
          <w:tcPr>
            <w:tcW w:w="230" w:type="dxa"/>
            <w:vAlign w:val="top"/>
          </w:tcPr>
          <w:p w14:paraId="45E6A9C3">
            <w:pPr>
              <w:spacing w:line="240" w:lineRule="exact"/>
              <w:rPr>
                <w:rFonts w:ascii="Arial"/>
                <w:sz w:val="20"/>
              </w:rPr>
            </w:pPr>
          </w:p>
        </w:tc>
        <w:tc>
          <w:tcPr>
            <w:tcW w:w="224" w:type="dxa"/>
            <w:vAlign w:val="top"/>
          </w:tcPr>
          <w:p w14:paraId="14BFF9DA">
            <w:pPr>
              <w:spacing w:line="240" w:lineRule="exact"/>
              <w:rPr>
                <w:rFonts w:ascii="Arial"/>
                <w:sz w:val="20"/>
              </w:rPr>
            </w:pPr>
          </w:p>
        </w:tc>
      </w:tr>
      <w:tr w14:paraId="256097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873" w:type="dxa"/>
            <w:vMerge w:val="continue"/>
            <w:tcBorders>
              <w:top w:val="nil"/>
            </w:tcBorders>
            <w:vAlign w:val="top"/>
          </w:tcPr>
          <w:p w14:paraId="111DD9FB">
            <w:pPr>
              <w:rPr>
                <w:rFonts w:ascii="Arial"/>
                <w:sz w:val="21"/>
              </w:rPr>
            </w:pPr>
          </w:p>
        </w:tc>
        <w:tc>
          <w:tcPr>
            <w:tcW w:w="2324" w:type="dxa"/>
            <w:vMerge w:val="continue"/>
            <w:tcBorders>
              <w:top w:val="nil"/>
            </w:tcBorders>
            <w:vAlign w:val="top"/>
          </w:tcPr>
          <w:p w14:paraId="31D71BC1">
            <w:pPr>
              <w:rPr>
                <w:rFonts w:ascii="Arial"/>
                <w:sz w:val="21"/>
              </w:rPr>
            </w:pPr>
          </w:p>
        </w:tc>
        <w:tc>
          <w:tcPr>
            <w:tcW w:w="220" w:type="dxa"/>
            <w:vAlign w:val="top"/>
          </w:tcPr>
          <w:p w14:paraId="084EA3F5">
            <w:pPr>
              <w:rPr>
                <w:rFonts w:ascii="Arial"/>
                <w:sz w:val="21"/>
              </w:rPr>
            </w:pPr>
          </w:p>
        </w:tc>
        <w:tc>
          <w:tcPr>
            <w:tcW w:w="219" w:type="dxa"/>
            <w:vAlign w:val="top"/>
          </w:tcPr>
          <w:p w14:paraId="210E2B89">
            <w:pPr>
              <w:rPr>
                <w:rFonts w:ascii="Arial"/>
                <w:sz w:val="21"/>
              </w:rPr>
            </w:pPr>
          </w:p>
        </w:tc>
        <w:tc>
          <w:tcPr>
            <w:tcW w:w="230" w:type="dxa"/>
            <w:vAlign w:val="top"/>
          </w:tcPr>
          <w:p w14:paraId="11DE9662">
            <w:pPr>
              <w:rPr>
                <w:rFonts w:ascii="Arial"/>
                <w:sz w:val="21"/>
              </w:rPr>
            </w:pPr>
          </w:p>
        </w:tc>
        <w:tc>
          <w:tcPr>
            <w:tcW w:w="224" w:type="dxa"/>
            <w:vAlign w:val="top"/>
          </w:tcPr>
          <w:p w14:paraId="213081BF">
            <w:pPr>
              <w:rPr>
                <w:rFonts w:ascii="Arial"/>
                <w:sz w:val="21"/>
              </w:rPr>
            </w:pPr>
          </w:p>
        </w:tc>
      </w:tr>
      <w:tr w14:paraId="7E8337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0" w:hRule="atLeast"/>
        </w:trPr>
        <w:tc>
          <w:tcPr>
            <w:tcW w:w="873" w:type="dxa"/>
            <w:vMerge w:val="restart"/>
            <w:tcBorders>
              <w:bottom w:val="nil"/>
            </w:tcBorders>
            <w:vAlign w:val="top"/>
          </w:tcPr>
          <w:p w14:paraId="3732B223">
            <w:pPr>
              <w:rPr>
                <w:rFonts w:ascii="Arial"/>
                <w:sz w:val="21"/>
              </w:rPr>
            </w:pPr>
          </w:p>
          <w:p w14:paraId="49B5248F">
            <w:pPr>
              <w:rPr>
                <w:rFonts w:ascii="Arial"/>
                <w:sz w:val="21"/>
              </w:rPr>
            </w:pPr>
          </w:p>
          <w:p w14:paraId="7463CCED">
            <w:pPr>
              <w:rPr>
                <w:rFonts w:ascii="Arial"/>
                <w:sz w:val="21"/>
              </w:rPr>
            </w:pPr>
          </w:p>
          <w:p w14:paraId="0C6794D6">
            <w:pPr>
              <w:pStyle w:val="6"/>
              <w:spacing w:before="58" w:line="220" w:lineRule="auto"/>
              <w:ind w:left="244"/>
              <w:rPr>
                <w:sz w:val="18"/>
                <w:szCs w:val="18"/>
              </w:rPr>
            </w:pPr>
            <w:r>
              <w:rPr>
                <w:spacing w:val="-3"/>
                <w:sz w:val="18"/>
                <w:szCs w:val="18"/>
              </w:rPr>
              <w:t>大肠</w:t>
            </w:r>
          </w:p>
        </w:tc>
        <w:tc>
          <w:tcPr>
            <w:tcW w:w="2324" w:type="dxa"/>
            <w:vMerge w:val="restart"/>
            <w:tcBorders>
              <w:bottom w:val="nil"/>
            </w:tcBorders>
            <w:vAlign w:val="top"/>
          </w:tcPr>
          <w:p w14:paraId="1F031D3F">
            <w:pPr>
              <w:pStyle w:val="6"/>
              <w:spacing w:before="132" w:line="215" w:lineRule="auto"/>
              <w:ind w:left="12"/>
              <w:rPr>
                <w:sz w:val="18"/>
                <w:szCs w:val="18"/>
              </w:rPr>
            </w:pPr>
            <w:r>
              <w:rPr>
                <w:spacing w:val="1"/>
                <w:sz w:val="18"/>
                <w:szCs w:val="18"/>
              </w:rPr>
              <w:t>1.大肠的分部</w:t>
            </w:r>
          </w:p>
          <w:p w14:paraId="60D4769E">
            <w:pPr>
              <w:pStyle w:val="6"/>
              <w:spacing w:line="219" w:lineRule="auto"/>
              <w:ind w:left="12"/>
              <w:rPr>
                <w:sz w:val="18"/>
                <w:szCs w:val="18"/>
              </w:rPr>
            </w:pPr>
            <w:r>
              <w:rPr>
                <w:sz w:val="18"/>
                <w:szCs w:val="18"/>
              </w:rPr>
              <w:t>2.盲肠和结肠的特征性结构</w:t>
            </w:r>
          </w:p>
          <w:p w14:paraId="2CE068F1">
            <w:pPr>
              <w:pStyle w:val="6"/>
              <w:spacing w:before="6" w:line="219" w:lineRule="auto"/>
              <w:ind w:left="12"/>
              <w:rPr>
                <w:sz w:val="18"/>
                <w:szCs w:val="18"/>
              </w:rPr>
            </w:pPr>
            <w:r>
              <w:rPr>
                <w:spacing w:val="-1"/>
                <w:sz w:val="18"/>
                <w:szCs w:val="18"/>
              </w:rPr>
              <w:t>3.阑尾根部的体表投影</w:t>
            </w:r>
          </w:p>
          <w:p w14:paraId="1575CE82">
            <w:pPr>
              <w:pStyle w:val="6"/>
              <w:spacing w:before="7" w:line="223" w:lineRule="auto"/>
              <w:ind w:left="12" w:right="148"/>
              <w:rPr>
                <w:sz w:val="18"/>
                <w:szCs w:val="18"/>
              </w:rPr>
            </w:pPr>
            <w:r>
              <w:rPr>
                <w:spacing w:val="-1"/>
                <w:sz w:val="18"/>
                <w:szCs w:val="18"/>
              </w:rPr>
              <w:t>4.结肠的分部及各部的位置</w:t>
            </w:r>
            <w:r>
              <w:rPr>
                <w:spacing w:val="5"/>
                <w:sz w:val="18"/>
                <w:szCs w:val="18"/>
              </w:rPr>
              <w:t xml:space="preserve"> </w:t>
            </w:r>
            <w:r>
              <w:rPr>
                <w:spacing w:val="1"/>
                <w:sz w:val="18"/>
                <w:szCs w:val="18"/>
              </w:rPr>
              <w:t>5.直肠位置、分部和弯曲</w:t>
            </w:r>
            <w:r>
              <w:rPr>
                <w:spacing w:val="4"/>
                <w:sz w:val="18"/>
                <w:szCs w:val="18"/>
              </w:rPr>
              <w:t xml:space="preserve">  </w:t>
            </w:r>
            <w:r>
              <w:rPr>
                <w:sz w:val="18"/>
                <w:szCs w:val="18"/>
              </w:rPr>
              <w:t>6.肛管的位置和粘膜结构</w:t>
            </w:r>
          </w:p>
        </w:tc>
        <w:tc>
          <w:tcPr>
            <w:tcW w:w="220" w:type="dxa"/>
            <w:vAlign w:val="top"/>
          </w:tcPr>
          <w:p w14:paraId="21A39B15">
            <w:pPr>
              <w:spacing w:line="220" w:lineRule="exact"/>
              <w:rPr>
                <w:rFonts w:ascii="Arial"/>
                <w:sz w:val="19"/>
              </w:rPr>
            </w:pPr>
          </w:p>
        </w:tc>
        <w:tc>
          <w:tcPr>
            <w:tcW w:w="219" w:type="dxa"/>
            <w:vAlign w:val="top"/>
          </w:tcPr>
          <w:p w14:paraId="1A99FDEB">
            <w:pPr>
              <w:spacing w:line="220" w:lineRule="exact"/>
              <w:rPr>
                <w:rFonts w:ascii="Arial"/>
                <w:sz w:val="19"/>
              </w:rPr>
            </w:pPr>
          </w:p>
        </w:tc>
        <w:tc>
          <w:tcPr>
            <w:tcW w:w="230" w:type="dxa"/>
            <w:vAlign w:val="top"/>
          </w:tcPr>
          <w:p w14:paraId="34B4AB4C">
            <w:pPr>
              <w:spacing w:line="220" w:lineRule="exact"/>
              <w:rPr>
                <w:rFonts w:ascii="Arial"/>
                <w:sz w:val="19"/>
              </w:rPr>
            </w:pPr>
          </w:p>
        </w:tc>
        <w:tc>
          <w:tcPr>
            <w:tcW w:w="224" w:type="dxa"/>
            <w:vAlign w:val="top"/>
          </w:tcPr>
          <w:p w14:paraId="2A5116B8">
            <w:pPr>
              <w:spacing w:line="220" w:lineRule="exact"/>
              <w:rPr>
                <w:rFonts w:ascii="Arial"/>
                <w:sz w:val="19"/>
              </w:rPr>
            </w:pPr>
          </w:p>
        </w:tc>
      </w:tr>
      <w:tr w14:paraId="76E0DA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0" w:hRule="atLeast"/>
        </w:trPr>
        <w:tc>
          <w:tcPr>
            <w:tcW w:w="873" w:type="dxa"/>
            <w:vMerge w:val="continue"/>
            <w:tcBorders>
              <w:top w:val="nil"/>
              <w:bottom w:val="nil"/>
            </w:tcBorders>
            <w:vAlign w:val="top"/>
          </w:tcPr>
          <w:p w14:paraId="5185875E">
            <w:pPr>
              <w:rPr>
                <w:rFonts w:ascii="Arial"/>
                <w:sz w:val="21"/>
              </w:rPr>
            </w:pPr>
          </w:p>
        </w:tc>
        <w:tc>
          <w:tcPr>
            <w:tcW w:w="2324" w:type="dxa"/>
            <w:vMerge w:val="continue"/>
            <w:tcBorders>
              <w:top w:val="nil"/>
              <w:bottom w:val="nil"/>
            </w:tcBorders>
            <w:vAlign w:val="top"/>
          </w:tcPr>
          <w:p w14:paraId="0215E57B">
            <w:pPr>
              <w:rPr>
                <w:rFonts w:ascii="Arial"/>
                <w:sz w:val="21"/>
              </w:rPr>
            </w:pPr>
          </w:p>
        </w:tc>
        <w:tc>
          <w:tcPr>
            <w:tcW w:w="220" w:type="dxa"/>
            <w:vAlign w:val="top"/>
          </w:tcPr>
          <w:p w14:paraId="5029EB84">
            <w:pPr>
              <w:spacing w:line="230" w:lineRule="exact"/>
              <w:rPr>
                <w:rFonts w:ascii="Arial"/>
                <w:sz w:val="20"/>
              </w:rPr>
            </w:pPr>
          </w:p>
        </w:tc>
        <w:tc>
          <w:tcPr>
            <w:tcW w:w="219" w:type="dxa"/>
            <w:vAlign w:val="top"/>
          </w:tcPr>
          <w:p w14:paraId="4DDC71AC">
            <w:pPr>
              <w:spacing w:line="230" w:lineRule="exact"/>
              <w:rPr>
                <w:rFonts w:ascii="Arial"/>
                <w:sz w:val="20"/>
              </w:rPr>
            </w:pPr>
          </w:p>
        </w:tc>
        <w:tc>
          <w:tcPr>
            <w:tcW w:w="230" w:type="dxa"/>
            <w:vAlign w:val="top"/>
          </w:tcPr>
          <w:p w14:paraId="67B24C52">
            <w:pPr>
              <w:spacing w:line="230" w:lineRule="exact"/>
              <w:rPr>
                <w:rFonts w:ascii="Arial"/>
                <w:sz w:val="20"/>
              </w:rPr>
            </w:pPr>
          </w:p>
        </w:tc>
        <w:tc>
          <w:tcPr>
            <w:tcW w:w="224" w:type="dxa"/>
            <w:vAlign w:val="top"/>
          </w:tcPr>
          <w:p w14:paraId="7B2FF052">
            <w:pPr>
              <w:spacing w:line="230" w:lineRule="exact"/>
              <w:rPr>
                <w:rFonts w:ascii="Arial"/>
                <w:sz w:val="20"/>
              </w:rPr>
            </w:pPr>
          </w:p>
        </w:tc>
      </w:tr>
      <w:tr w14:paraId="749C0C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0" w:hRule="atLeast"/>
        </w:trPr>
        <w:tc>
          <w:tcPr>
            <w:tcW w:w="873" w:type="dxa"/>
            <w:vMerge w:val="continue"/>
            <w:tcBorders>
              <w:top w:val="nil"/>
              <w:bottom w:val="nil"/>
            </w:tcBorders>
            <w:vAlign w:val="top"/>
          </w:tcPr>
          <w:p w14:paraId="2A5CF2AE">
            <w:pPr>
              <w:rPr>
                <w:rFonts w:ascii="Arial"/>
                <w:sz w:val="21"/>
              </w:rPr>
            </w:pPr>
          </w:p>
        </w:tc>
        <w:tc>
          <w:tcPr>
            <w:tcW w:w="2324" w:type="dxa"/>
            <w:vMerge w:val="continue"/>
            <w:tcBorders>
              <w:top w:val="nil"/>
              <w:bottom w:val="nil"/>
            </w:tcBorders>
            <w:vAlign w:val="top"/>
          </w:tcPr>
          <w:p w14:paraId="16266069">
            <w:pPr>
              <w:rPr>
                <w:rFonts w:ascii="Arial"/>
                <w:sz w:val="21"/>
              </w:rPr>
            </w:pPr>
          </w:p>
        </w:tc>
        <w:tc>
          <w:tcPr>
            <w:tcW w:w="220" w:type="dxa"/>
            <w:vAlign w:val="top"/>
          </w:tcPr>
          <w:p w14:paraId="0F2BDBA6">
            <w:pPr>
              <w:spacing w:line="240" w:lineRule="exact"/>
              <w:rPr>
                <w:rFonts w:ascii="Arial"/>
                <w:sz w:val="20"/>
              </w:rPr>
            </w:pPr>
          </w:p>
        </w:tc>
        <w:tc>
          <w:tcPr>
            <w:tcW w:w="219" w:type="dxa"/>
            <w:vAlign w:val="top"/>
          </w:tcPr>
          <w:p w14:paraId="555A055E">
            <w:pPr>
              <w:spacing w:line="240" w:lineRule="exact"/>
              <w:rPr>
                <w:rFonts w:ascii="Arial"/>
                <w:sz w:val="20"/>
              </w:rPr>
            </w:pPr>
          </w:p>
        </w:tc>
        <w:tc>
          <w:tcPr>
            <w:tcW w:w="230" w:type="dxa"/>
            <w:vAlign w:val="top"/>
          </w:tcPr>
          <w:p w14:paraId="768BA39F">
            <w:pPr>
              <w:spacing w:line="240" w:lineRule="exact"/>
              <w:rPr>
                <w:rFonts w:ascii="Arial"/>
                <w:sz w:val="20"/>
              </w:rPr>
            </w:pPr>
          </w:p>
        </w:tc>
        <w:tc>
          <w:tcPr>
            <w:tcW w:w="224" w:type="dxa"/>
            <w:vAlign w:val="top"/>
          </w:tcPr>
          <w:p w14:paraId="0C559787">
            <w:pPr>
              <w:spacing w:line="240" w:lineRule="exact"/>
              <w:rPr>
                <w:rFonts w:ascii="Arial"/>
                <w:sz w:val="20"/>
              </w:rPr>
            </w:pPr>
          </w:p>
        </w:tc>
      </w:tr>
      <w:tr w14:paraId="749EBC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0" w:hRule="atLeast"/>
        </w:trPr>
        <w:tc>
          <w:tcPr>
            <w:tcW w:w="873" w:type="dxa"/>
            <w:vMerge w:val="continue"/>
            <w:tcBorders>
              <w:top w:val="nil"/>
              <w:bottom w:val="nil"/>
            </w:tcBorders>
            <w:vAlign w:val="top"/>
          </w:tcPr>
          <w:p w14:paraId="149C13D2">
            <w:pPr>
              <w:rPr>
                <w:rFonts w:ascii="Arial"/>
                <w:sz w:val="21"/>
              </w:rPr>
            </w:pPr>
          </w:p>
        </w:tc>
        <w:tc>
          <w:tcPr>
            <w:tcW w:w="2324" w:type="dxa"/>
            <w:vMerge w:val="continue"/>
            <w:tcBorders>
              <w:top w:val="nil"/>
              <w:bottom w:val="nil"/>
            </w:tcBorders>
            <w:vAlign w:val="top"/>
          </w:tcPr>
          <w:p w14:paraId="646F2C85">
            <w:pPr>
              <w:rPr>
                <w:rFonts w:ascii="Arial"/>
                <w:sz w:val="21"/>
              </w:rPr>
            </w:pPr>
          </w:p>
        </w:tc>
        <w:tc>
          <w:tcPr>
            <w:tcW w:w="220" w:type="dxa"/>
            <w:vAlign w:val="top"/>
          </w:tcPr>
          <w:p w14:paraId="2B285175">
            <w:pPr>
              <w:spacing w:line="220" w:lineRule="exact"/>
              <w:rPr>
                <w:rFonts w:ascii="Arial"/>
                <w:sz w:val="19"/>
              </w:rPr>
            </w:pPr>
          </w:p>
        </w:tc>
        <w:tc>
          <w:tcPr>
            <w:tcW w:w="219" w:type="dxa"/>
            <w:vAlign w:val="top"/>
          </w:tcPr>
          <w:p w14:paraId="5258610A">
            <w:pPr>
              <w:spacing w:line="220" w:lineRule="exact"/>
              <w:rPr>
                <w:rFonts w:ascii="Arial"/>
                <w:sz w:val="19"/>
              </w:rPr>
            </w:pPr>
          </w:p>
        </w:tc>
        <w:tc>
          <w:tcPr>
            <w:tcW w:w="230" w:type="dxa"/>
            <w:vAlign w:val="top"/>
          </w:tcPr>
          <w:p w14:paraId="0923C366">
            <w:pPr>
              <w:spacing w:line="220" w:lineRule="exact"/>
              <w:rPr>
                <w:rFonts w:ascii="Arial"/>
                <w:sz w:val="19"/>
              </w:rPr>
            </w:pPr>
          </w:p>
        </w:tc>
        <w:tc>
          <w:tcPr>
            <w:tcW w:w="224" w:type="dxa"/>
            <w:vAlign w:val="top"/>
          </w:tcPr>
          <w:p w14:paraId="644F20DD">
            <w:pPr>
              <w:spacing w:line="220" w:lineRule="exact"/>
              <w:rPr>
                <w:rFonts w:ascii="Arial"/>
                <w:sz w:val="19"/>
              </w:rPr>
            </w:pPr>
          </w:p>
        </w:tc>
      </w:tr>
      <w:tr w14:paraId="4F1854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 w:hRule="atLeast"/>
        </w:trPr>
        <w:tc>
          <w:tcPr>
            <w:tcW w:w="873" w:type="dxa"/>
            <w:vMerge w:val="continue"/>
            <w:tcBorders>
              <w:top w:val="nil"/>
              <w:bottom w:val="nil"/>
            </w:tcBorders>
            <w:vAlign w:val="top"/>
          </w:tcPr>
          <w:p w14:paraId="00495174">
            <w:pPr>
              <w:rPr>
                <w:rFonts w:ascii="Arial"/>
                <w:sz w:val="21"/>
              </w:rPr>
            </w:pPr>
          </w:p>
        </w:tc>
        <w:tc>
          <w:tcPr>
            <w:tcW w:w="2324" w:type="dxa"/>
            <w:vMerge w:val="continue"/>
            <w:tcBorders>
              <w:top w:val="nil"/>
              <w:bottom w:val="nil"/>
            </w:tcBorders>
            <w:vAlign w:val="top"/>
          </w:tcPr>
          <w:p w14:paraId="6F60BE19">
            <w:pPr>
              <w:rPr>
                <w:rFonts w:ascii="Arial"/>
                <w:sz w:val="21"/>
              </w:rPr>
            </w:pPr>
          </w:p>
        </w:tc>
        <w:tc>
          <w:tcPr>
            <w:tcW w:w="220" w:type="dxa"/>
            <w:vAlign w:val="top"/>
          </w:tcPr>
          <w:p w14:paraId="6AFB44E8">
            <w:pPr>
              <w:rPr>
                <w:rFonts w:ascii="Arial"/>
                <w:sz w:val="21"/>
              </w:rPr>
            </w:pPr>
          </w:p>
        </w:tc>
        <w:tc>
          <w:tcPr>
            <w:tcW w:w="219" w:type="dxa"/>
            <w:vAlign w:val="top"/>
          </w:tcPr>
          <w:p w14:paraId="50D0B0D5">
            <w:pPr>
              <w:rPr>
                <w:rFonts w:ascii="Arial"/>
                <w:sz w:val="21"/>
              </w:rPr>
            </w:pPr>
          </w:p>
        </w:tc>
        <w:tc>
          <w:tcPr>
            <w:tcW w:w="230" w:type="dxa"/>
            <w:vAlign w:val="top"/>
          </w:tcPr>
          <w:p w14:paraId="55949083">
            <w:pPr>
              <w:rPr>
                <w:rFonts w:ascii="Arial"/>
                <w:sz w:val="21"/>
              </w:rPr>
            </w:pPr>
          </w:p>
        </w:tc>
        <w:tc>
          <w:tcPr>
            <w:tcW w:w="224" w:type="dxa"/>
            <w:vAlign w:val="top"/>
          </w:tcPr>
          <w:p w14:paraId="52C17510">
            <w:pPr>
              <w:rPr>
                <w:rFonts w:ascii="Arial"/>
                <w:sz w:val="21"/>
              </w:rPr>
            </w:pPr>
          </w:p>
        </w:tc>
      </w:tr>
      <w:tr w14:paraId="2BA244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0" w:hRule="atLeast"/>
        </w:trPr>
        <w:tc>
          <w:tcPr>
            <w:tcW w:w="873" w:type="dxa"/>
            <w:vMerge w:val="continue"/>
            <w:tcBorders>
              <w:top w:val="nil"/>
            </w:tcBorders>
            <w:vAlign w:val="top"/>
          </w:tcPr>
          <w:p w14:paraId="03C8AA0C">
            <w:pPr>
              <w:rPr>
                <w:rFonts w:ascii="Arial"/>
                <w:sz w:val="21"/>
              </w:rPr>
            </w:pPr>
          </w:p>
        </w:tc>
        <w:tc>
          <w:tcPr>
            <w:tcW w:w="2324" w:type="dxa"/>
            <w:vMerge w:val="continue"/>
            <w:tcBorders>
              <w:top w:val="nil"/>
            </w:tcBorders>
            <w:vAlign w:val="top"/>
          </w:tcPr>
          <w:p w14:paraId="3050D39A">
            <w:pPr>
              <w:rPr>
                <w:rFonts w:ascii="Arial"/>
                <w:sz w:val="21"/>
              </w:rPr>
            </w:pPr>
          </w:p>
        </w:tc>
        <w:tc>
          <w:tcPr>
            <w:tcW w:w="220" w:type="dxa"/>
            <w:vAlign w:val="top"/>
          </w:tcPr>
          <w:p w14:paraId="20F67D46">
            <w:pPr>
              <w:spacing w:line="220" w:lineRule="exact"/>
              <w:rPr>
                <w:rFonts w:ascii="Arial"/>
                <w:sz w:val="19"/>
              </w:rPr>
            </w:pPr>
          </w:p>
        </w:tc>
        <w:tc>
          <w:tcPr>
            <w:tcW w:w="219" w:type="dxa"/>
            <w:vAlign w:val="top"/>
          </w:tcPr>
          <w:p w14:paraId="1287D762">
            <w:pPr>
              <w:spacing w:line="220" w:lineRule="exact"/>
              <w:rPr>
                <w:rFonts w:ascii="Arial"/>
                <w:sz w:val="19"/>
              </w:rPr>
            </w:pPr>
          </w:p>
        </w:tc>
        <w:tc>
          <w:tcPr>
            <w:tcW w:w="230" w:type="dxa"/>
            <w:vAlign w:val="top"/>
          </w:tcPr>
          <w:p w14:paraId="683FD66F">
            <w:pPr>
              <w:spacing w:line="220" w:lineRule="exact"/>
              <w:rPr>
                <w:rFonts w:ascii="Arial"/>
                <w:sz w:val="19"/>
              </w:rPr>
            </w:pPr>
          </w:p>
        </w:tc>
        <w:tc>
          <w:tcPr>
            <w:tcW w:w="224" w:type="dxa"/>
            <w:vAlign w:val="top"/>
          </w:tcPr>
          <w:p w14:paraId="7A075F26">
            <w:pPr>
              <w:spacing w:line="220" w:lineRule="exact"/>
              <w:rPr>
                <w:rFonts w:ascii="Arial"/>
                <w:sz w:val="19"/>
              </w:rPr>
            </w:pPr>
          </w:p>
        </w:tc>
      </w:tr>
      <w:tr w14:paraId="00D7FC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0" w:hRule="atLeast"/>
        </w:trPr>
        <w:tc>
          <w:tcPr>
            <w:tcW w:w="873" w:type="dxa"/>
            <w:vMerge w:val="restart"/>
            <w:tcBorders>
              <w:bottom w:val="nil"/>
            </w:tcBorders>
            <w:vAlign w:val="top"/>
          </w:tcPr>
          <w:p w14:paraId="006C6E4C">
            <w:pPr>
              <w:spacing w:line="243" w:lineRule="auto"/>
              <w:rPr>
                <w:rFonts w:ascii="Arial"/>
                <w:sz w:val="21"/>
              </w:rPr>
            </w:pPr>
          </w:p>
          <w:p w14:paraId="3B9B58F3">
            <w:pPr>
              <w:spacing w:line="243" w:lineRule="auto"/>
              <w:rPr>
                <w:rFonts w:ascii="Arial"/>
                <w:sz w:val="21"/>
              </w:rPr>
            </w:pPr>
          </w:p>
          <w:p w14:paraId="18AD2A80">
            <w:pPr>
              <w:spacing w:line="243" w:lineRule="auto"/>
              <w:rPr>
                <w:rFonts w:ascii="Arial"/>
                <w:sz w:val="21"/>
              </w:rPr>
            </w:pPr>
          </w:p>
          <w:p w14:paraId="6E414924">
            <w:pPr>
              <w:pStyle w:val="6"/>
              <w:spacing w:before="58" w:line="219" w:lineRule="auto"/>
              <w:ind w:left="65"/>
              <w:rPr>
                <w:sz w:val="18"/>
                <w:szCs w:val="18"/>
              </w:rPr>
            </w:pPr>
            <w:r>
              <w:rPr>
                <w:spacing w:val="-2"/>
                <w:sz w:val="18"/>
                <w:szCs w:val="18"/>
              </w:rPr>
              <w:t>肝和胆囊</w:t>
            </w:r>
          </w:p>
        </w:tc>
        <w:tc>
          <w:tcPr>
            <w:tcW w:w="2324" w:type="dxa"/>
            <w:vMerge w:val="restart"/>
            <w:tcBorders>
              <w:bottom w:val="nil"/>
            </w:tcBorders>
            <w:vAlign w:val="top"/>
          </w:tcPr>
          <w:p w14:paraId="3CD34FA5">
            <w:pPr>
              <w:pStyle w:val="6"/>
              <w:spacing w:before="33" w:line="221" w:lineRule="auto"/>
              <w:ind w:left="12"/>
              <w:rPr>
                <w:sz w:val="18"/>
                <w:szCs w:val="18"/>
              </w:rPr>
            </w:pPr>
            <w:r>
              <w:rPr>
                <w:spacing w:val="1"/>
                <w:sz w:val="18"/>
                <w:szCs w:val="18"/>
              </w:rPr>
              <w:t>1.肝的位置和形态</w:t>
            </w:r>
          </w:p>
          <w:p w14:paraId="3CA93045">
            <w:pPr>
              <w:pStyle w:val="6"/>
              <w:spacing w:before="13" w:line="215" w:lineRule="auto"/>
              <w:ind w:left="12"/>
              <w:rPr>
                <w:sz w:val="18"/>
                <w:szCs w:val="18"/>
              </w:rPr>
            </w:pPr>
            <w:r>
              <w:rPr>
                <w:spacing w:val="-1"/>
                <w:sz w:val="18"/>
                <w:szCs w:val="18"/>
              </w:rPr>
              <w:t>2.肝上、下界的体表投影</w:t>
            </w:r>
          </w:p>
          <w:p w14:paraId="66E297BA">
            <w:pPr>
              <w:pStyle w:val="6"/>
              <w:spacing w:line="222" w:lineRule="auto"/>
              <w:ind w:left="12" w:right="131"/>
              <w:rPr>
                <w:sz w:val="18"/>
                <w:szCs w:val="18"/>
              </w:rPr>
            </w:pPr>
            <w:r>
              <w:rPr>
                <w:sz w:val="18"/>
                <w:szCs w:val="18"/>
              </w:rPr>
              <w:t>3.胆囊的位置、形态和分部</w:t>
            </w:r>
            <w:r>
              <w:rPr>
                <w:spacing w:val="9"/>
                <w:sz w:val="18"/>
                <w:szCs w:val="18"/>
              </w:rPr>
              <w:t xml:space="preserve"> </w:t>
            </w:r>
            <w:r>
              <w:rPr>
                <w:spacing w:val="-1"/>
                <w:sz w:val="18"/>
                <w:szCs w:val="18"/>
              </w:rPr>
              <w:t>4.胆囊底的体表投影</w:t>
            </w:r>
          </w:p>
          <w:p w14:paraId="2A713EDE">
            <w:pPr>
              <w:pStyle w:val="6"/>
              <w:spacing w:before="16" w:line="217" w:lineRule="auto"/>
              <w:ind w:left="12" w:right="127"/>
              <w:rPr>
                <w:sz w:val="18"/>
                <w:szCs w:val="18"/>
              </w:rPr>
            </w:pPr>
            <w:r>
              <w:rPr>
                <w:spacing w:val="1"/>
                <w:sz w:val="18"/>
                <w:szCs w:val="18"/>
              </w:rPr>
              <w:t>5.输胆管道的组成和胆汁的</w:t>
            </w:r>
            <w:r>
              <w:rPr>
                <w:sz w:val="18"/>
                <w:szCs w:val="18"/>
              </w:rPr>
              <w:t xml:space="preserve"> </w:t>
            </w:r>
            <w:r>
              <w:rPr>
                <w:spacing w:val="-1"/>
                <w:sz w:val="18"/>
                <w:szCs w:val="18"/>
              </w:rPr>
              <w:t>产生及其排出途径</w:t>
            </w:r>
          </w:p>
          <w:p w14:paraId="23E323A7">
            <w:pPr>
              <w:pStyle w:val="6"/>
              <w:spacing w:before="17" w:line="192" w:lineRule="auto"/>
              <w:ind w:left="12" w:right="150"/>
              <w:rPr>
                <w:sz w:val="18"/>
                <w:szCs w:val="18"/>
              </w:rPr>
            </w:pPr>
            <w:r>
              <w:rPr>
                <w:spacing w:val="-1"/>
                <w:sz w:val="18"/>
                <w:szCs w:val="18"/>
              </w:rPr>
              <w:t>6.唾液腺的位置及导管的开</w:t>
            </w:r>
            <w:r>
              <w:rPr>
                <w:spacing w:val="3"/>
                <w:sz w:val="18"/>
                <w:szCs w:val="18"/>
              </w:rPr>
              <w:t xml:space="preserve"> </w:t>
            </w:r>
            <w:r>
              <w:rPr>
                <w:spacing w:val="2"/>
                <w:sz w:val="18"/>
                <w:szCs w:val="18"/>
              </w:rPr>
              <w:t>口部位</w:t>
            </w:r>
          </w:p>
        </w:tc>
        <w:tc>
          <w:tcPr>
            <w:tcW w:w="220" w:type="dxa"/>
            <w:vAlign w:val="top"/>
          </w:tcPr>
          <w:p w14:paraId="7B65F277">
            <w:pPr>
              <w:spacing w:line="200" w:lineRule="exact"/>
              <w:rPr>
                <w:rFonts w:ascii="Arial"/>
                <w:sz w:val="17"/>
              </w:rPr>
            </w:pPr>
          </w:p>
        </w:tc>
        <w:tc>
          <w:tcPr>
            <w:tcW w:w="219" w:type="dxa"/>
            <w:vAlign w:val="top"/>
          </w:tcPr>
          <w:p w14:paraId="5933D019">
            <w:pPr>
              <w:spacing w:line="200" w:lineRule="exact"/>
              <w:rPr>
                <w:rFonts w:ascii="Arial"/>
                <w:sz w:val="17"/>
              </w:rPr>
            </w:pPr>
          </w:p>
        </w:tc>
        <w:tc>
          <w:tcPr>
            <w:tcW w:w="230" w:type="dxa"/>
            <w:vAlign w:val="top"/>
          </w:tcPr>
          <w:p w14:paraId="6D213138">
            <w:pPr>
              <w:spacing w:line="200" w:lineRule="exact"/>
              <w:rPr>
                <w:rFonts w:ascii="Arial"/>
                <w:sz w:val="17"/>
              </w:rPr>
            </w:pPr>
          </w:p>
        </w:tc>
        <w:tc>
          <w:tcPr>
            <w:tcW w:w="224" w:type="dxa"/>
            <w:vAlign w:val="top"/>
          </w:tcPr>
          <w:p w14:paraId="0874B742">
            <w:pPr>
              <w:spacing w:line="200" w:lineRule="exact"/>
              <w:rPr>
                <w:rFonts w:ascii="Arial"/>
                <w:sz w:val="17"/>
              </w:rPr>
            </w:pPr>
          </w:p>
        </w:tc>
      </w:tr>
      <w:tr w14:paraId="53859F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0" w:hRule="atLeast"/>
        </w:trPr>
        <w:tc>
          <w:tcPr>
            <w:tcW w:w="873" w:type="dxa"/>
            <w:vMerge w:val="continue"/>
            <w:tcBorders>
              <w:top w:val="nil"/>
              <w:bottom w:val="nil"/>
            </w:tcBorders>
            <w:vAlign w:val="top"/>
          </w:tcPr>
          <w:p w14:paraId="7C89450C">
            <w:pPr>
              <w:rPr>
                <w:rFonts w:ascii="Arial"/>
                <w:sz w:val="21"/>
              </w:rPr>
            </w:pPr>
          </w:p>
        </w:tc>
        <w:tc>
          <w:tcPr>
            <w:tcW w:w="2324" w:type="dxa"/>
            <w:vMerge w:val="continue"/>
            <w:tcBorders>
              <w:top w:val="nil"/>
              <w:bottom w:val="nil"/>
            </w:tcBorders>
            <w:vAlign w:val="top"/>
          </w:tcPr>
          <w:p w14:paraId="6D590D36">
            <w:pPr>
              <w:rPr>
                <w:rFonts w:ascii="Arial"/>
                <w:sz w:val="21"/>
              </w:rPr>
            </w:pPr>
          </w:p>
        </w:tc>
        <w:tc>
          <w:tcPr>
            <w:tcW w:w="220" w:type="dxa"/>
            <w:vAlign w:val="top"/>
          </w:tcPr>
          <w:p w14:paraId="6CD84C45">
            <w:pPr>
              <w:spacing w:line="210" w:lineRule="exact"/>
              <w:rPr>
                <w:rFonts w:ascii="Arial"/>
                <w:sz w:val="18"/>
              </w:rPr>
            </w:pPr>
          </w:p>
        </w:tc>
        <w:tc>
          <w:tcPr>
            <w:tcW w:w="219" w:type="dxa"/>
            <w:vAlign w:val="top"/>
          </w:tcPr>
          <w:p w14:paraId="65340770">
            <w:pPr>
              <w:spacing w:line="210" w:lineRule="exact"/>
              <w:rPr>
                <w:rFonts w:ascii="Arial"/>
                <w:sz w:val="18"/>
              </w:rPr>
            </w:pPr>
          </w:p>
        </w:tc>
        <w:tc>
          <w:tcPr>
            <w:tcW w:w="230" w:type="dxa"/>
            <w:vAlign w:val="top"/>
          </w:tcPr>
          <w:p w14:paraId="607BA52B">
            <w:pPr>
              <w:spacing w:line="210" w:lineRule="exact"/>
              <w:rPr>
                <w:rFonts w:ascii="Arial"/>
                <w:sz w:val="18"/>
              </w:rPr>
            </w:pPr>
          </w:p>
        </w:tc>
        <w:tc>
          <w:tcPr>
            <w:tcW w:w="224" w:type="dxa"/>
            <w:vAlign w:val="top"/>
          </w:tcPr>
          <w:p w14:paraId="13D9DC80">
            <w:pPr>
              <w:spacing w:line="210" w:lineRule="exact"/>
              <w:rPr>
                <w:rFonts w:ascii="Arial"/>
                <w:sz w:val="18"/>
              </w:rPr>
            </w:pPr>
          </w:p>
        </w:tc>
      </w:tr>
      <w:tr w14:paraId="6C87D7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9" w:hRule="atLeast"/>
        </w:trPr>
        <w:tc>
          <w:tcPr>
            <w:tcW w:w="873" w:type="dxa"/>
            <w:vMerge w:val="continue"/>
            <w:tcBorders>
              <w:top w:val="nil"/>
              <w:bottom w:val="nil"/>
            </w:tcBorders>
            <w:vAlign w:val="top"/>
          </w:tcPr>
          <w:p w14:paraId="436C3D42">
            <w:pPr>
              <w:rPr>
                <w:rFonts w:ascii="Arial"/>
                <w:sz w:val="21"/>
              </w:rPr>
            </w:pPr>
          </w:p>
        </w:tc>
        <w:tc>
          <w:tcPr>
            <w:tcW w:w="2324" w:type="dxa"/>
            <w:vMerge w:val="continue"/>
            <w:tcBorders>
              <w:top w:val="nil"/>
              <w:bottom w:val="nil"/>
            </w:tcBorders>
            <w:vAlign w:val="top"/>
          </w:tcPr>
          <w:p w14:paraId="7A8DEC18">
            <w:pPr>
              <w:rPr>
                <w:rFonts w:ascii="Arial"/>
                <w:sz w:val="21"/>
              </w:rPr>
            </w:pPr>
          </w:p>
        </w:tc>
        <w:tc>
          <w:tcPr>
            <w:tcW w:w="220" w:type="dxa"/>
            <w:vAlign w:val="top"/>
          </w:tcPr>
          <w:p w14:paraId="0BBB4188">
            <w:pPr>
              <w:spacing w:line="198" w:lineRule="exact"/>
              <w:rPr>
                <w:rFonts w:ascii="Arial"/>
                <w:sz w:val="17"/>
              </w:rPr>
            </w:pPr>
          </w:p>
        </w:tc>
        <w:tc>
          <w:tcPr>
            <w:tcW w:w="219" w:type="dxa"/>
            <w:vAlign w:val="top"/>
          </w:tcPr>
          <w:p w14:paraId="1DAB6C50">
            <w:pPr>
              <w:spacing w:line="198" w:lineRule="exact"/>
              <w:rPr>
                <w:rFonts w:ascii="Arial"/>
                <w:sz w:val="17"/>
              </w:rPr>
            </w:pPr>
          </w:p>
        </w:tc>
        <w:tc>
          <w:tcPr>
            <w:tcW w:w="230" w:type="dxa"/>
            <w:vAlign w:val="top"/>
          </w:tcPr>
          <w:p w14:paraId="0768E322">
            <w:pPr>
              <w:spacing w:line="198" w:lineRule="exact"/>
              <w:rPr>
                <w:rFonts w:ascii="Arial"/>
                <w:sz w:val="17"/>
              </w:rPr>
            </w:pPr>
          </w:p>
        </w:tc>
        <w:tc>
          <w:tcPr>
            <w:tcW w:w="224" w:type="dxa"/>
            <w:vAlign w:val="top"/>
          </w:tcPr>
          <w:p w14:paraId="0E30B150">
            <w:pPr>
              <w:spacing w:line="198" w:lineRule="exact"/>
              <w:rPr>
                <w:rFonts w:ascii="Arial"/>
                <w:sz w:val="17"/>
              </w:rPr>
            </w:pPr>
          </w:p>
        </w:tc>
      </w:tr>
      <w:tr w14:paraId="400A69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0" w:hRule="atLeast"/>
        </w:trPr>
        <w:tc>
          <w:tcPr>
            <w:tcW w:w="873" w:type="dxa"/>
            <w:vMerge w:val="continue"/>
            <w:tcBorders>
              <w:top w:val="nil"/>
              <w:bottom w:val="nil"/>
            </w:tcBorders>
            <w:vAlign w:val="top"/>
          </w:tcPr>
          <w:p w14:paraId="76900A73">
            <w:pPr>
              <w:rPr>
                <w:rFonts w:ascii="Arial"/>
                <w:sz w:val="21"/>
              </w:rPr>
            </w:pPr>
          </w:p>
        </w:tc>
        <w:tc>
          <w:tcPr>
            <w:tcW w:w="2324" w:type="dxa"/>
            <w:vMerge w:val="continue"/>
            <w:tcBorders>
              <w:top w:val="nil"/>
              <w:bottom w:val="nil"/>
            </w:tcBorders>
            <w:vAlign w:val="top"/>
          </w:tcPr>
          <w:p w14:paraId="4C57861A">
            <w:pPr>
              <w:rPr>
                <w:rFonts w:ascii="Arial"/>
                <w:sz w:val="21"/>
              </w:rPr>
            </w:pPr>
          </w:p>
        </w:tc>
        <w:tc>
          <w:tcPr>
            <w:tcW w:w="220" w:type="dxa"/>
            <w:vAlign w:val="top"/>
          </w:tcPr>
          <w:p w14:paraId="775682BC">
            <w:pPr>
              <w:spacing w:line="210" w:lineRule="exact"/>
              <w:rPr>
                <w:rFonts w:ascii="Arial"/>
                <w:sz w:val="18"/>
              </w:rPr>
            </w:pPr>
          </w:p>
        </w:tc>
        <w:tc>
          <w:tcPr>
            <w:tcW w:w="219" w:type="dxa"/>
            <w:vAlign w:val="top"/>
          </w:tcPr>
          <w:p w14:paraId="0846BA9E">
            <w:pPr>
              <w:spacing w:line="210" w:lineRule="exact"/>
              <w:rPr>
                <w:rFonts w:ascii="Arial"/>
                <w:sz w:val="18"/>
              </w:rPr>
            </w:pPr>
          </w:p>
        </w:tc>
        <w:tc>
          <w:tcPr>
            <w:tcW w:w="230" w:type="dxa"/>
            <w:vAlign w:val="top"/>
          </w:tcPr>
          <w:p w14:paraId="74D19BC3">
            <w:pPr>
              <w:spacing w:line="210" w:lineRule="exact"/>
              <w:rPr>
                <w:rFonts w:ascii="Arial"/>
                <w:sz w:val="18"/>
              </w:rPr>
            </w:pPr>
          </w:p>
        </w:tc>
        <w:tc>
          <w:tcPr>
            <w:tcW w:w="224" w:type="dxa"/>
            <w:vAlign w:val="top"/>
          </w:tcPr>
          <w:p w14:paraId="2BE876B1">
            <w:pPr>
              <w:spacing w:line="210" w:lineRule="exact"/>
              <w:rPr>
                <w:rFonts w:ascii="Arial"/>
                <w:sz w:val="18"/>
              </w:rPr>
            </w:pPr>
          </w:p>
        </w:tc>
      </w:tr>
      <w:tr w14:paraId="7C2525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9" w:hRule="atLeast"/>
        </w:trPr>
        <w:tc>
          <w:tcPr>
            <w:tcW w:w="873" w:type="dxa"/>
            <w:vMerge w:val="continue"/>
            <w:tcBorders>
              <w:top w:val="nil"/>
              <w:bottom w:val="nil"/>
            </w:tcBorders>
            <w:vAlign w:val="top"/>
          </w:tcPr>
          <w:p w14:paraId="71C71900">
            <w:pPr>
              <w:rPr>
                <w:rFonts w:ascii="Arial"/>
                <w:sz w:val="21"/>
              </w:rPr>
            </w:pPr>
          </w:p>
        </w:tc>
        <w:tc>
          <w:tcPr>
            <w:tcW w:w="2324" w:type="dxa"/>
            <w:vMerge w:val="continue"/>
            <w:tcBorders>
              <w:top w:val="nil"/>
              <w:bottom w:val="nil"/>
            </w:tcBorders>
            <w:vAlign w:val="top"/>
          </w:tcPr>
          <w:p w14:paraId="598218BC">
            <w:pPr>
              <w:rPr>
                <w:rFonts w:ascii="Arial"/>
                <w:sz w:val="21"/>
              </w:rPr>
            </w:pPr>
          </w:p>
        </w:tc>
        <w:tc>
          <w:tcPr>
            <w:tcW w:w="220" w:type="dxa"/>
            <w:vAlign w:val="top"/>
          </w:tcPr>
          <w:p w14:paraId="6D9BF185">
            <w:pPr>
              <w:rPr>
                <w:rFonts w:ascii="Arial"/>
                <w:sz w:val="21"/>
              </w:rPr>
            </w:pPr>
          </w:p>
        </w:tc>
        <w:tc>
          <w:tcPr>
            <w:tcW w:w="219" w:type="dxa"/>
            <w:vAlign w:val="top"/>
          </w:tcPr>
          <w:p w14:paraId="2500090C">
            <w:pPr>
              <w:rPr>
                <w:rFonts w:ascii="Arial"/>
                <w:sz w:val="21"/>
              </w:rPr>
            </w:pPr>
          </w:p>
        </w:tc>
        <w:tc>
          <w:tcPr>
            <w:tcW w:w="230" w:type="dxa"/>
            <w:vAlign w:val="top"/>
          </w:tcPr>
          <w:p w14:paraId="26E4470C">
            <w:pPr>
              <w:rPr>
                <w:rFonts w:ascii="Arial"/>
                <w:sz w:val="21"/>
              </w:rPr>
            </w:pPr>
          </w:p>
        </w:tc>
        <w:tc>
          <w:tcPr>
            <w:tcW w:w="224" w:type="dxa"/>
            <w:vAlign w:val="top"/>
          </w:tcPr>
          <w:p w14:paraId="391BBE9D">
            <w:pPr>
              <w:rPr>
                <w:rFonts w:ascii="Arial"/>
                <w:sz w:val="21"/>
              </w:rPr>
            </w:pPr>
          </w:p>
        </w:tc>
      </w:tr>
      <w:tr w14:paraId="73FB55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9" w:hRule="atLeast"/>
        </w:trPr>
        <w:tc>
          <w:tcPr>
            <w:tcW w:w="873" w:type="dxa"/>
            <w:vMerge w:val="continue"/>
            <w:tcBorders>
              <w:top w:val="nil"/>
            </w:tcBorders>
            <w:vAlign w:val="top"/>
          </w:tcPr>
          <w:p w14:paraId="4CBC243D">
            <w:pPr>
              <w:rPr>
                <w:rFonts w:ascii="Arial"/>
                <w:sz w:val="21"/>
              </w:rPr>
            </w:pPr>
          </w:p>
        </w:tc>
        <w:tc>
          <w:tcPr>
            <w:tcW w:w="2324" w:type="dxa"/>
            <w:vMerge w:val="continue"/>
            <w:tcBorders>
              <w:top w:val="nil"/>
            </w:tcBorders>
            <w:vAlign w:val="top"/>
          </w:tcPr>
          <w:p w14:paraId="140DFEF6">
            <w:pPr>
              <w:rPr>
                <w:rFonts w:ascii="Arial"/>
                <w:sz w:val="21"/>
              </w:rPr>
            </w:pPr>
          </w:p>
        </w:tc>
        <w:tc>
          <w:tcPr>
            <w:tcW w:w="220" w:type="dxa"/>
            <w:vAlign w:val="top"/>
          </w:tcPr>
          <w:p w14:paraId="15292F76">
            <w:pPr>
              <w:rPr>
                <w:rFonts w:ascii="Arial"/>
                <w:sz w:val="21"/>
              </w:rPr>
            </w:pPr>
          </w:p>
        </w:tc>
        <w:tc>
          <w:tcPr>
            <w:tcW w:w="219" w:type="dxa"/>
            <w:vAlign w:val="top"/>
          </w:tcPr>
          <w:p w14:paraId="4CC99689">
            <w:pPr>
              <w:rPr>
                <w:rFonts w:ascii="Arial"/>
                <w:sz w:val="21"/>
              </w:rPr>
            </w:pPr>
          </w:p>
        </w:tc>
        <w:tc>
          <w:tcPr>
            <w:tcW w:w="230" w:type="dxa"/>
            <w:vAlign w:val="top"/>
          </w:tcPr>
          <w:p w14:paraId="3C3113EF">
            <w:pPr>
              <w:rPr>
                <w:rFonts w:ascii="Arial"/>
                <w:sz w:val="21"/>
              </w:rPr>
            </w:pPr>
          </w:p>
        </w:tc>
        <w:tc>
          <w:tcPr>
            <w:tcW w:w="224" w:type="dxa"/>
            <w:vAlign w:val="top"/>
          </w:tcPr>
          <w:p w14:paraId="1AAFF18E">
            <w:pPr>
              <w:rPr>
                <w:rFonts w:ascii="Arial"/>
                <w:sz w:val="21"/>
              </w:rPr>
            </w:pPr>
          </w:p>
        </w:tc>
      </w:tr>
      <w:tr w14:paraId="264DD6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59" w:hRule="atLeast"/>
        </w:trPr>
        <w:tc>
          <w:tcPr>
            <w:tcW w:w="873" w:type="dxa"/>
            <w:vAlign w:val="top"/>
          </w:tcPr>
          <w:p w14:paraId="01667E50">
            <w:pPr>
              <w:pStyle w:val="6"/>
              <w:spacing w:before="245" w:line="220" w:lineRule="auto"/>
              <w:ind w:left="335"/>
              <w:rPr>
                <w:sz w:val="18"/>
                <w:szCs w:val="18"/>
              </w:rPr>
            </w:pPr>
            <w:r>
              <w:rPr>
                <w:sz w:val="18"/>
                <w:szCs w:val="18"/>
              </w:rPr>
              <w:t>胰</w:t>
            </w:r>
          </w:p>
        </w:tc>
        <w:tc>
          <w:tcPr>
            <w:tcW w:w="2324" w:type="dxa"/>
            <w:vAlign w:val="top"/>
          </w:tcPr>
          <w:p w14:paraId="0AC56AC9">
            <w:pPr>
              <w:pStyle w:val="6"/>
              <w:spacing w:before="154" w:line="233" w:lineRule="auto"/>
              <w:ind w:left="12" w:right="118" w:firstLine="29"/>
              <w:rPr>
                <w:sz w:val="18"/>
                <w:szCs w:val="18"/>
              </w:rPr>
            </w:pPr>
            <w:r>
              <w:rPr>
                <w:spacing w:val="-1"/>
                <w:sz w:val="18"/>
                <w:szCs w:val="18"/>
              </w:rPr>
              <w:t>胰的位置、分部和胰管的开</w:t>
            </w:r>
            <w:r>
              <w:rPr>
                <w:spacing w:val="4"/>
                <w:sz w:val="18"/>
                <w:szCs w:val="18"/>
              </w:rPr>
              <w:t xml:space="preserve"> </w:t>
            </w:r>
            <w:r>
              <w:rPr>
                <w:spacing w:val="2"/>
                <w:sz w:val="18"/>
                <w:szCs w:val="18"/>
              </w:rPr>
              <w:t>口部位</w:t>
            </w:r>
          </w:p>
        </w:tc>
        <w:tc>
          <w:tcPr>
            <w:tcW w:w="220" w:type="dxa"/>
            <w:vAlign w:val="top"/>
          </w:tcPr>
          <w:p w14:paraId="4AA05509">
            <w:pPr>
              <w:rPr>
                <w:rFonts w:ascii="Arial"/>
                <w:sz w:val="21"/>
              </w:rPr>
            </w:pPr>
          </w:p>
        </w:tc>
        <w:tc>
          <w:tcPr>
            <w:tcW w:w="219" w:type="dxa"/>
            <w:vAlign w:val="top"/>
          </w:tcPr>
          <w:p w14:paraId="214B9F49">
            <w:pPr>
              <w:rPr>
                <w:rFonts w:ascii="Arial"/>
                <w:sz w:val="21"/>
              </w:rPr>
            </w:pPr>
          </w:p>
        </w:tc>
        <w:tc>
          <w:tcPr>
            <w:tcW w:w="230" w:type="dxa"/>
            <w:vAlign w:val="top"/>
          </w:tcPr>
          <w:p w14:paraId="5BFCA809">
            <w:pPr>
              <w:rPr>
                <w:rFonts w:ascii="Arial"/>
                <w:sz w:val="21"/>
              </w:rPr>
            </w:pPr>
          </w:p>
        </w:tc>
        <w:tc>
          <w:tcPr>
            <w:tcW w:w="224" w:type="dxa"/>
            <w:vAlign w:val="top"/>
          </w:tcPr>
          <w:p w14:paraId="6DC010F9">
            <w:pPr>
              <w:rPr>
                <w:rFonts w:ascii="Arial"/>
                <w:sz w:val="21"/>
              </w:rPr>
            </w:pPr>
          </w:p>
        </w:tc>
      </w:tr>
      <w:tr w14:paraId="5B71E8F2">
        <w:tblPrEx>
          <w:tblCellMar>
            <w:top w:w="0" w:type="dxa"/>
            <w:left w:w="0" w:type="dxa"/>
            <w:bottom w:w="0" w:type="dxa"/>
            <w:right w:w="0" w:type="dxa"/>
          </w:tblCellMar>
        </w:tblPrEx>
        <w:trPr>
          <w:trHeight w:val="220" w:hRule="atLeast"/>
        </w:trPr>
        <w:tc>
          <w:tcPr>
            <w:tcW w:w="873" w:type="dxa"/>
            <w:vMerge w:val="restart"/>
            <w:tcBorders>
              <w:bottom w:val="nil"/>
            </w:tcBorders>
            <w:vAlign w:val="top"/>
          </w:tcPr>
          <w:p w14:paraId="6259B1E8">
            <w:pPr>
              <w:spacing w:line="267" w:lineRule="auto"/>
              <w:rPr>
                <w:rFonts w:ascii="Arial"/>
                <w:sz w:val="21"/>
              </w:rPr>
            </w:pPr>
          </w:p>
          <w:p w14:paraId="0E4DC940">
            <w:pPr>
              <w:spacing w:line="267" w:lineRule="auto"/>
              <w:rPr>
                <w:rFonts w:ascii="Arial"/>
                <w:sz w:val="21"/>
              </w:rPr>
            </w:pPr>
          </w:p>
          <w:p w14:paraId="6648E79F">
            <w:pPr>
              <w:pStyle w:val="6"/>
              <w:spacing w:before="59" w:line="219" w:lineRule="auto"/>
              <w:ind w:left="244"/>
              <w:rPr>
                <w:sz w:val="18"/>
                <w:szCs w:val="18"/>
              </w:rPr>
            </w:pPr>
            <w:r>
              <w:rPr>
                <w:spacing w:val="-2"/>
                <w:sz w:val="18"/>
                <w:szCs w:val="18"/>
              </w:rPr>
              <w:t>腹膜</w:t>
            </w:r>
          </w:p>
        </w:tc>
        <w:tc>
          <w:tcPr>
            <w:tcW w:w="2324" w:type="dxa"/>
            <w:vMerge w:val="restart"/>
            <w:tcBorders>
              <w:bottom w:val="nil"/>
            </w:tcBorders>
            <w:vAlign w:val="top"/>
          </w:tcPr>
          <w:p w14:paraId="0B3FE628">
            <w:pPr>
              <w:pStyle w:val="6"/>
              <w:spacing w:before="86" w:line="212" w:lineRule="auto"/>
              <w:ind w:left="12" w:right="494"/>
              <w:rPr>
                <w:sz w:val="18"/>
                <w:szCs w:val="18"/>
              </w:rPr>
            </w:pPr>
            <w:r>
              <w:rPr>
                <w:sz w:val="18"/>
                <w:szCs w:val="18"/>
              </w:rPr>
              <w:t>1.腹膜与腹膜腔的概念</w:t>
            </w:r>
            <w:r>
              <w:rPr>
                <w:spacing w:val="6"/>
                <w:sz w:val="18"/>
                <w:szCs w:val="18"/>
              </w:rPr>
              <w:t xml:space="preserve"> </w:t>
            </w:r>
            <w:r>
              <w:rPr>
                <w:spacing w:val="1"/>
                <w:sz w:val="18"/>
                <w:szCs w:val="18"/>
              </w:rPr>
              <w:t>2.腹膜与脏器的关系</w:t>
            </w:r>
          </w:p>
          <w:p w14:paraId="0ACBF6B9">
            <w:pPr>
              <w:pStyle w:val="6"/>
              <w:spacing w:before="26" w:line="212" w:lineRule="auto"/>
              <w:ind w:left="12" w:right="508"/>
              <w:rPr>
                <w:sz w:val="18"/>
                <w:szCs w:val="18"/>
              </w:rPr>
            </w:pPr>
            <w:r>
              <w:rPr>
                <w:spacing w:val="-1"/>
                <w:sz w:val="18"/>
                <w:szCs w:val="18"/>
              </w:rPr>
              <w:t>3.大网膜的位置与功能</w:t>
            </w:r>
            <w:r>
              <w:rPr>
                <w:sz w:val="18"/>
                <w:szCs w:val="18"/>
              </w:rPr>
              <w:t xml:space="preserve"> </w:t>
            </w:r>
            <w:r>
              <w:rPr>
                <w:spacing w:val="-1"/>
                <w:sz w:val="18"/>
                <w:szCs w:val="18"/>
              </w:rPr>
              <w:t>4.小网膜的位置和分部</w:t>
            </w:r>
          </w:p>
          <w:p w14:paraId="1F74DA6A">
            <w:pPr>
              <w:pStyle w:val="6"/>
              <w:spacing w:before="16" w:line="198" w:lineRule="auto"/>
              <w:ind w:left="12" w:right="108" w:firstLine="20"/>
              <w:rPr>
                <w:sz w:val="18"/>
                <w:szCs w:val="18"/>
              </w:rPr>
            </w:pPr>
            <w:r>
              <w:rPr>
                <w:spacing w:val="1"/>
                <w:sz w:val="18"/>
                <w:szCs w:val="18"/>
              </w:rPr>
              <w:t>5.子宫直肠陷凹的位置及临</w:t>
            </w:r>
            <w:r>
              <w:rPr>
                <w:sz w:val="18"/>
                <w:szCs w:val="18"/>
              </w:rPr>
              <w:t xml:space="preserve"> </w:t>
            </w:r>
            <w:r>
              <w:rPr>
                <w:spacing w:val="-2"/>
                <w:sz w:val="18"/>
                <w:szCs w:val="18"/>
              </w:rPr>
              <w:t>床意义</w:t>
            </w:r>
          </w:p>
        </w:tc>
        <w:tc>
          <w:tcPr>
            <w:tcW w:w="220" w:type="dxa"/>
            <w:vAlign w:val="top"/>
          </w:tcPr>
          <w:p w14:paraId="4D4CAB09">
            <w:pPr>
              <w:spacing w:line="210" w:lineRule="exact"/>
              <w:rPr>
                <w:rFonts w:ascii="Arial"/>
                <w:sz w:val="18"/>
              </w:rPr>
            </w:pPr>
          </w:p>
        </w:tc>
        <w:tc>
          <w:tcPr>
            <w:tcW w:w="219" w:type="dxa"/>
            <w:vAlign w:val="top"/>
          </w:tcPr>
          <w:p w14:paraId="29CA4CDC">
            <w:pPr>
              <w:pStyle w:val="6"/>
              <w:spacing w:before="67" w:line="203" w:lineRule="auto"/>
              <w:ind w:left="38"/>
              <w:rPr>
                <w:sz w:val="13"/>
                <w:szCs w:val="13"/>
              </w:rPr>
            </w:pPr>
            <w:r>
              <w:rPr>
                <w:sz w:val="13"/>
                <w:szCs w:val="13"/>
              </w:rPr>
              <w:t>√</w:t>
            </w:r>
          </w:p>
        </w:tc>
        <w:tc>
          <w:tcPr>
            <w:tcW w:w="230" w:type="dxa"/>
            <w:vAlign w:val="top"/>
          </w:tcPr>
          <w:p w14:paraId="258CCCFC">
            <w:pPr>
              <w:spacing w:line="210" w:lineRule="exact"/>
              <w:rPr>
                <w:rFonts w:ascii="Arial"/>
                <w:sz w:val="18"/>
              </w:rPr>
            </w:pPr>
          </w:p>
        </w:tc>
        <w:tc>
          <w:tcPr>
            <w:tcW w:w="224" w:type="dxa"/>
            <w:vAlign w:val="top"/>
          </w:tcPr>
          <w:p w14:paraId="5CCDDB33">
            <w:pPr>
              <w:spacing w:line="210" w:lineRule="exact"/>
              <w:rPr>
                <w:rFonts w:ascii="Arial"/>
                <w:sz w:val="18"/>
              </w:rPr>
            </w:pPr>
          </w:p>
        </w:tc>
      </w:tr>
      <w:tr w14:paraId="50F25B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0" w:hRule="atLeast"/>
        </w:trPr>
        <w:tc>
          <w:tcPr>
            <w:tcW w:w="873" w:type="dxa"/>
            <w:vMerge w:val="continue"/>
            <w:tcBorders>
              <w:top w:val="nil"/>
              <w:bottom w:val="nil"/>
            </w:tcBorders>
            <w:vAlign w:val="top"/>
          </w:tcPr>
          <w:p w14:paraId="09E7A864">
            <w:pPr>
              <w:rPr>
                <w:rFonts w:ascii="Arial"/>
                <w:sz w:val="21"/>
              </w:rPr>
            </w:pPr>
          </w:p>
        </w:tc>
        <w:tc>
          <w:tcPr>
            <w:tcW w:w="2324" w:type="dxa"/>
            <w:vMerge w:val="continue"/>
            <w:tcBorders>
              <w:top w:val="nil"/>
              <w:bottom w:val="nil"/>
            </w:tcBorders>
            <w:vAlign w:val="top"/>
          </w:tcPr>
          <w:p w14:paraId="082E717A">
            <w:pPr>
              <w:rPr>
                <w:rFonts w:ascii="Arial"/>
                <w:sz w:val="21"/>
              </w:rPr>
            </w:pPr>
          </w:p>
        </w:tc>
        <w:tc>
          <w:tcPr>
            <w:tcW w:w="220" w:type="dxa"/>
            <w:vAlign w:val="top"/>
          </w:tcPr>
          <w:p w14:paraId="57FC760B">
            <w:pPr>
              <w:spacing w:line="200" w:lineRule="exact"/>
              <w:rPr>
                <w:rFonts w:ascii="Arial"/>
                <w:sz w:val="17"/>
              </w:rPr>
            </w:pPr>
          </w:p>
        </w:tc>
        <w:tc>
          <w:tcPr>
            <w:tcW w:w="219" w:type="dxa"/>
            <w:vAlign w:val="top"/>
          </w:tcPr>
          <w:p w14:paraId="22645DF6">
            <w:pPr>
              <w:spacing w:line="200" w:lineRule="exact"/>
              <w:rPr>
                <w:rFonts w:ascii="Arial"/>
                <w:sz w:val="17"/>
              </w:rPr>
            </w:pPr>
          </w:p>
        </w:tc>
        <w:tc>
          <w:tcPr>
            <w:tcW w:w="230" w:type="dxa"/>
            <w:vAlign w:val="top"/>
          </w:tcPr>
          <w:p w14:paraId="38988018">
            <w:pPr>
              <w:spacing w:line="200" w:lineRule="exact"/>
              <w:rPr>
                <w:rFonts w:ascii="Arial"/>
                <w:sz w:val="17"/>
              </w:rPr>
            </w:pPr>
          </w:p>
        </w:tc>
        <w:tc>
          <w:tcPr>
            <w:tcW w:w="224" w:type="dxa"/>
            <w:vAlign w:val="top"/>
          </w:tcPr>
          <w:p w14:paraId="423993C9">
            <w:pPr>
              <w:spacing w:line="200" w:lineRule="exact"/>
              <w:rPr>
                <w:rFonts w:ascii="Arial"/>
                <w:sz w:val="17"/>
              </w:rPr>
            </w:pPr>
          </w:p>
        </w:tc>
      </w:tr>
      <w:tr w14:paraId="36E97E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9" w:hRule="atLeast"/>
        </w:trPr>
        <w:tc>
          <w:tcPr>
            <w:tcW w:w="873" w:type="dxa"/>
            <w:vMerge w:val="continue"/>
            <w:tcBorders>
              <w:top w:val="nil"/>
              <w:bottom w:val="nil"/>
            </w:tcBorders>
            <w:vAlign w:val="top"/>
          </w:tcPr>
          <w:p w14:paraId="225B307D">
            <w:pPr>
              <w:rPr>
                <w:rFonts w:ascii="Arial"/>
                <w:sz w:val="21"/>
              </w:rPr>
            </w:pPr>
          </w:p>
        </w:tc>
        <w:tc>
          <w:tcPr>
            <w:tcW w:w="2324" w:type="dxa"/>
            <w:vMerge w:val="continue"/>
            <w:tcBorders>
              <w:top w:val="nil"/>
              <w:bottom w:val="nil"/>
            </w:tcBorders>
            <w:vAlign w:val="top"/>
          </w:tcPr>
          <w:p w14:paraId="0FAFBAB9">
            <w:pPr>
              <w:rPr>
                <w:rFonts w:ascii="Arial"/>
                <w:sz w:val="21"/>
              </w:rPr>
            </w:pPr>
          </w:p>
        </w:tc>
        <w:tc>
          <w:tcPr>
            <w:tcW w:w="220" w:type="dxa"/>
            <w:vAlign w:val="top"/>
          </w:tcPr>
          <w:p w14:paraId="1087C521">
            <w:pPr>
              <w:spacing w:line="198" w:lineRule="exact"/>
              <w:rPr>
                <w:rFonts w:ascii="Arial"/>
                <w:sz w:val="17"/>
              </w:rPr>
            </w:pPr>
          </w:p>
        </w:tc>
        <w:tc>
          <w:tcPr>
            <w:tcW w:w="219" w:type="dxa"/>
            <w:vAlign w:val="top"/>
          </w:tcPr>
          <w:p w14:paraId="5928B655">
            <w:pPr>
              <w:spacing w:line="198" w:lineRule="exact"/>
              <w:rPr>
                <w:rFonts w:ascii="Arial"/>
                <w:sz w:val="17"/>
              </w:rPr>
            </w:pPr>
          </w:p>
        </w:tc>
        <w:tc>
          <w:tcPr>
            <w:tcW w:w="230" w:type="dxa"/>
            <w:vAlign w:val="top"/>
          </w:tcPr>
          <w:p w14:paraId="14AD661B">
            <w:pPr>
              <w:spacing w:line="198" w:lineRule="exact"/>
              <w:rPr>
                <w:rFonts w:ascii="Arial"/>
                <w:sz w:val="17"/>
              </w:rPr>
            </w:pPr>
          </w:p>
        </w:tc>
        <w:tc>
          <w:tcPr>
            <w:tcW w:w="224" w:type="dxa"/>
            <w:vAlign w:val="top"/>
          </w:tcPr>
          <w:p w14:paraId="04862CB6">
            <w:pPr>
              <w:spacing w:line="198" w:lineRule="exact"/>
              <w:rPr>
                <w:rFonts w:ascii="Arial"/>
                <w:sz w:val="17"/>
              </w:rPr>
            </w:pPr>
          </w:p>
        </w:tc>
      </w:tr>
      <w:tr w14:paraId="128607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0" w:hRule="atLeast"/>
        </w:trPr>
        <w:tc>
          <w:tcPr>
            <w:tcW w:w="873" w:type="dxa"/>
            <w:vMerge w:val="continue"/>
            <w:tcBorders>
              <w:top w:val="nil"/>
              <w:bottom w:val="nil"/>
            </w:tcBorders>
            <w:vAlign w:val="top"/>
          </w:tcPr>
          <w:p w14:paraId="1E4E692A">
            <w:pPr>
              <w:rPr>
                <w:rFonts w:ascii="Arial"/>
                <w:sz w:val="21"/>
              </w:rPr>
            </w:pPr>
          </w:p>
        </w:tc>
        <w:tc>
          <w:tcPr>
            <w:tcW w:w="2324" w:type="dxa"/>
            <w:vMerge w:val="continue"/>
            <w:tcBorders>
              <w:top w:val="nil"/>
              <w:bottom w:val="nil"/>
            </w:tcBorders>
            <w:vAlign w:val="top"/>
          </w:tcPr>
          <w:p w14:paraId="1981E8DF">
            <w:pPr>
              <w:rPr>
                <w:rFonts w:ascii="Arial"/>
                <w:sz w:val="21"/>
              </w:rPr>
            </w:pPr>
          </w:p>
        </w:tc>
        <w:tc>
          <w:tcPr>
            <w:tcW w:w="220" w:type="dxa"/>
            <w:vAlign w:val="top"/>
          </w:tcPr>
          <w:p w14:paraId="44C5DE6B">
            <w:pPr>
              <w:spacing w:line="210" w:lineRule="exact"/>
              <w:rPr>
                <w:rFonts w:ascii="Arial"/>
                <w:sz w:val="18"/>
              </w:rPr>
            </w:pPr>
          </w:p>
        </w:tc>
        <w:tc>
          <w:tcPr>
            <w:tcW w:w="219" w:type="dxa"/>
            <w:vAlign w:val="top"/>
          </w:tcPr>
          <w:p w14:paraId="4D52205A">
            <w:pPr>
              <w:spacing w:line="210" w:lineRule="exact"/>
              <w:rPr>
                <w:rFonts w:ascii="Arial"/>
                <w:sz w:val="18"/>
              </w:rPr>
            </w:pPr>
          </w:p>
        </w:tc>
        <w:tc>
          <w:tcPr>
            <w:tcW w:w="230" w:type="dxa"/>
            <w:vAlign w:val="top"/>
          </w:tcPr>
          <w:p w14:paraId="2ABCBFA0">
            <w:pPr>
              <w:spacing w:line="210" w:lineRule="exact"/>
              <w:rPr>
                <w:rFonts w:ascii="Arial"/>
                <w:sz w:val="18"/>
              </w:rPr>
            </w:pPr>
          </w:p>
        </w:tc>
        <w:tc>
          <w:tcPr>
            <w:tcW w:w="224" w:type="dxa"/>
            <w:vAlign w:val="top"/>
          </w:tcPr>
          <w:p w14:paraId="05E7211C">
            <w:pPr>
              <w:spacing w:line="210" w:lineRule="exact"/>
              <w:rPr>
                <w:rFonts w:ascii="Arial"/>
                <w:sz w:val="18"/>
              </w:rPr>
            </w:pPr>
          </w:p>
        </w:tc>
      </w:tr>
      <w:tr w14:paraId="6371E7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trPr>
        <w:tc>
          <w:tcPr>
            <w:tcW w:w="873" w:type="dxa"/>
            <w:vMerge w:val="continue"/>
            <w:tcBorders>
              <w:top w:val="nil"/>
            </w:tcBorders>
            <w:vAlign w:val="top"/>
          </w:tcPr>
          <w:p w14:paraId="67827012">
            <w:pPr>
              <w:rPr>
                <w:rFonts w:ascii="Arial"/>
                <w:sz w:val="21"/>
              </w:rPr>
            </w:pPr>
          </w:p>
        </w:tc>
        <w:tc>
          <w:tcPr>
            <w:tcW w:w="2324" w:type="dxa"/>
            <w:vMerge w:val="continue"/>
            <w:tcBorders>
              <w:top w:val="nil"/>
            </w:tcBorders>
            <w:vAlign w:val="top"/>
          </w:tcPr>
          <w:p w14:paraId="09CF7F72">
            <w:pPr>
              <w:rPr>
                <w:rFonts w:ascii="Arial"/>
                <w:sz w:val="21"/>
              </w:rPr>
            </w:pPr>
          </w:p>
        </w:tc>
        <w:tc>
          <w:tcPr>
            <w:tcW w:w="220" w:type="dxa"/>
            <w:vAlign w:val="top"/>
          </w:tcPr>
          <w:p w14:paraId="78A6053E">
            <w:pPr>
              <w:rPr>
                <w:rFonts w:ascii="Arial"/>
                <w:sz w:val="21"/>
              </w:rPr>
            </w:pPr>
          </w:p>
        </w:tc>
        <w:tc>
          <w:tcPr>
            <w:tcW w:w="219" w:type="dxa"/>
            <w:vAlign w:val="top"/>
          </w:tcPr>
          <w:p w14:paraId="37975807">
            <w:pPr>
              <w:rPr>
                <w:rFonts w:ascii="Arial"/>
                <w:sz w:val="21"/>
              </w:rPr>
            </w:pPr>
          </w:p>
        </w:tc>
        <w:tc>
          <w:tcPr>
            <w:tcW w:w="230" w:type="dxa"/>
            <w:vAlign w:val="top"/>
          </w:tcPr>
          <w:p w14:paraId="24F40232">
            <w:pPr>
              <w:rPr>
                <w:rFonts w:ascii="Arial"/>
                <w:sz w:val="21"/>
              </w:rPr>
            </w:pPr>
          </w:p>
        </w:tc>
        <w:tc>
          <w:tcPr>
            <w:tcW w:w="224" w:type="dxa"/>
            <w:vAlign w:val="top"/>
          </w:tcPr>
          <w:p w14:paraId="12EA291B">
            <w:pPr>
              <w:rPr>
                <w:rFonts w:ascii="Arial"/>
                <w:sz w:val="21"/>
              </w:rPr>
            </w:pPr>
          </w:p>
        </w:tc>
      </w:tr>
    </w:tbl>
    <w:p w14:paraId="349F6681">
      <w:pPr>
        <w:pStyle w:val="2"/>
        <w:spacing w:line="30" w:lineRule="exact"/>
        <w:rPr>
          <w:sz w:val="2"/>
        </w:rPr>
      </w:pPr>
    </w:p>
    <w:p w14:paraId="4F24CA58">
      <w:pPr>
        <w:pStyle w:val="2"/>
        <w:spacing w:line="14" w:lineRule="auto"/>
        <w:rPr>
          <w:sz w:val="2"/>
        </w:rPr>
      </w:pPr>
      <w:r>
        <w:rPr>
          <w:sz w:val="2"/>
          <w:szCs w:val="2"/>
        </w:rPr>
        <w:br w:type="column"/>
      </w:r>
    </w:p>
    <w:p w14:paraId="4FE7D84C">
      <w:pPr>
        <w:spacing w:line="219" w:lineRule="auto"/>
        <w:ind w:left="1267"/>
        <w:rPr>
          <w:rFonts w:ascii="黑体" w:hAnsi="黑体" w:eastAsia="黑体" w:cs="黑体"/>
          <w:sz w:val="20"/>
          <w:szCs w:val="20"/>
        </w:rPr>
      </w:pPr>
      <w:r>
        <w:rPr>
          <w:rFonts w:ascii="黑体" w:hAnsi="黑体" w:eastAsia="黑体" w:cs="黑体"/>
          <w:b/>
          <w:bCs/>
          <w:spacing w:val="-8"/>
          <w:sz w:val="20"/>
          <w:szCs w:val="20"/>
        </w:rPr>
        <w:t>第三章</w:t>
      </w:r>
      <w:r>
        <w:rPr>
          <w:rFonts w:ascii="黑体" w:hAnsi="黑体" w:eastAsia="黑体" w:cs="黑体"/>
          <w:spacing w:val="16"/>
          <w:sz w:val="20"/>
          <w:szCs w:val="20"/>
        </w:rPr>
        <w:t xml:space="preserve">  </w:t>
      </w:r>
      <w:r>
        <w:rPr>
          <w:rFonts w:ascii="黑体" w:hAnsi="黑体" w:eastAsia="黑体" w:cs="黑体"/>
          <w:b/>
          <w:bCs/>
          <w:spacing w:val="-8"/>
          <w:sz w:val="20"/>
          <w:szCs w:val="20"/>
        </w:rPr>
        <w:t>呼吸系统</w:t>
      </w:r>
    </w:p>
    <w:p w14:paraId="5D32D859">
      <w:pPr>
        <w:spacing w:line="91" w:lineRule="exact"/>
      </w:pPr>
    </w:p>
    <w:tbl>
      <w:tblPr>
        <w:tblStyle w:val="5"/>
        <w:tblW w:w="411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83"/>
        <w:gridCol w:w="2324"/>
        <w:gridCol w:w="220"/>
        <w:gridCol w:w="229"/>
        <w:gridCol w:w="220"/>
        <w:gridCol w:w="234"/>
      </w:tblGrid>
      <w:tr w14:paraId="74EBAE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5" w:hRule="atLeast"/>
        </w:trPr>
        <w:tc>
          <w:tcPr>
            <w:tcW w:w="883" w:type="dxa"/>
            <w:vMerge w:val="restart"/>
            <w:tcBorders>
              <w:bottom w:val="nil"/>
            </w:tcBorders>
            <w:vAlign w:val="top"/>
          </w:tcPr>
          <w:p w14:paraId="18FFD2DB">
            <w:pPr>
              <w:pStyle w:val="6"/>
              <w:spacing w:before="11" w:line="212" w:lineRule="auto"/>
              <w:ind w:left="257" w:right="1" w:hanging="240"/>
              <w:rPr>
                <w:sz w:val="18"/>
                <w:szCs w:val="18"/>
              </w:rPr>
            </w:pPr>
            <w:r>
              <w:rPr>
                <w:b/>
                <w:bCs/>
                <w:spacing w:val="-13"/>
                <w:sz w:val="18"/>
                <w:szCs w:val="18"/>
              </w:rPr>
              <w:t>知</w:t>
            </w:r>
            <w:r>
              <w:rPr>
                <w:b/>
                <w:bCs/>
                <w:spacing w:val="-12"/>
                <w:sz w:val="18"/>
                <w:szCs w:val="18"/>
              </w:rPr>
              <w:t>识与技</w:t>
            </w:r>
            <w:r>
              <w:rPr>
                <w:b/>
                <w:bCs/>
                <w:spacing w:val="-11"/>
                <w:sz w:val="18"/>
                <w:szCs w:val="18"/>
              </w:rPr>
              <w:t>能</w:t>
            </w:r>
            <w:r>
              <w:rPr>
                <w:spacing w:val="3"/>
                <w:sz w:val="18"/>
                <w:szCs w:val="18"/>
              </w:rPr>
              <w:t xml:space="preserve"> </w:t>
            </w:r>
            <w:r>
              <w:rPr>
                <w:b/>
                <w:bCs/>
                <w:spacing w:val="-4"/>
                <w:sz w:val="18"/>
                <w:szCs w:val="18"/>
              </w:rPr>
              <w:t>要点</w:t>
            </w:r>
          </w:p>
        </w:tc>
        <w:tc>
          <w:tcPr>
            <w:tcW w:w="2324" w:type="dxa"/>
            <w:vMerge w:val="restart"/>
            <w:tcBorders>
              <w:bottom w:val="nil"/>
            </w:tcBorders>
            <w:vAlign w:val="top"/>
          </w:tcPr>
          <w:p w14:paraId="1697A1E2">
            <w:pPr>
              <w:pStyle w:val="6"/>
              <w:spacing w:before="129" w:line="219" w:lineRule="auto"/>
              <w:ind w:left="844"/>
              <w:rPr>
                <w:sz w:val="18"/>
                <w:szCs w:val="18"/>
              </w:rPr>
            </w:pPr>
            <w:r>
              <w:rPr>
                <w:b/>
                <w:bCs/>
                <w:spacing w:val="5"/>
                <w:sz w:val="18"/>
                <w:szCs w:val="18"/>
              </w:rPr>
              <w:t>考试条目</w:t>
            </w:r>
          </w:p>
        </w:tc>
        <w:tc>
          <w:tcPr>
            <w:tcW w:w="903" w:type="dxa"/>
            <w:gridSpan w:val="4"/>
            <w:vAlign w:val="top"/>
          </w:tcPr>
          <w:p w14:paraId="1F0AC3DB">
            <w:pPr>
              <w:pStyle w:val="6"/>
              <w:spacing w:before="19" w:line="190" w:lineRule="auto"/>
              <w:ind w:left="120"/>
              <w:rPr>
                <w:sz w:val="18"/>
                <w:szCs w:val="18"/>
              </w:rPr>
            </w:pPr>
            <w:r>
              <w:rPr>
                <w:b/>
                <w:bCs/>
                <w:spacing w:val="-4"/>
                <w:sz w:val="18"/>
                <w:szCs w:val="18"/>
              </w:rPr>
              <w:t>考试水平</w:t>
            </w:r>
          </w:p>
        </w:tc>
      </w:tr>
      <w:tr w14:paraId="109065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0" w:hRule="atLeast"/>
        </w:trPr>
        <w:tc>
          <w:tcPr>
            <w:tcW w:w="883" w:type="dxa"/>
            <w:vMerge w:val="continue"/>
            <w:tcBorders>
              <w:top w:val="nil"/>
            </w:tcBorders>
            <w:vAlign w:val="top"/>
          </w:tcPr>
          <w:p w14:paraId="3E21F1F3">
            <w:pPr>
              <w:rPr>
                <w:rFonts w:ascii="Arial"/>
                <w:sz w:val="21"/>
              </w:rPr>
            </w:pPr>
          </w:p>
        </w:tc>
        <w:tc>
          <w:tcPr>
            <w:tcW w:w="2324" w:type="dxa"/>
            <w:vMerge w:val="continue"/>
            <w:tcBorders>
              <w:top w:val="nil"/>
            </w:tcBorders>
            <w:vAlign w:val="top"/>
          </w:tcPr>
          <w:p w14:paraId="443A792B">
            <w:pPr>
              <w:rPr>
                <w:rFonts w:ascii="Arial"/>
                <w:sz w:val="21"/>
              </w:rPr>
            </w:pPr>
          </w:p>
        </w:tc>
        <w:tc>
          <w:tcPr>
            <w:tcW w:w="220" w:type="dxa"/>
            <w:vAlign w:val="top"/>
          </w:tcPr>
          <w:p w14:paraId="7C369284">
            <w:pPr>
              <w:pStyle w:val="6"/>
              <w:spacing w:before="62" w:line="138" w:lineRule="exact"/>
              <w:ind w:left="8"/>
              <w:rPr>
                <w:sz w:val="18"/>
                <w:szCs w:val="18"/>
              </w:rPr>
            </w:pPr>
            <w:r>
              <w:rPr>
                <w:position w:val="-2"/>
                <w:sz w:val="18"/>
                <w:szCs w:val="18"/>
              </w:rPr>
              <w:t>A</w:t>
            </w:r>
          </w:p>
        </w:tc>
        <w:tc>
          <w:tcPr>
            <w:tcW w:w="229" w:type="dxa"/>
            <w:vAlign w:val="top"/>
          </w:tcPr>
          <w:p w14:paraId="0710CB6F">
            <w:pPr>
              <w:pStyle w:val="6"/>
              <w:spacing w:before="65" w:line="135" w:lineRule="exact"/>
              <w:ind w:left="70"/>
              <w:rPr>
                <w:sz w:val="18"/>
                <w:szCs w:val="18"/>
              </w:rPr>
            </w:pPr>
            <w:r>
              <w:rPr>
                <w:b/>
                <w:bCs/>
                <w:spacing w:val="-2"/>
                <w:position w:val="-2"/>
                <w:sz w:val="18"/>
                <w:szCs w:val="18"/>
              </w:rPr>
              <w:t>B</w:t>
            </w:r>
          </w:p>
        </w:tc>
        <w:tc>
          <w:tcPr>
            <w:tcW w:w="220" w:type="dxa"/>
            <w:vAlign w:val="top"/>
          </w:tcPr>
          <w:p w14:paraId="73562FDE">
            <w:pPr>
              <w:pStyle w:val="6"/>
              <w:spacing w:before="63" w:line="136" w:lineRule="exact"/>
              <w:ind w:left="59"/>
              <w:rPr>
                <w:sz w:val="18"/>
                <w:szCs w:val="18"/>
              </w:rPr>
            </w:pPr>
            <w:r>
              <w:rPr>
                <w:position w:val="-2"/>
                <w:sz w:val="18"/>
                <w:szCs w:val="18"/>
              </w:rPr>
              <w:t>C</w:t>
            </w:r>
          </w:p>
        </w:tc>
        <w:tc>
          <w:tcPr>
            <w:tcW w:w="234" w:type="dxa"/>
            <w:vAlign w:val="top"/>
          </w:tcPr>
          <w:p w14:paraId="04A4DEB8">
            <w:pPr>
              <w:pStyle w:val="6"/>
              <w:spacing w:before="65" w:line="135" w:lineRule="exact"/>
              <w:ind w:left="71"/>
              <w:rPr>
                <w:sz w:val="18"/>
                <w:szCs w:val="18"/>
              </w:rPr>
            </w:pPr>
            <w:r>
              <w:rPr>
                <w:b/>
                <w:bCs/>
                <w:spacing w:val="-2"/>
                <w:position w:val="-2"/>
                <w:sz w:val="18"/>
                <w:szCs w:val="18"/>
              </w:rPr>
              <w:t>D</w:t>
            </w:r>
          </w:p>
        </w:tc>
      </w:tr>
      <w:tr w14:paraId="6BDDF6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 w:hRule="atLeast"/>
        </w:trPr>
        <w:tc>
          <w:tcPr>
            <w:tcW w:w="883" w:type="dxa"/>
            <w:vMerge w:val="restart"/>
            <w:tcBorders>
              <w:bottom w:val="nil"/>
            </w:tcBorders>
            <w:vAlign w:val="top"/>
          </w:tcPr>
          <w:p w14:paraId="6711983E">
            <w:pPr>
              <w:spacing w:line="287" w:lineRule="auto"/>
              <w:rPr>
                <w:rFonts w:ascii="Arial"/>
                <w:sz w:val="21"/>
              </w:rPr>
            </w:pPr>
          </w:p>
          <w:p w14:paraId="5B13FC71">
            <w:pPr>
              <w:pStyle w:val="6"/>
              <w:spacing w:before="58" w:line="219" w:lineRule="auto"/>
              <w:ind w:left="254"/>
              <w:rPr>
                <w:sz w:val="18"/>
                <w:szCs w:val="18"/>
              </w:rPr>
            </w:pPr>
            <w:r>
              <w:rPr>
                <w:spacing w:val="-2"/>
                <w:sz w:val="18"/>
                <w:szCs w:val="18"/>
              </w:rPr>
              <w:t>概述</w:t>
            </w:r>
          </w:p>
        </w:tc>
        <w:tc>
          <w:tcPr>
            <w:tcW w:w="2324" w:type="dxa"/>
            <w:vMerge w:val="restart"/>
            <w:tcBorders>
              <w:bottom w:val="nil"/>
            </w:tcBorders>
            <w:vAlign w:val="top"/>
          </w:tcPr>
          <w:p w14:paraId="36D2C006">
            <w:pPr>
              <w:pStyle w:val="6"/>
              <w:spacing w:before="138" w:line="220" w:lineRule="auto"/>
              <w:ind w:left="2"/>
              <w:rPr>
                <w:sz w:val="18"/>
                <w:szCs w:val="18"/>
              </w:rPr>
            </w:pPr>
            <w:r>
              <w:rPr>
                <w:sz w:val="18"/>
                <w:szCs w:val="18"/>
              </w:rPr>
              <w:t>1.呼吸系统的组成</w:t>
            </w:r>
          </w:p>
          <w:p w14:paraId="60C88983">
            <w:pPr>
              <w:pStyle w:val="6"/>
              <w:spacing w:before="25" w:line="222" w:lineRule="auto"/>
              <w:ind w:left="2" w:right="151" w:firstLine="10"/>
              <w:rPr>
                <w:sz w:val="18"/>
                <w:szCs w:val="18"/>
              </w:rPr>
            </w:pPr>
            <w:r>
              <w:rPr>
                <w:spacing w:val="-1"/>
                <w:sz w:val="18"/>
                <w:szCs w:val="18"/>
              </w:rPr>
              <w:t>2.呼吸道的组成和上、下呼</w:t>
            </w:r>
            <w:r>
              <w:rPr>
                <w:spacing w:val="2"/>
                <w:sz w:val="18"/>
                <w:szCs w:val="18"/>
              </w:rPr>
              <w:t xml:space="preserve"> </w:t>
            </w:r>
            <w:r>
              <w:rPr>
                <w:spacing w:val="1"/>
                <w:sz w:val="18"/>
                <w:szCs w:val="18"/>
              </w:rPr>
              <w:t>吸道的概念</w:t>
            </w:r>
          </w:p>
        </w:tc>
        <w:tc>
          <w:tcPr>
            <w:tcW w:w="220" w:type="dxa"/>
            <w:vAlign w:val="top"/>
          </w:tcPr>
          <w:p w14:paraId="26E827F4">
            <w:pPr>
              <w:pStyle w:val="6"/>
              <w:spacing w:before="78" w:line="238" w:lineRule="auto"/>
              <w:ind w:left="8"/>
              <w:rPr>
                <w:sz w:val="13"/>
                <w:szCs w:val="13"/>
              </w:rPr>
            </w:pPr>
            <w:r>
              <w:rPr>
                <w:sz w:val="13"/>
                <w:szCs w:val="13"/>
              </w:rPr>
              <w:t>√</w:t>
            </w:r>
          </w:p>
        </w:tc>
        <w:tc>
          <w:tcPr>
            <w:tcW w:w="229" w:type="dxa"/>
            <w:vAlign w:val="top"/>
          </w:tcPr>
          <w:p w14:paraId="3BA20031">
            <w:pPr>
              <w:rPr>
                <w:rFonts w:ascii="Arial"/>
                <w:sz w:val="21"/>
              </w:rPr>
            </w:pPr>
          </w:p>
        </w:tc>
        <w:tc>
          <w:tcPr>
            <w:tcW w:w="220" w:type="dxa"/>
            <w:vAlign w:val="top"/>
          </w:tcPr>
          <w:p w14:paraId="1821CCFF">
            <w:pPr>
              <w:rPr>
                <w:rFonts w:ascii="Arial"/>
                <w:sz w:val="21"/>
              </w:rPr>
            </w:pPr>
          </w:p>
        </w:tc>
        <w:tc>
          <w:tcPr>
            <w:tcW w:w="234" w:type="dxa"/>
            <w:vAlign w:val="top"/>
          </w:tcPr>
          <w:p w14:paraId="596C8E15">
            <w:pPr>
              <w:rPr>
                <w:rFonts w:ascii="Arial"/>
                <w:sz w:val="21"/>
              </w:rPr>
            </w:pPr>
          </w:p>
        </w:tc>
      </w:tr>
      <w:tr w14:paraId="40FA59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9" w:hRule="atLeast"/>
        </w:trPr>
        <w:tc>
          <w:tcPr>
            <w:tcW w:w="883" w:type="dxa"/>
            <w:vMerge w:val="continue"/>
            <w:tcBorders>
              <w:top w:val="nil"/>
            </w:tcBorders>
            <w:vAlign w:val="top"/>
          </w:tcPr>
          <w:p w14:paraId="401EE63F">
            <w:pPr>
              <w:rPr>
                <w:rFonts w:ascii="Arial"/>
                <w:sz w:val="21"/>
              </w:rPr>
            </w:pPr>
          </w:p>
        </w:tc>
        <w:tc>
          <w:tcPr>
            <w:tcW w:w="2324" w:type="dxa"/>
            <w:vMerge w:val="continue"/>
            <w:tcBorders>
              <w:top w:val="nil"/>
            </w:tcBorders>
            <w:vAlign w:val="top"/>
          </w:tcPr>
          <w:p w14:paraId="041499A5">
            <w:pPr>
              <w:rPr>
                <w:rFonts w:ascii="Arial"/>
                <w:sz w:val="21"/>
              </w:rPr>
            </w:pPr>
          </w:p>
        </w:tc>
        <w:tc>
          <w:tcPr>
            <w:tcW w:w="220" w:type="dxa"/>
            <w:vAlign w:val="top"/>
          </w:tcPr>
          <w:p w14:paraId="53E7CBD0">
            <w:pPr>
              <w:rPr>
                <w:rFonts w:ascii="Arial"/>
                <w:sz w:val="21"/>
              </w:rPr>
            </w:pPr>
          </w:p>
        </w:tc>
        <w:tc>
          <w:tcPr>
            <w:tcW w:w="229" w:type="dxa"/>
            <w:vAlign w:val="top"/>
          </w:tcPr>
          <w:p w14:paraId="03CF4C44">
            <w:pPr>
              <w:pStyle w:val="6"/>
              <w:spacing w:before="138" w:line="238" w:lineRule="auto"/>
              <w:ind w:left="18"/>
              <w:rPr>
                <w:sz w:val="13"/>
                <w:szCs w:val="13"/>
              </w:rPr>
            </w:pPr>
            <w:r>
              <w:rPr>
                <w:sz w:val="13"/>
                <w:szCs w:val="13"/>
              </w:rPr>
              <w:t>√</w:t>
            </w:r>
          </w:p>
        </w:tc>
        <w:tc>
          <w:tcPr>
            <w:tcW w:w="220" w:type="dxa"/>
            <w:vAlign w:val="top"/>
          </w:tcPr>
          <w:p w14:paraId="4D27808B">
            <w:pPr>
              <w:rPr>
                <w:rFonts w:ascii="Arial"/>
                <w:sz w:val="21"/>
              </w:rPr>
            </w:pPr>
          </w:p>
        </w:tc>
        <w:tc>
          <w:tcPr>
            <w:tcW w:w="234" w:type="dxa"/>
            <w:vAlign w:val="top"/>
          </w:tcPr>
          <w:p w14:paraId="30B9E717">
            <w:pPr>
              <w:rPr>
                <w:rFonts w:ascii="Arial"/>
                <w:sz w:val="21"/>
              </w:rPr>
            </w:pPr>
          </w:p>
        </w:tc>
      </w:tr>
      <w:tr w14:paraId="193EA8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83" w:type="dxa"/>
            <w:vMerge w:val="restart"/>
            <w:tcBorders>
              <w:bottom w:val="nil"/>
            </w:tcBorders>
            <w:vAlign w:val="top"/>
          </w:tcPr>
          <w:p w14:paraId="329AEB15">
            <w:pPr>
              <w:spacing w:line="447" w:lineRule="auto"/>
              <w:rPr>
                <w:rFonts w:ascii="Arial"/>
                <w:sz w:val="21"/>
              </w:rPr>
            </w:pPr>
          </w:p>
          <w:p w14:paraId="60286194">
            <w:pPr>
              <w:pStyle w:val="6"/>
              <w:spacing w:before="58" w:line="219" w:lineRule="auto"/>
              <w:ind w:left="345"/>
              <w:rPr>
                <w:sz w:val="18"/>
                <w:szCs w:val="18"/>
              </w:rPr>
            </w:pPr>
            <w:r>
              <w:rPr>
                <w:sz w:val="18"/>
                <w:szCs w:val="18"/>
              </w:rPr>
              <w:t>鼻</w:t>
            </w:r>
          </w:p>
        </w:tc>
        <w:tc>
          <w:tcPr>
            <w:tcW w:w="2324" w:type="dxa"/>
            <w:vMerge w:val="restart"/>
            <w:tcBorders>
              <w:bottom w:val="nil"/>
            </w:tcBorders>
            <w:vAlign w:val="top"/>
          </w:tcPr>
          <w:p w14:paraId="34F3C351">
            <w:pPr>
              <w:pStyle w:val="6"/>
              <w:spacing w:before="187" w:line="231" w:lineRule="auto"/>
              <w:ind w:left="2" w:right="124" w:firstLine="20"/>
              <w:rPr>
                <w:sz w:val="18"/>
                <w:szCs w:val="18"/>
              </w:rPr>
            </w:pPr>
            <w:r>
              <w:rPr>
                <w:sz w:val="18"/>
                <w:szCs w:val="18"/>
              </w:rPr>
              <w:t>1.鼻腔的分部和鼻粘膜的分</w:t>
            </w:r>
            <w:r>
              <w:rPr>
                <w:spacing w:val="6"/>
                <w:sz w:val="18"/>
                <w:szCs w:val="18"/>
              </w:rPr>
              <w:t xml:space="preserve"> </w:t>
            </w:r>
            <w:r>
              <w:rPr>
                <w:spacing w:val="5"/>
                <w:sz w:val="18"/>
                <w:szCs w:val="18"/>
              </w:rPr>
              <w:t>部特点</w:t>
            </w:r>
          </w:p>
          <w:p w14:paraId="78CE67AB">
            <w:pPr>
              <w:pStyle w:val="6"/>
              <w:spacing w:line="217" w:lineRule="auto"/>
              <w:ind w:left="2" w:right="161"/>
              <w:rPr>
                <w:sz w:val="18"/>
                <w:szCs w:val="18"/>
              </w:rPr>
            </w:pPr>
            <w:r>
              <w:rPr>
                <w:spacing w:val="-1"/>
                <w:sz w:val="18"/>
                <w:szCs w:val="18"/>
              </w:rPr>
              <w:t>2.鼻旁窦的名称、位置及其</w:t>
            </w:r>
            <w:r>
              <w:rPr>
                <w:spacing w:val="2"/>
                <w:sz w:val="18"/>
                <w:szCs w:val="18"/>
              </w:rPr>
              <w:t xml:space="preserve"> </w:t>
            </w:r>
            <w:r>
              <w:rPr>
                <w:spacing w:val="-2"/>
                <w:sz w:val="18"/>
                <w:szCs w:val="18"/>
              </w:rPr>
              <w:t>开口部位</w:t>
            </w:r>
          </w:p>
        </w:tc>
        <w:tc>
          <w:tcPr>
            <w:tcW w:w="220" w:type="dxa"/>
            <w:vAlign w:val="top"/>
          </w:tcPr>
          <w:p w14:paraId="3B3007C5">
            <w:pPr>
              <w:rPr>
                <w:rFonts w:ascii="Arial"/>
                <w:sz w:val="21"/>
              </w:rPr>
            </w:pPr>
          </w:p>
        </w:tc>
        <w:tc>
          <w:tcPr>
            <w:tcW w:w="229" w:type="dxa"/>
            <w:vAlign w:val="top"/>
          </w:tcPr>
          <w:p w14:paraId="1341A6F7">
            <w:pPr>
              <w:pStyle w:val="6"/>
              <w:spacing w:before="249" w:line="238" w:lineRule="auto"/>
              <w:ind w:left="18"/>
              <w:rPr>
                <w:sz w:val="13"/>
                <w:szCs w:val="13"/>
              </w:rPr>
            </w:pPr>
            <w:r>
              <w:rPr>
                <w:sz w:val="13"/>
                <w:szCs w:val="13"/>
              </w:rPr>
              <w:t>√</w:t>
            </w:r>
          </w:p>
        </w:tc>
        <w:tc>
          <w:tcPr>
            <w:tcW w:w="220" w:type="dxa"/>
            <w:vAlign w:val="top"/>
          </w:tcPr>
          <w:p w14:paraId="328BA6DC">
            <w:pPr>
              <w:rPr>
                <w:rFonts w:ascii="Arial"/>
                <w:sz w:val="21"/>
              </w:rPr>
            </w:pPr>
          </w:p>
        </w:tc>
        <w:tc>
          <w:tcPr>
            <w:tcW w:w="234" w:type="dxa"/>
            <w:vAlign w:val="top"/>
          </w:tcPr>
          <w:p w14:paraId="2B8963A0">
            <w:pPr>
              <w:rPr>
                <w:rFonts w:ascii="Arial"/>
                <w:sz w:val="21"/>
              </w:rPr>
            </w:pPr>
          </w:p>
        </w:tc>
      </w:tr>
      <w:tr w14:paraId="320C7B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9" w:hRule="atLeast"/>
        </w:trPr>
        <w:tc>
          <w:tcPr>
            <w:tcW w:w="883" w:type="dxa"/>
            <w:vMerge w:val="continue"/>
            <w:tcBorders>
              <w:top w:val="nil"/>
            </w:tcBorders>
            <w:vAlign w:val="top"/>
          </w:tcPr>
          <w:p w14:paraId="70AB0171">
            <w:pPr>
              <w:rPr>
                <w:rFonts w:ascii="Arial"/>
                <w:sz w:val="21"/>
              </w:rPr>
            </w:pPr>
          </w:p>
        </w:tc>
        <w:tc>
          <w:tcPr>
            <w:tcW w:w="2324" w:type="dxa"/>
            <w:vMerge w:val="continue"/>
            <w:tcBorders>
              <w:top w:val="nil"/>
            </w:tcBorders>
            <w:vAlign w:val="top"/>
          </w:tcPr>
          <w:p w14:paraId="1B09BC03">
            <w:pPr>
              <w:rPr>
                <w:rFonts w:ascii="Arial"/>
                <w:sz w:val="21"/>
              </w:rPr>
            </w:pPr>
          </w:p>
        </w:tc>
        <w:tc>
          <w:tcPr>
            <w:tcW w:w="220" w:type="dxa"/>
            <w:vAlign w:val="top"/>
          </w:tcPr>
          <w:p w14:paraId="4A6E7743">
            <w:pPr>
              <w:rPr>
                <w:rFonts w:ascii="Arial"/>
                <w:sz w:val="21"/>
              </w:rPr>
            </w:pPr>
          </w:p>
        </w:tc>
        <w:tc>
          <w:tcPr>
            <w:tcW w:w="229" w:type="dxa"/>
            <w:vAlign w:val="top"/>
          </w:tcPr>
          <w:p w14:paraId="17688090">
            <w:pPr>
              <w:pStyle w:val="6"/>
              <w:spacing w:before="240" w:line="238" w:lineRule="auto"/>
              <w:ind w:left="48"/>
              <w:rPr>
                <w:sz w:val="13"/>
                <w:szCs w:val="13"/>
              </w:rPr>
            </w:pPr>
            <w:r>
              <w:rPr>
                <w:sz w:val="13"/>
                <w:szCs w:val="13"/>
              </w:rPr>
              <w:t>√</w:t>
            </w:r>
          </w:p>
        </w:tc>
        <w:tc>
          <w:tcPr>
            <w:tcW w:w="220" w:type="dxa"/>
            <w:vAlign w:val="top"/>
          </w:tcPr>
          <w:p w14:paraId="7FD08FC7">
            <w:pPr>
              <w:rPr>
                <w:rFonts w:ascii="Arial"/>
                <w:sz w:val="21"/>
              </w:rPr>
            </w:pPr>
          </w:p>
        </w:tc>
        <w:tc>
          <w:tcPr>
            <w:tcW w:w="234" w:type="dxa"/>
            <w:vAlign w:val="top"/>
          </w:tcPr>
          <w:p w14:paraId="10FAD82D">
            <w:pPr>
              <w:rPr>
                <w:rFonts w:ascii="Arial"/>
                <w:sz w:val="21"/>
              </w:rPr>
            </w:pPr>
          </w:p>
        </w:tc>
      </w:tr>
      <w:tr w14:paraId="0E5F2F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9" w:hRule="atLeast"/>
        </w:trPr>
        <w:tc>
          <w:tcPr>
            <w:tcW w:w="883" w:type="dxa"/>
            <w:vMerge w:val="restart"/>
            <w:tcBorders>
              <w:bottom w:val="nil"/>
            </w:tcBorders>
            <w:vAlign w:val="top"/>
          </w:tcPr>
          <w:p w14:paraId="2FA557A4">
            <w:pPr>
              <w:pStyle w:val="6"/>
              <w:spacing w:before="266" w:line="225" w:lineRule="auto"/>
              <w:ind w:left="345"/>
              <w:rPr>
                <w:sz w:val="18"/>
                <w:szCs w:val="18"/>
              </w:rPr>
            </w:pPr>
            <w:r>
              <w:rPr>
                <w:sz w:val="18"/>
                <w:szCs w:val="18"/>
              </w:rPr>
              <w:t>咽</w:t>
            </w:r>
          </w:p>
        </w:tc>
        <w:tc>
          <w:tcPr>
            <w:tcW w:w="2324" w:type="dxa"/>
            <w:vMerge w:val="restart"/>
            <w:tcBorders>
              <w:bottom w:val="nil"/>
            </w:tcBorders>
            <w:vAlign w:val="top"/>
          </w:tcPr>
          <w:p w14:paraId="295D40F5">
            <w:pPr>
              <w:pStyle w:val="6"/>
              <w:spacing w:before="60" w:line="219" w:lineRule="auto"/>
              <w:ind w:left="12"/>
              <w:rPr>
                <w:sz w:val="18"/>
                <w:szCs w:val="18"/>
              </w:rPr>
            </w:pPr>
            <w:r>
              <w:rPr>
                <w:spacing w:val="1"/>
                <w:sz w:val="18"/>
                <w:szCs w:val="18"/>
              </w:rPr>
              <w:t>1.咽的位置、分部和与咽相</w:t>
            </w:r>
          </w:p>
          <w:p w14:paraId="2C7AF174">
            <w:pPr>
              <w:pStyle w:val="6"/>
              <w:spacing w:before="27" w:line="194" w:lineRule="auto"/>
              <w:ind w:left="2"/>
              <w:rPr>
                <w:sz w:val="18"/>
                <w:szCs w:val="18"/>
              </w:rPr>
            </w:pPr>
            <w:r>
              <w:rPr>
                <w:spacing w:val="2"/>
                <w:sz w:val="18"/>
                <w:szCs w:val="18"/>
              </w:rPr>
              <w:t>交通的结构</w:t>
            </w:r>
          </w:p>
          <w:p w14:paraId="6A76023F">
            <w:pPr>
              <w:pStyle w:val="6"/>
              <w:spacing w:line="203" w:lineRule="auto"/>
              <w:ind w:left="2"/>
              <w:rPr>
                <w:sz w:val="18"/>
                <w:szCs w:val="18"/>
              </w:rPr>
            </w:pPr>
            <w:r>
              <w:rPr>
                <w:spacing w:val="-2"/>
                <w:sz w:val="18"/>
                <w:szCs w:val="18"/>
              </w:rPr>
              <w:t>2.腭扁桃体的位置</w:t>
            </w:r>
          </w:p>
        </w:tc>
        <w:tc>
          <w:tcPr>
            <w:tcW w:w="220" w:type="dxa"/>
            <w:vAlign w:val="top"/>
          </w:tcPr>
          <w:p w14:paraId="4EA6A430">
            <w:pPr>
              <w:rPr>
                <w:rFonts w:ascii="Arial"/>
                <w:sz w:val="21"/>
              </w:rPr>
            </w:pPr>
          </w:p>
        </w:tc>
        <w:tc>
          <w:tcPr>
            <w:tcW w:w="229" w:type="dxa"/>
            <w:vAlign w:val="top"/>
          </w:tcPr>
          <w:p w14:paraId="7F859637">
            <w:pPr>
              <w:pStyle w:val="6"/>
              <w:spacing w:before="181" w:line="238" w:lineRule="auto"/>
              <w:ind w:left="48"/>
              <w:rPr>
                <w:sz w:val="13"/>
                <w:szCs w:val="13"/>
              </w:rPr>
            </w:pPr>
            <w:r>
              <w:rPr>
                <w:sz w:val="13"/>
                <w:szCs w:val="13"/>
              </w:rPr>
              <w:t>√</w:t>
            </w:r>
          </w:p>
        </w:tc>
        <w:tc>
          <w:tcPr>
            <w:tcW w:w="220" w:type="dxa"/>
            <w:vAlign w:val="top"/>
          </w:tcPr>
          <w:p w14:paraId="534127C0">
            <w:pPr>
              <w:rPr>
                <w:rFonts w:ascii="Arial"/>
                <w:sz w:val="21"/>
              </w:rPr>
            </w:pPr>
          </w:p>
        </w:tc>
        <w:tc>
          <w:tcPr>
            <w:tcW w:w="234" w:type="dxa"/>
            <w:vAlign w:val="top"/>
          </w:tcPr>
          <w:p w14:paraId="203B9FF7">
            <w:pPr>
              <w:rPr>
                <w:rFonts w:ascii="Arial"/>
                <w:sz w:val="21"/>
              </w:rPr>
            </w:pPr>
          </w:p>
        </w:tc>
      </w:tr>
      <w:tr w14:paraId="5470A5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20" w:hRule="atLeast"/>
        </w:trPr>
        <w:tc>
          <w:tcPr>
            <w:tcW w:w="883" w:type="dxa"/>
            <w:vMerge w:val="continue"/>
            <w:tcBorders>
              <w:top w:val="nil"/>
            </w:tcBorders>
            <w:vAlign w:val="top"/>
          </w:tcPr>
          <w:p w14:paraId="27F6E1D9">
            <w:pPr>
              <w:rPr>
                <w:rFonts w:ascii="Arial"/>
                <w:sz w:val="21"/>
              </w:rPr>
            </w:pPr>
          </w:p>
        </w:tc>
        <w:tc>
          <w:tcPr>
            <w:tcW w:w="2324" w:type="dxa"/>
            <w:vMerge w:val="continue"/>
            <w:tcBorders>
              <w:top w:val="nil"/>
            </w:tcBorders>
            <w:vAlign w:val="top"/>
          </w:tcPr>
          <w:p w14:paraId="2FA396C7">
            <w:pPr>
              <w:rPr>
                <w:rFonts w:ascii="Arial"/>
                <w:sz w:val="21"/>
              </w:rPr>
            </w:pPr>
          </w:p>
        </w:tc>
        <w:tc>
          <w:tcPr>
            <w:tcW w:w="220" w:type="dxa"/>
            <w:vAlign w:val="top"/>
          </w:tcPr>
          <w:p w14:paraId="424B8A9C">
            <w:pPr>
              <w:spacing w:line="210" w:lineRule="exact"/>
              <w:rPr>
                <w:rFonts w:ascii="Arial"/>
                <w:sz w:val="18"/>
              </w:rPr>
            </w:pPr>
          </w:p>
        </w:tc>
        <w:tc>
          <w:tcPr>
            <w:tcW w:w="229" w:type="dxa"/>
            <w:vAlign w:val="top"/>
          </w:tcPr>
          <w:p w14:paraId="2A780ADF">
            <w:pPr>
              <w:spacing w:line="210" w:lineRule="exact"/>
              <w:rPr>
                <w:rFonts w:ascii="Arial"/>
                <w:sz w:val="18"/>
              </w:rPr>
            </w:pPr>
          </w:p>
        </w:tc>
        <w:tc>
          <w:tcPr>
            <w:tcW w:w="220" w:type="dxa"/>
            <w:vAlign w:val="top"/>
          </w:tcPr>
          <w:p w14:paraId="6A3B2B0F">
            <w:pPr>
              <w:pStyle w:val="6"/>
              <w:spacing w:before="62" w:line="210" w:lineRule="auto"/>
              <w:ind w:left="38"/>
              <w:rPr>
                <w:sz w:val="13"/>
                <w:szCs w:val="13"/>
              </w:rPr>
            </w:pPr>
            <w:r>
              <w:rPr>
                <w:sz w:val="13"/>
                <w:szCs w:val="13"/>
              </w:rPr>
              <w:t>√</w:t>
            </w:r>
          </w:p>
        </w:tc>
        <w:tc>
          <w:tcPr>
            <w:tcW w:w="234" w:type="dxa"/>
            <w:vAlign w:val="top"/>
          </w:tcPr>
          <w:p w14:paraId="0E44CE4C">
            <w:pPr>
              <w:spacing w:line="210" w:lineRule="exact"/>
              <w:rPr>
                <w:rFonts w:ascii="Arial"/>
                <w:sz w:val="18"/>
              </w:rPr>
            </w:pPr>
          </w:p>
        </w:tc>
      </w:tr>
      <w:tr w14:paraId="73EBCE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trPr>
        <w:tc>
          <w:tcPr>
            <w:tcW w:w="883" w:type="dxa"/>
            <w:vMerge w:val="restart"/>
            <w:tcBorders>
              <w:bottom w:val="nil"/>
            </w:tcBorders>
            <w:vAlign w:val="top"/>
          </w:tcPr>
          <w:p w14:paraId="20AC11BC">
            <w:pPr>
              <w:spacing w:line="272" w:lineRule="auto"/>
              <w:rPr>
                <w:rFonts w:ascii="Arial"/>
                <w:sz w:val="21"/>
              </w:rPr>
            </w:pPr>
          </w:p>
          <w:p w14:paraId="0F3BA7D0">
            <w:pPr>
              <w:pStyle w:val="6"/>
              <w:spacing w:before="58" w:line="221" w:lineRule="auto"/>
              <w:ind w:left="345"/>
              <w:rPr>
                <w:sz w:val="18"/>
                <w:szCs w:val="18"/>
              </w:rPr>
            </w:pPr>
            <w:r>
              <w:rPr>
                <w:sz w:val="18"/>
                <w:szCs w:val="18"/>
              </w:rPr>
              <w:t>喉</w:t>
            </w:r>
          </w:p>
        </w:tc>
        <w:tc>
          <w:tcPr>
            <w:tcW w:w="2324" w:type="dxa"/>
            <w:vMerge w:val="restart"/>
            <w:tcBorders>
              <w:bottom w:val="nil"/>
            </w:tcBorders>
            <w:vAlign w:val="top"/>
          </w:tcPr>
          <w:p w14:paraId="23DAB8F2">
            <w:pPr>
              <w:pStyle w:val="6"/>
              <w:spacing w:before="142" w:line="214" w:lineRule="auto"/>
              <w:ind w:left="2"/>
              <w:rPr>
                <w:sz w:val="18"/>
                <w:szCs w:val="18"/>
              </w:rPr>
            </w:pPr>
            <w:r>
              <w:rPr>
                <w:spacing w:val="1"/>
                <w:sz w:val="18"/>
                <w:szCs w:val="18"/>
              </w:rPr>
              <w:t>1.喉的位置</w:t>
            </w:r>
          </w:p>
          <w:p w14:paraId="35F9160D">
            <w:pPr>
              <w:pStyle w:val="6"/>
              <w:spacing w:before="1" w:line="227" w:lineRule="auto"/>
              <w:ind w:left="2" w:right="1061"/>
              <w:rPr>
                <w:sz w:val="18"/>
                <w:szCs w:val="18"/>
              </w:rPr>
            </w:pPr>
            <w:r>
              <w:rPr>
                <w:spacing w:val="-2"/>
                <w:sz w:val="18"/>
                <w:szCs w:val="18"/>
              </w:rPr>
              <w:t>2.喉软骨的名称</w:t>
            </w:r>
            <w:r>
              <w:rPr>
                <w:spacing w:val="5"/>
                <w:sz w:val="18"/>
                <w:szCs w:val="18"/>
              </w:rPr>
              <w:t xml:space="preserve"> </w:t>
            </w:r>
            <w:r>
              <w:rPr>
                <w:spacing w:val="-2"/>
                <w:sz w:val="18"/>
                <w:szCs w:val="18"/>
              </w:rPr>
              <w:t>3.喉腔与喉粘膜</w:t>
            </w:r>
          </w:p>
        </w:tc>
        <w:tc>
          <w:tcPr>
            <w:tcW w:w="220" w:type="dxa"/>
            <w:vAlign w:val="top"/>
          </w:tcPr>
          <w:p w14:paraId="7EAF4402">
            <w:pPr>
              <w:pStyle w:val="6"/>
              <w:spacing w:before="82" w:line="238" w:lineRule="auto"/>
              <w:ind w:left="8"/>
              <w:rPr>
                <w:sz w:val="13"/>
                <w:szCs w:val="13"/>
              </w:rPr>
            </w:pPr>
            <w:r>
              <w:rPr>
                <w:sz w:val="13"/>
                <w:szCs w:val="13"/>
              </w:rPr>
              <w:t>√</w:t>
            </w:r>
          </w:p>
        </w:tc>
        <w:tc>
          <w:tcPr>
            <w:tcW w:w="229" w:type="dxa"/>
            <w:vAlign w:val="top"/>
          </w:tcPr>
          <w:p w14:paraId="770F3281">
            <w:pPr>
              <w:rPr>
                <w:rFonts w:ascii="Arial"/>
                <w:sz w:val="21"/>
              </w:rPr>
            </w:pPr>
          </w:p>
        </w:tc>
        <w:tc>
          <w:tcPr>
            <w:tcW w:w="220" w:type="dxa"/>
            <w:vAlign w:val="top"/>
          </w:tcPr>
          <w:p w14:paraId="7BDAAA12">
            <w:pPr>
              <w:rPr>
                <w:rFonts w:ascii="Arial"/>
                <w:sz w:val="21"/>
              </w:rPr>
            </w:pPr>
          </w:p>
        </w:tc>
        <w:tc>
          <w:tcPr>
            <w:tcW w:w="234" w:type="dxa"/>
            <w:vAlign w:val="top"/>
          </w:tcPr>
          <w:p w14:paraId="2FA533FC">
            <w:pPr>
              <w:rPr>
                <w:rFonts w:ascii="Arial"/>
                <w:sz w:val="21"/>
              </w:rPr>
            </w:pPr>
          </w:p>
        </w:tc>
      </w:tr>
      <w:tr w14:paraId="4185A0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883" w:type="dxa"/>
            <w:vMerge w:val="continue"/>
            <w:tcBorders>
              <w:top w:val="nil"/>
              <w:bottom w:val="nil"/>
            </w:tcBorders>
            <w:vAlign w:val="top"/>
          </w:tcPr>
          <w:p w14:paraId="7FE54ED7">
            <w:pPr>
              <w:rPr>
                <w:rFonts w:ascii="Arial"/>
                <w:sz w:val="21"/>
              </w:rPr>
            </w:pPr>
          </w:p>
        </w:tc>
        <w:tc>
          <w:tcPr>
            <w:tcW w:w="2324" w:type="dxa"/>
            <w:vMerge w:val="continue"/>
            <w:tcBorders>
              <w:top w:val="nil"/>
              <w:bottom w:val="nil"/>
            </w:tcBorders>
            <w:vAlign w:val="top"/>
          </w:tcPr>
          <w:p w14:paraId="5B43C647">
            <w:pPr>
              <w:rPr>
                <w:rFonts w:ascii="Arial"/>
                <w:sz w:val="21"/>
              </w:rPr>
            </w:pPr>
          </w:p>
        </w:tc>
        <w:tc>
          <w:tcPr>
            <w:tcW w:w="220" w:type="dxa"/>
            <w:vAlign w:val="top"/>
          </w:tcPr>
          <w:p w14:paraId="6A32C0C8">
            <w:pPr>
              <w:rPr>
                <w:rFonts w:ascii="Arial"/>
                <w:sz w:val="21"/>
              </w:rPr>
            </w:pPr>
          </w:p>
        </w:tc>
        <w:tc>
          <w:tcPr>
            <w:tcW w:w="229" w:type="dxa"/>
            <w:vAlign w:val="top"/>
          </w:tcPr>
          <w:p w14:paraId="2BF86E76">
            <w:pPr>
              <w:pStyle w:val="6"/>
              <w:spacing w:before="82" w:line="238" w:lineRule="auto"/>
              <w:ind w:left="48"/>
              <w:rPr>
                <w:sz w:val="13"/>
                <w:szCs w:val="13"/>
              </w:rPr>
            </w:pPr>
            <w:r>
              <w:rPr>
                <w:sz w:val="13"/>
                <w:szCs w:val="13"/>
              </w:rPr>
              <w:t>√</w:t>
            </w:r>
          </w:p>
        </w:tc>
        <w:tc>
          <w:tcPr>
            <w:tcW w:w="220" w:type="dxa"/>
            <w:vAlign w:val="top"/>
          </w:tcPr>
          <w:p w14:paraId="18913E24">
            <w:pPr>
              <w:rPr>
                <w:rFonts w:ascii="Arial"/>
                <w:sz w:val="21"/>
              </w:rPr>
            </w:pPr>
          </w:p>
        </w:tc>
        <w:tc>
          <w:tcPr>
            <w:tcW w:w="234" w:type="dxa"/>
            <w:vAlign w:val="top"/>
          </w:tcPr>
          <w:p w14:paraId="2B1987B7">
            <w:pPr>
              <w:rPr>
                <w:rFonts w:ascii="Arial"/>
                <w:sz w:val="21"/>
              </w:rPr>
            </w:pPr>
          </w:p>
        </w:tc>
      </w:tr>
      <w:tr w14:paraId="0130A4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trPr>
        <w:tc>
          <w:tcPr>
            <w:tcW w:w="883" w:type="dxa"/>
            <w:vMerge w:val="continue"/>
            <w:tcBorders>
              <w:top w:val="nil"/>
            </w:tcBorders>
            <w:vAlign w:val="top"/>
          </w:tcPr>
          <w:p w14:paraId="2DFB735C">
            <w:pPr>
              <w:rPr>
                <w:rFonts w:ascii="Arial"/>
                <w:sz w:val="21"/>
              </w:rPr>
            </w:pPr>
          </w:p>
        </w:tc>
        <w:tc>
          <w:tcPr>
            <w:tcW w:w="2324" w:type="dxa"/>
            <w:vMerge w:val="continue"/>
            <w:tcBorders>
              <w:top w:val="nil"/>
            </w:tcBorders>
            <w:vAlign w:val="top"/>
          </w:tcPr>
          <w:p w14:paraId="04233FDF">
            <w:pPr>
              <w:rPr>
                <w:rFonts w:ascii="Arial"/>
                <w:sz w:val="21"/>
              </w:rPr>
            </w:pPr>
          </w:p>
        </w:tc>
        <w:tc>
          <w:tcPr>
            <w:tcW w:w="220" w:type="dxa"/>
            <w:vAlign w:val="top"/>
          </w:tcPr>
          <w:p w14:paraId="2CB6DB9E">
            <w:pPr>
              <w:rPr>
                <w:rFonts w:ascii="Arial"/>
                <w:sz w:val="21"/>
              </w:rPr>
            </w:pPr>
          </w:p>
        </w:tc>
        <w:tc>
          <w:tcPr>
            <w:tcW w:w="229" w:type="dxa"/>
            <w:vAlign w:val="top"/>
          </w:tcPr>
          <w:p w14:paraId="2197BD8B">
            <w:pPr>
              <w:pStyle w:val="6"/>
              <w:spacing w:before="83" w:line="238" w:lineRule="auto"/>
              <w:ind w:left="48"/>
              <w:rPr>
                <w:sz w:val="13"/>
                <w:szCs w:val="13"/>
              </w:rPr>
            </w:pPr>
            <w:r>
              <w:rPr>
                <w:sz w:val="13"/>
                <w:szCs w:val="13"/>
              </w:rPr>
              <w:t>√</w:t>
            </w:r>
          </w:p>
        </w:tc>
        <w:tc>
          <w:tcPr>
            <w:tcW w:w="220" w:type="dxa"/>
            <w:vAlign w:val="top"/>
          </w:tcPr>
          <w:p w14:paraId="05493C44">
            <w:pPr>
              <w:rPr>
                <w:rFonts w:ascii="Arial"/>
                <w:sz w:val="21"/>
              </w:rPr>
            </w:pPr>
          </w:p>
        </w:tc>
        <w:tc>
          <w:tcPr>
            <w:tcW w:w="234" w:type="dxa"/>
            <w:vAlign w:val="top"/>
          </w:tcPr>
          <w:p w14:paraId="1D3B6529">
            <w:pPr>
              <w:rPr>
                <w:rFonts w:ascii="Arial"/>
                <w:sz w:val="21"/>
              </w:rPr>
            </w:pPr>
          </w:p>
        </w:tc>
      </w:tr>
      <w:tr w14:paraId="6F7CDB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69" w:hRule="atLeast"/>
        </w:trPr>
        <w:tc>
          <w:tcPr>
            <w:tcW w:w="883" w:type="dxa"/>
            <w:vMerge w:val="restart"/>
            <w:tcBorders>
              <w:bottom w:val="nil"/>
            </w:tcBorders>
            <w:vAlign w:val="top"/>
          </w:tcPr>
          <w:p w14:paraId="12C5F80F">
            <w:pPr>
              <w:spacing w:line="270" w:lineRule="auto"/>
              <w:rPr>
                <w:rFonts w:ascii="Arial"/>
                <w:sz w:val="21"/>
              </w:rPr>
            </w:pPr>
          </w:p>
          <w:p w14:paraId="1AF91E1B">
            <w:pPr>
              <w:spacing w:line="270" w:lineRule="auto"/>
              <w:rPr>
                <w:rFonts w:ascii="Arial"/>
                <w:sz w:val="21"/>
              </w:rPr>
            </w:pPr>
          </w:p>
          <w:p w14:paraId="3F0C5F8D">
            <w:pPr>
              <w:pStyle w:val="6"/>
              <w:spacing w:before="59" w:line="219" w:lineRule="auto"/>
              <w:ind w:left="75"/>
              <w:rPr>
                <w:sz w:val="18"/>
                <w:szCs w:val="18"/>
              </w:rPr>
            </w:pPr>
            <w:r>
              <w:rPr>
                <w:spacing w:val="-2"/>
                <w:sz w:val="18"/>
                <w:szCs w:val="18"/>
              </w:rPr>
              <w:t>气管和主</w:t>
            </w:r>
          </w:p>
          <w:p w14:paraId="1617EFFB">
            <w:pPr>
              <w:pStyle w:val="6"/>
              <w:spacing w:before="6" w:line="219" w:lineRule="auto"/>
              <w:ind w:left="165"/>
              <w:rPr>
                <w:sz w:val="18"/>
                <w:szCs w:val="18"/>
              </w:rPr>
            </w:pPr>
            <w:r>
              <w:rPr>
                <w:spacing w:val="-2"/>
                <w:sz w:val="18"/>
                <w:szCs w:val="18"/>
              </w:rPr>
              <w:t>支气管</w:t>
            </w:r>
          </w:p>
        </w:tc>
        <w:tc>
          <w:tcPr>
            <w:tcW w:w="2324" w:type="dxa"/>
            <w:vMerge w:val="restart"/>
            <w:tcBorders>
              <w:bottom w:val="nil"/>
            </w:tcBorders>
            <w:vAlign w:val="top"/>
          </w:tcPr>
          <w:p w14:paraId="5963DA90">
            <w:pPr>
              <w:pStyle w:val="6"/>
              <w:spacing w:before="282" w:line="217" w:lineRule="auto"/>
              <w:ind w:left="2" w:right="134" w:firstLine="10"/>
              <w:rPr>
                <w:sz w:val="18"/>
                <w:szCs w:val="18"/>
              </w:rPr>
            </w:pPr>
            <w:r>
              <w:rPr>
                <w:sz w:val="18"/>
                <w:szCs w:val="18"/>
              </w:rPr>
              <w:t>1.气管的位置和气管切开手</w:t>
            </w:r>
            <w:r>
              <w:rPr>
                <w:spacing w:val="6"/>
                <w:sz w:val="18"/>
                <w:szCs w:val="18"/>
              </w:rPr>
              <w:t xml:space="preserve"> </w:t>
            </w:r>
            <w:r>
              <w:rPr>
                <w:spacing w:val="-2"/>
                <w:sz w:val="18"/>
                <w:szCs w:val="18"/>
              </w:rPr>
              <w:t>术的常选部位</w:t>
            </w:r>
          </w:p>
          <w:p w14:paraId="382D51BD">
            <w:pPr>
              <w:pStyle w:val="6"/>
              <w:spacing w:before="37" w:line="222" w:lineRule="auto"/>
              <w:ind w:left="2" w:right="137"/>
              <w:rPr>
                <w:sz w:val="18"/>
                <w:szCs w:val="18"/>
              </w:rPr>
            </w:pPr>
            <w:r>
              <w:rPr>
                <w:spacing w:val="1"/>
                <w:sz w:val="18"/>
                <w:szCs w:val="18"/>
              </w:rPr>
              <w:t>2.左右主支气管的区别及临</w:t>
            </w:r>
            <w:r>
              <w:rPr>
                <w:sz w:val="18"/>
                <w:szCs w:val="18"/>
              </w:rPr>
              <w:t xml:space="preserve"> </w:t>
            </w:r>
            <w:r>
              <w:rPr>
                <w:spacing w:val="-2"/>
                <w:sz w:val="18"/>
                <w:szCs w:val="18"/>
              </w:rPr>
              <w:t>床意义</w:t>
            </w:r>
          </w:p>
        </w:tc>
        <w:tc>
          <w:tcPr>
            <w:tcW w:w="220" w:type="dxa"/>
            <w:vAlign w:val="top"/>
          </w:tcPr>
          <w:p w14:paraId="67449234">
            <w:pPr>
              <w:rPr>
                <w:rFonts w:ascii="Arial"/>
                <w:sz w:val="21"/>
              </w:rPr>
            </w:pPr>
          </w:p>
        </w:tc>
        <w:tc>
          <w:tcPr>
            <w:tcW w:w="229" w:type="dxa"/>
            <w:vAlign w:val="top"/>
          </w:tcPr>
          <w:p w14:paraId="59C55FA3">
            <w:pPr>
              <w:rPr>
                <w:rFonts w:ascii="Arial"/>
                <w:sz w:val="21"/>
              </w:rPr>
            </w:pPr>
          </w:p>
        </w:tc>
        <w:tc>
          <w:tcPr>
            <w:tcW w:w="220" w:type="dxa"/>
            <w:vAlign w:val="top"/>
          </w:tcPr>
          <w:p w14:paraId="0D7C0EA6">
            <w:pPr>
              <w:rPr>
                <w:rFonts w:ascii="Arial"/>
                <w:sz w:val="21"/>
              </w:rPr>
            </w:pPr>
          </w:p>
        </w:tc>
        <w:tc>
          <w:tcPr>
            <w:tcW w:w="234" w:type="dxa"/>
            <w:vAlign w:val="top"/>
          </w:tcPr>
          <w:p w14:paraId="7980AA54">
            <w:pPr>
              <w:pStyle w:val="6"/>
              <w:spacing w:before="283" w:line="238" w:lineRule="auto"/>
              <w:ind w:left="49"/>
              <w:rPr>
                <w:sz w:val="13"/>
                <w:szCs w:val="13"/>
              </w:rPr>
            </w:pPr>
            <w:r>
              <w:rPr>
                <w:sz w:val="13"/>
                <w:szCs w:val="13"/>
              </w:rPr>
              <w:t>√</w:t>
            </w:r>
          </w:p>
        </w:tc>
      </w:tr>
      <w:tr w14:paraId="196CD3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9" w:hRule="atLeast"/>
        </w:trPr>
        <w:tc>
          <w:tcPr>
            <w:tcW w:w="883" w:type="dxa"/>
            <w:vMerge w:val="continue"/>
            <w:tcBorders>
              <w:top w:val="nil"/>
            </w:tcBorders>
            <w:vAlign w:val="top"/>
          </w:tcPr>
          <w:p w14:paraId="33B0C164">
            <w:pPr>
              <w:rPr>
                <w:rFonts w:ascii="Arial"/>
                <w:sz w:val="21"/>
              </w:rPr>
            </w:pPr>
          </w:p>
        </w:tc>
        <w:tc>
          <w:tcPr>
            <w:tcW w:w="2324" w:type="dxa"/>
            <w:vMerge w:val="continue"/>
            <w:tcBorders>
              <w:top w:val="nil"/>
            </w:tcBorders>
            <w:vAlign w:val="top"/>
          </w:tcPr>
          <w:p w14:paraId="6555AECB">
            <w:pPr>
              <w:rPr>
                <w:rFonts w:ascii="Arial"/>
                <w:sz w:val="21"/>
              </w:rPr>
            </w:pPr>
          </w:p>
        </w:tc>
        <w:tc>
          <w:tcPr>
            <w:tcW w:w="220" w:type="dxa"/>
            <w:vAlign w:val="top"/>
          </w:tcPr>
          <w:p w14:paraId="72F90BA9">
            <w:pPr>
              <w:rPr>
                <w:rFonts w:ascii="Arial"/>
                <w:sz w:val="21"/>
              </w:rPr>
            </w:pPr>
          </w:p>
        </w:tc>
        <w:tc>
          <w:tcPr>
            <w:tcW w:w="229" w:type="dxa"/>
            <w:vAlign w:val="top"/>
          </w:tcPr>
          <w:p w14:paraId="3F198535">
            <w:pPr>
              <w:rPr>
                <w:rFonts w:ascii="Arial"/>
                <w:sz w:val="21"/>
              </w:rPr>
            </w:pPr>
          </w:p>
        </w:tc>
        <w:tc>
          <w:tcPr>
            <w:tcW w:w="220" w:type="dxa"/>
            <w:vAlign w:val="top"/>
          </w:tcPr>
          <w:p w14:paraId="00A2AA40">
            <w:pPr>
              <w:rPr>
                <w:rFonts w:ascii="Arial"/>
                <w:sz w:val="21"/>
              </w:rPr>
            </w:pPr>
          </w:p>
        </w:tc>
        <w:tc>
          <w:tcPr>
            <w:tcW w:w="234" w:type="dxa"/>
            <w:vAlign w:val="top"/>
          </w:tcPr>
          <w:p w14:paraId="3E07C128">
            <w:pPr>
              <w:spacing w:line="250" w:lineRule="auto"/>
              <w:rPr>
                <w:rFonts w:ascii="Arial"/>
                <w:sz w:val="21"/>
              </w:rPr>
            </w:pPr>
          </w:p>
          <w:p w14:paraId="194CDE36">
            <w:pPr>
              <w:pStyle w:val="6"/>
              <w:spacing w:before="42" w:line="238" w:lineRule="auto"/>
              <w:ind w:left="49"/>
              <w:rPr>
                <w:sz w:val="13"/>
                <w:szCs w:val="13"/>
              </w:rPr>
            </w:pPr>
            <w:r>
              <w:rPr>
                <w:sz w:val="13"/>
                <w:szCs w:val="13"/>
              </w:rPr>
              <w:t>√</w:t>
            </w:r>
          </w:p>
        </w:tc>
      </w:tr>
      <w:tr w14:paraId="60D1EA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9" w:hRule="atLeast"/>
        </w:trPr>
        <w:tc>
          <w:tcPr>
            <w:tcW w:w="883" w:type="dxa"/>
            <w:vMerge w:val="restart"/>
            <w:tcBorders>
              <w:bottom w:val="nil"/>
            </w:tcBorders>
            <w:vAlign w:val="top"/>
          </w:tcPr>
          <w:p w14:paraId="0299021F">
            <w:pPr>
              <w:pStyle w:val="6"/>
              <w:spacing w:before="195" w:line="221" w:lineRule="auto"/>
              <w:ind w:left="345"/>
              <w:rPr>
                <w:sz w:val="18"/>
                <w:szCs w:val="18"/>
              </w:rPr>
            </w:pPr>
            <w:r>
              <w:rPr>
                <w:sz w:val="18"/>
                <w:szCs w:val="18"/>
              </w:rPr>
              <w:t>肺</w:t>
            </w:r>
          </w:p>
        </w:tc>
        <w:tc>
          <w:tcPr>
            <w:tcW w:w="2324" w:type="dxa"/>
            <w:vMerge w:val="restart"/>
            <w:tcBorders>
              <w:bottom w:val="nil"/>
            </w:tcBorders>
            <w:vAlign w:val="top"/>
          </w:tcPr>
          <w:p w14:paraId="34748A38">
            <w:pPr>
              <w:pStyle w:val="6"/>
              <w:spacing w:before="104" w:line="223" w:lineRule="auto"/>
              <w:ind w:left="2" w:right="322"/>
              <w:rPr>
                <w:sz w:val="18"/>
                <w:szCs w:val="18"/>
              </w:rPr>
            </w:pPr>
            <w:r>
              <w:rPr>
                <w:sz w:val="18"/>
                <w:szCs w:val="18"/>
              </w:rPr>
              <w:t>1.肺的形态、位置和分叶</w:t>
            </w:r>
            <w:r>
              <w:rPr>
                <w:spacing w:val="8"/>
                <w:sz w:val="18"/>
                <w:szCs w:val="18"/>
              </w:rPr>
              <w:t xml:space="preserve"> </w:t>
            </w:r>
            <w:r>
              <w:rPr>
                <w:spacing w:val="-1"/>
                <w:sz w:val="18"/>
                <w:szCs w:val="18"/>
              </w:rPr>
              <w:t>2.肺下缘的体表投影</w:t>
            </w:r>
          </w:p>
        </w:tc>
        <w:tc>
          <w:tcPr>
            <w:tcW w:w="220" w:type="dxa"/>
            <w:vAlign w:val="top"/>
          </w:tcPr>
          <w:p w14:paraId="679E5F5D">
            <w:pPr>
              <w:pStyle w:val="6"/>
              <w:spacing w:before="95" w:line="238" w:lineRule="auto"/>
              <w:ind w:left="8"/>
              <w:rPr>
                <w:sz w:val="13"/>
                <w:szCs w:val="13"/>
              </w:rPr>
            </w:pPr>
            <w:r>
              <w:rPr>
                <w:sz w:val="13"/>
                <w:szCs w:val="13"/>
              </w:rPr>
              <w:t>√</w:t>
            </w:r>
          </w:p>
        </w:tc>
        <w:tc>
          <w:tcPr>
            <w:tcW w:w="229" w:type="dxa"/>
            <w:vAlign w:val="top"/>
          </w:tcPr>
          <w:p w14:paraId="11C769DC">
            <w:pPr>
              <w:rPr>
                <w:rFonts w:ascii="Arial"/>
                <w:sz w:val="21"/>
              </w:rPr>
            </w:pPr>
          </w:p>
        </w:tc>
        <w:tc>
          <w:tcPr>
            <w:tcW w:w="220" w:type="dxa"/>
            <w:vAlign w:val="top"/>
          </w:tcPr>
          <w:p w14:paraId="6A1A36BA">
            <w:pPr>
              <w:rPr>
                <w:rFonts w:ascii="Arial"/>
                <w:sz w:val="21"/>
              </w:rPr>
            </w:pPr>
          </w:p>
        </w:tc>
        <w:tc>
          <w:tcPr>
            <w:tcW w:w="234" w:type="dxa"/>
            <w:vAlign w:val="top"/>
          </w:tcPr>
          <w:p w14:paraId="122278A0">
            <w:pPr>
              <w:rPr>
                <w:rFonts w:ascii="Arial"/>
                <w:sz w:val="21"/>
              </w:rPr>
            </w:pPr>
          </w:p>
        </w:tc>
      </w:tr>
      <w:tr w14:paraId="237D95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 w:hRule="atLeast"/>
        </w:trPr>
        <w:tc>
          <w:tcPr>
            <w:tcW w:w="883" w:type="dxa"/>
            <w:vMerge w:val="continue"/>
            <w:tcBorders>
              <w:top w:val="nil"/>
            </w:tcBorders>
            <w:vAlign w:val="top"/>
          </w:tcPr>
          <w:p w14:paraId="28C0EA95">
            <w:pPr>
              <w:rPr>
                <w:rFonts w:ascii="Arial"/>
                <w:sz w:val="21"/>
              </w:rPr>
            </w:pPr>
          </w:p>
        </w:tc>
        <w:tc>
          <w:tcPr>
            <w:tcW w:w="2324" w:type="dxa"/>
            <w:vMerge w:val="continue"/>
            <w:tcBorders>
              <w:top w:val="nil"/>
            </w:tcBorders>
            <w:vAlign w:val="top"/>
          </w:tcPr>
          <w:p w14:paraId="49FEA83D">
            <w:pPr>
              <w:rPr>
                <w:rFonts w:ascii="Arial"/>
                <w:sz w:val="21"/>
              </w:rPr>
            </w:pPr>
          </w:p>
        </w:tc>
        <w:tc>
          <w:tcPr>
            <w:tcW w:w="220" w:type="dxa"/>
            <w:vAlign w:val="top"/>
          </w:tcPr>
          <w:p w14:paraId="46A90B2B">
            <w:pPr>
              <w:rPr>
                <w:rFonts w:ascii="Arial"/>
                <w:sz w:val="21"/>
              </w:rPr>
            </w:pPr>
          </w:p>
        </w:tc>
        <w:tc>
          <w:tcPr>
            <w:tcW w:w="229" w:type="dxa"/>
            <w:vAlign w:val="top"/>
          </w:tcPr>
          <w:p w14:paraId="356CD78E">
            <w:pPr>
              <w:pStyle w:val="6"/>
              <w:spacing w:before="86" w:line="232" w:lineRule="auto"/>
              <w:ind w:left="48"/>
              <w:rPr>
                <w:sz w:val="13"/>
                <w:szCs w:val="13"/>
              </w:rPr>
            </w:pPr>
            <w:r>
              <w:rPr>
                <w:sz w:val="13"/>
                <w:szCs w:val="13"/>
              </w:rPr>
              <w:t>√</w:t>
            </w:r>
          </w:p>
        </w:tc>
        <w:tc>
          <w:tcPr>
            <w:tcW w:w="220" w:type="dxa"/>
            <w:vAlign w:val="top"/>
          </w:tcPr>
          <w:p w14:paraId="0203131B">
            <w:pPr>
              <w:rPr>
                <w:rFonts w:ascii="Arial"/>
                <w:sz w:val="21"/>
              </w:rPr>
            </w:pPr>
          </w:p>
        </w:tc>
        <w:tc>
          <w:tcPr>
            <w:tcW w:w="234" w:type="dxa"/>
            <w:vAlign w:val="top"/>
          </w:tcPr>
          <w:p w14:paraId="0F0A8760">
            <w:pPr>
              <w:rPr>
                <w:rFonts w:ascii="Arial"/>
                <w:sz w:val="21"/>
              </w:rPr>
            </w:pPr>
          </w:p>
        </w:tc>
      </w:tr>
      <w:tr w14:paraId="6E001A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trPr>
        <w:tc>
          <w:tcPr>
            <w:tcW w:w="883" w:type="dxa"/>
            <w:vMerge w:val="restart"/>
            <w:tcBorders>
              <w:bottom w:val="nil"/>
            </w:tcBorders>
            <w:vAlign w:val="top"/>
          </w:tcPr>
          <w:p w14:paraId="7A95D327">
            <w:pPr>
              <w:spacing w:line="242" w:lineRule="auto"/>
              <w:rPr>
                <w:rFonts w:ascii="Arial"/>
                <w:sz w:val="21"/>
              </w:rPr>
            </w:pPr>
          </w:p>
          <w:p w14:paraId="2152734A">
            <w:pPr>
              <w:spacing w:line="242" w:lineRule="auto"/>
              <w:rPr>
                <w:rFonts w:ascii="Arial"/>
                <w:sz w:val="21"/>
              </w:rPr>
            </w:pPr>
          </w:p>
          <w:p w14:paraId="6708B0C0">
            <w:pPr>
              <w:pStyle w:val="6"/>
              <w:spacing w:before="58" w:line="220" w:lineRule="auto"/>
              <w:ind w:left="165"/>
              <w:rPr>
                <w:sz w:val="18"/>
                <w:szCs w:val="18"/>
              </w:rPr>
            </w:pPr>
            <w:r>
              <w:rPr>
                <w:spacing w:val="4"/>
                <w:sz w:val="18"/>
                <w:szCs w:val="18"/>
              </w:rPr>
              <w:t>胸膜和</w:t>
            </w:r>
          </w:p>
          <w:p w14:paraId="24997554">
            <w:pPr>
              <w:pStyle w:val="6"/>
              <w:spacing w:before="5" w:line="221" w:lineRule="auto"/>
              <w:ind w:left="254"/>
              <w:rPr>
                <w:sz w:val="18"/>
                <w:szCs w:val="18"/>
              </w:rPr>
            </w:pPr>
            <w:r>
              <w:rPr>
                <w:spacing w:val="7"/>
                <w:sz w:val="18"/>
                <w:szCs w:val="18"/>
              </w:rPr>
              <w:t>纵隔</w:t>
            </w:r>
          </w:p>
        </w:tc>
        <w:tc>
          <w:tcPr>
            <w:tcW w:w="2324" w:type="dxa"/>
            <w:vMerge w:val="restart"/>
            <w:tcBorders>
              <w:bottom w:val="nil"/>
            </w:tcBorders>
            <w:vAlign w:val="top"/>
          </w:tcPr>
          <w:p w14:paraId="11B20C8D">
            <w:pPr>
              <w:pStyle w:val="6"/>
              <w:spacing w:before="205" w:line="219" w:lineRule="auto"/>
              <w:ind w:left="2"/>
              <w:rPr>
                <w:sz w:val="18"/>
                <w:szCs w:val="18"/>
              </w:rPr>
            </w:pPr>
            <w:r>
              <w:rPr>
                <w:sz w:val="18"/>
                <w:szCs w:val="18"/>
              </w:rPr>
              <w:t>1.胸膜与胸膜腔的概念</w:t>
            </w:r>
          </w:p>
          <w:p w14:paraId="2F084BC1">
            <w:pPr>
              <w:pStyle w:val="6"/>
              <w:spacing w:before="26" w:line="206" w:lineRule="auto"/>
              <w:ind w:left="2"/>
              <w:rPr>
                <w:sz w:val="18"/>
                <w:szCs w:val="18"/>
              </w:rPr>
            </w:pPr>
            <w:r>
              <w:rPr>
                <w:spacing w:val="-2"/>
                <w:sz w:val="18"/>
                <w:szCs w:val="18"/>
              </w:rPr>
              <w:t>2.壁胸膜的分部</w:t>
            </w:r>
          </w:p>
          <w:p w14:paraId="271796E4">
            <w:pPr>
              <w:pStyle w:val="6"/>
              <w:spacing w:line="220" w:lineRule="auto"/>
              <w:ind w:left="2"/>
              <w:rPr>
                <w:sz w:val="18"/>
                <w:szCs w:val="18"/>
              </w:rPr>
            </w:pPr>
            <w:r>
              <w:rPr>
                <w:spacing w:val="-2"/>
                <w:sz w:val="18"/>
                <w:szCs w:val="18"/>
              </w:rPr>
              <w:t>3.肋膈隐窝的位置</w:t>
            </w:r>
          </w:p>
          <w:p w14:paraId="64B75679">
            <w:pPr>
              <w:pStyle w:val="6"/>
              <w:spacing w:before="15" w:line="222" w:lineRule="auto"/>
              <w:ind w:left="2" w:right="518"/>
              <w:rPr>
                <w:sz w:val="18"/>
                <w:szCs w:val="18"/>
              </w:rPr>
            </w:pPr>
            <w:r>
              <w:rPr>
                <w:spacing w:val="-1"/>
                <w:sz w:val="18"/>
                <w:szCs w:val="18"/>
              </w:rPr>
              <w:t>4.胸膜下界的体表投影</w:t>
            </w:r>
            <w:r>
              <w:rPr>
                <w:spacing w:val="3"/>
                <w:sz w:val="18"/>
                <w:szCs w:val="18"/>
              </w:rPr>
              <w:t xml:space="preserve"> </w:t>
            </w:r>
            <w:r>
              <w:rPr>
                <w:spacing w:val="-2"/>
                <w:sz w:val="18"/>
                <w:szCs w:val="18"/>
              </w:rPr>
              <w:t>5.纵隔的概念</w:t>
            </w:r>
          </w:p>
        </w:tc>
        <w:tc>
          <w:tcPr>
            <w:tcW w:w="220" w:type="dxa"/>
            <w:vAlign w:val="top"/>
          </w:tcPr>
          <w:p w14:paraId="7D5483FA">
            <w:pPr>
              <w:pStyle w:val="6"/>
              <w:spacing w:before="86" w:line="238" w:lineRule="auto"/>
              <w:ind w:left="8"/>
              <w:rPr>
                <w:sz w:val="13"/>
                <w:szCs w:val="13"/>
              </w:rPr>
            </w:pPr>
            <w:r>
              <w:rPr>
                <w:sz w:val="13"/>
                <w:szCs w:val="13"/>
              </w:rPr>
              <w:t>√</w:t>
            </w:r>
          </w:p>
        </w:tc>
        <w:tc>
          <w:tcPr>
            <w:tcW w:w="229" w:type="dxa"/>
            <w:vAlign w:val="top"/>
          </w:tcPr>
          <w:p w14:paraId="0469D5A8">
            <w:pPr>
              <w:rPr>
                <w:rFonts w:ascii="Arial"/>
                <w:sz w:val="21"/>
              </w:rPr>
            </w:pPr>
          </w:p>
        </w:tc>
        <w:tc>
          <w:tcPr>
            <w:tcW w:w="220" w:type="dxa"/>
            <w:vAlign w:val="top"/>
          </w:tcPr>
          <w:p w14:paraId="2D36DA96">
            <w:pPr>
              <w:rPr>
                <w:rFonts w:ascii="Arial"/>
                <w:sz w:val="21"/>
              </w:rPr>
            </w:pPr>
          </w:p>
        </w:tc>
        <w:tc>
          <w:tcPr>
            <w:tcW w:w="234" w:type="dxa"/>
            <w:vAlign w:val="top"/>
          </w:tcPr>
          <w:p w14:paraId="678898B1">
            <w:pPr>
              <w:rPr>
                <w:rFonts w:ascii="Arial"/>
                <w:sz w:val="21"/>
              </w:rPr>
            </w:pPr>
          </w:p>
        </w:tc>
      </w:tr>
      <w:tr w14:paraId="57E19C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0" w:hRule="atLeast"/>
        </w:trPr>
        <w:tc>
          <w:tcPr>
            <w:tcW w:w="883" w:type="dxa"/>
            <w:vMerge w:val="continue"/>
            <w:tcBorders>
              <w:top w:val="nil"/>
              <w:bottom w:val="nil"/>
            </w:tcBorders>
            <w:vAlign w:val="top"/>
          </w:tcPr>
          <w:p w14:paraId="1550AC28">
            <w:pPr>
              <w:rPr>
                <w:rFonts w:ascii="Arial"/>
                <w:sz w:val="21"/>
              </w:rPr>
            </w:pPr>
          </w:p>
        </w:tc>
        <w:tc>
          <w:tcPr>
            <w:tcW w:w="2324" w:type="dxa"/>
            <w:vMerge w:val="continue"/>
            <w:tcBorders>
              <w:top w:val="nil"/>
              <w:bottom w:val="nil"/>
            </w:tcBorders>
            <w:vAlign w:val="top"/>
          </w:tcPr>
          <w:p w14:paraId="083CA9ED">
            <w:pPr>
              <w:rPr>
                <w:rFonts w:ascii="Arial"/>
                <w:sz w:val="21"/>
              </w:rPr>
            </w:pPr>
          </w:p>
        </w:tc>
        <w:tc>
          <w:tcPr>
            <w:tcW w:w="220" w:type="dxa"/>
            <w:vAlign w:val="top"/>
          </w:tcPr>
          <w:p w14:paraId="36B1E657">
            <w:pPr>
              <w:rPr>
                <w:rFonts w:ascii="Arial"/>
                <w:sz w:val="21"/>
              </w:rPr>
            </w:pPr>
          </w:p>
        </w:tc>
        <w:tc>
          <w:tcPr>
            <w:tcW w:w="229" w:type="dxa"/>
            <w:vAlign w:val="top"/>
          </w:tcPr>
          <w:p w14:paraId="6D7B194B">
            <w:pPr>
              <w:pStyle w:val="6"/>
              <w:spacing w:before="96" w:line="238" w:lineRule="auto"/>
              <w:ind w:left="48"/>
              <w:rPr>
                <w:sz w:val="13"/>
                <w:szCs w:val="13"/>
              </w:rPr>
            </w:pPr>
            <w:r>
              <w:rPr>
                <w:sz w:val="13"/>
                <w:szCs w:val="13"/>
              </w:rPr>
              <w:t>√</w:t>
            </w:r>
          </w:p>
        </w:tc>
        <w:tc>
          <w:tcPr>
            <w:tcW w:w="220" w:type="dxa"/>
            <w:vAlign w:val="top"/>
          </w:tcPr>
          <w:p w14:paraId="4C4537C8">
            <w:pPr>
              <w:rPr>
                <w:rFonts w:ascii="Arial"/>
                <w:sz w:val="21"/>
              </w:rPr>
            </w:pPr>
          </w:p>
        </w:tc>
        <w:tc>
          <w:tcPr>
            <w:tcW w:w="234" w:type="dxa"/>
            <w:vAlign w:val="top"/>
          </w:tcPr>
          <w:p w14:paraId="6915D9A3">
            <w:pPr>
              <w:rPr>
                <w:rFonts w:ascii="Arial"/>
                <w:sz w:val="21"/>
              </w:rPr>
            </w:pPr>
          </w:p>
        </w:tc>
      </w:tr>
      <w:tr w14:paraId="0281DB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83" w:type="dxa"/>
            <w:vMerge w:val="continue"/>
            <w:tcBorders>
              <w:top w:val="nil"/>
              <w:bottom w:val="nil"/>
            </w:tcBorders>
            <w:vAlign w:val="top"/>
          </w:tcPr>
          <w:p w14:paraId="040A4BDB">
            <w:pPr>
              <w:rPr>
                <w:rFonts w:ascii="Arial"/>
                <w:sz w:val="21"/>
              </w:rPr>
            </w:pPr>
          </w:p>
        </w:tc>
        <w:tc>
          <w:tcPr>
            <w:tcW w:w="2324" w:type="dxa"/>
            <w:vMerge w:val="continue"/>
            <w:tcBorders>
              <w:top w:val="nil"/>
              <w:bottom w:val="nil"/>
            </w:tcBorders>
            <w:vAlign w:val="top"/>
          </w:tcPr>
          <w:p w14:paraId="7F7857BE">
            <w:pPr>
              <w:rPr>
                <w:rFonts w:ascii="Arial"/>
                <w:sz w:val="21"/>
              </w:rPr>
            </w:pPr>
          </w:p>
        </w:tc>
        <w:tc>
          <w:tcPr>
            <w:tcW w:w="220" w:type="dxa"/>
            <w:vAlign w:val="top"/>
          </w:tcPr>
          <w:p w14:paraId="59149EA8">
            <w:pPr>
              <w:rPr>
                <w:rFonts w:ascii="Arial"/>
                <w:sz w:val="21"/>
              </w:rPr>
            </w:pPr>
          </w:p>
        </w:tc>
        <w:tc>
          <w:tcPr>
            <w:tcW w:w="229" w:type="dxa"/>
            <w:vAlign w:val="top"/>
          </w:tcPr>
          <w:p w14:paraId="3EC845FF">
            <w:pPr>
              <w:rPr>
                <w:rFonts w:ascii="Arial"/>
                <w:sz w:val="21"/>
              </w:rPr>
            </w:pPr>
          </w:p>
        </w:tc>
        <w:tc>
          <w:tcPr>
            <w:tcW w:w="220" w:type="dxa"/>
            <w:vAlign w:val="top"/>
          </w:tcPr>
          <w:p w14:paraId="24D7E92E">
            <w:pPr>
              <w:rPr>
                <w:rFonts w:ascii="Arial"/>
                <w:sz w:val="21"/>
              </w:rPr>
            </w:pPr>
          </w:p>
        </w:tc>
        <w:tc>
          <w:tcPr>
            <w:tcW w:w="234" w:type="dxa"/>
            <w:vAlign w:val="top"/>
          </w:tcPr>
          <w:p w14:paraId="6CF6C04F">
            <w:pPr>
              <w:pStyle w:val="6"/>
              <w:spacing w:before="86" w:line="231" w:lineRule="auto"/>
              <w:ind w:left="49"/>
              <w:rPr>
                <w:sz w:val="13"/>
                <w:szCs w:val="13"/>
              </w:rPr>
            </w:pPr>
            <w:r>
              <w:rPr>
                <w:sz w:val="13"/>
                <w:szCs w:val="13"/>
              </w:rPr>
              <w:t>√</w:t>
            </w:r>
          </w:p>
        </w:tc>
      </w:tr>
      <w:tr w14:paraId="20125C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883" w:type="dxa"/>
            <w:vMerge w:val="continue"/>
            <w:tcBorders>
              <w:top w:val="nil"/>
              <w:bottom w:val="nil"/>
            </w:tcBorders>
            <w:vAlign w:val="top"/>
          </w:tcPr>
          <w:p w14:paraId="69BB2D1F">
            <w:pPr>
              <w:rPr>
                <w:rFonts w:ascii="Arial"/>
                <w:sz w:val="21"/>
              </w:rPr>
            </w:pPr>
          </w:p>
        </w:tc>
        <w:tc>
          <w:tcPr>
            <w:tcW w:w="2324" w:type="dxa"/>
            <w:vMerge w:val="continue"/>
            <w:tcBorders>
              <w:top w:val="nil"/>
              <w:bottom w:val="nil"/>
            </w:tcBorders>
            <w:vAlign w:val="top"/>
          </w:tcPr>
          <w:p w14:paraId="63EAA654">
            <w:pPr>
              <w:rPr>
                <w:rFonts w:ascii="Arial"/>
                <w:sz w:val="21"/>
              </w:rPr>
            </w:pPr>
          </w:p>
        </w:tc>
        <w:tc>
          <w:tcPr>
            <w:tcW w:w="220" w:type="dxa"/>
            <w:vAlign w:val="top"/>
          </w:tcPr>
          <w:p w14:paraId="43E21F6B">
            <w:pPr>
              <w:pStyle w:val="6"/>
              <w:spacing w:before="107" w:line="238" w:lineRule="auto"/>
              <w:ind w:left="8"/>
              <w:rPr>
                <w:sz w:val="13"/>
                <w:szCs w:val="13"/>
              </w:rPr>
            </w:pPr>
            <w:r>
              <w:rPr>
                <w:sz w:val="13"/>
                <w:szCs w:val="13"/>
              </w:rPr>
              <w:t>√</w:t>
            </w:r>
          </w:p>
        </w:tc>
        <w:tc>
          <w:tcPr>
            <w:tcW w:w="229" w:type="dxa"/>
            <w:vAlign w:val="top"/>
          </w:tcPr>
          <w:p w14:paraId="3DC88006">
            <w:pPr>
              <w:rPr>
                <w:rFonts w:ascii="Arial"/>
                <w:sz w:val="21"/>
              </w:rPr>
            </w:pPr>
          </w:p>
        </w:tc>
        <w:tc>
          <w:tcPr>
            <w:tcW w:w="220" w:type="dxa"/>
            <w:vAlign w:val="top"/>
          </w:tcPr>
          <w:p w14:paraId="62D74111">
            <w:pPr>
              <w:rPr>
                <w:rFonts w:ascii="Arial"/>
                <w:sz w:val="21"/>
              </w:rPr>
            </w:pPr>
          </w:p>
        </w:tc>
        <w:tc>
          <w:tcPr>
            <w:tcW w:w="234" w:type="dxa"/>
            <w:vAlign w:val="top"/>
          </w:tcPr>
          <w:p w14:paraId="05F26955">
            <w:pPr>
              <w:rPr>
                <w:rFonts w:ascii="Arial"/>
                <w:sz w:val="21"/>
              </w:rPr>
            </w:pPr>
          </w:p>
        </w:tc>
      </w:tr>
      <w:tr w14:paraId="7AC9F1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4" w:hRule="atLeast"/>
        </w:trPr>
        <w:tc>
          <w:tcPr>
            <w:tcW w:w="883" w:type="dxa"/>
            <w:vMerge w:val="continue"/>
            <w:tcBorders>
              <w:top w:val="nil"/>
            </w:tcBorders>
            <w:vAlign w:val="top"/>
          </w:tcPr>
          <w:p w14:paraId="7434BF69">
            <w:pPr>
              <w:rPr>
                <w:rFonts w:ascii="Arial"/>
                <w:sz w:val="21"/>
              </w:rPr>
            </w:pPr>
          </w:p>
        </w:tc>
        <w:tc>
          <w:tcPr>
            <w:tcW w:w="2324" w:type="dxa"/>
            <w:vMerge w:val="continue"/>
            <w:tcBorders>
              <w:top w:val="nil"/>
            </w:tcBorders>
            <w:vAlign w:val="top"/>
          </w:tcPr>
          <w:p w14:paraId="2F775344">
            <w:pPr>
              <w:rPr>
                <w:rFonts w:ascii="Arial"/>
                <w:sz w:val="21"/>
              </w:rPr>
            </w:pPr>
          </w:p>
        </w:tc>
        <w:tc>
          <w:tcPr>
            <w:tcW w:w="220" w:type="dxa"/>
            <w:vAlign w:val="top"/>
          </w:tcPr>
          <w:p w14:paraId="1DC534D3">
            <w:pPr>
              <w:pStyle w:val="6"/>
              <w:spacing w:before="87" w:line="237" w:lineRule="auto"/>
              <w:ind w:left="8"/>
              <w:rPr>
                <w:sz w:val="13"/>
                <w:szCs w:val="13"/>
              </w:rPr>
            </w:pPr>
            <w:r>
              <w:rPr>
                <w:sz w:val="13"/>
                <w:szCs w:val="13"/>
              </w:rPr>
              <w:t>√</w:t>
            </w:r>
          </w:p>
        </w:tc>
        <w:tc>
          <w:tcPr>
            <w:tcW w:w="229" w:type="dxa"/>
            <w:vAlign w:val="top"/>
          </w:tcPr>
          <w:p w14:paraId="72F3F610">
            <w:pPr>
              <w:rPr>
                <w:rFonts w:ascii="Arial"/>
                <w:sz w:val="21"/>
              </w:rPr>
            </w:pPr>
          </w:p>
        </w:tc>
        <w:tc>
          <w:tcPr>
            <w:tcW w:w="220" w:type="dxa"/>
            <w:vAlign w:val="top"/>
          </w:tcPr>
          <w:p w14:paraId="53AF4164">
            <w:pPr>
              <w:rPr>
                <w:rFonts w:ascii="Arial"/>
                <w:sz w:val="21"/>
              </w:rPr>
            </w:pPr>
          </w:p>
        </w:tc>
        <w:tc>
          <w:tcPr>
            <w:tcW w:w="234" w:type="dxa"/>
            <w:vAlign w:val="top"/>
          </w:tcPr>
          <w:p w14:paraId="7F9DD90C">
            <w:pPr>
              <w:rPr>
                <w:rFonts w:ascii="Arial"/>
                <w:sz w:val="21"/>
              </w:rPr>
            </w:pPr>
          </w:p>
        </w:tc>
      </w:tr>
    </w:tbl>
    <w:p w14:paraId="5FD0FB5C">
      <w:pPr>
        <w:spacing w:before="118" w:line="221" w:lineRule="auto"/>
        <w:ind w:left="1267"/>
        <w:rPr>
          <w:rFonts w:ascii="黑体" w:hAnsi="黑体" w:eastAsia="黑体" w:cs="黑体"/>
          <w:sz w:val="20"/>
          <w:szCs w:val="20"/>
        </w:rPr>
      </w:pPr>
      <w:r>
        <w:rPr>
          <w:rFonts w:ascii="黑体" w:hAnsi="黑体" w:eastAsia="黑体" w:cs="黑体"/>
          <w:b/>
          <w:bCs/>
          <w:spacing w:val="-7"/>
          <w:sz w:val="20"/>
          <w:szCs w:val="20"/>
        </w:rPr>
        <w:t>第四章</w:t>
      </w:r>
      <w:r>
        <w:rPr>
          <w:rFonts w:ascii="黑体" w:hAnsi="黑体" w:eastAsia="黑体" w:cs="黑体"/>
          <w:spacing w:val="9"/>
          <w:sz w:val="20"/>
          <w:szCs w:val="20"/>
        </w:rPr>
        <w:t xml:space="preserve">  </w:t>
      </w:r>
      <w:r>
        <w:rPr>
          <w:rFonts w:ascii="黑体" w:hAnsi="黑体" w:eastAsia="黑体" w:cs="黑体"/>
          <w:b/>
          <w:bCs/>
          <w:spacing w:val="-7"/>
          <w:sz w:val="20"/>
          <w:szCs w:val="20"/>
        </w:rPr>
        <w:t>泌尿系统</w:t>
      </w:r>
    </w:p>
    <w:p w14:paraId="3650AECD">
      <w:pPr>
        <w:spacing w:line="82" w:lineRule="exact"/>
      </w:pPr>
    </w:p>
    <w:tbl>
      <w:tblPr>
        <w:tblStyle w:val="5"/>
        <w:tblW w:w="413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03"/>
        <w:gridCol w:w="2314"/>
        <w:gridCol w:w="219"/>
        <w:gridCol w:w="230"/>
        <w:gridCol w:w="220"/>
        <w:gridCol w:w="244"/>
      </w:tblGrid>
      <w:tr w14:paraId="0EB5C5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9" w:hRule="atLeast"/>
        </w:trPr>
        <w:tc>
          <w:tcPr>
            <w:tcW w:w="903" w:type="dxa"/>
            <w:vMerge w:val="restart"/>
            <w:tcBorders>
              <w:top w:val="single" w:color="000000" w:sz="2" w:space="0"/>
              <w:bottom w:val="nil"/>
            </w:tcBorders>
            <w:vAlign w:val="top"/>
          </w:tcPr>
          <w:p w14:paraId="706DA5DC">
            <w:pPr>
              <w:pStyle w:val="6"/>
              <w:spacing w:before="226" w:line="220" w:lineRule="auto"/>
              <w:ind w:left="276" w:right="35" w:hanging="259"/>
            </w:pPr>
            <w:r>
              <w:rPr>
                <w:b/>
                <w:bCs/>
                <w:spacing w:val="-4"/>
              </w:rPr>
              <w:t>知识与技能</w:t>
            </w:r>
            <w:r>
              <w:t xml:space="preserve"> </w:t>
            </w:r>
            <w:r>
              <w:rPr>
                <w:b/>
                <w:bCs/>
                <w:spacing w:val="-4"/>
              </w:rPr>
              <w:t>要点</w:t>
            </w:r>
          </w:p>
        </w:tc>
        <w:tc>
          <w:tcPr>
            <w:tcW w:w="2314" w:type="dxa"/>
            <w:vMerge w:val="restart"/>
            <w:tcBorders>
              <w:top w:val="single" w:color="000000" w:sz="2" w:space="0"/>
              <w:bottom w:val="nil"/>
            </w:tcBorders>
            <w:vAlign w:val="top"/>
          </w:tcPr>
          <w:p w14:paraId="5092A3D8">
            <w:pPr>
              <w:spacing w:line="277" w:lineRule="auto"/>
              <w:rPr>
                <w:rFonts w:ascii="Arial"/>
                <w:sz w:val="21"/>
              </w:rPr>
            </w:pPr>
          </w:p>
          <w:p w14:paraId="459F0799">
            <w:pPr>
              <w:pStyle w:val="6"/>
              <w:spacing w:before="55" w:line="219" w:lineRule="auto"/>
              <w:ind w:left="844"/>
            </w:pPr>
            <w:r>
              <w:rPr>
                <w:b/>
                <w:bCs/>
                <w:spacing w:val="5"/>
              </w:rPr>
              <w:t>考试条目</w:t>
            </w:r>
          </w:p>
        </w:tc>
        <w:tc>
          <w:tcPr>
            <w:tcW w:w="913" w:type="dxa"/>
            <w:gridSpan w:val="4"/>
            <w:tcBorders>
              <w:top w:val="single" w:color="000000" w:sz="2" w:space="0"/>
              <w:bottom w:val="single" w:color="000000" w:sz="2" w:space="0"/>
            </w:tcBorders>
            <w:vAlign w:val="top"/>
          </w:tcPr>
          <w:p w14:paraId="2E6049C9">
            <w:pPr>
              <w:pStyle w:val="6"/>
              <w:spacing w:before="134" w:line="219" w:lineRule="auto"/>
              <w:ind w:left="140"/>
            </w:pPr>
            <w:r>
              <w:rPr>
                <w:b/>
                <w:bCs/>
                <w:spacing w:val="-4"/>
              </w:rPr>
              <w:t>考试水平</w:t>
            </w:r>
          </w:p>
        </w:tc>
      </w:tr>
      <w:tr w14:paraId="779475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4" w:hRule="atLeast"/>
        </w:trPr>
        <w:tc>
          <w:tcPr>
            <w:tcW w:w="903" w:type="dxa"/>
            <w:vMerge w:val="continue"/>
            <w:tcBorders>
              <w:top w:val="nil"/>
              <w:bottom w:val="single" w:color="000000" w:sz="2" w:space="0"/>
            </w:tcBorders>
            <w:vAlign w:val="top"/>
          </w:tcPr>
          <w:p w14:paraId="282B3211">
            <w:pPr>
              <w:rPr>
                <w:rFonts w:ascii="Arial"/>
                <w:sz w:val="21"/>
              </w:rPr>
            </w:pPr>
          </w:p>
        </w:tc>
        <w:tc>
          <w:tcPr>
            <w:tcW w:w="2314" w:type="dxa"/>
            <w:vMerge w:val="continue"/>
            <w:tcBorders>
              <w:top w:val="nil"/>
              <w:bottom w:val="single" w:color="000000" w:sz="2" w:space="0"/>
            </w:tcBorders>
            <w:vAlign w:val="top"/>
          </w:tcPr>
          <w:p w14:paraId="7FDF7044">
            <w:pPr>
              <w:rPr>
                <w:rFonts w:ascii="Arial"/>
                <w:sz w:val="21"/>
              </w:rPr>
            </w:pPr>
          </w:p>
        </w:tc>
        <w:tc>
          <w:tcPr>
            <w:tcW w:w="219" w:type="dxa"/>
            <w:tcBorders>
              <w:top w:val="single" w:color="000000" w:sz="2" w:space="0"/>
              <w:bottom w:val="single" w:color="000000" w:sz="2" w:space="0"/>
            </w:tcBorders>
            <w:vAlign w:val="top"/>
          </w:tcPr>
          <w:p w14:paraId="642C1FE6">
            <w:pPr>
              <w:pStyle w:val="6"/>
              <w:spacing w:before="165" w:line="184" w:lineRule="auto"/>
              <w:ind w:left="60"/>
            </w:pPr>
            <w:r>
              <w:rPr>
                <w:b/>
                <w:bCs/>
                <w:spacing w:val="-2"/>
              </w:rPr>
              <w:t>A</w:t>
            </w:r>
          </w:p>
        </w:tc>
        <w:tc>
          <w:tcPr>
            <w:tcW w:w="230" w:type="dxa"/>
            <w:tcBorders>
              <w:top w:val="single" w:color="000000" w:sz="2" w:space="0"/>
              <w:bottom w:val="single" w:color="000000" w:sz="2" w:space="0"/>
            </w:tcBorders>
            <w:vAlign w:val="top"/>
          </w:tcPr>
          <w:p w14:paraId="28A3C7C6">
            <w:pPr>
              <w:pStyle w:val="6"/>
              <w:spacing w:before="167" w:line="182" w:lineRule="auto"/>
              <w:ind w:left="71"/>
            </w:pPr>
            <w:r>
              <w:rPr>
                <w:b/>
                <w:bCs/>
                <w:spacing w:val="-2"/>
              </w:rPr>
              <w:t>B</w:t>
            </w:r>
          </w:p>
        </w:tc>
        <w:tc>
          <w:tcPr>
            <w:tcW w:w="220" w:type="dxa"/>
            <w:tcBorders>
              <w:top w:val="single" w:color="000000" w:sz="2" w:space="0"/>
              <w:bottom w:val="single" w:color="000000" w:sz="2" w:space="0"/>
            </w:tcBorders>
            <w:vAlign w:val="top"/>
          </w:tcPr>
          <w:p w14:paraId="60716E54">
            <w:pPr>
              <w:pStyle w:val="6"/>
              <w:spacing w:before="165" w:line="183" w:lineRule="auto"/>
              <w:ind w:left="61"/>
            </w:pPr>
            <w:r>
              <w:rPr>
                <w:b/>
                <w:bCs/>
                <w:spacing w:val="-2"/>
              </w:rPr>
              <w:t>C</w:t>
            </w:r>
          </w:p>
        </w:tc>
        <w:tc>
          <w:tcPr>
            <w:tcW w:w="244" w:type="dxa"/>
            <w:tcBorders>
              <w:top w:val="single" w:color="000000" w:sz="2" w:space="0"/>
              <w:bottom w:val="single" w:color="000000" w:sz="2" w:space="0"/>
            </w:tcBorders>
            <w:vAlign w:val="top"/>
          </w:tcPr>
          <w:p w14:paraId="61C6FA11">
            <w:pPr>
              <w:pStyle w:val="6"/>
              <w:spacing w:before="167" w:line="182" w:lineRule="auto"/>
              <w:ind w:left="41"/>
            </w:pPr>
            <w:r>
              <w:rPr>
                <w:b/>
                <w:bCs/>
                <w:spacing w:val="-2"/>
              </w:rPr>
              <w:t>D</w:t>
            </w:r>
          </w:p>
        </w:tc>
      </w:tr>
      <w:tr w14:paraId="7A5A1C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5" w:hRule="atLeast"/>
        </w:trPr>
        <w:tc>
          <w:tcPr>
            <w:tcW w:w="903" w:type="dxa"/>
            <w:tcBorders>
              <w:top w:val="single" w:color="000000" w:sz="2" w:space="0"/>
              <w:bottom w:val="single" w:color="000000" w:sz="2" w:space="0"/>
            </w:tcBorders>
            <w:vAlign w:val="top"/>
          </w:tcPr>
          <w:p w14:paraId="57125295">
            <w:pPr>
              <w:pStyle w:val="6"/>
              <w:spacing w:before="63" w:line="219" w:lineRule="auto"/>
              <w:ind w:left="275"/>
            </w:pPr>
            <w:r>
              <w:rPr>
                <w:spacing w:val="-2"/>
              </w:rPr>
              <w:t>概述</w:t>
            </w:r>
          </w:p>
        </w:tc>
        <w:tc>
          <w:tcPr>
            <w:tcW w:w="2314" w:type="dxa"/>
            <w:tcBorders>
              <w:top w:val="single" w:color="000000" w:sz="2" w:space="0"/>
              <w:bottom w:val="single" w:color="000000" w:sz="2" w:space="0"/>
            </w:tcBorders>
            <w:vAlign w:val="top"/>
          </w:tcPr>
          <w:p w14:paraId="616DFEFA">
            <w:pPr>
              <w:pStyle w:val="6"/>
              <w:spacing w:before="64" w:line="221" w:lineRule="auto"/>
              <w:ind w:left="12"/>
            </w:pPr>
            <w:r>
              <w:rPr>
                <w:spacing w:val="-2"/>
              </w:rPr>
              <w:t>泌尿系统的组成</w:t>
            </w:r>
          </w:p>
        </w:tc>
        <w:tc>
          <w:tcPr>
            <w:tcW w:w="219" w:type="dxa"/>
            <w:tcBorders>
              <w:top w:val="single" w:color="000000" w:sz="2" w:space="0"/>
              <w:bottom w:val="single" w:color="000000" w:sz="2" w:space="0"/>
            </w:tcBorders>
            <w:vAlign w:val="top"/>
          </w:tcPr>
          <w:p w14:paraId="5239389B">
            <w:pPr>
              <w:rPr>
                <w:rFonts w:ascii="Arial"/>
                <w:sz w:val="21"/>
              </w:rPr>
            </w:pPr>
          </w:p>
        </w:tc>
        <w:tc>
          <w:tcPr>
            <w:tcW w:w="230" w:type="dxa"/>
            <w:tcBorders>
              <w:top w:val="single" w:color="000000" w:sz="2" w:space="0"/>
              <w:bottom w:val="single" w:color="000000" w:sz="2" w:space="0"/>
            </w:tcBorders>
            <w:vAlign w:val="top"/>
          </w:tcPr>
          <w:p w14:paraId="3858ED84">
            <w:pPr>
              <w:pStyle w:val="6"/>
              <w:spacing w:before="95" w:line="238" w:lineRule="auto"/>
              <w:ind w:left="48"/>
              <w:rPr>
                <w:sz w:val="13"/>
                <w:szCs w:val="13"/>
              </w:rPr>
            </w:pPr>
            <w:r>
              <w:rPr>
                <w:sz w:val="13"/>
                <w:szCs w:val="13"/>
              </w:rPr>
              <w:t>√</w:t>
            </w:r>
          </w:p>
        </w:tc>
        <w:tc>
          <w:tcPr>
            <w:tcW w:w="220" w:type="dxa"/>
            <w:tcBorders>
              <w:top w:val="single" w:color="000000" w:sz="2" w:space="0"/>
              <w:bottom w:val="single" w:color="000000" w:sz="2" w:space="0"/>
            </w:tcBorders>
            <w:vAlign w:val="top"/>
          </w:tcPr>
          <w:p w14:paraId="477FA25E">
            <w:pPr>
              <w:rPr>
                <w:rFonts w:ascii="Arial"/>
                <w:sz w:val="21"/>
              </w:rPr>
            </w:pPr>
          </w:p>
        </w:tc>
        <w:tc>
          <w:tcPr>
            <w:tcW w:w="244" w:type="dxa"/>
            <w:tcBorders>
              <w:top w:val="single" w:color="000000" w:sz="2" w:space="0"/>
              <w:bottom w:val="single" w:color="000000" w:sz="2" w:space="0"/>
            </w:tcBorders>
            <w:vAlign w:val="top"/>
          </w:tcPr>
          <w:p w14:paraId="595A3368">
            <w:pPr>
              <w:rPr>
                <w:rFonts w:ascii="Arial"/>
                <w:sz w:val="21"/>
              </w:rPr>
            </w:pPr>
          </w:p>
        </w:tc>
      </w:tr>
      <w:tr w14:paraId="0D2307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4" w:hRule="atLeast"/>
        </w:trPr>
        <w:tc>
          <w:tcPr>
            <w:tcW w:w="903" w:type="dxa"/>
            <w:vMerge w:val="restart"/>
            <w:tcBorders>
              <w:top w:val="single" w:color="000000" w:sz="2" w:space="0"/>
              <w:bottom w:val="nil"/>
            </w:tcBorders>
            <w:vAlign w:val="top"/>
          </w:tcPr>
          <w:p w14:paraId="43C98991">
            <w:pPr>
              <w:spacing w:line="242" w:lineRule="auto"/>
              <w:rPr>
                <w:rFonts w:ascii="Arial"/>
                <w:sz w:val="21"/>
              </w:rPr>
            </w:pPr>
          </w:p>
          <w:p w14:paraId="32352AB0">
            <w:pPr>
              <w:spacing w:line="243" w:lineRule="auto"/>
              <w:rPr>
                <w:rFonts w:ascii="Arial"/>
                <w:sz w:val="21"/>
              </w:rPr>
            </w:pPr>
          </w:p>
          <w:p w14:paraId="10A6B953">
            <w:pPr>
              <w:pStyle w:val="6"/>
              <w:spacing w:before="55" w:line="219" w:lineRule="auto"/>
              <w:ind w:left="354"/>
            </w:pPr>
            <w:r>
              <w:t>肾</w:t>
            </w:r>
          </w:p>
        </w:tc>
        <w:tc>
          <w:tcPr>
            <w:tcW w:w="2314" w:type="dxa"/>
            <w:vMerge w:val="restart"/>
            <w:tcBorders>
              <w:top w:val="single" w:color="000000" w:sz="2" w:space="0"/>
              <w:bottom w:val="nil"/>
            </w:tcBorders>
            <w:vAlign w:val="top"/>
          </w:tcPr>
          <w:p w14:paraId="114471DD">
            <w:pPr>
              <w:spacing w:line="286" w:lineRule="auto"/>
              <w:rPr>
                <w:rFonts w:ascii="Arial"/>
                <w:sz w:val="21"/>
              </w:rPr>
            </w:pPr>
          </w:p>
          <w:p w14:paraId="452B2CDC">
            <w:pPr>
              <w:pStyle w:val="6"/>
              <w:spacing w:before="55" w:line="219" w:lineRule="auto"/>
              <w:ind w:left="12"/>
            </w:pPr>
            <w:r>
              <w:t>1.肾的形态和位置</w:t>
            </w:r>
          </w:p>
          <w:p w14:paraId="048E6A8A">
            <w:pPr>
              <w:pStyle w:val="6"/>
              <w:spacing w:before="8" w:line="229" w:lineRule="auto"/>
              <w:ind w:left="12" w:right="600"/>
            </w:pPr>
            <w:r>
              <w:rPr>
                <w:spacing w:val="-1"/>
              </w:rPr>
              <w:t>2.肾冠状切面上的结构</w:t>
            </w:r>
            <w:r>
              <w:rPr>
                <w:spacing w:val="1"/>
              </w:rPr>
              <w:t xml:space="preserve"> </w:t>
            </w:r>
            <w:r>
              <w:rPr>
                <w:spacing w:val="-1"/>
              </w:rPr>
              <w:t>3.肾的被膜</w:t>
            </w:r>
          </w:p>
        </w:tc>
        <w:tc>
          <w:tcPr>
            <w:tcW w:w="219" w:type="dxa"/>
            <w:tcBorders>
              <w:top w:val="single" w:color="000000" w:sz="2" w:space="0"/>
              <w:bottom w:val="single" w:color="000000" w:sz="2" w:space="0"/>
            </w:tcBorders>
            <w:vAlign w:val="top"/>
          </w:tcPr>
          <w:p w14:paraId="282CB7F2">
            <w:pPr>
              <w:rPr>
                <w:rFonts w:ascii="Arial"/>
                <w:sz w:val="21"/>
              </w:rPr>
            </w:pPr>
          </w:p>
        </w:tc>
        <w:tc>
          <w:tcPr>
            <w:tcW w:w="230" w:type="dxa"/>
            <w:tcBorders>
              <w:top w:val="single" w:color="000000" w:sz="2" w:space="0"/>
              <w:bottom w:val="single" w:color="000000" w:sz="2" w:space="0"/>
            </w:tcBorders>
            <w:vAlign w:val="top"/>
          </w:tcPr>
          <w:p w14:paraId="6FDC4A46">
            <w:pPr>
              <w:pStyle w:val="6"/>
              <w:spacing w:before="154" w:line="238" w:lineRule="auto"/>
              <w:ind w:left="48"/>
              <w:rPr>
                <w:sz w:val="13"/>
                <w:szCs w:val="13"/>
              </w:rPr>
            </w:pPr>
            <w:r>
              <w:rPr>
                <w:sz w:val="13"/>
                <w:szCs w:val="13"/>
              </w:rPr>
              <w:t>√</w:t>
            </w:r>
          </w:p>
        </w:tc>
        <w:tc>
          <w:tcPr>
            <w:tcW w:w="220" w:type="dxa"/>
            <w:tcBorders>
              <w:top w:val="single" w:color="000000" w:sz="2" w:space="0"/>
              <w:bottom w:val="single" w:color="000000" w:sz="2" w:space="0"/>
            </w:tcBorders>
            <w:vAlign w:val="top"/>
          </w:tcPr>
          <w:p w14:paraId="3B616F85">
            <w:pPr>
              <w:rPr>
                <w:rFonts w:ascii="Arial"/>
                <w:sz w:val="21"/>
              </w:rPr>
            </w:pPr>
          </w:p>
        </w:tc>
        <w:tc>
          <w:tcPr>
            <w:tcW w:w="244" w:type="dxa"/>
            <w:tcBorders>
              <w:top w:val="single" w:color="000000" w:sz="2" w:space="0"/>
              <w:bottom w:val="single" w:color="000000" w:sz="2" w:space="0"/>
            </w:tcBorders>
            <w:vAlign w:val="top"/>
          </w:tcPr>
          <w:p w14:paraId="726E4E6D">
            <w:pPr>
              <w:rPr>
                <w:rFonts w:ascii="Arial"/>
                <w:sz w:val="21"/>
              </w:rPr>
            </w:pPr>
          </w:p>
        </w:tc>
      </w:tr>
      <w:tr w14:paraId="4139ED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4" w:hRule="atLeast"/>
        </w:trPr>
        <w:tc>
          <w:tcPr>
            <w:tcW w:w="903" w:type="dxa"/>
            <w:vMerge w:val="continue"/>
            <w:tcBorders>
              <w:top w:val="nil"/>
              <w:bottom w:val="nil"/>
            </w:tcBorders>
            <w:vAlign w:val="top"/>
          </w:tcPr>
          <w:p w14:paraId="0D600E82">
            <w:pPr>
              <w:rPr>
                <w:rFonts w:ascii="Arial"/>
                <w:sz w:val="21"/>
              </w:rPr>
            </w:pPr>
          </w:p>
        </w:tc>
        <w:tc>
          <w:tcPr>
            <w:tcW w:w="2314" w:type="dxa"/>
            <w:vMerge w:val="continue"/>
            <w:tcBorders>
              <w:top w:val="nil"/>
              <w:bottom w:val="nil"/>
            </w:tcBorders>
            <w:vAlign w:val="top"/>
          </w:tcPr>
          <w:p w14:paraId="22B7EE30">
            <w:pPr>
              <w:rPr>
                <w:rFonts w:ascii="Arial"/>
                <w:sz w:val="21"/>
              </w:rPr>
            </w:pPr>
          </w:p>
        </w:tc>
        <w:tc>
          <w:tcPr>
            <w:tcW w:w="219" w:type="dxa"/>
            <w:tcBorders>
              <w:top w:val="single" w:color="000000" w:sz="2" w:space="0"/>
              <w:bottom w:val="single" w:color="000000" w:sz="2" w:space="0"/>
            </w:tcBorders>
            <w:vAlign w:val="top"/>
          </w:tcPr>
          <w:p w14:paraId="643A7BBC">
            <w:pPr>
              <w:pStyle w:val="6"/>
              <w:spacing w:before="155" w:line="238" w:lineRule="auto"/>
              <w:ind w:left="38"/>
              <w:rPr>
                <w:sz w:val="13"/>
                <w:szCs w:val="13"/>
              </w:rPr>
            </w:pPr>
            <w:r>
              <w:rPr>
                <w:sz w:val="13"/>
                <w:szCs w:val="13"/>
              </w:rPr>
              <w:t>√</w:t>
            </w:r>
          </w:p>
        </w:tc>
        <w:tc>
          <w:tcPr>
            <w:tcW w:w="230" w:type="dxa"/>
            <w:tcBorders>
              <w:top w:val="single" w:color="000000" w:sz="2" w:space="0"/>
              <w:bottom w:val="single" w:color="000000" w:sz="2" w:space="0"/>
            </w:tcBorders>
            <w:vAlign w:val="top"/>
          </w:tcPr>
          <w:p w14:paraId="034AED03">
            <w:pPr>
              <w:rPr>
                <w:rFonts w:ascii="Arial"/>
                <w:sz w:val="21"/>
              </w:rPr>
            </w:pPr>
          </w:p>
        </w:tc>
        <w:tc>
          <w:tcPr>
            <w:tcW w:w="220" w:type="dxa"/>
            <w:tcBorders>
              <w:top w:val="single" w:color="000000" w:sz="2" w:space="0"/>
              <w:bottom w:val="single" w:color="000000" w:sz="2" w:space="0"/>
            </w:tcBorders>
            <w:vAlign w:val="top"/>
          </w:tcPr>
          <w:p w14:paraId="226E87C1">
            <w:pPr>
              <w:rPr>
                <w:rFonts w:ascii="Arial"/>
                <w:sz w:val="21"/>
              </w:rPr>
            </w:pPr>
          </w:p>
        </w:tc>
        <w:tc>
          <w:tcPr>
            <w:tcW w:w="244" w:type="dxa"/>
            <w:tcBorders>
              <w:top w:val="single" w:color="000000" w:sz="2" w:space="0"/>
              <w:bottom w:val="single" w:color="000000" w:sz="2" w:space="0"/>
            </w:tcBorders>
            <w:vAlign w:val="top"/>
          </w:tcPr>
          <w:p w14:paraId="70C742BA">
            <w:pPr>
              <w:rPr>
                <w:rFonts w:ascii="Arial"/>
                <w:sz w:val="21"/>
              </w:rPr>
            </w:pPr>
          </w:p>
        </w:tc>
      </w:tr>
      <w:tr w14:paraId="46424C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4" w:hRule="atLeast"/>
        </w:trPr>
        <w:tc>
          <w:tcPr>
            <w:tcW w:w="903" w:type="dxa"/>
            <w:vMerge w:val="continue"/>
            <w:tcBorders>
              <w:top w:val="nil"/>
              <w:bottom w:val="single" w:color="000000" w:sz="2" w:space="0"/>
            </w:tcBorders>
            <w:vAlign w:val="top"/>
          </w:tcPr>
          <w:p w14:paraId="64F12B2C">
            <w:pPr>
              <w:rPr>
                <w:rFonts w:ascii="Arial"/>
                <w:sz w:val="21"/>
              </w:rPr>
            </w:pPr>
          </w:p>
        </w:tc>
        <w:tc>
          <w:tcPr>
            <w:tcW w:w="2314" w:type="dxa"/>
            <w:vMerge w:val="continue"/>
            <w:tcBorders>
              <w:top w:val="nil"/>
              <w:bottom w:val="single" w:color="000000" w:sz="2" w:space="0"/>
            </w:tcBorders>
            <w:vAlign w:val="top"/>
          </w:tcPr>
          <w:p w14:paraId="087F5A41">
            <w:pPr>
              <w:rPr>
                <w:rFonts w:ascii="Arial"/>
                <w:sz w:val="21"/>
              </w:rPr>
            </w:pPr>
          </w:p>
        </w:tc>
        <w:tc>
          <w:tcPr>
            <w:tcW w:w="219" w:type="dxa"/>
            <w:tcBorders>
              <w:top w:val="single" w:color="000000" w:sz="2" w:space="0"/>
              <w:bottom w:val="single" w:color="000000" w:sz="2" w:space="0"/>
            </w:tcBorders>
            <w:vAlign w:val="top"/>
          </w:tcPr>
          <w:p w14:paraId="05761F97">
            <w:pPr>
              <w:rPr>
                <w:rFonts w:ascii="Arial"/>
                <w:sz w:val="21"/>
              </w:rPr>
            </w:pPr>
          </w:p>
        </w:tc>
        <w:tc>
          <w:tcPr>
            <w:tcW w:w="230" w:type="dxa"/>
            <w:tcBorders>
              <w:top w:val="single" w:color="000000" w:sz="2" w:space="0"/>
              <w:bottom w:val="single" w:color="000000" w:sz="2" w:space="0"/>
            </w:tcBorders>
            <w:vAlign w:val="top"/>
          </w:tcPr>
          <w:p w14:paraId="374322B8">
            <w:pPr>
              <w:rPr>
                <w:rFonts w:ascii="Arial"/>
                <w:sz w:val="21"/>
              </w:rPr>
            </w:pPr>
          </w:p>
        </w:tc>
        <w:tc>
          <w:tcPr>
            <w:tcW w:w="220" w:type="dxa"/>
            <w:tcBorders>
              <w:top w:val="single" w:color="000000" w:sz="2" w:space="0"/>
              <w:bottom w:val="single" w:color="000000" w:sz="2" w:space="0"/>
            </w:tcBorders>
            <w:vAlign w:val="top"/>
          </w:tcPr>
          <w:p w14:paraId="69284F5B">
            <w:pPr>
              <w:pStyle w:val="6"/>
              <w:spacing w:before="170" w:line="182" w:lineRule="auto"/>
              <w:ind w:left="59"/>
            </w:pPr>
            <w:r>
              <w:t>V</w:t>
            </w:r>
          </w:p>
        </w:tc>
        <w:tc>
          <w:tcPr>
            <w:tcW w:w="244" w:type="dxa"/>
            <w:tcBorders>
              <w:top w:val="single" w:color="000000" w:sz="2" w:space="0"/>
              <w:bottom w:val="single" w:color="000000" w:sz="2" w:space="0"/>
            </w:tcBorders>
            <w:vAlign w:val="top"/>
          </w:tcPr>
          <w:p w14:paraId="6D2A9224">
            <w:pPr>
              <w:rPr>
                <w:rFonts w:ascii="Arial"/>
                <w:sz w:val="21"/>
              </w:rPr>
            </w:pPr>
          </w:p>
        </w:tc>
      </w:tr>
      <w:tr w14:paraId="6F16C2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5" w:hRule="atLeast"/>
        </w:trPr>
        <w:tc>
          <w:tcPr>
            <w:tcW w:w="903" w:type="dxa"/>
            <w:vMerge w:val="restart"/>
            <w:tcBorders>
              <w:top w:val="single" w:color="000000" w:sz="2" w:space="0"/>
              <w:bottom w:val="nil"/>
            </w:tcBorders>
            <w:vAlign w:val="top"/>
          </w:tcPr>
          <w:p w14:paraId="6D3FBA48">
            <w:pPr>
              <w:pStyle w:val="6"/>
              <w:spacing w:before="266" w:line="219" w:lineRule="auto"/>
              <w:ind w:left="185"/>
            </w:pPr>
            <w:r>
              <w:rPr>
                <w:spacing w:val="-2"/>
              </w:rPr>
              <w:t>输尿管</w:t>
            </w:r>
          </w:p>
        </w:tc>
        <w:tc>
          <w:tcPr>
            <w:tcW w:w="2314" w:type="dxa"/>
            <w:vMerge w:val="restart"/>
            <w:tcBorders>
              <w:top w:val="single" w:color="000000" w:sz="2" w:space="0"/>
              <w:bottom w:val="nil"/>
            </w:tcBorders>
            <w:vAlign w:val="top"/>
          </w:tcPr>
          <w:p w14:paraId="41B4DD6D">
            <w:pPr>
              <w:pStyle w:val="6"/>
              <w:spacing w:before="176" w:line="219" w:lineRule="auto"/>
              <w:ind w:left="12"/>
            </w:pPr>
            <w:r>
              <w:t>1.输尿管的行程</w:t>
            </w:r>
          </w:p>
          <w:p w14:paraId="069E3B0F">
            <w:pPr>
              <w:pStyle w:val="6"/>
              <w:spacing w:before="8" w:line="219" w:lineRule="auto"/>
              <w:ind w:left="12"/>
            </w:pPr>
            <w:r>
              <w:rPr>
                <w:spacing w:val="-1"/>
              </w:rPr>
              <w:t>2.输尿管的狭窄部位</w:t>
            </w:r>
          </w:p>
        </w:tc>
        <w:tc>
          <w:tcPr>
            <w:tcW w:w="219" w:type="dxa"/>
            <w:tcBorders>
              <w:top w:val="single" w:color="000000" w:sz="2" w:space="0"/>
              <w:bottom w:val="single" w:color="000000" w:sz="2" w:space="0"/>
            </w:tcBorders>
            <w:vAlign w:val="top"/>
          </w:tcPr>
          <w:p w14:paraId="6B15C3BE">
            <w:pPr>
              <w:rPr>
                <w:rFonts w:ascii="Arial"/>
                <w:sz w:val="21"/>
              </w:rPr>
            </w:pPr>
          </w:p>
        </w:tc>
        <w:tc>
          <w:tcPr>
            <w:tcW w:w="230" w:type="dxa"/>
            <w:tcBorders>
              <w:top w:val="single" w:color="000000" w:sz="2" w:space="0"/>
              <w:bottom w:val="single" w:color="000000" w:sz="2" w:space="0"/>
            </w:tcBorders>
            <w:vAlign w:val="top"/>
          </w:tcPr>
          <w:p w14:paraId="7499A37D">
            <w:pPr>
              <w:rPr>
                <w:rFonts w:ascii="Arial"/>
                <w:sz w:val="21"/>
              </w:rPr>
            </w:pPr>
          </w:p>
        </w:tc>
        <w:tc>
          <w:tcPr>
            <w:tcW w:w="220" w:type="dxa"/>
            <w:tcBorders>
              <w:top w:val="single" w:color="000000" w:sz="2" w:space="0"/>
              <w:bottom w:val="single" w:color="000000" w:sz="2" w:space="0"/>
            </w:tcBorders>
            <w:vAlign w:val="top"/>
          </w:tcPr>
          <w:p w14:paraId="47598603">
            <w:pPr>
              <w:pStyle w:val="6"/>
              <w:spacing w:before="140" w:line="182" w:lineRule="auto"/>
              <w:ind w:left="19"/>
            </w:pPr>
            <w:r>
              <w:t>V</w:t>
            </w:r>
          </w:p>
        </w:tc>
        <w:tc>
          <w:tcPr>
            <w:tcW w:w="244" w:type="dxa"/>
            <w:tcBorders>
              <w:top w:val="single" w:color="000000" w:sz="2" w:space="0"/>
              <w:bottom w:val="single" w:color="000000" w:sz="2" w:space="0"/>
            </w:tcBorders>
            <w:vAlign w:val="top"/>
          </w:tcPr>
          <w:p w14:paraId="7D8243C0">
            <w:pPr>
              <w:rPr>
                <w:rFonts w:ascii="Arial"/>
                <w:sz w:val="21"/>
              </w:rPr>
            </w:pPr>
          </w:p>
        </w:tc>
      </w:tr>
      <w:tr w14:paraId="00AD0C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5" w:hRule="atLeast"/>
        </w:trPr>
        <w:tc>
          <w:tcPr>
            <w:tcW w:w="903" w:type="dxa"/>
            <w:vMerge w:val="continue"/>
            <w:tcBorders>
              <w:top w:val="nil"/>
              <w:bottom w:val="single" w:color="000000" w:sz="2" w:space="0"/>
            </w:tcBorders>
            <w:vAlign w:val="top"/>
          </w:tcPr>
          <w:p w14:paraId="1C25E60C">
            <w:pPr>
              <w:rPr>
                <w:rFonts w:ascii="Arial"/>
                <w:sz w:val="21"/>
              </w:rPr>
            </w:pPr>
          </w:p>
        </w:tc>
        <w:tc>
          <w:tcPr>
            <w:tcW w:w="2314" w:type="dxa"/>
            <w:vMerge w:val="continue"/>
            <w:tcBorders>
              <w:top w:val="nil"/>
              <w:bottom w:val="single" w:color="000000" w:sz="2" w:space="0"/>
            </w:tcBorders>
            <w:vAlign w:val="top"/>
          </w:tcPr>
          <w:p w14:paraId="2B34840B">
            <w:pPr>
              <w:rPr>
                <w:rFonts w:ascii="Arial"/>
                <w:sz w:val="21"/>
              </w:rPr>
            </w:pPr>
          </w:p>
        </w:tc>
        <w:tc>
          <w:tcPr>
            <w:tcW w:w="219" w:type="dxa"/>
            <w:tcBorders>
              <w:top w:val="single" w:color="000000" w:sz="2" w:space="0"/>
              <w:bottom w:val="single" w:color="000000" w:sz="2" w:space="0"/>
            </w:tcBorders>
            <w:vAlign w:val="top"/>
          </w:tcPr>
          <w:p w14:paraId="2EF96995">
            <w:pPr>
              <w:rPr>
                <w:rFonts w:ascii="Arial"/>
                <w:sz w:val="21"/>
              </w:rPr>
            </w:pPr>
          </w:p>
        </w:tc>
        <w:tc>
          <w:tcPr>
            <w:tcW w:w="230" w:type="dxa"/>
            <w:tcBorders>
              <w:top w:val="single" w:color="000000" w:sz="2" w:space="0"/>
              <w:bottom w:val="single" w:color="000000" w:sz="2" w:space="0"/>
            </w:tcBorders>
            <w:vAlign w:val="top"/>
          </w:tcPr>
          <w:p w14:paraId="3DEEDD64">
            <w:pPr>
              <w:pStyle w:val="6"/>
              <w:spacing w:before="127" w:line="238" w:lineRule="auto"/>
              <w:ind w:left="48"/>
              <w:rPr>
                <w:sz w:val="13"/>
                <w:szCs w:val="13"/>
              </w:rPr>
            </w:pPr>
            <w:r>
              <w:rPr>
                <w:sz w:val="13"/>
                <w:szCs w:val="13"/>
              </w:rPr>
              <w:t>√</w:t>
            </w:r>
          </w:p>
        </w:tc>
        <w:tc>
          <w:tcPr>
            <w:tcW w:w="220" w:type="dxa"/>
            <w:tcBorders>
              <w:top w:val="single" w:color="000000" w:sz="2" w:space="0"/>
              <w:bottom w:val="single" w:color="000000" w:sz="2" w:space="0"/>
            </w:tcBorders>
            <w:vAlign w:val="top"/>
          </w:tcPr>
          <w:p w14:paraId="7D671E27">
            <w:pPr>
              <w:rPr>
                <w:rFonts w:ascii="Arial"/>
                <w:sz w:val="21"/>
              </w:rPr>
            </w:pPr>
          </w:p>
        </w:tc>
        <w:tc>
          <w:tcPr>
            <w:tcW w:w="244" w:type="dxa"/>
            <w:tcBorders>
              <w:top w:val="single" w:color="000000" w:sz="2" w:space="0"/>
              <w:bottom w:val="single" w:color="000000" w:sz="2" w:space="0"/>
            </w:tcBorders>
            <w:vAlign w:val="top"/>
          </w:tcPr>
          <w:p w14:paraId="28B59AA7">
            <w:pPr>
              <w:rPr>
                <w:rFonts w:ascii="Arial"/>
                <w:sz w:val="21"/>
              </w:rPr>
            </w:pPr>
          </w:p>
        </w:tc>
      </w:tr>
      <w:tr w14:paraId="40D872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5" w:hRule="atLeast"/>
        </w:trPr>
        <w:tc>
          <w:tcPr>
            <w:tcW w:w="903" w:type="dxa"/>
            <w:vMerge w:val="restart"/>
            <w:tcBorders>
              <w:top w:val="single" w:color="000000" w:sz="2" w:space="0"/>
              <w:bottom w:val="nil"/>
            </w:tcBorders>
            <w:vAlign w:val="top"/>
          </w:tcPr>
          <w:p w14:paraId="55DE89DC">
            <w:pPr>
              <w:pStyle w:val="6"/>
              <w:spacing w:before="264" w:line="219" w:lineRule="auto"/>
              <w:ind w:left="275"/>
            </w:pPr>
            <w:r>
              <w:rPr>
                <w:spacing w:val="-2"/>
              </w:rPr>
              <w:t>膀胱</w:t>
            </w:r>
          </w:p>
        </w:tc>
        <w:tc>
          <w:tcPr>
            <w:tcW w:w="2314" w:type="dxa"/>
            <w:vMerge w:val="restart"/>
            <w:tcBorders>
              <w:top w:val="single" w:color="000000" w:sz="2" w:space="0"/>
              <w:bottom w:val="nil"/>
            </w:tcBorders>
            <w:vAlign w:val="top"/>
          </w:tcPr>
          <w:p w14:paraId="4B3DF03B">
            <w:pPr>
              <w:pStyle w:val="6"/>
              <w:spacing w:before="35" w:line="231" w:lineRule="auto"/>
              <w:ind w:left="12" w:right="242"/>
              <w:jc w:val="both"/>
            </w:pPr>
            <w:r>
              <w:t>1.膀胱的位置、形态和分部</w:t>
            </w:r>
            <w:r>
              <w:rPr>
                <w:spacing w:val="8"/>
              </w:rPr>
              <w:t xml:space="preserve"> </w:t>
            </w:r>
            <w:r>
              <w:rPr>
                <w:spacing w:val="-1"/>
              </w:rPr>
              <w:t>2.膀胱三角的位置、粘膜特</w:t>
            </w:r>
            <w:r>
              <w:rPr>
                <w:spacing w:val="3"/>
              </w:rPr>
              <w:t xml:space="preserve"> </w:t>
            </w:r>
            <w:r>
              <w:rPr>
                <w:spacing w:val="1"/>
              </w:rPr>
              <w:t>点及其临床意义</w:t>
            </w:r>
          </w:p>
        </w:tc>
        <w:tc>
          <w:tcPr>
            <w:tcW w:w="219" w:type="dxa"/>
            <w:tcBorders>
              <w:top w:val="single" w:color="000000" w:sz="2" w:space="0"/>
              <w:bottom w:val="single" w:color="000000" w:sz="2" w:space="0"/>
            </w:tcBorders>
            <w:vAlign w:val="top"/>
          </w:tcPr>
          <w:p w14:paraId="6AF26DE0">
            <w:pPr>
              <w:spacing w:line="205" w:lineRule="exact"/>
              <w:rPr>
                <w:rFonts w:ascii="Arial"/>
                <w:sz w:val="17"/>
              </w:rPr>
            </w:pPr>
          </w:p>
        </w:tc>
        <w:tc>
          <w:tcPr>
            <w:tcW w:w="230" w:type="dxa"/>
            <w:tcBorders>
              <w:top w:val="single" w:color="000000" w:sz="2" w:space="0"/>
              <w:bottom w:val="single" w:color="000000" w:sz="2" w:space="0"/>
            </w:tcBorders>
            <w:vAlign w:val="top"/>
          </w:tcPr>
          <w:p w14:paraId="05265659">
            <w:pPr>
              <w:pStyle w:val="6"/>
              <w:spacing w:before="57" w:line="210" w:lineRule="auto"/>
              <w:ind w:left="29"/>
              <w:rPr>
                <w:sz w:val="13"/>
                <w:szCs w:val="13"/>
              </w:rPr>
            </w:pPr>
            <w:r>
              <w:rPr>
                <w:sz w:val="13"/>
                <w:szCs w:val="13"/>
              </w:rPr>
              <w:t>√</w:t>
            </w:r>
          </w:p>
        </w:tc>
        <w:tc>
          <w:tcPr>
            <w:tcW w:w="220" w:type="dxa"/>
            <w:tcBorders>
              <w:top w:val="single" w:color="000000" w:sz="2" w:space="0"/>
              <w:bottom w:val="single" w:color="000000" w:sz="2" w:space="0"/>
            </w:tcBorders>
            <w:vAlign w:val="top"/>
          </w:tcPr>
          <w:p w14:paraId="04DEE597">
            <w:pPr>
              <w:spacing w:line="205" w:lineRule="exact"/>
              <w:rPr>
                <w:rFonts w:ascii="Arial"/>
                <w:sz w:val="17"/>
              </w:rPr>
            </w:pPr>
          </w:p>
        </w:tc>
        <w:tc>
          <w:tcPr>
            <w:tcW w:w="244" w:type="dxa"/>
            <w:tcBorders>
              <w:top w:val="single" w:color="000000" w:sz="2" w:space="0"/>
              <w:bottom w:val="single" w:color="000000" w:sz="2" w:space="0"/>
            </w:tcBorders>
            <w:vAlign w:val="top"/>
          </w:tcPr>
          <w:p w14:paraId="4E0B8B24">
            <w:pPr>
              <w:spacing w:line="205" w:lineRule="exact"/>
              <w:rPr>
                <w:rFonts w:ascii="Arial"/>
                <w:sz w:val="17"/>
              </w:rPr>
            </w:pPr>
          </w:p>
        </w:tc>
      </w:tr>
      <w:tr w14:paraId="495BEB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4" w:hRule="atLeast"/>
        </w:trPr>
        <w:tc>
          <w:tcPr>
            <w:tcW w:w="903" w:type="dxa"/>
            <w:vMerge w:val="continue"/>
            <w:tcBorders>
              <w:top w:val="nil"/>
              <w:bottom w:val="single" w:color="000000" w:sz="2" w:space="0"/>
            </w:tcBorders>
            <w:vAlign w:val="top"/>
          </w:tcPr>
          <w:p w14:paraId="21C6DF05">
            <w:pPr>
              <w:rPr>
                <w:rFonts w:ascii="Arial"/>
                <w:sz w:val="21"/>
              </w:rPr>
            </w:pPr>
          </w:p>
        </w:tc>
        <w:tc>
          <w:tcPr>
            <w:tcW w:w="2314" w:type="dxa"/>
            <w:vMerge w:val="continue"/>
            <w:tcBorders>
              <w:top w:val="nil"/>
              <w:bottom w:val="single" w:color="000000" w:sz="2" w:space="0"/>
            </w:tcBorders>
            <w:vAlign w:val="top"/>
          </w:tcPr>
          <w:p w14:paraId="03F4C3EB">
            <w:pPr>
              <w:rPr>
                <w:rFonts w:ascii="Arial"/>
                <w:sz w:val="21"/>
              </w:rPr>
            </w:pPr>
          </w:p>
        </w:tc>
        <w:tc>
          <w:tcPr>
            <w:tcW w:w="219" w:type="dxa"/>
            <w:tcBorders>
              <w:top w:val="single" w:color="000000" w:sz="2" w:space="0"/>
              <w:bottom w:val="single" w:color="000000" w:sz="2" w:space="0"/>
            </w:tcBorders>
            <w:vAlign w:val="top"/>
          </w:tcPr>
          <w:p w14:paraId="09C38E61">
            <w:pPr>
              <w:rPr>
                <w:rFonts w:ascii="Arial"/>
                <w:sz w:val="21"/>
              </w:rPr>
            </w:pPr>
          </w:p>
        </w:tc>
        <w:tc>
          <w:tcPr>
            <w:tcW w:w="230" w:type="dxa"/>
            <w:tcBorders>
              <w:top w:val="single" w:color="000000" w:sz="2" w:space="0"/>
              <w:bottom w:val="single" w:color="000000" w:sz="2" w:space="0"/>
            </w:tcBorders>
            <w:vAlign w:val="top"/>
          </w:tcPr>
          <w:p w14:paraId="68597E0B">
            <w:pPr>
              <w:rPr>
                <w:rFonts w:ascii="Arial"/>
                <w:sz w:val="21"/>
              </w:rPr>
            </w:pPr>
          </w:p>
        </w:tc>
        <w:tc>
          <w:tcPr>
            <w:tcW w:w="220" w:type="dxa"/>
            <w:tcBorders>
              <w:top w:val="single" w:color="000000" w:sz="2" w:space="0"/>
              <w:bottom w:val="single" w:color="000000" w:sz="2" w:space="0"/>
            </w:tcBorders>
            <w:vAlign w:val="top"/>
          </w:tcPr>
          <w:p w14:paraId="18BF6AF9">
            <w:pPr>
              <w:pStyle w:val="6"/>
              <w:spacing w:before="65" w:line="238" w:lineRule="auto"/>
              <w:ind w:left="49"/>
              <w:rPr>
                <w:sz w:val="12"/>
                <w:szCs w:val="12"/>
              </w:rPr>
            </w:pPr>
            <w:r>
              <w:rPr>
                <w:sz w:val="12"/>
                <w:szCs w:val="12"/>
              </w:rPr>
              <w:t>√</w:t>
            </w:r>
          </w:p>
        </w:tc>
        <w:tc>
          <w:tcPr>
            <w:tcW w:w="244" w:type="dxa"/>
            <w:tcBorders>
              <w:top w:val="single" w:color="000000" w:sz="2" w:space="0"/>
              <w:bottom w:val="single" w:color="000000" w:sz="2" w:space="0"/>
            </w:tcBorders>
            <w:vAlign w:val="top"/>
          </w:tcPr>
          <w:p w14:paraId="7FD1B9E8">
            <w:pPr>
              <w:rPr>
                <w:rFonts w:ascii="Arial"/>
                <w:sz w:val="21"/>
              </w:rPr>
            </w:pPr>
          </w:p>
        </w:tc>
      </w:tr>
      <w:tr w14:paraId="790CB0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9" w:hRule="atLeast"/>
        </w:trPr>
        <w:tc>
          <w:tcPr>
            <w:tcW w:w="903" w:type="dxa"/>
            <w:tcBorders>
              <w:top w:val="single" w:color="000000" w:sz="2" w:space="0"/>
              <w:bottom w:val="single" w:color="000000" w:sz="2" w:space="0"/>
            </w:tcBorders>
            <w:vAlign w:val="top"/>
          </w:tcPr>
          <w:p w14:paraId="644C92E2">
            <w:pPr>
              <w:pStyle w:val="6"/>
              <w:spacing w:before="187" w:line="221" w:lineRule="auto"/>
              <w:ind w:left="275"/>
            </w:pPr>
            <w:r>
              <w:rPr>
                <w:spacing w:val="-2"/>
              </w:rPr>
              <w:t>尿道</w:t>
            </w:r>
          </w:p>
        </w:tc>
        <w:tc>
          <w:tcPr>
            <w:tcW w:w="2314" w:type="dxa"/>
            <w:tcBorders>
              <w:top w:val="single" w:color="000000" w:sz="2" w:space="0"/>
              <w:bottom w:val="single" w:color="000000" w:sz="2" w:space="0"/>
            </w:tcBorders>
            <w:vAlign w:val="top"/>
          </w:tcPr>
          <w:p w14:paraId="4C7D6A8C">
            <w:pPr>
              <w:pStyle w:val="6"/>
              <w:spacing w:before="186" w:line="219" w:lineRule="auto"/>
              <w:ind w:left="12"/>
            </w:pPr>
            <w:r>
              <w:rPr>
                <w:spacing w:val="-1"/>
              </w:rPr>
              <w:t>女性尿道的特点及临床意义</w:t>
            </w:r>
          </w:p>
        </w:tc>
        <w:tc>
          <w:tcPr>
            <w:tcW w:w="219" w:type="dxa"/>
            <w:tcBorders>
              <w:top w:val="single" w:color="000000" w:sz="2" w:space="0"/>
              <w:bottom w:val="single" w:color="000000" w:sz="2" w:space="0"/>
            </w:tcBorders>
            <w:vAlign w:val="top"/>
          </w:tcPr>
          <w:p w14:paraId="5641E3E2">
            <w:pPr>
              <w:rPr>
                <w:rFonts w:ascii="Arial"/>
                <w:sz w:val="21"/>
              </w:rPr>
            </w:pPr>
          </w:p>
        </w:tc>
        <w:tc>
          <w:tcPr>
            <w:tcW w:w="230" w:type="dxa"/>
            <w:tcBorders>
              <w:top w:val="single" w:color="000000" w:sz="2" w:space="0"/>
              <w:bottom w:val="single" w:color="000000" w:sz="2" w:space="0"/>
            </w:tcBorders>
            <w:vAlign w:val="top"/>
          </w:tcPr>
          <w:p w14:paraId="0437F818">
            <w:pPr>
              <w:rPr>
                <w:rFonts w:ascii="Arial"/>
                <w:sz w:val="21"/>
              </w:rPr>
            </w:pPr>
          </w:p>
        </w:tc>
        <w:tc>
          <w:tcPr>
            <w:tcW w:w="220" w:type="dxa"/>
            <w:tcBorders>
              <w:top w:val="single" w:color="000000" w:sz="2" w:space="0"/>
              <w:bottom w:val="single" w:color="000000" w:sz="2" w:space="0"/>
            </w:tcBorders>
            <w:vAlign w:val="top"/>
          </w:tcPr>
          <w:p w14:paraId="2EAF3263">
            <w:pPr>
              <w:pStyle w:val="6"/>
              <w:spacing w:before="218" w:line="238" w:lineRule="auto"/>
              <w:ind w:left="39"/>
              <w:rPr>
                <w:sz w:val="13"/>
                <w:szCs w:val="13"/>
              </w:rPr>
            </w:pPr>
            <w:r>
              <w:rPr>
                <w:sz w:val="13"/>
                <w:szCs w:val="13"/>
              </w:rPr>
              <w:t>√</w:t>
            </w:r>
          </w:p>
        </w:tc>
        <w:tc>
          <w:tcPr>
            <w:tcW w:w="244" w:type="dxa"/>
            <w:tcBorders>
              <w:top w:val="single" w:color="000000" w:sz="2" w:space="0"/>
              <w:bottom w:val="single" w:color="000000" w:sz="2" w:space="0"/>
            </w:tcBorders>
            <w:vAlign w:val="top"/>
          </w:tcPr>
          <w:p w14:paraId="12EBDE82">
            <w:pPr>
              <w:rPr>
                <w:rFonts w:ascii="Arial"/>
                <w:sz w:val="21"/>
              </w:rPr>
            </w:pPr>
          </w:p>
        </w:tc>
      </w:tr>
    </w:tbl>
    <w:p w14:paraId="0F919E74">
      <w:pPr>
        <w:pStyle w:val="2"/>
        <w:spacing w:line="14" w:lineRule="auto"/>
        <w:rPr>
          <w:sz w:val="2"/>
        </w:rPr>
      </w:pPr>
    </w:p>
    <w:p w14:paraId="7F7E6096">
      <w:pPr>
        <w:spacing w:line="14" w:lineRule="auto"/>
        <w:rPr>
          <w:sz w:val="2"/>
          <w:szCs w:val="2"/>
        </w:rPr>
        <w:sectPr>
          <w:type w:val="continuous"/>
          <w:pgSz w:w="10660" w:h="15080"/>
          <w:pgMar w:top="400" w:right="885" w:bottom="925" w:left="1034" w:header="0" w:footer="705" w:gutter="0"/>
          <w:cols w:equalWidth="0" w:num="2">
            <w:col w:w="4490" w:space="100"/>
            <w:col w:w="4150"/>
          </w:cols>
        </w:sectPr>
      </w:pPr>
    </w:p>
    <w:p w14:paraId="1FA0E268">
      <w:pPr>
        <w:spacing w:before="10"/>
      </w:pPr>
      <w:r>
        <w:pict>
          <v:shape id="_x0000_s1043" o:spid="_x0000_s1043" o:spt="202" type="#_x0000_t202" style="position:absolute;left:0pt;margin-left:107.6pt;margin-top:69.65pt;height:13.4pt;width:81.65pt;mso-position-horizontal-relative:page;mso-position-vertical-relative:page;z-index:251695104;mso-width-relative:page;mso-height-relative:page;" filled="f" stroked="f" coordsize="21600,21600" o:allowincell="f">
            <v:path/>
            <v:fill on="f" focussize="0,0"/>
            <v:stroke on="f"/>
            <v:imagedata o:title=""/>
            <o:lock v:ext="edit" aspectratio="f"/>
            <v:textbox inset="0mm,0mm,0mm,0mm">
              <w:txbxContent>
                <w:p w14:paraId="0EFCFD1C">
                  <w:pPr>
                    <w:spacing w:before="19" w:line="221" w:lineRule="auto"/>
                    <w:ind w:left="20"/>
                    <w:rPr>
                      <w:rFonts w:ascii="黑体" w:hAnsi="黑体" w:eastAsia="黑体" w:cs="黑体"/>
                      <w:sz w:val="19"/>
                      <w:szCs w:val="19"/>
                    </w:rPr>
                  </w:pPr>
                  <w:r>
                    <w:rPr>
                      <w:rFonts w:ascii="黑体" w:hAnsi="黑体" w:eastAsia="黑体" w:cs="黑体"/>
                      <w:b/>
                      <w:bCs/>
                      <w:spacing w:val="1"/>
                      <w:sz w:val="19"/>
                      <w:szCs w:val="19"/>
                    </w:rPr>
                    <w:t>第五章</w:t>
                  </w:r>
                  <w:r>
                    <w:rPr>
                      <w:rFonts w:ascii="黑体" w:hAnsi="黑体" w:eastAsia="黑体" w:cs="黑体"/>
                      <w:spacing w:val="25"/>
                      <w:sz w:val="19"/>
                      <w:szCs w:val="19"/>
                    </w:rPr>
                    <w:t xml:space="preserve">  </w:t>
                  </w:r>
                  <w:r>
                    <w:rPr>
                      <w:rFonts w:ascii="黑体" w:hAnsi="黑体" w:eastAsia="黑体" w:cs="黑体"/>
                      <w:b/>
                      <w:bCs/>
                      <w:spacing w:val="1"/>
                      <w:sz w:val="19"/>
                      <w:szCs w:val="19"/>
                    </w:rPr>
                    <w:t>生殖系统</w:t>
                  </w:r>
                </w:p>
              </w:txbxContent>
            </v:textbox>
          </v:shape>
        </w:pict>
      </w:r>
      <w:r>
        <w:pict>
          <v:shape id="_x0000_s1044" o:spid="_x0000_s1044" o:spt="202" type="#_x0000_t202" style="position:absolute;left:0pt;margin-left:43.75pt;margin-top:85.7pt;height:283.55pt;width:208pt;mso-position-horizontal-relative:page;mso-position-vertical-relative:page;z-index:251694080;mso-width-relative:page;mso-height-relative:page;" filled="f" stroked="f" coordsize="21600,21600" o:allowincell="f">
            <v:path/>
            <v:fill on="f" focussize="0,0"/>
            <v:stroke on="f"/>
            <v:imagedata o:title=""/>
            <o:lock v:ext="edit" aspectratio="f"/>
            <v:textbox inset="0mm,0mm,0mm,0mm">
              <w:txbxContent>
                <w:p w14:paraId="22057766">
                  <w:pPr>
                    <w:spacing w:line="20" w:lineRule="exact"/>
                  </w:pPr>
                </w:p>
                <w:tbl>
                  <w:tblPr>
                    <w:tblStyle w:val="5"/>
                    <w:tblW w:w="4109" w:type="dxa"/>
                    <w:tblInd w:w="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04"/>
                    <w:gridCol w:w="229"/>
                    <w:gridCol w:w="240"/>
                    <w:gridCol w:w="219"/>
                    <w:gridCol w:w="224"/>
                  </w:tblGrid>
                  <w:tr w14:paraId="378F68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5" w:hRule="atLeast"/>
                    </w:trPr>
                    <w:tc>
                      <w:tcPr>
                        <w:tcW w:w="893" w:type="dxa"/>
                        <w:vMerge w:val="restart"/>
                        <w:tcBorders>
                          <w:bottom w:val="nil"/>
                        </w:tcBorders>
                        <w:vAlign w:val="top"/>
                      </w:tcPr>
                      <w:p w14:paraId="0AAFB9BA">
                        <w:pPr>
                          <w:pStyle w:val="6"/>
                          <w:spacing w:before="21" w:line="212" w:lineRule="auto"/>
                          <w:ind w:left="257" w:right="1" w:hanging="240"/>
                          <w:rPr>
                            <w:sz w:val="18"/>
                            <w:szCs w:val="18"/>
                          </w:rPr>
                        </w:pPr>
                        <w:r>
                          <w:rPr>
                            <w:b/>
                            <w:bCs/>
                            <w:spacing w:val="-10"/>
                            <w:sz w:val="18"/>
                            <w:szCs w:val="18"/>
                          </w:rPr>
                          <w:t>知识与技能</w:t>
                        </w:r>
                        <w:r>
                          <w:rPr>
                            <w:spacing w:val="3"/>
                            <w:sz w:val="18"/>
                            <w:szCs w:val="18"/>
                          </w:rPr>
                          <w:t xml:space="preserve"> </w:t>
                        </w:r>
                        <w:r>
                          <w:rPr>
                            <w:b/>
                            <w:bCs/>
                            <w:spacing w:val="-4"/>
                            <w:sz w:val="18"/>
                            <w:szCs w:val="18"/>
                          </w:rPr>
                          <w:t>要点</w:t>
                        </w:r>
                      </w:p>
                    </w:tc>
                    <w:tc>
                      <w:tcPr>
                        <w:tcW w:w="2304" w:type="dxa"/>
                        <w:vMerge w:val="restart"/>
                        <w:tcBorders>
                          <w:bottom w:val="nil"/>
                        </w:tcBorders>
                        <w:vAlign w:val="top"/>
                      </w:tcPr>
                      <w:p w14:paraId="374C60A7">
                        <w:pPr>
                          <w:pStyle w:val="6"/>
                          <w:spacing w:before="129" w:line="219" w:lineRule="auto"/>
                          <w:ind w:left="844"/>
                          <w:rPr>
                            <w:sz w:val="18"/>
                            <w:szCs w:val="18"/>
                          </w:rPr>
                        </w:pPr>
                        <w:r>
                          <w:rPr>
                            <w:b/>
                            <w:bCs/>
                            <w:spacing w:val="5"/>
                            <w:sz w:val="18"/>
                            <w:szCs w:val="18"/>
                          </w:rPr>
                          <w:t>考试条目</w:t>
                        </w:r>
                      </w:p>
                    </w:tc>
                    <w:tc>
                      <w:tcPr>
                        <w:tcW w:w="912" w:type="dxa"/>
                        <w:gridSpan w:val="4"/>
                        <w:vAlign w:val="top"/>
                      </w:tcPr>
                      <w:p w14:paraId="0DE81FC0">
                        <w:pPr>
                          <w:pStyle w:val="6"/>
                          <w:spacing w:before="19" w:line="190" w:lineRule="auto"/>
                          <w:ind w:left="140"/>
                          <w:rPr>
                            <w:sz w:val="18"/>
                            <w:szCs w:val="18"/>
                          </w:rPr>
                        </w:pPr>
                        <w:r>
                          <w:rPr>
                            <w:b/>
                            <w:bCs/>
                            <w:spacing w:val="-4"/>
                            <w:sz w:val="18"/>
                            <w:szCs w:val="18"/>
                          </w:rPr>
                          <w:t>考试水平</w:t>
                        </w:r>
                      </w:p>
                    </w:tc>
                  </w:tr>
                  <w:tr w14:paraId="523288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0" w:hRule="atLeast"/>
                    </w:trPr>
                    <w:tc>
                      <w:tcPr>
                        <w:tcW w:w="893" w:type="dxa"/>
                        <w:vMerge w:val="continue"/>
                        <w:tcBorders>
                          <w:top w:val="nil"/>
                        </w:tcBorders>
                        <w:vAlign w:val="top"/>
                      </w:tcPr>
                      <w:p w14:paraId="363B751F">
                        <w:pPr>
                          <w:rPr>
                            <w:rFonts w:ascii="Arial"/>
                            <w:sz w:val="21"/>
                          </w:rPr>
                        </w:pPr>
                      </w:p>
                    </w:tc>
                    <w:tc>
                      <w:tcPr>
                        <w:tcW w:w="2304" w:type="dxa"/>
                        <w:vMerge w:val="continue"/>
                        <w:tcBorders>
                          <w:top w:val="nil"/>
                        </w:tcBorders>
                        <w:vAlign w:val="top"/>
                      </w:tcPr>
                      <w:p w14:paraId="23417F9B">
                        <w:pPr>
                          <w:rPr>
                            <w:rFonts w:ascii="Arial"/>
                            <w:sz w:val="21"/>
                          </w:rPr>
                        </w:pPr>
                      </w:p>
                    </w:tc>
                    <w:tc>
                      <w:tcPr>
                        <w:tcW w:w="229" w:type="dxa"/>
                        <w:vAlign w:val="top"/>
                      </w:tcPr>
                      <w:p w14:paraId="4D5B2D95">
                        <w:pPr>
                          <w:pStyle w:val="6"/>
                          <w:spacing w:before="62" w:line="148" w:lineRule="exact"/>
                          <w:jc w:val="right"/>
                          <w:rPr>
                            <w:sz w:val="18"/>
                            <w:szCs w:val="18"/>
                          </w:rPr>
                        </w:pPr>
                        <w:r>
                          <w:rPr>
                            <w:b/>
                            <w:bCs/>
                            <w:spacing w:val="-2"/>
                            <w:w w:val="87"/>
                            <w:position w:val="-2"/>
                            <w:sz w:val="18"/>
                            <w:szCs w:val="18"/>
                          </w:rPr>
                          <w:t>A</w:t>
                        </w:r>
                      </w:p>
                    </w:tc>
                    <w:tc>
                      <w:tcPr>
                        <w:tcW w:w="240" w:type="dxa"/>
                        <w:vAlign w:val="top"/>
                      </w:tcPr>
                      <w:p w14:paraId="6B0D3A65">
                        <w:pPr>
                          <w:pStyle w:val="6"/>
                          <w:spacing w:before="65" w:line="145" w:lineRule="exact"/>
                          <w:ind w:left="68"/>
                          <w:rPr>
                            <w:sz w:val="18"/>
                            <w:szCs w:val="18"/>
                          </w:rPr>
                        </w:pPr>
                        <w:r>
                          <w:rPr>
                            <w:position w:val="-2"/>
                            <w:sz w:val="18"/>
                            <w:szCs w:val="18"/>
                          </w:rPr>
                          <w:t>B</w:t>
                        </w:r>
                      </w:p>
                    </w:tc>
                    <w:tc>
                      <w:tcPr>
                        <w:tcW w:w="219" w:type="dxa"/>
                        <w:vAlign w:val="top"/>
                      </w:tcPr>
                      <w:p w14:paraId="1751FCD5">
                        <w:pPr>
                          <w:pStyle w:val="6"/>
                          <w:spacing w:before="66" w:line="143" w:lineRule="exact"/>
                          <w:ind w:left="49"/>
                          <w:rPr>
                            <w:sz w:val="19"/>
                            <w:szCs w:val="19"/>
                          </w:rPr>
                        </w:pPr>
                        <w:r>
                          <w:rPr>
                            <w:position w:val="-2"/>
                            <w:sz w:val="19"/>
                            <w:szCs w:val="19"/>
                          </w:rPr>
                          <w:t>C</w:t>
                        </w:r>
                      </w:p>
                    </w:tc>
                    <w:tc>
                      <w:tcPr>
                        <w:tcW w:w="224" w:type="dxa"/>
                        <w:vAlign w:val="top"/>
                      </w:tcPr>
                      <w:p w14:paraId="794EF7C3">
                        <w:pPr>
                          <w:pStyle w:val="6"/>
                          <w:spacing w:before="65" w:line="145" w:lineRule="exact"/>
                          <w:ind w:left="22"/>
                          <w:rPr>
                            <w:sz w:val="18"/>
                            <w:szCs w:val="18"/>
                          </w:rPr>
                        </w:pPr>
                        <w:r>
                          <w:rPr>
                            <w:b/>
                            <w:bCs/>
                            <w:spacing w:val="-2"/>
                            <w:position w:val="-2"/>
                            <w:sz w:val="18"/>
                            <w:szCs w:val="18"/>
                          </w:rPr>
                          <w:t>D</w:t>
                        </w:r>
                      </w:p>
                    </w:tc>
                  </w:tr>
                  <w:tr w14:paraId="4A5DCD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0" w:hRule="atLeast"/>
                    </w:trPr>
                    <w:tc>
                      <w:tcPr>
                        <w:tcW w:w="893" w:type="dxa"/>
                        <w:vMerge w:val="restart"/>
                        <w:tcBorders>
                          <w:bottom w:val="nil"/>
                        </w:tcBorders>
                        <w:vAlign w:val="top"/>
                      </w:tcPr>
                      <w:p w14:paraId="2B6A0F39">
                        <w:pPr>
                          <w:spacing w:line="275" w:lineRule="auto"/>
                          <w:rPr>
                            <w:rFonts w:ascii="Arial"/>
                            <w:sz w:val="21"/>
                          </w:rPr>
                        </w:pPr>
                      </w:p>
                      <w:p w14:paraId="316FE38B">
                        <w:pPr>
                          <w:spacing w:line="276" w:lineRule="auto"/>
                          <w:rPr>
                            <w:rFonts w:ascii="Arial"/>
                            <w:sz w:val="21"/>
                          </w:rPr>
                        </w:pPr>
                      </w:p>
                      <w:p w14:paraId="62DDCDD4">
                        <w:pPr>
                          <w:spacing w:line="276" w:lineRule="auto"/>
                          <w:rPr>
                            <w:rFonts w:ascii="Arial"/>
                            <w:sz w:val="21"/>
                          </w:rPr>
                        </w:pPr>
                      </w:p>
                      <w:p w14:paraId="1C9FEBF6">
                        <w:pPr>
                          <w:spacing w:line="276" w:lineRule="auto"/>
                          <w:rPr>
                            <w:rFonts w:ascii="Arial"/>
                            <w:sz w:val="21"/>
                          </w:rPr>
                        </w:pPr>
                      </w:p>
                      <w:p w14:paraId="2B3E6492">
                        <w:pPr>
                          <w:pStyle w:val="6"/>
                          <w:spacing w:before="58" w:line="208" w:lineRule="auto"/>
                          <w:ind w:left="254" w:right="81" w:hanging="180"/>
                          <w:rPr>
                            <w:sz w:val="18"/>
                            <w:szCs w:val="18"/>
                          </w:rPr>
                        </w:pPr>
                        <w:r>
                          <w:rPr>
                            <w:spacing w:val="1"/>
                            <w:sz w:val="18"/>
                            <w:szCs w:val="18"/>
                          </w:rPr>
                          <w:t>男性生殖</w:t>
                        </w:r>
                        <w:r>
                          <w:rPr>
                            <w:spacing w:val="2"/>
                            <w:sz w:val="18"/>
                            <w:szCs w:val="18"/>
                          </w:rPr>
                          <w:t xml:space="preserve"> </w:t>
                        </w:r>
                        <w:r>
                          <w:rPr>
                            <w:spacing w:val="-3"/>
                            <w:sz w:val="18"/>
                            <w:szCs w:val="18"/>
                          </w:rPr>
                          <w:t>系统</w:t>
                        </w:r>
                      </w:p>
                    </w:tc>
                    <w:tc>
                      <w:tcPr>
                        <w:tcW w:w="2304" w:type="dxa"/>
                        <w:vMerge w:val="restart"/>
                        <w:tcBorders>
                          <w:bottom w:val="nil"/>
                        </w:tcBorders>
                        <w:vAlign w:val="top"/>
                      </w:tcPr>
                      <w:p w14:paraId="1988E246">
                        <w:pPr>
                          <w:pStyle w:val="6"/>
                          <w:spacing w:before="58" w:line="222" w:lineRule="auto"/>
                          <w:ind w:left="11" w:right="473"/>
                          <w:rPr>
                            <w:sz w:val="18"/>
                            <w:szCs w:val="18"/>
                          </w:rPr>
                        </w:pPr>
                        <w:r>
                          <w:rPr>
                            <w:sz w:val="18"/>
                            <w:szCs w:val="18"/>
                          </w:rPr>
                          <w:t>1.男性生殖系统的组成</w:t>
                        </w:r>
                        <w:r>
                          <w:rPr>
                            <w:spacing w:val="7"/>
                            <w:sz w:val="18"/>
                            <w:szCs w:val="18"/>
                          </w:rPr>
                          <w:t xml:space="preserve"> </w:t>
                        </w:r>
                        <w:r>
                          <w:rPr>
                            <w:spacing w:val="-1"/>
                            <w:sz w:val="18"/>
                            <w:szCs w:val="18"/>
                          </w:rPr>
                          <w:t>2.睾丸的位置和形态</w:t>
                        </w:r>
                      </w:p>
                      <w:p w14:paraId="4B17328C">
                        <w:pPr>
                          <w:pStyle w:val="6"/>
                          <w:spacing w:before="25" w:line="212" w:lineRule="auto"/>
                          <w:ind w:left="11"/>
                          <w:rPr>
                            <w:sz w:val="18"/>
                            <w:szCs w:val="18"/>
                          </w:rPr>
                        </w:pPr>
                        <w:r>
                          <w:rPr>
                            <w:spacing w:val="-5"/>
                            <w:sz w:val="18"/>
                            <w:szCs w:val="18"/>
                          </w:rPr>
                          <w:t>3.睾丸的鞘膜与鞘膜腔的概念</w:t>
                        </w:r>
                        <w:r>
                          <w:rPr>
                            <w:spacing w:val="11"/>
                            <w:sz w:val="18"/>
                            <w:szCs w:val="18"/>
                          </w:rPr>
                          <w:t xml:space="preserve"> </w:t>
                        </w:r>
                        <w:r>
                          <w:rPr>
                            <w:spacing w:val="-1"/>
                            <w:sz w:val="18"/>
                            <w:szCs w:val="18"/>
                          </w:rPr>
                          <w:t>4.附睾的形态和位置</w:t>
                        </w:r>
                      </w:p>
                      <w:p w14:paraId="62BED485">
                        <w:pPr>
                          <w:pStyle w:val="6"/>
                          <w:spacing w:before="16" w:line="223" w:lineRule="auto"/>
                          <w:ind w:left="11" w:right="97" w:firstLine="10"/>
                          <w:rPr>
                            <w:sz w:val="18"/>
                            <w:szCs w:val="18"/>
                          </w:rPr>
                        </w:pPr>
                        <w:r>
                          <w:rPr>
                            <w:spacing w:val="1"/>
                            <w:sz w:val="18"/>
                            <w:szCs w:val="18"/>
                          </w:rPr>
                          <w:t>5.输精管的分部和射精管的</w:t>
                        </w:r>
                        <w:r>
                          <w:rPr>
                            <w:sz w:val="18"/>
                            <w:szCs w:val="18"/>
                          </w:rPr>
                          <w:t xml:space="preserve"> </w:t>
                        </w:r>
                        <w:r>
                          <w:rPr>
                            <w:spacing w:val="-2"/>
                            <w:sz w:val="18"/>
                            <w:szCs w:val="18"/>
                          </w:rPr>
                          <w:t>组成及开口部位</w:t>
                        </w:r>
                      </w:p>
                      <w:p w14:paraId="48AB803A">
                        <w:pPr>
                          <w:pStyle w:val="6"/>
                          <w:spacing w:before="5" w:line="206" w:lineRule="auto"/>
                          <w:ind w:left="11"/>
                          <w:rPr>
                            <w:sz w:val="18"/>
                            <w:szCs w:val="18"/>
                          </w:rPr>
                        </w:pPr>
                        <w:r>
                          <w:rPr>
                            <w:spacing w:val="-2"/>
                            <w:sz w:val="18"/>
                            <w:szCs w:val="18"/>
                          </w:rPr>
                          <w:t>6.精索的概念</w:t>
                        </w:r>
                      </w:p>
                      <w:p w14:paraId="11C0F5F1">
                        <w:pPr>
                          <w:pStyle w:val="6"/>
                          <w:spacing w:line="225" w:lineRule="auto"/>
                          <w:ind w:left="11" w:right="32"/>
                          <w:rPr>
                            <w:sz w:val="18"/>
                            <w:szCs w:val="18"/>
                          </w:rPr>
                        </w:pPr>
                        <w:r>
                          <w:rPr>
                            <w:spacing w:val="6"/>
                            <w:sz w:val="18"/>
                            <w:szCs w:val="18"/>
                          </w:rPr>
                          <w:t>7.男性尿道的分部、狭窄、</w:t>
                        </w:r>
                        <w:r>
                          <w:rPr>
                            <w:spacing w:val="10"/>
                            <w:sz w:val="18"/>
                            <w:szCs w:val="18"/>
                          </w:rPr>
                          <w:t xml:space="preserve"> </w:t>
                        </w:r>
                        <w:r>
                          <w:rPr>
                            <w:spacing w:val="-2"/>
                            <w:sz w:val="18"/>
                            <w:szCs w:val="18"/>
                          </w:rPr>
                          <w:t>弯曲和前后尿道的区分</w:t>
                        </w:r>
                      </w:p>
                      <w:p w14:paraId="780172E2">
                        <w:pPr>
                          <w:pStyle w:val="6"/>
                          <w:spacing w:line="218" w:lineRule="auto"/>
                          <w:ind w:left="11"/>
                          <w:rPr>
                            <w:sz w:val="18"/>
                            <w:szCs w:val="18"/>
                          </w:rPr>
                        </w:pPr>
                        <w:r>
                          <w:rPr>
                            <w:spacing w:val="1"/>
                            <w:sz w:val="18"/>
                            <w:szCs w:val="18"/>
                          </w:rPr>
                          <w:t>8.附属腺的名称和前列腺的</w:t>
                        </w:r>
                      </w:p>
                      <w:p w14:paraId="35413D57">
                        <w:pPr>
                          <w:pStyle w:val="6"/>
                          <w:spacing w:before="29" w:line="198" w:lineRule="auto"/>
                          <w:ind w:left="11" w:right="830"/>
                          <w:rPr>
                            <w:sz w:val="18"/>
                            <w:szCs w:val="18"/>
                          </w:rPr>
                        </w:pPr>
                        <w:r>
                          <w:rPr>
                            <w:spacing w:val="1"/>
                            <w:sz w:val="18"/>
                            <w:szCs w:val="18"/>
                          </w:rPr>
                          <w:t>形态、位置及毗邻</w:t>
                        </w:r>
                        <w:r>
                          <w:rPr>
                            <w:spacing w:val="2"/>
                            <w:sz w:val="18"/>
                            <w:szCs w:val="18"/>
                          </w:rPr>
                          <w:t xml:space="preserve"> </w:t>
                        </w:r>
                        <w:r>
                          <w:rPr>
                            <w:spacing w:val="-1"/>
                            <w:sz w:val="18"/>
                            <w:szCs w:val="18"/>
                          </w:rPr>
                          <w:t>9.精子的排出途径</w:t>
                        </w:r>
                      </w:p>
                    </w:tc>
                    <w:tc>
                      <w:tcPr>
                        <w:tcW w:w="229" w:type="dxa"/>
                        <w:vAlign w:val="top"/>
                      </w:tcPr>
                      <w:p w14:paraId="141D4ECD">
                        <w:pPr>
                          <w:pStyle w:val="6"/>
                          <w:spacing w:before="58" w:line="215" w:lineRule="auto"/>
                          <w:jc w:val="right"/>
                          <w:rPr>
                            <w:sz w:val="13"/>
                            <w:szCs w:val="13"/>
                          </w:rPr>
                        </w:pPr>
                        <w:r>
                          <w:rPr>
                            <w:spacing w:val="-38"/>
                            <w:sz w:val="13"/>
                            <w:szCs w:val="13"/>
                          </w:rPr>
                          <w:t>√</w:t>
                        </w:r>
                      </w:p>
                    </w:tc>
                    <w:tc>
                      <w:tcPr>
                        <w:tcW w:w="240" w:type="dxa"/>
                        <w:vAlign w:val="top"/>
                      </w:tcPr>
                      <w:p w14:paraId="63FE3765">
                        <w:pPr>
                          <w:spacing w:line="210" w:lineRule="exact"/>
                          <w:rPr>
                            <w:rFonts w:ascii="Arial"/>
                            <w:sz w:val="18"/>
                          </w:rPr>
                        </w:pPr>
                      </w:p>
                    </w:tc>
                    <w:tc>
                      <w:tcPr>
                        <w:tcW w:w="219" w:type="dxa"/>
                        <w:vAlign w:val="top"/>
                      </w:tcPr>
                      <w:p w14:paraId="25254A97">
                        <w:pPr>
                          <w:spacing w:line="210" w:lineRule="exact"/>
                          <w:rPr>
                            <w:rFonts w:ascii="Arial"/>
                            <w:sz w:val="18"/>
                          </w:rPr>
                        </w:pPr>
                      </w:p>
                    </w:tc>
                    <w:tc>
                      <w:tcPr>
                        <w:tcW w:w="224" w:type="dxa"/>
                        <w:vAlign w:val="top"/>
                      </w:tcPr>
                      <w:p w14:paraId="61CDCA22">
                        <w:pPr>
                          <w:spacing w:line="210" w:lineRule="exact"/>
                          <w:rPr>
                            <w:rFonts w:ascii="Arial"/>
                            <w:sz w:val="18"/>
                          </w:rPr>
                        </w:pPr>
                      </w:p>
                    </w:tc>
                  </w:tr>
                  <w:tr w14:paraId="36AF83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0" w:hRule="atLeast"/>
                    </w:trPr>
                    <w:tc>
                      <w:tcPr>
                        <w:tcW w:w="893" w:type="dxa"/>
                        <w:vMerge w:val="continue"/>
                        <w:tcBorders>
                          <w:top w:val="nil"/>
                          <w:bottom w:val="nil"/>
                        </w:tcBorders>
                        <w:vAlign w:val="top"/>
                      </w:tcPr>
                      <w:p w14:paraId="25A18E25">
                        <w:pPr>
                          <w:rPr>
                            <w:rFonts w:ascii="Arial"/>
                            <w:sz w:val="21"/>
                          </w:rPr>
                        </w:pPr>
                      </w:p>
                    </w:tc>
                    <w:tc>
                      <w:tcPr>
                        <w:tcW w:w="2304" w:type="dxa"/>
                        <w:vMerge w:val="continue"/>
                        <w:tcBorders>
                          <w:top w:val="nil"/>
                          <w:bottom w:val="nil"/>
                        </w:tcBorders>
                        <w:vAlign w:val="top"/>
                      </w:tcPr>
                      <w:p w14:paraId="415083A6">
                        <w:pPr>
                          <w:rPr>
                            <w:rFonts w:ascii="Arial"/>
                            <w:sz w:val="21"/>
                          </w:rPr>
                        </w:pPr>
                      </w:p>
                    </w:tc>
                    <w:tc>
                      <w:tcPr>
                        <w:tcW w:w="229" w:type="dxa"/>
                        <w:vAlign w:val="top"/>
                      </w:tcPr>
                      <w:p w14:paraId="249ED52A">
                        <w:pPr>
                          <w:spacing w:line="210" w:lineRule="exact"/>
                          <w:rPr>
                            <w:rFonts w:ascii="Arial"/>
                            <w:sz w:val="18"/>
                          </w:rPr>
                        </w:pPr>
                      </w:p>
                    </w:tc>
                    <w:tc>
                      <w:tcPr>
                        <w:tcW w:w="240" w:type="dxa"/>
                        <w:vAlign w:val="top"/>
                      </w:tcPr>
                      <w:p w14:paraId="3DBC5CEF">
                        <w:pPr>
                          <w:spacing w:line="210" w:lineRule="exact"/>
                          <w:rPr>
                            <w:rFonts w:ascii="Arial"/>
                            <w:sz w:val="18"/>
                          </w:rPr>
                        </w:pPr>
                      </w:p>
                    </w:tc>
                    <w:tc>
                      <w:tcPr>
                        <w:tcW w:w="219" w:type="dxa"/>
                        <w:vAlign w:val="top"/>
                      </w:tcPr>
                      <w:p w14:paraId="7B4189CB">
                        <w:pPr>
                          <w:pStyle w:val="6"/>
                          <w:spacing w:before="58" w:line="215" w:lineRule="auto"/>
                          <w:ind w:left="18"/>
                          <w:rPr>
                            <w:sz w:val="13"/>
                            <w:szCs w:val="13"/>
                          </w:rPr>
                        </w:pPr>
                        <w:r>
                          <w:rPr>
                            <w:sz w:val="13"/>
                            <w:szCs w:val="13"/>
                          </w:rPr>
                          <w:t>√</w:t>
                        </w:r>
                      </w:p>
                    </w:tc>
                    <w:tc>
                      <w:tcPr>
                        <w:tcW w:w="224" w:type="dxa"/>
                        <w:vAlign w:val="top"/>
                      </w:tcPr>
                      <w:p w14:paraId="00A7D211">
                        <w:pPr>
                          <w:spacing w:line="210" w:lineRule="exact"/>
                          <w:rPr>
                            <w:rFonts w:ascii="Arial"/>
                            <w:sz w:val="18"/>
                          </w:rPr>
                        </w:pPr>
                      </w:p>
                    </w:tc>
                  </w:tr>
                  <w:tr w14:paraId="239D0A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0" w:hRule="atLeast"/>
                    </w:trPr>
                    <w:tc>
                      <w:tcPr>
                        <w:tcW w:w="893" w:type="dxa"/>
                        <w:vMerge w:val="continue"/>
                        <w:tcBorders>
                          <w:top w:val="nil"/>
                          <w:bottom w:val="nil"/>
                        </w:tcBorders>
                        <w:vAlign w:val="top"/>
                      </w:tcPr>
                      <w:p w14:paraId="23C8E29E">
                        <w:pPr>
                          <w:rPr>
                            <w:rFonts w:ascii="Arial"/>
                            <w:sz w:val="21"/>
                          </w:rPr>
                        </w:pPr>
                      </w:p>
                    </w:tc>
                    <w:tc>
                      <w:tcPr>
                        <w:tcW w:w="2304" w:type="dxa"/>
                        <w:vMerge w:val="continue"/>
                        <w:tcBorders>
                          <w:top w:val="nil"/>
                          <w:bottom w:val="nil"/>
                        </w:tcBorders>
                        <w:vAlign w:val="top"/>
                      </w:tcPr>
                      <w:p w14:paraId="53B9C28E">
                        <w:pPr>
                          <w:rPr>
                            <w:rFonts w:ascii="Arial"/>
                            <w:sz w:val="21"/>
                          </w:rPr>
                        </w:pPr>
                      </w:p>
                    </w:tc>
                    <w:tc>
                      <w:tcPr>
                        <w:tcW w:w="229" w:type="dxa"/>
                        <w:vAlign w:val="top"/>
                      </w:tcPr>
                      <w:p w14:paraId="623ADFA9">
                        <w:pPr>
                          <w:spacing w:line="200" w:lineRule="exact"/>
                          <w:rPr>
                            <w:rFonts w:ascii="Arial"/>
                            <w:sz w:val="17"/>
                          </w:rPr>
                        </w:pPr>
                      </w:p>
                    </w:tc>
                    <w:tc>
                      <w:tcPr>
                        <w:tcW w:w="240" w:type="dxa"/>
                        <w:vAlign w:val="top"/>
                      </w:tcPr>
                      <w:p w14:paraId="42ECF3E5">
                        <w:pPr>
                          <w:spacing w:line="200" w:lineRule="exact"/>
                          <w:rPr>
                            <w:rFonts w:ascii="Arial"/>
                            <w:sz w:val="17"/>
                          </w:rPr>
                        </w:pPr>
                      </w:p>
                    </w:tc>
                    <w:tc>
                      <w:tcPr>
                        <w:tcW w:w="219" w:type="dxa"/>
                        <w:vAlign w:val="top"/>
                      </w:tcPr>
                      <w:p w14:paraId="67560EE4">
                        <w:pPr>
                          <w:spacing w:line="200" w:lineRule="exact"/>
                          <w:rPr>
                            <w:rFonts w:ascii="Arial"/>
                            <w:sz w:val="17"/>
                          </w:rPr>
                        </w:pPr>
                      </w:p>
                    </w:tc>
                    <w:tc>
                      <w:tcPr>
                        <w:tcW w:w="224" w:type="dxa"/>
                        <w:vAlign w:val="top"/>
                      </w:tcPr>
                      <w:p w14:paraId="72685BEB">
                        <w:pPr>
                          <w:pStyle w:val="6"/>
                          <w:spacing w:before="48" w:line="215" w:lineRule="auto"/>
                          <w:ind w:left="9"/>
                          <w:rPr>
                            <w:sz w:val="13"/>
                            <w:szCs w:val="13"/>
                          </w:rPr>
                        </w:pPr>
                        <w:r>
                          <w:rPr>
                            <w:sz w:val="13"/>
                            <w:szCs w:val="13"/>
                          </w:rPr>
                          <w:t>√</w:t>
                        </w:r>
                      </w:p>
                    </w:tc>
                  </w:tr>
                  <w:tr w14:paraId="697795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0" w:hRule="atLeast"/>
                    </w:trPr>
                    <w:tc>
                      <w:tcPr>
                        <w:tcW w:w="893" w:type="dxa"/>
                        <w:vMerge w:val="continue"/>
                        <w:tcBorders>
                          <w:top w:val="nil"/>
                          <w:bottom w:val="nil"/>
                        </w:tcBorders>
                        <w:vAlign w:val="top"/>
                      </w:tcPr>
                      <w:p w14:paraId="163F8DBC">
                        <w:pPr>
                          <w:rPr>
                            <w:rFonts w:ascii="Arial"/>
                            <w:sz w:val="21"/>
                          </w:rPr>
                        </w:pPr>
                      </w:p>
                    </w:tc>
                    <w:tc>
                      <w:tcPr>
                        <w:tcW w:w="2304" w:type="dxa"/>
                        <w:vMerge w:val="continue"/>
                        <w:tcBorders>
                          <w:top w:val="nil"/>
                          <w:bottom w:val="nil"/>
                        </w:tcBorders>
                        <w:vAlign w:val="top"/>
                      </w:tcPr>
                      <w:p w14:paraId="4A169797">
                        <w:pPr>
                          <w:rPr>
                            <w:rFonts w:ascii="Arial"/>
                            <w:sz w:val="21"/>
                          </w:rPr>
                        </w:pPr>
                      </w:p>
                    </w:tc>
                    <w:tc>
                      <w:tcPr>
                        <w:tcW w:w="229" w:type="dxa"/>
                        <w:vAlign w:val="top"/>
                      </w:tcPr>
                      <w:p w14:paraId="4781A5BE">
                        <w:pPr>
                          <w:spacing w:line="200" w:lineRule="exact"/>
                          <w:rPr>
                            <w:rFonts w:ascii="Arial"/>
                            <w:sz w:val="17"/>
                          </w:rPr>
                        </w:pPr>
                      </w:p>
                    </w:tc>
                    <w:tc>
                      <w:tcPr>
                        <w:tcW w:w="240" w:type="dxa"/>
                        <w:vAlign w:val="top"/>
                      </w:tcPr>
                      <w:p w14:paraId="2F22A63F">
                        <w:pPr>
                          <w:pStyle w:val="6"/>
                          <w:spacing w:before="48" w:line="215" w:lineRule="auto"/>
                          <w:ind w:left="48"/>
                          <w:rPr>
                            <w:sz w:val="13"/>
                            <w:szCs w:val="13"/>
                          </w:rPr>
                        </w:pPr>
                        <w:r>
                          <w:rPr>
                            <w:sz w:val="13"/>
                            <w:szCs w:val="13"/>
                          </w:rPr>
                          <w:t>√</w:t>
                        </w:r>
                      </w:p>
                    </w:tc>
                    <w:tc>
                      <w:tcPr>
                        <w:tcW w:w="219" w:type="dxa"/>
                        <w:vAlign w:val="top"/>
                      </w:tcPr>
                      <w:p w14:paraId="053463FE">
                        <w:pPr>
                          <w:spacing w:line="200" w:lineRule="exact"/>
                          <w:rPr>
                            <w:rFonts w:ascii="Arial"/>
                            <w:sz w:val="17"/>
                          </w:rPr>
                        </w:pPr>
                      </w:p>
                    </w:tc>
                    <w:tc>
                      <w:tcPr>
                        <w:tcW w:w="224" w:type="dxa"/>
                        <w:vAlign w:val="top"/>
                      </w:tcPr>
                      <w:p w14:paraId="69B32641">
                        <w:pPr>
                          <w:spacing w:line="200" w:lineRule="exact"/>
                          <w:rPr>
                            <w:rFonts w:ascii="Arial"/>
                            <w:sz w:val="17"/>
                          </w:rPr>
                        </w:pPr>
                      </w:p>
                    </w:tc>
                  </w:tr>
                  <w:tr w14:paraId="3FB774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9" w:hRule="atLeast"/>
                    </w:trPr>
                    <w:tc>
                      <w:tcPr>
                        <w:tcW w:w="893" w:type="dxa"/>
                        <w:vMerge w:val="continue"/>
                        <w:tcBorders>
                          <w:top w:val="nil"/>
                          <w:bottom w:val="nil"/>
                        </w:tcBorders>
                        <w:vAlign w:val="top"/>
                      </w:tcPr>
                      <w:p w14:paraId="278BA59E">
                        <w:pPr>
                          <w:rPr>
                            <w:rFonts w:ascii="Arial"/>
                            <w:sz w:val="21"/>
                          </w:rPr>
                        </w:pPr>
                      </w:p>
                    </w:tc>
                    <w:tc>
                      <w:tcPr>
                        <w:tcW w:w="2304" w:type="dxa"/>
                        <w:vMerge w:val="continue"/>
                        <w:tcBorders>
                          <w:top w:val="nil"/>
                          <w:bottom w:val="nil"/>
                        </w:tcBorders>
                        <w:vAlign w:val="top"/>
                      </w:tcPr>
                      <w:p w14:paraId="3F78E63F">
                        <w:pPr>
                          <w:rPr>
                            <w:rFonts w:ascii="Arial"/>
                            <w:sz w:val="21"/>
                          </w:rPr>
                        </w:pPr>
                      </w:p>
                    </w:tc>
                    <w:tc>
                      <w:tcPr>
                        <w:tcW w:w="229" w:type="dxa"/>
                        <w:vAlign w:val="top"/>
                      </w:tcPr>
                      <w:p w14:paraId="51754EA9">
                        <w:pPr>
                          <w:rPr>
                            <w:rFonts w:ascii="Arial"/>
                            <w:sz w:val="21"/>
                          </w:rPr>
                        </w:pPr>
                      </w:p>
                    </w:tc>
                    <w:tc>
                      <w:tcPr>
                        <w:tcW w:w="240" w:type="dxa"/>
                        <w:vAlign w:val="top"/>
                      </w:tcPr>
                      <w:p w14:paraId="16C9B40C">
                        <w:pPr>
                          <w:rPr>
                            <w:rFonts w:ascii="Arial"/>
                            <w:sz w:val="21"/>
                          </w:rPr>
                        </w:pPr>
                      </w:p>
                    </w:tc>
                    <w:tc>
                      <w:tcPr>
                        <w:tcW w:w="219" w:type="dxa"/>
                        <w:vAlign w:val="top"/>
                      </w:tcPr>
                      <w:p w14:paraId="1FDD5984">
                        <w:pPr>
                          <w:pStyle w:val="6"/>
                          <w:spacing w:before="148" w:line="238" w:lineRule="auto"/>
                          <w:ind w:left="18"/>
                          <w:rPr>
                            <w:sz w:val="13"/>
                            <w:szCs w:val="13"/>
                          </w:rPr>
                        </w:pPr>
                        <w:r>
                          <w:rPr>
                            <w:sz w:val="13"/>
                            <w:szCs w:val="13"/>
                          </w:rPr>
                          <w:t>√</w:t>
                        </w:r>
                      </w:p>
                    </w:tc>
                    <w:tc>
                      <w:tcPr>
                        <w:tcW w:w="224" w:type="dxa"/>
                        <w:vAlign w:val="top"/>
                      </w:tcPr>
                      <w:p w14:paraId="71D29074">
                        <w:pPr>
                          <w:rPr>
                            <w:rFonts w:ascii="Arial"/>
                            <w:sz w:val="21"/>
                          </w:rPr>
                        </w:pPr>
                      </w:p>
                    </w:tc>
                  </w:tr>
                  <w:tr w14:paraId="59580A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continue"/>
                        <w:tcBorders>
                          <w:top w:val="nil"/>
                          <w:bottom w:val="nil"/>
                        </w:tcBorders>
                        <w:vAlign w:val="top"/>
                      </w:tcPr>
                      <w:p w14:paraId="720D3116">
                        <w:pPr>
                          <w:rPr>
                            <w:rFonts w:ascii="Arial"/>
                            <w:sz w:val="21"/>
                          </w:rPr>
                        </w:pPr>
                      </w:p>
                    </w:tc>
                    <w:tc>
                      <w:tcPr>
                        <w:tcW w:w="2304" w:type="dxa"/>
                        <w:vMerge w:val="continue"/>
                        <w:tcBorders>
                          <w:top w:val="nil"/>
                          <w:bottom w:val="nil"/>
                        </w:tcBorders>
                        <w:vAlign w:val="top"/>
                      </w:tcPr>
                      <w:p w14:paraId="674A824B">
                        <w:pPr>
                          <w:rPr>
                            <w:rFonts w:ascii="Arial"/>
                            <w:sz w:val="21"/>
                          </w:rPr>
                        </w:pPr>
                      </w:p>
                    </w:tc>
                    <w:tc>
                      <w:tcPr>
                        <w:tcW w:w="229" w:type="dxa"/>
                        <w:vAlign w:val="top"/>
                      </w:tcPr>
                      <w:p w14:paraId="65CBA8CD">
                        <w:pPr>
                          <w:rPr>
                            <w:rFonts w:ascii="Arial"/>
                            <w:sz w:val="21"/>
                          </w:rPr>
                        </w:pPr>
                      </w:p>
                    </w:tc>
                    <w:tc>
                      <w:tcPr>
                        <w:tcW w:w="240" w:type="dxa"/>
                        <w:vAlign w:val="top"/>
                      </w:tcPr>
                      <w:p w14:paraId="6CD93F89">
                        <w:pPr>
                          <w:rPr>
                            <w:rFonts w:ascii="Arial"/>
                            <w:sz w:val="21"/>
                          </w:rPr>
                        </w:pPr>
                      </w:p>
                    </w:tc>
                    <w:tc>
                      <w:tcPr>
                        <w:tcW w:w="219" w:type="dxa"/>
                        <w:vAlign w:val="top"/>
                      </w:tcPr>
                      <w:p w14:paraId="4207DEED">
                        <w:pPr>
                          <w:rPr>
                            <w:rFonts w:ascii="Arial"/>
                            <w:sz w:val="21"/>
                          </w:rPr>
                        </w:pPr>
                      </w:p>
                    </w:tc>
                    <w:tc>
                      <w:tcPr>
                        <w:tcW w:w="224" w:type="dxa"/>
                        <w:vAlign w:val="top"/>
                      </w:tcPr>
                      <w:p w14:paraId="67955B23">
                        <w:pPr>
                          <w:rPr>
                            <w:rFonts w:ascii="Arial"/>
                            <w:sz w:val="21"/>
                          </w:rPr>
                        </w:pPr>
                      </w:p>
                    </w:tc>
                  </w:tr>
                  <w:tr w14:paraId="3B5226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9" w:hRule="atLeast"/>
                    </w:trPr>
                    <w:tc>
                      <w:tcPr>
                        <w:tcW w:w="893" w:type="dxa"/>
                        <w:vMerge w:val="continue"/>
                        <w:tcBorders>
                          <w:top w:val="nil"/>
                          <w:bottom w:val="nil"/>
                        </w:tcBorders>
                        <w:vAlign w:val="top"/>
                      </w:tcPr>
                      <w:p w14:paraId="28FE52F9">
                        <w:pPr>
                          <w:rPr>
                            <w:rFonts w:ascii="Arial"/>
                            <w:sz w:val="21"/>
                          </w:rPr>
                        </w:pPr>
                      </w:p>
                    </w:tc>
                    <w:tc>
                      <w:tcPr>
                        <w:tcW w:w="2304" w:type="dxa"/>
                        <w:vMerge w:val="continue"/>
                        <w:tcBorders>
                          <w:top w:val="nil"/>
                          <w:bottom w:val="nil"/>
                        </w:tcBorders>
                        <w:vAlign w:val="top"/>
                      </w:tcPr>
                      <w:p w14:paraId="248CC336">
                        <w:pPr>
                          <w:rPr>
                            <w:rFonts w:ascii="Arial"/>
                            <w:sz w:val="21"/>
                          </w:rPr>
                        </w:pPr>
                      </w:p>
                    </w:tc>
                    <w:tc>
                      <w:tcPr>
                        <w:tcW w:w="229" w:type="dxa"/>
                        <w:vAlign w:val="top"/>
                      </w:tcPr>
                      <w:p w14:paraId="5AA981D0">
                        <w:pPr>
                          <w:rPr>
                            <w:rFonts w:ascii="Arial"/>
                            <w:sz w:val="21"/>
                          </w:rPr>
                        </w:pPr>
                      </w:p>
                    </w:tc>
                    <w:tc>
                      <w:tcPr>
                        <w:tcW w:w="240" w:type="dxa"/>
                        <w:vAlign w:val="top"/>
                      </w:tcPr>
                      <w:p w14:paraId="619D2B38">
                        <w:pPr>
                          <w:rPr>
                            <w:rFonts w:ascii="Arial"/>
                            <w:sz w:val="21"/>
                          </w:rPr>
                        </w:pPr>
                      </w:p>
                    </w:tc>
                    <w:tc>
                      <w:tcPr>
                        <w:tcW w:w="219" w:type="dxa"/>
                        <w:vAlign w:val="top"/>
                      </w:tcPr>
                      <w:p w14:paraId="1C8F62DD">
                        <w:pPr>
                          <w:rPr>
                            <w:rFonts w:ascii="Arial"/>
                            <w:sz w:val="21"/>
                          </w:rPr>
                        </w:pPr>
                      </w:p>
                    </w:tc>
                    <w:tc>
                      <w:tcPr>
                        <w:tcW w:w="224" w:type="dxa"/>
                        <w:vAlign w:val="top"/>
                      </w:tcPr>
                      <w:p w14:paraId="69D90662">
                        <w:pPr>
                          <w:pStyle w:val="6"/>
                          <w:spacing w:before="140" w:line="238" w:lineRule="auto"/>
                          <w:ind w:left="9"/>
                          <w:rPr>
                            <w:sz w:val="13"/>
                            <w:szCs w:val="13"/>
                          </w:rPr>
                        </w:pPr>
                        <w:r>
                          <w:rPr>
                            <w:sz w:val="13"/>
                            <w:szCs w:val="13"/>
                          </w:rPr>
                          <w:t>√</w:t>
                        </w:r>
                      </w:p>
                    </w:tc>
                  </w:tr>
                  <w:tr w14:paraId="3403D7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893" w:type="dxa"/>
                        <w:vMerge w:val="continue"/>
                        <w:tcBorders>
                          <w:top w:val="nil"/>
                          <w:bottom w:val="nil"/>
                        </w:tcBorders>
                        <w:vAlign w:val="top"/>
                      </w:tcPr>
                      <w:p w14:paraId="17F6B626">
                        <w:pPr>
                          <w:rPr>
                            <w:rFonts w:ascii="Arial"/>
                            <w:sz w:val="21"/>
                          </w:rPr>
                        </w:pPr>
                      </w:p>
                    </w:tc>
                    <w:tc>
                      <w:tcPr>
                        <w:tcW w:w="2304" w:type="dxa"/>
                        <w:vMerge w:val="continue"/>
                        <w:tcBorders>
                          <w:top w:val="nil"/>
                          <w:bottom w:val="nil"/>
                        </w:tcBorders>
                        <w:vAlign w:val="top"/>
                      </w:tcPr>
                      <w:p w14:paraId="4ED89DE0">
                        <w:pPr>
                          <w:rPr>
                            <w:rFonts w:ascii="Arial"/>
                            <w:sz w:val="21"/>
                          </w:rPr>
                        </w:pPr>
                      </w:p>
                    </w:tc>
                    <w:tc>
                      <w:tcPr>
                        <w:tcW w:w="229" w:type="dxa"/>
                        <w:vAlign w:val="top"/>
                      </w:tcPr>
                      <w:p w14:paraId="09B93357">
                        <w:pPr>
                          <w:rPr>
                            <w:rFonts w:ascii="Arial"/>
                            <w:sz w:val="21"/>
                          </w:rPr>
                        </w:pPr>
                      </w:p>
                    </w:tc>
                    <w:tc>
                      <w:tcPr>
                        <w:tcW w:w="240" w:type="dxa"/>
                        <w:vAlign w:val="top"/>
                      </w:tcPr>
                      <w:p w14:paraId="59E19BFD">
                        <w:pPr>
                          <w:rPr>
                            <w:rFonts w:ascii="Arial"/>
                            <w:sz w:val="21"/>
                          </w:rPr>
                        </w:pPr>
                      </w:p>
                    </w:tc>
                    <w:tc>
                      <w:tcPr>
                        <w:tcW w:w="219" w:type="dxa"/>
                        <w:vAlign w:val="top"/>
                      </w:tcPr>
                      <w:p w14:paraId="2085E008">
                        <w:pPr>
                          <w:pStyle w:val="6"/>
                          <w:spacing w:before="131" w:line="238" w:lineRule="auto"/>
                          <w:ind w:left="18"/>
                          <w:rPr>
                            <w:sz w:val="13"/>
                            <w:szCs w:val="13"/>
                          </w:rPr>
                        </w:pPr>
                        <w:r>
                          <w:rPr>
                            <w:sz w:val="13"/>
                            <w:szCs w:val="13"/>
                          </w:rPr>
                          <w:t>√</w:t>
                        </w:r>
                      </w:p>
                    </w:tc>
                    <w:tc>
                      <w:tcPr>
                        <w:tcW w:w="224" w:type="dxa"/>
                        <w:vAlign w:val="top"/>
                      </w:tcPr>
                      <w:p w14:paraId="5FEA859C">
                        <w:pPr>
                          <w:rPr>
                            <w:rFonts w:ascii="Arial"/>
                            <w:sz w:val="21"/>
                          </w:rPr>
                        </w:pPr>
                      </w:p>
                    </w:tc>
                  </w:tr>
                  <w:tr w14:paraId="62129B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893" w:type="dxa"/>
                        <w:vMerge w:val="continue"/>
                        <w:tcBorders>
                          <w:top w:val="nil"/>
                        </w:tcBorders>
                        <w:vAlign w:val="top"/>
                      </w:tcPr>
                      <w:p w14:paraId="4DDC0C74">
                        <w:pPr>
                          <w:rPr>
                            <w:rFonts w:ascii="Arial"/>
                            <w:sz w:val="21"/>
                          </w:rPr>
                        </w:pPr>
                      </w:p>
                    </w:tc>
                    <w:tc>
                      <w:tcPr>
                        <w:tcW w:w="2304" w:type="dxa"/>
                        <w:vMerge w:val="continue"/>
                        <w:tcBorders>
                          <w:top w:val="nil"/>
                        </w:tcBorders>
                        <w:vAlign w:val="top"/>
                      </w:tcPr>
                      <w:p w14:paraId="29807ADD">
                        <w:pPr>
                          <w:rPr>
                            <w:rFonts w:ascii="Arial"/>
                            <w:sz w:val="21"/>
                          </w:rPr>
                        </w:pPr>
                      </w:p>
                    </w:tc>
                    <w:tc>
                      <w:tcPr>
                        <w:tcW w:w="229" w:type="dxa"/>
                        <w:vAlign w:val="top"/>
                      </w:tcPr>
                      <w:p w14:paraId="1DC63359">
                        <w:pPr>
                          <w:rPr>
                            <w:rFonts w:ascii="Arial"/>
                            <w:sz w:val="21"/>
                          </w:rPr>
                        </w:pPr>
                      </w:p>
                    </w:tc>
                    <w:tc>
                      <w:tcPr>
                        <w:tcW w:w="240" w:type="dxa"/>
                        <w:vAlign w:val="top"/>
                      </w:tcPr>
                      <w:p w14:paraId="34811C1F">
                        <w:pPr>
                          <w:rPr>
                            <w:rFonts w:ascii="Arial"/>
                            <w:sz w:val="21"/>
                          </w:rPr>
                        </w:pPr>
                      </w:p>
                    </w:tc>
                    <w:tc>
                      <w:tcPr>
                        <w:tcW w:w="219" w:type="dxa"/>
                        <w:vAlign w:val="top"/>
                      </w:tcPr>
                      <w:p w14:paraId="2A211A36">
                        <w:pPr>
                          <w:pStyle w:val="6"/>
                          <w:spacing w:before="102" w:line="238" w:lineRule="auto"/>
                          <w:ind w:left="18"/>
                          <w:rPr>
                            <w:sz w:val="13"/>
                            <w:szCs w:val="13"/>
                          </w:rPr>
                        </w:pPr>
                        <w:r>
                          <w:rPr>
                            <w:sz w:val="13"/>
                            <w:szCs w:val="13"/>
                          </w:rPr>
                          <w:t>√</w:t>
                        </w:r>
                      </w:p>
                    </w:tc>
                    <w:tc>
                      <w:tcPr>
                        <w:tcW w:w="224" w:type="dxa"/>
                        <w:vAlign w:val="top"/>
                      </w:tcPr>
                      <w:p w14:paraId="14411E3B">
                        <w:pPr>
                          <w:rPr>
                            <w:rFonts w:ascii="Arial"/>
                            <w:sz w:val="21"/>
                          </w:rPr>
                        </w:pPr>
                      </w:p>
                    </w:tc>
                  </w:tr>
                  <w:tr w14:paraId="2CFFE1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0" w:hRule="atLeast"/>
                    </w:trPr>
                    <w:tc>
                      <w:tcPr>
                        <w:tcW w:w="893" w:type="dxa"/>
                        <w:vMerge w:val="restart"/>
                        <w:tcBorders>
                          <w:bottom w:val="nil"/>
                        </w:tcBorders>
                        <w:vAlign w:val="top"/>
                      </w:tcPr>
                      <w:p w14:paraId="2B9F35EF">
                        <w:pPr>
                          <w:spacing w:line="279" w:lineRule="auto"/>
                          <w:rPr>
                            <w:rFonts w:ascii="Arial"/>
                            <w:sz w:val="21"/>
                          </w:rPr>
                        </w:pPr>
                      </w:p>
                      <w:p w14:paraId="4C7C8E91">
                        <w:pPr>
                          <w:spacing w:line="280" w:lineRule="auto"/>
                          <w:rPr>
                            <w:rFonts w:ascii="Arial"/>
                            <w:sz w:val="21"/>
                          </w:rPr>
                        </w:pPr>
                      </w:p>
                      <w:p w14:paraId="53670C4A">
                        <w:pPr>
                          <w:pStyle w:val="6"/>
                          <w:spacing w:before="59" w:line="214" w:lineRule="auto"/>
                          <w:ind w:left="254" w:right="99" w:hanging="180"/>
                          <w:rPr>
                            <w:sz w:val="18"/>
                            <w:szCs w:val="18"/>
                          </w:rPr>
                        </w:pPr>
                        <w:r>
                          <w:rPr>
                            <w:spacing w:val="-3"/>
                            <w:sz w:val="18"/>
                            <w:szCs w:val="18"/>
                          </w:rPr>
                          <w:t>女性生殖</w:t>
                        </w:r>
                        <w:r>
                          <w:rPr>
                            <w:sz w:val="18"/>
                            <w:szCs w:val="18"/>
                          </w:rPr>
                          <w:t xml:space="preserve"> </w:t>
                        </w:r>
                        <w:r>
                          <w:rPr>
                            <w:spacing w:val="-3"/>
                            <w:sz w:val="18"/>
                            <w:szCs w:val="18"/>
                          </w:rPr>
                          <w:t>系统</w:t>
                        </w:r>
                      </w:p>
                    </w:tc>
                    <w:tc>
                      <w:tcPr>
                        <w:tcW w:w="2304" w:type="dxa"/>
                        <w:vMerge w:val="restart"/>
                        <w:tcBorders>
                          <w:bottom w:val="nil"/>
                        </w:tcBorders>
                        <w:vAlign w:val="top"/>
                      </w:tcPr>
                      <w:p w14:paraId="338EAADB">
                        <w:pPr>
                          <w:pStyle w:val="6"/>
                          <w:spacing w:before="51" w:line="226" w:lineRule="auto"/>
                          <w:ind w:left="11" w:right="473"/>
                          <w:rPr>
                            <w:sz w:val="18"/>
                            <w:szCs w:val="18"/>
                          </w:rPr>
                        </w:pPr>
                        <w:r>
                          <w:rPr>
                            <w:sz w:val="18"/>
                            <w:szCs w:val="18"/>
                          </w:rPr>
                          <w:t>1.女性生殖系统的组成</w:t>
                        </w:r>
                        <w:r>
                          <w:rPr>
                            <w:spacing w:val="7"/>
                            <w:sz w:val="18"/>
                            <w:szCs w:val="18"/>
                          </w:rPr>
                          <w:t xml:space="preserve"> </w:t>
                        </w:r>
                        <w:r>
                          <w:rPr>
                            <w:spacing w:val="-1"/>
                            <w:sz w:val="18"/>
                            <w:szCs w:val="18"/>
                          </w:rPr>
                          <w:t>2.卵巢的位置和形态</w:t>
                        </w:r>
                      </w:p>
                      <w:p w14:paraId="63129FA5">
                        <w:pPr>
                          <w:pStyle w:val="6"/>
                          <w:spacing w:before="2" w:line="225" w:lineRule="auto"/>
                          <w:ind w:left="11"/>
                          <w:rPr>
                            <w:sz w:val="18"/>
                            <w:szCs w:val="18"/>
                          </w:rPr>
                        </w:pPr>
                        <w:r>
                          <w:rPr>
                            <w:spacing w:val="-5"/>
                            <w:sz w:val="18"/>
                            <w:szCs w:val="18"/>
                          </w:rPr>
                          <w:t>3.输卵管的位置、形态和分部</w:t>
                        </w:r>
                        <w:r>
                          <w:rPr>
                            <w:spacing w:val="11"/>
                            <w:sz w:val="18"/>
                            <w:szCs w:val="18"/>
                          </w:rPr>
                          <w:t xml:space="preserve"> </w:t>
                        </w:r>
                        <w:r>
                          <w:rPr>
                            <w:spacing w:val="-2"/>
                            <w:sz w:val="18"/>
                            <w:szCs w:val="18"/>
                          </w:rPr>
                          <w:t>4.输卵管结扎术的常选部位</w:t>
                        </w:r>
                        <w:r>
                          <w:rPr>
                            <w:spacing w:val="5"/>
                            <w:sz w:val="18"/>
                            <w:szCs w:val="18"/>
                          </w:rPr>
                          <w:t xml:space="preserve">  </w:t>
                        </w:r>
                        <w:r>
                          <w:rPr>
                            <w:spacing w:val="-2"/>
                            <w:sz w:val="18"/>
                            <w:szCs w:val="18"/>
                          </w:rPr>
                          <w:t>5.子宫的形态、分部、位置</w:t>
                        </w:r>
                        <w:r>
                          <w:rPr>
                            <w:spacing w:val="3"/>
                            <w:sz w:val="18"/>
                            <w:szCs w:val="18"/>
                          </w:rPr>
                          <w:t xml:space="preserve">  </w:t>
                        </w:r>
                        <w:r>
                          <w:rPr>
                            <w:spacing w:val="-2"/>
                            <w:sz w:val="18"/>
                            <w:szCs w:val="18"/>
                          </w:rPr>
                          <w:t>及固定结构</w:t>
                        </w:r>
                      </w:p>
                      <w:p w14:paraId="067CD14D">
                        <w:pPr>
                          <w:pStyle w:val="6"/>
                          <w:spacing w:line="199" w:lineRule="auto"/>
                          <w:jc w:val="right"/>
                          <w:rPr>
                            <w:sz w:val="18"/>
                            <w:szCs w:val="18"/>
                          </w:rPr>
                        </w:pPr>
                        <w:r>
                          <w:rPr>
                            <w:spacing w:val="-17"/>
                            <w:sz w:val="18"/>
                            <w:szCs w:val="18"/>
                          </w:rPr>
                          <w:t>6.阴道后穹</w:t>
                        </w:r>
                        <w:r>
                          <w:rPr>
                            <w:spacing w:val="-16"/>
                            <w:sz w:val="18"/>
                            <w:szCs w:val="18"/>
                          </w:rPr>
                          <w:t>隆的位置及临床意</w:t>
                        </w:r>
                        <w:r>
                          <w:rPr>
                            <w:spacing w:val="-10"/>
                            <w:sz w:val="18"/>
                            <w:szCs w:val="18"/>
                          </w:rPr>
                          <w:t>义</w:t>
                        </w:r>
                      </w:p>
                    </w:tc>
                    <w:tc>
                      <w:tcPr>
                        <w:tcW w:w="229" w:type="dxa"/>
                        <w:vAlign w:val="top"/>
                      </w:tcPr>
                      <w:p w14:paraId="68BD085F">
                        <w:pPr>
                          <w:spacing w:line="210" w:lineRule="exact"/>
                          <w:rPr>
                            <w:rFonts w:ascii="Arial"/>
                            <w:sz w:val="18"/>
                          </w:rPr>
                        </w:pPr>
                      </w:p>
                    </w:tc>
                    <w:tc>
                      <w:tcPr>
                        <w:tcW w:w="240" w:type="dxa"/>
                        <w:vAlign w:val="top"/>
                      </w:tcPr>
                      <w:p w14:paraId="6E44E05B">
                        <w:pPr>
                          <w:pStyle w:val="6"/>
                          <w:spacing w:before="63" w:line="208" w:lineRule="auto"/>
                          <w:ind w:left="48"/>
                          <w:rPr>
                            <w:sz w:val="13"/>
                            <w:szCs w:val="13"/>
                          </w:rPr>
                        </w:pPr>
                        <w:r>
                          <w:rPr>
                            <w:sz w:val="13"/>
                            <w:szCs w:val="13"/>
                          </w:rPr>
                          <w:t>√</w:t>
                        </w:r>
                      </w:p>
                    </w:tc>
                    <w:tc>
                      <w:tcPr>
                        <w:tcW w:w="219" w:type="dxa"/>
                        <w:vAlign w:val="top"/>
                      </w:tcPr>
                      <w:p w14:paraId="4FC0CB4B">
                        <w:pPr>
                          <w:spacing w:line="210" w:lineRule="exact"/>
                          <w:rPr>
                            <w:rFonts w:ascii="Arial"/>
                            <w:sz w:val="18"/>
                          </w:rPr>
                        </w:pPr>
                      </w:p>
                    </w:tc>
                    <w:tc>
                      <w:tcPr>
                        <w:tcW w:w="224" w:type="dxa"/>
                        <w:vAlign w:val="top"/>
                      </w:tcPr>
                      <w:p w14:paraId="79DD1138">
                        <w:pPr>
                          <w:spacing w:line="210" w:lineRule="exact"/>
                          <w:rPr>
                            <w:rFonts w:ascii="Arial"/>
                            <w:sz w:val="18"/>
                          </w:rPr>
                        </w:pPr>
                      </w:p>
                    </w:tc>
                  </w:tr>
                  <w:tr w14:paraId="535C80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0" w:hRule="atLeast"/>
                    </w:trPr>
                    <w:tc>
                      <w:tcPr>
                        <w:tcW w:w="893" w:type="dxa"/>
                        <w:vMerge w:val="continue"/>
                        <w:tcBorders>
                          <w:top w:val="nil"/>
                          <w:bottom w:val="nil"/>
                        </w:tcBorders>
                        <w:vAlign w:val="top"/>
                      </w:tcPr>
                      <w:p w14:paraId="760F0379">
                        <w:pPr>
                          <w:rPr>
                            <w:rFonts w:ascii="Arial"/>
                            <w:sz w:val="21"/>
                          </w:rPr>
                        </w:pPr>
                      </w:p>
                    </w:tc>
                    <w:tc>
                      <w:tcPr>
                        <w:tcW w:w="2304" w:type="dxa"/>
                        <w:vMerge w:val="continue"/>
                        <w:tcBorders>
                          <w:top w:val="nil"/>
                          <w:bottom w:val="nil"/>
                        </w:tcBorders>
                        <w:vAlign w:val="top"/>
                      </w:tcPr>
                      <w:p w14:paraId="34A0AEDA">
                        <w:pPr>
                          <w:rPr>
                            <w:rFonts w:ascii="Arial"/>
                            <w:sz w:val="21"/>
                          </w:rPr>
                        </w:pPr>
                      </w:p>
                    </w:tc>
                    <w:tc>
                      <w:tcPr>
                        <w:tcW w:w="229" w:type="dxa"/>
                        <w:vAlign w:val="top"/>
                      </w:tcPr>
                      <w:p w14:paraId="33F56773">
                        <w:pPr>
                          <w:spacing w:line="200" w:lineRule="exact"/>
                          <w:rPr>
                            <w:rFonts w:ascii="Arial"/>
                            <w:sz w:val="17"/>
                          </w:rPr>
                        </w:pPr>
                      </w:p>
                    </w:tc>
                    <w:tc>
                      <w:tcPr>
                        <w:tcW w:w="240" w:type="dxa"/>
                        <w:vAlign w:val="top"/>
                      </w:tcPr>
                      <w:p w14:paraId="2781FDD2">
                        <w:pPr>
                          <w:spacing w:line="200" w:lineRule="exact"/>
                          <w:rPr>
                            <w:rFonts w:ascii="Arial"/>
                            <w:sz w:val="17"/>
                          </w:rPr>
                        </w:pPr>
                      </w:p>
                    </w:tc>
                    <w:tc>
                      <w:tcPr>
                        <w:tcW w:w="219" w:type="dxa"/>
                        <w:vAlign w:val="top"/>
                      </w:tcPr>
                      <w:p w14:paraId="20919217">
                        <w:pPr>
                          <w:spacing w:line="200" w:lineRule="exact"/>
                          <w:rPr>
                            <w:rFonts w:ascii="Arial"/>
                            <w:sz w:val="17"/>
                          </w:rPr>
                        </w:pPr>
                      </w:p>
                    </w:tc>
                    <w:tc>
                      <w:tcPr>
                        <w:tcW w:w="224" w:type="dxa"/>
                        <w:vAlign w:val="top"/>
                      </w:tcPr>
                      <w:p w14:paraId="14377B79">
                        <w:pPr>
                          <w:pStyle w:val="6"/>
                          <w:spacing w:before="53" w:line="208" w:lineRule="auto"/>
                          <w:ind w:left="9"/>
                          <w:rPr>
                            <w:sz w:val="13"/>
                            <w:szCs w:val="13"/>
                          </w:rPr>
                        </w:pPr>
                        <w:r>
                          <w:rPr>
                            <w:sz w:val="13"/>
                            <w:szCs w:val="13"/>
                          </w:rPr>
                          <w:t>√</w:t>
                        </w:r>
                      </w:p>
                    </w:tc>
                  </w:tr>
                  <w:tr w14:paraId="654C14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0" w:hRule="atLeast"/>
                    </w:trPr>
                    <w:tc>
                      <w:tcPr>
                        <w:tcW w:w="893" w:type="dxa"/>
                        <w:vMerge w:val="continue"/>
                        <w:tcBorders>
                          <w:top w:val="nil"/>
                          <w:bottom w:val="nil"/>
                        </w:tcBorders>
                        <w:vAlign w:val="top"/>
                      </w:tcPr>
                      <w:p w14:paraId="1B60CAF1">
                        <w:pPr>
                          <w:rPr>
                            <w:rFonts w:ascii="Arial"/>
                            <w:sz w:val="21"/>
                          </w:rPr>
                        </w:pPr>
                      </w:p>
                    </w:tc>
                    <w:tc>
                      <w:tcPr>
                        <w:tcW w:w="2304" w:type="dxa"/>
                        <w:vMerge w:val="continue"/>
                        <w:tcBorders>
                          <w:top w:val="nil"/>
                          <w:bottom w:val="nil"/>
                        </w:tcBorders>
                        <w:vAlign w:val="top"/>
                      </w:tcPr>
                      <w:p w14:paraId="7C76AC1D">
                        <w:pPr>
                          <w:rPr>
                            <w:rFonts w:ascii="Arial"/>
                            <w:sz w:val="21"/>
                          </w:rPr>
                        </w:pPr>
                      </w:p>
                    </w:tc>
                    <w:tc>
                      <w:tcPr>
                        <w:tcW w:w="229" w:type="dxa"/>
                        <w:vAlign w:val="top"/>
                      </w:tcPr>
                      <w:p w14:paraId="04500875">
                        <w:pPr>
                          <w:spacing w:line="210" w:lineRule="exact"/>
                          <w:rPr>
                            <w:rFonts w:ascii="Arial"/>
                            <w:sz w:val="18"/>
                          </w:rPr>
                        </w:pPr>
                      </w:p>
                    </w:tc>
                    <w:tc>
                      <w:tcPr>
                        <w:tcW w:w="240" w:type="dxa"/>
                        <w:vAlign w:val="top"/>
                      </w:tcPr>
                      <w:p w14:paraId="7E95C97B">
                        <w:pPr>
                          <w:spacing w:line="210" w:lineRule="exact"/>
                          <w:rPr>
                            <w:rFonts w:ascii="Arial"/>
                            <w:sz w:val="18"/>
                          </w:rPr>
                        </w:pPr>
                      </w:p>
                    </w:tc>
                    <w:tc>
                      <w:tcPr>
                        <w:tcW w:w="219" w:type="dxa"/>
                        <w:vAlign w:val="top"/>
                      </w:tcPr>
                      <w:p w14:paraId="3CED47F2">
                        <w:pPr>
                          <w:spacing w:line="210" w:lineRule="exact"/>
                          <w:rPr>
                            <w:rFonts w:ascii="Arial"/>
                            <w:sz w:val="18"/>
                          </w:rPr>
                        </w:pPr>
                      </w:p>
                    </w:tc>
                    <w:tc>
                      <w:tcPr>
                        <w:tcW w:w="224" w:type="dxa"/>
                        <w:vAlign w:val="top"/>
                      </w:tcPr>
                      <w:p w14:paraId="0A73AADB">
                        <w:pPr>
                          <w:pStyle w:val="6"/>
                          <w:spacing w:before="63" w:line="208" w:lineRule="auto"/>
                          <w:ind w:left="9"/>
                          <w:rPr>
                            <w:sz w:val="13"/>
                            <w:szCs w:val="13"/>
                          </w:rPr>
                        </w:pPr>
                        <w:r>
                          <w:rPr>
                            <w:sz w:val="13"/>
                            <w:szCs w:val="13"/>
                          </w:rPr>
                          <w:t>√</w:t>
                        </w:r>
                      </w:p>
                    </w:tc>
                  </w:tr>
                  <w:tr w14:paraId="2B5D2C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9" w:hRule="atLeast"/>
                    </w:trPr>
                    <w:tc>
                      <w:tcPr>
                        <w:tcW w:w="893" w:type="dxa"/>
                        <w:vMerge w:val="continue"/>
                        <w:tcBorders>
                          <w:top w:val="nil"/>
                          <w:bottom w:val="nil"/>
                        </w:tcBorders>
                        <w:vAlign w:val="top"/>
                      </w:tcPr>
                      <w:p w14:paraId="51700070">
                        <w:pPr>
                          <w:rPr>
                            <w:rFonts w:ascii="Arial"/>
                            <w:sz w:val="21"/>
                          </w:rPr>
                        </w:pPr>
                      </w:p>
                    </w:tc>
                    <w:tc>
                      <w:tcPr>
                        <w:tcW w:w="2304" w:type="dxa"/>
                        <w:vMerge w:val="continue"/>
                        <w:tcBorders>
                          <w:top w:val="nil"/>
                          <w:bottom w:val="nil"/>
                        </w:tcBorders>
                        <w:vAlign w:val="top"/>
                      </w:tcPr>
                      <w:p w14:paraId="4231A37B">
                        <w:pPr>
                          <w:rPr>
                            <w:rFonts w:ascii="Arial"/>
                            <w:sz w:val="21"/>
                          </w:rPr>
                        </w:pPr>
                      </w:p>
                    </w:tc>
                    <w:tc>
                      <w:tcPr>
                        <w:tcW w:w="229" w:type="dxa"/>
                        <w:vAlign w:val="top"/>
                      </w:tcPr>
                      <w:p w14:paraId="4048DD2E">
                        <w:pPr>
                          <w:spacing w:line="219" w:lineRule="exact"/>
                          <w:rPr>
                            <w:rFonts w:ascii="Arial"/>
                            <w:sz w:val="19"/>
                          </w:rPr>
                        </w:pPr>
                      </w:p>
                    </w:tc>
                    <w:tc>
                      <w:tcPr>
                        <w:tcW w:w="240" w:type="dxa"/>
                        <w:vAlign w:val="top"/>
                      </w:tcPr>
                      <w:p w14:paraId="6008332D">
                        <w:pPr>
                          <w:pStyle w:val="6"/>
                          <w:spacing w:before="63" w:line="221" w:lineRule="auto"/>
                          <w:ind w:left="48"/>
                          <w:rPr>
                            <w:sz w:val="13"/>
                            <w:szCs w:val="13"/>
                          </w:rPr>
                        </w:pPr>
                        <w:r>
                          <w:rPr>
                            <w:sz w:val="13"/>
                            <w:szCs w:val="13"/>
                          </w:rPr>
                          <w:t>√</w:t>
                        </w:r>
                      </w:p>
                    </w:tc>
                    <w:tc>
                      <w:tcPr>
                        <w:tcW w:w="219" w:type="dxa"/>
                        <w:vAlign w:val="top"/>
                      </w:tcPr>
                      <w:p w14:paraId="63FEC9DF">
                        <w:pPr>
                          <w:spacing w:line="219" w:lineRule="exact"/>
                          <w:rPr>
                            <w:rFonts w:ascii="Arial"/>
                            <w:sz w:val="19"/>
                          </w:rPr>
                        </w:pPr>
                      </w:p>
                    </w:tc>
                    <w:tc>
                      <w:tcPr>
                        <w:tcW w:w="224" w:type="dxa"/>
                        <w:vAlign w:val="top"/>
                      </w:tcPr>
                      <w:p w14:paraId="4817CEB2">
                        <w:pPr>
                          <w:spacing w:line="219" w:lineRule="exact"/>
                          <w:rPr>
                            <w:rFonts w:ascii="Arial"/>
                            <w:sz w:val="19"/>
                          </w:rPr>
                        </w:pPr>
                      </w:p>
                    </w:tc>
                  </w:tr>
                  <w:tr w14:paraId="5E8A7E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9" w:hRule="atLeast"/>
                    </w:trPr>
                    <w:tc>
                      <w:tcPr>
                        <w:tcW w:w="893" w:type="dxa"/>
                        <w:vMerge w:val="continue"/>
                        <w:tcBorders>
                          <w:top w:val="nil"/>
                          <w:bottom w:val="nil"/>
                        </w:tcBorders>
                        <w:vAlign w:val="top"/>
                      </w:tcPr>
                      <w:p w14:paraId="65BC05CA">
                        <w:pPr>
                          <w:rPr>
                            <w:rFonts w:ascii="Arial"/>
                            <w:sz w:val="21"/>
                          </w:rPr>
                        </w:pPr>
                      </w:p>
                    </w:tc>
                    <w:tc>
                      <w:tcPr>
                        <w:tcW w:w="2304" w:type="dxa"/>
                        <w:vMerge w:val="continue"/>
                        <w:tcBorders>
                          <w:top w:val="nil"/>
                          <w:bottom w:val="nil"/>
                        </w:tcBorders>
                        <w:vAlign w:val="top"/>
                      </w:tcPr>
                      <w:p w14:paraId="67083801">
                        <w:pPr>
                          <w:rPr>
                            <w:rFonts w:ascii="Arial"/>
                            <w:sz w:val="21"/>
                          </w:rPr>
                        </w:pPr>
                      </w:p>
                    </w:tc>
                    <w:tc>
                      <w:tcPr>
                        <w:tcW w:w="229" w:type="dxa"/>
                        <w:vAlign w:val="top"/>
                      </w:tcPr>
                      <w:p w14:paraId="3006D517">
                        <w:pPr>
                          <w:rPr>
                            <w:rFonts w:ascii="Arial"/>
                            <w:sz w:val="21"/>
                          </w:rPr>
                        </w:pPr>
                      </w:p>
                    </w:tc>
                    <w:tc>
                      <w:tcPr>
                        <w:tcW w:w="240" w:type="dxa"/>
                        <w:vAlign w:val="top"/>
                      </w:tcPr>
                      <w:p w14:paraId="4212AD5C">
                        <w:pPr>
                          <w:pStyle w:val="6"/>
                          <w:spacing w:before="144" w:line="238" w:lineRule="auto"/>
                          <w:ind w:left="48"/>
                          <w:rPr>
                            <w:sz w:val="13"/>
                            <w:szCs w:val="13"/>
                          </w:rPr>
                        </w:pPr>
                        <w:r>
                          <w:rPr>
                            <w:sz w:val="13"/>
                            <w:szCs w:val="13"/>
                          </w:rPr>
                          <w:t>√</w:t>
                        </w:r>
                      </w:p>
                    </w:tc>
                    <w:tc>
                      <w:tcPr>
                        <w:tcW w:w="219" w:type="dxa"/>
                        <w:vAlign w:val="top"/>
                      </w:tcPr>
                      <w:p w14:paraId="67DF3ECF">
                        <w:pPr>
                          <w:rPr>
                            <w:rFonts w:ascii="Arial"/>
                            <w:sz w:val="21"/>
                          </w:rPr>
                        </w:pPr>
                      </w:p>
                    </w:tc>
                    <w:tc>
                      <w:tcPr>
                        <w:tcW w:w="224" w:type="dxa"/>
                        <w:vAlign w:val="top"/>
                      </w:tcPr>
                      <w:p w14:paraId="449119EF">
                        <w:pPr>
                          <w:rPr>
                            <w:rFonts w:ascii="Arial"/>
                            <w:sz w:val="21"/>
                          </w:rPr>
                        </w:pPr>
                      </w:p>
                    </w:tc>
                  </w:tr>
                  <w:tr w14:paraId="4B9998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893" w:type="dxa"/>
                        <w:vMerge w:val="continue"/>
                        <w:tcBorders>
                          <w:top w:val="nil"/>
                        </w:tcBorders>
                        <w:vAlign w:val="top"/>
                      </w:tcPr>
                      <w:p w14:paraId="2F935309">
                        <w:pPr>
                          <w:rPr>
                            <w:rFonts w:ascii="Arial"/>
                            <w:sz w:val="21"/>
                          </w:rPr>
                        </w:pPr>
                      </w:p>
                    </w:tc>
                    <w:tc>
                      <w:tcPr>
                        <w:tcW w:w="2304" w:type="dxa"/>
                        <w:vMerge w:val="continue"/>
                        <w:tcBorders>
                          <w:top w:val="nil"/>
                        </w:tcBorders>
                        <w:vAlign w:val="top"/>
                      </w:tcPr>
                      <w:p w14:paraId="171CDF9B">
                        <w:pPr>
                          <w:rPr>
                            <w:rFonts w:ascii="Arial"/>
                            <w:sz w:val="21"/>
                          </w:rPr>
                        </w:pPr>
                      </w:p>
                    </w:tc>
                    <w:tc>
                      <w:tcPr>
                        <w:tcW w:w="229" w:type="dxa"/>
                        <w:vAlign w:val="top"/>
                      </w:tcPr>
                      <w:p w14:paraId="47B47547">
                        <w:pPr>
                          <w:rPr>
                            <w:rFonts w:ascii="Arial"/>
                            <w:sz w:val="21"/>
                          </w:rPr>
                        </w:pPr>
                      </w:p>
                    </w:tc>
                    <w:tc>
                      <w:tcPr>
                        <w:tcW w:w="240" w:type="dxa"/>
                        <w:vAlign w:val="top"/>
                      </w:tcPr>
                      <w:p w14:paraId="4941BBD2">
                        <w:pPr>
                          <w:rPr>
                            <w:rFonts w:ascii="Arial"/>
                            <w:sz w:val="21"/>
                          </w:rPr>
                        </w:pPr>
                      </w:p>
                    </w:tc>
                    <w:tc>
                      <w:tcPr>
                        <w:tcW w:w="219" w:type="dxa"/>
                        <w:vAlign w:val="top"/>
                      </w:tcPr>
                      <w:p w14:paraId="71363431">
                        <w:pPr>
                          <w:rPr>
                            <w:rFonts w:ascii="Arial"/>
                            <w:sz w:val="21"/>
                          </w:rPr>
                        </w:pPr>
                      </w:p>
                    </w:tc>
                    <w:tc>
                      <w:tcPr>
                        <w:tcW w:w="224" w:type="dxa"/>
                        <w:vAlign w:val="top"/>
                      </w:tcPr>
                      <w:p w14:paraId="018B558A">
                        <w:pPr>
                          <w:pStyle w:val="6"/>
                          <w:spacing w:before="85" w:line="238" w:lineRule="auto"/>
                          <w:ind w:left="9"/>
                          <w:rPr>
                            <w:sz w:val="13"/>
                            <w:szCs w:val="13"/>
                          </w:rPr>
                        </w:pPr>
                        <w:r>
                          <w:rPr>
                            <w:sz w:val="13"/>
                            <w:szCs w:val="13"/>
                          </w:rPr>
                          <w:t>√</w:t>
                        </w:r>
                      </w:p>
                    </w:tc>
                  </w:tr>
                  <w:tr w14:paraId="17F53A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9" w:hRule="atLeast"/>
                    </w:trPr>
                    <w:tc>
                      <w:tcPr>
                        <w:tcW w:w="893" w:type="dxa"/>
                        <w:vMerge w:val="restart"/>
                        <w:tcBorders>
                          <w:bottom w:val="nil"/>
                        </w:tcBorders>
                        <w:vAlign w:val="top"/>
                      </w:tcPr>
                      <w:p w14:paraId="42FDD3F7">
                        <w:pPr>
                          <w:pStyle w:val="6"/>
                          <w:spacing w:before="275" w:line="204" w:lineRule="auto"/>
                          <w:ind w:left="165"/>
                          <w:rPr>
                            <w:sz w:val="18"/>
                            <w:szCs w:val="18"/>
                          </w:rPr>
                        </w:pPr>
                        <w:r>
                          <w:rPr>
                            <w:spacing w:val="-2"/>
                            <w:sz w:val="18"/>
                            <w:szCs w:val="18"/>
                          </w:rPr>
                          <w:t>乳房及</w:t>
                        </w:r>
                      </w:p>
                      <w:p w14:paraId="42241D25">
                        <w:pPr>
                          <w:pStyle w:val="6"/>
                          <w:spacing w:line="218" w:lineRule="auto"/>
                          <w:ind w:left="254"/>
                          <w:rPr>
                            <w:sz w:val="18"/>
                            <w:szCs w:val="18"/>
                          </w:rPr>
                        </w:pPr>
                        <w:r>
                          <w:rPr>
                            <w:spacing w:val="10"/>
                            <w:sz w:val="18"/>
                            <w:szCs w:val="18"/>
                          </w:rPr>
                          <w:t>会阴</w:t>
                        </w:r>
                      </w:p>
                    </w:tc>
                    <w:tc>
                      <w:tcPr>
                        <w:tcW w:w="2304" w:type="dxa"/>
                        <w:vMerge w:val="restart"/>
                        <w:tcBorders>
                          <w:bottom w:val="nil"/>
                        </w:tcBorders>
                        <w:vAlign w:val="top"/>
                      </w:tcPr>
                      <w:p w14:paraId="0779D56D">
                        <w:pPr>
                          <w:pStyle w:val="6"/>
                          <w:spacing w:before="45" w:line="220" w:lineRule="auto"/>
                          <w:ind w:left="11" w:right="102" w:firstLine="10"/>
                          <w:rPr>
                            <w:sz w:val="18"/>
                            <w:szCs w:val="18"/>
                          </w:rPr>
                        </w:pPr>
                        <w:r>
                          <w:rPr>
                            <w:sz w:val="18"/>
                            <w:szCs w:val="18"/>
                          </w:rPr>
                          <w:t>1.乳房的位置、形态和内部</w:t>
                        </w:r>
                        <w:r>
                          <w:rPr>
                            <w:spacing w:val="8"/>
                            <w:sz w:val="18"/>
                            <w:szCs w:val="18"/>
                          </w:rPr>
                          <w:t xml:space="preserve"> </w:t>
                        </w:r>
                        <w:r>
                          <w:rPr>
                            <w:spacing w:val="5"/>
                            <w:sz w:val="18"/>
                            <w:szCs w:val="18"/>
                          </w:rPr>
                          <w:t>结构</w:t>
                        </w:r>
                      </w:p>
                      <w:p w14:paraId="4A081BB1">
                        <w:pPr>
                          <w:pStyle w:val="6"/>
                          <w:spacing w:line="209" w:lineRule="auto"/>
                          <w:ind w:left="11" w:right="107"/>
                          <w:rPr>
                            <w:sz w:val="18"/>
                            <w:szCs w:val="18"/>
                          </w:rPr>
                        </w:pPr>
                        <w:r>
                          <w:rPr>
                            <w:spacing w:val="1"/>
                            <w:sz w:val="18"/>
                            <w:szCs w:val="18"/>
                          </w:rPr>
                          <w:t>2.会阴的概念和狭义会阴的</w:t>
                        </w:r>
                        <w:r>
                          <w:rPr>
                            <w:sz w:val="18"/>
                            <w:szCs w:val="18"/>
                          </w:rPr>
                          <w:t xml:space="preserve"> </w:t>
                        </w:r>
                        <w:r>
                          <w:rPr>
                            <w:spacing w:val="1"/>
                            <w:sz w:val="18"/>
                            <w:szCs w:val="18"/>
                          </w:rPr>
                          <w:t>范围及临床意义</w:t>
                        </w:r>
                      </w:p>
                    </w:tc>
                    <w:tc>
                      <w:tcPr>
                        <w:tcW w:w="229" w:type="dxa"/>
                        <w:vAlign w:val="top"/>
                      </w:tcPr>
                      <w:p w14:paraId="3E66B174">
                        <w:pPr>
                          <w:rPr>
                            <w:rFonts w:ascii="Arial"/>
                            <w:sz w:val="21"/>
                          </w:rPr>
                        </w:pPr>
                      </w:p>
                    </w:tc>
                    <w:tc>
                      <w:tcPr>
                        <w:tcW w:w="240" w:type="dxa"/>
                        <w:vAlign w:val="top"/>
                      </w:tcPr>
                      <w:p w14:paraId="56D4F340">
                        <w:pPr>
                          <w:pStyle w:val="6"/>
                          <w:spacing w:before="176" w:line="238" w:lineRule="auto"/>
                          <w:ind w:left="48"/>
                          <w:rPr>
                            <w:sz w:val="13"/>
                            <w:szCs w:val="13"/>
                          </w:rPr>
                        </w:pPr>
                        <w:r>
                          <w:rPr>
                            <w:sz w:val="13"/>
                            <w:szCs w:val="13"/>
                          </w:rPr>
                          <w:t>√</w:t>
                        </w:r>
                      </w:p>
                    </w:tc>
                    <w:tc>
                      <w:tcPr>
                        <w:tcW w:w="219" w:type="dxa"/>
                        <w:vAlign w:val="top"/>
                      </w:tcPr>
                      <w:p w14:paraId="3878A663">
                        <w:pPr>
                          <w:rPr>
                            <w:rFonts w:ascii="Arial"/>
                            <w:sz w:val="21"/>
                          </w:rPr>
                        </w:pPr>
                      </w:p>
                    </w:tc>
                    <w:tc>
                      <w:tcPr>
                        <w:tcW w:w="224" w:type="dxa"/>
                        <w:vAlign w:val="top"/>
                      </w:tcPr>
                      <w:p w14:paraId="6D16F7D2">
                        <w:pPr>
                          <w:rPr>
                            <w:rFonts w:ascii="Arial"/>
                            <w:sz w:val="21"/>
                          </w:rPr>
                        </w:pPr>
                      </w:p>
                    </w:tc>
                  </w:tr>
                  <w:tr w14:paraId="3DF86E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4" w:hRule="atLeast"/>
                    </w:trPr>
                    <w:tc>
                      <w:tcPr>
                        <w:tcW w:w="893" w:type="dxa"/>
                        <w:vMerge w:val="continue"/>
                        <w:tcBorders>
                          <w:top w:val="nil"/>
                        </w:tcBorders>
                        <w:vAlign w:val="top"/>
                      </w:tcPr>
                      <w:p w14:paraId="6F00EDF6">
                        <w:pPr>
                          <w:rPr>
                            <w:rFonts w:ascii="Arial"/>
                            <w:sz w:val="21"/>
                          </w:rPr>
                        </w:pPr>
                      </w:p>
                    </w:tc>
                    <w:tc>
                      <w:tcPr>
                        <w:tcW w:w="2304" w:type="dxa"/>
                        <w:vMerge w:val="continue"/>
                        <w:tcBorders>
                          <w:top w:val="nil"/>
                        </w:tcBorders>
                        <w:vAlign w:val="top"/>
                      </w:tcPr>
                      <w:p w14:paraId="38AB84B0">
                        <w:pPr>
                          <w:rPr>
                            <w:rFonts w:ascii="Arial"/>
                            <w:sz w:val="21"/>
                          </w:rPr>
                        </w:pPr>
                      </w:p>
                    </w:tc>
                    <w:tc>
                      <w:tcPr>
                        <w:tcW w:w="229" w:type="dxa"/>
                        <w:vAlign w:val="top"/>
                      </w:tcPr>
                      <w:p w14:paraId="62BBE11D">
                        <w:pPr>
                          <w:rPr>
                            <w:rFonts w:ascii="Arial"/>
                            <w:sz w:val="21"/>
                          </w:rPr>
                        </w:pPr>
                      </w:p>
                    </w:tc>
                    <w:tc>
                      <w:tcPr>
                        <w:tcW w:w="240" w:type="dxa"/>
                        <w:vAlign w:val="top"/>
                      </w:tcPr>
                      <w:p w14:paraId="72666685">
                        <w:pPr>
                          <w:rPr>
                            <w:rFonts w:ascii="Arial"/>
                            <w:sz w:val="21"/>
                          </w:rPr>
                        </w:pPr>
                      </w:p>
                    </w:tc>
                    <w:tc>
                      <w:tcPr>
                        <w:tcW w:w="219" w:type="dxa"/>
                        <w:vAlign w:val="top"/>
                      </w:tcPr>
                      <w:p w14:paraId="223119A1">
                        <w:pPr>
                          <w:rPr>
                            <w:rFonts w:ascii="Arial"/>
                            <w:sz w:val="21"/>
                          </w:rPr>
                        </w:pPr>
                      </w:p>
                    </w:tc>
                    <w:tc>
                      <w:tcPr>
                        <w:tcW w:w="224" w:type="dxa"/>
                        <w:vAlign w:val="top"/>
                      </w:tcPr>
                      <w:p w14:paraId="2A2AB58A">
                        <w:pPr>
                          <w:pStyle w:val="6"/>
                          <w:spacing w:before="87" w:line="238" w:lineRule="auto"/>
                          <w:ind w:left="9"/>
                          <w:rPr>
                            <w:sz w:val="13"/>
                            <w:szCs w:val="13"/>
                          </w:rPr>
                        </w:pPr>
                        <w:r>
                          <w:rPr>
                            <w:sz w:val="13"/>
                            <w:szCs w:val="13"/>
                          </w:rPr>
                          <w:t>√</w:t>
                        </w:r>
                      </w:p>
                    </w:tc>
                  </w:tr>
                </w:tbl>
                <w:p w14:paraId="39A00C90">
                  <w:pPr>
                    <w:pStyle w:val="2"/>
                  </w:pPr>
                </w:p>
              </w:txbxContent>
            </v:textbox>
          </v:shape>
        </w:pict>
      </w:r>
      <w:r>
        <w:pict>
          <v:shape id="_x0000_s1045" o:spid="_x0000_s1045" o:spt="202" type="#_x0000_t202" style="position:absolute;left:0pt;margin-left:107.6pt;margin-top:373.65pt;height:13.4pt;width:80.65pt;mso-position-horizontal-relative:page;mso-position-vertical-relative:page;z-index:251696128;mso-width-relative:page;mso-height-relative:page;" filled="f" stroked="f" coordsize="21600,21600" o:allowincell="f">
            <v:path/>
            <v:fill on="f" focussize="0,0"/>
            <v:stroke on="f"/>
            <v:imagedata o:title=""/>
            <o:lock v:ext="edit" aspectratio="f"/>
            <v:textbox inset="0mm,0mm,0mm,0mm">
              <w:txbxContent>
                <w:p w14:paraId="7376C5FA">
                  <w:pPr>
                    <w:spacing w:before="19" w:line="221" w:lineRule="auto"/>
                    <w:ind w:left="20"/>
                    <w:rPr>
                      <w:rFonts w:ascii="黑体" w:hAnsi="黑体" w:eastAsia="黑体" w:cs="黑体"/>
                      <w:sz w:val="19"/>
                      <w:szCs w:val="19"/>
                    </w:rPr>
                  </w:pPr>
                  <w:r>
                    <w:rPr>
                      <w:rFonts w:ascii="黑体" w:hAnsi="黑体" w:eastAsia="黑体" w:cs="黑体"/>
                      <w:b/>
                      <w:bCs/>
                      <w:spacing w:val="1"/>
                      <w:sz w:val="19"/>
                      <w:szCs w:val="19"/>
                    </w:rPr>
                    <w:t>第六章</w:t>
                  </w:r>
                  <w:r>
                    <w:rPr>
                      <w:rFonts w:ascii="黑体" w:hAnsi="黑体" w:eastAsia="黑体" w:cs="黑体"/>
                      <w:spacing w:val="15"/>
                      <w:sz w:val="19"/>
                      <w:szCs w:val="19"/>
                    </w:rPr>
                    <w:t xml:space="preserve">  </w:t>
                  </w:r>
                  <w:r>
                    <w:rPr>
                      <w:rFonts w:ascii="黑体" w:hAnsi="黑体" w:eastAsia="黑体" w:cs="黑体"/>
                      <w:b/>
                      <w:bCs/>
                      <w:spacing w:val="1"/>
                      <w:sz w:val="19"/>
                      <w:szCs w:val="19"/>
                    </w:rPr>
                    <w:t>脉管系统</w:t>
                  </w:r>
                </w:p>
              </w:txbxContent>
            </v:textbox>
          </v:shape>
        </w:pict>
      </w:r>
      <w:r>
        <w:pict>
          <v:shape id="_x0000_s1046" o:spid="_x0000_s1046" o:spt="202" type="#_x0000_t202" style="position:absolute;left:0pt;margin-left:43.25pt;margin-top:388.7pt;height:309.05pt;width:209.05pt;mso-position-horizontal-relative:page;mso-position-vertical-relative:page;z-index:251693056;mso-width-relative:page;mso-height-relative:page;" filled="f" stroked="f" coordsize="21600,21600" o:allowincell="f">
            <v:path/>
            <v:fill on="f" focussize="0,0"/>
            <v:stroke on="f"/>
            <v:imagedata o:title=""/>
            <o:lock v:ext="edit" aspectratio="f"/>
            <v:textbox inset="0mm,0mm,0mm,0mm">
              <w:txbxContent>
                <w:p w14:paraId="7B2ABB90">
                  <w:pPr>
                    <w:spacing w:line="20" w:lineRule="exact"/>
                  </w:pPr>
                </w:p>
                <w:tbl>
                  <w:tblPr>
                    <w:tblStyle w:val="5"/>
                    <w:tblW w:w="4130" w:type="dxa"/>
                    <w:tblInd w:w="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83"/>
                    <w:gridCol w:w="2324"/>
                    <w:gridCol w:w="219"/>
                    <w:gridCol w:w="240"/>
                    <w:gridCol w:w="239"/>
                    <w:gridCol w:w="225"/>
                  </w:tblGrid>
                  <w:tr w14:paraId="54A4AD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84" w:hRule="atLeast"/>
                    </w:trPr>
                    <w:tc>
                      <w:tcPr>
                        <w:tcW w:w="883" w:type="dxa"/>
                        <w:vMerge w:val="restart"/>
                        <w:tcBorders>
                          <w:bottom w:val="nil"/>
                        </w:tcBorders>
                        <w:vAlign w:val="top"/>
                      </w:tcPr>
                      <w:p w14:paraId="690A753A">
                        <w:pPr>
                          <w:pStyle w:val="6"/>
                          <w:spacing w:before="80" w:line="230" w:lineRule="auto"/>
                          <w:ind w:left="257" w:right="1" w:hanging="240"/>
                          <w:rPr>
                            <w:sz w:val="18"/>
                            <w:szCs w:val="18"/>
                          </w:rPr>
                        </w:pPr>
                        <w:r>
                          <w:rPr>
                            <w:b/>
                            <w:bCs/>
                            <w:spacing w:val="-13"/>
                            <w:sz w:val="18"/>
                            <w:szCs w:val="18"/>
                          </w:rPr>
                          <w:t>知</w:t>
                        </w:r>
                        <w:r>
                          <w:rPr>
                            <w:b/>
                            <w:bCs/>
                            <w:spacing w:val="-12"/>
                            <w:sz w:val="18"/>
                            <w:szCs w:val="18"/>
                          </w:rPr>
                          <w:t>识与技</w:t>
                        </w:r>
                        <w:r>
                          <w:rPr>
                            <w:b/>
                            <w:bCs/>
                            <w:spacing w:val="-11"/>
                            <w:sz w:val="18"/>
                            <w:szCs w:val="18"/>
                          </w:rPr>
                          <w:t>能</w:t>
                        </w:r>
                        <w:r>
                          <w:rPr>
                            <w:spacing w:val="3"/>
                            <w:sz w:val="18"/>
                            <w:szCs w:val="18"/>
                          </w:rPr>
                          <w:t xml:space="preserve"> </w:t>
                        </w:r>
                        <w:r>
                          <w:rPr>
                            <w:b/>
                            <w:bCs/>
                            <w:spacing w:val="-4"/>
                            <w:sz w:val="18"/>
                            <w:szCs w:val="18"/>
                          </w:rPr>
                          <w:t>要点</w:t>
                        </w:r>
                      </w:p>
                    </w:tc>
                    <w:tc>
                      <w:tcPr>
                        <w:tcW w:w="2324" w:type="dxa"/>
                        <w:vMerge w:val="restart"/>
                        <w:tcBorders>
                          <w:bottom w:val="nil"/>
                        </w:tcBorders>
                        <w:vAlign w:val="top"/>
                      </w:tcPr>
                      <w:p w14:paraId="0BA1CDBE">
                        <w:pPr>
                          <w:pStyle w:val="6"/>
                          <w:spacing w:before="190" w:line="219" w:lineRule="auto"/>
                          <w:ind w:left="844"/>
                          <w:rPr>
                            <w:sz w:val="18"/>
                            <w:szCs w:val="18"/>
                          </w:rPr>
                        </w:pPr>
                        <w:r>
                          <w:rPr>
                            <w:b/>
                            <w:bCs/>
                            <w:spacing w:val="5"/>
                            <w:sz w:val="18"/>
                            <w:szCs w:val="18"/>
                          </w:rPr>
                          <w:t>考试条目</w:t>
                        </w:r>
                      </w:p>
                    </w:tc>
                    <w:tc>
                      <w:tcPr>
                        <w:tcW w:w="923" w:type="dxa"/>
                        <w:gridSpan w:val="4"/>
                        <w:vAlign w:val="top"/>
                      </w:tcPr>
                      <w:p w14:paraId="05A6B145">
                        <w:pPr>
                          <w:pStyle w:val="6"/>
                          <w:spacing w:before="49" w:line="219" w:lineRule="auto"/>
                          <w:ind w:left="140"/>
                          <w:rPr>
                            <w:sz w:val="18"/>
                            <w:szCs w:val="18"/>
                          </w:rPr>
                        </w:pPr>
                        <w:r>
                          <w:rPr>
                            <w:b/>
                            <w:bCs/>
                            <w:spacing w:val="-4"/>
                            <w:sz w:val="18"/>
                            <w:szCs w:val="18"/>
                          </w:rPr>
                          <w:t>考试水平</w:t>
                        </w:r>
                      </w:p>
                    </w:tc>
                  </w:tr>
                  <w:tr w14:paraId="179E7E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 w:hRule="atLeast"/>
                    </w:trPr>
                    <w:tc>
                      <w:tcPr>
                        <w:tcW w:w="883" w:type="dxa"/>
                        <w:vMerge w:val="continue"/>
                        <w:tcBorders>
                          <w:top w:val="nil"/>
                        </w:tcBorders>
                        <w:vAlign w:val="top"/>
                      </w:tcPr>
                      <w:p w14:paraId="166B89BF">
                        <w:pPr>
                          <w:rPr>
                            <w:rFonts w:ascii="Arial"/>
                            <w:sz w:val="21"/>
                          </w:rPr>
                        </w:pPr>
                      </w:p>
                    </w:tc>
                    <w:tc>
                      <w:tcPr>
                        <w:tcW w:w="2324" w:type="dxa"/>
                        <w:vMerge w:val="continue"/>
                        <w:tcBorders>
                          <w:top w:val="nil"/>
                        </w:tcBorders>
                        <w:vAlign w:val="top"/>
                      </w:tcPr>
                      <w:p w14:paraId="4A12A47D">
                        <w:pPr>
                          <w:rPr>
                            <w:rFonts w:ascii="Arial"/>
                            <w:sz w:val="21"/>
                          </w:rPr>
                        </w:pPr>
                      </w:p>
                    </w:tc>
                    <w:tc>
                      <w:tcPr>
                        <w:tcW w:w="219" w:type="dxa"/>
                        <w:vAlign w:val="top"/>
                      </w:tcPr>
                      <w:p w14:paraId="04434CCD">
                        <w:pPr>
                          <w:pStyle w:val="6"/>
                          <w:spacing w:before="83" w:line="171" w:lineRule="auto"/>
                          <w:ind w:left="10"/>
                          <w:rPr>
                            <w:sz w:val="18"/>
                            <w:szCs w:val="18"/>
                          </w:rPr>
                        </w:pPr>
                        <w:r>
                          <w:rPr>
                            <w:b/>
                            <w:bCs/>
                            <w:spacing w:val="-2"/>
                            <w:sz w:val="18"/>
                            <w:szCs w:val="18"/>
                          </w:rPr>
                          <w:t>A</w:t>
                        </w:r>
                      </w:p>
                    </w:tc>
                    <w:tc>
                      <w:tcPr>
                        <w:tcW w:w="240" w:type="dxa"/>
                        <w:vAlign w:val="top"/>
                      </w:tcPr>
                      <w:p w14:paraId="79234BA4">
                        <w:pPr>
                          <w:pStyle w:val="6"/>
                          <w:spacing w:before="93" w:line="182" w:lineRule="auto"/>
                          <w:ind w:left="81"/>
                          <w:rPr>
                            <w:sz w:val="14"/>
                            <w:szCs w:val="14"/>
                          </w:rPr>
                        </w:pPr>
                        <w:r>
                          <w:rPr>
                            <w:b/>
                            <w:bCs/>
                            <w:spacing w:val="-2"/>
                            <w:sz w:val="14"/>
                            <w:szCs w:val="14"/>
                          </w:rPr>
                          <w:t>B</w:t>
                        </w:r>
                      </w:p>
                    </w:tc>
                    <w:tc>
                      <w:tcPr>
                        <w:tcW w:w="239" w:type="dxa"/>
                        <w:vAlign w:val="top"/>
                      </w:tcPr>
                      <w:p w14:paraId="555EE4F5">
                        <w:pPr>
                          <w:pStyle w:val="6"/>
                          <w:spacing w:before="87" w:line="158" w:lineRule="auto"/>
                          <w:ind w:left="68"/>
                          <w:rPr>
                            <w:sz w:val="19"/>
                            <w:szCs w:val="19"/>
                          </w:rPr>
                        </w:pPr>
                        <w:r>
                          <w:rPr>
                            <w:sz w:val="19"/>
                            <w:szCs w:val="19"/>
                          </w:rPr>
                          <w:t>C</w:t>
                        </w:r>
                      </w:p>
                    </w:tc>
                    <w:tc>
                      <w:tcPr>
                        <w:tcW w:w="225" w:type="dxa"/>
                        <w:vAlign w:val="top"/>
                      </w:tcPr>
                      <w:p w14:paraId="08AEE689">
                        <w:pPr>
                          <w:pStyle w:val="6"/>
                          <w:spacing w:before="86" w:line="168" w:lineRule="auto"/>
                          <w:ind w:left="52"/>
                          <w:rPr>
                            <w:sz w:val="18"/>
                            <w:szCs w:val="18"/>
                          </w:rPr>
                        </w:pPr>
                        <w:r>
                          <w:rPr>
                            <w:b/>
                            <w:bCs/>
                            <w:spacing w:val="-2"/>
                            <w:sz w:val="18"/>
                            <w:szCs w:val="18"/>
                          </w:rPr>
                          <w:t>D</w:t>
                        </w:r>
                      </w:p>
                    </w:tc>
                  </w:tr>
                  <w:tr w14:paraId="35481D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0" w:hRule="atLeast"/>
                    </w:trPr>
                    <w:tc>
                      <w:tcPr>
                        <w:tcW w:w="883" w:type="dxa"/>
                        <w:vMerge w:val="restart"/>
                        <w:tcBorders>
                          <w:bottom w:val="nil"/>
                        </w:tcBorders>
                        <w:vAlign w:val="top"/>
                      </w:tcPr>
                      <w:p w14:paraId="3AECE695">
                        <w:pPr>
                          <w:spacing w:line="357" w:lineRule="auto"/>
                          <w:rPr>
                            <w:rFonts w:ascii="Arial"/>
                            <w:sz w:val="21"/>
                          </w:rPr>
                        </w:pPr>
                      </w:p>
                      <w:p w14:paraId="44D6E5AB">
                        <w:pPr>
                          <w:pStyle w:val="6"/>
                          <w:spacing w:before="59" w:line="219" w:lineRule="auto"/>
                          <w:ind w:left="254"/>
                          <w:rPr>
                            <w:sz w:val="18"/>
                            <w:szCs w:val="18"/>
                          </w:rPr>
                        </w:pPr>
                        <w:r>
                          <w:rPr>
                            <w:spacing w:val="-2"/>
                            <w:sz w:val="18"/>
                            <w:szCs w:val="18"/>
                          </w:rPr>
                          <w:t>概述</w:t>
                        </w:r>
                      </w:p>
                    </w:tc>
                    <w:tc>
                      <w:tcPr>
                        <w:tcW w:w="2324" w:type="dxa"/>
                        <w:vMerge w:val="restart"/>
                        <w:tcBorders>
                          <w:bottom w:val="nil"/>
                        </w:tcBorders>
                        <w:vAlign w:val="top"/>
                      </w:tcPr>
                      <w:p w14:paraId="50FC4F83">
                        <w:pPr>
                          <w:pStyle w:val="6"/>
                          <w:spacing w:before="118" w:line="219" w:lineRule="auto"/>
                          <w:ind w:left="2"/>
                          <w:rPr>
                            <w:sz w:val="18"/>
                            <w:szCs w:val="18"/>
                          </w:rPr>
                        </w:pPr>
                        <w:r>
                          <w:rPr>
                            <w:sz w:val="18"/>
                            <w:szCs w:val="18"/>
                          </w:rPr>
                          <w:t>1.脉管系统的组成</w:t>
                        </w:r>
                      </w:p>
                      <w:p w14:paraId="4EA87B63">
                        <w:pPr>
                          <w:pStyle w:val="6"/>
                          <w:spacing w:before="7" w:line="220" w:lineRule="auto"/>
                          <w:ind w:left="2" w:right="701"/>
                          <w:rPr>
                            <w:sz w:val="18"/>
                            <w:szCs w:val="18"/>
                          </w:rPr>
                        </w:pPr>
                        <w:r>
                          <w:rPr>
                            <w:spacing w:val="-1"/>
                            <w:sz w:val="18"/>
                            <w:szCs w:val="18"/>
                          </w:rPr>
                          <w:t>2.心血管系统的组成</w:t>
                        </w:r>
                        <w:r>
                          <w:rPr>
                            <w:sz w:val="18"/>
                            <w:szCs w:val="18"/>
                          </w:rPr>
                          <w:t xml:space="preserve"> </w:t>
                        </w:r>
                        <w:r>
                          <w:rPr>
                            <w:spacing w:val="-2"/>
                            <w:sz w:val="18"/>
                            <w:szCs w:val="18"/>
                          </w:rPr>
                          <w:t>3.血液循环的概念</w:t>
                        </w:r>
                      </w:p>
                      <w:p w14:paraId="50483A5C">
                        <w:pPr>
                          <w:pStyle w:val="6"/>
                          <w:spacing w:line="219" w:lineRule="auto"/>
                          <w:ind w:left="2"/>
                          <w:rPr>
                            <w:sz w:val="18"/>
                            <w:szCs w:val="18"/>
                          </w:rPr>
                        </w:pPr>
                        <w:r>
                          <w:rPr>
                            <w:spacing w:val="-1"/>
                            <w:sz w:val="18"/>
                            <w:szCs w:val="18"/>
                          </w:rPr>
                          <w:t>4.体循环和肺循环途径</w:t>
                        </w:r>
                      </w:p>
                    </w:tc>
                    <w:tc>
                      <w:tcPr>
                        <w:tcW w:w="219" w:type="dxa"/>
                        <w:vAlign w:val="top"/>
                      </w:tcPr>
                      <w:p w14:paraId="407A0227">
                        <w:pPr>
                          <w:pStyle w:val="6"/>
                          <w:spacing w:before="70" w:line="223" w:lineRule="auto"/>
                          <w:ind w:left="7"/>
                          <w:rPr>
                            <w:sz w:val="14"/>
                            <w:szCs w:val="14"/>
                          </w:rPr>
                        </w:pPr>
                        <w:r>
                          <w:rPr>
                            <w:sz w:val="14"/>
                            <w:szCs w:val="14"/>
                          </w:rPr>
                          <w:t>√</w:t>
                        </w:r>
                      </w:p>
                    </w:tc>
                    <w:tc>
                      <w:tcPr>
                        <w:tcW w:w="240" w:type="dxa"/>
                        <w:vAlign w:val="top"/>
                      </w:tcPr>
                      <w:p w14:paraId="1752EE55">
                        <w:pPr>
                          <w:spacing w:line="240" w:lineRule="exact"/>
                          <w:rPr>
                            <w:rFonts w:ascii="Arial"/>
                            <w:sz w:val="20"/>
                          </w:rPr>
                        </w:pPr>
                      </w:p>
                    </w:tc>
                    <w:tc>
                      <w:tcPr>
                        <w:tcW w:w="239" w:type="dxa"/>
                        <w:vAlign w:val="top"/>
                      </w:tcPr>
                      <w:p w14:paraId="2E4679D2">
                        <w:pPr>
                          <w:spacing w:line="240" w:lineRule="exact"/>
                          <w:rPr>
                            <w:rFonts w:ascii="Arial"/>
                            <w:sz w:val="20"/>
                          </w:rPr>
                        </w:pPr>
                      </w:p>
                    </w:tc>
                    <w:tc>
                      <w:tcPr>
                        <w:tcW w:w="225" w:type="dxa"/>
                        <w:vAlign w:val="top"/>
                      </w:tcPr>
                      <w:p w14:paraId="5C97C582">
                        <w:pPr>
                          <w:spacing w:line="240" w:lineRule="exact"/>
                          <w:rPr>
                            <w:rFonts w:ascii="Arial"/>
                            <w:sz w:val="20"/>
                          </w:rPr>
                        </w:pPr>
                      </w:p>
                    </w:tc>
                  </w:tr>
                  <w:tr w14:paraId="3E4F86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0" w:hRule="atLeast"/>
                    </w:trPr>
                    <w:tc>
                      <w:tcPr>
                        <w:tcW w:w="883" w:type="dxa"/>
                        <w:vMerge w:val="continue"/>
                        <w:tcBorders>
                          <w:top w:val="nil"/>
                          <w:bottom w:val="nil"/>
                        </w:tcBorders>
                        <w:vAlign w:val="top"/>
                      </w:tcPr>
                      <w:p w14:paraId="27FFBC5B">
                        <w:pPr>
                          <w:rPr>
                            <w:rFonts w:ascii="Arial"/>
                            <w:sz w:val="21"/>
                          </w:rPr>
                        </w:pPr>
                      </w:p>
                    </w:tc>
                    <w:tc>
                      <w:tcPr>
                        <w:tcW w:w="2324" w:type="dxa"/>
                        <w:vMerge w:val="continue"/>
                        <w:tcBorders>
                          <w:top w:val="nil"/>
                          <w:bottom w:val="nil"/>
                        </w:tcBorders>
                        <w:vAlign w:val="top"/>
                      </w:tcPr>
                      <w:p w14:paraId="6781A096">
                        <w:pPr>
                          <w:rPr>
                            <w:rFonts w:ascii="Arial"/>
                            <w:sz w:val="21"/>
                          </w:rPr>
                        </w:pPr>
                      </w:p>
                    </w:tc>
                    <w:tc>
                      <w:tcPr>
                        <w:tcW w:w="219" w:type="dxa"/>
                        <w:vAlign w:val="top"/>
                      </w:tcPr>
                      <w:p w14:paraId="12EC319C">
                        <w:pPr>
                          <w:pStyle w:val="6"/>
                          <w:spacing w:before="70" w:line="223" w:lineRule="auto"/>
                          <w:ind w:left="7"/>
                          <w:rPr>
                            <w:sz w:val="14"/>
                            <w:szCs w:val="14"/>
                          </w:rPr>
                        </w:pPr>
                        <w:r>
                          <w:rPr>
                            <w:sz w:val="14"/>
                            <w:szCs w:val="14"/>
                          </w:rPr>
                          <w:t>√</w:t>
                        </w:r>
                      </w:p>
                    </w:tc>
                    <w:tc>
                      <w:tcPr>
                        <w:tcW w:w="240" w:type="dxa"/>
                        <w:vAlign w:val="top"/>
                      </w:tcPr>
                      <w:p w14:paraId="4D8C4932">
                        <w:pPr>
                          <w:spacing w:line="240" w:lineRule="exact"/>
                          <w:rPr>
                            <w:rFonts w:ascii="Arial"/>
                            <w:sz w:val="20"/>
                          </w:rPr>
                        </w:pPr>
                      </w:p>
                    </w:tc>
                    <w:tc>
                      <w:tcPr>
                        <w:tcW w:w="239" w:type="dxa"/>
                        <w:vAlign w:val="top"/>
                      </w:tcPr>
                      <w:p w14:paraId="5CCC99D2">
                        <w:pPr>
                          <w:spacing w:line="240" w:lineRule="exact"/>
                          <w:rPr>
                            <w:rFonts w:ascii="Arial"/>
                            <w:sz w:val="20"/>
                          </w:rPr>
                        </w:pPr>
                      </w:p>
                    </w:tc>
                    <w:tc>
                      <w:tcPr>
                        <w:tcW w:w="225" w:type="dxa"/>
                        <w:vAlign w:val="top"/>
                      </w:tcPr>
                      <w:p w14:paraId="73DA917C">
                        <w:pPr>
                          <w:spacing w:line="240" w:lineRule="exact"/>
                          <w:rPr>
                            <w:rFonts w:ascii="Arial"/>
                            <w:sz w:val="20"/>
                          </w:rPr>
                        </w:pPr>
                      </w:p>
                    </w:tc>
                  </w:tr>
                  <w:tr w14:paraId="143132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0" w:hRule="atLeast"/>
                    </w:trPr>
                    <w:tc>
                      <w:tcPr>
                        <w:tcW w:w="883" w:type="dxa"/>
                        <w:vMerge w:val="continue"/>
                        <w:tcBorders>
                          <w:top w:val="nil"/>
                          <w:bottom w:val="nil"/>
                        </w:tcBorders>
                        <w:vAlign w:val="top"/>
                      </w:tcPr>
                      <w:p w14:paraId="1D4A6468">
                        <w:pPr>
                          <w:rPr>
                            <w:rFonts w:ascii="Arial"/>
                            <w:sz w:val="21"/>
                          </w:rPr>
                        </w:pPr>
                      </w:p>
                    </w:tc>
                    <w:tc>
                      <w:tcPr>
                        <w:tcW w:w="2324" w:type="dxa"/>
                        <w:vMerge w:val="continue"/>
                        <w:tcBorders>
                          <w:top w:val="nil"/>
                          <w:bottom w:val="nil"/>
                        </w:tcBorders>
                        <w:vAlign w:val="top"/>
                      </w:tcPr>
                      <w:p w14:paraId="64253216">
                        <w:pPr>
                          <w:rPr>
                            <w:rFonts w:ascii="Arial"/>
                            <w:sz w:val="21"/>
                          </w:rPr>
                        </w:pPr>
                      </w:p>
                    </w:tc>
                    <w:tc>
                      <w:tcPr>
                        <w:tcW w:w="219" w:type="dxa"/>
                        <w:vAlign w:val="top"/>
                      </w:tcPr>
                      <w:p w14:paraId="164E2CBE">
                        <w:pPr>
                          <w:spacing w:line="230" w:lineRule="exact"/>
                          <w:rPr>
                            <w:rFonts w:ascii="Arial"/>
                            <w:sz w:val="20"/>
                          </w:rPr>
                        </w:pPr>
                      </w:p>
                    </w:tc>
                    <w:tc>
                      <w:tcPr>
                        <w:tcW w:w="240" w:type="dxa"/>
                        <w:vAlign w:val="top"/>
                      </w:tcPr>
                      <w:p w14:paraId="6110C440">
                        <w:pPr>
                          <w:pStyle w:val="6"/>
                          <w:spacing w:before="60" w:line="223" w:lineRule="auto"/>
                          <w:ind w:left="48"/>
                          <w:rPr>
                            <w:sz w:val="14"/>
                            <w:szCs w:val="14"/>
                          </w:rPr>
                        </w:pPr>
                        <w:r>
                          <w:rPr>
                            <w:sz w:val="14"/>
                            <w:szCs w:val="14"/>
                          </w:rPr>
                          <w:t>√</w:t>
                        </w:r>
                      </w:p>
                    </w:tc>
                    <w:tc>
                      <w:tcPr>
                        <w:tcW w:w="239" w:type="dxa"/>
                        <w:vAlign w:val="top"/>
                      </w:tcPr>
                      <w:p w14:paraId="04FD019A">
                        <w:pPr>
                          <w:spacing w:line="230" w:lineRule="exact"/>
                          <w:rPr>
                            <w:rFonts w:ascii="Arial"/>
                            <w:sz w:val="20"/>
                          </w:rPr>
                        </w:pPr>
                      </w:p>
                    </w:tc>
                    <w:tc>
                      <w:tcPr>
                        <w:tcW w:w="225" w:type="dxa"/>
                        <w:vAlign w:val="top"/>
                      </w:tcPr>
                      <w:p w14:paraId="2AC107BB">
                        <w:pPr>
                          <w:spacing w:line="230" w:lineRule="exact"/>
                          <w:rPr>
                            <w:rFonts w:ascii="Arial"/>
                            <w:sz w:val="20"/>
                          </w:rPr>
                        </w:pPr>
                      </w:p>
                    </w:tc>
                  </w:tr>
                  <w:tr w14:paraId="197D01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0" w:hRule="atLeast"/>
                    </w:trPr>
                    <w:tc>
                      <w:tcPr>
                        <w:tcW w:w="883" w:type="dxa"/>
                        <w:vMerge w:val="continue"/>
                        <w:tcBorders>
                          <w:top w:val="nil"/>
                        </w:tcBorders>
                        <w:vAlign w:val="top"/>
                      </w:tcPr>
                      <w:p w14:paraId="7E22CF29">
                        <w:pPr>
                          <w:rPr>
                            <w:rFonts w:ascii="Arial"/>
                            <w:sz w:val="21"/>
                          </w:rPr>
                        </w:pPr>
                      </w:p>
                    </w:tc>
                    <w:tc>
                      <w:tcPr>
                        <w:tcW w:w="2324" w:type="dxa"/>
                        <w:vMerge w:val="continue"/>
                        <w:tcBorders>
                          <w:top w:val="nil"/>
                        </w:tcBorders>
                        <w:vAlign w:val="top"/>
                      </w:tcPr>
                      <w:p w14:paraId="55189784">
                        <w:pPr>
                          <w:rPr>
                            <w:rFonts w:ascii="Arial"/>
                            <w:sz w:val="21"/>
                          </w:rPr>
                        </w:pPr>
                      </w:p>
                    </w:tc>
                    <w:tc>
                      <w:tcPr>
                        <w:tcW w:w="219" w:type="dxa"/>
                        <w:vAlign w:val="top"/>
                      </w:tcPr>
                      <w:p w14:paraId="644FF7A4">
                        <w:pPr>
                          <w:spacing w:line="230" w:lineRule="exact"/>
                          <w:rPr>
                            <w:rFonts w:ascii="Arial"/>
                            <w:sz w:val="20"/>
                          </w:rPr>
                        </w:pPr>
                      </w:p>
                    </w:tc>
                    <w:tc>
                      <w:tcPr>
                        <w:tcW w:w="240" w:type="dxa"/>
                        <w:vAlign w:val="top"/>
                      </w:tcPr>
                      <w:p w14:paraId="69D5B5B2">
                        <w:pPr>
                          <w:pStyle w:val="6"/>
                          <w:spacing w:before="60" w:line="223" w:lineRule="auto"/>
                          <w:ind w:left="48"/>
                          <w:rPr>
                            <w:sz w:val="14"/>
                            <w:szCs w:val="14"/>
                          </w:rPr>
                        </w:pPr>
                        <w:r>
                          <w:rPr>
                            <w:sz w:val="14"/>
                            <w:szCs w:val="14"/>
                          </w:rPr>
                          <w:t>√</w:t>
                        </w:r>
                      </w:p>
                    </w:tc>
                    <w:tc>
                      <w:tcPr>
                        <w:tcW w:w="239" w:type="dxa"/>
                        <w:vAlign w:val="top"/>
                      </w:tcPr>
                      <w:p w14:paraId="1CF654DA">
                        <w:pPr>
                          <w:spacing w:line="230" w:lineRule="exact"/>
                          <w:rPr>
                            <w:rFonts w:ascii="Arial"/>
                            <w:sz w:val="20"/>
                          </w:rPr>
                        </w:pPr>
                      </w:p>
                    </w:tc>
                    <w:tc>
                      <w:tcPr>
                        <w:tcW w:w="225" w:type="dxa"/>
                        <w:vAlign w:val="top"/>
                      </w:tcPr>
                      <w:p w14:paraId="6723CFCB">
                        <w:pPr>
                          <w:spacing w:line="230" w:lineRule="exact"/>
                          <w:rPr>
                            <w:rFonts w:ascii="Arial"/>
                            <w:sz w:val="20"/>
                          </w:rPr>
                        </w:pPr>
                      </w:p>
                    </w:tc>
                  </w:tr>
                  <w:tr w14:paraId="12151A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9" w:hRule="atLeast"/>
                    </w:trPr>
                    <w:tc>
                      <w:tcPr>
                        <w:tcW w:w="883" w:type="dxa"/>
                        <w:vMerge w:val="restart"/>
                        <w:tcBorders>
                          <w:bottom w:val="nil"/>
                        </w:tcBorders>
                        <w:vAlign w:val="top"/>
                      </w:tcPr>
                      <w:p w14:paraId="1800FE86">
                        <w:pPr>
                          <w:spacing w:line="260" w:lineRule="auto"/>
                          <w:rPr>
                            <w:rFonts w:ascii="Arial"/>
                            <w:sz w:val="21"/>
                          </w:rPr>
                        </w:pPr>
                      </w:p>
                      <w:p w14:paraId="369B8131">
                        <w:pPr>
                          <w:spacing w:line="261" w:lineRule="auto"/>
                          <w:rPr>
                            <w:rFonts w:ascii="Arial"/>
                            <w:sz w:val="21"/>
                          </w:rPr>
                        </w:pPr>
                      </w:p>
                      <w:p w14:paraId="469EDEA2">
                        <w:pPr>
                          <w:pStyle w:val="6"/>
                          <w:spacing w:before="59" w:line="234" w:lineRule="auto"/>
                          <w:ind w:left="344"/>
                          <w:rPr>
                            <w:sz w:val="18"/>
                            <w:szCs w:val="18"/>
                          </w:rPr>
                        </w:pPr>
                        <w:r>
                          <w:rPr>
                            <w:sz w:val="18"/>
                            <w:szCs w:val="18"/>
                          </w:rPr>
                          <w:t>心</w:t>
                        </w:r>
                      </w:p>
                    </w:tc>
                    <w:tc>
                      <w:tcPr>
                        <w:tcW w:w="2324" w:type="dxa"/>
                        <w:vMerge w:val="restart"/>
                        <w:tcBorders>
                          <w:bottom w:val="nil"/>
                        </w:tcBorders>
                        <w:vAlign w:val="top"/>
                      </w:tcPr>
                      <w:p w14:paraId="457850DE">
                        <w:pPr>
                          <w:pStyle w:val="6"/>
                          <w:spacing w:before="39" w:line="225" w:lineRule="auto"/>
                          <w:ind w:left="2" w:right="134" w:firstLine="10"/>
                          <w:rPr>
                            <w:sz w:val="18"/>
                            <w:szCs w:val="18"/>
                          </w:rPr>
                        </w:pPr>
                        <w:r>
                          <w:rPr>
                            <w:sz w:val="18"/>
                            <w:szCs w:val="18"/>
                          </w:rPr>
                          <w:t>1.心的位置、外形和心的体</w:t>
                        </w:r>
                        <w:r>
                          <w:rPr>
                            <w:spacing w:val="6"/>
                            <w:sz w:val="18"/>
                            <w:szCs w:val="18"/>
                          </w:rPr>
                          <w:t xml:space="preserve"> </w:t>
                        </w:r>
                        <w:r>
                          <w:rPr>
                            <w:spacing w:val="-2"/>
                            <w:sz w:val="18"/>
                            <w:szCs w:val="18"/>
                          </w:rPr>
                          <w:t>表投影</w:t>
                        </w:r>
                      </w:p>
                      <w:p w14:paraId="33060C82">
                        <w:pPr>
                          <w:pStyle w:val="6"/>
                          <w:spacing w:line="219" w:lineRule="auto"/>
                          <w:ind w:left="2"/>
                          <w:rPr>
                            <w:sz w:val="18"/>
                            <w:szCs w:val="18"/>
                          </w:rPr>
                        </w:pPr>
                        <w:r>
                          <w:rPr>
                            <w:spacing w:val="1"/>
                            <w:sz w:val="18"/>
                            <w:szCs w:val="18"/>
                          </w:rPr>
                          <w:t>2.各心腔的主要结构</w:t>
                        </w:r>
                      </w:p>
                      <w:p w14:paraId="2300861E">
                        <w:pPr>
                          <w:pStyle w:val="6"/>
                          <w:spacing w:before="16" w:line="210" w:lineRule="auto"/>
                          <w:ind w:left="2" w:right="162"/>
                          <w:rPr>
                            <w:sz w:val="18"/>
                            <w:szCs w:val="18"/>
                          </w:rPr>
                        </w:pPr>
                        <w:r>
                          <w:rPr>
                            <w:spacing w:val="-1"/>
                            <w:sz w:val="18"/>
                            <w:szCs w:val="18"/>
                          </w:rPr>
                          <w:t>3.左右冠状动脉的起始及其</w:t>
                        </w:r>
                        <w:r>
                          <w:rPr>
                            <w:spacing w:val="1"/>
                            <w:sz w:val="18"/>
                            <w:szCs w:val="18"/>
                          </w:rPr>
                          <w:t xml:space="preserve"> </w:t>
                        </w:r>
                        <w:r>
                          <w:rPr>
                            <w:spacing w:val="4"/>
                            <w:sz w:val="18"/>
                            <w:szCs w:val="18"/>
                          </w:rPr>
                          <w:t>分布范围</w:t>
                        </w:r>
                      </w:p>
                      <w:p w14:paraId="22252D2F">
                        <w:pPr>
                          <w:pStyle w:val="6"/>
                          <w:spacing w:line="194" w:lineRule="auto"/>
                          <w:jc w:val="right"/>
                          <w:rPr>
                            <w:sz w:val="18"/>
                            <w:szCs w:val="18"/>
                          </w:rPr>
                        </w:pPr>
                        <w:r>
                          <w:rPr>
                            <w:spacing w:val="-3"/>
                            <w:sz w:val="18"/>
                            <w:szCs w:val="18"/>
                          </w:rPr>
                          <w:t>4.心包的构成和心包腔的概念</w:t>
                        </w:r>
                      </w:p>
                    </w:tc>
                    <w:tc>
                      <w:tcPr>
                        <w:tcW w:w="219" w:type="dxa"/>
                        <w:vAlign w:val="top"/>
                      </w:tcPr>
                      <w:p w14:paraId="1743A241">
                        <w:pPr>
                          <w:rPr>
                            <w:rFonts w:ascii="Arial"/>
                            <w:sz w:val="21"/>
                          </w:rPr>
                        </w:pPr>
                      </w:p>
                    </w:tc>
                    <w:tc>
                      <w:tcPr>
                        <w:tcW w:w="240" w:type="dxa"/>
                        <w:vAlign w:val="top"/>
                      </w:tcPr>
                      <w:p w14:paraId="5AC3D826">
                        <w:pPr>
                          <w:pStyle w:val="6"/>
                          <w:spacing w:before="140" w:line="238" w:lineRule="auto"/>
                          <w:ind w:left="48"/>
                          <w:rPr>
                            <w:sz w:val="14"/>
                            <w:szCs w:val="14"/>
                          </w:rPr>
                        </w:pPr>
                        <w:r>
                          <w:rPr>
                            <w:sz w:val="14"/>
                            <w:szCs w:val="14"/>
                          </w:rPr>
                          <w:t>√</w:t>
                        </w:r>
                      </w:p>
                    </w:tc>
                    <w:tc>
                      <w:tcPr>
                        <w:tcW w:w="239" w:type="dxa"/>
                        <w:vAlign w:val="top"/>
                      </w:tcPr>
                      <w:p w14:paraId="098788C6">
                        <w:pPr>
                          <w:rPr>
                            <w:rFonts w:ascii="Arial"/>
                            <w:sz w:val="21"/>
                          </w:rPr>
                        </w:pPr>
                      </w:p>
                    </w:tc>
                    <w:tc>
                      <w:tcPr>
                        <w:tcW w:w="225" w:type="dxa"/>
                        <w:vAlign w:val="top"/>
                      </w:tcPr>
                      <w:p w14:paraId="2A44CAEB">
                        <w:pPr>
                          <w:rPr>
                            <w:rFonts w:ascii="Arial"/>
                            <w:sz w:val="21"/>
                          </w:rPr>
                        </w:pPr>
                      </w:p>
                    </w:tc>
                  </w:tr>
                  <w:tr w14:paraId="4F489D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 w:hRule="atLeast"/>
                    </w:trPr>
                    <w:tc>
                      <w:tcPr>
                        <w:tcW w:w="883" w:type="dxa"/>
                        <w:vMerge w:val="continue"/>
                        <w:tcBorders>
                          <w:top w:val="nil"/>
                          <w:bottom w:val="nil"/>
                        </w:tcBorders>
                        <w:vAlign w:val="top"/>
                      </w:tcPr>
                      <w:p w14:paraId="1C95CE5A">
                        <w:pPr>
                          <w:rPr>
                            <w:rFonts w:ascii="Arial"/>
                            <w:sz w:val="21"/>
                          </w:rPr>
                        </w:pPr>
                      </w:p>
                    </w:tc>
                    <w:tc>
                      <w:tcPr>
                        <w:tcW w:w="2324" w:type="dxa"/>
                        <w:vMerge w:val="continue"/>
                        <w:tcBorders>
                          <w:top w:val="nil"/>
                          <w:bottom w:val="nil"/>
                        </w:tcBorders>
                        <w:vAlign w:val="top"/>
                      </w:tcPr>
                      <w:p w14:paraId="38296EBE">
                        <w:pPr>
                          <w:rPr>
                            <w:rFonts w:ascii="Arial"/>
                            <w:sz w:val="21"/>
                          </w:rPr>
                        </w:pPr>
                      </w:p>
                    </w:tc>
                    <w:tc>
                      <w:tcPr>
                        <w:tcW w:w="219" w:type="dxa"/>
                        <w:vAlign w:val="top"/>
                      </w:tcPr>
                      <w:p w14:paraId="1E80066F">
                        <w:pPr>
                          <w:rPr>
                            <w:rFonts w:ascii="Arial"/>
                            <w:sz w:val="21"/>
                          </w:rPr>
                        </w:pPr>
                      </w:p>
                    </w:tc>
                    <w:tc>
                      <w:tcPr>
                        <w:tcW w:w="240" w:type="dxa"/>
                        <w:vAlign w:val="top"/>
                      </w:tcPr>
                      <w:p w14:paraId="62B15CF1">
                        <w:pPr>
                          <w:rPr>
                            <w:rFonts w:ascii="Arial"/>
                            <w:sz w:val="21"/>
                          </w:rPr>
                        </w:pPr>
                      </w:p>
                    </w:tc>
                    <w:tc>
                      <w:tcPr>
                        <w:tcW w:w="239" w:type="dxa"/>
                        <w:vAlign w:val="top"/>
                      </w:tcPr>
                      <w:p w14:paraId="4ECD3231">
                        <w:pPr>
                          <w:rPr>
                            <w:rFonts w:ascii="Arial"/>
                            <w:sz w:val="21"/>
                          </w:rPr>
                        </w:pPr>
                      </w:p>
                    </w:tc>
                    <w:tc>
                      <w:tcPr>
                        <w:tcW w:w="225" w:type="dxa"/>
                        <w:vAlign w:val="top"/>
                      </w:tcPr>
                      <w:p w14:paraId="1ECDD3AA">
                        <w:pPr>
                          <w:rPr>
                            <w:rFonts w:ascii="Arial"/>
                            <w:sz w:val="21"/>
                          </w:rPr>
                        </w:pPr>
                      </w:p>
                    </w:tc>
                  </w:tr>
                  <w:tr w14:paraId="57A29F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9" w:hRule="atLeast"/>
                    </w:trPr>
                    <w:tc>
                      <w:tcPr>
                        <w:tcW w:w="883" w:type="dxa"/>
                        <w:vMerge w:val="continue"/>
                        <w:tcBorders>
                          <w:top w:val="nil"/>
                          <w:bottom w:val="nil"/>
                        </w:tcBorders>
                        <w:vAlign w:val="top"/>
                      </w:tcPr>
                      <w:p w14:paraId="4CAF857F">
                        <w:pPr>
                          <w:rPr>
                            <w:rFonts w:ascii="Arial"/>
                            <w:sz w:val="21"/>
                          </w:rPr>
                        </w:pPr>
                      </w:p>
                    </w:tc>
                    <w:tc>
                      <w:tcPr>
                        <w:tcW w:w="2324" w:type="dxa"/>
                        <w:vMerge w:val="continue"/>
                        <w:tcBorders>
                          <w:top w:val="nil"/>
                          <w:bottom w:val="nil"/>
                        </w:tcBorders>
                        <w:vAlign w:val="top"/>
                      </w:tcPr>
                      <w:p w14:paraId="143B2E00">
                        <w:pPr>
                          <w:rPr>
                            <w:rFonts w:ascii="Arial"/>
                            <w:sz w:val="21"/>
                          </w:rPr>
                        </w:pPr>
                      </w:p>
                    </w:tc>
                    <w:tc>
                      <w:tcPr>
                        <w:tcW w:w="219" w:type="dxa"/>
                        <w:vAlign w:val="top"/>
                      </w:tcPr>
                      <w:p w14:paraId="0F53F8D8">
                        <w:pPr>
                          <w:rPr>
                            <w:rFonts w:ascii="Arial"/>
                            <w:sz w:val="21"/>
                          </w:rPr>
                        </w:pPr>
                      </w:p>
                    </w:tc>
                    <w:tc>
                      <w:tcPr>
                        <w:tcW w:w="240" w:type="dxa"/>
                        <w:vAlign w:val="top"/>
                      </w:tcPr>
                      <w:p w14:paraId="559E72C3">
                        <w:pPr>
                          <w:rPr>
                            <w:rFonts w:ascii="Arial"/>
                            <w:sz w:val="21"/>
                          </w:rPr>
                        </w:pPr>
                      </w:p>
                    </w:tc>
                    <w:tc>
                      <w:tcPr>
                        <w:tcW w:w="239" w:type="dxa"/>
                        <w:vAlign w:val="top"/>
                      </w:tcPr>
                      <w:p w14:paraId="412C4429">
                        <w:pPr>
                          <w:pStyle w:val="6"/>
                          <w:spacing w:before="131" w:line="238" w:lineRule="auto"/>
                          <w:ind w:left="49"/>
                          <w:rPr>
                            <w:sz w:val="14"/>
                            <w:szCs w:val="14"/>
                          </w:rPr>
                        </w:pPr>
                        <w:r>
                          <w:rPr>
                            <w:sz w:val="14"/>
                            <w:szCs w:val="14"/>
                          </w:rPr>
                          <w:t>√</w:t>
                        </w:r>
                      </w:p>
                    </w:tc>
                    <w:tc>
                      <w:tcPr>
                        <w:tcW w:w="225" w:type="dxa"/>
                        <w:vAlign w:val="top"/>
                      </w:tcPr>
                      <w:p w14:paraId="7F9BFC37">
                        <w:pPr>
                          <w:rPr>
                            <w:rFonts w:ascii="Arial"/>
                            <w:sz w:val="21"/>
                          </w:rPr>
                        </w:pPr>
                      </w:p>
                    </w:tc>
                  </w:tr>
                  <w:tr w14:paraId="18563D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0" w:hRule="atLeast"/>
                    </w:trPr>
                    <w:tc>
                      <w:tcPr>
                        <w:tcW w:w="883" w:type="dxa"/>
                        <w:vMerge w:val="continue"/>
                        <w:tcBorders>
                          <w:top w:val="nil"/>
                        </w:tcBorders>
                        <w:vAlign w:val="top"/>
                      </w:tcPr>
                      <w:p w14:paraId="2A00CA76">
                        <w:pPr>
                          <w:rPr>
                            <w:rFonts w:ascii="Arial"/>
                            <w:sz w:val="21"/>
                          </w:rPr>
                        </w:pPr>
                      </w:p>
                    </w:tc>
                    <w:tc>
                      <w:tcPr>
                        <w:tcW w:w="2324" w:type="dxa"/>
                        <w:vMerge w:val="continue"/>
                        <w:tcBorders>
                          <w:top w:val="nil"/>
                        </w:tcBorders>
                        <w:vAlign w:val="top"/>
                      </w:tcPr>
                      <w:p w14:paraId="157055EA">
                        <w:pPr>
                          <w:rPr>
                            <w:rFonts w:ascii="Arial"/>
                            <w:sz w:val="21"/>
                          </w:rPr>
                        </w:pPr>
                      </w:p>
                    </w:tc>
                    <w:tc>
                      <w:tcPr>
                        <w:tcW w:w="219" w:type="dxa"/>
                        <w:vAlign w:val="top"/>
                      </w:tcPr>
                      <w:p w14:paraId="61FAD4EC">
                        <w:pPr>
                          <w:spacing w:line="240" w:lineRule="exact"/>
                          <w:rPr>
                            <w:rFonts w:ascii="Arial"/>
                            <w:sz w:val="20"/>
                          </w:rPr>
                        </w:pPr>
                      </w:p>
                    </w:tc>
                    <w:tc>
                      <w:tcPr>
                        <w:tcW w:w="240" w:type="dxa"/>
                        <w:vAlign w:val="top"/>
                      </w:tcPr>
                      <w:p w14:paraId="51CC70D1">
                        <w:pPr>
                          <w:pStyle w:val="6"/>
                          <w:spacing w:before="72" w:line="221" w:lineRule="auto"/>
                          <w:ind w:left="19"/>
                          <w:rPr>
                            <w:sz w:val="14"/>
                            <w:szCs w:val="14"/>
                          </w:rPr>
                        </w:pPr>
                        <w:r>
                          <w:rPr>
                            <w:sz w:val="14"/>
                            <w:szCs w:val="14"/>
                          </w:rPr>
                          <w:t>√</w:t>
                        </w:r>
                      </w:p>
                    </w:tc>
                    <w:tc>
                      <w:tcPr>
                        <w:tcW w:w="239" w:type="dxa"/>
                        <w:vAlign w:val="top"/>
                      </w:tcPr>
                      <w:p w14:paraId="7A0A2297">
                        <w:pPr>
                          <w:spacing w:line="240" w:lineRule="exact"/>
                          <w:rPr>
                            <w:rFonts w:ascii="Arial"/>
                            <w:sz w:val="20"/>
                          </w:rPr>
                        </w:pPr>
                      </w:p>
                    </w:tc>
                    <w:tc>
                      <w:tcPr>
                        <w:tcW w:w="225" w:type="dxa"/>
                        <w:vAlign w:val="top"/>
                      </w:tcPr>
                      <w:p w14:paraId="00DDE448">
                        <w:pPr>
                          <w:spacing w:line="240" w:lineRule="exact"/>
                          <w:rPr>
                            <w:rFonts w:ascii="Arial"/>
                            <w:sz w:val="20"/>
                          </w:rPr>
                        </w:pPr>
                      </w:p>
                    </w:tc>
                  </w:tr>
                  <w:tr w14:paraId="588C6F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0" w:hRule="atLeast"/>
                    </w:trPr>
                    <w:tc>
                      <w:tcPr>
                        <w:tcW w:w="883" w:type="dxa"/>
                        <w:vMerge w:val="restart"/>
                        <w:tcBorders>
                          <w:bottom w:val="nil"/>
                        </w:tcBorders>
                        <w:vAlign w:val="top"/>
                      </w:tcPr>
                      <w:p w14:paraId="4A062C91">
                        <w:pPr>
                          <w:spacing w:line="274" w:lineRule="auto"/>
                          <w:rPr>
                            <w:rFonts w:ascii="Arial"/>
                            <w:sz w:val="21"/>
                          </w:rPr>
                        </w:pPr>
                      </w:p>
                      <w:p w14:paraId="017F64ED">
                        <w:pPr>
                          <w:spacing w:line="274" w:lineRule="auto"/>
                          <w:rPr>
                            <w:rFonts w:ascii="Arial"/>
                            <w:sz w:val="21"/>
                          </w:rPr>
                        </w:pPr>
                      </w:p>
                      <w:p w14:paraId="319C5B6F">
                        <w:pPr>
                          <w:spacing w:line="275" w:lineRule="auto"/>
                          <w:rPr>
                            <w:rFonts w:ascii="Arial"/>
                            <w:sz w:val="21"/>
                          </w:rPr>
                        </w:pPr>
                      </w:p>
                      <w:p w14:paraId="4154555A">
                        <w:pPr>
                          <w:spacing w:line="275" w:lineRule="auto"/>
                          <w:rPr>
                            <w:rFonts w:ascii="Arial"/>
                            <w:sz w:val="21"/>
                          </w:rPr>
                        </w:pPr>
                      </w:p>
                      <w:p w14:paraId="4BDEF736">
                        <w:pPr>
                          <w:spacing w:line="275" w:lineRule="auto"/>
                          <w:rPr>
                            <w:rFonts w:ascii="Arial"/>
                            <w:sz w:val="21"/>
                          </w:rPr>
                        </w:pPr>
                      </w:p>
                      <w:p w14:paraId="3F5B4BD9">
                        <w:pPr>
                          <w:pStyle w:val="6"/>
                          <w:spacing w:before="58" w:line="218" w:lineRule="auto"/>
                          <w:ind w:left="251" w:hanging="177"/>
                          <w:rPr>
                            <w:sz w:val="18"/>
                            <w:szCs w:val="18"/>
                          </w:rPr>
                        </w:pPr>
                        <w:r>
                          <w:rPr>
                            <w:spacing w:val="19"/>
                            <w:sz w:val="18"/>
                            <w:szCs w:val="18"/>
                          </w:rPr>
                          <w:t>体循环、</w:t>
                        </w:r>
                        <w:r>
                          <w:rPr>
                            <w:spacing w:val="1"/>
                            <w:sz w:val="18"/>
                            <w:szCs w:val="18"/>
                          </w:rPr>
                          <w:t xml:space="preserve"> </w:t>
                        </w:r>
                        <w:r>
                          <w:rPr>
                            <w:spacing w:val="-4"/>
                            <w:sz w:val="18"/>
                            <w:szCs w:val="18"/>
                          </w:rPr>
                          <w:t>动脉</w:t>
                        </w:r>
                      </w:p>
                    </w:tc>
                    <w:tc>
                      <w:tcPr>
                        <w:tcW w:w="2324" w:type="dxa"/>
                        <w:vMerge w:val="restart"/>
                        <w:tcBorders>
                          <w:bottom w:val="nil"/>
                        </w:tcBorders>
                        <w:vAlign w:val="top"/>
                      </w:tcPr>
                      <w:p w14:paraId="77A59575">
                        <w:pPr>
                          <w:pStyle w:val="6"/>
                          <w:spacing w:before="110" w:line="223" w:lineRule="auto"/>
                          <w:ind w:left="2" w:firstLine="9"/>
                          <w:rPr>
                            <w:sz w:val="18"/>
                            <w:szCs w:val="18"/>
                          </w:rPr>
                        </w:pPr>
                        <w:r>
                          <w:rPr>
                            <w:spacing w:val="-3"/>
                            <w:sz w:val="18"/>
                            <w:szCs w:val="18"/>
                          </w:rPr>
                          <w:t>1.主动脉的起止、行程和分部</w:t>
                        </w:r>
                        <w:r>
                          <w:rPr>
                            <w:spacing w:val="3"/>
                            <w:sz w:val="18"/>
                            <w:szCs w:val="18"/>
                          </w:rPr>
                          <w:t xml:space="preserve"> </w:t>
                        </w:r>
                        <w:r>
                          <w:rPr>
                            <w:spacing w:val="-2"/>
                            <w:sz w:val="18"/>
                            <w:szCs w:val="18"/>
                          </w:rPr>
                          <w:t>2.主动脉弓的分支</w:t>
                        </w:r>
                      </w:p>
                      <w:p w14:paraId="77F98250">
                        <w:pPr>
                          <w:pStyle w:val="6"/>
                          <w:spacing w:before="6" w:line="221" w:lineRule="auto"/>
                          <w:ind w:left="2" w:right="152" w:firstLine="10"/>
                          <w:rPr>
                            <w:sz w:val="18"/>
                            <w:szCs w:val="18"/>
                          </w:rPr>
                        </w:pPr>
                        <w:r>
                          <w:rPr>
                            <w:spacing w:val="-1"/>
                            <w:sz w:val="18"/>
                            <w:szCs w:val="18"/>
                          </w:rPr>
                          <w:t>3.颈外动脉的主要分支及其</w:t>
                        </w:r>
                        <w:r>
                          <w:rPr>
                            <w:spacing w:val="1"/>
                            <w:sz w:val="18"/>
                            <w:szCs w:val="18"/>
                          </w:rPr>
                          <w:t xml:space="preserve"> </w:t>
                        </w:r>
                        <w:r>
                          <w:rPr>
                            <w:spacing w:val="-3"/>
                            <w:sz w:val="18"/>
                            <w:szCs w:val="18"/>
                          </w:rPr>
                          <w:t>分布</w:t>
                        </w:r>
                      </w:p>
                      <w:p w14:paraId="6DBBC0C0">
                        <w:pPr>
                          <w:pStyle w:val="6"/>
                          <w:spacing w:before="28" w:line="215" w:lineRule="auto"/>
                          <w:ind w:left="2" w:right="117" w:firstLine="20"/>
                          <w:rPr>
                            <w:sz w:val="18"/>
                            <w:szCs w:val="18"/>
                          </w:rPr>
                        </w:pPr>
                        <w:r>
                          <w:rPr>
                            <w:spacing w:val="1"/>
                            <w:sz w:val="18"/>
                            <w:szCs w:val="18"/>
                          </w:rPr>
                          <w:t>4.上肢动脉的名称、行程和</w:t>
                        </w:r>
                        <w:r>
                          <w:rPr>
                            <w:sz w:val="18"/>
                            <w:szCs w:val="18"/>
                          </w:rPr>
                          <w:t xml:space="preserve"> </w:t>
                        </w:r>
                        <w:r>
                          <w:rPr>
                            <w:spacing w:val="5"/>
                            <w:sz w:val="18"/>
                            <w:szCs w:val="18"/>
                          </w:rPr>
                          <w:t>临床应用</w:t>
                        </w:r>
                      </w:p>
                      <w:p w14:paraId="2795F81F">
                        <w:pPr>
                          <w:pStyle w:val="6"/>
                          <w:spacing w:line="219" w:lineRule="auto"/>
                          <w:ind w:left="2"/>
                          <w:rPr>
                            <w:sz w:val="18"/>
                            <w:szCs w:val="18"/>
                          </w:rPr>
                        </w:pPr>
                        <w:r>
                          <w:rPr>
                            <w:spacing w:val="-2"/>
                            <w:sz w:val="18"/>
                            <w:szCs w:val="18"/>
                          </w:rPr>
                          <w:t>5.腹主动脉的起止</w:t>
                        </w:r>
                      </w:p>
                      <w:p w14:paraId="6163D98A">
                        <w:pPr>
                          <w:pStyle w:val="6"/>
                          <w:spacing w:before="5" w:line="226" w:lineRule="auto"/>
                          <w:ind w:left="2" w:right="129" w:firstLine="10"/>
                          <w:rPr>
                            <w:sz w:val="18"/>
                            <w:szCs w:val="18"/>
                          </w:rPr>
                        </w:pPr>
                        <w:r>
                          <w:rPr>
                            <w:sz w:val="18"/>
                            <w:szCs w:val="18"/>
                          </w:rPr>
                          <w:t>6.腹腔干、肠系膜上、下动</w:t>
                        </w:r>
                        <w:r>
                          <w:rPr>
                            <w:spacing w:val="11"/>
                            <w:sz w:val="18"/>
                            <w:szCs w:val="18"/>
                          </w:rPr>
                          <w:t xml:space="preserve"> </w:t>
                        </w:r>
                        <w:r>
                          <w:rPr>
                            <w:spacing w:val="-1"/>
                            <w:sz w:val="18"/>
                            <w:szCs w:val="18"/>
                          </w:rPr>
                          <w:t>脉的起始、主要分支和分布</w:t>
                        </w:r>
                        <w:r>
                          <w:rPr>
                            <w:spacing w:val="2"/>
                            <w:sz w:val="18"/>
                            <w:szCs w:val="18"/>
                          </w:rPr>
                          <w:t xml:space="preserve"> </w:t>
                        </w:r>
                        <w:r>
                          <w:rPr>
                            <w:spacing w:val="-1"/>
                            <w:sz w:val="18"/>
                            <w:szCs w:val="18"/>
                          </w:rPr>
                          <w:t>7.肾动脉、睾丸动脉(卵巢</w:t>
                        </w:r>
                        <w:r>
                          <w:rPr>
                            <w:spacing w:val="5"/>
                            <w:sz w:val="18"/>
                            <w:szCs w:val="18"/>
                          </w:rPr>
                          <w:t xml:space="preserve">  </w:t>
                        </w:r>
                        <w:r>
                          <w:rPr>
                            <w:spacing w:val="-1"/>
                            <w:sz w:val="18"/>
                            <w:szCs w:val="18"/>
                          </w:rPr>
                          <w:t>动脉)的起始部位</w:t>
                        </w:r>
                      </w:p>
                      <w:p w14:paraId="4FFC0847">
                        <w:pPr>
                          <w:pStyle w:val="6"/>
                          <w:spacing w:line="225" w:lineRule="auto"/>
                          <w:ind w:left="2" w:right="139" w:firstLine="20"/>
                          <w:rPr>
                            <w:sz w:val="18"/>
                            <w:szCs w:val="18"/>
                          </w:rPr>
                        </w:pPr>
                        <w:r>
                          <w:rPr>
                            <w:spacing w:val="-1"/>
                            <w:sz w:val="18"/>
                            <w:szCs w:val="18"/>
                          </w:rPr>
                          <w:t>8.骼总动脉的主要分支名称</w:t>
                        </w:r>
                        <w:r>
                          <w:rPr>
                            <w:spacing w:val="4"/>
                            <w:sz w:val="18"/>
                            <w:szCs w:val="18"/>
                          </w:rPr>
                          <w:t xml:space="preserve"> </w:t>
                        </w:r>
                        <w:r>
                          <w:rPr>
                            <w:spacing w:val="-2"/>
                            <w:sz w:val="18"/>
                            <w:szCs w:val="18"/>
                          </w:rPr>
                          <w:t>及分布</w:t>
                        </w:r>
                      </w:p>
                      <w:p w14:paraId="331990D5">
                        <w:pPr>
                          <w:pStyle w:val="6"/>
                          <w:spacing w:line="218" w:lineRule="auto"/>
                          <w:ind w:left="2"/>
                          <w:rPr>
                            <w:sz w:val="18"/>
                            <w:szCs w:val="18"/>
                          </w:rPr>
                        </w:pPr>
                        <w:r>
                          <w:rPr>
                            <w:spacing w:val="-1"/>
                            <w:sz w:val="18"/>
                            <w:szCs w:val="18"/>
                          </w:rPr>
                          <w:t>9.下肢动脉干的名称和位置</w:t>
                        </w:r>
                      </w:p>
                    </w:tc>
                    <w:tc>
                      <w:tcPr>
                        <w:tcW w:w="219" w:type="dxa"/>
                        <w:vAlign w:val="top"/>
                      </w:tcPr>
                      <w:p w14:paraId="67A52B50">
                        <w:pPr>
                          <w:spacing w:line="240" w:lineRule="exact"/>
                          <w:rPr>
                            <w:rFonts w:ascii="Arial"/>
                            <w:sz w:val="20"/>
                          </w:rPr>
                        </w:pPr>
                      </w:p>
                    </w:tc>
                    <w:tc>
                      <w:tcPr>
                        <w:tcW w:w="240" w:type="dxa"/>
                        <w:vAlign w:val="top"/>
                      </w:tcPr>
                      <w:p w14:paraId="171E8329">
                        <w:pPr>
                          <w:pStyle w:val="6"/>
                          <w:spacing w:before="72" w:line="221" w:lineRule="auto"/>
                          <w:ind w:left="8"/>
                          <w:rPr>
                            <w:sz w:val="14"/>
                            <w:szCs w:val="14"/>
                          </w:rPr>
                        </w:pPr>
                        <w:r>
                          <w:rPr>
                            <w:spacing w:val="-20"/>
                            <w:sz w:val="14"/>
                            <w:szCs w:val="14"/>
                          </w:rPr>
                          <w:t>√I</w:t>
                        </w:r>
                      </w:p>
                    </w:tc>
                    <w:tc>
                      <w:tcPr>
                        <w:tcW w:w="239" w:type="dxa"/>
                        <w:vAlign w:val="top"/>
                      </w:tcPr>
                      <w:p w14:paraId="526A73B2">
                        <w:pPr>
                          <w:spacing w:line="240" w:lineRule="exact"/>
                          <w:rPr>
                            <w:rFonts w:ascii="Arial"/>
                            <w:sz w:val="20"/>
                          </w:rPr>
                        </w:pPr>
                      </w:p>
                    </w:tc>
                    <w:tc>
                      <w:tcPr>
                        <w:tcW w:w="225" w:type="dxa"/>
                        <w:vAlign w:val="top"/>
                      </w:tcPr>
                      <w:p w14:paraId="366D8CBC">
                        <w:pPr>
                          <w:spacing w:line="240" w:lineRule="exact"/>
                          <w:rPr>
                            <w:rFonts w:ascii="Arial"/>
                            <w:sz w:val="20"/>
                          </w:rPr>
                        </w:pPr>
                      </w:p>
                    </w:tc>
                  </w:tr>
                  <w:tr w14:paraId="17A23C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0" w:hRule="atLeast"/>
                    </w:trPr>
                    <w:tc>
                      <w:tcPr>
                        <w:tcW w:w="883" w:type="dxa"/>
                        <w:vMerge w:val="continue"/>
                        <w:tcBorders>
                          <w:top w:val="nil"/>
                          <w:bottom w:val="nil"/>
                        </w:tcBorders>
                        <w:vAlign w:val="top"/>
                      </w:tcPr>
                      <w:p w14:paraId="1BC5B85C">
                        <w:pPr>
                          <w:rPr>
                            <w:rFonts w:ascii="Arial"/>
                            <w:sz w:val="21"/>
                          </w:rPr>
                        </w:pPr>
                      </w:p>
                    </w:tc>
                    <w:tc>
                      <w:tcPr>
                        <w:tcW w:w="2324" w:type="dxa"/>
                        <w:vMerge w:val="continue"/>
                        <w:tcBorders>
                          <w:top w:val="nil"/>
                          <w:bottom w:val="nil"/>
                        </w:tcBorders>
                        <w:vAlign w:val="top"/>
                      </w:tcPr>
                      <w:p w14:paraId="7B233C3B">
                        <w:pPr>
                          <w:rPr>
                            <w:rFonts w:ascii="Arial"/>
                            <w:sz w:val="21"/>
                          </w:rPr>
                        </w:pPr>
                      </w:p>
                    </w:tc>
                    <w:tc>
                      <w:tcPr>
                        <w:tcW w:w="219" w:type="dxa"/>
                        <w:vAlign w:val="top"/>
                      </w:tcPr>
                      <w:p w14:paraId="75D9DB13">
                        <w:pPr>
                          <w:pStyle w:val="6"/>
                          <w:spacing w:before="62" w:line="221" w:lineRule="auto"/>
                          <w:ind w:left="17"/>
                          <w:rPr>
                            <w:sz w:val="14"/>
                            <w:szCs w:val="14"/>
                          </w:rPr>
                        </w:pPr>
                        <w:r>
                          <w:rPr>
                            <w:sz w:val="14"/>
                            <w:szCs w:val="14"/>
                          </w:rPr>
                          <w:t>√</w:t>
                        </w:r>
                      </w:p>
                    </w:tc>
                    <w:tc>
                      <w:tcPr>
                        <w:tcW w:w="240" w:type="dxa"/>
                        <w:vAlign w:val="top"/>
                      </w:tcPr>
                      <w:p w14:paraId="2F6E4FC5">
                        <w:pPr>
                          <w:spacing w:line="230" w:lineRule="exact"/>
                          <w:rPr>
                            <w:rFonts w:ascii="Arial"/>
                            <w:sz w:val="20"/>
                          </w:rPr>
                        </w:pPr>
                      </w:p>
                    </w:tc>
                    <w:tc>
                      <w:tcPr>
                        <w:tcW w:w="239" w:type="dxa"/>
                        <w:vAlign w:val="top"/>
                      </w:tcPr>
                      <w:p w14:paraId="6F5B5E8B">
                        <w:pPr>
                          <w:spacing w:line="230" w:lineRule="exact"/>
                          <w:rPr>
                            <w:rFonts w:ascii="Arial"/>
                            <w:sz w:val="20"/>
                          </w:rPr>
                        </w:pPr>
                      </w:p>
                    </w:tc>
                    <w:tc>
                      <w:tcPr>
                        <w:tcW w:w="225" w:type="dxa"/>
                        <w:vAlign w:val="top"/>
                      </w:tcPr>
                      <w:p w14:paraId="6D0B25F5">
                        <w:pPr>
                          <w:spacing w:line="230" w:lineRule="exact"/>
                          <w:rPr>
                            <w:rFonts w:ascii="Arial"/>
                            <w:sz w:val="20"/>
                          </w:rPr>
                        </w:pPr>
                      </w:p>
                    </w:tc>
                  </w:tr>
                  <w:tr w14:paraId="0B1949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9" w:hRule="atLeast"/>
                    </w:trPr>
                    <w:tc>
                      <w:tcPr>
                        <w:tcW w:w="883" w:type="dxa"/>
                        <w:vMerge w:val="continue"/>
                        <w:tcBorders>
                          <w:top w:val="nil"/>
                          <w:bottom w:val="nil"/>
                        </w:tcBorders>
                        <w:vAlign w:val="top"/>
                      </w:tcPr>
                      <w:p w14:paraId="6358FB5F">
                        <w:pPr>
                          <w:rPr>
                            <w:rFonts w:ascii="Arial"/>
                            <w:sz w:val="21"/>
                          </w:rPr>
                        </w:pPr>
                      </w:p>
                    </w:tc>
                    <w:tc>
                      <w:tcPr>
                        <w:tcW w:w="2324" w:type="dxa"/>
                        <w:vMerge w:val="continue"/>
                        <w:tcBorders>
                          <w:top w:val="nil"/>
                          <w:bottom w:val="nil"/>
                        </w:tcBorders>
                        <w:vAlign w:val="top"/>
                      </w:tcPr>
                      <w:p w14:paraId="09E9D684">
                        <w:pPr>
                          <w:rPr>
                            <w:rFonts w:ascii="Arial"/>
                            <w:sz w:val="21"/>
                          </w:rPr>
                        </w:pPr>
                      </w:p>
                    </w:tc>
                    <w:tc>
                      <w:tcPr>
                        <w:tcW w:w="219" w:type="dxa"/>
                        <w:vAlign w:val="top"/>
                      </w:tcPr>
                      <w:p w14:paraId="3AB95D16">
                        <w:pPr>
                          <w:pStyle w:val="6"/>
                          <w:spacing w:before="142" w:line="238" w:lineRule="auto"/>
                          <w:ind w:left="7"/>
                          <w:rPr>
                            <w:sz w:val="14"/>
                            <w:szCs w:val="14"/>
                          </w:rPr>
                        </w:pPr>
                        <w:r>
                          <w:rPr>
                            <w:sz w:val="14"/>
                            <w:szCs w:val="14"/>
                          </w:rPr>
                          <w:t>√</w:t>
                        </w:r>
                      </w:p>
                    </w:tc>
                    <w:tc>
                      <w:tcPr>
                        <w:tcW w:w="240" w:type="dxa"/>
                        <w:vAlign w:val="top"/>
                      </w:tcPr>
                      <w:p w14:paraId="76CB6449">
                        <w:pPr>
                          <w:rPr>
                            <w:rFonts w:ascii="Arial"/>
                            <w:sz w:val="21"/>
                          </w:rPr>
                        </w:pPr>
                      </w:p>
                    </w:tc>
                    <w:tc>
                      <w:tcPr>
                        <w:tcW w:w="239" w:type="dxa"/>
                        <w:vAlign w:val="top"/>
                      </w:tcPr>
                      <w:p w14:paraId="5F421A10">
                        <w:pPr>
                          <w:rPr>
                            <w:rFonts w:ascii="Arial"/>
                            <w:sz w:val="21"/>
                          </w:rPr>
                        </w:pPr>
                      </w:p>
                    </w:tc>
                    <w:tc>
                      <w:tcPr>
                        <w:tcW w:w="225" w:type="dxa"/>
                        <w:vAlign w:val="top"/>
                      </w:tcPr>
                      <w:p w14:paraId="2B648D74">
                        <w:pPr>
                          <w:rPr>
                            <w:rFonts w:ascii="Arial"/>
                            <w:sz w:val="21"/>
                          </w:rPr>
                        </w:pPr>
                      </w:p>
                    </w:tc>
                  </w:tr>
                  <w:tr w14:paraId="54E643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883" w:type="dxa"/>
                        <w:vMerge w:val="continue"/>
                        <w:tcBorders>
                          <w:top w:val="nil"/>
                          <w:bottom w:val="nil"/>
                        </w:tcBorders>
                        <w:vAlign w:val="top"/>
                      </w:tcPr>
                      <w:p w14:paraId="701EBBB2">
                        <w:pPr>
                          <w:rPr>
                            <w:rFonts w:ascii="Arial"/>
                            <w:sz w:val="21"/>
                          </w:rPr>
                        </w:pPr>
                      </w:p>
                    </w:tc>
                    <w:tc>
                      <w:tcPr>
                        <w:tcW w:w="2324" w:type="dxa"/>
                        <w:vMerge w:val="continue"/>
                        <w:tcBorders>
                          <w:top w:val="nil"/>
                          <w:bottom w:val="nil"/>
                        </w:tcBorders>
                        <w:vAlign w:val="top"/>
                      </w:tcPr>
                      <w:p w14:paraId="0733982F">
                        <w:pPr>
                          <w:rPr>
                            <w:rFonts w:ascii="Arial"/>
                            <w:sz w:val="21"/>
                          </w:rPr>
                        </w:pPr>
                      </w:p>
                    </w:tc>
                    <w:tc>
                      <w:tcPr>
                        <w:tcW w:w="219" w:type="dxa"/>
                        <w:vAlign w:val="top"/>
                      </w:tcPr>
                      <w:p w14:paraId="402FF373">
                        <w:pPr>
                          <w:pStyle w:val="6"/>
                          <w:spacing w:before="133" w:line="238" w:lineRule="auto"/>
                          <w:ind w:left="7"/>
                          <w:rPr>
                            <w:sz w:val="14"/>
                            <w:szCs w:val="14"/>
                          </w:rPr>
                        </w:pPr>
                        <w:r>
                          <w:rPr>
                            <w:sz w:val="14"/>
                            <w:szCs w:val="14"/>
                          </w:rPr>
                          <w:t>√</w:t>
                        </w:r>
                      </w:p>
                    </w:tc>
                    <w:tc>
                      <w:tcPr>
                        <w:tcW w:w="240" w:type="dxa"/>
                        <w:vAlign w:val="top"/>
                      </w:tcPr>
                      <w:p w14:paraId="4F57DDD4">
                        <w:pPr>
                          <w:rPr>
                            <w:rFonts w:ascii="Arial"/>
                            <w:sz w:val="21"/>
                          </w:rPr>
                        </w:pPr>
                      </w:p>
                    </w:tc>
                    <w:tc>
                      <w:tcPr>
                        <w:tcW w:w="239" w:type="dxa"/>
                        <w:vAlign w:val="top"/>
                      </w:tcPr>
                      <w:p w14:paraId="4FBD3F60">
                        <w:pPr>
                          <w:rPr>
                            <w:rFonts w:ascii="Arial"/>
                            <w:sz w:val="21"/>
                          </w:rPr>
                        </w:pPr>
                      </w:p>
                    </w:tc>
                    <w:tc>
                      <w:tcPr>
                        <w:tcW w:w="225" w:type="dxa"/>
                        <w:vAlign w:val="top"/>
                      </w:tcPr>
                      <w:p w14:paraId="60E6C4A7">
                        <w:pPr>
                          <w:rPr>
                            <w:rFonts w:ascii="Arial"/>
                            <w:sz w:val="21"/>
                          </w:rPr>
                        </w:pPr>
                      </w:p>
                    </w:tc>
                  </w:tr>
                  <w:tr w14:paraId="6DDA6A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9" w:hRule="atLeast"/>
                    </w:trPr>
                    <w:tc>
                      <w:tcPr>
                        <w:tcW w:w="883" w:type="dxa"/>
                        <w:vMerge w:val="continue"/>
                        <w:tcBorders>
                          <w:top w:val="nil"/>
                          <w:bottom w:val="nil"/>
                        </w:tcBorders>
                        <w:vAlign w:val="top"/>
                      </w:tcPr>
                      <w:p w14:paraId="0E6233E3">
                        <w:pPr>
                          <w:rPr>
                            <w:rFonts w:ascii="Arial"/>
                            <w:sz w:val="21"/>
                          </w:rPr>
                        </w:pPr>
                      </w:p>
                    </w:tc>
                    <w:tc>
                      <w:tcPr>
                        <w:tcW w:w="2324" w:type="dxa"/>
                        <w:vMerge w:val="continue"/>
                        <w:tcBorders>
                          <w:top w:val="nil"/>
                          <w:bottom w:val="nil"/>
                        </w:tcBorders>
                        <w:vAlign w:val="top"/>
                      </w:tcPr>
                      <w:p w14:paraId="16F2F3CE">
                        <w:pPr>
                          <w:rPr>
                            <w:rFonts w:ascii="Arial"/>
                            <w:sz w:val="21"/>
                          </w:rPr>
                        </w:pPr>
                      </w:p>
                    </w:tc>
                    <w:tc>
                      <w:tcPr>
                        <w:tcW w:w="219" w:type="dxa"/>
                        <w:vAlign w:val="top"/>
                      </w:tcPr>
                      <w:p w14:paraId="227DCD8E">
                        <w:pPr>
                          <w:rPr>
                            <w:rFonts w:ascii="Arial"/>
                            <w:sz w:val="21"/>
                          </w:rPr>
                        </w:pPr>
                      </w:p>
                    </w:tc>
                    <w:tc>
                      <w:tcPr>
                        <w:tcW w:w="240" w:type="dxa"/>
                        <w:vAlign w:val="top"/>
                      </w:tcPr>
                      <w:p w14:paraId="12F8EE5B">
                        <w:pPr>
                          <w:rPr>
                            <w:rFonts w:ascii="Arial"/>
                            <w:sz w:val="21"/>
                          </w:rPr>
                        </w:pPr>
                      </w:p>
                    </w:tc>
                    <w:tc>
                      <w:tcPr>
                        <w:tcW w:w="239" w:type="dxa"/>
                        <w:vAlign w:val="top"/>
                      </w:tcPr>
                      <w:p w14:paraId="2396F8ED">
                        <w:pPr>
                          <w:rPr>
                            <w:rFonts w:ascii="Arial"/>
                            <w:sz w:val="21"/>
                          </w:rPr>
                        </w:pPr>
                      </w:p>
                    </w:tc>
                    <w:tc>
                      <w:tcPr>
                        <w:tcW w:w="225" w:type="dxa"/>
                        <w:vAlign w:val="top"/>
                      </w:tcPr>
                      <w:p w14:paraId="50943B79">
                        <w:pPr>
                          <w:rPr>
                            <w:rFonts w:ascii="Arial"/>
                            <w:sz w:val="21"/>
                          </w:rPr>
                        </w:pPr>
                      </w:p>
                    </w:tc>
                  </w:tr>
                  <w:tr w14:paraId="0D8EC3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9" w:hRule="atLeast"/>
                    </w:trPr>
                    <w:tc>
                      <w:tcPr>
                        <w:tcW w:w="883" w:type="dxa"/>
                        <w:vMerge w:val="continue"/>
                        <w:tcBorders>
                          <w:top w:val="nil"/>
                          <w:bottom w:val="nil"/>
                        </w:tcBorders>
                        <w:vAlign w:val="top"/>
                      </w:tcPr>
                      <w:p w14:paraId="0B36D763">
                        <w:pPr>
                          <w:rPr>
                            <w:rFonts w:ascii="Arial"/>
                            <w:sz w:val="21"/>
                          </w:rPr>
                        </w:pPr>
                      </w:p>
                    </w:tc>
                    <w:tc>
                      <w:tcPr>
                        <w:tcW w:w="2324" w:type="dxa"/>
                        <w:vMerge w:val="continue"/>
                        <w:tcBorders>
                          <w:top w:val="nil"/>
                          <w:bottom w:val="nil"/>
                        </w:tcBorders>
                        <w:vAlign w:val="top"/>
                      </w:tcPr>
                      <w:p w14:paraId="7BB55F84">
                        <w:pPr>
                          <w:rPr>
                            <w:rFonts w:ascii="Arial"/>
                            <w:sz w:val="21"/>
                          </w:rPr>
                        </w:pPr>
                      </w:p>
                    </w:tc>
                    <w:tc>
                      <w:tcPr>
                        <w:tcW w:w="219" w:type="dxa"/>
                        <w:vAlign w:val="top"/>
                      </w:tcPr>
                      <w:p w14:paraId="5D30B9C1">
                        <w:pPr>
                          <w:rPr>
                            <w:rFonts w:ascii="Arial"/>
                            <w:sz w:val="21"/>
                          </w:rPr>
                        </w:pPr>
                      </w:p>
                    </w:tc>
                    <w:tc>
                      <w:tcPr>
                        <w:tcW w:w="240" w:type="dxa"/>
                        <w:vAlign w:val="top"/>
                      </w:tcPr>
                      <w:p w14:paraId="521B9CDD">
                        <w:pPr>
                          <w:pStyle w:val="6"/>
                          <w:spacing w:before="165" w:line="238" w:lineRule="auto"/>
                          <w:ind w:left="48"/>
                          <w:rPr>
                            <w:sz w:val="14"/>
                            <w:szCs w:val="14"/>
                          </w:rPr>
                        </w:pPr>
                        <w:r>
                          <w:rPr>
                            <w:sz w:val="14"/>
                            <w:szCs w:val="14"/>
                          </w:rPr>
                          <w:t>√</w:t>
                        </w:r>
                      </w:p>
                    </w:tc>
                    <w:tc>
                      <w:tcPr>
                        <w:tcW w:w="239" w:type="dxa"/>
                        <w:vAlign w:val="top"/>
                      </w:tcPr>
                      <w:p w14:paraId="4AFBB9ED">
                        <w:pPr>
                          <w:rPr>
                            <w:rFonts w:ascii="Arial"/>
                            <w:sz w:val="21"/>
                          </w:rPr>
                        </w:pPr>
                      </w:p>
                    </w:tc>
                    <w:tc>
                      <w:tcPr>
                        <w:tcW w:w="225" w:type="dxa"/>
                        <w:vAlign w:val="top"/>
                      </w:tcPr>
                      <w:p w14:paraId="0405FE95">
                        <w:pPr>
                          <w:rPr>
                            <w:rFonts w:ascii="Arial"/>
                            <w:sz w:val="21"/>
                          </w:rPr>
                        </w:pPr>
                      </w:p>
                    </w:tc>
                  </w:tr>
                  <w:tr w14:paraId="42E37C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9" w:hRule="atLeast"/>
                    </w:trPr>
                    <w:tc>
                      <w:tcPr>
                        <w:tcW w:w="883" w:type="dxa"/>
                        <w:vMerge w:val="continue"/>
                        <w:tcBorders>
                          <w:top w:val="nil"/>
                          <w:bottom w:val="nil"/>
                        </w:tcBorders>
                        <w:vAlign w:val="top"/>
                      </w:tcPr>
                      <w:p w14:paraId="4EF88E10">
                        <w:pPr>
                          <w:rPr>
                            <w:rFonts w:ascii="Arial"/>
                            <w:sz w:val="21"/>
                          </w:rPr>
                        </w:pPr>
                      </w:p>
                    </w:tc>
                    <w:tc>
                      <w:tcPr>
                        <w:tcW w:w="2324" w:type="dxa"/>
                        <w:vMerge w:val="continue"/>
                        <w:tcBorders>
                          <w:top w:val="nil"/>
                          <w:bottom w:val="nil"/>
                        </w:tcBorders>
                        <w:vAlign w:val="top"/>
                      </w:tcPr>
                      <w:p w14:paraId="1C9DC727">
                        <w:pPr>
                          <w:rPr>
                            <w:rFonts w:ascii="Arial"/>
                            <w:sz w:val="21"/>
                          </w:rPr>
                        </w:pPr>
                      </w:p>
                    </w:tc>
                    <w:tc>
                      <w:tcPr>
                        <w:tcW w:w="219" w:type="dxa"/>
                        <w:vAlign w:val="top"/>
                      </w:tcPr>
                      <w:p w14:paraId="6D6C2646">
                        <w:pPr>
                          <w:rPr>
                            <w:rFonts w:ascii="Arial"/>
                            <w:sz w:val="21"/>
                          </w:rPr>
                        </w:pPr>
                      </w:p>
                    </w:tc>
                    <w:tc>
                      <w:tcPr>
                        <w:tcW w:w="240" w:type="dxa"/>
                        <w:vAlign w:val="top"/>
                      </w:tcPr>
                      <w:p w14:paraId="67D417EC">
                        <w:pPr>
                          <w:pStyle w:val="6"/>
                          <w:spacing w:before="166" w:line="238" w:lineRule="auto"/>
                          <w:ind w:left="48"/>
                          <w:rPr>
                            <w:sz w:val="14"/>
                            <w:szCs w:val="14"/>
                          </w:rPr>
                        </w:pPr>
                        <w:r>
                          <w:rPr>
                            <w:sz w:val="14"/>
                            <w:szCs w:val="14"/>
                          </w:rPr>
                          <w:t>√</w:t>
                        </w:r>
                      </w:p>
                    </w:tc>
                    <w:tc>
                      <w:tcPr>
                        <w:tcW w:w="239" w:type="dxa"/>
                        <w:vAlign w:val="top"/>
                      </w:tcPr>
                      <w:p w14:paraId="09C2885C">
                        <w:pPr>
                          <w:rPr>
                            <w:rFonts w:ascii="Arial"/>
                            <w:sz w:val="21"/>
                          </w:rPr>
                        </w:pPr>
                      </w:p>
                    </w:tc>
                    <w:tc>
                      <w:tcPr>
                        <w:tcW w:w="225" w:type="dxa"/>
                        <w:vAlign w:val="top"/>
                      </w:tcPr>
                      <w:p w14:paraId="1C6DC060">
                        <w:pPr>
                          <w:rPr>
                            <w:rFonts w:ascii="Arial"/>
                            <w:sz w:val="21"/>
                          </w:rPr>
                        </w:pPr>
                      </w:p>
                    </w:tc>
                  </w:tr>
                  <w:tr w14:paraId="50F114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9" w:hRule="atLeast"/>
                    </w:trPr>
                    <w:tc>
                      <w:tcPr>
                        <w:tcW w:w="883" w:type="dxa"/>
                        <w:vMerge w:val="continue"/>
                        <w:tcBorders>
                          <w:top w:val="nil"/>
                          <w:bottom w:val="nil"/>
                        </w:tcBorders>
                        <w:vAlign w:val="top"/>
                      </w:tcPr>
                      <w:p w14:paraId="2CD6EA8E">
                        <w:pPr>
                          <w:rPr>
                            <w:rFonts w:ascii="Arial"/>
                            <w:sz w:val="21"/>
                          </w:rPr>
                        </w:pPr>
                      </w:p>
                    </w:tc>
                    <w:tc>
                      <w:tcPr>
                        <w:tcW w:w="2324" w:type="dxa"/>
                        <w:vMerge w:val="continue"/>
                        <w:tcBorders>
                          <w:top w:val="nil"/>
                          <w:bottom w:val="nil"/>
                        </w:tcBorders>
                        <w:vAlign w:val="top"/>
                      </w:tcPr>
                      <w:p w14:paraId="1F6405E2">
                        <w:pPr>
                          <w:rPr>
                            <w:rFonts w:ascii="Arial"/>
                            <w:sz w:val="21"/>
                          </w:rPr>
                        </w:pPr>
                      </w:p>
                    </w:tc>
                    <w:tc>
                      <w:tcPr>
                        <w:tcW w:w="219" w:type="dxa"/>
                        <w:vAlign w:val="top"/>
                      </w:tcPr>
                      <w:p w14:paraId="09520377">
                        <w:pPr>
                          <w:rPr>
                            <w:rFonts w:ascii="Arial"/>
                            <w:sz w:val="21"/>
                          </w:rPr>
                        </w:pPr>
                      </w:p>
                    </w:tc>
                    <w:tc>
                      <w:tcPr>
                        <w:tcW w:w="240" w:type="dxa"/>
                        <w:vAlign w:val="top"/>
                      </w:tcPr>
                      <w:p w14:paraId="257F6BA4">
                        <w:pPr>
                          <w:rPr>
                            <w:rFonts w:ascii="Arial"/>
                            <w:sz w:val="21"/>
                          </w:rPr>
                        </w:pPr>
                      </w:p>
                    </w:tc>
                    <w:tc>
                      <w:tcPr>
                        <w:tcW w:w="239" w:type="dxa"/>
                        <w:vAlign w:val="top"/>
                      </w:tcPr>
                      <w:p w14:paraId="4CBDAF14">
                        <w:pPr>
                          <w:pStyle w:val="6"/>
                          <w:spacing w:before="57" w:line="238" w:lineRule="auto"/>
                          <w:ind w:left="49"/>
                          <w:rPr>
                            <w:sz w:val="14"/>
                            <w:szCs w:val="14"/>
                          </w:rPr>
                        </w:pPr>
                        <w:r>
                          <w:rPr>
                            <w:sz w:val="14"/>
                            <w:szCs w:val="14"/>
                          </w:rPr>
                          <w:t>√</w:t>
                        </w:r>
                      </w:p>
                    </w:tc>
                    <w:tc>
                      <w:tcPr>
                        <w:tcW w:w="225" w:type="dxa"/>
                        <w:vAlign w:val="top"/>
                      </w:tcPr>
                      <w:p w14:paraId="579BF7DD">
                        <w:pPr>
                          <w:rPr>
                            <w:rFonts w:ascii="Arial"/>
                            <w:sz w:val="21"/>
                          </w:rPr>
                        </w:pPr>
                      </w:p>
                    </w:tc>
                  </w:tr>
                  <w:tr w14:paraId="78A433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4" w:hRule="atLeast"/>
                    </w:trPr>
                    <w:tc>
                      <w:tcPr>
                        <w:tcW w:w="883" w:type="dxa"/>
                        <w:vMerge w:val="continue"/>
                        <w:tcBorders>
                          <w:top w:val="nil"/>
                        </w:tcBorders>
                        <w:vAlign w:val="top"/>
                      </w:tcPr>
                      <w:p w14:paraId="300FC9D6">
                        <w:pPr>
                          <w:rPr>
                            <w:rFonts w:ascii="Arial"/>
                            <w:sz w:val="21"/>
                          </w:rPr>
                        </w:pPr>
                      </w:p>
                    </w:tc>
                    <w:tc>
                      <w:tcPr>
                        <w:tcW w:w="2324" w:type="dxa"/>
                        <w:vMerge w:val="continue"/>
                        <w:tcBorders>
                          <w:top w:val="nil"/>
                        </w:tcBorders>
                        <w:vAlign w:val="top"/>
                      </w:tcPr>
                      <w:p w14:paraId="4CCAD561">
                        <w:pPr>
                          <w:rPr>
                            <w:rFonts w:ascii="Arial"/>
                            <w:sz w:val="21"/>
                          </w:rPr>
                        </w:pPr>
                      </w:p>
                    </w:tc>
                    <w:tc>
                      <w:tcPr>
                        <w:tcW w:w="219" w:type="dxa"/>
                        <w:vAlign w:val="top"/>
                      </w:tcPr>
                      <w:p w14:paraId="34C7E645">
                        <w:pPr>
                          <w:rPr>
                            <w:rFonts w:ascii="Arial"/>
                            <w:sz w:val="21"/>
                          </w:rPr>
                        </w:pPr>
                      </w:p>
                    </w:tc>
                    <w:tc>
                      <w:tcPr>
                        <w:tcW w:w="240" w:type="dxa"/>
                        <w:vAlign w:val="top"/>
                      </w:tcPr>
                      <w:p w14:paraId="6D128A84">
                        <w:pPr>
                          <w:pStyle w:val="6"/>
                          <w:spacing w:before="88" w:line="238" w:lineRule="auto"/>
                          <w:ind w:left="48"/>
                          <w:rPr>
                            <w:sz w:val="14"/>
                            <w:szCs w:val="14"/>
                          </w:rPr>
                        </w:pPr>
                        <w:r>
                          <w:rPr>
                            <w:sz w:val="14"/>
                            <w:szCs w:val="14"/>
                          </w:rPr>
                          <w:t>√</w:t>
                        </w:r>
                      </w:p>
                    </w:tc>
                    <w:tc>
                      <w:tcPr>
                        <w:tcW w:w="239" w:type="dxa"/>
                        <w:vAlign w:val="top"/>
                      </w:tcPr>
                      <w:p w14:paraId="4418B044">
                        <w:pPr>
                          <w:rPr>
                            <w:rFonts w:ascii="Arial"/>
                            <w:sz w:val="21"/>
                          </w:rPr>
                        </w:pPr>
                      </w:p>
                    </w:tc>
                    <w:tc>
                      <w:tcPr>
                        <w:tcW w:w="225" w:type="dxa"/>
                        <w:vAlign w:val="top"/>
                      </w:tcPr>
                      <w:p w14:paraId="0FB798B6">
                        <w:pPr>
                          <w:rPr>
                            <w:rFonts w:ascii="Arial"/>
                            <w:sz w:val="21"/>
                          </w:rPr>
                        </w:pPr>
                      </w:p>
                    </w:tc>
                  </w:tr>
                </w:tbl>
                <w:p w14:paraId="4F8ED5EC">
                  <w:pPr>
                    <w:pStyle w:val="2"/>
                  </w:pPr>
                </w:p>
              </w:txbxContent>
            </v:textbox>
          </v:shape>
        </w:pict>
      </w:r>
    </w:p>
    <w:p w14:paraId="6E8741A3">
      <w:pPr>
        <w:spacing w:before="10"/>
      </w:pPr>
    </w:p>
    <w:p w14:paraId="36857A94">
      <w:pPr>
        <w:spacing w:before="10"/>
      </w:pPr>
    </w:p>
    <w:p w14:paraId="4DD26398">
      <w:pPr>
        <w:spacing w:before="9"/>
      </w:pPr>
    </w:p>
    <w:tbl>
      <w:tblPr>
        <w:tblStyle w:val="5"/>
        <w:tblW w:w="4130" w:type="dxa"/>
        <w:tblInd w:w="466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83"/>
        <w:gridCol w:w="2334"/>
        <w:gridCol w:w="219"/>
        <w:gridCol w:w="240"/>
        <w:gridCol w:w="229"/>
        <w:gridCol w:w="225"/>
      </w:tblGrid>
      <w:tr w14:paraId="6DAB10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5" w:hRule="atLeast"/>
        </w:trPr>
        <w:tc>
          <w:tcPr>
            <w:tcW w:w="883" w:type="dxa"/>
            <w:vMerge w:val="restart"/>
            <w:tcBorders>
              <w:bottom w:val="nil"/>
            </w:tcBorders>
            <w:vAlign w:val="top"/>
          </w:tcPr>
          <w:p w14:paraId="031B6ED3">
            <w:pPr>
              <w:pStyle w:val="6"/>
              <w:spacing w:before="81" w:line="214" w:lineRule="auto"/>
              <w:ind w:left="257" w:right="1" w:hanging="240"/>
              <w:rPr>
                <w:sz w:val="18"/>
                <w:szCs w:val="18"/>
              </w:rPr>
            </w:pPr>
            <w:r>
              <w:rPr>
                <w:b/>
                <w:bCs/>
                <w:spacing w:val="-13"/>
                <w:sz w:val="18"/>
                <w:szCs w:val="18"/>
              </w:rPr>
              <w:t>知</w:t>
            </w:r>
            <w:r>
              <w:rPr>
                <w:b/>
                <w:bCs/>
                <w:spacing w:val="-12"/>
                <w:sz w:val="18"/>
                <w:szCs w:val="18"/>
              </w:rPr>
              <w:t>识与技</w:t>
            </w:r>
            <w:r>
              <w:rPr>
                <w:b/>
                <w:bCs/>
                <w:spacing w:val="-11"/>
                <w:sz w:val="18"/>
                <w:szCs w:val="18"/>
              </w:rPr>
              <w:t>能</w:t>
            </w:r>
            <w:r>
              <w:rPr>
                <w:spacing w:val="3"/>
                <w:sz w:val="18"/>
                <w:szCs w:val="18"/>
              </w:rPr>
              <w:t xml:space="preserve"> </w:t>
            </w:r>
            <w:r>
              <w:rPr>
                <w:b/>
                <w:bCs/>
                <w:spacing w:val="-4"/>
                <w:sz w:val="18"/>
                <w:szCs w:val="18"/>
              </w:rPr>
              <w:t>要点</w:t>
            </w:r>
          </w:p>
        </w:tc>
        <w:tc>
          <w:tcPr>
            <w:tcW w:w="2334" w:type="dxa"/>
            <w:vMerge w:val="restart"/>
            <w:tcBorders>
              <w:bottom w:val="nil"/>
            </w:tcBorders>
            <w:vAlign w:val="top"/>
          </w:tcPr>
          <w:p w14:paraId="06F0AE41">
            <w:pPr>
              <w:pStyle w:val="6"/>
              <w:spacing w:before="190" w:line="219" w:lineRule="auto"/>
              <w:ind w:left="854"/>
              <w:rPr>
                <w:sz w:val="18"/>
                <w:szCs w:val="18"/>
              </w:rPr>
            </w:pPr>
            <w:r>
              <w:rPr>
                <w:b/>
                <w:bCs/>
                <w:spacing w:val="5"/>
                <w:sz w:val="18"/>
                <w:szCs w:val="18"/>
              </w:rPr>
              <w:t>考试条目</w:t>
            </w:r>
          </w:p>
        </w:tc>
        <w:tc>
          <w:tcPr>
            <w:tcW w:w="913" w:type="dxa"/>
            <w:gridSpan w:val="4"/>
            <w:vAlign w:val="top"/>
          </w:tcPr>
          <w:p w14:paraId="4688E1F5">
            <w:pPr>
              <w:pStyle w:val="6"/>
              <w:spacing w:before="49" w:line="219" w:lineRule="auto"/>
              <w:ind w:left="130"/>
              <w:rPr>
                <w:sz w:val="18"/>
                <w:szCs w:val="18"/>
              </w:rPr>
            </w:pPr>
            <w:r>
              <w:rPr>
                <w:b/>
                <w:bCs/>
                <w:spacing w:val="-4"/>
                <w:sz w:val="18"/>
                <w:szCs w:val="18"/>
              </w:rPr>
              <w:t>考试水平</w:t>
            </w:r>
          </w:p>
        </w:tc>
      </w:tr>
      <w:tr w14:paraId="0DA968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trPr>
        <w:tc>
          <w:tcPr>
            <w:tcW w:w="883" w:type="dxa"/>
            <w:vMerge w:val="continue"/>
            <w:tcBorders>
              <w:top w:val="nil"/>
            </w:tcBorders>
            <w:vAlign w:val="top"/>
          </w:tcPr>
          <w:p w14:paraId="35399B0D">
            <w:pPr>
              <w:rPr>
                <w:rFonts w:ascii="Arial"/>
                <w:sz w:val="21"/>
              </w:rPr>
            </w:pPr>
          </w:p>
        </w:tc>
        <w:tc>
          <w:tcPr>
            <w:tcW w:w="2334" w:type="dxa"/>
            <w:vMerge w:val="continue"/>
            <w:tcBorders>
              <w:top w:val="nil"/>
            </w:tcBorders>
            <w:vAlign w:val="top"/>
          </w:tcPr>
          <w:p w14:paraId="18CF327E">
            <w:pPr>
              <w:rPr>
                <w:rFonts w:ascii="Arial"/>
                <w:sz w:val="21"/>
              </w:rPr>
            </w:pPr>
          </w:p>
        </w:tc>
        <w:tc>
          <w:tcPr>
            <w:tcW w:w="219" w:type="dxa"/>
            <w:vAlign w:val="top"/>
          </w:tcPr>
          <w:p w14:paraId="4C28820F">
            <w:pPr>
              <w:pStyle w:val="6"/>
              <w:spacing w:before="92" w:line="172" w:lineRule="auto"/>
              <w:ind w:left="20"/>
              <w:rPr>
                <w:sz w:val="18"/>
                <w:szCs w:val="18"/>
              </w:rPr>
            </w:pPr>
            <w:r>
              <w:rPr>
                <w:b/>
                <w:bCs/>
                <w:spacing w:val="-2"/>
                <w:sz w:val="18"/>
                <w:szCs w:val="18"/>
              </w:rPr>
              <w:t>A</w:t>
            </w:r>
          </w:p>
        </w:tc>
        <w:tc>
          <w:tcPr>
            <w:tcW w:w="240" w:type="dxa"/>
            <w:vAlign w:val="top"/>
          </w:tcPr>
          <w:p w14:paraId="1EFE0CD6">
            <w:pPr>
              <w:pStyle w:val="6"/>
              <w:spacing w:before="95" w:line="169" w:lineRule="auto"/>
              <w:ind w:left="71"/>
              <w:rPr>
                <w:sz w:val="18"/>
                <w:szCs w:val="18"/>
              </w:rPr>
            </w:pPr>
            <w:r>
              <w:rPr>
                <w:b/>
                <w:bCs/>
                <w:spacing w:val="-2"/>
                <w:sz w:val="18"/>
                <w:szCs w:val="18"/>
              </w:rPr>
              <w:t>B</w:t>
            </w:r>
          </w:p>
        </w:tc>
        <w:tc>
          <w:tcPr>
            <w:tcW w:w="229" w:type="dxa"/>
            <w:vAlign w:val="top"/>
          </w:tcPr>
          <w:p w14:paraId="3A560AD3">
            <w:pPr>
              <w:pStyle w:val="6"/>
              <w:spacing w:before="87" w:line="168" w:lineRule="auto"/>
              <w:ind w:left="49"/>
              <w:rPr>
                <w:sz w:val="19"/>
                <w:szCs w:val="19"/>
              </w:rPr>
            </w:pPr>
            <w:r>
              <w:rPr>
                <w:sz w:val="19"/>
                <w:szCs w:val="19"/>
              </w:rPr>
              <w:t>C</w:t>
            </w:r>
          </w:p>
        </w:tc>
        <w:tc>
          <w:tcPr>
            <w:tcW w:w="225" w:type="dxa"/>
            <w:vAlign w:val="top"/>
          </w:tcPr>
          <w:p w14:paraId="3CF882C6">
            <w:pPr>
              <w:pStyle w:val="6"/>
              <w:spacing w:before="95" w:line="169" w:lineRule="auto"/>
              <w:ind w:left="62"/>
              <w:rPr>
                <w:sz w:val="18"/>
                <w:szCs w:val="18"/>
              </w:rPr>
            </w:pPr>
            <w:r>
              <w:rPr>
                <w:b/>
                <w:bCs/>
                <w:spacing w:val="-2"/>
                <w:sz w:val="18"/>
                <w:szCs w:val="18"/>
              </w:rPr>
              <w:t>D</w:t>
            </w:r>
          </w:p>
        </w:tc>
      </w:tr>
      <w:tr w14:paraId="2104C6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 w:hRule="atLeast"/>
        </w:trPr>
        <w:tc>
          <w:tcPr>
            <w:tcW w:w="883" w:type="dxa"/>
            <w:vMerge w:val="restart"/>
            <w:tcBorders>
              <w:bottom w:val="nil"/>
            </w:tcBorders>
            <w:vAlign w:val="top"/>
          </w:tcPr>
          <w:p w14:paraId="048C627B">
            <w:pPr>
              <w:spacing w:line="296" w:lineRule="auto"/>
              <w:rPr>
                <w:rFonts w:ascii="Arial"/>
                <w:sz w:val="21"/>
              </w:rPr>
            </w:pPr>
          </w:p>
          <w:p w14:paraId="7BCA0BBE">
            <w:pPr>
              <w:pStyle w:val="6"/>
              <w:spacing w:before="58" w:line="205" w:lineRule="auto"/>
              <w:ind w:left="165"/>
              <w:rPr>
                <w:sz w:val="18"/>
                <w:szCs w:val="18"/>
              </w:rPr>
            </w:pPr>
            <w:r>
              <w:rPr>
                <w:spacing w:val="-2"/>
                <w:sz w:val="18"/>
                <w:szCs w:val="18"/>
              </w:rPr>
              <w:t>体循环</w:t>
            </w:r>
          </w:p>
          <w:p w14:paraId="4E014729">
            <w:pPr>
              <w:pStyle w:val="6"/>
              <w:spacing w:line="218" w:lineRule="auto"/>
              <w:ind w:left="254"/>
              <w:rPr>
                <w:sz w:val="18"/>
                <w:szCs w:val="18"/>
              </w:rPr>
            </w:pPr>
            <w:r>
              <w:rPr>
                <w:spacing w:val="-2"/>
                <w:sz w:val="18"/>
                <w:szCs w:val="18"/>
              </w:rPr>
              <w:t>静脉</w:t>
            </w:r>
          </w:p>
        </w:tc>
        <w:tc>
          <w:tcPr>
            <w:tcW w:w="2334" w:type="dxa"/>
            <w:vMerge w:val="restart"/>
            <w:tcBorders>
              <w:bottom w:val="nil"/>
            </w:tcBorders>
            <w:vAlign w:val="top"/>
          </w:tcPr>
          <w:p w14:paraId="23140AF1">
            <w:pPr>
              <w:pStyle w:val="6"/>
              <w:spacing w:before="116" w:line="222" w:lineRule="auto"/>
              <w:ind w:left="12" w:firstLine="19"/>
              <w:rPr>
                <w:sz w:val="18"/>
                <w:szCs w:val="18"/>
              </w:rPr>
            </w:pPr>
            <w:r>
              <w:rPr>
                <w:spacing w:val="-4"/>
                <w:sz w:val="18"/>
                <w:szCs w:val="18"/>
              </w:rPr>
              <w:t>1.上腔静脉的组成和收集范围</w:t>
            </w:r>
            <w:r>
              <w:rPr>
                <w:spacing w:val="7"/>
                <w:sz w:val="18"/>
                <w:szCs w:val="18"/>
              </w:rPr>
              <w:t xml:space="preserve"> </w:t>
            </w:r>
            <w:r>
              <w:rPr>
                <w:spacing w:val="-3"/>
                <w:sz w:val="18"/>
                <w:szCs w:val="18"/>
              </w:rPr>
              <w:t>2.头颈部主要静脉干的名称</w:t>
            </w:r>
          </w:p>
          <w:p w14:paraId="73DD931A">
            <w:pPr>
              <w:pStyle w:val="6"/>
              <w:spacing w:before="28" w:line="203" w:lineRule="auto"/>
              <w:ind w:left="12"/>
              <w:rPr>
                <w:sz w:val="18"/>
                <w:szCs w:val="18"/>
              </w:rPr>
            </w:pPr>
            <w:r>
              <w:rPr>
                <w:spacing w:val="-2"/>
                <w:sz w:val="18"/>
                <w:szCs w:val="18"/>
              </w:rPr>
              <w:t>和位置</w:t>
            </w:r>
          </w:p>
          <w:p w14:paraId="331D29B9">
            <w:pPr>
              <w:pStyle w:val="6"/>
              <w:spacing w:line="218" w:lineRule="auto"/>
              <w:ind w:left="12"/>
              <w:rPr>
                <w:sz w:val="18"/>
                <w:szCs w:val="18"/>
              </w:rPr>
            </w:pPr>
            <w:r>
              <w:rPr>
                <w:spacing w:val="-1"/>
                <w:sz w:val="18"/>
                <w:szCs w:val="18"/>
              </w:rPr>
              <w:t>3.面静脉的起止和交通部位</w:t>
            </w:r>
          </w:p>
        </w:tc>
        <w:tc>
          <w:tcPr>
            <w:tcW w:w="219" w:type="dxa"/>
            <w:vAlign w:val="top"/>
          </w:tcPr>
          <w:p w14:paraId="59C1F281">
            <w:pPr>
              <w:rPr>
                <w:rFonts w:ascii="Arial"/>
                <w:sz w:val="21"/>
              </w:rPr>
            </w:pPr>
          </w:p>
        </w:tc>
        <w:tc>
          <w:tcPr>
            <w:tcW w:w="240" w:type="dxa"/>
            <w:vAlign w:val="top"/>
          </w:tcPr>
          <w:p w14:paraId="5C85C0C2">
            <w:pPr>
              <w:pStyle w:val="6"/>
              <w:spacing w:before="78" w:line="238" w:lineRule="auto"/>
              <w:ind w:left="48"/>
              <w:rPr>
                <w:sz w:val="13"/>
                <w:szCs w:val="13"/>
              </w:rPr>
            </w:pPr>
            <w:r>
              <w:rPr>
                <w:sz w:val="13"/>
                <w:szCs w:val="13"/>
              </w:rPr>
              <w:t>√</w:t>
            </w:r>
          </w:p>
        </w:tc>
        <w:tc>
          <w:tcPr>
            <w:tcW w:w="229" w:type="dxa"/>
            <w:vAlign w:val="top"/>
          </w:tcPr>
          <w:p w14:paraId="76632B4E">
            <w:pPr>
              <w:rPr>
                <w:rFonts w:ascii="Arial"/>
                <w:sz w:val="21"/>
              </w:rPr>
            </w:pPr>
          </w:p>
        </w:tc>
        <w:tc>
          <w:tcPr>
            <w:tcW w:w="225" w:type="dxa"/>
            <w:vAlign w:val="top"/>
          </w:tcPr>
          <w:p w14:paraId="4C7F69E8">
            <w:pPr>
              <w:rPr>
                <w:rFonts w:ascii="Arial"/>
                <w:sz w:val="21"/>
              </w:rPr>
            </w:pPr>
          </w:p>
        </w:tc>
      </w:tr>
      <w:tr w14:paraId="2C03CA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9" w:hRule="atLeast"/>
        </w:trPr>
        <w:tc>
          <w:tcPr>
            <w:tcW w:w="883" w:type="dxa"/>
            <w:vMerge w:val="continue"/>
            <w:tcBorders>
              <w:top w:val="nil"/>
              <w:bottom w:val="nil"/>
            </w:tcBorders>
            <w:vAlign w:val="top"/>
          </w:tcPr>
          <w:p w14:paraId="6CC902B0">
            <w:pPr>
              <w:rPr>
                <w:rFonts w:ascii="Arial"/>
                <w:sz w:val="21"/>
              </w:rPr>
            </w:pPr>
          </w:p>
        </w:tc>
        <w:tc>
          <w:tcPr>
            <w:tcW w:w="2334" w:type="dxa"/>
            <w:vMerge w:val="continue"/>
            <w:tcBorders>
              <w:top w:val="nil"/>
              <w:bottom w:val="nil"/>
            </w:tcBorders>
            <w:vAlign w:val="top"/>
          </w:tcPr>
          <w:p w14:paraId="71933366">
            <w:pPr>
              <w:rPr>
                <w:rFonts w:ascii="Arial"/>
                <w:sz w:val="21"/>
              </w:rPr>
            </w:pPr>
          </w:p>
        </w:tc>
        <w:tc>
          <w:tcPr>
            <w:tcW w:w="219" w:type="dxa"/>
            <w:vAlign w:val="top"/>
          </w:tcPr>
          <w:p w14:paraId="5993DFCE">
            <w:pPr>
              <w:rPr>
                <w:rFonts w:ascii="Arial"/>
                <w:sz w:val="21"/>
              </w:rPr>
            </w:pPr>
          </w:p>
        </w:tc>
        <w:tc>
          <w:tcPr>
            <w:tcW w:w="240" w:type="dxa"/>
            <w:vAlign w:val="top"/>
          </w:tcPr>
          <w:p w14:paraId="33F2C113">
            <w:pPr>
              <w:rPr>
                <w:rFonts w:ascii="Arial"/>
                <w:sz w:val="21"/>
              </w:rPr>
            </w:pPr>
          </w:p>
        </w:tc>
        <w:tc>
          <w:tcPr>
            <w:tcW w:w="229" w:type="dxa"/>
            <w:vAlign w:val="top"/>
          </w:tcPr>
          <w:p w14:paraId="39356E75">
            <w:pPr>
              <w:rPr>
                <w:rFonts w:ascii="Arial"/>
                <w:sz w:val="21"/>
              </w:rPr>
            </w:pPr>
          </w:p>
        </w:tc>
        <w:tc>
          <w:tcPr>
            <w:tcW w:w="225" w:type="dxa"/>
            <w:vAlign w:val="top"/>
          </w:tcPr>
          <w:p w14:paraId="646E4D93">
            <w:pPr>
              <w:pStyle w:val="6"/>
              <w:spacing w:before="198" w:line="238" w:lineRule="auto"/>
              <w:ind w:left="40"/>
              <w:rPr>
                <w:sz w:val="13"/>
                <w:szCs w:val="13"/>
              </w:rPr>
            </w:pPr>
            <w:r>
              <w:rPr>
                <w:sz w:val="13"/>
                <w:szCs w:val="13"/>
              </w:rPr>
              <w:t>√</w:t>
            </w:r>
          </w:p>
        </w:tc>
      </w:tr>
      <w:tr w14:paraId="16B51B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0" w:hRule="atLeast"/>
        </w:trPr>
        <w:tc>
          <w:tcPr>
            <w:tcW w:w="883" w:type="dxa"/>
            <w:vMerge w:val="continue"/>
            <w:tcBorders>
              <w:top w:val="nil"/>
            </w:tcBorders>
            <w:vAlign w:val="top"/>
          </w:tcPr>
          <w:p w14:paraId="77855847">
            <w:pPr>
              <w:rPr>
                <w:rFonts w:ascii="Arial"/>
                <w:sz w:val="21"/>
              </w:rPr>
            </w:pPr>
          </w:p>
        </w:tc>
        <w:tc>
          <w:tcPr>
            <w:tcW w:w="2334" w:type="dxa"/>
            <w:vMerge w:val="continue"/>
            <w:tcBorders>
              <w:top w:val="nil"/>
            </w:tcBorders>
            <w:vAlign w:val="top"/>
          </w:tcPr>
          <w:p w14:paraId="56355CBC">
            <w:pPr>
              <w:rPr>
                <w:rFonts w:ascii="Arial"/>
                <w:sz w:val="21"/>
              </w:rPr>
            </w:pPr>
          </w:p>
        </w:tc>
        <w:tc>
          <w:tcPr>
            <w:tcW w:w="219" w:type="dxa"/>
            <w:vAlign w:val="top"/>
          </w:tcPr>
          <w:p w14:paraId="608FDE33">
            <w:pPr>
              <w:rPr>
                <w:rFonts w:ascii="Arial"/>
                <w:sz w:val="21"/>
              </w:rPr>
            </w:pPr>
          </w:p>
        </w:tc>
        <w:tc>
          <w:tcPr>
            <w:tcW w:w="240" w:type="dxa"/>
            <w:vAlign w:val="top"/>
          </w:tcPr>
          <w:p w14:paraId="028F71D3">
            <w:pPr>
              <w:rPr>
                <w:rFonts w:ascii="Arial"/>
                <w:sz w:val="21"/>
              </w:rPr>
            </w:pPr>
          </w:p>
        </w:tc>
        <w:tc>
          <w:tcPr>
            <w:tcW w:w="229" w:type="dxa"/>
            <w:vAlign w:val="top"/>
          </w:tcPr>
          <w:p w14:paraId="4A4A515B">
            <w:pPr>
              <w:pStyle w:val="6"/>
              <w:spacing w:before="89" w:line="238" w:lineRule="auto"/>
              <w:ind w:left="9"/>
              <w:rPr>
                <w:sz w:val="13"/>
                <w:szCs w:val="13"/>
              </w:rPr>
            </w:pPr>
            <w:r>
              <w:rPr>
                <w:sz w:val="13"/>
                <w:szCs w:val="13"/>
              </w:rPr>
              <w:t>√</w:t>
            </w:r>
          </w:p>
        </w:tc>
        <w:tc>
          <w:tcPr>
            <w:tcW w:w="225" w:type="dxa"/>
            <w:vAlign w:val="top"/>
          </w:tcPr>
          <w:p w14:paraId="7E1A77F2">
            <w:pPr>
              <w:rPr>
                <w:rFonts w:ascii="Arial"/>
                <w:sz w:val="21"/>
              </w:rPr>
            </w:pPr>
          </w:p>
        </w:tc>
      </w:tr>
      <w:tr w14:paraId="6D2118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9" w:hRule="atLeast"/>
        </w:trPr>
        <w:tc>
          <w:tcPr>
            <w:tcW w:w="883" w:type="dxa"/>
            <w:vMerge w:val="restart"/>
            <w:tcBorders>
              <w:bottom w:val="nil"/>
            </w:tcBorders>
            <w:vAlign w:val="top"/>
          </w:tcPr>
          <w:p w14:paraId="00F6A480">
            <w:pPr>
              <w:pStyle w:val="6"/>
              <w:spacing w:before="267" w:line="218" w:lineRule="auto"/>
              <w:ind w:left="165"/>
              <w:rPr>
                <w:sz w:val="18"/>
                <w:szCs w:val="18"/>
              </w:rPr>
            </w:pPr>
            <w:r>
              <w:rPr>
                <w:spacing w:val="-2"/>
                <w:sz w:val="18"/>
                <w:szCs w:val="18"/>
              </w:rPr>
              <w:t>上腔静</w:t>
            </w:r>
          </w:p>
          <w:p w14:paraId="736BC69C">
            <w:pPr>
              <w:pStyle w:val="6"/>
              <w:spacing w:line="221" w:lineRule="auto"/>
              <w:ind w:left="254"/>
              <w:rPr>
                <w:sz w:val="18"/>
                <w:szCs w:val="18"/>
              </w:rPr>
            </w:pPr>
            <w:r>
              <w:rPr>
                <w:spacing w:val="8"/>
                <w:sz w:val="18"/>
                <w:szCs w:val="18"/>
              </w:rPr>
              <w:t>脉系</w:t>
            </w:r>
          </w:p>
        </w:tc>
        <w:tc>
          <w:tcPr>
            <w:tcW w:w="2334" w:type="dxa"/>
            <w:vMerge w:val="restart"/>
            <w:tcBorders>
              <w:bottom w:val="nil"/>
            </w:tcBorders>
            <w:vAlign w:val="top"/>
          </w:tcPr>
          <w:p w14:paraId="7D0BA6F1">
            <w:pPr>
              <w:pStyle w:val="6"/>
              <w:spacing w:before="36" w:line="226" w:lineRule="auto"/>
              <w:ind w:left="12" w:firstLine="19"/>
              <w:rPr>
                <w:sz w:val="18"/>
                <w:szCs w:val="18"/>
              </w:rPr>
            </w:pPr>
            <w:r>
              <w:rPr>
                <w:spacing w:val="-4"/>
                <w:sz w:val="18"/>
                <w:szCs w:val="18"/>
              </w:rPr>
              <w:t>1.上肢部重要浅静脉的名称、</w:t>
            </w:r>
            <w:r>
              <w:rPr>
                <w:spacing w:val="7"/>
                <w:sz w:val="18"/>
                <w:szCs w:val="18"/>
              </w:rPr>
              <w:t xml:space="preserve"> </w:t>
            </w:r>
            <w:r>
              <w:rPr>
                <w:spacing w:val="-7"/>
                <w:sz w:val="18"/>
                <w:szCs w:val="18"/>
              </w:rPr>
              <w:t>起始和注入部位</w:t>
            </w:r>
          </w:p>
          <w:p w14:paraId="5D5D80DF">
            <w:pPr>
              <w:pStyle w:val="6"/>
              <w:spacing w:line="200" w:lineRule="auto"/>
              <w:ind w:left="12" w:right="134"/>
              <w:rPr>
                <w:sz w:val="18"/>
                <w:szCs w:val="18"/>
              </w:rPr>
            </w:pPr>
            <w:r>
              <w:rPr>
                <w:spacing w:val="1"/>
                <w:sz w:val="18"/>
                <w:szCs w:val="18"/>
              </w:rPr>
              <w:t>2.奇静脉的行程、收集范围</w:t>
            </w:r>
            <w:r>
              <w:rPr>
                <w:spacing w:val="2"/>
                <w:sz w:val="18"/>
                <w:szCs w:val="18"/>
              </w:rPr>
              <w:t xml:space="preserve"> </w:t>
            </w:r>
            <w:r>
              <w:rPr>
                <w:spacing w:val="-2"/>
                <w:sz w:val="18"/>
                <w:szCs w:val="18"/>
              </w:rPr>
              <w:t>和注入部位</w:t>
            </w:r>
          </w:p>
        </w:tc>
        <w:tc>
          <w:tcPr>
            <w:tcW w:w="219" w:type="dxa"/>
            <w:vAlign w:val="top"/>
          </w:tcPr>
          <w:p w14:paraId="342D21AF">
            <w:pPr>
              <w:rPr>
                <w:rFonts w:ascii="Arial"/>
                <w:sz w:val="21"/>
              </w:rPr>
            </w:pPr>
          </w:p>
        </w:tc>
        <w:tc>
          <w:tcPr>
            <w:tcW w:w="240" w:type="dxa"/>
            <w:vAlign w:val="top"/>
          </w:tcPr>
          <w:p w14:paraId="130AA829">
            <w:pPr>
              <w:rPr>
                <w:rFonts w:ascii="Arial"/>
                <w:sz w:val="21"/>
              </w:rPr>
            </w:pPr>
          </w:p>
        </w:tc>
        <w:tc>
          <w:tcPr>
            <w:tcW w:w="229" w:type="dxa"/>
            <w:vAlign w:val="top"/>
          </w:tcPr>
          <w:p w14:paraId="00CA5A13">
            <w:pPr>
              <w:pStyle w:val="6"/>
              <w:spacing w:before="159" w:line="238" w:lineRule="auto"/>
              <w:ind w:left="9"/>
              <w:rPr>
                <w:sz w:val="13"/>
                <w:szCs w:val="13"/>
              </w:rPr>
            </w:pPr>
            <w:r>
              <w:rPr>
                <w:sz w:val="13"/>
                <w:szCs w:val="13"/>
              </w:rPr>
              <w:t>√</w:t>
            </w:r>
          </w:p>
        </w:tc>
        <w:tc>
          <w:tcPr>
            <w:tcW w:w="225" w:type="dxa"/>
            <w:vAlign w:val="top"/>
          </w:tcPr>
          <w:p w14:paraId="3042181A">
            <w:pPr>
              <w:rPr>
                <w:rFonts w:ascii="Arial"/>
                <w:sz w:val="21"/>
              </w:rPr>
            </w:pPr>
          </w:p>
        </w:tc>
      </w:tr>
      <w:tr w14:paraId="675891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9" w:hRule="atLeast"/>
        </w:trPr>
        <w:tc>
          <w:tcPr>
            <w:tcW w:w="883" w:type="dxa"/>
            <w:vMerge w:val="continue"/>
            <w:tcBorders>
              <w:top w:val="nil"/>
            </w:tcBorders>
            <w:vAlign w:val="top"/>
          </w:tcPr>
          <w:p w14:paraId="2212F307">
            <w:pPr>
              <w:rPr>
                <w:rFonts w:ascii="Arial"/>
                <w:sz w:val="21"/>
              </w:rPr>
            </w:pPr>
          </w:p>
        </w:tc>
        <w:tc>
          <w:tcPr>
            <w:tcW w:w="2334" w:type="dxa"/>
            <w:vMerge w:val="continue"/>
            <w:tcBorders>
              <w:top w:val="nil"/>
            </w:tcBorders>
            <w:vAlign w:val="top"/>
          </w:tcPr>
          <w:p w14:paraId="3F5FAA04">
            <w:pPr>
              <w:rPr>
                <w:rFonts w:ascii="Arial"/>
                <w:sz w:val="21"/>
              </w:rPr>
            </w:pPr>
          </w:p>
        </w:tc>
        <w:tc>
          <w:tcPr>
            <w:tcW w:w="219" w:type="dxa"/>
            <w:vAlign w:val="top"/>
          </w:tcPr>
          <w:p w14:paraId="14AEB78C">
            <w:pPr>
              <w:rPr>
                <w:rFonts w:ascii="Arial"/>
                <w:sz w:val="21"/>
              </w:rPr>
            </w:pPr>
          </w:p>
        </w:tc>
        <w:tc>
          <w:tcPr>
            <w:tcW w:w="240" w:type="dxa"/>
            <w:vAlign w:val="top"/>
          </w:tcPr>
          <w:p w14:paraId="4BFDCA65">
            <w:pPr>
              <w:pStyle w:val="6"/>
              <w:spacing w:before="170" w:line="238" w:lineRule="auto"/>
              <w:ind w:left="48"/>
              <w:rPr>
                <w:sz w:val="13"/>
                <w:szCs w:val="13"/>
              </w:rPr>
            </w:pPr>
            <w:r>
              <w:rPr>
                <w:sz w:val="13"/>
                <w:szCs w:val="13"/>
              </w:rPr>
              <w:t>√</w:t>
            </w:r>
          </w:p>
        </w:tc>
        <w:tc>
          <w:tcPr>
            <w:tcW w:w="229" w:type="dxa"/>
            <w:vAlign w:val="top"/>
          </w:tcPr>
          <w:p w14:paraId="5C33F164">
            <w:pPr>
              <w:rPr>
                <w:rFonts w:ascii="Arial"/>
                <w:sz w:val="21"/>
              </w:rPr>
            </w:pPr>
          </w:p>
        </w:tc>
        <w:tc>
          <w:tcPr>
            <w:tcW w:w="225" w:type="dxa"/>
            <w:vAlign w:val="top"/>
          </w:tcPr>
          <w:p w14:paraId="4095AA0E">
            <w:pPr>
              <w:rPr>
                <w:rFonts w:ascii="Arial"/>
                <w:sz w:val="21"/>
              </w:rPr>
            </w:pPr>
          </w:p>
        </w:tc>
      </w:tr>
      <w:tr w14:paraId="2D4871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9" w:hRule="atLeast"/>
        </w:trPr>
        <w:tc>
          <w:tcPr>
            <w:tcW w:w="883" w:type="dxa"/>
            <w:vMerge w:val="restart"/>
            <w:tcBorders>
              <w:bottom w:val="nil"/>
            </w:tcBorders>
            <w:vAlign w:val="top"/>
          </w:tcPr>
          <w:p w14:paraId="0489BE0D">
            <w:pPr>
              <w:spacing w:line="273" w:lineRule="auto"/>
              <w:rPr>
                <w:rFonts w:ascii="Arial"/>
                <w:sz w:val="21"/>
              </w:rPr>
            </w:pPr>
          </w:p>
          <w:p w14:paraId="0AE2D90A">
            <w:pPr>
              <w:spacing w:line="273" w:lineRule="auto"/>
              <w:rPr>
                <w:rFonts w:ascii="Arial"/>
                <w:sz w:val="21"/>
              </w:rPr>
            </w:pPr>
          </w:p>
          <w:p w14:paraId="3664ECD3">
            <w:pPr>
              <w:spacing w:line="274" w:lineRule="auto"/>
              <w:rPr>
                <w:rFonts w:ascii="Arial"/>
                <w:sz w:val="21"/>
              </w:rPr>
            </w:pPr>
          </w:p>
          <w:p w14:paraId="7F1604CF">
            <w:pPr>
              <w:spacing w:line="274" w:lineRule="auto"/>
              <w:rPr>
                <w:rFonts w:ascii="Arial"/>
                <w:sz w:val="21"/>
              </w:rPr>
            </w:pPr>
          </w:p>
          <w:p w14:paraId="4303359C">
            <w:pPr>
              <w:pStyle w:val="6"/>
              <w:spacing w:before="58" w:line="219" w:lineRule="auto"/>
              <w:ind w:left="165"/>
              <w:rPr>
                <w:sz w:val="18"/>
                <w:szCs w:val="18"/>
              </w:rPr>
            </w:pPr>
            <w:r>
              <w:rPr>
                <w:spacing w:val="-3"/>
                <w:sz w:val="18"/>
                <w:szCs w:val="18"/>
              </w:rPr>
              <w:t>下腔静</w:t>
            </w:r>
          </w:p>
          <w:p w14:paraId="3B697991">
            <w:pPr>
              <w:pStyle w:val="6"/>
              <w:spacing w:before="9" w:line="221" w:lineRule="auto"/>
              <w:ind w:left="254"/>
              <w:rPr>
                <w:sz w:val="18"/>
                <w:szCs w:val="18"/>
              </w:rPr>
            </w:pPr>
            <w:r>
              <w:rPr>
                <w:spacing w:val="8"/>
                <w:sz w:val="18"/>
                <w:szCs w:val="18"/>
              </w:rPr>
              <w:t>脉系</w:t>
            </w:r>
          </w:p>
        </w:tc>
        <w:tc>
          <w:tcPr>
            <w:tcW w:w="2334" w:type="dxa"/>
            <w:vMerge w:val="restart"/>
            <w:tcBorders>
              <w:bottom w:val="nil"/>
            </w:tcBorders>
            <w:vAlign w:val="top"/>
          </w:tcPr>
          <w:p w14:paraId="6224354F">
            <w:pPr>
              <w:pStyle w:val="6"/>
              <w:spacing w:before="59" w:line="218" w:lineRule="auto"/>
              <w:ind w:left="12" w:right="134" w:firstLine="10"/>
              <w:rPr>
                <w:sz w:val="18"/>
                <w:szCs w:val="18"/>
              </w:rPr>
            </w:pPr>
            <w:r>
              <w:rPr>
                <w:sz w:val="18"/>
                <w:szCs w:val="18"/>
              </w:rPr>
              <w:t>1.下腔静脉的组成部位和收</w:t>
            </w:r>
            <w:r>
              <w:rPr>
                <w:spacing w:val="6"/>
                <w:sz w:val="18"/>
                <w:szCs w:val="18"/>
              </w:rPr>
              <w:t xml:space="preserve"> </w:t>
            </w:r>
            <w:r>
              <w:rPr>
                <w:spacing w:val="5"/>
                <w:sz w:val="18"/>
                <w:szCs w:val="18"/>
              </w:rPr>
              <w:t>集范围</w:t>
            </w:r>
          </w:p>
          <w:p w14:paraId="56DCE4D8">
            <w:pPr>
              <w:pStyle w:val="6"/>
              <w:spacing w:before="36" w:line="212" w:lineRule="auto"/>
              <w:ind w:left="12" w:right="41" w:firstLine="20"/>
              <w:rPr>
                <w:sz w:val="18"/>
                <w:szCs w:val="18"/>
              </w:rPr>
            </w:pPr>
            <w:r>
              <w:rPr>
                <w:spacing w:val="6"/>
                <w:sz w:val="18"/>
                <w:szCs w:val="18"/>
              </w:rPr>
              <w:t>2.大隐静脉的起始、行程、</w:t>
            </w:r>
            <w:r>
              <w:rPr>
                <w:spacing w:val="11"/>
                <w:sz w:val="18"/>
                <w:szCs w:val="18"/>
              </w:rPr>
              <w:t xml:space="preserve"> </w:t>
            </w:r>
            <w:r>
              <w:rPr>
                <w:spacing w:val="-1"/>
                <w:sz w:val="18"/>
                <w:szCs w:val="18"/>
              </w:rPr>
              <w:t>注入部位及其临床意义</w:t>
            </w:r>
          </w:p>
          <w:p w14:paraId="7A11EAD0">
            <w:pPr>
              <w:pStyle w:val="6"/>
              <w:spacing w:before="16" w:line="207" w:lineRule="auto"/>
              <w:ind w:left="12" w:right="117" w:firstLine="20"/>
              <w:rPr>
                <w:sz w:val="18"/>
                <w:szCs w:val="18"/>
              </w:rPr>
            </w:pPr>
            <w:r>
              <w:rPr>
                <w:spacing w:val="1"/>
                <w:sz w:val="18"/>
                <w:szCs w:val="18"/>
              </w:rPr>
              <w:t>3.小隐静脉的起始、行程和</w:t>
            </w:r>
            <w:r>
              <w:rPr>
                <w:sz w:val="18"/>
                <w:szCs w:val="18"/>
              </w:rPr>
              <w:t xml:space="preserve"> </w:t>
            </w:r>
            <w:r>
              <w:rPr>
                <w:spacing w:val="-2"/>
                <w:sz w:val="18"/>
                <w:szCs w:val="18"/>
              </w:rPr>
              <w:t>注入部位</w:t>
            </w:r>
          </w:p>
          <w:p w14:paraId="5D2DD406">
            <w:pPr>
              <w:pStyle w:val="6"/>
              <w:spacing w:before="25" w:line="223" w:lineRule="auto"/>
              <w:ind w:left="12" w:right="137"/>
              <w:rPr>
                <w:sz w:val="18"/>
                <w:szCs w:val="18"/>
              </w:rPr>
            </w:pPr>
            <w:r>
              <w:rPr>
                <w:spacing w:val="1"/>
                <w:sz w:val="18"/>
                <w:szCs w:val="18"/>
              </w:rPr>
              <w:t>4.睾丸静脉的注入部位和临</w:t>
            </w:r>
            <w:r>
              <w:rPr>
                <w:sz w:val="18"/>
                <w:szCs w:val="18"/>
              </w:rPr>
              <w:t xml:space="preserve"> </w:t>
            </w:r>
            <w:r>
              <w:rPr>
                <w:spacing w:val="-2"/>
                <w:sz w:val="18"/>
                <w:szCs w:val="18"/>
              </w:rPr>
              <w:t>床意义</w:t>
            </w:r>
          </w:p>
          <w:p w14:paraId="0B9DCDBA">
            <w:pPr>
              <w:pStyle w:val="6"/>
              <w:spacing w:before="4" w:line="218" w:lineRule="auto"/>
              <w:ind w:left="12" w:right="132" w:firstLine="10"/>
              <w:rPr>
                <w:sz w:val="18"/>
                <w:szCs w:val="18"/>
              </w:rPr>
            </w:pPr>
            <w:r>
              <w:rPr>
                <w:sz w:val="18"/>
                <w:szCs w:val="18"/>
              </w:rPr>
              <w:t>5.门静脉的组成、主要属支</w:t>
            </w:r>
            <w:r>
              <w:rPr>
                <w:spacing w:val="8"/>
                <w:sz w:val="18"/>
                <w:szCs w:val="18"/>
              </w:rPr>
              <w:t xml:space="preserve"> </w:t>
            </w:r>
            <w:r>
              <w:rPr>
                <w:spacing w:val="3"/>
                <w:sz w:val="18"/>
                <w:szCs w:val="18"/>
              </w:rPr>
              <w:t>及收集范围</w:t>
            </w:r>
          </w:p>
          <w:p w14:paraId="4F767411">
            <w:pPr>
              <w:pStyle w:val="6"/>
              <w:spacing w:before="15" w:line="208" w:lineRule="auto"/>
              <w:ind w:left="12" w:right="137"/>
              <w:rPr>
                <w:sz w:val="18"/>
                <w:szCs w:val="18"/>
              </w:rPr>
            </w:pPr>
            <w:r>
              <w:rPr>
                <w:spacing w:val="1"/>
                <w:sz w:val="18"/>
                <w:szCs w:val="18"/>
              </w:rPr>
              <w:t>6.门静脉与上、下腔静脉的</w:t>
            </w:r>
            <w:r>
              <w:rPr>
                <w:sz w:val="18"/>
                <w:szCs w:val="18"/>
              </w:rPr>
              <w:t xml:space="preserve"> 吻合部位及其临床意义</w:t>
            </w:r>
          </w:p>
        </w:tc>
        <w:tc>
          <w:tcPr>
            <w:tcW w:w="219" w:type="dxa"/>
            <w:vAlign w:val="top"/>
          </w:tcPr>
          <w:p w14:paraId="1E10CEFD">
            <w:pPr>
              <w:rPr>
                <w:rFonts w:ascii="Arial"/>
                <w:sz w:val="21"/>
              </w:rPr>
            </w:pPr>
          </w:p>
        </w:tc>
        <w:tc>
          <w:tcPr>
            <w:tcW w:w="240" w:type="dxa"/>
            <w:vAlign w:val="top"/>
          </w:tcPr>
          <w:p w14:paraId="7E2191D0">
            <w:pPr>
              <w:pStyle w:val="6"/>
              <w:spacing w:before="131" w:line="238" w:lineRule="auto"/>
              <w:ind w:left="19"/>
              <w:rPr>
                <w:sz w:val="13"/>
                <w:szCs w:val="13"/>
              </w:rPr>
            </w:pPr>
            <w:r>
              <w:rPr>
                <w:sz w:val="13"/>
                <w:szCs w:val="13"/>
              </w:rPr>
              <w:t>√</w:t>
            </w:r>
          </w:p>
        </w:tc>
        <w:tc>
          <w:tcPr>
            <w:tcW w:w="229" w:type="dxa"/>
            <w:vAlign w:val="top"/>
          </w:tcPr>
          <w:p w14:paraId="31B61E02">
            <w:pPr>
              <w:rPr>
                <w:rFonts w:ascii="Arial"/>
                <w:sz w:val="21"/>
              </w:rPr>
            </w:pPr>
          </w:p>
        </w:tc>
        <w:tc>
          <w:tcPr>
            <w:tcW w:w="225" w:type="dxa"/>
            <w:vAlign w:val="top"/>
          </w:tcPr>
          <w:p w14:paraId="376C8138">
            <w:pPr>
              <w:rPr>
                <w:rFonts w:ascii="Arial"/>
                <w:sz w:val="21"/>
              </w:rPr>
            </w:pPr>
          </w:p>
        </w:tc>
      </w:tr>
      <w:tr w14:paraId="74F7D8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9" w:hRule="atLeast"/>
        </w:trPr>
        <w:tc>
          <w:tcPr>
            <w:tcW w:w="883" w:type="dxa"/>
            <w:vMerge w:val="continue"/>
            <w:tcBorders>
              <w:top w:val="nil"/>
              <w:bottom w:val="nil"/>
            </w:tcBorders>
            <w:vAlign w:val="top"/>
          </w:tcPr>
          <w:p w14:paraId="11F29F40">
            <w:pPr>
              <w:rPr>
                <w:rFonts w:ascii="Arial"/>
                <w:sz w:val="21"/>
              </w:rPr>
            </w:pPr>
          </w:p>
        </w:tc>
        <w:tc>
          <w:tcPr>
            <w:tcW w:w="2334" w:type="dxa"/>
            <w:vMerge w:val="continue"/>
            <w:tcBorders>
              <w:top w:val="nil"/>
              <w:bottom w:val="nil"/>
            </w:tcBorders>
            <w:vAlign w:val="top"/>
          </w:tcPr>
          <w:p w14:paraId="4C629346">
            <w:pPr>
              <w:rPr>
                <w:rFonts w:ascii="Arial"/>
                <w:sz w:val="21"/>
              </w:rPr>
            </w:pPr>
          </w:p>
        </w:tc>
        <w:tc>
          <w:tcPr>
            <w:tcW w:w="219" w:type="dxa"/>
            <w:vAlign w:val="top"/>
          </w:tcPr>
          <w:p w14:paraId="32A37FDB">
            <w:pPr>
              <w:rPr>
                <w:rFonts w:ascii="Arial"/>
                <w:sz w:val="21"/>
              </w:rPr>
            </w:pPr>
          </w:p>
        </w:tc>
        <w:tc>
          <w:tcPr>
            <w:tcW w:w="240" w:type="dxa"/>
            <w:vAlign w:val="top"/>
          </w:tcPr>
          <w:p w14:paraId="61F7BB83">
            <w:pPr>
              <w:pStyle w:val="6"/>
              <w:spacing w:before="192" w:line="238" w:lineRule="auto"/>
              <w:ind w:left="48"/>
              <w:rPr>
                <w:sz w:val="13"/>
                <w:szCs w:val="13"/>
              </w:rPr>
            </w:pPr>
            <w:r>
              <w:rPr>
                <w:sz w:val="13"/>
                <w:szCs w:val="13"/>
              </w:rPr>
              <w:t>√</w:t>
            </w:r>
          </w:p>
        </w:tc>
        <w:tc>
          <w:tcPr>
            <w:tcW w:w="229" w:type="dxa"/>
            <w:vAlign w:val="top"/>
          </w:tcPr>
          <w:p w14:paraId="6F3B6BBD">
            <w:pPr>
              <w:rPr>
                <w:rFonts w:ascii="Arial"/>
                <w:sz w:val="21"/>
              </w:rPr>
            </w:pPr>
          </w:p>
        </w:tc>
        <w:tc>
          <w:tcPr>
            <w:tcW w:w="225" w:type="dxa"/>
            <w:vAlign w:val="top"/>
          </w:tcPr>
          <w:p w14:paraId="556A0935">
            <w:pPr>
              <w:rPr>
                <w:rFonts w:ascii="Arial"/>
                <w:sz w:val="21"/>
              </w:rPr>
            </w:pPr>
          </w:p>
        </w:tc>
      </w:tr>
      <w:tr w14:paraId="1C73FF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883" w:type="dxa"/>
            <w:vMerge w:val="continue"/>
            <w:tcBorders>
              <w:top w:val="nil"/>
              <w:bottom w:val="nil"/>
            </w:tcBorders>
            <w:vAlign w:val="top"/>
          </w:tcPr>
          <w:p w14:paraId="636A96DD">
            <w:pPr>
              <w:rPr>
                <w:rFonts w:ascii="Arial"/>
                <w:sz w:val="21"/>
              </w:rPr>
            </w:pPr>
          </w:p>
        </w:tc>
        <w:tc>
          <w:tcPr>
            <w:tcW w:w="2334" w:type="dxa"/>
            <w:vMerge w:val="continue"/>
            <w:tcBorders>
              <w:top w:val="nil"/>
              <w:bottom w:val="nil"/>
            </w:tcBorders>
            <w:vAlign w:val="top"/>
          </w:tcPr>
          <w:p w14:paraId="68CC78E1">
            <w:pPr>
              <w:rPr>
                <w:rFonts w:ascii="Arial"/>
                <w:sz w:val="21"/>
              </w:rPr>
            </w:pPr>
          </w:p>
        </w:tc>
        <w:tc>
          <w:tcPr>
            <w:tcW w:w="219" w:type="dxa"/>
            <w:vAlign w:val="top"/>
          </w:tcPr>
          <w:p w14:paraId="2E76F309">
            <w:pPr>
              <w:pStyle w:val="6"/>
              <w:spacing w:before="133" w:line="238" w:lineRule="auto"/>
              <w:ind w:left="18"/>
              <w:rPr>
                <w:sz w:val="13"/>
                <w:szCs w:val="13"/>
              </w:rPr>
            </w:pPr>
            <w:r>
              <w:rPr>
                <w:sz w:val="13"/>
                <w:szCs w:val="13"/>
              </w:rPr>
              <w:t>√</w:t>
            </w:r>
          </w:p>
        </w:tc>
        <w:tc>
          <w:tcPr>
            <w:tcW w:w="240" w:type="dxa"/>
            <w:vAlign w:val="top"/>
          </w:tcPr>
          <w:p w14:paraId="4335CCA3">
            <w:pPr>
              <w:rPr>
                <w:rFonts w:ascii="Arial"/>
                <w:sz w:val="21"/>
              </w:rPr>
            </w:pPr>
          </w:p>
        </w:tc>
        <w:tc>
          <w:tcPr>
            <w:tcW w:w="229" w:type="dxa"/>
            <w:vAlign w:val="top"/>
          </w:tcPr>
          <w:p w14:paraId="0C596285">
            <w:pPr>
              <w:rPr>
                <w:rFonts w:ascii="Arial"/>
                <w:sz w:val="21"/>
              </w:rPr>
            </w:pPr>
          </w:p>
        </w:tc>
        <w:tc>
          <w:tcPr>
            <w:tcW w:w="225" w:type="dxa"/>
            <w:vAlign w:val="top"/>
          </w:tcPr>
          <w:p w14:paraId="347D0EE8">
            <w:pPr>
              <w:rPr>
                <w:rFonts w:ascii="Arial"/>
                <w:sz w:val="21"/>
              </w:rPr>
            </w:pPr>
          </w:p>
        </w:tc>
      </w:tr>
      <w:tr w14:paraId="453D6A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0" w:hRule="atLeast"/>
        </w:trPr>
        <w:tc>
          <w:tcPr>
            <w:tcW w:w="883" w:type="dxa"/>
            <w:vMerge w:val="continue"/>
            <w:tcBorders>
              <w:top w:val="nil"/>
              <w:bottom w:val="nil"/>
            </w:tcBorders>
            <w:vAlign w:val="top"/>
          </w:tcPr>
          <w:p w14:paraId="1AC1C6C9">
            <w:pPr>
              <w:rPr>
                <w:rFonts w:ascii="Arial"/>
                <w:sz w:val="21"/>
              </w:rPr>
            </w:pPr>
          </w:p>
        </w:tc>
        <w:tc>
          <w:tcPr>
            <w:tcW w:w="2334" w:type="dxa"/>
            <w:vMerge w:val="continue"/>
            <w:tcBorders>
              <w:top w:val="nil"/>
              <w:bottom w:val="nil"/>
            </w:tcBorders>
            <w:vAlign w:val="top"/>
          </w:tcPr>
          <w:p w14:paraId="7278838E">
            <w:pPr>
              <w:rPr>
                <w:rFonts w:ascii="Arial"/>
                <w:sz w:val="21"/>
              </w:rPr>
            </w:pPr>
          </w:p>
        </w:tc>
        <w:tc>
          <w:tcPr>
            <w:tcW w:w="219" w:type="dxa"/>
            <w:vAlign w:val="top"/>
          </w:tcPr>
          <w:p w14:paraId="2D95D232">
            <w:pPr>
              <w:rPr>
                <w:rFonts w:ascii="Arial"/>
                <w:sz w:val="21"/>
              </w:rPr>
            </w:pPr>
          </w:p>
        </w:tc>
        <w:tc>
          <w:tcPr>
            <w:tcW w:w="240" w:type="dxa"/>
            <w:vAlign w:val="top"/>
          </w:tcPr>
          <w:p w14:paraId="724D82CE">
            <w:pPr>
              <w:pStyle w:val="6"/>
              <w:spacing w:before="114" w:line="238" w:lineRule="auto"/>
              <w:ind w:left="48"/>
              <w:rPr>
                <w:sz w:val="13"/>
                <w:szCs w:val="13"/>
              </w:rPr>
            </w:pPr>
            <w:r>
              <w:rPr>
                <w:sz w:val="13"/>
                <w:szCs w:val="13"/>
              </w:rPr>
              <w:t>√</w:t>
            </w:r>
          </w:p>
        </w:tc>
        <w:tc>
          <w:tcPr>
            <w:tcW w:w="229" w:type="dxa"/>
            <w:vAlign w:val="top"/>
          </w:tcPr>
          <w:p w14:paraId="33C3AA86">
            <w:pPr>
              <w:rPr>
                <w:rFonts w:ascii="Arial"/>
                <w:sz w:val="21"/>
              </w:rPr>
            </w:pPr>
          </w:p>
        </w:tc>
        <w:tc>
          <w:tcPr>
            <w:tcW w:w="225" w:type="dxa"/>
            <w:vAlign w:val="top"/>
          </w:tcPr>
          <w:p w14:paraId="37A42ECD">
            <w:pPr>
              <w:rPr>
                <w:rFonts w:ascii="Arial"/>
                <w:sz w:val="21"/>
              </w:rPr>
            </w:pPr>
          </w:p>
        </w:tc>
      </w:tr>
      <w:tr w14:paraId="369A58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59" w:hRule="atLeast"/>
        </w:trPr>
        <w:tc>
          <w:tcPr>
            <w:tcW w:w="883" w:type="dxa"/>
            <w:vMerge w:val="continue"/>
            <w:tcBorders>
              <w:top w:val="nil"/>
              <w:bottom w:val="nil"/>
            </w:tcBorders>
            <w:vAlign w:val="top"/>
          </w:tcPr>
          <w:p w14:paraId="5BE409BD">
            <w:pPr>
              <w:rPr>
                <w:rFonts w:ascii="Arial"/>
                <w:sz w:val="21"/>
              </w:rPr>
            </w:pPr>
          </w:p>
        </w:tc>
        <w:tc>
          <w:tcPr>
            <w:tcW w:w="2334" w:type="dxa"/>
            <w:vMerge w:val="continue"/>
            <w:tcBorders>
              <w:top w:val="nil"/>
              <w:bottom w:val="nil"/>
            </w:tcBorders>
            <w:vAlign w:val="top"/>
          </w:tcPr>
          <w:p w14:paraId="2C3A363D">
            <w:pPr>
              <w:rPr>
                <w:rFonts w:ascii="Arial"/>
                <w:sz w:val="21"/>
              </w:rPr>
            </w:pPr>
          </w:p>
        </w:tc>
        <w:tc>
          <w:tcPr>
            <w:tcW w:w="219" w:type="dxa"/>
            <w:vAlign w:val="top"/>
          </w:tcPr>
          <w:p w14:paraId="05B88DB5">
            <w:pPr>
              <w:rPr>
                <w:rFonts w:ascii="Arial"/>
                <w:sz w:val="21"/>
              </w:rPr>
            </w:pPr>
          </w:p>
        </w:tc>
        <w:tc>
          <w:tcPr>
            <w:tcW w:w="240" w:type="dxa"/>
            <w:vAlign w:val="top"/>
          </w:tcPr>
          <w:p w14:paraId="3DE328B9">
            <w:pPr>
              <w:rPr>
                <w:rFonts w:ascii="Arial"/>
                <w:sz w:val="21"/>
              </w:rPr>
            </w:pPr>
          </w:p>
        </w:tc>
        <w:tc>
          <w:tcPr>
            <w:tcW w:w="229" w:type="dxa"/>
            <w:vAlign w:val="top"/>
          </w:tcPr>
          <w:p w14:paraId="071EEE80">
            <w:pPr>
              <w:rPr>
                <w:rFonts w:ascii="Arial"/>
                <w:sz w:val="21"/>
              </w:rPr>
            </w:pPr>
          </w:p>
        </w:tc>
        <w:tc>
          <w:tcPr>
            <w:tcW w:w="225" w:type="dxa"/>
            <w:vAlign w:val="top"/>
          </w:tcPr>
          <w:p w14:paraId="4A8F0ADF">
            <w:pPr>
              <w:rPr>
                <w:rFonts w:ascii="Arial"/>
                <w:sz w:val="21"/>
              </w:rPr>
            </w:pPr>
          </w:p>
        </w:tc>
      </w:tr>
      <w:tr w14:paraId="2A7F89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9" w:hRule="atLeast"/>
        </w:trPr>
        <w:tc>
          <w:tcPr>
            <w:tcW w:w="883" w:type="dxa"/>
            <w:vMerge w:val="continue"/>
            <w:tcBorders>
              <w:top w:val="nil"/>
            </w:tcBorders>
            <w:vAlign w:val="top"/>
          </w:tcPr>
          <w:p w14:paraId="37433DAF">
            <w:pPr>
              <w:rPr>
                <w:rFonts w:ascii="Arial"/>
                <w:sz w:val="21"/>
              </w:rPr>
            </w:pPr>
          </w:p>
        </w:tc>
        <w:tc>
          <w:tcPr>
            <w:tcW w:w="2334" w:type="dxa"/>
            <w:vMerge w:val="continue"/>
            <w:tcBorders>
              <w:top w:val="nil"/>
            </w:tcBorders>
            <w:vAlign w:val="top"/>
          </w:tcPr>
          <w:p w14:paraId="263187DB">
            <w:pPr>
              <w:rPr>
                <w:rFonts w:ascii="Arial"/>
                <w:sz w:val="21"/>
              </w:rPr>
            </w:pPr>
          </w:p>
        </w:tc>
        <w:tc>
          <w:tcPr>
            <w:tcW w:w="219" w:type="dxa"/>
            <w:vAlign w:val="top"/>
          </w:tcPr>
          <w:p w14:paraId="34E59F62">
            <w:pPr>
              <w:rPr>
                <w:rFonts w:ascii="Arial"/>
                <w:sz w:val="21"/>
              </w:rPr>
            </w:pPr>
          </w:p>
        </w:tc>
        <w:tc>
          <w:tcPr>
            <w:tcW w:w="240" w:type="dxa"/>
            <w:vAlign w:val="top"/>
          </w:tcPr>
          <w:p w14:paraId="5E89B329">
            <w:pPr>
              <w:rPr>
                <w:rFonts w:ascii="Arial"/>
                <w:sz w:val="21"/>
              </w:rPr>
            </w:pPr>
          </w:p>
        </w:tc>
        <w:tc>
          <w:tcPr>
            <w:tcW w:w="229" w:type="dxa"/>
            <w:vAlign w:val="top"/>
          </w:tcPr>
          <w:p w14:paraId="3006ACD2">
            <w:pPr>
              <w:rPr>
                <w:rFonts w:ascii="Arial"/>
                <w:sz w:val="21"/>
              </w:rPr>
            </w:pPr>
          </w:p>
        </w:tc>
        <w:tc>
          <w:tcPr>
            <w:tcW w:w="225" w:type="dxa"/>
            <w:vAlign w:val="top"/>
          </w:tcPr>
          <w:p w14:paraId="2C71FDFF">
            <w:pPr>
              <w:pStyle w:val="6"/>
              <w:spacing w:before="175" w:line="238" w:lineRule="auto"/>
              <w:ind w:left="40"/>
              <w:rPr>
                <w:sz w:val="13"/>
                <w:szCs w:val="13"/>
              </w:rPr>
            </w:pPr>
            <w:r>
              <w:rPr>
                <w:sz w:val="13"/>
                <w:szCs w:val="13"/>
              </w:rPr>
              <w:t>√</w:t>
            </w:r>
          </w:p>
        </w:tc>
      </w:tr>
      <w:tr w14:paraId="5A7652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trPr>
        <w:tc>
          <w:tcPr>
            <w:tcW w:w="883" w:type="dxa"/>
            <w:vMerge w:val="restart"/>
            <w:tcBorders>
              <w:bottom w:val="nil"/>
            </w:tcBorders>
            <w:vAlign w:val="top"/>
          </w:tcPr>
          <w:p w14:paraId="39CF8841">
            <w:pPr>
              <w:rPr>
                <w:rFonts w:ascii="Arial"/>
                <w:sz w:val="21"/>
              </w:rPr>
            </w:pPr>
          </w:p>
          <w:p w14:paraId="31CF32A4">
            <w:pPr>
              <w:rPr>
                <w:rFonts w:ascii="Arial"/>
                <w:sz w:val="21"/>
              </w:rPr>
            </w:pPr>
          </w:p>
          <w:p w14:paraId="499D17CD">
            <w:pPr>
              <w:rPr>
                <w:rFonts w:ascii="Arial"/>
                <w:sz w:val="21"/>
              </w:rPr>
            </w:pPr>
          </w:p>
          <w:p w14:paraId="4EA13A9C">
            <w:pPr>
              <w:pStyle w:val="6"/>
              <w:spacing w:before="59" w:line="218" w:lineRule="auto"/>
              <w:ind w:left="75"/>
              <w:rPr>
                <w:sz w:val="18"/>
                <w:szCs w:val="18"/>
              </w:rPr>
            </w:pPr>
            <w:r>
              <w:rPr>
                <w:spacing w:val="-2"/>
                <w:sz w:val="18"/>
                <w:szCs w:val="18"/>
              </w:rPr>
              <w:t>淋巴系统</w:t>
            </w:r>
          </w:p>
        </w:tc>
        <w:tc>
          <w:tcPr>
            <w:tcW w:w="2334" w:type="dxa"/>
            <w:vMerge w:val="restart"/>
            <w:tcBorders>
              <w:bottom w:val="nil"/>
            </w:tcBorders>
            <w:vAlign w:val="top"/>
          </w:tcPr>
          <w:p w14:paraId="0EAFF280">
            <w:pPr>
              <w:pStyle w:val="6"/>
              <w:spacing w:before="34" w:line="226" w:lineRule="auto"/>
              <w:ind w:left="12" w:right="863"/>
              <w:rPr>
                <w:sz w:val="18"/>
                <w:szCs w:val="18"/>
              </w:rPr>
            </w:pPr>
            <w:r>
              <w:rPr>
                <w:sz w:val="18"/>
                <w:szCs w:val="18"/>
              </w:rPr>
              <w:t>1.淋巴系统的组成</w:t>
            </w:r>
            <w:r>
              <w:rPr>
                <w:spacing w:val="7"/>
                <w:sz w:val="18"/>
                <w:szCs w:val="18"/>
              </w:rPr>
              <w:t xml:space="preserve"> </w:t>
            </w:r>
            <w:r>
              <w:rPr>
                <w:spacing w:val="-2"/>
                <w:sz w:val="18"/>
                <w:szCs w:val="18"/>
              </w:rPr>
              <w:t>2.淋巴干的名称</w:t>
            </w:r>
          </w:p>
          <w:p w14:paraId="364F5964">
            <w:pPr>
              <w:pStyle w:val="6"/>
              <w:spacing w:line="217" w:lineRule="auto"/>
              <w:ind w:left="12" w:right="152" w:firstLine="10"/>
              <w:rPr>
                <w:sz w:val="18"/>
                <w:szCs w:val="18"/>
              </w:rPr>
            </w:pPr>
            <w:r>
              <w:rPr>
                <w:spacing w:val="-1"/>
                <w:sz w:val="18"/>
                <w:szCs w:val="18"/>
              </w:rPr>
              <w:t>3.胸导管的起始、注入部位</w:t>
            </w:r>
            <w:r>
              <w:rPr>
                <w:spacing w:val="1"/>
                <w:sz w:val="18"/>
                <w:szCs w:val="18"/>
              </w:rPr>
              <w:t xml:space="preserve"> </w:t>
            </w:r>
            <w:r>
              <w:rPr>
                <w:spacing w:val="3"/>
                <w:sz w:val="18"/>
                <w:szCs w:val="18"/>
              </w:rPr>
              <w:t>和收集范围</w:t>
            </w:r>
          </w:p>
          <w:p w14:paraId="3651DAA1">
            <w:pPr>
              <w:pStyle w:val="6"/>
              <w:spacing w:before="4" w:line="218" w:lineRule="auto"/>
              <w:ind w:left="12"/>
              <w:rPr>
                <w:sz w:val="18"/>
                <w:szCs w:val="18"/>
              </w:rPr>
            </w:pPr>
            <w:r>
              <w:rPr>
                <w:spacing w:val="-1"/>
                <w:sz w:val="18"/>
                <w:szCs w:val="18"/>
              </w:rPr>
              <w:t>4.颈外侧浅、深淋巴结和腋</w:t>
            </w:r>
          </w:p>
          <w:p w14:paraId="548E10CC">
            <w:pPr>
              <w:pStyle w:val="6"/>
              <w:spacing w:before="16" w:line="212" w:lineRule="auto"/>
              <w:ind w:left="12" w:right="675"/>
              <w:rPr>
                <w:sz w:val="18"/>
                <w:szCs w:val="18"/>
              </w:rPr>
            </w:pPr>
            <w:r>
              <w:rPr>
                <w:spacing w:val="1"/>
                <w:sz w:val="18"/>
                <w:szCs w:val="18"/>
              </w:rPr>
              <w:t>窝淋巴结的收集范围</w:t>
            </w:r>
            <w:r>
              <w:rPr>
                <w:spacing w:val="6"/>
                <w:sz w:val="18"/>
                <w:szCs w:val="18"/>
              </w:rPr>
              <w:t xml:space="preserve"> </w:t>
            </w:r>
            <w:r>
              <w:rPr>
                <w:spacing w:val="-2"/>
                <w:sz w:val="18"/>
                <w:szCs w:val="18"/>
              </w:rPr>
              <w:t>5.脾的位置和外形</w:t>
            </w:r>
          </w:p>
          <w:p w14:paraId="769040DC">
            <w:pPr>
              <w:pStyle w:val="6"/>
              <w:spacing w:line="191" w:lineRule="auto"/>
              <w:ind w:left="12"/>
              <w:rPr>
                <w:sz w:val="18"/>
                <w:szCs w:val="18"/>
              </w:rPr>
            </w:pPr>
            <w:r>
              <w:rPr>
                <w:spacing w:val="-1"/>
                <w:sz w:val="18"/>
                <w:szCs w:val="18"/>
              </w:rPr>
              <w:t>6.胸腺的位置的功能</w:t>
            </w:r>
          </w:p>
        </w:tc>
        <w:tc>
          <w:tcPr>
            <w:tcW w:w="219" w:type="dxa"/>
            <w:vAlign w:val="top"/>
          </w:tcPr>
          <w:p w14:paraId="0E58DCB1">
            <w:pPr>
              <w:rPr>
                <w:rFonts w:ascii="Arial"/>
                <w:sz w:val="21"/>
              </w:rPr>
            </w:pPr>
          </w:p>
        </w:tc>
        <w:tc>
          <w:tcPr>
            <w:tcW w:w="240" w:type="dxa"/>
            <w:vAlign w:val="top"/>
          </w:tcPr>
          <w:p w14:paraId="5EC56CA3">
            <w:pPr>
              <w:rPr>
                <w:rFonts w:ascii="Arial"/>
                <w:sz w:val="21"/>
              </w:rPr>
            </w:pPr>
          </w:p>
        </w:tc>
        <w:tc>
          <w:tcPr>
            <w:tcW w:w="229" w:type="dxa"/>
            <w:vAlign w:val="top"/>
          </w:tcPr>
          <w:p w14:paraId="467E2401">
            <w:pPr>
              <w:rPr>
                <w:rFonts w:ascii="Arial"/>
                <w:sz w:val="21"/>
              </w:rPr>
            </w:pPr>
          </w:p>
        </w:tc>
        <w:tc>
          <w:tcPr>
            <w:tcW w:w="225" w:type="dxa"/>
            <w:vAlign w:val="top"/>
          </w:tcPr>
          <w:p w14:paraId="1D22001B">
            <w:pPr>
              <w:rPr>
                <w:rFonts w:ascii="Arial"/>
                <w:sz w:val="21"/>
              </w:rPr>
            </w:pPr>
          </w:p>
        </w:tc>
      </w:tr>
      <w:tr w14:paraId="22FF38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83" w:type="dxa"/>
            <w:vMerge w:val="continue"/>
            <w:tcBorders>
              <w:top w:val="nil"/>
              <w:bottom w:val="nil"/>
            </w:tcBorders>
            <w:vAlign w:val="top"/>
          </w:tcPr>
          <w:p w14:paraId="5855564E">
            <w:pPr>
              <w:rPr>
                <w:rFonts w:ascii="Arial"/>
                <w:sz w:val="21"/>
              </w:rPr>
            </w:pPr>
          </w:p>
        </w:tc>
        <w:tc>
          <w:tcPr>
            <w:tcW w:w="2334" w:type="dxa"/>
            <w:vMerge w:val="continue"/>
            <w:tcBorders>
              <w:top w:val="nil"/>
              <w:bottom w:val="nil"/>
            </w:tcBorders>
            <w:vAlign w:val="top"/>
          </w:tcPr>
          <w:p w14:paraId="73268DCB">
            <w:pPr>
              <w:rPr>
                <w:rFonts w:ascii="Arial"/>
                <w:sz w:val="21"/>
              </w:rPr>
            </w:pPr>
          </w:p>
        </w:tc>
        <w:tc>
          <w:tcPr>
            <w:tcW w:w="219" w:type="dxa"/>
            <w:vAlign w:val="top"/>
          </w:tcPr>
          <w:p w14:paraId="22F75C75">
            <w:pPr>
              <w:rPr>
                <w:rFonts w:ascii="Arial"/>
                <w:sz w:val="21"/>
              </w:rPr>
            </w:pPr>
          </w:p>
        </w:tc>
        <w:tc>
          <w:tcPr>
            <w:tcW w:w="240" w:type="dxa"/>
            <w:vAlign w:val="top"/>
          </w:tcPr>
          <w:p w14:paraId="1E0AEE98">
            <w:pPr>
              <w:rPr>
                <w:rFonts w:ascii="Arial"/>
                <w:sz w:val="21"/>
              </w:rPr>
            </w:pPr>
          </w:p>
        </w:tc>
        <w:tc>
          <w:tcPr>
            <w:tcW w:w="229" w:type="dxa"/>
            <w:vAlign w:val="top"/>
          </w:tcPr>
          <w:p w14:paraId="61037C1A">
            <w:pPr>
              <w:rPr>
                <w:rFonts w:ascii="Arial"/>
                <w:sz w:val="21"/>
              </w:rPr>
            </w:pPr>
          </w:p>
        </w:tc>
        <w:tc>
          <w:tcPr>
            <w:tcW w:w="225" w:type="dxa"/>
            <w:vAlign w:val="top"/>
          </w:tcPr>
          <w:p w14:paraId="550977AC">
            <w:pPr>
              <w:rPr>
                <w:rFonts w:ascii="Arial"/>
                <w:sz w:val="21"/>
              </w:rPr>
            </w:pPr>
          </w:p>
        </w:tc>
      </w:tr>
      <w:tr w14:paraId="4B0239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9" w:hRule="atLeast"/>
        </w:trPr>
        <w:tc>
          <w:tcPr>
            <w:tcW w:w="883" w:type="dxa"/>
            <w:vMerge w:val="continue"/>
            <w:tcBorders>
              <w:top w:val="nil"/>
              <w:bottom w:val="nil"/>
            </w:tcBorders>
            <w:vAlign w:val="top"/>
          </w:tcPr>
          <w:p w14:paraId="3D7EEFCA">
            <w:pPr>
              <w:rPr>
                <w:rFonts w:ascii="Arial"/>
                <w:sz w:val="21"/>
              </w:rPr>
            </w:pPr>
          </w:p>
        </w:tc>
        <w:tc>
          <w:tcPr>
            <w:tcW w:w="2334" w:type="dxa"/>
            <w:vMerge w:val="continue"/>
            <w:tcBorders>
              <w:top w:val="nil"/>
              <w:bottom w:val="nil"/>
            </w:tcBorders>
            <w:vAlign w:val="top"/>
          </w:tcPr>
          <w:p w14:paraId="05C723F0">
            <w:pPr>
              <w:rPr>
                <w:rFonts w:ascii="Arial"/>
                <w:sz w:val="21"/>
              </w:rPr>
            </w:pPr>
          </w:p>
        </w:tc>
        <w:tc>
          <w:tcPr>
            <w:tcW w:w="219" w:type="dxa"/>
            <w:vAlign w:val="top"/>
          </w:tcPr>
          <w:p w14:paraId="111C8BF2">
            <w:pPr>
              <w:rPr>
                <w:rFonts w:ascii="Arial"/>
                <w:sz w:val="21"/>
              </w:rPr>
            </w:pPr>
          </w:p>
        </w:tc>
        <w:tc>
          <w:tcPr>
            <w:tcW w:w="240" w:type="dxa"/>
            <w:vAlign w:val="top"/>
          </w:tcPr>
          <w:p w14:paraId="682675F8">
            <w:pPr>
              <w:rPr>
                <w:rFonts w:ascii="Arial"/>
                <w:sz w:val="21"/>
              </w:rPr>
            </w:pPr>
          </w:p>
        </w:tc>
        <w:tc>
          <w:tcPr>
            <w:tcW w:w="229" w:type="dxa"/>
            <w:vAlign w:val="top"/>
          </w:tcPr>
          <w:p w14:paraId="473EAC21">
            <w:pPr>
              <w:rPr>
                <w:rFonts w:ascii="Arial"/>
                <w:sz w:val="21"/>
              </w:rPr>
            </w:pPr>
          </w:p>
        </w:tc>
        <w:tc>
          <w:tcPr>
            <w:tcW w:w="225" w:type="dxa"/>
            <w:vAlign w:val="top"/>
          </w:tcPr>
          <w:p w14:paraId="0EC98CF9">
            <w:pPr>
              <w:rPr>
                <w:rFonts w:ascii="Arial"/>
                <w:sz w:val="21"/>
              </w:rPr>
            </w:pPr>
          </w:p>
        </w:tc>
      </w:tr>
      <w:tr w14:paraId="594C1F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0" w:hRule="atLeast"/>
        </w:trPr>
        <w:tc>
          <w:tcPr>
            <w:tcW w:w="883" w:type="dxa"/>
            <w:vMerge w:val="continue"/>
            <w:tcBorders>
              <w:top w:val="nil"/>
              <w:bottom w:val="nil"/>
            </w:tcBorders>
            <w:vAlign w:val="top"/>
          </w:tcPr>
          <w:p w14:paraId="1E3309D6">
            <w:pPr>
              <w:rPr>
                <w:rFonts w:ascii="Arial"/>
                <w:sz w:val="21"/>
              </w:rPr>
            </w:pPr>
          </w:p>
        </w:tc>
        <w:tc>
          <w:tcPr>
            <w:tcW w:w="2334" w:type="dxa"/>
            <w:vMerge w:val="continue"/>
            <w:tcBorders>
              <w:top w:val="nil"/>
              <w:bottom w:val="nil"/>
            </w:tcBorders>
            <w:vAlign w:val="top"/>
          </w:tcPr>
          <w:p w14:paraId="1B3CDFF5">
            <w:pPr>
              <w:rPr>
                <w:rFonts w:ascii="Arial"/>
                <w:sz w:val="21"/>
              </w:rPr>
            </w:pPr>
          </w:p>
        </w:tc>
        <w:tc>
          <w:tcPr>
            <w:tcW w:w="219" w:type="dxa"/>
            <w:vAlign w:val="top"/>
          </w:tcPr>
          <w:p w14:paraId="5D41399C">
            <w:pPr>
              <w:spacing w:line="210" w:lineRule="exact"/>
              <w:rPr>
                <w:rFonts w:ascii="Arial"/>
                <w:sz w:val="18"/>
              </w:rPr>
            </w:pPr>
          </w:p>
        </w:tc>
        <w:tc>
          <w:tcPr>
            <w:tcW w:w="240" w:type="dxa"/>
            <w:vAlign w:val="top"/>
          </w:tcPr>
          <w:p w14:paraId="6C2A8166">
            <w:pPr>
              <w:spacing w:line="210" w:lineRule="exact"/>
              <w:rPr>
                <w:rFonts w:ascii="Arial"/>
                <w:sz w:val="18"/>
              </w:rPr>
            </w:pPr>
          </w:p>
        </w:tc>
        <w:tc>
          <w:tcPr>
            <w:tcW w:w="229" w:type="dxa"/>
            <w:vAlign w:val="top"/>
          </w:tcPr>
          <w:p w14:paraId="1F71A0FA">
            <w:pPr>
              <w:spacing w:line="210" w:lineRule="exact"/>
              <w:rPr>
                <w:rFonts w:ascii="Arial"/>
                <w:sz w:val="18"/>
              </w:rPr>
            </w:pPr>
          </w:p>
        </w:tc>
        <w:tc>
          <w:tcPr>
            <w:tcW w:w="225" w:type="dxa"/>
            <w:vAlign w:val="top"/>
          </w:tcPr>
          <w:p w14:paraId="709EF058">
            <w:pPr>
              <w:spacing w:line="210" w:lineRule="exact"/>
              <w:rPr>
                <w:rFonts w:ascii="Arial"/>
                <w:sz w:val="18"/>
              </w:rPr>
            </w:pPr>
          </w:p>
        </w:tc>
      </w:tr>
      <w:tr w14:paraId="537374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883" w:type="dxa"/>
            <w:vMerge w:val="continue"/>
            <w:tcBorders>
              <w:top w:val="nil"/>
              <w:bottom w:val="nil"/>
            </w:tcBorders>
            <w:vAlign w:val="top"/>
          </w:tcPr>
          <w:p w14:paraId="5713B618">
            <w:pPr>
              <w:rPr>
                <w:rFonts w:ascii="Arial"/>
                <w:sz w:val="21"/>
              </w:rPr>
            </w:pPr>
          </w:p>
        </w:tc>
        <w:tc>
          <w:tcPr>
            <w:tcW w:w="2334" w:type="dxa"/>
            <w:vMerge w:val="continue"/>
            <w:tcBorders>
              <w:top w:val="nil"/>
              <w:bottom w:val="nil"/>
            </w:tcBorders>
            <w:vAlign w:val="top"/>
          </w:tcPr>
          <w:p w14:paraId="22AAA0C2">
            <w:pPr>
              <w:rPr>
                <w:rFonts w:ascii="Arial"/>
                <w:sz w:val="21"/>
              </w:rPr>
            </w:pPr>
          </w:p>
        </w:tc>
        <w:tc>
          <w:tcPr>
            <w:tcW w:w="219" w:type="dxa"/>
            <w:vAlign w:val="top"/>
          </w:tcPr>
          <w:p w14:paraId="178F8CDB">
            <w:pPr>
              <w:rPr>
                <w:rFonts w:ascii="Arial"/>
                <w:sz w:val="21"/>
              </w:rPr>
            </w:pPr>
          </w:p>
        </w:tc>
        <w:tc>
          <w:tcPr>
            <w:tcW w:w="240" w:type="dxa"/>
            <w:vAlign w:val="top"/>
          </w:tcPr>
          <w:p w14:paraId="12670F39">
            <w:pPr>
              <w:pStyle w:val="6"/>
              <w:spacing w:before="108" w:line="238" w:lineRule="auto"/>
              <w:ind w:left="48"/>
              <w:rPr>
                <w:sz w:val="13"/>
                <w:szCs w:val="13"/>
              </w:rPr>
            </w:pPr>
            <w:r>
              <w:rPr>
                <w:sz w:val="13"/>
                <w:szCs w:val="13"/>
              </w:rPr>
              <w:t>√</w:t>
            </w:r>
          </w:p>
        </w:tc>
        <w:tc>
          <w:tcPr>
            <w:tcW w:w="229" w:type="dxa"/>
            <w:vAlign w:val="top"/>
          </w:tcPr>
          <w:p w14:paraId="447A1598">
            <w:pPr>
              <w:rPr>
                <w:rFonts w:ascii="Arial"/>
                <w:sz w:val="21"/>
              </w:rPr>
            </w:pPr>
          </w:p>
        </w:tc>
        <w:tc>
          <w:tcPr>
            <w:tcW w:w="225" w:type="dxa"/>
            <w:vAlign w:val="top"/>
          </w:tcPr>
          <w:p w14:paraId="4890288C">
            <w:pPr>
              <w:rPr>
                <w:rFonts w:ascii="Arial"/>
                <w:sz w:val="21"/>
              </w:rPr>
            </w:pPr>
          </w:p>
        </w:tc>
      </w:tr>
      <w:tr w14:paraId="208A7B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5" w:hRule="atLeast"/>
        </w:trPr>
        <w:tc>
          <w:tcPr>
            <w:tcW w:w="883" w:type="dxa"/>
            <w:vMerge w:val="continue"/>
            <w:tcBorders>
              <w:top w:val="nil"/>
            </w:tcBorders>
            <w:vAlign w:val="top"/>
          </w:tcPr>
          <w:p w14:paraId="3D33F4AE">
            <w:pPr>
              <w:rPr>
                <w:rFonts w:ascii="Arial"/>
                <w:sz w:val="21"/>
              </w:rPr>
            </w:pPr>
          </w:p>
        </w:tc>
        <w:tc>
          <w:tcPr>
            <w:tcW w:w="2334" w:type="dxa"/>
            <w:vMerge w:val="continue"/>
            <w:tcBorders>
              <w:top w:val="nil"/>
            </w:tcBorders>
            <w:vAlign w:val="top"/>
          </w:tcPr>
          <w:p w14:paraId="11C77560">
            <w:pPr>
              <w:rPr>
                <w:rFonts w:ascii="Arial"/>
                <w:sz w:val="21"/>
              </w:rPr>
            </w:pPr>
          </w:p>
        </w:tc>
        <w:tc>
          <w:tcPr>
            <w:tcW w:w="219" w:type="dxa"/>
            <w:vAlign w:val="top"/>
          </w:tcPr>
          <w:p w14:paraId="686A7ECD">
            <w:pPr>
              <w:spacing w:line="205" w:lineRule="exact"/>
              <w:rPr>
                <w:rFonts w:ascii="Arial"/>
                <w:sz w:val="17"/>
              </w:rPr>
            </w:pPr>
          </w:p>
        </w:tc>
        <w:tc>
          <w:tcPr>
            <w:tcW w:w="240" w:type="dxa"/>
            <w:vAlign w:val="top"/>
          </w:tcPr>
          <w:p w14:paraId="330542C6">
            <w:pPr>
              <w:spacing w:line="205" w:lineRule="exact"/>
              <w:rPr>
                <w:rFonts w:ascii="Arial"/>
                <w:sz w:val="17"/>
              </w:rPr>
            </w:pPr>
          </w:p>
        </w:tc>
        <w:tc>
          <w:tcPr>
            <w:tcW w:w="229" w:type="dxa"/>
            <w:vAlign w:val="top"/>
          </w:tcPr>
          <w:p w14:paraId="15306448">
            <w:pPr>
              <w:spacing w:line="205" w:lineRule="exact"/>
              <w:rPr>
                <w:rFonts w:ascii="Arial"/>
                <w:sz w:val="17"/>
              </w:rPr>
            </w:pPr>
          </w:p>
        </w:tc>
        <w:tc>
          <w:tcPr>
            <w:tcW w:w="225" w:type="dxa"/>
            <w:vAlign w:val="top"/>
          </w:tcPr>
          <w:p w14:paraId="3158D539">
            <w:pPr>
              <w:pStyle w:val="6"/>
              <w:spacing w:before="58" w:line="208" w:lineRule="auto"/>
              <w:ind w:left="40"/>
              <w:rPr>
                <w:sz w:val="13"/>
                <w:szCs w:val="13"/>
              </w:rPr>
            </w:pPr>
            <w:r>
              <w:rPr>
                <w:sz w:val="13"/>
                <w:szCs w:val="13"/>
              </w:rPr>
              <w:t>√</w:t>
            </w:r>
          </w:p>
        </w:tc>
      </w:tr>
    </w:tbl>
    <w:p w14:paraId="777B4CBC">
      <w:pPr>
        <w:spacing w:before="138" w:line="222" w:lineRule="auto"/>
        <w:ind w:left="5952"/>
        <w:rPr>
          <w:rFonts w:ascii="黑体" w:hAnsi="黑体" w:eastAsia="黑体" w:cs="黑体"/>
          <w:sz w:val="19"/>
          <w:szCs w:val="19"/>
        </w:rPr>
      </w:pPr>
      <w:r>
        <w:rPr>
          <w:rFonts w:ascii="黑体" w:hAnsi="黑体" w:eastAsia="黑体" w:cs="黑体"/>
          <w:b/>
          <w:bCs/>
          <w:spacing w:val="2"/>
          <w:sz w:val="19"/>
          <w:szCs w:val="19"/>
        </w:rPr>
        <w:t>第七章</w:t>
      </w:r>
      <w:r>
        <w:rPr>
          <w:rFonts w:ascii="黑体" w:hAnsi="黑体" w:eastAsia="黑体" w:cs="黑体"/>
          <w:spacing w:val="15"/>
          <w:sz w:val="19"/>
          <w:szCs w:val="19"/>
        </w:rPr>
        <w:t xml:space="preserve">  </w:t>
      </w:r>
      <w:r>
        <w:rPr>
          <w:rFonts w:ascii="黑体" w:hAnsi="黑体" w:eastAsia="黑体" w:cs="黑体"/>
          <w:b/>
          <w:bCs/>
          <w:spacing w:val="2"/>
          <w:sz w:val="19"/>
          <w:szCs w:val="19"/>
        </w:rPr>
        <w:t>感觉器官</w:t>
      </w:r>
    </w:p>
    <w:p w14:paraId="202E3A9E">
      <w:pPr>
        <w:spacing w:line="72" w:lineRule="exact"/>
      </w:pPr>
    </w:p>
    <w:tbl>
      <w:tblPr>
        <w:tblStyle w:val="5"/>
        <w:tblW w:w="4119" w:type="dxa"/>
        <w:tblInd w:w="467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24"/>
        <w:gridCol w:w="210"/>
        <w:gridCol w:w="229"/>
        <w:gridCol w:w="229"/>
        <w:gridCol w:w="234"/>
      </w:tblGrid>
      <w:tr w14:paraId="10C449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4" w:hRule="atLeast"/>
        </w:trPr>
        <w:tc>
          <w:tcPr>
            <w:tcW w:w="893" w:type="dxa"/>
            <w:vMerge w:val="restart"/>
            <w:tcBorders>
              <w:bottom w:val="nil"/>
            </w:tcBorders>
            <w:vAlign w:val="top"/>
          </w:tcPr>
          <w:p w14:paraId="0835D51D">
            <w:pPr>
              <w:pStyle w:val="6"/>
              <w:spacing w:before="81" w:line="239" w:lineRule="auto"/>
              <w:ind w:left="266" w:right="25" w:hanging="249"/>
            </w:pPr>
            <w:r>
              <w:rPr>
                <w:b/>
                <w:bCs/>
                <w:spacing w:val="-4"/>
              </w:rPr>
              <w:t>知识与技能</w:t>
            </w:r>
            <w:r>
              <w:t xml:space="preserve"> </w:t>
            </w:r>
            <w:r>
              <w:rPr>
                <w:b/>
                <w:bCs/>
                <w:spacing w:val="-4"/>
              </w:rPr>
              <w:t>要点</w:t>
            </w:r>
          </w:p>
        </w:tc>
        <w:tc>
          <w:tcPr>
            <w:tcW w:w="2324" w:type="dxa"/>
            <w:vMerge w:val="restart"/>
            <w:tcBorders>
              <w:bottom w:val="nil"/>
            </w:tcBorders>
            <w:vAlign w:val="top"/>
          </w:tcPr>
          <w:p w14:paraId="49A0B22C">
            <w:pPr>
              <w:pStyle w:val="6"/>
              <w:spacing w:before="189" w:line="219" w:lineRule="auto"/>
              <w:ind w:left="834"/>
            </w:pPr>
            <w:r>
              <w:rPr>
                <w:b/>
                <w:bCs/>
                <w:spacing w:val="5"/>
              </w:rPr>
              <w:t>考试条目</w:t>
            </w:r>
          </w:p>
        </w:tc>
        <w:tc>
          <w:tcPr>
            <w:tcW w:w="902" w:type="dxa"/>
            <w:gridSpan w:val="4"/>
            <w:vAlign w:val="top"/>
          </w:tcPr>
          <w:p w14:paraId="590B2410">
            <w:pPr>
              <w:pStyle w:val="6"/>
              <w:spacing w:before="59" w:line="219" w:lineRule="auto"/>
              <w:ind w:left="130"/>
            </w:pPr>
            <w:r>
              <w:rPr>
                <w:b/>
                <w:bCs/>
                <w:spacing w:val="-4"/>
              </w:rPr>
              <w:t>考试水平</w:t>
            </w:r>
          </w:p>
        </w:tc>
      </w:tr>
      <w:tr w14:paraId="6DEA38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continue"/>
            <w:tcBorders>
              <w:top w:val="nil"/>
            </w:tcBorders>
            <w:vAlign w:val="top"/>
          </w:tcPr>
          <w:p w14:paraId="10E757B5">
            <w:pPr>
              <w:rPr>
                <w:rFonts w:ascii="Arial"/>
                <w:sz w:val="21"/>
              </w:rPr>
            </w:pPr>
          </w:p>
        </w:tc>
        <w:tc>
          <w:tcPr>
            <w:tcW w:w="2324" w:type="dxa"/>
            <w:vMerge w:val="continue"/>
            <w:tcBorders>
              <w:top w:val="nil"/>
            </w:tcBorders>
            <w:vAlign w:val="top"/>
          </w:tcPr>
          <w:p w14:paraId="41D48F27">
            <w:pPr>
              <w:rPr>
                <w:rFonts w:ascii="Arial"/>
                <w:sz w:val="21"/>
              </w:rPr>
            </w:pPr>
          </w:p>
        </w:tc>
        <w:tc>
          <w:tcPr>
            <w:tcW w:w="210" w:type="dxa"/>
            <w:vAlign w:val="top"/>
          </w:tcPr>
          <w:p w14:paraId="54258C17">
            <w:pPr>
              <w:pStyle w:val="6"/>
              <w:spacing w:before="90" w:line="172" w:lineRule="auto"/>
              <w:ind w:left="57"/>
            </w:pPr>
            <w:r>
              <w:t>A</w:t>
            </w:r>
          </w:p>
        </w:tc>
        <w:tc>
          <w:tcPr>
            <w:tcW w:w="229" w:type="dxa"/>
            <w:vAlign w:val="top"/>
          </w:tcPr>
          <w:p w14:paraId="52369DCE">
            <w:pPr>
              <w:pStyle w:val="6"/>
              <w:spacing w:before="93" w:line="169" w:lineRule="auto"/>
              <w:ind w:left="40"/>
            </w:pPr>
            <w:r>
              <w:rPr>
                <w:b/>
                <w:bCs/>
                <w:spacing w:val="-2"/>
              </w:rPr>
              <w:t>B</w:t>
            </w:r>
          </w:p>
        </w:tc>
        <w:tc>
          <w:tcPr>
            <w:tcW w:w="229" w:type="dxa"/>
            <w:vAlign w:val="top"/>
          </w:tcPr>
          <w:p w14:paraId="2AD3AD01">
            <w:pPr>
              <w:pStyle w:val="6"/>
              <w:spacing w:before="90" w:line="172" w:lineRule="auto"/>
              <w:jc w:val="right"/>
            </w:pPr>
            <w:r>
              <w:rPr>
                <w:b/>
                <w:bCs/>
                <w:spacing w:val="-10"/>
              </w:rPr>
              <w:t>C</w:t>
            </w:r>
          </w:p>
        </w:tc>
        <w:tc>
          <w:tcPr>
            <w:tcW w:w="234" w:type="dxa"/>
            <w:vAlign w:val="top"/>
          </w:tcPr>
          <w:p w14:paraId="0BC51A9C">
            <w:pPr>
              <w:pStyle w:val="6"/>
              <w:spacing w:before="93" w:line="169" w:lineRule="auto"/>
              <w:jc w:val="right"/>
            </w:pPr>
            <w:r>
              <w:rPr>
                <w:b/>
                <w:bCs/>
                <w:spacing w:val="-6"/>
              </w:rPr>
              <w:t>D</w:t>
            </w:r>
          </w:p>
        </w:tc>
      </w:tr>
      <w:tr w14:paraId="5E984F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0" w:hRule="atLeast"/>
        </w:trPr>
        <w:tc>
          <w:tcPr>
            <w:tcW w:w="893" w:type="dxa"/>
            <w:vAlign w:val="top"/>
          </w:tcPr>
          <w:p w14:paraId="7FB5136D">
            <w:pPr>
              <w:pStyle w:val="6"/>
              <w:spacing w:before="38" w:line="208" w:lineRule="auto"/>
              <w:ind w:left="265"/>
            </w:pPr>
            <w:r>
              <w:rPr>
                <w:spacing w:val="-2"/>
              </w:rPr>
              <w:t>概述</w:t>
            </w:r>
          </w:p>
        </w:tc>
        <w:tc>
          <w:tcPr>
            <w:tcW w:w="2324" w:type="dxa"/>
            <w:vAlign w:val="top"/>
          </w:tcPr>
          <w:p w14:paraId="45EE64CD">
            <w:pPr>
              <w:pStyle w:val="6"/>
              <w:spacing w:before="38" w:line="208" w:lineRule="auto"/>
              <w:ind w:left="12"/>
            </w:pPr>
            <w:r>
              <w:rPr>
                <w:spacing w:val="-1"/>
              </w:rPr>
              <w:t>感觉器和感受器的概念</w:t>
            </w:r>
          </w:p>
        </w:tc>
        <w:tc>
          <w:tcPr>
            <w:tcW w:w="210" w:type="dxa"/>
            <w:vAlign w:val="top"/>
          </w:tcPr>
          <w:p w14:paraId="1F4999F9">
            <w:pPr>
              <w:pStyle w:val="6"/>
              <w:spacing w:before="55" w:line="189" w:lineRule="auto"/>
              <w:ind w:left="18"/>
            </w:pPr>
            <w:r>
              <w:t>√</w:t>
            </w:r>
          </w:p>
        </w:tc>
        <w:tc>
          <w:tcPr>
            <w:tcW w:w="229" w:type="dxa"/>
            <w:vAlign w:val="top"/>
          </w:tcPr>
          <w:p w14:paraId="02CCDB0A">
            <w:pPr>
              <w:spacing w:line="230" w:lineRule="exact"/>
              <w:rPr>
                <w:rFonts w:ascii="Arial"/>
                <w:sz w:val="20"/>
              </w:rPr>
            </w:pPr>
          </w:p>
        </w:tc>
        <w:tc>
          <w:tcPr>
            <w:tcW w:w="229" w:type="dxa"/>
            <w:vAlign w:val="top"/>
          </w:tcPr>
          <w:p w14:paraId="4372774B">
            <w:pPr>
              <w:spacing w:line="230" w:lineRule="exact"/>
              <w:rPr>
                <w:rFonts w:ascii="Arial"/>
                <w:sz w:val="20"/>
              </w:rPr>
            </w:pPr>
          </w:p>
        </w:tc>
        <w:tc>
          <w:tcPr>
            <w:tcW w:w="234" w:type="dxa"/>
            <w:vAlign w:val="top"/>
          </w:tcPr>
          <w:p w14:paraId="1C68E41B">
            <w:pPr>
              <w:spacing w:line="230" w:lineRule="exact"/>
              <w:rPr>
                <w:rFonts w:ascii="Arial"/>
                <w:sz w:val="20"/>
              </w:rPr>
            </w:pPr>
          </w:p>
        </w:tc>
      </w:tr>
      <w:tr w14:paraId="6616BE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9" w:hRule="atLeast"/>
        </w:trPr>
        <w:tc>
          <w:tcPr>
            <w:tcW w:w="893" w:type="dxa"/>
            <w:vMerge w:val="restart"/>
            <w:tcBorders>
              <w:bottom w:val="nil"/>
            </w:tcBorders>
            <w:vAlign w:val="top"/>
          </w:tcPr>
          <w:p w14:paraId="7A41C004">
            <w:pPr>
              <w:spacing w:line="289" w:lineRule="auto"/>
              <w:rPr>
                <w:rFonts w:ascii="Arial"/>
                <w:sz w:val="21"/>
              </w:rPr>
            </w:pPr>
          </w:p>
          <w:p w14:paraId="68F10E8F">
            <w:pPr>
              <w:spacing w:line="289" w:lineRule="auto"/>
              <w:rPr>
                <w:rFonts w:ascii="Arial"/>
                <w:sz w:val="21"/>
              </w:rPr>
            </w:pPr>
          </w:p>
          <w:p w14:paraId="0416441F">
            <w:pPr>
              <w:spacing w:line="290" w:lineRule="auto"/>
              <w:rPr>
                <w:rFonts w:ascii="Arial"/>
                <w:sz w:val="21"/>
              </w:rPr>
            </w:pPr>
          </w:p>
          <w:p w14:paraId="3303AAD7">
            <w:pPr>
              <w:pStyle w:val="6"/>
              <w:spacing w:before="56" w:line="220" w:lineRule="auto"/>
              <w:ind w:left="265"/>
            </w:pPr>
            <w:r>
              <w:rPr>
                <w:spacing w:val="-2"/>
              </w:rPr>
              <w:t>视器</w:t>
            </w:r>
          </w:p>
        </w:tc>
        <w:tc>
          <w:tcPr>
            <w:tcW w:w="2324" w:type="dxa"/>
            <w:vMerge w:val="restart"/>
            <w:tcBorders>
              <w:bottom w:val="nil"/>
            </w:tcBorders>
            <w:vAlign w:val="top"/>
          </w:tcPr>
          <w:p w14:paraId="58CA8894">
            <w:pPr>
              <w:pStyle w:val="6"/>
              <w:spacing w:before="69" w:line="220" w:lineRule="auto"/>
              <w:ind w:left="12"/>
            </w:pPr>
            <w:r>
              <w:rPr>
                <w:spacing w:val="1"/>
              </w:rPr>
              <w:t>1.视器的组成</w:t>
            </w:r>
          </w:p>
          <w:p w14:paraId="392658F4">
            <w:pPr>
              <w:pStyle w:val="6"/>
              <w:spacing w:before="16" w:line="224" w:lineRule="auto"/>
              <w:ind w:left="12" w:right="270"/>
            </w:pPr>
            <w:r>
              <w:rPr>
                <w:spacing w:val="-1"/>
              </w:rPr>
              <w:t>2.眼球壁的层次、各层的分</w:t>
            </w:r>
            <w:r>
              <w:rPr>
                <w:spacing w:val="3"/>
              </w:rPr>
              <w:t xml:space="preserve"> </w:t>
            </w:r>
            <w:r>
              <w:rPr>
                <w:spacing w:val="1"/>
              </w:rPr>
              <w:t>部及形态结构特点</w:t>
            </w:r>
          </w:p>
          <w:p w14:paraId="430800D6">
            <w:pPr>
              <w:pStyle w:val="6"/>
              <w:spacing w:before="27" w:line="230" w:lineRule="auto"/>
              <w:ind w:left="12" w:right="177"/>
            </w:pPr>
            <w:r>
              <w:rPr>
                <w:spacing w:val="6"/>
              </w:rPr>
              <w:t>3.眼球内容物各部的名称、</w:t>
            </w:r>
            <w:r>
              <w:rPr>
                <w:spacing w:val="5"/>
              </w:rPr>
              <w:t xml:space="preserve"> </w:t>
            </w:r>
            <w:r>
              <w:rPr>
                <w:spacing w:val="4"/>
              </w:rPr>
              <w:t>位置和作用</w:t>
            </w:r>
          </w:p>
          <w:p w14:paraId="7EA6A66D">
            <w:pPr>
              <w:pStyle w:val="6"/>
              <w:spacing w:before="17" w:line="219" w:lineRule="auto"/>
              <w:ind w:left="12"/>
            </w:pPr>
            <w:r>
              <w:rPr>
                <w:spacing w:val="-1"/>
              </w:rPr>
              <w:t>4.房水的产生及其循环途径</w:t>
            </w:r>
          </w:p>
          <w:p w14:paraId="53829052">
            <w:pPr>
              <w:pStyle w:val="6"/>
              <w:spacing w:before="18" w:line="227" w:lineRule="auto"/>
              <w:ind w:left="12"/>
            </w:pPr>
            <w:r>
              <w:rPr>
                <w:spacing w:val="-17"/>
              </w:rPr>
              <w:t>5.泪器的组成和鼻</w:t>
            </w:r>
            <w:r>
              <w:rPr>
                <w:spacing w:val="-16"/>
              </w:rPr>
              <w:t>泪管的开口部</w:t>
            </w:r>
            <w:r>
              <w:rPr>
                <w:spacing w:val="-7"/>
              </w:rPr>
              <w:t>位</w:t>
            </w:r>
            <w:r>
              <w:rPr>
                <w:spacing w:val="6"/>
              </w:rPr>
              <w:t xml:space="preserve"> </w:t>
            </w:r>
            <w:r>
              <w:rPr>
                <w:spacing w:val="-1"/>
              </w:rPr>
              <w:t>6.结膜的分部和结膜囊的概念</w:t>
            </w:r>
            <w:r>
              <w:t xml:space="preserve">  </w:t>
            </w:r>
            <w:r>
              <w:rPr>
                <w:spacing w:val="1"/>
              </w:rPr>
              <w:t>7.眼外肌的名称和作用</w:t>
            </w:r>
          </w:p>
        </w:tc>
        <w:tc>
          <w:tcPr>
            <w:tcW w:w="210" w:type="dxa"/>
            <w:vAlign w:val="top"/>
          </w:tcPr>
          <w:p w14:paraId="3BD136FE">
            <w:pPr>
              <w:spacing w:line="239" w:lineRule="exact"/>
              <w:rPr>
                <w:rFonts w:ascii="Arial"/>
                <w:sz w:val="20"/>
              </w:rPr>
            </w:pPr>
          </w:p>
        </w:tc>
        <w:tc>
          <w:tcPr>
            <w:tcW w:w="229" w:type="dxa"/>
            <w:vAlign w:val="top"/>
          </w:tcPr>
          <w:p w14:paraId="03DAC559">
            <w:pPr>
              <w:pStyle w:val="6"/>
              <w:spacing w:before="55" w:line="199" w:lineRule="auto"/>
              <w:ind w:left="18"/>
            </w:pPr>
            <w:r>
              <w:t>√</w:t>
            </w:r>
          </w:p>
        </w:tc>
        <w:tc>
          <w:tcPr>
            <w:tcW w:w="229" w:type="dxa"/>
            <w:vAlign w:val="top"/>
          </w:tcPr>
          <w:p w14:paraId="5EC6D321">
            <w:pPr>
              <w:spacing w:line="239" w:lineRule="exact"/>
              <w:rPr>
                <w:rFonts w:ascii="Arial"/>
                <w:sz w:val="20"/>
              </w:rPr>
            </w:pPr>
          </w:p>
        </w:tc>
        <w:tc>
          <w:tcPr>
            <w:tcW w:w="234" w:type="dxa"/>
            <w:vAlign w:val="top"/>
          </w:tcPr>
          <w:p w14:paraId="1F522EEF">
            <w:pPr>
              <w:spacing w:line="239" w:lineRule="exact"/>
              <w:rPr>
                <w:rFonts w:ascii="Arial"/>
                <w:sz w:val="20"/>
              </w:rPr>
            </w:pPr>
          </w:p>
        </w:tc>
      </w:tr>
      <w:tr w14:paraId="55A55C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893" w:type="dxa"/>
            <w:vMerge w:val="continue"/>
            <w:tcBorders>
              <w:top w:val="nil"/>
              <w:bottom w:val="nil"/>
            </w:tcBorders>
            <w:vAlign w:val="top"/>
          </w:tcPr>
          <w:p w14:paraId="26CCE406">
            <w:pPr>
              <w:rPr>
                <w:rFonts w:ascii="Arial"/>
                <w:sz w:val="21"/>
              </w:rPr>
            </w:pPr>
          </w:p>
        </w:tc>
        <w:tc>
          <w:tcPr>
            <w:tcW w:w="2324" w:type="dxa"/>
            <w:vMerge w:val="continue"/>
            <w:tcBorders>
              <w:top w:val="nil"/>
              <w:bottom w:val="nil"/>
            </w:tcBorders>
            <w:vAlign w:val="top"/>
          </w:tcPr>
          <w:p w14:paraId="44B512CB">
            <w:pPr>
              <w:rPr>
                <w:rFonts w:ascii="Arial"/>
                <w:sz w:val="21"/>
              </w:rPr>
            </w:pPr>
          </w:p>
        </w:tc>
        <w:tc>
          <w:tcPr>
            <w:tcW w:w="210" w:type="dxa"/>
            <w:vAlign w:val="top"/>
          </w:tcPr>
          <w:p w14:paraId="06024B56">
            <w:pPr>
              <w:rPr>
                <w:rFonts w:ascii="Arial"/>
                <w:sz w:val="21"/>
              </w:rPr>
            </w:pPr>
          </w:p>
        </w:tc>
        <w:tc>
          <w:tcPr>
            <w:tcW w:w="229" w:type="dxa"/>
            <w:vAlign w:val="top"/>
          </w:tcPr>
          <w:p w14:paraId="25134EDA">
            <w:pPr>
              <w:pStyle w:val="6"/>
              <w:spacing w:before="114" w:line="182" w:lineRule="auto"/>
              <w:ind w:left="67"/>
            </w:pPr>
            <w:r>
              <w:t>V</w:t>
            </w:r>
          </w:p>
        </w:tc>
        <w:tc>
          <w:tcPr>
            <w:tcW w:w="229" w:type="dxa"/>
            <w:vAlign w:val="top"/>
          </w:tcPr>
          <w:p w14:paraId="28AC7837">
            <w:pPr>
              <w:rPr>
                <w:rFonts w:ascii="Arial"/>
                <w:sz w:val="21"/>
              </w:rPr>
            </w:pPr>
          </w:p>
        </w:tc>
        <w:tc>
          <w:tcPr>
            <w:tcW w:w="234" w:type="dxa"/>
            <w:vAlign w:val="top"/>
          </w:tcPr>
          <w:p w14:paraId="44E648F7">
            <w:pPr>
              <w:rPr>
                <w:rFonts w:ascii="Arial"/>
                <w:sz w:val="21"/>
              </w:rPr>
            </w:pPr>
          </w:p>
        </w:tc>
      </w:tr>
      <w:tr w14:paraId="25FD89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9" w:hRule="atLeast"/>
        </w:trPr>
        <w:tc>
          <w:tcPr>
            <w:tcW w:w="893" w:type="dxa"/>
            <w:vMerge w:val="continue"/>
            <w:tcBorders>
              <w:top w:val="nil"/>
              <w:bottom w:val="nil"/>
            </w:tcBorders>
            <w:vAlign w:val="top"/>
          </w:tcPr>
          <w:p w14:paraId="2E259562">
            <w:pPr>
              <w:rPr>
                <w:rFonts w:ascii="Arial"/>
                <w:sz w:val="21"/>
              </w:rPr>
            </w:pPr>
          </w:p>
        </w:tc>
        <w:tc>
          <w:tcPr>
            <w:tcW w:w="2324" w:type="dxa"/>
            <w:vMerge w:val="continue"/>
            <w:tcBorders>
              <w:top w:val="nil"/>
              <w:bottom w:val="nil"/>
            </w:tcBorders>
            <w:vAlign w:val="top"/>
          </w:tcPr>
          <w:p w14:paraId="1EBCB6D7">
            <w:pPr>
              <w:rPr>
                <w:rFonts w:ascii="Arial"/>
                <w:sz w:val="21"/>
              </w:rPr>
            </w:pPr>
          </w:p>
        </w:tc>
        <w:tc>
          <w:tcPr>
            <w:tcW w:w="210" w:type="dxa"/>
            <w:vAlign w:val="top"/>
          </w:tcPr>
          <w:p w14:paraId="52B600D9">
            <w:pPr>
              <w:rPr>
                <w:rFonts w:ascii="Arial"/>
                <w:sz w:val="21"/>
              </w:rPr>
            </w:pPr>
          </w:p>
        </w:tc>
        <w:tc>
          <w:tcPr>
            <w:tcW w:w="229" w:type="dxa"/>
            <w:vAlign w:val="top"/>
          </w:tcPr>
          <w:p w14:paraId="4562871C">
            <w:pPr>
              <w:pStyle w:val="6"/>
              <w:spacing w:before="138" w:line="238" w:lineRule="auto"/>
              <w:ind w:left="28"/>
            </w:pPr>
            <w:r>
              <w:t>√</w:t>
            </w:r>
          </w:p>
        </w:tc>
        <w:tc>
          <w:tcPr>
            <w:tcW w:w="229" w:type="dxa"/>
            <w:vAlign w:val="top"/>
          </w:tcPr>
          <w:p w14:paraId="26CA461C">
            <w:pPr>
              <w:rPr>
                <w:rFonts w:ascii="Arial"/>
                <w:sz w:val="21"/>
              </w:rPr>
            </w:pPr>
          </w:p>
        </w:tc>
        <w:tc>
          <w:tcPr>
            <w:tcW w:w="234" w:type="dxa"/>
            <w:vAlign w:val="top"/>
          </w:tcPr>
          <w:p w14:paraId="25D8F4CD">
            <w:pPr>
              <w:rPr>
                <w:rFonts w:ascii="Arial"/>
                <w:sz w:val="21"/>
              </w:rPr>
            </w:pPr>
          </w:p>
        </w:tc>
      </w:tr>
      <w:tr w14:paraId="214781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893" w:type="dxa"/>
            <w:vMerge w:val="continue"/>
            <w:tcBorders>
              <w:top w:val="nil"/>
              <w:bottom w:val="nil"/>
            </w:tcBorders>
            <w:vAlign w:val="top"/>
          </w:tcPr>
          <w:p w14:paraId="435461B9">
            <w:pPr>
              <w:rPr>
                <w:rFonts w:ascii="Arial"/>
                <w:sz w:val="21"/>
              </w:rPr>
            </w:pPr>
          </w:p>
        </w:tc>
        <w:tc>
          <w:tcPr>
            <w:tcW w:w="2324" w:type="dxa"/>
            <w:vMerge w:val="continue"/>
            <w:tcBorders>
              <w:top w:val="nil"/>
              <w:bottom w:val="nil"/>
            </w:tcBorders>
            <w:vAlign w:val="top"/>
          </w:tcPr>
          <w:p w14:paraId="580547D7">
            <w:pPr>
              <w:rPr>
                <w:rFonts w:ascii="Arial"/>
                <w:sz w:val="21"/>
              </w:rPr>
            </w:pPr>
          </w:p>
        </w:tc>
        <w:tc>
          <w:tcPr>
            <w:tcW w:w="210" w:type="dxa"/>
            <w:vAlign w:val="top"/>
          </w:tcPr>
          <w:p w14:paraId="47B0367D">
            <w:pPr>
              <w:rPr>
                <w:rFonts w:ascii="Arial"/>
                <w:sz w:val="21"/>
              </w:rPr>
            </w:pPr>
          </w:p>
        </w:tc>
        <w:tc>
          <w:tcPr>
            <w:tcW w:w="229" w:type="dxa"/>
            <w:vAlign w:val="top"/>
          </w:tcPr>
          <w:p w14:paraId="02C30984">
            <w:pPr>
              <w:rPr>
                <w:rFonts w:ascii="Arial"/>
                <w:sz w:val="21"/>
              </w:rPr>
            </w:pPr>
          </w:p>
        </w:tc>
        <w:tc>
          <w:tcPr>
            <w:tcW w:w="229" w:type="dxa"/>
            <w:vAlign w:val="top"/>
          </w:tcPr>
          <w:p w14:paraId="40AE3DC6">
            <w:pPr>
              <w:pStyle w:val="6"/>
              <w:spacing w:before="69" w:line="206" w:lineRule="auto"/>
              <w:ind w:left="19"/>
            </w:pPr>
            <w:r>
              <w:t>√</w:t>
            </w:r>
          </w:p>
        </w:tc>
        <w:tc>
          <w:tcPr>
            <w:tcW w:w="234" w:type="dxa"/>
            <w:vAlign w:val="top"/>
          </w:tcPr>
          <w:p w14:paraId="18C6600B">
            <w:pPr>
              <w:rPr>
                <w:rFonts w:ascii="Arial"/>
                <w:sz w:val="21"/>
              </w:rPr>
            </w:pPr>
          </w:p>
        </w:tc>
      </w:tr>
      <w:tr w14:paraId="13E2F7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0" w:hRule="atLeast"/>
        </w:trPr>
        <w:tc>
          <w:tcPr>
            <w:tcW w:w="893" w:type="dxa"/>
            <w:vMerge w:val="continue"/>
            <w:tcBorders>
              <w:top w:val="nil"/>
              <w:bottom w:val="nil"/>
            </w:tcBorders>
            <w:vAlign w:val="top"/>
          </w:tcPr>
          <w:p w14:paraId="7EB65F73">
            <w:pPr>
              <w:rPr>
                <w:rFonts w:ascii="Arial"/>
                <w:sz w:val="21"/>
              </w:rPr>
            </w:pPr>
          </w:p>
        </w:tc>
        <w:tc>
          <w:tcPr>
            <w:tcW w:w="2324" w:type="dxa"/>
            <w:vMerge w:val="continue"/>
            <w:tcBorders>
              <w:top w:val="nil"/>
              <w:bottom w:val="nil"/>
            </w:tcBorders>
            <w:vAlign w:val="top"/>
          </w:tcPr>
          <w:p w14:paraId="711BC565">
            <w:pPr>
              <w:rPr>
                <w:rFonts w:ascii="Arial"/>
                <w:sz w:val="21"/>
              </w:rPr>
            </w:pPr>
          </w:p>
        </w:tc>
        <w:tc>
          <w:tcPr>
            <w:tcW w:w="210" w:type="dxa"/>
            <w:vAlign w:val="top"/>
          </w:tcPr>
          <w:p w14:paraId="64721625">
            <w:pPr>
              <w:spacing w:line="220" w:lineRule="exact"/>
              <w:rPr>
                <w:rFonts w:ascii="Arial"/>
                <w:sz w:val="19"/>
              </w:rPr>
            </w:pPr>
          </w:p>
        </w:tc>
        <w:tc>
          <w:tcPr>
            <w:tcW w:w="229" w:type="dxa"/>
            <w:vAlign w:val="top"/>
          </w:tcPr>
          <w:p w14:paraId="492FFD5A">
            <w:pPr>
              <w:spacing w:line="220" w:lineRule="exact"/>
              <w:rPr>
                <w:rFonts w:ascii="Arial"/>
                <w:sz w:val="19"/>
              </w:rPr>
            </w:pPr>
          </w:p>
        </w:tc>
        <w:tc>
          <w:tcPr>
            <w:tcW w:w="229" w:type="dxa"/>
            <w:vAlign w:val="top"/>
          </w:tcPr>
          <w:p w14:paraId="101D57F6">
            <w:pPr>
              <w:spacing w:line="220" w:lineRule="exact"/>
              <w:rPr>
                <w:rFonts w:ascii="Arial"/>
                <w:sz w:val="19"/>
              </w:rPr>
            </w:pPr>
          </w:p>
        </w:tc>
        <w:tc>
          <w:tcPr>
            <w:tcW w:w="234" w:type="dxa"/>
            <w:vAlign w:val="top"/>
          </w:tcPr>
          <w:p w14:paraId="21D1846C">
            <w:pPr>
              <w:spacing w:line="220" w:lineRule="exact"/>
              <w:rPr>
                <w:rFonts w:ascii="Arial"/>
                <w:sz w:val="19"/>
              </w:rPr>
            </w:pPr>
          </w:p>
        </w:tc>
      </w:tr>
      <w:tr w14:paraId="7FD05A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trPr>
        <w:tc>
          <w:tcPr>
            <w:tcW w:w="893" w:type="dxa"/>
            <w:vMerge w:val="continue"/>
            <w:tcBorders>
              <w:top w:val="nil"/>
              <w:bottom w:val="nil"/>
            </w:tcBorders>
            <w:vAlign w:val="top"/>
          </w:tcPr>
          <w:p w14:paraId="79F84D14">
            <w:pPr>
              <w:rPr>
                <w:rFonts w:ascii="Arial"/>
                <w:sz w:val="21"/>
              </w:rPr>
            </w:pPr>
          </w:p>
        </w:tc>
        <w:tc>
          <w:tcPr>
            <w:tcW w:w="2324" w:type="dxa"/>
            <w:vMerge w:val="continue"/>
            <w:tcBorders>
              <w:top w:val="nil"/>
              <w:bottom w:val="nil"/>
            </w:tcBorders>
            <w:vAlign w:val="top"/>
          </w:tcPr>
          <w:p w14:paraId="448A7832">
            <w:pPr>
              <w:rPr>
                <w:rFonts w:ascii="Arial"/>
                <w:sz w:val="21"/>
              </w:rPr>
            </w:pPr>
          </w:p>
        </w:tc>
        <w:tc>
          <w:tcPr>
            <w:tcW w:w="210" w:type="dxa"/>
            <w:vAlign w:val="top"/>
          </w:tcPr>
          <w:p w14:paraId="5D2F009C">
            <w:pPr>
              <w:rPr>
                <w:rFonts w:ascii="Arial"/>
                <w:sz w:val="21"/>
              </w:rPr>
            </w:pPr>
          </w:p>
        </w:tc>
        <w:tc>
          <w:tcPr>
            <w:tcW w:w="229" w:type="dxa"/>
            <w:vAlign w:val="top"/>
          </w:tcPr>
          <w:p w14:paraId="3A881A40">
            <w:pPr>
              <w:rPr>
                <w:rFonts w:ascii="Arial"/>
                <w:sz w:val="21"/>
              </w:rPr>
            </w:pPr>
          </w:p>
        </w:tc>
        <w:tc>
          <w:tcPr>
            <w:tcW w:w="229" w:type="dxa"/>
            <w:vAlign w:val="top"/>
          </w:tcPr>
          <w:p w14:paraId="02DC8746">
            <w:pPr>
              <w:rPr>
                <w:rFonts w:ascii="Arial"/>
                <w:sz w:val="21"/>
              </w:rPr>
            </w:pPr>
          </w:p>
        </w:tc>
        <w:tc>
          <w:tcPr>
            <w:tcW w:w="234" w:type="dxa"/>
            <w:vAlign w:val="top"/>
          </w:tcPr>
          <w:p w14:paraId="0F84E52A">
            <w:pPr>
              <w:rPr>
                <w:rFonts w:ascii="Arial"/>
                <w:sz w:val="21"/>
              </w:rPr>
            </w:pPr>
          </w:p>
        </w:tc>
      </w:tr>
      <w:tr w14:paraId="2AC198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0" w:hRule="atLeast"/>
        </w:trPr>
        <w:tc>
          <w:tcPr>
            <w:tcW w:w="893" w:type="dxa"/>
            <w:vMerge w:val="continue"/>
            <w:tcBorders>
              <w:top w:val="nil"/>
            </w:tcBorders>
            <w:vAlign w:val="top"/>
          </w:tcPr>
          <w:p w14:paraId="75735672">
            <w:pPr>
              <w:rPr>
                <w:rFonts w:ascii="Arial"/>
                <w:sz w:val="21"/>
              </w:rPr>
            </w:pPr>
          </w:p>
        </w:tc>
        <w:tc>
          <w:tcPr>
            <w:tcW w:w="2324" w:type="dxa"/>
            <w:vMerge w:val="continue"/>
            <w:tcBorders>
              <w:top w:val="nil"/>
            </w:tcBorders>
            <w:vAlign w:val="top"/>
          </w:tcPr>
          <w:p w14:paraId="7DCA1293">
            <w:pPr>
              <w:rPr>
                <w:rFonts w:ascii="Arial"/>
                <w:sz w:val="21"/>
              </w:rPr>
            </w:pPr>
          </w:p>
        </w:tc>
        <w:tc>
          <w:tcPr>
            <w:tcW w:w="210" w:type="dxa"/>
            <w:vAlign w:val="top"/>
          </w:tcPr>
          <w:p w14:paraId="2C920401">
            <w:pPr>
              <w:spacing w:line="240" w:lineRule="exact"/>
              <w:rPr>
                <w:rFonts w:ascii="Arial"/>
                <w:sz w:val="20"/>
              </w:rPr>
            </w:pPr>
          </w:p>
        </w:tc>
        <w:tc>
          <w:tcPr>
            <w:tcW w:w="229" w:type="dxa"/>
            <w:vAlign w:val="top"/>
          </w:tcPr>
          <w:p w14:paraId="506D91EF">
            <w:pPr>
              <w:spacing w:line="240" w:lineRule="exact"/>
              <w:rPr>
                <w:rFonts w:ascii="Arial"/>
                <w:sz w:val="20"/>
              </w:rPr>
            </w:pPr>
          </w:p>
        </w:tc>
        <w:tc>
          <w:tcPr>
            <w:tcW w:w="229" w:type="dxa"/>
            <w:vAlign w:val="top"/>
          </w:tcPr>
          <w:p w14:paraId="3E66E39A">
            <w:pPr>
              <w:spacing w:line="240" w:lineRule="exact"/>
              <w:rPr>
                <w:rFonts w:ascii="Arial"/>
                <w:sz w:val="20"/>
              </w:rPr>
            </w:pPr>
          </w:p>
        </w:tc>
        <w:tc>
          <w:tcPr>
            <w:tcW w:w="234" w:type="dxa"/>
            <w:vAlign w:val="top"/>
          </w:tcPr>
          <w:p w14:paraId="17F5A457">
            <w:pPr>
              <w:spacing w:line="240" w:lineRule="exact"/>
              <w:rPr>
                <w:rFonts w:ascii="Arial"/>
                <w:sz w:val="20"/>
              </w:rPr>
            </w:pPr>
          </w:p>
        </w:tc>
      </w:tr>
      <w:tr w14:paraId="13F8D0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0" w:hRule="atLeast"/>
        </w:trPr>
        <w:tc>
          <w:tcPr>
            <w:tcW w:w="893" w:type="dxa"/>
            <w:vMerge w:val="restart"/>
            <w:tcBorders>
              <w:bottom w:val="nil"/>
            </w:tcBorders>
            <w:vAlign w:val="top"/>
          </w:tcPr>
          <w:p w14:paraId="0CBD765E">
            <w:pPr>
              <w:spacing w:line="243" w:lineRule="auto"/>
              <w:rPr>
                <w:rFonts w:ascii="Arial"/>
                <w:sz w:val="21"/>
              </w:rPr>
            </w:pPr>
          </w:p>
          <w:p w14:paraId="04839870">
            <w:pPr>
              <w:spacing w:line="243" w:lineRule="auto"/>
              <w:rPr>
                <w:rFonts w:ascii="Arial"/>
                <w:sz w:val="21"/>
              </w:rPr>
            </w:pPr>
          </w:p>
          <w:p w14:paraId="1BD57BB4">
            <w:pPr>
              <w:spacing w:line="243" w:lineRule="auto"/>
              <w:rPr>
                <w:rFonts w:ascii="Arial"/>
                <w:sz w:val="21"/>
              </w:rPr>
            </w:pPr>
          </w:p>
          <w:p w14:paraId="70C39F3D">
            <w:pPr>
              <w:spacing w:line="243" w:lineRule="auto"/>
              <w:rPr>
                <w:rFonts w:ascii="Arial"/>
                <w:sz w:val="21"/>
              </w:rPr>
            </w:pPr>
          </w:p>
          <w:p w14:paraId="16D8A51B">
            <w:pPr>
              <w:pStyle w:val="6"/>
              <w:spacing w:before="55" w:line="220" w:lineRule="auto"/>
              <w:ind w:left="184"/>
            </w:pPr>
            <w:r>
              <w:rPr>
                <w:spacing w:val="-3"/>
              </w:rPr>
              <w:t>前蜗器</w:t>
            </w:r>
          </w:p>
        </w:tc>
        <w:tc>
          <w:tcPr>
            <w:tcW w:w="2324" w:type="dxa"/>
            <w:vMerge w:val="restart"/>
            <w:tcBorders>
              <w:bottom w:val="nil"/>
            </w:tcBorders>
            <w:vAlign w:val="top"/>
          </w:tcPr>
          <w:p w14:paraId="32090A61">
            <w:pPr>
              <w:pStyle w:val="6"/>
              <w:spacing w:before="173" w:line="220" w:lineRule="auto"/>
              <w:ind w:left="12"/>
            </w:pPr>
            <w:r>
              <w:t>1.前庭蜗器的组成</w:t>
            </w:r>
          </w:p>
          <w:p w14:paraId="122C8996">
            <w:pPr>
              <w:pStyle w:val="6"/>
              <w:spacing w:before="16" w:line="217" w:lineRule="auto"/>
              <w:ind w:left="12"/>
            </w:pPr>
            <w:r>
              <w:rPr>
                <w:spacing w:val="-1"/>
              </w:rPr>
              <w:t>2.鼓膜的位置、形态和分部</w:t>
            </w:r>
          </w:p>
          <w:p w14:paraId="78F84486">
            <w:pPr>
              <w:pStyle w:val="6"/>
              <w:spacing w:line="236" w:lineRule="auto"/>
              <w:ind w:left="12"/>
            </w:pPr>
            <w:r>
              <w:rPr>
                <w:spacing w:val="-6"/>
              </w:rPr>
              <w:t>3.中耳的组成和各听小骨的名称</w:t>
            </w:r>
            <w:r>
              <w:rPr>
                <w:spacing w:val="5"/>
              </w:rPr>
              <w:t xml:space="preserve"> </w:t>
            </w:r>
            <w:r>
              <w:rPr>
                <w:spacing w:val="-12"/>
              </w:rPr>
              <w:t>4</w:t>
            </w:r>
            <w:r>
              <w:rPr>
                <w:spacing w:val="-23"/>
              </w:rPr>
              <w:t xml:space="preserve"> </w:t>
            </w:r>
            <w:r>
              <w:rPr>
                <w:spacing w:val="-12"/>
              </w:rPr>
              <w:t>.</w:t>
            </w:r>
            <w:r>
              <w:rPr>
                <w:spacing w:val="-30"/>
              </w:rPr>
              <w:t xml:space="preserve"> </w:t>
            </w:r>
            <w:r>
              <w:rPr>
                <w:spacing w:val="-12"/>
              </w:rPr>
              <w:t>咽</w:t>
            </w:r>
            <w:r>
              <w:rPr>
                <w:spacing w:val="-36"/>
              </w:rPr>
              <w:t xml:space="preserve"> </w:t>
            </w:r>
            <w:r>
              <w:rPr>
                <w:spacing w:val="-12"/>
              </w:rPr>
              <w:t>鼓</w:t>
            </w:r>
            <w:r>
              <w:rPr>
                <w:spacing w:val="-34"/>
              </w:rPr>
              <w:t xml:space="preserve"> </w:t>
            </w:r>
            <w:r>
              <w:rPr>
                <w:spacing w:val="-12"/>
              </w:rPr>
              <w:t>管</w:t>
            </w:r>
            <w:r>
              <w:rPr>
                <w:spacing w:val="-36"/>
              </w:rPr>
              <w:t xml:space="preserve"> </w:t>
            </w:r>
            <w:r>
              <w:rPr>
                <w:spacing w:val="-12"/>
              </w:rPr>
              <w:t>形</w:t>
            </w:r>
            <w:r>
              <w:rPr>
                <w:spacing w:val="-38"/>
              </w:rPr>
              <w:t xml:space="preserve"> </w:t>
            </w:r>
            <w:r>
              <w:rPr>
                <w:spacing w:val="-12"/>
              </w:rPr>
              <w:t>态</w:t>
            </w:r>
            <w:r>
              <w:rPr>
                <w:spacing w:val="-25"/>
              </w:rPr>
              <w:t xml:space="preserve"> </w:t>
            </w:r>
            <w:r>
              <w:rPr>
                <w:spacing w:val="-12"/>
              </w:rPr>
              <w:t>、</w:t>
            </w:r>
            <w:r>
              <w:rPr>
                <w:spacing w:val="-36"/>
              </w:rPr>
              <w:t xml:space="preserve"> </w:t>
            </w:r>
            <w:r>
              <w:rPr>
                <w:spacing w:val="-12"/>
              </w:rPr>
              <w:t>功</w:t>
            </w:r>
            <w:r>
              <w:rPr>
                <w:spacing w:val="-31"/>
              </w:rPr>
              <w:t xml:space="preserve"> </w:t>
            </w:r>
            <w:r>
              <w:rPr>
                <w:spacing w:val="-12"/>
              </w:rPr>
              <w:t>能</w:t>
            </w:r>
            <w:r>
              <w:rPr>
                <w:spacing w:val="-38"/>
              </w:rPr>
              <w:t xml:space="preserve"> </w:t>
            </w:r>
            <w:r>
              <w:rPr>
                <w:spacing w:val="-12"/>
              </w:rPr>
              <w:t>及</w:t>
            </w:r>
            <w:r>
              <w:rPr>
                <w:spacing w:val="-34"/>
              </w:rPr>
              <w:t xml:space="preserve"> </w:t>
            </w:r>
            <w:r>
              <w:rPr>
                <w:spacing w:val="-12"/>
              </w:rPr>
              <w:t>小</w:t>
            </w:r>
            <w:r>
              <w:t xml:space="preserve"> </w:t>
            </w:r>
            <w:r>
              <w:rPr>
                <w:spacing w:val="-2"/>
              </w:rPr>
              <w:t>儿咽鼓管的特点和临床意义</w:t>
            </w:r>
          </w:p>
          <w:p w14:paraId="5192E0D7">
            <w:pPr>
              <w:pStyle w:val="6"/>
              <w:spacing w:before="28" w:line="217" w:lineRule="auto"/>
              <w:ind w:left="12"/>
            </w:pPr>
            <w:r>
              <w:rPr>
                <w:spacing w:val="-1"/>
              </w:rPr>
              <w:t>5.内耳的组成</w:t>
            </w:r>
          </w:p>
          <w:p w14:paraId="45ACE42D">
            <w:pPr>
              <w:pStyle w:val="6"/>
              <w:spacing w:line="219" w:lineRule="auto"/>
              <w:ind w:left="12"/>
            </w:pPr>
            <w:r>
              <w:rPr>
                <w:spacing w:val="-1"/>
              </w:rPr>
              <w:t>6.骨迷路和膜迷路的分部</w:t>
            </w:r>
          </w:p>
          <w:p w14:paraId="6037B866">
            <w:pPr>
              <w:pStyle w:val="6"/>
              <w:spacing w:before="28" w:line="223" w:lineRule="auto"/>
              <w:ind w:left="12"/>
            </w:pPr>
            <w:r>
              <w:rPr>
                <w:spacing w:val="-16"/>
              </w:rPr>
              <w:t>7.内耳感受器的名称、位置和作用</w:t>
            </w:r>
            <w:r>
              <w:rPr>
                <w:spacing w:val="6"/>
              </w:rPr>
              <w:t xml:space="preserve"> </w:t>
            </w:r>
            <w:r>
              <w:rPr>
                <w:spacing w:val="-2"/>
              </w:rPr>
              <w:t>8.声波的传导途径</w:t>
            </w:r>
          </w:p>
        </w:tc>
        <w:tc>
          <w:tcPr>
            <w:tcW w:w="210" w:type="dxa"/>
            <w:vAlign w:val="top"/>
          </w:tcPr>
          <w:p w14:paraId="411764E7">
            <w:pPr>
              <w:spacing w:line="210" w:lineRule="exact"/>
              <w:rPr>
                <w:rFonts w:ascii="Arial"/>
                <w:sz w:val="18"/>
              </w:rPr>
            </w:pPr>
          </w:p>
        </w:tc>
        <w:tc>
          <w:tcPr>
            <w:tcW w:w="229" w:type="dxa"/>
            <w:vAlign w:val="top"/>
          </w:tcPr>
          <w:p w14:paraId="47D405C2">
            <w:pPr>
              <w:spacing w:line="210" w:lineRule="exact"/>
              <w:rPr>
                <w:rFonts w:ascii="Arial"/>
                <w:sz w:val="18"/>
              </w:rPr>
            </w:pPr>
          </w:p>
        </w:tc>
        <w:tc>
          <w:tcPr>
            <w:tcW w:w="229" w:type="dxa"/>
            <w:vAlign w:val="top"/>
          </w:tcPr>
          <w:p w14:paraId="1973AF5A">
            <w:pPr>
              <w:spacing w:line="210" w:lineRule="exact"/>
              <w:rPr>
                <w:rFonts w:ascii="Arial"/>
                <w:sz w:val="18"/>
              </w:rPr>
            </w:pPr>
          </w:p>
        </w:tc>
        <w:tc>
          <w:tcPr>
            <w:tcW w:w="234" w:type="dxa"/>
            <w:vAlign w:val="top"/>
          </w:tcPr>
          <w:p w14:paraId="79EC28B2">
            <w:pPr>
              <w:spacing w:line="210" w:lineRule="exact"/>
              <w:rPr>
                <w:rFonts w:ascii="Arial"/>
                <w:sz w:val="18"/>
              </w:rPr>
            </w:pPr>
          </w:p>
        </w:tc>
      </w:tr>
      <w:tr w14:paraId="21278F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0" w:hRule="atLeast"/>
        </w:trPr>
        <w:tc>
          <w:tcPr>
            <w:tcW w:w="893" w:type="dxa"/>
            <w:vMerge w:val="continue"/>
            <w:tcBorders>
              <w:top w:val="nil"/>
              <w:bottom w:val="nil"/>
            </w:tcBorders>
            <w:vAlign w:val="top"/>
          </w:tcPr>
          <w:p w14:paraId="5463566D">
            <w:pPr>
              <w:rPr>
                <w:rFonts w:ascii="Arial"/>
                <w:sz w:val="21"/>
              </w:rPr>
            </w:pPr>
          </w:p>
        </w:tc>
        <w:tc>
          <w:tcPr>
            <w:tcW w:w="2324" w:type="dxa"/>
            <w:vMerge w:val="continue"/>
            <w:tcBorders>
              <w:top w:val="nil"/>
              <w:bottom w:val="nil"/>
            </w:tcBorders>
            <w:vAlign w:val="top"/>
          </w:tcPr>
          <w:p w14:paraId="0960E674">
            <w:pPr>
              <w:rPr>
                <w:rFonts w:ascii="Arial"/>
                <w:sz w:val="21"/>
              </w:rPr>
            </w:pPr>
          </w:p>
        </w:tc>
        <w:tc>
          <w:tcPr>
            <w:tcW w:w="210" w:type="dxa"/>
            <w:vAlign w:val="top"/>
          </w:tcPr>
          <w:p w14:paraId="09A8A1D6">
            <w:pPr>
              <w:spacing w:line="210" w:lineRule="exact"/>
              <w:rPr>
                <w:rFonts w:ascii="Arial"/>
                <w:sz w:val="18"/>
              </w:rPr>
            </w:pPr>
          </w:p>
        </w:tc>
        <w:tc>
          <w:tcPr>
            <w:tcW w:w="229" w:type="dxa"/>
            <w:vAlign w:val="top"/>
          </w:tcPr>
          <w:p w14:paraId="2FC80A72">
            <w:pPr>
              <w:spacing w:line="210" w:lineRule="exact"/>
              <w:rPr>
                <w:rFonts w:ascii="Arial"/>
                <w:sz w:val="18"/>
              </w:rPr>
            </w:pPr>
          </w:p>
        </w:tc>
        <w:tc>
          <w:tcPr>
            <w:tcW w:w="229" w:type="dxa"/>
            <w:vAlign w:val="top"/>
          </w:tcPr>
          <w:p w14:paraId="5FBB05B9">
            <w:pPr>
              <w:spacing w:line="210" w:lineRule="exact"/>
              <w:rPr>
                <w:rFonts w:ascii="Arial"/>
                <w:sz w:val="18"/>
              </w:rPr>
            </w:pPr>
          </w:p>
        </w:tc>
        <w:tc>
          <w:tcPr>
            <w:tcW w:w="234" w:type="dxa"/>
            <w:vAlign w:val="top"/>
          </w:tcPr>
          <w:p w14:paraId="3FF29BA4">
            <w:pPr>
              <w:spacing w:line="210" w:lineRule="exact"/>
              <w:rPr>
                <w:rFonts w:ascii="Arial"/>
                <w:sz w:val="18"/>
              </w:rPr>
            </w:pPr>
          </w:p>
        </w:tc>
      </w:tr>
      <w:tr w14:paraId="22ED20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trPr>
        <w:tc>
          <w:tcPr>
            <w:tcW w:w="893" w:type="dxa"/>
            <w:vMerge w:val="continue"/>
            <w:tcBorders>
              <w:top w:val="nil"/>
              <w:bottom w:val="nil"/>
            </w:tcBorders>
            <w:vAlign w:val="top"/>
          </w:tcPr>
          <w:p w14:paraId="52BE9A1D">
            <w:pPr>
              <w:rPr>
                <w:rFonts w:ascii="Arial"/>
                <w:sz w:val="21"/>
              </w:rPr>
            </w:pPr>
          </w:p>
        </w:tc>
        <w:tc>
          <w:tcPr>
            <w:tcW w:w="2324" w:type="dxa"/>
            <w:vMerge w:val="continue"/>
            <w:tcBorders>
              <w:top w:val="nil"/>
              <w:bottom w:val="nil"/>
            </w:tcBorders>
            <w:vAlign w:val="top"/>
          </w:tcPr>
          <w:p w14:paraId="3BD82DDE">
            <w:pPr>
              <w:rPr>
                <w:rFonts w:ascii="Arial"/>
                <w:sz w:val="21"/>
              </w:rPr>
            </w:pPr>
          </w:p>
        </w:tc>
        <w:tc>
          <w:tcPr>
            <w:tcW w:w="210" w:type="dxa"/>
            <w:vAlign w:val="top"/>
          </w:tcPr>
          <w:p w14:paraId="3D0EB82A">
            <w:pPr>
              <w:rPr>
                <w:rFonts w:ascii="Arial"/>
                <w:sz w:val="21"/>
              </w:rPr>
            </w:pPr>
          </w:p>
        </w:tc>
        <w:tc>
          <w:tcPr>
            <w:tcW w:w="229" w:type="dxa"/>
            <w:vAlign w:val="top"/>
          </w:tcPr>
          <w:p w14:paraId="47EC2EA5">
            <w:pPr>
              <w:rPr>
                <w:rFonts w:ascii="Arial"/>
                <w:sz w:val="21"/>
              </w:rPr>
            </w:pPr>
          </w:p>
        </w:tc>
        <w:tc>
          <w:tcPr>
            <w:tcW w:w="229" w:type="dxa"/>
            <w:vAlign w:val="top"/>
          </w:tcPr>
          <w:p w14:paraId="68CE072A">
            <w:pPr>
              <w:rPr>
                <w:rFonts w:ascii="Arial"/>
                <w:sz w:val="21"/>
              </w:rPr>
            </w:pPr>
          </w:p>
        </w:tc>
        <w:tc>
          <w:tcPr>
            <w:tcW w:w="234" w:type="dxa"/>
            <w:vAlign w:val="top"/>
          </w:tcPr>
          <w:p w14:paraId="3EF6B962">
            <w:pPr>
              <w:rPr>
                <w:rFonts w:ascii="Arial"/>
                <w:sz w:val="21"/>
              </w:rPr>
            </w:pPr>
          </w:p>
        </w:tc>
      </w:tr>
      <w:tr w14:paraId="37229A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9" w:hRule="atLeast"/>
        </w:trPr>
        <w:tc>
          <w:tcPr>
            <w:tcW w:w="893" w:type="dxa"/>
            <w:vMerge w:val="continue"/>
            <w:tcBorders>
              <w:top w:val="nil"/>
              <w:bottom w:val="nil"/>
            </w:tcBorders>
            <w:vAlign w:val="top"/>
          </w:tcPr>
          <w:p w14:paraId="1DB932DD">
            <w:pPr>
              <w:rPr>
                <w:rFonts w:ascii="Arial"/>
                <w:sz w:val="21"/>
              </w:rPr>
            </w:pPr>
          </w:p>
        </w:tc>
        <w:tc>
          <w:tcPr>
            <w:tcW w:w="2324" w:type="dxa"/>
            <w:vMerge w:val="continue"/>
            <w:tcBorders>
              <w:top w:val="nil"/>
              <w:bottom w:val="nil"/>
            </w:tcBorders>
            <w:vAlign w:val="top"/>
          </w:tcPr>
          <w:p w14:paraId="30155811">
            <w:pPr>
              <w:rPr>
                <w:rFonts w:ascii="Arial"/>
                <w:sz w:val="21"/>
              </w:rPr>
            </w:pPr>
          </w:p>
        </w:tc>
        <w:tc>
          <w:tcPr>
            <w:tcW w:w="210" w:type="dxa"/>
            <w:vAlign w:val="top"/>
          </w:tcPr>
          <w:p w14:paraId="12284655">
            <w:pPr>
              <w:rPr>
                <w:rFonts w:ascii="Arial"/>
                <w:sz w:val="21"/>
              </w:rPr>
            </w:pPr>
          </w:p>
        </w:tc>
        <w:tc>
          <w:tcPr>
            <w:tcW w:w="229" w:type="dxa"/>
            <w:vAlign w:val="top"/>
          </w:tcPr>
          <w:p w14:paraId="17E12301">
            <w:pPr>
              <w:rPr>
                <w:rFonts w:ascii="Arial"/>
                <w:sz w:val="21"/>
              </w:rPr>
            </w:pPr>
          </w:p>
        </w:tc>
        <w:tc>
          <w:tcPr>
            <w:tcW w:w="229" w:type="dxa"/>
            <w:vAlign w:val="top"/>
          </w:tcPr>
          <w:p w14:paraId="4D882FC0">
            <w:pPr>
              <w:rPr>
                <w:rFonts w:ascii="Arial"/>
                <w:sz w:val="21"/>
              </w:rPr>
            </w:pPr>
          </w:p>
        </w:tc>
        <w:tc>
          <w:tcPr>
            <w:tcW w:w="234" w:type="dxa"/>
            <w:vAlign w:val="top"/>
          </w:tcPr>
          <w:p w14:paraId="6F50219A">
            <w:pPr>
              <w:rPr>
                <w:rFonts w:ascii="Arial"/>
                <w:sz w:val="21"/>
              </w:rPr>
            </w:pPr>
          </w:p>
        </w:tc>
      </w:tr>
      <w:tr w14:paraId="1E461D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893" w:type="dxa"/>
            <w:vMerge w:val="continue"/>
            <w:tcBorders>
              <w:top w:val="nil"/>
              <w:bottom w:val="nil"/>
            </w:tcBorders>
            <w:vAlign w:val="top"/>
          </w:tcPr>
          <w:p w14:paraId="16F4FC13">
            <w:pPr>
              <w:rPr>
                <w:rFonts w:ascii="Arial"/>
                <w:sz w:val="21"/>
              </w:rPr>
            </w:pPr>
          </w:p>
        </w:tc>
        <w:tc>
          <w:tcPr>
            <w:tcW w:w="2324" w:type="dxa"/>
            <w:vMerge w:val="continue"/>
            <w:tcBorders>
              <w:top w:val="nil"/>
              <w:bottom w:val="nil"/>
            </w:tcBorders>
            <w:vAlign w:val="top"/>
          </w:tcPr>
          <w:p w14:paraId="41919918">
            <w:pPr>
              <w:rPr>
                <w:rFonts w:ascii="Arial"/>
                <w:sz w:val="21"/>
              </w:rPr>
            </w:pPr>
          </w:p>
        </w:tc>
        <w:tc>
          <w:tcPr>
            <w:tcW w:w="210" w:type="dxa"/>
            <w:vAlign w:val="top"/>
          </w:tcPr>
          <w:p w14:paraId="4F20F679">
            <w:pPr>
              <w:rPr>
                <w:rFonts w:ascii="Arial"/>
                <w:sz w:val="21"/>
              </w:rPr>
            </w:pPr>
          </w:p>
        </w:tc>
        <w:tc>
          <w:tcPr>
            <w:tcW w:w="229" w:type="dxa"/>
            <w:vAlign w:val="top"/>
          </w:tcPr>
          <w:p w14:paraId="5C661708">
            <w:pPr>
              <w:rPr>
                <w:rFonts w:ascii="Arial"/>
                <w:sz w:val="21"/>
              </w:rPr>
            </w:pPr>
          </w:p>
        </w:tc>
        <w:tc>
          <w:tcPr>
            <w:tcW w:w="229" w:type="dxa"/>
            <w:vAlign w:val="top"/>
          </w:tcPr>
          <w:p w14:paraId="654A2513">
            <w:pPr>
              <w:rPr>
                <w:rFonts w:ascii="Arial"/>
                <w:sz w:val="21"/>
              </w:rPr>
            </w:pPr>
          </w:p>
        </w:tc>
        <w:tc>
          <w:tcPr>
            <w:tcW w:w="234" w:type="dxa"/>
            <w:vAlign w:val="top"/>
          </w:tcPr>
          <w:p w14:paraId="76E18561">
            <w:pPr>
              <w:rPr>
                <w:rFonts w:ascii="Arial"/>
                <w:sz w:val="21"/>
              </w:rPr>
            </w:pPr>
          </w:p>
        </w:tc>
      </w:tr>
      <w:tr w14:paraId="70FF9B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9" w:hRule="atLeast"/>
        </w:trPr>
        <w:tc>
          <w:tcPr>
            <w:tcW w:w="893" w:type="dxa"/>
            <w:vMerge w:val="continue"/>
            <w:tcBorders>
              <w:top w:val="nil"/>
              <w:bottom w:val="nil"/>
            </w:tcBorders>
            <w:vAlign w:val="top"/>
          </w:tcPr>
          <w:p w14:paraId="690065B2">
            <w:pPr>
              <w:rPr>
                <w:rFonts w:ascii="Arial"/>
                <w:sz w:val="21"/>
              </w:rPr>
            </w:pPr>
          </w:p>
        </w:tc>
        <w:tc>
          <w:tcPr>
            <w:tcW w:w="2324" w:type="dxa"/>
            <w:vMerge w:val="continue"/>
            <w:tcBorders>
              <w:top w:val="nil"/>
              <w:bottom w:val="nil"/>
            </w:tcBorders>
            <w:vAlign w:val="top"/>
          </w:tcPr>
          <w:p w14:paraId="61CE38C0">
            <w:pPr>
              <w:rPr>
                <w:rFonts w:ascii="Arial"/>
                <w:sz w:val="21"/>
              </w:rPr>
            </w:pPr>
          </w:p>
        </w:tc>
        <w:tc>
          <w:tcPr>
            <w:tcW w:w="210" w:type="dxa"/>
            <w:vAlign w:val="top"/>
          </w:tcPr>
          <w:p w14:paraId="2B04C246">
            <w:pPr>
              <w:rPr>
                <w:rFonts w:ascii="Arial"/>
                <w:sz w:val="21"/>
              </w:rPr>
            </w:pPr>
          </w:p>
        </w:tc>
        <w:tc>
          <w:tcPr>
            <w:tcW w:w="229" w:type="dxa"/>
            <w:vAlign w:val="top"/>
          </w:tcPr>
          <w:p w14:paraId="6FF090C4">
            <w:pPr>
              <w:rPr>
                <w:rFonts w:ascii="Arial"/>
                <w:sz w:val="21"/>
              </w:rPr>
            </w:pPr>
          </w:p>
        </w:tc>
        <w:tc>
          <w:tcPr>
            <w:tcW w:w="229" w:type="dxa"/>
            <w:vAlign w:val="top"/>
          </w:tcPr>
          <w:p w14:paraId="4B8B7C4E">
            <w:pPr>
              <w:rPr>
                <w:rFonts w:ascii="Arial"/>
                <w:sz w:val="21"/>
              </w:rPr>
            </w:pPr>
          </w:p>
        </w:tc>
        <w:tc>
          <w:tcPr>
            <w:tcW w:w="234" w:type="dxa"/>
            <w:vAlign w:val="top"/>
          </w:tcPr>
          <w:p w14:paraId="089B6CC3">
            <w:pPr>
              <w:rPr>
                <w:rFonts w:ascii="Arial"/>
                <w:sz w:val="21"/>
              </w:rPr>
            </w:pPr>
          </w:p>
        </w:tc>
      </w:tr>
      <w:tr w14:paraId="22FC62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0" w:hRule="atLeast"/>
        </w:trPr>
        <w:tc>
          <w:tcPr>
            <w:tcW w:w="893" w:type="dxa"/>
            <w:vMerge w:val="continue"/>
            <w:tcBorders>
              <w:top w:val="nil"/>
              <w:bottom w:val="nil"/>
            </w:tcBorders>
            <w:vAlign w:val="top"/>
          </w:tcPr>
          <w:p w14:paraId="01A53A43">
            <w:pPr>
              <w:rPr>
                <w:rFonts w:ascii="Arial"/>
                <w:sz w:val="21"/>
              </w:rPr>
            </w:pPr>
          </w:p>
        </w:tc>
        <w:tc>
          <w:tcPr>
            <w:tcW w:w="2324" w:type="dxa"/>
            <w:vMerge w:val="continue"/>
            <w:tcBorders>
              <w:top w:val="nil"/>
              <w:bottom w:val="nil"/>
            </w:tcBorders>
            <w:vAlign w:val="top"/>
          </w:tcPr>
          <w:p w14:paraId="54C84EEC">
            <w:pPr>
              <w:rPr>
                <w:rFonts w:ascii="Arial"/>
                <w:sz w:val="21"/>
              </w:rPr>
            </w:pPr>
          </w:p>
        </w:tc>
        <w:tc>
          <w:tcPr>
            <w:tcW w:w="210" w:type="dxa"/>
            <w:vAlign w:val="top"/>
          </w:tcPr>
          <w:p w14:paraId="325AC5DA">
            <w:pPr>
              <w:rPr>
                <w:rFonts w:ascii="Arial"/>
                <w:sz w:val="21"/>
              </w:rPr>
            </w:pPr>
          </w:p>
        </w:tc>
        <w:tc>
          <w:tcPr>
            <w:tcW w:w="229" w:type="dxa"/>
            <w:vAlign w:val="top"/>
          </w:tcPr>
          <w:p w14:paraId="477E4810">
            <w:pPr>
              <w:rPr>
                <w:rFonts w:ascii="Arial"/>
                <w:sz w:val="21"/>
              </w:rPr>
            </w:pPr>
          </w:p>
        </w:tc>
        <w:tc>
          <w:tcPr>
            <w:tcW w:w="229" w:type="dxa"/>
            <w:vAlign w:val="top"/>
          </w:tcPr>
          <w:p w14:paraId="11CC4B6C">
            <w:pPr>
              <w:rPr>
                <w:rFonts w:ascii="Arial"/>
                <w:sz w:val="21"/>
              </w:rPr>
            </w:pPr>
          </w:p>
        </w:tc>
        <w:tc>
          <w:tcPr>
            <w:tcW w:w="234" w:type="dxa"/>
            <w:vAlign w:val="top"/>
          </w:tcPr>
          <w:p w14:paraId="0BAD3405">
            <w:pPr>
              <w:rPr>
                <w:rFonts w:ascii="Arial"/>
                <w:sz w:val="21"/>
              </w:rPr>
            </w:pPr>
          </w:p>
        </w:tc>
      </w:tr>
      <w:tr w14:paraId="2F553A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4" w:hRule="atLeast"/>
        </w:trPr>
        <w:tc>
          <w:tcPr>
            <w:tcW w:w="893" w:type="dxa"/>
            <w:vMerge w:val="continue"/>
            <w:tcBorders>
              <w:top w:val="nil"/>
            </w:tcBorders>
            <w:vAlign w:val="top"/>
          </w:tcPr>
          <w:p w14:paraId="7C0D76A4">
            <w:pPr>
              <w:rPr>
                <w:rFonts w:ascii="Arial"/>
                <w:sz w:val="21"/>
              </w:rPr>
            </w:pPr>
          </w:p>
        </w:tc>
        <w:tc>
          <w:tcPr>
            <w:tcW w:w="2324" w:type="dxa"/>
            <w:vMerge w:val="continue"/>
            <w:tcBorders>
              <w:top w:val="nil"/>
            </w:tcBorders>
            <w:vAlign w:val="top"/>
          </w:tcPr>
          <w:p w14:paraId="16E14B9C">
            <w:pPr>
              <w:rPr>
                <w:rFonts w:ascii="Arial"/>
                <w:sz w:val="21"/>
              </w:rPr>
            </w:pPr>
          </w:p>
        </w:tc>
        <w:tc>
          <w:tcPr>
            <w:tcW w:w="210" w:type="dxa"/>
            <w:vAlign w:val="top"/>
          </w:tcPr>
          <w:p w14:paraId="3298A1EE">
            <w:pPr>
              <w:rPr>
                <w:rFonts w:ascii="Arial"/>
                <w:sz w:val="21"/>
              </w:rPr>
            </w:pPr>
          </w:p>
        </w:tc>
        <w:tc>
          <w:tcPr>
            <w:tcW w:w="229" w:type="dxa"/>
            <w:vAlign w:val="top"/>
          </w:tcPr>
          <w:p w14:paraId="6A584D85">
            <w:pPr>
              <w:rPr>
                <w:rFonts w:ascii="Arial"/>
                <w:sz w:val="21"/>
              </w:rPr>
            </w:pPr>
          </w:p>
        </w:tc>
        <w:tc>
          <w:tcPr>
            <w:tcW w:w="229" w:type="dxa"/>
            <w:vAlign w:val="top"/>
          </w:tcPr>
          <w:p w14:paraId="5A3CA70D">
            <w:pPr>
              <w:rPr>
                <w:rFonts w:ascii="Arial"/>
                <w:sz w:val="21"/>
              </w:rPr>
            </w:pPr>
          </w:p>
        </w:tc>
        <w:tc>
          <w:tcPr>
            <w:tcW w:w="234" w:type="dxa"/>
            <w:vAlign w:val="top"/>
          </w:tcPr>
          <w:p w14:paraId="1C1EB822">
            <w:pPr>
              <w:pStyle w:val="6"/>
              <w:spacing w:before="111" w:line="133" w:lineRule="exact"/>
              <w:ind w:left="19"/>
            </w:pPr>
            <w:r>
              <w:rPr>
                <w:position w:val="-2"/>
              </w:rPr>
              <w:t>V</w:t>
            </w:r>
          </w:p>
        </w:tc>
      </w:tr>
    </w:tbl>
    <w:p w14:paraId="6447FA07">
      <w:pPr>
        <w:pStyle w:val="2"/>
        <w:spacing w:line="217" w:lineRule="exact"/>
        <w:rPr>
          <w:sz w:val="18"/>
        </w:rPr>
      </w:pPr>
    </w:p>
    <w:p w14:paraId="600EB487">
      <w:pPr>
        <w:spacing w:line="217" w:lineRule="exact"/>
        <w:rPr>
          <w:sz w:val="18"/>
          <w:szCs w:val="18"/>
        </w:rPr>
        <w:sectPr>
          <w:footerReference r:id="rId68" w:type="default"/>
          <w:pgSz w:w="10660" w:h="15080"/>
          <w:pgMar w:top="400" w:right="1045" w:bottom="927" w:left="819" w:header="0" w:footer="719" w:gutter="0"/>
          <w:cols w:space="720" w:num="1"/>
        </w:sectPr>
      </w:pPr>
    </w:p>
    <w:p w14:paraId="5942B8FC">
      <w:pPr>
        <w:spacing w:before="10"/>
      </w:pPr>
    </w:p>
    <w:p w14:paraId="7443F243">
      <w:pPr>
        <w:spacing w:before="9"/>
      </w:pPr>
    </w:p>
    <w:p w14:paraId="602E2B16">
      <w:pPr>
        <w:spacing w:before="9"/>
      </w:pPr>
    </w:p>
    <w:p w14:paraId="00AD58C4">
      <w:pPr>
        <w:spacing w:before="9"/>
      </w:pPr>
    </w:p>
    <w:p w14:paraId="11CD9CA4">
      <w:pPr>
        <w:sectPr>
          <w:footerReference r:id="rId69" w:type="default"/>
          <w:pgSz w:w="10660" w:h="15080"/>
          <w:pgMar w:top="400" w:right="885" w:bottom="925" w:left="1014" w:header="0" w:footer="705" w:gutter="0"/>
          <w:cols w:equalWidth="0" w:num="1">
            <w:col w:w="8760"/>
          </w:cols>
        </w:sectPr>
      </w:pPr>
    </w:p>
    <w:p w14:paraId="1F060CEA">
      <w:pPr>
        <w:spacing w:line="220" w:lineRule="auto"/>
        <w:ind w:left="697"/>
        <w:rPr>
          <w:rFonts w:ascii="黑体" w:hAnsi="黑体" w:eastAsia="黑体" w:cs="黑体"/>
          <w:sz w:val="20"/>
          <w:szCs w:val="20"/>
        </w:rPr>
      </w:pPr>
      <w:bookmarkStart w:id="41" w:name="bookmark35"/>
      <w:bookmarkEnd w:id="41"/>
      <w:r>
        <w:rPr>
          <w:rFonts w:ascii="黑体" w:hAnsi="黑体" w:eastAsia="黑体" w:cs="黑体"/>
          <w:b/>
          <w:bCs/>
          <w:spacing w:val="-5"/>
          <w:sz w:val="20"/>
          <w:szCs w:val="20"/>
        </w:rPr>
        <w:t>第八章</w:t>
      </w:r>
      <w:r>
        <w:rPr>
          <w:rFonts w:ascii="黑体" w:hAnsi="黑体" w:eastAsia="黑体" w:cs="黑体"/>
          <w:spacing w:val="-5"/>
          <w:sz w:val="20"/>
          <w:szCs w:val="20"/>
        </w:rPr>
        <w:t xml:space="preserve">  </w:t>
      </w:r>
      <w:r>
        <w:rPr>
          <w:rFonts w:ascii="黑体" w:hAnsi="黑体" w:eastAsia="黑体" w:cs="黑体"/>
          <w:b/>
          <w:bCs/>
          <w:spacing w:val="-5"/>
          <w:sz w:val="20"/>
          <w:szCs w:val="20"/>
        </w:rPr>
        <w:t>神经系统和内分泌系统</w:t>
      </w:r>
    </w:p>
    <w:p w14:paraId="780BB94B">
      <w:pPr>
        <w:spacing w:line="72" w:lineRule="exact"/>
      </w:pPr>
    </w:p>
    <w:tbl>
      <w:tblPr>
        <w:tblStyle w:val="5"/>
        <w:tblW w:w="4102" w:type="dxa"/>
        <w:tblInd w:w="5"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903"/>
        <w:gridCol w:w="2306"/>
        <w:gridCol w:w="239"/>
        <w:gridCol w:w="210"/>
        <w:gridCol w:w="230"/>
        <w:gridCol w:w="214"/>
      </w:tblGrid>
      <w:tr w14:paraId="0211A37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90" w:hRule="atLeast"/>
        </w:trPr>
        <w:tc>
          <w:tcPr>
            <w:tcW w:w="903" w:type="dxa"/>
            <w:vMerge w:val="restart"/>
            <w:tcBorders>
              <w:left w:val="single" w:color="000000" w:sz="4" w:space="0"/>
              <w:bottom w:val="nil"/>
              <w:right w:val="single" w:color="000000" w:sz="4" w:space="0"/>
            </w:tcBorders>
            <w:vAlign w:val="top"/>
          </w:tcPr>
          <w:p w14:paraId="0F914E42">
            <w:pPr>
              <w:pStyle w:val="6"/>
              <w:spacing w:before="85" w:line="230" w:lineRule="auto"/>
              <w:ind w:left="263" w:hanging="246"/>
              <w:rPr>
                <w:sz w:val="18"/>
                <w:szCs w:val="18"/>
              </w:rPr>
            </w:pPr>
            <w:r>
              <w:rPr>
                <w:b/>
                <w:bCs/>
                <w:spacing w:val="-7"/>
                <w:sz w:val="18"/>
                <w:szCs w:val="18"/>
              </w:rPr>
              <w:t>知识与技能</w:t>
            </w:r>
            <w:r>
              <w:rPr>
                <w:sz w:val="18"/>
                <w:szCs w:val="18"/>
              </w:rPr>
              <w:t xml:space="preserve"> </w:t>
            </w:r>
            <w:r>
              <w:rPr>
                <w:b/>
                <w:bCs/>
                <w:spacing w:val="-6"/>
                <w:sz w:val="18"/>
                <w:szCs w:val="18"/>
              </w:rPr>
              <w:t>要点</w:t>
            </w:r>
          </w:p>
        </w:tc>
        <w:tc>
          <w:tcPr>
            <w:tcW w:w="2306" w:type="dxa"/>
            <w:vMerge w:val="restart"/>
            <w:tcBorders>
              <w:left w:val="single" w:color="000000" w:sz="4" w:space="0"/>
              <w:bottom w:val="nil"/>
              <w:right w:val="single" w:color="000000" w:sz="4" w:space="0"/>
            </w:tcBorders>
            <w:vAlign w:val="top"/>
          </w:tcPr>
          <w:p w14:paraId="39364454">
            <w:pPr>
              <w:pStyle w:val="6"/>
              <w:spacing w:before="194" w:line="219" w:lineRule="auto"/>
              <w:ind w:left="834"/>
              <w:rPr>
                <w:sz w:val="18"/>
                <w:szCs w:val="18"/>
              </w:rPr>
            </w:pPr>
            <w:r>
              <w:rPr>
                <w:b/>
                <w:bCs/>
                <w:spacing w:val="5"/>
                <w:sz w:val="18"/>
                <w:szCs w:val="18"/>
              </w:rPr>
              <w:t>考试条目</w:t>
            </w:r>
          </w:p>
        </w:tc>
        <w:tc>
          <w:tcPr>
            <w:tcW w:w="893" w:type="dxa"/>
            <w:gridSpan w:val="4"/>
            <w:tcBorders>
              <w:left w:val="single" w:color="000000" w:sz="4" w:space="0"/>
            </w:tcBorders>
            <w:vAlign w:val="top"/>
          </w:tcPr>
          <w:p w14:paraId="5A14EABA">
            <w:pPr>
              <w:pStyle w:val="6"/>
              <w:spacing w:before="54" w:line="219" w:lineRule="auto"/>
              <w:ind w:left="128"/>
              <w:rPr>
                <w:sz w:val="18"/>
                <w:szCs w:val="18"/>
              </w:rPr>
            </w:pPr>
            <w:r>
              <w:rPr>
                <w:b/>
                <w:bCs/>
                <w:spacing w:val="-4"/>
                <w:sz w:val="18"/>
                <w:szCs w:val="18"/>
              </w:rPr>
              <w:t>考试水平</w:t>
            </w:r>
          </w:p>
        </w:tc>
      </w:tr>
      <w:tr w14:paraId="575A333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5" w:hRule="atLeast"/>
        </w:trPr>
        <w:tc>
          <w:tcPr>
            <w:tcW w:w="903" w:type="dxa"/>
            <w:vMerge w:val="continue"/>
            <w:tcBorders>
              <w:top w:val="nil"/>
              <w:left w:val="single" w:color="000000" w:sz="4" w:space="0"/>
              <w:right w:val="single" w:color="000000" w:sz="4" w:space="0"/>
            </w:tcBorders>
            <w:vAlign w:val="top"/>
          </w:tcPr>
          <w:p w14:paraId="130B87D4">
            <w:pPr>
              <w:rPr>
                <w:rFonts w:ascii="Arial"/>
                <w:sz w:val="21"/>
              </w:rPr>
            </w:pPr>
          </w:p>
        </w:tc>
        <w:tc>
          <w:tcPr>
            <w:tcW w:w="2306" w:type="dxa"/>
            <w:vMerge w:val="continue"/>
            <w:tcBorders>
              <w:top w:val="nil"/>
              <w:left w:val="single" w:color="000000" w:sz="4" w:space="0"/>
              <w:right w:val="single" w:color="000000" w:sz="4" w:space="0"/>
            </w:tcBorders>
            <w:vAlign w:val="top"/>
          </w:tcPr>
          <w:p w14:paraId="098F88E2">
            <w:pPr>
              <w:rPr>
                <w:rFonts w:ascii="Arial"/>
                <w:sz w:val="21"/>
              </w:rPr>
            </w:pPr>
          </w:p>
        </w:tc>
        <w:tc>
          <w:tcPr>
            <w:tcW w:w="239" w:type="dxa"/>
            <w:tcBorders>
              <w:left w:val="single" w:color="000000" w:sz="4" w:space="0"/>
              <w:right w:val="single" w:color="000000" w:sz="4" w:space="0"/>
            </w:tcBorders>
            <w:vAlign w:val="top"/>
          </w:tcPr>
          <w:p w14:paraId="0FF441E3">
            <w:pPr>
              <w:pStyle w:val="6"/>
              <w:spacing w:before="87" w:line="172" w:lineRule="auto"/>
              <w:ind w:left="18"/>
              <w:rPr>
                <w:sz w:val="18"/>
                <w:szCs w:val="18"/>
              </w:rPr>
            </w:pPr>
            <w:r>
              <w:rPr>
                <w:b/>
                <w:bCs/>
                <w:spacing w:val="-2"/>
                <w:sz w:val="18"/>
                <w:szCs w:val="18"/>
              </w:rPr>
              <w:t>A</w:t>
            </w:r>
          </w:p>
        </w:tc>
        <w:tc>
          <w:tcPr>
            <w:tcW w:w="210" w:type="dxa"/>
            <w:tcBorders>
              <w:left w:val="single" w:color="000000" w:sz="4" w:space="0"/>
              <w:right w:val="single" w:color="000000" w:sz="4" w:space="0"/>
            </w:tcBorders>
            <w:vAlign w:val="top"/>
          </w:tcPr>
          <w:p w14:paraId="79605717">
            <w:pPr>
              <w:pStyle w:val="6"/>
              <w:spacing w:before="90" w:line="169" w:lineRule="auto"/>
              <w:ind w:left="59"/>
              <w:rPr>
                <w:sz w:val="18"/>
                <w:szCs w:val="18"/>
              </w:rPr>
            </w:pPr>
            <w:r>
              <w:rPr>
                <w:b/>
                <w:bCs/>
                <w:spacing w:val="-2"/>
                <w:sz w:val="18"/>
                <w:szCs w:val="18"/>
              </w:rPr>
              <w:t>B</w:t>
            </w:r>
          </w:p>
        </w:tc>
        <w:tc>
          <w:tcPr>
            <w:tcW w:w="230" w:type="dxa"/>
            <w:tcBorders>
              <w:left w:val="single" w:color="000000" w:sz="4" w:space="0"/>
              <w:right w:val="single" w:color="000000" w:sz="4" w:space="0"/>
            </w:tcBorders>
            <w:vAlign w:val="top"/>
          </w:tcPr>
          <w:p w14:paraId="7BCFB85A">
            <w:pPr>
              <w:pStyle w:val="6"/>
              <w:spacing w:before="89" w:line="170" w:lineRule="auto"/>
              <w:ind w:left="17"/>
              <w:rPr>
                <w:sz w:val="18"/>
                <w:szCs w:val="18"/>
              </w:rPr>
            </w:pPr>
            <w:r>
              <w:rPr>
                <w:sz w:val="18"/>
                <w:szCs w:val="18"/>
              </w:rPr>
              <w:t>C</w:t>
            </w:r>
          </w:p>
        </w:tc>
        <w:tc>
          <w:tcPr>
            <w:tcW w:w="214" w:type="dxa"/>
            <w:tcBorders>
              <w:left w:val="single" w:color="000000" w:sz="4" w:space="0"/>
            </w:tcBorders>
            <w:vAlign w:val="top"/>
          </w:tcPr>
          <w:p w14:paraId="6B55939C">
            <w:pPr>
              <w:pStyle w:val="6"/>
              <w:spacing w:before="90" w:line="169" w:lineRule="auto"/>
              <w:ind w:left="49"/>
              <w:rPr>
                <w:sz w:val="18"/>
                <w:szCs w:val="18"/>
              </w:rPr>
            </w:pPr>
            <w:r>
              <w:rPr>
                <w:b/>
                <w:bCs/>
                <w:spacing w:val="-2"/>
                <w:sz w:val="18"/>
                <w:szCs w:val="18"/>
              </w:rPr>
              <w:t>D</w:t>
            </w:r>
          </w:p>
        </w:tc>
      </w:tr>
      <w:tr w14:paraId="14CF01C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5" w:hRule="atLeast"/>
        </w:trPr>
        <w:tc>
          <w:tcPr>
            <w:tcW w:w="903" w:type="dxa"/>
            <w:vMerge w:val="restart"/>
            <w:tcBorders>
              <w:left w:val="single" w:color="000000" w:sz="4" w:space="0"/>
              <w:bottom w:val="nil"/>
              <w:right w:val="single" w:color="000000" w:sz="4" w:space="0"/>
            </w:tcBorders>
            <w:vAlign w:val="top"/>
          </w:tcPr>
          <w:p w14:paraId="59E33830">
            <w:pPr>
              <w:pStyle w:val="6"/>
              <w:spacing w:before="142" w:line="219" w:lineRule="auto"/>
              <w:ind w:left="265"/>
              <w:rPr>
                <w:sz w:val="18"/>
                <w:szCs w:val="18"/>
              </w:rPr>
            </w:pPr>
            <w:r>
              <w:rPr>
                <w:spacing w:val="-2"/>
                <w:sz w:val="18"/>
                <w:szCs w:val="18"/>
              </w:rPr>
              <w:t>概念</w:t>
            </w:r>
          </w:p>
        </w:tc>
        <w:tc>
          <w:tcPr>
            <w:tcW w:w="2306" w:type="dxa"/>
            <w:vMerge w:val="restart"/>
            <w:tcBorders>
              <w:left w:val="single" w:color="000000" w:sz="4" w:space="0"/>
              <w:bottom w:val="nil"/>
              <w:right w:val="single" w:color="000000" w:sz="4" w:space="0"/>
            </w:tcBorders>
            <w:vAlign w:val="top"/>
          </w:tcPr>
          <w:p w14:paraId="613748B6">
            <w:pPr>
              <w:pStyle w:val="6"/>
              <w:spacing w:before="42" w:line="215" w:lineRule="auto"/>
              <w:ind w:left="12"/>
              <w:rPr>
                <w:sz w:val="18"/>
                <w:szCs w:val="18"/>
              </w:rPr>
            </w:pPr>
            <w:r>
              <w:rPr>
                <w:spacing w:val="1"/>
                <w:sz w:val="18"/>
                <w:szCs w:val="18"/>
              </w:rPr>
              <w:t>1.神经系统的分部</w:t>
            </w:r>
          </w:p>
          <w:p w14:paraId="39FF57CA">
            <w:pPr>
              <w:pStyle w:val="6"/>
              <w:spacing w:line="197" w:lineRule="auto"/>
              <w:ind w:left="12"/>
              <w:rPr>
                <w:sz w:val="18"/>
                <w:szCs w:val="18"/>
              </w:rPr>
            </w:pPr>
            <w:r>
              <w:rPr>
                <w:spacing w:val="-1"/>
                <w:sz w:val="18"/>
                <w:szCs w:val="18"/>
              </w:rPr>
              <w:t>2.神经系统的常用述语</w:t>
            </w:r>
          </w:p>
        </w:tc>
        <w:tc>
          <w:tcPr>
            <w:tcW w:w="239" w:type="dxa"/>
            <w:tcBorders>
              <w:left w:val="single" w:color="000000" w:sz="4" w:space="0"/>
              <w:right w:val="single" w:color="000000" w:sz="4" w:space="0"/>
            </w:tcBorders>
            <w:vAlign w:val="top"/>
          </w:tcPr>
          <w:p w14:paraId="3D5A5052">
            <w:pPr>
              <w:pStyle w:val="6"/>
              <w:spacing w:before="83" w:line="201" w:lineRule="auto"/>
              <w:ind w:left="16"/>
              <w:rPr>
                <w:sz w:val="13"/>
                <w:szCs w:val="13"/>
              </w:rPr>
            </w:pPr>
            <w:r>
              <w:rPr>
                <w:sz w:val="13"/>
                <w:szCs w:val="13"/>
              </w:rPr>
              <w:t>√</w:t>
            </w:r>
          </w:p>
        </w:tc>
        <w:tc>
          <w:tcPr>
            <w:tcW w:w="210" w:type="dxa"/>
            <w:tcBorders>
              <w:left w:val="single" w:color="000000" w:sz="4" w:space="0"/>
              <w:right w:val="single" w:color="000000" w:sz="4" w:space="0"/>
            </w:tcBorders>
            <w:vAlign w:val="top"/>
          </w:tcPr>
          <w:p w14:paraId="2290A2D3">
            <w:pPr>
              <w:spacing w:line="225" w:lineRule="exact"/>
              <w:rPr>
                <w:rFonts w:ascii="Arial"/>
                <w:sz w:val="19"/>
              </w:rPr>
            </w:pPr>
          </w:p>
        </w:tc>
        <w:tc>
          <w:tcPr>
            <w:tcW w:w="230" w:type="dxa"/>
            <w:tcBorders>
              <w:left w:val="single" w:color="000000" w:sz="4" w:space="0"/>
              <w:right w:val="single" w:color="000000" w:sz="4" w:space="0"/>
            </w:tcBorders>
            <w:vAlign w:val="top"/>
          </w:tcPr>
          <w:p w14:paraId="5355CF35">
            <w:pPr>
              <w:spacing w:line="225" w:lineRule="exact"/>
              <w:rPr>
                <w:rFonts w:ascii="Arial"/>
                <w:sz w:val="19"/>
              </w:rPr>
            </w:pPr>
          </w:p>
        </w:tc>
        <w:tc>
          <w:tcPr>
            <w:tcW w:w="214" w:type="dxa"/>
            <w:tcBorders>
              <w:left w:val="single" w:color="000000" w:sz="4" w:space="0"/>
            </w:tcBorders>
            <w:vAlign w:val="top"/>
          </w:tcPr>
          <w:p w14:paraId="1DADCA3C">
            <w:pPr>
              <w:spacing w:line="225" w:lineRule="exact"/>
              <w:rPr>
                <w:rFonts w:ascii="Arial"/>
                <w:sz w:val="19"/>
              </w:rPr>
            </w:pPr>
          </w:p>
        </w:tc>
      </w:tr>
      <w:tr w14:paraId="66C9CB0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15" w:hRule="atLeast"/>
        </w:trPr>
        <w:tc>
          <w:tcPr>
            <w:tcW w:w="903" w:type="dxa"/>
            <w:vMerge w:val="continue"/>
            <w:tcBorders>
              <w:top w:val="nil"/>
              <w:left w:val="single" w:color="000000" w:sz="4" w:space="0"/>
              <w:right w:val="single" w:color="000000" w:sz="4" w:space="0"/>
            </w:tcBorders>
            <w:vAlign w:val="top"/>
          </w:tcPr>
          <w:p w14:paraId="62E70FAF">
            <w:pPr>
              <w:rPr>
                <w:rFonts w:ascii="Arial"/>
                <w:sz w:val="21"/>
              </w:rPr>
            </w:pPr>
          </w:p>
        </w:tc>
        <w:tc>
          <w:tcPr>
            <w:tcW w:w="2306" w:type="dxa"/>
            <w:vMerge w:val="continue"/>
            <w:tcBorders>
              <w:top w:val="nil"/>
              <w:left w:val="single" w:color="000000" w:sz="4" w:space="0"/>
              <w:right w:val="single" w:color="000000" w:sz="4" w:space="0"/>
            </w:tcBorders>
            <w:vAlign w:val="top"/>
          </w:tcPr>
          <w:p w14:paraId="284A368F">
            <w:pPr>
              <w:rPr>
                <w:rFonts w:ascii="Arial"/>
                <w:sz w:val="21"/>
              </w:rPr>
            </w:pPr>
          </w:p>
        </w:tc>
        <w:tc>
          <w:tcPr>
            <w:tcW w:w="239" w:type="dxa"/>
            <w:tcBorders>
              <w:left w:val="single" w:color="000000" w:sz="4" w:space="0"/>
              <w:right w:val="single" w:color="000000" w:sz="4" w:space="0"/>
            </w:tcBorders>
            <w:vAlign w:val="top"/>
          </w:tcPr>
          <w:p w14:paraId="0694C4BD">
            <w:pPr>
              <w:spacing w:line="205" w:lineRule="exact"/>
              <w:rPr>
                <w:rFonts w:ascii="Arial"/>
                <w:sz w:val="17"/>
              </w:rPr>
            </w:pPr>
          </w:p>
        </w:tc>
        <w:tc>
          <w:tcPr>
            <w:tcW w:w="210" w:type="dxa"/>
            <w:tcBorders>
              <w:left w:val="single" w:color="000000" w:sz="4" w:space="0"/>
              <w:right w:val="single" w:color="000000" w:sz="4" w:space="0"/>
            </w:tcBorders>
            <w:vAlign w:val="top"/>
          </w:tcPr>
          <w:p w14:paraId="10E7813B">
            <w:pPr>
              <w:spacing w:line="205" w:lineRule="exact"/>
              <w:rPr>
                <w:rFonts w:ascii="Arial"/>
                <w:sz w:val="17"/>
              </w:rPr>
            </w:pPr>
          </w:p>
        </w:tc>
        <w:tc>
          <w:tcPr>
            <w:tcW w:w="230" w:type="dxa"/>
            <w:tcBorders>
              <w:left w:val="single" w:color="000000" w:sz="4" w:space="0"/>
              <w:right w:val="single" w:color="000000" w:sz="4" w:space="0"/>
            </w:tcBorders>
            <w:vAlign w:val="top"/>
          </w:tcPr>
          <w:p w14:paraId="5EE89F9D">
            <w:pPr>
              <w:spacing w:line="205" w:lineRule="exact"/>
              <w:rPr>
                <w:rFonts w:ascii="Arial"/>
                <w:sz w:val="17"/>
              </w:rPr>
            </w:pPr>
          </w:p>
        </w:tc>
        <w:tc>
          <w:tcPr>
            <w:tcW w:w="214" w:type="dxa"/>
            <w:tcBorders>
              <w:left w:val="single" w:color="000000" w:sz="4" w:space="0"/>
            </w:tcBorders>
            <w:vAlign w:val="top"/>
          </w:tcPr>
          <w:p w14:paraId="5C8B2110">
            <w:pPr>
              <w:spacing w:line="205" w:lineRule="exact"/>
              <w:rPr>
                <w:rFonts w:ascii="Arial"/>
                <w:sz w:val="17"/>
              </w:rPr>
            </w:pPr>
          </w:p>
        </w:tc>
      </w:tr>
      <w:tr w14:paraId="3BD036B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5" w:hRule="atLeast"/>
        </w:trPr>
        <w:tc>
          <w:tcPr>
            <w:tcW w:w="903" w:type="dxa"/>
            <w:vMerge w:val="restart"/>
            <w:tcBorders>
              <w:left w:val="single" w:color="000000" w:sz="4" w:space="0"/>
              <w:bottom w:val="nil"/>
              <w:right w:val="single" w:color="000000" w:sz="4" w:space="0"/>
            </w:tcBorders>
            <w:vAlign w:val="top"/>
          </w:tcPr>
          <w:p w14:paraId="037098EA">
            <w:pPr>
              <w:spacing w:line="290" w:lineRule="auto"/>
              <w:rPr>
                <w:rFonts w:ascii="Arial"/>
                <w:sz w:val="21"/>
              </w:rPr>
            </w:pPr>
          </w:p>
          <w:p w14:paraId="1CF29B2D">
            <w:pPr>
              <w:pStyle w:val="6"/>
              <w:spacing w:before="59" w:line="219" w:lineRule="auto"/>
              <w:ind w:left="265"/>
              <w:rPr>
                <w:sz w:val="18"/>
                <w:szCs w:val="18"/>
              </w:rPr>
            </w:pPr>
            <w:r>
              <w:rPr>
                <w:spacing w:val="-2"/>
                <w:sz w:val="18"/>
                <w:szCs w:val="18"/>
              </w:rPr>
              <w:t>脊髓</w:t>
            </w:r>
          </w:p>
        </w:tc>
        <w:tc>
          <w:tcPr>
            <w:tcW w:w="2306" w:type="dxa"/>
            <w:vMerge w:val="restart"/>
            <w:tcBorders>
              <w:left w:val="single" w:color="000000" w:sz="4" w:space="0"/>
              <w:bottom w:val="nil"/>
              <w:right w:val="single" w:color="000000" w:sz="4" w:space="0"/>
            </w:tcBorders>
            <w:vAlign w:val="top"/>
          </w:tcPr>
          <w:p w14:paraId="7B905DCB">
            <w:pPr>
              <w:pStyle w:val="6"/>
              <w:spacing w:before="41" w:line="219" w:lineRule="auto"/>
              <w:ind w:left="12"/>
              <w:rPr>
                <w:sz w:val="18"/>
                <w:szCs w:val="18"/>
              </w:rPr>
            </w:pPr>
            <w:r>
              <w:rPr>
                <w:sz w:val="18"/>
                <w:szCs w:val="18"/>
              </w:rPr>
              <w:t>1.脊髓的位置和外形</w:t>
            </w:r>
          </w:p>
          <w:p w14:paraId="5E9B6496">
            <w:pPr>
              <w:pStyle w:val="6"/>
              <w:spacing w:before="17" w:line="206" w:lineRule="auto"/>
              <w:ind w:left="12" w:right="130"/>
              <w:jc w:val="both"/>
              <w:rPr>
                <w:sz w:val="18"/>
                <w:szCs w:val="18"/>
              </w:rPr>
            </w:pPr>
            <w:r>
              <w:rPr>
                <w:spacing w:val="-1"/>
                <w:sz w:val="18"/>
                <w:szCs w:val="18"/>
              </w:rPr>
              <w:t>2.脊髓灰质内的主要神经元</w:t>
            </w:r>
            <w:r>
              <w:rPr>
                <w:spacing w:val="2"/>
                <w:sz w:val="18"/>
                <w:szCs w:val="18"/>
              </w:rPr>
              <w:t xml:space="preserve"> </w:t>
            </w:r>
            <w:r>
              <w:rPr>
                <w:spacing w:val="-1"/>
                <w:sz w:val="18"/>
                <w:szCs w:val="18"/>
              </w:rPr>
              <w:t>及白质的分索和主要纤维束</w:t>
            </w:r>
            <w:r>
              <w:rPr>
                <w:spacing w:val="4"/>
                <w:sz w:val="18"/>
                <w:szCs w:val="18"/>
              </w:rPr>
              <w:t xml:space="preserve"> </w:t>
            </w:r>
            <w:r>
              <w:rPr>
                <w:spacing w:val="1"/>
                <w:sz w:val="18"/>
                <w:szCs w:val="18"/>
              </w:rPr>
              <w:t>的名称及功能</w:t>
            </w:r>
          </w:p>
        </w:tc>
        <w:tc>
          <w:tcPr>
            <w:tcW w:w="239" w:type="dxa"/>
            <w:tcBorders>
              <w:left w:val="single" w:color="000000" w:sz="4" w:space="0"/>
              <w:right w:val="single" w:color="000000" w:sz="4" w:space="0"/>
            </w:tcBorders>
            <w:vAlign w:val="top"/>
          </w:tcPr>
          <w:p w14:paraId="03895167">
            <w:pPr>
              <w:rPr>
                <w:rFonts w:ascii="Arial"/>
                <w:sz w:val="21"/>
              </w:rPr>
            </w:pPr>
          </w:p>
        </w:tc>
        <w:tc>
          <w:tcPr>
            <w:tcW w:w="210" w:type="dxa"/>
            <w:tcBorders>
              <w:left w:val="single" w:color="000000" w:sz="4" w:space="0"/>
              <w:right w:val="single" w:color="000000" w:sz="4" w:space="0"/>
            </w:tcBorders>
            <w:vAlign w:val="top"/>
          </w:tcPr>
          <w:p w14:paraId="7E6182DA">
            <w:pPr>
              <w:pStyle w:val="6"/>
              <w:spacing w:before="83" w:line="238" w:lineRule="auto"/>
              <w:ind w:left="37"/>
              <w:rPr>
                <w:sz w:val="13"/>
                <w:szCs w:val="13"/>
              </w:rPr>
            </w:pPr>
            <w:r>
              <w:rPr>
                <w:sz w:val="13"/>
                <w:szCs w:val="13"/>
              </w:rPr>
              <w:t>√</w:t>
            </w:r>
          </w:p>
        </w:tc>
        <w:tc>
          <w:tcPr>
            <w:tcW w:w="230" w:type="dxa"/>
            <w:tcBorders>
              <w:left w:val="single" w:color="000000" w:sz="4" w:space="0"/>
              <w:right w:val="single" w:color="000000" w:sz="4" w:space="0"/>
            </w:tcBorders>
            <w:vAlign w:val="top"/>
          </w:tcPr>
          <w:p w14:paraId="7C0D2DCC">
            <w:pPr>
              <w:rPr>
                <w:rFonts w:ascii="Arial"/>
                <w:sz w:val="21"/>
              </w:rPr>
            </w:pPr>
          </w:p>
        </w:tc>
        <w:tc>
          <w:tcPr>
            <w:tcW w:w="214" w:type="dxa"/>
            <w:tcBorders>
              <w:left w:val="single" w:color="000000" w:sz="4" w:space="0"/>
            </w:tcBorders>
            <w:vAlign w:val="top"/>
          </w:tcPr>
          <w:p w14:paraId="7D9C767D">
            <w:pPr>
              <w:rPr>
                <w:rFonts w:ascii="Arial"/>
                <w:sz w:val="21"/>
              </w:rPr>
            </w:pPr>
          </w:p>
        </w:tc>
      </w:tr>
      <w:tr w14:paraId="1D9754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5" w:hRule="atLeast"/>
        </w:trPr>
        <w:tc>
          <w:tcPr>
            <w:tcW w:w="903" w:type="dxa"/>
            <w:vMerge w:val="continue"/>
            <w:tcBorders>
              <w:top w:val="nil"/>
              <w:left w:val="single" w:color="000000" w:sz="4" w:space="0"/>
              <w:right w:val="single" w:color="000000" w:sz="4" w:space="0"/>
            </w:tcBorders>
            <w:vAlign w:val="top"/>
          </w:tcPr>
          <w:p w14:paraId="23D208FD">
            <w:pPr>
              <w:rPr>
                <w:rFonts w:ascii="Arial"/>
                <w:sz w:val="21"/>
              </w:rPr>
            </w:pPr>
          </w:p>
        </w:tc>
        <w:tc>
          <w:tcPr>
            <w:tcW w:w="2306" w:type="dxa"/>
            <w:vMerge w:val="continue"/>
            <w:tcBorders>
              <w:top w:val="nil"/>
              <w:left w:val="single" w:color="000000" w:sz="4" w:space="0"/>
              <w:right w:val="single" w:color="000000" w:sz="4" w:space="0"/>
            </w:tcBorders>
            <w:vAlign w:val="top"/>
          </w:tcPr>
          <w:p w14:paraId="74EC44DE">
            <w:pPr>
              <w:rPr>
                <w:rFonts w:ascii="Arial"/>
                <w:sz w:val="21"/>
              </w:rPr>
            </w:pPr>
          </w:p>
        </w:tc>
        <w:tc>
          <w:tcPr>
            <w:tcW w:w="239" w:type="dxa"/>
            <w:tcBorders>
              <w:left w:val="single" w:color="000000" w:sz="4" w:space="0"/>
              <w:right w:val="single" w:color="000000" w:sz="4" w:space="0"/>
            </w:tcBorders>
            <w:vAlign w:val="top"/>
          </w:tcPr>
          <w:p w14:paraId="130D63DC">
            <w:pPr>
              <w:rPr>
                <w:rFonts w:ascii="Arial"/>
                <w:sz w:val="21"/>
              </w:rPr>
            </w:pPr>
          </w:p>
        </w:tc>
        <w:tc>
          <w:tcPr>
            <w:tcW w:w="210" w:type="dxa"/>
            <w:tcBorders>
              <w:left w:val="single" w:color="000000" w:sz="4" w:space="0"/>
              <w:right w:val="single" w:color="000000" w:sz="4" w:space="0"/>
            </w:tcBorders>
            <w:vAlign w:val="top"/>
          </w:tcPr>
          <w:p w14:paraId="48BEB3FB">
            <w:pPr>
              <w:rPr>
                <w:rFonts w:ascii="Arial"/>
                <w:sz w:val="21"/>
              </w:rPr>
            </w:pPr>
          </w:p>
        </w:tc>
        <w:tc>
          <w:tcPr>
            <w:tcW w:w="230" w:type="dxa"/>
            <w:tcBorders>
              <w:left w:val="single" w:color="000000" w:sz="4" w:space="0"/>
              <w:right w:val="single" w:color="000000" w:sz="4" w:space="0"/>
            </w:tcBorders>
            <w:vAlign w:val="top"/>
          </w:tcPr>
          <w:p w14:paraId="4D317356">
            <w:pPr>
              <w:rPr>
                <w:rFonts w:ascii="Arial"/>
                <w:sz w:val="21"/>
              </w:rPr>
            </w:pPr>
          </w:p>
        </w:tc>
        <w:tc>
          <w:tcPr>
            <w:tcW w:w="214" w:type="dxa"/>
            <w:tcBorders>
              <w:left w:val="single" w:color="000000" w:sz="4" w:space="0"/>
            </w:tcBorders>
            <w:vAlign w:val="top"/>
          </w:tcPr>
          <w:p w14:paraId="4A461436">
            <w:pPr>
              <w:rPr>
                <w:rFonts w:ascii="Arial"/>
                <w:sz w:val="21"/>
              </w:rPr>
            </w:pPr>
          </w:p>
        </w:tc>
      </w:tr>
      <w:tr w14:paraId="2EA49D6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903" w:type="dxa"/>
            <w:vMerge w:val="restart"/>
            <w:tcBorders>
              <w:left w:val="single" w:color="000000" w:sz="4" w:space="0"/>
              <w:bottom w:val="nil"/>
              <w:right w:val="single" w:color="000000" w:sz="4" w:space="0"/>
            </w:tcBorders>
            <w:vAlign w:val="top"/>
          </w:tcPr>
          <w:p w14:paraId="1712E257">
            <w:pPr>
              <w:spacing w:line="291" w:lineRule="auto"/>
              <w:rPr>
                <w:rFonts w:ascii="Arial"/>
                <w:sz w:val="21"/>
              </w:rPr>
            </w:pPr>
          </w:p>
          <w:p w14:paraId="0239DDD6">
            <w:pPr>
              <w:spacing w:line="292" w:lineRule="auto"/>
              <w:rPr>
                <w:rFonts w:ascii="Arial"/>
                <w:sz w:val="21"/>
              </w:rPr>
            </w:pPr>
          </w:p>
          <w:p w14:paraId="5D036CDF">
            <w:pPr>
              <w:spacing w:line="292" w:lineRule="auto"/>
              <w:rPr>
                <w:rFonts w:ascii="Arial"/>
                <w:sz w:val="21"/>
              </w:rPr>
            </w:pPr>
          </w:p>
          <w:p w14:paraId="2BE5E995">
            <w:pPr>
              <w:spacing w:line="292" w:lineRule="auto"/>
              <w:rPr>
                <w:rFonts w:ascii="Arial"/>
                <w:sz w:val="21"/>
              </w:rPr>
            </w:pPr>
          </w:p>
          <w:p w14:paraId="6BB5BD01">
            <w:pPr>
              <w:pStyle w:val="6"/>
              <w:spacing w:before="58" w:line="221" w:lineRule="auto"/>
              <w:ind w:left="355"/>
              <w:rPr>
                <w:sz w:val="18"/>
                <w:szCs w:val="18"/>
              </w:rPr>
            </w:pPr>
            <w:r>
              <w:rPr>
                <w:sz w:val="18"/>
                <w:szCs w:val="18"/>
              </w:rPr>
              <w:t>脑</w:t>
            </w:r>
          </w:p>
        </w:tc>
        <w:tc>
          <w:tcPr>
            <w:tcW w:w="2306" w:type="dxa"/>
            <w:vMerge w:val="restart"/>
            <w:tcBorders>
              <w:left w:val="single" w:color="000000" w:sz="4" w:space="0"/>
              <w:bottom w:val="nil"/>
              <w:right w:val="single" w:color="000000" w:sz="4" w:space="0"/>
            </w:tcBorders>
            <w:vAlign w:val="top"/>
          </w:tcPr>
          <w:p w14:paraId="79DBB9AA">
            <w:pPr>
              <w:pStyle w:val="6"/>
              <w:spacing w:before="41" w:line="222" w:lineRule="auto"/>
              <w:ind w:left="12" w:right="834"/>
              <w:rPr>
                <w:sz w:val="18"/>
                <w:szCs w:val="18"/>
              </w:rPr>
            </w:pPr>
            <w:r>
              <w:rPr>
                <w:spacing w:val="1"/>
                <w:sz w:val="18"/>
                <w:szCs w:val="18"/>
              </w:rPr>
              <w:t>1.脑的位置和分部</w:t>
            </w:r>
            <w:r>
              <w:rPr>
                <w:sz w:val="18"/>
                <w:szCs w:val="18"/>
              </w:rPr>
              <w:t xml:space="preserve"> </w:t>
            </w:r>
            <w:r>
              <w:rPr>
                <w:spacing w:val="-2"/>
                <w:sz w:val="18"/>
                <w:szCs w:val="18"/>
              </w:rPr>
              <w:t>2.脑干的组成</w:t>
            </w:r>
          </w:p>
          <w:p w14:paraId="6F841CF9">
            <w:pPr>
              <w:pStyle w:val="6"/>
              <w:spacing w:before="8" w:line="217" w:lineRule="auto"/>
              <w:ind w:left="12" w:right="134"/>
              <w:rPr>
                <w:sz w:val="18"/>
                <w:szCs w:val="18"/>
              </w:rPr>
            </w:pPr>
            <w:r>
              <w:rPr>
                <w:spacing w:val="-1"/>
                <w:sz w:val="18"/>
                <w:szCs w:val="18"/>
              </w:rPr>
              <w:t>3.小脑的位置、外形及功能</w:t>
            </w:r>
            <w:r>
              <w:rPr>
                <w:spacing w:val="1"/>
                <w:sz w:val="18"/>
                <w:szCs w:val="18"/>
              </w:rPr>
              <w:t xml:space="preserve"> </w:t>
            </w:r>
            <w:r>
              <w:rPr>
                <w:spacing w:val="-1"/>
                <w:sz w:val="18"/>
                <w:szCs w:val="18"/>
              </w:rPr>
              <w:t>4.间脑的位置和分部</w:t>
            </w:r>
          </w:p>
          <w:p w14:paraId="510193DE">
            <w:pPr>
              <w:pStyle w:val="6"/>
              <w:spacing w:before="16" w:line="205" w:lineRule="auto"/>
              <w:ind w:left="12"/>
              <w:rPr>
                <w:sz w:val="18"/>
                <w:szCs w:val="18"/>
              </w:rPr>
            </w:pPr>
            <w:r>
              <w:rPr>
                <w:spacing w:val="-1"/>
                <w:sz w:val="18"/>
                <w:szCs w:val="18"/>
              </w:rPr>
              <w:t>5.背侧丘脑腹后核的功能</w:t>
            </w:r>
          </w:p>
          <w:p w14:paraId="3527D9C5">
            <w:pPr>
              <w:pStyle w:val="6"/>
              <w:spacing w:line="223" w:lineRule="auto"/>
              <w:ind w:left="12" w:right="109"/>
              <w:rPr>
                <w:sz w:val="18"/>
                <w:szCs w:val="18"/>
              </w:rPr>
            </w:pPr>
            <w:r>
              <w:rPr>
                <w:spacing w:val="1"/>
                <w:sz w:val="18"/>
                <w:szCs w:val="18"/>
              </w:rPr>
              <w:t>6.大脑半球的分叶和各叶的</w:t>
            </w:r>
            <w:r>
              <w:rPr>
                <w:sz w:val="18"/>
                <w:szCs w:val="18"/>
              </w:rPr>
              <w:t xml:space="preserve"> </w:t>
            </w:r>
            <w:r>
              <w:rPr>
                <w:spacing w:val="4"/>
                <w:sz w:val="18"/>
                <w:szCs w:val="18"/>
              </w:rPr>
              <w:t>重要沟回</w:t>
            </w:r>
          </w:p>
          <w:p w14:paraId="5D83946C">
            <w:pPr>
              <w:pStyle w:val="6"/>
              <w:spacing w:before="14" w:line="227" w:lineRule="auto"/>
              <w:ind w:left="12"/>
              <w:rPr>
                <w:sz w:val="18"/>
                <w:szCs w:val="18"/>
              </w:rPr>
            </w:pPr>
            <w:r>
              <w:rPr>
                <w:spacing w:val="-17"/>
                <w:sz w:val="18"/>
                <w:szCs w:val="18"/>
              </w:rPr>
              <w:t>7.大脑皮质的主要</w:t>
            </w:r>
            <w:r>
              <w:rPr>
                <w:spacing w:val="-16"/>
                <w:sz w:val="18"/>
                <w:szCs w:val="18"/>
              </w:rPr>
              <w:t>机能区的位</w:t>
            </w:r>
            <w:r>
              <w:rPr>
                <w:spacing w:val="-7"/>
                <w:sz w:val="18"/>
                <w:szCs w:val="18"/>
              </w:rPr>
              <w:t>置</w:t>
            </w:r>
            <w:r>
              <w:rPr>
                <w:spacing w:val="2"/>
                <w:sz w:val="18"/>
                <w:szCs w:val="18"/>
              </w:rPr>
              <w:t xml:space="preserve"> </w:t>
            </w:r>
            <w:r>
              <w:rPr>
                <w:spacing w:val="-1"/>
                <w:sz w:val="18"/>
                <w:szCs w:val="18"/>
              </w:rPr>
              <w:t>8.基底核的名称和新、旧纹</w:t>
            </w:r>
            <w:r>
              <w:rPr>
                <w:spacing w:val="1"/>
                <w:sz w:val="18"/>
                <w:szCs w:val="18"/>
              </w:rPr>
              <w:t xml:space="preserve">  </w:t>
            </w:r>
            <w:r>
              <w:rPr>
                <w:spacing w:val="-2"/>
                <w:sz w:val="18"/>
                <w:szCs w:val="18"/>
              </w:rPr>
              <w:t>状体的概念</w:t>
            </w:r>
          </w:p>
          <w:p w14:paraId="61980F79">
            <w:pPr>
              <w:pStyle w:val="6"/>
              <w:spacing w:before="6" w:line="196" w:lineRule="auto"/>
              <w:ind w:left="12" w:right="131"/>
              <w:rPr>
                <w:sz w:val="18"/>
                <w:szCs w:val="18"/>
              </w:rPr>
            </w:pPr>
            <w:r>
              <w:rPr>
                <w:spacing w:val="-1"/>
                <w:sz w:val="18"/>
                <w:szCs w:val="18"/>
              </w:rPr>
              <w:t>9.内囊的位置、分部、通过</w:t>
            </w:r>
            <w:r>
              <w:rPr>
                <w:spacing w:val="4"/>
                <w:sz w:val="18"/>
                <w:szCs w:val="18"/>
              </w:rPr>
              <w:t xml:space="preserve"> </w:t>
            </w:r>
            <w:r>
              <w:rPr>
                <w:spacing w:val="1"/>
                <w:sz w:val="18"/>
                <w:szCs w:val="18"/>
              </w:rPr>
              <w:t>的纤维束及临床意义</w:t>
            </w:r>
          </w:p>
        </w:tc>
        <w:tc>
          <w:tcPr>
            <w:tcW w:w="239" w:type="dxa"/>
            <w:tcBorders>
              <w:left w:val="single" w:color="000000" w:sz="4" w:space="0"/>
              <w:right w:val="single" w:color="000000" w:sz="4" w:space="0"/>
            </w:tcBorders>
            <w:vAlign w:val="top"/>
          </w:tcPr>
          <w:p w14:paraId="20C3532A">
            <w:pPr>
              <w:rPr>
                <w:rFonts w:ascii="Arial"/>
                <w:sz w:val="21"/>
              </w:rPr>
            </w:pPr>
          </w:p>
        </w:tc>
        <w:tc>
          <w:tcPr>
            <w:tcW w:w="210" w:type="dxa"/>
            <w:tcBorders>
              <w:left w:val="single" w:color="000000" w:sz="4" w:space="0"/>
              <w:right w:val="single" w:color="000000" w:sz="4" w:space="0"/>
            </w:tcBorders>
            <w:vAlign w:val="top"/>
          </w:tcPr>
          <w:p w14:paraId="6AFC44FA">
            <w:pPr>
              <w:rPr>
                <w:rFonts w:ascii="Arial"/>
                <w:sz w:val="21"/>
              </w:rPr>
            </w:pPr>
          </w:p>
        </w:tc>
        <w:tc>
          <w:tcPr>
            <w:tcW w:w="230" w:type="dxa"/>
            <w:tcBorders>
              <w:left w:val="single" w:color="000000" w:sz="4" w:space="0"/>
              <w:right w:val="single" w:color="000000" w:sz="4" w:space="0"/>
            </w:tcBorders>
            <w:vAlign w:val="top"/>
          </w:tcPr>
          <w:p w14:paraId="369329BA">
            <w:pPr>
              <w:rPr>
                <w:rFonts w:ascii="Arial"/>
                <w:sz w:val="21"/>
              </w:rPr>
            </w:pPr>
          </w:p>
        </w:tc>
        <w:tc>
          <w:tcPr>
            <w:tcW w:w="214" w:type="dxa"/>
            <w:tcBorders>
              <w:left w:val="single" w:color="000000" w:sz="4" w:space="0"/>
            </w:tcBorders>
            <w:vAlign w:val="top"/>
          </w:tcPr>
          <w:p w14:paraId="221A8586">
            <w:pPr>
              <w:rPr>
                <w:rFonts w:ascii="Arial"/>
                <w:sz w:val="21"/>
              </w:rPr>
            </w:pPr>
          </w:p>
        </w:tc>
      </w:tr>
      <w:tr w14:paraId="6BAAF5A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55" w:hRule="atLeast"/>
        </w:trPr>
        <w:tc>
          <w:tcPr>
            <w:tcW w:w="903" w:type="dxa"/>
            <w:vMerge w:val="continue"/>
            <w:tcBorders>
              <w:top w:val="nil"/>
              <w:left w:val="single" w:color="000000" w:sz="4" w:space="0"/>
              <w:bottom w:val="nil"/>
              <w:right w:val="single" w:color="000000" w:sz="4" w:space="0"/>
            </w:tcBorders>
            <w:vAlign w:val="top"/>
          </w:tcPr>
          <w:p w14:paraId="74A78CED">
            <w:pPr>
              <w:rPr>
                <w:rFonts w:ascii="Arial"/>
                <w:sz w:val="21"/>
              </w:rPr>
            </w:pPr>
          </w:p>
        </w:tc>
        <w:tc>
          <w:tcPr>
            <w:tcW w:w="2306" w:type="dxa"/>
            <w:vMerge w:val="continue"/>
            <w:tcBorders>
              <w:top w:val="nil"/>
              <w:left w:val="single" w:color="000000" w:sz="4" w:space="0"/>
              <w:bottom w:val="nil"/>
              <w:right w:val="single" w:color="000000" w:sz="4" w:space="0"/>
            </w:tcBorders>
            <w:vAlign w:val="top"/>
          </w:tcPr>
          <w:p w14:paraId="3C3CB32E">
            <w:pPr>
              <w:rPr>
                <w:rFonts w:ascii="Arial"/>
                <w:sz w:val="21"/>
              </w:rPr>
            </w:pPr>
          </w:p>
        </w:tc>
        <w:tc>
          <w:tcPr>
            <w:tcW w:w="239" w:type="dxa"/>
            <w:tcBorders>
              <w:left w:val="single" w:color="000000" w:sz="4" w:space="0"/>
              <w:right w:val="single" w:color="000000" w:sz="4" w:space="0"/>
            </w:tcBorders>
            <w:vAlign w:val="top"/>
          </w:tcPr>
          <w:p w14:paraId="4C915373">
            <w:pPr>
              <w:rPr>
                <w:rFonts w:ascii="Arial"/>
                <w:sz w:val="21"/>
              </w:rPr>
            </w:pPr>
          </w:p>
        </w:tc>
        <w:tc>
          <w:tcPr>
            <w:tcW w:w="210" w:type="dxa"/>
            <w:tcBorders>
              <w:left w:val="single" w:color="000000" w:sz="4" w:space="0"/>
              <w:right w:val="single" w:color="000000" w:sz="4" w:space="0"/>
            </w:tcBorders>
            <w:vAlign w:val="top"/>
          </w:tcPr>
          <w:p w14:paraId="54CA38F2">
            <w:pPr>
              <w:rPr>
                <w:rFonts w:ascii="Arial"/>
                <w:sz w:val="21"/>
              </w:rPr>
            </w:pPr>
          </w:p>
        </w:tc>
        <w:tc>
          <w:tcPr>
            <w:tcW w:w="230" w:type="dxa"/>
            <w:tcBorders>
              <w:left w:val="single" w:color="000000" w:sz="4" w:space="0"/>
              <w:right w:val="single" w:color="000000" w:sz="4" w:space="0"/>
            </w:tcBorders>
            <w:vAlign w:val="top"/>
          </w:tcPr>
          <w:p w14:paraId="77C8F62A">
            <w:pPr>
              <w:rPr>
                <w:rFonts w:ascii="Arial"/>
                <w:sz w:val="21"/>
              </w:rPr>
            </w:pPr>
          </w:p>
        </w:tc>
        <w:tc>
          <w:tcPr>
            <w:tcW w:w="214" w:type="dxa"/>
            <w:tcBorders>
              <w:left w:val="single" w:color="000000" w:sz="4" w:space="0"/>
            </w:tcBorders>
            <w:vAlign w:val="top"/>
          </w:tcPr>
          <w:p w14:paraId="2070F589">
            <w:pPr>
              <w:rPr>
                <w:rFonts w:ascii="Arial"/>
                <w:sz w:val="21"/>
              </w:rPr>
            </w:pPr>
          </w:p>
        </w:tc>
      </w:tr>
      <w:tr w14:paraId="44F3730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5" w:hRule="atLeast"/>
        </w:trPr>
        <w:tc>
          <w:tcPr>
            <w:tcW w:w="903" w:type="dxa"/>
            <w:vMerge w:val="continue"/>
            <w:tcBorders>
              <w:top w:val="nil"/>
              <w:left w:val="single" w:color="000000" w:sz="4" w:space="0"/>
              <w:bottom w:val="nil"/>
              <w:right w:val="single" w:color="000000" w:sz="4" w:space="0"/>
            </w:tcBorders>
            <w:vAlign w:val="top"/>
          </w:tcPr>
          <w:p w14:paraId="4801D79D">
            <w:pPr>
              <w:rPr>
                <w:rFonts w:ascii="Arial"/>
                <w:sz w:val="21"/>
              </w:rPr>
            </w:pPr>
          </w:p>
        </w:tc>
        <w:tc>
          <w:tcPr>
            <w:tcW w:w="2306" w:type="dxa"/>
            <w:vMerge w:val="continue"/>
            <w:tcBorders>
              <w:top w:val="nil"/>
              <w:left w:val="single" w:color="000000" w:sz="4" w:space="0"/>
              <w:bottom w:val="nil"/>
              <w:right w:val="single" w:color="000000" w:sz="4" w:space="0"/>
            </w:tcBorders>
            <w:vAlign w:val="top"/>
          </w:tcPr>
          <w:p w14:paraId="320F865E">
            <w:pPr>
              <w:rPr>
                <w:rFonts w:ascii="Arial"/>
                <w:sz w:val="21"/>
              </w:rPr>
            </w:pPr>
          </w:p>
        </w:tc>
        <w:tc>
          <w:tcPr>
            <w:tcW w:w="239" w:type="dxa"/>
            <w:tcBorders>
              <w:left w:val="single" w:color="000000" w:sz="4" w:space="0"/>
              <w:right w:val="single" w:color="000000" w:sz="4" w:space="0"/>
            </w:tcBorders>
            <w:vAlign w:val="top"/>
          </w:tcPr>
          <w:p w14:paraId="11B5750E">
            <w:pPr>
              <w:rPr>
                <w:rFonts w:ascii="Arial"/>
                <w:sz w:val="21"/>
              </w:rPr>
            </w:pPr>
          </w:p>
        </w:tc>
        <w:tc>
          <w:tcPr>
            <w:tcW w:w="210" w:type="dxa"/>
            <w:tcBorders>
              <w:left w:val="single" w:color="000000" w:sz="4" w:space="0"/>
              <w:right w:val="single" w:color="000000" w:sz="4" w:space="0"/>
            </w:tcBorders>
            <w:vAlign w:val="top"/>
          </w:tcPr>
          <w:p w14:paraId="4760D461">
            <w:pPr>
              <w:rPr>
                <w:rFonts w:ascii="Arial"/>
                <w:sz w:val="21"/>
              </w:rPr>
            </w:pPr>
          </w:p>
        </w:tc>
        <w:tc>
          <w:tcPr>
            <w:tcW w:w="230" w:type="dxa"/>
            <w:tcBorders>
              <w:left w:val="single" w:color="000000" w:sz="4" w:space="0"/>
              <w:right w:val="single" w:color="000000" w:sz="4" w:space="0"/>
            </w:tcBorders>
            <w:vAlign w:val="top"/>
          </w:tcPr>
          <w:p w14:paraId="337DA5FA">
            <w:pPr>
              <w:rPr>
                <w:rFonts w:ascii="Arial"/>
                <w:sz w:val="21"/>
              </w:rPr>
            </w:pPr>
          </w:p>
        </w:tc>
        <w:tc>
          <w:tcPr>
            <w:tcW w:w="214" w:type="dxa"/>
            <w:tcBorders>
              <w:left w:val="single" w:color="000000" w:sz="4" w:space="0"/>
            </w:tcBorders>
            <w:vAlign w:val="top"/>
          </w:tcPr>
          <w:p w14:paraId="58F2464E">
            <w:pPr>
              <w:rPr>
                <w:rFonts w:ascii="Arial"/>
                <w:sz w:val="21"/>
              </w:rPr>
            </w:pPr>
          </w:p>
        </w:tc>
      </w:tr>
      <w:tr w14:paraId="3206A7C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5" w:hRule="atLeast"/>
        </w:trPr>
        <w:tc>
          <w:tcPr>
            <w:tcW w:w="903" w:type="dxa"/>
            <w:vMerge w:val="continue"/>
            <w:tcBorders>
              <w:top w:val="nil"/>
              <w:left w:val="single" w:color="000000" w:sz="4" w:space="0"/>
              <w:bottom w:val="nil"/>
              <w:right w:val="single" w:color="000000" w:sz="4" w:space="0"/>
            </w:tcBorders>
            <w:vAlign w:val="top"/>
          </w:tcPr>
          <w:p w14:paraId="1652EAC2">
            <w:pPr>
              <w:rPr>
                <w:rFonts w:ascii="Arial"/>
                <w:sz w:val="21"/>
              </w:rPr>
            </w:pPr>
          </w:p>
        </w:tc>
        <w:tc>
          <w:tcPr>
            <w:tcW w:w="2306" w:type="dxa"/>
            <w:vMerge w:val="continue"/>
            <w:tcBorders>
              <w:top w:val="nil"/>
              <w:left w:val="single" w:color="000000" w:sz="4" w:space="0"/>
              <w:bottom w:val="nil"/>
              <w:right w:val="single" w:color="000000" w:sz="4" w:space="0"/>
            </w:tcBorders>
            <w:vAlign w:val="top"/>
          </w:tcPr>
          <w:p w14:paraId="31A046AD">
            <w:pPr>
              <w:rPr>
                <w:rFonts w:ascii="Arial"/>
                <w:sz w:val="21"/>
              </w:rPr>
            </w:pPr>
          </w:p>
        </w:tc>
        <w:tc>
          <w:tcPr>
            <w:tcW w:w="239" w:type="dxa"/>
            <w:tcBorders>
              <w:left w:val="single" w:color="000000" w:sz="4" w:space="0"/>
              <w:right w:val="single" w:color="000000" w:sz="4" w:space="0"/>
            </w:tcBorders>
            <w:vAlign w:val="top"/>
          </w:tcPr>
          <w:p w14:paraId="36A63A5B">
            <w:pPr>
              <w:rPr>
                <w:rFonts w:ascii="Arial"/>
                <w:sz w:val="21"/>
              </w:rPr>
            </w:pPr>
          </w:p>
        </w:tc>
        <w:tc>
          <w:tcPr>
            <w:tcW w:w="210" w:type="dxa"/>
            <w:tcBorders>
              <w:left w:val="single" w:color="000000" w:sz="4" w:space="0"/>
              <w:right w:val="single" w:color="000000" w:sz="4" w:space="0"/>
            </w:tcBorders>
            <w:vAlign w:val="top"/>
          </w:tcPr>
          <w:p w14:paraId="5F5135DD">
            <w:pPr>
              <w:rPr>
                <w:rFonts w:ascii="Arial"/>
                <w:sz w:val="21"/>
              </w:rPr>
            </w:pPr>
          </w:p>
        </w:tc>
        <w:tc>
          <w:tcPr>
            <w:tcW w:w="230" w:type="dxa"/>
            <w:tcBorders>
              <w:left w:val="single" w:color="000000" w:sz="4" w:space="0"/>
              <w:right w:val="single" w:color="000000" w:sz="4" w:space="0"/>
            </w:tcBorders>
            <w:vAlign w:val="top"/>
          </w:tcPr>
          <w:p w14:paraId="57AA017B">
            <w:pPr>
              <w:rPr>
                <w:rFonts w:ascii="Arial"/>
                <w:sz w:val="21"/>
              </w:rPr>
            </w:pPr>
          </w:p>
        </w:tc>
        <w:tc>
          <w:tcPr>
            <w:tcW w:w="214" w:type="dxa"/>
            <w:tcBorders>
              <w:left w:val="single" w:color="000000" w:sz="4" w:space="0"/>
            </w:tcBorders>
            <w:vAlign w:val="top"/>
          </w:tcPr>
          <w:p w14:paraId="27E0DA54">
            <w:pPr>
              <w:rPr>
                <w:rFonts w:ascii="Arial"/>
                <w:sz w:val="21"/>
              </w:rPr>
            </w:pPr>
          </w:p>
        </w:tc>
      </w:tr>
      <w:tr w14:paraId="3AB20A6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5" w:hRule="atLeast"/>
        </w:trPr>
        <w:tc>
          <w:tcPr>
            <w:tcW w:w="903" w:type="dxa"/>
            <w:vMerge w:val="continue"/>
            <w:tcBorders>
              <w:top w:val="nil"/>
              <w:left w:val="single" w:color="000000" w:sz="4" w:space="0"/>
              <w:bottom w:val="nil"/>
              <w:right w:val="single" w:color="000000" w:sz="4" w:space="0"/>
            </w:tcBorders>
            <w:vAlign w:val="top"/>
          </w:tcPr>
          <w:p w14:paraId="1C31B280">
            <w:pPr>
              <w:rPr>
                <w:rFonts w:ascii="Arial"/>
                <w:sz w:val="21"/>
              </w:rPr>
            </w:pPr>
          </w:p>
        </w:tc>
        <w:tc>
          <w:tcPr>
            <w:tcW w:w="2306" w:type="dxa"/>
            <w:vMerge w:val="continue"/>
            <w:tcBorders>
              <w:top w:val="nil"/>
              <w:left w:val="single" w:color="000000" w:sz="4" w:space="0"/>
              <w:bottom w:val="nil"/>
              <w:right w:val="single" w:color="000000" w:sz="4" w:space="0"/>
            </w:tcBorders>
            <w:vAlign w:val="top"/>
          </w:tcPr>
          <w:p w14:paraId="4B8BEE82">
            <w:pPr>
              <w:rPr>
                <w:rFonts w:ascii="Arial"/>
                <w:sz w:val="21"/>
              </w:rPr>
            </w:pPr>
          </w:p>
        </w:tc>
        <w:tc>
          <w:tcPr>
            <w:tcW w:w="239" w:type="dxa"/>
            <w:tcBorders>
              <w:left w:val="single" w:color="000000" w:sz="4" w:space="0"/>
              <w:right w:val="single" w:color="000000" w:sz="4" w:space="0"/>
            </w:tcBorders>
            <w:vAlign w:val="top"/>
          </w:tcPr>
          <w:p w14:paraId="243A4783">
            <w:pPr>
              <w:rPr>
                <w:rFonts w:ascii="Arial"/>
                <w:sz w:val="21"/>
              </w:rPr>
            </w:pPr>
          </w:p>
        </w:tc>
        <w:tc>
          <w:tcPr>
            <w:tcW w:w="210" w:type="dxa"/>
            <w:tcBorders>
              <w:left w:val="single" w:color="000000" w:sz="4" w:space="0"/>
              <w:right w:val="single" w:color="000000" w:sz="4" w:space="0"/>
            </w:tcBorders>
            <w:vAlign w:val="top"/>
          </w:tcPr>
          <w:p w14:paraId="55A219CC">
            <w:pPr>
              <w:rPr>
                <w:rFonts w:ascii="Arial"/>
                <w:sz w:val="21"/>
              </w:rPr>
            </w:pPr>
          </w:p>
        </w:tc>
        <w:tc>
          <w:tcPr>
            <w:tcW w:w="230" w:type="dxa"/>
            <w:tcBorders>
              <w:left w:val="single" w:color="000000" w:sz="4" w:space="0"/>
              <w:right w:val="single" w:color="000000" w:sz="4" w:space="0"/>
            </w:tcBorders>
            <w:vAlign w:val="top"/>
          </w:tcPr>
          <w:p w14:paraId="0AA45E7B">
            <w:pPr>
              <w:rPr>
                <w:rFonts w:ascii="Arial"/>
                <w:sz w:val="21"/>
              </w:rPr>
            </w:pPr>
          </w:p>
        </w:tc>
        <w:tc>
          <w:tcPr>
            <w:tcW w:w="214" w:type="dxa"/>
            <w:tcBorders>
              <w:left w:val="single" w:color="000000" w:sz="4" w:space="0"/>
            </w:tcBorders>
            <w:vAlign w:val="top"/>
          </w:tcPr>
          <w:p w14:paraId="54CD8AC7">
            <w:pPr>
              <w:rPr>
                <w:rFonts w:ascii="Arial"/>
                <w:sz w:val="21"/>
              </w:rPr>
            </w:pPr>
          </w:p>
        </w:tc>
      </w:tr>
      <w:tr w14:paraId="18EC2CC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95" w:hRule="atLeast"/>
        </w:trPr>
        <w:tc>
          <w:tcPr>
            <w:tcW w:w="903" w:type="dxa"/>
            <w:vMerge w:val="continue"/>
            <w:tcBorders>
              <w:top w:val="nil"/>
              <w:left w:val="single" w:color="000000" w:sz="4" w:space="0"/>
              <w:bottom w:val="nil"/>
              <w:right w:val="single" w:color="000000" w:sz="4" w:space="0"/>
            </w:tcBorders>
            <w:vAlign w:val="top"/>
          </w:tcPr>
          <w:p w14:paraId="3C3C0678">
            <w:pPr>
              <w:rPr>
                <w:rFonts w:ascii="Arial"/>
                <w:sz w:val="21"/>
              </w:rPr>
            </w:pPr>
          </w:p>
        </w:tc>
        <w:tc>
          <w:tcPr>
            <w:tcW w:w="2306" w:type="dxa"/>
            <w:vMerge w:val="continue"/>
            <w:tcBorders>
              <w:top w:val="nil"/>
              <w:left w:val="single" w:color="000000" w:sz="4" w:space="0"/>
              <w:bottom w:val="nil"/>
              <w:right w:val="single" w:color="000000" w:sz="4" w:space="0"/>
            </w:tcBorders>
            <w:vAlign w:val="top"/>
          </w:tcPr>
          <w:p w14:paraId="683A761E">
            <w:pPr>
              <w:rPr>
                <w:rFonts w:ascii="Arial"/>
                <w:sz w:val="21"/>
              </w:rPr>
            </w:pPr>
          </w:p>
        </w:tc>
        <w:tc>
          <w:tcPr>
            <w:tcW w:w="239" w:type="dxa"/>
            <w:tcBorders>
              <w:left w:val="single" w:color="000000" w:sz="4" w:space="0"/>
              <w:right w:val="single" w:color="000000" w:sz="4" w:space="0"/>
            </w:tcBorders>
            <w:vAlign w:val="top"/>
          </w:tcPr>
          <w:p w14:paraId="1C89E696">
            <w:pPr>
              <w:rPr>
                <w:rFonts w:ascii="Arial"/>
                <w:sz w:val="21"/>
              </w:rPr>
            </w:pPr>
          </w:p>
        </w:tc>
        <w:tc>
          <w:tcPr>
            <w:tcW w:w="210" w:type="dxa"/>
            <w:tcBorders>
              <w:left w:val="single" w:color="000000" w:sz="4" w:space="0"/>
              <w:right w:val="single" w:color="000000" w:sz="4" w:space="0"/>
            </w:tcBorders>
            <w:vAlign w:val="top"/>
          </w:tcPr>
          <w:p w14:paraId="18C75872">
            <w:pPr>
              <w:rPr>
                <w:rFonts w:ascii="Arial"/>
                <w:sz w:val="21"/>
              </w:rPr>
            </w:pPr>
          </w:p>
        </w:tc>
        <w:tc>
          <w:tcPr>
            <w:tcW w:w="230" w:type="dxa"/>
            <w:tcBorders>
              <w:left w:val="single" w:color="000000" w:sz="4" w:space="0"/>
              <w:right w:val="single" w:color="000000" w:sz="4" w:space="0"/>
            </w:tcBorders>
            <w:vAlign w:val="top"/>
          </w:tcPr>
          <w:p w14:paraId="2289BC8E">
            <w:pPr>
              <w:rPr>
                <w:rFonts w:ascii="Arial"/>
                <w:sz w:val="21"/>
              </w:rPr>
            </w:pPr>
          </w:p>
        </w:tc>
        <w:tc>
          <w:tcPr>
            <w:tcW w:w="214" w:type="dxa"/>
            <w:tcBorders>
              <w:left w:val="single" w:color="000000" w:sz="4" w:space="0"/>
            </w:tcBorders>
            <w:vAlign w:val="top"/>
          </w:tcPr>
          <w:p w14:paraId="2D173F68">
            <w:pPr>
              <w:rPr>
                <w:rFonts w:ascii="Arial"/>
                <w:sz w:val="21"/>
              </w:rPr>
            </w:pPr>
          </w:p>
        </w:tc>
      </w:tr>
      <w:tr w14:paraId="44B3ACD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5" w:hRule="atLeast"/>
        </w:trPr>
        <w:tc>
          <w:tcPr>
            <w:tcW w:w="903" w:type="dxa"/>
            <w:vMerge w:val="continue"/>
            <w:tcBorders>
              <w:top w:val="nil"/>
              <w:left w:val="single" w:color="000000" w:sz="4" w:space="0"/>
              <w:bottom w:val="nil"/>
              <w:right w:val="single" w:color="000000" w:sz="4" w:space="0"/>
            </w:tcBorders>
            <w:vAlign w:val="top"/>
          </w:tcPr>
          <w:p w14:paraId="3C2E4F32">
            <w:pPr>
              <w:rPr>
                <w:rFonts w:ascii="Arial"/>
                <w:sz w:val="21"/>
              </w:rPr>
            </w:pPr>
          </w:p>
        </w:tc>
        <w:tc>
          <w:tcPr>
            <w:tcW w:w="2306" w:type="dxa"/>
            <w:vMerge w:val="continue"/>
            <w:tcBorders>
              <w:top w:val="nil"/>
              <w:left w:val="single" w:color="000000" w:sz="4" w:space="0"/>
              <w:bottom w:val="nil"/>
              <w:right w:val="single" w:color="000000" w:sz="4" w:space="0"/>
            </w:tcBorders>
            <w:vAlign w:val="top"/>
          </w:tcPr>
          <w:p w14:paraId="3E0A300B">
            <w:pPr>
              <w:rPr>
                <w:rFonts w:ascii="Arial"/>
                <w:sz w:val="21"/>
              </w:rPr>
            </w:pPr>
          </w:p>
        </w:tc>
        <w:tc>
          <w:tcPr>
            <w:tcW w:w="239" w:type="dxa"/>
            <w:tcBorders>
              <w:left w:val="single" w:color="000000" w:sz="4" w:space="0"/>
              <w:right w:val="single" w:color="000000" w:sz="4" w:space="0"/>
            </w:tcBorders>
            <w:vAlign w:val="top"/>
          </w:tcPr>
          <w:p w14:paraId="70BD5BB7">
            <w:pPr>
              <w:rPr>
                <w:rFonts w:ascii="Arial"/>
                <w:sz w:val="21"/>
              </w:rPr>
            </w:pPr>
          </w:p>
        </w:tc>
        <w:tc>
          <w:tcPr>
            <w:tcW w:w="210" w:type="dxa"/>
            <w:tcBorders>
              <w:left w:val="single" w:color="000000" w:sz="4" w:space="0"/>
              <w:right w:val="single" w:color="000000" w:sz="4" w:space="0"/>
            </w:tcBorders>
            <w:vAlign w:val="top"/>
          </w:tcPr>
          <w:p w14:paraId="2BB8ED86">
            <w:pPr>
              <w:rPr>
                <w:rFonts w:ascii="Arial"/>
                <w:sz w:val="21"/>
              </w:rPr>
            </w:pPr>
          </w:p>
        </w:tc>
        <w:tc>
          <w:tcPr>
            <w:tcW w:w="230" w:type="dxa"/>
            <w:tcBorders>
              <w:left w:val="single" w:color="000000" w:sz="4" w:space="0"/>
              <w:right w:val="single" w:color="000000" w:sz="4" w:space="0"/>
            </w:tcBorders>
            <w:vAlign w:val="top"/>
          </w:tcPr>
          <w:p w14:paraId="19DA24E1">
            <w:pPr>
              <w:rPr>
                <w:rFonts w:ascii="Arial"/>
                <w:sz w:val="21"/>
              </w:rPr>
            </w:pPr>
          </w:p>
        </w:tc>
        <w:tc>
          <w:tcPr>
            <w:tcW w:w="214" w:type="dxa"/>
            <w:tcBorders>
              <w:left w:val="single" w:color="000000" w:sz="4" w:space="0"/>
            </w:tcBorders>
            <w:vAlign w:val="top"/>
          </w:tcPr>
          <w:p w14:paraId="50CB5459">
            <w:pPr>
              <w:rPr>
                <w:rFonts w:ascii="Arial"/>
                <w:sz w:val="21"/>
              </w:rPr>
            </w:pPr>
          </w:p>
        </w:tc>
      </w:tr>
      <w:tr w14:paraId="0E660E4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5" w:hRule="atLeast"/>
        </w:trPr>
        <w:tc>
          <w:tcPr>
            <w:tcW w:w="903" w:type="dxa"/>
            <w:vMerge w:val="continue"/>
            <w:tcBorders>
              <w:top w:val="nil"/>
              <w:left w:val="single" w:color="000000" w:sz="4" w:space="0"/>
              <w:bottom w:val="nil"/>
              <w:right w:val="single" w:color="000000" w:sz="4" w:space="0"/>
            </w:tcBorders>
            <w:vAlign w:val="top"/>
          </w:tcPr>
          <w:p w14:paraId="41D4894A">
            <w:pPr>
              <w:rPr>
                <w:rFonts w:ascii="Arial"/>
                <w:sz w:val="21"/>
              </w:rPr>
            </w:pPr>
          </w:p>
        </w:tc>
        <w:tc>
          <w:tcPr>
            <w:tcW w:w="2306" w:type="dxa"/>
            <w:vMerge w:val="continue"/>
            <w:tcBorders>
              <w:top w:val="nil"/>
              <w:left w:val="single" w:color="000000" w:sz="4" w:space="0"/>
              <w:bottom w:val="nil"/>
              <w:right w:val="single" w:color="000000" w:sz="4" w:space="0"/>
            </w:tcBorders>
            <w:vAlign w:val="top"/>
          </w:tcPr>
          <w:p w14:paraId="10E7B207">
            <w:pPr>
              <w:rPr>
                <w:rFonts w:ascii="Arial"/>
                <w:sz w:val="21"/>
              </w:rPr>
            </w:pPr>
          </w:p>
        </w:tc>
        <w:tc>
          <w:tcPr>
            <w:tcW w:w="239" w:type="dxa"/>
            <w:tcBorders>
              <w:left w:val="single" w:color="000000" w:sz="4" w:space="0"/>
              <w:right w:val="single" w:color="000000" w:sz="4" w:space="0"/>
            </w:tcBorders>
            <w:vAlign w:val="top"/>
          </w:tcPr>
          <w:p w14:paraId="080A895E">
            <w:pPr>
              <w:rPr>
                <w:rFonts w:ascii="Arial"/>
                <w:sz w:val="21"/>
              </w:rPr>
            </w:pPr>
          </w:p>
        </w:tc>
        <w:tc>
          <w:tcPr>
            <w:tcW w:w="210" w:type="dxa"/>
            <w:tcBorders>
              <w:left w:val="single" w:color="000000" w:sz="4" w:space="0"/>
              <w:right w:val="single" w:color="000000" w:sz="4" w:space="0"/>
            </w:tcBorders>
            <w:vAlign w:val="top"/>
          </w:tcPr>
          <w:p w14:paraId="2A3141EE">
            <w:pPr>
              <w:rPr>
                <w:rFonts w:ascii="Arial"/>
                <w:sz w:val="21"/>
              </w:rPr>
            </w:pPr>
          </w:p>
        </w:tc>
        <w:tc>
          <w:tcPr>
            <w:tcW w:w="230" w:type="dxa"/>
            <w:tcBorders>
              <w:left w:val="single" w:color="000000" w:sz="4" w:space="0"/>
              <w:right w:val="single" w:color="000000" w:sz="4" w:space="0"/>
            </w:tcBorders>
            <w:vAlign w:val="top"/>
          </w:tcPr>
          <w:p w14:paraId="28D870EE">
            <w:pPr>
              <w:rPr>
                <w:rFonts w:ascii="Arial"/>
                <w:sz w:val="21"/>
              </w:rPr>
            </w:pPr>
          </w:p>
        </w:tc>
        <w:tc>
          <w:tcPr>
            <w:tcW w:w="214" w:type="dxa"/>
            <w:tcBorders>
              <w:left w:val="single" w:color="000000" w:sz="4" w:space="0"/>
            </w:tcBorders>
            <w:vAlign w:val="top"/>
          </w:tcPr>
          <w:p w14:paraId="3646C560">
            <w:pPr>
              <w:rPr>
                <w:rFonts w:ascii="Arial"/>
                <w:sz w:val="21"/>
              </w:rPr>
            </w:pPr>
          </w:p>
        </w:tc>
      </w:tr>
      <w:tr w14:paraId="15224D9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4" w:hRule="atLeast"/>
        </w:trPr>
        <w:tc>
          <w:tcPr>
            <w:tcW w:w="903" w:type="dxa"/>
            <w:vMerge w:val="continue"/>
            <w:tcBorders>
              <w:top w:val="nil"/>
              <w:left w:val="single" w:color="000000" w:sz="4" w:space="0"/>
              <w:right w:val="single" w:color="000000" w:sz="4" w:space="0"/>
            </w:tcBorders>
            <w:vAlign w:val="top"/>
          </w:tcPr>
          <w:p w14:paraId="34944590">
            <w:pPr>
              <w:rPr>
                <w:rFonts w:ascii="Arial"/>
                <w:sz w:val="21"/>
              </w:rPr>
            </w:pPr>
          </w:p>
        </w:tc>
        <w:tc>
          <w:tcPr>
            <w:tcW w:w="2306" w:type="dxa"/>
            <w:vMerge w:val="continue"/>
            <w:tcBorders>
              <w:top w:val="nil"/>
              <w:left w:val="single" w:color="000000" w:sz="4" w:space="0"/>
              <w:right w:val="single" w:color="000000" w:sz="4" w:space="0"/>
            </w:tcBorders>
            <w:vAlign w:val="top"/>
          </w:tcPr>
          <w:p w14:paraId="43875DC4">
            <w:pPr>
              <w:rPr>
                <w:rFonts w:ascii="Arial"/>
                <w:sz w:val="21"/>
              </w:rPr>
            </w:pPr>
          </w:p>
        </w:tc>
        <w:tc>
          <w:tcPr>
            <w:tcW w:w="239" w:type="dxa"/>
            <w:tcBorders>
              <w:left w:val="single" w:color="000000" w:sz="4" w:space="0"/>
              <w:right w:val="single" w:color="000000" w:sz="4" w:space="0"/>
            </w:tcBorders>
            <w:vAlign w:val="top"/>
          </w:tcPr>
          <w:p w14:paraId="31038EEB">
            <w:pPr>
              <w:rPr>
                <w:rFonts w:ascii="Arial"/>
                <w:sz w:val="21"/>
              </w:rPr>
            </w:pPr>
          </w:p>
        </w:tc>
        <w:tc>
          <w:tcPr>
            <w:tcW w:w="210" w:type="dxa"/>
            <w:tcBorders>
              <w:left w:val="single" w:color="000000" w:sz="4" w:space="0"/>
              <w:right w:val="single" w:color="000000" w:sz="4" w:space="0"/>
            </w:tcBorders>
            <w:vAlign w:val="top"/>
          </w:tcPr>
          <w:p w14:paraId="37B88717">
            <w:pPr>
              <w:rPr>
                <w:rFonts w:ascii="Arial"/>
                <w:sz w:val="21"/>
              </w:rPr>
            </w:pPr>
          </w:p>
        </w:tc>
        <w:tc>
          <w:tcPr>
            <w:tcW w:w="230" w:type="dxa"/>
            <w:tcBorders>
              <w:left w:val="single" w:color="000000" w:sz="4" w:space="0"/>
              <w:right w:val="single" w:color="000000" w:sz="4" w:space="0"/>
            </w:tcBorders>
            <w:vAlign w:val="top"/>
          </w:tcPr>
          <w:p w14:paraId="1EA0EDD4">
            <w:pPr>
              <w:rPr>
                <w:rFonts w:ascii="Arial"/>
                <w:sz w:val="21"/>
              </w:rPr>
            </w:pPr>
          </w:p>
        </w:tc>
        <w:tc>
          <w:tcPr>
            <w:tcW w:w="214" w:type="dxa"/>
            <w:tcBorders>
              <w:left w:val="single" w:color="000000" w:sz="4" w:space="0"/>
            </w:tcBorders>
            <w:vAlign w:val="top"/>
          </w:tcPr>
          <w:p w14:paraId="5DFBCD71">
            <w:pPr>
              <w:rPr>
                <w:rFonts w:ascii="Arial"/>
                <w:sz w:val="21"/>
              </w:rPr>
            </w:pPr>
          </w:p>
        </w:tc>
      </w:tr>
      <w:tr w14:paraId="2B48399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5" w:hRule="atLeast"/>
        </w:trPr>
        <w:tc>
          <w:tcPr>
            <w:tcW w:w="903" w:type="dxa"/>
            <w:vMerge w:val="restart"/>
            <w:tcBorders>
              <w:left w:val="single" w:color="000000" w:sz="4" w:space="0"/>
              <w:bottom w:val="nil"/>
              <w:right w:val="single" w:color="000000" w:sz="4" w:space="0"/>
            </w:tcBorders>
            <w:vAlign w:val="top"/>
          </w:tcPr>
          <w:p w14:paraId="6E9D4FA2">
            <w:pPr>
              <w:spacing w:line="295" w:lineRule="auto"/>
              <w:rPr>
                <w:rFonts w:ascii="Arial"/>
                <w:sz w:val="21"/>
              </w:rPr>
            </w:pPr>
          </w:p>
          <w:p w14:paraId="4A5FD92F">
            <w:pPr>
              <w:spacing w:line="296" w:lineRule="auto"/>
              <w:rPr>
                <w:rFonts w:ascii="Arial"/>
                <w:sz w:val="21"/>
              </w:rPr>
            </w:pPr>
          </w:p>
          <w:p w14:paraId="44B6BB9A">
            <w:pPr>
              <w:pStyle w:val="6"/>
              <w:spacing w:before="58" w:line="221" w:lineRule="auto"/>
              <w:ind w:left="85"/>
              <w:jc w:val="both"/>
              <w:rPr>
                <w:sz w:val="18"/>
                <w:szCs w:val="18"/>
              </w:rPr>
            </w:pPr>
            <w:r>
              <w:rPr>
                <w:spacing w:val="-3"/>
                <w:sz w:val="18"/>
                <w:szCs w:val="18"/>
              </w:rPr>
              <w:t>脑和脊髓</w:t>
            </w:r>
            <w:r>
              <w:rPr>
                <w:spacing w:val="1"/>
                <w:sz w:val="18"/>
                <w:szCs w:val="18"/>
              </w:rPr>
              <w:t xml:space="preserve">  </w:t>
            </w:r>
            <w:r>
              <w:rPr>
                <w:spacing w:val="10"/>
                <w:sz w:val="18"/>
                <w:szCs w:val="18"/>
              </w:rPr>
              <w:t>的被膜</w:t>
            </w:r>
            <w:r>
              <w:rPr>
                <w:spacing w:val="-44"/>
                <w:sz w:val="18"/>
                <w:szCs w:val="18"/>
              </w:rPr>
              <w:t xml:space="preserve"> </w:t>
            </w:r>
            <w:r>
              <w:rPr>
                <w:spacing w:val="10"/>
                <w:sz w:val="18"/>
                <w:szCs w:val="18"/>
              </w:rPr>
              <w:t>、</w:t>
            </w:r>
            <w:r>
              <w:rPr>
                <w:sz w:val="18"/>
                <w:szCs w:val="18"/>
              </w:rPr>
              <w:t xml:space="preserve"> </w:t>
            </w:r>
            <w:r>
              <w:rPr>
                <w:spacing w:val="-3"/>
                <w:sz w:val="18"/>
                <w:szCs w:val="18"/>
              </w:rPr>
              <w:t>血管和脑</w:t>
            </w:r>
            <w:r>
              <w:rPr>
                <w:sz w:val="18"/>
                <w:szCs w:val="18"/>
              </w:rPr>
              <w:t xml:space="preserve">  </w:t>
            </w:r>
            <w:r>
              <w:rPr>
                <w:spacing w:val="-2"/>
                <w:sz w:val="18"/>
                <w:szCs w:val="18"/>
              </w:rPr>
              <w:t>脊液循环</w:t>
            </w:r>
          </w:p>
        </w:tc>
        <w:tc>
          <w:tcPr>
            <w:tcW w:w="2306" w:type="dxa"/>
            <w:vMerge w:val="restart"/>
            <w:tcBorders>
              <w:left w:val="single" w:color="000000" w:sz="4" w:space="0"/>
              <w:bottom w:val="nil"/>
              <w:right w:val="single" w:color="000000" w:sz="4" w:space="0"/>
            </w:tcBorders>
            <w:vAlign w:val="top"/>
          </w:tcPr>
          <w:p w14:paraId="324DB839">
            <w:pPr>
              <w:pStyle w:val="6"/>
              <w:spacing w:before="32" w:line="219" w:lineRule="auto"/>
              <w:ind w:left="12" w:right="106" w:firstLine="10"/>
              <w:jc w:val="both"/>
              <w:rPr>
                <w:sz w:val="18"/>
                <w:szCs w:val="18"/>
              </w:rPr>
            </w:pPr>
            <w:r>
              <w:rPr>
                <w:sz w:val="18"/>
                <w:szCs w:val="18"/>
              </w:rPr>
              <w:t>1.脑和脊髓被膜的层次及硬</w:t>
            </w:r>
            <w:r>
              <w:rPr>
                <w:spacing w:val="6"/>
                <w:sz w:val="18"/>
                <w:szCs w:val="18"/>
              </w:rPr>
              <w:t xml:space="preserve"> </w:t>
            </w:r>
            <w:r>
              <w:rPr>
                <w:spacing w:val="-1"/>
                <w:sz w:val="18"/>
                <w:szCs w:val="18"/>
              </w:rPr>
              <w:t>膜外腔、蛛网膜下腔的位置</w:t>
            </w:r>
            <w:r>
              <w:rPr>
                <w:spacing w:val="4"/>
                <w:sz w:val="18"/>
                <w:szCs w:val="18"/>
              </w:rPr>
              <w:t xml:space="preserve"> </w:t>
            </w:r>
            <w:r>
              <w:rPr>
                <w:spacing w:val="-2"/>
                <w:sz w:val="18"/>
                <w:szCs w:val="18"/>
              </w:rPr>
              <w:t>及临床意义</w:t>
            </w:r>
          </w:p>
          <w:p w14:paraId="444FB592">
            <w:pPr>
              <w:pStyle w:val="6"/>
              <w:spacing w:before="1" w:line="215" w:lineRule="auto"/>
              <w:ind w:left="12"/>
              <w:rPr>
                <w:sz w:val="18"/>
                <w:szCs w:val="18"/>
              </w:rPr>
            </w:pPr>
            <w:r>
              <w:rPr>
                <w:spacing w:val="-5"/>
                <w:sz w:val="18"/>
                <w:szCs w:val="18"/>
              </w:rPr>
              <w:t>2.主要硬脑膜窦的名称和位置</w:t>
            </w:r>
            <w:r>
              <w:rPr>
                <w:spacing w:val="12"/>
                <w:sz w:val="18"/>
                <w:szCs w:val="18"/>
              </w:rPr>
              <w:t xml:space="preserve"> </w:t>
            </w:r>
            <w:r>
              <w:rPr>
                <w:sz w:val="18"/>
                <w:szCs w:val="18"/>
              </w:rPr>
              <w:t>3.颈内动脉和椎动脉入颅后</w:t>
            </w:r>
            <w:r>
              <w:rPr>
                <w:spacing w:val="5"/>
                <w:sz w:val="18"/>
                <w:szCs w:val="18"/>
              </w:rPr>
              <w:t xml:space="preserve">  </w:t>
            </w:r>
            <w:r>
              <w:rPr>
                <w:spacing w:val="1"/>
                <w:sz w:val="18"/>
                <w:szCs w:val="18"/>
              </w:rPr>
              <w:t>的分支名称及分布范围</w:t>
            </w:r>
          </w:p>
          <w:p w14:paraId="33A746CE">
            <w:pPr>
              <w:pStyle w:val="6"/>
              <w:spacing w:before="2" w:line="211" w:lineRule="auto"/>
              <w:ind w:left="12" w:right="109"/>
              <w:jc w:val="both"/>
            </w:pPr>
            <w:r>
              <w:rPr>
                <w:spacing w:val="-1"/>
                <w:sz w:val="18"/>
                <w:szCs w:val="18"/>
              </w:rPr>
              <w:t>4.大脑动脉环的组成和位置</w:t>
            </w:r>
            <w:r>
              <w:rPr>
                <w:spacing w:val="5"/>
                <w:sz w:val="18"/>
                <w:szCs w:val="18"/>
              </w:rPr>
              <w:t xml:space="preserve"> </w:t>
            </w:r>
            <w:r>
              <w:rPr>
                <w:spacing w:val="1"/>
                <w:sz w:val="18"/>
                <w:szCs w:val="18"/>
              </w:rPr>
              <w:t>5.各脑室的名称、位置和沟</w:t>
            </w:r>
            <w:r>
              <w:rPr>
                <w:sz w:val="18"/>
                <w:szCs w:val="18"/>
              </w:rPr>
              <w:t xml:space="preserve"> </w:t>
            </w:r>
            <w:r>
              <w:rPr>
                <w:spacing w:val="15"/>
              </w:rPr>
              <w:t>通关系</w:t>
            </w:r>
          </w:p>
          <w:p w14:paraId="50E68D08">
            <w:pPr>
              <w:pStyle w:val="6"/>
              <w:spacing w:line="198" w:lineRule="auto"/>
              <w:jc w:val="right"/>
            </w:pPr>
            <w:r>
              <w:rPr>
                <w:spacing w:val="5"/>
              </w:rPr>
              <w:t>6.脑脊液的产生及其循环途径</w:t>
            </w:r>
          </w:p>
        </w:tc>
        <w:tc>
          <w:tcPr>
            <w:tcW w:w="239" w:type="dxa"/>
            <w:tcBorders>
              <w:left w:val="single" w:color="000000" w:sz="4" w:space="0"/>
              <w:right w:val="single" w:color="000000" w:sz="4" w:space="0"/>
            </w:tcBorders>
            <w:vAlign w:val="top"/>
          </w:tcPr>
          <w:p w14:paraId="6CAE9858">
            <w:pPr>
              <w:rPr>
                <w:rFonts w:ascii="Arial"/>
                <w:sz w:val="21"/>
              </w:rPr>
            </w:pPr>
          </w:p>
        </w:tc>
        <w:tc>
          <w:tcPr>
            <w:tcW w:w="210" w:type="dxa"/>
            <w:tcBorders>
              <w:left w:val="single" w:color="000000" w:sz="4" w:space="0"/>
              <w:right w:val="single" w:color="000000" w:sz="4" w:space="0"/>
            </w:tcBorders>
            <w:vAlign w:val="top"/>
          </w:tcPr>
          <w:p w14:paraId="2D5333B9">
            <w:pPr>
              <w:rPr>
                <w:rFonts w:ascii="Arial"/>
                <w:sz w:val="21"/>
              </w:rPr>
            </w:pPr>
          </w:p>
        </w:tc>
        <w:tc>
          <w:tcPr>
            <w:tcW w:w="230" w:type="dxa"/>
            <w:tcBorders>
              <w:left w:val="single" w:color="000000" w:sz="4" w:space="0"/>
              <w:right w:val="single" w:color="000000" w:sz="4" w:space="0"/>
            </w:tcBorders>
            <w:vAlign w:val="top"/>
          </w:tcPr>
          <w:p w14:paraId="625925E2">
            <w:pPr>
              <w:rPr>
                <w:rFonts w:ascii="Arial"/>
                <w:sz w:val="21"/>
              </w:rPr>
            </w:pPr>
          </w:p>
        </w:tc>
        <w:tc>
          <w:tcPr>
            <w:tcW w:w="214" w:type="dxa"/>
            <w:tcBorders>
              <w:left w:val="single" w:color="000000" w:sz="4" w:space="0"/>
            </w:tcBorders>
            <w:vAlign w:val="top"/>
          </w:tcPr>
          <w:p w14:paraId="6CFDDA5E">
            <w:pPr>
              <w:rPr>
                <w:rFonts w:ascii="Arial"/>
                <w:sz w:val="21"/>
              </w:rPr>
            </w:pPr>
          </w:p>
        </w:tc>
      </w:tr>
      <w:tr w14:paraId="5435BC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5" w:hRule="atLeast"/>
        </w:trPr>
        <w:tc>
          <w:tcPr>
            <w:tcW w:w="903" w:type="dxa"/>
            <w:vMerge w:val="continue"/>
            <w:tcBorders>
              <w:top w:val="nil"/>
              <w:left w:val="single" w:color="000000" w:sz="4" w:space="0"/>
              <w:bottom w:val="nil"/>
              <w:right w:val="single" w:color="000000" w:sz="4" w:space="0"/>
            </w:tcBorders>
            <w:vAlign w:val="top"/>
          </w:tcPr>
          <w:p w14:paraId="506939D2">
            <w:pPr>
              <w:rPr>
                <w:rFonts w:ascii="Arial"/>
                <w:sz w:val="21"/>
              </w:rPr>
            </w:pPr>
          </w:p>
        </w:tc>
        <w:tc>
          <w:tcPr>
            <w:tcW w:w="2306" w:type="dxa"/>
            <w:vMerge w:val="continue"/>
            <w:tcBorders>
              <w:top w:val="nil"/>
              <w:left w:val="single" w:color="000000" w:sz="4" w:space="0"/>
              <w:bottom w:val="nil"/>
              <w:right w:val="single" w:color="000000" w:sz="4" w:space="0"/>
            </w:tcBorders>
            <w:vAlign w:val="top"/>
          </w:tcPr>
          <w:p w14:paraId="770D668C">
            <w:pPr>
              <w:rPr>
                <w:rFonts w:ascii="Arial"/>
                <w:sz w:val="21"/>
              </w:rPr>
            </w:pPr>
          </w:p>
        </w:tc>
        <w:tc>
          <w:tcPr>
            <w:tcW w:w="239" w:type="dxa"/>
            <w:tcBorders>
              <w:left w:val="single" w:color="000000" w:sz="4" w:space="0"/>
              <w:right w:val="single" w:color="000000" w:sz="4" w:space="0"/>
            </w:tcBorders>
            <w:vAlign w:val="top"/>
          </w:tcPr>
          <w:p w14:paraId="0794FA70">
            <w:pPr>
              <w:rPr>
                <w:rFonts w:ascii="Arial"/>
                <w:sz w:val="21"/>
              </w:rPr>
            </w:pPr>
          </w:p>
        </w:tc>
        <w:tc>
          <w:tcPr>
            <w:tcW w:w="210" w:type="dxa"/>
            <w:tcBorders>
              <w:left w:val="single" w:color="000000" w:sz="4" w:space="0"/>
              <w:right w:val="single" w:color="000000" w:sz="4" w:space="0"/>
            </w:tcBorders>
            <w:vAlign w:val="top"/>
          </w:tcPr>
          <w:p w14:paraId="600E8EE0">
            <w:pPr>
              <w:rPr>
                <w:rFonts w:ascii="Arial"/>
                <w:sz w:val="21"/>
              </w:rPr>
            </w:pPr>
          </w:p>
        </w:tc>
        <w:tc>
          <w:tcPr>
            <w:tcW w:w="230" w:type="dxa"/>
            <w:tcBorders>
              <w:left w:val="single" w:color="000000" w:sz="4" w:space="0"/>
              <w:right w:val="single" w:color="000000" w:sz="4" w:space="0"/>
            </w:tcBorders>
            <w:vAlign w:val="top"/>
          </w:tcPr>
          <w:p w14:paraId="489879DF">
            <w:pPr>
              <w:rPr>
                <w:rFonts w:ascii="Arial"/>
                <w:sz w:val="21"/>
              </w:rPr>
            </w:pPr>
          </w:p>
        </w:tc>
        <w:tc>
          <w:tcPr>
            <w:tcW w:w="214" w:type="dxa"/>
            <w:tcBorders>
              <w:left w:val="single" w:color="000000" w:sz="4" w:space="0"/>
            </w:tcBorders>
            <w:vAlign w:val="top"/>
          </w:tcPr>
          <w:p w14:paraId="0A0DC6B4">
            <w:pPr>
              <w:rPr>
                <w:rFonts w:ascii="Arial"/>
                <w:sz w:val="21"/>
              </w:rPr>
            </w:pPr>
          </w:p>
        </w:tc>
      </w:tr>
      <w:tr w14:paraId="60D4CF7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5" w:hRule="atLeast"/>
        </w:trPr>
        <w:tc>
          <w:tcPr>
            <w:tcW w:w="903" w:type="dxa"/>
            <w:vMerge w:val="continue"/>
            <w:tcBorders>
              <w:top w:val="nil"/>
              <w:left w:val="single" w:color="000000" w:sz="4" w:space="0"/>
              <w:bottom w:val="nil"/>
              <w:right w:val="single" w:color="000000" w:sz="4" w:space="0"/>
            </w:tcBorders>
            <w:vAlign w:val="top"/>
          </w:tcPr>
          <w:p w14:paraId="6AA041A4">
            <w:pPr>
              <w:rPr>
                <w:rFonts w:ascii="Arial"/>
                <w:sz w:val="21"/>
              </w:rPr>
            </w:pPr>
          </w:p>
        </w:tc>
        <w:tc>
          <w:tcPr>
            <w:tcW w:w="2306" w:type="dxa"/>
            <w:vMerge w:val="continue"/>
            <w:tcBorders>
              <w:top w:val="nil"/>
              <w:left w:val="single" w:color="000000" w:sz="4" w:space="0"/>
              <w:bottom w:val="nil"/>
              <w:right w:val="single" w:color="000000" w:sz="4" w:space="0"/>
            </w:tcBorders>
            <w:vAlign w:val="top"/>
          </w:tcPr>
          <w:p w14:paraId="10F40508">
            <w:pPr>
              <w:rPr>
                <w:rFonts w:ascii="Arial"/>
                <w:sz w:val="21"/>
              </w:rPr>
            </w:pPr>
          </w:p>
        </w:tc>
        <w:tc>
          <w:tcPr>
            <w:tcW w:w="239" w:type="dxa"/>
            <w:tcBorders>
              <w:left w:val="single" w:color="000000" w:sz="4" w:space="0"/>
              <w:right w:val="single" w:color="000000" w:sz="4" w:space="0"/>
            </w:tcBorders>
            <w:vAlign w:val="top"/>
          </w:tcPr>
          <w:p w14:paraId="036C20EB">
            <w:pPr>
              <w:rPr>
                <w:rFonts w:ascii="Arial"/>
                <w:sz w:val="21"/>
              </w:rPr>
            </w:pPr>
          </w:p>
        </w:tc>
        <w:tc>
          <w:tcPr>
            <w:tcW w:w="210" w:type="dxa"/>
            <w:tcBorders>
              <w:left w:val="single" w:color="000000" w:sz="4" w:space="0"/>
              <w:right w:val="single" w:color="000000" w:sz="4" w:space="0"/>
            </w:tcBorders>
            <w:vAlign w:val="top"/>
          </w:tcPr>
          <w:p w14:paraId="66C79D68">
            <w:pPr>
              <w:rPr>
                <w:rFonts w:ascii="Arial"/>
                <w:sz w:val="21"/>
              </w:rPr>
            </w:pPr>
          </w:p>
        </w:tc>
        <w:tc>
          <w:tcPr>
            <w:tcW w:w="230" w:type="dxa"/>
            <w:tcBorders>
              <w:left w:val="single" w:color="000000" w:sz="4" w:space="0"/>
              <w:right w:val="single" w:color="000000" w:sz="4" w:space="0"/>
            </w:tcBorders>
            <w:vAlign w:val="top"/>
          </w:tcPr>
          <w:p w14:paraId="6A8ED936">
            <w:pPr>
              <w:rPr>
                <w:rFonts w:ascii="Arial"/>
                <w:sz w:val="21"/>
              </w:rPr>
            </w:pPr>
          </w:p>
        </w:tc>
        <w:tc>
          <w:tcPr>
            <w:tcW w:w="214" w:type="dxa"/>
            <w:tcBorders>
              <w:left w:val="single" w:color="000000" w:sz="4" w:space="0"/>
            </w:tcBorders>
            <w:vAlign w:val="top"/>
          </w:tcPr>
          <w:p w14:paraId="5835CE05">
            <w:pPr>
              <w:rPr>
                <w:rFonts w:ascii="Arial"/>
                <w:sz w:val="21"/>
              </w:rPr>
            </w:pPr>
          </w:p>
        </w:tc>
      </w:tr>
      <w:tr w14:paraId="4E15CB2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95" w:hRule="atLeast"/>
        </w:trPr>
        <w:tc>
          <w:tcPr>
            <w:tcW w:w="903" w:type="dxa"/>
            <w:vMerge w:val="continue"/>
            <w:tcBorders>
              <w:top w:val="nil"/>
              <w:left w:val="single" w:color="000000" w:sz="4" w:space="0"/>
              <w:bottom w:val="nil"/>
              <w:right w:val="single" w:color="000000" w:sz="4" w:space="0"/>
            </w:tcBorders>
            <w:vAlign w:val="top"/>
          </w:tcPr>
          <w:p w14:paraId="7656046F">
            <w:pPr>
              <w:rPr>
                <w:rFonts w:ascii="Arial"/>
                <w:sz w:val="21"/>
              </w:rPr>
            </w:pPr>
          </w:p>
        </w:tc>
        <w:tc>
          <w:tcPr>
            <w:tcW w:w="2306" w:type="dxa"/>
            <w:vMerge w:val="continue"/>
            <w:tcBorders>
              <w:top w:val="nil"/>
              <w:left w:val="single" w:color="000000" w:sz="4" w:space="0"/>
              <w:bottom w:val="nil"/>
              <w:right w:val="single" w:color="000000" w:sz="4" w:space="0"/>
            </w:tcBorders>
            <w:vAlign w:val="top"/>
          </w:tcPr>
          <w:p w14:paraId="4AE2C8B5">
            <w:pPr>
              <w:rPr>
                <w:rFonts w:ascii="Arial"/>
                <w:sz w:val="21"/>
              </w:rPr>
            </w:pPr>
          </w:p>
        </w:tc>
        <w:tc>
          <w:tcPr>
            <w:tcW w:w="239" w:type="dxa"/>
            <w:tcBorders>
              <w:left w:val="single" w:color="000000" w:sz="4" w:space="0"/>
              <w:right w:val="single" w:color="000000" w:sz="4" w:space="0"/>
            </w:tcBorders>
            <w:vAlign w:val="top"/>
          </w:tcPr>
          <w:p w14:paraId="75BBA0C3">
            <w:pPr>
              <w:rPr>
                <w:rFonts w:ascii="Arial"/>
                <w:sz w:val="21"/>
              </w:rPr>
            </w:pPr>
          </w:p>
        </w:tc>
        <w:tc>
          <w:tcPr>
            <w:tcW w:w="210" w:type="dxa"/>
            <w:tcBorders>
              <w:left w:val="single" w:color="000000" w:sz="4" w:space="0"/>
              <w:right w:val="single" w:color="000000" w:sz="4" w:space="0"/>
            </w:tcBorders>
            <w:vAlign w:val="top"/>
          </w:tcPr>
          <w:p w14:paraId="222AA23D">
            <w:pPr>
              <w:rPr>
                <w:rFonts w:ascii="Arial"/>
                <w:sz w:val="21"/>
              </w:rPr>
            </w:pPr>
          </w:p>
        </w:tc>
        <w:tc>
          <w:tcPr>
            <w:tcW w:w="230" w:type="dxa"/>
            <w:tcBorders>
              <w:left w:val="single" w:color="000000" w:sz="4" w:space="0"/>
              <w:right w:val="single" w:color="000000" w:sz="4" w:space="0"/>
            </w:tcBorders>
            <w:vAlign w:val="top"/>
          </w:tcPr>
          <w:p w14:paraId="63B7F55C">
            <w:pPr>
              <w:rPr>
                <w:rFonts w:ascii="Arial"/>
                <w:sz w:val="21"/>
              </w:rPr>
            </w:pPr>
          </w:p>
        </w:tc>
        <w:tc>
          <w:tcPr>
            <w:tcW w:w="214" w:type="dxa"/>
            <w:tcBorders>
              <w:left w:val="single" w:color="000000" w:sz="4" w:space="0"/>
            </w:tcBorders>
            <w:vAlign w:val="top"/>
          </w:tcPr>
          <w:p w14:paraId="29F66500">
            <w:pPr>
              <w:rPr>
                <w:rFonts w:ascii="Arial"/>
                <w:sz w:val="21"/>
              </w:rPr>
            </w:pPr>
          </w:p>
        </w:tc>
      </w:tr>
      <w:tr w14:paraId="6E1F816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903" w:type="dxa"/>
            <w:vMerge w:val="continue"/>
            <w:tcBorders>
              <w:top w:val="nil"/>
              <w:left w:val="single" w:color="000000" w:sz="4" w:space="0"/>
              <w:bottom w:val="nil"/>
              <w:right w:val="single" w:color="000000" w:sz="4" w:space="0"/>
            </w:tcBorders>
            <w:vAlign w:val="top"/>
          </w:tcPr>
          <w:p w14:paraId="0468630D">
            <w:pPr>
              <w:rPr>
                <w:rFonts w:ascii="Arial"/>
                <w:sz w:val="21"/>
              </w:rPr>
            </w:pPr>
          </w:p>
        </w:tc>
        <w:tc>
          <w:tcPr>
            <w:tcW w:w="2306" w:type="dxa"/>
            <w:vMerge w:val="continue"/>
            <w:tcBorders>
              <w:top w:val="nil"/>
              <w:left w:val="single" w:color="000000" w:sz="4" w:space="0"/>
              <w:bottom w:val="nil"/>
              <w:right w:val="single" w:color="000000" w:sz="4" w:space="0"/>
            </w:tcBorders>
            <w:vAlign w:val="top"/>
          </w:tcPr>
          <w:p w14:paraId="03171333">
            <w:pPr>
              <w:rPr>
                <w:rFonts w:ascii="Arial"/>
                <w:sz w:val="21"/>
              </w:rPr>
            </w:pPr>
          </w:p>
        </w:tc>
        <w:tc>
          <w:tcPr>
            <w:tcW w:w="239" w:type="dxa"/>
            <w:tcBorders>
              <w:left w:val="single" w:color="000000" w:sz="4" w:space="0"/>
              <w:right w:val="single" w:color="000000" w:sz="4" w:space="0"/>
            </w:tcBorders>
            <w:vAlign w:val="top"/>
          </w:tcPr>
          <w:p w14:paraId="3F43577A">
            <w:pPr>
              <w:rPr>
                <w:rFonts w:ascii="Arial"/>
                <w:sz w:val="21"/>
              </w:rPr>
            </w:pPr>
          </w:p>
        </w:tc>
        <w:tc>
          <w:tcPr>
            <w:tcW w:w="210" w:type="dxa"/>
            <w:tcBorders>
              <w:left w:val="single" w:color="000000" w:sz="4" w:space="0"/>
              <w:right w:val="single" w:color="000000" w:sz="4" w:space="0"/>
            </w:tcBorders>
            <w:vAlign w:val="top"/>
          </w:tcPr>
          <w:p w14:paraId="41F58739">
            <w:pPr>
              <w:spacing w:before="121" w:line="109" w:lineRule="exact"/>
              <w:ind w:firstLine="37"/>
            </w:pPr>
            <w:r>
              <w:rPr>
                <w:position w:val="-2"/>
              </w:rPr>
              <w:drawing>
                <wp:inline distT="0" distB="0" distL="0" distR="0">
                  <wp:extent cx="77470" cy="69215"/>
                  <wp:effectExtent l="0" t="0" r="0" b="0"/>
                  <wp:docPr id="348" name="IM 348"/>
                  <wp:cNvGraphicFramePr/>
                  <a:graphic xmlns:a="http://schemas.openxmlformats.org/drawingml/2006/main">
                    <a:graphicData uri="http://schemas.openxmlformats.org/drawingml/2006/picture">
                      <pic:pic xmlns:pic="http://schemas.openxmlformats.org/drawingml/2006/picture">
                        <pic:nvPicPr>
                          <pic:cNvPr id="348" name="IM 348"/>
                          <pic:cNvPicPr/>
                        </pic:nvPicPr>
                        <pic:blipFill>
                          <a:blip r:embed="rId338"/>
                          <a:stretch>
                            <a:fillRect/>
                          </a:stretch>
                        </pic:blipFill>
                        <pic:spPr>
                          <a:xfrm>
                            <a:off x="0" y="0"/>
                            <a:ext cx="77798" cy="69478"/>
                          </a:xfrm>
                          <a:prstGeom prst="rect">
                            <a:avLst/>
                          </a:prstGeom>
                        </pic:spPr>
                      </pic:pic>
                    </a:graphicData>
                  </a:graphic>
                </wp:inline>
              </w:drawing>
            </w:r>
          </w:p>
        </w:tc>
        <w:tc>
          <w:tcPr>
            <w:tcW w:w="230" w:type="dxa"/>
            <w:tcBorders>
              <w:left w:val="single" w:color="000000" w:sz="4" w:space="0"/>
              <w:right w:val="single" w:color="000000" w:sz="4" w:space="0"/>
            </w:tcBorders>
            <w:vAlign w:val="top"/>
          </w:tcPr>
          <w:p w14:paraId="59A01F41">
            <w:pPr>
              <w:rPr>
                <w:rFonts w:ascii="Arial"/>
                <w:sz w:val="21"/>
              </w:rPr>
            </w:pPr>
          </w:p>
        </w:tc>
        <w:tc>
          <w:tcPr>
            <w:tcW w:w="214" w:type="dxa"/>
            <w:tcBorders>
              <w:left w:val="single" w:color="000000" w:sz="4" w:space="0"/>
            </w:tcBorders>
            <w:vAlign w:val="top"/>
          </w:tcPr>
          <w:p w14:paraId="6B868010">
            <w:pPr>
              <w:rPr>
                <w:rFonts w:ascii="Arial"/>
                <w:sz w:val="21"/>
              </w:rPr>
            </w:pPr>
          </w:p>
        </w:tc>
      </w:tr>
      <w:tr w14:paraId="0F591B5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4" w:hRule="atLeast"/>
        </w:trPr>
        <w:tc>
          <w:tcPr>
            <w:tcW w:w="903" w:type="dxa"/>
            <w:vMerge w:val="continue"/>
            <w:tcBorders>
              <w:top w:val="nil"/>
              <w:left w:val="single" w:color="000000" w:sz="4" w:space="0"/>
              <w:right w:val="single" w:color="000000" w:sz="4" w:space="0"/>
            </w:tcBorders>
            <w:vAlign w:val="top"/>
          </w:tcPr>
          <w:p w14:paraId="42E35C09">
            <w:pPr>
              <w:rPr>
                <w:rFonts w:ascii="Arial"/>
                <w:sz w:val="21"/>
              </w:rPr>
            </w:pPr>
          </w:p>
        </w:tc>
        <w:tc>
          <w:tcPr>
            <w:tcW w:w="2306" w:type="dxa"/>
            <w:vMerge w:val="continue"/>
            <w:tcBorders>
              <w:top w:val="nil"/>
              <w:left w:val="single" w:color="000000" w:sz="4" w:space="0"/>
              <w:right w:val="single" w:color="000000" w:sz="4" w:space="0"/>
            </w:tcBorders>
            <w:vAlign w:val="top"/>
          </w:tcPr>
          <w:p w14:paraId="6C839DF5">
            <w:pPr>
              <w:rPr>
                <w:rFonts w:ascii="Arial"/>
                <w:sz w:val="21"/>
              </w:rPr>
            </w:pPr>
          </w:p>
        </w:tc>
        <w:tc>
          <w:tcPr>
            <w:tcW w:w="239" w:type="dxa"/>
            <w:tcBorders>
              <w:left w:val="single" w:color="000000" w:sz="4" w:space="0"/>
              <w:right w:val="single" w:color="000000" w:sz="4" w:space="0"/>
            </w:tcBorders>
            <w:vAlign w:val="top"/>
          </w:tcPr>
          <w:p w14:paraId="172C7F7A">
            <w:pPr>
              <w:rPr>
                <w:rFonts w:ascii="Arial"/>
                <w:sz w:val="21"/>
              </w:rPr>
            </w:pPr>
          </w:p>
        </w:tc>
        <w:tc>
          <w:tcPr>
            <w:tcW w:w="210" w:type="dxa"/>
            <w:tcBorders>
              <w:left w:val="single" w:color="000000" w:sz="4" w:space="0"/>
              <w:right w:val="single" w:color="000000" w:sz="4" w:space="0"/>
            </w:tcBorders>
            <w:vAlign w:val="top"/>
          </w:tcPr>
          <w:p w14:paraId="066BBD3C">
            <w:pPr>
              <w:spacing w:before="131" w:line="96" w:lineRule="exact"/>
              <w:ind w:firstLine="39"/>
            </w:pPr>
            <w:r>
              <w:rPr>
                <w:position w:val="-1"/>
              </w:rPr>
              <w:drawing>
                <wp:inline distT="0" distB="0" distL="0" distR="0">
                  <wp:extent cx="68580" cy="60960"/>
                  <wp:effectExtent l="0" t="0" r="0" b="0"/>
                  <wp:docPr id="350" name="IM 350"/>
                  <wp:cNvGraphicFramePr/>
                  <a:graphic xmlns:a="http://schemas.openxmlformats.org/drawingml/2006/main">
                    <a:graphicData uri="http://schemas.openxmlformats.org/drawingml/2006/picture">
                      <pic:pic xmlns:pic="http://schemas.openxmlformats.org/drawingml/2006/picture">
                        <pic:nvPicPr>
                          <pic:cNvPr id="350" name="IM 350"/>
                          <pic:cNvPicPr/>
                        </pic:nvPicPr>
                        <pic:blipFill>
                          <a:blip r:embed="rId339"/>
                          <a:stretch>
                            <a:fillRect/>
                          </a:stretch>
                        </pic:blipFill>
                        <pic:spPr>
                          <a:xfrm>
                            <a:off x="0" y="0"/>
                            <a:ext cx="68584" cy="61373"/>
                          </a:xfrm>
                          <a:prstGeom prst="rect">
                            <a:avLst/>
                          </a:prstGeom>
                        </pic:spPr>
                      </pic:pic>
                    </a:graphicData>
                  </a:graphic>
                </wp:inline>
              </w:drawing>
            </w:r>
          </w:p>
        </w:tc>
        <w:tc>
          <w:tcPr>
            <w:tcW w:w="230" w:type="dxa"/>
            <w:tcBorders>
              <w:left w:val="single" w:color="000000" w:sz="4" w:space="0"/>
              <w:right w:val="single" w:color="000000" w:sz="4" w:space="0"/>
            </w:tcBorders>
            <w:vAlign w:val="top"/>
          </w:tcPr>
          <w:p w14:paraId="0FBC5D9F">
            <w:pPr>
              <w:rPr>
                <w:rFonts w:ascii="Arial"/>
                <w:sz w:val="21"/>
              </w:rPr>
            </w:pPr>
          </w:p>
        </w:tc>
        <w:tc>
          <w:tcPr>
            <w:tcW w:w="214" w:type="dxa"/>
            <w:tcBorders>
              <w:left w:val="single" w:color="000000" w:sz="4" w:space="0"/>
            </w:tcBorders>
            <w:vAlign w:val="top"/>
          </w:tcPr>
          <w:p w14:paraId="5E1B1192">
            <w:pPr>
              <w:rPr>
                <w:rFonts w:ascii="Arial"/>
                <w:sz w:val="21"/>
              </w:rPr>
            </w:pPr>
          </w:p>
        </w:tc>
      </w:tr>
      <w:tr w14:paraId="44AB8E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903" w:type="dxa"/>
            <w:vMerge w:val="restart"/>
            <w:tcBorders>
              <w:left w:val="single" w:color="000000" w:sz="4" w:space="0"/>
              <w:bottom w:val="nil"/>
              <w:right w:val="single" w:color="000000" w:sz="4" w:space="0"/>
            </w:tcBorders>
            <w:vAlign w:val="top"/>
          </w:tcPr>
          <w:p w14:paraId="537A05D5">
            <w:pPr>
              <w:spacing w:line="263" w:lineRule="auto"/>
              <w:rPr>
                <w:rFonts w:ascii="Arial"/>
                <w:sz w:val="21"/>
              </w:rPr>
            </w:pPr>
          </w:p>
          <w:p w14:paraId="43A78E76">
            <w:pPr>
              <w:spacing w:line="263" w:lineRule="auto"/>
              <w:rPr>
                <w:rFonts w:ascii="Arial"/>
                <w:sz w:val="21"/>
              </w:rPr>
            </w:pPr>
          </w:p>
          <w:p w14:paraId="55439950">
            <w:pPr>
              <w:spacing w:line="263" w:lineRule="auto"/>
              <w:rPr>
                <w:rFonts w:ascii="Arial"/>
                <w:sz w:val="21"/>
              </w:rPr>
            </w:pPr>
          </w:p>
          <w:p w14:paraId="2A4DFDEF">
            <w:pPr>
              <w:spacing w:line="263" w:lineRule="auto"/>
              <w:rPr>
                <w:rFonts w:ascii="Arial"/>
                <w:sz w:val="21"/>
              </w:rPr>
            </w:pPr>
          </w:p>
          <w:p w14:paraId="07881AC1">
            <w:pPr>
              <w:spacing w:line="263" w:lineRule="auto"/>
              <w:rPr>
                <w:rFonts w:ascii="Arial"/>
                <w:sz w:val="21"/>
              </w:rPr>
            </w:pPr>
          </w:p>
          <w:p w14:paraId="21FB798D">
            <w:pPr>
              <w:spacing w:line="263" w:lineRule="auto"/>
              <w:rPr>
                <w:rFonts w:ascii="Arial"/>
                <w:sz w:val="21"/>
              </w:rPr>
            </w:pPr>
          </w:p>
          <w:p w14:paraId="3A9DC198">
            <w:pPr>
              <w:spacing w:line="264" w:lineRule="auto"/>
              <w:rPr>
                <w:rFonts w:ascii="Arial"/>
                <w:sz w:val="21"/>
              </w:rPr>
            </w:pPr>
          </w:p>
          <w:p w14:paraId="13C790CF">
            <w:pPr>
              <w:pStyle w:val="6"/>
              <w:spacing w:before="58" w:line="219" w:lineRule="auto"/>
              <w:ind w:left="175"/>
              <w:rPr>
                <w:sz w:val="18"/>
                <w:szCs w:val="18"/>
              </w:rPr>
            </w:pPr>
            <w:r>
              <w:rPr>
                <w:spacing w:val="-2"/>
                <w:sz w:val="18"/>
                <w:szCs w:val="18"/>
              </w:rPr>
              <w:t>脊神经</w:t>
            </w:r>
          </w:p>
        </w:tc>
        <w:tc>
          <w:tcPr>
            <w:tcW w:w="2306" w:type="dxa"/>
            <w:vMerge w:val="restart"/>
            <w:tcBorders>
              <w:left w:val="single" w:color="000000" w:sz="4" w:space="0"/>
              <w:bottom w:val="nil"/>
              <w:right w:val="single" w:color="000000" w:sz="4" w:space="0"/>
            </w:tcBorders>
            <w:vAlign w:val="top"/>
          </w:tcPr>
          <w:p w14:paraId="34A59E0A">
            <w:pPr>
              <w:pStyle w:val="6"/>
              <w:spacing w:before="52" w:line="206" w:lineRule="auto"/>
              <w:ind w:left="12"/>
              <w:rPr>
                <w:sz w:val="18"/>
                <w:szCs w:val="18"/>
              </w:rPr>
            </w:pPr>
            <w:r>
              <w:rPr>
                <w:spacing w:val="-5"/>
                <w:sz w:val="18"/>
                <w:szCs w:val="18"/>
              </w:rPr>
              <w:t>1.脊神经的组成、分部及前、</w:t>
            </w:r>
            <w:r>
              <w:rPr>
                <w:spacing w:val="12"/>
                <w:sz w:val="18"/>
                <w:szCs w:val="18"/>
              </w:rPr>
              <w:t xml:space="preserve"> </w:t>
            </w:r>
            <w:r>
              <w:rPr>
                <w:spacing w:val="-7"/>
                <w:sz w:val="18"/>
                <w:szCs w:val="18"/>
              </w:rPr>
              <w:t>后支的分布规律</w:t>
            </w:r>
          </w:p>
          <w:p w14:paraId="2F29958B">
            <w:pPr>
              <w:pStyle w:val="6"/>
              <w:spacing w:before="1" w:line="217" w:lineRule="auto"/>
              <w:ind w:left="12" w:right="116"/>
              <w:jc w:val="both"/>
              <w:rPr>
                <w:sz w:val="18"/>
                <w:szCs w:val="18"/>
              </w:rPr>
            </w:pPr>
            <w:r>
              <w:rPr>
                <w:spacing w:val="-1"/>
                <w:sz w:val="18"/>
                <w:szCs w:val="18"/>
              </w:rPr>
              <w:t>2.颈丛的组成、位置、皮支</w:t>
            </w:r>
            <w:r>
              <w:rPr>
                <w:spacing w:val="2"/>
                <w:sz w:val="18"/>
                <w:szCs w:val="18"/>
              </w:rPr>
              <w:t xml:space="preserve"> </w:t>
            </w:r>
            <w:r>
              <w:rPr>
                <w:sz w:val="18"/>
                <w:szCs w:val="18"/>
              </w:rPr>
              <w:t>的浅出部位和颈丛阻滞麻醉</w:t>
            </w:r>
            <w:r>
              <w:rPr>
                <w:spacing w:val="6"/>
                <w:sz w:val="18"/>
                <w:szCs w:val="18"/>
              </w:rPr>
              <w:t xml:space="preserve"> </w:t>
            </w:r>
            <w:r>
              <w:rPr>
                <w:spacing w:val="4"/>
                <w:sz w:val="18"/>
                <w:szCs w:val="18"/>
              </w:rPr>
              <w:t>的进针点</w:t>
            </w:r>
          </w:p>
          <w:p w14:paraId="707484D1">
            <w:pPr>
              <w:pStyle w:val="6"/>
              <w:spacing w:before="22" w:line="205" w:lineRule="auto"/>
              <w:ind w:left="12"/>
              <w:rPr>
                <w:sz w:val="18"/>
                <w:szCs w:val="18"/>
              </w:rPr>
            </w:pPr>
            <w:r>
              <w:rPr>
                <w:spacing w:val="-2"/>
                <w:sz w:val="18"/>
                <w:szCs w:val="18"/>
              </w:rPr>
              <w:t>3.膈神经的分布</w:t>
            </w:r>
          </w:p>
          <w:p w14:paraId="7D48AD7C">
            <w:pPr>
              <w:pStyle w:val="6"/>
              <w:spacing w:line="215" w:lineRule="auto"/>
              <w:ind w:left="12"/>
              <w:rPr>
                <w:sz w:val="18"/>
                <w:szCs w:val="18"/>
              </w:rPr>
            </w:pPr>
            <w:r>
              <w:rPr>
                <w:spacing w:val="-1"/>
                <w:sz w:val="18"/>
                <w:szCs w:val="18"/>
              </w:rPr>
              <w:t>4.臂丛的组成和位置</w:t>
            </w:r>
          </w:p>
          <w:p w14:paraId="5308C9CB">
            <w:pPr>
              <w:pStyle w:val="6"/>
              <w:spacing w:before="3" w:line="215" w:lineRule="auto"/>
              <w:ind w:left="12"/>
              <w:rPr>
                <w:sz w:val="18"/>
                <w:szCs w:val="18"/>
              </w:rPr>
            </w:pPr>
            <w:r>
              <w:rPr>
                <w:sz w:val="18"/>
                <w:szCs w:val="18"/>
              </w:rPr>
              <w:t>5.正中神经、尺神经、桡神</w:t>
            </w:r>
            <w:r>
              <w:rPr>
                <w:spacing w:val="5"/>
                <w:sz w:val="18"/>
                <w:szCs w:val="18"/>
              </w:rPr>
              <w:t xml:space="preserve">  </w:t>
            </w:r>
            <w:r>
              <w:rPr>
                <w:spacing w:val="-5"/>
                <w:sz w:val="18"/>
                <w:szCs w:val="18"/>
              </w:rPr>
              <w:t>经的分布及损伤后的临床表现</w:t>
            </w:r>
            <w:r>
              <w:rPr>
                <w:spacing w:val="7"/>
                <w:sz w:val="18"/>
                <w:szCs w:val="18"/>
              </w:rPr>
              <w:t xml:space="preserve"> </w:t>
            </w:r>
            <w:r>
              <w:rPr>
                <w:spacing w:val="-1"/>
                <w:sz w:val="18"/>
                <w:szCs w:val="18"/>
              </w:rPr>
              <w:t>6.肌皮神经的分布和腋神经</w:t>
            </w:r>
            <w:r>
              <w:rPr>
                <w:sz w:val="18"/>
                <w:szCs w:val="18"/>
              </w:rPr>
              <w:t xml:space="preserve">  的分布及损伤后的临床表现</w:t>
            </w:r>
            <w:r>
              <w:rPr>
                <w:spacing w:val="1"/>
                <w:sz w:val="18"/>
                <w:szCs w:val="18"/>
              </w:rPr>
              <w:t xml:space="preserve">  </w:t>
            </w:r>
            <w:r>
              <w:rPr>
                <w:spacing w:val="-2"/>
                <w:sz w:val="18"/>
                <w:szCs w:val="18"/>
              </w:rPr>
              <w:t>7.胸神经前支在胸、腹壁皮</w:t>
            </w:r>
            <w:r>
              <w:rPr>
                <w:spacing w:val="5"/>
                <w:sz w:val="18"/>
                <w:szCs w:val="18"/>
              </w:rPr>
              <w:t xml:space="preserve">  </w:t>
            </w:r>
            <w:r>
              <w:rPr>
                <w:spacing w:val="-1"/>
                <w:sz w:val="18"/>
                <w:szCs w:val="18"/>
              </w:rPr>
              <w:t>肤分布的明显节段性</w:t>
            </w:r>
          </w:p>
          <w:p w14:paraId="64F7320D">
            <w:pPr>
              <w:pStyle w:val="6"/>
              <w:spacing w:line="193" w:lineRule="auto"/>
              <w:ind w:left="12"/>
              <w:rPr>
                <w:sz w:val="18"/>
                <w:szCs w:val="18"/>
              </w:rPr>
            </w:pPr>
            <w:r>
              <w:rPr>
                <w:spacing w:val="-1"/>
                <w:sz w:val="18"/>
                <w:szCs w:val="18"/>
              </w:rPr>
              <w:t>8.腰丛的组成和位置</w:t>
            </w:r>
          </w:p>
          <w:p w14:paraId="7725EDD8">
            <w:pPr>
              <w:pStyle w:val="6"/>
              <w:spacing w:before="1" w:line="218" w:lineRule="auto"/>
              <w:ind w:left="12"/>
              <w:rPr>
                <w:sz w:val="18"/>
                <w:szCs w:val="18"/>
              </w:rPr>
            </w:pPr>
            <w:r>
              <w:rPr>
                <w:spacing w:val="-1"/>
                <w:sz w:val="18"/>
                <w:szCs w:val="18"/>
              </w:rPr>
              <w:t>9.股神经和闭孔神经的分布</w:t>
            </w:r>
          </w:p>
          <w:p w14:paraId="41FF9C54">
            <w:pPr>
              <w:pStyle w:val="6"/>
              <w:spacing w:before="18" w:line="193" w:lineRule="auto"/>
              <w:ind w:left="12"/>
              <w:rPr>
                <w:sz w:val="18"/>
                <w:szCs w:val="18"/>
              </w:rPr>
            </w:pPr>
            <w:r>
              <w:rPr>
                <w:sz w:val="18"/>
                <w:szCs w:val="18"/>
              </w:rPr>
              <w:t>10.骶丛的组成和位置</w:t>
            </w:r>
          </w:p>
          <w:p w14:paraId="3559C8F0">
            <w:pPr>
              <w:pStyle w:val="6"/>
              <w:spacing w:before="1" w:line="218" w:lineRule="auto"/>
              <w:ind w:left="12"/>
              <w:rPr>
                <w:sz w:val="18"/>
                <w:szCs w:val="18"/>
              </w:rPr>
            </w:pPr>
            <w:r>
              <w:rPr>
                <w:sz w:val="18"/>
                <w:szCs w:val="18"/>
              </w:rPr>
              <w:t>11.坐骨神经行程和分布</w:t>
            </w:r>
          </w:p>
          <w:p w14:paraId="1D191F74">
            <w:pPr>
              <w:pStyle w:val="6"/>
              <w:spacing w:before="17" w:line="184" w:lineRule="auto"/>
              <w:ind w:left="12"/>
              <w:rPr>
                <w:sz w:val="18"/>
                <w:szCs w:val="18"/>
              </w:rPr>
            </w:pPr>
            <w:r>
              <w:rPr>
                <w:spacing w:val="-10"/>
                <w:sz w:val="18"/>
                <w:szCs w:val="18"/>
              </w:rPr>
              <w:t>12.胫神经、腓总神经的分支、</w:t>
            </w:r>
            <w:r>
              <w:rPr>
                <w:spacing w:val="2"/>
                <w:sz w:val="18"/>
                <w:szCs w:val="18"/>
              </w:rPr>
              <w:t xml:space="preserve"> </w:t>
            </w:r>
            <w:r>
              <w:rPr>
                <w:spacing w:val="-8"/>
                <w:sz w:val="18"/>
                <w:szCs w:val="18"/>
              </w:rPr>
              <w:t>分布和损伤后的临床表现</w:t>
            </w:r>
          </w:p>
        </w:tc>
        <w:tc>
          <w:tcPr>
            <w:tcW w:w="239" w:type="dxa"/>
            <w:tcBorders>
              <w:left w:val="single" w:color="000000" w:sz="4" w:space="0"/>
              <w:right w:val="single" w:color="000000" w:sz="4" w:space="0"/>
            </w:tcBorders>
            <w:vAlign w:val="top"/>
          </w:tcPr>
          <w:p w14:paraId="3A2E1853">
            <w:pPr>
              <w:rPr>
                <w:rFonts w:ascii="Arial"/>
                <w:sz w:val="21"/>
              </w:rPr>
            </w:pPr>
          </w:p>
        </w:tc>
        <w:tc>
          <w:tcPr>
            <w:tcW w:w="210" w:type="dxa"/>
            <w:tcBorders>
              <w:left w:val="single" w:color="000000" w:sz="4" w:space="0"/>
              <w:right w:val="single" w:color="000000" w:sz="4" w:space="0"/>
            </w:tcBorders>
            <w:vAlign w:val="top"/>
          </w:tcPr>
          <w:p w14:paraId="512B5F41">
            <w:pPr>
              <w:rPr>
                <w:rFonts w:ascii="Arial"/>
                <w:sz w:val="21"/>
              </w:rPr>
            </w:pPr>
          </w:p>
        </w:tc>
        <w:tc>
          <w:tcPr>
            <w:tcW w:w="230" w:type="dxa"/>
            <w:tcBorders>
              <w:left w:val="single" w:color="000000" w:sz="4" w:space="0"/>
              <w:right w:val="single" w:color="000000" w:sz="4" w:space="0"/>
            </w:tcBorders>
            <w:vAlign w:val="top"/>
          </w:tcPr>
          <w:p w14:paraId="4D9DDE45">
            <w:pPr>
              <w:rPr>
                <w:rFonts w:ascii="Arial"/>
                <w:sz w:val="21"/>
              </w:rPr>
            </w:pPr>
          </w:p>
        </w:tc>
        <w:tc>
          <w:tcPr>
            <w:tcW w:w="214" w:type="dxa"/>
            <w:tcBorders>
              <w:left w:val="single" w:color="000000" w:sz="4" w:space="0"/>
            </w:tcBorders>
            <w:vAlign w:val="top"/>
          </w:tcPr>
          <w:p w14:paraId="760D154B">
            <w:pPr>
              <w:rPr>
                <w:rFonts w:ascii="Arial"/>
                <w:sz w:val="21"/>
              </w:rPr>
            </w:pPr>
          </w:p>
        </w:tc>
      </w:tr>
      <w:tr w14:paraId="6BF29B8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4" w:hRule="atLeast"/>
        </w:trPr>
        <w:tc>
          <w:tcPr>
            <w:tcW w:w="903" w:type="dxa"/>
            <w:vMerge w:val="continue"/>
            <w:tcBorders>
              <w:top w:val="nil"/>
              <w:left w:val="single" w:color="000000" w:sz="4" w:space="0"/>
              <w:bottom w:val="nil"/>
              <w:right w:val="single" w:color="000000" w:sz="4" w:space="0"/>
            </w:tcBorders>
            <w:vAlign w:val="top"/>
          </w:tcPr>
          <w:p w14:paraId="3E3E6459">
            <w:pPr>
              <w:rPr>
                <w:rFonts w:ascii="Arial"/>
                <w:sz w:val="21"/>
              </w:rPr>
            </w:pPr>
          </w:p>
        </w:tc>
        <w:tc>
          <w:tcPr>
            <w:tcW w:w="2306" w:type="dxa"/>
            <w:vMerge w:val="continue"/>
            <w:tcBorders>
              <w:top w:val="nil"/>
              <w:left w:val="single" w:color="000000" w:sz="4" w:space="0"/>
              <w:bottom w:val="nil"/>
              <w:right w:val="single" w:color="000000" w:sz="4" w:space="0"/>
            </w:tcBorders>
            <w:vAlign w:val="top"/>
          </w:tcPr>
          <w:p w14:paraId="06D6710F">
            <w:pPr>
              <w:rPr>
                <w:rFonts w:ascii="Arial"/>
                <w:sz w:val="21"/>
              </w:rPr>
            </w:pPr>
          </w:p>
        </w:tc>
        <w:tc>
          <w:tcPr>
            <w:tcW w:w="239" w:type="dxa"/>
            <w:tcBorders>
              <w:left w:val="single" w:color="000000" w:sz="4" w:space="0"/>
              <w:right w:val="single" w:color="000000" w:sz="4" w:space="0"/>
            </w:tcBorders>
            <w:vAlign w:val="top"/>
          </w:tcPr>
          <w:p w14:paraId="2AAD015A">
            <w:pPr>
              <w:rPr>
                <w:rFonts w:ascii="Arial"/>
                <w:sz w:val="21"/>
              </w:rPr>
            </w:pPr>
          </w:p>
        </w:tc>
        <w:tc>
          <w:tcPr>
            <w:tcW w:w="210" w:type="dxa"/>
            <w:tcBorders>
              <w:left w:val="single" w:color="000000" w:sz="4" w:space="0"/>
              <w:right w:val="single" w:color="000000" w:sz="4" w:space="0"/>
            </w:tcBorders>
            <w:vAlign w:val="top"/>
          </w:tcPr>
          <w:p w14:paraId="1E0C343E">
            <w:pPr>
              <w:rPr>
                <w:rFonts w:ascii="Arial"/>
                <w:sz w:val="21"/>
              </w:rPr>
            </w:pPr>
          </w:p>
        </w:tc>
        <w:tc>
          <w:tcPr>
            <w:tcW w:w="230" w:type="dxa"/>
            <w:tcBorders>
              <w:left w:val="single" w:color="000000" w:sz="4" w:space="0"/>
              <w:right w:val="single" w:color="000000" w:sz="4" w:space="0"/>
            </w:tcBorders>
            <w:vAlign w:val="top"/>
          </w:tcPr>
          <w:p w14:paraId="09AB433F">
            <w:pPr>
              <w:rPr>
                <w:rFonts w:ascii="Arial"/>
                <w:sz w:val="21"/>
              </w:rPr>
            </w:pPr>
          </w:p>
        </w:tc>
        <w:tc>
          <w:tcPr>
            <w:tcW w:w="214" w:type="dxa"/>
            <w:tcBorders>
              <w:left w:val="single" w:color="000000" w:sz="4" w:space="0"/>
            </w:tcBorders>
            <w:vAlign w:val="top"/>
          </w:tcPr>
          <w:p w14:paraId="77B205ED">
            <w:pPr>
              <w:rPr>
                <w:rFonts w:ascii="Arial"/>
                <w:sz w:val="21"/>
              </w:rPr>
            </w:pPr>
          </w:p>
        </w:tc>
      </w:tr>
      <w:tr w14:paraId="1F08A5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5" w:hRule="atLeast"/>
        </w:trPr>
        <w:tc>
          <w:tcPr>
            <w:tcW w:w="903" w:type="dxa"/>
            <w:vMerge w:val="continue"/>
            <w:tcBorders>
              <w:top w:val="nil"/>
              <w:left w:val="single" w:color="000000" w:sz="4" w:space="0"/>
              <w:bottom w:val="nil"/>
              <w:right w:val="single" w:color="000000" w:sz="4" w:space="0"/>
            </w:tcBorders>
            <w:vAlign w:val="top"/>
          </w:tcPr>
          <w:p w14:paraId="19AA5E39">
            <w:pPr>
              <w:rPr>
                <w:rFonts w:ascii="Arial"/>
                <w:sz w:val="21"/>
              </w:rPr>
            </w:pPr>
          </w:p>
        </w:tc>
        <w:tc>
          <w:tcPr>
            <w:tcW w:w="2306" w:type="dxa"/>
            <w:vMerge w:val="continue"/>
            <w:tcBorders>
              <w:top w:val="nil"/>
              <w:left w:val="single" w:color="000000" w:sz="4" w:space="0"/>
              <w:bottom w:val="nil"/>
              <w:right w:val="single" w:color="000000" w:sz="4" w:space="0"/>
            </w:tcBorders>
            <w:vAlign w:val="top"/>
          </w:tcPr>
          <w:p w14:paraId="36CCE2C9">
            <w:pPr>
              <w:rPr>
                <w:rFonts w:ascii="Arial"/>
                <w:sz w:val="21"/>
              </w:rPr>
            </w:pPr>
          </w:p>
        </w:tc>
        <w:tc>
          <w:tcPr>
            <w:tcW w:w="239" w:type="dxa"/>
            <w:tcBorders>
              <w:left w:val="single" w:color="000000" w:sz="4" w:space="0"/>
              <w:right w:val="single" w:color="000000" w:sz="4" w:space="0"/>
            </w:tcBorders>
            <w:vAlign w:val="top"/>
          </w:tcPr>
          <w:p w14:paraId="7C869556">
            <w:pPr>
              <w:rPr>
                <w:rFonts w:ascii="Arial"/>
                <w:sz w:val="21"/>
              </w:rPr>
            </w:pPr>
          </w:p>
        </w:tc>
        <w:tc>
          <w:tcPr>
            <w:tcW w:w="210" w:type="dxa"/>
            <w:tcBorders>
              <w:left w:val="single" w:color="000000" w:sz="4" w:space="0"/>
              <w:right w:val="single" w:color="000000" w:sz="4" w:space="0"/>
            </w:tcBorders>
            <w:vAlign w:val="top"/>
          </w:tcPr>
          <w:p w14:paraId="492566C1">
            <w:pPr>
              <w:rPr>
                <w:rFonts w:ascii="Arial"/>
                <w:sz w:val="21"/>
              </w:rPr>
            </w:pPr>
          </w:p>
        </w:tc>
        <w:tc>
          <w:tcPr>
            <w:tcW w:w="230" w:type="dxa"/>
            <w:tcBorders>
              <w:left w:val="single" w:color="000000" w:sz="4" w:space="0"/>
              <w:right w:val="single" w:color="000000" w:sz="4" w:space="0"/>
            </w:tcBorders>
            <w:vAlign w:val="top"/>
          </w:tcPr>
          <w:p w14:paraId="7F82D5E1">
            <w:pPr>
              <w:rPr>
                <w:rFonts w:ascii="Arial"/>
                <w:sz w:val="21"/>
              </w:rPr>
            </w:pPr>
          </w:p>
        </w:tc>
        <w:tc>
          <w:tcPr>
            <w:tcW w:w="214" w:type="dxa"/>
            <w:tcBorders>
              <w:left w:val="single" w:color="000000" w:sz="4" w:space="0"/>
            </w:tcBorders>
            <w:vAlign w:val="top"/>
          </w:tcPr>
          <w:p w14:paraId="78362CFE">
            <w:pPr>
              <w:rPr>
                <w:rFonts w:ascii="Arial"/>
                <w:sz w:val="21"/>
              </w:rPr>
            </w:pPr>
          </w:p>
        </w:tc>
      </w:tr>
      <w:tr w14:paraId="1424318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5" w:hRule="atLeast"/>
        </w:trPr>
        <w:tc>
          <w:tcPr>
            <w:tcW w:w="903" w:type="dxa"/>
            <w:vMerge w:val="continue"/>
            <w:tcBorders>
              <w:top w:val="nil"/>
              <w:left w:val="single" w:color="000000" w:sz="4" w:space="0"/>
              <w:bottom w:val="nil"/>
              <w:right w:val="single" w:color="000000" w:sz="4" w:space="0"/>
            </w:tcBorders>
            <w:vAlign w:val="top"/>
          </w:tcPr>
          <w:p w14:paraId="583D7071">
            <w:pPr>
              <w:rPr>
                <w:rFonts w:ascii="Arial"/>
                <w:sz w:val="21"/>
              </w:rPr>
            </w:pPr>
          </w:p>
        </w:tc>
        <w:tc>
          <w:tcPr>
            <w:tcW w:w="2306" w:type="dxa"/>
            <w:vMerge w:val="continue"/>
            <w:tcBorders>
              <w:top w:val="nil"/>
              <w:left w:val="single" w:color="000000" w:sz="4" w:space="0"/>
              <w:bottom w:val="nil"/>
              <w:right w:val="single" w:color="000000" w:sz="4" w:space="0"/>
            </w:tcBorders>
            <w:vAlign w:val="top"/>
          </w:tcPr>
          <w:p w14:paraId="655880D3">
            <w:pPr>
              <w:rPr>
                <w:rFonts w:ascii="Arial"/>
                <w:sz w:val="21"/>
              </w:rPr>
            </w:pPr>
          </w:p>
        </w:tc>
        <w:tc>
          <w:tcPr>
            <w:tcW w:w="239" w:type="dxa"/>
            <w:tcBorders>
              <w:left w:val="single" w:color="000000" w:sz="4" w:space="0"/>
              <w:right w:val="single" w:color="000000" w:sz="4" w:space="0"/>
            </w:tcBorders>
            <w:vAlign w:val="top"/>
          </w:tcPr>
          <w:p w14:paraId="63812E80">
            <w:pPr>
              <w:rPr>
                <w:rFonts w:ascii="Arial"/>
                <w:sz w:val="21"/>
              </w:rPr>
            </w:pPr>
          </w:p>
        </w:tc>
        <w:tc>
          <w:tcPr>
            <w:tcW w:w="210" w:type="dxa"/>
            <w:tcBorders>
              <w:left w:val="single" w:color="000000" w:sz="4" w:space="0"/>
              <w:right w:val="single" w:color="000000" w:sz="4" w:space="0"/>
            </w:tcBorders>
            <w:vAlign w:val="top"/>
          </w:tcPr>
          <w:p w14:paraId="1530CC36">
            <w:pPr>
              <w:rPr>
                <w:rFonts w:ascii="Arial"/>
                <w:sz w:val="21"/>
              </w:rPr>
            </w:pPr>
          </w:p>
        </w:tc>
        <w:tc>
          <w:tcPr>
            <w:tcW w:w="230" w:type="dxa"/>
            <w:tcBorders>
              <w:left w:val="single" w:color="000000" w:sz="4" w:space="0"/>
              <w:right w:val="single" w:color="000000" w:sz="4" w:space="0"/>
            </w:tcBorders>
            <w:vAlign w:val="top"/>
          </w:tcPr>
          <w:p w14:paraId="7DBCCBDD">
            <w:pPr>
              <w:rPr>
                <w:rFonts w:ascii="Arial"/>
                <w:sz w:val="21"/>
              </w:rPr>
            </w:pPr>
          </w:p>
        </w:tc>
        <w:tc>
          <w:tcPr>
            <w:tcW w:w="214" w:type="dxa"/>
            <w:tcBorders>
              <w:left w:val="single" w:color="000000" w:sz="4" w:space="0"/>
            </w:tcBorders>
            <w:vAlign w:val="top"/>
          </w:tcPr>
          <w:p w14:paraId="07BD6F24">
            <w:pPr>
              <w:rPr>
                <w:rFonts w:ascii="Arial"/>
                <w:sz w:val="21"/>
              </w:rPr>
            </w:pPr>
          </w:p>
        </w:tc>
      </w:tr>
      <w:tr w14:paraId="456343F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4" w:hRule="atLeast"/>
        </w:trPr>
        <w:tc>
          <w:tcPr>
            <w:tcW w:w="903" w:type="dxa"/>
            <w:vMerge w:val="continue"/>
            <w:tcBorders>
              <w:top w:val="nil"/>
              <w:left w:val="single" w:color="000000" w:sz="4" w:space="0"/>
              <w:bottom w:val="nil"/>
              <w:right w:val="single" w:color="000000" w:sz="4" w:space="0"/>
            </w:tcBorders>
            <w:vAlign w:val="top"/>
          </w:tcPr>
          <w:p w14:paraId="247DB45E">
            <w:pPr>
              <w:rPr>
                <w:rFonts w:ascii="Arial"/>
                <w:sz w:val="21"/>
              </w:rPr>
            </w:pPr>
          </w:p>
        </w:tc>
        <w:tc>
          <w:tcPr>
            <w:tcW w:w="2306" w:type="dxa"/>
            <w:vMerge w:val="continue"/>
            <w:tcBorders>
              <w:top w:val="nil"/>
              <w:left w:val="single" w:color="000000" w:sz="4" w:space="0"/>
              <w:bottom w:val="nil"/>
              <w:right w:val="single" w:color="000000" w:sz="4" w:space="0"/>
            </w:tcBorders>
            <w:vAlign w:val="top"/>
          </w:tcPr>
          <w:p w14:paraId="4CDDF7FC">
            <w:pPr>
              <w:rPr>
                <w:rFonts w:ascii="Arial"/>
                <w:sz w:val="21"/>
              </w:rPr>
            </w:pPr>
          </w:p>
        </w:tc>
        <w:tc>
          <w:tcPr>
            <w:tcW w:w="239" w:type="dxa"/>
            <w:tcBorders>
              <w:left w:val="single" w:color="000000" w:sz="4" w:space="0"/>
              <w:right w:val="single" w:color="000000" w:sz="4" w:space="0"/>
            </w:tcBorders>
            <w:vAlign w:val="top"/>
          </w:tcPr>
          <w:p w14:paraId="43A2B87E">
            <w:pPr>
              <w:rPr>
                <w:rFonts w:ascii="Arial"/>
                <w:sz w:val="21"/>
              </w:rPr>
            </w:pPr>
          </w:p>
        </w:tc>
        <w:tc>
          <w:tcPr>
            <w:tcW w:w="210" w:type="dxa"/>
            <w:tcBorders>
              <w:left w:val="single" w:color="000000" w:sz="4" w:space="0"/>
              <w:right w:val="single" w:color="000000" w:sz="4" w:space="0"/>
            </w:tcBorders>
            <w:vAlign w:val="top"/>
          </w:tcPr>
          <w:p w14:paraId="10D048A0">
            <w:pPr>
              <w:rPr>
                <w:rFonts w:ascii="Arial"/>
                <w:sz w:val="21"/>
              </w:rPr>
            </w:pPr>
          </w:p>
        </w:tc>
        <w:tc>
          <w:tcPr>
            <w:tcW w:w="230" w:type="dxa"/>
            <w:tcBorders>
              <w:left w:val="single" w:color="000000" w:sz="4" w:space="0"/>
              <w:right w:val="single" w:color="000000" w:sz="4" w:space="0"/>
            </w:tcBorders>
            <w:vAlign w:val="top"/>
          </w:tcPr>
          <w:p w14:paraId="661C7126">
            <w:pPr>
              <w:rPr>
                <w:rFonts w:ascii="Arial"/>
                <w:sz w:val="21"/>
              </w:rPr>
            </w:pPr>
          </w:p>
        </w:tc>
        <w:tc>
          <w:tcPr>
            <w:tcW w:w="214" w:type="dxa"/>
            <w:tcBorders>
              <w:left w:val="single" w:color="000000" w:sz="4" w:space="0"/>
            </w:tcBorders>
            <w:vAlign w:val="top"/>
          </w:tcPr>
          <w:p w14:paraId="47AE0F8F">
            <w:pPr>
              <w:rPr>
                <w:rFonts w:ascii="Arial"/>
                <w:sz w:val="21"/>
              </w:rPr>
            </w:pPr>
          </w:p>
        </w:tc>
      </w:tr>
      <w:tr w14:paraId="53FC335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4" w:hRule="atLeast"/>
        </w:trPr>
        <w:tc>
          <w:tcPr>
            <w:tcW w:w="903" w:type="dxa"/>
            <w:vMerge w:val="continue"/>
            <w:tcBorders>
              <w:top w:val="nil"/>
              <w:left w:val="single" w:color="000000" w:sz="4" w:space="0"/>
              <w:bottom w:val="nil"/>
              <w:right w:val="single" w:color="000000" w:sz="4" w:space="0"/>
            </w:tcBorders>
            <w:vAlign w:val="top"/>
          </w:tcPr>
          <w:p w14:paraId="6D9DE4D7">
            <w:pPr>
              <w:rPr>
                <w:rFonts w:ascii="Arial"/>
                <w:sz w:val="21"/>
              </w:rPr>
            </w:pPr>
          </w:p>
        </w:tc>
        <w:tc>
          <w:tcPr>
            <w:tcW w:w="2306" w:type="dxa"/>
            <w:vMerge w:val="continue"/>
            <w:tcBorders>
              <w:top w:val="nil"/>
              <w:left w:val="single" w:color="000000" w:sz="4" w:space="0"/>
              <w:bottom w:val="nil"/>
              <w:right w:val="single" w:color="000000" w:sz="4" w:space="0"/>
            </w:tcBorders>
            <w:vAlign w:val="top"/>
          </w:tcPr>
          <w:p w14:paraId="023D7349">
            <w:pPr>
              <w:rPr>
                <w:rFonts w:ascii="Arial"/>
                <w:sz w:val="21"/>
              </w:rPr>
            </w:pPr>
          </w:p>
        </w:tc>
        <w:tc>
          <w:tcPr>
            <w:tcW w:w="239" w:type="dxa"/>
            <w:tcBorders>
              <w:left w:val="single" w:color="000000" w:sz="4" w:space="0"/>
              <w:right w:val="single" w:color="000000" w:sz="4" w:space="0"/>
            </w:tcBorders>
            <w:vAlign w:val="top"/>
          </w:tcPr>
          <w:p w14:paraId="10ED11E3">
            <w:pPr>
              <w:rPr>
                <w:rFonts w:ascii="Arial"/>
                <w:sz w:val="21"/>
              </w:rPr>
            </w:pPr>
          </w:p>
        </w:tc>
        <w:tc>
          <w:tcPr>
            <w:tcW w:w="210" w:type="dxa"/>
            <w:tcBorders>
              <w:left w:val="single" w:color="000000" w:sz="4" w:space="0"/>
              <w:right w:val="single" w:color="000000" w:sz="4" w:space="0"/>
            </w:tcBorders>
            <w:vAlign w:val="top"/>
          </w:tcPr>
          <w:p w14:paraId="67E1F8D1">
            <w:pPr>
              <w:rPr>
                <w:rFonts w:ascii="Arial"/>
                <w:sz w:val="21"/>
              </w:rPr>
            </w:pPr>
          </w:p>
        </w:tc>
        <w:tc>
          <w:tcPr>
            <w:tcW w:w="230" w:type="dxa"/>
            <w:tcBorders>
              <w:left w:val="single" w:color="000000" w:sz="4" w:space="0"/>
              <w:right w:val="single" w:color="000000" w:sz="4" w:space="0"/>
            </w:tcBorders>
            <w:vAlign w:val="top"/>
          </w:tcPr>
          <w:p w14:paraId="5FF0BD53">
            <w:pPr>
              <w:rPr>
                <w:rFonts w:ascii="Arial"/>
                <w:sz w:val="21"/>
              </w:rPr>
            </w:pPr>
          </w:p>
        </w:tc>
        <w:tc>
          <w:tcPr>
            <w:tcW w:w="214" w:type="dxa"/>
            <w:tcBorders>
              <w:left w:val="single" w:color="000000" w:sz="4" w:space="0"/>
            </w:tcBorders>
            <w:vAlign w:val="top"/>
          </w:tcPr>
          <w:p w14:paraId="5471BF71">
            <w:pPr>
              <w:rPr>
                <w:rFonts w:ascii="Arial"/>
                <w:sz w:val="21"/>
              </w:rPr>
            </w:pPr>
          </w:p>
        </w:tc>
      </w:tr>
      <w:tr w14:paraId="36A1242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5" w:hRule="atLeast"/>
        </w:trPr>
        <w:tc>
          <w:tcPr>
            <w:tcW w:w="903" w:type="dxa"/>
            <w:vMerge w:val="continue"/>
            <w:tcBorders>
              <w:top w:val="nil"/>
              <w:left w:val="single" w:color="000000" w:sz="4" w:space="0"/>
              <w:bottom w:val="nil"/>
              <w:right w:val="single" w:color="000000" w:sz="4" w:space="0"/>
            </w:tcBorders>
            <w:vAlign w:val="top"/>
          </w:tcPr>
          <w:p w14:paraId="66951604">
            <w:pPr>
              <w:rPr>
                <w:rFonts w:ascii="Arial"/>
                <w:sz w:val="21"/>
              </w:rPr>
            </w:pPr>
          </w:p>
        </w:tc>
        <w:tc>
          <w:tcPr>
            <w:tcW w:w="2306" w:type="dxa"/>
            <w:vMerge w:val="continue"/>
            <w:tcBorders>
              <w:top w:val="nil"/>
              <w:left w:val="single" w:color="000000" w:sz="4" w:space="0"/>
              <w:bottom w:val="nil"/>
              <w:right w:val="single" w:color="000000" w:sz="4" w:space="0"/>
            </w:tcBorders>
            <w:vAlign w:val="top"/>
          </w:tcPr>
          <w:p w14:paraId="2E689B97">
            <w:pPr>
              <w:rPr>
                <w:rFonts w:ascii="Arial"/>
                <w:sz w:val="21"/>
              </w:rPr>
            </w:pPr>
          </w:p>
        </w:tc>
        <w:tc>
          <w:tcPr>
            <w:tcW w:w="239" w:type="dxa"/>
            <w:tcBorders>
              <w:left w:val="single" w:color="000000" w:sz="4" w:space="0"/>
              <w:right w:val="single" w:color="000000" w:sz="4" w:space="0"/>
            </w:tcBorders>
            <w:vAlign w:val="top"/>
          </w:tcPr>
          <w:p w14:paraId="55267042">
            <w:pPr>
              <w:rPr>
                <w:rFonts w:ascii="Arial"/>
                <w:sz w:val="21"/>
              </w:rPr>
            </w:pPr>
          </w:p>
        </w:tc>
        <w:tc>
          <w:tcPr>
            <w:tcW w:w="210" w:type="dxa"/>
            <w:tcBorders>
              <w:left w:val="single" w:color="000000" w:sz="4" w:space="0"/>
              <w:right w:val="single" w:color="000000" w:sz="4" w:space="0"/>
            </w:tcBorders>
            <w:vAlign w:val="top"/>
          </w:tcPr>
          <w:p w14:paraId="4A560CDA">
            <w:pPr>
              <w:spacing w:before="185" w:line="115" w:lineRule="exact"/>
              <w:ind w:firstLine="37"/>
            </w:pPr>
            <w:r>
              <w:rPr>
                <w:position w:val="-2"/>
              </w:rPr>
              <w:drawing>
                <wp:inline distT="0" distB="0" distL="0" distR="0">
                  <wp:extent cx="80010" cy="73025"/>
                  <wp:effectExtent l="0" t="0" r="0" b="0"/>
                  <wp:docPr id="352" name="IM 352"/>
                  <wp:cNvGraphicFramePr/>
                  <a:graphic xmlns:a="http://schemas.openxmlformats.org/drawingml/2006/main">
                    <a:graphicData uri="http://schemas.openxmlformats.org/drawingml/2006/picture">
                      <pic:pic xmlns:pic="http://schemas.openxmlformats.org/drawingml/2006/picture">
                        <pic:nvPicPr>
                          <pic:cNvPr id="352" name="IM 352"/>
                          <pic:cNvPicPr/>
                        </pic:nvPicPr>
                        <pic:blipFill>
                          <a:blip r:embed="rId340"/>
                          <a:stretch>
                            <a:fillRect/>
                          </a:stretch>
                        </pic:blipFill>
                        <pic:spPr>
                          <a:xfrm>
                            <a:off x="0" y="0"/>
                            <a:ext cx="80581" cy="73648"/>
                          </a:xfrm>
                          <a:prstGeom prst="rect">
                            <a:avLst/>
                          </a:prstGeom>
                        </pic:spPr>
                      </pic:pic>
                    </a:graphicData>
                  </a:graphic>
                </wp:inline>
              </w:drawing>
            </w:r>
          </w:p>
        </w:tc>
        <w:tc>
          <w:tcPr>
            <w:tcW w:w="230" w:type="dxa"/>
            <w:tcBorders>
              <w:left w:val="single" w:color="000000" w:sz="4" w:space="0"/>
              <w:right w:val="single" w:color="000000" w:sz="4" w:space="0"/>
            </w:tcBorders>
            <w:vAlign w:val="top"/>
          </w:tcPr>
          <w:p w14:paraId="1CE730F2">
            <w:pPr>
              <w:rPr>
                <w:rFonts w:ascii="Arial"/>
                <w:sz w:val="21"/>
              </w:rPr>
            </w:pPr>
          </w:p>
        </w:tc>
        <w:tc>
          <w:tcPr>
            <w:tcW w:w="214" w:type="dxa"/>
            <w:tcBorders>
              <w:left w:val="single" w:color="000000" w:sz="4" w:space="0"/>
            </w:tcBorders>
            <w:vAlign w:val="top"/>
          </w:tcPr>
          <w:p w14:paraId="6D18E019">
            <w:pPr>
              <w:rPr>
                <w:rFonts w:ascii="Arial"/>
                <w:sz w:val="21"/>
              </w:rPr>
            </w:pPr>
          </w:p>
        </w:tc>
      </w:tr>
      <w:tr w14:paraId="3099619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5" w:hRule="atLeast"/>
        </w:trPr>
        <w:tc>
          <w:tcPr>
            <w:tcW w:w="903" w:type="dxa"/>
            <w:vMerge w:val="continue"/>
            <w:tcBorders>
              <w:top w:val="nil"/>
              <w:left w:val="single" w:color="000000" w:sz="4" w:space="0"/>
              <w:bottom w:val="nil"/>
              <w:right w:val="single" w:color="000000" w:sz="4" w:space="0"/>
            </w:tcBorders>
            <w:vAlign w:val="top"/>
          </w:tcPr>
          <w:p w14:paraId="11714B8B">
            <w:pPr>
              <w:rPr>
                <w:rFonts w:ascii="Arial"/>
                <w:sz w:val="21"/>
              </w:rPr>
            </w:pPr>
          </w:p>
        </w:tc>
        <w:tc>
          <w:tcPr>
            <w:tcW w:w="2306" w:type="dxa"/>
            <w:vMerge w:val="continue"/>
            <w:tcBorders>
              <w:top w:val="nil"/>
              <w:left w:val="single" w:color="000000" w:sz="4" w:space="0"/>
              <w:bottom w:val="nil"/>
              <w:right w:val="single" w:color="000000" w:sz="4" w:space="0"/>
            </w:tcBorders>
            <w:vAlign w:val="top"/>
          </w:tcPr>
          <w:p w14:paraId="03A19E19">
            <w:pPr>
              <w:rPr>
                <w:rFonts w:ascii="Arial"/>
                <w:sz w:val="21"/>
              </w:rPr>
            </w:pPr>
          </w:p>
        </w:tc>
        <w:tc>
          <w:tcPr>
            <w:tcW w:w="239" w:type="dxa"/>
            <w:tcBorders>
              <w:left w:val="single" w:color="000000" w:sz="4" w:space="0"/>
              <w:right w:val="single" w:color="000000" w:sz="4" w:space="0"/>
            </w:tcBorders>
            <w:vAlign w:val="top"/>
          </w:tcPr>
          <w:p w14:paraId="40626591">
            <w:pPr>
              <w:rPr>
                <w:rFonts w:ascii="Arial"/>
                <w:sz w:val="21"/>
              </w:rPr>
            </w:pPr>
          </w:p>
        </w:tc>
        <w:tc>
          <w:tcPr>
            <w:tcW w:w="210" w:type="dxa"/>
            <w:tcBorders>
              <w:left w:val="single" w:color="000000" w:sz="4" w:space="0"/>
              <w:right w:val="single" w:color="000000" w:sz="4" w:space="0"/>
            </w:tcBorders>
            <w:vAlign w:val="top"/>
          </w:tcPr>
          <w:p w14:paraId="79345AF2">
            <w:pPr>
              <w:rPr>
                <w:rFonts w:ascii="Arial"/>
                <w:sz w:val="21"/>
              </w:rPr>
            </w:pPr>
          </w:p>
        </w:tc>
        <w:tc>
          <w:tcPr>
            <w:tcW w:w="230" w:type="dxa"/>
            <w:tcBorders>
              <w:left w:val="single" w:color="000000" w:sz="4" w:space="0"/>
              <w:right w:val="single" w:color="000000" w:sz="4" w:space="0"/>
            </w:tcBorders>
            <w:vAlign w:val="top"/>
          </w:tcPr>
          <w:p w14:paraId="12635D6B">
            <w:pPr>
              <w:rPr>
                <w:rFonts w:ascii="Arial"/>
                <w:sz w:val="21"/>
              </w:rPr>
            </w:pPr>
          </w:p>
        </w:tc>
        <w:tc>
          <w:tcPr>
            <w:tcW w:w="214" w:type="dxa"/>
            <w:tcBorders>
              <w:left w:val="single" w:color="000000" w:sz="4" w:space="0"/>
            </w:tcBorders>
            <w:vAlign w:val="top"/>
          </w:tcPr>
          <w:p w14:paraId="783A6BF4">
            <w:pPr>
              <w:rPr>
                <w:rFonts w:ascii="Arial"/>
                <w:sz w:val="21"/>
              </w:rPr>
            </w:pPr>
          </w:p>
        </w:tc>
      </w:tr>
      <w:tr w14:paraId="56BB229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5" w:hRule="atLeast"/>
        </w:trPr>
        <w:tc>
          <w:tcPr>
            <w:tcW w:w="903" w:type="dxa"/>
            <w:vMerge w:val="continue"/>
            <w:tcBorders>
              <w:top w:val="nil"/>
              <w:left w:val="single" w:color="000000" w:sz="4" w:space="0"/>
              <w:bottom w:val="nil"/>
              <w:right w:val="single" w:color="000000" w:sz="4" w:space="0"/>
            </w:tcBorders>
            <w:vAlign w:val="top"/>
          </w:tcPr>
          <w:p w14:paraId="3351984E">
            <w:pPr>
              <w:rPr>
                <w:rFonts w:ascii="Arial"/>
                <w:sz w:val="21"/>
              </w:rPr>
            </w:pPr>
          </w:p>
        </w:tc>
        <w:tc>
          <w:tcPr>
            <w:tcW w:w="2306" w:type="dxa"/>
            <w:vMerge w:val="continue"/>
            <w:tcBorders>
              <w:top w:val="nil"/>
              <w:left w:val="single" w:color="000000" w:sz="4" w:space="0"/>
              <w:bottom w:val="nil"/>
              <w:right w:val="single" w:color="000000" w:sz="4" w:space="0"/>
            </w:tcBorders>
            <w:vAlign w:val="top"/>
          </w:tcPr>
          <w:p w14:paraId="653367E3">
            <w:pPr>
              <w:rPr>
                <w:rFonts w:ascii="Arial"/>
                <w:sz w:val="21"/>
              </w:rPr>
            </w:pPr>
          </w:p>
        </w:tc>
        <w:tc>
          <w:tcPr>
            <w:tcW w:w="239" w:type="dxa"/>
            <w:tcBorders>
              <w:left w:val="single" w:color="000000" w:sz="4" w:space="0"/>
              <w:right w:val="single" w:color="000000" w:sz="4" w:space="0"/>
            </w:tcBorders>
            <w:vAlign w:val="top"/>
          </w:tcPr>
          <w:p w14:paraId="494E4CF0">
            <w:pPr>
              <w:rPr>
                <w:rFonts w:ascii="Arial"/>
                <w:sz w:val="21"/>
              </w:rPr>
            </w:pPr>
          </w:p>
        </w:tc>
        <w:tc>
          <w:tcPr>
            <w:tcW w:w="210" w:type="dxa"/>
            <w:tcBorders>
              <w:left w:val="single" w:color="000000" w:sz="4" w:space="0"/>
              <w:right w:val="single" w:color="000000" w:sz="4" w:space="0"/>
            </w:tcBorders>
            <w:vAlign w:val="top"/>
          </w:tcPr>
          <w:p w14:paraId="66095AB6">
            <w:pPr>
              <w:spacing w:before="114" w:line="116" w:lineRule="exact"/>
              <w:ind w:firstLine="31"/>
            </w:pPr>
            <w:r>
              <w:rPr>
                <w:position w:val="-2"/>
              </w:rPr>
              <w:drawing>
                <wp:inline distT="0" distB="0" distL="0" distR="0">
                  <wp:extent cx="82550" cy="73025"/>
                  <wp:effectExtent l="0" t="0" r="0" b="0"/>
                  <wp:docPr id="354" name="IM 354"/>
                  <wp:cNvGraphicFramePr/>
                  <a:graphic xmlns:a="http://schemas.openxmlformats.org/drawingml/2006/main">
                    <a:graphicData uri="http://schemas.openxmlformats.org/drawingml/2006/picture">
                      <pic:pic xmlns:pic="http://schemas.openxmlformats.org/drawingml/2006/picture">
                        <pic:nvPicPr>
                          <pic:cNvPr id="354" name="IM 354"/>
                          <pic:cNvPicPr/>
                        </pic:nvPicPr>
                        <pic:blipFill>
                          <a:blip r:embed="rId341"/>
                          <a:stretch>
                            <a:fillRect/>
                          </a:stretch>
                        </pic:blipFill>
                        <pic:spPr>
                          <a:xfrm>
                            <a:off x="0" y="0"/>
                            <a:ext cx="82984" cy="73648"/>
                          </a:xfrm>
                          <a:prstGeom prst="rect">
                            <a:avLst/>
                          </a:prstGeom>
                        </pic:spPr>
                      </pic:pic>
                    </a:graphicData>
                  </a:graphic>
                </wp:inline>
              </w:drawing>
            </w:r>
          </w:p>
        </w:tc>
        <w:tc>
          <w:tcPr>
            <w:tcW w:w="230" w:type="dxa"/>
            <w:tcBorders>
              <w:left w:val="single" w:color="000000" w:sz="4" w:space="0"/>
              <w:right w:val="single" w:color="000000" w:sz="4" w:space="0"/>
            </w:tcBorders>
            <w:vAlign w:val="top"/>
          </w:tcPr>
          <w:p w14:paraId="005BB07A">
            <w:pPr>
              <w:rPr>
                <w:rFonts w:ascii="Arial"/>
                <w:sz w:val="21"/>
              </w:rPr>
            </w:pPr>
          </w:p>
        </w:tc>
        <w:tc>
          <w:tcPr>
            <w:tcW w:w="214" w:type="dxa"/>
            <w:tcBorders>
              <w:left w:val="single" w:color="000000" w:sz="4" w:space="0"/>
            </w:tcBorders>
            <w:vAlign w:val="top"/>
          </w:tcPr>
          <w:p w14:paraId="3025D21A">
            <w:pPr>
              <w:rPr>
                <w:rFonts w:ascii="Arial"/>
                <w:sz w:val="21"/>
              </w:rPr>
            </w:pPr>
          </w:p>
        </w:tc>
      </w:tr>
      <w:tr w14:paraId="453E427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95" w:hRule="atLeast"/>
        </w:trPr>
        <w:tc>
          <w:tcPr>
            <w:tcW w:w="903" w:type="dxa"/>
            <w:vMerge w:val="continue"/>
            <w:tcBorders>
              <w:top w:val="nil"/>
              <w:left w:val="single" w:color="000000" w:sz="4" w:space="0"/>
              <w:bottom w:val="nil"/>
              <w:right w:val="single" w:color="000000" w:sz="4" w:space="0"/>
            </w:tcBorders>
            <w:vAlign w:val="top"/>
          </w:tcPr>
          <w:p w14:paraId="13BB61AF">
            <w:pPr>
              <w:rPr>
                <w:rFonts w:ascii="Arial"/>
                <w:sz w:val="21"/>
              </w:rPr>
            </w:pPr>
          </w:p>
        </w:tc>
        <w:tc>
          <w:tcPr>
            <w:tcW w:w="2306" w:type="dxa"/>
            <w:vMerge w:val="continue"/>
            <w:tcBorders>
              <w:top w:val="nil"/>
              <w:left w:val="single" w:color="000000" w:sz="4" w:space="0"/>
              <w:bottom w:val="nil"/>
              <w:right w:val="single" w:color="000000" w:sz="4" w:space="0"/>
            </w:tcBorders>
            <w:vAlign w:val="top"/>
          </w:tcPr>
          <w:p w14:paraId="27C70848">
            <w:pPr>
              <w:rPr>
                <w:rFonts w:ascii="Arial"/>
                <w:sz w:val="21"/>
              </w:rPr>
            </w:pPr>
          </w:p>
        </w:tc>
        <w:tc>
          <w:tcPr>
            <w:tcW w:w="239" w:type="dxa"/>
            <w:tcBorders>
              <w:left w:val="single" w:color="000000" w:sz="4" w:space="0"/>
              <w:right w:val="single" w:color="000000" w:sz="4" w:space="0"/>
            </w:tcBorders>
            <w:vAlign w:val="top"/>
          </w:tcPr>
          <w:p w14:paraId="2049F2BE">
            <w:pPr>
              <w:rPr>
                <w:rFonts w:ascii="Arial"/>
                <w:sz w:val="21"/>
              </w:rPr>
            </w:pPr>
          </w:p>
        </w:tc>
        <w:tc>
          <w:tcPr>
            <w:tcW w:w="210" w:type="dxa"/>
            <w:tcBorders>
              <w:left w:val="single" w:color="000000" w:sz="4" w:space="0"/>
              <w:right w:val="single" w:color="000000" w:sz="4" w:space="0"/>
            </w:tcBorders>
            <w:vAlign w:val="top"/>
          </w:tcPr>
          <w:p w14:paraId="7AFF6EBC">
            <w:pPr>
              <w:rPr>
                <w:rFonts w:ascii="Arial"/>
                <w:sz w:val="21"/>
              </w:rPr>
            </w:pPr>
          </w:p>
        </w:tc>
        <w:tc>
          <w:tcPr>
            <w:tcW w:w="230" w:type="dxa"/>
            <w:tcBorders>
              <w:left w:val="single" w:color="000000" w:sz="4" w:space="0"/>
              <w:right w:val="single" w:color="000000" w:sz="4" w:space="0"/>
            </w:tcBorders>
            <w:vAlign w:val="top"/>
          </w:tcPr>
          <w:p w14:paraId="1904D320">
            <w:pPr>
              <w:rPr>
                <w:rFonts w:ascii="Arial"/>
                <w:sz w:val="21"/>
              </w:rPr>
            </w:pPr>
          </w:p>
        </w:tc>
        <w:tc>
          <w:tcPr>
            <w:tcW w:w="214" w:type="dxa"/>
            <w:tcBorders>
              <w:left w:val="single" w:color="000000" w:sz="4" w:space="0"/>
            </w:tcBorders>
            <w:vAlign w:val="top"/>
          </w:tcPr>
          <w:p w14:paraId="12035E59">
            <w:pPr>
              <w:rPr>
                <w:rFonts w:ascii="Arial"/>
                <w:sz w:val="21"/>
              </w:rPr>
            </w:pPr>
          </w:p>
        </w:tc>
      </w:tr>
      <w:tr w14:paraId="4C2F38F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5" w:hRule="atLeast"/>
        </w:trPr>
        <w:tc>
          <w:tcPr>
            <w:tcW w:w="903" w:type="dxa"/>
            <w:vMerge w:val="continue"/>
            <w:tcBorders>
              <w:top w:val="nil"/>
              <w:left w:val="single" w:color="000000" w:sz="4" w:space="0"/>
              <w:bottom w:val="nil"/>
              <w:right w:val="single" w:color="000000" w:sz="4" w:space="0"/>
            </w:tcBorders>
            <w:vAlign w:val="top"/>
          </w:tcPr>
          <w:p w14:paraId="03F9DEFD">
            <w:pPr>
              <w:rPr>
                <w:rFonts w:ascii="Arial"/>
                <w:sz w:val="21"/>
              </w:rPr>
            </w:pPr>
          </w:p>
        </w:tc>
        <w:tc>
          <w:tcPr>
            <w:tcW w:w="2306" w:type="dxa"/>
            <w:vMerge w:val="continue"/>
            <w:tcBorders>
              <w:top w:val="nil"/>
              <w:left w:val="single" w:color="000000" w:sz="4" w:space="0"/>
              <w:bottom w:val="nil"/>
              <w:right w:val="single" w:color="000000" w:sz="4" w:space="0"/>
            </w:tcBorders>
            <w:vAlign w:val="top"/>
          </w:tcPr>
          <w:p w14:paraId="6F83BD7C">
            <w:pPr>
              <w:rPr>
                <w:rFonts w:ascii="Arial"/>
                <w:sz w:val="21"/>
              </w:rPr>
            </w:pPr>
          </w:p>
        </w:tc>
        <w:tc>
          <w:tcPr>
            <w:tcW w:w="239" w:type="dxa"/>
            <w:tcBorders>
              <w:left w:val="single" w:color="000000" w:sz="4" w:space="0"/>
              <w:right w:val="single" w:color="000000" w:sz="4" w:space="0"/>
            </w:tcBorders>
            <w:vAlign w:val="top"/>
          </w:tcPr>
          <w:p w14:paraId="482B1476">
            <w:pPr>
              <w:rPr>
                <w:rFonts w:ascii="Arial"/>
                <w:sz w:val="21"/>
              </w:rPr>
            </w:pPr>
          </w:p>
        </w:tc>
        <w:tc>
          <w:tcPr>
            <w:tcW w:w="210" w:type="dxa"/>
            <w:tcBorders>
              <w:left w:val="single" w:color="000000" w:sz="4" w:space="0"/>
              <w:right w:val="single" w:color="000000" w:sz="4" w:space="0"/>
            </w:tcBorders>
            <w:vAlign w:val="top"/>
          </w:tcPr>
          <w:p w14:paraId="1E5E5F1E">
            <w:pPr>
              <w:rPr>
                <w:rFonts w:ascii="Arial"/>
                <w:sz w:val="21"/>
              </w:rPr>
            </w:pPr>
          </w:p>
        </w:tc>
        <w:tc>
          <w:tcPr>
            <w:tcW w:w="230" w:type="dxa"/>
            <w:tcBorders>
              <w:left w:val="single" w:color="000000" w:sz="4" w:space="0"/>
              <w:right w:val="single" w:color="000000" w:sz="4" w:space="0"/>
            </w:tcBorders>
            <w:vAlign w:val="top"/>
          </w:tcPr>
          <w:p w14:paraId="6037DA8B">
            <w:pPr>
              <w:spacing w:before="110" w:line="112" w:lineRule="exact"/>
              <w:ind w:firstLine="58"/>
            </w:pPr>
            <w:r>
              <w:rPr>
                <w:position w:val="-2"/>
              </w:rPr>
              <w:drawing>
                <wp:inline distT="0" distB="0" distL="0" distR="0">
                  <wp:extent cx="78740" cy="70485"/>
                  <wp:effectExtent l="0" t="0" r="0" b="0"/>
                  <wp:docPr id="356" name="IM 356"/>
                  <wp:cNvGraphicFramePr/>
                  <a:graphic xmlns:a="http://schemas.openxmlformats.org/drawingml/2006/main">
                    <a:graphicData uri="http://schemas.openxmlformats.org/drawingml/2006/picture">
                      <pic:pic xmlns:pic="http://schemas.openxmlformats.org/drawingml/2006/picture">
                        <pic:nvPicPr>
                          <pic:cNvPr id="356" name="IM 356"/>
                          <pic:cNvPicPr/>
                        </pic:nvPicPr>
                        <pic:blipFill>
                          <a:blip r:embed="rId342"/>
                          <a:stretch>
                            <a:fillRect/>
                          </a:stretch>
                        </pic:blipFill>
                        <pic:spPr>
                          <a:xfrm>
                            <a:off x="0" y="0"/>
                            <a:ext cx="79367" cy="71082"/>
                          </a:xfrm>
                          <a:prstGeom prst="rect">
                            <a:avLst/>
                          </a:prstGeom>
                        </pic:spPr>
                      </pic:pic>
                    </a:graphicData>
                  </a:graphic>
                </wp:inline>
              </w:drawing>
            </w:r>
          </w:p>
        </w:tc>
        <w:tc>
          <w:tcPr>
            <w:tcW w:w="214" w:type="dxa"/>
            <w:tcBorders>
              <w:left w:val="single" w:color="000000" w:sz="4" w:space="0"/>
            </w:tcBorders>
            <w:vAlign w:val="top"/>
          </w:tcPr>
          <w:p w14:paraId="2838AEE4">
            <w:pPr>
              <w:rPr>
                <w:rFonts w:ascii="Arial"/>
                <w:sz w:val="21"/>
              </w:rPr>
            </w:pPr>
          </w:p>
        </w:tc>
      </w:tr>
      <w:tr w14:paraId="21D21FA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14" w:hRule="atLeast"/>
        </w:trPr>
        <w:tc>
          <w:tcPr>
            <w:tcW w:w="903" w:type="dxa"/>
            <w:vMerge w:val="continue"/>
            <w:tcBorders>
              <w:top w:val="nil"/>
              <w:left w:val="single" w:color="000000" w:sz="4" w:space="0"/>
              <w:right w:val="single" w:color="000000" w:sz="4" w:space="0"/>
            </w:tcBorders>
            <w:vAlign w:val="top"/>
          </w:tcPr>
          <w:p w14:paraId="0AA82DC2">
            <w:pPr>
              <w:rPr>
                <w:rFonts w:ascii="Arial"/>
                <w:sz w:val="21"/>
              </w:rPr>
            </w:pPr>
          </w:p>
        </w:tc>
        <w:tc>
          <w:tcPr>
            <w:tcW w:w="2306" w:type="dxa"/>
            <w:vMerge w:val="continue"/>
            <w:tcBorders>
              <w:top w:val="nil"/>
              <w:left w:val="single" w:color="000000" w:sz="4" w:space="0"/>
              <w:right w:val="single" w:color="000000" w:sz="4" w:space="0"/>
            </w:tcBorders>
            <w:vAlign w:val="top"/>
          </w:tcPr>
          <w:p w14:paraId="4A094456">
            <w:pPr>
              <w:rPr>
                <w:rFonts w:ascii="Arial"/>
                <w:sz w:val="21"/>
              </w:rPr>
            </w:pPr>
          </w:p>
        </w:tc>
        <w:tc>
          <w:tcPr>
            <w:tcW w:w="239" w:type="dxa"/>
            <w:tcBorders>
              <w:left w:val="single" w:color="000000" w:sz="4" w:space="0"/>
              <w:right w:val="single" w:color="000000" w:sz="4" w:space="0"/>
            </w:tcBorders>
            <w:vAlign w:val="top"/>
          </w:tcPr>
          <w:p w14:paraId="05DB226E">
            <w:pPr>
              <w:spacing w:line="203" w:lineRule="exact"/>
              <w:rPr>
                <w:rFonts w:ascii="Arial"/>
                <w:sz w:val="17"/>
              </w:rPr>
            </w:pPr>
          </w:p>
        </w:tc>
        <w:tc>
          <w:tcPr>
            <w:tcW w:w="210" w:type="dxa"/>
            <w:tcBorders>
              <w:left w:val="single" w:color="000000" w:sz="4" w:space="0"/>
              <w:right w:val="single" w:color="000000" w:sz="4" w:space="0"/>
            </w:tcBorders>
            <w:vAlign w:val="top"/>
          </w:tcPr>
          <w:p w14:paraId="09AC2143">
            <w:pPr>
              <w:spacing w:line="203" w:lineRule="exact"/>
              <w:rPr>
                <w:rFonts w:ascii="Arial"/>
                <w:sz w:val="17"/>
              </w:rPr>
            </w:pPr>
          </w:p>
        </w:tc>
        <w:tc>
          <w:tcPr>
            <w:tcW w:w="230" w:type="dxa"/>
            <w:tcBorders>
              <w:left w:val="single" w:color="000000" w:sz="4" w:space="0"/>
              <w:right w:val="single" w:color="000000" w:sz="4" w:space="0"/>
            </w:tcBorders>
            <w:vAlign w:val="top"/>
          </w:tcPr>
          <w:p w14:paraId="4EDA59D9">
            <w:pPr>
              <w:spacing w:line="203" w:lineRule="exact"/>
              <w:rPr>
                <w:rFonts w:ascii="Arial"/>
                <w:sz w:val="17"/>
              </w:rPr>
            </w:pPr>
          </w:p>
        </w:tc>
        <w:tc>
          <w:tcPr>
            <w:tcW w:w="214" w:type="dxa"/>
            <w:tcBorders>
              <w:left w:val="single" w:color="000000" w:sz="4" w:space="0"/>
            </w:tcBorders>
            <w:vAlign w:val="top"/>
          </w:tcPr>
          <w:p w14:paraId="77305636">
            <w:pPr>
              <w:spacing w:line="203" w:lineRule="exact"/>
              <w:rPr>
                <w:rFonts w:ascii="Arial"/>
                <w:sz w:val="17"/>
              </w:rPr>
            </w:pPr>
          </w:p>
        </w:tc>
      </w:tr>
      <w:tr w14:paraId="2E9E7D5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95" w:hRule="atLeast"/>
        </w:trPr>
        <w:tc>
          <w:tcPr>
            <w:tcW w:w="903" w:type="dxa"/>
            <w:vMerge w:val="restart"/>
            <w:tcBorders>
              <w:left w:val="single" w:color="000000" w:sz="4" w:space="0"/>
              <w:bottom w:val="nil"/>
              <w:right w:val="single" w:color="000000" w:sz="4" w:space="0"/>
            </w:tcBorders>
            <w:vAlign w:val="top"/>
          </w:tcPr>
          <w:p w14:paraId="5A440552">
            <w:pPr>
              <w:spacing w:line="312" w:lineRule="auto"/>
              <w:rPr>
                <w:rFonts w:ascii="Arial"/>
                <w:sz w:val="21"/>
              </w:rPr>
            </w:pPr>
          </w:p>
          <w:p w14:paraId="0E090692">
            <w:pPr>
              <w:spacing w:line="312" w:lineRule="auto"/>
              <w:rPr>
                <w:rFonts w:ascii="Arial"/>
                <w:sz w:val="21"/>
              </w:rPr>
            </w:pPr>
          </w:p>
          <w:p w14:paraId="7E578761">
            <w:pPr>
              <w:pStyle w:val="6"/>
              <w:spacing w:before="59" w:line="219" w:lineRule="auto"/>
              <w:ind w:left="175"/>
              <w:rPr>
                <w:sz w:val="18"/>
                <w:szCs w:val="18"/>
              </w:rPr>
            </w:pPr>
            <w:r>
              <w:rPr>
                <w:spacing w:val="-2"/>
                <w:sz w:val="18"/>
                <w:szCs w:val="18"/>
              </w:rPr>
              <w:t>脑神经</w:t>
            </w:r>
          </w:p>
        </w:tc>
        <w:tc>
          <w:tcPr>
            <w:tcW w:w="2306" w:type="dxa"/>
            <w:vMerge w:val="restart"/>
            <w:tcBorders>
              <w:left w:val="single" w:color="000000" w:sz="4" w:space="0"/>
              <w:bottom w:val="nil"/>
              <w:right w:val="single" w:color="000000" w:sz="4" w:space="0"/>
            </w:tcBorders>
            <w:vAlign w:val="top"/>
          </w:tcPr>
          <w:p w14:paraId="5A7A3E21">
            <w:pPr>
              <w:pStyle w:val="6"/>
              <w:spacing w:before="67" w:line="217" w:lineRule="auto"/>
              <w:ind w:left="12"/>
              <w:rPr>
                <w:sz w:val="18"/>
                <w:szCs w:val="18"/>
              </w:rPr>
            </w:pPr>
            <w:r>
              <w:rPr>
                <w:spacing w:val="-5"/>
                <w:sz w:val="18"/>
                <w:szCs w:val="18"/>
              </w:rPr>
              <w:t>1.十二对脑神经的名称和性质</w:t>
            </w:r>
            <w:r>
              <w:rPr>
                <w:spacing w:val="12"/>
                <w:sz w:val="18"/>
                <w:szCs w:val="18"/>
              </w:rPr>
              <w:t xml:space="preserve"> </w:t>
            </w:r>
            <w:r>
              <w:rPr>
                <w:spacing w:val="-4"/>
                <w:sz w:val="18"/>
                <w:szCs w:val="18"/>
              </w:rPr>
              <w:t>2.动眼神经、展神经和滑车</w:t>
            </w:r>
          </w:p>
          <w:p w14:paraId="76F40460">
            <w:pPr>
              <w:pStyle w:val="6"/>
              <w:spacing w:before="5" w:line="215" w:lineRule="auto"/>
              <w:ind w:left="12"/>
              <w:rPr>
                <w:sz w:val="18"/>
                <w:szCs w:val="18"/>
              </w:rPr>
            </w:pPr>
            <w:r>
              <w:rPr>
                <w:spacing w:val="-1"/>
                <w:sz w:val="18"/>
                <w:szCs w:val="18"/>
              </w:rPr>
              <w:t>神经的穿颅部位及分布</w:t>
            </w:r>
          </w:p>
          <w:p w14:paraId="236DC714">
            <w:pPr>
              <w:pStyle w:val="6"/>
              <w:spacing w:before="3" w:line="210" w:lineRule="auto"/>
              <w:ind w:left="12" w:right="108"/>
              <w:jc w:val="both"/>
              <w:rPr>
                <w:sz w:val="18"/>
                <w:szCs w:val="18"/>
              </w:rPr>
            </w:pPr>
            <w:r>
              <w:rPr>
                <w:spacing w:val="-1"/>
                <w:sz w:val="18"/>
                <w:szCs w:val="18"/>
              </w:rPr>
              <w:t>3.面神经的穿颅部位和分布</w:t>
            </w:r>
            <w:r>
              <w:rPr>
                <w:spacing w:val="1"/>
                <w:sz w:val="18"/>
                <w:szCs w:val="18"/>
              </w:rPr>
              <w:t xml:space="preserve"> 4.舌咽神经、迷走神经、副 </w:t>
            </w:r>
            <w:r>
              <w:rPr>
                <w:spacing w:val="-1"/>
                <w:sz w:val="18"/>
                <w:szCs w:val="18"/>
              </w:rPr>
              <w:t>神经和舌下神经的穿颅部位</w:t>
            </w:r>
            <w:r>
              <w:rPr>
                <w:spacing w:val="3"/>
                <w:sz w:val="18"/>
                <w:szCs w:val="18"/>
              </w:rPr>
              <w:t xml:space="preserve"> </w:t>
            </w:r>
            <w:r>
              <w:rPr>
                <w:spacing w:val="-2"/>
                <w:sz w:val="18"/>
                <w:szCs w:val="18"/>
              </w:rPr>
              <w:t>及分布</w:t>
            </w:r>
          </w:p>
        </w:tc>
        <w:tc>
          <w:tcPr>
            <w:tcW w:w="239" w:type="dxa"/>
            <w:tcBorders>
              <w:left w:val="single" w:color="000000" w:sz="4" w:space="0"/>
              <w:right w:val="single" w:color="000000" w:sz="4" w:space="0"/>
            </w:tcBorders>
            <w:vAlign w:val="top"/>
          </w:tcPr>
          <w:p w14:paraId="385CBD6A">
            <w:pPr>
              <w:rPr>
                <w:rFonts w:ascii="Arial"/>
                <w:sz w:val="21"/>
              </w:rPr>
            </w:pPr>
          </w:p>
        </w:tc>
        <w:tc>
          <w:tcPr>
            <w:tcW w:w="210" w:type="dxa"/>
            <w:tcBorders>
              <w:left w:val="single" w:color="000000" w:sz="4" w:space="0"/>
              <w:right w:val="single" w:color="000000" w:sz="4" w:space="0"/>
            </w:tcBorders>
            <w:vAlign w:val="top"/>
          </w:tcPr>
          <w:p w14:paraId="4A4A0A5B">
            <w:pPr>
              <w:rPr>
                <w:rFonts w:ascii="Arial"/>
                <w:sz w:val="21"/>
              </w:rPr>
            </w:pPr>
          </w:p>
        </w:tc>
        <w:tc>
          <w:tcPr>
            <w:tcW w:w="230" w:type="dxa"/>
            <w:tcBorders>
              <w:left w:val="single" w:color="000000" w:sz="4" w:space="0"/>
              <w:right w:val="single" w:color="000000" w:sz="4" w:space="0"/>
            </w:tcBorders>
            <w:vAlign w:val="top"/>
          </w:tcPr>
          <w:p w14:paraId="47364868">
            <w:pPr>
              <w:rPr>
                <w:rFonts w:ascii="Arial"/>
                <w:sz w:val="21"/>
              </w:rPr>
            </w:pPr>
          </w:p>
        </w:tc>
        <w:tc>
          <w:tcPr>
            <w:tcW w:w="214" w:type="dxa"/>
            <w:tcBorders>
              <w:left w:val="single" w:color="000000" w:sz="4" w:space="0"/>
            </w:tcBorders>
            <w:vAlign w:val="top"/>
          </w:tcPr>
          <w:p w14:paraId="0D4CCD66">
            <w:pPr>
              <w:rPr>
                <w:rFonts w:ascii="Arial"/>
                <w:sz w:val="21"/>
              </w:rPr>
            </w:pPr>
          </w:p>
        </w:tc>
      </w:tr>
      <w:tr w14:paraId="2894C03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5" w:hRule="atLeast"/>
        </w:trPr>
        <w:tc>
          <w:tcPr>
            <w:tcW w:w="903" w:type="dxa"/>
            <w:vMerge w:val="continue"/>
            <w:tcBorders>
              <w:top w:val="nil"/>
              <w:left w:val="single" w:color="000000" w:sz="4" w:space="0"/>
              <w:bottom w:val="nil"/>
              <w:right w:val="single" w:color="000000" w:sz="4" w:space="0"/>
            </w:tcBorders>
            <w:vAlign w:val="top"/>
          </w:tcPr>
          <w:p w14:paraId="6DFBF7E6">
            <w:pPr>
              <w:rPr>
                <w:rFonts w:ascii="Arial"/>
                <w:sz w:val="21"/>
              </w:rPr>
            </w:pPr>
          </w:p>
        </w:tc>
        <w:tc>
          <w:tcPr>
            <w:tcW w:w="2306" w:type="dxa"/>
            <w:vMerge w:val="continue"/>
            <w:tcBorders>
              <w:top w:val="nil"/>
              <w:left w:val="single" w:color="000000" w:sz="4" w:space="0"/>
              <w:bottom w:val="nil"/>
              <w:right w:val="single" w:color="000000" w:sz="4" w:space="0"/>
            </w:tcBorders>
            <w:vAlign w:val="top"/>
          </w:tcPr>
          <w:p w14:paraId="3F37D65B">
            <w:pPr>
              <w:rPr>
                <w:rFonts w:ascii="Arial"/>
                <w:sz w:val="21"/>
              </w:rPr>
            </w:pPr>
          </w:p>
        </w:tc>
        <w:tc>
          <w:tcPr>
            <w:tcW w:w="239" w:type="dxa"/>
            <w:tcBorders>
              <w:left w:val="single" w:color="000000" w:sz="4" w:space="0"/>
              <w:right w:val="single" w:color="000000" w:sz="4" w:space="0"/>
            </w:tcBorders>
            <w:vAlign w:val="top"/>
          </w:tcPr>
          <w:p w14:paraId="3D2539BE">
            <w:pPr>
              <w:rPr>
                <w:rFonts w:ascii="Arial"/>
                <w:sz w:val="21"/>
              </w:rPr>
            </w:pPr>
          </w:p>
        </w:tc>
        <w:tc>
          <w:tcPr>
            <w:tcW w:w="210" w:type="dxa"/>
            <w:tcBorders>
              <w:left w:val="single" w:color="000000" w:sz="4" w:space="0"/>
              <w:right w:val="single" w:color="000000" w:sz="4" w:space="0"/>
            </w:tcBorders>
            <w:vAlign w:val="top"/>
          </w:tcPr>
          <w:p w14:paraId="38475084">
            <w:pPr>
              <w:pStyle w:val="6"/>
              <w:spacing w:before="98" w:line="238" w:lineRule="auto"/>
              <w:ind w:left="37"/>
              <w:rPr>
                <w:sz w:val="13"/>
                <w:szCs w:val="13"/>
              </w:rPr>
            </w:pPr>
            <w:r>
              <w:rPr>
                <w:sz w:val="13"/>
                <w:szCs w:val="13"/>
              </w:rPr>
              <w:t>√</w:t>
            </w:r>
          </w:p>
        </w:tc>
        <w:tc>
          <w:tcPr>
            <w:tcW w:w="230" w:type="dxa"/>
            <w:tcBorders>
              <w:left w:val="single" w:color="000000" w:sz="4" w:space="0"/>
              <w:right w:val="single" w:color="000000" w:sz="4" w:space="0"/>
            </w:tcBorders>
            <w:vAlign w:val="top"/>
          </w:tcPr>
          <w:p w14:paraId="1C74B07C">
            <w:pPr>
              <w:rPr>
                <w:rFonts w:ascii="Arial"/>
                <w:sz w:val="21"/>
              </w:rPr>
            </w:pPr>
          </w:p>
        </w:tc>
        <w:tc>
          <w:tcPr>
            <w:tcW w:w="214" w:type="dxa"/>
            <w:tcBorders>
              <w:left w:val="single" w:color="000000" w:sz="4" w:space="0"/>
            </w:tcBorders>
            <w:vAlign w:val="top"/>
          </w:tcPr>
          <w:p w14:paraId="7F0F1644">
            <w:pPr>
              <w:rPr>
                <w:rFonts w:ascii="Arial"/>
                <w:sz w:val="21"/>
              </w:rPr>
            </w:pPr>
          </w:p>
        </w:tc>
      </w:tr>
      <w:tr w14:paraId="1BC29B3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5" w:hRule="atLeast"/>
        </w:trPr>
        <w:tc>
          <w:tcPr>
            <w:tcW w:w="903" w:type="dxa"/>
            <w:vMerge w:val="continue"/>
            <w:tcBorders>
              <w:top w:val="nil"/>
              <w:left w:val="single" w:color="000000" w:sz="4" w:space="0"/>
              <w:bottom w:val="nil"/>
              <w:right w:val="single" w:color="000000" w:sz="4" w:space="0"/>
            </w:tcBorders>
            <w:vAlign w:val="top"/>
          </w:tcPr>
          <w:p w14:paraId="202C9062">
            <w:pPr>
              <w:rPr>
                <w:rFonts w:ascii="Arial"/>
                <w:sz w:val="21"/>
              </w:rPr>
            </w:pPr>
          </w:p>
        </w:tc>
        <w:tc>
          <w:tcPr>
            <w:tcW w:w="2306" w:type="dxa"/>
            <w:vMerge w:val="continue"/>
            <w:tcBorders>
              <w:top w:val="nil"/>
              <w:left w:val="single" w:color="000000" w:sz="4" w:space="0"/>
              <w:bottom w:val="nil"/>
              <w:right w:val="single" w:color="000000" w:sz="4" w:space="0"/>
            </w:tcBorders>
            <w:vAlign w:val="top"/>
          </w:tcPr>
          <w:p w14:paraId="393BCA4F">
            <w:pPr>
              <w:rPr>
                <w:rFonts w:ascii="Arial"/>
                <w:sz w:val="21"/>
              </w:rPr>
            </w:pPr>
          </w:p>
        </w:tc>
        <w:tc>
          <w:tcPr>
            <w:tcW w:w="239" w:type="dxa"/>
            <w:tcBorders>
              <w:left w:val="single" w:color="000000" w:sz="4" w:space="0"/>
              <w:right w:val="single" w:color="000000" w:sz="4" w:space="0"/>
            </w:tcBorders>
            <w:vAlign w:val="top"/>
          </w:tcPr>
          <w:p w14:paraId="7528BDF4">
            <w:pPr>
              <w:rPr>
                <w:rFonts w:ascii="Arial"/>
                <w:sz w:val="21"/>
              </w:rPr>
            </w:pPr>
          </w:p>
        </w:tc>
        <w:tc>
          <w:tcPr>
            <w:tcW w:w="210" w:type="dxa"/>
            <w:tcBorders>
              <w:left w:val="single" w:color="000000" w:sz="4" w:space="0"/>
              <w:right w:val="single" w:color="000000" w:sz="4" w:space="0"/>
            </w:tcBorders>
            <w:vAlign w:val="top"/>
          </w:tcPr>
          <w:p w14:paraId="6B55CB39">
            <w:pPr>
              <w:pStyle w:val="6"/>
              <w:spacing w:before="109" w:line="182" w:lineRule="auto"/>
              <w:ind w:left="67"/>
              <w:rPr>
                <w:sz w:val="13"/>
                <w:szCs w:val="13"/>
              </w:rPr>
            </w:pPr>
            <w:r>
              <w:rPr>
                <w:sz w:val="13"/>
                <w:szCs w:val="13"/>
              </w:rPr>
              <w:t>V</w:t>
            </w:r>
          </w:p>
        </w:tc>
        <w:tc>
          <w:tcPr>
            <w:tcW w:w="230" w:type="dxa"/>
            <w:tcBorders>
              <w:left w:val="single" w:color="000000" w:sz="4" w:space="0"/>
              <w:right w:val="single" w:color="000000" w:sz="4" w:space="0"/>
            </w:tcBorders>
            <w:vAlign w:val="top"/>
          </w:tcPr>
          <w:p w14:paraId="3FB061BC">
            <w:pPr>
              <w:rPr>
                <w:rFonts w:ascii="Arial"/>
                <w:sz w:val="21"/>
              </w:rPr>
            </w:pPr>
          </w:p>
        </w:tc>
        <w:tc>
          <w:tcPr>
            <w:tcW w:w="214" w:type="dxa"/>
            <w:tcBorders>
              <w:left w:val="single" w:color="000000" w:sz="4" w:space="0"/>
            </w:tcBorders>
            <w:vAlign w:val="top"/>
          </w:tcPr>
          <w:p w14:paraId="089357F6">
            <w:pPr>
              <w:rPr>
                <w:rFonts w:ascii="Arial"/>
                <w:sz w:val="21"/>
              </w:rPr>
            </w:pPr>
          </w:p>
        </w:tc>
      </w:tr>
      <w:tr w14:paraId="4514D21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79" w:hRule="atLeast"/>
        </w:trPr>
        <w:tc>
          <w:tcPr>
            <w:tcW w:w="903" w:type="dxa"/>
            <w:vMerge w:val="continue"/>
            <w:tcBorders>
              <w:top w:val="nil"/>
              <w:left w:val="single" w:color="000000" w:sz="4" w:space="0"/>
              <w:right w:val="single" w:color="000000" w:sz="4" w:space="0"/>
            </w:tcBorders>
            <w:vAlign w:val="top"/>
          </w:tcPr>
          <w:p w14:paraId="2A7635A1">
            <w:pPr>
              <w:rPr>
                <w:rFonts w:ascii="Arial"/>
                <w:sz w:val="21"/>
              </w:rPr>
            </w:pPr>
          </w:p>
        </w:tc>
        <w:tc>
          <w:tcPr>
            <w:tcW w:w="2306" w:type="dxa"/>
            <w:vMerge w:val="continue"/>
            <w:tcBorders>
              <w:top w:val="nil"/>
              <w:left w:val="single" w:color="000000" w:sz="4" w:space="0"/>
              <w:right w:val="single" w:color="000000" w:sz="4" w:space="0"/>
            </w:tcBorders>
            <w:vAlign w:val="top"/>
          </w:tcPr>
          <w:p w14:paraId="4B3499FC">
            <w:pPr>
              <w:rPr>
                <w:rFonts w:ascii="Arial"/>
                <w:sz w:val="21"/>
              </w:rPr>
            </w:pPr>
          </w:p>
        </w:tc>
        <w:tc>
          <w:tcPr>
            <w:tcW w:w="239" w:type="dxa"/>
            <w:tcBorders>
              <w:left w:val="single" w:color="000000" w:sz="4" w:space="0"/>
              <w:right w:val="single" w:color="000000" w:sz="4" w:space="0"/>
            </w:tcBorders>
            <w:vAlign w:val="top"/>
          </w:tcPr>
          <w:p w14:paraId="3565927E">
            <w:pPr>
              <w:rPr>
                <w:rFonts w:ascii="Arial"/>
                <w:sz w:val="21"/>
              </w:rPr>
            </w:pPr>
          </w:p>
        </w:tc>
        <w:tc>
          <w:tcPr>
            <w:tcW w:w="210" w:type="dxa"/>
            <w:tcBorders>
              <w:left w:val="single" w:color="000000" w:sz="4" w:space="0"/>
              <w:right w:val="single" w:color="000000" w:sz="4" w:space="0"/>
            </w:tcBorders>
            <w:vAlign w:val="top"/>
          </w:tcPr>
          <w:p w14:paraId="554237BE">
            <w:pPr>
              <w:spacing w:line="244" w:lineRule="auto"/>
              <w:rPr>
                <w:rFonts w:ascii="Arial"/>
                <w:sz w:val="21"/>
              </w:rPr>
            </w:pPr>
          </w:p>
          <w:p w14:paraId="4586711A">
            <w:pPr>
              <w:pStyle w:val="6"/>
              <w:spacing w:before="42" w:line="238" w:lineRule="auto"/>
              <w:ind w:left="37"/>
              <w:rPr>
                <w:sz w:val="13"/>
                <w:szCs w:val="13"/>
              </w:rPr>
            </w:pPr>
            <w:r>
              <w:rPr>
                <w:sz w:val="13"/>
                <w:szCs w:val="13"/>
              </w:rPr>
              <w:t>√</w:t>
            </w:r>
          </w:p>
        </w:tc>
        <w:tc>
          <w:tcPr>
            <w:tcW w:w="230" w:type="dxa"/>
            <w:tcBorders>
              <w:left w:val="single" w:color="000000" w:sz="4" w:space="0"/>
              <w:right w:val="single" w:color="000000" w:sz="4" w:space="0"/>
            </w:tcBorders>
            <w:vAlign w:val="top"/>
          </w:tcPr>
          <w:p w14:paraId="6A685A2A">
            <w:pPr>
              <w:rPr>
                <w:rFonts w:ascii="Arial"/>
                <w:sz w:val="21"/>
              </w:rPr>
            </w:pPr>
          </w:p>
        </w:tc>
        <w:tc>
          <w:tcPr>
            <w:tcW w:w="214" w:type="dxa"/>
            <w:tcBorders>
              <w:left w:val="single" w:color="000000" w:sz="4" w:space="0"/>
            </w:tcBorders>
            <w:vAlign w:val="top"/>
          </w:tcPr>
          <w:p w14:paraId="64D71342">
            <w:pPr>
              <w:rPr>
                <w:rFonts w:ascii="Arial"/>
                <w:sz w:val="21"/>
              </w:rPr>
            </w:pPr>
          </w:p>
        </w:tc>
      </w:tr>
    </w:tbl>
    <w:p w14:paraId="0F99088E">
      <w:pPr>
        <w:pStyle w:val="2"/>
        <w:spacing w:line="14" w:lineRule="auto"/>
        <w:rPr>
          <w:sz w:val="2"/>
        </w:rPr>
      </w:pPr>
    </w:p>
    <w:p w14:paraId="012A6BC8">
      <w:pPr>
        <w:pStyle w:val="2"/>
        <w:spacing w:line="14" w:lineRule="auto"/>
        <w:rPr>
          <w:sz w:val="2"/>
        </w:rPr>
      </w:pPr>
      <w:r>
        <w:rPr>
          <w:sz w:val="2"/>
          <w:szCs w:val="2"/>
        </w:rPr>
        <w:br w:type="column"/>
      </w:r>
    </w:p>
    <w:p w14:paraId="3489BEB2">
      <w:pPr>
        <w:spacing w:line="102" w:lineRule="auto"/>
        <w:rPr>
          <w:rFonts w:ascii="Arial"/>
          <w:sz w:val="2"/>
        </w:rPr>
      </w:pPr>
    </w:p>
    <w:tbl>
      <w:tblPr>
        <w:tblStyle w:val="5"/>
        <w:tblW w:w="413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14"/>
        <w:gridCol w:w="229"/>
        <w:gridCol w:w="230"/>
        <w:gridCol w:w="220"/>
        <w:gridCol w:w="244"/>
      </w:tblGrid>
      <w:tr w14:paraId="282D36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5" w:hRule="atLeast"/>
        </w:trPr>
        <w:tc>
          <w:tcPr>
            <w:tcW w:w="893" w:type="dxa"/>
            <w:vMerge w:val="restart"/>
            <w:tcBorders>
              <w:bottom w:val="nil"/>
            </w:tcBorders>
            <w:vAlign w:val="top"/>
          </w:tcPr>
          <w:p w14:paraId="3897BE7C">
            <w:pPr>
              <w:pStyle w:val="6"/>
              <w:spacing w:before="91" w:line="214" w:lineRule="auto"/>
              <w:ind w:left="257" w:right="1" w:hanging="240"/>
              <w:rPr>
                <w:sz w:val="18"/>
                <w:szCs w:val="18"/>
              </w:rPr>
            </w:pPr>
            <w:r>
              <w:rPr>
                <w:b/>
                <w:bCs/>
                <w:spacing w:val="-10"/>
                <w:sz w:val="18"/>
                <w:szCs w:val="18"/>
              </w:rPr>
              <w:t>知识与技能</w:t>
            </w:r>
            <w:r>
              <w:rPr>
                <w:spacing w:val="3"/>
                <w:sz w:val="18"/>
                <w:szCs w:val="18"/>
              </w:rPr>
              <w:t xml:space="preserve"> </w:t>
            </w:r>
            <w:r>
              <w:rPr>
                <w:b/>
                <w:bCs/>
                <w:spacing w:val="-4"/>
                <w:sz w:val="18"/>
                <w:szCs w:val="18"/>
              </w:rPr>
              <w:t>要点</w:t>
            </w:r>
          </w:p>
        </w:tc>
        <w:tc>
          <w:tcPr>
            <w:tcW w:w="2314" w:type="dxa"/>
            <w:vMerge w:val="restart"/>
            <w:tcBorders>
              <w:bottom w:val="nil"/>
            </w:tcBorders>
            <w:vAlign w:val="top"/>
          </w:tcPr>
          <w:p w14:paraId="627AB43B">
            <w:pPr>
              <w:pStyle w:val="6"/>
              <w:spacing w:before="190" w:line="219" w:lineRule="auto"/>
              <w:ind w:left="824"/>
              <w:rPr>
                <w:sz w:val="18"/>
                <w:szCs w:val="18"/>
              </w:rPr>
            </w:pPr>
            <w:r>
              <w:rPr>
                <w:b/>
                <w:bCs/>
                <w:spacing w:val="5"/>
                <w:sz w:val="18"/>
                <w:szCs w:val="18"/>
              </w:rPr>
              <w:t>考试条目</w:t>
            </w:r>
          </w:p>
        </w:tc>
        <w:tc>
          <w:tcPr>
            <w:tcW w:w="923" w:type="dxa"/>
            <w:gridSpan w:val="4"/>
            <w:vAlign w:val="top"/>
          </w:tcPr>
          <w:p w14:paraId="4743AF52">
            <w:pPr>
              <w:pStyle w:val="6"/>
              <w:spacing w:before="50" w:line="219" w:lineRule="auto"/>
              <w:ind w:left="150"/>
              <w:rPr>
                <w:sz w:val="18"/>
                <w:szCs w:val="18"/>
              </w:rPr>
            </w:pPr>
            <w:r>
              <w:rPr>
                <w:b/>
                <w:bCs/>
                <w:spacing w:val="-4"/>
                <w:sz w:val="18"/>
                <w:szCs w:val="18"/>
              </w:rPr>
              <w:t>考试水平</w:t>
            </w:r>
          </w:p>
        </w:tc>
      </w:tr>
      <w:tr w14:paraId="0535B7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893" w:type="dxa"/>
            <w:vMerge w:val="continue"/>
            <w:tcBorders>
              <w:top w:val="nil"/>
            </w:tcBorders>
            <w:vAlign w:val="top"/>
          </w:tcPr>
          <w:p w14:paraId="136639B7">
            <w:pPr>
              <w:rPr>
                <w:rFonts w:ascii="Arial"/>
                <w:sz w:val="21"/>
              </w:rPr>
            </w:pPr>
          </w:p>
        </w:tc>
        <w:tc>
          <w:tcPr>
            <w:tcW w:w="2314" w:type="dxa"/>
            <w:vMerge w:val="continue"/>
            <w:tcBorders>
              <w:top w:val="nil"/>
            </w:tcBorders>
            <w:vAlign w:val="top"/>
          </w:tcPr>
          <w:p w14:paraId="1166FCCA">
            <w:pPr>
              <w:rPr>
                <w:rFonts w:ascii="Arial"/>
                <w:sz w:val="21"/>
              </w:rPr>
            </w:pPr>
          </w:p>
        </w:tc>
        <w:tc>
          <w:tcPr>
            <w:tcW w:w="229" w:type="dxa"/>
            <w:vAlign w:val="top"/>
          </w:tcPr>
          <w:p w14:paraId="13872DB7">
            <w:pPr>
              <w:pStyle w:val="6"/>
              <w:spacing w:before="92" w:line="171" w:lineRule="auto"/>
              <w:ind w:left="70"/>
              <w:rPr>
                <w:sz w:val="18"/>
                <w:szCs w:val="18"/>
              </w:rPr>
            </w:pPr>
            <w:r>
              <w:rPr>
                <w:b/>
                <w:bCs/>
                <w:spacing w:val="-2"/>
                <w:sz w:val="18"/>
                <w:szCs w:val="18"/>
              </w:rPr>
              <w:t>A</w:t>
            </w:r>
          </w:p>
        </w:tc>
        <w:tc>
          <w:tcPr>
            <w:tcW w:w="230" w:type="dxa"/>
            <w:vAlign w:val="top"/>
          </w:tcPr>
          <w:p w14:paraId="62A13ACF">
            <w:pPr>
              <w:pStyle w:val="6"/>
              <w:spacing w:before="102" w:line="182" w:lineRule="auto"/>
              <w:ind w:left="81"/>
              <w:rPr>
                <w:sz w:val="14"/>
                <w:szCs w:val="14"/>
              </w:rPr>
            </w:pPr>
            <w:r>
              <w:rPr>
                <w:b/>
                <w:bCs/>
                <w:spacing w:val="-2"/>
                <w:sz w:val="14"/>
                <w:szCs w:val="14"/>
              </w:rPr>
              <w:t>B</w:t>
            </w:r>
          </w:p>
        </w:tc>
        <w:tc>
          <w:tcPr>
            <w:tcW w:w="220" w:type="dxa"/>
            <w:vAlign w:val="top"/>
          </w:tcPr>
          <w:p w14:paraId="39DEA832">
            <w:pPr>
              <w:pStyle w:val="6"/>
              <w:spacing w:before="93" w:line="170" w:lineRule="auto"/>
              <w:ind w:left="61"/>
              <w:rPr>
                <w:sz w:val="18"/>
                <w:szCs w:val="18"/>
              </w:rPr>
            </w:pPr>
            <w:r>
              <w:rPr>
                <w:b/>
                <w:bCs/>
                <w:spacing w:val="-2"/>
                <w:sz w:val="18"/>
                <w:szCs w:val="18"/>
              </w:rPr>
              <w:t>C</w:t>
            </w:r>
          </w:p>
        </w:tc>
        <w:tc>
          <w:tcPr>
            <w:tcW w:w="244" w:type="dxa"/>
            <w:vAlign w:val="top"/>
          </w:tcPr>
          <w:p w14:paraId="6328BC83">
            <w:pPr>
              <w:pStyle w:val="6"/>
              <w:spacing w:before="95" w:line="168" w:lineRule="auto"/>
              <w:ind w:left="71"/>
              <w:rPr>
                <w:sz w:val="18"/>
                <w:szCs w:val="18"/>
              </w:rPr>
            </w:pPr>
            <w:r>
              <w:rPr>
                <w:b/>
                <w:bCs/>
                <w:spacing w:val="-2"/>
                <w:sz w:val="18"/>
                <w:szCs w:val="18"/>
              </w:rPr>
              <w:t>D</w:t>
            </w:r>
          </w:p>
        </w:tc>
      </w:tr>
      <w:tr w14:paraId="36CE0E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9" w:hRule="atLeast"/>
        </w:trPr>
        <w:tc>
          <w:tcPr>
            <w:tcW w:w="893" w:type="dxa"/>
            <w:vMerge w:val="restart"/>
            <w:tcBorders>
              <w:bottom w:val="nil"/>
            </w:tcBorders>
            <w:vAlign w:val="top"/>
          </w:tcPr>
          <w:p w14:paraId="79AD63B8">
            <w:pPr>
              <w:spacing w:line="253" w:lineRule="auto"/>
              <w:rPr>
                <w:rFonts w:ascii="Arial"/>
                <w:sz w:val="21"/>
              </w:rPr>
            </w:pPr>
          </w:p>
          <w:p w14:paraId="20A3E5B9">
            <w:pPr>
              <w:spacing w:line="254" w:lineRule="auto"/>
              <w:rPr>
                <w:rFonts w:ascii="Arial"/>
                <w:sz w:val="21"/>
              </w:rPr>
            </w:pPr>
          </w:p>
          <w:p w14:paraId="41F0EAAF">
            <w:pPr>
              <w:pStyle w:val="6"/>
              <w:spacing w:before="58" w:line="219" w:lineRule="auto"/>
              <w:ind w:left="75"/>
              <w:rPr>
                <w:sz w:val="18"/>
                <w:szCs w:val="18"/>
              </w:rPr>
            </w:pPr>
            <w:r>
              <w:rPr>
                <w:spacing w:val="1"/>
                <w:sz w:val="18"/>
                <w:szCs w:val="18"/>
              </w:rPr>
              <w:t>内脏神经</w:t>
            </w:r>
          </w:p>
        </w:tc>
        <w:tc>
          <w:tcPr>
            <w:tcW w:w="2314" w:type="dxa"/>
            <w:vMerge w:val="restart"/>
            <w:tcBorders>
              <w:bottom w:val="nil"/>
            </w:tcBorders>
            <w:vAlign w:val="top"/>
          </w:tcPr>
          <w:p w14:paraId="1BB34DCC">
            <w:pPr>
              <w:pStyle w:val="6"/>
              <w:spacing w:before="48" w:line="205" w:lineRule="auto"/>
              <w:ind w:left="12"/>
              <w:rPr>
                <w:sz w:val="18"/>
                <w:szCs w:val="18"/>
              </w:rPr>
            </w:pPr>
            <w:r>
              <w:rPr>
                <w:sz w:val="18"/>
                <w:szCs w:val="18"/>
              </w:rPr>
              <w:t>1.内脏神经的概念和区分</w:t>
            </w:r>
          </w:p>
          <w:p w14:paraId="2FFF94BC">
            <w:pPr>
              <w:pStyle w:val="6"/>
              <w:spacing w:line="220" w:lineRule="auto"/>
              <w:ind w:left="12" w:right="117"/>
              <w:rPr>
                <w:sz w:val="18"/>
                <w:szCs w:val="18"/>
              </w:rPr>
            </w:pPr>
            <w:r>
              <w:rPr>
                <w:spacing w:val="1"/>
                <w:sz w:val="18"/>
                <w:szCs w:val="18"/>
              </w:rPr>
              <w:t>2.交感神经和副交感神经的</w:t>
            </w:r>
            <w:r>
              <w:rPr>
                <w:sz w:val="18"/>
                <w:szCs w:val="18"/>
              </w:rPr>
              <w:t xml:space="preserve"> </w:t>
            </w:r>
            <w:r>
              <w:rPr>
                <w:spacing w:val="-2"/>
                <w:sz w:val="18"/>
                <w:szCs w:val="18"/>
              </w:rPr>
              <w:t>低级中枢</w:t>
            </w:r>
          </w:p>
          <w:p w14:paraId="0B2BE7E4">
            <w:pPr>
              <w:pStyle w:val="6"/>
              <w:spacing w:before="1" w:line="220" w:lineRule="auto"/>
              <w:ind w:left="12" w:right="117"/>
              <w:rPr>
                <w:sz w:val="18"/>
                <w:szCs w:val="18"/>
              </w:rPr>
            </w:pPr>
            <w:r>
              <w:rPr>
                <w:spacing w:val="1"/>
                <w:sz w:val="18"/>
                <w:szCs w:val="18"/>
              </w:rPr>
              <w:t>3.交感神经与副交感神经的</w:t>
            </w:r>
            <w:r>
              <w:rPr>
                <w:sz w:val="18"/>
                <w:szCs w:val="18"/>
              </w:rPr>
              <w:t xml:space="preserve"> </w:t>
            </w:r>
            <w:r>
              <w:rPr>
                <w:spacing w:val="3"/>
                <w:sz w:val="18"/>
                <w:szCs w:val="18"/>
              </w:rPr>
              <w:t>主要区别</w:t>
            </w:r>
          </w:p>
          <w:p w14:paraId="32CDB225">
            <w:pPr>
              <w:pStyle w:val="6"/>
              <w:spacing w:line="193" w:lineRule="auto"/>
              <w:jc w:val="right"/>
              <w:rPr>
                <w:sz w:val="18"/>
                <w:szCs w:val="18"/>
              </w:rPr>
            </w:pPr>
            <w:r>
              <w:rPr>
                <w:spacing w:val="-4"/>
                <w:sz w:val="18"/>
                <w:szCs w:val="18"/>
              </w:rPr>
              <w:t>4.内脏感觉与躯体感觉的区别</w:t>
            </w:r>
          </w:p>
        </w:tc>
        <w:tc>
          <w:tcPr>
            <w:tcW w:w="229" w:type="dxa"/>
            <w:vAlign w:val="top"/>
          </w:tcPr>
          <w:p w14:paraId="2038F3F2">
            <w:pPr>
              <w:pStyle w:val="6"/>
              <w:spacing w:before="110" w:line="238" w:lineRule="auto"/>
              <w:ind w:left="38"/>
              <w:rPr>
                <w:sz w:val="14"/>
                <w:szCs w:val="14"/>
              </w:rPr>
            </w:pPr>
            <w:r>
              <w:rPr>
                <w:sz w:val="14"/>
                <w:szCs w:val="14"/>
              </w:rPr>
              <w:t>√</w:t>
            </w:r>
          </w:p>
        </w:tc>
        <w:tc>
          <w:tcPr>
            <w:tcW w:w="230" w:type="dxa"/>
            <w:vAlign w:val="top"/>
          </w:tcPr>
          <w:p w14:paraId="75ED8A0A">
            <w:pPr>
              <w:rPr>
                <w:rFonts w:ascii="Arial"/>
                <w:sz w:val="21"/>
              </w:rPr>
            </w:pPr>
          </w:p>
        </w:tc>
        <w:tc>
          <w:tcPr>
            <w:tcW w:w="220" w:type="dxa"/>
            <w:vAlign w:val="top"/>
          </w:tcPr>
          <w:p w14:paraId="1F446D3F">
            <w:pPr>
              <w:rPr>
                <w:rFonts w:ascii="Arial"/>
                <w:sz w:val="21"/>
              </w:rPr>
            </w:pPr>
          </w:p>
        </w:tc>
        <w:tc>
          <w:tcPr>
            <w:tcW w:w="244" w:type="dxa"/>
            <w:vAlign w:val="top"/>
          </w:tcPr>
          <w:p w14:paraId="0503EEC6">
            <w:pPr>
              <w:rPr>
                <w:rFonts w:ascii="Arial"/>
                <w:sz w:val="21"/>
              </w:rPr>
            </w:pPr>
          </w:p>
        </w:tc>
      </w:tr>
      <w:tr w14:paraId="3880B4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9" w:hRule="atLeast"/>
        </w:trPr>
        <w:tc>
          <w:tcPr>
            <w:tcW w:w="893" w:type="dxa"/>
            <w:vMerge w:val="continue"/>
            <w:tcBorders>
              <w:top w:val="nil"/>
              <w:bottom w:val="nil"/>
            </w:tcBorders>
            <w:vAlign w:val="top"/>
          </w:tcPr>
          <w:p w14:paraId="08E08ECB">
            <w:pPr>
              <w:rPr>
                <w:rFonts w:ascii="Arial"/>
                <w:sz w:val="21"/>
              </w:rPr>
            </w:pPr>
          </w:p>
        </w:tc>
        <w:tc>
          <w:tcPr>
            <w:tcW w:w="2314" w:type="dxa"/>
            <w:vMerge w:val="continue"/>
            <w:tcBorders>
              <w:top w:val="nil"/>
              <w:bottom w:val="nil"/>
            </w:tcBorders>
            <w:vAlign w:val="top"/>
          </w:tcPr>
          <w:p w14:paraId="2656A57B">
            <w:pPr>
              <w:rPr>
                <w:rFonts w:ascii="Arial"/>
                <w:sz w:val="21"/>
              </w:rPr>
            </w:pPr>
          </w:p>
        </w:tc>
        <w:tc>
          <w:tcPr>
            <w:tcW w:w="229" w:type="dxa"/>
            <w:vAlign w:val="top"/>
          </w:tcPr>
          <w:p w14:paraId="3A399183">
            <w:pPr>
              <w:rPr>
                <w:rFonts w:ascii="Arial"/>
                <w:sz w:val="21"/>
              </w:rPr>
            </w:pPr>
          </w:p>
        </w:tc>
        <w:tc>
          <w:tcPr>
            <w:tcW w:w="230" w:type="dxa"/>
            <w:vAlign w:val="top"/>
          </w:tcPr>
          <w:p w14:paraId="31526A13">
            <w:pPr>
              <w:pStyle w:val="6"/>
              <w:spacing w:before="81" w:line="238" w:lineRule="auto"/>
              <w:ind w:left="39"/>
              <w:rPr>
                <w:sz w:val="14"/>
                <w:szCs w:val="14"/>
              </w:rPr>
            </w:pPr>
            <w:r>
              <w:rPr>
                <w:sz w:val="14"/>
                <w:szCs w:val="14"/>
              </w:rPr>
              <w:t>√</w:t>
            </w:r>
          </w:p>
        </w:tc>
        <w:tc>
          <w:tcPr>
            <w:tcW w:w="220" w:type="dxa"/>
            <w:vAlign w:val="top"/>
          </w:tcPr>
          <w:p w14:paraId="0E9D1BD4">
            <w:pPr>
              <w:rPr>
                <w:rFonts w:ascii="Arial"/>
                <w:sz w:val="21"/>
              </w:rPr>
            </w:pPr>
          </w:p>
        </w:tc>
        <w:tc>
          <w:tcPr>
            <w:tcW w:w="244" w:type="dxa"/>
            <w:vAlign w:val="top"/>
          </w:tcPr>
          <w:p w14:paraId="016B0C46">
            <w:pPr>
              <w:rPr>
                <w:rFonts w:ascii="Arial"/>
                <w:sz w:val="21"/>
              </w:rPr>
            </w:pPr>
          </w:p>
        </w:tc>
      </w:tr>
      <w:tr w14:paraId="51C871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trPr>
        <w:tc>
          <w:tcPr>
            <w:tcW w:w="893" w:type="dxa"/>
            <w:vMerge w:val="continue"/>
            <w:tcBorders>
              <w:top w:val="nil"/>
              <w:bottom w:val="nil"/>
            </w:tcBorders>
            <w:vAlign w:val="top"/>
          </w:tcPr>
          <w:p w14:paraId="4EB83E2A">
            <w:pPr>
              <w:rPr>
                <w:rFonts w:ascii="Arial"/>
                <w:sz w:val="21"/>
              </w:rPr>
            </w:pPr>
          </w:p>
        </w:tc>
        <w:tc>
          <w:tcPr>
            <w:tcW w:w="2314" w:type="dxa"/>
            <w:vMerge w:val="continue"/>
            <w:tcBorders>
              <w:top w:val="nil"/>
              <w:bottom w:val="nil"/>
            </w:tcBorders>
            <w:vAlign w:val="top"/>
          </w:tcPr>
          <w:p w14:paraId="6F7CB386">
            <w:pPr>
              <w:rPr>
                <w:rFonts w:ascii="Arial"/>
                <w:sz w:val="21"/>
              </w:rPr>
            </w:pPr>
          </w:p>
        </w:tc>
        <w:tc>
          <w:tcPr>
            <w:tcW w:w="229" w:type="dxa"/>
            <w:vAlign w:val="top"/>
          </w:tcPr>
          <w:p w14:paraId="2923F71E">
            <w:pPr>
              <w:rPr>
                <w:rFonts w:ascii="Arial"/>
                <w:sz w:val="21"/>
              </w:rPr>
            </w:pPr>
          </w:p>
        </w:tc>
        <w:tc>
          <w:tcPr>
            <w:tcW w:w="230" w:type="dxa"/>
            <w:vAlign w:val="top"/>
          </w:tcPr>
          <w:p w14:paraId="309F3F1B">
            <w:pPr>
              <w:rPr>
                <w:rFonts w:ascii="Arial"/>
                <w:sz w:val="21"/>
              </w:rPr>
            </w:pPr>
          </w:p>
        </w:tc>
        <w:tc>
          <w:tcPr>
            <w:tcW w:w="220" w:type="dxa"/>
            <w:vAlign w:val="top"/>
          </w:tcPr>
          <w:p w14:paraId="2C211603">
            <w:pPr>
              <w:rPr>
                <w:rFonts w:ascii="Arial"/>
                <w:sz w:val="21"/>
              </w:rPr>
            </w:pPr>
          </w:p>
        </w:tc>
        <w:tc>
          <w:tcPr>
            <w:tcW w:w="244" w:type="dxa"/>
            <w:vAlign w:val="top"/>
          </w:tcPr>
          <w:p w14:paraId="75167714">
            <w:pPr>
              <w:pStyle w:val="6"/>
              <w:spacing w:before="68" w:line="196" w:lineRule="auto"/>
              <w:ind w:left="29"/>
              <w:rPr>
                <w:sz w:val="18"/>
                <w:szCs w:val="18"/>
              </w:rPr>
            </w:pPr>
            <w:r>
              <w:rPr>
                <w:sz w:val="18"/>
                <w:szCs w:val="18"/>
              </w:rPr>
              <w:t>√</w:t>
            </w:r>
          </w:p>
        </w:tc>
      </w:tr>
      <w:tr w14:paraId="338244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9" w:hRule="atLeast"/>
        </w:trPr>
        <w:tc>
          <w:tcPr>
            <w:tcW w:w="893" w:type="dxa"/>
            <w:vMerge w:val="continue"/>
            <w:tcBorders>
              <w:top w:val="nil"/>
            </w:tcBorders>
            <w:vAlign w:val="top"/>
          </w:tcPr>
          <w:p w14:paraId="24F3D89C">
            <w:pPr>
              <w:rPr>
                <w:rFonts w:ascii="Arial"/>
                <w:sz w:val="21"/>
              </w:rPr>
            </w:pPr>
          </w:p>
        </w:tc>
        <w:tc>
          <w:tcPr>
            <w:tcW w:w="2314" w:type="dxa"/>
            <w:vMerge w:val="continue"/>
            <w:tcBorders>
              <w:top w:val="nil"/>
            </w:tcBorders>
            <w:vAlign w:val="top"/>
          </w:tcPr>
          <w:p w14:paraId="5B438359">
            <w:pPr>
              <w:rPr>
                <w:rFonts w:ascii="Arial"/>
                <w:sz w:val="21"/>
              </w:rPr>
            </w:pPr>
          </w:p>
        </w:tc>
        <w:tc>
          <w:tcPr>
            <w:tcW w:w="229" w:type="dxa"/>
            <w:vAlign w:val="top"/>
          </w:tcPr>
          <w:p w14:paraId="37B469CC">
            <w:pPr>
              <w:rPr>
                <w:rFonts w:ascii="Arial"/>
                <w:sz w:val="21"/>
              </w:rPr>
            </w:pPr>
          </w:p>
        </w:tc>
        <w:tc>
          <w:tcPr>
            <w:tcW w:w="230" w:type="dxa"/>
            <w:vAlign w:val="top"/>
          </w:tcPr>
          <w:p w14:paraId="14BCABD3">
            <w:pPr>
              <w:pStyle w:val="6"/>
              <w:spacing w:before="142" w:line="238" w:lineRule="auto"/>
              <w:ind w:left="39"/>
              <w:rPr>
                <w:sz w:val="14"/>
                <w:szCs w:val="14"/>
              </w:rPr>
            </w:pPr>
            <w:r>
              <w:rPr>
                <w:sz w:val="14"/>
                <w:szCs w:val="14"/>
              </w:rPr>
              <w:t>√</w:t>
            </w:r>
          </w:p>
        </w:tc>
        <w:tc>
          <w:tcPr>
            <w:tcW w:w="220" w:type="dxa"/>
            <w:vAlign w:val="top"/>
          </w:tcPr>
          <w:p w14:paraId="44FE1314">
            <w:pPr>
              <w:rPr>
                <w:rFonts w:ascii="Arial"/>
                <w:sz w:val="21"/>
              </w:rPr>
            </w:pPr>
          </w:p>
        </w:tc>
        <w:tc>
          <w:tcPr>
            <w:tcW w:w="244" w:type="dxa"/>
            <w:vAlign w:val="top"/>
          </w:tcPr>
          <w:p w14:paraId="76ADC578">
            <w:pPr>
              <w:rPr>
                <w:rFonts w:ascii="Arial"/>
                <w:sz w:val="21"/>
              </w:rPr>
            </w:pPr>
          </w:p>
        </w:tc>
      </w:tr>
      <w:tr w14:paraId="1A0ED4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9" w:hRule="atLeast"/>
        </w:trPr>
        <w:tc>
          <w:tcPr>
            <w:tcW w:w="893" w:type="dxa"/>
            <w:vMerge w:val="restart"/>
            <w:tcBorders>
              <w:bottom w:val="nil"/>
            </w:tcBorders>
            <w:vAlign w:val="top"/>
          </w:tcPr>
          <w:p w14:paraId="67E7C640">
            <w:pPr>
              <w:spacing w:line="256" w:lineRule="auto"/>
              <w:rPr>
                <w:rFonts w:ascii="Arial"/>
                <w:sz w:val="21"/>
              </w:rPr>
            </w:pPr>
          </w:p>
          <w:p w14:paraId="289FF2AA">
            <w:pPr>
              <w:spacing w:line="256" w:lineRule="auto"/>
              <w:rPr>
                <w:rFonts w:ascii="Arial"/>
                <w:sz w:val="21"/>
              </w:rPr>
            </w:pPr>
          </w:p>
          <w:p w14:paraId="1D26D972">
            <w:pPr>
              <w:spacing w:line="256" w:lineRule="auto"/>
              <w:rPr>
                <w:rFonts w:ascii="Arial"/>
                <w:sz w:val="21"/>
              </w:rPr>
            </w:pPr>
          </w:p>
          <w:p w14:paraId="5248BF75">
            <w:pPr>
              <w:spacing w:line="257" w:lineRule="auto"/>
              <w:rPr>
                <w:rFonts w:ascii="Arial"/>
                <w:sz w:val="21"/>
              </w:rPr>
            </w:pPr>
          </w:p>
          <w:p w14:paraId="2D3439C4">
            <w:pPr>
              <w:pStyle w:val="6"/>
              <w:spacing w:before="58" w:line="219" w:lineRule="auto"/>
              <w:ind w:left="75"/>
              <w:rPr>
                <w:sz w:val="18"/>
                <w:szCs w:val="18"/>
              </w:rPr>
            </w:pPr>
            <w:r>
              <w:rPr>
                <w:spacing w:val="-2"/>
                <w:sz w:val="18"/>
                <w:szCs w:val="18"/>
              </w:rPr>
              <w:t>传导通路</w:t>
            </w:r>
          </w:p>
        </w:tc>
        <w:tc>
          <w:tcPr>
            <w:tcW w:w="2314" w:type="dxa"/>
            <w:vMerge w:val="restart"/>
            <w:tcBorders>
              <w:bottom w:val="nil"/>
            </w:tcBorders>
            <w:vAlign w:val="top"/>
          </w:tcPr>
          <w:p w14:paraId="481C0920">
            <w:pPr>
              <w:pStyle w:val="6"/>
              <w:spacing w:before="130" w:line="205" w:lineRule="auto"/>
              <w:ind w:left="12"/>
              <w:rPr>
                <w:sz w:val="18"/>
                <w:szCs w:val="18"/>
              </w:rPr>
            </w:pPr>
            <w:r>
              <w:rPr>
                <w:sz w:val="18"/>
                <w:szCs w:val="18"/>
              </w:rPr>
              <w:t>1.传导通路的概念与分类</w:t>
            </w:r>
          </w:p>
          <w:p w14:paraId="69028480">
            <w:pPr>
              <w:pStyle w:val="6"/>
              <w:spacing w:line="224" w:lineRule="auto"/>
              <w:ind w:left="12" w:right="139"/>
              <w:rPr>
                <w:sz w:val="18"/>
                <w:szCs w:val="18"/>
              </w:rPr>
            </w:pPr>
            <w:r>
              <w:rPr>
                <w:spacing w:val="-1"/>
                <w:sz w:val="18"/>
                <w:szCs w:val="18"/>
              </w:rPr>
              <w:t>2.四肢及躯干的浅感觉、深</w:t>
            </w:r>
            <w:r>
              <w:rPr>
                <w:spacing w:val="2"/>
                <w:sz w:val="18"/>
                <w:szCs w:val="18"/>
              </w:rPr>
              <w:t xml:space="preserve"> </w:t>
            </w:r>
            <w:r>
              <w:rPr>
                <w:spacing w:val="-1"/>
                <w:sz w:val="18"/>
                <w:szCs w:val="18"/>
              </w:rPr>
              <w:t>感觉及精细触觉的传导通路</w:t>
            </w:r>
            <w:r>
              <w:rPr>
                <w:spacing w:val="3"/>
                <w:sz w:val="18"/>
                <w:szCs w:val="18"/>
              </w:rPr>
              <w:t xml:space="preserve"> </w:t>
            </w:r>
            <w:r>
              <w:rPr>
                <w:spacing w:val="-1"/>
                <w:sz w:val="18"/>
                <w:szCs w:val="18"/>
              </w:rPr>
              <w:t>3.视觉传导通路的不同部位</w:t>
            </w:r>
            <w:r>
              <w:rPr>
                <w:spacing w:val="1"/>
                <w:sz w:val="18"/>
                <w:szCs w:val="18"/>
              </w:rPr>
              <w:t xml:space="preserve"> </w:t>
            </w:r>
            <w:r>
              <w:rPr>
                <w:spacing w:val="-2"/>
                <w:sz w:val="18"/>
                <w:szCs w:val="18"/>
              </w:rPr>
              <w:t>受损后的临床表现</w:t>
            </w:r>
          </w:p>
          <w:p w14:paraId="3E06DD24">
            <w:pPr>
              <w:pStyle w:val="6"/>
              <w:spacing w:before="15" w:line="217" w:lineRule="auto"/>
              <w:ind w:left="12" w:right="138"/>
              <w:rPr>
                <w:sz w:val="18"/>
                <w:szCs w:val="18"/>
              </w:rPr>
            </w:pPr>
            <w:r>
              <w:rPr>
                <w:spacing w:val="-1"/>
                <w:sz w:val="18"/>
                <w:szCs w:val="18"/>
              </w:rPr>
              <w:t>4.角膜反射、瞳孔对光反射</w:t>
            </w:r>
            <w:r>
              <w:rPr>
                <w:spacing w:val="5"/>
                <w:sz w:val="18"/>
                <w:szCs w:val="18"/>
              </w:rPr>
              <w:t xml:space="preserve"> </w:t>
            </w:r>
            <w:r>
              <w:rPr>
                <w:sz w:val="18"/>
                <w:szCs w:val="18"/>
              </w:rPr>
              <w:t>的传入神经和传出神经</w:t>
            </w:r>
          </w:p>
          <w:p w14:paraId="03B15B87">
            <w:pPr>
              <w:pStyle w:val="6"/>
              <w:spacing w:before="17" w:line="227" w:lineRule="auto"/>
              <w:ind w:left="12" w:right="117"/>
              <w:jc w:val="both"/>
              <w:rPr>
                <w:sz w:val="18"/>
                <w:szCs w:val="18"/>
              </w:rPr>
            </w:pPr>
            <w:r>
              <w:rPr>
                <w:spacing w:val="1"/>
                <w:sz w:val="18"/>
                <w:szCs w:val="18"/>
              </w:rPr>
              <w:t>5.皮质脊髓束和皮质核束的</w:t>
            </w:r>
            <w:r>
              <w:rPr>
                <w:sz w:val="18"/>
                <w:szCs w:val="18"/>
              </w:rPr>
              <w:t xml:space="preserve"> </w:t>
            </w:r>
            <w:r>
              <w:rPr>
                <w:spacing w:val="-1"/>
                <w:sz w:val="18"/>
                <w:szCs w:val="18"/>
              </w:rPr>
              <w:t>传导通路，在主要部位损伤</w:t>
            </w:r>
            <w:r>
              <w:rPr>
                <w:spacing w:val="5"/>
                <w:sz w:val="18"/>
                <w:szCs w:val="18"/>
              </w:rPr>
              <w:t xml:space="preserve"> </w:t>
            </w:r>
            <w:r>
              <w:rPr>
                <w:spacing w:val="-1"/>
                <w:sz w:val="18"/>
                <w:szCs w:val="18"/>
              </w:rPr>
              <w:t>后的主要临床表现</w:t>
            </w:r>
          </w:p>
        </w:tc>
        <w:tc>
          <w:tcPr>
            <w:tcW w:w="229" w:type="dxa"/>
            <w:vAlign w:val="top"/>
          </w:tcPr>
          <w:p w14:paraId="2A1CDC6E">
            <w:pPr>
              <w:pStyle w:val="6"/>
              <w:spacing w:before="113" w:line="238" w:lineRule="auto"/>
              <w:ind w:left="38"/>
              <w:rPr>
                <w:sz w:val="14"/>
                <w:szCs w:val="14"/>
              </w:rPr>
            </w:pPr>
            <w:r>
              <w:rPr>
                <w:sz w:val="14"/>
                <w:szCs w:val="14"/>
              </w:rPr>
              <w:t>√</w:t>
            </w:r>
          </w:p>
        </w:tc>
        <w:tc>
          <w:tcPr>
            <w:tcW w:w="230" w:type="dxa"/>
            <w:vAlign w:val="top"/>
          </w:tcPr>
          <w:p w14:paraId="2A7A0D87">
            <w:pPr>
              <w:rPr>
                <w:rFonts w:ascii="Arial"/>
                <w:sz w:val="21"/>
              </w:rPr>
            </w:pPr>
          </w:p>
        </w:tc>
        <w:tc>
          <w:tcPr>
            <w:tcW w:w="220" w:type="dxa"/>
            <w:vAlign w:val="top"/>
          </w:tcPr>
          <w:p w14:paraId="1A689A5B">
            <w:pPr>
              <w:rPr>
                <w:rFonts w:ascii="Arial"/>
                <w:sz w:val="21"/>
              </w:rPr>
            </w:pPr>
          </w:p>
        </w:tc>
        <w:tc>
          <w:tcPr>
            <w:tcW w:w="244" w:type="dxa"/>
            <w:vAlign w:val="top"/>
          </w:tcPr>
          <w:p w14:paraId="57F86E80">
            <w:pPr>
              <w:rPr>
                <w:rFonts w:ascii="Arial"/>
                <w:sz w:val="21"/>
              </w:rPr>
            </w:pPr>
          </w:p>
        </w:tc>
      </w:tr>
      <w:tr w14:paraId="1DECF4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0" w:hRule="atLeast"/>
        </w:trPr>
        <w:tc>
          <w:tcPr>
            <w:tcW w:w="893" w:type="dxa"/>
            <w:vMerge w:val="continue"/>
            <w:tcBorders>
              <w:top w:val="nil"/>
              <w:bottom w:val="nil"/>
            </w:tcBorders>
            <w:vAlign w:val="top"/>
          </w:tcPr>
          <w:p w14:paraId="551A713D">
            <w:pPr>
              <w:rPr>
                <w:rFonts w:ascii="Arial"/>
                <w:sz w:val="21"/>
              </w:rPr>
            </w:pPr>
          </w:p>
        </w:tc>
        <w:tc>
          <w:tcPr>
            <w:tcW w:w="2314" w:type="dxa"/>
            <w:vMerge w:val="continue"/>
            <w:tcBorders>
              <w:top w:val="nil"/>
              <w:bottom w:val="nil"/>
            </w:tcBorders>
            <w:vAlign w:val="top"/>
          </w:tcPr>
          <w:p w14:paraId="2D2DC5DB">
            <w:pPr>
              <w:rPr>
                <w:rFonts w:ascii="Arial"/>
                <w:sz w:val="21"/>
              </w:rPr>
            </w:pPr>
          </w:p>
        </w:tc>
        <w:tc>
          <w:tcPr>
            <w:tcW w:w="229" w:type="dxa"/>
            <w:vAlign w:val="top"/>
          </w:tcPr>
          <w:p w14:paraId="07734F76">
            <w:pPr>
              <w:rPr>
                <w:rFonts w:ascii="Arial"/>
                <w:sz w:val="21"/>
              </w:rPr>
            </w:pPr>
          </w:p>
        </w:tc>
        <w:tc>
          <w:tcPr>
            <w:tcW w:w="230" w:type="dxa"/>
            <w:vAlign w:val="top"/>
          </w:tcPr>
          <w:p w14:paraId="0ECF9F3D">
            <w:pPr>
              <w:rPr>
                <w:rFonts w:ascii="Arial"/>
                <w:sz w:val="21"/>
              </w:rPr>
            </w:pPr>
          </w:p>
        </w:tc>
        <w:tc>
          <w:tcPr>
            <w:tcW w:w="220" w:type="dxa"/>
            <w:vAlign w:val="top"/>
          </w:tcPr>
          <w:p w14:paraId="05A83329">
            <w:pPr>
              <w:rPr>
                <w:rFonts w:ascii="Arial"/>
                <w:sz w:val="21"/>
              </w:rPr>
            </w:pPr>
          </w:p>
        </w:tc>
        <w:tc>
          <w:tcPr>
            <w:tcW w:w="244" w:type="dxa"/>
            <w:vAlign w:val="top"/>
          </w:tcPr>
          <w:p w14:paraId="45BADBE5">
            <w:pPr>
              <w:pStyle w:val="6"/>
              <w:spacing w:before="119" w:line="182" w:lineRule="auto"/>
              <w:ind w:left="68"/>
              <w:rPr>
                <w:sz w:val="18"/>
                <w:szCs w:val="18"/>
              </w:rPr>
            </w:pPr>
            <w:r>
              <w:rPr>
                <w:sz w:val="18"/>
                <w:szCs w:val="18"/>
              </w:rPr>
              <w:t>V</w:t>
            </w:r>
          </w:p>
        </w:tc>
      </w:tr>
      <w:tr w14:paraId="74232E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893" w:type="dxa"/>
            <w:vMerge w:val="continue"/>
            <w:tcBorders>
              <w:top w:val="nil"/>
              <w:bottom w:val="nil"/>
            </w:tcBorders>
            <w:vAlign w:val="top"/>
          </w:tcPr>
          <w:p w14:paraId="20BA429F">
            <w:pPr>
              <w:rPr>
                <w:rFonts w:ascii="Arial"/>
                <w:sz w:val="21"/>
              </w:rPr>
            </w:pPr>
          </w:p>
        </w:tc>
        <w:tc>
          <w:tcPr>
            <w:tcW w:w="2314" w:type="dxa"/>
            <w:vMerge w:val="continue"/>
            <w:tcBorders>
              <w:top w:val="nil"/>
              <w:bottom w:val="nil"/>
            </w:tcBorders>
            <w:vAlign w:val="top"/>
          </w:tcPr>
          <w:p w14:paraId="35B77ECA">
            <w:pPr>
              <w:rPr>
                <w:rFonts w:ascii="Arial"/>
                <w:sz w:val="21"/>
              </w:rPr>
            </w:pPr>
          </w:p>
        </w:tc>
        <w:tc>
          <w:tcPr>
            <w:tcW w:w="229" w:type="dxa"/>
            <w:vAlign w:val="top"/>
          </w:tcPr>
          <w:p w14:paraId="1933AA1B">
            <w:pPr>
              <w:rPr>
                <w:rFonts w:ascii="Arial"/>
                <w:sz w:val="21"/>
              </w:rPr>
            </w:pPr>
          </w:p>
        </w:tc>
        <w:tc>
          <w:tcPr>
            <w:tcW w:w="230" w:type="dxa"/>
            <w:vAlign w:val="top"/>
          </w:tcPr>
          <w:p w14:paraId="06E4FAA6">
            <w:pPr>
              <w:rPr>
                <w:rFonts w:ascii="Arial"/>
                <w:sz w:val="21"/>
              </w:rPr>
            </w:pPr>
          </w:p>
        </w:tc>
        <w:tc>
          <w:tcPr>
            <w:tcW w:w="220" w:type="dxa"/>
            <w:vAlign w:val="top"/>
          </w:tcPr>
          <w:p w14:paraId="4F5675F8">
            <w:pPr>
              <w:rPr>
                <w:rFonts w:ascii="Arial"/>
                <w:sz w:val="21"/>
              </w:rPr>
            </w:pPr>
          </w:p>
        </w:tc>
        <w:tc>
          <w:tcPr>
            <w:tcW w:w="244" w:type="dxa"/>
            <w:vAlign w:val="top"/>
          </w:tcPr>
          <w:p w14:paraId="40A78BC3">
            <w:pPr>
              <w:pStyle w:val="6"/>
              <w:spacing w:before="119" w:line="182" w:lineRule="auto"/>
              <w:ind w:left="68"/>
              <w:rPr>
                <w:sz w:val="18"/>
                <w:szCs w:val="18"/>
              </w:rPr>
            </w:pPr>
            <w:r>
              <w:rPr>
                <w:sz w:val="18"/>
                <w:szCs w:val="18"/>
              </w:rPr>
              <w:t>V</w:t>
            </w:r>
          </w:p>
        </w:tc>
      </w:tr>
      <w:tr w14:paraId="5206EA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9" w:hRule="atLeast"/>
        </w:trPr>
        <w:tc>
          <w:tcPr>
            <w:tcW w:w="893" w:type="dxa"/>
            <w:vMerge w:val="continue"/>
            <w:tcBorders>
              <w:top w:val="nil"/>
              <w:bottom w:val="nil"/>
            </w:tcBorders>
            <w:vAlign w:val="top"/>
          </w:tcPr>
          <w:p w14:paraId="3C3F681C">
            <w:pPr>
              <w:rPr>
                <w:rFonts w:ascii="Arial"/>
                <w:sz w:val="21"/>
              </w:rPr>
            </w:pPr>
          </w:p>
        </w:tc>
        <w:tc>
          <w:tcPr>
            <w:tcW w:w="2314" w:type="dxa"/>
            <w:vMerge w:val="continue"/>
            <w:tcBorders>
              <w:top w:val="nil"/>
              <w:bottom w:val="nil"/>
            </w:tcBorders>
            <w:vAlign w:val="top"/>
          </w:tcPr>
          <w:p w14:paraId="0652F757">
            <w:pPr>
              <w:rPr>
                <w:rFonts w:ascii="Arial"/>
                <w:sz w:val="21"/>
              </w:rPr>
            </w:pPr>
          </w:p>
        </w:tc>
        <w:tc>
          <w:tcPr>
            <w:tcW w:w="229" w:type="dxa"/>
            <w:vAlign w:val="top"/>
          </w:tcPr>
          <w:p w14:paraId="2C2481D5">
            <w:pPr>
              <w:rPr>
                <w:rFonts w:ascii="Arial"/>
                <w:sz w:val="21"/>
              </w:rPr>
            </w:pPr>
          </w:p>
        </w:tc>
        <w:tc>
          <w:tcPr>
            <w:tcW w:w="230" w:type="dxa"/>
            <w:vAlign w:val="top"/>
          </w:tcPr>
          <w:p w14:paraId="472CC089">
            <w:pPr>
              <w:pStyle w:val="6"/>
              <w:spacing w:before="235" w:line="238" w:lineRule="auto"/>
              <w:ind w:left="39"/>
              <w:rPr>
                <w:sz w:val="14"/>
                <w:szCs w:val="14"/>
              </w:rPr>
            </w:pPr>
            <w:r>
              <w:rPr>
                <w:sz w:val="14"/>
                <w:szCs w:val="14"/>
              </w:rPr>
              <w:t>√</w:t>
            </w:r>
          </w:p>
        </w:tc>
        <w:tc>
          <w:tcPr>
            <w:tcW w:w="220" w:type="dxa"/>
            <w:vAlign w:val="top"/>
          </w:tcPr>
          <w:p w14:paraId="53D201DC">
            <w:pPr>
              <w:rPr>
                <w:rFonts w:ascii="Arial"/>
                <w:sz w:val="21"/>
              </w:rPr>
            </w:pPr>
          </w:p>
        </w:tc>
        <w:tc>
          <w:tcPr>
            <w:tcW w:w="244" w:type="dxa"/>
            <w:vAlign w:val="top"/>
          </w:tcPr>
          <w:p w14:paraId="189BD8B0">
            <w:pPr>
              <w:rPr>
                <w:rFonts w:ascii="Arial"/>
                <w:sz w:val="21"/>
              </w:rPr>
            </w:pPr>
          </w:p>
        </w:tc>
      </w:tr>
      <w:tr w14:paraId="2ECF58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58" w:hRule="atLeast"/>
        </w:trPr>
        <w:tc>
          <w:tcPr>
            <w:tcW w:w="893" w:type="dxa"/>
            <w:vMerge w:val="continue"/>
            <w:tcBorders>
              <w:top w:val="nil"/>
            </w:tcBorders>
            <w:vAlign w:val="top"/>
          </w:tcPr>
          <w:p w14:paraId="2BA1E56A">
            <w:pPr>
              <w:rPr>
                <w:rFonts w:ascii="Arial"/>
                <w:sz w:val="21"/>
              </w:rPr>
            </w:pPr>
          </w:p>
        </w:tc>
        <w:tc>
          <w:tcPr>
            <w:tcW w:w="2314" w:type="dxa"/>
            <w:vMerge w:val="continue"/>
            <w:tcBorders>
              <w:top w:val="nil"/>
            </w:tcBorders>
            <w:vAlign w:val="top"/>
          </w:tcPr>
          <w:p w14:paraId="39B59FBE">
            <w:pPr>
              <w:rPr>
                <w:rFonts w:ascii="Arial"/>
                <w:sz w:val="21"/>
              </w:rPr>
            </w:pPr>
          </w:p>
        </w:tc>
        <w:tc>
          <w:tcPr>
            <w:tcW w:w="229" w:type="dxa"/>
            <w:vAlign w:val="top"/>
          </w:tcPr>
          <w:p w14:paraId="2D8DA88C">
            <w:pPr>
              <w:rPr>
                <w:rFonts w:ascii="Arial"/>
                <w:sz w:val="21"/>
              </w:rPr>
            </w:pPr>
          </w:p>
        </w:tc>
        <w:tc>
          <w:tcPr>
            <w:tcW w:w="230" w:type="dxa"/>
            <w:vAlign w:val="top"/>
          </w:tcPr>
          <w:p w14:paraId="43362088">
            <w:pPr>
              <w:rPr>
                <w:rFonts w:ascii="Arial"/>
                <w:sz w:val="21"/>
              </w:rPr>
            </w:pPr>
          </w:p>
        </w:tc>
        <w:tc>
          <w:tcPr>
            <w:tcW w:w="220" w:type="dxa"/>
            <w:vAlign w:val="top"/>
          </w:tcPr>
          <w:p w14:paraId="0DA005EE">
            <w:pPr>
              <w:spacing w:line="281" w:lineRule="auto"/>
              <w:rPr>
                <w:rFonts w:ascii="Arial"/>
                <w:sz w:val="21"/>
              </w:rPr>
            </w:pPr>
          </w:p>
          <w:p w14:paraId="4E7A658C">
            <w:pPr>
              <w:pStyle w:val="6"/>
              <w:spacing w:before="59" w:line="182" w:lineRule="auto"/>
              <w:ind w:left="59"/>
              <w:rPr>
                <w:sz w:val="18"/>
                <w:szCs w:val="18"/>
              </w:rPr>
            </w:pPr>
            <w:r>
              <w:rPr>
                <w:sz w:val="18"/>
                <w:szCs w:val="18"/>
              </w:rPr>
              <w:t>V</w:t>
            </w:r>
          </w:p>
        </w:tc>
        <w:tc>
          <w:tcPr>
            <w:tcW w:w="244" w:type="dxa"/>
            <w:vAlign w:val="top"/>
          </w:tcPr>
          <w:p w14:paraId="4AE0AE7C">
            <w:pPr>
              <w:rPr>
                <w:rFonts w:ascii="Arial"/>
                <w:sz w:val="21"/>
              </w:rPr>
            </w:pPr>
          </w:p>
        </w:tc>
      </w:tr>
      <w:tr w14:paraId="2A05A6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trPr>
        <w:tc>
          <w:tcPr>
            <w:tcW w:w="893" w:type="dxa"/>
            <w:vMerge w:val="restart"/>
            <w:tcBorders>
              <w:bottom w:val="nil"/>
            </w:tcBorders>
            <w:vAlign w:val="top"/>
          </w:tcPr>
          <w:p w14:paraId="7CC1D052">
            <w:pPr>
              <w:pStyle w:val="6"/>
              <w:spacing w:before="146" w:line="219" w:lineRule="auto"/>
              <w:ind w:left="165"/>
              <w:rPr>
                <w:sz w:val="18"/>
                <w:szCs w:val="18"/>
              </w:rPr>
            </w:pPr>
            <w:r>
              <w:rPr>
                <w:spacing w:val="3"/>
                <w:sz w:val="18"/>
                <w:szCs w:val="18"/>
              </w:rPr>
              <w:t>内分泌</w:t>
            </w:r>
          </w:p>
          <w:p w14:paraId="63913001">
            <w:pPr>
              <w:pStyle w:val="6"/>
              <w:spacing w:before="17" w:line="221" w:lineRule="auto"/>
              <w:ind w:left="254"/>
              <w:rPr>
                <w:sz w:val="18"/>
                <w:szCs w:val="18"/>
              </w:rPr>
            </w:pPr>
            <w:r>
              <w:rPr>
                <w:spacing w:val="-3"/>
                <w:sz w:val="18"/>
                <w:szCs w:val="18"/>
              </w:rPr>
              <w:t>系统</w:t>
            </w:r>
          </w:p>
        </w:tc>
        <w:tc>
          <w:tcPr>
            <w:tcW w:w="2314" w:type="dxa"/>
            <w:vMerge w:val="restart"/>
            <w:tcBorders>
              <w:bottom w:val="nil"/>
            </w:tcBorders>
            <w:vAlign w:val="top"/>
          </w:tcPr>
          <w:p w14:paraId="624692E2">
            <w:pPr>
              <w:pStyle w:val="6"/>
              <w:spacing w:before="36" w:line="219" w:lineRule="auto"/>
              <w:ind w:left="12"/>
              <w:rPr>
                <w:sz w:val="18"/>
                <w:szCs w:val="18"/>
              </w:rPr>
            </w:pPr>
            <w:r>
              <w:rPr>
                <w:sz w:val="18"/>
                <w:szCs w:val="18"/>
              </w:rPr>
              <w:t>1.内分泌系统的组成</w:t>
            </w:r>
          </w:p>
          <w:p w14:paraId="35AA34C8">
            <w:pPr>
              <w:pStyle w:val="6"/>
              <w:spacing w:before="15" w:line="194" w:lineRule="auto"/>
              <w:ind w:left="12" w:right="141"/>
              <w:rPr>
                <w:sz w:val="18"/>
                <w:szCs w:val="18"/>
              </w:rPr>
            </w:pPr>
            <w:r>
              <w:rPr>
                <w:spacing w:val="-1"/>
                <w:sz w:val="18"/>
                <w:szCs w:val="18"/>
              </w:rPr>
              <w:t>2.各内泌器官的位置、形态</w:t>
            </w:r>
            <w:r>
              <w:rPr>
                <w:spacing w:val="2"/>
                <w:sz w:val="18"/>
                <w:szCs w:val="18"/>
              </w:rPr>
              <w:t xml:space="preserve"> </w:t>
            </w:r>
            <w:r>
              <w:rPr>
                <w:spacing w:val="-2"/>
                <w:sz w:val="18"/>
                <w:szCs w:val="18"/>
              </w:rPr>
              <w:t>和主要功能</w:t>
            </w:r>
          </w:p>
        </w:tc>
        <w:tc>
          <w:tcPr>
            <w:tcW w:w="229" w:type="dxa"/>
            <w:vAlign w:val="top"/>
          </w:tcPr>
          <w:p w14:paraId="079BDFE5">
            <w:pPr>
              <w:pStyle w:val="6"/>
              <w:spacing w:before="88" w:line="226" w:lineRule="auto"/>
              <w:ind w:left="38"/>
              <w:rPr>
                <w:sz w:val="14"/>
                <w:szCs w:val="14"/>
              </w:rPr>
            </w:pPr>
            <w:r>
              <w:rPr>
                <w:sz w:val="14"/>
                <w:szCs w:val="14"/>
              </w:rPr>
              <w:t>√</w:t>
            </w:r>
          </w:p>
        </w:tc>
        <w:tc>
          <w:tcPr>
            <w:tcW w:w="230" w:type="dxa"/>
            <w:vAlign w:val="top"/>
          </w:tcPr>
          <w:p w14:paraId="47C7FE19">
            <w:pPr>
              <w:rPr>
                <w:rFonts w:ascii="Arial"/>
                <w:sz w:val="21"/>
              </w:rPr>
            </w:pPr>
          </w:p>
        </w:tc>
        <w:tc>
          <w:tcPr>
            <w:tcW w:w="220" w:type="dxa"/>
            <w:vAlign w:val="top"/>
          </w:tcPr>
          <w:p w14:paraId="0DFCBEF9">
            <w:pPr>
              <w:rPr>
                <w:rFonts w:ascii="Arial"/>
                <w:sz w:val="21"/>
              </w:rPr>
            </w:pPr>
          </w:p>
        </w:tc>
        <w:tc>
          <w:tcPr>
            <w:tcW w:w="244" w:type="dxa"/>
            <w:vAlign w:val="top"/>
          </w:tcPr>
          <w:p w14:paraId="4938014E">
            <w:pPr>
              <w:rPr>
                <w:rFonts w:ascii="Arial"/>
                <w:sz w:val="21"/>
              </w:rPr>
            </w:pPr>
          </w:p>
        </w:tc>
      </w:tr>
      <w:tr w14:paraId="6C08E6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4" w:hRule="atLeast"/>
        </w:trPr>
        <w:tc>
          <w:tcPr>
            <w:tcW w:w="893" w:type="dxa"/>
            <w:vMerge w:val="continue"/>
            <w:tcBorders>
              <w:top w:val="nil"/>
            </w:tcBorders>
            <w:vAlign w:val="top"/>
          </w:tcPr>
          <w:p w14:paraId="0FD3F8F6">
            <w:pPr>
              <w:rPr>
                <w:rFonts w:ascii="Arial"/>
                <w:sz w:val="21"/>
              </w:rPr>
            </w:pPr>
          </w:p>
        </w:tc>
        <w:tc>
          <w:tcPr>
            <w:tcW w:w="2314" w:type="dxa"/>
            <w:vMerge w:val="continue"/>
            <w:tcBorders>
              <w:top w:val="nil"/>
            </w:tcBorders>
            <w:vAlign w:val="top"/>
          </w:tcPr>
          <w:p w14:paraId="351BD0D7">
            <w:pPr>
              <w:rPr>
                <w:rFonts w:ascii="Arial"/>
                <w:sz w:val="21"/>
              </w:rPr>
            </w:pPr>
          </w:p>
        </w:tc>
        <w:tc>
          <w:tcPr>
            <w:tcW w:w="229" w:type="dxa"/>
            <w:vAlign w:val="top"/>
          </w:tcPr>
          <w:p w14:paraId="050D7A12">
            <w:pPr>
              <w:rPr>
                <w:rFonts w:ascii="Arial"/>
                <w:sz w:val="21"/>
              </w:rPr>
            </w:pPr>
          </w:p>
        </w:tc>
        <w:tc>
          <w:tcPr>
            <w:tcW w:w="230" w:type="dxa"/>
            <w:vAlign w:val="top"/>
          </w:tcPr>
          <w:p w14:paraId="45F59418">
            <w:pPr>
              <w:pStyle w:val="6"/>
              <w:spacing w:before="138" w:line="238" w:lineRule="auto"/>
              <w:ind w:left="39"/>
              <w:rPr>
                <w:sz w:val="14"/>
                <w:szCs w:val="14"/>
              </w:rPr>
            </w:pPr>
            <w:r>
              <w:rPr>
                <w:sz w:val="14"/>
                <w:szCs w:val="14"/>
              </w:rPr>
              <w:t>√</w:t>
            </w:r>
          </w:p>
        </w:tc>
        <w:tc>
          <w:tcPr>
            <w:tcW w:w="220" w:type="dxa"/>
            <w:vAlign w:val="top"/>
          </w:tcPr>
          <w:p w14:paraId="3966A3C8">
            <w:pPr>
              <w:rPr>
                <w:rFonts w:ascii="Arial"/>
                <w:sz w:val="21"/>
              </w:rPr>
            </w:pPr>
          </w:p>
        </w:tc>
        <w:tc>
          <w:tcPr>
            <w:tcW w:w="244" w:type="dxa"/>
            <w:vAlign w:val="top"/>
          </w:tcPr>
          <w:p w14:paraId="5C4EB9D8">
            <w:pPr>
              <w:rPr>
                <w:rFonts w:ascii="Arial"/>
                <w:sz w:val="21"/>
              </w:rPr>
            </w:pPr>
          </w:p>
        </w:tc>
      </w:tr>
    </w:tbl>
    <w:p w14:paraId="797791D4">
      <w:pPr>
        <w:spacing w:before="118" w:line="221" w:lineRule="auto"/>
        <w:ind w:left="1267"/>
        <w:rPr>
          <w:rFonts w:ascii="黑体" w:hAnsi="黑体" w:eastAsia="黑体" w:cs="黑体"/>
          <w:sz w:val="20"/>
          <w:szCs w:val="20"/>
        </w:rPr>
      </w:pPr>
      <w:r>
        <w:rPr>
          <w:rFonts w:ascii="黑体" w:hAnsi="黑体" w:eastAsia="黑体" w:cs="黑体"/>
          <w:b/>
          <w:bCs/>
          <w:spacing w:val="-4"/>
          <w:sz w:val="20"/>
          <w:szCs w:val="20"/>
        </w:rPr>
        <w:t>第二部分</w:t>
      </w:r>
      <w:r>
        <w:rPr>
          <w:rFonts w:ascii="黑体" w:hAnsi="黑体" w:eastAsia="黑体" w:cs="黑体"/>
          <w:spacing w:val="98"/>
          <w:sz w:val="20"/>
          <w:szCs w:val="20"/>
        </w:rPr>
        <w:t xml:space="preserve"> </w:t>
      </w:r>
      <w:r>
        <w:rPr>
          <w:rFonts w:ascii="黑体" w:hAnsi="黑体" w:eastAsia="黑体" w:cs="黑体"/>
          <w:b/>
          <w:bCs/>
          <w:spacing w:val="-4"/>
          <w:sz w:val="20"/>
          <w:szCs w:val="20"/>
        </w:rPr>
        <w:t>生理学</w:t>
      </w:r>
    </w:p>
    <w:p w14:paraId="6B131760">
      <w:pPr>
        <w:spacing w:before="51" w:line="222" w:lineRule="auto"/>
        <w:ind w:left="1467"/>
        <w:rPr>
          <w:rFonts w:ascii="黑体" w:hAnsi="黑体" w:eastAsia="黑体" w:cs="黑体"/>
          <w:sz w:val="20"/>
          <w:szCs w:val="20"/>
        </w:rPr>
      </w:pPr>
      <w:r>
        <w:rPr>
          <w:rFonts w:ascii="黑体" w:hAnsi="黑体" w:eastAsia="黑体" w:cs="黑体"/>
          <w:b/>
          <w:bCs/>
          <w:spacing w:val="-4"/>
          <w:sz w:val="20"/>
          <w:szCs w:val="20"/>
        </w:rPr>
        <w:t>第一章</w:t>
      </w:r>
      <w:r>
        <w:rPr>
          <w:rFonts w:ascii="黑体" w:hAnsi="黑体" w:eastAsia="黑体" w:cs="黑体"/>
          <w:spacing w:val="-4"/>
          <w:sz w:val="20"/>
          <w:szCs w:val="20"/>
        </w:rPr>
        <w:t xml:space="preserve">  </w:t>
      </w:r>
      <w:r>
        <w:rPr>
          <w:rFonts w:ascii="黑体" w:hAnsi="黑体" w:eastAsia="黑体" w:cs="黑体"/>
          <w:b/>
          <w:bCs/>
          <w:spacing w:val="-4"/>
          <w:sz w:val="20"/>
          <w:szCs w:val="20"/>
        </w:rPr>
        <w:t>绪论</w:t>
      </w:r>
    </w:p>
    <w:p w14:paraId="304CE53D">
      <w:pPr>
        <w:spacing w:line="80" w:lineRule="exact"/>
      </w:pPr>
    </w:p>
    <w:tbl>
      <w:tblPr>
        <w:tblStyle w:val="5"/>
        <w:tblW w:w="413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03"/>
        <w:gridCol w:w="2314"/>
        <w:gridCol w:w="219"/>
        <w:gridCol w:w="230"/>
        <w:gridCol w:w="220"/>
        <w:gridCol w:w="244"/>
      </w:tblGrid>
      <w:tr w14:paraId="5E35F7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4" w:hRule="atLeast"/>
        </w:trPr>
        <w:tc>
          <w:tcPr>
            <w:tcW w:w="903" w:type="dxa"/>
            <w:vMerge w:val="restart"/>
            <w:tcBorders>
              <w:bottom w:val="nil"/>
            </w:tcBorders>
            <w:vAlign w:val="top"/>
          </w:tcPr>
          <w:p w14:paraId="6D4B373B">
            <w:pPr>
              <w:pStyle w:val="6"/>
              <w:spacing w:before="21" w:line="211" w:lineRule="auto"/>
              <w:ind w:left="263" w:hanging="246"/>
              <w:rPr>
                <w:sz w:val="18"/>
                <w:szCs w:val="18"/>
              </w:rPr>
            </w:pPr>
            <w:r>
              <w:rPr>
                <w:b/>
                <w:bCs/>
                <w:spacing w:val="-7"/>
                <w:sz w:val="18"/>
                <w:szCs w:val="18"/>
              </w:rPr>
              <w:t>知识与技能</w:t>
            </w:r>
            <w:r>
              <w:rPr>
                <w:sz w:val="18"/>
                <w:szCs w:val="18"/>
              </w:rPr>
              <w:t xml:space="preserve"> </w:t>
            </w:r>
            <w:r>
              <w:rPr>
                <w:b/>
                <w:bCs/>
                <w:spacing w:val="-6"/>
                <w:sz w:val="18"/>
                <w:szCs w:val="18"/>
              </w:rPr>
              <w:t>要点</w:t>
            </w:r>
          </w:p>
        </w:tc>
        <w:tc>
          <w:tcPr>
            <w:tcW w:w="2314" w:type="dxa"/>
            <w:vMerge w:val="restart"/>
            <w:tcBorders>
              <w:bottom w:val="nil"/>
            </w:tcBorders>
            <w:vAlign w:val="top"/>
          </w:tcPr>
          <w:p w14:paraId="2F98C559">
            <w:pPr>
              <w:pStyle w:val="6"/>
              <w:spacing w:before="129" w:line="219" w:lineRule="auto"/>
              <w:ind w:left="844"/>
              <w:rPr>
                <w:sz w:val="18"/>
                <w:szCs w:val="18"/>
              </w:rPr>
            </w:pPr>
            <w:r>
              <w:rPr>
                <w:b/>
                <w:bCs/>
                <w:spacing w:val="5"/>
                <w:sz w:val="18"/>
                <w:szCs w:val="18"/>
              </w:rPr>
              <w:t>考试条目</w:t>
            </w:r>
          </w:p>
        </w:tc>
        <w:tc>
          <w:tcPr>
            <w:tcW w:w="913" w:type="dxa"/>
            <w:gridSpan w:val="4"/>
            <w:vAlign w:val="top"/>
          </w:tcPr>
          <w:p w14:paraId="02DAB00B">
            <w:pPr>
              <w:pStyle w:val="6"/>
              <w:spacing w:before="19" w:line="199" w:lineRule="auto"/>
              <w:ind w:left="140"/>
              <w:rPr>
                <w:sz w:val="18"/>
                <w:szCs w:val="18"/>
              </w:rPr>
            </w:pPr>
            <w:r>
              <w:rPr>
                <w:b/>
                <w:bCs/>
                <w:spacing w:val="-4"/>
                <w:sz w:val="18"/>
                <w:szCs w:val="18"/>
              </w:rPr>
              <w:t>考试水平</w:t>
            </w:r>
          </w:p>
        </w:tc>
      </w:tr>
      <w:tr w14:paraId="4F38AB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9" w:hRule="atLeast"/>
        </w:trPr>
        <w:tc>
          <w:tcPr>
            <w:tcW w:w="903" w:type="dxa"/>
            <w:vMerge w:val="continue"/>
            <w:tcBorders>
              <w:top w:val="nil"/>
            </w:tcBorders>
            <w:vAlign w:val="top"/>
          </w:tcPr>
          <w:p w14:paraId="701AA33F">
            <w:pPr>
              <w:rPr>
                <w:rFonts w:ascii="Arial"/>
                <w:sz w:val="21"/>
              </w:rPr>
            </w:pPr>
          </w:p>
        </w:tc>
        <w:tc>
          <w:tcPr>
            <w:tcW w:w="2314" w:type="dxa"/>
            <w:vMerge w:val="continue"/>
            <w:tcBorders>
              <w:top w:val="nil"/>
            </w:tcBorders>
            <w:vAlign w:val="top"/>
          </w:tcPr>
          <w:p w14:paraId="4F170431">
            <w:pPr>
              <w:rPr>
                <w:rFonts w:ascii="Arial"/>
                <w:sz w:val="21"/>
              </w:rPr>
            </w:pPr>
          </w:p>
        </w:tc>
        <w:tc>
          <w:tcPr>
            <w:tcW w:w="219" w:type="dxa"/>
            <w:vAlign w:val="top"/>
          </w:tcPr>
          <w:p w14:paraId="4AF88F5B">
            <w:pPr>
              <w:pStyle w:val="6"/>
              <w:spacing w:before="63" w:line="136" w:lineRule="exact"/>
              <w:ind w:left="57"/>
              <w:rPr>
                <w:sz w:val="18"/>
                <w:szCs w:val="18"/>
              </w:rPr>
            </w:pPr>
            <w:r>
              <w:rPr>
                <w:position w:val="-2"/>
                <w:sz w:val="18"/>
                <w:szCs w:val="18"/>
              </w:rPr>
              <w:t>A</w:t>
            </w:r>
          </w:p>
        </w:tc>
        <w:tc>
          <w:tcPr>
            <w:tcW w:w="230" w:type="dxa"/>
            <w:vAlign w:val="top"/>
          </w:tcPr>
          <w:p w14:paraId="3060F5C0">
            <w:pPr>
              <w:pStyle w:val="6"/>
              <w:spacing w:before="66" w:line="133" w:lineRule="exact"/>
              <w:ind w:left="69"/>
              <w:rPr>
                <w:sz w:val="18"/>
                <w:szCs w:val="18"/>
              </w:rPr>
            </w:pPr>
            <w:r>
              <w:rPr>
                <w:position w:val="-2"/>
                <w:sz w:val="18"/>
                <w:szCs w:val="18"/>
              </w:rPr>
              <w:t>B</w:t>
            </w:r>
          </w:p>
        </w:tc>
        <w:tc>
          <w:tcPr>
            <w:tcW w:w="220" w:type="dxa"/>
            <w:vAlign w:val="top"/>
          </w:tcPr>
          <w:p w14:paraId="3E225D91">
            <w:pPr>
              <w:pStyle w:val="6"/>
              <w:spacing w:before="64" w:line="135" w:lineRule="exact"/>
              <w:ind w:left="19"/>
              <w:rPr>
                <w:sz w:val="18"/>
                <w:szCs w:val="18"/>
              </w:rPr>
            </w:pPr>
            <w:r>
              <w:rPr>
                <w:position w:val="-2"/>
                <w:sz w:val="18"/>
                <w:szCs w:val="18"/>
              </w:rPr>
              <w:t>C</w:t>
            </w:r>
          </w:p>
        </w:tc>
        <w:tc>
          <w:tcPr>
            <w:tcW w:w="244" w:type="dxa"/>
            <w:vAlign w:val="top"/>
          </w:tcPr>
          <w:p w14:paraId="6AC77BDB">
            <w:pPr>
              <w:pStyle w:val="6"/>
              <w:spacing w:before="66" w:line="133" w:lineRule="exact"/>
              <w:ind w:left="71"/>
              <w:rPr>
                <w:sz w:val="18"/>
                <w:szCs w:val="18"/>
              </w:rPr>
            </w:pPr>
            <w:r>
              <w:rPr>
                <w:b/>
                <w:bCs/>
                <w:spacing w:val="-2"/>
                <w:position w:val="-2"/>
                <w:sz w:val="18"/>
                <w:szCs w:val="18"/>
              </w:rPr>
              <w:t>D</w:t>
            </w:r>
          </w:p>
        </w:tc>
      </w:tr>
      <w:tr w14:paraId="5DA2A1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903" w:type="dxa"/>
            <w:vMerge w:val="restart"/>
            <w:tcBorders>
              <w:bottom w:val="nil"/>
            </w:tcBorders>
            <w:vAlign w:val="top"/>
          </w:tcPr>
          <w:p w14:paraId="3DCF4B6F">
            <w:pPr>
              <w:pStyle w:val="6"/>
              <w:spacing w:before="130" w:line="220" w:lineRule="auto"/>
              <w:ind w:left="85"/>
              <w:rPr>
                <w:sz w:val="18"/>
                <w:szCs w:val="18"/>
              </w:rPr>
            </w:pPr>
            <w:r>
              <w:rPr>
                <w:spacing w:val="-2"/>
                <w:sz w:val="18"/>
                <w:szCs w:val="18"/>
              </w:rPr>
              <w:t>生命的基</w:t>
            </w:r>
          </w:p>
          <w:p w14:paraId="7A7D183B">
            <w:pPr>
              <w:pStyle w:val="6"/>
              <w:spacing w:before="23" w:line="219" w:lineRule="auto"/>
              <w:ind w:left="175"/>
              <w:rPr>
                <w:sz w:val="18"/>
                <w:szCs w:val="18"/>
              </w:rPr>
            </w:pPr>
            <w:r>
              <w:rPr>
                <w:spacing w:val="-2"/>
                <w:sz w:val="18"/>
                <w:szCs w:val="18"/>
              </w:rPr>
              <w:t>本特征</w:t>
            </w:r>
          </w:p>
        </w:tc>
        <w:tc>
          <w:tcPr>
            <w:tcW w:w="2314" w:type="dxa"/>
            <w:vMerge w:val="restart"/>
            <w:tcBorders>
              <w:bottom w:val="nil"/>
            </w:tcBorders>
            <w:vAlign w:val="top"/>
          </w:tcPr>
          <w:p w14:paraId="643C50CD">
            <w:pPr>
              <w:pStyle w:val="6"/>
              <w:spacing w:before="39" w:line="210" w:lineRule="auto"/>
              <w:ind w:left="12" w:right="42"/>
              <w:rPr>
                <w:sz w:val="18"/>
                <w:szCs w:val="18"/>
              </w:rPr>
            </w:pPr>
            <w:r>
              <w:rPr>
                <w:spacing w:val="6"/>
                <w:sz w:val="18"/>
                <w:szCs w:val="18"/>
              </w:rPr>
              <w:t>1.新陈代谢、刺激与反应、</w:t>
            </w:r>
            <w:r>
              <w:rPr>
                <w:spacing w:val="10"/>
                <w:sz w:val="18"/>
                <w:szCs w:val="18"/>
              </w:rPr>
              <w:t xml:space="preserve"> </w:t>
            </w:r>
            <w:r>
              <w:rPr>
                <w:spacing w:val="-2"/>
                <w:sz w:val="18"/>
                <w:szCs w:val="18"/>
              </w:rPr>
              <w:t>兴奋性概念</w:t>
            </w:r>
          </w:p>
          <w:p w14:paraId="5DD31446">
            <w:pPr>
              <w:pStyle w:val="6"/>
              <w:spacing w:line="193" w:lineRule="auto"/>
              <w:ind w:left="12"/>
              <w:rPr>
                <w:sz w:val="18"/>
                <w:szCs w:val="18"/>
              </w:rPr>
            </w:pPr>
            <w:r>
              <w:rPr>
                <w:spacing w:val="-2"/>
                <w:sz w:val="18"/>
                <w:szCs w:val="18"/>
              </w:rPr>
              <w:t>2.机体的内环境</w:t>
            </w:r>
          </w:p>
        </w:tc>
        <w:tc>
          <w:tcPr>
            <w:tcW w:w="219" w:type="dxa"/>
            <w:vAlign w:val="top"/>
          </w:tcPr>
          <w:p w14:paraId="69DC27BC">
            <w:pPr>
              <w:rPr>
                <w:rFonts w:ascii="Arial"/>
                <w:sz w:val="21"/>
              </w:rPr>
            </w:pPr>
          </w:p>
        </w:tc>
        <w:tc>
          <w:tcPr>
            <w:tcW w:w="230" w:type="dxa"/>
            <w:vAlign w:val="top"/>
          </w:tcPr>
          <w:p w14:paraId="36704B74">
            <w:pPr>
              <w:pStyle w:val="6"/>
              <w:spacing w:before="80" w:line="238" w:lineRule="auto"/>
              <w:ind w:left="48"/>
              <w:rPr>
                <w:sz w:val="13"/>
                <w:szCs w:val="13"/>
              </w:rPr>
            </w:pPr>
            <w:r>
              <w:rPr>
                <w:sz w:val="13"/>
                <w:szCs w:val="13"/>
              </w:rPr>
              <w:t>√</w:t>
            </w:r>
          </w:p>
        </w:tc>
        <w:tc>
          <w:tcPr>
            <w:tcW w:w="220" w:type="dxa"/>
            <w:vAlign w:val="top"/>
          </w:tcPr>
          <w:p w14:paraId="02BDDB11">
            <w:pPr>
              <w:rPr>
                <w:rFonts w:ascii="Arial"/>
                <w:sz w:val="21"/>
              </w:rPr>
            </w:pPr>
          </w:p>
        </w:tc>
        <w:tc>
          <w:tcPr>
            <w:tcW w:w="244" w:type="dxa"/>
            <w:vAlign w:val="top"/>
          </w:tcPr>
          <w:p w14:paraId="2FEDE9D3">
            <w:pPr>
              <w:rPr>
                <w:rFonts w:ascii="Arial"/>
                <w:sz w:val="21"/>
              </w:rPr>
            </w:pPr>
          </w:p>
        </w:tc>
      </w:tr>
      <w:tr w14:paraId="13245B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8" w:hRule="atLeast"/>
        </w:trPr>
        <w:tc>
          <w:tcPr>
            <w:tcW w:w="903" w:type="dxa"/>
            <w:vMerge w:val="continue"/>
            <w:tcBorders>
              <w:top w:val="nil"/>
            </w:tcBorders>
            <w:vAlign w:val="top"/>
          </w:tcPr>
          <w:p w14:paraId="53BCF596">
            <w:pPr>
              <w:rPr>
                <w:rFonts w:ascii="Arial"/>
                <w:sz w:val="21"/>
              </w:rPr>
            </w:pPr>
          </w:p>
        </w:tc>
        <w:tc>
          <w:tcPr>
            <w:tcW w:w="2314" w:type="dxa"/>
            <w:vMerge w:val="continue"/>
            <w:tcBorders>
              <w:top w:val="nil"/>
            </w:tcBorders>
            <w:vAlign w:val="top"/>
          </w:tcPr>
          <w:p w14:paraId="014CE197">
            <w:pPr>
              <w:rPr>
                <w:rFonts w:ascii="Arial"/>
                <w:sz w:val="21"/>
              </w:rPr>
            </w:pPr>
          </w:p>
        </w:tc>
        <w:tc>
          <w:tcPr>
            <w:tcW w:w="219" w:type="dxa"/>
            <w:vAlign w:val="top"/>
          </w:tcPr>
          <w:p w14:paraId="0F01C976">
            <w:pPr>
              <w:rPr>
                <w:rFonts w:ascii="Arial"/>
                <w:sz w:val="21"/>
              </w:rPr>
            </w:pPr>
          </w:p>
        </w:tc>
        <w:tc>
          <w:tcPr>
            <w:tcW w:w="230" w:type="dxa"/>
            <w:vAlign w:val="top"/>
          </w:tcPr>
          <w:p w14:paraId="38E6DE93">
            <w:pPr>
              <w:pStyle w:val="6"/>
              <w:spacing w:before="131" w:line="238" w:lineRule="auto"/>
              <w:ind w:left="48"/>
              <w:rPr>
                <w:sz w:val="13"/>
                <w:szCs w:val="13"/>
              </w:rPr>
            </w:pPr>
            <w:r>
              <w:rPr>
                <w:sz w:val="13"/>
                <w:szCs w:val="13"/>
              </w:rPr>
              <w:t>√</w:t>
            </w:r>
          </w:p>
        </w:tc>
        <w:tc>
          <w:tcPr>
            <w:tcW w:w="220" w:type="dxa"/>
            <w:vAlign w:val="top"/>
          </w:tcPr>
          <w:p w14:paraId="665D135A">
            <w:pPr>
              <w:rPr>
                <w:rFonts w:ascii="Arial"/>
                <w:sz w:val="21"/>
              </w:rPr>
            </w:pPr>
          </w:p>
        </w:tc>
        <w:tc>
          <w:tcPr>
            <w:tcW w:w="244" w:type="dxa"/>
            <w:vAlign w:val="top"/>
          </w:tcPr>
          <w:p w14:paraId="1F9D66FC">
            <w:pPr>
              <w:rPr>
                <w:rFonts w:ascii="Arial"/>
                <w:sz w:val="21"/>
              </w:rPr>
            </w:pPr>
          </w:p>
        </w:tc>
      </w:tr>
      <w:tr w14:paraId="166397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8" w:hRule="atLeast"/>
        </w:trPr>
        <w:tc>
          <w:tcPr>
            <w:tcW w:w="903" w:type="dxa"/>
            <w:vMerge w:val="restart"/>
            <w:tcBorders>
              <w:bottom w:val="nil"/>
            </w:tcBorders>
            <w:vAlign w:val="top"/>
          </w:tcPr>
          <w:p w14:paraId="30C0DAA8">
            <w:pPr>
              <w:spacing w:line="321" w:lineRule="auto"/>
              <w:rPr>
                <w:rFonts w:ascii="Arial"/>
                <w:sz w:val="21"/>
              </w:rPr>
            </w:pPr>
          </w:p>
          <w:p w14:paraId="7CF3892D">
            <w:pPr>
              <w:pStyle w:val="6"/>
              <w:spacing w:before="59" w:line="218" w:lineRule="auto"/>
              <w:ind w:left="25" w:right="94" w:firstLine="60"/>
              <w:rPr>
                <w:sz w:val="18"/>
                <w:szCs w:val="18"/>
              </w:rPr>
            </w:pPr>
            <w:r>
              <w:rPr>
                <w:spacing w:val="-2"/>
                <w:sz w:val="18"/>
                <w:szCs w:val="18"/>
              </w:rPr>
              <w:t>机休活动</w:t>
            </w:r>
            <w:r>
              <w:rPr>
                <w:sz w:val="18"/>
                <w:szCs w:val="18"/>
              </w:rPr>
              <w:t xml:space="preserve"> </w:t>
            </w:r>
            <w:r>
              <w:rPr>
                <w:spacing w:val="3"/>
                <w:sz w:val="18"/>
                <w:szCs w:val="18"/>
              </w:rPr>
              <w:t>的调节</w:t>
            </w:r>
          </w:p>
        </w:tc>
        <w:tc>
          <w:tcPr>
            <w:tcW w:w="2314" w:type="dxa"/>
            <w:vMerge w:val="restart"/>
            <w:tcBorders>
              <w:bottom w:val="nil"/>
            </w:tcBorders>
            <w:vAlign w:val="top"/>
          </w:tcPr>
          <w:p w14:paraId="23C777EB">
            <w:pPr>
              <w:pStyle w:val="6"/>
              <w:spacing w:before="263" w:line="220" w:lineRule="auto"/>
              <w:ind w:left="12"/>
              <w:rPr>
                <w:sz w:val="18"/>
                <w:szCs w:val="18"/>
              </w:rPr>
            </w:pPr>
            <w:r>
              <w:rPr>
                <w:spacing w:val="-4"/>
                <w:sz w:val="18"/>
                <w:szCs w:val="18"/>
              </w:rPr>
              <w:t>1.神经调节和体液调节的特点</w:t>
            </w:r>
            <w:r>
              <w:rPr>
                <w:spacing w:val="6"/>
                <w:sz w:val="18"/>
                <w:szCs w:val="18"/>
              </w:rPr>
              <w:t xml:space="preserve"> </w:t>
            </w:r>
            <w:r>
              <w:rPr>
                <w:spacing w:val="-3"/>
                <w:sz w:val="18"/>
                <w:szCs w:val="18"/>
              </w:rPr>
              <w:t>2.反射和反射弧</w:t>
            </w:r>
          </w:p>
          <w:p w14:paraId="7A66FCBF">
            <w:pPr>
              <w:pStyle w:val="6"/>
              <w:spacing w:line="219" w:lineRule="auto"/>
              <w:ind w:left="12"/>
              <w:rPr>
                <w:sz w:val="18"/>
                <w:szCs w:val="18"/>
              </w:rPr>
            </w:pPr>
            <w:r>
              <w:rPr>
                <w:spacing w:val="-7"/>
                <w:sz w:val="18"/>
                <w:szCs w:val="18"/>
              </w:rPr>
              <w:t>3.</w:t>
            </w:r>
            <w:r>
              <w:rPr>
                <w:spacing w:val="-51"/>
                <w:sz w:val="18"/>
                <w:szCs w:val="18"/>
              </w:rPr>
              <w:t xml:space="preserve"> </w:t>
            </w:r>
            <w:r>
              <w:rPr>
                <w:spacing w:val="-7"/>
                <w:sz w:val="18"/>
                <w:szCs w:val="18"/>
              </w:rPr>
              <w:t>自身调节</w:t>
            </w:r>
          </w:p>
        </w:tc>
        <w:tc>
          <w:tcPr>
            <w:tcW w:w="219" w:type="dxa"/>
            <w:vAlign w:val="top"/>
          </w:tcPr>
          <w:p w14:paraId="2FF769BF">
            <w:pPr>
              <w:rPr>
                <w:rFonts w:ascii="Arial"/>
                <w:sz w:val="21"/>
              </w:rPr>
            </w:pPr>
          </w:p>
        </w:tc>
        <w:tc>
          <w:tcPr>
            <w:tcW w:w="230" w:type="dxa"/>
            <w:vAlign w:val="top"/>
          </w:tcPr>
          <w:p w14:paraId="0E0D229C">
            <w:pPr>
              <w:pStyle w:val="6"/>
              <w:spacing w:before="133" w:line="238" w:lineRule="auto"/>
              <w:ind w:left="48"/>
              <w:rPr>
                <w:sz w:val="13"/>
                <w:szCs w:val="13"/>
              </w:rPr>
            </w:pPr>
            <w:r>
              <w:rPr>
                <w:sz w:val="13"/>
                <w:szCs w:val="13"/>
              </w:rPr>
              <w:t>√</w:t>
            </w:r>
          </w:p>
        </w:tc>
        <w:tc>
          <w:tcPr>
            <w:tcW w:w="220" w:type="dxa"/>
            <w:vAlign w:val="top"/>
          </w:tcPr>
          <w:p w14:paraId="677F472E">
            <w:pPr>
              <w:rPr>
                <w:rFonts w:ascii="Arial"/>
                <w:sz w:val="21"/>
              </w:rPr>
            </w:pPr>
          </w:p>
        </w:tc>
        <w:tc>
          <w:tcPr>
            <w:tcW w:w="244" w:type="dxa"/>
            <w:vAlign w:val="top"/>
          </w:tcPr>
          <w:p w14:paraId="5C013E9A">
            <w:pPr>
              <w:rPr>
                <w:rFonts w:ascii="Arial"/>
                <w:sz w:val="21"/>
              </w:rPr>
            </w:pPr>
          </w:p>
        </w:tc>
      </w:tr>
      <w:tr w14:paraId="30A217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8" w:hRule="atLeast"/>
        </w:trPr>
        <w:tc>
          <w:tcPr>
            <w:tcW w:w="903" w:type="dxa"/>
            <w:vMerge w:val="continue"/>
            <w:tcBorders>
              <w:top w:val="nil"/>
              <w:bottom w:val="nil"/>
            </w:tcBorders>
            <w:vAlign w:val="top"/>
          </w:tcPr>
          <w:p w14:paraId="2D0BF683">
            <w:pPr>
              <w:rPr>
                <w:rFonts w:ascii="Arial"/>
                <w:sz w:val="21"/>
              </w:rPr>
            </w:pPr>
          </w:p>
        </w:tc>
        <w:tc>
          <w:tcPr>
            <w:tcW w:w="2314" w:type="dxa"/>
            <w:vMerge w:val="continue"/>
            <w:tcBorders>
              <w:top w:val="nil"/>
              <w:bottom w:val="nil"/>
            </w:tcBorders>
            <w:vAlign w:val="top"/>
          </w:tcPr>
          <w:p w14:paraId="1EDB6739">
            <w:pPr>
              <w:rPr>
                <w:rFonts w:ascii="Arial"/>
                <w:sz w:val="21"/>
              </w:rPr>
            </w:pPr>
          </w:p>
        </w:tc>
        <w:tc>
          <w:tcPr>
            <w:tcW w:w="219" w:type="dxa"/>
            <w:vAlign w:val="top"/>
          </w:tcPr>
          <w:p w14:paraId="130B69D3">
            <w:pPr>
              <w:pStyle w:val="6"/>
              <w:spacing w:before="135" w:line="238" w:lineRule="auto"/>
              <w:ind w:left="38"/>
              <w:rPr>
                <w:sz w:val="13"/>
                <w:szCs w:val="13"/>
              </w:rPr>
            </w:pPr>
            <w:r>
              <w:rPr>
                <w:sz w:val="13"/>
                <w:szCs w:val="13"/>
              </w:rPr>
              <w:t>√</w:t>
            </w:r>
          </w:p>
        </w:tc>
        <w:tc>
          <w:tcPr>
            <w:tcW w:w="230" w:type="dxa"/>
            <w:vAlign w:val="top"/>
          </w:tcPr>
          <w:p w14:paraId="197136C9">
            <w:pPr>
              <w:rPr>
                <w:rFonts w:ascii="Arial"/>
                <w:sz w:val="21"/>
              </w:rPr>
            </w:pPr>
          </w:p>
        </w:tc>
        <w:tc>
          <w:tcPr>
            <w:tcW w:w="220" w:type="dxa"/>
            <w:vAlign w:val="top"/>
          </w:tcPr>
          <w:p w14:paraId="62A404F6">
            <w:pPr>
              <w:rPr>
                <w:rFonts w:ascii="Arial"/>
                <w:sz w:val="21"/>
              </w:rPr>
            </w:pPr>
          </w:p>
        </w:tc>
        <w:tc>
          <w:tcPr>
            <w:tcW w:w="244" w:type="dxa"/>
            <w:vAlign w:val="top"/>
          </w:tcPr>
          <w:p w14:paraId="00B5D6C0">
            <w:pPr>
              <w:rPr>
                <w:rFonts w:ascii="Arial"/>
                <w:sz w:val="21"/>
              </w:rPr>
            </w:pPr>
          </w:p>
        </w:tc>
      </w:tr>
      <w:tr w14:paraId="435DC7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3" w:hRule="atLeast"/>
        </w:trPr>
        <w:tc>
          <w:tcPr>
            <w:tcW w:w="903" w:type="dxa"/>
            <w:vMerge w:val="continue"/>
            <w:tcBorders>
              <w:top w:val="nil"/>
            </w:tcBorders>
            <w:vAlign w:val="top"/>
          </w:tcPr>
          <w:p w14:paraId="290CC28E">
            <w:pPr>
              <w:rPr>
                <w:rFonts w:ascii="Arial"/>
                <w:sz w:val="21"/>
              </w:rPr>
            </w:pPr>
          </w:p>
        </w:tc>
        <w:tc>
          <w:tcPr>
            <w:tcW w:w="2314" w:type="dxa"/>
            <w:vMerge w:val="continue"/>
            <w:tcBorders>
              <w:top w:val="nil"/>
            </w:tcBorders>
            <w:vAlign w:val="top"/>
          </w:tcPr>
          <w:p w14:paraId="0F188068">
            <w:pPr>
              <w:rPr>
                <w:rFonts w:ascii="Arial"/>
                <w:sz w:val="21"/>
              </w:rPr>
            </w:pPr>
          </w:p>
        </w:tc>
        <w:tc>
          <w:tcPr>
            <w:tcW w:w="219" w:type="dxa"/>
            <w:vAlign w:val="top"/>
          </w:tcPr>
          <w:p w14:paraId="6D7E45CE">
            <w:pPr>
              <w:rPr>
                <w:rFonts w:ascii="Arial"/>
                <w:sz w:val="21"/>
              </w:rPr>
            </w:pPr>
          </w:p>
        </w:tc>
        <w:tc>
          <w:tcPr>
            <w:tcW w:w="230" w:type="dxa"/>
            <w:vAlign w:val="top"/>
          </w:tcPr>
          <w:p w14:paraId="075F45CD">
            <w:pPr>
              <w:rPr>
                <w:rFonts w:ascii="Arial"/>
                <w:sz w:val="21"/>
              </w:rPr>
            </w:pPr>
          </w:p>
        </w:tc>
        <w:tc>
          <w:tcPr>
            <w:tcW w:w="220" w:type="dxa"/>
            <w:vAlign w:val="top"/>
          </w:tcPr>
          <w:p w14:paraId="247B9AC2">
            <w:pPr>
              <w:rPr>
                <w:rFonts w:ascii="Arial"/>
                <w:sz w:val="21"/>
              </w:rPr>
            </w:pPr>
          </w:p>
        </w:tc>
        <w:tc>
          <w:tcPr>
            <w:tcW w:w="244" w:type="dxa"/>
            <w:vAlign w:val="top"/>
          </w:tcPr>
          <w:p w14:paraId="7335EB20">
            <w:pPr>
              <w:pStyle w:val="6"/>
              <w:spacing w:before="127" w:line="238" w:lineRule="auto"/>
              <w:ind w:left="49"/>
              <w:rPr>
                <w:sz w:val="13"/>
                <w:szCs w:val="13"/>
              </w:rPr>
            </w:pPr>
            <w:r>
              <w:rPr>
                <w:sz w:val="13"/>
                <w:szCs w:val="13"/>
              </w:rPr>
              <w:t>√</w:t>
            </w:r>
          </w:p>
        </w:tc>
      </w:tr>
    </w:tbl>
    <w:p w14:paraId="1EE68177">
      <w:pPr>
        <w:spacing w:before="129" w:line="222" w:lineRule="auto"/>
        <w:ind w:left="1287"/>
        <w:rPr>
          <w:rFonts w:ascii="黑体" w:hAnsi="黑体" w:eastAsia="黑体" w:cs="黑体"/>
          <w:sz w:val="20"/>
          <w:szCs w:val="20"/>
        </w:rPr>
      </w:pPr>
      <w:r>
        <w:rPr>
          <w:rFonts w:ascii="黑体" w:hAnsi="黑体" w:eastAsia="黑体" w:cs="黑体"/>
          <w:b/>
          <w:bCs/>
          <w:spacing w:val="-11"/>
          <w:sz w:val="20"/>
          <w:szCs w:val="20"/>
        </w:rPr>
        <w:t>第二章</w:t>
      </w:r>
      <w:r>
        <w:rPr>
          <w:rFonts w:ascii="黑体" w:hAnsi="黑体" w:eastAsia="黑体" w:cs="黑体"/>
          <w:spacing w:val="16"/>
          <w:sz w:val="20"/>
          <w:szCs w:val="20"/>
        </w:rPr>
        <w:t xml:space="preserve">  </w:t>
      </w:r>
      <w:r>
        <w:rPr>
          <w:rFonts w:ascii="黑体" w:hAnsi="黑体" w:eastAsia="黑体" w:cs="黑体"/>
          <w:b/>
          <w:bCs/>
          <w:spacing w:val="-11"/>
          <w:sz w:val="20"/>
          <w:szCs w:val="20"/>
        </w:rPr>
        <w:t>细胞生理</w:t>
      </w:r>
    </w:p>
    <w:p w14:paraId="5CC46A73">
      <w:pPr>
        <w:spacing w:line="70" w:lineRule="exact"/>
      </w:pPr>
    </w:p>
    <w:tbl>
      <w:tblPr>
        <w:tblStyle w:val="5"/>
        <w:tblW w:w="413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03"/>
        <w:gridCol w:w="2314"/>
        <w:gridCol w:w="219"/>
        <w:gridCol w:w="230"/>
        <w:gridCol w:w="220"/>
        <w:gridCol w:w="244"/>
      </w:tblGrid>
      <w:tr w14:paraId="5C54E9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903" w:type="dxa"/>
            <w:vMerge w:val="restart"/>
            <w:tcBorders>
              <w:top w:val="single" w:color="000000" w:sz="2" w:space="0"/>
              <w:bottom w:val="nil"/>
            </w:tcBorders>
            <w:vAlign w:val="top"/>
          </w:tcPr>
          <w:p w14:paraId="36E882C1">
            <w:pPr>
              <w:pStyle w:val="6"/>
              <w:spacing w:before="176" w:line="214" w:lineRule="auto"/>
              <w:ind w:left="263" w:hanging="246"/>
              <w:rPr>
                <w:sz w:val="18"/>
                <w:szCs w:val="18"/>
              </w:rPr>
            </w:pPr>
            <w:r>
              <w:rPr>
                <w:b/>
                <w:bCs/>
                <w:spacing w:val="-7"/>
                <w:sz w:val="18"/>
                <w:szCs w:val="18"/>
              </w:rPr>
              <w:t>知识与技能</w:t>
            </w:r>
            <w:r>
              <w:rPr>
                <w:sz w:val="18"/>
                <w:szCs w:val="18"/>
              </w:rPr>
              <w:t xml:space="preserve"> </w:t>
            </w:r>
            <w:r>
              <w:rPr>
                <w:b/>
                <w:bCs/>
                <w:spacing w:val="-6"/>
                <w:sz w:val="18"/>
                <w:szCs w:val="18"/>
              </w:rPr>
              <w:t>要点</w:t>
            </w:r>
          </w:p>
        </w:tc>
        <w:tc>
          <w:tcPr>
            <w:tcW w:w="2314" w:type="dxa"/>
            <w:vMerge w:val="restart"/>
            <w:tcBorders>
              <w:top w:val="single" w:color="000000" w:sz="2" w:space="0"/>
              <w:bottom w:val="nil"/>
            </w:tcBorders>
            <w:vAlign w:val="top"/>
          </w:tcPr>
          <w:p w14:paraId="20892359">
            <w:pPr>
              <w:pStyle w:val="6"/>
              <w:spacing w:before="274" w:line="219" w:lineRule="auto"/>
              <w:ind w:left="824"/>
              <w:rPr>
                <w:sz w:val="18"/>
                <w:szCs w:val="18"/>
              </w:rPr>
            </w:pPr>
            <w:r>
              <w:rPr>
                <w:b/>
                <w:bCs/>
                <w:spacing w:val="5"/>
                <w:sz w:val="18"/>
                <w:szCs w:val="18"/>
              </w:rPr>
              <w:t>考试条目</w:t>
            </w:r>
          </w:p>
        </w:tc>
        <w:tc>
          <w:tcPr>
            <w:tcW w:w="913" w:type="dxa"/>
            <w:gridSpan w:val="4"/>
            <w:tcBorders>
              <w:top w:val="single" w:color="000000" w:sz="2" w:space="0"/>
              <w:bottom w:val="single" w:color="000000" w:sz="2" w:space="0"/>
            </w:tcBorders>
            <w:vAlign w:val="top"/>
          </w:tcPr>
          <w:p w14:paraId="1CA3CA08">
            <w:pPr>
              <w:pStyle w:val="6"/>
              <w:spacing w:before="94" w:line="219" w:lineRule="auto"/>
              <w:ind w:left="130"/>
              <w:rPr>
                <w:sz w:val="18"/>
                <w:szCs w:val="18"/>
              </w:rPr>
            </w:pPr>
            <w:r>
              <w:rPr>
                <w:b/>
                <w:bCs/>
                <w:spacing w:val="-4"/>
                <w:sz w:val="18"/>
                <w:szCs w:val="18"/>
              </w:rPr>
              <w:t>考试水平</w:t>
            </w:r>
          </w:p>
        </w:tc>
      </w:tr>
      <w:tr w14:paraId="151453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4" w:hRule="atLeast"/>
        </w:trPr>
        <w:tc>
          <w:tcPr>
            <w:tcW w:w="903" w:type="dxa"/>
            <w:vMerge w:val="continue"/>
            <w:tcBorders>
              <w:top w:val="nil"/>
              <w:bottom w:val="single" w:color="000000" w:sz="2" w:space="0"/>
            </w:tcBorders>
            <w:vAlign w:val="top"/>
          </w:tcPr>
          <w:p w14:paraId="61E1B765">
            <w:pPr>
              <w:rPr>
                <w:rFonts w:ascii="Arial"/>
                <w:sz w:val="21"/>
              </w:rPr>
            </w:pPr>
          </w:p>
        </w:tc>
        <w:tc>
          <w:tcPr>
            <w:tcW w:w="2314" w:type="dxa"/>
            <w:vMerge w:val="continue"/>
            <w:tcBorders>
              <w:top w:val="nil"/>
              <w:bottom w:val="single" w:color="000000" w:sz="2" w:space="0"/>
            </w:tcBorders>
            <w:vAlign w:val="top"/>
          </w:tcPr>
          <w:p w14:paraId="106F2A0B">
            <w:pPr>
              <w:rPr>
                <w:rFonts w:ascii="Arial"/>
                <w:sz w:val="21"/>
              </w:rPr>
            </w:pPr>
          </w:p>
        </w:tc>
        <w:tc>
          <w:tcPr>
            <w:tcW w:w="219" w:type="dxa"/>
            <w:tcBorders>
              <w:top w:val="single" w:color="000000" w:sz="2" w:space="0"/>
              <w:bottom w:val="single" w:color="000000" w:sz="2" w:space="0"/>
            </w:tcBorders>
            <w:vAlign w:val="top"/>
          </w:tcPr>
          <w:p w14:paraId="2EF56A68">
            <w:pPr>
              <w:pStyle w:val="6"/>
              <w:spacing w:before="138" w:line="184" w:lineRule="auto"/>
              <w:ind w:left="60"/>
              <w:rPr>
                <w:sz w:val="18"/>
                <w:szCs w:val="18"/>
              </w:rPr>
            </w:pPr>
            <w:r>
              <w:rPr>
                <w:b/>
                <w:bCs/>
                <w:spacing w:val="-2"/>
                <w:sz w:val="18"/>
                <w:szCs w:val="18"/>
              </w:rPr>
              <w:t>A</w:t>
            </w:r>
          </w:p>
        </w:tc>
        <w:tc>
          <w:tcPr>
            <w:tcW w:w="230" w:type="dxa"/>
            <w:tcBorders>
              <w:top w:val="single" w:color="000000" w:sz="2" w:space="0"/>
              <w:bottom w:val="single" w:color="000000" w:sz="2" w:space="0"/>
            </w:tcBorders>
            <w:vAlign w:val="top"/>
          </w:tcPr>
          <w:p w14:paraId="0430EC15">
            <w:pPr>
              <w:pStyle w:val="6"/>
              <w:spacing w:before="148" w:line="182" w:lineRule="auto"/>
              <w:ind w:left="81"/>
              <w:rPr>
                <w:sz w:val="14"/>
                <w:szCs w:val="14"/>
              </w:rPr>
            </w:pPr>
            <w:r>
              <w:rPr>
                <w:b/>
                <w:bCs/>
                <w:spacing w:val="-2"/>
                <w:sz w:val="14"/>
                <w:szCs w:val="14"/>
              </w:rPr>
              <w:t>B</w:t>
            </w:r>
          </w:p>
        </w:tc>
        <w:tc>
          <w:tcPr>
            <w:tcW w:w="220" w:type="dxa"/>
            <w:tcBorders>
              <w:top w:val="single" w:color="000000" w:sz="2" w:space="0"/>
              <w:bottom w:val="single" w:color="000000" w:sz="2" w:space="0"/>
            </w:tcBorders>
            <w:vAlign w:val="top"/>
          </w:tcPr>
          <w:p w14:paraId="2DC5CB80">
            <w:pPr>
              <w:pStyle w:val="6"/>
              <w:spacing w:before="138" w:line="183" w:lineRule="auto"/>
              <w:ind w:left="41"/>
              <w:rPr>
                <w:sz w:val="18"/>
                <w:szCs w:val="18"/>
              </w:rPr>
            </w:pPr>
            <w:r>
              <w:rPr>
                <w:b/>
                <w:bCs/>
                <w:spacing w:val="-2"/>
                <w:sz w:val="18"/>
                <w:szCs w:val="18"/>
              </w:rPr>
              <w:t>C</w:t>
            </w:r>
          </w:p>
        </w:tc>
        <w:tc>
          <w:tcPr>
            <w:tcW w:w="244" w:type="dxa"/>
            <w:tcBorders>
              <w:top w:val="single" w:color="000000" w:sz="2" w:space="0"/>
              <w:bottom w:val="single" w:color="000000" w:sz="2" w:space="0"/>
            </w:tcBorders>
            <w:vAlign w:val="top"/>
          </w:tcPr>
          <w:p w14:paraId="11599FEB">
            <w:pPr>
              <w:pStyle w:val="6"/>
              <w:spacing w:before="140" w:line="182" w:lineRule="auto"/>
              <w:ind w:left="31"/>
              <w:rPr>
                <w:sz w:val="18"/>
                <w:szCs w:val="18"/>
              </w:rPr>
            </w:pPr>
            <w:r>
              <w:rPr>
                <w:b/>
                <w:bCs/>
                <w:spacing w:val="-2"/>
                <w:sz w:val="18"/>
                <w:szCs w:val="18"/>
              </w:rPr>
              <w:t>D</w:t>
            </w:r>
          </w:p>
        </w:tc>
      </w:tr>
      <w:tr w14:paraId="41B210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93" w:hRule="atLeast"/>
        </w:trPr>
        <w:tc>
          <w:tcPr>
            <w:tcW w:w="903" w:type="dxa"/>
            <w:tcBorders>
              <w:top w:val="single" w:color="000000" w:sz="2" w:space="0"/>
              <w:bottom w:val="single" w:color="000000" w:sz="2" w:space="0"/>
            </w:tcBorders>
            <w:vAlign w:val="top"/>
          </w:tcPr>
          <w:p w14:paraId="59C3FBD1">
            <w:pPr>
              <w:pStyle w:val="6"/>
              <w:spacing w:before="254" w:line="204" w:lineRule="auto"/>
              <w:ind w:left="85"/>
              <w:rPr>
                <w:sz w:val="18"/>
                <w:szCs w:val="18"/>
              </w:rPr>
            </w:pPr>
            <w:r>
              <w:rPr>
                <w:spacing w:val="-2"/>
                <w:sz w:val="18"/>
                <w:szCs w:val="18"/>
              </w:rPr>
              <w:t>胞膜对物</w:t>
            </w:r>
          </w:p>
          <w:p w14:paraId="07F571D3">
            <w:pPr>
              <w:pStyle w:val="6"/>
              <w:spacing w:line="219" w:lineRule="auto"/>
              <w:ind w:left="85"/>
              <w:rPr>
                <w:sz w:val="18"/>
                <w:szCs w:val="18"/>
              </w:rPr>
            </w:pPr>
            <w:r>
              <w:rPr>
                <w:spacing w:val="-2"/>
                <w:sz w:val="18"/>
                <w:szCs w:val="18"/>
              </w:rPr>
              <w:t>质的特征</w:t>
            </w:r>
          </w:p>
          <w:p w14:paraId="030693DB">
            <w:pPr>
              <w:pStyle w:val="6"/>
              <w:spacing w:before="27" w:line="204" w:lineRule="auto"/>
              <w:ind w:left="175"/>
              <w:rPr>
                <w:sz w:val="18"/>
                <w:szCs w:val="18"/>
              </w:rPr>
            </w:pPr>
            <w:r>
              <w:rPr>
                <w:spacing w:val="4"/>
                <w:sz w:val="18"/>
                <w:szCs w:val="18"/>
              </w:rPr>
              <w:t>形式和</w:t>
            </w:r>
          </w:p>
          <w:p w14:paraId="7B5C21F4">
            <w:pPr>
              <w:pStyle w:val="6"/>
              <w:spacing w:line="219" w:lineRule="auto"/>
              <w:ind w:left="265"/>
              <w:rPr>
                <w:sz w:val="18"/>
                <w:szCs w:val="18"/>
              </w:rPr>
            </w:pPr>
            <w:r>
              <w:rPr>
                <w:spacing w:val="8"/>
                <w:sz w:val="18"/>
                <w:szCs w:val="18"/>
              </w:rPr>
              <w:t>特点</w:t>
            </w:r>
          </w:p>
        </w:tc>
        <w:tc>
          <w:tcPr>
            <w:tcW w:w="2314" w:type="dxa"/>
            <w:tcBorders>
              <w:top w:val="single" w:color="000000" w:sz="2" w:space="0"/>
              <w:bottom w:val="single" w:color="000000" w:sz="2" w:space="0"/>
            </w:tcBorders>
            <w:vAlign w:val="top"/>
          </w:tcPr>
          <w:p w14:paraId="3DC6250A">
            <w:pPr>
              <w:spacing w:line="422" w:lineRule="auto"/>
              <w:rPr>
                <w:rFonts w:ascii="Arial"/>
                <w:sz w:val="21"/>
              </w:rPr>
            </w:pPr>
          </w:p>
          <w:p w14:paraId="5581626F">
            <w:pPr>
              <w:pStyle w:val="6"/>
              <w:spacing w:before="59" w:line="212" w:lineRule="auto"/>
              <w:ind w:left="2" w:right="109" w:firstLine="19"/>
              <w:rPr>
                <w:sz w:val="18"/>
                <w:szCs w:val="18"/>
              </w:rPr>
            </w:pPr>
            <w:r>
              <w:rPr>
                <w:spacing w:val="1"/>
                <w:sz w:val="18"/>
                <w:szCs w:val="18"/>
              </w:rPr>
              <w:t>单纯扩散、易化扩散、主动</w:t>
            </w:r>
            <w:r>
              <w:rPr>
                <w:sz w:val="18"/>
                <w:szCs w:val="18"/>
              </w:rPr>
              <w:t xml:space="preserve"> </w:t>
            </w:r>
            <w:r>
              <w:rPr>
                <w:spacing w:val="1"/>
                <w:sz w:val="18"/>
                <w:szCs w:val="18"/>
              </w:rPr>
              <w:t>转运概念、原理和特点</w:t>
            </w:r>
          </w:p>
        </w:tc>
        <w:tc>
          <w:tcPr>
            <w:tcW w:w="219" w:type="dxa"/>
            <w:tcBorders>
              <w:top w:val="single" w:color="000000" w:sz="2" w:space="0"/>
              <w:bottom w:val="single" w:color="000000" w:sz="2" w:space="0"/>
            </w:tcBorders>
            <w:vAlign w:val="top"/>
          </w:tcPr>
          <w:p w14:paraId="1C7BB3B6">
            <w:pPr>
              <w:rPr>
                <w:rFonts w:ascii="Arial"/>
                <w:sz w:val="21"/>
              </w:rPr>
            </w:pPr>
          </w:p>
        </w:tc>
        <w:tc>
          <w:tcPr>
            <w:tcW w:w="230" w:type="dxa"/>
            <w:tcBorders>
              <w:top w:val="single" w:color="000000" w:sz="2" w:space="0"/>
              <w:bottom w:val="single" w:color="000000" w:sz="2" w:space="0"/>
            </w:tcBorders>
            <w:vAlign w:val="top"/>
          </w:tcPr>
          <w:p w14:paraId="652842DE">
            <w:pPr>
              <w:spacing w:line="273" w:lineRule="auto"/>
              <w:rPr>
                <w:rFonts w:ascii="Arial"/>
                <w:sz w:val="21"/>
              </w:rPr>
            </w:pPr>
          </w:p>
          <w:p w14:paraId="6C560B5C">
            <w:pPr>
              <w:spacing w:line="274" w:lineRule="auto"/>
              <w:rPr>
                <w:rFonts w:ascii="Arial"/>
                <w:sz w:val="21"/>
              </w:rPr>
            </w:pPr>
          </w:p>
          <w:p w14:paraId="3D40E655">
            <w:pPr>
              <w:pStyle w:val="6"/>
              <w:spacing w:before="45" w:line="238" w:lineRule="auto"/>
              <w:ind w:left="39"/>
              <w:rPr>
                <w:sz w:val="14"/>
                <w:szCs w:val="14"/>
              </w:rPr>
            </w:pPr>
            <w:r>
              <w:rPr>
                <w:sz w:val="14"/>
                <w:szCs w:val="14"/>
              </w:rPr>
              <w:t>√</w:t>
            </w:r>
          </w:p>
        </w:tc>
        <w:tc>
          <w:tcPr>
            <w:tcW w:w="220" w:type="dxa"/>
            <w:tcBorders>
              <w:top w:val="single" w:color="000000" w:sz="2" w:space="0"/>
              <w:bottom w:val="single" w:color="000000" w:sz="2" w:space="0"/>
            </w:tcBorders>
            <w:vAlign w:val="top"/>
          </w:tcPr>
          <w:p w14:paraId="2BE5E4BD">
            <w:pPr>
              <w:rPr>
                <w:rFonts w:ascii="Arial"/>
                <w:sz w:val="21"/>
              </w:rPr>
            </w:pPr>
          </w:p>
        </w:tc>
        <w:tc>
          <w:tcPr>
            <w:tcW w:w="244" w:type="dxa"/>
            <w:tcBorders>
              <w:top w:val="single" w:color="000000" w:sz="2" w:space="0"/>
              <w:bottom w:val="single" w:color="000000" w:sz="2" w:space="0"/>
            </w:tcBorders>
            <w:vAlign w:val="top"/>
          </w:tcPr>
          <w:p w14:paraId="23AC3D75">
            <w:pPr>
              <w:rPr>
                <w:rFonts w:ascii="Arial"/>
                <w:sz w:val="21"/>
              </w:rPr>
            </w:pPr>
          </w:p>
        </w:tc>
      </w:tr>
      <w:tr w14:paraId="14B030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5" w:hRule="atLeast"/>
        </w:trPr>
        <w:tc>
          <w:tcPr>
            <w:tcW w:w="903" w:type="dxa"/>
            <w:vMerge w:val="restart"/>
            <w:tcBorders>
              <w:top w:val="single" w:color="000000" w:sz="2" w:space="0"/>
              <w:bottom w:val="nil"/>
            </w:tcBorders>
            <w:vAlign w:val="top"/>
          </w:tcPr>
          <w:p w14:paraId="6ECA3D51">
            <w:pPr>
              <w:spacing w:line="295" w:lineRule="auto"/>
              <w:rPr>
                <w:rFonts w:ascii="Arial"/>
                <w:sz w:val="21"/>
              </w:rPr>
            </w:pPr>
          </w:p>
          <w:p w14:paraId="4037995A">
            <w:pPr>
              <w:pStyle w:val="6"/>
              <w:spacing w:before="58" w:line="223" w:lineRule="auto"/>
              <w:ind w:left="85" w:right="95"/>
              <w:rPr>
                <w:sz w:val="18"/>
                <w:szCs w:val="18"/>
              </w:rPr>
            </w:pPr>
            <w:r>
              <w:rPr>
                <w:spacing w:val="-2"/>
                <w:sz w:val="18"/>
                <w:szCs w:val="18"/>
              </w:rPr>
              <w:t>静息电位</w:t>
            </w:r>
            <w:r>
              <w:rPr>
                <w:sz w:val="18"/>
                <w:szCs w:val="18"/>
              </w:rPr>
              <w:t xml:space="preserve"> </w:t>
            </w:r>
            <w:r>
              <w:rPr>
                <w:spacing w:val="-2"/>
                <w:sz w:val="18"/>
                <w:szCs w:val="18"/>
              </w:rPr>
              <w:t>动作电位</w:t>
            </w:r>
          </w:p>
        </w:tc>
        <w:tc>
          <w:tcPr>
            <w:tcW w:w="2314" w:type="dxa"/>
            <w:vMerge w:val="restart"/>
            <w:tcBorders>
              <w:top w:val="single" w:color="000000" w:sz="2" w:space="0"/>
              <w:bottom w:val="nil"/>
            </w:tcBorders>
            <w:vAlign w:val="top"/>
          </w:tcPr>
          <w:p w14:paraId="09CEA441">
            <w:pPr>
              <w:pStyle w:val="6"/>
              <w:spacing w:before="36" w:line="229" w:lineRule="auto"/>
              <w:ind w:left="2"/>
              <w:rPr>
                <w:sz w:val="18"/>
                <w:szCs w:val="18"/>
              </w:rPr>
            </w:pPr>
            <w:r>
              <w:rPr>
                <w:spacing w:val="-3"/>
                <w:sz w:val="18"/>
                <w:szCs w:val="18"/>
              </w:rPr>
              <w:t>1.静息电位的概念和产生原理</w:t>
            </w:r>
            <w:r>
              <w:rPr>
                <w:spacing w:val="2"/>
                <w:sz w:val="18"/>
                <w:szCs w:val="18"/>
              </w:rPr>
              <w:t xml:space="preserve"> </w:t>
            </w:r>
            <w:r>
              <w:rPr>
                <w:sz w:val="18"/>
                <w:szCs w:val="18"/>
              </w:rPr>
              <w:t>2.动作电位的概念、产生原</w:t>
            </w:r>
            <w:r>
              <w:rPr>
                <w:spacing w:val="3"/>
                <w:sz w:val="18"/>
                <w:szCs w:val="18"/>
              </w:rPr>
              <w:t xml:space="preserve">  </w:t>
            </w:r>
            <w:r>
              <w:rPr>
                <w:sz w:val="18"/>
                <w:szCs w:val="18"/>
              </w:rPr>
              <w:t>理、传导的特点</w:t>
            </w:r>
          </w:p>
          <w:p w14:paraId="70B0F2F7">
            <w:pPr>
              <w:pStyle w:val="6"/>
              <w:spacing w:line="198" w:lineRule="auto"/>
              <w:ind w:left="2" w:right="51"/>
              <w:rPr>
                <w:sz w:val="18"/>
                <w:szCs w:val="18"/>
              </w:rPr>
            </w:pPr>
            <w:r>
              <w:rPr>
                <w:spacing w:val="6"/>
                <w:sz w:val="18"/>
                <w:szCs w:val="18"/>
              </w:rPr>
              <w:t>3.极化、去极化、超极化、</w:t>
            </w:r>
            <w:r>
              <w:rPr>
                <w:spacing w:val="10"/>
                <w:sz w:val="18"/>
                <w:szCs w:val="18"/>
              </w:rPr>
              <w:t xml:space="preserve"> </w:t>
            </w:r>
            <w:r>
              <w:rPr>
                <w:spacing w:val="-2"/>
                <w:sz w:val="18"/>
                <w:szCs w:val="18"/>
              </w:rPr>
              <w:t>复极化、阈电位概念</w:t>
            </w:r>
          </w:p>
        </w:tc>
        <w:tc>
          <w:tcPr>
            <w:tcW w:w="219" w:type="dxa"/>
            <w:tcBorders>
              <w:top w:val="single" w:color="000000" w:sz="2" w:space="0"/>
              <w:bottom w:val="single" w:color="000000" w:sz="2" w:space="0"/>
            </w:tcBorders>
            <w:vAlign w:val="top"/>
          </w:tcPr>
          <w:p w14:paraId="4913A6D1">
            <w:pPr>
              <w:rPr>
                <w:rFonts w:ascii="Arial"/>
                <w:sz w:val="21"/>
              </w:rPr>
            </w:pPr>
          </w:p>
        </w:tc>
        <w:tc>
          <w:tcPr>
            <w:tcW w:w="230" w:type="dxa"/>
            <w:tcBorders>
              <w:top w:val="single" w:color="000000" w:sz="2" w:space="0"/>
              <w:bottom w:val="single" w:color="000000" w:sz="2" w:space="0"/>
            </w:tcBorders>
            <w:vAlign w:val="top"/>
          </w:tcPr>
          <w:p w14:paraId="5A986051">
            <w:pPr>
              <w:pStyle w:val="6"/>
              <w:spacing w:before="127" w:line="238" w:lineRule="auto"/>
              <w:ind w:left="39"/>
              <w:rPr>
                <w:sz w:val="14"/>
                <w:szCs w:val="14"/>
              </w:rPr>
            </w:pPr>
            <w:r>
              <w:rPr>
                <w:sz w:val="14"/>
                <w:szCs w:val="14"/>
              </w:rPr>
              <w:t>√</w:t>
            </w:r>
          </w:p>
        </w:tc>
        <w:tc>
          <w:tcPr>
            <w:tcW w:w="220" w:type="dxa"/>
            <w:tcBorders>
              <w:top w:val="single" w:color="000000" w:sz="2" w:space="0"/>
              <w:bottom w:val="single" w:color="000000" w:sz="2" w:space="0"/>
            </w:tcBorders>
            <w:vAlign w:val="top"/>
          </w:tcPr>
          <w:p w14:paraId="2437D3BF">
            <w:pPr>
              <w:rPr>
                <w:rFonts w:ascii="Arial"/>
                <w:sz w:val="21"/>
              </w:rPr>
            </w:pPr>
          </w:p>
        </w:tc>
        <w:tc>
          <w:tcPr>
            <w:tcW w:w="244" w:type="dxa"/>
            <w:tcBorders>
              <w:top w:val="single" w:color="000000" w:sz="2" w:space="0"/>
              <w:bottom w:val="single" w:color="000000" w:sz="2" w:space="0"/>
            </w:tcBorders>
            <w:vAlign w:val="top"/>
          </w:tcPr>
          <w:p w14:paraId="03B31DA9">
            <w:pPr>
              <w:rPr>
                <w:rFonts w:ascii="Arial"/>
                <w:sz w:val="21"/>
              </w:rPr>
            </w:pPr>
          </w:p>
        </w:tc>
      </w:tr>
      <w:tr w14:paraId="760CB4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4" w:hRule="atLeast"/>
        </w:trPr>
        <w:tc>
          <w:tcPr>
            <w:tcW w:w="903" w:type="dxa"/>
            <w:vMerge w:val="continue"/>
            <w:tcBorders>
              <w:top w:val="nil"/>
              <w:bottom w:val="nil"/>
            </w:tcBorders>
            <w:vAlign w:val="top"/>
          </w:tcPr>
          <w:p w14:paraId="26F7DFA5">
            <w:pPr>
              <w:rPr>
                <w:rFonts w:ascii="Arial"/>
                <w:sz w:val="21"/>
              </w:rPr>
            </w:pPr>
          </w:p>
        </w:tc>
        <w:tc>
          <w:tcPr>
            <w:tcW w:w="2314" w:type="dxa"/>
            <w:vMerge w:val="continue"/>
            <w:tcBorders>
              <w:top w:val="nil"/>
              <w:bottom w:val="nil"/>
            </w:tcBorders>
            <w:vAlign w:val="top"/>
          </w:tcPr>
          <w:p w14:paraId="0EBCFB40">
            <w:pPr>
              <w:rPr>
                <w:rFonts w:ascii="Arial"/>
                <w:sz w:val="21"/>
              </w:rPr>
            </w:pPr>
          </w:p>
        </w:tc>
        <w:tc>
          <w:tcPr>
            <w:tcW w:w="219" w:type="dxa"/>
            <w:tcBorders>
              <w:top w:val="single" w:color="000000" w:sz="2" w:space="0"/>
              <w:bottom w:val="single" w:color="000000" w:sz="2" w:space="0"/>
            </w:tcBorders>
            <w:vAlign w:val="top"/>
          </w:tcPr>
          <w:p w14:paraId="40C9A528">
            <w:pPr>
              <w:pStyle w:val="6"/>
              <w:spacing w:before="126" w:line="238" w:lineRule="auto"/>
              <w:ind w:left="38"/>
              <w:rPr>
                <w:sz w:val="13"/>
                <w:szCs w:val="13"/>
              </w:rPr>
            </w:pPr>
            <w:r>
              <w:rPr>
                <w:sz w:val="13"/>
                <w:szCs w:val="13"/>
              </w:rPr>
              <w:t>√</w:t>
            </w:r>
          </w:p>
        </w:tc>
        <w:tc>
          <w:tcPr>
            <w:tcW w:w="230" w:type="dxa"/>
            <w:tcBorders>
              <w:top w:val="single" w:color="000000" w:sz="2" w:space="0"/>
              <w:bottom w:val="single" w:color="000000" w:sz="2" w:space="0"/>
            </w:tcBorders>
            <w:vAlign w:val="top"/>
          </w:tcPr>
          <w:p w14:paraId="656B168A">
            <w:pPr>
              <w:rPr>
                <w:rFonts w:ascii="Arial"/>
                <w:sz w:val="21"/>
              </w:rPr>
            </w:pPr>
          </w:p>
        </w:tc>
        <w:tc>
          <w:tcPr>
            <w:tcW w:w="220" w:type="dxa"/>
            <w:tcBorders>
              <w:top w:val="single" w:color="000000" w:sz="2" w:space="0"/>
              <w:bottom w:val="single" w:color="000000" w:sz="2" w:space="0"/>
            </w:tcBorders>
            <w:vAlign w:val="top"/>
          </w:tcPr>
          <w:p w14:paraId="176A10FE">
            <w:pPr>
              <w:rPr>
                <w:rFonts w:ascii="Arial"/>
                <w:sz w:val="21"/>
              </w:rPr>
            </w:pPr>
          </w:p>
        </w:tc>
        <w:tc>
          <w:tcPr>
            <w:tcW w:w="244" w:type="dxa"/>
            <w:tcBorders>
              <w:top w:val="single" w:color="000000" w:sz="2" w:space="0"/>
              <w:bottom w:val="single" w:color="000000" w:sz="2" w:space="0"/>
            </w:tcBorders>
            <w:vAlign w:val="top"/>
          </w:tcPr>
          <w:p w14:paraId="454BC844">
            <w:pPr>
              <w:rPr>
                <w:rFonts w:ascii="Arial"/>
                <w:sz w:val="21"/>
              </w:rPr>
            </w:pPr>
          </w:p>
        </w:tc>
      </w:tr>
      <w:tr w14:paraId="60837D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4" w:hRule="atLeast"/>
        </w:trPr>
        <w:tc>
          <w:tcPr>
            <w:tcW w:w="903" w:type="dxa"/>
            <w:vMerge w:val="continue"/>
            <w:tcBorders>
              <w:top w:val="nil"/>
              <w:bottom w:val="single" w:color="000000" w:sz="2" w:space="0"/>
            </w:tcBorders>
            <w:vAlign w:val="top"/>
          </w:tcPr>
          <w:p w14:paraId="21E7A530">
            <w:pPr>
              <w:rPr>
                <w:rFonts w:ascii="Arial"/>
                <w:sz w:val="21"/>
              </w:rPr>
            </w:pPr>
          </w:p>
        </w:tc>
        <w:tc>
          <w:tcPr>
            <w:tcW w:w="2314" w:type="dxa"/>
            <w:vMerge w:val="continue"/>
            <w:tcBorders>
              <w:top w:val="nil"/>
              <w:bottom w:val="single" w:color="000000" w:sz="2" w:space="0"/>
            </w:tcBorders>
            <w:vAlign w:val="top"/>
          </w:tcPr>
          <w:p w14:paraId="468443BE">
            <w:pPr>
              <w:rPr>
                <w:rFonts w:ascii="Arial"/>
                <w:sz w:val="21"/>
              </w:rPr>
            </w:pPr>
          </w:p>
        </w:tc>
        <w:tc>
          <w:tcPr>
            <w:tcW w:w="219" w:type="dxa"/>
            <w:tcBorders>
              <w:top w:val="single" w:color="000000" w:sz="2" w:space="0"/>
              <w:bottom w:val="single" w:color="000000" w:sz="2" w:space="0"/>
            </w:tcBorders>
            <w:vAlign w:val="top"/>
          </w:tcPr>
          <w:p w14:paraId="142DDE7B">
            <w:pPr>
              <w:rPr>
                <w:rFonts w:ascii="Arial"/>
                <w:sz w:val="21"/>
              </w:rPr>
            </w:pPr>
          </w:p>
        </w:tc>
        <w:tc>
          <w:tcPr>
            <w:tcW w:w="230" w:type="dxa"/>
            <w:tcBorders>
              <w:top w:val="single" w:color="000000" w:sz="2" w:space="0"/>
              <w:bottom w:val="single" w:color="000000" w:sz="2" w:space="0"/>
            </w:tcBorders>
            <w:vAlign w:val="top"/>
          </w:tcPr>
          <w:p w14:paraId="1F44EEE4">
            <w:pPr>
              <w:pStyle w:val="6"/>
              <w:spacing w:before="138" w:line="238" w:lineRule="auto"/>
              <w:ind w:left="39"/>
              <w:rPr>
                <w:sz w:val="14"/>
                <w:szCs w:val="14"/>
              </w:rPr>
            </w:pPr>
            <w:r>
              <w:rPr>
                <w:sz w:val="14"/>
                <w:szCs w:val="14"/>
              </w:rPr>
              <w:t>√</w:t>
            </w:r>
          </w:p>
        </w:tc>
        <w:tc>
          <w:tcPr>
            <w:tcW w:w="220" w:type="dxa"/>
            <w:tcBorders>
              <w:top w:val="single" w:color="000000" w:sz="2" w:space="0"/>
              <w:bottom w:val="single" w:color="000000" w:sz="2" w:space="0"/>
            </w:tcBorders>
            <w:vAlign w:val="top"/>
          </w:tcPr>
          <w:p w14:paraId="138A3058">
            <w:pPr>
              <w:rPr>
                <w:rFonts w:ascii="Arial"/>
                <w:sz w:val="21"/>
              </w:rPr>
            </w:pPr>
          </w:p>
        </w:tc>
        <w:tc>
          <w:tcPr>
            <w:tcW w:w="244" w:type="dxa"/>
            <w:tcBorders>
              <w:top w:val="single" w:color="000000" w:sz="2" w:space="0"/>
              <w:bottom w:val="single" w:color="000000" w:sz="2" w:space="0"/>
            </w:tcBorders>
            <w:vAlign w:val="top"/>
          </w:tcPr>
          <w:p w14:paraId="72C8F4EE">
            <w:pPr>
              <w:rPr>
                <w:rFonts w:ascii="Arial"/>
                <w:sz w:val="21"/>
              </w:rPr>
            </w:pPr>
          </w:p>
        </w:tc>
      </w:tr>
      <w:tr w14:paraId="099636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4" w:hRule="atLeast"/>
        </w:trPr>
        <w:tc>
          <w:tcPr>
            <w:tcW w:w="903" w:type="dxa"/>
            <w:vMerge w:val="restart"/>
            <w:tcBorders>
              <w:top w:val="single" w:color="000000" w:sz="2" w:space="0"/>
              <w:bottom w:val="nil"/>
            </w:tcBorders>
            <w:vAlign w:val="top"/>
          </w:tcPr>
          <w:p w14:paraId="47654773">
            <w:pPr>
              <w:spacing w:line="297" w:lineRule="auto"/>
              <w:rPr>
                <w:rFonts w:ascii="Arial"/>
                <w:sz w:val="21"/>
              </w:rPr>
            </w:pPr>
          </w:p>
          <w:p w14:paraId="6BBC5559">
            <w:pPr>
              <w:pStyle w:val="6"/>
              <w:spacing w:before="59" w:line="216" w:lineRule="auto"/>
              <w:ind w:left="85" w:right="78"/>
              <w:rPr>
                <w:sz w:val="18"/>
                <w:szCs w:val="18"/>
              </w:rPr>
            </w:pPr>
            <w:r>
              <w:rPr>
                <w:spacing w:val="-2"/>
                <w:sz w:val="18"/>
                <w:szCs w:val="18"/>
              </w:rPr>
              <w:t>肌细胞的</w:t>
            </w:r>
            <w:r>
              <w:rPr>
                <w:spacing w:val="1"/>
                <w:sz w:val="18"/>
                <w:szCs w:val="18"/>
              </w:rPr>
              <w:t xml:space="preserve"> </w:t>
            </w:r>
            <w:r>
              <w:rPr>
                <w:spacing w:val="2"/>
                <w:sz w:val="18"/>
                <w:szCs w:val="18"/>
              </w:rPr>
              <w:t>收缩功能</w:t>
            </w:r>
          </w:p>
        </w:tc>
        <w:tc>
          <w:tcPr>
            <w:tcW w:w="2314" w:type="dxa"/>
            <w:vMerge w:val="restart"/>
            <w:tcBorders>
              <w:top w:val="single" w:color="000000" w:sz="2" w:space="0"/>
              <w:bottom w:val="nil"/>
            </w:tcBorders>
            <w:vAlign w:val="top"/>
          </w:tcPr>
          <w:p w14:paraId="785C57D0">
            <w:pPr>
              <w:pStyle w:val="6"/>
              <w:spacing w:before="225" w:line="226" w:lineRule="auto"/>
              <w:ind w:left="2" w:right="125" w:firstLine="10"/>
              <w:rPr>
                <w:sz w:val="18"/>
                <w:szCs w:val="18"/>
              </w:rPr>
            </w:pPr>
            <w:r>
              <w:rPr>
                <w:sz w:val="18"/>
                <w:szCs w:val="18"/>
              </w:rPr>
              <w:t>1.骨骼肌收缩的原理、过程</w:t>
            </w:r>
            <w:r>
              <w:rPr>
                <w:spacing w:val="5"/>
                <w:sz w:val="18"/>
                <w:szCs w:val="18"/>
              </w:rPr>
              <w:t xml:space="preserve"> </w:t>
            </w:r>
            <w:r>
              <w:rPr>
                <w:spacing w:val="-2"/>
                <w:sz w:val="18"/>
                <w:szCs w:val="18"/>
              </w:rPr>
              <w:t>和形式</w:t>
            </w:r>
          </w:p>
          <w:p w14:paraId="5FECF907">
            <w:pPr>
              <w:pStyle w:val="6"/>
              <w:spacing w:line="218" w:lineRule="auto"/>
              <w:jc w:val="right"/>
              <w:rPr>
                <w:sz w:val="18"/>
                <w:szCs w:val="18"/>
              </w:rPr>
            </w:pPr>
            <w:r>
              <w:rPr>
                <w:spacing w:val="-3"/>
                <w:sz w:val="18"/>
                <w:szCs w:val="18"/>
              </w:rPr>
              <w:t>2.钙离子在肌肉收缩中的作用</w:t>
            </w:r>
          </w:p>
        </w:tc>
        <w:tc>
          <w:tcPr>
            <w:tcW w:w="219" w:type="dxa"/>
            <w:tcBorders>
              <w:top w:val="single" w:color="000000" w:sz="2" w:space="0"/>
              <w:bottom w:val="single" w:color="000000" w:sz="2" w:space="0"/>
            </w:tcBorders>
            <w:vAlign w:val="top"/>
          </w:tcPr>
          <w:p w14:paraId="42C30440">
            <w:pPr>
              <w:rPr>
                <w:rFonts w:ascii="Arial"/>
                <w:sz w:val="21"/>
              </w:rPr>
            </w:pPr>
          </w:p>
        </w:tc>
        <w:tc>
          <w:tcPr>
            <w:tcW w:w="230" w:type="dxa"/>
            <w:tcBorders>
              <w:top w:val="single" w:color="000000" w:sz="2" w:space="0"/>
              <w:bottom w:val="single" w:color="000000" w:sz="2" w:space="0"/>
            </w:tcBorders>
            <w:vAlign w:val="top"/>
          </w:tcPr>
          <w:p w14:paraId="5523F1E3">
            <w:pPr>
              <w:rPr>
                <w:rFonts w:ascii="Arial"/>
                <w:sz w:val="21"/>
              </w:rPr>
            </w:pPr>
          </w:p>
        </w:tc>
        <w:tc>
          <w:tcPr>
            <w:tcW w:w="220" w:type="dxa"/>
            <w:tcBorders>
              <w:top w:val="single" w:color="000000" w:sz="2" w:space="0"/>
              <w:bottom w:val="single" w:color="000000" w:sz="2" w:space="0"/>
            </w:tcBorders>
            <w:vAlign w:val="top"/>
          </w:tcPr>
          <w:p w14:paraId="157F7C25">
            <w:pPr>
              <w:rPr>
                <w:rFonts w:ascii="Arial"/>
                <w:sz w:val="21"/>
              </w:rPr>
            </w:pPr>
          </w:p>
        </w:tc>
        <w:tc>
          <w:tcPr>
            <w:tcW w:w="244" w:type="dxa"/>
            <w:tcBorders>
              <w:top w:val="single" w:color="000000" w:sz="2" w:space="0"/>
              <w:bottom w:val="single" w:color="000000" w:sz="2" w:space="0"/>
            </w:tcBorders>
            <w:vAlign w:val="top"/>
          </w:tcPr>
          <w:p w14:paraId="519B15DB">
            <w:pPr>
              <w:rPr>
                <w:rFonts w:ascii="Arial"/>
                <w:sz w:val="21"/>
              </w:rPr>
            </w:pPr>
          </w:p>
        </w:tc>
      </w:tr>
      <w:tr w14:paraId="33753E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0" w:hRule="atLeast"/>
        </w:trPr>
        <w:tc>
          <w:tcPr>
            <w:tcW w:w="903" w:type="dxa"/>
            <w:vMerge w:val="continue"/>
            <w:tcBorders>
              <w:top w:val="nil"/>
              <w:bottom w:val="single" w:color="000000" w:sz="2" w:space="0"/>
            </w:tcBorders>
            <w:vAlign w:val="top"/>
          </w:tcPr>
          <w:p w14:paraId="3EEC25D4">
            <w:pPr>
              <w:rPr>
                <w:rFonts w:ascii="Arial"/>
                <w:sz w:val="21"/>
              </w:rPr>
            </w:pPr>
          </w:p>
        </w:tc>
        <w:tc>
          <w:tcPr>
            <w:tcW w:w="2314" w:type="dxa"/>
            <w:vMerge w:val="continue"/>
            <w:tcBorders>
              <w:top w:val="nil"/>
              <w:bottom w:val="single" w:color="000000" w:sz="2" w:space="0"/>
            </w:tcBorders>
            <w:vAlign w:val="top"/>
          </w:tcPr>
          <w:p w14:paraId="44634E96">
            <w:pPr>
              <w:rPr>
                <w:rFonts w:ascii="Arial"/>
                <w:sz w:val="21"/>
              </w:rPr>
            </w:pPr>
          </w:p>
        </w:tc>
        <w:tc>
          <w:tcPr>
            <w:tcW w:w="219" w:type="dxa"/>
            <w:tcBorders>
              <w:top w:val="single" w:color="000000" w:sz="2" w:space="0"/>
              <w:bottom w:val="single" w:color="000000" w:sz="2" w:space="0"/>
            </w:tcBorders>
            <w:vAlign w:val="top"/>
          </w:tcPr>
          <w:p w14:paraId="23481F49">
            <w:pPr>
              <w:rPr>
                <w:rFonts w:ascii="Arial"/>
                <w:sz w:val="21"/>
              </w:rPr>
            </w:pPr>
          </w:p>
        </w:tc>
        <w:tc>
          <w:tcPr>
            <w:tcW w:w="230" w:type="dxa"/>
            <w:tcBorders>
              <w:top w:val="single" w:color="000000" w:sz="2" w:space="0"/>
              <w:bottom w:val="single" w:color="000000" w:sz="2" w:space="0"/>
            </w:tcBorders>
            <w:vAlign w:val="top"/>
          </w:tcPr>
          <w:p w14:paraId="16B28400">
            <w:pPr>
              <w:pStyle w:val="6"/>
              <w:spacing w:before="110" w:line="238" w:lineRule="auto"/>
              <w:ind w:left="39"/>
              <w:rPr>
                <w:sz w:val="14"/>
                <w:szCs w:val="14"/>
              </w:rPr>
            </w:pPr>
            <w:r>
              <w:rPr>
                <w:sz w:val="14"/>
                <w:szCs w:val="14"/>
              </w:rPr>
              <w:t>√</w:t>
            </w:r>
          </w:p>
        </w:tc>
        <w:tc>
          <w:tcPr>
            <w:tcW w:w="220" w:type="dxa"/>
            <w:tcBorders>
              <w:top w:val="single" w:color="000000" w:sz="2" w:space="0"/>
              <w:bottom w:val="single" w:color="000000" w:sz="2" w:space="0"/>
            </w:tcBorders>
            <w:vAlign w:val="top"/>
          </w:tcPr>
          <w:p w14:paraId="0CD8864C">
            <w:pPr>
              <w:rPr>
                <w:rFonts w:ascii="Arial"/>
                <w:sz w:val="21"/>
              </w:rPr>
            </w:pPr>
          </w:p>
        </w:tc>
        <w:tc>
          <w:tcPr>
            <w:tcW w:w="244" w:type="dxa"/>
            <w:tcBorders>
              <w:top w:val="single" w:color="000000" w:sz="2" w:space="0"/>
              <w:bottom w:val="single" w:color="000000" w:sz="2" w:space="0"/>
            </w:tcBorders>
            <w:vAlign w:val="top"/>
          </w:tcPr>
          <w:p w14:paraId="10753A03">
            <w:pPr>
              <w:rPr>
                <w:rFonts w:ascii="Arial"/>
                <w:sz w:val="21"/>
              </w:rPr>
            </w:pPr>
          </w:p>
        </w:tc>
      </w:tr>
    </w:tbl>
    <w:p w14:paraId="0D4EA2DD">
      <w:pPr>
        <w:pStyle w:val="2"/>
        <w:spacing w:line="14" w:lineRule="auto"/>
        <w:rPr>
          <w:sz w:val="2"/>
        </w:rPr>
      </w:pPr>
    </w:p>
    <w:p w14:paraId="676CBD26">
      <w:pPr>
        <w:spacing w:line="14" w:lineRule="auto"/>
        <w:rPr>
          <w:sz w:val="2"/>
          <w:szCs w:val="2"/>
        </w:rPr>
        <w:sectPr>
          <w:type w:val="continuous"/>
          <w:pgSz w:w="10660" w:h="15080"/>
          <w:pgMar w:top="400" w:right="885" w:bottom="925" w:left="1014" w:header="0" w:footer="705" w:gutter="0"/>
          <w:cols w:equalWidth="0" w:num="2">
            <w:col w:w="4511" w:space="100"/>
            <w:col w:w="4150"/>
          </w:cols>
        </w:sectPr>
      </w:pPr>
    </w:p>
    <w:p w14:paraId="32CA3B11">
      <w:pPr>
        <w:spacing w:before="80"/>
      </w:pPr>
    </w:p>
    <w:p w14:paraId="4E7122E7">
      <w:pPr>
        <w:spacing w:before="80"/>
      </w:pPr>
    </w:p>
    <w:p w14:paraId="18D31658">
      <w:pPr>
        <w:spacing w:before="79"/>
      </w:pPr>
    </w:p>
    <w:p w14:paraId="7A12F6BA">
      <w:pPr>
        <w:sectPr>
          <w:footerReference r:id="rId70" w:type="default"/>
          <w:pgSz w:w="10660" w:h="15080"/>
          <w:pgMar w:top="400" w:right="1034" w:bottom="925" w:left="819" w:header="0" w:footer="705" w:gutter="0"/>
          <w:cols w:equalWidth="0" w:num="1">
            <w:col w:w="8806"/>
          </w:cols>
        </w:sectPr>
      </w:pPr>
    </w:p>
    <w:p w14:paraId="452F5558">
      <w:pPr>
        <w:spacing w:before="40" w:line="222" w:lineRule="auto"/>
        <w:ind w:left="1552"/>
        <w:rPr>
          <w:rFonts w:ascii="黑体" w:hAnsi="黑体" w:eastAsia="黑体" w:cs="黑体"/>
          <w:sz w:val="20"/>
          <w:szCs w:val="20"/>
        </w:rPr>
      </w:pPr>
      <w:r>
        <w:rPr>
          <w:rFonts w:ascii="黑体" w:hAnsi="黑体" w:eastAsia="黑体" w:cs="黑体"/>
          <w:b/>
          <w:bCs/>
          <w:spacing w:val="-9"/>
          <w:sz w:val="20"/>
          <w:szCs w:val="20"/>
        </w:rPr>
        <w:t>第三章</w:t>
      </w:r>
      <w:r>
        <w:rPr>
          <w:rFonts w:ascii="黑体" w:hAnsi="黑体" w:eastAsia="黑体" w:cs="黑体"/>
          <w:spacing w:val="9"/>
          <w:sz w:val="20"/>
          <w:szCs w:val="20"/>
        </w:rPr>
        <w:t xml:space="preserve">  </w:t>
      </w:r>
      <w:r>
        <w:rPr>
          <w:rFonts w:ascii="黑体" w:hAnsi="黑体" w:eastAsia="黑体" w:cs="黑体"/>
          <w:b/>
          <w:bCs/>
          <w:spacing w:val="-9"/>
          <w:sz w:val="20"/>
          <w:szCs w:val="20"/>
        </w:rPr>
        <w:t>血液</w:t>
      </w:r>
    </w:p>
    <w:p w14:paraId="2D74AA36">
      <w:pPr>
        <w:spacing w:line="90" w:lineRule="exact"/>
      </w:pPr>
    </w:p>
    <w:tbl>
      <w:tblPr>
        <w:tblStyle w:val="5"/>
        <w:tblW w:w="4119"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14"/>
        <w:gridCol w:w="230"/>
        <w:gridCol w:w="229"/>
        <w:gridCol w:w="219"/>
        <w:gridCol w:w="234"/>
      </w:tblGrid>
      <w:tr w14:paraId="100B61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5" w:hRule="atLeast"/>
        </w:trPr>
        <w:tc>
          <w:tcPr>
            <w:tcW w:w="893" w:type="dxa"/>
            <w:vMerge w:val="restart"/>
            <w:tcBorders>
              <w:bottom w:val="nil"/>
            </w:tcBorders>
            <w:vAlign w:val="top"/>
          </w:tcPr>
          <w:p w14:paraId="30065386">
            <w:pPr>
              <w:pStyle w:val="6"/>
              <w:spacing w:before="70" w:line="225" w:lineRule="auto"/>
              <w:ind w:left="257" w:right="1" w:hanging="240"/>
              <w:rPr>
                <w:sz w:val="18"/>
                <w:szCs w:val="18"/>
              </w:rPr>
            </w:pPr>
            <w:r>
              <w:rPr>
                <w:b/>
                <w:bCs/>
                <w:spacing w:val="-10"/>
                <w:sz w:val="18"/>
                <w:szCs w:val="18"/>
              </w:rPr>
              <w:t>知识与技能</w:t>
            </w:r>
            <w:r>
              <w:rPr>
                <w:spacing w:val="3"/>
                <w:sz w:val="18"/>
                <w:szCs w:val="18"/>
              </w:rPr>
              <w:t xml:space="preserve"> </w:t>
            </w:r>
            <w:r>
              <w:rPr>
                <w:b/>
                <w:bCs/>
                <w:spacing w:val="-4"/>
                <w:sz w:val="18"/>
                <w:szCs w:val="18"/>
              </w:rPr>
              <w:t>要点</w:t>
            </w:r>
          </w:p>
        </w:tc>
        <w:tc>
          <w:tcPr>
            <w:tcW w:w="2314" w:type="dxa"/>
            <w:vMerge w:val="restart"/>
            <w:tcBorders>
              <w:bottom w:val="nil"/>
            </w:tcBorders>
            <w:vAlign w:val="top"/>
          </w:tcPr>
          <w:p w14:paraId="1E38CE21">
            <w:pPr>
              <w:pStyle w:val="6"/>
              <w:spacing w:before="190" w:line="219" w:lineRule="auto"/>
              <w:ind w:left="834"/>
              <w:rPr>
                <w:sz w:val="18"/>
                <w:szCs w:val="18"/>
              </w:rPr>
            </w:pPr>
            <w:r>
              <w:rPr>
                <w:b/>
                <w:bCs/>
                <w:spacing w:val="5"/>
                <w:sz w:val="18"/>
                <w:szCs w:val="18"/>
              </w:rPr>
              <w:t>考试条目</w:t>
            </w:r>
          </w:p>
        </w:tc>
        <w:tc>
          <w:tcPr>
            <w:tcW w:w="912" w:type="dxa"/>
            <w:gridSpan w:val="4"/>
            <w:vAlign w:val="top"/>
          </w:tcPr>
          <w:p w14:paraId="307776F4">
            <w:pPr>
              <w:pStyle w:val="6"/>
              <w:spacing w:before="50" w:line="219" w:lineRule="auto"/>
              <w:ind w:left="130"/>
              <w:rPr>
                <w:sz w:val="18"/>
                <w:szCs w:val="18"/>
              </w:rPr>
            </w:pPr>
            <w:r>
              <w:rPr>
                <w:b/>
                <w:bCs/>
                <w:spacing w:val="-4"/>
                <w:sz w:val="18"/>
                <w:szCs w:val="18"/>
              </w:rPr>
              <w:t>考试水平</w:t>
            </w:r>
          </w:p>
        </w:tc>
      </w:tr>
      <w:tr w14:paraId="2B59F1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continue"/>
            <w:tcBorders>
              <w:top w:val="nil"/>
            </w:tcBorders>
            <w:vAlign w:val="top"/>
          </w:tcPr>
          <w:p w14:paraId="344262F2">
            <w:pPr>
              <w:rPr>
                <w:rFonts w:ascii="Arial"/>
                <w:sz w:val="21"/>
              </w:rPr>
            </w:pPr>
          </w:p>
        </w:tc>
        <w:tc>
          <w:tcPr>
            <w:tcW w:w="2314" w:type="dxa"/>
            <w:vMerge w:val="continue"/>
            <w:tcBorders>
              <w:top w:val="nil"/>
            </w:tcBorders>
            <w:vAlign w:val="top"/>
          </w:tcPr>
          <w:p w14:paraId="73840B8E">
            <w:pPr>
              <w:rPr>
                <w:rFonts w:ascii="Arial"/>
                <w:sz w:val="21"/>
              </w:rPr>
            </w:pPr>
          </w:p>
        </w:tc>
        <w:tc>
          <w:tcPr>
            <w:tcW w:w="230" w:type="dxa"/>
            <w:vAlign w:val="top"/>
          </w:tcPr>
          <w:p w14:paraId="2C63E236">
            <w:pPr>
              <w:pStyle w:val="6"/>
              <w:spacing w:before="82" w:line="171" w:lineRule="auto"/>
              <w:ind w:left="70"/>
              <w:rPr>
                <w:sz w:val="18"/>
                <w:szCs w:val="18"/>
              </w:rPr>
            </w:pPr>
            <w:r>
              <w:rPr>
                <w:b/>
                <w:bCs/>
                <w:spacing w:val="-2"/>
                <w:sz w:val="18"/>
                <w:szCs w:val="18"/>
              </w:rPr>
              <w:t>A</w:t>
            </w:r>
          </w:p>
        </w:tc>
        <w:tc>
          <w:tcPr>
            <w:tcW w:w="229" w:type="dxa"/>
            <w:vAlign w:val="top"/>
          </w:tcPr>
          <w:p w14:paraId="702DEF2C">
            <w:pPr>
              <w:pStyle w:val="6"/>
              <w:spacing w:before="85" w:line="168" w:lineRule="auto"/>
              <w:ind w:left="20"/>
              <w:rPr>
                <w:sz w:val="18"/>
                <w:szCs w:val="18"/>
              </w:rPr>
            </w:pPr>
            <w:r>
              <w:rPr>
                <w:b/>
                <w:bCs/>
                <w:spacing w:val="-2"/>
                <w:sz w:val="18"/>
                <w:szCs w:val="18"/>
              </w:rPr>
              <w:t>B</w:t>
            </w:r>
          </w:p>
        </w:tc>
        <w:tc>
          <w:tcPr>
            <w:tcW w:w="219" w:type="dxa"/>
            <w:vAlign w:val="top"/>
          </w:tcPr>
          <w:p w14:paraId="378FC7A8">
            <w:pPr>
              <w:pStyle w:val="6"/>
              <w:spacing w:before="84" w:line="169" w:lineRule="auto"/>
              <w:ind w:left="49"/>
              <w:rPr>
                <w:sz w:val="18"/>
                <w:szCs w:val="18"/>
              </w:rPr>
            </w:pPr>
            <w:r>
              <w:rPr>
                <w:sz w:val="18"/>
                <w:szCs w:val="18"/>
              </w:rPr>
              <w:t>C</w:t>
            </w:r>
          </w:p>
        </w:tc>
        <w:tc>
          <w:tcPr>
            <w:tcW w:w="234" w:type="dxa"/>
            <w:vAlign w:val="top"/>
          </w:tcPr>
          <w:p w14:paraId="23CA68AE">
            <w:pPr>
              <w:pStyle w:val="6"/>
              <w:spacing w:before="85" w:line="168" w:lineRule="auto"/>
              <w:ind w:left="72"/>
              <w:rPr>
                <w:sz w:val="18"/>
                <w:szCs w:val="18"/>
              </w:rPr>
            </w:pPr>
            <w:r>
              <w:rPr>
                <w:b/>
                <w:bCs/>
                <w:spacing w:val="-2"/>
                <w:sz w:val="18"/>
                <w:szCs w:val="18"/>
              </w:rPr>
              <w:t>D</w:t>
            </w:r>
          </w:p>
        </w:tc>
      </w:tr>
      <w:tr w14:paraId="2363E8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9" w:hRule="atLeast"/>
        </w:trPr>
        <w:tc>
          <w:tcPr>
            <w:tcW w:w="893" w:type="dxa"/>
            <w:vMerge w:val="restart"/>
            <w:tcBorders>
              <w:bottom w:val="nil"/>
            </w:tcBorders>
            <w:vAlign w:val="top"/>
          </w:tcPr>
          <w:p w14:paraId="50FCA6E5">
            <w:pPr>
              <w:pStyle w:val="6"/>
              <w:spacing w:before="139" w:line="223" w:lineRule="auto"/>
              <w:ind w:left="74" w:hanging="60"/>
              <w:rPr>
                <w:sz w:val="18"/>
                <w:szCs w:val="18"/>
              </w:rPr>
            </w:pPr>
            <w:r>
              <w:rPr>
                <w:spacing w:val="-7"/>
                <w:sz w:val="18"/>
                <w:szCs w:val="18"/>
              </w:rPr>
              <w:t>血液有形成</w:t>
            </w:r>
            <w:r>
              <w:rPr>
                <w:spacing w:val="2"/>
                <w:sz w:val="18"/>
                <w:szCs w:val="18"/>
              </w:rPr>
              <w:t xml:space="preserve"> </w:t>
            </w:r>
            <w:r>
              <w:rPr>
                <w:spacing w:val="-3"/>
                <w:sz w:val="18"/>
                <w:szCs w:val="18"/>
              </w:rPr>
              <w:t>分的种类</w:t>
            </w:r>
            <w:r>
              <w:rPr>
                <w:sz w:val="18"/>
                <w:szCs w:val="18"/>
              </w:rPr>
              <w:t xml:space="preserve">  </w:t>
            </w:r>
            <w:r>
              <w:rPr>
                <w:spacing w:val="-3"/>
                <w:sz w:val="18"/>
                <w:szCs w:val="18"/>
              </w:rPr>
              <w:t>与正常值</w:t>
            </w:r>
          </w:p>
        </w:tc>
        <w:tc>
          <w:tcPr>
            <w:tcW w:w="2314" w:type="dxa"/>
            <w:vMerge w:val="restart"/>
            <w:tcBorders>
              <w:bottom w:val="nil"/>
            </w:tcBorders>
            <w:vAlign w:val="top"/>
          </w:tcPr>
          <w:p w14:paraId="21F1416F">
            <w:pPr>
              <w:pStyle w:val="6"/>
              <w:spacing w:before="38" w:line="222" w:lineRule="auto"/>
              <w:ind w:left="2" w:right="117"/>
              <w:jc w:val="both"/>
              <w:rPr>
                <w:sz w:val="18"/>
                <w:szCs w:val="18"/>
              </w:rPr>
            </w:pPr>
            <w:r>
              <w:rPr>
                <w:sz w:val="18"/>
                <w:szCs w:val="18"/>
              </w:rPr>
              <w:t>1.血量、血浆、血清、红细</w:t>
            </w:r>
            <w:r>
              <w:rPr>
                <w:spacing w:val="10"/>
                <w:sz w:val="18"/>
                <w:szCs w:val="18"/>
              </w:rPr>
              <w:t xml:space="preserve"> </w:t>
            </w:r>
            <w:r>
              <w:rPr>
                <w:spacing w:val="2"/>
                <w:sz w:val="18"/>
                <w:szCs w:val="18"/>
              </w:rPr>
              <w:t>胞比容、等渗溶液的概念和</w:t>
            </w:r>
            <w:r>
              <w:rPr>
                <w:sz w:val="18"/>
                <w:szCs w:val="18"/>
              </w:rPr>
              <w:t xml:space="preserve"> </w:t>
            </w:r>
            <w:r>
              <w:rPr>
                <w:spacing w:val="-3"/>
                <w:sz w:val="18"/>
                <w:szCs w:val="18"/>
              </w:rPr>
              <w:t>正常值</w:t>
            </w:r>
          </w:p>
          <w:p w14:paraId="62A48267">
            <w:pPr>
              <w:pStyle w:val="6"/>
              <w:spacing w:line="194" w:lineRule="auto"/>
              <w:ind w:left="2"/>
              <w:rPr>
                <w:sz w:val="18"/>
                <w:szCs w:val="18"/>
              </w:rPr>
            </w:pPr>
            <w:r>
              <w:rPr>
                <w:spacing w:val="-1"/>
                <w:sz w:val="18"/>
                <w:szCs w:val="18"/>
              </w:rPr>
              <w:t>2.血浆渗透压的生理意义</w:t>
            </w:r>
          </w:p>
        </w:tc>
        <w:tc>
          <w:tcPr>
            <w:tcW w:w="230" w:type="dxa"/>
            <w:vAlign w:val="top"/>
          </w:tcPr>
          <w:p w14:paraId="03A8FDEB">
            <w:pPr>
              <w:pStyle w:val="6"/>
              <w:spacing w:before="249" w:line="238" w:lineRule="auto"/>
              <w:ind w:left="47"/>
              <w:rPr>
                <w:sz w:val="13"/>
                <w:szCs w:val="13"/>
              </w:rPr>
            </w:pPr>
            <w:r>
              <w:rPr>
                <w:sz w:val="13"/>
                <w:szCs w:val="13"/>
              </w:rPr>
              <w:t>√</w:t>
            </w:r>
          </w:p>
        </w:tc>
        <w:tc>
          <w:tcPr>
            <w:tcW w:w="229" w:type="dxa"/>
            <w:vAlign w:val="top"/>
          </w:tcPr>
          <w:p w14:paraId="687EC579">
            <w:pPr>
              <w:rPr>
                <w:rFonts w:ascii="Arial"/>
                <w:sz w:val="21"/>
              </w:rPr>
            </w:pPr>
          </w:p>
        </w:tc>
        <w:tc>
          <w:tcPr>
            <w:tcW w:w="219" w:type="dxa"/>
            <w:vAlign w:val="top"/>
          </w:tcPr>
          <w:p w14:paraId="682AEFDB">
            <w:pPr>
              <w:rPr>
                <w:rFonts w:ascii="Arial"/>
                <w:sz w:val="21"/>
              </w:rPr>
            </w:pPr>
          </w:p>
        </w:tc>
        <w:tc>
          <w:tcPr>
            <w:tcW w:w="234" w:type="dxa"/>
            <w:vAlign w:val="top"/>
          </w:tcPr>
          <w:p w14:paraId="4218BF02">
            <w:pPr>
              <w:rPr>
                <w:rFonts w:ascii="Arial"/>
                <w:sz w:val="21"/>
              </w:rPr>
            </w:pPr>
          </w:p>
        </w:tc>
      </w:tr>
      <w:tr w14:paraId="428597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9" w:hRule="atLeast"/>
        </w:trPr>
        <w:tc>
          <w:tcPr>
            <w:tcW w:w="893" w:type="dxa"/>
            <w:vMerge w:val="continue"/>
            <w:tcBorders>
              <w:top w:val="nil"/>
            </w:tcBorders>
            <w:vAlign w:val="top"/>
          </w:tcPr>
          <w:p w14:paraId="43907DEB">
            <w:pPr>
              <w:rPr>
                <w:rFonts w:ascii="Arial"/>
                <w:sz w:val="21"/>
              </w:rPr>
            </w:pPr>
          </w:p>
        </w:tc>
        <w:tc>
          <w:tcPr>
            <w:tcW w:w="2314" w:type="dxa"/>
            <w:vMerge w:val="continue"/>
            <w:tcBorders>
              <w:top w:val="nil"/>
            </w:tcBorders>
            <w:vAlign w:val="top"/>
          </w:tcPr>
          <w:p w14:paraId="17C5CE0B">
            <w:pPr>
              <w:rPr>
                <w:rFonts w:ascii="Arial"/>
                <w:sz w:val="21"/>
              </w:rPr>
            </w:pPr>
          </w:p>
        </w:tc>
        <w:tc>
          <w:tcPr>
            <w:tcW w:w="230" w:type="dxa"/>
            <w:vAlign w:val="top"/>
          </w:tcPr>
          <w:p w14:paraId="70AB6A78">
            <w:pPr>
              <w:rPr>
                <w:rFonts w:ascii="Arial"/>
                <w:sz w:val="21"/>
              </w:rPr>
            </w:pPr>
          </w:p>
        </w:tc>
        <w:tc>
          <w:tcPr>
            <w:tcW w:w="229" w:type="dxa"/>
            <w:vAlign w:val="top"/>
          </w:tcPr>
          <w:p w14:paraId="3EE25C15">
            <w:pPr>
              <w:rPr>
                <w:rFonts w:ascii="Arial"/>
                <w:sz w:val="21"/>
              </w:rPr>
            </w:pPr>
          </w:p>
        </w:tc>
        <w:tc>
          <w:tcPr>
            <w:tcW w:w="219" w:type="dxa"/>
            <w:vAlign w:val="top"/>
          </w:tcPr>
          <w:p w14:paraId="050587A7">
            <w:pPr>
              <w:rPr>
                <w:rFonts w:ascii="Arial"/>
                <w:sz w:val="21"/>
              </w:rPr>
            </w:pPr>
          </w:p>
        </w:tc>
        <w:tc>
          <w:tcPr>
            <w:tcW w:w="234" w:type="dxa"/>
            <w:vAlign w:val="top"/>
          </w:tcPr>
          <w:p w14:paraId="4B038BC7">
            <w:pPr>
              <w:rPr>
                <w:rFonts w:ascii="Arial"/>
                <w:sz w:val="21"/>
              </w:rPr>
            </w:pPr>
          </w:p>
        </w:tc>
      </w:tr>
      <w:tr w14:paraId="108D73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9" w:hRule="atLeast"/>
        </w:trPr>
        <w:tc>
          <w:tcPr>
            <w:tcW w:w="893" w:type="dxa"/>
            <w:vMerge w:val="restart"/>
            <w:tcBorders>
              <w:bottom w:val="nil"/>
            </w:tcBorders>
            <w:vAlign w:val="top"/>
          </w:tcPr>
          <w:p w14:paraId="0D4EFCD9">
            <w:pPr>
              <w:spacing w:line="290" w:lineRule="auto"/>
              <w:rPr>
                <w:rFonts w:ascii="Arial"/>
                <w:sz w:val="21"/>
              </w:rPr>
            </w:pPr>
          </w:p>
          <w:p w14:paraId="2984F91F">
            <w:pPr>
              <w:pStyle w:val="6"/>
              <w:spacing w:before="59" w:line="220" w:lineRule="auto"/>
              <w:ind w:left="165"/>
              <w:rPr>
                <w:sz w:val="18"/>
                <w:szCs w:val="18"/>
              </w:rPr>
            </w:pPr>
            <w:r>
              <w:rPr>
                <w:spacing w:val="-2"/>
                <w:sz w:val="18"/>
                <w:szCs w:val="18"/>
              </w:rPr>
              <w:t>血细胞</w:t>
            </w:r>
          </w:p>
        </w:tc>
        <w:tc>
          <w:tcPr>
            <w:tcW w:w="2314" w:type="dxa"/>
            <w:vMerge w:val="restart"/>
            <w:tcBorders>
              <w:bottom w:val="nil"/>
            </w:tcBorders>
            <w:vAlign w:val="top"/>
          </w:tcPr>
          <w:p w14:paraId="2AD50C99">
            <w:pPr>
              <w:pStyle w:val="6"/>
              <w:spacing w:before="30" w:line="218" w:lineRule="auto"/>
              <w:ind w:left="2" w:right="52"/>
              <w:rPr>
                <w:sz w:val="18"/>
                <w:szCs w:val="18"/>
              </w:rPr>
            </w:pPr>
            <w:r>
              <w:rPr>
                <w:spacing w:val="6"/>
                <w:sz w:val="18"/>
                <w:szCs w:val="18"/>
              </w:rPr>
              <w:t>1.红细胞的正常值、特性、</w:t>
            </w:r>
            <w:r>
              <w:rPr>
                <w:spacing w:val="10"/>
                <w:sz w:val="18"/>
                <w:szCs w:val="18"/>
              </w:rPr>
              <w:t xml:space="preserve"> </w:t>
            </w:r>
            <w:r>
              <w:rPr>
                <w:spacing w:val="-2"/>
                <w:sz w:val="18"/>
                <w:szCs w:val="18"/>
              </w:rPr>
              <w:t>功能、生成调节</w:t>
            </w:r>
          </w:p>
          <w:p w14:paraId="498E2851">
            <w:pPr>
              <w:pStyle w:val="6"/>
              <w:spacing w:before="15" w:line="199" w:lineRule="auto"/>
              <w:ind w:left="11" w:hanging="9"/>
              <w:rPr>
                <w:sz w:val="18"/>
                <w:szCs w:val="18"/>
              </w:rPr>
            </w:pPr>
            <w:r>
              <w:rPr>
                <w:spacing w:val="-3"/>
                <w:sz w:val="18"/>
                <w:szCs w:val="18"/>
              </w:rPr>
              <w:t>2.白细胞的正常值及生理功能</w:t>
            </w:r>
            <w:r>
              <w:rPr>
                <w:spacing w:val="2"/>
                <w:sz w:val="18"/>
                <w:szCs w:val="18"/>
              </w:rPr>
              <w:t xml:space="preserve"> </w:t>
            </w:r>
            <w:r>
              <w:rPr>
                <w:spacing w:val="-4"/>
                <w:sz w:val="18"/>
                <w:szCs w:val="18"/>
              </w:rPr>
              <w:t>3.血小板的正常值及主要功能</w:t>
            </w:r>
          </w:p>
        </w:tc>
        <w:tc>
          <w:tcPr>
            <w:tcW w:w="230" w:type="dxa"/>
            <w:vAlign w:val="top"/>
          </w:tcPr>
          <w:p w14:paraId="7A9731E8">
            <w:pPr>
              <w:rPr>
                <w:rFonts w:ascii="Arial"/>
                <w:sz w:val="21"/>
              </w:rPr>
            </w:pPr>
          </w:p>
        </w:tc>
        <w:tc>
          <w:tcPr>
            <w:tcW w:w="229" w:type="dxa"/>
            <w:vAlign w:val="top"/>
          </w:tcPr>
          <w:p w14:paraId="08559370">
            <w:pPr>
              <w:rPr>
                <w:rFonts w:ascii="Arial"/>
                <w:sz w:val="21"/>
              </w:rPr>
            </w:pPr>
          </w:p>
        </w:tc>
        <w:tc>
          <w:tcPr>
            <w:tcW w:w="219" w:type="dxa"/>
            <w:vAlign w:val="top"/>
          </w:tcPr>
          <w:p w14:paraId="676AE6E5">
            <w:pPr>
              <w:rPr>
                <w:rFonts w:ascii="Arial"/>
                <w:sz w:val="21"/>
              </w:rPr>
            </w:pPr>
          </w:p>
        </w:tc>
        <w:tc>
          <w:tcPr>
            <w:tcW w:w="234" w:type="dxa"/>
            <w:vAlign w:val="top"/>
          </w:tcPr>
          <w:p w14:paraId="53E6391A">
            <w:pPr>
              <w:rPr>
                <w:rFonts w:ascii="Arial"/>
                <w:sz w:val="21"/>
              </w:rPr>
            </w:pPr>
          </w:p>
        </w:tc>
      </w:tr>
      <w:tr w14:paraId="181FD2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0" w:hRule="atLeast"/>
        </w:trPr>
        <w:tc>
          <w:tcPr>
            <w:tcW w:w="893" w:type="dxa"/>
            <w:vMerge w:val="continue"/>
            <w:tcBorders>
              <w:top w:val="nil"/>
              <w:bottom w:val="nil"/>
            </w:tcBorders>
            <w:vAlign w:val="top"/>
          </w:tcPr>
          <w:p w14:paraId="5E4563C5">
            <w:pPr>
              <w:rPr>
                <w:rFonts w:ascii="Arial"/>
                <w:sz w:val="21"/>
              </w:rPr>
            </w:pPr>
          </w:p>
        </w:tc>
        <w:tc>
          <w:tcPr>
            <w:tcW w:w="2314" w:type="dxa"/>
            <w:vMerge w:val="continue"/>
            <w:tcBorders>
              <w:top w:val="nil"/>
              <w:bottom w:val="nil"/>
            </w:tcBorders>
            <w:vAlign w:val="top"/>
          </w:tcPr>
          <w:p w14:paraId="5D1523CF">
            <w:pPr>
              <w:rPr>
                <w:rFonts w:ascii="Arial"/>
                <w:sz w:val="21"/>
              </w:rPr>
            </w:pPr>
          </w:p>
        </w:tc>
        <w:tc>
          <w:tcPr>
            <w:tcW w:w="230" w:type="dxa"/>
            <w:vAlign w:val="top"/>
          </w:tcPr>
          <w:p w14:paraId="6D88777C">
            <w:pPr>
              <w:spacing w:line="230" w:lineRule="exact"/>
              <w:rPr>
                <w:rFonts w:ascii="Arial"/>
                <w:sz w:val="20"/>
              </w:rPr>
            </w:pPr>
          </w:p>
        </w:tc>
        <w:tc>
          <w:tcPr>
            <w:tcW w:w="229" w:type="dxa"/>
            <w:vAlign w:val="top"/>
          </w:tcPr>
          <w:p w14:paraId="33378D41">
            <w:pPr>
              <w:spacing w:line="230" w:lineRule="exact"/>
              <w:rPr>
                <w:rFonts w:ascii="Arial"/>
                <w:sz w:val="20"/>
              </w:rPr>
            </w:pPr>
          </w:p>
        </w:tc>
        <w:tc>
          <w:tcPr>
            <w:tcW w:w="219" w:type="dxa"/>
            <w:vAlign w:val="top"/>
          </w:tcPr>
          <w:p w14:paraId="61A0F91A">
            <w:pPr>
              <w:spacing w:line="230" w:lineRule="exact"/>
              <w:rPr>
                <w:rFonts w:ascii="Arial"/>
                <w:sz w:val="20"/>
              </w:rPr>
            </w:pPr>
          </w:p>
        </w:tc>
        <w:tc>
          <w:tcPr>
            <w:tcW w:w="234" w:type="dxa"/>
            <w:vAlign w:val="top"/>
          </w:tcPr>
          <w:p w14:paraId="3D5B6B93">
            <w:pPr>
              <w:spacing w:line="230" w:lineRule="exact"/>
              <w:rPr>
                <w:rFonts w:ascii="Arial"/>
                <w:sz w:val="20"/>
              </w:rPr>
            </w:pPr>
          </w:p>
        </w:tc>
      </w:tr>
      <w:tr w14:paraId="444771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0" w:hRule="atLeast"/>
        </w:trPr>
        <w:tc>
          <w:tcPr>
            <w:tcW w:w="893" w:type="dxa"/>
            <w:vMerge w:val="continue"/>
            <w:tcBorders>
              <w:top w:val="nil"/>
            </w:tcBorders>
            <w:vAlign w:val="top"/>
          </w:tcPr>
          <w:p w14:paraId="6486F490">
            <w:pPr>
              <w:rPr>
                <w:rFonts w:ascii="Arial"/>
                <w:sz w:val="21"/>
              </w:rPr>
            </w:pPr>
          </w:p>
        </w:tc>
        <w:tc>
          <w:tcPr>
            <w:tcW w:w="2314" w:type="dxa"/>
            <w:vMerge w:val="continue"/>
            <w:tcBorders>
              <w:top w:val="nil"/>
            </w:tcBorders>
            <w:vAlign w:val="top"/>
          </w:tcPr>
          <w:p w14:paraId="78230B0E">
            <w:pPr>
              <w:rPr>
                <w:rFonts w:ascii="Arial"/>
                <w:sz w:val="21"/>
              </w:rPr>
            </w:pPr>
          </w:p>
        </w:tc>
        <w:tc>
          <w:tcPr>
            <w:tcW w:w="230" w:type="dxa"/>
            <w:vAlign w:val="top"/>
          </w:tcPr>
          <w:p w14:paraId="03A81B21">
            <w:pPr>
              <w:spacing w:line="200" w:lineRule="exact"/>
              <w:rPr>
                <w:rFonts w:ascii="Arial"/>
                <w:sz w:val="17"/>
              </w:rPr>
            </w:pPr>
          </w:p>
        </w:tc>
        <w:tc>
          <w:tcPr>
            <w:tcW w:w="229" w:type="dxa"/>
            <w:vAlign w:val="top"/>
          </w:tcPr>
          <w:p w14:paraId="3BE42105">
            <w:pPr>
              <w:spacing w:line="200" w:lineRule="exact"/>
              <w:rPr>
                <w:rFonts w:ascii="Arial"/>
                <w:sz w:val="17"/>
              </w:rPr>
            </w:pPr>
          </w:p>
        </w:tc>
        <w:tc>
          <w:tcPr>
            <w:tcW w:w="219" w:type="dxa"/>
            <w:vAlign w:val="top"/>
          </w:tcPr>
          <w:p w14:paraId="625B90A9">
            <w:pPr>
              <w:spacing w:line="200" w:lineRule="exact"/>
              <w:rPr>
                <w:rFonts w:ascii="Arial"/>
                <w:sz w:val="17"/>
              </w:rPr>
            </w:pPr>
          </w:p>
        </w:tc>
        <w:tc>
          <w:tcPr>
            <w:tcW w:w="234" w:type="dxa"/>
            <w:vAlign w:val="top"/>
          </w:tcPr>
          <w:p w14:paraId="24CFD87D">
            <w:pPr>
              <w:spacing w:line="200" w:lineRule="exact"/>
              <w:rPr>
                <w:rFonts w:ascii="Arial"/>
                <w:sz w:val="17"/>
              </w:rPr>
            </w:pPr>
          </w:p>
        </w:tc>
      </w:tr>
      <w:tr w14:paraId="2A99A8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9" w:hRule="atLeast"/>
        </w:trPr>
        <w:tc>
          <w:tcPr>
            <w:tcW w:w="893" w:type="dxa"/>
            <w:vMerge w:val="restart"/>
            <w:tcBorders>
              <w:bottom w:val="nil"/>
            </w:tcBorders>
            <w:vAlign w:val="top"/>
          </w:tcPr>
          <w:p w14:paraId="1E3A35C9">
            <w:pPr>
              <w:spacing w:line="255" w:lineRule="auto"/>
              <w:rPr>
                <w:rFonts w:ascii="Arial"/>
                <w:sz w:val="21"/>
              </w:rPr>
            </w:pPr>
          </w:p>
          <w:p w14:paraId="6A109FE4">
            <w:pPr>
              <w:spacing w:line="255" w:lineRule="auto"/>
              <w:rPr>
                <w:rFonts w:ascii="Arial"/>
                <w:sz w:val="21"/>
              </w:rPr>
            </w:pPr>
          </w:p>
          <w:p w14:paraId="38778DF2">
            <w:pPr>
              <w:pStyle w:val="6"/>
              <w:spacing w:before="58" w:line="220" w:lineRule="auto"/>
              <w:ind w:left="74"/>
              <w:rPr>
                <w:sz w:val="18"/>
                <w:szCs w:val="18"/>
              </w:rPr>
            </w:pPr>
            <w:r>
              <w:rPr>
                <w:spacing w:val="4"/>
                <w:sz w:val="18"/>
                <w:szCs w:val="18"/>
              </w:rPr>
              <w:t>血液凝固</w:t>
            </w:r>
          </w:p>
        </w:tc>
        <w:tc>
          <w:tcPr>
            <w:tcW w:w="2314" w:type="dxa"/>
            <w:vMerge w:val="restart"/>
            <w:tcBorders>
              <w:bottom w:val="nil"/>
            </w:tcBorders>
            <w:vAlign w:val="top"/>
          </w:tcPr>
          <w:p w14:paraId="2778E3A9">
            <w:pPr>
              <w:pStyle w:val="6"/>
              <w:spacing w:before="59" w:line="222" w:lineRule="auto"/>
              <w:ind w:left="2" w:firstLine="9"/>
              <w:rPr>
                <w:sz w:val="18"/>
                <w:szCs w:val="18"/>
              </w:rPr>
            </w:pPr>
            <w:r>
              <w:rPr>
                <w:spacing w:val="-4"/>
                <w:sz w:val="18"/>
                <w:szCs w:val="18"/>
              </w:rPr>
              <w:t>1.血液凝固的概念和基本步骤</w:t>
            </w:r>
            <w:r>
              <w:rPr>
                <w:spacing w:val="7"/>
                <w:sz w:val="18"/>
                <w:szCs w:val="18"/>
              </w:rPr>
              <w:t xml:space="preserve"> </w:t>
            </w:r>
            <w:r>
              <w:rPr>
                <w:spacing w:val="-2"/>
                <w:sz w:val="18"/>
                <w:szCs w:val="18"/>
              </w:rPr>
              <w:t>2.内源性、外源性激活途径</w:t>
            </w:r>
            <w:r>
              <w:rPr>
                <w:spacing w:val="4"/>
                <w:sz w:val="18"/>
                <w:szCs w:val="18"/>
              </w:rPr>
              <w:t xml:space="preserve">  </w:t>
            </w:r>
            <w:r>
              <w:rPr>
                <w:spacing w:val="-1"/>
                <w:sz w:val="18"/>
                <w:szCs w:val="18"/>
              </w:rPr>
              <w:t>3.正常人血管内血液保持流</w:t>
            </w:r>
            <w:r>
              <w:rPr>
                <w:spacing w:val="2"/>
                <w:sz w:val="18"/>
                <w:szCs w:val="18"/>
              </w:rPr>
              <w:t xml:space="preserve">  动状态的原因</w:t>
            </w:r>
          </w:p>
          <w:p w14:paraId="525D34FC">
            <w:pPr>
              <w:pStyle w:val="6"/>
              <w:spacing w:before="6" w:line="192" w:lineRule="auto"/>
              <w:ind w:left="2" w:right="117" w:firstLine="9"/>
              <w:rPr>
                <w:sz w:val="18"/>
                <w:szCs w:val="18"/>
              </w:rPr>
            </w:pPr>
            <w:r>
              <w:rPr>
                <w:spacing w:val="1"/>
                <w:sz w:val="18"/>
                <w:szCs w:val="18"/>
              </w:rPr>
              <w:t>4.血液凝固的加速和延缓的</w:t>
            </w:r>
            <w:r>
              <w:rPr>
                <w:sz w:val="18"/>
                <w:szCs w:val="18"/>
              </w:rPr>
              <w:t xml:space="preserve"> </w:t>
            </w:r>
            <w:r>
              <w:rPr>
                <w:spacing w:val="5"/>
                <w:sz w:val="18"/>
                <w:szCs w:val="18"/>
              </w:rPr>
              <w:t>临床应用</w:t>
            </w:r>
          </w:p>
        </w:tc>
        <w:tc>
          <w:tcPr>
            <w:tcW w:w="230" w:type="dxa"/>
            <w:vAlign w:val="top"/>
          </w:tcPr>
          <w:p w14:paraId="39DF2372">
            <w:pPr>
              <w:spacing w:line="209" w:lineRule="exact"/>
              <w:rPr>
                <w:rFonts w:ascii="Arial"/>
                <w:sz w:val="18"/>
              </w:rPr>
            </w:pPr>
          </w:p>
        </w:tc>
        <w:tc>
          <w:tcPr>
            <w:tcW w:w="229" w:type="dxa"/>
            <w:vAlign w:val="top"/>
          </w:tcPr>
          <w:p w14:paraId="0928BF47">
            <w:pPr>
              <w:spacing w:line="209" w:lineRule="exact"/>
              <w:rPr>
                <w:rFonts w:ascii="Arial"/>
                <w:sz w:val="18"/>
              </w:rPr>
            </w:pPr>
          </w:p>
        </w:tc>
        <w:tc>
          <w:tcPr>
            <w:tcW w:w="219" w:type="dxa"/>
            <w:vAlign w:val="top"/>
          </w:tcPr>
          <w:p w14:paraId="2190DE1B">
            <w:pPr>
              <w:spacing w:line="209" w:lineRule="exact"/>
              <w:rPr>
                <w:rFonts w:ascii="Arial"/>
                <w:sz w:val="18"/>
              </w:rPr>
            </w:pPr>
          </w:p>
        </w:tc>
        <w:tc>
          <w:tcPr>
            <w:tcW w:w="234" w:type="dxa"/>
            <w:vAlign w:val="top"/>
          </w:tcPr>
          <w:p w14:paraId="3C49CA5D">
            <w:pPr>
              <w:spacing w:line="209" w:lineRule="exact"/>
              <w:rPr>
                <w:rFonts w:ascii="Arial"/>
                <w:sz w:val="18"/>
              </w:rPr>
            </w:pPr>
          </w:p>
        </w:tc>
      </w:tr>
      <w:tr w14:paraId="3E7797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9" w:hRule="atLeast"/>
        </w:trPr>
        <w:tc>
          <w:tcPr>
            <w:tcW w:w="893" w:type="dxa"/>
            <w:vMerge w:val="continue"/>
            <w:tcBorders>
              <w:top w:val="nil"/>
              <w:bottom w:val="nil"/>
            </w:tcBorders>
            <w:vAlign w:val="top"/>
          </w:tcPr>
          <w:p w14:paraId="3F416BAB">
            <w:pPr>
              <w:rPr>
                <w:rFonts w:ascii="Arial"/>
                <w:sz w:val="21"/>
              </w:rPr>
            </w:pPr>
          </w:p>
        </w:tc>
        <w:tc>
          <w:tcPr>
            <w:tcW w:w="2314" w:type="dxa"/>
            <w:vMerge w:val="continue"/>
            <w:tcBorders>
              <w:top w:val="nil"/>
              <w:bottom w:val="nil"/>
            </w:tcBorders>
            <w:vAlign w:val="top"/>
          </w:tcPr>
          <w:p w14:paraId="5A5834DF">
            <w:pPr>
              <w:rPr>
                <w:rFonts w:ascii="Arial"/>
                <w:sz w:val="21"/>
              </w:rPr>
            </w:pPr>
          </w:p>
        </w:tc>
        <w:tc>
          <w:tcPr>
            <w:tcW w:w="230" w:type="dxa"/>
            <w:vAlign w:val="top"/>
          </w:tcPr>
          <w:p w14:paraId="78A6B1BA">
            <w:pPr>
              <w:spacing w:line="209" w:lineRule="exact"/>
              <w:rPr>
                <w:rFonts w:ascii="Arial"/>
                <w:sz w:val="18"/>
              </w:rPr>
            </w:pPr>
          </w:p>
        </w:tc>
        <w:tc>
          <w:tcPr>
            <w:tcW w:w="229" w:type="dxa"/>
            <w:vAlign w:val="top"/>
          </w:tcPr>
          <w:p w14:paraId="17D4C890">
            <w:pPr>
              <w:spacing w:line="209" w:lineRule="exact"/>
              <w:rPr>
                <w:rFonts w:ascii="Arial"/>
                <w:sz w:val="18"/>
              </w:rPr>
            </w:pPr>
          </w:p>
        </w:tc>
        <w:tc>
          <w:tcPr>
            <w:tcW w:w="219" w:type="dxa"/>
            <w:vAlign w:val="top"/>
          </w:tcPr>
          <w:p w14:paraId="4B1AF371">
            <w:pPr>
              <w:spacing w:line="209" w:lineRule="exact"/>
              <w:rPr>
                <w:rFonts w:ascii="Arial"/>
                <w:sz w:val="18"/>
              </w:rPr>
            </w:pPr>
          </w:p>
        </w:tc>
        <w:tc>
          <w:tcPr>
            <w:tcW w:w="234" w:type="dxa"/>
            <w:vAlign w:val="top"/>
          </w:tcPr>
          <w:p w14:paraId="6FB05C39">
            <w:pPr>
              <w:spacing w:line="209" w:lineRule="exact"/>
              <w:rPr>
                <w:rFonts w:ascii="Arial"/>
                <w:sz w:val="18"/>
              </w:rPr>
            </w:pPr>
          </w:p>
        </w:tc>
      </w:tr>
      <w:tr w14:paraId="5188B9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9" w:hRule="atLeast"/>
        </w:trPr>
        <w:tc>
          <w:tcPr>
            <w:tcW w:w="893" w:type="dxa"/>
            <w:vMerge w:val="continue"/>
            <w:tcBorders>
              <w:top w:val="nil"/>
              <w:bottom w:val="nil"/>
            </w:tcBorders>
            <w:vAlign w:val="top"/>
          </w:tcPr>
          <w:p w14:paraId="59FDAB49">
            <w:pPr>
              <w:rPr>
                <w:rFonts w:ascii="Arial"/>
                <w:sz w:val="21"/>
              </w:rPr>
            </w:pPr>
          </w:p>
        </w:tc>
        <w:tc>
          <w:tcPr>
            <w:tcW w:w="2314" w:type="dxa"/>
            <w:vMerge w:val="continue"/>
            <w:tcBorders>
              <w:top w:val="nil"/>
              <w:bottom w:val="nil"/>
            </w:tcBorders>
            <w:vAlign w:val="top"/>
          </w:tcPr>
          <w:p w14:paraId="69FD9605">
            <w:pPr>
              <w:rPr>
                <w:rFonts w:ascii="Arial"/>
                <w:sz w:val="21"/>
              </w:rPr>
            </w:pPr>
          </w:p>
        </w:tc>
        <w:tc>
          <w:tcPr>
            <w:tcW w:w="230" w:type="dxa"/>
            <w:vAlign w:val="top"/>
          </w:tcPr>
          <w:p w14:paraId="036DE079">
            <w:pPr>
              <w:rPr>
                <w:rFonts w:ascii="Arial"/>
                <w:sz w:val="21"/>
              </w:rPr>
            </w:pPr>
          </w:p>
        </w:tc>
        <w:tc>
          <w:tcPr>
            <w:tcW w:w="229" w:type="dxa"/>
            <w:vAlign w:val="top"/>
          </w:tcPr>
          <w:p w14:paraId="68EAE112">
            <w:pPr>
              <w:rPr>
                <w:rFonts w:ascii="Arial"/>
                <w:sz w:val="21"/>
              </w:rPr>
            </w:pPr>
          </w:p>
        </w:tc>
        <w:tc>
          <w:tcPr>
            <w:tcW w:w="219" w:type="dxa"/>
            <w:vAlign w:val="top"/>
          </w:tcPr>
          <w:p w14:paraId="7744908C">
            <w:pPr>
              <w:rPr>
                <w:rFonts w:ascii="Arial"/>
                <w:sz w:val="21"/>
              </w:rPr>
            </w:pPr>
          </w:p>
        </w:tc>
        <w:tc>
          <w:tcPr>
            <w:tcW w:w="234" w:type="dxa"/>
            <w:vAlign w:val="top"/>
          </w:tcPr>
          <w:p w14:paraId="3A4EE2DA">
            <w:pPr>
              <w:rPr>
                <w:rFonts w:ascii="Arial"/>
                <w:sz w:val="21"/>
              </w:rPr>
            </w:pPr>
          </w:p>
        </w:tc>
      </w:tr>
      <w:tr w14:paraId="3FB32B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9" w:hRule="atLeast"/>
        </w:trPr>
        <w:tc>
          <w:tcPr>
            <w:tcW w:w="893" w:type="dxa"/>
            <w:vMerge w:val="continue"/>
            <w:tcBorders>
              <w:top w:val="nil"/>
            </w:tcBorders>
            <w:vAlign w:val="top"/>
          </w:tcPr>
          <w:p w14:paraId="66B9412A">
            <w:pPr>
              <w:rPr>
                <w:rFonts w:ascii="Arial"/>
                <w:sz w:val="21"/>
              </w:rPr>
            </w:pPr>
          </w:p>
        </w:tc>
        <w:tc>
          <w:tcPr>
            <w:tcW w:w="2314" w:type="dxa"/>
            <w:vMerge w:val="continue"/>
            <w:tcBorders>
              <w:top w:val="nil"/>
            </w:tcBorders>
            <w:vAlign w:val="top"/>
          </w:tcPr>
          <w:p w14:paraId="0DAEA6F5">
            <w:pPr>
              <w:rPr>
                <w:rFonts w:ascii="Arial"/>
                <w:sz w:val="21"/>
              </w:rPr>
            </w:pPr>
          </w:p>
        </w:tc>
        <w:tc>
          <w:tcPr>
            <w:tcW w:w="230" w:type="dxa"/>
            <w:vAlign w:val="top"/>
          </w:tcPr>
          <w:p w14:paraId="0A54D0EC">
            <w:pPr>
              <w:rPr>
                <w:rFonts w:ascii="Arial"/>
                <w:sz w:val="21"/>
              </w:rPr>
            </w:pPr>
          </w:p>
        </w:tc>
        <w:tc>
          <w:tcPr>
            <w:tcW w:w="229" w:type="dxa"/>
            <w:vAlign w:val="top"/>
          </w:tcPr>
          <w:p w14:paraId="75595EC4">
            <w:pPr>
              <w:rPr>
                <w:rFonts w:ascii="Arial"/>
                <w:sz w:val="21"/>
              </w:rPr>
            </w:pPr>
          </w:p>
        </w:tc>
        <w:tc>
          <w:tcPr>
            <w:tcW w:w="219" w:type="dxa"/>
            <w:vAlign w:val="top"/>
          </w:tcPr>
          <w:p w14:paraId="3A18F21F">
            <w:pPr>
              <w:rPr>
                <w:rFonts w:ascii="Arial"/>
                <w:sz w:val="21"/>
              </w:rPr>
            </w:pPr>
          </w:p>
        </w:tc>
        <w:tc>
          <w:tcPr>
            <w:tcW w:w="234" w:type="dxa"/>
            <w:vAlign w:val="top"/>
          </w:tcPr>
          <w:p w14:paraId="4F015179">
            <w:pPr>
              <w:rPr>
                <w:rFonts w:ascii="Arial"/>
                <w:sz w:val="21"/>
              </w:rPr>
            </w:pPr>
          </w:p>
        </w:tc>
      </w:tr>
      <w:tr w14:paraId="19F747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9" w:hRule="atLeast"/>
        </w:trPr>
        <w:tc>
          <w:tcPr>
            <w:tcW w:w="893" w:type="dxa"/>
            <w:vMerge w:val="restart"/>
            <w:tcBorders>
              <w:bottom w:val="nil"/>
            </w:tcBorders>
            <w:vAlign w:val="top"/>
          </w:tcPr>
          <w:p w14:paraId="59ADC6B4">
            <w:pPr>
              <w:pStyle w:val="6"/>
              <w:spacing w:before="146" w:line="221" w:lineRule="auto"/>
              <w:ind w:left="74"/>
              <w:rPr>
                <w:sz w:val="18"/>
                <w:szCs w:val="18"/>
              </w:rPr>
            </w:pPr>
            <w:r>
              <w:rPr>
                <w:spacing w:val="-2"/>
                <w:sz w:val="18"/>
                <w:szCs w:val="18"/>
              </w:rPr>
              <w:t>血型及交</w:t>
            </w:r>
          </w:p>
          <w:p w14:paraId="0231429A">
            <w:pPr>
              <w:pStyle w:val="6"/>
              <w:spacing w:before="16" w:line="223" w:lineRule="auto"/>
              <w:ind w:left="165"/>
              <w:rPr>
                <w:sz w:val="18"/>
                <w:szCs w:val="18"/>
              </w:rPr>
            </w:pPr>
            <w:r>
              <w:rPr>
                <w:spacing w:val="-2"/>
                <w:sz w:val="18"/>
                <w:szCs w:val="18"/>
              </w:rPr>
              <w:t>叉配血</w:t>
            </w:r>
          </w:p>
        </w:tc>
        <w:tc>
          <w:tcPr>
            <w:tcW w:w="2314" w:type="dxa"/>
            <w:vMerge w:val="restart"/>
            <w:tcBorders>
              <w:bottom w:val="nil"/>
            </w:tcBorders>
            <w:vAlign w:val="top"/>
          </w:tcPr>
          <w:p w14:paraId="3274250F">
            <w:pPr>
              <w:pStyle w:val="6"/>
              <w:spacing w:before="45" w:line="210" w:lineRule="auto"/>
              <w:ind w:left="2" w:right="185" w:firstLine="29"/>
              <w:rPr>
                <w:sz w:val="18"/>
                <w:szCs w:val="18"/>
              </w:rPr>
            </w:pPr>
            <w:r>
              <w:rPr>
                <w:spacing w:val="1"/>
                <w:sz w:val="18"/>
                <w:szCs w:val="18"/>
              </w:rPr>
              <w:t>1.</w:t>
            </w:r>
            <w:r>
              <w:rPr>
                <w:sz w:val="18"/>
                <w:szCs w:val="18"/>
              </w:rPr>
              <w:t>ABO</w:t>
            </w:r>
            <w:r>
              <w:rPr>
                <w:spacing w:val="1"/>
                <w:sz w:val="18"/>
                <w:szCs w:val="18"/>
              </w:rPr>
              <w:t>血型系统的分型原则</w:t>
            </w:r>
            <w:r>
              <w:rPr>
                <w:spacing w:val="4"/>
                <w:sz w:val="18"/>
                <w:szCs w:val="18"/>
              </w:rPr>
              <w:t xml:space="preserve"> </w:t>
            </w:r>
            <w:r>
              <w:rPr>
                <w:spacing w:val="3"/>
                <w:sz w:val="18"/>
                <w:szCs w:val="18"/>
              </w:rPr>
              <w:t>及输血原则</w:t>
            </w:r>
          </w:p>
          <w:p w14:paraId="5F60BDC2">
            <w:pPr>
              <w:pStyle w:val="6"/>
              <w:spacing w:line="192" w:lineRule="auto"/>
              <w:ind w:left="2"/>
              <w:rPr>
                <w:sz w:val="18"/>
                <w:szCs w:val="18"/>
              </w:rPr>
            </w:pPr>
            <w:r>
              <w:rPr>
                <w:spacing w:val="1"/>
                <w:sz w:val="18"/>
                <w:szCs w:val="18"/>
              </w:rPr>
              <w:t>2.</w:t>
            </w:r>
            <w:r>
              <w:rPr>
                <w:sz w:val="18"/>
                <w:szCs w:val="18"/>
              </w:rPr>
              <w:t>Rh</w:t>
            </w:r>
            <w:r>
              <w:rPr>
                <w:spacing w:val="1"/>
                <w:sz w:val="18"/>
                <w:szCs w:val="18"/>
              </w:rPr>
              <w:t>血型系统的特点</w:t>
            </w:r>
          </w:p>
        </w:tc>
        <w:tc>
          <w:tcPr>
            <w:tcW w:w="230" w:type="dxa"/>
            <w:vAlign w:val="top"/>
          </w:tcPr>
          <w:p w14:paraId="26811EE5">
            <w:pPr>
              <w:rPr>
                <w:rFonts w:ascii="Arial"/>
                <w:sz w:val="21"/>
              </w:rPr>
            </w:pPr>
          </w:p>
        </w:tc>
        <w:tc>
          <w:tcPr>
            <w:tcW w:w="229" w:type="dxa"/>
            <w:vAlign w:val="top"/>
          </w:tcPr>
          <w:p w14:paraId="147AE8B0">
            <w:pPr>
              <w:rPr>
                <w:rFonts w:ascii="Arial"/>
                <w:sz w:val="21"/>
              </w:rPr>
            </w:pPr>
          </w:p>
        </w:tc>
        <w:tc>
          <w:tcPr>
            <w:tcW w:w="219" w:type="dxa"/>
            <w:vAlign w:val="top"/>
          </w:tcPr>
          <w:p w14:paraId="5BC4AD9B">
            <w:pPr>
              <w:rPr>
                <w:rFonts w:ascii="Arial"/>
                <w:sz w:val="21"/>
              </w:rPr>
            </w:pPr>
          </w:p>
        </w:tc>
        <w:tc>
          <w:tcPr>
            <w:tcW w:w="234" w:type="dxa"/>
            <w:vAlign w:val="top"/>
          </w:tcPr>
          <w:p w14:paraId="4FF780AD">
            <w:pPr>
              <w:rPr>
                <w:rFonts w:ascii="Arial"/>
                <w:sz w:val="21"/>
              </w:rPr>
            </w:pPr>
          </w:p>
        </w:tc>
      </w:tr>
      <w:tr w14:paraId="11F37A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4" w:hRule="atLeast"/>
        </w:trPr>
        <w:tc>
          <w:tcPr>
            <w:tcW w:w="893" w:type="dxa"/>
            <w:vMerge w:val="continue"/>
            <w:tcBorders>
              <w:top w:val="nil"/>
            </w:tcBorders>
            <w:vAlign w:val="top"/>
          </w:tcPr>
          <w:p w14:paraId="45FCD070">
            <w:pPr>
              <w:rPr>
                <w:rFonts w:ascii="Arial"/>
                <w:sz w:val="21"/>
              </w:rPr>
            </w:pPr>
          </w:p>
        </w:tc>
        <w:tc>
          <w:tcPr>
            <w:tcW w:w="2314" w:type="dxa"/>
            <w:vMerge w:val="continue"/>
            <w:tcBorders>
              <w:top w:val="nil"/>
            </w:tcBorders>
            <w:vAlign w:val="top"/>
          </w:tcPr>
          <w:p w14:paraId="412D9941">
            <w:pPr>
              <w:rPr>
                <w:rFonts w:ascii="Arial"/>
                <w:sz w:val="21"/>
              </w:rPr>
            </w:pPr>
          </w:p>
        </w:tc>
        <w:tc>
          <w:tcPr>
            <w:tcW w:w="230" w:type="dxa"/>
            <w:vAlign w:val="top"/>
          </w:tcPr>
          <w:p w14:paraId="1BAD2D54">
            <w:pPr>
              <w:spacing w:line="214" w:lineRule="exact"/>
              <w:rPr>
                <w:rFonts w:ascii="Arial"/>
                <w:sz w:val="18"/>
              </w:rPr>
            </w:pPr>
          </w:p>
        </w:tc>
        <w:tc>
          <w:tcPr>
            <w:tcW w:w="229" w:type="dxa"/>
            <w:vAlign w:val="top"/>
          </w:tcPr>
          <w:p w14:paraId="18CB77F1">
            <w:pPr>
              <w:spacing w:line="214" w:lineRule="exact"/>
              <w:rPr>
                <w:rFonts w:ascii="Arial"/>
                <w:sz w:val="18"/>
              </w:rPr>
            </w:pPr>
          </w:p>
        </w:tc>
        <w:tc>
          <w:tcPr>
            <w:tcW w:w="219" w:type="dxa"/>
            <w:vAlign w:val="top"/>
          </w:tcPr>
          <w:p w14:paraId="43D2A5B3">
            <w:pPr>
              <w:spacing w:line="214" w:lineRule="exact"/>
              <w:rPr>
                <w:rFonts w:ascii="Arial"/>
                <w:sz w:val="18"/>
              </w:rPr>
            </w:pPr>
          </w:p>
        </w:tc>
        <w:tc>
          <w:tcPr>
            <w:tcW w:w="234" w:type="dxa"/>
            <w:vAlign w:val="top"/>
          </w:tcPr>
          <w:p w14:paraId="11A9FD65">
            <w:pPr>
              <w:pStyle w:val="6"/>
              <w:spacing w:before="58" w:line="205" w:lineRule="auto"/>
              <w:ind w:left="40"/>
              <w:rPr>
                <w:sz w:val="14"/>
                <w:szCs w:val="14"/>
              </w:rPr>
            </w:pPr>
            <w:r>
              <w:rPr>
                <w:sz w:val="14"/>
                <w:szCs w:val="14"/>
              </w:rPr>
              <w:t>√</w:t>
            </w:r>
          </w:p>
        </w:tc>
      </w:tr>
    </w:tbl>
    <w:p w14:paraId="2A6598AC">
      <w:pPr>
        <w:spacing w:before="119" w:line="222" w:lineRule="auto"/>
        <w:ind w:left="1352"/>
        <w:rPr>
          <w:rFonts w:ascii="黑体" w:hAnsi="黑体" w:eastAsia="黑体" w:cs="黑体"/>
          <w:sz w:val="20"/>
          <w:szCs w:val="20"/>
        </w:rPr>
      </w:pPr>
      <w:r>
        <w:rPr>
          <w:rFonts w:ascii="黑体" w:hAnsi="黑体" w:eastAsia="黑体" w:cs="黑体"/>
          <w:b/>
          <w:bCs/>
          <w:spacing w:val="-9"/>
          <w:sz w:val="20"/>
          <w:szCs w:val="20"/>
        </w:rPr>
        <w:t>第四章</w:t>
      </w:r>
      <w:r>
        <w:rPr>
          <w:rFonts w:ascii="黑体" w:hAnsi="黑体" w:eastAsia="黑体" w:cs="黑体"/>
          <w:spacing w:val="10"/>
          <w:sz w:val="20"/>
          <w:szCs w:val="20"/>
        </w:rPr>
        <w:t xml:space="preserve">  </w:t>
      </w:r>
      <w:r>
        <w:rPr>
          <w:rFonts w:ascii="黑体" w:hAnsi="黑体" w:eastAsia="黑体" w:cs="黑体"/>
          <w:b/>
          <w:bCs/>
          <w:spacing w:val="-9"/>
          <w:sz w:val="20"/>
          <w:szCs w:val="20"/>
        </w:rPr>
        <w:t>血液循环</w:t>
      </w:r>
    </w:p>
    <w:p w14:paraId="0A1F9D65">
      <w:pPr>
        <w:spacing w:line="70" w:lineRule="exact"/>
      </w:pPr>
    </w:p>
    <w:tbl>
      <w:tblPr>
        <w:tblStyle w:val="5"/>
        <w:tblW w:w="4119" w:type="dxa"/>
        <w:tblInd w:w="7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24"/>
        <w:gridCol w:w="220"/>
        <w:gridCol w:w="219"/>
        <w:gridCol w:w="229"/>
        <w:gridCol w:w="234"/>
      </w:tblGrid>
      <w:tr w14:paraId="631BFD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893" w:type="dxa"/>
            <w:vMerge w:val="restart"/>
            <w:tcBorders>
              <w:bottom w:val="nil"/>
            </w:tcBorders>
            <w:vAlign w:val="top"/>
          </w:tcPr>
          <w:p w14:paraId="44629595">
            <w:pPr>
              <w:pStyle w:val="6"/>
              <w:spacing w:before="81" w:line="214" w:lineRule="auto"/>
              <w:ind w:left="257" w:right="1" w:hanging="240"/>
              <w:rPr>
                <w:sz w:val="18"/>
                <w:szCs w:val="18"/>
              </w:rPr>
            </w:pPr>
            <w:r>
              <w:rPr>
                <w:b/>
                <w:bCs/>
                <w:spacing w:val="-10"/>
                <w:sz w:val="18"/>
                <w:szCs w:val="18"/>
              </w:rPr>
              <w:t>知识与技能</w:t>
            </w:r>
            <w:r>
              <w:rPr>
                <w:spacing w:val="3"/>
                <w:sz w:val="18"/>
                <w:szCs w:val="18"/>
              </w:rPr>
              <w:t xml:space="preserve"> </w:t>
            </w:r>
            <w:r>
              <w:rPr>
                <w:b/>
                <w:bCs/>
                <w:spacing w:val="-4"/>
                <w:sz w:val="18"/>
                <w:szCs w:val="18"/>
              </w:rPr>
              <w:t>要点</w:t>
            </w:r>
          </w:p>
        </w:tc>
        <w:tc>
          <w:tcPr>
            <w:tcW w:w="2324" w:type="dxa"/>
            <w:vMerge w:val="restart"/>
            <w:tcBorders>
              <w:bottom w:val="nil"/>
            </w:tcBorders>
            <w:vAlign w:val="top"/>
          </w:tcPr>
          <w:p w14:paraId="2C938CBC">
            <w:pPr>
              <w:pStyle w:val="6"/>
              <w:spacing w:before="189" w:line="219" w:lineRule="auto"/>
              <w:ind w:left="844"/>
              <w:rPr>
                <w:sz w:val="18"/>
                <w:szCs w:val="18"/>
              </w:rPr>
            </w:pPr>
            <w:r>
              <w:rPr>
                <w:b/>
                <w:bCs/>
                <w:spacing w:val="5"/>
                <w:sz w:val="18"/>
                <w:szCs w:val="18"/>
              </w:rPr>
              <w:t>考试条目</w:t>
            </w:r>
          </w:p>
        </w:tc>
        <w:tc>
          <w:tcPr>
            <w:tcW w:w="902" w:type="dxa"/>
            <w:gridSpan w:val="4"/>
            <w:vAlign w:val="top"/>
          </w:tcPr>
          <w:p w14:paraId="53E7D523">
            <w:pPr>
              <w:pStyle w:val="6"/>
              <w:spacing w:before="49" w:line="219" w:lineRule="auto"/>
              <w:ind w:left="120"/>
              <w:rPr>
                <w:sz w:val="18"/>
                <w:szCs w:val="18"/>
              </w:rPr>
            </w:pPr>
            <w:r>
              <w:rPr>
                <w:b/>
                <w:bCs/>
                <w:spacing w:val="-4"/>
                <w:sz w:val="18"/>
                <w:szCs w:val="18"/>
              </w:rPr>
              <w:t>考试水平</w:t>
            </w:r>
          </w:p>
        </w:tc>
      </w:tr>
      <w:tr w14:paraId="60DCAB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0" w:hRule="atLeast"/>
        </w:trPr>
        <w:tc>
          <w:tcPr>
            <w:tcW w:w="893" w:type="dxa"/>
            <w:vMerge w:val="continue"/>
            <w:tcBorders>
              <w:top w:val="nil"/>
            </w:tcBorders>
            <w:vAlign w:val="top"/>
          </w:tcPr>
          <w:p w14:paraId="434264FE">
            <w:pPr>
              <w:rPr>
                <w:rFonts w:ascii="Arial"/>
                <w:sz w:val="21"/>
              </w:rPr>
            </w:pPr>
          </w:p>
        </w:tc>
        <w:tc>
          <w:tcPr>
            <w:tcW w:w="2324" w:type="dxa"/>
            <w:vMerge w:val="continue"/>
            <w:tcBorders>
              <w:top w:val="nil"/>
            </w:tcBorders>
            <w:vAlign w:val="top"/>
          </w:tcPr>
          <w:p w14:paraId="153C31C7">
            <w:pPr>
              <w:rPr>
                <w:rFonts w:ascii="Arial"/>
                <w:sz w:val="21"/>
              </w:rPr>
            </w:pPr>
          </w:p>
        </w:tc>
        <w:tc>
          <w:tcPr>
            <w:tcW w:w="220" w:type="dxa"/>
            <w:vAlign w:val="top"/>
          </w:tcPr>
          <w:p w14:paraId="0BEE8F55">
            <w:pPr>
              <w:pStyle w:val="6"/>
              <w:spacing w:before="92" w:line="182" w:lineRule="auto"/>
              <w:ind w:left="60"/>
              <w:rPr>
                <w:sz w:val="18"/>
                <w:szCs w:val="18"/>
              </w:rPr>
            </w:pPr>
            <w:r>
              <w:rPr>
                <w:b/>
                <w:bCs/>
                <w:spacing w:val="-2"/>
                <w:sz w:val="18"/>
                <w:szCs w:val="18"/>
              </w:rPr>
              <w:t>A</w:t>
            </w:r>
          </w:p>
        </w:tc>
        <w:tc>
          <w:tcPr>
            <w:tcW w:w="219" w:type="dxa"/>
            <w:vAlign w:val="top"/>
          </w:tcPr>
          <w:p w14:paraId="71DD45C7">
            <w:pPr>
              <w:pStyle w:val="6"/>
              <w:spacing w:before="95" w:line="179" w:lineRule="auto"/>
              <w:ind w:left="60"/>
              <w:rPr>
                <w:sz w:val="18"/>
                <w:szCs w:val="18"/>
              </w:rPr>
            </w:pPr>
            <w:r>
              <w:rPr>
                <w:b/>
                <w:bCs/>
                <w:spacing w:val="-2"/>
                <w:sz w:val="18"/>
                <w:szCs w:val="18"/>
              </w:rPr>
              <w:t>B</w:t>
            </w:r>
          </w:p>
        </w:tc>
        <w:tc>
          <w:tcPr>
            <w:tcW w:w="229" w:type="dxa"/>
            <w:vAlign w:val="top"/>
          </w:tcPr>
          <w:p w14:paraId="522A2756">
            <w:pPr>
              <w:pStyle w:val="6"/>
              <w:spacing w:before="93" w:line="181" w:lineRule="auto"/>
              <w:ind w:left="69"/>
              <w:rPr>
                <w:sz w:val="18"/>
                <w:szCs w:val="18"/>
              </w:rPr>
            </w:pPr>
            <w:r>
              <w:rPr>
                <w:sz w:val="18"/>
                <w:szCs w:val="18"/>
              </w:rPr>
              <w:t>C</w:t>
            </w:r>
          </w:p>
        </w:tc>
        <w:tc>
          <w:tcPr>
            <w:tcW w:w="234" w:type="dxa"/>
            <w:vAlign w:val="top"/>
          </w:tcPr>
          <w:p w14:paraId="07678390">
            <w:pPr>
              <w:pStyle w:val="6"/>
              <w:spacing w:before="95" w:line="179" w:lineRule="auto"/>
              <w:ind w:left="22"/>
              <w:rPr>
                <w:sz w:val="18"/>
                <w:szCs w:val="18"/>
              </w:rPr>
            </w:pPr>
            <w:r>
              <w:rPr>
                <w:b/>
                <w:bCs/>
                <w:spacing w:val="-2"/>
                <w:sz w:val="18"/>
                <w:szCs w:val="18"/>
              </w:rPr>
              <w:t>D</w:t>
            </w:r>
          </w:p>
        </w:tc>
      </w:tr>
      <w:tr w14:paraId="23E59A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19" w:hRule="atLeast"/>
        </w:trPr>
        <w:tc>
          <w:tcPr>
            <w:tcW w:w="893" w:type="dxa"/>
            <w:vMerge w:val="restart"/>
            <w:tcBorders>
              <w:bottom w:val="nil"/>
            </w:tcBorders>
            <w:vAlign w:val="top"/>
          </w:tcPr>
          <w:p w14:paraId="372CB8EB">
            <w:pPr>
              <w:spacing w:line="276" w:lineRule="auto"/>
              <w:rPr>
                <w:rFonts w:ascii="Arial"/>
                <w:sz w:val="21"/>
              </w:rPr>
            </w:pPr>
          </w:p>
          <w:p w14:paraId="2EE2643F">
            <w:pPr>
              <w:spacing w:line="276" w:lineRule="auto"/>
              <w:rPr>
                <w:rFonts w:ascii="Arial"/>
                <w:sz w:val="21"/>
              </w:rPr>
            </w:pPr>
          </w:p>
          <w:p w14:paraId="0D78F4B1">
            <w:pPr>
              <w:spacing w:line="276" w:lineRule="auto"/>
              <w:rPr>
                <w:rFonts w:ascii="Arial"/>
                <w:sz w:val="21"/>
              </w:rPr>
            </w:pPr>
          </w:p>
          <w:p w14:paraId="77EC4655">
            <w:pPr>
              <w:spacing w:line="276" w:lineRule="auto"/>
              <w:rPr>
                <w:rFonts w:ascii="Arial"/>
                <w:sz w:val="21"/>
              </w:rPr>
            </w:pPr>
          </w:p>
          <w:p w14:paraId="58316A46">
            <w:pPr>
              <w:spacing w:line="276" w:lineRule="auto"/>
              <w:rPr>
                <w:rFonts w:ascii="Arial"/>
                <w:sz w:val="21"/>
              </w:rPr>
            </w:pPr>
          </w:p>
          <w:p w14:paraId="45996047">
            <w:pPr>
              <w:pStyle w:val="6"/>
              <w:spacing w:before="59" w:line="220" w:lineRule="auto"/>
              <w:ind w:left="74"/>
              <w:rPr>
                <w:sz w:val="18"/>
                <w:szCs w:val="18"/>
              </w:rPr>
            </w:pPr>
            <w:r>
              <w:rPr>
                <w:spacing w:val="-3"/>
                <w:sz w:val="18"/>
                <w:szCs w:val="18"/>
              </w:rPr>
              <w:t>心脏生理</w:t>
            </w:r>
          </w:p>
        </w:tc>
        <w:tc>
          <w:tcPr>
            <w:tcW w:w="2324" w:type="dxa"/>
            <w:vMerge w:val="restart"/>
            <w:tcBorders>
              <w:bottom w:val="nil"/>
            </w:tcBorders>
            <w:vAlign w:val="top"/>
          </w:tcPr>
          <w:p w14:paraId="0CB4973C">
            <w:pPr>
              <w:pStyle w:val="6"/>
              <w:spacing w:before="27" w:line="224" w:lineRule="auto"/>
              <w:ind w:left="2" w:right="115" w:firstLine="29"/>
              <w:jc w:val="both"/>
              <w:rPr>
                <w:sz w:val="18"/>
                <w:szCs w:val="18"/>
              </w:rPr>
            </w:pPr>
            <w:r>
              <w:rPr>
                <w:sz w:val="18"/>
                <w:szCs w:val="18"/>
              </w:rPr>
              <w:t>1.心动周期中心腔压力、瓣</w:t>
            </w:r>
            <w:r>
              <w:rPr>
                <w:spacing w:val="6"/>
                <w:sz w:val="18"/>
                <w:szCs w:val="18"/>
              </w:rPr>
              <w:t xml:space="preserve"> </w:t>
            </w:r>
            <w:r>
              <w:rPr>
                <w:spacing w:val="1"/>
                <w:sz w:val="18"/>
                <w:szCs w:val="18"/>
              </w:rPr>
              <w:t>膜开闭、血流方向及心室容</w:t>
            </w:r>
            <w:r>
              <w:rPr>
                <w:spacing w:val="10"/>
                <w:sz w:val="18"/>
                <w:szCs w:val="18"/>
              </w:rPr>
              <w:t xml:space="preserve"> </w:t>
            </w:r>
            <w:r>
              <w:rPr>
                <w:spacing w:val="-2"/>
                <w:sz w:val="18"/>
                <w:szCs w:val="18"/>
              </w:rPr>
              <w:t>积的变化</w:t>
            </w:r>
          </w:p>
          <w:p w14:paraId="7A68736C">
            <w:pPr>
              <w:pStyle w:val="6"/>
              <w:spacing w:before="4" w:line="227" w:lineRule="auto"/>
              <w:ind w:left="2" w:firstLine="9"/>
              <w:rPr>
                <w:sz w:val="18"/>
                <w:szCs w:val="18"/>
              </w:rPr>
            </w:pPr>
            <w:r>
              <w:rPr>
                <w:spacing w:val="-3"/>
                <w:sz w:val="18"/>
                <w:szCs w:val="18"/>
              </w:rPr>
              <w:t>2.心输出量的概念及影响因素</w:t>
            </w:r>
            <w:r>
              <w:rPr>
                <w:spacing w:val="2"/>
                <w:sz w:val="18"/>
                <w:szCs w:val="18"/>
              </w:rPr>
              <w:t xml:space="preserve"> </w:t>
            </w:r>
            <w:r>
              <w:rPr>
                <w:spacing w:val="-1"/>
                <w:sz w:val="18"/>
                <w:szCs w:val="18"/>
              </w:rPr>
              <w:t>3.第一心音、第二心音产生</w:t>
            </w:r>
            <w:r>
              <w:rPr>
                <w:spacing w:val="2"/>
                <w:sz w:val="18"/>
                <w:szCs w:val="18"/>
              </w:rPr>
              <w:t xml:space="preserve">  的原因及特点</w:t>
            </w:r>
          </w:p>
          <w:p w14:paraId="388BEC0A">
            <w:pPr>
              <w:pStyle w:val="6"/>
              <w:spacing w:before="6" w:line="224" w:lineRule="auto"/>
              <w:ind w:left="2" w:right="158"/>
              <w:rPr>
                <w:sz w:val="18"/>
                <w:szCs w:val="18"/>
              </w:rPr>
            </w:pPr>
            <w:r>
              <w:rPr>
                <w:spacing w:val="-1"/>
                <w:sz w:val="18"/>
                <w:szCs w:val="18"/>
              </w:rPr>
              <w:t>4.窦房结、心室肌细胞的生</w:t>
            </w:r>
            <w:r>
              <w:rPr>
                <w:spacing w:val="5"/>
                <w:sz w:val="18"/>
                <w:szCs w:val="18"/>
              </w:rPr>
              <w:t xml:space="preserve"> </w:t>
            </w:r>
            <w:r>
              <w:rPr>
                <w:spacing w:val="-2"/>
                <w:sz w:val="18"/>
                <w:szCs w:val="18"/>
              </w:rPr>
              <w:t>物电变化</w:t>
            </w:r>
          </w:p>
          <w:p w14:paraId="741CF8D1">
            <w:pPr>
              <w:pStyle w:val="6"/>
              <w:spacing w:before="12" w:line="212" w:lineRule="auto"/>
              <w:ind w:left="2"/>
              <w:rPr>
                <w:sz w:val="18"/>
                <w:szCs w:val="18"/>
              </w:rPr>
            </w:pPr>
            <w:r>
              <w:rPr>
                <w:spacing w:val="4"/>
                <w:sz w:val="18"/>
                <w:szCs w:val="18"/>
              </w:rPr>
              <w:t xml:space="preserve">5.心肌的生理特征(自律性、 </w:t>
            </w:r>
            <w:r>
              <w:rPr>
                <w:spacing w:val="1"/>
                <w:sz w:val="18"/>
                <w:szCs w:val="18"/>
              </w:rPr>
              <w:t>传导性、兴奋性和收缩性)</w:t>
            </w:r>
          </w:p>
          <w:p w14:paraId="031D79CB">
            <w:pPr>
              <w:pStyle w:val="6"/>
              <w:spacing w:before="28" w:line="211" w:lineRule="auto"/>
              <w:ind w:left="12" w:right="16"/>
              <w:rPr>
                <w:sz w:val="18"/>
                <w:szCs w:val="18"/>
              </w:rPr>
            </w:pPr>
            <w:r>
              <w:rPr>
                <w:spacing w:val="1"/>
                <w:sz w:val="18"/>
                <w:szCs w:val="18"/>
              </w:rPr>
              <w:t>6.心肌兴奋性周期性变化的</w:t>
            </w:r>
            <w:r>
              <w:rPr>
                <w:sz w:val="18"/>
                <w:szCs w:val="18"/>
              </w:rPr>
              <w:t xml:space="preserve">  </w:t>
            </w:r>
            <w:r>
              <w:rPr>
                <w:spacing w:val="2"/>
                <w:sz w:val="18"/>
                <w:szCs w:val="18"/>
              </w:rPr>
              <w:t>特点及生理意义、期前收缩!</w:t>
            </w:r>
          </w:p>
          <w:p w14:paraId="3B4766EC">
            <w:pPr>
              <w:pStyle w:val="6"/>
              <w:spacing w:before="26" w:line="185" w:lineRule="auto"/>
              <w:ind w:left="2"/>
              <w:rPr>
                <w:sz w:val="18"/>
                <w:szCs w:val="18"/>
              </w:rPr>
            </w:pPr>
            <w:r>
              <w:rPr>
                <w:spacing w:val="-1"/>
                <w:sz w:val="18"/>
                <w:szCs w:val="18"/>
              </w:rPr>
              <w:t>和代偿间歌产生的原理</w:t>
            </w:r>
          </w:p>
          <w:p w14:paraId="0DC5DB7A">
            <w:pPr>
              <w:pStyle w:val="6"/>
              <w:spacing w:line="194" w:lineRule="auto"/>
              <w:jc w:val="right"/>
              <w:rPr>
                <w:sz w:val="18"/>
                <w:szCs w:val="18"/>
              </w:rPr>
            </w:pPr>
            <w:r>
              <w:rPr>
                <w:spacing w:val="-15"/>
                <w:sz w:val="18"/>
                <w:szCs w:val="18"/>
              </w:rPr>
              <w:t>7.心电</w:t>
            </w:r>
            <w:r>
              <w:rPr>
                <w:spacing w:val="-14"/>
                <w:sz w:val="18"/>
                <w:szCs w:val="18"/>
              </w:rPr>
              <w:t>图的基本波形及代表意</w:t>
            </w:r>
            <w:r>
              <w:rPr>
                <w:spacing w:val="-10"/>
                <w:sz w:val="18"/>
                <w:szCs w:val="18"/>
              </w:rPr>
              <w:t>义</w:t>
            </w:r>
          </w:p>
        </w:tc>
        <w:tc>
          <w:tcPr>
            <w:tcW w:w="220" w:type="dxa"/>
            <w:vAlign w:val="top"/>
          </w:tcPr>
          <w:p w14:paraId="3EE0FF8A">
            <w:pPr>
              <w:rPr>
                <w:rFonts w:ascii="Arial"/>
                <w:sz w:val="21"/>
              </w:rPr>
            </w:pPr>
          </w:p>
        </w:tc>
        <w:tc>
          <w:tcPr>
            <w:tcW w:w="219" w:type="dxa"/>
            <w:vAlign w:val="top"/>
          </w:tcPr>
          <w:p w14:paraId="09EF97E5">
            <w:pPr>
              <w:rPr>
                <w:rFonts w:ascii="Arial"/>
                <w:sz w:val="21"/>
              </w:rPr>
            </w:pPr>
          </w:p>
        </w:tc>
        <w:tc>
          <w:tcPr>
            <w:tcW w:w="229" w:type="dxa"/>
            <w:vAlign w:val="top"/>
          </w:tcPr>
          <w:p w14:paraId="766833D4">
            <w:pPr>
              <w:rPr>
                <w:rFonts w:ascii="Arial"/>
                <w:sz w:val="21"/>
              </w:rPr>
            </w:pPr>
          </w:p>
        </w:tc>
        <w:tc>
          <w:tcPr>
            <w:tcW w:w="234" w:type="dxa"/>
            <w:vAlign w:val="top"/>
          </w:tcPr>
          <w:p w14:paraId="6C3748E9">
            <w:pPr>
              <w:rPr>
                <w:rFonts w:ascii="Arial"/>
                <w:sz w:val="21"/>
              </w:rPr>
            </w:pPr>
          </w:p>
        </w:tc>
      </w:tr>
      <w:tr w14:paraId="1D09F2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0" w:hRule="atLeast"/>
        </w:trPr>
        <w:tc>
          <w:tcPr>
            <w:tcW w:w="893" w:type="dxa"/>
            <w:vMerge w:val="continue"/>
            <w:tcBorders>
              <w:top w:val="nil"/>
              <w:bottom w:val="nil"/>
            </w:tcBorders>
            <w:vAlign w:val="top"/>
          </w:tcPr>
          <w:p w14:paraId="112825BB">
            <w:pPr>
              <w:rPr>
                <w:rFonts w:ascii="Arial"/>
                <w:sz w:val="21"/>
              </w:rPr>
            </w:pPr>
          </w:p>
        </w:tc>
        <w:tc>
          <w:tcPr>
            <w:tcW w:w="2324" w:type="dxa"/>
            <w:vMerge w:val="continue"/>
            <w:tcBorders>
              <w:top w:val="nil"/>
              <w:bottom w:val="nil"/>
            </w:tcBorders>
            <w:vAlign w:val="top"/>
          </w:tcPr>
          <w:p w14:paraId="5F0D48CC">
            <w:pPr>
              <w:rPr>
                <w:rFonts w:ascii="Arial"/>
                <w:sz w:val="21"/>
              </w:rPr>
            </w:pPr>
          </w:p>
        </w:tc>
        <w:tc>
          <w:tcPr>
            <w:tcW w:w="220" w:type="dxa"/>
            <w:vAlign w:val="top"/>
          </w:tcPr>
          <w:p w14:paraId="192AA5C4">
            <w:pPr>
              <w:spacing w:line="200" w:lineRule="exact"/>
              <w:rPr>
                <w:rFonts w:ascii="Arial"/>
                <w:sz w:val="17"/>
              </w:rPr>
            </w:pPr>
          </w:p>
        </w:tc>
        <w:tc>
          <w:tcPr>
            <w:tcW w:w="219" w:type="dxa"/>
            <w:vAlign w:val="top"/>
          </w:tcPr>
          <w:p w14:paraId="0721EF7A">
            <w:pPr>
              <w:spacing w:line="200" w:lineRule="exact"/>
              <w:rPr>
                <w:rFonts w:ascii="Arial"/>
                <w:sz w:val="17"/>
              </w:rPr>
            </w:pPr>
          </w:p>
        </w:tc>
        <w:tc>
          <w:tcPr>
            <w:tcW w:w="229" w:type="dxa"/>
            <w:vAlign w:val="top"/>
          </w:tcPr>
          <w:p w14:paraId="3C9E8219">
            <w:pPr>
              <w:spacing w:line="200" w:lineRule="exact"/>
              <w:rPr>
                <w:rFonts w:ascii="Arial"/>
                <w:sz w:val="17"/>
              </w:rPr>
            </w:pPr>
          </w:p>
        </w:tc>
        <w:tc>
          <w:tcPr>
            <w:tcW w:w="234" w:type="dxa"/>
            <w:vAlign w:val="top"/>
          </w:tcPr>
          <w:p w14:paraId="639AAE26">
            <w:pPr>
              <w:spacing w:line="200" w:lineRule="exact"/>
              <w:rPr>
                <w:rFonts w:ascii="Arial"/>
                <w:sz w:val="17"/>
              </w:rPr>
            </w:pPr>
          </w:p>
        </w:tc>
      </w:tr>
      <w:tr w14:paraId="263616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0" w:hRule="atLeast"/>
        </w:trPr>
        <w:tc>
          <w:tcPr>
            <w:tcW w:w="893" w:type="dxa"/>
            <w:vMerge w:val="continue"/>
            <w:tcBorders>
              <w:top w:val="nil"/>
              <w:bottom w:val="nil"/>
            </w:tcBorders>
            <w:vAlign w:val="top"/>
          </w:tcPr>
          <w:p w14:paraId="0C27D2F2">
            <w:pPr>
              <w:rPr>
                <w:rFonts w:ascii="Arial"/>
                <w:sz w:val="21"/>
              </w:rPr>
            </w:pPr>
          </w:p>
        </w:tc>
        <w:tc>
          <w:tcPr>
            <w:tcW w:w="2324" w:type="dxa"/>
            <w:vMerge w:val="continue"/>
            <w:tcBorders>
              <w:top w:val="nil"/>
              <w:bottom w:val="nil"/>
            </w:tcBorders>
            <w:vAlign w:val="top"/>
          </w:tcPr>
          <w:p w14:paraId="0A16216B">
            <w:pPr>
              <w:rPr>
                <w:rFonts w:ascii="Arial"/>
                <w:sz w:val="21"/>
              </w:rPr>
            </w:pPr>
          </w:p>
        </w:tc>
        <w:tc>
          <w:tcPr>
            <w:tcW w:w="220" w:type="dxa"/>
            <w:vAlign w:val="top"/>
          </w:tcPr>
          <w:p w14:paraId="651E5036">
            <w:pPr>
              <w:rPr>
                <w:rFonts w:ascii="Arial"/>
                <w:sz w:val="21"/>
              </w:rPr>
            </w:pPr>
          </w:p>
        </w:tc>
        <w:tc>
          <w:tcPr>
            <w:tcW w:w="219" w:type="dxa"/>
            <w:vAlign w:val="top"/>
          </w:tcPr>
          <w:p w14:paraId="213B1B7E">
            <w:pPr>
              <w:rPr>
                <w:rFonts w:ascii="Arial"/>
                <w:sz w:val="21"/>
              </w:rPr>
            </w:pPr>
          </w:p>
        </w:tc>
        <w:tc>
          <w:tcPr>
            <w:tcW w:w="229" w:type="dxa"/>
            <w:vAlign w:val="top"/>
          </w:tcPr>
          <w:p w14:paraId="0F6888EC">
            <w:pPr>
              <w:rPr>
                <w:rFonts w:ascii="Arial"/>
                <w:sz w:val="21"/>
              </w:rPr>
            </w:pPr>
          </w:p>
        </w:tc>
        <w:tc>
          <w:tcPr>
            <w:tcW w:w="234" w:type="dxa"/>
            <w:vAlign w:val="top"/>
          </w:tcPr>
          <w:p w14:paraId="6D10DEEF">
            <w:pPr>
              <w:rPr>
                <w:rFonts w:ascii="Arial"/>
                <w:sz w:val="21"/>
              </w:rPr>
            </w:pPr>
          </w:p>
        </w:tc>
      </w:tr>
      <w:tr w14:paraId="7889ACD2">
        <w:tblPrEx>
          <w:tblCellMar>
            <w:top w:w="0" w:type="dxa"/>
            <w:left w:w="0" w:type="dxa"/>
            <w:bottom w:w="0" w:type="dxa"/>
            <w:right w:w="0" w:type="dxa"/>
          </w:tblCellMar>
        </w:tblPrEx>
        <w:trPr>
          <w:trHeight w:val="380" w:hRule="atLeast"/>
        </w:trPr>
        <w:tc>
          <w:tcPr>
            <w:tcW w:w="893" w:type="dxa"/>
            <w:vMerge w:val="continue"/>
            <w:tcBorders>
              <w:top w:val="nil"/>
              <w:bottom w:val="nil"/>
            </w:tcBorders>
            <w:vAlign w:val="top"/>
          </w:tcPr>
          <w:p w14:paraId="1C545D31">
            <w:pPr>
              <w:rPr>
                <w:rFonts w:ascii="Arial"/>
                <w:sz w:val="21"/>
              </w:rPr>
            </w:pPr>
          </w:p>
        </w:tc>
        <w:tc>
          <w:tcPr>
            <w:tcW w:w="2324" w:type="dxa"/>
            <w:vMerge w:val="continue"/>
            <w:tcBorders>
              <w:top w:val="nil"/>
              <w:bottom w:val="nil"/>
            </w:tcBorders>
            <w:vAlign w:val="top"/>
          </w:tcPr>
          <w:p w14:paraId="6D492C84">
            <w:pPr>
              <w:rPr>
                <w:rFonts w:ascii="Arial"/>
                <w:sz w:val="21"/>
              </w:rPr>
            </w:pPr>
          </w:p>
        </w:tc>
        <w:tc>
          <w:tcPr>
            <w:tcW w:w="220" w:type="dxa"/>
            <w:vAlign w:val="top"/>
          </w:tcPr>
          <w:p w14:paraId="088E77BE">
            <w:pPr>
              <w:rPr>
                <w:rFonts w:ascii="Arial"/>
                <w:sz w:val="21"/>
              </w:rPr>
            </w:pPr>
          </w:p>
        </w:tc>
        <w:tc>
          <w:tcPr>
            <w:tcW w:w="219" w:type="dxa"/>
            <w:vAlign w:val="top"/>
          </w:tcPr>
          <w:p w14:paraId="117856E3">
            <w:pPr>
              <w:rPr>
                <w:rFonts w:ascii="Arial"/>
                <w:sz w:val="21"/>
              </w:rPr>
            </w:pPr>
          </w:p>
        </w:tc>
        <w:tc>
          <w:tcPr>
            <w:tcW w:w="229" w:type="dxa"/>
            <w:vAlign w:val="top"/>
          </w:tcPr>
          <w:p w14:paraId="4DB19160">
            <w:pPr>
              <w:rPr>
                <w:rFonts w:ascii="Arial"/>
                <w:sz w:val="21"/>
              </w:rPr>
            </w:pPr>
          </w:p>
        </w:tc>
        <w:tc>
          <w:tcPr>
            <w:tcW w:w="234" w:type="dxa"/>
            <w:vAlign w:val="top"/>
          </w:tcPr>
          <w:p w14:paraId="476BE311">
            <w:pPr>
              <w:rPr>
                <w:rFonts w:ascii="Arial"/>
                <w:sz w:val="21"/>
              </w:rPr>
            </w:pPr>
          </w:p>
        </w:tc>
      </w:tr>
      <w:tr w14:paraId="0A14D1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9" w:hRule="atLeast"/>
        </w:trPr>
        <w:tc>
          <w:tcPr>
            <w:tcW w:w="893" w:type="dxa"/>
            <w:vMerge w:val="continue"/>
            <w:tcBorders>
              <w:top w:val="nil"/>
              <w:bottom w:val="nil"/>
            </w:tcBorders>
            <w:vAlign w:val="top"/>
          </w:tcPr>
          <w:p w14:paraId="10471FE0">
            <w:pPr>
              <w:rPr>
                <w:rFonts w:ascii="Arial"/>
                <w:sz w:val="21"/>
              </w:rPr>
            </w:pPr>
          </w:p>
        </w:tc>
        <w:tc>
          <w:tcPr>
            <w:tcW w:w="2324" w:type="dxa"/>
            <w:vMerge w:val="continue"/>
            <w:tcBorders>
              <w:top w:val="nil"/>
              <w:bottom w:val="nil"/>
            </w:tcBorders>
            <w:vAlign w:val="top"/>
          </w:tcPr>
          <w:p w14:paraId="5DA60335">
            <w:pPr>
              <w:rPr>
                <w:rFonts w:ascii="Arial"/>
                <w:sz w:val="21"/>
              </w:rPr>
            </w:pPr>
          </w:p>
        </w:tc>
        <w:tc>
          <w:tcPr>
            <w:tcW w:w="220" w:type="dxa"/>
            <w:vAlign w:val="top"/>
          </w:tcPr>
          <w:p w14:paraId="6978C092">
            <w:pPr>
              <w:rPr>
                <w:rFonts w:ascii="Arial"/>
                <w:sz w:val="21"/>
              </w:rPr>
            </w:pPr>
          </w:p>
        </w:tc>
        <w:tc>
          <w:tcPr>
            <w:tcW w:w="219" w:type="dxa"/>
            <w:vAlign w:val="top"/>
          </w:tcPr>
          <w:p w14:paraId="07EE611B">
            <w:pPr>
              <w:pStyle w:val="6"/>
              <w:spacing w:before="189" w:line="238" w:lineRule="auto"/>
              <w:ind w:left="37"/>
              <w:rPr>
                <w:sz w:val="13"/>
                <w:szCs w:val="13"/>
              </w:rPr>
            </w:pPr>
            <w:r>
              <w:rPr>
                <w:sz w:val="13"/>
                <w:szCs w:val="13"/>
              </w:rPr>
              <w:t>√</w:t>
            </w:r>
          </w:p>
        </w:tc>
        <w:tc>
          <w:tcPr>
            <w:tcW w:w="229" w:type="dxa"/>
            <w:vAlign w:val="top"/>
          </w:tcPr>
          <w:p w14:paraId="54D335DF">
            <w:pPr>
              <w:rPr>
                <w:rFonts w:ascii="Arial"/>
                <w:sz w:val="21"/>
              </w:rPr>
            </w:pPr>
          </w:p>
        </w:tc>
        <w:tc>
          <w:tcPr>
            <w:tcW w:w="234" w:type="dxa"/>
            <w:vAlign w:val="top"/>
          </w:tcPr>
          <w:p w14:paraId="24C32621">
            <w:pPr>
              <w:rPr>
                <w:rFonts w:ascii="Arial"/>
                <w:sz w:val="21"/>
              </w:rPr>
            </w:pPr>
          </w:p>
        </w:tc>
      </w:tr>
      <w:tr w14:paraId="661981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9" w:hRule="atLeast"/>
        </w:trPr>
        <w:tc>
          <w:tcPr>
            <w:tcW w:w="893" w:type="dxa"/>
            <w:vMerge w:val="continue"/>
            <w:tcBorders>
              <w:top w:val="nil"/>
              <w:bottom w:val="nil"/>
            </w:tcBorders>
            <w:vAlign w:val="top"/>
          </w:tcPr>
          <w:p w14:paraId="5FE415CE">
            <w:pPr>
              <w:rPr>
                <w:rFonts w:ascii="Arial"/>
                <w:sz w:val="21"/>
              </w:rPr>
            </w:pPr>
          </w:p>
        </w:tc>
        <w:tc>
          <w:tcPr>
            <w:tcW w:w="2324" w:type="dxa"/>
            <w:vMerge w:val="continue"/>
            <w:tcBorders>
              <w:top w:val="nil"/>
              <w:bottom w:val="nil"/>
            </w:tcBorders>
            <w:vAlign w:val="top"/>
          </w:tcPr>
          <w:p w14:paraId="56CEC691">
            <w:pPr>
              <w:rPr>
                <w:rFonts w:ascii="Arial"/>
                <w:sz w:val="21"/>
              </w:rPr>
            </w:pPr>
          </w:p>
        </w:tc>
        <w:tc>
          <w:tcPr>
            <w:tcW w:w="220" w:type="dxa"/>
            <w:vAlign w:val="top"/>
          </w:tcPr>
          <w:p w14:paraId="2DE81AAA">
            <w:pPr>
              <w:rPr>
                <w:rFonts w:ascii="Arial"/>
                <w:sz w:val="21"/>
              </w:rPr>
            </w:pPr>
          </w:p>
        </w:tc>
        <w:tc>
          <w:tcPr>
            <w:tcW w:w="219" w:type="dxa"/>
            <w:vAlign w:val="top"/>
          </w:tcPr>
          <w:p w14:paraId="48694F1F">
            <w:pPr>
              <w:rPr>
                <w:rFonts w:ascii="Arial"/>
                <w:sz w:val="21"/>
              </w:rPr>
            </w:pPr>
          </w:p>
        </w:tc>
        <w:tc>
          <w:tcPr>
            <w:tcW w:w="229" w:type="dxa"/>
            <w:vAlign w:val="top"/>
          </w:tcPr>
          <w:p w14:paraId="27C2DA09">
            <w:pPr>
              <w:rPr>
                <w:rFonts w:ascii="Arial"/>
                <w:sz w:val="21"/>
              </w:rPr>
            </w:pPr>
          </w:p>
        </w:tc>
        <w:tc>
          <w:tcPr>
            <w:tcW w:w="234" w:type="dxa"/>
            <w:vAlign w:val="top"/>
          </w:tcPr>
          <w:p w14:paraId="794BAEFA">
            <w:pPr>
              <w:rPr>
                <w:rFonts w:ascii="Arial"/>
                <w:sz w:val="21"/>
              </w:rPr>
            </w:pPr>
          </w:p>
        </w:tc>
      </w:tr>
      <w:tr w14:paraId="1AA004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9" w:hRule="atLeast"/>
        </w:trPr>
        <w:tc>
          <w:tcPr>
            <w:tcW w:w="893" w:type="dxa"/>
            <w:vMerge w:val="continue"/>
            <w:tcBorders>
              <w:top w:val="nil"/>
            </w:tcBorders>
            <w:vAlign w:val="top"/>
          </w:tcPr>
          <w:p w14:paraId="6E405BA9">
            <w:pPr>
              <w:rPr>
                <w:rFonts w:ascii="Arial"/>
                <w:sz w:val="21"/>
              </w:rPr>
            </w:pPr>
          </w:p>
        </w:tc>
        <w:tc>
          <w:tcPr>
            <w:tcW w:w="2324" w:type="dxa"/>
            <w:vMerge w:val="continue"/>
            <w:tcBorders>
              <w:top w:val="nil"/>
            </w:tcBorders>
            <w:vAlign w:val="top"/>
          </w:tcPr>
          <w:p w14:paraId="0C442EA5">
            <w:pPr>
              <w:rPr>
                <w:rFonts w:ascii="Arial"/>
                <w:sz w:val="21"/>
              </w:rPr>
            </w:pPr>
          </w:p>
        </w:tc>
        <w:tc>
          <w:tcPr>
            <w:tcW w:w="220" w:type="dxa"/>
            <w:vAlign w:val="top"/>
          </w:tcPr>
          <w:p w14:paraId="77AF0814">
            <w:pPr>
              <w:rPr>
                <w:rFonts w:ascii="Arial"/>
                <w:sz w:val="21"/>
              </w:rPr>
            </w:pPr>
          </w:p>
        </w:tc>
        <w:tc>
          <w:tcPr>
            <w:tcW w:w="219" w:type="dxa"/>
            <w:vAlign w:val="top"/>
          </w:tcPr>
          <w:p w14:paraId="7C0AE6AD">
            <w:pPr>
              <w:pStyle w:val="6"/>
              <w:spacing w:before="191" w:line="238" w:lineRule="auto"/>
              <w:ind w:left="37"/>
              <w:rPr>
                <w:sz w:val="13"/>
                <w:szCs w:val="13"/>
              </w:rPr>
            </w:pPr>
            <w:r>
              <w:rPr>
                <w:sz w:val="13"/>
                <w:szCs w:val="13"/>
              </w:rPr>
              <w:t>√</w:t>
            </w:r>
          </w:p>
        </w:tc>
        <w:tc>
          <w:tcPr>
            <w:tcW w:w="229" w:type="dxa"/>
            <w:vAlign w:val="top"/>
          </w:tcPr>
          <w:p w14:paraId="2AC4AA8C">
            <w:pPr>
              <w:rPr>
                <w:rFonts w:ascii="Arial"/>
                <w:sz w:val="21"/>
              </w:rPr>
            </w:pPr>
          </w:p>
        </w:tc>
        <w:tc>
          <w:tcPr>
            <w:tcW w:w="234" w:type="dxa"/>
            <w:vAlign w:val="top"/>
          </w:tcPr>
          <w:p w14:paraId="351433E2">
            <w:pPr>
              <w:rPr>
                <w:rFonts w:ascii="Arial"/>
                <w:sz w:val="21"/>
              </w:rPr>
            </w:pPr>
          </w:p>
        </w:tc>
      </w:tr>
      <w:tr w14:paraId="03DF3C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0" w:hRule="atLeast"/>
        </w:trPr>
        <w:tc>
          <w:tcPr>
            <w:tcW w:w="893" w:type="dxa"/>
            <w:vMerge w:val="restart"/>
            <w:tcBorders>
              <w:bottom w:val="nil"/>
            </w:tcBorders>
            <w:vAlign w:val="top"/>
          </w:tcPr>
          <w:p w14:paraId="70860441">
            <w:pPr>
              <w:pStyle w:val="6"/>
              <w:spacing w:before="141" w:line="220" w:lineRule="auto"/>
              <w:ind w:left="74"/>
              <w:rPr>
                <w:sz w:val="18"/>
                <w:szCs w:val="18"/>
              </w:rPr>
            </w:pPr>
            <w:r>
              <w:rPr>
                <w:spacing w:val="-2"/>
                <w:sz w:val="18"/>
                <w:szCs w:val="18"/>
              </w:rPr>
              <w:t>动脉血压</w:t>
            </w:r>
          </w:p>
        </w:tc>
        <w:tc>
          <w:tcPr>
            <w:tcW w:w="2324" w:type="dxa"/>
            <w:vMerge w:val="restart"/>
            <w:tcBorders>
              <w:bottom w:val="nil"/>
            </w:tcBorders>
            <w:vAlign w:val="top"/>
          </w:tcPr>
          <w:p w14:paraId="3E7FF678">
            <w:pPr>
              <w:pStyle w:val="6"/>
              <w:spacing w:before="50" w:line="205" w:lineRule="auto"/>
              <w:ind w:left="11" w:hanging="9"/>
              <w:rPr>
                <w:sz w:val="18"/>
                <w:szCs w:val="18"/>
              </w:rPr>
            </w:pPr>
            <w:r>
              <w:rPr>
                <w:sz w:val="18"/>
                <w:szCs w:val="18"/>
              </w:rPr>
              <w:t xml:space="preserve">1.动脉血压的概念及正常值  </w:t>
            </w:r>
            <w:r>
              <w:rPr>
                <w:spacing w:val="-3"/>
                <w:sz w:val="18"/>
                <w:szCs w:val="18"/>
              </w:rPr>
              <w:t>2.动脉血压的形成及影响因素</w:t>
            </w:r>
          </w:p>
        </w:tc>
        <w:tc>
          <w:tcPr>
            <w:tcW w:w="220" w:type="dxa"/>
            <w:vAlign w:val="top"/>
          </w:tcPr>
          <w:p w14:paraId="216FC40A">
            <w:pPr>
              <w:pStyle w:val="6"/>
              <w:spacing w:before="79" w:line="151" w:lineRule="exact"/>
              <w:ind w:left="57"/>
              <w:rPr>
                <w:sz w:val="18"/>
                <w:szCs w:val="18"/>
              </w:rPr>
            </w:pPr>
            <w:r>
              <w:rPr>
                <w:position w:val="-2"/>
                <w:sz w:val="18"/>
                <w:szCs w:val="18"/>
              </w:rPr>
              <w:t>V</w:t>
            </w:r>
          </w:p>
        </w:tc>
        <w:tc>
          <w:tcPr>
            <w:tcW w:w="219" w:type="dxa"/>
            <w:vAlign w:val="top"/>
          </w:tcPr>
          <w:p w14:paraId="116AE526">
            <w:pPr>
              <w:spacing w:line="230" w:lineRule="exact"/>
              <w:rPr>
                <w:rFonts w:ascii="Arial"/>
                <w:sz w:val="20"/>
              </w:rPr>
            </w:pPr>
          </w:p>
        </w:tc>
        <w:tc>
          <w:tcPr>
            <w:tcW w:w="229" w:type="dxa"/>
            <w:vAlign w:val="top"/>
          </w:tcPr>
          <w:p w14:paraId="40EF0799">
            <w:pPr>
              <w:spacing w:line="230" w:lineRule="exact"/>
              <w:rPr>
                <w:rFonts w:ascii="Arial"/>
                <w:sz w:val="20"/>
              </w:rPr>
            </w:pPr>
          </w:p>
        </w:tc>
        <w:tc>
          <w:tcPr>
            <w:tcW w:w="234" w:type="dxa"/>
            <w:vAlign w:val="top"/>
          </w:tcPr>
          <w:p w14:paraId="6C133DD4">
            <w:pPr>
              <w:spacing w:line="230" w:lineRule="exact"/>
              <w:rPr>
                <w:rFonts w:ascii="Arial"/>
                <w:sz w:val="20"/>
              </w:rPr>
            </w:pPr>
          </w:p>
        </w:tc>
      </w:tr>
      <w:tr w14:paraId="486CA6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0" w:hRule="atLeast"/>
        </w:trPr>
        <w:tc>
          <w:tcPr>
            <w:tcW w:w="893" w:type="dxa"/>
            <w:vMerge w:val="continue"/>
            <w:tcBorders>
              <w:top w:val="nil"/>
            </w:tcBorders>
            <w:vAlign w:val="top"/>
          </w:tcPr>
          <w:p w14:paraId="31BAEA6E">
            <w:pPr>
              <w:rPr>
                <w:rFonts w:ascii="Arial"/>
                <w:sz w:val="21"/>
              </w:rPr>
            </w:pPr>
          </w:p>
        </w:tc>
        <w:tc>
          <w:tcPr>
            <w:tcW w:w="2324" w:type="dxa"/>
            <w:vMerge w:val="continue"/>
            <w:tcBorders>
              <w:top w:val="nil"/>
            </w:tcBorders>
            <w:vAlign w:val="top"/>
          </w:tcPr>
          <w:p w14:paraId="629A37F4">
            <w:pPr>
              <w:rPr>
                <w:rFonts w:ascii="Arial"/>
                <w:sz w:val="21"/>
              </w:rPr>
            </w:pPr>
          </w:p>
        </w:tc>
        <w:tc>
          <w:tcPr>
            <w:tcW w:w="220" w:type="dxa"/>
            <w:vAlign w:val="top"/>
          </w:tcPr>
          <w:p w14:paraId="4DAD31D2">
            <w:pPr>
              <w:pStyle w:val="6"/>
              <w:spacing w:before="52" w:line="210" w:lineRule="auto"/>
              <w:ind w:left="38"/>
              <w:rPr>
                <w:sz w:val="13"/>
                <w:szCs w:val="13"/>
              </w:rPr>
            </w:pPr>
            <w:r>
              <w:rPr>
                <w:sz w:val="13"/>
                <w:szCs w:val="13"/>
              </w:rPr>
              <w:t>√</w:t>
            </w:r>
          </w:p>
        </w:tc>
        <w:tc>
          <w:tcPr>
            <w:tcW w:w="219" w:type="dxa"/>
            <w:vAlign w:val="top"/>
          </w:tcPr>
          <w:p w14:paraId="6230D687">
            <w:pPr>
              <w:spacing w:line="200" w:lineRule="exact"/>
              <w:rPr>
                <w:rFonts w:ascii="Arial"/>
                <w:sz w:val="17"/>
              </w:rPr>
            </w:pPr>
          </w:p>
        </w:tc>
        <w:tc>
          <w:tcPr>
            <w:tcW w:w="229" w:type="dxa"/>
            <w:vAlign w:val="top"/>
          </w:tcPr>
          <w:p w14:paraId="44076E63">
            <w:pPr>
              <w:spacing w:line="200" w:lineRule="exact"/>
              <w:rPr>
                <w:rFonts w:ascii="Arial"/>
                <w:sz w:val="17"/>
              </w:rPr>
            </w:pPr>
          </w:p>
        </w:tc>
        <w:tc>
          <w:tcPr>
            <w:tcW w:w="234" w:type="dxa"/>
            <w:vAlign w:val="top"/>
          </w:tcPr>
          <w:p w14:paraId="3E6158A0">
            <w:pPr>
              <w:spacing w:line="200" w:lineRule="exact"/>
              <w:rPr>
                <w:rFonts w:ascii="Arial"/>
                <w:sz w:val="17"/>
              </w:rPr>
            </w:pPr>
          </w:p>
        </w:tc>
      </w:tr>
      <w:tr w14:paraId="5F720E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0" w:hRule="atLeast"/>
        </w:trPr>
        <w:tc>
          <w:tcPr>
            <w:tcW w:w="893" w:type="dxa"/>
            <w:vMerge w:val="restart"/>
            <w:tcBorders>
              <w:bottom w:val="nil"/>
            </w:tcBorders>
            <w:vAlign w:val="top"/>
          </w:tcPr>
          <w:p w14:paraId="73341BA9">
            <w:pPr>
              <w:pStyle w:val="6"/>
              <w:spacing w:before="281" w:line="219" w:lineRule="auto"/>
              <w:ind w:left="165"/>
              <w:rPr>
                <w:sz w:val="18"/>
                <w:szCs w:val="18"/>
              </w:rPr>
            </w:pPr>
            <w:r>
              <w:rPr>
                <w:spacing w:val="-2"/>
                <w:sz w:val="18"/>
                <w:szCs w:val="18"/>
              </w:rPr>
              <w:t>微循环</w:t>
            </w:r>
          </w:p>
        </w:tc>
        <w:tc>
          <w:tcPr>
            <w:tcW w:w="2324" w:type="dxa"/>
            <w:vMerge w:val="restart"/>
            <w:tcBorders>
              <w:bottom w:val="nil"/>
            </w:tcBorders>
            <w:vAlign w:val="top"/>
          </w:tcPr>
          <w:p w14:paraId="54944077">
            <w:pPr>
              <w:pStyle w:val="6"/>
              <w:spacing w:before="59" w:line="224" w:lineRule="auto"/>
              <w:ind w:left="2" w:right="142"/>
              <w:jc w:val="both"/>
              <w:rPr>
                <w:sz w:val="18"/>
                <w:szCs w:val="18"/>
              </w:rPr>
            </w:pPr>
            <w:r>
              <w:rPr>
                <w:sz w:val="18"/>
                <w:szCs w:val="18"/>
              </w:rPr>
              <w:t>1.微循环血流通路及其功能</w:t>
            </w:r>
            <w:r>
              <w:rPr>
                <w:spacing w:val="8"/>
                <w:sz w:val="18"/>
                <w:szCs w:val="18"/>
              </w:rPr>
              <w:t xml:space="preserve"> </w:t>
            </w:r>
            <w:r>
              <w:rPr>
                <w:spacing w:val="-1"/>
                <w:sz w:val="18"/>
                <w:szCs w:val="18"/>
              </w:rPr>
              <w:t>3.应用组织循环的理论，分</w:t>
            </w:r>
            <w:r>
              <w:rPr>
                <w:spacing w:val="11"/>
                <w:sz w:val="18"/>
                <w:szCs w:val="18"/>
              </w:rPr>
              <w:t xml:space="preserve"> </w:t>
            </w:r>
            <w:r>
              <w:rPr>
                <w:spacing w:val="1"/>
                <w:sz w:val="18"/>
                <w:szCs w:val="18"/>
              </w:rPr>
              <w:t>析水肿可能发生的原因</w:t>
            </w:r>
          </w:p>
        </w:tc>
        <w:tc>
          <w:tcPr>
            <w:tcW w:w="220" w:type="dxa"/>
            <w:vAlign w:val="top"/>
          </w:tcPr>
          <w:p w14:paraId="21C6DCA5">
            <w:pPr>
              <w:pStyle w:val="6"/>
              <w:spacing w:before="72" w:line="224" w:lineRule="auto"/>
              <w:ind w:left="17"/>
              <w:rPr>
                <w:sz w:val="13"/>
                <w:szCs w:val="13"/>
              </w:rPr>
            </w:pPr>
            <w:r>
              <w:rPr>
                <w:sz w:val="13"/>
                <w:szCs w:val="13"/>
              </w:rPr>
              <w:t>√</w:t>
            </w:r>
          </w:p>
        </w:tc>
        <w:tc>
          <w:tcPr>
            <w:tcW w:w="219" w:type="dxa"/>
            <w:vAlign w:val="top"/>
          </w:tcPr>
          <w:p w14:paraId="7D5A5DE1">
            <w:pPr>
              <w:spacing w:line="230" w:lineRule="exact"/>
              <w:rPr>
                <w:rFonts w:ascii="Arial"/>
                <w:sz w:val="20"/>
              </w:rPr>
            </w:pPr>
          </w:p>
        </w:tc>
        <w:tc>
          <w:tcPr>
            <w:tcW w:w="229" w:type="dxa"/>
            <w:vAlign w:val="top"/>
          </w:tcPr>
          <w:p w14:paraId="5DAC6A07">
            <w:pPr>
              <w:spacing w:line="230" w:lineRule="exact"/>
              <w:rPr>
                <w:rFonts w:ascii="Arial"/>
                <w:sz w:val="20"/>
              </w:rPr>
            </w:pPr>
          </w:p>
        </w:tc>
        <w:tc>
          <w:tcPr>
            <w:tcW w:w="234" w:type="dxa"/>
            <w:vAlign w:val="top"/>
          </w:tcPr>
          <w:p w14:paraId="47CBFB1C">
            <w:pPr>
              <w:spacing w:line="230" w:lineRule="exact"/>
              <w:rPr>
                <w:rFonts w:ascii="Arial"/>
                <w:sz w:val="20"/>
              </w:rPr>
            </w:pPr>
          </w:p>
        </w:tc>
      </w:tr>
      <w:tr w14:paraId="239D17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9" w:hRule="atLeast"/>
        </w:trPr>
        <w:tc>
          <w:tcPr>
            <w:tcW w:w="893" w:type="dxa"/>
            <w:vMerge w:val="continue"/>
            <w:tcBorders>
              <w:top w:val="nil"/>
            </w:tcBorders>
            <w:vAlign w:val="top"/>
          </w:tcPr>
          <w:p w14:paraId="50D3E1DB">
            <w:pPr>
              <w:rPr>
                <w:rFonts w:ascii="Arial"/>
                <w:sz w:val="21"/>
              </w:rPr>
            </w:pPr>
          </w:p>
        </w:tc>
        <w:tc>
          <w:tcPr>
            <w:tcW w:w="2324" w:type="dxa"/>
            <w:vMerge w:val="continue"/>
            <w:tcBorders>
              <w:top w:val="nil"/>
            </w:tcBorders>
            <w:vAlign w:val="top"/>
          </w:tcPr>
          <w:p w14:paraId="0982136E">
            <w:pPr>
              <w:rPr>
                <w:rFonts w:ascii="Arial"/>
                <w:sz w:val="21"/>
              </w:rPr>
            </w:pPr>
          </w:p>
        </w:tc>
        <w:tc>
          <w:tcPr>
            <w:tcW w:w="220" w:type="dxa"/>
            <w:vAlign w:val="top"/>
          </w:tcPr>
          <w:p w14:paraId="52BE4E2E">
            <w:pPr>
              <w:rPr>
                <w:rFonts w:ascii="Arial"/>
                <w:sz w:val="21"/>
              </w:rPr>
            </w:pPr>
          </w:p>
        </w:tc>
        <w:tc>
          <w:tcPr>
            <w:tcW w:w="219" w:type="dxa"/>
            <w:vAlign w:val="top"/>
          </w:tcPr>
          <w:p w14:paraId="1C2EB55A">
            <w:pPr>
              <w:rPr>
                <w:rFonts w:ascii="Arial"/>
                <w:sz w:val="21"/>
              </w:rPr>
            </w:pPr>
          </w:p>
        </w:tc>
        <w:tc>
          <w:tcPr>
            <w:tcW w:w="229" w:type="dxa"/>
            <w:vAlign w:val="top"/>
          </w:tcPr>
          <w:p w14:paraId="05B27E23">
            <w:pPr>
              <w:rPr>
                <w:rFonts w:ascii="Arial"/>
                <w:sz w:val="21"/>
              </w:rPr>
            </w:pPr>
          </w:p>
        </w:tc>
        <w:tc>
          <w:tcPr>
            <w:tcW w:w="234" w:type="dxa"/>
            <w:vAlign w:val="top"/>
          </w:tcPr>
          <w:p w14:paraId="0DB90F30">
            <w:pPr>
              <w:rPr>
                <w:rFonts w:ascii="Arial"/>
                <w:sz w:val="21"/>
              </w:rPr>
            </w:pPr>
          </w:p>
        </w:tc>
      </w:tr>
      <w:tr w14:paraId="4D57BE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0" w:hRule="atLeast"/>
        </w:trPr>
        <w:tc>
          <w:tcPr>
            <w:tcW w:w="893" w:type="dxa"/>
            <w:vMerge w:val="restart"/>
            <w:tcBorders>
              <w:bottom w:val="nil"/>
            </w:tcBorders>
            <w:vAlign w:val="top"/>
          </w:tcPr>
          <w:p w14:paraId="0A281A28">
            <w:pPr>
              <w:pStyle w:val="6"/>
              <w:spacing w:before="141" w:line="219" w:lineRule="auto"/>
              <w:ind w:left="165"/>
              <w:rPr>
                <w:sz w:val="18"/>
                <w:szCs w:val="18"/>
              </w:rPr>
            </w:pPr>
            <w:r>
              <w:rPr>
                <w:spacing w:val="2"/>
                <w:sz w:val="18"/>
                <w:szCs w:val="18"/>
              </w:rPr>
              <w:t>中心静</w:t>
            </w:r>
          </w:p>
          <w:p w14:paraId="14CE2F59">
            <w:pPr>
              <w:pStyle w:val="6"/>
              <w:spacing w:before="29" w:line="221" w:lineRule="auto"/>
              <w:ind w:left="254"/>
              <w:rPr>
                <w:sz w:val="18"/>
                <w:szCs w:val="18"/>
              </w:rPr>
            </w:pPr>
            <w:r>
              <w:rPr>
                <w:spacing w:val="-3"/>
                <w:sz w:val="18"/>
                <w:szCs w:val="18"/>
              </w:rPr>
              <w:t>脉压</w:t>
            </w:r>
          </w:p>
        </w:tc>
        <w:tc>
          <w:tcPr>
            <w:tcW w:w="2324" w:type="dxa"/>
            <w:vMerge w:val="restart"/>
            <w:tcBorders>
              <w:bottom w:val="nil"/>
            </w:tcBorders>
            <w:vAlign w:val="top"/>
          </w:tcPr>
          <w:p w14:paraId="09D354AE">
            <w:pPr>
              <w:pStyle w:val="6"/>
              <w:spacing w:before="30" w:line="226" w:lineRule="auto"/>
              <w:ind w:left="2" w:right="130" w:firstLine="10"/>
              <w:rPr>
                <w:sz w:val="18"/>
                <w:szCs w:val="18"/>
              </w:rPr>
            </w:pPr>
            <w:r>
              <w:rPr>
                <w:sz w:val="18"/>
                <w:szCs w:val="18"/>
              </w:rPr>
              <w:t>1.中心静脉压的概念及测定</w:t>
            </w:r>
            <w:r>
              <w:rPr>
                <w:spacing w:val="10"/>
                <w:sz w:val="18"/>
                <w:szCs w:val="18"/>
              </w:rPr>
              <w:t xml:space="preserve"> </w:t>
            </w:r>
            <w:r>
              <w:rPr>
                <w:spacing w:val="3"/>
                <w:sz w:val="18"/>
                <w:szCs w:val="18"/>
              </w:rPr>
              <w:t>的意义</w:t>
            </w:r>
          </w:p>
          <w:p w14:paraId="6AE269FB">
            <w:pPr>
              <w:pStyle w:val="6"/>
              <w:spacing w:line="192" w:lineRule="auto"/>
              <w:ind w:left="2"/>
              <w:rPr>
                <w:sz w:val="18"/>
                <w:szCs w:val="18"/>
              </w:rPr>
            </w:pPr>
            <w:r>
              <w:rPr>
                <w:spacing w:val="-1"/>
                <w:sz w:val="18"/>
                <w:szCs w:val="18"/>
              </w:rPr>
              <w:t>2.影响静脉回流的因素</w:t>
            </w:r>
          </w:p>
        </w:tc>
        <w:tc>
          <w:tcPr>
            <w:tcW w:w="220" w:type="dxa"/>
            <w:vAlign w:val="top"/>
          </w:tcPr>
          <w:p w14:paraId="439A367C">
            <w:pPr>
              <w:rPr>
                <w:rFonts w:ascii="Arial"/>
                <w:sz w:val="21"/>
              </w:rPr>
            </w:pPr>
          </w:p>
        </w:tc>
        <w:tc>
          <w:tcPr>
            <w:tcW w:w="219" w:type="dxa"/>
            <w:vAlign w:val="top"/>
          </w:tcPr>
          <w:p w14:paraId="7972DFE2">
            <w:pPr>
              <w:rPr>
                <w:rFonts w:ascii="Arial"/>
                <w:sz w:val="21"/>
              </w:rPr>
            </w:pPr>
          </w:p>
        </w:tc>
        <w:tc>
          <w:tcPr>
            <w:tcW w:w="229" w:type="dxa"/>
            <w:vAlign w:val="top"/>
          </w:tcPr>
          <w:p w14:paraId="69732B2F">
            <w:pPr>
              <w:rPr>
                <w:rFonts w:ascii="Arial"/>
                <w:sz w:val="21"/>
              </w:rPr>
            </w:pPr>
          </w:p>
        </w:tc>
        <w:tc>
          <w:tcPr>
            <w:tcW w:w="234" w:type="dxa"/>
            <w:vAlign w:val="top"/>
          </w:tcPr>
          <w:p w14:paraId="0C3C3AAC">
            <w:pPr>
              <w:rPr>
                <w:rFonts w:ascii="Arial"/>
                <w:sz w:val="21"/>
              </w:rPr>
            </w:pPr>
          </w:p>
        </w:tc>
      </w:tr>
      <w:tr w14:paraId="33E940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893" w:type="dxa"/>
            <w:vMerge w:val="continue"/>
            <w:tcBorders>
              <w:top w:val="nil"/>
            </w:tcBorders>
            <w:vAlign w:val="top"/>
          </w:tcPr>
          <w:p w14:paraId="26776B5C">
            <w:pPr>
              <w:rPr>
                <w:rFonts w:ascii="Arial"/>
                <w:sz w:val="21"/>
              </w:rPr>
            </w:pPr>
          </w:p>
        </w:tc>
        <w:tc>
          <w:tcPr>
            <w:tcW w:w="2324" w:type="dxa"/>
            <w:vMerge w:val="continue"/>
            <w:tcBorders>
              <w:top w:val="nil"/>
            </w:tcBorders>
            <w:vAlign w:val="top"/>
          </w:tcPr>
          <w:p w14:paraId="01B0FEEF">
            <w:pPr>
              <w:rPr>
                <w:rFonts w:ascii="Arial"/>
                <w:sz w:val="21"/>
              </w:rPr>
            </w:pPr>
          </w:p>
        </w:tc>
        <w:tc>
          <w:tcPr>
            <w:tcW w:w="220" w:type="dxa"/>
            <w:vAlign w:val="top"/>
          </w:tcPr>
          <w:p w14:paraId="24C45EA4">
            <w:pPr>
              <w:rPr>
                <w:rFonts w:ascii="Arial"/>
                <w:sz w:val="21"/>
              </w:rPr>
            </w:pPr>
          </w:p>
        </w:tc>
        <w:tc>
          <w:tcPr>
            <w:tcW w:w="219" w:type="dxa"/>
            <w:vAlign w:val="top"/>
          </w:tcPr>
          <w:p w14:paraId="131C46DE">
            <w:pPr>
              <w:pStyle w:val="6"/>
              <w:spacing w:before="133" w:line="238" w:lineRule="auto"/>
              <w:ind w:left="37"/>
              <w:rPr>
                <w:sz w:val="13"/>
                <w:szCs w:val="13"/>
              </w:rPr>
            </w:pPr>
            <w:r>
              <w:rPr>
                <w:sz w:val="13"/>
                <w:szCs w:val="13"/>
              </w:rPr>
              <w:t>√</w:t>
            </w:r>
          </w:p>
        </w:tc>
        <w:tc>
          <w:tcPr>
            <w:tcW w:w="229" w:type="dxa"/>
            <w:vAlign w:val="top"/>
          </w:tcPr>
          <w:p w14:paraId="435B48DA">
            <w:pPr>
              <w:rPr>
                <w:rFonts w:ascii="Arial"/>
                <w:sz w:val="21"/>
              </w:rPr>
            </w:pPr>
          </w:p>
        </w:tc>
        <w:tc>
          <w:tcPr>
            <w:tcW w:w="234" w:type="dxa"/>
            <w:vAlign w:val="top"/>
          </w:tcPr>
          <w:p w14:paraId="7C64E12D">
            <w:pPr>
              <w:rPr>
                <w:rFonts w:ascii="Arial"/>
                <w:sz w:val="21"/>
              </w:rPr>
            </w:pPr>
          </w:p>
        </w:tc>
      </w:tr>
      <w:tr w14:paraId="69113F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9" w:hRule="atLeast"/>
        </w:trPr>
        <w:tc>
          <w:tcPr>
            <w:tcW w:w="893" w:type="dxa"/>
            <w:vMerge w:val="restart"/>
            <w:tcBorders>
              <w:bottom w:val="nil"/>
            </w:tcBorders>
            <w:vAlign w:val="top"/>
          </w:tcPr>
          <w:p w14:paraId="1E4B0CA7">
            <w:pPr>
              <w:spacing w:line="350" w:lineRule="auto"/>
              <w:rPr>
                <w:rFonts w:ascii="Arial"/>
                <w:sz w:val="21"/>
              </w:rPr>
            </w:pPr>
          </w:p>
          <w:p w14:paraId="3BC1685D">
            <w:pPr>
              <w:spacing w:line="350" w:lineRule="auto"/>
              <w:rPr>
                <w:rFonts w:ascii="Arial"/>
                <w:sz w:val="21"/>
              </w:rPr>
            </w:pPr>
          </w:p>
          <w:p w14:paraId="17F86398">
            <w:pPr>
              <w:pStyle w:val="6"/>
              <w:spacing w:before="59" w:line="219" w:lineRule="auto"/>
              <w:ind w:left="74"/>
              <w:rPr>
                <w:sz w:val="18"/>
                <w:szCs w:val="18"/>
              </w:rPr>
            </w:pPr>
            <w:r>
              <w:rPr>
                <w:spacing w:val="1"/>
                <w:sz w:val="18"/>
                <w:szCs w:val="18"/>
              </w:rPr>
              <w:t>心血管活</w:t>
            </w:r>
          </w:p>
          <w:p w14:paraId="09B4CF92">
            <w:pPr>
              <w:pStyle w:val="6"/>
              <w:spacing w:before="6" w:line="220" w:lineRule="auto"/>
              <w:ind w:left="165"/>
              <w:rPr>
                <w:sz w:val="18"/>
                <w:szCs w:val="18"/>
              </w:rPr>
            </w:pPr>
            <w:r>
              <w:rPr>
                <w:spacing w:val="-2"/>
                <w:sz w:val="18"/>
                <w:szCs w:val="18"/>
              </w:rPr>
              <w:t>动调节</w:t>
            </w:r>
          </w:p>
        </w:tc>
        <w:tc>
          <w:tcPr>
            <w:tcW w:w="2324" w:type="dxa"/>
            <w:vMerge w:val="restart"/>
            <w:tcBorders>
              <w:bottom w:val="nil"/>
            </w:tcBorders>
            <w:vAlign w:val="top"/>
          </w:tcPr>
          <w:p w14:paraId="418EA4F5">
            <w:pPr>
              <w:pStyle w:val="6"/>
              <w:spacing w:before="113" w:line="218" w:lineRule="auto"/>
              <w:ind w:left="2" w:right="114" w:firstLine="29"/>
              <w:rPr>
                <w:sz w:val="18"/>
                <w:szCs w:val="18"/>
              </w:rPr>
            </w:pPr>
            <w:r>
              <w:rPr>
                <w:sz w:val="18"/>
                <w:szCs w:val="18"/>
              </w:rPr>
              <w:t>1.心血管中枢及心血管神经</w:t>
            </w:r>
            <w:r>
              <w:rPr>
                <w:spacing w:val="6"/>
                <w:sz w:val="18"/>
                <w:szCs w:val="18"/>
              </w:rPr>
              <w:t xml:space="preserve"> </w:t>
            </w:r>
            <w:r>
              <w:rPr>
                <w:spacing w:val="-2"/>
                <w:sz w:val="18"/>
                <w:szCs w:val="18"/>
              </w:rPr>
              <w:t>支配</w:t>
            </w:r>
          </w:p>
          <w:p w14:paraId="5FBB7E53">
            <w:pPr>
              <w:pStyle w:val="6"/>
              <w:spacing w:before="4" w:line="213" w:lineRule="auto"/>
              <w:ind w:left="2" w:right="127" w:firstLine="10"/>
              <w:rPr>
                <w:sz w:val="18"/>
                <w:szCs w:val="18"/>
              </w:rPr>
            </w:pPr>
            <w:r>
              <w:rPr>
                <w:spacing w:val="1"/>
                <w:sz w:val="18"/>
                <w:szCs w:val="18"/>
              </w:rPr>
              <w:t>2.压力感受器的反射过程和</w:t>
            </w:r>
            <w:r>
              <w:rPr>
                <w:sz w:val="18"/>
                <w:szCs w:val="18"/>
              </w:rPr>
              <w:t xml:space="preserve"> </w:t>
            </w:r>
            <w:r>
              <w:rPr>
                <w:spacing w:val="-2"/>
                <w:sz w:val="18"/>
                <w:szCs w:val="18"/>
              </w:rPr>
              <w:t>生理意义</w:t>
            </w:r>
          </w:p>
          <w:p w14:paraId="47E8C9EA">
            <w:pPr>
              <w:pStyle w:val="6"/>
              <w:spacing w:before="22" w:line="223" w:lineRule="auto"/>
              <w:ind w:left="2" w:right="148" w:firstLine="10"/>
              <w:jc w:val="both"/>
              <w:rPr>
                <w:sz w:val="18"/>
                <w:szCs w:val="18"/>
              </w:rPr>
            </w:pPr>
            <w:r>
              <w:rPr>
                <w:spacing w:val="-1"/>
                <w:sz w:val="18"/>
                <w:szCs w:val="18"/>
              </w:rPr>
              <w:t>3.比较肾上腺素和去甲肾上</w:t>
            </w:r>
            <w:r>
              <w:rPr>
                <w:spacing w:val="1"/>
                <w:sz w:val="18"/>
                <w:szCs w:val="18"/>
              </w:rPr>
              <w:t xml:space="preserve"> </w:t>
            </w:r>
            <w:r>
              <w:rPr>
                <w:spacing w:val="-1"/>
                <w:sz w:val="18"/>
                <w:szCs w:val="18"/>
              </w:rPr>
              <w:t>腺素对心血管的作用的调节</w:t>
            </w:r>
            <w:r>
              <w:rPr>
                <w:spacing w:val="2"/>
                <w:sz w:val="18"/>
                <w:szCs w:val="18"/>
              </w:rPr>
              <w:t xml:space="preserve"> </w:t>
            </w:r>
            <w:r>
              <w:rPr>
                <w:sz w:val="18"/>
                <w:szCs w:val="18"/>
              </w:rPr>
              <w:t>4.血管紧张素对心血管活动</w:t>
            </w:r>
            <w:r>
              <w:rPr>
                <w:spacing w:val="2"/>
                <w:sz w:val="18"/>
                <w:szCs w:val="18"/>
              </w:rPr>
              <w:t xml:space="preserve"> </w:t>
            </w:r>
            <w:r>
              <w:rPr>
                <w:spacing w:val="4"/>
                <w:sz w:val="18"/>
                <w:szCs w:val="18"/>
              </w:rPr>
              <w:t>的影响</w:t>
            </w:r>
          </w:p>
        </w:tc>
        <w:tc>
          <w:tcPr>
            <w:tcW w:w="220" w:type="dxa"/>
            <w:vAlign w:val="top"/>
          </w:tcPr>
          <w:p w14:paraId="21529EA7">
            <w:pPr>
              <w:pStyle w:val="6"/>
              <w:spacing w:before="154" w:line="238" w:lineRule="auto"/>
              <w:ind w:left="17"/>
              <w:rPr>
                <w:sz w:val="13"/>
                <w:szCs w:val="13"/>
              </w:rPr>
            </w:pPr>
            <w:r>
              <w:rPr>
                <w:sz w:val="13"/>
                <w:szCs w:val="13"/>
              </w:rPr>
              <w:t>√</w:t>
            </w:r>
          </w:p>
        </w:tc>
        <w:tc>
          <w:tcPr>
            <w:tcW w:w="219" w:type="dxa"/>
            <w:vAlign w:val="top"/>
          </w:tcPr>
          <w:p w14:paraId="711D664A">
            <w:pPr>
              <w:rPr>
                <w:rFonts w:ascii="Arial"/>
                <w:sz w:val="21"/>
              </w:rPr>
            </w:pPr>
          </w:p>
        </w:tc>
        <w:tc>
          <w:tcPr>
            <w:tcW w:w="229" w:type="dxa"/>
            <w:vAlign w:val="top"/>
          </w:tcPr>
          <w:p w14:paraId="31C2F1DA">
            <w:pPr>
              <w:rPr>
                <w:rFonts w:ascii="Arial"/>
                <w:sz w:val="21"/>
              </w:rPr>
            </w:pPr>
          </w:p>
        </w:tc>
        <w:tc>
          <w:tcPr>
            <w:tcW w:w="234" w:type="dxa"/>
            <w:vAlign w:val="top"/>
          </w:tcPr>
          <w:p w14:paraId="62B32243">
            <w:pPr>
              <w:rPr>
                <w:rFonts w:ascii="Arial"/>
                <w:sz w:val="21"/>
              </w:rPr>
            </w:pPr>
          </w:p>
        </w:tc>
      </w:tr>
      <w:tr w14:paraId="60B95C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9" w:hRule="atLeast"/>
        </w:trPr>
        <w:tc>
          <w:tcPr>
            <w:tcW w:w="893" w:type="dxa"/>
            <w:vMerge w:val="continue"/>
            <w:tcBorders>
              <w:top w:val="nil"/>
              <w:bottom w:val="nil"/>
            </w:tcBorders>
            <w:vAlign w:val="top"/>
          </w:tcPr>
          <w:p w14:paraId="3B656739">
            <w:pPr>
              <w:rPr>
                <w:rFonts w:ascii="Arial"/>
                <w:sz w:val="21"/>
              </w:rPr>
            </w:pPr>
          </w:p>
        </w:tc>
        <w:tc>
          <w:tcPr>
            <w:tcW w:w="2324" w:type="dxa"/>
            <w:vMerge w:val="continue"/>
            <w:tcBorders>
              <w:top w:val="nil"/>
              <w:bottom w:val="nil"/>
            </w:tcBorders>
            <w:vAlign w:val="top"/>
          </w:tcPr>
          <w:p w14:paraId="15C26504">
            <w:pPr>
              <w:rPr>
                <w:rFonts w:ascii="Arial"/>
                <w:sz w:val="21"/>
              </w:rPr>
            </w:pPr>
          </w:p>
        </w:tc>
        <w:tc>
          <w:tcPr>
            <w:tcW w:w="220" w:type="dxa"/>
            <w:vAlign w:val="top"/>
          </w:tcPr>
          <w:p w14:paraId="44C37C9E">
            <w:pPr>
              <w:rPr>
                <w:rFonts w:ascii="Arial"/>
                <w:sz w:val="21"/>
              </w:rPr>
            </w:pPr>
          </w:p>
        </w:tc>
        <w:tc>
          <w:tcPr>
            <w:tcW w:w="219" w:type="dxa"/>
            <w:vAlign w:val="top"/>
          </w:tcPr>
          <w:p w14:paraId="63007642">
            <w:pPr>
              <w:pStyle w:val="6"/>
              <w:spacing w:before="195" w:line="238" w:lineRule="auto"/>
              <w:ind w:left="37"/>
              <w:rPr>
                <w:sz w:val="13"/>
                <w:szCs w:val="13"/>
              </w:rPr>
            </w:pPr>
            <w:r>
              <w:rPr>
                <w:sz w:val="13"/>
                <w:szCs w:val="13"/>
              </w:rPr>
              <w:t>√</w:t>
            </w:r>
          </w:p>
        </w:tc>
        <w:tc>
          <w:tcPr>
            <w:tcW w:w="229" w:type="dxa"/>
            <w:vAlign w:val="top"/>
          </w:tcPr>
          <w:p w14:paraId="6529A245">
            <w:pPr>
              <w:rPr>
                <w:rFonts w:ascii="Arial"/>
                <w:sz w:val="21"/>
              </w:rPr>
            </w:pPr>
          </w:p>
        </w:tc>
        <w:tc>
          <w:tcPr>
            <w:tcW w:w="234" w:type="dxa"/>
            <w:vAlign w:val="top"/>
          </w:tcPr>
          <w:p w14:paraId="4FA16B34">
            <w:pPr>
              <w:rPr>
                <w:rFonts w:ascii="Arial"/>
                <w:sz w:val="21"/>
              </w:rPr>
            </w:pPr>
          </w:p>
        </w:tc>
      </w:tr>
      <w:tr w14:paraId="3FCCCB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9" w:hRule="atLeast"/>
        </w:trPr>
        <w:tc>
          <w:tcPr>
            <w:tcW w:w="893" w:type="dxa"/>
            <w:vMerge w:val="continue"/>
            <w:tcBorders>
              <w:top w:val="nil"/>
              <w:bottom w:val="nil"/>
            </w:tcBorders>
            <w:vAlign w:val="top"/>
          </w:tcPr>
          <w:p w14:paraId="42BE528A">
            <w:pPr>
              <w:rPr>
                <w:rFonts w:ascii="Arial"/>
                <w:sz w:val="21"/>
              </w:rPr>
            </w:pPr>
          </w:p>
        </w:tc>
        <w:tc>
          <w:tcPr>
            <w:tcW w:w="2324" w:type="dxa"/>
            <w:vMerge w:val="continue"/>
            <w:tcBorders>
              <w:top w:val="nil"/>
              <w:bottom w:val="nil"/>
            </w:tcBorders>
            <w:vAlign w:val="top"/>
          </w:tcPr>
          <w:p w14:paraId="23BE0F81">
            <w:pPr>
              <w:rPr>
                <w:rFonts w:ascii="Arial"/>
                <w:sz w:val="21"/>
              </w:rPr>
            </w:pPr>
          </w:p>
        </w:tc>
        <w:tc>
          <w:tcPr>
            <w:tcW w:w="220" w:type="dxa"/>
            <w:vAlign w:val="top"/>
          </w:tcPr>
          <w:p w14:paraId="183B0BE6">
            <w:pPr>
              <w:rPr>
                <w:rFonts w:ascii="Arial"/>
                <w:sz w:val="21"/>
              </w:rPr>
            </w:pPr>
          </w:p>
        </w:tc>
        <w:tc>
          <w:tcPr>
            <w:tcW w:w="219" w:type="dxa"/>
            <w:vAlign w:val="top"/>
          </w:tcPr>
          <w:p w14:paraId="01780AAB">
            <w:pPr>
              <w:rPr>
                <w:rFonts w:ascii="Arial"/>
                <w:sz w:val="21"/>
              </w:rPr>
            </w:pPr>
          </w:p>
        </w:tc>
        <w:tc>
          <w:tcPr>
            <w:tcW w:w="229" w:type="dxa"/>
            <w:vAlign w:val="top"/>
          </w:tcPr>
          <w:p w14:paraId="3128B52E">
            <w:pPr>
              <w:pStyle w:val="6"/>
              <w:spacing w:before="214" w:line="238" w:lineRule="auto"/>
              <w:ind w:left="48"/>
              <w:rPr>
                <w:sz w:val="12"/>
                <w:szCs w:val="12"/>
              </w:rPr>
            </w:pPr>
            <w:r>
              <w:rPr>
                <w:sz w:val="12"/>
                <w:szCs w:val="12"/>
              </w:rPr>
              <w:t>√</w:t>
            </w:r>
          </w:p>
        </w:tc>
        <w:tc>
          <w:tcPr>
            <w:tcW w:w="234" w:type="dxa"/>
            <w:vAlign w:val="top"/>
          </w:tcPr>
          <w:p w14:paraId="44E1918A">
            <w:pPr>
              <w:rPr>
                <w:rFonts w:ascii="Arial"/>
                <w:sz w:val="21"/>
              </w:rPr>
            </w:pPr>
          </w:p>
        </w:tc>
      </w:tr>
      <w:tr w14:paraId="167417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4" w:hRule="atLeast"/>
        </w:trPr>
        <w:tc>
          <w:tcPr>
            <w:tcW w:w="893" w:type="dxa"/>
            <w:vMerge w:val="continue"/>
            <w:tcBorders>
              <w:top w:val="nil"/>
            </w:tcBorders>
            <w:vAlign w:val="top"/>
          </w:tcPr>
          <w:p w14:paraId="1DE6DFF1">
            <w:pPr>
              <w:rPr>
                <w:rFonts w:ascii="Arial"/>
                <w:sz w:val="21"/>
              </w:rPr>
            </w:pPr>
          </w:p>
        </w:tc>
        <w:tc>
          <w:tcPr>
            <w:tcW w:w="2324" w:type="dxa"/>
            <w:vMerge w:val="continue"/>
            <w:tcBorders>
              <w:top w:val="nil"/>
            </w:tcBorders>
            <w:vAlign w:val="top"/>
          </w:tcPr>
          <w:p w14:paraId="2F4A9756">
            <w:pPr>
              <w:rPr>
                <w:rFonts w:ascii="Arial"/>
                <w:sz w:val="21"/>
              </w:rPr>
            </w:pPr>
          </w:p>
        </w:tc>
        <w:tc>
          <w:tcPr>
            <w:tcW w:w="220" w:type="dxa"/>
            <w:vAlign w:val="top"/>
          </w:tcPr>
          <w:p w14:paraId="67886CD0">
            <w:pPr>
              <w:rPr>
                <w:rFonts w:ascii="Arial"/>
                <w:sz w:val="21"/>
              </w:rPr>
            </w:pPr>
          </w:p>
        </w:tc>
        <w:tc>
          <w:tcPr>
            <w:tcW w:w="219" w:type="dxa"/>
            <w:vAlign w:val="top"/>
          </w:tcPr>
          <w:p w14:paraId="4725328C">
            <w:pPr>
              <w:pStyle w:val="6"/>
              <w:spacing w:before="173" w:line="182" w:lineRule="auto"/>
              <w:ind w:left="57"/>
              <w:rPr>
                <w:sz w:val="18"/>
                <w:szCs w:val="18"/>
              </w:rPr>
            </w:pPr>
            <w:r>
              <w:rPr>
                <w:sz w:val="18"/>
                <w:szCs w:val="18"/>
              </w:rPr>
              <w:t>V</w:t>
            </w:r>
          </w:p>
        </w:tc>
        <w:tc>
          <w:tcPr>
            <w:tcW w:w="229" w:type="dxa"/>
            <w:vAlign w:val="top"/>
          </w:tcPr>
          <w:p w14:paraId="0A0AA8E9">
            <w:pPr>
              <w:rPr>
                <w:rFonts w:ascii="Arial"/>
                <w:sz w:val="21"/>
              </w:rPr>
            </w:pPr>
          </w:p>
        </w:tc>
        <w:tc>
          <w:tcPr>
            <w:tcW w:w="234" w:type="dxa"/>
            <w:vAlign w:val="top"/>
          </w:tcPr>
          <w:p w14:paraId="1B536198">
            <w:pPr>
              <w:rPr>
                <w:rFonts w:ascii="Arial"/>
                <w:sz w:val="21"/>
              </w:rPr>
            </w:pPr>
          </w:p>
        </w:tc>
      </w:tr>
    </w:tbl>
    <w:p w14:paraId="6F2D6A99">
      <w:pPr>
        <w:pStyle w:val="2"/>
        <w:spacing w:line="104" w:lineRule="auto"/>
        <w:rPr>
          <w:sz w:val="2"/>
        </w:rPr>
      </w:pPr>
    </w:p>
    <w:p w14:paraId="09AD2126">
      <w:pPr>
        <w:pStyle w:val="2"/>
        <w:spacing w:line="14" w:lineRule="auto"/>
        <w:rPr>
          <w:sz w:val="2"/>
        </w:rPr>
      </w:pPr>
      <w:r>
        <w:rPr>
          <w:sz w:val="2"/>
          <w:szCs w:val="2"/>
        </w:rPr>
        <w:br w:type="column"/>
      </w:r>
    </w:p>
    <w:p w14:paraId="03C14FE9">
      <w:pPr>
        <w:spacing w:before="38" w:line="222" w:lineRule="auto"/>
        <w:ind w:left="1477"/>
        <w:rPr>
          <w:rFonts w:ascii="黑体" w:hAnsi="黑体" w:eastAsia="黑体" w:cs="黑体"/>
          <w:sz w:val="20"/>
          <w:szCs w:val="20"/>
        </w:rPr>
      </w:pPr>
      <w:r>
        <w:rPr>
          <w:rFonts w:ascii="黑体" w:hAnsi="黑体" w:eastAsia="黑体" w:cs="黑体"/>
          <w:b/>
          <w:bCs/>
          <w:spacing w:val="-3"/>
          <w:sz w:val="20"/>
          <w:szCs w:val="20"/>
        </w:rPr>
        <w:t>第五章</w:t>
      </w:r>
      <w:r>
        <w:rPr>
          <w:rFonts w:ascii="黑体" w:hAnsi="黑体" w:eastAsia="黑体" w:cs="黑体"/>
          <w:spacing w:val="-3"/>
          <w:sz w:val="20"/>
          <w:szCs w:val="20"/>
        </w:rPr>
        <w:t xml:space="preserve">  </w:t>
      </w:r>
      <w:r>
        <w:rPr>
          <w:rFonts w:ascii="黑体" w:hAnsi="黑体" w:eastAsia="黑体" w:cs="黑体"/>
          <w:b/>
          <w:bCs/>
          <w:spacing w:val="-3"/>
          <w:sz w:val="20"/>
          <w:szCs w:val="20"/>
        </w:rPr>
        <w:t>呼吸</w:t>
      </w:r>
    </w:p>
    <w:p w14:paraId="6ABA2E98">
      <w:pPr>
        <w:spacing w:line="90" w:lineRule="exact"/>
      </w:pPr>
    </w:p>
    <w:tbl>
      <w:tblPr>
        <w:tblStyle w:val="5"/>
        <w:tblW w:w="4109" w:type="dxa"/>
        <w:tblInd w:w="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73"/>
        <w:gridCol w:w="2334"/>
        <w:gridCol w:w="210"/>
        <w:gridCol w:w="229"/>
        <w:gridCol w:w="229"/>
        <w:gridCol w:w="234"/>
      </w:tblGrid>
      <w:tr w14:paraId="604817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4" w:hRule="atLeast"/>
        </w:trPr>
        <w:tc>
          <w:tcPr>
            <w:tcW w:w="873" w:type="dxa"/>
            <w:vMerge w:val="restart"/>
            <w:tcBorders>
              <w:bottom w:val="nil"/>
            </w:tcBorders>
            <w:vAlign w:val="top"/>
          </w:tcPr>
          <w:p w14:paraId="44822FD3">
            <w:pPr>
              <w:pStyle w:val="6"/>
              <w:spacing w:before="160" w:line="225" w:lineRule="auto"/>
              <w:ind w:left="247" w:right="1" w:hanging="230"/>
              <w:rPr>
                <w:sz w:val="18"/>
                <w:szCs w:val="18"/>
              </w:rPr>
            </w:pPr>
            <w:r>
              <w:rPr>
                <w:b/>
                <w:bCs/>
                <w:spacing w:val="-15"/>
                <w:sz w:val="18"/>
                <w:szCs w:val="18"/>
              </w:rPr>
              <w:t>知识与</w:t>
            </w:r>
            <w:r>
              <w:rPr>
                <w:b/>
                <w:bCs/>
                <w:spacing w:val="-14"/>
                <w:sz w:val="18"/>
                <w:szCs w:val="18"/>
              </w:rPr>
              <w:t>技</w:t>
            </w:r>
            <w:r>
              <w:rPr>
                <w:b/>
                <w:bCs/>
                <w:spacing w:val="-11"/>
                <w:sz w:val="18"/>
                <w:szCs w:val="18"/>
              </w:rPr>
              <w:t>能</w:t>
            </w:r>
            <w:r>
              <w:rPr>
                <w:spacing w:val="3"/>
                <w:sz w:val="18"/>
                <w:szCs w:val="18"/>
              </w:rPr>
              <w:t xml:space="preserve"> </w:t>
            </w:r>
            <w:r>
              <w:rPr>
                <w:b/>
                <w:bCs/>
                <w:spacing w:val="-4"/>
                <w:sz w:val="18"/>
                <w:szCs w:val="18"/>
              </w:rPr>
              <w:t>要点</w:t>
            </w:r>
          </w:p>
        </w:tc>
        <w:tc>
          <w:tcPr>
            <w:tcW w:w="2334" w:type="dxa"/>
            <w:vMerge w:val="restart"/>
            <w:tcBorders>
              <w:bottom w:val="nil"/>
            </w:tcBorders>
            <w:vAlign w:val="top"/>
          </w:tcPr>
          <w:p w14:paraId="77F2CBB2">
            <w:pPr>
              <w:pStyle w:val="6"/>
              <w:spacing w:before="270" w:line="219" w:lineRule="auto"/>
              <w:ind w:left="834"/>
              <w:rPr>
                <w:sz w:val="18"/>
                <w:szCs w:val="18"/>
              </w:rPr>
            </w:pPr>
            <w:r>
              <w:rPr>
                <w:b/>
                <w:bCs/>
                <w:spacing w:val="5"/>
                <w:sz w:val="18"/>
                <w:szCs w:val="18"/>
              </w:rPr>
              <w:t>考试条目</w:t>
            </w:r>
          </w:p>
        </w:tc>
        <w:tc>
          <w:tcPr>
            <w:tcW w:w="902" w:type="dxa"/>
            <w:gridSpan w:val="4"/>
            <w:vAlign w:val="top"/>
          </w:tcPr>
          <w:p w14:paraId="5B051CF5">
            <w:pPr>
              <w:pStyle w:val="6"/>
              <w:spacing w:before="80" w:line="219" w:lineRule="auto"/>
              <w:ind w:left="110"/>
              <w:rPr>
                <w:sz w:val="18"/>
                <w:szCs w:val="18"/>
              </w:rPr>
            </w:pPr>
            <w:r>
              <w:rPr>
                <w:b/>
                <w:bCs/>
                <w:spacing w:val="-4"/>
                <w:sz w:val="18"/>
                <w:szCs w:val="18"/>
              </w:rPr>
              <w:t>考试水平</w:t>
            </w:r>
          </w:p>
        </w:tc>
      </w:tr>
      <w:tr w14:paraId="39924E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9" w:hRule="atLeast"/>
        </w:trPr>
        <w:tc>
          <w:tcPr>
            <w:tcW w:w="873" w:type="dxa"/>
            <w:vMerge w:val="continue"/>
            <w:tcBorders>
              <w:top w:val="nil"/>
            </w:tcBorders>
            <w:vAlign w:val="top"/>
          </w:tcPr>
          <w:p w14:paraId="524BC2D9">
            <w:pPr>
              <w:rPr>
                <w:rFonts w:ascii="Arial"/>
                <w:sz w:val="21"/>
              </w:rPr>
            </w:pPr>
          </w:p>
        </w:tc>
        <w:tc>
          <w:tcPr>
            <w:tcW w:w="2334" w:type="dxa"/>
            <w:vMerge w:val="continue"/>
            <w:tcBorders>
              <w:top w:val="nil"/>
            </w:tcBorders>
            <w:vAlign w:val="top"/>
          </w:tcPr>
          <w:p w14:paraId="12014412">
            <w:pPr>
              <w:rPr>
                <w:rFonts w:ascii="Arial"/>
                <w:sz w:val="21"/>
              </w:rPr>
            </w:pPr>
          </w:p>
        </w:tc>
        <w:tc>
          <w:tcPr>
            <w:tcW w:w="210" w:type="dxa"/>
            <w:vAlign w:val="top"/>
          </w:tcPr>
          <w:p w14:paraId="5F3944DB">
            <w:pPr>
              <w:pStyle w:val="6"/>
              <w:spacing w:before="133" w:line="184" w:lineRule="auto"/>
              <w:ind w:left="30"/>
              <w:rPr>
                <w:sz w:val="18"/>
                <w:szCs w:val="18"/>
              </w:rPr>
            </w:pPr>
            <w:r>
              <w:rPr>
                <w:b/>
                <w:bCs/>
                <w:spacing w:val="-2"/>
                <w:sz w:val="18"/>
                <w:szCs w:val="18"/>
              </w:rPr>
              <w:t>A</w:t>
            </w:r>
          </w:p>
        </w:tc>
        <w:tc>
          <w:tcPr>
            <w:tcW w:w="229" w:type="dxa"/>
            <w:vAlign w:val="top"/>
          </w:tcPr>
          <w:p w14:paraId="18683E68">
            <w:pPr>
              <w:pStyle w:val="6"/>
              <w:spacing w:before="135" w:line="182" w:lineRule="auto"/>
              <w:ind w:left="70"/>
              <w:rPr>
                <w:sz w:val="18"/>
                <w:szCs w:val="18"/>
              </w:rPr>
            </w:pPr>
            <w:r>
              <w:rPr>
                <w:b/>
                <w:bCs/>
                <w:spacing w:val="-2"/>
                <w:sz w:val="18"/>
                <w:szCs w:val="18"/>
              </w:rPr>
              <w:t>B</w:t>
            </w:r>
          </w:p>
        </w:tc>
        <w:tc>
          <w:tcPr>
            <w:tcW w:w="229" w:type="dxa"/>
            <w:vAlign w:val="top"/>
          </w:tcPr>
          <w:p w14:paraId="27481079">
            <w:pPr>
              <w:pStyle w:val="6"/>
              <w:spacing w:before="133" w:line="183" w:lineRule="auto"/>
              <w:ind w:left="71"/>
              <w:rPr>
                <w:sz w:val="18"/>
                <w:szCs w:val="18"/>
              </w:rPr>
            </w:pPr>
            <w:r>
              <w:rPr>
                <w:b/>
                <w:bCs/>
                <w:spacing w:val="-2"/>
                <w:sz w:val="18"/>
                <w:szCs w:val="18"/>
              </w:rPr>
              <w:t>C</w:t>
            </w:r>
          </w:p>
        </w:tc>
        <w:tc>
          <w:tcPr>
            <w:tcW w:w="234" w:type="dxa"/>
            <w:vAlign w:val="top"/>
          </w:tcPr>
          <w:p w14:paraId="38189F98">
            <w:pPr>
              <w:pStyle w:val="6"/>
              <w:spacing w:before="135" w:line="182" w:lineRule="auto"/>
              <w:ind w:left="22"/>
              <w:rPr>
                <w:sz w:val="18"/>
                <w:szCs w:val="18"/>
              </w:rPr>
            </w:pPr>
            <w:r>
              <w:rPr>
                <w:b/>
                <w:bCs/>
                <w:spacing w:val="-2"/>
                <w:sz w:val="18"/>
                <w:szCs w:val="18"/>
              </w:rPr>
              <w:t>D</w:t>
            </w:r>
          </w:p>
        </w:tc>
      </w:tr>
      <w:tr w14:paraId="31A246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9" w:hRule="atLeast"/>
        </w:trPr>
        <w:tc>
          <w:tcPr>
            <w:tcW w:w="873" w:type="dxa"/>
            <w:vAlign w:val="top"/>
          </w:tcPr>
          <w:p w14:paraId="5F13C762">
            <w:pPr>
              <w:pStyle w:val="6"/>
              <w:spacing w:before="129" w:line="219" w:lineRule="auto"/>
              <w:ind w:left="244"/>
              <w:rPr>
                <w:sz w:val="18"/>
                <w:szCs w:val="18"/>
              </w:rPr>
            </w:pPr>
            <w:r>
              <w:rPr>
                <w:spacing w:val="-2"/>
                <w:sz w:val="18"/>
                <w:szCs w:val="18"/>
              </w:rPr>
              <w:t>概述</w:t>
            </w:r>
          </w:p>
        </w:tc>
        <w:tc>
          <w:tcPr>
            <w:tcW w:w="2334" w:type="dxa"/>
            <w:vAlign w:val="top"/>
          </w:tcPr>
          <w:p w14:paraId="63C99855">
            <w:pPr>
              <w:pStyle w:val="6"/>
              <w:spacing w:before="39" w:line="200" w:lineRule="auto"/>
              <w:ind w:left="12" w:right="134" w:firstLine="10"/>
              <w:rPr>
                <w:sz w:val="18"/>
                <w:szCs w:val="18"/>
              </w:rPr>
            </w:pPr>
            <w:r>
              <w:rPr>
                <w:sz w:val="18"/>
                <w:szCs w:val="18"/>
              </w:rPr>
              <w:t>呼吸的基本概念、意义、基</w:t>
            </w:r>
            <w:r>
              <w:rPr>
                <w:spacing w:val="6"/>
                <w:sz w:val="18"/>
                <w:szCs w:val="18"/>
              </w:rPr>
              <w:t xml:space="preserve"> </w:t>
            </w:r>
            <w:r>
              <w:rPr>
                <w:spacing w:val="-2"/>
                <w:sz w:val="18"/>
                <w:szCs w:val="18"/>
              </w:rPr>
              <w:t>本环节</w:t>
            </w:r>
          </w:p>
        </w:tc>
        <w:tc>
          <w:tcPr>
            <w:tcW w:w="210" w:type="dxa"/>
            <w:vAlign w:val="top"/>
          </w:tcPr>
          <w:p w14:paraId="1EC4C502">
            <w:pPr>
              <w:pStyle w:val="6"/>
              <w:spacing w:before="169" w:line="238" w:lineRule="auto"/>
              <w:ind w:left="17"/>
              <w:rPr>
                <w:sz w:val="12"/>
                <w:szCs w:val="12"/>
              </w:rPr>
            </w:pPr>
            <w:r>
              <w:rPr>
                <w:sz w:val="12"/>
                <w:szCs w:val="12"/>
              </w:rPr>
              <w:t>√</w:t>
            </w:r>
          </w:p>
        </w:tc>
        <w:tc>
          <w:tcPr>
            <w:tcW w:w="229" w:type="dxa"/>
            <w:vAlign w:val="top"/>
          </w:tcPr>
          <w:p w14:paraId="572767DD">
            <w:pPr>
              <w:rPr>
                <w:rFonts w:ascii="Arial"/>
                <w:sz w:val="21"/>
              </w:rPr>
            </w:pPr>
          </w:p>
        </w:tc>
        <w:tc>
          <w:tcPr>
            <w:tcW w:w="229" w:type="dxa"/>
            <w:vAlign w:val="top"/>
          </w:tcPr>
          <w:p w14:paraId="3588BF53">
            <w:pPr>
              <w:rPr>
                <w:rFonts w:ascii="Arial"/>
                <w:sz w:val="21"/>
              </w:rPr>
            </w:pPr>
          </w:p>
        </w:tc>
        <w:tc>
          <w:tcPr>
            <w:tcW w:w="234" w:type="dxa"/>
            <w:vAlign w:val="top"/>
          </w:tcPr>
          <w:p w14:paraId="0572043E">
            <w:pPr>
              <w:rPr>
                <w:rFonts w:ascii="Arial"/>
                <w:sz w:val="21"/>
              </w:rPr>
            </w:pPr>
          </w:p>
        </w:tc>
      </w:tr>
      <w:tr w14:paraId="1A914F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9" w:hRule="atLeast"/>
        </w:trPr>
        <w:tc>
          <w:tcPr>
            <w:tcW w:w="873" w:type="dxa"/>
            <w:vMerge w:val="restart"/>
            <w:tcBorders>
              <w:bottom w:val="nil"/>
            </w:tcBorders>
            <w:vAlign w:val="top"/>
          </w:tcPr>
          <w:p w14:paraId="302A1241">
            <w:pPr>
              <w:spacing w:line="320" w:lineRule="auto"/>
              <w:rPr>
                <w:rFonts w:ascii="Arial"/>
                <w:sz w:val="21"/>
              </w:rPr>
            </w:pPr>
          </w:p>
          <w:p w14:paraId="62ACAFD1">
            <w:pPr>
              <w:pStyle w:val="6"/>
              <w:spacing w:before="58" w:line="217" w:lineRule="auto"/>
              <w:ind w:left="244" w:right="83" w:hanging="180"/>
              <w:rPr>
                <w:sz w:val="18"/>
                <w:szCs w:val="18"/>
              </w:rPr>
            </w:pPr>
            <w:r>
              <w:rPr>
                <w:spacing w:val="-2"/>
                <w:sz w:val="18"/>
                <w:szCs w:val="18"/>
              </w:rPr>
              <w:t>肺通气的</w:t>
            </w:r>
            <w:r>
              <w:rPr>
                <w:spacing w:val="1"/>
                <w:sz w:val="18"/>
                <w:szCs w:val="18"/>
              </w:rPr>
              <w:t xml:space="preserve"> </w:t>
            </w:r>
            <w:r>
              <w:rPr>
                <w:spacing w:val="7"/>
                <w:sz w:val="18"/>
                <w:szCs w:val="18"/>
              </w:rPr>
              <w:t>动力</w:t>
            </w:r>
          </w:p>
        </w:tc>
        <w:tc>
          <w:tcPr>
            <w:tcW w:w="2334" w:type="dxa"/>
            <w:vMerge w:val="restart"/>
            <w:tcBorders>
              <w:bottom w:val="nil"/>
            </w:tcBorders>
            <w:vAlign w:val="top"/>
          </w:tcPr>
          <w:p w14:paraId="3CFD87E2">
            <w:pPr>
              <w:pStyle w:val="6"/>
              <w:spacing w:before="50" w:line="215" w:lineRule="auto"/>
              <w:ind w:left="12" w:right="107" w:firstLine="19"/>
              <w:rPr>
                <w:sz w:val="18"/>
                <w:szCs w:val="18"/>
              </w:rPr>
            </w:pPr>
            <w:r>
              <w:rPr>
                <w:spacing w:val="1"/>
                <w:sz w:val="18"/>
                <w:szCs w:val="18"/>
              </w:rPr>
              <w:t>1.呼吸过程中胸内压和肺内</w:t>
            </w:r>
            <w:r>
              <w:rPr>
                <w:spacing w:val="10"/>
                <w:sz w:val="18"/>
                <w:szCs w:val="18"/>
              </w:rPr>
              <w:t xml:space="preserve"> </w:t>
            </w:r>
            <w:r>
              <w:rPr>
                <w:spacing w:val="-1"/>
                <w:sz w:val="18"/>
                <w:szCs w:val="18"/>
              </w:rPr>
              <w:t>压的周期性变化</w:t>
            </w:r>
          </w:p>
          <w:p w14:paraId="1A58D7E3">
            <w:pPr>
              <w:pStyle w:val="6"/>
              <w:spacing w:line="215" w:lineRule="auto"/>
              <w:ind w:left="12" w:right="137"/>
              <w:rPr>
                <w:sz w:val="18"/>
                <w:szCs w:val="18"/>
              </w:rPr>
            </w:pPr>
            <w:r>
              <w:rPr>
                <w:spacing w:val="1"/>
                <w:sz w:val="18"/>
                <w:szCs w:val="18"/>
              </w:rPr>
              <w:t>2.胸膜腔负压的形成原理和</w:t>
            </w:r>
            <w:r>
              <w:rPr>
                <w:sz w:val="18"/>
                <w:szCs w:val="18"/>
              </w:rPr>
              <w:t xml:space="preserve"> </w:t>
            </w:r>
            <w:r>
              <w:rPr>
                <w:spacing w:val="-2"/>
                <w:sz w:val="18"/>
                <w:szCs w:val="18"/>
              </w:rPr>
              <w:t>生理意义</w:t>
            </w:r>
          </w:p>
          <w:p w14:paraId="29945369">
            <w:pPr>
              <w:pStyle w:val="6"/>
              <w:spacing w:line="193" w:lineRule="auto"/>
              <w:ind w:left="12"/>
              <w:rPr>
                <w:sz w:val="18"/>
                <w:szCs w:val="18"/>
              </w:rPr>
            </w:pPr>
            <w:r>
              <w:rPr>
                <w:spacing w:val="-1"/>
                <w:sz w:val="18"/>
                <w:szCs w:val="18"/>
              </w:rPr>
              <w:t>3.人工呼吸的基本原理</w:t>
            </w:r>
          </w:p>
        </w:tc>
        <w:tc>
          <w:tcPr>
            <w:tcW w:w="210" w:type="dxa"/>
            <w:vAlign w:val="top"/>
          </w:tcPr>
          <w:p w14:paraId="4D9C7A3C">
            <w:pPr>
              <w:pStyle w:val="6"/>
              <w:spacing w:before="130" w:line="238" w:lineRule="auto"/>
              <w:ind w:left="17"/>
              <w:rPr>
                <w:sz w:val="12"/>
                <w:szCs w:val="12"/>
              </w:rPr>
            </w:pPr>
            <w:r>
              <w:rPr>
                <w:sz w:val="12"/>
                <w:szCs w:val="12"/>
              </w:rPr>
              <w:t>√</w:t>
            </w:r>
          </w:p>
        </w:tc>
        <w:tc>
          <w:tcPr>
            <w:tcW w:w="229" w:type="dxa"/>
            <w:vAlign w:val="top"/>
          </w:tcPr>
          <w:p w14:paraId="3B41F69D">
            <w:pPr>
              <w:rPr>
                <w:rFonts w:ascii="Arial"/>
                <w:sz w:val="21"/>
              </w:rPr>
            </w:pPr>
          </w:p>
        </w:tc>
        <w:tc>
          <w:tcPr>
            <w:tcW w:w="229" w:type="dxa"/>
            <w:vAlign w:val="top"/>
          </w:tcPr>
          <w:p w14:paraId="2992C208">
            <w:pPr>
              <w:rPr>
                <w:rFonts w:ascii="Arial"/>
                <w:sz w:val="21"/>
              </w:rPr>
            </w:pPr>
          </w:p>
        </w:tc>
        <w:tc>
          <w:tcPr>
            <w:tcW w:w="234" w:type="dxa"/>
            <w:vAlign w:val="top"/>
          </w:tcPr>
          <w:p w14:paraId="126697DF">
            <w:pPr>
              <w:rPr>
                <w:rFonts w:ascii="Arial"/>
                <w:sz w:val="21"/>
              </w:rPr>
            </w:pPr>
          </w:p>
        </w:tc>
      </w:tr>
      <w:tr w14:paraId="64D061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0" w:hRule="atLeast"/>
        </w:trPr>
        <w:tc>
          <w:tcPr>
            <w:tcW w:w="873" w:type="dxa"/>
            <w:vMerge w:val="continue"/>
            <w:tcBorders>
              <w:top w:val="nil"/>
              <w:bottom w:val="nil"/>
            </w:tcBorders>
            <w:vAlign w:val="top"/>
          </w:tcPr>
          <w:p w14:paraId="36C527D7">
            <w:pPr>
              <w:rPr>
                <w:rFonts w:ascii="Arial"/>
                <w:sz w:val="21"/>
              </w:rPr>
            </w:pPr>
          </w:p>
        </w:tc>
        <w:tc>
          <w:tcPr>
            <w:tcW w:w="2334" w:type="dxa"/>
            <w:vMerge w:val="continue"/>
            <w:tcBorders>
              <w:top w:val="nil"/>
              <w:bottom w:val="nil"/>
            </w:tcBorders>
            <w:vAlign w:val="top"/>
          </w:tcPr>
          <w:p w14:paraId="710E5F68">
            <w:pPr>
              <w:rPr>
                <w:rFonts w:ascii="Arial"/>
                <w:sz w:val="21"/>
              </w:rPr>
            </w:pPr>
          </w:p>
        </w:tc>
        <w:tc>
          <w:tcPr>
            <w:tcW w:w="210" w:type="dxa"/>
            <w:vAlign w:val="top"/>
          </w:tcPr>
          <w:p w14:paraId="36BE98A9">
            <w:pPr>
              <w:rPr>
                <w:rFonts w:ascii="Arial"/>
                <w:sz w:val="21"/>
              </w:rPr>
            </w:pPr>
          </w:p>
        </w:tc>
        <w:tc>
          <w:tcPr>
            <w:tcW w:w="229" w:type="dxa"/>
            <w:vAlign w:val="top"/>
          </w:tcPr>
          <w:p w14:paraId="0644700A">
            <w:pPr>
              <w:pStyle w:val="6"/>
              <w:spacing w:before="131" w:line="238" w:lineRule="auto"/>
              <w:ind w:left="47"/>
              <w:rPr>
                <w:sz w:val="12"/>
                <w:szCs w:val="12"/>
              </w:rPr>
            </w:pPr>
            <w:r>
              <w:rPr>
                <w:sz w:val="12"/>
                <w:szCs w:val="12"/>
              </w:rPr>
              <w:t>√</w:t>
            </w:r>
          </w:p>
        </w:tc>
        <w:tc>
          <w:tcPr>
            <w:tcW w:w="229" w:type="dxa"/>
            <w:vAlign w:val="top"/>
          </w:tcPr>
          <w:p w14:paraId="6B6CF64C">
            <w:pPr>
              <w:rPr>
                <w:rFonts w:ascii="Arial"/>
                <w:sz w:val="21"/>
              </w:rPr>
            </w:pPr>
          </w:p>
        </w:tc>
        <w:tc>
          <w:tcPr>
            <w:tcW w:w="234" w:type="dxa"/>
            <w:vAlign w:val="top"/>
          </w:tcPr>
          <w:p w14:paraId="3E404AE7">
            <w:pPr>
              <w:rPr>
                <w:rFonts w:ascii="Arial"/>
                <w:sz w:val="21"/>
              </w:rPr>
            </w:pPr>
          </w:p>
        </w:tc>
      </w:tr>
      <w:tr w14:paraId="44F0F7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873" w:type="dxa"/>
            <w:vMerge w:val="continue"/>
            <w:tcBorders>
              <w:top w:val="nil"/>
            </w:tcBorders>
            <w:vAlign w:val="top"/>
          </w:tcPr>
          <w:p w14:paraId="73EC4036">
            <w:pPr>
              <w:rPr>
                <w:rFonts w:ascii="Arial"/>
                <w:sz w:val="21"/>
              </w:rPr>
            </w:pPr>
          </w:p>
        </w:tc>
        <w:tc>
          <w:tcPr>
            <w:tcW w:w="2334" w:type="dxa"/>
            <w:vMerge w:val="continue"/>
            <w:tcBorders>
              <w:top w:val="nil"/>
            </w:tcBorders>
            <w:vAlign w:val="top"/>
          </w:tcPr>
          <w:p w14:paraId="1CD5602C">
            <w:pPr>
              <w:rPr>
                <w:rFonts w:ascii="Arial"/>
                <w:sz w:val="21"/>
              </w:rPr>
            </w:pPr>
          </w:p>
        </w:tc>
        <w:tc>
          <w:tcPr>
            <w:tcW w:w="210" w:type="dxa"/>
            <w:vAlign w:val="top"/>
          </w:tcPr>
          <w:p w14:paraId="4811BCC6">
            <w:pPr>
              <w:pStyle w:val="6"/>
              <w:spacing w:before="140" w:line="238" w:lineRule="auto"/>
              <w:ind w:left="17"/>
              <w:rPr>
                <w:sz w:val="12"/>
                <w:szCs w:val="12"/>
              </w:rPr>
            </w:pPr>
            <w:r>
              <w:rPr>
                <w:sz w:val="12"/>
                <w:szCs w:val="12"/>
              </w:rPr>
              <w:t>√</w:t>
            </w:r>
          </w:p>
        </w:tc>
        <w:tc>
          <w:tcPr>
            <w:tcW w:w="229" w:type="dxa"/>
            <w:vAlign w:val="top"/>
          </w:tcPr>
          <w:p w14:paraId="4E388901">
            <w:pPr>
              <w:rPr>
                <w:rFonts w:ascii="Arial"/>
                <w:sz w:val="21"/>
              </w:rPr>
            </w:pPr>
          </w:p>
        </w:tc>
        <w:tc>
          <w:tcPr>
            <w:tcW w:w="229" w:type="dxa"/>
            <w:vAlign w:val="top"/>
          </w:tcPr>
          <w:p w14:paraId="23B28803">
            <w:pPr>
              <w:rPr>
                <w:rFonts w:ascii="Arial"/>
                <w:sz w:val="21"/>
              </w:rPr>
            </w:pPr>
          </w:p>
        </w:tc>
        <w:tc>
          <w:tcPr>
            <w:tcW w:w="234" w:type="dxa"/>
            <w:vAlign w:val="top"/>
          </w:tcPr>
          <w:p w14:paraId="6A6F565B">
            <w:pPr>
              <w:rPr>
                <w:rFonts w:ascii="Arial"/>
                <w:sz w:val="21"/>
              </w:rPr>
            </w:pPr>
          </w:p>
        </w:tc>
      </w:tr>
      <w:tr w14:paraId="40A0C6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9" w:hRule="atLeast"/>
        </w:trPr>
        <w:tc>
          <w:tcPr>
            <w:tcW w:w="873" w:type="dxa"/>
            <w:vAlign w:val="top"/>
          </w:tcPr>
          <w:p w14:paraId="049D82B8">
            <w:pPr>
              <w:pStyle w:val="6"/>
              <w:spacing w:before="54" w:line="192" w:lineRule="auto"/>
              <w:ind w:left="244" w:right="83" w:hanging="180"/>
              <w:rPr>
                <w:sz w:val="18"/>
                <w:szCs w:val="18"/>
              </w:rPr>
            </w:pPr>
            <w:r>
              <w:rPr>
                <w:spacing w:val="-2"/>
                <w:sz w:val="18"/>
                <w:szCs w:val="18"/>
              </w:rPr>
              <w:t>肺通气的</w:t>
            </w:r>
            <w:r>
              <w:rPr>
                <w:spacing w:val="1"/>
                <w:sz w:val="18"/>
                <w:szCs w:val="18"/>
              </w:rPr>
              <w:t xml:space="preserve"> </w:t>
            </w:r>
            <w:r>
              <w:rPr>
                <w:spacing w:val="7"/>
                <w:sz w:val="18"/>
                <w:szCs w:val="18"/>
              </w:rPr>
              <w:t>阻力</w:t>
            </w:r>
          </w:p>
        </w:tc>
        <w:tc>
          <w:tcPr>
            <w:tcW w:w="2334" w:type="dxa"/>
            <w:vAlign w:val="top"/>
          </w:tcPr>
          <w:p w14:paraId="1D5109C2">
            <w:pPr>
              <w:pStyle w:val="6"/>
              <w:spacing w:before="42" w:line="198" w:lineRule="auto"/>
              <w:ind w:left="12" w:right="157"/>
              <w:rPr>
                <w:sz w:val="18"/>
                <w:szCs w:val="18"/>
              </w:rPr>
            </w:pPr>
            <w:r>
              <w:rPr>
                <w:spacing w:val="-1"/>
                <w:sz w:val="18"/>
                <w:szCs w:val="18"/>
              </w:rPr>
              <w:t>肺泡表面活性物质减少对肺</w:t>
            </w:r>
            <w:r>
              <w:rPr>
                <w:spacing w:val="5"/>
                <w:sz w:val="18"/>
                <w:szCs w:val="18"/>
              </w:rPr>
              <w:t xml:space="preserve"> </w:t>
            </w:r>
            <w:r>
              <w:rPr>
                <w:spacing w:val="2"/>
                <w:sz w:val="18"/>
                <w:szCs w:val="18"/>
              </w:rPr>
              <w:t>通气阻力的影响</w:t>
            </w:r>
          </w:p>
        </w:tc>
        <w:tc>
          <w:tcPr>
            <w:tcW w:w="210" w:type="dxa"/>
            <w:vAlign w:val="top"/>
          </w:tcPr>
          <w:p w14:paraId="44CD388A">
            <w:pPr>
              <w:rPr>
                <w:rFonts w:ascii="Arial"/>
                <w:sz w:val="21"/>
              </w:rPr>
            </w:pPr>
          </w:p>
        </w:tc>
        <w:tc>
          <w:tcPr>
            <w:tcW w:w="229" w:type="dxa"/>
            <w:vAlign w:val="top"/>
          </w:tcPr>
          <w:p w14:paraId="53F8215C">
            <w:pPr>
              <w:pStyle w:val="6"/>
              <w:spacing w:before="172" w:line="238" w:lineRule="auto"/>
              <w:ind w:left="47"/>
              <w:rPr>
                <w:sz w:val="12"/>
                <w:szCs w:val="12"/>
              </w:rPr>
            </w:pPr>
            <w:r>
              <w:rPr>
                <w:sz w:val="12"/>
                <w:szCs w:val="12"/>
              </w:rPr>
              <w:t>√</w:t>
            </w:r>
          </w:p>
        </w:tc>
        <w:tc>
          <w:tcPr>
            <w:tcW w:w="229" w:type="dxa"/>
            <w:vAlign w:val="top"/>
          </w:tcPr>
          <w:p w14:paraId="33270339">
            <w:pPr>
              <w:rPr>
                <w:rFonts w:ascii="Arial"/>
                <w:sz w:val="21"/>
              </w:rPr>
            </w:pPr>
          </w:p>
        </w:tc>
        <w:tc>
          <w:tcPr>
            <w:tcW w:w="234" w:type="dxa"/>
            <w:vAlign w:val="top"/>
          </w:tcPr>
          <w:p w14:paraId="4D210C74">
            <w:pPr>
              <w:rPr>
                <w:rFonts w:ascii="Arial"/>
                <w:sz w:val="21"/>
              </w:rPr>
            </w:pPr>
          </w:p>
        </w:tc>
      </w:tr>
      <w:tr w14:paraId="6653B1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9" w:hRule="atLeast"/>
        </w:trPr>
        <w:tc>
          <w:tcPr>
            <w:tcW w:w="873" w:type="dxa"/>
            <w:vMerge w:val="restart"/>
            <w:tcBorders>
              <w:bottom w:val="nil"/>
            </w:tcBorders>
            <w:vAlign w:val="top"/>
          </w:tcPr>
          <w:p w14:paraId="77E0BC79">
            <w:pPr>
              <w:pStyle w:val="6"/>
              <w:spacing w:before="163" w:line="229" w:lineRule="auto"/>
              <w:ind w:left="64" w:right="63"/>
              <w:rPr>
                <w:sz w:val="18"/>
                <w:szCs w:val="18"/>
              </w:rPr>
            </w:pPr>
            <w:r>
              <w:rPr>
                <w:spacing w:val="3"/>
                <w:sz w:val="18"/>
                <w:szCs w:val="18"/>
              </w:rPr>
              <w:t>肺容量和</w:t>
            </w:r>
            <w:r>
              <w:rPr>
                <w:spacing w:val="1"/>
                <w:sz w:val="18"/>
                <w:szCs w:val="18"/>
              </w:rPr>
              <w:t xml:space="preserve"> </w:t>
            </w:r>
            <w:r>
              <w:rPr>
                <w:spacing w:val="-2"/>
                <w:sz w:val="18"/>
                <w:szCs w:val="18"/>
              </w:rPr>
              <w:t>肺通气量</w:t>
            </w:r>
          </w:p>
        </w:tc>
        <w:tc>
          <w:tcPr>
            <w:tcW w:w="2334" w:type="dxa"/>
            <w:vMerge w:val="restart"/>
            <w:tcBorders>
              <w:bottom w:val="nil"/>
            </w:tcBorders>
            <w:vAlign w:val="top"/>
          </w:tcPr>
          <w:p w14:paraId="192405D3">
            <w:pPr>
              <w:pStyle w:val="6"/>
              <w:spacing w:before="83" w:line="212" w:lineRule="auto"/>
              <w:ind w:left="12" w:right="122" w:firstLine="19"/>
              <w:rPr>
                <w:sz w:val="18"/>
                <w:szCs w:val="18"/>
              </w:rPr>
            </w:pPr>
            <w:r>
              <w:rPr>
                <w:sz w:val="18"/>
                <w:szCs w:val="18"/>
              </w:rPr>
              <w:t>1.肺活量和时间肺活量正常</w:t>
            </w:r>
            <w:r>
              <w:rPr>
                <w:spacing w:val="8"/>
                <w:sz w:val="18"/>
                <w:szCs w:val="18"/>
              </w:rPr>
              <w:t xml:space="preserve"> </w:t>
            </w:r>
            <w:r>
              <w:rPr>
                <w:spacing w:val="-1"/>
                <w:sz w:val="18"/>
                <w:szCs w:val="18"/>
              </w:rPr>
              <w:t>值及生理意义</w:t>
            </w:r>
          </w:p>
          <w:p w14:paraId="13718B2C">
            <w:pPr>
              <w:pStyle w:val="6"/>
              <w:spacing w:before="15" w:line="200" w:lineRule="auto"/>
              <w:ind w:left="12"/>
              <w:rPr>
                <w:sz w:val="18"/>
                <w:szCs w:val="18"/>
              </w:rPr>
            </w:pPr>
            <w:r>
              <w:rPr>
                <w:spacing w:val="-1"/>
                <w:sz w:val="18"/>
                <w:szCs w:val="18"/>
              </w:rPr>
              <w:t>2.每分钟肺泡通气量</w:t>
            </w:r>
          </w:p>
        </w:tc>
        <w:tc>
          <w:tcPr>
            <w:tcW w:w="210" w:type="dxa"/>
            <w:vAlign w:val="top"/>
          </w:tcPr>
          <w:p w14:paraId="05FEB62A">
            <w:pPr>
              <w:pStyle w:val="6"/>
              <w:spacing w:before="133" w:line="238" w:lineRule="auto"/>
              <w:ind w:left="17"/>
              <w:rPr>
                <w:sz w:val="12"/>
                <w:szCs w:val="12"/>
              </w:rPr>
            </w:pPr>
            <w:r>
              <w:rPr>
                <w:sz w:val="12"/>
                <w:szCs w:val="12"/>
              </w:rPr>
              <w:t>√</w:t>
            </w:r>
          </w:p>
        </w:tc>
        <w:tc>
          <w:tcPr>
            <w:tcW w:w="229" w:type="dxa"/>
            <w:vAlign w:val="top"/>
          </w:tcPr>
          <w:p w14:paraId="256C7E2A">
            <w:pPr>
              <w:rPr>
                <w:rFonts w:ascii="Arial"/>
                <w:sz w:val="21"/>
              </w:rPr>
            </w:pPr>
          </w:p>
        </w:tc>
        <w:tc>
          <w:tcPr>
            <w:tcW w:w="229" w:type="dxa"/>
            <w:vAlign w:val="top"/>
          </w:tcPr>
          <w:p w14:paraId="4326F3A9">
            <w:pPr>
              <w:rPr>
                <w:rFonts w:ascii="Arial"/>
                <w:sz w:val="21"/>
              </w:rPr>
            </w:pPr>
          </w:p>
        </w:tc>
        <w:tc>
          <w:tcPr>
            <w:tcW w:w="234" w:type="dxa"/>
            <w:vAlign w:val="top"/>
          </w:tcPr>
          <w:p w14:paraId="02535232">
            <w:pPr>
              <w:rPr>
                <w:rFonts w:ascii="Arial"/>
                <w:sz w:val="21"/>
              </w:rPr>
            </w:pPr>
          </w:p>
        </w:tc>
      </w:tr>
      <w:tr w14:paraId="29D698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9" w:hRule="atLeast"/>
        </w:trPr>
        <w:tc>
          <w:tcPr>
            <w:tcW w:w="873" w:type="dxa"/>
            <w:vMerge w:val="continue"/>
            <w:tcBorders>
              <w:top w:val="nil"/>
            </w:tcBorders>
            <w:vAlign w:val="top"/>
          </w:tcPr>
          <w:p w14:paraId="24F8A4B0">
            <w:pPr>
              <w:rPr>
                <w:rFonts w:ascii="Arial"/>
                <w:sz w:val="21"/>
              </w:rPr>
            </w:pPr>
          </w:p>
        </w:tc>
        <w:tc>
          <w:tcPr>
            <w:tcW w:w="2334" w:type="dxa"/>
            <w:vMerge w:val="continue"/>
            <w:tcBorders>
              <w:top w:val="nil"/>
            </w:tcBorders>
            <w:vAlign w:val="top"/>
          </w:tcPr>
          <w:p w14:paraId="35FA8CA6">
            <w:pPr>
              <w:rPr>
                <w:rFonts w:ascii="Arial"/>
                <w:sz w:val="21"/>
              </w:rPr>
            </w:pPr>
          </w:p>
        </w:tc>
        <w:tc>
          <w:tcPr>
            <w:tcW w:w="210" w:type="dxa"/>
            <w:vAlign w:val="top"/>
          </w:tcPr>
          <w:p w14:paraId="737DA509">
            <w:pPr>
              <w:rPr>
                <w:rFonts w:ascii="Arial"/>
                <w:sz w:val="21"/>
              </w:rPr>
            </w:pPr>
          </w:p>
        </w:tc>
        <w:tc>
          <w:tcPr>
            <w:tcW w:w="229" w:type="dxa"/>
            <w:vAlign w:val="top"/>
          </w:tcPr>
          <w:p w14:paraId="326C4780">
            <w:pPr>
              <w:rPr>
                <w:rFonts w:ascii="Arial"/>
                <w:sz w:val="21"/>
              </w:rPr>
            </w:pPr>
          </w:p>
        </w:tc>
        <w:tc>
          <w:tcPr>
            <w:tcW w:w="229" w:type="dxa"/>
            <w:vAlign w:val="top"/>
          </w:tcPr>
          <w:p w14:paraId="7B4C85A2">
            <w:pPr>
              <w:pStyle w:val="6"/>
              <w:spacing w:before="133" w:line="238" w:lineRule="auto"/>
              <w:ind w:left="48"/>
              <w:rPr>
                <w:sz w:val="12"/>
                <w:szCs w:val="12"/>
              </w:rPr>
            </w:pPr>
            <w:r>
              <w:rPr>
                <w:sz w:val="12"/>
                <w:szCs w:val="12"/>
              </w:rPr>
              <w:t>√</w:t>
            </w:r>
          </w:p>
        </w:tc>
        <w:tc>
          <w:tcPr>
            <w:tcW w:w="234" w:type="dxa"/>
            <w:vAlign w:val="top"/>
          </w:tcPr>
          <w:p w14:paraId="710C5E98">
            <w:pPr>
              <w:rPr>
                <w:rFonts w:ascii="Arial"/>
                <w:sz w:val="21"/>
              </w:rPr>
            </w:pPr>
          </w:p>
        </w:tc>
      </w:tr>
      <w:tr w14:paraId="68E963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0" w:hRule="atLeast"/>
        </w:trPr>
        <w:tc>
          <w:tcPr>
            <w:tcW w:w="873" w:type="dxa"/>
            <w:vMerge w:val="restart"/>
            <w:tcBorders>
              <w:bottom w:val="nil"/>
            </w:tcBorders>
            <w:vAlign w:val="top"/>
          </w:tcPr>
          <w:p w14:paraId="2FF94389">
            <w:pPr>
              <w:spacing w:line="404" w:lineRule="auto"/>
              <w:rPr>
                <w:rFonts w:ascii="Arial"/>
                <w:sz w:val="21"/>
              </w:rPr>
            </w:pPr>
          </w:p>
          <w:p w14:paraId="10D6333D">
            <w:pPr>
              <w:pStyle w:val="6"/>
              <w:spacing w:before="59" w:line="220" w:lineRule="auto"/>
              <w:ind w:left="64"/>
              <w:rPr>
                <w:sz w:val="18"/>
                <w:szCs w:val="18"/>
              </w:rPr>
            </w:pPr>
            <w:r>
              <w:rPr>
                <w:spacing w:val="-2"/>
                <w:sz w:val="18"/>
                <w:szCs w:val="18"/>
              </w:rPr>
              <w:t>气体交换</w:t>
            </w:r>
          </w:p>
        </w:tc>
        <w:tc>
          <w:tcPr>
            <w:tcW w:w="2334" w:type="dxa"/>
            <w:vMerge w:val="restart"/>
            <w:tcBorders>
              <w:bottom w:val="nil"/>
            </w:tcBorders>
            <w:vAlign w:val="top"/>
          </w:tcPr>
          <w:p w14:paraId="6D500633">
            <w:pPr>
              <w:pStyle w:val="6"/>
              <w:spacing w:before="145" w:line="225" w:lineRule="auto"/>
              <w:ind w:left="12" w:right="144"/>
              <w:rPr>
                <w:sz w:val="18"/>
                <w:szCs w:val="18"/>
              </w:rPr>
            </w:pPr>
            <w:r>
              <w:rPr>
                <w:sz w:val="18"/>
                <w:szCs w:val="18"/>
              </w:rPr>
              <w:t>1.肺换气和组织换气的概念</w:t>
            </w:r>
            <w:r>
              <w:rPr>
                <w:spacing w:val="6"/>
                <w:sz w:val="18"/>
                <w:szCs w:val="18"/>
              </w:rPr>
              <w:t xml:space="preserve"> </w:t>
            </w:r>
            <w:r>
              <w:rPr>
                <w:spacing w:val="-1"/>
                <w:sz w:val="18"/>
                <w:szCs w:val="18"/>
              </w:rPr>
              <w:t>2.影响肺换气的因素</w:t>
            </w:r>
          </w:p>
          <w:p w14:paraId="64AF8ECA">
            <w:pPr>
              <w:pStyle w:val="6"/>
              <w:spacing w:line="233" w:lineRule="auto"/>
              <w:ind w:left="12" w:right="162"/>
              <w:rPr>
                <w:sz w:val="18"/>
                <w:szCs w:val="18"/>
              </w:rPr>
            </w:pPr>
            <w:r>
              <w:rPr>
                <w:spacing w:val="-1"/>
                <w:sz w:val="18"/>
                <w:szCs w:val="18"/>
              </w:rPr>
              <w:t>3.氧和二氧化碳在血液中运</w:t>
            </w:r>
            <w:r>
              <w:rPr>
                <w:spacing w:val="1"/>
                <w:sz w:val="18"/>
                <w:szCs w:val="18"/>
              </w:rPr>
              <w:t xml:space="preserve"> </w:t>
            </w:r>
            <w:r>
              <w:rPr>
                <w:spacing w:val="-1"/>
                <w:sz w:val="18"/>
                <w:szCs w:val="18"/>
              </w:rPr>
              <w:t>输的主要形式</w:t>
            </w:r>
          </w:p>
        </w:tc>
        <w:tc>
          <w:tcPr>
            <w:tcW w:w="210" w:type="dxa"/>
            <w:vAlign w:val="top"/>
          </w:tcPr>
          <w:p w14:paraId="5240CD30">
            <w:pPr>
              <w:pStyle w:val="6"/>
              <w:spacing w:before="135" w:line="238" w:lineRule="auto"/>
              <w:ind w:left="17"/>
              <w:rPr>
                <w:sz w:val="12"/>
                <w:szCs w:val="12"/>
              </w:rPr>
            </w:pPr>
            <w:r>
              <w:rPr>
                <w:sz w:val="12"/>
                <w:szCs w:val="12"/>
              </w:rPr>
              <w:t>√</w:t>
            </w:r>
          </w:p>
        </w:tc>
        <w:tc>
          <w:tcPr>
            <w:tcW w:w="229" w:type="dxa"/>
            <w:vAlign w:val="top"/>
          </w:tcPr>
          <w:p w14:paraId="2362BACB">
            <w:pPr>
              <w:rPr>
                <w:rFonts w:ascii="Arial"/>
                <w:sz w:val="21"/>
              </w:rPr>
            </w:pPr>
          </w:p>
        </w:tc>
        <w:tc>
          <w:tcPr>
            <w:tcW w:w="229" w:type="dxa"/>
            <w:vAlign w:val="top"/>
          </w:tcPr>
          <w:p w14:paraId="6255EDEF">
            <w:pPr>
              <w:rPr>
                <w:rFonts w:ascii="Arial"/>
                <w:sz w:val="21"/>
              </w:rPr>
            </w:pPr>
          </w:p>
        </w:tc>
        <w:tc>
          <w:tcPr>
            <w:tcW w:w="234" w:type="dxa"/>
            <w:vAlign w:val="top"/>
          </w:tcPr>
          <w:p w14:paraId="2815C246">
            <w:pPr>
              <w:rPr>
                <w:rFonts w:ascii="Arial"/>
                <w:sz w:val="21"/>
              </w:rPr>
            </w:pPr>
          </w:p>
        </w:tc>
      </w:tr>
      <w:tr w14:paraId="0A778B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9" w:hRule="atLeast"/>
        </w:trPr>
        <w:tc>
          <w:tcPr>
            <w:tcW w:w="873" w:type="dxa"/>
            <w:vMerge w:val="continue"/>
            <w:tcBorders>
              <w:top w:val="nil"/>
              <w:bottom w:val="nil"/>
            </w:tcBorders>
            <w:vAlign w:val="top"/>
          </w:tcPr>
          <w:p w14:paraId="71A21D50">
            <w:pPr>
              <w:rPr>
                <w:rFonts w:ascii="Arial"/>
                <w:sz w:val="21"/>
              </w:rPr>
            </w:pPr>
          </w:p>
        </w:tc>
        <w:tc>
          <w:tcPr>
            <w:tcW w:w="2334" w:type="dxa"/>
            <w:vMerge w:val="continue"/>
            <w:tcBorders>
              <w:top w:val="nil"/>
              <w:bottom w:val="nil"/>
            </w:tcBorders>
            <w:vAlign w:val="top"/>
          </w:tcPr>
          <w:p w14:paraId="3246BDD0">
            <w:pPr>
              <w:rPr>
                <w:rFonts w:ascii="Arial"/>
                <w:sz w:val="21"/>
              </w:rPr>
            </w:pPr>
          </w:p>
        </w:tc>
        <w:tc>
          <w:tcPr>
            <w:tcW w:w="210" w:type="dxa"/>
            <w:vAlign w:val="top"/>
          </w:tcPr>
          <w:p w14:paraId="034CDFD2">
            <w:pPr>
              <w:rPr>
                <w:rFonts w:ascii="Arial"/>
                <w:sz w:val="21"/>
              </w:rPr>
            </w:pPr>
          </w:p>
        </w:tc>
        <w:tc>
          <w:tcPr>
            <w:tcW w:w="229" w:type="dxa"/>
            <w:vAlign w:val="top"/>
          </w:tcPr>
          <w:p w14:paraId="7E9F0407">
            <w:pPr>
              <w:pStyle w:val="6"/>
              <w:spacing w:before="142" w:line="182" w:lineRule="auto"/>
              <w:ind w:left="67"/>
              <w:rPr>
                <w:sz w:val="18"/>
                <w:szCs w:val="18"/>
              </w:rPr>
            </w:pPr>
            <w:r>
              <w:rPr>
                <w:sz w:val="18"/>
                <w:szCs w:val="18"/>
              </w:rPr>
              <w:t>V</w:t>
            </w:r>
          </w:p>
        </w:tc>
        <w:tc>
          <w:tcPr>
            <w:tcW w:w="229" w:type="dxa"/>
            <w:vAlign w:val="top"/>
          </w:tcPr>
          <w:p w14:paraId="2B50FE45">
            <w:pPr>
              <w:rPr>
                <w:rFonts w:ascii="Arial"/>
                <w:sz w:val="21"/>
              </w:rPr>
            </w:pPr>
          </w:p>
        </w:tc>
        <w:tc>
          <w:tcPr>
            <w:tcW w:w="234" w:type="dxa"/>
            <w:vAlign w:val="top"/>
          </w:tcPr>
          <w:p w14:paraId="149AAB29">
            <w:pPr>
              <w:rPr>
                <w:rFonts w:ascii="Arial"/>
                <w:sz w:val="21"/>
              </w:rPr>
            </w:pPr>
          </w:p>
        </w:tc>
      </w:tr>
      <w:tr w14:paraId="7ABAC4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0" w:hRule="atLeast"/>
        </w:trPr>
        <w:tc>
          <w:tcPr>
            <w:tcW w:w="873" w:type="dxa"/>
            <w:vMerge w:val="continue"/>
            <w:tcBorders>
              <w:top w:val="nil"/>
            </w:tcBorders>
            <w:vAlign w:val="top"/>
          </w:tcPr>
          <w:p w14:paraId="1979D528">
            <w:pPr>
              <w:rPr>
                <w:rFonts w:ascii="Arial"/>
                <w:sz w:val="21"/>
              </w:rPr>
            </w:pPr>
          </w:p>
        </w:tc>
        <w:tc>
          <w:tcPr>
            <w:tcW w:w="2334" w:type="dxa"/>
            <w:vMerge w:val="continue"/>
            <w:tcBorders>
              <w:top w:val="nil"/>
            </w:tcBorders>
            <w:vAlign w:val="top"/>
          </w:tcPr>
          <w:p w14:paraId="16855B90">
            <w:pPr>
              <w:rPr>
                <w:rFonts w:ascii="Arial"/>
                <w:sz w:val="21"/>
              </w:rPr>
            </w:pPr>
          </w:p>
        </w:tc>
        <w:tc>
          <w:tcPr>
            <w:tcW w:w="210" w:type="dxa"/>
            <w:vAlign w:val="top"/>
          </w:tcPr>
          <w:p w14:paraId="1006E351">
            <w:pPr>
              <w:pStyle w:val="6"/>
              <w:spacing w:before="136" w:line="238" w:lineRule="auto"/>
              <w:ind w:left="17"/>
              <w:rPr>
                <w:sz w:val="12"/>
                <w:szCs w:val="12"/>
              </w:rPr>
            </w:pPr>
            <w:r>
              <w:rPr>
                <w:sz w:val="12"/>
                <w:szCs w:val="12"/>
              </w:rPr>
              <w:t>√</w:t>
            </w:r>
          </w:p>
        </w:tc>
        <w:tc>
          <w:tcPr>
            <w:tcW w:w="229" w:type="dxa"/>
            <w:vAlign w:val="top"/>
          </w:tcPr>
          <w:p w14:paraId="08D26BB4">
            <w:pPr>
              <w:rPr>
                <w:rFonts w:ascii="Arial"/>
                <w:sz w:val="21"/>
              </w:rPr>
            </w:pPr>
          </w:p>
        </w:tc>
        <w:tc>
          <w:tcPr>
            <w:tcW w:w="229" w:type="dxa"/>
            <w:vAlign w:val="top"/>
          </w:tcPr>
          <w:p w14:paraId="55FD29D8">
            <w:pPr>
              <w:rPr>
                <w:rFonts w:ascii="Arial"/>
                <w:sz w:val="21"/>
              </w:rPr>
            </w:pPr>
          </w:p>
        </w:tc>
        <w:tc>
          <w:tcPr>
            <w:tcW w:w="234" w:type="dxa"/>
            <w:vAlign w:val="top"/>
          </w:tcPr>
          <w:p w14:paraId="7D3C5BFB">
            <w:pPr>
              <w:rPr>
                <w:rFonts w:ascii="Arial"/>
                <w:sz w:val="21"/>
              </w:rPr>
            </w:pPr>
          </w:p>
        </w:tc>
      </w:tr>
      <w:tr w14:paraId="70062F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9" w:hRule="atLeast"/>
        </w:trPr>
        <w:tc>
          <w:tcPr>
            <w:tcW w:w="873" w:type="dxa"/>
            <w:vMerge w:val="restart"/>
            <w:tcBorders>
              <w:bottom w:val="nil"/>
            </w:tcBorders>
            <w:vAlign w:val="top"/>
          </w:tcPr>
          <w:p w14:paraId="3B18DAC5">
            <w:pPr>
              <w:pStyle w:val="6"/>
              <w:spacing w:before="196" w:line="220" w:lineRule="auto"/>
              <w:ind w:left="64"/>
              <w:rPr>
                <w:sz w:val="18"/>
                <w:szCs w:val="18"/>
              </w:rPr>
            </w:pPr>
            <w:r>
              <w:rPr>
                <w:spacing w:val="3"/>
                <w:sz w:val="18"/>
                <w:szCs w:val="18"/>
              </w:rPr>
              <w:t>呼吸运动</w:t>
            </w:r>
          </w:p>
          <w:p w14:paraId="78D1BB66">
            <w:pPr>
              <w:pStyle w:val="6"/>
              <w:spacing w:before="25" w:line="220" w:lineRule="auto"/>
              <w:ind w:left="155"/>
              <w:rPr>
                <w:sz w:val="18"/>
                <w:szCs w:val="18"/>
              </w:rPr>
            </w:pPr>
            <w:r>
              <w:rPr>
                <w:spacing w:val="3"/>
                <w:sz w:val="18"/>
                <w:szCs w:val="18"/>
              </w:rPr>
              <w:t>的调节</w:t>
            </w:r>
          </w:p>
        </w:tc>
        <w:tc>
          <w:tcPr>
            <w:tcW w:w="2334" w:type="dxa"/>
            <w:vMerge w:val="restart"/>
            <w:tcBorders>
              <w:bottom w:val="nil"/>
            </w:tcBorders>
            <w:vAlign w:val="top"/>
          </w:tcPr>
          <w:p w14:paraId="66D9B7EC">
            <w:pPr>
              <w:pStyle w:val="6"/>
              <w:spacing w:before="95" w:line="226" w:lineRule="auto"/>
              <w:ind w:left="12" w:right="132"/>
              <w:rPr>
                <w:sz w:val="18"/>
                <w:szCs w:val="18"/>
              </w:rPr>
            </w:pPr>
            <w:r>
              <w:rPr>
                <w:spacing w:val="1"/>
                <w:sz w:val="18"/>
                <w:szCs w:val="18"/>
              </w:rPr>
              <w:t>1.呼吸的基本中枢和调整中</w:t>
            </w:r>
            <w:r>
              <w:rPr>
                <w:spacing w:val="5"/>
                <w:sz w:val="18"/>
                <w:szCs w:val="18"/>
              </w:rPr>
              <w:t xml:space="preserve"> 枢的作用</w:t>
            </w:r>
          </w:p>
          <w:p w14:paraId="50F3D009">
            <w:pPr>
              <w:pStyle w:val="6"/>
              <w:spacing w:line="219" w:lineRule="auto"/>
              <w:ind w:left="12"/>
              <w:rPr>
                <w:sz w:val="18"/>
                <w:szCs w:val="18"/>
              </w:rPr>
            </w:pPr>
            <w:r>
              <w:rPr>
                <w:spacing w:val="-1"/>
                <w:sz w:val="18"/>
                <w:szCs w:val="18"/>
              </w:rPr>
              <w:t>2.化学因素对呼吸的调节</w:t>
            </w:r>
          </w:p>
        </w:tc>
        <w:tc>
          <w:tcPr>
            <w:tcW w:w="210" w:type="dxa"/>
            <w:vAlign w:val="top"/>
          </w:tcPr>
          <w:p w14:paraId="6EE2720F">
            <w:pPr>
              <w:pStyle w:val="6"/>
              <w:spacing w:before="206" w:line="238" w:lineRule="auto"/>
              <w:ind w:left="17"/>
              <w:rPr>
                <w:sz w:val="12"/>
                <w:szCs w:val="12"/>
              </w:rPr>
            </w:pPr>
            <w:r>
              <w:rPr>
                <w:sz w:val="12"/>
                <w:szCs w:val="12"/>
              </w:rPr>
              <w:t>√</w:t>
            </w:r>
          </w:p>
        </w:tc>
        <w:tc>
          <w:tcPr>
            <w:tcW w:w="229" w:type="dxa"/>
            <w:vAlign w:val="top"/>
          </w:tcPr>
          <w:p w14:paraId="7D4114FF">
            <w:pPr>
              <w:rPr>
                <w:rFonts w:ascii="Arial"/>
                <w:sz w:val="21"/>
              </w:rPr>
            </w:pPr>
          </w:p>
        </w:tc>
        <w:tc>
          <w:tcPr>
            <w:tcW w:w="229" w:type="dxa"/>
            <w:vAlign w:val="top"/>
          </w:tcPr>
          <w:p w14:paraId="3711A853">
            <w:pPr>
              <w:rPr>
                <w:rFonts w:ascii="Arial"/>
                <w:sz w:val="21"/>
              </w:rPr>
            </w:pPr>
          </w:p>
        </w:tc>
        <w:tc>
          <w:tcPr>
            <w:tcW w:w="234" w:type="dxa"/>
            <w:vAlign w:val="top"/>
          </w:tcPr>
          <w:p w14:paraId="5B3CC694">
            <w:pPr>
              <w:rPr>
                <w:rFonts w:ascii="Arial"/>
                <w:sz w:val="21"/>
              </w:rPr>
            </w:pPr>
          </w:p>
        </w:tc>
      </w:tr>
      <w:tr w14:paraId="33E72B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5" w:hRule="atLeast"/>
        </w:trPr>
        <w:tc>
          <w:tcPr>
            <w:tcW w:w="873" w:type="dxa"/>
            <w:vMerge w:val="continue"/>
            <w:tcBorders>
              <w:top w:val="nil"/>
            </w:tcBorders>
            <w:vAlign w:val="top"/>
          </w:tcPr>
          <w:p w14:paraId="257B23D6">
            <w:pPr>
              <w:rPr>
                <w:rFonts w:ascii="Arial"/>
                <w:sz w:val="21"/>
              </w:rPr>
            </w:pPr>
          </w:p>
        </w:tc>
        <w:tc>
          <w:tcPr>
            <w:tcW w:w="2334" w:type="dxa"/>
            <w:vMerge w:val="continue"/>
            <w:tcBorders>
              <w:top w:val="nil"/>
            </w:tcBorders>
            <w:vAlign w:val="top"/>
          </w:tcPr>
          <w:p w14:paraId="047C0296">
            <w:pPr>
              <w:rPr>
                <w:rFonts w:ascii="Arial"/>
                <w:sz w:val="21"/>
              </w:rPr>
            </w:pPr>
          </w:p>
        </w:tc>
        <w:tc>
          <w:tcPr>
            <w:tcW w:w="210" w:type="dxa"/>
            <w:vAlign w:val="top"/>
          </w:tcPr>
          <w:p w14:paraId="389E45B0">
            <w:pPr>
              <w:rPr>
                <w:rFonts w:ascii="Arial"/>
                <w:sz w:val="21"/>
              </w:rPr>
            </w:pPr>
          </w:p>
        </w:tc>
        <w:tc>
          <w:tcPr>
            <w:tcW w:w="229" w:type="dxa"/>
            <w:vAlign w:val="top"/>
          </w:tcPr>
          <w:p w14:paraId="219411B8">
            <w:pPr>
              <w:pStyle w:val="6"/>
              <w:spacing w:before="87" w:line="238" w:lineRule="auto"/>
              <w:ind w:left="47"/>
              <w:rPr>
                <w:sz w:val="12"/>
                <w:szCs w:val="12"/>
              </w:rPr>
            </w:pPr>
            <w:r>
              <w:rPr>
                <w:sz w:val="12"/>
                <w:szCs w:val="12"/>
              </w:rPr>
              <w:t>√</w:t>
            </w:r>
          </w:p>
        </w:tc>
        <w:tc>
          <w:tcPr>
            <w:tcW w:w="229" w:type="dxa"/>
            <w:vAlign w:val="top"/>
          </w:tcPr>
          <w:p w14:paraId="68ABF7BB">
            <w:pPr>
              <w:rPr>
                <w:rFonts w:ascii="Arial"/>
                <w:sz w:val="21"/>
              </w:rPr>
            </w:pPr>
          </w:p>
        </w:tc>
        <w:tc>
          <w:tcPr>
            <w:tcW w:w="234" w:type="dxa"/>
            <w:vAlign w:val="top"/>
          </w:tcPr>
          <w:p w14:paraId="40A0B8EA">
            <w:pPr>
              <w:rPr>
                <w:rFonts w:ascii="Arial"/>
                <w:sz w:val="21"/>
              </w:rPr>
            </w:pPr>
          </w:p>
        </w:tc>
      </w:tr>
    </w:tbl>
    <w:p w14:paraId="7BA4E11D">
      <w:pPr>
        <w:spacing w:before="109" w:line="222" w:lineRule="auto"/>
        <w:ind w:left="1187"/>
        <w:rPr>
          <w:rFonts w:ascii="黑体" w:hAnsi="黑体" w:eastAsia="黑体" w:cs="黑体"/>
          <w:sz w:val="20"/>
          <w:szCs w:val="20"/>
        </w:rPr>
      </w:pPr>
      <w:r>
        <w:rPr>
          <w:rFonts w:ascii="黑体" w:hAnsi="黑体" w:eastAsia="黑体" w:cs="黑体"/>
          <w:b/>
          <w:bCs/>
          <w:spacing w:val="-8"/>
          <w:sz w:val="20"/>
          <w:szCs w:val="20"/>
        </w:rPr>
        <w:t>第六章</w:t>
      </w:r>
      <w:r>
        <w:rPr>
          <w:rFonts w:ascii="黑体" w:hAnsi="黑体" w:eastAsia="黑体" w:cs="黑体"/>
          <w:spacing w:val="15"/>
          <w:sz w:val="20"/>
          <w:szCs w:val="20"/>
        </w:rPr>
        <w:t xml:space="preserve">  </w:t>
      </w:r>
      <w:r>
        <w:rPr>
          <w:rFonts w:ascii="黑体" w:hAnsi="黑体" w:eastAsia="黑体" w:cs="黑体"/>
          <w:b/>
          <w:bCs/>
          <w:spacing w:val="-8"/>
          <w:sz w:val="20"/>
          <w:szCs w:val="20"/>
        </w:rPr>
        <w:t>消化和吸收</w:t>
      </w:r>
    </w:p>
    <w:p w14:paraId="4F553C7D">
      <w:pPr>
        <w:spacing w:line="80" w:lineRule="exact"/>
      </w:pPr>
    </w:p>
    <w:tbl>
      <w:tblPr>
        <w:tblStyle w:val="5"/>
        <w:tblW w:w="4119" w:type="dxa"/>
        <w:tblInd w:w="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24"/>
        <w:gridCol w:w="210"/>
        <w:gridCol w:w="229"/>
        <w:gridCol w:w="229"/>
        <w:gridCol w:w="234"/>
      </w:tblGrid>
      <w:tr w14:paraId="031190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4" w:hRule="atLeast"/>
        </w:trPr>
        <w:tc>
          <w:tcPr>
            <w:tcW w:w="893" w:type="dxa"/>
            <w:vMerge w:val="restart"/>
            <w:tcBorders>
              <w:bottom w:val="nil"/>
            </w:tcBorders>
            <w:vAlign w:val="top"/>
          </w:tcPr>
          <w:p w14:paraId="1F1E7E5C">
            <w:pPr>
              <w:pStyle w:val="6"/>
              <w:spacing w:before="160" w:line="226" w:lineRule="auto"/>
              <w:ind w:left="267" w:right="25" w:hanging="250"/>
            </w:pPr>
            <w:r>
              <w:rPr>
                <w:b/>
                <w:bCs/>
                <w:spacing w:val="-4"/>
              </w:rPr>
              <w:t>知识与技能</w:t>
            </w:r>
            <w:r>
              <w:t xml:space="preserve"> </w:t>
            </w:r>
            <w:r>
              <w:rPr>
                <w:b/>
                <w:bCs/>
                <w:spacing w:val="-4"/>
              </w:rPr>
              <w:t>要点</w:t>
            </w:r>
          </w:p>
        </w:tc>
        <w:tc>
          <w:tcPr>
            <w:tcW w:w="2324" w:type="dxa"/>
            <w:vMerge w:val="restart"/>
            <w:tcBorders>
              <w:bottom w:val="nil"/>
            </w:tcBorders>
            <w:vAlign w:val="top"/>
          </w:tcPr>
          <w:p w14:paraId="4509F78F">
            <w:pPr>
              <w:pStyle w:val="6"/>
              <w:spacing w:before="279" w:line="219" w:lineRule="auto"/>
              <w:ind w:left="834"/>
            </w:pPr>
            <w:r>
              <w:rPr>
                <w:b/>
                <w:bCs/>
                <w:spacing w:val="5"/>
              </w:rPr>
              <w:t>考试条目</w:t>
            </w:r>
          </w:p>
        </w:tc>
        <w:tc>
          <w:tcPr>
            <w:tcW w:w="902" w:type="dxa"/>
            <w:gridSpan w:val="4"/>
            <w:vAlign w:val="top"/>
          </w:tcPr>
          <w:p w14:paraId="3FD28E71">
            <w:pPr>
              <w:pStyle w:val="6"/>
              <w:spacing w:before="99" w:line="219" w:lineRule="auto"/>
              <w:ind w:left="140"/>
            </w:pPr>
            <w:r>
              <w:rPr>
                <w:b/>
                <w:bCs/>
                <w:spacing w:val="-4"/>
              </w:rPr>
              <w:t>考试水平</w:t>
            </w:r>
          </w:p>
        </w:tc>
      </w:tr>
      <w:tr w14:paraId="3C98BF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9" w:hRule="atLeast"/>
        </w:trPr>
        <w:tc>
          <w:tcPr>
            <w:tcW w:w="893" w:type="dxa"/>
            <w:vMerge w:val="continue"/>
            <w:tcBorders>
              <w:top w:val="nil"/>
            </w:tcBorders>
            <w:vAlign w:val="top"/>
          </w:tcPr>
          <w:p w14:paraId="44B15C4B">
            <w:pPr>
              <w:rPr>
                <w:rFonts w:ascii="Arial"/>
                <w:sz w:val="21"/>
              </w:rPr>
            </w:pPr>
          </w:p>
        </w:tc>
        <w:tc>
          <w:tcPr>
            <w:tcW w:w="2324" w:type="dxa"/>
            <w:vMerge w:val="continue"/>
            <w:tcBorders>
              <w:top w:val="nil"/>
            </w:tcBorders>
            <w:vAlign w:val="top"/>
          </w:tcPr>
          <w:p w14:paraId="34D636A0">
            <w:pPr>
              <w:rPr>
                <w:rFonts w:ascii="Arial"/>
                <w:sz w:val="21"/>
              </w:rPr>
            </w:pPr>
          </w:p>
        </w:tc>
        <w:tc>
          <w:tcPr>
            <w:tcW w:w="210" w:type="dxa"/>
            <w:vAlign w:val="top"/>
          </w:tcPr>
          <w:p w14:paraId="4FBDA81A">
            <w:pPr>
              <w:pStyle w:val="6"/>
              <w:spacing w:before="133" w:line="184" w:lineRule="auto"/>
              <w:ind w:left="40"/>
              <w:rPr>
                <w:sz w:val="18"/>
                <w:szCs w:val="18"/>
              </w:rPr>
            </w:pPr>
            <w:r>
              <w:rPr>
                <w:b/>
                <w:bCs/>
                <w:spacing w:val="-2"/>
                <w:sz w:val="18"/>
                <w:szCs w:val="18"/>
              </w:rPr>
              <w:t>A</w:t>
            </w:r>
          </w:p>
        </w:tc>
        <w:tc>
          <w:tcPr>
            <w:tcW w:w="229" w:type="dxa"/>
            <w:vAlign w:val="top"/>
          </w:tcPr>
          <w:p w14:paraId="5C9436E3">
            <w:pPr>
              <w:pStyle w:val="6"/>
              <w:spacing w:before="132" w:line="182" w:lineRule="auto"/>
              <w:ind w:left="70"/>
            </w:pPr>
            <w:r>
              <w:rPr>
                <w:b/>
                <w:bCs/>
                <w:spacing w:val="-2"/>
              </w:rPr>
              <w:t>B</w:t>
            </w:r>
          </w:p>
        </w:tc>
        <w:tc>
          <w:tcPr>
            <w:tcW w:w="229" w:type="dxa"/>
            <w:vAlign w:val="top"/>
          </w:tcPr>
          <w:p w14:paraId="56A1EAEC">
            <w:pPr>
              <w:pStyle w:val="6"/>
              <w:spacing w:before="130" w:line="183" w:lineRule="auto"/>
              <w:ind w:left="61"/>
            </w:pPr>
            <w:r>
              <w:rPr>
                <w:b/>
                <w:bCs/>
                <w:spacing w:val="-2"/>
              </w:rPr>
              <w:t>C</w:t>
            </w:r>
          </w:p>
        </w:tc>
        <w:tc>
          <w:tcPr>
            <w:tcW w:w="234" w:type="dxa"/>
            <w:vAlign w:val="top"/>
          </w:tcPr>
          <w:p w14:paraId="7F5FCC9A">
            <w:pPr>
              <w:pStyle w:val="6"/>
              <w:spacing w:before="132" w:line="182" w:lineRule="auto"/>
              <w:ind w:left="22"/>
            </w:pPr>
            <w:r>
              <w:rPr>
                <w:b/>
                <w:bCs/>
                <w:spacing w:val="-2"/>
              </w:rPr>
              <w:t>D</w:t>
            </w:r>
          </w:p>
        </w:tc>
      </w:tr>
      <w:tr w14:paraId="349D9E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9" w:hRule="atLeast"/>
        </w:trPr>
        <w:tc>
          <w:tcPr>
            <w:tcW w:w="893" w:type="dxa"/>
            <w:vMerge w:val="restart"/>
            <w:tcBorders>
              <w:bottom w:val="nil"/>
            </w:tcBorders>
            <w:vAlign w:val="top"/>
          </w:tcPr>
          <w:p w14:paraId="683E40AE">
            <w:pPr>
              <w:spacing w:line="256" w:lineRule="auto"/>
              <w:rPr>
                <w:rFonts w:ascii="Arial"/>
                <w:sz w:val="21"/>
              </w:rPr>
            </w:pPr>
          </w:p>
          <w:p w14:paraId="4E7E3DC0">
            <w:pPr>
              <w:spacing w:line="256" w:lineRule="auto"/>
              <w:rPr>
                <w:rFonts w:ascii="Arial"/>
                <w:sz w:val="21"/>
              </w:rPr>
            </w:pPr>
          </w:p>
          <w:p w14:paraId="6038BE8C">
            <w:pPr>
              <w:spacing w:line="257" w:lineRule="auto"/>
              <w:rPr>
                <w:rFonts w:ascii="Arial"/>
                <w:sz w:val="21"/>
              </w:rPr>
            </w:pPr>
          </w:p>
          <w:p w14:paraId="6E5A4CF6">
            <w:pPr>
              <w:pStyle w:val="6"/>
              <w:spacing w:before="56" w:line="221" w:lineRule="auto"/>
              <w:ind w:left="265"/>
            </w:pPr>
            <w:r>
              <w:rPr>
                <w:spacing w:val="-3"/>
              </w:rPr>
              <w:t>消化</w:t>
            </w:r>
          </w:p>
        </w:tc>
        <w:tc>
          <w:tcPr>
            <w:tcW w:w="2324" w:type="dxa"/>
            <w:vMerge w:val="restart"/>
            <w:tcBorders>
              <w:bottom w:val="nil"/>
            </w:tcBorders>
            <w:vAlign w:val="top"/>
          </w:tcPr>
          <w:p w14:paraId="08858AC0">
            <w:pPr>
              <w:spacing w:line="241" w:lineRule="auto"/>
              <w:rPr>
                <w:rFonts w:ascii="Arial"/>
                <w:sz w:val="21"/>
              </w:rPr>
            </w:pPr>
          </w:p>
          <w:p w14:paraId="17B39209">
            <w:pPr>
              <w:pStyle w:val="6"/>
              <w:spacing w:before="56" w:line="229" w:lineRule="auto"/>
              <w:ind w:left="11" w:right="751"/>
              <w:jc w:val="both"/>
            </w:pPr>
            <w:r>
              <w:rPr>
                <w:spacing w:val="2"/>
              </w:rPr>
              <w:t>1.唾液的成分及作用</w:t>
            </w:r>
            <w:r>
              <w:t xml:space="preserve"> </w:t>
            </w:r>
            <w:r>
              <w:rPr>
                <w:spacing w:val="-2"/>
              </w:rPr>
              <w:t>2.</w:t>
            </w:r>
            <w:r>
              <w:rPr>
                <w:spacing w:val="-46"/>
              </w:rPr>
              <w:t xml:space="preserve"> </w:t>
            </w:r>
            <w:r>
              <w:rPr>
                <w:spacing w:val="-2"/>
              </w:rPr>
              <w:t>胃液的成分及作用</w:t>
            </w:r>
            <w:r>
              <w:t xml:space="preserve"> </w:t>
            </w:r>
            <w:r>
              <w:rPr>
                <w:spacing w:val="2"/>
              </w:rPr>
              <w:t>3.胰液的成分及作用</w:t>
            </w:r>
            <w:r>
              <w:t xml:space="preserve"> </w:t>
            </w:r>
            <w:r>
              <w:rPr>
                <w:spacing w:val="2"/>
              </w:rPr>
              <w:t>4.胆汁的成分及作用</w:t>
            </w:r>
          </w:p>
        </w:tc>
        <w:tc>
          <w:tcPr>
            <w:tcW w:w="210" w:type="dxa"/>
            <w:vAlign w:val="top"/>
          </w:tcPr>
          <w:p w14:paraId="6B31987D">
            <w:pPr>
              <w:rPr>
                <w:rFonts w:ascii="Arial"/>
                <w:sz w:val="21"/>
              </w:rPr>
            </w:pPr>
          </w:p>
        </w:tc>
        <w:tc>
          <w:tcPr>
            <w:tcW w:w="229" w:type="dxa"/>
            <w:vAlign w:val="top"/>
          </w:tcPr>
          <w:p w14:paraId="7E52D83B">
            <w:pPr>
              <w:pStyle w:val="6"/>
              <w:spacing w:before="110" w:line="238" w:lineRule="auto"/>
              <w:ind w:left="47"/>
              <w:rPr>
                <w:sz w:val="13"/>
                <w:szCs w:val="13"/>
              </w:rPr>
            </w:pPr>
            <w:r>
              <w:rPr>
                <w:sz w:val="13"/>
                <w:szCs w:val="13"/>
              </w:rPr>
              <w:t>√</w:t>
            </w:r>
          </w:p>
        </w:tc>
        <w:tc>
          <w:tcPr>
            <w:tcW w:w="229" w:type="dxa"/>
            <w:vAlign w:val="top"/>
          </w:tcPr>
          <w:p w14:paraId="5EADBA72">
            <w:pPr>
              <w:rPr>
                <w:rFonts w:ascii="Arial"/>
                <w:sz w:val="21"/>
              </w:rPr>
            </w:pPr>
          </w:p>
        </w:tc>
        <w:tc>
          <w:tcPr>
            <w:tcW w:w="234" w:type="dxa"/>
            <w:vAlign w:val="top"/>
          </w:tcPr>
          <w:p w14:paraId="5A8492B0">
            <w:pPr>
              <w:rPr>
                <w:rFonts w:ascii="Arial"/>
                <w:sz w:val="21"/>
              </w:rPr>
            </w:pPr>
          </w:p>
        </w:tc>
      </w:tr>
      <w:tr w14:paraId="7AED12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9" w:hRule="atLeast"/>
        </w:trPr>
        <w:tc>
          <w:tcPr>
            <w:tcW w:w="893" w:type="dxa"/>
            <w:vMerge w:val="continue"/>
            <w:tcBorders>
              <w:top w:val="nil"/>
              <w:bottom w:val="nil"/>
            </w:tcBorders>
            <w:vAlign w:val="top"/>
          </w:tcPr>
          <w:p w14:paraId="1B0DC034">
            <w:pPr>
              <w:rPr>
                <w:rFonts w:ascii="Arial"/>
                <w:sz w:val="21"/>
              </w:rPr>
            </w:pPr>
          </w:p>
        </w:tc>
        <w:tc>
          <w:tcPr>
            <w:tcW w:w="2324" w:type="dxa"/>
            <w:vMerge w:val="continue"/>
            <w:tcBorders>
              <w:top w:val="nil"/>
              <w:bottom w:val="nil"/>
            </w:tcBorders>
            <w:vAlign w:val="top"/>
          </w:tcPr>
          <w:p w14:paraId="6C0E7876">
            <w:pPr>
              <w:rPr>
                <w:rFonts w:ascii="Arial"/>
                <w:sz w:val="21"/>
              </w:rPr>
            </w:pPr>
          </w:p>
        </w:tc>
        <w:tc>
          <w:tcPr>
            <w:tcW w:w="210" w:type="dxa"/>
            <w:vAlign w:val="top"/>
          </w:tcPr>
          <w:p w14:paraId="73A37DB4">
            <w:pPr>
              <w:rPr>
                <w:rFonts w:ascii="Arial"/>
                <w:sz w:val="21"/>
              </w:rPr>
            </w:pPr>
          </w:p>
        </w:tc>
        <w:tc>
          <w:tcPr>
            <w:tcW w:w="229" w:type="dxa"/>
            <w:vAlign w:val="top"/>
          </w:tcPr>
          <w:p w14:paraId="53448B84">
            <w:pPr>
              <w:pStyle w:val="6"/>
              <w:spacing w:before="121" w:line="238" w:lineRule="auto"/>
              <w:ind w:left="47"/>
              <w:rPr>
                <w:sz w:val="13"/>
                <w:szCs w:val="13"/>
              </w:rPr>
            </w:pPr>
            <w:r>
              <w:rPr>
                <w:sz w:val="13"/>
                <w:szCs w:val="13"/>
              </w:rPr>
              <w:t>√</w:t>
            </w:r>
          </w:p>
        </w:tc>
        <w:tc>
          <w:tcPr>
            <w:tcW w:w="229" w:type="dxa"/>
            <w:vAlign w:val="top"/>
          </w:tcPr>
          <w:p w14:paraId="1C8F72A1">
            <w:pPr>
              <w:rPr>
                <w:rFonts w:ascii="Arial"/>
                <w:sz w:val="21"/>
              </w:rPr>
            </w:pPr>
          </w:p>
        </w:tc>
        <w:tc>
          <w:tcPr>
            <w:tcW w:w="234" w:type="dxa"/>
            <w:vAlign w:val="top"/>
          </w:tcPr>
          <w:p w14:paraId="1D52DE1D">
            <w:pPr>
              <w:rPr>
                <w:rFonts w:ascii="Arial"/>
                <w:sz w:val="21"/>
              </w:rPr>
            </w:pPr>
          </w:p>
        </w:tc>
      </w:tr>
      <w:tr w14:paraId="444605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9" w:hRule="atLeast"/>
        </w:trPr>
        <w:tc>
          <w:tcPr>
            <w:tcW w:w="893" w:type="dxa"/>
            <w:vMerge w:val="continue"/>
            <w:tcBorders>
              <w:top w:val="nil"/>
              <w:bottom w:val="nil"/>
            </w:tcBorders>
            <w:vAlign w:val="top"/>
          </w:tcPr>
          <w:p w14:paraId="3BA99603">
            <w:pPr>
              <w:rPr>
                <w:rFonts w:ascii="Arial"/>
                <w:sz w:val="21"/>
              </w:rPr>
            </w:pPr>
          </w:p>
        </w:tc>
        <w:tc>
          <w:tcPr>
            <w:tcW w:w="2324" w:type="dxa"/>
            <w:vMerge w:val="continue"/>
            <w:tcBorders>
              <w:top w:val="nil"/>
              <w:bottom w:val="nil"/>
            </w:tcBorders>
            <w:vAlign w:val="top"/>
          </w:tcPr>
          <w:p w14:paraId="2864DCFC">
            <w:pPr>
              <w:rPr>
                <w:rFonts w:ascii="Arial"/>
                <w:sz w:val="21"/>
              </w:rPr>
            </w:pPr>
          </w:p>
        </w:tc>
        <w:tc>
          <w:tcPr>
            <w:tcW w:w="210" w:type="dxa"/>
            <w:vAlign w:val="top"/>
          </w:tcPr>
          <w:p w14:paraId="258DA89A">
            <w:pPr>
              <w:rPr>
                <w:rFonts w:ascii="Arial"/>
                <w:sz w:val="21"/>
              </w:rPr>
            </w:pPr>
          </w:p>
        </w:tc>
        <w:tc>
          <w:tcPr>
            <w:tcW w:w="229" w:type="dxa"/>
            <w:vAlign w:val="top"/>
          </w:tcPr>
          <w:p w14:paraId="100802C5">
            <w:pPr>
              <w:rPr>
                <w:rFonts w:ascii="Arial"/>
                <w:sz w:val="21"/>
              </w:rPr>
            </w:pPr>
          </w:p>
        </w:tc>
        <w:tc>
          <w:tcPr>
            <w:tcW w:w="229" w:type="dxa"/>
            <w:vAlign w:val="top"/>
          </w:tcPr>
          <w:p w14:paraId="313814C1">
            <w:pPr>
              <w:pStyle w:val="6"/>
              <w:spacing w:before="120" w:line="238" w:lineRule="auto"/>
              <w:ind w:left="18"/>
              <w:rPr>
                <w:sz w:val="12"/>
                <w:szCs w:val="12"/>
              </w:rPr>
            </w:pPr>
            <w:r>
              <w:rPr>
                <w:sz w:val="12"/>
                <w:szCs w:val="12"/>
              </w:rPr>
              <w:t>√</w:t>
            </w:r>
          </w:p>
        </w:tc>
        <w:tc>
          <w:tcPr>
            <w:tcW w:w="234" w:type="dxa"/>
            <w:vAlign w:val="top"/>
          </w:tcPr>
          <w:p w14:paraId="47E11012">
            <w:pPr>
              <w:rPr>
                <w:rFonts w:ascii="Arial"/>
                <w:sz w:val="21"/>
              </w:rPr>
            </w:pPr>
          </w:p>
        </w:tc>
      </w:tr>
      <w:tr w14:paraId="264386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9" w:hRule="atLeast"/>
        </w:trPr>
        <w:tc>
          <w:tcPr>
            <w:tcW w:w="893" w:type="dxa"/>
            <w:vMerge w:val="continue"/>
            <w:tcBorders>
              <w:top w:val="nil"/>
            </w:tcBorders>
            <w:vAlign w:val="top"/>
          </w:tcPr>
          <w:p w14:paraId="6104B886">
            <w:pPr>
              <w:rPr>
                <w:rFonts w:ascii="Arial"/>
                <w:sz w:val="21"/>
              </w:rPr>
            </w:pPr>
          </w:p>
        </w:tc>
        <w:tc>
          <w:tcPr>
            <w:tcW w:w="2324" w:type="dxa"/>
            <w:vMerge w:val="continue"/>
            <w:tcBorders>
              <w:top w:val="nil"/>
            </w:tcBorders>
            <w:vAlign w:val="top"/>
          </w:tcPr>
          <w:p w14:paraId="7DE7E438">
            <w:pPr>
              <w:rPr>
                <w:rFonts w:ascii="Arial"/>
                <w:sz w:val="21"/>
              </w:rPr>
            </w:pPr>
          </w:p>
        </w:tc>
        <w:tc>
          <w:tcPr>
            <w:tcW w:w="210" w:type="dxa"/>
            <w:vAlign w:val="top"/>
          </w:tcPr>
          <w:p w14:paraId="530C18CD">
            <w:pPr>
              <w:rPr>
                <w:rFonts w:ascii="Arial"/>
                <w:sz w:val="21"/>
              </w:rPr>
            </w:pPr>
          </w:p>
        </w:tc>
        <w:tc>
          <w:tcPr>
            <w:tcW w:w="229" w:type="dxa"/>
            <w:vAlign w:val="top"/>
          </w:tcPr>
          <w:p w14:paraId="5309DD4C">
            <w:pPr>
              <w:pStyle w:val="6"/>
              <w:spacing w:before="123" w:line="238" w:lineRule="auto"/>
              <w:ind w:left="47"/>
              <w:rPr>
                <w:sz w:val="13"/>
                <w:szCs w:val="13"/>
              </w:rPr>
            </w:pPr>
            <w:r>
              <w:rPr>
                <w:sz w:val="13"/>
                <w:szCs w:val="13"/>
              </w:rPr>
              <w:t>√</w:t>
            </w:r>
          </w:p>
        </w:tc>
        <w:tc>
          <w:tcPr>
            <w:tcW w:w="229" w:type="dxa"/>
            <w:vAlign w:val="top"/>
          </w:tcPr>
          <w:p w14:paraId="597A3BAE">
            <w:pPr>
              <w:rPr>
                <w:rFonts w:ascii="Arial"/>
                <w:sz w:val="21"/>
              </w:rPr>
            </w:pPr>
          </w:p>
        </w:tc>
        <w:tc>
          <w:tcPr>
            <w:tcW w:w="234" w:type="dxa"/>
            <w:vAlign w:val="top"/>
          </w:tcPr>
          <w:p w14:paraId="0C599961">
            <w:pPr>
              <w:rPr>
                <w:rFonts w:ascii="Arial"/>
                <w:sz w:val="21"/>
              </w:rPr>
            </w:pPr>
          </w:p>
        </w:tc>
      </w:tr>
      <w:tr w14:paraId="74AECA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8" w:hRule="atLeast"/>
        </w:trPr>
        <w:tc>
          <w:tcPr>
            <w:tcW w:w="893" w:type="dxa"/>
            <w:vAlign w:val="top"/>
          </w:tcPr>
          <w:p w14:paraId="48372099">
            <w:pPr>
              <w:pStyle w:val="6"/>
              <w:spacing w:before="183" w:line="219" w:lineRule="auto"/>
              <w:ind w:left="265"/>
            </w:pPr>
            <w:r>
              <w:rPr>
                <w:spacing w:val="-4"/>
              </w:rPr>
              <w:t>吸收</w:t>
            </w:r>
          </w:p>
        </w:tc>
        <w:tc>
          <w:tcPr>
            <w:tcW w:w="2324" w:type="dxa"/>
            <w:vAlign w:val="top"/>
          </w:tcPr>
          <w:p w14:paraId="4E4ACF62">
            <w:pPr>
              <w:pStyle w:val="6"/>
              <w:spacing w:before="92" w:line="224" w:lineRule="auto"/>
              <w:ind w:left="11" w:right="238" w:firstLine="10"/>
            </w:pPr>
            <w:r>
              <w:rPr>
                <w:spacing w:val="1"/>
              </w:rPr>
              <w:t>小肠内主要营养物质吸收的</w:t>
            </w:r>
            <w:r>
              <w:t xml:space="preserve"> </w:t>
            </w:r>
            <w:r>
              <w:rPr>
                <w:spacing w:val="-2"/>
              </w:rPr>
              <w:t>形式和途径</w:t>
            </w:r>
          </w:p>
        </w:tc>
        <w:tc>
          <w:tcPr>
            <w:tcW w:w="210" w:type="dxa"/>
            <w:vAlign w:val="top"/>
          </w:tcPr>
          <w:p w14:paraId="5310C878">
            <w:pPr>
              <w:pStyle w:val="6"/>
              <w:spacing w:before="214" w:line="238" w:lineRule="auto"/>
              <w:ind w:left="18"/>
              <w:rPr>
                <w:sz w:val="13"/>
                <w:szCs w:val="13"/>
              </w:rPr>
            </w:pPr>
            <w:r>
              <w:rPr>
                <w:sz w:val="13"/>
                <w:szCs w:val="13"/>
              </w:rPr>
              <w:t>√</w:t>
            </w:r>
          </w:p>
        </w:tc>
        <w:tc>
          <w:tcPr>
            <w:tcW w:w="229" w:type="dxa"/>
            <w:vAlign w:val="top"/>
          </w:tcPr>
          <w:p w14:paraId="470BF4EF">
            <w:pPr>
              <w:rPr>
                <w:rFonts w:ascii="Arial"/>
                <w:sz w:val="21"/>
              </w:rPr>
            </w:pPr>
          </w:p>
        </w:tc>
        <w:tc>
          <w:tcPr>
            <w:tcW w:w="229" w:type="dxa"/>
            <w:vAlign w:val="top"/>
          </w:tcPr>
          <w:p w14:paraId="3B19E9FE">
            <w:pPr>
              <w:rPr>
                <w:rFonts w:ascii="Arial"/>
                <w:sz w:val="21"/>
              </w:rPr>
            </w:pPr>
          </w:p>
        </w:tc>
        <w:tc>
          <w:tcPr>
            <w:tcW w:w="234" w:type="dxa"/>
            <w:vAlign w:val="top"/>
          </w:tcPr>
          <w:p w14:paraId="49092BE3">
            <w:pPr>
              <w:rPr>
                <w:rFonts w:ascii="Arial"/>
                <w:sz w:val="21"/>
              </w:rPr>
            </w:pPr>
          </w:p>
        </w:tc>
      </w:tr>
      <w:tr w14:paraId="4043B3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3" w:hRule="atLeast"/>
        </w:trPr>
        <w:tc>
          <w:tcPr>
            <w:tcW w:w="893" w:type="dxa"/>
            <w:vAlign w:val="top"/>
          </w:tcPr>
          <w:p w14:paraId="0E907B3C">
            <w:pPr>
              <w:pStyle w:val="6"/>
              <w:spacing w:before="66" w:line="229" w:lineRule="auto"/>
              <w:ind w:left="94" w:right="28" w:hanging="80"/>
            </w:pPr>
            <w:r>
              <w:rPr>
                <w:spacing w:val="-3"/>
              </w:rPr>
              <w:t>消化器官活</w:t>
            </w:r>
            <w:r>
              <w:rPr>
                <w:spacing w:val="3"/>
              </w:rPr>
              <w:t xml:space="preserve"> </w:t>
            </w:r>
            <w:r>
              <w:rPr>
                <w:spacing w:val="-2"/>
              </w:rPr>
              <w:t>动的调节</w:t>
            </w:r>
          </w:p>
        </w:tc>
        <w:tc>
          <w:tcPr>
            <w:tcW w:w="2324" w:type="dxa"/>
            <w:vAlign w:val="top"/>
          </w:tcPr>
          <w:p w14:paraId="62C8954B">
            <w:pPr>
              <w:pStyle w:val="6"/>
              <w:spacing w:before="75" w:line="224" w:lineRule="auto"/>
              <w:ind w:left="11" w:right="250"/>
            </w:pPr>
            <w:r>
              <w:t>交感和副交感神经对消化功</w:t>
            </w:r>
            <w:r>
              <w:rPr>
                <w:spacing w:val="10"/>
              </w:rPr>
              <w:t xml:space="preserve"> </w:t>
            </w:r>
            <w:r>
              <w:rPr>
                <w:spacing w:val="2"/>
              </w:rPr>
              <w:t>能的调节</w:t>
            </w:r>
          </w:p>
        </w:tc>
        <w:tc>
          <w:tcPr>
            <w:tcW w:w="210" w:type="dxa"/>
            <w:vAlign w:val="top"/>
          </w:tcPr>
          <w:p w14:paraId="6F70BC62">
            <w:pPr>
              <w:pStyle w:val="6"/>
              <w:spacing w:before="206" w:line="238" w:lineRule="auto"/>
              <w:ind w:left="18"/>
              <w:rPr>
                <w:sz w:val="13"/>
                <w:szCs w:val="13"/>
              </w:rPr>
            </w:pPr>
            <w:r>
              <w:rPr>
                <w:sz w:val="13"/>
                <w:szCs w:val="13"/>
              </w:rPr>
              <w:t>√</w:t>
            </w:r>
          </w:p>
        </w:tc>
        <w:tc>
          <w:tcPr>
            <w:tcW w:w="229" w:type="dxa"/>
            <w:vAlign w:val="top"/>
          </w:tcPr>
          <w:p w14:paraId="178D0DD2">
            <w:pPr>
              <w:rPr>
                <w:rFonts w:ascii="Arial"/>
                <w:sz w:val="21"/>
              </w:rPr>
            </w:pPr>
          </w:p>
        </w:tc>
        <w:tc>
          <w:tcPr>
            <w:tcW w:w="229" w:type="dxa"/>
            <w:vAlign w:val="top"/>
          </w:tcPr>
          <w:p w14:paraId="5969DC14">
            <w:pPr>
              <w:rPr>
                <w:rFonts w:ascii="Arial"/>
                <w:sz w:val="21"/>
              </w:rPr>
            </w:pPr>
          </w:p>
        </w:tc>
        <w:tc>
          <w:tcPr>
            <w:tcW w:w="234" w:type="dxa"/>
            <w:vAlign w:val="top"/>
          </w:tcPr>
          <w:p w14:paraId="7511A5F4">
            <w:pPr>
              <w:rPr>
                <w:rFonts w:ascii="Arial"/>
                <w:sz w:val="21"/>
              </w:rPr>
            </w:pPr>
          </w:p>
        </w:tc>
      </w:tr>
    </w:tbl>
    <w:p w14:paraId="0F943FCA">
      <w:pPr>
        <w:spacing w:before="128" w:line="221" w:lineRule="auto"/>
        <w:ind w:left="987"/>
        <w:rPr>
          <w:rFonts w:ascii="黑体" w:hAnsi="黑体" w:eastAsia="黑体" w:cs="黑体"/>
          <w:sz w:val="20"/>
          <w:szCs w:val="20"/>
        </w:rPr>
      </w:pPr>
      <w:r>
        <w:rPr>
          <w:rFonts w:ascii="黑体" w:hAnsi="黑体" w:eastAsia="黑体" w:cs="黑体"/>
          <w:b/>
          <w:bCs/>
          <w:spacing w:val="-8"/>
          <w:sz w:val="20"/>
          <w:szCs w:val="20"/>
        </w:rPr>
        <w:t>第七章</w:t>
      </w:r>
      <w:r>
        <w:rPr>
          <w:rFonts w:ascii="黑体" w:hAnsi="黑体" w:eastAsia="黑体" w:cs="黑体"/>
          <w:spacing w:val="13"/>
          <w:sz w:val="20"/>
          <w:szCs w:val="20"/>
        </w:rPr>
        <w:t xml:space="preserve">  </w:t>
      </w:r>
      <w:r>
        <w:rPr>
          <w:rFonts w:ascii="黑体" w:hAnsi="黑体" w:eastAsia="黑体" w:cs="黑体"/>
          <w:b/>
          <w:bCs/>
          <w:spacing w:val="-8"/>
          <w:sz w:val="20"/>
          <w:szCs w:val="20"/>
        </w:rPr>
        <w:t>能量代谢和体温</w:t>
      </w:r>
    </w:p>
    <w:p w14:paraId="3AC2F82D">
      <w:pPr>
        <w:spacing w:line="72" w:lineRule="exact"/>
      </w:pPr>
    </w:p>
    <w:tbl>
      <w:tblPr>
        <w:tblStyle w:val="5"/>
        <w:tblW w:w="410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24"/>
        <w:gridCol w:w="220"/>
        <w:gridCol w:w="229"/>
        <w:gridCol w:w="229"/>
        <w:gridCol w:w="214"/>
      </w:tblGrid>
      <w:tr w14:paraId="17B46E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893" w:type="dxa"/>
            <w:vMerge w:val="restart"/>
            <w:tcBorders>
              <w:top w:val="single" w:color="000000" w:sz="2" w:space="0"/>
              <w:bottom w:val="nil"/>
            </w:tcBorders>
            <w:vAlign w:val="top"/>
          </w:tcPr>
          <w:p w14:paraId="051A995D">
            <w:pPr>
              <w:pStyle w:val="6"/>
              <w:spacing w:before="165" w:line="230" w:lineRule="auto"/>
              <w:ind w:left="257" w:right="1" w:hanging="240"/>
              <w:rPr>
                <w:sz w:val="18"/>
                <w:szCs w:val="18"/>
              </w:rPr>
            </w:pPr>
            <w:r>
              <w:rPr>
                <w:b/>
                <w:bCs/>
                <w:spacing w:val="-10"/>
                <w:sz w:val="18"/>
                <w:szCs w:val="18"/>
              </w:rPr>
              <w:t>知识与技能</w:t>
            </w:r>
            <w:r>
              <w:rPr>
                <w:spacing w:val="3"/>
                <w:sz w:val="18"/>
                <w:szCs w:val="18"/>
              </w:rPr>
              <w:t xml:space="preserve"> </w:t>
            </w:r>
            <w:r>
              <w:rPr>
                <w:b/>
                <w:bCs/>
                <w:spacing w:val="-4"/>
                <w:sz w:val="18"/>
                <w:szCs w:val="18"/>
              </w:rPr>
              <w:t>要点</w:t>
            </w:r>
          </w:p>
        </w:tc>
        <w:tc>
          <w:tcPr>
            <w:tcW w:w="2324" w:type="dxa"/>
            <w:vMerge w:val="restart"/>
            <w:tcBorders>
              <w:top w:val="single" w:color="000000" w:sz="2" w:space="0"/>
              <w:bottom w:val="nil"/>
            </w:tcBorders>
            <w:vAlign w:val="top"/>
          </w:tcPr>
          <w:p w14:paraId="4FA99A8F">
            <w:pPr>
              <w:pStyle w:val="6"/>
              <w:spacing w:before="274" w:line="219" w:lineRule="auto"/>
              <w:ind w:left="834"/>
              <w:rPr>
                <w:sz w:val="18"/>
                <w:szCs w:val="18"/>
              </w:rPr>
            </w:pPr>
            <w:r>
              <w:rPr>
                <w:b/>
                <w:bCs/>
                <w:spacing w:val="5"/>
                <w:sz w:val="18"/>
                <w:szCs w:val="18"/>
              </w:rPr>
              <w:t>考试条目</w:t>
            </w:r>
          </w:p>
        </w:tc>
        <w:tc>
          <w:tcPr>
            <w:tcW w:w="892" w:type="dxa"/>
            <w:gridSpan w:val="4"/>
            <w:tcBorders>
              <w:top w:val="single" w:color="000000" w:sz="2" w:space="0"/>
              <w:bottom w:val="single" w:color="000000" w:sz="2" w:space="0"/>
            </w:tcBorders>
            <w:vAlign w:val="top"/>
          </w:tcPr>
          <w:p w14:paraId="34C5B67B">
            <w:pPr>
              <w:pStyle w:val="6"/>
              <w:spacing w:before="94" w:line="219" w:lineRule="auto"/>
              <w:ind w:left="140"/>
              <w:rPr>
                <w:sz w:val="18"/>
                <w:szCs w:val="18"/>
              </w:rPr>
            </w:pPr>
            <w:r>
              <w:rPr>
                <w:b/>
                <w:bCs/>
                <w:spacing w:val="-4"/>
                <w:sz w:val="18"/>
                <w:szCs w:val="18"/>
              </w:rPr>
              <w:t>考试水平</w:t>
            </w:r>
          </w:p>
        </w:tc>
      </w:tr>
      <w:tr w14:paraId="3065A3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4" w:hRule="atLeast"/>
        </w:trPr>
        <w:tc>
          <w:tcPr>
            <w:tcW w:w="893" w:type="dxa"/>
            <w:vMerge w:val="continue"/>
            <w:tcBorders>
              <w:top w:val="nil"/>
              <w:bottom w:val="single" w:color="000000" w:sz="2" w:space="0"/>
            </w:tcBorders>
            <w:vAlign w:val="top"/>
          </w:tcPr>
          <w:p w14:paraId="5956B592">
            <w:pPr>
              <w:rPr>
                <w:rFonts w:ascii="Arial"/>
                <w:sz w:val="21"/>
              </w:rPr>
            </w:pPr>
          </w:p>
        </w:tc>
        <w:tc>
          <w:tcPr>
            <w:tcW w:w="2324" w:type="dxa"/>
            <w:vMerge w:val="continue"/>
            <w:tcBorders>
              <w:top w:val="nil"/>
              <w:bottom w:val="single" w:color="000000" w:sz="2" w:space="0"/>
            </w:tcBorders>
            <w:vAlign w:val="top"/>
          </w:tcPr>
          <w:p w14:paraId="053B7A08">
            <w:pPr>
              <w:rPr>
                <w:rFonts w:ascii="Arial"/>
                <w:sz w:val="21"/>
              </w:rPr>
            </w:pPr>
          </w:p>
        </w:tc>
        <w:tc>
          <w:tcPr>
            <w:tcW w:w="220" w:type="dxa"/>
            <w:tcBorders>
              <w:top w:val="single" w:color="000000" w:sz="2" w:space="0"/>
              <w:bottom w:val="single" w:color="000000" w:sz="2" w:space="0"/>
            </w:tcBorders>
            <w:vAlign w:val="top"/>
          </w:tcPr>
          <w:p w14:paraId="32927E87">
            <w:pPr>
              <w:pStyle w:val="6"/>
              <w:spacing w:before="138" w:line="184" w:lineRule="auto"/>
              <w:ind w:left="60"/>
              <w:rPr>
                <w:sz w:val="18"/>
                <w:szCs w:val="18"/>
              </w:rPr>
            </w:pPr>
            <w:r>
              <w:rPr>
                <w:b/>
                <w:bCs/>
                <w:spacing w:val="-2"/>
                <w:sz w:val="18"/>
                <w:szCs w:val="18"/>
              </w:rPr>
              <w:t>A</w:t>
            </w:r>
          </w:p>
        </w:tc>
        <w:tc>
          <w:tcPr>
            <w:tcW w:w="229" w:type="dxa"/>
            <w:tcBorders>
              <w:top w:val="single" w:color="000000" w:sz="2" w:space="0"/>
              <w:bottom w:val="single" w:color="000000" w:sz="2" w:space="0"/>
            </w:tcBorders>
            <w:vAlign w:val="top"/>
          </w:tcPr>
          <w:p w14:paraId="1DD73BDC">
            <w:pPr>
              <w:pStyle w:val="6"/>
              <w:spacing w:before="140" w:line="182" w:lineRule="auto"/>
              <w:ind w:left="70"/>
              <w:rPr>
                <w:sz w:val="18"/>
                <w:szCs w:val="18"/>
              </w:rPr>
            </w:pPr>
            <w:r>
              <w:rPr>
                <w:b/>
                <w:bCs/>
                <w:spacing w:val="-2"/>
                <w:sz w:val="18"/>
                <w:szCs w:val="18"/>
              </w:rPr>
              <w:t>B</w:t>
            </w:r>
          </w:p>
        </w:tc>
        <w:tc>
          <w:tcPr>
            <w:tcW w:w="229" w:type="dxa"/>
            <w:tcBorders>
              <w:top w:val="single" w:color="000000" w:sz="2" w:space="0"/>
              <w:bottom w:val="single" w:color="000000" w:sz="2" w:space="0"/>
            </w:tcBorders>
            <w:vAlign w:val="top"/>
          </w:tcPr>
          <w:p w14:paraId="0785F3EC">
            <w:pPr>
              <w:pStyle w:val="6"/>
              <w:spacing w:before="138" w:line="183" w:lineRule="auto"/>
              <w:ind w:left="51"/>
              <w:rPr>
                <w:sz w:val="18"/>
                <w:szCs w:val="18"/>
              </w:rPr>
            </w:pPr>
            <w:r>
              <w:rPr>
                <w:b/>
                <w:bCs/>
                <w:spacing w:val="-2"/>
                <w:sz w:val="18"/>
                <w:szCs w:val="18"/>
              </w:rPr>
              <w:t>C</w:t>
            </w:r>
          </w:p>
        </w:tc>
        <w:tc>
          <w:tcPr>
            <w:tcW w:w="214" w:type="dxa"/>
            <w:tcBorders>
              <w:top w:val="single" w:color="000000" w:sz="2" w:space="0"/>
              <w:bottom w:val="single" w:color="000000" w:sz="2" w:space="0"/>
            </w:tcBorders>
            <w:vAlign w:val="top"/>
          </w:tcPr>
          <w:p w14:paraId="2ACAF9C2">
            <w:pPr>
              <w:pStyle w:val="6"/>
              <w:spacing w:before="140" w:line="182" w:lineRule="auto"/>
              <w:ind w:left="22"/>
              <w:rPr>
                <w:sz w:val="18"/>
                <w:szCs w:val="18"/>
              </w:rPr>
            </w:pPr>
            <w:r>
              <w:rPr>
                <w:b/>
                <w:bCs/>
                <w:spacing w:val="-2"/>
                <w:sz w:val="18"/>
                <w:szCs w:val="18"/>
              </w:rPr>
              <w:t>D</w:t>
            </w:r>
          </w:p>
        </w:tc>
      </w:tr>
      <w:tr w14:paraId="712145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4" w:hRule="atLeast"/>
        </w:trPr>
        <w:tc>
          <w:tcPr>
            <w:tcW w:w="893" w:type="dxa"/>
            <w:vMerge w:val="restart"/>
            <w:tcBorders>
              <w:top w:val="single" w:color="000000" w:sz="2" w:space="0"/>
              <w:bottom w:val="nil"/>
            </w:tcBorders>
            <w:vAlign w:val="top"/>
          </w:tcPr>
          <w:p w14:paraId="0F9C8AAF">
            <w:pPr>
              <w:pStyle w:val="6"/>
              <w:spacing w:before="293" w:line="219" w:lineRule="auto"/>
              <w:ind w:left="74"/>
              <w:rPr>
                <w:sz w:val="18"/>
                <w:szCs w:val="18"/>
              </w:rPr>
            </w:pPr>
            <w:r>
              <w:rPr>
                <w:spacing w:val="1"/>
                <w:sz w:val="18"/>
                <w:szCs w:val="18"/>
              </w:rPr>
              <w:t>能量代谢</w:t>
            </w:r>
          </w:p>
        </w:tc>
        <w:tc>
          <w:tcPr>
            <w:tcW w:w="2324" w:type="dxa"/>
            <w:vMerge w:val="restart"/>
            <w:tcBorders>
              <w:top w:val="single" w:color="000000" w:sz="2" w:space="0"/>
              <w:bottom w:val="nil"/>
            </w:tcBorders>
            <w:vAlign w:val="top"/>
          </w:tcPr>
          <w:p w14:paraId="4F79977F">
            <w:pPr>
              <w:pStyle w:val="6"/>
              <w:spacing w:before="84" w:line="219" w:lineRule="auto"/>
              <w:ind w:left="12"/>
              <w:rPr>
                <w:sz w:val="18"/>
                <w:szCs w:val="18"/>
              </w:rPr>
            </w:pPr>
            <w:r>
              <w:rPr>
                <w:sz w:val="18"/>
                <w:szCs w:val="18"/>
              </w:rPr>
              <w:t>1.影响能量代谢的因素</w:t>
            </w:r>
          </w:p>
          <w:p w14:paraId="5FB72D6D">
            <w:pPr>
              <w:pStyle w:val="6"/>
              <w:spacing w:before="16" w:line="225" w:lineRule="auto"/>
              <w:ind w:left="12" w:right="151"/>
              <w:rPr>
                <w:sz w:val="18"/>
                <w:szCs w:val="18"/>
              </w:rPr>
            </w:pPr>
            <w:r>
              <w:rPr>
                <w:spacing w:val="-1"/>
                <w:sz w:val="18"/>
                <w:szCs w:val="18"/>
              </w:rPr>
              <w:t>2.基础代谢率的概念、正常</w:t>
            </w:r>
            <w:r>
              <w:rPr>
                <w:spacing w:val="2"/>
                <w:sz w:val="18"/>
                <w:szCs w:val="18"/>
              </w:rPr>
              <w:t xml:space="preserve"> </w:t>
            </w:r>
            <w:r>
              <w:rPr>
                <w:spacing w:val="-1"/>
                <w:sz w:val="18"/>
                <w:szCs w:val="18"/>
              </w:rPr>
              <w:t>值和生理意义</w:t>
            </w:r>
          </w:p>
        </w:tc>
        <w:tc>
          <w:tcPr>
            <w:tcW w:w="220" w:type="dxa"/>
            <w:tcBorders>
              <w:top w:val="single" w:color="000000" w:sz="2" w:space="0"/>
              <w:bottom w:val="single" w:color="000000" w:sz="2" w:space="0"/>
            </w:tcBorders>
            <w:vAlign w:val="top"/>
          </w:tcPr>
          <w:p w14:paraId="50CA0CCA">
            <w:pPr>
              <w:rPr>
                <w:rFonts w:ascii="Arial"/>
                <w:sz w:val="21"/>
              </w:rPr>
            </w:pPr>
          </w:p>
        </w:tc>
        <w:tc>
          <w:tcPr>
            <w:tcW w:w="229" w:type="dxa"/>
            <w:tcBorders>
              <w:top w:val="single" w:color="000000" w:sz="2" w:space="0"/>
              <w:bottom w:val="single" w:color="000000" w:sz="2" w:space="0"/>
            </w:tcBorders>
            <w:vAlign w:val="top"/>
          </w:tcPr>
          <w:p w14:paraId="4631944A">
            <w:pPr>
              <w:pStyle w:val="6"/>
              <w:spacing w:before="134" w:line="238" w:lineRule="auto"/>
              <w:ind w:left="47"/>
              <w:rPr>
                <w:sz w:val="13"/>
                <w:szCs w:val="13"/>
              </w:rPr>
            </w:pPr>
            <w:r>
              <w:rPr>
                <w:sz w:val="13"/>
                <w:szCs w:val="13"/>
              </w:rPr>
              <w:t>√</w:t>
            </w:r>
          </w:p>
        </w:tc>
        <w:tc>
          <w:tcPr>
            <w:tcW w:w="229" w:type="dxa"/>
            <w:tcBorders>
              <w:top w:val="single" w:color="000000" w:sz="2" w:space="0"/>
              <w:bottom w:val="single" w:color="000000" w:sz="2" w:space="0"/>
            </w:tcBorders>
            <w:vAlign w:val="top"/>
          </w:tcPr>
          <w:p w14:paraId="72FE13A1">
            <w:pPr>
              <w:rPr>
                <w:rFonts w:ascii="Arial"/>
                <w:sz w:val="21"/>
              </w:rPr>
            </w:pPr>
          </w:p>
        </w:tc>
        <w:tc>
          <w:tcPr>
            <w:tcW w:w="214" w:type="dxa"/>
            <w:tcBorders>
              <w:top w:val="single" w:color="000000" w:sz="2" w:space="0"/>
              <w:bottom w:val="single" w:color="000000" w:sz="2" w:space="0"/>
            </w:tcBorders>
            <w:vAlign w:val="top"/>
          </w:tcPr>
          <w:p w14:paraId="7F95372A">
            <w:pPr>
              <w:rPr>
                <w:rFonts w:ascii="Arial"/>
                <w:sz w:val="21"/>
              </w:rPr>
            </w:pPr>
          </w:p>
        </w:tc>
      </w:tr>
      <w:tr w14:paraId="21DD91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4" w:hRule="atLeast"/>
        </w:trPr>
        <w:tc>
          <w:tcPr>
            <w:tcW w:w="893" w:type="dxa"/>
            <w:vMerge w:val="continue"/>
            <w:tcBorders>
              <w:top w:val="nil"/>
              <w:bottom w:val="single" w:color="000000" w:sz="2" w:space="0"/>
            </w:tcBorders>
            <w:vAlign w:val="top"/>
          </w:tcPr>
          <w:p w14:paraId="0D9492E2">
            <w:pPr>
              <w:rPr>
                <w:rFonts w:ascii="Arial"/>
                <w:sz w:val="21"/>
              </w:rPr>
            </w:pPr>
          </w:p>
        </w:tc>
        <w:tc>
          <w:tcPr>
            <w:tcW w:w="2324" w:type="dxa"/>
            <w:vMerge w:val="continue"/>
            <w:tcBorders>
              <w:top w:val="nil"/>
              <w:bottom w:val="single" w:color="000000" w:sz="2" w:space="0"/>
            </w:tcBorders>
            <w:vAlign w:val="top"/>
          </w:tcPr>
          <w:p w14:paraId="3E78621F">
            <w:pPr>
              <w:rPr>
                <w:rFonts w:ascii="Arial"/>
                <w:sz w:val="21"/>
              </w:rPr>
            </w:pPr>
          </w:p>
        </w:tc>
        <w:tc>
          <w:tcPr>
            <w:tcW w:w="220" w:type="dxa"/>
            <w:tcBorders>
              <w:top w:val="single" w:color="000000" w:sz="2" w:space="0"/>
              <w:bottom w:val="single" w:color="000000" w:sz="2" w:space="0"/>
            </w:tcBorders>
            <w:vAlign w:val="top"/>
          </w:tcPr>
          <w:p w14:paraId="3546A8C7">
            <w:pPr>
              <w:rPr>
                <w:rFonts w:ascii="Arial"/>
                <w:sz w:val="21"/>
              </w:rPr>
            </w:pPr>
          </w:p>
        </w:tc>
        <w:tc>
          <w:tcPr>
            <w:tcW w:w="229" w:type="dxa"/>
            <w:tcBorders>
              <w:top w:val="single" w:color="000000" w:sz="2" w:space="0"/>
              <w:bottom w:val="single" w:color="000000" w:sz="2" w:space="0"/>
            </w:tcBorders>
            <w:vAlign w:val="top"/>
          </w:tcPr>
          <w:p w14:paraId="1A568A30">
            <w:pPr>
              <w:pStyle w:val="6"/>
              <w:spacing w:before="145" w:line="238" w:lineRule="auto"/>
              <w:ind w:left="47"/>
              <w:rPr>
                <w:sz w:val="13"/>
                <w:szCs w:val="13"/>
              </w:rPr>
            </w:pPr>
            <w:r>
              <w:rPr>
                <w:sz w:val="13"/>
                <w:szCs w:val="13"/>
              </w:rPr>
              <w:t>√</w:t>
            </w:r>
          </w:p>
        </w:tc>
        <w:tc>
          <w:tcPr>
            <w:tcW w:w="229" w:type="dxa"/>
            <w:tcBorders>
              <w:top w:val="single" w:color="000000" w:sz="2" w:space="0"/>
              <w:bottom w:val="single" w:color="000000" w:sz="2" w:space="0"/>
            </w:tcBorders>
            <w:vAlign w:val="top"/>
          </w:tcPr>
          <w:p w14:paraId="615C0306">
            <w:pPr>
              <w:rPr>
                <w:rFonts w:ascii="Arial"/>
                <w:sz w:val="21"/>
              </w:rPr>
            </w:pPr>
          </w:p>
        </w:tc>
        <w:tc>
          <w:tcPr>
            <w:tcW w:w="214" w:type="dxa"/>
            <w:tcBorders>
              <w:top w:val="single" w:color="000000" w:sz="2" w:space="0"/>
              <w:bottom w:val="single" w:color="000000" w:sz="2" w:space="0"/>
            </w:tcBorders>
            <w:vAlign w:val="top"/>
          </w:tcPr>
          <w:p w14:paraId="5160BEDE">
            <w:pPr>
              <w:rPr>
                <w:rFonts w:ascii="Arial"/>
                <w:sz w:val="21"/>
              </w:rPr>
            </w:pPr>
          </w:p>
        </w:tc>
      </w:tr>
      <w:tr w14:paraId="577DF2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4" w:hRule="atLeast"/>
        </w:trPr>
        <w:tc>
          <w:tcPr>
            <w:tcW w:w="893" w:type="dxa"/>
            <w:vMerge w:val="restart"/>
            <w:tcBorders>
              <w:top w:val="single" w:color="000000" w:sz="2" w:space="0"/>
              <w:bottom w:val="nil"/>
            </w:tcBorders>
            <w:vAlign w:val="top"/>
          </w:tcPr>
          <w:p w14:paraId="49F068F4">
            <w:pPr>
              <w:spacing w:line="257" w:lineRule="auto"/>
              <w:rPr>
                <w:rFonts w:ascii="Arial"/>
                <w:sz w:val="21"/>
              </w:rPr>
            </w:pPr>
          </w:p>
          <w:p w14:paraId="40453241">
            <w:pPr>
              <w:spacing w:line="257" w:lineRule="auto"/>
              <w:rPr>
                <w:rFonts w:ascii="Arial"/>
                <w:sz w:val="21"/>
              </w:rPr>
            </w:pPr>
          </w:p>
          <w:p w14:paraId="3FD177EF">
            <w:pPr>
              <w:pStyle w:val="6"/>
              <w:spacing w:before="59" w:line="221" w:lineRule="auto"/>
              <w:ind w:left="254"/>
              <w:rPr>
                <w:sz w:val="18"/>
                <w:szCs w:val="18"/>
              </w:rPr>
            </w:pPr>
            <w:r>
              <w:rPr>
                <w:spacing w:val="-2"/>
                <w:sz w:val="18"/>
                <w:szCs w:val="18"/>
              </w:rPr>
              <w:t>体温</w:t>
            </w:r>
          </w:p>
        </w:tc>
        <w:tc>
          <w:tcPr>
            <w:tcW w:w="2324" w:type="dxa"/>
            <w:vMerge w:val="restart"/>
            <w:tcBorders>
              <w:top w:val="single" w:color="000000" w:sz="2" w:space="0"/>
              <w:bottom w:val="nil"/>
            </w:tcBorders>
            <w:vAlign w:val="top"/>
          </w:tcPr>
          <w:p w14:paraId="16002BAD">
            <w:pPr>
              <w:pStyle w:val="6"/>
              <w:spacing w:before="34" w:line="226" w:lineRule="auto"/>
              <w:ind w:left="12" w:right="133"/>
              <w:rPr>
                <w:sz w:val="18"/>
                <w:szCs w:val="18"/>
              </w:rPr>
            </w:pPr>
            <w:r>
              <w:rPr>
                <w:sz w:val="18"/>
                <w:szCs w:val="18"/>
              </w:rPr>
              <w:t>1.体温的概念、正常值及生</w:t>
            </w:r>
            <w:r>
              <w:rPr>
                <w:spacing w:val="7"/>
                <w:sz w:val="18"/>
                <w:szCs w:val="18"/>
              </w:rPr>
              <w:t xml:space="preserve"> </w:t>
            </w:r>
            <w:r>
              <w:rPr>
                <w:spacing w:val="3"/>
                <w:sz w:val="18"/>
                <w:szCs w:val="18"/>
              </w:rPr>
              <w:t>理变异</w:t>
            </w:r>
          </w:p>
          <w:p w14:paraId="5595E39B">
            <w:pPr>
              <w:pStyle w:val="6"/>
              <w:spacing w:line="218" w:lineRule="auto"/>
              <w:ind w:left="12" w:right="151"/>
              <w:rPr>
                <w:sz w:val="18"/>
                <w:szCs w:val="18"/>
              </w:rPr>
            </w:pPr>
            <w:r>
              <w:rPr>
                <w:spacing w:val="-1"/>
                <w:sz w:val="18"/>
                <w:szCs w:val="18"/>
              </w:rPr>
              <w:t>2.临床上对高热病人的降温</w:t>
            </w:r>
            <w:r>
              <w:rPr>
                <w:spacing w:val="2"/>
                <w:sz w:val="18"/>
                <w:szCs w:val="18"/>
              </w:rPr>
              <w:t xml:space="preserve"> </w:t>
            </w:r>
            <w:r>
              <w:rPr>
                <w:spacing w:val="-2"/>
                <w:sz w:val="18"/>
                <w:szCs w:val="18"/>
              </w:rPr>
              <w:t>措施</w:t>
            </w:r>
          </w:p>
          <w:p w14:paraId="723F44D4">
            <w:pPr>
              <w:pStyle w:val="6"/>
              <w:spacing w:before="24" w:line="196" w:lineRule="auto"/>
              <w:ind w:left="12" w:right="128"/>
              <w:rPr>
                <w:sz w:val="18"/>
                <w:szCs w:val="18"/>
              </w:rPr>
            </w:pPr>
            <w:r>
              <w:rPr>
                <w:spacing w:val="1"/>
                <w:sz w:val="18"/>
                <w:szCs w:val="18"/>
              </w:rPr>
              <w:t>3.体温调节中枢、调定点的</w:t>
            </w:r>
            <w:r>
              <w:rPr>
                <w:sz w:val="18"/>
                <w:szCs w:val="18"/>
              </w:rPr>
              <w:t xml:space="preserve"> </w:t>
            </w:r>
            <w:r>
              <w:rPr>
                <w:spacing w:val="-2"/>
                <w:sz w:val="18"/>
                <w:szCs w:val="18"/>
              </w:rPr>
              <w:t>概念</w:t>
            </w:r>
          </w:p>
        </w:tc>
        <w:tc>
          <w:tcPr>
            <w:tcW w:w="220" w:type="dxa"/>
            <w:tcBorders>
              <w:top w:val="single" w:color="000000" w:sz="2" w:space="0"/>
              <w:bottom w:val="single" w:color="000000" w:sz="2" w:space="0"/>
            </w:tcBorders>
            <w:vAlign w:val="top"/>
          </w:tcPr>
          <w:p w14:paraId="51DE44CD">
            <w:pPr>
              <w:pStyle w:val="6"/>
              <w:spacing w:before="146" w:line="238" w:lineRule="auto"/>
              <w:ind w:left="38"/>
              <w:rPr>
                <w:sz w:val="13"/>
                <w:szCs w:val="13"/>
              </w:rPr>
            </w:pPr>
            <w:r>
              <w:rPr>
                <w:sz w:val="13"/>
                <w:szCs w:val="13"/>
              </w:rPr>
              <w:t>√</w:t>
            </w:r>
          </w:p>
        </w:tc>
        <w:tc>
          <w:tcPr>
            <w:tcW w:w="229" w:type="dxa"/>
            <w:tcBorders>
              <w:top w:val="single" w:color="000000" w:sz="2" w:space="0"/>
              <w:bottom w:val="single" w:color="000000" w:sz="2" w:space="0"/>
            </w:tcBorders>
            <w:vAlign w:val="top"/>
          </w:tcPr>
          <w:p w14:paraId="00DAED52">
            <w:pPr>
              <w:rPr>
                <w:rFonts w:ascii="Arial"/>
                <w:sz w:val="21"/>
              </w:rPr>
            </w:pPr>
          </w:p>
        </w:tc>
        <w:tc>
          <w:tcPr>
            <w:tcW w:w="229" w:type="dxa"/>
            <w:tcBorders>
              <w:top w:val="single" w:color="000000" w:sz="2" w:space="0"/>
              <w:bottom w:val="single" w:color="000000" w:sz="2" w:space="0"/>
            </w:tcBorders>
            <w:vAlign w:val="top"/>
          </w:tcPr>
          <w:p w14:paraId="4C45E05B">
            <w:pPr>
              <w:rPr>
                <w:rFonts w:ascii="Arial"/>
                <w:sz w:val="21"/>
              </w:rPr>
            </w:pPr>
          </w:p>
        </w:tc>
        <w:tc>
          <w:tcPr>
            <w:tcW w:w="214" w:type="dxa"/>
            <w:tcBorders>
              <w:top w:val="single" w:color="000000" w:sz="2" w:space="0"/>
              <w:bottom w:val="single" w:color="000000" w:sz="2" w:space="0"/>
            </w:tcBorders>
            <w:vAlign w:val="top"/>
          </w:tcPr>
          <w:p w14:paraId="46FB81A6">
            <w:pPr>
              <w:rPr>
                <w:rFonts w:ascii="Arial"/>
                <w:sz w:val="21"/>
              </w:rPr>
            </w:pPr>
          </w:p>
        </w:tc>
      </w:tr>
      <w:tr w14:paraId="1DC54D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4" w:hRule="atLeast"/>
        </w:trPr>
        <w:tc>
          <w:tcPr>
            <w:tcW w:w="893" w:type="dxa"/>
            <w:vMerge w:val="continue"/>
            <w:tcBorders>
              <w:top w:val="nil"/>
              <w:bottom w:val="nil"/>
            </w:tcBorders>
            <w:vAlign w:val="top"/>
          </w:tcPr>
          <w:p w14:paraId="008715E0">
            <w:pPr>
              <w:rPr>
                <w:rFonts w:ascii="Arial"/>
                <w:sz w:val="21"/>
              </w:rPr>
            </w:pPr>
          </w:p>
        </w:tc>
        <w:tc>
          <w:tcPr>
            <w:tcW w:w="2324" w:type="dxa"/>
            <w:vMerge w:val="continue"/>
            <w:tcBorders>
              <w:top w:val="nil"/>
              <w:bottom w:val="nil"/>
            </w:tcBorders>
            <w:vAlign w:val="top"/>
          </w:tcPr>
          <w:p w14:paraId="58BA4339">
            <w:pPr>
              <w:rPr>
                <w:rFonts w:ascii="Arial"/>
                <w:sz w:val="21"/>
              </w:rPr>
            </w:pPr>
          </w:p>
        </w:tc>
        <w:tc>
          <w:tcPr>
            <w:tcW w:w="220" w:type="dxa"/>
            <w:tcBorders>
              <w:top w:val="single" w:color="000000" w:sz="2" w:space="0"/>
              <w:bottom w:val="single" w:color="000000" w:sz="2" w:space="0"/>
            </w:tcBorders>
            <w:vAlign w:val="top"/>
          </w:tcPr>
          <w:p w14:paraId="090729D2">
            <w:pPr>
              <w:rPr>
                <w:rFonts w:ascii="Arial"/>
                <w:sz w:val="21"/>
              </w:rPr>
            </w:pPr>
          </w:p>
        </w:tc>
        <w:tc>
          <w:tcPr>
            <w:tcW w:w="229" w:type="dxa"/>
            <w:tcBorders>
              <w:top w:val="single" w:color="000000" w:sz="2" w:space="0"/>
              <w:bottom w:val="single" w:color="000000" w:sz="2" w:space="0"/>
            </w:tcBorders>
            <w:vAlign w:val="top"/>
          </w:tcPr>
          <w:p w14:paraId="0DAFA9A4">
            <w:pPr>
              <w:pStyle w:val="6"/>
              <w:spacing w:before="147" w:line="238" w:lineRule="auto"/>
              <w:ind w:left="47"/>
              <w:rPr>
                <w:sz w:val="13"/>
                <w:szCs w:val="13"/>
              </w:rPr>
            </w:pPr>
            <w:r>
              <w:rPr>
                <w:sz w:val="13"/>
                <w:szCs w:val="13"/>
              </w:rPr>
              <w:t>√</w:t>
            </w:r>
          </w:p>
        </w:tc>
        <w:tc>
          <w:tcPr>
            <w:tcW w:w="229" w:type="dxa"/>
            <w:tcBorders>
              <w:top w:val="single" w:color="000000" w:sz="2" w:space="0"/>
              <w:bottom w:val="single" w:color="000000" w:sz="2" w:space="0"/>
            </w:tcBorders>
            <w:vAlign w:val="top"/>
          </w:tcPr>
          <w:p w14:paraId="24B5B02E">
            <w:pPr>
              <w:rPr>
                <w:rFonts w:ascii="Arial"/>
                <w:sz w:val="21"/>
              </w:rPr>
            </w:pPr>
          </w:p>
        </w:tc>
        <w:tc>
          <w:tcPr>
            <w:tcW w:w="214" w:type="dxa"/>
            <w:tcBorders>
              <w:top w:val="single" w:color="000000" w:sz="2" w:space="0"/>
              <w:bottom w:val="single" w:color="000000" w:sz="2" w:space="0"/>
            </w:tcBorders>
            <w:vAlign w:val="top"/>
          </w:tcPr>
          <w:p w14:paraId="761ABF28">
            <w:pPr>
              <w:rPr>
                <w:rFonts w:ascii="Arial"/>
                <w:sz w:val="21"/>
              </w:rPr>
            </w:pPr>
          </w:p>
        </w:tc>
      </w:tr>
      <w:tr w14:paraId="2425B0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9" w:hRule="atLeast"/>
        </w:trPr>
        <w:tc>
          <w:tcPr>
            <w:tcW w:w="893" w:type="dxa"/>
            <w:vMerge w:val="continue"/>
            <w:tcBorders>
              <w:top w:val="nil"/>
              <w:bottom w:val="single" w:color="000000" w:sz="2" w:space="0"/>
            </w:tcBorders>
            <w:vAlign w:val="top"/>
          </w:tcPr>
          <w:p w14:paraId="6D772FCE">
            <w:pPr>
              <w:rPr>
                <w:rFonts w:ascii="Arial"/>
                <w:sz w:val="21"/>
              </w:rPr>
            </w:pPr>
          </w:p>
        </w:tc>
        <w:tc>
          <w:tcPr>
            <w:tcW w:w="2324" w:type="dxa"/>
            <w:vMerge w:val="continue"/>
            <w:tcBorders>
              <w:top w:val="nil"/>
              <w:bottom w:val="single" w:color="000000" w:sz="2" w:space="0"/>
            </w:tcBorders>
            <w:vAlign w:val="top"/>
          </w:tcPr>
          <w:p w14:paraId="5CFD34BA">
            <w:pPr>
              <w:rPr>
                <w:rFonts w:ascii="Arial"/>
                <w:sz w:val="21"/>
              </w:rPr>
            </w:pPr>
          </w:p>
        </w:tc>
        <w:tc>
          <w:tcPr>
            <w:tcW w:w="220" w:type="dxa"/>
            <w:tcBorders>
              <w:top w:val="single" w:color="000000" w:sz="2" w:space="0"/>
              <w:bottom w:val="single" w:color="000000" w:sz="2" w:space="0"/>
            </w:tcBorders>
            <w:vAlign w:val="top"/>
          </w:tcPr>
          <w:p w14:paraId="5B359045">
            <w:pPr>
              <w:pStyle w:val="6"/>
              <w:spacing w:before="218" w:line="238" w:lineRule="auto"/>
              <w:ind w:left="38"/>
              <w:rPr>
                <w:sz w:val="13"/>
                <w:szCs w:val="13"/>
              </w:rPr>
            </w:pPr>
            <w:r>
              <w:rPr>
                <w:sz w:val="13"/>
                <w:szCs w:val="13"/>
              </w:rPr>
              <w:t>√</w:t>
            </w:r>
          </w:p>
        </w:tc>
        <w:tc>
          <w:tcPr>
            <w:tcW w:w="229" w:type="dxa"/>
            <w:tcBorders>
              <w:top w:val="single" w:color="000000" w:sz="2" w:space="0"/>
              <w:bottom w:val="single" w:color="000000" w:sz="2" w:space="0"/>
            </w:tcBorders>
            <w:vAlign w:val="top"/>
          </w:tcPr>
          <w:p w14:paraId="42A9324A">
            <w:pPr>
              <w:rPr>
                <w:rFonts w:ascii="Arial"/>
                <w:sz w:val="21"/>
              </w:rPr>
            </w:pPr>
          </w:p>
        </w:tc>
        <w:tc>
          <w:tcPr>
            <w:tcW w:w="229" w:type="dxa"/>
            <w:tcBorders>
              <w:top w:val="single" w:color="000000" w:sz="2" w:space="0"/>
              <w:bottom w:val="single" w:color="000000" w:sz="2" w:space="0"/>
            </w:tcBorders>
            <w:vAlign w:val="top"/>
          </w:tcPr>
          <w:p w14:paraId="76CB2047">
            <w:pPr>
              <w:rPr>
                <w:rFonts w:ascii="Arial"/>
                <w:sz w:val="21"/>
              </w:rPr>
            </w:pPr>
          </w:p>
        </w:tc>
        <w:tc>
          <w:tcPr>
            <w:tcW w:w="214" w:type="dxa"/>
            <w:tcBorders>
              <w:top w:val="single" w:color="000000" w:sz="2" w:space="0"/>
              <w:bottom w:val="single" w:color="000000" w:sz="2" w:space="0"/>
            </w:tcBorders>
            <w:vAlign w:val="top"/>
          </w:tcPr>
          <w:p w14:paraId="5E94C248">
            <w:pPr>
              <w:rPr>
                <w:rFonts w:ascii="Arial"/>
                <w:sz w:val="21"/>
              </w:rPr>
            </w:pPr>
          </w:p>
        </w:tc>
      </w:tr>
    </w:tbl>
    <w:p w14:paraId="3246B388">
      <w:pPr>
        <w:pStyle w:val="2"/>
        <w:spacing w:line="14" w:lineRule="auto"/>
        <w:rPr>
          <w:sz w:val="2"/>
        </w:rPr>
      </w:pPr>
    </w:p>
    <w:p w14:paraId="4303B7A3">
      <w:pPr>
        <w:spacing w:line="14" w:lineRule="auto"/>
        <w:rPr>
          <w:sz w:val="2"/>
          <w:szCs w:val="2"/>
        </w:rPr>
        <w:sectPr>
          <w:type w:val="continuous"/>
          <w:pgSz w:w="10660" w:h="15080"/>
          <w:pgMar w:top="400" w:right="1034" w:bottom="925" w:left="819" w:header="0" w:footer="705" w:gutter="0"/>
          <w:cols w:equalWidth="0" w:num="2">
            <w:col w:w="4566" w:space="100"/>
            <w:col w:w="4141"/>
          </w:cols>
        </w:sectPr>
      </w:pPr>
    </w:p>
    <w:p w14:paraId="6016940B">
      <w:pPr>
        <w:spacing w:before="10"/>
      </w:pPr>
    </w:p>
    <w:p w14:paraId="7C4924A5">
      <w:pPr>
        <w:spacing w:before="10"/>
      </w:pPr>
    </w:p>
    <w:p w14:paraId="501F1BE8">
      <w:pPr>
        <w:spacing w:before="9"/>
      </w:pPr>
    </w:p>
    <w:p w14:paraId="3D081034">
      <w:pPr>
        <w:spacing w:before="9"/>
      </w:pPr>
    </w:p>
    <w:p w14:paraId="4108A81E">
      <w:pPr>
        <w:sectPr>
          <w:footerReference r:id="rId71" w:type="default"/>
          <w:pgSz w:w="10660" w:h="15080"/>
          <w:pgMar w:top="400" w:right="885" w:bottom="925" w:left="1034" w:header="0" w:footer="705" w:gutter="0"/>
          <w:cols w:equalWidth="0" w:num="1">
            <w:col w:w="8740"/>
          </w:cols>
        </w:sectPr>
      </w:pPr>
    </w:p>
    <w:p w14:paraId="25EC8DE0">
      <w:pPr>
        <w:spacing w:line="221" w:lineRule="auto"/>
        <w:ind w:left="1287"/>
        <w:rPr>
          <w:rFonts w:ascii="黑体" w:hAnsi="黑体" w:eastAsia="黑体" w:cs="黑体"/>
          <w:sz w:val="20"/>
          <w:szCs w:val="20"/>
        </w:rPr>
      </w:pPr>
      <w:bookmarkStart w:id="42" w:name="bookmark36"/>
      <w:bookmarkEnd w:id="42"/>
      <w:r>
        <w:rPr>
          <w:rFonts w:ascii="黑体" w:hAnsi="黑体" w:eastAsia="黑体" w:cs="黑体"/>
          <w:b/>
          <w:bCs/>
          <w:spacing w:val="-12"/>
          <w:sz w:val="20"/>
          <w:szCs w:val="20"/>
        </w:rPr>
        <w:t>第八章</w:t>
      </w:r>
      <w:r>
        <w:rPr>
          <w:rFonts w:ascii="黑体" w:hAnsi="黑体" w:eastAsia="黑体" w:cs="黑体"/>
          <w:spacing w:val="15"/>
          <w:sz w:val="20"/>
          <w:szCs w:val="20"/>
        </w:rPr>
        <w:t xml:space="preserve">  </w:t>
      </w:r>
      <w:r>
        <w:rPr>
          <w:rFonts w:ascii="黑体" w:hAnsi="黑体" w:eastAsia="黑体" w:cs="黑体"/>
          <w:b/>
          <w:bCs/>
          <w:spacing w:val="-12"/>
          <w:sz w:val="20"/>
          <w:szCs w:val="20"/>
        </w:rPr>
        <w:t>肾的排泄</w:t>
      </w:r>
    </w:p>
    <w:p w14:paraId="2CFB81F3">
      <w:pPr>
        <w:spacing w:line="90" w:lineRule="exact"/>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03"/>
        <w:gridCol w:w="2314"/>
        <w:gridCol w:w="219"/>
        <w:gridCol w:w="220"/>
        <w:gridCol w:w="229"/>
        <w:gridCol w:w="234"/>
      </w:tblGrid>
      <w:tr w14:paraId="07BDF6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4" w:hRule="atLeast"/>
        </w:trPr>
        <w:tc>
          <w:tcPr>
            <w:tcW w:w="903" w:type="dxa"/>
            <w:vMerge w:val="restart"/>
            <w:tcBorders>
              <w:bottom w:val="nil"/>
            </w:tcBorders>
            <w:vAlign w:val="top"/>
          </w:tcPr>
          <w:p w14:paraId="060095D6">
            <w:pPr>
              <w:pStyle w:val="6"/>
              <w:spacing w:before="160" w:line="220" w:lineRule="auto"/>
              <w:ind w:left="263" w:hanging="246"/>
              <w:rPr>
                <w:sz w:val="18"/>
                <w:szCs w:val="18"/>
              </w:rPr>
            </w:pPr>
            <w:r>
              <w:rPr>
                <w:b/>
                <w:bCs/>
                <w:spacing w:val="-7"/>
                <w:sz w:val="18"/>
                <w:szCs w:val="18"/>
              </w:rPr>
              <w:t>知识与技能</w:t>
            </w:r>
            <w:r>
              <w:rPr>
                <w:sz w:val="18"/>
                <w:szCs w:val="18"/>
              </w:rPr>
              <w:t xml:space="preserve"> </w:t>
            </w:r>
            <w:r>
              <w:rPr>
                <w:b/>
                <w:bCs/>
                <w:spacing w:val="-6"/>
                <w:sz w:val="18"/>
                <w:szCs w:val="18"/>
              </w:rPr>
              <w:t>要点</w:t>
            </w:r>
          </w:p>
        </w:tc>
        <w:tc>
          <w:tcPr>
            <w:tcW w:w="2314" w:type="dxa"/>
            <w:vMerge w:val="restart"/>
            <w:tcBorders>
              <w:bottom w:val="nil"/>
            </w:tcBorders>
            <w:vAlign w:val="top"/>
          </w:tcPr>
          <w:p w14:paraId="5C0BBE38">
            <w:pPr>
              <w:pStyle w:val="6"/>
              <w:spacing w:before="270" w:line="219" w:lineRule="auto"/>
              <w:ind w:left="844"/>
              <w:rPr>
                <w:sz w:val="18"/>
                <w:szCs w:val="18"/>
              </w:rPr>
            </w:pPr>
            <w:r>
              <w:rPr>
                <w:b/>
                <w:bCs/>
                <w:spacing w:val="5"/>
                <w:sz w:val="18"/>
                <w:szCs w:val="18"/>
              </w:rPr>
              <w:t>考试条目</w:t>
            </w:r>
          </w:p>
        </w:tc>
        <w:tc>
          <w:tcPr>
            <w:tcW w:w="902" w:type="dxa"/>
            <w:gridSpan w:val="4"/>
            <w:vAlign w:val="top"/>
          </w:tcPr>
          <w:p w14:paraId="19043DEE">
            <w:pPr>
              <w:pStyle w:val="6"/>
              <w:spacing w:before="90" w:line="219" w:lineRule="auto"/>
              <w:ind w:left="120"/>
              <w:rPr>
                <w:sz w:val="18"/>
                <w:szCs w:val="18"/>
              </w:rPr>
            </w:pPr>
            <w:r>
              <w:rPr>
                <w:b/>
                <w:bCs/>
                <w:spacing w:val="-4"/>
                <w:sz w:val="18"/>
                <w:szCs w:val="18"/>
              </w:rPr>
              <w:t>考试水平</w:t>
            </w:r>
          </w:p>
        </w:tc>
      </w:tr>
      <w:tr w14:paraId="2B4C2B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9" w:hRule="atLeast"/>
        </w:trPr>
        <w:tc>
          <w:tcPr>
            <w:tcW w:w="903" w:type="dxa"/>
            <w:vMerge w:val="continue"/>
            <w:tcBorders>
              <w:top w:val="nil"/>
            </w:tcBorders>
            <w:vAlign w:val="top"/>
          </w:tcPr>
          <w:p w14:paraId="1EC5B74F">
            <w:pPr>
              <w:rPr>
                <w:rFonts w:ascii="Arial"/>
                <w:sz w:val="21"/>
              </w:rPr>
            </w:pPr>
          </w:p>
        </w:tc>
        <w:tc>
          <w:tcPr>
            <w:tcW w:w="2314" w:type="dxa"/>
            <w:vMerge w:val="continue"/>
            <w:tcBorders>
              <w:top w:val="nil"/>
            </w:tcBorders>
            <w:vAlign w:val="top"/>
          </w:tcPr>
          <w:p w14:paraId="07DFF43C">
            <w:pPr>
              <w:rPr>
                <w:rFonts w:ascii="Arial"/>
                <w:sz w:val="21"/>
              </w:rPr>
            </w:pPr>
          </w:p>
        </w:tc>
        <w:tc>
          <w:tcPr>
            <w:tcW w:w="219" w:type="dxa"/>
            <w:vAlign w:val="top"/>
          </w:tcPr>
          <w:p w14:paraId="2680965E">
            <w:pPr>
              <w:pStyle w:val="6"/>
              <w:spacing w:before="133" w:line="184" w:lineRule="auto"/>
              <w:ind w:left="60"/>
              <w:rPr>
                <w:sz w:val="18"/>
                <w:szCs w:val="18"/>
              </w:rPr>
            </w:pPr>
            <w:r>
              <w:rPr>
                <w:b/>
                <w:bCs/>
                <w:spacing w:val="-2"/>
                <w:sz w:val="18"/>
                <w:szCs w:val="18"/>
              </w:rPr>
              <w:t>A</w:t>
            </w:r>
          </w:p>
        </w:tc>
        <w:tc>
          <w:tcPr>
            <w:tcW w:w="220" w:type="dxa"/>
            <w:vAlign w:val="top"/>
          </w:tcPr>
          <w:p w14:paraId="28095D54">
            <w:pPr>
              <w:pStyle w:val="6"/>
              <w:spacing w:before="135" w:line="182" w:lineRule="auto"/>
              <w:ind w:left="61"/>
              <w:rPr>
                <w:sz w:val="18"/>
                <w:szCs w:val="18"/>
              </w:rPr>
            </w:pPr>
            <w:r>
              <w:rPr>
                <w:b/>
                <w:bCs/>
                <w:spacing w:val="-2"/>
                <w:sz w:val="18"/>
                <w:szCs w:val="18"/>
              </w:rPr>
              <w:t>B</w:t>
            </w:r>
          </w:p>
        </w:tc>
        <w:tc>
          <w:tcPr>
            <w:tcW w:w="229" w:type="dxa"/>
            <w:vAlign w:val="top"/>
          </w:tcPr>
          <w:p w14:paraId="302BBC5F">
            <w:pPr>
              <w:pStyle w:val="6"/>
              <w:spacing w:before="133" w:line="183" w:lineRule="auto"/>
              <w:ind w:left="71"/>
              <w:rPr>
                <w:sz w:val="18"/>
                <w:szCs w:val="18"/>
              </w:rPr>
            </w:pPr>
            <w:r>
              <w:rPr>
                <w:b/>
                <w:bCs/>
                <w:spacing w:val="-2"/>
                <w:sz w:val="18"/>
                <w:szCs w:val="18"/>
              </w:rPr>
              <w:t>C</w:t>
            </w:r>
          </w:p>
        </w:tc>
        <w:tc>
          <w:tcPr>
            <w:tcW w:w="234" w:type="dxa"/>
            <w:vAlign w:val="top"/>
          </w:tcPr>
          <w:p w14:paraId="2632D31E">
            <w:pPr>
              <w:pStyle w:val="6"/>
              <w:spacing w:before="135" w:line="182" w:lineRule="auto"/>
              <w:ind w:left="52"/>
              <w:rPr>
                <w:sz w:val="18"/>
                <w:szCs w:val="18"/>
              </w:rPr>
            </w:pPr>
            <w:r>
              <w:rPr>
                <w:b/>
                <w:bCs/>
                <w:spacing w:val="-2"/>
                <w:sz w:val="18"/>
                <w:szCs w:val="18"/>
              </w:rPr>
              <w:t>D</w:t>
            </w:r>
          </w:p>
        </w:tc>
      </w:tr>
      <w:tr w14:paraId="78B660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0" w:hRule="atLeast"/>
        </w:trPr>
        <w:tc>
          <w:tcPr>
            <w:tcW w:w="903" w:type="dxa"/>
            <w:vMerge w:val="restart"/>
            <w:tcBorders>
              <w:bottom w:val="nil"/>
            </w:tcBorders>
            <w:vAlign w:val="top"/>
          </w:tcPr>
          <w:p w14:paraId="51C598FA">
            <w:pPr>
              <w:spacing w:line="388" w:lineRule="auto"/>
              <w:rPr>
                <w:rFonts w:ascii="Arial"/>
                <w:sz w:val="21"/>
              </w:rPr>
            </w:pPr>
          </w:p>
          <w:p w14:paraId="3227097C">
            <w:pPr>
              <w:pStyle w:val="6"/>
              <w:spacing w:before="59" w:line="219" w:lineRule="auto"/>
              <w:ind w:left="265"/>
              <w:rPr>
                <w:sz w:val="18"/>
                <w:szCs w:val="18"/>
              </w:rPr>
            </w:pPr>
            <w:r>
              <w:rPr>
                <w:spacing w:val="-2"/>
                <w:sz w:val="18"/>
                <w:szCs w:val="18"/>
              </w:rPr>
              <w:t>概述</w:t>
            </w:r>
          </w:p>
        </w:tc>
        <w:tc>
          <w:tcPr>
            <w:tcW w:w="2314" w:type="dxa"/>
            <w:vMerge w:val="restart"/>
            <w:tcBorders>
              <w:bottom w:val="nil"/>
            </w:tcBorders>
            <w:vAlign w:val="top"/>
          </w:tcPr>
          <w:p w14:paraId="083D0EBC">
            <w:pPr>
              <w:pStyle w:val="6"/>
              <w:spacing w:before="140" w:line="222" w:lineRule="auto"/>
              <w:ind w:left="11" w:right="125"/>
              <w:rPr>
                <w:sz w:val="18"/>
                <w:szCs w:val="18"/>
              </w:rPr>
            </w:pPr>
            <w:r>
              <w:rPr>
                <w:sz w:val="18"/>
                <w:szCs w:val="18"/>
              </w:rPr>
              <w:t>1.排泄的概念和意义、排泄</w:t>
            </w:r>
            <w:r>
              <w:rPr>
                <w:spacing w:val="6"/>
                <w:sz w:val="18"/>
                <w:szCs w:val="18"/>
              </w:rPr>
              <w:t xml:space="preserve"> </w:t>
            </w:r>
            <w:r>
              <w:rPr>
                <w:spacing w:val="3"/>
                <w:sz w:val="18"/>
                <w:szCs w:val="18"/>
              </w:rPr>
              <w:t>的途径</w:t>
            </w:r>
          </w:p>
          <w:p w14:paraId="4B3DA77D">
            <w:pPr>
              <w:pStyle w:val="6"/>
              <w:spacing w:before="16" w:line="206" w:lineRule="auto"/>
              <w:ind w:left="11"/>
              <w:rPr>
                <w:sz w:val="18"/>
                <w:szCs w:val="18"/>
              </w:rPr>
            </w:pPr>
            <w:r>
              <w:rPr>
                <w:spacing w:val="-1"/>
                <w:sz w:val="18"/>
                <w:szCs w:val="18"/>
              </w:rPr>
              <w:t>2.肾脏的功能</w:t>
            </w:r>
          </w:p>
          <w:p w14:paraId="22BF14C7">
            <w:pPr>
              <w:pStyle w:val="6"/>
              <w:spacing w:line="220" w:lineRule="auto"/>
              <w:ind w:left="11"/>
              <w:rPr>
                <w:sz w:val="18"/>
                <w:szCs w:val="18"/>
              </w:rPr>
            </w:pPr>
            <w:r>
              <w:rPr>
                <w:spacing w:val="1"/>
                <w:sz w:val="18"/>
                <w:szCs w:val="18"/>
              </w:rPr>
              <w:t>3.尿量及尿的生理性质</w:t>
            </w:r>
          </w:p>
        </w:tc>
        <w:tc>
          <w:tcPr>
            <w:tcW w:w="219" w:type="dxa"/>
            <w:vAlign w:val="top"/>
          </w:tcPr>
          <w:p w14:paraId="2AC269CB">
            <w:pPr>
              <w:rPr>
                <w:rFonts w:ascii="Arial"/>
                <w:sz w:val="21"/>
              </w:rPr>
            </w:pPr>
          </w:p>
        </w:tc>
        <w:tc>
          <w:tcPr>
            <w:tcW w:w="220" w:type="dxa"/>
            <w:vAlign w:val="top"/>
          </w:tcPr>
          <w:p w14:paraId="29E6D52C">
            <w:pPr>
              <w:pStyle w:val="6"/>
              <w:spacing w:before="129" w:line="238" w:lineRule="auto"/>
              <w:ind w:left="48"/>
              <w:rPr>
                <w:sz w:val="12"/>
                <w:szCs w:val="12"/>
              </w:rPr>
            </w:pPr>
            <w:r>
              <w:rPr>
                <w:sz w:val="12"/>
                <w:szCs w:val="12"/>
              </w:rPr>
              <w:t>√</w:t>
            </w:r>
          </w:p>
        </w:tc>
        <w:tc>
          <w:tcPr>
            <w:tcW w:w="229" w:type="dxa"/>
            <w:vAlign w:val="top"/>
          </w:tcPr>
          <w:p w14:paraId="092B6C27">
            <w:pPr>
              <w:rPr>
                <w:rFonts w:ascii="Arial"/>
                <w:sz w:val="21"/>
              </w:rPr>
            </w:pPr>
          </w:p>
        </w:tc>
        <w:tc>
          <w:tcPr>
            <w:tcW w:w="234" w:type="dxa"/>
            <w:vAlign w:val="top"/>
          </w:tcPr>
          <w:p w14:paraId="0DBFB766">
            <w:pPr>
              <w:rPr>
                <w:rFonts w:ascii="Arial"/>
                <w:sz w:val="21"/>
              </w:rPr>
            </w:pPr>
          </w:p>
        </w:tc>
      </w:tr>
      <w:tr w14:paraId="5A54D1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9" w:hRule="atLeast"/>
        </w:trPr>
        <w:tc>
          <w:tcPr>
            <w:tcW w:w="903" w:type="dxa"/>
            <w:vMerge w:val="continue"/>
            <w:tcBorders>
              <w:top w:val="nil"/>
              <w:bottom w:val="nil"/>
            </w:tcBorders>
            <w:vAlign w:val="top"/>
          </w:tcPr>
          <w:p w14:paraId="24430739">
            <w:pPr>
              <w:rPr>
                <w:rFonts w:ascii="Arial"/>
                <w:sz w:val="21"/>
              </w:rPr>
            </w:pPr>
          </w:p>
        </w:tc>
        <w:tc>
          <w:tcPr>
            <w:tcW w:w="2314" w:type="dxa"/>
            <w:vMerge w:val="continue"/>
            <w:tcBorders>
              <w:top w:val="nil"/>
              <w:bottom w:val="nil"/>
            </w:tcBorders>
            <w:vAlign w:val="top"/>
          </w:tcPr>
          <w:p w14:paraId="32FA024A">
            <w:pPr>
              <w:rPr>
                <w:rFonts w:ascii="Arial"/>
                <w:sz w:val="21"/>
              </w:rPr>
            </w:pPr>
          </w:p>
        </w:tc>
        <w:tc>
          <w:tcPr>
            <w:tcW w:w="219" w:type="dxa"/>
            <w:vAlign w:val="top"/>
          </w:tcPr>
          <w:p w14:paraId="58123EB6">
            <w:pPr>
              <w:pStyle w:val="6"/>
              <w:spacing w:before="129" w:line="238" w:lineRule="auto"/>
              <w:ind w:left="48"/>
              <w:rPr>
                <w:sz w:val="12"/>
                <w:szCs w:val="12"/>
              </w:rPr>
            </w:pPr>
            <w:r>
              <w:rPr>
                <w:sz w:val="12"/>
                <w:szCs w:val="12"/>
              </w:rPr>
              <w:t>√</w:t>
            </w:r>
          </w:p>
        </w:tc>
        <w:tc>
          <w:tcPr>
            <w:tcW w:w="220" w:type="dxa"/>
            <w:vAlign w:val="top"/>
          </w:tcPr>
          <w:p w14:paraId="637C2CFE">
            <w:pPr>
              <w:rPr>
                <w:rFonts w:ascii="Arial"/>
                <w:sz w:val="21"/>
              </w:rPr>
            </w:pPr>
          </w:p>
        </w:tc>
        <w:tc>
          <w:tcPr>
            <w:tcW w:w="229" w:type="dxa"/>
            <w:vAlign w:val="top"/>
          </w:tcPr>
          <w:p w14:paraId="0721923E">
            <w:pPr>
              <w:rPr>
                <w:rFonts w:ascii="Arial"/>
                <w:sz w:val="21"/>
              </w:rPr>
            </w:pPr>
          </w:p>
        </w:tc>
        <w:tc>
          <w:tcPr>
            <w:tcW w:w="234" w:type="dxa"/>
            <w:vAlign w:val="top"/>
          </w:tcPr>
          <w:p w14:paraId="511C4624">
            <w:pPr>
              <w:rPr>
                <w:rFonts w:ascii="Arial"/>
                <w:sz w:val="21"/>
              </w:rPr>
            </w:pPr>
          </w:p>
        </w:tc>
      </w:tr>
      <w:tr w14:paraId="5FDBD0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9" w:hRule="atLeast"/>
        </w:trPr>
        <w:tc>
          <w:tcPr>
            <w:tcW w:w="903" w:type="dxa"/>
            <w:vMerge w:val="continue"/>
            <w:tcBorders>
              <w:top w:val="nil"/>
            </w:tcBorders>
            <w:vAlign w:val="top"/>
          </w:tcPr>
          <w:p w14:paraId="1701DEF0">
            <w:pPr>
              <w:rPr>
                <w:rFonts w:ascii="Arial"/>
                <w:sz w:val="21"/>
              </w:rPr>
            </w:pPr>
          </w:p>
        </w:tc>
        <w:tc>
          <w:tcPr>
            <w:tcW w:w="2314" w:type="dxa"/>
            <w:vMerge w:val="continue"/>
            <w:tcBorders>
              <w:top w:val="nil"/>
            </w:tcBorders>
            <w:vAlign w:val="top"/>
          </w:tcPr>
          <w:p w14:paraId="24E053BD">
            <w:pPr>
              <w:rPr>
                <w:rFonts w:ascii="Arial"/>
                <w:sz w:val="21"/>
              </w:rPr>
            </w:pPr>
          </w:p>
        </w:tc>
        <w:tc>
          <w:tcPr>
            <w:tcW w:w="219" w:type="dxa"/>
            <w:vAlign w:val="top"/>
          </w:tcPr>
          <w:p w14:paraId="1602FC89">
            <w:pPr>
              <w:pStyle w:val="6"/>
              <w:spacing w:before="129" w:line="238" w:lineRule="auto"/>
              <w:ind w:left="48"/>
              <w:rPr>
                <w:sz w:val="12"/>
                <w:szCs w:val="12"/>
              </w:rPr>
            </w:pPr>
            <w:r>
              <w:rPr>
                <w:sz w:val="12"/>
                <w:szCs w:val="12"/>
              </w:rPr>
              <w:t>√</w:t>
            </w:r>
          </w:p>
        </w:tc>
        <w:tc>
          <w:tcPr>
            <w:tcW w:w="220" w:type="dxa"/>
            <w:vAlign w:val="top"/>
          </w:tcPr>
          <w:p w14:paraId="347C5574">
            <w:pPr>
              <w:rPr>
                <w:rFonts w:ascii="Arial"/>
                <w:sz w:val="21"/>
              </w:rPr>
            </w:pPr>
          </w:p>
        </w:tc>
        <w:tc>
          <w:tcPr>
            <w:tcW w:w="229" w:type="dxa"/>
            <w:vAlign w:val="top"/>
          </w:tcPr>
          <w:p w14:paraId="3F809FE4">
            <w:pPr>
              <w:rPr>
                <w:rFonts w:ascii="Arial"/>
                <w:sz w:val="21"/>
              </w:rPr>
            </w:pPr>
          </w:p>
        </w:tc>
        <w:tc>
          <w:tcPr>
            <w:tcW w:w="234" w:type="dxa"/>
            <w:vAlign w:val="top"/>
          </w:tcPr>
          <w:p w14:paraId="5CCB6C52">
            <w:pPr>
              <w:rPr>
                <w:rFonts w:ascii="Arial"/>
                <w:sz w:val="21"/>
              </w:rPr>
            </w:pPr>
          </w:p>
        </w:tc>
      </w:tr>
      <w:tr w14:paraId="62D644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9" w:hRule="atLeast"/>
        </w:trPr>
        <w:tc>
          <w:tcPr>
            <w:tcW w:w="903" w:type="dxa"/>
            <w:vMerge w:val="restart"/>
            <w:tcBorders>
              <w:bottom w:val="nil"/>
            </w:tcBorders>
            <w:vAlign w:val="top"/>
          </w:tcPr>
          <w:p w14:paraId="4E1DA9B2">
            <w:pPr>
              <w:spacing w:line="253" w:lineRule="auto"/>
              <w:rPr>
                <w:rFonts w:ascii="Arial"/>
                <w:sz w:val="21"/>
              </w:rPr>
            </w:pPr>
          </w:p>
          <w:p w14:paraId="396855C5">
            <w:pPr>
              <w:spacing w:line="253" w:lineRule="auto"/>
              <w:rPr>
                <w:rFonts w:ascii="Arial"/>
                <w:sz w:val="21"/>
              </w:rPr>
            </w:pPr>
          </w:p>
          <w:p w14:paraId="7619FD30">
            <w:pPr>
              <w:spacing w:line="253" w:lineRule="auto"/>
              <w:rPr>
                <w:rFonts w:ascii="Arial"/>
                <w:sz w:val="21"/>
              </w:rPr>
            </w:pPr>
          </w:p>
          <w:p w14:paraId="2E989AEC">
            <w:pPr>
              <w:pStyle w:val="6"/>
              <w:spacing w:before="58" w:line="221" w:lineRule="auto"/>
              <w:ind w:left="84"/>
              <w:rPr>
                <w:sz w:val="18"/>
                <w:szCs w:val="18"/>
              </w:rPr>
            </w:pPr>
            <w:r>
              <w:rPr>
                <w:spacing w:val="-2"/>
                <w:sz w:val="18"/>
                <w:szCs w:val="18"/>
              </w:rPr>
              <w:t>尿的生成</w:t>
            </w:r>
          </w:p>
        </w:tc>
        <w:tc>
          <w:tcPr>
            <w:tcW w:w="2314" w:type="dxa"/>
            <w:vMerge w:val="restart"/>
            <w:tcBorders>
              <w:bottom w:val="nil"/>
            </w:tcBorders>
            <w:vAlign w:val="top"/>
          </w:tcPr>
          <w:p w14:paraId="0BF3D646">
            <w:pPr>
              <w:pStyle w:val="6"/>
              <w:spacing w:before="290" w:line="216" w:lineRule="auto"/>
              <w:ind w:left="11"/>
              <w:rPr>
                <w:sz w:val="18"/>
                <w:szCs w:val="18"/>
              </w:rPr>
            </w:pPr>
            <w:r>
              <w:rPr>
                <w:sz w:val="18"/>
                <w:szCs w:val="18"/>
              </w:rPr>
              <w:t>1.尿生成的基本过程</w:t>
            </w:r>
          </w:p>
          <w:p w14:paraId="4629E51F">
            <w:pPr>
              <w:pStyle w:val="6"/>
              <w:spacing w:line="222" w:lineRule="auto"/>
              <w:ind w:left="11"/>
              <w:rPr>
                <w:sz w:val="18"/>
                <w:szCs w:val="18"/>
              </w:rPr>
            </w:pPr>
            <w:r>
              <w:rPr>
                <w:spacing w:val="-4"/>
                <w:sz w:val="18"/>
                <w:szCs w:val="18"/>
              </w:rPr>
              <w:t>2.有效滤过压及肾小球滤过率</w:t>
            </w:r>
            <w:r>
              <w:rPr>
                <w:spacing w:val="7"/>
                <w:sz w:val="18"/>
                <w:szCs w:val="18"/>
              </w:rPr>
              <w:t xml:space="preserve"> </w:t>
            </w:r>
            <w:r>
              <w:rPr>
                <w:spacing w:val="-2"/>
                <w:sz w:val="18"/>
                <w:szCs w:val="18"/>
              </w:rPr>
              <w:t>3.影响肾小球滤过率的因素</w:t>
            </w:r>
            <w:r>
              <w:rPr>
                <w:spacing w:val="4"/>
                <w:sz w:val="18"/>
                <w:szCs w:val="18"/>
              </w:rPr>
              <w:t xml:space="preserve">  </w:t>
            </w:r>
            <w:r>
              <w:rPr>
                <w:sz w:val="18"/>
                <w:szCs w:val="18"/>
              </w:rPr>
              <w:t>4.分析糖尿病人发生糖尿和</w:t>
            </w:r>
            <w:r>
              <w:rPr>
                <w:spacing w:val="3"/>
                <w:sz w:val="18"/>
                <w:szCs w:val="18"/>
              </w:rPr>
              <w:t xml:space="preserve">  多尿的原因</w:t>
            </w:r>
          </w:p>
          <w:p w14:paraId="1A9F8C77">
            <w:pPr>
              <w:pStyle w:val="6"/>
              <w:spacing w:before="3" w:line="219" w:lineRule="auto"/>
              <w:ind w:left="11"/>
              <w:rPr>
                <w:sz w:val="18"/>
                <w:szCs w:val="18"/>
              </w:rPr>
            </w:pPr>
            <w:r>
              <w:rPr>
                <w:spacing w:val="-1"/>
                <w:sz w:val="18"/>
                <w:szCs w:val="18"/>
              </w:rPr>
              <w:t>5.渗透性利尿的临床意义</w:t>
            </w:r>
          </w:p>
        </w:tc>
        <w:tc>
          <w:tcPr>
            <w:tcW w:w="219" w:type="dxa"/>
            <w:vAlign w:val="top"/>
          </w:tcPr>
          <w:p w14:paraId="66D51A49">
            <w:pPr>
              <w:rPr>
                <w:rFonts w:ascii="Arial"/>
                <w:sz w:val="21"/>
              </w:rPr>
            </w:pPr>
          </w:p>
        </w:tc>
        <w:tc>
          <w:tcPr>
            <w:tcW w:w="220" w:type="dxa"/>
            <w:vAlign w:val="top"/>
          </w:tcPr>
          <w:p w14:paraId="40550E3B">
            <w:pPr>
              <w:pStyle w:val="6"/>
              <w:spacing w:before="131" w:line="238" w:lineRule="auto"/>
              <w:ind w:left="19"/>
              <w:rPr>
                <w:sz w:val="12"/>
                <w:szCs w:val="12"/>
              </w:rPr>
            </w:pPr>
            <w:r>
              <w:rPr>
                <w:sz w:val="12"/>
                <w:szCs w:val="12"/>
              </w:rPr>
              <w:t>√</w:t>
            </w:r>
          </w:p>
        </w:tc>
        <w:tc>
          <w:tcPr>
            <w:tcW w:w="229" w:type="dxa"/>
            <w:vAlign w:val="top"/>
          </w:tcPr>
          <w:p w14:paraId="20B473F6">
            <w:pPr>
              <w:rPr>
                <w:rFonts w:ascii="Arial"/>
                <w:sz w:val="21"/>
              </w:rPr>
            </w:pPr>
          </w:p>
        </w:tc>
        <w:tc>
          <w:tcPr>
            <w:tcW w:w="234" w:type="dxa"/>
            <w:vAlign w:val="top"/>
          </w:tcPr>
          <w:p w14:paraId="79224EE6">
            <w:pPr>
              <w:rPr>
                <w:rFonts w:ascii="Arial"/>
                <w:sz w:val="21"/>
              </w:rPr>
            </w:pPr>
          </w:p>
        </w:tc>
      </w:tr>
      <w:tr w14:paraId="4A7C9A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9" w:hRule="atLeast"/>
        </w:trPr>
        <w:tc>
          <w:tcPr>
            <w:tcW w:w="903" w:type="dxa"/>
            <w:vMerge w:val="continue"/>
            <w:tcBorders>
              <w:top w:val="nil"/>
              <w:bottom w:val="nil"/>
            </w:tcBorders>
            <w:vAlign w:val="top"/>
          </w:tcPr>
          <w:p w14:paraId="38A1C46A">
            <w:pPr>
              <w:rPr>
                <w:rFonts w:ascii="Arial"/>
                <w:sz w:val="21"/>
              </w:rPr>
            </w:pPr>
          </w:p>
        </w:tc>
        <w:tc>
          <w:tcPr>
            <w:tcW w:w="2314" w:type="dxa"/>
            <w:vMerge w:val="continue"/>
            <w:tcBorders>
              <w:top w:val="nil"/>
              <w:bottom w:val="nil"/>
            </w:tcBorders>
            <w:vAlign w:val="top"/>
          </w:tcPr>
          <w:p w14:paraId="43F22973">
            <w:pPr>
              <w:rPr>
                <w:rFonts w:ascii="Arial"/>
                <w:sz w:val="21"/>
              </w:rPr>
            </w:pPr>
          </w:p>
        </w:tc>
        <w:tc>
          <w:tcPr>
            <w:tcW w:w="219" w:type="dxa"/>
            <w:vAlign w:val="top"/>
          </w:tcPr>
          <w:p w14:paraId="2BEB3F10">
            <w:pPr>
              <w:rPr>
                <w:rFonts w:ascii="Arial"/>
                <w:sz w:val="21"/>
              </w:rPr>
            </w:pPr>
          </w:p>
        </w:tc>
        <w:tc>
          <w:tcPr>
            <w:tcW w:w="220" w:type="dxa"/>
            <w:vAlign w:val="top"/>
          </w:tcPr>
          <w:p w14:paraId="4160D4F4">
            <w:pPr>
              <w:pStyle w:val="6"/>
              <w:spacing w:before="132" w:line="238" w:lineRule="auto"/>
              <w:ind w:left="19"/>
              <w:rPr>
                <w:sz w:val="12"/>
                <w:szCs w:val="12"/>
              </w:rPr>
            </w:pPr>
            <w:r>
              <w:rPr>
                <w:sz w:val="12"/>
                <w:szCs w:val="12"/>
              </w:rPr>
              <w:t>√</w:t>
            </w:r>
          </w:p>
        </w:tc>
        <w:tc>
          <w:tcPr>
            <w:tcW w:w="229" w:type="dxa"/>
            <w:vAlign w:val="top"/>
          </w:tcPr>
          <w:p w14:paraId="242FA20D">
            <w:pPr>
              <w:rPr>
                <w:rFonts w:ascii="Arial"/>
                <w:sz w:val="21"/>
              </w:rPr>
            </w:pPr>
          </w:p>
        </w:tc>
        <w:tc>
          <w:tcPr>
            <w:tcW w:w="234" w:type="dxa"/>
            <w:vAlign w:val="top"/>
          </w:tcPr>
          <w:p w14:paraId="4D7BEF8E">
            <w:pPr>
              <w:rPr>
                <w:rFonts w:ascii="Arial"/>
                <w:sz w:val="21"/>
              </w:rPr>
            </w:pPr>
          </w:p>
        </w:tc>
      </w:tr>
      <w:tr w14:paraId="058311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0" w:hRule="atLeast"/>
        </w:trPr>
        <w:tc>
          <w:tcPr>
            <w:tcW w:w="903" w:type="dxa"/>
            <w:vMerge w:val="continue"/>
            <w:tcBorders>
              <w:top w:val="nil"/>
              <w:bottom w:val="nil"/>
            </w:tcBorders>
            <w:vAlign w:val="top"/>
          </w:tcPr>
          <w:p w14:paraId="3C33FF39">
            <w:pPr>
              <w:rPr>
                <w:rFonts w:ascii="Arial"/>
                <w:sz w:val="21"/>
              </w:rPr>
            </w:pPr>
          </w:p>
        </w:tc>
        <w:tc>
          <w:tcPr>
            <w:tcW w:w="2314" w:type="dxa"/>
            <w:vMerge w:val="continue"/>
            <w:tcBorders>
              <w:top w:val="nil"/>
              <w:bottom w:val="nil"/>
            </w:tcBorders>
            <w:vAlign w:val="top"/>
          </w:tcPr>
          <w:p w14:paraId="6BF84576">
            <w:pPr>
              <w:rPr>
                <w:rFonts w:ascii="Arial"/>
                <w:sz w:val="21"/>
              </w:rPr>
            </w:pPr>
          </w:p>
        </w:tc>
        <w:tc>
          <w:tcPr>
            <w:tcW w:w="219" w:type="dxa"/>
            <w:vAlign w:val="top"/>
          </w:tcPr>
          <w:p w14:paraId="7EB3A956">
            <w:pPr>
              <w:rPr>
                <w:rFonts w:ascii="Arial"/>
                <w:sz w:val="21"/>
              </w:rPr>
            </w:pPr>
          </w:p>
        </w:tc>
        <w:tc>
          <w:tcPr>
            <w:tcW w:w="220" w:type="dxa"/>
            <w:vAlign w:val="top"/>
          </w:tcPr>
          <w:p w14:paraId="5EC747EA">
            <w:pPr>
              <w:pStyle w:val="6"/>
              <w:spacing w:before="133" w:line="238" w:lineRule="auto"/>
              <w:ind w:left="48"/>
              <w:rPr>
                <w:sz w:val="12"/>
                <w:szCs w:val="12"/>
              </w:rPr>
            </w:pPr>
            <w:r>
              <w:rPr>
                <w:sz w:val="12"/>
                <w:szCs w:val="12"/>
              </w:rPr>
              <w:t>√</w:t>
            </w:r>
          </w:p>
        </w:tc>
        <w:tc>
          <w:tcPr>
            <w:tcW w:w="229" w:type="dxa"/>
            <w:vAlign w:val="top"/>
          </w:tcPr>
          <w:p w14:paraId="7D0B68AB">
            <w:pPr>
              <w:rPr>
                <w:rFonts w:ascii="Arial"/>
                <w:sz w:val="21"/>
              </w:rPr>
            </w:pPr>
          </w:p>
        </w:tc>
        <w:tc>
          <w:tcPr>
            <w:tcW w:w="234" w:type="dxa"/>
            <w:vAlign w:val="top"/>
          </w:tcPr>
          <w:p w14:paraId="15C4EB0D">
            <w:pPr>
              <w:rPr>
                <w:rFonts w:ascii="Arial"/>
                <w:sz w:val="21"/>
              </w:rPr>
            </w:pPr>
          </w:p>
        </w:tc>
      </w:tr>
      <w:tr w14:paraId="360D5A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9" w:hRule="atLeast"/>
        </w:trPr>
        <w:tc>
          <w:tcPr>
            <w:tcW w:w="903" w:type="dxa"/>
            <w:vMerge w:val="continue"/>
            <w:tcBorders>
              <w:top w:val="nil"/>
              <w:bottom w:val="nil"/>
            </w:tcBorders>
            <w:vAlign w:val="top"/>
          </w:tcPr>
          <w:p w14:paraId="00E3E4AE">
            <w:pPr>
              <w:rPr>
                <w:rFonts w:ascii="Arial"/>
                <w:sz w:val="21"/>
              </w:rPr>
            </w:pPr>
          </w:p>
        </w:tc>
        <w:tc>
          <w:tcPr>
            <w:tcW w:w="2314" w:type="dxa"/>
            <w:vMerge w:val="continue"/>
            <w:tcBorders>
              <w:top w:val="nil"/>
              <w:bottom w:val="nil"/>
            </w:tcBorders>
            <w:vAlign w:val="top"/>
          </w:tcPr>
          <w:p w14:paraId="46D4643A">
            <w:pPr>
              <w:rPr>
                <w:rFonts w:ascii="Arial"/>
                <w:sz w:val="21"/>
              </w:rPr>
            </w:pPr>
          </w:p>
        </w:tc>
        <w:tc>
          <w:tcPr>
            <w:tcW w:w="219" w:type="dxa"/>
            <w:vAlign w:val="top"/>
          </w:tcPr>
          <w:p w14:paraId="12A38127">
            <w:pPr>
              <w:rPr>
                <w:rFonts w:ascii="Arial"/>
                <w:sz w:val="21"/>
              </w:rPr>
            </w:pPr>
          </w:p>
        </w:tc>
        <w:tc>
          <w:tcPr>
            <w:tcW w:w="220" w:type="dxa"/>
            <w:vAlign w:val="top"/>
          </w:tcPr>
          <w:p w14:paraId="550E4DEE">
            <w:pPr>
              <w:rPr>
                <w:rFonts w:ascii="Arial"/>
                <w:sz w:val="21"/>
              </w:rPr>
            </w:pPr>
          </w:p>
        </w:tc>
        <w:tc>
          <w:tcPr>
            <w:tcW w:w="229" w:type="dxa"/>
            <w:vAlign w:val="top"/>
          </w:tcPr>
          <w:p w14:paraId="1C779AA8">
            <w:pPr>
              <w:pStyle w:val="6"/>
              <w:spacing w:before="133" w:line="238" w:lineRule="auto"/>
              <w:ind w:left="48"/>
              <w:rPr>
                <w:sz w:val="12"/>
                <w:szCs w:val="12"/>
              </w:rPr>
            </w:pPr>
            <w:r>
              <w:rPr>
                <w:sz w:val="12"/>
                <w:szCs w:val="12"/>
              </w:rPr>
              <w:t>√</w:t>
            </w:r>
          </w:p>
        </w:tc>
        <w:tc>
          <w:tcPr>
            <w:tcW w:w="234" w:type="dxa"/>
            <w:vAlign w:val="top"/>
          </w:tcPr>
          <w:p w14:paraId="7A843577">
            <w:pPr>
              <w:rPr>
                <w:rFonts w:ascii="Arial"/>
                <w:sz w:val="21"/>
              </w:rPr>
            </w:pPr>
          </w:p>
        </w:tc>
      </w:tr>
      <w:tr w14:paraId="7EF504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9" w:hRule="atLeast"/>
        </w:trPr>
        <w:tc>
          <w:tcPr>
            <w:tcW w:w="903" w:type="dxa"/>
            <w:vMerge w:val="continue"/>
            <w:tcBorders>
              <w:top w:val="nil"/>
            </w:tcBorders>
            <w:vAlign w:val="top"/>
          </w:tcPr>
          <w:p w14:paraId="63A237F9">
            <w:pPr>
              <w:rPr>
                <w:rFonts w:ascii="Arial"/>
                <w:sz w:val="21"/>
              </w:rPr>
            </w:pPr>
          </w:p>
        </w:tc>
        <w:tc>
          <w:tcPr>
            <w:tcW w:w="2314" w:type="dxa"/>
            <w:vMerge w:val="continue"/>
            <w:tcBorders>
              <w:top w:val="nil"/>
            </w:tcBorders>
            <w:vAlign w:val="top"/>
          </w:tcPr>
          <w:p w14:paraId="492AD0B9">
            <w:pPr>
              <w:rPr>
                <w:rFonts w:ascii="Arial"/>
                <w:sz w:val="21"/>
              </w:rPr>
            </w:pPr>
          </w:p>
        </w:tc>
        <w:tc>
          <w:tcPr>
            <w:tcW w:w="219" w:type="dxa"/>
            <w:vAlign w:val="top"/>
          </w:tcPr>
          <w:p w14:paraId="6CFA6BDF">
            <w:pPr>
              <w:rPr>
                <w:rFonts w:ascii="Arial"/>
                <w:sz w:val="21"/>
              </w:rPr>
            </w:pPr>
          </w:p>
        </w:tc>
        <w:tc>
          <w:tcPr>
            <w:tcW w:w="220" w:type="dxa"/>
            <w:vAlign w:val="top"/>
          </w:tcPr>
          <w:p w14:paraId="5506669E">
            <w:pPr>
              <w:rPr>
                <w:rFonts w:ascii="Arial"/>
                <w:sz w:val="21"/>
              </w:rPr>
            </w:pPr>
          </w:p>
        </w:tc>
        <w:tc>
          <w:tcPr>
            <w:tcW w:w="229" w:type="dxa"/>
            <w:vAlign w:val="top"/>
          </w:tcPr>
          <w:p w14:paraId="02D63631">
            <w:pPr>
              <w:pStyle w:val="6"/>
              <w:spacing w:before="134" w:line="238" w:lineRule="auto"/>
              <w:ind w:left="48"/>
              <w:rPr>
                <w:sz w:val="12"/>
                <w:szCs w:val="12"/>
              </w:rPr>
            </w:pPr>
            <w:r>
              <w:rPr>
                <w:sz w:val="12"/>
                <w:szCs w:val="12"/>
              </w:rPr>
              <w:t>√</w:t>
            </w:r>
          </w:p>
        </w:tc>
        <w:tc>
          <w:tcPr>
            <w:tcW w:w="234" w:type="dxa"/>
            <w:vAlign w:val="top"/>
          </w:tcPr>
          <w:p w14:paraId="3396E081">
            <w:pPr>
              <w:rPr>
                <w:rFonts w:ascii="Arial"/>
                <w:sz w:val="21"/>
              </w:rPr>
            </w:pPr>
          </w:p>
        </w:tc>
      </w:tr>
      <w:tr w14:paraId="13E982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9" w:hRule="atLeast"/>
        </w:trPr>
        <w:tc>
          <w:tcPr>
            <w:tcW w:w="903" w:type="dxa"/>
            <w:vMerge w:val="restart"/>
            <w:tcBorders>
              <w:bottom w:val="nil"/>
            </w:tcBorders>
            <w:vAlign w:val="top"/>
          </w:tcPr>
          <w:p w14:paraId="47116519">
            <w:pPr>
              <w:spacing w:line="306" w:lineRule="auto"/>
              <w:rPr>
                <w:rFonts w:ascii="Arial"/>
                <w:sz w:val="21"/>
              </w:rPr>
            </w:pPr>
          </w:p>
          <w:p w14:paraId="545E8376">
            <w:pPr>
              <w:pStyle w:val="6"/>
              <w:spacing w:before="59" w:line="212" w:lineRule="auto"/>
              <w:ind w:left="264" w:right="97" w:hanging="180"/>
              <w:rPr>
                <w:sz w:val="18"/>
                <w:szCs w:val="18"/>
              </w:rPr>
            </w:pPr>
            <w:r>
              <w:rPr>
                <w:spacing w:val="-3"/>
                <w:sz w:val="18"/>
                <w:szCs w:val="18"/>
              </w:rPr>
              <w:t>泌尿功能</w:t>
            </w:r>
            <w:r>
              <w:rPr>
                <w:spacing w:val="1"/>
                <w:sz w:val="18"/>
                <w:szCs w:val="18"/>
              </w:rPr>
              <w:t xml:space="preserve"> </w:t>
            </w:r>
            <w:r>
              <w:rPr>
                <w:spacing w:val="-3"/>
                <w:sz w:val="18"/>
                <w:szCs w:val="18"/>
              </w:rPr>
              <w:t>调节</w:t>
            </w:r>
          </w:p>
        </w:tc>
        <w:tc>
          <w:tcPr>
            <w:tcW w:w="2314" w:type="dxa"/>
            <w:vMerge w:val="restart"/>
            <w:tcBorders>
              <w:bottom w:val="nil"/>
            </w:tcBorders>
            <w:vAlign w:val="top"/>
          </w:tcPr>
          <w:p w14:paraId="25000064">
            <w:pPr>
              <w:pStyle w:val="6"/>
              <w:spacing w:before="135" w:line="227" w:lineRule="auto"/>
              <w:ind w:left="11" w:right="122"/>
              <w:rPr>
                <w:sz w:val="18"/>
                <w:szCs w:val="18"/>
              </w:rPr>
            </w:pPr>
            <w:r>
              <w:rPr>
                <w:sz w:val="18"/>
                <w:szCs w:val="18"/>
              </w:rPr>
              <w:t>1.抗利尿素、醛固酮在调节</w:t>
            </w:r>
            <w:r>
              <w:rPr>
                <w:spacing w:val="8"/>
                <w:sz w:val="18"/>
                <w:szCs w:val="18"/>
              </w:rPr>
              <w:t xml:space="preserve"> </w:t>
            </w:r>
            <w:r>
              <w:rPr>
                <w:spacing w:val="2"/>
                <w:sz w:val="18"/>
                <w:szCs w:val="18"/>
              </w:rPr>
              <w:t>机体水的平衡中的作用</w:t>
            </w:r>
          </w:p>
          <w:p w14:paraId="011006DF">
            <w:pPr>
              <w:pStyle w:val="6"/>
              <w:spacing w:before="8" w:line="222" w:lineRule="auto"/>
              <w:ind w:left="11"/>
              <w:rPr>
                <w:sz w:val="18"/>
                <w:szCs w:val="18"/>
              </w:rPr>
            </w:pPr>
            <w:r>
              <w:rPr>
                <w:spacing w:val="-4"/>
                <w:sz w:val="18"/>
                <w:szCs w:val="18"/>
              </w:rPr>
              <w:t>2.排尿反射、尿频、尿潴留、</w:t>
            </w:r>
            <w:r>
              <w:rPr>
                <w:spacing w:val="7"/>
                <w:sz w:val="18"/>
                <w:szCs w:val="18"/>
              </w:rPr>
              <w:t xml:space="preserve"> </w:t>
            </w:r>
            <w:r>
              <w:rPr>
                <w:spacing w:val="-7"/>
                <w:sz w:val="18"/>
                <w:szCs w:val="18"/>
              </w:rPr>
              <w:t>尿失禁的临床意义</w:t>
            </w:r>
          </w:p>
        </w:tc>
        <w:tc>
          <w:tcPr>
            <w:tcW w:w="219" w:type="dxa"/>
            <w:vAlign w:val="top"/>
          </w:tcPr>
          <w:p w14:paraId="73DF9580">
            <w:pPr>
              <w:rPr>
                <w:rFonts w:ascii="Arial"/>
                <w:sz w:val="21"/>
              </w:rPr>
            </w:pPr>
          </w:p>
        </w:tc>
        <w:tc>
          <w:tcPr>
            <w:tcW w:w="220" w:type="dxa"/>
            <w:vAlign w:val="top"/>
          </w:tcPr>
          <w:p w14:paraId="33B8493B">
            <w:pPr>
              <w:rPr>
                <w:rFonts w:ascii="Arial"/>
                <w:sz w:val="21"/>
              </w:rPr>
            </w:pPr>
          </w:p>
        </w:tc>
        <w:tc>
          <w:tcPr>
            <w:tcW w:w="229" w:type="dxa"/>
            <w:vAlign w:val="top"/>
          </w:tcPr>
          <w:p w14:paraId="79844B8A">
            <w:pPr>
              <w:rPr>
                <w:rFonts w:ascii="Arial"/>
                <w:sz w:val="21"/>
              </w:rPr>
            </w:pPr>
          </w:p>
        </w:tc>
        <w:tc>
          <w:tcPr>
            <w:tcW w:w="234" w:type="dxa"/>
            <w:vAlign w:val="top"/>
          </w:tcPr>
          <w:p w14:paraId="1DC04C26">
            <w:pPr>
              <w:pStyle w:val="6"/>
              <w:spacing w:before="225" w:line="238" w:lineRule="auto"/>
              <w:ind w:left="9"/>
              <w:rPr>
                <w:sz w:val="12"/>
                <w:szCs w:val="12"/>
              </w:rPr>
            </w:pPr>
            <w:r>
              <w:rPr>
                <w:sz w:val="12"/>
                <w:szCs w:val="12"/>
              </w:rPr>
              <w:t>√</w:t>
            </w:r>
          </w:p>
        </w:tc>
      </w:tr>
      <w:tr w14:paraId="51751C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4" w:hRule="atLeast"/>
        </w:trPr>
        <w:tc>
          <w:tcPr>
            <w:tcW w:w="903" w:type="dxa"/>
            <w:vMerge w:val="continue"/>
            <w:tcBorders>
              <w:top w:val="nil"/>
            </w:tcBorders>
            <w:vAlign w:val="top"/>
          </w:tcPr>
          <w:p w14:paraId="2435CBF5">
            <w:pPr>
              <w:rPr>
                <w:rFonts w:ascii="Arial"/>
                <w:sz w:val="21"/>
              </w:rPr>
            </w:pPr>
          </w:p>
        </w:tc>
        <w:tc>
          <w:tcPr>
            <w:tcW w:w="2314" w:type="dxa"/>
            <w:vMerge w:val="continue"/>
            <w:tcBorders>
              <w:top w:val="nil"/>
            </w:tcBorders>
            <w:vAlign w:val="top"/>
          </w:tcPr>
          <w:p w14:paraId="138C910F">
            <w:pPr>
              <w:rPr>
                <w:rFonts w:ascii="Arial"/>
                <w:sz w:val="21"/>
              </w:rPr>
            </w:pPr>
          </w:p>
        </w:tc>
        <w:tc>
          <w:tcPr>
            <w:tcW w:w="219" w:type="dxa"/>
            <w:vAlign w:val="top"/>
          </w:tcPr>
          <w:p w14:paraId="224C5112">
            <w:pPr>
              <w:rPr>
                <w:rFonts w:ascii="Arial"/>
                <w:sz w:val="21"/>
              </w:rPr>
            </w:pPr>
          </w:p>
        </w:tc>
        <w:tc>
          <w:tcPr>
            <w:tcW w:w="220" w:type="dxa"/>
            <w:vAlign w:val="top"/>
          </w:tcPr>
          <w:p w14:paraId="0B2A614F">
            <w:pPr>
              <w:pStyle w:val="6"/>
              <w:spacing w:before="226" w:line="238" w:lineRule="auto"/>
              <w:ind w:left="48"/>
              <w:rPr>
                <w:sz w:val="12"/>
                <w:szCs w:val="12"/>
              </w:rPr>
            </w:pPr>
            <w:r>
              <w:rPr>
                <w:sz w:val="12"/>
                <w:szCs w:val="12"/>
              </w:rPr>
              <w:t>√</w:t>
            </w:r>
          </w:p>
        </w:tc>
        <w:tc>
          <w:tcPr>
            <w:tcW w:w="229" w:type="dxa"/>
            <w:vAlign w:val="top"/>
          </w:tcPr>
          <w:p w14:paraId="582774D3">
            <w:pPr>
              <w:rPr>
                <w:rFonts w:ascii="Arial"/>
                <w:sz w:val="21"/>
              </w:rPr>
            </w:pPr>
          </w:p>
        </w:tc>
        <w:tc>
          <w:tcPr>
            <w:tcW w:w="234" w:type="dxa"/>
            <w:vAlign w:val="top"/>
          </w:tcPr>
          <w:p w14:paraId="4C7DD9AF">
            <w:pPr>
              <w:rPr>
                <w:rFonts w:ascii="Arial"/>
                <w:sz w:val="21"/>
              </w:rPr>
            </w:pPr>
          </w:p>
        </w:tc>
      </w:tr>
    </w:tbl>
    <w:p w14:paraId="1D5B46D1">
      <w:pPr>
        <w:spacing w:before="109" w:line="222" w:lineRule="auto"/>
        <w:ind w:left="1287"/>
        <w:rPr>
          <w:rFonts w:ascii="黑体" w:hAnsi="黑体" w:eastAsia="黑体" w:cs="黑体"/>
          <w:sz w:val="20"/>
          <w:szCs w:val="20"/>
        </w:rPr>
      </w:pPr>
      <w:r>
        <w:rPr>
          <w:rFonts w:ascii="黑体" w:hAnsi="黑体" w:eastAsia="黑体" w:cs="黑体"/>
          <w:b/>
          <w:bCs/>
          <w:spacing w:val="-10"/>
          <w:sz w:val="20"/>
          <w:szCs w:val="20"/>
        </w:rPr>
        <w:t>第九章</w:t>
      </w:r>
      <w:r>
        <w:rPr>
          <w:rFonts w:ascii="黑体" w:hAnsi="黑体" w:eastAsia="黑体" w:cs="黑体"/>
          <w:spacing w:val="14"/>
          <w:sz w:val="20"/>
          <w:szCs w:val="20"/>
        </w:rPr>
        <w:t xml:space="preserve">  </w:t>
      </w:r>
      <w:r>
        <w:rPr>
          <w:rFonts w:ascii="黑体" w:hAnsi="黑体" w:eastAsia="黑体" w:cs="黑体"/>
          <w:b/>
          <w:bCs/>
          <w:spacing w:val="-10"/>
          <w:sz w:val="20"/>
          <w:szCs w:val="20"/>
        </w:rPr>
        <w:t>感觉器官</w:t>
      </w:r>
    </w:p>
    <w:p w14:paraId="1566D1C7">
      <w:pPr>
        <w:spacing w:line="80" w:lineRule="exact"/>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03"/>
        <w:gridCol w:w="2314"/>
        <w:gridCol w:w="219"/>
        <w:gridCol w:w="220"/>
        <w:gridCol w:w="229"/>
        <w:gridCol w:w="234"/>
      </w:tblGrid>
      <w:tr w14:paraId="13F44B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4" w:hRule="atLeast"/>
        </w:trPr>
        <w:tc>
          <w:tcPr>
            <w:tcW w:w="903" w:type="dxa"/>
            <w:vMerge w:val="restart"/>
            <w:tcBorders>
              <w:bottom w:val="nil"/>
            </w:tcBorders>
            <w:vAlign w:val="top"/>
          </w:tcPr>
          <w:p w14:paraId="1ACC26EB">
            <w:pPr>
              <w:pStyle w:val="6"/>
              <w:spacing w:before="171" w:line="214" w:lineRule="auto"/>
              <w:ind w:left="263" w:hanging="246"/>
              <w:rPr>
                <w:sz w:val="18"/>
                <w:szCs w:val="18"/>
              </w:rPr>
            </w:pPr>
            <w:r>
              <w:rPr>
                <w:b/>
                <w:bCs/>
                <w:spacing w:val="-7"/>
                <w:sz w:val="18"/>
                <w:szCs w:val="18"/>
              </w:rPr>
              <w:t>知识与技能</w:t>
            </w:r>
            <w:r>
              <w:rPr>
                <w:sz w:val="18"/>
                <w:szCs w:val="18"/>
              </w:rPr>
              <w:t xml:space="preserve"> </w:t>
            </w:r>
            <w:r>
              <w:rPr>
                <w:b/>
                <w:bCs/>
                <w:spacing w:val="-6"/>
                <w:sz w:val="18"/>
                <w:szCs w:val="18"/>
              </w:rPr>
              <w:t>要点</w:t>
            </w:r>
          </w:p>
        </w:tc>
        <w:tc>
          <w:tcPr>
            <w:tcW w:w="2314" w:type="dxa"/>
            <w:vMerge w:val="restart"/>
            <w:tcBorders>
              <w:bottom w:val="nil"/>
            </w:tcBorders>
            <w:vAlign w:val="top"/>
          </w:tcPr>
          <w:p w14:paraId="25CA3859">
            <w:pPr>
              <w:pStyle w:val="6"/>
              <w:spacing w:before="269" w:line="219" w:lineRule="auto"/>
              <w:ind w:left="834"/>
              <w:rPr>
                <w:sz w:val="18"/>
                <w:szCs w:val="18"/>
              </w:rPr>
            </w:pPr>
            <w:r>
              <w:rPr>
                <w:b/>
                <w:bCs/>
                <w:spacing w:val="5"/>
                <w:sz w:val="18"/>
                <w:szCs w:val="18"/>
              </w:rPr>
              <w:t>考试条目</w:t>
            </w:r>
          </w:p>
        </w:tc>
        <w:tc>
          <w:tcPr>
            <w:tcW w:w="902" w:type="dxa"/>
            <w:gridSpan w:val="4"/>
            <w:vAlign w:val="top"/>
          </w:tcPr>
          <w:p w14:paraId="75874AD9">
            <w:pPr>
              <w:pStyle w:val="6"/>
              <w:spacing w:before="99" w:line="219" w:lineRule="auto"/>
              <w:ind w:left="120"/>
              <w:rPr>
                <w:sz w:val="18"/>
                <w:szCs w:val="18"/>
              </w:rPr>
            </w:pPr>
            <w:r>
              <w:rPr>
                <w:b/>
                <w:bCs/>
                <w:spacing w:val="-4"/>
                <w:sz w:val="18"/>
                <w:szCs w:val="18"/>
              </w:rPr>
              <w:t>考试水平</w:t>
            </w:r>
          </w:p>
        </w:tc>
      </w:tr>
      <w:tr w14:paraId="3C782B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9" w:hRule="atLeast"/>
        </w:trPr>
        <w:tc>
          <w:tcPr>
            <w:tcW w:w="903" w:type="dxa"/>
            <w:vMerge w:val="continue"/>
            <w:tcBorders>
              <w:top w:val="nil"/>
            </w:tcBorders>
            <w:vAlign w:val="top"/>
          </w:tcPr>
          <w:p w14:paraId="57FCE154">
            <w:pPr>
              <w:rPr>
                <w:rFonts w:ascii="Arial"/>
                <w:sz w:val="21"/>
              </w:rPr>
            </w:pPr>
          </w:p>
        </w:tc>
        <w:tc>
          <w:tcPr>
            <w:tcW w:w="2314" w:type="dxa"/>
            <w:vMerge w:val="continue"/>
            <w:tcBorders>
              <w:top w:val="nil"/>
            </w:tcBorders>
            <w:vAlign w:val="top"/>
          </w:tcPr>
          <w:p w14:paraId="32B262D2">
            <w:pPr>
              <w:rPr>
                <w:rFonts w:ascii="Arial"/>
                <w:sz w:val="21"/>
              </w:rPr>
            </w:pPr>
          </w:p>
        </w:tc>
        <w:tc>
          <w:tcPr>
            <w:tcW w:w="219" w:type="dxa"/>
            <w:vAlign w:val="top"/>
          </w:tcPr>
          <w:p w14:paraId="21FC8F12">
            <w:pPr>
              <w:pStyle w:val="6"/>
              <w:spacing w:before="123" w:line="184" w:lineRule="auto"/>
              <w:ind w:left="20"/>
              <w:rPr>
                <w:sz w:val="18"/>
                <w:szCs w:val="18"/>
              </w:rPr>
            </w:pPr>
            <w:r>
              <w:rPr>
                <w:b/>
                <w:bCs/>
                <w:spacing w:val="-2"/>
                <w:sz w:val="18"/>
                <w:szCs w:val="18"/>
              </w:rPr>
              <w:t>A</w:t>
            </w:r>
          </w:p>
        </w:tc>
        <w:tc>
          <w:tcPr>
            <w:tcW w:w="220" w:type="dxa"/>
            <w:vAlign w:val="top"/>
          </w:tcPr>
          <w:p w14:paraId="474B47FE">
            <w:pPr>
              <w:pStyle w:val="6"/>
              <w:spacing w:before="125" w:line="182" w:lineRule="auto"/>
              <w:ind w:left="61"/>
              <w:rPr>
                <w:sz w:val="18"/>
                <w:szCs w:val="18"/>
              </w:rPr>
            </w:pPr>
            <w:r>
              <w:rPr>
                <w:b/>
                <w:bCs/>
                <w:spacing w:val="-2"/>
                <w:sz w:val="18"/>
                <w:szCs w:val="18"/>
              </w:rPr>
              <w:t>B</w:t>
            </w:r>
          </w:p>
        </w:tc>
        <w:tc>
          <w:tcPr>
            <w:tcW w:w="229" w:type="dxa"/>
            <w:vAlign w:val="top"/>
          </w:tcPr>
          <w:p w14:paraId="096589FE">
            <w:pPr>
              <w:pStyle w:val="6"/>
              <w:spacing w:before="123" w:line="183" w:lineRule="auto"/>
              <w:ind w:left="21"/>
              <w:rPr>
                <w:sz w:val="18"/>
                <w:szCs w:val="18"/>
              </w:rPr>
            </w:pPr>
            <w:r>
              <w:rPr>
                <w:b/>
                <w:bCs/>
                <w:spacing w:val="-2"/>
                <w:sz w:val="18"/>
                <w:szCs w:val="18"/>
              </w:rPr>
              <w:t>C</w:t>
            </w:r>
          </w:p>
        </w:tc>
        <w:tc>
          <w:tcPr>
            <w:tcW w:w="234" w:type="dxa"/>
            <w:vAlign w:val="top"/>
          </w:tcPr>
          <w:p w14:paraId="7DAD73B6">
            <w:pPr>
              <w:pStyle w:val="6"/>
              <w:spacing w:before="125" w:line="182" w:lineRule="auto"/>
              <w:ind w:left="22"/>
              <w:rPr>
                <w:sz w:val="18"/>
                <w:szCs w:val="18"/>
              </w:rPr>
            </w:pPr>
            <w:r>
              <w:rPr>
                <w:b/>
                <w:bCs/>
                <w:spacing w:val="-2"/>
                <w:sz w:val="18"/>
                <w:szCs w:val="18"/>
              </w:rPr>
              <w:t>D</w:t>
            </w:r>
          </w:p>
        </w:tc>
      </w:tr>
      <w:tr w14:paraId="72FE6E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9" w:hRule="atLeast"/>
        </w:trPr>
        <w:tc>
          <w:tcPr>
            <w:tcW w:w="903" w:type="dxa"/>
            <w:vMerge w:val="restart"/>
            <w:tcBorders>
              <w:bottom w:val="nil"/>
            </w:tcBorders>
            <w:vAlign w:val="top"/>
          </w:tcPr>
          <w:p w14:paraId="58E73E7A">
            <w:pPr>
              <w:spacing w:line="313" w:lineRule="auto"/>
              <w:rPr>
                <w:rFonts w:ascii="Arial"/>
                <w:sz w:val="21"/>
              </w:rPr>
            </w:pPr>
          </w:p>
          <w:p w14:paraId="138EFC17">
            <w:pPr>
              <w:spacing w:line="314" w:lineRule="auto"/>
              <w:rPr>
                <w:rFonts w:ascii="Arial"/>
                <w:sz w:val="21"/>
              </w:rPr>
            </w:pPr>
          </w:p>
          <w:p w14:paraId="5997FCAC">
            <w:pPr>
              <w:pStyle w:val="6"/>
              <w:spacing w:before="59" w:line="220" w:lineRule="auto"/>
              <w:ind w:left="265"/>
              <w:rPr>
                <w:sz w:val="18"/>
                <w:szCs w:val="18"/>
              </w:rPr>
            </w:pPr>
            <w:r>
              <w:rPr>
                <w:spacing w:val="-2"/>
                <w:sz w:val="18"/>
                <w:szCs w:val="18"/>
              </w:rPr>
              <w:t>视觉</w:t>
            </w:r>
          </w:p>
        </w:tc>
        <w:tc>
          <w:tcPr>
            <w:tcW w:w="2314" w:type="dxa"/>
            <w:vMerge w:val="restart"/>
            <w:tcBorders>
              <w:bottom w:val="nil"/>
            </w:tcBorders>
            <w:vAlign w:val="top"/>
          </w:tcPr>
          <w:p w14:paraId="5459FEC4">
            <w:pPr>
              <w:pStyle w:val="6"/>
              <w:spacing w:before="59" w:line="215" w:lineRule="auto"/>
              <w:ind w:left="11"/>
              <w:rPr>
                <w:sz w:val="18"/>
                <w:szCs w:val="18"/>
              </w:rPr>
            </w:pPr>
            <w:r>
              <w:rPr>
                <w:spacing w:val="3"/>
                <w:sz w:val="18"/>
                <w:szCs w:val="18"/>
              </w:rPr>
              <w:t>1.眼的调节(瞳孔对光反射、</w:t>
            </w:r>
            <w:r>
              <w:rPr>
                <w:sz w:val="18"/>
                <w:szCs w:val="18"/>
              </w:rPr>
              <w:t xml:space="preserve"> </w:t>
            </w:r>
            <w:r>
              <w:rPr>
                <w:spacing w:val="3"/>
                <w:sz w:val="18"/>
                <w:szCs w:val="18"/>
              </w:rPr>
              <w:t>瞳孔近反射)</w:t>
            </w:r>
          </w:p>
          <w:p w14:paraId="01370989">
            <w:pPr>
              <w:pStyle w:val="6"/>
              <w:spacing w:before="1" w:line="221" w:lineRule="auto"/>
              <w:ind w:left="11" w:right="117"/>
              <w:rPr>
                <w:sz w:val="18"/>
                <w:szCs w:val="18"/>
              </w:rPr>
            </w:pPr>
            <w:r>
              <w:rPr>
                <w:spacing w:val="1"/>
                <w:sz w:val="18"/>
                <w:szCs w:val="18"/>
              </w:rPr>
              <w:t>2.近视、远视和散光发生的</w:t>
            </w:r>
            <w:r>
              <w:rPr>
                <w:sz w:val="18"/>
                <w:szCs w:val="18"/>
              </w:rPr>
              <w:t xml:space="preserve"> </w:t>
            </w:r>
            <w:r>
              <w:rPr>
                <w:spacing w:val="2"/>
                <w:sz w:val="18"/>
                <w:szCs w:val="18"/>
              </w:rPr>
              <w:t>原因和矫正</w:t>
            </w:r>
          </w:p>
          <w:p w14:paraId="25F096E2">
            <w:pPr>
              <w:pStyle w:val="6"/>
              <w:spacing w:before="16" w:line="217" w:lineRule="auto"/>
              <w:ind w:left="11" w:right="142"/>
              <w:rPr>
                <w:sz w:val="18"/>
                <w:szCs w:val="18"/>
              </w:rPr>
            </w:pPr>
            <w:r>
              <w:rPr>
                <w:spacing w:val="-1"/>
                <w:sz w:val="18"/>
                <w:szCs w:val="18"/>
              </w:rPr>
              <w:t>3.视杆细胞和视椎细胞的分</w:t>
            </w:r>
            <w:r>
              <w:rPr>
                <w:spacing w:val="1"/>
                <w:sz w:val="18"/>
                <w:szCs w:val="18"/>
              </w:rPr>
              <w:t xml:space="preserve"> </w:t>
            </w:r>
            <w:r>
              <w:rPr>
                <w:spacing w:val="-2"/>
                <w:sz w:val="18"/>
                <w:szCs w:val="18"/>
              </w:rPr>
              <w:t>布和功能</w:t>
            </w:r>
          </w:p>
          <w:p w14:paraId="7D023D87">
            <w:pPr>
              <w:pStyle w:val="6"/>
              <w:spacing w:before="18" w:line="181" w:lineRule="auto"/>
              <w:ind w:left="11"/>
              <w:rPr>
                <w:sz w:val="18"/>
                <w:szCs w:val="18"/>
              </w:rPr>
            </w:pPr>
            <w:r>
              <w:rPr>
                <w:spacing w:val="-1"/>
                <w:sz w:val="18"/>
                <w:szCs w:val="18"/>
              </w:rPr>
              <w:t>4.视敏度和视野的概念</w:t>
            </w:r>
          </w:p>
        </w:tc>
        <w:tc>
          <w:tcPr>
            <w:tcW w:w="219" w:type="dxa"/>
            <w:vAlign w:val="top"/>
          </w:tcPr>
          <w:p w14:paraId="12B4D6A1">
            <w:pPr>
              <w:rPr>
                <w:rFonts w:ascii="Arial"/>
                <w:sz w:val="21"/>
              </w:rPr>
            </w:pPr>
          </w:p>
        </w:tc>
        <w:tc>
          <w:tcPr>
            <w:tcW w:w="220" w:type="dxa"/>
            <w:vAlign w:val="top"/>
          </w:tcPr>
          <w:p w14:paraId="635D48FC">
            <w:pPr>
              <w:pStyle w:val="6"/>
              <w:spacing w:before="150" w:line="238" w:lineRule="auto"/>
              <w:ind w:left="39"/>
              <w:rPr>
                <w:sz w:val="13"/>
                <w:szCs w:val="13"/>
              </w:rPr>
            </w:pPr>
            <w:r>
              <w:rPr>
                <w:sz w:val="13"/>
                <w:szCs w:val="13"/>
              </w:rPr>
              <w:t>√</w:t>
            </w:r>
          </w:p>
        </w:tc>
        <w:tc>
          <w:tcPr>
            <w:tcW w:w="229" w:type="dxa"/>
            <w:vAlign w:val="top"/>
          </w:tcPr>
          <w:p w14:paraId="4837F7D1">
            <w:pPr>
              <w:rPr>
                <w:rFonts w:ascii="Arial"/>
                <w:sz w:val="21"/>
              </w:rPr>
            </w:pPr>
          </w:p>
        </w:tc>
        <w:tc>
          <w:tcPr>
            <w:tcW w:w="234" w:type="dxa"/>
            <w:vAlign w:val="top"/>
          </w:tcPr>
          <w:p w14:paraId="0DB9CB5A">
            <w:pPr>
              <w:rPr>
                <w:rFonts w:ascii="Arial"/>
                <w:sz w:val="21"/>
              </w:rPr>
            </w:pPr>
          </w:p>
        </w:tc>
      </w:tr>
      <w:tr w14:paraId="05CE29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9" w:hRule="atLeast"/>
        </w:trPr>
        <w:tc>
          <w:tcPr>
            <w:tcW w:w="903" w:type="dxa"/>
            <w:vMerge w:val="continue"/>
            <w:tcBorders>
              <w:top w:val="nil"/>
              <w:bottom w:val="nil"/>
            </w:tcBorders>
            <w:vAlign w:val="top"/>
          </w:tcPr>
          <w:p w14:paraId="610C31EF">
            <w:pPr>
              <w:rPr>
                <w:rFonts w:ascii="Arial"/>
                <w:sz w:val="21"/>
              </w:rPr>
            </w:pPr>
          </w:p>
        </w:tc>
        <w:tc>
          <w:tcPr>
            <w:tcW w:w="2314" w:type="dxa"/>
            <w:vMerge w:val="continue"/>
            <w:tcBorders>
              <w:top w:val="nil"/>
              <w:bottom w:val="nil"/>
            </w:tcBorders>
            <w:vAlign w:val="top"/>
          </w:tcPr>
          <w:p w14:paraId="759E3E60">
            <w:pPr>
              <w:rPr>
                <w:rFonts w:ascii="Arial"/>
                <w:sz w:val="21"/>
              </w:rPr>
            </w:pPr>
          </w:p>
        </w:tc>
        <w:tc>
          <w:tcPr>
            <w:tcW w:w="219" w:type="dxa"/>
            <w:vAlign w:val="top"/>
          </w:tcPr>
          <w:p w14:paraId="206939EE">
            <w:pPr>
              <w:pStyle w:val="6"/>
              <w:spacing w:before="141" w:line="238" w:lineRule="auto"/>
              <w:ind w:left="18"/>
              <w:rPr>
                <w:sz w:val="13"/>
                <w:szCs w:val="13"/>
              </w:rPr>
            </w:pPr>
            <w:r>
              <w:rPr>
                <w:sz w:val="13"/>
                <w:szCs w:val="13"/>
              </w:rPr>
              <w:t>√</w:t>
            </w:r>
          </w:p>
        </w:tc>
        <w:tc>
          <w:tcPr>
            <w:tcW w:w="220" w:type="dxa"/>
            <w:vAlign w:val="top"/>
          </w:tcPr>
          <w:p w14:paraId="679F1F45">
            <w:pPr>
              <w:rPr>
                <w:rFonts w:ascii="Arial"/>
                <w:sz w:val="21"/>
              </w:rPr>
            </w:pPr>
          </w:p>
        </w:tc>
        <w:tc>
          <w:tcPr>
            <w:tcW w:w="229" w:type="dxa"/>
            <w:vAlign w:val="top"/>
          </w:tcPr>
          <w:p w14:paraId="7A6AAAD9">
            <w:pPr>
              <w:rPr>
                <w:rFonts w:ascii="Arial"/>
                <w:sz w:val="21"/>
              </w:rPr>
            </w:pPr>
          </w:p>
        </w:tc>
        <w:tc>
          <w:tcPr>
            <w:tcW w:w="234" w:type="dxa"/>
            <w:vAlign w:val="top"/>
          </w:tcPr>
          <w:p w14:paraId="6CA6B404">
            <w:pPr>
              <w:rPr>
                <w:rFonts w:ascii="Arial"/>
                <w:sz w:val="21"/>
              </w:rPr>
            </w:pPr>
          </w:p>
        </w:tc>
      </w:tr>
      <w:tr w14:paraId="6BB82C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9" w:hRule="atLeast"/>
        </w:trPr>
        <w:tc>
          <w:tcPr>
            <w:tcW w:w="903" w:type="dxa"/>
            <w:vMerge w:val="continue"/>
            <w:tcBorders>
              <w:top w:val="nil"/>
              <w:bottom w:val="nil"/>
            </w:tcBorders>
            <w:vAlign w:val="top"/>
          </w:tcPr>
          <w:p w14:paraId="707A44F0">
            <w:pPr>
              <w:rPr>
                <w:rFonts w:ascii="Arial"/>
                <w:sz w:val="21"/>
              </w:rPr>
            </w:pPr>
          </w:p>
        </w:tc>
        <w:tc>
          <w:tcPr>
            <w:tcW w:w="2314" w:type="dxa"/>
            <w:vMerge w:val="continue"/>
            <w:tcBorders>
              <w:top w:val="nil"/>
              <w:bottom w:val="nil"/>
            </w:tcBorders>
            <w:vAlign w:val="top"/>
          </w:tcPr>
          <w:p w14:paraId="791D2D08">
            <w:pPr>
              <w:rPr>
                <w:rFonts w:ascii="Arial"/>
                <w:sz w:val="21"/>
              </w:rPr>
            </w:pPr>
          </w:p>
        </w:tc>
        <w:tc>
          <w:tcPr>
            <w:tcW w:w="219" w:type="dxa"/>
            <w:vAlign w:val="top"/>
          </w:tcPr>
          <w:p w14:paraId="3C3C8C67">
            <w:pPr>
              <w:rPr>
                <w:rFonts w:ascii="Arial"/>
                <w:sz w:val="21"/>
              </w:rPr>
            </w:pPr>
          </w:p>
        </w:tc>
        <w:tc>
          <w:tcPr>
            <w:tcW w:w="220" w:type="dxa"/>
            <w:vAlign w:val="top"/>
          </w:tcPr>
          <w:p w14:paraId="415589F4">
            <w:pPr>
              <w:pStyle w:val="6"/>
              <w:spacing w:before="142" w:line="238" w:lineRule="auto"/>
              <w:ind w:left="39"/>
              <w:rPr>
                <w:sz w:val="13"/>
                <w:szCs w:val="13"/>
              </w:rPr>
            </w:pPr>
            <w:r>
              <w:rPr>
                <w:sz w:val="13"/>
                <w:szCs w:val="13"/>
              </w:rPr>
              <w:t>√</w:t>
            </w:r>
          </w:p>
        </w:tc>
        <w:tc>
          <w:tcPr>
            <w:tcW w:w="229" w:type="dxa"/>
            <w:vAlign w:val="top"/>
          </w:tcPr>
          <w:p w14:paraId="2003D093">
            <w:pPr>
              <w:rPr>
                <w:rFonts w:ascii="Arial"/>
                <w:sz w:val="21"/>
              </w:rPr>
            </w:pPr>
          </w:p>
        </w:tc>
        <w:tc>
          <w:tcPr>
            <w:tcW w:w="234" w:type="dxa"/>
            <w:vAlign w:val="top"/>
          </w:tcPr>
          <w:p w14:paraId="23C007A5">
            <w:pPr>
              <w:rPr>
                <w:rFonts w:ascii="Arial"/>
                <w:sz w:val="21"/>
              </w:rPr>
            </w:pPr>
          </w:p>
        </w:tc>
      </w:tr>
      <w:tr w14:paraId="1F376D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9" w:hRule="atLeast"/>
        </w:trPr>
        <w:tc>
          <w:tcPr>
            <w:tcW w:w="903" w:type="dxa"/>
            <w:vMerge w:val="continue"/>
            <w:tcBorders>
              <w:top w:val="nil"/>
            </w:tcBorders>
            <w:vAlign w:val="top"/>
          </w:tcPr>
          <w:p w14:paraId="1F161A2C">
            <w:pPr>
              <w:rPr>
                <w:rFonts w:ascii="Arial"/>
                <w:sz w:val="21"/>
              </w:rPr>
            </w:pPr>
          </w:p>
        </w:tc>
        <w:tc>
          <w:tcPr>
            <w:tcW w:w="2314" w:type="dxa"/>
            <w:vMerge w:val="continue"/>
            <w:tcBorders>
              <w:top w:val="nil"/>
            </w:tcBorders>
            <w:vAlign w:val="top"/>
          </w:tcPr>
          <w:p w14:paraId="799290F3">
            <w:pPr>
              <w:rPr>
                <w:rFonts w:ascii="Arial"/>
                <w:sz w:val="21"/>
              </w:rPr>
            </w:pPr>
          </w:p>
        </w:tc>
        <w:tc>
          <w:tcPr>
            <w:tcW w:w="219" w:type="dxa"/>
            <w:vAlign w:val="top"/>
          </w:tcPr>
          <w:p w14:paraId="0DB57D3D">
            <w:pPr>
              <w:rPr>
                <w:rFonts w:ascii="Arial"/>
                <w:sz w:val="21"/>
              </w:rPr>
            </w:pPr>
          </w:p>
        </w:tc>
        <w:tc>
          <w:tcPr>
            <w:tcW w:w="220" w:type="dxa"/>
            <w:vAlign w:val="top"/>
          </w:tcPr>
          <w:p w14:paraId="29BFD32D">
            <w:pPr>
              <w:pStyle w:val="6"/>
              <w:spacing w:before="133" w:line="238" w:lineRule="auto"/>
              <w:ind w:left="39"/>
              <w:rPr>
                <w:sz w:val="13"/>
                <w:szCs w:val="13"/>
              </w:rPr>
            </w:pPr>
            <w:r>
              <w:rPr>
                <w:sz w:val="13"/>
                <w:szCs w:val="13"/>
              </w:rPr>
              <w:t>√</w:t>
            </w:r>
          </w:p>
        </w:tc>
        <w:tc>
          <w:tcPr>
            <w:tcW w:w="229" w:type="dxa"/>
            <w:vAlign w:val="top"/>
          </w:tcPr>
          <w:p w14:paraId="2954BC96">
            <w:pPr>
              <w:rPr>
                <w:rFonts w:ascii="Arial"/>
                <w:sz w:val="21"/>
              </w:rPr>
            </w:pPr>
          </w:p>
        </w:tc>
        <w:tc>
          <w:tcPr>
            <w:tcW w:w="234" w:type="dxa"/>
            <w:vAlign w:val="top"/>
          </w:tcPr>
          <w:p w14:paraId="31397A4D">
            <w:pPr>
              <w:rPr>
                <w:rFonts w:ascii="Arial"/>
                <w:sz w:val="21"/>
              </w:rPr>
            </w:pPr>
          </w:p>
        </w:tc>
      </w:tr>
      <w:tr w14:paraId="365BA6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8" w:hRule="atLeast"/>
        </w:trPr>
        <w:tc>
          <w:tcPr>
            <w:tcW w:w="903" w:type="dxa"/>
            <w:vMerge w:val="restart"/>
            <w:tcBorders>
              <w:bottom w:val="nil"/>
            </w:tcBorders>
            <w:vAlign w:val="top"/>
          </w:tcPr>
          <w:p w14:paraId="7BD6097A">
            <w:pPr>
              <w:spacing w:line="324" w:lineRule="auto"/>
              <w:rPr>
                <w:rFonts w:ascii="Arial"/>
                <w:sz w:val="21"/>
              </w:rPr>
            </w:pPr>
          </w:p>
          <w:p w14:paraId="36FBA520">
            <w:pPr>
              <w:pStyle w:val="6"/>
              <w:spacing w:before="59" w:line="217" w:lineRule="auto"/>
              <w:ind w:left="84"/>
              <w:rPr>
                <w:sz w:val="18"/>
                <w:szCs w:val="18"/>
              </w:rPr>
            </w:pPr>
            <w:r>
              <w:rPr>
                <w:spacing w:val="11"/>
                <w:sz w:val="18"/>
                <w:szCs w:val="18"/>
              </w:rPr>
              <w:t>耳的位</w:t>
            </w:r>
            <w:r>
              <w:rPr>
                <w:spacing w:val="-47"/>
                <w:sz w:val="18"/>
                <w:szCs w:val="18"/>
              </w:rPr>
              <w:t xml:space="preserve"> </w:t>
            </w:r>
            <w:r>
              <w:rPr>
                <w:spacing w:val="11"/>
                <w:sz w:val="18"/>
                <w:szCs w:val="18"/>
              </w:rPr>
              <w:t>、</w:t>
            </w:r>
            <w:r>
              <w:rPr>
                <w:sz w:val="18"/>
                <w:szCs w:val="18"/>
              </w:rPr>
              <w:t xml:space="preserve"> </w:t>
            </w:r>
            <w:r>
              <w:rPr>
                <w:spacing w:val="1"/>
                <w:sz w:val="18"/>
                <w:szCs w:val="18"/>
              </w:rPr>
              <w:t>听觉功能</w:t>
            </w:r>
          </w:p>
        </w:tc>
        <w:tc>
          <w:tcPr>
            <w:tcW w:w="2314" w:type="dxa"/>
            <w:vMerge w:val="restart"/>
            <w:tcBorders>
              <w:bottom w:val="nil"/>
            </w:tcBorders>
            <w:vAlign w:val="top"/>
          </w:tcPr>
          <w:p w14:paraId="253E62BB">
            <w:pPr>
              <w:pStyle w:val="6"/>
              <w:spacing w:before="162" w:line="231" w:lineRule="auto"/>
              <w:ind w:left="11" w:right="212"/>
              <w:rPr>
                <w:sz w:val="18"/>
                <w:szCs w:val="18"/>
              </w:rPr>
            </w:pPr>
            <w:r>
              <w:rPr>
                <w:sz w:val="18"/>
                <w:szCs w:val="18"/>
              </w:rPr>
              <w:t>1.声波的传导途径(听小骨</w:t>
            </w:r>
            <w:r>
              <w:rPr>
                <w:spacing w:val="8"/>
                <w:sz w:val="18"/>
                <w:szCs w:val="18"/>
              </w:rPr>
              <w:t xml:space="preserve"> </w:t>
            </w:r>
            <w:r>
              <w:rPr>
                <w:spacing w:val="9"/>
                <w:sz w:val="18"/>
                <w:szCs w:val="18"/>
              </w:rPr>
              <w:t>的作用)</w:t>
            </w:r>
          </w:p>
          <w:p w14:paraId="50E40DE2">
            <w:pPr>
              <w:pStyle w:val="6"/>
              <w:spacing w:line="217" w:lineRule="auto"/>
              <w:ind w:left="11" w:right="321"/>
              <w:rPr>
                <w:sz w:val="18"/>
                <w:szCs w:val="18"/>
              </w:rPr>
            </w:pPr>
            <w:r>
              <w:rPr>
                <w:spacing w:val="-1"/>
                <w:sz w:val="18"/>
                <w:szCs w:val="18"/>
              </w:rPr>
              <w:t>2.耳蜗对音调的初步分析</w:t>
            </w:r>
            <w:r>
              <w:rPr>
                <w:spacing w:val="1"/>
                <w:sz w:val="18"/>
                <w:szCs w:val="18"/>
              </w:rPr>
              <w:t xml:space="preserve"> </w:t>
            </w:r>
            <w:r>
              <w:rPr>
                <w:spacing w:val="-1"/>
                <w:sz w:val="18"/>
                <w:szCs w:val="18"/>
              </w:rPr>
              <w:t>3.前庭和半规管的功能</w:t>
            </w:r>
          </w:p>
        </w:tc>
        <w:tc>
          <w:tcPr>
            <w:tcW w:w="219" w:type="dxa"/>
            <w:vAlign w:val="top"/>
          </w:tcPr>
          <w:p w14:paraId="4FA14C70">
            <w:pPr>
              <w:rPr>
                <w:rFonts w:ascii="Arial"/>
                <w:sz w:val="21"/>
              </w:rPr>
            </w:pPr>
          </w:p>
        </w:tc>
        <w:tc>
          <w:tcPr>
            <w:tcW w:w="220" w:type="dxa"/>
            <w:vAlign w:val="top"/>
          </w:tcPr>
          <w:p w14:paraId="42651FD8">
            <w:pPr>
              <w:rPr>
                <w:rFonts w:ascii="Arial"/>
                <w:sz w:val="21"/>
              </w:rPr>
            </w:pPr>
          </w:p>
        </w:tc>
        <w:tc>
          <w:tcPr>
            <w:tcW w:w="229" w:type="dxa"/>
            <w:vAlign w:val="top"/>
          </w:tcPr>
          <w:p w14:paraId="0DE9BF13">
            <w:pPr>
              <w:rPr>
                <w:rFonts w:ascii="Arial"/>
                <w:sz w:val="21"/>
              </w:rPr>
            </w:pPr>
          </w:p>
        </w:tc>
        <w:tc>
          <w:tcPr>
            <w:tcW w:w="234" w:type="dxa"/>
            <w:vAlign w:val="top"/>
          </w:tcPr>
          <w:p w14:paraId="6989426A">
            <w:pPr>
              <w:rPr>
                <w:rFonts w:ascii="Arial"/>
                <w:sz w:val="21"/>
              </w:rPr>
            </w:pPr>
          </w:p>
        </w:tc>
      </w:tr>
      <w:tr w14:paraId="02D742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9" w:hRule="atLeast"/>
        </w:trPr>
        <w:tc>
          <w:tcPr>
            <w:tcW w:w="903" w:type="dxa"/>
            <w:vMerge w:val="continue"/>
            <w:tcBorders>
              <w:top w:val="nil"/>
              <w:bottom w:val="nil"/>
            </w:tcBorders>
            <w:vAlign w:val="top"/>
          </w:tcPr>
          <w:p w14:paraId="1508DBFA">
            <w:pPr>
              <w:rPr>
                <w:rFonts w:ascii="Arial"/>
                <w:sz w:val="21"/>
              </w:rPr>
            </w:pPr>
          </w:p>
        </w:tc>
        <w:tc>
          <w:tcPr>
            <w:tcW w:w="2314" w:type="dxa"/>
            <w:vMerge w:val="continue"/>
            <w:tcBorders>
              <w:top w:val="nil"/>
              <w:bottom w:val="nil"/>
            </w:tcBorders>
            <w:vAlign w:val="top"/>
          </w:tcPr>
          <w:p w14:paraId="6EFA50A0">
            <w:pPr>
              <w:rPr>
                <w:rFonts w:ascii="Arial"/>
                <w:sz w:val="21"/>
              </w:rPr>
            </w:pPr>
          </w:p>
        </w:tc>
        <w:tc>
          <w:tcPr>
            <w:tcW w:w="219" w:type="dxa"/>
            <w:vAlign w:val="top"/>
          </w:tcPr>
          <w:p w14:paraId="22328BE5">
            <w:pPr>
              <w:pStyle w:val="6"/>
              <w:spacing w:before="96" w:line="238" w:lineRule="auto"/>
              <w:ind w:left="18"/>
              <w:rPr>
                <w:sz w:val="13"/>
                <w:szCs w:val="13"/>
              </w:rPr>
            </w:pPr>
            <w:r>
              <w:rPr>
                <w:sz w:val="13"/>
                <w:szCs w:val="13"/>
              </w:rPr>
              <w:t>√</w:t>
            </w:r>
          </w:p>
        </w:tc>
        <w:tc>
          <w:tcPr>
            <w:tcW w:w="220" w:type="dxa"/>
            <w:vAlign w:val="top"/>
          </w:tcPr>
          <w:p w14:paraId="6B24A766">
            <w:pPr>
              <w:rPr>
                <w:rFonts w:ascii="Arial"/>
                <w:sz w:val="21"/>
              </w:rPr>
            </w:pPr>
          </w:p>
        </w:tc>
        <w:tc>
          <w:tcPr>
            <w:tcW w:w="229" w:type="dxa"/>
            <w:vAlign w:val="top"/>
          </w:tcPr>
          <w:p w14:paraId="4DAFD7C3">
            <w:pPr>
              <w:rPr>
                <w:rFonts w:ascii="Arial"/>
                <w:sz w:val="21"/>
              </w:rPr>
            </w:pPr>
          </w:p>
        </w:tc>
        <w:tc>
          <w:tcPr>
            <w:tcW w:w="234" w:type="dxa"/>
            <w:vAlign w:val="top"/>
          </w:tcPr>
          <w:p w14:paraId="190BE98E">
            <w:pPr>
              <w:rPr>
                <w:rFonts w:ascii="Arial"/>
                <w:sz w:val="21"/>
              </w:rPr>
            </w:pPr>
          </w:p>
        </w:tc>
      </w:tr>
      <w:tr w14:paraId="3BD9DF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4" w:hRule="atLeast"/>
        </w:trPr>
        <w:tc>
          <w:tcPr>
            <w:tcW w:w="903" w:type="dxa"/>
            <w:vMerge w:val="continue"/>
            <w:tcBorders>
              <w:top w:val="nil"/>
            </w:tcBorders>
            <w:vAlign w:val="top"/>
          </w:tcPr>
          <w:p w14:paraId="2E2BEA5F">
            <w:pPr>
              <w:rPr>
                <w:rFonts w:ascii="Arial"/>
                <w:sz w:val="21"/>
              </w:rPr>
            </w:pPr>
          </w:p>
        </w:tc>
        <w:tc>
          <w:tcPr>
            <w:tcW w:w="2314" w:type="dxa"/>
            <w:vMerge w:val="continue"/>
            <w:tcBorders>
              <w:top w:val="nil"/>
            </w:tcBorders>
            <w:vAlign w:val="top"/>
          </w:tcPr>
          <w:p w14:paraId="5AF5C34E">
            <w:pPr>
              <w:rPr>
                <w:rFonts w:ascii="Arial"/>
                <w:sz w:val="21"/>
              </w:rPr>
            </w:pPr>
          </w:p>
        </w:tc>
        <w:tc>
          <w:tcPr>
            <w:tcW w:w="219" w:type="dxa"/>
            <w:vAlign w:val="top"/>
          </w:tcPr>
          <w:p w14:paraId="76ECFB12">
            <w:pPr>
              <w:pStyle w:val="6"/>
              <w:spacing w:before="87" w:line="237" w:lineRule="auto"/>
              <w:ind w:left="18"/>
              <w:rPr>
                <w:sz w:val="13"/>
                <w:szCs w:val="13"/>
              </w:rPr>
            </w:pPr>
            <w:r>
              <w:rPr>
                <w:sz w:val="13"/>
                <w:szCs w:val="13"/>
              </w:rPr>
              <w:t>√</w:t>
            </w:r>
          </w:p>
        </w:tc>
        <w:tc>
          <w:tcPr>
            <w:tcW w:w="220" w:type="dxa"/>
            <w:vAlign w:val="top"/>
          </w:tcPr>
          <w:p w14:paraId="06A09C50">
            <w:pPr>
              <w:rPr>
                <w:rFonts w:ascii="Arial"/>
                <w:sz w:val="21"/>
              </w:rPr>
            </w:pPr>
          </w:p>
        </w:tc>
        <w:tc>
          <w:tcPr>
            <w:tcW w:w="229" w:type="dxa"/>
            <w:vAlign w:val="top"/>
          </w:tcPr>
          <w:p w14:paraId="7D0291A2">
            <w:pPr>
              <w:rPr>
                <w:rFonts w:ascii="Arial"/>
                <w:sz w:val="21"/>
              </w:rPr>
            </w:pPr>
          </w:p>
        </w:tc>
        <w:tc>
          <w:tcPr>
            <w:tcW w:w="234" w:type="dxa"/>
            <w:vAlign w:val="top"/>
          </w:tcPr>
          <w:p w14:paraId="2E05F639">
            <w:pPr>
              <w:rPr>
                <w:rFonts w:ascii="Arial"/>
                <w:sz w:val="21"/>
              </w:rPr>
            </w:pPr>
          </w:p>
        </w:tc>
      </w:tr>
    </w:tbl>
    <w:p w14:paraId="3F9B7CF6">
      <w:pPr>
        <w:spacing w:before="118" w:line="221" w:lineRule="auto"/>
        <w:ind w:left="1287"/>
        <w:rPr>
          <w:rFonts w:ascii="黑体" w:hAnsi="黑体" w:eastAsia="黑体" w:cs="黑体"/>
          <w:sz w:val="20"/>
          <w:szCs w:val="20"/>
        </w:rPr>
      </w:pPr>
      <w:r>
        <w:rPr>
          <w:rFonts w:ascii="黑体" w:hAnsi="黑体" w:eastAsia="黑体" w:cs="黑体"/>
          <w:b/>
          <w:bCs/>
          <w:spacing w:val="-10"/>
          <w:sz w:val="20"/>
          <w:szCs w:val="20"/>
        </w:rPr>
        <w:t>第十章</w:t>
      </w:r>
      <w:r>
        <w:rPr>
          <w:rFonts w:ascii="黑体" w:hAnsi="黑体" w:eastAsia="黑体" w:cs="黑体"/>
          <w:spacing w:val="9"/>
          <w:sz w:val="20"/>
          <w:szCs w:val="20"/>
        </w:rPr>
        <w:t xml:space="preserve">  </w:t>
      </w:r>
      <w:r>
        <w:rPr>
          <w:rFonts w:ascii="黑体" w:hAnsi="黑体" w:eastAsia="黑体" w:cs="黑体"/>
          <w:b/>
          <w:bCs/>
          <w:spacing w:val="-10"/>
          <w:sz w:val="20"/>
          <w:szCs w:val="20"/>
        </w:rPr>
        <w:t>神经系统</w:t>
      </w:r>
    </w:p>
    <w:p w14:paraId="3E28AC9B">
      <w:pPr>
        <w:spacing w:line="82" w:lineRule="exact"/>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14"/>
        <w:gridCol w:w="229"/>
        <w:gridCol w:w="220"/>
        <w:gridCol w:w="229"/>
        <w:gridCol w:w="234"/>
      </w:tblGrid>
      <w:tr w14:paraId="351B91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893" w:type="dxa"/>
            <w:vMerge w:val="restart"/>
            <w:tcBorders>
              <w:top w:val="single" w:color="000000" w:sz="2" w:space="0"/>
              <w:bottom w:val="nil"/>
            </w:tcBorders>
            <w:vAlign w:val="top"/>
          </w:tcPr>
          <w:p w14:paraId="07526972">
            <w:pPr>
              <w:pStyle w:val="6"/>
              <w:spacing w:before="166" w:line="214" w:lineRule="auto"/>
              <w:ind w:left="257" w:right="1" w:hanging="240"/>
              <w:rPr>
                <w:sz w:val="18"/>
                <w:szCs w:val="18"/>
              </w:rPr>
            </w:pPr>
            <w:r>
              <w:rPr>
                <w:b/>
                <w:bCs/>
                <w:spacing w:val="-10"/>
                <w:sz w:val="18"/>
                <w:szCs w:val="18"/>
              </w:rPr>
              <w:t>知识与技能</w:t>
            </w:r>
            <w:r>
              <w:rPr>
                <w:spacing w:val="3"/>
                <w:sz w:val="18"/>
                <w:szCs w:val="18"/>
              </w:rPr>
              <w:t xml:space="preserve"> </w:t>
            </w:r>
            <w:r>
              <w:rPr>
                <w:b/>
                <w:bCs/>
                <w:spacing w:val="-4"/>
                <w:sz w:val="18"/>
                <w:szCs w:val="18"/>
              </w:rPr>
              <w:t>要点</w:t>
            </w:r>
          </w:p>
        </w:tc>
        <w:tc>
          <w:tcPr>
            <w:tcW w:w="2314" w:type="dxa"/>
            <w:vMerge w:val="restart"/>
            <w:tcBorders>
              <w:top w:val="single" w:color="000000" w:sz="2" w:space="0"/>
              <w:bottom w:val="nil"/>
            </w:tcBorders>
            <w:vAlign w:val="top"/>
          </w:tcPr>
          <w:p w14:paraId="26CBA063">
            <w:pPr>
              <w:pStyle w:val="6"/>
              <w:spacing w:before="264" w:line="219" w:lineRule="auto"/>
              <w:ind w:left="834"/>
              <w:rPr>
                <w:sz w:val="18"/>
                <w:szCs w:val="18"/>
              </w:rPr>
            </w:pPr>
            <w:r>
              <w:rPr>
                <w:b/>
                <w:bCs/>
                <w:spacing w:val="5"/>
                <w:sz w:val="18"/>
                <w:szCs w:val="18"/>
              </w:rPr>
              <w:t>考试条目</w:t>
            </w:r>
          </w:p>
        </w:tc>
        <w:tc>
          <w:tcPr>
            <w:tcW w:w="912" w:type="dxa"/>
            <w:gridSpan w:val="4"/>
            <w:tcBorders>
              <w:top w:val="single" w:color="000000" w:sz="2" w:space="0"/>
              <w:bottom w:val="single" w:color="000000" w:sz="2" w:space="0"/>
            </w:tcBorders>
            <w:vAlign w:val="top"/>
          </w:tcPr>
          <w:p w14:paraId="5C927E18">
            <w:pPr>
              <w:pStyle w:val="6"/>
              <w:spacing w:before="94" w:line="219" w:lineRule="auto"/>
              <w:ind w:left="130"/>
              <w:rPr>
                <w:sz w:val="18"/>
                <w:szCs w:val="18"/>
              </w:rPr>
            </w:pPr>
            <w:r>
              <w:rPr>
                <w:b/>
                <w:bCs/>
                <w:spacing w:val="-4"/>
                <w:sz w:val="18"/>
                <w:szCs w:val="18"/>
              </w:rPr>
              <w:t>考试水平</w:t>
            </w:r>
          </w:p>
        </w:tc>
      </w:tr>
      <w:tr w14:paraId="4BC943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4" w:hRule="atLeast"/>
        </w:trPr>
        <w:tc>
          <w:tcPr>
            <w:tcW w:w="893" w:type="dxa"/>
            <w:vMerge w:val="continue"/>
            <w:tcBorders>
              <w:top w:val="nil"/>
              <w:bottom w:val="single" w:color="000000" w:sz="2" w:space="0"/>
            </w:tcBorders>
            <w:vAlign w:val="top"/>
          </w:tcPr>
          <w:p w14:paraId="7F7343AD">
            <w:pPr>
              <w:rPr>
                <w:rFonts w:ascii="Arial"/>
                <w:sz w:val="21"/>
              </w:rPr>
            </w:pPr>
          </w:p>
        </w:tc>
        <w:tc>
          <w:tcPr>
            <w:tcW w:w="2314" w:type="dxa"/>
            <w:vMerge w:val="continue"/>
            <w:tcBorders>
              <w:top w:val="nil"/>
              <w:bottom w:val="single" w:color="000000" w:sz="2" w:space="0"/>
            </w:tcBorders>
            <w:vAlign w:val="top"/>
          </w:tcPr>
          <w:p w14:paraId="03841AE2">
            <w:pPr>
              <w:rPr>
                <w:rFonts w:ascii="Arial"/>
                <w:sz w:val="21"/>
              </w:rPr>
            </w:pPr>
          </w:p>
        </w:tc>
        <w:tc>
          <w:tcPr>
            <w:tcW w:w="229" w:type="dxa"/>
            <w:tcBorders>
              <w:top w:val="single" w:color="000000" w:sz="2" w:space="0"/>
              <w:bottom w:val="single" w:color="000000" w:sz="2" w:space="0"/>
            </w:tcBorders>
            <w:vAlign w:val="top"/>
          </w:tcPr>
          <w:p w14:paraId="448085AA">
            <w:pPr>
              <w:pStyle w:val="6"/>
              <w:spacing w:before="128" w:line="184" w:lineRule="auto"/>
              <w:ind w:left="10"/>
              <w:rPr>
                <w:sz w:val="18"/>
                <w:szCs w:val="18"/>
              </w:rPr>
            </w:pPr>
            <w:r>
              <w:rPr>
                <w:b/>
                <w:bCs/>
                <w:spacing w:val="-2"/>
                <w:sz w:val="18"/>
                <w:szCs w:val="18"/>
              </w:rPr>
              <w:t>A</w:t>
            </w:r>
          </w:p>
        </w:tc>
        <w:tc>
          <w:tcPr>
            <w:tcW w:w="220" w:type="dxa"/>
            <w:tcBorders>
              <w:top w:val="single" w:color="000000" w:sz="2" w:space="0"/>
              <w:bottom w:val="single" w:color="000000" w:sz="2" w:space="0"/>
            </w:tcBorders>
            <w:vAlign w:val="top"/>
          </w:tcPr>
          <w:p w14:paraId="58D28EC1">
            <w:pPr>
              <w:pStyle w:val="6"/>
              <w:spacing w:before="130" w:line="182" w:lineRule="auto"/>
              <w:ind w:left="61"/>
              <w:rPr>
                <w:sz w:val="18"/>
                <w:szCs w:val="18"/>
              </w:rPr>
            </w:pPr>
            <w:r>
              <w:rPr>
                <w:b/>
                <w:bCs/>
                <w:spacing w:val="-2"/>
                <w:sz w:val="18"/>
                <w:szCs w:val="18"/>
              </w:rPr>
              <w:t>B</w:t>
            </w:r>
          </w:p>
        </w:tc>
        <w:tc>
          <w:tcPr>
            <w:tcW w:w="229" w:type="dxa"/>
            <w:tcBorders>
              <w:top w:val="single" w:color="000000" w:sz="2" w:space="0"/>
              <w:bottom w:val="single" w:color="000000" w:sz="2" w:space="0"/>
            </w:tcBorders>
            <w:vAlign w:val="top"/>
          </w:tcPr>
          <w:p w14:paraId="7E5DA944">
            <w:pPr>
              <w:pStyle w:val="6"/>
              <w:spacing w:before="129" w:line="183" w:lineRule="auto"/>
              <w:ind w:left="19"/>
              <w:rPr>
                <w:sz w:val="18"/>
                <w:szCs w:val="18"/>
              </w:rPr>
            </w:pPr>
            <w:r>
              <w:rPr>
                <w:sz w:val="18"/>
                <w:szCs w:val="18"/>
              </w:rPr>
              <w:t>C</w:t>
            </w:r>
          </w:p>
        </w:tc>
        <w:tc>
          <w:tcPr>
            <w:tcW w:w="234" w:type="dxa"/>
            <w:tcBorders>
              <w:top w:val="single" w:color="000000" w:sz="2" w:space="0"/>
              <w:bottom w:val="single" w:color="000000" w:sz="2" w:space="0"/>
            </w:tcBorders>
            <w:vAlign w:val="top"/>
          </w:tcPr>
          <w:p w14:paraId="44241FDE">
            <w:pPr>
              <w:pStyle w:val="6"/>
              <w:spacing w:before="130" w:line="182" w:lineRule="auto"/>
              <w:ind w:left="22"/>
              <w:rPr>
                <w:sz w:val="18"/>
                <w:szCs w:val="18"/>
              </w:rPr>
            </w:pPr>
            <w:r>
              <w:rPr>
                <w:b/>
                <w:bCs/>
                <w:spacing w:val="-2"/>
                <w:sz w:val="18"/>
                <w:szCs w:val="18"/>
              </w:rPr>
              <w:t>D</w:t>
            </w:r>
          </w:p>
        </w:tc>
      </w:tr>
      <w:tr w14:paraId="7EB607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trPr>
        <w:tc>
          <w:tcPr>
            <w:tcW w:w="893" w:type="dxa"/>
            <w:vMerge w:val="restart"/>
            <w:tcBorders>
              <w:top w:val="single" w:color="000000" w:sz="2" w:space="0"/>
              <w:bottom w:val="nil"/>
            </w:tcBorders>
            <w:vAlign w:val="top"/>
          </w:tcPr>
          <w:p w14:paraId="5A40D0D6">
            <w:pPr>
              <w:spacing w:line="256" w:lineRule="auto"/>
              <w:rPr>
                <w:rFonts w:ascii="Arial"/>
                <w:sz w:val="21"/>
              </w:rPr>
            </w:pPr>
          </w:p>
          <w:p w14:paraId="0CAAC0C8">
            <w:pPr>
              <w:spacing w:line="256" w:lineRule="auto"/>
              <w:rPr>
                <w:rFonts w:ascii="Arial"/>
                <w:sz w:val="21"/>
              </w:rPr>
            </w:pPr>
          </w:p>
          <w:p w14:paraId="013097D3">
            <w:pPr>
              <w:pStyle w:val="6"/>
              <w:spacing w:before="58" w:line="219" w:lineRule="auto"/>
              <w:ind w:left="15"/>
              <w:rPr>
                <w:sz w:val="18"/>
                <w:szCs w:val="18"/>
              </w:rPr>
            </w:pPr>
            <w:r>
              <w:rPr>
                <w:spacing w:val="-2"/>
                <w:sz w:val="18"/>
                <w:szCs w:val="18"/>
              </w:rPr>
              <w:t>反射中枢</w:t>
            </w:r>
          </w:p>
        </w:tc>
        <w:tc>
          <w:tcPr>
            <w:tcW w:w="2314" w:type="dxa"/>
            <w:vMerge w:val="restart"/>
            <w:tcBorders>
              <w:top w:val="single" w:color="000000" w:sz="2" w:space="0"/>
              <w:bottom w:val="nil"/>
            </w:tcBorders>
            <w:vAlign w:val="top"/>
          </w:tcPr>
          <w:p w14:paraId="63312AEC">
            <w:pPr>
              <w:pStyle w:val="6"/>
              <w:spacing w:before="154" w:line="220" w:lineRule="auto"/>
              <w:ind w:left="2" w:right="134"/>
              <w:rPr>
                <w:sz w:val="18"/>
                <w:szCs w:val="18"/>
              </w:rPr>
            </w:pPr>
            <w:r>
              <w:rPr>
                <w:sz w:val="18"/>
                <w:szCs w:val="18"/>
              </w:rPr>
              <w:t>1.突触的概念、突触的传递</w:t>
            </w:r>
            <w:r>
              <w:rPr>
                <w:spacing w:val="6"/>
                <w:sz w:val="18"/>
                <w:szCs w:val="18"/>
              </w:rPr>
              <w:t xml:space="preserve"> </w:t>
            </w:r>
            <w:r>
              <w:rPr>
                <w:spacing w:val="-2"/>
                <w:sz w:val="18"/>
                <w:szCs w:val="18"/>
              </w:rPr>
              <w:t>过程</w:t>
            </w:r>
          </w:p>
          <w:p w14:paraId="45FB39D4">
            <w:pPr>
              <w:pStyle w:val="6"/>
              <w:spacing w:before="1" w:line="223" w:lineRule="auto"/>
              <w:ind w:left="2" w:right="118"/>
              <w:jc w:val="both"/>
              <w:rPr>
                <w:sz w:val="18"/>
                <w:szCs w:val="18"/>
              </w:rPr>
            </w:pPr>
            <w:r>
              <w:rPr>
                <w:spacing w:val="-1"/>
                <w:sz w:val="18"/>
                <w:szCs w:val="18"/>
              </w:rPr>
              <w:t>2.比较神经纤维传导兴奋性</w:t>
            </w:r>
            <w:r>
              <w:rPr>
                <w:spacing w:val="2"/>
                <w:sz w:val="18"/>
                <w:szCs w:val="18"/>
              </w:rPr>
              <w:t xml:space="preserve"> </w:t>
            </w:r>
            <w:r>
              <w:rPr>
                <w:spacing w:val="1"/>
                <w:sz w:val="18"/>
                <w:szCs w:val="18"/>
              </w:rPr>
              <w:t>的特征与兴奋在中枢传递的</w:t>
            </w:r>
            <w:r>
              <w:rPr>
                <w:spacing w:val="10"/>
                <w:sz w:val="18"/>
                <w:szCs w:val="18"/>
              </w:rPr>
              <w:t xml:space="preserve"> </w:t>
            </w:r>
            <w:r>
              <w:rPr>
                <w:spacing w:val="-2"/>
                <w:sz w:val="18"/>
                <w:szCs w:val="18"/>
              </w:rPr>
              <w:t>特征</w:t>
            </w:r>
          </w:p>
        </w:tc>
        <w:tc>
          <w:tcPr>
            <w:tcW w:w="229" w:type="dxa"/>
            <w:tcBorders>
              <w:top w:val="single" w:color="000000" w:sz="2" w:space="0"/>
              <w:bottom w:val="single" w:color="000000" w:sz="2" w:space="0"/>
            </w:tcBorders>
            <w:vAlign w:val="top"/>
          </w:tcPr>
          <w:p w14:paraId="5F5DDF6D">
            <w:pPr>
              <w:pStyle w:val="6"/>
              <w:spacing w:before="183" w:line="238" w:lineRule="auto"/>
              <w:ind w:left="7"/>
              <w:rPr>
                <w:sz w:val="12"/>
                <w:szCs w:val="12"/>
              </w:rPr>
            </w:pPr>
            <w:r>
              <w:rPr>
                <w:sz w:val="12"/>
                <w:szCs w:val="12"/>
              </w:rPr>
              <w:t>√</w:t>
            </w:r>
          </w:p>
        </w:tc>
        <w:tc>
          <w:tcPr>
            <w:tcW w:w="220" w:type="dxa"/>
            <w:tcBorders>
              <w:top w:val="single" w:color="000000" w:sz="2" w:space="0"/>
              <w:bottom w:val="single" w:color="000000" w:sz="2" w:space="0"/>
            </w:tcBorders>
            <w:vAlign w:val="top"/>
          </w:tcPr>
          <w:p w14:paraId="608ADE08">
            <w:pPr>
              <w:rPr>
                <w:rFonts w:ascii="Arial"/>
                <w:sz w:val="21"/>
              </w:rPr>
            </w:pPr>
          </w:p>
        </w:tc>
        <w:tc>
          <w:tcPr>
            <w:tcW w:w="229" w:type="dxa"/>
            <w:tcBorders>
              <w:top w:val="single" w:color="000000" w:sz="2" w:space="0"/>
              <w:bottom w:val="single" w:color="000000" w:sz="2" w:space="0"/>
            </w:tcBorders>
            <w:vAlign w:val="top"/>
          </w:tcPr>
          <w:p w14:paraId="3D544285">
            <w:pPr>
              <w:rPr>
                <w:rFonts w:ascii="Arial"/>
                <w:sz w:val="21"/>
              </w:rPr>
            </w:pPr>
          </w:p>
        </w:tc>
        <w:tc>
          <w:tcPr>
            <w:tcW w:w="234" w:type="dxa"/>
            <w:tcBorders>
              <w:top w:val="single" w:color="000000" w:sz="2" w:space="0"/>
              <w:bottom w:val="single" w:color="000000" w:sz="2" w:space="0"/>
            </w:tcBorders>
            <w:vAlign w:val="top"/>
          </w:tcPr>
          <w:p w14:paraId="4433A636">
            <w:pPr>
              <w:rPr>
                <w:rFonts w:ascii="Arial"/>
                <w:sz w:val="21"/>
              </w:rPr>
            </w:pPr>
          </w:p>
        </w:tc>
      </w:tr>
      <w:tr w14:paraId="453C0A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53" w:hRule="atLeast"/>
        </w:trPr>
        <w:tc>
          <w:tcPr>
            <w:tcW w:w="893" w:type="dxa"/>
            <w:vMerge w:val="continue"/>
            <w:tcBorders>
              <w:top w:val="nil"/>
              <w:bottom w:val="single" w:color="000000" w:sz="2" w:space="0"/>
            </w:tcBorders>
            <w:vAlign w:val="top"/>
          </w:tcPr>
          <w:p w14:paraId="39EF623E">
            <w:pPr>
              <w:rPr>
                <w:rFonts w:ascii="Arial"/>
                <w:sz w:val="21"/>
              </w:rPr>
            </w:pPr>
          </w:p>
        </w:tc>
        <w:tc>
          <w:tcPr>
            <w:tcW w:w="2314" w:type="dxa"/>
            <w:vMerge w:val="continue"/>
            <w:tcBorders>
              <w:top w:val="nil"/>
              <w:bottom w:val="single" w:color="000000" w:sz="2" w:space="0"/>
            </w:tcBorders>
            <w:vAlign w:val="top"/>
          </w:tcPr>
          <w:p w14:paraId="2D401903">
            <w:pPr>
              <w:rPr>
                <w:rFonts w:ascii="Arial"/>
                <w:sz w:val="21"/>
              </w:rPr>
            </w:pPr>
          </w:p>
        </w:tc>
        <w:tc>
          <w:tcPr>
            <w:tcW w:w="229" w:type="dxa"/>
            <w:tcBorders>
              <w:top w:val="single" w:color="000000" w:sz="2" w:space="0"/>
              <w:bottom w:val="single" w:color="000000" w:sz="2" w:space="0"/>
            </w:tcBorders>
            <w:vAlign w:val="top"/>
          </w:tcPr>
          <w:p w14:paraId="6AC14FCC">
            <w:pPr>
              <w:rPr>
                <w:rFonts w:ascii="Arial"/>
                <w:sz w:val="21"/>
              </w:rPr>
            </w:pPr>
          </w:p>
        </w:tc>
        <w:tc>
          <w:tcPr>
            <w:tcW w:w="220" w:type="dxa"/>
            <w:tcBorders>
              <w:top w:val="single" w:color="000000" w:sz="2" w:space="0"/>
              <w:bottom w:val="single" w:color="000000" w:sz="2" w:space="0"/>
            </w:tcBorders>
            <w:vAlign w:val="top"/>
          </w:tcPr>
          <w:p w14:paraId="4BB64F63">
            <w:pPr>
              <w:rPr>
                <w:rFonts w:ascii="Arial"/>
                <w:sz w:val="21"/>
              </w:rPr>
            </w:pPr>
          </w:p>
        </w:tc>
        <w:tc>
          <w:tcPr>
            <w:tcW w:w="229" w:type="dxa"/>
            <w:tcBorders>
              <w:top w:val="single" w:color="000000" w:sz="2" w:space="0"/>
              <w:bottom w:val="single" w:color="000000" w:sz="2" w:space="0"/>
            </w:tcBorders>
            <w:vAlign w:val="top"/>
          </w:tcPr>
          <w:p w14:paraId="61F860A7">
            <w:pPr>
              <w:rPr>
                <w:rFonts w:ascii="Arial"/>
                <w:sz w:val="21"/>
              </w:rPr>
            </w:pPr>
          </w:p>
        </w:tc>
        <w:tc>
          <w:tcPr>
            <w:tcW w:w="234" w:type="dxa"/>
            <w:tcBorders>
              <w:top w:val="single" w:color="000000" w:sz="2" w:space="0"/>
              <w:bottom w:val="single" w:color="000000" w:sz="2" w:space="0"/>
            </w:tcBorders>
            <w:vAlign w:val="top"/>
          </w:tcPr>
          <w:p w14:paraId="34014C04">
            <w:pPr>
              <w:rPr>
                <w:rFonts w:ascii="Arial"/>
                <w:sz w:val="21"/>
              </w:rPr>
            </w:pPr>
          </w:p>
        </w:tc>
      </w:tr>
      <w:tr w14:paraId="1C5D37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4" w:hRule="atLeast"/>
        </w:trPr>
        <w:tc>
          <w:tcPr>
            <w:tcW w:w="893" w:type="dxa"/>
            <w:vMerge w:val="restart"/>
            <w:tcBorders>
              <w:top w:val="single" w:color="000000" w:sz="2" w:space="0"/>
              <w:bottom w:val="nil"/>
            </w:tcBorders>
            <w:vAlign w:val="top"/>
          </w:tcPr>
          <w:p w14:paraId="04578BF6">
            <w:pPr>
              <w:spacing w:line="296" w:lineRule="auto"/>
              <w:rPr>
                <w:rFonts w:ascii="Arial"/>
                <w:sz w:val="21"/>
              </w:rPr>
            </w:pPr>
          </w:p>
          <w:p w14:paraId="42D8A9FD">
            <w:pPr>
              <w:pStyle w:val="6"/>
              <w:spacing w:before="58" w:line="223" w:lineRule="auto"/>
              <w:ind w:left="15" w:right="94" w:firstLine="60"/>
              <w:rPr>
                <w:sz w:val="18"/>
                <w:szCs w:val="18"/>
              </w:rPr>
            </w:pPr>
            <w:r>
              <w:rPr>
                <w:spacing w:val="-2"/>
                <w:sz w:val="18"/>
                <w:szCs w:val="18"/>
              </w:rPr>
              <w:t>神经系统</w:t>
            </w:r>
            <w:r>
              <w:rPr>
                <w:sz w:val="18"/>
                <w:szCs w:val="18"/>
              </w:rPr>
              <w:t xml:space="preserve"> </w:t>
            </w:r>
            <w:r>
              <w:rPr>
                <w:spacing w:val="-2"/>
                <w:sz w:val="18"/>
                <w:szCs w:val="18"/>
              </w:rPr>
              <w:t>感觉功能</w:t>
            </w:r>
          </w:p>
        </w:tc>
        <w:tc>
          <w:tcPr>
            <w:tcW w:w="2314" w:type="dxa"/>
            <w:vMerge w:val="restart"/>
            <w:tcBorders>
              <w:top w:val="single" w:color="000000" w:sz="2" w:space="0"/>
              <w:bottom w:val="nil"/>
            </w:tcBorders>
            <w:vAlign w:val="top"/>
          </w:tcPr>
          <w:p w14:paraId="77D176BD">
            <w:pPr>
              <w:pStyle w:val="6"/>
              <w:spacing w:before="146" w:line="218" w:lineRule="auto"/>
              <w:ind w:left="2" w:right="124" w:firstLine="10"/>
              <w:rPr>
                <w:sz w:val="18"/>
                <w:szCs w:val="18"/>
              </w:rPr>
            </w:pPr>
            <w:r>
              <w:rPr>
                <w:sz w:val="18"/>
                <w:szCs w:val="18"/>
              </w:rPr>
              <w:t>1.特异投射系统与非特异性</w:t>
            </w:r>
            <w:r>
              <w:rPr>
                <w:spacing w:val="6"/>
                <w:sz w:val="18"/>
                <w:szCs w:val="18"/>
              </w:rPr>
              <w:t xml:space="preserve"> </w:t>
            </w:r>
            <w:r>
              <w:rPr>
                <w:spacing w:val="-2"/>
                <w:sz w:val="18"/>
                <w:szCs w:val="18"/>
              </w:rPr>
              <w:t>投射系统的功能</w:t>
            </w:r>
          </w:p>
          <w:p w14:paraId="73507155">
            <w:pPr>
              <w:pStyle w:val="6"/>
              <w:spacing w:before="14" w:line="232" w:lineRule="auto"/>
              <w:ind w:left="2" w:right="152"/>
              <w:rPr>
                <w:sz w:val="18"/>
                <w:szCs w:val="18"/>
              </w:rPr>
            </w:pPr>
            <w:r>
              <w:rPr>
                <w:spacing w:val="1"/>
                <w:sz w:val="18"/>
                <w:szCs w:val="18"/>
              </w:rPr>
              <w:t xml:space="preserve">2.皮肤痛与内脏痛的特点  </w:t>
            </w:r>
            <w:r>
              <w:rPr>
                <w:spacing w:val="-1"/>
                <w:sz w:val="18"/>
                <w:szCs w:val="18"/>
              </w:rPr>
              <w:t>3.牵涉痛的概念与临床意义</w:t>
            </w:r>
          </w:p>
        </w:tc>
        <w:tc>
          <w:tcPr>
            <w:tcW w:w="229" w:type="dxa"/>
            <w:tcBorders>
              <w:top w:val="single" w:color="000000" w:sz="2" w:space="0"/>
              <w:bottom w:val="single" w:color="000000" w:sz="2" w:space="0"/>
            </w:tcBorders>
            <w:vAlign w:val="top"/>
          </w:tcPr>
          <w:p w14:paraId="4177ABC8">
            <w:pPr>
              <w:rPr>
                <w:rFonts w:ascii="Arial"/>
                <w:sz w:val="21"/>
              </w:rPr>
            </w:pPr>
          </w:p>
        </w:tc>
        <w:tc>
          <w:tcPr>
            <w:tcW w:w="220" w:type="dxa"/>
            <w:tcBorders>
              <w:top w:val="single" w:color="000000" w:sz="2" w:space="0"/>
              <w:bottom w:val="single" w:color="000000" w:sz="2" w:space="0"/>
            </w:tcBorders>
            <w:vAlign w:val="top"/>
          </w:tcPr>
          <w:p w14:paraId="773E206C">
            <w:pPr>
              <w:pStyle w:val="6"/>
              <w:spacing w:before="216" w:line="238" w:lineRule="auto"/>
              <w:ind w:left="48"/>
              <w:rPr>
                <w:sz w:val="12"/>
                <w:szCs w:val="12"/>
              </w:rPr>
            </w:pPr>
            <w:r>
              <w:rPr>
                <w:sz w:val="12"/>
                <w:szCs w:val="12"/>
              </w:rPr>
              <w:t>√</w:t>
            </w:r>
          </w:p>
        </w:tc>
        <w:tc>
          <w:tcPr>
            <w:tcW w:w="229" w:type="dxa"/>
            <w:tcBorders>
              <w:top w:val="single" w:color="000000" w:sz="2" w:space="0"/>
              <w:bottom w:val="single" w:color="000000" w:sz="2" w:space="0"/>
            </w:tcBorders>
            <w:vAlign w:val="top"/>
          </w:tcPr>
          <w:p w14:paraId="7B198DCB">
            <w:pPr>
              <w:rPr>
                <w:rFonts w:ascii="Arial"/>
                <w:sz w:val="21"/>
              </w:rPr>
            </w:pPr>
          </w:p>
        </w:tc>
        <w:tc>
          <w:tcPr>
            <w:tcW w:w="234" w:type="dxa"/>
            <w:tcBorders>
              <w:top w:val="single" w:color="000000" w:sz="2" w:space="0"/>
              <w:bottom w:val="single" w:color="000000" w:sz="2" w:space="0"/>
            </w:tcBorders>
            <w:vAlign w:val="top"/>
          </w:tcPr>
          <w:p w14:paraId="7A714C0C">
            <w:pPr>
              <w:rPr>
                <w:rFonts w:ascii="Arial"/>
                <w:sz w:val="21"/>
              </w:rPr>
            </w:pPr>
          </w:p>
        </w:tc>
      </w:tr>
      <w:tr w14:paraId="752FB5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893" w:type="dxa"/>
            <w:vMerge w:val="continue"/>
            <w:tcBorders>
              <w:top w:val="nil"/>
              <w:bottom w:val="nil"/>
            </w:tcBorders>
            <w:vAlign w:val="top"/>
          </w:tcPr>
          <w:p w14:paraId="20DB3A76">
            <w:pPr>
              <w:rPr>
                <w:rFonts w:ascii="Arial"/>
                <w:sz w:val="21"/>
              </w:rPr>
            </w:pPr>
          </w:p>
        </w:tc>
        <w:tc>
          <w:tcPr>
            <w:tcW w:w="2314" w:type="dxa"/>
            <w:vMerge w:val="continue"/>
            <w:tcBorders>
              <w:top w:val="nil"/>
              <w:bottom w:val="nil"/>
            </w:tcBorders>
            <w:vAlign w:val="top"/>
          </w:tcPr>
          <w:p w14:paraId="4E09D07C">
            <w:pPr>
              <w:rPr>
                <w:rFonts w:ascii="Arial"/>
                <w:sz w:val="21"/>
              </w:rPr>
            </w:pPr>
          </w:p>
        </w:tc>
        <w:tc>
          <w:tcPr>
            <w:tcW w:w="229" w:type="dxa"/>
            <w:tcBorders>
              <w:top w:val="single" w:color="000000" w:sz="2" w:space="0"/>
              <w:bottom w:val="single" w:color="000000" w:sz="2" w:space="0"/>
            </w:tcBorders>
            <w:vAlign w:val="top"/>
          </w:tcPr>
          <w:p w14:paraId="64DC1BB3">
            <w:pPr>
              <w:spacing w:before="89" w:line="120" w:lineRule="exact"/>
              <w:ind w:firstLine="39"/>
            </w:pPr>
            <w:r>
              <w:rPr>
                <w:position w:val="-2"/>
              </w:rPr>
              <w:drawing>
                <wp:inline distT="0" distB="0" distL="0" distR="0">
                  <wp:extent cx="80010" cy="75565"/>
                  <wp:effectExtent l="0" t="0" r="0" b="0"/>
                  <wp:docPr id="358" name="IM 358"/>
                  <wp:cNvGraphicFramePr/>
                  <a:graphic xmlns:a="http://schemas.openxmlformats.org/drawingml/2006/main">
                    <a:graphicData uri="http://schemas.openxmlformats.org/drawingml/2006/picture">
                      <pic:pic xmlns:pic="http://schemas.openxmlformats.org/drawingml/2006/picture">
                        <pic:nvPicPr>
                          <pic:cNvPr id="358" name="IM 358"/>
                          <pic:cNvPicPr/>
                        </pic:nvPicPr>
                        <pic:blipFill>
                          <a:blip r:embed="rId343"/>
                          <a:stretch>
                            <a:fillRect/>
                          </a:stretch>
                        </pic:blipFill>
                        <pic:spPr>
                          <a:xfrm>
                            <a:off x="0" y="0"/>
                            <a:ext cx="80015" cy="76135"/>
                          </a:xfrm>
                          <a:prstGeom prst="rect">
                            <a:avLst/>
                          </a:prstGeom>
                        </pic:spPr>
                      </pic:pic>
                    </a:graphicData>
                  </a:graphic>
                </wp:inline>
              </w:drawing>
            </w:r>
          </w:p>
        </w:tc>
        <w:tc>
          <w:tcPr>
            <w:tcW w:w="220" w:type="dxa"/>
            <w:tcBorders>
              <w:top w:val="single" w:color="000000" w:sz="2" w:space="0"/>
              <w:bottom w:val="single" w:color="000000" w:sz="2" w:space="0"/>
            </w:tcBorders>
            <w:vAlign w:val="top"/>
          </w:tcPr>
          <w:p w14:paraId="4FBA2757">
            <w:pPr>
              <w:rPr>
                <w:rFonts w:ascii="Arial"/>
                <w:sz w:val="21"/>
              </w:rPr>
            </w:pPr>
          </w:p>
        </w:tc>
        <w:tc>
          <w:tcPr>
            <w:tcW w:w="229" w:type="dxa"/>
            <w:tcBorders>
              <w:top w:val="single" w:color="000000" w:sz="2" w:space="0"/>
              <w:bottom w:val="single" w:color="000000" w:sz="2" w:space="0"/>
            </w:tcBorders>
            <w:vAlign w:val="top"/>
          </w:tcPr>
          <w:p w14:paraId="0D304D65">
            <w:pPr>
              <w:rPr>
                <w:rFonts w:ascii="Arial"/>
                <w:sz w:val="21"/>
              </w:rPr>
            </w:pPr>
          </w:p>
        </w:tc>
        <w:tc>
          <w:tcPr>
            <w:tcW w:w="234" w:type="dxa"/>
            <w:tcBorders>
              <w:top w:val="single" w:color="000000" w:sz="2" w:space="0"/>
              <w:bottom w:val="single" w:color="000000" w:sz="2" w:space="0"/>
            </w:tcBorders>
            <w:vAlign w:val="top"/>
          </w:tcPr>
          <w:p w14:paraId="08322617">
            <w:pPr>
              <w:rPr>
                <w:rFonts w:ascii="Arial"/>
                <w:sz w:val="21"/>
              </w:rPr>
            </w:pPr>
          </w:p>
        </w:tc>
      </w:tr>
      <w:tr w14:paraId="1A3F96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893" w:type="dxa"/>
            <w:vMerge w:val="continue"/>
            <w:tcBorders>
              <w:top w:val="nil"/>
              <w:bottom w:val="single" w:color="000000" w:sz="2" w:space="0"/>
            </w:tcBorders>
            <w:vAlign w:val="top"/>
          </w:tcPr>
          <w:p w14:paraId="0E0BA06C">
            <w:pPr>
              <w:rPr>
                <w:rFonts w:ascii="Arial"/>
                <w:sz w:val="21"/>
              </w:rPr>
            </w:pPr>
          </w:p>
        </w:tc>
        <w:tc>
          <w:tcPr>
            <w:tcW w:w="2314" w:type="dxa"/>
            <w:vMerge w:val="continue"/>
            <w:tcBorders>
              <w:top w:val="nil"/>
              <w:bottom w:val="single" w:color="000000" w:sz="2" w:space="0"/>
            </w:tcBorders>
            <w:vAlign w:val="top"/>
          </w:tcPr>
          <w:p w14:paraId="38452904">
            <w:pPr>
              <w:rPr>
                <w:rFonts w:ascii="Arial"/>
                <w:sz w:val="21"/>
              </w:rPr>
            </w:pPr>
          </w:p>
        </w:tc>
        <w:tc>
          <w:tcPr>
            <w:tcW w:w="229" w:type="dxa"/>
            <w:tcBorders>
              <w:top w:val="single" w:color="000000" w:sz="2" w:space="0"/>
              <w:bottom w:val="single" w:color="000000" w:sz="2" w:space="0"/>
            </w:tcBorders>
            <w:vAlign w:val="top"/>
          </w:tcPr>
          <w:p w14:paraId="2C51316F">
            <w:pPr>
              <w:rPr>
                <w:rFonts w:ascii="Arial"/>
                <w:sz w:val="21"/>
              </w:rPr>
            </w:pPr>
          </w:p>
        </w:tc>
        <w:tc>
          <w:tcPr>
            <w:tcW w:w="220" w:type="dxa"/>
            <w:tcBorders>
              <w:top w:val="single" w:color="000000" w:sz="2" w:space="0"/>
              <w:bottom w:val="single" w:color="000000" w:sz="2" w:space="0"/>
            </w:tcBorders>
            <w:vAlign w:val="top"/>
          </w:tcPr>
          <w:p w14:paraId="1883B673">
            <w:pPr>
              <w:rPr>
                <w:rFonts w:ascii="Arial"/>
                <w:sz w:val="21"/>
              </w:rPr>
            </w:pPr>
          </w:p>
        </w:tc>
        <w:tc>
          <w:tcPr>
            <w:tcW w:w="229" w:type="dxa"/>
            <w:tcBorders>
              <w:top w:val="single" w:color="000000" w:sz="2" w:space="0"/>
              <w:bottom w:val="single" w:color="000000" w:sz="2" w:space="0"/>
            </w:tcBorders>
            <w:vAlign w:val="top"/>
          </w:tcPr>
          <w:p w14:paraId="31B01E08">
            <w:pPr>
              <w:pStyle w:val="6"/>
              <w:spacing w:before="85" w:line="209" w:lineRule="auto"/>
              <w:ind w:left="19"/>
              <w:rPr>
                <w:sz w:val="18"/>
                <w:szCs w:val="18"/>
              </w:rPr>
            </w:pPr>
            <w:r>
              <w:rPr>
                <w:sz w:val="18"/>
                <w:szCs w:val="18"/>
              </w:rPr>
              <w:t>√</w:t>
            </w:r>
          </w:p>
        </w:tc>
        <w:tc>
          <w:tcPr>
            <w:tcW w:w="234" w:type="dxa"/>
            <w:tcBorders>
              <w:top w:val="single" w:color="000000" w:sz="2" w:space="0"/>
              <w:bottom w:val="single" w:color="000000" w:sz="2" w:space="0"/>
            </w:tcBorders>
            <w:vAlign w:val="top"/>
          </w:tcPr>
          <w:p w14:paraId="17154241">
            <w:pPr>
              <w:rPr>
                <w:rFonts w:ascii="Arial"/>
                <w:sz w:val="21"/>
              </w:rPr>
            </w:pPr>
          </w:p>
        </w:tc>
      </w:tr>
    </w:tbl>
    <w:p w14:paraId="590F1D99">
      <w:pPr>
        <w:pStyle w:val="2"/>
        <w:spacing w:line="14" w:lineRule="auto"/>
        <w:rPr>
          <w:sz w:val="2"/>
        </w:rPr>
      </w:pPr>
    </w:p>
    <w:p w14:paraId="4315C0CD">
      <w:pPr>
        <w:pStyle w:val="2"/>
        <w:spacing w:line="14" w:lineRule="auto"/>
        <w:rPr>
          <w:sz w:val="2"/>
        </w:rPr>
      </w:pPr>
      <w:r>
        <w:rPr>
          <w:sz w:val="2"/>
          <w:szCs w:val="2"/>
        </w:rPr>
        <w:br w:type="column"/>
      </w:r>
    </w:p>
    <w:p w14:paraId="19457060">
      <w:pPr>
        <w:spacing w:line="94" w:lineRule="auto"/>
        <w:rPr>
          <w:rFonts w:ascii="Arial"/>
          <w:sz w:val="2"/>
        </w:rPr>
      </w:pPr>
    </w:p>
    <w:tbl>
      <w:tblPr>
        <w:tblStyle w:val="5"/>
        <w:tblW w:w="413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03"/>
        <w:gridCol w:w="2314"/>
        <w:gridCol w:w="219"/>
        <w:gridCol w:w="230"/>
        <w:gridCol w:w="220"/>
        <w:gridCol w:w="244"/>
      </w:tblGrid>
      <w:tr w14:paraId="167BE6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4" w:hRule="atLeast"/>
        </w:trPr>
        <w:tc>
          <w:tcPr>
            <w:tcW w:w="903" w:type="dxa"/>
            <w:vMerge w:val="restart"/>
            <w:tcBorders>
              <w:bottom w:val="nil"/>
            </w:tcBorders>
            <w:vAlign w:val="top"/>
          </w:tcPr>
          <w:p w14:paraId="3A1CBCBD">
            <w:pPr>
              <w:pStyle w:val="6"/>
              <w:spacing w:before="160" w:line="225" w:lineRule="auto"/>
              <w:ind w:left="263" w:hanging="246"/>
              <w:rPr>
                <w:sz w:val="18"/>
                <w:szCs w:val="18"/>
              </w:rPr>
            </w:pPr>
            <w:r>
              <w:rPr>
                <w:b/>
                <w:bCs/>
                <w:spacing w:val="-7"/>
                <w:sz w:val="18"/>
                <w:szCs w:val="18"/>
              </w:rPr>
              <w:t>知识与技能</w:t>
            </w:r>
            <w:r>
              <w:rPr>
                <w:sz w:val="18"/>
                <w:szCs w:val="18"/>
              </w:rPr>
              <w:t xml:space="preserve"> </w:t>
            </w:r>
            <w:r>
              <w:rPr>
                <w:b/>
                <w:bCs/>
                <w:spacing w:val="-6"/>
                <w:sz w:val="18"/>
                <w:szCs w:val="18"/>
              </w:rPr>
              <w:t>要点</w:t>
            </w:r>
          </w:p>
        </w:tc>
        <w:tc>
          <w:tcPr>
            <w:tcW w:w="2314" w:type="dxa"/>
            <w:vMerge w:val="restart"/>
            <w:tcBorders>
              <w:bottom w:val="nil"/>
            </w:tcBorders>
            <w:vAlign w:val="top"/>
          </w:tcPr>
          <w:p w14:paraId="21FD7874">
            <w:pPr>
              <w:pStyle w:val="6"/>
              <w:spacing w:before="259" w:line="219" w:lineRule="auto"/>
              <w:ind w:left="844"/>
              <w:rPr>
                <w:sz w:val="18"/>
                <w:szCs w:val="18"/>
              </w:rPr>
            </w:pPr>
            <w:r>
              <w:rPr>
                <w:b/>
                <w:bCs/>
                <w:spacing w:val="5"/>
                <w:sz w:val="18"/>
                <w:szCs w:val="18"/>
              </w:rPr>
              <w:t>考试条目</w:t>
            </w:r>
          </w:p>
        </w:tc>
        <w:tc>
          <w:tcPr>
            <w:tcW w:w="913" w:type="dxa"/>
            <w:gridSpan w:val="4"/>
            <w:vAlign w:val="top"/>
          </w:tcPr>
          <w:p w14:paraId="4FBCA32E">
            <w:pPr>
              <w:pStyle w:val="6"/>
              <w:spacing w:before="99" w:line="219" w:lineRule="auto"/>
              <w:ind w:left="140"/>
              <w:rPr>
                <w:sz w:val="18"/>
                <w:szCs w:val="18"/>
              </w:rPr>
            </w:pPr>
            <w:r>
              <w:rPr>
                <w:b/>
                <w:bCs/>
                <w:spacing w:val="-4"/>
                <w:sz w:val="18"/>
                <w:szCs w:val="18"/>
              </w:rPr>
              <w:t>考试水平</w:t>
            </w:r>
          </w:p>
        </w:tc>
      </w:tr>
      <w:tr w14:paraId="15B01D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903" w:type="dxa"/>
            <w:vMerge w:val="continue"/>
            <w:tcBorders>
              <w:top w:val="nil"/>
            </w:tcBorders>
            <w:vAlign w:val="top"/>
          </w:tcPr>
          <w:p w14:paraId="6B7E923E">
            <w:pPr>
              <w:rPr>
                <w:rFonts w:ascii="Arial"/>
                <w:sz w:val="21"/>
              </w:rPr>
            </w:pPr>
          </w:p>
        </w:tc>
        <w:tc>
          <w:tcPr>
            <w:tcW w:w="2314" w:type="dxa"/>
            <w:vMerge w:val="continue"/>
            <w:tcBorders>
              <w:top w:val="nil"/>
            </w:tcBorders>
            <w:vAlign w:val="top"/>
          </w:tcPr>
          <w:p w14:paraId="3394EE2B">
            <w:pPr>
              <w:rPr>
                <w:rFonts w:ascii="Arial"/>
                <w:sz w:val="21"/>
              </w:rPr>
            </w:pPr>
          </w:p>
        </w:tc>
        <w:tc>
          <w:tcPr>
            <w:tcW w:w="219" w:type="dxa"/>
            <w:vAlign w:val="top"/>
          </w:tcPr>
          <w:p w14:paraId="3D52A81C">
            <w:pPr>
              <w:pStyle w:val="6"/>
              <w:spacing w:before="113" w:line="184" w:lineRule="auto"/>
              <w:ind w:left="57"/>
              <w:rPr>
                <w:sz w:val="18"/>
                <w:szCs w:val="18"/>
              </w:rPr>
            </w:pPr>
            <w:r>
              <w:rPr>
                <w:sz w:val="18"/>
                <w:szCs w:val="18"/>
              </w:rPr>
              <w:t>A</w:t>
            </w:r>
          </w:p>
        </w:tc>
        <w:tc>
          <w:tcPr>
            <w:tcW w:w="230" w:type="dxa"/>
            <w:vAlign w:val="top"/>
          </w:tcPr>
          <w:p w14:paraId="37337B72">
            <w:pPr>
              <w:pStyle w:val="6"/>
              <w:spacing w:before="123" w:line="182" w:lineRule="auto"/>
              <w:ind w:left="81"/>
              <w:rPr>
                <w:sz w:val="14"/>
                <w:szCs w:val="14"/>
              </w:rPr>
            </w:pPr>
            <w:r>
              <w:rPr>
                <w:b/>
                <w:bCs/>
                <w:spacing w:val="-2"/>
                <w:sz w:val="14"/>
                <w:szCs w:val="14"/>
              </w:rPr>
              <w:t>B</w:t>
            </w:r>
          </w:p>
        </w:tc>
        <w:tc>
          <w:tcPr>
            <w:tcW w:w="220" w:type="dxa"/>
            <w:vAlign w:val="top"/>
          </w:tcPr>
          <w:p w14:paraId="3F764C69">
            <w:pPr>
              <w:pStyle w:val="6"/>
              <w:spacing w:before="116" w:line="183" w:lineRule="auto"/>
              <w:ind w:left="21"/>
              <w:rPr>
                <w:sz w:val="19"/>
                <w:szCs w:val="19"/>
              </w:rPr>
            </w:pPr>
            <w:r>
              <w:rPr>
                <w:b/>
                <w:bCs/>
                <w:spacing w:val="-2"/>
                <w:sz w:val="19"/>
                <w:szCs w:val="19"/>
              </w:rPr>
              <w:t>C</w:t>
            </w:r>
          </w:p>
        </w:tc>
        <w:tc>
          <w:tcPr>
            <w:tcW w:w="244" w:type="dxa"/>
            <w:vAlign w:val="top"/>
          </w:tcPr>
          <w:p w14:paraId="13FA4AD8">
            <w:pPr>
              <w:pStyle w:val="6"/>
              <w:spacing w:before="115" w:line="182" w:lineRule="auto"/>
              <w:ind w:left="71"/>
              <w:rPr>
                <w:sz w:val="18"/>
                <w:szCs w:val="18"/>
              </w:rPr>
            </w:pPr>
            <w:r>
              <w:rPr>
                <w:b/>
                <w:bCs/>
                <w:spacing w:val="-2"/>
                <w:sz w:val="18"/>
                <w:szCs w:val="18"/>
              </w:rPr>
              <w:t>D</w:t>
            </w:r>
          </w:p>
        </w:tc>
      </w:tr>
      <w:tr w14:paraId="22B015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903" w:type="dxa"/>
            <w:vMerge w:val="restart"/>
            <w:tcBorders>
              <w:bottom w:val="nil"/>
            </w:tcBorders>
            <w:vAlign w:val="top"/>
          </w:tcPr>
          <w:p w14:paraId="2FA9C949">
            <w:pPr>
              <w:spacing w:line="313" w:lineRule="auto"/>
              <w:rPr>
                <w:rFonts w:ascii="Arial"/>
                <w:sz w:val="21"/>
              </w:rPr>
            </w:pPr>
          </w:p>
          <w:p w14:paraId="5D1AD8CD">
            <w:pPr>
              <w:spacing w:line="313" w:lineRule="auto"/>
              <w:rPr>
                <w:rFonts w:ascii="Arial"/>
                <w:sz w:val="21"/>
              </w:rPr>
            </w:pPr>
          </w:p>
          <w:p w14:paraId="167E8A7C">
            <w:pPr>
              <w:pStyle w:val="6"/>
              <w:spacing w:before="58" w:line="214" w:lineRule="auto"/>
              <w:ind w:left="34" w:right="94" w:firstLine="50"/>
              <w:jc w:val="both"/>
              <w:rPr>
                <w:sz w:val="18"/>
                <w:szCs w:val="18"/>
              </w:rPr>
            </w:pPr>
            <w:r>
              <w:rPr>
                <w:spacing w:val="-2"/>
                <w:sz w:val="18"/>
                <w:szCs w:val="18"/>
              </w:rPr>
              <w:t>神经系统</w:t>
            </w:r>
            <w:r>
              <w:rPr>
                <w:sz w:val="18"/>
                <w:szCs w:val="18"/>
              </w:rPr>
              <w:t xml:space="preserve"> </w:t>
            </w:r>
            <w:r>
              <w:rPr>
                <w:spacing w:val="10"/>
                <w:sz w:val="18"/>
                <w:szCs w:val="18"/>
              </w:rPr>
              <w:t>对躯体运</w:t>
            </w:r>
            <w:r>
              <w:rPr>
                <w:spacing w:val="2"/>
                <w:sz w:val="18"/>
                <w:szCs w:val="18"/>
              </w:rPr>
              <w:t xml:space="preserve"> </w:t>
            </w:r>
            <w:r>
              <w:rPr>
                <w:spacing w:val="-2"/>
                <w:sz w:val="18"/>
                <w:szCs w:val="18"/>
              </w:rPr>
              <w:t>动的调节</w:t>
            </w:r>
          </w:p>
        </w:tc>
        <w:tc>
          <w:tcPr>
            <w:tcW w:w="2314" w:type="dxa"/>
            <w:vMerge w:val="restart"/>
            <w:tcBorders>
              <w:bottom w:val="nil"/>
            </w:tcBorders>
            <w:vAlign w:val="top"/>
          </w:tcPr>
          <w:p w14:paraId="2B956BA2">
            <w:pPr>
              <w:pStyle w:val="6"/>
              <w:spacing w:before="118" w:line="226" w:lineRule="auto"/>
              <w:ind w:left="12" w:right="125"/>
              <w:rPr>
                <w:sz w:val="18"/>
                <w:szCs w:val="18"/>
              </w:rPr>
            </w:pPr>
            <w:r>
              <w:rPr>
                <w:sz w:val="18"/>
                <w:szCs w:val="18"/>
              </w:rPr>
              <w:t>1.神经肌肉接头的传递过程</w:t>
            </w:r>
            <w:r>
              <w:rPr>
                <w:spacing w:val="5"/>
                <w:sz w:val="18"/>
                <w:szCs w:val="18"/>
              </w:rPr>
              <w:t xml:space="preserve"> </w:t>
            </w:r>
            <w:r>
              <w:rPr>
                <w:spacing w:val="-1"/>
                <w:sz w:val="18"/>
                <w:szCs w:val="18"/>
              </w:rPr>
              <w:t>2.牵张反射的类型及意义</w:t>
            </w:r>
          </w:p>
          <w:p w14:paraId="6DC54BF9">
            <w:pPr>
              <w:pStyle w:val="6"/>
              <w:spacing w:before="1" w:line="225" w:lineRule="auto"/>
              <w:ind w:left="12" w:right="120"/>
              <w:rPr>
                <w:sz w:val="18"/>
                <w:szCs w:val="18"/>
              </w:rPr>
            </w:pPr>
            <w:r>
              <w:rPr>
                <w:sz w:val="18"/>
                <w:szCs w:val="18"/>
              </w:rPr>
              <w:t>3.脊休克的概念、表现及产</w:t>
            </w:r>
            <w:r>
              <w:rPr>
                <w:spacing w:val="9"/>
                <w:sz w:val="18"/>
                <w:szCs w:val="18"/>
              </w:rPr>
              <w:t xml:space="preserve"> </w:t>
            </w:r>
            <w:r>
              <w:rPr>
                <w:spacing w:val="5"/>
                <w:sz w:val="18"/>
                <w:szCs w:val="18"/>
              </w:rPr>
              <w:t>生机制</w:t>
            </w:r>
          </w:p>
          <w:p w14:paraId="3230BF47">
            <w:pPr>
              <w:pStyle w:val="6"/>
              <w:spacing w:line="228" w:lineRule="auto"/>
              <w:ind w:left="12" w:right="138"/>
              <w:rPr>
                <w:sz w:val="18"/>
                <w:szCs w:val="18"/>
              </w:rPr>
            </w:pPr>
            <w:r>
              <w:rPr>
                <w:spacing w:val="-1"/>
                <w:sz w:val="18"/>
                <w:szCs w:val="18"/>
              </w:rPr>
              <w:t>4.大脑僵直的概念、表现及</w:t>
            </w:r>
            <w:r>
              <w:rPr>
                <w:spacing w:val="5"/>
                <w:sz w:val="18"/>
                <w:szCs w:val="18"/>
              </w:rPr>
              <w:t xml:space="preserve"> </w:t>
            </w:r>
            <w:r>
              <w:rPr>
                <w:spacing w:val="4"/>
                <w:sz w:val="18"/>
                <w:szCs w:val="18"/>
              </w:rPr>
              <w:t>意义</w:t>
            </w:r>
          </w:p>
          <w:p w14:paraId="430F2620">
            <w:pPr>
              <w:pStyle w:val="6"/>
              <w:spacing w:before="5" w:line="223" w:lineRule="auto"/>
              <w:ind w:left="12"/>
              <w:rPr>
                <w:sz w:val="18"/>
                <w:szCs w:val="18"/>
              </w:rPr>
            </w:pPr>
            <w:r>
              <w:rPr>
                <w:spacing w:val="-4"/>
                <w:sz w:val="18"/>
                <w:szCs w:val="18"/>
              </w:rPr>
              <w:t>5.小脑对躯体运动的调节功能</w:t>
            </w:r>
            <w:r>
              <w:rPr>
                <w:spacing w:val="6"/>
                <w:sz w:val="18"/>
                <w:szCs w:val="18"/>
              </w:rPr>
              <w:t xml:space="preserve"> </w:t>
            </w:r>
            <w:r>
              <w:rPr>
                <w:spacing w:val="-2"/>
                <w:sz w:val="18"/>
                <w:szCs w:val="18"/>
              </w:rPr>
              <w:t>6.锥体系和锥体外系的功能</w:t>
            </w:r>
          </w:p>
        </w:tc>
        <w:tc>
          <w:tcPr>
            <w:tcW w:w="219" w:type="dxa"/>
            <w:vAlign w:val="top"/>
          </w:tcPr>
          <w:p w14:paraId="766803F0">
            <w:pPr>
              <w:pStyle w:val="6"/>
              <w:spacing w:before="79" w:line="238" w:lineRule="auto"/>
              <w:ind w:left="48"/>
              <w:rPr>
                <w:sz w:val="12"/>
                <w:szCs w:val="12"/>
              </w:rPr>
            </w:pPr>
            <w:r>
              <w:rPr>
                <w:sz w:val="12"/>
                <w:szCs w:val="12"/>
              </w:rPr>
              <w:t>√</w:t>
            </w:r>
          </w:p>
        </w:tc>
        <w:tc>
          <w:tcPr>
            <w:tcW w:w="230" w:type="dxa"/>
            <w:vAlign w:val="top"/>
          </w:tcPr>
          <w:p w14:paraId="6D3F7BF7">
            <w:pPr>
              <w:rPr>
                <w:rFonts w:ascii="Arial"/>
                <w:sz w:val="21"/>
              </w:rPr>
            </w:pPr>
          </w:p>
        </w:tc>
        <w:tc>
          <w:tcPr>
            <w:tcW w:w="220" w:type="dxa"/>
            <w:vAlign w:val="top"/>
          </w:tcPr>
          <w:p w14:paraId="4F3AE607">
            <w:pPr>
              <w:rPr>
                <w:rFonts w:ascii="Arial"/>
                <w:sz w:val="21"/>
              </w:rPr>
            </w:pPr>
          </w:p>
        </w:tc>
        <w:tc>
          <w:tcPr>
            <w:tcW w:w="244" w:type="dxa"/>
            <w:vAlign w:val="top"/>
          </w:tcPr>
          <w:p w14:paraId="6CF0E0E0">
            <w:pPr>
              <w:rPr>
                <w:rFonts w:ascii="Arial"/>
                <w:sz w:val="21"/>
              </w:rPr>
            </w:pPr>
          </w:p>
        </w:tc>
      </w:tr>
      <w:tr w14:paraId="1C4374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9" w:hRule="atLeast"/>
        </w:trPr>
        <w:tc>
          <w:tcPr>
            <w:tcW w:w="903" w:type="dxa"/>
            <w:vMerge w:val="continue"/>
            <w:tcBorders>
              <w:top w:val="nil"/>
              <w:bottom w:val="nil"/>
            </w:tcBorders>
            <w:vAlign w:val="top"/>
          </w:tcPr>
          <w:p w14:paraId="57B59132">
            <w:pPr>
              <w:rPr>
                <w:rFonts w:ascii="Arial"/>
                <w:sz w:val="21"/>
              </w:rPr>
            </w:pPr>
          </w:p>
        </w:tc>
        <w:tc>
          <w:tcPr>
            <w:tcW w:w="2314" w:type="dxa"/>
            <w:vMerge w:val="continue"/>
            <w:tcBorders>
              <w:top w:val="nil"/>
              <w:bottom w:val="nil"/>
            </w:tcBorders>
            <w:vAlign w:val="top"/>
          </w:tcPr>
          <w:p w14:paraId="3543328B">
            <w:pPr>
              <w:rPr>
                <w:rFonts w:ascii="Arial"/>
                <w:sz w:val="21"/>
              </w:rPr>
            </w:pPr>
          </w:p>
        </w:tc>
        <w:tc>
          <w:tcPr>
            <w:tcW w:w="219" w:type="dxa"/>
            <w:vAlign w:val="top"/>
          </w:tcPr>
          <w:p w14:paraId="60DADE41">
            <w:pPr>
              <w:rPr>
                <w:rFonts w:ascii="Arial"/>
                <w:sz w:val="21"/>
              </w:rPr>
            </w:pPr>
          </w:p>
        </w:tc>
        <w:tc>
          <w:tcPr>
            <w:tcW w:w="230" w:type="dxa"/>
            <w:vAlign w:val="top"/>
          </w:tcPr>
          <w:p w14:paraId="307BFED3">
            <w:pPr>
              <w:rPr>
                <w:rFonts w:ascii="Arial"/>
                <w:sz w:val="21"/>
              </w:rPr>
            </w:pPr>
          </w:p>
        </w:tc>
        <w:tc>
          <w:tcPr>
            <w:tcW w:w="220" w:type="dxa"/>
            <w:vAlign w:val="top"/>
          </w:tcPr>
          <w:p w14:paraId="4736CF6C">
            <w:pPr>
              <w:pStyle w:val="6"/>
              <w:spacing w:before="82" w:line="238" w:lineRule="auto"/>
              <w:ind w:left="19"/>
              <w:rPr>
                <w:sz w:val="14"/>
                <w:szCs w:val="14"/>
              </w:rPr>
            </w:pPr>
            <w:r>
              <w:rPr>
                <w:sz w:val="14"/>
                <w:szCs w:val="14"/>
              </w:rPr>
              <w:t>√</w:t>
            </w:r>
          </w:p>
        </w:tc>
        <w:tc>
          <w:tcPr>
            <w:tcW w:w="244" w:type="dxa"/>
            <w:vAlign w:val="top"/>
          </w:tcPr>
          <w:p w14:paraId="7D875105">
            <w:pPr>
              <w:rPr>
                <w:rFonts w:ascii="Arial"/>
                <w:sz w:val="21"/>
              </w:rPr>
            </w:pPr>
          </w:p>
        </w:tc>
      </w:tr>
      <w:tr w14:paraId="1DA39B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9" w:hRule="atLeast"/>
        </w:trPr>
        <w:tc>
          <w:tcPr>
            <w:tcW w:w="903" w:type="dxa"/>
            <w:vMerge w:val="continue"/>
            <w:tcBorders>
              <w:top w:val="nil"/>
              <w:bottom w:val="nil"/>
            </w:tcBorders>
            <w:vAlign w:val="top"/>
          </w:tcPr>
          <w:p w14:paraId="081C44F9">
            <w:pPr>
              <w:rPr>
                <w:rFonts w:ascii="Arial"/>
                <w:sz w:val="21"/>
              </w:rPr>
            </w:pPr>
          </w:p>
        </w:tc>
        <w:tc>
          <w:tcPr>
            <w:tcW w:w="2314" w:type="dxa"/>
            <w:vMerge w:val="continue"/>
            <w:tcBorders>
              <w:top w:val="nil"/>
              <w:bottom w:val="nil"/>
            </w:tcBorders>
            <w:vAlign w:val="top"/>
          </w:tcPr>
          <w:p w14:paraId="5B1C3FEB">
            <w:pPr>
              <w:rPr>
                <w:rFonts w:ascii="Arial"/>
                <w:sz w:val="21"/>
              </w:rPr>
            </w:pPr>
          </w:p>
        </w:tc>
        <w:tc>
          <w:tcPr>
            <w:tcW w:w="219" w:type="dxa"/>
            <w:vAlign w:val="top"/>
          </w:tcPr>
          <w:p w14:paraId="04F44A6C">
            <w:pPr>
              <w:rPr>
                <w:rFonts w:ascii="Arial"/>
                <w:sz w:val="21"/>
              </w:rPr>
            </w:pPr>
          </w:p>
        </w:tc>
        <w:tc>
          <w:tcPr>
            <w:tcW w:w="230" w:type="dxa"/>
            <w:vAlign w:val="top"/>
          </w:tcPr>
          <w:p w14:paraId="461E6C91">
            <w:pPr>
              <w:rPr>
                <w:rFonts w:ascii="Arial"/>
                <w:sz w:val="21"/>
              </w:rPr>
            </w:pPr>
          </w:p>
        </w:tc>
        <w:tc>
          <w:tcPr>
            <w:tcW w:w="220" w:type="dxa"/>
            <w:vAlign w:val="top"/>
          </w:tcPr>
          <w:p w14:paraId="328B0443">
            <w:pPr>
              <w:rPr>
                <w:rFonts w:ascii="Arial"/>
                <w:sz w:val="21"/>
              </w:rPr>
            </w:pPr>
          </w:p>
        </w:tc>
        <w:tc>
          <w:tcPr>
            <w:tcW w:w="244" w:type="dxa"/>
            <w:vAlign w:val="top"/>
          </w:tcPr>
          <w:p w14:paraId="7F6F94C1">
            <w:pPr>
              <w:pStyle w:val="6"/>
              <w:spacing w:before="163" w:line="238" w:lineRule="auto"/>
              <w:ind w:left="49"/>
              <w:rPr>
                <w:sz w:val="14"/>
                <w:szCs w:val="14"/>
              </w:rPr>
            </w:pPr>
            <w:r>
              <w:rPr>
                <w:sz w:val="14"/>
                <w:szCs w:val="14"/>
              </w:rPr>
              <w:t>√</w:t>
            </w:r>
          </w:p>
        </w:tc>
      </w:tr>
      <w:tr w14:paraId="17A135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9" w:hRule="atLeast"/>
        </w:trPr>
        <w:tc>
          <w:tcPr>
            <w:tcW w:w="903" w:type="dxa"/>
            <w:vMerge w:val="continue"/>
            <w:tcBorders>
              <w:top w:val="nil"/>
              <w:bottom w:val="nil"/>
            </w:tcBorders>
            <w:vAlign w:val="top"/>
          </w:tcPr>
          <w:p w14:paraId="7D143D47">
            <w:pPr>
              <w:rPr>
                <w:rFonts w:ascii="Arial"/>
                <w:sz w:val="21"/>
              </w:rPr>
            </w:pPr>
          </w:p>
        </w:tc>
        <w:tc>
          <w:tcPr>
            <w:tcW w:w="2314" w:type="dxa"/>
            <w:vMerge w:val="continue"/>
            <w:tcBorders>
              <w:top w:val="nil"/>
              <w:bottom w:val="nil"/>
            </w:tcBorders>
            <w:vAlign w:val="top"/>
          </w:tcPr>
          <w:p w14:paraId="2502B2E5">
            <w:pPr>
              <w:rPr>
                <w:rFonts w:ascii="Arial"/>
                <w:sz w:val="21"/>
              </w:rPr>
            </w:pPr>
          </w:p>
        </w:tc>
        <w:tc>
          <w:tcPr>
            <w:tcW w:w="219" w:type="dxa"/>
            <w:vAlign w:val="top"/>
          </w:tcPr>
          <w:p w14:paraId="74C55B32">
            <w:pPr>
              <w:rPr>
                <w:rFonts w:ascii="Arial"/>
                <w:sz w:val="21"/>
              </w:rPr>
            </w:pPr>
          </w:p>
        </w:tc>
        <w:tc>
          <w:tcPr>
            <w:tcW w:w="230" w:type="dxa"/>
            <w:vAlign w:val="top"/>
          </w:tcPr>
          <w:p w14:paraId="6F0BC67A">
            <w:pPr>
              <w:rPr>
                <w:rFonts w:ascii="Arial"/>
                <w:sz w:val="21"/>
              </w:rPr>
            </w:pPr>
          </w:p>
        </w:tc>
        <w:tc>
          <w:tcPr>
            <w:tcW w:w="220" w:type="dxa"/>
            <w:vAlign w:val="top"/>
          </w:tcPr>
          <w:p w14:paraId="6CC1F714">
            <w:pPr>
              <w:rPr>
                <w:rFonts w:ascii="Arial"/>
                <w:sz w:val="21"/>
              </w:rPr>
            </w:pPr>
          </w:p>
        </w:tc>
        <w:tc>
          <w:tcPr>
            <w:tcW w:w="244" w:type="dxa"/>
            <w:vAlign w:val="top"/>
          </w:tcPr>
          <w:p w14:paraId="7665B2DF">
            <w:pPr>
              <w:pStyle w:val="6"/>
              <w:spacing w:before="164" w:line="238" w:lineRule="auto"/>
              <w:ind w:left="49"/>
              <w:rPr>
                <w:sz w:val="14"/>
                <w:szCs w:val="14"/>
              </w:rPr>
            </w:pPr>
            <w:r>
              <w:rPr>
                <w:sz w:val="14"/>
                <w:szCs w:val="14"/>
              </w:rPr>
              <w:t>√</w:t>
            </w:r>
          </w:p>
        </w:tc>
      </w:tr>
      <w:tr w14:paraId="6EAD0E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 w:hRule="atLeast"/>
        </w:trPr>
        <w:tc>
          <w:tcPr>
            <w:tcW w:w="903" w:type="dxa"/>
            <w:vMerge w:val="continue"/>
            <w:tcBorders>
              <w:top w:val="nil"/>
              <w:bottom w:val="nil"/>
            </w:tcBorders>
            <w:vAlign w:val="top"/>
          </w:tcPr>
          <w:p w14:paraId="135D8B66">
            <w:pPr>
              <w:rPr>
                <w:rFonts w:ascii="Arial"/>
                <w:sz w:val="21"/>
              </w:rPr>
            </w:pPr>
          </w:p>
        </w:tc>
        <w:tc>
          <w:tcPr>
            <w:tcW w:w="2314" w:type="dxa"/>
            <w:vMerge w:val="continue"/>
            <w:tcBorders>
              <w:top w:val="nil"/>
              <w:bottom w:val="nil"/>
            </w:tcBorders>
            <w:vAlign w:val="top"/>
          </w:tcPr>
          <w:p w14:paraId="6531C10D">
            <w:pPr>
              <w:rPr>
                <w:rFonts w:ascii="Arial"/>
                <w:sz w:val="21"/>
              </w:rPr>
            </w:pPr>
          </w:p>
        </w:tc>
        <w:tc>
          <w:tcPr>
            <w:tcW w:w="219" w:type="dxa"/>
            <w:vAlign w:val="top"/>
          </w:tcPr>
          <w:p w14:paraId="5D384CC5">
            <w:pPr>
              <w:rPr>
                <w:rFonts w:ascii="Arial"/>
                <w:sz w:val="21"/>
              </w:rPr>
            </w:pPr>
          </w:p>
        </w:tc>
        <w:tc>
          <w:tcPr>
            <w:tcW w:w="230" w:type="dxa"/>
            <w:vAlign w:val="top"/>
          </w:tcPr>
          <w:p w14:paraId="60793283">
            <w:pPr>
              <w:pStyle w:val="6"/>
              <w:spacing w:before="75" w:line="230" w:lineRule="auto"/>
              <w:ind w:left="39"/>
              <w:rPr>
                <w:sz w:val="14"/>
                <w:szCs w:val="14"/>
              </w:rPr>
            </w:pPr>
            <w:r>
              <w:rPr>
                <w:sz w:val="14"/>
                <w:szCs w:val="14"/>
              </w:rPr>
              <w:t>√</w:t>
            </w:r>
          </w:p>
        </w:tc>
        <w:tc>
          <w:tcPr>
            <w:tcW w:w="220" w:type="dxa"/>
            <w:vAlign w:val="top"/>
          </w:tcPr>
          <w:p w14:paraId="3EBF4AE8">
            <w:pPr>
              <w:rPr>
                <w:rFonts w:ascii="Arial"/>
                <w:sz w:val="21"/>
              </w:rPr>
            </w:pPr>
          </w:p>
        </w:tc>
        <w:tc>
          <w:tcPr>
            <w:tcW w:w="244" w:type="dxa"/>
            <w:vAlign w:val="top"/>
          </w:tcPr>
          <w:p w14:paraId="5D04D9B6">
            <w:pPr>
              <w:rPr>
                <w:rFonts w:ascii="Arial"/>
                <w:sz w:val="21"/>
              </w:rPr>
            </w:pPr>
          </w:p>
        </w:tc>
      </w:tr>
      <w:tr w14:paraId="465787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0" w:hRule="atLeast"/>
        </w:trPr>
        <w:tc>
          <w:tcPr>
            <w:tcW w:w="903" w:type="dxa"/>
            <w:vMerge w:val="continue"/>
            <w:tcBorders>
              <w:top w:val="nil"/>
            </w:tcBorders>
            <w:vAlign w:val="top"/>
          </w:tcPr>
          <w:p w14:paraId="07569809">
            <w:pPr>
              <w:rPr>
                <w:rFonts w:ascii="Arial"/>
                <w:sz w:val="21"/>
              </w:rPr>
            </w:pPr>
          </w:p>
        </w:tc>
        <w:tc>
          <w:tcPr>
            <w:tcW w:w="2314" w:type="dxa"/>
            <w:vMerge w:val="continue"/>
            <w:tcBorders>
              <w:top w:val="nil"/>
            </w:tcBorders>
            <w:vAlign w:val="top"/>
          </w:tcPr>
          <w:p w14:paraId="25F53DC4">
            <w:pPr>
              <w:rPr>
                <w:rFonts w:ascii="Arial"/>
                <w:sz w:val="21"/>
              </w:rPr>
            </w:pPr>
          </w:p>
        </w:tc>
        <w:tc>
          <w:tcPr>
            <w:tcW w:w="219" w:type="dxa"/>
            <w:vAlign w:val="top"/>
          </w:tcPr>
          <w:p w14:paraId="7C425DA6">
            <w:pPr>
              <w:spacing w:line="200" w:lineRule="exact"/>
              <w:rPr>
                <w:rFonts w:ascii="Arial"/>
                <w:sz w:val="17"/>
              </w:rPr>
            </w:pPr>
          </w:p>
        </w:tc>
        <w:tc>
          <w:tcPr>
            <w:tcW w:w="230" w:type="dxa"/>
            <w:vAlign w:val="top"/>
          </w:tcPr>
          <w:p w14:paraId="023778CA">
            <w:pPr>
              <w:pStyle w:val="6"/>
              <w:spacing w:before="55" w:line="190" w:lineRule="auto"/>
              <w:ind w:left="39"/>
              <w:rPr>
                <w:sz w:val="14"/>
                <w:szCs w:val="14"/>
              </w:rPr>
            </w:pPr>
            <w:r>
              <w:rPr>
                <w:sz w:val="14"/>
                <w:szCs w:val="14"/>
              </w:rPr>
              <w:t>√</w:t>
            </w:r>
          </w:p>
        </w:tc>
        <w:tc>
          <w:tcPr>
            <w:tcW w:w="220" w:type="dxa"/>
            <w:vAlign w:val="top"/>
          </w:tcPr>
          <w:p w14:paraId="34642EFF">
            <w:pPr>
              <w:spacing w:line="200" w:lineRule="exact"/>
              <w:rPr>
                <w:rFonts w:ascii="Arial"/>
                <w:sz w:val="17"/>
              </w:rPr>
            </w:pPr>
          </w:p>
        </w:tc>
        <w:tc>
          <w:tcPr>
            <w:tcW w:w="244" w:type="dxa"/>
            <w:vAlign w:val="top"/>
          </w:tcPr>
          <w:p w14:paraId="1382122A">
            <w:pPr>
              <w:spacing w:line="200" w:lineRule="exact"/>
              <w:rPr>
                <w:rFonts w:ascii="Arial"/>
                <w:sz w:val="17"/>
              </w:rPr>
            </w:pPr>
          </w:p>
        </w:tc>
      </w:tr>
      <w:tr w14:paraId="7081CA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19" w:hRule="atLeast"/>
        </w:trPr>
        <w:tc>
          <w:tcPr>
            <w:tcW w:w="903" w:type="dxa"/>
            <w:vMerge w:val="restart"/>
            <w:tcBorders>
              <w:bottom w:val="nil"/>
            </w:tcBorders>
            <w:vAlign w:val="top"/>
          </w:tcPr>
          <w:p w14:paraId="3A57D421">
            <w:pPr>
              <w:spacing w:line="285" w:lineRule="auto"/>
              <w:rPr>
                <w:rFonts w:ascii="Arial"/>
                <w:sz w:val="21"/>
              </w:rPr>
            </w:pPr>
          </w:p>
          <w:p w14:paraId="2B1FAFA6">
            <w:pPr>
              <w:spacing w:line="286" w:lineRule="auto"/>
              <w:rPr>
                <w:rFonts w:ascii="Arial"/>
                <w:sz w:val="21"/>
              </w:rPr>
            </w:pPr>
          </w:p>
          <w:p w14:paraId="3E65043D">
            <w:pPr>
              <w:pStyle w:val="6"/>
              <w:spacing w:before="59" w:line="217" w:lineRule="auto"/>
              <w:ind w:left="34" w:right="94" w:firstLine="50"/>
              <w:jc w:val="both"/>
              <w:rPr>
                <w:sz w:val="18"/>
                <w:szCs w:val="18"/>
              </w:rPr>
            </w:pPr>
            <w:r>
              <w:rPr>
                <w:spacing w:val="-2"/>
                <w:sz w:val="18"/>
                <w:szCs w:val="18"/>
              </w:rPr>
              <w:t>神经系统</w:t>
            </w:r>
            <w:r>
              <w:rPr>
                <w:sz w:val="18"/>
                <w:szCs w:val="18"/>
              </w:rPr>
              <w:t xml:space="preserve"> </w:t>
            </w:r>
            <w:r>
              <w:rPr>
                <w:spacing w:val="10"/>
                <w:sz w:val="18"/>
                <w:szCs w:val="18"/>
              </w:rPr>
              <w:t>对内脏功</w:t>
            </w:r>
            <w:r>
              <w:rPr>
                <w:spacing w:val="2"/>
                <w:sz w:val="18"/>
                <w:szCs w:val="18"/>
              </w:rPr>
              <w:t xml:space="preserve"> 能的调节</w:t>
            </w:r>
          </w:p>
        </w:tc>
        <w:tc>
          <w:tcPr>
            <w:tcW w:w="2314" w:type="dxa"/>
            <w:vMerge w:val="restart"/>
            <w:tcBorders>
              <w:bottom w:val="nil"/>
            </w:tcBorders>
            <w:vAlign w:val="top"/>
          </w:tcPr>
          <w:p w14:paraId="20C27C51">
            <w:pPr>
              <w:pStyle w:val="6"/>
              <w:spacing w:before="182" w:line="226" w:lineRule="auto"/>
              <w:ind w:left="12" w:right="108" w:firstLine="9"/>
              <w:jc w:val="both"/>
              <w:rPr>
                <w:sz w:val="18"/>
                <w:szCs w:val="18"/>
              </w:rPr>
            </w:pPr>
            <w:r>
              <w:rPr>
                <w:spacing w:val="-2"/>
                <w:sz w:val="18"/>
                <w:szCs w:val="18"/>
              </w:rPr>
              <w:t>1.</w:t>
            </w:r>
            <w:r>
              <w:rPr>
                <w:spacing w:val="-51"/>
                <w:sz w:val="18"/>
                <w:szCs w:val="18"/>
              </w:rPr>
              <w:t xml:space="preserve"> </w:t>
            </w:r>
            <w:r>
              <w:rPr>
                <w:spacing w:val="-2"/>
                <w:sz w:val="18"/>
                <w:szCs w:val="18"/>
              </w:rPr>
              <w:t>自主神经的递质和受体的</w:t>
            </w:r>
            <w:r>
              <w:rPr>
                <w:sz w:val="18"/>
                <w:szCs w:val="18"/>
              </w:rPr>
              <w:t xml:space="preserve"> </w:t>
            </w:r>
            <w:r>
              <w:rPr>
                <w:spacing w:val="-1"/>
                <w:sz w:val="18"/>
                <w:szCs w:val="18"/>
              </w:rPr>
              <w:t>类型、分布及递质受体结合</w:t>
            </w:r>
            <w:r>
              <w:rPr>
                <w:spacing w:val="3"/>
                <w:sz w:val="18"/>
                <w:szCs w:val="18"/>
              </w:rPr>
              <w:t xml:space="preserve"> </w:t>
            </w:r>
            <w:r>
              <w:rPr>
                <w:spacing w:val="2"/>
                <w:sz w:val="18"/>
                <w:szCs w:val="18"/>
              </w:rPr>
              <w:t>的效应</w:t>
            </w:r>
          </w:p>
          <w:p w14:paraId="5AB6238E">
            <w:pPr>
              <w:pStyle w:val="6"/>
              <w:spacing w:before="1" w:line="221" w:lineRule="auto"/>
              <w:ind w:left="12"/>
              <w:rPr>
                <w:sz w:val="18"/>
                <w:szCs w:val="18"/>
              </w:rPr>
            </w:pPr>
            <w:r>
              <w:rPr>
                <w:spacing w:val="-4"/>
                <w:sz w:val="18"/>
                <w:szCs w:val="18"/>
              </w:rPr>
              <w:t>2.自主神经的功能及生理意义</w:t>
            </w:r>
            <w:r>
              <w:rPr>
                <w:spacing w:val="6"/>
                <w:sz w:val="18"/>
                <w:szCs w:val="18"/>
              </w:rPr>
              <w:t xml:space="preserve"> </w:t>
            </w:r>
            <w:r>
              <w:rPr>
                <w:spacing w:val="-2"/>
                <w:sz w:val="18"/>
                <w:szCs w:val="18"/>
              </w:rPr>
              <w:t>3.应用M受体阻断剂会发生</w:t>
            </w:r>
          </w:p>
          <w:p w14:paraId="29280A6B">
            <w:pPr>
              <w:pStyle w:val="6"/>
              <w:spacing w:before="7" w:line="219" w:lineRule="auto"/>
              <w:ind w:left="12"/>
              <w:rPr>
                <w:sz w:val="18"/>
                <w:szCs w:val="18"/>
              </w:rPr>
            </w:pPr>
            <w:r>
              <w:rPr>
                <w:sz w:val="18"/>
                <w:szCs w:val="18"/>
              </w:rPr>
              <w:t>哪些内脏活动变化</w:t>
            </w:r>
          </w:p>
          <w:p w14:paraId="7394BC02">
            <w:pPr>
              <w:pStyle w:val="6"/>
              <w:spacing w:before="6" w:line="219" w:lineRule="auto"/>
              <w:ind w:left="12"/>
              <w:rPr>
                <w:sz w:val="18"/>
                <w:szCs w:val="18"/>
              </w:rPr>
            </w:pPr>
            <w:r>
              <w:rPr>
                <w:spacing w:val="-1"/>
                <w:sz w:val="18"/>
                <w:szCs w:val="18"/>
              </w:rPr>
              <w:t>4.内脏功能的中枢调节</w:t>
            </w:r>
          </w:p>
        </w:tc>
        <w:tc>
          <w:tcPr>
            <w:tcW w:w="219" w:type="dxa"/>
            <w:vAlign w:val="top"/>
          </w:tcPr>
          <w:p w14:paraId="0D6A03DB">
            <w:pPr>
              <w:rPr>
                <w:rFonts w:ascii="Arial"/>
                <w:sz w:val="21"/>
              </w:rPr>
            </w:pPr>
          </w:p>
        </w:tc>
        <w:tc>
          <w:tcPr>
            <w:tcW w:w="230" w:type="dxa"/>
            <w:vAlign w:val="top"/>
          </w:tcPr>
          <w:p w14:paraId="01F2D348">
            <w:pPr>
              <w:rPr>
                <w:rFonts w:ascii="Arial"/>
                <w:sz w:val="21"/>
              </w:rPr>
            </w:pPr>
          </w:p>
        </w:tc>
        <w:tc>
          <w:tcPr>
            <w:tcW w:w="220" w:type="dxa"/>
            <w:vAlign w:val="top"/>
          </w:tcPr>
          <w:p w14:paraId="397D82BA">
            <w:pPr>
              <w:rPr>
                <w:rFonts w:ascii="Arial"/>
                <w:sz w:val="21"/>
              </w:rPr>
            </w:pPr>
          </w:p>
        </w:tc>
        <w:tc>
          <w:tcPr>
            <w:tcW w:w="244" w:type="dxa"/>
            <w:vAlign w:val="top"/>
          </w:tcPr>
          <w:p w14:paraId="7FEE2E23">
            <w:pPr>
              <w:rPr>
                <w:rFonts w:ascii="Arial"/>
                <w:sz w:val="21"/>
              </w:rPr>
            </w:pPr>
          </w:p>
        </w:tc>
      </w:tr>
      <w:tr w14:paraId="4C3B4D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9" w:hRule="atLeast"/>
        </w:trPr>
        <w:tc>
          <w:tcPr>
            <w:tcW w:w="903" w:type="dxa"/>
            <w:vMerge w:val="continue"/>
            <w:tcBorders>
              <w:top w:val="nil"/>
              <w:bottom w:val="nil"/>
            </w:tcBorders>
            <w:vAlign w:val="top"/>
          </w:tcPr>
          <w:p w14:paraId="72226A0A">
            <w:pPr>
              <w:rPr>
                <w:rFonts w:ascii="Arial"/>
                <w:sz w:val="21"/>
              </w:rPr>
            </w:pPr>
          </w:p>
        </w:tc>
        <w:tc>
          <w:tcPr>
            <w:tcW w:w="2314" w:type="dxa"/>
            <w:vMerge w:val="continue"/>
            <w:tcBorders>
              <w:top w:val="nil"/>
              <w:bottom w:val="nil"/>
            </w:tcBorders>
            <w:vAlign w:val="top"/>
          </w:tcPr>
          <w:p w14:paraId="07B2CC6B">
            <w:pPr>
              <w:rPr>
                <w:rFonts w:ascii="Arial"/>
                <w:sz w:val="21"/>
              </w:rPr>
            </w:pPr>
          </w:p>
        </w:tc>
        <w:tc>
          <w:tcPr>
            <w:tcW w:w="219" w:type="dxa"/>
            <w:vAlign w:val="top"/>
          </w:tcPr>
          <w:p w14:paraId="54B174C1">
            <w:pPr>
              <w:rPr>
                <w:rFonts w:ascii="Arial"/>
                <w:sz w:val="21"/>
              </w:rPr>
            </w:pPr>
          </w:p>
        </w:tc>
        <w:tc>
          <w:tcPr>
            <w:tcW w:w="230" w:type="dxa"/>
            <w:vAlign w:val="top"/>
          </w:tcPr>
          <w:p w14:paraId="40220555">
            <w:pPr>
              <w:rPr>
                <w:rFonts w:ascii="Arial"/>
                <w:sz w:val="21"/>
              </w:rPr>
            </w:pPr>
          </w:p>
        </w:tc>
        <w:tc>
          <w:tcPr>
            <w:tcW w:w="220" w:type="dxa"/>
            <w:vAlign w:val="top"/>
          </w:tcPr>
          <w:p w14:paraId="44FD828E">
            <w:pPr>
              <w:rPr>
                <w:rFonts w:ascii="Arial"/>
                <w:sz w:val="21"/>
              </w:rPr>
            </w:pPr>
          </w:p>
        </w:tc>
        <w:tc>
          <w:tcPr>
            <w:tcW w:w="244" w:type="dxa"/>
            <w:vAlign w:val="top"/>
          </w:tcPr>
          <w:p w14:paraId="4C31F90D">
            <w:pPr>
              <w:rPr>
                <w:rFonts w:ascii="Arial"/>
                <w:sz w:val="21"/>
              </w:rPr>
            </w:pPr>
          </w:p>
        </w:tc>
      </w:tr>
      <w:tr w14:paraId="39B8F6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9" w:hRule="atLeast"/>
        </w:trPr>
        <w:tc>
          <w:tcPr>
            <w:tcW w:w="903" w:type="dxa"/>
            <w:vMerge w:val="continue"/>
            <w:tcBorders>
              <w:top w:val="nil"/>
              <w:bottom w:val="nil"/>
            </w:tcBorders>
            <w:vAlign w:val="top"/>
          </w:tcPr>
          <w:p w14:paraId="633EE68E">
            <w:pPr>
              <w:rPr>
                <w:rFonts w:ascii="Arial"/>
                <w:sz w:val="21"/>
              </w:rPr>
            </w:pPr>
          </w:p>
        </w:tc>
        <w:tc>
          <w:tcPr>
            <w:tcW w:w="2314" w:type="dxa"/>
            <w:vMerge w:val="continue"/>
            <w:tcBorders>
              <w:top w:val="nil"/>
              <w:bottom w:val="nil"/>
            </w:tcBorders>
            <w:vAlign w:val="top"/>
          </w:tcPr>
          <w:p w14:paraId="057C20B8">
            <w:pPr>
              <w:rPr>
                <w:rFonts w:ascii="Arial"/>
                <w:sz w:val="21"/>
              </w:rPr>
            </w:pPr>
          </w:p>
        </w:tc>
        <w:tc>
          <w:tcPr>
            <w:tcW w:w="219" w:type="dxa"/>
            <w:vAlign w:val="top"/>
          </w:tcPr>
          <w:p w14:paraId="0DB9D004">
            <w:pPr>
              <w:rPr>
                <w:rFonts w:ascii="Arial"/>
                <w:sz w:val="21"/>
              </w:rPr>
            </w:pPr>
          </w:p>
        </w:tc>
        <w:tc>
          <w:tcPr>
            <w:tcW w:w="230" w:type="dxa"/>
            <w:vAlign w:val="top"/>
          </w:tcPr>
          <w:p w14:paraId="47A74092">
            <w:pPr>
              <w:rPr>
                <w:rFonts w:ascii="Arial"/>
                <w:sz w:val="21"/>
              </w:rPr>
            </w:pPr>
          </w:p>
        </w:tc>
        <w:tc>
          <w:tcPr>
            <w:tcW w:w="220" w:type="dxa"/>
            <w:vAlign w:val="top"/>
          </w:tcPr>
          <w:p w14:paraId="6535CB41">
            <w:pPr>
              <w:pStyle w:val="6"/>
              <w:spacing w:before="127" w:line="238" w:lineRule="auto"/>
              <w:ind w:left="19"/>
              <w:rPr>
                <w:sz w:val="14"/>
                <w:szCs w:val="14"/>
              </w:rPr>
            </w:pPr>
            <w:r>
              <w:rPr>
                <w:sz w:val="14"/>
                <w:szCs w:val="14"/>
              </w:rPr>
              <w:t>√</w:t>
            </w:r>
          </w:p>
        </w:tc>
        <w:tc>
          <w:tcPr>
            <w:tcW w:w="244" w:type="dxa"/>
            <w:vAlign w:val="top"/>
          </w:tcPr>
          <w:p w14:paraId="6D743595">
            <w:pPr>
              <w:rPr>
                <w:rFonts w:ascii="Arial"/>
                <w:sz w:val="21"/>
              </w:rPr>
            </w:pPr>
          </w:p>
        </w:tc>
      </w:tr>
      <w:tr w14:paraId="72E8B0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4" w:hRule="atLeast"/>
        </w:trPr>
        <w:tc>
          <w:tcPr>
            <w:tcW w:w="903" w:type="dxa"/>
            <w:vMerge w:val="continue"/>
            <w:tcBorders>
              <w:top w:val="nil"/>
            </w:tcBorders>
            <w:vAlign w:val="top"/>
          </w:tcPr>
          <w:p w14:paraId="787D870C">
            <w:pPr>
              <w:rPr>
                <w:rFonts w:ascii="Arial"/>
                <w:sz w:val="21"/>
              </w:rPr>
            </w:pPr>
          </w:p>
        </w:tc>
        <w:tc>
          <w:tcPr>
            <w:tcW w:w="2314" w:type="dxa"/>
            <w:vMerge w:val="continue"/>
            <w:tcBorders>
              <w:top w:val="nil"/>
            </w:tcBorders>
            <w:vAlign w:val="top"/>
          </w:tcPr>
          <w:p w14:paraId="301511FE">
            <w:pPr>
              <w:rPr>
                <w:rFonts w:ascii="Arial"/>
                <w:sz w:val="21"/>
              </w:rPr>
            </w:pPr>
          </w:p>
        </w:tc>
        <w:tc>
          <w:tcPr>
            <w:tcW w:w="219" w:type="dxa"/>
            <w:vAlign w:val="top"/>
          </w:tcPr>
          <w:p w14:paraId="17727E4B">
            <w:pPr>
              <w:rPr>
                <w:rFonts w:ascii="Arial"/>
                <w:sz w:val="21"/>
              </w:rPr>
            </w:pPr>
          </w:p>
        </w:tc>
        <w:tc>
          <w:tcPr>
            <w:tcW w:w="230" w:type="dxa"/>
            <w:vAlign w:val="top"/>
          </w:tcPr>
          <w:p w14:paraId="00D5AAAF">
            <w:pPr>
              <w:pStyle w:val="6"/>
              <w:spacing w:before="128" w:line="238" w:lineRule="auto"/>
              <w:ind w:left="39"/>
              <w:rPr>
                <w:sz w:val="14"/>
                <w:szCs w:val="14"/>
              </w:rPr>
            </w:pPr>
            <w:r>
              <w:rPr>
                <w:sz w:val="14"/>
                <w:szCs w:val="14"/>
              </w:rPr>
              <w:t>√</w:t>
            </w:r>
          </w:p>
        </w:tc>
        <w:tc>
          <w:tcPr>
            <w:tcW w:w="220" w:type="dxa"/>
            <w:vAlign w:val="top"/>
          </w:tcPr>
          <w:p w14:paraId="534A1B13">
            <w:pPr>
              <w:rPr>
                <w:rFonts w:ascii="Arial"/>
                <w:sz w:val="21"/>
              </w:rPr>
            </w:pPr>
          </w:p>
        </w:tc>
        <w:tc>
          <w:tcPr>
            <w:tcW w:w="244" w:type="dxa"/>
            <w:vAlign w:val="top"/>
          </w:tcPr>
          <w:p w14:paraId="7EB930E0">
            <w:pPr>
              <w:rPr>
                <w:rFonts w:ascii="Arial"/>
                <w:sz w:val="21"/>
              </w:rPr>
            </w:pPr>
          </w:p>
        </w:tc>
      </w:tr>
    </w:tbl>
    <w:p w14:paraId="2D621E23">
      <w:pPr>
        <w:spacing w:before="119" w:line="222" w:lineRule="auto"/>
        <w:ind w:left="1267"/>
        <w:rPr>
          <w:rFonts w:ascii="黑体" w:hAnsi="黑体" w:eastAsia="黑体" w:cs="黑体"/>
          <w:sz w:val="20"/>
          <w:szCs w:val="20"/>
        </w:rPr>
      </w:pPr>
      <w:r>
        <w:rPr>
          <w:rFonts w:ascii="黑体" w:hAnsi="黑体" w:eastAsia="黑体" w:cs="黑体"/>
          <w:b/>
          <w:bCs/>
          <w:spacing w:val="-9"/>
          <w:sz w:val="20"/>
          <w:szCs w:val="20"/>
        </w:rPr>
        <w:t>第十一章</w:t>
      </w:r>
      <w:r>
        <w:rPr>
          <w:rFonts w:ascii="黑体" w:hAnsi="黑体" w:eastAsia="黑体" w:cs="黑体"/>
          <w:spacing w:val="16"/>
          <w:sz w:val="20"/>
          <w:szCs w:val="20"/>
        </w:rPr>
        <w:t xml:space="preserve">  </w:t>
      </w:r>
      <w:r>
        <w:rPr>
          <w:rFonts w:ascii="黑体" w:hAnsi="黑体" w:eastAsia="黑体" w:cs="黑体"/>
          <w:b/>
          <w:bCs/>
          <w:spacing w:val="-9"/>
          <w:sz w:val="20"/>
          <w:szCs w:val="20"/>
        </w:rPr>
        <w:t>内分泌</w:t>
      </w:r>
    </w:p>
    <w:p w14:paraId="53D38A78">
      <w:pPr>
        <w:spacing w:line="70" w:lineRule="exact"/>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14"/>
        <w:gridCol w:w="229"/>
        <w:gridCol w:w="229"/>
        <w:gridCol w:w="220"/>
        <w:gridCol w:w="234"/>
      </w:tblGrid>
      <w:tr w14:paraId="03BDAC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5" w:hRule="atLeast"/>
        </w:trPr>
        <w:tc>
          <w:tcPr>
            <w:tcW w:w="893" w:type="dxa"/>
            <w:vMerge w:val="restart"/>
            <w:tcBorders>
              <w:bottom w:val="nil"/>
            </w:tcBorders>
            <w:vAlign w:val="top"/>
          </w:tcPr>
          <w:p w14:paraId="56A59D81">
            <w:pPr>
              <w:pStyle w:val="6"/>
              <w:spacing w:before="90" w:line="225" w:lineRule="auto"/>
              <w:ind w:left="257" w:right="1" w:hanging="240"/>
              <w:rPr>
                <w:sz w:val="18"/>
                <w:szCs w:val="18"/>
              </w:rPr>
            </w:pPr>
            <w:r>
              <w:rPr>
                <w:b/>
                <w:bCs/>
                <w:spacing w:val="-10"/>
                <w:sz w:val="18"/>
                <w:szCs w:val="18"/>
              </w:rPr>
              <w:t>知识与技能</w:t>
            </w:r>
            <w:r>
              <w:rPr>
                <w:spacing w:val="3"/>
                <w:sz w:val="18"/>
                <w:szCs w:val="18"/>
              </w:rPr>
              <w:t xml:space="preserve"> </w:t>
            </w:r>
            <w:r>
              <w:rPr>
                <w:b/>
                <w:bCs/>
                <w:spacing w:val="-4"/>
                <w:sz w:val="18"/>
                <w:szCs w:val="18"/>
              </w:rPr>
              <w:t>要点</w:t>
            </w:r>
          </w:p>
        </w:tc>
        <w:tc>
          <w:tcPr>
            <w:tcW w:w="2314" w:type="dxa"/>
            <w:vMerge w:val="restart"/>
            <w:tcBorders>
              <w:bottom w:val="nil"/>
            </w:tcBorders>
            <w:vAlign w:val="top"/>
          </w:tcPr>
          <w:p w14:paraId="017F7736">
            <w:pPr>
              <w:pStyle w:val="6"/>
              <w:spacing w:before="190" w:line="219" w:lineRule="auto"/>
              <w:ind w:left="834"/>
              <w:rPr>
                <w:sz w:val="18"/>
                <w:szCs w:val="18"/>
              </w:rPr>
            </w:pPr>
            <w:r>
              <w:rPr>
                <w:b/>
                <w:bCs/>
                <w:spacing w:val="5"/>
                <w:sz w:val="18"/>
                <w:szCs w:val="18"/>
              </w:rPr>
              <w:t>考试条目</w:t>
            </w:r>
          </w:p>
        </w:tc>
        <w:tc>
          <w:tcPr>
            <w:tcW w:w="912" w:type="dxa"/>
            <w:gridSpan w:val="4"/>
            <w:vAlign w:val="top"/>
          </w:tcPr>
          <w:p w14:paraId="167241AB">
            <w:pPr>
              <w:pStyle w:val="6"/>
              <w:spacing w:before="50" w:line="219" w:lineRule="auto"/>
              <w:ind w:left="120"/>
              <w:rPr>
                <w:sz w:val="18"/>
                <w:szCs w:val="18"/>
              </w:rPr>
            </w:pPr>
            <w:r>
              <w:rPr>
                <w:b/>
                <w:bCs/>
                <w:spacing w:val="-4"/>
                <w:sz w:val="18"/>
                <w:szCs w:val="18"/>
              </w:rPr>
              <w:t>考试水平</w:t>
            </w:r>
          </w:p>
        </w:tc>
      </w:tr>
      <w:tr w14:paraId="40CE6F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893" w:type="dxa"/>
            <w:vMerge w:val="continue"/>
            <w:tcBorders>
              <w:top w:val="nil"/>
            </w:tcBorders>
            <w:vAlign w:val="top"/>
          </w:tcPr>
          <w:p w14:paraId="7B918538">
            <w:pPr>
              <w:rPr>
                <w:rFonts w:ascii="Arial"/>
                <w:sz w:val="21"/>
              </w:rPr>
            </w:pPr>
          </w:p>
        </w:tc>
        <w:tc>
          <w:tcPr>
            <w:tcW w:w="2314" w:type="dxa"/>
            <w:vMerge w:val="continue"/>
            <w:tcBorders>
              <w:top w:val="nil"/>
            </w:tcBorders>
            <w:vAlign w:val="top"/>
          </w:tcPr>
          <w:p w14:paraId="13E9405A">
            <w:pPr>
              <w:rPr>
                <w:rFonts w:ascii="Arial"/>
                <w:sz w:val="21"/>
              </w:rPr>
            </w:pPr>
          </w:p>
        </w:tc>
        <w:tc>
          <w:tcPr>
            <w:tcW w:w="229" w:type="dxa"/>
            <w:vAlign w:val="top"/>
          </w:tcPr>
          <w:p w14:paraId="3A28FC3B">
            <w:pPr>
              <w:pStyle w:val="6"/>
              <w:spacing w:before="92" w:line="171" w:lineRule="auto"/>
              <w:ind w:left="67"/>
              <w:rPr>
                <w:sz w:val="18"/>
                <w:szCs w:val="18"/>
              </w:rPr>
            </w:pPr>
            <w:r>
              <w:rPr>
                <w:sz w:val="18"/>
                <w:szCs w:val="18"/>
              </w:rPr>
              <w:t>A</w:t>
            </w:r>
          </w:p>
        </w:tc>
        <w:tc>
          <w:tcPr>
            <w:tcW w:w="229" w:type="dxa"/>
            <w:vAlign w:val="top"/>
          </w:tcPr>
          <w:p w14:paraId="6A5A00E2">
            <w:pPr>
              <w:pStyle w:val="6"/>
              <w:spacing w:before="95" w:line="168" w:lineRule="auto"/>
              <w:ind w:left="71"/>
              <w:rPr>
                <w:sz w:val="18"/>
                <w:szCs w:val="18"/>
              </w:rPr>
            </w:pPr>
            <w:r>
              <w:rPr>
                <w:b/>
                <w:bCs/>
                <w:spacing w:val="-2"/>
                <w:sz w:val="18"/>
                <w:szCs w:val="18"/>
              </w:rPr>
              <w:t>B</w:t>
            </w:r>
          </w:p>
        </w:tc>
        <w:tc>
          <w:tcPr>
            <w:tcW w:w="220" w:type="dxa"/>
            <w:vAlign w:val="top"/>
          </w:tcPr>
          <w:p w14:paraId="58BE58FF">
            <w:pPr>
              <w:pStyle w:val="6"/>
              <w:spacing w:before="93" w:line="170" w:lineRule="auto"/>
              <w:ind w:left="22"/>
              <w:rPr>
                <w:sz w:val="18"/>
                <w:szCs w:val="18"/>
              </w:rPr>
            </w:pPr>
            <w:r>
              <w:rPr>
                <w:b/>
                <w:bCs/>
                <w:spacing w:val="-2"/>
                <w:sz w:val="18"/>
                <w:szCs w:val="18"/>
              </w:rPr>
              <w:t>C</w:t>
            </w:r>
          </w:p>
        </w:tc>
        <w:tc>
          <w:tcPr>
            <w:tcW w:w="234" w:type="dxa"/>
            <w:vAlign w:val="top"/>
          </w:tcPr>
          <w:p w14:paraId="5309EA1D">
            <w:pPr>
              <w:pStyle w:val="6"/>
              <w:spacing w:before="95" w:line="168" w:lineRule="auto"/>
              <w:ind w:left="22"/>
              <w:rPr>
                <w:sz w:val="18"/>
                <w:szCs w:val="18"/>
              </w:rPr>
            </w:pPr>
            <w:r>
              <w:rPr>
                <w:b/>
                <w:bCs/>
                <w:spacing w:val="-2"/>
                <w:sz w:val="18"/>
                <w:szCs w:val="18"/>
              </w:rPr>
              <w:t>D</w:t>
            </w:r>
          </w:p>
        </w:tc>
      </w:tr>
      <w:tr w14:paraId="05FE49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9" w:hRule="atLeast"/>
        </w:trPr>
        <w:tc>
          <w:tcPr>
            <w:tcW w:w="893" w:type="dxa"/>
            <w:vAlign w:val="top"/>
          </w:tcPr>
          <w:p w14:paraId="64F19E3C">
            <w:pPr>
              <w:pStyle w:val="6"/>
              <w:spacing w:before="128" w:line="219" w:lineRule="auto"/>
              <w:ind w:left="254"/>
              <w:rPr>
                <w:sz w:val="18"/>
                <w:szCs w:val="18"/>
              </w:rPr>
            </w:pPr>
            <w:r>
              <w:rPr>
                <w:spacing w:val="-2"/>
                <w:sz w:val="18"/>
                <w:szCs w:val="18"/>
              </w:rPr>
              <w:t>概述</w:t>
            </w:r>
          </w:p>
        </w:tc>
        <w:tc>
          <w:tcPr>
            <w:tcW w:w="2314" w:type="dxa"/>
            <w:vAlign w:val="top"/>
          </w:tcPr>
          <w:p w14:paraId="7EF9E1A3">
            <w:pPr>
              <w:pStyle w:val="6"/>
              <w:spacing w:before="48" w:line="190" w:lineRule="auto"/>
              <w:ind w:left="12" w:right="110"/>
              <w:rPr>
                <w:sz w:val="18"/>
                <w:szCs w:val="18"/>
              </w:rPr>
            </w:pPr>
            <w:r>
              <w:rPr>
                <w:spacing w:val="1"/>
                <w:sz w:val="18"/>
                <w:szCs w:val="18"/>
              </w:rPr>
              <w:t>激素作用的一般特征及作用</w:t>
            </w:r>
            <w:r>
              <w:rPr>
                <w:spacing w:val="8"/>
                <w:sz w:val="18"/>
                <w:szCs w:val="18"/>
              </w:rPr>
              <w:t xml:space="preserve"> </w:t>
            </w:r>
            <w:r>
              <w:rPr>
                <w:spacing w:val="-2"/>
                <w:sz w:val="18"/>
                <w:szCs w:val="18"/>
              </w:rPr>
              <w:t>机理</w:t>
            </w:r>
          </w:p>
        </w:tc>
        <w:tc>
          <w:tcPr>
            <w:tcW w:w="229" w:type="dxa"/>
            <w:vAlign w:val="top"/>
          </w:tcPr>
          <w:p w14:paraId="01EBE68B">
            <w:pPr>
              <w:pStyle w:val="6"/>
              <w:spacing w:before="159" w:line="238" w:lineRule="auto"/>
              <w:ind w:left="48"/>
              <w:rPr>
                <w:sz w:val="13"/>
                <w:szCs w:val="13"/>
              </w:rPr>
            </w:pPr>
            <w:r>
              <w:rPr>
                <w:sz w:val="13"/>
                <w:szCs w:val="13"/>
              </w:rPr>
              <w:t>√</w:t>
            </w:r>
          </w:p>
        </w:tc>
        <w:tc>
          <w:tcPr>
            <w:tcW w:w="229" w:type="dxa"/>
            <w:vAlign w:val="top"/>
          </w:tcPr>
          <w:p w14:paraId="154F8794">
            <w:pPr>
              <w:rPr>
                <w:rFonts w:ascii="Arial"/>
                <w:sz w:val="21"/>
              </w:rPr>
            </w:pPr>
          </w:p>
        </w:tc>
        <w:tc>
          <w:tcPr>
            <w:tcW w:w="220" w:type="dxa"/>
            <w:vAlign w:val="top"/>
          </w:tcPr>
          <w:p w14:paraId="305DC7D1">
            <w:pPr>
              <w:rPr>
                <w:rFonts w:ascii="Arial"/>
                <w:sz w:val="21"/>
              </w:rPr>
            </w:pPr>
          </w:p>
        </w:tc>
        <w:tc>
          <w:tcPr>
            <w:tcW w:w="234" w:type="dxa"/>
            <w:vAlign w:val="top"/>
          </w:tcPr>
          <w:p w14:paraId="79A1979D">
            <w:pPr>
              <w:rPr>
                <w:rFonts w:ascii="Arial"/>
                <w:sz w:val="21"/>
              </w:rPr>
            </w:pPr>
          </w:p>
        </w:tc>
      </w:tr>
      <w:tr w14:paraId="6D586B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9" w:hRule="atLeast"/>
        </w:trPr>
        <w:tc>
          <w:tcPr>
            <w:tcW w:w="893" w:type="dxa"/>
            <w:vMerge w:val="restart"/>
            <w:tcBorders>
              <w:bottom w:val="nil"/>
            </w:tcBorders>
            <w:vAlign w:val="top"/>
          </w:tcPr>
          <w:p w14:paraId="6B46C88D">
            <w:pPr>
              <w:pStyle w:val="6"/>
              <w:spacing w:before="220" w:line="218" w:lineRule="auto"/>
              <w:ind w:left="254" w:right="73" w:hanging="179"/>
              <w:rPr>
                <w:sz w:val="18"/>
                <w:szCs w:val="18"/>
              </w:rPr>
            </w:pPr>
            <w:r>
              <w:rPr>
                <w:spacing w:val="3"/>
                <w:sz w:val="18"/>
                <w:szCs w:val="18"/>
              </w:rPr>
              <w:t>下丘脑与</w:t>
            </w:r>
            <w:r>
              <w:rPr>
                <w:spacing w:val="1"/>
                <w:sz w:val="18"/>
                <w:szCs w:val="18"/>
              </w:rPr>
              <w:t xml:space="preserve"> </w:t>
            </w:r>
            <w:r>
              <w:rPr>
                <w:spacing w:val="-2"/>
                <w:sz w:val="18"/>
                <w:szCs w:val="18"/>
              </w:rPr>
              <w:t>垂体</w:t>
            </w:r>
          </w:p>
        </w:tc>
        <w:tc>
          <w:tcPr>
            <w:tcW w:w="2314" w:type="dxa"/>
            <w:vMerge w:val="restart"/>
            <w:tcBorders>
              <w:bottom w:val="nil"/>
            </w:tcBorders>
            <w:vAlign w:val="top"/>
          </w:tcPr>
          <w:p w14:paraId="67304071">
            <w:pPr>
              <w:pStyle w:val="6"/>
              <w:spacing w:before="99" w:line="223" w:lineRule="auto"/>
              <w:ind w:left="12" w:right="120"/>
              <w:rPr>
                <w:sz w:val="18"/>
                <w:szCs w:val="18"/>
              </w:rPr>
            </w:pPr>
            <w:r>
              <w:rPr>
                <w:sz w:val="18"/>
                <w:szCs w:val="18"/>
              </w:rPr>
              <w:t>1.腺垂体激素的作用及分泌</w:t>
            </w:r>
            <w:r>
              <w:rPr>
                <w:spacing w:val="10"/>
                <w:sz w:val="18"/>
                <w:szCs w:val="18"/>
              </w:rPr>
              <w:t xml:space="preserve"> </w:t>
            </w:r>
            <w:r>
              <w:rPr>
                <w:spacing w:val="-3"/>
                <w:sz w:val="18"/>
                <w:szCs w:val="18"/>
              </w:rPr>
              <w:t>调节</w:t>
            </w:r>
          </w:p>
          <w:p w14:paraId="282A42E5">
            <w:pPr>
              <w:pStyle w:val="6"/>
              <w:spacing w:before="15" w:line="219" w:lineRule="auto"/>
              <w:ind w:left="12"/>
              <w:rPr>
                <w:sz w:val="18"/>
                <w:szCs w:val="18"/>
              </w:rPr>
            </w:pPr>
            <w:r>
              <w:rPr>
                <w:spacing w:val="1"/>
                <w:sz w:val="18"/>
                <w:szCs w:val="18"/>
              </w:rPr>
              <w:t>2.神经垂体激素的生理作用</w:t>
            </w:r>
          </w:p>
        </w:tc>
        <w:tc>
          <w:tcPr>
            <w:tcW w:w="229" w:type="dxa"/>
            <w:vAlign w:val="top"/>
          </w:tcPr>
          <w:p w14:paraId="7336D8C3">
            <w:pPr>
              <w:rPr>
                <w:rFonts w:ascii="Arial"/>
                <w:sz w:val="21"/>
              </w:rPr>
            </w:pPr>
          </w:p>
        </w:tc>
        <w:tc>
          <w:tcPr>
            <w:tcW w:w="229" w:type="dxa"/>
            <w:vAlign w:val="top"/>
          </w:tcPr>
          <w:p w14:paraId="56202131">
            <w:pPr>
              <w:pStyle w:val="6"/>
              <w:spacing w:before="160" w:line="238" w:lineRule="auto"/>
              <w:ind w:left="48"/>
              <w:rPr>
                <w:sz w:val="13"/>
                <w:szCs w:val="13"/>
              </w:rPr>
            </w:pPr>
            <w:r>
              <w:rPr>
                <w:sz w:val="13"/>
                <w:szCs w:val="13"/>
              </w:rPr>
              <w:t>√</w:t>
            </w:r>
          </w:p>
        </w:tc>
        <w:tc>
          <w:tcPr>
            <w:tcW w:w="220" w:type="dxa"/>
            <w:vAlign w:val="top"/>
          </w:tcPr>
          <w:p w14:paraId="337DEA05">
            <w:pPr>
              <w:rPr>
                <w:rFonts w:ascii="Arial"/>
                <w:sz w:val="21"/>
              </w:rPr>
            </w:pPr>
          </w:p>
        </w:tc>
        <w:tc>
          <w:tcPr>
            <w:tcW w:w="234" w:type="dxa"/>
            <w:vAlign w:val="top"/>
          </w:tcPr>
          <w:p w14:paraId="240FFE21">
            <w:pPr>
              <w:rPr>
                <w:rFonts w:ascii="Arial"/>
                <w:sz w:val="21"/>
              </w:rPr>
            </w:pPr>
          </w:p>
        </w:tc>
      </w:tr>
      <w:tr w14:paraId="24FC10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9" w:hRule="atLeast"/>
        </w:trPr>
        <w:tc>
          <w:tcPr>
            <w:tcW w:w="893" w:type="dxa"/>
            <w:vMerge w:val="continue"/>
            <w:tcBorders>
              <w:top w:val="nil"/>
            </w:tcBorders>
            <w:vAlign w:val="top"/>
          </w:tcPr>
          <w:p w14:paraId="7D03FF3F">
            <w:pPr>
              <w:rPr>
                <w:rFonts w:ascii="Arial"/>
                <w:sz w:val="21"/>
              </w:rPr>
            </w:pPr>
          </w:p>
        </w:tc>
        <w:tc>
          <w:tcPr>
            <w:tcW w:w="2314" w:type="dxa"/>
            <w:vMerge w:val="continue"/>
            <w:tcBorders>
              <w:top w:val="nil"/>
            </w:tcBorders>
            <w:vAlign w:val="top"/>
          </w:tcPr>
          <w:p w14:paraId="699A342B">
            <w:pPr>
              <w:rPr>
                <w:rFonts w:ascii="Arial"/>
                <w:sz w:val="21"/>
              </w:rPr>
            </w:pPr>
          </w:p>
        </w:tc>
        <w:tc>
          <w:tcPr>
            <w:tcW w:w="229" w:type="dxa"/>
            <w:vAlign w:val="top"/>
          </w:tcPr>
          <w:p w14:paraId="78D13623">
            <w:pPr>
              <w:rPr>
                <w:rFonts w:ascii="Arial"/>
                <w:sz w:val="21"/>
              </w:rPr>
            </w:pPr>
          </w:p>
        </w:tc>
        <w:tc>
          <w:tcPr>
            <w:tcW w:w="229" w:type="dxa"/>
            <w:vAlign w:val="top"/>
          </w:tcPr>
          <w:p w14:paraId="7C9F1C93">
            <w:pPr>
              <w:pStyle w:val="6"/>
              <w:spacing w:before="112" w:line="238" w:lineRule="auto"/>
              <w:ind w:left="39"/>
              <w:rPr>
                <w:sz w:val="14"/>
                <w:szCs w:val="14"/>
              </w:rPr>
            </w:pPr>
            <w:r>
              <w:rPr>
                <w:sz w:val="14"/>
                <w:szCs w:val="14"/>
              </w:rPr>
              <w:t>√</w:t>
            </w:r>
          </w:p>
        </w:tc>
        <w:tc>
          <w:tcPr>
            <w:tcW w:w="220" w:type="dxa"/>
            <w:vAlign w:val="top"/>
          </w:tcPr>
          <w:p w14:paraId="20A51E68">
            <w:pPr>
              <w:rPr>
                <w:rFonts w:ascii="Arial"/>
                <w:sz w:val="21"/>
              </w:rPr>
            </w:pPr>
          </w:p>
        </w:tc>
        <w:tc>
          <w:tcPr>
            <w:tcW w:w="234" w:type="dxa"/>
            <w:vAlign w:val="top"/>
          </w:tcPr>
          <w:p w14:paraId="69598C90">
            <w:pPr>
              <w:rPr>
                <w:rFonts w:ascii="Arial"/>
                <w:sz w:val="21"/>
              </w:rPr>
            </w:pPr>
          </w:p>
        </w:tc>
      </w:tr>
      <w:tr w14:paraId="1F51F0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9" w:hRule="atLeast"/>
        </w:trPr>
        <w:tc>
          <w:tcPr>
            <w:tcW w:w="893" w:type="dxa"/>
            <w:vMerge w:val="restart"/>
            <w:tcBorders>
              <w:bottom w:val="nil"/>
            </w:tcBorders>
            <w:vAlign w:val="top"/>
          </w:tcPr>
          <w:p w14:paraId="32F73F9B">
            <w:pPr>
              <w:spacing w:line="350" w:lineRule="auto"/>
              <w:rPr>
                <w:rFonts w:ascii="Arial"/>
                <w:sz w:val="21"/>
              </w:rPr>
            </w:pPr>
          </w:p>
          <w:p w14:paraId="1477388F">
            <w:pPr>
              <w:pStyle w:val="6"/>
              <w:spacing w:before="59" w:line="219" w:lineRule="auto"/>
              <w:ind w:left="165"/>
              <w:rPr>
                <w:sz w:val="18"/>
                <w:szCs w:val="18"/>
              </w:rPr>
            </w:pPr>
            <w:r>
              <w:rPr>
                <w:spacing w:val="2"/>
                <w:sz w:val="18"/>
                <w:szCs w:val="18"/>
              </w:rPr>
              <w:t>甲状腺</w:t>
            </w:r>
          </w:p>
        </w:tc>
        <w:tc>
          <w:tcPr>
            <w:tcW w:w="2314" w:type="dxa"/>
            <w:vMerge w:val="restart"/>
            <w:tcBorders>
              <w:bottom w:val="nil"/>
            </w:tcBorders>
            <w:vAlign w:val="top"/>
          </w:tcPr>
          <w:p w14:paraId="63C11C12">
            <w:pPr>
              <w:pStyle w:val="6"/>
              <w:spacing w:before="221" w:line="213" w:lineRule="auto"/>
              <w:ind w:left="12" w:right="120"/>
              <w:rPr>
                <w:sz w:val="18"/>
                <w:szCs w:val="18"/>
              </w:rPr>
            </w:pPr>
            <w:r>
              <w:rPr>
                <w:sz w:val="18"/>
                <w:szCs w:val="18"/>
              </w:rPr>
              <w:t>1.甲状腺激素的作用及分泌</w:t>
            </w:r>
            <w:r>
              <w:rPr>
                <w:spacing w:val="10"/>
                <w:sz w:val="18"/>
                <w:szCs w:val="18"/>
              </w:rPr>
              <w:t xml:space="preserve"> </w:t>
            </w:r>
            <w:r>
              <w:rPr>
                <w:spacing w:val="-3"/>
                <w:sz w:val="18"/>
                <w:szCs w:val="18"/>
              </w:rPr>
              <w:t>调节</w:t>
            </w:r>
          </w:p>
          <w:p w14:paraId="2971DCB5">
            <w:pPr>
              <w:pStyle w:val="6"/>
              <w:spacing w:before="15" w:line="219" w:lineRule="auto"/>
              <w:ind w:left="12"/>
              <w:rPr>
                <w:sz w:val="18"/>
                <w:szCs w:val="18"/>
              </w:rPr>
            </w:pPr>
            <w:r>
              <w:rPr>
                <w:spacing w:val="1"/>
                <w:sz w:val="18"/>
                <w:szCs w:val="18"/>
              </w:rPr>
              <w:t>2.甲状旁腺的主要生理作用</w:t>
            </w:r>
          </w:p>
        </w:tc>
        <w:tc>
          <w:tcPr>
            <w:tcW w:w="229" w:type="dxa"/>
            <w:vAlign w:val="top"/>
          </w:tcPr>
          <w:p w14:paraId="25714AFF">
            <w:pPr>
              <w:pStyle w:val="6"/>
              <w:spacing w:before="262" w:line="238" w:lineRule="auto"/>
              <w:ind w:left="48"/>
              <w:rPr>
                <w:sz w:val="13"/>
                <w:szCs w:val="13"/>
              </w:rPr>
            </w:pPr>
            <w:r>
              <w:rPr>
                <w:sz w:val="13"/>
                <w:szCs w:val="13"/>
              </w:rPr>
              <w:t>√</w:t>
            </w:r>
          </w:p>
        </w:tc>
        <w:tc>
          <w:tcPr>
            <w:tcW w:w="229" w:type="dxa"/>
            <w:vAlign w:val="top"/>
          </w:tcPr>
          <w:p w14:paraId="2B92FA20">
            <w:pPr>
              <w:rPr>
                <w:rFonts w:ascii="Arial"/>
                <w:sz w:val="21"/>
              </w:rPr>
            </w:pPr>
          </w:p>
        </w:tc>
        <w:tc>
          <w:tcPr>
            <w:tcW w:w="220" w:type="dxa"/>
            <w:vAlign w:val="top"/>
          </w:tcPr>
          <w:p w14:paraId="7A0EBB62">
            <w:pPr>
              <w:rPr>
                <w:rFonts w:ascii="Arial"/>
                <w:sz w:val="21"/>
              </w:rPr>
            </w:pPr>
          </w:p>
        </w:tc>
        <w:tc>
          <w:tcPr>
            <w:tcW w:w="234" w:type="dxa"/>
            <w:vAlign w:val="top"/>
          </w:tcPr>
          <w:p w14:paraId="243223E0">
            <w:pPr>
              <w:rPr>
                <w:rFonts w:ascii="Arial"/>
                <w:sz w:val="21"/>
              </w:rPr>
            </w:pPr>
          </w:p>
        </w:tc>
      </w:tr>
      <w:tr w14:paraId="35CED6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9" w:hRule="atLeast"/>
        </w:trPr>
        <w:tc>
          <w:tcPr>
            <w:tcW w:w="893" w:type="dxa"/>
            <w:vMerge w:val="continue"/>
            <w:tcBorders>
              <w:top w:val="nil"/>
            </w:tcBorders>
            <w:vAlign w:val="top"/>
          </w:tcPr>
          <w:p w14:paraId="6DBEBC4B">
            <w:pPr>
              <w:rPr>
                <w:rFonts w:ascii="Arial"/>
                <w:sz w:val="21"/>
              </w:rPr>
            </w:pPr>
          </w:p>
        </w:tc>
        <w:tc>
          <w:tcPr>
            <w:tcW w:w="2314" w:type="dxa"/>
            <w:vMerge w:val="continue"/>
            <w:tcBorders>
              <w:top w:val="nil"/>
            </w:tcBorders>
            <w:vAlign w:val="top"/>
          </w:tcPr>
          <w:p w14:paraId="42963839">
            <w:pPr>
              <w:rPr>
                <w:rFonts w:ascii="Arial"/>
                <w:sz w:val="21"/>
              </w:rPr>
            </w:pPr>
          </w:p>
        </w:tc>
        <w:tc>
          <w:tcPr>
            <w:tcW w:w="229" w:type="dxa"/>
            <w:vAlign w:val="top"/>
          </w:tcPr>
          <w:p w14:paraId="52E580A7">
            <w:pPr>
              <w:rPr>
                <w:rFonts w:ascii="Arial"/>
                <w:sz w:val="21"/>
              </w:rPr>
            </w:pPr>
          </w:p>
        </w:tc>
        <w:tc>
          <w:tcPr>
            <w:tcW w:w="229" w:type="dxa"/>
            <w:vAlign w:val="top"/>
          </w:tcPr>
          <w:p w14:paraId="4A39B728">
            <w:pPr>
              <w:pStyle w:val="6"/>
              <w:spacing w:before="133" w:line="238" w:lineRule="auto"/>
              <w:ind w:left="48"/>
              <w:rPr>
                <w:sz w:val="13"/>
                <w:szCs w:val="13"/>
              </w:rPr>
            </w:pPr>
            <w:r>
              <w:rPr>
                <w:sz w:val="13"/>
                <w:szCs w:val="13"/>
              </w:rPr>
              <w:t>√</w:t>
            </w:r>
          </w:p>
        </w:tc>
        <w:tc>
          <w:tcPr>
            <w:tcW w:w="220" w:type="dxa"/>
            <w:vAlign w:val="top"/>
          </w:tcPr>
          <w:p w14:paraId="668C08DB">
            <w:pPr>
              <w:rPr>
                <w:rFonts w:ascii="Arial"/>
                <w:sz w:val="21"/>
              </w:rPr>
            </w:pPr>
          </w:p>
        </w:tc>
        <w:tc>
          <w:tcPr>
            <w:tcW w:w="234" w:type="dxa"/>
            <w:vAlign w:val="top"/>
          </w:tcPr>
          <w:p w14:paraId="37C5B7E6">
            <w:pPr>
              <w:rPr>
                <w:rFonts w:ascii="Arial"/>
                <w:sz w:val="21"/>
              </w:rPr>
            </w:pPr>
          </w:p>
        </w:tc>
      </w:tr>
      <w:tr w14:paraId="22B471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9" w:hRule="atLeast"/>
        </w:trPr>
        <w:tc>
          <w:tcPr>
            <w:tcW w:w="893" w:type="dxa"/>
            <w:vMerge w:val="restart"/>
            <w:tcBorders>
              <w:bottom w:val="nil"/>
            </w:tcBorders>
            <w:vAlign w:val="top"/>
          </w:tcPr>
          <w:p w14:paraId="1689C6EC">
            <w:pPr>
              <w:pStyle w:val="6"/>
              <w:spacing w:before="273" w:line="219" w:lineRule="auto"/>
              <w:ind w:left="254"/>
              <w:rPr>
                <w:sz w:val="18"/>
                <w:szCs w:val="18"/>
              </w:rPr>
            </w:pPr>
            <w:r>
              <w:rPr>
                <w:spacing w:val="8"/>
                <w:sz w:val="18"/>
                <w:szCs w:val="18"/>
              </w:rPr>
              <w:t>胰岛</w:t>
            </w:r>
          </w:p>
        </w:tc>
        <w:tc>
          <w:tcPr>
            <w:tcW w:w="2314" w:type="dxa"/>
            <w:vMerge w:val="restart"/>
            <w:tcBorders>
              <w:bottom w:val="nil"/>
            </w:tcBorders>
            <w:vAlign w:val="top"/>
          </w:tcPr>
          <w:p w14:paraId="4772B45E">
            <w:pPr>
              <w:pStyle w:val="6"/>
              <w:spacing w:before="73" w:line="213" w:lineRule="auto"/>
              <w:ind w:left="12" w:right="102" w:firstLine="19"/>
              <w:rPr>
                <w:sz w:val="18"/>
                <w:szCs w:val="18"/>
              </w:rPr>
            </w:pPr>
            <w:r>
              <w:rPr>
                <w:sz w:val="18"/>
                <w:szCs w:val="18"/>
              </w:rPr>
              <w:t>1.胰岛素的主要生理作用及</w:t>
            </w:r>
            <w:r>
              <w:rPr>
                <w:spacing w:val="8"/>
                <w:sz w:val="18"/>
                <w:szCs w:val="18"/>
              </w:rPr>
              <w:t xml:space="preserve"> </w:t>
            </w:r>
            <w:r>
              <w:rPr>
                <w:spacing w:val="-2"/>
                <w:sz w:val="18"/>
                <w:szCs w:val="18"/>
              </w:rPr>
              <w:t>分泌调节</w:t>
            </w:r>
          </w:p>
          <w:p w14:paraId="2BB0F34D">
            <w:pPr>
              <w:pStyle w:val="6"/>
              <w:spacing w:before="14" w:line="200" w:lineRule="auto"/>
              <w:ind w:left="12"/>
              <w:rPr>
                <w:sz w:val="18"/>
                <w:szCs w:val="18"/>
              </w:rPr>
            </w:pPr>
            <w:r>
              <w:rPr>
                <w:spacing w:val="2"/>
                <w:sz w:val="18"/>
                <w:szCs w:val="18"/>
              </w:rPr>
              <w:t>2.胰高血糖素的作用</w:t>
            </w:r>
          </w:p>
        </w:tc>
        <w:tc>
          <w:tcPr>
            <w:tcW w:w="229" w:type="dxa"/>
            <w:vAlign w:val="top"/>
          </w:tcPr>
          <w:p w14:paraId="3B7D7A03">
            <w:pPr>
              <w:pStyle w:val="6"/>
              <w:spacing w:before="124" w:line="238" w:lineRule="auto"/>
              <w:ind w:left="48"/>
              <w:rPr>
                <w:sz w:val="13"/>
                <w:szCs w:val="13"/>
              </w:rPr>
            </w:pPr>
            <w:r>
              <w:rPr>
                <w:sz w:val="13"/>
                <w:szCs w:val="13"/>
              </w:rPr>
              <w:t>√</w:t>
            </w:r>
          </w:p>
        </w:tc>
        <w:tc>
          <w:tcPr>
            <w:tcW w:w="229" w:type="dxa"/>
            <w:vAlign w:val="top"/>
          </w:tcPr>
          <w:p w14:paraId="57BC94A7">
            <w:pPr>
              <w:rPr>
                <w:rFonts w:ascii="Arial"/>
                <w:sz w:val="21"/>
              </w:rPr>
            </w:pPr>
          </w:p>
        </w:tc>
        <w:tc>
          <w:tcPr>
            <w:tcW w:w="220" w:type="dxa"/>
            <w:vAlign w:val="top"/>
          </w:tcPr>
          <w:p w14:paraId="58A0EF50">
            <w:pPr>
              <w:rPr>
                <w:rFonts w:ascii="Arial"/>
                <w:sz w:val="21"/>
              </w:rPr>
            </w:pPr>
          </w:p>
        </w:tc>
        <w:tc>
          <w:tcPr>
            <w:tcW w:w="234" w:type="dxa"/>
            <w:vAlign w:val="top"/>
          </w:tcPr>
          <w:p w14:paraId="7179AD34">
            <w:pPr>
              <w:rPr>
                <w:rFonts w:ascii="Arial"/>
                <w:sz w:val="21"/>
              </w:rPr>
            </w:pPr>
          </w:p>
        </w:tc>
      </w:tr>
      <w:tr w14:paraId="67B0F0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9" w:hRule="atLeast"/>
        </w:trPr>
        <w:tc>
          <w:tcPr>
            <w:tcW w:w="893" w:type="dxa"/>
            <w:vMerge w:val="continue"/>
            <w:tcBorders>
              <w:top w:val="nil"/>
            </w:tcBorders>
            <w:vAlign w:val="top"/>
          </w:tcPr>
          <w:p w14:paraId="5C96F7E7">
            <w:pPr>
              <w:rPr>
                <w:rFonts w:ascii="Arial"/>
                <w:sz w:val="21"/>
              </w:rPr>
            </w:pPr>
          </w:p>
        </w:tc>
        <w:tc>
          <w:tcPr>
            <w:tcW w:w="2314" w:type="dxa"/>
            <w:vMerge w:val="continue"/>
            <w:tcBorders>
              <w:top w:val="nil"/>
            </w:tcBorders>
            <w:vAlign w:val="top"/>
          </w:tcPr>
          <w:p w14:paraId="0AC15D95">
            <w:pPr>
              <w:rPr>
                <w:rFonts w:ascii="Arial"/>
                <w:sz w:val="21"/>
              </w:rPr>
            </w:pPr>
          </w:p>
        </w:tc>
        <w:tc>
          <w:tcPr>
            <w:tcW w:w="229" w:type="dxa"/>
            <w:vAlign w:val="top"/>
          </w:tcPr>
          <w:p w14:paraId="053DC54B">
            <w:pPr>
              <w:rPr>
                <w:rFonts w:ascii="Arial"/>
                <w:sz w:val="21"/>
              </w:rPr>
            </w:pPr>
          </w:p>
        </w:tc>
        <w:tc>
          <w:tcPr>
            <w:tcW w:w="229" w:type="dxa"/>
            <w:vAlign w:val="top"/>
          </w:tcPr>
          <w:p w14:paraId="0EB1006D">
            <w:pPr>
              <w:pStyle w:val="6"/>
              <w:spacing w:before="125" w:line="238" w:lineRule="auto"/>
              <w:ind w:left="48"/>
              <w:rPr>
                <w:sz w:val="13"/>
                <w:szCs w:val="13"/>
              </w:rPr>
            </w:pPr>
            <w:r>
              <w:rPr>
                <w:sz w:val="13"/>
                <w:szCs w:val="13"/>
              </w:rPr>
              <w:t>√</w:t>
            </w:r>
          </w:p>
        </w:tc>
        <w:tc>
          <w:tcPr>
            <w:tcW w:w="220" w:type="dxa"/>
            <w:vAlign w:val="top"/>
          </w:tcPr>
          <w:p w14:paraId="3441E731">
            <w:pPr>
              <w:rPr>
                <w:rFonts w:ascii="Arial"/>
                <w:sz w:val="21"/>
              </w:rPr>
            </w:pPr>
          </w:p>
        </w:tc>
        <w:tc>
          <w:tcPr>
            <w:tcW w:w="234" w:type="dxa"/>
            <w:vAlign w:val="top"/>
          </w:tcPr>
          <w:p w14:paraId="54CF3375">
            <w:pPr>
              <w:rPr>
                <w:rFonts w:ascii="Arial"/>
                <w:sz w:val="21"/>
              </w:rPr>
            </w:pPr>
          </w:p>
        </w:tc>
      </w:tr>
      <w:tr w14:paraId="0063A8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9" w:hRule="atLeast"/>
        </w:trPr>
        <w:tc>
          <w:tcPr>
            <w:tcW w:w="893" w:type="dxa"/>
            <w:vMerge w:val="restart"/>
            <w:tcBorders>
              <w:bottom w:val="nil"/>
            </w:tcBorders>
            <w:vAlign w:val="top"/>
          </w:tcPr>
          <w:p w14:paraId="4B8354C9">
            <w:pPr>
              <w:spacing w:line="344" w:lineRule="auto"/>
              <w:rPr>
                <w:rFonts w:ascii="Arial"/>
                <w:sz w:val="21"/>
              </w:rPr>
            </w:pPr>
          </w:p>
          <w:p w14:paraId="5ECFAB81">
            <w:pPr>
              <w:pStyle w:val="6"/>
              <w:spacing w:before="59" w:line="219" w:lineRule="auto"/>
              <w:ind w:left="165"/>
              <w:rPr>
                <w:sz w:val="18"/>
                <w:szCs w:val="18"/>
              </w:rPr>
            </w:pPr>
            <w:r>
              <w:rPr>
                <w:spacing w:val="2"/>
                <w:sz w:val="18"/>
                <w:szCs w:val="18"/>
              </w:rPr>
              <w:t>肾上腺</w:t>
            </w:r>
          </w:p>
        </w:tc>
        <w:tc>
          <w:tcPr>
            <w:tcW w:w="2314" w:type="dxa"/>
            <w:vMerge w:val="restart"/>
            <w:tcBorders>
              <w:bottom w:val="nil"/>
            </w:tcBorders>
            <w:vAlign w:val="top"/>
          </w:tcPr>
          <w:p w14:paraId="6B71A92F">
            <w:pPr>
              <w:pStyle w:val="6"/>
              <w:spacing w:before="95" w:line="223" w:lineRule="auto"/>
              <w:ind w:left="12" w:right="120"/>
              <w:rPr>
                <w:sz w:val="18"/>
                <w:szCs w:val="18"/>
              </w:rPr>
            </w:pPr>
            <w:r>
              <w:rPr>
                <w:sz w:val="18"/>
                <w:szCs w:val="18"/>
              </w:rPr>
              <w:t>1.糖皮质激素的作用与分泌</w:t>
            </w:r>
            <w:r>
              <w:rPr>
                <w:spacing w:val="10"/>
                <w:sz w:val="18"/>
                <w:szCs w:val="18"/>
              </w:rPr>
              <w:t xml:space="preserve"> </w:t>
            </w:r>
            <w:r>
              <w:rPr>
                <w:spacing w:val="-3"/>
                <w:sz w:val="18"/>
                <w:szCs w:val="18"/>
              </w:rPr>
              <w:t>调节</w:t>
            </w:r>
          </w:p>
          <w:p w14:paraId="2DA96501">
            <w:pPr>
              <w:pStyle w:val="6"/>
              <w:spacing w:before="14" w:line="218" w:lineRule="auto"/>
              <w:ind w:left="12" w:right="141"/>
              <w:rPr>
                <w:sz w:val="18"/>
                <w:szCs w:val="18"/>
              </w:rPr>
            </w:pPr>
            <w:r>
              <w:rPr>
                <w:spacing w:val="-1"/>
                <w:sz w:val="18"/>
                <w:szCs w:val="18"/>
              </w:rPr>
              <w:t>2.长期大量使用糖皮质激素</w:t>
            </w:r>
            <w:r>
              <w:rPr>
                <w:spacing w:val="2"/>
                <w:sz w:val="18"/>
                <w:szCs w:val="18"/>
              </w:rPr>
              <w:t xml:space="preserve"> 不能骤然停用的原因</w:t>
            </w:r>
          </w:p>
        </w:tc>
        <w:tc>
          <w:tcPr>
            <w:tcW w:w="229" w:type="dxa"/>
            <w:vAlign w:val="top"/>
          </w:tcPr>
          <w:p w14:paraId="1768DEDD">
            <w:pPr>
              <w:pStyle w:val="6"/>
              <w:spacing w:before="136" w:line="238" w:lineRule="auto"/>
              <w:ind w:left="48"/>
              <w:rPr>
                <w:sz w:val="13"/>
                <w:szCs w:val="13"/>
              </w:rPr>
            </w:pPr>
            <w:r>
              <w:rPr>
                <w:sz w:val="13"/>
                <w:szCs w:val="13"/>
              </w:rPr>
              <w:t>√</w:t>
            </w:r>
          </w:p>
        </w:tc>
        <w:tc>
          <w:tcPr>
            <w:tcW w:w="229" w:type="dxa"/>
            <w:vAlign w:val="top"/>
          </w:tcPr>
          <w:p w14:paraId="0CD4D7C1">
            <w:pPr>
              <w:rPr>
                <w:rFonts w:ascii="Arial"/>
                <w:sz w:val="21"/>
              </w:rPr>
            </w:pPr>
          </w:p>
        </w:tc>
        <w:tc>
          <w:tcPr>
            <w:tcW w:w="220" w:type="dxa"/>
            <w:vAlign w:val="top"/>
          </w:tcPr>
          <w:p w14:paraId="508CB0D2">
            <w:pPr>
              <w:rPr>
                <w:rFonts w:ascii="Arial"/>
                <w:sz w:val="21"/>
              </w:rPr>
            </w:pPr>
          </w:p>
        </w:tc>
        <w:tc>
          <w:tcPr>
            <w:tcW w:w="234" w:type="dxa"/>
            <w:vAlign w:val="top"/>
          </w:tcPr>
          <w:p w14:paraId="05B6DA8E">
            <w:pPr>
              <w:rPr>
                <w:rFonts w:ascii="Arial"/>
                <w:sz w:val="21"/>
              </w:rPr>
            </w:pPr>
          </w:p>
        </w:tc>
      </w:tr>
      <w:tr w14:paraId="07B88F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14" w:hRule="atLeast"/>
        </w:trPr>
        <w:tc>
          <w:tcPr>
            <w:tcW w:w="893" w:type="dxa"/>
            <w:vMerge w:val="continue"/>
            <w:tcBorders>
              <w:top w:val="nil"/>
            </w:tcBorders>
            <w:vAlign w:val="top"/>
          </w:tcPr>
          <w:p w14:paraId="7412B45F">
            <w:pPr>
              <w:rPr>
                <w:rFonts w:ascii="Arial"/>
                <w:sz w:val="21"/>
              </w:rPr>
            </w:pPr>
          </w:p>
        </w:tc>
        <w:tc>
          <w:tcPr>
            <w:tcW w:w="2314" w:type="dxa"/>
            <w:vMerge w:val="continue"/>
            <w:tcBorders>
              <w:top w:val="nil"/>
            </w:tcBorders>
            <w:vAlign w:val="top"/>
          </w:tcPr>
          <w:p w14:paraId="179DDEB2">
            <w:pPr>
              <w:rPr>
                <w:rFonts w:ascii="Arial"/>
                <w:sz w:val="21"/>
              </w:rPr>
            </w:pPr>
          </w:p>
        </w:tc>
        <w:tc>
          <w:tcPr>
            <w:tcW w:w="229" w:type="dxa"/>
            <w:vAlign w:val="top"/>
          </w:tcPr>
          <w:p w14:paraId="018B3EFF">
            <w:pPr>
              <w:rPr>
                <w:rFonts w:ascii="Arial"/>
                <w:sz w:val="21"/>
              </w:rPr>
            </w:pPr>
          </w:p>
        </w:tc>
        <w:tc>
          <w:tcPr>
            <w:tcW w:w="229" w:type="dxa"/>
            <w:vAlign w:val="top"/>
          </w:tcPr>
          <w:p w14:paraId="3BCB0529">
            <w:pPr>
              <w:pStyle w:val="6"/>
              <w:spacing w:before="257" w:line="238" w:lineRule="auto"/>
              <w:ind w:left="48"/>
              <w:rPr>
                <w:sz w:val="13"/>
                <w:szCs w:val="13"/>
              </w:rPr>
            </w:pPr>
            <w:r>
              <w:rPr>
                <w:sz w:val="13"/>
                <w:szCs w:val="13"/>
              </w:rPr>
              <w:t>√</w:t>
            </w:r>
          </w:p>
        </w:tc>
        <w:tc>
          <w:tcPr>
            <w:tcW w:w="220" w:type="dxa"/>
            <w:vAlign w:val="top"/>
          </w:tcPr>
          <w:p w14:paraId="6C412AC7">
            <w:pPr>
              <w:rPr>
                <w:rFonts w:ascii="Arial"/>
                <w:sz w:val="21"/>
              </w:rPr>
            </w:pPr>
          </w:p>
        </w:tc>
        <w:tc>
          <w:tcPr>
            <w:tcW w:w="234" w:type="dxa"/>
            <w:vAlign w:val="top"/>
          </w:tcPr>
          <w:p w14:paraId="126D86D7">
            <w:pPr>
              <w:rPr>
                <w:rFonts w:ascii="Arial"/>
                <w:sz w:val="21"/>
              </w:rPr>
            </w:pPr>
          </w:p>
        </w:tc>
      </w:tr>
    </w:tbl>
    <w:p w14:paraId="3648CB5B">
      <w:pPr>
        <w:spacing w:before="119" w:line="222" w:lineRule="auto"/>
        <w:ind w:left="1367"/>
        <w:rPr>
          <w:rFonts w:ascii="黑体" w:hAnsi="黑体" w:eastAsia="黑体" w:cs="黑体"/>
          <w:sz w:val="20"/>
          <w:szCs w:val="20"/>
        </w:rPr>
      </w:pPr>
      <w:r>
        <w:rPr>
          <w:rFonts w:ascii="黑体" w:hAnsi="黑体" w:eastAsia="黑体" w:cs="黑体"/>
          <w:b/>
          <w:bCs/>
          <w:spacing w:val="-8"/>
          <w:sz w:val="20"/>
          <w:szCs w:val="20"/>
        </w:rPr>
        <w:t>第十二章</w:t>
      </w:r>
      <w:r>
        <w:rPr>
          <w:rFonts w:ascii="黑体" w:hAnsi="黑体" w:eastAsia="黑体" w:cs="黑体"/>
          <w:spacing w:val="10"/>
          <w:sz w:val="20"/>
          <w:szCs w:val="20"/>
        </w:rPr>
        <w:t xml:space="preserve">  </w:t>
      </w:r>
      <w:r>
        <w:rPr>
          <w:rFonts w:ascii="黑体" w:hAnsi="黑体" w:eastAsia="黑体" w:cs="黑体"/>
          <w:b/>
          <w:bCs/>
          <w:spacing w:val="-8"/>
          <w:sz w:val="20"/>
          <w:szCs w:val="20"/>
        </w:rPr>
        <w:t>生殖</w:t>
      </w:r>
    </w:p>
    <w:p w14:paraId="27F600B2">
      <w:pPr>
        <w:spacing w:line="80" w:lineRule="exact"/>
      </w:pPr>
    </w:p>
    <w:tbl>
      <w:tblPr>
        <w:tblStyle w:val="5"/>
        <w:tblW w:w="413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14"/>
        <w:gridCol w:w="229"/>
        <w:gridCol w:w="230"/>
        <w:gridCol w:w="220"/>
        <w:gridCol w:w="244"/>
      </w:tblGrid>
      <w:tr w14:paraId="6679D5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4" w:hRule="atLeast"/>
        </w:trPr>
        <w:tc>
          <w:tcPr>
            <w:tcW w:w="893" w:type="dxa"/>
            <w:vMerge w:val="restart"/>
            <w:tcBorders>
              <w:bottom w:val="nil"/>
            </w:tcBorders>
            <w:vAlign w:val="top"/>
          </w:tcPr>
          <w:p w14:paraId="48B50640">
            <w:pPr>
              <w:pStyle w:val="6"/>
              <w:spacing w:before="171" w:line="239" w:lineRule="auto"/>
              <w:ind w:left="266" w:right="25" w:hanging="249"/>
            </w:pPr>
            <w:r>
              <w:rPr>
                <w:b/>
                <w:bCs/>
                <w:spacing w:val="-4"/>
              </w:rPr>
              <w:t>知识与技能</w:t>
            </w:r>
            <w:r>
              <w:t xml:space="preserve"> </w:t>
            </w:r>
            <w:r>
              <w:rPr>
                <w:b/>
                <w:bCs/>
                <w:spacing w:val="-4"/>
              </w:rPr>
              <w:t>要点</w:t>
            </w:r>
          </w:p>
        </w:tc>
        <w:tc>
          <w:tcPr>
            <w:tcW w:w="2314" w:type="dxa"/>
            <w:vMerge w:val="restart"/>
            <w:tcBorders>
              <w:bottom w:val="nil"/>
            </w:tcBorders>
            <w:vAlign w:val="top"/>
          </w:tcPr>
          <w:p w14:paraId="3A727DF3">
            <w:pPr>
              <w:pStyle w:val="6"/>
              <w:spacing w:before="289" w:line="219" w:lineRule="auto"/>
              <w:ind w:left="834"/>
            </w:pPr>
            <w:r>
              <w:rPr>
                <w:b/>
                <w:bCs/>
                <w:spacing w:val="5"/>
              </w:rPr>
              <w:t>考试条目</w:t>
            </w:r>
          </w:p>
        </w:tc>
        <w:tc>
          <w:tcPr>
            <w:tcW w:w="923" w:type="dxa"/>
            <w:gridSpan w:val="4"/>
            <w:vAlign w:val="top"/>
          </w:tcPr>
          <w:p w14:paraId="53F5DBA5">
            <w:pPr>
              <w:pStyle w:val="6"/>
              <w:spacing w:before="109" w:line="219" w:lineRule="auto"/>
              <w:ind w:left="150"/>
            </w:pPr>
            <w:r>
              <w:rPr>
                <w:b/>
                <w:bCs/>
                <w:spacing w:val="-4"/>
              </w:rPr>
              <w:t>考试水平</w:t>
            </w:r>
          </w:p>
        </w:tc>
      </w:tr>
      <w:tr w14:paraId="740750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9" w:hRule="atLeast"/>
        </w:trPr>
        <w:tc>
          <w:tcPr>
            <w:tcW w:w="893" w:type="dxa"/>
            <w:vMerge w:val="continue"/>
            <w:tcBorders>
              <w:top w:val="nil"/>
            </w:tcBorders>
            <w:vAlign w:val="top"/>
          </w:tcPr>
          <w:p w14:paraId="0DAB09DA">
            <w:pPr>
              <w:rPr>
                <w:rFonts w:ascii="Arial"/>
                <w:sz w:val="21"/>
              </w:rPr>
            </w:pPr>
          </w:p>
        </w:tc>
        <w:tc>
          <w:tcPr>
            <w:tcW w:w="2314" w:type="dxa"/>
            <w:vMerge w:val="continue"/>
            <w:tcBorders>
              <w:top w:val="nil"/>
            </w:tcBorders>
            <w:vAlign w:val="top"/>
          </w:tcPr>
          <w:p w14:paraId="71B5BB4A">
            <w:pPr>
              <w:rPr>
                <w:rFonts w:ascii="Arial"/>
                <w:sz w:val="21"/>
              </w:rPr>
            </w:pPr>
          </w:p>
        </w:tc>
        <w:tc>
          <w:tcPr>
            <w:tcW w:w="229" w:type="dxa"/>
            <w:vAlign w:val="top"/>
          </w:tcPr>
          <w:p w14:paraId="00366F66">
            <w:pPr>
              <w:pStyle w:val="6"/>
              <w:spacing w:before="131" w:line="184" w:lineRule="auto"/>
              <w:ind w:left="70"/>
            </w:pPr>
            <w:r>
              <w:rPr>
                <w:b/>
                <w:bCs/>
                <w:spacing w:val="-2"/>
              </w:rPr>
              <w:t>A</w:t>
            </w:r>
          </w:p>
        </w:tc>
        <w:tc>
          <w:tcPr>
            <w:tcW w:w="230" w:type="dxa"/>
            <w:vAlign w:val="top"/>
          </w:tcPr>
          <w:p w14:paraId="1596A959">
            <w:pPr>
              <w:pStyle w:val="6"/>
              <w:spacing w:before="132" w:line="182" w:lineRule="auto"/>
              <w:ind w:left="71"/>
            </w:pPr>
            <w:r>
              <w:rPr>
                <w:b/>
                <w:bCs/>
                <w:spacing w:val="-2"/>
              </w:rPr>
              <w:t>B</w:t>
            </w:r>
          </w:p>
        </w:tc>
        <w:tc>
          <w:tcPr>
            <w:tcW w:w="220" w:type="dxa"/>
            <w:vAlign w:val="top"/>
          </w:tcPr>
          <w:p w14:paraId="1B66350C">
            <w:pPr>
              <w:pStyle w:val="6"/>
              <w:spacing w:before="126" w:line="183" w:lineRule="auto"/>
              <w:ind w:left="61"/>
              <w:rPr>
                <w:sz w:val="19"/>
                <w:szCs w:val="19"/>
              </w:rPr>
            </w:pPr>
            <w:r>
              <w:rPr>
                <w:b/>
                <w:bCs/>
                <w:spacing w:val="-2"/>
                <w:sz w:val="19"/>
                <w:szCs w:val="19"/>
              </w:rPr>
              <w:t>C</w:t>
            </w:r>
          </w:p>
        </w:tc>
        <w:tc>
          <w:tcPr>
            <w:tcW w:w="244" w:type="dxa"/>
            <w:vAlign w:val="top"/>
          </w:tcPr>
          <w:p w14:paraId="687DD29F">
            <w:pPr>
              <w:pStyle w:val="6"/>
              <w:spacing w:before="132" w:line="182" w:lineRule="auto"/>
              <w:ind w:left="21"/>
            </w:pPr>
            <w:r>
              <w:rPr>
                <w:b/>
                <w:bCs/>
                <w:spacing w:val="-2"/>
              </w:rPr>
              <w:t>D</w:t>
            </w:r>
          </w:p>
        </w:tc>
      </w:tr>
      <w:tr w14:paraId="417100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8" w:hRule="atLeast"/>
        </w:trPr>
        <w:tc>
          <w:tcPr>
            <w:tcW w:w="893" w:type="dxa"/>
            <w:vAlign w:val="top"/>
          </w:tcPr>
          <w:p w14:paraId="6DE97E32">
            <w:pPr>
              <w:pStyle w:val="6"/>
              <w:spacing w:before="89" w:line="220" w:lineRule="auto"/>
              <w:ind w:left="94"/>
            </w:pPr>
            <w:r>
              <w:rPr>
                <w:spacing w:val="-3"/>
              </w:rPr>
              <w:t>男性生殖</w:t>
            </w:r>
          </w:p>
        </w:tc>
        <w:tc>
          <w:tcPr>
            <w:tcW w:w="2314" w:type="dxa"/>
            <w:vAlign w:val="top"/>
          </w:tcPr>
          <w:p w14:paraId="07A3774A">
            <w:pPr>
              <w:pStyle w:val="6"/>
              <w:spacing w:before="89" w:line="219" w:lineRule="auto"/>
              <w:ind w:left="12"/>
            </w:pPr>
            <w:r>
              <w:rPr>
                <w:spacing w:val="1"/>
              </w:rPr>
              <w:t>睾丸的功能及调节</w:t>
            </w:r>
          </w:p>
        </w:tc>
        <w:tc>
          <w:tcPr>
            <w:tcW w:w="229" w:type="dxa"/>
            <w:vAlign w:val="top"/>
          </w:tcPr>
          <w:p w14:paraId="0199F313">
            <w:pPr>
              <w:pStyle w:val="6"/>
              <w:spacing w:before="128" w:line="238" w:lineRule="auto"/>
              <w:ind w:left="48"/>
              <w:rPr>
                <w:sz w:val="12"/>
                <w:szCs w:val="12"/>
              </w:rPr>
            </w:pPr>
            <w:r>
              <w:rPr>
                <w:sz w:val="12"/>
                <w:szCs w:val="12"/>
              </w:rPr>
              <w:t>√</w:t>
            </w:r>
          </w:p>
        </w:tc>
        <w:tc>
          <w:tcPr>
            <w:tcW w:w="230" w:type="dxa"/>
            <w:vAlign w:val="top"/>
          </w:tcPr>
          <w:p w14:paraId="7AFB8B12">
            <w:pPr>
              <w:rPr>
                <w:rFonts w:ascii="Arial"/>
                <w:sz w:val="21"/>
              </w:rPr>
            </w:pPr>
          </w:p>
        </w:tc>
        <w:tc>
          <w:tcPr>
            <w:tcW w:w="220" w:type="dxa"/>
            <w:vAlign w:val="top"/>
          </w:tcPr>
          <w:p w14:paraId="7B75FB07">
            <w:pPr>
              <w:rPr>
                <w:rFonts w:ascii="Arial"/>
                <w:sz w:val="21"/>
              </w:rPr>
            </w:pPr>
          </w:p>
        </w:tc>
        <w:tc>
          <w:tcPr>
            <w:tcW w:w="244" w:type="dxa"/>
            <w:vAlign w:val="top"/>
          </w:tcPr>
          <w:p w14:paraId="19B937FE">
            <w:pPr>
              <w:rPr>
                <w:rFonts w:ascii="Arial"/>
                <w:sz w:val="21"/>
              </w:rPr>
            </w:pPr>
          </w:p>
        </w:tc>
      </w:tr>
      <w:tr w14:paraId="36A344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8" w:hRule="atLeast"/>
        </w:trPr>
        <w:tc>
          <w:tcPr>
            <w:tcW w:w="893" w:type="dxa"/>
            <w:vMerge w:val="restart"/>
            <w:tcBorders>
              <w:bottom w:val="nil"/>
            </w:tcBorders>
            <w:vAlign w:val="top"/>
          </w:tcPr>
          <w:p w14:paraId="0174032B">
            <w:pPr>
              <w:spacing w:line="301" w:lineRule="auto"/>
              <w:rPr>
                <w:rFonts w:ascii="Arial"/>
                <w:sz w:val="21"/>
              </w:rPr>
            </w:pPr>
          </w:p>
          <w:p w14:paraId="510FD26B">
            <w:pPr>
              <w:spacing w:line="301" w:lineRule="auto"/>
              <w:rPr>
                <w:rFonts w:ascii="Arial"/>
                <w:sz w:val="21"/>
              </w:rPr>
            </w:pPr>
          </w:p>
          <w:p w14:paraId="2C8FEA27">
            <w:pPr>
              <w:pStyle w:val="6"/>
              <w:spacing w:before="55" w:line="219" w:lineRule="auto"/>
              <w:ind w:left="94"/>
            </w:pPr>
            <w:r>
              <w:rPr>
                <w:spacing w:val="-3"/>
              </w:rPr>
              <w:t>女性生殖</w:t>
            </w:r>
          </w:p>
        </w:tc>
        <w:tc>
          <w:tcPr>
            <w:tcW w:w="2314" w:type="dxa"/>
            <w:vMerge w:val="restart"/>
            <w:tcBorders>
              <w:bottom w:val="nil"/>
            </w:tcBorders>
            <w:vAlign w:val="top"/>
          </w:tcPr>
          <w:p w14:paraId="3F7098EA">
            <w:pPr>
              <w:pStyle w:val="6"/>
              <w:spacing w:before="121" w:line="236" w:lineRule="auto"/>
              <w:ind w:left="12"/>
            </w:pPr>
            <w:r>
              <w:rPr>
                <w:spacing w:val="-1"/>
              </w:rPr>
              <w:t>1.卵巢的内分泌功能(雌激素、</w:t>
            </w:r>
            <w:r>
              <w:rPr>
                <w:spacing w:val="10"/>
              </w:rPr>
              <w:t xml:space="preserve"> </w:t>
            </w:r>
            <w:r>
              <w:rPr>
                <w:spacing w:val="-3"/>
              </w:rPr>
              <w:t>孕激素的分泌和主要作用)</w:t>
            </w:r>
          </w:p>
          <w:p w14:paraId="7FC24B0E">
            <w:pPr>
              <w:pStyle w:val="6"/>
              <w:spacing w:before="5" w:line="228" w:lineRule="auto"/>
              <w:ind w:left="12" w:right="260"/>
            </w:pPr>
            <w:r>
              <w:rPr>
                <w:spacing w:val="-1"/>
              </w:rPr>
              <w:t>2.月经周期中子宫内膜的变</w:t>
            </w:r>
            <w:r>
              <w:rPr>
                <w:spacing w:val="3"/>
              </w:rPr>
              <w:t xml:space="preserve"> </w:t>
            </w:r>
            <w:r>
              <w:rPr>
                <w:spacing w:val="-1"/>
              </w:rPr>
              <w:t>化及其产生的机理</w:t>
            </w:r>
          </w:p>
          <w:p w14:paraId="4D342E2C">
            <w:pPr>
              <w:pStyle w:val="6"/>
              <w:spacing w:before="9" w:line="247" w:lineRule="auto"/>
              <w:ind w:left="12" w:right="91"/>
            </w:pPr>
            <w:r>
              <w:rPr>
                <w:spacing w:val="-1"/>
              </w:rPr>
              <w:t>3.月经周期的概念和生理意义</w:t>
            </w:r>
            <w:r>
              <w:rPr>
                <w:spacing w:val="2"/>
              </w:rPr>
              <w:t xml:space="preserve"> </w:t>
            </w:r>
            <w:r>
              <w:rPr>
                <w:spacing w:val="-1"/>
              </w:rPr>
              <w:t>4胎盘的功能</w:t>
            </w:r>
          </w:p>
        </w:tc>
        <w:tc>
          <w:tcPr>
            <w:tcW w:w="229" w:type="dxa"/>
            <w:vAlign w:val="top"/>
          </w:tcPr>
          <w:p w14:paraId="2205EEE8">
            <w:pPr>
              <w:rPr>
                <w:rFonts w:ascii="Arial"/>
                <w:sz w:val="21"/>
              </w:rPr>
            </w:pPr>
          </w:p>
        </w:tc>
        <w:tc>
          <w:tcPr>
            <w:tcW w:w="230" w:type="dxa"/>
            <w:vAlign w:val="top"/>
          </w:tcPr>
          <w:p w14:paraId="69FC2F0A">
            <w:pPr>
              <w:pStyle w:val="6"/>
              <w:spacing w:before="222" w:line="238" w:lineRule="auto"/>
              <w:ind w:left="48"/>
              <w:rPr>
                <w:sz w:val="13"/>
                <w:szCs w:val="13"/>
              </w:rPr>
            </w:pPr>
            <w:r>
              <w:rPr>
                <w:sz w:val="13"/>
                <w:szCs w:val="13"/>
              </w:rPr>
              <w:t>√</w:t>
            </w:r>
          </w:p>
        </w:tc>
        <w:tc>
          <w:tcPr>
            <w:tcW w:w="220" w:type="dxa"/>
            <w:vAlign w:val="top"/>
          </w:tcPr>
          <w:p w14:paraId="1EF3A827">
            <w:pPr>
              <w:rPr>
                <w:rFonts w:ascii="Arial"/>
                <w:sz w:val="21"/>
              </w:rPr>
            </w:pPr>
          </w:p>
        </w:tc>
        <w:tc>
          <w:tcPr>
            <w:tcW w:w="244" w:type="dxa"/>
            <w:vAlign w:val="top"/>
          </w:tcPr>
          <w:p w14:paraId="73A6446C">
            <w:pPr>
              <w:rPr>
                <w:rFonts w:ascii="Arial"/>
                <w:sz w:val="21"/>
              </w:rPr>
            </w:pPr>
          </w:p>
        </w:tc>
      </w:tr>
      <w:tr w14:paraId="308BFD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8" w:hRule="atLeast"/>
        </w:trPr>
        <w:tc>
          <w:tcPr>
            <w:tcW w:w="893" w:type="dxa"/>
            <w:vMerge w:val="continue"/>
            <w:tcBorders>
              <w:top w:val="nil"/>
              <w:bottom w:val="nil"/>
            </w:tcBorders>
            <w:vAlign w:val="top"/>
          </w:tcPr>
          <w:p w14:paraId="00D965F5">
            <w:pPr>
              <w:rPr>
                <w:rFonts w:ascii="Arial"/>
                <w:sz w:val="21"/>
              </w:rPr>
            </w:pPr>
          </w:p>
        </w:tc>
        <w:tc>
          <w:tcPr>
            <w:tcW w:w="2314" w:type="dxa"/>
            <w:vMerge w:val="continue"/>
            <w:tcBorders>
              <w:top w:val="nil"/>
              <w:bottom w:val="nil"/>
            </w:tcBorders>
            <w:vAlign w:val="top"/>
          </w:tcPr>
          <w:p w14:paraId="5AAAD1D5">
            <w:pPr>
              <w:rPr>
                <w:rFonts w:ascii="Arial"/>
                <w:sz w:val="21"/>
              </w:rPr>
            </w:pPr>
          </w:p>
        </w:tc>
        <w:tc>
          <w:tcPr>
            <w:tcW w:w="229" w:type="dxa"/>
            <w:vAlign w:val="top"/>
          </w:tcPr>
          <w:p w14:paraId="5CAE3F75">
            <w:pPr>
              <w:rPr>
                <w:rFonts w:ascii="Arial"/>
                <w:sz w:val="21"/>
              </w:rPr>
            </w:pPr>
          </w:p>
        </w:tc>
        <w:tc>
          <w:tcPr>
            <w:tcW w:w="230" w:type="dxa"/>
            <w:vAlign w:val="top"/>
          </w:tcPr>
          <w:p w14:paraId="6A86900B">
            <w:pPr>
              <w:rPr>
                <w:rFonts w:ascii="Arial"/>
                <w:sz w:val="21"/>
              </w:rPr>
            </w:pPr>
          </w:p>
        </w:tc>
        <w:tc>
          <w:tcPr>
            <w:tcW w:w="220" w:type="dxa"/>
            <w:vAlign w:val="top"/>
          </w:tcPr>
          <w:p w14:paraId="6DD44D2E">
            <w:pPr>
              <w:pStyle w:val="6"/>
              <w:spacing w:before="164" w:line="238" w:lineRule="auto"/>
              <w:ind w:left="39"/>
              <w:rPr>
                <w:sz w:val="13"/>
                <w:szCs w:val="13"/>
              </w:rPr>
            </w:pPr>
            <w:r>
              <w:rPr>
                <w:sz w:val="13"/>
                <w:szCs w:val="13"/>
              </w:rPr>
              <w:t>√</w:t>
            </w:r>
          </w:p>
        </w:tc>
        <w:tc>
          <w:tcPr>
            <w:tcW w:w="244" w:type="dxa"/>
            <w:vAlign w:val="top"/>
          </w:tcPr>
          <w:p w14:paraId="6023916D">
            <w:pPr>
              <w:rPr>
                <w:rFonts w:ascii="Arial"/>
                <w:sz w:val="21"/>
              </w:rPr>
            </w:pPr>
          </w:p>
        </w:tc>
      </w:tr>
      <w:tr w14:paraId="3FB1D8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9" w:hRule="atLeast"/>
        </w:trPr>
        <w:tc>
          <w:tcPr>
            <w:tcW w:w="893" w:type="dxa"/>
            <w:vMerge w:val="continue"/>
            <w:tcBorders>
              <w:top w:val="nil"/>
              <w:bottom w:val="nil"/>
            </w:tcBorders>
            <w:vAlign w:val="top"/>
          </w:tcPr>
          <w:p w14:paraId="3D5D96AF">
            <w:pPr>
              <w:rPr>
                <w:rFonts w:ascii="Arial"/>
                <w:sz w:val="21"/>
              </w:rPr>
            </w:pPr>
          </w:p>
        </w:tc>
        <w:tc>
          <w:tcPr>
            <w:tcW w:w="2314" w:type="dxa"/>
            <w:vMerge w:val="continue"/>
            <w:tcBorders>
              <w:top w:val="nil"/>
              <w:bottom w:val="nil"/>
            </w:tcBorders>
            <w:vAlign w:val="top"/>
          </w:tcPr>
          <w:p w14:paraId="70927BB0">
            <w:pPr>
              <w:rPr>
                <w:rFonts w:ascii="Arial"/>
                <w:sz w:val="21"/>
              </w:rPr>
            </w:pPr>
          </w:p>
        </w:tc>
        <w:tc>
          <w:tcPr>
            <w:tcW w:w="229" w:type="dxa"/>
            <w:vAlign w:val="top"/>
          </w:tcPr>
          <w:p w14:paraId="4946FF22">
            <w:pPr>
              <w:spacing w:line="238" w:lineRule="exact"/>
              <w:rPr>
                <w:rFonts w:ascii="Arial"/>
                <w:sz w:val="20"/>
              </w:rPr>
            </w:pPr>
          </w:p>
        </w:tc>
        <w:tc>
          <w:tcPr>
            <w:tcW w:w="230" w:type="dxa"/>
            <w:vAlign w:val="top"/>
          </w:tcPr>
          <w:p w14:paraId="1F91D793">
            <w:pPr>
              <w:pStyle w:val="6"/>
              <w:spacing w:before="76" w:line="231" w:lineRule="auto"/>
              <w:ind w:left="48"/>
              <w:rPr>
                <w:sz w:val="13"/>
                <w:szCs w:val="13"/>
              </w:rPr>
            </w:pPr>
            <w:r>
              <w:rPr>
                <w:sz w:val="13"/>
                <w:szCs w:val="13"/>
              </w:rPr>
              <w:t>√</w:t>
            </w:r>
          </w:p>
        </w:tc>
        <w:tc>
          <w:tcPr>
            <w:tcW w:w="220" w:type="dxa"/>
            <w:vAlign w:val="top"/>
          </w:tcPr>
          <w:p w14:paraId="173036DC">
            <w:pPr>
              <w:spacing w:line="238" w:lineRule="exact"/>
              <w:rPr>
                <w:rFonts w:ascii="Arial"/>
                <w:sz w:val="20"/>
              </w:rPr>
            </w:pPr>
          </w:p>
        </w:tc>
        <w:tc>
          <w:tcPr>
            <w:tcW w:w="244" w:type="dxa"/>
            <w:vAlign w:val="top"/>
          </w:tcPr>
          <w:p w14:paraId="2A1A73B3">
            <w:pPr>
              <w:spacing w:line="238" w:lineRule="exact"/>
              <w:rPr>
                <w:rFonts w:ascii="Arial"/>
                <w:sz w:val="20"/>
              </w:rPr>
            </w:pPr>
          </w:p>
        </w:tc>
      </w:tr>
      <w:tr w14:paraId="53B348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4" w:hRule="atLeast"/>
        </w:trPr>
        <w:tc>
          <w:tcPr>
            <w:tcW w:w="893" w:type="dxa"/>
            <w:vMerge w:val="continue"/>
            <w:tcBorders>
              <w:top w:val="nil"/>
            </w:tcBorders>
            <w:vAlign w:val="top"/>
          </w:tcPr>
          <w:p w14:paraId="40DA7734">
            <w:pPr>
              <w:rPr>
                <w:rFonts w:ascii="Arial"/>
                <w:sz w:val="21"/>
              </w:rPr>
            </w:pPr>
          </w:p>
        </w:tc>
        <w:tc>
          <w:tcPr>
            <w:tcW w:w="2314" w:type="dxa"/>
            <w:vMerge w:val="continue"/>
            <w:tcBorders>
              <w:top w:val="nil"/>
            </w:tcBorders>
            <w:vAlign w:val="top"/>
          </w:tcPr>
          <w:p w14:paraId="69B4009C">
            <w:pPr>
              <w:rPr>
                <w:rFonts w:ascii="Arial"/>
                <w:sz w:val="21"/>
              </w:rPr>
            </w:pPr>
          </w:p>
        </w:tc>
        <w:tc>
          <w:tcPr>
            <w:tcW w:w="229" w:type="dxa"/>
            <w:vAlign w:val="top"/>
          </w:tcPr>
          <w:p w14:paraId="7B3ED237">
            <w:pPr>
              <w:spacing w:line="224" w:lineRule="exact"/>
              <w:rPr>
                <w:rFonts w:ascii="Arial"/>
                <w:sz w:val="19"/>
              </w:rPr>
            </w:pPr>
          </w:p>
        </w:tc>
        <w:tc>
          <w:tcPr>
            <w:tcW w:w="230" w:type="dxa"/>
            <w:vAlign w:val="top"/>
          </w:tcPr>
          <w:p w14:paraId="42273DB8">
            <w:pPr>
              <w:spacing w:line="224" w:lineRule="exact"/>
              <w:rPr>
                <w:rFonts w:ascii="Arial"/>
                <w:sz w:val="19"/>
              </w:rPr>
            </w:pPr>
          </w:p>
        </w:tc>
        <w:tc>
          <w:tcPr>
            <w:tcW w:w="220" w:type="dxa"/>
            <w:vAlign w:val="top"/>
          </w:tcPr>
          <w:p w14:paraId="6E82F4FA">
            <w:pPr>
              <w:pStyle w:val="6"/>
              <w:spacing w:before="67" w:line="222" w:lineRule="auto"/>
              <w:ind w:left="39"/>
              <w:rPr>
                <w:sz w:val="13"/>
                <w:szCs w:val="13"/>
              </w:rPr>
            </w:pPr>
            <w:r>
              <w:rPr>
                <w:sz w:val="13"/>
                <w:szCs w:val="13"/>
              </w:rPr>
              <w:t>√</w:t>
            </w:r>
          </w:p>
        </w:tc>
        <w:tc>
          <w:tcPr>
            <w:tcW w:w="244" w:type="dxa"/>
            <w:vAlign w:val="top"/>
          </w:tcPr>
          <w:p w14:paraId="59FA384C">
            <w:pPr>
              <w:spacing w:line="224" w:lineRule="exact"/>
              <w:rPr>
                <w:rFonts w:ascii="Arial"/>
                <w:sz w:val="19"/>
              </w:rPr>
            </w:pPr>
          </w:p>
        </w:tc>
      </w:tr>
    </w:tbl>
    <w:p w14:paraId="6D984099">
      <w:pPr>
        <w:pStyle w:val="2"/>
        <w:spacing w:line="104" w:lineRule="auto"/>
        <w:rPr>
          <w:sz w:val="2"/>
        </w:rPr>
      </w:pPr>
    </w:p>
    <w:p w14:paraId="5F24C001">
      <w:pPr>
        <w:spacing w:line="104" w:lineRule="auto"/>
        <w:rPr>
          <w:sz w:val="2"/>
          <w:szCs w:val="2"/>
        </w:rPr>
        <w:sectPr>
          <w:type w:val="continuous"/>
          <w:pgSz w:w="10660" w:h="15080"/>
          <w:pgMar w:top="400" w:right="885" w:bottom="925" w:left="1034" w:header="0" w:footer="705" w:gutter="0"/>
          <w:cols w:equalWidth="0" w:num="2">
            <w:col w:w="4490" w:space="100"/>
            <w:col w:w="4150"/>
          </w:cols>
        </w:sectPr>
      </w:pPr>
    </w:p>
    <w:p w14:paraId="4F2E55CC">
      <w:pPr>
        <w:spacing w:before="10"/>
      </w:pPr>
    </w:p>
    <w:p w14:paraId="040438F9">
      <w:pPr>
        <w:spacing w:before="9"/>
      </w:pPr>
    </w:p>
    <w:p w14:paraId="09011027">
      <w:pPr>
        <w:spacing w:before="9"/>
      </w:pPr>
    </w:p>
    <w:p w14:paraId="6CD8DB89">
      <w:pPr>
        <w:spacing w:before="9"/>
      </w:pPr>
    </w:p>
    <w:p w14:paraId="1E65A4BC">
      <w:pPr>
        <w:sectPr>
          <w:footerReference r:id="rId72" w:type="default"/>
          <w:pgSz w:w="10660" w:h="15080"/>
          <w:pgMar w:top="400" w:right="1034" w:bottom="927" w:left="819" w:header="0" w:footer="719" w:gutter="0"/>
          <w:cols w:equalWidth="0" w:num="1">
            <w:col w:w="8806"/>
          </w:cols>
        </w:sectPr>
      </w:pPr>
    </w:p>
    <w:p w14:paraId="156E58E3">
      <w:pPr>
        <w:spacing w:line="220" w:lineRule="auto"/>
        <w:ind w:left="1352"/>
        <w:rPr>
          <w:rFonts w:ascii="黑体" w:hAnsi="黑体" w:eastAsia="黑体" w:cs="黑体"/>
          <w:sz w:val="20"/>
          <w:szCs w:val="20"/>
        </w:rPr>
      </w:pPr>
      <w:r>
        <w:rPr>
          <w:rFonts w:ascii="黑体" w:hAnsi="黑体" w:eastAsia="黑体" w:cs="黑体"/>
          <w:b/>
          <w:bCs/>
          <w:spacing w:val="-4"/>
          <w:sz w:val="20"/>
          <w:szCs w:val="20"/>
        </w:rPr>
        <w:t>第三部分</w:t>
      </w:r>
      <w:r>
        <w:rPr>
          <w:rFonts w:ascii="黑体" w:hAnsi="黑体" w:eastAsia="黑体" w:cs="黑体"/>
          <w:spacing w:val="98"/>
          <w:sz w:val="20"/>
          <w:szCs w:val="20"/>
        </w:rPr>
        <w:t xml:space="preserve"> </w:t>
      </w:r>
      <w:r>
        <w:rPr>
          <w:rFonts w:ascii="黑体" w:hAnsi="黑体" w:eastAsia="黑体" w:cs="黑体"/>
          <w:b/>
          <w:bCs/>
          <w:spacing w:val="-4"/>
          <w:sz w:val="20"/>
          <w:szCs w:val="20"/>
        </w:rPr>
        <w:t>病理学</w:t>
      </w:r>
    </w:p>
    <w:p w14:paraId="7FE52744">
      <w:pPr>
        <w:pStyle w:val="2"/>
        <w:spacing w:line="294" w:lineRule="auto"/>
      </w:pPr>
    </w:p>
    <w:p w14:paraId="6E70D6FD">
      <w:pPr>
        <w:spacing w:before="65" w:line="222" w:lineRule="auto"/>
        <w:ind w:left="1562"/>
        <w:rPr>
          <w:rFonts w:ascii="黑体" w:hAnsi="黑体" w:eastAsia="黑体" w:cs="黑体"/>
          <w:sz w:val="20"/>
          <w:szCs w:val="20"/>
        </w:rPr>
      </w:pPr>
      <w:r>
        <w:rPr>
          <w:rFonts w:ascii="黑体" w:hAnsi="黑体" w:eastAsia="黑体" w:cs="黑体"/>
          <w:b/>
          <w:bCs/>
          <w:spacing w:val="-13"/>
          <w:sz w:val="20"/>
          <w:szCs w:val="20"/>
        </w:rPr>
        <w:t>第一章</w:t>
      </w:r>
      <w:r>
        <w:rPr>
          <w:rFonts w:ascii="黑体" w:hAnsi="黑体" w:eastAsia="黑体" w:cs="黑体"/>
          <w:spacing w:val="15"/>
          <w:sz w:val="20"/>
          <w:szCs w:val="20"/>
        </w:rPr>
        <w:t xml:space="preserve">  </w:t>
      </w:r>
      <w:r>
        <w:rPr>
          <w:rFonts w:ascii="黑体" w:hAnsi="黑体" w:eastAsia="黑体" w:cs="黑体"/>
          <w:b/>
          <w:bCs/>
          <w:spacing w:val="-13"/>
          <w:sz w:val="20"/>
          <w:szCs w:val="20"/>
        </w:rPr>
        <w:t>绪论</w:t>
      </w:r>
    </w:p>
    <w:p w14:paraId="1C7ED93F">
      <w:pPr>
        <w:spacing w:line="80" w:lineRule="exact"/>
      </w:pPr>
    </w:p>
    <w:tbl>
      <w:tblPr>
        <w:tblStyle w:val="5"/>
        <w:tblW w:w="4130"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14"/>
        <w:gridCol w:w="230"/>
        <w:gridCol w:w="230"/>
        <w:gridCol w:w="219"/>
        <w:gridCol w:w="244"/>
      </w:tblGrid>
      <w:tr w14:paraId="18CB3A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4" w:hRule="atLeast"/>
        </w:trPr>
        <w:tc>
          <w:tcPr>
            <w:tcW w:w="893" w:type="dxa"/>
            <w:vMerge w:val="restart"/>
            <w:tcBorders>
              <w:bottom w:val="nil"/>
            </w:tcBorders>
            <w:vAlign w:val="top"/>
          </w:tcPr>
          <w:p w14:paraId="7500F4B5">
            <w:pPr>
              <w:pStyle w:val="6"/>
              <w:spacing w:before="151" w:line="250" w:lineRule="auto"/>
              <w:ind w:left="267" w:right="25" w:hanging="250"/>
            </w:pPr>
            <w:r>
              <w:rPr>
                <w:b/>
                <w:bCs/>
                <w:spacing w:val="-4"/>
              </w:rPr>
              <w:t>知识与技能</w:t>
            </w:r>
            <w:r>
              <w:t xml:space="preserve"> </w:t>
            </w:r>
            <w:r>
              <w:rPr>
                <w:b/>
                <w:bCs/>
                <w:spacing w:val="-4"/>
              </w:rPr>
              <w:t>要点</w:t>
            </w:r>
          </w:p>
        </w:tc>
        <w:tc>
          <w:tcPr>
            <w:tcW w:w="2314" w:type="dxa"/>
            <w:vMerge w:val="restart"/>
            <w:tcBorders>
              <w:bottom w:val="nil"/>
            </w:tcBorders>
            <w:vAlign w:val="top"/>
          </w:tcPr>
          <w:p w14:paraId="7F970D00">
            <w:pPr>
              <w:pStyle w:val="6"/>
              <w:spacing w:before="279" w:line="219" w:lineRule="auto"/>
              <w:ind w:left="844"/>
            </w:pPr>
            <w:r>
              <w:rPr>
                <w:b/>
                <w:bCs/>
                <w:spacing w:val="5"/>
              </w:rPr>
              <w:t>考试条目</w:t>
            </w:r>
          </w:p>
        </w:tc>
        <w:tc>
          <w:tcPr>
            <w:tcW w:w="923" w:type="dxa"/>
            <w:gridSpan w:val="4"/>
            <w:vAlign w:val="top"/>
          </w:tcPr>
          <w:p w14:paraId="613BFE09">
            <w:pPr>
              <w:pStyle w:val="6"/>
              <w:spacing w:before="99" w:line="219" w:lineRule="auto"/>
              <w:ind w:left="140"/>
            </w:pPr>
            <w:r>
              <w:rPr>
                <w:b/>
                <w:bCs/>
                <w:spacing w:val="-4"/>
              </w:rPr>
              <w:t>考试水平</w:t>
            </w:r>
          </w:p>
        </w:tc>
      </w:tr>
      <w:tr w14:paraId="63E92E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9" w:hRule="atLeast"/>
        </w:trPr>
        <w:tc>
          <w:tcPr>
            <w:tcW w:w="893" w:type="dxa"/>
            <w:vMerge w:val="continue"/>
            <w:tcBorders>
              <w:top w:val="nil"/>
            </w:tcBorders>
            <w:vAlign w:val="top"/>
          </w:tcPr>
          <w:p w14:paraId="54BC4F65">
            <w:pPr>
              <w:rPr>
                <w:rFonts w:ascii="Arial"/>
                <w:sz w:val="21"/>
              </w:rPr>
            </w:pPr>
          </w:p>
        </w:tc>
        <w:tc>
          <w:tcPr>
            <w:tcW w:w="2314" w:type="dxa"/>
            <w:vMerge w:val="continue"/>
            <w:tcBorders>
              <w:top w:val="nil"/>
            </w:tcBorders>
            <w:vAlign w:val="top"/>
          </w:tcPr>
          <w:p w14:paraId="634427B6">
            <w:pPr>
              <w:rPr>
                <w:rFonts w:ascii="Arial"/>
                <w:sz w:val="21"/>
              </w:rPr>
            </w:pPr>
          </w:p>
        </w:tc>
        <w:tc>
          <w:tcPr>
            <w:tcW w:w="230" w:type="dxa"/>
            <w:vAlign w:val="top"/>
          </w:tcPr>
          <w:p w14:paraId="40853371">
            <w:pPr>
              <w:pStyle w:val="6"/>
              <w:spacing w:before="130" w:line="184" w:lineRule="auto"/>
              <w:ind w:left="20"/>
            </w:pPr>
            <w:r>
              <w:rPr>
                <w:b/>
                <w:bCs/>
                <w:spacing w:val="-2"/>
              </w:rPr>
              <w:t>A</w:t>
            </w:r>
          </w:p>
        </w:tc>
        <w:tc>
          <w:tcPr>
            <w:tcW w:w="230" w:type="dxa"/>
            <w:vAlign w:val="top"/>
          </w:tcPr>
          <w:p w14:paraId="34C75121">
            <w:pPr>
              <w:pStyle w:val="6"/>
              <w:spacing w:before="132" w:line="182" w:lineRule="auto"/>
              <w:ind w:left="70"/>
            </w:pPr>
            <w:r>
              <w:rPr>
                <w:b/>
                <w:bCs/>
                <w:spacing w:val="-2"/>
              </w:rPr>
              <w:t>B</w:t>
            </w:r>
          </w:p>
        </w:tc>
        <w:tc>
          <w:tcPr>
            <w:tcW w:w="219" w:type="dxa"/>
            <w:vAlign w:val="top"/>
          </w:tcPr>
          <w:p w14:paraId="3F9EE985">
            <w:pPr>
              <w:pStyle w:val="6"/>
              <w:spacing w:before="131" w:line="183" w:lineRule="auto"/>
              <w:ind w:left="48"/>
            </w:pPr>
            <w:r>
              <w:t>C</w:t>
            </w:r>
          </w:p>
        </w:tc>
        <w:tc>
          <w:tcPr>
            <w:tcW w:w="244" w:type="dxa"/>
            <w:vAlign w:val="top"/>
          </w:tcPr>
          <w:p w14:paraId="3073E6F9">
            <w:pPr>
              <w:pStyle w:val="6"/>
              <w:spacing w:before="132" w:line="182" w:lineRule="auto"/>
              <w:ind w:left="18"/>
            </w:pPr>
            <w:r>
              <w:t>D</w:t>
            </w:r>
          </w:p>
        </w:tc>
      </w:tr>
      <w:tr w14:paraId="781757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8" w:hRule="atLeast"/>
        </w:trPr>
        <w:tc>
          <w:tcPr>
            <w:tcW w:w="893" w:type="dxa"/>
            <w:vMerge w:val="restart"/>
            <w:tcBorders>
              <w:bottom w:val="nil"/>
            </w:tcBorders>
            <w:vAlign w:val="top"/>
          </w:tcPr>
          <w:p w14:paraId="3CA55A15">
            <w:pPr>
              <w:pStyle w:val="6"/>
              <w:spacing w:before="19" w:line="221" w:lineRule="auto"/>
              <w:ind w:left="94"/>
            </w:pPr>
            <w:r>
              <w:rPr>
                <w:spacing w:val="-2"/>
              </w:rPr>
              <w:t>病理学的</w:t>
            </w:r>
          </w:p>
          <w:p w14:paraId="1F31F0F4">
            <w:pPr>
              <w:pStyle w:val="6"/>
              <w:spacing w:before="15" w:line="219" w:lineRule="auto"/>
              <w:ind w:left="94"/>
            </w:pPr>
            <w:r>
              <w:rPr>
                <w:spacing w:val="-2"/>
              </w:rPr>
              <w:t>任务及其</w:t>
            </w:r>
          </w:p>
          <w:p w14:paraId="68004652">
            <w:pPr>
              <w:pStyle w:val="6"/>
              <w:spacing w:before="18" w:line="220" w:lineRule="auto"/>
              <w:ind w:left="94"/>
            </w:pPr>
            <w:r>
              <w:rPr>
                <w:spacing w:val="4"/>
              </w:rPr>
              <w:t>在医学中</w:t>
            </w:r>
          </w:p>
          <w:p w14:paraId="1E2C4EB6">
            <w:pPr>
              <w:pStyle w:val="6"/>
              <w:spacing w:before="38" w:line="180" w:lineRule="auto"/>
              <w:ind w:left="184"/>
            </w:pPr>
            <w:r>
              <w:rPr>
                <w:spacing w:val="2"/>
              </w:rPr>
              <w:t>的地位</w:t>
            </w:r>
          </w:p>
        </w:tc>
        <w:tc>
          <w:tcPr>
            <w:tcW w:w="2314" w:type="dxa"/>
            <w:vMerge w:val="restart"/>
            <w:tcBorders>
              <w:bottom w:val="nil"/>
            </w:tcBorders>
            <w:vAlign w:val="top"/>
          </w:tcPr>
          <w:p w14:paraId="299386B2">
            <w:pPr>
              <w:pStyle w:val="6"/>
              <w:spacing w:before="268" w:line="218" w:lineRule="auto"/>
              <w:ind w:left="2"/>
            </w:pPr>
            <w:r>
              <w:t>1.病理学的任务</w:t>
            </w:r>
          </w:p>
          <w:p w14:paraId="79F8FA3A">
            <w:pPr>
              <w:pStyle w:val="6"/>
              <w:spacing w:line="220" w:lineRule="auto"/>
              <w:ind w:left="2"/>
            </w:pPr>
            <w:r>
              <w:rPr>
                <w:spacing w:val="-1"/>
              </w:rPr>
              <w:t>2.病理学在医学中的地位</w:t>
            </w:r>
          </w:p>
        </w:tc>
        <w:tc>
          <w:tcPr>
            <w:tcW w:w="230" w:type="dxa"/>
            <w:vAlign w:val="top"/>
          </w:tcPr>
          <w:p w14:paraId="02C51E6D">
            <w:pPr>
              <w:rPr>
                <w:rFonts w:ascii="Arial"/>
                <w:sz w:val="21"/>
              </w:rPr>
            </w:pPr>
          </w:p>
        </w:tc>
        <w:tc>
          <w:tcPr>
            <w:tcW w:w="230" w:type="dxa"/>
            <w:vAlign w:val="top"/>
          </w:tcPr>
          <w:p w14:paraId="2A3AA1E5">
            <w:pPr>
              <w:pStyle w:val="6"/>
              <w:spacing w:before="160" w:line="238" w:lineRule="auto"/>
              <w:ind w:left="47"/>
              <w:rPr>
                <w:sz w:val="13"/>
                <w:szCs w:val="13"/>
              </w:rPr>
            </w:pPr>
            <w:r>
              <w:rPr>
                <w:sz w:val="13"/>
                <w:szCs w:val="13"/>
              </w:rPr>
              <w:t>√</w:t>
            </w:r>
          </w:p>
        </w:tc>
        <w:tc>
          <w:tcPr>
            <w:tcW w:w="219" w:type="dxa"/>
            <w:vAlign w:val="top"/>
          </w:tcPr>
          <w:p w14:paraId="4821638C">
            <w:pPr>
              <w:rPr>
                <w:rFonts w:ascii="Arial"/>
                <w:sz w:val="21"/>
              </w:rPr>
            </w:pPr>
          </w:p>
        </w:tc>
        <w:tc>
          <w:tcPr>
            <w:tcW w:w="244" w:type="dxa"/>
            <w:vAlign w:val="top"/>
          </w:tcPr>
          <w:p w14:paraId="72F744B1">
            <w:pPr>
              <w:rPr>
                <w:rFonts w:ascii="Arial"/>
                <w:sz w:val="21"/>
              </w:rPr>
            </w:pPr>
          </w:p>
        </w:tc>
      </w:tr>
      <w:tr w14:paraId="7F4C54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8" w:hRule="atLeast"/>
        </w:trPr>
        <w:tc>
          <w:tcPr>
            <w:tcW w:w="893" w:type="dxa"/>
            <w:vMerge w:val="continue"/>
            <w:tcBorders>
              <w:top w:val="nil"/>
            </w:tcBorders>
            <w:vAlign w:val="top"/>
          </w:tcPr>
          <w:p w14:paraId="1527AEA2">
            <w:pPr>
              <w:rPr>
                <w:rFonts w:ascii="Arial"/>
                <w:sz w:val="21"/>
              </w:rPr>
            </w:pPr>
          </w:p>
        </w:tc>
        <w:tc>
          <w:tcPr>
            <w:tcW w:w="2314" w:type="dxa"/>
            <w:vMerge w:val="continue"/>
            <w:tcBorders>
              <w:top w:val="nil"/>
            </w:tcBorders>
            <w:vAlign w:val="top"/>
          </w:tcPr>
          <w:p w14:paraId="1671BD97">
            <w:pPr>
              <w:rPr>
                <w:rFonts w:ascii="Arial"/>
                <w:sz w:val="21"/>
              </w:rPr>
            </w:pPr>
          </w:p>
        </w:tc>
        <w:tc>
          <w:tcPr>
            <w:tcW w:w="230" w:type="dxa"/>
            <w:vAlign w:val="top"/>
          </w:tcPr>
          <w:p w14:paraId="4B8A627A">
            <w:pPr>
              <w:rPr>
                <w:rFonts w:ascii="Arial"/>
                <w:sz w:val="21"/>
              </w:rPr>
            </w:pPr>
          </w:p>
        </w:tc>
        <w:tc>
          <w:tcPr>
            <w:tcW w:w="230" w:type="dxa"/>
            <w:vAlign w:val="top"/>
          </w:tcPr>
          <w:p w14:paraId="2A2FDB51">
            <w:pPr>
              <w:pStyle w:val="6"/>
              <w:spacing w:before="172" w:line="238" w:lineRule="auto"/>
              <w:ind w:left="47"/>
              <w:rPr>
                <w:sz w:val="13"/>
                <w:szCs w:val="13"/>
              </w:rPr>
            </w:pPr>
            <w:r>
              <w:rPr>
                <w:sz w:val="13"/>
                <w:szCs w:val="13"/>
              </w:rPr>
              <w:t>√</w:t>
            </w:r>
          </w:p>
        </w:tc>
        <w:tc>
          <w:tcPr>
            <w:tcW w:w="219" w:type="dxa"/>
            <w:vAlign w:val="top"/>
          </w:tcPr>
          <w:p w14:paraId="3F9F7376">
            <w:pPr>
              <w:rPr>
                <w:rFonts w:ascii="Arial"/>
                <w:sz w:val="21"/>
              </w:rPr>
            </w:pPr>
          </w:p>
        </w:tc>
        <w:tc>
          <w:tcPr>
            <w:tcW w:w="244" w:type="dxa"/>
            <w:vAlign w:val="top"/>
          </w:tcPr>
          <w:p w14:paraId="15198A0B">
            <w:pPr>
              <w:rPr>
                <w:rFonts w:ascii="Arial"/>
                <w:sz w:val="21"/>
              </w:rPr>
            </w:pPr>
          </w:p>
        </w:tc>
      </w:tr>
      <w:tr w14:paraId="297A82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9" w:hRule="atLeast"/>
        </w:trPr>
        <w:tc>
          <w:tcPr>
            <w:tcW w:w="893" w:type="dxa"/>
            <w:vMerge w:val="restart"/>
            <w:tcBorders>
              <w:bottom w:val="nil"/>
            </w:tcBorders>
            <w:vAlign w:val="top"/>
          </w:tcPr>
          <w:p w14:paraId="30B15108">
            <w:pPr>
              <w:pStyle w:val="6"/>
              <w:spacing w:before="253" w:line="228" w:lineRule="auto"/>
              <w:ind w:left="94" w:right="113"/>
            </w:pPr>
            <w:r>
              <w:rPr>
                <w:spacing w:val="-2"/>
              </w:rPr>
              <w:t>病理学的</w:t>
            </w:r>
            <w:r>
              <w:rPr>
                <w:spacing w:val="1"/>
              </w:rPr>
              <w:t xml:space="preserve"> </w:t>
            </w:r>
            <w:r>
              <w:rPr>
                <w:spacing w:val="-2"/>
              </w:rPr>
              <w:t>研究方法</w:t>
            </w:r>
          </w:p>
        </w:tc>
        <w:tc>
          <w:tcPr>
            <w:tcW w:w="2314" w:type="dxa"/>
            <w:vMerge w:val="restart"/>
            <w:tcBorders>
              <w:bottom w:val="nil"/>
            </w:tcBorders>
            <w:vAlign w:val="top"/>
          </w:tcPr>
          <w:p w14:paraId="20B6E855">
            <w:pPr>
              <w:pStyle w:val="6"/>
              <w:spacing w:before="52" w:line="236" w:lineRule="auto"/>
              <w:ind w:left="2" w:right="1103"/>
            </w:pPr>
            <w:r>
              <w:rPr>
                <w:spacing w:val="1"/>
              </w:rPr>
              <w:t>1.尸体解剖检查</w:t>
            </w:r>
            <w:r>
              <w:t xml:space="preserve"> </w:t>
            </w:r>
            <w:r>
              <w:rPr>
                <w:spacing w:val="-2"/>
              </w:rPr>
              <w:t>2.活体组织检查</w:t>
            </w:r>
            <w:r>
              <w:rPr>
                <w:spacing w:val="6"/>
              </w:rPr>
              <w:t xml:space="preserve"> </w:t>
            </w:r>
            <w:r>
              <w:rPr>
                <w:spacing w:val="-2"/>
              </w:rPr>
              <w:t>3.细胞学检查</w:t>
            </w:r>
          </w:p>
          <w:p w14:paraId="004D6A8E">
            <w:pPr>
              <w:pStyle w:val="6"/>
              <w:spacing w:before="8" w:line="182" w:lineRule="auto"/>
              <w:ind w:left="2"/>
            </w:pPr>
            <w:r>
              <w:rPr>
                <w:spacing w:val="-1"/>
              </w:rPr>
              <w:t>4.动物实验</w:t>
            </w:r>
          </w:p>
        </w:tc>
        <w:tc>
          <w:tcPr>
            <w:tcW w:w="230" w:type="dxa"/>
            <w:vAlign w:val="top"/>
          </w:tcPr>
          <w:p w14:paraId="7A9BFB52">
            <w:pPr>
              <w:pStyle w:val="6"/>
              <w:spacing w:before="68" w:line="131" w:lineRule="exact"/>
              <w:ind w:left="7"/>
            </w:pPr>
            <w:r>
              <w:rPr>
                <w:position w:val="-2"/>
              </w:rPr>
              <w:t>V</w:t>
            </w:r>
          </w:p>
        </w:tc>
        <w:tc>
          <w:tcPr>
            <w:tcW w:w="230" w:type="dxa"/>
            <w:vAlign w:val="top"/>
          </w:tcPr>
          <w:p w14:paraId="1C6B0511">
            <w:pPr>
              <w:spacing w:line="199" w:lineRule="exact"/>
              <w:rPr>
                <w:rFonts w:ascii="Arial"/>
                <w:sz w:val="17"/>
              </w:rPr>
            </w:pPr>
          </w:p>
        </w:tc>
        <w:tc>
          <w:tcPr>
            <w:tcW w:w="219" w:type="dxa"/>
            <w:vAlign w:val="top"/>
          </w:tcPr>
          <w:p w14:paraId="168E8185">
            <w:pPr>
              <w:spacing w:line="199" w:lineRule="exact"/>
              <w:rPr>
                <w:rFonts w:ascii="Arial"/>
                <w:sz w:val="17"/>
              </w:rPr>
            </w:pPr>
          </w:p>
        </w:tc>
        <w:tc>
          <w:tcPr>
            <w:tcW w:w="244" w:type="dxa"/>
            <w:vAlign w:val="top"/>
          </w:tcPr>
          <w:p w14:paraId="1F769DE4">
            <w:pPr>
              <w:spacing w:line="199" w:lineRule="exact"/>
              <w:rPr>
                <w:rFonts w:ascii="Arial"/>
                <w:sz w:val="17"/>
              </w:rPr>
            </w:pPr>
          </w:p>
        </w:tc>
      </w:tr>
      <w:tr w14:paraId="339C27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9" w:hRule="atLeast"/>
        </w:trPr>
        <w:tc>
          <w:tcPr>
            <w:tcW w:w="893" w:type="dxa"/>
            <w:vMerge w:val="continue"/>
            <w:tcBorders>
              <w:top w:val="nil"/>
              <w:bottom w:val="nil"/>
            </w:tcBorders>
            <w:vAlign w:val="top"/>
          </w:tcPr>
          <w:p w14:paraId="685099B6">
            <w:pPr>
              <w:rPr>
                <w:rFonts w:ascii="Arial"/>
                <w:sz w:val="21"/>
              </w:rPr>
            </w:pPr>
          </w:p>
        </w:tc>
        <w:tc>
          <w:tcPr>
            <w:tcW w:w="2314" w:type="dxa"/>
            <w:vMerge w:val="continue"/>
            <w:tcBorders>
              <w:top w:val="nil"/>
              <w:bottom w:val="nil"/>
            </w:tcBorders>
            <w:vAlign w:val="top"/>
          </w:tcPr>
          <w:p w14:paraId="4006F03E">
            <w:pPr>
              <w:rPr>
                <w:rFonts w:ascii="Arial"/>
                <w:sz w:val="21"/>
              </w:rPr>
            </w:pPr>
          </w:p>
        </w:tc>
        <w:tc>
          <w:tcPr>
            <w:tcW w:w="230" w:type="dxa"/>
            <w:vAlign w:val="top"/>
          </w:tcPr>
          <w:p w14:paraId="7F5A036A">
            <w:pPr>
              <w:pStyle w:val="6"/>
              <w:spacing w:before="65" w:line="204" w:lineRule="auto"/>
              <w:ind w:left="7"/>
              <w:rPr>
                <w:sz w:val="13"/>
                <w:szCs w:val="13"/>
              </w:rPr>
            </w:pPr>
            <w:r>
              <w:rPr>
                <w:sz w:val="13"/>
                <w:szCs w:val="13"/>
              </w:rPr>
              <w:t>√</w:t>
            </w:r>
          </w:p>
        </w:tc>
        <w:tc>
          <w:tcPr>
            <w:tcW w:w="230" w:type="dxa"/>
            <w:vAlign w:val="top"/>
          </w:tcPr>
          <w:p w14:paraId="5B79FB0B">
            <w:pPr>
              <w:spacing w:line="209" w:lineRule="exact"/>
              <w:rPr>
                <w:rFonts w:ascii="Arial"/>
                <w:sz w:val="18"/>
              </w:rPr>
            </w:pPr>
          </w:p>
        </w:tc>
        <w:tc>
          <w:tcPr>
            <w:tcW w:w="219" w:type="dxa"/>
            <w:vAlign w:val="top"/>
          </w:tcPr>
          <w:p w14:paraId="6D402FDA">
            <w:pPr>
              <w:spacing w:line="209" w:lineRule="exact"/>
              <w:rPr>
                <w:rFonts w:ascii="Arial"/>
                <w:sz w:val="18"/>
              </w:rPr>
            </w:pPr>
          </w:p>
        </w:tc>
        <w:tc>
          <w:tcPr>
            <w:tcW w:w="244" w:type="dxa"/>
            <w:vAlign w:val="top"/>
          </w:tcPr>
          <w:p w14:paraId="22A51B7D">
            <w:pPr>
              <w:spacing w:line="209" w:lineRule="exact"/>
              <w:rPr>
                <w:rFonts w:ascii="Arial"/>
                <w:sz w:val="18"/>
              </w:rPr>
            </w:pPr>
          </w:p>
        </w:tc>
      </w:tr>
      <w:tr w14:paraId="59D6AD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9" w:hRule="atLeast"/>
        </w:trPr>
        <w:tc>
          <w:tcPr>
            <w:tcW w:w="893" w:type="dxa"/>
            <w:vMerge w:val="continue"/>
            <w:tcBorders>
              <w:top w:val="nil"/>
              <w:bottom w:val="nil"/>
            </w:tcBorders>
            <w:vAlign w:val="top"/>
          </w:tcPr>
          <w:p w14:paraId="6A149173">
            <w:pPr>
              <w:rPr>
                <w:rFonts w:ascii="Arial"/>
                <w:sz w:val="21"/>
              </w:rPr>
            </w:pPr>
          </w:p>
        </w:tc>
        <w:tc>
          <w:tcPr>
            <w:tcW w:w="2314" w:type="dxa"/>
            <w:vMerge w:val="continue"/>
            <w:tcBorders>
              <w:top w:val="nil"/>
              <w:bottom w:val="nil"/>
            </w:tcBorders>
            <w:vAlign w:val="top"/>
          </w:tcPr>
          <w:p w14:paraId="53F8BAB9">
            <w:pPr>
              <w:rPr>
                <w:rFonts w:ascii="Arial"/>
                <w:sz w:val="21"/>
              </w:rPr>
            </w:pPr>
          </w:p>
        </w:tc>
        <w:tc>
          <w:tcPr>
            <w:tcW w:w="230" w:type="dxa"/>
            <w:vAlign w:val="top"/>
          </w:tcPr>
          <w:p w14:paraId="3FDCE56D">
            <w:pPr>
              <w:pStyle w:val="6"/>
              <w:spacing w:before="66" w:line="203" w:lineRule="auto"/>
              <w:ind w:left="7"/>
              <w:rPr>
                <w:sz w:val="13"/>
                <w:szCs w:val="13"/>
              </w:rPr>
            </w:pPr>
            <w:r>
              <w:rPr>
                <w:sz w:val="13"/>
                <w:szCs w:val="13"/>
              </w:rPr>
              <w:t>√</w:t>
            </w:r>
          </w:p>
        </w:tc>
        <w:tc>
          <w:tcPr>
            <w:tcW w:w="230" w:type="dxa"/>
            <w:vAlign w:val="top"/>
          </w:tcPr>
          <w:p w14:paraId="513B01AC">
            <w:pPr>
              <w:spacing w:line="209" w:lineRule="exact"/>
              <w:rPr>
                <w:rFonts w:ascii="Arial"/>
                <w:sz w:val="18"/>
              </w:rPr>
            </w:pPr>
          </w:p>
        </w:tc>
        <w:tc>
          <w:tcPr>
            <w:tcW w:w="219" w:type="dxa"/>
            <w:vAlign w:val="top"/>
          </w:tcPr>
          <w:p w14:paraId="00DC72E7">
            <w:pPr>
              <w:spacing w:line="209" w:lineRule="exact"/>
              <w:rPr>
                <w:rFonts w:ascii="Arial"/>
                <w:sz w:val="18"/>
              </w:rPr>
            </w:pPr>
          </w:p>
        </w:tc>
        <w:tc>
          <w:tcPr>
            <w:tcW w:w="244" w:type="dxa"/>
            <w:vAlign w:val="top"/>
          </w:tcPr>
          <w:p w14:paraId="3910D30B">
            <w:pPr>
              <w:spacing w:line="209" w:lineRule="exact"/>
              <w:rPr>
                <w:rFonts w:ascii="Arial"/>
                <w:sz w:val="18"/>
              </w:rPr>
            </w:pPr>
          </w:p>
        </w:tc>
      </w:tr>
      <w:tr w14:paraId="5E0EB6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4" w:hRule="atLeast"/>
        </w:trPr>
        <w:tc>
          <w:tcPr>
            <w:tcW w:w="893" w:type="dxa"/>
            <w:vMerge w:val="continue"/>
            <w:tcBorders>
              <w:top w:val="nil"/>
            </w:tcBorders>
            <w:vAlign w:val="top"/>
          </w:tcPr>
          <w:p w14:paraId="6DE47A6D">
            <w:pPr>
              <w:rPr>
                <w:rFonts w:ascii="Arial"/>
                <w:sz w:val="21"/>
              </w:rPr>
            </w:pPr>
          </w:p>
        </w:tc>
        <w:tc>
          <w:tcPr>
            <w:tcW w:w="2314" w:type="dxa"/>
            <w:vMerge w:val="continue"/>
            <w:tcBorders>
              <w:top w:val="nil"/>
            </w:tcBorders>
            <w:vAlign w:val="top"/>
          </w:tcPr>
          <w:p w14:paraId="254C9760">
            <w:pPr>
              <w:rPr>
                <w:rFonts w:ascii="Arial"/>
                <w:sz w:val="21"/>
              </w:rPr>
            </w:pPr>
          </w:p>
        </w:tc>
        <w:tc>
          <w:tcPr>
            <w:tcW w:w="230" w:type="dxa"/>
            <w:vAlign w:val="top"/>
          </w:tcPr>
          <w:p w14:paraId="4C97A039">
            <w:pPr>
              <w:pStyle w:val="6"/>
              <w:spacing w:before="57" w:line="208" w:lineRule="auto"/>
              <w:ind w:left="7"/>
              <w:rPr>
                <w:sz w:val="13"/>
                <w:szCs w:val="13"/>
              </w:rPr>
            </w:pPr>
            <w:r>
              <w:rPr>
                <w:sz w:val="13"/>
                <w:szCs w:val="13"/>
              </w:rPr>
              <w:t>√</w:t>
            </w:r>
          </w:p>
        </w:tc>
        <w:tc>
          <w:tcPr>
            <w:tcW w:w="230" w:type="dxa"/>
            <w:vAlign w:val="top"/>
          </w:tcPr>
          <w:p w14:paraId="20514D80">
            <w:pPr>
              <w:spacing w:line="204" w:lineRule="exact"/>
              <w:rPr>
                <w:rFonts w:ascii="Arial"/>
                <w:sz w:val="17"/>
              </w:rPr>
            </w:pPr>
          </w:p>
        </w:tc>
        <w:tc>
          <w:tcPr>
            <w:tcW w:w="219" w:type="dxa"/>
            <w:vAlign w:val="top"/>
          </w:tcPr>
          <w:p w14:paraId="7B2C74E5">
            <w:pPr>
              <w:spacing w:line="204" w:lineRule="exact"/>
              <w:rPr>
                <w:rFonts w:ascii="Arial"/>
                <w:sz w:val="17"/>
              </w:rPr>
            </w:pPr>
          </w:p>
        </w:tc>
        <w:tc>
          <w:tcPr>
            <w:tcW w:w="244" w:type="dxa"/>
            <w:vAlign w:val="top"/>
          </w:tcPr>
          <w:p w14:paraId="5C324911">
            <w:pPr>
              <w:spacing w:line="204" w:lineRule="exact"/>
              <w:rPr>
                <w:rFonts w:ascii="Arial"/>
                <w:sz w:val="17"/>
              </w:rPr>
            </w:pPr>
          </w:p>
        </w:tc>
      </w:tr>
    </w:tbl>
    <w:p w14:paraId="33700196">
      <w:pPr>
        <w:spacing w:before="119" w:line="221" w:lineRule="auto"/>
        <w:ind w:left="1362"/>
        <w:rPr>
          <w:rFonts w:ascii="黑体" w:hAnsi="黑体" w:eastAsia="黑体" w:cs="黑体"/>
          <w:sz w:val="20"/>
          <w:szCs w:val="20"/>
        </w:rPr>
      </w:pPr>
      <w:r>
        <w:rPr>
          <w:rFonts w:ascii="黑体" w:hAnsi="黑体" w:eastAsia="黑体" w:cs="黑体"/>
          <w:b/>
          <w:bCs/>
          <w:spacing w:val="-9"/>
          <w:sz w:val="20"/>
          <w:szCs w:val="20"/>
        </w:rPr>
        <w:t>第二章</w:t>
      </w:r>
      <w:r>
        <w:rPr>
          <w:rFonts w:ascii="黑体" w:hAnsi="黑体" w:eastAsia="黑体" w:cs="黑体"/>
          <w:spacing w:val="11"/>
          <w:sz w:val="20"/>
          <w:szCs w:val="20"/>
        </w:rPr>
        <w:t xml:space="preserve">  </w:t>
      </w:r>
      <w:r>
        <w:rPr>
          <w:rFonts w:ascii="黑体" w:hAnsi="黑体" w:eastAsia="黑体" w:cs="黑体"/>
          <w:b/>
          <w:bCs/>
          <w:spacing w:val="-9"/>
          <w:sz w:val="20"/>
          <w:szCs w:val="20"/>
        </w:rPr>
        <w:t>疾病概论</w:t>
      </w:r>
    </w:p>
    <w:p w14:paraId="0945F696">
      <w:pPr>
        <w:spacing w:line="72" w:lineRule="exact"/>
      </w:pPr>
    </w:p>
    <w:tbl>
      <w:tblPr>
        <w:tblStyle w:val="5"/>
        <w:tblW w:w="4130"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14"/>
        <w:gridCol w:w="230"/>
        <w:gridCol w:w="230"/>
        <w:gridCol w:w="219"/>
        <w:gridCol w:w="244"/>
      </w:tblGrid>
      <w:tr w14:paraId="3EA882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3" w:hRule="atLeast"/>
        </w:trPr>
        <w:tc>
          <w:tcPr>
            <w:tcW w:w="893" w:type="dxa"/>
            <w:vMerge w:val="restart"/>
            <w:tcBorders>
              <w:bottom w:val="nil"/>
            </w:tcBorders>
            <w:vAlign w:val="top"/>
          </w:tcPr>
          <w:p w14:paraId="4243CFC4">
            <w:pPr>
              <w:pStyle w:val="6"/>
              <w:spacing w:before="160" w:line="230" w:lineRule="auto"/>
              <w:ind w:left="257" w:right="1" w:hanging="240"/>
              <w:rPr>
                <w:sz w:val="18"/>
                <w:szCs w:val="18"/>
              </w:rPr>
            </w:pPr>
            <w:r>
              <w:rPr>
                <w:b/>
                <w:bCs/>
                <w:spacing w:val="-10"/>
                <w:sz w:val="18"/>
                <w:szCs w:val="18"/>
              </w:rPr>
              <w:t>知识与技能</w:t>
            </w:r>
            <w:r>
              <w:rPr>
                <w:spacing w:val="3"/>
                <w:sz w:val="18"/>
                <w:szCs w:val="18"/>
              </w:rPr>
              <w:t xml:space="preserve"> </w:t>
            </w:r>
            <w:r>
              <w:rPr>
                <w:b/>
                <w:bCs/>
                <w:spacing w:val="-4"/>
                <w:sz w:val="18"/>
                <w:szCs w:val="18"/>
              </w:rPr>
              <w:t>要点</w:t>
            </w:r>
          </w:p>
        </w:tc>
        <w:tc>
          <w:tcPr>
            <w:tcW w:w="2314" w:type="dxa"/>
            <w:vMerge w:val="restart"/>
            <w:tcBorders>
              <w:bottom w:val="nil"/>
            </w:tcBorders>
            <w:vAlign w:val="top"/>
          </w:tcPr>
          <w:p w14:paraId="09FA6929">
            <w:pPr>
              <w:pStyle w:val="6"/>
              <w:spacing w:before="269" w:line="219" w:lineRule="auto"/>
              <w:ind w:left="844"/>
              <w:rPr>
                <w:sz w:val="18"/>
                <w:szCs w:val="18"/>
              </w:rPr>
            </w:pPr>
            <w:r>
              <w:rPr>
                <w:b/>
                <w:bCs/>
                <w:spacing w:val="5"/>
                <w:sz w:val="18"/>
                <w:szCs w:val="18"/>
              </w:rPr>
              <w:t>考试条目</w:t>
            </w:r>
          </w:p>
        </w:tc>
        <w:tc>
          <w:tcPr>
            <w:tcW w:w="923" w:type="dxa"/>
            <w:gridSpan w:val="4"/>
            <w:vAlign w:val="top"/>
          </w:tcPr>
          <w:p w14:paraId="264085AF">
            <w:pPr>
              <w:pStyle w:val="6"/>
              <w:spacing w:before="89" w:line="219" w:lineRule="auto"/>
              <w:ind w:left="140"/>
              <w:rPr>
                <w:sz w:val="18"/>
                <w:szCs w:val="18"/>
              </w:rPr>
            </w:pPr>
            <w:r>
              <w:rPr>
                <w:b/>
                <w:bCs/>
                <w:spacing w:val="-4"/>
                <w:sz w:val="18"/>
                <w:szCs w:val="18"/>
              </w:rPr>
              <w:t>考试水平</w:t>
            </w:r>
          </w:p>
        </w:tc>
      </w:tr>
      <w:tr w14:paraId="13F149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8" w:hRule="atLeast"/>
        </w:trPr>
        <w:tc>
          <w:tcPr>
            <w:tcW w:w="893" w:type="dxa"/>
            <w:vMerge w:val="continue"/>
            <w:tcBorders>
              <w:top w:val="nil"/>
            </w:tcBorders>
            <w:vAlign w:val="top"/>
          </w:tcPr>
          <w:p w14:paraId="429A61E2">
            <w:pPr>
              <w:rPr>
                <w:rFonts w:ascii="Arial"/>
                <w:sz w:val="21"/>
              </w:rPr>
            </w:pPr>
          </w:p>
        </w:tc>
        <w:tc>
          <w:tcPr>
            <w:tcW w:w="2314" w:type="dxa"/>
            <w:vMerge w:val="continue"/>
            <w:tcBorders>
              <w:top w:val="nil"/>
            </w:tcBorders>
            <w:vAlign w:val="top"/>
          </w:tcPr>
          <w:p w14:paraId="7B493104">
            <w:pPr>
              <w:rPr>
                <w:rFonts w:ascii="Arial"/>
                <w:sz w:val="21"/>
              </w:rPr>
            </w:pPr>
          </w:p>
        </w:tc>
        <w:tc>
          <w:tcPr>
            <w:tcW w:w="230" w:type="dxa"/>
            <w:vAlign w:val="top"/>
          </w:tcPr>
          <w:p w14:paraId="7559DE1D">
            <w:pPr>
              <w:pStyle w:val="6"/>
              <w:spacing w:before="134" w:line="184" w:lineRule="auto"/>
              <w:ind w:left="20"/>
              <w:rPr>
                <w:sz w:val="18"/>
                <w:szCs w:val="18"/>
              </w:rPr>
            </w:pPr>
            <w:r>
              <w:rPr>
                <w:b/>
                <w:bCs/>
                <w:spacing w:val="-2"/>
                <w:sz w:val="18"/>
                <w:szCs w:val="18"/>
              </w:rPr>
              <w:t>A</w:t>
            </w:r>
          </w:p>
        </w:tc>
        <w:tc>
          <w:tcPr>
            <w:tcW w:w="230" w:type="dxa"/>
            <w:vAlign w:val="top"/>
          </w:tcPr>
          <w:p w14:paraId="65025A3A">
            <w:pPr>
              <w:pStyle w:val="6"/>
              <w:spacing w:before="80" w:line="215" w:lineRule="auto"/>
              <w:ind w:left="20"/>
              <w:rPr>
                <w:sz w:val="18"/>
                <w:szCs w:val="18"/>
              </w:rPr>
            </w:pPr>
            <w:r>
              <w:rPr>
                <w:b/>
                <w:bCs/>
                <w:spacing w:val="-3"/>
                <w:sz w:val="18"/>
                <w:szCs w:val="18"/>
              </w:rPr>
              <w:t>B</w:t>
            </w:r>
            <w:r>
              <w:rPr>
                <w:spacing w:val="-3"/>
                <w:sz w:val="18"/>
                <w:szCs w:val="18"/>
              </w:rPr>
              <w:t>|</w:t>
            </w:r>
          </w:p>
        </w:tc>
        <w:tc>
          <w:tcPr>
            <w:tcW w:w="219" w:type="dxa"/>
            <w:vAlign w:val="top"/>
          </w:tcPr>
          <w:p w14:paraId="70FE3C1D">
            <w:pPr>
              <w:pStyle w:val="6"/>
              <w:spacing w:before="134" w:line="183" w:lineRule="auto"/>
              <w:ind w:left="60"/>
              <w:rPr>
                <w:sz w:val="18"/>
                <w:szCs w:val="18"/>
              </w:rPr>
            </w:pPr>
            <w:r>
              <w:rPr>
                <w:b/>
                <w:bCs/>
                <w:spacing w:val="-2"/>
                <w:sz w:val="18"/>
                <w:szCs w:val="18"/>
              </w:rPr>
              <w:t>C</w:t>
            </w:r>
          </w:p>
        </w:tc>
        <w:tc>
          <w:tcPr>
            <w:tcW w:w="244" w:type="dxa"/>
            <w:vAlign w:val="top"/>
          </w:tcPr>
          <w:p w14:paraId="5350232D">
            <w:pPr>
              <w:pStyle w:val="6"/>
              <w:spacing w:before="136" w:line="182" w:lineRule="auto"/>
              <w:ind w:left="21"/>
              <w:rPr>
                <w:sz w:val="18"/>
                <w:szCs w:val="18"/>
              </w:rPr>
            </w:pPr>
            <w:r>
              <w:rPr>
                <w:b/>
                <w:bCs/>
                <w:spacing w:val="-2"/>
                <w:sz w:val="18"/>
                <w:szCs w:val="18"/>
              </w:rPr>
              <w:t>D</w:t>
            </w:r>
          </w:p>
        </w:tc>
      </w:tr>
      <w:tr w14:paraId="2CF179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8" w:hRule="atLeast"/>
        </w:trPr>
        <w:tc>
          <w:tcPr>
            <w:tcW w:w="893" w:type="dxa"/>
            <w:vMerge w:val="restart"/>
            <w:tcBorders>
              <w:bottom w:val="nil"/>
            </w:tcBorders>
            <w:vAlign w:val="top"/>
          </w:tcPr>
          <w:p w14:paraId="7EAD73AC">
            <w:pPr>
              <w:spacing w:line="340" w:lineRule="auto"/>
              <w:rPr>
                <w:rFonts w:ascii="Arial"/>
                <w:sz w:val="21"/>
              </w:rPr>
            </w:pPr>
          </w:p>
          <w:p w14:paraId="0B4E8600">
            <w:pPr>
              <w:pStyle w:val="6"/>
              <w:spacing w:before="59" w:line="219" w:lineRule="auto"/>
              <w:ind w:left="74"/>
              <w:rPr>
                <w:sz w:val="18"/>
                <w:szCs w:val="18"/>
              </w:rPr>
            </w:pPr>
            <w:r>
              <w:rPr>
                <w:spacing w:val="-2"/>
                <w:sz w:val="18"/>
                <w:szCs w:val="18"/>
              </w:rPr>
              <w:t>疾病概论</w:t>
            </w:r>
          </w:p>
        </w:tc>
        <w:tc>
          <w:tcPr>
            <w:tcW w:w="2314" w:type="dxa"/>
            <w:vMerge w:val="restart"/>
            <w:tcBorders>
              <w:bottom w:val="nil"/>
            </w:tcBorders>
            <w:vAlign w:val="top"/>
          </w:tcPr>
          <w:p w14:paraId="037AB113">
            <w:pPr>
              <w:pStyle w:val="6"/>
              <w:spacing w:before="91" w:line="219" w:lineRule="auto"/>
              <w:ind w:left="11"/>
              <w:rPr>
                <w:sz w:val="18"/>
                <w:szCs w:val="18"/>
              </w:rPr>
            </w:pPr>
            <w:r>
              <w:rPr>
                <w:sz w:val="18"/>
                <w:szCs w:val="18"/>
              </w:rPr>
              <w:t>1.健康和疾病的概念</w:t>
            </w:r>
          </w:p>
          <w:p w14:paraId="6CB7C9F9">
            <w:pPr>
              <w:pStyle w:val="6"/>
              <w:spacing w:before="6" w:line="219" w:lineRule="auto"/>
              <w:ind w:left="11"/>
              <w:rPr>
                <w:sz w:val="18"/>
                <w:szCs w:val="18"/>
              </w:rPr>
            </w:pPr>
            <w:r>
              <w:rPr>
                <w:spacing w:val="-2"/>
                <w:sz w:val="18"/>
                <w:szCs w:val="18"/>
              </w:rPr>
              <w:t>2.病因学的概述</w:t>
            </w:r>
          </w:p>
          <w:p w14:paraId="7073F878">
            <w:pPr>
              <w:pStyle w:val="6"/>
              <w:spacing w:before="16" w:line="215" w:lineRule="auto"/>
              <w:ind w:left="11"/>
              <w:rPr>
                <w:sz w:val="18"/>
                <w:szCs w:val="18"/>
              </w:rPr>
            </w:pPr>
            <w:r>
              <w:rPr>
                <w:spacing w:val="-2"/>
                <w:sz w:val="18"/>
                <w:szCs w:val="18"/>
              </w:rPr>
              <w:t>3.发病学的概述</w:t>
            </w:r>
          </w:p>
          <w:p w14:paraId="0471CFBB">
            <w:pPr>
              <w:pStyle w:val="6"/>
              <w:spacing w:line="219" w:lineRule="auto"/>
              <w:ind w:left="11"/>
              <w:rPr>
                <w:sz w:val="18"/>
                <w:szCs w:val="18"/>
              </w:rPr>
            </w:pPr>
            <w:r>
              <w:rPr>
                <w:spacing w:val="1"/>
                <w:sz w:val="18"/>
                <w:szCs w:val="18"/>
              </w:rPr>
              <w:t>4.疾病经过和转归</w:t>
            </w:r>
          </w:p>
        </w:tc>
        <w:tc>
          <w:tcPr>
            <w:tcW w:w="230" w:type="dxa"/>
            <w:vAlign w:val="top"/>
          </w:tcPr>
          <w:p w14:paraId="622E7370">
            <w:pPr>
              <w:spacing w:line="227" w:lineRule="exact"/>
              <w:rPr>
                <w:rFonts w:ascii="Arial"/>
                <w:sz w:val="19"/>
              </w:rPr>
            </w:pPr>
          </w:p>
        </w:tc>
        <w:tc>
          <w:tcPr>
            <w:tcW w:w="230" w:type="dxa"/>
            <w:vAlign w:val="top"/>
          </w:tcPr>
          <w:p w14:paraId="568C2BBC">
            <w:pPr>
              <w:pStyle w:val="6"/>
              <w:spacing w:before="72" w:line="221" w:lineRule="auto"/>
              <w:ind w:left="8"/>
              <w:rPr>
                <w:sz w:val="13"/>
                <w:szCs w:val="13"/>
              </w:rPr>
            </w:pPr>
            <w:r>
              <w:rPr>
                <w:sz w:val="13"/>
                <w:szCs w:val="13"/>
              </w:rPr>
              <w:t>√</w:t>
            </w:r>
          </w:p>
        </w:tc>
        <w:tc>
          <w:tcPr>
            <w:tcW w:w="219" w:type="dxa"/>
            <w:vAlign w:val="top"/>
          </w:tcPr>
          <w:p w14:paraId="116C87B2">
            <w:pPr>
              <w:spacing w:line="227" w:lineRule="exact"/>
              <w:rPr>
                <w:rFonts w:ascii="Arial"/>
                <w:sz w:val="19"/>
              </w:rPr>
            </w:pPr>
          </w:p>
        </w:tc>
        <w:tc>
          <w:tcPr>
            <w:tcW w:w="244" w:type="dxa"/>
            <w:vAlign w:val="top"/>
          </w:tcPr>
          <w:p w14:paraId="1BB61079">
            <w:pPr>
              <w:spacing w:line="227" w:lineRule="exact"/>
              <w:rPr>
                <w:rFonts w:ascii="Arial"/>
                <w:sz w:val="19"/>
              </w:rPr>
            </w:pPr>
          </w:p>
        </w:tc>
      </w:tr>
      <w:tr w14:paraId="01D8C0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9" w:hRule="atLeast"/>
        </w:trPr>
        <w:tc>
          <w:tcPr>
            <w:tcW w:w="893" w:type="dxa"/>
            <w:vMerge w:val="continue"/>
            <w:tcBorders>
              <w:top w:val="nil"/>
              <w:bottom w:val="nil"/>
            </w:tcBorders>
            <w:vAlign w:val="top"/>
          </w:tcPr>
          <w:p w14:paraId="2E9098DD">
            <w:pPr>
              <w:rPr>
                <w:rFonts w:ascii="Arial"/>
                <w:sz w:val="21"/>
              </w:rPr>
            </w:pPr>
          </w:p>
        </w:tc>
        <w:tc>
          <w:tcPr>
            <w:tcW w:w="2314" w:type="dxa"/>
            <w:vMerge w:val="continue"/>
            <w:tcBorders>
              <w:top w:val="nil"/>
              <w:bottom w:val="nil"/>
            </w:tcBorders>
            <w:vAlign w:val="top"/>
          </w:tcPr>
          <w:p w14:paraId="3137E3E1">
            <w:pPr>
              <w:rPr>
                <w:rFonts w:ascii="Arial"/>
                <w:sz w:val="21"/>
              </w:rPr>
            </w:pPr>
          </w:p>
        </w:tc>
        <w:tc>
          <w:tcPr>
            <w:tcW w:w="230" w:type="dxa"/>
            <w:vAlign w:val="top"/>
          </w:tcPr>
          <w:p w14:paraId="722DDAC1">
            <w:pPr>
              <w:pStyle w:val="6"/>
              <w:spacing w:before="74" w:line="220" w:lineRule="auto"/>
              <w:ind w:left="7"/>
              <w:rPr>
                <w:sz w:val="13"/>
                <w:szCs w:val="13"/>
              </w:rPr>
            </w:pPr>
            <w:r>
              <w:rPr>
                <w:sz w:val="13"/>
                <w:szCs w:val="13"/>
              </w:rPr>
              <w:t>√</w:t>
            </w:r>
          </w:p>
        </w:tc>
        <w:tc>
          <w:tcPr>
            <w:tcW w:w="230" w:type="dxa"/>
            <w:vAlign w:val="top"/>
          </w:tcPr>
          <w:p w14:paraId="24AFBF1B">
            <w:pPr>
              <w:spacing w:line="229" w:lineRule="exact"/>
              <w:rPr>
                <w:rFonts w:ascii="Arial"/>
                <w:sz w:val="19"/>
              </w:rPr>
            </w:pPr>
          </w:p>
        </w:tc>
        <w:tc>
          <w:tcPr>
            <w:tcW w:w="219" w:type="dxa"/>
            <w:vAlign w:val="top"/>
          </w:tcPr>
          <w:p w14:paraId="27362F78">
            <w:pPr>
              <w:spacing w:line="229" w:lineRule="exact"/>
              <w:rPr>
                <w:rFonts w:ascii="Arial"/>
                <w:sz w:val="19"/>
              </w:rPr>
            </w:pPr>
          </w:p>
        </w:tc>
        <w:tc>
          <w:tcPr>
            <w:tcW w:w="244" w:type="dxa"/>
            <w:vAlign w:val="top"/>
          </w:tcPr>
          <w:p w14:paraId="6C4B74CA">
            <w:pPr>
              <w:spacing w:line="229" w:lineRule="exact"/>
              <w:rPr>
                <w:rFonts w:ascii="Arial"/>
                <w:sz w:val="19"/>
              </w:rPr>
            </w:pPr>
          </w:p>
        </w:tc>
      </w:tr>
      <w:tr w14:paraId="53761E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8" w:hRule="atLeast"/>
        </w:trPr>
        <w:tc>
          <w:tcPr>
            <w:tcW w:w="893" w:type="dxa"/>
            <w:vMerge w:val="continue"/>
            <w:tcBorders>
              <w:top w:val="nil"/>
              <w:bottom w:val="nil"/>
            </w:tcBorders>
            <w:vAlign w:val="top"/>
          </w:tcPr>
          <w:p w14:paraId="7C0ED8C6">
            <w:pPr>
              <w:rPr>
                <w:rFonts w:ascii="Arial"/>
                <w:sz w:val="21"/>
              </w:rPr>
            </w:pPr>
          </w:p>
        </w:tc>
        <w:tc>
          <w:tcPr>
            <w:tcW w:w="2314" w:type="dxa"/>
            <w:vMerge w:val="continue"/>
            <w:tcBorders>
              <w:top w:val="nil"/>
              <w:bottom w:val="nil"/>
            </w:tcBorders>
            <w:vAlign w:val="top"/>
          </w:tcPr>
          <w:p w14:paraId="35541521">
            <w:pPr>
              <w:rPr>
                <w:rFonts w:ascii="Arial"/>
                <w:sz w:val="21"/>
              </w:rPr>
            </w:pPr>
          </w:p>
        </w:tc>
        <w:tc>
          <w:tcPr>
            <w:tcW w:w="230" w:type="dxa"/>
            <w:vAlign w:val="top"/>
          </w:tcPr>
          <w:p w14:paraId="21DD7F92">
            <w:pPr>
              <w:spacing w:line="227" w:lineRule="exact"/>
              <w:rPr>
                <w:rFonts w:ascii="Arial"/>
                <w:sz w:val="19"/>
              </w:rPr>
            </w:pPr>
          </w:p>
        </w:tc>
        <w:tc>
          <w:tcPr>
            <w:tcW w:w="230" w:type="dxa"/>
            <w:vAlign w:val="top"/>
          </w:tcPr>
          <w:p w14:paraId="32F64ED8">
            <w:pPr>
              <w:pStyle w:val="6"/>
              <w:spacing w:before="75" w:line="217" w:lineRule="auto"/>
              <w:ind w:left="8"/>
              <w:rPr>
                <w:sz w:val="13"/>
                <w:szCs w:val="13"/>
              </w:rPr>
            </w:pPr>
            <w:r>
              <w:rPr>
                <w:sz w:val="13"/>
                <w:szCs w:val="13"/>
              </w:rPr>
              <w:t>√</w:t>
            </w:r>
          </w:p>
        </w:tc>
        <w:tc>
          <w:tcPr>
            <w:tcW w:w="219" w:type="dxa"/>
            <w:vAlign w:val="top"/>
          </w:tcPr>
          <w:p w14:paraId="78689EB3">
            <w:pPr>
              <w:spacing w:line="227" w:lineRule="exact"/>
              <w:rPr>
                <w:rFonts w:ascii="Arial"/>
                <w:sz w:val="19"/>
              </w:rPr>
            </w:pPr>
          </w:p>
        </w:tc>
        <w:tc>
          <w:tcPr>
            <w:tcW w:w="244" w:type="dxa"/>
            <w:vAlign w:val="top"/>
          </w:tcPr>
          <w:p w14:paraId="2D73362A">
            <w:pPr>
              <w:spacing w:line="227" w:lineRule="exact"/>
              <w:rPr>
                <w:rFonts w:ascii="Arial"/>
                <w:sz w:val="19"/>
              </w:rPr>
            </w:pPr>
          </w:p>
        </w:tc>
      </w:tr>
      <w:tr w14:paraId="159270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3" w:hRule="atLeast"/>
        </w:trPr>
        <w:tc>
          <w:tcPr>
            <w:tcW w:w="893" w:type="dxa"/>
            <w:vMerge w:val="continue"/>
            <w:tcBorders>
              <w:top w:val="nil"/>
            </w:tcBorders>
            <w:vAlign w:val="top"/>
          </w:tcPr>
          <w:p w14:paraId="0F7C8BAC">
            <w:pPr>
              <w:rPr>
                <w:rFonts w:ascii="Arial"/>
                <w:sz w:val="21"/>
              </w:rPr>
            </w:pPr>
          </w:p>
        </w:tc>
        <w:tc>
          <w:tcPr>
            <w:tcW w:w="2314" w:type="dxa"/>
            <w:vMerge w:val="continue"/>
            <w:tcBorders>
              <w:top w:val="nil"/>
            </w:tcBorders>
            <w:vAlign w:val="top"/>
          </w:tcPr>
          <w:p w14:paraId="4D61CA95">
            <w:pPr>
              <w:rPr>
                <w:rFonts w:ascii="Arial"/>
                <w:sz w:val="21"/>
              </w:rPr>
            </w:pPr>
          </w:p>
        </w:tc>
        <w:tc>
          <w:tcPr>
            <w:tcW w:w="230" w:type="dxa"/>
            <w:vAlign w:val="top"/>
          </w:tcPr>
          <w:p w14:paraId="37F5DDCB">
            <w:pPr>
              <w:spacing w:line="222" w:lineRule="exact"/>
              <w:rPr>
                <w:rFonts w:ascii="Arial"/>
                <w:sz w:val="19"/>
              </w:rPr>
            </w:pPr>
          </w:p>
        </w:tc>
        <w:tc>
          <w:tcPr>
            <w:tcW w:w="230" w:type="dxa"/>
            <w:vAlign w:val="top"/>
          </w:tcPr>
          <w:p w14:paraId="0871EE0F">
            <w:pPr>
              <w:spacing w:line="222" w:lineRule="exact"/>
              <w:rPr>
                <w:rFonts w:ascii="Arial"/>
                <w:sz w:val="19"/>
              </w:rPr>
            </w:pPr>
          </w:p>
        </w:tc>
        <w:tc>
          <w:tcPr>
            <w:tcW w:w="219" w:type="dxa"/>
            <w:vAlign w:val="top"/>
          </w:tcPr>
          <w:p w14:paraId="51E64168">
            <w:pPr>
              <w:pStyle w:val="6"/>
              <w:spacing w:before="83" w:line="139" w:lineRule="exact"/>
              <w:ind w:left="57"/>
              <w:rPr>
                <w:sz w:val="18"/>
                <w:szCs w:val="18"/>
              </w:rPr>
            </w:pPr>
            <w:r>
              <w:rPr>
                <w:position w:val="-2"/>
                <w:sz w:val="18"/>
                <w:szCs w:val="18"/>
              </w:rPr>
              <w:t>V</w:t>
            </w:r>
          </w:p>
        </w:tc>
        <w:tc>
          <w:tcPr>
            <w:tcW w:w="244" w:type="dxa"/>
            <w:vAlign w:val="top"/>
          </w:tcPr>
          <w:p w14:paraId="406603D9">
            <w:pPr>
              <w:spacing w:line="222" w:lineRule="exact"/>
              <w:rPr>
                <w:rFonts w:ascii="Arial"/>
                <w:sz w:val="19"/>
              </w:rPr>
            </w:pPr>
          </w:p>
        </w:tc>
      </w:tr>
    </w:tbl>
    <w:p w14:paraId="795BF6B3">
      <w:pPr>
        <w:spacing w:before="129" w:line="222" w:lineRule="auto"/>
        <w:ind w:left="1062"/>
        <w:rPr>
          <w:rFonts w:ascii="黑体" w:hAnsi="黑体" w:eastAsia="黑体" w:cs="黑体"/>
          <w:sz w:val="20"/>
          <w:szCs w:val="20"/>
        </w:rPr>
      </w:pPr>
      <w:r>
        <w:rPr>
          <w:rFonts w:ascii="黑体" w:hAnsi="黑体" w:eastAsia="黑体" w:cs="黑体"/>
          <w:b/>
          <w:bCs/>
          <w:spacing w:val="-7"/>
          <w:sz w:val="20"/>
          <w:szCs w:val="20"/>
        </w:rPr>
        <w:t>第三章</w:t>
      </w:r>
      <w:r>
        <w:rPr>
          <w:rFonts w:ascii="黑体" w:hAnsi="黑体" w:eastAsia="黑体" w:cs="黑体"/>
          <w:spacing w:val="16"/>
          <w:sz w:val="20"/>
          <w:szCs w:val="20"/>
        </w:rPr>
        <w:t xml:space="preserve">  </w:t>
      </w:r>
      <w:r>
        <w:rPr>
          <w:rFonts w:ascii="黑体" w:hAnsi="黑体" w:eastAsia="黑体" w:cs="黑体"/>
          <w:b/>
          <w:bCs/>
          <w:spacing w:val="-7"/>
          <w:sz w:val="20"/>
          <w:szCs w:val="20"/>
        </w:rPr>
        <w:t>组织损伤与修复</w:t>
      </w:r>
    </w:p>
    <w:p w14:paraId="477EFF87">
      <w:pPr>
        <w:spacing w:line="80" w:lineRule="exact"/>
      </w:pPr>
    </w:p>
    <w:tbl>
      <w:tblPr>
        <w:tblStyle w:val="5"/>
        <w:tblW w:w="4130"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14"/>
        <w:gridCol w:w="230"/>
        <w:gridCol w:w="230"/>
        <w:gridCol w:w="219"/>
        <w:gridCol w:w="244"/>
      </w:tblGrid>
      <w:tr w14:paraId="398038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4" w:hRule="atLeast"/>
        </w:trPr>
        <w:tc>
          <w:tcPr>
            <w:tcW w:w="893" w:type="dxa"/>
            <w:vMerge w:val="restart"/>
            <w:tcBorders>
              <w:bottom w:val="nil"/>
            </w:tcBorders>
            <w:vAlign w:val="top"/>
          </w:tcPr>
          <w:p w14:paraId="41192C8F">
            <w:pPr>
              <w:pStyle w:val="6"/>
              <w:spacing w:before="161" w:line="239" w:lineRule="auto"/>
              <w:ind w:left="267" w:right="25" w:hanging="250"/>
            </w:pPr>
            <w:r>
              <w:rPr>
                <w:b/>
                <w:bCs/>
                <w:spacing w:val="-4"/>
              </w:rPr>
              <w:t>知识与技能</w:t>
            </w:r>
            <w:r>
              <w:t xml:space="preserve"> </w:t>
            </w:r>
            <w:r>
              <w:rPr>
                <w:b/>
                <w:bCs/>
                <w:spacing w:val="-4"/>
              </w:rPr>
              <w:t>要点</w:t>
            </w:r>
          </w:p>
        </w:tc>
        <w:tc>
          <w:tcPr>
            <w:tcW w:w="2314" w:type="dxa"/>
            <w:vMerge w:val="restart"/>
            <w:tcBorders>
              <w:bottom w:val="nil"/>
            </w:tcBorders>
            <w:vAlign w:val="top"/>
          </w:tcPr>
          <w:p w14:paraId="269AF4E3">
            <w:pPr>
              <w:pStyle w:val="6"/>
              <w:spacing w:before="279" w:line="219" w:lineRule="auto"/>
              <w:ind w:left="824"/>
            </w:pPr>
            <w:r>
              <w:rPr>
                <w:b/>
                <w:bCs/>
                <w:spacing w:val="5"/>
              </w:rPr>
              <w:t>考试条目</w:t>
            </w:r>
          </w:p>
        </w:tc>
        <w:tc>
          <w:tcPr>
            <w:tcW w:w="923" w:type="dxa"/>
            <w:gridSpan w:val="4"/>
            <w:vAlign w:val="top"/>
          </w:tcPr>
          <w:p w14:paraId="59692B57">
            <w:pPr>
              <w:pStyle w:val="6"/>
              <w:spacing w:before="99" w:line="219" w:lineRule="auto"/>
              <w:ind w:left="140"/>
            </w:pPr>
            <w:r>
              <w:rPr>
                <w:b/>
                <w:bCs/>
                <w:spacing w:val="-4"/>
              </w:rPr>
              <w:t>考试水平</w:t>
            </w:r>
          </w:p>
        </w:tc>
      </w:tr>
      <w:tr w14:paraId="454476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9" w:hRule="atLeast"/>
        </w:trPr>
        <w:tc>
          <w:tcPr>
            <w:tcW w:w="893" w:type="dxa"/>
            <w:vMerge w:val="continue"/>
            <w:tcBorders>
              <w:top w:val="nil"/>
            </w:tcBorders>
            <w:vAlign w:val="top"/>
          </w:tcPr>
          <w:p w14:paraId="573527FD">
            <w:pPr>
              <w:rPr>
                <w:rFonts w:ascii="Arial"/>
                <w:sz w:val="21"/>
              </w:rPr>
            </w:pPr>
          </w:p>
        </w:tc>
        <w:tc>
          <w:tcPr>
            <w:tcW w:w="2314" w:type="dxa"/>
            <w:vMerge w:val="continue"/>
            <w:tcBorders>
              <w:top w:val="nil"/>
            </w:tcBorders>
            <w:vAlign w:val="top"/>
          </w:tcPr>
          <w:p w14:paraId="31ADEB5C">
            <w:pPr>
              <w:rPr>
                <w:rFonts w:ascii="Arial"/>
                <w:sz w:val="21"/>
              </w:rPr>
            </w:pPr>
          </w:p>
        </w:tc>
        <w:tc>
          <w:tcPr>
            <w:tcW w:w="230" w:type="dxa"/>
            <w:vAlign w:val="top"/>
          </w:tcPr>
          <w:p w14:paraId="5AF45E96">
            <w:pPr>
              <w:pStyle w:val="6"/>
              <w:spacing w:before="130" w:line="184" w:lineRule="auto"/>
              <w:ind w:left="70"/>
            </w:pPr>
            <w:r>
              <w:rPr>
                <w:b/>
                <w:bCs/>
                <w:spacing w:val="-2"/>
              </w:rPr>
              <w:t>A</w:t>
            </w:r>
          </w:p>
        </w:tc>
        <w:tc>
          <w:tcPr>
            <w:tcW w:w="230" w:type="dxa"/>
            <w:vAlign w:val="top"/>
          </w:tcPr>
          <w:p w14:paraId="63273153">
            <w:pPr>
              <w:pStyle w:val="6"/>
              <w:spacing w:before="132" w:line="182" w:lineRule="auto"/>
              <w:ind w:left="70"/>
            </w:pPr>
            <w:r>
              <w:rPr>
                <w:b/>
                <w:bCs/>
                <w:spacing w:val="-2"/>
              </w:rPr>
              <w:t>B</w:t>
            </w:r>
          </w:p>
        </w:tc>
        <w:tc>
          <w:tcPr>
            <w:tcW w:w="219" w:type="dxa"/>
            <w:vAlign w:val="top"/>
          </w:tcPr>
          <w:p w14:paraId="29FEB6EC">
            <w:pPr>
              <w:pStyle w:val="6"/>
              <w:spacing w:before="126" w:line="183" w:lineRule="auto"/>
              <w:ind w:left="50"/>
              <w:rPr>
                <w:sz w:val="19"/>
                <w:szCs w:val="19"/>
              </w:rPr>
            </w:pPr>
            <w:r>
              <w:rPr>
                <w:b/>
                <w:bCs/>
                <w:spacing w:val="-2"/>
                <w:sz w:val="19"/>
                <w:szCs w:val="19"/>
              </w:rPr>
              <w:t>C</w:t>
            </w:r>
          </w:p>
        </w:tc>
        <w:tc>
          <w:tcPr>
            <w:tcW w:w="244" w:type="dxa"/>
            <w:vAlign w:val="top"/>
          </w:tcPr>
          <w:p w14:paraId="0FD7B458">
            <w:pPr>
              <w:pStyle w:val="6"/>
              <w:spacing w:before="132" w:line="182" w:lineRule="auto"/>
              <w:ind w:left="71"/>
            </w:pPr>
            <w:r>
              <w:rPr>
                <w:b/>
                <w:bCs/>
                <w:spacing w:val="-2"/>
              </w:rPr>
              <w:t>D</w:t>
            </w:r>
          </w:p>
        </w:tc>
      </w:tr>
      <w:tr w14:paraId="58D66D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9" w:hRule="atLeast"/>
        </w:trPr>
        <w:tc>
          <w:tcPr>
            <w:tcW w:w="893" w:type="dxa"/>
            <w:vMerge w:val="restart"/>
            <w:tcBorders>
              <w:bottom w:val="nil"/>
            </w:tcBorders>
            <w:vAlign w:val="top"/>
          </w:tcPr>
          <w:p w14:paraId="2980CBDE">
            <w:pPr>
              <w:pStyle w:val="6"/>
              <w:spacing w:before="190" w:line="228" w:lineRule="auto"/>
              <w:ind w:left="264" w:right="174" w:hanging="80"/>
            </w:pPr>
            <w:r>
              <w:rPr>
                <w:spacing w:val="4"/>
              </w:rPr>
              <w:t>组织的</w:t>
            </w:r>
            <w:r>
              <w:t xml:space="preserve"> </w:t>
            </w:r>
            <w:r>
              <w:rPr>
                <w:spacing w:val="-2"/>
              </w:rPr>
              <w:t>损伤</w:t>
            </w:r>
          </w:p>
        </w:tc>
        <w:tc>
          <w:tcPr>
            <w:tcW w:w="2314" w:type="dxa"/>
            <w:vMerge w:val="restart"/>
            <w:tcBorders>
              <w:bottom w:val="nil"/>
            </w:tcBorders>
            <w:vAlign w:val="top"/>
          </w:tcPr>
          <w:p w14:paraId="0781510B">
            <w:pPr>
              <w:pStyle w:val="6"/>
              <w:spacing w:before="179" w:line="219" w:lineRule="auto"/>
              <w:ind w:left="11"/>
            </w:pPr>
            <w:r>
              <w:rPr>
                <w:spacing w:val="1"/>
              </w:rPr>
              <w:t>1.变性的概念和类型</w:t>
            </w:r>
          </w:p>
          <w:p w14:paraId="30B9CD2B">
            <w:pPr>
              <w:pStyle w:val="6"/>
              <w:spacing w:before="38" w:line="219" w:lineRule="auto"/>
              <w:ind w:left="11"/>
            </w:pPr>
            <w:r>
              <w:rPr>
                <w:spacing w:val="1"/>
              </w:rPr>
              <w:t>2.坏死的概念、类型和结局</w:t>
            </w:r>
          </w:p>
        </w:tc>
        <w:tc>
          <w:tcPr>
            <w:tcW w:w="230" w:type="dxa"/>
            <w:vAlign w:val="top"/>
          </w:tcPr>
          <w:p w14:paraId="35562312">
            <w:pPr>
              <w:rPr>
                <w:rFonts w:ascii="Arial"/>
                <w:sz w:val="21"/>
              </w:rPr>
            </w:pPr>
          </w:p>
        </w:tc>
        <w:tc>
          <w:tcPr>
            <w:tcW w:w="230" w:type="dxa"/>
            <w:vAlign w:val="top"/>
          </w:tcPr>
          <w:p w14:paraId="6C6FDFB1">
            <w:pPr>
              <w:rPr>
                <w:rFonts w:ascii="Arial"/>
                <w:sz w:val="21"/>
              </w:rPr>
            </w:pPr>
          </w:p>
        </w:tc>
        <w:tc>
          <w:tcPr>
            <w:tcW w:w="219" w:type="dxa"/>
            <w:vAlign w:val="top"/>
          </w:tcPr>
          <w:p w14:paraId="09776C37">
            <w:pPr>
              <w:pStyle w:val="6"/>
              <w:spacing w:before="130" w:line="238" w:lineRule="auto"/>
              <w:ind w:left="17"/>
              <w:rPr>
                <w:sz w:val="13"/>
                <w:szCs w:val="13"/>
              </w:rPr>
            </w:pPr>
            <w:r>
              <w:rPr>
                <w:sz w:val="13"/>
                <w:szCs w:val="13"/>
              </w:rPr>
              <w:t>√</w:t>
            </w:r>
          </w:p>
        </w:tc>
        <w:tc>
          <w:tcPr>
            <w:tcW w:w="244" w:type="dxa"/>
            <w:vAlign w:val="top"/>
          </w:tcPr>
          <w:p w14:paraId="13897F20">
            <w:pPr>
              <w:rPr>
                <w:rFonts w:ascii="Arial"/>
                <w:sz w:val="21"/>
              </w:rPr>
            </w:pPr>
          </w:p>
        </w:tc>
      </w:tr>
      <w:tr w14:paraId="25B65C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9" w:hRule="atLeast"/>
        </w:trPr>
        <w:tc>
          <w:tcPr>
            <w:tcW w:w="893" w:type="dxa"/>
            <w:vMerge w:val="continue"/>
            <w:tcBorders>
              <w:top w:val="nil"/>
            </w:tcBorders>
            <w:vAlign w:val="top"/>
          </w:tcPr>
          <w:p w14:paraId="7AB7FA68">
            <w:pPr>
              <w:rPr>
                <w:rFonts w:ascii="Arial"/>
                <w:sz w:val="21"/>
              </w:rPr>
            </w:pPr>
          </w:p>
        </w:tc>
        <w:tc>
          <w:tcPr>
            <w:tcW w:w="2314" w:type="dxa"/>
            <w:vMerge w:val="continue"/>
            <w:tcBorders>
              <w:top w:val="nil"/>
            </w:tcBorders>
            <w:vAlign w:val="top"/>
          </w:tcPr>
          <w:p w14:paraId="3B344B98">
            <w:pPr>
              <w:rPr>
                <w:rFonts w:ascii="Arial"/>
                <w:sz w:val="21"/>
              </w:rPr>
            </w:pPr>
          </w:p>
        </w:tc>
        <w:tc>
          <w:tcPr>
            <w:tcW w:w="230" w:type="dxa"/>
            <w:vAlign w:val="top"/>
          </w:tcPr>
          <w:p w14:paraId="47D11AFE">
            <w:pPr>
              <w:rPr>
                <w:rFonts w:ascii="Arial"/>
                <w:sz w:val="21"/>
              </w:rPr>
            </w:pPr>
          </w:p>
        </w:tc>
        <w:tc>
          <w:tcPr>
            <w:tcW w:w="230" w:type="dxa"/>
            <w:vAlign w:val="top"/>
          </w:tcPr>
          <w:p w14:paraId="564906E2">
            <w:pPr>
              <w:rPr>
                <w:rFonts w:ascii="Arial"/>
                <w:sz w:val="21"/>
              </w:rPr>
            </w:pPr>
          </w:p>
        </w:tc>
        <w:tc>
          <w:tcPr>
            <w:tcW w:w="219" w:type="dxa"/>
            <w:vAlign w:val="top"/>
          </w:tcPr>
          <w:p w14:paraId="37148252">
            <w:pPr>
              <w:pStyle w:val="6"/>
              <w:spacing w:before="121" w:line="238" w:lineRule="auto"/>
              <w:ind w:left="17"/>
              <w:rPr>
                <w:sz w:val="13"/>
                <w:szCs w:val="13"/>
              </w:rPr>
            </w:pPr>
            <w:r>
              <w:rPr>
                <w:sz w:val="13"/>
                <w:szCs w:val="13"/>
              </w:rPr>
              <w:t>√</w:t>
            </w:r>
          </w:p>
        </w:tc>
        <w:tc>
          <w:tcPr>
            <w:tcW w:w="244" w:type="dxa"/>
            <w:vAlign w:val="top"/>
          </w:tcPr>
          <w:p w14:paraId="733A91F6">
            <w:pPr>
              <w:rPr>
                <w:rFonts w:ascii="Arial"/>
                <w:sz w:val="21"/>
              </w:rPr>
            </w:pPr>
          </w:p>
        </w:tc>
      </w:tr>
      <w:tr w14:paraId="5E7B60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9" w:hRule="atLeast"/>
        </w:trPr>
        <w:tc>
          <w:tcPr>
            <w:tcW w:w="893" w:type="dxa"/>
            <w:vMerge w:val="restart"/>
            <w:tcBorders>
              <w:bottom w:val="nil"/>
            </w:tcBorders>
            <w:vAlign w:val="top"/>
          </w:tcPr>
          <w:p w14:paraId="12E99D64">
            <w:pPr>
              <w:pStyle w:val="6"/>
              <w:spacing w:before="272" w:line="228" w:lineRule="auto"/>
              <w:ind w:left="264" w:right="174" w:hanging="80"/>
            </w:pPr>
            <w:r>
              <w:rPr>
                <w:spacing w:val="4"/>
              </w:rPr>
              <w:t>组织的</w:t>
            </w:r>
            <w:r>
              <w:t xml:space="preserve"> </w:t>
            </w:r>
            <w:r>
              <w:rPr>
                <w:spacing w:val="-2"/>
              </w:rPr>
              <w:t>修复</w:t>
            </w:r>
          </w:p>
        </w:tc>
        <w:tc>
          <w:tcPr>
            <w:tcW w:w="2314" w:type="dxa"/>
            <w:vMerge w:val="restart"/>
            <w:tcBorders>
              <w:bottom w:val="nil"/>
            </w:tcBorders>
            <w:vAlign w:val="top"/>
          </w:tcPr>
          <w:p w14:paraId="036AC52C">
            <w:pPr>
              <w:pStyle w:val="6"/>
              <w:spacing w:before="61" w:line="216" w:lineRule="auto"/>
              <w:ind w:left="11"/>
            </w:pPr>
            <w:r>
              <w:rPr>
                <w:spacing w:val="2"/>
              </w:rPr>
              <w:t>1.再生</w:t>
            </w:r>
          </w:p>
          <w:p w14:paraId="2E30FB8E">
            <w:pPr>
              <w:pStyle w:val="6"/>
              <w:spacing w:before="1" w:line="238" w:lineRule="auto"/>
              <w:ind w:left="11" w:right="1280"/>
            </w:pPr>
            <w:r>
              <w:rPr>
                <w:spacing w:val="-2"/>
              </w:rPr>
              <w:t>2.纤维性修复</w:t>
            </w:r>
            <w:r>
              <w:rPr>
                <w:spacing w:val="4"/>
              </w:rPr>
              <w:t xml:space="preserve"> </w:t>
            </w:r>
            <w:r>
              <w:rPr>
                <w:spacing w:val="-2"/>
              </w:rPr>
              <w:t>3.创伤愈合</w:t>
            </w:r>
          </w:p>
          <w:p w14:paraId="0B81298B">
            <w:pPr>
              <w:pStyle w:val="6"/>
              <w:spacing w:line="202" w:lineRule="auto"/>
              <w:ind w:left="11"/>
            </w:pPr>
            <w:r>
              <w:rPr>
                <w:spacing w:val="-1"/>
              </w:rPr>
              <w:t>4.骨折愈合</w:t>
            </w:r>
          </w:p>
        </w:tc>
        <w:tc>
          <w:tcPr>
            <w:tcW w:w="230" w:type="dxa"/>
            <w:vAlign w:val="top"/>
          </w:tcPr>
          <w:p w14:paraId="441D18A1">
            <w:pPr>
              <w:pStyle w:val="6"/>
              <w:spacing w:before="62" w:line="208" w:lineRule="auto"/>
              <w:ind w:left="47"/>
              <w:rPr>
                <w:sz w:val="13"/>
                <w:szCs w:val="13"/>
              </w:rPr>
            </w:pPr>
            <w:r>
              <w:rPr>
                <w:sz w:val="13"/>
                <w:szCs w:val="13"/>
              </w:rPr>
              <w:t>√</w:t>
            </w:r>
          </w:p>
        </w:tc>
        <w:tc>
          <w:tcPr>
            <w:tcW w:w="230" w:type="dxa"/>
            <w:vAlign w:val="top"/>
          </w:tcPr>
          <w:p w14:paraId="3AF68833">
            <w:pPr>
              <w:spacing w:line="209" w:lineRule="exact"/>
              <w:rPr>
                <w:rFonts w:ascii="Arial"/>
                <w:sz w:val="18"/>
              </w:rPr>
            </w:pPr>
          </w:p>
        </w:tc>
        <w:tc>
          <w:tcPr>
            <w:tcW w:w="219" w:type="dxa"/>
            <w:vAlign w:val="top"/>
          </w:tcPr>
          <w:p w14:paraId="45B7593B">
            <w:pPr>
              <w:spacing w:line="209" w:lineRule="exact"/>
              <w:rPr>
                <w:rFonts w:ascii="Arial"/>
                <w:sz w:val="18"/>
              </w:rPr>
            </w:pPr>
          </w:p>
        </w:tc>
        <w:tc>
          <w:tcPr>
            <w:tcW w:w="244" w:type="dxa"/>
            <w:vAlign w:val="top"/>
          </w:tcPr>
          <w:p w14:paraId="4D26AF11">
            <w:pPr>
              <w:spacing w:line="209" w:lineRule="exact"/>
              <w:rPr>
                <w:rFonts w:ascii="Arial"/>
                <w:sz w:val="18"/>
              </w:rPr>
            </w:pPr>
          </w:p>
        </w:tc>
      </w:tr>
      <w:tr w14:paraId="53A89B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9" w:hRule="atLeast"/>
        </w:trPr>
        <w:tc>
          <w:tcPr>
            <w:tcW w:w="893" w:type="dxa"/>
            <w:vMerge w:val="continue"/>
            <w:tcBorders>
              <w:top w:val="nil"/>
              <w:bottom w:val="nil"/>
            </w:tcBorders>
            <w:vAlign w:val="top"/>
          </w:tcPr>
          <w:p w14:paraId="51B52731">
            <w:pPr>
              <w:rPr>
                <w:rFonts w:ascii="Arial"/>
                <w:sz w:val="21"/>
              </w:rPr>
            </w:pPr>
          </w:p>
        </w:tc>
        <w:tc>
          <w:tcPr>
            <w:tcW w:w="2314" w:type="dxa"/>
            <w:vMerge w:val="continue"/>
            <w:tcBorders>
              <w:top w:val="nil"/>
              <w:bottom w:val="nil"/>
            </w:tcBorders>
            <w:vAlign w:val="top"/>
          </w:tcPr>
          <w:p w14:paraId="4A43BA9B">
            <w:pPr>
              <w:rPr>
                <w:rFonts w:ascii="Arial"/>
                <w:sz w:val="21"/>
              </w:rPr>
            </w:pPr>
          </w:p>
        </w:tc>
        <w:tc>
          <w:tcPr>
            <w:tcW w:w="230" w:type="dxa"/>
            <w:vAlign w:val="top"/>
          </w:tcPr>
          <w:p w14:paraId="4F418BEA">
            <w:pPr>
              <w:pStyle w:val="6"/>
              <w:spacing w:before="63" w:line="207" w:lineRule="auto"/>
              <w:ind w:left="17"/>
              <w:rPr>
                <w:sz w:val="13"/>
                <w:szCs w:val="13"/>
              </w:rPr>
            </w:pPr>
            <w:r>
              <w:rPr>
                <w:sz w:val="13"/>
                <w:szCs w:val="13"/>
              </w:rPr>
              <w:t>√</w:t>
            </w:r>
          </w:p>
        </w:tc>
        <w:tc>
          <w:tcPr>
            <w:tcW w:w="230" w:type="dxa"/>
            <w:vAlign w:val="top"/>
          </w:tcPr>
          <w:p w14:paraId="32517510">
            <w:pPr>
              <w:spacing w:line="209" w:lineRule="exact"/>
              <w:rPr>
                <w:rFonts w:ascii="Arial"/>
                <w:sz w:val="18"/>
              </w:rPr>
            </w:pPr>
          </w:p>
        </w:tc>
        <w:tc>
          <w:tcPr>
            <w:tcW w:w="219" w:type="dxa"/>
            <w:vAlign w:val="top"/>
          </w:tcPr>
          <w:p w14:paraId="5A491580">
            <w:pPr>
              <w:spacing w:line="209" w:lineRule="exact"/>
              <w:rPr>
                <w:rFonts w:ascii="Arial"/>
                <w:sz w:val="18"/>
              </w:rPr>
            </w:pPr>
          </w:p>
        </w:tc>
        <w:tc>
          <w:tcPr>
            <w:tcW w:w="244" w:type="dxa"/>
            <w:vAlign w:val="top"/>
          </w:tcPr>
          <w:p w14:paraId="2CAFE0BC">
            <w:pPr>
              <w:spacing w:line="209" w:lineRule="exact"/>
              <w:rPr>
                <w:rFonts w:ascii="Arial"/>
                <w:sz w:val="18"/>
              </w:rPr>
            </w:pPr>
          </w:p>
        </w:tc>
      </w:tr>
      <w:tr w14:paraId="7F3599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0" w:hRule="atLeast"/>
        </w:trPr>
        <w:tc>
          <w:tcPr>
            <w:tcW w:w="893" w:type="dxa"/>
            <w:vMerge w:val="continue"/>
            <w:tcBorders>
              <w:top w:val="nil"/>
              <w:bottom w:val="nil"/>
            </w:tcBorders>
            <w:vAlign w:val="top"/>
          </w:tcPr>
          <w:p w14:paraId="52F95FFA">
            <w:pPr>
              <w:rPr>
                <w:rFonts w:ascii="Arial"/>
                <w:sz w:val="21"/>
              </w:rPr>
            </w:pPr>
          </w:p>
        </w:tc>
        <w:tc>
          <w:tcPr>
            <w:tcW w:w="2314" w:type="dxa"/>
            <w:vMerge w:val="continue"/>
            <w:tcBorders>
              <w:top w:val="nil"/>
              <w:bottom w:val="nil"/>
            </w:tcBorders>
            <w:vAlign w:val="top"/>
          </w:tcPr>
          <w:p w14:paraId="00D74AB0">
            <w:pPr>
              <w:rPr>
                <w:rFonts w:ascii="Arial"/>
                <w:sz w:val="21"/>
              </w:rPr>
            </w:pPr>
          </w:p>
        </w:tc>
        <w:tc>
          <w:tcPr>
            <w:tcW w:w="230" w:type="dxa"/>
            <w:vAlign w:val="top"/>
          </w:tcPr>
          <w:p w14:paraId="0B6EFB9E">
            <w:pPr>
              <w:spacing w:line="200" w:lineRule="exact"/>
              <w:rPr>
                <w:rFonts w:ascii="Arial"/>
                <w:sz w:val="17"/>
              </w:rPr>
            </w:pPr>
          </w:p>
        </w:tc>
        <w:tc>
          <w:tcPr>
            <w:tcW w:w="230" w:type="dxa"/>
            <w:vAlign w:val="top"/>
          </w:tcPr>
          <w:p w14:paraId="0E487EED">
            <w:pPr>
              <w:spacing w:line="200" w:lineRule="exact"/>
              <w:rPr>
                <w:rFonts w:ascii="Arial"/>
                <w:sz w:val="17"/>
              </w:rPr>
            </w:pPr>
          </w:p>
        </w:tc>
        <w:tc>
          <w:tcPr>
            <w:tcW w:w="219" w:type="dxa"/>
            <w:vAlign w:val="top"/>
          </w:tcPr>
          <w:p w14:paraId="24096890">
            <w:pPr>
              <w:spacing w:line="200" w:lineRule="exact"/>
              <w:rPr>
                <w:rFonts w:ascii="Arial"/>
                <w:sz w:val="17"/>
              </w:rPr>
            </w:pPr>
          </w:p>
        </w:tc>
        <w:tc>
          <w:tcPr>
            <w:tcW w:w="244" w:type="dxa"/>
            <w:vAlign w:val="top"/>
          </w:tcPr>
          <w:p w14:paraId="3F1FA79E">
            <w:pPr>
              <w:pStyle w:val="6"/>
              <w:spacing w:before="62" w:line="211" w:lineRule="auto"/>
              <w:ind w:left="58"/>
              <w:rPr>
                <w:sz w:val="12"/>
                <w:szCs w:val="12"/>
              </w:rPr>
            </w:pPr>
            <w:r>
              <w:rPr>
                <w:sz w:val="12"/>
                <w:szCs w:val="12"/>
              </w:rPr>
              <w:t>√</w:t>
            </w:r>
          </w:p>
        </w:tc>
      </w:tr>
      <w:tr w14:paraId="00AC20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9" w:hRule="atLeast"/>
        </w:trPr>
        <w:tc>
          <w:tcPr>
            <w:tcW w:w="893" w:type="dxa"/>
            <w:vMerge w:val="continue"/>
            <w:tcBorders>
              <w:top w:val="nil"/>
            </w:tcBorders>
            <w:vAlign w:val="top"/>
          </w:tcPr>
          <w:p w14:paraId="2DC33317">
            <w:pPr>
              <w:rPr>
                <w:rFonts w:ascii="Arial"/>
                <w:sz w:val="21"/>
              </w:rPr>
            </w:pPr>
          </w:p>
        </w:tc>
        <w:tc>
          <w:tcPr>
            <w:tcW w:w="2314" w:type="dxa"/>
            <w:vMerge w:val="continue"/>
            <w:tcBorders>
              <w:top w:val="nil"/>
            </w:tcBorders>
            <w:vAlign w:val="top"/>
          </w:tcPr>
          <w:p w14:paraId="699D9041">
            <w:pPr>
              <w:rPr>
                <w:rFonts w:ascii="Arial"/>
                <w:sz w:val="21"/>
              </w:rPr>
            </w:pPr>
          </w:p>
        </w:tc>
        <w:tc>
          <w:tcPr>
            <w:tcW w:w="230" w:type="dxa"/>
            <w:vAlign w:val="top"/>
          </w:tcPr>
          <w:p w14:paraId="2E1A2CEE">
            <w:pPr>
              <w:pStyle w:val="6"/>
              <w:spacing w:before="63" w:line="206" w:lineRule="auto"/>
              <w:ind w:left="47"/>
              <w:rPr>
                <w:sz w:val="13"/>
                <w:szCs w:val="13"/>
              </w:rPr>
            </w:pPr>
            <w:r>
              <w:rPr>
                <w:sz w:val="13"/>
                <w:szCs w:val="13"/>
              </w:rPr>
              <w:t>√</w:t>
            </w:r>
          </w:p>
        </w:tc>
        <w:tc>
          <w:tcPr>
            <w:tcW w:w="230" w:type="dxa"/>
            <w:vAlign w:val="top"/>
          </w:tcPr>
          <w:p w14:paraId="78AE2BCC">
            <w:pPr>
              <w:spacing w:line="209" w:lineRule="exact"/>
              <w:rPr>
                <w:rFonts w:ascii="Arial"/>
                <w:sz w:val="18"/>
              </w:rPr>
            </w:pPr>
          </w:p>
        </w:tc>
        <w:tc>
          <w:tcPr>
            <w:tcW w:w="219" w:type="dxa"/>
            <w:vAlign w:val="top"/>
          </w:tcPr>
          <w:p w14:paraId="2AABBC62">
            <w:pPr>
              <w:spacing w:line="209" w:lineRule="exact"/>
              <w:rPr>
                <w:rFonts w:ascii="Arial"/>
                <w:sz w:val="18"/>
              </w:rPr>
            </w:pPr>
          </w:p>
        </w:tc>
        <w:tc>
          <w:tcPr>
            <w:tcW w:w="244" w:type="dxa"/>
            <w:vAlign w:val="top"/>
          </w:tcPr>
          <w:p w14:paraId="2D7F013A">
            <w:pPr>
              <w:spacing w:line="209" w:lineRule="exact"/>
              <w:rPr>
                <w:rFonts w:ascii="Arial"/>
                <w:sz w:val="18"/>
              </w:rPr>
            </w:pPr>
          </w:p>
        </w:tc>
      </w:tr>
      <w:tr w14:paraId="6888CC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9" w:hRule="atLeast"/>
        </w:trPr>
        <w:tc>
          <w:tcPr>
            <w:tcW w:w="893" w:type="dxa"/>
            <w:vMerge w:val="restart"/>
            <w:tcBorders>
              <w:bottom w:val="nil"/>
            </w:tcBorders>
            <w:vAlign w:val="top"/>
          </w:tcPr>
          <w:p w14:paraId="4D225F48">
            <w:pPr>
              <w:spacing w:line="299" w:lineRule="auto"/>
              <w:rPr>
                <w:rFonts w:ascii="Arial"/>
                <w:sz w:val="21"/>
              </w:rPr>
            </w:pPr>
          </w:p>
          <w:p w14:paraId="0DE21A70">
            <w:pPr>
              <w:pStyle w:val="6"/>
              <w:spacing w:before="55" w:line="219" w:lineRule="auto"/>
              <w:ind w:left="264" w:right="174" w:hanging="80"/>
            </w:pPr>
            <w:r>
              <w:rPr>
                <w:spacing w:val="4"/>
              </w:rPr>
              <w:t>组织的</w:t>
            </w:r>
            <w:r>
              <w:t xml:space="preserve"> </w:t>
            </w:r>
            <w:r>
              <w:rPr>
                <w:spacing w:val="-2"/>
              </w:rPr>
              <w:t>适应</w:t>
            </w:r>
          </w:p>
        </w:tc>
        <w:tc>
          <w:tcPr>
            <w:tcW w:w="2314" w:type="dxa"/>
            <w:vMerge w:val="restart"/>
            <w:tcBorders>
              <w:bottom w:val="nil"/>
            </w:tcBorders>
            <w:vAlign w:val="top"/>
          </w:tcPr>
          <w:p w14:paraId="0B5B4A1A">
            <w:pPr>
              <w:pStyle w:val="6"/>
              <w:spacing w:before="113" w:line="239" w:lineRule="auto"/>
              <w:ind w:left="11" w:right="246"/>
            </w:pPr>
            <w:r>
              <w:t>1.萎缩的概念、分类、病理</w:t>
            </w:r>
            <w:r>
              <w:rPr>
                <w:spacing w:val="4"/>
              </w:rPr>
              <w:t xml:space="preserve"> </w:t>
            </w:r>
            <w:r>
              <w:rPr>
                <w:spacing w:val="-2"/>
              </w:rPr>
              <w:t>变化</w:t>
            </w:r>
          </w:p>
          <w:p w14:paraId="29E27131">
            <w:pPr>
              <w:pStyle w:val="6"/>
              <w:spacing w:before="19" w:line="224" w:lineRule="auto"/>
              <w:ind w:left="11" w:right="260"/>
            </w:pPr>
            <w:r>
              <w:rPr>
                <w:spacing w:val="-1"/>
              </w:rPr>
              <w:t>2.肥大和增生的概念及分类</w:t>
            </w:r>
            <w:r>
              <w:rPr>
                <w:spacing w:val="3"/>
              </w:rPr>
              <w:t xml:space="preserve"> </w:t>
            </w:r>
            <w:r>
              <w:rPr>
                <w:spacing w:val="-2"/>
              </w:rPr>
              <w:t>3.化生的概念及分类</w:t>
            </w:r>
          </w:p>
        </w:tc>
        <w:tc>
          <w:tcPr>
            <w:tcW w:w="230" w:type="dxa"/>
            <w:vAlign w:val="top"/>
          </w:tcPr>
          <w:p w14:paraId="3E32B693">
            <w:pPr>
              <w:rPr>
                <w:rFonts w:ascii="Arial"/>
                <w:sz w:val="21"/>
              </w:rPr>
            </w:pPr>
          </w:p>
        </w:tc>
        <w:tc>
          <w:tcPr>
            <w:tcW w:w="230" w:type="dxa"/>
            <w:vAlign w:val="top"/>
          </w:tcPr>
          <w:p w14:paraId="3CC277EB">
            <w:pPr>
              <w:pStyle w:val="6"/>
              <w:spacing w:before="175" w:line="238" w:lineRule="auto"/>
              <w:ind w:left="47"/>
              <w:rPr>
                <w:sz w:val="13"/>
                <w:szCs w:val="13"/>
              </w:rPr>
            </w:pPr>
            <w:r>
              <w:rPr>
                <w:sz w:val="13"/>
                <w:szCs w:val="13"/>
              </w:rPr>
              <w:t>√</w:t>
            </w:r>
          </w:p>
        </w:tc>
        <w:tc>
          <w:tcPr>
            <w:tcW w:w="219" w:type="dxa"/>
            <w:vAlign w:val="top"/>
          </w:tcPr>
          <w:p w14:paraId="69D621E3">
            <w:pPr>
              <w:rPr>
                <w:rFonts w:ascii="Arial"/>
                <w:sz w:val="21"/>
              </w:rPr>
            </w:pPr>
          </w:p>
        </w:tc>
        <w:tc>
          <w:tcPr>
            <w:tcW w:w="244" w:type="dxa"/>
            <w:vAlign w:val="top"/>
          </w:tcPr>
          <w:p w14:paraId="43691C65">
            <w:pPr>
              <w:rPr>
                <w:rFonts w:ascii="Arial"/>
                <w:sz w:val="21"/>
              </w:rPr>
            </w:pPr>
          </w:p>
        </w:tc>
      </w:tr>
      <w:tr w14:paraId="5777B5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9" w:hRule="atLeast"/>
        </w:trPr>
        <w:tc>
          <w:tcPr>
            <w:tcW w:w="893" w:type="dxa"/>
            <w:vMerge w:val="continue"/>
            <w:tcBorders>
              <w:top w:val="nil"/>
              <w:bottom w:val="nil"/>
            </w:tcBorders>
            <w:vAlign w:val="top"/>
          </w:tcPr>
          <w:p w14:paraId="503CE1E7">
            <w:pPr>
              <w:rPr>
                <w:rFonts w:ascii="Arial"/>
                <w:sz w:val="21"/>
              </w:rPr>
            </w:pPr>
          </w:p>
        </w:tc>
        <w:tc>
          <w:tcPr>
            <w:tcW w:w="2314" w:type="dxa"/>
            <w:vMerge w:val="continue"/>
            <w:tcBorders>
              <w:top w:val="nil"/>
              <w:bottom w:val="nil"/>
            </w:tcBorders>
            <w:vAlign w:val="top"/>
          </w:tcPr>
          <w:p w14:paraId="57339AE9">
            <w:pPr>
              <w:rPr>
                <w:rFonts w:ascii="Arial"/>
                <w:sz w:val="21"/>
              </w:rPr>
            </w:pPr>
          </w:p>
        </w:tc>
        <w:tc>
          <w:tcPr>
            <w:tcW w:w="230" w:type="dxa"/>
            <w:vAlign w:val="top"/>
          </w:tcPr>
          <w:p w14:paraId="52A9D697">
            <w:pPr>
              <w:rPr>
                <w:rFonts w:ascii="Arial"/>
                <w:sz w:val="21"/>
              </w:rPr>
            </w:pPr>
          </w:p>
        </w:tc>
        <w:tc>
          <w:tcPr>
            <w:tcW w:w="230" w:type="dxa"/>
            <w:vAlign w:val="top"/>
          </w:tcPr>
          <w:p w14:paraId="6F23BB1D">
            <w:pPr>
              <w:pStyle w:val="6"/>
              <w:spacing w:before="96" w:line="238" w:lineRule="auto"/>
              <w:ind w:left="47"/>
              <w:rPr>
                <w:sz w:val="13"/>
                <w:szCs w:val="13"/>
              </w:rPr>
            </w:pPr>
            <w:r>
              <w:rPr>
                <w:sz w:val="13"/>
                <w:szCs w:val="13"/>
              </w:rPr>
              <w:t>√</w:t>
            </w:r>
          </w:p>
        </w:tc>
        <w:tc>
          <w:tcPr>
            <w:tcW w:w="219" w:type="dxa"/>
            <w:vAlign w:val="top"/>
          </w:tcPr>
          <w:p w14:paraId="1C1F22D1">
            <w:pPr>
              <w:rPr>
                <w:rFonts w:ascii="Arial"/>
                <w:sz w:val="21"/>
              </w:rPr>
            </w:pPr>
          </w:p>
        </w:tc>
        <w:tc>
          <w:tcPr>
            <w:tcW w:w="244" w:type="dxa"/>
            <w:vAlign w:val="top"/>
          </w:tcPr>
          <w:p w14:paraId="35C08558">
            <w:pPr>
              <w:rPr>
                <w:rFonts w:ascii="Arial"/>
                <w:sz w:val="21"/>
              </w:rPr>
            </w:pPr>
          </w:p>
        </w:tc>
      </w:tr>
      <w:tr w14:paraId="6E049D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4" w:hRule="atLeast"/>
        </w:trPr>
        <w:tc>
          <w:tcPr>
            <w:tcW w:w="893" w:type="dxa"/>
            <w:vMerge w:val="continue"/>
            <w:tcBorders>
              <w:top w:val="nil"/>
            </w:tcBorders>
            <w:vAlign w:val="top"/>
          </w:tcPr>
          <w:p w14:paraId="2E0DBB82">
            <w:pPr>
              <w:rPr>
                <w:rFonts w:ascii="Arial"/>
                <w:sz w:val="21"/>
              </w:rPr>
            </w:pPr>
          </w:p>
        </w:tc>
        <w:tc>
          <w:tcPr>
            <w:tcW w:w="2314" w:type="dxa"/>
            <w:vMerge w:val="continue"/>
            <w:tcBorders>
              <w:top w:val="nil"/>
            </w:tcBorders>
            <w:vAlign w:val="top"/>
          </w:tcPr>
          <w:p w14:paraId="485C3F18">
            <w:pPr>
              <w:rPr>
                <w:rFonts w:ascii="Arial"/>
                <w:sz w:val="21"/>
              </w:rPr>
            </w:pPr>
          </w:p>
        </w:tc>
        <w:tc>
          <w:tcPr>
            <w:tcW w:w="230" w:type="dxa"/>
            <w:vAlign w:val="top"/>
          </w:tcPr>
          <w:p w14:paraId="37DFB71B">
            <w:pPr>
              <w:rPr>
                <w:rFonts w:ascii="Arial"/>
                <w:sz w:val="21"/>
              </w:rPr>
            </w:pPr>
          </w:p>
        </w:tc>
        <w:tc>
          <w:tcPr>
            <w:tcW w:w="230" w:type="dxa"/>
            <w:vAlign w:val="top"/>
          </w:tcPr>
          <w:p w14:paraId="2C5D4DC4">
            <w:pPr>
              <w:rPr>
                <w:rFonts w:ascii="Arial"/>
                <w:sz w:val="21"/>
              </w:rPr>
            </w:pPr>
          </w:p>
        </w:tc>
        <w:tc>
          <w:tcPr>
            <w:tcW w:w="219" w:type="dxa"/>
            <w:vAlign w:val="top"/>
          </w:tcPr>
          <w:p w14:paraId="421C0556">
            <w:pPr>
              <w:pStyle w:val="6"/>
              <w:spacing w:before="97" w:line="238" w:lineRule="auto"/>
              <w:ind w:left="17"/>
              <w:rPr>
                <w:sz w:val="13"/>
                <w:szCs w:val="13"/>
              </w:rPr>
            </w:pPr>
            <w:r>
              <w:rPr>
                <w:sz w:val="13"/>
                <w:szCs w:val="13"/>
              </w:rPr>
              <w:t>√</w:t>
            </w:r>
          </w:p>
        </w:tc>
        <w:tc>
          <w:tcPr>
            <w:tcW w:w="244" w:type="dxa"/>
            <w:vAlign w:val="top"/>
          </w:tcPr>
          <w:p w14:paraId="0C7FFA10">
            <w:pPr>
              <w:rPr>
                <w:rFonts w:ascii="Arial"/>
                <w:sz w:val="21"/>
              </w:rPr>
            </w:pPr>
          </w:p>
        </w:tc>
      </w:tr>
    </w:tbl>
    <w:p w14:paraId="5FB4FDB5">
      <w:pPr>
        <w:spacing w:before="119" w:line="222" w:lineRule="auto"/>
        <w:ind w:left="962"/>
        <w:rPr>
          <w:rFonts w:ascii="黑体" w:hAnsi="黑体" w:eastAsia="黑体" w:cs="黑体"/>
          <w:sz w:val="20"/>
          <w:szCs w:val="20"/>
        </w:rPr>
      </w:pPr>
      <w:r>
        <w:rPr>
          <w:rFonts w:ascii="黑体" w:hAnsi="黑体" w:eastAsia="黑体" w:cs="黑体"/>
          <w:b/>
          <w:bCs/>
          <w:spacing w:val="-7"/>
          <w:sz w:val="20"/>
          <w:szCs w:val="20"/>
        </w:rPr>
        <w:t>第四章</w:t>
      </w:r>
      <w:r>
        <w:rPr>
          <w:rFonts w:ascii="黑体" w:hAnsi="黑体" w:eastAsia="黑体" w:cs="黑体"/>
          <w:spacing w:val="13"/>
          <w:sz w:val="20"/>
          <w:szCs w:val="20"/>
        </w:rPr>
        <w:t xml:space="preserve">  </w:t>
      </w:r>
      <w:r>
        <w:rPr>
          <w:rFonts w:ascii="黑体" w:hAnsi="黑体" w:eastAsia="黑体" w:cs="黑体"/>
          <w:b/>
          <w:bCs/>
          <w:spacing w:val="-7"/>
          <w:sz w:val="20"/>
          <w:szCs w:val="20"/>
        </w:rPr>
        <w:t>局部血液循环障碍</w:t>
      </w:r>
    </w:p>
    <w:p w14:paraId="3BDE19B8">
      <w:pPr>
        <w:spacing w:line="91" w:lineRule="exact"/>
      </w:pPr>
    </w:p>
    <w:tbl>
      <w:tblPr>
        <w:tblStyle w:val="5"/>
        <w:tblW w:w="4130"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14"/>
        <w:gridCol w:w="230"/>
        <w:gridCol w:w="230"/>
        <w:gridCol w:w="219"/>
        <w:gridCol w:w="244"/>
      </w:tblGrid>
      <w:tr w14:paraId="290CD0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893" w:type="dxa"/>
            <w:vMerge w:val="restart"/>
            <w:tcBorders>
              <w:top w:val="single" w:color="000000" w:sz="2" w:space="0"/>
              <w:bottom w:val="nil"/>
            </w:tcBorders>
            <w:vAlign w:val="top"/>
          </w:tcPr>
          <w:p w14:paraId="2CA579C6">
            <w:pPr>
              <w:pStyle w:val="6"/>
              <w:spacing w:before="165" w:line="226" w:lineRule="auto"/>
              <w:ind w:left="267" w:right="25" w:hanging="250"/>
            </w:pPr>
            <w:r>
              <w:rPr>
                <w:b/>
                <w:bCs/>
                <w:spacing w:val="-4"/>
              </w:rPr>
              <w:t>知识与技能</w:t>
            </w:r>
            <w:r>
              <w:t xml:space="preserve"> </w:t>
            </w:r>
            <w:r>
              <w:rPr>
                <w:b/>
                <w:bCs/>
                <w:spacing w:val="-4"/>
              </w:rPr>
              <w:t>要点</w:t>
            </w:r>
          </w:p>
        </w:tc>
        <w:tc>
          <w:tcPr>
            <w:tcW w:w="2314" w:type="dxa"/>
            <w:vMerge w:val="restart"/>
            <w:tcBorders>
              <w:top w:val="single" w:color="000000" w:sz="2" w:space="0"/>
              <w:bottom w:val="nil"/>
            </w:tcBorders>
            <w:vAlign w:val="top"/>
          </w:tcPr>
          <w:p w14:paraId="39CFFA0F">
            <w:pPr>
              <w:pStyle w:val="6"/>
              <w:spacing w:before="284" w:line="219" w:lineRule="auto"/>
              <w:ind w:left="834"/>
            </w:pPr>
            <w:r>
              <w:rPr>
                <w:b/>
                <w:bCs/>
                <w:spacing w:val="5"/>
              </w:rPr>
              <w:t>考试条目</w:t>
            </w:r>
          </w:p>
        </w:tc>
        <w:tc>
          <w:tcPr>
            <w:tcW w:w="923" w:type="dxa"/>
            <w:gridSpan w:val="4"/>
            <w:tcBorders>
              <w:top w:val="single" w:color="000000" w:sz="2" w:space="0"/>
              <w:bottom w:val="single" w:color="000000" w:sz="2" w:space="0"/>
            </w:tcBorders>
            <w:vAlign w:val="top"/>
          </w:tcPr>
          <w:p w14:paraId="39F75A57">
            <w:pPr>
              <w:pStyle w:val="6"/>
              <w:spacing w:before="104" w:line="219" w:lineRule="auto"/>
              <w:ind w:left="140"/>
            </w:pPr>
            <w:r>
              <w:rPr>
                <w:b/>
                <w:bCs/>
                <w:spacing w:val="-4"/>
              </w:rPr>
              <w:t>考试水平</w:t>
            </w:r>
          </w:p>
        </w:tc>
      </w:tr>
      <w:tr w14:paraId="234792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4" w:hRule="atLeast"/>
        </w:trPr>
        <w:tc>
          <w:tcPr>
            <w:tcW w:w="893" w:type="dxa"/>
            <w:vMerge w:val="continue"/>
            <w:tcBorders>
              <w:top w:val="nil"/>
              <w:bottom w:val="single" w:color="000000" w:sz="2" w:space="0"/>
            </w:tcBorders>
            <w:vAlign w:val="top"/>
          </w:tcPr>
          <w:p w14:paraId="613A6BA4">
            <w:pPr>
              <w:rPr>
                <w:rFonts w:ascii="Arial"/>
                <w:sz w:val="21"/>
              </w:rPr>
            </w:pPr>
          </w:p>
        </w:tc>
        <w:tc>
          <w:tcPr>
            <w:tcW w:w="2314" w:type="dxa"/>
            <w:vMerge w:val="continue"/>
            <w:tcBorders>
              <w:top w:val="nil"/>
              <w:bottom w:val="single" w:color="000000" w:sz="2" w:space="0"/>
            </w:tcBorders>
            <w:vAlign w:val="top"/>
          </w:tcPr>
          <w:p w14:paraId="4EB5D0B9">
            <w:pPr>
              <w:rPr>
                <w:rFonts w:ascii="Arial"/>
                <w:sz w:val="21"/>
              </w:rPr>
            </w:pPr>
          </w:p>
        </w:tc>
        <w:tc>
          <w:tcPr>
            <w:tcW w:w="230" w:type="dxa"/>
            <w:tcBorders>
              <w:top w:val="single" w:color="000000" w:sz="2" w:space="0"/>
              <w:bottom w:val="single" w:color="000000" w:sz="2" w:space="0"/>
            </w:tcBorders>
            <w:vAlign w:val="top"/>
          </w:tcPr>
          <w:p w14:paraId="2630E1AC">
            <w:pPr>
              <w:pStyle w:val="6"/>
              <w:spacing w:before="135" w:line="184" w:lineRule="auto"/>
              <w:ind w:left="70"/>
            </w:pPr>
            <w:r>
              <w:rPr>
                <w:b/>
                <w:bCs/>
                <w:spacing w:val="-2"/>
              </w:rPr>
              <w:t>A</w:t>
            </w:r>
          </w:p>
        </w:tc>
        <w:tc>
          <w:tcPr>
            <w:tcW w:w="230" w:type="dxa"/>
            <w:tcBorders>
              <w:top w:val="single" w:color="000000" w:sz="2" w:space="0"/>
              <w:bottom w:val="single" w:color="000000" w:sz="2" w:space="0"/>
            </w:tcBorders>
            <w:vAlign w:val="top"/>
          </w:tcPr>
          <w:p w14:paraId="60513AF9">
            <w:pPr>
              <w:pStyle w:val="6"/>
              <w:spacing w:before="137" w:line="182" w:lineRule="auto"/>
              <w:ind w:left="70"/>
            </w:pPr>
            <w:r>
              <w:rPr>
                <w:b/>
                <w:bCs/>
                <w:spacing w:val="-2"/>
              </w:rPr>
              <w:t>B</w:t>
            </w:r>
          </w:p>
        </w:tc>
        <w:tc>
          <w:tcPr>
            <w:tcW w:w="219" w:type="dxa"/>
            <w:tcBorders>
              <w:top w:val="single" w:color="000000" w:sz="2" w:space="0"/>
              <w:bottom w:val="single" w:color="000000" w:sz="2" w:space="0"/>
            </w:tcBorders>
            <w:vAlign w:val="top"/>
          </w:tcPr>
          <w:p w14:paraId="56CCC13A">
            <w:pPr>
              <w:pStyle w:val="6"/>
              <w:spacing w:before="135" w:line="183" w:lineRule="auto"/>
              <w:ind w:left="40"/>
            </w:pPr>
            <w:r>
              <w:rPr>
                <w:b/>
                <w:bCs/>
                <w:spacing w:val="-2"/>
              </w:rPr>
              <w:t>C</w:t>
            </w:r>
          </w:p>
        </w:tc>
        <w:tc>
          <w:tcPr>
            <w:tcW w:w="244" w:type="dxa"/>
            <w:tcBorders>
              <w:top w:val="single" w:color="000000" w:sz="2" w:space="0"/>
              <w:bottom w:val="single" w:color="000000" w:sz="2" w:space="0"/>
            </w:tcBorders>
            <w:vAlign w:val="top"/>
          </w:tcPr>
          <w:p w14:paraId="5EE5CFF2">
            <w:pPr>
              <w:pStyle w:val="6"/>
              <w:spacing w:before="137" w:line="182" w:lineRule="auto"/>
              <w:ind w:left="71"/>
            </w:pPr>
            <w:r>
              <w:rPr>
                <w:b/>
                <w:bCs/>
                <w:spacing w:val="-2"/>
              </w:rPr>
              <w:t>D</w:t>
            </w:r>
          </w:p>
        </w:tc>
      </w:tr>
      <w:tr w14:paraId="38282A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4" w:hRule="atLeast"/>
        </w:trPr>
        <w:tc>
          <w:tcPr>
            <w:tcW w:w="893" w:type="dxa"/>
            <w:vMerge w:val="restart"/>
            <w:tcBorders>
              <w:top w:val="single" w:color="000000" w:sz="2" w:space="0"/>
              <w:bottom w:val="nil"/>
            </w:tcBorders>
            <w:vAlign w:val="top"/>
          </w:tcPr>
          <w:p w14:paraId="4FD1394D">
            <w:pPr>
              <w:pStyle w:val="6"/>
              <w:spacing w:before="283" w:line="220" w:lineRule="auto"/>
              <w:ind w:left="265"/>
            </w:pPr>
            <w:r>
              <w:rPr>
                <w:spacing w:val="-3"/>
              </w:rPr>
              <w:t>充血</w:t>
            </w:r>
          </w:p>
        </w:tc>
        <w:tc>
          <w:tcPr>
            <w:tcW w:w="2314" w:type="dxa"/>
            <w:vMerge w:val="restart"/>
            <w:tcBorders>
              <w:top w:val="single" w:color="000000" w:sz="2" w:space="0"/>
              <w:bottom w:val="nil"/>
            </w:tcBorders>
            <w:vAlign w:val="top"/>
          </w:tcPr>
          <w:p w14:paraId="15D100E2">
            <w:pPr>
              <w:pStyle w:val="6"/>
              <w:spacing w:before="174"/>
              <w:ind w:left="11" w:right="1264"/>
            </w:pPr>
            <w:r>
              <w:rPr>
                <w:spacing w:val="1"/>
              </w:rPr>
              <w:t>1.动脉性充血</w:t>
            </w:r>
            <w:r>
              <w:t xml:space="preserve"> </w:t>
            </w:r>
            <w:r>
              <w:rPr>
                <w:spacing w:val="-2"/>
              </w:rPr>
              <w:t>2.淤血</w:t>
            </w:r>
          </w:p>
        </w:tc>
        <w:tc>
          <w:tcPr>
            <w:tcW w:w="230" w:type="dxa"/>
            <w:tcBorders>
              <w:top w:val="single" w:color="000000" w:sz="2" w:space="0"/>
              <w:bottom w:val="single" w:color="000000" w:sz="2" w:space="0"/>
            </w:tcBorders>
            <w:vAlign w:val="top"/>
          </w:tcPr>
          <w:p w14:paraId="5FA1E856">
            <w:pPr>
              <w:pStyle w:val="6"/>
              <w:spacing w:before="134" w:line="238" w:lineRule="auto"/>
              <w:ind w:left="17"/>
              <w:rPr>
                <w:sz w:val="13"/>
                <w:szCs w:val="13"/>
              </w:rPr>
            </w:pPr>
            <w:r>
              <w:rPr>
                <w:sz w:val="13"/>
                <w:szCs w:val="13"/>
              </w:rPr>
              <w:t>√</w:t>
            </w:r>
          </w:p>
        </w:tc>
        <w:tc>
          <w:tcPr>
            <w:tcW w:w="230" w:type="dxa"/>
            <w:tcBorders>
              <w:top w:val="single" w:color="000000" w:sz="2" w:space="0"/>
              <w:bottom w:val="single" w:color="000000" w:sz="2" w:space="0"/>
            </w:tcBorders>
            <w:vAlign w:val="top"/>
          </w:tcPr>
          <w:p w14:paraId="20C00910">
            <w:pPr>
              <w:rPr>
                <w:rFonts w:ascii="Arial"/>
                <w:sz w:val="21"/>
              </w:rPr>
            </w:pPr>
          </w:p>
        </w:tc>
        <w:tc>
          <w:tcPr>
            <w:tcW w:w="219" w:type="dxa"/>
            <w:tcBorders>
              <w:top w:val="single" w:color="000000" w:sz="2" w:space="0"/>
              <w:bottom w:val="single" w:color="000000" w:sz="2" w:space="0"/>
            </w:tcBorders>
            <w:vAlign w:val="top"/>
          </w:tcPr>
          <w:p w14:paraId="0AEB5716">
            <w:pPr>
              <w:rPr>
                <w:rFonts w:ascii="Arial"/>
                <w:sz w:val="21"/>
              </w:rPr>
            </w:pPr>
          </w:p>
        </w:tc>
        <w:tc>
          <w:tcPr>
            <w:tcW w:w="244" w:type="dxa"/>
            <w:tcBorders>
              <w:top w:val="single" w:color="000000" w:sz="2" w:space="0"/>
              <w:bottom w:val="single" w:color="000000" w:sz="2" w:space="0"/>
            </w:tcBorders>
            <w:vAlign w:val="top"/>
          </w:tcPr>
          <w:p w14:paraId="6DEA341C">
            <w:pPr>
              <w:rPr>
                <w:rFonts w:ascii="Arial"/>
                <w:sz w:val="21"/>
              </w:rPr>
            </w:pPr>
          </w:p>
        </w:tc>
      </w:tr>
      <w:tr w14:paraId="5A50A5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4" w:hRule="atLeast"/>
        </w:trPr>
        <w:tc>
          <w:tcPr>
            <w:tcW w:w="893" w:type="dxa"/>
            <w:vMerge w:val="continue"/>
            <w:tcBorders>
              <w:top w:val="nil"/>
              <w:bottom w:val="single" w:color="000000" w:sz="2" w:space="0"/>
            </w:tcBorders>
            <w:vAlign w:val="top"/>
          </w:tcPr>
          <w:p w14:paraId="462E36CB">
            <w:pPr>
              <w:rPr>
                <w:rFonts w:ascii="Arial"/>
                <w:sz w:val="21"/>
              </w:rPr>
            </w:pPr>
          </w:p>
        </w:tc>
        <w:tc>
          <w:tcPr>
            <w:tcW w:w="2314" w:type="dxa"/>
            <w:vMerge w:val="continue"/>
            <w:tcBorders>
              <w:top w:val="nil"/>
              <w:bottom w:val="single" w:color="000000" w:sz="2" w:space="0"/>
            </w:tcBorders>
            <w:vAlign w:val="top"/>
          </w:tcPr>
          <w:p w14:paraId="79EC3BCB">
            <w:pPr>
              <w:rPr>
                <w:rFonts w:ascii="Arial"/>
                <w:sz w:val="21"/>
              </w:rPr>
            </w:pPr>
          </w:p>
        </w:tc>
        <w:tc>
          <w:tcPr>
            <w:tcW w:w="230" w:type="dxa"/>
            <w:tcBorders>
              <w:top w:val="single" w:color="000000" w:sz="2" w:space="0"/>
              <w:bottom w:val="single" w:color="000000" w:sz="2" w:space="0"/>
            </w:tcBorders>
            <w:vAlign w:val="top"/>
          </w:tcPr>
          <w:p w14:paraId="23130BE8">
            <w:pPr>
              <w:rPr>
                <w:rFonts w:ascii="Arial"/>
                <w:sz w:val="21"/>
              </w:rPr>
            </w:pPr>
          </w:p>
        </w:tc>
        <w:tc>
          <w:tcPr>
            <w:tcW w:w="230" w:type="dxa"/>
            <w:tcBorders>
              <w:top w:val="single" w:color="000000" w:sz="2" w:space="0"/>
              <w:bottom w:val="single" w:color="000000" w:sz="2" w:space="0"/>
            </w:tcBorders>
            <w:vAlign w:val="top"/>
          </w:tcPr>
          <w:p w14:paraId="78F24723">
            <w:pPr>
              <w:pStyle w:val="6"/>
              <w:spacing w:before="135" w:line="238" w:lineRule="auto"/>
              <w:ind w:left="47"/>
              <w:rPr>
                <w:sz w:val="13"/>
                <w:szCs w:val="13"/>
              </w:rPr>
            </w:pPr>
            <w:r>
              <w:rPr>
                <w:sz w:val="13"/>
                <w:szCs w:val="13"/>
              </w:rPr>
              <w:t>√</w:t>
            </w:r>
          </w:p>
        </w:tc>
        <w:tc>
          <w:tcPr>
            <w:tcW w:w="219" w:type="dxa"/>
            <w:tcBorders>
              <w:top w:val="single" w:color="000000" w:sz="2" w:space="0"/>
              <w:bottom w:val="single" w:color="000000" w:sz="2" w:space="0"/>
            </w:tcBorders>
            <w:vAlign w:val="top"/>
          </w:tcPr>
          <w:p w14:paraId="12A96601">
            <w:pPr>
              <w:rPr>
                <w:rFonts w:ascii="Arial"/>
                <w:sz w:val="21"/>
              </w:rPr>
            </w:pPr>
          </w:p>
        </w:tc>
        <w:tc>
          <w:tcPr>
            <w:tcW w:w="244" w:type="dxa"/>
            <w:tcBorders>
              <w:top w:val="single" w:color="000000" w:sz="2" w:space="0"/>
              <w:bottom w:val="single" w:color="000000" w:sz="2" w:space="0"/>
            </w:tcBorders>
            <w:vAlign w:val="top"/>
          </w:tcPr>
          <w:p w14:paraId="433C3EF6">
            <w:pPr>
              <w:rPr>
                <w:rFonts w:ascii="Arial"/>
                <w:sz w:val="21"/>
              </w:rPr>
            </w:pPr>
          </w:p>
        </w:tc>
      </w:tr>
      <w:tr w14:paraId="44D658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893" w:type="dxa"/>
            <w:vMerge w:val="restart"/>
            <w:tcBorders>
              <w:top w:val="single" w:color="000000" w:sz="2" w:space="0"/>
              <w:bottom w:val="nil"/>
            </w:tcBorders>
            <w:vAlign w:val="top"/>
          </w:tcPr>
          <w:p w14:paraId="2A5AC2ED">
            <w:pPr>
              <w:spacing w:line="427" w:lineRule="auto"/>
              <w:rPr>
                <w:rFonts w:ascii="Arial"/>
                <w:sz w:val="21"/>
              </w:rPr>
            </w:pPr>
          </w:p>
          <w:p w14:paraId="07211634">
            <w:pPr>
              <w:pStyle w:val="6"/>
              <w:spacing w:before="55" w:line="220" w:lineRule="auto"/>
              <w:ind w:left="94"/>
            </w:pPr>
            <w:r>
              <w:rPr>
                <w:spacing w:val="-2"/>
              </w:rPr>
              <w:t>血栓形成</w:t>
            </w:r>
          </w:p>
        </w:tc>
        <w:tc>
          <w:tcPr>
            <w:tcW w:w="2314" w:type="dxa"/>
            <w:vMerge w:val="restart"/>
            <w:tcBorders>
              <w:top w:val="single" w:color="000000" w:sz="2" w:space="0"/>
              <w:bottom w:val="nil"/>
            </w:tcBorders>
            <w:vAlign w:val="top"/>
          </w:tcPr>
          <w:p w14:paraId="111BDE6F">
            <w:pPr>
              <w:pStyle w:val="6"/>
              <w:spacing w:before="165" w:line="232" w:lineRule="auto"/>
              <w:ind w:left="11" w:right="414"/>
              <w:jc w:val="both"/>
            </w:pPr>
            <w:r>
              <w:t>1.血栓形成的概念及条件</w:t>
            </w:r>
            <w:r>
              <w:rPr>
                <w:spacing w:val="6"/>
              </w:rPr>
              <w:t xml:space="preserve"> </w:t>
            </w:r>
            <w:r>
              <w:rPr>
                <w:spacing w:val="-1"/>
              </w:rPr>
              <w:t>2.血栓形成的过程及类型</w:t>
            </w:r>
            <w:r>
              <w:rPr>
                <w:spacing w:val="2"/>
              </w:rPr>
              <w:t xml:space="preserve"> 3.血栓的转归</w:t>
            </w:r>
          </w:p>
          <w:p w14:paraId="214ACBC1">
            <w:pPr>
              <w:pStyle w:val="6"/>
              <w:spacing w:before="7" w:line="219" w:lineRule="auto"/>
              <w:ind w:left="11"/>
            </w:pPr>
            <w:r>
              <w:rPr>
                <w:spacing w:val="-1"/>
              </w:rPr>
              <w:t>4.血栓对机体的影响</w:t>
            </w:r>
          </w:p>
        </w:tc>
        <w:tc>
          <w:tcPr>
            <w:tcW w:w="230" w:type="dxa"/>
            <w:tcBorders>
              <w:top w:val="single" w:color="000000" w:sz="2" w:space="0"/>
              <w:bottom w:val="single" w:color="000000" w:sz="2" w:space="0"/>
            </w:tcBorders>
            <w:vAlign w:val="top"/>
          </w:tcPr>
          <w:p w14:paraId="4F04FAAF">
            <w:pPr>
              <w:rPr>
                <w:rFonts w:ascii="Arial"/>
                <w:sz w:val="21"/>
              </w:rPr>
            </w:pPr>
          </w:p>
        </w:tc>
        <w:tc>
          <w:tcPr>
            <w:tcW w:w="230" w:type="dxa"/>
            <w:tcBorders>
              <w:top w:val="single" w:color="000000" w:sz="2" w:space="0"/>
              <w:bottom w:val="single" w:color="000000" w:sz="2" w:space="0"/>
            </w:tcBorders>
            <w:vAlign w:val="top"/>
          </w:tcPr>
          <w:p w14:paraId="67C6CE37">
            <w:pPr>
              <w:pStyle w:val="6"/>
              <w:spacing w:before="86" w:line="238" w:lineRule="auto"/>
              <w:ind w:left="47"/>
              <w:rPr>
                <w:sz w:val="13"/>
                <w:szCs w:val="13"/>
              </w:rPr>
            </w:pPr>
            <w:r>
              <w:rPr>
                <w:sz w:val="13"/>
                <w:szCs w:val="13"/>
              </w:rPr>
              <w:t>√</w:t>
            </w:r>
          </w:p>
        </w:tc>
        <w:tc>
          <w:tcPr>
            <w:tcW w:w="219" w:type="dxa"/>
            <w:tcBorders>
              <w:top w:val="single" w:color="000000" w:sz="2" w:space="0"/>
              <w:bottom w:val="single" w:color="000000" w:sz="2" w:space="0"/>
            </w:tcBorders>
            <w:vAlign w:val="top"/>
          </w:tcPr>
          <w:p w14:paraId="32723B7A">
            <w:pPr>
              <w:rPr>
                <w:rFonts w:ascii="Arial"/>
                <w:sz w:val="21"/>
              </w:rPr>
            </w:pPr>
          </w:p>
        </w:tc>
        <w:tc>
          <w:tcPr>
            <w:tcW w:w="244" w:type="dxa"/>
            <w:tcBorders>
              <w:top w:val="single" w:color="000000" w:sz="2" w:space="0"/>
              <w:bottom w:val="single" w:color="000000" w:sz="2" w:space="0"/>
            </w:tcBorders>
            <w:vAlign w:val="top"/>
          </w:tcPr>
          <w:p w14:paraId="2A1E957D">
            <w:pPr>
              <w:rPr>
                <w:rFonts w:ascii="Arial"/>
                <w:sz w:val="21"/>
              </w:rPr>
            </w:pPr>
          </w:p>
        </w:tc>
      </w:tr>
      <w:tr w14:paraId="0417B9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4" w:hRule="atLeast"/>
        </w:trPr>
        <w:tc>
          <w:tcPr>
            <w:tcW w:w="893" w:type="dxa"/>
            <w:vMerge w:val="continue"/>
            <w:tcBorders>
              <w:top w:val="nil"/>
              <w:bottom w:val="nil"/>
            </w:tcBorders>
            <w:vAlign w:val="top"/>
          </w:tcPr>
          <w:p w14:paraId="3A640F60">
            <w:pPr>
              <w:rPr>
                <w:rFonts w:ascii="Arial"/>
                <w:sz w:val="21"/>
              </w:rPr>
            </w:pPr>
          </w:p>
        </w:tc>
        <w:tc>
          <w:tcPr>
            <w:tcW w:w="2314" w:type="dxa"/>
            <w:vMerge w:val="continue"/>
            <w:tcBorders>
              <w:top w:val="nil"/>
              <w:bottom w:val="nil"/>
            </w:tcBorders>
            <w:vAlign w:val="top"/>
          </w:tcPr>
          <w:p w14:paraId="407C88BA">
            <w:pPr>
              <w:rPr>
                <w:rFonts w:ascii="Arial"/>
                <w:sz w:val="21"/>
              </w:rPr>
            </w:pPr>
          </w:p>
        </w:tc>
        <w:tc>
          <w:tcPr>
            <w:tcW w:w="230" w:type="dxa"/>
            <w:tcBorders>
              <w:top w:val="single" w:color="000000" w:sz="2" w:space="0"/>
              <w:bottom w:val="single" w:color="000000" w:sz="2" w:space="0"/>
            </w:tcBorders>
            <w:vAlign w:val="top"/>
          </w:tcPr>
          <w:p w14:paraId="09EDCA47">
            <w:pPr>
              <w:pStyle w:val="6"/>
              <w:spacing w:before="96" w:line="238" w:lineRule="auto"/>
              <w:ind w:left="47"/>
              <w:rPr>
                <w:sz w:val="13"/>
                <w:szCs w:val="13"/>
              </w:rPr>
            </w:pPr>
            <w:r>
              <w:rPr>
                <w:sz w:val="13"/>
                <w:szCs w:val="13"/>
              </w:rPr>
              <w:t>√</w:t>
            </w:r>
          </w:p>
        </w:tc>
        <w:tc>
          <w:tcPr>
            <w:tcW w:w="230" w:type="dxa"/>
            <w:tcBorders>
              <w:top w:val="single" w:color="000000" w:sz="2" w:space="0"/>
              <w:bottom w:val="single" w:color="000000" w:sz="2" w:space="0"/>
            </w:tcBorders>
            <w:vAlign w:val="top"/>
          </w:tcPr>
          <w:p w14:paraId="7D07997E">
            <w:pPr>
              <w:rPr>
                <w:rFonts w:ascii="Arial"/>
                <w:sz w:val="21"/>
              </w:rPr>
            </w:pPr>
          </w:p>
        </w:tc>
        <w:tc>
          <w:tcPr>
            <w:tcW w:w="219" w:type="dxa"/>
            <w:tcBorders>
              <w:top w:val="single" w:color="000000" w:sz="2" w:space="0"/>
              <w:bottom w:val="single" w:color="000000" w:sz="2" w:space="0"/>
            </w:tcBorders>
            <w:vAlign w:val="top"/>
          </w:tcPr>
          <w:p w14:paraId="3F86E38B">
            <w:pPr>
              <w:rPr>
                <w:rFonts w:ascii="Arial"/>
                <w:sz w:val="21"/>
              </w:rPr>
            </w:pPr>
          </w:p>
        </w:tc>
        <w:tc>
          <w:tcPr>
            <w:tcW w:w="244" w:type="dxa"/>
            <w:tcBorders>
              <w:top w:val="single" w:color="000000" w:sz="2" w:space="0"/>
              <w:bottom w:val="single" w:color="000000" w:sz="2" w:space="0"/>
            </w:tcBorders>
            <w:vAlign w:val="top"/>
          </w:tcPr>
          <w:p w14:paraId="5059A671">
            <w:pPr>
              <w:rPr>
                <w:rFonts w:ascii="Arial"/>
                <w:sz w:val="21"/>
              </w:rPr>
            </w:pPr>
          </w:p>
        </w:tc>
      </w:tr>
      <w:tr w14:paraId="1DAAC1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4" w:hRule="atLeast"/>
        </w:trPr>
        <w:tc>
          <w:tcPr>
            <w:tcW w:w="893" w:type="dxa"/>
            <w:vMerge w:val="continue"/>
            <w:tcBorders>
              <w:top w:val="nil"/>
              <w:bottom w:val="nil"/>
            </w:tcBorders>
            <w:vAlign w:val="top"/>
          </w:tcPr>
          <w:p w14:paraId="11C5AFFF">
            <w:pPr>
              <w:rPr>
                <w:rFonts w:ascii="Arial"/>
                <w:sz w:val="21"/>
              </w:rPr>
            </w:pPr>
          </w:p>
        </w:tc>
        <w:tc>
          <w:tcPr>
            <w:tcW w:w="2314" w:type="dxa"/>
            <w:vMerge w:val="continue"/>
            <w:tcBorders>
              <w:top w:val="nil"/>
              <w:bottom w:val="nil"/>
            </w:tcBorders>
            <w:vAlign w:val="top"/>
          </w:tcPr>
          <w:p w14:paraId="66BE3601">
            <w:pPr>
              <w:rPr>
                <w:rFonts w:ascii="Arial"/>
                <w:sz w:val="21"/>
              </w:rPr>
            </w:pPr>
          </w:p>
        </w:tc>
        <w:tc>
          <w:tcPr>
            <w:tcW w:w="230" w:type="dxa"/>
            <w:tcBorders>
              <w:top w:val="single" w:color="000000" w:sz="2" w:space="0"/>
              <w:bottom w:val="single" w:color="000000" w:sz="2" w:space="0"/>
            </w:tcBorders>
            <w:vAlign w:val="top"/>
          </w:tcPr>
          <w:p w14:paraId="674973DE">
            <w:pPr>
              <w:rPr>
                <w:rFonts w:ascii="Arial"/>
                <w:sz w:val="21"/>
              </w:rPr>
            </w:pPr>
          </w:p>
        </w:tc>
        <w:tc>
          <w:tcPr>
            <w:tcW w:w="230" w:type="dxa"/>
            <w:tcBorders>
              <w:top w:val="single" w:color="000000" w:sz="2" w:space="0"/>
              <w:bottom w:val="single" w:color="000000" w:sz="2" w:space="0"/>
            </w:tcBorders>
            <w:vAlign w:val="top"/>
          </w:tcPr>
          <w:p w14:paraId="21233FF6">
            <w:pPr>
              <w:rPr>
                <w:rFonts w:ascii="Arial"/>
                <w:sz w:val="21"/>
              </w:rPr>
            </w:pPr>
          </w:p>
        </w:tc>
        <w:tc>
          <w:tcPr>
            <w:tcW w:w="219" w:type="dxa"/>
            <w:tcBorders>
              <w:top w:val="single" w:color="000000" w:sz="2" w:space="0"/>
              <w:bottom w:val="single" w:color="000000" w:sz="2" w:space="0"/>
            </w:tcBorders>
            <w:vAlign w:val="top"/>
          </w:tcPr>
          <w:p w14:paraId="726A6499">
            <w:pPr>
              <w:rPr>
                <w:rFonts w:ascii="Arial"/>
                <w:sz w:val="21"/>
              </w:rPr>
            </w:pPr>
          </w:p>
        </w:tc>
        <w:tc>
          <w:tcPr>
            <w:tcW w:w="244" w:type="dxa"/>
            <w:tcBorders>
              <w:top w:val="single" w:color="000000" w:sz="2" w:space="0"/>
              <w:bottom w:val="single" w:color="000000" w:sz="2" w:space="0"/>
            </w:tcBorders>
            <w:vAlign w:val="top"/>
          </w:tcPr>
          <w:p w14:paraId="32058B60">
            <w:pPr>
              <w:pStyle w:val="6"/>
              <w:spacing w:before="97" w:line="238" w:lineRule="auto"/>
              <w:ind w:left="48"/>
              <w:rPr>
                <w:sz w:val="13"/>
                <w:szCs w:val="13"/>
              </w:rPr>
            </w:pPr>
            <w:r>
              <w:rPr>
                <w:sz w:val="13"/>
                <w:szCs w:val="13"/>
              </w:rPr>
              <w:t>√</w:t>
            </w:r>
          </w:p>
        </w:tc>
      </w:tr>
      <w:tr w14:paraId="30AAE1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893" w:type="dxa"/>
            <w:vMerge w:val="continue"/>
            <w:tcBorders>
              <w:top w:val="nil"/>
              <w:bottom w:val="single" w:color="000000" w:sz="2" w:space="0"/>
            </w:tcBorders>
            <w:vAlign w:val="top"/>
          </w:tcPr>
          <w:p w14:paraId="56894E75">
            <w:pPr>
              <w:rPr>
                <w:rFonts w:ascii="Arial"/>
                <w:sz w:val="21"/>
              </w:rPr>
            </w:pPr>
          </w:p>
        </w:tc>
        <w:tc>
          <w:tcPr>
            <w:tcW w:w="2314" w:type="dxa"/>
            <w:vMerge w:val="continue"/>
            <w:tcBorders>
              <w:top w:val="nil"/>
              <w:bottom w:val="single" w:color="000000" w:sz="2" w:space="0"/>
            </w:tcBorders>
            <w:vAlign w:val="top"/>
          </w:tcPr>
          <w:p w14:paraId="5A15285D">
            <w:pPr>
              <w:rPr>
                <w:rFonts w:ascii="Arial"/>
                <w:sz w:val="21"/>
              </w:rPr>
            </w:pPr>
          </w:p>
        </w:tc>
        <w:tc>
          <w:tcPr>
            <w:tcW w:w="230" w:type="dxa"/>
            <w:tcBorders>
              <w:top w:val="single" w:color="000000" w:sz="2" w:space="0"/>
              <w:bottom w:val="single" w:color="000000" w:sz="2" w:space="0"/>
            </w:tcBorders>
            <w:vAlign w:val="top"/>
          </w:tcPr>
          <w:p w14:paraId="720DAA67">
            <w:pPr>
              <w:rPr>
                <w:rFonts w:ascii="Arial"/>
                <w:sz w:val="21"/>
              </w:rPr>
            </w:pPr>
          </w:p>
        </w:tc>
        <w:tc>
          <w:tcPr>
            <w:tcW w:w="230" w:type="dxa"/>
            <w:tcBorders>
              <w:top w:val="single" w:color="000000" w:sz="2" w:space="0"/>
              <w:bottom w:val="single" w:color="000000" w:sz="2" w:space="0"/>
            </w:tcBorders>
            <w:vAlign w:val="top"/>
          </w:tcPr>
          <w:p w14:paraId="712D563E">
            <w:pPr>
              <w:rPr>
                <w:rFonts w:ascii="Arial"/>
                <w:sz w:val="21"/>
              </w:rPr>
            </w:pPr>
          </w:p>
        </w:tc>
        <w:tc>
          <w:tcPr>
            <w:tcW w:w="219" w:type="dxa"/>
            <w:tcBorders>
              <w:top w:val="single" w:color="000000" w:sz="2" w:space="0"/>
              <w:bottom w:val="single" w:color="000000" w:sz="2" w:space="0"/>
            </w:tcBorders>
            <w:vAlign w:val="top"/>
          </w:tcPr>
          <w:p w14:paraId="120A5EE9">
            <w:pPr>
              <w:rPr>
                <w:rFonts w:ascii="Arial"/>
                <w:sz w:val="21"/>
              </w:rPr>
            </w:pPr>
          </w:p>
        </w:tc>
        <w:tc>
          <w:tcPr>
            <w:tcW w:w="244" w:type="dxa"/>
            <w:tcBorders>
              <w:top w:val="single" w:color="000000" w:sz="2" w:space="0"/>
              <w:bottom w:val="single" w:color="000000" w:sz="2" w:space="0"/>
            </w:tcBorders>
            <w:vAlign w:val="top"/>
          </w:tcPr>
          <w:p w14:paraId="085BB53C">
            <w:pPr>
              <w:rPr>
                <w:rFonts w:ascii="Arial"/>
                <w:sz w:val="21"/>
              </w:rPr>
            </w:pPr>
          </w:p>
        </w:tc>
      </w:tr>
    </w:tbl>
    <w:p w14:paraId="7D33F790">
      <w:pPr>
        <w:pStyle w:val="2"/>
        <w:spacing w:line="14" w:lineRule="auto"/>
        <w:rPr>
          <w:sz w:val="2"/>
        </w:rPr>
      </w:pPr>
    </w:p>
    <w:p w14:paraId="3CC05E71">
      <w:pPr>
        <w:pStyle w:val="2"/>
        <w:spacing w:line="14" w:lineRule="auto"/>
        <w:rPr>
          <w:sz w:val="2"/>
        </w:rPr>
      </w:pPr>
      <w:r>
        <w:rPr>
          <w:sz w:val="2"/>
          <w:szCs w:val="2"/>
        </w:rPr>
        <w:br w:type="column"/>
      </w: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24"/>
        <w:gridCol w:w="210"/>
        <w:gridCol w:w="229"/>
        <w:gridCol w:w="229"/>
        <w:gridCol w:w="234"/>
      </w:tblGrid>
      <w:tr w14:paraId="6172C9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9" w:hRule="atLeast"/>
        </w:trPr>
        <w:tc>
          <w:tcPr>
            <w:tcW w:w="893" w:type="dxa"/>
            <w:vMerge w:val="restart"/>
            <w:tcBorders>
              <w:top w:val="single" w:color="000000" w:sz="2" w:space="0"/>
              <w:bottom w:val="nil"/>
            </w:tcBorders>
            <w:vAlign w:val="top"/>
          </w:tcPr>
          <w:p w14:paraId="52157965">
            <w:pPr>
              <w:pStyle w:val="6"/>
              <w:spacing w:before="176" w:line="231" w:lineRule="auto"/>
              <w:ind w:left="267" w:right="25" w:hanging="250"/>
            </w:pPr>
            <w:r>
              <w:rPr>
                <w:b/>
                <w:bCs/>
                <w:spacing w:val="-4"/>
              </w:rPr>
              <w:t>知识与技能</w:t>
            </w:r>
            <w:r>
              <w:t xml:space="preserve"> </w:t>
            </w:r>
            <w:r>
              <w:rPr>
                <w:b/>
                <w:bCs/>
                <w:spacing w:val="-4"/>
              </w:rPr>
              <w:t>要点</w:t>
            </w:r>
          </w:p>
        </w:tc>
        <w:tc>
          <w:tcPr>
            <w:tcW w:w="2324" w:type="dxa"/>
            <w:vMerge w:val="restart"/>
            <w:tcBorders>
              <w:top w:val="single" w:color="000000" w:sz="2" w:space="0"/>
              <w:bottom w:val="nil"/>
            </w:tcBorders>
            <w:vAlign w:val="top"/>
          </w:tcPr>
          <w:p w14:paraId="30293BCC">
            <w:pPr>
              <w:pStyle w:val="6"/>
              <w:spacing w:before="284" w:line="219" w:lineRule="auto"/>
              <w:ind w:left="854"/>
            </w:pPr>
            <w:r>
              <w:rPr>
                <w:b/>
                <w:bCs/>
                <w:spacing w:val="5"/>
              </w:rPr>
              <w:t>考试条目</w:t>
            </w:r>
          </w:p>
        </w:tc>
        <w:tc>
          <w:tcPr>
            <w:tcW w:w="902" w:type="dxa"/>
            <w:gridSpan w:val="4"/>
            <w:tcBorders>
              <w:top w:val="single" w:color="000000" w:sz="2" w:space="0"/>
              <w:bottom w:val="single" w:color="000000" w:sz="2" w:space="0"/>
            </w:tcBorders>
            <w:vAlign w:val="top"/>
          </w:tcPr>
          <w:p w14:paraId="1C9C2D59">
            <w:pPr>
              <w:pStyle w:val="6"/>
              <w:spacing w:before="104" w:line="219" w:lineRule="auto"/>
              <w:ind w:left="130"/>
            </w:pPr>
            <w:r>
              <w:rPr>
                <w:b/>
                <w:bCs/>
                <w:spacing w:val="-4"/>
              </w:rPr>
              <w:t>考试水平</w:t>
            </w:r>
          </w:p>
        </w:tc>
      </w:tr>
      <w:tr w14:paraId="4E6FC4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4" w:hRule="atLeast"/>
        </w:trPr>
        <w:tc>
          <w:tcPr>
            <w:tcW w:w="893" w:type="dxa"/>
            <w:vMerge w:val="continue"/>
            <w:tcBorders>
              <w:top w:val="nil"/>
              <w:bottom w:val="single" w:color="000000" w:sz="2" w:space="0"/>
            </w:tcBorders>
            <w:vAlign w:val="top"/>
          </w:tcPr>
          <w:p w14:paraId="743531BD">
            <w:pPr>
              <w:rPr>
                <w:rFonts w:ascii="Arial"/>
                <w:sz w:val="21"/>
              </w:rPr>
            </w:pPr>
          </w:p>
        </w:tc>
        <w:tc>
          <w:tcPr>
            <w:tcW w:w="2324" w:type="dxa"/>
            <w:vMerge w:val="continue"/>
            <w:tcBorders>
              <w:top w:val="nil"/>
              <w:bottom w:val="single" w:color="000000" w:sz="2" w:space="0"/>
            </w:tcBorders>
            <w:vAlign w:val="top"/>
          </w:tcPr>
          <w:p w14:paraId="32CFC650">
            <w:pPr>
              <w:rPr>
                <w:rFonts w:ascii="Arial"/>
                <w:sz w:val="21"/>
              </w:rPr>
            </w:pPr>
          </w:p>
        </w:tc>
        <w:tc>
          <w:tcPr>
            <w:tcW w:w="210" w:type="dxa"/>
            <w:tcBorders>
              <w:top w:val="single" w:color="000000" w:sz="2" w:space="0"/>
              <w:bottom w:val="single" w:color="000000" w:sz="2" w:space="0"/>
            </w:tcBorders>
            <w:vAlign w:val="top"/>
          </w:tcPr>
          <w:p w14:paraId="68902B7B">
            <w:pPr>
              <w:pStyle w:val="6"/>
              <w:spacing w:before="135" w:line="184" w:lineRule="auto"/>
              <w:ind w:left="60"/>
            </w:pPr>
            <w:r>
              <w:rPr>
                <w:b/>
                <w:bCs/>
                <w:spacing w:val="-2"/>
              </w:rPr>
              <w:t>A</w:t>
            </w:r>
          </w:p>
        </w:tc>
        <w:tc>
          <w:tcPr>
            <w:tcW w:w="229" w:type="dxa"/>
            <w:tcBorders>
              <w:top w:val="single" w:color="000000" w:sz="2" w:space="0"/>
              <w:bottom w:val="single" w:color="000000" w:sz="2" w:space="0"/>
            </w:tcBorders>
            <w:vAlign w:val="top"/>
          </w:tcPr>
          <w:p w14:paraId="14E07A03">
            <w:pPr>
              <w:pStyle w:val="6"/>
              <w:spacing w:before="137" w:line="182" w:lineRule="auto"/>
              <w:ind w:left="20"/>
            </w:pPr>
            <w:r>
              <w:rPr>
                <w:b/>
                <w:bCs/>
                <w:spacing w:val="-2"/>
              </w:rPr>
              <w:t>B</w:t>
            </w:r>
          </w:p>
        </w:tc>
        <w:tc>
          <w:tcPr>
            <w:tcW w:w="229" w:type="dxa"/>
            <w:tcBorders>
              <w:top w:val="single" w:color="000000" w:sz="2" w:space="0"/>
              <w:bottom w:val="single" w:color="000000" w:sz="2" w:space="0"/>
            </w:tcBorders>
            <w:vAlign w:val="top"/>
          </w:tcPr>
          <w:p w14:paraId="612FFB2B">
            <w:pPr>
              <w:pStyle w:val="6"/>
              <w:spacing w:before="135" w:line="183" w:lineRule="auto"/>
              <w:ind w:left="41"/>
            </w:pPr>
            <w:r>
              <w:rPr>
                <w:b/>
                <w:bCs/>
                <w:spacing w:val="-2"/>
              </w:rPr>
              <w:t>C</w:t>
            </w:r>
          </w:p>
        </w:tc>
        <w:tc>
          <w:tcPr>
            <w:tcW w:w="234" w:type="dxa"/>
            <w:tcBorders>
              <w:top w:val="single" w:color="000000" w:sz="2" w:space="0"/>
              <w:bottom w:val="single" w:color="000000" w:sz="2" w:space="0"/>
            </w:tcBorders>
            <w:vAlign w:val="top"/>
          </w:tcPr>
          <w:p w14:paraId="2C2635DC">
            <w:pPr>
              <w:pStyle w:val="6"/>
              <w:spacing w:before="137" w:line="182" w:lineRule="auto"/>
              <w:ind w:left="22"/>
            </w:pPr>
            <w:r>
              <w:rPr>
                <w:b/>
                <w:bCs/>
                <w:spacing w:val="-2"/>
              </w:rPr>
              <w:t>D</w:t>
            </w:r>
          </w:p>
        </w:tc>
      </w:tr>
      <w:tr w14:paraId="1BAD33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4" w:hRule="atLeast"/>
        </w:trPr>
        <w:tc>
          <w:tcPr>
            <w:tcW w:w="893" w:type="dxa"/>
            <w:vMerge w:val="restart"/>
            <w:tcBorders>
              <w:top w:val="single" w:color="000000" w:sz="2" w:space="0"/>
              <w:bottom w:val="nil"/>
            </w:tcBorders>
            <w:vAlign w:val="top"/>
          </w:tcPr>
          <w:p w14:paraId="6ADDBB30">
            <w:pPr>
              <w:pStyle w:val="6"/>
              <w:spacing w:before="284" w:line="220" w:lineRule="auto"/>
              <w:ind w:left="265"/>
            </w:pPr>
            <w:r>
              <w:rPr>
                <w:spacing w:val="-2"/>
              </w:rPr>
              <w:t>栓塞</w:t>
            </w:r>
          </w:p>
        </w:tc>
        <w:tc>
          <w:tcPr>
            <w:tcW w:w="2324" w:type="dxa"/>
            <w:vMerge w:val="restart"/>
            <w:tcBorders>
              <w:top w:val="single" w:color="000000" w:sz="2" w:space="0"/>
              <w:bottom w:val="nil"/>
            </w:tcBorders>
            <w:vAlign w:val="top"/>
          </w:tcPr>
          <w:p w14:paraId="13473C91">
            <w:pPr>
              <w:pStyle w:val="6"/>
              <w:spacing w:before="83" w:line="228" w:lineRule="auto"/>
              <w:ind w:left="11" w:right="248"/>
            </w:pPr>
            <w:r>
              <w:rPr>
                <w:spacing w:val="1"/>
              </w:rPr>
              <w:t>1.栓塞的概念及栓子运行的</w:t>
            </w:r>
            <w:r>
              <w:t xml:space="preserve"> </w:t>
            </w:r>
            <w:r>
              <w:rPr>
                <w:spacing w:val="-2"/>
              </w:rPr>
              <w:t>途径</w:t>
            </w:r>
          </w:p>
          <w:p w14:paraId="3F45C2C8">
            <w:pPr>
              <w:pStyle w:val="6"/>
              <w:spacing w:line="219" w:lineRule="auto"/>
              <w:ind w:left="11"/>
            </w:pPr>
            <w:r>
              <w:rPr>
                <w:spacing w:val="-1"/>
              </w:rPr>
              <w:t>2.栓塞的类型及后果</w:t>
            </w:r>
          </w:p>
        </w:tc>
        <w:tc>
          <w:tcPr>
            <w:tcW w:w="210" w:type="dxa"/>
            <w:tcBorders>
              <w:top w:val="single" w:color="000000" w:sz="2" w:space="0"/>
              <w:bottom w:val="single" w:color="000000" w:sz="2" w:space="0"/>
            </w:tcBorders>
            <w:vAlign w:val="top"/>
          </w:tcPr>
          <w:p w14:paraId="3784D552">
            <w:pPr>
              <w:rPr>
                <w:rFonts w:ascii="Arial"/>
                <w:sz w:val="21"/>
              </w:rPr>
            </w:pPr>
          </w:p>
        </w:tc>
        <w:tc>
          <w:tcPr>
            <w:tcW w:w="229" w:type="dxa"/>
            <w:tcBorders>
              <w:top w:val="single" w:color="000000" w:sz="2" w:space="0"/>
              <w:bottom w:val="single" w:color="000000" w:sz="2" w:space="0"/>
            </w:tcBorders>
            <w:vAlign w:val="top"/>
          </w:tcPr>
          <w:p w14:paraId="07FA4287">
            <w:pPr>
              <w:rPr>
                <w:rFonts w:ascii="Arial"/>
                <w:sz w:val="21"/>
              </w:rPr>
            </w:pPr>
          </w:p>
        </w:tc>
        <w:tc>
          <w:tcPr>
            <w:tcW w:w="229" w:type="dxa"/>
            <w:tcBorders>
              <w:top w:val="single" w:color="000000" w:sz="2" w:space="0"/>
              <w:bottom w:val="single" w:color="000000" w:sz="2" w:space="0"/>
            </w:tcBorders>
            <w:vAlign w:val="top"/>
          </w:tcPr>
          <w:p w14:paraId="731C1F4C">
            <w:pPr>
              <w:rPr>
                <w:rFonts w:ascii="Arial"/>
                <w:sz w:val="21"/>
              </w:rPr>
            </w:pPr>
          </w:p>
        </w:tc>
        <w:tc>
          <w:tcPr>
            <w:tcW w:w="234" w:type="dxa"/>
            <w:tcBorders>
              <w:top w:val="single" w:color="000000" w:sz="2" w:space="0"/>
              <w:bottom w:val="single" w:color="000000" w:sz="2" w:space="0"/>
            </w:tcBorders>
            <w:vAlign w:val="top"/>
          </w:tcPr>
          <w:p w14:paraId="48367FFA">
            <w:pPr>
              <w:pStyle w:val="6"/>
              <w:spacing w:before="125" w:line="238" w:lineRule="auto"/>
              <w:ind w:left="19"/>
              <w:rPr>
                <w:sz w:val="13"/>
                <w:szCs w:val="13"/>
              </w:rPr>
            </w:pPr>
            <w:r>
              <w:rPr>
                <w:sz w:val="13"/>
                <w:szCs w:val="13"/>
              </w:rPr>
              <w:t>√</w:t>
            </w:r>
          </w:p>
        </w:tc>
      </w:tr>
      <w:tr w14:paraId="5CD20E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4" w:hRule="atLeast"/>
        </w:trPr>
        <w:tc>
          <w:tcPr>
            <w:tcW w:w="893" w:type="dxa"/>
            <w:vMerge w:val="continue"/>
            <w:tcBorders>
              <w:top w:val="nil"/>
              <w:bottom w:val="single" w:color="000000" w:sz="2" w:space="0"/>
            </w:tcBorders>
            <w:vAlign w:val="top"/>
          </w:tcPr>
          <w:p w14:paraId="3FE9F75E">
            <w:pPr>
              <w:rPr>
                <w:rFonts w:ascii="Arial"/>
                <w:sz w:val="21"/>
              </w:rPr>
            </w:pPr>
          </w:p>
        </w:tc>
        <w:tc>
          <w:tcPr>
            <w:tcW w:w="2324" w:type="dxa"/>
            <w:vMerge w:val="continue"/>
            <w:tcBorders>
              <w:top w:val="nil"/>
              <w:bottom w:val="single" w:color="000000" w:sz="2" w:space="0"/>
            </w:tcBorders>
            <w:vAlign w:val="top"/>
          </w:tcPr>
          <w:p w14:paraId="41D89816">
            <w:pPr>
              <w:rPr>
                <w:rFonts w:ascii="Arial"/>
                <w:sz w:val="21"/>
              </w:rPr>
            </w:pPr>
          </w:p>
        </w:tc>
        <w:tc>
          <w:tcPr>
            <w:tcW w:w="210" w:type="dxa"/>
            <w:tcBorders>
              <w:top w:val="single" w:color="000000" w:sz="2" w:space="0"/>
              <w:bottom w:val="single" w:color="000000" w:sz="2" w:space="0"/>
            </w:tcBorders>
            <w:vAlign w:val="top"/>
          </w:tcPr>
          <w:p w14:paraId="44E91F76">
            <w:pPr>
              <w:pStyle w:val="6"/>
              <w:spacing w:before="136" w:line="238" w:lineRule="auto"/>
              <w:ind w:left="37"/>
              <w:rPr>
                <w:sz w:val="13"/>
                <w:szCs w:val="13"/>
              </w:rPr>
            </w:pPr>
            <w:r>
              <w:rPr>
                <w:sz w:val="13"/>
                <w:szCs w:val="13"/>
              </w:rPr>
              <w:t>√</w:t>
            </w:r>
          </w:p>
        </w:tc>
        <w:tc>
          <w:tcPr>
            <w:tcW w:w="229" w:type="dxa"/>
            <w:tcBorders>
              <w:top w:val="single" w:color="000000" w:sz="2" w:space="0"/>
              <w:bottom w:val="single" w:color="000000" w:sz="2" w:space="0"/>
            </w:tcBorders>
            <w:vAlign w:val="top"/>
          </w:tcPr>
          <w:p w14:paraId="6DFABCCB">
            <w:pPr>
              <w:rPr>
                <w:rFonts w:ascii="Arial"/>
                <w:sz w:val="21"/>
              </w:rPr>
            </w:pPr>
          </w:p>
        </w:tc>
        <w:tc>
          <w:tcPr>
            <w:tcW w:w="229" w:type="dxa"/>
            <w:tcBorders>
              <w:top w:val="single" w:color="000000" w:sz="2" w:space="0"/>
              <w:bottom w:val="single" w:color="000000" w:sz="2" w:space="0"/>
            </w:tcBorders>
            <w:vAlign w:val="top"/>
          </w:tcPr>
          <w:p w14:paraId="39C0DD7C">
            <w:pPr>
              <w:rPr>
                <w:rFonts w:ascii="Arial"/>
                <w:sz w:val="21"/>
              </w:rPr>
            </w:pPr>
          </w:p>
        </w:tc>
        <w:tc>
          <w:tcPr>
            <w:tcW w:w="234" w:type="dxa"/>
            <w:tcBorders>
              <w:top w:val="single" w:color="000000" w:sz="2" w:space="0"/>
              <w:bottom w:val="single" w:color="000000" w:sz="2" w:space="0"/>
            </w:tcBorders>
            <w:vAlign w:val="top"/>
          </w:tcPr>
          <w:p w14:paraId="0177CFDA">
            <w:pPr>
              <w:rPr>
                <w:rFonts w:ascii="Arial"/>
                <w:sz w:val="21"/>
              </w:rPr>
            </w:pPr>
          </w:p>
        </w:tc>
      </w:tr>
      <w:tr w14:paraId="323CDB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4" w:hRule="atLeast"/>
        </w:trPr>
        <w:tc>
          <w:tcPr>
            <w:tcW w:w="893" w:type="dxa"/>
            <w:vMerge w:val="restart"/>
            <w:tcBorders>
              <w:top w:val="single" w:color="000000" w:sz="2" w:space="0"/>
              <w:bottom w:val="nil"/>
            </w:tcBorders>
            <w:vAlign w:val="top"/>
          </w:tcPr>
          <w:p w14:paraId="5CF9376F">
            <w:pPr>
              <w:spacing w:line="279" w:lineRule="auto"/>
              <w:rPr>
                <w:rFonts w:ascii="Arial"/>
                <w:sz w:val="21"/>
              </w:rPr>
            </w:pPr>
          </w:p>
          <w:p w14:paraId="7BA740FA">
            <w:pPr>
              <w:pStyle w:val="6"/>
              <w:spacing w:before="55" w:line="219" w:lineRule="auto"/>
              <w:ind w:left="265"/>
            </w:pPr>
            <w:r>
              <w:rPr>
                <w:spacing w:val="-2"/>
              </w:rPr>
              <w:t>梗死</w:t>
            </w:r>
          </w:p>
        </w:tc>
        <w:tc>
          <w:tcPr>
            <w:tcW w:w="2324" w:type="dxa"/>
            <w:vMerge w:val="restart"/>
            <w:tcBorders>
              <w:top w:val="single" w:color="000000" w:sz="2" w:space="0"/>
              <w:bottom w:val="nil"/>
            </w:tcBorders>
            <w:vAlign w:val="top"/>
          </w:tcPr>
          <w:p w14:paraId="74A9D9BC">
            <w:pPr>
              <w:pStyle w:val="6"/>
              <w:spacing w:before="126" w:line="236" w:lineRule="auto"/>
              <w:ind w:left="11" w:right="424"/>
            </w:pPr>
            <w:r>
              <w:t>1.概念、原因和形成条件</w:t>
            </w:r>
            <w:r>
              <w:rPr>
                <w:spacing w:val="6"/>
              </w:rPr>
              <w:t xml:space="preserve"> </w:t>
            </w:r>
            <w:r>
              <w:rPr>
                <w:spacing w:val="-1"/>
              </w:rPr>
              <w:t>2.类型及病理变化</w:t>
            </w:r>
          </w:p>
          <w:p w14:paraId="2CFC95E6">
            <w:pPr>
              <w:pStyle w:val="6"/>
              <w:spacing w:before="13" w:line="219" w:lineRule="auto"/>
              <w:ind w:left="11"/>
            </w:pPr>
            <w:r>
              <w:rPr>
                <w:spacing w:val="1"/>
              </w:rPr>
              <w:t>3.对机体的影响</w:t>
            </w:r>
          </w:p>
        </w:tc>
        <w:tc>
          <w:tcPr>
            <w:tcW w:w="210" w:type="dxa"/>
            <w:tcBorders>
              <w:top w:val="single" w:color="000000" w:sz="2" w:space="0"/>
              <w:bottom w:val="single" w:color="000000" w:sz="2" w:space="0"/>
            </w:tcBorders>
            <w:vAlign w:val="top"/>
          </w:tcPr>
          <w:p w14:paraId="7EDD788A">
            <w:pPr>
              <w:pStyle w:val="6"/>
              <w:spacing w:before="87" w:line="238" w:lineRule="auto"/>
              <w:ind w:left="37"/>
              <w:rPr>
                <w:sz w:val="13"/>
                <w:szCs w:val="13"/>
              </w:rPr>
            </w:pPr>
            <w:r>
              <w:rPr>
                <w:sz w:val="13"/>
                <w:szCs w:val="13"/>
              </w:rPr>
              <w:t>√</w:t>
            </w:r>
          </w:p>
        </w:tc>
        <w:tc>
          <w:tcPr>
            <w:tcW w:w="229" w:type="dxa"/>
            <w:tcBorders>
              <w:top w:val="single" w:color="000000" w:sz="2" w:space="0"/>
              <w:bottom w:val="single" w:color="000000" w:sz="2" w:space="0"/>
            </w:tcBorders>
            <w:vAlign w:val="top"/>
          </w:tcPr>
          <w:p w14:paraId="1DA9F54B">
            <w:pPr>
              <w:rPr>
                <w:rFonts w:ascii="Arial"/>
                <w:sz w:val="21"/>
              </w:rPr>
            </w:pPr>
          </w:p>
        </w:tc>
        <w:tc>
          <w:tcPr>
            <w:tcW w:w="229" w:type="dxa"/>
            <w:tcBorders>
              <w:top w:val="single" w:color="000000" w:sz="2" w:space="0"/>
              <w:bottom w:val="single" w:color="000000" w:sz="2" w:space="0"/>
            </w:tcBorders>
            <w:vAlign w:val="top"/>
          </w:tcPr>
          <w:p w14:paraId="7E8966F6">
            <w:pPr>
              <w:rPr>
                <w:rFonts w:ascii="Arial"/>
                <w:sz w:val="21"/>
              </w:rPr>
            </w:pPr>
          </w:p>
        </w:tc>
        <w:tc>
          <w:tcPr>
            <w:tcW w:w="234" w:type="dxa"/>
            <w:tcBorders>
              <w:top w:val="single" w:color="000000" w:sz="2" w:space="0"/>
              <w:bottom w:val="single" w:color="000000" w:sz="2" w:space="0"/>
            </w:tcBorders>
            <w:vAlign w:val="top"/>
          </w:tcPr>
          <w:p w14:paraId="20C54BDF">
            <w:pPr>
              <w:rPr>
                <w:rFonts w:ascii="Arial"/>
                <w:sz w:val="21"/>
              </w:rPr>
            </w:pPr>
          </w:p>
        </w:tc>
      </w:tr>
      <w:tr w14:paraId="3EE2DF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893" w:type="dxa"/>
            <w:vMerge w:val="continue"/>
            <w:tcBorders>
              <w:top w:val="nil"/>
              <w:bottom w:val="nil"/>
            </w:tcBorders>
            <w:vAlign w:val="top"/>
          </w:tcPr>
          <w:p w14:paraId="360F82E4">
            <w:pPr>
              <w:rPr>
                <w:rFonts w:ascii="Arial"/>
                <w:sz w:val="21"/>
              </w:rPr>
            </w:pPr>
          </w:p>
        </w:tc>
        <w:tc>
          <w:tcPr>
            <w:tcW w:w="2324" w:type="dxa"/>
            <w:vMerge w:val="continue"/>
            <w:tcBorders>
              <w:top w:val="nil"/>
              <w:bottom w:val="nil"/>
            </w:tcBorders>
            <w:vAlign w:val="top"/>
          </w:tcPr>
          <w:p w14:paraId="68F67829">
            <w:pPr>
              <w:rPr>
                <w:rFonts w:ascii="Arial"/>
                <w:sz w:val="21"/>
              </w:rPr>
            </w:pPr>
          </w:p>
        </w:tc>
        <w:tc>
          <w:tcPr>
            <w:tcW w:w="210" w:type="dxa"/>
            <w:tcBorders>
              <w:top w:val="single" w:color="000000" w:sz="2" w:space="0"/>
              <w:bottom w:val="single" w:color="000000" w:sz="2" w:space="0"/>
            </w:tcBorders>
            <w:vAlign w:val="top"/>
          </w:tcPr>
          <w:p w14:paraId="5D6D83A8">
            <w:pPr>
              <w:rPr>
                <w:rFonts w:ascii="Arial"/>
                <w:sz w:val="21"/>
              </w:rPr>
            </w:pPr>
          </w:p>
        </w:tc>
        <w:tc>
          <w:tcPr>
            <w:tcW w:w="229" w:type="dxa"/>
            <w:tcBorders>
              <w:top w:val="single" w:color="000000" w:sz="2" w:space="0"/>
              <w:bottom w:val="single" w:color="000000" w:sz="2" w:space="0"/>
            </w:tcBorders>
            <w:vAlign w:val="top"/>
          </w:tcPr>
          <w:p w14:paraId="284FD470">
            <w:pPr>
              <w:pStyle w:val="6"/>
              <w:spacing w:before="88" w:line="238" w:lineRule="auto"/>
              <w:ind w:left="18"/>
              <w:rPr>
                <w:sz w:val="13"/>
                <w:szCs w:val="13"/>
              </w:rPr>
            </w:pPr>
            <w:r>
              <w:rPr>
                <w:sz w:val="13"/>
                <w:szCs w:val="13"/>
              </w:rPr>
              <w:t>√</w:t>
            </w:r>
          </w:p>
        </w:tc>
        <w:tc>
          <w:tcPr>
            <w:tcW w:w="229" w:type="dxa"/>
            <w:tcBorders>
              <w:top w:val="single" w:color="000000" w:sz="2" w:space="0"/>
              <w:bottom w:val="single" w:color="000000" w:sz="2" w:space="0"/>
            </w:tcBorders>
            <w:vAlign w:val="top"/>
          </w:tcPr>
          <w:p w14:paraId="0C804B1D">
            <w:pPr>
              <w:rPr>
                <w:rFonts w:ascii="Arial"/>
                <w:sz w:val="21"/>
              </w:rPr>
            </w:pPr>
          </w:p>
        </w:tc>
        <w:tc>
          <w:tcPr>
            <w:tcW w:w="234" w:type="dxa"/>
            <w:tcBorders>
              <w:top w:val="single" w:color="000000" w:sz="2" w:space="0"/>
              <w:bottom w:val="single" w:color="000000" w:sz="2" w:space="0"/>
            </w:tcBorders>
            <w:vAlign w:val="top"/>
          </w:tcPr>
          <w:p w14:paraId="0B2E4518">
            <w:pPr>
              <w:rPr>
                <w:rFonts w:ascii="Arial"/>
                <w:sz w:val="21"/>
              </w:rPr>
            </w:pPr>
          </w:p>
        </w:tc>
      </w:tr>
      <w:tr w14:paraId="1FC2E4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9" w:hRule="atLeast"/>
        </w:trPr>
        <w:tc>
          <w:tcPr>
            <w:tcW w:w="893" w:type="dxa"/>
            <w:vMerge w:val="continue"/>
            <w:tcBorders>
              <w:top w:val="nil"/>
              <w:bottom w:val="single" w:color="000000" w:sz="2" w:space="0"/>
            </w:tcBorders>
            <w:vAlign w:val="top"/>
          </w:tcPr>
          <w:p w14:paraId="08249EB4">
            <w:pPr>
              <w:rPr>
                <w:rFonts w:ascii="Arial"/>
                <w:sz w:val="21"/>
              </w:rPr>
            </w:pPr>
          </w:p>
        </w:tc>
        <w:tc>
          <w:tcPr>
            <w:tcW w:w="2324" w:type="dxa"/>
            <w:vMerge w:val="continue"/>
            <w:tcBorders>
              <w:top w:val="nil"/>
              <w:bottom w:val="single" w:color="000000" w:sz="2" w:space="0"/>
            </w:tcBorders>
            <w:vAlign w:val="top"/>
          </w:tcPr>
          <w:p w14:paraId="2337A05D">
            <w:pPr>
              <w:rPr>
                <w:rFonts w:ascii="Arial"/>
                <w:sz w:val="21"/>
              </w:rPr>
            </w:pPr>
          </w:p>
        </w:tc>
        <w:tc>
          <w:tcPr>
            <w:tcW w:w="210" w:type="dxa"/>
            <w:tcBorders>
              <w:top w:val="single" w:color="000000" w:sz="2" w:space="0"/>
              <w:bottom w:val="single" w:color="000000" w:sz="2" w:space="0"/>
            </w:tcBorders>
            <w:vAlign w:val="top"/>
          </w:tcPr>
          <w:p w14:paraId="543F3BD6">
            <w:pPr>
              <w:rPr>
                <w:rFonts w:ascii="Arial"/>
                <w:sz w:val="21"/>
              </w:rPr>
            </w:pPr>
          </w:p>
        </w:tc>
        <w:tc>
          <w:tcPr>
            <w:tcW w:w="229" w:type="dxa"/>
            <w:tcBorders>
              <w:top w:val="single" w:color="000000" w:sz="2" w:space="0"/>
              <w:bottom w:val="single" w:color="000000" w:sz="2" w:space="0"/>
            </w:tcBorders>
            <w:vAlign w:val="top"/>
          </w:tcPr>
          <w:p w14:paraId="3D85C878">
            <w:pPr>
              <w:pStyle w:val="6"/>
              <w:spacing w:before="73" w:line="212" w:lineRule="auto"/>
              <w:ind w:left="18"/>
            </w:pPr>
            <w:r>
              <w:t>v</w:t>
            </w:r>
          </w:p>
        </w:tc>
        <w:tc>
          <w:tcPr>
            <w:tcW w:w="229" w:type="dxa"/>
            <w:tcBorders>
              <w:top w:val="single" w:color="000000" w:sz="2" w:space="0"/>
              <w:bottom w:val="single" w:color="000000" w:sz="2" w:space="0"/>
            </w:tcBorders>
            <w:vAlign w:val="top"/>
          </w:tcPr>
          <w:p w14:paraId="3E6FA593">
            <w:pPr>
              <w:rPr>
                <w:rFonts w:ascii="Arial"/>
                <w:sz w:val="21"/>
              </w:rPr>
            </w:pPr>
          </w:p>
        </w:tc>
        <w:tc>
          <w:tcPr>
            <w:tcW w:w="234" w:type="dxa"/>
            <w:tcBorders>
              <w:top w:val="single" w:color="000000" w:sz="2" w:space="0"/>
              <w:bottom w:val="single" w:color="000000" w:sz="2" w:space="0"/>
            </w:tcBorders>
            <w:vAlign w:val="top"/>
          </w:tcPr>
          <w:p w14:paraId="1DD489FE">
            <w:pPr>
              <w:rPr>
                <w:rFonts w:ascii="Arial"/>
                <w:sz w:val="21"/>
              </w:rPr>
            </w:pPr>
          </w:p>
        </w:tc>
      </w:tr>
    </w:tbl>
    <w:p w14:paraId="538564B2">
      <w:pPr>
        <w:spacing w:before="128" w:line="221" w:lineRule="auto"/>
        <w:ind w:left="767"/>
        <w:rPr>
          <w:rFonts w:ascii="黑体" w:hAnsi="黑体" w:eastAsia="黑体" w:cs="黑体"/>
          <w:sz w:val="20"/>
          <w:szCs w:val="20"/>
        </w:rPr>
      </w:pPr>
      <w:r>
        <w:rPr>
          <w:rFonts w:ascii="黑体" w:hAnsi="黑体" w:eastAsia="黑体" w:cs="黑体"/>
          <w:b/>
          <w:bCs/>
          <w:spacing w:val="-4"/>
          <w:sz w:val="20"/>
          <w:szCs w:val="20"/>
        </w:rPr>
        <w:t>第五章</w:t>
      </w:r>
      <w:r>
        <w:rPr>
          <w:rFonts w:ascii="黑体" w:hAnsi="黑体" w:eastAsia="黑体" w:cs="黑体"/>
          <w:spacing w:val="-4"/>
          <w:sz w:val="20"/>
          <w:szCs w:val="20"/>
        </w:rPr>
        <w:t xml:space="preserve">  </w:t>
      </w:r>
      <w:r>
        <w:rPr>
          <w:rFonts w:ascii="黑体" w:hAnsi="黑体" w:eastAsia="黑体" w:cs="黑体"/>
          <w:b/>
          <w:bCs/>
          <w:spacing w:val="-4"/>
          <w:sz w:val="20"/>
          <w:szCs w:val="20"/>
        </w:rPr>
        <w:t>水、电解质代谢紊乱</w:t>
      </w:r>
    </w:p>
    <w:p w14:paraId="3C2BF2AD">
      <w:pPr>
        <w:spacing w:line="72" w:lineRule="exact"/>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83"/>
        <w:gridCol w:w="2324"/>
        <w:gridCol w:w="220"/>
        <w:gridCol w:w="229"/>
        <w:gridCol w:w="229"/>
        <w:gridCol w:w="234"/>
      </w:tblGrid>
      <w:tr w14:paraId="5F6343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4" w:hRule="atLeast"/>
        </w:trPr>
        <w:tc>
          <w:tcPr>
            <w:tcW w:w="883" w:type="dxa"/>
            <w:vMerge w:val="restart"/>
            <w:tcBorders>
              <w:bottom w:val="nil"/>
            </w:tcBorders>
            <w:vAlign w:val="top"/>
          </w:tcPr>
          <w:p w14:paraId="1E126FA4">
            <w:pPr>
              <w:pStyle w:val="6"/>
              <w:spacing w:before="171" w:line="231" w:lineRule="auto"/>
              <w:ind w:left="266" w:right="25" w:hanging="259"/>
            </w:pPr>
            <w:r>
              <w:rPr>
                <w:b/>
                <w:bCs/>
                <w:spacing w:val="-4"/>
              </w:rPr>
              <w:t>知识与技能</w:t>
            </w:r>
            <w:r>
              <w:t xml:space="preserve"> </w:t>
            </w:r>
            <w:r>
              <w:rPr>
                <w:b/>
                <w:bCs/>
                <w:spacing w:val="-4"/>
              </w:rPr>
              <w:t>要点</w:t>
            </w:r>
          </w:p>
        </w:tc>
        <w:tc>
          <w:tcPr>
            <w:tcW w:w="2324" w:type="dxa"/>
            <w:vMerge w:val="restart"/>
            <w:tcBorders>
              <w:bottom w:val="nil"/>
            </w:tcBorders>
            <w:vAlign w:val="top"/>
          </w:tcPr>
          <w:p w14:paraId="377CAA74">
            <w:pPr>
              <w:pStyle w:val="6"/>
              <w:spacing w:before="279" w:line="219" w:lineRule="auto"/>
              <w:ind w:left="834"/>
            </w:pPr>
            <w:r>
              <w:rPr>
                <w:b/>
                <w:bCs/>
                <w:spacing w:val="5"/>
              </w:rPr>
              <w:t>考试条目</w:t>
            </w:r>
          </w:p>
        </w:tc>
        <w:tc>
          <w:tcPr>
            <w:tcW w:w="912" w:type="dxa"/>
            <w:gridSpan w:val="4"/>
            <w:vAlign w:val="top"/>
          </w:tcPr>
          <w:p w14:paraId="00E545EF">
            <w:pPr>
              <w:pStyle w:val="6"/>
              <w:spacing w:before="99" w:line="219" w:lineRule="auto"/>
              <w:ind w:left="110"/>
            </w:pPr>
            <w:r>
              <w:rPr>
                <w:b/>
                <w:bCs/>
                <w:spacing w:val="-4"/>
              </w:rPr>
              <w:t>考试水平</w:t>
            </w:r>
          </w:p>
        </w:tc>
      </w:tr>
      <w:tr w14:paraId="32D4CE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9" w:hRule="atLeast"/>
        </w:trPr>
        <w:tc>
          <w:tcPr>
            <w:tcW w:w="883" w:type="dxa"/>
            <w:vMerge w:val="continue"/>
            <w:tcBorders>
              <w:top w:val="nil"/>
            </w:tcBorders>
            <w:vAlign w:val="top"/>
          </w:tcPr>
          <w:p w14:paraId="502A8F7A">
            <w:pPr>
              <w:rPr>
                <w:rFonts w:ascii="Arial"/>
                <w:sz w:val="21"/>
              </w:rPr>
            </w:pPr>
          </w:p>
        </w:tc>
        <w:tc>
          <w:tcPr>
            <w:tcW w:w="2324" w:type="dxa"/>
            <w:vMerge w:val="continue"/>
            <w:tcBorders>
              <w:top w:val="nil"/>
            </w:tcBorders>
            <w:vAlign w:val="top"/>
          </w:tcPr>
          <w:p w14:paraId="318D4BCC">
            <w:pPr>
              <w:rPr>
                <w:rFonts w:ascii="Arial"/>
                <w:sz w:val="21"/>
              </w:rPr>
            </w:pPr>
          </w:p>
        </w:tc>
        <w:tc>
          <w:tcPr>
            <w:tcW w:w="220" w:type="dxa"/>
            <w:vAlign w:val="top"/>
          </w:tcPr>
          <w:p w14:paraId="04C3D27A">
            <w:pPr>
              <w:pStyle w:val="6"/>
              <w:spacing w:before="130" w:line="184" w:lineRule="auto"/>
              <w:ind w:left="10"/>
            </w:pPr>
            <w:r>
              <w:rPr>
                <w:b/>
                <w:bCs/>
                <w:spacing w:val="-2"/>
              </w:rPr>
              <w:t>A</w:t>
            </w:r>
          </w:p>
        </w:tc>
        <w:tc>
          <w:tcPr>
            <w:tcW w:w="229" w:type="dxa"/>
            <w:vAlign w:val="top"/>
          </w:tcPr>
          <w:p w14:paraId="05341BED">
            <w:pPr>
              <w:pStyle w:val="6"/>
              <w:spacing w:before="132" w:line="182" w:lineRule="auto"/>
              <w:ind w:right="3"/>
              <w:jc w:val="right"/>
            </w:pPr>
            <w:r>
              <w:rPr>
                <w:b/>
                <w:bCs/>
                <w:spacing w:val="-2"/>
              </w:rPr>
              <w:t>B</w:t>
            </w:r>
          </w:p>
        </w:tc>
        <w:tc>
          <w:tcPr>
            <w:tcW w:w="229" w:type="dxa"/>
            <w:vAlign w:val="top"/>
          </w:tcPr>
          <w:p w14:paraId="38170902">
            <w:pPr>
              <w:pStyle w:val="6"/>
              <w:spacing w:before="130" w:line="183" w:lineRule="auto"/>
              <w:ind w:left="51"/>
            </w:pPr>
            <w:r>
              <w:rPr>
                <w:b/>
                <w:bCs/>
                <w:spacing w:val="-2"/>
              </w:rPr>
              <w:t>C</w:t>
            </w:r>
          </w:p>
        </w:tc>
        <w:tc>
          <w:tcPr>
            <w:tcW w:w="234" w:type="dxa"/>
            <w:vAlign w:val="top"/>
          </w:tcPr>
          <w:p w14:paraId="2019D7F4">
            <w:pPr>
              <w:pStyle w:val="6"/>
              <w:spacing w:before="132" w:line="182" w:lineRule="auto"/>
              <w:ind w:left="72"/>
            </w:pPr>
            <w:r>
              <w:rPr>
                <w:b/>
                <w:bCs/>
                <w:spacing w:val="-2"/>
              </w:rPr>
              <w:t>D</w:t>
            </w:r>
          </w:p>
        </w:tc>
      </w:tr>
      <w:tr w14:paraId="7CB7F5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9" w:hRule="atLeast"/>
        </w:trPr>
        <w:tc>
          <w:tcPr>
            <w:tcW w:w="883" w:type="dxa"/>
            <w:vMerge w:val="restart"/>
            <w:tcBorders>
              <w:bottom w:val="nil"/>
            </w:tcBorders>
            <w:vAlign w:val="top"/>
          </w:tcPr>
          <w:p w14:paraId="64352864">
            <w:pPr>
              <w:spacing w:line="321" w:lineRule="auto"/>
              <w:rPr>
                <w:rFonts w:ascii="Arial"/>
                <w:sz w:val="21"/>
              </w:rPr>
            </w:pPr>
          </w:p>
          <w:p w14:paraId="744D19B7">
            <w:pPr>
              <w:pStyle w:val="6"/>
              <w:spacing w:before="56" w:line="219" w:lineRule="auto"/>
              <w:ind w:left="265"/>
            </w:pPr>
            <w:r>
              <w:rPr>
                <w:spacing w:val="-2"/>
              </w:rPr>
              <w:t>脱水</w:t>
            </w:r>
          </w:p>
        </w:tc>
        <w:tc>
          <w:tcPr>
            <w:tcW w:w="2324" w:type="dxa"/>
            <w:vMerge w:val="restart"/>
            <w:tcBorders>
              <w:bottom w:val="nil"/>
            </w:tcBorders>
            <w:vAlign w:val="top"/>
          </w:tcPr>
          <w:p w14:paraId="1A9A4186">
            <w:pPr>
              <w:pStyle w:val="6"/>
              <w:spacing w:before="59" w:line="228" w:lineRule="auto"/>
              <w:ind w:left="12" w:right="7"/>
            </w:pPr>
            <w:r>
              <w:rPr>
                <w:spacing w:val="6"/>
              </w:rPr>
              <w:t>1.高渗性脱水的概念、原因、</w:t>
            </w:r>
            <w:r>
              <w:t xml:space="preserve"> </w:t>
            </w:r>
            <w:r>
              <w:rPr>
                <w:spacing w:val="1"/>
              </w:rPr>
              <w:t>对机体影响和防治原则</w:t>
            </w:r>
          </w:p>
          <w:p w14:paraId="2FB2D150">
            <w:pPr>
              <w:pStyle w:val="6"/>
              <w:spacing w:before="28" w:line="217" w:lineRule="auto"/>
              <w:ind w:left="12" w:right="1290"/>
            </w:pPr>
            <w:r>
              <w:rPr>
                <w:spacing w:val="-2"/>
              </w:rPr>
              <w:t>2.低渗性脱水</w:t>
            </w:r>
            <w:r>
              <w:rPr>
                <w:spacing w:val="4"/>
              </w:rPr>
              <w:t xml:space="preserve"> </w:t>
            </w:r>
            <w:r>
              <w:rPr>
                <w:spacing w:val="-2"/>
              </w:rPr>
              <w:t>3.等渗性脱水</w:t>
            </w:r>
          </w:p>
        </w:tc>
        <w:tc>
          <w:tcPr>
            <w:tcW w:w="220" w:type="dxa"/>
            <w:vAlign w:val="top"/>
          </w:tcPr>
          <w:p w14:paraId="59215F1D">
            <w:pPr>
              <w:rPr>
                <w:rFonts w:ascii="Arial"/>
                <w:sz w:val="21"/>
              </w:rPr>
            </w:pPr>
          </w:p>
        </w:tc>
        <w:tc>
          <w:tcPr>
            <w:tcW w:w="229" w:type="dxa"/>
            <w:vAlign w:val="top"/>
          </w:tcPr>
          <w:p w14:paraId="1DCC7517">
            <w:pPr>
              <w:rPr>
                <w:rFonts w:ascii="Arial"/>
                <w:sz w:val="21"/>
              </w:rPr>
            </w:pPr>
          </w:p>
        </w:tc>
        <w:tc>
          <w:tcPr>
            <w:tcW w:w="229" w:type="dxa"/>
            <w:vAlign w:val="top"/>
          </w:tcPr>
          <w:p w14:paraId="065384E9">
            <w:pPr>
              <w:rPr>
                <w:rFonts w:ascii="Arial"/>
                <w:sz w:val="21"/>
              </w:rPr>
            </w:pPr>
          </w:p>
        </w:tc>
        <w:tc>
          <w:tcPr>
            <w:tcW w:w="234" w:type="dxa"/>
            <w:vAlign w:val="top"/>
          </w:tcPr>
          <w:p w14:paraId="3BD12D90">
            <w:pPr>
              <w:pStyle w:val="6"/>
              <w:spacing w:before="165" w:line="238" w:lineRule="auto"/>
              <w:ind w:left="30"/>
            </w:pPr>
            <w:r>
              <w:t>√</w:t>
            </w:r>
          </w:p>
        </w:tc>
      </w:tr>
      <w:tr w14:paraId="66BC30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0" w:hRule="atLeast"/>
        </w:trPr>
        <w:tc>
          <w:tcPr>
            <w:tcW w:w="883" w:type="dxa"/>
            <w:vMerge w:val="continue"/>
            <w:tcBorders>
              <w:top w:val="nil"/>
              <w:bottom w:val="nil"/>
            </w:tcBorders>
            <w:vAlign w:val="top"/>
          </w:tcPr>
          <w:p w14:paraId="67B538A5">
            <w:pPr>
              <w:rPr>
                <w:rFonts w:ascii="Arial"/>
                <w:sz w:val="21"/>
              </w:rPr>
            </w:pPr>
          </w:p>
        </w:tc>
        <w:tc>
          <w:tcPr>
            <w:tcW w:w="2324" w:type="dxa"/>
            <w:vMerge w:val="continue"/>
            <w:tcBorders>
              <w:top w:val="nil"/>
              <w:bottom w:val="nil"/>
            </w:tcBorders>
            <w:vAlign w:val="top"/>
          </w:tcPr>
          <w:p w14:paraId="2A7E9F7B">
            <w:pPr>
              <w:rPr>
                <w:rFonts w:ascii="Arial"/>
                <w:sz w:val="21"/>
              </w:rPr>
            </w:pPr>
          </w:p>
        </w:tc>
        <w:tc>
          <w:tcPr>
            <w:tcW w:w="220" w:type="dxa"/>
            <w:vAlign w:val="top"/>
          </w:tcPr>
          <w:p w14:paraId="5AF65849">
            <w:pPr>
              <w:spacing w:line="210" w:lineRule="exact"/>
              <w:rPr>
                <w:rFonts w:ascii="Arial"/>
                <w:sz w:val="18"/>
              </w:rPr>
            </w:pPr>
          </w:p>
        </w:tc>
        <w:tc>
          <w:tcPr>
            <w:tcW w:w="229" w:type="dxa"/>
            <w:vAlign w:val="top"/>
          </w:tcPr>
          <w:p w14:paraId="0BC8C935">
            <w:pPr>
              <w:spacing w:line="210" w:lineRule="exact"/>
              <w:rPr>
                <w:rFonts w:ascii="Arial"/>
                <w:sz w:val="18"/>
              </w:rPr>
            </w:pPr>
          </w:p>
        </w:tc>
        <w:tc>
          <w:tcPr>
            <w:tcW w:w="229" w:type="dxa"/>
            <w:vAlign w:val="top"/>
          </w:tcPr>
          <w:p w14:paraId="19C1E062">
            <w:pPr>
              <w:spacing w:line="210" w:lineRule="exact"/>
              <w:rPr>
                <w:rFonts w:ascii="Arial"/>
                <w:sz w:val="18"/>
              </w:rPr>
            </w:pPr>
          </w:p>
        </w:tc>
        <w:tc>
          <w:tcPr>
            <w:tcW w:w="234" w:type="dxa"/>
            <w:vAlign w:val="top"/>
          </w:tcPr>
          <w:p w14:paraId="01EC6967">
            <w:pPr>
              <w:pStyle w:val="6"/>
              <w:spacing w:before="59" w:line="231" w:lineRule="auto"/>
              <w:ind w:left="49"/>
              <w:rPr>
                <w:sz w:val="12"/>
                <w:szCs w:val="12"/>
              </w:rPr>
            </w:pPr>
            <w:r>
              <w:rPr>
                <w:sz w:val="12"/>
                <w:szCs w:val="12"/>
              </w:rPr>
              <w:t>√</w:t>
            </w:r>
          </w:p>
        </w:tc>
      </w:tr>
      <w:tr w14:paraId="28AC32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9" w:hRule="atLeast"/>
        </w:trPr>
        <w:tc>
          <w:tcPr>
            <w:tcW w:w="883" w:type="dxa"/>
            <w:vMerge w:val="continue"/>
            <w:tcBorders>
              <w:top w:val="nil"/>
            </w:tcBorders>
            <w:vAlign w:val="top"/>
          </w:tcPr>
          <w:p w14:paraId="7D35BFCD">
            <w:pPr>
              <w:rPr>
                <w:rFonts w:ascii="Arial"/>
                <w:sz w:val="21"/>
              </w:rPr>
            </w:pPr>
          </w:p>
        </w:tc>
        <w:tc>
          <w:tcPr>
            <w:tcW w:w="2324" w:type="dxa"/>
            <w:vMerge w:val="continue"/>
            <w:tcBorders>
              <w:top w:val="nil"/>
            </w:tcBorders>
            <w:vAlign w:val="top"/>
          </w:tcPr>
          <w:p w14:paraId="1706B009">
            <w:pPr>
              <w:rPr>
                <w:rFonts w:ascii="Arial"/>
                <w:sz w:val="21"/>
              </w:rPr>
            </w:pPr>
          </w:p>
        </w:tc>
        <w:tc>
          <w:tcPr>
            <w:tcW w:w="220" w:type="dxa"/>
            <w:vAlign w:val="top"/>
          </w:tcPr>
          <w:p w14:paraId="3212A166">
            <w:pPr>
              <w:pStyle w:val="6"/>
              <w:spacing w:before="59" w:line="214" w:lineRule="auto"/>
              <w:ind w:left="7"/>
              <w:rPr>
                <w:sz w:val="12"/>
                <w:szCs w:val="12"/>
              </w:rPr>
            </w:pPr>
            <w:r>
              <w:rPr>
                <w:sz w:val="12"/>
                <w:szCs w:val="12"/>
              </w:rPr>
              <w:t>√</w:t>
            </w:r>
          </w:p>
        </w:tc>
        <w:tc>
          <w:tcPr>
            <w:tcW w:w="229" w:type="dxa"/>
            <w:vAlign w:val="top"/>
          </w:tcPr>
          <w:p w14:paraId="696F1D4F">
            <w:pPr>
              <w:spacing w:line="199" w:lineRule="exact"/>
              <w:rPr>
                <w:rFonts w:ascii="Arial"/>
                <w:sz w:val="17"/>
              </w:rPr>
            </w:pPr>
          </w:p>
        </w:tc>
        <w:tc>
          <w:tcPr>
            <w:tcW w:w="229" w:type="dxa"/>
            <w:vAlign w:val="top"/>
          </w:tcPr>
          <w:p w14:paraId="41219CBA">
            <w:pPr>
              <w:spacing w:line="199" w:lineRule="exact"/>
              <w:rPr>
                <w:rFonts w:ascii="Arial"/>
                <w:sz w:val="17"/>
              </w:rPr>
            </w:pPr>
          </w:p>
        </w:tc>
        <w:tc>
          <w:tcPr>
            <w:tcW w:w="234" w:type="dxa"/>
            <w:vAlign w:val="top"/>
          </w:tcPr>
          <w:p w14:paraId="360D1718">
            <w:pPr>
              <w:spacing w:line="199" w:lineRule="exact"/>
              <w:rPr>
                <w:rFonts w:ascii="Arial"/>
                <w:sz w:val="17"/>
              </w:rPr>
            </w:pPr>
          </w:p>
        </w:tc>
      </w:tr>
      <w:tr w14:paraId="0FA546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8" w:hRule="atLeast"/>
        </w:trPr>
        <w:tc>
          <w:tcPr>
            <w:tcW w:w="883" w:type="dxa"/>
            <w:vMerge w:val="restart"/>
            <w:tcBorders>
              <w:bottom w:val="nil"/>
            </w:tcBorders>
            <w:vAlign w:val="top"/>
          </w:tcPr>
          <w:p w14:paraId="791F0225">
            <w:pPr>
              <w:spacing w:line="343" w:lineRule="auto"/>
              <w:rPr>
                <w:rFonts w:ascii="Arial"/>
                <w:sz w:val="21"/>
              </w:rPr>
            </w:pPr>
          </w:p>
          <w:p w14:paraId="79A84977">
            <w:pPr>
              <w:pStyle w:val="6"/>
              <w:spacing w:before="55" w:line="219" w:lineRule="auto"/>
              <w:ind w:left="174"/>
            </w:pPr>
            <w:r>
              <w:rPr>
                <w:spacing w:val="-2"/>
              </w:rPr>
              <w:t>钾代谢</w:t>
            </w:r>
          </w:p>
          <w:p w14:paraId="1B68E1D7">
            <w:pPr>
              <w:pStyle w:val="6"/>
              <w:spacing w:before="37" w:line="219" w:lineRule="auto"/>
              <w:ind w:left="265"/>
            </w:pPr>
            <w:r>
              <w:rPr>
                <w:spacing w:val="-2"/>
              </w:rPr>
              <w:t>紊乱</w:t>
            </w:r>
          </w:p>
        </w:tc>
        <w:tc>
          <w:tcPr>
            <w:tcW w:w="2324" w:type="dxa"/>
            <w:vMerge w:val="restart"/>
            <w:tcBorders>
              <w:bottom w:val="nil"/>
            </w:tcBorders>
            <w:vAlign w:val="top"/>
          </w:tcPr>
          <w:p w14:paraId="31FE7708">
            <w:pPr>
              <w:pStyle w:val="6"/>
              <w:spacing w:before="190" w:line="223" w:lineRule="auto"/>
              <w:ind w:left="12" w:right="177"/>
            </w:pPr>
            <w:r>
              <w:rPr>
                <w:spacing w:val="6"/>
              </w:rPr>
              <w:t>1.低钾血症的概念、原因、</w:t>
            </w:r>
            <w:r>
              <w:rPr>
                <w:spacing w:val="5"/>
              </w:rPr>
              <w:t xml:space="preserve"> </w:t>
            </w:r>
            <w:r>
              <w:rPr>
                <w:spacing w:val="1"/>
              </w:rPr>
              <w:t>对机体影响和防治原则</w:t>
            </w:r>
          </w:p>
          <w:p w14:paraId="5142A723">
            <w:pPr>
              <w:pStyle w:val="6"/>
              <w:spacing w:before="29" w:line="223" w:lineRule="auto"/>
              <w:ind w:left="12" w:right="176"/>
            </w:pPr>
            <w:r>
              <w:rPr>
                <w:spacing w:val="6"/>
              </w:rPr>
              <w:t>2.高钾血症的概念、原因、</w:t>
            </w:r>
            <w:r>
              <w:rPr>
                <w:spacing w:val="5"/>
              </w:rPr>
              <w:t xml:space="preserve"> </w:t>
            </w:r>
            <w:r>
              <w:rPr>
                <w:spacing w:val="1"/>
              </w:rPr>
              <w:t>对机体影响和防治原则</w:t>
            </w:r>
          </w:p>
        </w:tc>
        <w:tc>
          <w:tcPr>
            <w:tcW w:w="220" w:type="dxa"/>
            <w:vAlign w:val="top"/>
          </w:tcPr>
          <w:p w14:paraId="1567CFED">
            <w:pPr>
              <w:rPr>
                <w:rFonts w:ascii="Arial"/>
                <w:sz w:val="21"/>
              </w:rPr>
            </w:pPr>
          </w:p>
        </w:tc>
        <w:tc>
          <w:tcPr>
            <w:tcW w:w="229" w:type="dxa"/>
            <w:vAlign w:val="top"/>
          </w:tcPr>
          <w:p w14:paraId="61B58BEB">
            <w:pPr>
              <w:pStyle w:val="6"/>
              <w:spacing w:before="240" w:line="238" w:lineRule="auto"/>
              <w:ind w:left="18"/>
              <w:rPr>
                <w:sz w:val="12"/>
                <w:szCs w:val="12"/>
              </w:rPr>
            </w:pPr>
            <w:r>
              <w:rPr>
                <w:sz w:val="12"/>
                <w:szCs w:val="12"/>
              </w:rPr>
              <w:t>√</w:t>
            </w:r>
          </w:p>
        </w:tc>
        <w:tc>
          <w:tcPr>
            <w:tcW w:w="229" w:type="dxa"/>
            <w:vAlign w:val="top"/>
          </w:tcPr>
          <w:p w14:paraId="6858E036">
            <w:pPr>
              <w:rPr>
                <w:rFonts w:ascii="Arial"/>
                <w:sz w:val="21"/>
              </w:rPr>
            </w:pPr>
          </w:p>
        </w:tc>
        <w:tc>
          <w:tcPr>
            <w:tcW w:w="234" w:type="dxa"/>
            <w:vAlign w:val="top"/>
          </w:tcPr>
          <w:p w14:paraId="48DC56CE">
            <w:pPr>
              <w:rPr>
                <w:rFonts w:ascii="Arial"/>
                <w:sz w:val="21"/>
              </w:rPr>
            </w:pPr>
          </w:p>
        </w:tc>
      </w:tr>
      <w:tr w14:paraId="3BDE57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8" w:hRule="atLeast"/>
        </w:trPr>
        <w:tc>
          <w:tcPr>
            <w:tcW w:w="883" w:type="dxa"/>
            <w:vMerge w:val="continue"/>
            <w:tcBorders>
              <w:top w:val="nil"/>
            </w:tcBorders>
            <w:vAlign w:val="top"/>
          </w:tcPr>
          <w:p w14:paraId="1791AD5D">
            <w:pPr>
              <w:rPr>
                <w:rFonts w:ascii="Arial"/>
                <w:sz w:val="21"/>
              </w:rPr>
            </w:pPr>
          </w:p>
        </w:tc>
        <w:tc>
          <w:tcPr>
            <w:tcW w:w="2324" w:type="dxa"/>
            <w:vMerge w:val="continue"/>
            <w:tcBorders>
              <w:top w:val="nil"/>
            </w:tcBorders>
            <w:vAlign w:val="top"/>
          </w:tcPr>
          <w:p w14:paraId="2B47E4C4">
            <w:pPr>
              <w:rPr>
                <w:rFonts w:ascii="Arial"/>
                <w:sz w:val="21"/>
              </w:rPr>
            </w:pPr>
          </w:p>
        </w:tc>
        <w:tc>
          <w:tcPr>
            <w:tcW w:w="220" w:type="dxa"/>
            <w:vAlign w:val="top"/>
          </w:tcPr>
          <w:p w14:paraId="238596C8">
            <w:pPr>
              <w:rPr>
                <w:rFonts w:ascii="Arial"/>
                <w:sz w:val="21"/>
              </w:rPr>
            </w:pPr>
          </w:p>
        </w:tc>
        <w:tc>
          <w:tcPr>
            <w:tcW w:w="229" w:type="dxa"/>
            <w:vAlign w:val="top"/>
          </w:tcPr>
          <w:p w14:paraId="2A255B50">
            <w:pPr>
              <w:rPr>
                <w:rFonts w:ascii="Arial"/>
                <w:sz w:val="21"/>
              </w:rPr>
            </w:pPr>
          </w:p>
        </w:tc>
        <w:tc>
          <w:tcPr>
            <w:tcW w:w="229" w:type="dxa"/>
            <w:vAlign w:val="top"/>
          </w:tcPr>
          <w:p w14:paraId="24FC14DD">
            <w:pPr>
              <w:rPr>
                <w:rFonts w:ascii="Arial"/>
                <w:sz w:val="21"/>
              </w:rPr>
            </w:pPr>
          </w:p>
        </w:tc>
        <w:tc>
          <w:tcPr>
            <w:tcW w:w="234" w:type="dxa"/>
            <w:vAlign w:val="top"/>
          </w:tcPr>
          <w:p w14:paraId="0B4C7B22">
            <w:pPr>
              <w:rPr>
                <w:rFonts w:ascii="Arial"/>
                <w:sz w:val="21"/>
              </w:rPr>
            </w:pPr>
          </w:p>
        </w:tc>
      </w:tr>
      <w:tr w14:paraId="4DBD5D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9" w:hRule="atLeast"/>
        </w:trPr>
        <w:tc>
          <w:tcPr>
            <w:tcW w:w="883" w:type="dxa"/>
            <w:vMerge w:val="restart"/>
            <w:tcBorders>
              <w:bottom w:val="nil"/>
            </w:tcBorders>
            <w:vAlign w:val="top"/>
          </w:tcPr>
          <w:p w14:paraId="196CF62A">
            <w:pPr>
              <w:spacing w:line="307" w:lineRule="auto"/>
              <w:rPr>
                <w:rFonts w:ascii="Arial"/>
                <w:sz w:val="21"/>
              </w:rPr>
            </w:pPr>
          </w:p>
          <w:p w14:paraId="4B59E83D">
            <w:pPr>
              <w:pStyle w:val="6"/>
              <w:spacing w:before="56" w:line="219" w:lineRule="auto"/>
              <w:ind w:left="265"/>
            </w:pPr>
            <w:r>
              <w:rPr>
                <w:spacing w:val="7"/>
              </w:rPr>
              <w:t>水肿</w:t>
            </w:r>
          </w:p>
        </w:tc>
        <w:tc>
          <w:tcPr>
            <w:tcW w:w="2324" w:type="dxa"/>
            <w:vMerge w:val="restart"/>
            <w:tcBorders>
              <w:bottom w:val="nil"/>
            </w:tcBorders>
            <w:vAlign w:val="top"/>
          </w:tcPr>
          <w:p w14:paraId="577D2994">
            <w:pPr>
              <w:pStyle w:val="6"/>
              <w:spacing w:before="43" w:line="218" w:lineRule="auto"/>
              <w:ind w:left="12"/>
            </w:pPr>
            <w:r>
              <w:rPr>
                <w:spacing w:val="1"/>
              </w:rPr>
              <w:t>1.水肿的概念和发生机制</w:t>
            </w:r>
          </w:p>
          <w:p w14:paraId="572B7E75">
            <w:pPr>
              <w:pStyle w:val="6"/>
              <w:spacing w:before="1" w:line="238" w:lineRule="auto"/>
              <w:ind w:left="12" w:right="246"/>
            </w:pPr>
            <w:r>
              <w:rPr>
                <w:spacing w:val="1"/>
              </w:rPr>
              <w:t xml:space="preserve">2.常见类型水肿的临床特点 </w:t>
            </w:r>
            <w:r>
              <w:rPr>
                <w:spacing w:val="2"/>
              </w:rPr>
              <w:t>与发病机制</w:t>
            </w:r>
          </w:p>
          <w:p w14:paraId="3AD151CA">
            <w:pPr>
              <w:pStyle w:val="6"/>
              <w:spacing w:line="203" w:lineRule="auto"/>
              <w:ind w:left="12"/>
            </w:pPr>
            <w:r>
              <w:rPr>
                <w:spacing w:val="1"/>
              </w:rPr>
              <w:t>3.水肿对机体的影响</w:t>
            </w:r>
          </w:p>
        </w:tc>
        <w:tc>
          <w:tcPr>
            <w:tcW w:w="220" w:type="dxa"/>
            <w:vAlign w:val="top"/>
          </w:tcPr>
          <w:p w14:paraId="1AAB1268">
            <w:pPr>
              <w:rPr>
                <w:rFonts w:ascii="Arial"/>
                <w:sz w:val="21"/>
              </w:rPr>
            </w:pPr>
          </w:p>
        </w:tc>
        <w:tc>
          <w:tcPr>
            <w:tcW w:w="229" w:type="dxa"/>
            <w:vAlign w:val="top"/>
          </w:tcPr>
          <w:p w14:paraId="77702652">
            <w:pPr>
              <w:rPr>
                <w:rFonts w:ascii="Arial"/>
                <w:sz w:val="21"/>
              </w:rPr>
            </w:pPr>
          </w:p>
        </w:tc>
        <w:tc>
          <w:tcPr>
            <w:tcW w:w="229" w:type="dxa"/>
            <w:vAlign w:val="top"/>
          </w:tcPr>
          <w:p w14:paraId="7CD0E989">
            <w:pPr>
              <w:rPr>
                <w:rFonts w:ascii="Arial"/>
                <w:sz w:val="21"/>
              </w:rPr>
            </w:pPr>
          </w:p>
        </w:tc>
        <w:tc>
          <w:tcPr>
            <w:tcW w:w="234" w:type="dxa"/>
            <w:vAlign w:val="top"/>
          </w:tcPr>
          <w:p w14:paraId="73BF2F65">
            <w:pPr>
              <w:rPr>
                <w:rFonts w:ascii="Arial"/>
                <w:sz w:val="21"/>
              </w:rPr>
            </w:pPr>
          </w:p>
        </w:tc>
      </w:tr>
      <w:tr w14:paraId="537A34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883" w:type="dxa"/>
            <w:vMerge w:val="continue"/>
            <w:tcBorders>
              <w:top w:val="nil"/>
              <w:bottom w:val="nil"/>
            </w:tcBorders>
            <w:vAlign w:val="top"/>
          </w:tcPr>
          <w:p w14:paraId="490B2249">
            <w:pPr>
              <w:rPr>
                <w:rFonts w:ascii="Arial"/>
                <w:sz w:val="21"/>
              </w:rPr>
            </w:pPr>
          </w:p>
        </w:tc>
        <w:tc>
          <w:tcPr>
            <w:tcW w:w="2324" w:type="dxa"/>
            <w:vMerge w:val="continue"/>
            <w:tcBorders>
              <w:top w:val="nil"/>
              <w:bottom w:val="nil"/>
            </w:tcBorders>
            <w:vAlign w:val="top"/>
          </w:tcPr>
          <w:p w14:paraId="15E665B6">
            <w:pPr>
              <w:rPr>
                <w:rFonts w:ascii="Arial"/>
                <w:sz w:val="21"/>
              </w:rPr>
            </w:pPr>
          </w:p>
        </w:tc>
        <w:tc>
          <w:tcPr>
            <w:tcW w:w="220" w:type="dxa"/>
            <w:vAlign w:val="top"/>
          </w:tcPr>
          <w:p w14:paraId="7CAFB53C">
            <w:pPr>
              <w:rPr>
                <w:rFonts w:ascii="Arial"/>
                <w:sz w:val="21"/>
              </w:rPr>
            </w:pPr>
          </w:p>
        </w:tc>
        <w:tc>
          <w:tcPr>
            <w:tcW w:w="229" w:type="dxa"/>
            <w:vAlign w:val="top"/>
          </w:tcPr>
          <w:p w14:paraId="32CEFA37">
            <w:pPr>
              <w:rPr>
                <w:rFonts w:ascii="Arial"/>
                <w:sz w:val="21"/>
              </w:rPr>
            </w:pPr>
          </w:p>
        </w:tc>
        <w:tc>
          <w:tcPr>
            <w:tcW w:w="229" w:type="dxa"/>
            <w:vAlign w:val="top"/>
          </w:tcPr>
          <w:p w14:paraId="14886FF7">
            <w:pPr>
              <w:rPr>
                <w:rFonts w:ascii="Arial"/>
                <w:sz w:val="21"/>
              </w:rPr>
            </w:pPr>
          </w:p>
        </w:tc>
        <w:tc>
          <w:tcPr>
            <w:tcW w:w="234" w:type="dxa"/>
            <w:vAlign w:val="top"/>
          </w:tcPr>
          <w:p w14:paraId="7FF5144B">
            <w:pPr>
              <w:rPr>
                <w:rFonts w:ascii="Arial"/>
                <w:sz w:val="21"/>
              </w:rPr>
            </w:pPr>
          </w:p>
        </w:tc>
      </w:tr>
      <w:tr w14:paraId="610E4E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4" w:hRule="atLeast"/>
        </w:trPr>
        <w:tc>
          <w:tcPr>
            <w:tcW w:w="883" w:type="dxa"/>
            <w:vMerge w:val="continue"/>
            <w:tcBorders>
              <w:top w:val="nil"/>
            </w:tcBorders>
            <w:vAlign w:val="top"/>
          </w:tcPr>
          <w:p w14:paraId="03723456">
            <w:pPr>
              <w:rPr>
                <w:rFonts w:ascii="Arial"/>
                <w:sz w:val="21"/>
              </w:rPr>
            </w:pPr>
          </w:p>
        </w:tc>
        <w:tc>
          <w:tcPr>
            <w:tcW w:w="2324" w:type="dxa"/>
            <w:vMerge w:val="continue"/>
            <w:tcBorders>
              <w:top w:val="nil"/>
            </w:tcBorders>
            <w:vAlign w:val="top"/>
          </w:tcPr>
          <w:p w14:paraId="6693561E">
            <w:pPr>
              <w:rPr>
                <w:rFonts w:ascii="Arial"/>
                <w:sz w:val="21"/>
              </w:rPr>
            </w:pPr>
          </w:p>
        </w:tc>
        <w:tc>
          <w:tcPr>
            <w:tcW w:w="220" w:type="dxa"/>
            <w:vAlign w:val="top"/>
          </w:tcPr>
          <w:p w14:paraId="244E059D">
            <w:pPr>
              <w:rPr>
                <w:rFonts w:ascii="Arial"/>
                <w:sz w:val="21"/>
              </w:rPr>
            </w:pPr>
          </w:p>
        </w:tc>
        <w:tc>
          <w:tcPr>
            <w:tcW w:w="229" w:type="dxa"/>
            <w:vAlign w:val="top"/>
          </w:tcPr>
          <w:p w14:paraId="27DE1247">
            <w:pPr>
              <w:rPr>
                <w:rFonts w:ascii="Arial"/>
                <w:sz w:val="21"/>
              </w:rPr>
            </w:pPr>
          </w:p>
        </w:tc>
        <w:tc>
          <w:tcPr>
            <w:tcW w:w="229" w:type="dxa"/>
            <w:vAlign w:val="top"/>
          </w:tcPr>
          <w:p w14:paraId="700C04CE">
            <w:pPr>
              <w:rPr>
                <w:rFonts w:ascii="Arial"/>
                <w:sz w:val="21"/>
              </w:rPr>
            </w:pPr>
          </w:p>
        </w:tc>
        <w:tc>
          <w:tcPr>
            <w:tcW w:w="234" w:type="dxa"/>
            <w:vAlign w:val="top"/>
          </w:tcPr>
          <w:p w14:paraId="1ACA5DFF">
            <w:pPr>
              <w:rPr>
                <w:rFonts w:ascii="Arial"/>
                <w:sz w:val="21"/>
              </w:rPr>
            </w:pPr>
          </w:p>
        </w:tc>
      </w:tr>
    </w:tbl>
    <w:p w14:paraId="47B66743">
      <w:pPr>
        <w:spacing w:before="118" w:line="221" w:lineRule="auto"/>
        <w:ind w:left="1467"/>
        <w:rPr>
          <w:rFonts w:ascii="黑体" w:hAnsi="黑体" w:eastAsia="黑体" w:cs="黑体"/>
          <w:sz w:val="20"/>
          <w:szCs w:val="20"/>
        </w:rPr>
      </w:pPr>
      <w:r>
        <w:rPr>
          <w:rFonts w:ascii="黑体" w:hAnsi="黑体" w:eastAsia="黑体" w:cs="黑体"/>
          <w:b/>
          <w:bCs/>
          <w:spacing w:val="-4"/>
          <w:sz w:val="20"/>
          <w:szCs w:val="20"/>
        </w:rPr>
        <w:t>第六章</w:t>
      </w:r>
      <w:r>
        <w:rPr>
          <w:rFonts w:ascii="黑体" w:hAnsi="黑体" w:eastAsia="黑体" w:cs="黑体"/>
          <w:spacing w:val="-4"/>
          <w:sz w:val="20"/>
          <w:szCs w:val="20"/>
        </w:rPr>
        <w:t xml:space="preserve">  </w:t>
      </w:r>
      <w:r>
        <w:rPr>
          <w:rFonts w:ascii="黑体" w:hAnsi="黑体" w:eastAsia="黑体" w:cs="黑体"/>
          <w:b/>
          <w:bCs/>
          <w:spacing w:val="-4"/>
          <w:sz w:val="20"/>
          <w:szCs w:val="20"/>
        </w:rPr>
        <w:t>炎症</w:t>
      </w:r>
    </w:p>
    <w:p w14:paraId="0E2640A2">
      <w:pPr>
        <w:spacing w:line="82" w:lineRule="exact"/>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83"/>
        <w:gridCol w:w="2324"/>
        <w:gridCol w:w="220"/>
        <w:gridCol w:w="229"/>
        <w:gridCol w:w="229"/>
        <w:gridCol w:w="234"/>
      </w:tblGrid>
      <w:tr w14:paraId="08FE4E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4" w:hRule="atLeast"/>
        </w:trPr>
        <w:tc>
          <w:tcPr>
            <w:tcW w:w="883" w:type="dxa"/>
            <w:vMerge w:val="restart"/>
            <w:tcBorders>
              <w:bottom w:val="nil"/>
            </w:tcBorders>
            <w:vAlign w:val="top"/>
          </w:tcPr>
          <w:p w14:paraId="7E624728">
            <w:pPr>
              <w:pStyle w:val="6"/>
              <w:spacing w:before="171" w:line="220" w:lineRule="auto"/>
              <w:ind w:left="266" w:right="25" w:hanging="259"/>
            </w:pPr>
            <w:r>
              <w:rPr>
                <w:b/>
                <w:bCs/>
                <w:spacing w:val="-4"/>
              </w:rPr>
              <w:t>知识与技能</w:t>
            </w:r>
            <w:r>
              <w:t xml:space="preserve"> </w:t>
            </w:r>
            <w:r>
              <w:rPr>
                <w:b/>
                <w:bCs/>
                <w:spacing w:val="-4"/>
              </w:rPr>
              <w:t>要点</w:t>
            </w:r>
          </w:p>
        </w:tc>
        <w:tc>
          <w:tcPr>
            <w:tcW w:w="2324" w:type="dxa"/>
            <w:vMerge w:val="restart"/>
            <w:tcBorders>
              <w:bottom w:val="nil"/>
            </w:tcBorders>
            <w:vAlign w:val="top"/>
          </w:tcPr>
          <w:p w14:paraId="67024875">
            <w:pPr>
              <w:pStyle w:val="6"/>
              <w:spacing w:before="279" w:line="219" w:lineRule="auto"/>
              <w:ind w:left="844"/>
            </w:pPr>
            <w:r>
              <w:rPr>
                <w:b/>
                <w:bCs/>
                <w:spacing w:val="5"/>
              </w:rPr>
              <w:t>考试条目</w:t>
            </w:r>
          </w:p>
        </w:tc>
        <w:tc>
          <w:tcPr>
            <w:tcW w:w="912" w:type="dxa"/>
            <w:gridSpan w:val="4"/>
            <w:vAlign w:val="top"/>
          </w:tcPr>
          <w:p w14:paraId="0D81A793">
            <w:pPr>
              <w:pStyle w:val="6"/>
              <w:spacing w:before="99" w:line="219" w:lineRule="auto"/>
              <w:ind w:left="140"/>
            </w:pPr>
            <w:r>
              <w:rPr>
                <w:b/>
                <w:bCs/>
                <w:spacing w:val="-4"/>
              </w:rPr>
              <w:t>考试水平</w:t>
            </w:r>
          </w:p>
        </w:tc>
      </w:tr>
      <w:tr w14:paraId="31AA00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9" w:hRule="atLeast"/>
        </w:trPr>
        <w:tc>
          <w:tcPr>
            <w:tcW w:w="883" w:type="dxa"/>
            <w:vMerge w:val="continue"/>
            <w:tcBorders>
              <w:top w:val="nil"/>
            </w:tcBorders>
            <w:vAlign w:val="top"/>
          </w:tcPr>
          <w:p w14:paraId="2B29A345">
            <w:pPr>
              <w:rPr>
                <w:rFonts w:ascii="Arial"/>
                <w:sz w:val="21"/>
              </w:rPr>
            </w:pPr>
          </w:p>
        </w:tc>
        <w:tc>
          <w:tcPr>
            <w:tcW w:w="2324" w:type="dxa"/>
            <w:vMerge w:val="continue"/>
            <w:tcBorders>
              <w:top w:val="nil"/>
            </w:tcBorders>
            <w:vAlign w:val="top"/>
          </w:tcPr>
          <w:p w14:paraId="491988FE">
            <w:pPr>
              <w:rPr>
                <w:rFonts w:ascii="Arial"/>
                <w:sz w:val="21"/>
              </w:rPr>
            </w:pPr>
          </w:p>
        </w:tc>
        <w:tc>
          <w:tcPr>
            <w:tcW w:w="220" w:type="dxa"/>
            <w:vAlign w:val="top"/>
          </w:tcPr>
          <w:p w14:paraId="27B1FC76">
            <w:pPr>
              <w:pStyle w:val="6"/>
              <w:spacing w:before="130" w:line="184" w:lineRule="auto"/>
              <w:ind w:left="60"/>
            </w:pPr>
            <w:r>
              <w:rPr>
                <w:b/>
                <w:bCs/>
                <w:spacing w:val="-2"/>
              </w:rPr>
              <w:t>A</w:t>
            </w:r>
          </w:p>
        </w:tc>
        <w:tc>
          <w:tcPr>
            <w:tcW w:w="229" w:type="dxa"/>
            <w:vAlign w:val="top"/>
          </w:tcPr>
          <w:p w14:paraId="5EEE1DEA">
            <w:pPr>
              <w:pStyle w:val="6"/>
              <w:spacing w:before="132" w:line="182" w:lineRule="auto"/>
              <w:ind w:left="40"/>
            </w:pPr>
            <w:r>
              <w:rPr>
                <w:b/>
                <w:bCs/>
                <w:spacing w:val="-2"/>
              </w:rPr>
              <w:t>B</w:t>
            </w:r>
          </w:p>
        </w:tc>
        <w:tc>
          <w:tcPr>
            <w:tcW w:w="229" w:type="dxa"/>
            <w:vAlign w:val="top"/>
          </w:tcPr>
          <w:p w14:paraId="5CE51E8F">
            <w:pPr>
              <w:pStyle w:val="6"/>
              <w:spacing w:before="130" w:line="183" w:lineRule="auto"/>
              <w:ind w:left="71"/>
            </w:pPr>
            <w:r>
              <w:rPr>
                <w:b/>
                <w:bCs/>
                <w:spacing w:val="-2"/>
              </w:rPr>
              <w:t>C</w:t>
            </w:r>
          </w:p>
        </w:tc>
        <w:tc>
          <w:tcPr>
            <w:tcW w:w="234" w:type="dxa"/>
            <w:vAlign w:val="top"/>
          </w:tcPr>
          <w:p w14:paraId="5B0495D0">
            <w:pPr>
              <w:pStyle w:val="6"/>
              <w:spacing w:before="132" w:line="182" w:lineRule="auto"/>
              <w:ind w:left="22"/>
            </w:pPr>
            <w:r>
              <w:rPr>
                <w:b/>
                <w:bCs/>
                <w:spacing w:val="-2"/>
              </w:rPr>
              <w:t>D</w:t>
            </w:r>
          </w:p>
        </w:tc>
      </w:tr>
      <w:tr w14:paraId="09D2D4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9" w:hRule="atLeast"/>
        </w:trPr>
        <w:tc>
          <w:tcPr>
            <w:tcW w:w="883" w:type="dxa"/>
            <w:vMerge w:val="restart"/>
            <w:tcBorders>
              <w:bottom w:val="nil"/>
            </w:tcBorders>
            <w:vAlign w:val="top"/>
          </w:tcPr>
          <w:p w14:paraId="527C6E10">
            <w:pPr>
              <w:pStyle w:val="6"/>
              <w:spacing w:before="159" w:line="219" w:lineRule="auto"/>
              <w:ind w:left="94"/>
            </w:pPr>
            <w:r>
              <w:rPr>
                <w:spacing w:val="-2"/>
              </w:rPr>
              <w:t>炎症概述</w:t>
            </w:r>
          </w:p>
        </w:tc>
        <w:tc>
          <w:tcPr>
            <w:tcW w:w="2324" w:type="dxa"/>
            <w:vMerge w:val="restart"/>
            <w:tcBorders>
              <w:bottom w:val="nil"/>
            </w:tcBorders>
            <w:vAlign w:val="top"/>
          </w:tcPr>
          <w:p w14:paraId="7A79BF64">
            <w:pPr>
              <w:pStyle w:val="6"/>
              <w:spacing w:before="78" w:line="217" w:lineRule="auto"/>
              <w:ind w:left="12" w:right="244"/>
            </w:pPr>
            <w:r>
              <w:rPr>
                <w:spacing w:val="1"/>
              </w:rPr>
              <w:t>1.炎症的概念和发生的原因</w:t>
            </w:r>
            <w:r>
              <w:rPr>
                <w:spacing w:val="3"/>
              </w:rPr>
              <w:t xml:space="preserve"> </w:t>
            </w:r>
            <w:r>
              <w:rPr>
                <w:spacing w:val="-1"/>
              </w:rPr>
              <w:t>2.炎症的基本病理变化</w:t>
            </w:r>
          </w:p>
        </w:tc>
        <w:tc>
          <w:tcPr>
            <w:tcW w:w="220" w:type="dxa"/>
            <w:vAlign w:val="top"/>
          </w:tcPr>
          <w:p w14:paraId="268AC099">
            <w:pPr>
              <w:spacing w:line="229" w:lineRule="exact"/>
              <w:rPr>
                <w:rFonts w:ascii="Arial"/>
                <w:sz w:val="19"/>
              </w:rPr>
            </w:pPr>
          </w:p>
        </w:tc>
        <w:tc>
          <w:tcPr>
            <w:tcW w:w="229" w:type="dxa"/>
            <w:vAlign w:val="top"/>
          </w:tcPr>
          <w:p w14:paraId="51A28C04">
            <w:pPr>
              <w:spacing w:line="229" w:lineRule="exact"/>
              <w:rPr>
                <w:rFonts w:ascii="Arial"/>
                <w:sz w:val="19"/>
              </w:rPr>
            </w:pPr>
          </w:p>
        </w:tc>
        <w:tc>
          <w:tcPr>
            <w:tcW w:w="229" w:type="dxa"/>
            <w:vAlign w:val="top"/>
          </w:tcPr>
          <w:p w14:paraId="14F4C470">
            <w:pPr>
              <w:spacing w:line="229" w:lineRule="exact"/>
              <w:rPr>
                <w:rFonts w:ascii="Arial"/>
                <w:sz w:val="19"/>
              </w:rPr>
            </w:pPr>
          </w:p>
        </w:tc>
        <w:tc>
          <w:tcPr>
            <w:tcW w:w="234" w:type="dxa"/>
            <w:vAlign w:val="top"/>
          </w:tcPr>
          <w:p w14:paraId="292CC763">
            <w:pPr>
              <w:spacing w:line="229" w:lineRule="exact"/>
              <w:rPr>
                <w:rFonts w:ascii="Arial"/>
                <w:sz w:val="19"/>
              </w:rPr>
            </w:pPr>
          </w:p>
        </w:tc>
      </w:tr>
      <w:tr w14:paraId="76AB9E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9" w:hRule="atLeast"/>
        </w:trPr>
        <w:tc>
          <w:tcPr>
            <w:tcW w:w="883" w:type="dxa"/>
            <w:vMerge w:val="continue"/>
            <w:tcBorders>
              <w:top w:val="nil"/>
            </w:tcBorders>
            <w:vAlign w:val="top"/>
          </w:tcPr>
          <w:p w14:paraId="686FF2AC">
            <w:pPr>
              <w:rPr>
                <w:rFonts w:ascii="Arial"/>
                <w:sz w:val="21"/>
              </w:rPr>
            </w:pPr>
          </w:p>
        </w:tc>
        <w:tc>
          <w:tcPr>
            <w:tcW w:w="2324" w:type="dxa"/>
            <w:vMerge w:val="continue"/>
            <w:tcBorders>
              <w:top w:val="nil"/>
            </w:tcBorders>
            <w:vAlign w:val="top"/>
          </w:tcPr>
          <w:p w14:paraId="1E70C74D">
            <w:pPr>
              <w:rPr>
                <w:rFonts w:ascii="Arial"/>
                <w:sz w:val="21"/>
              </w:rPr>
            </w:pPr>
          </w:p>
        </w:tc>
        <w:tc>
          <w:tcPr>
            <w:tcW w:w="220" w:type="dxa"/>
            <w:vAlign w:val="top"/>
          </w:tcPr>
          <w:p w14:paraId="50DE5DD6">
            <w:pPr>
              <w:spacing w:line="229" w:lineRule="exact"/>
              <w:rPr>
                <w:rFonts w:ascii="Arial"/>
                <w:sz w:val="19"/>
              </w:rPr>
            </w:pPr>
          </w:p>
        </w:tc>
        <w:tc>
          <w:tcPr>
            <w:tcW w:w="229" w:type="dxa"/>
            <w:vAlign w:val="top"/>
          </w:tcPr>
          <w:p w14:paraId="7BEE83E7">
            <w:pPr>
              <w:spacing w:line="229" w:lineRule="exact"/>
              <w:rPr>
                <w:rFonts w:ascii="Arial"/>
                <w:sz w:val="19"/>
              </w:rPr>
            </w:pPr>
          </w:p>
        </w:tc>
        <w:tc>
          <w:tcPr>
            <w:tcW w:w="229" w:type="dxa"/>
            <w:vAlign w:val="top"/>
          </w:tcPr>
          <w:p w14:paraId="6CC37546">
            <w:pPr>
              <w:pStyle w:val="6"/>
              <w:spacing w:before="56" w:line="187" w:lineRule="auto"/>
              <w:ind w:left="28"/>
            </w:pPr>
            <w:r>
              <w:t>√</w:t>
            </w:r>
          </w:p>
        </w:tc>
        <w:tc>
          <w:tcPr>
            <w:tcW w:w="234" w:type="dxa"/>
            <w:vAlign w:val="top"/>
          </w:tcPr>
          <w:p w14:paraId="3E14797F">
            <w:pPr>
              <w:spacing w:line="229" w:lineRule="exact"/>
              <w:rPr>
                <w:rFonts w:ascii="Arial"/>
                <w:sz w:val="19"/>
              </w:rPr>
            </w:pPr>
          </w:p>
        </w:tc>
      </w:tr>
      <w:tr w14:paraId="0F0E9B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9" w:hRule="atLeast"/>
        </w:trPr>
        <w:tc>
          <w:tcPr>
            <w:tcW w:w="883" w:type="dxa"/>
            <w:vMerge w:val="restart"/>
            <w:tcBorders>
              <w:bottom w:val="nil"/>
            </w:tcBorders>
            <w:vAlign w:val="top"/>
          </w:tcPr>
          <w:p w14:paraId="2070F217">
            <w:pPr>
              <w:pStyle w:val="6"/>
              <w:spacing w:before="30" w:line="221" w:lineRule="auto"/>
              <w:ind w:left="173" w:right="84" w:hanging="79"/>
            </w:pPr>
            <w:r>
              <w:rPr>
                <w:spacing w:val="3"/>
              </w:rPr>
              <w:t>炎症的临</w:t>
            </w:r>
            <w:r>
              <w:t xml:space="preserve"> </w:t>
            </w:r>
            <w:r>
              <w:rPr>
                <w:spacing w:val="-2"/>
              </w:rPr>
              <w:t>床表现</w:t>
            </w:r>
          </w:p>
        </w:tc>
        <w:tc>
          <w:tcPr>
            <w:tcW w:w="2324" w:type="dxa"/>
            <w:vMerge w:val="restart"/>
            <w:tcBorders>
              <w:bottom w:val="nil"/>
            </w:tcBorders>
            <w:vAlign w:val="top"/>
          </w:tcPr>
          <w:p w14:paraId="2FD40173">
            <w:pPr>
              <w:pStyle w:val="6"/>
              <w:spacing w:before="60" w:line="205" w:lineRule="auto"/>
              <w:ind w:left="12" w:right="1445"/>
            </w:pPr>
            <w:r>
              <w:rPr>
                <w:spacing w:val="1"/>
              </w:rPr>
              <w:t>1.局部表现</w:t>
            </w:r>
            <w:r>
              <w:t xml:space="preserve"> </w:t>
            </w:r>
            <w:r>
              <w:rPr>
                <w:spacing w:val="-2"/>
              </w:rPr>
              <w:t>2.全身反应</w:t>
            </w:r>
          </w:p>
        </w:tc>
        <w:tc>
          <w:tcPr>
            <w:tcW w:w="220" w:type="dxa"/>
            <w:vAlign w:val="top"/>
          </w:tcPr>
          <w:p w14:paraId="27417406">
            <w:pPr>
              <w:spacing w:line="209" w:lineRule="exact"/>
              <w:rPr>
                <w:rFonts w:ascii="Arial"/>
                <w:sz w:val="18"/>
              </w:rPr>
            </w:pPr>
          </w:p>
        </w:tc>
        <w:tc>
          <w:tcPr>
            <w:tcW w:w="229" w:type="dxa"/>
            <w:vAlign w:val="top"/>
          </w:tcPr>
          <w:p w14:paraId="727B7DA5">
            <w:pPr>
              <w:spacing w:line="209" w:lineRule="exact"/>
              <w:rPr>
                <w:rFonts w:ascii="Arial"/>
                <w:sz w:val="18"/>
              </w:rPr>
            </w:pPr>
          </w:p>
        </w:tc>
        <w:tc>
          <w:tcPr>
            <w:tcW w:w="229" w:type="dxa"/>
            <w:vAlign w:val="top"/>
          </w:tcPr>
          <w:p w14:paraId="078AFE44">
            <w:pPr>
              <w:spacing w:line="209" w:lineRule="exact"/>
              <w:rPr>
                <w:rFonts w:ascii="Arial"/>
                <w:sz w:val="18"/>
              </w:rPr>
            </w:pPr>
          </w:p>
        </w:tc>
        <w:tc>
          <w:tcPr>
            <w:tcW w:w="234" w:type="dxa"/>
            <w:vAlign w:val="top"/>
          </w:tcPr>
          <w:p w14:paraId="56B6B2D3">
            <w:pPr>
              <w:spacing w:line="209" w:lineRule="exact"/>
              <w:rPr>
                <w:rFonts w:ascii="Arial"/>
                <w:sz w:val="18"/>
              </w:rPr>
            </w:pPr>
          </w:p>
        </w:tc>
      </w:tr>
      <w:tr w14:paraId="45A71A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9" w:hRule="atLeast"/>
        </w:trPr>
        <w:tc>
          <w:tcPr>
            <w:tcW w:w="883" w:type="dxa"/>
            <w:vMerge w:val="continue"/>
            <w:tcBorders>
              <w:top w:val="nil"/>
            </w:tcBorders>
            <w:vAlign w:val="top"/>
          </w:tcPr>
          <w:p w14:paraId="0940BE6E">
            <w:pPr>
              <w:rPr>
                <w:rFonts w:ascii="Arial"/>
                <w:sz w:val="21"/>
              </w:rPr>
            </w:pPr>
          </w:p>
        </w:tc>
        <w:tc>
          <w:tcPr>
            <w:tcW w:w="2324" w:type="dxa"/>
            <w:vMerge w:val="continue"/>
            <w:tcBorders>
              <w:top w:val="nil"/>
            </w:tcBorders>
            <w:vAlign w:val="top"/>
          </w:tcPr>
          <w:p w14:paraId="35AE4A9F">
            <w:pPr>
              <w:rPr>
                <w:rFonts w:ascii="Arial"/>
                <w:sz w:val="21"/>
              </w:rPr>
            </w:pPr>
          </w:p>
        </w:tc>
        <w:tc>
          <w:tcPr>
            <w:tcW w:w="220" w:type="dxa"/>
            <w:vAlign w:val="top"/>
          </w:tcPr>
          <w:p w14:paraId="4C6D5AA6">
            <w:pPr>
              <w:spacing w:line="208" w:lineRule="exact"/>
              <w:rPr>
                <w:rFonts w:ascii="Arial"/>
                <w:sz w:val="18"/>
              </w:rPr>
            </w:pPr>
          </w:p>
        </w:tc>
        <w:tc>
          <w:tcPr>
            <w:tcW w:w="229" w:type="dxa"/>
            <w:vAlign w:val="top"/>
          </w:tcPr>
          <w:p w14:paraId="47488F31">
            <w:pPr>
              <w:spacing w:line="208" w:lineRule="exact"/>
              <w:rPr>
                <w:rFonts w:ascii="Arial"/>
                <w:sz w:val="18"/>
              </w:rPr>
            </w:pPr>
          </w:p>
        </w:tc>
        <w:tc>
          <w:tcPr>
            <w:tcW w:w="229" w:type="dxa"/>
            <w:vAlign w:val="top"/>
          </w:tcPr>
          <w:p w14:paraId="7E9BD047">
            <w:pPr>
              <w:spacing w:line="208" w:lineRule="exact"/>
              <w:rPr>
                <w:rFonts w:ascii="Arial"/>
                <w:sz w:val="18"/>
              </w:rPr>
            </w:pPr>
          </w:p>
        </w:tc>
        <w:tc>
          <w:tcPr>
            <w:tcW w:w="234" w:type="dxa"/>
            <w:vAlign w:val="top"/>
          </w:tcPr>
          <w:p w14:paraId="6AEFCDB3">
            <w:pPr>
              <w:spacing w:line="208" w:lineRule="exact"/>
              <w:rPr>
                <w:rFonts w:ascii="Arial"/>
                <w:sz w:val="18"/>
              </w:rPr>
            </w:pPr>
          </w:p>
        </w:tc>
      </w:tr>
      <w:tr w14:paraId="181BC6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883" w:type="dxa"/>
            <w:vMerge w:val="restart"/>
            <w:tcBorders>
              <w:bottom w:val="nil"/>
            </w:tcBorders>
            <w:vAlign w:val="top"/>
          </w:tcPr>
          <w:p w14:paraId="57B9A7B2">
            <w:pPr>
              <w:pStyle w:val="6"/>
              <w:spacing w:before="23" w:line="219" w:lineRule="auto"/>
              <w:ind w:left="94"/>
            </w:pPr>
            <w:r>
              <w:rPr>
                <w:spacing w:val="-2"/>
              </w:rPr>
              <w:t>炎症的类</w:t>
            </w:r>
          </w:p>
          <w:p w14:paraId="30FD394C">
            <w:pPr>
              <w:pStyle w:val="6"/>
              <w:spacing w:before="39" w:line="216" w:lineRule="auto"/>
              <w:ind w:left="94"/>
            </w:pPr>
            <w:r>
              <w:rPr>
                <w:spacing w:val="-3"/>
              </w:rPr>
              <w:t>型及病变</w:t>
            </w:r>
          </w:p>
          <w:p w14:paraId="2B51C663">
            <w:pPr>
              <w:pStyle w:val="6"/>
              <w:spacing w:line="201" w:lineRule="auto"/>
              <w:ind w:left="265"/>
            </w:pPr>
            <w:r>
              <w:rPr>
                <w:spacing w:val="7"/>
              </w:rPr>
              <w:t>特点</w:t>
            </w:r>
          </w:p>
        </w:tc>
        <w:tc>
          <w:tcPr>
            <w:tcW w:w="2324" w:type="dxa"/>
            <w:vMerge w:val="restart"/>
            <w:tcBorders>
              <w:bottom w:val="nil"/>
            </w:tcBorders>
            <w:vAlign w:val="top"/>
          </w:tcPr>
          <w:p w14:paraId="30E9AADF">
            <w:pPr>
              <w:pStyle w:val="6"/>
              <w:spacing w:before="144" w:line="229" w:lineRule="auto"/>
              <w:ind w:left="12" w:right="1443"/>
            </w:pPr>
            <w:r>
              <w:rPr>
                <w:spacing w:val="1"/>
              </w:rPr>
              <w:t xml:space="preserve">1.急性炎症 </w:t>
            </w:r>
            <w:r>
              <w:rPr>
                <w:spacing w:val="-2"/>
              </w:rPr>
              <w:t>2.慢性炎症</w:t>
            </w:r>
          </w:p>
        </w:tc>
        <w:tc>
          <w:tcPr>
            <w:tcW w:w="220" w:type="dxa"/>
            <w:vAlign w:val="top"/>
          </w:tcPr>
          <w:p w14:paraId="57554F4F">
            <w:pPr>
              <w:rPr>
                <w:rFonts w:ascii="Arial"/>
                <w:sz w:val="21"/>
              </w:rPr>
            </w:pPr>
          </w:p>
        </w:tc>
        <w:tc>
          <w:tcPr>
            <w:tcW w:w="229" w:type="dxa"/>
            <w:vAlign w:val="top"/>
          </w:tcPr>
          <w:p w14:paraId="5D4D45E6">
            <w:pPr>
              <w:rPr>
                <w:rFonts w:ascii="Arial"/>
                <w:sz w:val="21"/>
              </w:rPr>
            </w:pPr>
          </w:p>
        </w:tc>
        <w:tc>
          <w:tcPr>
            <w:tcW w:w="229" w:type="dxa"/>
            <w:vAlign w:val="top"/>
          </w:tcPr>
          <w:p w14:paraId="569083EE">
            <w:pPr>
              <w:pStyle w:val="6"/>
              <w:spacing w:before="104" w:line="238" w:lineRule="auto"/>
              <w:ind w:left="49"/>
              <w:rPr>
                <w:sz w:val="13"/>
                <w:szCs w:val="13"/>
              </w:rPr>
            </w:pPr>
            <w:r>
              <w:rPr>
                <w:sz w:val="13"/>
                <w:szCs w:val="13"/>
              </w:rPr>
              <w:t>√</w:t>
            </w:r>
          </w:p>
        </w:tc>
        <w:tc>
          <w:tcPr>
            <w:tcW w:w="234" w:type="dxa"/>
            <w:vAlign w:val="top"/>
          </w:tcPr>
          <w:p w14:paraId="0DB39891">
            <w:pPr>
              <w:rPr>
                <w:rFonts w:ascii="Arial"/>
                <w:sz w:val="21"/>
              </w:rPr>
            </w:pPr>
          </w:p>
        </w:tc>
      </w:tr>
      <w:tr w14:paraId="1F8983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9" w:hRule="atLeast"/>
        </w:trPr>
        <w:tc>
          <w:tcPr>
            <w:tcW w:w="883" w:type="dxa"/>
            <w:vMerge w:val="continue"/>
            <w:tcBorders>
              <w:top w:val="nil"/>
            </w:tcBorders>
            <w:vAlign w:val="top"/>
          </w:tcPr>
          <w:p w14:paraId="0D206B31">
            <w:pPr>
              <w:rPr>
                <w:rFonts w:ascii="Arial"/>
                <w:sz w:val="21"/>
              </w:rPr>
            </w:pPr>
          </w:p>
        </w:tc>
        <w:tc>
          <w:tcPr>
            <w:tcW w:w="2324" w:type="dxa"/>
            <w:vMerge w:val="continue"/>
            <w:tcBorders>
              <w:top w:val="nil"/>
            </w:tcBorders>
            <w:vAlign w:val="top"/>
          </w:tcPr>
          <w:p w14:paraId="11530896">
            <w:pPr>
              <w:rPr>
                <w:rFonts w:ascii="Arial"/>
                <w:sz w:val="21"/>
              </w:rPr>
            </w:pPr>
          </w:p>
        </w:tc>
        <w:tc>
          <w:tcPr>
            <w:tcW w:w="220" w:type="dxa"/>
            <w:vAlign w:val="top"/>
          </w:tcPr>
          <w:p w14:paraId="106F4FB5">
            <w:pPr>
              <w:rPr>
                <w:rFonts w:ascii="Arial"/>
                <w:sz w:val="21"/>
              </w:rPr>
            </w:pPr>
          </w:p>
        </w:tc>
        <w:tc>
          <w:tcPr>
            <w:tcW w:w="229" w:type="dxa"/>
            <w:vAlign w:val="top"/>
          </w:tcPr>
          <w:p w14:paraId="122A9778">
            <w:pPr>
              <w:rPr>
                <w:rFonts w:ascii="Arial"/>
                <w:sz w:val="21"/>
              </w:rPr>
            </w:pPr>
          </w:p>
        </w:tc>
        <w:tc>
          <w:tcPr>
            <w:tcW w:w="229" w:type="dxa"/>
            <w:vAlign w:val="top"/>
          </w:tcPr>
          <w:p w14:paraId="3ADBF380">
            <w:pPr>
              <w:rPr>
                <w:rFonts w:ascii="Arial"/>
                <w:sz w:val="21"/>
              </w:rPr>
            </w:pPr>
          </w:p>
        </w:tc>
        <w:tc>
          <w:tcPr>
            <w:tcW w:w="234" w:type="dxa"/>
            <w:vAlign w:val="top"/>
          </w:tcPr>
          <w:p w14:paraId="576A2808">
            <w:pPr>
              <w:rPr>
                <w:rFonts w:ascii="Arial"/>
                <w:sz w:val="21"/>
              </w:rPr>
            </w:pPr>
          </w:p>
        </w:tc>
      </w:tr>
      <w:tr w14:paraId="64ECB8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0" w:hRule="atLeast"/>
        </w:trPr>
        <w:tc>
          <w:tcPr>
            <w:tcW w:w="883" w:type="dxa"/>
            <w:vMerge w:val="restart"/>
            <w:tcBorders>
              <w:bottom w:val="nil"/>
            </w:tcBorders>
            <w:vAlign w:val="top"/>
          </w:tcPr>
          <w:p w14:paraId="49BEB728">
            <w:pPr>
              <w:pStyle w:val="6"/>
              <w:spacing w:before="165" w:line="218" w:lineRule="auto"/>
              <w:ind w:left="174"/>
            </w:pPr>
            <w:r>
              <w:rPr>
                <w:spacing w:val="4"/>
              </w:rPr>
              <w:t>炎症的</w:t>
            </w:r>
          </w:p>
          <w:p w14:paraId="6B196B4E">
            <w:pPr>
              <w:pStyle w:val="6"/>
              <w:spacing w:line="220" w:lineRule="auto"/>
              <w:ind w:left="265"/>
            </w:pPr>
            <w:r>
              <w:rPr>
                <w:spacing w:val="7"/>
              </w:rPr>
              <w:t>结局</w:t>
            </w:r>
          </w:p>
        </w:tc>
        <w:tc>
          <w:tcPr>
            <w:tcW w:w="2324" w:type="dxa"/>
            <w:vMerge w:val="restart"/>
            <w:tcBorders>
              <w:bottom w:val="nil"/>
            </w:tcBorders>
            <w:vAlign w:val="top"/>
          </w:tcPr>
          <w:p w14:paraId="2104993D">
            <w:pPr>
              <w:pStyle w:val="6"/>
              <w:spacing w:before="57" w:line="221" w:lineRule="auto"/>
              <w:ind w:left="12"/>
            </w:pPr>
            <w:r>
              <w:rPr>
                <w:spacing w:val="2"/>
              </w:rPr>
              <w:t>1.痊愈</w:t>
            </w:r>
          </w:p>
          <w:p w14:paraId="210E8E4E">
            <w:pPr>
              <w:pStyle w:val="6"/>
              <w:spacing w:before="5" w:line="210" w:lineRule="auto"/>
              <w:ind w:left="12" w:right="780"/>
            </w:pPr>
            <w:r>
              <w:rPr>
                <w:spacing w:val="-1"/>
              </w:rPr>
              <w:t>2.迁延不愈转为慢性</w:t>
            </w:r>
            <w:r>
              <w:t xml:space="preserve"> </w:t>
            </w:r>
            <w:r>
              <w:rPr>
                <w:spacing w:val="-2"/>
              </w:rPr>
              <w:t>3.蔓延扩散</w:t>
            </w:r>
          </w:p>
        </w:tc>
        <w:tc>
          <w:tcPr>
            <w:tcW w:w="220" w:type="dxa"/>
            <w:vAlign w:val="top"/>
          </w:tcPr>
          <w:p w14:paraId="1BA85C3E">
            <w:pPr>
              <w:spacing w:line="200" w:lineRule="exact"/>
              <w:rPr>
                <w:rFonts w:ascii="Arial"/>
                <w:sz w:val="17"/>
              </w:rPr>
            </w:pPr>
          </w:p>
        </w:tc>
        <w:tc>
          <w:tcPr>
            <w:tcW w:w="229" w:type="dxa"/>
            <w:vAlign w:val="top"/>
          </w:tcPr>
          <w:p w14:paraId="07B8ABC2">
            <w:pPr>
              <w:spacing w:line="200" w:lineRule="exact"/>
              <w:rPr>
                <w:rFonts w:ascii="Arial"/>
                <w:sz w:val="17"/>
              </w:rPr>
            </w:pPr>
          </w:p>
        </w:tc>
        <w:tc>
          <w:tcPr>
            <w:tcW w:w="229" w:type="dxa"/>
            <w:vAlign w:val="top"/>
          </w:tcPr>
          <w:p w14:paraId="43B9F0AE">
            <w:pPr>
              <w:spacing w:line="200" w:lineRule="exact"/>
              <w:rPr>
                <w:rFonts w:ascii="Arial"/>
                <w:sz w:val="17"/>
              </w:rPr>
            </w:pPr>
          </w:p>
        </w:tc>
        <w:tc>
          <w:tcPr>
            <w:tcW w:w="234" w:type="dxa"/>
            <w:vAlign w:val="top"/>
          </w:tcPr>
          <w:p w14:paraId="298E488B">
            <w:pPr>
              <w:spacing w:line="200" w:lineRule="exact"/>
              <w:rPr>
                <w:rFonts w:ascii="Arial"/>
                <w:sz w:val="17"/>
              </w:rPr>
            </w:pPr>
          </w:p>
        </w:tc>
      </w:tr>
      <w:tr w14:paraId="2CE440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9" w:hRule="atLeast"/>
        </w:trPr>
        <w:tc>
          <w:tcPr>
            <w:tcW w:w="883" w:type="dxa"/>
            <w:vMerge w:val="continue"/>
            <w:tcBorders>
              <w:top w:val="nil"/>
              <w:bottom w:val="nil"/>
            </w:tcBorders>
            <w:vAlign w:val="top"/>
          </w:tcPr>
          <w:p w14:paraId="7EA065A6">
            <w:pPr>
              <w:rPr>
                <w:rFonts w:ascii="Arial"/>
                <w:sz w:val="21"/>
              </w:rPr>
            </w:pPr>
          </w:p>
        </w:tc>
        <w:tc>
          <w:tcPr>
            <w:tcW w:w="2324" w:type="dxa"/>
            <w:vMerge w:val="continue"/>
            <w:tcBorders>
              <w:top w:val="nil"/>
              <w:bottom w:val="nil"/>
            </w:tcBorders>
            <w:vAlign w:val="top"/>
          </w:tcPr>
          <w:p w14:paraId="3141AF1A">
            <w:pPr>
              <w:rPr>
                <w:rFonts w:ascii="Arial"/>
                <w:sz w:val="21"/>
              </w:rPr>
            </w:pPr>
          </w:p>
        </w:tc>
        <w:tc>
          <w:tcPr>
            <w:tcW w:w="220" w:type="dxa"/>
            <w:vAlign w:val="top"/>
          </w:tcPr>
          <w:p w14:paraId="7C303135">
            <w:pPr>
              <w:pStyle w:val="6"/>
              <w:spacing w:before="66" w:line="202" w:lineRule="auto"/>
              <w:ind w:left="38"/>
              <w:rPr>
                <w:sz w:val="13"/>
                <w:szCs w:val="13"/>
              </w:rPr>
            </w:pPr>
            <w:r>
              <w:rPr>
                <w:sz w:val="13"/>
                <w:szCs w:val="13"/>
              </w:rPr>
              <w:t>√</w:t>
            </w:r>
          </w:p>
        </w:tc>
        <w:tc>
          <w:tcPr>
            <w:tcW w:w="229" w:type="dxa"/>
            <w:vAlign w:val="top"/>
          </w:tcPr>
          <w:p w14:paraId="27439895">
            <w:pPr>
              <w:spacing w:line="208" w:lineRule="exact"/>
              <w:rPr>
                <w:rFonts w:ascii="Arial"/>
                <w:sz w:val="18"/>
              </w:rPr>
            </w:pPr>
          </w:p>
        </w:tc>
        <w:tc>
          <w:tcPr>
            <w:tcW w:w="229" w:type="dxa"/>
            <w:vAlign w:val="top"/>
          </w:tcPr>
          <w:p w14:paraId="30D7833E">
            <w:pPr>
              <w:spacing w:line="208" w:lineRule="exact"/>
              <w:rPr>
                <w:rFonts w:ascii="Arial"/>
                <w:sz w:val="18"/>
              </w:rPr>
            </w:pPr>
          </w:p>
        </w:tc>
        <w:tc>
          <w:tcPr>
            <w:tcW w:w="234" w:type="dxa"/>
            <w:vAlign w:val="top"/>
          </w:tcPr>
          <w:p w14:paraId="390DF922">
            <w:pPr>
              <w:spacing w:line="208" w:lineRule="exact"/>
              <w:rPr>
                <w:rFonts w:ascii="Arial"/>
                <w:sz w:val="18"/>
              </w:rPr>
            </w:pPr>
          </w:p>
        </w:tc>
      </w:tr>
      <w:tr w14:paraId="774E73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4" w:hRule="atLeast"/>
        </w:trPr>
        <w:tc>
          <w:tcPr>
            <w:tcW w:w="883" w:type="dxa"/>
            <w:vMerge w:val="continue"/>
            <w:tcBorders>
              <w:top w:val="nil"/>
            </w:tcBorders>
            <w:vAlign w:val="top"/>
          </w:tcPr>
          <w:p w14:paraId="0979537D">
            <w:pPr>
              <w:rPr>
                <w:rFonts w:ascii="Arial"/>
                <w:sz w:val="21"/>
              </w:rPr>
            </w:pPr>
          </w:p>
        </w:tc>
        <w:tc>
          <w:tcPr>
            <w:tcW w:w="2324" w:type="dxa"/>
            <w:vMerge w:val="continue"/>
            <w:tcBorders>
              <w:top w:val="nil"/>
            </w:tcBorders>
            <w:vAlign w:val="top"/>
          </w:tcPr>
          <w:p w14:paraId="0CB6F533">
            <w:pPr>
              <w:rPr>
                <w:rFonts w:ascii="Arial"/>
                <w:sz w:val="21"/>
              </w:rPr>
            </w:pPr>
          </w:p>
        </w:tc>
        <w:tc>
          <w:tcPr>
            <w:tcW w:w="220" w:type="dxa"/>
            <w:vAlign w:val="top"/>
          </w:tcPr>
          <w:p w14:paraId="12FCBD75">
            <w:pPr>
              <w:pStyle w:val="6"/>
              <w:spacing w:before="57" w:line="208" w:lineRule="auto"/>
              <w:ind w:left="38"/>
              <w:rPr>
                <w:sz w:val="13"/>
                <w:szCs w:val="13"/>
              </w:rPr>
            </w:pPr>
            <w:r>
              <w:rPr>
                <w:sz w:val="13"/>
                <w:szCs w:val="13"/>
              </w:rPr>
              <w:t>√</w:t>
            </w:r>
          </w:p>
        </w:tc>
        <w:tc>
          <w:tcPr>
            <w:tcW w:w="229" w:type="dxa"/>
            <w:vAlign w:val="top"/>
          </w:tcPr>
          <w:p w14:paraId="4F581DE9">
            <w:pPr>
              <w:spacing w:line="203" w:lineRule="exact"/>
              <w:rPr>
                <w:rFonts w:ascii="Arial"/>
                <w:sz w:val="17"/>
              </w:rPr>
            </w:pPr>
          </w:p>
        </w:tc>
        <w:tc>
          <w:tcPr>
            <w:tcW w:w="229" w:type="dxa"/>
            <w:vAlign w:val="top"/>
          </w:tcPr>
          <w:p w14:paraId="63F3B689">
            <w:pPr>
              <w:spacing w:line="203" w:lineRule="exact"/>
              <w:rPr>
                <w:rFonts w:ascii="Arial"/>
                <w:sz w:val="17"/>
              </w:rPr>
            </w:pPr>
          </w:p>
        </w:tc>
        <w:tc>
          <w:tcPr>
            <w:tcW w:w="234" w:type="dxa"/>
            <w:vAlign w:val="top"/>
          </w:tcPr>
          <w:p w14:paraId="73B75F5F">
            <w:pPr>
              <w:spacing w:line="203" w:lineRule="exact"/>
              <w:rPr>
                <w:rFonts w:ascii="Arial"/>
                <w:sz w:val="17"/>
              </w:rPr>
            </w:pPr>
          </w:p>
        </w:tc>
      </w:tr>
    </w:tbl>
    <w:p w14:paraId="6DA7D9D9">
      <w:pPr>
        <w:spacing w:before="119" w:line="222" w:lineRule="auto"/>
        <w:ind w:left="1467"/>
        <w:rPr>
          <w:rFonts w:ascii="黑体" w:hAnsi="黑体" w:eastAsia="黑体" w:cs="黑体"/>
          <w:sz w:val="20"/>
          <w:szCs w:val="20"/>
        </w:rPr>
      </w:pPr>
      <w:r>
        <w:rPr>
          <w:rFonts w:ascii="黑体" w:hAnsi="黑体" w:eastAsia="黑体" w:cs="黑体"/>
          <w:b/>
          <w:bCs/>
          <w:spacing w:val="-11"/>
          <w:sz w:val="20"/>
          <w:szCs w:val="20"/>
        </w:rPr>
        <w:t>第七章</w:t>
      </w:r>
      <w:r>
        <w:rPr>
          <w:rFonts w:ascii="黑体" w:hAnsi="黑体" w:eastAsia="黑体" w:cs="黑体"/>
          <w:spacing w:val="10"/>
          <w:sz w:val="20"/>
          <w:szCs w:val="20"/>
        </w:rPr>
        <w:t xml:space="preserve">  </w:t>
      </w:r>
      <w:r>
        <w:rPr>
          <w:rFonts w:ascii="黑体" w:hAnsi="黑体" w:eastAsia="黑体" w:cs="黑体"/>
          <w:b/>
          <w:bCs/>
          <w:spacing w:val="-11"/>
          <w:sz w:val="20"/>
          <w:szCs w:val="20"/>
        </w:rPr>
        <w:t>休克</w:t>
      </w:r>
    </w:p>
    <w:p w14:paraId="47B29236">
      <w:pPr>
        <w:spacing w:line="80" w:lineRule="exact"/>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24"/>
        <w:gridCol w:w="220"/>
        <w:gridCol w:w="229"/>
        <w:gridCol w:w="229"/>
        <w:gridCol w:w="224"/>
      </w:tblGrid>
      <w:tr w14:paraId="1DDA8E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8" w:hRule="atLeast"/>
        </w:trPr>
        <w:tc>
          <w:tcPr>
            <w:tcW w:w="893" w:type="dxa"/>
            <w:vMerge w:val="restart"/>
            <w:tcBorders>
              <w:top w:val="single" w:color="000000" w:sz="2" w:space="0"/>
              <w:bottom w:val="nil"/>
            </w:tcBorders>
            <w:vAlign w:val="top"/>
          </w:tcPr>
          <w:p w14:paraId="4D0E4AFE">
            <w:pPr>
              <w:pStyle w:val="6"/>
              <w:spacing w:before="175" w:line="225" w:lineRule="auto"/>
              <w:ind w:left="257" w:right="1" w:hanging="240"/>
              <w:rPr>
                <w:sz w:val="18"/>
                <w:szCs w:val="18"/>
              </w:rPr>
            </w:pPr>
            <w:r>
              <w:rPr>
                <w:b/>
                <w:bCs/>
                <w:spacing w:val="-10"/>
                <w:sz w:val="18"/>
                <w:szCs w:val="18"/>
              </w:rPr>
              <w:t>知识与技能</w:t>
            </w:r>
            <w:r>
              <w:rPr>
                <w:spacing w:val="3"/>
                <w:sz w:val="18"/>
                <w:szCs w:val="18"/>
              </w:rPr>
              <w:t xml:space="preserve"> </w:t>
            </w:r>
            <w:r>
              <w:rPr>
                <w:b/>
                <w:bCs/>
                <w:spacing w:val="-4"/>
                <w:sz w:val="18"/>
                <w:szCs w:val="18"/>
              </w:rPr>
              <w:t>要点</w:t>
            </w:r>
          </w:p>
        </w:tc>
        <w:tc>
          <w:tcPr>
            <w:tcW w:w="2324" w:type="dxa"/>
            <w:vMerge w:val="restart"/>
            <w:tcBorders>
              <w:top w:val="single" w:color="000000" w:sz="2" w:space="0"/>
              <w:bottom w:val="nil"/>
            </w:tcBorders>
            <w:vAlign w:val="top"/>
          </w:tcPr>
          <w:p w14:paraId="517BEF73">
            <w:pPr>
              <w:pStyle w:val="6"/>
              <w:spacing w:before="274" w:line="219" w:lineRule="auto"/>
              <w:ind w:left="834"/>
              <w:rPr>
                <w:sz w:val="18"/>
                <w:szCs w:val="18"/>
              </w:rPr>
            </w:pPr>
            <w:r>
              <w:rPr>
                <w:b/>
                <w:bCs/>
                <w:spacing w:val="5"/>
                <w:sz w:val="18"/>
                <w:szCs w:val="18"/>
              </w:rPr>
              <w:t>考试条目</w:t>
            </w:r>
          </w:p>
        </w:tc>
        <w:tc>
          <w:tcPr>
            <w:tcW w:w="902" w:type="dxa"/>
            <w:gridSpan w:val="4"/>
            <w:tcBorders>
              <w:top w:val="single" w:color="000000" w:sz="2" w:space="0"/>
              <w:bottom w:val="single" w:color="000000" w:sz="2" w:space="0"/>
            </w:tcBorders>
            <w:vAlign w:val="top"/>
          </w:tcPr>
          <w:p w14:paraId="1CEB7417">
            <w:pPr>
              <w:pStyle w:val="6"/>
              <w:spacing w:before="104" w:line="219" w:lineRule="auto"/>
              <w:ind w:left="110"/>
              <w:rPr>
                <w:sz w:val="18"/>
                <w:szCs w:val="18"/>
              </w:rPr>
            </w:pPr>
            <w:r>
              <w:rPr>
                <w:b/>
                <w:bCs/>
                <w:spacing w:val="-4"/>
                <w:sz w:val="18"/>
                <w:szCs w:val="18"/>
              </w:rPr>
              <w:t>考试水平</w:t>
            </w:r>
          </w:p>
        </w:tc>
      </w:tr>
      <w:tr w14:paraId="25CC18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4" w:hRule="atLeast"/>
        </w:trPr>
        <w:tc>
          <w:tcPr>
            <w:tcW w:w="893" w:type="dxa"/>
            <w:vMerge w:val="continue"/>
            <w:tcBorders>
              <w:top w:val="nil"/>
              <w:bottom w:val="single" w:color="000000" w:sz="2" w:space="0"/>
            </w:tcBorders>
            <w:vAlign w:val="top"/>
          </w:tcPr>
          <w:p w14:paraId="32231E68">
            <w:pPr>
              <w:rPr>
                <w:rFonts w:ascii="Arial"/>
                <w:sz w:val="21"/>
              </w:rPr>
            </w:pPr>
          </w:p>
        </w:tc>
        <w:tc>
          <w:tcPr>
            <w:tcW w:w="2324" w:type="dxa"/>
            <w:vMerge w:val="continue"/>
            <w:tcBorders>
              <w:top w:val="nil"/>
              <w:bottom w:val="single" w:color="000000" w:sz="2" w:space="0"/>
            </w:tcBorders>
            <w:vAlign w:val="top"/>
          </w:tcPr>
          <w:p w14:paraId="2BA19DF3">
            <w:pPr>
              <w:rPr>
                <w:rFonts w:ascii="Arial"/>
                <w:sz w:val="21"/>
              </w:rPr>
            </w:pPr>
          </w:p>
        </w:tc>
        <w:tc>
          <w:tcPr>
            <w:tcW w:w="220" w:type="dxa"/>
            <w:tcBorders>
              <w:top w:val="single" w:color="000000" w:sz="2" w:space="0"/>
              <w:bottom w:val="single" w:color="000000" w:sz="2" w:space="0"/>
            </w:tcBorders>
            <w:vAlign w:val="top"/>
          </w:tcPr>
          <w:p w14:paraId="3374763D">
            <w:pPr>
              <w:pStyle w:val="6"/>
              <w:spacing w:before="129" w:line="184" w:lineRule="auto"/>
              <w:ind w:left="20"/>
              <w:rPr>
                <w:sz w:val="18"/>
                <w:szCs w:val="18"/>
              </w:rPr>
            </w:pPr>
            <w:r>
              <w:rPr>
                <w:b/>
                <w:bCs/>
                <w:spacing w:val="-2"/>
                <w:sz w:val="18"/>
                <w:szCs w:val="18"/>
              </w:rPr>
              <w:t>A</w:t>
            </w:r>
          </w:p>
        </w:tc>
        <w:tc>
          <w:tcPr>
            <w:tcW w:w="229" w:type="dxa"/>
            <w:tcBorders>
              <w:top w:val="single" w:color="000000" w:sz="2" w:space="0"/>
              <w:bottom w:val="single" w:color="000000" w:sz="2" w:space="0"/>
            </w:tcBorders>
            <w:vAlign w:val="top"/>
          </w:tcPr>
          <w:p w14:paraId="0CA7CA88">
            <w:pPr>
              <w:pStyle w:val="6"/>
              <w:spacing w:before="131" w:line="182" w:lineRule="auto"/>
              <w:ind w:left="70"/>
              <w:rPr>
                <w:sz w:val="18"/>
                <w:szCs w:val="18"/>
              </w:rPr>
            </w:pPr>
            <w:r>
              <w:rPr>
                <w:b/>
                <w:bCs/>
                <w:spacing w:val="-2"/>
                <w:sz w:val="18"/>
                <w:szCs w:val="18"/>
              </w:rPr>
              <w:t>B</w:t>
            </w:r>
          </w:p>
        </w:tc>
        <w:tc>
          <w:tcPr>
            <w:tcW w:w="229" w:type="dxa"/>
            <w:tcBorders>
              <w:top w:val="single" w:color="000000" w:sz="2" w:space="0"/>
              <w:bottom w:val="single" w:color="000000" w:sz="2" w:space="0"/>
            </w:tcBorders>
            <w:vAlign w:val="top"/>
          </w:tcPr>
          <w:p w14:paraId="68BFC6BD">
            <w:pPr>
              <w:pStyle w:val="6"/>
              <w:spacing w:before="129" w:line="183" w:lineRule="auto"/>
              <w:ind w:left="71"/>
              <w:rPr>
                <w:sz w:val="18"/>
                <w:szCs w:val="18"/>
              </w:rPr>
            </w:pPr>
            <w:r>
              <w:rPr>
                <w:b/>
                <w:bCs/>
                <w:spacing w:val="-2"/>
                <w:sz w:val="18"/>
                <w:szCs w:val="18"/>
              </w:rPr>
              <w:t>C</w:t>
            </w:r>
          </w:p>
        </w:tc>
        <w:tc>
          <w:tcPr>
            <w:tcW w:w="224" w:type="dxa"/>
            <w:tcBorders>
              <w:top w:val="single" w:color="000000" w:sz="2" w:space="0"/>
              <w:bottom w:val="single" w:color="000000" w:sz="2" w:space="0"/>
            </w:tcBorders>
            <w:vAlign w:val="top"/>
          </w:tcPr>
          <w:p w14:paraId="11997034">
            <w:pPr>
              <w:pStyle w:val="6"/>
              <w:spacing w:before="131" w:line="182" w:lineRule="auto"/>
              <w:ind w:left="22"/>
              <w:rPr>
                <w:sz w:val="18"/>
                <w:szCs w:val="18"/>
              </w:rPr>
            </w:pPr>
            <w:r>
              <w:rPr>
                <w:b/>
                <w:bCs/>
                <w:spacing w:val="-2"/>
                <w:sz w:val="18"/>
                <w:szCs w:val="18"/>
              </w:rPr>
              <w:t>D</w:t>
            </w:r>
          </w:p>
        </w:tc>
      </w:tr>
      <w:tr w14:paraId="670D5F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4" w:hRule="atLeast"/>
        </w:trPr>
        <w:tc>
          <w:tcPr>
            <w:tcW w:w="893" w:type="dxa"/>
            <w:vMerge w:val="restart"/>
            <w:tcBorders>
              <w:top w:val="single" w:color="000000" w:sz="2" w:space="0"/>
              <w:bottom w:val="nil"/>
            </w:tcBorders>
            <w:vAlign w:val="top"/>
          </w:tcPr>
          <w:p w14:paraId="186E147D">
            <w:pPr>
              <w:spacing w:line="271" w:lineRule="auto"/>
              <w:rPr>
                <w:rFonts w:ascii="Arial"/>
                <w:sz w:val="21"/>
              </w:rPr>
            </w:pPr>
          </w:p>
          <w:p w14:paraId="3BEE8C3F">
            <w:pPr>
              <w:spacing w:line="271" w:lineRule="auto"/>
              <w:rPr>
                <w:rFonts w:ascii="Arial"/>
                <w:sz w:val="21"/>
              </w:rPr>
            </w:pPr>
          </w:p>
          <w:p w14:paraId="5709AEF8">
            <w:pPr>
              <w:pStyle w:val="6"/>
              <w:spacing w:before="59" w:line="219" w:lineRule="auto"/>
              <w:ind w:left="254"/>
              <w:rPr>
                <w:sz w:val="18"/>
                <w:szCs w:val="18"/>
              </w:rPr>
            </w:pPr>
            <w:r>
              <w:rPr>
                <w:spacing w:val="-2"/>
                <w:sz w:val="18"/>
                <w:szCs w:val="18"/>
              </w:rPr>
              <w:t>休克</w:t>
            </w:r>
          </w:p>
        </w:tc>
        <w:tc>
          <w:tcPr>
            <w:tcW w:w="2324" w:type="dxa"/>
            <w:vMerge w:val="restart"/>
            <w:tcBorders>
              <w:top w:val="single" w:color="000000" w:sz="2" w:space="0"/>
              <w:bottom w:val="nil"/>
            </w:tcBorders>
            <w:vAlign w:val="top"/>
          </w:tcPr>
          <w:p w14:paraId="4E2DAE1B">
            <w:pPr>
              <w:pStyle w:val="6"/>
              <w:spacing w:before="76" w:line="218" w:lineRule="auto"/>
              <w:ind w:left="11" w:right="134"/>
              <w:jc w:val="both"/>
              <w:rPr>
                <w:sz w:val="18"/>
                <w:szCs w:val="18"/>
              </w:rPr>
            </w:pPr>
            <w:r>
              <w:rPr>
                <w:sz w:val="18"/>
                <w:szCs w:val="18"/>
              </w:rPr>
              <w:t>1.休克的概念、原因及分类</w:t>
            </w:r>
            <w:r>
              <w:rPr>
                <w:spacing w:val="6"/>
                <w:sz w:val="18"/>
                <w:szCs w:val="18"/>
              </w:rPr>
              <w:t xml:space="preserve"> </w:t>
            </w:r>
            <w:r>
              <w:rPr>
                <w:spacing w:val="-1"/>
                <w:sz w:val="18"/>
                <w:szCs w:val="18"/>
              </w:rPr>
              <w:t>2.休克的发生发展过程及其</w:t>
            </w:r>
            <w:r>
              <w:rPr>
                <w:spacing w:val="2"/>
                <w:sz w:val="18"/>
                <w:szCs w:val="18"/>
              </w:rPr>
              <w:t xml:space="preserve"> </w:t>
            </w:r>
            <w:r>
              <w:rPr>
                <w:spacing w:val="7"/>
                <w:sz w:val="18"/>
                <w:szCs w:val="18"/>
              </w:rPr>
              <w:t>机制</w:t>
            </w:r>
          </w:p>
          <w:p w14:paraId="56D05A7A">
            <w:pPr>
              <w:pStyle w:val="6"/>
              <w:spacing w:line="233" w:lineRule="auto"/>
              <w:ind w:left="11" w:right="131"/>
              <w:rPr>
                <w:sz w:val="18"/>
                <w:szCs w:val="18"/>
              </w:rPr>
            </w:pPr>
            <w:r>
              <w:rPr>
                <w:sz w:val="18"/>
                <w:szCs w:val="18"/>
              </w:rPr>
              <w:t>3.休克时机体的代谢和器官</w:t>
            </w:r>
            <w:r>
              <w:rPr>
                <w:spacing w:val="9"/>
                <w:sz w:val="18"/>
                <w:szCs w:val="18"/>
              </w:rPr>
              <w:t xml:space="preserve"> </w:t>
            </w:r>
            <w:r>
              <w:rPr>
                <w:spacing w:val="-2"/>
                <w:sz w:val="18"/>
                <w:szCs w:val="18"/>
              </w:rPr>
              <w:t>功能改变</w:t>
            </w:r>
          </w:p>
          <w:p w14:paraId="1DCEF1F4">
            <w:pPr>
              <w:pStyle w:val="6"/>
              <w:spacing w:before="16" w:line="186" w:lineRule="auto"/>
              <w:ind w:left="11"/>
              <w:rPr>
                <w:sz w:val="18"/>
                <w:szCs w:val="18"/>
              </w:rPr>
            </w:pPr>
            <w:r>
              <w:rPr>
                <w:spacing w:val="2"/>
                <w:sz w:val="18"/>
                <w:szCs w:val="18"/>
              </w:rPr>
              <w:t>4.防治原则</w:t>
            </w:r>
          </w:p>
        </w:tc>
        <w:tc>
          <w:tcPr>
            <w:tcW w:w="220" w:type="dxa"/>
            <w:tcBorders>
              <w:top w:val="single" w:color="000000" w:sz="2" w:space="0"/>
              <w:bottom w:val="single" w:color="000000" w:sz="2" w:space="0"/>
            </w:tcBorders>
            <w:vAlign w:val="top"/>
          </w:tcPr>
          <w:p w14:paraId="74BCDC76">
            <w:pPr>
              <w:rPr>
                <w:rFonts w:ascii="Arial"/>
                <w:sz w:val="21"/>
              </w:rPr>
            </w:pPr>
          </w:p>
        </w:tc>
        <w:tc>
          <w:tcPr>
            <w:tcW w:w="229" w:type="dxa"/>
            <w:tcBorders>
              <w:top w:val="single" w:color="000000" w:sz="2" w:space="0"/>
              <w:bottom w:val="single" w:color="000000" w:sz="2" w:space="0"/>
            </w:tcBorders>
            <w:vAlign w:val="top"/>
          </w:tcPr>
          <w:p w14:paraId="4C08538D">
            <w:pPr>
              <w:pStyle w:val="6"/>
              <w:spacing w:before="112" w:line="238" w:lineRule="auto"/>
              <w:ind w:left="18"/>
              <w:rPr>
                <w:sz w:val="18"/>
                <w:szCs w:val="18"/>
              </w:rPr>
            </w:pPr>
            <w:r>
              <w:rPr>
                <w:sz w:val="18"/>
                <w:szCs w:val="18"/>
              </w:rPr>
              <w:t>√</w:t>
            </w:r>
          </w:p>
        </w:tc>
        <w:tc>
          <w:tcPr>
            <w:tcW w:w="229" w:type="dxa"/>
            <w:tcBorders>
              <w:top w:val="single" w:color="000000" w:sz="2" w:space="0"/>
              <w:bottom w:val="single" w:color="000000" w:sz="2" w:space="0"/>
            </w:tcBorders>
            <w:vAlign w:val="top"/>
          </w:tcPr>
          <w:p w14:paraId="13A7429F">
            <w:pPr>
              <w:rPr>
                <w:rFonts w:ascii="Arial"/>
                <w:sz w:val="21"/>
              </w:rPr>
            </w:pPr>
          </w:p>
        </w:tc>
        <w:tc>
          <w:tcPr>
            <w:tcW w:w="224" w:type="dxa"/>
            <w:tcBorders>
              <w:top w:val="single" w:color="000000" w:sz="2" w:space="0"/>
              <w:bottom w:val="single" w:color="000000" w:sz="2" w:space="0"/>
            </w:tcBorders>
            <w:vAlign w:val="top"/>
          </w:tcPr>
          <w:p w14:paraId="5940C92B">
            <w:pPr>
              <w:rPr>
                <w:rFonts w:ascii="Arial"/>
                <w:sz w:val="21"/>
              </w:rPr>
            </w:pPr>
          </w:p>
        </w:tc>
      </w:tr>
      <w:tr w14:paraId="2ABB12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4" w:hRule="atLeast"/>
        </w:trPr>
        <w:tc>
          <w:tcPr>
            <w:tcW w:w="893" w:type="dxa"/>
            <w:vMerge w:val="continue"/>
            <w:tcBorders>
              <w:top w:val="nil"/>
              <w:bottom w:val="nil"/>
            </w:tcBorders>
            <w:vAlign w:val="top"/>
          </w:tcPr>
          <w:p w14:paraId="13A61BD4">
            <w:pPr>
              <w:rPr>
                <w:rFonts w:ascii="Arial"/>
                <w:sz w:val="21"/>
              </w:rPr>
            </w:pPr>
          </w:p>
        </w:tc>
        <w:tc>
          <w:tcPr>
            <w:tcW w:w="2324" w:type="dxa"/>
            <w:vMerge w:val="continue"/>
            <w:tcBorders>
              <w:top w:val="nil"/>
              <w:bottom w:val="nil"/>
            </w:tcBorders>
            <w:vAlign w:val="top"/>
          </w:tcPr>
          <w:p w14:paraId="7DFE7EB6">
            <w:pPr>
              <w:rPr>
                <w:rFonts w:ascii="Arial"/>
                <w:sz w:val="21"/>
              </w:rPr>
            </w:pPr>
          </w:p>
        </w:tc>
        <w:tc>
          <w:tcPr>
            <w:tcW w:w="220" w:type="dxa"/>
            <w:tcBorders>
              <w:top w:val="single" w:color="000000" w:sz="2" w:space="0"/>
              <w:bottom w:val="single" w:color="000000" w:sz="2" w:space="0"/>
            </w:tcBorders>
            <w:vAlign w:val="top"/>
          </w:tcPr>
          <w:p w14:paraId="578F015A">
            <w:pPr>
              <w:rPr>
                <w:rFonts w:ascii="Arial"/>
                <w:sz w:val="21"/>
              </w:rPr>
            </w:pPr>
          </w:p>
        </w:tc>
        <w:tc>
          <w:tcPr>
            <w:tcW w:w="229" w:type="dxa"/>
            <w:tcBorders>
              <w:top w:val="single" w:color="000000" w:sz="2" w:space="0"/>
              <w:bottom w:val="single" w:color="000000" w:sz="2" w:space="0"/>
            </w:tcBorders>
            <w:vAlign w:val="top"/>
          </w:tcPr>
          <w:p w14:paraId="22622168">
            <w:pPr>
              <w:rPr>
                <w:rFonts w:ascii="Arial"/>
                <w:sz w:val="21"/>
              </w:rPr>
            </w:pPr>
          </w:p>
        </w:tc>
        <w:tc>
          <w:tcPr>
            <w:tcW w:w="229" w:type="dxa"/>
            <w:tcBorders>
              <w:top w:val="single" w:color="000000" w:sz="2" w:space="0"/>
              <w:bottom w:val="single" w:color="000000" w:sz="2" w:space="0"/>
            </w:tcBorders>
            <w:vAlign w:val="top"/>
          </w:tcPr>
          <w:p w14:paraId="797FD49F">
            <w:pPr>
              <w:pStyle w:val="6"/>
              <w:spacing w:before="113" w:line="236" w:lineRule="auto"/>
              <w:ind w:left="18"/>
              <w:rPr>
                <w:sz w:val="18"/>
                <w:szCs w:val="18"/>
              </w:rPr>
            </w:pPr>
            <w:r>
              <w:rPr>
                <w:sz w:val="18"/>
                <w:szCs w:val="18"/>
              </w:rPr>
              <w:t>√</w:t>
            </w:r>
          </w:p>
        </w:tc>
        <w:tc>
          <w:tcPr>
            <w:tcW w:w="224" w:type="dxa"/>
            <w:tcBorders>
              <w:top w:val="single" w:color="000000" w:sz="2" w:space="0"/>
              <w:bottom w:val="single" w:color="000000" w:sz="2" w:space="0"/>
            </w:tcBorders>
            <w:vAlign w:val="top"/>
          </w:tcPr>
          <w:p w14:paraId="0E7F6323">
            <w:pPr>
              <w:rPr>
                <w:rFonts w:ascii="Arial"/>
                <w:sz w:val="21"/>
              </w:rPr>
            </w:pPr>
          </w:p>
        </w:tc>
      </w:tr>
      <w:tr w14:paraId="0A86C8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4" w:hRule="atLeast"/>
        </w:trPr>
        <w:tc>
          <w:tcPr>
            <w:tcW w:w="893" w:type="dxa"/>
            <w:vMerge w:val="continue"/>
            <w:tcBorders>
              <w:top w:val="nil"/>
              <w:bottom w:val="nil"/>
            </w:tcBorders>
            <w:vAlign w:val="top"/>
          </w:tcPr>
          <w:p w14:paraId="5E4C50C2">
            <w:pPr>
              <w:rPr>
                <w:rFonts w:ascii="Arial"/>
                <w:sz w:val="21"/>
              </w:rPr>
            </w:pPr>
          </w:p>
        </w:tc>
        <w:tc>
          <w:tcPr>
            <w:tcW w:w="2324" w:type="dxa"/>
            <w:vMerge w:val="continue"/>
            <w:tcBorders>
              <w:top w:val="nil"/>
              <w:bottom w:val="nil"/>
            </w:tcBorders>
            <w:vAlign w:val="top"/>
          </w:tcPr>
          <w:p w14:paraId="7096D694">
            <w:pPr>
              <w:rPr>
                <w:rFonts w:ascii="Arial"/>
                <w:sz w:val="21"/>
              </w:rPr>
            </w:pPr>
          </w:p>
        </w:tc>
        <w:tc>
          <w:tcPr>
            <w:tcW w:w="220" w:type="dxa"/>
            <w:tcBorders>
              <w:top w:val="single" w:color="000000" w:sz="2" w:space="0"/>
              <w:bottom w:val="single" w:color="000000" w:sz="2" w:space="0"/>
            </w:tcBorders>
            <w:vAlign w:val="top"/>
          </w:tcPr>
          <w:p w14:paraId="460465F5">
            <w:pPr>
              <w:rPr>
                <w:rFonts w:ascii="Arial"/>
                <w:sz w:val="21"/>
              </w:rPr>
            </w:pPr>
          </w:p>
        </w:tc>
        <w:tc>
          <w:tcPr>
            <w:tcW w:w="229" w:type="dxa"/>
            <w:tcBorders>
              <w:top w:val="single" w:color="000000" w:sz="2" w:space="0"/>
              <w:bottom w:val="single" w:color="000000" w:sz="2" w:space="0"/>
            </w:tcBorders>
            <w:vAlign w:val="top"/>
          </w:tcPr>
          <w:p w14:paraId="21C72A0E">
            <w:pPr>
              <w:pStyle w:val="6"/>
              <w:spacing w:before="143" w:line="182" w:lineRule="auto"/>
              <w:ind w:left="68"/>
              <w:rPr>
                <w:sz w:val="18"/>
                <w:szCs w:val="18"/>
              </w:rPr>
            </w:pPr>
            <w:r>
              <w:rPr>
                <w:sz w:val="18"/>
                <w:szCs w:val="18"/>
              </w:rPr>
              <w:t>V</w:t>
            </w:r>
          </w:p>
        </w:tc>
        <w:tc>
          <w:tcPr>
            <w:tcW w:w="229" w:type="dxa"/>
            <w:tcBorders>
              <w:top w:val="single" w:color="000000" w:sz="2" w:space="0"/>
              <w:bottom w:val="single" w:color="000000" w:sz="2" w:space="0"/>
            </w:tcBorders>
            <w:vAlign w:val="top"/>
          </w:tcPr>
          <w:p w14:paraId="7674399A">
            <w:pPr>
              <w:rPr>
                <w:rFonts w:ascii="Arial"/>
                <w:sz w:val="21"/>
              </w:rPr>
            </w:pPr>
          </w:p>
        </w:tc>
        <w:tc>
          <w:tcPr>
            <w:tcW w:w="224" w:type="dxa"/>
            <w:tcBorders>
              <w:top w:val="single" w:color="000000" w:sz="2" w:space="0"/>
              <w:bottom w:val="single" w:color="000000" w:sz="2" w:space="0"/>
            </w:tcBorders>
            <w:vAlign w:val="top"/>
          </w:tcPr>
          <w:p w14:paraId="10E868E9">
            <w:pPr>
              <w:rPr>
                <w:rFonts w:ascii="Arial"/>
                <w:sz w:val="21"/>
              </w:rPr>
            </w:pPr>
          </w:p>
        </w:tc>
      </w:tr>
      <w:tr w14:paraId="6A8F44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9" w:hRule="atLeast"/>
        </w:trPr>
        <w:tc>
          <w:tcPr>
            <w:tcW w:w="893" w:type="dxa"/>
            <w:vMerge w:val="continue"/>
            <w:tcBorders>
              <w:top w:val="nil"/>
              <w:bottom w:val="single" w:color="000000" w:sz="2" w:space="0"/>
            </w:tcBorders>
            <w:vAlign w:val="top"/>
          </w:tcPr>
          <w:p w14:paraId="0CEF4F8B">
            <w:pPr>
              <w:rPr>
                <w:rFonts w:ascii="Arial"/>
                <w:sz w:val="21"/>
              </w:rPr>
            </w:pPr>
          </w:p>
        </w:tc>
        <w:tc>
          <w:tcPr>
            <w:tcW w:w="2324" w:type="dxa"/>
            <w:vMerge w:val="continue"/>
            <w:tcBorders>
              <w:top w:val="nil"/>
              <w:bottom w:val="single" w:color="000000" w:sz="2" w:space="0"/>
            </w:tcBorders>
            <w:vAlign w:val="top"/>
          </w:tcPr>
          <w:p w14:paraId="33D3F4EA">
            <w:pPr>
              <w:rPr>
                <w:rFonts w:ascii="Arial"/>
                <w:sz w:val="21"/>
              </w:rPr>
            </w:pPr>
          </w:p>
        </w:tc>
        <w:tc>
          <w:tcPr>
            <w:tcW w:w="220" w:type="dxa"/>
            <w:tcBorders>
              <w:top w:val="single" w:color="000000" w:sz="2" w:space="0"/>
              <w:bottom w:val="single" w:color="000000" w:sz="2" w:space="0"/>
            </w:tcBorders>
            <w:vAlign w:val="top"/>
          </w:tcPr>
          <w:p w14:paraId="46AC7505">
            <w:pPr>
              <w:rPr>
                <w:rFonts w:ascii="Arial"/>
                <w:sz w:val="21"/>
              </w:rPr>
            </w:pPr>
          </w:p>
        </w:tc>
        <w:tc>
          <w:tcPr>
            <w:tcW w:w="229" w:type="dxa"/>
            <w:tcBorders>
              <w:top w:val="single" w:color="000000" w:sz="2" w:space="0"/>
              <w:bottom w:val="single" w:color="000000" w:sz="2" w:space="0"/>
            </w:tcBorders>
            <w:vAlign w:val="top"/>
          </w:tcPr>
          <w:p w14:paraId="55AACC37">
            <w:pPr>
              <w:pStyle w:val="6"/>
              <w:spacing w:before="75" w:line="209" w:lineRule="auto"/>
              <w:ind w:left="18"/>
              <w:rPr>
                <w:sz w:val="18"/>
                <w:szCs w:val="18"/>
              </w:rPr>
            </w:pPr>
            <w:r>
              <w:rPr>
                <w:sz w:val="18"/>
                <w:szCs w:val="18"/>
              </w:rPr>
              <w:t>√</w:t>
            </w:r>
          </w:p>
        </w:tc>
        <w:tc>
          <w:tcPr>
            <w:tcW w:w="229" w:type="dxa"/>
            <w:tcBorders>
              <w:top w:val="single" w:color="000000" w:sz="2" w:space="0"/>
              <w:bottom w:val="single" w:color="000000" w:sz="2" w:space="0"/>
            </w:tcBorders>
            <w:vAlign w:val="top"/>
          </w:tcPr>
          <w:p w14:paraId="3734B43B">
            <w:pPr>
              <w:rPr>
                <w:rFonts w:ascii="Arial"/>
                <w:sz w:val="21"/>
              </w:rPr>
            </w:pPr>
          </w:p>
        </w:tc>
        <w:tc>
          <w:tcPr>
            <w:tcW w:w="224" w:type="dxa"/>
            <w:tcBorders>
              <w:top w:val="single" w:color="000000" w:sz="2" w:space="0"/>
              <w:bottom w:val="single" w:color="000000" w:sz="2" w:space="0"/>
            </w:tcBorders>
            <w:vAlign w:val="top"/>
          </w:tcPr>
          <w:p w14:paraId="6E3B3B28">
            <w:pPr>
              <w:rPr>
                <w:rFonts w:ascii="Arial"/>
                <w:sz w:val="21"/>
              </w:rPr>
            </w:pPr>
          </w:p>
        </w:tc>
      </w:tr>
    </w:tbl>
    <w:p w14:paraId="6CA13C48">
      <w:pPr>
        <w:pStyle w:val="2"/>
        <w:spacing w:line="14" w:lineRule="auto"/>
        <w:rPr>
          <w:sz w:val="2"/>
        </w:rPr>
      </w:pPr>
    </w:p>
    <w:p w14:paraId="7D9C1B1E">
      <w:pPr>
        <w:spacing w:line="14" w:lineRule="auto"/>
        <w:rPr>
          <w:sz w:val="2"/>
          <w:szCs w:val="2"/>
        </w:rPr>
        <w:sectPr>
          <w:type w:val="continuous"/>
          <w:pgSz w:w="10660" w:h="15080"/>
          <w:pgMar w:top="400" w:right="1034" w:bottom="927" w:left="819" w:header="0" w:footer="719" w:gutter="0"/>
          <w:cols w:equalWidth="0" w:num="2">
            <w:col w:w="4576" w:space="100"/>
            <w:col w:w="4130"/>
          </w:cols>
        </w:sectPr>
      </w:pPr>
    </w:p>
    <w:p w14:paraId="6F53E701">
      <w:pPr>
        <w:spacing w:before="80"/>
      </w:pPr>
    </w:p>
    <w:p w14:paraId="227A1813">
      <w:pPr>
        <w:spacing w:before="80"/>
      </w:pPr>
    </w:p>
    <w:p w14:paraId="043EA5A1">
      <w:pPr>
        <w:spacing w:before="79"/>
      </w:pPr>
    </w:p>
    <w:p w14:paraId="583927B1">
      <w:pPr>
        <w:sectPr>
          <w:footerReference r:id="rId73" w:type="default"/>
          <w:pgSz w:w="10660" w:h="15080"/>
          <w:pgMar w:top="400" w:right="885" w:bottom="925" w:left="1024" w:header="0" w:footer="705" w:gutter="0"/>
          <w:cols w:equalWidth="0" w:num="1">
            <w:col w:w="8750"/>
          </w:cols>
        </w:sectPr>
      </w:pPr>
    </w:p>
    <w:p w14:paraId="0280B88D">
      <w:pPr>
        <w:spacing w:before="40" w:line="222" w:lineRule="auto"/>
        <w:ind w:left="1497"/>
        <w:rPr>
          <w:rFonts w:ascii="黑体" w:hAnsi="黑体" w:eastAsia="黑体" w:cs="黑体"/>
          <w:sz w:val="20"/>
          <w:szCs w:val="20"/>
        </w:rPr>
      </w:pPr>
      <w:r>
        <w:rPr>
          <w:rFonts w:ascii="黑体" w:hAnsi="黑体" w:eastAsia="黑体" w:cs="黑体"/>
          <w:b/>
          <w:bCs/>
          <w:spacing w:val="-11"/>
          <w:sz w:val="20"/>
          <w:szCs w:val="20"/>
        </w:rPr>
        <w:t>第八章</w:t>
      </w:r>
      <w:r>
        <w:rPr>
          <w:rFonts w:ascii="黑体" w:hAnsi="黑体" w:eastAsia="黑体" w:cs="黑体"/>
          <w:spacing w:val="10"/>
          <w:sz w:val="20"/>
          <w:szCs w:val="20"/>
        </w:rPr>
        <w:t xml:space="preserve">  </w:t>
      </w:r>
      <w:r>
        <w:rPr>
          <w:rFonts w:ascii="黑体" w:hAnsi="黑体" w:eastAsia="黑体" w:cs="黑体"/>
          <w:b/>
          <w:bCs/>
          <w:spacing w:val="-11"/>
          <w:sz w:val="20"/>
          <w:szCs w:val="20"/>
        </w:rPr>
        <w:t>肿瘤</w:t>
      </w:r>
    </w:p>
    <w:p w14:paraId="23DCB72C">
      <w:pPr>
        <w:spacing w:line="80" w:lineRule="exact"/>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24"/>
        <w:gridCol w:w="219"/>
        <w:gridCol w:w="220"/>
        <w:gridCol w:w="229"/>
        <w:gridCol w:w="234"/>
      </w:tblGrid>
      <w:tr w14:paraId="03F46F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5" w:hRule="atLeast"/>
        </w:trPr>
        <w:tc>
          <w:tcPr>
            <w:tcW w:w="893" w:type="dxa"/>
            <w:vMerge w:val="restart"/>
            <w:tcBorders>
              <w:bottom w:val="nil"/>
            </w:tcBorders>
            <w:vAlign w:val="top"/>
          </w:tcPr>
          <w:p w14:paraId="1FC363D8">
            <w:pPr>
              <w:pStyle w:val="6"/>
              <w:spacing w:before="151" w:line="231" w:lineRule="auto"/>
              <w:ind w:left="266" w:right="25" w:hanging="249"/>
            </w:pPr>
            <w:r>
              <w:rPr>
                <w:b/>
                <w:bCs/>
                <w:spacing w:val="-4"/>
              </w:rPr>
              <w:t>知识与技能</w:t>
            </w:r>
            <w:r>
              <w:t xml:space="preserve"> </w:t>
            </w:r>
            <w:r>
              <w:rPr>
                <w:b/>
                <w:bCs/>
                <w:spacing w:val="-4"/>
              </w:rPr>
              <w:t>要点</w:t>
            </w:r>
          </w:p>
        </w:tc>
        <w:tc>
          <w:tcPr>
            <w:tcW w:w="2324" w:type="dxa"/>
            <w:vMerge w:val="restart"/>
            <w:tcBorders>
              <w:bottom w:val="nil"/>
            </w:tcBorders>
            <w:vAlign w:val="top"/>
          </w:tcPr>
          <w:p w14:paraId="6923F6FC">
            <w:pPr>
              <w:pStyle w:val="6"/>
              <w:spacing w:before="279" w:line="219" w:lineRule="auto"/>
              <w:ind w:left="864"/>
            </w:pPr>
            <w:r>
              <w:rPr>
                <w:b/>
                <w:bCs/>
                <w:spacing w:val="5"/>
              </w:rPr>
              <w:t>考试条目</w:t>
            </w:r>
          </w:p>
        </w:tc>
        <w:tc>
          <w:tcPr>
            <w:tcW w:w="902" w:type="dxa"/>
            <w:gridSpan w:val="4"/>
            <w:vAlign w:val="top"/>
          </w:tcPr>
          <w:p w14:paraId="1595607E">
            <w:pPr>
              <w:pStyle w:val="6"/>
              <w:spacing w:before="99" w:line="219" w:lineRule="auto"/>
              <w:ind w:left="140"/>
            </w:pPr>
            <w:r>
              <w:rPr>
                <w:b/>
                <w:bCs/>
                <w:spacing w:val="-4"/>
              </w:rPr>
              <w:t>考试水平</w:t>
            </w:r>
          </w:p>
        </w:tc>
      </w:tr>
      <w:tr w14:paraId="1B2B15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9" w:hRule="atLeast"/>
        </w:trPr>
        <w:tc>
          <w:tcPr>
            <w:tcW w:w="893" w:type="dxa"/>
            <w:vMerge w:val="continue"/>
            <w:tcBorders>
              <w:top w:val="nil"/>
            </w:tcBorders>
            <w:vAlign w:val="top"/>
          </w:tcPr>
          <w:p w14:paraId="20564B90">
            <w:pPr>
              <w:rPr>
                <w:rFonts w:ascii="Arial"/>
                <w:sz w:val="21"/>
              </w:rPr>
            </w:pPr>
          </w:p>
        </w:tc>
        <w:tc>
          <w:tcPr>
            <w:tcW w:w="2324" w:type="dxa"/>
            <w:vMerge w:val="continue"/>
            <w:tcBorders>
              <w:top w:val="nil"/>
            </w:tcBorders>
            <w:vAlign w:val="top"/>
          </w:tcPr>
          <w:p w14:paraId="0AFC1F3C">
            <w:pPr>
              <w:rPr>
                <w:rFonts w:ascii="Arial"/>
                <w:sz w:val="21"/>
              </w:rPr>
            </w:pPr>
          </w:p>
        </w:tc>
        <w:tc>
          <w:tcPr>
            <w:tcW w:w="219" w:type="dxa"/>
            <w:vAlign w:val="top"/>
          </w:tcPr>
          <w:p w14:paraId="4415C54A">
            <w:pPr>
              <w:pStyle w:val="6"/>
              <w:spacing w:before="132" w:line="184" w:lineRule="auto"/>
              <w:ind w:left="20"/>
              <w:rPr>
                <w:sz w:val="18"/>
                <w:szCs w:val="18"/>
              </w:rPr>
            </w:pPr>
            <w:r>
              <w:rPr>
                <w:b/>
                <w:bCs/>
                <w:spacing w:val="-2"/>
                <w:sz w:val="18"/>
                <w:szCs w:val="18"/>
              </w:rPr>
              <w:t>A</w:t>
            </w:r>
          </w:p>
        </w:tc>
        <w:tc>
          <w:tcPr>
            <w:tcW w:w="220" w:type="dxa"/>
            <w:vAlign w:val="top"/>
          </w:tcPr>
          <w:p w14:paraId="48BB6136">
            <w:pPr>
              <w:pStyle w:val="6"/>
              <w:spacing w:before="131" w:line="182" w:lineRule="auto"/>
              <w:ind w:left="61"/>
            </w:pPr>
            <w:r>
              <w:rPr>
                <w:b/>
                <w:bCs/>
                <w:spacing w:val="-2"/>
              </w:rPr>
              <w:t>B</w:t>
            </w:r>
          </w:p>
        </w:tc>
        <w:tc>
          <w:tcPr>
            <w:tcW w:w="229" w:type="dxa"/>
            <w:vAlign w:val="top"/>
          </w:tcPr>
          <w:p w14:paraId="35890797">
            <w:pPr>
              <w:pStyle w:val="6"/>
              <w:spacing w:before="132" w:line="183" w:lineRule="auto"/>
              <w:ind w:left="71"/>
              <w:rPr>
                <w:sz w:val="18"/>
                <w:szCs w:val="18"/>
              </w:rPr>
            </w:pPr>
            <w:r>
              <w:rPr>
                <w:b/>
                <w:bCs/>
                <w:spacing w:val="-2"/>
                <w:sz w:val="18"/>
                <w:szCs w:val="18"/>
              </w:rPr>
              <w:t>C</w:t>
            </w:r>
          </w:p>
        </w:tc>
        <w:tc>
          <w:tcPr>
            <w:tcW w:w="234" w:type="dxa"/>
            <w:vAlign w:val="top"/>
          </w:tcPr>
          <w:p w14:paraId="4A69B5E3">
            <w:pPr>
              <w:pStyle w:val="6"/>
              <w:spacing w:before="131" w:line="182" w:lineRule="auto"/>
              <w:ind w:left="52"/>
            </w:pPr>
            <w:r>
              <w:rPr>
                <w:b/>
                <w:bCs/>
                <w:spacing w:val="-2"/>
              </w:rPr>
              <w:t>D</w:t>
            </w:r>
          </w:p>
        </w:tc>
      </w:tr>
      <w:tr w14:paraId="5B9E53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9" w:hRule="atLeast"/>
        </w:trPr>
        <w:tc>
          <w:tcPr>
            <w:tcW w:w="893" w:type="dxa"/>
            <w:vAlign w:val="top"/>
          </w:tcPr>
          <w:p w14:paraId="05D33C7D">
            <w:pPr>
              <w:pStyle w:val="6"/>
              <w:spacing w:before="39" w:line="206" w:lineRule="auto"/>
              <w:ind w:left="264" w:right="193" w:hanging="79"/>
            </w:pPr>
            <w:r>
              <w:rPr>
                <w:spacing w:val="-2"/>
              </w:rPr>
              <w:t>肿瘤的</w:t>
            </w:r>
            <w:r>
              <w:t xml:space="preserve"> </w:t>
            </w:r>
            <w:r>
              <w:rPr>
                <w:spacing w:val="-2"/>
              </w:rPr>
              <w:t>概念</w:t>
            </w:r>
          </w:p>
        </w:tc>
        <w:tc>
          <w:tcPr>
            <w:tcW w:w="2324" w:type="dxa"/>
            <w:vAlign w:val="top"/>
          </w:tcPr>
          <w:p w14:paraId="764E695A">
            <w:pPr>
              <w:pStyle w:val="6"/>
              <w:spacing w:before="128" w:line="219" w:lineRule="auto"/>
              <w:ind w:left="12"/>
            </w:pPr>
            <w:r>
              <w:rPr>
                <w:spacing w:val="-1"/>
              </w:rPr>
              <w:t>肿瘤的概念</w:t>
            </w:r>
          </w:p>
        </w:tc>
        <w:tc>
          <w:tcPr>
            <w:tcW w:w="219" w:type="dxa"/>
            <w:vAlign w:val="top"/>
          </w:tcPr>
          <w:p w14:paraId="086C56B3">
            <w:pPr>
              <w:rPr>
                <w:rFonts w:ascii="Arial"/>
                <w:sz w:val="21"/>
              </w:rPr>
            </w:pPr>
          </w:p>
        </w:tc>
        <w:tc>
          <w:tcPr>
            <w:tcW w:w="220" w:type="dxa"/>
            <w:vAlign w:val="top"/>
          </w:tcPr>
          <w:p w14:paraId="0CF9648D">
            <w:pPr>
              <w:pStyle w:val="6"/>
              <w:spacing w:before="159" w:line="238" w:lineRule="auto"/>
              <w:ind w:left="39"/>
              <w:rPr>
                <w:sz w:val="13"/>
                <w:szCs w:val="13"/>
              </w:rPr>
            </w:pPr>
            <w:r>
              <w:rPr>
                <w:sz w:val="13"/>
                <w:szCs w:val="13"/>
              </w:rPr>
              <w:t>√</w:t>
            </w:r>
          </w:p>
        </w:tc>
        <w:tc>
          <w:tcPr>
            <w:tcW w:w="229" w:type="dxa"/>
            <w:vAlign w:val="top"/>
          </w:tcPr>
          <w:p w14:paraId="08DF1639">
            <w:pPr>
              <w:rPr>
                <w:rFonts w:ascii="Arial"/>
                <w:sz w:val="21"/>
              </w:rPr>
            </w:pPr>
          </w:p>
        </w:tc>
        <w:tc>
          <w:tcPr>
            <w:tcW w:w="234" w:type="dxa"/>
            <w:vAlign w:val="top"/>
          </w:tcPr>
          <w:p w14:paraId="50B5C1D5">
            <w:pPr>
              <w:rPr>
                <w:rFonts w:ascii="Arial"/>
                <w:sz w:val="21"/>
              </w:rPr>
            </w:pPr>
          </w:p>
        </w:tc>
      </w:tr>
      <w:tr w14:paraId="12913A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0" w:hRule="atLeast"/>
        </w:trPr>
        <w:tc>
          <w:tcPr>
            <w:tcW w:w="893" w:type="dxa"/>
            <w:vMerge w:val="restart"/>
            <w:tcBorders>
              <w:bottom w:val="nil"/>
            </w:tcBorders>
            <w:vAlign w:val="top"/>
          </w:tcPr>
          <w:p w14:paraId="0757E403">
            <w:pPr>
              <w:pStyle w:val="6"/>
              <w:spacing w:before="270" w:line="228" w:lineRule="auto"/>
              <w:ind w:left="264" w:right="193" w:hanging="79"/>
            </w:pPr>
            <w:r>
              <w:rPr>
                <w:spacing w:val="-2"/>
              </w:rPr>
              <w:t>肿瘤的</w:t>
            </w:r>
            <w:r>
              <w:t xml:space="preserve"> </w:t>
            </w:r>
            <w:r>
              <w:rPr>
                <w:spacing w:val="-2"/>
              </w:rPr>
              <w:t>特性</w:t>
            </w:r>
          </w:p>
        </w:tc>
        <w:tc>
          <w:tcPr>
            <w:tcW w:w="2324" w:type="dxa"/>
            <w:vMerge w:val="restart"/>
            <w:tcBorders>
              <w:bottom w:val="nil"/>
            </w:tcBorders>
            <w:vAlign w:val="top"/>
          </w:tcPr>
          <w:p w14:paraId="558F5538">
            <w:pPr>
              <w:pStyle w:val="6"/>
              <w:spacing w:before="69" w:line="220" w:lineRule="auto"/>
              <w:ind w:left="12"/>
            </w:pPr>
            <w:r>
              <w:rPr>
                <w:spacing w:val="1"/>
              </w:rPr>
              <w:t>1.肿瘤的形态与结构</w:t>
            </w:r>
          </w:p>
          <w:p w14:paraId="2FBCD1F5">
            <w:pPr>
              <w:pStyle w:val="6"/>
              <w:spacing w:before="17" w:line="219" w:lineRule="auto"/>
              <w:ind w:left="12"/>
            </w:pPr>
            <w:r>
              <w:rPr>
                <w:spacing w:val="-2"/>
              </w:rPr>
              <w:t>2.肿瘤的异型性</w:t>
            </w:r>
          </w:p>
          <w:p w14:paraId="559F3D1C">
            <w:pPr>
              <w:pStyle w:val="6"/>
              <w:spacing w:before="18" w:line="212" w:lineRule="auto"/>
              <w:ind w:left="12" w:right="781"/>
            </w:pPr>
            <w:r>
              <w:rPr>
                <w:spacing w:val="-2"/>
              </w:rPr>
              <w:t>3.肿瘤的生长与扩散</w:t>
            </w:r>
            <w:r>
              <w:rPr>
                <w:spacing w:val="8"/>
              </w:rPr>
              <w:t xml:space="preserve"> </w:t>
            </w:r>
            <w:r>
              <w:rPr>
                <w:spacing w:val="1"/>
              </w:rPr>
              <w:t>4.肿瘤的代谢特点</w:t>
            </w:r>
          </w:p>
        </w:tc>
        <w:tc>
          <w:tcPr>
            <w:tcW w:w="219" w:type="dxa"/>
            <w:vAlign w:val="top"/>
          </w:tcPr>
          <w:p w14:paraId="0C833179">
            <w:pPr>
              <w:spacing w:line="210" w:lineRule="exact"/>
              <w:rPr>
                <w:rFonts w:ascii="Arial"/>
                <w:sz w:val="18"/>
              </w:rPr>
            </w:pPr>
          </w:p>
        </w:tc>
        <w:tc>
          <w:tcPr>
            <w:tcW w:w="220" w:type="dxa"/>
            <w:vAlign w:val="top"/>
          </w:tcPr>
          <w:p w14:paraId="7F802276">
            <w:pPr>
              <w:spacing w:line="210" w:lineRule="exact"/>
              <w:rPr>
                <w:rFonts w:ascii="Arial"/>
                <w:sz w:val="18"/>
              </w:rPr>
            </w:pPr>
          </w:p>
        </w:tc>
        <w:tc>
          <w:tcPr>
            <w:tcW w:w="229" w:type="dxa"/>
            <w:vAlign w:val="top"/>
          </w:tcPr>
          <w:p w14:paraId="30220000">
            <w:pPr>
              <w:spacing w:line="210" w:lineRule="exact"/>
              <w:rPr>
                <w:rFonts w:ascii="Arial"/>
                <w:sz w:val="18"/>
              </w:rPr>
            </w:pPr>
          </w:p>
        </w:tc>
        <w:tc>
          <w:tcPr>
            <w:tcW w:w="234" w:type="dxa"/>
            <w:vAlign w:val="top"/>
          </w:tcPr>
          <w:p w14:paraId="397C24F8">
            <w:pPr>
              <w:spacing w:line="210" w:lineRule="exact"/>
              <w:rPr>
                <w:rFonts w:ascii="Arial"/>
                <w:sz w:val="18"/>
              </w:rPr>
            </w:pPr>
          </w:p>
        </w:tc>
      </w:tr>
      <w:tr w14:paraId="0C16A1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0" w:hRule="atLeast"/>
        </w:trPr>
        <w:tc>
          <w:tcPr>
            <w:tcW w:w="893" w:type="dxa"/>
            <w:vMerge w:val="continue"/>
            <w:tcBorders>
              <w:top w:val="nil"/>
              <w:bottom w:val="nil"/>
            </w:tcBorders>
            <w:vAlign w:val="top"/>
          </w:tcPr>
          <w:p w14:paraId="1F0A2D4D">
            <w:pPr>
              <w:rPr>
                <w:rFonts w:ascii="Arial"/>
                <w:sz w:val="21"/>
              </w:rPr>
            </w:pPr>
          </w:p>
        </w:tc>
        <w:tc>
          <w:tcPr>
            <w:tcW w:w="2324" w:type="dxa"/>
            <w:vMerge w:val="continue"/>
            <w:tcBorders>
              <w:top w:val="nil"/>
              <w:bottom w:val="nil"/>
            </w:tcBorders>
            <w:vAlign w:val="top"/>
          </w:tcPr>
          <w:p w14:paraId="43A60591">
            <w:pPr>
              <w:rPr>
                <w:rFonts w:ascii="Arial"/>
                <w:sz w:val="21"/>
              </w:rPr>
            </w:pPr>
          </w:p>
        </w:tc>
        <w:tc>
          <w:tcPr>
            <w:tcW w:w="219" w:type="dxa"/>
            <w:vAlign w:val="top"/>
          </w:tcPr>
          <w:p w14:paraId="70FE1C86">
            <w:pPr>
              <w:spacing w:line="210" w:lineRule="exact"/>
              <w:rPr>
                <w:rFonts w:ascii="Arial"/>
                <w:sz w:val="18"/>
              </w:rPr>
            </w:pPr>
          </w:p>
        </w:tc>
        <w:tc>
          <w:tcPr>
            <w:tcW w:w="220" w:type="dxa"/>
            <w:vAlign w:val="top"/>
          </w:tcPr>
          <w:p w14:paraId="4D79528E">
            <w:pPr>
              <w:spacing w:line="210" w:lineRule="exact"/>
              <w:rPr>
                <w:rFonts w:ascii="Arial"/>
                <w:sz w:val="18"/>
              </w:rPr>
            </w:pPr>
          </w:p>
        </w:tc>
        <w:tc>
          <w:tcPr>
            <w:tcW w:w="229" w:type="dxa"/>
            <w:vAlign w:val="top"/>
          </w:tcPr>
          <w:p w14:paraId="06C3A485">
            <w:pPr>
              <w:spacing w:line="210" w:lineRule="exact"/>
              <w:rPr>
                <w:rFonts w:ascii="Arial"/>
                <w:sz w:val="18"/>
              </w:rPr>
            </w:pPr>
          </w:p>
        </w:tc>
        <w:tc>
          <w:tcPr>
            <w:tcW w:w="234" w:type="dxa"/>
            <w:vAlign w:val="top"/>
          </w:tcPr>
          <w:p w14:paraId="62271790">
            <w:pPr>
              <w:spacing w:line="210" w:lineRule="exact"/>
              <w:rPr>
                <w:rFonts w:ascii="Arial"/>
                <w:sz w:val="18"/>
              </w:rPr>
            </w:pPr>
          </w:p>
        </w:tc>
      </w:tr>
      <w:tr w14:paraId="1DA7B0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0" w:hRule="atLeast"/>
        </w:trPr>
        <w:tc>
          <w:tcPr>
            <w:tcW w:w="893" w:type="dxa"/>
            <w:vMerge w:val="continue"/>
            <w:tcBorders>
              <w:top w:val="nil"/>
              <w:bottom w:val="nil"/>
            </w:tcBorders>
            <w:vAlign w:val="top"/>
          </w:tcPr>
          <w:p w14:paraId="5D429C4C">
            <w:pPr>
              <w:rPr>
                <w:rFonts w:ascii="Arial"/>
                <w:sz w:val="21"/>
              </w:rPr>
            </w:pPr>
          </w:p>
        </w:tc>
        <w:tc>
          <w:tcPr>
            <w:tcW w:w="2324" w:type="dxa"/>
            <w:vMerge w:val="continue"/>
            <w:tcBorders>
              <w:top w:val="nil"/>
              <w:bottom w:val="nil"/>
            </w:tcBorders>
            <w:vAlign w:val="top"/>
          </w:tcPr>
          <w:p w14:paraId="25E0E9D6">
            <w:pPr>
              <w:rPr>
                <w:rFonts w:ascii="Arial"/>
                <w:sz w:val="21"/>
              </w:rPr>
            </w:pPr>
          </w:p>
        </w:tc>
        <w:tc>
          <w:tcPr>
            <w:tcW w:w="219" w:type="dxa"/>
            <w:vAlign w:val="top"/>
          </w:tcPr>
          <w:p w14:paraId="5F1FD64A">
            <w:pPr>
              <w:spacing w:line="200" w:lineRule="exact"/>
              <w:rPr>
                <w:rFonts w:ascii="Arial"/>
                <w:sz w:val="17"/>
              </w:rPr>
            </w:pPr>
          </w:p>
        </w:tc>
        <w:tc>
          <w:tcPr>
            <w:tcW w:w="220" w:type="dxa"/>
            <w:vAlign w:val="top"/>
          </w:tcPr>
          <w:p w14:paraId="0E0DBFC8">
            <w:pPr>
              <w:spacing w:line="200" w:lineRule="exact"/>
              <w:rPr>
                <w:rFonts w:ascii="Arial"/>
                <w:sz w:val="17"/>
              </w:rPr>
            </w:pPr>
          </w:p>
        </w:tc>
        <w:tc>
          <w:tcPr>
            <w:tcW w:w="229" w:type="dxa"/>
            <w:vAlign w:val="top"/>
          </w:tcPr>
          <w:p w14:paraId="2345ECDF">
            <w:pPr>
              <w:pStyle w:val="6"/>
              <w:spacing w:before="50" w:line="213" w:lineRule="auto"/>
              <w:ind w:left="48"/>
              <w:rPr>
                <w:sz w:val="13"/>
                <w:szCs w:val="13"/>
              </w:rPr>
            </w:pPr>
            <w:r>
              <w:rPr>
                <w:sz w:val="13"/>
                <w:szCs w:val="13"/>
              </w:rPr>
              <w:t>√</w:t>
            </w:r>
          </w:p>
        </w:tc>
        <w:tc>
          <w:tcPr>
            <w:tcW w:w="234" w:type="dxa"/>
            <w:vAlign w:val="top"/>
          </w:tcPr>
          <w:p w14:paraId="1265A2C7">
            <w:pPr>
              <w:spacing w:line="200" w:lineRule="exact"/>
              <w:rPr>
                <w:rFonts w:ascii="Arial"/>
                <w:sz w:val="17"/>
              </w:rPr>
            </w:pPr>
          </w:p>
        </w:tc>
      </w:tr>
      <w:tr w14:paraId="7673F6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0" w:hRule="atLeast"/>
        </w:trPr>
        <w:tc>
          <w:tcPr>
            <w:tcW w:w="893" w:type="dxa"/>
            <w:vMerge w:val="continue"/>
            <w:tcBorders>
              <w:top w:val="nil"/>
            </w:tcBorders>
            <w:vAlign w:val="top"/>
          </w:tcPr>
          <w:p w14:paraId="247C315F">
            <w:pPr>
              <w:rPr>
                <w:rFonts w:ascii="Arial"/>
                <w:sz w:val="21"/>
              </w:rPr>
            </w:pPr>
          </w:p>
        </w:tc>
        <w:tc>
          <w:tcPr>
            <w:tcW w:w="2324" w:type="dxa"/>
            <w:vMerge w:val="continue"/>
            <w:tcBorders>
              <w:top w:val="nil"/>
            </w:tcBorders>
            <w:vAlign w:val="top"/>
          </w:tcPr>
          <w:p w14:paraId="5F246E14">
            <w:pPr>
              <w:rPr>
                <w:rFonts w:ascii="Arial"/>
                <w:sz w:val="21"/>
              </w:rPr>
            </w:pPr>
          </w:p>
        </w:tc>
        <w:tc>
          <w:tcPr>
            <w:tcW w:w="219" w:type="dxa"/>
            <w:vAlign w:val="top"/>
          </w:tcPr>
          <w:p w14:paraId="266C6A92">
            <w:pPr>
              <w:spacing w:line="220" w:lineRule="exact"/>
              <w:rPr>
                <w:rFonts w:ascii="Arial"/>
                <w:sz w:val="19"/>
              </w:rPr>
            </w:pPr>
          </w:p>
        </w:tc>
        <w:tc>
          <w:tcPr>
            <w:tcW w:w="220" w:type="dxa"/>
            <w:vAlign w:val="top"/>
          </w:tcPr>
          <w:p w14:paraId="092A7DC5">
            <w:pPr>
              <w:spacing w:line="220" w:lineRule="exact"/>
              <w:rPr>
                <w:rFonts w:ascii="Arial"/>
                <w:sz w:val="19"/>
              </w:rPr>
            </w:pPr>
          </w:p>
        </w:tc>
        <w:tc>
          <w:tcPr>
            <w:tcW w:w="229" w:type="dxa"/>
            <w:vAlign w:val="top"/>
          </w:tcPr>
          <w:p w14:paraId="7F526BB7">
            <w:pPr>
              <w:spacing w:line="220" w:lineRule="exact"/>
              <w:rPr>
                <w:rFonts w:ascii="Arial"/>
                <w:sz w:val="19"/>
              </w:rPr>
            </w:pPr>
          </w:p>
        </w:tc>
        <w:tc>
          <w:tcPr>
            <w:tcW w:w="234" w:type="dxa"/>
            <w:vAlign w:val="top"/>
          </w:tcPr>
          <w:p w14:paraId="364E4A22">
            <w:pPr>
              <w:spacing w:line="220" w:lineRule="exact"/>
              <w:rPr>
                <w:rFonts w:ascii="Arial"/>
                <w:sz w:val="19"/>
              </w:rPr>
            </w:pPr>
          </w:p>
        </w:tc>
      </w:tr>
      <w:tr w14:paraId="128936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9" w:hRule="atLeast"/>
        </w:trPr>
        <w:tc>
          <w:tcPr>
            <w:tcW w:w="893" w:type="dxa"/>
            <w:vMerge w:val="restart"/>
            <w:tcBorders>
              <w:bottom w:val="nil"/>
            </w:tcBorders>
            <w:vAlign w:val="top"/>
          </w:tcPr>
          <w:p w14:paraId="715D1C8C">
            <w:pPr>
              <w:pStyle w:val="6"/>
              <w:spacing w:before="168" w:line="231" w:lineRule="auto"/>
              <w:ind w:left="94" w:right="94"/>
            </w:pPr>
            <w:r>
              <w:rPr>
                <w:spacing w:val="-2"/>
              </w:rPr>
              <w:t>肿瘤对机</w:t>
            </w:r>
            <w:r>
              <w:rPr>
                <w:spacing w:val="1"/>
              </w:rPr>
              <w:t xml:space="preserve"> </w:t>
            </w:r>
            <w:r>
              <w:rPr>
                <w:spacing w:val="3"/>
              </w:rPr>
              <w:t>体的影响</w:t>
            </w:r>
          </w:p>
        </w:tc>
        <w:tc>
          <w:tcPr>
            <w:tcW w:w="2324" w:type="dxa"/>
            <w:vMerge w:val="restart"/>
            <w:tcBorders>
              <w:bottom w:val="nil"/>
            </w:tcBorders>
            <w:vAlign w:val="top"/>
          </w:tcPr>
          <w:p w14:paraId="067194A0">
            <w:pPr>
              <w:pStyle w:val="6"/>
              <w:spacing w:before="188" w:line="223" w:lineRule="auto"/>
              <w:ind w:left="12" w:right="417"/>
            </w:pPr>
            <w:r>
              <w:rPr>
                <w:spacing w:val="-2"/>
              </w:rPr>
              <w:t>1.</w:t>
            </w:r>
            <w:r>
              <w:rPr>
                <w:spacing w:val="-48"/>
              </w:rPr>
              <w:t xml:space="preserve"> </w:t>
            </w:r>
            <w:r>
              <w:rPr>
                <w:spacing w:val="-2"/>
              </w:rPr>
              <w:t>良性肿瘤对机体的影响</w:t>
            </w:r>
            <w:r>
              <w:t xml:space="preserve"> </w:t>
            </w:r>
            <w:r>
              <w:rPr>
                <w:spacing w:val="1"/>
              </w:rPr>
              <w:t>2.恶性肿瘤对机体的影响</w:t>
            </w:r>
          </w:p>
        </w:tc>
        <w:tc>
          <w:tcPr>
            <w:tcW w:w="219" w:type="dxa"/>
            <w:vAlign w:val="top"/>
          </w:tcPr>
          <w:p w14:paraId="3C2CDA77">
            <w:pPr>
              <w:rPr>
                <w:rFonts w:ascii="Arial"/>
                <w:sz w:val="21"/>
              </w:rPr>
            </w:pPr>
          </w:p>
        </w:tc>
        <w:tc>
          <w:tcPr>
            <w:tcW w:w="220" w:type="dxa"/>
            <w:vAlign w:val="top"/>
          </w:tcPr>
          <w:p w14:paraId="4C224890">
            <w:pPr>
              <w:rPr>
                <w:rFonts w:ascii="Arial"/>
                <w:sz w:val="21"/>
              </w:rPr>
            </w:pPr>
          </w:p>
        </w:tc>
        <w:tc>
          <w:tcPr>
            <w:tcW w:w="229" w:type="dxa"/>
            <w:vAlign w:val="top"/>
          </w:tcPr>
          <w:p w14:paraId="69713EBF">
            <w:pPr>
              <w:rPr>
                <w:rFonts w:ascii="Arial"/>
                <w:sz w:val="21"/>
              </w:rPr>
            </w:pPr>
          </w:p>
        </w:tc>
        <w:tc>
          <w:tcPr>
            <w:tcW w:w="234" w:type="dxa"/>
            <w:vAlign w:val="top"/>
          </w:tcPr>
          <w:p w14:paraId="5108BDD5">
            <w:pPr>
              <w:rPr>
                <w:rFonts w:ascii="Arial"/>
                <w:sz w:val="21"/>
              </w:rPr>
            </w:pPr>
          </w:p>
        </w:tc>
      </w:tr>
      <w:tr w14:paraId="465E19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893" w:type="dxa"/>
            <w:vMerge w:val="continue"/>
            <w:tcBorders>
              <w:top w:val="nil"/>
            </w:tcBorders>
            <w:vAlign w:val="top"/>
          </w:tcPr>
          <w:p w14:paraId="33429BB5">
            <w:pPr>
              <w:rPr>
                <w:rFonts w:ascii="Arial"/>
                <w:sz w:val="21"/>
              </w:rPr>
            </w:pPr>
          </w:p>
        </w:tc>
        <w:tc>
          <w:tcPr>
            <w:tcW w:w="2324" w:type="dxa"/>
            <w:vMerge w:val="continue"/>
            <w:tcBorders>
              <w:top w:val="nil"/>
            </w:tcBorders>
            <w:vAlign w:val="top"/>
          </w:tcPr>
          <w:p w14:paraId="3E21DF68">
            <w:pPr>
              <w:rPr>
                <w:rFonts w:ascii="Arial"/>
                <w:sz w:val="21"/>
              </w:rPr>
            </w:pPr>
          </w:p>
        </w:tc>
        <w:tc>
          <w:tcPr>
            <w:tcW w:w="219" w:type="dxa"/>
            <w:vAlign w:val="top"/>
          </w:tcPr>
          <w:p w14:paraId="507F8749">
            <w:pPr>
              <w:rPr>
                <w:rFonts w:ascii="Arial"/>
                <w:sz w:val="21"/>
              </w:rPr>
            </w:pPr>
          </w:p>
        </w:tc>
        <w:tc>
          <w:tcPr>
            <w:tcW w:w="220" w:type="dxa"/>
            <w:vAlign w:val="top"/>
          </w:tcPr>
          <w:p w14:paraId="1D40A91E">
            <w:pPr>
              <w:rPr>
                <w:rFonts w:ascii="Arial"/>
                <w:sz w:val="21"/>
              </w:rPr>
            </w:pPr>
          </w:p>
        </w:tc>
        <w:tc>
          <w:tcPr>
            <w:tcW w:w="229" w:type="dxa"/>
            <w:vAlign w:val="top"/>
          </w:tcPr>
          <w:p w14:paraId="49B8D0F7">
            <w:pPr>
              <w:rPr>
                <w:rFonts w:ascii="Arial"/>
                <w:sz w:val="21"/>
              </w:rPr>
            </w:pPr>
          </w:p>
        </w:tc>
        <w:tc>
          <w:tcPr>
            <w:tcW w:w="234" w:type="dxa"/>
            <w:vAlign w:val="top"/>
          </w:tcPr>
          <w:p w14:paraId="66E7ECD4">
            <w:pPr>
              <w:rPr>
                <w:rFonts w:ascii="Arial"/>
                <w:sz w:val="21"/>
              </w:rPr>
            </w:pPr>
          </w:p>
        </w:tc>
      </w:tr>
      <w:tr w14:paraId="37A781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19" w:hRule="atLeast"/>
        </w:trPr>
        <w:tc>
          <w:tcPr>
            <w:tcW w:w="893" w:type="dxa"/>
            <w:vAlign w:val="top"/>
          </w:tcPr>
          <w:p w14:paraId="4E13C8EB">
            <w:pPr>
              <w:pStyle w:val="6"/>
              <w:spacing w:before="53" w:line="232" w:lineRule="auto"/>
              <w:ind w:left="94" w:right="92"/>
              <w:jc w:val="both"/>
            </w:pPr>
            <w:r>
              <w:rPr>
                <w:spacing w:val="2"/>
              </w:rPr>
              <w:t>良性肿瘤</w:t>
            </w:r>
            <w:r>
              <w:t xml:space="preserve"> </w:t>
            </w:r>
            <w:r>
              <w:rPr>
                <w:spacing w:val="3"/>
              </w:rPr>
              <w:t>与恶性肿</w:t>
            </w:r>
            <w:r>
              <w:rPr>
                <w:spacing w:val="2"/>
              </w:rPr>
              <w:t xml:space="preserve"> </w:t>
            </w:r>
            <w:r>
              <w:rPr>
                <w:spacing w:val="-2"/>
              </w:rPr>
              <w:t>瘤的区别</w:t>
            </w:r>
          </w:p>
        </w:tc>
        <w:tc>
          <w:tcPr>
            <w:tcW w:w="2324" w:type="dxa"/>
            <w:vAlign w:val="top"/>
          </w:tcPr>
          <w:p w14:paraId="20352222">
            <w:pPr>
              <w:pStyle w:val="6"/>
              <w:spacing w:before="281" w:line="220" w:lineRule="auto"/>
              <w:ind w:left="12"/>
            </w:pPr>
            <w:r>
              <w:rPr>
                <w:spacing w:val="-1"/>
              </w:rPr>
              <w:t>列表区别良、恶性肿瘤</w:t>
            </w:r>
          </w:p>
        </w:tc>
        <w:tc>
          <w:tcPr>
            <w:tcW w:w="219" w:type="dxa"/>
            <w:vAlign w:val="top"/>
          </w:tcPr>
          <w:p w14:paraId="225A6F53">
            <w:pPr>
              <w:rPr>
                <w:rFonts w:ascii="Arial"/>
                <w:sz w:val="21"/>
              </w:rPr>
            </w:pPr>
          </w:p>
        </w:tc>
        <w:tc>
          <w:tcPr>
            <w:tcW w:w="220" w:type="dxa"/>
            <w:vAlign w:val="top"/>
          </w:tcPr>
          <w:p w14:paraId="4E94DBC6">
            <w:pPr>
              <w:rPr>
                <w:rFonts w:ascii="Arial"/>
                <w:sz w:val="21"/>
              </w:rPr>
            </w:pPr>
          </w:p>
        </w:tc>
        <w:tc>
          <w:tcPr>
            <w:tcW w:w="229" w:type="dxa"/>
            <w:vAlign w:val="top"/>
          </w:tcPr>
          <w:p w14:paraId="3EB867DA">
            <w:pPr>
              <w:rPr>
                <w:rFonts w:ascii="Arial"/>
                <w:sz w:val="21"/>
              </w:rPr>
            </w:pPr>
          </w:p>
        </w:tc>
        <w:tc>
          <w:tcPr>
            <w:tcW w:w="234" w:type="dxa"/>
            <w:vAlign w:val="top"/>
          </w:tcPr>
          <w:p w14:paraId="1F9081DC">
            <w:pPr>
              <w:rPr>
                <w:rFonts w:ascii="Arial"/>
                <w:sz w:val="21"/>
              </w:rPr>
            </w:pPr>
          </w:p>
        </w:tc>
      </w:tr>
      <w:tr w14:paraId="419BF8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893" w:type="dxa"/>
            <w:vMerge w:val="restart"/>
            <w:tcBorders>
              <w:bottom w:val="nil"/>
            </w:tcBorders>
            <w:vAlign w:val="top"/>
          </w:tcPr>
          <w:p w14:paraId="7E47BE85">
            <w:pPr>
              <w:pStyle w:val="6"/>
              <w:spacing w:before="162" w:line="229" w:lineRule="auto"/>
              <w:ind w:left="94" w:right="113"/>
            </w:pPr>
            <w:r>
              <w:rPr>
                <w:spacing w:val="-2"/>
              </w:rPr>
              <w:t>肿瘤的命</w:t>
            </w:r>
            <w:r>
              <w:rPr>
                <w:spacing w:val="1"/>
              </w:rPr>
              <w:t xml:space="preserve"> </w:t>
            </w:r>
            <w:r>
              <w:rPr>
                <w:spacing w:val="-2"/>
              </w:rPr>
              <w:t>名与分类</w:t>
            </w:r>
          </w:p>
        </w:tc>
        <w:tc>
          <w:tcPr>
            <w:tcW w:w="2324" w:type="dxa"/>
            <w:vMerge w:val="restart"/>
            <w:tcBorders>
              <w:bottom w:val="nil"/>
            </w:tcBorders>
            <w:vAlign w:val="top"/>
          </w:tcPr>
          <w:p w14:paraId="241FF54D">
            <w:pPr>
              <w:pStyle w:val="6"/>
              <w:spacing w:before="181" w:line="229" w:lineRule="auto"/>
              <w:ind w:left="12" w:right="926"/>
            </w:pPr>
            <w:r>
              <w:rPr>
                <w:spacing w:val="1"/>
              </w:rPr>
              <w:t>1.肿瘤的命名原则</w:t>
            </w:r>
            <w:r>
              <w:rPr>
                <w:spacing w:val="5"/>
              </w:rPr>
              <w:t xml:space="preserve"> </w:t>
            </w:r>
            <w:r>
              <w:rPr>
                <w:spacing w:val="-2"/>
              </w:rPr>
              <w:t>2.肿瘤的分类</w:t>
            </w:r>
          </w:p>
        </w:tc>
        <w:tc>
          <w:tcPr>
            <w:tcW w:w="219" w:type="dxa"/>
            <w:vAlign w:val="top"/>
          </w:tcPr>
          <w:p w14:paraId="4112FA09">
            <w:pPr>
              <w:pStyle w:val="6"/>
              <w:spacing w:before="123" w:line="238" w:lineRule="auto"/>
              <w:ind w:left="17"/>
              <w:rPr>
                <w:sz w:val="13"/>
                <w:szCs w:val="13"/>
              </w:rPr>
            </w:pPr>
            <w:r>
              <w:rPr>
                <w:sz w:val="13"/>
                <w:szCs w:val="13"/>
              </w:rPr>
              <w:t>√</w:t>
            </w:r>
          </w:p>
        </w:tc>
        <w:tc>
          <w:tcPr>
            <w:tcW w:w="220" w:type="dxa"/>
            <w:vAlign w:val="top"/>
          </w:tcPr>
          <w:p w14:paraId="348887C2">
            <w:pPr>
              <w:rPr>
                <w:rFonts w:ascii="Arial"/>
                <w:sz w:val="21"/>
              </w:rPr>
            </w:pPr>
          </w:p>
        </w:tc>
        <w:tc>
          <w:tcPr>
            <w:tcW w:w="229" w:type="dxa"/>
            <w:vAlign w:val="top"/>
          </w:tcPr>
          <w:p w14:paraId="044CD912">
            <w:pPr>
              <w:rPr>
                <w:rFonts w:ascii="Arial"/>
                <w:sz w:val="21"/>
              </w:rPr>
            </w:pPr>
          </w:p>
        </w:tc>
        <w:tc>
          <w:tcPr>
            <w:tcW w:w="234" w:type="dxa"/>
            <w:vAlign w:val="top"/>
          </w:tcPr>
          <w:p w14:paraId="36EE8C78">
            <w:pPr>
              <w:rPr>
                <w:rFonts w:ascii="Arial"/>
                <w:sz w:val="21"/>
              </w:rPr>
            </w:pPr>
          </w:p>
        </w:tc>
      </w:tr>
      <w:tr w14:paraId="05D5D4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9" w:hRule="atLeast"/>
        </w:trPr>
        <w:tc>
          <w:tcPr>
            <w:tcW w:w="893" w:type="dxa"/>
            <w:vMerge w:val="continue"/>
            <w:tcBorders>
              <w:top w:val="nil"/>
            </w:tcBorders>
            <w:vAlign w:val="top"/>
          </w:tcPr>
          <w:p w14:paraId="3EDF74F6">
            <w:pPr>
              <w:rPr>
                <w:rFonts w:ascii="Arial"/>
                <w:sz w:val="21"/>
              </w:rPr>
            </w:pPr>
          </w:p>
        </w:tc>
        <w:tc>
          <w:tcPr>
            <w:tcW w:w="2324" w:type="dxa"/>
            <w:vMerge w:val="continue"/>
            <w:tcBorders>
              <w:top w:val="nil"/>
            </w:tcBorders>
            <w:vAlign w:val="top"/>
          </w:tcPr>
          <w:p w14:paraId="1BE19861">
            <w:pPr>
              <w:rPr>
                <w:rFonts w:ascii="Arial"/>
                <w:sz w:val="21"/>
              </w:rPr>
            </w:pPr>
          </w:p>
        </w:tc>
        <w:tc>
          <w:tcPr>
            <w:tcW w:w="219" w:type="dxa"/>
            <w:vAlign w:val="top"/>
          </w:tcPr>
          <w:p w14:paraId="731D6112">
            <w:pPr>
              <w:pStyle w:val="6"/>
              <w:spacing w:before="133" w:line="238" w:lineRule="auto"/>
              <w:ind w:left="17"/>
              <w:rPr>
                <w:sz w:val="13"/>
                <w:szCs w:val="13"/>
              </w:rPr>
            </w:pPr>
            <w:r>
              <w:rPr>
                <w:sz w:val="13"/>
                <w:szCs w:val="13"/>
              </w:rPr>
              <w:t>√</w:t>
            </w:r>
          </w:p>
        </w:tc>
        <w:tc>
          <w:tcPr>
            <w:tcW w:w="220" w:type="dxa"/>
            <w:vAlign w:val="top"/>
          </w:tcPr>
          <w:p w14:paraId="27CBC05F">
            <w:pPr>
              <w:rPr>
                <w:rFonts w:ascii="Arial"/>
                <w:sz w:val="21"/>
              </w:rPr>
            </w:pPr>
          </w:p>
        </w:tc>
        <w:tc>
          <w:tcPr>
            <w:tcW w:w="229" w:type="dxa"/>
            <w:vAlign w:val="top"/>
          </w:tcPr>
          <w:p w14:paraId="742E9BFA">
            <w:pPr>
              <w:rPr>
                <w:rFonts w:ascii="Arial"/>
                <w:sz w:val="21"/>
              </w:rPr>
            </w:pPr>
          </w:p>
        </w:tc>
        <w:tc>
          <w:tcPr>
            <w:tcW w:w="234" w:type="dxa"/>
            <w:vAlign w:val="top"/>
          </w:tcPr>
          <w:p w14:paraId="47765A7A">
            <w:pPr>
              <w:rPr>
                <w:rFonts w:ascii="Arial"/>
                <w:sz w:val="21"/>
              </w:rPr>
            </w:pPr>
          </w:p>
        </w:tc>
      </w:tr>
      <w:tr w14:paraId="684B20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9" w:hRule="atLeast"/>
        </w:trPr>
        <w:tc>
          <w:tcPr>
            <w:tcW w:w="893" w:type="dxa"/>
            <w:vAlign w:val="top"/>
          </w:tcPr>
          <w:p w14:paraId="455408AF">
            <w:pPr>
              <w:pStyle w:val="6"/>
              <w:spacing w:before="33" w:line="220" w:lineRule="auto"/>
              <w:ind w:left="94"/>
            </w:pPr>
            <w:r>
              <w:rPr>
                <w:spacing w:val="-2"/>
              </w:rPr>
              <w:t>癌和肉瘤</w:t>
            </w:r>
          </w:p>
          <w:p w14:paraId="1F9A5729">
            <w:pPr>
              <w:pStyle w:val="6"/>
              <w:spacing w:before="27" w:line="180" w:lineRule="auto"/>
              <w:ind w:left="185"/>
            </w:pPr>
            <w:r>
              <w:rPr>
                <w:spacing w:val="4"/>
              </w:rPr>
              <w:t>的区别</w:t>
            </w:r>
          </w:p>
        </w:tc>
        <w:tc>
          <w:tcPr>
            <w:tcW w:w="2324" w:type="dxa"/>
            <w:vAlign w:val="top"/>
          </w:tcPr>
          <w:p w14:paraId="480A7C2C">
            <w:pPr>
              <w:pStyle w:val="6"/>
              <w:spacing w:before="143" w:line="220" w:lineRule="auto"/>
              <w:ind w:left="12"/>
            </w:pPr>
            <w:r>
              <w:rPr>
                <w:spacing w:val="-2"/>
              </w:rPr>
              <w:t>列表区别癌与肉瘤</w:t>
            </w:r>
          </w:p>
        </w:tc>
        <w:tc>
          <w:tcPr>
            <w:tcW w:w="219" w:type="dxa"/>
            <w:vAlign w:val="top"/>
          </w:tcPr>
          <w:p w14:paraId="20ADB6A5">
            <w:pPr>
              <w:pStyle w:val="6"/>
              <w:spacing w:before="174" w:line="238" w:lineRule="auto"/>
              <w:ind w:left="17"/>
              <w:rPr>
                <w:sz w:val="13"/>
                <w:szCs w:val="13"/>
              </w:rPr>
            </w:pPr>
            <w:r>
              <w:rPr>
                <w:sz w:val="13"/>
                <w:szCs w:val="13"/>
              </w:rPr>
              <w:t>√</w:t>
            </w:r>
          </w:p>
        </w:tc>
        <w:tc>
          <w:tcPr>
            <w:tcW w:w="220" w:type="dxa"/>
            <w:vAlign w:val="top"/>
          </w:tcPr>
          <w:p w14:paraId="48088CDE">
            <w:pPr>
              <w:rPr>
                <w:rFonts w:ascii="Arial"/>
                <w:sz w:val="21"/>
              </w:rPr>
            </w:pPr>
          </w:p>
        </w:tc>
        <w:tc>
          <w:tcPr>
            <w:tcW w:w="229" w:type="dxa"/>
            <w:vAlign w:val="top"/>
          </w:tcPr>
          <w:p w14:paraId="4CE05348">
            <w:pPr>
              <w:rPr>
                <w:rFonts w:ascii="Arial"/>
                <w:sz w:val="21"/>
              </w:rPr>
            </w:pPr>
          </w:p>
        </w:tc>
        <w:tc>
          <w:tcPr>
            <w:tcW w:w="234" w:type="dxa"/>
            <w:vAlign w:val="top"/>
          </w:tcPr>
          <w:p w14:paraId="11067AC2">
            <w:pPr>
              <w:rPr>
                <w:rFonts w:ascii="Arial"/>
                <w:sz w:val="21"/>
              </w:rPr>
            </w:pPr>
          </w:p>
        </w:tc>
      </w:tr>
      <w:tr w14:paraId="1E11FE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trPr>
        <w:tc>
          <w:tcPr>
            <w:tcW w:w="893" w:type="dxa"/>
            <w:vMerge w:val="restart"/>
            <w:tcBorders>
              <w:bottom w:val="nil"/>
            </w:tcBorders>
            <w:vAlign w:val="top"/>
          </w:tcPr>
          <w:p w14:paraId="3C3275EE">
            <w:pPr>
              <w:pStyle w:val="6"/>
              <w:spacing w:before="34" w:line="220" w:lineRule="auto"/>
              <w:jc w:val="right"/>
            </w:pPr>
            <w:r>
              <w:rPr>
                <w:spacing w:val="3"/>
              </w:rPr>
              <w:t>癌前病变、</w:t>
            </w:r>
          </w:p>
          <w:p w14:paraId="5FEA39BC">
            <w:pPr>
              <w:pStyle w:val="6"/>
              <w:spacing w:before="18" w:line="222" w:lineRule="auto"/>
              <w:ind w:left="185" w:right="102" w:hanging="170"/>
            </w:pPr>
            <w:r>
              <w:rPr>
                <w:spacing w:val="11"/>
              </w:rPr>
              <w:t>原位癌</w:t>
            </w:r>
            <w:r>
              <w:rPr>
                <w:spacing w:val="-45"/>
              </w:rPr>
              <w:t xml:space="preserve"> </w:t>
            </w:r>
            <w:r>
              <w:rPr>
                <w:spacing w:val="11"/>
              </w:rPr>
              <w:t>、</w:t>
            </w:r>
            <w:r>
              <w:t xml:space="preserve"> </w:t>
            </w:r>
            <w:r>
              <w:rPr>
                <w:spacing w:val="-3"/>
              </w:rPr>
              <w:t>早期浸</w:t>
            </w:r>
            <w:r>
              <w:t xml:space="preserve">  </w:t>
            </w:r>
            <w:r>
              <w:rPr>
                <w:spacing w:val="35"/>
              </w:rPr>
              <w:t>润癌</w:t>
            </w:r>
          </w:p>
        </w:tc>
        <w:tc>
          <w:tcPr>
            <w:tcW w:w="2324" w:type="dxa"/>
            <w:vMerge w:val="restart"/>
            <w:tcBorders>
              <w:bottom w:val="nil"/>
            </w:tcBorders>
            <w:vAlign w:val="top"/>
          </w:tcPr>
          <w:p w14:paraId="576B9A23">
            <w:pPr>
              <w:pStyle w:val="6"/>
              <w:spacing w:before="164" w:line="213" w:lineRule="auto"/>
              <w:ind w:left="12" w:right="1444"/>
            </w:pPr>
            <w:r>
              <w:rPr>
                <w:spacing w:val="1"/>
              </w:rPr>
              <w:t>1.癌前病变</w:t>
            </w:r>
            <w:r>
              <w:t xml:space="preserve"> </w:t>
            </w:r>
            <w:r>
              <w:rPr>
                <w:spacing w:val="-2"/>
              </w:rPr>
              <w:t>2.原位癌</w:t>
            </w:r>
          </w:p>
          <w:p w14:paraId="16B2842E">
            <w:pPr>
              <w:pStyle w:val="6"/>
              <w:spacing w:before="47" w:line="219" w:lineRule="auto"/>
              <w:ind w:left="12"/>
            </w:pPr>
            <w:r>
              <w:rPr>
                <w:spacing w:val="1"/>
              </w:rPr>
              <w:t>3.早期浸润癌</w:t>
            </w:r>
          </w:p>
        </w:tc>
        <w:tc>
          <w:tcPr>
            <w:tcW w:w="219" w:type="dxa"/>
            <w:vAlign w:val="top"/>
          </w:tcPr>
          <w:p w14:paraId="14D73134">
            <w:pPr>
              <w:rPr>
                <w:rFonts w:ascii="Arial"/>
                <w:sz w:val="21"/>
              </w:rPr>
            </w:pPr>
          </w:p>
        </w:tc>
        <w:tc>
          <w:tcPr>
            <w:tcW w:w="220" w:type="dxa"/>
            <w:vAlign w:val="top"/>
          </w:tcPr>
          <w:p w14:paraId="64B96548">
            <w:pPr>
              <w:rPr>
                <w:rFonts w:ascii="Arial"/>
                <w:sz w:val="21"/>
              </w:rPr>
            </w:pPr>
          </w:p>
        </w:tc>
        <w:tc>
          <w:tcPr>
            <w:tcW w:w="229" w:type="dxa"/>
            <w:vAlign w:val="top"/>
          </w:tcPr>
          <w:p w14:paraId="45B44246">
            <w:pPr>
              <w:rPr>
                <w:rFonts w:ascii="Arial"/>
                <w:sz w:val="21"/>
              </w:rPr>
            </w:pPr>
          </w:p>
        </w:tc>
        <w:tc>
          <w:tcPr>
            <w:tcW w:w="234" w:type="dxa"/>
            <w:vAlign w:val="top"/>
          </w:tcPr>
          <w:p w14:paraId="78B22AB7">
            <w:pPr>
              <w:rPr>
                <w:rFonts w:ascii="Arial"/>
                <w:sz w:val="21"/>
              </w:rPr>
            </w:pPr>
          </w:p>
        </w:tc>
      </w:tr>
      <w:tr w14:paraId="2527DB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trPr>
        <w:tc>
          <w:tcPr>
            <w:tcW w:w="893" w:type="dxa"/>
            <w:vMerge w:val="continue"/>
            <w:tcBorders>
              <w:top w:val="nil"/>
              <w:bottom w:val="nil"/>
            </w:tcBorders>
            <w:vAlign w:val="top"/>
          </w:tcPr>
          <w:p w14:paraId="16A46EF2">
            <w:pPr>
              <w:rPr>
                <w:rFonts w:ascii="Arial"/>
                <w:sz w:val="21"/>
              </w:rPr>
            </w:pPr>
          </w:p>
        </w:tc>
        <w:tc>
          <w:tcPr>
            <w:tcW w:w="2324" w:type="dxa"/>
            <w:vMerge w:val="continue"/>
            <w:tcBorders>
              <w:top w:val="nil"/>
              <w:bottom w:val="nil"/>
            </w:tcBorders>
            <w:vAlign w:val="top"/>
          </w:tcPr>
          <w:p w14:paraId="5310893D">
            <w:pPr>
              <w:rPr>
                <w:rFonts w:ascii="Arial"/>
                <w:sz w:val="21"/>
              </w:rPr>
            </w:pPr>
          </w:p>
        </w:tc>
        <w:tc>
          <w:tcPr>
            <w:tcW w:w="219" w:type="dxa"/>
            <w:vAlign w:val="top"/>
          </w:tcPr>
          <w:p w14:paraId="7FE20832">
            <w:pPr>
              <w:rPr>
                <w:rFonts w:ascii="Arial"/>
                <w:sz w:val="21"/>
              </w:rPr>
            </w:pPr>
          </w:p>
        </w:tc>
        <w:tc>
          <w:tcPr>
            <w:tcW w:w="220" w:type="dxa"/>
            <w:vAlign w:val="top"/>
          </w:tcPr>
          <w:p w14:paraId="26110225">
            <w:pPr>
              <w:rPr>
                <w:rFonts w:ascii="Arial"/>
                <w:sz w:val="21"/>
              </w:rPr>
            </w:pPr>
          </w:p>
        </w:tc>
        <w:tc>
          <w:tcPr>
            <w:tcW w:w="229" w:type="dxa"/>
            <w:vAlign w:val="top"/>
          </w:tcPr>
          <w:p w14:paraId="537246FB">
            <w:pPr>
              <w:rPr>
                <w:rFonts w:ascii="Arial"/>
                <w:sz w:val="21"/>
              </w:rPr>
            </w:pPr>
          </w:p>
        </w:tc>
        <w:tc>
          <w:tcPr>
            <w:tcW w:w="234" w:type="dxa"/>
            <w:vAlign w:val="top"/>
          </w:tcPr>
          <w:p w14:paraId="0A68FE7C">
            <w:pPr>
              <w:rPr>
                <w:rFonts w:ascii="Arial"/>
                <w:sz w:val="21"/>
              </w:rPr>
            </w:pPr>
          </w:p>
        </w:tc>
      </w:tr>
      <w:tr w14:paraId="1F0D93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893" w:type="dxa"/>
            <w:vMerge w:val="continue"/>
            <w:tcBorders>
              <w:top w:val="nil"/>
            </w:tcBorders>
            <w:vAlign w:val="top"/>
          </w:tcPr>
          <w:p w14:paraId="3CCBD33F">
            <w:pPr>
              <w:rPr>
                <w:rFonts w:ascii="Arial"/>
                <w:sz w:val="21"/>
              </w:rPr>
            </w:pPr>
          </w:p>
        </w:tc>
        <w:tc>
          <w:tcPr>
            <w:tcW w:w="2324" w:type="dxa"/>
            <w:vMerge w:val="continue"/>
            <w:tcBorders>
              <w:top w:val="nil"/>
            </w:tcBorders>
            <w:vAlign w:val="top"/>
          </w:tcPr>
          <w:p w14:paraId="79335D99">
            <w:pPr>
              <w:rPr>
                <w:rFonts w:ascii="Arial"/>
                <w:sz w:val="21"/>
              </w:rPr>
            </w:pPr>
          </w:p>
        </w:tc>
        <w:tc>
          <w:tcPr>
            <w:tcW w:w="219" w:type="dxa"/>
            <w:vAlign w:val="top"/>
          </w:tcPr>
          <w:p w14:paraId="545C7D2E">
            <w:pPr>
              <w:rPr>
                <w:rFonts w:ascii="Arial"/>
                <w:sz w:val="21"/>
              </w:rPr>
            </w:pPr>
          </w:p>
        </w:tc>
        <w:tc>
          <w:tcPr>
            <w:tcW w:w="220" w:type="dxa"/>
            <w:vAlign w:val="top"/>
          </w:tcPr>
          <w:p w14:paraId="3DDC6A71">
            <w:pPr>
              <w:rPr>
                <w:rFonts w:ascii="Arial"/>
                <w:sz w:val="21"/>
              </w:rPr>
            </w:pPr>
          </w:p>
        </w:tc>
        <w:tc>
          <w:tcPr>
            <w:tcW w:w="229" w:type="dxa"/>
            <w:vAlign w:val="top"/>
          </w:tcPr>
          <w:p w14:paraId="71C6A813">
            <w:pPr>
              <w:pStyle w:val="6"/>
              <w:spacing w:before="115" w:line="238" w:lineRule="auto"/>
              <w:ind w:left="48"/>
              <w:rPr>
                <w:sz w:val="13"/>
                <w:szCs w:val="13"/>
              </w:rPr>
            </w:pPr>
            <w:r>
              <w:rPr>
                <w:sz w:val="13"/>
                <w:szCs w:val="13"/>
              </w:rPr>
              <w:t>√</w:t>
            </w:r>
          </w:p>
        </w:tc>
        <w:tc>
          <w:tcPr>
            <w:tcW w:w="234" w:type="dxa"/>
            <w:vAlign w:val="top"/>
          </w:tcPr>
          <w:p w14:paraId="012D27D3">
            <w:pPr>
              <w:rPr>
                <w:rFonts w:ascii="Arial"/>
                <w:sz w:val="21"/>
              </w:rPr>
            </w:pPr>
          </w:p>
        </w:tc>
      </w:tr>
      <w:tr w14:paraId="3EDC21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893" w:type="dxa"/>
            <w:vMerge w:val="restart"/>
            <w:tcBorders>
              <w:bottom w:val="nil"/>
            </w:tcBorders>
            <w:vAlign w:val="top"/>
          </w:tcPr>
          <w:p w14:paraId="54F61281">
            <w:pPr>
              <w:pStyle w:val="6"/>
              <w:spacing w:before="285" w:line="229" w:lineRule="auto"/>
              <w:ind w:left="94" w:right="98"/>
            </w:pPr>
            <w:r>
              <w:rPr>
                <w:spacing w:val="-3"/>
              </w:rPr>
              <w:t>各类组织</w:t>
            </w:r>
            <w:r>
              <w:rPr>
                <w:spacing w:val="2"/>
              </w:rPr>
              <w:t xml:space="preserve"> 常见肿瘤</w:t>
            </w:r>
          </w:p>
        </w:tc>
        <w:tc>
          <w:tcPr>
            <w:tcW w:w="2324" w:type="dxa"/>
            <w:vMerge w:val="restart"/>
            <w:tcBorders>
              <w:bottom w:val="nil"/>
            </w:tcBorders>
            <w:vAlign w:val="top"/>
          </w:tcPr>
          <w:p w14:paraId="15449D46">
            <w:pPr>
              <w:pStyle w:val="6"/>
              <w:spacing w:before="185" w:line="232" w:lineRule="auto"/>
              <w:ind w:left="12" w:right="1102"/>
              <w:jc w:val="both"/>
            </w:pPr>
            <w:r>
              <w:rPr>
                <w:spacing w:val="1"/>
              </w:rPr>
              <w:t>1.上皮组织肿瘤</w:t>
            </w:r>
            <w:r>
              <w:t xml:space="preserve"> </w:t>
            </w:r>
            <w:r>
              <w:rPr>
                <w:spacing w:val="-2"/>
              </w:rPr>
              <w:t>2.间叶组织肿瘤</w:t>
            </w:r>
            <w:r>
              <w:rPr>
                <w:spacing w:val="6"/>
              </w:rPr>
              <w:t xml:space="preserve"> </w:t>
            </w:r>
            <w:r>
              <w:rPr>
                <w:spacing w:val="-2"/>
              </w:rPr>
              <w:t>3.其它类型肿瘤</w:t>
            </w:r>
          </w:p>
        </w:tc>
        <w:tc>
          <w:tcPr>
            <w:tcW w:w="219" w:type="dxa"/>
            <w:vAlign w:val="top"/>
          </w:tcPr>
          <w:p w14:paraId="7D1E4F13">
            <w:pPr>
              <w:pStyle w:val="6"/>
              <w:spacing w:before="106" w:line="238" w:lineRule="auto"/>
              <w:ind w:left="17"/>
              <w:rPr>
                <w:sz w:val="13"/>
                <w:szCs w:val="13"/>
              </w:rPr>
            </w:pPr>
            <w:r>
              <w:rPr>
                <w:sz w:val="13"/>
                <w:szCs w:val="13"/>
              </w:rPr>
              <w:t>√</w:t>
            </w:r>
          </w:p>
        </w:tc>
        <w:tc>
          <w:tcPr>
            <w:tcW w:w="220" w:type="dxa"/>
            <w:vAlign w:val="top"/>
          </w:tcPr>
          <w:p w14:paraId="2D7C0D8B">
            <w:pPr>
              <w:rPr>
                <w:rFonts w:ascii="Arial"/>
                <w:sz w:val="21"/>
              </w:rPr>
            </w:pPr>
          </w:p>
        </w:tc>
        <w:tc>
          <w:tcPr>
            <w:tcW w:w="229" w:type="dxa"/>
            <w:vAlign w:val="top"/>
          </w:tcPr>
          <w:p w14:paraId="75C98FE8">
            <w:pPr>
              <w:rPr>
                <w:rFonts w:ascii="Arial"/>
                <w:sz w:val="21"/>
              </w:rPr>
            </w:pPr>
          </w:p>
        </w:tc>
        <w:tc>
          <w:tcPr>
            <w:tcW w:w="234" w:type="dxa"/>
            <w:vAlign w:val="top"/>
          </w:tcPr>
          <w:p w14:paraId="315EE0DE">
            <w:pPr>
              <w:rPr>
                <w:rFonts w:ascii="Arial"/>
                <w:sz w:val="21"/>
              </w:rPr>
            </w:pPr>
          </w:p>
        </w:tc>
      </w:tr>
      <w:tr w14:paraId="65C3DB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893" w:type="dxa"/>
            <w:vMerge w:val="continue"/>
            <w:tcBorders>
              <w:top w:val="nil"/>
              <w:bottom w:val="nil"/>
            </w:tcBorders>
            <w:vAlign w:val="top"/>
          </w:tcPr>
          <w:p w14:paraId="6DF36FB9">
            <w:pPr>
              <w:rPr>
                <w:rFonts w:ascii="Arial"/>
                <w:sz w:val="21"/>
              </w:rPr>
            </w:pPr>
          </w:p>
        </w:tc>
        <w:tc>
          <w:tcPr>
            <w:tcW w:w="2324" w:type="dxa"/>
            <w:vMerge w:val="continue"/>
            <w:tcBorders>
              <w:top w:val="nil"/>
              <w:bottom w:val="nil"/>
            </w:tcBorders>
            <w:vAlign w:val="top"/>
          </w:tcPr>
          <w:p w14:paraId="14416579">
            <w:pPr>
              <w:rPr>
                <w:rFonts w:ascii="Arial"/>
                <w:sz w:val="21"/>
              </w:rPr>
            </w:pPr>
          </w:p>
        </w:tc>
        <w:tc>
          <w:tcPr>
            <w:tcW w:w="219" w:type="dxa"/>
            <w:vAlign w:val="top"/>
          </w:tcPr>
          <w:p w14:paraId="52C5A1F2">
            <w:pPr>
              <w:pStyle w:val="6"/>
              <w:spacing w:before="106" w:line="238" w:lineRule="auto"/>
              <w:ind w:left="17"/>
              <w:rPr>
                <w:sz w:val="13"/>
                <w:szCs w:val="13"/>
              </w:rPr>
            </w:pPr>
            <w:r>
              <w:rPr>
                <w:sz w:val="13"/>
                <w:szCs w:val="13"/>
              </w:rPr>
              <w:t>√</w:t>
            </w:r>
          </w:p>
        </w:tc>
        <w:tc>
          <w:tcPr>
            <w:tcW w:w="220" w:type="dxa"/>
            <w:vAlign w:val="top"/>
          </w:tcPr>
          <w:p w14:paraId="4B10DA6E">
            <w:pPr>
              <w:rPr>
                <w:rFonts w:ascii="Arial"/>
                <w:sz w:val="21"/>
              </w:rPr>
            </w:pPr>
          </w:p>
        </w:tc>
        <w:tc>
          <w:tcPr>
            <w:tcW w:w="229" w:type="dxa"/>
            <w:vAlign w:val="top"/>
          </w:tcPr>
          <w:p w14:paraId="4FF54382">
            <w:pPr>
              <w:rPr>
                <w:rFonts w:ascii="Arial"/>
                <w:sz w:val="21"/>
              </w:rPr>
            </w:pPr>
          </w:p>
        </w:tc>
        <w:tc>
          <w:tcPr>
            <w:tcW w:w="234" w:type="dxa"/>
            <w:vAlign w:val="top"/>
          </w:tcPr>
          <w:p w14:paraId="02822B8E">
            <w:pPr>
              <w:rPr>
                <w:rFonts w:ascii="Arial"/>
                <w:sz w:val="21"/>
              </w:rPr>
            </w:pPr>
          </w:p>
        </w:tc>
      </w:tr>
      <w:tr w14:paraId="3A9A83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0" w:hRule="atLeast"/>
        </w:trPr>
        <w:tc>
          <w:tcPr>
            <w:tcW w:w="893" w:type="dxa"/>
            <w:vMerge w:val="continue"/>
            <w:tcBorders>
              <w:top w:val="nil"/>
            </w:tcBorders>
            <w:vAlign w:val="top"/>
          </w:tcPr>
          <w:p w14:paraId="17CBC190">
            <w:pPr>
              <w:rPr>
                <w:rFonts w:ascii="Arial"/>
                <w:sz w:val="21"/>
              </w:rPr>
            </w:pPr>
          </w:p>
        </w:tc>
        <w:tc>
          <w:tcPr>
            <w:tcW w:w="2324" w:type="dxa"/>
            <w:vMerge w:val="continue"/>
            <w:tcBorders>
              <w:top w:val="nil"/>
            </w:tcBorders>
            <w:vAlign w:val="top"/>
          </w:tcPr>
          <w:p w14:paraId="7F999758">
            <w:pPr>
              <w:rPr>
                <w:rFonts w:ascii="Arial"/>
                <w:sz w:val="21"/>
              </w:rPr>
            </w:pPr>
          </w:p>
        </w:tc>
        <w:tc>
          <w:tcPr>
            <w:tcW w:w="219" w:type="dxa"/>
            <w:vAlign w:val="top"/>
          </w:tcPr>
          <w:p w14:paraId="545BB801">
            <w:pPr>
              <w:rPr>
                <w:rFonts w:ascii="Arial"/>
                <w:sz w:val="21"/>
              </w:rPr>
            </w:pPr>
          </w:p>
        </w:tc>
        <w:tc>
          <w:tcPr>
            <w:tcW w:w="220" w:type="dxa"/>
            <w:vAlign w:val="top"/>
          </w:tcPr>
          <w:p w14:paraId="0827ABC4">
            <w:pPr>
              <w:rPr>
                <w:rFonts w:ascii="Arial"/>
                <w:sz w:val="21"/>
              </w:rPr>
            </w:pPr>
          </w:p>
        </w:tc>
        <w:tc>
          <w:tcPr>
            <w:tcW w:w="229" w:type="dxa"/>
            <w:vAlign w:val="top"/>
          </w:tcPr>
          <w:p w14:paraId="4595603E">
            <w:pPr>
              <w:rPr>
                <w:rFonts w:ascii="Arial"/>
                <w:sz w:val="21"/>
              </w:rPr>
            </w:pPr>
          </w:p>
        </w:tc>
        <w:tc>
          <w:tcPr>
            <w:tcW w:w="234" w:type="dxa"/>
            <w:vAlign w:val="top"/>
          </w:tcPr>
          <w:p w14:paraId="05BC97B3">
            <w:pPr>
              <w:rPr>
                <w:rFonts w:ascii="Arial"/>
                <w:sz w:val="21"/>
              </w:rPr>
            </w:pPr>
          </w:p>
        </w:tc>
      </w:tr>
      <w:tr w14:paraId="2E72E6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9" w:hRule="atLeast"/>
        </w:trPr>
        <w:tc>
          <w:tcPr>
            <w:tcW w:w="893" w:type="dxa"/>
            <w:vMerge w:val="restart"/>
            <w:tcBorders>
              <w:bottom w:val="nil"/>
            </w:tcBorders>
            <w:vAlign w:val="top"/>
          </w:tcPr>
          <w:p w14:paraId="5DFE0A1E">
            <w:pPr>
              <w:pStyle w:val="6"/>
              <w:spacing w:before="87" w:line="221" w:lineRule="auto"/>
              <w:ind w:left="94"/>
            </w:pPr>
            <w:r>
              <w:rPr>
                <w:spacing w:val="-2"/>
              </w:rPr>
              <w:t>肿瘤的病</w:t>
            </w:r>
          </w:p>
          <w:p w14:paraId="5F9539C2">
            <w:pPr>
              <w:pStyle w:val="6"/>
              <w:spacing w:before="5" w:line="220" w:lineRule="auto"/>
              <w:ind w:left="94"/>
            </w:pPr>
            <w:r>
              <w:rPr>
                <w:spacing w:val="2"/>
              </w:rPr>
              <w:t>因与发病</w:t>
            </w:r>
          </w:p>
          <w:p w14:paraId="608FF5F4">
            <w:pPr>
              <w:pStyle w:val="6"/>
              <w:spacing w:before="25" w:line="219" w:lineRule="auto"/>
              <w:ind w:left="265"/>
            </w:pPr>
            <w:r>
              <w:rPr>
                <w:spacing w:val="7"/>
              </w:rPr>
              <w:t>机制</w:t>
            </w:r>
          </w:p>
        </w:tc>
        <w:tc>
          <w:tcPr>
            <w:tcW w:w="2324" w:type="dxa"/>
            <w:vMerge w:val="restart"/>
            <w:tcBorders>
              <w:bottom w:val="nil"/>
            </w:tcBorders>
            <w:vAlign w:val="top"/>
          </w:tcPr>
          <w:p w14:paraId="1BAE236C">
            <w:pPr>
              <w:pStyle w:val="6"/>
              <w:spacing w:before="206" w:line="221" w:lineRule="auto"/>
              <w:ind w:left="12"/>
            </w:pPr>
            <w:r>
              <w:rPr>
                <w:spacing w:val="2"/>
              </w:rPr>
              <w:t>1.肿瘤的病因</w:t>
            </w:r>
          </w:p>
          <w:p w14:paraId="529B81E6">
            <w:pPr>
              <w:pStyle w:val="6"/>
              <w:spacing w:before="24" w:line="219" w:lineRule="auto"/>
              <w:ind w:left="12"/>
            </w:pPr>
            <w:r>
              <w:rPr>
                <w:spacing w:val="1"/>
              </w:rPr>
              <w:t>2.肿瘤的发病机制</w:t>
            </w:r>
          </w:p>
        </w:tc>
        <w:tc>
          <w:tcPr>
            <w:tcW w:w="219" w:type="dxa"/>
            <w:vAlign w:val="top"/>
          </w:tcPr>
          <w:p w14:paraId="4B664D1D">
            <w:pPr>
              <w:pStyle w:val="6"/>
              <w:spacing w:before="147" w:line="238" w:lineRule="auto"/>
              <w:ind w:left="17"/>
              <w:rPr>
                <w:sz w:val="13"/>
                <w:szCs w:val="13"/>
              </w:rPr>
            </w:pPr>
            <w:r>
              <w:rPr>
                <w:sz w:val="13"/>
                <w:szCs w:val="13"/>
              </w:rPr>
              <w:t>√</w:t>
            </w:r>
          </w:p>
        </w:tc>
        <w:tc>
          <w:tcPr>
            <w:tcW w:w="220" w:type="dxa"/>
            <w:vAlign w:val="top"/>
          </w:tcPr>
          <w:p w14:paraId="0CDB98A2">
            <w:pPr>
              <w:rPr>
                <w:rFonts w:ascii="Arial"/>
                <w:sz w:val="21"/>
              </w:rPr>
            </w:pPr>
          </w:p>
        </w:tc>
        <w:tc>
          <w:tcPr>
            <w:tcW w:w="229" w:type="dxa"/>
            <w:vAlign w:val="top"/>
          </w:tcPr>
          <w:p w14:paraId="49295C9D">
            <w:pPr>
              <w:rPr>
                <w:rFonts w:ascii="Arial"/>
                <w:sz w:val="21"/>
              </w:rPr>
            </w:pPr>
          </w:p>
        </w:tc>
        <w:tc>
          <w:tcPr>
            <w:tcW w:w="234" w:type="dxa"/>
            <w:vAlign w:val="top"/>
          </w:tcPr>
          <w:p w14:paraId="01F77C9D">
            <w:pPr>
              <w:rPr>
                <w:rFonts w:ascii="Arial"/>
                <w:sz w:val="21"/>
              </w:rPr>
            </w:pPr>
          </w:p>
        </w:tc>
      </w:tr>
      <w:tr w14:paraId="273F12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5" w:hRule="atLeast"/>
        </w:trPr>
        <w:tc>
          <w:tcPr>
            <w:tcW w:w="893" w:type="dxa"/>
            <w:vMerge w:val="continue"/>
            <w:tcBorders>
              <w:top w:val="nil"/>
            </w:tcBorders>
            <w:vAlign w:val="top"/>
          </w:tcPr>
          <w:p w14:paraId="6E111362">
            <w:pPr>
              <w:rPr>
                <w:rFonts w:ascii="Arial"/>
                <w:sz w:val="21"/>
              </w:rPr>
            </w:pPr>
          </w:p>
        </w:tc>
        <w:tc>
          <w:tcPr>
            <w:tcW w:w="2324" w:type="dxa"/>
            <w:vMerge w:val="continue"/>
            <w:tcBorders>
              <w:top w:val="nil"/>
            </w:tcBorders>
            <w:vAlign w:val="top"/>
          </w:tcPr>
          <w:p w14:paraId="2CC97C20">
            <w:pPr>
              <w:rPr>
                <w:rFonts w:ascii="Arial"/>
                <w:sz w:val="21"/>
              </w:rPr>
            </w:pPr>
          </w:p>
        </w:tc>
        <w:tc>
          <w:tcPr>
            <w:tcW w:w="219" w:type="dxa"/>
            <w:vAlign w:val="top"/>
          </w:tcPr>
          <w:p w14:paraId="20DB2474">
            <w:pPr>
              <w:rPr>
                <w:rFonts w:ascii="Arial"/>
                <w:sz w:val="21"/>
              </w:rPr>
            </w:pPr>
          </w:p>
        </w:tc>
        <w:tc>
          <w:tcPr>
            <w:tcW w:w="220" w:type="dxa"/>
            <w:vAlign w:val="top"/>
          </w:tcPr>
          <w:p w14:paraId="1E9130B1">
            <w:pPr>
              <w:rPr>
                <w:rFonts w:ascii="Arial"/>
                <w:sz w:val="21"/>
              </w:rPr>
            </w:pPr>
          </w:p>
        </w:tc>
        <w:tc>
          <w:tcPr>
            <w:tcW w:w="229" w:type="dxa"/>
            <w:vAlign w:val="top"/>
          </w:tcPr>
          <w:p w14:paraId="28DFC5AD">
            <w:pPr>
              <w:rPr>
                <w:rFonts w:ascii="Arial"/>
                <w:sz w:val="21"/>
              </w:rPr>
            </w:pPr>
          </w:p>
        </w:tc>
        <w:tc>
          <w:tcPr>
            <w:tcW w:w="234" w:type="dxa"/>
            <w:vAlign w:val="top"/>
          </w:tcPr>
          <w:p w14:paraId="16ADC852">
            <w:pPr>
              <w:rPr>
                <w:rFonts w:ascii="Arial"/>
                <w:sz w:val="21"/>
              </w:rPr>
            </w:pPr>
          </w:p>
        </w:tc>
      </w:tr>
    </w:tbl>
    <w:p w14:paraId="0E46A6A4">
      <w:pPr>
        <w:spacing w:before="128" w:line="221" w:lineRule="auto"/>
        <w:ind w:left="1097"/>
        <w:rPr>
          <w:rFonts w:ascii="黑体" w:hAnsi="黑体" w:eastAsia="黑体" w:cs="黑体"/>
          <w:sz w:val="20"/>
          <w:szCs w:val="20"/>
        </w:rPr>
      </w:pPr>
      <w:r>
        <w:rPr>
          <w:rFonts w:ascii="黑体" w:hAnsi="黑体" w:eastAsia="黑体" w:cs="黑体"/>
          <w:b/>
          <w:bCs/>
          <w:spacing w:val="-9"/>
          <w:sz w:val="20"/>
          <w:szCs w:val="20"/>
        </w:rPr>
        <w:t>第九章</w:t>
      </w:r>
      <w:r>
        <w:rPr>
          <w:rFonts w:ascii="黑体" w:hAnsi="黑体" w:eastAsia="黑体" w:cs="黑体"/>
          <w:spacing w:val="16"/>
          <w:sz w:val="20"/>
          <w:szCs w:val="20"/>
        </w:rPr>
        <w:t xml:space="preserve">  </w:t>
      </w:r>
      <w:r>
        <w:rPr>
          <w:rFonts w:ascii="黑体" w:hAnsi="黑体" w:eastAsia="黑体" w:cs="黑体"/>
          <w:b/>
          <w:bCs/>
          <w:spacing w:val="-9"/>
          <w:sz w:val="20"/>
          <w:szCs w:val="20"/>
        </w:rPr>
        <w:t>呼吸系统疾病</w:t>
      </w:r>
    </w:p>
    <w:p w14:paraId="5CEE6379">
      <w:pPr>
        <w:spacing w:line="72" w:lineRule="exact"/>
      </w:pPr>
    </w:p>
    <w:tbl>
      <w:tblPr>
        <w:tblStyle w:val="5"/>
        <w:tblW w:w="4119" w:type="dxa"/>
        <w:tblInd w:w="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03"/>
        <w:gridCol w:w="2314"/>
        <w:gridCol w:w="219"/>
        <w:gridCol w:w="220"/>
        <w:gridCol w:w="229"/>
        <w:gridCol w:w="234"/>
      </w:tblGrid>
      <w:tr w14:paraId="12B3F6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9" w:hRule="atLeast"/>
        </w:trPr>
        <w:tc>
          <w:tcPr>
            <w:tcW w:w="903" w:type="dxa"/>
            <w:vMerge w:val="restart"/>
            <w:tcBorders>
              <w:top w:val="single" w:color="000000" w:sz="2" w:space="0"/>
              <w:bottom w:val="nil"/>
            </w:tcBorders>
            <w:vAlign w:val="top"/>
          </w:tcPr>
          <w:p w14:paraId="46AB2833">
            <w:pPr>
              <w:pStyle w:val="6"/>
              <w:spacing w:before="176" w:line="220" w:lineRule="auto"/>
              <w:ind w:left="276" w:right="35" w:hanging="259"/>
            </w:pPr>
            <w:r>
              <w:rPr>
                <w:b/>
                <w:bCs/>
                <w:spacing w:val="-4"/>
              </w:rPr>
              <w:t>知识与技能</w:t>
            </w:r>
            <w:r>
              <w:t xml:space="preserve"> </w:t>
            </w:r>
            <w:r>
              <w:rPr>
                <w:b/>
                <w:bCs/>
                <w:spacing w:val="-4"/>
              </w:rPr>
              <w:t>要点</w:t>
            </w:r>
          </w:p>
        </w:tc>
        <w:tc>
          <w:tcPr>
            <w:tcW w:w="2314" w:type="dxa"/>
            <w:vMerge w:val="restart"/>
            <w:tcBorders>
              <w:top w:val="single" w:color="000000" w:sz="2" w:space="0"/>
              <w:bottom w:val="nil"/>
            </w:tcBorders>
            <w:vAlign w:val="top"/>
          </w:tcPr>
          <w:p w14:paraId="6C69EB27">
            <w:pPr>
              <w:pStyle w:val="6"/>
              <w:spacing w:before="284" w:line="219" w:lineRule="auto"/>
              <w:ind w:left="824"/>
            </w:pPr>
            <w:r>
              <w:rPr>
                <w:b/>
                <w:bCs/>
                <w:spacing w:val="5"/>
              </w:rPr>
              <w:t>考试条目</w:t>
            </w:r>
          </w:p>
        </w:tc>
        <w:tc>
          <w:tcPr>
            <w:tcW w:w="902" w:type="dxa"/>
            <w:gridSpan w:val="4"/>
            <w:tcBorders>
              <w:top w:val="single" w:color="000000" w:sz="2" w:space="0"/>
              <w:bottom w:val="single" w:color="000000" w:sz="2" w:space="0"/>
            </w:tcBorders>
            <w:vAlign w:val="top"/>
          </w:tcPr>
          <w:p w14:paraId="432A07F3">
            <w:pPr>
              <w:pStyle w:val="6"/>
              <w:spacing w:before="104" w:line="219" w:lineRule="auto"/>
              <w:ind w:left="150"/>
            </w:pPr>
            <w:r>
              <w:rPr>
                <w:b/>
                <w:bCs/>
                <w:spacing w:val="-4"/>
              </w:rPr>
              <w:t>考试水平</w:t>
            </w:r>
          </w:p>
        </w:tc>
      </w:tr>
      <w:tr w14:paraId="0C7F3D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4" w:hRule="atLeast"/>
        </w:trPr>
        <w:tc>
          <w:tcPr>
            <w:tcW w:w="903" w:type="dxa"/>
            <w:vMerge w:val="continue"/>
            <w:tcBorders>
              <w:top w:val="nil"/>
              <w:bottom w:val="single" w:color="000000" w:sz="2" w:space="0"/>
            </w:tcBorders>
            <w:vAlign w:val="top"/>
          </w:tcPr>
          <w:p w14:paraId="015A4247">
            <w:pPr>
              <w:rPr>
                <w:rFonts w:ascii="Arial"/>
                <w:sz w:val="21"/>
              </w:rPr>
            </w:pPr>
          </w:p>
        </w:tc>
        <w:tc>
          <w:tcPr>
            <w:tcW w:w="2314" w:type="dxa"/>
            <w:vMerge w:val="continue"/>
            <w:tcBorders>
              <w:top w:val="nil"/>
              <w:bottom w:val="single" w:color="000000" w:sz="2" w:space="0"/>
            </w:tcBorders>
            <w:vAlign w:val="top"/>
          </w:tcPr>
          <w:p w14:paraId="2DFF3CA2">
            <w:pPr>
              <w:rPr>
                <w:rFonts w:ascii="Arial"/>
                <w:sz w:val="21"/>
              </w:rPr>
            </w:pPr>
          </w:p>
        </w:tc>
        <w:tc>
          <w:tcPr>
            <w:tcW w:w="219" w:type="dxa"/>
            <w:tcBorders>
              <w:top w:val="single" w:color="000000" w:sz="2" w:space="0"/>
              <w:bottom w:val="single" w:color="000000" w:sz="2" w:space="0"/>
            </w:tcBorders>
            <w:vAlign w:val="top"/>
          </w:tcPr>
          <w:p w14:paraId="67FB4F5D">
            <w:pPr>
              <w:pStyle w:val="6"/>
              <w:spacing w:before="135" w:line="184" w:lineRule="auto"/>
              <w:ind w:left="20"/>
            </w:pPr>
            <w:r>
              <w:rPr>
                <w:b/>
                <w:bCs/>
                <w:spacing w:val="-2"/>
              </w:rPr>
              <w:t>A</w:t>
            </w:r>
          </w:p>
        </w:tc>
        <w:tc>
          <w:tcPr>
            <w:tcW w:w="220" w:type="dxa"/>
            <w:tcBorders>
              <w:top w:val="single" w:color="000000" w:sz="2" w:space="0"/>
              <w:bottom w:val="single" w:color="000000" w:sz="2" w:space="0"/>
            </w:tcBorders>
            <w:vAlign w:val="top"/>
          </w:tcPr>
          <w:p w14:paraId="7E4A943B">
            <w:pPr>
              <w:pStyle w:val="6"/>
              <w:spacing w:before="137" w:line="182" w:lineRule="auto"/>
              <w:ind w:left="61"/>
            </w:pPr>
            <w:r>
              <w:rPr>
                <w:b/>
                <w:bCs/>
                <w:spacing w:val="-2"/>
              </w:rPr>
              <w:t>B</w:t>
            </w:r>
          </w:p>
        </w:tc>
        <w:tc>
          <w:tcPr>
            <w:tcW w:w="229" w:type="dxa"/>
            <w:tcBorders>
              <w:top w:val="single" w:color="000000" w:sz="2" w:space="0"/>
              <w:bottom w:val="single" w:color="000000" w:sz="2" w:space="0"/>
            </w:tcBorders>
            <w:vAlign w:val="top"/>
          </w:tcPr>
          <w:p w14:paraId="15FB4F9E">
            <w:pPr>
              <w:pStyle w:val="6"/>
              <w:spacing w:before="135" w:line="183" w:lineRule="auto"/>
              <w:jc w:val="right"/>
            </w:pPr>
            <w:r>
              <w:rPr>
                <w:b/>
                <w:bCs/>
                <w:spacing w:val="-10"/>
              </w:rPr>
              <w:t>C</w:t>
            </w:r>
          </w:p>
        </w:tc>
        <w:tc>
          <w:tcPr>
            <w:tcW w:w="234" w:type="dxa"/>
            <w:tcBorders>
              <w:top w:val="single" w:color="000000" w:sz="2" w:space="0"/>
              <w:bottom w:val="single" w:color="000000" w:sz="2" w:space="0"/>
            </w:tcBorders>
            <w:vAlign w:val="top"/>
          </w:tcPr>
          <w:p w14:paraId="3A303088">
            <w:pPr>
              <w:pStyle w:val="6"/>
              <w:spacing w:before="137" w:line="182" w:lineRule="auto"/>
              <w:ind w:left="72"/>
            </w:pPr>
            <w:r>
              <w:rPr>
                <w:b/>
                <w:bCs/>
                <w:spacing w:val="-2"/>
              </w:rPr>
              <w:t>D</w:t>
            </w:r>
          </w:p>
        </w:tc>
      </w:tr>
      <w:tr w14:paraId="33FA4E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4" w:hRule="atLeast"/>
        </w:trPr>
        <w:tc>
          <w:tcPr>
            <w:tcW w:w="903" w:type="dxa"/>
            <w:vMerge w:val="restart"/>
            <w:tcBorders>
              <w:top w:val="single" w:color="000000" w:sz="2" w:space="0"/>
              <w:bottom w:val="nil"/>
            </w:tcBorders>
            <w:vAlign w:val="top"/>
          </w:tcPr>
          <w:p w14:paraId="4CFBB6C9">
            <w:pPr>
              <w:spacing w:line="266" w:lineRule="auto"/>
              <w:rPr>
                <w:rFonts w:ascii="Arial"/>
                <w:sz w:val="21"/>
              </w:rPr>
            </w:pPr>
          </w:p>
          <w:p w14:paraId="77820782">
            <w:pPr>
              <w:pStyle w:val="6"/>
              <w:spacing w:before="55" w:line="229" w:lineRule="auto"/>
              <w:ind w:left="275" w:right="115" w:hanging="170"/>
            </w:pPr>
            <w:r>
              <w:rPr>
                <w:spacing w:val="-2"/>
              </w:rPr>
              <w:t>慢性支气</w:t>
            </w:r>
            <w:r>
              <w:t xml:space="preserve"> </w:t>
            </w:r>
            <w:r>
              <w:rPr>
                <w:spacing w:val="5"/>
              </w:rPr>
              <w:t>管炎</w:t>
            </w:r>
          </w:p>
        </w:tc>
        <w:tc>
          <w:tcPr>
            <w:tcW w:w="2314" w:type="dxa"/>
            <w:vMerge w:val="restart"/>
            <w:tcBorders>
              <w:top w:val="single" w:color="000000" w:sz="2" w:space="0"/>
              <w:bottom w:val="nil"/>
            </w:tcBorders>
            <w:vAlign w:val="top"/>
          </w:tcPr>
          <w:p w14:paraId="6C1686C5">
            <w:pPr>
              <w:pStyle w:val="6"/>
              <w:spacing w:before="232" w:line="231" w:lineRule="auto"/>
              <w:ind w:left="11" w:right="917"/>
            </w:pPr>
            <w:r>
              <w:rPr>
                <w:spacing w:val="1"/>
              </w:rPr>
              <w:t>1.病因和发病机制</w:t>
            </w:r>
            <w:r>
              <w:rPr>
                <w:spacing w:val="4"/>
              </w:rPr>
              <w:t xml:space="preserve"> </w:t>
            </w:r>
            <w:r>
              <w:rPr>
                <w:spacing w:val="-2"/>
              </w:rPr>
              <w:t>2.病理变化</w:t>
            </w:r>
          </w:p>
          <w:p w14:paraId="77C39A11">
            <w:pPr>
              <w:pStyle w:val="6"/>
              <w:spacing w:before="25" w:line="219" w:lineRule="auto"/>
              <w:ind w:left="11"/>
            </w:pPr>
            <w:r>
              <w:rPr>
                <w:spacing w:val="-2"/>
              </w:rPr>
              <w:t>3.结局及并发症</w:t>
            </w:r>
          </w:p>
        </w:tc>
        <w:tc>
          <w:tcPr>
            <w:tcW w:w="219" w:type="dxa"/>
            <w:tcBorders>
              <w:top w:val="single" w:color="000000" w:sz="2" w:space="0"/>
              <w:bottom w:val="single" w:color="000000" w:sz="2" w:space="0"/>
            </w:tcBorders>
            <w:vAlign w:val="top"/>
          </w:tcPr>
          <w:p w14:paraId="02B15EBC">
            <w:pPr>
              <w:pStyle w:val="6"/>
              <w:spacing w:before="123" w:line="238" w:lineRule="auto"/>
              <w:ind w:left="18"/>
              <w:rPr>
                <w:sz w:val="12"/>
                <w:szCs w:val="12"/>
              </w:rPr>
            </w:pPr>
            <w:r>
              <w:rPr>
                <w:sz w:val="12"/>
                <w:szCs w:val="12"/>
              </w:rPr>
              <w:t>√</w:t>
            </w:r>
          </w:p>
        </w:tc>
        <w:tc>
          <w:tcPr>
            <w:tcW w:w="220" w:type="dxa"/>
            <w:tcBorders>
              <w:top w:val="single" w:color="000000" w:sz="2" w:space="0"/>
              <w:bottom w:val="single" w:color="000000" w:sz="2" w:space="0"/>
            </w:tcBorders>
            <w:vAlign w:val="top"/>
          </w:tcPr>
          <w:p w14:paraId="4E2E93C4">
            <w:pPr>
              <w:rPr>
                <w:rFonts w:ascii="Arial"/>
                <w:sz w:val="21"/>
              </w:rPr>
            </w:pPr>
          </w:p>
        </w:tc>
        <w:tc>
          <w:tcPr>
            <w:tcW w:w="229" w:type="dxa"/>
            <w:tcBorders>
              <w:top w:val="single" w:color="000000" w:sz="2" w:space="0"/>
              <w:bottom w:val="single" w:color="000000" w:sz="2" w:space="0"/>
            </w:tcBorders>
            <w:vAlign w:val="top"/>
          </w:tcPr>
          <w:p w14:paraId="5C36AE97">
            <w:pPr>
              <w:rPr>
                <w:rFonts w:ascii="Arial"/>
                <w:sz w:val="21"/>
              </w:rPr>
            </w:pPr>
          </w:p>
        </w:tc>
        <w:tc>
          <w:tcPr>
            <w:tcW w:w="234" w:type="dxa"/>
            <w:tcBorders>
              <w:top w:val="single" w:color="000000" w:sz="2" w:space="0"/>
              <w:bottom w:val="single" w:color="000000" w:sz="2" w:space="0"/>
            </w:tcBorders>
            <w:vAlign w:val="top"/>
          </w:tcPr>
          <w:p w14:paraId="3596DFD5">
            <w:pPr>
              <w:rPr>
                <w:rFonts w:ascii="Arial"/>
                <w:sz w:val="21"/>
              </w:rPr>
            </w:pPr>
          </w:p>
        </w:tc>
      </w:tr>
      <w:tr w14:paraId="29436E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4" w:hRule="atLeast"/>
        </w:trPr>
        <w:tc>
          <w:tcPr>
            <w:tcW w:w="903" w:type="dxa"/>
            <w:vMerge w:val="continue"/>
            <w:tcBorders>
              <w:top w:val="nil"/>
              <w:bottom w:val="nil"/>
            </w:tcBorders>
            <w:vAlign w:val="top"/>
          </w:tcPr>
          <w:p w14:paraId="1CC8DFED">
            <w:pPr>
              <w:rPr>
                <w:rFonts w:ascii="Arial"/>
                <w:sz w:val="21"/>
              </w:rPr>
            </w:pPr>
          </w:p>
        </w:tc>
        <w:tc>
          <w:tcPr>
            <w:tcW w:w="2314" w:type="dxa"/>
            <w:vMerge w:val="continue"/>
            <w:tcBorders>
              <w:top w:val="nil"/>
              <w:bottom w:val="nil"/>
            </w:tcBorders>
            <w:vAlign w:val="top"/>
          </w:tcPr>
          <w:p w14:paraId="40002BB6">
            <w:pPr>
              <w:rPr>
                <w:rFonts w:ascii="Arial"/>
                <w:sz w:val="21"/>
              </w:rPr>
            </w:pPr>
          </w:p>
        </w:tc>
        <w:tc>
          <w:tcPr>
            <w:tcW w:w="219" w:type="dxa"/>
            <w:tcBorders>
              <w:top w:val="single" w:color="000000" w:sz="2" w:space="0"/>
              <w:bottom w:val="single" w:color="000000" w:sz="2" w:space="0"/>
            </w:tcBorders>
            <w:vAlign w:val="top"/>
          </w:tcPr>
          <w:p w14:paraId="3A69A7B3">
            <w:pPr>
              <w:rPr>
                <w:rFonts w:ascii="Arial"/>
                <w:sz w:val="21"/>
              </w:rPr>
            </w:pPr>
          </w:p>
        </w:tc>
        <w:tc>
          <w:tcPr>
            <w:tcW w:w="220" w:type="dxa"/>
            <w:tcBorders>
              <w:top w:val="single" w:color="000000" w:sz="2" w:space="0"/>
              <w:bottom w:val="single" w:color="000000" w:sz="2" w:space="0"/>
            </w:tcBorders>
            <w:vAlign w:val="top"/>
          </w:tcPr>
          <w:p w14:paraId="5495C14A">
            <w:pPr>
              <w:rPr>
                <w:rFonts w:ascii="Arial"/>
                <w:sz w:val="21"/>
              </w:rPr>
            </w:pPr>
          </w:p>
        </w:tc>
        <w:tc>
          <w:tcPr>
            <w:tcW w:w="229" w:type="dxa"/>
            <w:tcBorders>
              <w:top w:val="single" w:color="000000" w:sz="2" w:space="0"/>
              <w:bottom w:val="single" w:color="000000" w:sz="2" w:space="0"/>
            </w:tcBorders>
            <w:vAlign w:val="top"/>
          </w:tcPr>
          <w:p w14:paraId="750FA89B">
            <w:pPr>
              <w:rPr>
                <w:rFonts w:ascii="Arial"/>
                <w:sz w:val="21"/>
              </w:rPr>
            </w:pPr>
          </w:p>
        </w:tc>
        <w:tc>
          <w:tcPr>
            <w:tcW w:w="234" w:type="dxa"/>
            <w:tcBorders>
              <w:top w:val="single" w:color="000000" w:sz="2" w:space="0"/>
              <w:bottom w:val="single" w:color="000000" w:sz="2" w:space="0"/>
            </w:tcBorders>
            <w:vAlign w:val="top"/>
          </w:tcPr>
          <w:p w14:paraId="738D650E">
            <w:pPr>
              <w:pStyle w:val="6"/>
              <w:spacing w:before="124" w:line="238" w:lineRule="auto"/>
              <w:ind w:left="50"/>
              <w:rPr>
                <w:sz w:val="12"/>
                <w:szCs w:val="12"/>
              </w:rPr>
            </w:pPr>
            <w:r>
              <w:rPr>
                <w:sz w:val="12"/>
                <w:szCs w:val="12"/>
              </w:rPr>
              <w:t>√</w:t>
            </w:r>
          </w:p>
        </w:tc>
      </w:tr>
      <w:tr w14:paraId="6343B9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5" w:hRule="atLeast"/>
        </w:trPr>
        <w:tc>
          <w:tcPr>
            <w:tcW w:w="903" w:type="dxa"/>
            <w:vMerge w:val="continue"/>
            <w:tcBorders>
              <w:top w:val="nil"/>
              <w:bottom w:val="single" w:color="000000" w:sz="2" w:space="0"/>
            </w:tcBorders>
            <w:vAlign w:val="top"/>
          </w:tcPr>
          <w:p w14:paraId="2DBB199C">
            <w:pPr>
              <w:rPr>
                <w:rFonts w:ascii="Arial"/>
                <w:sz w:val="21"/>
              </w:rPr>
            </w:pPr>
          </w:p>
        </w:tc>
        <w:tc>
          <w:tcPr>
            <w:tcW w:w="2314" w:type="dxa"/>
            <w:vMerge w:val="continue"/>
            <w:tcBorders>
              <w:top w:val="nil"/>
              <w:bottom w:val="single" w:color="000000" w:sz="2" w:space="0"/>
            </w:tcBorders>
            <w:vAlign w:val="top"/>
          </w:tcPr>
          <w:p w14:paraId="1C7541CD">
            <w:pPr>
              <w:rPr>
                <w:rFonts w:ascii="Arial"/>
                <w:sz w:val="21"/>
              </w:rPr>
            </w:pPr>
          </w:p>
        </w:tc>
        <w:tc>
          <w:tcPr>
            <w:tcW w:w="219" w:type="dxa"/>
            <w:tcBorders>
              <w:top w:val="single" w:color="000000" w:sz="2" w:space="0"/>
              <w:bottom w:val="single" w:color="000000" w:sz="2" w:space="0"/>
            </w:tcBorders>
            <w:vAlign w:val="top"/>
          </w:tcPr>
          <w:p w14:paraId="505C3DEF">
            <w:pPr>
              <w:rPr>
                <w:rFonts w:ascii="Arial"/>
                <w:sz w:val="21"/>
              </w:rPr>
            </w:pPr>
          </w:p>
        </w:tc>
        <w:tc>
          <w:tcPr>
            <w:tcW w:w="220" w:type="dxa"/>
            <w:tcBorders>
              <w:top w:val="single" w:color="000000" w:sz="2" w:space="0"/>
              <w:bottom w:val="single" w:color="000000" w:sz="2" w:space="0"/>
            </w:tcBorders>
            <w:vAlign w:val="top"/>
          </w:tcPr>
          <w:p w14:paraId="0AAAE265">
            <w:pPr>
              <w:rPr>
                <w:rFonts w:ascii="Arial"/>
                <w:sz w:val="21"/>
              </w:rPr>
            </w:pPr>
          </w:p>
        </w:tc>
        <w:tc>
          <w:tcPr>
            <w:tcW w:w="229" w:type="dxa"/>
            <w:tcBorders>
              <w:top w:val="single" w:color="000000" w:sz="2" w:space="0"/>
              <w:bottom w:val="single" w:color="000000" w:sz="2" w:space="0"/>
            </w:tcBorders>
            <w:vAlign w:val="top"/>
          </w:tcPr>
          <w:p w14:paraId="635F5ADA">
            <w:pPr>
              <w:pStyle w:val="6"/>
              <w:spacing w:before="125" w:line="238" w:lineRule="auto"/>
              <w:ind w:left="19"/>
              <w:rPr>
                <w:sz w:val="12"/>
                <w:szCs w:val="12"/>
              </w:rPr>
            </w:pPr>
            <w:r>
              <w:rPr>
                <w:sz w:val="12"/>
                <w:szCs w:val="12"/>
              </w:rPr>
              <w:t>√</w:t>
            </w:r>
          </w:p>
        </w:tc>
        <w:tc>
          <w:tcPr>
            <w:tcW w:w="234" w:type="dxa"/>
            <w:tcBorders>
              <w:top w:val="single" w:color="000000" w:sz="2" w:space="0"/>
              <w:bottom w:val="single" w:color="000000" w:sz="2" w:space="0"/>
            </w:tcBorders>
            <w:vAlign w:val="top"/>
          </w:tcPr>
          <w:p w14:paraId="67AF20E2">
            <w:pPr>
              <w:rPr>
                <w:rFonts w:ascii="Arial"/>
                <w:sz w:val="21"/>
              </w:rPr>
            </w:pPr>
          </w:p>
        </w:tc>
      </w:tr>
      <w:tr w14:paraId="2BD313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4" w:hRule="atLeast"/>
        </w:trPr>
        <w:tc>
          <w:tcPr>
            <w:tcW w:w="903" w:type="dxa"/>
            <w:vMerge w:val="restart"/>
            <w:tcBorders>
              <w:top w:val="single" w:color="000000" w:sz="2" w:space="0"/>
              <w:bottom w:val="nil"/>
            </w:tcBorders>
            <w:vAlign w:val="top"/>
          </w:tcPr>
          <w:p w14:paraId="1459EE52">
            <w:pPr>
              <w:pStyle w:val="6"/>
              <w:spacing w:before="126" w:line="229" w:lineRule="auto"/>
              <w:ind w:left="105" w:right="94"/>
            </w:pPr>
            <w:r>
              <w:rPr>
                <w:spacing w:val="3"/>
              </w:rPr>
              <w:t>慢性肺原</w:t>
            </w:r>
            <w:r>
              <w:t xml:space="preserve"> </w:t>
            </w:r>
            <w:r>
              <w:rPr>
                <w:spacing w:val="2"/>
              </w:rPr>
              <w:t>性心脏病</w:t>
            </w:r>
          </w:p>
        </w:tc>
        <w:tc>
          <w:tcPr>
            <w:tcW w:w="2314" w:type="dxa"/>
            <w:vMerge w:val="restart"/>
            <w:tcBorders>
              <w:top w:val="single" w:color="000000" w:sz="2" w:space="0"/>
              <w:bottom w:val="nil"/>
            </w:tcBorders>
            <w:vAlign w:val="top"/>
          </w:tcPr>
          <w:p w14:paraId="6B227BB9">
            <w:pPr>
              <w:pStyle w:val="6"/>
              <w:spacing w:before="114" w:line="219" w:lineRule="auto"/>
              <w:ind w:left="11"/>
            </w:pPr>
            <w:r>
              <w:rPr>
                <w:spacing w:val="1"/>
              </w:rPr>
              <w:t>1.病因和发病机制</w:t>
            </w:r>
          </w:p>
          <w:p w14:paraId="3C7B3413">
            <w:pPr>
              <w:pStyle w:val="6"/>
              <w:spacing w:before="19" w:line="219" w:lineRule="auto"/>
              <w:ind w:left="11"/>
            </w:pPr>
            <w:r>
              <w:rPr>
                <w:spacing w:val="1"/>
              </w:rPr>
              <w:t>2.病理变化及病理临床联系</w:t>
            </w:r>
          </w:p>
        </w:tc>
        <w:tc>
          <w:tcPr>
            <w:tcW w:w="219" w:type="dxa"/>
            <w:tcBorders>
              <w:top w:val="single" w:color="000000" w:sz="2" w:space="0"/>
              <w:bottom w:val="single" w:color="000000" w:sz="2" w:space="0"/>
            </w:tcBorders>
            <w:vAlign w:val="top"/>
          </w:tcPr>
          <w:p w14:paraId="004283A9">
            <w:pPr>
              <w:rPr>
                <w:rFonts w:ascii="Arial"/>
                <w:sz w:val="21"/>
              </w:rPr>
            </w:pPr>
          </w:p>
        </w:tc>
        <w:tc>
          <w:tcPr>
            <w:tcW w:w="220" w:type="dxa"/>
            <w:tcBorders>
              <w:top w:val="single" w:color="000000" w:sz="2" w:space="0"/>
              <w:bottom w:val="single" w:color="000000" w:sz="2" w:space="0"/>
            </w:tcBorders>
            <w:vAlign w:val="top"/>
          </w:tcPr>
          <w:p w14:paraId="6A50B34F">
            <w:pPr>
              <w:rPr>
                <w:rFonts w:ascii="Arial"/>
                <w:sz w:val="21"/>
              </w:rPr>
            </w:pPr>
          </w:p>
        </w:tc>
        <w:tc>
          <w:tcPr>
            <w:tcW w:w="229" w:type="dxa"/>
            <w:tcBorders>
              <w:top w:val="single" w:color="000000" w:sz="2" w:space="0"/>
              <w:bottom w:val="single" w:color="000000" w:sz="2" w:space="0"/>
            </w:tcBorders>
            <w:vAlign w:val="top"/>
          </w:tcPr>
          <w:p w14:paraId="72DF2BE6">
            <w:pPr>
              <w:rPr>
                <w:rFonts w:ascii="Arial"/>
                <w:sz w:val="21"/>
              </w:rPr>
            </w:pPr>
          </w:p>
        </w:tc>
        <w:tc>
          <w:tcPr>
            <w:tcW w:w="234" w:type="dxa"/>
            <w:tcBorders>
              <w:top w:val="single" w:color="000000" w:sz="2" w:space="0"/>
              <w:bottom w:val="single" w:color="000000" w:sz="2" w:space="0"/>
            </w:tcBorders>
            <w:vAlign w:val="top"/>
          </w:tcPr>
          <w:p w14:paraId="5D05E3C9">
            <w:pPr>
              <w:rPr>
                <w:rFonts w:ascii="Arial"/>
                <w:sz w:val="21"/>
              </w:rPr>
            </w:pPr>
          </w:p>
        </w:tc>
      </w:tr>
      <w:tr w14:paraId="285563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5" w:hRule="atLeast"/>
        </w:trPr>
        <w:tc>
          <w:tcPr>
            <w:tcW w:w="903" w:type="dxa"/>
            <w:vMerge w:val="continue"/>
            <w:tcBorders>
              <w:top w:val="nil"/>
              <w:bottom w:val="single" w:color="000000" w:sz="2" w:space="0"/>
            </w:tcBorders>
            <w:vAlign w:val="top"/>
          </w:tcPr>
          <w:p w14:paraId="2B69B336">
            <w:pPr>
              <w:rPr>
                <w:rFonts w:ascii="Arial"/>
                <w:sz w:val="21"/>
              </w:rPr>
            </w:pPr>
          </w:p>
        </w:tc>
        <w:tc>
          <w:tcPr>
            <w:tcW w:w="2314" w:type="dxa"/>
            <w:vMerge w:val="continue"/>
            <w:tcBorders>
              <w:top w:val="nil"/>
              <w:bottom w:val="single" w:color="000000" w:sz="2" w:space="0"/>
            </w:tcBorders>
            <w:vAlign w:val="top"/>
          </w:tcPr>
          <w:p w14:paraId="6F719795">
            <w:pPr>
              <w:rPr>
                <w:rFonts w:ascii="Arial"/>
                <w:sz w:val="21"/>
              </w:rPr>
            </w:pPr>
          </w:p>
        </w:tc>
        <w:tc>
          <w:tcPr>
            <w:tcW w:w="219" w:type="dxa"/>
            <w:tcBorders>
              <w:top w:val="single" w:color="000000" w:sz="2" w:space="0"/>
              <w:bottom w:val="single" w:color="000000" w:sz="2" w:space="0"/>
            </w:tcBorders>
            <w:vAlign w:val="top"/>
          </w:tcPr>
          <w:p w14:paraId="51FD706E">
            <w:pPr>
              <w:rPr>
                <w:rFonts w:ascii="Arial"/>
                <w:sz w:val="21"/>
              </w:rPr>
            </w:pPr>
          </w:p>
        </w:tc>
        <w:tc>
          <w:tcPr>
            <w:tcW w:w="220" w:type="dxa"/>
            <w:tcBorders>
              <w:top w:val="single" w:color="000000" w:sz="2" w:space="0"/>
              <w:bottom w:val="single" w:color="000000" w:sz="2" w:space="0"/>
            </w:tcBorders>
            <w:vAlign w:val="top"/>
          </w:tcPr>
          <w:p w14:paraId="424846C5">
            <w:pPr>
              <w:rPr>
                <w:rFonts w:ascii="Arial"/>
                <w:sz w:val="21"/>
              </w:rPr>
            </w:pPr>
          </w:p>
        </w:tc>
        <w:tc>
          <w:tcPr>
            <w:tcW w:w="229" w:type="dxa"/>
            <w:tcBorders>
              <w:top w:val="single" w:color="000000" w:sz="2" w:space="0"/>
              <w:bottom w:val="single" w:color="000000" w:sz="2" w:space="0"/>
            </w:tcBorders>
            <w:vAlign w:val="top"/>
          </w:tcPr>
          <w:p w14:paraId="62080535">
            <w:pPr>
              <w:rPr>
                <w:rFonts w:ascii="Arial"/>
                <w:sz w:val="21"/>
              </w:rPr>
            </w:pPr>
          </w:p>
        </w:tc>
        <w:tc>
          <w:tcPr>
            <w:tcW w:w="234" w:type="dxa"/>
            <w:tcBorders>
              <w:top w:val="single" w:color="000000" w:sz="2" w:space="0"/>
              <w:bottom w:val="single" w:color="000000" w:sz="2" w:space="0"/>
            </w:tcBorders>
            <w:vAlign w:val="top"/>
          </w:tcPr>
          <w:p w14:paraId="232D4006">
            <w:pPr>
              <w:rPr>
                <w:rFonts w:ascii="Arial"/>
                <w:sz w:val="21"/>
              </w:rPr>
            </w:pPr>
          </w:p>
        </w:tc>
      </w:tr>
      <w:tr w14:paraId="32F21C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5" w:hRule="atLeast"/>
        </w:trPr>
        <w:tc>
          <w:tcPr>
            <w:tcW w:w="903" w:type="dxa"/>
            <w:vMerge w:val="restart"/>
            <w:tcBorders>
              <w:top w:val="single" w:color="000000" w:sz="2" w:space="0"/>
              <w:bottom w:val="nil"/>
            </w:tcBorders>
            <w:vAlign w:val="top"/>
          </w:tcPr>
          <w:p w14:paraId="50322330">
            <w:pPr>
              <w:spacing w:line="329" w:lineRule="auto"/>
              <w:rPr>
                <w:rFonts w:ascii="Arial"/>
                <w:sz w:val="21"/>
              </w:rPr>
            </w:pPr>
          </w:p>
          <w:p w14:paraId="508C093F">
            <w:pPr>
              <w:pStyle w:val="6"/>
              <w:spacing w:before="55" w:line="220" w:lineRule="auto"/>
              <w:ind w:left="275"/>
            </w:pPr>
            <w:r>
              <w:rPr>
                <w:spacing w:val="-2"/>
              </w:rPr>
              <w:t>肺炎</w:t>
            </w:r>
          </w:p>
        </w:tc>
        <w:tc>
          <w:tcPr>
            <w:tcW w:w="2314" w:type="dxa"/>
            <w:vMerge w:val="restart"/>
            <w:tcBorders>
              <w:top w:val="single" w:color="000000" w:sz="2" w:space="0"/>
              <w:bottom w:val="nil"/>
            </w:tcBorders>
            <w:vAlign w:val="top"/>
          </w:tcPr>
          <w:p w14:paraId="523F413F">
            <w:pPr>
              <w:pStyle w:val="6"/>
              <w:spacing w:before="185" w:line="233" w:lineRule="auto"/>
              <w:ind w:left="11" w:right="1261"/>
              <w:jc w:val="both"/>
            </w:pPr>
            <w:r>
              <w:rPr>
                <w:spacing w:val="1"/>
              </w:rPr>
              <w:t>1.大叶性肺炎</w:t>
            </w:r>
            <w:r>
              <w:rPr>
                <w:spacing w:val="2"/>
              </w:rPr>
              <w:t xml:space="preserve"> </w:t>
            </w:r>
            <w:r>
              <w:rPr>
                <w:spacing w:val="-2"/>
              </w:rPr>
              <w:t>2.小叶性肺炎</w:t>
            </w:r>
            <w:r>
              <w:rPr>
                <w:spacing w:val="4"/>
              </w:rPr>
              <w:t xml:space="preserve"> </w:t>
            </w:r>
            <w:r>
              <w:rPr>
                <w:spacing w:val="1"/>
              </w:rPr>
              <w:t>3.间质性肺炎</w:t>
            </w:r>
          </w:p>
        </w:tc>
        <w:tc>
          <w:tcPr>
            <w:tcW w:w="219" w:type="dxa"/>
            <w:tcBorders>
              <w:top w:val="single" w:color="000000" w:sz="2" w:space="0"/>
              <w:bottom w:val="single" w:color="000000" w:sz="2" w:space="0"/>
            </w:tcBorders>
            <w:vAlign w:val="top"/>
          </w:tcPr>
          <w:p w14:paraId="28C605A9">
            <w:pPr>
              <w:rPr>
                <w:rFonts w:ascii="Arial"/>
                <w:sz w:val="21"/>
              </w:rPr>
            </w:pPr>
          </w:p>
        </w:tc>
        <w:tc>
          <w:tcPr>
            <w:tcW w:w="220" w:type="dxa"/>
            <w:tcBorders>
              <w:top w:val="single" w:color="000000" w:sz="2" w:space="0"/>
              <w:bottom w:val="single" w:color="000000" w:sz="2" w:space="0"/>
            </w:tcBorders>
            <w:vAlign w:val="top"/>
          </w:tcPr>
          <w:p w14:paraId="7879D35E">
            <w:pPr>
              <w:rPr>
                <w:rFonts w:ascii="Arial"/>
                <w:sz w:val="21"/>
              </w:rPr>
            </w:pPr>
          </w:p>
        </w:tc>
        <w:tc>
          <w:tcPr>
            <w:tcW w:w="229" w:type="dxa"/>
            <w:tcBorders>
              <w:top w:val="single" w:color="000000" w:sz="2" w:space="0"/>
              <w:bottom w:val="single" w:color="000000" w:sz="2" w:space="0"/>
            </w:tcBorders>
            <w:vAlign w:val="top"/>
          </w:tcPr>
          <w:p w14:paraId="27576412">
            <w:pPr>
              <w:rPr>
                <w:rFonts w:ascii="Arial"/>
                <w:sz w:val="21"/>
              </w:rPr>
            </w:pPr>
          </w:p>
        </w:tc>
        <w:tc>
          <w:tcPr>
            <w:tcW w:w="234" w:type="dxa"/>
            <w:tcBorders>
              <w:top w:val="single" w:color="000000" w:sz="2" w:space="0"/>
              <w:bottom w:val="single" w:color="000000" w:sz="2" w:space="0"/>
            </w:tcBorders>
            <w:vAlign w:val="top"/>
          </w:tcPr>
          <w:p w14:paraId="6390EFEC">
            <w:pPr>
              <w:rPr>
                <w:rFonts w:ascii="Arial"/>
                <w:sz w:val="21"/>
              </w:rPr>
            </w:pPr>
          </w:p>
        </w:tc>
      </w:tr>
      <w:tr w14:paraId="33B894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4" w:hRule="atLeast"/>
        </w:trPr>
        <w:tc>
          <w:tcPr>
            <w:tcW w:w="903" w:type="dxa"/>
            <w:vMerge w:val="continue"/>
            <w:tcBorders>
              <w:top w:val="nil"/>
              <w:bottom w:val="nil"/>
            </w:tcBorders>
            <w:vAlign w:val="top"/>
          </w:tcPr>
          <w:p w14:paraId="765C9362">
            <w:pPr>
              <w:rPr>
                <w:rFonts w:ascii="Arial"/>
                <w:sz w:val="21"/>
              </w:rPr>
            </w:pPr>
          </w:p>
        </w:tc>
        <w:tc>
          <w:tcPr>
            <w:tcW w:w="2314" w:type="dxa"/>
            <w:vMerge w:val="continue"/>
            <w:tcBorders>
              <w:top w:val="nil"/>
              <w:bottom w:val="nil"/>
            </w:tcBorders>
            <w:vAlign w:val="top"/>
          </w:tcPr>
          <w:p w14:paraId="35A96CD5">
            <w:pPr>
              <w:rPr>
                <w:rFonts w:ascii="Arial"/>
                <w:sz w:val="21"/>
              </w:rPr>
            </w:pPr>
          </w:p>
        </w:tc>
        <w:tc>
          <w:tcPr>
            <w:tcW w:w="219" w:type="dxa"/>
            <w:tcBorders>
              <w:top w:val="single" w:color="000000" w:sz="2" w:space="0"/>
              <w:bottom w:val="single" w:color="000000" w:sz="2" w:space="0"/>
            </w:tcBorders>
            <w:vAlign w:val="top"/>
          </w:tcPr>
          <w:p w14:paraId="61E21A00">
            <w:pPr>
              <w:rPr>
                <w:rFonts w:ascii="Arial"/>
                <w:sz w:val="21"/>
              </w:rPr>
            </w:pPr>
          </w:p>
        </w:tc>
        <w:tc>
          <w:tcPr>
            <w:tcW w:w="220" w:type="dxa"/>
            <w:tcBorders>
              <w:top w:val="single" w:color="000000" w:sz="2" w:space="0"/>
              <w:bottom w:val="single" w:color="000000" w:sz="2" w:space="0"/>
            </w:tcBorders>
            <w:vAlign w:val="top"/>
          </w:tcPr>
          <w:p w14:paraId="22C44D18">
            <w:pPr>
              <w:rPr>
                <w:rFonts w:ascii="Arial"/>
                <w:sz w:val="21"/>
              </w:rPr>
            </w:pPr>
          </w:p>
        </w:tc>
        <w:tc>
          <w:tcPr>
            <w:tcW w:w="229" w:type="dxa"/>
            <w:tcBorders>
              <w:top w:val="single" w:color="000000" w:sz="2" w:space="0"/>
              <w:bottom w:val="single" w:color="000000" w:sz="2" w:space="0"/>
            </w:tcBorders>
            <w:vAlign w:val="top"/>
          </w:tcPr>
          <w:p w14:paraId="09B4F38B">
            <w:pPr>
              <w:rPr>
                <w:rFonts w:ascii="Arial"/>
                <w:sz w:val="21"/>
              </w:rPr>
            </w:pPr>
          </w:p>
        </w:tc>
        <w:tc>
          <w:tcPr>
            <w:tcW w:w="234" w:type="dxa"/>
            <w:tcBorders>
              <w:top w:val="single" w:color="000000" w:sz="2" w:space="0"/>
              <w:bottom w:val="single" w:color="000000" w:sz="2" w:space="0"/>
            </w:tcBorders>
            <w:vAlign w:val="top"/>
          </w:tcPr>
          <w:p w14:paraId="3B3AC9FE">
            <w:pPr>
              <w:rPr>
                <w:rFonts w:ascii="Arial"/>
                <w:sz w:val="21"/>
              </w:rPr>
            </w:pPr>
          </w:p>
        </w:tc>
      </w:tr>
      <w:tr w14:paraId="35337B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5" w:hRule="atLeast"/>
        </w:trPr>
        <w:tc>
          <w:tcPr>
            <w:tcW w:w="903" w:type="dxa"/>
            <w:vMerge w:val="continue"/>
            <w:tcBorders>
              <w:top w:val="nil"/>
              <w:bottom w:val="single" w:color="000000" w:sz="2" w:space="0"/>
            </w:tcBorders>
            <w:vAlign w:val="top"/>
          </w:tcPr>
          <w:p w14:paraId="0BFE81C6">
            <w:pPr>
              <w:rPr>
                <w:rFonts w:ascii="Arial"/>
                <w:sz w:val="21"/>
              </w:rPr>
            </w:pPr>
          </w:p>
        </w:tc>
        <w:tc>
          <w:tcPr>
            <w:tcW w:w="2314" w:type="dxa"/>
            <w:vMerge w:val="continue"/>
            <w:tcBorders>
              <w:top w:val="nil"/>
              <w:bottom w:val="single" w:color="000000" w:sz="2" w:space="0"/>
            </w:tcBorders>
            <w:vAlign w:val="top"/>
          </w:tcPr>
          <w:p w14:paraId="53D275AC">
            <w:pPr>
              <w:rPr>
                <w:rFonts w:ascii="Arial"/>
                <w:sz w:val="21"/>
              </w:rPr>
            </w:pPr>
          </w:p>
        </w:tc>
        <w:tc>
          <w:tcPr>
            <w:tcW w:w="219" w:type="dxa"/>
            <w:tcBorders>
              <w:top w:val="single" w:color="000000" w:sz="2" w:space="0"/>
              <w:bottom w:val="single" w:color="000000" w:sz="2" w:space="0"/>
            </w:tcBorders>
            <w:vAlign w:val="top"/>
          </w:tcPr>
          <w:p w14:paraId="052B4113">
            <w:pPr>
              <w:rPr>
                <w:rFonts w:ascii="Arial"/>
                <w:sz w:val="21"/>
              </w:rPr>
            </w:pPr>
          </w:p>
        </w:tc>
        <w:tc>
          <w:tcPr>
            <w:tcW w:w="220" w:type="dxa"/>
            <w:tcBorders>
              <w:top w:val="single" w:color="000000" w:sz="2" w:space="0"/>
              <w:bottom w:val="single" w:color="000000" w:sz="2" w:space="0"/>
            </w:tcBorders>
            <w:vAlign w:val="top"/>
          </w:tcPr>
          <w:p w14:paraId="26393A98">
            <w:pPr>
              <w:rPr>
                <w:rFonts w:ascii="Arial"/>
                <w:sz w:val="21"/>
              </w:rPr>
            </w:pPr>
          </w:p>
        </w:tc>
        <w:tc>
          <w:tcPr>
            <w:tcW w:w="229" w:type="dxa"/>
            <w:tcBorders>
              <w:top w:val="single" w:color="000000" w:sz="2" w:space="0"/>
              <w:bottom w:val="single" w:color="000000" w:sz="2" w:space="0"/>
            </w:tcBorders>
            <w:vAlign w:val="top"/>
          </w:tcPr>
          <w:p w14:paraId="656F076D">
            <w:pPr>
              <w:rPr>
                <w:rFonts w:ascii="Arial"/>
                <w:sz w:val="21"/>
              </w:rPr>
            </w:pPr>
          </w:p>
        </w:tc>
        <w:tc>
          <w:tcPr>
            <w:tcW w:w="234" w:type="dxa"/>
            <w:tcBorders>
              <w:top w:val="single" w:color="000000" w:sz="2" w:space="0"/>
              <w:bottom w:val="single" w:color="000000" w:sz="2" w:space="0"/>
            </w:tcBorders>
            <w:vAlign w:val="top"/>
          </w:tcPr>
          <w:p w14:paraId="08D43D3B">
            <w:pPr>
              <w:rPr>
                <w:rFonts w:ascii="Arial"/>
                <w:sz w:val="21"/>
              </w:rPr>
            </w:pPr>
          </w:p>
        </w:tc>
      </w:tr>
      <w:tr w14:paraId="407A14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5" w:hRule="atLeast"/>
        </w:trPr>
        <w:tc>
          <w:tcPr>
            <w:tcW w:w="903" w:type="dxa"/>
            <w:vMerge w:val="restart"/>
            <w:tcBorders>
              <w:top w:val="single" w:color="000000" w:sz="2" w:space="0"/>
              <w:bottom w:val="nil"/>
            </w:tcBorders>
            <w:vAlign w:val="top"/>
          </w:tcPr>
          <w:p w14:paraId="0F43D810">
            <w:pPr>
              <w:spacing w:line="417" w:lineRule="auto"/>
              <w:rPr>
                <w:rFonts w:ascii="Arial"/>
                <w:sz w:val="21"/>
              </w:rPr>
            </w:pPr>
          </w:p>
          <w:p w14:paraId="35EF6F07">
            <w:pPr>
              <w:pStyle w:val="6"/>
              <w:spacing w:before="56" w:line="219" w:lineRule="auto"/>
              <w:ind w:left="105"/>
            </w:pPr>
            <w:r>
              <w:rPr>
                <w:spacing w:val="2"/>
              </w:rPr>
              <w:t>呼吸衰竭</w:t>
            </w:r>
          </w:p>
        </w:tc>
        <w:tc>
          <w:tcPr>
            <w:tcW w:w="2314" w:type="dxa"/>
            <w:vMerge w:val="restart"/>
            <w:tcBorders>
              <w:top w:val="single" w:color="000000" w:sz="2" w:space="0"/>
              <w:bottom w:val="nil"/>
            </w:tcBorders>
            <w:vAlign w:val="top"/>
          </w:tcPr>
          <w:p w14:paraId="0183C2BD">
            <w:pPr>
              <w:pStyle w:val="6"/>
              <w:spacing w:before="265" w:line="219" w:lineRule="auto"/>
              <w:ind w:left="11"/>
            </w:pPr>
            <w:r>
              <w:rPr>
                <w:spacing w:val="1"/>
              </w:rPr>
              <w:t>1.概念、原因和发生机制</w:t>
            </w:r>
          </w:p>
          <w:p w14:paraId="33CC8FCD">
            <w:pPr>
              <w:pStyle w:val="6"/>
              <w:spacing w:before="18" w:line="225" w:lineRule="auto"/>
              <w:ind w:left="11" w:right="90"/>
            </w:pPr>
            <w:r>
              <w:rPr>
                <w:spacing w:val="-1"/>
              </w:rPr>
              <w:t>2.机体的主要代谢和功能变化</w:t>
            </w:r>
            <w:r>
              <w:rPr>
                <w:spacing w:val="4"/>
              </w:rPr>
              <w:t xml:space="preserve"> </w:t>
            </w:r>
            <w:r>
              <w:rPr>
                <w:spacing w:val="2"/>
              </w:rPr>
              <w:t>3.防治原则</w:t>
            </w:r>
          </w:p>
        </w:tc>
        <w:tc>
          <w:tcPr>
            <w:tcW w:w="219" w:type="dxa"/>
            <w:tcBorders>
              <w:top w:val="single" w:color="000000" w:sz="2" w:space="0"/>
              <w:bottom w:val="single" w:color="000000" w:sz="2" w:space="0"/>
            </w:tcBorders>
            <w:vAlign w:val="top"/>
          </w:tcPr>
          <w:p w14:paraId="50AF99B7">
            <w:pPr>
              <w:rPr>
                <w:rFonts w:ascii="Arial"/>
                <w:sz w:val="21"/>
              </w:rPr>
            </w:pPr>
          </w:p>
        </w:tc>
        <w:tc>
          <w:tcPr>
            <w:tcW w:w="220" w:type="dxa"/>
            <w:tcBorders>
              <w:top w:val="single" w:color="000000" w:sz="2" w:space="0"/>
              <w:bottom w:val="single" w:color="000000" w:sz="2" w:space="0"/>
            </w:tcBorders>
            <w:vAlign w:val="top"/>
          </w:tcPr>
          <w:p w14:paraId="34213246">
            <w:pPr>
              <w:rPr>
                <w:rFonts w:ascii="Arial"/>
                <w:sz w:val="21"/>
              </w:rPr>
            </w:pPr>
          </w:p>
        </w:tc>
        <w:tc>
          <w:tcPr>
            <w:tcW w:w="229" w:type="dxa"/>
            <w:tcBorders>
              <w:top w:val="single" w:color="000000" w:sz="2" w:space="0"/>
              <w:bottom w:val="single" w:color="000000" w:sz="2" w:space="0"/>
            </w:tcBorders>
            <w:vAlign w:val="top"/>
          </w:tcPr>
          <w:p w14:paraId="6FF17DED">
            <w:pPr>
              <w:rPr>
                <w:rFonts w:ascii="Arial"/>
                <w:sz w:val="21"/>
              </w:rPr>
            </w:pPr>
          </w:p>
        </w:tc>
        <w:tc>
          <w:tcPr>
            <w:tcW w:w="234" w:type="dxa"/>
            <w:tcBorders>
              <w:top w:val="single" w:color="000000" w:sz="2" w:space="0"/>
              <w:bottom w:val="single" w:color="000000" w:sz="2" w:space="0"/>
            </w:tcBorders>
            <w:vAlign w:val="top"/>
          </w:tcPr>
          <w:p w14:paraId="4466190E">
            <w:pPr>
              <w:rPr>
                <w:rFonts w:ascii="Arial"/>
                <w:sz w:val="21"/>
              </w:rPr>
            </w:pPr>
          </w:p>
        </w:tc>
      </w:tr>
      <w:tr w14:paraId="5E8330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4" w:hRule="atLeast"/>
        </w:trPr>
        <w:tc>
          <w:tcPr>
            <w:tcW w:w="903" w:type="dxa"/>
            <w:vMerge w:val="continue"/>
            <w:tcBorders>
              <w:top w:val="nil"/>
              <w:bottom w:val="nil"/>
            </w:tcBorders>
            <w:vAlign w:val="top"/>
          </w:tcPr>
          <w:p w14:paraId="21673207">
            <w:pPr>
              <w:rPr>
                <w:rFonts w:ascii="Arial"/>
                <w:sz w:val="21"/>
              </w:rPr>
            </w:pPr>
          </w:p>
        </w:tc>
        <w:tc>
          <w:tcPr>
            <w:tcW w:w="2314" w:type="dxa"/>
            <w:vMerge w:val="continue"/>
            <w:tcBorders>
              <w:top w:val="nil"/>
              <w:bottom w:val="nil"/>
            </w:tcBorders>
            <w:vAlign w:val="top"/>
          </w:tcPr>
          <w:p w14:paraId="6CB776A5">
            <w:pPr>
              <w:rPr>
                <w:rFonts w:ascii="Arial"/>
                <w:sz w:val="21"/>
              </w:rPr>
            </w:pPr>
          </w:p>
        </w:tc>
        <w:tc>
          <w:tcPr>
            <w:tcW w:w="219" w:type="dxa"/>
            <w:tcBorders>
              <w:top w:val="single" w:color="000000" w:sz="2" w:space="0"/>
              <w:bottom w:val="single" w:color="000000" w:sz="2" w:space="0"/>
            </w:tcBorders>
            <w:vAlign w:val="top"/>
          </w:tcPr>
          <w:p w14:paraId="53048384">
            <w:pPr>
              <w:rPr>
                <w:rFonts w:ascii="Arial"/>
                <w:sz w:val="21"/>
              </w:rPr>
            </w:pPr>
          </w:p>
        </w:tc>
        <w:tc>
          <w:tcPr>
            <w:tcW w:w="220" w:type="dxa"/>
            <w:tcBorders>
              <w:top w:val="single" w:color="000000" w:sz="2" w:space="0"/>
              <w:bottom w:val="single" w:color="000000" w:sz="2" w:space="0"/>
            </w:tcBorders>
            <w:vAlign w:val="top"/>
          </w:tcPr>
          <w:p w14:paraId="4A53F59E">
            <w:pPr>
              <w:pStyle w:val="6"/>
              <w:spacing w:before="136" w:line="238" w:lineRule="auto"/>
              <w:ind w:left="48"/>
              <w:rPr>
                <w:sz w:val="12"/>
                <w:szCs w:val="12"/>
              </w:rPr>
            </w:pPr>
            <w:r>
              <w:rPr>
                <w:sz w:val="12"/>
                <w:szCs w:val="12"/>
              </w:rPr>
              <w:t>√</w:t>
            </w:r>
          </w:p>
        </w:tc>
        <w:tc>
          <w:tcPr>
            <w:tcW w:w="229" w:type="dxa"/>
            <w:tcBorders>
              <w:top w:val="single" w:color="000000" w:sz="2" w:space="0"/>
              <w:bottom w:val="single" w:color="000000" w:sz="2" w:space="0"/>
            </w:tcBorders>
            <w:vAlign w:val="top"/>
          </w:tcPr>
          <w:p w14:paraId="0E2679AC">
            <w:pPr>
              <w:rPr>
                <w:rFonts w:ascii="Arial"/>
                <w:sz w:val="21"/>
              </w:rPr>
            </w:pPr>
          </w:p>
        </w:tc>
        <w:tc>
          <w:tcPr>
            <w:tcW w:w="234" w:type="dxa"/>
            <w:tcBorders>
              <w:top w:val="single" w:color="000000" w:sz="2" w:space="0"/>
              <w:bottom w:val="single" w:color="000000" w:sz="2" w:space="0"/>
            </w:tcBorders>
            <w:vAlign w:val="top"/>
          </w:tcPr>
          <w:p w14:paraId="65FF5356">
            <w:pPr>
              <w:rPr>
                <w:rFonts w:ascii="Arial"/>
                <w:sz w:val="21"/>
              </w:rPr>
            </w:pPr>
          </w:p>
        </w:tc>
      </w:tr>
      <w:tr w14:paraId="4AE284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0" w:hRule="atLeast"/>
        </w:trPr>
        <w:tc>
          <w:tcPr>
            <w:tcW w:w="903" w:type="dxa"/>
            <w:vMerge w:val="continue"/>
            <w:tcBorders>
              <w:top w:val="nil"/>
              <w:bottom w:val="single" w:color="000000" w:sz="2" w:space="0"/>
            </w:tcBorders>
            <w:vAlign w:val="top"/>
          </w:tcPr>
          <w:p w14:paraId="2D3D212C">
            <w:pPr>
              <w:rPr>
                <w:rFonts w:ascii="Arial"/>
                <w:sz w:val="21"/>
              </w:rPr>
            </w:pPr>
          </w:p>
        </w:tc>
        <w:tc>
          <w:tcPr>
            <w:tcW w:w="2314" w:type="dxa"/>
            <w:vMerge w:val="continue"/>
            <w:tcBorders>
              <w:top w:val="nil"/>
              <w:bottom w:val="single" w:color="000000" w:sz="2" w:space="0"/>
            </w:tcBorders>
            <w:vAlign w:val="top"/>
          </w:tcPr>
          <w:p w14:paraId="61268767">
            <w:pPr>
              <w:rPr>
                <w:rFonts w:ascii="Arial"/>
                <w:sz w:val="21"/>
              </w:rPr>
            </w:pPr>
          </w:p>
        </w:tc>
        <w:tc>
          <w:tcPr>
            <w:tcW w:w="219" w:type="dxa"/>
            <w:tcBorders>
              <w:top w:val="single" w:color="000000" w:sz="2" w:space="0"/>
              <w:bottom w:val="single" w:color="000000" w:sz="2" w:space="0"/>
            </w:tcBorders>
            <w:vAlign w:val="top"/>
          </w:tcPr>
          <w:p w14:paraId="7D370473">
            <w:pPr>
              <w:rPr>
                <w:rFonts w:ascii="Arial"/>
                <w:sz w:val="21"/>
              </w:rPr>
            </w:pPr>
          </w:p>
        </w:tc>
        <w:tc>
          <w:tcPr>
            <w:tcW w:w="220" w:type="dxa"/>
            <w:tcBorders>
              <w:top w:val="single" w:color="000000" w:sz="2" w:space="0"/>
              <w:bottom w:val="single" w:color="000000" w:sz="2" w:space="0"/>
            </w:tcBorders>
            <w:vAlign w:val="top"/>
          </w:tcPr>
          <w:p w14:paraId="20F3B4A7">
            <w:pPr>
              <w:rPr>
                <w:rFonts w:ascii="Arial"/>
                <w:sz w:val="21"/>
              </w:rPr>
            </w:pPr>
          </w:p>
        </w:tc>
        <w:tc>
          <w:tcPr>
            <w:tcW w:w="229" w:type="dxa"/>
            <w:tcBorders>
              <w:top w:val="single" w:color="000000" w:sz="2" w:space="0"/>
              <w:bottom w:val="single" w:color="000000" w:sz="2" w:space="0"/>
            </w:tcBorders>
            <w:vAlign w:val="top"/>
          </w:tcPr>
          <w:p w14:paraId="381F06BF">
            <w:pPr>
              <w:rPr>
                <w:rFonts w:ascii="Arial"/>
                <w:sz w:val="21"/>
              </w:rPr>
            </w:pPr>
          </w:p>
        </w:tc>
        <w:tc>
          <w:tcPr>
            <w:tcW w:w="234" w:type="dxa"/>
            <w:tcBorders>
              <w:top w:val="single" w:color="000000" w:sz="2" w:space="0"/>
              <w:bottom w:val="single" w:color="000000" w:sz="2" w:space="0"/>
            </w:tcBorders>
            <w:vAlign w:val="top"/>
          </w:tcPr>
          <w:p w14:paraId="57B7996C">
            <w:pPr>
              <w:pStyle w:val="6"/>
              <w:spacing w:before="137" w:line="238" w:lineRule="auto"/>
              <w:ind w:left="50"/>
              <w:rPr>
                <w:sz w:val="12"/>
                <w:szCs w:val="12"/>
              </w:rPr>
            </w:pPr>
            <w:r>
              <w:rPr>
                <w:sz w:val="12"/>
                <w:szCs w:val="12"/>
              </w:rPr>
              <w:t>√</w:t>
            </w:r>
          </w:p>
        </w:tc>
      </w:tr>
    </w:tbl>
    <w:p w14:paraId="3BE0347F">
      <w:pPr>
        <w:pStyle w:val="2"/>
        <w:spacing w:line="14" w:lineRule="auto"/>
        <w:rPr>
          <w:sz w:val="2"/>
        </w:rPr>
      </w:pPr>
    </w:p>
    <w:p w14:paraId="6187C5C7">
      <w:pPr>
        <w:pStyle w:val="2"/>
        <w:spacing w:line="14" w:lineRule="auto"/>
        <w:rPr>
          <w:sz w:val="2"/>
        </w:rPr>
      </w:pPr>
      <w:r>
        <w:rPr>
          <w:sz w:val="2"/>
          <w:szCs w:val="2"/>
        </w:rPr>
        <w:br w:type="column"/>
      </w:r>
    </w:p>
    <w:p w14:paraId="4D4DBC09">
      <w:pPr>
        <w:spacing w:before="48" w:line="221" w:lineRule="auto"/>
        <w:ind w:left="1027"/>
        <w:rPr>
          <w:rFonts w:ascii="黑体" w:hAnsi="黑体" w:eastAsia="黑体" w:cs="黑体"/>
          <w:sz w:val="20"/>
          <w:szCs w:val="20"/>
        </w:rPr>
      </w:pPr>
      <w:r>
        <w:rPr>
          <w:rFonts w:ascii="黑体" w:hAnsi="黑体" w:eastAsia="黑体" w:cs="黑体"/>
          <w:b/>
          <w:bCs/>
          <w:spacing w:val="7"/>
          <w:sz w:val="20"/>
          <w:szCs w:val="20"/>
        </w:rPr>
        <w:t>第十章心血管系统疾病</w:t>
      </w:r>
    </w:p>
    <w:p w14:paraId="267040C5">
      <w:pPr>
        <w:spacing w:line="72" w:lineRule="exact"/>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14"/>
        <w:gridCol w:w="229"/>
        <w:gridCol w:w="229"/>
        <w:gridCol w:w="220"/>
        <w:gridCol w:w="234"/>
      </w:tblGrid>
      <w:tr w14:paraId="5FAC3A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4" w:hRule="atLeast"/>
        </w:trPr>
        <w:tc>
          <w:tcPr>
            <w:tcW w:w="893" w:type="dxa"/>
            <w:vMerge w:val="restart"/>
            <w:tcBorders>
              <w:bottom w:val="nil"/>
            </w:tcBorders>
            <w:vAlign w:val="top"/>
          </w:tcPr>
          <w:p w14:paraId="5869DAD4">
            <w:pPr>
              <w:pStyle w:val="6"/>
              <w:spacing w:before="159"/>
              <w:ind w:left="266" w:right="25" w:hanging="249"/>
            </w:pPr>
            <w:r>
              <w:rPr>
                <w:b/>
                <w:bCs/>
                <w:spacing w:val="-4"/>
              </w:rPr>
              <w:t>知识与技能</w:t>
            </w:r>
            <w:r>
              <w:t xml:space="preserve"> </w:t>
            </w:r>
            <w:r>
              <w:rPr>
                <w:b/>
                <w:bCs/>
                <w:spacing w:val="-4"/>
              </w:rPr>
              <w:t>要点</w:t>
            </w:r>
          </w:p>
        </w:tc>
        <w:tc>
          <w:tcPr>
            <w:tcW w:w="2314" w:type="dxa"/>
            <w:vMerge w:val="restart"/>
            <w:tcBorders>
              <w:bottom w:val="nil"/>
            </w:tcBorders>
            <w:vAlign w:val="top"/>
          </w:tcPr>
          <w:p w14:paraId="652E06D0">
            <w:pPr>
              <w:pStyle w:val="6"/>
              <w:spacing w:before="279" w:line="219" w:lineRule="auto"/>
              <w:ind w:left="854"/>
            </w:pPr>
            <w:r>
              <w:rPr>
                <w:b/>
                <w:bCs/>
                <w:spacing w:val="5"/>
              </w:rPr>
              <w:t>考试条目</w:t>
            </w:r>
          </w:p>
        </w:tc>
        <w:tc>
          <w:tcPr>
            <w:tcW w:w="912" w:type="dxa"/>
            <w:gridSpan w:val="4"/>
            <w:vAlign w:val="top"/>
          </w:tcPr>
          <w:p w14:paraId="732B3758">
            <w:pPr>
              <w:pStyle w:val="6"/>
              <w:spacing w:before="99" w:line="219" w:lineRule="auto"/>
              <w:ind w:left="140"/>
            </w:pPr>
            <w:r>
              <w:rPr>
                <w:b/>
                <w:bCs/>
                <w:spacing w:val="-4"/>
              </w:rPr>
              <w:t>考试水平</w:t>
            </w:r>
          </w:p>
        </w:tc>
      </w:tr>
      <w:tr w14:paraId="4008D8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9" w:hRule="atLeast"/>
        </w:trPr>
        <w:tc>
          <w:tcPr>
            <w:tcW w:w="893" w:type="dxa"/>
            <w:vMerge w:val="continue"/>
            <w:tcBorders>
              <w:top w:val="nil"/>
            </w:tcBorders>
            <w:vAlign w:val="top"/>
          </w:tcPr>
          <w:p w14:paraId="03CD6211">
            <w:pPr>
              <w:rPr>
                <w:rFonts w:ascii="Arial"/>
                <w:sz w:val="21"/>
              </w:rPr>
            </w:pPr>
          </w:p>
        </w:tc>
        <w:tc>
          <w:tcPr>
            <w:tcW w:w="2314" w:type="dxa"/>
            <w:vMerge w:val="continue"/>
            <w:tcBorders>
              <w:top w:val="nil"/>
            </w:tcBorders>
            <w:vAlign w:val="top"/>
          </w:tcPr>
          <w:p w14:paraId="782D6960">
            <w:pPr>
              <w:rPr>
                <w:rFonts w:ascii="Arial"/>
                <w:sz w:val="21"/>
              </w:rPr>
            </w:pPr>
          </w:p>
        </w:tc>
        <w:tc>
          <w:tcPr>
            <w:tcW w:w="229" w:type="dxa"/>
            <w:vAlign w:val="top"/>
          </w:tcPr>
          <w:p w14:paraId="244F8E86">
            <w:pPr>
              <w:pStyle w:val="6"/>
              <w:spacing w:before="133" w:line="184" w:lineRule="auto"/>
              <w:ind w:left="70"/>
              <w:rPr>
                <w:sz w:val="18"/>
                <w:szCs w:val="18"/>
              </w:rPr>
            </w:pPr>
            <w:r>
              <w:rPr>
                <w:b/>
                <w:bCs/>
                <w:spacing w:val="-2"/>
                <w:sz w:val="18"/>
                <w:szCs w:val="18"/>
              </w:rPr>
              <w:t>A</w:t>
            </w:r>
          </w:p>
        </w:tc>
        <w:tc>
          <w:tcPr>
            <w:tcW w:w="229" w:type="dxa"/>
            <w:vAlign w:val="top"/>
          </w:tcPr>
          <w:p w14:paraId="4411035F">
            <w:pPr>
              <w:pStyle w:val="6"/>
              <w:spacing w:before="132" w:line="182" w:lineRule="auto"/>
              <w:ind w:left="71"/>
            </w:pPr>
            <w:r>
              <w:rPr>
                <w:b/>
                <w:bCs/>
                <w:spacing w:val="-2"/>
              </w:rPr>
              <w:t>B</w:t>
            </w:r>
          </w:p>
        </w:tc>
        <w:tc>
          <w:tcPr>
            <w:tcW w:w="220" w:type="dxa"/>
            <w:vAlign w:val="top"/>
          </w:tcPr>
          <w:p w14:paraId="39FC8D32">
            <w:pPr>
              <w:pStyle w:val="6"/>
              <w:spacing w:before="133" w:line="183" w:lineRule="auto"/>
              <w:ind w:left="62"/>
              <w:rPr>
                <w:sz w:val="18"/>
                <w:szCs w:val="18"/>
              </w:rPr>
            </w:pPr>
            <w:r>
              <w:rPr>
                <w:b/>
                <w:bCs/>
                <w:spacing w:val="-2"/>
                <w:sz w:val="18"/>
                <w:szCs w:val="18"/>
              </w:rPr>
              <w:t>C</w:t>
            </w:r>
          </w:p>
        </w:tc>
        <w:tc>
          <w:tcPr>
            <w:tcW w:w="234" w:type="dxa"/>
            <w:vAlign w:val="top"/>
          </w:tcPr>
          <w:p w14:paraId="58C6569A">
            <w:pPr>
              <w:pStyle w:val="6"/>
              <w:spacing w:before="132" w:line="182" w:lineRule="auto"/>
              <w:ind w:left="72"/>
            </w:pPr>
            <w:r>
              <w:rPr>
                <w:b/>
                <w:bCs/>
                <w:spacing w:val="-2"/>
              </w:rPr>
              <w:t>D</w:t>
            </w:r>
          </w:p>
        </w:tc>
      </w:tr>
      <w:tr w14:paraId="228666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0" w:hRule="atLeast"/>
        </w:trPr>
        <w:tc>
          <w:tcPr>
            <w:tcW w:w="893" w:type="dxa"/>
            <w:vMerge w:val="restart"/>
            <w:tcBorders>
              <w:bottom w:val="nil"/>
            </w:tcBorders>
            <w:vAlign w:val="top"/>
          </w:tcPr>
          <w:p w14:paraId="32E9640C">
            <w:pPr>
              <w:pStyle w:val="6"/>
              <w:spacing w:before="279" w:line="220" w:lineRule="auto"/>
              <w:ind w:left="185"/>
            </w:pPr>
            <w:r>
              <w:rPr>
                <w:spacing w:val="-2"/>
              </w:rPr>
              <w:t>风湿病</w:t>
            </w:r>
          </w:p>
        </w:tc>
        <w:tc>
          <w:tcPr>
            <w:tcW w:w="2314" w:type="dxa"/>
            <w:vMerge w:val="restart"/>
            <w:tcBorders>
              <w:bottom w:val="nil"/>
            </w:tcBorders>
            <w:vAlign w:val="top"/>
          </w:tcPr>
          <w:p w14:paraId="21F5BB6F">
            <w:pPr>
              <w:pStyle w:val="6"/>
              <w:spacing w:before="58" w:line="236" w:lineRule="auto"/>
              <w:ind w:left="2" w:right="417"/>
            </w:pPr>
            <w:r>
              <w:rPr>
                <w:spacing w:val="1"/>
              </w:rPr>
              <w:t xml:space="preserve">1.概念、病因和发病机制 </w:t>
            </w:r>
            <w:r>
              <w:rPr>
                <w:spacing w:val="-2"/>
              </w:rPr>
              <w:t>2.基本病理变化</w:t>
            </w:r>
          </w:p>
          <w:p w14:paraId="5AF749A5">
            <w:pPr>
              <w:pStyle w:val="6"/>
              <w:spacing w:before="6" w:line="220" w:lineRule="auto"/>
              <w:ind w:left="2"/>
            </w:pPr>
            <w:r>
              <w:rPr>
                <w:spacing w:val="1"/>
              </w:rPr>
              <w:t>3.心脏病变及病理联系</w:t>
            </w:r>
          </w:p>
        </w:tc>
        <w:tc>
          <w:tcPr>
            <w:tcW w:w="229" w:type="dxa"/>
            <w:vAlign w:val="top"/>
          </w:tcPr>
          <w:p w14:paraId="0834F239">
            <w:pPr>
              <w:pStyle w:val="6"/>
              <w:spacing w:before="60" w:line="227" w:lineRule="auto"/>
              <w:ind w:left="48"/>
              <w:rPr>
                <w:sz w:val="13"/>
                <w:szCs w:val="13"/>
              </w:rPr>
            </w:pPr>
            <w:r>
              <w:rPr>
                <w:sz w:val="13"/>
                <w:szCs w:val="13"/>
              </w:rPr>
              <w:t>√</w:t>
            </w:r>
          </w:p>
        </w:tc>
        <w:tc>
          <w:tcPr>
            <w:tcW w:w="229" w:type="dxa"/>
            <w:vAlign w:val="top"/>
          </w:tcPr>
          <w:p w14:paraId="6A6AD788">
            <w:pPr>
              <w:spacing w:line="220" w:lineRule="exact"/>
              <w:rPr>
                <w:rFonts w:ascii="Arial"/>
                <w:sz w:val="19"/>
              </w:rPr>
            </w:pPr>
          </w:p>
        </w:tc>
        <w:tc>
          <w:tcPr>
            <w:tcW w:w="220" w:type="dxa"/>
            <w:vAlign w:val="top"/>
          </w:tcPr>
          <w:p w14:paraId="7D1787CA">
            <w:pPr>
              <w:spacing w:line="220" w:lineRule="exact"/>
              <w:rPr>
                <w:rFonts w:ascii="Arial"/>
                <w:sz w:val="19"/>
              </w:rPr>
            </w:pPr>
          </w:p>
        </w:tc>
        <w:tc>
          <w:tcPr>
            <w:tcW w:w="234" w:type="dxa"/>
            <w:vAlign w:val="top"/>
          </w:tcPr>
          <w:p w14:paraId="7349FB7F">
            <w:pPr>
              <w:spacing w:line="220" w:lineRule="exact"/>
              <w:rPr>
                <w:rFonts w:ascii="Arial"/>
                <w:sz w:val="19"/>
              </w:rPr>
            </w:pPr>
          </w:p>
        </w:tc>
      </w:tr>
      <w:tr w14:paraId="25F2F2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9" w:hRule="atLeast"/>
        </w:trPr>
        <w:tc>
          <w:tcPr>
            <w:tcW w:w="893" w:type="dxa"/>
            <w:vMerge w:val="continue"/>
            <w:tcBorders>
              <w:top w:val="nil"/>
              <w:bottom w:val="nil"/>
            </w:tcBorders>
            <w:vAlign w:val="top"/>
          </w:tcPr>
          <w:p w14:paraId="0F651F17">
            <w:pPr>
              <w:rPr>
                <w:rFonts w:ascii="Arial"/>
                <w:sz w:val="21"/>
              </w:rPr>
            </w:pPr>
          </w:p>
        </w:tc>
        <w:tc>
          <w:tcPr>
            <w:tcW w:w="2314" w:type="dxa"/>
            <w:vMerge w:val="continue"/>
            <w:tcBorders>
              <w:top w:val="nil"/>
              <w:bottom w:val="nil"/>
            </w:tcBorders>
            <w:vAlign w:val="top"/>
          </w:tcPr>
          <w:p w14:paraId="02916702">
            <w:pPr>
              <w:rPr>
                <w:rFonts w:ascii="Arial"/>
                <w:sz w:val="21"/>
              </w:rPr>
            </w:pPr>
          </w:p>
        </w:tc>
        <w:tc>
          <w:tcPr>
            <w:tcW w:w="229" w:type="dxa"/>
            <w:vAlign w:val="top"/>
          </w:tcPr>
          <w:p w14:paraId="624C89FA">
            <w:pPr>
              <w:spacing w:line="229" w:lineRule="exact"/>
              <w:rPr>
                <w:rFonts w:ascii="Arial"/>
                <w:sz w:val="19"/>
              </w:rPr>
            </w:pPr>
          </w:p>
        </w:tc>
        <w:tc>
          <w:tcPr>
            <w:tcW w:w="229" w:type="dxa"/>
            <w:vAlign w:val="top"/>
          </w:tcPr>
          <w:p w14:paraId="5F53EB43">
            <w:pPr>
              <w:spacing w:line="229" w:lineRule="exact"/>
              <w:rPr>
                <w:rFonts w:ascii="Arial"/>
                <w:sz w:val="19"/>
              </w:rPr>
            </w:pPr>
          </w:p>
        </w:tc>
        <w:tc>
          <w:tcPr>
            <w:tcW w:w="220" w:type="dxa"/>
            <w:vAlign w:val="top"/>
          </w:tcPr>
          <w:p w14:paraId="421537F5">
            <w:pPr>
              <w:pStyle w:val="6"/>
              <w:spacing w:before="84" w:line="157" w:lineRule="auto"/>
              <w:ind w:left="60"/>
            </w:pPr>
            <w:r>
              <w:t>V</w:t>
            </w:r>
          </w:p>
        </w:tc>
        <w:tc>
          <w:tcPr>
            <w:tcW w:w="234" w:type="dxa"/>
            <w:vAlign w:val="top"/>
          </w:tcPr>
          <w:p w14:paraId="2D789471">
            <w:pPr>
              <w:spacing w:line="229" w:lineRule="exact"/>
              <w:rPr>
                <w:rFonts w:ascii="Arial"/>
                <w:sz w:val="19"/>
              </w:rPr>
            </w:pPr>
          </w:p>
        </w:tc>
      </w:tr>
      <w:tr w14:paraId="5DFD74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0" w:hRule="atLeast"/>
        </w:trPr>
        <w:tc>
          <w:tcPr>
            <w:tcW w:w="893" w:type="dxa"/>
            <w:vMerge w:val="continue"/>
            <w:tcBorders>
              <w:top w:val="nil"/>
            </w:tcBorders>
            <w:vAlign w:val="top"/>
          </w:tcPr>
          <w:p w14:paraId="641B6514">
            <w:pPr>
              <w:rPr>
                <w:rFonts w:ascii="Arial"/>
                <w:sz w:val="21"/>
              </w:rPr>
            </w:pPr>
          </w:p>
        </w:tc>
        <w:tc>
          <w:tcPr>
            <w:tcW w:w="2314" w:type="dxa"/>
            <w:vMerge w:val="continue"/>
            <w:tcBorders>
              <w:top w:val="nil"/>
            </w:tcBorders>
            <w:vAlign w:val="top"/>
          </w:tcPr>
          <w:p w14:paraId="75A6C13F">
            <w:pPr>
              <w:rPr>
                <w:rFonts w:ascii="Arial"/>
                <w:sz w:val="21"/>
              </w:rPr>
            </w:pPr>
          </w:p>
        </w:tc>
        <w:tc>
          <w:tcPr>
            <w:tcW w:w="229" w:type="dxa"/>
            <w:vAlign w:val="top"/>
          </w:tcPr>
          <w:p w14:paraId="6836EA57">
            <w:pPr>
              <w:spacing w:line="220" w:lineRule="exact"/>
              <w:rPr>
                <w:rFonts w:ascii="Arial"/>
                <w:sz w:val="19"/>
              </w:rPr>
            </w:pPr>
          </w:p>
        </w:tc>
        <w:tc>
          <w:tcPr>
            <w:tcW w:w="229" w:type="dxa"/>
            <w:vAlign w:val="top"/>
          </w:tcPr>
          <w:p w14:paraId="7CF44323">
            <w:pPr>
              <w:spacing w:line="220" w:lineRule="exact"/>
              <w:rPr>
                <w:rFonts w:ascii="Arial"/>
                <w:sz w:val="19"/>
              </w:rPr>
            </w:pPr>
          </w:p>
        </w:tc>
        <w:tc>
          <w:tcPr>
            <w:tcW w:w="220" w:type="dxa"/>
            <w:vAlign w:val="top"/>
          </w:tcPr>
          <w:p w14:paraId="22727D70">
            <w:pPr>
              <w:pStyle w:val="6"/>
              <w:spacing w:before="61" w:line="225" w:lineRule="auto"/>
              <w:ind w:left="40"/>
              <w:rPr>
                <w:sz w:val="13"/>
                <w:szCs w:val="13"/>
              </w:rPr>
            </w:pPr>
            <w:r>
              <w:rPr>
                <w:sz w:val="13"/>
                <w:szCs w:val="13"/>
              </w:rPr>
              <w:t>√</w:t>
            </w:r>
          </w:p>
        </w:tc>
        <w:tc>
          <w:tcPr>
            <w:tcW w:w="234" w:type="dxa"/>
            <w:vAlign w:val="top"/>
          </w:tcPr>
          <w:p w14:paraId="2CEA9302">
            <w:pPr>
              <w:spacing w:line="220" w:lineRule="exact"/>
              <w:rPr>
                <w:rFonts w:ascii="Arial"/>
                <w:sz w:val="19"/>
              </w:rPr>
            </w:pPr>
          </w:p>
        </w:tc>
      </w:tr>
      <w:tr w14:paraId="3BDDB1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9" w:hRule="atLeast"/>
        </w:trPr>
        <w:tc>
          <w:tcPr>
            <w:tcW w:w="893" w:type="dxa"/>
            <w:vMerge w:val="restart"/>
            <w:tcBorders>
              <w:bottom w:val="nil"/>
            </w:tcBorders>
            <w:vAlign w:val="top"/>
          </w:tcPr>
          <w:p w14:paraId="5B9AA990">
            <w:pPr>
              <w:spacing w:line="392" w:lineRule="auto"/>
              <w:rPr>
                <w:rFonts w:ascii="Arial"/>
                <w:sz w:val="21"/>
              </w:rPr>
            </w:pPr>
          </w:p>
          <w:p w14:paraId="3BA5E535">
            <w:pPr>
              <w:pStyle w:val="6"/>
              <w:spacing w:before="55" w:line="219" w:lineRule="auto"/>
              <w:ind w:left="94"/>
            </w:pPr>
            <w:r>
              <w:rPr>
                <w:spacing w:val="2"/>
              </w:rPr>
              <w:t>高血压病</w:t>
            </w:r>
          </w:p>
        </w:tc>
        <w:tc>
          <w:tcPr>
            <w:tcW w:w="2314" w:type="dxa"/>
            <w:vMerge w:val="restart"/>
            <w:tcBorders>
              <w:bottom w:val="nil"/>
            </w:tcBorders>
            <w:vAlign w:val="top"/>
          </w:tcPr>
          <w:p w14:paraId="165DB3F5">
            <w:pPr>
              <w:pStyle w:val="6"/>
              <w:spacing w:before="120" w:line="246" w:lineRule="auto"/>
              <w:ind w:left="2" w:right="238" w:firstLine="10"/>
            </w:pPr>
            <w:r>
              <w:rPr>
                <w:spacing w:val="1"/>
              </w:rPr>
              <w:t>1.概念、诊断标准、病因和</w:t>
            </w:r>
            <w:r>
              <w:t xml:space="preserve"> </w:t>
            </w:r>
            <w:r>
              <w:rPr>
                <w:spacing w:val="3"/>
              </w:rPr>
              <w:t>发病机制</w:t>
            </w:r>
          </w:p>
          <w:p w14:paraId="38E3308B">
            <w:pPr>
              <w:pStyle w:val="6"/>
              <w:spacing w:before="16" w:line="225" w:lineRule="auto"/>
              <w:ind w:left="2" w:right="245"/>
            </w:pPr>
            <w:r>
              <w:rPr>
                <w:spacing w:val="1"/>
              </w:rPr>
              <w:t>2.病理变化及病理临床联系</w:t>
            </w:r>
            <w:r>
              <w:rPr>
                <w:spacing w:val="2"/>
              </w:rPr>
              <w:t xml:space="preserve"> </w:t>
            </w:r>
            <w:r>
              <w:rPr>
                <w:spacing w:val="4"/>
              </w:rPr>
              <w:t>3.结局</w:t>
            </w:r>
          </w:p>
        </w:tc>
        <w:tc>
          <w:tcPr>
            <w:tcW w:w="229" w:type="dxa"/>
            <w:vAlign w:val="top"/>
          </w:tcPr>
          <w:p w14:paraId="114EE09A">
            <w:pPr>
              <w:rPr>
                <w:rFonts w:ascii="Arial"/>
                <w:sz w:val="21"/>
              </w:rPr>
            </w:pPr>
          </w:p>
        </w:tc>
        <w:tc>
          <w:tcPr>
            <w:tcW w:w="229" w:type="dxa"/>
            <w:vAlign w:val="top"/>
          </w:tcPr>
          <w:p w14:paraId="71738CA3">
            <w:pPr>
              <w:pStyle w:val="6"/>
              <w:spacing w:before="161" w:line="238" w:lineRule="auto"/>
              <w:ind w:left="48"/>
              <w:rPr>
                <w:sz w:val="13"/>
                <w:szCs w:val="13"/>
              </w:rPr>
            </w:pPr>
            <w:r>
              <w:rPr>
                <w:sz w:val="13"/>
                <w:szCs w:val="13"/>
              </w:rPr>
              <w:t>√</w:t>
            </w:r>
          </w:p>
        </w:tc>
        <w:tc>
          <w:tcPr>
            <w:tcW w:w="220" w:type="dxa"/>
            <w:vAlign w:val="top"/>
          </w:tcPr>
          <w:p w14:paraId="642A1E32">
            <w:pPr>
              <w:rPr>
                <w:rFonts w:ascii="Arial"/>
                <w:sz w:val="21"/>
              </w:rPr>
            </w:pPr>
          </w:p>
        </w:tc>
        <w:tc>
          <w:tcPr>
            <w:tcW w:w="234" w:type="dxa"/>
            <w:vAlign w:val="top"/>
          </w:tcPr>
          <w:p w14:paraId="5CAF3574">
            <w:pPr>
              <w:rPr>
                <w:rFonts w:ascii="Arial"/>
                <w:sz w:val="21"/>
              </w:rPr>
            </w:pPr>
          </w:p>
        </w:tc>
      </w:tr>
      <w:tr w14:paraId="7C0DEE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893" w:type="dxa"/>
            <w:vMerge w:val="continue"/>
            <w:tcBorders>
              <w:top w:val="nil"/>
              <w:bottom w:val="nil"/>
            </w:tcBorders>
            <w:vAlign w:val="top"/>
          </w:tcPr>
          <w:p w14:paraId="0733093F">
            <w:pPr>
              <w:rPr>
                <w:rFonts w:ascii="Arial"/>
                <w:sz w:val="21"/>
              </w:rPr>
            </w:pPr>
          </w:p>
        </w:tc>
        <w:tc>
          <w:tcPr>
            <w:tcW w:w="2314" w:type="dxa"/>
            <w:vMerge w:val="continue"/>
            <w:tcBorders>
              <w:top w:val="nil"/>
              <w:bottom w:val="nil"/>
            </w:tcBorders>
            <w:vAlign w:val="top"/>
          </w:tcPr>
          <w:p w14:paraId="2BA3E1C7">
            <w:pPr>
              <w:rPr>
                <w:rFonts w:ascii="Arial"/>
                <w:sz w:val="21"/>
              </w:rPr>
            </w:pPr>
          </w:p>
        </w:tc>
        <w:tc>
          <w:tcPr>
            <w:tcW w:w="229" w:type="dxa"/>
            <w:vAlign w:val="top"/>
          </w:tcPr>
          <w:p w14:paraId="7ACF5528">
            <w:pPr>
              <w:rPr>
                <w:rFonts w:ascii="Arial"/>
                <w:sz w:val="21"/>
              </w:rPr>
            </w:pPr>
          </w:p>
        </w:tc>
        <w:tc>
          <w:tcPr>
            <w:tcW w:w="229" w:type="dxa"/>
            <w:vAlign w:val="top"/>
          </w:tcPr>
          <w:p w14:paraId="087D6C29">
            <w:pPr>
              <w:rPr>
                <w:rFonts w:ascii="Arial"/>
                <w:sz w:val="21"/>
              </w:rPr>
            </w:pPr>
          </w:p>
        </w:tc>
        <w:tc>
          <w:tcPr>
            <w:tcW w:w="220" w:type="dxa"/>
            <w:vAlign w:val="top"/>
          </w:tcPr>
          <w:p w14:paraId="6E09243E">
            <w:pPr>
              <w:pStyle w:val="6"/>
              <w:spacing w:before="102" w:line="238" w:lineRule="auto"/>
              <w:ind w:left="40"/>
              <w:rPr>
                <w:sz w:val="13"/>
                <w:szCs w:val="13"/>
              </w:rPr>
            </w:pPr>
            <w:r>
              <w:rPr>
                <w:sz w:val="13"/>
                <w:szCs w:val="13"/>
              </w:rPr>
              <w:t>√</w:t>
            </w:r>
          </w:p>
        </w:tc>
        <w:tc>
          <w:tcPr>
            <w:tcW w:w="234" w:type="dxa"/>
            <w:vAlign w:val="top"/>
          </w:tcPr>
          <w:p w14:paraId="158037CE">
            <w:pPr>
              <w:rPr>
                <w:rFonts w:ascii="Arial"/>
                <w:sz w:val="21"/>
              </w:rPr>
            </w:pPr>
          </w:p>
        </w:tc>
      </w:tr>
      <w:tr w14:paraId="49DCCB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893" w:type="dxa"/>
            <w:vMerge w:val="continue"/>
            <w:tcBorders>
              <w:top w:val="nil"/>
            </w:tcBorders>
            <w:vAlign w:val="top"/>
          </w:tcPr>
          <w:p w14:paraId="0563D90A">
            <w:pPr>
              <w:rPr>
                <w:rFonts w:ascii="Arial"/>
                <w:sz w:val="21"/>
              </w:rPr>
            </w:pPr>
          </w:p>
        </w:tc>
        <w:tc>
          <w:tcPr>
            <w:tcW w:w="2314" w:type="dxa"/>
            <w:vMerge w:val="continue"/>
            <w:tcBorders>
              <w:top w:val="nil"/>
            </w:tcBorders>
            <w:vAlign w:val="top"/>
          </w:tcPr>
          <w:p w14:paraId="728FF12D">
            <w:pPr>
              <w:rPr>
                <w:rFonts w:ascii="Arial"/>
                <w:sz w:val="21"/>
              </w:rPr>
            </w:pPr>
          </w:p>
        </w:tc>
        <w:tc>
          <w:tcPr>
            <w:tcW w:w="229" w:type="dxa"/>
            <w:vAlign w:val="top"/>
          </w:tcPr>
          <w:p w14:paraId="53933B82">
            <w:pPr>
              <w:pStyle w:val="6"/>
              <w:spacing w:before="103" w:line="238" w:lineRule="auto"/>
              <w:ind w:left="48"/>
              <w:rPr>
                <w:sz w:val="13"/>
                <w:szCs w:val="13"/>
              </w:rPr>
            </w:pPr>
            <w:r>
              <w:rPr>
                <w:sz w:val="13"/>
                <w:szCs w:val="13"/>
              </w:rPr>
              <w:t>√</w:t>
            </w:r>
          </w:p>
        </w:tc>
        <w:tc>
          <w:tcPr>
            <w:tcW w:w="229" w:type="dxa"/>
            <w:vAlign w:val="top"/>
          </w:tcPr>
          <w:p w14:paraId="1BBAF202">
            <w:pPr>
              <w:rPr>
                <w:rFonts w:ascii="Arial"/>
                <w:sz w:val="21"/>
              </w:rPr>
            </w:pPr>
          </w:p>
        </w:tc>
        <w:tc>
          <w:tcPr>
            <w:tcW w:w="220" w:type="dxa"/>
            <w:vAlign w:val="top"/>
          </w:tcPr>
          <w:p w14:paraId="5F4B14FC">
            <w:pPr>
              <w:rPr>
                <w:rFonts w:ascii="Arial"/>
                <w:sz w:val="21"/>
              </w:rPr>
            </w:pPr>
          </w:p>
        </w:tc>
        <w:tc>
          <w:tcPr>
            <w:tcW w:w="234" w:type="dxa"/>
            <w:vAlign w:val="top"/>
          </w:tcPr>
          <w:p w14:paraId="6E763F33">
            <w:pPr>
              <w:rPr>
                <w:rFonts w:ascii="Arial"/>
                <w:sz w:val="21"/>
              </w:rPr>
            </w:pPr>
          </w:p>
        </w:tc>
      </w:tr>
      <w:tr w14:paraId="76CEB5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9" w:hRule="atLeast"/>
        </w:trPr>
        <w:tc>
          <w:tcPr>
            <w:tcW w:w="893" w:type="dxa"/>
            <w:vMerge w:val="restart"/>
            <w:tcBorders>
              <w:bottom w:val="nil"/>
            </w:tcBorders>
            <w:vAlign w:val="top"/>
          </w:tcPr>
          <w:p w14:paraId="2F1DC047">
            <w:pPr>
              <w:pStyle w:val="6"/>
              <w:spacing w:before="263" w:line="230" w:lineRule="auto"/>
              <w:ind w:left="264" w:right="195" w:hanging="79"/>
            </w:pPr>
            <w:r>
              <w:rPr>
                <w:spacing w:val="-3"/>
              </w:rPr>
              <w:t>动脉硬</w:t>
            </w:r>
            <w:r>
              <w:t xml:space="preserve"> </w:t>
            </w:r>
            <w:r>
              <w:rPr>
                <w:spacing w:val="-2"/>
              </w:rPr>
              <w:t>化症</w:t>
            </w:r>
          </w:p>
        </w:tc>
        <w:tc>
          <w:tcPr>
            <w:tcW w:w="2314" w:type="dxa"/>
            <w:vMerge w:val="restart"/>
            <w:tcBorders>
              <w:bottom w:val="nil"/>
            </w:tcBorders>
            <w:vAlign w:val="top"/>
          </w:tcPr>
          <w:p w14:paraId="3C3FBE5A">
            <w:pPr>
              <w:pStyle w:val="6"/>
              <w:spacing w:before="142" w:line="239" w:lineRule="auto"/>
              <w:ind w:left="2" w:right="417"/>
            </w:pPr>
            <w:r>
              <w:rPr>
                <w:spacing w:val="1"/>
              </w:rPr>
              <w:t xml:space="preserve">1.概念、病因和发病机制 </w:t>
            </w:r>
            <w:r>
              <w:rPr>
                <w:spacing w:val="-2"/>
              </w:rPr>
              <w:t>2.基本病理变化</w:t>
            </w:r>
          </w:p>
          <w:p w14:paraId="1F9BA518">
            <w:pPr>
              <w:pStyle w:val="6"/>
              <w:spacing w:line="219" w:lineRule="auto"/>
              <w:ind w:left="2"/>
            </w:pPr>
            <w:r>
              <w:t>3.冠状动脉硬化及冠心病</w:t>
            </w:r>
          </w:p>
        </w:tc>
        <w:tc>
          <w:tcPr>
            <w:tcW w:w="229" w:type="dxa"/>
            <w:vAlign w:val="top"/>
          </w:tcPr>
          <w:p w14:paraId="500F703C">
            <w:pPr>
              <w:pStyle w:val="6"/>
              <w:spacing w:before="93" w:line="238" w:lineRule="auto"/>
              <w:ind w:left="48"/>
              <w:rPr>
                <w:sz w:val="12"/>
                <w:szCs w:val="12"/>
              </w:rPr>
            </w:pPr>
            <w:r>
              <w:rPr>
                <w:sz w:val="12"/>
                <w:szCs w:val="12"/>
              </w:rPr>
              <w:t>√</w:t>
            </w:r>
          </w:p>
        </w:tc>
        <w:tc>
          <w:tcPr>
            <w:tcW w:w="229" w:type="dxa"/>
            <w:vAlign w:val="top"/>
          </w:tcPr>
          <w:p w14:paraId="46266D9E">
            <w:pPr>
              <w:rPr>
                <w:rFonts w:ascii="Arial"/>
                <w:sz w:val="21"/>
              </w:rPr>
            </w:pPr>
          </w:p>
        </w:tc>
        <w:tc>
          <w:tcPr>
            <w:tcW w:w="220" w:type="dxa"/>
            <w:vAlign w:val="top"/>
          </w:tcPr>
          <w:p w14:paraId="475EEE4E">
            <w:pPr>
              <w:rPr>
                <w:rFonts w:ascii="Arial"/>
                <w:sz w:val="21"/>
              </w:rPr>
            </w:pPr>
          </w:p>
        </w:tc>
        <w:tc>
          <w:tcPr>
            <w:tcW w:w="234" w:type="dxa"/>
            <w:vAlign w:val="top"/>
          </w:tcPr>
          <w:p w14:paraId="583C65A7">
            <w:pPr>
              <w:rPr>
                <w:rFonts w:ascii="Arial"/>
                <w:sz w:val="21"/>
              </w:rPr>
            </w:pPr>
          </w:p>
        </w:tc>
      </w:tr>
      <w:tr w14:paraId="126466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9" w:hRule="atLeast"/>
        </w:trPr>
        <w:tc>
          <w:tcPr>
            <w:tcW w:w="893" w:type="dxa"/>
            <w:vMerge w:val="continue"/>
            <w:tcBorders>
              <w:top w:val="nil"/>
              <w:bottom w:val="nil"/>
            </w:tcBorders>
            <w:vAlign w:val="top"/>
          </w:tcPr>
          <w:p w14:paraId="614A49DC">
            <w:pPr>
              <w:rPr>
                <w:rFonts w:ascii="Arial"/>
                <w:sz w:val="21"/>
              </w:rPr>
            </w:pPr>
          </w:p>
        </w:tc>
        <w:tc>
          <w:tcPr>
            <w:tcW w:w="2314" w:type="dxa"/>
            <w:vMerge w:val="continue"/>
            <w:tcBorders>
              <w:top w:val="nil"/>
              <w:bottom w:val="nil"/>
            </w:tcBorders>
            <w:vAlign w:val="top"/>
          </w:tcPr>
          <w:p w14:paraId="712B8C5E">
            <w:pPr>
              <w:rPr>
                <w:rFonts w:ascii="Arial"/>
                <w:sz w:val="21"/>
              </w:rPr>
            </w:pPr>
          </w:p>
        </w:tc>
        <w:tc>
          <w:tcPr>
            <w:tcW w:w="229" w:type="dxa"/>
            <w:vAlign w:val="top"/>
          </w:tcPr>
          <w:p w14:paraId="4871598E">
            <w:pPr>
              <w:rPr>
                <w:rFonts w:ascii="Arial"/>
                <w:sz w:val="21"/>
              </w:rPr>
            </w:pPr>
          </w:p>
        </w:tc>
        <w:tc>
          <w:tcPr>
            <w:tcW w:w="229" w:type="dxa"/>
            <w:vAlign w:val="top"/>
          </w:tcPr>
          <w:p w14:paraId="21A47FB2">
            <w:pPr>
              <w:spacing w:before="117" w:line="99" w:lineRule="exact"/>
              <w:ind w:firstLine="55"/>
            </w:pPr>
            <w:r>
              <w:rPr>
                <w:position w:val="-1"/>
              </w:rPr>
              <w:drawing>
                <wp:inline distT="0" distB="0" distL="0" distR="0">
                  <wp:extent cx="60960" cy="62865"/>
                  <wp:effectExtent l="0" t="0" r="0" b="0"/>
                  <wp:docPr id="360" name="IM 360"/>
                  <wp:cNvGraphicFramePr/>
                  <a:graphic xmlns:a="http://schemas.openxmlformats.org/drawingml/2006/main">
                    <a:graphicData uri="http://schemas.openxmlformats.org/drawingml/2006/picture">
                      <pic:pic xmlns:pic="http://schemas.openxmlformats.org/drawingml/2006/picture">
                        <pic:nvPicPr>
                          <pic:cNvPr id="360" name="IM 360"/>
                          <pic:cNvPicPr/>
                        </pic:nvPicPr>
                        <pic:blipFill>
                          <a:blip r:embed="rId344"/>
                          <a:stretch>
                            <a:fillRect/>
                          </a:stretch>
                        </pic:blipFill>
                        <pic:spPr>
                          <a:xfrm>
                            <a:off x="0" y="0"/>
                            <a:ext cx="61052" cy="63473"/>
                          </a:xfrm>
                          <a:prstGeom prst="rect">
                            <a:avLst/>
                          </a:prstGeom>
                        </pic:spPr>
                      </pic:pic>
                    </a:graphicData>
                  </a:graphic>
                </wp:inline>
              </w:drawing>
            </w:r>
          </w:p>
        </w:tc>
        <w:tc>
          <w:tcPr>
            <w:tcW w:w="220" w:type="dxa"/>
            <w:vAlign w:val="top"/>
          </w:tcPr>
          <w:p w14:paraId="483922D5">
            <w:pPr>
              <w:rPr>
                <w:rFonts w:ascii="Arial"/>
                <w:sz w:val="21"/>
              </w:rPr>
            </w:pPr>
          </w:p>
        </w:tc>
        <w:tc>
          <w:tcPr>
            <w:tcW w:w="234" w:type="dxa"/>
            <w:vAlign w:val="top"/>
          </w:tcPr>
          <w:p w14:paraId="185E0447">
            <w:pPr>
              <w:rPr>
                <w:rFonts w:ascii="Arial"/>
                <w:sz w:val="21"/>
              </w:rPr>
            </w:pPr>
          </w:p>
        </w:tc>
      </w:tr>
      <w:tr w14:paraId="663FAE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9" w:hRule="atLeast"/>
        </w:trPr>
        <w:tc>
          <w:tcPr>
            <w:tcW w:w="893" w:type="dxa"/>
            <w:vMerge w:val="continue"/>
            <w:tcBorders>
              <w:top w:val="nil"/>
            </w:tcBorders>
            <w:vAlign w:val="top"/>
          </w:tcPr>
          <w:p w14:paraId="67749042">
            <w:pPr>
              <w:rPr>
                <w:rFonts w:ascii="Arial"/>
                <w:sz w:val="21"/>
              </w:rPr>
            </w:pPr>
          </w:p>
        </w:tc>
        <w:tc>
          <w:tcPr>
            <w:tcW w:w="2314" w:type="dxa"/>
            <w:vMerge w:val="continue"/>
            <w:tcBorders>
              <w:top w:val="nil"/>
            </w:tcBorders>
            <w:vAlign w:val="top"/>
          </w:tcPr>
          <w:p w14:paraId="4DA83281">
            <w:pPr>
              <w:rPr>
                <w:rFonts w:ascii="Arial"/>
                <w:sz w:val="21"/>
              </w:rPr>
            </w:pPr>
          </w:p>
        </w:tc>
        <w:tc>
          <w:tcPr>
            <w:tcW w:w="229" w:type="dxa"/>
            <w:vAlign w:val="top"/>
          </w:tcPr>
          <w:p w14:paraId="302898DF">
            <w:pPr>
              <w:rPr>
                <w:rFonts w:ascii="Arial"/>
                <w:sz w:val="21"/>
              </w:rPr>
            </w:pPr>
          </w:p>
        </w:tc>
        <w:tc>
          <w:tcPr>
            <w:tcW w:w="229" w:type="dxa"/>
            <w:vAlign w:val="top"/>
          </w:tcPr>
          <w:p w14:paraId="47C8A157">
            <w:pPr>
              <w:rPr>
                <w:rFonts w:ascii="Arial"/>
                <w:sz w:val="21"/>
              </w:rPr>
            </w:pPr>
          </w:p>
        </w:tc>
        <w:tc>
          <w:tcPr>
            <w:tcW w:w="220" w:type="dxa"/>
            <w:vAlign w:val="top"/>
          </w:tcPr>
          <w:p w14:paraId="18DB2CAB">
            <w:pPr>
              <w:rPr>
                <w:rFonts w:ascii="Arial"/>
                <w:sz w:val="21"/>
              </w:rPr>
            </w:pPr>
          </w:p>
        </w:tc>
        <w:tc>
          <w:tcPr>
            <w:tcW w:w="234" w:type="dxa"/>
            <w:vAlign w:val="top"/>
          </w:tcPr>
          <w:p w14:paraId="38FC0C1D">
            <w:pPr>
              <w:pStyle w:val="6"/>
              <w:spacing w:before="96" w:line="238" w:lineRule="auto"/>
              <w:ind w:left="50"/>
              <w:rPr>
                <w:sz w:val="13"/>
                <w:szCs w:val="13"/>
              </w:rPr>
            </w:pPr>
            <w:r>
              <w:rPr>
                <w:sz w:val="13"/>
                <w:szCs w:val="13"/>
              </w:rPr>
              <w:t>√</w:t>
            </w:r>
          </w:p>
        </w:tc>
      </w:tr>
      <w:tr w14:paraId="7731EB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0" w:hRule="atLeast"/>
        </w:trPr>
        <w:tc>
          <w:tcPr>
            <w:tcW w:w="893" w:type="dxa"/>
            <w:vMerge w:val="restart"/>
            <w:tcBorders>
              <w:bottom w:val="nil"/>
            </w:tcBorders>
            <w:vAlign w:val="top"/>
          </w:tcPr>
          <w:p w14:paraId="5AF6E27E">
            <w:pPr>
              <w:spacing w:line="427" w:lineRule="auto"/>
              <w:rPr>
                <w:rFonts w:ascii="Arial"/>
                <w:sz w:val="21"/>
              </w:rPr>
            </w:pPr>
          </w:p>
          <w:p w14:paraId="40925566">
            <w:pPr>
              <w:pStyle w:val="6"/>
              <w:spacing w:before="55" w:line="219" w:lineRule="auto"/>
              <w:ind w:left="94"/>
            </w:pPr>
            <w:r>
              <w:rPr>
                <w:spacing w:val="2"/>
              </w:rPr>
              <w:t>心力衰竭</w:t>
            </w:r>
          </w:p>
        </w:tc>
        <w:tc>
          <w:tcPr>
            <w:tcW w:w="2314" w:type="dxa"/>
            <w:vMerge w:val="restart"/>
            <w:tcBorders>
              <w:bottom w:val="nil"/>
            </w:tcBorders>
            <w:vAlign w:val="top"/>
          </w:tcPr>
          <w:p w14:paraId="3348DA00">
            <w:pPr>
              <w:pStyle w:val="6"/>
              <w:spacing w:before="55" w:line="223" w:lineRule="auto"/>
              <w:ind w:left="2" w:right="764"/>
            </w:pPr>
            <w:r>
              <w:t>1.概念、病因和分类</w:t>
            </w:r>
            <w:r>
              <w:rPr>
                <w:spacing w:val="6"/>
              </w:rPr>
              <w:t xml:space="preserve"> </w:t>
            </w:r>
            <w:r>
              <w:rPr>
                <w:spacing w:val="-1"/>
              </w:rPr>
              <w:t>2.机体的代偿反应</w:t>
            </w:r>
          </w:p>
          <w:p w14:paraId="1283669F">
            <w:pPr>
              <w:pStyle w:val="6"/>
              <w:spacing w:before="38" w:line="217" w:lineRule="auto"/>
              <w:ind w:left="2"/>
            </w:pPr>
            <w:r>
              <w:rPr>
                <w:spacing w:val="2"/>
              </w:rPr>
              <w:t>3.发病机制</w:t>
            </w:r>
          </w:p>
          <w:p w14:paraId="5C685EE2">
            <w:pPr>
              <w:pStyle w:val="6"/>
              <w:spacing w:before="1" w:line="221" w:lineRule="auto"/>
              <w:ind w:left="2" w:right="947"/>
            </w:pPr>
            <w:r>
              <w:rPr>
                <w:spacing w:val="-1"/>
              </w:rPr>
              <w:t>4.机体的主要变化</w:t>
            </w:r>
            <w:r>
              <w:rPr>
                <w:spacing w:val="2"/>
              </w:rPr>
              <w:t xml:space="preserve"> 5.防治原则</w:t>
            </w:r>
          </w:p>
        </w:tc>
        <w:tc>
          <w:tcPr>
            <w:tcW w:w="229" w:type="dxa"/>
            <w:vAlign w:val="top"/>
          </w:tcPr>
          <w:p w14:paraId="7B4D537C">
            <w:pPr>
              <w:spacing w:line="200" w:lineRule="exact"/>
              <w:rPr>
                <w:rFonts w:ascii="Arial"/>
                <w:sz w:val="17"/>
              </w:rPr>
            </w:pPr>
          </w:p>
        </w:tc>
        <w:tc>
          <w:tcPr>
            <w:tcW w:w="229" w:type="dxa"/>
            <w:vAlign w:val="top"/>
          </w:tcPr>
          <w:p w14:paraId="7A26A3FA">
            <w:pPr>
              <w:spacing w:line="200" w:lineRule="exact"/>
              <w:rPr>
                <w:rFonts w:ascii="Arial"/>
                <w:sz w:val="17"/>
              </w:rPr>
            </w:pPr>
          </w:p>
        </w:tc>
        <w:tc>
          <w:tcPr>
            <w:tcW w:w="220" w:type="dxa"/>
            <w:vAlign w:val="top"/>
          </w:tcPr>
          <w:p w14:paraId="4A45BD1A">
            <w:pPr>
              <w:spacing w:line="200" w:lineRule="exact"/>
              <w:rPr>
                <w:rFonts w:ascii="Arial"/>
                <w:sz w:val="17"/>
              </w:rPr>
            </w:pPr>
          </w:p>
        </w:tc>
        <w:tc>
          <w:tcPr>
            <w:tcW w:w="234" w:type="dxa"/>
            <w:vAlign w:val="top"/>
          </w:tcPr>
          <w:p w14:paraId="6A512949">
            <w:pPr>
              <w:spacing w:line="200" w:lineRule="exact"/>
              <w:rPr>
                <w:rFonts w:ascii="Arial"/>
                <w:sz w:val="17"/>
              </w:rPr>
            </w:pPr>
          </w:p>
        </w:tc>
      </w:tr>
      <w:tr w14:paraId="7C3090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9" w:hRule="atLeast"/>
        </w:trPr>
        <w:tc>
          <w:tcPr>
            <w:tcW w:w="893" w:type="dxa"/>
            <w:vMerge w:val="continue"/>
            <w:tcBorders>
              <w:top w:val="nil"/>
              <w:bottom w:val="nil"/>
            </w:tcBorders>
            <w:vAlign w:val="top"/>
          </w:tcPr>
          <w:p w14:paraId="27B47722">
            <w:pPr>
              <w:rPr>
                <w:rFonts w:ascii="Arial"/>
                <w:sz w:val="21"/>
              </w:rPr>
            </w:pPr>
          </w:p>
        </w:tc>
        <w:tc>
          <w:tcPr>
            <w:tcW w:w="2314" w:type="dxa"/>
            <w:vMerge w:val="continue"/>
            <w:tcBorders>
              <w:top w:val="nil"/>
              <w:bottom w:val="nil"/>
            </w:tcBorders>
            <w:vAlign w:val="top"/>
          </w:tcPr>
          <w:p w14:paraId="2A1695F3">
            <w:pPr>
              <w:rPr>
                <w:rFonts w:ascii="Arial"/>
                <w:sz w:val="21"/>
              </w:rPr>
            </w:pPr>
          </w:p>
        </w:tc>
        <w:tc>
          <w:tcPr>
            <w:tcW w:w="229" w:type="dxa"/>
            <w:vAlign w:val="top"/>
          </w:tcPr>
          <w:p w14:paraId="50BCEB2D">
            <w:pPr>
              <w:pStyle w:val="6"/>
              <w:spacing w:before="67" w:line="201" w:lineRule="auto"/>
              <w:ind w:left="48"/>
              <w:rPr>
                <w:sz w:val="13"/>
                <w:szCs w:val="13"/>
              </w:rPr>
            </w:pPr>
            <w:r>
              <w:rPr>
                <w:sz w:val="13"/>
                <w:szCs w:val="13"/>
              </w:rPr>
              <w:t>√</w:t>
            </w:r>
          </w:p>
        </w:tc>
        <w:tc>
          <w:tcPr>
            <w:tcW w:w="229" w:type="dxa"/>
            <w:vAlign w:val="top"/>
          </w:tcPr>
          <w:p w14:paraId="23F58A97">
            <w:pPr>
              <w:spacing w:line="209" w:lineRule="exact"/>
              <w:rPr>
                <w:rFonts w:ascii="Arial"/>
                <w:sz w:val="18"/>
              </w:rPr>
            </w:pPr>
          </w:p>
        </w:tc>
        <w:tc>
          <w:tcPr>
            <w:tcW w:w="220" w:type="dxa"/>
            <w:vAlign w:val="top"/>
          </w:tcPr>
          <w:p w14:paraId="2658B1D0">
            <w:pPr>
              <w:spacing w:line="209" w:lineRule="exact"/>
              <w:rPr>
                <w:rFonts w:ascii="Arial"/>
                <w:sz w:val="18"/>
              </w:rPr>
            </w:pPr>
          </w:p>
        </w:tc>
        <w:tc>
          <w:tcPr>
            <w:tcW w:w="234" w:type="dxa"/>
            <w:vAlign w:val="top"/>
          </w:tcPr>
          <w:p w14:paraId="69EF04F1">
            <w:pPr>
              <w:spacing w:line="209" w:lineRule="exact"/>
              <w:rPr>
                <w:rFonts w:ascii="Arial"/>
                <w:sz w:val="18"/>
              </w:rPr>
            </w:pPr>
          </w:p>
        </w:tc>
      </w:tr>
      <w:tr w14:paraId="6F026A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0" w:hRule="atLeast"/>
        </w:trPr>
        <w:tc>
          <w:tcPr>
            <w:tcW w:w="893" w:type="dxa"/>
            <w:vMerge w:val="continue"/>
            <w:tcBorders>
              <w:top w:val="nil"/>
              <w:bottom w:val="nil"/>
            </w:tcBorders>
            <w:vAlign w:val="top"/>
          </w:tcPr>
          <w:p w14:paraId="7A63D8FE">
            <w:pPr>
              <w:rPr>
                <w:rFonts w:ascii="Arial"/>
                <w:sz w:val="21"/>
              </w:rPr>
            </w:pPr>
          </w:p>
        </w:tc>
        <w:tc>
          <w:tcPr>
            <w:tcW w:w="2314" w:type="dxa"/>
            <w:vMerge w:val="continue"/>
            <w:tcBorders>
              <w:top w:val="nil"/>
              <w:bottom w:val="nil"/>
            </w:tcBorders>
            <w:vAlign w:val="top"/>
          </w:tcPr>
          <w:p w14:paraId="379341C5">
            <w:pPr>
              <w:rPr>
                <w:rFonts w:ascii="Arial"/>
                <w:sz w:val="21"/>
              </w:rPr>
            </w:pPr>
          </w:p>
        </w:tc>
        <w:tc>
          <w:tcPr>
            <w:tcW w:w="229" w:type="dxa"/>
            <w:vAlign w:val="top"/>
          </w:tcPr>
          <w:p w14:paraId="277C2E72">
            <w:pPr>
              <w:spacing w:line="210" w:lineRule="exact"/>
              <w:rPr>
                <w:rFonts w:ascii="Arial"/>
                <w:sz w:val="18"/>
              </w:rPr>
            </w:pPr>
          </w:p>
        </w:tc>
        <w:tc>
          <w:tcPr>
            <w:tcW w:w="229" w:type="dxa"/>
            <w:vAlign w:val="top"/>
          </w:tcPr>
          <w:p w14:paraId="05CD53E7">
            <w:pPr>
              <w:pStyle w:val="6"/>
              <w:spacing w:before="68" w:line="201" w:lineRule="auto"/>
              <w:ind w:left="48"/>
              <w:rPr>
                <w:sz w:val="13"/>
                <w:szCs w:val="13"/>
              </w:rPr>
            </w:pPr>
            <w:r>
              <w:rPr>
                <w:sz w:val="13"/>
                <w:szCs w:val="13"/>
              </w:rPr>
              <w:t>√</w:t>
            </w:r>
          </w:p>
        </w:tc>
        <w:tc>
          <w:tcPr>
            <w:tcW w:w="220" w:type="dxa"/>
            <w:vAlign w:val="top"/>
          </w:tcPr>
          <w:p w14:paraId="4E19D8AA">
            <w:pPr>
              <w:spacing w:line="210" w:lineRule="exact"/>
              <w:rPr>
                <w:rFonts w:ascii="Arial"/>
                <w:sz w:val="18"/>
              </w:rPr>
            </w:pPr>
          </w:p>
        </w:tc>
        <w:tc>
          <w:tcPr>
            <w:tcW w:w="234" w:type="dxa"/>
            <w:vAlign w:val="top"/>
          </w:tcPr>
          <w:p w14:paraId="0B3E7031">
            <w:pPr>
              <w:spacing w:line="210" w:lineRule="exact"/>
              <w:rPr>
                <w:rFonts w:ascii="Arial"/>
                <w:sz w:val="18"/>
              </w:rPr>
            </w:pPr>
          </w:p>
        </w:tc>
      </w:tr>
      <w:tr w14:paraId="5C96CA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0" w:hRule="atLeast"/>
        </w:trPr>
        <w:tc>
          <w:tcPr>
            <w:tcW w:w="893" w:type="dxa"/>
            <w:vMerge w:val="continue"/>
            <w:tcBorders>
              <w:top w:val="nil"/>
              <w:bottom w:val="nil"/>
            </w:tcBorders>
            <w:vAlign w:val="top"/>
          </w:tcPr>
          <w:p w14:paraId="184FB6E9">
            <w:pPr>
              <w:rPr>
                <w:rFonts w:ascii="Arial"/>
                <w:sz w:val="21"/>
              </w:rPr>
            </w:pPr>
          </w:p>
        </w:tc>
        <w:tc>
          <w:tcPr>
            <w:tcW w:w="2314" w:type="dxa"/>
            <w:vMerge w:val="continue"/>
            <w:tcBorders>
              <w:top w:val="nil"/>
              <w:bottom w:val="nil"/>
            </w:tcBorders>
            <w:vAlign w:val="top"/>
          </w:tcPr>
          <w:p w14:paraId="79452DD8">
            <w:pPr>
              <w:rPr>
                <w:rFonts w:ascii="Arial"/>
                <w:sz w:val="21"/>
              </w:rPr>
            </w:pPr>
          </w:p>
        </w:tc>
        <w:tc>
          <w:tcPr>
            <w:tcW w:w="229" w:type="dxa"/>
            <w:vAlign w:val="top"/>
          </w:tcPr>
          <w:p w14:paraId="34FE8892">
            <w:pPr>
              <w:spacing w:line="200" w:lineRule="exact"/>
              <w:rPr>
                <w:rFonts w:ascii="Arial"/>
                <w:sz w:val="17"/>
              </w:rPr>
            </w:pPr>
          </w:p>
        </w:tc>
        <w:tc>
          <w:tcPr>
            <w:tcW w:w="229" w:type="dxa"/>
            <w:vAlign w:val="top"/>
          </w:tcPr>
          <w:p w14:paraId="2EFEF44C">
            <w:pPr>
              <w:spacing w:line="200" w:lineRule="exact"/>
              <w:rPr>
                <w:rFonts w:ascii="Arial"/>
                <w:sz w:val="17"/>
              </w:rPr>
            </w:pPr>
          </w:p>
        </w:tc>
        <w:tc>
          <w:tcPr>
            <w:tcW w:w="220" w:type="dxa"/>
            <w:vAlign w:val="top"/>
          </w:tcPr>
          <w:p w14:paraId="4BEB7048">
            <w:pPr>
              <w:pStyle w:val="6"/>
              <w:spacing w:before="58" w:line="201" w:lineRule="auto"/>
              <w:ind w:left="20"/>
              <w:rPr>
                <w:sz w:val="13"/>
                <w:szCs w:val="13"/>
              </w:rPr>
            </w:pPr>
            <w:r>
              <w:rPr>
                <w:sz w:val="13"/>
                <w:szCs w:val="13"/>
              </w:rPr>
              <w:t>√</w:t>
            </w:r>
          </w:p>
        </w:tc>
        <w:tc>
          <w:tcPr>
            <w:tcW w:w="234" w:type="dxa"/>
            <w:vAlign w:val="top"/>
          </w:tcPr>
          <w:p w14:paraId="0BEA04CE">
            <w:pPr>
              <w:spacing w:line="200" w:lineRule="exact"/>
              <w:rPr>
                <w:rFonts w:ascii="Arial"/>
                <w:sz w:val="17"/>
              </w:rPr>
            </w:pPr>
          </w:p>
        </w:tc>
      </w:tr>
      <w:tr w14:paraId="422844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5" w:hRule="atLeast"/>
        </w:trPr>
        <w:tc>
          <w:tcPr>
            <w:tcW w:w="893" w:type="dxa"/>
            <w:vMerge w:val="continue"/>
            <w:tcBorders>
              <w:top w:val="nil"/>
            </w:tcBorders>
            <w:vAlign w:val="top"/>
          </w:tcPr>
          <w:p w14:paraId="3B32A709">
            <w:pPr>
              <w:rPr>
                <w:rFonts w:ascii="Arial"/>
                <w:sz w:val="21"/>
              </w:rPr>
            </w:pPr>
          </w:p>
        </w:tc>
        <w:tc>
          <w:tcPr>
            <w:tcW w:w="2314" w:type="dxa"/>
            <w:vMerge w:val="continue"/>
            <w:tcBorders>
              <w:top w:val="nil"/>
            </w:tcBorders>
            <w:vAlign w:val="top"/>
          </w:tcPr>
          <w:p w14:paraId="34D6C835">
            <w:pPr>
              <w:rPr>
                <w:rFonts w:ascii="Arial"/>
                <w:sz w:val="21"/>
              </w:rPr>
            </w:pPr>
          </w:p>
        </w:tc>
        <w:tc>
          <w:tcPr>
            <w:tcW w:w="229" w:type="dxa"/>
            <w:vAlign w:val="top"/>
          </w:tcPr>
          <w:p w14:paraId="51B4254E">
            <w:pPr>
              <w:spacing w:line="215" w:lineRule="exact"/>
              <w:rPr>
                <w:rFonts w:ascii="Arial"/>
                <w:sz w:val="18"/>
              </w:rPr>
            </w:pPr>
          </w:p>
        </w:tc>
        <w:tc>
          <w:tcPr>
            <w:tcW w:w="229" w:type="dxa"/>
            <w:vAlign w:val="top"/>
          </w:tcPr>
          <w:p w14:paraId="58A39900">
            <w:pPr>
              <w:spacing w:line="215" w:lineRule="exact"/>
              <w:rPr>
                <w:rFonts w:ascii="Arial"/>
                <w:sz w:val="18"/>
              </w:rPr>
            </w:pPr>
          </w:p>
        </w:tc>
        <w:tc>
          <w:tcPr>
            <w:tcW w:w="220" w:type="dxa"/>
            <w:vAlign w:val="top"/>
          </w:tcPr>
          <w:p w14:paraId="4F9DABA4">
            <w:pPr>
              <w:spacing w:line="215" w:lineRule="exact"/>
              <w:rPr>
                <w:rFonts w:ascii="Arial"/>
                <w:sz w:val="18"/>
              </w:rPr>
            </w:pPr>
          </w:p>
        </w:tc>
        <w:tc>
          <w:tcPr>
            <w:tcW w:w="234" w:type="dxa"/>
            <w:vAlign w:val="top"/>
          </w:tcPr>
          <w:p w14:paraId="6F6396E7">
            <w:pPr>
              <w:spacing w:line="215" w:lineRule="exact"/>
              <w:rPr>
                <w:rFonts w:ascii="Arial"/>
                <w:sz w:val="18"/>
              </w:rPr>
            </w:pPr>
          </w:p>
        </w:tc>
      </w:tr>
    </w:tbl>
    <w:p w14:paraId="47B5BC41">
      <w:pPr>
        <w:spacing w:before="128" w:line="221" w:lineRule="auto"/>
        <w:ind w:left="987"/>
        <w:rPr>
          <w:rFonts w:ascii="黑体" w:hAnsi="黑体" w:eastAsia="黑体" w:cs="黑体"/>
          <w:sz w:val="20"/>
          <w:szCs w:val="20"/>
        </w:rPr>
      </w:pPr>
      <w:r>
        <w:rPr>
          <w:rFonts w:ascii="黑体" w:hAnsi="黑体" w:eastAsia="黑体" w:cs="黑体"/>
          <w:b/>
          <w:bCs/>
          <w:spacing w:val="-7"/>
          <w:sz w:val="20"/>
          <w:szCs w:val="20"/>
        </w:rPr>
        <w:t>第十一章</w:t>
      </w:r>
      <w:r>
        <w:rPr>
          <w:rFonts w:ascii="黑体" w:hAnsi="黑体" w:eastAsia="黑体" w:cs="黑体"/>
          <w:spacing w:val="10"/>
          <w:sz w:val="20"/>
          <w:szCs w:val="20"/>
        </w:rPr>
        <w:t xml:space="preserve">  </w:t>
      </w:r>
      <w:r>
        <w:rPr>
          <w:rFonts w:ascii="黑体" w:hAnsi="黑体" w:eastAsia="黑体" w:cs="黑体"/>
          <w:b/>
          <w:bCs/>
          <w:spacing w:val="-7"/>
          <w:sz w:val="20"/>
          <w:szCs w:val="20"/>
        </w:rPr>
        <w:t>消化系统疾病</w:t>
      </w:r>
    </w:p>
    <w:p w14:paraId="22644AE8">
      <w:pPr>
        <w:spacing w:line="72" w:lineRule="exact"/>
      </w:pPr>
    </w:p>
    <w:tbl>
      <w:tblPr>
        <w:tblStyle w:val="5"/>
        <w:tblW w:w="413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03"/>
        <w:gridCol w:w="2314"/>
        <w:gridCol w:w="219"/>
        <w:gridCol w:w="230"/>
        <w:gridCol w:w="220"/>
        <w:gridCol w:w="244"/>
      </w:tblGrid>
      <w:tr w14:paraId="2DCCFF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4" w:hRule="atLeast"/>
        </w:trPr>
        <w:tc>
          <w:tcPr>
            <w:tcW w:w="903" w:type="dxa"/>
            <w:vMerge w:val="restart"/>
            <w:tcBorders>
              <w:bottom w:val="nil"/>
            </w:tcBorders>
            <w:vAlign w:val="top"/>
          </w:tcPr>
          <w:p w14:paraId="59C202A3">
            <w:pPr>
              <w:pStyle w:val="6"/>
              <w:spacing w:before="161" w:line="239" w:lineRule="auto"/>
              <w:ind w:left="276" w:right="35" w:hanging="259"/>
            </w:pPr>
            <w:r>
              <w:rPr>
                <w:b/>
                <w:bCs/>
                <w:spacing w:val="-4"/>
              </w:rPr>
              <w:t>知识与技能</w:t>
            </w:r>
            <w:r>
              <w:t xml:space="preserve"> </w:t>
            </w:r>
            <w:r>
              <w:rPr>
                <w:b/>
                <w:bCs/>
                <w:spacing w:val="-4"/>
              </w:rPr>
              <w:t>要点</w:t>
            </w:r>
          </w:p>
        </w:tc>
        <w:tc>
          <w:tcPr>
            <w:tcW w:w="2314" w:type="dxa"/>
            <w:vMerge w:val="restart"/>
            <w:tcBorders>
              <w:bottom w:val="nil"/>
            </w:tcBorders>
            <w:vAlign w:val="top"/>
          </w:tcPr>
          <w:p w14:paraId="1DDE876D">
            <w:pPr>
              <w:pStyle w:val="6"/>
              <w:spacing w:before="279" w:line="219" w:lineRule="auto"/>
              <w:ind w:left="824"/>
            </w:pPr>
            <w:r>
              <w:rPr>
                <w:b/>
                <w:bCs/>
                <w:spacing w:val="5"/>
              </w:rPr>
              <w:t>考试条目</w:t>
            </w:r>
          </w:p>
        </w:tc>
        <w:tc>
          <w:tcPr>
            <w:tcW w:w="913" w:type="dxa"/>
            <w:gridSpan w:val="4"/>
            <w:vAlign w:val="top"/>
          </w:tcPr>
          <w:p w14:paraId="67D1D28D">
            <w:pPr>
              <w:pStyle w:val="6"/>
              <w:spacing w:before="99" w:line="219" w:lineRule="auto"/>
              <w:ind w:left="130"/>
            </w:pPr>
            <w:r>
              <w:rPr>
                <w:b/>
                <w:bCs/>
                <w:spacing w:val="-4"/>
              </w:rPr>
              <w:t>考试水平</w:t>
            </w:r>
          </w:p>
        </w:tc>
      </w:tr>
      <w:tr w14:paraId="65A0C3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9" w:hRule="atLeast"/>
        </w:trPr>
        <w:tc>
          <w:tcPr>
            <w:tcW w:w="903" w:type="dxa"/>
            <w:vMerge w:val="continue"/>
            <w:tcBorders>
              <w:top w:val="nil"/>
            </w:tcBorders>
            <w:vAlign w:val="top"/>
          </w:tcPr>
          <w:p w14:paraId="5164A756">
            <w:pPr>
              <w:rPr>
                <w:rFonts w:ascii="Arial"/>
                <w:sz w:val="21"/>
              </w:rPr>
            </w:pPr>
          </w:p>
        </w:tc>
        <w:tc>
          <w:tcPr>
            <w:tcW w:w="2314" w:type="dxa"/>
            <w:vMerge w:val="continue"/>
            <w:tcBorders>
              <w:top w:val="nil"/>
            </w:tcBorders>
            <w:vAlign w:val="top"/>
          </w:tcPr>
          <w:p w14:paraId="3F115636">
            <w:pPr>
              <w:rPr>
                <w:rFonts w:ascii="Arial"/>
                <w:sz w:val="21"/>
              </w:rPr>
            </w:pPr>
          </w:p>
        </w:tc>
        <w:tc>
          <w:tcPr>
            <w:tcW w:w="219" w:type="dxa"/>
            <w:vAlign w:val="top"/>
          </w:tcPr>
          <w:p w14:paraId="661D671D">
            <w:pPr>
              <w:pStyle w:val="6"/>
              <w:spacing w:before="133" w:line="184" w:lineRule="auto"/>
              <w:ind w:left="20"/>
              <w:rPr>
                <w:sz w:val="18"/>
                <w:szCs w:val="18"/>
              </w:rPr>
            </w:pPr>
            <w:r>
              <w:rPr>
                <w:b/>
                <w:bCs/>
                <w:spacing w:val="-2"/>
                <w:sz w:val="18"/>
                <w:szCs w:val="18"/>
              </w:rPr>
              <w:t>A</w:t>
            </w:r>
          </w:p>
        </w:tc>
        <w:tc>
          <w:tcPr>
            <w:tcW w:w="230" w:type="dxa"/>
            <w:vAlign w:val="top"/>
          </w:tcPr>
          <w:p w14:paraId="3004325B">
            <w:pPr>
              <w:pStyle w:val="6"/>
              <w:spacing w:before="132" w:line="182" w:lineRule="auto"/>
              <w:ind w:left="31"/>
            </w:pPr>
            <w:r>
              <w:rPr>
                <w:b/>
                <w:bCs/>
                <w:spacing w:val="-2"/>
              </w:rPr>
              <w:t>B</w:t>
            </w:r>
          </w:p>
        </w:tc>
        <w:tc>
          <w:tcPr>
            <w:tcW w:w="220" w:type="dxa"/>
            <w:vAlign w:val="top"/>
          </w:tcPr>
          <w:p w14:paraId="6E804706">
            <w:pPr>
              <w:pStyle w:val="6"/>
              <w:spacing w:before="130" w:line="183" w:lineRule="auto"/>
              <w:ind w:left="61"/>
            </w:pPr>
            <w:r>
              <w:rPr>
                <w:b/>
                <w:bCs/>
                <w:spacing w:val="-2"/>
              </w:rPr>
              <w:t>C</w:t>
            </w:r>
          </w:p>
        </w:tc>
        <w:tc>
          <w:tcPr>
            <w:tcW w:w="244" w:type="dxa"/>
            <w:vAlign w:val="top"/>
          </w:tcPr>
          <w:p w14:paraId="670B83E3">
            <w:pPr>
              <w:pStyle w:val="6"/>
              <w:spacing w:before="132" w:line="182" w:lineRule="auto"/>
              <w:ind w:left="71"/>
            </w:pPr>
            <w:r>
              <w:rPr>
                <w:b/>
                <w:bCs/>
                <w:spacing w:val="-2"/>
              </w:rPr>
              <w:t>D</w:t>
            </w:r>
          </w:p>
        </w:tc>
      </w:tr>
      <w:tr w14:paraId="6FA358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0" w:hRule="atLeast"/>
        </w:trPr>
        <w:tc>
          <w:tcPr>
            <w:tcW w:w="903" w:type="dxa"/>
            <w:vMerge w:val="restart"/>
            <w:tcBorders>
              <w:bottom w:val="nil"/>
            </w:tcBorders>
            <w:vAlign w:val="top"/>
          </w:tcPr>
          <w:p w14:paraId="06112E50">
            <w:pPr>
              <w:spacing w:line="362" w:lineRule="auto"/>
              <w:rPr>
                <w:rFonts w:ascii="Arial"/>
                <w:sz w:val="21"/>
              </w:rPr>
            </w:pPr>
          </w:p>
          <w:p w14:paraId="4952832C">
            <w:pPr>
              <w:pStyle w:val="6"/>
              <w:spacing w:before="55" w:line="220" w:lineRule="auto"/>
              <w:ind w:left="185"/>
            </w:pPr>
            <w:r>
              <w:rPr>
                <w:spacing w:val="-2"/>
              </w:rPr>
              <w:t>溃疡病</w:t>
            </w:r>
          </w:p>
        </w:tc>
        <w:tc>
          <w:tcPr>
            <w:tcW w:w="2314" w:type="dxa"/>
            <w:vMerge w:val="restart"/>
            <w:tcBorders>
              <w:bottom w:val="nil"/>
            </w:tcBorders>
            <w:vAlign w:val="top"/>
          </w:tcPr>
          <w:p w14:paraId="57A29D4F">
            <w:pPr>
              <w:pStyle w:val="6"/>
              <w:spacing w:before="107" w:line="231" w:lineRule="auto"/>
              <w:ind w:left="12" w:right="407"/>
            </w:pPr>
            <w:r>
              <w:rPr>
                <w:spacing w:val="1"/>
              </w:rPr>
              <w:t xml:space="preserve">1.概念、病因和发病机制 </w:t>
            </w:r>
            <w:r>
              <w:rPr>
                <w:spacing w:val="-2"/>
              </w:rPr>
              <w:t>2.病理变化</w:t>
            </w:r>
          </w:p>
          <w:p w14:paraId="46D8021F">
            <w:pPr>
              <w:pStyle w:val="6"/>
              <w:spacing w:before="6" w:line="236" w:lineRule="auto"/>
              <w:ind w:left="12" w:right="1085"/>
            </w:pPr>
            <w:r>
              <w:rPr>
                <w:spacing w:val="2"/>
              </w:rPr>
              <w:t>3.病理临床联系</w:t>
            </w:r>
            <w:r>
              <w:t xml:space="preserve"> </w:t>
            </w:r>
            <w:r>
              <w:rPr>
                <w:spacing w:val="-1"/>
              </w:rPr>
              <w:t>4.结局与并发症</w:t>
            </w:r>
          </w:p>
        </w:tc>
        <w:tc>
          <w:tcPr>
            <w:tcW w:w="219" w:type="dxa"/>
            <w:vAlign w:val="top"/>
          </w:tcPr>
          <w:p w14:paraId="6CD4B56C">
            <w:pPr>
              <w:pStyle w:val="6"/>
              <w:spacing w:before="70" w:line="227" w:lineRule="auto"/>
              <w:ind w:left="18"/>
              <w:rPr>
                <w:sz w:val="13"/>
                <w:szCs w:val="13"/>
              </w:rPr>
            </w:pPr>
            <w:r>
              <w:rPr>
                <w:sz w:val="13"/>
                <w:szCs w:val="13"/>
              </w:rPr>
              <w:t>√</w:t>
            </w:r>
          </w:p>
        </w:tc>
        <w:tc>
          <w:tcPr>
            <w:tcW w:w="230" w:type="dxa"/>
            <w:vAlign w:val="top"/>
          </w:tcPr>
          <w:p w14:paraId="1FF2617C">
            <w:pPr>
              <w:spacing w:line="230" w:lineRule="exact"/>
              <w:rPr>
                <w:rFonts w:ascii="Arial"/>
                <w:sz w:val="20"/>
              </w:rPr>
            </w:pPr>
          </w:p>
        </w:tc>
        <w:tc>
          <w:tcPr>
            <w:tcW w:w="220" w:type="dxa"/>
            <w:vAlign w:val="top"/>
          </w:tcPr>
          <w:p w14:paraId="2D76400F">
            <w:pPr>
              <w:spacing w:line="230" w:lineRule="exact"/>
              <w:rPr>
                <w:rFonts w:ascii="Arial"/>
                <w:sz w:val="20"/>
              </w:rPr>
            </w:pPr>
          </w:p>
        </w:tc>
        <w:tc>
          <w:tcPr>
            <w:tcW w:w="244" w:type="dxa"/>
            <w:vAlign w:val="top"/>
          </w:tcPr>
          <w:p w14:paraId="2E273F34">
            <w:pPr>
              <w:spacing w:line="230" w:lineRule="exact"/>
              <w:rPr>
                <w:rFonts w:ascii="Arial"/>
                <w:sz w:val="20"/>
              </w:rPr>
            </w:pPr>
          </w:p>
        </w:tc>
      </w:tr>
      <w:tr w14:paraId="049609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9" w:hRule="atLeast"/>
        </w:trPr>
        <w:tc>
          <w:tcPr>
            <w:tcW w:w="903" w:type="dxa"/>
            <w:vMerge w:val="continue"/>
            <w:tcBorders>
              <w:top w:val="nil"/>
              <w:bottom w:val="nil"/>
            </w:tcBorders>
            <w:vAlign w:val="top"/>
          </w:tcPr>
          <w:p w14:paraId="6BE867C1">
            <w:pPr>
              <w:rPr>
                <w:rFonts w:ascii="Arial"/>
                <w:sz w:val="21"/>
              </w:rPr>
            </w:pPr>
          </w:p>
        </w:tc>
        <w:tc>
          <w:tcPr>
            <w:tcW w:w="2314" w:type="dxa"/>
            <w:vMerge w:val="continue"/>
            <w:tcBorders>
              <w:top w:val="nil"/>
              <w:bottom w:val="nil"/>
            </w:tcBorders>
            <w:vAlign w:val="top"/>
          </w:tcPr>
          <w:p w14:paraId="1DD9E102">
            <w:pPr>
              <w:rPr>
                <w:rFonts w:ascii="Arial"/>
                <w:sz w:val="21"/>
              </w:rPr>
            </w:pPr>
          </w:p>
        </w:tc>
        <w:tc>
          <w:tcPr>
            <w:tcW w:w="219" w:type="dxa"/>
            <w:vAlign w:val="top"/>
          </w:tcPr>
          <w:p w14:paraId="09DFCA04">
            <w:pPr>
              <w:spacing w:line="239" w:lineRule="exact"/>
              <w:rPr>
                <w:rFonts w:ascii="Arial"/>
                <w:sz w:val="20"/>
              </w:rPr>
            </w:pPr>
          </w:p>
        </w:tc>
        <w:tc>
          <w:tcPr>
            <w:tcW w:w="230" w:type="dxa"/>
            <w:vAlign w:val="top"/>
          </w:tcPr>
          <w:p w14:paraId="02F11FD9">
            <w:pPr>
              <w:spacing w:line="239" w:lineRule="exact"/>
              <w:rPr>
                <w:rFonts w:ascii="Arial"/>
                <w:sz w:val="20"/>
              </w:rPr>
            </w:pPr>
          </w:p>
        </w:tc>
        <w:tc>
          <w:tcPr>
            <w:tcW w:w="220" w:type="dxa"/>
            <w:vAlign w:val="top"/>
          </w:tcPr>
          <w:p w14:paraId="2F719BBE">
            <w:pPr>
              <w:spacing w:line="239" w:lineRule="exact"/>
              <w:rPr>
                <w:rFonts w:ascii="Arial"/>
                <w:sz w:val="20"/>
              </w:rPr>
            </w:pPr>
          </w:p>
        </w:tc>
        <w:tc>
          <w:tcPr>
            <w:tcW w:w="244" w:type="dxa"/>
            <w:vAlign w:val="top"/>
          </w:tcPr>
          <w:p w14:paraId="42DDEDFE">
            <w:pPr>
              <w:pStyle w:val="6"/>
              <w:spacing w:before="70" w:line="238" w:lineRule="auto"/>
              <w:ind w:left="49"/>
              <w:rPr>
                <w:sz w:val="13"/>
                <w:szCs w:val="13"/>
              </w:rPr>
            </w:pPr>
            <w:r>
              <w:rPr>
                <w:sz w:val="13"/>
                <w:szCs w:val="13"/>
              </w:rPr>
              <w:t>√</w:t>
            </w:r>
          </w:p>
        </w:tc>
      </w:tr>
      <w:tr w14:paraId="6406E9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0" w:hRule="atLeast"/>
        </w:trPr>
        <w:tc>
          <w:tcPr>
            <w:tcW w:w="903" w:type="dxa"/>
            <w:vMerge w:val="continue"/>
            <w:tcBorders>
              <w:top w:val="nil"/>
              <w:bottom w:val="nil"/>
            </w:tcBorders>
            <w:vAlign w:val="top"/>
          </w:tcPr>
          <w:p w14:paraId="6F3EE91E">
            <w:pPr>
              <w:rPr>
                <w:rFonts w:ascii="Arial"/>
                <w:sz w:val="21"/>
              </w:rPr>
            </w:pPr>
          </w:p>
        </w:tc>
        <w:tc>
          <w:tcPr>
            <w:tcW w:w="2314" w:type="dxa"/>
            <w:vMerge w:val="continue"/>
            <w:tcBorders>
              <w:top w:val="nil"/>
              <w:bottom w:val="nil"/>
            </w:tcBorders>
            <w:vAlign w:val="top"/>
          </w:tcPr>
          <w:p w14:paraId="0FB9E2BF">
            <w:pPr>
              <w:rPr>
                <w:rFonts w:ascii="Arial"/>
                <w:sz w:val="21"/>
              </w:rPr>
            </w:pPr>
          </w:p>
        </w:tc>
        <w:tc>
          <w:tcPr>
            <w:tcW w:w="219" w:type="dxa"/>
            <w:vAlign w:val="top"/>
          </w:tcPr>
          <w:p w14:paraId="5850AA78">
            <w:pPr>
              <w:spacing w:line="230" w:lineRule="exact"/>
              <w:rPr>
                <w:rFonts w:ascii="Arial"/>
                <w:sz w:val="20"/>
              </w:rPr>
            </w:pPr>
          </w:p>
        </w:tc>
        <w:tc>
          <w:tcPr>
            <w:tcW w:w="230" w:type="dxa"/>
            <w:vAlign w:val="top"/>
          </w:tcPr>
          <w:p w14:paraId="467C316C">
            <w:pPr>
              <w:spacing w:line="230" w:lineRule="exact"/>
              <w:rPr>
                <w:rFonts w:ascii="Arial"/>
                <w:sz w:val="20"/>
              </w:rPr>
            </w:pPr>
          </w:p>
        </w:tc>
        <w:tc>
          <w:tcPr>
            <w:tcW w:w="220" w:type="dxa"/>
            <w:vAlign w:val="top"/>
          </w:tcPr>
          <w:p w14:paraId="07F9A03F">
            <w:pPr>
              <w:pStyle w:val="6"/>
              <w:spacing w:before="71" w:line="225" w:lineRule="auto"/>
              <w:ind w:left="39"/>
              <w:rPr>
                <w:sz w:val="13"/>
                <w:szCs w:val="13"/>
              </w:rPr>
            </w:pPr>
            <w:r>
              <w:rPr>
                <w:sz w:val="13"/>
                <w:szCs w:val="13"/>
              </w:rPr>
              <w:t>√</w:t>
            </w:r>
          </w:p>
        </w:tc>
        <w:tc>
          <w:tcPr>
            <w:tcW w:w="244" w:type="dxa"/>
            <w:vAlign w:val="top"/>
          </w:tcPr>
          <w:p w14:paraId="7F7C3C12">
            <w:pPr>
              <w:spacing w:line="230" w:lineRule="exact"/>
              <w:rPr>
                <w:rFonts w:ascii="Arial"/>
                <w:sz w:val="20"/>
              </w:rPr>
            </w:pPr>
          </w:p>
        </w:tc>
      </w:tr>
      <w:tr w14:paraId="55A934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9" w:hRule="atLeast"/>
        </w:trPr>
        <w:tc>
          <w:tcPr>
            <w:tcW w:w="903" w:type="dxa"/>
            <w:vMerge w:val="continue"/>
            <w:tcBorders>
              <w:top w:val="nil"/>
            </w:tcBorders>
            <w:vAlign w:val="top"/>
          </w:tcPr>
          <w:p w14:paraId="048F9393">
            <w:pPr>
              <w:rPr>
                <w:rFonts w:ascii="Arial"/>
                <w:sz w:val="21"/>
              </w:rPr>
            </w:pPr>
          </w:p>
        </w:tc>
        <w:tc>
          <w:tcPr>
            <w:tcW w:w="2314" w:type="dxa"/>
            <w:vMerge w:val="continue"/>
            <w:tcBorders>
              <w:top w:val="nil"/>
            </w:tcBorders>
            <w:vAlign w:val="top"/>
          </w:tcPr>
          <w:p w14:paraId="3A730B3F">
            <w:pPr>
              <w:rPr>
                <w:rFonts w:ascii="Arial"/>
                <w:sz w:val="21"/>
              </w:rPr>
            </w:pPr>
          </w:p>
        </w:tc>
        <w:tc>
          <w:tcPr>
            <w:tcW w:w="219" w:type="dxa"/>
            <w:vAlign w:val="top"/>
          </w:tcPr>
          <w:p w14:paraId="1AB8A4C1">
            <w:pPr>
              <w:spacing w:line="239" w:lineRule="exact"/>
              <w:rPr>
                <w:rFonts w:ascii="Arial"/>
                <w:sz w:val="20"/>
              </w:rPr>
            </w:pPr>
          </w:p>
        </w:tc>
        <w:tc>
          <w:tcPr>
            <w:tcW w:w="230" w:type="dxa"/>
            <w:vAlign w:val="top"/>
          </w:tcPr>
          <w:p w14:paraId="016264DC">
            <w:pPr>
              <w:spacing w:line="239" w:lineRule="exact"/>
              <w:rPr>
                <w:rFonts w:ascii="Arial"/>
                <w:sz w:val="20"/>
              </w:rPr>
            </w:pPr>
          </w:p>
        </w:tc>
        <w:tc>
          <w:tcPr>
            <w:tcW w:w="220" w:type="dxa"/>
            <w:vAlign w:val="top"/>
          </w:tcPr>
          <w:p w14:paraId="256C5DBD">
            <w:pPr>
              <w:spacing w:line="239" w:lineRule="exact"/>
              <w:rPr>
                <w:rFonts w:ascii="Arial"/>
                <w:sz w:val="20"/>
              </w:rPr>
            </w:pPr>
          </w:p>
        </w:tc>
        <w:tc>
          <w:tcPr>
            <w:tcW w:w="244" w:type="dxa"/>
            <w:vAlign w:val="top"/>
          </w:tcPr>
          <w:p w14:paraId="431DB5AA">
            <w:pPr>
              <w:pStyle w:val="6"/>
              <w:spacing w:before="71" w:line="238" w:lineRule="auto"/>
              <w:ind w:left="49"/>
              <w:rPr>
                <w:sz w:val="13"/>
                <w:szCs w:val="13"/>
              </w:rPr>
            </w:pPr>
            <w:r>
              <w:rPr>
                <w:sz w:val="13"/>
                <w:szCs w:val="13"/>
              </w:rPr>
              <w:t>√</w:t>
            </w:r>
          </w:p>
        </w:tc>
      </w:tr>
      <w:tr w14:paraId="006721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903" w:type="dxa"/>
            <w:vMerge w:val="restart"/>
            <w:tcBorders>
              <w:bottom w:val="nil"/>
            </w:tcBorders>
            <w:vAlign w:val="top"/>
          </w:tcPr>
          <w:p w14:paraId="1979F0C3">
            <w:pPr>
              <w:pStyle w:val="6"/>
              <w:spacing w:before="231" w:line="219" w:lineRule="auto"/>
              <w:ind w:left="185"/>
            </w:pPr>
            <w:r>
              <w:rPr>
                <w:spacing w:val="-2"/>
              </w:rPr>
              <w:t>病毒性</w:t>
            </w:r>
          </w:p>
          <w:p w14:paraId="08F4C5A7">
            <w:pPr>
              <w:pStyle w:val="6"/>
              <w:spacing w:before="18" w:line="220" w:lineRule="auto"/>
              <w:ind w:left="275"/>
            </w:pPr>
            <w:r>
              <w:rPr>
                <w:spacing w:val="-2"/>
              </w:rPr>
              <w:t>肝炎</w:t>
            </w:r>
          </w:p>
        </w:tc>
        <w:tc>
          <w:tcPr>
            <w:tcW w:w="2314" w:type="dxa"/>
            <w:vMerge w:val="restart"/>
            <w:tcBorders>
              <w:bottom w:val="nil"/>
            </w:tcBorders>
            <w:vAlign w:val="top"/>
          </w:tcPr>
          <w:p w14:paraId="6536160B">
            <w:pPr>
              <w:pStyle w:val="6"/>
              <w:spacing w:before="131" w:line="229" w:lineRule="auto"/>
              <w:ind w:left="12" w:right="407"/>
            </w:pPr>
            <w:r>
              <w:rPr>
                <w:spacing w:val="1"/>
              </w:rPr>
              <w:t xml:space="preserve">1.概念、病因和发病机制 </w:t>
            </w:r>
            <w:r>
              <w:rPr>
                <w:spacing w:val="-1"/>
              </w:rPr>
              <w:t>2.病理变化及类型</w:t>
            </w:r>
          </w:p>
          <w:p w14:paraId="5ECF7DBA">
            <w:pPr>
              <w:pStyle w:val="6"/>
              <w:spacing w:before="28" w:line="219" w:lineRule="auto"/>
              <w:ind w:left="12"/>
            </w:pPr>
            <w:r>
              <w:rPr>
                <w:spacing w:val="2"/>
              </w:rPr>
              <w:t>3.病理临床联系</w:t>
            </w:r>
          </w:p>
        </w:tc>
        <w:tc>
          <w:tcPr>
            <w:tcW w:w="219" w:type="dxa"/>
            <w:vAlign w:val="top"/>
          </w:tcPr>
          <w:p w14:paraId="5532D848">
            <w:pPr>
              <w:rPr>
                <w:rFonts w:ascii="Arial"/>
                <w:sz w:val="21"/>
              </w:rPr>
            </w:pPr>
          </w:p>
        </w:tc>
        <w:tc>
          <w:tcPr>
            <w:tcW w:w="230" w:type="dxa"/>
            <w:vAlign w:val="top"/>
          </w:tcPr>
          <w:p w14:paraId="1C2905FD">
            <w:pPr>
              <w:rPr>
                <w:rFonts w:ascii="Arial"/>
                <w:sz w:val="21"/>
              </w:rPr>
            </w:pPr>
          </w:p>
        </w:tc>
        <w:tc>
          <w:tcPr>
            <w:tcW w:w="220" w:type="dxa"/>
            <w:vAlign w:val="top"/>
          </w:tcPr>
          <w:p w14:paraId="272223AB">
            <w:pPr>
              <w:rPr>
                <w:rFonts w:ascii="Arial"/>
                <w:sz w:val="21"/>
              </w:rPr>
            </w:pPr>
          </w:p>
        </w:tc>
        <w:tc>
          <w:tcPr>
            <w:tcW w:w="244" w:type="dxa"/>
            <w:vAlign w:val="top"/>
          </w:tcPr>
          <w:p w14:paraId="25DD0424">
            <w:pPr>
              <w:rPr>
                <w:rFonts w:ascii="Arial"/>
                <w:sz w:val="21"/>
              </w:rPr>
            </w:pPr>
          </w:p>
        </w:tc>
      </w:tr>
      <w:tr w14:paraId="754CCA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9" w:hRule="atLeast"/>
        </w:trPr>
        <w:tc>
          <w:tcPr>
            <w:tcW w:w="903" w:type="dxa"/>
            <w:vMerge w:val="continue"/>
            <w:tcBorders>
              <w:top w:val="nil"/>
              <w:bottom w:val="nil"/>
            </w:tcBorders>
            <w:vAlign w:val="top"/>
          </w:tcPr>
          <w:p w14:paraId="435AA2B9">
            <w:pPr>
              <w:rPr>
                <w:rFonts w:ascii="Arial"/>
                <w:sz w:val="21"/>
              </w:rPr>
            </w:pPr>
          </w:p>
        </w:tc>
        <w:tc>
          <w:tcPr>
            <w:tcW w:w="2314" w:type="dxa"/>
            <w:vMerge w:val="continue"/>
            <w:tcBorders>
              <w:top w:val="nil"/>
              <w:bottom w:val="nil"/>
            </w:tcBorders>
            <w:vAlign w:val="top"/>
          </w:tcPr>
          <w:p w14:paraId="21BC13BE">
            <w:pPr>
              <w:rPr>
                <w:rFonts w:ascii="Arial"/>
                <w:sz w:val="21"/>
              </w:rPr>
            </w:pPr>
          </w:p>
        </w:tc>
        <w:tc>
          <w:tcPr>
            <w:tcW w:w="219" w:type="dxa"/>
            <w:vAlign w:val="top"/>
          </w:tcPr>
          <w:p w14:paraId="48CBFCEE">
            <w:pPr>
              <w:rPr>
                <w:rFonts w:ascii="Arial"/>
                <w:sz w:val="21"/>
              </w:rPr>
            </w:pPr>
          </w:p>
        </w:tc>
        <w:tc>
          <w:tcPr>
            <w:tcW w:w="230" w:type="dxa"/>
            <w:vAlign w:val="top"/>
          </w:tcPr>
          <w:p w14:paraId="2263AB77">
            <w:pPr>
              <w:rPr>
                <w:rFonts w:ascii="Arial"/>
                <w:sz w:val="21"/>
              </w:rPr>
            </w:pPr>
          </w:p>
        </w:tc>
        <w:tc>
          <w:tcPr>
            <w:tcW w:w="220" w:type="dxa"/>
            <w:vAlign w:val="top"/>
          </w:tcPr>
          <w:p w14:paraId="5C1D1B96">
            <w:pPr>
              <w:rPr>
                <w:rFonts w:ascii="Arial"/>
                <w:sz w:val="21"/>
              </w:rPr>
            </w:pPr>
          </w:p>
        </w:tc>
        <w:tc>
          <w:tcPr>
            <w:tcW w:w="244" w:type="dxa"/>
            <w:vAlign w:val="top"/>
          </w:tcPr>
          <w:p w14:paraId="2C6FC92B">
            <w:pPr>
              <w:rPr>
                <w:rFonts w:ascii="Arial"/>
                <w:sz w:val="21"/>
              </w:rPr>
            </w:pPr>
          </w:p>
        </w:tc>
      </w:tr>
      <w:tr w14:paraId="141696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903" w:type="dxa"/>
            <w:vMerge w:val="continue"/>
            <w:tcBorders>
              <w:top w:val="nil"/>
            </w:tcBorders>
            <w:vAlign w:val="top"/>
          </w:tcPr>
          <w:p w14:paraId="3503A429">
            <w:pPr>
              <w:rPr>
                <w:rFonts w:ascii="Arial"/>
                <w:sz w:val="21"/>
              </w:rPr>
            </w:pPr>
          </w:p>
        </w:tc>
        <w:tc>
          <w:tcPr>
            <w:tcW w:w="2314" w:type="dxa"/>
            <w:vMerge w:val="continue"/>
            <w:tcBorders>
              <w:top w:val="nil"/>
            </w:tcBorders>
            <w:vAlign w:val="top"/>
          </w:tcPr>
          <w:p w14:paraId="21D6F766">
            <w:pPr>
              <w:rPr>
                <w:rFonts w:ascii="Arial"/>
                <w:sz w:val="21"/>
              </w:rPr>
            </w:pPr>
          </w:p>
        </w:tc>
        <w:tc>
          <w:tcPr>
            <w:tcW w:w="219" w:type="dxa"/>
            <w:vAlign w:val="top"/>
          </w:tcPr>
          <w:p w14:paraId="5055860A">
            <w:pPr>
              <w:rPr>
                <w:rFonts w:ascii="Arial"/>
                <w:sz w:val="21"/>
              </w:rPr>
            </w:pPr>
          </w:p>
        </w:tc>
        <w:tc>
          <w:tcPr>
            <w:tcW w:w="230" w:type="dxa"/>
            <w:vAlign w:val="top"/>
          </w:tcPr>
          <w:p w14:paraId="64155509">
            <w:pPr>
              <w:rPr>
                <w:rFonts w:ascii="Arial"/>
                <w:sz w:val="21"/>
              </w:rPr>
            </w:pPr>
          </w:p>
        </w:tc>
        <w:tc>
          <w:tcPr>
            <w:tcW w:w="220" w:type="dxa"/>
            <w:vAlign w:val="top"/>
          </w:tcPr>
          <w:p w14:paraId="0057728E">
            <w:pPr>
              <w:rPr>
                <w:rFonts w:ascii="Arial"/>
                <w:sz w:val="21"/>
              </w:rPr>
            </w:pPr>
          </w:p>
        </w:tc>
        <w:tc>
          <w:tcPr>
            <w:tcW w:w="244" w:type="dxa"/>
            <w:vAlign w:val="top"/>
          </w:tcPr>
          <w:p w14:paraId="2BB0EE4C">
            <w:pPr>
              <w:rPr>
                <w:rFonts w:ascii="Arial"/>
                <w:sz w:val="21"/>
              </w:rPr>
            </w:pPr>
          </w:p>
        </w:tc>
      </w:tr>
      <w:tr w14:paraId="15DE08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9" w:hRule="atLeast"/>
        </w:trPr>
        <w:tc>
          <w:tcPr>
            <w:tcW w:w="903" w:type="dxa"/>
            <w:vMerge w:val="restart"/>
            <w:tcBorders>
              <w:bottom w:val="nil"/>
            </w:tcBorders>
            <w:vAlign w:val="top"/>
          </w:tcPr>
          <w:p w14:paraId="6014093A">
            <w:pPr>
              <w:spacing w:line="367" w:lineRule="auto"/>
              <w:rPr>
                <w:rFonts w:ascii="Arial"/>
                <w:sz w:val="21"/>
              </w:rPr>
            </w:pPr>
          </w:p>
          <w:p w14:paraId="42DDBA2E">
            <w:pPr>
              <w:pStyle w:val="6"/>
              <w:spacing w:before="55" w:line="221" w:lineRule="auto"/>
              <w:ind w:left="185"/>
            </w:pPr>
            <w:r>
              <w:rPr>
                <w:spacing w:val="-2"/>
              </w:rPr>
              <w:t>肝硬化</w:t>
            </w:r>
          </w:p>
        </w:tc>
        <w:tc>
          <w:tcPr>
            <w:tcW w:w="2314" w:type="dxa"/>
            <w:vMerge w:val="restart"/>
            <w:tcBorders>
              <w:bottom w:val="nil"/>
            </w:tcBorders>
            <w:vAlign w:val="top"/>
          </w:tcPr>
          <w:p w14:paraId="668C7F0B">
            <w:pPr>
              <w:pStyle w:val="6"/>
              <w:spacing w:before="103" w:line="239" w:lineRule="auto"/>
              <w:ind w:left="12" w:right="407"/>
            </w:pPr>
            <w:r>
              <w:rPr>
                <w:spacing w:val="1"/>
              </w:rPr>
              <w:t xml:space="preserve">1.概念、病因和发病机制 </w:t>
            </w:r>
            <w:r>
              <w:rPr>
                <w:spacing w:val="-2"/>
              </w:rPr>
              <w:t>2.病理变化</w:t>
            </w:r>
          </w:p>
          <w:p w14:paraId="03BF7FA2">
            <w:pPr>
              <w:pStyle w:val="6"/>
              <w:spacing w:before="9" w:line="229" w:lineRule="auto"/>
              <w:ind w:left="12" w:right="1085"/>
            </w:pPr>
            <w:r>
              <w:rPr>
                <w:spacing w:val="2"/>
              </w:rPr>
              <w:t>3.病理临床联系</w:t>
            </w:r>
            <w:r>
              <w:t xml:space="preserve"> </w:t>
            </w:r>
            <w:r>
              <w:rPr>
                <w:spacing w:val="-1"/>
              </w:rPr>
              <w:t>4.结局与并发症</w:t>
            </w:r>
          </w:p>
        </w:tc>
        <w:tc>
          <w:tcPr>
            <w:tcW w:w="219" w:type="dxa"/>
            <w:vAlign w:val="top"/>
          </w:tcPr>
          <w:p w14:paraId="6055349D">
            <w:pPr>
              <w:spacing w:line="239" w:lineRule="exact"/>
              <w:rPr>
                <w:rFonts w:ascii="Arial"/>
                <w:sz w:val="20"/>
              </w:rPr>
            </w:pPr>
          </w:p>
        </w:tc>
        <w:tc>
          <w:tcPr>
            <w:tcW w:w="230" w:type="dxa"/>
            <w:vAlign w:val="top"/>
          </w:tcPr>
          <w:p w14:paraId="1E059EBD">
            <w:pPr>
              <w:spacing w:line="239" w:lineRule="exact"/>
              <w:rPr>
                <w:rFonts w:ascii="Arial"/>
                <w:sz w:val="20"/>
              </w:rPr>
            </w:pPr>
          </w:p>
        </w:tc>
        <w:tc>
          <w:tcPr>
            <w:tcW w:w="220" w:type="dxa"/>
            <w:vAlign w:val="top"/>
          </w:tcPr>
          <w:p w14:paraId="434651E2">
            <w:pPr>
              <w:spacing w:line="239" w:lineRule="exact"/>
              <w:rPr>
                <w:rFonts w:ascii="Arial"/>
                <w:sz w:val="20"/>
              </w:rPr>
            </w:pPr>
          </w:p>
        </w:tc>
        <w:tc>
          <w:tcPr>
            <w:tcW w:w="244" w:type="dxa"/>
            <w:vAlign w:val="top"/>
          </w:tcPr>
          <w:p w14:paraId="4DB53DBC">
            <w:pPr>
              <w:spacing w:line="239" w:lineRule="exact"/>
              <w:rPr>
                <w:rFonts w:ascii="Arial"/>
                <w:sz w:val="20"/>
              </w:rPr>
            </w:pPr>
          </w:p>
        </w:tc>
      </w:tr>
      <w:tr w14:paraId="52056E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0" w:hRule="atLeast"/>
        </w:trPr>
        <w:tc>
          <w:tcPr>
            <w:tcW w:w="903" w:type="dxa"/>
            <w:vMerge w:val="continue"/>
            <w:tcBorders>
              <w:top w:val="nil"/>
              <w:bottom w:val="nil"/>
            </w:tcBorders>
            <w:vAlign w:val="top"/>
          </w:tcPr>
          <w:p w14:paraId="43AC23A1">
            <w:pPr>
              <w:rPr>
                <w:rFonts w:ascii="Arial"/>
                <w:sz w:val="21"/>
              </w:rPr>
            </w:pPr>
          </w:p>
        </w:tc>
        <w:tc>
          <w:tcPr>
            <w:tcW w:w="2314" w:type="dxa"/>
            <w:vMerge w:val="continue"/>
            <w:tcBorders>
              <w:top w:val="nil"/>
              <w:bottom w:val="nil"/>
            </w:tcBorders>
            <w:vAlign w:val="top"/>
          </w:tcPr>
          <w:p w14:paraId="13542ED8">
            <w:pPr>
              <w:rPr>
                <w:rFonts w:ascii="Arial"/>
                <w:sz w:val="21"/>
              </w:rPr>
            </w:pPr>
          </w:p>
        </w:tc>
        <w:tc>
          <w:tcPr>
            <w:tcW w:w="219" w:type="dxa"/>
            <w:vAlign w:val="top"/>
          </w:tcPr>
          <w:p w14:paraId="392539D8">
            <w:pPr>
              <w:spacing w:line="230" w:lineRule="exact"/>
              <w:rPr>
                <w:rFonts w:ascii="Arial"/>
                <w:sz w:val="20"/>
              </w:rPr>
            </w:pPr>
          </w:p>
        </w:tc>
        <w:tc>
          <w:tcPr>
            <w:tcW w:w="230" w:type="dxa"/>
            <w:vAlign w:val="top"/>
          </w:tcPr>
          <w:p w14:paraId="3671C441">
            <w:pPr>
              <w:spacing w:line="230" w:lineRule="exact"/>
              <w:rPr>
                <w:rFonts w:ascii="Arial"/>
                <w:sz w:val="20"/>
              </w:rPr>
            </w:pPr>
          </w:p>
        </w:tc>
        <w:tc>
          <w:tcPr>
            <w:tcW w:w="220" w:type="dxa"/>
            <w:vAlign w:val="top"/>
          </w:tcPr>
          <w:p w14:paraId="2252CFE5">
            <w:pPr>
              <w:spacing w:line="230" w:lineRule="exact"/>
              <w:rPr>
                <w:rFonts w:ascii="Arial"/>
                <w:sz w:val="20"/>
              </w:rPr>
            </w:pPr>
          </w:p>
        </w:tc>
        <w:tc>
          <w:tcPr>
            <w:tcW w:w="244" w:type="dxa"/>
            <w:vAlign w:val="top"/>
          </w:tcPr>
          <w:p w14:paraId="43546E11">
            <w:pPr>
              <w:spacing w:line="230" w:lineRule="exact"/>
              <w:rPr>
                <w:rFonts w:ascii="Arial"/>
                <w:sz w:val="20"/>
              </w:rPr>
            </w:pPr>
          </w:p>
        </w:tc>
      </w:tr>
      <w:tr w14:paraId="017CC5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9" w:hRule="atLeast"/>
        </w:trPr>
        <w:tc>
          <w:tcPr>
            <w:tcW w:w="903" w:type="dxa"/>
            <w:vMerge w:val="continue"/>
            <w:tcBorders>
              <w:top w:val="nil"/>
              <w:bottom w:val="nil"/>
            </w:tcBorders>
            <w:vAlign w:val="top"/>
          </w:tcPr>
          <w:p w14:paraId="6EBDD40D">
            <w:pPr>
              <w:rPr>
                <w:rFonts w:ascii="Arial"/>
                <w:sz w:val="21"/>
              </w:rPr>
            </w:pPr>
          </w:p>
        </w:tc>
        <w:tc>
          <w:tcPr>
            <w:tcW w:w="2314" w:type="dxa"/>
            <w:vMerge w:val="continue"/>
            <w:tcBorders>
              <w:top w:val="nil"/>
              <w:bottom w:val="nil"/>
            </w:tcBorders>
            <w:vAlign w:val="top"/>
          </w:tcPr>
          <w:p w14:paraId="114A965D">
            <w:pPr>
              <w:rPr>
                <w:rFonts w:ascii="Arial"/>
                <w:sz w:val="21"/>
              </w:rPr>
            </w:pPr>
          </w:p>
        </w:tc>
        <w:tc>
          <w:tcPr>
            <w:tcW w:w="219" w:type="dxa"/>
            <w:vAlign w:val="top"/>
          </w:tcPr>
          <w:p w14:paraId="6E39B9D8">
            <w:pPr>
              <w:spacing w:line="238" w:lineRule="exact"/>
              <w:rPr>
                <w:rFonts w:ascii="Arial"/>
                <w:sz w:val="20"/>
              </w:rPr>
            </w:pPr>
          </w:p>
        </w:tc>
        <w:tc>
          <w:tcPr>
            <w:tcW w:w="230" w:type="dxa"/>
            <w:vAlign w:val="top"/>
          </w:tcPr>
          <w:p w14:paraId="2AACFD26">
            <w:pPr>
              <w:spacing w:line="238" w:lineRule="exact"/>
              <w:rPr>
                <w:rFonts w:ascii="Arial"/>
                <w:sz w:val="20"/>
              </w:rPr>
            </w:pPr>
          </w:p>
        </w:tc>
        <w:tc>
          <w:tcPr>
            <w:tcW w:w="220" w:type="dxa"/>
            <w:vAlign w:val="top"/>
          </w:tcPr>
          <w:p w14:paraId="7D649A65">
            <w:pPr>
              <w:spacing w:line="238" w:lineRule="exact"/>
              <w:rPr>
                <w:rFonts w:ascii="Arial"/>
                <w:sz w:val="20"/>
              </w:rPr>
            </w:pPr>
          </w:p>
        </w:tc>
        <w:tc>
          <w:tcPr>
            <w:tcW w:w="244" w:type="dxa"/>
            <w:vAlign w:val="top"/>
          </w:tcPr>
          <w:p w14:paraId="12CF8832">
            <w:pPr>
              <w:spacing w:line="238" w:lineRule="exact"/>
              <w:rPr>
                <w:rFonts w:ascii="Arial"/>
                <w:sz w:val="20"/>
              </w:rPr>
            </w:pPr>
          </w:p>
        </w:tc>
      </w:tr>
      <w:tr w14:paraId="3F00D8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0" w:hRule="atLeast"/>
        </w:trPr>
        <w:tc>
          <w:tcPr>
            <w:tcW w:w="903" w:type="dxa"/>
            <w:vMerge w:val="continue"/>
            <w:tcBorders>
              <w:top w:val="nil"/>
            </w:tcBorders>
            <w:vAlign w:val="top"/>
          </w:tcPr>
          <w:p w14:paraId="0E5D670B">
            <w:pPr>
              <w:rPr>
                <w:rFonts w:ascii="Arial"/>
                <w:sz w:val="21"/>
              </w:rPr>
            </w:pPr>
          </w:p>
        </w:tc>
        <w:tc>
          <w:tcPr>
            <w:tcW w:w="2314" w:type="dxa"/>
            <w:vMerge w:val="continue"/>
            <w:tcBorders>
              <w:top w:val="nil"/>
            </w:tcBorders>
            <w:vAlign w:val="top"/>
          </w:tcPr>
          <w:p w14:paraId="3C25C5E9">
            <w:pPr>
              <w:rPr>
                <w:rFonts w:ascii="Arial"/>
                <w:sz w:val="21"/>
              </w:rPr>
            </w:pPr>
          </w:p>
        </w:tc>
        <w:tc>
          <w:tcPr>
            <w:tcW w:w="219" w:type="dxa"/>
            <w:vAlign w:val="top"/>
          </w:tcPr>
          <w:p w14:paraId="0A03BF07">
            <w:pPr>
              <w:spacing w:line="230" w:lineRule="exact"/>
              <w:rPr>
                <w:rFonts w:ascii="Arial"/>
                <w:sz w:val="20"/>
              </w:rPr>
            </w:pPr>
          </w:p>
        </w:tc>
        <w:tc>
          <w:tcPr>
            <w:tcW w:w="230" w:type="dxa"/>
            <w:vAlign w:val="top"/>
          </w:tcPr>
          <w:p w14:paraId="43056D91">
            <w:pPr>
              <w:spacing w:line="230" w:lineRule="exact"/>
              <w:rPr>
                <w:rFonts w:ascii="Arial"/>
                <w:sz w:val="20"/>
              </w:rPr>
            </w:pPr>
          </w:p>
        </w:tc>
        <w:tc>
          <w:tcPr>
            <w:tcW w:w="220" w:type="dxa"/>
            <w:vAlign w:val="top"/>
          </w:tcPr>
          <w:p w14:paraId="187E0817">
            <w:pPr>
              <w:spacing w:line="230" w:lineRule="exact"/>
              <w:rPr>
                <w:rFonts w:ascii="Arial"/>
                <w:sz w:val="20"/>
              </w:rPr>
            </w:pPr>
          </w:p>
        </w:tc>
        <w:tc>
          <w:tcPr>
            <w:tcW w:w="244" w:type="dxa"/>
            <w:vAlign w:val="top"/>
          </w:tcPr>
          <w:p w14:paraId="2CCFA88A">
            <w:pPr>
              <w:spacing w:line="230" w:lineRule="exact"/>
              <w:rPr>
                <w:rFonts w:ascii="Arial"/>
                <w:sz w:val="20"/>
              </w:rPr>
            </w:pPr>
          </w:p>
        </w:tc>
      </w:tr>
      <w:tr w14:paraId="139C5D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9" w:hRule="atLeast"/>
        </w:trPr>
        <w:tc>
          <w:tcPr>
            <w:tcW w:w="903" w:type="dxa"/>
            <w:vMerge w:val="restart"/>
            <w:tcBorders>
              <w:bottom w:val="nil"/>
            </w:tcBorders>
            <w:vAlign w:val="top"/>
          </w:tcPr>
          <w:p w14:paraId="7C2F7AB3">
            <w:pPr>
              <w:spacing w:line="309" w:lineRule="auto"/>
              <w:rPr>
                <w:rFonts w:ascii="Arial"/>
                <w:sz w:val="21"/>
              </w:rPr>
            </w:pPr>
          </w:p>
          <w:p w14:paraId="4000C691">
            <w:pPr>
              <w:pStyle w:val="6"/>
              <w:spacing w:before="56" w:line="221" w:lineRule="auto"/>
              <w:ind w:left="105"/>
            </w:pPr>
            <w:r>
              <w:rPr>
                <w:spacing w:val="-2"/>
              </w:rPr>
              <w:t>肝性脑病</w:t>
            </w:r>
          </w:p>
        </w:tc>
        <w:tc>
          <w:tcPr>
            <w:tcW w:w="2314" w:type="dxa"/>
            <w:vMerge w:val="restart"/>
            <w:tcBorders>
              <w:bottom w:val="nil"/>
            </w:tcBorders>
            <w:vAlign w:val="top"/>
          </w:tcPr>
          <w:p w14:paraId="4BCD26B6">
            <w:pPr>
              <w:pStyle w:val="6"/>
              <w:spacing w:before="56" w:line="219" w:lineRule="auto"/>
              <w:ind w:left="12"/>
            </w:pPr>
            <w:r>
              <w:rPr>
                <w:spacing w:val="1"/>
              </w:rPr>
              <w:t>1.概念</w:t>
            </w:r>
          </w:p>
          <w:p w14:paraId="00FA6943">
            <w:pPr>
              <w:pStyle w:val="6"/>
              <w:spacing w:before="17" w:line="218" w:lineRule="auto"/>
              <w:ind w:left="12" w:right="1280"/>
            </w:pPr>
            <w:r>
              <w:rPr>
                <w:spacing w:val="-2"/>
              </w:rPr>
              <w:t>2.原因和类型</w:t>
            </w:r>
            <w:r>
              <w:rPr>
                <w:spacing w:val="4"/>
              </w:rPr>
              <w:t xml:space="preserve"> </w:t>
            </w:r>
            <w:r>
              <w:rPr>
                <w:spacing w:val="2"/>
              </w:rPr>
              <w:t>3.发病机制</w:t>
            </w:r>
          </w:p>
          <w:p w14:paraId="49031B13">
            <w:pPr>
              <w:pStyle w:val="6"/>
              <w:spacing w:before="19" w:line="203" w:lineRule="auto"/>
              <w:ind w:left="12"/>
            </w:pPr>
            <w:r>
              <w:rPr>
                <w:spacing w:val="1"/>
              </w:rPr>
              <w:t>4.诱因及防治原则</w:t>
            </w:r>
          </w:p>
        </w:tc>
        <w:tc>
          <w:tcPr>
            <w:tcW w:w="219" w:type="dxa"/>
            <w:vAlign w:val="top"/>
          </w:tcPr>
          <w:p w14:paraId="4FF07C1B">
            <w:pPr>
              <w:spacing w:line="208" w:lineRule="exact"/>
              <w:rPr>
                <w:rFonts w:ascii="Arial"/>
                <w:sz w:val="18"/>
              </w:rPr>
            </w:pPr>
          </w:p>
        </w:tc>
        <w:tc>
          <w:tcPr>
            <w:tcW w:w="230" w:type="dxa"/>
            <w:vAlign w:val="top"/>
          </w:tcPr>
          <w:p w14:paraId="19263C68">
            <w:pPr>
              <w:spacing w:line="208" w:lineRule="exact"/>
              <w:rPr>
                <w:rFonts w:ascii="Arial"/>
                <w:sz w:val="18"/>
              </w:rPr>
            </w:pPr>
          </w:p>
        </w:tc>
        <w:tc>
          <w:tcPr>
            <w:tcW w:w="220" w:type="dxa"/>
            <w:vAlign w:val="top"/>
          </w:tcPr>
          <w:p w14:paraId="67157BC6">
            <w:pPr>
              <w:spacing w:line="208" w:lineRule="exact"/>
              <w:rPr>
                <w:rFonts w:ascii="Arial"/>
                <w:sz w:val="18"/>
              </w:rPr>
            </w:pPr>
          </w:p>
        </w:tc>
        <w:tc>
          <w:tcPr>
            <w:tcW w:w="244" w:type="dxa"/>
            <w:vAlign w:val="top"/>
          </w:tcPr>
          <w:p w14:paraId="1F2E39D7">
            <w:pPr>
              <w:spacing w:line="208" w:lineRule="exact"/>
              <w:rPr>
                <w:rFonts w:ascii="Arial"/>
                <w:sz w:val="18"/>
              </w:rPr>
            </w:pPr>
          </w:p>
        </w:tc>
      </w:tr>
      <w:tr w14:paraId="4FE983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0" w:hRule="atLeast"/>
        </w:trPr>
        <w:tc>
          <w:tcPr>
            <w:tcW w:w="903" w:type="dxa"/>
            <w:vMerge w:val="continue"/>
            <w:tcBorders>
              <w:top w:val="nil"/>
              <w:bottom w:val="nil"/>
            </w:tcBorders>
            <w:vAlign w:val="top"/>
          </w:tcPr>
          <w:p w14:paraId="4E6DA6D8">
            <w:pPr>
              <w:rPr>
                <w:rFonts w:ascii="Arial"/>
                <w:sz w:val="21"/>
              </w:rPr>
            </w:pPr>
          </w:p>
        </w:tc>
        <w:tc>
          <w:tcPr>
            <w:tcW w:w="2314" w:type="dxa"/>
            <w:vMerge w:val="continue"/>
            <w:tcBorders>
              <w:top w:val="nil"/>
              <w:bottom w:val="nil"/>
            </w:tcBorders>
            <w:vAlign w:val="top"/>
          </w:tcPr>
          <w:p w14:paraId="19913C83">
            <w:pPr>
              <w:rPr>
                <w:rFonts w:ascii="Arial"/>
                <w:sz w:val="21"/>
              </w:rPr>
            </w:pPr>
          </w:p>
        </w:tc>
        <w:tc>
          <w:tcPr>
            <w:tcW w:w="219" w:type="dxa"/>
            <w:vAlign w:val="top"/>
          </w:tcPr>
          <w:p w14:paraId="7F22983C">
            <w:pPr>
              <w:pStyle w:val="6"/>
              <w:spacing w:before="58" w:line="201" w:lineRule="auto"/>
              <w:ind w:left="18"/>
              <w:rPr>
                <w:sz w:val="13"/>
                <w:szCs w:val="13"/>
              </w:rPr>
            </w:pPr>
            <w:r>
              <w:rPr>
                <w:sz w:val="13"/>
                <w:szCs w:val="13"/>
              </w:rPr>
              <w:t>√</w:t>
            </w:r>
          </w:p>
        </w:tc>
        <w:tc>
          <w:tcPr>
            <w:tcW w:w="230" w:type="dxa"/>
            <w:vAlign w:val="top"/>
          </w:tcPr>
          <w:p w14:paraId="75EE2482">
            <w:pPr>
              <w:spacing w:line="200" w:lineRule="exact"/>
              <w:rPr>
                <w:rFonts w:ascii="Arial"/>
                <w:sz w:val="17"/>
              </w:rPr>
            </w:pPr>
          </w:p>
        </w:tc>
        <w:tc>
          <w:tcPr>
            <w:tcW w:w="220" w:type="dxa"/>
            <w:vAlign w:val="top"/>
          </w:tcPr>
          <w:p w14:paraId="20F8CC4D">
            <w:pPr>
              <w:spacing w:line="200" w:lineRule="exact"/>
              <w:rPr>
                <w:rFonts w:ascii="Arial"/>
                <w:sz w:val="17"/>
              </w:rPr>
            </w:pPr>
          </w:p>
        </w:tc>
        <w:tc>
          <w:tcPr>
            <w:tcW w:w="244" w:type="dxa"/>
            <w:vAlign w:val="top"/>
          </w:tcPr>
          <w:p w14:paraId="61A3B8EE">
            <w:pPr>
              <w:spacing w:line="200" w:lineRule="exact"/>
              <w:rPr>
                <w:rFonts w:ascii="Arial"/>
                <w:sz w:val="17"/>
              </w:rPr>
            </w:pPr>
          </w:p>
        </w:tc>
      </w:tr>
      <w:tr w14:paraId="19A41B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9" w:hRule="atLeast"/>
        </w:trPr>
        <w:tc>
          <w:tcPr>
            <w:tcW w:w="903" w:type="dxa"/>
            <w:vMerge w:val="continue"/>
            <w:tcBorders>
              <w:top w:val="nil"/>
              <w:bottom w:val="nil"/>
            </w:tcBorders>
            <w:vAlign w:val="top"/>
          </w:tcPr>
          <w:p w14:paraId="4600AB29">
            <w:pPr>
              <w:rPr>
                <w:rFonts w:ascii="Arial"/>
                <w:sz w:val="21"/>
              </w:rPr>
            </w:pPr>
          </w:p>
        </w:tc>
        <w:tc>
          <w:tcPr>
            <w:tcW w:w="2314" w:type="dxa"/>
            <w:vMerge w:val="continue"/>
            <w:tcBorders>
              <w:top w:val="nil"/>
              <w:bottom w:val="nil"/>
            </w:tcBorders>
            <w:vAlign w:val="top"/>
          </w:tcPr>
          <w:p w14:paraId="7C8D6B98">
            <w:pPr>
              <w:rPr>
                <w:rFonts w:ascii="Arial"/>
                <w:sz w:val="21"/>
              </w:rPr>
            </w:pPr>
          </w:p>
        </w:tc>
        <w:tc>
          <w:tcPr>
            <w:tcW w:w="219" w:type="dxa"/>
            <w:vAlign w:val="top"/>
          </w:tcPr>
          <w:p w14:paraId="371F9C16">
            <w:pPr>
              <w:spacing w:line="208" w:lineRule="exact"/>
              <w:rPr>
                <w:rFonts w:ascii="Arial"/>
                <w:sz w:val="18"/>
              </w:rPr>
            </w:pPr>
          </w:p>
        </w:tc>
        <w:tc>
          <w:tcPr>
            <w:tcW w:w="230" w:type="dxa"/>
            <w:vAlign w:val="top"/>
          </w:tcPr>
          <w:p w14:paraId="7D49DC3C">
            <w:pPr>
              <w:spacing w:line="208" w:lineRule="exact"/>
              <w:rPr>
                <w:rFonts w:ascii="Arial"/>
                <w:sz w:val="18"/>
              </w:rPr>
            </w:pPr>
          </w:p>
        </w:tc>
        <w:tc>
          <w:tcPr>
            <w:tcW w:w="220" w:type="dxa"/>
            <w:vAlign w:val="top"/>
          </w:tcPr>
          <w:p w14:paraId="0D4F4A87">
            <w:pPr>
              <w:spacing w:line="208" w:lineRule="exact"/>
              <w:rPr>
                <w:rFonts w:ascii="Arial"/>
                <w:sz w:val="18"/>
              </w:rPr>
            </w:pPr>
          </w:p>
        </w:tc>
        <w:tc>
          <w:tcPr>
            <w:tcW w:w="244" w:type="dxa"/>
            <w:vAlign w:val="top"/>
          </w:tcPr>
          <w:p w14:paraId="02D29A55">
            <w:pPr>
              <w:spacing w:line="208" w:lineRule="exact"/>
              <w:rPr>
                <w:rFonts w:ascii="Arial"/>
                <w:sz w:val="18"/>
              </w:rPr>
            </w:pPr>
          </w:p>
        </w:tc>
      </w:tr>
      <w:tr w14:paraId="379970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5" w:hRule="atLeast"/>
        </w:trPr>
        <w:tc>
          <w:tcPr>
            <w:tcW w:w="903" w:type="dxa"/>
            <w:vMerge w:val="continue"/>
            <w:tcBorders>
              <w:top w:val="nil"/>
            </w:tcBorders>
            <w:vAlign w:val="top"/>
          </w:tcPr>
          <w:p w14:paraId="30C974BE">
            <w:pPr>
              <w:rPr>
                <w:rFonts w:ascii="Arial"/>
                <w:sz w:val="21"/>
              </w:rPr>
            </w:pPr>
          </w:p>
        </w:tc>
        <w:tc>
          <w:tcPr>
            <w:tcW w:w="2314" w:type="dxa"/>
            <w:vMerge w:val="continue"/>
            <w:tcBorders>
              <w:top w:val="nil"/>
            </w:tcBorders>
            <w:vAlign w:val="top"/>
          </w:tcPr>
          <w:p w14:paraId="6E399217">
            <w:pPr>
              <w:rPr>
                <w:rFonts w:ascii="Arial"/>
                <w:sz w:val="21"/>
              </w:rPr>
            </w:pPr>
          </w:p>
        </w:tc>
        <w:tc>
          <w:tcPr>
            <w:tcW w:w="219" w:type="dxa"/>
            <w:vAlign w:val="top"/>
          </w:tcPr>
          <w:p w14:paraId="762435FE">
            <w:pPr>
              <w:spacing w:line="205" w:lineRule="exact"/>
              <w:rPr>
                <w:rFonts w:ascii="Arial"/>
                <w:sz w:val="17"/>
              </w:rPr>
            </w:pPr>
          </w:p>
        </w:tc>
        <w:tc>
          <w:tcPr>
            <w:tcW w:w="230" w:type="dxa"/>
            <w:vAlign w:val="top"/>
          </w:tcPr>
          <w:p w14:paraId="17ED6FE3">
            <w:pPr>
              <w:spacing w:line="205" w:lineRule="exact"/>
              <w:rPr>
                <w:rFonts w:ascii="Arial"/>
                <w:sz w:val="17"/>
              </w:rPr>
            </w:pPr>
          </w:p>
        </w:tc>
        <w:tc>
          <w:tcPr>
            <w:tcW w:w="220" w:type="dxa"/>
            <w:vAlign w:val="top"/>
          </w:tcPr>
          <w:p w14:paraId="4A3BC889">
            <w:pPr>
              <w:spacing w:line="205" w:lineRule="exact"/>
              <w:rPr>
                <w:rFonts w:ascii="Arial"/>
                <w:sz w:val="17"/>
              </w:rPr>
            </w:pPr>
          </w:p>
        </w:tc>
        <w:tc>
          <w:tcPr>
            <w:tcW w:w="244" w:type="dxa"/>
            <w:vAlign w:val="top"/>
          </w:tcPr>
          <w:p w14:paraId="29D4D9BD">
            <w:pPr>
              <w:spacing w:line="205" w:lineRule="exact"/>
              <w:rPr>
                <w:rFonts w:ascii="Arial"/>
                <w:sz w:val="17"/>
              </w:rPr>
            </w:pPr>
          </w:p>
        </w:tc>
      </w:tr>
    </w:tbl>
    <w:p w14:paraId="204708D8">
      <w:pPr>
        <w:spacing w:before="128" w:line="221" w:lineRule="auto"/>
        <w:ind w:left="987"/>
        <w:rPr>
          <w:rFonts w:ascii="黑体" w:hAnsi="黑体" w:eastAsia="黑体" w:cs="黑体"/>
          <w:sz w:val="20"/>
          <w:szCs w:val="20"/>
        </w:rPr>
      </w:pPr>
      <w:r>
        <w:rPr>
          <w:rFonts w:ascii="黑体" w:hAnsi="黑体" w:eastAsia="黑体" w:cs="黑体"/>
          <w:b/>
          <w:bCs/>
          <w:spacing w:val="-7"/>
          <w:sz w:val="20"/>
          <w:szCs w:val="20"/>
        </w:rPr>
        <w:t>第十二章</w:t>
      </w:r>
      <w:r>
        <w:rPr>
          <w:rFonts w:ascii="黑体" w:hAnsi="黑体" w:eastAsia="黑体" w:cs="黑体"/>
          <w:spacing w:val="11"/>
          <w:sz w:val="20"/>
          <w:szCs w:val="20"/>
        </w:rPr>
        <w:t xml:space="preserve">  </w:t>
      </w:r>
      <w:r>
        <w:rPr>
          <w:rFonts w:ascii="黑体" w:hAnsi="黑体" w:eastAsia="黑体" w:cs="黑体"/>
          <w:b/>
          <w:bCs/>
          <w:spacing w:val="-7"/>
          <w:sz w:val="20"/>
          <w:szCs w:val="20"/>
        </w:rPr>
        <w:t>泌尿系统疾病</w:t>
      </w:r>
    </w:p>
    <w:p w14:paraId="5920B628">
      <w:pPr>
        <w:spacing w:line="72" w:lineRule="exact"/>
      </w:pPr>
    </w:p>
    <w:tbl>
      <w:tblPr>
        <w:tblStyle w:val="5"/>
        <w:tblW w:w="413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03"/>
        <w:gridCol w:w="2314"/>
        <w:gridCol w:w="219"/>
        <w:gridCol w:w="230"/>
        <w:gridCol w:w="220"/>
        <w:gridCol w:w="244"/>
      </w:tblGrid>
      <w:tr w14:paraId="59CE58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9" w:hRule="atLeast"/>
        </w:trPr>
        <w:tc>
          <w:tcPr>
            <w:tcW w:w="903" w:type="dxa"/>
            <w:vMerge w:val="restart"/>
            <w:tcBorders>
              <w:top w:val="single" w:color="000000" w:sz="2" w:space="0"/>
              <w:bottom w:val="nil"/>
            </w:tcBorders>
            <w:vAlign w:val="top"/>
          </w:tcPr>
          <w:p w14:paraId="3CCD19D6">
            <w:pPr>
              <w:pStyle w:val="6"/>
              <w:spacing w:before="176" w:line="231" w:lineRule="auto"/>
              <w:ind w:left="276" w:right="35" w:hanging="259"/>
            </w:pPr>
            <w:r>
              <w:rPr>
                <w:b/>
                <w:bCs/>
                <w:spacing w:val="-4"/>
              </w:rPr>
              <w:t>知识与技能</w:t>
            </w:r>
            <w:r>
              <w:t xml:space="preserve"> </w:t>
            </w:r>
            <w:r>
              <w:rPr>
                <w:b/>
                <w:bCs/>
                <w:spacing w:val="-4"/>
              </w:rPr>
              <w:t>要点</w:t>
            </w:r>
          </w:p>
        </w:tc>
        <w:tc>
          <w:tcPr>
            <w:tcW w:w="2314" w:type="dxa"/>
            <w:vMerge w:val="restart"/>
            <w:tcBorders>
              <w:top w:val="single" w:color="000000" w:sz="2" w:space="0"/>
              <w:bottom w:val="nil"/>
            </w:tcBorders>
            <w:vAlign w:val="top"/>
          </w:tcPr>
          <w:p w14:paraId="5E1FA77A">
            <w:pPr>
              <w:pStyle w:val="6"/>
              <w:spacing w:before="284" w:line="219" w:lineRule="auto"/>
              <w:ind w:left="824"/>
            </w:pPr>
            <w:r>
              <w:rPr>
                <w:b/>
                <w:bCs/>
                <w:spacing w:val="5"/>
              </w:rPr>
              <w:t>考试条目</w:t>
            </w:r>
          </w:p>
        </w:tc>
        <w:tc>
          <w:tcPr>
            <w:tcW w:w="913" w:type="dxa"/>
            <w:gridSpan w:val="4"/>
            <w:tcBorders>
              <w:top w:val="single" w:color="000000" w:sz="2" w:space="0"/>
              <w:bottom w:val="single" w:color="000000" w:sz="2" w:space="0"/>
            </w:tcBorders>
            <w:vAlign w:val="top"/>
          </w:tcPr>
          <w:p w14:paraId="2BC4E506">
            <w:pPr>
              <w:pStyle w:val="6"/>
              <w:spacing w:before="104" w:line="219" w:lineRule="auto"/>
              <w:ind w:left="140"/>
            </w:pPr>
            <w:r>
              <w:rPr>
                <w:b/>
                <w:bCs/>
                <w:spacing w:val="-4"/>
              </w:rPr>
              <w:t>考试水平</w:t>
            </w:r>
          </w:p>
        </w:tc>
      </w:tr>
      <w:tr w14:paraId="7A5EC9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4" w:hRule="atLeast"/>
        </w:trPr>
        <w:tc>
          <w:tcPr>
            <w:tcW w:w="903" w:type="dxa"/>
            <w:vMerge w:val="continue"/>
            <w:tcBorders>
              <w:top w:val="nil"/>
              <w:bottom w:val="single" w:color="000000" w:sz="2" w:space="0"/>
            </w:tcBorders>
            <w:vAlign w:val="top"/>
          </w:tcPr>
          <w:p w14:paraId="1C0C636A">
            <w:pPr>
              <w:rPr>
                <w:rFonts w:ascii="Arial"/>
                <w:sz w:val="21"/>
              </w:rPr>
            </w:pPr>
          </w:p>
        </w:tc>
        <w:tc>
          <w:tcPr>
            <w:tcW w:w="2314" w:type="dxa"/>
            <w:vMerge w:val="continue"/>
            <w:tcBorders>
              <w:top w:val="nil"/>
              <w:bottom w:val="single" w:color="000000" w:sz="2" w:space="0"/>
            </w:tcBorders>
            <w:vAlign w:val="top"/>
          </w:tcPr>
          <w:p w14:paraId="3FA38E71">
            <w:pPr>
              <w:rPr>
                <w:rFonts w:ascii="Arial"/>
                <w:sz w:val="21"/>
              </w:rPr>
            </w:pPr>
          </w:p>
        </w:tc>
        <w:tc>
          <w:tcPr>
            <w:tcW w:w="219" w:type="dxa"/>
            <w:tcBorders>
              <w:top w:val="single" w:color="000000" w:sz="2" w:space="0"/>
              <w:bottom w:val="single" w:color="000000" w:sz="2" w:space="0"/>
            </w:tcBorders>
            <w:vAlign w:val="top"/>
          </w:tcPr>
          <w:p w14:paraId="391BA25F">
            <w:pPr>
              <w:pStyle w:val="6"/>
              <w:spacing w:before="135" w:line="184" w:lineRule="auto"/>
              <w:ind w:left="60"/>
            </w:pPr>
            <w:r>
              <w:rPr>
                <w:b/>
                <w:bCs/>
                <w:spacing w:val="-2"/>
              </w:rPr>
              <w:t>A</w:t>
            </w:r>
          </w:p>
        </w:tc>
        <w:tc>
          <w:tcPr>
            <w:tcW w:w="230" w:type="dxa"/>
            <w:tcBorders>
              <w:top w:val="single" w:color="000000" w:sz="2" w:space="0"/>
              <w:bottom w:val="single" w:color="000000" w:sz="2" w:space="0"/>
            </w:tcBorders>
            <w:vAlign w:val="top"/>
          </w:tcPr>
          <w:p w14:paraId="0B0B6DD8">
            <w:pPr>
              <w:pStyle w:val="6"/>
              <w:spacing w:before="137" w:line="182" w:lineRule="auto"/>
              <w:ind w:left="21"/>
            </w:pPr>
            <w:r>
              <w:rPr>
                <w:b/>
                <w:bCs/>
                <w:spacing w:val="-2"/>
              </w:rPr>
              <w:t>B</w:t>
            </w:r>
          </w:p>
        </w:tc>
        <w:tc>
          <w:tcPr>
            <w:tcW w:w="220" w:type="dxa"/>
            <w:tcBorders>
              <w:top w:val="single" w:color="000000" w:sz="2" w:space="0"/>
              <w:bottom w:val="single" w:color="000000" w:sz="2" w:space="0"/>
            </w:tcBorders>
            <w:vAlign w:val="top"/>
          </w:tcPr>
          <w:p w14:paraId="450EA0B3">
            <w:pPr>
              <w:pStyle w:val="6"/>
              <w:spacing w:before="131" w:line="183" w:lineRule="auto"/>
              <w:ind w:left="61"/>
              <w:rPr>
                <w:sz w:val="19"/>
                <w:szCs w:val="19"/>
              </w:rPr>
            </w:pPr>
            <w:r>
              <w:rPr>
                <w:b/>
                <w:bCs/>
                <w:spacing w:val="-2"/>
                <w:sz w:val="19"/>
                <w:szCs w:val="19"/>
              </w:rPr>
              <w:t>C</w:t>
            </w:r>
          </w:p>
        </w:tc>
        <w:tc>
          <w:tcPr>
            <w:tcW w:w="244" w:type="dxa"/>
            <w:tcBorders>
              <w:top w:val="single" w:color="000000" w:sz="2" w:space="0"/>
              <w:bottom w:val="single" w:color="000000" w:sz="2" w:space="0"/>
            </w:tcBorders>
            <w:vAlign w:val="top"/>
          </w:tcPr>
          <w:p w14:paraId="2073FEB1">
            <w:pPr>
              <w:pStyle w:val="6"/>
              <w:spacing w:before="137" w:line="182" w:lineRule="auto"/>
              <w:ind w:left="21"/>
            </w:pPr>
            <w:r>
              <w:rPr>
                <w:b/>
                <w:bCs/>
                <w:spacing w:val="-2"/>
              </w:rPr>
              <w:t>D</w:t>
            </w:r>
          </w:p>
        </w:tc>
      </w:tr>
      <w:tr w14:paraId="49AF59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4" w:hRule="atLeast"/>
        </w:trPr>
        <w:tc>
          <w:tcPr>
            <w:tcW w:w="903" w:type="dxa"/>
            <w:vMerge w:val="restart"/>
            <w:tcBorders>
              <w:top w:val="single" w:color="000000" w:sz="2" w:space="0"/>
              <w:bottom w:val="nil"/>
            </w:tcBorders>
            <w:vAlign w:val="top"/>
          </w:tcPr>
          <w:p w14:paraId="21B974DA">
            <w:pPr>
              <w:pStyle w:val="6"/>
              <w:spacing w:before="183" w:line="219" w:lineRule="auto"/>
              <w:ind w:left="185"/>
            </w:pPr>
            <w:r>
              <w:rPr>
                <w:spacing w:val="2"/>
              </w:rPr>
              <w:t>肾小球</w:t>
            </w:r>
          </w:p>
          <w:p w14:paraId="06BA3F97">
            <w:pPr>
              <w:pStyle w:val="6"/>
              <w:spacing w:before="38" w:line="219" w:lineRule="auto"/>
              <w:ind w:left="275"/>
            </w:pPr>
            <w:r>
              <w:rPr>
                <w:spacing w:val="5"/>
              </w:rPr>
              <w:t>肾炎</w:t>
            </w:r>
          </w:p>
        </w:tc>
        <w:tc>
          <w:tcPr>
            <w:tcW w:w="2314" w:type="dxa"/>
            <w:vMerge w:val="restart"/>
            <w:tcBorders>
              <w:top w:val="single" w:color="000000" w:sz="2" w:space="0"/>
              <w:bottom w:val="nil"/>
            </w:tcBorders>
            <w:vAlign w:val="top"/>
          </w:tcPr>
          <w:p w14:paraId="218F3A07">
            <w:pPr>
              <w:pStyle w:val="6"/>
              <w:spacing w:before="92" w:line="237" w:lineRule="auto"/>
              <w:ind w:left="12" w:right="407"/>
            </w:pPr>
            <w:r>
              <w:rPr>
                <w:spacing w:val="1"/>
              </w:rPr>
              <w:t xml:space="preserve">1.概念、病因和发病机制 </w:t>
            </w:r>
            <w:r>
              <w:rPr>
                <w:spacing w:val="-2"/>
              </w:rPr>
              <w:t>2.分类</w:t>
            </w:r>
          </w:p>
          <w:p w14:paraId="5128B85F">
            <w:pPr>
              <w:pStyle w:val="6"/>
              <w:spacing w:before="14" w:line="219" w:lineRule="auto"/>
              <w:ind w:left="12"/>
            </w:pPr>
            <w:r>
              <w:t>3.常见肾小球肾炎的类型</w:t>
            </w:r>
          </w:p>
        </w:tc>
        <w:tc>
          <w:tcPr>
            <w:tcW w:w="219" w:type="dxa"/>
            <w:tcBorders>
              <w:top w:val="single" w:color="000000" w:sz="2" w:space="0"/>
              <w:bottom w:val="single" w:color="000000" w:sz="2" w:space="0"/>
            </w:tcBorders>
            <w:vAlign w:val="top"/>
          </w:tcPr>
          <w:p w14:paraId="68907F25">
            <w:pPr>
              <w:pStyle w:val="6"/>
              <w:spacing w:before="83" w:line="238" w:lineRule="auto"/>
              <w:ind w:left="48"/>
              <w:rPr>
                <w:sz w:val="12"/>
                <w:szCs w:val="12"/>
              </w:rPr>
            </w:pPr>
            <w:r>
              <w:rPr>
                <w:sz w:val="12"/>
                <w:szCs w:val="12"/>
              </w:rPr>
              <w:t>√</w:t>
            </w:r>
          </w:p>
        </w:tc>
        <w:tc>
          <w:tcPr>
            <w:tcW w:w="230" w:type="dxa"/>
            <w:tcBorders>
              <w:top w:val="single" w:color="000000" w:sz="2" w:space="0"/>
              <w:bottom w:val="single" w:color="000000" w:sz="2" w:space="0"/>
            </w:tcBorders>
            <w:vAlign w:val="top"/>
          </w:tcPr>
          <w:p w14:paraId="03CEE07A">
            <w:pPr>
              <w:rPr>
                <w:rFonts w:ascii="Arial"/>
                <w:sz w:val="21"/>
              </w:rPr>
            </w:pPr>
          </w:p>
        </w:tc>
        <w:tc>
          <w:tcPr>
            <w:tcW w:w="220" w:type="dxa"/>
            <w:tcBorders>
              <w:top w:val="single" w:color="000000" w:sz="2" w:space="0"/>
              <w:bottom w:val="single" w:color="000000" w:sz="2" w:space="0"/>
            </w:tcBorders>
            <w:vAlign w:val="top"/>
          </w:tcPr>
          <w:p w14:paraId="37AF6BA4">
            <w:pPr>
              <w:rPr>
                <w:rFonts w:ascii="Arial"/>
                <w:sz w:val="21"/>
              </w:rPr>
            </w:pPr>
          </w:p>
        </w:tc>
        <w:tc>
          <w:tcPr>
            <w:tcW w:w="244" w:type="dxa"/>
            <w:tcBorders>
              <w:top w:val="single" w:color="000000" w:sz="2" w:space="0"/>
              <w:bottom w:val="single" w:color="000000" w:sz="2" w:space="0"/>
            </w:tcBorders>
            <w:vAlign w:val="top"/>
          </w:tcPr>
          <w:p w14:paraId="09E6B5CB">
            <w:pPr>
              <w:rPr>
                <w:rFonts w:ascii="Arial"/>
                <w:sz w:val="21"/>
              </w:rPr>
            </w:pPr>
          </w:p>
        </w:tc>
      </w:tr>
      <w:tr w14:paraId="3A065A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4" w:hRule="atLeast"/>
        </w:trPr>
        <w:tc>
          <w:tcPr>
            <w:tcW w:w="903" w:type="dxa"/>
            <w:vMerge w:val="continue"/>
            <w:tcBorders>
              <w:top w:val="nil"/>
              <w:bottom w:val="nil"/>
            </w:tcBorders>
            <w:vAlign w:val="top"/>
          </w:tcPr>
          <w:p w14:paraId="4A2793DF">
            <w:pPr>
              <w:rPr>
                <w:rFonts w:ascii="Arial"/>
                <w:sz w:val="21"/>
              </w:rPr>
            </w:pPr>
          </w:p>
        </w:tc>
        <w:tc>
          <w:tcPr>
            <w:tcW w:w="2314" w:type="dxa"/>
            <w:vMerge w:val="continue"/>
            <w:tcBorders>
              <w:top w:val="nil"/>
              <w:bottom w:val="nil"/>
            </w:tcBorders>
            <w:vAlign w:val="top"/>
          </w:tcPr>
          <w:p w14:paraId="26AA737E">
            <w:pPr>
              <w:rPr>
                <w:rFonts w:ascii="Arial"/>
                <w:sz w:val="21"/>
              </w:rPr>
            </w:pPr>
          </w:p>
        </w:tc>
        <w:tc>
          <w:tcPr>
            <w:tcW w:w="219" w:type="dxa"/>
            <w:tcBorders>
              <w:top w:val="single" w:color="000000" w:sz="2" w:space="0"/>
              <w:bottom w:val="single" w:color="000000" w:sz="2" w:space="0"/>
            </w:tcBorders>
            <w:vAlign w:val="top"/>
          </w:tcPr>
          <w:p w14:paraId="115FA9A2">
            <w:pPr>
              <w:spacing w:line="233" w:lineRule="exact"/>
              <w:rPr>
                <w:rFonts w:ascii="Arial"/>
                <w:sz w:val="20"/>
              </w:rPr>
            </w:pPr>
          </w:p>
        </w:tc>
        <w:tc>
          <w:tcPr>
            <w:tcW w:w="230" w:type="dxa"/>
            <w:tcBorders>
              <w:top w:val="single" w:color="000000" w:sz="2" w:space="0"/>
              <w:bottom w:val="single" w:color="000000" w:sz="2" w:space="0"/>
            </w:tcBorders>
            <w:vAlign w:val="top"/>
          </w:tcPr>
          <w:p w14:paraId="398AD093">
            <w:pPr>
              <w:pStyle w:val="6"/>
              <w:spacing w:before="74" w:line="238" w:lineRule="auto"/>
              <w:ind w:left="19"/>
              <w:rPr>
                <w:sz w:val="12"/>
                <w:szCs w:val="12"/>
              </w:rPr>
            </w:pPr>
            <w:r>
              <w:rPr>
                <w:sz w:val="12"/>
                <w:szCs w:val="12"/>
              </w:rPr>
              <w:t>√</w:t>
            </w:r>
          </w:p>
        </w:tc>
        <w:tc>
          <w:tcPr>
            <w:tcW w:w="220" w:type="dxa"/>
            <w:tcBorders>
              <w:top w:val="single" w:color="000000" w:sz="2" w:space="0"/>
              <w:bottom w:val="single" w:color="000000" w:sz="2" w:space="0"/>
            </w:tcBorders>
            <w:vAlign w:val="top"/>
          </w:tcPr>
          <w:p w14:paraId="59245FA5">
            <w:pPr>
              <w:spacing w:line="233" w:lineRule="exact"/>
              <w:rPr>
                <w:rFonts w:ascii="Arial"/>
                <w:sz w:val="20"/>
              </w:rPr>
            </w:pPr>
          </w:p>
        </w:tc>
        <w:tc>
          <w:tcPr>
            <w:tcW w:w="244" w:type="dxa"/>
            <w:tcBorders>
              <w:top w:val="single" w:color="000000" w:sz="2" w:space="0"/>
              <w:bottom w:val="single" w:color="000000" w:sz="2" w:space="0"/>
            </w:tcBorders>
            <w:vAlign w:val="top"/>
          </w:tcPr>
          <w:p w14:paraId="0BD5A51F">
            <w:pPr>
              <w:spacing w:line="233" w:lineRule="exact"/>
              <w:rPr>
                <w:rFonts w:ascii="Arial"/>
                <w:sz w:val="20"/>
              </w:rPr>
            </w:pPr>
          </w:p>
        </w:tc>
      </w:tr>
      <w:tr w14:paraId="0CCA9C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4" w:hRule="atLeast"/>
        </w:trPr>
        <w:tc>
          <w:tcPr>
            <w:tcW w:w="903" w:type="dxa"/>
            <w:vMerge w:val="continue"/>
            <w:tcBorders>
              <w:top w:val="nil"/>
              <w:bottom w:val="single" w:color="000000" w:sz="2" w:space="0"/>
            </w:tcBorders>
            <w:vAlign w:val="top"/>
          </w:tcPr>
          <w:p w14:paraId="6924880B">
            <w:pPr>
              <w:rPr>
                <w:rFonts w:ascii="Arial"/>
                <w:sz w:val="21"/>
              </w:rPr>
            </w:pPr>
          </w:p>
        </w:tc>
        <w:tc>
          <w:tcPr>
            <w:tcW w:w="2314" w:type="dxa"/>
            <w:vMerge w:val="continue"/>
            <w:tcBorders>
              <w:top w:val="nil"/>
              <w:bottom w:val="single" w:color="000000" w:sz="2" w:space="0"/>
            </w:tcBorders>
            <w:vAlign w:val="top"/>
          </w:tcPr>
          <w:p w14:paraId="5344B8D9">
            <w:pPr>
              <w:rPr>
                <w:rFonts w:ascii="Arial"/>
                <w:sz w:val="21"/>
              </w:rPr>
            </w:pPr>
          </w:p>
        </w:tc>
        <w:tc>
          <w:tcPr>
            <w:tcW w:w="219" w:type="dxa"/>
            <w:tcBorders>
              <w:top w:val="single" w:color="000000" w:sz="2" w:space="0"/>
              <w:bottom w:val="single" w:color="000000" w:sz="2" w:space="0"/>
            </w:tcBorders>
            <w:vAlign w:val="top"/>
          </w:tcPr>
          <w:p w14:paraId="20526235">
            <w:pPr>
              <w:rPr>
                <w:rFonts w:ascii="Arial"/>
                <w:sz w:val="21"/>
              </w:rPr>
            </w:pPr>
          </w:p>
        </w:tc>
        <w:tc>
          <w:tcPr>
            <w:tcW w:w="230" w:type="dxa"/>
            <w:tcBorders>
              <w:top w:val="single" w:color="000000" w:sz="2" w:space="0"/>
              <w:bottom w:val="single" w:color="000000" w:sz="2" w:space="0"/>
            </w:tcBorders>
            <w:vAlign w:val="top"/>
          </w:tcPr>
          <w:p w14:paraId="5D5ACD95">
            <w:pPr>
              <w:rPr>
                <w:rFonts w:ascii="Arial"/>
                <w:sz w:val="21"/>
              </w:rPr>
            </w:pPr>
          </w:p>
        </w:tc>
        <w:tc>
          <w:tcPr>
            <w:tcW w:w="220" w:type="dxa"/>
            <w:tcBorders>
              <w:top w:val="single" w:color="000000" w:sz="2" w:space="0"/>
              <w:bottom w:val="single" w:color="000000" w:sz="2" w:space="0"/>
            </w:tcBorders>
            <w:vAlign w:val="top"/>
          </w:tcPr>
          <w:p w14:paraId="102867E1">
            <w:pPr>
              <w:pStyle w:val="6"/>
              <w:spacing w:before="85" w:line="238" w:lineRule="auto"/>
              <w:ind w:left="49"/>
              <w:rPr>
                <w:sz w:val="12"/>
                <w:szCs w:val="12"/>
              </w:rPr>
            </w:pPr>
            <w:r>
              <w:rPr>
                <w:sz w:val="12"/>
                <w:szCs w:val="12"/>
              </w:rPr>
              <w:t>√</w:t>
            </w:r>
          </w:p>
        </w:tc>
        <w:tc>
          <w:tcPr>
            <w:tcW w:w="244" w:type="dxa"/>
            <w:tcBorders>
              <w:top w:val="single" w:color="000000" w:sz="2" w:space="0"/>
              <w:bottom w:val="single" w:color="000000" w:sz="2" w:space="0"/>
            </w:tcBorders>
            <w:vAlign w:val="top"/>
          </w:tcPr>
          <w:p w14:paraId="742FAA29">
            <w:pPr>
              <w:rPr>
                <w:rFonts w:ascii="Arial"/>
                <w:sz w:val="21"/>
              </w:rPr>
            </w:pPr>
          </w:p>
        </w:tc>
      </w:tr>
      <w:tr w14:paraId="1B8BDB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4" w:hRule="atLeast"/>
        </w:trPr>
        <w:tc>
          <w:tcPr>
            <w:tcW w:w="903" w:type="dxa"/>
            <w:vMerge w:val="restart"/>
            <w:tcBorders>
              <w:top w:val="single" w:color="000000" w:sz="2" w:space="0"/>
              <w:bottom w:val="nil"/>
            </w:tcBorders>
            <w:vAlign w:val="top"/>
          </w:tcPr>
          <w:p w14:paraId="47FAE006">
            <w:pPr>
              <w:pStyle w:val="6"/>
              <w:spacing w:before="165" w:line="219" w:lineRule="auto"/>
              <w:ind w:left="185"/>
            </w:pPr>
            <w:r>
              <w:rPr>
                <w:spacing w:val="2"/>
              </w:rPr>
              <w:t>肾功能</w:t>
            </w:r>
          </w:p>
          <w:p w14:paraId="3E8637A9">
            <w:pPr>
              <w:pStyle w:val="6"/>
              <w:spacing w:before="28" w:line="218" w:lineRule="auto"/>
              <w:ind w:left="275"/>
            </w:pPr>
            <w:r>
              <w:rPr>
                <w:spacing w:val="-2"/>
              </w:rPr>
              <w:t>衰竭</w:t>
            </w:r>
          </w:p>
        </w:tc>
        <w:tc>
          <w:tcPr>
            <w:tcW w:w="2314" w:type="dxa"/>
            <w:vMerge w:val="restart"/>
            <w:tcBorders>
              <w:top w:val="single" w:color="000000" w:sz="2" w:space="0"/>
              <w:bottom w:val="nil"/>
            </w:tcBorders>
            <w:vAlign w:val="top"/>
          </w:tcPr>
          <w:p w14:paraId="3695371D">
            <w:pPr>
              <w:pStyle w:val="6"/>
              <w:spacing w:before="56" w:line="232" w:lineRule="auto"/>
              <w:ind w:left="12" w:right="920"/>
              <w:jc w:val="both"/>
            </w:pPr>
            <w:r>
              <w:rPr>
                <w:spacing w:val="1"/>
              </w:rPr>
              <w:t xml:space="preserve">1.急性肾功能衰竭 </w:t>
            </w:r>
            <w:r>
              <w:rPr>
                <w:spacing w:val="-1"/>
              </w:rPr>
              <w:t>2.慢性肾功能衰竭</w:t>
            </w:r>
            <w:r>
              <w:t xml:space="preserve"> </w:t>
            </w:r>
            <w:r>
              <w:rPr>
                <w:spacing w:val="-3"/>
              </w:rPr>
              <w:t>3.尿毒症</w:t>
            </w:r>
          </w:p>
        </w:tc>
        <w:tc>
          <w:tcPr>
            <w:tcW w:w="219" w:type="dxa"/>
            <w:tcBorders>
              <w:top w:val="single" w:color="000000" w:sz="2" w:space="0"/>
              <w:bottom w:val="single" w:color="000000" w:sz="2" w:space="0"/>
            </w:tcBorders>
            <w:vAlign w:val="top"/>
          </w:tcPr>
          <w:p w14:paraId="08DF6066">
            <w:pPr>
              <w:spacing w:line="233" w:lineRule="exact"/>
              <w:rPr>
                <w:rFonts w:ascii="Arial"/>
                <w:sz w:val="20"/>
              </w:rPr>
            </w:pPr>
          </w:p>
        </w:tc>
        <w:tc>
          <w:tcPr>
            <w:tcW w:w="230" w:type="dxa"/>
            <w:tcBorders>
              <w:top w:val="single" w:color="000000" w:sz="2" w:space="0"/>
              <w:bottom w:val="single" w:color="000000" w:sz="2" w:space="0"/>
            </w:tcBorders>
            <w:vAlign w:val="top"/>
          </w:tcPr>
          <w:p w14:paraId="62855081">
            <w:pPr>
              <w:spacing w:line="233" w:lineRule="exact"/>
              <w:rPr>
                <w:rFonts w:ascii="Arial"/>
                <w:sz w:val="20"/>
              </w:rPr>
            </w:pPr>
          </w:p>
        </w:tc>
        <w:tc>
          <w:tcPr>
            <w:tcW w:w="220" w:type="dxa"/>
            <w:tcBorders>
              <w:top w:val="single" w:color="000000" w:sz="2" w:space="0"/>
              <w:bottom w:val="single" w:color="000000" w:sz="2" w:space="0"/>
            </w:tcBorders>
            <w:vAlign w:val="top"/>
          </w:tcPr>
          <w:p w14:paraId="1403BF0E">
            <w:pPr>
              <w:pStyle w:val="6"/>
              <w:spacing w:before="75" w:line="238" w:lineRule="auto"/>
              <w:ind w:left="49"/>
              <w:rPr>
                <w:sz w:val="12"/>
                <w:szCs w:val="12"/>
              </w:rPr>
            </w:pPr>
            <w:r>
              <w:rPr>
                <w:sz w:val="12"/>
                <w:szCs w:val="12"/>
              </w:rPr>
              <w:t>√</w:t>
            </w:r>
          </w:p>
        </w:tc>
        <w:tc>
          <w:tcPr>
            <w:tcW w:w="244" w:type="dxa"/>
            <w:tcBorders>
              <w:top w:val="single" w:color="000000" w:sz="2" w:space="0"/>
              <w:bottom w:val="single" w:color="000000" w:sz="2" w:space="0"/>
            </w:tcBorders>
            <w:vAlign w:val="top"/>
          </w:tcPr>
          <w:p w14:paraId="588FD722">
            <w:pPr>
              <w:spacing w:line="233" w:lineRule="exact"/>
              <w:rPr>
                <w:rFonts w:ascii="Arial"/>
                <w:sz w:val="20"/>
              </w:rPr>
            </w:pPr>
          </w:p>
        </w:tc>
      </w:tr>
      <w:tr w14:paraId="07C46E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4" w:hRule="atLeast"/>
        </w:trPr>
        <w:tc>
          <w:tcPr>
            <w:tcW w:w="903" w:type="dxa"/>
            <w:vMerge w:val="continue"/>
            <w:tcBorders>
              <w:top w:val="nil"/>
              <w:bottom w:val="nil"/>
            </w:tcBorders>
            <w:vAlign w:val="top"/>
          </w:tcPr>
          <w:p w14:paraId="49FF9BAE">
            <w:pPr>
              <w:rPr>
                <w:rFonts w:ascii="Arial"/>
                <w:sz w:val="21"/>
              </w:rPr>
            </w:pPr>
          </w:p>
        </w:tc>
        <w:tc>
          <w:tcPr>
            <w:tcW w:w="2314" w:type="dxa"/>
            <w:vMerge w:val="continue"/>
            <w:tcBorders>
              <w:top w:val="nil"/>
              <w:bottom w:val="nil"/>
            </w:tcBorders>
            <w:vAlign w:val="top"/>
          </w:tcPr>
          <w:p w14:paraId="1C4DDFEF">
            <w:pPr>
              <w:rPr>
                <w:rFonts w:ascii="Arial"/>
                <w:sz w:val="21"/>
              </w:rPr>
            </w:pPr>
          </w:p>
        </w:tc>
        <w:tc>
          <w:tcPr>
            <w:tcW w:w="219" w:type="dxa"/>
            <w:tcBorders>
              <w:top w:val="single" w:color="000000" w:sz="2" w:space="0"/>
              <w:bottom w:val="single" w:color="000000" w:sz="2" w:space="0"/>
            </w:tcBorders>
            <w:vAlign w:val="top"/>
          </w:tcPr>
          <w:p w14:paraId="7590D815">
            <w:pPr>
              <w:spacing w:line="223" w:lineRule="exact"/>
              <w:rPr>
                <w:rFonts w:ascii="Arial"/>
                <w:sz w:val="19"/>
              </w:rPr>
            </w:pPr>
          </w:p>
        </w:tc>
        <w:tc>
          <w:tcPr>
            <w:tcW w:w="230" w:type="dxa"/>
            <w:tcBorders>
              <w:top w:val="single" w:color="000000" w:sz="2" w:space="0"/>
              <w:bottom w:val="single" w:color="000000" w:sz="2" w:space="0"/>
            </w:tcBorders>
            <w:vAlign w:val="top"/>
          </w:tcPr>
          <w:p w14:paraId="639B6924">
            <w:pPr>
              <w:pStyle w:val="6"/>
              <w:spacing w:before="77" w:line="226" w:lineRule="auto"/>
              <w:ind w:left="19"/>
              <w:rPr>
                <w:sz w:val="12"/>
                <w:szCs w:val="12"/>
              </w:rPr>
            </w:pPr>
            <w:r>
              <w:rPr>
                <w:sz w:val="12"/>
                <w:szCs w:val="12"/>
              </w:rPr>
              <w:t>√</w:t>
            </w:r>
          </w:p>
        </w:tc>
        <w:tc>
          <w:tcPr>
            <w:tcW w:w="220" w:type="dxa"/>
            <w:tcBorders>
              <w:top w:val="single" w:color="000000" w:sz="2" w:space="0"/>
              <w:bottom w:val="single" w:color="000000" w:sz="2" w:space="0"/>
            </w:tcBorders>
            <w:vAlign w:val="top"/>
          </w:tcPr>
          <w:p w14:paraId="2FB74D11">
            <w:pPr>
              <w:spacing w:line="223" w:lineRule="exact"/>
              <w:rPr>
                <w:rFonts w:ascii="Arial"/>
                <w:sz w:val="19"/>
              </w:rPr>
            </w:pPr>
          </w:p>
        </w:tc>
        <w:tc>
          <w:tcPr>
            <w:tcW w:w="244" w:type="dxa"/>
            <w:tcBorders>
              <w:top w:val="single" w:color="000000" w:sz="2" w:space="0"/>
              <w:bottom w:val="single" w:color="000000" w:sz="2" w:space="0"/>
            </w:tcBorders>
            <w:vAlign w:val="top"/>
          </w:tcPr>
          <w:p w14:paraId="5FA5B74F">
            <w:pPr>
              <w:spacing w:line="223" w:lineRule="exact"/>
              <w:rPr>
                <w:rFonts w:ascii="Arial"/>
                <w:sz w:val="19"/>
              </w:rPr>
            </w:pPr>
          </w:p>
        </w:tc>
      </w:tr>
      <w:tr w14:paraId="2089D6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0" w:hRule="atLeast"/>
        </w:trPr>
        <w:tc>
          <w:tcPr>
            <w:tcW w:w="903" w:type="dxa"/>
            <w:vMerge w:val="continue"/>
            <w:tcBorders>
              <w:top w:val="nil"/>
              <w:bottom w:val="single" w:color="000000" w:sz="2" w:space="0"/>
            </w:tcBorders>
            <w:vAlign w:val="top"/>
          </w:tcPr>
          <w:p w14:paraId="26CD2EFE">
            <w:pPr>
              <w:rPr>
                <w:rFonts w:ascii="Arial"/>
                <w:sz w:val="21"/>
              </w:rPr>
            </w:pPr>
          </w:p>
        </w:tc>
        <w:tc>
          <w:tcPr>
            <w:tcW w:w="2314" w:type="dxa"/>
            <w:vMerge w:val="continue"/>
            <w:tcBorders>
              <w:top w:val="nil"/>
              <w:bottom w:val="single" w:color="000000" w:sz="2" w:space="0"/>
            </w:tcBorders>
            <w:vAlign w:val="top"/>
          </w:tcPr>
          <w:p w14:paraId="06751EE0">
            <w:pPr>
              <w:rPr>
                <w:rFonts w:ascii="Arial"/>
                <w:sz w:val="21"/>
              </w:rPr>
            </w:pPr>
          </w:p>
        </w:tc>
        <w:tc>
          <w:tcPr>
            <w:tcW w:w="219" w:type="dxa"/>
            <w:tcBorders>
              <w:top w:val="single" w:color="000000" w:sz="2" w:space="0"/>
              <w:bottom w:val="single" w:color="000000" w:sz="2" w:space="0"/>
            </w:tcBorders>
            <w:vAlign w:val="top"/>
          </w:tcPr>
          <w:p w14:paraId="3F90D611">
            <w:pPr>
              <w:spacing w:line="220" w:lineRule="exact"/>
              <w:rPr>
                <w:rFonts w:ascii="Arial"/>
                <w:sz w:val="19"/>
              </w:rPr>
            </w:pPr>
          </w:p>
        </w:tc>
        <w:tc>
          <w:tcPr>
            <w:tcW w:w="230" w:type="dxa"/>
            <w:tcBorders>
              <w:top w:val="single" w:color="000000" w:sz="2" w:space="0"/>
              <w:bottom w:val="single" w:color="000000" w:sz="2" w:space="0"/>
            </w:tcBorders>
            <w:vAlign w:val="top"/>
          </w:tcPr>
          <w:p w14:paraId="6066253D">
            <w:pPr>
              <w:spacing w:line="220" w:lineRule="exact"/>
              <w:rPr>
                <w:rFonts w:ascii="Arial"/>
                <w:sz w:val="19"/>
              </w:rPr>
            </w:pPr>
          </w:p>
        </w:tc>
        <w:tc>
          <w:tcPr>
            <w:tcW w:w="220" w:type="dxa"/>
            <w:tcBorders>
              <w:top w:val="single" w:color="000000" w:sz="2" w:space="0"/>
              <w:bottom w:val="single" w:color="000000" w:sz="2" w:space="0"/>
            </w:tcBorders>
            <w:vAlign w:val="top"/>
          </w:tcPr>
          <w:p w14:paraId="122BA31D">
            <w:pPr>
              <w:spacing w:line="220" w:lineRule="exact"/>
              <w:rPr>
                <w:rFonts w:ascii="Arial"/>
                <w:sz w:val="19"/>
              </w:rPr>
            </w:pPr>
          </w:p>
        </w:tc>
        <w:tc>
          <w:tcPr>
            <w:tcW w:w="244" w:type="dxa"/>
            <w:tcBorders>
              <w:top w:val="single" w:color="000000" w:sz="2" w:space="0"/>
              <w:bottom w:val="single" w:color="000000" w:sz="2" w:space="0"/>
            </w:tcBorders>
            <w:vAlign w:val="top"/>
          </w:tcPr>
          <w:p w14:paraId="0BBE45EA">
            <w:pPr>
              <w:spacing w:line="220" w:lineRule="exact"/>
              <w:rPr>
                <w:rFonts w:ascii="Arial"/>
                <w:sz w:val="19"/>
              </w:rPr>
            </w:pPr>
          </w:p>
        </w:tc>
      </w:tr>
    </w:tbl>
    <w:p w14:paraId="063B33E1">
      <w:pPr>
        <w:pStyle w:val="2"/>
        <w:spacing w:line="14" w:lineRule="auto"/>
        <w:rPr>
          <w:sz w:val="2"/>
        </w:rPr>
      </w:pPr>
    </w:p>
    <w:p w14:paraId="4CA5CFDF">
      <w:pPr>
        <w:spacing w:line="14" w:lineRule="auto"/>
        <w:rPr>
          <w:sz w:val="2"/>
          <w:szCs w:val="2"/>
        </w:rPr>
        <w:sectPr>
          <w:type w:val="continuous"/>
          <w:pgSz w:w="10660" w:h="15080"/>
          <w:pgMar w:top="400" w:right="885" w:bottom="925" w:left="1024" w:header="0" w:footer="705" w:gutter="0"/>
          <w:cols w:equalWidth="0" w:num="2">
            <w:col w:w="4501" w:space="100"/>
            <w:col w:w="4150"/>
          </w:cols>
        </w:sectPr>
      </w:pPr>
    </w:p>
    <w:p w14:paraId="1C7E01AC">
      <w:pPr>
        <w:spacing w:before="1"/>
      </w:pPr>
    </w:p>
    <w:p w14:paraId="26C8806F"/>
    <w:p w14:paraId="211BD11B"/>
    <w:p w14:paraId="48E717C2"/>
    <w:p w14:paraId="1CAFA5EA">
      <w:pPr>
        <w:sectPr>
          <w:footerReference r:id="rId74" w:type="default"/>
          <w:pgSz w:w="10660" w:h="15080"/>
          <w:pgMar w:top="400" w:right="1024" w:bottom="917" w:left="819" w:header="0" w:footer="709" w:gutter="0"/>
          <w:cols w:equalWidth="0" w:num="1">
            <w:col w:w="8816"/>
          </w:cols>
        </w:sectPr>
      </w:pPr>
    </w:p>
    <w:p w14:paraId="6016BB33">
      <w:pPr>
        <w:spacing w:before="46" w:line="221" w:lineRule="auto"/>
        <w:ind w:left="852"/>
        <w:rPr>
          <w:rFonts w:ascii="黑体" w:hAnsi="黑体" w:eastAsia="黑体" w:cs="黑体"/>
          <w:sz w:val="20"/>
          <w:szCs w:val="20"/>
        </w:rPr>
      </w:pPr>
      <w:r>
        <w:rPr>
          <w:rFonts w:ascii="黑体" w:hAnsi="黑体" w:eastAsia="黑体" w:cs="黑体"/>
          <w:b/>
          <w:bCs/>
          <w:spacing w:val="-7"/>
          <w:sz w:val="20"/>
          <w:szCs w:val="20"/>
        </w:rPr>
        <w:t>第十三章</w:t>
      </w:r>
      <w:r>
        <w:rPr>
          <w:rFonts w:ascii="黑体" w:hAnsi="黑体" w:eastAsia="黑体" w:cs="黑体"/>
          <w:spacing w:val="17"/>
          <w:sz w:val="20"/>
          <w:szCs w:val="20"/>
        </w:rPr>
        <w:t xml:space="preserve">  </w:t>
      </w:r>
      <w:r>
        <w:rPr>
          <w:rFonts w:ascii="黑体" w:hAnsi="黑体" w:eastAsia="黑体" w:cs="黑体"/>
          <w:b/>
          <w:bCs/>
          <w:spacing w:val="-7"/>
          <w:sz w:val="20"/>
          <w:szCs w:val="20"/>
        </w:rPr>
        <w:t>女性生殖系统疾病</w:t>
      </w:r>
    </w:p>
    <w:p w14:paraId="352F6CE8">
      <w:pPr>
        <w:spacing w:line="72" w:lineRule="exact"/>
      </w:pPr>
    </w:p>
    <w:tbl>
      <w:tblPr>
        <w:tblStyle w:val="5"/>
        <w:tblW w:w="4119"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24"/>
        <w:gridCol w:w="210"/>
        <w:gridCol w:w="229"/>
        <w:gridCol w:w="229"/>
        <w:gridCol w:w="234"/>
      </w:tblGrid>
      <w:tr w14:paraId="04E485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4" w:hRule="atLeast"/>
        </w:trPr>
        <w:tc>
          <w:tcPr>
            <w:tcW w:w="893" w:type="dxa"/>
            <w:vMerge w:val="restart"/>
            <w:tcBorders>
              <w:bottom w:val="nil"/>
            </w:tcBorders>
            <w:vAlign w:val="top"/>
          </w:tcPr>
          <w:p w14:paraId="5A296758">
            <w:pPr>
              <w:pStyle w:val="6"/>
              <w:spacing w:before="159"/>
              <w:ind w:left="267" w:right="25" w:hanging="250"/>
            </w:pPr>
            <w:r>
              <w:rPr>
                <w:b/>
                <w:bCs/>
                <w:spacing w:val="-4"/>
              </w:rPr>
              <w:t>知识与技能</w:t>
            </w:r>
            <w:r>
              <w:t xml:space="preserve"> </w:t>
            </w:r>
            <w:r>
              <w:rPr>
                <w:b/>
                <w:bCs/>
                <w:spacing w:val="-4"/>
              </w:rPr>
              <w:t>要点</w:t>
            </w:r>
          </w:p>
        </w:tc>
        <w:tc>
          <w:tcPr>
            <w:tcW w:w="2324" w:type="dxa"/>
            <w:vMerge w:val="restart"/>
            <w:tcBorders>
              <w:bottom w:val="nil"/>
            </w:tcBorders>
            <w:vAlign w:val="top"/>
          </w:tcPr>
          <w:p w14:paraId="38F0E6DA">
            <w:pPr>
              <w:pStyle w:val="6"/>
              <w:spacing w:before="279" w:line="219" w:lineRule="auto"/>
              <w:ind w:left="834"/>
            </w:pPr>
            <w:r>
              <w:rPr>
                <w:b/>
                <w:bCs/>
                <w:spacing w:val="5"/>
              </w:rPr>
              <w:t>考试条目</w:t>
            </w:r>
          </w:p>
        </w:tc>
        <w:tc>
          <w:tcPr>
            <w:tcW w:w="902" w:type="dxa"/>
            <w:gridSpan w:val="4"/>
            <w:vAlign w:val="top"/>
          </w:tcPr>
          <w:p w14:paraId="393A2181">
            <w:pPr>
              <w:pStyle w:val="6"/>
              <w:spacing w:before="99" w:line="219" w:lineRule="auto"/>
              <w:ind w:left="120"/>
            </w:pPr>
            <w:r>
              <w:rPr>
                <w:b/>
                <w:bCs/>
                <w:spacing w:val="-4"/>
              </w:rPr>
              <w:t>考试水平</w:t>
            </w:r>
          </w:p>
        </w:tc>
      </w:tr>
      <w:tr w14:paraId="138230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9" w:hRule="atLeast"/>
        </w:trPr>
        <w:tc>
          <w:tcPr>
            <w:tcW w:w="893" w:type="dxa"/>
            <w:vMerge w:val="continue"/>
            <w:tcBorders>
              <w:top w:val="nil"/>
            </w:tcBorders>
            <w:vAlign w:val="top"/>
          </w:tcPr>
          <w:p w14:paraId="3A290C67">
            <w:pPr>
              <w:rPr>
                <w:rFonts w:ascii="Arial"/>
                <w:sz w:val="21"/>
              </w:rPr>
            </w:pPr>
          </w:p>
        </w:tc>
        <w:tc>
          <w:tcPr>
            <w:tcW w:w="2324" w:type="dxa"/>
            <w:vMerge w:val="continue"/>
            <w:tcBorders>
              <w:top w:val="nil"/>
            </w:tcBorders>
            <w:vAlign w:val="top"/>
          </w:tcPr>
          <w:p w14:paraId="132E8846">
            <w:pPr>
              <w:rPr>
                <w:rFonts w:ascii="Arial"/>
                <w:sz w:val="21"/>
              </w:rPr>
            </w:pPr>
          </w:p>
        </w:tc>
        <w:tc>
          <w:tcPr>
            <w:tcW w:w="210" w:type="dxa"/>
            <w:vAlign w:val="top"/>
          </w:tcPr>
          <w:p w14:paraId="202608FA">
            <w:pPr>
              <w:pStyle w:val="6"/>
              <w:spacing w:before="130" w:line="184" w:lineRule="auto"/>
              <w:ind w:left="20"/>
            </w:pPr>
            <w:r>
              <w:rPr>
                <w:b/>
                <w:bCs/>
                <w:spacing w:val="-2"/>
              </w:rPr>
              <w:t>A</w:t>
            </w:r>
          </w:p>
        </w:tc>
        <w:tc>
          <w:tcPr>
            <w:tcW w:w="229" w:type="dxa"/>
            <w:vAlign w:val="top"/>
          </w:tcPr>
          <w:p w14:paraId="6018EE54">
            <w:pPr>
              <w:pStyle w:val="6"/>
              <w:spacing w:before="132" w:line="182" w:lineRule="auto"/>
              <w:ind w:left="70"/>
            </w:pPr>
            <w:r>
              <w:rPr>
                <w:b/>
                <w:bCs/>
                <w:spacing w:val="-2"/>
              </w:rPr>
              <w:t>B</w:t>
            </w:r>
          </w:p>
        </w:tc>
        <w:tc>
          <w:tcPr>
            <w:tcW w:w="229" w:type="dxa"/>
            <w:vAlign w:val="top"/>
          </w:tcPr>
          <w:p w14:paraId="2702132A">
            <w:pPr>
              <w:pStyle w:val="6"/>
              <w:spacing w:before="131" w:line="183" w:lineRule="auto"/>
              <w:ind w:left="59"/>
            </w:pPr>
            <w:r>
              <w:t>C</w:t>
            </w:r>
          </w:p>
        </w:tc>
        <w:tc>
          <w:tcPr>
            <w:tcW w:w="234" w:type="dxa"/>
            <w:vAlign w:val="top"/>
          </w:tcPr>
          <w:p w14:paraId="1CCEA3E4">
            <w:pPr>
              <w:pStyle w:val="6"/>
              <w:spacing w:before="132" w:line="182" w:lineRule="auto"/>
              <w:ind w:left="30"/>
            </w:pPr>
            <w:r>
              <w:t>D</w:t>
            </w:r>
          </w:p>
        </w:tc>
      </w:tr>
      <w:tr w14:paraId="62B636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9" w:hRule="atLeast"/>
        </w:trPr>
        <w:tc>
          <w:tcPr>
            <w:tcW w:w="893" w:type="dxa"/>
            <w:vMerge w:val="restart"/>
            <w:tcBorders>
              <w:bottom w:val="nil"/>
            </w:tcBorders>
            <w:vAlign w:val="top"/>
          </w:tcPr>
          <w:p w14:paraId="6399C86D">
            <w:pPr>
              <w:pStyle w:val="6"/>
              <w:spacing w:before="49" w:line="237" w:lineRule="auto"/>
              <w:ind w:left="264" w:right="115" w:hanging="170"/>
            </w:pPr>
            <w:r>
              <w:rPr>
                <w:spacing w:val="-2"/>
              </w:rPr>
              <w:t>慢性子宫</w:t>
            </w:r>
            <w:r>
              <w:t xml:space="preserve"> </w:t>
            </w:r>
            <w:r>
              <w:rPr>
                <w:spacing w:val="-2"/>
              </w:rPr>
              <w:t>颈炎</w:t>
            </w:r>
          </w:p>
        </w:tc>
        <w:tc>
          <w:tcPr>
            <w:tcW w:w="2324" w:type="dxa"/>
            <w:vMerge w:val="restart"/>
            <w:tcBorders>
              <w:bottom w:val="nil"/>
            </w:tcBorders>
            <w:vAlign w:val="top"/>
          </w:tcPr>
          <w:p w14:paraId="48D084E1">
            <w:pPr>
              <w:pStyle w:val="6"/>
              <w:spacing w:before="70" w:line="221" w:lineRule="auto"/>
              <w:ind w:left="11"/>
            </w:pPr>
            <w:r>
              <w:rPr>
                <w:spacing w:val="4"/>
              </w:rPr>
              <w:t>1.病因</w:t>
            </w:r>
          </w:p>
          <w:p w14:paraId="23CED861">
            <w:pPr>
              <w:pStyle w:val="6"/>
              <w:spacing w:before="26" w:line="204" w:lineRule="auto"/>
              <w:ind w:left="11"/>
            </w:pPr>
            <w:r>
              <w:rPr>
                <w:spacing w:val="-2"/>
              </w:rPr>
              <w:t>2.病理变化</w:t>
            </w:r>
          </w:p>
        </w:tc>
        <w:tc>
          <w:tcPr>
            <w:tcW w:w="210" w:type="dxa"/>
            <w:vAlign w:val="top"/>
          </w:tcPr>
          <w:p w14:paraId="1155A4EF">
            <w:pPr>
              <w:pStyle w:val="6"/>
              <w:spacing w:before="55" w:line="188" w:lineRule="auto"/>
              <w:ind w:left="18"/>
            </w:pPr>
            <w:r>
              <w:t>√</w:t>
            </w:r>
          </w:p>
        </w:tc>
        <w:tc>
          <w:tcPr>
            <w:tcW w:w="229" w:type="dxa"/>
            <w:vAlign w:val="top"/>
          </w:tcPr>
          <w:p w14:paraId="78FA3E6C">
            <w:pPr>
              <w:spacing w:line="229" w:lineRule="exact"/>
              <w:rPr>
                <w:rFonts w:ascii="Arial"/>
                <w:sz w:val="19"/>
              </w:rPr>
            </w:pPr>
          </w:p>
        </w:tc>
        <w:tc>
          <w:tcPr>
            <w:tcW w:w="229" w:type="dxa"/>
            <w:vAlign w:val="top"/>
          </w:tcPr>
          <w:p w14:paraId="41D03A2C">
            <w:pPr>
              <w:spacing w:line="229" w:lineRule="exact"/>
              <w:rPr>
                <w:rFonts w:ascii="Arial"/>
                <w:sz w:val="19"/>
              </w:rPr>
            </w:pPr>
          </w:p>
        </w:tc>
        <w:tc>
          <w:tcPr>
            <w:tcW w:w="234" w:type="dxa"/>
            <w:vAlign w:val="top"/>
          </w:tcPr>
          <w:p w14:paraId="74123D7B">
            <w:pPr>
              <w:spacing w:line="229" w:lineRule="exact"/>
              <w:rPr>
                <w:rFonts w:ascii="Arial"/>
                <w:sz w:val="19"/>
              </w:rPr>
            </w:pPr>
          </w:p>
        </w:tc>
      </w:tr>
      <w:tr w14:paraId="1DE43D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9" w:hRule="atLeast"/>
        </w:trPr>
        <w:tc>
          <w:tcPr>
            <w:tcW w:w="893" w:type="dxa"/>
            <w:vMerge w:val="continue"/>
            <w:tcBorders>
              <w:top w:val="nil"/>
            </w:tcBorders>
            <w:vAlign w:val="top"/>
          </w:tcPr>
          <w:p w14:paraId="795F30BD">
            <w:pPr>
              <w:rPr>
                <w:rFonts w:ascii="Arial"/>
                <w:sz w:val="21"/>
              </w:rPr>
            </w:pPr>
          </w:p>
        </w:tc>
        <w:tc>
          <w:tcPr>
            <w:tcW w:w="2324" w:type="dxa"/>
            <w:vMerge w:val="continue"/>
            <w:tcBorders>
              <w:top w:val="nil"/>
            </w:tcBorders>
            <w:vAlign w:val="top"/>
          </w:tcPr>
          <w:p w14:paraId="31495FC0">
            <w:pPr>
              <w:rPr>
                <w:rFonts w:ascii="Arial"/>
                <w:sz w:val="21"/>
              </w:rPr>
            </w:pPr>
          </w:p>
        </w:tc>
        <w:tc>
          <w:tcPr>
            <w:tcW w:w="210" w:type="dxa"/>
            <w:vAlign w:val="top"/>
          </w:tcPr>
          <w:p w14:paraId="2A4865B0">
            <w:pPr>
              <w:spacing w:line="239" w:lineRule="exact"/>
              <w:rPr>
                <w:rFonts w:ascii="Arial"/>
                <w:sz w:val="20"/>
              </w:rPr>
            </w:pPr>
          </w:p>
        </w:tc>
        <w:tc>
          <w:tcPr>
            <w:tcW w:w="229" w:type="dxa"/>
            <w:vAlign w:val="top"/>
          </w:tcPr>
          <w:p w14:paraId="0B129D45">
            <w:pPr>
              <w:pStyle w:val="6"/>
              <w:spacing w:before="56" w:line="198" w:lineRule="auto"/>
              <w:ind w:left="28"/>
            </w:pPr>
            <w:r>
              <w:t>√</w:t>
            </w:r>
          </w:p>
        </w:tc>
        <w:tc>
          <w:tcPr>
            <w:tcW w:w="229" w:type="dxa"/>
            <w:vAlign w:val="top"/>
          </w:tcPr>
          <w:p w14:paraId="66549FE9">
            <w:pPr>
              <w:spacing w:line="239" w:lineRule="exact"/>
              <w:rPr>
                <w:rFonts w:ascii="Arial"/>
                <w:sz w:val="20"/>
              </w:rPr>
            </w:pPr>
          </w:p>
        </w:tc>
        <w:tc>
          <w:tcPr>
            <w:tcW w:w="234" w:type="dxa"/>
            <w:vAlign w:val="top"/>
          </w:tcPr>
          <w:p w14:paraId="04AD266D">
            <w:pPr>
              <w:spacing w:line="239" w:lineRule="exact"/>
              <w:rPr>
                <w:rFonts w:ascii="Arial"/>
                <w:sz w:val="20"/>
              </w:rPr>
            </w:pPr>
          </w:p>
        </w:tc>
      </w:tr>
      <w:tr w14:paraId="198542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9" w:hRule="atLeast"/>
        </w:trPr>
        <w:tc>
          <w:tcPr>
            <w:tcW w:w="893" w:type="dxa"/>
            <w:vMerge w:val="restart"/>
            <w:tcBorders>
              <w:bottom w:val="nil"/>
            </w:tcBorders>
            <w:vAlign w:val="top"/>
          </w:tcPr>
          <w:p w14:paraId="6C5EC64E">
            <w:pPr>
              <w:pStyle w:val="6"/>
              <w:spacing w:before="291" w:line="220" w:lineRule="auto"/>
              <w:ind w:left="94"/>
            </w:pPr>
            <w:r>
              <w:rPr>
                <w:spacing w:val="-2"/>
              </w:rPr>
              <w:t>子宫颈癌</w:t>
            </w:r>
          </w:p>
        </w:tc>
        <w:tc>
          <w:tcPr>
            <w:tcW w:w="2324" w:type="dxa"/>
            <w:vMerge w:val="restart"/>
            <w:tcBorders>
              <w:bottom w:val="nil"/>
            </w:tcBorders>
            <w:vAlign w:val="top"/>
          </w:tcPr>
          <w:p w14:paraId="633810A1">
            <w:pPr>
              <w:pStyle w:val="6"/>
              <w:spacing w:before="82" w:line="221" w:lineRule="auto"/>
              <w:ind w:left="11"/>
            </w:pPr>
            <w:r>
              <w:rPr>
                <w:spacing w:val="4"/>
              </w:rPr>
              <w:t>1.病因</w:t>
            </w:r>
          </w:p>
          <w:p w14:paraId="0B3F73E1">
            <w:pPr>
              <w:pStyle w:val="6"/>
              <w:spacing w:before="26" w:line="221" w:lineRule="auto"/>
              <w:ind w:left="11"/>
            </w:pPr>
            <w:r>
              <w:rPr>
                <w:spacing w:val="-2"/>
              </w:rPr>
              <w:t>2.病理变化</w:t>
            </w:r>
          </w:p>
          <w:p w14:paraId="7A343302">
            <w:pPr>
              <w:pStyle w:val="6"/>
              <w:spacing w:before="25" w:line="213" w:lineRule="auto"/>
              <w:ind w:left="11"/>
            </w:pPr>
            <w:r>
              <w:rPr>
                <w:spacing w:val="2"/>
              </w:rPr>
              <w:t>3.病理临床联系</w:t>
            </w:r>
          </w:p>
        </w:tc>
        <w:tc>
          <w:tcPr>
            <w:tcW w:w="210" w:type="dxa"/>
            <w:vAlign w:val="top"/>
          </w:tcPr>
          <w:p w14:paraId="58753350">
            <w:pPr>
              <w:spacing w:line="229" w:lineRule="exact"/>
              <w:rPr>
                <w:rFonts w:ascii="Arial"/>
                <w:sz w:val="19"/>
              </w:rPr>
            </w:pPr>
          </w:p>
        </w:tc>
        <w:tc>
          <w:tcPr>
            <w:tcW w:w="229" w:type="dxa"/>
            <w:vAlign w:val="top"/>
          </w:tcPr>
          <w:p w14:paraId="6815BA3A">
            <w:pPr>
              <w:pStyle w:val="6"/>
              <w:spacing w:before="57" w:line="186" w:lineRule="auto"/>
              <w:ind w:left="28"/>
            </w:pPr>
            <w:r>
              <w:t>√</w:t>
            </w:r>
          </w:p>
        </w:tc>
        <w:tc>
          <w:tcPr>
            <w:tcW w:w="229" w:type="dxa"/>
            <w:vAlign w:val="top"/>
          </w:tcPr>
          <w:p w14:paraId="7303DE80">
            <w:pPr>
              <w:spacing w:line="229" w:lineRule="exact"/>
              <w:rPr>
                <w:rFonts w:ascii="Arial"/>
                <w:sz w:val="19"/>
              </w:rPr>
            </w:pPr>
          </w:p>
        </w:tc>
        <w:tc>
          <w:tcPr>
            <w:tcW w:w="234" w:type="dxa"/>
            <w:vAlign w:val="top"/>
          </w:tcPr>
          <w:p w14:paraId="320000A7">
            <w:pPr>
              <w:spacing w:line="229" w:lineRule="exact"/>
              <w:rPr>
                <w:rFonts w:ascii="Arial"/>
                <w:sz w:val="19"/>
              </w:rPr>
            </w:pPr>
          </w:p>
        </w:tc>
      </w:tr>
      <w:tr w14:paraId="7385DF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9" w:hRule="atLeast"/>
        </w:trPr>
        <w:tc>
          <w:tcPr>
            <w:tcW w:w="893" w:type="dxa"/>
            <w:vMerge w:val="continue"/>
            <w:tcBorders>
              <w:top w:val="nil"/>
              <w:bottom w:val="nil"/>
            </w:tcBorders>
            <w:vAlign w:val="top"/>
          </w:tcPr>
          <w:p w14:paraId="287435F9">
            <w:pPr>
              <w:rPr>
                <w:rFonts w:ascii="Arial"/>
                <w:sz w:val="21"/>
              </w:rPr>
            </w:pPr>
          </w:p>
        </w:tc>
        <w:tc>
          <w:tcPr>
            <w:tcW w:w="2324" w:type="dxa"/>
            <w:vMerge w:val="continue"/>
            <w:tcBorders>
              <w:top w:val="nil"/>
              <w:bottom w:val="nil"/>
            </w:tcBorders>
            <w:vAlign w:val="top"/>
          </w:tcPr>
          <w:p w14:paraId="22E09218">
            <w:pPr>
              <w:rPr>
                <w:rFonts w:ascii="Arial"/>
                <w:sz w:val="21"/>
              </w:rPr>
            </w:pPr>
          </w:p>
        </w:tc>
        <w:tc>
          <w:tcPr>
            <w:tcW w:w="210" w:type="dxa"/>
            <w:vAlign w:val="top"/>
          </w:tcPr>
          <w:p w14:paraId="7C2B3E95">
            <w:pPr>
              <w:spacing w:line="239" w:lineRule="exact"/>
              <w:rPr>
                <w:rFonts w:ascii="Arial"/>
                <w:sz w:val="20"/>
              </w:rPr>
            </w:pPr>
          </w:p>
        </w:tc>
        <w:tc>
          <w:tcPr>
            <w:tcW w:w="229" w:type="dxa"/>
            <w:vAlign w:val="top"/>
          </w:tcPr>
          <w:p w14:paraId="7C213EF4">
            <w:pPr>
              <w:pStyle w:val="6"/>
              <w:spacing w:before="58" w:line="196" w:lineRule="auto"/>
              <w:ind w:left="28"/>
            </w:pPr>
            <w:r>
              <w:t>√</w:t>
            </w:r>
          </w:p>
        </w:tc>
        <w:tc>
          <w:tcPr>
            <w:tcW w:w="229" w:type="dxa"/>
            <w:vAlign w:val="top"/>
          </w:tcPr>
          <w:p w14:paraId="16C09E9F">
            <w:pPr>
              <w:spacing w:line="239" w:lineRule="exact"/>
              <w:rPr>
                <w:rFonts w:ascii="Arial"/>
                <w:sz w:val="20"/>
              </w:rPr>
            </w:pPr>
          </w:p>
        </w:tc>
        <w:tc>
          <w:tcPr>
            <w:tcW w:w="234" w:type="dxa"/>
            <w:vAlign w:val="top"/>
          </w:tcPr>
          <w:p w14:paraId="0E3F401D">
            <w:pPr>
              <w:spacing w:line="239" w:lineRule="exact"/>
              <w:rPr>
                <w:rFonts w:ascii="Arial"/>
                <w:sz w:val="20"/>
              </w:rPr>
            </w:pPr>
          </w:p>
        </w:tc>
      </w:tr>
      <w:tr w14:paraId="2C27E2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9" w:hRule="atLeast"/>
        </w:trPr>
        <w:tc>
          <w:tcPr>
            <w:tcW w:w="893" w:type="dxa"/>
            <w:vMerge w:val="continue"/>
            <w:tcBorders>
              <w:top w:val="nil"/>
            </w:tcBorders>
            <w:vAlign w:val="top"/>
          </w:tcPr>
          <w:p w14:paraId="014B95A8">
            <w:pPr>
              <w:rPr>
                <w:rFonts w:ascii="Arial"/>
                <w:sz w:val="21"/>
              </w:rPr>
            </w:pPr>
          </w:p>
        </w:tc>
        <w:tc>
          <w:tcPr>
            <w:tcW w:w="2324" w:type="dxa"/>
            <w:vMerge w:val="continue"/>
            <w:tcBorders>
              <w:top w:val="nil"/>
            </w:tcBorders>
            <w:vAlign w:val="top"/>
          </w:tcPr>
          <w:p w14:paraId="49AB98B6">
            <w:pPr>
              <w:rPr>
                <w:rFonts w:ascii="Arial"/>
                <w:sz w:val="21"/>
              </w:rPr>
            </w:pPr>
          </w:p>
        </w:tc>
        <w:tc>
          <w:tcPr>
            <w:tcW w:w="210" w:type="dxa"/>
            <w:vAlign w:val="top"/>
          </w:tcPr>
          <w:p w14:paraId="4D966CE9">
            <w:pPr>
              <w:spacing w:line="229" w:lineRule="exact"/>
              <w:rPr>
                <w:rFonts w:ascii="Arial"/>
                <w:sz w:val="19"/>
              </w:rPr>
            </w:pPr>
          </w:p>
        </w:tc>
        <w:tc>
          <w:tcPr>
            <w:tcW w:w="229" w:type="dxa"/>
            <w:vAlign w:val="top"/>
          </w:tcPr>
          <w:p w14:paraId="6DCE7DBC">
            <w:pPr>
              <w:pStyle w:val="6"/>
              <w:spacing w:before="59" w:line="184" w:lineRule="auto"/>
              <w:ind w:left="28"/>
            </w:pPr>
            <w:r>
              <w:t>√</w:t>
            </w:r>
          </w:p>
        </w:tc>
        <w:tc>
          <w:tcPr>
            <w:tcW w:w="229" w:type="dxa"/>
            <w:vAlign w:val="top"/>
          </w:tcPr>
          <w:p w14:paraId="6AE13445">
            <w:pPr>
              <w:spacing w:line="229" w:lineRule="exact"/>
              <w:rPr>
                <w:rFonts w:ascii="Arial"/>
                <w:sz w:val="19"/>
              </w:rPr>
            </w:pPr>
          </w:p>
        </w:tc>
        <w:tc>
          <w:tcPr>
            <w:tcW w:w="234" w:type="dxa"/>
            <w:vAlign w:val="top"/>
          </w:tcPr>
          <w:p w14:paraId="64776DDB">
            <w:pPr>
              <w:spacing w:line="229" w:lineRule="exact"/>
              <w:rPr>
                <w:rFonts w:ascii="Arial"/>
                <w:sz w:val="19"/>
              </w:rPr>
            </w:pPr>
          </w:p>
        </w:tc>
      </w:tr>
      <w:tr w14:paraId="1F0E3C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9" w:hRule="atLeast"/>
        </w:trPr>
        <w:tc>
          <w:tcPr>
            <w:tcW w:w="893" w:type="dxa"/>
            <w:vMerge w:val="restart"/>
            <w:tcBorders>
              <w:bottom w:val="nil"/>
            </w:tcBorders>
            <w:vAlign w:val="top"/>
          </w:tcPr>
          <w:p w14:paraId="3279A1C7">
            <w:pPr>
              <w:pStyle w:val="6"/>
              <w:spacing w:before="204" w:line="219" w:lineRule="auto"/>
              <w:ind w:left="94"/>
            </w:pPr>
            <w:r>
              <w:rPr>
                <w:spacing w:val="-2"/>
              </w:rPr>
              <w:t>滋养层细</w:t>
            </w:r>
          </w:p>
          <w:p w14:paraId="57005FA2">
            <w:pPr>
              <w:pStyle w:val="6"/>
              <w:spacing w:before="18" w:line="220" w:lineRule="auto"/>
              <w:ind w:left="184"/>
            </w:pPr>
            <w:r>
              <w:rPr>
                <w:spacing w:val="-2"/>
              </w:rPr>
              <w:t>胞疾病</w:t>
            </w:r>
          </w:p>
        </w:tc>
        <w:tc>
          <w:tcPr>
            <w:tcW w:w="2324" w:type="dxa"/>
            <w:vMerge w:val="restart"/>
            <w:tcBorders>
              <w:bottom w:val="nil"/>
            </w:tcBorders>
            <w:vAlign w:val="top"/>
          </w:tcPr>
          <w:p w14:paraId="5412C685">
            <w:pPr>
              <w:pStyle w:val="6"/>
              <w:spacing w:before="84" w:line="219" w:lineRule="auto"/>
              <w:ind w:left="11"/>
            </w:pPr>
            <w:r>
              <w:rPr>
                <w:spacing w:val="2"/>
              </w:rPr>
              <w:t>1.葡萄胎</w:t>
            </w:r>
          </w:p>
          <w:p w14:paraId="72BAC357">
            <w:pPr>
              <w:pStyle w:val="6"/>
              <w:spacing w:before="37" w:line="219" w:lineRule="auto"/>
              <w:ind w:left="11" w:right="1120"/>
            </w:pPr>
            <w:r>
              <w:rPr>
                <w:spacing w:val="-2"/>
              </w:rPr>
              <w:t>2.侵袭性葡萄胎</w:t>
            </w:r>
            <w:r>
              <w:rPr>
                <w:spacing w:val="6"/>
              </w:rPr>
              <w:t xml:space="preserve"> </w:t>
            </w:r>
            <w:r>
              <w:rPr>
                <w:spacing w:val="1"/>
              </w:rPr>
              <w:t>3.绒毛膜癌</w:t>
            </w:r>
          </w:p>
        </w:tc>
        <w:tc>
          <w:tcPr>
            <w:tcW w:w="210" w:type="dxa"/>
            <w:vAlign w:val="top"/>
          </w:tcPr>
          <w:p w14:paraId="31275072">
            <w:pPr>
              <w:spacing w:line="239" w:lineRule="exact"/>
              <w:rPr>
                <w:rFonts w:ascii="Arial"/>
                <w:sz w:val="20"/>
              </w:rPr>
            </w:pPr>
          </w:p>
        </w:tc>
        <w:tc>
          <w:tcPr>
            <w:tcW w:w="229" w:type="dxa"/>
            <w:vAlign w:val="top"/>
          </w:tcPr>
          <w:p w14:paraId="5F81F65E">
            <w:pPr>
              <w:spacing w:line="239" w:lineRule="exact"/>
              <w:rPr>
                <w:rFonts w:ascii="Arial"/>
                <w:sz w:val="20"/>
              </w:rPr>
            </w:pPr>
          </w:p>
        </w:tc>
        <w:tc>
          <w:tcPr>
            <w:tcW w:w="229" w:type="dxa"/>
            <w:vAlign w:val="top"/>
          </w:tcPr>
          <w:p w14:paraId="3EB38414">
            <w:pPr>
              <w:spacing w:line="239" w:lineRule="exact"/>
              <w:rPr>
                <w:rFonts w:ascii="Arial"/>
                <w:sz w:val="20"/>
              </w:rPr>
            </w:pPr>
          </w:p>
        </w:tc>
        <w:tc>
          <w:tcPr>
            <w:tcW w:w="234" w:type="dxa"/>
            <w:vAlign w:val="top"/>
          </w:tcPr>
          <w:p w14:paraId="39B94E6C">
            <w:pPr>
              <w:spacing w:line="239" w:lineRule="exact"/>
              <w:rPr>
                <w:rFonts w:ascii="Arial"/>
                <w:sz w:val="20"/>
              </w:rPr>
            </w:pPr>
          </w:p>
        </w:tc>
      </w:tr>
      <w:tr w14:paraId="1EA905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0" w:hRule="atLeast"/>
        </w:trPr>
        <w:tc>
          <w:tcPr>
            <w:tcW w:w="893" w:type="dxa"/>
            <w:vMerge w:val="continue"/>
            <w:tcBorders>
              <w:top w:val="nil"/>
              <w:bottom w:val="nil"/>
            </w:tcBorders>
            <w:vAlign w:val="top"/>
          </w:tcPr>
          <w:p w14:paraId="1278B962">
            <w:pPr>
              <w:rPr>
                <w:rFonts w:ascii="Arial"/>
                <w:sz w:val="21"/>
              </w:rPr>
            </w:pPr>
          </w:p>
        </w:tc>
        <w:tc>
          <w:tcPr>
            <w:tcW w:w="2324" w:type="dxa"/>
            <w:vMerge w:val="continue"/>
            <w:tcBorders>
              <w:top w:val="nil"/>
              <w:bottom w:val="nil"/>
            </w:tcBorders>
            <w:vAlign w:val="top"/>
          </w:tcPr>
          <w:p w14:paraId="576E751F">
            <w:pPr>
              <w:rPr>
                <w:rFonts w:ascii="Arial"/>
                <w:sz w:val="21"/>
              </w:rPr>
            </w:pPr>
          </w:p>
        </w:tc>
        <w:tc>
          <w:tcPr>
            <w:tcW w:w="210" w:type="dxa"/>
            <w:vAlign w:val="top"/>
          </w:tcPr>
          <w:p w14:paraId="1AEBDDE9">
            <w:pPr>
              <w:pStyle w:val="6"/>
              <w:spacing w:before="61" w:line="183" w:lineRule="auto"/>
              <w:ind w:left="18"/>
            </w:pPr>
            <w:r>
              <w:t>√</w:t>
            </w:r>
          </w:p>
        </w:tc>
        <w:tc>
          <w:tcPr>
            <w:tcW w:w="229" w:type="dxa"/>
            <w:vAlign w:val="top"/>
          </w:tcPr>
          <w:p w14:paraId="164831C7">
            <w:pPr>
              <w:spacing w:line="230" w:lineRule="exact"/>
              <w:rPr>
                <w:rFonts w:ascii="Arial"/>
                <w:sz w:val="20"/>
              </w:rPr>
            </w:pPr>
          </w:p>
        </w:tc>
        <w:tc>
          <w:tcPr>
            <w:tcW w:w="229" w:type="dxa"/>
            <w:vAlign w:val="top"/>
          </w:tcPr>
          <w:p w14:paraId="385904CC">
            <w:pPr>
              <w:spacing w:line="230" w:lineRule="exact"/>
              <w:rPr>
                <w:rFonts w:ascii="Arial"/>
                <w:sz w:val="20"/>
              </w:rPr>
            </w:pPr>
          </w:p>
        </w:tc>
        <w:tc>
          <w:tcPr>
            <w:tcW w:w="234" w:type="dxa"/>
            <w:vAlign w:val="top"/>
          </w:tcPr>
          <w:p w14:paraId="52450334">
            <w:pPr>
              <w:spacing w:line="230" w:lineRule="exact"/>
              <w:rPr>
                <w:rFonts w:ascii="Arial"/>
                <w:sz w:val="20"/>
              </w:rPr>
            </w:pPr>
          </w:p>
        </w:tc>
      </w:tr>
      <w:tr w14:paraId="7FC4F4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9" w:hRule="atLeast"/>
        </w:trPr>
        <w:tc>
          <w:tcPr>
            <w:tcW w:w="893" w:type="dxa"/>
            <w:vMerge w:val="continue"/>
            <w:tcBorders>
              <w:top w:val="nil"/>
            </w:tcBorders>
            <w:vAlign w:val="top"/>
          </w:tcPr>
          <w:p w14:paraId="784A0112">
            <w:pPr>
              <w:rPr>
                <w:rFonts w:ascii="Arial"/>
                <w:sz w:val="21"/>
              </w:rPr>
            </w:pPr>
          </w:p>
        </w:tc>
        <w:tc>
          <w:tcPr>
            <w:tcW w:w="2324" w:type="dxa"/>
            <w:vMerge w:val="continue"/>
            <w:tcBorders>
              <w:top w:val="nil"/>
            </w:tcBorders>
            <w:vAlign w:val="top"/>
          </w:tcPr>
          <w:p w14:paraId="039825A5">
            <w:pPr>
              <w:rPr>
                <w:rFonts w:ascii="Arial"/>
                <w:sz w:val="21"/>
              </w:rPr>
            </w:pPr>
          </w:p>
        </w:tc>
        <w:tc>
          <w:tcPr>
            <w:tcW w:w="210" w:type="dxa"/>
            <w:vAlign w:val="top"/>
          </w:tcPr>
          <w:p w14:paraId="5708006B">
            <w:pPr>
              <w:pStyle w:val="6"/>
              <w:spacing w:before="62" w:line="192" w:lineRule="auto"/>
              <w:ind w:left="18"/>
            </w:pPr>
            <w:r>
              <w:t>√</w:t>
            </w:r>
          </w:p>
        </w:tc>
        <w:tc>
          <w:tcPr>
            <w:tcW w:w="229" w:type="dxa"/>
            <w:vAlign w:val="top"/>
          </w:tcPr>
          <w:p w14:paraId="72802C39">
            <w:pPr>
              <w:spacing w:line="239" w:lineRule="exact"/>
              <w:rPr>
                <w:rFonts w:ascii="Arial"/>
                <w:sz w:val="20"/>
              </w:rPr>
            </w:pPr>
          </w:p>
        </w:tc>
        <w:tc>
          <w:tcPr>
            <w:tcW w:w="229" w:type="dxa"/>
            <w:vAlign w:val="top"/>
          </w:tcPr>
          <w:p w14:paraId="37092E9D">
            <w:pPr>
              <w:spacing w:line="239" w:lineRule="exact"/>
              <w:rPr>
                <w:rFonts w:ascii="Arial"/>
                <w:sz w:val="20"/>
              </w:rPr>
            </w:pPr>
          </w:p>
        </w:tc>
        <w:tc>
          <w:tcPr>
            <w:tcW w:w="234" w:type="dxa"/>
            <w:vAlign w:val="top"/>
          </w:tcPr>
          <w:p w14:paraId="4B83AE0F">
            <w:pPr>
              <w:spacing w:line="239" w:lineRule="exact"/>
              <w:rPr>
                <w:rFonts w:ascii="Arial"/>
                <w:sz w:val="20"/>
              </w:rPr>
            </w:pPr>
          </w:p>
        </w:tc>
      </w:tr>
      <w:tr w14:paraId="3BCF63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0" w:hRule="atLeast"/>
        </w:trPr>
        <w:tc>
          <w:tcPr>
            <w:tcW w:w="893" w:type="dxa"/>
            <w:vMerge w:val="restart"/>
            <w:tcBorders>
              <w:bottom w:val="nil"/>
            </w:tcBorders>
            <w:vAlign w:val="top"/>
          </w:tcPr>
          <w:p w14:paraId="3F945B92">
            <w:pPr>
              <w:pStyle w:val="6"/>
              <w:spacing w:before="276" w:line="220" w:lineRule="auto"/>
              <w:ind w:left="94"/>
            </w:pPr>
            <w:r>
              <w:rPr>
                <w:spacing w:val="-2"/>
              </w:rPr>
              <w:t>乳腺疾病</w:t>
            </w:r>
          </w:p>
        </w:tc>
        <w:tc>
          <w:tcPr>
            <w:tcW w:w="2324" w:type="dxa"/>
            <w:vMerge w:val="restart"/>
            <w:tcBorders>
              <w:bottom w:val="nil"/>
            </w:tcBorders>
            <w:vAlign w:val="top"/>
          </w:tcPr>
          <w:p w14:paraId="13974B39">
            <w:pPr>
              <w:pStyle w:val="6"/>
              <w:spacing w:before="75" w:line="222" w:lineRule="auto"/>
              <w:ind w:left="11" w:right="1120"/>
            </w:pPr>
            <w:r>
              <w:rPr>
                <w:spacing w:val="1"/>
              </w:rPr>
              <w:t>1.乳腺增生症</w:t>
            </w:r>
            <w:r>
              <w:t xml:space="preserve">   </w:t>
            </w:r>
            <w:r>
              <w:rPr>
                <w:spacing w:val="-2"/>
              </w:rPr>
              <w:t>2.乳腺纤维腺瘤</w:t>
            </w:r>
            <w:r>
              <w:rPr>
                <w:spacing w:val="6"/>
              </w:rPr>
              <w:t xml:space="preserve"> </w:t>
            </w:r>
            <w:r>
              <w:rPr>
                <w:spacing w:val="2"/>
              </w:rPr>
              <w:t>3.乳腺癌</w:t>
            </w:r>
          </w:p>
        </w:tc>
        <w:tc>
          <w:tcPr>
            <w:tcW w:w="210" w:type="dxa"/>
            <w:vAlign w:val="top"/>
          </w:tcPr>
          <w:p w14:paraId="4BDF98E3">
            <w:pPr>
              <w:spacing w:line="210" w:lineRule="exact"/>
              <w:rPr>
                <w:rFonts w:ascii="Arial"/>
                <w:sz w:val="18"/>
              </w:rPr>
            </w:pPr>
          </w:p>
        </w:tc>
        <w:tc>
          <w:tcPr>
            <w:tcW w:w="229" w:type="dxa"/>
            <w:vAlign w:val="top"/>
          </w:tcPr>
          <w:p w14:paraId="4FCA1153">
            <w:pPr>
              <w:spacing w:line="210" w:lineRule="exact"/>
              <w:rPr>
                <w:rFonts w:ascii="Arial"/>
                <w:sz w:val="18"/>
              </w:rPr>
            </w:pPr>
          </w:p>
        </w:tc>
        <w:tc>
          <w:tcPr>
            <w:tcW w:w="229" w:type="dxa"/>
            <w:vAlign w:val="top"/>
          </w:tcPr>
          <w:p w14:paraId="51A4490F">
            <w:pPr>
              <w:spacing w:line="210" w:lineRule="exact"/>
              <w:rPr>
                <w:rFonts w:ascii="Arial"/>
                <w:sz w:val="18"/>
              </w:rPr>
            </w:pPr>
          </w:p>
        </w:tc>
        <w:tc>
          <w:tcPr>
            <w:tcW w:w="234" w:type="dxa"/>
            <w:vAlign w:val="top"/>
          </w:tcPr>
          <w:p w14:paraId="6A635E88">
            <w:pPr>
              <w:spacing w:line="210" w:lineRule="exact"/>
              <w:rPr>
                <w:rFonts w:ascii="Arial"/>
                <w:sz w:val="18"/>
              </w:rPr>
            </w:pPr>
          </w:p>
        </w:tc>
      </w:tr>
      <w:tr w14:paraId="54E04B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0" w:hRule="atLeast"/>
        </w:trPr>
        <w:tc>
          <w:tcPr>
            <w:tcW w:w="893" w:type="dxa"/>
            <w:vMerge w:val="continue"/>
            <w:tcBorders>
              <w:top w:val="nil"/>
              <w:bottom w:val="nil"/>
            </w:tcBorders>
            <w:vAlign w:val="top"/>
          </w:tcPr>
          <w:p w14:paraId="36B125EA">
            <w:pPr>
              <w:rPr>
                <w:rFonts w:ascii="Arial"/>
                <w:sz w:val="21"/>
              </w:rPr>
            </w:pPr>
          </w:p>
        </w:tc>
        <w:tc>
          <w:tcPr>
            <w:tcW w:w="2324" w:type="dxa"/>
            <w:vMerge w:val="continue"/>
            <w:tcBorders>
              <w:top w:val="nil"/>
              <w:bottom w:val="nil"/>
            </w:tcBorders>
            <w:vAlign w:val="top"/>
          </w:tcPr>
          <w:p w14:paraId="061378E3">
            <w:pPr>
              <w:rPr>
                <w:rFonts w:ascii="Arial"/>
                <w:sz w:val="21"/>
              </w:rPr>
            </w:pPr>
          </w:p>
        </w:tc>
        <w:tc>
          <w:tcPr>
            <w:tcW w:w="210" w:type="dxa"/>
            <w:vAlign w:val="top"/>
          </w:tcPr>
          <w:p w14:paraId="779D35A7">
            <w:pPr>
              <w:spacing w:line="220" w:lineRule="exact"/>
              <w:rPr>
                <w:rFonts w:ascii="Arial"/>
                <w:sz w:val="19"/>
              </w:rPr>
            </w:pPr>
          </w:p>
        </w:tc>
        <w:tc>
          <w:tcPr>
            <w:tcW w:w="229" w:type="dxa"/>
            <w:vAlign w:val="top"/>
          </w:tcPr>
          <w:p w14:paraId="18314731">
            <w:pPr>
              <w:spacing w:line="220" w:lineRule="exact"/>
              <w:rPr>
                <w:rFonts w:ascii="Arial"/>
                <w:sz w:val="19"/>
              </w:rPr>
            </w:pPr>
          </w:p>
        </w:tc>
        <w:tc>
          <w:tcPr>
            <w:tcW w:w="229" w:type="dxa"/>
            <w:vAlign w:val="top"/>
          </w:tcPr>
          <w:p w14:paraId="3CA1AA0D">
            <w:pPr>
              <w:spacing w:line="220" w:lineRule="exact"/>
              <w:rPr>
                <w:rFonts w:ascii="Arial"/>
                <w:sz w:val="19"/>
              </w:rPr>
            </w:pPr>
          </w:p>
        </w:tc>
        <w:tc>
          <w:tcPr>
            <w:tcW w:w="234" w:type="dxa"/>
            <w:vAlign w:val="top"/>
          </w:tcPr>
          <w:p w14:paraId="036D6FD2">
            <w:pPr>
              <w:spacing w:line="220" w:lineRule="exact"/>
              <w:rPr>
                <w:rFonts w:ascii="Arial"/>
                <w:sz w:val="19"/>
              </w:rPr>
            </w:pPr>
          </w:p>
        </w:tc>
      </w:tr>
      <w:tr w14:paraId="0AF23D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4" w:hRule="atLeast"/>
        </w:trPr>
        <w:tc>
          <w:tcPr>
            <w:tcW w:w="893" w:type="dxa"/>
            <w:vMerge w:val="continue"/>
            <w:tcBorders>
              <w:top w:val="nil"/>
            </w:tcBorders>
            <w:vAlign w:val="top"/>
          </w:tcPr>
          <w:p w14:paraId="777BA11B">
            <w:pPr>
              <w:rPr>
                <w:rFonts w:ascii="Arial"/>
                <w:sz w:val="21"/>
              </w:rPr>
            </w:pPr>
          </w:p>
        </w:tc>
        <w:tc>
          <w:tcPr>
            <w:tcW w:w="2324" w:type="dxa"/>
            <w:vMerge w:val="continue"/>
            <w:tcBorders>
              <w:top w:val="nil"/>
            </w:tcBorders>
            <w:vAlign w:val="top"/>
          </w:tcPr>
          <w:p w14:paraId="77847C46">
            <w:pPr>
              <w:rPr>
                <w:rFonts w:ascii="Arial"/>
                <w:sz w:val="21"/>
              </w:rPr>
            </w:pPr>
          </w:p>
        </w:tc>
        <w:tc>
          <w:tcPr>
            <w:tcW w:w="210" w:type="dxa"/>
            <w:vAlign w:val="top"/>
          </w:tcPr>
          <w:p w14:paraId="0E9D943A">
            <w:pPr>
              <w:spacing w:line="224" w:lineRule="exact"/>
              <w:rPr>
                <w:rFonts w:ascii="Arial"/>
                <w:sz w:val="19"/>
              </w:rPr>
            </w:pPr>
          </w:p>
        </w:tc>
        <w:tc>
          <w:tcPr>
            <w:tcW w:w="229" w:type="dxa"/>
            <w:vAlign w:val="top"/>
          </w:tcPr>
          <w:p w14:paraId="013825DB">
            <w:pPr>
              <w:spacing w:line="224" w:lineRule="exact"/>
              <w:rPr>
                <w:rFonts w:ascii="Arial"/>
                <w:sz w:val="19"/>
              </w:rPr>
            </w:pPr>
          </w:p>
        </w:tc>
        <w:tc>
          <w:tcPr>
            <w:tcW w:w="229" w:type="dxa"/>
            <w:vAlign w:val="top"/>
          </w:tcPr>
          <w:p w14:paraId="65B6F76D">
            <w:pPr>
              <w:spacing w:line="224" w:lineRule="exact"/>
              <w:rPr>
                <w:rFonts w:ascii="Arial"/>
                <w:sz w:val="19"/>
              </w:rPr>
            </w:pPr>
          </w:p>
        </w:tc>
        <w:tc>
          <w:tcPr>
            <w:tcW w:w="234" w:type="dxa"/>
            <w:vAlign w:val="top"/>
          </w:tcPr>
          <w:p w14:paraId="38400682">
            <w:pPr>
              <w:spacing w:line="224" w:lineRule="exact"/>
              <w:rPr>
                <w:rFonts w:ascii="Arial"/>
                <w:sz w:val="19"/>
              </w:rPr>
            </w:pPr>
          </w:p>
        </w:tc>
      </w:tr>
    </w:tbl>
    <w:p w14:paraId="6655E7BA">
      <w:pPr>
        <w:spacing w:before="129" w:line="222" w:lineRule="auto"/>
        <w:ind w:left="1342"/>
        <w:rPr>
          <w:rFonts w:ascii="黑体" w:hAnsi="黑体" w:eastAsia="黑体" w:cs="黑体"/>
          <w:sz w:val="20"/>
          <w:szCs w:val="20"/>
        </w:rPr>
      </w:pPr>
      <w:r>
        <w:rPr>
          <w:rFonts w:ascii="黑体" w:hAnsi="黑体" w:eastAsia="黑体" w:cs="黑体"/>
          <w:b/>
          <w:bCs/>
          <w:spacing w:val="-6"/>
          <w:sz w:val="20"/>
          <w:szCs w:val="20"/>
        </w:rPr>
        <w:t>第十四章</w:t>
      </w:r>
      <w:r>
        <w:rPr>
          <w:rFonts w:ascii="黑体" w:hAnsi="黑体" w:eastAsia="黑体" w:cs="黑体"/>
          <w:spacing w:val="-6"/>
          <w:sz w:val="20"/>
          <w:szCs w:val="20"/>
        </w:rPr>
        <w:t xml:space="preserve">  </w:t>
      </w:r>
      <w:r>
        <w:rPr>
          <w:rFonts w:ascii="黑体" w:hAnsi="黑体" w:eastAsia="黑体" w:cs="黑体"/>
          <w:b/>
          <w:bCs/>
          <w:spacing w:val="-6"/>
          <w:sz w:val="20"/>
          <w:szCs w:val="20"/>
        </w:rPr>
        <w:t>传染病</w:t>
      </w:r>
    </w:p>
    <w:p w14:paraId="73860390">
      <w:pPr>
        <w:spacing w:line="70" w:lineRule="exact"/>
      </w:pPr>
    </w:p>
    <w:tbl>
      <w:tblPr>
        <w:tblStyle w:val="5"/>
        <w:tblW w:w="4119"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24"/>
        <w:gridCol w:w="210"/>
        <w:gridCol w:w="229"/>
        <w:gridCol w:w="229"/>
        <w:gridCol w:w="234"/>
      </w:tblGrid>
      <w:tr w14:paraId="5DF59F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893" w:type="dxa"/>
            <w:vMerge w:val="restart"/>
            <w:tcBorders>
              <w:top w:val="single" w:color="000000" w:sz="2" w:space="0"/>
              <w:bottom w:val="nil"/>
            </w:tcBorders>
            <w:vAlign w:val="top"/>
          </w:tcPr>
          <w:p w14:paraId="3D257EAB">
            <w:pPr>
              <w:pStyle w:val="6"/>
              <w:spacing w:before="176" w:line="220" w:lineRule="auto"/>
              <w:ind w:left="267" w:right="25" w:hanging="250"/>
            </w:pPr>
            <w:r>
              <w:rPr>
                <w:b/>
                <w:bCs/>
                <w:spacing w:val="-4"/>
              </w:rPr>
              <w:t>知识与技能</w:t>
            </w:r>
            <w:r>
              <w:t xml:space="preserve"> </w:t>
            </w:r>
            <w:r>
              <w:rPr>
                <w:b/>
                <w:bCs/>
                <w:spacing w:val="-4"/>
              </w:rPr>
              <w:t>要点</w:t>
            </w:r>
          </w:p>
        </w:tc>
        <w:tc>
          <w:tcPr>
            <w:tcW w:w="2324" w:type="dxa"/>
            <w:vMerge w:val="restart"/>
            <w:tcBorders>
              <w:top w:val="single" w:color="000000" w:sz="2" w:space="0"/>
              <w:bottom w:val="nil"/>
            </w:tcBorders>
            <w:vAlign w:val="top"/>
          </w:tcPr>
          <w:p w14:paraId="5A42D1C2">
            <w:pPr>
              <w:pStyle w:val="6"/>
              <w:spacing w:before="284" w:line="219" w:lineRule="auto"/>
              <w:ind w:left="844"/>
            </w:pPr>
            <w:r>
              <w:rPr>
                <w:b/>
                <w:bCs/>
                <w:spacing w:val="5"/>
              </w:rPr>
              <w:t>考试条目</w:t>
            </w:r>
          </w:p>
        </w:tc>
        <w:tc>
          <w:tcPr>
            <w:tcW w:w="902" w:type="dxa"/>
            <w:gridSpan w:val="4"/>
            <w:tcBorders>
              <w:top w:val="single" w:color="000000" w:sz="2" w:space="0"/>
              <w:bottom w:val="single" w:color="000000" w:sz="2" w:space="0"/>
            </w:tcBorders>
            <w:vAlign w:val="top"/>
          </w:tcPr>
          <w:p w14:paraId="2BF68981">
            <w:pPr>
              <w:pStyle w:val="6"/>
              <w:spacing w:before="104" w:line="219" w:lineRule="auto"/>
              <w:ind w:left="120"/>
            </w:pPr>
            <w:r>
              <w:rPr>
                <w:b/>
                <w:bCs/>
                <w:spacing w:val="-4"/>
              </w:rPr>
              <w:t>考试水平</w:t>
            </w:r>
          </w:p>
        </w:tc>
      </w:tr>
      <w:tr w14:paraId="0558FB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4" w:hRule="atLeast"/>
        </w:trPr>
        <w:tc>
          <w:tcPr>
            <w:tcW w:w="893" w:type="dxa"/>
            <w:vMerge w:val="continue"/>
            <w:tcBorders>
              <w:top w:val="nil"/>
              <w:bottom w:val="single" w:color="000000" w:sz="2" w:space="0"/>
            </w:tcBorders>
            <w:vAlign w:val="top"/>
          </w:tcPr>
          <w:p w14:paraId="0EA5215A">
            <w:pPr>
              <w:rPr>
                <w:rFonts w:ascii="Arial"/>
                <w:sz w:val="21"/>
              </w:rPr>
            </w:pPr>
          </w:p>
        </w:tc>
        <w:tc>
          <w:tcPr>
            <w:tcW w:w="2324" w:type="dxa"/>
            <w:vMerge w:val="continue"/>
            <w:tcBorders>
              <w:top w:val="nil"/>
              <w:bottom w:val="single" w:color="000000" w:sz="2" w:space="0"/>
            </w:tcBorders>
            <w:vAlign w:val="top"/>
          </w:tcPr>
          <w:p w14:paraId="4EFF9227">
            <w:pPr>
              <w:rPr>
                <w:rFonts w:ascii="Arial"/>
                <w:sz w:val="21"/>
              </w:rPr>
            </w:pPr>
          </w:p>
        </w:tc>
        <w:tc>
          <w:tcPr>
            <w:tcW w:w="210" w:type="dxa"/>
            <w:tcBorders>
              <w:top w:val="single" w:color="000000" w:sz="2" w:space="0"/>
              <w:bottom w:val="single" w:color="000000" w:sz="2" w:space="0"/>
            </w:tcBorders>
            <w:vAlign w:val="top"/>
          </w:tcPr>
          <w:p w14:paraId="3382234A">
            <w:pPr>
              <w:pStyle w:val="6"/>
              <w:spacing w:before="98" w:line="184" w:lineRule="auto"/>
              <w:ind w:left="10"/>
              <w:rPr>
                <w:sz w:val="18"/>
                <w:szCs w:val="18"/>
              </w:rPr>
            </w:pPr>
            <w:r>
              <w:rPr>
                <w:b/>
                <w:bCs/>
                <w:spacing w:val="-2"/>
                <w:sz w:val="18"/>
                <w:szCs w:val="18"/>
              </w:rPr>
              <w:t>A</w:t>
            </w:r>
          </w:p>
        </w:tc>
        <w:tc>
          <w:tcPr>
            <w:tcW w:w="229" w:type="dxa"/>
            <w:tcBorders>
              <w:top w:val="single" w:color="000000" w:sz="2" w:space="0"/>
              <w:bottom w:val="single" w:color="000000" w:sz="2" w:space="0"/>
            </w:tcBorders>
            <w:vAlign w:val="top"/>
          </w:tcPr>
          <w:p w14:paraId="5ABAC9FB">
            <w:pPr>
              <w:pStyle w:val="6"/>
              <w:spacing w:before="87" w:line="182" w:lineRule="auto"/>
              <w:ind w:left="67"/>
            </w:pPr>
            <w:r>
              <w:t>B</w:t>
            </w:r>
          </w:p>
        </w:tc>
        <w:tc>
          <w:tcPr>
            <w:tcW w:w="229" w:type="dxa"/>
            <w:tcBorders>
              <w:top w:val="single" w:color="000000" w:sz="2" w:space="0"/>
              <w:bottom w:val="single" w:color="000000" w:sz="2" w:space="0"/>
            </w:tcBorders>
            <w:vAlign w:val="top"/>
          </w:tcPr>
          <w:p w14:paraId="0203D89A">
            <w:pPr>
              <w:pStyle w:val="6"/>
              <w:spacing w:before="86" w:line="183" w:lineRule="auto"/>
              <w:ind w:left="48"/>
            </w:pPr>
            <w:r>
              <w:t>C</w:t>
            </w:r>
          </w:p>
        </w:tc>
        <w:tc>
          <w:tcPr>
            <w:tcW w:w="234" w:type="dxa"/>
            <w:tcBorders>
              <w:top w:val="single" w:color="000000" w:sz="2" w:space="0"/>
              <w:bottom w:val="single" w:color="000000" w:sz="2" w:space="0"/>
            </w:tcBorders>
            <w:vAlign w:val="top"/>
          </w:tcPr>
          <w:p w14:paraId="6AA70625">
            <w:pPr>
              <w:pStyle w:val="6"/>
              <w:spacing w:before="87" w:line="182" w:lineRule="auto"/>
              <w:ind w:left="19"/>
            </w:pPr>
            <w:r>
              <w:t>D</w:t>
            </w:r>
          </w:p>
        </w:tc>
      </w:tr>
      <w:tr w14:paraId="4DFC4B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5" w:hRule="atLeast"/>
        </w:trPr>
        <w:tc>
          <w:tcPr>
            <w:tcW w:w="893" w:type="dxa"/>
            <w:vMerge w:val="restart"/>
            <w:tcBorders>
              <w:top w:val="single" w:color="000000" w:sz="2" w:space="0"/>
              <w:bottom w:val="nil"/>
            </w:tcBorders>
            <w:vAlign w:val="top"/>
          </w:tcPr>
          <w:p w14:paraId="48E76057">
            <w:pPr>
              <w:pStyle w:val="6"/>
              <w:spacing w:before="254" w:line="220" w:lineRule="auto"/>
              <w:ind w:left="184"/>
            </w:pPr>
            <w:r>
              <w:rPr>
                <w:spacing w:val="3"/>
              </w:rPr>
              <w:t>结核病</w:t>
            </w:r>
          </w:p>
        </w:tc>
        <w:tc>
          <w:tcPr>
            <w:tcW w:w="2324" w:type="dxa"/>
            <w:vMerge w:val="restart"/>
            <w:tcBorders>
              <w:top w:val="single" w:color="000000" w:sz="2" w:space="0"/>
              <w:bottom w:val="nil"/>
            </w:tcBorders>
            <w:vAlign w:val="top"/>
          </w:tcPr>
          <w:p w14:paraId="07A7949B">
            <w:pPr>
              <w:pStyle w:val="6"/>
              <w:spacing w:before="63" w:line="196" w:lineRule="auto"/>
              <w:ind w:left="2"/>
            </w:pPr>
            <w:r>
              <w:rPr>
                <w:spacing w:val="1"/>
              </w:rPr>
              <w:t>1.概述</w:t>
            </w:r>
          </w:p>
          <w:p w14:paraId="51471CEE">
            <w:pPr>
              <w:pStyle w:val="6"/>
              <w:spacing w:line="219" w:lineRule="auto"/>
              <w:ind w:left="2"/>
            </w:pPr>
            <w:r>
              <w:rPr>
                <w:spacing w:val="1"/>
              </w:rPr>
              <w:t>2.肺结核病</w:t>
            </w:r>
          </w:p>
          <w:p w14:paraId="38D4AE08">
            <w:pPr>
              <w:pStyle w:val="6"/>
              <w:spacing w:before="37" w:line="196" w:lineRule="auto"/>
              <w:ind w:left="2"/>
            </w:pPr>
            <w:r>
              <w:rPr>
                <w:spacing w:val="1"/>
              </w:rPr>
              <w:t>3.肺外器官结核病</w:t>
            </w:r>
          </w:p>
        </w:tc>
        <w:tc>
          <w:tcPr>
            <w:tcW w:w="210" w:type="dxa"/>
            <w:tcBorders>
              <w:top w:val="single" w:color="000000" w:sz="2" w:space="0"/>
              <w:bottom w:val="single" w:color="000000" w:sz="2" w:space="0"/>
            </w:tcBorders>
            <w:vAlign w:val="top"/>
          </w:tcPr>
          <w:p w14:paraId="1706610B">
            <w:pPr>
              <w:pStyle w:val="6"/>
              <w:spacing w:before="78" w:line="136" w:lineRule="exact"/>
              <w:ind w:left="7"/>
            </w:pPr>
            <w:r>
              <w:rPr>
                <w:position w:val="-2"/>
              </w:rPr>
              <w:t>V</w:t>
            </w:r>
          </w:p>
        </w:tc>
        <w:tc>
          <w:tcPr>
            <w:tcW w:w="229" w:type="dxa"/>
            <w:tcBorders>
              <w:top w:val="single" w:color="000000" w:sz="2" w:space="0"/>
              <w:bottom w:val="single" w:color="000000" w:sz="2" w:space="0"/>
            </w:tcBorders>
            <w:vAlign w:val="top"/>
          </w:tcPr>
          <w:p w14:paraId="06B70FFA">
            <w:pPr>
              <w:spacing w:line="215" w:lineRule="exact"/>
              <w:rPr>
                <w:rFonts w:ascii="Arial"/>
                <w:sz w:val="18"/>
              </w:rPr>
            </w:pPr>
          </w:p>
        </w:tc>
        <w:tc>
          <w:tcPr>
            <w:tcW w:w="229" w:type="dxa"/>
            <w:tcBorders>
              <w:top w:val="single" w:color="000000" w:sz="2" w:space="0"/>
              <w:bottom w:val="single" w:color="000000" w:sz="2" w:space="0"/>
            </w:tcBorders>
            <w:vAlign w:val="top"/>
          </w:tcPr>
          <w:p w14:paraId="18F23447">
            <w:pPr>
              <w:spacing w:line="215" w:lineRule="exact"/>
              <w:rPr>
                <w:rFonts w:ascii="Arial"/>
                <w:sz w:val="18"/>
              </w:rPr>
            </w:pPr>
          </w:p>
        </w:tc>
        <w:tc>
          <w:tcPr>
            <w:tcW w:w="234" w:type="dxa"/>
            <w:tcBorders>
              <w:top w:val="single" w:color="000000" w:sz="2" w:space="0"/>
              <w:bottom w:val="single" w:color="000000" w:sz="2" w:space="0"/>
            </w:tcBorders>
            <w:vAlign w:val="top"/>
          </w:tcPr>
          <w:p w14:paraId="16AB515D">
            <w:pPr>
              <w:spacing w:line="215" w:lineRule="exact"/>
              <w:rPr>
                <w:rFonts w:ascii="Arial"/>
                <w:sz w:val="18"/>
              </w:rPr>
            </w:pPr>
          </w:p>
        </w:tc>
      </w:tr>
      <w:tr w14:paraId="13D617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5" w:hRule="atLeast"/>
        </w:trPr>
        <w:tc>
          <w:tcPr>
            <w:tcW w:w="893" w:type="dxa"/>
            <w:vMerge w:val="continue"/>
            <w:tcBorders>
              <w:top w:val="nil"/>
              <w:bottom w:val="nil"/>
            </w:tcBorders>
            <w:vAlign w:val="top"/>
          </w:tcPr>
          <w:p w14:paraId="428780DB">
            <w:pPr>
              <w:rPr>
                <w:rFonts w:ascii="Arial"/>
                <w:sz w:val="21"/>
              </w:rPr>
            </w:pPr>
          </w:p>
        </w:tc>
        <w:tc>
          <w:tcPr>
            <w:tcW w:w="2324" w:type="dxa"/>
            <w:vMerge w:val="continue"/>
            <w:tcBorders>
              <w:top w:val="nil"/>
              <w:bottom w:val="nil"/>
            </w:tcBorders>
            <w:vAlign w:val="top"/>
          </w:tcPr>
          <w:p w14:paraId="2D9BCAF2">
            <w:pPr>
              <w:rPr>
                <w:rFonts w:ascii="Arial"/>
                <w:sz w:val="21"/>
              </w:rPr>
            </w:pPr>
          </w:p>
        </w:tc>
        <w:tc>
          <w:tcPr>
            <w:tcW w:w="210" w:type="dxa"/>
            <w:tcBorders>
              <w:top w:val="single" w:color="000000" w:sz="2" w:space="0"/>
              <w:bottom w:val="single" w:color="000000" w:sz="2" w:space="0"/>
            </w:tcBorders>
            <w:vAlign w:val="top"/>
          </w:tcPr>
          <w:p w14:paraId="4282C680">
            <w:pPr>
              <w:spacing w:line="215" w:lineRule="exact"/>
              <w:rPr>
                <w:rFonts w:ascii="Arial"/>
                <w:sz w:val="18"/>
              </w:rPr>
            </w:pPr>
          </w:p>
        </w:tc>
        <w:tc>
          <w:tcPr>
            <w:tcW w:w="229" w:type="dxa"/>
            <w:tcBorders>
              <w:top w:val="single" w:color="000000" w:sz="2" w:space="0"/>
              <w:bottom w:val="single" w:color="000000" w:sz="2" w:space="0"/>
            </w:tcBorders>
            <w:vAlign w:val="top"/>
          </w:tcPr>
          <w:p w14:paraId="6158E57F">
            <w:pPr>
              <w:pStyle w:val="6"/>
              <w:spacing w:before="65" w:line="213" w:lineRule="auto"/>
              <w:ind w:left="47"/>
              <w:rPr>
                <w:sz w:val="13"/>
                <w:szCs w:val="13"/>
              </w:rPr>
            </w:pPr>
            <w:r>
              <w:rPr>
                <w:sz w:val="13"/>
                <w:szCs w:val="13"/>
              </w:rPr>
              <w:t>√</w:t>
            </w:r>
          </w:p>
        </w:tc>
        <w:tc>
          <w:tcPr>
            <w:tcW w:w="229" w:type="dxa"/>
            <w:tcBorders>
              <w:top w:val="single" w:color="000000" w:sz="2" w:space="0"/>
              <w:bottom w:val="single" w:color="000000" w:sz="2" w:space="0"/>
            </w:tcBorders>
            <w:vAlign w:val="top"/>
          </w:tcPr>
          <w:p w14:paraId="63F1AA71">
            <w:pPr>
              <w:spacing w:line="215" w:lineRule="exact"/>
              <w:rPr>
                <w:rFonts w:ascii="Arial"/>
                <w:sz w:val="18"/>
              </w:rPr>
            </w:pPr>
          </w:p>
        </w:tc>
        <w:tc>
          <w:tcPr>
            <w:tcW w:w="234" w:type="dxa"/>
            <w:tcBorders>
              <w:top w:val="single" w:color="000000" w:sz="2" w:space="0"/>
              <w:bottom w:val="single" w:color="000000" w:sz="2" w:space="0"/>
            </w:tcBorders>
            <w:vAlign w:val="top"/>
          </w:tcPr>
          <w:p w14:paraId="637D885F">
            <w:pPr>
              <w:spacing w:line="215" w:lineRule="exact"/>
              <w:rPr>
                <w:rFonts w:ascii="Arial"/>
                <w:sz w:val="18"/>
              </w:rPr>
            </w:pPr>
          </w:p>
        </w:tc>
      </w:tr>
      <w:tr w14:paraId="4D21EC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5" w:hRule="atLeast"/>
        </w:trPr>
        <w:tc>
          <w:tcPr>
            <w:tcW w:w="893" w:type="dxa"/>
            <w:vMerge w:val="continue"/>
            <w:tcBorders>
              <w:top w:val="nil"/>
              <w:bottom w:val="single" w:color="000000" w:sz="2" w:space="0"/>
            </w:tcBorders>
            <w:vAlign w:val="top"/>
          </w:tcPr>
          <w:p w14:paraId="0145FBA9">
            <w:pPr>
              <w:rPr>
                <w:rFonts w:ascii="Arial"/>
                <w:sz w:val="21"/>
              </w:rPr>
            </w:pPr>
          </w:p>
        </w:tc>
        <w:tc>
          <w:tcPr>
            <w:tcW w:w="2324" w:type="dxa"/>
            <w:vMerge w:val="continue"/>
            <w:tcBorders>
              <w:top w:val="nil"/>
              <w:bottom w:val="single" w:color="000000" w:sz="2" w:space="0"/>
            </w:tcBorders>
            <w:vAlign w:val="top"/>
          </w:tcPr>
          <w:p w14:paraId="7BA4A4ED">
            <w:pPr>
              <w:rPr>
                <w:rFonts w:ascii="Arial"/>
                <w:sz w:val="21"/>
              </w:rPr>
            </w:pPr>
          </w:p>
        </w:tc>
        <w:tc>
          <w:tcPr>
            <w:tcW w:w="210" w:type="dxa"/>
            <w:tcBorders>
              <w:top w:val="single" w:color="000000" w:sz="2" w:space="0"/>
              <w:bottom w:val="single" w:color="000000" w:sz="2" w:space="0"/>
            </w:tcBorders>
            <w:vAlign w:val="top"/>
          </w:tcPr>
          <w:p w14:paraId="48C3A275">
            <w:pPr>
              <w:pStyle w:val="6"/>
              <w:spacing w:before="55" w:line="213" w:lineRule="auto"/>
              <w:ind w:left="7"/>
              <w:rPr>
                <w:sz w:val="13"/>
                <w:szCs w:val="13"/>
              </w:rPr>
            </w:pPr>
            <w:r>
              <w:rPr>
                <w:sz w:val="13"/>
                <w:szCs w:val="13"/>
              </w:rPr>
              <w:t>√</w:t>
            </w:r>
          </w:p>
        </w:tc>
        <w:tc>
          <w:tcPr>
            <w:tcW w:w="229" w:type="dxa"/>
            <w:tcBorders>
              <w:top w:val="single" w:color="000000" w:sz="2" w:space="0"/>
              <w:bottom w:val="single" w:color="000000" w:sz="2" w:space="0"/>
            </w:tcBorders>
            <w:vAlign w:val="top"/>
          </w:tcPr>
          <w:p w14:paraId="78560332">
            <w:pPr>
              <w:spacing w:line="205" w:lineRule="exact"/>
              <w:rPr>
                <w:rFonts w:ascii="Arial"/>
                <w:sz w:val="17"/>
              </w:rPr>
            </w:pPr>
          </w:p>
        </w:tc>
        <w:tc>
          <w:tcPr>
            <w:tcW w:w="229" w:type="dxa"/>
            <w:tcBorders>
              <w:top w:val="single" w:color="000000" w:sz="2" w:space="0"/>
              <w:bottom w:val="single" w:color="000000" w:sz="2" w:space="0"/>
            </w:tcBorders>
            <w:vAlign w:val="top"/>
          </w:tcPr>
          <w:p w14:paraId="4C4053B0">
            <w:pPr>
              <w:spacing w:line="205" w:lineRule="exact"/>
              <w:rPr>
                <w:rFonts w:ascii="Arial"/>
                <w:sz w:val="17"/>
              </w:rPr>
            </w:pPr>
          </w:p>
        </w:tc>
        <w:tc>
          <w:tcPr>
            <w:tcW w:w="234" w:type="dxa"/>
            <w:tcBorders>
              <w:top w:val="single" w:color="000000" w:sz="2" w:space="0"/>
              <w:bottom w:val="single" w:color="000000" w:sz="2" w:space="0"/>
            </w:tcBorders>
            <w:vAlign w:val="top"/>
          </w:tcPr>
          <w:p w14:paraId="182FCE58">
            <w:pPr>
              <w:spacing w:line="205" w:lineRule="exact"/>
              <w:rPr>
                <w:rFonts w:ascii="Arial"/>
                <w:sz w:val="17"/>
              </w:rPr>
            </w:pPr>
          </w:p>
        </w:tc>
      </w:tr>
      <w:tr w14:paraId="39582D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4" w:hRule="atLeast"/>
        </w:trPr>
        <w:tc>
          <w:tcPr>
            <w:tcW w:w="893" w:type="dxa"/>
            <w:vMerge w:val="restart"/>
            <w:tcBorders>
              <w:top w:val="single" w:color="000000" w:sz="2" w:space="0"/>
              <w:bottom w:val="nil"/>
            </w:tcBorders>
            <w:vAlign w:val="top"/>
          </w:tcPr>
          <w:p w14:paraId="4ADDD746">
            <w:pPr>
              <w:spacing w:line="246" w:lineRule="auto"/>
              <w:rPr>
                <w:rFonts w:ascii="Arial"/>
                <w:sz w:val="21"/>
              </w:rPr>
            </w:pPr>
          </w:p>
          <w:p w14:paraId="702E8DD6">
            <w:pPr>
              <w:pStyle w:val="6"/>
              <w:spacing w:before="56" w:line="219" w:lineRule="auto"/>
              <w:ind w:left="265"/>
            </w:pPr>
            <w:r>
              <w:rPr>
                <w:spacing w:val="-2"/>
              </w:rPr>
              <w:t>伤寒</w:t>
            </w:r>
          </w:p>
        </w:tc>
        <w:tc>
          <w:tcPr>
            <w:tcW w:w="2324" w:type="dxa"/>
            <w:vMerge w:val="restart"/>
            <w:tcBorders>
              <w:top w:val="single" w:color="000000" w:sz="2" w:space="0"/>
              <w:bottom w:val="nil"/>
            </w:tcBorders>
            <w:vAlign w:val="top"/>
          </w:tcPr>
          <w:p w14:paraId="4E97DE29">
            <w:pPr>
              <w:pStyle w:val="6"/>
              <w:spacing w:before="82" w:line="250" w:lineRule="auto"/>
              <w:ind w:left="2" w:right="937"/>
            </w:pPr>
            <w:r>
              <w:rPr>
                <w:spacing w:val="1"/>
              </w:rPr>
              <w:t>1.病因和发病机制</w:t>
            </w:r>
            <w:r>
              <w:rPr>
                <w:spacing w:val="4"/>
              </w:rPr>
              <w:t xml:space="preserve"> </w:t>
            </w:r>
            <w:r>
              <w:rPr>
                <w:spacing w:val="-2"/>
              </w:rPr>
              <w:t>2.病理变化</w:t>
            </w:r>
          </w:p>
          <w:p w14:paraId="1F7A9460">
            <w:pPr>
              <w:pStyle w:val="6"/>
              <w:spacing w:line="219" w:lineRule="auto"/>
              <w:ind w:left="2"/>
            </w:pPr>
            <w:r>
              <w:rPr>
                <w:spacing w:val="-2"/>
              </w:rPr>
              <w:t>3.结局及并发症</w:t>
            </w:r>
          </w:p>
        </w:tc>
        <w:tc>
          <w:tcPr>
            <w:tcW w:w="210" w:type="dxa"/>
            <w:tcBorders>
              <w:top w:val="single" w:color="000000" w:sz="2" w:space="0"/>
              <w:bottom w:val="single" w:color="000000" w:sz="2" w:space="0"/>
            </w:tcBorders>
            <w:vAlign w:val="top"/>
          </w:tcPr>
          <w:p w14:paraId="158CABA2">
            <w:pPr>
              <w:pStyle w:val="6"/>
              <w:spacing w:before="74" w:line="238" w:lineRule="auto"/>
              <w:ind w:left="18"/>
              <w:rPr>
                <w:sz w:val="13"/>
                <w:szCs w:val="13"/>
              </w:rPr>
            </w:pPr>
            <w:r>
              <w:rPr>
                <w:sz w:val="13"/>
                <w:szCs w:val="13"/>
              </w:rPr>
              <w:t>√</w:t>
            </w:r>
          </w:p>
        </w:tc>
        <w:tc>
          <w:tcPr>
            <w:tcW w:w="229" w:type="dxa"/>
            <w:tcBorders>
              <w:top w:val="single" w:color="000000" w:sz="2" w:space="0"/>
              <w:bottom w:val="single" w:color="000000" w:sz="2" w:space="0"/>
            </w:tcBorders>
            <w:vAlign w:val="top"/>
          </w:tcPr>
          <w:p w14:paraId="02786804">
            <w:pPr>
              <w:rPr>
                <w:rFonts w:ascii="Arial"/>
                <w:sz w:val="21"/>
              </w:rPr>
            </w:pPr>
          </w:p>
        </w:tc>
        <w:tc>
          <w:tcPr>
            <w:tcW w:w="229" w:type="dxa"/>
            <w:tcBorders>
              <w:top w:val="single" w:color="000000" w:sz="2" w:space="0"/>
              <w:bottom w:val="single" w:color="000000" w:sz="2" w:space="0"/>
            </w:tcBorders>
            <w:vAlign w:val="top"/>
          </w:tcPr>
          <w:p w14:paraId="4B4F75B1">
            <w:pPr>
              <w:rPr>
                <w:rFonts w:ascii="Arial"/>
                <w:sz w:val="21"/>
              </w:rPr>
            </w:pPr>
          </w:p>
        </w:tc>
        <w:tc>
          <w:tcPr>
            <w:tcW w:w="234" w:type="dxa"/>
            <w:tcBorders>
              <w:top w:val="single" w:color="000000" w:sz="2" w:space="0"/>
              <w:bottom w:val="single" w:color="000000" w:sz="2" w:space="0"/>
            </w:tcBorders>
            <w:vAlign w:val="top"/>
          </w:tcPr>
          <w:p w14:paraId="1859342D">
            <w:pPr>
              <w:rPr>
                <w:rFonts w:ascii="Arial"/>
                <w:sz w:val="21"/>
              </w:rPr>
            </w:pPr>
          </w:p>
        </w:tc>
      </w:tr>
      <w:tr w14:paraId="1838AF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5" w:hRule="atLeast"/>
        </w:trPr>
        <w:tc>
          <w:tcPr>
            <w:tcW w:w="893" w:type="dxa"/>
            <w:vMerge w:val="continue"/>
            <w:tcBorders>
              <w:top w:val="nil"/>
              <w:bottom w:val="nil"/>
            </w:tcBorders>
            <w:vAlign w:val="top"/>
          </w:tcPr>
          <w:p w14:paraId="0C84FB46">
            <w:pPr>
              <w:rPr>
                <w:rFonts w:ascii="Arial"/>
                <w:sz w:val="21"/>
              </w:rPr>
            </w:pPr>
          </w:p>
        </w:tc>
        <w:tc>
          <w:tcPr>
            <w:tcW w:w="2324" w:type="dxa"/>
            <w:vMerge w:val="continue"/>
            <w:tcBorders>
              <w:top w:val="nil"/>
              <w:bottom w:val="nil"/>
            </w:tcBorders>
            <w:vAlign w:val="top"/>
          </w:tcPr>
          <w:p w14:paraId="7A681456">
            <w:pPr>
              <w:rPr>
                <w:rFonts w:ascii="Arial"/>
                <w:sz w:val="21"/>
              </w:rPr>
            </w:pPr>
          </w:p>
        </w:tc>
        <w:tc>
          <w:tcPr>
            <w:tcW w:w="210" w:type="dxa"/>
            <w:tcBorders>
              <w:top w:val="single" w:color="000000" w:sz="2" w:space="0"/>
              <w:bottom w:val="single" w:color="000000" w:sz="2" w:space="0"/>
            </w:tcBorders>
            <w:vAlign w:val="top"/>
          </w:tcPr>
          <w:p w14:paraId="327DDF6E">
            <w:pPr>
              <w:spacing w:line="235" w:lineRule="exact"/>
              <w:rPr>
                <w:rFonts w:ascii="Arial"/>
                <w:sz w:val="20"/>
              </w:rPr>
            </w:pPr>
          </w:p>
        </w:tc>
        <w:tc>
          <w:tcPr>
            <w:tcW w:w="229" w:type="dxa"/>
            <w:tcBorders>
              <w:top w:val="single" w:color="000000" w:sz="2" w:space="0"/>
              <w:bottom w:val="single" w:color="000000" w:sz="2" w:space="0"/>
            </w:tcBorders>
            <w:vAlign w:val="top"/>
          </w:tcPr>
          <w:p w14:paraId="1DBD61F0">
            <w:pPr>
              <w:pStyle w:val="6"/>
              <w:spacing w:before="75" w:line="226" w:lineRule="auto"/>
              <w:ind w:left="47"/>
              <w:rPr>
                <w:sz w:val="13"/>
                <w:szCs w:val="13"/>
              </w:rPr>
            </w:pPr>
            <w:r>
              <w:rPr>
                <w:sz w:val="13"/>
                <w:szCs w:val="13"/>
              </w:rPr>
              <w:t>√</w:t>
            </w:r>
          </w:p>
        </w:tc>
        <w:tc>
          <w:tcPr>
            <w:tcW w:w="229" w:type="dxa"/>
            <w:tcBorders>
              <w:top w:val="single" w:color="000000" w:sz="2" w:space="0"/>
              <w:bottom w:val="single" w:color="000000" w:sz="2" w:space="0"/>
            </w:tcBorders>
            <w:vAlign w:val="top"/>
          </w:tcPr>
          <w:p w14:paraId="06EE8219">
            <w:pPr>
              <w:spacing w:line="235" w:lineRule="exact"/>
              <w:rPr>
                <w:rFonts w:ascii="Arial"/>
                <w:sz w:val="20"/>
              </w:rPr>
            </w:pPr>
          </w:p>
        </w:tc>
        <w:tc>
          <w:tcPr>
            <w:tcW w:w="234" w:type="dxa"/>
            <w:tcBorders>
              <w:top w:val="single" w:color="000000" w:sz="2" w:space="0"/>
              <w:bottom w:val="single" w:color="000000" w:sz="2" w:space="0"/>
            </w:tcBorders>
            <w:vAlign w:val="top"/>
          </w:tcPr>
          <w:p w14:paraId="049C4881">
            <w:pPr>
              <w:spacing w:line="235" w:lineRule="exact"/>
              <w:rPr>
                <w:rFonts w:ascii="Arial"/>
                <w:sz w:val="20"/>
              </w:rPr>
            </w:pPr>
          </w:p>
        </w:tc>
      </w:tr>
      <w:tr w14:paraId="31BAED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4" w:hRule="atLeast"/>
        </w:trPr>
        <w:tc>
          <w:tcPr>
            <w:tcW w:w="893" w:type="dxa"/>
            <w:vMerge w:val="continue"/>
            <w:tcBorders>
              <w:top w:val="nil"/>
              <w:bottom w:val="single" w:color="000000" w:sz="2" w:space="0"/>
            </w:tcBorders>
            <w:vAlign w:val="top"/>
          </w:tcPr>
          <w:p w14:paraId="4FA5F026">
            <w:pPr>
              <w:rPr>
                <w:rFonts w:ascii="Arial"/>
                <w:sz w:val="21"/>
              </w:rPr>
            </w:pPr>
          </w:p>
        </w:tc>
        <w:tc>
          <w:tcPr>
            <w:tcW w:w="2324" w:type="dxa"/>
            <w:vMerge w:val="continue"/>
            <w:tcBorders>
              <w:top w:val="nil"/>
              <w:bottom w:val="single" w:color="000000" w:sz="2" w:space="0"/>
            </w:tcBorders>
            <w:vAlign w:val="top"/>
          </w:tcPr>
          <w:p w14:paraId="63197CE8">
            <w:pPr>
              <w:rPr>
                <w:rFonts w:ascii="Arial"/>
                <w:sz w:val="21"/>
              </w:rPr>
            </w:pPr>
          </w:p>
        </w:tc>
        <w:tc>
          <w:tcPr>
            <w:tcW w:w="210" w:type="dxa"/>
            <w:tcBorders>
              <w:top w:val="single" w:color="000000" w:sz="2" w:space="0"/>
              <w:bottom w:val="single" w:color="000000" w:sz="2" w:space="0"/>
            </w:tcBorders>
            <w:vAlign w:val="top"/>
          </w:tcPr>
          <w:p w14:paraId="5654F26E">
            <w:pPr>
              <w:pStyle w:val="6"/>
              <w:spacing w:before="75" w:line="238" w:lineRule="auto"/>
              <w:ind w:left="7"/>
              <w:rPr>
                <w:sz w:val="13"/>
                <w:szCs w:val="13"/>
              </w:rPr>
            </w:pPr>
            <w:r>
              <w:rPr>
                <w:sz w:val="13"/>
                <w:szCs w:val="13"/>
              </w:rPr>
              <w:t>√</w:t>
            </w:r>
          </w:p>
        </w:tc>
        <w:tc>
          <w:tcPr>
            <w:tcW w:w="229" w:type="dxa"/>
            <w:tcBorders>
              <w:top w:val="single" w:color="000000" w:sz="2" w:space="0"/>
              <w:bottom w:val="single" w:color="000000" w:sz="2" w:space="0"/>
            </w:tcBorders>
            <w:vAlign w:val="top"/>
          </w:tcPr>
          <w:p w14:paraId="2540CCD1">
            <w:pPr>
              <w:rPr>
                <w:rFonts w:ascii="Arial"/>
                <w:sz w:val="21"/>
              </w:rPr>
            </w:pPr>
          </w:p>
        </w:tc>
        <w:tc>
          <w:tcPr>
            <w:tcW w:w="229" w:type="dxa"/>
            <w:tcBorders>
              <w:top w:val="single" w:color="000000" w:sz="2" w:space="0"/>
              <w:bottom w:val="single" w:color="000000" w:sz="2" w:space="0"/>
            </w:tcBorders>
            <w:vAlign w:val="top"/>
          </w:tcPr>
          <w:p w14:paraId="722DEE46">
            <w:pPr>
              <w:rPr>
                <w:rFonts w:ascii="Arial"/>
                <w:sz w:val="21"/>
              </w:rPr>
            </w:pPr>
          </w:p>
        </w:tc>
        <w:tc>
          <w:tcPr>
            <w:tcW w:w="234" w:type="dxa"/>
            <w:tcBorders>
              <w:top w:val="single" w:color="000000" w:sz="2" w:space="0"/>
              <w:bottom w:val="single" w:color="000000" w:sz="2" w:space="0"/>
            </w:tcBorders>
            <w:vAlign w:val="top"/>
          </w:tcPr>
          <w:p w14:paraId="2BD91770">
            <w:pPr>
              <w:rPr>
                <w:rFonts w:ascii="Arial"/>
                <w:sz w:val="21"/>
              </w:rPr>
            </w:pPr>
          </w:p>
        </w:tc>
      </w:tr>
      <w:tr w14:paraId="78A9A9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5" w:hRule="atLeast"/>
        </w:trPr>
        <w:tc>
          <w:tcPr>
            <w:tcW w:w="893" w:type="dxa"/>
            <w:vMerge w:val="restart"/>
            <w:tcBorders>
              <w:top w:val="single" w:color="000000" w:sz="2" w:space="0"/>
              <w:bottom w:val="nil"/>
            </w:tcBorders>
            <w:vAlign w:val="top"/>
          </w:tcPr>
          <w:p w14:paraId="1BD5F0A2">
            <w:pPr>
              <w:pStyle w:val="6"/>
              <w:spacing w:before="195" w:line="224" w:lineRule="auto"/>
              <w:ind w:left="264" w:right="195" w:hanging="80"/>
            </w:pPr>
            <w:r>
              <w:rPr>
                <w:spacing w:val="-3"/>
              </w:rPr>
              <w:t>细菌性</w:t>
            </w:r>
            <w:r>
              <w:t xml:space="preserve"> </w:t>
            </w:r>
            <w:r>
              <w:rPr>
                <w:spacing w:val="-2"/>
              </w:rPr>
              <w:t>痢疾</w:t>
            </w:r>
          </w:p>
        </w:tc>
        <w:tc>
          <w:tcPr>
            <w:tcW w:w="2324" w:type="dxa"/>
            <w:vMerge w:val="restart"/>
            <w:tcBorders>
              <w:top w:val="single" w:color="000000" w:sz="2" w:space="0"/>
              <w:bottom w:val="nil"/>
            </w:tcBorders>
            <w:vAlign w:val="top"/>
          </w:tcPr>
          <w:p w14:paraId="19AB52A0">
            <w:pPr>
              <w:pStyle w:val="6"/>
              <w:spacing w:before="84" w:line="239" w:lineRule="auto"/>
              <w:ind w:left="2" w:right="937"/>
            </w:pPr>
            <w:r>
              <w:rPr>
                <w:spacing w:val="1"/>
              </w:rPr>
              <w:t>1.病因和发生机制</w:t>
            </w:r>
            <w:r>
              <w:rPr>
                <w:spacing w:val="4"/>
              </w:rPr>
              <w:t xml:space="preserve"> </w:t>
            </w:r>
            <w:r>
              <w:rPr>
                <w:spacing w:val="-2"/>
              </w:rPr>
              <w:t>2.病理变化</w:t>
            </w:r>
          </w:p>
          <w:p w14:paraId="42ADADFE">
            <w:pPr>
              <w:pStyle w:val="6"/>
              <w:spacing w:before="10" w:line="219" w:lineRule="auto"/>
              <w:ind w:left="2"/>
            </w:pPr>
            <w:r>
              <w:rPr>
                <w:spacing w:val="2"/>
              </w:rPr>
              <w:t>3.病理临床联系</w:t>
            </w:r>
          </w:p>
        </w:tc>
        <w:tc>
          <w:tcPr>
            <w:tcW w:w="210" w:type="dxa"/>
            <w:tcBorders>
              <w:top w:val="single" w:color="000000" w:sz="2" w:space="0"/>
              <w:bottom w:val="single" w:color="000000" w:sz="2" w:space="0"/>
            </w:tcBorders>
            <w:vAlign w:val="top"/>
          </w:tcPr>
          <w:p w14:paraId="2AAE854E">
            <w:pPr>
              <w:pStyle w:val="6"/>
              <w:spacing w:before="76" w:line="225" w:lineRule="auto"/>
              <w:ind w:left="7"/>
              <w:rPr>
                <w:sz w:val="13"/>
                <w:szCs w:val="13"/>
              </w:rPr>
            </w:pPr>
            <w:r>
              <w:rPr>
                <w:sz w:val="13"/>
                <w:szCs w:val="13"/>
              </w:rPr>
              <w:t>√</w:t>
            </w:r>
          </w:p>
        </w:tc>
        <w:tc>
          <w:tcPr>
            <w:tcW w:w="229" w:type="dxa"/>
            <w:tcBorders>
              <w:top w:val="single" w:color="000000" w:sz="2" w:space="0"/>
              <w:bottom w:val="single" w:color="000000" w:sz="2" w:space="0"/>
            </w:tcBorders>
            <w:vAlign w:val="top"/>
          </w:tcPr>
          <w:p w14:paraId="1B32FA9E">
            <w:pPr>
              <w:spacing w:line="235" w:lineRule="exact"/>
              <w:rPr>
                <w:rFonts w:ascii="Arial"/>
                <w:sz w:val="20"/>
              </w:rPr>
            </w:pPr>
          </w:p>
        </w:tc>
        <w:tc>
          <w:tcPr>
            <w:tcW w:w="229" w:type="dxa"/>
            <w:tcBorders>
              <w:top w:val="single" w:color="000000" w:sz="2" w:space="0"/>
              <w:bottom w:val="single" w:color="000000" w:sz="2" w:space="0"/>
            </w:tcBorders>
            <w:vAlign w:val="top"/>
          </w:tcPr>
          <w:p w14:paraId="7F1050ED">
            <w:pPr>
              <w:spacing w:line="235" w:lineRule="exact"/>
              <w:rPr>
                <w:rFonts w:ascii="Arial"/>
                <w:sz w:val="20"/>
              </w:rPr>
            </w:pPr>
          </w:p>
        </w:tc>
        <w:tc>
          <w:tcPr>
            <w:tcW w:w="234" w:type="dxa"/>
            <w:tcBorders>
              <w:top w:val="single" w:color="000000" w:sz="2" w:space="0"/>
              <w:bottom w:val="single" w:color="000000" w:sz="2" w:space="0"/>
            </w:tcBorders>
            <w:vAlign w:val="top"/>
          </w:tcPr>
          <w:p w14:paraId="49A765A5">
            <w:pPr>
              <w:spacing w:line="235" w:lineRule="exact"/>
              <w:rPr>
                <w:rFonts w:ascii="Arial"/>
                <w:sz w:val="20"/>
              </w:rPr>
            </w:pPr>
          </w:p>
        </w:tc>
      </w:tr>
      <w:tr w14:paraId="6F8E7A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4" w:hRule="atLeast"/>
        </w:trPr>
        <w:tc>
          <w:tcPr>
            <w:tcW w:w="893" w:type="dxa"/>
            <w:vMerge w:val="continue"/>
            <w:tcBorders>
              <w:top w:val="nil"/>
              <w:bottom w:val="nil"/>
            </w:tcBorders>
            <w:vAlign w:val="top"/>
          </w:tcPr>
          <w:p w14:paraId="11A050ED">
            <w:pPr>
              <w:rPr>
                <w:rFonts w:ascii="Arial"/>
                <w:sz w:val="21"/>
              </w:rPr>
            </w:pPr>
          </w:p>
        </w:tc>
        <w:tc>
          <w:tcPr>
            <w:tcW w:w="2324" w:type="dxa"/>
            <w:vMerge w:val="continue"/>
            <w:tcBorders>
              <w:top w:val="nil"/>
              <w:bottom w:val="nil"/>
            </w:tcBorders>
            <w:vAlign w:val="top"/>
          </w:tcPr>
          <w:p w14:paraId="3A627FF9">
            <w:pPr>
              <w:rPr>
                <w:rFonts w:ascii="Arial"/>
                <w:sz w:val="21"/>
              </w:rPr>
            </w:pPr>
          </w:p>
        </w:tc>
        <w:tc>
          <w:tcPr>
            <w:tcW w:w="210" w:type="dxa"/>
            <w:tcBorders>
              <w:top w:val="single" w:color="000000" w:sz="2" w:space="0"/>
              <w:bottom w:val="single" w:color="000000" w:sz="2" w:space="0"/>
            </w:tcBorders>
            <w:vAlign w:val="top"/>
          </w:tcPr>
          <w:p w14:paraId="3ED15E2C">
            <w:pPr>
              <w:rPr>
                <w:rFonts w:ascii="Arial"/>
                <w:sz w:val="21"/>
              </w:rPr>
            </w:pPr>
          </w:p>
        </w:tc>
        <w:tc>
          <w:tcPr>
            <w:tcW w:w="229" w:type="dxa"/>
            <w:tcBorders>
              <w:top w:val="single" w:color="000000" w:sz="2" w:space="0"/>
              <w:bottom w:val="single" w:color="000000" w:sz="2" w:space="0"/>
            </w:tcBorders>
            <w:vAlign w:val="top"/>
          </w:tcPr>
          <w:p w14:paraId="2EF4A253">
            <w:pPr>
              <w:pStyle w:val="6"/>
              <w:spacing w:before="76" w:line="238" w:lineRule="auto"/>
              <w:ind w:left="47"/>
              <w:rPr>
                <w:sz w:val="13"/>
                <w:szCs w:val="13"/>
              </w:rPr>
            </w:pPr>
            <w:r>
              <w:rPr>
                <w:sz w:val="13"/>
                <w:szCs w:val="13"/>
              </w:rPr>
              <w:t>√</w:t>
            </w:r>
          </w:p>
        </w:tc>
        <w:tc>
          <w:tcPr>
            <w:tcW w:w="229" w:type="dxa"/>
            <w:tcBorders>
              <w:top w:val="single" w:color="000000" w:sz="2" w:space="0"/>
              <w:bottom w:val="single" w:color="000000" w:sz="2" w:space="0"/>
            </w:tcBorders>
            <w:vAlign w:val="top"/>
          </w:tcPr>
          <w:p w14:paraId="173065D1">
            <w:pPr>
              <w:rPr>
                <w:rFonts w:ascii="Arial"/>
                <w:sz w:val="21"/>
              </w:rPr>
            </w:pPr>
          </w:p>
        </w:tc>
        <w:tc>
          <w:tcPr>
            <w:tcW w:w="234" w:type="dxa"/>
            <w:tcBorders>
              <w:top w:val="single" w:color="000000" w:sz="2" w:space="0"/>
              <w:bottom w:val="single" w:color="000000" w:sz="2" w:space="0"/>
            </w:tcBorders>
            <w:vAlign w:val="top"/>
          </w:tcPr>
          <w:p w14:paraId="2B33C7BF">
            <w:pPr>
              <w:rPr>
                <w:rFonts w:ascii="Arial"/>
                <w:sz w:val="21"/>
              </w:rPr>
            </w:pPr>
          </w:p>
        </w:tc>
      </w:tr>
      <w:tr w14:paraId="6B50BD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5" w:hRule="atLeast"/>
        </w:trPr>
        <w:tc>
          <w:tcPr>
            <w:tcW w:w="893" w:type="dxa"/>
            <w:vMerge w:val="continue"/>
            <w:tcBorders>
              <w:top w:val="nil"/>
              <w:bottom w:val="single" w:color="000000" w:sz="2" w:space="0"/>
            </w:tcBorders>
            <w:vAlign w:val="top"/>
          </w:tcPr>
          <w:p w14:paraId="251CB33E">
            <w:pPr>
              <w:rPr>
                <w:rFonts w:ascii="Arial"/>
                <w:sz w:val="21"/>
              </w:rPr>
            </w:pPr>
          </w:p>
        </w:tc>
        <w:tc>
          <w:tcPr>
            <w:tcW w:w="2324" w:type="dxa"/>
            <w:vMerge w:val="continue"/>
            <w:tcBorders>
              <w:top w:val="nil"/>
              <w:bottom w:val="single" w:color="000000" w:sz="2" w:space="0"/>
            </w:tcBorders>
            <w:vAlign w:val="top"/>
          </w:tcPr>
          <w:p w14:paraId="09428326">
            <w:pPr>
              <w:rPr>
                <w:rFonts w:ascii="Arial"/>
                <w:sz w:val="21"/>
              </w:rPr>
            </w:pPr>
          </w:p>
        </w:tc>
        <w:tc>
          <w:tcPr>
            <w:tcW w:w="210" w:type="dxa"/>
            <w:tcBorders>
              <w:top w:val="single" w:color="000000" w:sz="2" w:space="0"/>
              <w:bottom w:val="single" w:color="000000" w:sz="2" w:space="0"/>
            </w:tcBorders>
            <w:vAlign w:val="top"/>
          </w:tcPr>
          <w:p w14:paraId="4AEB2260">
            <w:pPr>
              <w:spacing w:line="235" w:lineRule="exact"/>
              <w:rPr>
                <w:rFonts w:ascii="Arial"/>
                <w:sz w:val="20"/>
              </w:rPr>
            </w:pPr>
          </w:p>
        </w:tc>
        <w:tc>
          <w:tcPr>
            <w:tcW w:w="229" w:type="dxa"/>
            <w:tcBorders>
              <w:top w:val="single" w:color="000000" w:sz="2" w:space="0"/>
              <w:bottom w:val="single" w:color="000000" w:sz="2" w:space="0"/>
            </w:tcBorders>
            <w:vAlign w:val="top"/>
          </w:tcPr>
          <w:p w14:paraId="75200537">
            <w:pPr>
              <w:spacing w:line="235" w:lineRule="exact"/>
              <w:rPr>
                <w:rFonts w:ascii="Arial"/>
                <w:sz w:val="20"/>
              </w:rPr>
            </w:pPr>
          </w:p>
        </w:tc>
        <w:tc>
          <w:tcPr>
            <w:tcW w:w="229" w:type="dxa"/>
            <w:tcBorders>
              <w:top w:val="single" w:color="000000" w:sz="2" w:space="0"/>
              <w:bottom w:val="single" w:color="000000" w:sz="2" w:space="0"/>
            </w:tcBorders>
            <w:vAlign w:val="top"/>
          </w:tcPr>
          <w:p w14:paraId="27A29099">
            <w:pPr>
              <w:spacing w:line="235" w:lineRule="exact"/>
              <w:rPr>
                <w:rFonts w:ascii="Arial"/>
                <w:sz w:val="20"/>
              </w:rPr>
            </w:pPr>
          </w:p>
        </w:tc>
        <w:tc>
          <w:tcPr>
            <w:tcW w:w="234" w:type="dxa"/>
            <w:tcBorders>
              <w:top w:val="single" w:color="000000" w:sz="2" w:space="0"/>
              <w:bottom w:val="single" w:color="000000" w:sz="2" w:space="0"/>
            </w:tcBorders>
            <w:vAlign w:val="top"/>
          </w:tcPr>
          <w:p w14:paraId="0A8064B9">
            <w:pPr>
              <w:spacing w:line="235" w:lineRule="exact"/>
              <w:rPr>
                <w:rFonts w:ascii="Arial"/>
                <w:sz w:val="20"/>
              </w:rPr>
            </w:pPr>
          </w:p>
        </w:tc>
      </w:tr>
      <w:tr w14:paraId="56B267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5" w:hRule="atLeast"/>
        </w:trPr>
        <w:tc>
          <w:tcPr>
            <w:tcW w:w="893" w:type="dxa"/>
            <w:vMerge w:val="restart"/>
            <w:tcBorders>
              <w:top w:val="single" w:color="000000" w:sz="2" w:space="0"/>
              <w:bottom w:val="nil"/>
            </w:tcBorders>
            <w:vAlign w:val="top"/>
          </w:tcPr>
          <w:p w14:paraId="7818D7E6">
            <w:pPr>
              <w:pStyle w:val="6"/>
              <w:spacing w:before="165" w:line="223" w:lineRule="auto"/>
              <w:ind w:left="94" w:right="115"/>
            </w:pPr>
            <w:r>
              <w:rPr>
                <w:spacing w:val="-2"/>
              </w:rPr>
              <w:t>流行性脑</w:t>
            </w:r>
            <w:r>
              <w:t xml:space="preserve"> </w:t>
            </w:r>
            <w:r>
              <w:rPr>
                <w:spacing w:val="-2"/>
              </w:rPr>
              <w:t>脊髓膜炎</w:t>
            </w:r>
          </w:p>
        </w:tc>
        <w:tc>
          <w:tcPr>
            <w:tcW w:w="2324" w:type="dxa"/>
            <w:vMerge w:val="restart"/>
            <w:tcBorders>
              <w:top w:val="single" w:color="000000" w:sz="2" w:space="0"/>
              <w:bottom w:val="nil"/>
            </w:tcBorders>
            <w:vAlign w:val="top"/>
          </w:tcPr>
          <w:p w14:paraId="27D8E87B">
            <w:pPr>
              <w:pStyle w:val="6"/>
              <w:spacing w:before="54" w:line="231" w:lineRule="auto"/>
              <w:ind w:left="2" w:right="937"/>
            </w:pPr>
            <w:r>
              <w:rPr>
                <w:spacing w:val="1"/>
              </w:rPr>
              <w:t>1.病因和发病机制</w:t>
            </w:r>
            <w:r>
              <w:rPr>
                <w:spacing w:val="4"/>
              </w:rPr>
              <w:t xml:space="preserve"> </w:t>
            </w:r>
            <w:r>
              <w:rPr>
                <w:spacing w:val="-2"/>
              </w:rPr>
              <w:t>2.病理变化</w:t>
            </w:r>
          </w:p>
          <w:p w14:paraId="047E2583">
            <w:pPr>
              <w:pStyle w:val="6"/>
              <w:spacing w:before="15" w:line="183" w:lineRule="auto"/>
              <w:ind w:left="2"/>
            </w:pPr>
            <w:r>
              <w:rPr>
                <w:spacing w:val="2"/>
              </w:rPr>
              <w:t>3.病理临床联系</w:t>
            </w:r>
          </w:p>
        </w:tc>
        <w:tc>
          <w:tcPr>
            <w:tcW w:w="210" w:type="dxa"/>
            <w:tcBorders>
              <w:top w:val="single" w:color="000000" w:sz="2" w:space="0"/>
              <w:bottom w:val="single" w:color="000000" w:sz="2" w:space="0"/>
            </w:tcBorders>
            <w:vAlign w:val="top"/>
          </w:tcPr>
          <w:p w14:paraId="223958A6">
            <w:pPr>
              <w:pStyle w:val="6"/>
              <w:spacing w:before="67" w:line="210" w:lineRule="auto"/>
              <w:ind w:left="7"/>
              <w:rPr>
                <w:sz w:val="13"/>
                <w:szCs w:val="13"/>
              </w:rPr>
            </w:pPr>
            <w:r>
              <w:rPr>
                <w:sz w:val="13"/>
                <w:szCs w:val="13"/>
              </w:rPr>
              <w:t>√</w:t>
            </w:r>
          </w:p>
        </w:tc>
        <w:tc>
          <w:tcPr>
            <w:tcW w:w="229" w:type="dxa"/>
            <w:tcBorders>
              <w:top w:val="single" w:color="000000" w:sz="2" w:space="0"/>
              <w:bottom w:val="single" w:color="000000" w:sz="2" w:space="0"/>
            </w:tcBorders>
            <w:vAlign w:val="top"/>
          </w:tcPr>
          <w:p w14:paraId="16F08893">
            <w:pPr>
              <w:spacing w:line="215" w:lineRule="exact"/>
              <w:rPr>
                <w:rFonts w:ascii="Arial"/>
                <w:sz w:val="18"/>
              </w:rPr>
            </w:pPr>
          </w:p>
        </w:tc>
        <w:tc>
          <w:tcPr>
            <w:tcW w:w="229" w:type="dxa"/>
            <w:tcBorders>
              <w:top w:val="single" w:color="000000" w:sz="2" w:space="0"/>
              <w:bottom w:val="single" w:color="000000" w:sz="2" w:space="0"/>
            </w:tcBorders>
            <w:vAlign w:val="top"/>
          </w:tcPr>
          <w:p w14:paraId="5F41E404">
            <w:pPr>
              <w:spacing w:line="215" w:lineRule="exact"/>
              <w:rPr>
                <w:rFonts w:ascii="Arial"/>
                <w:sz w:val="18"/>
              </w:rPr>
            </w:pPr>
          </w:p>
        </w:tc>
        <w:tc>
          <w:tcPr>
            <w:tcW w:w="234" w:type="dxa"/>
            <w:tcBorders>
              <w:top w:val="single" w:color="000000" w:sz="2" w:space="0"/>
              <w:bottom w:val="single" w:color="000000" w:sz="2" w:space="0"/>
            </w:tcBorders>
            <w:vAlign w:val="top"/>
          </w:tcPr>
          <w:p w14:paraId="1FE0D737">
            <w:pPr>
              <w:spacing w:line="215" w:lineRule="exact"/>
              <w:rPr>
                <w:rFonts w:ascii="Arial"/>
                <w:sz w:val="18"/>
              </w:rPr>
            </w:pPr>
          </w:p>
        </w:tc>
      </w:tr>
      <w:tr w14:paraId="57E432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5" w:hRule="atLeast"/>
        </w:trPr>
        <w:tc>
          <w:tcPr>
            <w:tcW w:w="893" w:type="dxa"/>
            <w:vMerge w:val="continue"/>
            <w:tcBorders>
              <w:top w:val="nil"/>
              <w:bottom w:val="nil"/>
            </w:tcBorders>
            <w:vAlign w:val="top"/>
          </w:tcPr>
          <w:p w14:paraId="0B9E3CEA">
            <w:pPr>
              <w:rPr>
                <w:rFonts w:ascii="Arial"/>
                <w:sz w:val="21"/>
              </w:rPr>
            </w:pPr>
          </w:p>
        </w:tc>
        <w:tc>
          <w:tcPr>
            <w:tcW w:w="2324" w:type="dxa"/>
            <w:vMerge w:val="continue"/>
            <w:tcBorders>
              <w:top w:val="nil"/>
              <w:bottom w:val="nil"/>
            </w:tcBorders>
            <w:vAlign w:val="top"/>
          </w:tcPr>
          <w:p w14:paraId="318AF685">
            <w:pPr>
              <w:rPr>
                <w:rFonts w:ascii="Arial"/>
                <w:sz w:val="21"/>
              </w:rPr>
            </w:pPr>
          </w:p>
        </w:tc>
        <w:tc>
          <w:tcPr>
            <w:tcW w:w="210" w:type="dxa"/>
            <w:tcBorders>
              <w:top w:val="single" w:color="000000" w:sz="2" w:space="0"/>
              <w:bottom w:val="single" w:color="000000" w:sz="2" w:space="0"/>
            </w:tcBorders>
            <w:vAlign w:val="top"/>
          </w:tcPr>
          <w:p w14:paraId="2704E459">
            <w:pPr>
              <w:spacing w:line="215" w:lineRule="exact"/>
              <w:rPr>
                <w:rFonts w:ascii="Arial"/>
                <w:sz w:val="18"/>
              </w:rPr>
            </w:pPr>
          </w:p>
        </w:tc>
        <w:tc>
          <w:tcPr>
            <w:tcW w:w="229" w:type="dxa"/>
            <w:tcBorders>
              <w:top w:val="single" w:color="000000" w:sz="2" w:space="0"/>
              <w:bottom w:val="single" w:color="000000" w:sz="2" w:space="0"/>
            </w:tcBorders>
            <w:vAlign w:val="top"/>
          </w:tcPr>
          <w:p w14:paraId="50177C9E">
            <w:pPr>
              <w:pStyle w:val="6"/>
              <w:spacing w:before="67" w:line="210" w:lineRule="auto"/>
              <w:ind w:left="28"/>
              <w:rPr>
                <w:sz w:val="13"/>
                <w:szCs w:val="13"/>
              </w:rPr>
            </w:pPr>
            <w:r>
              <w:rPr>
                <w:sz w:val="13"/>
                <w:szCs w:val="13"/>
              </w:rPr>
              <w:t>√</w:t>
            </w:r>
          </w:p>
        </w:tc>
        <w:tc>
          <w:tcPr>
            <w:tcW w:w="229" w:type="dxa"/>
            <w:tcBorders>
              <w:top w:val="single" w:color="000000" w:sz="2" w:space="0"/>
              <w:bottom w:val="single" w:color="000000" w:sz="2" w:space="0"/>
            </w:tcBorders>
            <w:vAlign w:val="top"/>
          </w:tcPr>
          <w:p w14:paraId="00C0594E">
            <w:pPr>
              <w:spacing w:line="215" w:lineRule="exact"/>
              <w:rPr>
                <w:rFonts w:ascii="Arial"/>
                <w:sz w:val="18"/>
              </w:rPr>
            </w:pPr>
          </w:p>
        </w:tc>
        <w:tc>
          <w:tcPr>
            <w:tcW w:w="234" w:type="dxa"/>
            <w:tcBorders>
              <w:top w:val="single" w:color="000000" w:sz="2" w:space="0"/>
              <w:bottom w:val="single" w:color="000000" w:sz="2" w:space="0"/>
            </w:tcBorders>
            <w:vAlign w:val="top"/>
          </w:tcPr>
          <w:p w14:paraId="5A1EBF19">
            <w:pPr>
              <w:spacing w:line="215" w:lineRule="exact"/>
              <w:rPr>
                <w:rFonts w:ascii="Arial"/>
                <w:sz w:val="18"/>
              </w:rPr>
            </w:pPr>
          </w:p>
        </w:tc>
      </w:tr>
      <w:tr w14:paraId="767FD7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4" w:hRule="atLeast"/>
        </w:trPr>
        <w:tc>
          <w:tcPr>
            <w:tcW w:w="893" w:type="dxa"/>
            <w:vMerge w:val="continue"/>
            <w:tcBorders>
              <w:top w:val="nil"/>
              <w:bottom w:val="single" w:color="000000" w:sz="2" w:space="0"/>
            </w:tcBorders>
            <w:vAlign w:val="top"/>
          </w:tcPr>
          <w:p w14:paraId="63FFD54B">
            <w:pPr>
              <w:rPr>
                <w:rFonts w:ascii="Arial"/>
                <w:sz w:val="21"/>
              </w:rPr>
            </w:pPr>
          </w:p>
        </w:tc>
        <w:tc>
          <w:tcPr>
            <w:tcW w:w="2324" w:type="dxa"/>
            <w:vMerge w:val="continue"/>
            <w:tcBorders>
              <w:top w:val="nil"/>
              <w:bottom w:val="single" w:color="000000" w:sz="2" w:space="0"/>
            </w:tcBorders>
            <w:vAlign w:val="top"/>
          </w:tcPr>
          <w:p w14:paraId="4268DA7A">
            <w:pPr>
              <w:rPr>
                <w:rFonts w:ascii="Arial"/>
                <w:sz w:val="21"/>
              </w:rPr>
            </w:pPr>
          </w:p>
        </w:tc>
        <w:tc>
          <w:tcPr>
            <w:tcW w:w="210" w:type="dxa"/>
            <w:tcBorders>
              <w:top w:val="single" w:color="000000" w:sz="2" w:space="0"/>
              <w:bottom w:val="single" w:color="000000" w:sz="2" w:space="0"/>
            </w:tcBorders>
            <w:vAlign w:val="top"/>
          </w:tcPr>
          <w:p w14:paraId="0A9FEB26">
            <w:pPr>
              <w:spacing w:line="204" w:lineRule="exact"/>
              <w:rPr>
                <w:rFonts w:ascii="Arial"/>
                <w:sz w:val="17"/>
              </w:rPr>
            </w:pPr>
          </w:p>
        </w:tc>
        <w:tc>
          <w:tcPr>
            <w:tcW w:w="229" w:type="dxa"/>
            <w:tcBorders>
              <w:top w:val="single" w:color="000000" w:sz="2" w:space="0"/>
              <w:bottom w:val="single" w:color="000000" w:sz="2" w:space="0"/>
            </w:tcBorders>
            <w:vAlign w:val="top"/>
          </w:tcPr>
          <w:p w14:paraId="7A1AFCC3">
            <w:pPr>
              <w:pStyle w:val="6"/>
              <w:spacing w:before="57" w:line="208" w:lineRule="auto"/>
              <w:ind w:left="47"/>
              <w:rPr>
                <w:sz w:val="13"/>
                <w:szCs w:val="13"/>
              </w:rPr>
            </w:pPr>
            <w:r>
              <w:rPr>
                <w:sz w:val="13"/>
                <w:szCs w:val="13"/>
              </w:rPr>
              <w:t>√</w:t>
            </w:r>
          </w:p>
        </w:tc>
        <w:tc>
          <w:tcPr>
            <w:tcW w:w="229" w:type="dxa"/>
            <w:tcBorders>
              <w:top w:val="single" w:color="000000" w:sz="2" w:space="0"/>
              <w:bottom w:val="single" w:color="000000" w:sz="2" w:space="0"/>
            </w:tcBorders>
            <w:vAlign w:val="top"/>
          </w:tcPr>
          <w:p w14:paraId="775A33B2">
            <w:pPr>
              <w:spacing w:line="204" w:lineRule="exact"/>
              <w:rPr>
                <w:rFonts w:ascii="Arial"/>
                <w:sz w:val="17"/>
              </w:rPr>
            </w:pPr>
          </w:p>
        </w:tc>
        <w:tc>
          <w:tcPr>
            <w:tcW w:w="234" w:type="dxa"/>
            <w:tcBorders>
              <w:top w:val="single" w:color="000000" w:sz="2" w:space="0"/>
              <w:bottom w:val="single" w:color="000000" w:sz="2" w:space="0"/>
            </w:tcBorders>
            <w:vAlign w:val="top"/>
          </w:tcPr>
          <w:p w14:paraId="1C4EFF0B">
            <w:pPr>
              <w:spacing w:line="204" w:lineRule="exact"/>
              <w:rPr>
                <w:rFonts w:ascii="Arial"/>
                <w:sz w:val="17"/>
              </w:rPr>
            </w:pPr>
          </w:p>
        </w:tc>
      </w:tr>
      <w:tr w14:paraId="1109E8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5" w:hRule="atLeast"/>
        </w:trPr>
        <w:tc>
          <w:tcPr>
            <w:tcW w:w="893" w:type="dxa"/>
            <w:vMerge w:val="restart"/>
            <w:tcBorders>
              <w:top w:val="single" w:color="000000" w:sz="2" w:space="0"/>
              <w:bottom w:val="nil"/>
            </w:tcBorders>
            <w:vAlign w:val="top"/>
          </w:tcPr>
          <w:p w14:paraId="2055EA5F">
            <w:pPr>
              <w:pStyle w:val="6"/>
              <w:spacing w:before="207" w:line="220" w:lineRule="auto"/>
              <w:ind w:left="94"/>
            </w:pPr>
            <w:r>
              <w:rPr>
                <w:spacing w:val="-2"/>
              </w:rPr>
              <w:t>流行性乙</w:t>
            </w:r>
          </w:p>
          <w:p w14:paraId="5B4F5A4D">
            <w:pPr>
              <w:pStyle w:val="6"/>
              <w:spacing w:before="17" w:line="220" w:lineRule="auto"/>
              <w:ind w:left="184"/>
            </w:pPr>
            <w:r>
              <w:rPr>
                <w:spacing w:val="3"/>
              </w:rPr>
              <w:t>型脑炎</w:t>
            </w:r>
          </w:p>
        </w:tc>
        <w:tc>
          <w:tcPr>
            <w:tcW w:w="2324" w:type="dxa"/>
            <w:vMerge w:val="restart"/>
            <w:tcBorders>
              <w:top w:val="single" w:color="000000" w:sz="2" w:space="0"/>
              <w:bottom w:val="nil"/>
            </w:tcBorders>
            <w:vAlign w:val="top"/>
          </w:tcPr>
          <w:p w14:paraId="39FED699">
            <w:pPr>
              <w:pStyle w:val="6"/>
              <w:spacing w:before="96" w:line="239" w:lineRule="auto"/>
              <w:ind w:left="2" w:right="937"/>
            </w:pPr>
            <w:r>
              <w:rPr>
                <w:spacing w:val="1"/>
              </w:rPr>
              <w:t>1.病因和发病机制</w:t>
            </w:r>
            <w:r>
              <w:rPr>
                <w:spacing w:val="4"/>
              </w:rPr>
              <w:t xml:space="preserve"> </w:t>
            </w:r>
            <w:r>
              <w:rPr>
                <w:spacing w:val="-2"/>
              </w:rPr>
              <w:t>2.病理变化</w:t>
            </w:r>
          </w:p>
          <w:p w14:paraId="5C2ACD77">
            <w:pPr>
              <w:pStyle w:val="6"/>
              <w:spacing w:line="219" w:lineRule="auto"/>
              <w:ind w:left="2"/>
            </w:pPr>
            <w:r>
              <w:rPr>
                <w:spacing w:val="2"/>
              </w:rPr>
              <w:t>3.病理临床联系</w:t>
            </w:r>
          </w:p>
        </w:tc>
        <w:tc>
          <w:tcPr>
            <w:tcW w:w="210" w:type="dxa"/>
            <w:tcBorders>
              <w:top w:val="single" w:color="000000" w:sz="2" w:space="0"/>
              <w:bottom w:val="single" w:color="000000" w:sz="2" w:space="0"/>
            </w:tcBorders>
            <w:vAlign w:val="top"/>
          </w:tcPr>
          <w:p w14:paraId="0F0D71D4">
            <w:pPr>
              <w:pStyle w:val="6"/>
              <w:spacing w:before="78" w:line="237" w:lineRule="auto"/>
              <w:ind w:left="7"/>
              <w:rPr>
                <w:sz w:val="13"/>
                <w:szCs w:val="13"/>
              </w:rPr>
            </w:pPr>
            <w:r>
              <w:rPr>
                <w:sz w:val="13"/>
                <w:szCs w:val="13"/>
              </w:rPr>
              <w:t>√</w:t>
            </w:r>
          </w:p>
        </w:tc>
        <w:tc>
          <w:tcPr>
            <w:tcW w:w="229" w:type="dxa"/>
            <w:tcBorders>
              <w:top w:val="single" w:color="000000" w:sz="2" w:space="0"/>
              <w:bottom w:val="single" w:color="000000" w:sz="2" w:space="0"/>
            </w:tcBorders>
            <w:vAlign w:val="top"/>
          </w:tcPr>
          <w:p w14:paraId="6D92C00E">
            <w:pPr>
              <w:rPr>
                <w:rFonts w:ascii="Arial"/>
                <w:sz w:val="21"/>
              </w:rPr>
            </w:pPr>
          </w:p>
        </w:tc>
        <w:tc>
          <w:tcPr>
            <w:tcW w:w="229" w:type="dxa"/>
            <w:tcBorders>
              <w:top w:val="single" w:color="000000" w:sz="2" w:space="0"/>
              <w:bottom w:val="single" w:color="000000" w:sz="2" w:space="0"/>
            </w:tcBorders>
            <w:vAlign w:val="top"/>
          </w:tcPr>
          <w:p w14:paraId="56640835">
            <w:pPr>
              <w:rPr>
                <w:rFonts w:ascii="Arial"/>
                <w:sz w:val="21"/>
              </w:rPr>
            </w:pPr>
          </w:p>
        </w:tc>
        <w:tc>
          <w:tcPr>
            <w:tcW w:w="234" w:type="dxa"/>
            <w:tcBorders>
              <w:top w:val="single" w:color="000000" w:sz="2" w:space="0"/>
              <w:bottom w:val="single" w:color="000000" w:sz="2" w:space="0"/>
            </w:tcBorders>
            <w:vAlign w:val="top"/>
          </w:tcPr>
          <w:p w14:paraId="02AC3C16">
            <w:pPr>
              <w:rPr>
                <w:rFonts w:ascii="Arial"/>
                <w:sz w:val="21"/>
              </w:rPr>
            </w:pPr>
          </w:p>
        </w:tc>
      </w:tr>
      <w:tr w14:paraId="4C9347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4" w:hRule="atLeast"/>
        </w:trPr>
        <w:tc>
          <w:tcPr>
            <w:tcW w:w="893" w:type="dxa"/>
            <w:vMerge w:val="continue"/>
            <w:tcBorders>
              <w:top w:val="nil"/>
              <w:bottom w:val="nil"/>
            </w:tcBorders>
            <w:vAlign w:val="top"/>
          </w:tcPr>
          <w:p w14:paraId="5A710AF2">
            <w:pPr>
              <w:rPr>
                <w:rFonts w:ascii="Arial"/>
                <w:sz w:val="21"/>
              </w:rPr>
            </w:pPr>
          </w:p>
        </w:tc>
        <w:tc>
          <w:tcPr>
            <w:tcW w:w="2324" w:type="dxa"/>
            <w:vMerge w:val="continue"/>
            <w:tcBorders>
              <w:top w:val="nil"/>
              <w:bottom w:val="nil"/>
            </w:tcBorders>
            <w:vAlign w:val="top"/>
          </w:tcPr>
          <w:p w14:paraId="54F5E08D">
            <w:pPr>
              <w:rPr>
                <w:rFonts w:ascii="Arial"/>
                <w:sz w:val="21"/>
              </w:rPr>
            </w:pPr>
          </w:p>
        </w:tc>
        <w:tc>
          <w:tcPr>
            <w:tcW w:w="210" w:type="dxa"/>
            <w:tcBorders>
              <w:top w:val="single" w:color="000000" w:sz="2" w:space="0"/>
              <w:bottom w:val="single" w:color="000000" w:sz="2" w:space="0"/>
            </w:tcBorders>
            <w:vAlign w:val="top"/>
          </w:tcPr>
          <w:p w14:paraId="66B51941">
            <w:pPr>
              <w:pStyle w:val="6"/>
              <w:spacing w:before="78" w:line="221" w:lineRule="auto"/>
              <w:ind w:left="7"/>
              <w:rPr>
                <w:sz w:val="13"/>
                <w:szCs w:val="13"/>
              </w:rPr>
            </w:pPr>
            <w:r>
              <w:rPr>
                <w:sz w:val="13"/>
                <w:szCs w:val="13"/>
              </w:rPr>
              <w:t>√</w:t>
            </w:r>
          </w:p>
        </w:tc>
        <w:tc>
          <w:tcPr>
            <w:tcW w:w="229" w:type="dxa"/>
            <w:tcBorders>
              <w:top w:val="single" w:color="000000" w:sz="2" w:space="0"/>
              <w:bottom w:val="single" w:color="000000" w:sz="2" w:space="0"/>
            </w:tcBorders>
            <w:vAlign w:val="top"/>
          </w:tcPr>
          <w:p w14:paraId="75C85756">
            <w:pPr>
              <w:spacing w:line="234" w:lineRule="exact"/>
              <w:rPr>
                <w:rFonts w:ascii="Arial"/>
                <w:sz w:val="20"/>
              </w:rPr>
            </w:pPr>
          </w:p>
        </w:tc>
        <w:tc>
          <w:tcPr>
            <w:tcW w:w="229" w:type="dxa"/>
            <w:tcBorders>
              <w:top w:val="single" w:color="000000" w:sz="2" w:space="0"/>
              <w:bottom w:val="single" w:color="000000" w:sz="2" w:space="0"/>
            </w:tcBorders>
            <w:vAlign w:val="top"/>
          </w:tcPr>
          <w:p w14:paraId="5F01BC47">
            <w:pPr>
              <w:spacing w:line="234" w:lineRule="exact"/>
              <w:rPr>
                <w:rFonts w:ascii="Arial"/>
                <w:sz w:val="20"/>
              </w:rPr>
            </w:pPr>
          </w:p>
        </w:tc>
        <w:tc>
          <w:tcPr>
            <w:tcW w:w="234" w:type="dxa"/>
            <w:tcBorders>
              <w:top w:val="single" w:color="000000" w:sz="2" w:space="0"/>
              <w:bottom w:val="single" w:color="000000" w:sz="2" w:space="0"/>
            </w:tcBorders>
            <w:vAlign w:val="top"/>
          </w:tcPr>
          <w:p w14:paraId="09A76E3A">
            <w:pPr>
              <w:spacing w:line="234" w:lineRule="exact"/>
              <w:rPr>
                <w:rFonts w:ascii="Arial"/>
                <w:sz w:val="20"/>
              </w:rPr>
            </w:pPr>
          </w:p>
        </w:tc>
      </w:tr>
      <w:tr w14:paraId="38E800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0" w:hRule="atLeast"/>
        </w:trPr>
        <w:tc>
          <w:tcPr>
            <w:tcW w:w="893" w:type="dxa"/>
            <w:vMerge w:val="continue"/>
            <w:tcBorders>
              <w:top w:val="nil"/>
              <w:bottom w:val="single" w:color="000000" w:sz="2" w:space="0"/>
            </w:tcBorders>
            <w:vAlign w:val="top"/>
          </w:tcPr>
          <w:p w14:paraId="07B4757D">
            <w:pPr>
              <w:rPr>
                <w:rFonts w:ascii="Arial"/>
                <w:sz w:val="21"/>
              </w:rPr>
            </w:pPr>
          </w:p>
        </w:tc>
        <w:tc>
          <w:tcPr>
            <w:tcW w:w="2324" w:type="dxa"/>
            <w:vMerge w:val="continue"/>
            <w:tcBorders>
              <w:top w:val="nil"/>
              <w:bottom w:val="single" w:color="000000" w:sz="2" w:space="0"/>
            </w:tcBorders>
            <w:vAlign w:val="top"/>
          </w:tcPr>
          <w:p w14:paraId="155C6FC9">
            <w:pPr>
              <w:rPr>
                <w:rFonts w:ascii="Arial"/>
                <w:sz w:val="21"/>
              </w:rPr>
            </w:pPr>
          </w:p>
        </w:tc>
        <w:tc>
          <w:tcPr>
            <w:tcW w:w="210" w:type="dxa"/>
            <w:tcBorders>
              <w:top w:val="single" w:color="000000" w:sz="2" w:space="0"/>
              <w:bottom w:val="single" w:color="000000" w:sz="2" w:space="0"/>
            </w:tcBorders>
            <w:vAlign w:val="top"/>
          </w:tcPr>
          <w:p w14:paraId="66490E21">
            <w:pPr>
              <w:spacing w:line="230" w:lineRule="exact"/>
              <w:rPr>
                <w:rFonts w:ascii="Arial"/>
                <w:sz w:val="20"/>
              </w:rPr>
            </w:pPr>
          </w:p>
        </w:tc>
        <w:tc>
          <w:tcPr>
            <w:tcW w:w="229" w:type="dxa"/>
            <w:tcBorders>
              <w:top w:val="single" w:color="000000" w:sz="2" w:space="0"/>
              <w:bottom w:val="single" w:color="000000" w:sz="2" w:space="0"/>
            </w:tcBorders>
            <w:vAlign w:val="top"/>
          </w:tcPr>
          <w:p w14:paraId="66E08525">
            <w:pPr>
              <w:spacing w:line="230" w:lineRule="exact"/>
              <w:rPr>
                <w:rFonts w:ascii="Arial"/>
                <w:sz w:val="20"/>
              </w:rPr>
            </w:pPr>
          </w:p>
        </w:tc>
        <w:tc>
          <w:tcPr>
            <w:tcW w:w="229" w:type="dxa"/>
            <w:tcBorders>
              <w:top w:val="single" w:color="000000" w:sz="2" w:space="0"/>
              <w:bottom w:val="single" w:color="000000" w:sz="2" w:space="0"/>
            </w:tcBorders>
            <w:vAlign w:val="top"/>
          </w:tcPr>
          <w:p w14:paraId="01B5FD39">
            <w:pPr>
              <w:spacing w:line="230" w:lineRule="exact"/>
              <w:rPr>
                <w:rFonts w:ascii="Arial"/>
                <w:sz w:val="20"/>
              </w:rPr>
            </w:pPr>
          </w:p>
        </w:tc>
        <w:tc>
          <w:tcPr>
            <w:tcW w:w="234" w:type="dxa"/>
            <w:tcBorders>
              <w:top w:val="single" w:color="000000" w:sz="2" w:space="0"/>
              <w:bottom w:val="single" w:color="000000" w:sz="2" w:space="0"/>
            </w:tcBorders>
            <w:vAlign w:val="top"/>
          </w:tcPr>
          <w:p w14:paraId="02EBACCD">
            <w:pPr>
              <w:spacing w:line="230" w:lineRule="exact"/>
              <w:rPr>
                <w:rFonts w:ascii="Arial"/>
                <w:sz w:val="20"/>
              </w:rPr>
            </w:pPr>
          </w:p>
        </w:tc>
      </w:tr>
    </w:tbl>
    <w:p w14:paraId="3EF33CE6">
      <w:pPr>
        <w:pStyle w:val="2"/>
        <w:spacing w:line="14" w:lineRule="auto"/>
        <w:rPr>
          <w:sz w:val="2"/>
        </w:rPr>
      </w:pPr>
    </w:p>
    <w:p w14:paraId="35525363">
      <w:pPr>
        <w:pStyle w:val="2"/>
        <w:spacing w:line="14" w:lineRule="auto"/>
        <w:rPr>
          <w:sz w:val="2"/>
        </w:rPr>
      </w:pPr>
      <w:r>
        <w:rPr>
          <w:sz w:val="2"/>
          <w:szCs w:val="2"/>
        </w:rPr>
        <w:br w:type="column"/>
      </w:r>
    </w:p>
    <w:p w14:paraId="6695E6C9">
      <w:pPr>
        <w:pStyle w:val="2"/>
        <w:spacing w:line="299" w:lineRule="auto"/>
      </w:pPr>
    </w:p>
    <w:p w14:paraId="6A8CD320">
      <w:pPr>
        <w:spacing w:before="74" w:line="221" w:lineRule="auto"/>
        <w:ind w:left="38"/>
        <w:rPr>
          <w:rFonts w:ascii="黑体" w:hAnsi="黑体" w:eastAsia="黑体" w:cs="黑体"/>
          <w:sz w:val="23"/>
          <w:szCs w:val="23"/>
        </w:rPr>
      </w:pPr>
      <w:r>
        <w:rPr>
          <w:rFonts w:ascii="黑体" w:hAnsi="黑体" w:eastAsia="黑体" w:cs="黑体"/>
          <w:b/>
          <w:bCs/>
          <w:spacing w:val="-7"/>
          <w:sz w:val="23"/>
          <w:szCs w:val="23"/>
        </w:rPr>
        <w:t>四、考试形式和试卷结构</w:t>
      </w:r>
    </w:p>
    <w:p w14:paraId="7732DD66">
      <w:pPr>
        <w:spacing w:before="105" w:line="348" w:lineRule="auto"/>
        <w:ind w:left="5" w:right="26" w:firstLine="370"/>
        <w:rPr>
          <w:rFonts w:ascii="宋体" w:hAnsi="宋体" w:eastAsia="宋体" w:cs="宋体"/>
          <w:sz w:val="14"/>
          <w:szCs w:val="14"/>
        </w:rPr>
      </w:pPr>
      <w:r>
        <w:rPr>
          <w:rFonts w:ascii="宋体" w:hAnsi="宋体" w:eastAsia="宋体" w:cs="宋体"/>
          <w:spacing w:val="13"/>
          <w:sz w:val="16"/>
          <w:szCs w:val="16"/>
        </w:rPr>
        <w:t>1.考试形式：采用闭卷笔答方式。考试时间为150</w:t>
      </w:r>
      <w:r>
        <w:rPr>
          <w:rFonts w:ascii="宋体" w:hAnsi="宋体" w:eastAsia="宋体" w:cs="宋体"/>
          <w:spacing w:val="5"/>
          <w:sz w:val="16"/>
          <w:szCs w:val="16"/>
        </w:rPr>
        <w:t xml:space="preserve"> </w:t>
      </w:r>
      <w:r>
        <w:rPr>
          <w:rFonts w:ascii="宋体" w:hAnsi="宋体" w:eastAsia="宋体" w:cs="宋体"/>
          <w:spacing w:val="-5"/>
          <w:sz w:val="14"/>
          <w:szCs w:val="14"/>
        </w:rPr>
        <w:t>分</w:t>
      </w:r>
      <w:r>
        <w:rPr>
          <w:rFonts w:ascii="宋体" w:hAnsi="宋体" w:eastAsia="宋体" w:cs="宋体"/>
          <w:spacing w:val="-20"/>
          <w:sz w:val="14"/>
          <w:szCs w:val="14"/>
        </w:rPr>
        <w:t xml:space="preserve"> </w:t>
      </w:r>
      <w:r>
        <w:rPr>
          <w:rFonts w:ascii="宋体" w:hAnsi="宋体" w:eastAsia="宋体" w:cs="宋体"/>
          <w:spacing w:val="-5"/>
          <w:sz w:val="14"/>
          <w:szCs w:val="14"/>
        </w:rPr>
        <w:t>钟</w:t>
      </w:r>
      <w:r>
        <w:rPr>
          <w:rFonts w:ascii="宋体" w:hAnsi="宋体" w:eastAsia="宋体" w:cs="宋体"/>
          <w:spacing w:val="-26"/>
          <w:sz w:val="14"/>
          <w:szCs w:val="14"/>
        </w:rPr>
        <w:t xml:space="preserve"> </w:t>
      </w:r>
      <w:r>
        <w:rPr>
          <w:rFonts w:ascii="宋体" w:hAnsi="宋体" w:eastAsia="宋体" w:cs="宋体"/>
          <w:spacing w:val="-5"/>
          <w:sz w:val="14"/>
          <w:szCs w:val="14"/>
        </w:rPr>
        <w:t>。</w:t>
      </w:r>
    </w:p>
    <w:p w14:paraId="25148AEF">
      <w:pPr>
        <w:spacing w:before="6" w:line="220" w:lineRule="auto"/>
        <w:ind w:left="354"/>
        <w:rPr>
          <w:rFonts w:ascii="宋体" w:hAnsi="宋体" w:eastAsia="宋体" w:cs="宋体"/>
          <w:sz w:val="16"/>
          <w:szCs w:val="16"/>
        </w:rPr>
      </w:pPr>
      <w:r>
        <w:rPr>
          <w:rFonts w:ascii="宋体" w:hAnsi="宋体" w:eastAsia="宋体" w:cs="宋体"/>
          <w:spacing w:val="4"/>
          <w:sz w:val="16"/>
          <w:szCs w:val="16"/>
        </w:rPr>
        <w:t>2.试卷结构：</w:t>
      </w:r>
    </w:p>
    <w:p w14:paraId="05DED113">
      <w:pPr>
        <w:spacing w:before="99" w:line="219" w:lineRule="auto"/>
        <w:ind w:left="435"/>
        <w:rPr>
          <w:rFonts w:ascii="宋体" w:hAnsi="宋体" w:eastAsia="宋体" w:cs="宋体"/>
          <w:sz w:val="18"/>
          <w:szCs w:val="18"/>
        </w:rPr>
      </w:pPr>
      <w:r>
        <w:rPr>
          <w:rFonts w:ascii="宋体" w:hAnsi="宋体" w:eastAsia="宋体" w:cs="宋体"/>
          <w:sz w:val="18"/>
          <w:szCs w:val="18"/>
        </w:rPr>
        <w:t>(1)按考试水平分：</w:t>
      </w:r>
    </w:p>
    <w:p w14:paraId="50D5369E">
      <w:pPr>
        <w:spacing w:line="49" w:lineRule="auto"/>
        <w:rPr>
          <w:rFonts w:ascii="Arial"/>
          <w:sz w:val="2"/>
        </w:rPr>
      </w:pPr>
    </w:p>
    <w:tbl>
      <w:tblPr>
        <w:tblStyle w:val="5"/>
        <w:tblW w:w="4140" w:type="dxa"/>
        <w:tblInd w:w="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33"/>
        <w:gridCol w:w="828"/>
        <w:gridCol w:w="828"/>
        <w:gridCol w:w="818"/>
        <w:gridCol w:w="833"/>
      </w:tblGrid>
      <w:tr w14:paraId="0ED98C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0" w:hRule="atLeast"/>
        </w:trPr>
        <w:tc>
          <w:tcPr>
            <w:tcW w:w="833" w:type="dxa"/>
            <w:vAlign w:val="top"/>
          </w:tcPr>
          <w:p w14:paraId="4AC53750">
            <w:pPr>
              <w:pStyle w:val="6"/>
              <w:spacing w:before="30" w:line="195" w:lineRule="auto"/>
              <w:ind w:left="237"/>
            </w:pPr>
            <w:r>
              <w:rPr>
                <w:b/>
                <w:bCs/>
                <w:spacing w:val="2"/>
              </w:rPr>
              <w:t>目标</w:t>
            </w:r>
          </w:p>
        </w:tc>
        <w:tc>
          <w:tcPr>
            <w:tcW w:w="828" w:type="dxa"/>
            <w:vAlign w:val="top"/>
          </w:tcPr>
          <w:p w14:paraId="5742869E">
            <w:pPr>
              <w:pStyle w:val="6"/>
              <w:spacing w:before="74" w:line="136" w:lineRule="exact"/>
              <w:ind w:left="364"/>
            </w:pPr>
            <w:r>
              <w:rPr>
                <w:b/>
                <w:bCs/>
                <w:spacing w:val="-2"/>
                <w:position w:val="-2"/>
              </w:rPr>
              <w:t>A</w:t>
            </w:r>
          </w:p>
        </w:tc>
        <w:tc>
          <w:tcPr>
            <w:tcW w:w="828" w:type="dxa"/>
            <w:vAlign w:val="top"/>
          </w:tcPr>
          <w:p w14:paraId="26571982">
            <w:pPr>
              <w:pStyle w:val="6"/>
              <w:spacing w:before="77" w:line="133" w:lineRule="exact"/>
              <w:ind w:left="366"/>
            </w:pPr>
            <w:r>
              <w:rPr>
                <w:b/>
                <w:bCs/>
                <w:spacing w:val="-2"/>
                <w:position w:val="-2"/>
              </w:rPr>
              <w:t>B</w:t>
            </w:r>
          </w:p>
        </w:tc>
        <w:tc>
          <w:tcPr>
            <w:tcW w:w="818" w:type="dxa"/>
            <w:vAlign w:val="top"/>
          </w:tcPr>
          <w:p w14:paraId="791D2196">
            <w:pPr>
              <w:pStyle w:val="6"/>
              <w:spacing w:before="74" w:line="136" w:lineRule="exact"/>
              <w:ind w:left="358"/>
            </w:pPr>
            <w:r>
              <w:rPr>
                <w:b/>
                <w:bCs/>
                <w:spacing w:val="-2"/>
                <w:position w:val="-2"/>
              </w:rPr>
              <w:t>C</w:t>
            </w:r>
          </w:p>
        </w:tc>
        <w:tc>
          <w:tcPr>
            <w:tcW w:w="833" w:type="dxa"/>
            <w:vAlign w:val="top"/>
          </w:tcPr>
          <w:p w14:paraId="6FAF13F5">
            <w:pPr>
              <w:pStyle w:val="6"/>
              <w:spacing w:before="77" w:line="133" w:lineRule="exact"/>
              <w:ind w:left="370"/>
            </w:pPr>
            <w:r>
              <w:rPr>
                <w:b/>
                <w:bCs/>
                <w:spacing w:val="-2"/>
                <w:position w:val="-2"/>
              </w:rPr>
              <w:t>D</w:t>
            </w:r>
          </w:p>
        </w:tc>
      </w:tr>
      <w:tr w14:paraId="50E0AD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0" w:hRule="atLeast"/>
        </w:trPr>
        <w:tc>
          <w:tcPr>
            <w:tcW w:w="833" w:type="dxa"/>
            <w:vAlign w:val="top"/>
          </w:tcPr>
          <w:p w14:paraId="4FFF8735">
            <w:pPr>
              <w:pStyle w:val="6"/>
              <w:spacing w:before="20" w:line="195" w:lineRule="auto"/>
              <w:ind w:left="157"/>
            </w:pPr>
            <w:r>
              <w:rPr>
                <w:b/>
                <w:bCs/>
                <w:spacing w:val="-5"/>
              </w:rPr>
              <w:t>百分比</w:t>
            </w:r>
          </w:p>
        </w:tc>
        <w:tc>
          <w:tcPr>
            <w:tcW w:w="828" w:type="dxa"/>
            <w:vAlign w:val="top"/>
          </w:tcPr>
          <w:p w14:paraId="136EEB17">
            <w:pPr>
              <w:pStyle w:val="6"/>
              <w:spacing w:before="64" w:line="136" w:lineRule="exact"/>
              <w:ind w:left="274"/>
            </w:pPr>
            <w:r>
              <w:rPr>
                <w:b/>
                <w:bCs/>
                <w:spacing w:val="-5"/>
                <w:position w:val="-2"/>
              </w:rPr>
              <w:t>30%</w:t>
            </w:r>
          </w:p>
        </w:tc>
        <w:tc>
          <w:tcPr>
            <w:tcW w:w="828" w:type="dxa"/>
            <w:vAlign w:val="top"/>
          </w:tcPr>
          <w:p w14:paraId="54585A29">
            <w:pPr>
              <w:pStyle w:val="6"/>
              <w:spacing w:before="64" w:line="136" w:lineRule="exact"/>
              <w:ind w:left="276"/>
            </w:pPr>
            <w:r>
              <w:rPr>
                <w:b/>
                <w:bCs/>
                <w:spacing w:val="-4"/>
                <w:position w:val="-2"/>
              </w:rPr>
              <w:t>20%</w:t>
            </w:r>
          </w:p>
        </w:tc>
        <w:tc>
          <w:tcPr>
            <w:tcW w:w="818" w:type="dxa"/>
            <w:vAlign w:val="top"/>
          </w:tcPr>
          <w:p w14:paraId="6FFD13ED">
            <w:pPr>
              <w:pStyle w:val="6"/>
              <w:spacing w:before="64" w:line="136" w:lineRule="exact"/>
              <w:ind w:left="278"/>
            </w:pPr>
            <w:r>
              <w:rPr>
                <w:b/>
                <w:bCs/>
                <w:spacing w:val="-5"/>
                <w:position w:val="-2"/>
              </w:rPr>
              <w:t>30%</w:t>
            </w:r>
          </w:p>
        </w:tc>
        <w:tc>
          <w:tcPr>
            <w:tcW w:w="833" w:type="dxa"/>
            <w:vAlign w:val="top"/>
          </w:tcPr>
          <w:p w14:paraId="344A3B4A">
            <w:pPr>
              <w:pStyle w:val="6"/>
              <w:spacing w:before="64" w:line="136" w:lineRule="exact"/>
              <w:ind w:left="280"/>
            </w:pPr>
            <w:r>
              <w:rPr>
                <w:b/>
                <w:bCs/>
                <w:spacing w:val="-4"/>
                <w:position w:val="-2"/>
              </w:rPr>
              <w:t>20%</w:t>
            </w:r>
          </w:p>
        </w:tc>
      </w:tr>
    </w:tbl>
    <w:p w14:paraId="64018C02">
      <w:pPr>
        <w:spacing w:before="61" w:line="219" w:lineRule="auto"/>
        <w:ind w:left="435"/>
        <w:rPr>
          <w:rFonts w:ascii="宋体" w:hAnsi="宋体" w:eastAsia="宋体" w:cs="宋体"/>
          <w:sz w:val="18"/>
          <w:szCs w:val="18"/>
        </w:rPr>
      </w:pPr>
      <w:r>
        <w:rPr>
          <w:rFonts w:ascii="宋体" w:hAnsi="宋体" w:eastAsia="宋体" w:cs="宋体"/>
          <w:spacing w:val="-1"/>
          <w:sz w:val="18"/>
          <w:szCs w:val="18"/>
        </w:rPr>
        <w:t>(2)按科目分：</w:t>
      </w:r>
    </w:p>
    <w:p w14:paraId="3BBAEB38">
      <w:pPr>
        <w:spacing w:line="15" w:lineRule="exact"/>
      </w:pPr>
    </w:p>
    <w:tbl>
      <w:tblPr>
        <w:tblStyle w:val="5"/>
        <w:tblW w:w="413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023"/>
        <w:gridCol w:w="1017"/>
        <w:gridCol w:w="1018"/>
        <w:gridCol w:w="1072"/>
      </w:tblGrid>
      <w:tr w14:paraId="0C77EE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0" w:hRule="atLeast"/>
        </w:trPr>
        <w:tc>
          <w:tcPr>
            <w:tcW w:w="1023" w:type="dxa"/>
            <w:vAlign w:val="top"/>
          </w:tcPr>
          <w:p w14:paraId="4578276F">
            <w:pPr>
              <w:pStyle w:val="6"/>
              <w:spacing w:before="58" w:line="219" w:lineRule="auto"/>
              <w:ind w:left="347"/>
              <w:rPr>
                <w:sz w:val="16"/>
                <w:szCs w:val="16"/>
              </w:rPr>
            </w:pPr>
            <w:r>
              <w:rPr>
                <w:b/>
                <w:bCs/>
                <w:spacing w:val="11"/>
                <w:sz w:val="16"/>
                <w:szCs w:val="16"/>
              </w:rPr>
              <w:t>科目</w:t>
            </w:r>
          </w:p>
        </w:tc>
        <w:tc>
          <w:tcPr>
            <w:tcW w:w="1017" w:type="dxa"/>
            <w:vAlign w:val="top"/>
          </w:tcPr>
          <w:p w14:paraId="15B2EA56">
            <w:pPr>
              <w:pStyle w:val="6"/>
              <w:spacing w:before="59" w:line="220" w:lineRule="auto"/>
              <w:ind w:left="344"/>
              <w:rPr>
                <w:sz w:val="16"/>
                <w:szCs w:val="16"/>
              </w:rPr>
            </w:pPr>
            <w:r>
              <w:rPr>
                <w:b/>
                <w:bCs/>
                <w:spacing w:val="-4"/>
                <w:sz w:val="16"/>
                <w:szCs w:val="16"/>
              </w:rPr>
              <w:t>解剖</w:t>
            </w:r>
          </w:p>
        </w:tc>
        <w:tc>
          <w:tcPr>
            <w:tcW w:w="1018" w:type="dxa"/>
            <w:vAlign w:val="top"/>
          </w:tcPr>
          <w:p w14:paraId="438B0EB2">
            <w:pPr>
              <w:pStyle w:val="6"/>
              <w:spacing w:before="68" w:line="229" w:lineRule="auto"/>
              <w:ind w:left="347"/>
              <w:rPr>
                <w:sz w:val="16"/>
                <w:szCs w:val="16"/>
              </w:rPr>
            </w:pPr>
            <w:r>
              <w:rPr>
                <w:b/>
                <w:bCs/>
                <w:spacing w:val="-4"/>
                <w:sz w:val="16"/>
                <w:szCs w:val="16"/>
              </w:rPr>
              <w:t>生理</w:t>
            </w:r>
          </w:p>
        </w:tc>
        <w:tc>
          <w:tcPr>
            <w:tcW w:w="1072" w:type="dxa"/>
            <w:vAlign w:val="top"/>
          </w:tcPr>
          <w:p w14:paraId="741A0018">
            <w:pPr>
              <w:pStyle w:val="6"/>
              <w:spacing w:before="60" w:line="221" w:lineRule="auto"/>
              <w:ind w:left="369"/>
              <w:rPr>
                <w:sz w:val="16"/>
                <w:szCs w:val="16"/>
              </w:rPr>
            </w:pPr>
            <w:r>
              <w:rPr>
                <w:b/>
                <w:bCs/>
                <w:spacing w:val="-4"/>
                <w:sz w:val="16"/>
                <w:szCs w:val="16"/>
              </w:rPr>
              <w:t>病理</w:t>
            </w:r>
          </w:p>
        </w:tc>
      </w:tr>
      <w:tr w14:paraId="08DC65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trPr>
        <w:tc>
          <w:tcPr>
            <w:tcW w:w="1023" w:type="dxa"/>
            <w:vAlign w:val="top"/>
          </w:tcPr>
          <w:p w14:paraId="094F9EA9">
            <w:pPr>
              <w:pStyle w:val="6"/>
              <w:spacing w:before="59" w:line="220" w:lineRule="auto"/>
              <w:ind w:left="267"/>
              <w:rPr>
                <w:sz w:val="16"/>
                <w:szCs w:val="16"/>
              </w:rPr>
            </w:pPr>
            <w:r>
              <w:rPr>
                <w:b/>
                <w:bCs/>
                <w:spacing w:val="-5"/>
                <w:sz w:val="16"/>
                <w:szCs w:val="16"/>
              </w:rPr>
              <w:t>百分比</w:t>
            </w:r>
          </w:p>
        </w:tc>
        <w:tc>
          <w:tcPr>
            <w:tcW w:w="1017" w:type="dxa"/>
            <w:vAlign w:val="top"/>
          </w:tcPr>
          <w:p w14:paraId="51485BC6">
            <w:pPr>
              <w:pStyle w:val="6"/>
              <w:spacing w:before="102" w:line="182" w:lineRule="auto"/>
              <w:ind w:left="384"/>
              <w:rPr>
                <w:sz w:val="16"/>
                <w:szCs w:val="16"/>
              </w:rPr>
            </w:pPr>
            <w:r>
              <w:rPr>
                <w:b/>
                <w:bCs/>
                <w:spacing w:val="-3"/>
                <w:sz w:val="16"/>
                <w:szCs w:val="16"/>
              </w:rPr>
              <w:t>40%</w:t>
            </w:r>
          </w:p>
        </w:tc>
        <w:tc>
          <w:tcPr>
            <w:tcW w:w="1018" w:type="dxa"/>
            <w:vAlign w:val="top"/>
          </w:tcPr>
          <w:p w14:paraId="68DECAA7">
            <w:pPr>
              <w:pStyle w:val="6"/>
              <w:spacing w:before="102" w:line="182" w:lineRule="auto"/>
              <w:ind w:left="387"/>
              <w:rPr>
                <w:sz w:val="16"/>
                <w:szCs w:val="16"/>
              </w:rPr>
            </w:pPr>
            <w:r>
              <w:rPr>
                <w:b/>
                <w:bCs/>
                <w:spacing w:val="-3"/>
                <w:sz w:val="16"/>
                <w:szCs w:val="16"/>
              </w:rPr>
              <w:t>40%</w:t>
            </w:r>
          </w:p>
        </w:tc>
        <w:tc>
          <w:tcPr>
            <w:tcW w:w="1072" w:type="dxa"/>
            <w:vAlign w:val="top"/>
          </w:tcPr>
          <w:p w14:paraId="436470B6">
            <w:pPr>
              <w:pStyle w:val="6"/>
              <w:spacing w:before="102" w:line="182" w:lineRule="auto"/>
              <w:ind w:left="409"/>
              <w:rPr>
                <w:sz w:val="16"/>
                <w:szCs w:val="16"/>
              </w:rPr>
            </w:pPr>
            <w:r>
              <w:rPr>
                <w:b/>
                <w:bCs/>
                <w:spacing w:val="-4"/>
                <w:sz w:val="16"/>
                <w:szCs w:val="16"/>
              </w:rPr>
              <w:t>20%</w:t>
            </w:r>
          </w:p>
        </w:tc>
      </w:tr>
    </w:tbl>
    <w:p w14:paraId="3B3C7541">
      <w:pPr>
        <w:spacing w:before="73" w:line="219" w:lineRule="auto"/>
        <w:ind w:left="435"/>
        <w:rPr>
          <w:rFonts w:ascii="宋体" w:hAnsi="宋体" w:eastAsia="宋体" w:cs="宋体"/>
          <w:sz w:val="18"/>
          <w:szCs w:val="18"/>
        </w:rPr>
      </w:pPr>
      <w:r>
        <w:rPr>
          <w:rFonts w:ascii="宋体" w:hAnsi="宋体" w:eastAsia="宋体" w:cs="宋体"/>
          <w:spacing w:val="-1"/>
          <w:sz w:val="18"/>
          <w:szCs w:val="18"/>
        </w:rPr>
        <w:t>(3)按题型分：</w:t>
      </w:r>
    </w:p>
    <w:p w14:paraId="7652ED8A">
      <w:pPr>
        <w:spacing w:line="40" w:lineRule="auto"/>
        <w:rPr>
          <w:rFonts w:ascii="Arial"/>
          <w:sz w:val="2"/>
        </w:rPr>
      </w:pPr>
    </w:p>
    <w:tbl>
      <w:tblPr>
        <w:tblStyle w:val="5"/>
        <w:tblW w:w="413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43"/>
        <w:gridCol w:w="828"/>
        <w:gridCol w:w="828"/>
        <w:gridCol w:w="838"/>
        <w:gridCol w:w="793"/>
      </w:tblGrid>
      <w:tr w14:paraId="482570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9" w:hRule="atLeast"/>
        </w:trPr>
        <w:tc>
          <w:tcPr>
            <w:tcW w:w="843" w:type="dxa"/>
            <w:vAlign w:val="top"/>
          </w:tcPr>
          <w:p w14:paraId="76F127F7">
            <w:pPr>
              <w:pStyle w:val="6"/>
              <w:spacing w:before="141" w:line="221" w:lineRule="auto"/>
              <w:ind w:left="257"/>
              <w:rPr>
                <w:sz w:val="16"/>
                <w:szCs w:val="16"/>
              </w:rPr>
            </w:pPr>
            <w:r>
              <w:rPr>
                <w:b/>
                <w:bCs/>
                <w:spacing w:val="-4"/>
                <w:sz w:val="16"/>
                <w:szCs w:val="16"/>
              </w:rPr>
              <w:t>题型</w:t>
            </w:r>
          </w:p>
        </w:tc>
        <w:tc>
          <w:tcPr>
            <w:tcW w:w="828" w:type="dxa"/>
            <w:vAlign w:val="top"/>
          </w:tcPr>
          <w:p w14:paraId="35851A1C">
            <w:pPr>
              <w:pStyle w:val="6"/>
              <w:spacing w:before="139" w:line="220" w:lineRule="auto"/>
              <w:ind w:left="244"/>
              <w:rPr>
                <w:sz w:val="16"/>
                <w:szCs w:val="16"/>
              </w:rPr>
            </w:pPr>
            <w:r>
              <w:rPr>
                <w:b/>
                <w:bCs/>
                <w:spacing w:val="-4"/>
                <w:sz w:val="16"/>
                <w:szCs w:val="16"/>
              </w:rPr>
              <w:t>填空</w:t>
            </w:r>
          </w:p>
        </w:tc>
        <w:tc>
          <w:tcPr>
            <w:tcW w:w="828" w:type="dxa"/>
            <w:vAlign w:val="top"/>
          </w:tcPr>
          <w:p w14:paraId="792B1204">
            <w:pPr>
              <w:pStyle w:val="6"/>
              <w:spacing w:before="30" w:line="230" w:lineRule="auto"/>
              <w:ind w:left="166" w:right="177" w:firstLine="79"/>
              <w:rPr>
                <w:sz w:val="16"/>
                <w:szCs w:val="16"/>
              </w:rPr>
            </w:pPr>
            <w:r>
              <w:rPr>
                <w:b/>
                <w:bCs/>
                <w:spacing w:val="-6"/>
                <w:sz w:val="16"/>
                <w:szCs w:val="16"/>
              </w:rPr>
              <w:t>单项</w:t>
            </w:r>
            <w:r>
              <w:rPr>
                <w:sz w:val="16"/>
                <w:szCs w:val="16"/>
              </w:rPr>
              <w:t xml:space="preserve">  </w:t>
            </w:r>
            <w:r>
              <w:rPr>
                <w:b/>
                <w:bCs/>
                <w:spacing w:val="-4"/>
                <w:sz w:val="16"/>
                <w:szCs w:val="16"/>
              </w:rPr>
              <w:t>选择题</w:t>
            </w:r>
          </w:p>
        </w:tc>
        <w:tc>
          <w:tcPr>
            <w:tcW w:w="838" w:type="dxa"/>
            <w:vAlign w:val="top"/>
          </w:tcPr>
          <w:p w14:paraId="78E5960D">
            <w:pPr>
              <w:pStyle w:val="6"/>
              <w:spacing w:before="49" w:line="219" w:lineRule="auto"/>
              <w:ind w:left="178" w:right="175" w:firstLine="79"/>
              <w:rPr>
                <w:sz w:val="16"/>
                <w:szCs w:val="16"/>
              </w:rPr>
            </w:pPr>
            <w:r>
              <w:rPr>
                <w:b/>
                <w:bCs/>
                <w:spacing w:val="-9"/>
                <w:sz w:val="16"/>
                <w:szCs w:val="16"/>
              </w:rPr>
              <w:t>多项</w:t>
            </w:r>
            <w:r>
              <w:rPr>
                <w:sz w:val="16"/>
                <w:szCs w:val="16"/>
              </w:rPr>
              <w:t xml:space="preserve">  </w:t>
            </w:r>
            <w:r>
              <w:rPr>
                <w:b/>
                <w:bCs/>
                <w:spacing w:val="-4"/>
                <w:sz w:val="16"/>
                <w:szCs w:val="16"/>
              </w:rPr>
              <w:t>选择题</w:t>
            </w:r>
          </w:p>
        </w:tc>
        <w:tc>
          <w:tcPr>
            <w:tcW w:w="793" w:type="dxa"/>
            <w:vAlign w:val="top"/>
          </w:tcPr>
          <w:p w14:paraId="65A180F9">
            <w:pPr>
              <w:pStyle w:val="6"/>
              <w:spacing w:before="139" w:line="220" w:lineRule="auto"/>
              <w:ind w:left="150"/>
              <w:rPr>
                <w:sz w:val="16"/>
                <w:szCs w:val="16"/>
              </w:rPr>
            </w:pPr>
            <w:r>
              <w:rPr>
                <w:b/>
                <w:bCs/>
                <w:spacing w:val="-1"/>
                <w:sz w:val="16"/>
                <w:szCs w:val="16"/>
              </w:rPr>
              <w:t>问答题</w:t>
            </w:r>
          </w:p>
        </w:tc>
      </w:tr>
      <w:tr w14:paraId="786B47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1" w:hRule="atLeast"/>
        </w:trPr>
        <w:tc>
          <w:tcPr>
            <w:tcW w:w="843" w:type="dxa"/>
            <w:vAlign w:val="top"/>
          </w:tcPr>
          <w:p w14:paraId="6C0C9A89">
            <w:pPr>
              <w:pStyle w:val="6"/>
              <w:spacing w:before="60" w:line="220" w:lineRule="auto"/>
              <w:ind w:left="177"/>
              <w:rPr>
                <w:sz w:val="16"/>
                <w:szCs w:val="16"/>
              </w:rPr>
            </w:pPr>
            <w:r>
              <w:rPr>
                <w:b/>
                <w:bCs/>
                <w:spacing w:val="-5"/>
                <w:sz w:val="16"/>
                <w:szCs w:val="16"/>
              </w:rPr>
              <w:t>百分比</w:t>
            </w:r>
          </w:p>
        </w:tc>
        <w:tc>
          <w:tcPr>
            <w:tcW w:w="828" w:type="dxa"/>
            <w:vAlign w:val="top"/>
          </w:tcPr>
          <w:p w14:paraId="5FD5450B">
            <w:pPr>
              <w:pStyle w:val="6"/>
              <w:spacing w:before="103" w:line="182" w:lineRule="auto"/>
              <w:ind w:left="284"/>
              <w:rPr>
                <w:sz w:val="16"/>
                <w:szCs w:val="16"/>
              </w:rPr>
            </w:pPr>
            <w:r>
              <w:rPr>
                <w:b/>
                <w:bCs/>
                <w:spacing w:val="-4"/>
                <w:sz w:val="16"/>
                <w:szCs w:val="16"/>
              </w:rPr>
              <w:t>25%</w:t>
            </w:r>
          </w:p>
        </w:tc>
        <w:tc>
          <w:tcPr>
            <w:tcW w:w="828" w:type="dxa"/>
            <w:vAlign w:val="top"/>
          </w:tcPr>
          <w:p w14:paraId="73E5CB1D">
            <w:pPr>
              <w:pStyle w:val="6"/>
              <w:spacing w:before="103" w:line="182" w:lineRule="auto"/>
              <w:ind w:left="286"/>
              <w:rPr>
                <w:sz w:val="16"/>
                <w:szCs w:val="16"/>
              </w:rPr>
            </w:pPr>
            <w:r>
              <w:rPr>
                <w:b/>
                <w:bCs/>
                <w:spacing w:val="-3"/>
                <w:sz w:val="16"/>
                <w:szCs w:val="16"/>
              </w:rPr>
              <w:t>40%</w:t>
            </w:r>
          </w:p>
        </w:tc>
        <w:tc>
          <w:tcPr>
            <w:tcW w:w="838" w:type="dxa"/>
            <w:vAlign w:val="top"/>
          </w:tcPr>
          <w:p w14:paraId="5986348A">
            <w:pPr>
              <w:pStyle w:val="6"/>
              <w:spacing w:before="102" w:line="183" w:lineRule="auto"/>
              <w:ind w:left="298"/>
              <w:rPr>
                <w:sz w:val="16"/>
                <w:szCs w:val="16"/>
              </w:rPr>
            </w:pPr>
            <w:r>
              <w:rPr>
                <w:b/>
                <w:bCs/>
                <w:spacing w:val="-6"/>
                <w:sz w:val="16"/>
                <w:szCs w:val="16"/>
              </w:rPr>
              <w:t>10%</w:t>
            </w:r>
          </w:p>
        </w:tc>
        <w:tc>
          <w:tcPr>
            <w:tcW w:w="793" w:type="dxa"/>
            <w:vAlign w:val="top"/>
          </w:tcPr>
          <w:p w14:paraId="18F9AE51">
            <w:pPr>
              <w:pStyle w:val="6"/>
              <w:spacing w:before="103" w:line="182" w:lineRule="auto"/>
              <w:ind w:left="270"/>
              <w:rPr>
                <w:sz w:val="16"/>
                <w:szCs w:val="16"/>
              </w:rPr>
            </w:pPr>
            <w:r>
              <w:rPr>
                <w:b/>
                <w:bCs/>
                <w:spacing w:val="-4"/>
                <w:sz w:val="16"/>
                <w:szCs w:val="16"/>
              </w:rPr>
              <w:t>25%</w:t>
            </w:r>
          </w:p>
        </w:tc>
      </w:tr>
    </w:tbl>
    <w:p w14:paraId="349E7FD8">
      <w:pPr>
        <w:pStyle w:val="2"/>
      </w:pPr>
    </w:p>
    <w:p w14:paraId="0CEF6635">
      <w:pPr>
        <w:sectPr>
          <w:type w:val="continuous"/>
          <w:pgSz w:w="10660" w:h="15080"/>
          <w:pgMar w:top="400" w:right="1024" w:bottom="917" w:left="819" w:header="0" w:footer="709" w:gutter="0"/>
          <w:cols w:equalWidth="0" w:num="2">
            <w:col w:w="4556" w:space="100"/>
            <w:col w:w="4161"/>
          </w:cols>
        </w:sectPr>
      </w:pPr>
    </w:p>
    <w:p w14:paraId="0950D992">
      <w:pPr>
        <w:spacing w:before="66"/>
      </w:pPr>
    </w:p>
    <w:p w14:paraId="3049C41D">
      <w:pPr>
        <w:spacing w:before="66"/>
      </w:pPr>
    </w:p>
    <w:p w14:paraId="583421E8">
      <w:pPr>
        <w:spacing w:before="66"/>
      </w:pPr>
    </w:p>
    <w:p w14:paraId="542B496D">
      <w:pPr>
        <w:sectPr>
          <w:footerReference r:id="rId75" w:type="default"/>
          <w:pgSz w:w="10660" w:h="15080"/>
          <w:pgMar w:top="400" w:right="885" w:bottom="925" w:left="1004" w:header="0" w:footer="705" w:gutter="0"/>
          <w:cols w:equalWidth="0" w:num="1">
            <w:col w:w="8770"/>
          </w:cols>
        </w:sectPr>
      </w:pPr>
    </w:p>
    <w:p w14:paraId="0CE88CD7">
      <w:pPr>
        <w:spacing w:before="54" w:line="219" w:lineRule="auto"/>
        <w:ind w:left="18"/>
        <w:rPr>
          <w:rFonts w:ascii="宋体" w:hAnsi="宋体" w:eastAsia="宋体" w:cs="宋体"/>
          <w:sz w:val="27"/>
          <w:szCs w:val="27"/>
        </w:rPr>
      </w:pPr>
      <w:bookmarkStart w:id="43" w:name="bookmark37"/>
      <w:bookmarkEnd w:id="43"/>
      <w:r>
        <w:rPr>
          <w:rFonts w:ascii="宋体" w:hAnsi="宋体" w:eastAsia="宋体" w:cs="宋体"/>
          <w:b/>
          <w:bCs/>
          <w:spacing w:val="20"/>
          <w:sz w:val="27"/>
          <w:szCs w:val="27"/>
        </w:rPr>
        <w:t>轻工纺织大类(纺织服装类)专业</w:t>
      </w:r>
    </w:p>
    <w:p w14:paraId="2294E924">
      <w:pPr>
        <w:spacing w:before="97" w:line="221" w:lineRule="auto"/>
        <w:ind w:left="1268"/>
        <w:outlineLvl w:val="0"/>
        <w:rPr>
          <w:rFonts w:ascii="黑体" w:hAnsi="黑体" w:eastAsia="黑体" w:cs="黑体"/>
          <w:sz w:val="27"/>
          <w:szCs w:val="27"/>
        </w:rPr>
      </w:pPr>
      <w:bookmarkStart w:id="44" w:name="bookmark10"/>
      <w:bookmarkEnd w:id="44"/>
      <w:r>
        <w:rPr>
          <w:rFonts w:ascii="黑体" w:hAnsi="黑体" w:eastAsia="黑体" w:cs="黑体"/>
          <w:b/>
          <w:bCs/>
          <w:sz w:val="27"/>
          <w:szCs w:val="27"/>
        </w:rPr>
        <w:t>综合考试纲要</w:t>
      </w:r>
    </w:p>
    <w:p w14:paraId="70FE55E4">
      <w:pPr>
        <w:pStyle w:val="2"/>
        <w:spacing w:line="401" w:lineRule="auto"/>
      </w:pPr>
    </w:p>
    <w:p w14:paraId="6D0DC948">
      <w:pPr>
        <w:spacing w:before="74" w:line="219" w:lineRule="auto"/>
        <w:ind w:left="18"/>
        <w:rPr>
          <w:rFonts w:ascii="宋体" w:hAnsi="宋体" w:eastAsia="宋体" w:cs="宋体"/>
          <w:sz w:val="23"/>
          <w:szCs w:val="23"/>
        </w:rPr>
      </w:pPr>
      <w:r>
        <w:rPr>
          <w:rFonts w:ascii="宋体" w:hAnsi="宋体" w:eastAsia="宋体" w:cs="宋体"/>
          <w:b/>
          <w:bCs/>
          <w:spacing w:val="-5"/>
          <w:sz w:val="23"/>
          <w:szCs w:val="23"/>
        </w:rPr>
        <w:t>一、考试范围和内容</w:t>
      </w:r>
    </w:p>
    <w:p w14:paraId="06CAF6C8">
      <w:pPr>
        <w:spacing w:before="89" w:line="310" w:lineRule="auto"/>
        <w:ind w:right="336" w:firstLine="384"/>
        <w:jc w:val="both"/>
        <w:rPr>
          <w:rFonts w:ascii="宋体" w:hAnsi="宋体" w:eastAsia="宋体" w:cs="宋体"/>
          <w:sz w:val="17"/>
          <w:szCs w:val="17"/>
        </w:rPr>
      </w:pPr>
      <w:r>
        <w:rPr>
          <w:rFonts w:ascii="宋体" w:hAnsi="宋体" w:eastAsia="宋体" w:cs="宋体"/>
          <w:spacing w:val="9"/>
          <w:sz w:val="17"/>
          <w:szCs w:val="17"/>
        </w:rPr>
        <w:t>本纲要规定的考试范围和内容，以教育部颁发的</w:t>
      </w:r>
      <w:r>
        <w:rPr>
          <w:rFonts w:ascii="宋体" w:hAnsi="宋体" w:eastAsia="宋体" w:cs="宋体"/>
          <w:spacing w:val="13"/>
          <w:sz w:val="17"/>
          <w:szCs w:val="17"/>
        </w:rPr>
        <w:t xml:space="preserve"> </w:t>
      </w:r>
      <w:r>
        <w:rPr>
          <w:rFonts w:ascii="宋体" w:hAnsi="宋体" w:eastAsia="宋体" w:cs="宋体"/>
          <w:spacing w:val="2"/>
          <w:sz w:val="17"/>
          <w:szCs w:val="17"/>
        </w:rPr>
        <w:t>《中等职业学校服装设计与工艺专业教学指导方案》为</w:t>
      </w:r>
      <w:r>
        <w:rPr>
          <w:rFonts w:ascii="宋体" w:hAnsi="宋体" w:eastAsia="宋体" w:cs="宋体"/>
          <w:spacing w:val="15"/>
          <w:sz w:val="17"/>
          <w:szCs w:val="17"/>
        </w:rPr>
        <w:t xml:space="preserve"> </w:t>
      </w:r>
      <w:r>
        <w:rPr>
          <w:rFonts w:ascii="宋体" w:hAnsi="宋体" w:eastAsia="宋体" w:cs="宋体"/>
          <w:spacing w:val="3"/>
          <w:sz w:val="17"/>
          <w:szCs w:val="17"/>
        </w:rPr>
        <w:t>依据，主要包括服装主题设计、服装结构制图和服</w:t>
      </w:r>
      <w:r>
        <w:rPr>
          <w:rFonts w:ascii="宋体" w:hAnsi="宋体" w:eastAsia="宋体" w:cs="宋体"/>
          <w:spacing w:val="2"/>
          <w:sz w:val="17"/>
          <w:szCs w:val="17"/>
        </w:rPr>
        <w:t>装缝</w:t>
      </w:r>
      <w:r>
        <w:rPr>
          <w:rFonts w:ascii="宋体" w:hAnsi="宋体" w:eastAsia="宋体" w:cs="宋体"/>
          <w:sz w:val="17"/>
          <w:szCs w:val="17"/>
        </w:rPr>
        <w:t xml:space="preserve"> </w:t>
      </w:r>
      <w:r>
        <w:rPr>
          <w:rFonts w:ascii="宋体" w:hAnsi="宋体" w:eastAsia="宋体" w:cs="宋体"/>
          <w:spacing w:val="3"/>
          <w:sz w:val="17"/>
          <w:szCs w:val="17"/>
        </w:rPr>
        <w:t>制工艺三部分。按照一体化教学的改革方向，着重考察</w:t>
      </w:r>
      <w:r>
        <w:rPr>
          <w:rFonts w:ascii="宋体" w:hAnsi="宋体" w:eastAsia="宋体" w:cs="宋体"/>
          <w:sz w:val="17"/>
          <w:szCs w:val="17"/>
        </w:rPr>
        <w:t xml:space="preserve"> </w:t>
      </w:r>
      <w:r>
        <w:rPr>
          <w:rFonts w:ascii="宋体" w:hAnsi="宋体" w:eastAsia="宋体" w:cs="宋体"/>
          <w:spacing w:val="1"/>
          <w:sz w:val="17"/>
          <w:szCs w:val="17"/>
        </w:rPr>
        <w:t>学生的职业综合素养和实际动手能力，融合制定服装类</w:t>
      </w:r>
      <w:r>
        <w:rPr>
          <w:rFonts w:ascii="宋体" w:hAnsi="宋体" w:eastAsia="宋体" w:cs="宋体"/>
          <w:spacing w:val="17"/>
          <w:sz w:val="17"/>
          <w:szCs w:val="17"/>
        </w:rPr>
        <w:t xml:space="preserve"> </w:t>
      </w:r>
      <w:r>
        <w:rPr>
          <w:rFonts w:ascii="宋体" w:hAnsi="宋体" w:eastAsia="宋体" w:cs="宋体"/>
          <w:spacing w:val="-2"/>
          <w:sz w:val="17"/>
          <w:szCs w:val="17"/>
        </w:rPr>
        <w:t>专业综合考试纲要。考试主要参考教材为：</w:t>
      </w:r>
    </w:p>
    <w:p w14:paraId="59842E37">
      <w:pPr>
        <w:spacing w:before="25" w:line="302" w:lineRule="auto"/>
        <w:ind w:left="14" w:right="350" w:firstLine="345"/>
        <w:rPr>
          <w:rFonts w:ascii="宋体" w:hAnsi="宋体" w:eastAsia="宋体" w:cs="宋体"/>
          <w:sz w:val="17"/>
          <w:szCs w:val="17"/>
        </w:rPr>
      </w:pPr>
      <w:r>
        <w:rPr>
          <w:rFonts w:ascii="宋体" w:hAnsi="宋体" w:eastAsia="宋体" w:cs="宋体"/>
          <w:spacing w:val="9"/>
          <w:sz w:val="17"/>
          <w:szCs w:val="17"/>
        </w:rPr>
        <w:t>《服装美术设计基础》第四版(丁杏子主编)高等</w:t>
      </w:r>
      <w:r>
        <w:rPr>
          <w:rFonts w:ascii="宋体" w:hAnsi="宋体" w:eastAsia="宋体" w:cs="宋体"/>
          <w:spacing w:val="15"/>
          <w:sz w:val="17"/>
          <w:szCs w:val="17"/>
        </w:rPr>
        <w:t xml:space="preserve"> </w:t>
      </w:r>
      <w:r>
        <w:rPr>
          <w:rFonts w:ascii="宋体" w:hAnsi="宋体" w:eastAsia="宋体" w:cs="宋体"/>
          <w:spacing w:val="-2"/>
          <w:sz w:val="17"/>
          <w:szCs w:val="17"/>
        </w:rPr>
        <w:t>教育出版社</w:t>
      </w:r>
    </w:p>
    <w:p w14:paraId="5CE5C556">
      <w:pPr>
        <w:spacing w:before="23" w:line="313" w:lineRule="auto"/>
        <w:ind w:left="14" w:right="350" w:firstLine="345"/>
        <w:rPr>
          <w:rFonts w:ascii="宋体" w:hAnsi="宋体" w:eastAsia="宋体" w:cs="宋体"/>
          <w:sz w:val="17"/>
          <w:szCs w:val="17"/>
        </w:rPr>
      </w:pPr>
      <w:r>
        <w:rPr>
          <w:rFonts w:ascii="宋体" w:hAnsi="宋体" w:eastAsia="宋体" w:cs="宋体"/>
          <w:spacing w:val="9"/>
          <w:sz w:val="17"/>
          <w:szCs w:val="17"/>
        </w:rPr>
        <w:t>《服装结构制图》第六版(徐雅琴主编)高等教育</w:t>
      </w:r>
      <w:r>
        <w:rPr>
          <w:rFonts w:ascii="宋体" w:hAnsi="宋体" w:eastAsia="宋体" w:cs="宋体"/>
          <w:spacing w:val="15"/>
          <w:sz w:val="17"/>
          <w:szCs w:val="17"/>
        </w:rPr>
        <w:t xml:space="preserve"> </w:t>
      </w:r>
      <w:r>
        <w:rPr>
          <w:rFonts w:ascii="宋体" w:hAnsi="宋体" w:eastAsia="宋体" w:cs="宋体"/>
          <w:spacing w:val="-5"/>
          <w:sz w:val="17"/>
          <w:szCs w:val="17"/>
        </w:rPr>
        <w:t>出版社</w:t>
      </w:r>
    </w:p>
    <w:p w14:paraId="5EA0D75C">
      <w:pPr>
        <w:spacing w:before="4" w:line="302" w:lineRule="auto"/>
        <w:ind w:left="14" w:right="350" w:firstLine="345"/>
        <w:rPr>
          <w:rFonts w:ascii="宋体" w:hAnsi="宋体" w:eastAsia="宋体" w:cs="宋体"/>
          <w:sz w:val="17"/>
          <w:szCs w:val="17"/>
        </w:rPr>
      </w:pPr>
      <w:r>
        <w:rPr>
          <w:rFonts w:ascii="宋体" w:hAnsi="宋体" w:eastAsia="宋体" w:cs="宋体"/>
          <w:spacing w:val="9"/>
          <w:sz w:val="17"/>
          <w:szCs w:val="17"/>
        </w:rPr>
        <w:t>《服装缝制工艺》第四版(张明德主编)高等教育</w:t>
      </w:r>
      <w:r>
        <w:rPr>
          <w:rFonts w:ascii="宋体" w:hAnsi="宋体" w:eastAsia="宋体" w:cs="宋体"/>
          <w:spacing w:val="15"/>
          <w:sz w:val="17"/>
          <w:szCs w:val="17"/>
        </w:rPr>
        <w:t xml:space="preserve"> </w:t>
      </w:r>
      <w:r>
        <w:rPr>
          <w:rFonts w:ascii="宋体" w:hAnsi="宋体" w:eastAsia="宋体" w:cs="宋体"/>
          <w:spacing w:val="2"/>
          <w:sz w:val="17"/>
          <w:szCs w:val="17"/>
        </w:rPr>
        <w:t>出版社</w:t>
      </w:r>
    </w:p>
    <w:p w14:paraId="515019C7">
      <w:pPr>
        <w:spacing w:before="26" w:line="309" w:lineRule="auto"/>
        <w:ind w:left="14" w:right="334" w:firstLine="370"/>
        <w:jc w:val="both"/>
        <w:rPr>
          <w:rFonts w:ascii="宋体" w:hAnsi="宋体" w:eastAsia="宋体" w:cs="宋体"/>
          <w:sz w:val="17"/>
          <w:szCs w:val="17"/>
        </w:rPr>
      </w:pPr>
      <w:r>
        <w:rPr>
          <w:rFonts w:ascii="宋体" w:hAnsi="宋体" w:eastAsia="宋体" w:cs="宋体"/>
          <w:spacing w:val="1"/>
          <w:sz w:val="17"/>
          <w:szCs w:val="17"/>
        </w:rPr>
        <w:t>考试侧重考查考生对专业课程基础知识、基本技能</w:t>
      </w:r>
      <w:r>
        <w:rPr>
          <w:rFonts w:ascii="宋体" w:hAnsi="宋体" w:eastAsia="宋体" w:cs="宋体"/>
          <w:spacing w:val="5"/>
          <w:sz w:val="17"/>
          <w:szCs w:val="17"/>
        </w:rPr>
        <w:t xml:space="preserve"> </w:t>
      </w:r>
      <w:r>
        <w:rPr>
          <w:rFonts w:ascii="宋体" w:hAnsi="宋体" w:eastAsia="宋体" w:cs="宋体"/>
          <w:spacing w:val="2"/>
          <w:sz w:val="17"/>
          <w:szCs w:val="17"/>
        </w:rPr>
        <w:t>和实践能力的掌握程度，同时注意考查学生运用所学专</w:t>
      </w:r>
      <w:r>
        <w:rPr>
          <w:rFonts w:ascii="宋体" w:hAnsi="宋体" w:eastAsia="宋体" w:cs="宋体"/>
          <w:spacing w:val="10"/>
          <w:sz w:val="17"/>
          <w:szCs w:val="17"/>
        </w:rPr>
        <w:t xml:space="preserve"> </w:t>
      </w:r>
      <w:r>
        <w:rPr>
          <w:rFonts w:ascii="宋体" w:hAnsi="宋体" w:eastAsia="宋体" w:cs="宋体"/>
          <w:spacing w:val="2"/>
          <w:sz w:val="17"/>
          <w:szCs w:val="17"/>
        </w:rPr>
        <w:t>业知识分析、解决实际问题的能力。考虑到现阶段我省</w:t>
      </w:r>
      <w:r>
        <w:rPr>
          <w:rFonts w:ascii="宋体" w:hAnsi="宋体" w:eastAsia="宋体" w:cs="宋体"/>
          <w:spacing w:val="16"/>
          <w:sz w:val="17"/>
          <w:szCs w:val="17"/>
        </w:rPr>
        <w:t xml:space="preserve"> </w:t>
      </w:r>
      <w:r>
        <w:rPr>
          <w:rFonts w:ascii="宋体" w:hAnsi="宋体" w:eastAsia="宋体" w:cs="宋体"/>
          <w:spacing w:val="2"/>
          <w:sz w:val="17"/>
          <w:szCs w:val="17"/>
        </w:rPr>
        <w:t>职业教育的特点，部分知识与技能点作了适当的调整和</w:t>
      </w:r>
      <w:r>
        <w:rPr>
          <w:rFonts w:ascii="宋体" w:hAnsi="宋体" w:eastAsia="宋体" w:cs="宋体"/>
          <w:spacing w:val="14"/>
          <w:sz w:val="17"/>
          <w:szCs w:val="17"/>
        </w:rPr>
        <w:t xml:space="preserve"> </w:t>
      </w:r>
      <w:r>
        <w:rPr>
          <w:rFonts w:ascii="宋体" w:hAnsi="宋体" w:eastAsia="宋体" w:cs="宋体"/>
          <w:spacing w:val="-2"/>
          <w:sz w:val="17"/>
          <w:szCs w:val="17"/>
        </w:rPr>
        <w:t>删减，并注意了新老教材的结合。</w:t>
      </w:r>
    </w:p>
    <w:p w14:paraId="48504BD4">
      <w:pPr>
        <w:spacing w:before="24" w:line="219" w:lineRule="auto"/>
        <w:ind w:left="18"/>
        <w:rPr>
          <w:rFonts w:ascii="宋体" w:hAnsi="宋体" w:eastAsia="宋体" w:cs="宋体"/>
          <w:sz w:val="23"/>
          <w:szCs w:val="23"/>
        </w:rPr>
      </w:pPr>
      <w:r>
        <w:rPr>
          <w:rFonts w:ascii="宋体" w:hAnsi="宋体" w:eastAsia="宋体" w:cs="宋体"/>
          <w:b/>
          <w:bCs/>
          <w:spacing w:val="-8"/>
          <w:sz w:val="23"/>
          <w:szCs w:val="23"/>
        </w:rPr>
        <w:t>二、考试基本要求</w:t>
      </w:r>
    </w:p>
    <w:p w14:paraId="20900B7A">
      <w:pPr>
        <w:spacing w:before="89" w:line="184" w:lineRule="auto"/>
        <w:ind w:left="384"/>
        <w:rPr>
          <w:rFonts w:ascii="宋体" w:hAnsi="宋体" w:eastAsia="宋体" w:cs="宋体"/>
          <w:sz w:val="17"/>
          <w:szCs w:val="17"/>
        </w:rPr>
      </w:pPr>
      <w:r>
        <w:rPr>
          <w:rFonts w:ascii="宋体" w:hAnsi="宋体" w:eastAsia="宋体" w:cs="宋体"/>
          <w:spacing w:val="1"/>
          <w:sz w:val="17"/>
          <w:szCs w:val="17"/>
        </w:rPr>
        <w:t>采用现场技能测试的考试方式，考试项目分为：服</w:t>
      </w:r>
    </w:p>
    <w:p w14:paraId="0BA62E40">
      <w:pPr>
        <w:pStyle w:val="2"/>
        <w:spacing w:line="14" w:lineRule="auto"/>
        <w:rPr>
          <w:sz w:val="2"/>
        </w:rPr>
      </w:pPr>
      <w:r>
        <w:rPr>
          <w:sz w:val="2"/>
          <w:szCs w:val="2"/>
        </w:rPr>
        <w:br w:type="column"/>
      </w:r>
    </w:p>
    <w:p w14:paraId="1EC628A9">
      <w:pPr>
        <w:spacing w:before="79" w:line="303" w:lineRule="auto"/>
        <w:ind w:left="2" w:right="62"/>
        <w:rPr>
          <w:rFonts w:ascii="宋体" w:hAnsi="宋体" w:eastAsia="宋体" w:cs="宋体"/>
          <w:sz w:val="17"/>
          <w:szCs w:val="17"/>
        </w:rPr>
      </w:pPr>
      <w:r>
        <w:rPr>
          <w:rFonts w:ascii="宋体" w:hAnsi="宋体" w:eastAsia="宋体" w:cs="宋体"/>
          <w:b/>
          <w:bCs/>
          <w:spacing w:val="-1"/>
          <w:sz w:val="17"/>
          <w:szCs w:val="17"/>
        </w:rPr>
        <w:t>装主题设计、服装结构制图、服装缝制工艺三个模块，</w:t>
      </w:r>
      <w:r>
        <w:rPr>
          <w:rFonts w:ascii="宋体" w:hAnsi="宋体" w:eastAsia="宋体" w:cs="宋体"/>
          <w:spacing w:val="10"/>
          <w:sz w:val="17"/>
          <w:szCs w:val="17"/>
        </w:rPr>
        <w:t xml:space="preserve"> </w:t>
      </w:r>
      <w:r>
        <w:rPr>
          <w:rFonts w:ascii="宋体" w:hAnsi="宋体" w:eastAsia="宋体" w:cs="宋体"/>
          <w:b/>
          <w:bCs/>
          <w:spacing w:val="-8"/>
          <w:sz w:val="17"/>
          <w:szCs w:val="17"/>
        </w:rPr>
        <w:t>具体要求如下：</w:t>
      </w:r>
    </w:p>
    <w:p w14:paraId="662C9EF2">
      <w:pPr>
        <w:spacing w:before="25" w:line="291" w:lineRule="auto"/>
        <w:ind w:right="24" w:firstLine="449"/>
        <w:rPr>
          <w:rFonts w:ascii="宋体" w:hAnsi="宋体" w:eastAsia="宋体" w:cs="宋体"/>
          <w:sz w:val="17"/>
          <w:szCs w:val="17"/>
        </w:rPr>
      </w:pPr>
      <w:r>
        <w:rPr>
          <w:rFonts w:ascii="宋体" w:hAnsi="宋体" w:eastAsia="宋体" w:cs="宋体"/>
          <w:spacing w:val="6"/>
          <w:sz w:val="17"/>
          <w:szCs w:val="17"/>
        </w:rPr>
        <w:t>(一)掌握服装主题设计的基本原理与方法</w:t>
      </w:r>
      <w:r>
        <w:rPr>
          <w:rFonts w:ascii="宋体" w:hAnsi="宋体" w:eastAsia="宋体" w:cs="宋体"/>
          <w:spacing w:val="5"/>
          <w:sz w:val="17"/>
          <w:szCs w:val="17"/>
        </w:rPr>
        <w:t>，根据</w:t>
      </w:r>
      <w:r>
        <w:rPr>
          <w:rFonts w:ascii="宋体" w:hAnsi="宋体" w:eastAsia="宋体" w:cs="宋体"/>
          <w:sz w:val="17"/>
          <w:szCs w:val="17"/>
        </w:rPr>
        <w:t xml:space="preserve"> </w:t>
      </w:r>
      <w:r>
        <w:rPr>
          <w:rFonts w:ascii="宋体" w:hAnsi="宋体" w:eastAsia="宋体" w:cs="宋体"/>
          <w:spacing w:val="2"/>
          <w:sz w:val="17"/>
          <w:szCs w:val="17"/>
        </w:rPr>
        <w:t>给定的主题和具体要求进行服装设计，并绘制服装彩色</w:t>
      </w:r>
      <w:r>
        <w:rPr>
          <w:rFonts w:ascii="宋体" w:hAnsi="宋体" w:eastAsia="宋体" w:cs="宋体"/>
          <w:spacing w:val="18"/>
          <w:sz w:val="17"/>
          <w:szCs w:val="17"/>
        </w:rPr>
        <w:t xml:space="preserve"> </w:t>
      </w:r>
      <w:r>
        <w:rPr>
          <w:rFonts w:ascii="宋体" w:hAnsi="宋体" w:eastAsia="宋体" w:cs="宋体"/>
          <w:spacing w:val="2"/>
          <w:sz w:val="17"/>
          <w:szCs w:val="17"/>
        </w:rPr>
        <w:t>效果图、服装款式图。要求表现出服装的款式结构、面</w:t>
      </w:r>
      <w:r>
        <w:rPr>
          <w:rFonts w:ascii="宋体" w:hAnsi="宋体" w:eastAsia="宋体" w:cs="宋体"/>
          <w:spacing w:val="18"/>
          <w:sz w:val="17"/>
          <w:szCs w:val="17"/>
        </w:rPr>
        <w:t xml:space="preserve"> </w:t>
      </w:r>
      <w:r>
        <w:rPr>
          <w:rFonts w:ascii="宋体" w:hAnsi="宋体" w:eastAsia="宋体" w:cs="宋体"/>
          <w:spacing w:val="-2"/>
          <w:sz w:val="17"/>
          <w:szCs w:val="17"/>
        </w:rPr>
        <w:t>料质感、色彩效果，合理设计并运用服饰图案。</w:t>
      </w:r>
    </w:p>
    <w:p w14:paraId="543D3DB1">
      <w:pPr>
        <w:spacing w:before="88" w:line="267" w:lineRule="auto"/>
        <w:ind w:right="26" w:firstLine="449"/>
        <w:rPr>
          <w:rFonts w:ascii="宋体" w:hAnsi="宋体" w:eastAsia="宋体" w:cs="宋体"/>
          <w:sz w:val="17"/>
          <w:szCs w:val="17"/>
        </w:rPr>
      </w:pPr>
      <w:r>
        <w:rPr>
          <w:rFonts w:ascii="宋体" w:hAnsi="宋体" w:eastAsia="宋体" w:cs="宋体"/>
          <w:spacing w:val="5"/>
          <w:sz w:val="17"/>
          <w:szCs w:val="17"/>
        </w:rPr>
        <w:t>(二)根据流行趋势，能够运用服装原型或平面裁</w:t>
      </w:r>
      <w:r>
        <w:rPr>
          <w:rFonts w:ascii="宋体" w:hAnsi="宋体" w:eastAsia="宋体" w:cs="宋体"/>
          <w:spacing w:val="17"/>
          <w:sz w:val="17"/>
          <w:szCs w:val="17"/>
        </w:rPr>
        <w:t xml:space="preserve"> </w:t>
      </w:r>
      <w:r>
        <w:rPr>
          <w:rFonts w:ascii="宋体" w:hAnsi="宋体" w:eastAsia="宋体" w:cs="宋体"/>
          <w:spacing w:val="-2"/>
          <w:sz w:val="17"/>
          <w:szCs w:val="17"/>
        </w:rPr>
        <w:t>剪的方法，按照规定的比例进行男、女装的结构制图。</w:t>
      </w:r>
    </w:p>
    <w:p w14:paraId="67CFB446">
      <w:pPr>
        <w:spacing w:before="68" w:line="263" w:lineRule="auto"/>
        <w:ind w:right="26" w:firstLine="449"/>
        <w:rPr>
          <w:rFonts w:ascii="宋体" w:hAnsi="宋体" w:eastAsia="宋体" w:cs="宋体"/>
          <w:sz w:val="17"/>
          <w:szCs w:val="17"/>
        </w:rPr>
      </w:pPr>
      <w:r>
        <w:rPr>
          <w:rFonts w:ascii="宋体" w:hAnsi="宋体" w:eastAsia="宋体" w:cs="宋体"/>
          <w:spacing w:val="4"/>
          <w:sz w:val="19"/>
          <w:szCs w:val="19"/>
        </w:rPr>
        <w:t>(三)掌握服装的基本手缝工艺技法和零部件</w:t>
      </w:r>
      <w:r>
        <w:rPr>
          <w:rFonts w:ascii="宋体" w:hAnsi="宋体" w:eastAsia="宋体" w:cs="宋体"/>
          <w:spacing w:val="7"/>
          <w:sz w:val="19"/>
          <w:szCs w:val="19"/>
        </w:rPr>
        <w:t xml:space="preserve"> </w:t>
      </w:r>
      <w:r>
        <w:rPr>
          <w:rFonts w:ascii="宋体" w:hAnsi="宋体" w:eastAsia="宋体" w:cs="宋体"/>
          <w:spacing w:val="4"/>
          <w:sz w:val="17"/>
          <w:szCs w:val="17"/>
        </w:rPr>
        <w:t>制作。</w:t>
      </w:r>
    </w:p>
    <w:p w14:paraId="1F45AEA8">
      <w:pPr>
        <w:spacing w:before="85" w:line="219" w:lineRule="auto"/>
        <w:ind w:left="449"/>
        <w:rPr>
          <w:rFonts w:ascii="宋体" w:hAnsi="宋体" w:eastAsia="宋体" w:cs="宋体"/>
          <w:sz w:val="17"/>
          <w:szCs w:val="17"/>
        </w:rPr>
      </w:pPr>
      <w:r>
        <w:rPr>
          <w:rFonts w:ascii="宋体" w:hAnsi="宋体" w:eastAsia="宋体" w:cs="宋体"/>
          <w:spacing w:val="3"/>
          <w:sz w:val="17"/>
          <w:szCs w:val="17"/>
        </w:rPr>
        <w:t>(四)三个模块考试中不允许携带任何模板。</w:t>
      </w:r>
    </w:p>
    <w:p w14:paraId="200B136D">
      <w:pPr>
        <w:spacing w:before="89" w:line="219" w:lineRule="auto"/>
        <w:ind w:left="3"/>
        <w:rPr>
          <w:rFonts w:ascii="宋体" w:hAnsi="宋体" w:eastAsia="宋体" w:cs="宋体"/>
          <w:sz w:val="23"/>
          <w:szCs w:val="23"/>
        </w:rPr>
      </w:pPr>
      <w:r>
        <w:rPr>
          <w:rFonts w:ascii="宋体" w:hAnsi="宋体" w:eastAsia="宋体" w:cs="宋体"/>
          <w:b/>
          <w:bCs/>
          <w:spacing w:val="-6"/>
          <w:sz w:val="23"/>
          <w:szCs w:val="23"/>
        </w:rPr>
        <w:t>三、考试形式和试卷结构</w:t>
      </w:r>
    </w:p>
    <w:p w14:paraId="26D0884D">
      <w:pPr>
        <w:spacing w:before="97" w:line="219" w:lineRule="auto"/>
        <w:ind w:left="449"/>
        <w:rPr>
          <w:rFonts w:ascii="宋体" w:hAnsi="宋体" w:eastAsia="宋体" w:cs="宋体"/>
          <w:sz w:val="17"/>
          <w:szCs w:val="17"/>
        </w:rPr>
      </w:pPr>
      <w:r>
        <w:rPr>
          <w:rFonts w:ascii="宋体" w:hAnsi="宋体" w:eastAsia="宋体" w:cs="宋体"/>
          <w:spacing w:val="4"/>
          <w:sz w:val="17"/>
          <w:szCs w:val="17"/>
        </w:rPr>
        <w:t>(一)考试形式：考试采用闭卷笔答形式。</w:t>
      </w:r>
    </w:p>
    <w:p w14:paraId="2EAE6FB5">
      <w:pPr>
        <w:spacing w:before="79" w:line="219" w:lineRule="auto"/>
        <w:ind w:left="449"/>
        <w:rPr>
          <w:rFonts w:ascii="宋体" w:hAnsi="宋体" w:eastAsia="宋体" w:cs="宋体"/>
          <w:sz w:val="17"/>
          <w:szCs w:val="17"/>
        </w:rPr>
      </w:pPr>
      <w:r>
        <w:rPr>
          <w:rFonts w:ascii="宋体" w:hAnsi="宋体" w:eastAsia="宋体" w:cs="宋体"/>
          <w:spacing w:val="15"/>
          <w:sz w:val="17"/>
          <w:szCs w:val="17"/>
        </w:rPr>
        <w:t>(二)内容比例及考试时量(总分为450分)</w:t>
      </w:r>
    </w:p>
    <w:p w14:paraId="6AD709D6">
      <w:pPr>
        <w:spacing w:before="88" w:line="299" w:lineRule="auto"/>
        <w:ind w:right="20" w:firstLine="370"/>
        <w:rPr>
          <w:rFonts w:ascii="宋体" w:hAnsi="宋体" w:eastAsia="宋体" w:cs="宋体"/>
          <w:sz w:val="17"/>
          <w:szCs w:val="17"/>
        </w:rPr>
      </w:pPr>
      <w:r>
        <w:rPr>
          <w:rFonts w:ascii="宋体" w:hAnsi="宋体" w:eastAsia="宋体" w:cs="宋体"/>
          <w:spacing w:val="12"/>
          <w:sz w:val="17"/>
          <w:szCs w:val="17"/>
        </w:rPr>
        <w:t>1、服装类专业技能测试纲要，共10个项目，包</w:t>
      </w:r>
      <w:r>
        <w:rPr>
          <w:rFonts w:ascii="宋体" w:hAnsi="宋体" w:eastAsia="宋体" w:cs="宋体"/>
          <w:spacing w:val="7"/>
          <w:sz w:val="17"/>
          <w:szCs w:val="17"/>
        </w:rPr>
        <w:t xml:space="preserve"> </w:t>
      </w:r>
      <w:r>
        <w:rPr>
          <w:rFonts w:ascii="宋体" w:hAnsi="宋体" w:eastAsia="宋体" w:cs="宋体"/>
          <w:spacing w:val="3"/>
          <w:sz w:val="17"/>
          <w:szCs w:val="17"/>
        </w:rPr>
        <w:t>括三个模块的内容——服装主题设计、服装结构制图和</w:t>
      </w:r>
      <w:r>
        <w:rPr>
          <w:rFonts w:ascii="宋体" w:hAnsi="宋体" w:eastAsia="宋体" w:cs="宋体"/>
          <w:sz w:val="17"/>
          <w:szCs w:val="17"/>
        </w:rPr>
        <w:t xml:space="preserve"> </w:t>
      </w:r>
      <w:r>
        <w:rPr>
          <w:rFonts w:ascii="宋体" w:hAnsi="宋体" w:eastAsia="宋体" w:cs="宋体"/>
          <w:spacing w:val="3"/>
          <w:sz w:val="17"/>
          <w:szCs w:val="17"/>
        </w:rPr>
        <w:t>服装缝制工艺；项目一至项目四为服装主题设计，项目</w:t>
      </w:r>
      <w:r>
        <w:rPr>
          <w:rFonts w:ascii="宋体" w:hAnsi="宋体" w:eastAsia="宋体" w:cs="宋体"/>
          <w:sz w:val="17"/>
          <w:szCs w:val="17"/>
        </w:rPr>
        <w:t xml:space="preserve"> </w:t>
      </w:r>
      <w:r>
        <w:rPr>
          <w:rFonts w:ascii="宋体" w:hAnsi="宋体" w:eastAsia="宋体" w:cs="宋体"/>
          <w:spacing w:val="2"/>
          <w:sz w:val="17"/>
          <w:szCs w:val="17"/>
        </w:rPr>
        <w:t>五至项目八为服装结构制图，项目九至项目十为服装缝</w:t>
      </w:r>
      <w:r>
        <w:rPr>
          <w:rFonts w:ascii="宋体" w:hAnsi="宋体" w:eastAsia="宋体" w:cs="宋体"/>
          <w:spacing w:val="17"/>
          <w:sz w:val="17"/>
          <w:szCs w:val="17"/>
        </w:rPr>
        <w:t xml:space="preserve"> </w:t>
      </w:r>
      <w:r>
        <w:rPr>
          <w:rFonts w:ascii="宋体" w:hAnsi="宋体" w:eastAsia="宋体" w:cs="宋体"/>
          <w:spacing w:val="2"/>
          <w:sz w:val="17"/>
          <w:szCs w:val="17"/>
        </w:rPr>
        <w:t>制工艺；招生院校在组织设计、制图、工艺三个模块考</w:t>
      </w:r>
      <w:r>
        <w:rPr>
          <w:rFonts w:ascii="宋体" w:hAnsi="宋体" w:eastAsia="宋体" w:cs="宋体"/>
          <w:spacing w:val="17"/>
          <w:sz w:val="17"/>
          <w:szCs w:val="17"/>
        </w:rPr>
        <w:t xml:space="preserve"> </w:t>
      </w:r>
      <w:r>
        <w:rPr>
          <w:rFonts w:ascii="宋体" w:hAnsi="宋体" w:eastAsia="宋体" w:cs="宋体"/>
          <w:spacing w:val="-2"/>
          <w:sz w:val="17"/>
          <w:szCs w:val="17"/>
        </w:rPr>
        <w:t>试时，从每个模块所含项目中分别挑选一项进行测试；</w:t>
      </w:r>
    </w:p>
    <w:p w14:paraId="04BDBB54">
      <w:pPr>
        <w:spacing w:before="87" w:line="273" w:lineRule="auto"/>
        <w:ind w:right="26" w:firstLine="370"/>
        <w:rPr>
          <w:rFonts w:ascii="宋体" w:hAnsi="宋体" w:eastAsia="宋体" w:cs="宋体"/>
          <w:sz w:val="17"/>
          <w:szCs w:val="17"/>
        </w:rPr>
      </w:pPr>
      <w:r>
        <w:rPr>
          <w:rFonts w:ascii="宋体" w:hAnsi="宋体" w:eastAsia="宋体" w:cs="宋体"/>
          <w:spacing w:val="1"/>
          <w:sz w:val="17"/>
          <w:szCs w:val="17"/>
        </w:rPr>
        <w:t>2、服装主题设计和服装结构制图考试时间均为120</w:t>
      </w:r>
      <w:r>
        <w:rPr>
          <w:rFonts w:ascii="宋体" w:hAnsi="宋体" w:eastAsia="宋体" w:cs="宋体"/>
          <w:spacing w:val="13"/>
          <w:sz w:val="17"/>
          <w:szCs w:val="17"/>
        </w:rPr>
        <w:t xml:space="preserve"> </w:t>
      </w:r>
      <w:r>
        <w:rPr>
          <w:rFonts w:ascii="宋体" w:hAnsi="宋体" w:eastAsia="宋体" w:cs="宋体"/>
          <w:spacing w:val="3"/>
          <w:sz w:val="17"/>
          <w:szCs w:val="17"/>
        </w:rPr>
        <w:t>分钟，服装缝制工艺考试时间为60分钟。</w:t>
      </w:r>
    </w:p>
    <w:p w14:paraId="69719E24">
      <w:pPr>
        <w:spacing w:before="98" w:line="257" w:lineRule="auto"/>
        <w:ind w:right="28" w:firstLine="370"/>
        <w:rPr>
          <w:rFonts w:ascii="宋体" w:hAnsi="宋体" w:eastAsia="宋体" w:cs="宋体"/>
          <w:sz w:val="17"/>
          <w:szCs w:val="17"/>
        </w:rPr>
      </w:pPr>
      <w:r>
        <w:rPr>
          <w:rFonts w:ascii="宋体" w:hAnsi="宋体" w:eastAsia="宋体" w:cs="宋体"/>
          <w:spacing w:val="9"/>
          <w:sz w:val="17"/>
          <w:szCs w:val="17"/>
        </w:rPr>
        <w:t>3、服装主题设计赋分250分；服装结构制图</w:t>
      </w:r>
      <w:r>
        <w:rPr>
          <w:rFonts w:ascii="宋体" w:hAnsi="宋体" w:eastAsia="宋体" w:cs="宋体"/>
          <w:spacing w:val="8"/>
          <w:sz w:val="17"/>
          <w:szCs w:val="17"/>
        </w:rPr>
        <w:t>和服</w:t>
      </w:r>
      <w:r>
        <w:rPr>
          <w:rFonts w:ascii="宋体" w:hAnsi="宋体" w:eastAsia="宋体" w:cs="宋体"/>
          <w:sz w:val="17"/>
          <w:szCs w:val="17"/>
        </w:rPr>
        <w:t xml:space="preserve"> </w:t>
      </w:r>
      <w:r>
        <w:rPr>
          <w:rFonts w:ascii="宋体" w:hAnsi="宋体" w:eastAsia="宋体" w:cs="宋体"/>
          <w:spacing w:val="6"/>
          <w:sz w:val="17"/>
          <w:szCs w:val="17"/>
        </w:rPr>
        <w:t>装缝制工艺赋分200分。</w:t>
      </w:r>
    </w:p>
    <w:p w14:paraId="20F74337">
      <w:pPr>
        <w:spacing w:line="257" w:lineRule="auto"/>
        <w:rPr>
          <w:rFonts w:ascii="宋体" w:hAnsi="宋体" w:eastAsia="宋体" w:cs="宋体"/>
          <w:sz w:val="17"/>
          <w:szCs w:val="17"/>
        </w:rPr>
        <w:sectPr>
          <w:type w:val="continuous"/>
          <w:pgSz w:w="10660" w:h="15080"/>
          <w:pgMar w:top="400" w:right="885" w:bottom="925" w:left="1004" w:header="0" w:footer="705" w:gutter="0"/>
          <w:cols w:equalWidth="0" w:num="2">
            <w:col w:w="4496" w:space="100"/>
            <w:col w:w="4175"/>
          </w:cols>
        </w:sectPr>
      </w:pPr>
    </w:p>
    <w:p w14:paraId="6913662A">
      <w:pPr>
        <w:spacing w:line="239" w:lineRule="exact"/>
      </w:pPr>
    </w:p>
    <w:tbl>
      <w:tblPr>
        <w:tblStyle w:val="5"/>
        <w:tblW w:w="8700" w:type="dxa"/>
        <w:tblInd w:w="3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74"/>
        <w:gridCol w:w="849"/>
        <w:gridCol w:w="2068"/>
        <w:gridCol w:w="959"/>
        <w:gridCol w:w="439"/>
        <w:gridCol w:w="889"/>
        <w:gridCol w:w="2922"/>
      </w:tblGrid>
      <w:tr w14:paraId="345EC6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9" w:hRule="atLeast"/>
        </w:trPr>
        <w:tc>
          <w:tcPr>
            <w:tcW w:w="574" w:type="dxa"/>
            <w:tcBorders>
              <w:top w:val="single" w:color="000000" w:sz="2" w:space="0"/>
              <w:bottom w:val="single" w:color="000000" w:sz="2" w:space="0"/>
            </w:tcBorders>
            <w:vAlign w:val="top"/>
          </w:tcPr>
          <w:p w14:paraId="2F904E4F">
            <w:pPr>
              <w:pStyle w:val="6"/>
              <w:spacing w:before="174" w:line="219" w:lineRule="auto"/>
              <w:ind w:left="97"/>
              <w:rPr>
                <w:sz w:val="18"/>
                <w:szCs w:val="18"/>
              </w:rPr>
            </w:pPr>
            <w:r>
              <w:rPr>
                <w:b/>
                <w:bCs/>
                <w:spacing w:val="-4"/>
                <w:sz w:val="18"/>
                <w:szCs w:val="18"/>
              </w:rPr>
              <w:t>模块</w:t>
            </w:r>
          </w:p>
        </w:tc>
        <w:tc>
          <w:tcPr>
            <w:tcW w:w="849" w:type="dxa"/>
            <w:tcBorders>
              <w:top w:val="single" w:color="000000" w:sz="2" w:space="0"/>
              <w:bottom w:val="single" w:color="000000" w:sz="2" w:space="0"/>
            </w:tcBorders>
            <w:vAlign w:val="top"/>
          </w:tcPr>
          <w:p w14:paraId="157A60DE">
            <w:pPr>
              <w:pStyle w:val="6"/>
              <w:spacing w:before="76" w:line="222" w:lineRule="auto"/>
              <w:ind w:left="233" w:right="216"/>
              <w:rPr>
                <w:sz w:val="18"/>
                <w:szCs w:val="18"/>
              </w:rPr>
            </w:pPr>
            <w:r>
              <w:rPr>
                <w:b/>
                <w:bCs/>
                <w:spacing w:val="-6"/>
                <w:sz w:val="18"/>
                <w:szCs w:val="18"/>
              </w:rPr>
              <w:t>测试</w:t>
            </w:r>
            <w:r>
              <w:rPr>
                <w:sz w:val="18"/>
                <w:szCs w:val="18"/>
              </w:rPr>
              <w:t xml:space="preserve"> </w:t>
            </w:r>
            <w:r>
              <w:rPr>
                <w:b/>
                <w:bCs/>
                <w:spacing w:val="12"/>
                <w:sz w:val="18"/>
                <w:szCs w:val="18"/>
              </w:rPr>
              <w:t>项目</w:t>
            </w:r>
          </w:p>
        </w:tc>
        <w:tc>
          <w:tcPr>
            <w:tcW w:w="2068" w:type="dxa"/>
            <w:tcBorders>
              <w:top w:val="single" w:color="000000" w:sz="2" w:space="0"/>
              <w:bottom w:val="single" w:color="000000" w:sz="2" w:space="0"/>
            </w:tcBorders>
            <w:vAlign w:val="top"/>
          </w:tcPr>
          <w:p w14:paraId="54F4436B">
            <w:pPr>
              <w:pStyle w:val="6"/>
              <w:spacing w:before="175" w:line="221" w:lineRule="auto"/>
              <w:ind w:left="704"/>
              <w:rPr>
                <w:sz w:val="18"/>
                <w:szCs w:val="18"/>
              </w:rPr>
            </w:pPr>
            <w:r>
              <w:rPr>
                <w:b/>
                <w:bCs/>
                <w:spacing w:val="-4"/>
                <w:sz w:val="18"/>
                <w:szCs w:val="18"/>
              </w:rPr>
              <w:t>测试用具</w:t>
            </w:r>
          </w:p>
        </w:tc>
        <w:tc>
          <w:tcPr>
            <w:tcW w:w="959" w:type="dxa"/>
            <w:tcBorders>
              <w:top w:val="single" w:color="000000" w:sz="2" w:space="0"/>
              <w:bottom w:val="single" w:color="000000" w:sz="2" w:space="0"/>
            </w:tcBorders>
            <w:vAlign w:val="top"/>
          </w:tcPr>
          <w:p w14:paraId="6B5C8554">
            <w:pPr>
              <w:pStyle w:val="6"/>
              <w:spacing w:before="75" w:line="222" w:lineRule="auto"/>
              <w:ind w:left="296" w:right="288"/>
              <w:rPr>
                <w:sz w:val="18"/>
                <w:szCs w:val="18"/>
              </w:rPr>
            </w:pPr>
            <w:r>
              <w:rPr>
                <w:b/>
                <w:bCs/>
                <w:spacing w:val="-6"/>
                <w:sz w:val="18"/>
                <w:szCs w:val="18"/>
              </w:rPr>
              <w:t>测试</w:t>
            </w:r>
            <w:r>
              <w:rPr>
                <w:sz w:val="18"/>
                <w:szCs w:val="18"/>
              </w:rPr>
              <w:t xml:space="preserve"> </w:t>
            </w:r>
            <w:r>
              <w:rPr>
                <w:b/>
                <w:bCs/>
                <w:sz w:val="18"/>
                <w:szCs w:val="18"/>
              </w:rPr>
              <w:t>内容</w:t>
            </w:r>
          </w:p>
        </w:tc>
        <w:tc>
          <w:tcPr>
            <w:tcW w:w="439" w:type="dxa"/>
            <w:tcBorders>
              <w:top w:val="single" w:color="000000" w:sz="2" w:space="0"/>
              <w:bottom w:val="single" w:color="000000" w:sz="2" w:space="0"/>
            </w:tcBorders>
            <w:shd w:val="clear" w:color="auto" w:fill="231F20"/>
            <w:vAlign w:val="top"/>
          </w:tcPr>
          <w:p w14:paraId="1A8D438E">
            <w:pPr>
              <w:pStyle w:val="6"/>
              <w:spacing w:before="76" w:line="218" w:lineRule="auto"/>
              <w:ind w:left="37" w:right="39"/>
              <w:rPr>
                <w:sz w:val="18"/>
                <w:szCs w:val="18"/>
              </w:rPr>
            </w:pPr>
            <w:r>
              <w:rPr>
                <w:b/>
                <w:bCs/>
                <w:color w:val="FFFFFF"/>
                <w:spacing w:val="-6"/>
                <w:sz w:val="18"/>
                <w:szCs w:val="18"/>
              </w:rPr>
              <w:t>测试</w:t>
            </w:r>
            <w:r>
              <w:rPr>
                <w:color w:val="FFFFFF"/>
                <w:sz w:val="18"/>
                <w:szCs w:val="18"/>
              </w:rPr>
              <w:t xml:space="preserve"> </w:t>
            </w:r>
            <w:r>
              <w:rPr>
                <w:b/>
                <w:bCs/>
                <w:color w:val="FFFFFF"/>
                <w:spacing w:val="-6"/>
                <w:sz w:val="18"/>
                <w:szCs w:val="18"/>
              </w:rPr>
              <w:t>方法</w:t>
            </w:r>
          </w:p>
        </w:tc>
        <w:tc>
          <w:tcPr>
            <w:tcW w:w="889" w:type="dxa"/>
            <w:tcBorders>
              <w:top w:val="single" w:color="000000" w:sz="2" w:space="0"/>
              <w:bottom w:val="single" w:color="000000" w:sz="2" w:space="0"/>
            </w:tcBorders>
            <w:vAlign w:val="top"/>
          </w:tcPr>
          <w:p w14:paraId="32A9A981">
            <w:pPr>
              <w:pStyle w:val="6"/>
              <w:spacing w:before="175" w:line="221" w:lineRule="auto"/>
              <w:ind w:left="78"/>
              <w:rPr>
                <w:sz w:val="18"/>
                <w:szCs w:val="18"/>
              </w:rPr>
            </w:pPr>
            <w:r>
              <w:rPr>
                <w:b/>
                <w:bCs/>
                <w:spacing w:val="-4"/>
                <w:sz w:val="18"/>
                <w:szCs w:val="18"/>
              </w:rPr>
              <w:t>测试要求</w:t>
            </w:r>
          </w:p>
        </w:tc>
        <w:tc>
          <w:tcPr>
            <w:tcW w:w="2922" w:type="dxa"/>
            <w:tcBorders>
              <w:top w:val="single" w:color="000000" w:sz="2" w:space="0"/>
              <w:bottom w:val="single" w:color="000000" w:sz="2" w:space="0"/>
            </w:tcBorders>
            <w:vAlign w:val="top"/>
          </w:tcPr>
          <w:p w14:paraId="02938B09">
            <w:pPr>
              <w:pStyle w:val="6"/>
              <w:spacing w:before="174" w:line="219" w:lineRule="auto"/>
              <w:ind w:left="1099"/>
              <w:rPr>
                <w:sz w:val="18"/>
                <w:szCs w:val="18"/>
              </w:rPr>
            </w:pPr>
            <w:r>
              <w:rPr>
                <w:b/>
                <w:bCs/>
                <w:spacing w:val="-4"/>
                <w:sz w:val="18"/>
                <w:szCs w:val="18"/>
              </w:rPr>
              <w:t>赋分参考</w:t>
            </w:r>
          </w:p>
        </w:tc>
      </w:tr>
      <w:tr w14:paraId="69016C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53" w:hRule="atLeast"/>
        </w:trPr>
        <w:tc>
          <w:tcPr>
            <w:tcW w:w="574" w:type="dxa"/>
            <w:vMerge w:val="restart"/>
            <w:tcBorders>
              <w:top w:val="single" w:color="000000" w:sz="2" w:space="0"/>
              <w:bottom w:val="nil"/>
            </w:tcBorders>
            <w:vAlign w:val="top"/>
          </w:tcPr>
          <w:p w14:paraId="4BED2AD2">
            <w:pPr>
              <w:spacing w:line="260" w:lineRule="auto"/>
              <w:rPr>
                <w:rFonts w:ascii="Arial"/>
                <w:sz w:val="21"/>
              </w:rPr>
            </w:pPr>
          </w:p>
          <w:p w14:paraId="4136544B">
            <w:pPr>
              <w:spacing w:line="260" w:lineRule="auto"/>
              <w:rPr>
                <w:rFonts w:ascii="Arial"/>
                <w:sz w:val="21"/>
              </w:rPr>
            </w:pPr>
          </w:p>
          <w:p w14:paraId="290E3138">
            <w:pPr>
              <w:spacing w:line="260" w:lineRule="auto"/>
              <w:rPr>
                <w:rFonts w:ascii="Arial"/>
                <w:sz w:val="21"/>
              </w:rPr>
            </w:pPr>
          </w:p>
          <w:p w14:paraId="5794C16C">
            <w:pPr>
              <w:spacing w:line="260" w:lineRule="auto"/>
              <w:rPr>
                <w:rFonts w:ascii="Arial"/>
                <w:sz w:val="21"/>
              </w:rPr>
            </w:pPr>
          </w:p>
          <w:p w14:paraId="422D662C">
            <w:pPr>
              <w:spacing w:line="260" w:lineRule="auto"/>
              <w:rPr>
                <w:rFonts w:ascii="Arial"/>
                <w:sz w:val="21"/>
              </w:rPr>
            </w:pPr>
          </w:p>
          <w:p w14:paraId="5749601E">
            <w:pPr>
              <w:spacing w:line="260" w:lineRule="auto"/>
              <w:rPr>
                <w:rFonts w:ascii="Arial"/>
                <w:sz w:val="21"/>
              </w:rPr>
            </w:pPr>
          </w:p>
          <w:p w14:paraId="0881CE3F">
            <w:pPr>
              <w:spacing w:line="261" w:lineRule="auto"/>
              <w:rPr>
                <w:rFonts w:ascii="Arial"/>
                <w:sz w:val="21"/>
              </w:rPr>
            </w:pPr>
          </w:p>
          <w:p w14:paraId="0D973646">
            <w:pPr>
              <w:spacing w:line="261" w:lineRule="auto"/>
              <w:rPr>
                <w:rFonts w:ascii="Arial"/>
                <w:sz w:val="21"/>
              </w:rPr>
            </w:pPr>
          </w:p>
          <w:p w14:paraId="03B3A104">
            <w:pPr>
              <w:pStyle w:val="6"/>
              <w:spacing w:before="59" w:line="223" w:lineRule="auto"/>
              <w:ind w:left="5" w:right="26"/>
              <w:rPr>
                <w:sz w:val="18"/>
                <w:szCs w:val="18"/>
              </w:rPr>
            </w:pPr>
            <w:r>
              <w:rPr>
                <w:spacing w:val="-3"/>
                <w:sz w:val="18"/>
                <w:szCs w:val="18"/>
              </w:rPr>
              <w:t>服装主</w:t>
            </w:r>
            <w:r>
              <w:rPr>
                <w:sz w:val="18"/>
                <w:szCs w:val="18"/>
              </w:rPr>
              <w:t xml:space="preserve"> </w:t>
            </w:r>
            <w:r>
              <w:rPr>
                <w:spacing w:val="-3"/>
                <w:sz w:val="18"/>
                <w:szCs w:val="18"/>
              </w:rPr>
              <w:t>题设计</w:t>
            </w:r>
          </w:p>
        </w:tc>
        <w:tc>
          <w:tcPr>
            <w:tcW w:w="849" w:type="dxa"/>
            <w:tcBorders>
              <w:top w:val="single" w:color="000000" w:sz="2" w:space="0"/>
              <w:bottom w:val="single" w:color="000000" w:sz="2" w:space="0"/>
            </w:tcBorders>
            <w:vAlign w:val="top"/>
          </w:tcPr>
          <w:p w14:paraId="58E16BFC">
            <w:pPr>
              <w:spacing w:line="246" w:lineRule="auto"/>
              <w:rPr>
                <w:rFonts w:ascii="Arial"/>
                <w:sz w:val="21"/>
              </w:rPr>
            </w:pPr>
          </w:p>
          <w:p w14:paraId="2305A191">
            <w:pPr>
              <w:spacing w:line="246" w:lineRule="auto"/>
              <w:rPr>
                <w:rFonts w:ascii="Arial"/>
                <w:sz w:val="21"/>
              </w:rPr>
            </w:pPr>
          </w:p>
          <w:p w14:paraId="3DBE8E33">
            <w:pPr>
              <w:pStyle w:val="6"/>
              <w:spacing w:before="58" w:line="220" w:lineRule="auto"/>
              <w:ind w:left="140"/>
              <w:rPr>
                <w:sz w:val="18"/>
                <w:szCs w:val="18"/>
              </w:rPr>
            </w:pPr>
            <w:r>
              <w:rPr>
                <w:spacing w:val="-1"/>
                <w:sz w:val="18"/>
                <w:szCs w:val="18"/>
              </w:rPr>
              <w:t>项目一</w:t>
            </w:r>
          </w:p>
          <w:p w14:paraId="5A32434E">
            <w:pPr>
              <w:pStyle w:val="6"/>
              <w:spacing w:before="5" w:line="219" w:lineRule="auto"/>
              <w:ind w:left="51"/>
              <w:rPr>
                <w:sz w:val="18"/>
                <w:szCs w:val="18"/>
              </w:rPr>
            </w:pPr>
            <w:r>
              <w:rPr>
                <w:spacing w:val="4"/>
                <w:sz w:val="18"/>
                <w:szCs w:val="18"/>
              </w:rPr>
              <w:t>女式休闲</w:t>
            </w:r>
          </w:p>
          <w:p w14:paraId="6F9787E0">
            <w:pPr>
              <w:pStyle w:val="6"/>
              <w:spacing w:before="6" w:line="220" w:lineRule="auto"/>
              <w:ind w:left="140"/>
              <w:rPr>
                <w:sz w:val="18"/>
                <w:szCs w:val="18"/>
              </w:rPr>
            </w:pPr>
            <w:r>
              <w:rPr>
                <w:spacing w:val="-2"/>
                <w:sz w:val="18"/>
                <w:szCs w:val="18"/>
              </w:rPr>
              <w:t>装设计</w:t>
            </w:r>
          </w:p>
        </w:tc>
        <w:tc>
          <w:tcPr>
            <w:tcW w:w="2068" w:type="dxa"/>
            <w:tcBorders>
              <w:top w:val="single" w:color="000000" w:sz="2" w:space="0"/>
              <w:bottom w:val="single" w:color="000000" w:sz="2" w:space="0"/>
            </w:tcBorders>
            <w:vAlign w:val="top"/>
          </w:tcPr>
          <w:p w14:paraId="5B529FB7">
            <w:pPr>
              <w:pStyle w:val="6"/>
              <w:spacing w:before="93" w:line="231" w:lineRule="auto"/>
              <w:ind w:left="12" w:right="386"/>
              <w:rPr>
                <w:sz w:val="18"/>
                <w:szCs w:val="18"/>
              </w:rPr>
            </w:pPr>
            <w:r>
              <w:rPr>
                <w:spacing w:val="3"/>
                <w:sz w:val="18"/>
                <w:szCs w:val="18"/>
              </w:rPr>
              <w:t>1.绘图桌(单人课桌)</w:t>
            </w:r>
            <w:r>
              <w:rPr>
                <w:spacing w:val="5"/>
                <w:sz w:val="18"/>
                <w:szCs w:val="18"/>
              </w:rPr>
              <w:t xml:space="preserve"> </w:t>
            </w:r>
            <w:r>
              <w:rPr>
                <w:spacing w:val="-2"/>
                <w:sz w:val="18"/>
                <w:szCs w:val="18"/>
              </w:rPr>
              <w:t>2.绘图纸张</w:t>
            </w:r>
          </w:p>
          <w:p w14:paraId="6F878ED3">
            <w:pPr>
              <w:pStyle w:val="6"/>
              <w:spacing w:line="218" w:lineRule="auto"/>
              <w:ind w:left="12" w:right="15" w:firstLine="69"/>
              <w:rPr>
                <w:sz w:val="18"/>
                <w:szCs w:val="18"/>
              </w:rPr>
            </w:pPr>
            <w:r>
              <w:rPr>
                <w:spacing w:val="-5"/>
                <w:sz w:val="18"/>
                <w:szCs w:val="18"/>
              </w:rPr>
              <w:t>(</w:t>
            </w:r>
            <w:r>
              <w:rPr>
                <w:spacing w:val="-34"/>
                <w:sz w:val="18"/>
                <w:szCs w:val="18"/>
              </w:rPr>
              <w:t xml:space="preserve"> </w:t>
            </w:r>
            <w:r>
              <w:rPr>
                <w:spacing w:val="-5"/>
                <w:sz w:val="18"/>
                <w:szCs w:val="18"/>
              </w:rPr>
              <w:t>8</w:t>
            </w:r>
            <w:r>
              <w:rPr>
                <w:spacing w:val="-39"/>
                <w:sz w:val="18"/>
                <w:szCs w:val="18"/>
              </w:rPr>
              <w:t xml:space="preserve"> </w:t>
            </w:r>
            <w:r>
              <w:rPr>
                <w:spacing w:val="-5"/>
                <w:sz w:val="18"/>
                <w:szCs w:val="18"/>
              </w:rPr>
              <w:t>开</w:t>
            </w:r>
            <w:r>
              <w:rPr>
                <w:spacing w:val="-37"/>
                <w:sz w:val="18"/>
                <w:szCs w:val="18"/>
              </w:rPr>
              <w:t xml:space="preserve"> </w:t>
            </w:r>
            <w:r>
              <w:rPr>
                <w:spacing w:val="-5"/>
                <w:sz w:val="18"/>
                <w:szCs w:val="18"/>
              </w:rPr>
              <w:t>3</w:t>
            </w:r>
            <w:r>
              <w:rPr>
                <w:spacing w:val="-35"/>
                <w:sz w:val="18"/>
                <w:szCs w:val="18"/>
              </w:rPr>
              <w:t xml:space="preserve"> </w:t>
            </w:r>
            <w:r>
              <w:rPr>
                <w:spacing w:val="-5"/>
                <w:sz w:val="18"/>
                <w:szCs w:val="18"/>
              </w:rPr>
              <w:t>7</w:t>
            </w:r>
            <w:r>
              <w:rPr>
                <w:spacing w:val="-37"/>
                <w:sz w:val="18"/>
                <w:szCs w:val="18"/>
              </w:rPr>
              <w:t xml:space="preserve"> </w:t>
            </w:r>
            <w:r>
              <w:rPr>
                <w:spacing w:val="-5"/>
                <w:sz w:val="18"/>
                <w:szCs w:val="18"/>
              </w:rPr>
              <w:t>5</w:t>
            </w:r>
            <w:r>
              <w:rPr>
                <w:spacing w:val="-45"/>
                <w:sz w:val="18"/>
                <w:szCs w:val="18"/>
              </w:rPr>
              <w:t xml:space="preserve"> </w:t>
            </w:r>
            <w:r>
              <w:rPr>
                <w:spacing w:val="-5"/>
                <w:sz w:val="18"/>
                <w:szCs w:val="18"/>
              </w:rPr>
              <w:t>mm</w:t>
            </w:r>
            <w:r>
              <w:rPr>
                <w:spacing w:val="-14"/>
                <w:sz w:val="18"/>
                <w:szCs w:val="18"/>
              </w:rPr>
              <w:t xml:space="preserve"> </w:t>
            </w:r>
            <w:r>
              <w:rPr>
                <w:spacing w:val="-5"/>
                <w:sz w:val="18"/>
                <w:szCs w:val="18"/>
              </w:rPr>
              <w:t>×</w:t>
            </w:r>
            <w:r>
              <w:rPr>
                <w:spacing w:val="-38"/>
                <w:sz w:val="18"/>
                <w:szCs w:val="18"/>
              </w:rPr>
              <w:t xml:space="preserve"> </w:t>
            </w:r>
            <w:r>
              <w:rPr>
                <w:spacing w:val="-5"/>
                <w:sz w:val="18"/>
                <w:szCs w:val="18"/>
              </w:rPr>
              <w:t>2</w:t>
            </w:r>
            <w:r>
              <w:rPr>
                <w:spacing w:val="-38"/>
                <w:sz w:val="18"/>
                <w:szCs w:val="18"/>
              </w:rPr>
              <w:t xml:space="preserve"> </w:t>
            </w:r>
            <w:r>
              <w:rPr>
                <w:spacing w:val="-5"/>
                <w:sz w:val="18"/>
                <w:szCs w:val="18"/>
              </w:rPr>
              <w:t>6</w:t>
            </w:r>
            <w:r>
              <w:rPr>
                <w:spacing w:val="-39"/>
                <w:sz w:val="18"/>
                <w:szCs w:val="18"/>
              </w:rPr>
              <w:t xml:space="preserve"> </w:t>
            </w:r>
            <w:r>
              <w:rPr>
                <w:spacing w:val="-5"/>
                <w:sz w:val="18"/>
                <w:szCs w:val="18"/>
              </w:rPr>
              <w:t>0</w:t>
            </w:r>
            <w:r>
              <w:rPr>
                <w:spacing w:val="-45"/>
                <w:sz w:val="18"/>
                <w:szCs w:val="18"/>
              </w:rPr>
              <w:t xml:space="preserve"> </w:t>
            </w:r>
            <w:r>
              <w:rPr>
                <w:spacing w:val="-5"/>
                <w:sz w:val="18"/>
                <w:szCs w:val="18"/>
              </w:rPr>
              <w:t>mm</w:t>
            </w:r>
            <w:r>
              <w:rPr>
                <w:sz w:val="18"/>
                <w:szCs w:val="18"/>
              </w:rPr>
              <w:t xml:space="preserve"> </w:t>
            </w:r>
            <w:r>
              <w:rPr>
                <w:spacing w:val="13"/>
                <w:sz w:val="18"/>
                <w:szCs w:val="18"/>
              </w:rPr>
              <w:t>卡纸)</w:t>
            </w:r>
          </w:p>
          <w:p w14:paraId="1FBEA989">
            <w:pPr>
              <w:pStyle w:val="6"/>
              <w:spacing w:before="2" w:line="219" w:lineRule="auto"/>
              <w:ind w:left="12"/>
              <w:rPr>
                <w:sz w:val="18"/>
                <w:szCs w:val="18"/>
              </w:rPr>
            </w:pPr>
            <w:r>
              <w:rPr>
                <w:spacing w:val="-1"/>
                <w:sz w:val="18"/>
                <w:szCs w:val="18"/>
              </w:rPr>
              <w:t>3.绘图工具(画板/铅笔</w:t>
            </w:r>
          </w:p>
          <w:p w14:paraId="180DD80E">
            <w:pPr>
              <w:pStyle w:val="6"/>
              <w:spacing w:before="17" w:line="219" w:lineRule="auto"/>
              <w:ind w:left="31"/>
              <w:rPr>
                <w:sz w:val="18"/>
                <w:szCs w:val="18"/>
              </w:rPr>
            </w:pPr>
            <w:r>
              <w:rPr>
                <w:spacing w:val="-1"/>
                <w:sz w:val="18"/>
                <w:szCs w:val="18"/>
              </w:rPr>
              <w:t>/橡皮、彩色铅笔、水粉</w:t>
            </w:r>
          </w:p>
          <w:p w14:paraId="24247A59">
            <w:pPr>
              <w:pStyle w:val="6"/>
              <w:spacing w:before="6" w:line="219" w:lineRule="auto"/>
              <w:jc w:val="right"/>
              <w:rPr>
                <w:sz w:val="18"/>
                <w:szCs w:val="18"/>
              </w:rPr>
            </w:pPr>
            <w:r>
              <w:rPr>
                <w:spacing w:val="-16"/>
                <w:sz w:val="18"/>
                <w:szCs w:val="18"/>
              </w:rPr>
              <w:t>颜料、水粉笔等，考生自备)</w:t>
            </w:r>
          </w:p>
        </w:tc>
        <w:tc>
          <w:tcPr>
            <w:tcW w:w="959" w:type="dxa"/>
            <w:tcBorders>
              <w:top w:val="single" w:color="000000" w:sz="2" w:space="0"/>
              <w:bottom w:val="single" w:color="000000" w:sz="2" w:space="0"/>
            </w:tcBorders>
            <w:vAlign w:val="top"/>
          </w:tcPr>
          <w:p w14:paraId="2F7B7344">
            <w:pPr>
              <w:spacing w:line="290" w:lineRule="auto"/>
              <w:rPr>
                <w:rFonts w:ascii="Arial"/>
                <w:sz w:val="21"/>
              </w:rPr>
            </w:pPr>
          </w:p>
          <w:p w14:paraId="5A122AF5">
            <w:pPr>
              <w:spacing w:line="291" w:lineRule="auto"/>
              <w:rPr>
                <w:rFonts w:ascii="Arial"/>
                <w:sz w:val="21"/>
              </w:rPr>
            </w:pPr>
          </w:p>
          <w:p w14:paraId="2A561539">
            <w:pPr>
              <w:pStyle w:val="6"/>
              <w:spacing w:before="58" w:line="215" w:lineRule="auto"/>
              <w:ind w:left="24"/>
              <w:rPr>
                <w:sz w:val="18"/>
                <w:szCs w:val="18"/>
              </w:rPr>
            </w:pPr>
            <w:r>
              <w:rPr>
                <w:spacing w:val="-2"/>
                <w:sz w:val="18"/>
                <w:szCs w:val="18"/>
              </w:rPr>
              <w:t>设计一套女</w:t>
            </w:r>
          </w:p>
          <w:p w14:paraId="1D5FF6AC">
            <w:pPr>
              <w:pStyle w:val="6"/>
              <w:spacing w:line="219" w:lineRule="auto"/>
              <w:ind w:left="114"/>
              <w:rPr>
                <w:sz w:val="18"/>
                <w:szCs w:val="18"/>
              </w:rPr>
            </w:pPr>
            <w:r>
              <w:rPr>
                <w:spacing w:val="-2"/>
                <w:sz w:val="18"/>
                <w:szCs w:val="18"/>
              </w:rPr>
              <w:t>式休闲装</w:t>
            </w:r>
          </w:p>
        </w:tc>
        <w:tc>
          <w:tcPr>
            <w:tcW w:w="439" w:type="dxa"/>
            <w:vMerge w:val="restart"/>
            <w:tcBorders>
              <w:top w:val="single" w:color="000000" w:sz="2" w:space="0"/>
              <w:bottom w:val="nil"/>
            </w:tcBorders>
            <w:vAlign w:val="top"/>
          </w:tcPr>
          <w:p w14:paraId="4698D5C6">
            <w:pPr>
              <w:spacing w:line="252" w:lineRule="auto"/>
              <w:rPr>
                <w:rFonts w:ascii="Arial"/>
                <w:sz w:val="21"/>
              </w:rPr>
            </w:pPr>
          </w:p>
          <w:p w14:paraId="01921D7D">
            <w:pPr>
              <w:spacing w:line="252" w:lineRule="auto"/>
              <w:rPr>
                <w:rFonts w:ascii="Arial"/>
                <w:sz w:val="21"/>
              </w:rPr>
            </w:pPr>
          </w:p>
          <w:p w14:paraId="609AA345">
            <w:pPr>
              <w:spacing w:line="252" w:lineRule="auto"/>
              <w:rPr>
                <w:rFonts w:ascii="Arial"/>
                <w:sz w:val="21"/>
              </w:rPr>
            </w:pPr>
          </w:p>
          <w:p w14:paraId="09C27B24">
            <w:pPr>
              <w:spacing w:line="252" w:lineRule="auto"/>
              <w:rPr>
                <w:rFonts w:ascii="Arial"/>
                <w:sz w:val="21"/>
              </w:rPr>
            </w:pPr>
          </w:p>
          <w:p w14:paraId="70D4FA1D">
            <w:pPr>
              <w:spacing w:line="253" w:lineRule="auto"/>
              <w:rPr>
                <w:rFonts w:ascii="Arial"/>
                <w:sz w:val="21"/>
              </w:rPr>
            </w:pPr>
          </w:p>
          <w:p w14:paraId="6500F1A6">
            <w:pPr>
              <w:spacing w:line="253" w:lineRule="auto"/>
              <w:rPr>
                <w:rFonts w:ascii="Arial"/>
                <w:sz w:val="21"/>
              </w:rPr>
            </w:pPr>
          </w:p>
          <w:p w14:paraId="4A6E1780">
            <w:pPr>
              <w:spacing w:line="253" w:lineRule="auto"/>
              <w:rPr>
                <w:rFonts w:ascii="Arial"/>
                <w:sz w:val="21"/>
              </w:rPr>
            </w:pPr>
          </w:p>
          <w:p w14:paraId="04F41FF6">
            <w:pPr>
              <w:pStyle w:val="6"/>
              <w:spacing w:before="59" w:line="226" w:lineRule="auto"/>
              <w:ind w:left="34" w:right="26"/>
              <w:rPr>
                <w:sz w:val="18"/>
                <w:szCs w:val="18"/>
              </w:rPr>
            </w:pPr>
            <w:r>
              <w:rPr>
                <w:spacing w:val="3"/>
                <w:sz w:val="18"/>
                <w:szCs w:val="18"/>
              </w:rPr>
              <w:t>闭卷</w:t>
            </w:r>
            <w:r>
              <w:rPr>
                <w:sz w:val="18"/>
                <w:szCs w:val="18"/>
              </w:rPr>
              <w:t xml:space="preserve"> </w:t>
            </w:r>
            <w:r>
              <w:rPr>
                <w:spacing w:val="-2"/>
                <w:sz w:val="18"/>
                <w:szCs w:val="18"/>
              </w:rPr>
              <w:t>手绘</w:t>
            </w:r>
          </w:p>
        </w:tc>
        <w:tc>
          <w:tcPr>
            <w:tcW w:w="889" w:type="dxa"/>
            <w:vMerge w:val="restart"/>
            <w:tcBorders>
              <w:top w:val="single" w:color="000000" w:sz="2" w:space="0"/>
              <w:bottom w:val="nil"/>
            </w:tcBorders>
            <w:vAlign w:val="top"/>
          </w:tcPr>
          <w:p w14:paraId="0F5BA061">
            <w:pPr>
              <w:spacing w:line="241" w:lineRule="auto"/>
              <w:rPr>
                <w:rFonts w:ascii="Arial"/>
                <w:sz w:val="21"/>
              </w:rPr>
            </w:pPr>
          </w:p>
          <w:p w14:paraId="6A678636">
            <w:pPr>
              <w:spacing w:line="241" w:lineRule="auto"/>
              <w:rPr>
                <w:rFonts w:ascii="Arial"/>
                <w:sz w:val="21"/>
              </w:rPr>
            </w:pPr>
          </w:p>
          <w:p w14:paraId="5B770839">
            <w:pPr>
              <w:spacing w:line="241" w:lineRule="auto"/>
              <w:rPr>
                <w:rFonts w:ascii="Arial"/>
                <w:sz w:val="21"/>
              </w:rPr>
            </w:pPr>
          </w:p>
          <w:p w14:paraId="47B2B6FE">
            <w:pPr>
              <w:spacing w:line="241" w:lineRule="auto"/>
              <w:rPr>
                <w:rFonts w:ascii="Arial"/>
                <w:sz w:val="21"/>
              </w:rPr>
            </w:pPr>
          </w:p>
          <w:p w14:paraId="06C796B5">
            <w:pPr>
              <w:spacing w:line="241" w:lineRule="auto"/>
              <w:rPr>
                <w:rFonts w:ascii="Arial"/>
                <w:sz w:val="21"/>
              </w:rPr>
            </w:pPr>
          </w:p>
          <w:p w14:paraId="5AC21FE6">
            <w:pPr>
              <w:spacing w:line="241" w:lineRule="auto"/>
              <w:rPr>
                <w:rFonts w:ascii="Arial"/>
                <w:sz w:val="21"/>
              </w:rPr>
            </w:pPr>
          </w:p>
          <w:p w14:paraId="569F2ED1">
            <w:pPr>
              <w:pStyle w:val="6"/>
              <w:spacing w:before="58" w:line="215" w:lineRule="auto"/>
              <w:ind w:left="76"/>
              <w:rPr>
                <w:sz w:val="18"/>
                <w:szCs w:val="18"/>
              </w:rPr>
            </w:pPr>
            <w:r>
              <w:rPr>
                <w:spacing w:val="3"/>
                <w:sz w:val="18"/>
                <w:szCs w:val="18"/>
              </w:rPr>
              <w:t>1.效果图</w:t>
            </w:r>
          </w:p>
          <w:p w14:paraId="72507EC8">
            <w:pPr>
              <w:pStyle w:val="6"/>
              <w:spacing w:line="220" w:lineRule="auto"/>
              <w:ind w:left="76"/>
              <w:rPr>
                <w:sz w:val="18"/>
                <w:szCs w:val="18"/>
              </w:rPr>
            </w:pPr>
            <w:r>
              <w:rPr>
                <w:spacing w:val="1"/>
                <w:sz w:val="18"/>
                <w:szCs w:val="18"/>
              </w:rPr>
              <w:t>需要上色</w:t>
            </w:r>
          </w:p>
          <w:p w14:paraId="4A34D9FA">
            <w:pPr>
              <w:pStyle w:val="6"/>
              <w:spacing w:before="5" w:line="221" w:lineRule="auto"/>
              <w:ind w:left="76"/>
              <w:rPr>
                <w:sz w:val="18"/>
                <w:szCs w:val="18"/>
              </w:rPr>
            </w:pPr>
            <w:r>
              <w:rPr>
                <w:spacing w:val="3"/>
                <w:sz w:val="18"/>
                <w:szCs w:val="18"/>
              </w:rPr>
              <w:t>2.款式图</w:t>
            </w:r>
          </w:p>
          <w:p w14:paraId="652417BD">
            <w:pPr>
              <w:pStyle w:val="6"/>
              <w:spacing w:before="13" w:line="220" w:lineRule="auto"/>
              <w:jc w:val="right"/>
              <w:rPr>
                <w:sz w:val="18"/>
                <w:szCs w:val="18"/>
              </w:rPr>
            </w:pPr>
            <w:r>
              <w:rPr>
                <w:spacing w:val="-8"/>
                <w:sz w:val="18"/>
                <w:szCs w:val="18"/>
              </w:rPr>
              <w:t>画所设计服</w:t>
            </w:r>
          </w:p>
          <w:p w14:paraId="29AC30AC">
            <w:pPr>
              <w:pStyle w:val="6"/>
              <w:spacing w:before="5" w:line="219" w:lineRule="auto"/>
              <w:jc w:val="right"/>
              <w:rPr>
                <w:sz w:val="18"/>
                <w:szCs w:val="18"/>
              </w:rPr>
            </w:pPr>
            <w:r>
              <w:rPr>
                <w:spacing w:val="-8"/>
                <w:sz w:val="18"/>
                <w:szCs w:val="18"/>
              </w:rPr>
              <w:t>装的正背面</w:t>
            </w:r>
          </w:p>
          <w:p w14:paraId="320E42E9">
            <w:pPr>
              <w:pStyle w:val="6"/>
              <w:spacing w:before="18" w:line="216" w:lineRule="auto"/>
              <w:ind w:left="165"/>
              <w:rPr>
                <w:sz w:val="18"/>
                <w:szCs w:val="18"/>
              </w:rPr>
            </w:pPr>
            <w:r>
              <w:rPr>
                <w:spacing w:val="5"/>
                <w:sz w:val="18"/>
                <w:szCs w:val="18"/>
              </w:rPr>
              <w:t>平面图</w:t>
            </w:r>
          </w:p>
          <w:p w14:paraId="1EE17EA3">
            <w:pPr>
              <w:pStyle w:val="6"/>
              <w:spacing w:line="221" w:lineRule="auto"/>
              <w:ind w:left="165"/>
              <w:rPr>
                <w:sz w:val="18"/>
                <w:szCs w:val="18"/>
              </w:rPr>
            </w:pPr>
            <w:r>
              <w:rPr>
                <w:spacing w:val="5"/>
                <w:sz w:val="18"/>
                <w:szCs w:val="18"/>
              </w:rPr>
              <w:t>3.时间</w:t>
            </w:r>
          </w:p>
          <w:p w14:paraId="3FC351AE">
            <w:pPr>
              <w:pStyle w:val="6"/>
              <w:spacing w:before="13" w:line="220" w:lineRule="auto"/>
              <w:ind w:left="126"/>
              <w:rPr>
                <w:sz w:val="18"/>
                <w:szCs w:val="18"/>
              </w:rPr>
            </w:pPr>
            <w:r>
              <w:rPr>
                <w:spacing w:val="2"/>
                <w:sz w:val="18"/>
                <w:szCs w:val="18"/>
              </w:rPr>
              <w:t>120分钟</w:t>
            </w:r>
          </w:p>
        </w:tc>
        <w:tc>
          <w:tcPr>
            <w:tcW w:w="2922" w:type="dxa"/>
            <w:vMerge w:val="restart"/>
            <w:tcBorders>
              <w:top w:val="single" w:color="000000" w:sz="2" w:space="0"/>
              <w:bottom w:val="nil"/>
            </w:tcBorders>
            <w:vAlign w:val="top"/>
          </w:tcPr>
          <w:p w14:paraId="6A78BBCC">
            <w:pPr>
              <w:spacing w:line="245" w:lineRule="auto"/>
              <w:rPr>
                <w:rFonts w:ascii="Arial"/>
                <w:sz w:val="21"/>
              </w:rPr>
            </w:pPr>
          </w:p>
          <w:p w14:paraId="72FCD574">
            <w:pPr>
              <w:spacing w:line="245" w:lineRule="auto"/>
              <w:rPr>
                <w:rFonts w:ascii="Arial"/>
                <w:sz w:val="21"/>
              </w:rPr>
            </w:pPr>
          </w:p>
          <w:p w14:paraId="3D902823">
            <w:pPr>
              <w:spacing w:line="245" w:lineRule="auto"/>
              <w:rPr>
                <w:rFonts w:ascii="Arial"/>
                <w:sz w:val="21"/>
              </w:rPr>
            </w:pPr>
          </w:p>
          <w:p w14:paraId="630FBBE9">
            <w:pPr>
              <w:spacing w:line="246" w:lineRule="auto"/>
              <w:rPr>
                <w:rFonts w:ascii="Arial"/>
                <w:sz w:val="21"/>
              </w:rPr>
            </w:pPr>
          </w:p>
          <w:p w14:paraId="448A07F3">
            <w:pPr>
              <w:spacing w:line="246" w:lineRule="auto"/>
              <w:rPr>
                <w:rFonts w:ascii="Arial"/>
                <w:sz w:val="21"/>
              </w:rPr>
            </w:pPr>
          </w:p>
          <w:p w14:paraId="3C1022A5">
            <w:pPr>
              <w:pStyle w:val="6"/>
              <w:spacing w:before="58" w:line="217" w:lineRule="auto"/>
              <w:ind w:left="37" w:right="97" w:firstLine="69"/>
              <w:rPr>
                <w:sz w:val="18"/>
                <w:szCs w:val="18"/>
              </w:rPr>
            </w:pPr>
            <w:r>
              <w:rPr>
                <w:sz w:val="18"/>
                <w:szCs w:val="18"/>
              </w:rPr>
              <w:t>1.人体比例动态准确、舒展、符合</w:t>
            </w:r>
            <w:r>
              <w:rPr>
                <w:spacing w:val="6"/>
                <w:sz w:val="18"/>
                <w:szCs w:val="18"/>
              </w:rPr>
              <w:t xml:space="preserve"> </w:t>
            </w:r>
            <w:r>
              <w:rPr>
                <w:spacing w:val="3"/>
                <w:sz w:val="18"/>
                <w:szCs w:val="18"/>
              </w:rPr>
              <w:t>着装效果。(10%)</w:t>
            </w:r>
          </w:p>
          <w:p w14:paraId="6B7866C3">
            <w:pPr>
              <w:pStyle w:val="6"/>
              <w:spacing w:before="16" w:line="220" w:lineRule="auto"/>
              <w:ind w:left="56" w:firstLine="49"/>
              <w:rPr>
                <w:sz w:val="18"/>
                <w:szCs w:val="18"/>
              </w:rPr>
            </w:pPr>
            <w:r>
              <w:rPr>
                <w:spacing w:val="-3"/>
                <w:sz w:val="18"/>
                <w:szCs w:val="18"/>
              </w:rPr>
              <w:t>2.服装设计构思符合主题，设计合</w:t>
            </w:r>
            <w:r>
              <w:rPr>
                <w:spacing w:val="7"/>
                <w:sz w:val="18"/>
                <w:szCs w:val="18"/>
              </w:rPr>
              <w:t xml:space="preserve">  </w:t>
            </w:r>
            <w:r>
              <w:rPr>
                <w:spacing w:val="-2"/>
                <w:sz w:val="18"/>
                <w:szCs w:val="18"/>
              </w:rPr>
              <w:t>理、巧妙、新奇，能体现个性风格，</w:t>
            </w:r>
            <w:r>
              <w:rPr>
                <w:spacing w:val="6"/>
                <w:sz w:val="18"/>
                <w:szCs w:val="18"/>
              </w:rPr>
              <w:t xml:space="preserve"> </w:t>
            </w:r>
            <w:r>
              <w:rPr>
                <w:sz w:val="18"/>
                <w:szCs w:val="18"/>
              </w:rPr>
              <w:t>设计说明能够阐述设计思想。(30%)</w:t>
            </w:r>
            <w:r>
              <w:rPr>
                <w:spacing w:val="13"/>
                <w:sz w:val="18"/>
                <w:szCs w:val="18"/>
              </w:rPr>
              <w:t xml:space="preserve"> </w:t>
            </w:r>
            <w:r>
              <w:rPr>
                <w:spacing w:val="1"/>
                <w:sz w:val="18"/>
                <w:szCs w:val="18"/>
              </w:rPr>
              <w:t>3.彩色服装效果图(表现手法不限),</w:t>
            </w:r>
          </w:p>
          <w:p w14:paraId="0743014F">
            <w:pPr>
              <w:pStyle w:val="6"/>
              <w:spacing w:before="21" w:line="218" w:lineRule="auto"/>
              <w:ind w:left="16" w:right="97" w:firstLine="89"/>
              <w:rPr>
                <w:sz w:val="18"/>
                <w:szCs w:val="18"/>
              </w:rPr>
            </w:pPr>
            <w:r>
              <w:rPr>
                <w:sz w:val="18"/>
                <w:szCs w:val="18"/>
              </w:rPr>
              <w:t>能合理设计并运用服饰图案，并体</w:t>
            </w:r>
            <w:r>
              <w:rPr>
                <w:spacing w:val="6"/>
                <w:sz w:val="18"/>
                <w:szCs w:val="18"/>
              </w:rPr>
              <w:t xml:space="preserve"> </w:t>
            </w:r>
            <w:r>
              <w:rPr>
                <w:spacing w:val="3"/>
                <w:sz w:val="18"/>
                <w:szCs w:val="18"/>
              </w:rPr>
              <w:t>现服装面料质感。(40%)</w:t>
            </w:r>
          </w:p>
          <w:p w14:paraId="69B56CDB">
            <w:pPr>
              <w:pStyle w:val="6"/>
              <w:spacing w:before="12" w:line="216" w:lineRule="auto"/>
              <w:ind w:left="16"/>
              <w:rPr>
                <w:sz w:val="18"/>
                <w:szCs w:val="18"/>
              </w:rPr>
            </w:pPr>
            <w:r>
              <w:rPr>
                <w:spacing w:val="3"/>
                <w:sz w:val="18"/>
                <w:szCs w:val="18"/>
              </w:rPr>
              <w:t>4.服装正、背面款式图(线描),</w:t>
            </w:r>
          </w:p>
          <w:p w14:paraId="59773D4E">
            <w:pPr>
              <w:pStyle w:val="6"/>
              <w:spacing w:line="231" w:lineRule="auto"/>
              <w:ind w:left="74" w:hanging="58"/>
              <w:rPr>
                <w:sz w:val="18"/>
                <w:szCs w:val="18"/>
              </w:rPr>
            </w:pPr>
            <w:r>
              <w:rPr>
                <w:spacing w:val="-10"/>
                <w:sz w:val="18"/>
                <w:szCs w:val="18"/>
              </w:rPr>
              <w:t>结构符合款式特征、比例正确、标准。</w:t>
            </w:r>
            <w:r>
              <w:rPr>
                <w:spacing w:val="4"/>
                <w:sz w:val="18"/>
                <w:szCs w:val="18"/>
              </w:rPr>
              <w:t xml:space="preserve"> </w:t>
            </w:r>
            <w:r>
              <w:rPr>
                <w:spacing w:val="-9"/>
                <w:sz w:val="18"/>
                <w:szCs w:val="18"/>
              </w:rPr>
              <w:t>(20%)</w:t>
            </w:r>
          </w:p>
        </w:tc>
      </w:tr>
      <w:tr w14:paraId="0234D8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74" w:hRule="atLeast"/>
        </w:trPr>
        <w:tc>
          <w:tcPr>
            <w:tcW w:w="574" w:type="dxa"/>
            <w:vMerge w:val="continue"/>
            <w:tcBorders>
              <w:top w:val="nil"/>
              <w:bottom w:val="nil"/>
            </w:tcBorders>
            <w:vAlign w:val="top"/>
          </w:tcPr>
          <w:p w14:paraId="35F0D22E">
            <w:pPr>
              <w:rPr>
                <w:rFonts w:ascii="Arial"/>
                <w:sz w:val="21"/>
              </w:rPr>
            </w:pPr>
          </w:p>
        </w:tc>
        <w:tc>
          <w:tcPr>
            <w:tcW w:w="849" w:type="dxa"/>
            <w:tcBorders>
              <w:top w:val="single" w:color="000000" w:sz="2" w:space="0"/>
              <w:bottom w:val="single" w:color="000000" w:sz="2" w:space="0"/>
            </w:tcBorders>
            <w:vAlign w:val="top"/>
          </w:tcPr>
          <w:p w14:paraId="01545898">
            <w:pPr>
              <w:pStyle w:val="6"/>
              <w:spacing w:before="204" w:line="215" w:lineRule="auto"/>
              <w:ind w:left="140"/>
              <w:rPr>
                <w:sz w:val="18"/>
                <w:szCs w:val="18"/>
              </w:rPr>
            </w:pPr>
            <w:r>
              <w:rPr>
                <w:spacing w:val="-3"/>
                <w:sz w:val="18"/>
                <w:szCs w:val="18"/>
              </w:rPr>
              <w:t>项目二</w:t>
            </w:r>
          </w:p>
          <w:p w14:paraId="57BB442F">
            <w:pPr>
              <w:pStyle w:val="6"/>
              <w:spacing w:line="219" w:lineRule="auto"/>
              <w:ind w:left="51"/>
              <w:rPr>
                <w:sz w:val="18"/>
                <w:szCs w:val="18"/>
              </w:rPr>
            </w:pPr>
            <w:r>
              <w:rPr>
                <w:spacing w:val="2"/>
                <w:sz w:val="18"/>
                <w:szCs w:val="18"/>
              </w:rPr>
              <w:t>女性晚礼</w:t>
            </w:r>
          </w:p>
          <w:p w14:paraId="06E67C39">
            <w:pPr>
              <w:pStyle w:val="6"/>
              <w:spacing w:before="17" w:line="221" w:lineRule="auto"/>
              <w:ind w:left="140"/>
              <w:rPr>
                <w:sz w:val="18"/>
                <w:szCs w:val="18"/>
              </w:rPr>
            </w:pPr>
            <w:r>
              <w:rPr>
                <w:spacing w:val="-2"/>
                <w:sz w:val="18"/>
                <w:szCs w:val="18"/>
              </w:rPr>
              <w:t>服设计</w:t>
            </w:r>
          </w:p>
        </w:tc>
        <w:tc>
          <w:tcPr>
            <w:tcW w:w="2068" w:type="dxa"/>
            <w:tcBorders>
              <w:top w:val="single" w:color="000000" w:sz="2" w:space="0"/>
              <w:bottom w:val="single" w:color="000000" w:sz="2" w:space="0"/>
            </w:tcBorders>
            <w:vAlign w:val="top"/>
          </w:tcPr>
          <w:p w14:paraId="02480A59">
            <w:pPr>
              <w:spacing w:line="465" w:lineRule="auto"/>
              <w:rPr>
                <w:rFonts w:ascii="Arial"/>
                <w:sz w:val="21"/>
              </w:rPr>
            </w:pPr>
          </w:p>
          <w:p w14:paraId="3E7C8B60">
            <w:pPr>
              <w:pStyle w:val="6"/>
              <w:spacing w:before="59" w:line="221" w:lineRule="auto"/>
              <w:ind w:left="12"/>
              <w:rPr>
                <w:sz w:val="18"/>
                <w:szCs w:val="18"/>
              </w:rPr>
            </w:pPr>
            <w:r>
              <w:rPr>
                <w:spacing w:val="3"/>
                <w:sz w:val="18"/>
                <w:szCs w:val="18"/>
              </w:rPr>
              <w:t>同上</w:t>
            </w:r>
          </w:p>
        </w:tc>
        <w:tc>
          <w:tcPr>
            <w:tcW w:w="959" w:type="dxa"/>
            <w:tcBorders>
              <w:top w:val="single" w:color="000000" w:sz="2" w:space="0"/>
              <w:bottom w:val="single" w:color="000000" w:sz="2" w:space="0"/>
            </w:tcBorders>
            <w:vAlign w:val="top"/>
          </w:tcPr>
          <w:p w14:paraId="2633D871">
            <w:pPr>
              <w:pStyle w:val="6"/>
              <w:spacing w:before="184" w:line="219" w:lineRule="auto"/>
              <w:ind w:left="24"/>
              <w:rPr>
                <w:sz w:val="18"/>
                <w:szCs w:val="18"/>
              </w:rPr>
            </w:pPr>
            <w:r>
              <w:rPr>
                <w:spacing w:val="-2"/>
                <w:sz w:val="18"/>
                <w:szCs w:val="18"/>
              </w:rPr>
              <w:t>按命题设计</w:t>
            </w:r>
          </w:p>
          <w:p w14:paraId="19260AE2">
            <w:pPr>
              <w:pStyle w:val="6"/>
              <w:spacing w:before="25" w:line="217" w:lineRule="auto"/>
              <w:ind w:left="24"/>
              <w:rPr>
                <w:sz w:val="18"/>
                <w:szCs w:val="18"/>
              </w:rPr>
            </w:pPr>
            <w:r>
              <w:rPr>
                <w:spacing w:val="-2"/>
                <w:sz w:val="18"/>
                <w:szCs w:val="18"/>
              </w:rPr>
              <w:t>一款女性晚</w:t>
            </w:r>
          </w:p>
          <w:p w14:paraId="1719DE6D">
            <w:pPr>
              <w:pStyle w:val="6"/>
              <w:spacing w:line="220" w:lineRule="auto"/>
              <w:ind w:left="294"/>
              <w:rPr>
                <w:sz w:val="18"/>
                <w:szCs w:val="18"/>
              </w:rPr>
            </w:pPr>
            <w:r>
              <w:rPr>
                <w:spacing w:val="-3"/>
                <w:sz w:val="18"/>
                <w:szCs w:val="18"/>
              </w:rPr>
              <w:t>礼服</w:t>
            </w:r>
          </w:p>
        </w:tc>
        <w:tc>
          <w:tcPr>
            <w:tcW w:w="439" w:type="dxa"/>
            <w:vMerge w:val="continue"/>
            <w:tcBorders>
              <w:top w:val="nil"/>
              <w:bottom w:val="nil"/>
            </w:tcBorders>
            <w:vAlign w:val="top"/>
          </w:tcPr>
          <w:p w14:paraId="1C4977A6">
            <w:pPr>
              <w:rPr>
                <w:rFonts w:ascii="Arial"/>
                <w:sz w:val="21"/>
              </w:rPr>
            </w:pPr>
          </w:p>
        </w:tc>
        <w:tc>
          <w:tcPr>
            <w:tcW w:w="889" w:type="dxa"/>
            <w:vMerge w:val="continue"/>
            <w:tcBorders>
              <w:top w:val="nil"/>
              <w:bottom w:val="nil"/>
            </w:tcBorders>
            <w:vAlign w:val="top"/>
          </w:tcPr>
          <w:p w14:paraId="05A72391">
            <w:pPr>
              <w:rPr>
                <w:rFonts w:ascii="Arial"/>
                <w:sz w:val="21"/>
              </w:rPr>
            </w:pPr>
          </w:p>
        </w:tc>
        <w:tc>
          <w:tcPr>
            <w:tcW w:w="2922" w:type="dxa"/>
            <w:vMerge w:val="continue"/>
            <w:tcBorders>
              <w:top w:val="nil"/>
              <w:bottom w:val="nil"/>
            </w:tcBorders>
            <w:vAlign w:val="top"/>
          </w:tcPr>
          <w:p w14:paraId="606DC33C">
            <w:pPr>
              <w:rPr>
                <w:rFonts w:ascii="Arial"/>
                <w:sz w:val="21"/>
              </w:rPr>
            </w:pPr>
          </w:p>
        </w:tc>
      </w:tr>
      <w:tr w14:paraId="21872D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13" w:hRule="atLeast"/>
        </w:trPr>
        <w:tc>
          <w:tcPr>
            <w:tcW w:w="574" w:type="dxa"/>
            <w:vMerge w:val="continue"/>
            <w:tcBorders>
              <w:top w:val="nil"/>
              <w:bottom w:val="nil"/>
            </w:tcBorders>
            <w:vAlign w:val="top"/>
          </w:tcPr>
          <w:p w14:paraId="7476ADBB">
            <w:pPr>
              <w:rPr>
                <w:rFonts w:ascii="Arial"/>
                <w:sz w:val="21"/>
              </w:rPr>
            </w:pPr>
          </w:p>
        </w:tc>
        <w:tc>
          <w:tcPr>
            <w:tcW w:w="849" w:type="dxa"/>
            <w:tcBorders>
              <w:top w:val="single" w:color="000000" w:sz="2" w:space="0"/>
              <w:bottom w:val="single" w:color="000000" w:sz="2" w:space="0"/>
            </w:tcBorders>
            <w:vAlign w:val="top"/>
          </w:tcPr>
          <w:p w14:paraId="329DDC69">
            <w:pPr>
              <w:pStyle w:val="6"/>
              <w:spacing w:before="275" w:line="215" w:lineRule="auto"/>
              <w:ind w:left="140"/>
              <w:rPr>
                <w:sz w:val="18"/>
                <w:szCs w:val="18"/>
              </w:rPr>
            </w:pPr>
            <w:r>
              <w:rPr>
                <w:spacing w:val="-3"/>
                <w:sz w:val="18"/>
                <w:szCs w:val="18"/>
              </w:rPr>
              <w:t>项目三</w:t>
            </w:r>
          </w:p>
          <w:p w14:paraId="3CADBC52">
            <w:pPr>
              <w:pStyle w:val="6"/>
              <w:spacing w:line="218" w:lineRule="auto"/>
              <w:ind w:left="50" w:hanging="39"/>
              <w:rPr>
                <w:sz w:val="18"/>
                <w:szCs w:val="18"/>
              </w:rPr>
            </w:pPr>
            <w:r>
              <w:rPr>
                <w:spacing w:val="-17"/>
                <w:sz w:val="18"/>
                <w:szCs w:val="18"/>
              </w:rPr>
              <w:t>女</w:t>
            </w:r>
            <w:r>
              <w:rPr>
                <w:spacing w:val="-16"/>
                <w:sz w:val="18"/>
                <w:szCs w:val="18"/>
              </w:rPr>
              <w:t>式秋季</w:t>
            </w:r>
            <w:r>
              <w:rPr>
                <w:spacing w:val="-10"/>
                <w:sz w:val="18"/>
                <w:szCs w:val="18"/>
              </w:rPr>
              <w:t>职</w:t>
            </w:r>
            <w:r>
              <w:rPr>
                <w:spacing w:val="1"/>
                <w:sz w:val="18"/>
                <w:szCs w:val="18"/>
              </w:rPr>
              <w:t xml:space="preserve"> </w:t>
            </w:r>
            <w:r>
              <w:rPr>
                <w:spacing w:val="-2"/>
                <w:sz w:val="18"/>
                <w:szCs w:val="18"/>
              </w:rPr>
              <w:t>业装设计</w:t>
            </w:r>
          </w:p>
        </w:tc>
        <w:tc>
          <w:tcPr>
            <w:tcW w:w="2068" w:type="dxa"/>
            <w:tcBorders>
              <w:top w:val="single" w:color="000000" w:sz="2" w:space="0"/>
              <w:bottom w:val="single" w:color="000000" w:sz="2" w:space="0"/>
            </w:tcBorders>
            <w:vAlign w:val="top"/>
          </w:tcPr>
          <w:p w14:paraId="41FFA983">
            <w:pPr>
              <w:spacing w:line="277" w:lineRule="auto"/>
              <w:rPr>
                <w:rFonts w:ascii="Arial"/>
                <w:sz w:val="21"/>
              </w:rPr>
            </w:pPr>
          </w:p>
          <w:p w14:paraId="45D55BB0">
            <w:pPr>
              <w:spacing w:line="278" w:lineRule="auto"/>
              <w:rPr>
                <w:rFonts w:ascii="Arial"/>
                <w:sz w:val="21"/>
              </w:rPr>
            </w:pPr>
          </w:p>
          <w:p w14:paraId="588A4664">
            <w:pPr>
              <w:pStyle w:val="6"/>
              <w:spacing w:before="59" w:line="221" w:lineRule="auto"/>
              <w:ind w:left="12"/>
              <w:rPr>
                <w:sz w:val="18"/>
                <w:szCs w:val="18"/>
              </w:rPr>
            </w:pPr>
            <w:r>
              <w:rPr>
                <w:spacing w:val="3"/>
                <w:sz w:val="18"/>
                <w:szCs w:val="18"/>
              </w:rPr>
              <w:t>同上</w:t>
            </w:r>
          </w:p>
        </w:tc>
        <w:tc>
          <w:tcPr>
            <w:tcW w:w="959" w:type="dxa"/>
            <w:tcBorders>
              <w:top w:val="single" w:color="000000" w:sz="2" w:space="0"/>
              <w:bottom w:val="single" w:color="000000" w:sz="2" w:space="0"/>
            </w:tcBorders>
            <w:vAlign w:val="top"/>
          </w:tcPr>
          <w:p w14:paraId="69921AE4">
            <w:pPr>
              <w:pStyle w:val="6"/>
              <w:spacing w:before="275" w:line="215" w:lineRule="auto"/>
              <w:ind w:left="114"/>
              <w:rPr>
                <w:sz w:val="18"/>
                <w:szCs w:val="18"/>
              </w:rPr>
            </w:pPr>
            <w:r>
              <w:rPr>
                <w:spacing w:val="-3"/>
                <w:sz w:val="18"/>
                <w:szCs w:val="18"/>
              </w:rPr>
              <w:t>设计一套</w:t>
            </w:r>
          </w:p>
          <w:p w14:paraId="325E43FB">
            <w:pPr>
              <w:pStyle w:val="6"/>
              <w:spacing w:line="219" w:lineRule="auto"/>
              <w:ind w:left="114"/>
              <w:rPr>
                <w:sz w:val="18"/>
                <w:szCs w:val="18"/>
              </w:rPr>
            </w:pPr>
            <w:r>
              <w:rPr>
                <w:spacing w:val="-3"/>
                <w:sz w:val="18"/>
                <w:szCs w:val="18"/>
              </w:rPr>
              <w:t>女式秋季</w:t>
            </w:r>
          </w:p>
          <w:p w14:paraId="36AF465A">
            <w:pPr>
              <w:pStyle w:val="6"/>
              <w:spacing w:before="6" w:line="220" w:lineRule="auto"/>
              <w:ind w:left="203"/>
              <w:rPr>
                <w:sz w:val="18"/>
                <w:szCs w:val="18"/>
              </w:rPr>
            </w:pPr>
            <w:r>
              <w:rPr>
                <w:spacing w:val="-2"/>
                <w:sz w:val="18"/>
                <w:szCs w:val="18"/>
              </w:rPr>
              <w:t>职业装</w:t>
            </w:r>
          </w:p>
        </w:tc>
        <w:tc>
          <w:tcPr>
            <w:tcW w:w="439" w:type="dxa"/>
            <w:vMerge w:val="continue"/>
            <w:tcBorders>
              <w:top w:val="nil"/>
              <w:bottom w:val="nil"/>
            </w:tcBorders>
            <w:vAlign w:val="top"/>
          </w:tcPr>
          <w:p w14:paraId="691535E9">
            <w:pPr>
              <w:rPr>
                <w:rFonts w:ascii="Arial"/>
                <w:sz w:val="21"/>
              </w:rPr>
            </w:pPr>
          </w:p>
        </w:tc>
        <w:tc>
          <w:tcPr>
            <w:tcW w:w="889" w:type="dxa"/>
            <w:vMerge w:val="continue"/>
            <w:tcBorders>
              <w:top w:val="nil"/>
              <w:bottom w:val="nil"/>
            </w:tcBorders>
            <w:vAlign w:val="top"/>
          </w:tcPr>
          <w:p w14:paraId="517CB10E">
            <w:pPr>
              <w:rPr>
                <w:rFonts w:ascii="Arial"/>
                <w:sz w:val="21"/>
              </w:rPr>
            </w:pPr>
          </w:p>
        </w:tc>
        <w:tc>
          <w:tcPr>
            <w:tcW w:w="2922" w:type="dxa"/>
            <w:vMerge w:val="continue"/>
            <w:tcBorders>
              <w:top w:val="nil"/>
              <w:bottom w:val="nil"/>
            </w:tcBorders>
            <w:vAlign w:val="top"/>
          </w:tcPr>
          <w:p w14:paraId="41F8BD5B">
            <w:pPr>
              <w:rPr>
                <w:rFonts w:ascii="Arial"/>
                <w:sz w:val="21"/>
              </w:rPr>
            </w:pPr>
          </w:p>
        </w:tc>
      </w:tr>
      <w:tr w14:paraId="277AA7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9" w:hRule="atLeast"/>
        </w:trPr>
        <w:tc>
          <w:tcPr>
            <w:tcW w:w="574" w:type="dxa"/>
            <w:vMerge w:val="continue"/>
            <w:tcBorders>
              <w:top w:val="nil"/>
              <w:bottom w:val="single" w:color="000000" w:sz="2" w:space="0"/>
            </w:tcBorders>
            <w:vAlign w:val="top"/>
          </w:tcPr>
          <w:p w14:paraId="15EEE408">
            <w:pPr>
              <w:rPr>
                <w:rFonts w:ascii="Arial"/>
                <w:sz w:val="21"/>
              </w:rPr>
            </w:pPr>
          </w:p>
        </w:tc>
        <w:tc>
          <w:tcPr>
            <w:tcW w:w="849" w:type="dxa"/>
            <w:tcBorders>
              <w:top w:val="single" w:color="000000" w:sz="2" w:space="0"/>
              <w:bottom w:val="single" w:color="000000" w:sz="2" w:space="0"/>
            </w:tcBorders>
            <w:vAlign w:val="top"/>
          </w:tcPr>
          <w:p w14:paraId="5BF44B75">
            <w:pPr>
              <w:pStyle w:val="6"/>
              <w:spacing w:before="189" w:line="213" w:lineRule="auto"/>
              <w:ind w:left="51" w:right="49" w:firstLine="89"/>
              <w:jc w:val="both"/>
              <w:rPr>
                <w:sz w:val="18"/>
                <w:szCs w:val="18"/>
              </w:rPr>
            </w:pPr>
            <w:r>
              <w:rPr>
                <w:spacing w:val="6"/>
                <w:sz w:val="18"/>
                <w:szCs w:val="18"/>
              </w:rPr>
              <w:t>项目四</w:t>
            </w:r>
            <w:r>
              <w:rPr>
                <w:sz w:val="18"/>
                <w:szCs w:val="18"/>
              </w:rPr>
              <w:t xml:space="preserve">  </w:t>
            </w:r>
            <w:r>
              <w:rPr>
                <w:spacing w:val="4"/>
                <w:sz w:val="18"/>
                <w:szCs w:val="18"/>
              </w:rPr>
              <w:t>男士休闲</w:t>
            </w:r>
            <w:r>
              <w:rPr>
                <w:spacing w:val="1"/>
                <w:sz w:val="18"/>
                <w:szCs w:val="18"/>
              </w:rPr>
              <w:t xml:space="preserve"> </w:t>
            </w:r>
            <w:r>
              <w:rPr>
                <w:spacing w:val="-2"/>
                <w:sz w:val="18"/>
                <w:szCs w:val="18"/>
              </w:rPr>
              <w:t>外套设计</w:t>
            </w:r>
          </w:p>
        </w:tc>
        <w:tc>
          <w:tcPr>
            <w:tcW w:w="2068" w:type="dxa"/>
            <w:tcBorders>
              <w:top w:val="single" w:color="000000" w:sz="2" w:space="0"/>
              <w:bottom w:val="single" w:color="000000" w:sz="2" w:space="0"/>
            </w:tcBorders>
            <w:vAlign w:val="top"/>
          </w:tcPr>
          <w:p w14:paraId="58080877">
            <w:pPr>
              <w:spacing w:line="309" w:lineRule="auto"/>
              <w:rPr>
                <w:rFonts w:ascii="Arial"/>
                <w:sz w:val="21"/>
              </w:rPr>
            </w:pPr>
          </w:p>
          <w:p w14:paraId="225210ED">
            <w:pPr>
              <w:pStyle w:val="6"/>
              <w:spacing w:before="58" w:line="221" w:lineRule="auto"/>
              <w:ind w:left="12"/>
              <w:rPr>
                <w:sz w:val="18"/>
                <w:szCs w:val="18"/>
              </w:rPr>
            </w:pPr>
            <w:r>
              <w:rPr>
                <w:spacing w:val="3"/>
                <w:sz w:val="18"/>
                <w:szCs w:val="18"/>
              </w:rPr>
              <w:t>同上</w:t>
            </w:r>
          </w:p>
        </w:tc>
        <w:tc>
          <w:tcPr>
            <w:tcW w:w="959" w:type="dxa"/>
            <w:tcBorders>
              <w:top w:val="single" w:color="000000" w:sz="2" w:space="0"/>
              <w:bottom w:val="single" w:color="000000" w:sz="2" w:space="0"/>
            </w:tcBorders>
            <w:vAlign w:val="top"/>
          </w:tcPr>
          <w:p w14:paraId="252BFFF7">
            <w:pPr>
              <w:pStyle w:val="6"/>
              <w:spacing w:before="294" w:line="212" w:lineRule="auto"/>
              <w:ind w:left="26" w:right="7"/>
              <w:rPr>
                <w:sz w:val="18"/>
                <w:szCs w:val="18"/>
              </w:rPr>
            </w:pPr>
            <w:r>
              <w:rPr>
                <w:b/>
                <w:bCs/>
                <w:spacing w:val="1"/>
                <w:sz w:val="18"/>
                <w:szCs w:val="18"/>
              </w:rPr>
              <w:t>设计一款男</w:t>
            </w:r>
            <w:r>
              <w:rPr>
                <w:sz w:val="18"/>
                <w:szCs w:val="18"/>
              </w:rPr>
              <w:t xml:space="preserve"> </w:t>
            </w:r>
            <w:r>
              <w:rPr>
                <w:b/>
                <w:bCs/>
                <w:spacing w:val="-4"/>
                <w:sz w:val="18"/>
                <w:szCs w:val="18"/>
              </w:rPr>
              <w:t>士休闲外套</w:t>
            </w:r>
          </w:p>
        </w:tc>
        <w:tc>
          <w:tcPr>
            <w:tcW w:w="439" w:type="dxa"/>
            <w:vMerge w:val="continue"/>
            <w:tcBorders>
              <w:top w:val="nil"/>
              <w:bottom w:val="single" w:color="000000" w:sz="2" w:space="0"/>
            </w:tcBorders>
            <w:vAlign w:val="top"/>
          </w:tcPr>
          <w:p w14:paraId="1E28BF07">
            <w:pPr>
              <w:rPr>
                <w:rFonts w:ascii="Arial"/>
                <w:sz w:val="21"/>
              </w:rPr>
            </w:pPr>
          </w:p>
        </w:tc>
        <w:tc>
          <w:tcPr>
            <w:tcW w:w="889" w:type="dxa"/>
            <w:vMerge w:val="continue"/>
            <w:tcBorders>
              <w:top w:val="nil"/>
              <w:bottom w:val="single" w:color="000000" w:sz="2" w:space="0"/>
            </w:tcBorders>
            <w:vAlign w:val="top"/>
          </w:tcPr>
          <w:p w14:paraId="3BBDB888">
            <w:pPr>
              <w:rPr>
                <w:rFonts w:ascii="Arial"/>
                <w:sz w:val="21"/>
              </w:rPr>
            </w:pPr>
          </w:p>
        </w:tc>
        <w:tc>
          <w:tcPr>
            <w:tcW w:w="2922" w:type="dxa"/>
            <w:vMerge w:val="continue"/>
            <w:tcBorders>
              <w:top w:val="nil"/>
              <w:bottom w:val="single" w:color="000000" w:sz="2" w:space="0"/>
            </w:tcBorders>
            <w:vAlign w:val="top"/>
          </w:tcPr>
          <w:p w14:paraId="2C1BD293">
            <w:pPr>
              <w:rPr>
                <w:rFonts w:ascii="Arial"/>
                <w:sz w:val="21"/>
              </w:rPr>
            </w:pPr>
          </w:p>
        </w:tc>
      </w:tr>
    </w:tbl>
    <w:p w14:paraId="544F86C2">
      <w:pPr>
        <w:pStyle w:val="2"/>
        <w:spacing w:line="14" w:lineRule="auto"/>
        <w:rPr>
          <w:sz w:val="2"/>
        </w:rPr>
      </w:pPr>
    </w:p>
    <w:p w14:paraId="30F017E0">
      <w:pPr>
        <w:spacing w:line="14" w:lineRule="auto"/>
        <w:rPr>
          <w:sz w:val="2"/>
          <w:szCs w:val="2"/>
        </w:rPr>
        <w:sectPr>
          <w:type w:val="continuous"/>
          <w:pgSz w:w="10660" w:h="15080"/>
          <w:pgMar w:top="400" w:right="885" w:bottom="925" w:left="1004" w:header="0" w:footer="705" w:gutter="0"/>
          <w:cols w:equalWidth="0" w:num="1">
            <w:col w:w="8770"/>
          </w:cols>
        </w:sectPr>
      </w:pPr>
    </w:p>
    <w:p w14:paraId="22FBFD62">
      <w:pPr>
        <w:spacing w:before="8"/>
      </w:pPr>
    </w:p>
    <w:p w14:paraId="0C81CE6C">
      <w:pPr>
        <w:spacing w:before="7"/>
      </w:pPr>
    </w:p>
    <w:p w14:paraId="5CE32896">
      <w:pPr>
        <w:spacing w:before="7"/>
      </w:pPr>
    </w:p>
    <w:p w14:paraId="0CAC15D9">
      <w:pPr>
        <w:spacing w:before="7"/>
      </w:pPr>
    </w:p>
    <w:tbl>
      <w:tblPr>
        <w:tblStyle w:val="5"/>
        <w:tblW w:w="8699" w:type="dxa"/>
        <w:tblInd w:w="9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84"/>
        <w:gridCol w:w="829"/>
        <w:gridCol w:w="2087"/>
        <w:gridCol w:w="959"/>
        <w:gridCol w:w="439"/>
        <w:gridCol w:w="879"/>
        <w:gridCol w:w="2922"/>
      </w:tblGrid>
      <w:tr w14:paraId="6334C5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4" w:hRule="atLeast"/>
        </w:trPr>
        <w:tc>
          <w:tcPr>
            <w:tcW w:w="584" w:type="dxa"/>
            <w:vAlign w:val="top"/>
          </w:tcPr>
          <w:p w14:paraId="34A334C7">
            <w:pPr>
              <w:pStyle w:val="6"/>
              <w:spacing w:before="180" w:line="219" w:lineRule="auto"/>
              <w:ind w:left="97"/>
              <w:rPr>
                <w:sz w:val="19"/>
                <w:szCs w:val="19"/>
              </w:rPr>
            </w:pPr>
            <w:r>
              <w:rPr>
                <w:b/>
                <w:bCs/>
                <w:spacing w:val="-4"/>
                <w:sz w:val="19"/>
                <w:szCs w:val="19"/>
              </w:rPr>
              <w:t>模块</w:t>
            </w:r>
          </w:p>
        </w:tc>
        <w:tc>
          <w:tcPr>
            <w:tcW w:w="829" w:type="dxa"/>
            <w:vAlign w:val="top"/>
          </w:tcPr>
          <w:p w14:paraId="632A71C9">
            <w:pPr>
              <w:pStyle w:val="6"/>
              <w:spacing w:before="72" w:line="221" w:lineRule="auto"/>
              <w:ind w:left="213" w:right="194"/>
              <w:rPr>
                <w:sz w:val="19"/>
                <w:szCs w:val="19"/>
              </w:rPr>
            </w:pPr>
            <w:r>
              <w:rPr>
                <w:b/>
                <w:bCs/>
                <w:spacing w:val="-7"/>
                <w:sz w:val="19"/>
                <w:szCs w:val="19"/>
              </w:rPr>
              <w:t>测试</w:t>
            </w:r>
            <w:r>
              <w:rPr>
                <w:sz w:val="19"/>
                <w:szCs w:val="19"/>
              </w:rPr>
              <w:t xml:space="preserve"> </w:t>
            </w:r>
            <w:r>
              <w:rPr>
                <w:b/>
                <w:bCs/>
                <w:spacing w:val="13"/>
                <w:sz w:val="19"/>
                <w:szCs w:val="19"/>
              </w:rPr>
              <w:t>项目</w:t>
            </w:r>
          </w:p>
        </w:tc>
        <w:tc>
          <w:tcPr>
            <w:tcW w:w="2087" w:type="dxa"/>
            <w:vAlign w:val="top"/>
          </w:tcPr>
          <w:p w14:paraId="63B90248">
            <w:pPr>
              <w:pStyle w:val="6"/>
              <w:spacing w:before="181" w:line="221" w:lineRule="auto"/>
              <w:ind w:left="714"/>
              <w:rPr>
                <w:sz w:val="19"/>
                <w:szCs w:val="19"/>
              </w:rPr>
            </w:pPr>
            <w:r>
              <w:rPr>
                <w:b/>
                <w:bCs/>
                <w:spacing w:val="-4"/>
                <w:sz w:val="19"/>
                <w:szCs w:val="19"/>
              </w:rPr>
              <w:t>测试用具</w:t>
            </w:r>
          </w:p>
        </w:tc>
        <w:tc>
          <w:tcPr>
            <w:tcW w:w="959" w:type="dxa"/>
            <w:vAlign w:val="top"/>
          </w:tcPr>
          <w:p w14:paraId="61751557">
            <w:pPr>
              <w:pStyle w:val="6"/>
              <w:spacing w:before="91" w:line="211" w:lineRule="auto"/>
              <w:ind w:left="287" w:right="277"/>
              <w:rPr>
                <w:sz w:val="19"/>
                <w:szCs w:val="19"/>
              </w:rPr>
            </w:pPr>
            <w:r>
              <w:rPr>
                <w:b/>
                <w:bCs/>
                <w:spacing w:val="-7"/>
                <w:sz w:val="19"/>
                <w:szCs w:val="19"/>
              </w:rPr>
              <w:t>测试</w:t>
            </w:r>
            <w:r>
              <w:rPr>
                <w:sz w:val="19"/>
                <w:szCs w:val="19"/>
              </w:rPr>
              <w:t xml:space="preserve"> </w:t>
            </w:r>
            <w:r>
              <w:rPr>
                <w:b/>
                <w:bCs/>
                <w:sz w:val="19"/>
                <w:szCs w:val="19"/>
              </w:rPr>
              <w:t>内容</w:t>
            </w:r>
          </w:p>
        </w:tc>
        <w:tc>
          <w:tcPr>
            <w:tcW w:w="439" w:type="dxa"/>
            <w:shd w:val="clear" w:color="auto" w:fill="231F20"/>
            <w:vAlign w:val="top"/>
          </w:tcPr>
          <w:p w14:paraId="0F630BCB">
            <w:pPr>
              <w:pStyle w:val="6"/>
              <w:spacing w:before="71" w:line="222" w:lineRule="auto"/>
              <w:ind w:left="28" w:right="28"/>
              <w:rPr>
                <w:sz w:val="19"/>
                <w:szCs w:val="19"/>
              </w:rPr>
            </w:pPr>
            <w:r>
              <w:rPr>
                <w:b/>
                <w:bCs/>
                <w:color w:val="FFFFFF"/>
                <w:spacing w:val="-7"/>
                <w:sz w:val="19"/>
                <w:szCs w:val="19"/>
              </w:rPr>
              <w:t>测试</w:t>
            </w:r>
            <w:r>
              <w:rPr>
                <w:color w:val="FFFFFF"/>
                <w:sz w:val="19"/>
                <w:szCs w:val="19"/>
              </w:rPr>
              <w:t xml:space="preserve"> </w:t>
            </w:r>
            <w:r>
              <w:rPr>
                <w:b/>
                <w:bCs/>
                <w:color w:val="FFFFFF"/>
                <w:spacing w:val="-7"/>
                <w:sz w:val="19"/>
                <w:szCs w:val="19"/>
              </w:rPr>
              <w:t>方法</w:t>
            </w:r>
          </w:p>
        </w:tc>
        <w:tc>
          <w:tcPr>
            <w:tcW w:w="879" w:type="dxa"/>
            <w:vAlign w:val="top"/>
          </w:tcPr>
          <w:p w14:paraId="6E28A456">
            <w:pPr>
              <w:pStyle w:val="6"/>
              <w:spacing w:before="181" w:line="221" w:lineRule="auto"/>
              <w:ind w:left="59"/>
              <w:rPr>
                <w:sz w:val="19"/>
                <w:szCs w:val="19"/>
              </w:rPr>
            </w:pPr>
            <w:r>
              <w:rPr>
                <w:b/>
                <w:bCs/>
                <w:spacing w:val="-4"/>
                <w:sz w:val="19"/>
                <w:szCs w:val="19"/>
              </w:rPr>
              <w:t>测试要求</w:t>
            </w:r>
          </w:p>
        </w:tc>
        <w:tc>
          <w:tcPr>
            <w:tcW w:w="2922" w:type="dxa"/>
            <w:vAlign w:val="top"/>
          </w:tcPr>
          <w:p w14:paraId="600ECCC3">
            <w:pPr>
              <w:pStyle w:val="6"/>
              <w:spacing w:before="180" w:line="219" w:lineRule="auto"/>
              <w:ind w:left="1130"/>
              <w:rPr>
                <w:sz w:val="19"/>
                <w:szCs w:val="19"/>
              </w:rPr>
            </w:pPr>
            <w:r>
              <w:rPr>
                <w:b/>
                <w:bCs/>
                <w:spacing w:val="-4"/>
                <w:sz w:val="19"/>
                <w:szCs w:val="19"/>
              </w:rPr>
              <w:t>赋分参考</w:t>
            </w:r>
          </w:p>
        </w:tc>
      </w:tr>
      <w:tr w14:paraId="678D19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38" w:hRule="atLeast"/>
        </w:trPr>
        <w:tc>
          <w:tcPr>
            <w:tcW w:w="584" w:type="dxa"/>
            <w:vMerge w:val="restart"/>
            <w:tcBorders>
              <w:bottom w:val="nil"/>
            </w:tcBorders>
            <w:vAlign w:val="top"/>
          </w:tcPr>
          <w:p w14:paraId="729683C2">
            <w:pPr>
              <w:spacing w:line="244" w:lineRule="auto"/>
              <w:rPr>
                <w:rFonts w:ascii="Arial"/>
                <w:sz w:val="21"/>
              </w:rPr>
            </w:pPr>
          </w:p>
          <w:p w14:paraId="68BBD817">
            <w:pPr>
              <w:spacing w:line="244" w:lineRule="auto"/>
              <w:rPr>
                <w:rFonts w:ascii="Arial"/>
                <w:sz w:val="21"/>
              </w:rPr>
            </w:pPr>
          </w:p>
          <w:p w14:paraId="4D857163">
            <w:pPr>
              <w:spacing w:line="244" w:lineRule="auto"/>
              <w:rPr>
                <w:rFonts w:ascii="Arial"/>
                <w:sz w:val="21"/>
              </w:rPr>
            </w:pPr>
          </w:p>
          <w:p w14:paraId="0C1D2C32">
            <w:pPr>
              <w:spacing w:line="244" w:lineRule="auto"/>
              <w:rPr>
                <w:rFonts w:ascii="Arial"/>
                <w:sz w:val="21"/>
              </w:rPr>
            </w:pPr>
          </w:p>
          <w:p w14:paraId="42313E72">
            <w:pPr>
              <w:spacing w:line="244" w:lineRule="auto"/>
              <w:rPr>
                <w:rFonts w:ascii="Arial"/>
                <w:sz w:val="21"/>
              </w:rPr>
            </w:pPr>
          </w:p>
          <w:p w14:paraId="11D41D63">
            <w:pPr>
              <w:spacing w:line="244" w:lineRule="auto"/>
              <w:rPr>
                <w:rFonts w:ascii="Arial"/>
                <w:sz w:val="21"/>
              </w:rPr>
            </w:pPr>
          </w:p>
          <w:p w14:paraId="751275A7">
            <w:pPr>
              <w:spacing w:line="244" w:lineRule="auto"/>
              <w:rPr>
                <w:rFonts w:ascii="Arial"/>
                <w:sz w:val="21"/>
              </w:rPr>
            </w:pPr>
          </w:p>
          <w:p w14:paraId="071CA185">
            <w:pPr>
              <w:spacing w:line="244" w:lineRule="auto"/>
              <w:rPr>
                <w:rFonts w:ascii="Arial"/>
                <w:sz w:val="21"/>
              </w:rPr>
            </w:pPr>
          </w:p>
          <w:p w14:paraId="37BA977A">
            <w:pPr>
              <w:spacing w:line="244" w:lineRule="auto"/>
              <w:rPr>
                <w:rFonts w:ascii="Arial"/>
                <w:sz w:val="21"/>
              </w:rPr>
            </w:pPr>
          </w:p>
          <w:p w14:paraId="34F9D19B">
            <w:pPr>
              <w:spacing w:line="244" w:lineRule="auto"/>
              <w:rPr>
                <w:rFonts w:ascii="Arial"/>
                <w:sz w:val="21"/>
              </w:rPr>
            </w:pPr>
          </w:p>
          <w:p w14:paraId="5A258B77">
            <w:pPr>
              <w:spacing w:line="244" w:lineRule="auto"/>
              <w:rPr>
                <w:rFonts w:ascii="Arial"/>
                <w:sz w:val="21"/>
              </w:rPr>
            </w:pPr>
          </w:p>
          <w:p w14:paraId="084FA820">
            <w:pPr>
              <w:spacing w:line="245" w:lineRule="auto"/>
              <w:rPr>
                <w:rFonts w:ascii="Arial"/>
                <w:sz w:val="21"/>
              </w:rPr>
            </w:pPr>
          </w:p>
          <w:p w14:paraId="1C5FF113">
            <w:pPr>
              <w:pStyle w:val="6"/>
              <w:spacing w:before="62" w:line="207" w:lineRule="auto"/>
              <w:ind w:left="14"/>
              <w:rPr>
                <w:sz w:val="19"/>
                <w:szCs w:val="19"/>
              </w:rPr>
            </w:pPr>
            <w:r>
              <w:rPr>
                <w:spacing w:val="-4"/>
                <w:sz w:val="19"/>
                <w:szCs w:val="19"/>
              </w:rPr>
              <w:t>服装结</w:t>
            </w:r>
            <w:r>
              <w:rPr>
                <w:sz w:val="19"/>
                <w:szCs w:val="19"/>
              </w:rPr>
              <w:t xml:space="preserve"> </w:t>
            </w:r>
            <w:r>
              <w:rPr>
                <w:spacing w:val="-5"/>
                <w:sz w:val="19"/>
                <w:szCs w:val="19"/>
              </w:rPr>
              <w:t>构制图</w:t>
            </w:r>
          </w:p>
        </w:tc>
        <w:tc>
          <w:tcPr>
            <w:tcW w:w="829" w:type="dxa"/>
            <w:vAlign w:val="top"/>
          </w:tcPr>
          <w:p w14:paraId="438ABBB3">
            <w:pPr>
              <w:spacing w:line="242" w:lineRule="auto"/>
              <w:rPr>
                <w:rFonts w:ascii="Arial"/>
                <w:sz w:val="21"/>
              </w:rPr>
            </w:pPr>
          </w:p>
          <w:p w14:paraId="1520AB56">
            <w:pPr>
              <w:spacing w:line="243" w:lineRule="auto"/>
              <w:rPr>
                <w:rFonts w:ascii="Arial"/>
                <w:sz w:val="21"/>
              </w:rPr>
            </w:pPr>
          </w:p>
          <w:p w14:paraId="49CE88F0">
            <w:pPr>
              <w:spacing w:line="243" w:lineRule="auto"/>
              <w:rPr>
                <w:rFonts w:ascii="Arial"/>
                <w:sz w:val="21"/>
              </w:rPr>
            </w:pPr>
          </w:p>
          <w:p w14:paraId="69EB3906">
            <w:pPr>
              <w:spacing w:line="243" w:lineRule="auto"/>
              <w:rPr>
                <w:rFonts w:ascii="Arial"/>
                <w:sz w:val="21"/>
              </w:rPr>
            </w:pPr>
          </w:p>
          <w:p w14:paraId="5E7A9233">
            <w:pPr>
              <w:pStyle w:val="6"/>
              <w:spacing w:before="62" w:line="203" w:lineRule="auto"/>
              <w:ind w:left="120"/>
              <w:rPr>
                <w:sz w:val="19"/>
                <w:szCs w:val="19"/>
              </w:rPr>
            </w:pPr>
            <w:r>
              <w:rPr>
                <w:spacing w:val="-3"/>
                <w:sz w:val="19"/>
                <w:szCs w:val="19"/>
              </w:rPr>
              <w:t>项目五</w:t>
            </w:r>
          </w:p>
          <w:p w14:paraId="524A042A">
            <w:pPr>
              <w:pStyle w:val="6"/>
              <w:spacing w:line="214" w:lineRule="auto"/>
              <w:ind w:left="20"/>
              <w:rPr>
                <w:sz w:val="19"/>
                <w:szCs w:val="19"/>
              </w:rPr>
            </w:pPr>
            <w:r>
              <w:rPr>
                <w:spacing w:val="3"/>
                <w:sz w:val="19"/>
                <w:szCs w:val="19"/>
              </w:rPr>
              <w:t>女裙结构</w:t>
            </w:r>
          </w:p>
          <w:p w14:paraId="70E38ADF">
            <w:pPr>
              <w:pStyle w:val="6"/>
              <w:spacing w:line="220" w:lineRule="auto"/>
              <w:ind w:left="210"/>
              <w:rPr>
                <w:sz w:val="19"/>
                <w:szCs w:val="19"/>
              </w:rPr>
            </w:pPr>
            <w:r>
              <w:rPr>
                <w:spacing w:val="8"/>
                <w:sz w:val="19"/>
                <w:szCs w:val="19"/>
              </w:rPr>
              <w:t>制图</w:t>
            </w:r>
          </w:p>
        </w:tc>
        <w:tc>
          <w:tcPr>
            <w:tcW w:w="2087" w:type="dxa"/>
            <w:vAlign w:val="top"/>
          </w:tcPr>
          <w:p w14:paraId="6EB0A1FE">
            <w:pPr>
              <w:spacing w:line="304" w:lineRule="auto"/>
              <w:rPr>
                <w:rFonts w:ascii="Arial"/>
                <w:sz w:val="21"/>
              </w:rPr>
            </w:pPr>
          </w:p>
          <w:p w14:paraId="709E2E98">
            <w:pPr>
              <w:pStyle w:val="6"/>
              <w:spacing w:before="61" w:line="210" w:lineRule="auto"/>
              <w:ind w:left="11" w:right="293" w:firstLine="20"/>
              <w:rPr>
                <w:sz w:val="19"/>
                <w:szCs w:val="19"/>
              </w:rPr>
            </w:pPr>
            <w:r>
              <w:rPr>
                <w:spacing w:val="3"/>
                <w:sz w:val="19"/>
                <w:szCs w:val="19"/>
              </w:rPr>
              <w:t>1.绘图桌(单人课桌)</w:t>
            </w:r>
            <w:r>
              <w:rPr>
                <w:spacing w:val="7"/>
                <w:sz w:val="19"/>
                <w:szCs w:val="19"/>
              </w:rPr>
              <w:t xml:space="preserve"> </w:t>
            </w:r>
            <w:r>
              <w:rPr>
                <w:spacing w:val="-2"/>
                <w:sz w:val="19"/>
                <w:szCs w:val="19"/>
              </w:rPr>
              <w:t>2.绘图纸张</w:t>
            </w:r>
          </w:p>
          <w:p w14:paraId="3E0F6B59">
            <w:pPr>
              <w:pStyle w:val="6"/>
              <w:spacing w:line="220" w:lineRule="auto"/>
              <w:ind w:left="71"/>
              <w:rPr>
                <w:sz w:val="19"/>
                <w:szCs w:val="19"/>
              </w:rPr>
            </w:pPr>
            <w:r>
              <w:rPr>
                <w:sz w:val="19"/>
                <w:szCs w:val="19"/>
              </w:rPr>
              <w:t>(8开375mm×260mm或</w:t>
            </w:r>
          </w:p>
          <w:p w14:paraId="4A052F24">
            <w:pPr>
              <w:pStyle w:val="6"/>
              <w:spacing w:line="209" w:lineRule="auto"/>
              <w:ind w:left="21" w:right="47" w:hanging="10"/>
              <w:rPr>
                <w:sz w:val="19"/>
                <w:szCs w:val="19"/>
              </w:rPr>
            </w:pPr>
            <w:r>
              <w:rPr>
                <w:spacing w:val="25"/>
                <w:sz w:val="19"/>
                <w:szCs w:val="19"/>
              </w:rPr>
              <w:t>4开520mm×375mm)</w:t>
            </w:r>
            <w:r>
              <w:rPr>
                <w:spacing w:val="5"/>
                <w:sz w:val="19"/>
                <w:szCs w:val="19"/>
              </w:rPr>
              <w:t xml:space="preserve">  </w:t>
            </w:r>
            <w:r>
              <w:rPr>
                <w:spacing w:val="-1"/>
                <w:sz w:val="19"/>
                <w:szCs w:val="19"/>
              </w:rPr>
              <w:t>3.绘图工具(画板/直尺/</w:t>
            </w:r>
            <w:r>
              <w:rPr>
                <w:sz w:val="19"/>
                <w:szCs w:val="19"/>
              </w:rPr>
              <w:t xml:space="preserve"> </w:t>
            </w:r>
            <w:r>
              <w:rPr>
                <w:spacing w:val="1"/>
                <w:sz w:val="19"/>
                <w:szCs w:val="19"/>
              </w:rPr>
              <w:t>比例尺/曲线板/铅笔/橡</w:t>
            </w:r>
            <w:r>
              <w:rPr>
                <w:sz w:val="19"/>
                <w:szCs w:val="19"/>
              </w:rPr>
              <w:t xml:space="preserve"> </w:t>
            </w:r>
            <w:r>
              <w:rPr>
                <w:spacing w:val="5"/>
                <w:sz w:val="19"/>
                <w:szCs w:val="19"/>
              </w:rPr>
              <w:t>皮等，考生自备)</w:t>
            </w:r>
          </w:p>
          <w:p w14:paraId="4CA5EF86">
            <w:pPr>
              <w:pStyle w:val="6"/>
              <w:spacing w:before="1" w:line="226" w:lineRule="auto"/>
              <w:ind w:left="31" w:right="161" w:hanging="10"/>
              <w:rPr>
                <w:sz w:val="19"/>
                <w:szCs w:val="19"/>
              </w:rPr>
            </w:pPr>
            <w:r>
              <w:rPr>
                <w:spacing w:val="-1"/>
                <w:sz w:val="19"/>
                <w:szCs w:val="19"/>
              </w:rPr>
              <w:t>4.其它(如：剪刀/圆规</w:t>
            </w:r>
            <w:r>
              <w:rPr>
                <w:spacing w:val="4"/>
                <w:sz w:val="19"/>
                <w:szCs w:val="19"/>
              </w:rPr>
              <w:t xml:space="preserve"> </w:t>
            </w:r>
            <w:r>
              <w:rPr>
                <w:spacing w:val="5"/>
                <w:sz w:val="19"/>
                <w:szCs w:val="19"/>
              </w:rPr>
              <w:t>等，考生自备)</w:t>
            </w:r>
          </w:p>
        </w:tc>
        <w:tc>
          <w:tcPr>
            <w:tcW w:w="959" w:type="dxa"/>
            <w:vAlign w:val="top"/>
          </w:tcPr>
          <w:p w14:paraId="5B3D5705">
            <w:pPr>
              <w:spacing w:line="280" w:lineRule="auto"/>
              <w:rPr>
                <w:rFonts w:ascii="Arial"/>
                <w:sz w:val="21"/>
              </w:rPr>
            </w:pPr>
          </w:p>
          <w:p w14:paraId="216F3593">
            <w:pPr>
              <w:spacing w:line="281" w:lineRule="auto"/>
              <w:rPr>
                <w:rFonts w:ascii="Arial"/>
                <w:sz w:val="21"/>
              </w:rPr>
            </w:pPr>
          </w:p>
          <w:p w14:paraId="0B11FF60">
            <w:pPr>
              <w:spacing w:line="281" w:lineRule="auto"/>
              <w:rPr>
                <w:rFonts w:ascii="Arial"/>
                <w:sz w:val="21"/>
              </w:rPr>
            </w:pPr>
          </w:p>
          <w:p w14:paraId="57A6B0AD">
            <w:pPr>
              <w:pStyle w:val="6"/>
              <w:spacing w:before="61" w:line="219" w:lineRule="auto"/>
              <w:ind w:left="94"/>
              <w:rPr>
                <w:sz w:val="19"/>
                <w:szCs w:val="19"/>
              </w:rPr>
            </w:pPr>
            <w:r>
              <w:rPr>
                <w:spacing w:val="-3"/>
                <w:sz w:val="19"/>
                <w:szCs w:val="19"/>
              </w:rPr>
              <w:t>女裙款式</w:t>
            </w:r>
          </w:p>
          <w:p w14:paraId="0CE11E10">
            <w:pPr>
              <w:pStyle w:val="6"/>
              <w:spacing w:before="13" w:line="197" w:lineRule="auto"/>
              <w:ind w:left="44"/>
              <w:rPr>
                <w:sz w:val="19"/>
                <w:szCs w:val="19"/>
              </w:rPr>
            </w:pPr>
            <w:r>
              <w:rPr>
                <w:spacing w:val="-2"/>
                <w:sz w:val="19"/>
                <w:szCs w:val="19"/>
              </w:rPr>
              <w:t>变化(含旗</w:t>
            </w:r>
          </w:p>
          <w:p w14:paraId="6063FC97">
            <w:pPr>
              <w:pStyle w:val="6"/>
              <w:spacing w:line="221" w:lineRule="auto"/>
              <w:ind w:left="324"/>
              <w:rPr>
                <w:sz w:val="19"/>
                <w:szCs w:val="19"/>
              </w:rPr>
            </w:pPr>
            <w:r>
              <w:rPr>
                <w:spacing w:val="-4"/>
                <w:sz w:val="19"/>
                <w:szCs w:val="19"/>
              </w:rPr>
              <w:t>袍</w:t>
            </w:r>
            <w:r>
              <w:rPr>
                <w:spacing w:val="-34"/>
                <w:sz w:val="19"/>
                <w:szCs w:val="19"/>
              </w:rPr>
              <w:t xml:space="preserve"> </w:t>
            </w:r>
            <w:r>
              <w:rPr>
                <w:spacing w:val="-4"/>
                <w:sz w:val="19"/>
                <w:szCs w:val="19"/>
              </w:rPr>
              <w:t>)</w:t>
            </w:r>
          </w:p>
        </w:tc>
        <w:tc>
          <w:tcPr>
            <w:tcW w:w="439" w:type="dxa"/>
            <w:vMerge w:val="restart"/>
            <w:tcBorders>
              <w:bottom w:val="nil"/>
            </w:tcBorders>
            <w:vAlign w:val="top"/>
          </w:tcPr>
          <w:p w14:paraId="2EDCCDFC">
            <w:pPr>
              <w:spacing w:line="245" w:lineRule="auto"/>
              <w:rPr>
                <w:rFonts w:ascii="Arial"/>
                <w:sz w:val="21"/>
              </w:rPr>
            </w:pPr>
          </w:p>
          <w:p w14:paraId="10FB1021">
            <w:pPr>
              <w:spacing w:line="245" w:lineRule="auto"/>
              <w:rPr>
                <w:rFonts w:ascii="Arial"/>
                <w:sz w:val="21"/>
              </w:rPr>
            </w:pPr>
          </w:p>
          <w:p w14:paraId="6F25FC02">
            <w:pPr>
              <w:spacing w:line="246" w:lineRule="auto"/>
              <w:rPr>
                <w:rFonts w:ascii="Arial"/>
                <w:sz w:val="21"/>
              </w:rPr>
            </w:pPr>
          </w:p>
          <w:p w14:paraId="66721972">
            <w:pPr>
              <w:spacing w:line="246" w:lineRule="auto"/>
              <w:rPr>
                <w:rFonts w:ascii="Arial"/>
                <w:sz w:val="21"/>
              </w:rPr>
            </w:pPr>
          </w:p>
          <w:p w14:paraId="56AC9839">
            <w:pPr>
              <w:spacing w:line="246" w:lineRule="auto"/>
              <w:rPr>
                <w:rFonts w:ascii="Arial"/>
                <w:sz w:val="21"/>
              </w:rPr>
            </w:pPr>
          </w:p>
          <w:p w14:paraId="3BFCCDDD">
            <w:pPr>
              <w:spacing w:line="246" w:lineRule="auto"/>
              <w:rPr>
                <w:rFonts w:ascii="Arial"/>
                <w:sz w:val="21"/>
              </w:rPr>
            </w:pPr>
          </w:p>
          <w:p w14:paraId="666FC98E">
            <w:pPr>
              <w:spacing w:line="246" w:lineRule="auto"/>
              <w:rPr>
                <w:rFonts w:ascii="Arial"/>
                <w:sz w:val="21"/>
              </w:rPr>
            </w:pPr>
          </w:p>
          <w:p w14:paraId="7F673298">
            <w:pPr>
              <w:spacing w:line="246" w:lineRule="auto"/>
              <w:rPr>
                <w:rFonts w:ascii="Arial"/>
                <w:sz w:val="21"/>
              </w:rPr>
            </w:pPr>
          </w:p>
          <w:p w14:paraId="749AFCB4">
            <w:pPr>
              <w:spacing w:line="246" w:lineRule="auto"/>
              <w:rPr>
                <w:rFonts w:ascii="Arial"/>
                <w:sz w:val="21"/>
              </w:rPr>
            </w:pPr>
          </w:p>
          <w:p w14:paraId="099ACD56">
            <w:pPr>
              <w:spacing w:line="246" w:lineRule="auto"/>
              <w:rPr>
                <w:rFonts w:ascii="Arial"/>
                <w:sz w:val="21"/>
              </w:rPr>
            </w:pPr>
          </w:p>
          <w:p w14:paraId="2ADEC4B0">
            <w:pPr>
              <w:spacing w:line="246" w:lineRule="auto"/>
              <w:rPr>
                <w:rFonts w:ascii="Arial"/>
                <w:sz w:val="21"/>
              </w:rPr>
            </w:pPr>
          </w:p>
          <w:p w14:paraId="551AA29B">
            <w:pPr>
              <w:pStyle w:val="6"/>
              <w:spacing w:before="62" w:line="225" w:lineRule="auto"/>
              <w:ind w:left="25" w:right="14"/>
              <w:rPr>
                <w:sz w:val="19"/>
                <w:szCs w:val="19"/>
              </w:rPr>
            </w:pPr>
            <w:r>
              <w:rPr>
                <w:spacing w:val="4"/>
                <w:sz w:val="19"/>
                <w:szCs w:val="19"/>
              </w:rPr>
              <w:t>闭卷</w:t>
            </w:r>
            <w:r>
              <w:rPr>
                <w:sz w:val="19"/>
                <w:szCs w:val="19"/>
              </w:rPr>
              <w:t xml:space="preserve"> </w:t>
            </w:r>
            <w:r>
              <w:rPr>
                <w:spacing w:val="-2"/>
                <w:sz w:val="19"/>
                <w:szCs w:val="19"/>
              </w:rPr>
              <w:t>手绘</w:t>
            </w:r>
          </w:p>
        </w:tc>
        <w:tc>
          <w:tcPr>
            <w:tcW w:w="879" w:type="dxa"/>
            <w:vMerge w:val="restart"/>
            <w:tcBorders>
              <w:bottom w:val="nil"/>
            </w:tcBorders>
            <w:vAlign w:val="top"/>
          </w:tcPr>
          <w:p w14:paraId="5C38E94C">
            <w:pPr>
              <w:spacing w:line="264" w:lineRule="auto"/>
              <w:rPr>
                <w:rFonts w:ascii="Arial"/>
                <w:sz w:val="21"/>
              </w:rPr>
            </w:pPr>
          </w:p>
          <w:p w14:paraId="43E2A571">
            <w:pPr>
              <w:spacing w:line="264" w:lineRule="auto"/>
              <w:rPr>
                <w:rFonts w:ascii="Arial"/>
                <w:sz w:val="21"/>
              </w:rPr>
            </w:pPr>
          </w:p>
          <w:p w14:paraId="49950474">
            <w:pPr>
              <w:spacing w:line="265" w:lineRule="auto"/>
              <w:rPr>
                <w:rFonts w:ascii="Arial"/>
                <w:sz w:val="21"/>
              </w:rPr>
            </w:pPr>
          </w:p>
          <w:p w14:paraId="72486E31">
            <w:pPr>
              <w:spacing w:line="265" w:lineRule="auto"/>
              <w:rPr>
                <w:rFonts w:ascii="Arial"/>
                <w:sz w:val="21"/>
              </w:rPr>
            </w:pPr>
          </w:p>
          <w:p w14:paraId="0ABEBABF">
            <w:pPr>
              <w:spacing w:line="265" w:lineRule="auto"/>
              <w:rPr>
                <w:rFonts w:ascii="Arial"/>
                <w:sz w:val="21"/>
              </w:rPr>
            </w:pPr>
          </w:p>
          <w:p w14:paraId="3EB86B63">
            <w:pPr>
              <w:spacing w:line="265" w:lineRule="auto"/>
              <w:rPr>
                <w:rFonts w:ascii="Arial"/>
                <w:sz w:val="21"/>
              </w:rPr>
            </w:pPr>
          </w:p>
          <w:p w14:paraId="603F4D77">
            <w:pPr>
              <w:spacing w:line="265" w:lineRule="auto"/>
              <w:rPr>
                <w:rFonts w:ascii="Arial"/>
                <w:sz w:val="21"/>
              </w:rPr>
            </w:pPr>
          </w:p>
          <w:p w14:paraId="500BFF74">
            <w:pPr>
              <w:spacing w:line="265" w:lineRule="auto"/>
              <w:rPr>
                <w:rFonts w:ascii="Arial"/>
                <w:sz w:val="21"/>
              </w:rPr>
            </w:pPr>
          </w:p>
          <w:p w14:paraId="080213F1">
            <w:pPr>
              <w:spacing w:line="265" w:lineRule="auto"/>
              <w:rPr>
                <w:rFonts w:ascii="Arial"/>
                <w:sz w:val="21"/>
              </w:rPr>
            </w:pPr>
          </w:p>
          <w:p w14:paraId="38A46C84">
            <w:pPr>
              <w:pStyle w:val="6"/>
              <w:spacing w:before="62" w:line="221" w:lineRule="auto"/>
              <w:jc w:val="right"/>
              <w:rPr>
                <w:sz w:val="19"/>
                <w:szCs w:val="19"/>
              </w:rPr>
            </w:pPr>
            <w:r>
              <w:rPr>
                <w:sz w:val="19"/>
                <w:szCs w:val="19"/>
              </w:rPr>
              <w:t>1.比例1:5</w:t>
            </w:r>
          </w:p>
          <w:p w14:paraId="581288C4">
            <w:pPr>
              <w:pStyle w:val="6"/>
              <w:spacing w:before="14" w:line="212" w:lineRule="auto"/>
              <w:ind w:left="196"/>
              <w:rPr>
                <w:sz w:val="19"/>
                <w:szCs w:val="19"/>
              </w:rPr>
            </w:pPr>
            <w:r>
              <w:rPr>
                <w:spacing w:val="-2"/>
                <w:sz w:val="19"/>
                <w:szCs w:val="19"/>
              </w:rPr>
              <w:t>或1:2</w:t>
            </w:r>
          </w:p>
          <w:p w14:paraId="66DE8213">
            <w:pPr>
              <w:pStyle w:val="6"/>
              <w:spacing w:line="217" w:lineRule="auto"/>
              <w:ind w:left="146"/>
              <w:rPr>
                <w:sz w:val="19"/>
                <w:szCs w:val="19"/>
              </w:rPr>
            </w:pPr>
            <w:r>
              <w:rPr>
                <w:spacing w:val="3"/>
                <w:sz w:val="19"/>
                <w:szCs w:val="19"/>
              </w:rPr>
              <w:t>2.号型</w:t>
            </w:r>
          </w:p>
          <w:p w14:paraId="23B67AFE">
            <w:pPr>
              <w:pStyle w:val="6"/>
              <w:spacing w:line="210" w:lineRule="auto"/>
              <w:ind w:left="96"/>
              <w:rPr>
                <w:sz w:val="19"/>
                <w:szCs w:val="19"/>
              </w:rPr>
            </w:pPr>
            <w:r>
              <w:rPr>
                <w:spacing w:val="-3"/>
                <w:sz w:val="19"/>
                <w:szCs w:val="19"/>
              </w:rPr>
              <w:t>160/84A</w:t>
            </w:r>
          </w:p>
          <w:p w14:paraId="42F0124A">
            <w:pPr>
              <w:pStyle w:val="6"/>
              <w:spacing w:before="1" w:line="192" w:lineRule="auto"/>
              <w:ind w:left="146"/>
              <w:rPr>
                <w:sz w:val="19"/>
                <w:szCs w:val="19"/>
              </w:rPr>
            </w:pPr>
            <w:r>
              <w:rPr>
                <w:spacing w:val="5"/>
                <w:sz w:val="19"/>
                <w:szCs w:val="19"/>
              </w:rPr>
              <w:t>3.时间</w:t>
            </w:r>
          </w:p>
          <w:p w14:paraId="507F200C">
            <w:pPr>
              <w:pStyle w:val="6"/>
              <w:spacing w:line="220" w:lineRule="auto"/>
              <w:ind w:left="96"/>
              <w:rPr>
                <w:sz w:val="19"/>
                <w:szCs w:val="19"/>
              </w:rPr>
            </w:pPr>
            <w:r>
              <w:rPr>
                <w:spacing w:val="4"/>
                <w:sz w:val="19"/>
                <w:szCs w:val="19"/>
              </w:rPr>
              <w:t>120分钟</w:t>
            </w:r>
          </w:p>
        </w:tc>
        <w:tc>
          <w:tcPr>
            <w:tcW w:w="2922" w:type="dxa"/>
            <w:vMerge w:val="restart"/>
            <w:tcBorders>
              <w:bottom w:val="nil"/>
            </w:tcBorders>
            <w:vAlign w:val="top"/>
          </w:tcPr>
          <w:p w14:paraId="2F6BD4B0">
            <w:pPr>
              <w:spacing w:line="246" w:lineRule="auto"/>
              <w:rPr>
                <w:rFonts w:ascii="Arial"/>
                <w:sz w:val="21"/>
              </w:rPr>
            </w:pPr>
          </w:p>
          <w:p w14:paraId="749DD02C">
            <w:pPr>
              <w:spacing w:line="246" w:lineRule="auto"/>
              <w:rPr>
                <w:rFonts w:ascii="Arial"/>
                <w:sz w:val="21"/>
              </w:rPr>
            </w:pPr>
          </w:p>
          <w:p w14:paraId="6D93D4C4">
            <w:pPr>
              <w:spacing w:line="247" w:lineRule="auto"/>
              <w:rPr>
                <w:rFonts w:ascii="Arial"/>
                <w:sz w:val="21"/>
              </w:rPr>
            </w:pPr>
          </w:p>
          <w:p w14:paraId="599F1F77">
            <w:pPr>
              <w:spacing w:line="247" w:lineRule="auto"/>
              <w:rPr>
                <w:rFonts w:ascii="Arial"/>
                <w:sz w:val="21"/>
              </w:rPr>
            </w:pPr>
          </w:p>
          <w:p w14:paraId="7ED641AA">
            <w:pPr>
              <w:spacing w:line="247" w:lineRule="auto"/>
              <w:rPr>
                <w:rFonts w:ascii="Arial"/>
                <w:sz w:val="21"/>
              </w:rPr>
            </w:pPr>
          </w:p>
          <w:p w14:paraId="6126BACD">
            <w:pPr>
              <w:spacing w:line="247" w:lineRule="auto"/>
              <w:rPr>
                <w:rFonts w:ascii="Arial"/>
                <w:sz w:val="21"/>
              </w:rPr>
            </w:pPr>
          </w:p>
          <w:p w14:paraId="54D3FB0F">
            <w:pPr>
              <w:spacing w:line="247" w:lineRule="auto"/>
              <w:rPr>
                <w:rFonts w:ascii="Arial"/>
                <w:sz w:val="21"/>
              </w:rPr>
            </w:pPr>
          </w:p>
          <w:p w14:paraId="7931A3F0">
            <w:pPr>
              <w:spacing w:line="247" w:lineRule="auto"/>
              <w:rPr>
                <w:rFonts w:ascii="Arial"/>
                <w:sz w:val="21"/>
              </w:rPr>
            </w:pPr>
          </w:p>
          <w:p w14:paraId="77A67D56">
            <w:pPr>
              <w:pStyle w:val="6"/>
              <w:spacing w:before="62" w:line="199" w:lineRule="auto"/>
              <w:ind w:left="7" w:firstLine="19"/>
              <w:rPr>
                <w:sz w:val="19"/>
                <w:szCs w:val="19"/>
              </w:rPr>
            </w:pPr>
            <w:r>
              <w:rPr>
                <w:spacing w:val="-20"/>
                <w:sz w:val="19"/>
                <w:szCs w:val="19"/>
              </w:rPr>
              <w:t>1.制图比例正确，各部位名称、纱向、</w:t>
            </w:r>
            <w:r>
              <w:rPr>
                <w:spacing w:val="13"/>
                <w:sz w:val="19"/>
                <w:szCs w:val="19"/>
              </w:rPr>
              <w:t xml:space="preserve"> </w:t>
            </w:r>
            <w:r>
              <w:rPr>
                <w:spacing w:val="-3"/>
                <w:sz w:val="19"/>
                <w:szCs w:val="19"/>
              </w:rPr>
              <w:t>尺寸标注清楚齐全。(10%)</w:t>
            </w:r>
          </w:p>
          <w:p w14:paraId="5B8C7B79">
            <w:pPr>
              <w:pStyle w:val="6"/>
              <w:spacing w:line="220" w:lineRule="auto"/>
              <w:ind w:left="7" w:firstLine="9"/>
              <w:jc w:val="both"/>
              <w:rPr>
                <w:sz w:val="19"/>
                <w:szCs w:val="19"/>
              </w:rPr>
            </w:pPr>
            <w:r>
              <w:rPr>
                <w:spacing w:val="-6"/>
                <w:sz w:val="19"/>
                <w:szCs w:val="19"/>
              </w:rPr>
              <w:t>2.基础线、轮廓线层次分明，结构</w:t>
            </w:r>
            <w:r>
              <w:rPr>
                <w:spacing w:val="6"/>
                <w:sz w:val="19"/>
                <w:szCs w:val="19"/>
              </w:rPr>
              <w:t xml:space="preserve">  </w:t>
            </w:r>
            <w:r>
              <w:rPr>
                <w:spacing w:val="-9"/>
                <w:sz w:val="19"/>
                <w:szCs w:val="19"/>
              </w:rPr>
              <w:t>线使用规范，线条流畅，清晰可辨。</w:t>
            </w:r>
            <w:r>
              <w:rPr>
                <w:spacing w:val="7"/>
                <w:sz w:val="19"/>
                <w:szCs w:val="19"/>
              </w:rPr>
              <w:t xml:space="preserve"> </w:t>
            </w:r>
            <w:r>
              <w:rPr>
                <w:spacing w:val="-9"/>
                <w:sz w:val="19"/>
                <w:szCs w:val="19"/>
              </w:rPr>
              <w:t>(40%)</w:t>
            </w:r>
          </w:p>
          <w:p w14:paraId="71784F88">
            <w:pPr>
              <w:pStyle w:val="6"/>
              <w:spacing w:before="1" w:line="213" w:lineRule="auto"/>
              <w:ind w:left="7" w:right="59"/>
              <w:rPr>
                <w:sz w:val="19"/>
                <w:szCs w:val="19"/>
              </w:rPr>
            </w:pPr>
            <w:r>
              <w:rPr>
                <w:spacing w:val="-1"/>
                <w:sz w:val="19"/>
                <w:szCs w:val="19"/>
              </w:rPr>
              <w:t>3.省道转移正确，结构设计完整。</w:t>
            </w:r>
            <w:r>
              <w:rPr>
                <w:spacing w:val="9"/>
                <w:sz w:val="19"/>
                <w:szCs w:val="19"/>
              </w:rPr>
              <w:t xml:space="preserve"> </w:t>
            </w:r>
            <w:r>
              <w:rPr>
                <w:spacing w:val="-7"/>
                <w:sz w:val="19"/>
                <w:szCs w:val="19"/>
              </w:rPr>
              <w:t>(20%)</w:t>
            </w:r>
          </w:p>
          <w:p w14:paraId="22B9100E">
            <w:pPr>
              <w:pStyle w:val="6"/>
              <w:spacing w:before="1" w:line="212" w:lineRule="auto"/>
              <w:ind w:left="7" w:right="60"/>
              <w:rPr>
                <w:sz w:val="19"/>
                <w:szCs w:val="19"/>
              </w:rPr>
            </w:pPr>
            <w:r>
              <w:rPr>
                <w:spacing w:val="-1"/>
                <w:sz w:val="19"/>
                <w:szCs w:val="19"/>
              </w:rPr>
              <w:t>4.主要成品规格设计合理，结构比</w:t>
            </w:r>
            <w:r>
              <w:rPr>
                <w:spacing w:val="8"/>
                <w:sz w:val="19"/>
                <w:szCs w:val="19"/>
              </w:rPr>
              <w:t xml:space="preserve"> </w:t>
            </w:r>
            <w:r>
              <w:rPr>
                <w:spacing w:val="3"/>
                <w:sz w:val="19"/>
                <w:szCs w:val="19"/>
              </w:rPr>
              <w:t>例与款式协调。(30%)</w:t>
            </w:r>
          </w:p>
        </w:tc>
      </w:tr>
      <w:tr w14:paraId="3E6B4B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39" w:hRule="atLeast"/>
        </w:trPr>
        <w:tc>
          <w:tcPr>
            <w:tcW w:w="584" w:type="dxa"/>
            <w:vMerge w:val="continue"/>
            <w:tcBorders>
              <w:top w:val="nil"/>
              <w:bottom w:val="nil"/>
            </w:tcBorders>
            <w:vAlign w:val="top"/>
          </w:tcPr>
          <w:p w14:paraId="203B90B1">
            <w:pPr>
              <w:rPr>
                <w:rFonts w:ascii="Arial"/>
                <w:sz w:val="21"/>
              </w:rPr>
            </w:pPr>
          </w:p>
        </w:tc>
        <w:tc>
          <w:tcPr>
            <w:tcW w:w="829" w:type="dxa"/>
            <w:vAlign w:val="top"/>
          </w:tcPr>
          <w:p w14:paraId="4F6E7602">
            <w:pPr>
              <w:spacing w:line="287" w:lineRule="auto"/>
              <w:rPr>
                <w:rFonts w:ascii="Arial"/>
                <w:sz w:val="21"/>
              </w:rPr>
            </w:pPr>
          </w:p>
          <w:p w14:paraId="6222EDF8">
            <w:pPr>
              <w:pStyle w:val="6"/>
              <w:spacing w:before="62" w:line="194" w:lineRule="auto"/>
              <w:ind w:left="120"/>
              <w:rPr>
                <w:sz w:val="19"/>
                <w:szCs w:val="19"/>
              </w:rPr>
            </w:pPr>
            <w:r>
              <w:rPr>
                <w:spacing w:val="-3"/>
                <w:sz w:val="19"/>
                <w:szCs w:val="19"/>
              </w:rPr>
              <w:t>项目六</w:t>
            </w:r>
          </w:p>
          <w:p w14:paraId="614D2C07">
            <w:pPr>
              <w:pStyle w:val="6"/>
              <w:spacing w:line="219" w:lineRule="auto"/>
              <w:ind w:left="20"/>
              <w:rPr>
                <w:sz w:val="19"/>
                <w:szCs w:val="19"/>
              </w:rPr>
            </w:pPr>
            <w:r>
              <w:rPr>
                <w:spacing w:val="3"/>
                <w:sz w:val="19"/>
                <w:szCs w:val="19"/>
              </w:rPr>
              <w:t>衬衫结构</w:t>
            </w:r>
          </w:p>
          <w:p w14:paraId="1801051D">
            <w:pPr>
              <w:pStyle w:val="6"/>
              <w:spacing w:before="5" w:line="220" w:lineRule="auto"/>
              <w:ind w:left="210"/>
              <w:rPr>
                <w:sz w:val="19"/>
                <w:szCs w:val="19"/>
              </w:rPr>
            </w:pPr>
            <w:r>
              <w:rPr>
                <w:spacing w:val="8"/>
                <w:sz w:val="19"/>
                <w:szCs w:val="19"/>
              </w:rPr>
              <w:t>制图</w:t>
            </w:r>
          </w:p>
        </w:tc>
        <w:tc>
          <w:tcPr>
            <w:tcW w:w="2087" w:type="dxa"/>
            <w:vAlign w:val="top"/>
          </w:tcPr>
          <w:p w14:paraId="6F1703BA">
            <w:pPr>
              <w:spacing w:line="468" w:lineRule="auto"/>
              <w:rPr>
                <w:rFonts w:ascii="Arial"/>
                <w:sz w:val="21"/>
              </w:rPr>
            </w:pPr>
          </w:p>
          <w:p w14:paraId="1756A20C">
            <w:pPr>
              <w:pStyle w:val="6"/>
              <w:spacing w:before="62" w:line="221" w:lineRule="auto"/>
              <w:ind w:left="871"/>
              <w:rPr>
                <w:sz w:val="19"/>
                <w:szCs w:val="19"/>
              </w:rPr>
            </w:pPr>
            <w:r>
              <w:rPr>
                <w:spacing w:val="4"/>
                <w:sz w:val="19"/>
                <w:szCs w:val="19"/>
              </w:rPr>
              <w:t>同上</w:t>
            </w:r>
          </w:p>
        </w:tc>
        <w:tc>
          <w:tcPr>
            <w:tcW w:w="959" w:type="dxa"/>
            <w:vAlign w:val="top"/>
          </w:tcPr>
          <w:p w14:paraId="38F76273">
            <w:pPr>
              <w:spacing w:line="386" w:lineRule="auto"/>
              <w:rPr>
                <w:rFonts w:ascii="Arial"/>
                <w:sz w:val="21"/>
              </w:rPr>
            </w:pPr>
          </w:p>
          <w:p w14:paraId="098AF593">
            <w:pPr>
              <w:pStyle w:val="6"/>
              <w:spacing w:before="62" w:line="218" w:lineRule="auto"/>
              <w:ind w:left="283" w:right="101" w:hanging="189"/>
              <w:rPr>
                <w:sz w:val="19"/>
                <w:szCs w:val="19"/>
              </w:rPr>
            </w:pPr>
            <w:r>
              <w:rPr>
                <w:spacing w:val="-2"/>
                <w:sz w:val="19"/>
                <w:szCs w:val="19"/>
              </w:rPr>
              <w:t>衬衫款式</w:t>
            </w:r>
            <w:r>
              <w:rPr>
                <w:sz w:val="19"/>
                <w:szCs w:val="19"/>
              </w:rPr>
              <w:t xml:space="preserve"> </w:t>
            </w:r>
            <w:r>
              <w:rPr>
                <w:spacing w:val="-2"/>
                <w:sz w:val="19"/>
                <w:szCs w:val="19"/>
              </w:rPr>
              <w:t>变化</w:t>
            </w:r>
          </w:p>
        </w:tc>
        <w:tc>
          <w:tcPr>
            <w:tcW w:w="439" w:type="dxa"/>
            <w:vMerge w:val="continue"/>
            <w:tcBorders>
              <w:top w:val="nil"/>
              <w:bottom w:val="nil"/>
            </w:tcBorders>
            <w:vAlign w:val="top"/>
          </w:tcPr>
          <w:p w14:paraId="3A3CA650">
            <w:pPr>
              <w:rPr>
                <w:rFonts w:ascii="Arial"/>
                <w:sz w:val="21"/>
              </w:rPr>
            </w:pPr>
          </w:p>
        </w:tc>
        <w:tc>
          <w:tcPr>
            <w:tcW w:w="879" w:type="dxa"/>
            <w:vMerge w:val="continue"/>
            <w:tcBorders>
              <w:top w:val="nil"/>
              <w:bottom w:val="nil"/>
            </w:tcBorders>
            <w:vAlign w:val="top"/>
          </w:tcPr>
          <w:p w14:paraId="6F399D19">
            <w:pPr>
              <w:rPr>
                <w:rFonts w:ascii="Arial"/>
                <w:sz w:val="21"/>
              </w:rPr>
            </w:pPr>
          </w:p>
        </w:tc>
        <w:tc>
          <w:tcPr>
            <w:tcW w:w="2922" w:type="dxa"/>
            <w:vMerge w:val="continue"/>
            <w:tcBorders>
              <w:top w:val="nil"/>
              <w:bottom w:val="nil"/>
            </w:tcBorders>
            <w:vAlign w:val="top"/>
          </w:tcPr>
          <w:p w14:paraId="15A00070">
            <w:pPr>
              <w:rPr>
                <w:rFonts w:ascii="Arial"/>
                <w:sz w:val="21"/>
              </w:rPr>
            </w:pPr>
          </w:p>
        </w:tc>
      </w:tr>
      <w:tr w14:paraId="3EB1C8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39" w:hRule="atLeast"/>
        </w:trPr>
        <w:tc>
          <w:tcPr>
            <w:tcW w:w="584" w:type="dxa"/>
            <w:vMerge w:val="continue"/>
            <w:tcBorders>
              <w:top w:val="nil"/>
              <w:bottom w:val="nil"/>
            </w:tcBorders>
            <w:vAlign w:val="top"/>
          </w:tcPr>
          <w:p w14:paraId="6422969E">
            <w:pPr>
              <w:rPr>
                <w:rFonts w:ascii="Arial"/>
                <w:sz w:val="21"/>
              </w:rPr>
            </w:pPr>
          </w:p>
        </w:tc>
        <w:tc>
          <w:tcPr>
            <w:tcW w:w="829" w:type="dxa"/>
            <w:vAlign w:val="top"/>
          </w:tcPr>
          <w:p w14:paraId="325A4CBD">
            <w:pPr>
              <w:spacing w:line="288" w:lineRule="auto"/>
              <w:rPr>
                <w:rFonts w:ascii="Arial"/>
                <w:sz w:val="21"/>
              </w:rPr>
            </w:pPr>
          </w:p>
          <w:p w14:paraId="402B234B">
            <w:pPr>
              <w:pStyle w:val="6"/>
              <w:spacing w:before="62" w:line="216" w:lineRule="auto"/>
              <w:ind w:left="20" w:right="21" w:firstLine="99"/>
              <w:rPr>
                <w:sz w:val="19"/>
                <w:szCs w:val="19"/>
              </w:rPr>
            </w:pPr>
            <w:r>
              <w:rPr>
                <w:spacing w:val="-4"/>
                <w:sz w:val="19"/>
                <w:szCs w:val="19"/>
              </w:rPr>
              <w:t>项目七</w:t>
            </w:r>
            <w:r>
              <w:rPr>
                <w:sz w:val="19"/>
                <w:szCs w:val="19"/>
              </w:rPr>
              <w:t xml:space="preserve">  </w:t>
            </w:r>
            <w:r>
              <w:rPr>
                <w:spacing w:val="2"/>
                <w:sz w:val="19"/>
                <w:szCs w:val="19"/>
              </w:rPr>
              <w:t>女两用衫</w:t>
            </w:r>
            <w:r>
              <w:rPr>
                <w:spacing w:val="1"/>
                <w:sz w:val="19"/>
                <w:szCs w:val="19"/>
              </w:rPr>
              <w:t xml:space="preserve"> </w:t>
            </w:r>
            <w:r>
              <w:rPr>
                <w:spacing w:val="4"/>
                <w:sz w:val="19"/>
                <w:szCs w:val="19"/>
              </w:rPr>
              <w:t>结构制图</w:t>
            </w:r>
          </w:p>
        </w:tc>
        <w:tc>
          <w:tcPr>
            <w:tcW w:w="2087" w:type="dxa"/>
            <w:vAlign w:val="top"/>
          </w:tcPr>
          <w:p w14:paraId="74BCA308">
            <w:pPr>
              <w:spacing w:line="469" w:lineRule="auto"/>
              <w:rPr>
                <w:rFonts w:ascii="Arial"/>
                <w:sz w:val="21"/>
              </w:rPr>
            </w:pPr>
          </w:p>
          <w:p w14:paraId="10FB89F8">
            <w:pPr>
              <w:pStyle w:val="6"/>
              <w:spacing w:before="62" w:line="221" w:lineRule="auto"/>
              <w:ind w:left="882"/>
              <w:rPr>
                <w:sz w:val="19"/>
                <w:szCs w:val="19"/>
              </w:rPr>
            </w:pPr>
            <w:r>
              <w:rPr>
                <w:spacing w:val="4"/>
                <w:sz w:val="19"/>
                <w:szCs w:val="19"/>
              </w:rPr>
              <w:t>同上</w:t>
            </w:r>
          </w:p>
        </w:tc>
        <w:tc>
          <w:tcPr>
            <w:tcW w:w="959" w:type="dxa"/>
            <w:vAlign w:val="top"/>
          </w:tcPr>
          <w:p w14:paraId="3642EDCF">
            <w:pPr>
              <w:spacing w:line="288" w:lineRule="auto"/>
              <w:rPr>
                <w:rFonts w:ascii="Arial"/>
                <w:sz w:val="21"/>
              </w:rPr>
            </w:pPr>
          </w:p>
          <w:p w14:paraId="184387F2">
            <w:pPr>
              <w:pStyle w:val="6"/>
              <w:spacing w:before="61" w:line="195" w:lineRule="auto"/>
              <w:ind w:left="94"/>
              <w:rPr>
                <w:sz w:val="19"/>
                <w:szCs w:val="19"/>
              </w:rPr>
            </w:pPr>
            <w:r>
              <w:rPr>
                <w:spacing w:val="2"/>
                <w:sz w:val="19"/>
                <w:szCs w:val="19"/>
              </w:rPr>
              <w:t>女两用衫</w:t>
            </w:r>
          </w:p>
          <w:p w14:paraId="4B298A83">
            <w:pPr>
              <w:pStyle w:val="6"/>
              <w:spacing w:line="220" w:lineRule="auto"/>
              <w:ind w:left="134"/>
              <w:rPr>
                <w:sz w:val="19"/>
                <w:szCs w:val="19"/>
              </w:rPr>
            </w:pPr>
            <w:r>
              <w:rPr>
                <w:spacing w:val="3"/>
                <w:sz w:val="19"/>
                <w:szCs w:val="19"/>
              </w:rPr>
              <w:t>(弧线分</w:t>
            </w:r>
          </w:p>
          <w:p w14:paraId="3B6594E7">
            <w:pPr>
              <w:pStyle w:val="6"/>
              <w:spacing w:before="3" w:line="220" w:lineRule="auto"/>
              <w:ind w:left="324"/>
              <w:rPr>
                <w:sz w:val="19"/>
                <w:szCs w:val="19"/>
              </w:rPr>
            </w:pPr>
            <w:r>
              <w:rPr>
                <w:spacing w:val="-5"/>
                <w:sz w:val="19"/>
                <w:szCs w:val="19"/>
              </w:rPr>
              <w:t>割</w:t>
            </w:r>
            <w:r>
              <w:rPr>
                <w:spacing w:val="-32"/>
                <w:sz w:val="19"/>
                <w:szCs w:val="19"/>
              </w:rPr>
              <w:t xml:space="preserve"> </w:t>
            </w:r>
            <w:r>
              <w:rPr>
                <w:spacing w:val="-5"/>
                <w:sz w:val="19"/>
                <w:szCs w:val="19"/>
              </w:rPr>
              <w:t>)</w:t>
            </w:r>
          </w:p>
        </w:tc>
        <w:tc>
          <w:tcPr>
            <w:tcW w:w="439" w:type="dxa"/>
            <w:vMerge w:val="continue"/>
            <w:tcBorders>
              <w:top w:val="nil"/>
              <w:bottom w:val="nil"/>
            </w:tcBorders>
            <w:vAlign w:val="top"/>
          </w:tcPr>
          <w:p w14:paraId="71B96819">
            <w:pPr>
              <w:rPr>
                <w:rFonts w:ascii="Arial"/>
                <w:sz w:val="21"/>
              </w:rPr>
            </w:pPr>
          </w:p>
        </w:tc>
        <w:tc>
          <w:tcPr>
            <w:tcW w:w="879" w:type="dxa"/>
            <w:vMerge w:val="continue"/>
            <w:tcBorders>
              <w:top w:val="nil"/>
              <w:bottom w:val="nil"/>
            </w:tcBorders>
            <w:vAlign w:val="top"/>
          </w:tcPr>
          <w:p w14:paraId="182C571D">
            <w:pPr>
              <w:rPr>
                <w:rFonts w:ascii="Arial"/>
                <w:sz w:val="21"/>
              </w:rPr>
            </w:pPr>
          </w:p>
        </w:tc>
        <w:tc>
          <w:tcPr>
            <w:tcW w:w="2922" w:type="dxa"/>
            <w:vMerge w:val="continue"/>
            <w:tcBorders>
              <w:top w:val="nil"/>
              <w:bottom w:val="nil"/>
            </w:tcBorders>
            <w:vAlign w:val="top"/>
          </w:tcPr>
          <w:p w14:paraId="615DA35E">
            <w:pPr>
              <w:rPr>
                <w:rFonts w:ascii="Arial"/>
                <w:sz w:val="21"/>
              </w:rPr>
            </w:pPr>
          </w:p>
        </w:tc>
      </w:tr>
      <w:tr w14:paraId="21A3EF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39" w:hRule="atLeast"/>
        </w:trPr>
        <w:tc>
          <w:tcPr>
            <w:tcW w:w="584" w:type="dxa"/>
            <w:vMerge w:val="continue"/>
            <w:tcBorders>
              <w:top w:val="nil"/>
            </w:tcBorders>
            <w:vAlign w:val="top"/>
          </w:tcPr>
          <w:p w14:paraId="659F86BA">
            <w:pPr>
              <w:rPr>
                <w:rFonts w:ascii="Arial"/>
                <w:sz w:val="21"/>
              </w:rPr>
            </w:pPr>
          </w:p>
        </w:tc>
        <w:tc>
          <w:tcPr>
            <w:tcW w:w="829" w:type="dxa"/>
            <w:vAlign w:val="top"/>
          </w:tcPr>
          <w:p w14:paraId="3E1AA5F2">
            <w:pPr>
              <w:spacing w:line="280" w:lineRule="auto"/>
              <w:rPr>
                <w:rFonts w:ascii="Arial"/>
                <w:sz w:val="21"/>
              </w:rPr>
            </w:pPr>
          </w:p>
          <w:p w14:paraId="73C15ED7">
            <w:pPr>
              <w:pStyle w:val="6"/>
              <w:spacing w:before="61" w:line="194" w:lineRule="auto"/>
              <w:ind w:left="120"/>
              <w:rPr>
                <w:sz w:val="19"/>
                <w:szCs w:val="19"/>
              </w:rPr>
            </w:pPr>
            <w:r>
              <w:rPr>
                <w:spacing w:val="-3"/>
                <w:sz w:val="19"/>
                <w:szCs w:val="19"/>
              </w:rPr>
              <w:t>项目八</w:t>
            </w:r>
          </w:p>
          <w:p w14:paraId="5BCB2512">
            <w:pPr>
              <w:pStyle w:val="6"/>
              <w:spacing w:line="213" w:lineRule="auto"/>
              <w:ind w:left="20"/>
              <w:rPr>
                <w:sz w:val="19"/>
                <w:szCs w:val="19"/>
              </w:rPr>
            </w:pPr>
            <w:r>
              <w:rPr>
                <w:spacing w:val="3"/>
                <w:sz w:val="19"/>
                <w:szCs w:val="19"/>
              </w:rPr>
              <w:t>大衣结构</w:t>
            </w:r>
          </w:p>
          <w:p w14:paraId="17F3BD4A">
            <w:pPr>
              <w:pStyle w:val="6"/>
              <w:spacing w:line="220" w:lineRule="auto"/>
              <w:ind w:left="210"/>
              <w:rPr>
                <w:sz w:val="19"/>
                <w:szCs w:val="19"/>
              </w:rPr>
            </w:pPr>
            <w:r>
              <w:rPr>
                <w:spacing w:val="8"/>
                <w:sz w:val="19"/>
                <w:szCs w:val="19"/>
              </w:rPr>
              <w:t>制图</w:t>
            </w:r>
          </w:p>
        </w:tc>
        <w:tc>
          <w:tcPr>
            <w:tcW w:w="2087" w:type="dxa"/>
            <w:vAlign w:val="top"/>
          </w:tcPr>
          <w:p w14:paraId="5A9C0470">
            <w:pPr>
              <w:spacing w:line="470" w:lineRule="auto"/>
              <w:rPr>
                <w:rFonts w:ascii="Arial"/>
                <w:sz w:val="21"/>
              </w:rPr>
            </w:pPr>
          </w:p>
          <w:p w14:paraId="204EAC99">
            <w:pPr>
              <w:pStyle w:val="6"/>
              <w:spacing w:before="62" w:line="221" w:lineRule="auto"/>
              <w:ind w:left="882"/>
              <w:rPr>
                <w:sz w:val="19"/>
                <w:szCs w:val="19"/>
              </w:rPr>
            </w:pPr>
            <w:r>
              <w:rPr>
                <w:spacing w:val="4"/>
                <w:sz w:val="19"/>
                <w:szCs w:val="19"/>
              </w:rPr>
              <w:t>同上</w:t>
            </w:r>
          </w:p>
        </w:tc>
        <w:tc>
          <w:tcPr>
            <w:tcW w:w="959" w:type="dxa"/>
            <w:vAlign w:val="top"/>
          </w:tcPr>
          <w:p w14:paraId="751C4D0F">
            <w:pPr>
              <w:spacing w:line="369" w:lineRule="auto"/>
              <w:rPr>
                <w:rFonts w:ascii="Arial"/>
                <w:sz w:val="21"/>
              </w:rPr>
            </w:pPr>
          </w:p>
          <w:p w14:paraId="60AEA3EB">
            <w:pPr>
              <w:pStyle w:val="6"/>
              <w:spacing w:before="62" w:line="227" w:lineRule="auto"/>
              <w:ind w:left="283" w:right="103" w:hanging="189"/>
              <w:rPr>
                <w:sz w:val="19"/>
                <w:szCs w:val="19"/>
              </w:rPr>
            </w:pPr>
            <w:r>
              <w:rPr>
                <w:spacing w:val="-3"/>
                <w:sz w:val="19"/>
                <w:szCs w:val="19"/>
              </w:rPr>
              <w:t>大衣款式</w:t>
            </w:r>
            <w:r>
              <w:rPr>
                <w:spacing w:val="1"/>
                <w:sz w:val="19"/>
                <w:szCs w:val="19"/>
              </w:rPr>
              <w:t xml:space="preserve"> </w:t>
            </w:r>
            <w:r>
              <w:rPr>
                <w:spacing w:val="-2"/>
                <w:sz w:val="19"/>
                <w:szCs w:val="19"/>
              </w:rPr>
              <w:t>变化</w:t>
            </w:r>
          </w:p>
        </w:tc>
        <w:tc>
          <w:tcPr>
            <w:tcW w:w="439" w:type="dxa"/>
            <w:vMerge w:val="continue"/>
            <w:tcBorders>
              <w:top w:val="nil"/>
            </w:tcBorders>
            <w:vAlign w:val="top"/>
          </w:tcPr>
          <w:p w14:paraId="4586DDB6">
            <w:pPr>
              <w:rPr>
                <w:rFonts w:ascii="Arial"/>
                <w:sz w:val="21"/>
              </w:rPr>
            </w:pPr>
          </w:p>
        </w:tc>
        <w:tc>
          <w:tcPr>
            <w:tcW w:w="879" w:type="dxa"/>
            <w:vMerge w:val="continue"/>
            <w:tcBorders>
              <w:top w:val="nil"/>
            </w:tcBorders>
            <w:vAlign w:val="top"/>
          </w:tcPr>
          <w:p w14:paraId="26AE5A90">
            <w:pPr>
              <w:rPr>
                <w:rFonts w:ascii="Arial"/>
                <w:sz w:val="21"/>
              </w:rPr>
            </w:pPr>
          </w:p>
        </w:tc>
        <w:tc>
          <w:tcPr>
            <w:tcW w:w="2922" w:type="dxa"/>
            <w:vMerge w:val="continue"/>
            <w:tcBorders>
              <w:top w:val="nil"/>
            </w:tcBorders>
            <w:vAlign w:val="top"/>
          </w:tcPr>
          <w:p w14:paraId="2A1FCBC0">
            <w:pPr>
              <w:rPr>
                <w:rFonts w:ascii="Arial"/>
                <w:sz w:val="21"/>
              </w:rPr>
            </w:pPr>
          </w:p>
        </w:tc>
      </w:tr>
      <w:tr w14:paraId="7AEA69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878" w:hRule="atLeast"/>
        </w:trPr>
        <w:tc>
          <w:tcPr>
            <w:tcW w:w="584" w:type="dxa"/>
            <w:vMerge w:val="restart"/>
            <w:tcBorders>
              <w:bottom w:val="nil"/>
            </w:tcBorders>
            <w:vAlign w:val="top"/>
          </w:tcPr>
          <w:p w14:paraId="1B9124B9">
            <w:pPr>
              <w:spacing w:line="260" w:lineRule="auto"/>
              <w:rPr>
                <w:rFonts w:ascii="Arial"/>
                <w:sz w:val="21"/>
              </w:rPr>
            </w:pPr>
          </w:p>
          <w:p w14:paraId="03FC9055">
            <w:pPr>
              <w:spacing w:line="261" w:lineRule="auto"/>
              <w:rPr>
                <w:rFonts w:ascii="Arial"/>
                <w:sz w:val="21"/>
              </w:rPr>
            </w:pPr>
          </w:p>
          <w:p w14:paraId="717AB042">
            <w:pPr>
              <w:spacing w:line="261" w:lineRule="auto"/>
              <w:rPr>
                <w:rFonts w:ascii="Arial"/>
                <w:sz w:val="21"/>
              </w:rPr>
            </w:pPr>
          </w:p>
          <w:p w14:paraId="130AB561">
            <w:pPr>
              <w:spacing w:line="261" w:lineRule="auto"/>
              <w:rPr>
                <w:rFonts w:ascii="Arial"/>
                <w:sz w:val="21"/>
              </w:rPr>
            </w:pPr>
          </w:p>
          <w:p w14:paraId="16B89BF1">
            <w:pPr>
              <w:spacing w:line="261" w:lineRule="auto"/>
              <w:rPr>
                <w:rFonts w:ascii="Arial"/>
                <w:sz w:val="21"/>
              </w:rPr>
            </w:pPr>
          </w:p>
          <w:p w14:paraId="1B9E05EA">
            <w:pPr>
              <w:spacing w:line="261" w:lineRule="auto"/>
              <w:rPr>
                <w:rFonts w:ascii="Arial"/>
                <w:sz w:val="21"/>
              </w:rPr>
            </w:pPr>
          </w:p>
          <w:p w14:paraId="4AAE798B">
            <w:pPr>
              <w:spacing w:line="261" w:lineRule="auto"/>
              <w:rPr>
                <w:rFonts w:ascii="Arial"/>
                <w:sz w:val="21"/>
              </w:rPr>
            </w:pPr>
          </w:p>
          <w:p w14:paraId="66C85B8E">
            <w:pPr>
              <w:spacing w:line="261" w:lineRule="auto"/>
              <w:rPr>
                <w:rFonts w:ascii="Arial"/>
                <w:sz w:val="21"/>
              </w:rPr>
            </w:pPr>
          </w:p>
          <w:p w14:paraId="3235BE5F">
            <w:pPr>
              <w:spacing w:line="261" w:lineRule="auto"/>
              <w:rPr>
                <w:rFonts w:ascii="Arial"/>
                <w:sz w:val="21"/>
              </w:rPr>
            </w:pPr>
          </w:p>
          <w:p w14:paraId="2A9B47C1">
            <w:pPr>
              <w:pStyle w:val="6"/>
              <w:spacing w:before="62" w:line="207" w:lineRule="auto"/>
              <w:ind w:left="14"/>
              <w:rPr>
                <w:sz w:val="19"/>
                <w:szCs w:val="19"/>
              </w:rPr>
            </w:pPr>
            <w:r>
              <w:rPr>
                <w:spacing w:val="-4"/>
                <w:sz w:val="19"/>
                <w:szCs w:val="19"/>
              </w:rPr>
              <w:t>服装缝</w:t>
            </w:r>
            <w:r>
              <w:rPr>
                <w:sz w:val="19"/>
                <w:szCs w:val="19"/>
              </w:rPr>
              <w:t xml:space="preserve"> </w:t>
            </w:r>
            <w:r>
              <w:rPr>
                <w:spacing w:val="-4"/>
                <w:sz w:val="19"/>
                <w:szCs w:val="19"/>
              </w:rPr>
              <w:t>制工艺</w:t>
            </w:r>
          </w:p>
        </w:tc>
        <w:tc>
          <w:tcPr>
            <w:tcW w:w="829" w:type="dxa"/>
            <w:vAlign w:val="top"/>
          </w:tcPr>
          <w:p w14:paraId="78B43013">
            <w:pPr>
              <w:spacing w:line="299" w:lineRule="auto"/>
              <w:rPr>
                <w:rFonts w:ascii="Arial"/>
                <w:sz w:val="21"/>
              </w:rPr>
            </w:pPr>
          </w:p>
          <w:p w14:paraId="07A5AED1">
            <w:pPr>
              <w:spacing w:line="299" w:lineRule="auto"/>
              <w:rPr>
                <w:rFonts w:ascii="Arial"/>
                <w:sz w:val="21"/>
              </w:rPr>
            </w:pPr>
          </w:p>
          <w:p w14:paraId="49DCD1CC">
            <w:pPr>
              <w:pStyle w:val="6"/>
              <w:spacing w:before="62" w:line="204" w:lineRule="auto"/>
              <w:ind w:left="120"/>
              <w:rPr>
                <w:sz w:val="19"/>
                <w:szCs w:val="19"/>
              </w:rPr>
            </w:pPr>
            <w:r>
              <w:rPr>
                <w:spacing w:val="-3"/>
                <w:sz w:val="19"/>
                <w:szCs w:val="19"/>
              </w:rPr>
              <w:t>项目九</w:t>
            </w:r>
          </w:p>
          <w:p w14:paraId="71BED54B">
            <w:pPr>
              <w:pStyle w:val="6"/>
              <w:spacing w:line="213" w:lineRule="auto"/>
              <w:ind w:left="20"/>
              <w:rPr>
                <w:sz w:val="19"/>
                <w:szCs w:val="19"/>
              </w:rPr>
            </w:pPr>
            <w:r>
              <w:rPr>
                <w:spacing w:val="-2"/>
                <w:sz w:val="19"/>
                <w:szCs w:val="19"/>
              </w:rPr>
              <w:t>手工针法</w:t>
            </w:r>
          </w:p>
          <w:p w14:paraId="78B6091A">
            <w:pPr>
              <w:pStyle w:val="6"/>
              <w:spacing w:line="220" w:lineRule="auto"/>
              <w:ind w:left="210"/>
              <w:rPr>
                <w:sz w:val="19"/>
                <w:szCs w:val="19"/>
              </w:rPr>
            </w:pPr>
            <w:r>
              <w:rPr>
                <w:spacing w:val="8"/>
                <w:sz w:val="19"/>
                <w:szCs w:val="19"/>
              </w:rPr>
              <w:t>缝制</w:t>
            </w:r>
          </w:p>
        </w:tc>
        <w:tc>
          <w:tcPr>
            <w:tcW w:w="2087" w:type="dxa"/>
            <w:vAlign w:val="top"/>
          </w:tcPr>
          <w:p w14:paraId="5BDDD6D2">
            <w:pPr>
              <w:spacing w:line="309" w:lineRule="auto"/>
              <w:rPr>
                <w:rFonts w:ascii="Arial"/>
                <w:sz w:val="21"/>
              </w:rPr>
            </w:pPr>
          </w:p>
          <w:p w14:paraId="3E278658">
            <w:pPr>
              <w:spacing w:line="309" w:lineRule="auto"/>
              <w:rPr>
                <w:rFonts w:ascii="Arial"/>
                <w:sz w:val="21"/>
              </w:rPr>
            </w:pPr>
          </w:p>
          <w:p w14:paraId="668F7ECB">
            <w:pPr>
              <w:pStyle w:val="6"/>
              <w:spacing w:before="62" w:line="215" w:lineRule="auto"/>
              <w:ind w:left="11" w:right="13" w:firstLine="20"/>
              <w:rPr>
                <w:sz w:val="19"/>
                <w:szCs w:val="19"/>
              </w:rPr>
            </w:pPr>
            <w:r>
              <w:rPr>
                <w:sz w:val="19"/>
                <w:szCs w:val="19"/>
              </w:rPr>
              <w:t xml:space="preserve">1.工位上提供棉布50cm  </w:t>
            </w:r>
            <w:r>
              <w:rPr>
                <w:spacing w:val="-1"/>
                <w:sz w:val="19"/>
                <w:szCs w:val="19"/>
              </w:rPr>
              <w:t>2.考生自备缝纫工具(剪</w:t>
            </w:r>
            <w:r>
              <w:rPr>
                <w:spacing w:val="1"/>
                <w:sz w:val="19"/>
                <w:szCs w:val="19"/>
              </w:rPr>
              <w:t xml:space="preserve"> </w:t>
            </w:r>
            <w:r>
              <w:rPr>
                <w:spacing w:val="5"/>
                <w:sz w:val="19"/>
                <w:szCs w:val="19"/>
              </w:rPr>
              <w:t>刀、尺、划粉、针线等)</w:t>
            </w:r>
          </w:p>
        </w:tc>
        <w:tc>
          <w:tcPr>
            <w:tcW w:w="959" w:type="dxa"/>
            <w:vAlign w:val="top"/>
          </w:tcPr>
          <w:p w14:paraId="6DD2E64F">
            <w:pPr>
              <w:spacing w:line="251" w:lineRule="auto"/>
              <w:rPr>
                <w:rFonts w:ascii="Arial"/>
                <w:sz w:val="21"/>
              </w:rPr>
            </w:pPr>
          </w:p>
          <w:p w14:paraId="79296C7E">
            <w:pPr>
              <w:pStyle w:val="6"/>
              <w:spacing w:before="62" w:line="218" w:lineRule="auto"/>
              <w:ind w:left="14"/>
              <w:rPr>
                <w:sz w:val="19"/>
                <w:szCs w:val="19"/>
              </w:rPr>
            </w:pPr>
            <w:r>
              <w:rPr>
                <w:spacing w:val="-21"/>
                <w:sz w:val="19"/>
                <w:szCs w:val="19"/>
              </w:rPr>
              <w:t>教材中(《</w:t>
            </w:r>
            <w:r>
              <w:rPr>
                <w:spacing w:val="-9"/>
                <w:sz w:val="19"/>
                <w:szCs w:val="19"/>
              </w:rPr>
              <w:t>服</w:t>
            </w:r>
            <w:r>
              <w:rPr>
                <w:sz w:val="19"/>
                <w:szCs w:val="19"/>
              </w:rPr>
              <w:t xml:space="preserve"> </w:t>
            </w:r>
            <w:r>
              <w:rPr>
                <w:spacing w:val="17"/>
                <w:sz w:val="19"/>
                <w:szCs w:val="19"/>
              </w:rPr>
              <w:t>装缝制工</w:t>
            </w:r>
            <w:r>
              <w:rPr>
                <w:sz w:val="19"/>
                <w:szCs w:val="19"/>
              </w:rPr>
              <w:t xml:space="preserve">  </w:t>
            </w:r>
            <w:r>
              <w:rPr>
                <w:spacing w:val="-4"/>
                <w:sz w:val="19"/>
                <w:szCs w:val="19"/>
              </w:rPr>
              <w:t>艺》第四版</w:t>
            </w:r>
            <w:r>
              <w:rPr>
                <w:spacing w:val="3"/>
                <w:sz w:val="19"/>
                <w:szCs w:val="19"/>
              </w:rPr>
              <w:t xml:space="preserve"> </w:t>
            </w:r>
            <w:r>
              <w:rPr>
                <w:spacing w:val="21"/>
                <w:sz w:val="19"/>
                <w:szCs w:val="19"/>
              </w:rPr>
              <w:t>张明德主</w:t>
            </w:r>
            <w:r>
              <w:rPr>
                <w:sz w:val="19"/>
                <w:szCs w:val="19"/>
              </w:rPr>
              <w:t xml:space="preserve">  </w:t>
            </w:r>
            <w:r>
              <w:rPr>
                <w:spacing w:val="3"/>
                <w:sz w:val="19"/>
                <w:szCs w:val="19"/>
              </w:rPr>
              <w:t>编)所涵盖</w:t>
            </w:r>
            <w:r>
              <w:rPr>
                <w:spacing w:val="1"/>
                <w:sz w:val="19"/>
                <w:szCs w:val="19"/>
              </w:rPr>
              <w:t xml:space="preserve"> </w:t>
            </w:r>
            <w:r>
              <w:rPr>
                <w:spacing w:val="-5"/>
                <w:sz w:val="19"/>
                <w:szCs w:val="19"/>
              </w:rPr>
              <w:t>的手针针法</w:t>
            </w:r>
          </w:p>
        </w:tc>
        <w:tc>
          <w:tcPr>
            <w:tcW w:w="439" w:type="dxa"/>
            <w:vMerge w:val="restart"/>
            <w:tcBorders>
              <w:bottom w:val="nil"/>
            </w:tcBorders>
            <w:vAlign w:val="top"/>
          </w:tcPr>
          <w:p w14:paraId="3B9B0B9E">
            <w:pPr>
              <w:spacing w:line="261" w:lineRule="auto"/>
              <w:rPr>
                <w:rFonts w:ascii="Arial"/>
                <w:sz w:val="21"/>
              </w:rPr>
            </w:pPr>
          </w:p>
          <w:p w14:paraId="7C267BB7">
            <w:pPr>
              <w:spacing w:line="261" w:lineRule="auto"/>
              <w:rPr>
                <w:rFonts w:ascii="Arial"/>
                <w:sz w:val="21"/>
              </w:rPr>
            </w:pPr>
          </w:p>
          <w:p w14:paraId="676A0F30">
            <w:pPr>
              <w:spacing w:line="261" w:lineRule="auto"/>
              <w:rPr>
                <w:rFonts w:ascii="Arial"/>
                <w:sz w:val="21"/>
              </w:rPr>
            </w:pPr>
          </w:p>
          <w:p w14:paraId="5562E5F0">
            <w:pPr>
              <w:spacing w:line="261" w:lineRule="auto"/>
              <w:rPr>
                <w:rFonts w:ascii="Arial"/>
                <w:sz w:val="21"/>
              </w:rPr>
            </w:pPr>
          </w:p>
          <w:p w14:paraId="45D3D750">
            <w:pPr>
              <w:spacing w:line="261" w:lineRule="auto"/>
              <w:rPr>
                <w:rFonts w:ascii="Arial"/>
                <w:sz w:val="21"/>
              </w:rPr>
            </w:pPr>
          </w:p>
          <w:p w14:paraId="04BAAAC1">
            <w:pPr>
              <w:spacing w:line="261" w:lineRule="auto"/>
              <w:rPr>
                <w:rFonts w:ascii="Arial"/>
                <w:sz w:val="21"/>
              </w:rPr>
            </w:pPr>
          </w:p>
          <w:p w14:paraId="3EAC5AF4">
            <w:pPr>
              <w:spacing w:line="261" w:lineRule="auto"/>
              <w:rPr>
                <w:rFonts w:ascii="Arial"/>
                <w:sz w:val="21"/>
              </w:rPr>
            </w:pPr>
          </w:p>
          <w:p w14:paraId="67B1D695">
            <w:pPr>
              <w:spacing w:line="261" w:lineRule="auto"/>
              <w:rPr>
                <w:rFonts w:ascii="Arial"/>
                <w:sz w:val="21"/>
              </w:rPr>
            </w:pPr>
          </w:p>
          <w:p w14:paraId="7E171FAD">
            <w:pPr>
              <w:spacing w:line="262" w:lineRule="auto"/>
              <w:rPr>
                <w:rFonts w:ascii="Arial"/>
                <w:sz w:val="21"/>
              </w:rPr>
            </w:pPr>
          </w:p>
          <w:p w14:paraId="67D2D5D7">
            <w:pPr>
              <w:pStyle w:val="6"/>
              <w:spacing w:before="62" w:line="206" w:lineRule="auto"/>
              <w:ind w:left="25" w:right="14"/>
              <w:rPr>
                <w:sz w:val="19"/>
                <w:szCs w:val="19"/>
              </w:rPr>
            </w:pPr>
            <w:r>
              <w:rPr>
                <w:spacing w:val="4"/>
                <w:sz w:val="19"/>
                <w:szCs w:val="19"/>
              </w:rPr>
              <w:t>闭卷</w:t>
            </w:r>
            <w:r>
              <w:rPr>
                <w:sz w:val="19"/>
                <w:szCs w:val="19"/>
              </w:rPr>
              <w:t xml:space="preserve"> </w:t>
            </w:r>
            <w:r>
              <w:rPr>
                <w:spacing w:val="-2"/>
                <w:sz w:val="19"/>
                <w:szCs w:val="19"/>
              </w:rPr>
              <w:t>手作</w:t>
            </w:r>
          </w:p>
        </w:tc>
        <w:tc>
          <w:tcPr>
            <w:tcW w:w="879" w:type="dxa"/>
            <w:vMerge w:val="restart"/>
            <w:tcBorders>
              <w:bottom w:val="nil"/>
            </w:tcBorders>
            <w:vAlign w:val="top"/>
          </w:tcPr>
          <w:p w14:paraId="707A12FD">
            <w:pPr>
              <w:spacing w:line="251" w:lineRule="auto"/>
              <w:rPr>
                <w:rFonts w:ascii="Arial"/>
                <w:sz w:val="21"/>
              </w:rPr>
            </w:pPr>
          </w:p>
          <w:p w14:paraId="5F8E5F1B">
            <w:pPr>
              <w:spacing w:line="251" w:lineRule="auto"/>
              <w:rPr>
                <w:rFonts w:ascii="Arial"/>
                <w:sz w:val="21"/>
              </w:rPr>
            </w:pPr>
          </w:p>
          <w:p w14:paraId="47FE6E14">
            <w:pPr>
              <w:spacing w:line="251" w:lineRule="auto"/>
              <w:rPr>
                <w:rFonts w:ascii="Arial"/>
                <w:sz w:val="21"/>
              </w:rPr>
            </w:pPr>
          </w:p>
          <w:p w14:paraId="59E138FF">
            <w:pPr>
              <w:spacing w:line="251" w:lineRule="auto"/>
              <w:rPr>
                <w:rFonts w:ascii="Arial"/>
                <w:sz w:val="21"/>
              </w:rPr>
            </w:pPr>
          </w:p>
          <w:p w14:paraId="0BB66952">
            <w:pPr>
              <w:spacing w:line="251" w:lineRule="auto"/>
              <w:rPr>
                <w:rFonts w:ascii="Arial"/>
                <w:sz w:val="21"/>
              </w:rPr>
            </w:pPr>
          </w:p>
          <w:p w14:paraId="1110F1BD">
            <w:pPr>
              <w:spacing w:line="251" w:lineRule="auto"/>
              <w:rPr>
                <w:rFonts w:ascii="Arial"/>
                <w:sz w:val="21"/>
              </w:rPr>
            </w:pPr>
          </w:p>
          <w:p w14:paraId="728BB560">
            <w:pPr>
              <w:spacing w:line="252" w:lineRule="auto"/>
              <w:rPr>
                <w:rFonts w:ascii="Arial"/>
                <w:sz w:val="21"/>
              </w:rPr>
            </w:pPr>
          </w:p>
          <w:p w14:paraId="691D903B">
            <w:pPr>
              <w:spacing w:line="252" w:lineRule="auto"/>
              <w:rPr>
                <w:rFonts w:ascii="Arial"/>
                <w:sz w:val="21"/>
              </w:rPr>
            </w:pPr>
          </w:p>
          <w:p w14:paraId="66A4A878">
            <w:pPr>
              <w:pStyle w:val="6"/>
              <w:spacing w:before="62" w:line="213" w:lineRule="auto"/>
              <w:ind w:left="56"/>
              <w:rPr>
                <w:sz w:val="19"/>
                <w:szCs w:val="19"/>
              </w:rPr>
            </w:pPr>
            <w:r>
              <w:rPr>
                <w:spacing w:val="1"/>
                <w:sz w:val="19"/>
                <w:szCs w:val="19"/>
              </w:rPr>
              <w:t>1.流程规</w:t>
            </w:r>
          </w:p>
          <w:p w14:paraId="21F4FDF8">
            <w:pPr>
              <w:pStyle w:val="6"/>
              <w:spacing w:line="219" w:lineRule="auto"/>
              <w:ind w:left="56"/>
              <w:rPr>
                <w:sz w:val="19"/>
                <w:szCs w:val="19"/>
              </w:rPr>
            </w:pPr>
            <w:r>
              <w:rPr>
                <w:spacing w:val="3"/>
                <w:sz w:val="19"/>
                <w:szCs w:val="19"/>
              </w:rPr>
              <w:t>范、操作</w:t>
            </w:r>
          </w:p>
          <w:p w14:paraId="44C673EA">
            <w:pPr>
              <w:pStyle w:val="6"/>
              <w:spacing w:before="5" w:line="221" w:lineRule="auto"/>
              <w:ind w:left="246"/>
              <w:rPr>
                <w:sz w:val="19"/>
                <w:szCs w:val="19"/>
              </w:rPr>
            </w:pPr>
            <w:r>
              <w:rPr>
                <w:spacing w:val="4"/>
                <w:sz w:val="19"/>
                <w:szCs w:val="19"/>
              </w:rPr>
              <w:t>安全</w:t>
            </w:r>
          </w:p>
          <w:p w14:paraId="5C254E46">
            <w:pPr>
              <w:pStyle w:val="6"/>
              <w:spacing w:before="3" w:line="203" w:lineRule="auto"/>
              <w:ind w:left="56"/>
              <w:rPr>
                <w:sz w:val="19"/>
                <w:szCs w:val="19"/>
              </w:rPr>
            </w:pPr>
            <w:r>
              <w:rPr>
                <w:spacing w:val="-2"/>
                <w:sz w:val="19"/>
                <w:szCs w:val="19"/>
              </w:rPr>
              <w:t>2.时间60</w:t>
            </w:r>
          </w:p>
          <w:p w14:paraId="29739C01">
            <w:pPr>
              <w:pStyle w:val="6"/>
              <w:spacing w:line="220" w:lineRule="auto"/>
              <w:ind w:left="246"/>
              <w:rPr>
                <w:sz w:val="19"/>
                <w:szCs w:val="19"/>
              </w:rPr>
            </w:pPr>
            <w:r>
              <w:rPr>
                <w:spacing w:val="7"/>
                <w:sz w:val="19"/>
                <w:szCs w:val="19"/>
              </w:rPr>
              <w:t>分钟</w:t>
            </w:r>
          </w:p>
        </w:tc>
        <w:tc>
          <w:tcPr>
            <w:tcW w:w="2922" w:type="dxa"/>
            <w:vAlign w:val="top"/>
          </w:tcPr>
          <w:p w14:paraId="79156D5B">
            <w:pPr>
              <w:spacing w:line="479" w:lineRule="auto"/>
              <w:rPr>
                <w:rFonts w:ascii="Arial"/>
                <w:sz w:val="21"/>
              </w:rPr>
            </w:pPr>
          </w:p>
          <w:p w14:paraId="3E5B98E3">
            <w:pPr>
              <w:pStyle w:val="6"/>
              <w:spacing w:before="62" w:line="213" w:lineRule="auto"/>
              <w:ind w:left="7" w:right="112"/>
              <w:rPr>
                <w:sz w:val="19"/>
                <w:szCs w:val="19"/>
              </w:rPr>
            </w:pPr>
            <w:r>
              <w:rPr>
                <w:spacing w:val="2"/>
                <w:sz w:val="19"/>
                <w:szCs w:val="19"/>
              </w:rPr>
              <w:t>1.成品外观符合考题要求。(20%)</w:t>
            </w:r>
            <w:r>
              <w:rPr>
                <w:sz w:val="19"/>
                <w:szCs w:val="19"/>
              </w:rPr>
              <w:t xml:space="preserve"> </w:t>
            </w:r>
            <w:r>
              <w:rPr>
                <w:spacing w:val="2"/>
                <w:sz w:val="19"/>
                <w:szCs w:val="19"/>
              </w:rPr>
              <w:t>2.成品规格准确。(30%)</w:t>
            </w:r>
          </w:p>
          <w:p w14:paraId="774A6A76">
            <w:pPr>
              <w:pStyle w:val="6"/>
              <w:spacing w:line="213" w:lineRule="auto"/>
              <w:ind w:left="7"/>
              <w:rPr>
                <w:sz w:val="19"/>
                <w:szCs w:val="19"/>
              </w:rPr>
            </w:pPr>
            <w:r>
              <w:rPr>
                <w:spacing w:val="2"/>
                <w:sz w:val="19"/>
                <w:szCs w:val="19"/>
              </w:rPr>
              <w:t>3.针脚整齐，针距合理。(40%)</w:t>
            </w:r>
          </w:p>
          <w:p w14:paraId="12EDA88E">
            <w:pPr>
              <w:pStyle w:val="6"/>
              <w:spacing w:line="218" w:lineRule="auto"/>
              <w:ind w:left="7"/>
              <w:rPr>
                <w:sz w:val="19"/>
                <w:szCs w:val="19"/>
              </w:rPr>
            </w:pPr>
            <w:r>
              <w:rPr>
                <w:spacing w:val="2"/>
                <w:sz w:val="19"/>
                <w:szCs w:val="19"/>
              </w:rPr>
              <w:t>4.成品干净平整，无污渍。(10%)</w:t>
            </w:r>
          </w:p>
        </w:tc>
      </w:tr>
      <w:tr w14:paraId="135691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92" w:hRule="atLeast"/>
        </w:trPr>
        <w:tc>
          <w:tcPr>
            <w:tcW w:w="584" w:type="dxa"/>
            <w:vMerge w:val="continue"/>
            <w:tcBorders>
              <w:top w:val="nil"/>
            </w:tcBorders>
            <w:vAlign w:val="top"/>
          </w:tcPr>
          <w:p w14:paraId="2B77F1B5">
            <w:pPr>
              <w:rPr>
                <w:rFonts w:ascii="Arial"/>
                <w:sz w:val="21"/>
              </w:rPr>
            </w:pPr>
          </w:p>
        </w:tc>
        <w:tc>
          <w:tcPr>
            <w:tcW w:w="829" w:type="dxa"/>
            <w:vAlign w:val="top"/>
          </w:tcPr>
          <w:p w14:paraId="1F7AE13D">
            <w:pPr>
              <w:spacing w:line="261" w:lineRule="auto"/>
              <w:rPr>
                <w:rFonts w:ascii="Arial"/>
                <w:sz w:val="21"/>
              </w:rPr>
            </w:pPr>
          </w:p>
          <w:p w14:paraId="2C7FB725">
            <w:pPr>
              <w:spacing w:line="261" w:lineRule="auto"/>
              <w:rPr>
                <w:rFonts w:ascii="Arial"/>
                <w:sz w:val="21"/>
              </w:rPr>
            </w:pPr>
          </w:p>
          <w:p w14:paraId="51F5123F">
            <w:pPr>
              <w:spacing w:line="261" w:lineRule="auto"/>
              <w:rPr>
                <w:rFonts w:ascii="Arial"/>
                <w:sz w:val="21"/>
              </w:rPr>
            </w:pPr>
          </w:p>
          <w:p w14:paraId="7552A4B7">
            <w:pPr>
              <w:spacing w:line="261" w:lineRule="auto"/>
              <w:rPr>
                <w:rFonts w:ascii="Arial"/>
                <w:sz w:val="21"/>
              </w:rPr>
            </w:pPr>
          </w:p>
          <w:p w14:paraId="74B4F558">
            <w:pPr>
              <w:spacing w:line="262" w:lineRule="auto"/>
              <w:rPr>
                <w:rFonts w:ascii="Arial"/>
                <w:sz w:val="21"/>
              </w:rPr>
            </w:pPr>
          </w:p>
          <w:p w14:paraId="42CC2AC3">
            <w:pPr>
              <w:pStyle w:val="6"/>
              <w:spacing w:before="61" w:line="209" w:lineRule="auto"/>
              <w:ind w:left="10" w:right="1" w:firstLine="110"/>
              <w:rPr>
                <w:sz w:val="19"/>
                <w:szCs w:val="19"/>
              </w:rPr>
            </w:pPr>
            <w:r>
              <w:rPr>
                <w:spacing w:val="-4"/>
                <w:sz w:val="19"/>
                <w:szCs w:val="19"/>
              </w:rPr>
              <w:t>项目十</w:t>
            </w:r>
            <w:r>
              <w:rPr>
                <w:sz w:val="19"/>
                <w:szCs w:val="19"/>
              </w:rPr>
              <w:t xml:space="preserve">  </w:t>
            </w:r>
            <w:r>
              <w:rPr>
                <w:spacing w:val="-15"/>
                <w:w w:val="92"/>
                <w:sz w:val="19"/>
                <w:szCs w:val="19"/>
              </w:rPr>
              <w:t>手工缝制</w:t>
            </w:r>
            <w:r>
              <w:rPr>
                <w:spacing w:val="-10"/>
                <w:w w:val="92"/>
                <w:sz w:val="19"/>
                <w:szCs w:val="19"/>
              </w:rPr>
              <w:t>服</w:t>
            </w:r>
            <w:r>
              <w:rPr>
                <w:spacing w:val="1"/>
                <w:sz w:val="19"/>
                <w:szCs w:val="19"/>
              </w:rPr>
              <w:t xml:space="preserve"> </w:t>
            </w:r>
            <w:r>
              <w:rPr>
                <w:sz w:val="19"/>
                <w:szCs w:val="19"/>
              </w:rPr>
              <w:t>装零部件</w:t>
            </w:r>
          </w:p>
        </w:tc>
        <w:tc>
          <w:tcPr>
            <w:tcW w:w="2087" w:type="dxa"/>
            <w:vAlign w:val="top"/>
          </w:tcPr>
          <w:p w14:paraId="4673936E">
            <w:pPr>
              <w:spacing w:line="241" w:lineRule="auto"/>
              <w:rPr>
                <w:rFonts w:ascii="Arial"/>
                <w:sz w:val="21"/>
              </w:rPr>
            </w:pPr>
          </w:p>
          <w:p w14:paraId="2E92C835">
            <w:pPr>
              <w:spacing w:line="242" w:lineRule="auto"/>
              <w:rPr>
                <w:rFonts w:ascii="Arial"/>
                <w:sz w:val="21"/>
              </w:rPr>
            </w:pPr>
          </w:p>
          <w:p w14:paraId="11343246">
            <w:pPr>
              <w:spacing w:line="242" w:lineRule="auto"/>
              <w:rPr>
                <w:rFonts w:ascii="Arial"/>
                <w:sz w:val="21"/>
              </w:rPr>
            </w:pPr>
          </w:p>
          <w:p w14:paraId="60E2D225">
            <w:pPr>
              <w:spacing w:line="242" w:lineRule="auto"/>
              <w:rPr>
                <w:rFonts w:ascii="Arial"/>
                <w:sz w:val="21"/>
              </w:rPr>
            </w:pPr>
          </w:p>
          <w:p w14:paraId="5723BF95">
            <w:pPr>
              <w:pStyle w:val="6"/>
              <w:spacing w:before="61" w:line="214" w:lineRule="auto"/>
              <w:ind w:left="11" w:right="158"/>
              <w:jc w:val="both"/>
              <w:rPr>
                <w:sz w:val="19"/>
                <w:szCs w:val="19"/>
              </w:rPr>
            </w:pPr>
            <w:r>
              <w:rPr>
                <w:sz w:val="19"/>
                <w:szCs w:val="19"/>
              </w:rPr>
              <w:t>1.工位上提供50cm白坯</w:t>
            </w:r>
            <w:r>
              <w:rPr>
                <w:spacing w:val="5"/>
                <w:sz w:val="19"/>
                <w:szCs w:val="19"/>
              </w:rPr>
              <w:t xml:space="preserve"> </w:t>
            </w:r>
            <w:r>
              <w:rPr>
                <w:sz w:val="19"/>
                <w:szCs w:val="19"/>
              </w:rPr>
              <w:t>布、50cm袋布、无纺衬</w:t>
            </w:r>
            <w:r>
              <w:rPr>
                <w:spacing w:val="1"/>
                <w:sz w:val="19"/>
                <w:szCs w:val="19"/>
              </w:rPr>
              <w:t xml:space="preserve"> </w:t>
            </w:r>
            <w:r>
              <w:rPr>
                <w:spacing w:val="-3"/>
                <w:sz w:val="19"/>
                <w:szCs w:val="19"/>
              </w:rPr>
              <w:t>30cm</w:t>
            </w:r>
          </w:p>
          <w:p w14:paraId="48B3BC26">
            <w:pPr>
              <w:pStyle w:val="6"/>
              <w:spacing w:line="222" w:lineRule="auto"/>
              <w:ind w:left="11"/>
              <w:jc w:val="both"/>
              <w:rPr>
                <w:sz w:val="19"/>
                <w:szCs w:val="19"/>
              </w:rPr>
            </w:pPr>
            <w:r>
              <w:rPr>
                <w:spacing w:val="-2"/>
                <w:sz w:val="19"/>
                <w:szCs w:val="19"/>
              </w:rPr>
              <w:t>2.考生自备缝纫工具(剪</w:t>
            </w:r>
            <w:r>
              <w:rPr>
                <w:sz w:val="19"/>
                <w:szCs w:val="19"/>
              </w:rPr>
              <w:t xml:space="preserve">  </w:t>
            </w:r>
            <w:r>
              <w:rPr>
                <w:spacing w:val="-3"/>
                <w:sz w:val="19"/>
                <w:szCs w:val="19"/>
              </w:rPr>
              <w:t>刀、尺、划粉、锥子、针</w:t>
            </w:r>
            <w:r>
              <w:rPr>
                <w:spacing w:val="7"/>
                <w:sz w:val="19"/>
                <w:szCs w:val="19"/>
              </w:rPr>
              <w:t xml:space="preserve"> </w:t>
            </w:r>
            <w:r>
              <w:rPr>
                <w:spacing w:val="11"/>
                <w:sz w:val="19"/>
                <w:szCs w:val="19"/>
              </w:rPr>
              <w:t>线等)</w:t>
            </w:r>
          </w:p>
        </w:tc>
        <w:tc>
          <w:tcPr>
            <w:tcW w:w="959" w:type="dxa"/>
            <w:vAlign w:val="top"/>
          </w:tcPr>
          <w:p w14:paraId="2B16BB10">
            <w:pPr>
              <w:spacing w:line="410" w:lineRule="auto"/>
              <w:rPr>
                <w:rFonts w:ascii="Arial"/>
                <w:sz w:val="21"/>
              </w:rPr>
            </w:pPr>
          </w:p>
          <w:p w14:paraId="12A74E9A">
            <w:pPr>
              <w:pStyle w:val="6"/>
              <w:spacing w:before="62" w:line="215" w:lineRule="auto"/>
              <w:jc w:val="right"/>
              <w:rPr>
                <w:sz w:val="19"/>
                <w:szCs w:val="19"/>
              </w:rPr>
            </w:pPr>
            <w:r>
              <w:rPr>
                <w:spacing w:val="-22"/>
                <w:sz w:val="19"/>
                <w:szCs w:val="19"/>
              </w:rPr>
              <w:t>教</w:t>
            </w:r>
            <w:r>
              <w:rPr>
                <w:spacing w:val="-21"/>
                <w:sz w:val="19"/>
                <w:szCs w:val="19"/>
              </w:rPr>
              <w:t>材中(《</w:t>
            </w:r>
            <w:r>
              <w:rPr>
                <w:spacing w:val="-8"/>
                <w:sz w:val="19"/>
                <w:szCs w:val="19"/>
              </w:rPr>
              <w:t>服</w:t>
            </w:r>
          </w:p>
          <w:p w14:paraId="70803355">
            <w:pPr>
              <w:pStyle w:val="6"/>
              <w:spacing w:line="213" w:lineRule="auto"/>
              <w:ind w:left="94"/>
              <w:rPr>
                <w:sz w:val="19"/>
                <w:szCs w:val="19"/>
              </w:rPr>
            </w:pPr>
            <w:r>
              <w:rPr>
                <w:spacing w:val="-2"/>
                <w:sz w:val="19"/>
                <w:szCs w:val="19"/>
              </w:rPr>
              <w:t>装缝制工</w:t>
            </w:r>
          </w:p>
          <w:p w14:paraId="6EB56226">
            <w:pPr>
              <w:pStyle w:val="6"/>
              <w:spacing w:line="213" w:lineRule="auto"/>
              <w:jc w:val="right"/>
              <w:rPr>
                <w:sz w:val="19"/>
                <w:szCs w:val="19"/>
              </w:rPr>
            </w:pPr>
            <w:r>
              <w:rPr>
                <w:spacing w:val="-4"/>
                <w:sz w:val="19"/>
                <w:szCs w:val="19"/>
              </w:rPr>
              <w:t>艺》第四版</w:t>
            </w:r>
          </w:p>
          <w:p w14:paraId="057D6D72">
            <w:pPr>
              <w:pStyle w:val="6"/>
              <w:spacing w:line="213" w:lineRule="auto"/>
              <w:ind w:left="94"/>
              <w:rPr>
                <w:sz w:val="19"/>
                <w:szCs w:val="19"/>
              </w:rPr>
            </w:pPr>
            <w:r>
              <w:rPr>
                <w:spacing w:val="2"/>
                <w:sz w:val="19"/>
                <w:szCs w:val="19"/>
              </w:rPr>
              <w:t>张明德主</w:t>
            </w:r>
          </w:p>
          <w:p w14:paraId="225F6340">
            <w:pPr>
              <w:pStyle w:val="6"/>
              <w:spacing w:line="213" w:lineRule="auto"/>
              <w:ind w:left="44"/>
              <w:rPr>
                <w:sz w:val="19"/>
                <w:szCs w:val="19"/>
              </w:rPr>
            </w:pPr>
            <w:r>
              <w:rPr>
                <w:spacing w:val="-2"/>
                <w:sz w:val="19"/>
                <w:szCs w:val="19"/>
              </w:rPr>
              <w:t>编)所涵盖</w:t>
            </w:r>
          </w:p>
          <w:p w14:paraId="237D1ACA">
            <w:pPr>
              <w:pStyle w:val="6"/>
              <w:spacing w:before="1" w:line="213" w:lineRule="auto"/>
              <w:ind w:right="2"/>
              <w:jc w:val="right"/>
              <w:rPr>
                <w:sz w:val="19"/>
                <w:szCs w:val="19"/>
              </w:rPr>
            </w:pPr>
            <w:r>
              <w:rPr>
                <w:spacing w:val="-4"/>
                <w:sz w:val="19"/>
                <w:szCs w:val="19"/>
              </w:rPr>
              <w:t>的服装零部</w:t>
            </w:r>
          </w:p>
          <w:p w14:paraId="66F3B288">
            <w:pPr>
              <w:pStyle w:val="6"/>
              <w:spacing w:before="1" w:line="214" w:lineRule="auto"/>
              <w:jc w:val="right"/>
              <w:rPr>
                <w:sz w:val="19"/>
                <w:szCs w:val="19"/>
              </w:rPr>
            </w:pPr>
            <w:r>
              <w:rPr>
                <w:spacing w:val="-4"/>
                <w:sz w:val="19"/>
                <w:szCs w:val="19"/>
              </w:rPr>
              <w:t>件，如单嵌</w:t>
            </w:r>
          </w:p>
          <w:p w14:paraId="7FBDB6E2">
            <w:pPr>
              <w:pStyle w:val="6"/>
              <w:spacing w:line="220" w:lineRule="auto"/>
              <w:jc w:val="right"/>
              <w:rPr>
                <w:sz w:val="19"/>
                <w:szCs w:val="19"/>
              </w:rPr>
            </w:pPr>
            <w:r>
              <w:rPr>
                <w:spacing w:val="-4"/>
                <w:sz w:val="19"/>
                <w:szCs w:val="19"/>
              </w:rPr>
              <w:t>线袋、双嵌</w:t>
            </w:r>
          </w:p>
          <w:p w14:paraId="5A4DEF76">
            <w:pPr>
              <w:pStyle w:val="6"/>
              <w:spacing w:before="13" w:line="194" w:lineRule="auto"/>
              <w:jc w:val="right"/>
              <w:rPr>
                <w:sz w:val="19"/>
                <w:szCs w:val="19"/>
              </w:rPr>
            </w:pPr>
            <w:r>
              <w:rPr>
                <w:spacing w:val="-4"/>
                <w:sz w:val="19"/>
                <w:szCs w:val="19"/>
              </w:rPr>
              <w:t>线袋、宝剑</w:t>
            </w:r>
          </w:p>
          <w:p w14:paraId="7A2509B1">
            <w:pPr>
              <w:pStyle w:val="6"/>
              <w:spacing w:line="219" w:lineRule="auto"/>
              <w:jc w:val="right"/>
              <w:rPr>
                <w:sz w:val="19"/>
                <w:szCs w:val="19"/>
              </w:rPr>
            </w:pPr>
            <w:r>
              <w:rPr>
                <w:spacing w:val="-4"/>
                <w:sz w:val="19"/>
                <w:szCs w:val="19"/>
              </w:rPr>
              <w:t>头袖叉、盘</w:t>
            </w:r>
          </w:p>
          <w:p w14:paraId="397E1A46">
            <w:pPr>
              <w:pStyle w:val="6"/>
              <w:spacing w:before="5" w:line="219" w:lineRule="auto"/>
              <w:ind w:left="284"/>
              <w:rPr>
                <w:sz w:val="19"/>
                <w:szCs w:val="19"/>
              </w:rPr>
            </w:pPr>
            <w:r>
              <w:rPr>
                <w:spacing w:val="-3"/>
                <w:sz w:val="19"/>
                <w:szCs w:val="19"/>
              </w:rPr>
              <w:t>扣等</w:t>
            </w:r>
          </w:p>
        </w:tc>
        <w:tc>
          <w:tcPr>
            <w:tcW w:w="439" w:type="dxa"/>
            <w:vMerge w:val="continue"/>
            <w:tcBorders>
              <w:top w:val="nil"/>
            </w:tcBorders>
            <w:vAlign w:val="top"/>
          </w:tcPr>
          <w:p w14:paraId="6EC57C37">
            <w:pPr>
              <w:rPr>
                <w:rFonts w:ascii="Arial"/>
                <w:sz w:val="21"/>
              </w:rPr>
            </w:pPr>
          </w:p>
        </w:tc>
        <w:tc>
          <w:tcPr>
            <w:tcW w:w="879" w:type="dxa"/>
            <w:vMerge w:val="continue"/>
            <w:tcBorders>
              <w:top w:val="nil"/>
            </w:tcBorders>
            <w:vAlign w:val="top"/>
          </w:tcPr>
          <w:p w14:paraId="4FB8056B">
            <w:pPr>
              <w:rPr>
                <w:rFonts w:ascii="Arial"/>
                <w:sz w:val="21"/>
              </w:rPr>
            </w:pPr>
          </w:p>
        </w:tc>
        <w:tc>
          <w:tcPr>
            <w:tcW w:w="2922" w:type="dxa"/>
            <w:vAlign w:val="top"/>
          </w:tcPr>
          <w:p w14:paraId="2831E701">
            <w:pPr>
              <w:spacing w:line="253" w:lineRule="auto"/>
              <w:rPr>
                <w:rFonts w:ascii="Arial"/>
                <w:sz w:val="21"/>
              </w:rPr>
            </w:pPr>
          </w:p>
          <w:p w14:paraId="6BEC3C5D">
            <w:pPr>
              <w:spacing w:line="253" w:lineRule="auto"/>
              <w:rPr>
                <w:rFonts w:ascii="Arial"/>
                <w:sz w:val="21"/>
              </w:rPr>
            </w:pPr>
          </w:p>
          <w:p w14:paraId="18EE4859">
            <w:pPr>
              <w:spacing w:line="253" w:lineRule="auto"/>
              <w:rPr>
                <w:rFonts w:ascii="Arial"/>
                <w:sz w:val="21"/>
              </w:rPr>
            </w:pPr>
          </w:p>
          <w:p w14:paraId="7721E0F0">
            <w:pPr>
              <w:pStyle w:val="6"/>
              <w:spacing w:before="61" w:line="204" w:lineRule="auto"/>
              <w:ind w:left="7"/>
              <w:rPr>
                <w:sz w:val="19"/>
                <w:szCs w:val="19"/>
              </w:rPr>
            </w:pPr>
            <w:r>
              <w:rPr>
                <w:spacing w:val="2"/>
                <w:sz w:val="19"/>
                <w:szCs w:val="19"/>
              </w:rPr>
              <w:t>1.符合成品规格要求。(20%)</w:t>
            </w:r>
          </w:p>
          <w:p w14:paraId="76EADA5A">
            <w:pPr>
              <w:pStyle w:val="6"/>
              <w:spacing w:line="217" w:lineRule="auto"/>
              <w:ind w:left="7" w:firstLine="9"/>
              <w:jc w:val="both"/>
              <w:rPr>
                <w:sz w:val="19"/>
                <w:szCs w:val="19"/>
              </w:rPr>
            </w:pPr>
            <w:r>
              <w:rPr>
                <w:spacing w:val="-6"/>
                <w:sz w:val="19"/>
                <w:szCs w:val="19"/>
              </w:rPr>
              <w:t>2.根据款式与工艺要求，相关部位</w:t>
            </w:r>
            <w:r>
              <w:rPr>
                <w:sz w:val="19"/>
                <w:szCs w:val="19"/>
              </w:rPr>
              <w:t xml:space="preserve">  </w:t>
            </w:r>
            <w:r>
              <w:rPr>
                <w:spacing w:val="-20"/>
                <w:sz w:val="19"/>
                <w:szCs w:val="19"/>
              </w:rPr>
              <w:t>做到左右对称、宽窄一致、长短一致。</w:t>
            </w:r>
            <w:r>
              <w:rPr>
                <w:spacing w:val="13"/>
                <w:sz w:val="19"/>
                <w:szCs w:val="19"/>
              </w:rPr>
              <w:t xml:space="preserve"> </w:t>
            </w:r>
            <w:r>
              <w:rPr>
                <w:spacing w:val="-9"/>
                <w:sz w:val="19"/>
                <w:szCs w:val="19"/>
              </w:rPr>
              <w:t>(30%)</w:t>
            </w:r>
          </w:p>
          <w:p w14:paraId="00631E94">
            <w:pPr>
              <w:pStyle w:val="6"/>
              <w:spacing w:line="214" w:lineRule="auto"/>
              <w:ind w:left="7" w:right="55" w:firstLine="10"/>
              <w:rPr>
                <w:sz w:val="19"/>
                <w:szCs w:val="19"/>
              </w:rPr>
            </w:pPr>
            <w:r>
              <w:rPr>
                <w:spacing w:val="-1"/>
                <w:sz w:val="19"/>
                <w:szCs w:val="19"/>
              </w:rPr>
              <w:t>3.缝线顺直、整齐，线迹美观，针</w:t>
            </w:r>
            <w:r>
              <w:rPr>
                <w:spacing w:val="3"/>
                <w:sz w:val="19"/>
                <w:szCs w:val="19"/>
              </w:rPr>
              <w:t xml:space="preserve"> </w:t>
            </w:r>
            <w:r>
              <w:rPr>
                <w:spacing w:val="4"/>
                <w:sz w:val="19"/>
                <w:szCs w:val="19"/>
              </w:rPr>
              <w:t>距合理。(40%)</w:t>
            </w:r>
          </w:p>
          <w:p w14:paraId="074879DF">
            <w:pPr>
              <w:pStyle w:val="6"/>
              <w:spacing w:before="1" w:line="216" w:lineRule="auto"/>
              <w:ind w:left="7"/>
              <w:rPr>
                <w:sz w:val="19"/>
                <w:szCs w:val="19"/>
              </w:rPr>
            </w:pPr>
            <w:r>
              <w:rPr>
                <w:spacing w:val="-8"/>
                <w:sz w:val="19"/>
                <w:szCs w:val="19"/>
              </w:rPr>
              <w:t>4.外观整洁平服，不起涟、不拉还、</w:t>
            </w:r>
            <w:r>
              <w:rPr>
                <w:sz w:val="19"/>
                <w:szCs w:val="19"/>
              </w:rPr>
              <w:t xml:space="preserve"> </w:t>
            </w:r>
            <w:r>
              <w:rPr>
                <w:spacing w:val="-1"/>
                <w:sz w:val="19"/>
                <w:szCs w:val="19"/>
              </w:rPr>
              <w:t>无褶祠。(10%)</w:t>
            </w:r>
          </w:p>
        </w:tc>
      </w:tr>
    </w:tbl>
    <w:p w14:paraId="2DD26901">
      <w:pPr>
        <w:pStyle w:val="2"/>
      </w:pPr>
    </w:p>
    <w:p w14:paraId="42EA16BF">
      <w:pPr>
        <w:sectPr>
          <w:footerReference r:id="rId76" w:type="default"/>
          <w:pgSz w:w="10660" w:h="15080"/>
          <w:pgMar w:top="400" w:right="1055" w:bottom="925" w:left="809" w:header="0" w:footer="705" w:gutter="0"/>
          <w:cols w:space="720" w:num="1"/>
        </w:sectPr>
      </w:pPr>
    </w:p>
    <w:p w14:paraId="58ADA19F">
      <w:pPr>
        <w:spacing w:before="75"/>
      </w:pPr>
    </w:p>
    <w:p w14:paraId="00255EA1">
      <w:pPr>
        <w:spacing w:before="75"/>
      </w:pPr>
    </w:p>
    <w:p w14:paraId="687BD86A">
      <w:pPr>
        <w:spacing w:before="75"/>
      </w:pPr>
    </w:p>
    <w:p w14:paraId="5B8287A8">
      <w:pPr>
        <w:sectPr>
          <w:footerReference r:id="rId77" w:type="default"/>
          <w:pgSz w:w="10660" w:h="15080"/>
          <w:pgMar w:top="400" w:right="835" w:bottom="925" w:left="1015" w:header="0" w:footer="705" w:gutter="0"/>
          <w:cols w:equalWidth="0" w:num="1">
            <w:col w:w="8810"/>
          </w:cols>
        </w:sectPr>
      </w:pPr>
    </w:p>
    <w:p w14:paraId="0535508C">
      <w:pPr>
        <w:spacing w:before="54" w:line="221" w:lineRule="auto"/>
        <w:ind w:left="8"/>
        <w:rPr>
          <w:rFonts w:ascii="黑体" w:hAnsi="黑体" w:eastAsia="黑体" w:cs="黑体"/>
          <w:sz w:val="27"/>
          <w:szCs w:val="27"/>
        </w:rPr>
      </w:pPr>
      <w:r>
        <w:rPr>
          <w:rFonts w:ascii="黑体" w:hAnsi="黑体" w:eastAsia="黑体" w:cs="黑体"/>
          <w:b/>
          <w:bCs/>
          <w:spacing w:val="20"/>
          <w:sz w:val="27"/>
          <w:szCs w:val="27"/>
        </w:rPr>
        <w:t>文化艺术大类(艺术设计类)专业</w:t>
      </w:r>
    </w:p>
    <w:p w14:paraId="42A24D71">
      <w:pPr>
        <w:spacing w:before="76" w:line="221" w:lineRule="auto"/>
        <w:ind w:left="1258"/>
        <w:outlineLvl w:val="0"/>
        <w:rPr>
          <w:rFonts w:ascii="黑体" w:hAnsi="黑体" w:eastAsia="黑体" w:cs="黑体"/>
          <w:sz w:val="27"/>
          <w:szCs w:val="27"/>
        </w:rPr>
      </w:pPr>
      <w:bookmarkStart w:id="45" w:name="bookmark11"/>
      <w:bookmarkEnd w:id="45"/>
      <w:r>
        <w:rPr>
          <w:rFonts w:ascii="黑体" w:hAnsi="黑体" w:eastAsia="黑体" w:cs="黑体"/>
          <w:b/>
          <w:bCs/>
          <w:sz w:val="27"/>
          <w:szCs w:val="27"/>
        </w:rPr>
        <w:t>理论考试纲要</w:t>
      </w:r>
    </w:p>
    <w:p w14:paraId="7321EED6">
      <w:pPr>
        <w:spacing w:before="226" w:line="221" w:lineRule="auto"/>
        <w:ind w:left="8"/>
        <w:rPr>
          <w:rFonts w:ascii="黑体" w:hAnsi="黑体" w:eastAsia="黑体" w:cs="黑体"/>
          <w:sz w:val="23"/>
          <w:szCs w:val="23"/>
        </w:rPr>
      </w:pPr>
      <w:r>
        <w:rPr>
          <w:rFonts w:ascii="黑体" w:hAnsi="黑体" w:eastAsia="黑体" w:cs="黑体"/>
          <w:b/>
          <w:bCs/>
          <w:spacing w:val="-6"/>
          <w:sz w:val="23"/>
          <w:szCs w:val="23"/>
        </w:rPr>
        <w:t>一、考试范围和内容</w:t>
      </w:r>
    </w:p>
    <w:p w14:paraId="1B929F3F">
      <w:pPr>
        <w:spacing w:before="86" w:line="313" w:lineRule="auto"/>
        <w:ind w:left="4" w:right="333" w:firstLine="360"/>
        <w:rPr>
          <w:rFonts w:ascii="宋体" w:hAnsi="宋体" w:eastAsia="宋体" w:cs="宋体"/>
          <w:sz w:val="17"/>
          <w:szCs w:val="17"/>
        </w:rPr>
      </w:pPr>
      <w:r>
        <w:rPr>
          <w:rFonts w:ascii="宋体" w:hAnsi="宋体" w:eastAsia="宋体" w:cs="宋体"/>
          <w:spacing w:val="2"/>
          <w:sz w:val="17"/>
          <w:szCs w:val="17"/>
        </w:rPr>
        <w:t>艺术设计类专业理论课考试主要分为三部分，这三</w:t>
      </w:r>
      <w:r>
        <w:rPr>
          <w:rFonts w:ascii="宋体" w:hAnsi="宋体" w:eastAsia="宋体" w:cs="宋体"/>
          <w:spacing w:val="11"/>
          <w:sz w:val="17"/>
          <w:szCs w:val="17"/>
        </w:rPr>
        <w:t xml:space="preserve"> </w:t>
      </w:r>
      <w:r>
        <w:rPr>
          <w:rFonts w:ascii="宋体" w:hAnsi="宋体" w:eastAsia="宋体" w:cs="宋体"/>
          <w:spacing w:val="-3"/>
          <w:sz w:val="17"/>
          <w:szCs w:val="17"/>
        </w:rPr>
        <w:t>部分的考核内容如下：</w:t>
      </w:r>
    </w:p>
    <w:p w14:paraId="5F0785FB">
      <w:pPr>
        <w:spacing w:before="6" w:line="311" w:lineRule="auto"/>
        <w:ind w:left="4" w:right="272" w:firstLine="360"/>
        <w:rPr>
          <w:rFonts w:ascii="宋体" w:hAnsi="宋体" w:eastAsia="宋体" w:cs="宋体"/>
          <w:sz w:val="17"/>
          <w:szCs w:val="17"/>
        </w:rPr>
      </w:pPr>
      <w:r>
        <w:rPr>
          <w:rFonts w:ascii="宋体" w:hAnsi="宋体" w:eastAsia="宋体" w:cs="宋体"/>
          <w:spacing w:val="1"/>
          <w:sz w:val="17"/>
          <w:szCs w:val="17"/>
        </w:rPr>
        <w:t>素描主要考核考生用单色的线条和块面去描绘和塑</w:t>
      </w:r>
      <w:r>
        <w:rPr>
          <w:rFonts w:ascii="宋体" w:hAnsi="宋体" w:eastAsia="宋体" w:cs="宋体"/>
          <w:spacing w:val="2"/>
          <w:sz w:val="17"/>
          <w:szCs w:val="17"/>
        </w:rPr>
        <w:t xml:space="preserve">  造形体结构，空间变化的能力。素描考试的目的就是在</w:t>
      </w:r>
      <w:r>
        <w:rPr>
          <w:rFonts w:ascii="宋体" w:hAnsi="宋体" w:eastAsia="宋体" w:cs="宋体"/>
          <w:sz w:val="17"/>
          <w:szCs w:val="17"/>
        </w:rPr>
        <w:t xml:space="preserve">  </w:t>
      </w:r>
      <w:r>
        <w:rPr>
          <w:rFonts w:ascii="宋体" w:hAnsi="宋体" w:eastAsia="宋体" w:cs="宋体"/>
          <w:spacing w:val="-2"/>
          <w:sz w:val="17"/>
          <w:szCs w:val="17"/>
        </w:rPr>
        <w:t>有限的时间内，考查考生是否能准确地画出物象和形体、</w:t>
      </w:r>
      <w:r>
        <w:rPr>
          <w:rFonts w:ascii="宋体" w:hAnsi="宋体" w:eastAsia="宋体" w:cs="宋体"/>
          <w:spacing w:val="17"/>
          <w:sz w:val="17"/>
          <w:szCs w:val="17"/>
        </w:rPr>
        <w:t xml:space="preserve"> </w:t>
      </w:r>
      <w:r>
        <w:rPr>
          <w:rFonts w:ascii="宋体" w:hAnsi="宋体" w:eastAsia="宋体" w:cs="宋体"/>
          <w:spacing w:val="2"/>
          <w:sz w:val="17"/>
          <w:szCs w:val="17"/>
        </w:rPr>
        <w:t>比例、透视和结构关系，能否概括地表现出物象的</w:t>
      </w:r>
      <w:r>
        <w:rPr>
          <w:rFonts w:ascii="宋体" w:hAnsi="宋体" w:eastAsia="宋体" w:cs="宋体"/>
          <w:spacing w:val="1"/>
          <w:sz w:val="17"/>
          <w:szCs w:val="17"/>
        </w:rPr>
        <w:t>立体</w:t>
      </w:r>
      <w:r>
        <w:rPr>
          <w:rFonts w:ascii="宋体" w:hAnsi="宋体" w:eastAsia="宋体" w:cs="宋体"/>
          <w:sz w:val="17"/>
          <w:szCs w:val="17"/>
        </w:rPr>
        <w:t xml:space="preserve">  </w:t>
      </w:r>
      <w:r>
        <w:rPr>
          <w:rFonts w:ascii="宋体" w:hAnsi="宋体" w:eastAsia="宋体" w:cs="宋体"/>
          <w:spacing w:val="2"/>
          <w:sz w:val="17"/>
          <w:szCs w:val="17"/>
        </w:rPr>
        <w:t>感、空间感和质量感，从而判断考生素描的基础知识和  表现技法的掌握程度。考试内容为静物组合写生或人物</w:t>
      </w:r>
      <w:r>
        <w:rPr>
          <w:rFonts w:ascii="宋体" w:hAnsi="宋体" w:eastAsia="宋体" w:cs="宋体"/>
          <w:sz w:val="17"/>
          <w:szCs w:val="17"/>
        </w:rPr>
        <w:t xml:space="preserve">  </w:t>
      </w:r>
      <w:r>
        <w:rPr>
          <w:rFonts w:ascii="宋体" w:hAnsi="宋体" w:eastAsia="宋体" w:cs="宋体"/>
          <w:spacing w:val="-2"/>
          <w:sz w:val="17"/>
          <w:szCs w:val="17"/>
        </w:rPr>
        <w:t>头像写生，每次考试选其中一项。</w:t>
      </w:r>
    </w:p>
    <w:p w14:paraId="148A4AE8">
      <w:pPr>
        <w:spacing w:before="24" w:line="306" w:lineRule="auto"/>
        <w:ind w:left="4" w:right="273" w:firstLine="360"/>
        <w:rPr>
          <w:rFonts w:ascii="宋体" w:hAnsi="宋体" w:eastAsia="宋体" w:cs="宋体"/>
          <w:sz w:val="17"/>
          <w:szCs w:val="17"/>
        </w:rPr>
      </w:pPr>
      <w:r>
        <w:rPr>
          <w:rFonts w:ascii="宋体" w:hAnsi="宋体" w:eastAsia="宋体" w:cs="宋体"/>
          <w:spacing w:val="-3"/>
          <w:sz w:val="17"/>
          <w:szCs w:val="17"/>
        </w:rPr>
        <w:t>平面设计主要考查考生对概念、要素、色彩、定位、</w:t>
      </w:r>
      <w:r>
        <w:rPr>
          <w:rFonts w:ascii="宋体" w:hAnsi="宋体" w:eastAsia="宋体" w:cs="宋体"/>
          <w:spacing w:val="14"/>
          <w:sz w:val="17"/>
          <w:szCs w:val="17"/>
        </w:rPr>
        <w:t xml:space="preserve"> </w:t>
      </w:r>
      <w:r>
        <w:rPr>
          <w:rFonts w:ascii="宋体" w:hAnsi="宋体" w:eastAsia="宋体" w:cs="宋体"/>
          <w:spacing w:val="1"/>
          <w:sz w:val="17"/>
          <w:szCs w:val="17"/>
        </w:rPr>
        <w:t>构图的掌握，注重考核平面设计的创意、编排、文字、</w:t>
      </w:r>
      <w:r>
        <w:rPr>
          <w:rFonts w:ascii="宋体" w:hAnsi="宋体" w:eastAsia="宋体" w:cs="宋体"/>
          <w:spacing w:val="5"/>
          <w:sz w:val="17"/>
          <w:szCs w:val="17"/>
        </w:rPr>
        <w:t xml:space="preserve">  </w:t>
      </w:r>
      <w:r>
        <w:rPr>
          <w:rFonts w:ascii="宋体" w:hAnsi="宋体" w:eastAsia="宋体" w:cs="宋体"/>
          <w:spacing w:val="-2"/>
          <w:sz w:val="17"/>
          <w:szCs w:val="17"/>
        </w:rPr>
        <w:t>色彩、创新性与时代性、艺术性与商品性相结合的能力。</w:t>
      </w:r>
    </w:p>
    <w:p w14:paraId="62E76DD8">
      <w:pPr>
        <w:spacing w:before="21" w:line="312" w:lineRule="auto"/>
        <w:ind w:right="340" w:firstLine="365"/>
        <w:rPr>
          <w:rFonts w:ascii="宋体" w:hAnsi="宋体" w:eastAsia="宋体" w:cs="宋体"/>
          <w:sz w:val="17"/>
          <w:szCs w:val="17"/>
        </w:rPr>
      </w:pPr>
      <w:r>
        <w:rPr>
          <w:rFonts w:ascii="宋体" w:hAnsi="宋体" w:eastAsia="宋体" w:cs="宋体"/>
          <w:spacing w:val="1"/>
          <w:sz w:val="17"/>
          <w:szCs w:val="17"/>
        </w:rPr>
        <w:t>计算机设计基础以教育部颁发的中等职业学校《计</w:t>
      </w:r>
      <w:r>
        <w:rPr>
          <w:rFonts w:ascii="宋体" w:hAnsi="宋体" w:eastAsia="宋体" w:cs="宋体"/>
          <w:spacing w:val="4"/>
          <w:sz w:val="17"/>
          <w:szCs w:val="17"/>
        </w:rPr>
        <w:t xml:space="preserve"> </w:t>
      </w:r>
      <w:r>
        <w:rPr>
          <w:rFonts w:ascii="宋体" w:hAnsi="宋体" w:eastAsia="宋体" w:cs="宋体"/>
          <w:spacing w:val="2"/>
          <w:sz w:val="17"/>
          <w:szCs w:val="17"/>
        </w:rPr>
        <w:t>算机设计基础教学指导方案》和全国中等职业教育教材</w:t>
      </w:r>
      <w:r>
        <w:rPr>
          <w:rFonts w:ascii="宋体" w:hAnsi="宋体" w:eastAsia="宋体" w:cs="宋体"/>
          <w:spacing w:val="1"/>
          <w:sz w:val="17"/>
          <w:szCs w:val="17"/>
        </w:rPr>
        <w:t xml:space="preserve"> </w:t>
      </w:r>
      <w:r>
        <w:rPr>
          <w:rFonts w:ascii="宋体" w:hAnsi="宋体" w:eastAsia="宋体" w:cs="宋体"/>
          <w:spacing w:val="9"/>
          <w:sz w:val="17"/>
          <w:szCs w:val="17"/>
        </w:rPr>
        <w:t>委员会审定的中等职业教育工艺美术类国家规划教材</w:t>
      </w:r>
      <w:r>
        <w:rPr>
          <w:rFonts w:ascii="宋体" w:hAnsi="宋体" w:eastAsia="宋体" w:cs="宋体"/>
          <w:spacing w:val="13"/>
          <w:sz w:val="17"/>
          <w:szCs w:val="17"/>
        </w:rPr>
        <w:t xml:space="preserve"> </w:t>
      </w:r>
      <w:r>
        <w:rPr>
          <w:rFonts w:ascii="宋体" w:hAnsi="宋体" w:eastAsia="宋体" w:cs="宋体"/>
          <w:spacing w:val="10"/>
          <w:sz w:val="17"/>
          <w:szCs w:val="17"/>
        </w:rPr>
        <w:t>《计算机设计基础》(高等教育出版社)为依据，主要</w:t>
      </w:r>
      <w:r>
        <w:rPr>
          <w:rFonts w:ascii="宋体" w:hAnsi="宋体" w:eastAsia="宋体" w:cs="宋体"/>
          <w:spacing w:val="3"/>
          <w:sz w:val="17"/>
          <w:szCs w:val="17"/>
        </w:rPr>
        <w:t xml:space="preserve"> </w:t>
      </w:r>
      <w:r>
        <w:rPr>
          <w:rFonts w:ascii="宋体" w:hAnsi="宋体" w:eastAsia="宋体" w:cs="宋体"/>
          <w:spacing w:val="-2"/>
          <w:sz w:val="17"/>
          <w:szCs w:val="17"/>
        </w:rPr>
        <w:t>考查考生的美术设计基础、CorelDRAW</w:t>
      </w:r>
      <w:r>
        <w:rPr>
          <w:rFonts w:ascii="宋体" w:hAnsi="宋体" w:eastAsia="宋体" w:cs="宋体"/>
          <w:spacing w:val="84"/>
          <w:sz w:val="17"/>
          <w:szCs w:val="17"/>
        </w:rPr>
        <w:t xml:space="preserve"> </w:t>
      </w:r>
      <w:r>
        <w:rPr>
          <w:rFonts w:ascii="宋体" w:hAnsi="宋体" w:eastAsia="宋体" w:cs="宋体"/>
          <w:spacing w:val="-2"/>
          <w:sz w:val="17"/>
          <w:szCs w:val="17"/>
        </w:rPr>
        <w:t>和</w:t>
      </w:r>
      <w:r>
        <w:rPr>
          <w:rFonts w:ascii="宋体" w:hAnsi="宋体" w:eastAsia="宋体" w:cs="宋体"/>
          <w:spacing w:val="-28"/>
          <w:sz w:val="17"/>
          <w:szCs w:val="17"/>
        </w:rPr>
        <w:t xml:space="preserve"> </w:t>
      </w:r>
      <w:r>
        <w:rPr>
          <w:rFonts w:ascii="宋体" w:hAnsi="宋体" w:eastAsia="宋体" w:cs="宋体"/>
          <w:spacing w:val="-2"/>
          <w:sz w:val="17"/>
          <w:szCs w:val="17"/>
        </w:rPr>
        <w:t>Photoshop</w:t>
      </w:r>
      <w:r>
        <w:rPr>
          <w:rFonts w:ascii="宋体" w:hAnsi="宋体" w:eastAsia="宋体" w:cs="宋体"/>
          <w:spacing w:val="-32"/>
          <w:sz w:val="17"/>
          <w:szCs w:val="17"/>
        </w:rPr>
        <w:t xml:space="preserve"> </w:t>
      </w:r>
      <w:r>
        <w:rPr>
          <w:rFonts w:ascii="宋体" w:hAnsi="宋体" w:eastAsia="宋体" w:cs="宋体"/>
          <w:spacing w:val="-2"/>
          <w:sz w:val="17"/>
          <w:szCs w:val="17"/>
        </w:rPr>
        <w:t>软</w:t>
      </w:r>
      <w:r>
        <w:rPr>
          <w:rFonts w:ascii="宋体" w:hAnsi="宋体" w:eastAsia="宋体" w:cs="宋体"/>
          <w:sz w:val="17"/>
          <w:szCs w:val="17"/>
        </w:rPr>
        <w:t xml:space="preserve"> </w:t>
      </w:r>
      <w:r>
        <w:rPr>
          <w:rFonts w:ascii="宋体" w:hAnsi="宋体" w:eastAsia="宋体" w:cs="宋体"/>
          <w:spacing w:val="2"/>
          <w:sz w:val="17"/>
          <w:szCs w:val="17"/>
        </w:rPr>
        <w:t>件的基础知识和基本概念、基本操作，及对所学软件的</w:t>
      </w:r>
      <w:r>
        <w:rPr>
          <w:rFonts w:ascii="宋体" w:hAnsi="宋体" w:eastAsia="宋体" w:cs="宋体"/>
          <w:spacing w:val="9"/>
          <w:sz w:val="17"/>
          <w:szCs w:val="17"/>
        </w:rPr>
        <w:t xml:space="preserve"> </w:t>
      </w:r>
      <w:r>
        <w:rPr>
          <w:rFonts w:ascii="宋体" w:hAnsi="宋体" w:eastAsia="宋体" w:cs="宋体"/>
          <w:spacing w:val="2"/>
          <w:sz w:val="17"/>
          <w:szCs w:val="17"/>
        </w:rPr>
        <w:t>综合运用，主要是将专业知识中素描、平面设计及计算</w:t>
      </w:r>
      <w:r>
        <w:rPr>
          <w:rFonts w:ascii="宋体" w:hAnsi="宋体" w:eastAsia="宋体" w:cs="宋体"/>
          <w:spacing w:val="3"/>
          <w:sz w:val="17"/>
          <w:szCs w:val="17"/>
        </w:rPr>
        <w:t xml:space="preserve"> </w:t>
      </w:r>
      <w:r>
        <w:rPr>
          <w:rFonts w:ascii="宋体" w:hAnsi="宋体" w:eastAsia="宋体" w:cs="宋体"/>
          <w:spacing w:val="-2"/>
          <w:sz w:val="17"/>
          <w:szCs w:val="17"/>
        </w:rPr>
        <w:t>机美术设计综合在一起进行考核。</w:t>
      </w:r>
    </w:p>
    <w:p w14:paraId="7CF0D3F9">
      <w:pPr>
        <w:spacing w:before="23" w:line="221" w:lineRule="auto"/>
        <w:ind w:left="8"/>
        <w:rPr>
          <w:rFonts w:ascii="黑体" w:hAnsi="黑体" w:eastAsia="黑体" w:cs="黑体"/>
          <w:sz w:val="23"/>
          <w:szCs w:val="23"/>
        </w:rPr>
      </w:pPr>
      <w:r>
        <w:rPr>
          <w:rFonts w:ascii="黑体" w:hAnsi="黑体" w:eastAsia="黑体" w:cs="黑体"/>
          <w:b/>
          <w:bCs/>
          <w:spacing w:val="-5"/>
          <w:sz w:val="23"/>
          <w:szCs w:val="23"/>
        </w:rPr>
        <w:t>二、考生目标和水平层次</w:t>
      </w:r>
    </w:p>
    <w:p w14:paraId="4B2B73E3">
      <w:pPr>
        <w:spacing w:before="76" w:line="311" w:lineRule="auto"/>
        <w:ind w:left="4" w:right="272" w:firstLine="360"/>
        <w:rPr>
          <w:rFonts w:ascii="宋体" w:hAnsi="宋体" w:eastAsia="宋体" w:cs="宋体"/>
          <w:sz w:val="17"/>
          <w:szCs w:val="17"/>
        </w:rPr>
      </w:pPr>
      <w:r>
        <w:rPr>
          <w:rFonts w:ascii="宋体" w:hAnsi="宋体" w:eastAsia="宋体" w:cs="宋体"/>
          <w:spacing w:val="1"/>
          <w:sz w:val="17"/>
          <w:szCs w:val="17"/>
        </w:rPr>
        <w:t>本纲要考试目标包括知识与技能要点、考试条目和</w:t>
      </w:r>
      <w:r>
        <w:rPr>
          <w:rFonts w:ascii="宋体" w:hAnsi="宋体" w:eastAsia="宋体" w:cs="宋体"/>
          <w:spacing w:val="5"/>
          <w:sz w:val="17"/>
          <w:szCs w:val="17"/>
        </w:rPr>
        <w:t xml:space="preserve">  </w:t>
      </w:r>
      <w:r>
        <w:rPr>
          <w:rFonts w:ascii="宋体" w:hAnsi="宋体" w:eastAsia="宋体" w:cs="宋体"/>
          <w:spacing w:val="2"/>
          <w:sz w:val="17"/>
          <w:szCs w:val="17"/>
        </w:rPr>
        <w:t>考试水平三部分。其中，“知识与技能要点”是考</w:t>
      </w:r>
      <w:r>
        <w:rPr>
          <w:rFonts w:ascii="宋体" w:hAnsi="宋体" w:eastAsia="宋体" w:cs="宋体"/>
          <w:spacing w:val="1"/>
          <w:sz w:val="17"/>
          <w:szCs w:val="17"/>
        </w:rPr>
        <w:t>生应</w:t>
      </w:r>
      <w:r>
        <w:rPr>
          <w:rFonts w:ascii="宋体" w:hAnsi="宋体" w:eastAsia="宋体" w:cs="宋体"/>
          <w:sz w:val="17"/>
          <w:szCs w:val="17"/>
        </w:rPr>
        <w:t xml:space="preserve">  </w:t>
      </w:r>
      <w:r>
        <w:rPr>
          <w:rFonts w:ascii="宋体" w:hAnsi="宋体" w:eastAsia="宋体" w:cs="宋体"/>
          <w:spacing w:val="2"/>
          <w:sz w:val="17"/>
          <w:szCs w:val="17"/>
        </w:rPr>
        <w:t xml:space="preserve">知应会的基本知识和基本技能，“考试条目”是基本知  </w:t>
      </w:r>
      <w:r>
        <w:rPr>
          <w:rFonts w:ascii="宋体" w:hAnsi="宋体" w:eastAsia="宋体" w:cs="宋体"/>
          <w:spacing w:val="-2"/>
          <w:sz w:val="17"/>
          <w:szCs w:val="17"/>
        </w:rPr>
        <w:t>识的细化条目，“考试水平”是对考试条目的要求层次。</w:t>
      </w:r>
      <w:r>
        <w:rPr>
          <w:rFonts w:ascii="宋体" w:hAnsi="宋体" w:eastAsia="宋体" w:cs="宋体"/>
          <w:spacing w:val="16"/>
          <w:sz w:val="17"/>
          <w:szCs w:val="17"/>
        </w:rPr>
        <w:t xml:space="preserve"> </w:t>
      </w:r>
      <w:r>
        <w:rPr>
          <w:rFonts w:ascii="宋体" w:hAnsi="宋体" w:eastAsia="宋体" w:cs="宋体"/>
          <w:spacing w:val="-8"/>
          <w:sz w:val="17"/>
          <w:szCs w:val="17"/>
        </w:rPr>
        <w:t>考试水平分为四个层次：</w:t>
      </w:r>
      <w:r>
        <w:rPr>
          <w:rFonts w:ascii="Times New Roman" w:hAnsi="Times New Roman" w:eastAsia="Times New Roman" w:cs="Times New Roman"/>
          <w:spacing w:val="-8"/>
          <w:sz w:val="17"/>
          <w:szCs w:val="17"/>
        </w:rPr>
        <w:t>A</w:t>
      </w:r>
      <w:r>
        <w:rPr>
          <w:rFonts w:ascii="宋体" w:hAnsi="宋体" w:eastAsia="宋体" w:cs="宋体"/>
          <w:spacing w:val="-8"/>
          <w:sz w:val="17"/>
          <w:szCs w:val="17"/>
        </w:rPr>
        <w:t>(</w:t>
      </w:r>
      <w:r>
        <w:rPr>
          <w:rFonts w:ascii="宋体" w:hAnsi="宋体" w:eastAsia="宋体" w:cs="宋体"/>
          <w:spacing w:val="-21"/>
          <w:sz w:val="17"/>
          <w:szCs w:val="17"/>
        </w:rPr>
        <w:t xml:space="preserve"> </w:t>
      </w:r>
      <w:r>
        <w:rPr>
          <w:rFonts w:ascii="宋体" w:hAnsi="宋体" w:eastAsia="宋体" w:cs="宋体"/>
          <w:spacing w:val="-8"/>
          <w:sz w:val="17"/>
          <w:szCs w:val="17"/>
        </w:rPr>
        <w:t>识</w:t>
      </w:r>
      <w:r>
        <w:rPr>
          <w:rFonts w:ascii="宋体" w:hAnsi="宋体" w:eastAsia="宋体" w:cs="宋体"/>
          <w:spacing w:val="-32"/>
          <w:sz w:val="17"/>
          <w:szCs w:val="17"/>
        </w:rPr>
        <w:t xml:space="preserve"> </w:t>
      </w:r>
      <w:r>
        <w:rPr>
          <w:rFonts w:ascii="宋体" w:hAnsi="宋体" w:eastAsia="宋体" w:cs="宋体"/>
          <w:spacing w:val="-8"/>
          <w:sz w:val="17"/>
          <w:szCs w:val="17"/>
        </w:rPr>
        <w:t>记</w:t>
      </w:r>
      <w:r>
        <w:rPr>
          <w:rFonts w:ascii="宋体" w:hAnsi="宋体" w:eastAsia="宋体" w:cs="宋体"/>
          <w:spacing w:val="-31"/>
          <w:sz w:val="17"/>
          <w:szCs w:val="17"/>
        </w:rPr>
        <w:t xml:space="preserve"> </w:t>
      </w:r>
      <w:r>
        <w:rPr>
          <w:rFonts w:ascii="宋体" w:hAnsi="宋体" w:eastAsia="宋体" w:cs="宋体"/>
          <w:spacing w:val="-8"/>
          <w:sz w:val="17"/>
          <w:szCs w:val="17"/>
        </w:rPr>
        <w:t>)</w:t>
      </w:r>
      <w:r>
        <w:rPr>
          <w:rFonts w:ascii="宋体" w:hAnsi="宋体" w:eastAsia="宋体" w:cs="宋体"/>
          <w:spacing w:val="-39"/>
          <w:sz w:val="17"/>
          <w:szCs w:val="17"/>
        </w:rPr>
        <w:t xml:space="preserve"> </w:t>
      </w:r>
      <w:r>
        <w:rPr>
          <w:rFonts w:ascii="宋体" w:hAnsi="宋体" w:eastAsia="宋体" w:cs="宋体"/>
          <w:spacing w:val="-8"/>
          <w:sz w:val="17"/>
          <w:szCs w:val="17"/>
        </w:rPr>
        <w:t>、</w:t>
      </w:r>
      <w:r>
        <w:rPr>
          <w:rFonts w:ascii="Times New Roman" w:hAnsi="Times New Roman" w:eastAsia="Times New Roman" w:cs="Times New Roman"/>
          <w:spacing w:val="-8"/>
          <w:sz w:val="17"/>
          <w:szCs w:val="17"/>
        </w:rPr>
        <w:t>B</w:t>
      </w:r>
      <w:r>
        <w:rPr>
          <w:rFonts w:ascii="宋体" w:hAnsi="宋体" w:eastAsia="宋体" w:cs="宋体"/>
          <w:spacing w:val="-8"/>
          <w:sz w:val="17"/>
          <w:szCs w:val="17"/>
        </w:rPr>
        <w:t>(</w:t>
      </w:r>
      <w:r>
        <w:rPr>
          <w:rFonts w:ascii="宋体" w:hAnsi="宋体" w:eastAsia="宋体" w:cs="宋体"/>
          <w:spacing w:val="-30"/>
          <w:sz w:val="17"/>
          <w:szCs w:val="17"/>
        </w:rPr>
        <w:t xml:space="preserve"> </w:t>
      </w:r>
      <w:r>
        <w:rPr>
          <w:rFonts w:ascii="宋体" w:hAnsi="宋体" w:eastAsia="宋体" w:cs="宋体"/>
          <w:spacing w:val="-8"/>
          <w:sz w:val="17"/>
          <w:szCs w:val="17"/>
        </w:rPr>
        <w:t>理</w:t>
      </w:r>
      <w:r>
        <w:rPr>
          <w:rFonts w:ascii="宋体" w:hAnsi="宋体" w:eastAsia="宋体" w:cs="宋体"/>
          <w:spacing w:val="-32"/>
          <w:sz w:val="17"/>
          <w:szCs w:val="17"/>
        </w:rPr>
        <w:t xml:space="preserve"> </w:t>
      </w:r>
      <w:r>
        <w:rPr>
          <w:rFonts w:ascii="宋体" w:hAnsi="宋体" w:eastAsia="宋体" w:cs="宋体"/>
          <w:spacing w:val="-8"/>
          <w:sz w:val="17"/>
          <w:szCs w:val="17"/>
        </w:rPr>
        <w:t>解</w:t>
      </w:r>
      <w:r>
        <w:rPr>
          <w:rFonts w:ascii="宋体" w:hAnsi="宋体" w:eastAsia="宋体" w:cs="宋体"/>
          <w:spacing w:val="-31"/>
          <w:sz w:val="17"/>
          <w:szCs w:val="17"/>
        </w:rPr>
        <w:t xml:space="preserve"> </w:t>
      </w:r>
      <w:r>
        <w:rPr>
          <w:rFonts w:ascii="宋体" w:hAnsi="宋体" w:eastAsia="宋体" w:cs="宋体"/>
          <w:spacing w:val="-8"/>
          <w:sz w:val="17"/>
          <w:szCs w:val="17"/>
        </w:rPr>
        <w:t>)</w:t>
      </w:r>
      <w:r>
        <w:rPr>
          <w:rFonts w:ascii="宋体" w:hAnsi="宋体" w:eastAsia="宋体" w:cs="宋体"/>
          <w:spacing w:val="-39"/>
          <w:sz w:val="17"/>
          <w:szCs w:val="17"/>
        </w:rPr>
        <w:t xml:space="preserve"> </w:t>
      </w:r>
      <w:r>
        <w:rPr>
          <w:rFonts w:ascii="宋体" w:hAnsi="宋体" w:eastAsia="宋体" w:cs="宋体"/>
          <w:spacing w:val="-8"/>
          <w:sz w:val="17"/>
          <w:szCs w:val="17"/>
        </w:rPr>
        <w:t>、</w:t>
      </w:r>
      <w:r>
        <w:rPr>
          <w:rFonts w:ascii="Times New Roman" w:hAnsi="Times New Roman" w:eastAsia="Times New Roman" w:cs="Times New Roman"/>
          <w:spacing w:val="-8"/>
          <w:sz w:val="17"/>
          <w:szCs w:val="17"/>
        </w:rPr>
        <w:t>C</w:t>
      </w:r>
      <w:r>
        <w:rPr>
          <w:rFonts w:ascii="宋体" w:hAnsi="宋体" w:eastAsia="宋体" w:cs="宋体"/>
          <w:spacing w:val="-8"/>
          <w:sz w:val="17"/>
          <w:szCs w:val="17"/>
        </w:rPr>
        <w:t>( 掌</w:t>
      </w:r>
      <w:r>
        <w:rPr>
          <w:rFonts w:ascii="宋体" w:hAnsi="宋体" w:eastAsia="宋体" w:cs="宋体"/>
          <w:sz w:val="17"/>
          <w:szCs w:val="17"/>
        </w:rPr>
        <w:t xml:space="preserve">  </w:t>
      </w:r>
      <w:r>
        <w:rPr>
          <w:rFonts w:ascii="宋体" w:hAnsi="宋体" w:eastAsia="宋体" w:cs="宋体"/>
          <w:spacing w:val="3"/>
          <w:sz w:val="17"/>
          <w:szCs w:val="17"/>
        </w:rPr>
        <w:t>握</w:t>
      </w:r>
      <w:r>
        <w:rPr>
          <w:rFonts w:ascii="宋体" w:hAnsi="宋体" w:eastAsia="宋体" w:cs="宋体"/>
          <w:spacing w:val="-13"/>
          <w:sz w:val="17"/>
          <w:szCs w:val="17"/>
        </w:rPr>
        <w:t xml:space="preserve"> </w:t>
      </w:r>
      <w:r>
        <w:rPr>
          <w:rFonts w:ascii="宋体" w:hAnsi="宋体" w:eastAsia="宋体" w:cs="宋体"/>
          <w:spacing w:val="3"/>
          <w:sz w:val="17"/>
          <w:szCs w:val="17"/>
        </w:rPr>
        <w:t>)</w:t>
      </w:r>
      <w:r>
        <w:rPr>
          <w:rFonts w:ascii="宋体" w:hAnsi="宋体" w:eastAsia="宋体" w:cs="宋体"/>
          <w:spacing w:val="-24"/>
          <w:sz w:val="17"/>
          <w:szCs w:val="17"/>
        </w:rPr>
        <w:t xml:space="preserve"> </w:t>
      </w:r>
      <w:r>
        <w:rPr>
          <w:rFonts w:ascii="宋体" w:hAnsi="宋体" w:eastAsia="宋体" w:cs="宋体"/>
          <w:spacing w:val="3"/>
          <w:sz w:val="17"/>
          <w:szCs w:val="17"/>
        </w:rPr>
        <w:t>、</w:t>
      </w:r>
      <w:r>
        <w:rPr>
          <w:rFonts w:ascii="Times New Roman" w:hAnsi="Times New Roman" w:eastAsia="Times New Roman" w:cs="Times New Roman"/>
          <w:spacing w:val="3"/>
          <w:sz w:val="17"/>
          <w:szCs w:val="17"/>
        </w:rPr>
        <w:t>D</w:t>
      </w:r>
      <w:r>
        <w:rPr>
          <w:rFonts w:ascii="Times New Roman" w:hAnsi="Times New Roman" w:eastAsia="Times New Roman" w:cs="Times New Roman"/>
          <w:spacing w:val="17"/>
          <w:w w:val="101"/>
          <w:sz w:val="17"/>
          <w:szCs w:val="17"/>
        </w:rPr>
        <w:t xml:space="preserve"> </w:t>
      </w:r>
      <w:r>
        <w:rPr>
          <w:rFonts w:ascii="宋体" w:hAnsi="宋体" w:eastAsia="宋体" w:cs="宋体"/>
          <w:spacing w:val="3"/>
          <w:sz w:val="17"/>
          <w:szCs w:val="17"/>
        </w:rPr>
        <w:t>(综合运用)。</w:t>
      </w:r>
    </w:p>
    <w:p w14:paraId="2C99D9B0">
      <w:pPr>
        <w:spacing w:before="43" w:line="219" w:lineRule="auto"/>
        <w:ind w:left="365"/>
        <w:rPr>
          <w:rFonts w:ascii="宋体" w:hAnsi="宋体" w:eastAsia="宋体" w:cs="宋体"/>
          <w:sz w:val="17"/>
          <w:szCs w:val="17"/>
        </w:rPr>
      </w:pPr>
      <w:r>
        <w:rPr>
          <w:rFonts w:ascii="宋体" w:hAnsi="宋体" w:eastAsia="宋体" w:cs="宋体"/>
          <w:spacing w:val="-3"/>
          <w:sz w:val="17"/>
          <w:szCs w:val="17"/>
        </w:rPr>
        <w:t>其具体含义如下：</w:t>
      </w:r>
    </w:p>
    <w:p w14:paraId="1E0214A4">
      <w:pPr>
        <w:spacing w:before="81" w:line="310" w:lineRule="auto"/>
        <w:ind w:left="4" w:right="272" w:firstLine="360"/>
        <w:rPr>
          <w:rFonts w:ascii="宋体" w:hAnsi="宋体" w:eastAsia="宋体" w:cs="宋体"/>
          <w:sz w:val="17"/>
          <w:szCs w:val="17"/>
        </w:rPr>
      </w:pPr>
      <w:r>
        <w:rPr>
          <w:rFonts w:ascii="Times New Roman" w:hAnsi="Times New Roman" w:eastAsia="Times New Roman" w:cs="Times New Roman"/>
          <w:spacing w:val="15"/>
          <w:sz w:val="17"/>
          <w:szCs w:val="17"/>
        </w:rPr>
        <w:t>A</w:t>
      </w:r>
      <w:r>
        <w:rPr>
          <w:rFonts w:ascii="宋体" w:hAnsi="宋体" w:eastAsia="宋体" w:cs="宋体"/>
          <w:spacing w:val="15"/>
          <w:sz w:val="17"/>
          <w:szCs w:val="17"/>
        </w:rPr>
        <w:t>(识记):考查考生对美术设计基础知识的识别</w:t>
      </w:r>
      <w:r>
        <w:rPr>
          <w:rFonts w:ascii="宋体" w:hAnsi="宋体" w:eastAsia="宋体" w:cs="宋体"/>
          <w:spacing w:val="2"/>
          <w:sz w:val="17"/>
          <w:szCs w:val="17"/>
        </w:rPr>
        <w:t xml:space="preserve">  和记忆能力。具体包括素描、平面设计基础知识和</w:t>
      </w:r>
      <w:r>
        <w:rPr>
          <w:rFonts w:ascii="宋体" w:hAnsi="宋体" w:eastAsia="宋体" w:cs="宋体"/>
          <w:spacing w:val="1"/>
          <w:sz w:val="17"/>
          <w:szCs w:val="17"/>
        </w:rPr>
        <w:t>计算</w:t>
      </w:r>
      <w:r>
        <w:rPr>
          <w:rFonts w:ascii="宋体" w:hAnsi="宋体" w:eastAsia="宋体" w:cs="宋体"/>
          <w:sz w:val="17"/>
          <w:szCs w:val="17"/>
        </w:rPr>
        <w:t xml:space="preserve">  </w:t>
      </w:r>
      <w:r>
        <w:rPr>
          <w:rFonts w:ascii="宋体" w:hAnsi="宋体" w:eastAsia="宋体" w:cs="宋体"/>
          <w:spacing w:val="2"/>
          <w:sz w:val="17"/>
          <w:szCs w:val="17"/>
        </w:rPr>
        <w:t>机设计基础中的</w:t>
      </w:r>
      <w:r>
        <w:rPr>
          <w:rFonts w:ascii="宋体" w:hAnsi="宋体" w:eastAsia="宋体" w:cs="宋体"/>
          <w:spacing w:val="-33"/>
          <w:sz w:val="17"/>
          <w:szCs w:val="17"/>
        </w:rPr>
        <w:t xml:space="preserve"> </w:t>
      </w:r>
      <w:r>
        <w:rPr>
          <w:rFonts w:ascii="Times New Roman" w:hAnsi="Times New Roman" w:eastAsia="Times New Roman" w:cs="Times New Roman"/>
          <w:sz w:val="17"/>
          <w:szCs w:val="17"/>
        </w:rPr>
        <w:t>CorelDRAW</w:t>
      </w:r>
      <w:r>
        <w:rPr>
          <w:rFonts w:ascii="宋体" w:hAnsi="宋体" w:eastAsia="宋体" w:cs="宋体"/>
          <w:spacing w:val="2"/>
          <w:sz w:val="17"/>
          <w:szCs w:val="17"/>
        </w:rPr>
        <w:t>和</w:t>
      </w:r>
      <w:r>
        <w:rPr>
          <w:rFonts w:ascii="宋体" w:hAnsi="宋体" w:eastAsia="宋体" w:cs="宋体"/>
          <w:spacing w:val="-28"/>
          <w:sz w:val="17"/>
          <w:szCs w:val="17"/>
        </w:rPr>
        <w:t xml:space="preserve"> </w:t>
      </w:r>
      <w:r>
        <w:rPr>
          <w:rFonts w:ascii="Times New Roman" w:hAnsi="Times New Roman" w:eastAsia="Times New Roman" w:cs="Times New Roman"/>
          <w:sz w:val="17"/>
          <w:szCs w:val="17"/>
        </w:rPr>
        <w:t>Photoshop</w:t>
      </w:r>
      <w:r>
        <w:rPr>
          <w:rFonts w:ascii="宋体" w:hAnsi="宋体" w:eastAsia="宋体" w:cs="宋体"/>
          <w:spacing w:val="2"/>
          <w:sz w:val="17"/>
          <w:szCs w:val="17"/>
        </w:rPr>
        <w:t>软件的基础知</w:t>
      </w:r>
      <w:r>
        <w:rPr>
          <w:rFonts w:ascii="宋体" w:hAnsi="宋体" w:eastAsia="宋体" w:cs="宋体"/>
          <w:sz w:val="17"/>
          <w:szCs w:val="17"/>
        </w:rPr>
        <w:t xml:space="preserve">  </w:t>
      </w:r>
      <w:r>
        <w:rPr>
          <w:rFonts w:ascii="宋体" w:hAnsi="宋体" w:eastAsia="宋体" w:cs="宋体"/>
          <w:spacing w:val="2"/>
          <w:sz w:val="17"/>
          <w:szCs w:val="17"/>
        </w:rPr>
        <w:t>识和基本概念、基本操作；对美术基础知识的认识，直</w:t>
      </w:r>
      <w:r>
        <w:rPr>
          <w:rFonts w:ascii="宋体" w:hAnsi="宋体" w:eastAsia="宋体" w:cs="宋体"/>
          <w:sz w:val="17"/>
          <w:szCs w:val="17"/>
        </w:rPr>
        <w:t xml:space="preserve">  观画出物体的大致轮廓和比例。例如：图像的</w:t>
      </w:r>
      <w:r>
        <w:rPr>
          <w:rFonts w:ascii="Times New Roman" w:hAnsi="Times New Roman" w:eastAsia="Times New Roman" w:cs="Times New Roman"/>
          <w:sz w:val="17"/>
          <w:szCs w:val="17"/>
        </w:rPr>
        <w:t>RGB</w:t>
      </w:r>
      <w:r>
        <w:rPr>
          <w:rFonts w:ascii="Times New Roman" w:hAnsi="Times New Roman" w:eastAsia="Times New Roman" w:cs="Times New Roman"/>
          <w:spacing w:val="-9"/>
          <w:sz w:val="17"/>
          <w:szCs w:val="17"/>
        </w:rPr>
        <w:t xml:space="preserve"> </w:t>
      </w:r>
      <w:r>
        <w:rPr>
          <w:rFonts w:ascii="宋体" w:hAnsi="宋体" w:eastAsia="宋体" w:cs="宋体"/>
          <w:sz w:val="17"/>
          <w:szCs w:val="17"/>
        </w:rPr>
        <w:t xml:space="preserve">模式  </w:t>
      </w:r>
      <w:r>
        <w:rPr>
          <w:rFonts w:ascii="宋体" w:hAnsi="宋体" w:eastAsia="宋体" w:cs="宋体"/>
          <w:spacing w:val="2"/>
          <w:sz w:val="17"/>
          <w:szCs w:val="17"/>
        </w:rPr>
        <w:t>中的R 是指红色、G 是指绿色、B 是指蓝色</w:t>
      </w:r>
      <w:r>
        <w:rPr>
          <w:rFonts w:ascii="宋体" w:hAnsi="宋体" w:eastAsia="宋体" w:cs="宋体"/>
          <w:spacing w:val="1"/>
          <w:sz w:val="17"/>
          <w:szCs w:val="17"/>
        </w:rPr>
        <w:t>，这些知识</w:t>
      </w:r>
      <w:r>
        <w:rPr>
          <w:rFonts w:ascii="宋体" w:hAnsi="宋体" w:eastAsia="宋体" w:cs="宋体"/>
          <w:sz w:val="17"/>
          <w:szCs w:val="17"/>
        </w:rPr>
        <w:t xml:space="preserve">  </w:t>
      </w:r>
      <w:r>
        <w:rPr>
          <w:rFonts w:ascii="宋体" w:hAnsi="宋体" w:eastAsia="宋体" w:cs="宋体"/>
          <w:spacing w:val="-2"/>
          <w:sz w:val="17"/>
          <w:szCs w:val="17"/>
        </w:rPr>
        <w:t>属于应知应会的范畴。常识性的基本内容要求学生识记。</w:t>
      </w:r>
    </w:p>
    <w:p w14:paraId="296FDE59">
      <w:pPr>
        <w:spacing w:before="29" w:line="278" w:lineRule="auto"/>
        <w:ind w:left="4" w:right="359" w:firstLine="360"/>
        <w:rPr>
          <w:rFonts w:ascii="宋体" w:hAnsi="宋体" w:eastAsia="宋体" w:cs="宋体"/>
          <w:sz w:val="17"/>
          <w:szCs w:val="17"/>
        </w:rPr>
      </w:pPr>
      <w:r>
        <w:rPr>
          <w:rFonts w:ascii="Times New Roman" w:hAnsi="Times New Roman" w:eastAsia="Times New Roman" w:cs="Times New Roman"/>
          <w:spacing w:val="15"/>
          <w:sz w:val="17"/>
          <w:szCs w:val="17"/>
        </w:rPr>
        <w:t>B</w:t>
      </w:r>
      <w:r>
        <w:rPr>
          <w:rFonts w:ascii="宋体" w:hAnsi="宋体" w:eastAsia="宋体" w:cs="宋体"/>
          <w:spacing w:val="15"/>
          <w:sz w:val="17"/>
          <w:szCs w:val="17"/>
        </w:rPr>
        <w:t>(理解):考查考生对素描、平面设计基本知识</w:t>
      </w:r>
      <w:r>
        <w:rPr>
          <w:rFonts w:ascii="宋体" w:hAnsi="宋体" w:eastAsia="宋体" w:cs="宋体"/>
          <w:spacing w:val="10"/>
          <w:sz w:val="17"/>
          <w:szCs w:val="17"/>
        </w:rPr>
        <w:t xml:space="preserve"> </w:t>
      </w:r>
      <w:r>
        <w:rPr>
          <w:rFonts w:ascii="宋体" w:hAnsi="宋体" w:eastAsia="宋体" w:cs="宋体"/>
          <w:spacing w:val="2"/>
          <w:sz w:val="17"/>
          <w:szCs w:val="17"/>
        </w:rPr>
        <w:t>和</w:t>
      </w:r>
      <w:r>
        <w:rPr>
          <w:rFonts w:ascii="Times New Roman" w:hAnsi="Times New Roman" w:eastAsia="Times New Roman" w:cs="Times New Roman"/>
          <w:sz w:val="17"/>
          <w:szCs w:val="17"/>
        </w:rPr>
        <w:t>CorelDRAW</w:t>
      </w:r>
      <w:r>
        <w:rPr>
          <w:rFonts w:ascii="宋体" w:hAnsi="宋体" w:eastAsia="宋体" w:cs="宋体"/>
          <w:spacing w:val="2"/>
          <w:sz w:val="17"/>
          <w:szCs w:val="17"/>
        </w:rPr>
        <w:t>和</w:t>
      </w:r>
      <w:r>
        <w:rPr>
          <w:rFonts w:ascii="宋体" w:hAnsi="宋体" w:eastAsia="宋体" w:cs="宋体"/>
          <w:spacing w:val="-48"/>
          <w:sz w:val="17"/>
          <w:szCs w:val="17"/>
        </w:rPr>
        <w:t xml:space="preserve"> </w:t>
      </w:r>
      <w:r>
        <w:rPr>
          <w:rFonts w:ascii="Times New Roman" w:hAnsi="Times New Roman" w:eastAsia="Times New Roman" w:cs="Times New Roman"/>
          <w:sz w:val="17"/>
          <w:szCs w:val="17"/>
        </w:rPr>
        <w:t>Photoshop</w:t>
      </w:r>
      <w:r>
        <w:rPr>
          <w:rFonts w:ascii="宋体" w:hAnsi="宋体" w:eastAsia="宋体" w:cs="宋体"/>
          <w:spacing w:val="2"/>
          <w:sz w:val="17"/>
          <w:szCs w:val="17"/>
        </w:rPr>
        <w:t>软件的理解和掌握。</w:t>
      </w:r>
    </w:p>
    <w:p w14:paraId="0026D2BC">
      <w:pPr>
        <w:spacing w:before="68" w:line="257" w:lineRule="auto"/>
        <w:ind w:left="4" w:right="361" w:firstLine="360"/>
        <w:rPr>
          <w:rFonts w:ascii="宋体" w:hAnsi="宋体" w:eastAsia="宋体" w:cs="宋体"/>
          <w:sz w:val="17"/>
          <w:szCs w:val="17"/>
        </w:rPr>
      </w:pPr>
      <w:r>
        <w:rPr>
          <w:rFonts w:ascii="宋体" w:hAnsi="宋体" w:eastAsia="宋体" w:cs="宋体"/>
          <w:spacing w:val="1"/>
          <w:sz w:val="17"/>
          <w:szCs w:val="17"/>
        </w:rPr>
        <w:t>具体内容是素描的基础知识、平面设计理论和电脑</w:t>
      </w:r>
      <w:r>
        <w:rPr>
          <w:rFonts w:ascii="宋体" w:hAnsi="宋体" w:eastAsia="宋体" w:cs="宋体"/>
          <w:spacing w:val="5"/>
          <w:sz w:val="17"/>
          <w:szCs w:val="17"/>
        </w:rPr>
        <w:t xml:space="preserve"> </w:t>
      </w:r>
      <w:r>
        <w:rPr>
          <w:rFonts w:ascii="宋体" w:hAnsi="宋体" w:eastAsia="宋体" w:cs="宋体"/>
          <w:spacing w:val="-2"/>
          <w:sz w:val="17"/>
          <w:szCs w:val="17"/>
        </w:rPr>
        <w:t>美术设计软件中的</w:t>
      </w:r>
      <w:r>
        <w:rPr>
          <w:rFonts w:ascii="宋体" w:hAnsi="宋体" w:eastAsia="宋体" w:cs="宋体"/>
          <w:spacing w:val="-32"/>
          <w:sz w:val="17"/>
          <w:szCs w:val="17"/>
        </w:rPr>
        <w:t xml:space="preserve"> </w:t>
      </w:r>
      <w:r>
        <w:rPr>
          <w:rFonts w:ascii="Times New Roman" w:hAnsi="Times New Roman" w:eastAsia="Times New Roman" w:cs="Times New Roman"/>
          <w:spacing w:val="-2"/>
          <w:sz w:val="17"/>
          <w:szCs w:val="17"/>
        </w:rPr>
        <w:t xml:space="preserve">CorelDRAW </w:t>
      </w:r>
      <w:r>
        <w:rPr>
          <w:rFonts w:ascii="宋体" w:hAnsi="宋体" w:eastAsia="宋体" w:cs="宋体"/>
          <w:spacing w:val="-2"/>
          <w:sz w:val="17"/>
          <w:szCs w:val="17"/>
        </w:rPr>
        <w:t>和</w:t>
      </w:r>
      <w:r>
        <w:rPr>
          <w:rFonts w:ascii="宋体" w:hAnsi="宋体" w:eastAsia="宋体" w:cs="宋体"/>
          <w:spacing w:val="-27"/>
          <w:sz w:val="17"/>
          <w:szCs w:val="17"/>
        </w:rPr>
        <w:t xml:space="preserve"> </w:t>
      </w:r>
      <w:r>
        <w:rPr>
          <w:rFonts w:ascii="Times New Roman" w:hAnsi="Times New Roman" w:eastAsia="Times New Roman" w:cs="Times New Roman"/>
          <w:spacing w:val="-2"/>
          <w:sz w:val="17"/>
          <w:szCs w:val="17"/>
        </w:rPr>
        <w:t xml:space="preserve">Photoshop </w:t>
      </w:r>
      <w:r>
        <w:rPr>
          <w:rFonts w:ascii="宋体" w:hAnsi="宋体" w:eastAsia="宋体" w:cs="宋体"/>
          <w:spacing w:val="-2"/>
          <w:sz w:val="17"/>
          <w:szCs w:val="17"/>
        </w:rPr>
        <w:t>两部分。理</w:t>
      </w:r>
    </w:p>
    <w:p w14:paraId="1704173E">
      <w:pPr>
        <w:pStyle w:val="2"/>
        <w:spacing w:line="14" w:lineRule="auto"/>
        <w:rPr>
          <w:sz w:val="2"/>
        </w:rPr>
      </w:pPr>
      <w:r>
        <w:rPr>
          <w:sz w:val="2"/>
          <w:szCs w:val="2"/>
        </w:rPr>
        <w:br w:type="column"/>
      </w:r>
    </w:p>
    <w:p w14:paraId="47C9F516">
      <w:pPr>
        <w:pStyle w:val="2"/>
        <w:spacing w:line="269" w:lineRule="auto"/>
      </w:pPr>
    </w:p>
    <w:p w14:paraId="77BA25FB">
      <w:pPr>
        <w:pStyle w:val="2"/>
        <w:spacing w:line="270" w:lineRule="auto"/>
      </w:pPr>
    </w:p>
    <w:p w14:paraId="4DD99FDF">
      <w:pPr>
        <w:spacing w:before="55" w:line="310" w:lineRule="auto"/>
        <w:ind w:right="81"/>
        <w:jc w:val="both"/>
        <w:rPr>
          <w:rFonts w:ascii="宋体" w:hAnsi="宋体" w:eastAsia="宋体" w:cs="宋体"/>
          <w:sz w:val="17"/>
          <w:szCs w:val="17"/>
        </w:rPr>
      </w:pPr>
      <w:r>
        <w:rPr>
          <w:rFonts w:ascii="宋体" w:hAnsi="宋体" w:eastAsia="宋体" w:cs="宋体"/>
          <w:spacing w:val="2"/>
          <w:sz w:val="17"/>
          <w:szCs w:val="17"/>
        </w:rPr>
        <w:t>解素描知识中的物体的形体结构关系，表现出物体的结</w:t>
      </w:r>
      <w:r>
        <w:rPr>
          <w:rFonts w:ascii="宋体" w:hAnsi="宋体" w:eastAsia="宋体" w:cs="宋体"/>
          <w:spacing w:val="1"/>
          <w:sz w:val="17"/>
          <w:szCs w:val="17"/>
        </w:rPr>
        <w:t xml:space="preserve"> </w:t>
      </w:r>
      <w:r>
        <w:rPr>
          <w:rFonts w:ascii="宋体" w:hAnsi="宋体" w:eastAsia="宋体" w:cs="宋体"/>
          <w:spacing w:val="2"/>
          <w:sz w:val="17"/>
          <w:szCs w:val="17"/>
        </w:rPr>
        <w:t>构关系和明暗关系。理解两个软件工具箱中各个工具的</w:t>
      </w:r>
      <w:r>
        <w:rPr>
          <w:rFonts w:ascii="宋体" w:hAnsi="宋体" w:eastAsia="宋体" w:cs="宋体"/>
          <w:spacing w:val="4"/>
          <w:sz w:val="17"/>
          <w:szCs w:val="17"/>
        </w:rPr>
        <w:t xml:space="preserve"> </w:t>
      </w:r>
      <w:r>
        <w:rPr>
          <w:rFonts w:ascii="宋体" w:hAnsi="宋体" w:eastAsia="宋体" w:cs="宋体"/>
          <w:spacing w:val="2"/>
          <w:sz w:val="17"/>
          <w:szCs w:val="17"/>
        </w:rPr>
        <w:t xml:space="preserve">含义和色彩选择、每个操作的结果。简单设计具有一定 </w:t>
      </w:r>
      <w:r>
        <w:rPr>
          <w:rFonts w:ascii="宋体" w:hAnsi="宋体" w:eastAsia="宋体" w:cs="宋体"/>
          <w:spacing w:val="7"/>
          <w:sz w:val="17"/>
          <w:szCs w:val="17"/>
        </w:rPr>
        <w:t>美感的美术设计作品。例如：在</w:t>
      </w:r>
      <w:r>
        <w:rPr>
          <w:rFonts w:ascii="宋体" w:hAnsi="宋体" w:eastAsia="宋体" w:cs="宋体"/>
          <w:sz w:val="17"/>
          <w:szCs w:val="17"/>
        </w:rPr>
        <w:t>CorelDRAW</w:t>
      </w:r>
      <w:r>
        <w:rPr>
          <w:rFonts w:ascii="宋体" w:hAnsi="宋体" w:eastAsia="宋体" w:cs="宋体"/>
          <w:spacing w:val="88"/>
          <w:w w:val="101"/>
          <w:sz w:val="17"/>
          <w:szCs w:val="17"/>
        </w:rPr>
        <w:t xml:space="preserve"> </w:t>
      </w:r>
      <w:r>
        <w:rPr>
          <w:rFonts w:ascii="宋体" w:hAnsi="宋体" w:eastAsia="宋体" w:cs="宋体"/>
          <w:spacing w:val="7"/>
          <w:sz w:val="17"/>
          <w:szCs w:val="17"/>
        </w:rPr>
        <w:t>工具中特</w:t>
      </w:r>
      <w:r>
        <w:rPr>
          <w:rFonts w:ascii="宋体" w:hAnsi="宋体" w:eastAsia="宋体" w:cs="宋体"/>
          <w:sz w:val="17"/>
          <w:szCs w:val="17"/>
        </w:rPr>
        <w:t xml:space="preserve"> </w:t>
      </w:r>
      <w:r>
        <w:rPr>
          <w:rFonts w:ascii="宋体" w:hAnsi="宋体" w:eastAsia="宋体" w:cs="宋体"/>
          <w:spacing w:val="2"/>
          <w:sz w:val="17"/>
          <w:szCs w:val="17"/>
        </w:rPr>
        <w:t>殊效果有很多种，理解每一种效果的形式及相关的选项</w:t>
      </w:r>
      <w:r>
        <w:rPr>
          <w:rFonts w:ascii="宋体" w:hAnsi="宋体" w:eastAsia="宋体" w:cs="宋体"/>
          <w:spacing w:val="1"/>
          <w:sz w:val="17"/>
          <w:szCs w:val="17"/>
        </w:rPr>
        <w:t xml:space="preserve"> </w:t>
      </w:r>
      <w:r>
        <w:rPr>
          <w:rFonts w:ascii="宋体" w:hAnsi="宋体" w:eastAsia="宋体" w:cs="宋体"/>
          <w:spacing w:val="-2"/>
          <w:sz w:val="17"/>
          <w:szCs w:val="17"/>
        </w:rPr>
        <w:t>设定，并灵活运用这些参数设定产生不同的效果。</w:t>
      </w:r>
    </w:p>
    <w:p w14:paraId="37C18C14">
      <w:pPr>
        <w:spacing w:before="24" w:line="311" w:lineRule="auto"/>
        <w:ind w:firstLine="370"/>
        <w:rPr>
          <w:rFonts w:ascii="宋体" w:hAnsi="宋体" w:eastAsia="宋体" w:cs="宋体"/>
          <w:sz w:val="17"/>
          <w:szCs w:val="17"/>
        </w:rPr>
      </w:pPr>
      <w:r>
        <w:rPr>
          <w:rFonts w:ascii="Times New Roman" w:hAnsi="Times New Roman" w:eastAsia="Times New Roman" w:cs="Times New Roman"/>
          <w:spacing w:val="6"/>
          <w:sz w:val="17"/>
          <w:szCs w:val="17"/>
        </w:rPr>
        <w:t>C</w:t>
      </w:r>
      <w:r>
        <w:rPr>
          <w:rFonts w:ascii="宋体" w:hAnsi="宋体" w:eastAsia="宋体" w:cs="宋体"/>
          <w:spacing w:val="6"/>
          <w:sz w:val="17"/>
          <w:szCs w:val="17"/>
        </w:rPr>
        <w:t>(掌握):考查考生对所学知识的初步应用能力。</w:t>
      </w:r>
      <w:r>
        <w:rPr>
          <w:rFonts w:ascii="宋体" w:hAnsi="宋体" w:eastAsia="宋体" w:cs="宋体"/>
          <w:spacing w:val="3"/>
          <w:sz w:val="17"/>
          <w:szCs w:val="17"/>
        </w:rPr>
        <w:t xml:space="preserve">  </w:t>
      </w:r>
      <w:r>
        <w:rPr>
          <w:rFonts w:ascii="宋体" w:hAnsi="宋体" w:eastAsia="宋体" w:cs="宋体"/>
          <w:spacing w:val="2"/>
          <w:sz w:val="17"/>
          <w:szCs w:val="17"/>
        </w:rPr>
        <w:t>让考生在理解专业基础知识上有正确的观察能力</w:t>
      </w:r>
      <w:r>
        <w:rPr>
          <w:rFonts w:ascii="宋体" w:hAnsi="宋体" w:eastAsia="宋体" w:cs="宋体"/>
          <w:spacing w:val="1"/>
          <w:sz w:val="17"/>
          <w:szCs w:val="17"/>
        </w:rPr>
        <w:t>和表现</w:t>
      </w:r>
      <w:r>
        <w:rPr>
          <w:rFonts w:ascii="宋体" w:hAnsi="宋体" w:eastAsia="宋体" w:cs="宋体"/>
          <w:sz w:val="17"/>
          <w:szCs w:val="17"/>
        </w:rPr>
        <w:t xml:space="preserve">  </w:t>
      </w:r>
      <w:r>
        <w:rPr>
          <w:rFonts w:ascii="宋体" w:hAnsi="宋体" w:eastAsia="宋体" w:cs="宋体"/>
          <w:spacing w:val="2"/>
          <w:sz w:val="17"/>
          <w:szCs w:val="17"/>
        </w:rPr>
        <w:t>能力。具体包括对所学专业课程和软件具有独立操作的  能力，并利用学习的基础知识进行简单的绘画与设计、</w:t>
      </w:r>
      <w:r>
        <w:rPr>
          <w:rFonts w:ascii="宋体" w:hAnsi="宋体" w:eastAsia="宋体" w:cs="宋体"/>
          <w:spacing w:val="3"/>
          <w:sz w:val="17"/>
          <w:szCs w:val="17"/>
        </w:rPr>
        <w:t xml:space="preserve">  </w:t>
      </w:r>
      <w:r>
        <w:rPr>
          <w:rFonts w:ascii="宋体" w:hAnsi="宋体" w:eastAsia="宋体" w:cs="宋体"/>
          <w:spacing w:val="1"/>
          <w:sz w:val="17"/>
          <w:szCs w:val="17"/>
        </w:rPr>
        <w:t>图像修改和调整，包括简单的标志、招贴画设计能力。</w:t>
      </w:r>
      <w:r>
        <w:rPr>
          <w:rFonts w:ascii="宋体" w:hAnsi="宋体" w:eastAsia="宋体" w:cs="宋体"/>
          <w:spacing w:val="4"/>
          <w:sz w:val="17"/>
          <w:szCs w:val="17"/>
        </w:rPr>
        <w:t xml:space="preserve">  </w:t>
      </w:r>
      <w:r>
        <w:rPr>
          <w:rFonts w:ascii="宋体" w:hAnsi="宋体" w:eastAsia="宋体" w:cs="宋体"/>
          <w:spacing w:val="1"/>
          <w:sz w:val="17"/>
          <w:szCs w:val="17"/>
        </w:rPr>
        <w:t>例如：对利用通道制作浮雕效果的过程的掌握和理解，</w:t>
      </w:r>
      <w:r>
        <w:rPr>
          <w:rFonts w:ascii="宋体" w:hAnsi="宋体" w:eastAsia="宋体" w:cs="宋体"/>
          <w:spacing w:val="5"/>
          <w:sz w:val="17"/>
          <w:szCs w:val="17"/>
        </w:rPr>
        <w:t xml:space="preserve">  </w:t>
      </w:r>
      <w:r>
        <w:rPr>
          <w:rFonts w:ascii="宋体" w:hAnsi="宋体" w:eastAsia="宋体" w:cs="宋体"/>
          <w:spacing w:val="-2"/>
          <w:sz w:val="17"/>
          <w:szCs w:val="17"/>
        </w:rPr>
        <w:t>并能叙述其过程，如果有机器也可以完整地做出其效果。</w:t>
      </w:r>
    </w:p>
    <w:p w14:paraId="75E90559">
      <w:pPr>
        <w:spacing w:before="25" w:line="310" w:lineRule="auto"/>
        <w:ind w:right="9" w:firstLine="370"/>
        <w:rPr>
          <w:rFonts w:ascii="宋体" w:hAnsi="宋体" w:eastAsia="宋体" w:cs="宋体"/>
          <w:sz w:val="17"/>
          <w:szCs w:val="17"/>
        </w:rPr>
      </w:pPr>
      <w:r>
        <w:rPr>
          <w:rFonts w:ascii="Times New Roman" w:hAnsi="Times New Roman" w:eastAsia="Times New Roman" w:cs="Times New Roman"/>
          <w:spacing w:val="15"/>
          <w:sz w:val="17"/>
          <w:szCs w:val="17"/>
        </w:rPr>
        <w:t>D</w:t>
      </w:r>
      <w:r>
        <w:rPr>
          <w:rFonts w:ascii="宋体" w:hAnsi="宋体" w:eastAsia="宋体" w:cs="宋体"/>
          <w:spacing w:val="15"/>
          <w:sz w:val="17"/>
          <w:szCs w:val="17"/>
        </w:rPr>
        <w:t>(综合运用):考查考生对所学知识的综合应用</w:t>
      </w:r>
      <w:r>
        <w:rPr>
          <w:rFonts w:ascii="宋体" w:hAnsi="宋体" w:eastAsia="宋体" w:cs="宋体"/>
          <w:sz w:val="17"/>
          <w:szCs w:val="17"/>
        </w:rPr>
        <w:t xml:space="preserve">  </w:t>
      </w:r>
      <w:r>
        <w:rPr>
          <w:rFonts w:ascii="宋体" w:hAnsi="宋体" w:eastAsia="宋体" w:cs="宋体"/>
          <w:spacing w:val="2"/>
          <w:sz w:val="17"/>
          <w:szCs w:val="17"/>
        </w:rPr>
        <w:t>能力。具有一定的造型能力，具体包括：具有利用知识</w:t>
      </w:r>
      <w:r>
        <w:rPr>
          <w:rFonts w:ascii="宋体" w:hAnsi="宋体" w:eastAsia="宋体" w:cs="宋体"/>
          <w:sz w:val="17"/>
          <w:szCs w:val="17"/>
        </w:rPr>
        <w:t xml:space="preserve">  </w:t>
      </w:r>
      <w:r>
        <w:rPr>
          <w:rFonts w:ascii="宋体" w:hAnsi="宋体" w:eastAsia="宋体" w:cs="宋体"/>
          <w:spacing w:val="2"/>
          <w:sz w:val="17"/>
          <w:szCs w:val="17"/>
        </w:rPr>
        <w:t>进行综合性的平面设计的能力，能进行效果的运用和整</w:t>
      </w:r>
      <w:r>
        <w:rPr>
          <w:rFonts w:ascii="宋体" w:hAnsi="宋体" w:eastAsia="宋体" w:cs="宋体"/>
          <w:sz w:val="17"/>
          <w:szCs w:val="17"/>
        </w:rPr>
        <w:t xml:space="preserve">  </w:t>
      </w:r>
      <w:r>
        <w:rPr>
          <w:rFonts w:ascii="宋体" w:hAnsi="宋体" w:eastAsia="宋体" w:cs="宋体"/>
          <w:spacing w:val="-2"/>
          <w:sz w:val="17"/>
          <w:szCs w:val="17"/>
        </w:rPr>
        <w:t>体的版面效果分析与设计，能够根据所给素材进行设计，</w:t>
      </w:r>
      <w:r>
        <w:rPr>
          <w:rFonts w:ascii="宋体" w:hAnsi="宋体" w:eastAsia="宋体" w:cs="宋体"/>
          <w:spacing w:val="4"/>
          <w:sz w:val="17"/>
          <w:szCs w:val="17"/>
        </w:rPr>
        <w:t xml:space="preserve"> </w:t>
      </w:r>
      <w:r>
        <w:rPr>
          <w:rFonts w:ascii="宋体" w:hAnsi="宋体" w:eastAsia="宋体" w:cs="宋体"/>
          <w:spacing w:val="1"/>
          <w:sz w:val="17"/>
          <w:szCs w:val="17"/>
        </w:rPr>
        <w:t>并达到特定的效果。例如：</w:t>
      </w:r>
      <w:r>
        <w:rPr>
          <w:rFonts w:ascii="宋体" w:hAnsi="宋体" w:eastAsia="宋体" w:cs="宋体"/>
          <w:spacing w:val="-39"/>
          <w:sz w:val="17"/>
          <w:szCs w:val="17"/>
        </w:rPr>
        <w:t xml:space="preserve"> </w:t>
      </w:r>
      <w:r>
        <w:rPr>
          <w:rFonts w:ascii="宋体" w:hAnsi="宋体" w:eastAsia="宋体" w:cs="宋体"/>
          <w:spacing w:val="1"/>
          <w:sz w:val="17"/>
          <w:szCs w:val="17"/>
        </w:rPr>
        <w:t>一幅手表宣传招贴画的制作</w:t>
      </w:r>
      <w:r>
        <w:rPr>
          <w:rFonts w:ascii="宋体" w:hAnsi="宋体" w:eastAsia="宋体" w:cs="宋体"/>
          <w:sz w:val="17"/>
          <w:szCs w:val="17"/>
        </w:rPr>
        <w:t xml:space="preserve"> </w:t>
      </w:r>
      <w:r>
        <w:rPr>
          <w:rFonts w:ascii="宋体" w:hAnsi="宋体" w:eastAsia="宋体" w:cs="宋体"/>
          <w:spacing w:val="-3"/>
          <w:sz w:val="17"/>
          <w:szCs w:val="17"/>
        </w:rPr>
        <w:t>过程或者是广告设计。</w:t>
      </w:r>
    </w:p>
    <w:p w14:paraId="7D5807AA">
      <w:pPr>
        <w:spacing w:before="25" w:line="295" w:lineRule="auto"/>
        <w:ind w:left="2" w:right="90" w:firstLine="370"/>
        <w:jc w:val="both"/>
        <w:rPr>
          <w:rFonts w:ascii="宋体" w:hAnsi="宋体" w:eastAsia="宋体" w:cs="宋体"/>
          <w:sz w:val="17"/>
          <w:szCs w:val="17"/>
        </w:rPr>
      </w:pPr>
      <w:r>
        <w:rPr>
          <w:rFonts w:ascii="宋体" w:hAnsi="宋体" w:eastAsia="宋体" w:cs="宋体"/>
          <w:b/>
          <w:bCs/>
          <w:spacing w:val="-2"/>
          <w:sz w:val="17"/>
          <w:szCs w:val="17"/>
        </w:rPr>
        <w:t>考试纲要中的考试水平由简单到复杂、由低</w:t>
      </w:r>
      <w:r>
        <w:rPr>
          <w:rFonts w:ascii="宋体" w:hAnsi="宋体" w:eastAsia="宋体" w:cs="宋体"/>
          <w:b/>
          <w:bCs/>
          <w:spacing w:val="-3"/>
          <w:sz w:val="17"/>
          <w:szCs w:val="17"/>
        </w:rPr>
        <w:t>级到高</w:t>
      </w:r>
      <w:r>
        <w:rPr>
          <w:rFonts w:ascii="宋体" w:hAnsi="宋体" w:eastAsia="宋体" w:cs="宋体"/>
          <w:sz w:val="17"/>
          <w:szCs w:val="17"/>
        </w:rPr>
        <w:t xml:space="preserve"> </w:t>
      </w:r>
      <w:r>
        <w:rPr>
          <w:rFonts w:ascii="宋体" w:hAnsi="宋体" w:eastAsia="宋体" w:cs="宋体"/>
          <w:b/>
          <w:bCs/>
          <w:sz w:val="17"/>
          <w:szCs w:val="17"/>
        </w:rPr>
        <w:t>级，每一较高层次考试水平都同时包含了其较低</w:t>
      </w:r>
      <w:r>
        <w:rPr>
          <w:rFonts w:ascii="宋体" w:hAnsi="宋体" w:eastAsia="宋体" w:cs="宋体"/>
          <w:b/>
          <w:bCs/>
          <w:spacing w:val="-1"/>
          <w:sz w:val="17"/>
          <w:szCs w:val="17"/>
        </w:rPr>
        <w:t>层次考</w:t>
      </w:r>
      <w:r>
        <w:rPr>
          <w:rFonts w:ascii="宋体" w:hAnsi="宋体" w:eastAsia="宋体" w:cs="宋体"/>
          <w:sz w:val="17"/>
          <w:szCs w:val="17"/>
        </w:rPr>
        <w:t xml:space="preserve"> </w:t>
      </w:r>
      <w:r>
        <w:rPr>
          <w:rFonts w:ascii="宋体" w:hAnsi="宋体" w:eastAsia="宋体" w:cs="宋体"/>
          <w:b/>
          <w:bCs/>
          <w:spacing w:val="-7"/>
          <w:sz w:val="17"/>
          <w:szCs w:val="17"/>
        </w:rPr>
        <w:t>试水平要求。</w:t>
      </w:r>
    </w:p>
    <w:p w14:paraId="0FD6EB23">
      <w:pPr>
        <w:spacing w:line="295" w:lineRule="auto"/>
        <w:rPr>
          <w:rFonts w:ascii="宋体" w:hAnsi="宋体" w:eastAsia="宋体" w:cs="宋体"/>
          <w:sz w:val="17"/>
          <w:szCs w:val="17"/>
        </w:rPr>
        <w:sectPr>
          <w:type w:val="continuous"/>
          <w:pgSz w:w="10660" w:h="15080"/>
          <w:pgMar w:top="400" w:right="835" w:bottom="925" w:left="1015" w:header="0" w:footer="705" w:gutter="0"/>
          <w:cols w:equalWidth="0" w:num="2">
            <w:col w:w="4496" w:space="100"/>
            <w:col w:w="4215"/>
          </w:cols>
        </w:sectPr>
      </w:pPr>
    </w:p>
    <w:p w14:paraId="3669736A">
      <w:pPr>
        <w:spacing w:before="79"/>
      </w:pPr>
    </w:p>
    <w:p w14:paraId="2A317371">
      <w:pPr>
        <w:spacing w:before="79"/>
      </w:pPr>
    </w:p>
    <w:p w14:paraId="79590462">
      <w:pPr>
        <w:spacing w:before="78"/>
      </w:pPr>
    </w:p>
    <w:p w14:paraId="4E4157C3">
      <w:pPr>
        <w:sectPr>
          <w:footerReference r:id="rId78" w:type="default"/>
          <w:pgSz w:w="10660" w:h="15080"/>
          <w:pgMar w:top="400" w:right="1024" w:bottom="925" w:left="819" w:header="0" w:footer="705" w:gutter="0"/>
          <w:cols w:equalWidth="0" w:num="1">
            <w:col w:w="8816"/>
          </w:cols>
        </w:sectPr>
      </w:pPr>
    </w:p>
    <w:p w14:paraId="07E5E0BB">
      <w:pPr>
        <w:spacing w:before="73" w:line="221" w:lineRule="auto"/>
        <w:ind w:left="93"/>
        <w:rPr>
          <w:rFonts w:ascii="黑体" w:hAnsi="黑体" w:eastAsia="黑体" w:cs="黑体"/>
          <w:sz w:val="23"/>
          <w:szCs w:val="23"/>
        </w:rPr>
      </w:pPr>
      <w:r>
        <w:rPr>
          <w:rFonts w:ascii="黑体" w:hAnsi="黑体" w:eastAsia="黑体" w:cs="黑体"/>
          <w:b/>
          <w:bCs/>
          <w:spacing w:val="-11"/>
          <w:sz w:val="23"/>
          <w:szCs w:val="23"/>
        </w:rPr>
        <w:t>三、考试目标</w:t>
      </w:r>
    </w:p>
    <w:p w14:paraId="27EF7AFE">
      <w:pPr>
        <w:pStyle w:val="2"/>
        <w:spacing w:line="298" w:lineRule="auto"/>
      </w:pPr>
    </w:p>
    <w:p w14:paraId="60DF4EC1">
      <w:pPr>
        <w:spacing w:before="75" w:line="222" w:lineRule="auto"/>
        <w:ind w:left="1233"/>
        <w:rPr>
          <w:rFonts w:ascii="黑体" w:hAnsi="黑体" w:eastAsia="黑体" w:cs="黑体"/>
          <w:sz w:val="23"/>
          <w:szCs w:val="23"/>
        </w:rPr>
      </w:pPr>
      <w:r>
        <w:rPr>
          <w:rFonts w:ascii="黑体" w:hAnsi="黑体" w:eastAsia="黑体" w:cs="黑体"/>
          <w:b/>
          <w:bCs/>
          <w:spacing w:val="-12"/>
          <w:sz w:val="23"/>
          <w:szCs w:val="23"/>
        </w:rPr>
        <w:t>第一部分</w:t>
      </w:r>
      <w:r>
        <w:rPr>
          <w:rFonts w:ascii="黑体" w:hAnsi="黑体" w:eastAsia="黑体" w:cs="黑体"/>
          <w:spacing w:val="5"/>
          <w:sz w:val="23"/>
          <w:szCs w:val="23"/>
        </w:rPr>
        <w:t xml:space="preserve">  </w:t>
      </w:r>
      <w:r>
        <w:rPr>
          <w:rFonts w:ascii="黑体" w:hAnsi="黑体" w:eastAsia="黑体" w:cs="黑体"/>
          <w:b/>
          <w:bCs/>
          <w:spacing w:val="-12"/>
          <w:sz w:val="23"/>
          <w:szCs w:val="23"/>
        </w:rPr>
        <w:t>素</w:t>
      </w:r>
      <w:r>
        <w:rPr>
          <w:rFonts w:ascii="黑体" w:hAnsi="黑体" w:eastAsia="黑体" w:cs="黑体"/>
          <w:spacing w:val="8"/>
          <w:sz w:val="23"/>
          <w:szCs w:val="23"/>
        </w:rPr>
        <w:t xml:space="preserve">  </w:t>
      </w:r>
      <w:r>
        <w:rPr>
          <w:rFonts w:ascii="黑体" w:hAnsi="黑体" w:eastAsia="黑体" w:cs="黑体"/>
          <w:b/>
          <w:bCs/>
          <w:spacing w:val="-12"/>
          <w:sz w:val="23"/>
          <w:szCs w:val="23"/>
        </w:rPr>
        <w:t>描</w:t>
      </w:r>
    </w:p>
    <w:p w14:paraId="7437D325">
      <w:pPr>
        <w:spacing w:before="295" w:line="313" w:lineRule="auto"/>
        <w:ind w:left="70" w:right="401" w:firstLine="359"/>
        <w:rPr>
          <w:rFonts w:ascii="宋体" w:hAnsi="宋体" w:eastAsia="宋体" w:cs="宋体"/>
          <w:sz w:val="17"/>
          <w:szCs w:val="17"/>
        </w:rPr>
      </w:pPr>
      <w:r>
        <w:rPr>
          <w:rFonts w:ascii="宋体" w:hAnsi="宋体" w:eastAsia="宋体" w:cs="宋体"/>
          <w:spacing w:val="-1"/>
          <w:sz w:val="17"/>
          <w:szCs w:val="17"/>
        </w:rPr>
        <w:t>考试目标按静物组合写生和人物头像写生，分知识</w:t>
      </w:r>
      <w:r>
        <w:rPr>
          <w:rFonts w:ascii="宋体" w:hAnsi="宋体" w:eastAsia="宋体" w:cs="宋体"/>
          <w:spacing w:val="14"/>
          <w:sz w:val="17"/>
          <w:szCs w:val="17"/>
        </w:rPr>
        <w:t xml:space="preserve"> </w:t>
      </w:r>
      <w:r>
        <w:rPr>
          <w:rFonts w:ascii="宋体" w:hAnsi="宋体" w:eastAsia="宋体" w:cs="宋体"/>
          <w:spacing w:val="-2"/>
          <w:sz w:val="17"/>
          <w:szCs w:val="17"/>
        </w:rPr>
        <w:t>与技能要点、考试条目、考试水平三部分。</w:t>
      </w:r>
    </w:p>
    <w:p w14:paraId="32B3BF45">
      <w:pPr>
        <w:spacing w:before="22" w:line="219" w:lineRule="auto"/>
        <w:ind w:left="430"/>
        <w:rPr>
          <w:rFonts w:ascii="宋体" w:hAnsi="宋体" w:eastAsia="宋体" w:cs="宋体"/>
          <w:sz w:val="17"/>
          <w:szCs w:val="17"/>
        </w:rPr>
      </w:pPr>
      <w:r>
        <w:rPr>
          <w:rFonts w:ascii="宋体" w:hAnsi="宋体" w:eastAsia="宋体" w:cs="宋体"/>
          <w:spacing w:val="-3"/>
          <w:sz w:val="17"/>
          <w:szCs w:val="17"/>
        </w:rPr>
        <w:t>1.静物写生</w:t>
      </w:r>
    </w:p>
    <w:p w14:paraId="7060D2B1">
      <w:pPr>
        <w:spacing w:line="127" w:lineRule="exact"/>
      </w:pPr>
    </w:p>
    <w:tbl>
      <w:tblPr>
        <w:tblStyle w:val="5"/>
        <w:tblW w:w="4130"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43"/>
        <w:gridCol w:w="2484"/>
        <w:gridCol w:w="220"/>
        <w:gridCol w:w="229"/>
        <w:gridCol w:w="230"/>
        <w:gridCol w:w="224"/>
      </w:tblGrid>
      <w:tr w14:paraId="2DDC8B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4" w:hRule="atLeast"/>
        </w:trPr>
        <w:tc>
          <w:tcPr>
            <w:tcW w:w="743" w:type="dxa"/>
            <w:vMerge w:val="restart"/>
            <w:tcBorders>
              <w:bottom w:val="nil"/>
            </w:tcBorders>
            <w:vAlign w:val="top"/>
          </w:tcPr>
          <w:p w14:paraId="15335415">
            <w:pPr>
              <w:pStyle w:val="6"/>
              <w:spacing w:before="20" w:line="224" w:lineRule="auto"/>
              <w:ind w:left="107" w:right="35" w:hanging="80"/>
            </w:pPr>
            <w:r>
              <w:rPr>
                <w:b/>
                <w:bCs/>
                <w:spacing w:val="-5"/>
              </w:rPr>
              <w:t>知识与技</w:t>
            </w:r>
            <w:r>
              <w:rPr>
                <w:spacing w:val="1"/>
              </w:rPr>
              <w:t xml:space="preserve"> </w:t>
            </w:r>
            <w:r>
              <w:rPr>
                <w:b/>
                <w:bCs/>
                <w:spacing w:val="1"/>
              </w:rPr>
              <w:t>能要点</w:t>
            </w:r>
          </w:p>
        </w:tc>
        <w:tc>
          <w:tcPr>
            <w:tcW w:w="2484" w:type="dxa"/>
            <w:vMerge w:val="restart"/>
            <w:tcBorders>
              <w:bottom w:val="nil"/>
            </w:tcBorders>
            <w:vAlign w:val="top"/>
          </w:tcPr>
          <w:p w14:paraId="552EF0AF">
            <w:pPr>
              <w:pStyle w:val="6"/>
              <w:spacing w:before="139" w:line="219" w:lineRule="auto"/>
              <w:ind w:left="904"/>
            </w:pPr>
            <w:r>
              <w:rPr>
                <w:b/>
                <w:bCs/>
                <w:spacing w:val="5"/>
              </w:rPr>
              <w:t>考试条目</w:t>
            </w:r>
          </w:p>
        </w:tc>
        <w:tc>
          <w:tcPr>
            <w:tcW w:w="679" w:type="dxa"/>
            <w:gridSpan w:val="3"/>
            <w:vAlign w:val="top"/>
          </w:tcPr>
          <w:p w14:paraId="177F6EE8">
            <w:pPr>
              <w:pStyle w:val="6"/>
              <w:spacing w:before="29" w:line="200" w:lineRule="auto"/>
              <w:ind w:left="110"/>
            </w:pPr>
            <w:r>
              <w:rPr>
                <w:b/>
                <w:bCs/>
                <w:spacing w:val="-4"/>
              </w:rPr>
              <w:t>考试水</w:t>
            </w:r>
          </w:p>
        </w:tc>
        <w:tc>
          <w:tcPr>
            <w:tcW w:w="224" w:type="dxa"/>
            <w:vAlign w:val="top"/>
          </w:tcPr>
          <w:p w14:paraId="0D43FCE0">
            <w:pPr>
              <w:pStyle w:val="6"/>
              <w:spacing w:before="32" w:line="197" w:lineRule="auto"/>
              <w:ind w:left="21"/>
            </w:pPr>
            <w:r>
              <w:rPr>
                <w:b/>
                <w:bCs/>
                <w:spacing w:val="-2"/>
              </w:rPr>
              <w:t>平</w:t>
            </w:r>
          </w:p>
        </w:tc>
      </w:tr>
      <w:tr w14:paraId="23A56C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9" w:hRule="atLeast"/>
        </w:trPr>
        <w:tc>
          <w:tcPr>
            <w:tcW w:w="743" w:type="dxa"/>
            <w:vMerge w:val="continue"/>
            <w:tcBorders>
              <w:top w:val="nil"/>
            </w:tcBorders>
            <w:vAlign w:val="top"/>
          </w:tcPr>
          <w:p w14:paraId="7A8955E9">
            <w:pPr>
              <w:rPr>
                <w:rFonts w:ascii="Arial"/>
                <w:sz w:val="21"/>
              </w:rPr>
            </w:pPr>
          </w:p>
        </w:tc>
        <w:tc>
          <w:tcPr>
            <w:tcW w:w="2484" w:type="dxa"/>
            <w:vMerge w:val="continue"/>
            <w:tcBorders>
              <w:top w:val="nil"/>
            </w:tcBorders>
            <w:vAlign w:val="top"/>
          </w:tcPr>
          <w:p w14:paraId="28FD3754">
            <w:pPr>
              <w:rPr>
                <w:rFonts w:ascii="Arial"/>
                <w:sz w:val="21"/>
              </w:rPr>
            </w:pPr>
          </w:p>
        </w:tc>
        <w:tc>
          <w:tcPr>
            <w:tcW w:w="220" w:type="dxa"/>
            <w:vAlign w:val="top"/>
          </w:tcPr>
          <w:p w14:paraId="6C256D7A">
            <w:pPr>
              <w:pStyle w:val="6"/>
              <w:spacing w:before="60" w:line="139" w:lineRule="exact"/>
              <w:ind w:left="18"/>
            </w:pPr>
            <w:r>
              <w:rPr>
                <w:position w:val="-2"/>
              </w:rPr>
              <w:t>A</w:t>
            </w:r>
          </w:p>
        </w:tc>
        <w:tc>
          <w:tcPr>
            <w:tcW w:w="229" w:type="dxa"/>
            <w:vAlign w:val="top"/>
          </w:tcPr>
          <w:p w14:paraId="082787DF">
            <w:pPr>
              <w:pStyle w:val="6"/>
              <w:spacing w:before="63" w:line="136" w:lineRule="exact"/>
              <w:ind w:left="27"/>
            </w:pPr>
            <w:r>
              <w:rPr>
                <w:position w:val="-2"/>
              </w:rPr>
              <w:t>B</w:t>
            </w:r>
          </w:p>
        </w:tc>
        <w:tc>
          <w:tcPr>
            <w:tcW w:w="230" w:type="dxa"/>
            <w:vAlign w:val="top"/>
          </w:tcPr>
          <w:p w14:paraId="62430AB1">
            <w:pPr>
              <w:pStyle w:val="6"/>
              <w:spacing w:before="61" w:line="138" w:lineRule="exact"/>
              <w:ind w:left="18"/>
            </w:pPr>
            <w:r>
              <w:rPr>
                <w:position w:val="-2"/>
              </w:rPr>
              <w:t>C</w:t>
            </w:r>
          </w:p>
        </w:tc>
        <w:tc>
          <w:tcPr>
            <w:tcW w:w="224" w:type="dxa"/>
            <w:vAlign w:val="top"/>
          </w:tcPr>
          <w:p w14:paraId="640441D6">
            <w:pPr>
              <w:pStyle w:val="6"/>
              <w:spacing w:before="63" w:line="136" w:lineRule="exact"/>
              <w:ind w:left="19"/>
            </w:pPr>
            <w:r>
              <w:rPr>
                <w:position w:val="-2"/>
              </w:rPr>
              <w:t>D</w:t>
            </w:r>
          </w:p>
        </w:tc>
      </w:tr>
      <w:tr w14:paraId="13BF43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trPr>
        <w:tc>
          <w:tcPr>
            <w:tcW w:w="743" w:type="dxa"/>
            <w:vMerge w:val="restart"/>
            <w:tcBorders>
              <w:bottom w:val="nil"/>
            </w:tcBorders>
            <w:vAlign w:val="top"/>
          </w:tcPr>
          <w:p w14:paraId="21B17054">
            <w:pPr>
              <w:spacing w:line="316" w:lineRule="auto"/>
              <w:rPr>
                <w:rFonts w:ascii="Arial"/>
                <w:sz w:val="21"/>
              </w:rPr>
            </w:pPr>
          </w:p>
          <w:p w14:paraId="549D29FF">
            <w:pPr>
              <w:pStyle w:val="6"/>
              <w:spacing w:before="55" w:line="207" w:lineRule="auto"/>
              <w:ind w:left="194" w:right="188"/>
            </w:pPr>
            <w:r>
              <w:rPr>
                <w:spacing w:val="-4"/>
              </w:rPr>
              <w:t>基础</w:t>
            </w:r>
            <w:r>
              <w:t xml:space="preserve"> </w:t>
            </w:r>
            <w:r>
              <w:rPr>
                <w:spacing w:val="4"/>
              </w:rPr>
              <w:t>知识</w:t>
            </w:r>
          </w:p>
        </w:tc>
        <w:tc>
          <w:tcPr>
            <w:tcW w:w="2484" w:type="dxa"/>
            <w:tcBorders>
              <w:bottom w:val="nil"/>
            </w:tcBorders>
            <w:vAlign w:val="top"/>
          </w:tcPr>
          <w:p w14:paraId="2AE59F95">
            <w:pPr>
              <w:pStyle w:val="6"/>
              <w:spacing w:before="98" w:line="175" w:lineRule="auto"/>
              <w:ind w:left="11"/>
            </w:pPr>
            <w:r>
              <w:rPr>
                <w:spacing w:val="1"/>
              </w:rPr>
              <w:t>1.美术专业基础知识</w:t>
            </w:r>
          </w:p>
        </w:tc>
        <w:tc>
          <w:tcPr>
            <w:tcW w:w="220" w:type="dxa"/>
            <w:tcBorders>
              <w:bottom w:val="nil"/>
            </w:tcBorders>
            <w:vAlign w:val="top"/>
          </w:tcPr>
          <w:p w14:paraId="24E27F41">
            <w:pPr>
              <w:rPr>
                <w:rFonts w:ascii="Arial"/>
                <w:sz w:val="21"/>
              </w:rPr>
            </w:pPr>
          </w:p>
        </w:tc>
        <w:tc>
          <w:tcPr>
            <w:tcW w:w="229" w:type="dxa"/>
            <w:tcBorders>
              <w:bottom w:val="nil"/>
            </w:tcBorders>
            <w:vAlign w:val="top"/>
          </w:tcPr>
          <w:p w14:paraId="290B6B5F">
            <w:pPr>
              <w:rPr>
                <w:rFonts w:ascii="Arial"/>
                <w:sz w:val="21"/>
              </w:rPr>
            </w:pPr>
          </w:p>
        </w:tc>
        <w:tc>
          <w:tcPr>
            <w:tcW w:w="230" w:type="dxa"/>
            <w:tcBorders>
              <w:bottom w:val="nil"/>
            </w:tcBorders>
            <w:vAlign w:val="top"/>
          </w:tcPr>
          <w:p w14:paraId="5093DAEC">
            <w:pPr>
              <w:rPr>
                <w:rFonts w:ascii="Arial"/>
                <w:sz w:val="21"/>
              </w:rPr>
            </w:pPr>
          </w:p>
        </w:tc>
        <w:tc>
          <w:tcPr>
            <w:tcW w:w="224" w:type="dxa"/>
            <w:tcBorders>
              <w:bottom w:val="nil"/>
            </w:tcBorders>
            <w:vAlign w:val="top"/>
          </w:tcPr>
          <w:p w14:paraId="17697313">
            <w:pPr>
              <w:rPr>
                <w:rFonts w:ascii="Arial"/>
                <w:sz w:val="21"/>
              </w:rPr>
            </w:pPr>
          </w:p>
        </w:tc>
      </w:tr>
      <w:tr w14:paraId="0BDA5A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80" w:hRule="atLeast"/>
        </w:trPr>
        <w:tc>
          <w:tcPr>
            <w:tcW w:w="743" w:type="dxa"/>
            <w:vMerge w:val="continue"/>
            <w:tcBorders>
              <w:top w:val="nil"/>
              <w:bottom w:val="nil"/>
            </w:tcBorders>
            <w:vAlign w:val="top"/>
          </w:tcPr>
          <w:p w14:paraId="19E1D907">
            <w:pPr>
              <w:rPr>
                <w:rFonts w:ascii="Arial"/>
                <w:sz w:val="21"/>
              </w:rPr>
            </w:pPr>
          </w:p>
        </w:tc>
        <w:tc>
          <w:tcPr>
            <w:tcW w:w="2484" w:type="dxa"/>
            <w:tcBorders>
              <w:top w:val="nil"/>
              <w:bottom w:val="nil"/>
            </w:tcBorders>
            <w:vAlign w:val="top"/>
          </w:tcPr>
          <w:p w14:paraId="5C278C75">
            <w:pPr>
              <w:pStyle w:val="6"/>
              <w:spacing w:before="8" w:line="175" w:lineRule="auto"/>
              <w:ind w:left="11"/>
            </w:pPr>
            <w:r>
              <w:rPr>
                <w:spacing w:val="-1"/>
              </w:rPr>
              <w:t>2.对形象的正确观察方法</w:t>
            </w:r>
          </w:p>
        </w:tc>
        <w:tc>
          <w:tcPr>
            <w:tcW w:w="220" w:type="dxa"/>
            <w:tcBorders>
              <w:top w:val="nil"/>
              <w:bottom w:val="nil"/>
            </w:tcBorders>
            <w:vAlign w:val="top"/>
          </w:tcPr>
          <w:p w14:paraId="09176F4F">
            <w:pPr>
              <w:spacing w:line="170" w:lineRule="exact"/>
              <w:rPr>
                <w:rFonts w:ascii="Arial"/>
                <w:sz w:val="14"/>
              </w:rPr>
            </w:pPr>
          </w:p>
        </w:tc>
        <w:tc>
          <w:tcPr>
            <w:tcW w:w="229" w:type="dxa"/>
            <w:tcBorders>
              <w:top w:val="nil"/>
              <w:bottom w:val="nil"/>
            </w:tcBorders>
            <w:vAlign w:val="top"/>
          </w:tcPr>
          <w:p w14:paraId="485746CD">
            <w:pPr>
              <w:spacing w:line="170" w:lineRule="exact"/>
              <w:rPr>
                <w:rFonts w:ascii="Arial"/>
                <w:sz w:val="14"/>
              </w:rPr>
            </w:pPr>
          </w:p>
        </w:tc>
        <w:tc>
          <w:tcPr>
            <w:tcW w:w="230" w:type="dxa"/>
            <w:tcBorders>
              <w:top w:val="nil"/>
              <w:bottom w:val="nil"/>
            </w:tcBorders>
            <w:vAlign w:val="top"/>
          </w:tcPr>
          <w:p w14:paraId="691D2E00">
            <w:pPr>
              <w:spacing w:line="170" w:lineRule="exact"/>
              <w:rPr>
                <w:rFonts w:ascii="Arial"/>
                <w:sz w:val="14"/>
              </w:rPr>
            </w:pPr>
          </w:p>
        </w:tc>
        <w:tc>
          <w:tcPr>
            <w:tcW w:w="224" w:type="dxa"/>
            <w:tcBorders>
              <w:top w:val="nil"/>
              <w:bottom w:val="nil"/>
            </w:tcBorders>
            <w:vAlign w:val="top"/>
          </w:tcPr>
          <w:p w14:paraId="45504AF7">
            <w:pPr>
              <w:spacing w:line="170" w:lineRule="exact"/>
              <w:rPr>
                <w:rFonts w:ascii="Arial"/>
                <w:sz w:val="14"/>
              </w:rPr>
            </w:pPr>
          </w:p>
        </w:tc>
      </w:tr>
      <w:tr w14:paraId="723F7F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8" w:hRule="atLeast"/>
        </w:trPr>
        <w:tc>
          <w:tcPr>
            <w:tcW w:w="743" w:type="dxa"/>
            <w:vMerge w:val="continue"/>
            <w:tcBorders>
              <w:top w:val="nil"/>
              <w:bottom w:val="nil"/>
            </w:tcBorders>
            <w:vAlign w:val="top"/>
          </w:tcPr>
          <w:p w14:paraId="68E8334A">
            <w:pPr>
              <w:rPr>
                <w:rFonts w:ascii="Arial"/>
                <w:sz w:val="21"/>
              </w:rPr>
            </w:pPr>
          </w:p>
        </w:tc>
        <w:tc>
          <w:tcPr>
            <w:tcW w:w="2484" w:type="dxa"/>
            <w:tcBorders>
              <w:top w:val="nil"/>
              <w:bottom w:val="nil"/>
            </w:tcBorders>
            <w:vAlign w:val="top"/>
          </w:tcPr>
          <w:p w14:paraId="22464BD2">
            <w:pPr>
              <w:pStyle w:val="6"/>
              <w:spacing w:before="9" w:line="184" w:lineRule="auto"/>
              <w:ind w:left="11" w:right="67"/>
            </w:pPr>
            <w:r>
              <w:t>3.对形体比例结构、透视关系和</w:t>
            </w:r>
            <w:r>
              <w:rPr>
                <w:spacing w:val="13"/>
              </w:rPr>
              <w:t xml:space="preserve"> </w:t>
            </w:r>
            <w:r>
              <w:rPr>
                <w:spacing w:val="3"/>
              </w:rPr>
              <w:t>明暗关系</w:t>
            </w:r>
          </w:p>
        </w:tc>
        <w:tc>
          <w:tcPr>
            <w:tcW w:w="220" w:type="dxa"/>
            <w:tcBorders>
              <w:top w:val="nil"/>
              <w:bottom w:val="nil"/>
            </w:tcBorders>
            <w:vAlign w:val="top"/>
          </w:tcPr>
          <w:p w14:paraId="00DAF316">
            <w:pPr>
              <w:rPr>
                <w:rFonts w:ascii="Arial"/>
                <w:sz w:val="21"/>
              </w:rPr>
            </w:pPr>
          </w:p>
        </w:tc>
        <w:tc>
          <w:tcPr>
            <w:tcW w:w="229" w:type="dxa"/>
            <w:tcBorders>
              <w:top w:val="nil"/>
              <w:bottom w:val="nil"/>
            </w:tcBorders>
            <w:vAlign w:val="top"/>
          </w:tcPr>
          <w:p w14:paraId="2271A6EB">
            <w:pPr>
              <w:rPr>
                <w:rFonts w:ascii="Arial"/>
                <w:sz w:val="21"/>
              </w:rPr>
            </w:pPr>
          </w:p>
        </w:tc>
        <w:tc>
          <w:tcPr>
            <w:tcW w:w="230" w:type="dxa"/>
            <w:tcBorders>
              <w:top w:val="nil"/>
              <w:bottom w:val="nil"/>
            </w:tcBorders>
            <w:vAlign w:val="top"/>
          </w:tcPr>
          <w:p w14:paraId="65CEDA4E">
            <w:pPr>
              <w:rPr>
                <w:rFonts w:ascii="Arial"/>
                <w:sz w:val="21"/>
              </w:rPr>
            </w:pPr>
          </w:p>
        </w:tc>
        <w:tc>
          <w:tcPr>
            <w:tcW w:w="224" w:type="dxa"/>
            <w:tcBorders>
              <w:top w:val="nil"/>
              <w:bottom w:val="nil"/>
            </w:tcBorders>
            <w:vAlign w:val="top"/>
          </w:tcPr>
          <w:p w14:paraId="6D1B5880">
            <w:pPr>
              <w:rPr>
                <w:rFonts w:ascii="Arial"/>
                <w:sz w:val="21"/>
              </w:rPr>
            </w:pPr>
          </w:p>
        </w:tc>
      </w:tr>
      <w:tr w14:paraId="03544D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743" w:type="dxa"/>
            <w:vMerge w:val="continue"/>
            <w:tcBorders>
              <w:top w:val="nil"/>
            </w:tcBorders>
            <w:vAlign w:val="top"/>
          </w:tcPr>
          <w:p w14:paraId="7373DB2B">
            <w:pPr>
              <w:rPr>
                <w:rFonts w:ascii="Arial"/>
                <w:sz w:val="21"/>
              </w:rPr>
            </w:pPr>
          </w:p>
        </w:tc>
        <w:tc>
          <w:tcPr>
            <w:tcW w:w="2484" w:type="dxa"/>
            <w:tcBorders>
              <w:top w:val="nil"/>
            </w:tcBorders>
            <w:vAlign w:val="top"/>
          </w:tcPr>
          <w:p w14:paraId="4DC80C48">
            <w:pPr>
              <w:pStyle w:val="6"/>
              <w:spacing w:before="11" w:line="219" w:lineRule="auto"/>
              <w:ind w:left="11"/>
            </w:pPr>
            <w:r>
              <w:rPr>
                <w:spacing w:val="-1"/>
              </w:rPr>
              <w:t>4.作画的程序和步骤</w:t>
            </w:r>
          </w:p>
        </w:tc>
        <w:tc>
          <w:tcPr>
            <w:tcW w:w="220" w:type="dxa"/>
            <w:tcBorders>
              <w:top w:val="nil"/>
            </w:tcBorders>
            <w:vAlign w:val="top"/>
          </w:tcPr>
          <w:p w14:paraId="1E7FA302">
            <w:pPr>
              <w:rPr>
                <w:rFonts w:ascii="Arial"/>
                <w:sz w:val="21"/>
              </w:rPr>
            </w:pPr>
          </w:p>
        </w:tc>
        <w:tc>
          <w:tcPr>
            <w:tcW w:w="229" w:type="dxa"/>
            <w:tcBorders>
              <w:top w:val="nil"/>
            </w:tcBorders>
            <w:vAlign w:val="top"/>
          </w:tcPr>
          <w:p w14:paraId="72700BD3">
            <w:pPr>
              <w:rPr>
                <w:rFonts w:ascii="Arial"/>
                <w:sz w:val="21"/>
              </w:rPr>
            </w:pPr>
          </w:p>
        </w:tc>
        <w:tc>
          <w:tcPr>
            <w:tcW w:w="230" w:type="dxa"/>
            <w:tcBorders>
              <w:top w:val="nil"/>
            </w:tcBorders>
            <w:vAlign w:val="top"/>
          </w:tcPr>
          <w:p w14:paraId="3F7DF90A">
            <w:pPr>
              <w:rPr>
                <w:rFonts w:ascii="Arial"/>
                <w:sz w:val="21"/>
              </w:rPr>
            </w:pPr>
          </w:p>
        </w:tc>
        <w:tc>
          <w:tcPr>
            <w:tcW w:w="224" w:type="dxa"/>
            <w:tcBorders>
              <w:top w:val="nil"/>
            </w:tcBorders>
            <w:vAlign w:val="top"/>
          </w:tcPr>
          <w:p w14:paraId="245A49A4">
            <w:pPr>
              <w:rPr>
                <w:rFonts w:ascii="Arial"/>
                <w:sz w:val="21"/>
              </w:rPr>
            </w:pPr>
          </w:p>
        </w:tc>
      </w:tr>
      <w:tr w14:paraId="155DC5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40" w:hRule="atLeast"/>
        </w:trPr>
        <w:tc>
          <w:tcPr>
            <w:tcW w:w="743" w:type="dxa"/>
            <w:vAlign w:val="top"/>
          </w:tcPr>
          <w:p w14:paraId="4257E7A1">
            <w:pPr>
              <w:spacing w:line="247" w:lineRule="auto"/>
              <w:rPr>
                <w:rFonts w:ascii="Arial"/>
                <w:sz w:val="21"/>
              </w:rPr>
            </w:pPr>
          </w:p>
          <w:p w14:paraId="48444B03">
            <w:pPr>
              <w:spacing w:line="248" w:lineRule="auto"/>
              <w:rPr>
                <w:rFonts w:ascii="Arial"/>
                <w:sz w:val="21"/>
              </w:rPr>
            </w:pPr>
          </w:p>
          <w:p w14:paraId="5D2E3174">
            <w:pPr>
              <w:pStyle w:val="6"/>
              <w:spacing w:before="55" w:line="208" w:lineRule="auto"/>
              <w:ind w:left="194" w:right="184"/>
            </w:pPr>
            <w:r>
              <w:rPr>
                <w:spacing w:val="6"/>
              </w:rPr>
              <w:t>作画</w:t>
            </w:r>
            <w:r>
              <w:t xml:space="preserve"> </w:t>
            </w:r>
            <w:r>
              <w:rPr>
                <w:spacing w:val="-2"/>
              </w:rPr>
              <w:t>技法</w:t>
            </w:r>
          </w:p>
        </w:tc>
        <w:tc>
          <w:tcPr>
            <w:tcW w:w="2484" w:type="dxa"/>
            <w:vAlign w:val="top"/>
          </w:tcPr>
          <w:p w14:paraId="423DD852">
            <w:pPr>
              <w:pStyle w:val="6"/>
              <w:spacing w:before="112" w:line="196" w:lineRule="auto"/>
              <w:ind w:left="11"/>
            </w:pPr>
            <w:r>
              <w:t>1.构图均衡有变化</w:t>
            </w:r>
          </w:p>
          <w:p w14:paraId="056D7E52">
            <w:pPr>
              <w:pStyle w:val="6"/>
              <w:spacing w:line="195" w:lineRule="auto"/>
              <w:ind w:left="11" w:right="578"/>
            </w:pPr>
            <w:r>
              <w:rPr>
                <w:spacing w:val="1"/>
              </w:rPr>
              <w:t>2.形体轮廓比例关系正确</w:t>
            </w:r>
            <w:r>
              <w:t xml:space="preserve"> </w:t>
            </w:r>
            <w:r>
              <w:rPr>
                <w:spacing w:val="-1"/>
              </w:rPr>
              <w:t>3.透视结构关系准确合理</w:t>
            </w:r>
          </w:p>
          <w:p w14:paraId="03F9A9D3">
            <w:pPr>
              <w:pStyle w:val="6"/>
              <w:spacing w:line="190" w:lineRule="auto"/>
              <w:ind w:left="11" w:right="937"/>
            </w:pPr>
            <w:r>
              <w:rPr>
                <w:spacing w:val="-1"/>
              </w:rPr>
              <w:t>4.明暗调子关系准确</w:t>
            </w:r>
            <w:r>
              <w:rPr>
                <w:spacing w:val="3"/>
              </w:rPr>
              <w:t xml:space="preserve"> </w:t>
            </w:r>
            <w:r>
              <w:rPr>
                <w:spacing w:val="1"/>
              </w:rPr>
              <w:t>5.黑白灰层次丰富</w:t>
            </w:r>
          </w:p>
          <w:p w14:paraId="356161E2">
            <w:pPr>
              <w:pStyle w:val="6"/>
              <w:spacing w:before="1" w:line="207" w:lineRule="auto"/>
              <w:ind w:left="11" w:right="90"/>
            </w:pPr>
            <w:r>
              <w:rPr>
                <w:spacing w:val="-1"/>
              </w:rPr>
              <w:t>6.表现出物体的立体感和空间感</w:t>
            </w:r>
            <w:r>
              <w:rPr>
                <w:spacing w:val="6"/>
              </w:rPr>
              <w:t xml:space="preserve"> </w:t>
            </w:r>
            <w:r>
              <w:rPr>
                <w:spacing w:val="-2"/>
              </w:rPr>
              <w:t>7.有较强的质量感</w:t>
            </w:r>
          </w:p>
        </w:tc>
        <w:tc>
          <w:tcPr>
            <w:tcW w:w="220" w:type="dxa"/>
            <w:vAlign w:val="top"/>
          </w:tcPr>
          <w:p w14:paraId="527715C0">
            <w:pPr>
              <w:rPr>
                <w:rFonts w:ascii="Arial"/>
                <w:sz w:val="21"/>
              </w:rPr>
            </w:pPr>
          </w:p>
        </w:tc>
        <w:tc>
          <w:tcPr>
            <w:tcW w:w="229" w:type="dxa"/>
            <w:vAlign w:val="top"/>
          </w:tcPr>
          <w:p w14:paraId="4DE48544">
            <w:pPr>
              <w:pStyle w:val="6"/>
              <w:spacing w:before="261" w:line="229" w:lineRule="auto"/>
              <w:ind w:left="27"/>
            </w:pPr>
            <w:r>
              <w:t>》</w:t>
            </w:r>
          </w:p>
        </w:tc>
        <w:tc>
          <w:tcPr>
            <w:tcW w:w="230" w:type="dxa"/>
            <w:vAlign w:val="top"/>
          </w:tcPr>
          <w:p w14:paraId="61824D60">
            <w:pPr>
              <w:spacing w:line="332" w:lineRule="auto"/>
              <w:rPr>
                <w:rFonts w:ascii="Arial"/>
                <w:sz w:val="21"/>
              </w:rPr>
            </w:pPr>
          </w:p>
          <w:p w14:paraId="53569F17">
            <w:pPr>
              <w:spacing w:line="332" w:lineRule="auto"/>
              <w:rPr>
                <w:rFonts w:ascii="Arial"/>
                <w:sz w:val="21"/>
              </w:rPr>
            </w:pPr>
          </w:p>
          <w:p w14:paraId="389C428C">
            <w:pPr>
              <w:spacing w:line="300" w:lineRule="exact"/>
              <w:ind w:firstLine="46"/>
            </w:pPr>
            <w:r>
              <w:rPr>
                <w:position w:val="-5"/>
              </w:rPr>
              <w:drawing>
                <wp:inline distT="0" distB="0" distL="0" distR="0">
                  <wp:extent cx="97790" cy="189865"/>
                  <wp:effectExtent l="0" t="0" r="0" b="0"/>
                  <wp:docPr id="362" name="IM 362"/>
                  <wp:cNvGraphicFramePr/>
                  <a:graphic xmlns:a="http://schemas.openxmlformats.org/drawingml/2006/main">
                    <a:graphicData uri="http://schemas.openxmlformats.org/drawingml/2006/picture">
                      <pic:pic xmlns:pic="http://schemas.openxmlformats.org/drawingml/2006/picture">
                        <pic:nvPicPr>
                          <pic:cNvPr id="362" name="IM 362"/>
                          <pic:cNvPicPr/>
                        </pic:nvPicPr>
                        <pic:blipFill>
                          <a:blip r:embed="rId345"/>
                          <a:stretch>
                            <a:fillRect/>
                          </a:stretch>
                        </pic:blipFill>
                        <pic:spPr>
                          <a:xfrm>
                            <a:off x="0" y="0"/>
                            <a:ext cx="98196" cy="190494"/>
                          </a:xfrm>
                          <a:prstGeom prst="rect">
                            <a:avLst/>
                          </a:prstGeom>
                        </pic:spPr>
                      </pic:pic>
                    </a:graphicData>
                  </a:graphic>
                </wp:inline>
              </w:drawing>
            </w:r>
          </w:p>
        </w:tc>
        <w:tc>
          <w:tcPr>
            <w:tcW w:w="224" w:type="dxa"/>
            <w:vAlign w:val="top"/>
          </w:tcPr>
          <w:p w14:paraId="2CFF35D7">
            <w:pPr>
              <w:rPr>
                <w:rFonts w:ascii="Arial"/>
                <w:sz w:val="21"/>
              </w:rPr>
            </w:pPr>
          </w:p>
        </w:tc>
      </w:tr>
    </w:tbl>
    <w:p w14:paraId="3A894E23">
      <w:pPr>
        <w:spacing w:before="142" w:line="219" w:lineRule="auto"/>
        <w:ind w:left="430"/>
        <w:rPr>
          <w:rFonts w:ascii="宋体" w:hAnsi="宋体" w:eastAsia="宋体" w:cs="宋体"/>
          <w:sz w:val="17"/>
          <w:szCs w:val="17"/>
        </w:rPr>
      </w:pPr>
      <w:r>
        <w:rPr>
          <w:rFonts w:ascii="宋体" w:hAnsi="宋体" w:eastAsia="宋体" w:cs="宋体"/>
          <w:spacing w:val="-4"/>
          <w:sz w:val="17"/>
          <w:szCs w:val="17"/>
        </w:rPr>
        <w:t>2.人物头像写生</w:t>
      </w:r>
    </w:p>
    <w:p w14:paraId="55554B46">
      <w:pPr>
        <w:spacing w:line="116" w:lineRule="exact"/>
      </w:pPr>
    </w:p>
    <w:tbl>
      <w:tblPr>
        <w:tblStyle w:val="5"/>
        <w:tblW w:w="4130"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33"/>
        <w:gridCol w:w="2484"/>
        <w:gridCol w:w="230"/>
        <w:gridCol w:w="220"/>
        <w:gridCol w:w="229"/>
        <w:gridCol w:w="234"/>
      </w:tblGrid>
      <w:tr w14:paraId="41A0BD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5" w:hRule="atLeast"/>
        </w:trPr>
        <w:tc>
          <w:tcPr>
            <w:tcW w:w="733" w:type="dxa"/>
            <w:vMerge w:val="restart"/>
            <w:tcBorders>
              <w:bottom w:val="nil"/>
            </w:tcBorders>
            <w:vAlign w:val="top"/>
          </w:tcPr>
          <w:p w14:paraId="4F3C4121">
            <w:pPr>
              <w:pStyle w:val="6"/>
              <w:spacing w:before="10" w:line="217" w:lineRule="auto"/>
              <w:ind w:left="86" w:hanging="69"/>
              <w:rPr>
                <w:sz w:val="18"/>
                <w:szCs w:val="18"/>
              </w:rPr>
            </w:pPr>
            <w:r>
              <w:rPr>
                <w:b/>
                <w:bCs/>
                <w:spacing w:val="-6"/>
                <w:sz w:val="18"/>
                <w:szCs w:val="18"/>
              </w:rPr>
              <w:t>知识与技</w:t>
            </w:r>
            <w:r>
              <w:rPr>
                <w:sz w:val="18"/>
                <w:szCs w:val="18"/>
              </w:rPr>
              <w:t xml:space="preserve"> </w:t>
            </w:r>
            <w:r>
              <w:rPr>
                <w:b/>
                <w:bCs/>
                <w:sz w:val="18"/>
                <w:szCs w:val="18"/>
              </w:rPr>
              <w:t>能要点</w:t>
            </w:r>
          </w:p>
        </w:tc>
        <w:tc>
          <w:tcPr>
            <w:tcW w:w="2484" w:type="dxa"/>
            <w:vMerge w:val="restart"/>
            <w:tcBorders>
              <w:bottom w:val="nil"/>
            </w:tcBorders>
            <w:vAlign w:val="top"/>
          </w:tcPr>
          <w:p w14:paraId="1AF0C9B4">
            <w:pPr>
              <w:pStyle w:val="6"/>
              <w:spacing w:before="129" w:line="219" w:lineRule="auto"/>
              <w:ind w:left="924"/>
              <w:rPr>
                <w:sz w:val="18"/>
                <w:szCs w:val="18"/>
              </w:rPr>
            </w:pPr>
            <w:r>
              <w:rPr>
                <w:b/>
                <w:bCs/>
                <w:spacing w:val="5"/>
                <w:sz w:val="18"/>
                <w:szCs w:val="18"/>
              </w:rPr>
              <w:t>考试条目</w:t>
            </w:r>
          </w:p>
        </w:tc>
        <w:tc>
          <w:tcPr>
            <w:tcW w:w="913" w:type="dxa"/>
            <w:gridSpan w:val="4"/>
            <w:vAlign w:val="top"/>
          </w:tcPr>
          <w:p w14:paraId="5CAF66AC">
            <w:pPr>
              <w:pStyle w:val="6"/>
              <w:spacing w:before="20" w:line="200" w:lineRule="auto"/>
              <w:ind w:left="130"/>
              <w:rPr>
                <w:sz w:val="18"/>
                <w:szCs w:val="18"/>
              </w:rPr>
            </w:pPr>
            <w:r>
              <w:rPr>
                <w:b/>
                <w:bCs/>
                <w:spacing w:val="-4"/>
                <w:sz w:val="18"/>
                <w:szCs w:val="18"/>
              </w:rPr>
              <w:t>考试水平</w:t>
            </w:r>
          </w:p>
        </w:tc>
      </w:tr>
      <w:tr w14:paraId="660445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9" w:hRule="atLeast"/>
        </w:trPr>
        <w:tc>
          <w:tcPr>
            <w:tcW w:w="733" w:type="dxa"/>
            <w:vMerge w:val="continue"/>
            <w:tcBorders>
              <w:top w:val="nil"/>
            </w:tcBorders>
            <w:vAlign w:val="top"/>
          </w:tcPr>
          <w:p w14:paraId="04612DE4">
            <w:pPr>
              <w:rPr>
                <w:rFonts w:ascii="Arial"/>
                <w:sz w:val="21"/>
              </w:rPr>
            </w:pPr>
          </w:p>
        </w:tc>
        <w:tc>
          <w:tcPr>
            <w:tcW w:w="2484" w:type="dxa"/>
            <w:vMerge w:val="continue"/>
            <w:tcBorders>
              <w:top w:val="nil"/>
            </w:tcBorders>
            <w:vAlign w:val="top"/>
          </w:tcPr>
          <w:p w14:paraId="1E813E09">
            <w:pPr>
              <w:rPr>
                <w:rFonts w:ascii="Arial"/>
                <w:sz w:val="21"/>
              </w:rPr>
            </w:pPr>
          </w:p>
        </w:tc>
        <w:tc>
          <w:tcPr>
            <w:tcW w:w="230" w:type="dxa"/>
            <w:vAlign w:val="top"/>
          </w:tcPr>
          <w:p w14:paraId="5AE6BD07">
            <w:pPr>
              <w:pStyle w:val="6"/>
              <w:spacing w:before="62" w:line="137" w:lineRule="exact"/>
              <w:ind w:left="20"/>
              <w:rPr>
                <w:sz w:val="18"/>
                <w:szCs w:val="18"/>
              </w:rPr>
            </w:pPr>
            <w:r>
              <w:rPr>
                <w:b/>
                <w:bCs/>
                <w:spacing w:val="-2"/>
                <w:position w:val="-2"/>
                <w:sz w:val="18"/>
                <w:szCs w:val="18"/>
              </w:rPr>
              <w:t>A</w:t>
            </w:r>
          </w:p>
        </w:tc>
        <w:tc>
          <w:tcPr>
            <w:tcW w:w="220" w:type="dxa"/>
            <w:vAlign w:val="top"/>
          </w:tcPr>
          <w:p w14:paraId="1D2F59DC">
            <w:pPr>
              <w:pStyle w:val="6"/>
              <w:spacing w:before="65" w:line="134" w:lineRule="exact"/>
              <w:ind w:left="20"/>
              <w:rPr>
                <w:sz w:val="18"/>
                <w:szCs w:val="18"/>
              </w:rPr>
            </w:pPr>
            <w:r>
              <w:rPr>
                <w:b/>
                <w:bCs/>
                <w:spacing w:val="-2"/>
                <w:position w:val="-2"/>
                <w:sz w:val="18"/>
                <w:szCs w:val="18"/>
              </w:rPr>
              <w:t>B</w:t>
            </w:r>
          </w:p>
        </w:tc>
        <w:tc>
          <w:tcPr>
            <w:tcW w:w="229" w:type="dxa"/>
            <w:vAlign w:val="top"/>
          </w:tcPr>
          <w:p w14:paraId="3164D74A">
            <w:pPr>
              <w:pStyle w:val="6"/>
              <w:spacing w:before="62" w:line="137" w:lineRule="exact"/>
              <w:ind w:left="50"/>
              <w:rPr>
                <w:sz w:val="18"/>
                <w:szCs w:val="18"/>
              </w:rPr>
            </w:pPr>
            <w:r>
              <w:rPr>
                <w:b/>
                <w:bCs/>
                <w:spacing w:val="-2"/>
                <w:position w:val="-2"/>
                <w:sz w:val="18"/>
                <w:szCs w:val="18"/>
              </w:rPr>
              <w:t>C</w:t>
            </w:r>
          </w:p>
        </w:tc>
        <w:tc>
          <w:tcPr>
            <w:tcW w:w="234" w:type="dxa"/>
            <w:vAlign w:val="top"/>
          </w:tcPr>
          <w:p w14:paraId="37450917">
            <w:pPr>
              <w:pStyle w:val="6"/>
              <w:spacing w:before="65" w:line="134" w:lineRule="exact"/>
              <w:ind w:left="21"/>
              <w:rPr>
                <w:sz w:val="18"/>
                <w:szCs w:val="18"/>
              </w:rPr>
            </w:pPr>
            <w:r>
              <w:rPr>
                <w:b/>
                <w:bCs/>
                <w:spacing w:val="-2"/>
                <w:position w:val="-2"/>
                <w:sz w:val="18"/>
                <w:szCs w:val="18"/>
              </w:rPr>
              <w:t>D</w:t>
            </w:r>
          </w:p>
        </w:tc>
      </w:tr>
      <w:tr w14:paraId="464CEE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26" w:hRule="atLeast"/>
        </w:trPr>
        <w:tc>
          <w:tcPr>
            <w:tcW w:w="733" w:type="dxa"/>
            <w:vAlign w:val="top"/>
          </w:tcPr>
          <w:p w14:paraId="2A8B87D4">
            <w:pPr>
              <w:spacing w:line="472" w:lineRule="auto"/>
              <w:rPr>
                <w:rFonts w:ascii="Arial"/>
                <w:sz w:val="21"/>
              </w:rPr>
            </w:pPr>
          </w:p>
          <w:p w14:paraId="3EC2C379">
            <w:pPr>
              <w:pStyle w:val="6"/>
              <w:spacing w:before="58" w:line="227" w:lineRule="auto"/>
              <w:ind w:left="174" w:right="177"/>
              <w:rPr>
                <w:sz w:val="18"/>
                <w:szCs w:val="18"/>
              </w:rPr>
            </w:pPr>
            <w:r>
              <w:rPr>
                <w:spacing w:val="-4"/>
                <w:sz w:val="18"/>
                <w:szCs w:val="18"/>
              </w:rPr>
              <w:t>基础</w:t>
            </w:r>
            <w:r>
              <w:rPr>
                <w:sz w:val="18"/>
                <w:szCs w:val="18"/>
              </w:rPr>
              <w:t xml:space="preserve"> </w:t>
            </w:r>
            <w:r>
              <w:rPr>
                <w:spacing w:val="5"/>
                <w:sz w:val="18"/>
                <w:szCs w:val="18"/>
              </w:rPr>
              <w:t>知识</w:t>
            </w:r>
          </w:p>
        </w:tc>
        <w:tc>
          <w:tcPr>
            <w:tcW w:w="2484" w:type="dxa"/>
            <w:vAlign w:val="top"/>
          </w:tcPr>
          <w:p w14:paraId="39769A46">
            <w:pPr>
              <w:pStyle w:val="6"/>
              <w:spacing w:before="88" w:line="217" w:lineRule="auto"/>
              <w:ind w:left="11" w:right="671"/>
              <w:rPr>
                <w:sz w:val="18"/>
                <w:szCs w:val="18"/>
              </w:rPr>
            </w:pPr>
            <w:r>
              <w:rPr>
                <w:spacing w:val="1"/>
                <w:sz w:val="18"/>
                <w:szCs w:val="18"/>
              </w:rPr>
              <w:t>1.美术专业基础知识</w:t>
            </w:r>
            <w:r>
              <w:rPr>
                <w:sz w:val="18"/>
                <w:szCs w:val="18"/>
              </w:rPr>
              <w:t xml:space="preserve">   </w:t>
            </w:r>
            <w:r>
              <w:rPr>
                <w:spacing w:val="-1"/>
                <w:sz w:val="18"/>
                <w:szCs w:val="18"/>
              </w:rPr>
              <w:t>2.形象的正确观察方法</w:t>
            </w:r>
          </w:p>
          <w:p w14:paraId="69D650FE">
            <w:pPr>
              <w:pStyle w:val="6"/>
              <w:spacing w:before="16" w:line="217" w:lineRule="auto"/>
              <w:ind w:left="11" w:right="105"/>
              <w:rPr>
                <w:sz w:val="18"/>
                <w:szCs w:val="18"/>
              </w:rPr>
            </w:pPr>
            <w:r>
              <w:rPr>
                <w:spacing w:val="1"/>
                <w:sz w:val="18"/>
                <w:szCs w:val="18"/>
              </w:rPr>
              <w:t xml:space="preserve">3.对形体比例结构、透视关系 </w:t>
            </w:r>
            <w:r>
              <w:rPr>
                <w:spacing w:val="3"/>
                <w:sz w:val="18"/>
                <w:szCs w:val="18"/>
              </w:rPr>
              <w:t>和明暗关系</w:t>
            </w:r>
          </w:p>
          <w:p w14:paraId="017672C9">
            <w:pPr>
              <w:pStyle w:val="6"/>
              <w:spacing w:before="15" w:line="230" w:lineRule="auto"/>
              <w:ind w:left="11" w:right="848"/>
              <w:rPr>
                <w:sz w:val="18"/>
                <w:szCs w:val="18"/>
              </w:rPr>
            </w:pPr>
            <w:r>
              <w:rPr>
                <w:spacing w:val="-1"/>
                <w:sz w:val="18"/>
                <w:szCs w:val="18"/>
              </w:rPr>
              <w:t>4.作画的程序和步骤</w:t>
            </w:r>
            <w:r>
              <w:rPr>
                <w:spacing w:val="2"/>
                <w:sz w:val="18"/>
                <w:szCs w:val="18"/>
              </w:rPr>
              <w:t xml:space="preserve"> </w:t>
            </w:r>
            <w:r>
              <w:rPr>
                <w:spacing w:val="1"/>
                <w:sz w:val="18"/>
                <w:szCs w:val="18"/>
              </w:rPr>
              <w:t>5.头部解剖知识</w:t>
            </w:r>
          </w:p>
        </w:tc>
        <w:tc>
          <w:tcPr>
            <w:tcW w:w="230" w:type="dxa"/>
            <w:vAlign w:val="top"/>
          </w:tcPr>
          <w:p w14:paraId="7970763C">
            <w:pPr>
              <w:spacing w:before="141" w:line="300" w:lineRule="exact"/>
              <w:ind w:firstLine="35"/>
            </w:pPr>
            <w:r>
              <w:rPr>
                <w:position w:val="-5"/>
              </w:rPr>
              <w:drawing>
                <wp:inline distT="0" distB="0" distL="0" distR="0">
                  <wp:extent cx="97790" cy="189865"/>
                  <wp:effectExtent l="0" t="0" r="0" b="0"/>
                  <wp:docPr id="364" name="IM 364"/>
                  <wp:cNvGraphicFramePr/>
                  <a:graphic xmlns:a="http://schemas.openxmlformats.org/drawingml/2006/main">
                    <a:graphicData uri="http://schemas.openxmlformats.org/drawingml/2006/picture">
                      <pic:pic xmlns:pic="http://schemas.openxmlformats.org/drawingml/2006/picture">
                        <pic:nvPicPr>
                          <pic:cNvPr id="364" name="IM 364"/>
                          <pic:cNvPicPr/>
                        </pic:nvPicPr>
                        <pic:blipFill>
                          <a:blip r:embed="rId346"/>
                          <a:stretch>
                            <a:fillRect/>
                          </a:stretch>
                        </pic:blipFill>
                        <pic:spPr>
                          <a:xfrm>
                            <a:off x="0" y="0"/>
                            <a:ext cx="97939" cy="190462"/>
                          </a:xfrm>
                          <a:prstGeom prst="rect">
                            <a:avLst/>
                          </a:prstGeom>
                        </pic:spPr>
                      </pic:pic>
                    </a:graphicData>
                  </a:graphic>
                </wp:inline>
              </w:drawing>
            </w:r>
          </w:p>
        </w:tc>
        <w:tc>
          <w:tcPr>
            <w:tcW w:w="220" w:type="dxa"/>
            <w:vAlign w:val="top"/>
          </w:tcPr>
          <w:p w14:paraId="4449DAA6">
            <w:pPr>
              <w:rPr>
                <w:rFonts w:ascii="Arial"/>
                <w:sz w:val="21"/>
              </w:rPr>
            </w:pPr>
          </w:p>
        </w:tc>
        <w:tc>
          <w:tcPr>
            <w:tcW w:w="229" w:type="dxa"/>
            <w:vAlign w:val="top"/>
          </w:tcPr>
          <w:p w14:paraId="6C4CD504">
            <w:pPr>
              <w:rPr>
                <w:rFonts w:ascii="Arial"/>
                <w:sz w:val="21"/>
              </w:rPr>
            </w:pPr>
          </w:p>
        </w:tc>
        <w:tc>
          <w:tcPr>
            <w:tcW w:w="234" w:type="dxa"/>
            <w:vAlign w:val="top"/>
          </w:tcPr>
          <w:p w14:paraId="0FCF752A">
            <w:pPr>
              <w:rPr>
                <w:rFonts w:ascii="Arial"/>
                <w:sz w:val="21"/>
              </w:rPr>
            </w:pPr>
          </w:p>
        </w:tc>
      </w:tr>
      <w:tr w14:paraId="5651EC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930" w:hRule="atLeast"/>
        </w:trPr>
        <w:tc>
          <w:tcPr>
            <w:tcW w:w="733" w:type="dxa"/>
            <w:vAlign w:val="top"/>
          </w:tcPr>
          <w:p w14:paraId="4CF08B37">
            <w:pPr>
              <w:spacing w:line="359" w:lineRule="auto"/>
              <w:rPr>
                <w:rFonts w:ascii="Arial"/>
                <w:sz w:val="21"/>
              </w:rPr>
            </w:pPr>
          </w:p>
          <w:p w14:paraId="211F715A">
            <w:pPr>
              <w:spacing w:line="360" w:lineRule="auto"/>
              <w:rPr>
                <w:rFonts w:ascii="Arial"/>
                <w:sz w:val="21"/>
              </w:rPr>
            </w:pPr>
          </w:p>
          <w:p w14:paraId="09B80ED8">
            <w:pPr>
              <w:pStyle w:val="6"/>
              <w:spacing w:before="59" w:line="229" w:lineRule="auto"/>
              <w:ind w:left="174" w:right="173"/>
              <w:rPr>
                <w:sz w:val="18"/>
                <w:szCs w:val="18"/>
              </w:rPr>
            </w:pPr>
            <w:r>
              <w:rPr>
                <w:spacing w:val="7"/>
                <w:sz w:val="18"/>
                <w:szCs w:val="18"/>
              </w:rPr>
              <w:t>作画</w:t>
            </w:r>
            <w:r>
              <w:rPr>
                <w:sz w:val="18"/>
                <w:szCs w:val="18"/>
              </w:rPr>
              <w:t xml:space="preserve"> </w:t>
            </w:r>
            <w:r>
              <w:rPr>
                <w:spacing w:val="-2"/>
                <w:sz w:val="18"/>
                <w:szCs w:val="18"/>
              </w:rPr>
              <w:t>技法</w:t>
            </w:r>
          </w:p>
        </w:tc>
        <w:tc>
          <w:tcPr>
            <w:tcW w:w="2484" w:type="dxa"/>
            <w:vAlign w:val="top"/>
          </w:tcPr>
          <w:p w14:paraId="5D1BA766">
            <w:pPr>
              <w:pStyle w:val="6"/>
              <w:spacing w:before="132" w:line="220" w:lineRule="auto"/>
              <w:ind w:left="11"/>
              <w:rPr>
                <w:sz w:val="18"/>
                <w:szCs w:val="18"/>
              </w:rPr>
            </w:pPr>
            <w:r>
              <w:rPr>
                <w:sz w:val="18"/>
                <w:szCs w:val="18"/>
              </w:rPr>
              <w:t>1.构图均衡有变化</w:t>
            </w:r>
          </w:p>
          <w:p w14:paraId="295C9BF9">
            <w:pPr>
              <w:pStyle w:val="6"/>
              <w:spacing w:before="5" w:line="220" w:lineRule="auto"/>
              <w:ind w:left="11"/>
              <w:rPr>
                <w:sz w:val="18"/>
                <w:szCs w:val="18"/>
              </w:rPr>
            </w:pPr>
            <w:r>
              <w:rPr>
                <w:spacing w:val="1"/>
                <w:sz w:val="18"/>
                <w:szCs w:val="18"/>
              </w:rPr>
              <w:t>2.形体轮廓比例关系正确</w:t>
            </w:r>
          </w:p>
          <w:p w14:paraId="4859142D">
            <w:pPr>
              <w:pStyle w:val="6"/>
              <w:spacing w:before="4" w:line="226" w:lineRule="auto"/>
              <w:ind w:left="11" w:right="132"/>
              <w:rPr>
                <w:sz w:val="18"/>
                <w:szCs w:val="18"/>
              </w:rPr>
            </w:pPr>
            <w:r>
              <w:rPr>
                <w:spacing w:val="-1"/>
                <w:sz w:val="18"/>
                <w:szCs w:val="18"/>
              </w:rPr>
              <w:t>3.头部透视结构关系准确合理</w:t>
            </w:r>
            <w:r>
              <w:rPr>
                <w:spacing w:val="2"/>
                <w:sz w:val="18"/>
                <w:szCs w:val="18"/>
              </w:rPr>
              <w:t xml:space="preserve"> </w:t>
            </w:r>
            <w:r>
              <w:rPr>
                <w:spacing w:val="1"/>
                <w:sz w:val="18"/>
                <w:szCs w:val="18"/>
              </w:rPr>
              <w:t>4.人物头部的特征突出</w:t>
            </w:r>
          </w:p>
          <w:p w14:paraId="5E7410F2">
            <w:pPr>
              <w:pStyle w:val="6"/>
              <w:spacing w:line="217" w:lineRule="auto"/>
              <w:ind w:left="11" w:right="828"/>
              <w:rPr>
                <w:sz w:val="18"/>
                <w:szCs w:val="18"/>
              </w:rPr>
            </w:pPr>
            <w:r>
              <w:rPr>
                <w:spacing w:val="1"/>
                <w:sz w:val="18"/>
                <w:szCs w:val="18"/>
              </w:rPr>
              <w:t>5.明暗调子关系准确</w:t>
            </w:r>
            <w:r>
              <w:rPr>
                <w:spacing w:val="3"/>
                <w:sz w:val="18"/>
                <w:szCs w:val="18"/>
              </w:rPr>
              <w:t xml:space="preserve"> </w:t>
            </w:r>
            <w:r>
              <w:rPr>
                <w:spacing w:val="1"/>
                <w:sz w:val="18"/>
                <w:szCs w:val="18"/>
              </w:rPr>
              <w:t>6.黑白灰层次丰富</w:t>
            </w:r>
          </w:p>
          <w:p w14:paraId="2BBCAA0A">
            <w:pPr>
              <w:pStyle w:val="6"/>
              <w:spacing w:before="17" w:line="221" w:lineRule="auto"/>
              <w:ind w:left="11"/>
              <w:rPr>
                <w:sz w:val="18"/>
                <w:szCs w:val="18"/>
              </w:rPr>
            </w:pPr>
            <w:r>
              <w:rPr>
                <w:spacing w:val="-4"/>
                <w:sz w:val="18"/>
                <w:szCs w:val="18"/>
              </w:rPr>
              <w:t>7.表现出物体的立体感和空间感</w:t>
            </w:r>
            <w:r>
              <w:rPr>
                <w:spacing w:val="1"/>
                <w:sz w:val="18"/>
                <w:szCs w:val="18"/>
              </w:rPr>
              <w:t xml:space="preserve"> 8.表现出人物的精神和气质</w:t>
            </w:r>
          </w:p>
        </w:tc>
        <w:tc>
          <w:tcPr>
            <w:tcW w:w="230" w:type="dxa"/>
            <w:vAlign w:val="top"/>
          </w:tcPr>
          <w:p w14:paraId="35FC59C2">
            <w:pPr>
              <w:rPr>
                <w:rFonts w:ascii="Arial"/>
                <w:sz w:val="21"/>
              </w:rPr>
            </w:pPr>
          </w:p>
        </w:tc>
        <w:tc>
          <w:tcPr>
            <w:tcW w:w="220" w:type="dxa"/>
            <w:vAlign w:val="top"/>
          </w:tcPr>
          <w:p w14:paraId="40FD0013">
            <w:pPr>
              <w:rPr>
                <w:rFonts w:ascii="Arial"/>
                <w:sz w:val="21"/>
              </w:rPr>
            </w:pPr>
          </w:p>
        </w:tc>
        <w:tc>
          <w:tcPr>
            <w:tcW w:w="229" w:type="dxa"/>
            <w:vAlign w:val="top"/>
          </w:tcPr>
          <w:p w14:paraId="14D2924D">
            <w:pPr>
              <w:spacing w:line="371" w:lineRule="auto"/>
              <w:rPr>
                <w:rFonts w:ascii="Arial"/>
                <w:sz w:val="21"/>
              </w:rPr>
            </w:pPr>
          </w:p>
          <w:p w14:paraId="7A74CED8">
            <w:pPr>
              <w:spacing w:line="772" w:lineRule="exact"/>
              <w:ind w:firstLine="42"/>
            </w:pPr>
            <w:r>
              <w:rPr>
                <w:position w:val="-15"/>
              </w:rPr>
              <w:drawing>
                <wp:inline distT="0" distB="0" distL="0" distR="0">
                  <wp:extent cx="94615" cy="489585"/>
                  <wp:effectExtent l="0" t="0" r="0" b="0"/>
                  <wp:docPr id="366" name="IM 366"/>
                  <wp:cNvGraphicFramePr/>
                  <a:graphic xmlns:a="http://schemas.openxmlformats.org/drawingml/2006/main">
                    <a:graphicData uri="http://schemas.openxmlformats.org/drawingml/2006/picture">
                      <pic:pic xmlns:pic="http://schemas.openxmlformats.org/drawingml/2006/picture">
                        <pic:nvPicPr>
                          <pic:cNvPr id="366" name="IM 366"/>
                          <pic:cNvPicPr/>
                        </pic:nvPicPr>
                        <pic:blipFill>
                          <a:blip r:embed="rId347"/>
                          <a:stretch>
                            <a:fillRect/>
                          </a:stretch>
                        </pic:blipFill>
                        <pic:spPr>
                          <a:xfrm>
                            <a:off x="0" y="0"/>
                            <a:ext cx="95241" cy="490083"/>
                          </a:xfrm>
                          <a:prstGeom prst="rect">
                            <a:avLst/>
                          </a:prstGeom>
                        </pic:spPr>
                      </pic:pic>
                    </a:graphicData>
                  </a:graphic>
                </wp:inline>
              </w:drawing>
            </w:r>
          </w:p>
        </w:tc>
        <w:tc>
          <w:tcPr>
            <w:tcW w:w="234" w:type="dxa"/>
            <w:vAlign w:val="top"/>
          </w:tcPr>
          <w:p w14:paraId="76E7CB4F">
            <w:pPr>
              <w:rPr>
                <w:rFonts w:ascii="Arial"/>
                <w:sz w:val="21"/>
              </w:rPr>
            </w:pPr>
          </w:p>
        </w:tc>
      </w:tr>
    </w:tbl>
    <w:p w14:paraId="3B6A70B7">
      <w:pPr>
        <w:spacing w:before="200" w:line="222" w:lineRule="auto"/>
        <w:ind w:left="433"/>
        <w:rPr>
          <w:rFonts w:ascii="黑体" w:hAnsi="黑体" w:eastAsia="黑体" w:cs="黑体"/>
          <w:sz w:val="23"/>
          <w:szCs w:val="23"/>
        </w:rPr>
      </w:pPr>
      <w:r>
        <w:rPr>
          <w:rFonts w:ascii="黑体" w:hAnsi="黑体" w:eastAsia="黑体" w:cs="黑体"/>
          <w:b/>
          <w:bCs/>
          <w:spacing w:val="8"/>
          <w:sz w:val="23"/>
          <w:szCs w:val="23"/>
        </w:rPr>
        <w:t>第二部分</w:t>
      </w:r>
      <w:r>
        <w:rPr>
          <w:rFonts w:ascii="黑体" w:hAnsi="黑体" w:eastAsia="黑体" w:cs="黑体"/>
          <w:spacing w:val="126"/>
          <w:sz w:val="23"/>
          <w:szCs w:val="23"/>
        </w:rPr>
        <w:t xml:space="preserve"> </w:t>
      </w:r>
      <w:r>
        <w:rPr>
          <w:rFonts w:ascii="黑体" w:hAnsi="黑体" w:eastAsia="黑体" w:cs="黑体"/>
          <w:b/>
          <w:bCs/>
          <w:spacing w:val="8"/>
          <w:sz w:val="23"/>
          <w:szCs w:val="23"/>
        </w:rPr>
        <w:t>艺术设计(平面设计)</w:t>
      </w:r>
    </w:p>
    <w:p w14:paraId="5063D7A2">
      <w:pPr>
        <w:pStyle w:val="2"/>
        <w:spacing w:line="258" w:lineRule="auto"/>
      </w:pPr>
    </w:p>
    <w:p w14:paraId="30D32D47">
      <w:pPr>
        <w:spacing w:before="56" w:line="219" w:lineRule="auto"/>
        <w:ind w:left="430"/>
        <w:rPr>
          <w:rFonts w:ascii="宋体" w:hAnsi="宋体" w:eastAsia="宋体" w:cs="宋体"/>
          <w:sz w:val="17"/>
          <w:szCs w:val="17"/>
        </w:rPr>
      </w:pPr>
      <w:r>
        <w:rPr>
          <w:rFonts w:ascii="宋体" w:hAnsi="宋体" w:eastAsia="宋体" w:cs="宋体"/>
          <w:spacing w:val="-5"/>
          <w:sz w:val="17"/>
          <w:szCs w:val="17"/>
        </w:rPr>
        <w:t>1.概述</w:t>
      </w:r>
    </w:p>
    <w:p w14:paraId="21F5AF02">
      <w:pPr>
        <w:spacing w:line="117" w:lineRule="exact"/>
      </w:pPr>
    </w:p>
    <w:tbl>
      <w:tblPr>
        <w:tblStyle w:val="5"/>
        <w:tblW w:w="4130"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33"/>
        <w:gridCol w:w="2484"/>
        <w:gridCol w:w="230"/>
        <w:gridCol w:w="220"/>
        <w:gridCol w:w="229"/>
        <w:gridCol w:w="234"/>
      </w:tblGrid>
      <w:tr w14:paraId="58DAB2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3" w:hRule="atLeast"/>
        </w:trPr>
        <w:tc>
          <w:tcPr>
            <w:tcW w:w="733" w:type="dxa"/>
            <w:vMerge w:val="restart"/>
            <w:tcBorders>
              <w:bottom w:val="nil"/>
            </w:tcBorders>
            <w:vAlign w:val="top"/>
          </w:tcPr>
          <w:p w14:paraId="053EC879">
            <w:pPr>
              <w:pStyle w:val="6"/>
              <w:spacing w:before="20" w:line="221" w:lineRule="auto"/>
              <w:ind w:left="17"/>
            </w:pPr>
            <w:r>
              <w:rPr>
                <w:b/>
                <w:bCs/>
                <w:spacing w:val="-4"/>
              </w:rPr>
              <w:t>知识与技</w:t>
            </w:r>
          </w:p>
          <w:p w14:paraId="29A9BEAC">
            <w:pPr>
              <w:pStyle w:val="6"/>
              <w:spacing w:before="16" w:line="207" w:lineRule="auto"/>
              <w:ind w:left="107"/>
            </w:pPr>
            <w:r>
              <w:rPr>
                <w:b/>
                <w:bCs/>
                <w:spacing w:val="1"/>
              </w:rPr>
              <w:t>能要点</w:t>
            </w:r>
          </w:p>
        </w:tc>
        <w:tc>
          <w:tcPr>
            <w:tcW w:w="2484" w:type="dxa"/>
            <w:vMerge w:val="restart"/>
            <w:tcBorders>
              <w:bottom w:val="nil"/>
            </w:tcBorders>
            <w:vAlign w:val="top"/>
          </w:tcPr>
          <w:p w14:paraId="05B317DD">
            <w:pPr>
              <w:pStyle w:val="6"/>
              <w:spacing w:before="142" w:line="219" w:lineRule="auto"/>
              <w:ind w:left="931"/>
            </w:pPr>
            <w:r>
              <w:rPr>
                <w:spacing w:val="8"/>
              </w:rPr>
              <w:t>考试条目</w:t>
            </w:r>
          </w:p>
        </w:tc>
        <w:tc>
          <w:tcPr>
            <w:tcW w:w="913" w:type="dxa"/>
            <w:gridSpan w:val="4"/>
            <w:vAlign w:val="top"/>
          </w:tcPr>
          <w:p w14:paraId="5B07CA6D">
            <w:pPr>
              <w:pStyle w:val="6"/>
              <w:spacing w:before="29" w:line="199" w:lineRule="auto"/>
              <w:ind w:left="120"/>
            </w:pPr>
            <w:r>
              <w:rPr>
                <w:b/>
                <w:bCs/>
                <w:spacing w:val="-4"/>
              </w:rPr>
              <w:t>考试水平</w:t>
            </w:r>
          </w:p>
        </w:tc>
      </w:tr>
      <w:tr w14:paraId="2A2422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8" w:hRule="atLeast"/>
        </w:trPr>
        <w:tc>
          <w:tcPr>
            <w:tcW w:w="733" w:type="dxa"/>
            <w:vMerge w:val="continue"/>
            <w:tcBorders>
              <w:top w:val="nil"/>
            </w:tcBorders>
            <w:vAlign w:val="top"/>
          </w:tcPr>
          <w:p w14:paraId="64D6B7EF">
            <w:pPr>
              <w:rPr>
                <w:rFonts w:ascii="Arial"/>
                <w:sz w:val="21"/>
              </w:rPr>
            </w:pPr>
          </w:p>
        </w:tc>
        <w:tc>
          <w:tcPr>
            <w:tcW w:w="2484" w:type="dxa"/>
            <w:vMerge w:val="continue"/>
            <w:tcBorders>
              <w:top w:val="nil"/>
            </w:tcBorders>
            <w:vAlign w:val="top"/>
          </w:tcPr>
          <w:p w14:paraId="75E03B98">
            <w:pPr>
              <w:rPr>
                <w:rFonts w:ascii="Arial"/>
                <w:sz w:val="21"/>
              </w:rPr>
            </w:pPr>
          </w:p>
        </w:tc>
        <w:tc>
          <w:tcPr>
            <w:tcW w:w="230" w:type="dxa"/>
            <w:vAlign w:val="top"/>
          </w:tcPr>
          <w:p w14:paraId="1F6AB420">
            <w:pPr>
              <w:pStyle w:val="6"/>
              <w:spacing w:before="61" w:line="136" w:lineRule="exact"/>
              <w:ind w:left="67"/>
            </w:pPr>
            <w:r>
              <w:rPr>
                <w:position w:val="-2"/>
              </w:rPr>
              <w:t>A</w:t>
            </w:r>
          </w:p>
        </w:tc>
        <w:tc>
          <w:tcPr>
            <w:tcW w:w="220" w:type="dxa"/>
            <w:vAlign w:val="top"/>
          </w:tcPr>
          <w:p w14:paraId="383686B4">
            <w:pPr>
              <w:pStyle w:val="6"/>
              <w:spacing w:before="63" w:line="134" w:lineRule="exact"/>
              <w:ind w:left="17"/>
            </w:pPr>
            <w:r>
              <w:rPr>
                <w:position w:val="-2"/>
              </w:rPr>
              <w:t>B</w:t>
            </w:r>
          </w:p>
        </w:tc>
        <w:tc>
          <w:tcPr>
            <w:tcW w:w="229" w:type="dxa"/>
            <w:vAlign w:val="top"/>
          </w:tcPr>
          <w:p w14:paraId="75742E03">
            <w:pPr>
              <w:pStyle w:val="6"/>
              <w:spacing w:before="62" w:line="135" w:lineRule="exact"/>
              <w:ind w:left="48"/>
            </w:pPr>
            <w:r>
              <w:rPr>
                <w:position w:val="-2"/>
              </w:rPr>
              <w:t>C</w:t>
            </w:r>
          </w:p>
        </w:tc>
        <w:tc>
          <w:tcPr>
            <w:tcW w:w="234" w:type="dxa"/>
            <w:vAlign w:val="top"/>
          </w:tcPr>
          <w:p w14:paraId="3078EDE9">
            <w:pPr>
              <w:pStyle w:val="6"/>
              <w:spacing w:before="63" w:line="134" w:lineRule="exact"/>
              <w:ind w:left="19"/>
            </w:pPr>
            <w:r>
              <w:rPr>
                <w:position w:val="-2"/>
              </w:rPr>
              <w:t>D</w:t>
            </w:r>
          </w:p>
        </w:tc>
      </w:tr>
      <w:tr w14:paraId="2B2E12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58" w:hRule="atLeast"/>
        </w:trPr>
        <w:tc>
          <w:tcPr>
            <w:tcW w:w="733" w:type="dxa"/>
            <w:vAlign w:val="top"/>
          </w:tcPr>
          <w:p w14:paraId="0B63C2D6">
            <w:pPr>
              <w:pStyle w:val="6"/>
              <w:spacing w:before="182" w:line="246" w:lineRule="auto"/>
              <w:ind w:left="105" w:right="113"/>
            </w:pPr>
            <w:r>
              <w:rPr>
                <w:spacing w:val="-2"/>
              </w:rPr>
              <w:t>平面设</w:t>
            </w:r>
            <w:r>
              <w:t xml:space="preserve"> </w:t>
            </w:r>
            <w:r>
              <w:rPr>
                <w:spacing w:val="-3"/>
              </w:rPr>
              <w:t>计概论</w:t>
            </w:r>
          </w:p>
        </w:tc>
        <w:tc>
          <w:tcPr>
            <w:tcW w:w="2484" w:type="dxa"/>
            <w:vAlign w:val="top"/>
          </w:tcPr>
          <w:p w14:paraId="4670CDB3">
            <w:pPr>
              <w:pStyle w:val="6"/>
              <w:spacing w:before="71" w:line="219" w:lineRule="auto"/>
              <w:ind w:left="11"/>
            </w:pPr>
            <w:r>
              <w:rPr>
                <w:spacing w:val="1"/>
              </w:rPr>
              <w:t>1.设计的概念</w:t>
            </w:r>
          </w:p>
          <w:p w14:paraId="46D1A739">
            <w:pPr>
              <w:pStyle w:val="6"/>
              <w:spacing w:before="39" w:line="221" w:lineRule="auto"/>
              <w:ind w:left="11"/>
            </w:pPr>
            <w:r>
              <w:rPr>
                <w:spacing w:val="-1"/>
              </w:rPr>
              <w:t>2.设计的基础理论</w:t>
            </w:r>
          </w:p>
          <w:p w14:paraId="45D8538C">
            <w:pPr>
              <w:pStyle w:val="6"/>
              <w:spacing w:before="6" w:line="221" w:lineRule="auto"/>
              <w:ind w:left="11"/>
            </w:pPr>
            <w:r>
              <w:rPr>
                <w:spacing w:val="1"/>
              </w:rPr>
              <w:t>3.设计基础学习的目的</w:t>
            </w:r>
          </w:p>
        </w:tc>
        <w:tc>
          <w:tcPr>
            <w:tcW w:w="230" w:type="dxa"/>
            <w:vAlign w:val="top"/>
          </w:tcPr>
          <w:p w14:paraId="577AA778">
            <w:pPr>
              <w:pStyle w:val="6"/>
              <w:spacing w:before="175" w:line="182" w:lineRule="auto"/>
              <w:ind w:left="67"/>
            </w:pPr>
            <w:r>
              <w:t>V</w:t>
            </w:r>
          </w:p>
        </w:tc>
        <w:tc>
          <w:tcPr>
            <w:tcW w:w="220" w:type="dxa"/>
            <w:vAlign w:val="top"/>
          </w:tcPr>
          <w:p w14:paraId="602E8D58">
            <w:pPr>
              <w:rPr>
                <w:rFonts w:ascii="Arial"/>
                <w:sz w:val="21"/>
              </w:rPr>
            </w:pPr>
          </w:p>
        </w:tc>
        <w:tc>
          <w:tcPr>
            <w:tcW w:w="229" w:type="dxa"/>
            <w:vAlign w:val="top"/>
          </w:tcPr>
          <w:p w14:paraId="5C6F5091">
            <w:pPr>
              <w:rPr>
                <w:rFonts w:ascii="Arial"/>
                <w:sz w:val="21"/>
              </w:rPr>
            </w:pPr>
          </w:p>
        </w:tc>
        <w:tc>
          <w:tcPr>
            <w:tcW w:w="234" w:type="dxa"/>
            <w:vAlign w:val="top"/>
          </w:tcPr>
          <w:p w14:paraId="004D8D4A">
            <w:pPr>
              <w:rPr>
                <w:rFonts w:ascii="Arial"/>
                <w:sz w:val="21"/>
              </w:rPr>
            </w:pPr>
          </w:p>
        </w:tc>
      </w:tr>
    </w:tbl>
    <w:p w14:paraId="3FF99028">
      <w:pPr>
        <w:pStyle w:val="2"/>
        <w:spacing w:line="130" w:lineRule="exact"/>
        <w:rPr>
          <w:sz w:val="11"/>
        </w:rPr>
      </w:pPr>
    </w:p>
    <w:p w14:paraId="13BFC452">
      <w:pPr>
        <w:pStyle w:val="2"/>
        <w:spacing w:line="14" w:lineRule="auto"/>
        <w:rPr>
          <w:sz w:val="2"/>
        </w:rPr>
      </w:pPr>
      <w:r>
        <w:rPr>
          <w:sz w:val="2"/>
          <w:szCs w:val="2"/>
        </w:rPr>
        <w:br w:type="column"/>
      </w:r>
    </w:p>
    <w:p w14:paraId="29E15F3E">
      <w:pPr>
        <w:spacing w:before="45" w:line="220" w:lineRule="auto"/>
        <w:ind w:left="344"/>
        <w:rPr>
          <w:rFonts w:ascii="宋体" w:hAnsi="宋体" w:eastAsia="宋体" w:cs="宋体"/>
          <w:sz w:val="17"/>
          <w:szCs w:val="17"/>
        </w:rPr>
      </w:pPr>
      <w:r>
        <w:rPr>
          <w:rFonts w:ascii="宋体" w:hAnsi="宋体" w:eastAsia="宋体" w:cs="宋体"/>
          <w:spacing w:val="2"/>
          <w:sz w:val="17"/>
          <w:szCs w:val="17"/>
        </w:rPr>
        <w:t>2.构成设计</w:t>
      </w:r>
    </w:p>
    <w:p w14:paraId="4C537187">
      <w:pPr>
        <w:spacing w:line="124" w:lineRule="exact"/>
      </w:pPr>
    </w:p>
    <w:tbl>
      <w:tblPr>
        <w:tblStyle w:val="5"/>
        <w:tblW w:w="414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33"/>
        <w:gridCol w:w="2484"/>
        <w:gridCol w:w="230"/>
        <w:gridCol w:w="230"/>
        <w:gridCol w:w="219"/>
        <w:gridCol w:w="244"/>
      </w:tblGrid>
      <w:tr w14:paraId="6E6F1F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5" w:hRule="atLeast"/>
        </w:trPr>
        <w:tc>
          <w:tcPr>
            <w:tcW w:w="733" w:type="dxa"/>
            <w:vMerge w:val="restart"/>
            <w:tcBorders>
              <w:bottom w:val="nil"/>
            </w:tcBorders>
            <w:vAlign w:val="top"/>
          </w:tcPr>
          <w:p w14:paraId="7EC6DAA1">
            <w:pPr>
              <w:pStyle w:val="6"/>
              <w:spacing w:before="20" w:line="221" w:lineRule="auto"/>
              <w:ind w:left="17"/>
            </w:pPr>
            <w:r>
              <w:rPr>
                <w:b/>
                <w:bCs/>
                <w:spacing w:val="-4"/>
              </w:rPr>
              <w:t>知识与技</w:t>
            </w:r>
          </w:p>
          <w:p w14:paraId="50511FD1">
            <w:pPr>
              <w:pStyle w:val="6"/>
              <w:spacing w:before="6" w:line="211" w:lineRule="auto"/>
              <w:ind w:left="107"/>
            </w:pPr>
            <w:r>
              <w:rPr>
                <w:b/>
                <w:bCs/>
                <w:spacing w:val="1"/>
              </w:rPr>
              <w:t>能要点</w:t>
            </w:r>
          </w:p>
        </w:tc>
        <w:tc>
          <w:tcPr>
            <w:tcW w:w="2484" w:type="dxa"/>
            <w:vMerge w:val="restart"/>
            <w:tcBorders>
              <w:bottom w:val="nil"/>
            </w:tcBorders>
            <w:vAlign w:val="top"/>
          </w:tcPr>
          <w:p w14:paraId="79DB8506">
            <w:pPr>
              <w:pStyle w:val="6"/>
              <w:spacing w:before="129" w:line="219" w:lineRule="auto"/>
              <w:ind w:left="924"/>
            </w:pPr>
            <w:r>
              <w:rPr>
                <w:b/>
                <w:bCs/>
                <w:spacing w:val="5"/>
              </w:rPr>
              <w:t>考试条目</w:t>
            </w:r>
          </w:p>
        </w:tc>
        <w:tc>
          <w:tcPr>
            <w:tcW w:w="923" w:type="dxa"/>
            <w:gridSpan w:val="4"/>
            <w:vAlign w:val="top"/>
          </w:tcPr>
          <w:p w14:paraId="0A082E22">
            <w:pPr>
              <w:pStyle w:val="6"/>
              <w:spacing w:before="18" w:line="202" w:lineRule="auto"/>
              <w:ind w:left="130"/>
            </w:pPr>
            <w:r>
              <w:rPr>
                <w:b/>
                <w:bCs/>
                <w:spacing w:val="-4"/>
              </w:rPr>
              <w:t>考试水平</w:t>
            </w:r>
          </w:p>
        </w:tc>
      </w:tr>
      <w:tr w14:paraId="2A772F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0" w:hRule="atLeast"/>
        </w:trPr>
        <w:tc>
          <w:tcPr>
            <w:tcW w:w="733" w:type="dxa"/>
            <w:vMerge w:val="continue"/>
            <w:tcBorders>
              <w:top w:val="nil"/>
            </w:tcBorders>
            <w:vAlign w:val="top"/>
          </w:tcPr>
          <w:p w14:paraId="499B69FC">
            <w:pPr>
              <w:rPr>
                <w:rFonts w:ascii="Arial"/>
                <w:sz w:val="21"/>
              </w:rPr>
            </w:pPr>
          </w:p>
        </w:tc>
        <w:tc>
          <w:tcPr>
            <w:tcW w:w="2484" w:type="dxa"/>
            <w:vMerge w:val="continue"/>
            <w:tcBorders>
              <w:top w:val="nil"/>
            </w:tcBorders>
            <w:vAlign w:val="top"/>
          </w:tcPr>
          <w:p w14:paraId="148D7056">
            <w:pPr>
              <w:rPr>
                <w:rFonts w:ascii="Arial"/>
                <w:sz w:val="21"/>
              </w:rPr>
            </w:pPr>
          </w:p>
        </w:tc>
        <w:tc>
          <w:tcPr>
            <w:tcW w:w="230" w:type="dxa"/>
            <w:vAlign w:val="top"/>
          </w:tcPr>
          <w:p w14:paraId="6CC73C4A">
            <w:pPr>
              <w:pStyle w:val="6"/>
              <w:spacing w:before="59" w:line="141" w:lineRule="exact"/>
              <w:ind w:left="60"/>
            </w:pPr>
            <w:r>
              <w:rPr>
                <w:b/>
                <w:bCs/>
                <w:spacing w:val="-2"/>
                <w:position w:val="-2"/>
              </w:rPr>
              <w:t>A</w:t>
            </w:r>
          </w:p>
        </w:tc>
        <w:tc>
          <w:tcPr>
            <w:tcW w:w="230" w:type="dxa"/>
            <w:vAlign w:val="top"/>
          </w:tcPr>
          <w:p w14:paraId="0E5B3125">
            <w:pPr>
              <w:pStyle w:val="6"/>
              <w:spacing w:before="62" w:line="138" w:lineRule="exact"/>
              <w:ind w:left="70"/>
            </w:pPr>
            <w:r>
              <w:rPr>
                <w:b/>
                <w:bCs/>
                <w:spacing w:val="-2"/>
                <w:position w:val="-2"/>
              </w:rPr>
              <w:t>B</w:t>
            </w:r>
          </w:p>
        </w:tc>
        <w:tc>
          <w:tcPr>
            <w:tcW w:w="219" w:type="dxa"/>
            <w:vAlign w:val="top"/>
          </w:tcPr>
          <w:p w14:paraId="64C61146">
            <w:pPr>
              <w:pStyle w:val="6"/>
              <w:spacing w:before="60" w:line="140" w:lineRule="exact"/>
              <w:ind w:left="48"/>
            </w:pPr>
            <w:r>
              <w:rPr>
                <w:position w:val="-2"/>
              </w:rPr>
              <w:t>C</w:t>
            </w:r>
          </w:p>
        </w:tc>
        <w:tc>
          <w:tcPr>
            <w:tcW w:w="244" w:type="dxa"/>
            <w:vAlign w:val="top"/>
          </w:tcPr>
          <w:p w14:paraId="23362206">
            <w:pPr>
              <w:pStyle w:val="6"/>
              <w:spacing w:before="62" w:line="138" w:lineRule="exact"/>
              <w:ind w:left="21"/>
            </w:pPr>
            <w:r>
              <w:rPr>
                <w:b/>
                <w:bCs/>
                <w:spacing w:val="-2"/>
                <w:position w:val="-2"/>
              </w:rPr>
              <w:t>D</w:t>
            </w:r>
          </w:p>
        </w:tc>
      </w:tr>
      <w:tr w14:paraId="201A0F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48" w:hRule="atLeast"/>
        </w:trPr>
        <w:tc>
          <w:tcPr>
            <w:tcW w:w="733" w:type="dxa"/>
            <w:vAlign w:val="top"/>
          </w:tcPr>
          <w:p w14:paraId="75D005BF">
            <w:pPr>
              <w:pStyle w:val="6"/>
              <w:spacing w:before="226" w:line="238" w:lineRule="auto"/>
              <w:ind w:left="184" w:right="94" w:hanging="79"/>
            </w:pPr>
            <w:r>
              <w:rPr>
                <w:spacing w:val="4"/>
              </w:rPr>
              <w:t>形象的</w:t>
            </w:r>
            <w:r>
              <w:t xml:space="preserve"> </w:t>
            </w:r>
            <w:r>
              <w:rPr>
                <w:spacing w:val="-3"/>
              </w:rPr>
              <w:t>构成</w:t>
            </w:r>
          </w:p>
        </w:tc>
        <w:tc>
          <w:tcPr>
            <w:tcW w:w="2484" w:type="dxa"/>
            <w:vAlign w:val="top"/>
          </w:tcPr>
          <w:p w14:paraId="21AC32A4">
            <w:pPr>
              <w:pStyle w:val="6"/>
              <w:spacing w:before="136" w:line="229" w:lineRule="auto"/>
              <w:ind w:left="12" w:right="1604"/>
              <w:jc w:val="both"/>
            </w:pPr>
            <w:r>
              <w:rPr>
                <w:spacing w:val="1"/>
              </w:rPr>
              <w:t>1.点的形象</w:t>
            </w:r>
            <w:r>
              <w:t xml:space="preserve"> </w:t>
            </w:r>
            <w:r>
              <w:rPr>
                <w:spacing w:val="-2"/>
              </w:rPr>
              <w:t>2.线的形象</w:t>
            </w:r>
            <w:r>
              <w:rPr>
                <w:spacing w:val="2"/>
              </w:rPr>
              <w:t xml:space="preserve"> </w:t>
            </w:r>
            <w:r>
              <w:rPr>
                <w:spacing w:val="-2"/>
              </w:rPr>
              <w:t>3.面的形象</w:t>
            </w:r>
          </w:p>
        </w:tc>
        <w:tc>
          <w:tcPr>
            <w:tcW w:w="230" w:type="dxa"/>
            <w:vAlign w:val="top"/>
          </w:tcPr>
          <w:p w14:paraId="58CED650">
            <w:pPr>
              <w:pStyle w:val="6"/>
              <w:spacing w:before="148" w:line="238" w:lineRule="auto"/>
              <w:jc w:val="right"/>
              <w:rPr>
                <w:sz w:val="13"/>
                <w:szCs w:val="13"/>
              </w:rPr>
            </w:pPr>
            <w:r>
              <w:rPr>
                <w:spacing w:val="-38"/>
                <w:sz w:val="13"/>
                <w:szCs w:val="13"/>
              </w:rPr>
              <w:t>√</w:t>
            </w:r>
          </w:p>
        </w:tc>
        <w:tc>
          <w:tcPr>
            <w:tcW w:w="230" w:type="dxa"/>
            <w:vAlign w:val="top"/>
          </w:tcPr>
          <w:p w14:paraId="048482C9">
            <w:pPr>
              <w:rPr>
                <w:rFonts w:ascii="Arial"/>
                <w:sz w:val="21"/>
              </w:rPr>
            </w:pPr>
          </w:p>
        </w:tc>
        <w:tc>
          <w:tcPr>
            <w:tcW w:w="219" w:type="dxa"/>
            <w:vAlign w:val="top"/>
          </w:tcPr>
          <w:p w14:paraId="0A164485">
            <w:pPr>
              <w:rPr>
                <w:rFonts w:ascii="Arial"/>
                <w:sz w:val="21"/>
              </w:rPr>
            </w:pPr>
          </w:p>
        </w:tc>
        <w:tc>
          <w:tcPr>
            <w:tcW w:w="244" w:type="dxa"/>
            <w:vAlign w:val="top"/>
          </w:tcPr>
          <w:p w14:paraId="2E415586">
            <w:pPr>
              <w:rPr>
                <w:rFonts w:ascii="Arial"/>
                <w:sz w:val="21"/>
              </w:rPr>
            </w:pPr>
          </w:p>
        </w:tc>
      </w:tr>
      <w:tr w14:paraId="15B84B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77" w:hRule="atLeast"/>
        </w:trPr>
        <w:tc>
          <w:tcPr>
            <w:tcW w:w="733" w:type="dxa"/>
            <w:vAlign w:val="top"/>
          </w:tcPr>
          <w:p w14:paraId="6DA5E81D">
            <w:pPr>
              <w:spacing w:line="311" w:lineRule="auto"/>
              <w:rPr>
                <w:rFonts w:ascii="Arial"/>
                <w:sz w:val="21"/>
              </w:rPr>
            </w:pPr>
          </w:p>
          <w:p w14:paraId="5E3FF1A2">
            <w:pPr>
              <w:pStyle w:val="6"/>
              <w:spacing w:before="55" w:line="230" w:lineRule="auto"/>
              <w:ind w:left="105" w:right="96"/>
            </w:pPr>
            <w:r>
              <w:rPr>
                <w:spacing w:val="-3"/>
              </w:rPr>
              <w:t>基本形</w:t>
            </w:r>
            <w:r>
              <w:rPr>
                <w:spacing w:val="1"/>
              </w:rPr>
              <w:t xml:space="preserve"> </w:t>
            </w:r>
            <w:r>
              <w:rPr>
                <w:spacing w:val="3"/>
              </w:rPr>
              <w:t>的结构</w:t>
            </w:r>
          </w:p>
        </w:tc>
        <w:tc>
          <w:tcPr>
            <w:tcW w:w="2484" w:type="dxa"/>
            <w:vAlign w:val="top"/>
          </w:tcPr>
          <w:p w14:paraId="11941D92">
            <w:pPr>
              <w:pStyle w:val="6"/>
              <w:spacing w:before="150" w:line="234" w:lineRule="auto"/>
              <w:ind w:left="12" w:right="1943"/>
              <w:jc w:val="both"/>
            </w:pPr>
            <w:r>
              <w:rPr>
                <w:spacing w:val="1"/>
              </w:rPr>
              <w:t>1.重复</w:t>
            </w:r>
            <w:r>
              <w:rPr>
                <w:spacing w:val="2"/>
              </w:rPr>
              <w:t xml:space="preserve"> </w:t>
            </w:r>
            <w:r>
              <w:rPr>
                <w:spacing w:val="-3"/>
              </w:rPr>
              <w:t>2.近似</w:t>
            </w:r>
            <w:r>
              <w:rPr>
                <w:spacing w:val="2"/>
              </w:rPr>
              <w:t xml:space="preserve"> </w:t>
            </w:r>
            <w:r>
              <w:rPr>
                <w:spacing w:val="-3"/>
              </w:rPr>
              <w:t>3.渐变</w:t>
            </w:r>
            <w:r>
              <w:t xml:space="preserve"> </w:t>
            </w:r>
            <w:r>
              <w:rPr>
                <w:spacing w:val="-1"/>
              </w:rPr>
              <w:t>4.发射</w:t>
            </w:r>
          </w:p>
        </w:tc>
        <w:tc>
          <w:tcPr>
            <w:tcW w:w="230" w:type="dxa"/>
            <w:vAlign w:val="top"/>
          </w:tcPr>
          <w:p w14:paraId="37CD3717">
            <w:pPr>
              <w:rPr>
                <w:rFonts w:ascii="Arial"/>
                <w:sz w:val="21"/>
              </w:rPr>
            </w:pPr>
          </w:p>
        </w:tc>
        <w:tc>
          <w:tcPr>
            <w:tcW w:w="230" w:type="dxa"/>
            <w:vAlign w:val="top"/>
          </w:tcPr>
          <w:p w14:paraId="50B7AEA4">
            <w:pPr>
              <w:rPr>
                <w:rFonts w:ascii="Arial"/>
                <w:sz w:val="21"/>
              </w:rPr>
            </w:pPr>
          </w:p>
        </w:tc>
        <w:tc>
          <w:tcPr>
            <w:tcW w:w="219" w:type="dxa"/>
            <w:vAlign w:val="top"/>
          </w:tcPr>
          <w:p w14:paraId="783E2017">
            <w:pPr>
              <w:rPr>
                <w:rFonts w:ascii="Arial"/>
                <w:sz w:val="21"/>
              </w:rPr>
            </w:pPr>
          </w:p>
        </w:tc>
        <w:tc>
          <w:tcPr>
            <w:tcW w:w="244" w:type="dxa"/>
            <w:vAlign w:val="top"/>
          </w:tcPr>
          <w:p w14:paraId="51827A27">
            <w:pPr>
              <w:rPr>
                <w:rFonts w:ascii="Arial"/>
                <w:sz w:val="21"/>
              </w:rPr>
            </w:pPr>
          </w:p>
        </w:tc>
      </w:tr>
      <w:tr w14:paraId="07D031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77" w:hRule="atLeast"/>
        </w:trPr>
        <w:tc>
          <w:tcPr>
            <w:tcW w:w="733" w:type="dxa"/>
            <w:vAlign w:val="top"/>
          </w:tcPr>
          <w:p w14:paraId="14A98687">
            <w:pPr>
              <w:spacing w:line="324" w:lineRule="auto"/>
              <w:rPr>
                <w:rFonts w:ascii="Arial"/>
                <w:sz w:val="21"/>
              </w:rPr>
            </w:pPr>
          </w:p>
          <w:p w14:paraId="5CF589E5">
            <w:pPr>
              <w:pStyle w:val="6"/>
              <w:spacing w:before="55" w:line="219" w:lineRule="auto"/>
              <w:ind w:left="184" w:right="94" w:hanging="79"/>
            </w:pPr>
            <w:r>
              <w:rPr>
                <w:spacing w:val="4"/>
              </w:rPr>
              <w:t>骨骼的</w:t>
            </w:r>
            <w:r>
              <w:t xml:space="preserve"> </w:t>
            </w:r>
            <w:r>
              <w:rPr>
                <w:spacing w:val="-3"/>
              </w:rPr>
              <w:t>构成</w:t>
            </w:r>
          </w:p>
        </w:tc>
        <w:tc>
          <w:tcPr>
            <w:tcW w:w="2484" w:type="dxa"/>
            <w:vAlign w:val="top"/>
          </w:tcPr>
          <w:p w14:paraId="21B7A9C0">
            <w:pPr>
              <w:pStyle w:val="6"/>
              <w:spacing w:before="152" w:line="219" w:lineRule="auto"/>
              <w:ind w:left="12"/>
            </w:pPr>
            <w:r>
              <w:t>1.规律性骨骼</w:t>
            </w:r>
          </w:p>
          <w:p w14:paraId="2DBB4BD5">
            <w:pPr>
              <w:pStyle w:val="6"/>
              <w:spacing w:before="19" w:line="232" w:lineRule="auto"/>
              <w:ind w:left="12" w:right="1277"/>
            </w:pPr>
            <w:r>
              <w:rPr>
                <w:spacing w:val="-2"/>
              </w:rPr>
              <w:t>2.非规律性骨骼</w:t>
            </w:r>
            <w:r>
              <w:rPr>
                <w:spacing w:val="6"/>
              </w:rPr>
              <w:t xml:space="preserve"> </w:t>
            </w:r>
            <w:r>
              <w:rPr>
                <w:spacing w:val="-2"/>
              </w:rPr>
              <w:t>3.无作用性骨骼</w:t>
            </w:r>
            <w:r>
              <w:rPr>
                <w:spacing w:val="4"/>
              </w:rPr>
              <w:t xml:space="preserve"> </w:t>
            </w:r>
            <w:r>
              <w:rPr>
                <w:spacing w:val="-1"/>
              </w:rPr>
              <w:t>4.有作用性骨骼</w:t>
            </w:r>
          </w:p>
        </w:tc>
        <w:tc>
          <w:tcPr>
            <w:tcW w:w="230" w:type="dxa"/>
            <w:vAlign w:val="top"/>
          </w:tcPr>
          <w:p w14:paraId="6A3A7EBA">
            <w:pPr>
              <w:rPr>
                <w:rFonts w:ascii="Arial"/>
                <w:sz w:val="21"/>
              </w:rPr>
            </w:pPr>
          </w:p>
        </w:tc>
        <w:tc>
          <w:tcPr>
            <w:tcW w:w="230" w:type="dxa"/>
            <w:textDirection w:val="tbRl"/>
            <w:vAlign w:val="top"/>
          </w:tcPr>
          <w:p w14:paraId="3AF6349D">
            <w:pPr>
              <w:pStyle w:val="6"/>
              <w:spacing w:before="29" w:line="176" w:lineRule="auto"/>
              <w:ind w:left="99"/>
              <w:rPr>
                <w:sz w:val="21"/>
                <w:szCs w:val="21"/>
              </w:rPr>
            </w:pPr>
            <w:r>
              <w:rPr>
                <w:spacing w:val="-3"/>
                <w:sz w:val="21"/>
                <w:szCs w:val="21"/>
              </w:rPr>
              <w:t>&gt;&gt;&gt;&gt;</w:t>
            </w:r>
          </w:p>
        </w:tc>
        <w:tc>
          <w:tcPr>
            <w:tcW w:w="219" w:type="dxa"/>
            <w:vAlign w:val="top"/>
          </w:tcPr>
          <w:p w14:paraId="1CFFDE50">
            <w:pPr>
              <w:rPr>
                <w:rFonts w:ascii="Arial"/>
                <w:sz w:val="21"/>
              </w:rPr>
            </w:pPr>
          </w:p>
        </w:tc>
        <w:tc>
          <w:tcPr>
            <w:tcW w:w="244" w:type="dxa"/>
            <w:vAlign w:val="top"/>
          </w:tcPr>
          <w:p w14:paraId="0B45F04F">
            <w:pPr>
              <w:rPr>
                <w:rFonts w:ascii="Arial"/>
                <w:sz w:val="21"/>
              </w:rPr>
            </w:pPr>
          </w:p>
        </w:tc>
      </w:tr>
      <w:tr w14:paraId="6DA6FB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53" w:hRule="atLeast"/>
        </w:trPr>
        <w:tc>
          <w:tcPr>
            <w:tcW w:w="733" w:type="dxa"/>
            <w:vAlign w:val="top"/>
          </w:tcPr>
          <w:p w14:paraId="170F4C2C">
            <w:pPr>
              <w:pStyle w:val="6"/>
              <w:spacing w:before="156" w:line="224" w:lineRule="auto"/>
              <w:ind w:left="184" w:right="181"/>
            </w:pPr>
            <w:r>
              <w:rPr>
                <w:spacing w:val="8"/>
              </w:rPr>
              <w:t>空间</w:t>
            </w:r>
            <w:r>
              <w:t xml:space="preserve"> </w:t>
            </w:r>
            <w:r>
              <w:rPr>
                <w:spacing w:val="-2"/>
              </w:rPr>
              <w:t>变化</w:t>
            </w:r>
          </w:p>
        </w:tc>
        <w:tc>
          <w:tcPr>
            <w:tcW w:w="2484" w:type="dxa"/>
            <w:vAlign w:val="top"/>
          </w:tcPr>
          <w:p w14:paraId="0446E8EE">
            <w:pPr>
              <w:pStyle w:val="6"/>
              <w:spacing w:before="155" w:line="228" w:lineRule="auto"/>
              <w:ind w:left="12" w:right="575"/>
            </w:pPr>
            <w:r>
              <w:rPr>
                <w:spacing w:val="1"/>
              </w:rPr>
              <w:t>1.平面性与幻觉性的空间</w:t>
            </w:r>
            <w:r>
              <w:rPr>
                <w:spacing w:val="3"/>
              </w:rPr>
              <w:t xml:space="preserve"> </w:t>
            </w:r>
            <w:r>
              <w:rPr>
                <w:spacing w:val="2"/>
              </w:rPr>
              <w:t>2.矛盾性空间</w:t>
            </w:r>
          </w:p>
        </w:tc>
        <w:tc>
          <w:tcPr>
            <w:tcW w:w="230" w:type="dxa"/>
            <w:vAlign w:val="top"/>
          </w:tcPr>
          <w:p w14:paraId="5CE81052">
            <w:pPr>
              <w:rPr>
                <w:rFonts w:ascii="Arial"/>
                <w:sz w:val="21"/>
              </w:rPr>
            </w:pPr>
          </w:p>
        </w:tc>
        <w:tc>
          <w:tcPr>
            <w:tcW w:w="230" w:type="dxa"/>
            <w:textDirection w:val="btLr"/>
            <w:vAlign w:val="top"/>
          </w:tcPr>
          <w:p w14:paraId="0F326014">
            <w:pPr>
              <w:pStyle w:val="6"/>
              <w:spacing w:before="49" w:line="159" w:lineRule="auto"/>
              <w:ind w:left="334"/>
              <w:rPr>
                <w:sz w:val="21"/>
                <w:szCs w:val="21"/>
              </w:rPr>
            </w:pPr>
            <w:r>
              <w:rPr>
                <w:spacing w:val="-9"/>
                <w:sz w:val="21"/>
                <w:szCs w:val="21"/>
              </w:rPr>
              <w:t>vv</w:t>
            </w:r>
          </w:p>
        </w:tc>
        <w:tc>
          <w:tcPr>
            <w:tcW w:w="219" w:type="dxa"/>
            <w:vAlign w:val="top"/>
          </w:tcPr>
          <w:p w14:paraId="16C02D9F">
            <w:pPr>
              <w:rPr>
                <w:rFonts w:ascii="Arial"/>
                <w:sz w:val="21"/>
              </w:rPr>
            </w:pPr>
          </w:p>
        </w:tc>
        <w:tc>
          <w:tcPr>
            <w:tcW w:w="244" w:type="dxa"/>
            <w:vAlign w:val="top"/>
          </w:tcPr>
          <w:p w14:paraId="5D51FEA8">
            <w:pPr>
              <w:rPr>
                <w:rFonts w:ascii="Arial"/>
                <w:sz w:val="21"/>
              </w:rPr>
            </w:pPr>
          </w:p>
        </w:tc>
      </w:tr>
    </w:tbl>
    <w:p w14:paraId="3794D015">
      <w:pPr>
        <w:spacing w:before="162" w:line="221" w:lineRule="auto"/>
        <w:ind w:left="344"/>
        <w:rPr>
          <w:rFonts w:ascii="宋体" w:hAnsi="宋体" w:eastAsia="宋体" w:cs="宋体"/>
          <w:sz w:val="17"/>
          <w:szCs w:val="17"/>
        </w:rPr>
      </w:pPr>
      <w:r>
        <w:rPr>
          <w:rFonts w:ascii="宋体" w:hAnsi="宋体" w:eastAsia="宋体" w:cs="宋体"/>
          <w:sz w:val="17"/>
          <w:szCs w:val="17"/>
        </w:rPr>
        <w:t>3.色彩设计</w:t>
      </w:r>
    </w:p>
    <w:p w14:paraId="3196EC70">
      <w:pPr>
        <w:spacing w:line="113" w:lineRule="exact"/>
      </w:pPr>
    </w:p>
    <w:tbl>
      <w:tblPr>
        <w:tblStyle w:val="5"/>
        <w:tblW w:w="414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33"/>
        <w:gridCol w:w="2484"/>
        <w:gridCol w:w="230"/>
        <w:gridCol w:w="230"/>
        <w:gridCol w:w="219"/>
        <w:gridCol w:w="244"/>
      </w:tblGrid>
      <w:tr w14:paraId="08FCDF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5" w:hRule="atLeast"/>
        </w:trPr>
        <w:tc>
          <w:tcPr>
            <w:tcW w:w="733" w:type="dxa"/>
            <w:vMerge w:val="restart"/>
            <w:tcBorders>
              <w:bottom w:val="nil"/>
            </w:tcBorders>
            <w:vAlign w:val="top"/>
          </w:tcPr>
          <w:p w14:paraId="14131B0D">
            <w:pPr>
              <w:pStyle w:val="6"/>
              <w:spacing w:before="30" w:line="221" w:lineRule="auto"/>
              <w:ind w:left="17"/>
            </w:pPr>
            <w:r>
              <w:rPr>
                <w:b/>
                <w:bCs/>
                <w:spacing w:val="-4"/>
              </w:rPr>
              <w:t>知识与技</w:t>
            </w:r>
          </w:p>
          <w:p w14:paraId="24491681">
            <w:pPr>
              <w:pStyle w:val="6"/>
              <w:spacing w:before="6" w:line="210" w:lineRule="auto"/>
              <w:ind w:left="107"/>
            </w:pPr>
            <w:r>
              <w:rPr>
                <w:b/>
                <w:bCs/>
                <w:spacing w:val="1"/>
              </w:rPr>
              <w:t>能要点</w:t>
            </w:r>
          </w:p>
        </w:tc>
        <w:tc>
          <w:tcPr>
            <w:tcW w:w="2484" w:type="dxa"/>
            <w:vMerge w:val="restart"/>
            <w:tcBorders>
              <w:bottom w:val="nil"/>
            </w:tcBorders>
            <w:vAlign w:val="top"/>
          </w:tcPr>
          <w:p w14:paraId="1263E562">
            <w:pPr>
              <w:pStyle w:val="6"/>
              <w:spacing w:before="139" w:line="219" w:lineRule="auto"/>
              <w:ind w:left="924"/>
            </w:pPr>
            <w:r>
              <w:rPr>
                <w:b/>
                <w:bCs/>
                <w:spacing w:val="5"/>
              </w:rPr>
              <w:t>考试条目</w:t>
            </w:r>
          </w:p>
        </w:tc>
        <w:tc>
          <w:tcPr>
            <w:tcW w:w="923" w:type="dxa"/>
            <w:gridSpan w:val="4"/>
            <w:vAlign w:val="top"/>
          </w:tcPr>
          <w:p w14:paraId="285A674A">
            <w:pPr>
              <w:pStyle w:val="6"/>
              <w:spacing w:before="29" w:line="212" w:lineRule="auto"/>
              <w:ind w:left="130"/>
            </w:pPr>
            <w:r>
              <w:rPr>
                <w:b/>
                <w:bCs/>
                <w:spacing w:val="-4"/>
              </w:rPr>
              <w:t>考试水平</w:t>
            </w:r>
          </w:p>
        </w:tc>
      </w:tr>
      <w:tr w14:paraId="2BD308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99" w:hRule="atLeast"/>
        </w:trPr>
        <w:tc>
          <w:tcPr>
            <w:tcW w:w="733" w:type="dxa"/>
            <w:vMerge w:val="continue"/>
            <w:tcBorders>
              <w:top w:val="nil"/>
            </w:tcBorders>
            <w:vAlign w:val="top"/>
          </w:tcPr>
          <w:p w14:paraId="259A41B3">
            <w:pPr>
              <w:rPr>
                <w:rFonts w:ascii="Arial"/>
                <w:sz w:val="21"/>
              </w:rPr>
            </w:pPr>
          </w:p>
        </w:tc>
        <w:tc>
          <w:tcPr>
            <w:tcW w:w="2484" w:type="dxa"/>
            <w:vMerge w:val="continue"/>
            <w:tcBorders>
              <w:top w:val="nil"/>
            </w:tcBorders>
            <w:vAlign w:val="top"/>
          </w:tcPr>
          <w:p w14:paraId="0D8621BD">
            <w:pPr>
              <w:rPr>
                <w:rFonts w:ascii="Arial"/>
                <w:sz w:val="21"/>
              </w:rPr>
            </w:pPr>
          </w:p>
        </w:tc>
        <w:tc>
          <w:tcPr>
            <w:tcW w:w="230" w:type="dxa"/>
            <w:vAlign w:val="top"/>
          </w:tcPr>
          <w:p w14:paraId="06B9D4FD">
            <w:pPr>
              <w:pStyle w:val="6"/>
              <w:spacing w:before="59" w:line="130" w:lineRule="exact"/>
              <w:ind w:left="57"/>
            </w:pPr>
            <w:r>
              <w:rPr>
                <w:position w:val="-2"/>
              </w:rPr>
              <w:t>A</w:t>
            </w:r>
          </w:p>
        </w:tc>
        <w:tc>
          <w:tcPr>
            <w:tcW w:w="230" w:type="dxa"/>
            <w:vAlign w:val="top"/>
          </w:tcPr>
          <w:p w14:paraId="57B5351E">
            <w:pPr>
              <w:pStyle w:val="6"/>
              <w:spacing w:before="59" w:line="130" w:lineRule="exact"/>
              <w:ind w:left="70"/>
              <w:rPr>
                <w:sz w:val="16"/>
                <w:szCs w:val="16"/>
              </w:rPr>
            </w:pPr>
            <w:r>
              <w:rPr>
                <w:b/>
                <w:bCs/>
                <w:spacing w:val="-2"/>
                <w:position w:val="-2"/>
                <w:sz w:val="16"/>
                <w:szCs w:val="16"/>
              </w:rPr>
              <w:t>B</w:t>
            </w:r>
          </w:p>
        </w:tc>
        <w:tc>
          <w:tcPr>
            <w:tcW w:w="219" w:type="dxa"/>
            <w:vAlign w:val="top"/>
          </w:tcPr>
          <w:p w14:paraId="0B62E368">
            <w:pPr>
              <w:pStyle w:val="6"/>
              <w:spacing w:before="60" w:line="129" w:lineRule="exact"/>
              <w:ind w:left="57"/>
            </w:pPr>
            <w:r>
              <w:rPr>
                <w:position w:val="-2"/>
              </w:rPr>
              <w:t>C</w:t>
            </w:r>
          </w:p>
        </w:tc>
        <w:tc>
          <w:tcPr>
            <w:tcW w:w="244" w:type="dxa"/>
            <w:vAlign w:val="top"/>
          </w:tcPr>
          <w:p w14:paraId="1402B58E">
            <w:pPr>
              <w:pStyle w:val="6"/>
              <w:spacing w:before="62" w:line="127" w:lineRule="exact"/>
              <w:ind w:left="41"/>
            </w:pPr>
            <w:r>
              <w:rPr>
                <w:b/>
                <w:bCs/>
                <w:spacing w:val="-2"/>
                <w:position w:val="-2"/>
              </w:rPr>
              <w:t>D</w:t>
            </w:r>
          </w:p>
        </w:tc>
      </w:tr>
      <w:tr w14:paraId="11F48D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08" w:hRule="atLeast"/>
        </w:trPr>
        <w:tc>
          <w:tcPr>
            <w:tcW w:w="733" w:type="dxa"/>
            <w:vAlign w:val="top"/>
          </w:tcPr>
          <w:p w14:paraId="1D5F0119">
            <w:pPr>
              <w:spacing w:line="274" w:lineRule="auto"/>
              <w:rPr>
                <w:rFonts w:ascii="Arial"/>
                <w:sz w:val="21"/>
              </w:rPr>
            </w:pPr>
          </w:p>
          <w:p w14:paraId="7AD59DE6">
            <w:pPr>
              <w:pStyle w:val="6"/>
              <w:spacing w:before="55" w:line="218" w:lineRule="auto"/>
              <w:ind w:left="184" w:right="94" w:hanging="79"/>
            </w:pPr>
            <w:r>
              <w:rPr>
                <w:spacing w:val="4"/>
              </w:rPr>
              <w:t>色彩的</w:t>
            </w:r>
            <w:r>
              <w:t xml:space="preserve"> </w:t>
            </w:r>
            <w:r>
              <w:rPr>
                <w:spacing w:val="-2"/>
              </w:rPr>
              <w:t>属性</w:t>
            </w:r>
          </w:p>
        </w:tc>
        <w:tc>
          <w:tcPr>
            <w:tcW w:w="2484" w:type="dxa"/>
            <w:vAlign w:val="top"/>
          </w:tcPr>
          <w:p w14:paraId="006B80ED">
            <w:pPr>
              <w:pStyle w:val="6"/>
              <w:spacing w:before="108" w:line="219" w:lineRule="auto"/>
              <w:ind w:left="12"/>
            </w:pPr>
            <w:r>
              <w:rPr>
                <w:spacing w:val="4"/>
              </w:rPr>
              <w:t>1.明度</w:t>
            </w:r>
          </w:p>
          <w:p w14:paraId="1785CBF5">
            <w:pPr>
              <w:pStyle w:val="6"/>
              <w:spacing w:before="20" w:line="221" w:lineRule="auto"/>
              <w:ind w:left="12"/>
            </w:pPr>
            <w:r>
              <w:rPr>
                <w:spacing w:val="3"/>
              </w:rPr>
              <w:t>2.色相</w:t>
            </w:r>
          </w:p>
          <w:p w14:paraId="0B301C50">
            <w:pPr>
              <w:pStyle w:val="6"/>
              <w:spacing w:before="14" w:line="220" w:lineRule="auto"/>
              <w:ind w:left="12"/>
            </w:pPr>
            <w:r>
              <w:rPr>
                <w:spacing w:val="2"/>
              </w:rPr>
              <w:t>3.纯度</w:t>
            </w:r>
          </w:p>
          <w:p w14:paraId="2C782636">
            <w:pPr>
              <w:pStyle w:val="6"/>
              <w:spacing w:before="17" w:line="220" w:lineRule="auto"/>
              <w:ind w:left="12"/>
            </w:pPr>
            <w:r>
              <w:rPr>
                <w:spacing w:val="-1"/>
              </w:rPr>
              <w:t>4.立体色标</w:t>
            </w:r>
          </w:p>
        </w:tc>
        <w:tc>
          <w:tcPr>
            <w:tcW w:w="230" w:type="dxa"/>
            <w:vAlign w:val="top"/>
          </w:tcPr>
          <w:p w14:paraId="0D79A300">
            <w:pPr>
              <w:rPr>
                <w:rFonts w:ascii="Arial"/>
                <w:sz w:val="21"/>
              </w:rPr>
            </w:pPr>
          </w:p>
        </w:tc>
        <w:tc>
          <w:tcPr>
            <w:tcW w:w="230" w:type="dxa"/>
            <w:vAlign w:val="top"/>
          </w:tcPr>
          <w:p w14:paraId="2ACAE43B">
            <w:pPr>
              <w:rPr>
                <w:rFonts w:ascii="Arial"/>
                <w:sz w:val="21"/>
              </w:rPr>
            </w:pPr>
          </w:p>
        </w:tc>
        <w:tc>
          <w:tcPr>
            <w:tcW w:w="219" w:type="dxa"/>
            <w:vAlign w:val="top"/>
          </w:tcPr>
          <w:p w14:paraId="5400F5D6">
            <w:pPr>
              <w:rPr>
                <w:rFonts w:ascii="Arial"/>
                <w:sz w:val="21"/>
              </w:rPr>
            </w:pPr>
          </w:p>
        </w:tc>
        <w:tc>
          <w:tcPr>
            <w:tcW w:w="244" w:type="dxa"/>
            <w:vAlign w:val="top"/>
          </w:tcPr>
          <w:p w14:paraId="76EAA616">
            <w:pPr>
              <w:rPr>
                <w:rFonts w:ascii="Arial"/>
                <w:sz w:val="21"/>
              </w:rPr>
            </w:pPr>
          </w:p>
        </w:tc>
      </w:tr>
      <w:tr w14:paraId="7B3046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8" w:hRule="atLeast"/>
        </w:trPr>
        <w:tc>
          <w:tcPr>
            <w:tcW w:w="733" w:type="dxa"/>
            <w:vAlign w:val="top"/>
          </w:tcPr>
          <w:p w14:paraId="781D76F1">
            <w:pPr>
              <w:pStyle w:val="6"/>
              <w:spacing w:before="192" w:line="239" w:lineRule="auto"/>
              <w:ind w:left="184" w:right="206"/>
            </w:pPr>
            <w:r>
              <w:rPr>
                <w:spacing w:val="-5"/>
              </w:rPr>
              <w:t>色彩</w:t>
            </w:r>
            <w:r>
              <w:t xml:space="preserve"> </w:t>
            </w:r>
            <w:r>
              <w:rPr>
                <w:spacing w:val="-5"/>
              </w:rPr>
              <w:t>混合</w:t>
            </w:r>
          </w:p>
        </w:tc>
        <w:tc>
          <w:tcPr>
            <w:tcW w:w="2484" w:type="dxa"/>
            <w:vAlign w:val="top"/>
          </w:tcPr>
          <w:p w14:paraId="3242C67F">
            <w:pPr>
              <w:pStyle w:val="6"/>
              <w:spacing w:before="99" w:line="233" w:lineRule="auto"/>
              <w:ind w:left="12" w:right="1604"/>
              <w:jc w:val="both"/>
            </w:pPr>
            <w:r>
              <w:rPr>
                <w:spacing w:val="1"/>
              </w:rPr>
              <w:t>1.加光混合</w:t>
            </w:r>
            <w:r>
              <w:t xml:space="preserve"> </w:t>
            </w:r>
            <w:r>
              <w:rPr>
                <w:spacing w:val="-2"/>
              </w:rPr>
              <w:t>2.减光混合</w:t>
            </w:r>
            <w:r>
              <w:rPr>
                <w:spacing w:val="2"/>
              </w:rPr>
              <w:t xml:space="preserve"> </w:t>
            </w:r>
            <w:r>
              <w:rPr>
                <w:spacing w:val="-1"/>
              </w:rPr>
              <w:t>3.中性混合</w:t>
            </w:r>
          </w:p>
        </w:tc>
        <w:tc>
          <w:tcPr>
            <w:tcW w:w="230" w:type="dxa"/>
            <w:vAlign w:val="top"/>
          </w:tcPr>
          <w:p w14:paraId="5FEC3771">
            <w:pPr>
              <w:rPr>
                <w:rFonts w:ascii="Arial"/>
                <w:sz w:val="21"/>
              </w:rPr>
            </w:pPr>
          </w:p>
        </w:tc>
        <w:tc>
          <w:tcPr>
            <w:tcW w:w="230" w:type="dxa"/>
            <w:vAlign w:val="top"/>
          </w:tcPr>
          <w:p w14:paraId="703DA3E9">
            <w:pPr>
              <w:rPr>
                <w:rFonts w:ascii="Arial"/>
                <w:sz w:val="21"/>
              </w:rPr>
            </w:pPr>
          </w:p>
        </w:tc>
        <w:tc>
          <w:tcPr>
            <w:tcW w:w="219" w:type="dxa"/>
            <w:vAlign w:val="top"/>
          </w:tcPr>
          <w:p w14:paraId="77725FD6">
            <w:pPr>
              <w:rPr>
                <w:rFonts w:ascii="Arial"/>
                <w:sz w:val="21"/>
              </w:rPr>
            </w:pPr>
          </w:p>
        </w:tc>
        <w:tc>
          <w:tcPr>
            <w:tcW w:w="244" w:type="dxa"/>
            <w:vAlign w:val="top"/>
          </w:tcPr>
          <w:p w14:paraId="2C50B9E0">
            <w:pPr>
              <w:rPr>
                <w:rFonts w:ascii="Arial"/>
                <w:sz w:val="21"/>
              </w:rPr>
            </w:pPr>
          </w:p>
        </w:tc>
      </w:tr>
      <w:tr w14:paraId="4BACEA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27" w:hRule="atLeast"/>
        </w:trPr>
        <w:tc>
          <w:tcPr>
            <w:tcW w:w="733" w:type="dxa"/>
            <w:vAlign w:val="top"/>
          </w:tcPr>
          <w:p w14:paraId="51E2F13F">
            <w:pPr>
              <w:spacing w:line="377" w:lineRule="auto"/>
              <w:rPr>
                <w:rFonts w:ascii="Arial"/>
                <w:sz w:val="21"/>
              </w:rPr>
            </w:pPr>
          </w:p>
          <w:p w14:paraId="12C4AA34">
            <w:pPr>
              <w:pStyle w:val="6"/>
              <w:spacing w:before="55" w:line="229" w:lineRule="auto"/>
              <w:ind w:left="184" w:right="203"/>
            </w:pPr>
            <w:r>
              <w:rPr>
                <w:spacing w:val="-5"/>
              </w:rPr>
              <w:t>色彩</w:t>
            </w:r>
            <w:r>
              <w:t xml:space="preserve"> </w:t>
            </w:r>
            <w:r>
              <w:rPr>
                <w:spacing w:val="-3"/>
              </w:rPr>
              <w:t>对比</w:t>
            </w:r>
          </w:p>
        </w:tc>
        <w:tc>
          <w:tcPr>
            <w:tcW w:w="2484" w:type="dxa"/>
            <w:vAlign w:val="top"/>
          </w:tcPr>
          <w:p w14:paraId="1D6A47BD">
            <w:pPr>
              <w:pStyle w:val="6"/>
              <w:spacing w:before="102" w:line="219" w:lineRule="auto"/>
              <w:ind w:left="12"/>
            </w:pPr>
            <w:r>
              <w:t>1.色彩对比的概念</w:t>
            </w:r>
          </w:p>
          <w:p w14:paraId="2241AEC9">
            <w:pPr>
              <w:pStyle w:val="6"/>
              <w:spacing w:before="29" w:line="234" w:lineRule="auto"/>
              <w:ind w:left="12" w:right="1601"/>
              <w:jc w:val="both"/>
            </w:pPr>
            <w:r>
              <w:rPr>
                <w:spacing w:val="-2"/>
              </w:rPr>
              <w:t>2.明度对比</w:t>
            </w:r>
            <w:r>
              <w:rPr>
                <w:spacing w:val="2"/>
              </w:rPr>
              <w:t xml:space="preserve"> </w:t>
            </w:r>
            <w:r>
              <w:rPr>
                <w:spacing w:val="1"/>
              </w:rPr>
              <w:t>3.色相对比</w:t>
            </w:r>
            <w:r>
              <w:rPr>
                <w:spacing w:val="3"/>
              </w:rPr>
              <w:t xml:space="preserve"> </w:t>
            </w:r>
            <w:r>
              <w:rPr>
                <w:spacing w:val="-1"/>
              </w:rPr>
              <w:t>4.纯度对比</w:t>
            </w:r>
            <w:r>
              <w:t xml:space="preserve"> </w:t>
            </w:r>
            <w:r>
              <w:rPr>
                <w:spacing w:val="1"/>
              </w:rPr>
              <w:t>5.冷暖对比</w:t>
            </w:r>
          </w:p>
        </w:tc>
        <w:tc>
          <w:tcPr>
            <w:tcW w:w="230" w:type="dxa"/>
            <w:vAlign w:val="top"/>
          </w:tcPr>
          <w:p w14:paraId="649BABCC">
            <w:pPr>
              <w:rPr>
                <w:rFonts w:ascii="Arial"/>
                <w:sz w:val="21"/>
              </w:rPr>
            </w:pPr>
          </w:p>
        </w:tc>
        <w:tc>
          <w:tcPr>
            <w:tcW w:w="230" w:type="dxa"/>
            <w:textDirection w:val="tbRl"/>
            <w:vAlign w:val="top"/>
          </w:tcPr>
          <w:p w14:paraId="6A52FEB0">
            <w:pPr>
              <w:pStyle w:val="6"/>
              <w:spacing w:before="29" w:line="176" w:lineRule="auto"/>
              <w:ind w:left="179"/>
              <w:rPr>
                <w:sz w:val="21"/>
                <w:szCs w:val="21"/>
              </w:rPr>
            </w:pPr>
            <w:r>
              <w:rPr>
                <w:spacing w:val="-3"/>
                <w:sz w:val="21"/>
                <w:szCs w:val="21"/>
              </w:rPr>
              <w:t>&gt;&gt;&gt;&gt;</w:t>
            </w:r>
          </w:p>
        </w:tc>
        <w:tc>
          <w:tcPr>
            <w:tcW w:w="219" w:type="dxa"/>
            <w:vAlign w:val="top"/>
          </w:tcPr>
          <w:p w14:paraId="3A27F66A">
            <w:pPr>
              <w:rPr>
                <w:rFonts w:ascii="Arial"/>
                <w:sz w:val="21"/>
              </w:rPr>
            </w:pPr>
          </w:p>
        </w:tc>
        <w:tc>
          <w:tcPr>
            <w:tcW w:w="244" w:type="dxa"/>
            <w:vAlign w:val="top"/>
          </w:tcPr>
          <w:p w14:paraId="552F746C">
            <w:pPr>
              <w:rPr>
                <w:rFonts w:ascii="Arial"/>
                <w:sz w:val="21"/>
              </w:rPr>
            </w:pPr>
          </w:p>
        </w:tc>
      </w:tr>
      <w:tr w14:paraId="554CD6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13" w:hRule="atLeast"/>
        </w:trPr>
        <w:tc>
          <w:tcPr>
            <w:tcW w:w="733" w:type="dxa"/>
            <w:vAlign w:val="top"/>
          </w:tcPr>
          <w:p w14:paraId="64E1434B">
            <w:pPr>
              <w:pStyle w:val="6"/>
              <w:spacing w:before="127" w:line="229" w:lineRule="auto"/>
              <w:ind w:left="184" w:right="206"/>
            </w:pPr>
            <w:r>
              <w:rPr>
                <w:spacing w:val="-5"/>
              </w:rPr>
              <w:t>色彩</w:t>
            </w:r>
            <w:r>
              <w:t xml:space="preserve"> </w:t>
            </w:r>
            <w:r>
              <w:rPr>
                <w:spacing w:val="-5"/>
              </w:rPr>
              <w:t>功能</w:t>
            </w:r>
          </w:p>
        </w:tc>
        <w:tc>
          <w:tcPr>
            <w:tcW w:w="2484" w:type="dxa"/>
            <w:vAlign w:val="top"/>
          </w:tcPr>
          <w:p w14:paraId="1753A778">
            <w:pPr>
              <w:pStyle w:val="6"/>
              <w:spacing w:before="135" w:line="219" w:lineRule="auto"/>
              <w:ind w:left="12"/>
            </w:pPr>
            <w:r>
              <w:rPr>
                <w:spacing w:val="1"/>
              </w:rPr>
              <w:t>1.功能的概念</w:t>
            </w:r>
          </w:p>
          <w:p w14:paraId="2A567D71">
            <w:pPr>
              <w:pStyle w:val="6"/>
              <w:spacing w:before="7" w:line="219" w:lineRule="auto"/>
              <w:ind w:left="12"/>
            </w:pPr>
            <w:r>
              <w:rPr>
                <w:spacing w:val="-1"/>
              </w:rPr>
              <w:t>2.各基本色的功能</w:t>
            </w:r>
          </w:p>
        </w:tc>
        <w:tc>
          <w:tcPr>
            <w:tcW w:w="230" w:type="dxa"/>
            <w:vAlign w:val="top"/>
          </w:tcPr>
          <w:p w14:paraId="2C995A32">
            <w:pPr>
              <w:rPr>
                <w:rFonts w:ascii="Arial"/>
                <w:sz w:val="21"/>
              </w:rPr>
            </w:pPr>
          </w:p>
        </w:tc>
        <w:tc>
          <w:tcPr>
            <w:tcW w:w="230" w:type="dxa"/>
            <w:vAlign w:val="top"/>
          </w:tcPr>
          <w:p w14:paraId="45F90D03">
            <w:pPr>
              <w:rPr>
                <w:rFonts w:ascii="Arial"/>
                <w:sz w:val="21"/>
              </w:rPr>
            </w:pPr>
          </w:p>
        </w:tc>
        <w:tc>
          <w:tcPr>
            <w:tcW w:w="219" w:type="dxa"/>
            <w:textDirection w:val="btLr"/>
            <w:vAlign w:val="top"/>
          </w:tcPr>
          <w:p w14:paraId="3509F8E8">
            <w:pPr>
              <w:pStyle w:val="6"/>
              <w:spacing w:before="81" w:line="138" w:lineRule="exact"/>
              <w:ind w:left="334"/>
              <w:rPr>
                <w:sz w:val="20"/>
                <w:szCs w:val="20"/>
              </w:rPr>
            </w:pPr>
            <w:r>
              <w:rPr>
                <w:spacing w:val="-1"/>
                <w:position w:val="-3"/>
                <w:sz w:val="20"/>
                <w:szCs w:val="20"/>
              </w:rPr>
              <w:t>Nv</w:t>
            </w:r>
          </w:p>
        </w:tc>
        <w:tc>
          <w:tcPr>
            <w:tcW w:w="244" w:type="dxa"/>
            <w:vAlign w:val="top"/>
          </w:tcPr>
          <w:p w14:paraId="0E60A53E">
            <w:pPr>
              <w:rPr>
                <w:rFonts w:ascii="Arial"/>
                <w:sz w:val="21"/>
              </w:rPr>
            </w:pPr>
          </w:p>
        </w:tc>
      </w:tr>
    </w:tbl>
    <w:p w14:paraId="66338997">
      <w:pPr>
        <w:spacing w:before="213" w:line="220" w:lineRule="auto"/>
        <w:ind w:left="344"/>
        <w:rPr>
          <w:rFonts w:ascii="宋体" w:hAnsi="宋体" w:eastAsia="宋体" w:cs="宋体"/>
          <w:sz w:val="17"/>
          <w:szCs w:val="17"/>
        </w:rPr>
      </w:pPr>
      <w:r>
        <w:rPr>
          <w:rFonts w:ascii="宋体" w:hAnsi="宋体" w:eastAsia="宋体" w:cs="宋体"/>
          <w:spacing w:val="1"/>
          <w:sz w:val="17"/>
          <w:szCs w:val="17"/>
        </w:rPr>
        <w:t>4.设计中的形式原理</w:t>
      </w:r>
    </w:p>
    <w:p w14:paraId="69DBF7DE">
      <w:pPr>
        <w:spacing w:line="105" w:lineRule="exact"/>
      </w:pPr>
    </w:p>
    <w:tbl>
      <w:tblPr>
        <w:tblStyle w:val="5"/>
        <w:tblW w:w="413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33"/>
        <w:gridCol w:w="2484"/>
        <w:gridCol w:w="230"/>
        <w:gridCol w:w="220"/>
        <w:gridCol w:w="229"/>
        <w:gridCol w:w="234"/>
      </w:tblGrid>
      <w:tr w14:paraId="02A139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9" w:hRule="atLeast"/>
        </w:trPr>
        <w:tc>
          <w:tcPr>
            <w:tcW w:w="733" w:type="dxa"/>
            <w:vMerge w:val="restart"/>
            <w:tcBorders>
              <w:top w:val="single" w:color="000000" w:sz="2" w:space="0"/>
              <w:bottom w:val="nil"/>
            </w:tcBorders>
            <w:vAlign w:val="top"/>
          </w:tcPr>
          <w:p w14:paraId="4C4DFD21">
            <w:pPr>
              <w:pStyle w:val="6"/>
              <w:spacing w:before="36" w:line="231" w:lineRule="auto"/>
              <w:ind w:left="117" w:right="55" w:hanging="80"/>
              <w:rPr>
                <w:sz w:val="16"/>
                <w:szCs w:val="16"/>
              </w:rPr>
            </w:pPr>
            <w:r>
              <w:rPr>
                <w:b/>
                <w:bCs/>
                <w:spacing w:val="-5"/>
                <w:sz w:val="16"/>
                <w:szCs w:val="16"/>
              </w:rPr>
              <w:t>知识与技</w:t>
            </w:r>
            <w:r>
              <w:rPr>
                <w:spacing w:val="2"/>
                <w:sz w:val="16"/>
                <w:szCs w:val="16"/>
              </w:rPr>
              <w:t xml:space="preserve"> </w:t>
            </w:r>
            <w:r>
              <w:rPr>
                <w:b/>
                <w:bCs/>
                <w:spacing w:val="1"/>
                <w:sz w:val="16"/>
                <w:szCs w:val="16"/>
              </w:rPr>
              <w:t>能要点</w:t>
            </w:r>
          </w:p>
        </w:tc>
        <w:tc>
          <w:tcPr>
            <w:tcW w:w="2484" w:type="dxa"/>
            <w:vMerge w:val="restart"/>
            <w:tcBorders>
              <w:top w:val="single" w:color="000000" w:sz="2" w:space="0"/>
              <w:bottom w:val="nil"/>
            </w:tcBorders>
            <w:vAlign w:val="top"/>
          </w:tcPr>
          <w:p w14:paraId="1E244966">
            <w:pPr>
              <w:pStyle w:val="6"/>
              <w:spacing w:before="144" w:line="219" w:lineRule="auto"/>
              <w:ind w:left="914"/>
              <w:rPr>
                <w:sz w:val="16"/>
                <w:szCs w:val="16"/>
              </w:rPr>
            </w:pPr>
            <w:r>
              <w:rPr>
                <w:b/>
                <w:bCs/>
                <w:spacing w:val="4"/>
                <w:sz w:val="16"/>
                <w:szCs w:val="16"/>
              </w:rPr>
              <w:t>考试条目</w:t>
            </w:r>
          </w:p>
        </w:tc>
        <w:tc>
          <w:tcPr>
            <w:tcW w:w="913" w:type="dxa"/>
            <w:gridSpan w:val="4"/>
            <w:tcBorders>
              <w:top w:val="single" w:color="000000" w:sz="2" w:space="0"/>
              <w:bottom w:val="single" w:color="000000" w:sz="2" w:space="0"/>
            </w:tcBorders>
            <w:vAlign w:val="top"/>
          </w:tcPr>
          <w:p w14:paraId="774A63BC">
            <w:pPr>
              <w:pStyle w:val="6"/>
              <w:spacing w:before="34" w:line="213" w:lineRule="auto"/>
              <w:ind w:left="130"/>
              <w:rPr>
                <w:sz w:val="16"/>
                <w:szCs w:val="16"/>
              </w:rPr>
            </w:pPr>
            <w:r>
              <w:rPr>
                <w:b/>
                <w:bCs/>
                <w:spacing w:val="-3"/>
                <w:sz w:val="16"/>
                <w:szCs w:val="16"/>
              </w:rPr>
              <w:t>考试水平</w:t>
            </w:r>
          </w:p>
        </w:tc>
      </w:tr>
      <w:tr w14:paraId="5AC808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4" w:hRule="atLeast"/>
        </w:trPr>
        <w:tc>
          <w:tcPr>
            <w:tcW w:w="733" w:type="dxa"/>
            <w:vMerge w:val="continue"/>
            <w:tcBorders>
              <w:top w:val="nil"/>
              <w:bottom w:val="single" w:color="000000" w:sz="2" w:space="0"/>
            </w:tcBorders>
            <w:vAlign w:val="top"/>
          </w:tcPr>
          <w:p w14:paraId="1F48186C">
            <w:pPr>
              <w:rPr>
                <w:rFonts w:ascii="Arial"/>
                <w:sz w:val="21"/>
              </w:rPr>
            </w:pPr>
          </w:p>
        </w:tc>
        <w:tc>
          <w:tcPr>
            <w:tcW w:w="2484" w:type="dxa"/>
            <w:vMerge w:val="continue"/>
            <w:tcBorders>
              <w:top w:val="nil"/>
              <w:bottom w:val="single" w:color="000000" w:sz="2" w:space="0"/>
            </w:tcBorders>
            <w:vAlign w:val="top"/>
          </w:tcPr>
          <w:p w14:paraId="56ED7973">
            <w:pPr>
              <w:rPr>
                <w:rFonts w:ascii="Arial"/>
                <w:sz w:val="21"/>
              </w:rPr>
            </w:pPr>
          </w:p>
        </w:tc>
        <w:tc>
          <w:tcPr>
            <w:tcW w:w="230" w:type="dxa"/>
            <w:tcBorders>
              <w:top w:val="single" w:color="000000" w:sz="2" w:space="0"/>
              <w:bottom w:val="single" w:color="000000" w:sz="2" w:space="0"/>
            </w:tcBorders>
            <w:vAlign w:val="top"/>
          </w:tcPr>
          <w:p w14:paraId="6645AED0">
            <w:pPr>
              <w:pStyle w:val="6"/>
              <w:spacing w:before="72" w:line="131" w:lineRule="exact"/>
              <w:ind w:left="20"/>
              <w:rPr>
                <w:sz w:val="16"/>
                <w:szCs w:val="16"/>
              </w:rPr>
            </w:pPr>
            <w:r>
              <w:rPr>
                <w:b/>
                <w:bCs/>
                <w:spacing w:val="-2"/>
                <w:position w:val="-2"/>
                <w:sz w:val="16"/>
                <w:szCs w:val="16"/>
              </w:rPr>
              <w:t>A</w:t>
            </w:r>
          </w:p>
        </w:tc>
        <w:tc>
          <w:tcPr>
            <w:tcW w:w="220" w:type="dxa"/>
            <w:tcBorders>
              <w:top w:val="single" w:color="000000" w:sz="2" w:space="0"/>
              <w:bottom w:val="single" w:color="000000" w:sz="2" w:space="0"/>
            </w:tcBorders>
            <w:vAlign w:val="top"/>
          </w:tcPr>
          <w:p w14:paraId="3868D2C4">
            <w:pPr>
              <w:pStyle w:val="6"/>
              <w:spacing w:before="74" w:line="129" w:lineRule="exact"/>
              <w:ind w:left="30"/>
              <w:rPr>
                <w:sz w:val="16"/>
                <w:szCs w:val="16"/>
              </w:rPr>
            </w:pPr>
            <w:r>
              <w:rPr>
                <w:b/>
                <w:bCs/>
                <w:spacing w:val="-2"/>
                <w:position w:val="-2"/>
                <w:sz w:val="16"/>
                <w:szCs w:val="16"/>
              </w:rPr>
              <w:t>B</w:t>
            </w:r>
          </w:p>
        </w:tc>
        <w:tc>
          <w:tcPr>
            <w:tcW w:w="229" w:type="dxa"/>
            <w:tcBorders>
              <w:top w:val="single" w:color="000000" w:sz="2" w:space="0"/>
              <w:bottom w:val="single" w:color="000000" w:sz="2" w:space="0"/>
            </w:tcBorders>
            <w:vAlign w:val="top"/>
          </w:tcPr>
          <w:p w14:paraId="16E4655A">
            <w:pPr>
              <w:pStyle w:val="6"/>
              <w:spacing w:before="72" w:line="131" w:lineRule="exact"/>
              <w:ind w:left="40"/>
              <w:rPr>
                <w:sz w:val="16"/>
                <w:szCs w:val="16"/>
              </w:rPr>
            </w:pPr>
            <w:r>
              <w:rPr>
                <w:b/>
                <w:bCs/>
                <w:spacing w:val="-2"/>
                <w:position w:val="-2"/>
                <w:sz w:val="16"/>
                <w:szCs w:val="16"/>
              </w:rPr>
              <w:t>C</w:t>
            </w:r>
          </w:p>
        </w:tc>
        <w:tc>
          <w:tcPr>
            <w:tcW w:w="234" w:type="dxa"/>
            <w:tcBorders>
              <w:top w:val="single" w:color="000000" w:sz="2" w:space="0"/>
              <w:bottom w:val="single" w:color="000000" w:sz="2" w:space="0"/>
            </w:tcBorders>
            <w:vAlign w:val="top"/>
          </w:tcPr>
          <w:p w14:paraId="2E392FF0">
            <w:pPr>
              <w:pStyle w:val="6"/>
              <w:spacing w:before="74" w:line="129" w:lineRule="exact"/>
              <w:ind w:left="41"/>
              <w:rPr>
                <w:sz w:val="16"/>
                <w:szCs w:val="16"/>
              </w:rPr>
            </w:pPr>
            <w:r>
              <w:rPr>
                <w:b/>
                <w:bCs/>
                <w:spacing w:val="-2"/>
                <w:position w:val="-2"/>
                <w:sz w:val="16"/>
                <w:szCs w:val="16"/>
              </w:rPr>
              <w:t>D</w:t>
            </w:r>
          </w:p>
        </w:tc>
      </w:tr>
      <w:tr w14:paraId="4AA915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875" w:hRule="atLeast"/>
        </w:trPr>
        <w:tc>
          <w:tcPr>
            <w:tcW w:w="733" w:type="dxa"/>
            <w:tcBorders>
              <w:top w:val="single" w:color="000000" w:sz="2" w:space="0"/>
              <w:bottom w:val="single" w:color="000000" w:sz="2" w:space="0"/>
            </w:tcBorders>
            <w:vAlign w:val="top"/>
          </w:tcPr>
          <w:p w14:paraId="49DB8275">
            <w:pPr>
              <w:spacing w:line="352" w:lineRule="auto"/>
              <w:rPr>
                <w:rFonts w:ascii="Arial"/>
                <w:sz w:val="21"/>
              </w:rPr>
            </w:pPr>
          </w:p>
          <w:p w14:paraId="32BD7B17">
            <w:pPr>
              <w:spacing w:line="353" w:lineRule="auto"/>
              <w:rPr>
                <w:rFonts w:ascii="Arial"/>
                <w:sz w:val="21"/>
              </w:rPr>
            </w:pPr>
          </w:p>
          <w:p w14:paraId="2D89ED0A">
            <w:pPr>
              <w:pStyle w:val="6"/>
              <w:spacing w:before="52" w:line="257" w:lineRule="auto"/>
              <w:ind w:left="197" w:right="213"/>
              <w:rPr>
                <w:sz w:val="16"/>
                <w:szCs w:val="16"/>
              </w:rPr>
            </w:pPr>
            <w:r>
              <w:rPr>
                <w:b/>
                <w:bCs/>
                <w:spacing w:val="-6"/>
                <w:sz w:val="16"/>
                <w:szCs w:val="16"/>
              </w:rPr>
              <w:t>形式</w:t>
            </w:r>
            <w:r>
              <w:rPr>
                <w:sz w:val="16"/>
                <w:szCs w:val="16"/>
              </w:rPr>
              <w:t xml:space="preserve"> </w:t>
            </w:r>
            <w:r>
              <w:rPr>
                <w:b/>
                <w:bCs/>
                <w:spacing w:val="-7"/>
                <w:sz w:val="16"/>
                <w:szCs w:val="16"/>
              </w:rPr>
              <w:t>原理</w:t>
            </w:r>
          </w:p>
        </w:tc>
        <w:tc>
          <w:tcPr>
            <w:tcW w:w="2484" w:type="dxa"/>
            <w:tcBorders>
              <w:top w:val="single" w:color="000000" w:sz="2" w:space="0"/>
              <w:bottom w:val="single" w:color="000000" w:sz="2" w:space="0"/>
            </w:tcBorders>
            <w:vAlign w:val="top"/>
          </w:tcPr>
          <w:p w14:paraId="449A3893">
            <w:pPr>
              <w:pStyle w:val="6"/>
              <w:spacing w:before="115" w:line="250" w:lineRule="auto"/>
              <w:ind w:left="14" w:right="1971"/>
              <w:jc w:val="both"/>
              <w:rPr>
                <w:sz w:val="16"/>
                <w:szCs w:val="16"/>
              </w:rPr>
            </w:pPr>
            <w:r>
              <w:rPr>
                <w:b/>
                <w:bCs/>
                <w:sz w:val="16"/>
                <w:szCs w:val="16"/>
              </w:rPr>
              <w:t>1.调和</w:t>
            </w:r>
            <w:r>
              <w:rPr>
                <w:sz w:val="16"/>
                <w:szCs w:val="16"/>
              </w:rPr>
              <w:t xml:space="preserve"> </w:t>
            </w:r>
            <w:r>
              <w:rPr>
                <w:b/>
                <w:bCs/>
                <w:spacing w:val="-4"/>
                <w:sz w:val="16"/>
                <w:szCs w:val="16"/>
              </w:rPr>
              <w:t>2.对比</w:t>
            </w:r>
            <w:r>
              <w:rPr>
                <w:sz w:val="16"/>
                <w:szCs w:val="16"/>
              </w:rPr>
              <w:t xml:space="preserve"> </w:t>
            </w:r>
            <w:r>
              <w:rPr>
                <w:b/>
                <w:bCs/>
                <w:spacing w:val="-5"/>
                <w:sz w:val="16"/>
                <w:szCs w:val="16"/>
              </w:rPr>
              <w:t>3.对称</w:t>
            </w:r>
            <w:r>
              <w:rPr>
                <w:spacing w:val="2"/>
                <w:sz w:val="16"/>
                <w:szCs w:val="16"/>
              </w:rPr>
              <w:t xml:space="preserve"> </w:t>
            </w:r>
            <w:r>
              <w:rPr>
                <w:b/>
                <w:bCs/>
                <w:spacing w:val="-4"/>
                <w:sz w:val="16"/>
                <w:szCs w:val="16"/>
              </w:rPr>
              <w:t>4.平衡</w:t>
            </w:r>
            <w:r>
              <w:rPr>
                <w:spacing w:val="2"/>
                <w:sz w:val="16"/>
                <w:szCs w:val="16"/>
              </w:rPr>
              <w:t xml:space="preserve"> </w:t>
            </w:r>
            <w:r>
              <w:rPr>
                <w:b/>
                <w:bCs/>
                <w:spacing w:val="-5"/>
                <w:sz w:val="16"/>
                <w:szCs w:val="16"/>
              </w:rPr>
              <w:t>5.律动</w:t>
            </w:r>
            <w:r>
              <w:rPr>
                <w:spacing w:val="2"/>
                <w:sz w:val="16"/>
                <w:szCs w:val="16"/>
              </w:rPr>
              <w:t xml:space="preserve"> </w:t>
            </w:r>
            <w:r>
              <w:rPr>
                <w:b/>
                <w:bCs/>
                <w:spacing w:val="-4"/>
                <w:sz w:val="16"/>
                <w:szCs w:val="16"/>
              </w:rPr>
              <w:t>6.反复</w:t>
            </w:r>
            <w:r>
              <w:rPr>
                <w:sz w:val="16"/>
                <w:szCs w:val="16"/>
              </w:rPr>
              <w:t xml:space="preserve"> </w:t>
            </w:r>
            <w:r>
              <w:rPr>
                <w:b/>
                <w:bCs/>
                <w:spacing w:val="-5"/>
                <w:sz w:val="16"/>
                <w:szCs w:val="16"/>
              </w:rPr>
              <w:t>7.比例</w:t>
            </w:r>
            <w:r>
              <w:rPr>
                <w:spacing w:val="2"/>
                <w:sz w:val="16"/>
                <w:szCs w:val="16"/>
              </w:rPr>
              <w:t xml:space="preserve"> </w:t>
            </w:r>
            <w:r>
              <w:rPr>
                <w:b/>
                <w:bCs/>
                <w:spacing w:val="-2"/>
                <w:sz w:val="16"/>
                <w:szCs w:val="16"/>
              </w:rPr>
              <w:t>8.统一</w:t>
            </w:r>
          </w:p>
        </w:tc>
        <w:tc>
          <w:tcPr>
            <w:tcW w:w="230" w:type="dxa"/>
            <w:tcBorders>
              <w:top w:val="single" w:color="000000" w:sz="2" w:space="0"/>
              <w:bottom w:val="single" w:color="000000" w:sz="2" w:space="0"/>
            </w:tcBorders>
            <w:vAlign w:val="top"/>
          </w:tcPr>
          <w:p w14:paraId="4DA375E0">
            <w:pPr>
              <w:rPr>
                <w:rFonts w:ascii="Arial"/>
                <w:sz w:val="21"/>
              </w:rPr>
            </w:pPr>
          </w:p>
        </w:tc>
        <w:tc>
          <w:tcPr>
            <w:tcW w:w="220" w:type="dxa"/>
            <w:tcBorders>
              <w:top w:val="single" w:color="000000" w:sz="2" w:space="0"/>
              <w:bottom w:val="single" w:color="000000" w:sz="2" w:space="0"/>
            </w:tcBorders>
            <w:vAlign w:val="top"/>
          </w:tcPr>
          <w:p w14:paraId="39A39C4B">
            <w:pPr>
              <w:rPr>
                <w:rFonts w:ascii="Arial"/>
                <w:sz w:val="21"/>
              </w:rPr>
            </w:pPr>
          </w:p>
        </w:tc>
        <w:tc>
          <w:tcPr>
            <w:tcW w:w="229" w:type="dxa"/>
            <w:tcBorders>
              <w:top w:val="single" w:color="000000" w:sz="2" w:space="0"/>
              <w:bottom w:val="single" w:color="000000" w:sz="2" w:space="0"/>
            </w:tcBorders>
            <w:vAlign w:val="top"/>
          </w:tcPr>
          <w:p w14:paraId="17559220">
            <w:pPr>
              <w:rPr>
                <w:rFonts w:ascii="Arial"/>
                <w:sz w:val="21"/>
              </w:rPr>
            </w:pPr>
          </w:p>
        </w:tc>
        <w:tc>
          <w:tcPr>
            <w:tcW w:w="234" w:type="dxa"/>
            <w:tcBorders>
              <w:top w:val="single" w:color="000000" w:sz="2" w:space="0"/>
              <w:bottom w:val="single" w:color="000000" w:sz="2" w:space="0"/>
            </w:tcBorders>
            <w:vAlign w:val="top"/>
          </w:tcPr>
          <w:p w14:paraId="6F275522">
            <w:pPr>
              <w:rPr>
                <w:rFonts w:ascii="Arial"/>
                <w:sz w:val="21"/>
              </w:rPr>
            </w:pPr>
          </w:p>
        </w:tc>
      </w:tr>
    </w:tbl>
    <w:p w14:paraId="29172782">
      <w:pPr>
        <w:pStyle w:val="2"/>
        <w:spacing w:line="14" w:lineRule="auto"/>
        <w:rPr>
          <w:sz w:val="2"/>
        </w:rPr>
      </w:pPr>
    </w:p>
    <w:p w14:paraId="11E38C33">
      <w:pPr>
        <w:spacing w:line="14" w:lineRule="auto"/>
        <w:rPr>
          <w:sz w:val="2"/>
          <w:szCs w:val="2"/>
        </w:rPr>
        <w:sectPr>
          <w:type w:val="continuous"/>
          <w:pgSz w:w="10660" w:h="15080"/>
          <w:pgMar w:top="400" w:right="1024" w:bottom="925" w:left="819" w:header="0" w:footer="705" w:gutter="0"/>
          <w:cols w:equalWidth="0" w:num="2">
            <w:col w:w="4566" w:space="100"/>
            <w:col w:w="4151"/>
          </w:cols>
        </w:sectPr>
      </w:pPr>
    </w:p>
    <w:p w14:paraId="14108E55">
      <w:pPr>
        <w:spacing w:before="78"/>
      </w:pPr>
    </w:p>
    <w:p w14:paraId="2EF2E4C5">
      <w:pPr>
        <w:spacing w:before="78"/>
      </w:pPr>
    </w:p>
    <w:p w14:paraId="49C5B8A7">
      <w:pPr>
        <w:spacing w:before="77"/>
      </w:pPr>
    </w:p>
    <w:p w14:paraId="334F677A">
      <w:pPr>
        <w:sectPr>
          <w:footerReference r:id="rId79" w:type="default"/>
          <w:pgSz w:w="10660" w:h="15080"/>
          <w:pgMar w:top="400" w:right="885" w:bottom="925" w:left="1024" w:header="0" w:footer="705" w:gutter="0"/>
          <w:cols w:equalWidth="0" w:num="1">
            <w:col w:w="8750"/>
          </w:cols>
        </w:sectPr>
      </w:pPr>
    </w:p>
    <w:p w14:paraId="0D6FC68D">
      <w:pPr>
        <w:spacing w:before="55" w:line="221" w:lineRule="auto"/>
        <w:ind w:left="347"/>
        <w:rPr>
          <w:rFonts w:ascii="黑体" w:hAnsi="黑体" w:eastAsia="黑体" w:cs="黑体"/>
          <w:sz w:val="17"/>
          <w:szCs w:val="17"/>
        </w:rPr>
      </w:pPr>
      <w:bookmarkStart w:id="46" w:name="bookmark38"/>
      <w:bookmarkEnd w:id="46"/>
      <w:r>
        <w:rPr>
          <w:rFonts w:ascii="黑体" w:hAnsi="黑体" w:eastAsia="黑体" w:cs="黑体"/>
          <w:b/>
          <w:bCs/>
          <w:spacing w:val="-2"/>
          <w:sz w:val="17"/>
          <w:szCs w:val="17"/>
        </w:rPr>
        <w:t>5.字体的编排与设计</w:t>
      </w:r>
    </w:p>
    <w:p w14:paraId="4582F106">
      <w:pPr>
        <w:spacing w:line="98" w:lineRule="exact"/>
      </w:pPr>
    </w:p>
    <w:tbl>
      <w:tblPr>
        <w:tblStyle w:val="5"/>
        <w:tblW w:w="414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43"/>
        <w:gridCol w:w="2484"/>
        <w:gridCol w:w="220"/>
        <w:gridCol w:w="230"/>
        <w:gridCol w:w="229"/>
        <w:gridCol w:w="234"/>
      </w:tblGrid>
      <w:tr w14:paraId="071E07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4" w:hRule="atLeast"/>
        </w:trPr>
        <w:tc>
          <w:tcPr>
            <w:tcW w:w="743" w:type="dxa"/>
            <w:vMerge w:val="restart"/>
            <w:tcBorders>
              <w:bottom w:val="nil"/>
            </w:tcBorders>
            <w:vAlign w:val="top"/>
          </w:tcPr>
          <w:p w14:paraId="5FA63BF8">
            <w:pPr>
              <w:pStyle w:val="6"/>
              <w:spacing w:before="30" w:line="219" w:lineRule="auto"/>
              <w:ind w:left="106" w:right="35" w:hanging="79"/>
            </w:pPr>
            <w:r>
              <w:rPr>
                <w:b/>
                <w:bCs/>
                <w:spacing w:val="-5"/>
              </w:rPr>
              <w:t>知识与技</w:t>
            </w:r>
            <w:r>
              <w:rPr>
                <w:spacing w:val="1"/>
              </w:rPr>
              <w:t xml:space="preserve"> </w:t>
            </w:r>
            <w:r>
              <w:rPr>
                <w:b/>
                <w:bCs/>
                <w:spacing w:val="1"/>
              </w:rPr>
              <w:t>能要点</w:t>
            </w:r>
          </w:p>
        </w:tc>
        <w:tc>
          <w:tcPr>
            <w:tcW w:w="2484" w:type="dxa"/>
            <w:vMerge w:val="restart"/>
            <w:tcBorders>
              <w:bottom w:val="nil"/>
            </w:tcBorders>
            <w:vAlign w:val="top"/>
          </w:tcPr>
          <w:p w14:paraId="24279DE3">
            <w:pPr>
              <w:pStyle w:val="6"/>
              <w:spacing w:before="139" w:line="219" w:lineRule="auto"/>
              <w:ind w:left="924"/>
            </w:pPr>
            <w:r>
              <w:rPr>
                <w:b/>
                <w:bCs/>
                <w:spacing w:val="5"/>
              </w:rPr>
              <w:t>考试条目</w:t>
            </w:r>
          </w:p>
        </w:tc>
        <w:tc>
          <w:tcPr>
            <w:tcW w:w="913" w:type="dxa"/>
            <w:gridSpan w:val="4"/>
            <w:vAlign w:val="top"/>
          </w:tcPr>
          <w:p w14:paraId="3CE18412">
            <w:pPr>
              <w:pStyle w:val="6"/>
              <w:spacing w:before="29" w:line="211" w:lineRule="auto"/>
              <w:ind w:left="130"/>
            </w:pPr>
            <w:r>
              <w:rPr>
                <w:b/>
                <w:bCs/>
                <w:spacing w:val="-4"/>
              </w:rPr>
              <w:t>考试水平</w:t>
            </w:r>
          </w:p>
        </w:tc>
      </w:tr>
      <w:tr w14:paraId="605CD6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0" w:hRule="atLeast"/>
        </w:trPr>
        <w:tc>
          <w:tcPr>
            <w:tcW w:w="743" w:type="dxa"/>
            <w:vMerge w:val="continue"/>
            <w:tcBorders>
              <w:top w:val="nil"/>
            </w:tcBorders>
            <w:vAlign w:val="top"/>
          </w:tcPr>
          <w:p w14:paraId="3E68A589">
            <w:pPr>
              <w:rPr>
                <w:rFonts w:ascii="Arial"/>
                <w:sz w:val="21"/>
              </w:rPr>
            </w:pPr>
          </w:p>
        </w:tc>
        <w:tc>
          <w:tcPr>
            <w:tcW w:w="2484" w:type="dxa"/>
            <w:vMerge w:val="continue"/>
            <w:tcBorders>
              <w:top w:val="nil"/>
            </w:tcBorders>
            <w:vAlign w:val="top"/>
          </w:tcPr>
          <w:p w14:paraId="003E2238">
            <w:pPr>
              <w:rPr>
                <w:rFonts w:ascii="Arial"/>
                <w:sz w:val="21"/>
              </w:rPr>
            </w:pPr>
          </w:p>
        </w:tc>
        <w:tc>
          <w:tcPr>
            <w:tcW w:w="220" w:type="dxa"/>
            <w:vAlign w:val="top"/>
          </w:tcPr>
          <w:p w14:paraId="27098FF7">
            <w:pPr>
              <w:pStyle w:val="6"/>
              <w:spacing w:before="60" w:line="130" w:lineRule="exact"/>
              <w:ind w:left="20"/>
            </w:pPr>
            <w:r>
              <w:rPr>
                <w:b/>
                <w:bCs/>
                <w:spacing w:val="-2"/>
                <w:position w:val="-2"/>
              </w:rPr>
              <w:t>A</w:t>
            </w:r>
          </w:p>
        </w:tc>
        <w:tc>
          <w:tcPr>
            <w:tcW w:w="230" w:type="dxa"/>
            <w:vAlign w:val="top"/>
          </w:tcPr>
          <w:p w14:paraId="6F807491">
            <w:pPr>
              <w:pStyle w:val="6"/>
              <w:spacing w:before="62" w:line="128" w:lineRule="exact"/>
              <w:ind w:left="50"/>
            </w:pPr>
            <w:r>
              <w:rPr>
                <w:b/>
                <w:bCs/>
                <w:spacing w:val="-2"/>
                <w:position w:val="-2"/>
              </w:rPr>
              <w:t>B</w:t>
            </w:r>
          </w:p>
        </w:tc>
        <w:tc>
          <w:tcPr>
            <w:tcW w:w="229" w:type="dxa"/>
            <w:vAlign w:val="top"/>
          </w:tcPr>
          <w:p w14:paraId="506BD8BC">
            <w:pPr>
              <w:pStyle w:val="6"/>
              <w:spacing w:before="61" w:line="128" w:lineRule="exact"/>
              <w:ind w:left="17"/>
            </w:pPr>
            <w:r>
              <w:rPr>
                <w:position w:val="-2"/>
              </w:rPr>
              <w:t>C</w:t>
            </w:r>
          </w:p>
        </w:tc>
        <w:tc>
          <w:tcPr>
            <w:tcW w:w="234" w:type="dxa"/>
            <w:vAlign w:val="top"/>
          </w:tcPr>
          <w:p w14:paraId="2BFA5249">
            <w:pPr>
              <w:pStyle w:val="6"/>
              <w:spacing w:before="62" w:line="128" w:lineRule="exact"/>
              <w:ind w:left="21"/>
            </w:pPr>
            <w:r>
              <w:rPr>
                <w:b/>
                <w:bCs/>
                <w:spacing w:val="-2"/>
                <w:position w:val="-2"/>
              </w:rPr>
              <w:t>D</w:t>
            </w:r>
          </w:p>
        </w:tc>
      </w:tr>
      <w:tr w14:paraId="5D7EBC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27" w:hRule="atLeast"/>
        </w:trPr>
        <w:tc>
          <w:tcPr>
            <w:tcW w:w="743" w:type="dxa"/>
            <w:vAlign w:val="top"/>
          </w:tcPr>
          <w:p w14:paraId="5B1CF4D0">
            <w:pPr>
              <w:spacing w:line="320" w:lineRule="auto"/>
              <w:rPr>
                <w:rFonts w:ascii="Arial"/>
                <w:sz w:val="21"/>
              </w:rPr>
            </w:pPr>
          </w:p>
          <w:p w14:paraId="023CBB07">
            <w:pPr>
              <w:pStyle w:val="6"/>
              <w:spacing w:before="56" w:line="219" w:lineRule="auto"/>
              <w:ind w:left="194"/>
            </w:pPr>
            <w:r>
              <w:rPr>
                <w:spacing w:val="-2"/>
              </w:rPr>
              <w:t>文字</w:t>
            </w:r>
          </w:p>
        </w:tc>
        <w:tc>
          <w:tcPr>
            <w:tcW w:w="2484" w:type="dxa"/>
            <w:vAlign w:val="top"/>
          </w:tcPr>
          <w:p w14:paraId="0985A93B">
            <w:pPr>
              <w:pStyle w:val="6"/>
              <w:spacing w:before="47" w:line="224" w:lineRule="auto"/>
              <w:ind w:left="12" w:right="1265"/>
            </w:pPr>
            <w:r>
              <w:t>1.文字的正确性</w:t>
            </w:r>
            <w:r>
              <w:rPr>
                <w:spacing w:val="5"/>
              </w:rPr>
              <w:t xml:space="preserve"> </w:t>
            </w:r>
            <w:r>
              <w:t>2.风格的统一</w:t>
            </w:r>
          </w:p>
          <w:p w14:paraId="1A495778">
            <w:pPr>
              <w:pStyle w:val="6"/>
              <w:spacing w:before="17" w:line="237" w:lineRule="auto"/>
              <w:ind w:left="12" w:right="937"/>
            </w:pPr>
            <w:r>
              <w:rPr>
                <w:spacing w:val="-2"/>
              </w:rPr>
              <w:t>3.文字内容的精神性</w:t>
            </w:r>
            <w:r>
              <w:rPr>
                <w:spacing w:val="8"/>
              </w:rPr>
              <w:t xml:space="preserve"> </w:t>
            </w:r>
            <w:r>
              <w:rPr>
                <w:spacing w:val="-1"/>
              </w:rPr>
              <w:t>4.文字的间隔与编排</w:t>
            </w:r>
          </w:p>
        </w:tc>
        <w:tc>
          <w:tcPr>
            <w:tcW w:w="220" w:type="dxa"/>
            <w:vAlign w:val="top"/>
          </w:tcPr>
          <w:p w14:paraId="0ECC5113">
            <w:pPr>
              <w:rPr>
                <w:rFonts w:ascii="Arial"/>
                <w:sz w:val="21"/>
              </w:rPr>
            </w:pPr>
          </w:p>
        </w:tc>
        <w:tc>
          <w:tcPr>
            <w:tcW w:w="230" w:type="dxa"/>
            <w:vAlign w:val="top"/>
          </w:tcPr>
          <w:p w14:paraId="3FD0C7C0">
            <w:pPr>
              <w:rPr>
                <w:rFonts w:ascii="Arial"/>
                <w:sz w:val="21"/>
              </w:rPr>
            </w:pPr>
          </w:p>
        </w:tc>
        <w:tc>
          <w:tcPr>
            <w:tcW w:w="229" w:type="dxa"/>
            <w:vAlign w:val="top"/>
          </w:tcPr>
          <w:p w14:paraId="127DFACD">
            <w:pPr>
              <w:rPr>
                <w:rFonts w:ascii="Arial"/>
                <w:sz w:val="21"/>
              </w:rPr>
            </w:pPr>
          </w:p>
        </w:tc>
        <w:tc>
          <w:tcPr>
            <w:tcW w:w="234" w:type="dxa"/>
            <w:vAlign w:val="top"/>
          </w:tcPr>
          <w:p w14:paraId="77FD2F73">
            <w:pPr>
              <w:rPr>
                <w:rFonts w:ascii="Arial"/>
                <w:sz w:val="21"/>
              </w:rPr>
            </w:pPr>
          </w:p>
        </w:tc>
      </w:tr>
      <w:tr w14:paraId="5E328B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56" w:hRule="atLeast"/>
        </w:trPr>
        <w:tc>
          <w:tcPr>
            <w:tcW w:w="743" w:type="dxa"/>
            <w:vAlign w:val="top"/>
          </w:tcPr>
          <w:p w14:paraId="41FADEE1">
            <w:pPr>
              <w:spacing w:line="312" w:lineRule="auto"/>
              <w:rPr>
                <w:rFonts w:ascii="Arial"/>
                <w:sz w:val="21"/>
              </w:rPr>
            </w:pPr>
          </w:p>
          <w:p w14:paraId="40144B8F">
            <w:pPr>
              <w:pStyle w:val="6"/>
              <w:spacing w:before="55" w:line="219" w:lineRule="auto"/>
              <w:ind w:left="25"/>
            </w:pPr>
            <w:r>
              <w:rPr>
                <w:spacing w:val="-2"/>
              </w:rPr>
              <w:t>书法表现</w:t>
            </w:r>
          </w:p>
          <w:p w14:paraId="651241D6">
            <w:pPr>
              <w:pStyle w:val="6"/>
              <w:spacing w:before="19" w:line="219" w:lineRule="auto"/>
              <w:ind w:left="25"/>
            </w:pPr>
            <w:r>
              <w:rPr>
                <w:spacing w:val="3"/>
              </w:rPr>
              <w:t>的文字与</w:t>
            </w:r>
          </w:p>
          <w:p w14:paraId="163BC987">
            <w:pPr>
              <w:pStyle w:val="6"/>
              <w:spacing w:before="29" w:line="221" w:lineRule="auto"/>
              <w:ind w:left="194"/>
            </w:pPr>
            <w:r>
              <w:rPr>
                <w:spacing w:val="-3"/>
              </w:rPr>
              <w:t>设计</w:t>
            </w:r>
          </w:p>
        </w:tc>
        <w:tc>
          <w:tcPr>
            <w:tcW w:w="2484" w:type="dxa"/>
            <w:vAlign w:val="top"/>
          </w:tcPr>
          <w:p w14:paraId="2DC400F5">
            <w:pPr>
              <w:pStyle w:val="6"/>
              <w:spacing w:before="72" w:line="224" w:lineRule="auto"/>
              <w:ind w:left="12" w:right="1940"/>
              <w:jc w:val="both"/>
            </w:pPr>
            <w:r>
              <w:rPr>
                <w:spacing w:val="2"/>
              </w:rPr>
              <w:t>1.古文</w:t>
            </w:r>
            <w:r>
              <w:t xml:space="preserve"> </w:t>
            </w:r>
            <w:r>
              <w:rPr>
                <w:spacing w:val="-3"/>
              </w:rPr>
              <w:t>2.篆书</w:t>
            </w:r>
            <w:r>
              <w:rPr>
                <w:spacing w:val="2"/>
              </w:rPr>
              <w:t xml:space="preserve"> 3.隶书</w:t>
            </w:r>
          </w:p>
          <w:p w14:paraId="72DE7D50">
            <w:pPr>
              <w:pStyle w:val="6"/>
              <w:spacing w:before="38" w:line="229" w:lineRule="auto"/>
              <w:ind w:left="12" w:right="1184"/>
            </w:pPr>
            <w:r>
              <w:rPr>
                <w:spacing w:val="20"/>
              </w:rPr>
              <w:t>4</w:t>
            </w:r>
            <w:r>
              <w:rPr>
                <w:spacing w:val="-37"/>
              </w:rPr>
              <w:t xml:space="preserve"> </w:t>
            </w:r>
            <w:r>
              <w:rPr>
                <w:spacing w:val="20"/>
              </w:rPr>
              <w:t>.</w:t>
            </w:r>
            <w:r>
              <w:rPr>
                <w:spacing w:val="-37"/>
              </w:rPr>
              <w:t xml:space="preserve"> </w:t>
            </w:r>
            <w:r>
              <w:rPr>
                <w:spacing w:val="20"/>
              </w:rPr>
              <w:t>正书(楷书)</w:t>
            </w:r>
            <w:r>
              <w:t xml:space="preserve"> </w:t>
            </w:r>
            <w:r>
              <w:rPr>
                <w:spacing w:val="3"/>
              </w:rPr>
              <w:t>5.行书</w:t>
            </w:r>
          </w:p>
          <w:p w14:paraId="74C40ABB">
            <w:pPr>
              <w:pStyle w:val="6"/>
              <w:spacing w:before="18" w:line="191" w:lineRule="auto"/>
              <w:ind w:left="12"/>
            </w:pPr>
            <w:r>
              <w:rPr>
                <w:spacing w:val="-2"/>
              </w:rPr>
              <w:t>6.草书</w:t>
            </w:r>
          </w:p>
        </w:tc>
        <w:tc>
          <w:tcPr>
            <w:tcW w:w="220" w:type="dxa"/>
            <w:vAlign w:val="top"/>
          </w:tcPr>
          <w:p w14:paraId="7C4D71B6">
            <w:pPr>
              <w:rPr>
                <w:rFonts w:ascii="Arial"/>
                <w:sz w:val="21"/>
              </w:rPr>
            </w:pPr>
          </w:p>
        </w:tc>
        <w:tc>
          <w:tcPr>
            <w:tcW w:w="230" w:type="dxa"/>
            <w:vAlign w:val="top"/>
          </w:tcPr>
          <w:p w14:paraId="6DF35403">
            <w:pPr>
              <w:rPr>
                <w:rFonts w:ascii="Arial"/>
                <w:sz w:val="21"/>
              </w:rPr>
            </w:pPr>
          </w:p>
        </w:tc>
        <w:tc>
          <w:tcPr>
            <w:tcW w:w="229" w:type="dxa"/>
            <w:vAlign w:val="top"/>
          </w:tcPr>
          <w:p w14:paraId="4E4E0B44">
            <w:pPr>
              <w:rPr>
                <w:rFonts w:ascii="Arial"/>
                <w:sz w:val="21"/>
              </w:rPr>
            </w:pPr>
          </w:p>
        </w:tc>
        <w:tc>
          <w:tcPr>
            <w:tcW w:w="234" w:type="dxa"/>
            <w:vAlign w:val="top"/>
          </w:tcPr>
          <w:p w14:paraId="107C1B6A">
            <w:pPr>
              <w:rPr>
                <w:rFonts w:ascii="Arial"/>
                <w:sz w:val="21"/>
              </w:rPr>
            </w:pPr>
          </w:p>
        </w:tc>
      </w:tr>
      <w:tr w14:paraId="5A8054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12" w:hRule="atLeast"/>
        </w:trPr>
        <w:tc>
          <w:tcPr>
            <w:tcW w:w="743" w:type="dxa"/>
            <w:vAlign w:val="top"/>
          </w:tcPr>
          <w:p w14:paraId="63524593">
            <w:pPr>
              <w:pStyle w:val="6"/>
              <w:spacing w:before="146" w:line="237" w:lineRule="auto"/>
              <w:ind w:left="25" w:right="35"/>
              <w:jc w:val="both"/>
            </w:pPr>
            <w:r>
              <w:rPr>
                <w:spacing w:val="-2"/>
              </w:rPr>
              <w:t>汉字、拉</w:t>
            </w:r>
            <w:r>
              <w:t xml:space="preserve"> </w:t>
            </w:r>
            <w:r>
              <w:rPr>
                <w:spacing w:val="-3"/>
              </w:rPr>
              <w:t>丁字母表</w:t>
            </w:r>
            <w:r>
              <w:rPr>
                <w:spacing w:val="1"/>
              </w:rPr>
              <w:t xml:space="preserve"> </w:t>
            </w:r>
            <w:r>
              <w:rPr>
                <w:spacing w:val="-2"/>
              </w:rPr>
              <w:t>现的文字</w:t>
            </w:r>
            <w:r>
              <w:t xml:space="preserve"> </w:t>
            </w:r>
            <w:r>
              <w:rPr>
                <w:spacing w:val="23"/>
              </w:rPr>
              <w:t>与设计</w:t>
            </w:r>
          </w:p>
        </w:tc>
        <w:tc>
          <w:tcPr>
            <w:tcW w:w="2484" w:type="dxa"/>
            <w:vAlign w:val="top"/>
          </w:tcPr>
          <w:p w14:paraId="6C45E683">
            <w:pPr>
              <w:pStyle w:val="6"/>
              <w:spacing w:before="24" w:line="234" w:lineRule="auto"/>
              <w:ind w:left="12" w:right="1774"/>
              <w:jc w:val="both"/>
            </w:pPr>
            <w:r>
              <w:rPr>
                <w:spacing w:val="1"/>
              </w:rPr>
              <w:t xml:space="preserve">1.等线体 </w:t>
            </w:r>
            <w:r>
              <w:rPr>
                <w:spacing w:val="-2"/>
              </w:rPr>
              <w:t>2.书写体</w:t>
            </w:r>
            <w:r>
              <w:t xml:space="preserve"> </w:t>
            </w:r>
            <w:r>
              <w:rPr>
                <w:spacing w:val="-3"/>
              </w:rPr>
              <w:t>3.变化体</w:t>
            </w:r>
            <w:r>
              <w:rPr>
                <w:spacing w:val="3"/>
              </w:rPr>
              <w:t xml:space="preserve"> </w:t>
            </w:r>
            <w:r>
              <w:rPr>
                <w:spacing w:val="-2"/>
              </w:rPr>
              <w:t>4.光学体</w:t>
            </w:r>
            <w:r>
              <w:rPr>
                <w:spacing w:val="3"/>
              </w:rPr>
              <w:t xml:space="preserve"> </w:t>
            </w:r>
            <w:r>
              <w:rPr>
                <w:spacing w:val="-3"/>
              </w:rPr>
              <w:t>5.宋体</w:t>
            </w:r>
          </w:p>
        </w:tc>
        <w:tc>
          <w:tcPr>
            <w:tcW w:w="220" w:type="dxa"/>
            <w:vAlign w:val="top"/>
          </w:tcPr>
          <w:p w14:paraId="5739126C">
            <w:pPr>
              <w:rPr>
                <w:rFonts w:ascii="Arial"/>
                <w:sz w:val="21"/>
              </w:rPr>
            </w:pPr>
          </w:p>
        </w:tc>
        <w:tc>
          <w:tcPr>
            <w:tcW w:w="230" w:type="dxa"/>
            <w:vAlign w:val="top"/>
          </w:tcPr>
          <w:p w14:paraId="0042145C">
            <w:pPr>
              <w:spacing w:before="104" w:line="955" w:lineRule="exact"/>
              <w:ind w:firstLine="42"/>
            </w:pPr>
            <w:r>
              <w:rPr>
                <w:position w:val="-19"/>
              </w:rPr>
              <w:drawing>
                <wp:inline distT="0" distB="0" distL="0" distR="0">
                  <wp:extent cx="95250" cy="606425"/>
                  <wp:effectExtent l="0" t="0" r="0" b="0"/>
                  <wp:docPr id="368" name="IM 368"/>
                  <wp:cNvGraphicFramePr/>
                  <a:graphic xmlns:a="http://schemas.openxmlformats.org/drawingml/2006/main">
                    <a:graphicData uri="http://schemas.openxmlformats.org/drawingml/2006/picture">
                      <pic:pic xmlns:pic="http://schemas.openxmlformats.org/drawingml/2006/picture">
                        <pic:nvPicPr>
                          <pic:cNvPr id="368" name="IM 368"/>
                          <pic:cNvPicPr/>
                        </pic:nvPicPr>
                        <pic:blipFill>
                          <a:blip r:embed="rId348"/>
                          <a:stretch>
                            <a:fillRect/>
                          </a:stretch>
                        </pic:blipFill>
                        <pic:spPr>
                          <a:xfrm>
                            <a:off x="0" y="0"/>
                            <a:ext cx="95627" cy="606772"/>
                          </a:xfrm>
                          <a:prstGeom prst="rect">
                            <a:avLst/>
                          </a:prstGeom>
                        </pic:spPr>
                      </pic:pic>
                    </a:graphicData>
                  </a:graphic>
                </wp:inline>
              </w:drawing>
            </w:r>
          </w:p>
        </w:tc>
        <w:tc>
          <w:tcPr>
            <w:tcW w:w="229" w:type="dxa"/>
            <w:vAlign w:val="top"/>
          </w:tcPr>
          <w:p w14:paraId="309447F4">
            <w:pPr>
              <w:rPr>
                <w:rFonts w:ascii="Arial"/>
                <w:sz w:val="21"/>
              </w:rPr>
            </w:pPr>
          </w:p>
        </w:tc>
        <w:tc>
          <w:tcPr>
            <w:tcW w:w="234" w:type="dxa"/>
            <w:vAlign w:val="top"/>
          </w:tcPr>
          <w:p w14:paraId="74201243">
            <w:pPr>
              <w:rPr>
                <w:rFonts w:ascii="Arial"/>
                <w:sz w:val="21"/>
              </w:rPr>
            </w:pPr>
          </w:p>
        </w:tc>
      </w:tr>
    </w:tbl>
    <w:p w14:paraId="006B1E25">
      <w:pPr>
        <w:spacing w:before="130" w:line="218" w:lineRule="auto"/>
        <w:ind w:left="345"/>
        <w:rPr>
          <w:rFonts w:ascii="宋体" w:hAnsi="宋体" w:eastAsia="宋体" w:cs="宋体"/>
          <w:sz w:val="17"/>
          <w:szCs w:val="17"/>
        </w:rPr>
      </w:pPr>
      <w:r>
        <w:rPr>
          <w:rFonts w:ascii="宋体" w:hAnsi="宋体" w:eastAsia="宋体" w:cs="宋体"/>
          <w:spacing w:val="-2"/>
          <w:sz w:val="17"/>
          <w:szCs w:val="17"/>
        </w:rPr>
        <w:t>6.广告设计</w:t>
      </w:r>
    </w:p>
    <w:p w14:paraId="76D8A6B0">
      <w:pPr>
        <w:spacing w:line="128" w:lineRule="exact"/>
      </w:pPr>
    </w:p>
    <w:tbl>
      <w:tblPr>
        <w:tblStyle w:val="5"/>
        <w:tblW w:w="414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43"/>
        <w:gridCol w:w="2484"/>
        <w:gridCol w:w="220"/>
        <w:gridCol w:w="230"/>
        <w:gridCol w:w="229"/>
        <w:gridCol w:w="234"/>
      </w:tblGrid>
      <w:tr w14:paraId="314D3B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5" w:hRule="atLeast"/>
        </w:trPr>
        <w:tc>
          <w:tcPr>
            <w:tcW w:w="743" w:type="dxa"/>
            <w:vMerge w:val="restart"/>
            <w:tcBorders>
              <w:bottom w:val="nil"/>
            </w:tcBorders>
            <w:vAlign w:val="top"/>
          </w:tcPr>
          <w:p w14:paraId="3B6DE17A">
            <w:pPr>
              <w:pStyle w:val="6"/>
              <w:spacing w:before="20" w:line="219" w:lineRule="auto"/>
              <w:ind w:left="106" w:right="35" w:hanging="79"/>
            </w:pPr>
            <w:r>
              <w:rPr>
                <w:b/>
                <w:bCs/>
                <w:spacing w:val="-5"/>
              </w:rPr>
              <w:t>知识与技</w:t>
            </w:r>
            <w:r>
              <w:rPr>
                <w:spacing w:val="1"/>
              </w:rPr>
              <w:t xml:space="preserve"> </w:t>
            </w:r>
            <w:r>
              <w:rPr>
                <w:b/>
                <w:bCs/>
                <w:spacing w:val="1"/>
              </w:rPr>
              <w:t>能要点</w:t>
            </w:r>
          </w:p>
        </w:tc>
        <w:tc>
          <w:tcPr>
            <w:tcW w:w="2484" w:type="dxa"/>
            <w:vMerge w:val="restart"/>
            <w:tcBorders>
              <w:bottom w:val="nil"/>
            </w:tcBorders>
            <w:vAlign w:val="top"/>
          </w:tcPr>
          <w:p w14:paraId="6925139E">
            <w:pPr>
              <w:pStyle w:val="6"/>
              <w:spacing w:before="139" w:line="219" w:lineRule="auto"/>
              <w:ind w:left="924"/>
            </w:pPr>
            <w:r>
              <w:rPr>
                <w:b/>
                <w:bCs/>
                <w:spacing w:val="5"/>
              </w:rPr>
              <w:t>考试条目</w:t>
            </w:r>
          </w:p>
        </w:tc>
        <w:tc>
          <w:tcPr>
            <w:tcW w:w="913" w:type="dxa"/>
            <w:gridSpan w:val="4"/>
            <w:vAlign w:val="top"/>
          </w:tcPr>
          <w:p w14:paraId="5F7B6B44">
            <w:pPr>
              <w:pStyle w:val="6"/>
              <w:spacing w:before="29" w:line="212" w:lineRule="auto"/>
              <w:ind w:left="140"/>
            </w:pPr>
            <w:r>
              <w:rPr>
                <w:b/>
                <w:bCs/>
                <w:spacing w:val="-4"/>
              </w:rPr>
              <w:t>考试水平</w:t>
            </w:r>
          </w:p>
        </w:tc>
      </w:tr>
      <w:tr w14:paraId="409952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99" w:hRule="atLeast"/>
        </w:trPr>
        <w:tc>
          <w:tcPr>
            <w:tcW w:w="743" w:type="dxa"/>
            <w:vMerge w:val="continue"/>
            <w:tcBorders>
              <w:top w:val="nil"/>
            </w:tcBorders>
            <w:vAlign w:val="top"/>
          </w:tcPr>
          <w:p w14:paraId="330E74AC">
            <w:pPr>
              <w:rPr>
                <w:rFonts w:ascii="Arial"/>
                <w:sz w:val="21"/>
              </w:rPr>
            </w:pPr>
          </w:p>
        </w:tc>
        <w:tc>
          <w:tcPr>
            <w:tcW w:w="2484" w:type="dxa"/>
            <w:vMerge w:val="continue"/>
            <w:tcBorders>
              <w:top w:val="nil"/>
            </w:tcBorders>
            <w:vAlign w:val="top"/>
          </w:tcPr>
          <w:p w14:paraId="5CB4061D">
            <w:pPr>
              <w:rPr>
                <w:rFonts w:ascii="Arial"/>
                <w:sz w:val="21"/>
              </w:rPr>
            </w:pPr>
          </w:p>
        </w:tc>
        <w:tc>
          <w:tcPr>
            <w:tcW w:w="220" w:type="dxa"/>
            <w:vAlign w:val="top"/>
          </w:tcPr>
          <w:p w14:paraId="0418F2F8">
            <w:pPr>
              <w:pStyle w:val="6"/>
              <w:spacing w:before="59" w:line="130" w:lineRule="exact"/>
              <w:ind w:left="20"/>
            </w:pPr>
            <w:r>
              <w:rPr>
                <w:b/>
                <w:bCs/>
                <w:spacing w:val="-2"/>
                <w:position w:val="-2"/>
              </w:rPr>
              <w:t>A</w:t>
            </w:r>
          </w:p>
        </w:tc>
        <w:tc>
          <w:tcPr>
            <w:tcW w:w="230" w:type="dxa"/>
            <w:vAlign w:val="top"/>
          </w:tcPr>
          <w:p w14:paraId="0AAC518D">
            <w:pPr>
              <w:pStyle w:val="6"/>
              <w:spacing w:before="61" w:line="128" w:lineRule="exact"/>
              <w:ind w:left="30"/>
            </w:pPr>
            <w:r>
              <w:rPr>
                <w:b/>
                <w:bCs/>
                <w:spacing w:val="-2"/>
                <w:position w:val="-2"/>
              </w:rPr>
              <w:t>B</w:t>
            </w:r>
          </w:p>
        </w:tc>
        <w:tc>
          <w:tcPr>
            <w:tcW w:w="229" w:type="dxa"/>
            <w:vAlign w:val="top"/>
          </w:tcPr>
          <w:p w14:paraId="1659065C">
            <w:pPr>
              <w:pStyle w:val="6"/>
              <w:spacing w:before="60" w:line="129" w:lineRule="exact"/>
              <w:ind w:left="17"/>
            </w:pPr>
            <w:r>
              <w:rPr>
                <w:position w:val="-2"/>
              </w:rPr>
              <w:t>C</w:t>
            </w:r>
          </w:p>
        </w:tc>
        <w:tc>
          <w:tcPr>
            <w:tcW w:w="234" w:type="dxa"/>
            <w:vAlign w:val="top"/>
          </w:tcPr>
          <w:p w14:paraId="751B4FD0">
            <w:pPr>
              <w:pStyle w:val="6"/>
              <w:spacing w:before="61" w:line="128" w:lineRule="exact"/>
              <w:ind w:left="21"/>
            </w:pPr>
            <w:r>
              <w:rPr>
                <w:b/>
                <w:bCs/>
                <w:spacing w:val="-2"/>
                <w:position w:val="-2"/>
              </w:rPr>
              <w:t>D</w:t>
            </w:r>
          </w:p>
        </w:tc>
      </w:tr>
      <w:tr w14:paraId="61D0DF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78" w:hRule="atLeast"/>
        </w:trPr>
        <w:tc>
          <w:tcPr>
            <w:tcW w:w="743" w:type="dxa"/>
            <w:vAlign w:val="top"/>
          </w:tcPr>
          <w:p w14:paraId="2CE89A57">
            <w:pPr>
              <w:spacing w:line="299" w:lineRule="auto"/>
              <w:rPr>
                <w:rFonts w:ascii="Arial"/>
                <w:sz w:val="21"/>
              </w:rPr>
            </w:pPr>
          </w:p>
          <w:p w14:paraId="168A4393">
            <w:pPr>
              <w:pStyle w:val="6"/>
              <w:spacing w:before="55" w:line="218" w:lineRule="auto"/>
              <w:ind w:left="105"/>
            </w:pPr>
            <w:r>
              <w:rPr>
                <w:spacing w:val="-2"/>
              </w:rPr>
              <w:t>广告的</w:t>
            </w:r>
          </w:p>
          <w:p w14:paraId="5ED4FACE">
            <w:pPr>
              <w:pStyle w:val="6"/>
              <w:spacing w:before="31" w:line="220" w:lineRule="auto"/>
              <w:ind w:left="194"/>
            </w:pPr>
            <w:r>
              <w:rPr>
                <w:spacing w:val="-2"/>
              </w:rPr>
              <w:t>标题</w:t>
            </w:r>
          </w:p>
        </w:tc>
        <w:tc>
          <w:tcPr>
            <w:tcW w:w="2484" w:type="dxa"/>
            <w:vAlign w:val="top"/>
          </w:tcPr>
          <w:p w14:paraId="7076CB58">
            <w:pPr>
              <w:pStyle w:val="6"/>
              <w:spacing w:before="155" w:line="218" w:lineRule="auto"/>
              <w:ind w:left="12" w:right="1093"/>
            </w:pPr>
            <w:r>
              <w:t>1.广告标题的职能</w:t>
            </w:r>
            <w:r>
              <w:rPr>
                <w:spacing w:val="7"/>
              </w:rPr>
              <w:t xml:space="preserve"> </w:t>
            </w:r>
            <w:r>
              <w:rPr>
                <w:spacing w:val="-1"/>
              </w:rPr>
              <w:t>2.广告标题的分类</w:t>
            </w:r>
          </w:p>
          <w:p w14:paraId="72CEBF80">
            <w:pPr>
              <w:pStyle w:val="6"/>
              <w:spacing w:before="9" w:line="218" w:lineRule="auto"/>
              <w:ind w:left="12"/>
            </w:pPr>
            <w:r>
              <w:rPr>
                <w:spacing w:val="-1"/>
              </w:rPr>
              <w:t>3.广告标题的其他分类</w:t>
            </w:r>
          </w:p>
          <w:p w14:paraId="6022AE5C">
            <w:pPr>
              <w:pStyle w:val="6"/>
              <w:spacing w:before="29" w:line="218" w:lineRule="auto"/>
              <w:ind w:left="12"/>
            </w:pPr>
            <w:r>
              <w:rPr>
                <w:spacing w:val="-1"/>
              </w:rPr>
              <w:t>4.广告标题的应具有的特性</w:t>
            </w:r>
          </w:p>
        </w:tc>
        <w:tc>
          <w:tcPr>
            <w:tcW w:w="220" w:type="dxa"/>
            <w:vAlign w:val="top"/>
          </w:tcPr>
          <w:p w14:paraId="29105BC2">
            <w:pPr>
              <w:rPr>
                <w:rFonts w:ascii="Arial"/>
                <w:sz w:val="21"/>
              </w:rPr>
            </w:pPr>
          </w:p>
        </w:tc>
        <w:tc>
          <w:tcPr>
            <w:tcW w:w="230" w:type="dxa"/>
            <w:vAlign w:val="top"/>
          </w:tcPr>
          <w:p w14:paraId="175198A9">
            <w:pPr>
              <w:rPr>
                <w:rFonts w:ascii="Arial"/>
                <w:sz w:val="21"/>
              </w:rPr>
            </w:pPr>
          </w:p>
        </w:tc>
        <w:tc>
          <w:tcPr>
            <w:tcW w:w="229" w:type="dxa"/>
            <w:vAlign w:val="top"/>
          </w:tcPr>
          <w:p w14:paraId="69EB8575">
            <w:pPr>
              <w:rPr>
                <w:rFonts w:ascii="Arial"/>
                <w:sz w:val="21"/>
              </w:rPr>
            </w:pPr>
          </w:p>
        </w:tc>
        <w:tc>
          <w:tcPr>
            <w:tcW w:w="234" w:type="dxa"/>
            <w:vAlign w:val="top"/>
          </w:tcPr>
          <w:p w14:paraId="7E2C5A56">
            <w:pPr>
              <w:rPr>
                <w:rFonts w:ascii="Arial"/>
                <w:sz w:val="21"/>
              </w:rPr>
            </w:pPr>
          </w:p>
        </w:tc>
      </w:tr>
      <w:tr w14:paraId="66EDFD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47" w:hRule="atLeast"/>
        </w:trPr>
        <w:tc>
          <w:tcPr>
            <w:tcW w:w="743" w:type="dxa"/>
            <w:vAlign w:val="top"/>
          </w:tcPr>
          <w:p w14:paraId="333826F9">
            <w:pPr>
              <w:pStyle w:val="6"/>
              <w:spacing w:before="219" w:line="231" w:lineRule="auto"/>
              <w:ind w:left="25" w:right="14"/>
              <w:jc w:val="both"/>
            </w:pPr>
            <w:r>
              <w:rPr>
                <w:spacing w:val="-2"/>
              </w:rPr>
              <w:t>广告设计</w:t>
            </w:r>
            <w:r>
              <w:t xml:space="preserve"> </w:t>
            </w:r>
            <w:r>
              <w:rPr>
                <w:spacing w:val="3"/>
              </w:rPr>
              <w:t>的编排与</w:t>
            </w:r>
            <w:r>
              <w:t xml:space="preserve"> </w:t>
            </w:r>
            <w:r>
              <w:rPr>
                <w:spacing w:val="31"/>
              </w:rPr>
              <w:t>色彩的</w:t>
            </w:r>
          </w:p>
          <w:p w14:paraId="474C15E3">
            <w:pPr>
              <w:pStyle w:val="6"/>
              <w:spacing w:before="13" w:line="220" w:lineRule="auto"/>
              <w:ind w:left="194"/>
            </w:pPr>
            <w:r>
              <w:rPr>
                <w:spacing w:val="8"/>
              </w:rPr>
              <w:t>关系</w:t>
            </w:r>
          </w:p>
        </w:tc>
        <w:tc>
          <w:tcPr>
            <w:tcW w:w="2484" w:type="dxa"/>
            <w:vAlign w:val="top"/>
          </w:tcPr>
          <w:p w14:paraId="0F5CCB7E">
            <w:pPr>
              <w:pStyle w:val="6"/>
              <w:spacing w:before="120" w:line="232" w:lineRule="auto"/>
              <w:ind w:left="12" w:right="916"/>
            </w:pPr>
            <w:r>
              <w:rPr>
                <w:spacing w:val="1"/>
              </w:rPr>
              <w:t>1.编排的意义及目的</w:t>
            </w:r>
            <w:r>
              <w:rPr>
                <w:spacing w:val="2"/>
              </w:rPr>
              <w:t xml:space="preserve"> </w:t>
            </w:r>
            <w:r>
              <w:rPr>
                <w:spacing w:val="1"/>
              </w:rPr>
              <w:t>2.编排须注意的各点</w:t>
            </w:r>
            <w:r>
              <w:rPr>
                <w:spacing w:val="4"/>
              </w:rPr>
              <w:t xml:space="preserve"> </w:t>
            </w:r>
            <w:r>
              <w:rPr>
                <w:spacing w:val="1"/>
              </w:rPr>
              <w:t>3.编排设计的顺序</w:t>
            </w:r>
          </w:p>
          <w:p w14:paraId="04046F3F">
            <w:pPr>
              <w:pStyle w:val="6"/>
              <w:spacing w:before="7" w:line="235" w:lineRule="auto"/>
              <w:ind w:left="12" w:right="1081"/>
            </w:pPr>
            <w:r>
              <w:rPr>
                <w:spacing w:val="-1"/>
              </w:rPr>
              <w:t>4.编排的基本方法</w:t>
            </w:r>
            <w:r>
              <w:rPr>
                <w:spacing w:val="2"/>
              </w:rPr>
              <w:t xml:space="preserve"> 5.广告色彩的运用</w:t>
            </w:r>
          </w:p>
        </w:tc>
        <w:tc>
          <w:tcPr>
            <w:tcW w:w="220" w:type="dxa"/>
            <w:vAlign w:val="top"/>
          </w:tcPr>
          <w:p w14:paraId="27B5C9FF">
            <w:pPr>
              <w:rPr>
                <w:rFonts w:ascii="Arial"/>
                <w:sz w:val="21"/>
              </w:rPr>
            </w:pPr>
          </w:p>
        </w:tc>
        <w:tc>
          <w:tcPr>
            <w:tcW w:w="230" w:type="dxa"/>
            <w:vAlign w:val="top"/>
          </w:tcPr>
          <w:p w14:paraId="643E569B">
            <w:pPr>
              <w:rPr>
                <w:rFonts w:ascii="Arial"/>
                <w:sz w:val="21"/>
              </w:rPr>
            </w:pPr>
          </w:p>
        </w:tc>
        <w:tc>
          <w:tcPr>
            <w:tcW w:w="229" w:type="dxa"/>
            <w:vAlign w:val="top"/>
          </w:tcPr>
          <w:p w14:paraId="5813696C">
            <w:pPr>
              <w:rPr>
                <w:rFonts w:ascii="Arial"/>
                <w:sz w:val="21"/>
              </w:rPr>
            </w:pPr>
          </w:p>
        </w:tc>
        <w:tc>
          <w:tcPr>
            <w:tcW w:w="234" w:type="dxa"/>
            <w:vAlign w:val="top"/>
          </w:tcPr>
          <w:p w14:paraId="0DDAD53D">
            <w:pPr>
              <w:rPr>
                <w:rFonts w:ascii="Arial"/>
                <w:sz w:val="21"/>
              </w:rPr>
            </w:pPr>
          </w:p>
        </w:tc>
      </w:tr>
      <w:tr w14:paraId="325FBE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61" w:hRule="atLeast"/>
        </w:trPr>
        <w:tc>
          <w:tcPr>
            <w:tcW w:w="743" w:type="dxa"/>
            <w:vAlign w:val="top"/>
          </w:tcPr>
          <w:p w14:paraId="07572628">
            <w:pPr>
              <w:spacing w:line="272" w:lineRule="auto"/>
              <w:rPr>
                <w:rFonts w:ascii="Arial"/>
                <w:sz w:val="21"/>
              </w:rPr>
            </w:pPr>
          </w:p>
          <w:p w14:paraId="0B2AD40B">
            <w:pPr>
              <w:spacing w:line="272" w:lineRule="auto"/>
              <w:rPr>
                <w:rFonts w:ascii="Arial"/>
                <w:sz w:val="21"/>
              </w:rPr>
            </w:pPr>
          </w:p>
          <w:p w14:paraId="119AD1BC">
            <w:pPr>
              <w:pStyle w:val="6"/>
              <w:spacing w:before="56" w:line="220" w:lineRule="auto"/>
              <w:ind w:left="105"/>
            </w:pPr>
            <w:r>
              <w:rPr>
                <w:spacing w:val="4"/>
              </w:rPr>
              <w:t>商标与</w:t>
            </w:r>
          </w:p>
          <w:p w14:paraId="6206E803">
            <w:pPr>
              <w:pStyle w:val="6"/>
              <w:spacing w:before="7" w:line="221" w:lineRule="auto"/>
              <w:ind w:left="194"/>
            </w:pPr>
            <w:r>
              <w:rPr>
                <w:spacing w:val="10"/>
              </w:rPr>
              <w:t>口号</w:t>
            </w:r>
          </w:p>
        </w:tc>
        <w:tc>
          <w:tcPr>
            <w:tcW w:w="2484" w:type="dxa"/>
            <w:vAlign w:val="top"/>
          </w:tcPr>
          <w:p w14:paraId="4B6998F0">
            <w:pPr>
              <w:pStyle w:val="6"/>
              <w:spacing w:before="163" w:line="219" w:lineRule="auto"/>
              <w:ind w:left="12"/>
            </w:pPr>
            <w:r>
              <w:rPr>
                <w:spacing w:val="1"/>
              </w:rPr>
              <w:t>1.商标的来源</w:t>
            </w:r>
          </w:p>
          <w:p w14:paraId="402F4A25">
            <w:pPr>
              <w:pStyle w:val="6"/>
              <w:spacing w:before="17" w:line="224" w:lineRule="auto"/>
              <w:ind w:left="12" w:right="1110"/>
            </w:pPr>
            <w:r>
              <w:rPr>
                <w:spacing w:val="-1"/>
              </w:rPr>
              <w:t>2.商标的构成部分</w:t>
            </w:r>
            <w:r>
              <w:t xml:space="preserve"> </w:t>
            </w:r>
            <w:r>
              <w:rPr>
                <w:spacing w:val="-3"/>
              </w:rPr>
              <w:t>3.字体</w:t>
            </w:r>
          </w:p>
          <w:p w14:paraId="55BFB215">
            <w:pPr>
              <w:pStyle w:val="6"/>
              <w:spacing w:before="49" w:line="223" w:lineRule="auto"/>
              <w:ind w:left="12" w:right="1447"/>
            </w:pPr>
            <w:r>
              <w:rPr>
                <w:spacing w:val="-1"/>
              </w:rPr>
              <w:t>4.口号的目的</w:t>
            </w:r>
            <w:r>
              <w:t xml:space="preserve"> </w:t>
            </w:r>
            <w:r>
              <w:rPr>
                <w:spacing w:val="-2"/>
              </w:rPr>
              <w:t>5.口号的分类</w:t>
            </w:r>
          </w:p>
          <w:p w14:paraId="4F5D4696">
            <w:pPr>
              <w:pStyle w:val="6"/>
              <w:spacing w:before="6" w:line="218" w:lineRule="auto"/>
              <w:ind w:left="12"/>
            </w:pPr>
            <w:r>
              <w:rPr>
                <w:spacing w:val="-1"/>
              </w:rPr>
              <w:t>6.撰写广告口号的要求</w:t>
            </w:r>
          </w:p>
        </w:tc>
        <w:tc>
          <w:tcPr>
            <w:tcW w:w="220" w:type="dxa"/>
            <w:vAlign w:val="top"/>
          </w:tcPr>
          <w:p w14:paraId="42E721DF">
            <w:pPr>
              <w:rPr>
                <w:rFonts w:ascii="Arial"/>
                <w:sz w:val="21"/>
              </w:rPr>
            </w:pPr>
          </w:p>
        </w:tc>
        <w:tc>
          <w:tcPr>
            <w:tcW w:w="230" w:type="dxa"/>
            <w:vAlign w:val="top"/>
          </w:tcPr>
          <w:p w14:paraId="24329C64">
            <w:pPr>
              <w:rPr>
                <w:rFonts w:ascii="Arial"/>
                <w:sz w:val="21"/>
              </w:rPr>
            </w:pPr>
          </w:p>
        </w:tc>
        <w:tc>
          <w:tcPr>
            <w:tcW w:w="229" w:type="dxa"/>
            <w:vAlign w:val="top"/>
          </w:tcPr>
          <w:p w14:paraId="65D05EC5">
            <w:pPr>
              <w:rPr>
                <w:rFonts w:ascii="Arial"/>
                <w:sz w:val="21"/>
              </w:rPr>
            </w:pPr>
          </w:p>
        </w:tc>
        <w:tc>
          <w:tcPr>
            <w:tcW w:w="234" w:type="dxa"/>
            <w:vAlign w:val="top"/>
          </w:tcPr>
          <w:p w14:paraId="66F16A45">
            <w:pPr>
              <w:rPr>
                <w:rFonts w:ascii="Arial"/>
                <w:sz w:val="21"/>
              </w:rPr>
            </w:pPr>
          </w:p>
        </w:tc>
      </w:tr>
    </w:tbl>
    <w:p w14:paraId="4F2133D7">
      <w:pPr>
        <w:spacing w:before="132" w:line="220" w:lineRule="auto"/>
        <w:ind w:left="345"/>
        <w:rPr>
          <w:rFonts w:ascii="宋体" w:hAnsi="宋体" w:eastAsia="宋体" w:cs="宋体"/>
          <w:sz w:val="17"/>
          <w:szCs w:val="17"/>
        </w:rPr>
      </w:pPr>
      <w:r>
        <w:rPr>
          <w:rFonts w:ascii="宋体" w:hAnsi="宋体" w:eastAsia="宋体" w:cs="宋体"/>
          <w:spacing w:val="-2"/>
          <w:sz w:val="17"/>
          <w:szCs w:val="17"/>
        </w:rPr>
        <w:t>7.包装设计</w:t>
      </w:r>
    </w:p>
    <w:p w14:paraId="749126EC">
      <w:pPr>
        <w:spacing w:line="165" w:lineRule="exact"/>
      </w:pPr>
    </w:p>
    <w:tbl>
      <w:tblPr>
        <w:tblStyle w:val="5"/>
        <w:tblW w:w="414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43"/>
        <w:gridCol w:w="2484"/>
        <w:gridCol w:w="220"/>
        <w:gridCol w:w="230"/>
        <w:gridCol w:w="229"/>
        <w:gridCol w:w="234"/>
      </w:tblGrid>
      <w:tr w14:paraId="3111B6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9" w:hRule="atLeast"/>
        </w:trPr>
        <w:tc>
          <w:tcPr>
            <w:tcW w:w="743" w:type="dxa"/>
            <w:vMerge w:val="restart"/>
            <w:tcBorders>
              <w:top w:val="single" w:color="000000" w:sz="2" w:space="0"/>
              <w:bottom w:val="nil"/>
            </w:tcBorders>
            <w:vAlign w:val="top"/>
          </w:tcPr>
          <w:p w14:paraId="13AE2BF8">
            <w:pPr>
              <w:pStyle w:val="6"/>
              <w:spacing w:before="36" w:line="218" w:lineRule="auto"/>
              <w:ind w:left="106" w:right="35" w:hanging="79"/>
            </w:pPr>
            <w:r>
              <w:rPr>
                <w:b/>
                <w:bCs/>
                <w:spacing w:val="-5"/>
              </w:rPr>
              <w:t>知识与技</w:t>
            </w:r>
            <w:r>
              <w:rPr>
                <w:spacing w:val="1"/>
              </w:rPr>
              <w:t xml:space="preserve"> </w:t>
            </w:r>
            <w:r>
              <w:rPr>
                <w:b/>
                <w:bCs/>
                <w:spacing w:val="1"/>
              </w:rPr>
              <w:t>能要点</w:t>
            </w:r>
          </w:p>
        </w:tc>
        <w:tc>
          <w:tcPr>
            <w:tcW w:w="2484" w:type="dxa"/>
            <w:vMerge w:val="restart"/>
            <w:tcBorders>
              <w:top w:val="single" w:color="000000" w:sz="2" w:space="0"/>
              <w:bottom w:val="nil"/>
            </w:tcBorders>
            <w:vAlign w:val="top"/>
          </w:tcPr>
          <w:p w14:paraId="73D9E626">
            <w:pPr>
              <w:pStyle w:val="6"/>
              <w:spacing w:before="144" w:line="219" w:lineRule="auto"/>
              <w:ind w:left="924"/>
            </w:pPr>
            <w:r>
              <w:rPr>
                <w:b/>
                <w:bCs/>
                <w:spacing w:val="5"/>
              </w:rPr>
              <w:t>考试条目</w:t>
            </w:r>
          </w:p>
        </w:tc>
        <w:tc>
          <w:tcPr>
            <w:tcW w:w="913" w:type="dxa"/>
            <w:gridSpan w:val="4"/>
            <w:tcBorders>
              <w:top w:val="single" w:color="000000" w:sz="2" w:space="0"/>
              <w:bottom w:val="single" w:color="000000" w:sz="2" w:space="0"/>
            </w:tcBorders>
            <w:vAlign w:val="top"/>
          </w:tcPr>
          <w:p w14:paraId="73654850">
            <w:pPr>
              <w:pStyle w:val="6"/>
              <w:spacing w:before="33" w:line="201" w:lineRule="auto"/>
              <w:ind w:left="130"/>
            </w:pPr>
            <w:r>
              <w:rPr>
                <w:b/>
                <w:bCs/>
                <w:spacing w:val="-4"/>
              </w:rPr>
              <w:t>考试水平</w:t>
            </w:r>
          </w:p>
        </w:tc>
      </w:tr>
      <w:tr w14:paraId="6E5FB5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4" w:hRule="atLeast"/>
        </w:trPr>
        <w:tc>
          <w:tcPr>
            <w:tcW w:w="743" w:type="dxa"/>
            <w:vMerge w:val="continue"/>
            <w:tcBorders>
              <w:top w:val="nil"/>
              <w:bottom w:val="single" w:color="000000" w:sz="2" w:space="0"/>
            </w:tcBorders>
            <w:vAlign w:val="top"/>
          </w:tcPr>
          <w:p w14:paraId="59CC5812">
            <w:pPr>
              <w:rPr>
                <w:rFonts w:ascii="Arial"/>
                <w:sz w:val="21"/>
              </w:rPr>
            </w:pPr>
          </w:p>
        </w:tc>
        <w:tc>
          <w:tcPr>
            <w:tcW w:w="2484" w:type="dxa"/>
            <w:vMerge w:val="continue"/>
            <w:tcBorders>
              <w:top w:val="nil"/>
              <w:bottom w:val="single" w:color="000000" w:sz="2" w:space="0"/>
            </w:tcBorders>
            <w:vAlign w:val="top"/>
          </w:tcPr>
          <w:p w14:paraId="6944CF94">
            <w:pPr>
              <w:rPr>
                <w:rFonts w:ascii="Arial"/>
                <w:sz w:val="21"/>
              </w:rPr>
            </w:pPr>
          </w:p>
        </w:tc>
        <w:tc>
          <w:tcPr>
            <w:tcW w:w="220" w:type="dxa"/>
            <w:tcBorders>
              <w:top w:val="single" w:color="000000" w:sz="2" w:space="0"/>
              <w:bottom w:val="single" w:color="000000" w:sz="2" w:space="0"/>
            </w:tcBorders>
            <w:vAlign w:val="top"/>
          </w:tcPr>
          <w:p w14:paraId="0075E970">
            <w:pPr>
              <w:pStyle w:val="6"/>
              <w:spacing w:before="65" w:line="138" w:lineRule="exact"/>
              <w:ind w:left="20"/>
            </w:pPr>
            <w:r>
              <w:rPr>
                <w:b/>
                <w:bCs/>
                <w:spacing w:val="-2"/>
                <w:position w:val="-2"/>
              </w:rPr>
              <w:t>A</w:t>
            </w:r>
          </w:p>
        </w:tc>
        <w:tc>
          <w:tcPr>
            <w:tcW w:w="230" w:type="dxa"/>
            <w:tcBorders>
              <w:top w:val="single" w:color="000000" w:sz="2" w:space="0"/>
              <w:bottom w:val="single" w:color="000000" w:sz="2" w:space="0"/>
            </w:tcBorders>
            <w:vAlign w:val="top"/>
          </w:tcPr>
          <w:p w14:paraId="6186F535">
            <w:pPr>
              <w:pStyle w:val="6"/>
              <w:spacing w:before="67" w:line="136" w:lineRule="exact"/>
              <w:ind w:left="30"/>
            </w:pPr>
            <w:r>
              <w:rPr>
                <w:b/>
                <w:bCs/>
                <w:spacing w:val="-2"/>
                <w:position w:val="-2"/>
              </w:rPr>
              <w:t>B</w:t>
            </w:r>
          </w:p>
        </w:tc>
        <w:tc>
          <w:tcPr>
            <w:tcW w:w="229" w:type="dxa"/>
            <w:tcBorders>
              <w:top w:val="single" w:color="000000" w:sz="2" w:space="0"/>
              <w:bottom w:val="single" w:color="000000" w:sz="2" w:space="0"/>
            </w:tcBorders>
            <w:vAlign w:val="top"/>
          </w:tcPr>
          <w:p w14:paraId="5F038B27">
            <w:pPr>
              <w:pStyle w:val="6"/>
              <w:spacing w:before="66" w:line="137" w:lineRule="exact"/>
              <w:ind w:left="17"/>
            </w:pPr>
            <w:r>
              <w:rPr>
                <w:position w:val="-2"/>
              </w:rPr>
              <w:t>C</w:t>
            </w:r>
          </w:p>
        </w:tc>
        <w:tc>
          <w:tcPr>
            <w:tcW w:w="234" w:type="dxa"/>
            <w:tcBorders>
              <w:top w:val="single" w:color="000000" w:sz="2" w:space="0"/>
              <w:bottom w:val="single" w:color="000000" w:sz="2" w:space="0"/>
            </w:tcBorders>
            <w:vAlign w:val="top"/>
          </w:tcPr>
          <w:p w14:paraId="51CD017A">
            <w:pPr>
              <w:pStyle w:val="6"/>
              <w:spacing w:before="67" w:line="136" w:lineRule="exact"/>
              <w:ind w:left="71"/>
            </w:pPr>
            <w:r>
              <w:rPr>
                <w:b/>
                <w:bCs/>
                <w:spacing w:val="-2"/>
                <w:position w:val="-2"/>
              </w:rPr>
              <w:t>D</w:t>
            </w:r>
          </w:p>
        </w:tc>
      </w:tr>
      <w:tr w14:paraId="1B934D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63" w:hRule="atLeast"/>
        </w:trPr>
        <w:tc>
          <w:tcPr>
            <w:tcW w:w="743" w:type="dxa"/>
            <w:tcBorders>
              <w:top w:val="single" w:color="000000" w:sz="2" w:space="0"/>
              <w:bottom w:val="single" w:color="000000" w:sz="2" w:space="0"/>
            </w:tcBorders>
            <w:vAlign w:val="top"/>
          </w:tcPr>
          <w:p w14:paraId="748D62C6">
            <w:pPr>
              <w:pStyle w:val="6"/>
              <w:spacing w:before="263" w:line="229" w:lineRule="auto"/>
              <w:ind w:left="105" w:right="124"/>
            </w:pPr>
            <w:r>
              <w:rPr>
                <w:spacing w:val="-3"/>
              </w:rPr>
              <w:t>包装设</w:t>
            </w:r>
            <w:r>
              <w:rPr>
                <w:spacing w:val="1"/>
              </w:rPr>
              <w:t xml:space="preserve"> </w:t>
            </w:r>
            <w:r>
              <w:rPr>
                <w:spacing w:val="-3"/>
              </w:rPr>
              <w:t>计概述</w:t>
            </w:r>
          </w:p>
        </w:tc>
        <w:tc>
          <w:tcPr>
            <w:tcW w:w="2484" w:type="dxa"/>
            <w:tcBorders>
              <w:top w:val="single" w:color="000000" w:sz="2" w:space="0"/>
              <w:bottom w:val="single" w:color="000000" w:sz="2" w:space="0"/>
            </w:tcBorders>
            <w:vAlign w:val="top"/>
          </w:tcPr>
          <w:p w14:paraId="64E01B86">
            <w:pPr>
              <w:pStyle w:val="6"/>
              <w:spacing w:before="144" w:line="220" w:lineRule="auto"/>
              <w:ind w:left="12"/>
            </w:pPr>
            <w:r>
              <w:rPr>
                <w:spacing w:val="1"/>
              </w:rPr>
              <w:t>1.包装设计的发展</w:t>
            </w:r>
          </w:p>
          <w:p w14:paraId="4F8A6F88">
            <w:pPr>
              <w:pStyle w:val="6"/>
              <w:spacing w:before="6" w:line="238" w:lineRule="auto"/>
              <w:ind w:left="12" w:right="770"/>
            </w:pPr>
            <w:r>
              <w:rPr>
                <w:spacing w:val="-1"/>
              </w:rPr>
              <w:t>2.包装设计的基本要求</w:t>
            </w:r>
            <w:r>
              <w:rPr>
                <w:spacing w:val="1"/>
              </w:rPr>
              <w:t xml:space="preserve"> </w:t>
            </w:r>
            <w:r>
              <w:rPr>
                <w:spacing w:val="2"/>
              </w:rPr>
              <w:t>3.包装设计的作用</w:t>
            </w:r>
          </w:p>
        </w:tc>
        <w:tc>
          <w:tcPr>
            <w:tcW w:w="220" w:type="dxa"/>
            <w:tcBorders>
              <w:top w:val="single" w:color="000000" w:sz="2" w:space="0"/>
              <w:bottom w:val="single" w:color="000000" w:sz="2" w:space="0"/>
            </w:tcBorders>
            <w:vAlign w:val="top"/>
          </w:tcPr>
          <w:p w14:paraId="69CC2924">
            <w:pPr>
              <w:rPr>
                <w:rFonts w:ascii="Arial"/>
                <w:sz w:val="21"/>
              </w:rPr>
            </w:pPr>
          </w:p>
        </w:tc>
        <w:tc>
          <w:tcPr>
            <w:tcW w:w="230" w:type="dxa"/>
            <w:tcBorders>
              <w:top w:val="single" w:color="000000" w:sz="2" w:space="0"/>
              <w:bottom w:val="single" w:color="000000" w:sz="2" w:space="0"/>
            </w:tcBorders>
            <w:vAlign w:val="top"/>
          </w:tcPr>
          <w:p w14:paraId="259FA0DB">
            <w:pPr>
              <w:rPr>
                <w:rFonts w:ascii="Arial"/>
                <w:sz w:val="21"/>
              </w:rPr>
            </w:pPr>
          </w:p>
        </w:tc>
        <w:tc>
          <w:tcPr>
            <w:tcW w:w="229" w:type="dxa"/>
            <w:tcBorders>
              <w:top w:val="single" w:color="000000" w:sz="2" w:space="0"/>
              <w:bottom w:val="single" w:color="000000" w:sz="2" w:space="0"/>
            </w:tcBorders>
            <w:vAlign w:val="top"/>
          </w:tcPr>
          <w:p w14:paraId="63C2810F">
            <w:pPr>
              <w:rPr>
                <w:rFonts w:ascii="Arial"/>
                <w:sz w:val="21"/>
              </w:rPr>
            </w:pPr>
          </w:p>
        </w:tc>
        <w:tc>
          <w:tcPr>
            <w:tcW w:w="234" w:type="dxa"/>
            <w:tcBorders>
              <w:top w:val="single" w:color="000000" w:sz="2" w:space="0"/>
              <w:bottom w:val="single" w:color="000000" w:sz="2" w:space="0"/>
            </w:tcBorders>
            <w:vAlign w:val="top"/>
          </w:tcPr>
          <w:p w14:paraId="39855A98">
            <w:pPr>
              <w:rPr>
                <w:rFonts w:ascii="Arial"/>
                <w:sz w:val="21"/>
              </w:rPr>
            </w:pPr>
          </w:p>
        </w:tc>
      </w:tr>
      <w:tr w14:paraId="526D08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4" w:hRule="atLeast"/>
        </w:trPr>
        <w:tc>
          <w:tcPr>
            <w:tcW w:w="743" w:type="dxa"/>
            <w:tcBorders>
              <w:top w:val="single" w:color="000000" w:sz="2" w:space="0"/>
              <w:bottom w:val="single" w:color="000000" w:sz="2" w:space="0"/>
            </w:tcBorders>
            <w:vAlign w:val="top"/>
          </w:tcPr>
          <w:p w14:paraId="1FFE408C">
            <w:pPr>
              <w:pStyle w:val="6"/>
              <w:spacing w:before="95" w:line="248" w:lineRule="auto"/>
              <w:ind w:left="105" w:right="124"/>
            </w:pPr>
            <w:r>
              <w:rPr>
                <w:spacing w:val="-3"/>
              </w:rPr>
              <w:t>包装设</w:t>
            </w:r>
            <w:r>
              <w:rPr>
                <w:spacing w:val="1"/>
              </w:rPr>
              <w:t xml:space="preserve"> </w:t>
            </w:r>
            <w:r>
              <w:rPr>
                <w:spacing w:val="-3"/>
              </w:rPr>
              <w:t>计定位</w:t>
            </w:r>
          </w:p>
        </w:tc>
        <w:tc>
          <w:tcPr>
            <w:tcW w:w="2484" w:type="dxa"/>
            <w:tcBorders>
              <w:top w:val="single" w:color="000000" w:sz="2" w:space="0"/>
              <w:bottom w:val="single" w:color="000000" w:sz="2" w:space="0"/>
            </w:tcBorders>
            <w:vAlign w:val="top"/>
          </w:tcPr>
          <w:p w14:paraId="0D1630EC">
            <w:pPr>
              <w:pStyle w:val="6"/>
              <w:spacing w:before="214" w:line="219" w:lineRule="auto"/>
              <w:ind w:left="12"/>
            </w:pPr>
            <w:r>
              <w:rPr>
                <w:spacing w:val="-2"/>
              </w:rPr>
              <w:t>定位的基本内容</w:t>
            </w:r>
          </w:p>
        </w:tc>
        <w:tc>
          <w:tcPr>
            <w:tcW w:w="220" w:type="dxa"/>
            <w:tcBorders>
              <w:top w:val="single" w:color="000000" w:sz="2" w:space="0"/>
              <w:bottom w:val="single" w:color="000000" w:sz="2" w:space="0"/>
            </w:tcBorders>
            <w:vAlign w:val="top"/>
          </w:tcPr>
          <w:p w14:paraId="09298B64">
            <w:pPr>
              <w:rPr>
                <w:rFonts w:ascii="Arial"/>
                <w:sz w:val="21"/>
              </w:rPr>
            </w:pPr>
          </w:p>
        </w:tc>
        <w:tc>
          <w:tcPr>
            <w:tcW w:w="230" w:type="dxa"/>
            <w:tcBorders>
              <w:top w:val="single" w:color="000000" w:sz="2" w:space="0"/>
              <w:bottom w:val="single" w:color="000000" w:sz="2" w:space="0"/>
            </w:tcBorders>
            <w:vAlign w:val="top"/>
          </w:tcPr>
          <w:p w14:paraId="24777B3B">
            <w:pPr>
              <w:rPr>
                <w:rFonts w:ascii="Arial"/>
                <w:sz w:val="21"/>
              </w:rPr>
            </w:pPr>
          </w:p>
        </w:tc>
        <w:tc>
          <w:tcPr>
            <w:tcW w:w="229" w:type="dxa"/>
            <w:tcBorders>
              <w:top w:val="single" w:color="000000" w:sz="2" w:space="0"/>
              <w:bottom w:val="single" w:color="000000" w:sz="2" w:space="0"/>
            </w:tcBorders>
            <w:vAlign w:val="top"/>
          </w:tcPr>
          <w:p w14:paraId="40876A13">
            <w:pPr>
              <w:rPr>
                <w:rFonts w:ascii="Arial"/>
                <w:sz w:val="21"/>
              </w:rPr>
            </w:pPr>
          </w:p>
        </w:tc>
        <w:tc>
          <w:tcPr>
            <w:tcW w:w="234" w:type="dxa"/>
            <w:tcBorders>
              <w:top w:val="single" w:color="000000" w:sz="2" w:space="0"/>
              <w:bottom w:val="single" w:color="000000" w:sz="2" w:space="0"/>
            </w:tcBorders>
            <w:vAlign w:val="top"/>
          </w:tcPr>
          <w:p w14:paraId="73AF2C15">
            <w:pPr>
              <w:pStyle w:val="6"/>
              <w:spacing w:before="245" w:line="238" w:lineRule="auto"/>
              <w:ind w:left="49"/>
              <w:rPr>
                <w:sz w:val="12"/>
                <w:szCs w:val="12"/>
              </w:rPr>
            </w:pPr>
            <w:r>
              <w:rPr>
                <w:sz w:val="12"/>
                <w:szCs w:val="12"/>
              </w:rPr>
              <w:t>√</w:t>
            </w:r>
          </w:p>
        </w:tc>
      </w:tr>
      <w:tr w14:paraId="43D7BE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68" w:hRule="atLeast"/>
        </w:trPr>
        <w:tc>
          <w:tcPr>
            <w:tcW w:w="743" w:type="dxa"/>
            <w:tcBorders>
              <w:top w:val="single" w:color="000000" w:sz="2" w:space="0"/>
              <w:bottom w:val="single" w:color="000000" w:sz="2" w:space="0"/>
            </w:tcBorders>
            <w:vAlign w:val="top"/>
          </w:tcPr>
          <w:p w14:paraId="72794642">
            <w:pPr>
              <w:pStyle w:val="6"/>
              <w:spacing w:before="235" w:line="237" w:lineRule="auto"/>
              <w:ind w:left="105" w:right="97"/>
              <w:jc w:val="both"/>
            </w:pPr>
            <w:r>
              <w:rPr>
                <w:spacing w:val="-3"/>
              </w:rPr>
              <w:t>包装设</w:t>
            </w:r>
            <w:r>
              <w:rPr>
                <w:spacing w:val="1"/>
              </w:rPr>
              <w:t xml:space="preserve"> </w:t>
            </w:r>
            <w:r>
              <w:rPr>
                <w:spacing w:val="-3"/>
              </w:rPr>
              <w:t>计要素</w:t>
            </w:r>
            <w:r>
              <w:rPr>
                <w:spacing w:val="1"/>
              </w:rPr>
              <w:t xml:space="preserve"> </w:t>
            </w:r>
            <w:r>
              <w:rPr>
                <w:spacing w:val="6"/>
              </w:rPr>
              <w:t>的运用</w:t>
            </w:r>
          </w:p>
        </w:tc>
        <w:tc>
          <w:tcPr>
            <w:tcW w:w="2484" w:type="dxa"/>
            <w:tcBorders>
              <w:top w:val="single" w:color="000000" w:sz="2" w:space="0"/>
              <w:bottom w:val="single" w:color="000000" w:sz="2" w:space="0"/>
            </w:tcBorders>
            <w:vAlign w:val="top"/>
          </w:tcPr>
          <w:p w14:paraId="478B93BC">
            <w:pPr>
              <w:pStyle w:val="6"/>
              <w:spacing w:before="124" w:line="233" w:lineRule="auto"/>
              <w:ind w:left="12" w:right="1938"/>
              <w:jc w:val="both"/>
            </w:pPr>
            <w:r>
              <w:rPr>
                <w:spacing w:val="1"/>
              </w:rPr>
              <w:t>1.文字</w:t>
            </w:r>
            <w:r>
              <w:rPr>
                <w:spacing w:val="2"/>
              </w:rPr>
              <w:t xml:space="preserve"> </w:t>
            </w:r>
            <w:r>
              <w:rPr>
                <w:spacing w:val="3"/>
              </w:rPr>
              <w:t>2.图片</w:t>
            </w:r>
            <w:r>
              <w:t xml:space="preserve"> </w:t>
            </w:r>
            <w:r>
              <w:rPr>
                <w:spacing w:val="2"/>
              </w:rPr>
              <w:t xml:space="preserve">3.标志 </w:t>
            </w:r>
            <w:r>
              <w:rPr>
                <w:spacing w:val="-1"/>
              </w:rPr>
              <w:t>4.色彩</w:t>
            </w:r>
          </w:p>
        </w:tc>
        <w:tc>
          <w:tcPr>
            <w:tcW w:w="220" w:type="dxa"/>
            <w:tcBorders>
              <w:top w:val="single" w:color="000000" w:sz="2" w:space="0"/>
              <w:bottom w:val="single" w:color="000000" w:sz="2" w:space="0"/>
            </w:tcBorders>
            <w:vAlign w:val="top"/>
          </w:tcPr>
          <w:p w14:paraId="561174B0">
            <w:pPr>
              <w:rPr>
                <w:rFonts w:ascii="Arial"/>
                <w:sz w:val="21"/>
              </w:rPr>
            </w:pPr>
          </w:p>
        </w:tc>
        <w:tc>
          <w:tcPr>
            <w:tcW w:w="230" w:type="dxa"/>
            <w:tcBorders>
              <w:top w:val="single" w:color="000000" w:sz="2" w:space="0"/>
              <w:bottom w:val="single" w:color="000000" w:sz="2" w:space="0"/>
            </w:tcBorders>
            <w:vAlign w:val="top"/>
          </w:tcPr>
          <w:p w14:paraId="18FD28B9">
            <w:pPr>
              <w:rPr>
                <w:rFonts w:ascii="Arial"/>
                <w:sz w:val="21"/>
              </w:rPr>
            </w:pPr>
          </w:p>
        </w:tc>
        <w:tc>
          <w:tcPr>
            <w:tcW w:w="229" w:type="dxa"/>
            <w:tcBorders>
              <w:top w:val="single" w:color="000000" w:sz="2" w:space="0"/>
              <w:bottom w:val="single" w:color="000000" w:sz="2" w:space="0"/>
            </w:tcBorders>
            <w:vAlign w:val="top"/>
          </w:tcPr>
          <w:p w14:paraId="084BB7CC">
            <w:pPr>
              <w:rPr>
                <w:rFonts w:ascii="Arial"/>
                <w:sz w:val="21"/>
              </w:rPr>
            </w:pPr>
          </w:p>
        </w:tc>
        <w:tc>
          <w:tcPr>
            <w:tcW w:w="234" w:type="dxa"/>
            <w:tcBorders>
              <w:top w:val="single" w:color="000000" w:sz="2" w:space="0"/>
              <w:bottom w:val="single" w:color="000000" w:sz="2" w:space="0"/>
            </w:tcBorders>
            <w:vAlign w:val="top"/>
          </w:tcPr>
          <w:p w14:paraId="41EE51A8">
            <w:pPr>
              <w:rPr>
                <w:rFonts w:ascii="Arial"/>
                <w:sz w:val="21"/>
              </w:rPr>
            </w:pPr>
          </w:p>
        </w:tc>
      </w:tr>
    </w:tbl>
    <w:p w14:paraId="24B22F3E">
      <w:pPr>
        <w:pStyle w:val="2"/>
        <w:spacing w:line="14" w:lineRule="auto"/>
        <w:rPr>
          <w:sz w:val="2"/>
        </w:rPr>
      </w:pPr>
    </w:p>
    <w:p w14:paraId="297C62B6">
      <w:pPr>
        <w:pStyle w:val="2"/>
        <w:spacing w:line="14" w:lineRule="auto"/>
        <w:rPr>
          <w:sz w:val="2"/>
        </w:rPr>
      </w:pPr>
      <w:r>
        <w:rPr>
          <w:sz w:val="2"/>
          <w:szCs w:val="2"/>
        </w:rPr>
        <w:br w:type="column"/>
      </w:r>
    </w:p>
    <w:p w14:paraId="24B50A4B">
      <w:pPr>
        <w:spacing w:before="45" w:line="221" w:lineRule="auto"/>
        <w:ind w:left="800"/>
        <w:rPr>
          <w:rFonts w:ascii="黑体" w:hAnsi="黑体" w:eastAsia="黑体" w:cs="黑体"/>
          <w:sz w:val="23"/>
          <w:szCs w:val="23"/>
        </w:rPr>
      </w:pPr>
      <w:r>
        <w:rPr>
          <w:rFonts w:ascii="黑体" w:hAnsi="黑体" w:eastAsia="黑体" w:cs="黑体"/>
          <w:b/>
          <w:bCs/>
          <w:sz w:val="23"/>
          <w:szCs w:val="23"/>
        </w:rPr>
        <w:t>第三部分计算机设计基础</w:t>
      </w:r>
    </w:p>
    <w:p w14:paraId="29D0AC39">
      <w:pPr>
        <w:pStyle w:val="2"/>
        <w:spacing w:line="247" w:lineRule="auto"/>
      </w:pPr>
    </w:p>
    <w:p w14:paraId="5EBFFFCF">
      <w:pPr>
        <w:spacing w:before="56" w:line="313" w:lineRule="auto"/>
        <w:ind w:right="69" w:firstLine="359"/>
        <w:rPr>
          <w:rFonts w:ascii="宋体" w:hAnsi="宋体" w:eastAsia="宋体" w:cs="宋体"/>
          <w:sz w:val="17"/>
          <w:szCs w:val="17"/>
        </w:rPr>
      </w:pPr>
      <w:r>
        <w:rPr>
          <w:rFonts w:ascii="宋体" w:hAnsi="宋体" w:eastAsia="宋体" w:cs="宋体"/>
          <w:b/>
          <w:bCs/>
          <w:spacing w:val="-3"/>
          <w:sz w:val="17"/>
          <w:szCs w:val="17"/>
        </w:rPr>
        <w:t>本课程按篇目以教学重点划分知识与技能要点、考</w:t>
      </w:r>
      <w:r>
        <w:rPr>
          <w:rFonts w:ascii="宋体" w:hAnsi="宋体" w:eastAsia="宋体" w:cs="宋体"/>
          <w:spacing w:val="18"/>
          <w:sz w:val="17"/>
          <w:szCs w:val="17"/>
        </w:rPr>
        <w:t xml:space="preserve"> </w:t>
      </w:r>
      <w:r>
        <w:rPr>
          <w:rFonts w:ascii="宋体" w:hAnsi="宋体" w:eastAsia="宋体" w:cs="宋体"/>
          <w:b/>
          <w:bCs/>
          <w:spacing w:val="-5"/>
          <w:sz w:val="17"/>
          <w:szCs w:val="17"/>
        </w:rPr>
        <w:t>试条目、考试水平三部分。</w:t>
      </w:r>
    </w:p>
    <w:p w14:paraId="43630B8C">
      <w:pPr>
        <w:spacing w:before="15" w:line="219" w:lineRule="auto"/>
        <w:ind w:left="357"/>
        <w:rPr>
          <w:rFonts w:ascii="宋体" w:hAnsi="宋体" w:eastAsia="宋体" w:cs="宋体"/>
          <w:sz w:val="17"/>
          <w:szCs w:val="17"/>
        </w:rPr>
      </w:pPr>
      <w:r>
        <w:rPr>
          <w:rFonts w:ascii="宋体" w:hAnsi="宋体" w:eastAsia="宋体" w:cs="宋体"/>
          <w:spacing w:val="-2"/>
          <w:sz w:val="17"/>
          <w:szCs w:val="17"/>
        </w:rPr>
        <w:t>1.计算机艺术设计基础</w:t>
      </w:r>
    </w:p>
    <w:p w14:paraId="78C7F09D">
      <w:pPr>
        <w:spacing w:line="77" w:lineRule="exact"/>
      </w:pPr>
    </w:p>
    <w:tbl>
      <w:tblPr>
        <w:tblStyle w:val="5"/>
        <w:tblW w:w="4130" w:type="dxa"/>
        <w:tblInd w:w="1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33"/>
        <w:gridCol w:w="2484"/>
        <w:gridCol w:w="229"/>
        <w:gridCol w:w="220"/>
        <w:gridCol w:w="230"/>
        <w:gridCol w:w="234"/>
      </w:tblGrid>
      <w:tr w14:paraId="7CCA42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4" w:hRule="atLeast"/>
        </w:trPr>
        <w:tc>
          <w:tcPr>
            <w:tcW w:w="733" w:type="dxa"/>
            <w:vMerge w:val="restart"/>
            <w:tcBorders>
              <w:bottom w:val="nil"/>
            </w:tcBorders>
            <w:vAlign w:val="top"/>
          </w:tcPr>
          <w:p w14:paraId="2D029217">
            <w:pPr>
              <w:pStyle w:val="6"/>
              <w:spacing w:before="30" w:line="221" w:lineRule="auto"/>
              <w:ind w:left="17"/>
            </w:pPr>
            <w:r>
              <w:rPr>
                <w:b/>
                <w:bCs/>
                <w:spacing w:val="-4"/>
              </w:rPr>
              <w:t>知识与技</w:t>
            </w:r>
          </w:p>
          <w:p w14:paraId="666B6E6B">
            <w:pPr>
              <w:pStyle w:val="6"/>
              <w:spacing w:before="6" w:line="209" w:lineRule="auto"/>
              <w:ind w:left="107"/>
            </w:pPr>
            <w:r>
              <w:rPr>
                <w:b/>
                <w:bCs/>
                <w:spacing w:val="1"/>
              </w:rPr>
              <w:t>能要点</w:t>
            </w:r>
          </w:p>
        </w:tc>
        <w:tc>
          <w:tcPr>
            <w:tcW w:w="2484" w:type="dxa"/>
            <w:vMerge w:val="restart"/>
            <w:tcBorders>
              <w:bottom w:val="nil"/>
            </w:tcBorders>
            <w:vAlign w:val="top"/>
          </w:tcPr>
          <w:p w14:paraId="12A9054F">
            <w:pPr>
              <w:pStyle w:val="6"/>
              <w:spacing w:before="139" w:line="219" w:lineRule="auto"/>
              <w:ind w:left="924"/>
            </w:pPr>
            <w:r>
              <w:rPr>
                <w:b/>
                <w:bCs/>
                <w:spacing w:val="5"/>
              </w:rPr>
              <w:t>考试条目</w:t>
            </w:r>
          </w:p>
        </w:tc>
        <w:tc>
          <w:tcPr>
            <w:tcW w:w="913" w:type="dxa"/>
            <w:gridSpan w:val="4"/>
            <w:vAlign w:val="top"/>
          </w:tcPr>
          <w:p w14:paraId="54FD7928">
            <w:pPr>
              <w:pStyle w:val="6"/>
              <w:spacing w:before="28" w:line="201" w:lineRule="auto"/>
              <w:ind w:left="130"/>
            </w:pPr>
            <w:r>
              <w:rPr>
                <w:b/>
                <w:bCs/>
                <w:spacing w:val="-4"/>
              </w:rPr>
              <w:t>考试水平</w:t>
            </w:r>
          </w:p>
        </w:tc>
      </w:tr>
      <w:tr w14:paraId="45795D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9" w:hRule="atLeast"/>
        </w:trPr>
        <w:tc>
          <w:tcPr>
            <w:tcW w:w="733" w:type="dxa"/>
            <w:vMerge w:val="continue"/>
            <w:tcBorders>
              <w:top w:val="nil"/>
            </w:tcBorders>
            <w:vAlign w:val="top"/>
          </w:tcPr>
          <w:p w14:paraId="1BAB55A6">
            <w:pPr>
              <w:rPr>
                <w:rFonts w:ascii="Arial"/>
                <w:sz w:val="21"/>
              </w:rPr>
            </w:pPr>
          </w:p>
        </w:tc>
        <w:tc>
          <w:tcPr>
            <w:tcW w:w="2484" w:type="dxa"/>
            <w:vMerge w:val="continue"/>
            <w:tcBorders>
              <w:top w:val="nil"/>
            </w:tcBorders>
            <w:vAlign w:val="top"/>
          </w:tcPr>
          <w:p w14:paraId="05A4D2FA">
            <w:pPr>
              <w:rPr>
                <w:rFonts w:ascii="Arial"/>
                <w:sz w:val="21"/>
              </w:rPr>
            </w:pPr>
          </w:p>
        </w:tc>
        <w:tc>
          <w:tcPr>
            <w:tcW w:w="229" w:type="dxa"/>
            <w:vAlign w:val="top"/>
          </w:tcPr>
          <w:p w14:paraId="1DF1B775">
            <w:pPr>
              <w:pStyle w:val="6"/>
              <w:spacing w:before="60" w:line="139" w:lineRule="exact"/>
              <w:ind w:right="5"/>
              <w:jc w:val="right"/>
            </w:pPr>
            <w:r>
              <w:rPr>
                <w:position w:val="-2"/>
              </w:rPr>
              <w:t>A</w:t>
            </w:r>
          </w:p>
        </w:tc>
        <w:tc>
          <w:tcPr>
            <w:tcW w:w="220" w:type="dxa"/>
            <w:vAlign w:val="top"/>
          </w:tcPr>
          <w:p w14:paraId="693B0A7B">
            <w:pPr>
              <w:pStyle w:val="6"/>
              <w:spacing w:before="62" w:line="137" w:lineRule="exact"/>
              <w:ind w:left="21"/>
            </w:pPr>
            <w:r>
              <w:rPr>
                <w:b/>
                <w:bCs/>
                <w:spacing w:val="-2"/>
                <w:position w:val="-2"/>
              </w:rPr>
              <w:t>B</w:t>
            </w:r>
          </w:p>
        </w:tc>
        <w:tc>
          <w:tcPr>
            <w:tcW w:w="230" w:type="dxa"/>
            <w:vAlign w:val="top"/>
          </w:tcPr>
          <w:p w14:paraId="140A8BE0">
            <w:pPr>
              <w:pStyle w:val="6"/>
              <w:spacing w:before="61" w:line="138" w:lineRule="exact"/>
              <w:ind w:left="19"/>
            </w:pPr>
            <w:r>
              <w:rPr>
                <w:position w:val="-2"/>
              </w:rPr>
              <w:t>C</w:t>
            </w:r>
          </w:p>
        </w:tc>
        <w:tc>
          <w:tcPr>
            <w:tcW w:w="234" w:type="dxa"/>
            <w:vAlign w:val="top"/>
          </w:tcPr>
          <w:p w14:paraId="1D8159A9">
            <w:pPr>
              <w:pStyle w:val="6"/>
              <w:spacing w:before="62" w:line="137" w:lineRule="exact"/>
              <w:ind w:left="51"/>
            </w:pPr>
            <w:r>
              <w:rPr>
                <w:b/>
                <w:bCs/>
                <w:spacing w:val="-2"/>
                <w:position w:val="-2"/>
              </w:rPr>
              <w:t>D</w:t>
            </w:r>
          </w:p>
        </w:tc>
      </w:tr>
      <w:tr w14:paraId="216AA0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95" w:hRule="atLeast"/>
        </w:trPr>
        <w:tc>
          <w:tcPr>
            <w:tcW w:w="733" w:type="dxa"/>
            <w:vAlign w:val="top"/>
          </w:tcPr>
          <w:p w14:paraId="1DB171C3">
            <w:pPr>
              <w:pStyle w:val="6"/>
              <w:spacing w:before="237" w:line="233" w:lineRule="auto"/>
              <w:ind w:left="105" w:right="114"/>
              <w:jc w:val="both"/>
            </w:pPr>
            <w:r>
              <w:rPr>
                <w:spacing w:val="-3"/>
              </w:rPr>
              <w:t>计算机</w:t>
            </w:r>
            <w:r>
              <w:rPr>
                <w:spacing w:val="1"/>
              </w:rPr>
              <w:t xml:space="preserve"> </w:t>
            </w:r>
            <w:r>
              <w:rPr>
                <w:spacing w:val="-4"/>
              </w:rPr>
              <w:t>艺术设</w:t>
            </w:r>
            <w:r>
              <w:t xml:space="preserve"> </w:t>
            </w:r>
            <w:r>
              <w:rPr>
                <w:spacing w:val="-3"/>
              </w:rPr>
              <w:t>计概论</w:t>
            </w:r>
          </w:p>
        </w:tc>
        <w:tc>
          <w:tcPr>
            <w:tcW w:w="2484" w:type="dxa"/>
            <w:vAlign w:val="top"/>
          </w:tcPr>
          <w:p w14:paraId="49C446A3">
            <w:pPr>
              <w:pStyle w:val="6"/>
              <w:spacing w:before="19" w:line="221" w:lineRule="auto"/>
              <w:ind w:left="12"/>
            </w:pPr>
            <w:r>
              <w:t>1.系统配置</w:t>
            </w:r>
          </w:p>
          <w:p w14:paraId="4DD98FCE">
            <w:pPr>
              <w:pStyle w:val="6"/>
              <w:spacing w:before="25" w:line="219" w:lineRule="auto"/>
              <w:ind w:left="12"/>
            </w:pPr>
            <w:r>
              <w:rPr>
                <w:spacing w:val="-1"/>
              </w:rPr>
              <w:t>2.图形、图像的概念</w:t>
            </w:r>
          </w:p>
          <w:p w14:paraId="36F35813">
            <w:pPr>
              <w:pStyle w:val="6"/>
              <w:spacing w:before="28" w:line="219" w:lineRule="auto"/>
              <w:ind w:left="12"/>
            </w:pPr>
            <w:r>
              <w:rPr>
                <w:spacing w:val="-1"/>
              </w:rPr>
              <w:t>3.图形、图像文件的格式</w:t>
            </w:r>
          </w:p>
          <w:p w14:paraId="21A70396">
            <w:pPr>
              <w:pStyle w:val="6"/>
              <w:spacing w:before="8" w:line="215" w:lineRule="auto"/>
              <w:ind w:left="12" w:right="257"/>
            </w:pPr>
            <w:r>
              <w:rPr>
                <w:spacing w:val="-1"/>
              </w:rPr>
              <w:t>4.图形、图像文件格式的相互</w:t>
            </w:r>
            <w:r>
              <w:rPr>
                <w:spacing w:val="7"/>
              </w:rPr>
              <w:t xml:space="preserve"> </w:t>
            </w:r>
            <w:r>
              <w:rPr>
                <w:spacing w:val="-2"/>
              </w:rPr>
              <w:t>转换</w:t>
            </w:r>
          </w:p>
        </w:tc>
        <w:tc>
          <w:tcPr>
            <w:tcW w:w="229" w:type="dxa"/>
            <w:vAlign w:val="top"/>
          </w:tcPr>
          <w:p w14:paraId="1885C199">
            <w:pPr>
              <w:pStyle w:val="6"/>
              <w:spacing w:before="70" w:line="238" w:lineRule="auto"/>
              <w:ind w:left="18"/>
              <w:rPr>
                <w:sz w:val="13"/>
                <w:szCs w:val="13"/>
              </w:rPr>
            </w:pPr>
            <w:r>
              <w:rPr>
                <w:sz w:val="13"/>
                <w:szCs w:val="13"/>
              </w:rPr>
              <w:t>√</w:t>
            </w:r>
          </w:p>
        </w:tc>
        <w:tc>
          <w:tcPr>
            <w:tcW w:w="220" w:type="dxa"/>
            <w:vAlign w:val="top"/>
          </w:tcPr>
          <w:p w14:paraId="7F53A469">
            <w:pPr>
              <w:rPr>
                <w:rFonts w:ascii="Arial"/>
                <w:sz w:val="21"/>
              </w:rPr>
            </w:pPr>
          </w:p>
        </w:tc>
        <w:tc>
          <w:tcPr>
            <w:tcW w:w="230" w:type="dxa"/>
            <w:vAlign w:val="top"/>
          </w:tcPr>
          <w:p w14:paraId="3F7187FF">
            <w:pPr>
              <w:rPr>
                <w:rFonts w:ascii="Arial"/>
                <w:sz w:val="21"/>
              </w:rPr>
            </w:pPr>
          </w:p>
        </w:tc>
        <w:tc>
          <w:tcPr>
            <w:tcW w:w="234" w:type="dxa"/>
            <w:vAlign w:val="top"/>
          </w:tcPr>
          <w:p w14:paraId="5F242440">
            <w:pPr>
              <w:rPr>
                <w:rFonts w:ascii="Arial"/>
                <w:sz w:val="21"/>
              </w:rPr>
            </w:pPr>
          </w:p>
        </w:tc>
      </w:tr>
      <w:tr w14:paraId="7AA468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71" w:hRule="atLeast"/>
        </w:trPr>
        <w:tc>
          <w:tcPr>
            <w:tcW w:w="733" w:type="dxa"/>
            <w:vAlign w:val="top"/>
          </w:tcPr>
          <w:p w14:paraId="0E3E4BD9">
            <w:pPr>
              <w:pStyle w:val="6"/>
              <w:spacing w:before="32" w:line="225" w:lineRule="auto"/>
              <w:ind w:left="105" w:right="114"/>
              <w:jc w:val="both"/>
            </w:pPr>
            <w:r>
              <w:rPr>
                <w:spacing w:val="-3"/>
              </w:rPr>
              <w:t>计算机</w:t>
            </w:r>
            <w:r>
              <w:rPr>
                <w:spacing w:val="1"/>
              </w:rPr>
              <w:t xml:space="preserve"> </w:t>
            </w:r>
            <w:r>
              <w:rPr>
                <w:spacing w:val="-3"/>
              </w:rPr>
              <w:t>基本要</w:t>
            </w:r>
            <w:r>
              <w:rPr>
                <w:spacing w:val="1"/>
              </w:rPr>
              <w:t xml:space="preserve"> </w:t>
            </w:r>
            <w:r>
              <w:rPr>
                <w:spacing w:val="-3"/>
              </w:rPr>
              <w:t>素与色</w:t>
            </w:r>
            <w:r>
              <w:t xml:space="preserve"> </w:t>
            </w:r>
            <w:r>
              <w:rPr>
                <w:spacing w:val="-3"/>
              </w:rPr>
              <w:t>彩模式</w:t>
            </w:r>
          </w:p>
        </w:tc>
        <w:tc>
          <w:tcPr>
            <w:tcW w:w="2484" w:type="dxa"/>
            <w:vAlign w:val="top"/>
          </w:tcPr>
          <w:p w14:paraId="42D003AC">
            <w:pPr>
              <w:pStyle w:val="6"/>
              <w:spacing w:before="252" w:line="219" w:lineRule="auto"/>
              <w:ind w:left="12" w:right="414"/>
            </w:pPr>
            <w:r>
              <w:t>1.基本要素——点、线、面</w:t>
            </w:r>
            <w:r>
              <w:rPr>
                <w:spacing w:val="6"/>
              </w:rPr>
              <w:t xml:space="preserve"> </w:t>
            </w:r>
            <w:r>
              <w:rPr>
                <w:spacing w:val="-1"/>
              </w:rPr>
              <w:t>2.色彩的模式</w:t>
            </w:r>
          </w:p>
        </w:tc>
        <w:tc>
          <w:tcPr>
            <w:tcW w:w="229" w:type="dxa"/>
            <w:vAlign w:val="top"/>
          </w:tcPr>
          <w:p w14:paraId="1B86F6C6">
            <w:pPr>
              <w:rPr>
                <w:rFonts w:ascii="Arial"/>
                <w:sz w:val="21"/>
              </w:rPr>
            </w:pPr>
          </w:p>
        </w:tc>
        <w:tc>
          <w:tcPr>
            <w:tcW w:w="220" w:type="dxa"/>
            <w:vAlign w:val="top"/>
          </w:tcPr>
          <w:p w14:paraId="2A28F4C3">
            <w:pPr>
              <w:rPr>
                <w:rFonts w:ascii="Arial"/>
                <w:sz w:val="21"/>
              </w:rPr>
            </w:pPr>
          </w:p>
        </w:tc>
        <w:tc>
          <w:tcPr>
            <w:tcW w:w="230" w:type="dxa"/>
            <w:vAlign w:val="top"/>
          </w:tcPr>
          <w:p w14:paraId="29E96E0B">
            <w:pPr>
              <w:rPr>
                <w:rFonts w:ascii="Arial"/>
                <w:sz w:val="21"/>
              </w:rPr>
            </w:pPr>
          </w:p>
        </w:tc>
        <w:tc>
          <w:tcPr>
            <w:tcW w:w="234" w:type="dxa"/>
            <w:vAlign w:val="top"/>
          </w:tcPr>
          <w:p w14:paraId="22609C6C">
            <w:pPr>
              <w:rPr>
                <w:rFonts w:ascii="Arial"/>
                <w:sz w:val="21"/>
              </w:rPr>
            </w:pPr>
          </w:p>
        </w:tc>
      </w:tr>
    </w:tbl>
    <w:p w14:paraId="4F4278CC">
      <w:pPr>
        <w:spacing w:before="162" w:line="219" w:lineRule="auto"/>
        <w:ind w:left="357"/>
        <w:rPr>
          <w:rFonts w:ascii="Times New Roman" w:hAnsi="Times New Roman" w:eastAsia="Times New Roman" w:cs="Times New Roman"/>
          <w:sz w:val="17"/>
          <w:szCs w:val="17"/>
        </w:rPr>
      </w:pPr>
      <w:r>
        <w:pict>
          <v:shape id="_x0000_s1047" o:spid="_x0000_s1047" o:spt="202" type="#_x0000_t202" style="position:absolute;left:0pt;margin-left:42.35pt;margin-top:421.1pt;height:12.7pt;width:91.45pt;z-index:251697152;mso-width-relative:page;mso-height-relative:page;" filled="f" stroked="f" coordsize="21600,21600">
            <v:path/>
            <v:fill on="f" focussize="0,0"/>
            <v:stroke on="f"/>
            <v:imagedata o:title=""/>
            <o:lock v:ext="edit" aspectratio="f"/>
            <v:textbox inset="0mm,0mm,0mm,0mm">
              <w:txbxContent>
                <w:p w14:paraId="5FD3ABDD">
                  <w:pPr>
                    <w:spacing w:before="20" w:line="219" w:lineRule="auto"/>
                    <w:ind w:left="20"/>
                    <w:rPr>
                      <w:rFonts w:ascii="宋体" w:hAnsi="宋体" w:eastAsia="宋体" w:cs="宋体"/>
                      <w:sz w:val="18"/>
                      <w:szCs w:val="18"/>
                    </w:rPr>
                  </w:pPr>
                  <w:r>
                    <w:rPr>
                      <w:rFonts w:ascii="宋体" w:hAnsi="宋体" w:eastAsia="宋体" w:cs="宋体"/>
                      <w:spacing w:val="-2"/>
                      <w:sz w:val="18"/>
                      <w:szCs w:val="18"/>
                    </w:rPr>
                    <w:t>实例八网站的推广海报</w:t>
                  </w:r>
                </w:p>
              </w:txbxContent>
            </v:textbox>
          </v:shape>
        </w:pict>
      </w:r>
      <w:r>
        <w:rPr>
          <w:rFonts w:ascii="Times New Roman" w:hAnsi="Times New Roman" w:eastAsia="Times New Roman" w:cs="Times New Roman"/>
          <w:sz w:val="17"/>
          <w:szCs w:val="17"/>
        </w:rPr>
        <w:t xml:space="preserve">2. </w:t>
      </w:r>
      <w:r>
        <w:rPr>
          <w:rFonts w:ascii="宋体" w:hAnsi="宋体" w:eastAsia="宋体" w:cs="宋体"/>
          <w:sz w:val="17"/>
          <w:szCs w:val="17"/>
        </w:rPr>
        <w:t>图形处理软件</w:t>
      </w:r>
      <w:r>
        <w:rPr>
          <w:rFonts w:ascii="Times New Roman" w:hAnsi="Times New Roman" w:eastAsia="Times New Roman" w:cs="Times New Roman"/>
          <w:sz w:val="17"/>
          <w:szCs w:val="17"/>
        </w:rPr>
        <w:t>CorelDraw</w:t>
      </w:r>
    </w:p>
    <w:p w14:paraId="3E59934C">
      <w:pPr>
        <w:spacing w:line="116" w:lineRule="exact"/>
      </w:pPr>
    </w:p>
    <w:tbl>
      <w:tblPr>
        <w:tblStyle w:val="5"/>
        <w:tblW w:w="4110" w:type="dxa"/>
        <w:tblInd w:w="1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33"/>
        <w:gridCol w:w="2384"/>
        <w:gridCol w:w="229"/>
        <w:gridCol w:w="210"/>
        <w:gridCol w:w="230"/>
        <w:gridCol w:w="224"/>
      </w:tblGrid>
      <w:tr w14:paraId="6CEC13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4" w:hRule="atLeast"/>
        </w:trPr>
        <w:tc>
          <w:tcPr>
            <w:tcW w:w="833" w:type="dxa"/>
            <w:vMerge w:val="restart"/>
            <w:tcBorders>
              <w:bottom w:val="nil"/>
            </w:tcBorders>
            <w:vAlign w:val="top"/>
          </w:tcPr>
          <w:p w14:paraId="4B64786A">
            <w:pPr>
              <w:pStyle w:val="6"/>
              <w:spacing w:before="20" w:line="221" w:lineRule="auto"/>
              <w:ind w:left="47"/>
              <w:rPr>
                <w:sz w:val="18"/>
                <w:szCs w:val="18"/>
              </w:rPr>
            </w:pPr>
            <w:r>
              <w:rPr>
                <w:b/>
                <w:bCs/>
                <w:spacing w:val="-4"/>
                <w:sz w:val="18"/>
                <w:szCs w:val="18"/>
              </w:rPr>
              <w:t>知识与技</w:t>
            </w:r>
          </w:p>
          <w:p w14:paraId="3E150F68">
            <w:pPr>
              <w:pStyle w:val="6"/>
              <w:spacing w:before="4" w:line="198" w:lineRule="auto"/>
              <w:ind w:left="137"/>
              <w:rPr>
                <w:sz w:val="18"/>
                <w:szCs w:val="18"/>
              </w:rPr>
            </w:pPr>
            <w:r>
              <w:rPr>
                <w:b/>
                <w:bCs/>
                <w:spacing w:val="1"/>
                <w:sz w:val="18"/>
                <w:szCs w:val="18"/>
              </w:rPr>
              <w:t>能要点</w:t>
            </w:r>
          </w:p>
        </w:tc>
        <w:tc>
          <w:tcPr>
            <w:tcW w:w="2384" w:type="dxa"/>
            <w:vMerge w:val="restart"/>
            <w:tcBorders>
              <w:bottom w:val="nil"/>
            </w:tcBorders>
            <w:vAlign w:val="top"/>
          </w:tcPr>
          <w:p w14:paraId="4A6F7D0D">
            <w:pPr>
              <w:pStyle w:val="6"/>
              <w:spacing w:before="129" w:line="219" w:lineRule="auto"/>
              <w:ind w:left="864"/>
              <w:rPr>
                <w:sz w:val="18"/>
                <w:szCs w:val="18"/>
              </w:rPr>
            </w:pPr>
            <w:r>
              <w:rPr>
                <w:b/>
                <w:bCs/>
                <w:spacing w:val="5"/>
                <w:sz w:val="18"/>
                <w:szCs w:val="18"/>
              </w:rPr>
              <w:t>考试条目</w:t>
            </w:r>
          </w:p>
        </w:tc>
        <w:tc>
          <w:tcPr>
            <w:tcW w:w="893" w:type="dxa"/>
            <w:gridSpan w:val="4"/>
            <w:vAlign w:val="top"/>
          </w:tcPr>
          <w:p w14:paraId="29C83B97">
            <w:pPr>
              <w:pStyle w:val="6"/>
              <w:spacing w:before="19" w:line="199" w:lineRule="auto"/>
              <w:ind w:left="130"/>
              <w:rPr>
                <w:sz w:val="18"/>
                <w:szCs w:val="18"/>
              </w:rPr>
            </w:pPr>
            <w:r>
              <w:rPr>
                <w:b/>
                <w:bCs/>
                <w:spacing w:val="-4"/>
                <w:sz w:val="18"/>
                <w:szCs w:val="18"/>
              </w:rPr>
              <w:t>考试水平</w:t>
            </w:r>
          </w:p>
        </w:tc>
      </w:tr>
      <w:tr w14:paraId="5D8CA6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0" w:hRule="atLeast"/>
        </w:trPr>
        <w:tc>
          <w:tcPr>
            <w:tcW w:w="833" w:type="dxa"/>
            <w:vMerge w:val="continue"/>
            <w:tcBorders>
              <w:top w:val="nil"/>
            </w:tcBorders>
            <w:vAlign w:val="top"/>
          </w:tcPr>
          <w:p w14:paraId="3DAF7AAB">
            <w:pPr>
              <w:rPr>
                <w:rFonts w:ascii="Arial"/>
                <w:sz w:val="21"/>
              </w:rPr>
            </w:pPr>
          </w:p>
        </w:tc>
        <w:tc>
          <w:tcPr>
            <w:tcW w:w="2384" w:type="dxa"/>
            <w:vMerge w:val="continue"/>
            <w:tcBorders>
              <w:top w:val="nil"/>
            </w:tcBorders>
            <w:vAlign w:val="top"/>
          </w:tcPr>
          <w:p w14:paraId="69EF15A1">
            <w:pPr>
              <w:rPr>
                <w:rFonts w:ascii="Arial"/>
                <w:sz w:val="21"/>
              </w:rPr>
            </w:pPr>
          </w:p>
        </w:tc>
        <w:tc>
          <w:tcPr>
            <w:tcW w:w="229" w:type="dxa"/>
            <w:vAlign w:val="top"/>
          </w:tcPr>
          <w:p w14:paraId="78F8B4DA">
            <w:pPr>
              <w:pStyle w:val="6"/>
              <w:spacing w:before="63" w:line="136" w:lineRule="exact"/>
              <w:ind w:left="18"/>
              <w:rPr>
                <w:sz w:val="18"/>
                <w:szCs w:val="18"/>
              </w:rPr>
            </w:pPr>
            <w:r>
              <w:rPr>
                <w:position w:val="-2"/>
                <w:sz w:val="18"/>
                <w:szCs w:val="18"/>
              </w:rPr>
              <w:t>A</w:t>
            </w:r>
          </w:p>
        </w:tc>
        <w:tc>
          <w:tcPr>
            <w:tcW w:w="210" w:type="dxa"/>
            <w:vAlign w:val="top"/>
          </w:tcPr>
          <w:p w14:paraId="6F3DE553">
            <w:pPr>
              <w:pStyle w:val="6"/>
              <w:spacing w:before="66" w:line="133" w:lineRule="exact"/>
              <w:ind w:left="21"/>
              <w:rPr>
                <w:sz w:val="18"/>
                <w:szCs w:val="18"/>
              </w:rPr>
            </w:pPr>
            <w:r>
              <w:rPr>
                <w:b/>
                <w:bCs/>
                <w:spacing w:val="-2"/>
                <w:position w:val="-2"/>
                <w:sz w:val="18"/>
                <w:szCs w:val="18"/>
              </w:rPr>
              <w:t>B</w:t>
            </w:r>
          </w:p>
        </w:tc>
        <w:tc>
          <w:tcPr>
            <w:tcW w:w="230" w:type="dxa"/>
            <w:vAlign w:val="top"/>
          </w:tcPr>
          <w:p w14:paraId="7465EDA2">
            <w:pPr>
              <w:pStyle w:val="6"/>
              <w:spacing w:before="63" w:line="136" w:lineRule="exact"/>
              <w:ind w:left="21"/>
              <w:rPr>
                <w:sz w:val="18"/>
                <w:szCs w:val="18"/>
              </w:rPr>
            </w:pPr>
            <w:r>
              <w:rPr>
                <w:b/>
                <w:bCs/>
                <w:spacing w:val="-2"/>
                <w:position w:val="-2"/>
                <w:sz w:val="18"/>
                <w:szCs w:val="18"/>
              </w:rPr>
              <w:t>C</w:t>
            </w:r>
          </w:p>
        </w:tc>
        <w:tc>
          <w:tcPr>
            <w:tcW w:w="224" w:type="dxa"/>
            <w:vAlign w:val="top"/>
          </w:tcPr>
          <w:p w14:paraId="6CCBBC1F">
            <w:pPr>
              <w:pStyle w:val="6"/>
              <w:spacing w:before="66" w:line="133" w:lineRule="exact"/>
              <w:ind w:left="61"/>
              <w:rPr>
                <w:sz w:val="18"/>
                <w:szCs w:val="18"/>
              </w:rPr>
            </w:pPr>
            <w:r>
              <w:rPr>
                <w:b/>
                <w:bCs/>
                <w:spacing w:val="-2"/>
                <w:position w:val="-2"/>
                <w:sz w:val="18"/>
                <w:szCs w:val="18"/>
              </w:rPr>
              <w:t>D</w:t>
            </w:r>
          </w:p>
        </w:tc>
      </w:tr>
      <w:tr w14:paraId="637B54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09" w:hRule="atLeast"/>
        </w:trPr>
        <w:tc>
          <w:tcPr>
            <w:tcW w:w="833" w:type="dxa"/>
            <w:vAlign w:val="top"/>
          </w:tcPr>
          <w:p w14:paraId="29B9D849">
            <w:pPr>
              <w:pStyle w:val="6"/>
              <w:spacing w:before="49" w:line="204" w:lineRule="auto"/>
              <w:ind w:left="44"/>
              <w:rPr>
                <w:sz w:val="18"/>
                <w:szCs w:val="18"/>
              </w:rPr>
            </w:pPr>
            <w:r>
              <w:rPr>
                <w:spacing w:val="1"/>
                <w:sz w:val="18"/>
                <w:szCs w:val="18"/>
              </w:rPr>
              <w:t>图形设计</w:t>
            </w:r>
          </w:p>
          <w:p w14:paraId="795484C8">
            <w:pPr>
              <w:pStyle w:val="6"/>
              <w:spacing w:line="211" w:lineRule="auto"/>
              <w:ind w:left="225"/>
              <w:rPr>
                <w:sz w:val="18"/>
                <w:szCs w:val="18"/>
              </w:rPr>
            </w:pPr>
            <w:r>
              <w:rPr>
                <w:spacing w:val="-3"/>
                <w:sz w:val="18"/>
                <w:szCs w:val="18"/>
              </w:rPr>
              <w:t>软件</w:t>
            </w:r>
          </w:p>
          <w:p w14:paraId="2D00EBA1">
            <w:pPr>
              <w:pStyle w:val="6"/>
              <w:spacing w:line="180" w:lineRule="auto"/>
              <w:ind w:left="15"/>
            </w:pPr>
            <w:r>
              <w:rPr>
                <w:spacing w:val="-1"/>
              </w:rPr>
              <w:t>CorelDraw</w:t>
            </w:r>
          </w:p>
          <w:p w14:paraId="7AAD3D79">
            <w:pPr>
              <w:pStyle w:val="6"/>
              <w:spacing w:line="192" w:lineRule="auto"/>
              <w:ind w:left="225"/>
            </w:pPr>
            <w:r>
              <w:rPr>
                <w:spacing w:val="13"/>
              </w:rPr>
              <w:t>概述</w:t>
            </w:r>
          </w:p>
        </w:tc>
        <w:tc>
          <w:tcPr>
            <w:tcW w:w="2384" w:type="dxa"/>
            <w:vAlign w:val="top"/>
          </w:tcPr>
          <w:p w14:paraId="752D7317">
            <w:pPr>
              <w:pStyle w:val="6"/>
              <w:spacing w:before="47" w:line="195" w:lineRule="auto"/>
              <w:ind w:left="12" w:right="283"/>
              <w:rPr>
                <w:sz w:val="18"/>
                <w:szCs w:val="18"/>
              </w:rPr>
            </w:pPr>
            <w:r>
              <w:rPr>
                <w:spacing w:val="1"/>
                <w:sz w:val="18"/>
                <w:szCs w:val="18"/>
              </w:rPr>
              <w:t>1.</w:t>
            </w:r>
            <w:r>
              <w:rPr>
                <w:sz w:val="18"/>
                <w:szCs w:val="18"/>
              </w:rPr>
              <w:t>CorelDraw</w:t>
            </w:r>
            <w:r>
              <w:rPr>
                <w:spacing w:val="1"/>
                <w:sz w:val="18"/>
                <w:szCs w:val="18"/>
              </w:rPr>
              <w:t>软件包的组成</w:t>
            </w:r>
            <w:r>
              <w:rPr>
                <w:sz w:val="18"/>
                <w:szCs w:val="18"/>
              </w:rPr>
              <w:t xml:space="preserve"> </w:t>
            </w:r>
            <w:r>
              <w:rPr>
                <w:spacing w:val="-1"/>
                <w:sz w:val="18"/>
                <w:szCs w:val="18"/>
              </w:rPr>
              <w:t>2.CorelDraw的工作界面</w:t>
            </w:r>
          </w:p>
          <w:p w14:paraId="0E2AA709">
            <w:pPr>
              <w:pStyle w:val="6"/>
              <w:spacing w:line="194" w:lineRule="auto"/>
              <w:ind w:left="12"/>
              <w:rPr>
                <w:sz w:val="18"/>
                <w:szCs w:val="18"/>
              </w:rPr>
            </w:pPr>
            <w:r>
              <w:rPr>
                <w:spacing w:val="-1"/>
                <w:sz w:val="18"/>
                <w:szCs w:val="18"/>
              </w:rPr>
              <w:t>3.CorelDraw的基本概念</w:t>
            </w:r>
          </w:p>
          <w:p w14:paraId="267D4D71">
            <w:pPr>
              <w:pStyle w:val="6"/>
              <w:spacing w:line="186" w:lineRule="auto"/>
              <w:ind w:left="12"/>
              <w:rPr>
                <w:sz w:val="18"/>
                <w:szCs w:val="18"/>
              </w:rPr>
            </w:pPr>
            <w:r>
              <w:rPr>
                <w:spacing w:val="-1"/>
                <w:sz w:val="18"/>
                <w:szCs w:val="18"/>
              </w:rPr>
              <w:t>4.CorelDraw的基本菜单操作</w:t>
            </w:r>
          </w:p>
        </w:tc>
        <w:tc>
          <w:tcPr>
            <w:tcW w:w="229" w:type="dxa"/>
            <w:vAlign w:val="top"/>
          </w:tcPr>
          <w:p w14:paraId="7204E388">
            <w:pPr>
              <w:rPr>
                <w:rFonts w:ascii="Arial"/>
                <w:sz w:val="21"/>
              </w:rPr>
            </w:pPr>
          </w:p>
        </w:tc>
        <w:tc>
          <w:tcPr>
            <w:tcW w:w="210" w:type="dxa"/>
            <w:vAlign w:val="top"/>
          </w:tcPr>
          <w:p w14:paraId="65FA1D1F">
            <w:pPr>
              <w:rPr>
                <w:rFonts w:ascii="Arial"/>
                <w:sz w:val="21"/>
              </w:rPr>
            </w:pPr>
          </w:p>
        </w:tc>
        <w:tc>
          <w:tcPr>
            <w:tcW w:w="230" w:type="dxa"/>
            <w:vAlign w:val="top"/>
          </w:tcPr>
          <w:p w14:paraId="439BBB09">
            <w:pPr>
              <w:rPr>
                <w:rFonts w:ascii="Arial"/>
                <w:sz w:val="21"/>
              </w:rPr>
            </w:pPr>
          </w:p>
        </w:tc>
        <w:tc>
          <w:tcPr>
            <w:tcW w:w="224" w:type="dxa"/>
            <w:vAlign w:val="top"/>
          </w:tcPr>
          <w:p w14:paraId="314191D6">
            <w:pPr>
              <w:rPr>
                <w:rFonts w:ascii="Arial"/>
                <w:sz w:val="21"/>
              </w:rPr>
            </w:pPr>
          </w:p>
        </w:tc>
      </w:tr>
      <w:tr w14:paraId="0F06F2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88" w:hRule="atLeast"/>
        </w:trPr>
        <w:tc>
          <w:tcPr>
            <w:tcW w:w="833" w:type="dxa"/>
            <w:vAlign w:val="top"/>
          </w:tcPr>
          <w:p w14:paraId="3318E00A">
            <w:pPr>
              <w:spacing w:line="417" w:lineRule="auto"/>
              <w:rPr>
                <w:rFonts w:ascii="Arial"/>
                <w:sz w:val="21"/>
              </w:rPr>
            </w:pPr>
          </w:p>
          <w:p w14:paraId="54E6C28E">
            <w:pPr>
              <w:pStyle w:val="6"/>
              <w:spacing w:before="59" w:line="196" w:lineRule="auto"/>
              <w:ind w:left="44"/>
              <w:rPr>
                <w:sz w:val="18"/>
                <w:szCs w:val="18"/>
              </w:rPr>
            </w:pPr>
            <w:r>
              <w:rPr>
                <w:spacing w:val="-2"/>
                <w:sz w:val="18"/>
                <w:szCs w:val="18"/>
              </w:rPr>
              <w:t>基本对象</w:t>
            </w:r>
          </w:p>
          <w:p w14:paraId="50F80421">
            <w:pPr>
              <w:pStyle w:val="6"/>
              <w:spacing w:line="194" w:lineRule="auto"/>
              <w:ind w:left="44"/>
              <w:rPr>
                <w:sz w:val="18"/>
                <w:szCs w:val="18"/>
              </w:rPr>
            </w:pPr>
            <w:r>
              <w:rPr>
                <w:spacing w:val="3"/>
                <w:sz w:val="18"/>
                <w:szCs w:val="18"/>
              </w:rPr>
              <w:t>的绘制与</w:t>
            </w:r>
          </w:p>
          <w:p w14:paraId="07A9A19A">
            <w:pPr>
              <w:pStyle w:val="6"/>
              <w:spacing w:line="219" w:lineRule="auto"/>
              <w:ind w:left="225"/>
              <w:rPr>
                <w:sz w:val="18"/>
                <w:szCs w:val="18"/>
              </w:rPr>
            </w:pPr>
            <w:r>
              <w:rPr>
                <w:spacing w:val="-2"/>
                <w:sz w:val="18"/>
                <w:szCs w:val="18"/>
              </w:rPr>
              <w:t>修改</w:t>
            </w:r>
          </w:p>
        </w:tc>
        <w:tc>
          <w:tcPr>
            <w:tcW w:w="2384" w:type="dxa"/>
            <w:vAlign w:val="top"/>
          </w:tcPr>
          <w:p w14:paraId="3EE17CBC">
            <w:pPr>
              <w:pStyle w:val="6"/>
              <w:spacing w:before="8" w:line="219" w:lineRule="auto"/>
              <w:ind w:left="12"/>
              <w:rPr>
                <w:sz w:val="16"/>
                <w:szCs w:val="16"/>
              </w:rPr>
            </w:pPr>
            <w:r>
              <w:rPr>
                <w:sz w:val="16"/>
                <w:szCs w:val="16"/>
              </w:rPr>
              <w:t>1.绘制规则形状对象</w:t>
            </w:r>
          </w:p>
          <w:p w14:paraId="16ABFD69">
            <w:pPr>
              <w:pStyle w:val="6"/>
              <w:spacing w:line="219" w:lineRule="auto"/>
              <w:ind w:left="12" w:right="120" w:firstLine="10"/>
              <w:rPr>
                <w:sz w:val="16"/>
                <w:szCs w:val="16"/>
              </w:rPr>
            </w:pPr>
            <w:r>
              <w:rPr>
                <w:spacing w:val="-1"/>
                <w:sz w:val="16"/>
                <w:szCs w:val="16"/>
              </w:rPr>
              <w:t>2.绘制直线及不规则形状与图样</w:t>
            </w:r>
            <w:r>
              <w:rPr>
                <w:spacing w:val="5"/>
                <w:sz w:val="16"/>
                <w:szCs w:val="16"/>
              </w:rPr>
              <w:t xml:space="preserve"> </w:t>
            </w:r>
            <w:r>
              <w:rPr>
                <w:spacing w:val="-2"/>
                <w:sz w:val="16"/>
                <w:szCs w:val="16"/>
              </w:rPr>
              <w:t>3.修改对象</w:t>
            </w:r>
          </w:p>
          <w:p w14:paraId="3A3C92E4">
            <w:pPr>
              <w:pStyle w:val="6"/>
              <w:spacing w:line="208" w:lineRule="auto"/>
              <w:ind w:left="12"/>
              <w:rPr>
                <w:sz w:val="16"/>
                <w:szCs w:val="16"/>
              </w:rPr>
            </w:pPr>
            <w:r>
              <w:rPr>
                <w:spacing w:val="-1"/>
                <w:sz w:val="16"/>
                <w:szCs w:val="16"/>
              </w:rPr>
              <w:t>4.绘制常用特殊形状</w:t>
            </w:r>
          </w:p>
          <w:p w14:paraId="2FC0067B">
            <w:pPr>
              <w:pStyle w:val="6"/>
              <w:spacing w:before="1" w:line="201" w:lineRule="auto"/>
              <w:ind w:left="12" w:right="451"/>
              <w:rPr>
                <w:sz w:val="16"/>
                <w:szCs w:val="16"/>
              </w:rPr>
            </w:pPr>
            <w:r>
              <w:rPr>
                <w:spacing w:val="-1"/>
                <w:sz w:val="16"/>
                <w:szCs w:val="16"/>
              </w:rPr>
              <w:t>5.图形的选取、复制与变换</w:t>
            </w:r>
            <w:r>
              <w:rPr>
                <w:spacing w:val="2"/>
                <w:sz w:val="16"/>
                <w:szCs w:val="16"/>
              </w:rPr>
              <w:t xml:space="preserve"> </w:t>
            </w:r>
            <w:r>
              <w:rPr>
                <w:spacing w:val="-1"/>
                <w:sz w:val="16"/>
                <w:szCs w:val="16"/>
              </w:rPr>
              <w:t>6.对象的组织与排序</w:t>
            </w:r>
          </w:p>
          <w:p w14:paraId="294F6399">
            <w:pPr>
              <w:pStyle w:val="6"/>
              <w:spacing w:before="1" w:line="212" w:lineRule="auto"/>
              <w:ind w:left="12" w:right="612"/>
              <w:rPr>
                <w:sz w:val="16"/>
                <w:szCs w:val="16"/>
              </w:rPr>
            </w:pPr>
            <w:r>
              <w:rPr>
                <w:spacing w:val="-1"/>
                <w:sz w:val="16"/>
                <w:szCs w:val="16"/>
              </w:rPr>
              <w:t>实例一上海银行标志设计</w:t>
            </w:r>
            <w:r>
              <w:rPr>
                <w:sz w:val="16"/>
                <w:szCs w:val="16"/>
              </w:rPr>
              <w:t xml:space="preserve"> </w:t>
            </w:r>
            <w:r>
              <w:rPr>
                <w:spacing w:val="-1"/>
                <w:sz w:val="16"/>
                <w:szCs w:val="16"/>
              </w:rPr>
              <w:t>实例二店面招牌设计</w:t>
            </w:r>
          </w:p>
        </w:tc>
        <w:tc>
          <w:tcPr>
            <w:tcW w:w="229" w:type="dxa"/>
            <w:vAlign w:val="top"/>
          </w:tcPr>
          <w:p w14:paraId="6126F28A">
            <w:pPr>
              <w:rPr>
                <w:rFonts w:ascii="Arial"/>
                <w:sz w:val="21"/>
              </w:rPr>
            </w:pPr>
          </w:p>
        </w:tc>
        <w:tc>
          <w:tcPr>
            <w:tcW w:w="210" w:type="dxa"/>
            <w:vAlign w:val="top"/>
          </w:tcPr>
          <w:p w14:paraId="03042BAF">
            <w:pPr>
              <w:rPr>
                <w:rFonts w:ascii="Arial"/>
                <w:sz w:val="21"/>
              </w:rPr>
            </w:pPr>
          </w:p>
        </w:tc>
        <w:tc>
          <w:tcPr>
            <w:tcW w:w="230" w:type="dxa"/>
            <w:vAlign w:val="top"/>
          </w:tcPr>
          <w:p w14:paraId="18A7E441">
            <w:pPr>
              <w:rPr>
                <w:rFonts w:ascii="Arial"/>
                <w:sz w:val="21"/>
              </w:rPr>
            </w:pPr>
          </w:p>
        </w:tc>
        <w:tc>
          <w:tcPr>
            <w:tcW w:w="224" w:type="dxa"/>
            <w:vAlign w:val="top"/>
          </w:tcPr>
          <w:p w14:paraId="36B84C2A">
            <w:pPr>
              <w:rPr>
                <w:rFonts w:ascii="Arial"/>
                <w:sz w:val="21"/>
              </w:rPr>
            </w:pPr>
          </w:p>
        </w:tc>
      </w:tr>
      <w:tr w14:paraId="18FD79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99" w:hRule="atLeast"/>
        </w:trPr>
        <w:tc>
          <w:tcPr>
            <w:tcW w:w="833" w:type="dxa"/>
            <w:vAlign w:val="top"/>
          </w:tcPr>
          <w:p w14:paraId="61EAA4C9">
            <w:pPr>
              <w:pStyle w:val="6"/>
              <w:spacing w:before="231" w:line="195" w:lineRule="auto"/>
              <w:ind w:left="135"/>
              <w:rPr>
                <w:sz w:val="18"/>
                <w:szCs w:val="18"/>
              </w:rPr>
            </w:pPr>
            <w:r>
              <w:rPr>
                <w:spacing w:val="4"/>
                <w:sz w:val="18"/>
                <w:szCs w:val="18"/>
              </w:rPr>
              <w:t>轮廓与</w:t>
            </w:r>
          </w:p>
          <w:p w14:paraId="1B7E12B5">
            <w:pPr>
              <w:pStyle w:val="6"/>
              <w:spacing w:line="220" w:lineRule="auto"/>
              <w:ind w:left="225"/>
              <w:rPr>
                <w:sz w:val="18"/>
                <w:szCs w:val="18"/>
              </w:rPr>
            </w:pPr>
            <w:r>
              <w:rPr>
                <w:spacing w:val="-3"/>
                <w:sz w:val="18"/>
                <w:szCs w:val="18"/>
              </w:rPr>
              <w:t>填充</w:t>
            </w:r>
          </w:p>
        </w:tc>
        <w:tc>
          <w:tcPr>
            <w:tcW w:w="2384" w:type="dxa"/>
            <w:vAlign w:val="top"/>
          </w:tcPr>
          <w:p w14:paraId="16C13E26">
            <w:pPr>
              <w:pStyle w:val="6"/>
              <w:spacing w:before="32" w:line="193" w:lineRule="auto"/>
              <w:ind w:left="12"/>
              <w:rPr>
                <w:sz w:val="18"/>
                <w:szCs w:val="18"/>
              </w:rPr>
            </w:pPr>
            <w:r>
              <w:rPr>
                <w:spacing w:val="1"/>
                <w:sz w:val="18"/>
                <w:szCs w:val="18"/>
              </w:rPr>
              <w:t>1.色彩设置</w:t>
            </w:r>
          </w:p>
          <w:p w14:paraId="53EEE736">
            <w:pPr>
              <w:pStyle w:val="6"/>
              <w:spacing w:line="184" w:lineRule="auto"/>
              <w:ind w:left="12"/>
              <w:rPr>
                <w:sz w:val="18"/>
                <w:szCs w:val="18"/>
              </w:rPr>
            </w:pPr>
            <w:r>
              <w:rPr>
                <w:spacing w:val="-2"/>
                <w:sz w:val="18"/>
                <w:szCs w:val="18"/>
              </w:rPr>
              <w:t>2.对象的轮廓编辑</w:t>
            </w:r>
          </w:p>
          <w:p w14:paraId="49BB4A54">
            <w:pPr>
              <w:pStyle w:val="6"/>
              <w:spacing w:line="194" w:lineRule="auto"/>
              <w:ind w:left="12"/>
              <w:rPr>
                <w:sz w:val="18"/>
                <w:szCs w:val="18"/>
              </w:rPr>
            </w:pPr>
            <w:r>
              <w:rPr>
                <w:spacing w:val="-2"/>
                <w:sz w:val="18"/>
                <w:szCs w:val="18"/>
              </w:rPr>
              <w:t>3.对象的填充编辑</w:t>
            </w:r>
          </w:p>
          <w:p w14:paraId="06C90FFF">
            <w:pPr>
              <w:pStyle w:val="6"/>
              <w:spacing w:line="203" w:lineRule="auto"/>
              <w:ind w:left="12"/>
              <w:rPr>
                <w:sz w:val="18"/>
                <w:szCs w:val="18"/>
              </w:rPr>
            </w:pPr>
            <w:r>
              <w:rPr>
                <w:spacing w:val="-2"/>
                <w:sz w:val="18"/>
                <w:szCs w:val="18"/>
              </w:rPr>
              <w:t>实例三书籍封面设计</w:t>
            </w:r>
          </w:p>
        </w:tc>
        <w:tc>
          <w:tcPr>
            <w:tcW w:w="229" w:type="dxa"/>
            <w:vAlign w:val="top"/>
          </w:tcPr>
          <w:p w14:paraId="07B60CDB">
            <w:pPr>
              <w:rPr>
                <w:rFonts w:ascii="Arial"/>
                <w:sz w:val="21"/>
              </w:rPr>
            </w:pPr>
          </w:p>
        </w:tc>
        <w:tc>
          <w:tcPr>
            <w:tcW w:w="210" w:type="dxa"/>
            <w:vAlign w:val="top"/>
          </w:tcPr>
          <w:p w14:paraId="0635A7CF">
            <w:pPr>
              <w:rPr>
                <w:rFonts w:ascii="Arial"/>
                <w:sz w:val="21"/>
              </w:rPr>
            </w:pPr>
          </w:p>
        </w:tc>
        <w:tc>
          <w:tcPr>
            <w:tcW w:w="230" w:type="dxa"/>
            <w:vAlign w:val="top"/>
          </w:tcPr>
          <w:p w14:paraId="66646685">
            <w:pPr>
              <w:rPr>
                <w:rFonts w:ascii="Arial"/>
                <w:sz w:val="21"/>
              </w:rPr>
            </w:pPr>
          </w:p>
        </w:tc>
        <w:tc>
          <w:tcPr>
            <w:tcW w:w="224" w:type="dxa"/>
            <w:vAlign w:val="top"/>
          </w:tcPr>
          <w:p w14:paraId="68F7D003">
            <w:pPr>
              <w:rPr>
                <w:rFonts w:ascii="Arial"/>
                <w:sz w:val="21"/>
              </w:rPr>
            </w:pPr>
          </w:p>
        </w:tc>
      </w:tr>
      <w:tr w14:paraId="3E4A24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79" w:hRule="atLeast"/>
        </w:trPr>
        <w:tc>
          <w:tcPr>
            <w:tcW w:w="833" w:type="dxa"/>
            <w:vAlign w:val="top"/>
          </w:tcPr>
          <w:p w14:paraId="2863C93B">
            <w:pPr>
              <w:spacing w:line="242" w:lineRule="auto"/>
              <w:rPr>
                <w:rFonts w:ascii="Arial"/>
                <w:sz w:val="21"/>
              </w:rPr>
            </w:pPr>
          </w:p>
          <w:p w14:paraId="45978CC1">
            <w:pPr>
              <w:pStyle w:val="6"/>
              <w:spacing w:before="59" w:line="219" w:lineRule="auto"/>
              <w:ind w:left="44"/>
              <w:rPr>
                <w:sz w:val="18"/>
                <w:szCs w:val="18"/>
              </w:rPr>
            </w:pPr>
            <w:r>
              <w:rPr>
                <w:spacing w:val="-2"/>
                <w:sz w:val="18"/>
                <w:szCs w:val="18"/>
              </w:rPr>
              <w:t>文字处理</w:t>
            </w:r>
          </w:p>
        </w:tc>
        <w:tc>
          <w:tcPr>
            <w:tcW w:w="2384" w:type="dxa"/>
            <w:vAlign w:val="top"/>
          </w:tcPr>
          <w:p w14:paraId="5FF6933F">
            <w:pPr>
              <w:pStyle w:val="6"/>
              <w:spacing w:before="32" w:line="194" w:lineRule="auto"/>
              <w:ind w:left="12"/>
              <w:rPr>
                <w:sz w:val="18"/>
                <w:szCs w:val="18"/>
              </w:rPr>
            </w:pPr>
            <w:r>
              <w:rPr>
                <w:sz w:val="18"/>
                <w:szCs w:val="18"/>
              </w:rPr>
              <w:t>1.美术字的设置</w:t>
            </w:r>
          </w:p>
          <w:p w14:paraId="0841C73A">
            <w:pPr>
              <w:pStyle w:val="6"/>
              <w:spacing w:line="187" w:lineRule="auto"/>
              <w:ind w:left="12" w:right="910"/>
              <w:rPr>
                <w:sz w:val="18"/>
                <w:szCs w:val="18"/>
              </w:rPr>
            </w:pPr>
            <w:r>
              <w:rPr>
                <w:spacing w:val="-2"/>
                <w:sz w:val="18"/>
                <w:szCs w:val="18"/>
              </w:rPr>
              <w:t>2.段落文本的设置</w:t>
            </w:r>
            <w:r>
              <w:rPr>
                <w:spacing w:val="7"/>
                <w:sz w:val="18"/>
                <w:szCs w:val="18"/>
              </w:rPr>
              <w:t xml:space="preserve"> </w:t>
            </w:r>
            <w:r>
              <w:rPr>
                <w:spacing w:val="1"/>
                <w:sz w:val="18"/>
                <w:szCs w:val="18"/>
              </w:rPr>
              <w:t>实例四图章的制作</w:t>
            </w:r>
            <w:r>
              <w:rPr>
                <w:spacing w:val="2"/>
                <w:sz w:val="18"/>
                <w:szCs w:val="18"/>
              </w:rPr>
              <w:t xml:space="preserve"> </w:t>
            </w:r>
            <w:r>
              <w:rPr>
                <w:spacing w:val="-2"/>
                <w:sz w:val="18"/>
                <w:szCs w:val="18"/>
              </w:rPr>
              <w:t>实例五版式设计</w:t>
            </w:r>
          </w:p>
        </w:tc>
        <w:tc>
          <w:tcPr>
            <w:tcW w:w="229" w:type="dxa"/>
            <w:vAlign w:val="top"/>
          </w:tcPr>
          <w:p w14:paraId="3B95FFFE">
            <w:pPr>
              <w:rPr>
                <w:rFonts w:ascii="Arial"/>
                <w:sz w:val="21"/>
              </w:rPr>
            </w:pPr>
          </w:p>
        </w:tc>
        <w:tc>
          <w:tcPr>
            <w:tcW w:w="210" w:type="dxa"/>
            <w:vAlign w:val="top"/>
          </w:tcPr>
          <w:p w14:paraId="3A354A79">
            <w:pPr>
              <w:rPr>
                <w:rFonts w:ascii="Arial"/>
                <w:sz w:val="21"/>
              </w:rPr>
            </w:pPr>
          </w:p>
        </w:tc>
        <w:tc>
          <w:tcPr>
            <w:tcW w:w="230" w:type="dxa"/>
            <w:vAlign w:val="top"/>
          </w:tcPr>
          <w:p w14:paraId="54C045C3">
            <w:pPr>
              <w:rPr>
                <w:rFonts w:ascii="Arial"/>
                <w:sz w:val="21"/>
              </w:rPr>
            </w:pPr>
          </w:p>
        </w:tc>
        <w:tc>
          <w:tcPr>
            <w:tcW w:w="224" w:type="dxa"/>
            <w:vAlign w:val="top"/>
          </w:tcPr>
          <w:p w14:paraId="2A8C9747">
            <w:pPr>
              <w:rPr>
                <w:rFonts w:ascii="Arial"/>
                <w:sz w:val="21"/>
              </w:rPr>
            </w:pPr>
          </w:p>
        </w:tc>
      </w:tr>
      <w:tr w14:paraId="371EA5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828" w:hRule="atLeast"/>
        </w:trPr>
        <w:tc>
          <w:tcPr>
            <w:tcW w:w="833" w:type="dxa"/>
            <w:vAlign w:val="top"/>
          </w:tcPr>
          <w:p w14:paraId="5E2A4D51">
            <w:pPr>
              <w:spacing w:line="256" w:lineRule="auto"/>
              <w:rPr>
                <w:rFonts w:ascii="Arial"/>
                <w:sz w:val="21"/>
              </w:rPr>
            </w:pPr>
          </w:p>
          <w:p w14:paraId="14221D22">
            <w:pPr>
              <w:spacing w:line="257" w:lineRule="auto"/>
              <w:rPr>
                <w:rFonts w:ascii="Arial"/>
                <w:sz w:val="21"/>
              </w:rPr>
            </w:pPr>
          </w:p>
          <w:p w14:paraId="2EAAADB4">
            <w:pPr>
              <w:spacing w:line="257" w:lineRule="auto"/>
              <w:rPr>
                <w:rFonts w:ascii="Arial"/>
                <w:sz w:val="21"/>
              </w:rPr>
            </w:pPr>
          </w:p>
          <w:p w14:paraId="16DB43CB">
            <w:pPr>
              <w:pStyle w:val="6"/>
              <w:spacing w:before="58" w:line="219" w:lineRule="auto"/>
              <w:ind w:left="44"/>
              <w:rPr>
                <w:sz w:val="18"/>
                <w:szCs w:val="18"/>
              </w:rPr>
            </w:pPr>
            <w:r>
              <w:rPr>
                <w:spacing w:val="-2"/>
                <w:sz w:val="18"/>
                <w:szCs w:val="18"/>
              </w:rPr>
              <w:t>特殊效果</w:t>
            </w:r>
          </w:p>
        </w:tc>
        <w:tc>
          <w:tcPr>
            <w:tcW w:w="2384" w:type="dxa"/>
            <w:vAlign w:val="top"/>
          </w:tcPr>
          <w:p w14:paraId="02FCBBCF">
            <w:pPr>
              <w:pStyle w:val="6"/>
              <w:spacing w:before="43" w:line="195" w:lineRule="auto"/>
              <w:ind w:left="12"/>
              <w:rPr>
                <w:sz w:val="18"/>
                <w:szCs w:val="18"/>
              </w:rPr>
            </w:pPr>
            <w:r>
              <w:rPr>
                <w:spacing w:val="1"/>
                <w:sz w:val="18"/>
                <w:szCs w:val="18"/>
              </w:rPr>
              <w:t>1.调和效果</w:t>
            </w:r>
          </w:p>
          <w:p w14:paraId="36FEB9CA">
            <w:pPr>
              <w:pStyle w:val="6"/>
              <w:spacing w:before="2" w:line="184" w:lineRule="auto"/>
              <w:ind w:left="12" w:right="1288"/>
              <w:rPr>
                <w:sz w:val="18"/>
                <w:szCs w:val="18"/>
              </w:rPr>
            </w:pPr>
            <w:r>
              <w:rPr>
                <w:spacing w:val="-2"/>
                <w:sz w:val="18"/>
                <w:szCs w:val="18"/>
              </w:rPr>
              <w:t>2.轮廓图效果</w:t>
            </w:r>
            <w:r>
              <w:rPr>
                <w:spacing w:val="3"/>
                <w:sz w:val="18"/>
                <w:szCs w:val="18"/>
              </w:rPr>
              <w:t xml:space="preserve"> </w:t>
            </w:r>
            <w:r>
              <w:rPr>
                <w:spacing w:val="-2"/>
                <w:sz w:val="18"/>
                <w:szCs w:val="18"/>
              </w:rPr>
              <w:t>3.交互式变形</w:t>
            </w:r>
            <w:r>
              <w:rPr>
                <w:spacing w:val="2"/>
                <w:sz w:val="18"/>
                <w:szCs w:val="18"/>
              </w:rPr>
              <w:t xml:space="preserve"> </w:t>
            </w:r>
            <w:r>
              <w:rPr>
                <w:spacing w:val="-1"/>
                <w:sz w:val="18"/>
                <w:szCs w:val="18"/>
              </w:rPr>
              <w:t>4.交互式封套</w:t>
            </w:r>
            <w:r>
              <w:rPr>
                <w:sz w:val="18"/>
                <w:szCs w:val="18"/>
              </w:rPr>
              <w:t xml:space="preserve"> </w:t>
            </w:r>
            <w:r>
              <w:rPr>
                <w:spacing w:val="-3"/>
                <w:sz w:val="18"/>
                <w:szCs w:val="18"/>
              </w:rPr>
              <w:t>5.立体化</w:t>
            </w:r>
          </w:p>
          <w:p w14:paraId="2C310E5B">
            <w:pPr>
              <w:pStyle w:val="6"/>
              <w:spacing w:line="184" w:lineRule="auto"/>
              <w:ind w:left="12" w:right="1451"/>
              <w:jc w:val="both"/>
              <w:rPr>
                <w:sz w:val="18"/>
                <w:szCs w:val="18"/>
              </w:rPr>
            </w:pPr>
            <w:r>
              <w:rPr>
                <w:spacing w:val="-2"/>
                <w:sz w:val="18"/>
                <w:szCs w:val="18"/>
              </w:rPr>
              <w:t>6.阴影效果</w:t>
            </w:r>
            <w:r>
              <w:rPr>
                <w:spacing w:val="2"/>
                <w:sz w:val="18"/>
                <w:szCs w:val="18"/>
              </w:rPr>
              <w:t xml:space="preserve"> </w:t>
            </w:r>
            <w:r>
              <w:rPr>
                <w:spacing w:val="1"/>
                <w:sz w:val="18"/>
                <w:szCs w:val="18"/>
              </w:rPr>
              <w:t>7.透明效果</w:t>
            </w:r>
            <w:r>
              <w:rPr>
                <w:spacing w:val="3"/>
                <w:sz w:val="18"/>
                <w:szCs w:val="18"/>
              </w:rPr>
              <w:t xml:space="preserve"> </w:t>
            </w:r>
            <w:r>
              <w:rPr>
                <w:spacing w:val="-2"/>
                <w:sz w:val="18"/>
                <w:szCs w:val="18"/>
              </w:rPr>
              <w:t>8.透镜效果</w:t>
            </w:r>
          </w:p>
          <w:p w14:paraId="52268A06">
            <w:pPr>
              <w:pStyle w:val="6"/>
              <w:spacing w:line="176" w:lineRule="auto"/>
              <w:ind w:left="12" w:right="1093"/>
            </w:pPr>
            <w:r>
              <w:rPr>
                <w:spacing w:val="5"/>
              </w:rPr>
              <w:t>9.</w:t>
            </w:r>
            <w:r>
              <w:rPr>
                <w:spacing w:val="-49"/>
              </w:rPr>
              <w:t xml:space="preserve"> </w:t>
            </w:r>
            <w:r>
              <w:rPr>
                <w:spacing w:val="5"/>
              </w:rPr>
              <w:t>图框精确裁剪</w:t>
            </w:r>
            <w:r>
              <w:t xml:space="preserve"> </w:t>
            </w:r>
            <w:r>
              <w:rPr>
                <w:spacing w:val="11"/>
              </w:rPr>
              <w:t>实例六日月星辰</w:t>
            </w:r>
          </w:p>
        </w:tc>
        <w:tc>
          <w:tcPr>
            <w:tcW w:w="229" w:type="dxa"/>
            <w:vAlign w:val="top"/>
          </w:tcPr>
          <w:p w14:paraId="53AAF8A6">
            <w:pPr>
              <w:rPr>
                <w:rFonts w:ascii="Arial"/>
                <w:sz w:val="21"/>
              </w:rPr>
            </w:pPr>
          </w:p>
        </w:tc>
        <w:tc>
          <w:tcPr>
            <w:tcW w:w="210" w:type="dxa"/>
            <w:vAlign w:val="top"/>
          </w:tcPr>
          <w:p w14:paraId="5A1C3C33">
            <w:pPr>
              <w:rPr>
                <w:rFonts w:ascii="Arial"/>
                <w:sz w:val="21"/>
              </w:rPr>
            </w:pPr>
          </w:p>
        </w:tc>
        <w:tc>
          <w:tcPr>
            <w:tcW w:w="230" w:type="dxa"/>
            <w:vAlign w:val="top"/>
          </w:tcPr>
          <w:p w14:paraId="0BD19803">
            <w:pPr>
              <w:rPr>
                <w:rFonts w:ascii="Arial"/>
                <w:sz w:val="21"/>
              </w:rPr>
            </w:pPr>
          </w:p>
        </w:tc>
        <w:tc>
          <w:tcPr>
            <w:tcW w:w="224" w:type="dxa"/>
            <w:vAlign w:val="top"/>
          </w:tcPr>
          <w:p w14:paraId="3AB8FD72">
            <w:pPr>
              <w:rPr>
                <w:rFonts w:ascii="Arial"/>
                <w:sz w:val="21"/>
              </w:rPr>
            </w:pPr>
          </w:p>
        </w:tc>
      </w:tr>
      <w:tr w14:paraId="4857C4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49" w:hRule="atLeast"/>
        </w:trPr>
        <w:tc>
          <w:tcPr>
            <w:tcW w:w="833" w:type="dxa"/>
            <w:vAlign w:val="top"/>
          </w:tcPr>
          <w:p w14:paraId="385926EB">
            <w:pPr>
              <w:spacing w:line="266" w:lineRule="auto"/>
              <w:rPr>
                <w:rFonts w:ascii="Arial"/>
                <w:sz w:val="21"/>
              </w:rPr>
            </w:pPr>
          </w:p>
          <w:p w14:paraId="74985EED">
            <w:pPr>
              <w:pStyle w:val="6"/>
              <w:spacing w:before="58" w:line="198" w:lineRule="auto"/>
              <w:ind w:left="135"/>
              <w:rPr>
                <w:sz w:val="18"/>
                <w:szCs w:val="18"/>
              </w:rPr>
            </w:pPr>
            <w:r>
              <w:rPr>
                <w:spacing w:val="4"/>
                <w:sz w:val="18"/>
                <w:szCs w:val="18"/>
              </w:rPr>
              <w:t>位图的</w:t>
            </w:r>
          </w:p>
          <w:p w14:paraId="7ACF26FA">
            <w:pPr>
              <w:pStyle w:val="6"/>
              <w:spacing w:line="223" w:lineRule="auto"/>
              <w:ind w:left="225"/>
              <w:rPr>
                <w:sz w:val="18"/>
                <w:szCs w:val="18"/>
              </w:rPr>
            </w:pPr>
            <w:r>
              <w:rPr>
                <w:spacing w:val="-3"/>
                <w:sz w:val="18"/>
                <w:szCs w:val="18"/>
              </w:rPr>
              <w:t>处理</w:t>
            </w:r>
          </w:p>
        </w:tc>
        <w:tc>
          <w:tcPr>
            <w:tcW w:w="2384" w:type="dxa"/>
            <w:vAlign w:val="top"/>
          </w:tcPr>
          <w:p w14:paraId="105F103F">
            <w:pPr>
              <w:pStyle w:val="6"/>
              <w:spacing w:before="55" w:line="195" w:lineRule="auto"/>
              <w:ind w:left="12" w:right="1086"/>
            </w:pPr>
            <w:r>
              <w:rPr>
                <w:spacing w:val="1"/>
                <w:sz w:val="18"/>
                <w:szCs w:val="18"/>
              </w:rPr>
              <w:t>1.输入裁剪位图</w:t>
            </w:r>
            <w:r>
              <w:rPr>
                <w:spacing w:val="6"/>
                <w:sz w:val="18"/>
                <w:szCs w:val="18"/>
              </w:rPr>
              <w:t xml:space="preserve"> </w:t>
            </w:r>
            <w:r>
              <w:rPr>
                <w:spacing w:val="9"/>
              </w:rPr>
              <w:t>2.位图的编辑</w:t>
            </w:r>
          </w:p>
          <w:p w14:paraId="20E635CE">
            <w:pPr>
              <w:pStyle w:val="6"/>
              <w:spacing w:line="184" w:lineRule="auto"/>
              <w:ind w:left="12" w:right="554"/>
            </w:pPr>
            <w:r>
              <w:rPr>
                <w:spacing w:val="9"/>
              </w:rPr>
              <w:t>3.位图与矢量图的转化</w:t>
            </w:r>
            <w:r>
              <w:rPr>
                <w:spacing w:val="7"/>
              </w:rPr>
              <w:t xml:space="preserve"> </w:t>
            </w:r>
            <w:r>
              <w:rPr>
                <w:spacing w:val="9"/>
              </w:rPr>
              <w:t>4.位图的特效</w:t>
            </w:r>
          </w:p>
          <w:p w14:paraId="78218374">
            <w:pPr>
              <w:pStyle w:val="6"/>
              <w:spacing w:line="189" w:lineRule="auto"/>
              <w:ind w:left="12"/>
            </w:pPr>
            <w:r>
              <w:rPr>
                <w:spacing w:val="10"/>
              </w:rPr>
              <w:t>实例七展览会门票设计</w:t>
            </w:r>
          </w:p>
        </w:tc>
        <w:tc>
          <w:tcPr>
            <w:tcW w:w="229" w:type="dxa"/>
            <w:vAlign w:val="top"/>
          </w:tcPr>
          <w:p w14:paraId="7A7CB2D4">
            <w:pPr>
              <w:rPr>
                <w:rFonts w:ascii="Arial"/>
                <w:sz w:val="21"/>
              </w:rPr>
            </w:pPr>
          </w:p>
        </w:tc>
        <w:tc>
          <w:tcPr>
            <w:tcW w:w="210" w:type="dxa"/>
            <w:vAlign w:val="top"/>
          </w:tcPr>
          <w:p w14:paraId="67D577F4">
            <w:pPr>
              <w:rPr>
                <w:rFonts w:ascii="Arial"/>
                <w:sz w:val="21"/>
              </w:rPr>
            </w:pPr>
          </w:p>
        </w:tc>
        <w:tc>
          <w:tcPr>
            <w:tcW w:w="230" w:type="dxa"/>
            <w:vAlign w:val="top"/>
          </w:tcPr>
          <w:p w14:paraId="00170668">
            <w:pPr>
              <w:rPr>
                <w:rFonts w:ascii="Arial"/>
                <w:sz w:val="21"/>
              </w:rPr>
            </w:pPr>
          </w:p>
        </w:tc>
        <w:tc>
          <w:tcPr>
            <w:tcW w:w="224" w:type="dxa"/>
            <w:vAlign w:val="top"/>
          </w:tcPr>
          <w:p w14:paraId="7F9C5C28">
            <w:pPr>
              <w:rPr>
                <w:rFonts w:ascii="Arial"/>
                <w:sz w:val="21"/>
              </w:rPr>
            </w:pPr>
          </w:p>
        </w:tc>
      </w:tr>
      <w:tr w14:paraId="7A792B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54" w:hRule="atLeast"/>
        </w:trPr>
        <w:tc>
          <w:tcPr>
            <w:tcW w:w="833" w:type="dxa"/>
            <w:vAlign w:val="top"/>
          </w:tcPr>
          <w:p w14:paraId="78338073">
            <w:pPr>
              <w:spacing w:line="243" w:lineRule="auto"/>
              <w:rPr>
                <w:rFonts w:ascii="Arial"/>
                <w:sz w:val="21"/>
              </w:rPr>
            </w:pPr>
          </w:p>
          <w:p w14:paraId="2B30CB23">
            <w:pPr>
              <w:pStyle w:val="6"/>
              <w:spacing w:before="59" w:line="207" w:lineRule="auto"/>
              <w:ind w:left="47" w:right="38"/>
              <w:rPr>
                <w:sz w:val="18"/>
                <w:szCs w:val="18"/>
              </w:rPr>
            </w:pPr>
            <w:r>
              <w:rPr>
                <w:b/>
                <w:bCs/>
                <w:spacing w:val="-4"/>
                <w:sz w:val="18"/>
                <w:szCs w:val="18"/>
              </w:rPr>
              <w:t>特殊卷帘</w:t>
            </w:r>
            <w:r>
              <w:rPr>
                <w:sz w:val="18"/>
                <w:szCs w:val="18"/>
              </w:rPr>
              <w:t xml:space="preserve"> </w:t>
            </w:r>
            <w:r>
              <w:rPr>
                <w:b/>
                <w:bCs/>
                <w:spacing w:val="2"/>
                <w:sz w:val="18"/>
                <w:szCs w:val="18"/>
              </w:rPr>
              <w:t>窗的使用</w:t>
            </w:r>
          </w:p>
        </w:tc>
        <w:tc>
          <w:tcPr>
            <w:tcW w:w="2384" w:type="dxa"/>
            <w:vAlign w:val="top"/>
          </w:tcPr>
          <w:p w14:paraId="42FC8D66">
            <w:pPr>
              <w:pStyle w:val="6"/>
              <w:spacing w:before="45" w:line="195" w:lineRule="auto"/>
              <w:ind w:left="12" w:right="360"/>
            </w:pPr>
            <w:r>
              <w:rPr>
                <w:spacing w:val="1"/>
                <w:sz w:val="18"/>
                <w:szCs w:val="18"/>
              </w:rPr>
              <w:t>1.图层对象管理器的使用</w:t>
            </w:r>
            <w:r>
              <w:rPr>
                <w:spacing w:val="8"/>
                <w:sz w:val="18"/>
                <w:szCs w:val="18"/>
              </w:rPr>
              <w:t xml:space="preserve"> </w:t>
            </w:r>
            <w:r>
              <w:rPr>
                <w:spacing w:val="11"/>
              </w:rPr>
              <w:t>2.集锦薄的使用</w:t>
            </w:r>
          </w:p>
          <w:p w14:paraId="25A12476">
            <w:pPr>
              <w:pStyle w:val="6"/>
              <w:spacing w:line="185" w:lineRule="auto"/>
              <w:ind w:left="12"/>
            </w:pPr>
            <w:r>
              <w:rPr>
                <w:spacing w:val="11"/>
              </w:rPr>
              <w:t>3.脚本的使用</w:t>
            </w:r>
          </w:p>
          <w:p w14:paraId="00C21A7F">
            <w:pPr>
              <w:pStyle w:val="6"/>
              <w:spacing w:line="219" w:lineRule="auto"/>
              <w:ind w:left="12"/>
              <w:rPr>
                <w:sz w:val="18"/>
                <w:szCs w:val="18"/>
              </w:rPr>
            </w:pPr>
            <w:r>
              <w:rPr>
                <w:spacing w:val="-1"/>
                <w:sz w:val="18"/>
                <w:szCs w:val="18"/>
              </w:rPr>
              <w:t>4.符号与特殊符号的卷帘窗</w:t>
            </w:r>
          </w:p>
        </w:tc>
        <w:tc>
          <w:tcPr>
            <w:tcW w:w="229" w:type="dxa"/>
            <w:vAlign w:val="top"/>
          </w:tcPr>
          <w:p w14:paraId="7C249D97">
            <w:pPr>
              <w:rPr>
                <w:rFonts w:ascii="Arial"/>
                <w:sz w:val="21"/>
              </w:rPr>
            </w:pPr>
          </w:p>
        </w:tc>
        <w:tc>
          <w:tcPr>
            <w:tcW w:w="210" w:type="dxa"/>
            <w:vAlign w:val="top"/>
          </w:tcPr>
          <w:p w14:paraId="13C7D6BD">
            <w:pPr>
              <w:rPr>
                <w:rFonts w:ascii="Arial"/>
                <w:sz w:val="21"/>
              </w:rPr>
            </w:pPr>
          </w:p>
        </w:tc>
        <w:tc>
          <w:tcPr>
            <w:tcW w:w="230" w:type="dxa"/>
            <w:vAlign w:val="top"/>
          </w:tcPr>
          <w:p w14:paraId="43C1845E">
            <w:pPr>
              <w:rPr>
                <w:rFonts w:ascii="Arial"/>
                <w:sz w:val="21"/>
              </w:rPr>
            </w:pPr>
          </w:p>
        </w:tc>
        <w:tc>
          <w:tcPr>
            <w:tcW w:w="224" w:type="dxa"/>
            <w:vAlign w:val="top"/>
          </w:tcPr>
          <w:p w14:paraId="1B3B6843">
            <w:pPr>
              <w:rPr>
                <w:rFonts w:ascii="Arial"/>
                <w:sz w:val="21"/>
              </w:rPr>
            </w:pPr>
          </w:p>
        </w:tc>
      </w:tr>
    </w:tbl>
    <w:p w14:paraId="45E43AE6">
      <w:pPr>
        <w:pStyle w:val="2"/>
        <w:spacing w:line="104" w:lineRule="auto"/>
        <w:rPr>
          <w:sz w:val="2"/>
        </w:rPr>
      </w:pPr>
    </w:p>
    <w:p w14:paraId="6D5BB82C">
      <w:pPr>
        <w:spacing w:line="104" w:lineRule="auto"/>
        <w:rPr>
          <w:sz w:val="2"/>
          <w:szCs w:val="2"/>
        </w:rPr>
        <w:sectPr>
          <w:type w:val="continuous"/>
          <w:pgSz w:w="10660" w:h="15080"/>
          <w:pgMar w:top="400" w:right="885" w:bottom="925" w:left="1024" w:header="0" w:footer="705" w:gutter="0"/>
          <w:cols w:equalWidth="0" w:num="2">
            <w:col w:w="4488" w:space="100"/>
            <w:col w:w="4163"/>
          </w:cols>
        </w:sectPr>
      </w:pPr>
    </w:p>
    <w:p w14:paraId="1631F9DD">
      <w:pPr>
        <w:spacing w:before="4"/>
      </w:pPr>
    </w:p>
    <w:p w14:paraId="7AA56EEE">
      <w:pPr>
        <w:spacing w:before="4"/>
      </w:pPr>
    </w:p>
    <w:p w14:paraId="72B09370">
      <w:pPr>
        <w:spacing w:before="3"/>
      </w:pPr>
    </w:p>
    <w:p w14:paraId="37471AD2">
      <w:pPr>
        <w:spacing w:before="3"/>
      </w:pPr>
    </w:p>
    <w:p w14:paraId="1F3B5EA6">
      <w:pPr>
        <w:sectPr>
          <w:footerReference r:id="rId80" w:type="default"/>
          <w:pgSz w:w="10660" w:h="15080"/>
          <w:pgMar w:top="400" w:right="1032" w:bottom="925" w:left="819" w:header="0" w:footer="705" w:gutter="0"/>
          <w:cols w:equalWidth="0" w:num="1">
            <w:col w:w="8808"/>
          </w:cols>
        </w:sectPr>
      </w:pPr>
    </w:p>
    <w:p w14:paraId="1713C11C">
      <w:pPr>
        <w:spacing w:before="37" w:line="212" w:lineRule="auto"/>
        <w:ind w:left="442"/>
        <w:rPr>
          <w:rFonts w:ascii="Times New Roman" w:hAnsi="Times New Roman" w:eastAsia="Times New Roman" w:cs="Times New Roman"/>
          <w:sz w:val="17"/>
          <w:szCs w:val="17"/>
        </w:rPr>
      </w:pPr>
      <w:r>
        <w:rPr>
          <w:rFonts w:ascii="宋体" w:hAnsi="宋体" w:eastAsia="宋体" w:cs="宋体"/>
          <w:b/>
          <w:bCs/>
          <w:spacing w:val="-3"/>
          <w:sz w:val="17"/>
          <w:szCs w:val="17"/>
        </w:rPr>
        <w:t>3.图像处理软件</w:t>
      </w:r>
      <w:r>
        <w:rPr>
          <w:rFonts w:ascii="Times New Roman" w:hAnsi="Times New Roman" w:eastAsia="Times New Roman" w:cs="Times New Roman"/>
          <w:b/>
          <w:bCs/>
          <w:spacing w:val="-3"/>
          <w:sz w:val="17"/>
          <w:szCs w:val="17"/>
        </w:rPr>
        <w:t>Photoshop</w:t>
      </w:r>
    </w:p>
    <w:p w14:paraId="7F6E26D0">
      <w:pPr>
        <w:spacing w:line="162" w:lineRule="exact"/>
      </w:pPr>
    </w:p>
    <w:tbl>
      <w:tblPr>
        <w:tblStyle w:val="5"/>
        <w:tblW w:w="4109" w:type="dxa"/>
        <w:tblInd w:w="7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03"/>
        <w:gridCol w:w="2284"/>
        <w:gridCol w:w="230"/>
        <w:gridCol w:w="219"/>
        <w:gridCol w:w="249"/>
        <w:gridCol w:w="224"/>
      </w:tblGrid>
      <w:tr w14:paraId="0D3757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5" w:hRule="atLeast"/>
        </w:trPr>
        <w:tc>
          <w:tcPr>
            <w:tcW w:w="903" w:type="dxa"/>
            <w:vMerge w:val="restart"/>
            <w:tcBorders>
              <w:bottom w:val="nil"/>
            </w:tcBorders>
            <w:vAlign w:val="top"/>
          </w:tcPr>
          <w:p w14:paraId="14BD69F9">
            <w:pPr>
              <w:pStyle w:val="6"/>
              <w:spacing w:before="10" w:line="230" w:lineRule="auto"/>
              <w:ind w:left="276" w:right="35" w:hanging="259"/>
            </w:pPr>
            <w:r>
              <w:rPr>
                <w:b/>
                <w:bCs/>
                <w:spacing w:val="-4"/>
              </w:rPr>
              <w:t>知识与技能</w:t>
            </w:r>
            <w:r>
              <w:t xml:space="preserve"> </w:t>
            </w:r>
            <w:r>
              <w:rPr>
                <w:b/>
                <w:bCs/>
                <w:spacing w:val="-4"/>
              </w:rPr>
              <w:t>要点</w:t>
            </w:r>
          </w:p>
        </w:tc>
        <w:tc>
          <w:tcPr>
            <w:tcW w:w="2284" w:type="dxa"/>
            <w:vMerge w:val="restart"/>
            <w:tcBorders>
              <w:bottom w:val="nil"/>
            </w:tcBorders>
            <w:vAlign w:val="top"/>
          </w:tcPr>
          <w:p w14:paraId="76DD788A">
            <w:pPr>
              <w:pStyle w:val="6"/>
              <w:spacing w:before="139" w:line="219" w:lineRule="auto"/>
              <w:ind w:left="834"/>
            </w:pPr>
            <w:r>
              <w:rPr>
                <w:b/>
                <w:bCs/>
                <w:spacing w:val="5"/>
              </w:rPr>
              <w:t>考试条目</w:t>
            </w:r>
          </w:p>
        </w:tc>
        <w:tc>
          <w:tcPr>
            <w:tcW w:w="922" w:type="dxa"/>
            <w:gridSpan w:val="4"/>
            <w:vAlign w:val="top"/>
          </w:tcPr>
          <w:p w14:paraId="2A958179">
            <w:pPr>
              <w:pStyle w:val="6"/>
              <w:spacing w:before="18" w:line="202" w:lineRule="auto"/>
              <w:ind w:left="140"/>
            </w:pPr>
            <w:r>
              <w:rPr>
                <w:b/>
                <w:bCs/>
                <w:spacing w:val="-4"/>
              </w:rPr>
              <w:t>考试水平</w:t>
            </w:r>
          </w:p>
        </w:tc>
      </w:tr>
      <w:tr w14:paraId="5910A6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9" w:hRule="atLeast"/>
        </w:trPr>
        <w:tc>
          <w:tcPr>
            <w:tcW w:w="903" w:type="dxa"/>
            <w:vMerge w:val="continue"/>
            <w:tcBorders>
              <w:top w:val="nil"/>
            </w:tcBorders>
            <w:vAlign w:val="top"/>
          </w:tcPr>
          <w:p w14:paraId="0ABB29FF">
            <w:pPr>
              <w:rPr>
                <w:rFonts w:ascii="Arial"/>
                <w:sz w:val="21"/>
              </w:rPr>
            </w:pPr>
          </w:p>
        </w:tc>
        <w:tc>
          <w:tcPr>
            <w:tcW w:w="2284" w:type="dxa"/>
            <w:vMerge w:val="continue"/>
            <w:tcBorders>
              <w:top w:val="nil"/>
            </w:tcBorders>
            <w:vAlign w:val="top"/>
          </w:tcPr>
          <w:p w14:paraId="620218BF">
            <w:pPr>
              <w:rPr>
                <w:rFonts w:ascii="Arial"/>
                <w:sz w:val="21"/>
              </w:rPr>
            </w:pPr>
          </w:p>
        </w:tc>
        <w:tc>
          <w:tcPr>
            <w:tcW w:w="230" w:type="dxa"/>
            <w:vAlign w:val="top"/>
          </w:tcPr>
          <w:p w14:paraId="54B8717B">
            <w:pPr>
              <w:pStyle w:val="6"/>
              <w:spacing w:before="69" w:line="140" w:lineRule="exact"/>
              <w:ind w:left="20"/>
            </w:pPr>
            <w:r>
              <w:rPr>
                <w:b/>
                <w:bCs/>
                <w:spacing w:val="-2"/>
                <w:position w:val="-2"/>
              </w:rPr>
              <w:t>A</w:t>
            </w:r>
          </w:p>
        </w:tc>
        <w:tc>
          <w:tcPr>
            <w:tcW w:w="219" w:type="dxa"/>
            <w:vAlign w:val="top"/>
          </w:tcPr>
          <w:p w14:paraId="418CFA46">
            <w:pPr>
              <w:pStyle w:val="6"/>
              <w:spacing w:before="71" w:line="138" w:lineRule="exact"/>
              <w:ind w:left="30"/>
            </w:pPr>
            <w:r>
              <w:rPr>
                <w:b/>
                <w:bCs/>
                <w:spacing w:val="-2"/>
                <w:position w:val="-2"/>
              </w:rPr>
              <w:t>B</w:t>
            </w:r>
          </w:p>
        </w:tc>
        <w:tc>
          <w:tcPr>
            <w:tcW w:w="249" w:type="dxa"/>
            <w:vAlign w:val="top"/>
          </w:tcPr>
          <w:p w14:paraId="147A4CFF">
            <w:pPr>
              <w:pStyle w:val="6"/>
              <w:spacing w:before="69" w:line="140" w:lineRule="exact"/>
              <w:ind w:left="81"/>
            </w:pPr>
            <w:r>
              <w:rPr>
                <w:b/>
                <w:bCs/>
                <w:spacing w:val="-2"/>
                <w:position w:val="-2"/>
              </w:rPr>
              <w:t>C</w:t>
            </w:r>
          </w:p>
        </w:tc>
        <w:tc>
          <w:tcPr>
            <w:tcW w:w="224" w:type="dxa"/>
            <w:vAlign w:val="top"/>
          </w:tcPr>
          <w:p w14:paraId="2F186DE7">
            <w:pPr>
              <w:pStyle w:val="6"/>
              <w:spacing w:before="71" w:line="138" w:lineRule="exact"/>
              <w:ind w:left="22"/>
            </w:pPr>
            <w:r>
              <w:rPr>
                <w:b/>
                <w:bCs/>
                <w:spacing w:val="-2"/>
                <w:position w:val="-2"/>
              </w:rPr>
              <w:t>D</w:t>
            </w:r>
          </w:p>
        </w:tc>
      </w:tr>
      <w:tr w14:paraId="3D6E44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99" w:hRule="atLeast"/>
        </w:trPr>
        <w:tc>
          <w:tcPr>
            <w:tcW w:w="903" w:type="dxa"/>
            <w:vAlign w:val="top"/>
          </w:tcPr>
          <w:p w14:paraId="083D2E26">
            <w:pPr>
              <w:pStyle w:val="6"/>
              <w:spacing w:before="63" w:line="214" w:lineRule="auto"/>
              <w:ind w:left="55"/>
            </w:pPr>
            <w:r>
              <w:rPr>
                <w:spacing w:val="-1"/>
              </w:rPr>
              <w:t>Photoshop</w:t>
            </w:r>
          </w:p>
          <w:p w14:paraId="5C5EE0A8">
            <w:pPr>
              <w:pStyle w:val="6"/>
              <w:spacing w:before="7" w:line="219" w:lineRule="auto"/>
              <w:ind w:left="105"/>
            </w:pPr>
            <w:r>
              <w:rPr>
                <w:spacing w:val="-2"/>
              </w:rPr>
              <w:t>操作系统</w:t>
            </w:r>
          </w:p>
          <w:p w14:paraId="663BA30F">
            <w:pPr>
              <w:pStyle w:val="6"/>
              <w:spacing w:before="27" w:line="208" w:lineRule="auto"/>
              <w:ind w:left="275"/>
            </w:pPr>
            <w:r>
              <w:rPr>
                <w:spacing w:val="-2"/>
              </w:rPr>
              <w:t>概述</w:t>
            </w:r>
          </w:p>
        </w:tc>
        <w:tc>
          <w:tcPr>
            <w:tcW w:w="2284" w:type="dxa"/>
            <w:vAlign w:val="top"/>
          </w:tcPr>
          <w:p w14:paraId="71F04FFD">
            <w:pPr>
              <w:pStyle w:val="6"/>
              <w:spacing w:before="43" w:line="234" w:lineRule="auto"/>
              <w:ind w:left="11" w:right="301"/>
            </w:pPr>
            <w:r>
              <w:t>1.Photoshop操作界面简介</w:t>
            </w:r>
            <w:r>
              <w:rPr>
                <w:spacing w:val="4"/>
              </w:rPr>
              <w:t xml:space="preserve"> </w:t>
            </w:r>
            <w:r>
              <w:rPr>
                <w:spacing w:val="-1"/>
              </w:rPr>
              <w:t>2.Photoshop基本菜单</w:t>
            </w:r>
          </w:p>
          <w:p w14:paraId="3FA45216">
            <w:pPr>
              <w:pStyle w:val="6"/>
              <w:spacing w:before="23" w:line="208" w:lineRule="auto"/>
              <w:ind w:left="11"/>
            </w:pPr>
            <w:r>
              <w:rPr>
                <w:spacing w:val="1"/>
              </w:rPr>
              <w:t>3.基本控制面板与使用</w:t>
            </w:r>
          </w:p>
        </w:tc>
        <w:tc>
          <w:tcPr>
            <w:tcW w:w="230" w:type="dxa"/>
            <w:vAlign w:val="top"/>
          </w:tcPr>
          <w:p w14:paraId="0C1E76F4">
            <w:pPr>
              <w:rPr>
                <w:rFonts w:ascii="Arial"/>
                <w:sz w:val="21"/>
              </w:rPr>
            </w:pPr>
          </w:p>
        </w:tc>
        <w:tc>
          <w:tcPr>
            <w:tcW w:w="219" w:type="dxa"/>
            <w:vAlign w:val="top"/>
          </w:tcPr>
          <w:p w14:paraId="5FD17A6A">
            <w:pPr>
              <w:rPr>
                <w:rFonts w:ascii="Arial"/>
                <w:sz w:val="21"/>
              </w:rPr>
            </w:pPr>
          </w:p>
        </w:tc>
        <w:tc>
          <w:tcPr>
            <w:tcW w:w="249" w:type="dxa"/>
            <w:vAlign w:val="top"/>
          </w:tcPr>
          <w:p w14:paraId="637F78F8">
            <w:pPr>
              <w:rPr>
                <w:rFonts w:ascii="Arial"/>
                <w:sz w:val="21"/>
              </w:rPr>
            </w:pPr>
          </w:p>
        </w:tc>
        <w:tc>
          <w:tcPr>
            <w:tcW w:w="224" w:type="dxa"/>
            <w:vAlign w:val="top"/>
          </w:tcPr>
          <w:p w14:paraId="41DF0BF6">
            <w:pPr>
              <w:rPr>
                <w:rFonts w:ascii="Arial"/>
                <w:sz w:val="21"/>
              </w:rPr>
            </w:pPr>
          </w:p>
        </w:tc>
      </w:tr>
      <w:tr w14:paraId="42197D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59" w:hRule="atLeast"/>
        </w:trPr>
        <w:tc>
          <w:tcPr>
            <w:tcW w:w="903" w:type="dxa"/>
            <w:vAlign w:val="top"/>
          </w:tcPr>
          <w:p w14:paraId="5650F867">
            <w:pPr>
              <w:pStyle w:val="6"/>
              <w:spacing w:before="249" w:line="221" w:lineRule="auto"/>
              <w:ind w:left="275"/>
            </w:pPr>
            <w:r>
              <w:rPr>
                <w:spacing w:val="-2"/>
              </w:rPr>
              <w:t>选择</w:t>
            </w:r>
          </w:p>
        </w:tc>
        <w:tc>
          <w:tcPr>
            <w:tcW w:w="2284" w:type="dxa"/>
            <w:vAlign w:val="top"/>
          </w:tcPr>
          <w:p w14:paraId="799A87ED">
            <w:pPr>
              <w:pStyle w:val="6"/>
              <w:spacing w:before="59" w:line="222" w:lineRule="auto"/>
              <w:ind w:left="11" w:right="1402"/>
            </w:pPr>
            <w:r>
              <w:rPr>
                <w:spacing w:val="1"/>
              </w:rPr>
              <w:t>1.选择工具</w:t>
            </w:r>
            <w:r>
              <w:rPr>
                <w:spacing w:val="2"/>
              </w:rPr>
              <w:t xml:space="preserve"> </w:t>
            </w:r>
            <w:r>
              <w:rPr>
                <w:spacing w:val="-2"/>
              </w:rPr>
              <w:t>2.选择菜单</w:t>
            </w:r>
          </w:p>
          <w:p w14:paraId="5BEA8B3A">
            <w:pPr>
              <w:pStyle w:val="6"/>
              <w:spacing w:line="195" w:lineRule="auto"/>
              <w:ind w:left="11"/>
            </w:pPr>
            <w:r>
              <w:rPr>
                <w:spacing w:val="-1"/>
              </w:rPr>
              <w:t>实例九马赛克拼贴图案</w:t>
            </w:r>
          </w:p>
        </w:tc>
        <w:tc>
          <w:tcPr>
            <w:tcW w:w="230" w:type="dxa"/>
            <w:vAlign w:val="top"/>
          </w:tcPr>
          <w:p w14:paraId="4294CB4C">
            <w:pPr>
              <w:rPr>
                <w:rFonts w:ascii="Arial"/>
                <w:sz w:val="21"/>
              </w:rPr>
            </w:pPr>
          </w:p>
        </w:tc>
        <w:tc>
          <w:tcPr>
            <w:tcW w:w="219" w:type="dxa"/>
            <w:vAlign w:val="top"/>
          </w:tcPr>
          <w:p w14:paraId="0A2D6FF1">
            <w:pPr>
              <w:rPr>
                <w:rFonts w:ascii="Arial"/>
                <w:sz w:val="21"/>
              </w:rPr>
            </w:pPr>
          </w:p>
        </w:tc>
        <w:tc>
          <w:tcPr>
            <w:tcW w:w="249" w:type="dxa"/>
            <w:vAlign w:val="top"/>
          </w:tcPr>
          <w:p w14:paraId="54C0D397">
            <w:pPr>
              <w:rPr>
                <w:rFonts w:ascii="Arial"/>
                <w:sz w:val="21"/>
              </w:rPr>
            </w:pPr>
          </w:p>
        </w:tc>
        <w:tc>
          <w:tcPr>
            <w:tcW w:w="224" w:type="dxa"/>
            <w:vAlign w:val="top"/>
          </w:tcPr>
          <w:p w14:paraId="41DEBBD4">
            <w:pPr>
              <w:rPr>
                <w:rFonts w:ascii="Arial"/>
                <w:sz w:val="21"/>
              </w:rPr>
            </w:pPr>
          </w:p>
        </w:tc>
      </w:tr>
      <w:tr w14:paraId="2034AD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89" w:hRule="atLeast"/>
        </w:trPr>
        <w:tc>
          <w:tcPr>
            <w:tcW w:w="903" w:type="dxa"/>
            <w:vAlign w:val="top"/>
          </w:tcPr>
          <w:p w14:paraId="6287E757">
            <w:pPr>
              <w:spacing w:line="402" w:lineRule="auto"/>
              <w:rPr>
                <w:rFonts w:ascii="Arial"/>
                <w:sz w:val="21"/>
              </w:rPr>
            </w:pPr>
          </w:p>
          <w:p w14:paraId="05AB0EC2">
            <w:pPr>
              <w:pStyle w:val="6"/>
              <w:spacing w:before="55" w:line="219" w:lineRule="auto"/>
              <w:ind w:left="275"/>
            </w:pPr>
            <w:r>
              <w:rPr>
                <w:spacing w:val="4"/>
              </w:rPr>
              <w:t>图层</w:t>
            </w:r>
          </w:p>
        </w:tc>
        <w:tc>
          <w:tcPr>
            <w:tcW w:w="2284" w:type="dxa"/>
            <w:vAlign w:val="top"/>
          </w:tcPr>
          <w:p w14:paraId="456486BA">
            <w:pPr>
              <w:pStyle w:val="6"/>
              <w:spacing w:before="40" w:line="219" w:lineRule="auto"/>
              <w:ind w:left="11"/>
            </w:pPr>
            <w:r>
              <w:rPr>
                <w:spacing w:val="1"/>
              </w:rPr>
              <w:t>1.图层的分类</w:t>
            </w:r>
          </w:p>
          <w:p w14:paraId="4DB22298">
            <w:pPr>
              <w:pStyle w:val="6"/>
              <w:spacing w:before="16" w:line="229" w:lineRule="auto"/>
              <w:ind w:left="11" w:right="60"/>
            </w:pPr>
            <w:r>
              <w:rPr>
                <w:spacing w:val="-1"/>
              </w:rPr>
              <w:t>2.图层控制面板与图层样式面</w:t>
            </w:r>
            <w:r>
              <w:rPr>
                <w:spacing w:val="4"/>
              </w:rPr>
              <w:t xml:space="preserve"> </w:t>
            </w:r>
            <w:r>
              <w:rPr>
                <w:spacing w:val="5"/>
              </w:rPr>
              <w:t>板的使用</w:t>
            </w:r>
          </w:p>
          <w:p w14:paraId="3E923AEE">
            <w:pPr>
              <w:pStyle w:val="6"/>
              <w:spacing w:before="28" w:line="201" w:lineRule="auto"/>
              <w:ind w:left="11" w:right="912"/>
            </w:pPr>
            <w:r>
              <w:rPr>
                <w:spacing w:val="1"/>
              </w:rPr>
              <w:t>3.图层菜单简介</w:t>
            </w:r>
            <w:r>
              <w:t xml:space="preserve">  </w:t>
            </w:r>
            <w:r>
              <w:rPr>
                <w:spacing w:val="-2"/>
              </w:rPr>
              <w:t>实例十图像的合成</w:t>
            </w:r>
          </w:p>
        </w:tc>
        <w:tc>
          <w:tcPr>
            <w:tcW w:w="230" w:type="dxa"/>
            <w:vAlign w:val="top"/>
          </w:tcPr>
          <w:p w14:paraId="7226A708">
            <w:pPr>
              <w:rPr>
                <w:rFonts w:ascii="Arial"/>
                <w:sz w:val="21"/>
              </w:rPr>
            </w:pPr>
          </w:p>
        </w:tc>
        <w:tc>
          <w:tcPr>
            <w:tcW w:w="219" w:type="dxa"/>
            <w:vAlign w:val="top"/>
          </w:tcPr>
          <w:p w14:paraId="43A97964">
            <w:pPr>
              <w:rPr>
                <w:rFonts w:ascii="Arial"/>
                <w:sz w:val="21"/>
              </w:rPr>
            </w:pPr>
          </w:p>
        </w:tc>
        <w:tc>
          <w:tcPr>
            <w:tcW w:w="249" w:type="dxa"/>
            <w:vAlign w:val="top"/>
          </w:tcPr>
          <w:p w14:paraId="20B03C30">
            <w:pPr>
              <w:rPr>
                <w:rFonts w:ascii="Arial"/>
                <w:sz w:val="21"/>
              </w:rPr>
            </w:pPr>
          </w:p>
        </w:tc>
        <w:tc>
          <w:tcPr>
            <w:tcW w:w="224" w:type="dxa"/>
            <w:vAlign w:val="top"/>
          </w:tcPr>
          <w:p w14:paraId="3ADA7F51">
            <w:pPr>
              <w:rPr>
                <w:rFonts w:ascii="Arial"/>
                <w:sz w:val="21"/>
              </w:rPr>
            </w:pPr>
          </w:p>
        </w:tc>
      </w:tr>
      <w:tr w14:paraId="1F4339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47" w:hRule="atLeast"/>
        </w:trPr>
        <w:tc>
          <w:tcPr>
            <w:tcW w:w="903" w:type="dxa"/>
            <w:vAlign w:val="top"/>
          </w:tcPr>
          <w:p w14:paraId="7D31E546">
            <w:pPr>
              <w:spacing w:line="272" w:lineRule="auto"/>
              <w:rPr>
                <w:rFonts w:ascii="Arial"/>
                <w:sz w:val="21"/>
              </w:rPr>
            </w:pPr>
          </w:p>
          <w:p w14:paraId="2DB1C793">
            <w:pPr>
              <w:spacing w:line="272" w:lineRule="auto"/>
              <w:rPr>
                <w:rFonts w:ascii="Arial"/>
                <w:sz w:val="21"/>
              </w:rPr>
            </w:pPr>
          </w:p>
          <w:p w14:paraId="2EF18392">
            <w:pPr>
              <w:spacing w:line="272" w:lineRule="auto"/>
              <w:rPr>
                <w:rFonts w:ascii="Arial"/>
                <w:sz w:val="21"/>
              </w:rPr>
            </w:pPr>
          </w:p>
          <w:p w14:paraId="71F6BF50">
            <w:pPr>
              <w:spacing w:line="273" w:lineRule="auto"/>
              <w:rPr>
                <w:rFonts w:ascii="Arial"/>
                <w:sz w:val="21"/>
              </w:rPr>
            </w:pPr>
          </w:p>
          <w:p w14:paraId="1756FE1E">
            <w:pPr>
              <w:pStyle w:val="6"/>
              <w:spacing w:before="55" w:line="229" w:lineRule="auto"/>
              <w:ind w:left="275" w:right="94" w:hanging="170"/>
            </w:pPr>
            <w:r>
              <w:rPr>
                <w:spacing w:val="3"/>
              </w:rPr>
              <w:t>工具箱的</w:t>
            </w:r>
            <w:r>
              <w:t xml:space="preserve"> </w:t>
            </w:r>
            <w:r>
              <w:rPr>
                <w:spacing w:val="10"/>
              </w:rPr>
              <w:t>使用</w:t>
            </w:r>
          </w:p>
        </w:tc>
        <w:tc>
          <w:tcPr>
            <w:tcW w:w="2284" w:type="dxa"/>
            <w:vAlign w:val="top"/>
          </w:tcPr>
          <w:p w14:paraId="507FD177">
            <w:pPr>
              <w:pStyle w:val="6"/>
              <w:spacing w:before="49" w:line="231" w:lineRule="auto"/>
              <w:ind w:left="11" w:right="892"/>
            </w:pPr>
            <w:r>
              <w:rPr>
                <w:spacing w:val="1"/>
              </w:rPr>
              <w:t>1.移动与裁剪工具</w:t>
            </w:r>
            <w:r>
              <w:t xml:space="preserve"> </w:t>
            </w:r>
            <w:r>
              <w:rPr>
                <w:spacing w:val="-2"/>
              </w:rPr>
              <w:t>2.绘图工具</w:t>
            </w:r>
          </w:p>
          <w:p w14:paraId="213A3BAB">
            <w:pPr>
              <w:pStyle w:val="6"/>
              <w:spacing w:before="5" w:line="234" w:lineRule="auto"/>
              <w:ind w:left="11" w:right="379"/>
            </w:pPr>
            <w:r>
              <w:rPr>
                <w:spacing w:val="1"/>
              </w:rPr>
              <w:t>3.图像复制工具——图章</w:t>
            </w:r>
            <w:r>
              <w:t xml:space="preserve"> </w:t>
            </w:r>
            <w:r>
              <w:rPr>
                <w:spacing w:val="-1"/>
              </w:rPr>
              <w:t>4.图像渲染工具</w:t>
            </w:r>
          </w:p>
          <w:p w14:paraId="3865D9D1">
            <w:pPr>
              <w:pStyle w:val="6"/>
              <w:spacing w:line="220" w:lineRule="auto"/>
              <w:ind w:left="11"/>
            </w:pPr>
            <w:r>
              <w:rPr>
                <w:spacing w:val="-2"/>
              </w:rPr>
              <w:t>5.填充工具</w:t>
            </w:r>
          </w:p>
          <w:p w14:paraId="0DD00C6A">
            <w:pPr>
              <w:pStyle w:val="6"/>
              <w:spacing w:before="37" w:line="219" w:lineRule="auto"/>
              <w:ind w:left="11"/>
            </w:pPr>
            <w:r>
              <w:rPr>
                <w:spacing w:val="-1"/>
              </w:rPr>
              <w:t>6.文字编辑工具</w:t>
            </w:r>
          </w:p>
          <w:p w14:paraId="088A9BED">
            <w:pPr>
              <w:pStyle w:val="6"/>
              <w:spacing w:before="18" w:line="228" w:lineRule="auto"/>
              <w:ind w:left="11"/>
            </w:pPr>
            <w:r>
              <w:rPr>
                <w:spacing w:val="-8"/>
              </w:rPr>
              <w:t>7.路径、矢量化图形与选择工具</w:t>
            </w:r>
            <w:r>
              <w:rPr>
                <w:spacing w:val="1"/>
              </w:rPr>
              <w:t xml:space="preserve"> </w:t>
            </w:r>
            <w:r>
              <w:rPr>
                <w:spacing w:val="-2"/>
              </w:rPr>
              <w:t>8.切片工具</w:t>
            </w:r>
          </w:p>
          <w:p w14:paraId="5641BAB0">
            <w:pPr>
              <w:pStyle w:val="6"/>
              <w:spacing w:line="220" w:lineRule="auto"/>
              <w:ind w:left="11"/>
            </w:pPr>
            <w:r>
              <w:rPr>
                <w:spacing w:val="-2"/>
              </w:rPr>
              <w:t>9.其他工具</w:t>
            </w:r>
          </w:p>
          <w:p w14:paraId="01E1AF52">
            <w:pPr>
              <w:pStyle w:val="6"/>
              <w:spacing w:before="27" w:line="220" w:lineRule="auto"/>
              <w:ind w:left="11"/>
            </w:pPr>
            <w:r>
              <w:rPr>
                <w:spacing w:val="23"/>
              </w:rPr>
              <w:t>实例十</w:t>
            </w:r>
            <w:r>
              <w:rPr>
                <w:spacing w:val="-33"/>
              </w:rPr>
              <w:t xml:space="preserve"> </w:t>
            </w:r>
            <w:r>
              <w:rPr>
                <w:spacing w:val="23"/>
              </w:rPr>
              <w:t>一</w:t>
            </w:r>
            <w:r>
              <w:rPr>
                <w:spacing w:val="-45"/>
              </w:rPr>
              <w:t xml:space="preserve"> </w:t>
            </w:r>
            <w:r>
              <w:rPr>
                <w:spacing w:val="23"/>
              </w:rPr>
              <w:t>MUSIC</w:t>
            </w:r>
          </w:p>
          <w:p w14:paraId="15CE9601">
            <w:pPr>
              <w:pStyle w:val="6"/>
              <w:spacing w:before="26" w:line="210" w:lineRule="auto"/>
              <w:ind w:left="11" w:right="572"/>
            </w:pPr>
            <w:r>
              <w:rPr>
                <w:spacing w:val="1"/>
              </w:rPr>
              <w:t>实例十二计算机制作</w:t>
            </w:r>
            <w:r>
              <w:t xml:space="preserve">  </w:t>
            </w:r>
            <w:r>
              <w:rPr>
                <w:spacing w:val="-2"/>
              </w:rPr>
              <w:t>实例十三样式封面设计</w:t>
            </w:r>
          </w:p>
        </w:tc>
        <w:tc>
          <w:tcPr>
            <w:tcW w:w="230" w:type="dxa"/>
            <w:vAlign w:val="top"/>
          </w:tcPr>
          <w:p w14:paraId="37370B94">
            <w:pPr>
              <w:rPr>
                <w:rFonts w:ascii="Arial"/>
                <w:sz w:val="21"/>
              </w:rPr>
            </w:pPr>
          </w:p>
        </w:tc>
        <w:tc>
          <w:tcPr>
            <w:tcW w:w="219" w:type="dxa"/>
            <w:vAlign w:val="top"/>
          </w:tcPr>
          <w:p w14:paraId="314BA44B">
            <w:pPr>
              <w:spacing w:line="268" w:lineRule="auto"/>
              <w:rPr>
                <w:rFonts w:ascii="Arial"/>
                <w:sz w:val="21"/>
              </w:rPr>
            </w:pPr>
          </w:p>
          <w:p w14:paraId="09A1C5D2">
            <w:pPr>
              <w:spacing w:line="268" w:lineRule="auto"/>
              <w:rPr>
                <w:rFonts w:ascii="Arial"/>
                <w:sz w:val="21"/>
              </w:rPr>
            </w:pPr>
          </w:p>
          <w:p w14:paraId="6D1B6CF2">
            <w:pPr>
              <w:spacing w:line="268" w:lineRule="auto"/>
              <w:rPr>
                <w:rFonts w:ascii="Arial"/>
                <w:sz w:val="21"/>
              </w:rPr>
            </w:pPr>
          </w:p>
          <w:p w14:paraId="177FC8AE">
            <w:pPr>
              <w:spacing w:line="269" w:lineRule="auto"/>
              <w:rPr>
                <w:rFonts w:ascii="Arial"/>
                <w:sz w:val="21"/>
              </w:rPr>
            </w:pPr>
          </w:p>
          <w:p w14:paraId="22338605">
            <w:pPr>
              <w:spacing w:line="269" w:lineRule="auto"/>
              <w:rPr>
                <w:rFonts w:ascii="Arial"/>
                <w:sz w:val="21"/>
              </w:rPr>
            </w:pPr>
          </w:p>
          <w:p w14:paraId="0B03FF3F">
            <w:pPr>
              <w:spacing w:line="269" w:lineRule="auto"/>
              <w:rPr>
                <w:rFonts w:ascii="Arial"/>
                <w:sz w:val="21"/>
              </w:rPr>
            </w:pPr>
          </w:p>
          <w:p w14:paraId="6142902D">
            <w:pPr>
              <w:spacing w:line="334" w:lineRule="exact"/>
              <w:ind w:firstLine="42"/>
            </w:pPr>
            <w:r>
              <w:rPr>
                <w:position w:val="-6"/>
              </w:rPr>
              <w:drawing>
                <wp:inline distT="0" distB="0" distL="0" distR="0">
                  <wp:extent cx="94615" cy="211455"/>
                  <wp:effectExtent l="0" t="0" r="0" b="0"/>
                  <wp:docPr id="370" name="IM 370"/>
                  <wp:cNvGraphicFramePr/>
                  <a:graphic xmlns:a="http://schemas.openxmlformats.org/drawingml/2006/main">
                    <a:graphicData uri="http://schemas.openxmlformats.org/drawingml/2006/picture">
                      <pic:pic xmlns:pic="http://schemas.openxmlformats.org/drawingml/2006/picture">
                        <pic:nvPicPr>
                          <pic:cNvPr id="370" name="IM 370"/>
                          <pic:cNvPicPr/>
                        </pic:nvPicPr>
                        <pic:blipFill>
                          <a:blip r:embed="rId349"/>
                          <a:stretch>
                            <a:fillRect/>
                          </a:stretch>
                        </pic:blipFill>
                        <pic:spPr>
                          <a:xfrm>
                            <a:off x="0" y="0"/>
                            <a:ext cx="95241" cy="211750"/>
                          </a:xfrm>
                          <a:prstGeom prst="rect">
                            <a:avLst/>
                          </a:prstGeom>
                        </pic:spPr>
                      </pic:pic>
                    </a:graphicData>
                  </a:graphic>
                </wp:inline>
              </w:drawing>
            </w:r>
          </w:p>
        </w:tc>
        <w:tc>
          <w:tcPr>
            <w:tcW w:w="249" w:type="dxa"/>
            <w:vAlign w:val="top"/>
          </w:tcPr>
          <w:p w14:paraId="73D66CDE">
            <w:pPr>
              <w:spacing w:line="258" w:lineRule="auto"/>
              <w:rPr>
                <w:rFonts w:ascii="Arial"/>
                <w:sz w:val="21"/>
              </w:rPr>
            </w:pPr>
          </w:p>
          <w:p w14:paraId="565100E8">
            <w:pPr>
              <w:spacing w:line="258" w:lineRule="auto"/>
              <w:rPr>
                <w:rFonts w:ascii="Arial"/>
                <w:sz w:val="21"/>
              </w:rPr>
            </w:pPr>
          </w:p>
          <w:p w14:paraId="6355BA7F">
            <w:pPr>
              <w:spacing w:line="258" w:lineRule="auto"/>
              <w:rPr>
                <w:rFonts w:ascii="Arial"/>
                <w:sz w:val="21"/>
              </w:rPr>
            </w:pPr>
          </w:p>
          <w:p w14:paraId="410E6B94">
            <w:pPr>
              <w:spacing w:line="258" w:lineRule="auto"/>
              <w:rPr>
                <w:rFonts w:ascii="Arial"/>
                <w:sz w:val="21"/>
              </w:rPr>
            </w:pPr>
          </w:p>
          <w:p w14:paraId="3A529500">
            <w:pPr>
              <w:spacing w:line="258" w:lineRule="auto"/>
              <w:rPr>
                <w:rFonts w:ascii="Arial"/>
                <w:sz w:val="21"/>
              </w:rPr>
            </w:pPr>
          </w:p>
          <w:p w14:paraId="0167CB9D">
            <w:pPr>
              <w:spacing w:line="258" w:lineRule="auto"/>
              <w:rPr>
                <w:rFonts w:ascii="Arial"/>
                <w:sz w:val="21"/>
              </w:rPr>
            </w:pPr>
          </w:p>
          <w:p w14:paraId="1B515CD1">
            <w:pPr>
              <w:spacing w:line="258" w:lineRule="auto"/>
              <w:rPr>
                <w:rFonts w:ascii="Arial"/>
                <w:sz w:val="21"/>
              </w:rPr>
            </w:pPr>
          </w:p>
          <w:p w14:paraId="3849A1C5">
            <w:pPr>
              <w:spacing w:line="259" w:lineRule="auto"/>
              <w:rPr>
                <w:rFonts w:ascii="Arial"/>
                <w:sz w:val="21"/>
              </w:rPr>
            </w:pPr>
          </w:p>
          <w:p w14:paraId="67A07AAB">
            <w:pPr>
              <w:spacing w:line="517" w:lineRule="exact"/>
              <w:ind w:firstLine="46"/>
            </w:pPr>
            <w:r>
              <w:rPr>
                <w:position w:val="-10"/>
              </w:rPr>
              <w:drawing>
                <wp:inline distT="0" distB="0" distL="0" distR="0">
                  <wp:extent cx="97790" cy="328295"/>
                  <wp:effectExtent l="0" t="0" r="0" b="0"/>
                  <wp:docPr id="372" name="IM 372"/>
                  <wp:cNvGraphicFramePr/>
                  <a:graphic xmlns:a="http://schemas.openxmlformats.org/drawingml/2006/main">
                    <a:graphicData uri="http://schemas.openxmlformats.org/drawingml/2006/picture">
                      <pic:pic xmlns:pic="http://schemas.openxmlformats.org/drawingml/2006/picture">
                        <pic:nvPicPr>
                          <pic:cNvPr id="372" name="IM 372"/>
                          <pic:cNvPicPr/>
                        </pic:nvPicPr>
                        <pic:blipFill>
                          <a:blip r:embed="rId350"/>
                          <a:stretch>
                            <a:fillRect/>
                          </a:stretch>
                        </pic:blipFill>
                        <pic:spPr>
                          <a:xfrm>
                            <a:off x="0" y="0"/>
                            <a:ext cx="98196" cy="328641"/>
                          </a:xfrm>
                          <a:prstGeom prst="rect">
                            <a:avLst/>
                          </a:prstGeom>
                        </pic:spPr>
                      </pic:pic>
                    </a:graphicData>
                  </a:graphic>
                </wp:inline>
              </w:drawing>
            </w:r>
          </w:p>
        </w:tc>
        <w:tc>
          <w:tcPr>
            <w:tcW w:w="224" w:type="dxa"/>
            <w:vAlign w:val="top"/>
          </w:tcPr>
          <w:p w14:paraId="4BBE519C">
            <w:pPr>
              <w:rPr>
                <w:rFonts w:ascii="Arial"/>
                <w:sz w:val="21"/>
              </w:rPr>
            </w:pPr>
          </w:p>
        </w:tc>
      </w:tr>
      <w:tr w14:paraId="7D8C5D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09" w:hRule="atLeast"/>
        </w:trPr>
        <w:tc>
          <w:tcPr>
            <w:tcW w:w="903" w:type="dxa"/>
            <w:vAlign w:val="top"/>
          </w:tcPr>
          <w:p w14:paraId="6EA02871">
            <w:pPr>
              <w:spacing w:line="416" w:lineRule="auto"/>
              <w:rPr>
                <w:rFonts w:ascii="Arial"/>
                <w:sz w:val="21"/>
              </w:rPr>
            </w:pPr>
          </w:p>
          <w:p w14:paraId="712A3675">
            <w:pPr>
              <w:pStyle w:val="6"/>
              <w:spacing w:before="55" w:line="219" w:lineRule="auto"/>
              <w:ind w:left="275"/>
            </w:pPr>
            <w:r>
              <w:rPr>
                <w:spacing w:val="-2"/>
              </w:rPr>
              <w:t>路径</w:t>
            </w:r>
          </w:p>
        </w:tc>
        <w:tc>
          <w:tcPr>
            <w:tcW w:w="2284" w:type="dxa"/>
            <w:vAlign w:val="top"/>
          </w:tcPr>
          <w:p w14:paraId="297F1966">
            <w:pPr>
              <w:pStyle w:val="6"/>
              <w:spacing w:before="32" w:line="219" w:lineRule="auto"/>
              <w:ind w:left="11"/>
            </w:pPr>
            <w:r>
              <w:t>1.路径面板的组成</w:t>
            </w:r>
          </w:p>
          <w:p w14:paraId="17C47094">
            <w:pPr>
              <w:pStyle w:val="6"/>
              <w:spacing w:before="19" w:line="219" w:lineRule="auto"/>
              <w:ind w:left="11"/>
            </w:pPr>
            <w:r>
              <w:rPr>
                <w:spacing w:val="-1"/>
              </w:rPr>
              <w:t>2.路径与选择之间的转换</w:t>
            </w:r>
          </w:p>
          <w:p w14:paraId="4798FCBF">
            <w:pPr>
              <w:pStyle w:val="6"/>
              <w:spacing w:before="27" w:line="213" w:lineRule="auto"/>
              <w:ind w:left="11" w:right="1417"/>
            </w:pPr>
            <w:r>
              <w:rPr>
                <w:spacing w:val="-2"/>
              </w:rPr>
              <w:t>3.填充路径</w:t>
            </w:r>
            <w:r>
              <w:t xml:space="preserve"> </w:t>
            </w:r>
            <w:r>
              <w:rPr>
                <w:spacing w:val="-1"/>
              </w:rPr>
              <w:t>4.描边路径</w:t>
            </w:r>
          </w:p>
          <w:p w14:paraId="591C2D8F">
            <w:pPr>
              <w:pStyle w:val="6"/>
              <w:spacing w:before="38" w:line="201" w:lineRule="auto"/>
              <w:ind w:left="11"/>
            </w:pPr>
            <w:r>
              <w:rPr>
                <w:spacing w:val="-2"/>
              </w:rPr>
              <w:t>实例十四邮票设计</w:t>
            </w:r>
          </w:p>
        </w:tc>
        <w:tc>
          <w:tcPr>
            <w:tcW w:w="230" w:type="dxa"/>
            <w:vAlign w:val="top"/>
          </w:tcPr>
          <w:p w14:paraId="41FCA3B5">
            <w:pPr>
              <w:rPr>
                <w:rFonts w:ascii="Arial"/>
                <w:sz w:val="21"/>
              </w:rPr>
            </w:pPr>
          </w:p>
        </w:tc>
        <w:tc>
          <w:tcPr>
            <w:tcW w:w="219" w:type="dxa"/>
            <w:vAlign w:val="top"/>
          </w:tcPr>
          <w:p w14:paraId="0B5CD39D">
            <w:pPr>
              <w:spacing w:before="74" w:line="314" w:lineRule="exact"/>
              <w:ind w:firstLine="40"/>
            </w:pPr>
            <w:r>
              <w:rPr>
                <w:position w:val="-6"/>
              </w:rPr>
              <w:drawing>
                <wp:inline distT="0" distB="0" distL="0" distR="0">
                  <wp:extent cx="92075" cy="198755"/>
                  <wp:effectExtent l="0" t="0" r="0" b="0"/>
                  <wp:docPr id="374" name="IM 374"/>
                  <wp:cNvGraphicFramePr/>
                  <a:graphic xmlns:a="http://schemas.openxmlformats.org/drawingml/2006/main">
                    <a:graphicData uri="http://schemas.openxmlformats.org/drawingml/2006/picture">
                      <pic:pic xmlns:pic="http://schemas.openxmlformats.org/drawingml/2006/picture">
                        <pic:nvPicPr>
                          <pic:cNvPr id="374" name="IM 374"/>
                          <pic:cNvPicPr/>
                        </pic:nvPicPr>
                        <pic:blipFill>
                          <a:blip r:embed="rId351"/>
                          <a:stretch>
                            <a:fillRect/>
                          </a:stretch>
                        </pic:blipFill>
                        <pic:spPr>
                          <a:xfrm>
                            <a:off x="0" y="0"/>
                            <a:ext cx="92093" cy="199294"/>
                          </a:xfrm>
                          <a:prstGeom prst="rect">
                            <a:avLst/>
                          </a:prstGeom>
                        </pic:spPr>
                      </pic:pic>
                    </a:graphicData>
                  </a:graphic>
                </wp:inline>
              </w:drawing>
            </w:r>
          </w:p>
        </w:tc>
        <w:tc>
          <w:tcPr>
            <w:tcW w:w="249" w:type="dxa"/>
            <w:vAlign w:val="top"/>
          </w:tcPr>
          <w:p w14:paraId="27B723D2">
            <w:pPr>
              <w:spacing w:line="260" w:lineRule="auto"/>
              <w:rPr>
                <w:rFonts w:ascii="Arial"/>
                <w:sz w:val="21"/>
              </w:rPr>
            </w:pPr>
          </w:p>
          <w:p w14:paraId="4F9399EE">
            <w:pPr>
              <w:spacing w:line="261" w:lineRule="auto"/>
              <w:rPr>
                <w:rFonts w:ascii="Arial"/>
                <w:sz w:val="21"/>
              </w:rPr>
            </w:pPr>
          </w:p>
          <w:p w14:paraId="644989A1">
            <w:pPr>
              <w:spacing w:line="313" w:lineRule="exact"/>
              <w:ind w:firstLine="46"/>
            </w:pPr>
            <w:r>
              <w:rPr>
                <w:position w:val="-6"/>
              </w:rPr>
              <w:drawing>
                <wp:inline distT="0" distB="0" distL="0" distR="0">
                  <wp:extent cx="97790" cy="198755"/>
                  <wp:effectExtent l="0" t="0" r="0" b="0"/>
                  <wp:docPr id="376" name="IM 376"/>
                  <wp:cNvGraphicFramePr/>
                  <a:graphic xmlns:a="http://schemas.openxmlformats.org/drawingml/2006/main">
                    <a:graphicData uri="http://schemas.openxmlformats.org/drawingml/2006/picture">
                      <pic:pic xmlns:pic="http://schemas.openxmlformats.org/drawingml/2006/picture">
                        <pic:nvPicPr>
                          <pic:cNvPr id="376" name="IM 376"/>
                          <pic:cNvPicPr/>
                        </pic:nvPicPr>
                        <pic:blipFill>
                          <a:blip r:embed="rId352"/>
                          <a:stretch>
                            <a:fillRect/>
                          </a:stretch>
                        </pic:blipFill>
                        <pic:spPr>
                          <a:xfrm>
                            <a:off x="0" y="0"/>
                            <a:ext cx="98422" cy="199114"/>
                          </a:xfrm>
                          <a:prstGeom prst="rect">
                            <a:avLst/>
                          </a:prstGeom>
                        </pic:spPr>
                      </pic:pic>
                    </a:graphicData>
                  </a:graphic>
                </wp:inline>
              </w:drawing>
            </w:r>
          </w:p>
        </w:tc>
        <w:tc>
          <w:tcPr>
            <w:tcW w:w="224" w:type="dxa"/>
            <w:vAlign w:val="top"/>
          </w:tcPr>
          <w:p w14:paraId="3159535C">
            <w:pPr>
              <w:spacing w:line="280" w:lineRule="auto"/>
              <w:rPr>
                <w:rFonts w:ascii="Arial"/>
                <w:sz w:val="21"/>
              </w:rPr>
            </w:pPr>
          </w:p>
          <w:p w14:paraId="41374027">
            <w:pPr>
              <w:spacing w:line="280" w:lineRule="auto"/>
              <w:rPr>
                <w:rFonts w:ascii="Arial"/>
                <w:sz w:val="21"/>
              </w:rPr>
            </w:pPr>
          </w:p>
          <w:p w14:paraId="3B8CBEED">
            <w:pPr>
              <w:spacing w:line="280" w:lineRule="auto"/>
              <w:rPr>
                <w:rFonts w:ascii="Arial"/>
                <w:sz w:val="21"/>
              </w:rPr>
            </w:pPr>
          </w:p>
          <w:p w14:paraId="38DA99DE">
            <w:pPr>
              <w:pStyle w:val="6"/>
              <w:spacing w:before="55" w:line="215" w:lineRule="auto"/>
              <w:ind w:left="19"/>
            </w:pPr>
            <w:r>
              <w:t>√</w:t>
            </w:r>
          </w:p>
        </w:tc>
      </w:tr>
      <w:tr w14:paraId="34F570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69" w:hRule="atLeast"/>
        </w:trPr>
        <w:tc>
          <w:tcPr>
            <w:tcW w:w="903" w:type="dxa"/>
            <w:vAlign w:val="top"/>
          </w:tcPr>
          <w:p w14:paraId="2592084B">
            <w:pPr>
              <w:spacing w:line="447" w:lineRule="auto"/>
              <w:rPr>
                <w:rFonts w:ascii="Arial"/>
                <w:sz w:val="21"/>
              </w:rPr>
            </w:pPr>
          </w:p>
          <w:p w14:paraId="17251E81">
            <w:pPr>
              <w:pStyle w:val="6"/>
              <w:spacing w:before="55" w:line="219" w:lineRule="auto"/>
              <w:ind w:left="105"/>
            </w:pPr>
            <w:r>
              <w:rPr>
                <w:spacing w:val="3"/>
              </w:rPr>
              <w:t>图像控制</w:t>
            </w:r>
          </w:p>
        </w:tc>
        <w:tc>
          <w:tcPr>
            <w:tcW w:w="2284" w:type="dxa"/>
            <w:vAlign w:val="top"/>
          </w:tcPr>
          <w:p w14:paraId="1FF59ABC">
            <w:pPr>
              <w:pStyle w:val="6"/>
              <w:spacing w:before="95" w:line="229" w:lineRule="auto"/>
              <w:ind w:left="11" w:right="896"/>
            </w:pPr>
            <w:r>
              <w:t>1.图像尺寸的设置</w:t>
            </w:r>
            <w:r>
              <w:rPr>
                <w:spacing w:val="4"/>
              </w:rPr>
              <w:t xml:space="preserve"> </w:t>
            </w:r>
            <w:r>
              <w:rPr>
                <w:spacing w:val="-2"/>
              </w:rPr>
              <w:t>2.模式转换</w:t>
            </w:r>
          </w:p>
          <w:p w14:paraId="0AC087DE">
            <w:pPr>
              <w:pStyle w:val="6"/>
              <w:spacing w:before="8" w:line="229" w:lineRule="auto"/>
              <w:ind w:left="11" w:right="547"/>
            </w:pPr>
            <w:r>
              <w:rPr>
                <w:spacing w:val="1"/>
              </w:rPr>
              <w:t>3.图像色彩和色彩控制</w:t>
            </w:r>
            <w:r>
              <w:rPr>
                <w:spacing w:val="2"/>
              </w:rPr>
              <w:t xml:space="preserve"> </w:t>
            </w:r>
            <w:r>
              <w:rPr>
                <w:spacing w:val="-1"/>
              </w:rPr>
              <w:t>4.特殊色彩效果调整</w:t>
            </w:r>
          </w:p>
          <w:p w14:paraId="471550B6">
            <w:pPr>
              <w:pStyle w:val="6"/>
              <w:spacing w:before="18" w:line="211" w:lineRule="auto"/>
              <w:jc w:val="right"/>
            </w:pPr>
            <w:r>
              <w:rPr>
                <w:spacing w:val="-9"/>
              </w:rPr>
              <w:t>实例十五图像合成与色彩的调整</w:t>
            </w:r>
          </w:p>
        </w:tc>
        <w:tc>
          <w:tcPr>
            <w:tcW w:w="230" w:type="dxa"/>
            <w:vAlign w:val="top"/>
          </w:tcPr>
          <w:p w14:paraId="28C2FF5E">
            <w:pPr>
              <w:rPr>
                <w:rFonts w:ascii="Arial"/>
                <w:sz w:val="21"/>
              </w:rPr>
            </w:pPr>
          </w:p>
        </w:tc>
        <w:tc>
          <w:tcPr>
            <w:tcW w:w="219" w:type="dxa"/>
            <w:vAlign w:val="top"/>
          </w:tcPr>
          <w:p w14:paraId="303C23EB">
            <w:pPr>
              <w:rPr>
                <w:rFonts w:ascii="Arial"/>
                <w:sz w:val="21"/>
              </w:rPr>
            </w:pPr>
          </w:p>
        </w:tc>
        <w:tc>
          <w:tcPr>
            <w:tcW w:w="249" w:type="dxa"/>
            <w:vAlign w:val="top"/>
          </w:tcPr>
          <w:p w14:paraId="0920FA1B">
            <w:pPr>
              <w:rPr>
                <w:rFonts w:ascii="Arial"/>
                <w:sz w:val="21"/>
              </w:rPr>
            </w:pPr>
          </w:p>
        </w:tc>
        <w:tc>
          <w:tcPr>
            <w:tcW w:w="224" w:type="dxa"/>
            <w:vAlign w:val="top"/>
          </w:tcPr>
          <w:p w14:paraId="01AF626B">
            <w:pPr>
              <w:rPr>
                <w:rFonts w:ascii="Arial"/>
                <w:sz w:val="21"/>
              </w:rPr>
            </w:pPr>
          </w:p>
        </w:tc>
      </w:tr>
      <w:tr w14:paraId="61F715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9" w:hRule="atLeast"/>
        </w:trPr>
        <w:tc>
          <w:tcPr>
            <w:tcW w:w="903" w:type="dxa"/>
            <w:vAlign w:val="top"/>
          </w:tcPr>
          <w:p w14:paraId="11901188">
            <w:pPr>
              <w:pStyle w:val="6"/>
              <w:spacing w:before="294" w:line="232" w:lineRule="auto"/>
              <w:ind w:left="184" w:right="208" w:firstLine="90"/>
            </w:pPr>
            <w:r>
              <w:rPr>
                <w:spacing w:val="-6"/>
              </w:rPr>
              <w:t>蒙板</w:t>
            </w:r>
            <w:r>
              <w:t xml:space="preserve">  </w:t>
            </w:r>
            <w:r>
              <w:rPr>
                <w:spacing w:val="-4"/>
              </w:rPr>
              <w:t>与通道</w:t>
            </w:r>
          </w:p>
        </w:tc>
        <w:tc>
          <w:tcPr>
            <w:tcW w:w="2284" w:type="dxa"/>
            <w:vAlign w:val="top"/>
          </w:tcPr>
          <w:p w14:paraId="755E46D6">
            <w:pPr>
              <w:pStyle w:val="6"/>
              <w:spacing w:before="55" w:line="234" w:lineRule="auto"/>
              <w:ind w:left="11" w:right="1743"/>
            </w:pPr>
            <w:r>
              <w:rPr>
                <w:spacing w:val="2"/>
              </w:rPr>
              <w:t>1.蒙板</w:t>
            </w:r>
            <w:r>
              <w:t xml:space="preserve"> </w:t>
            </w:r>
            <w:r>
              <w:rPr>
                <w:spacing w:val="-2"/>
              </w:rPr>
              <w:t>2.通道</w:t>
            </w:r>
          </w:p>
          <w:p w14:paraId="39C7BD21">
            <w:pPr>
              <w:pStyle w:val="6"/>
              <w:spacing w:line="220" w:lineRule="auto"/>
              <w:ind w:left="11"/>
            </w:pPr>
            <w:r>
              <w:rPr>
                <w:spacing w:val="1"/>
              </w:rPr>
              <w:t>实例十六声音</w:t>
            </w:r>
          </w:p>
          <w:p w14:paraId="29CDCA95">
            <w:pPr>
              <w:pStyle w:val="6"/>
              <w:spacing w:before="16" w:line="210" w:lineRule="auto"/>
              <w:ind w:left="11"/>
            </w:pPr>
            <w:r>
              <w:rPr>
                <w:spacing w:val="1"/>
              </w:rPr>
              <w:t>实例十七图像的条纹制作</w:t>
            </w:r>
          </w:p>
        </w:tc>
        <w:tc>
          <w:tcPr>
            <w:tcW w:w="230" w:type="dxa"/>
            <w:vAlign w:val="top"/>
          </w:tcPr>
          <w:p w14:paraId="4C1E0C95">
            <w:pPr>
              <w:rPr>
                <w:rFonts w:ascii="Arial"/>
                <w:sz w:val="21"/>
              </w:rPr>
            </w:pPr>
          </w:p>
        </w:tc>
        <w:tc>
          <w:tcPr>
            <w:tcW w:w="219" w:type="dxa"/>
            <w:vAlign w:val="top"/>
          </w:tcPr>
          <w:p w14:paraId="1C3C6D54">
            <w:pPr>
              <w:rPr>
                <w:rFonts w:ascii="Arial"/>
                <w:sz w:val="21"/>
              </w:rPr>
            </w:pPr>
          </w:p>
        </w:tc>
        <w:tc>
          <w:tcPr>
            <w:tcW w:w="249" w:type="dxa"/>
            <w:vAlign w:val="top"/>
          </w:tcPr>
          <w:p w14:paraId="61A596FA">
            <w:pPr>
              <w:rPr>
                <w:rFonts w:ascii="Arial"/>
                <w:sz w:val="21"/>
              </w:rPr>
            </w:pPr>
          </w:p>
        </w:tc>
        <w:tc>
          <w:tcPr>
            <w:tcW w:w="224" w:type="dxa"/>
            <w:vAlign w:val="top"/>
          </w:tcPr>
          <w:p w14:paraId="238BEF74">
            <w:pPr>
              <w:spacing w:line="256" w:lineRule="auto"/>
              <w:rPr>
                <w:rFonts w:ascii="Arial"/>
                <w:sz w:val="21"/>
              </w:rPr>
            </w:pPr>
          </w:p>
          <w:p w14:paraId="4FAC908C">
            <w:pPr>
              <w:spacing w:line="257" w:lineRule="auto"/>
              <w:rPr>
                <w:rFonts w:ascii="Arial"/>
                <w:sz w:val="21"/>
              </w:rPr>
            </w:pPr>
          </w:p>
          <w:p w14:paraId="2275A740">
            <w:pPr>
              <w:spacing w:line="314" w:lineRule="exact"/>
              <w:ind w:firstLine="41"/>
            </w:pPr>
            <w:r>
              <w:rPr>
                <w:position w:val="-6"/>
              </w:rPr>
              <w:drawing>
                <wp:inline distT="0" distB="0" distL="0" distR="0">
                  <wp:extent cx="91440" cy="198755"/>
                  <wp:effectExtent l="0" t="0" r="0" b="0"/>
                  <wp:docPr id="378" name="IM 378"/>
                  <wp:cNvGraphicFramePr/>
                  <a:graphic xmlns:a="http://schemas.openxmlformats.org/drawingml/2006/main">
                    <a:graphicData uri="http://schemas.openxmlformats.org/drawingml/2006/picture">
                      <pic:pic xmlns:pic="http://schemas.openxmlformats.org/drawingml/2006/picture">
                        <pic:nvPicPr>
                          <pic:cNvPr id="378" name="IM 378"/>
                          <pic:cNvPicPr/>
                        </pic:nvPicPr>
                        <pic:blipFill>
                          <a:blip r:embed="rId353"/>
                          <a:stretch>
                            <a:fillRect/>
                          </a:stretch>
                        </pic:blipFill>
                        <pic:spPr>
                          <a:xfrm>
                            <a:off x="0" y="0"/>
                            <a:ext cx="91446" cy="199294"/>
                          </a:xfrm>
                          <a:prstGeom prst="rect">
                            <a:avLst/>
                          </a:prstGeom>
                        </pic:spPr>
                      </pic:pic>
                    </a:graphicData>
                  </a:graphic>
                </wp:inline>
              </w:drawing>
            </w:r>
          </w:p>
        </w:tc>
      </w:tr>
      <w:tr w14:paraId="77E0C3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44" w:hRule="atLeast"/>
        </w:trPr>
        <w:tc>
          <w:tcPr>
            <w:tcW w:w="903" w:type="dxa"/>
            <w:vAlign w:val="top"/>
          </w:tcPr>
          <w:p w14:paraId="6D407195">
            <w:pPr>
              <w:spacing w:line="250" w:lineRule="auto"/>
              <w:rPr>
                <w:rFonts w:ascii="Arial"/>
                <w:sz w:val="21"/>
              </w:rPr>
            </w:pPr>
          </w:p>
          <w:p w14:paraId="2E118E8F">
            <w:pPr>
              <w:pStyle w:val="6"/>
              <w:spacing w:before="55" w:line="237" w:lineRule="auto"/>
              <w:ind w:left="184" w:right="186" w:firstLine="90"/>
            </w:pPr>
            <w:r>
              <w:rPr>
                <w:spacing w:val="-4"/>
              </w:rPr>
              <w:t>滤镜</w:t>
            </w:r>
            <w:r>
              <w:t xml:space="preserve">  </w:t>
            </w:r>
            <w:r>
              <w:rPr>
                <w:spacing w:val="3"/>
              </w:rPr>
              <w:t>与动作</w:t>
            </w:r>
          </w:p>
        </w:tc>
        <w:tc>
          <w:tcPr>
            <w:tcW w:w="2284" w:type="dxa"/>
            <w:vAlign w:val="top"/>
          </w:tcPr>
          <w:p w14:paraId="0D8D4722">
            <w:pPr>
              <w:pStyle w:val="6"/>
              <w:spacing w:before="77" w:line="217" w:lineRule="auto"/>
              <w:ind w:left="11"/>
            </w:pPr>
            <w:r>
              <w:rPr>
                <w:spacing w:val="2"/>
              </w:rPr>
              <w:t>1.滤镜</w:t>
            </w:r>
          </w:p>
          <w:p w14:paraId="1D70CDE1">
            <w:pPr>
              <w:pStyle w:val="6"/>
              <w:spacing w:line="220" w:lineRule="auto"/>
              <w:ind w:left="11"/>
            </w:pPr>
            <w:r>
              <w:rPr>
                <w:spacing w:val="-1"/>
              </w:rPr>
              <w:t>2.批处理——动作</w:t>
            </w:r>
          </w:p>
          <w:p w14:paraId="07B1BA31">
            <w:pPr>
              <w:pStyle w:val="6"/>
              <w:spacing w:before="18" w:line="229" w:lineRule="auto"/>
              <w:ind w:left="11" w:right="720"/>
            </w:pPr>
            <w:r>
              <w:rPr>
                <w:spacing w:val="1"/>
              </w:rPr>
              <w:t>实例十八</w:t>
            </w:r>
            <w:r>
              <w:t>CD</w:t>
            </w:r>
            <w:r>
              <w:rPr>
                <w:spacing w:val="1"/>
              </w:rPr>
              <w:t>封面制作</w:t>
            </w:r>
            <w:r>
              <w:rPr>
                <w:spacing w:val="2"/>
              </w:rPr>
              <w:t xml:space="preserve"> </w:t>
            </w:r>
            <w:r>
              <w:rPr>
                <w:spacing w:val="-2"/>
              </w:rPr>
              <w:t>实例十九装潢设计</w:t>
            </w:r>
          </w:p>
        </w:tc>
        <w:tc>
          <w:tcPr>
            <w:tcW w:w="230" w:type="dxa"/>
            <w:vAlign w:val="top"/>
          </w:tcPr>
          <w:p w14:paraId="440BC21B">
            <w:pPr>
              <w:rPr>
                <w:rFonts w:ascii="Arial"/>
                <w:sz w:val="21"/>
              </w:rPr>
            </w:pPr>
          </w:p>
        </w:tc>
        <w:tc>
          <w:tcPr>
            <w:tcW w:w="219" w:type="dxa"/>
            <w:vAlign w:val="top"/>
          </w:tcPr>
          <w:p w14:paraId="78CC68A6">
            <w:pPr>
              <w:rPr>
                <w:rFonts w:ascii="Arial"/>
                <w:sz w:val="21"/>
              </w:rPr>
            </w:pPr>
          </w:p>
        </w:tc>
        <w:tc>
          <w:tcPr>
            <w:tcW w:w="249" w:type="dxa"/>
            <w:vAlign w:val="top"/>
          </w:tcPr>
          <w:p w14:paraId="63064C5B">
            <w:pPr>
              <w:spacing w:before="102" w:line="320" w:lineRule="exact"/>
              <w:ind w:firstLine="53"/>
            </w:pPr>
            <w:r>
              <w:rPr>
                <w:position w:val="-6"/>
              </w:rPr>
              <w:drawing>
                <wp:inline distT="0" distB="0" distL="0" distR="0">
                  <wp:extent cx="94615" cy="202565"/>
                  <wp:effectExtent l="0" t="0" r="0" b="0"/>
                  <wp:docPr id="380" name="IM 380"/>
                  <wp:cNvGraphicFramePr/>
                  <a:graphic xmlns:a="http://schemas.openxmlformats.org/drawingml/2006/main">
                    <a:graphicData uri="http://schemas.openxmlformats.org/drawingml/2006/picture">
                      <pic:pic xmlns:pic="http://schemas.openxmlformats.org/drawingml/2006/picture">
                        <pic:nvPicPr>
                          <pic:cNvPr id="380" name="IM 380"/>
                          <pic:cNvPicPr/>
                        </pic:nvPicPr>
                        <pic:blipFill>
                          <a:blip r:embed="rId354"/>
                          <a:stretch>
                            <a:fillRect/>
                          </a:stretch>
                        </pic:blipFill>
                        <pic:spPr>
                          <a:xfrm>
                            <a:off x="0" y="0"/>
                            <a:ext cx="94803" cy="202964"/>
                          </a:xfrm>
                          <a:prstGeom prst="rect">
                            <a:avLst/>
                          </a:prstGeom>
                        </pic:spPr>
                      </pic:pic>
                    </a:graphicData>
                  </a:graphic>
                </wp:inline>
              </w:drawing>
            </w:r>
          </w:p>
        </w:tc>
        <w:tc>
          <w:tcPr>
            <w:tcW w:w="224" w:type="dxa"/>
            <w:vAlign w:val="top"/>
          </w:tcPr>
          <w:p w14:paraId="3B34046E">
            <w:pPr>
              <w:rPr>
                <w:rFonts w:ascii="Arial"/>
                <w:sz w:val="21"/>
              </w:rPr>
            </w:pPr>
          </w:p>
        </w:tc>
      </w:tr>
    </w:tbl>
    <w:p w14:paraId="22816F7F">
      <w:pPr>
        <w:spacing w:before="231" w:line="219" w:lineRule="auto"/>
        <w:ind w:left="63"/>
        <w:rPr>
          <w:rFonts w:ascii="宋体" w:hAnsi="宋体" w:eastAsia="宋体" w:cs="宋体"/>
          <w:sz w:val="23"/>
          <w:szCs w:val="23"/>
        </w:rPr>
      </w:pPr>
      <w:r>
        <w:rPr>
          <w:rFonts w:ascii="宋体" w:hAnsi="宋体" w:eastAsia="宋体" w:cs="宋体"/>
          <w:b/>
          <w:bCs/>
          <w:spacing w:val="-7"/>
          <w:sz w:val="23"/>
          <w:szCs w:val="23"/>
        </w:rPr>
        <w:t>四、考试形式与试卷结构</w:t>
      </w:r>
    </w:p>
    <w:p w14:paraId="2B5DAAF3">
      <w:pPr>
        <w:spacing w:before="97" w:line="291" w:lineRule="auto"/>
        <w:ind w:left="440" w:right="2953" w:firstLine="49"/>
        <w:rPr>
          <w:rFonts w:ascii="宋体" w:hAnsi="宋体" w:eastAsia="宋体" w:cs="宋体"/>
          <w:sz w:val="17"/>
          <w:szCs w:val="17"/>
        </w:rPr>
      </w:pPr>
      <w:r>
        <w:rPr>
          <w:rFonts w:ascii="宋体" w:hAnsi="宋体" w:eastAsia="宋体" w:cs="宋体"/>
          <w:spacing w:val="12"/>
          <w:sz w:val="17"/>
          <w:szCs w:val="17"/>
        </w:rPr>
        <w:t>(一)考试形式</w:t>
      </w:r>
      <w:r>
        <w:rPr>
          <w:rFonts w:ascii="宋体" w:hAnsi="宋体" w:eastAsia="宋体" w:cs="宋体"/>
          <w:spacing w:val="1"/>
          <w:sz w:val="17"/>
          <w:szCs w:val="17"/>
        </w:rPr>
        <w:t xml:space="preserve"> </w:t>
      </w:r>
      <w:r>
        <w:rPr>
          <w:rFonts w:ascii="宋体" w:hAnsi="宋体" w:eastAsia="宋体" w:cs="宋体"/>
          <w:spacing w:val="-1"/>
          <w:sz w:val="17"/>
          <w:szCs w:val="17"/>
        </w:rPr>
        <w:t>1.素描考试</w:t>
      </w:r>
    </w:p>
    <w:p w14:paraId="106001BE">
      <w:pPr>
        <w:spacing w:before="34" w:line="283" w:lineRule="auto"/>
        <w:ind w:left="60" w:right="345" w:firstLine="430"/>
        <w:rPr>
          <w:rFonts w:ascii="宋体" w:hAnsi="宋体" w:eastAsia="宋体" w:cs="宋体"/>
          <w:sz w:val="17"/>
          <w:szCs w:val="17"/>
        </w:rPr>
      </w:pPr>
      <w:r>
        <w:rPr>
          <w:rFonts w:ascii="宋体" w:hAnsi="宋体" w:eastAsia="宋体" w:cs="宋体"/>
          <w:spacing w:val="1"/>
          <w:sz w:val="17"/>
          <w:szCs w:val="17"/>
        </w:rPr>
        <w:t>(1)静物的组合写生：器皿、水果、蔬菜、陶瓷、</w:t>
      </w:r>
      <w:r>
        <w:rPr>
          <w:rFonts w:ascii="宋体" w:hAnsi="宋体" w:eastAsia="宋体" w:cs="宋体"/>
          <w:spacing w:val="15"/>
          <w:sz w:val="17"/>
          <w:szCs w:val="17"/>
        </w:rPr>
        <w:t xml:space="preserve"> </w:t>
      </w:r>
      <w:r>
        <w:rPr>
          <w:rFonts w:ascii="宋体" w:hAnsi="宋体" w:eastAsia="宋体" w:cs="宋体"/>
          <w:spacing w:val="2"/>
          <w:sz w:val="17"/>
          <w:szCs w:val="17"/>
        </w:rPr>
        <w:t>金属、食品等大小形状质地不同的静物组合，每组不少</w:t>
      </w:r>
      <w:r>
        <w:rPr>
          <w:rFonts w:ascii="宋体" w:hAnsi="宋体" w:eastAsia="宋体" w:cs="宋体"/>
          <w:spacing w:val="15"/>
          <w:sz w:val="17"/>
          <w:szCs w:val="17"/>
        </w:rPr>
        <w:t xml:space="preserve"> </w:t>
      </w:r>
      <w:r>
        <w:rPr>
          <w:rFonts w:ascii="宋体" w:hAnsi="宋体" w:eastAsia="宋体" w:cs="宋体"/>
          <w:spacing w:val="20"/>
          <w:sz w:val="17"/>
          <w:szCs w:val="17"/>
        </w:rPr>
        <w:t>于4件。</w:t>
      </w:r>
    </w:p>
    <w:p w14:paraId="4B3B785E">
      <w:pPr>
        <w:spacing w:before="88" w:line="184" w:lineRule="auto"/>
        <w:ind w:left="490"/>
        <w:rPr>
          <w:rFonts w:ascii="宋体" w:hAnsi="宋体" w:eastAsia="宋体" w:cs="宋体"/>
          <w:sz w:val="17"/>
          <w:szCs w:val="17"/>
        </w:rPr>
      </w:pPr>
      <w:r>
        <w:rPr>
          <w:rFonts w:ascii="宋体" w:hAnsi="宋体" w:eastAsia="宋体" w:cs="宋体"/>
          <w:spacing w:val="6"/>
          <w:sz w:val="17"/>
          <w:szCs w:val="17"/>
        </w:rPr>
        <w:t>(2)人物头像写生：男中青年模特，正面、</w:t>
      </w:r>
      <w:r>
        <w:rPr>
          <w:rFonts w:ascii="宋体" w:hAnsi="宋体" w:eastAsia="宋体" w:cs="宋体"/>
          <w:spacing w:val="5"/>
          <w:sz w:val="17"/>
          <w:szCs w:val="17"/>
        </w:rPr>
        <w:t>1/3侧</w:t>
      </w:r>
    </w:p>
    <w:p w14:paraId="039E21C3">
      <w:pPr>
        <w:pStyle w:val="2"/>
        <w:spacing w:line="14" w:lineRule="auto"/>
        <w:rPr>
          <w:sz w:val="2"/>
        </w:rPr>
      </w:pPr>
      <w:r>
        <w:rPr>
          <w:sz w:val="2"/>
          <w:szCs w:val="2"/>
        </w:rPr>
        <w:br w:type="column"/>
      </w:r>
    </w:p>
    <w:p w14:paraId="07AF45F4">
      <w:pPr>
        <w:spacing w:before="35" w:line="219" w:lineRule="auto"/>
        <w:rPr>
          <w:rFonts w:ascii="宋体" w:hAnsi="宋体" w:eastAsia="宋体" w:cs="宋体"/>
          <w:sz w:val="17"/>
          <w:szCs w:val="17"/>
        </w:rPr>
      </w:pPr>
      <w:r>
        <w:rPr>
          <w:rFonts w:ascii="宋体" w:hAnsi="宋体" w:eastAsia="宋体" w:cs="宋体"/>
          <w:spacing w:val="1"/>
          <w:sz w:val="17"/>
          <w:szCs w:val="17"/>
        </w:rPr>
        <w:t>面或2/3侧面，平视带衣领的头像。</w:t>
      </w:r>
    </w:p>
    <w:p w14:paraId="30458356">
      <w:pPr>
        <w:spacing w:before="78" w:line="303" w:lineRule="auto"/>
        <w:ind w:left="60" w:right="29" w:firstLine="309"/>
        <w:rPr>
          <w:rFonts w:ascii="宋体" w:hAnsi="宋体" w:eastAsia="宋体" w:cs="宋体"/>
          <w:sz w:val="17"/>
          <w:szCs w:val="17"/>
        </w:rPr>
      </w:pPr>
      <w:r>
        <w:rPr>
          <w:rFonts w:ascii="宋体" w:hAnsi="宋体" w:eastAsia="宋体" w:cs="宋体"/>
          <w:spacing w:val="4"/>
          <w:sz w:val="17"/>
          <w:szCs w:val="17"/>
        </w:rPr>
        <w:t>试卷规格：8开纸、工具为铅笔、炭笔、炭精笔等</w:t>
      </w:r>
      <w:r>
        <w:rPr>
          <w:rFonts w:ascii="宋体" w:hAnsi="宋体" w:eastAsia="宋体" w:cs="宋体"/>
          <w:spacing w:val="13"/>
          <w:sz w:val="17"/>
          <w:szCs w:val="17"/>
        </w:rPr>
        <w:t xml:space="preserve"> </w:t>
      </w:r>
      <w:r>
        <w:rPr>
          <w:rFonts w:ascii="宋体" w:hAnsi="宋体" w:eastAsia="宋体" w:cs="宋体"/>
          <w:spacing w:val="19"/>
          <w:sz w:val="17"/>
          <w:szCs w:val="17"/>
        </w:rPr>
        <w:t>(自选)。</w:t>
      </w:r>
    </w:p>
    <w:p w14:paraId="00291E95">
      <w:pPr>
        <w:spacing w:before="31" w:line="292" w:lineRule="auto"/>
        <w:ind w:left="370" w:right="418"/>
        <w:rPr>
          <w:rFonts w:ascii="宋体" w:hAnsi="宋体" w:eastAsia="宋体" w:cs="宋体"/>
          <w:sz w:val="17"/>
          <w:szCs w:val="17"/>
        </w:rPr>
      </w:pPr>
      <w:r>
        <w:rPr>
          <w:rFonts w:ascii="宋体" w:hAnsi="宋体" w:eastAsia="宋体" w:cs="宋体"/>
          <w:spacing w:val="-2"/>
          <w:sz w:val="17"/>
          <w:szCs w:val="17"/>
        </w:rPr>
        <w:t>表现形式：明暗素描或线面结合的结果素描。</w:t>
      </w:r>
      <w:r>
        <w:rPr>
          <w:rFonts w:ascii="宋体" w:hAnsi="宋体" w:eastAsia="宋体" w:cs="宋体"/>
          <w:spacing w:val="8"/>
          <w:sz w:val="17"/>
          <w:szCs w:val="17"/>
        </w:rPr>
        <w:t xml:space="preserve"> </w:t>
      </w:r>
      <w:r>
        <w:rPr>
          <w:rFonts w:ascii="宋体" w:hAnsi="宋体" w:eastAsia="宋体" w:cs="宋体"/>
          <w:spacing w:val="-3"/>
          <w:sz w:val="17"/>
          <w:szCs w:val="17"/>
        </w:rPr>
        <w:t>评分标准：</w:t>
      </w:r>
    </w:p>
    <w:p w14:paraId="7ED7DE6B">
      <w:pPr>
        <w:spacing w:line="113" w:lineRule="auto"/>
        <w:rPr>
          <w:rFonts w:ascii="Arial"/>
          <w:sz w:val="2"/>
        </w:rPr>
      </w:pPr>
    </w:p>
    <w:tbl>
      <w:tblPr>
        <w:tblStyle w:val="5"/>
        <w:tblW w:w="4130" w:type="dxa"/>
        <w:tblInd w:w="2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93"/>
        <w:gridCol w:w="758"/>
        <w:gridCol w:w="828"/>
        <w:gridCol w:w="589"/>
        <w:gridCol w:w="1362"/>
      </w:tblGrid>
      <w:tr w14:paraId="5854B7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8" w:hRule="atLeast"/>
        </w:trPr>
        <w:tc>
          <w:tcPr>
            <w:tcW w:w="593" w:type="dxa"/>
            <w:vAlign w:val="top"/>
          </w:tcPr>
          <w:p w14:paraId="51274098">
            <w:pPr>
              <w:pStyle w:val="6"/>
              <w:spacing w:before="149" w:line="219" w:lineRule="auto"/>
              <w:ind w:left="127"/>
              <w:rPr>
                <w:sz w:val="16"/>
                <w:szCs w:val="16"/>
              </w:rPr>
            </w:pPr>
            <w:r>
              <w:rPr>
                <w:b/>
                <w:bCs/>
                <w:sz w:val="16"/>
                <w:szCs w:val="16"/>
              </w:rPr>
              <w:t>内容</w:t>
            </w:r>
          </w:p>
        </w:tc>
        <w:tc>
          <w:tcPr>
            <w:tcW w:w="758" w:type="dxa"/>
            <w:vAlign w:val="top"/>
          </w:tcPr>
          <w:p w14:paraId="5E1F43A0">
            <w:pPr>
              <w:pStyle w:val="6"/>
              <w:spacing w:before="149" w:line="220" w:lineRule="auto"/>
              <w:ind w:left="54"/>
              <w:rPr>
                <w:sz w:val="16"/>
                <w:szCs w:val="16"/>
              </w:rPr>
            </w:pPr>
            <w:r>
              <w:rPr>
                <w:b/>
                <w:bCs/>
                <w:spacing w:val="-3"/>
                <w:sz w:val="16"/>
                <w:szCs w:val="16"/>
              </w:rPr>
              <w:t>整体结构</w:t>
            </w:r>
          </w:p>
        </w:tc>
        <w:tc>
          <w:tcPr>
            <w:tcW w:w="828" w:type="dxa"/>
            <w:vAlign w:val="top"/>
          </w:tcPr>
          <w:p w14:paraId="4AEFB81E">
            <w:pPr>
              <w:pStyle w:val="6"/>
              <w:spacing w:before="49" w:line="224" w:lineRule="auto"/>
              <w:ind w:left="166" w:right="97" w:hanging="80"/>
              <w:rPr>
                <w:sz w:val="16"/>
                <w:szCs w:val="16"/>
              </w:rPr>
            </w:pPr>
            <w:r>
              <w:rPr>
                <w:b/>
                <w:bCs/>
                <w:spacing w:val="-4"/>
                <w:sz w:val="16"/>
                <w:szCs w:val="16"/>
              </w:rPr>
              <w:t>物体的形</w:t>
            </w:r>
            <w:r>
              <w:rPr>
                <w:spacing w:val="2"/>
                <w:sz w:val="16"/>
                <w:szCs w:val="16"/>
              </w:rPr>
              <w:t xml:space="preserve"> </w:t>
            </w:r>
            <w:r>
              <w:rPr>
                <w:b/>
                <w:bCs/>
                <w:spacing w:val="-4"/>
                <w:sz w:val="16"/>
                <w:szCs w:val="16"/>
              </w:rPr>
              <w:t>体结构</w:t>
            </w:r>
          </w:p>
        </w:tc>
        <w:tc>
          <w:tcPr>
            <w:tcW w:w="589" w:type="dxa"/>
            <w:vAlign w:val="top"/>
          </w:tcPr>
          <w:p w14:paraId="2D75654F">
            <w:pPr>
              <w:pStyle w:val="6"/>
              <w:spacing w:before="49" w:line="224" w:lineRule="auto"/>
              <w:ind w:left="128" w:right="61" w:hanging="80"/>
              <w:rPr>
                <w:sz w:val="16"/>
                <w:szCs w:val="16"/>
              </w:rPr>
            </w:pPr>
            <w:r>
              <w:rPr>
                <w:b/>
                <w:bCs/>
                <w:spacing w:val="-6"/>
                <w:sz w:val="16"/>
                <w:szCs w:val="16"/>
              </w:rPr>
              <w:t>黑白灰</w:t>
            </w:r>
            <w:r>
              <w:rPr>
                <w:spacing w:val="1"/>
                <w:sz w:val="16"/>
                <w:szCs w:val="16"/>
              </w:rPr>
              <w:t xml:space="preserve"> </w:t>
            </w:r>
            <w:r>
              <w:rPr>
                <w:b/>
                <w:bCs/>
                <w:spacing w:val="-4"/>
                <w:sz w:val="16"/>
                <w:szCs w:val="16"/>
              </w:rPr>
              <w:t>关系</w:t>
            </w:r>
          </w:p>
        </w:tc>
        <w:tc>
          <w:tcPr>
            <w:tcW w:w="1362" w:type="dxa"/>
            <w:vAlign w:val="top"/>
          </w:tcPr>
          <w:p w14:paraId="3C41106F">
            <w:pPr>
              <w:pStyle w:val="6"/>
              <w:spacing w:before="49" w:line="220" w:lineRule="auto"/>
              <w:ind w:left="119"/>
              <w:rPr>
                <w:sz w:val="16"/>
                <w:szCs w:val="16"/>
              </w:rPr>
            </w:pPr>
            <w:r>
              <w:rPr>
                <w:b/>
                <w:bCs/>
                <w:spacing w:val="-3"/>
                <w:sz w:val="16"/>
                <w:szCs w:val="16"/>
              </w:rPr>
              <w:t>物体的质量感和</w:t>
            </w:r>
          </w:p>
          <w:p w14:paraId="34382721">
            <w:pPr>
              <w:pStyle w:val="6"/>
              <w:spacing w:before="9" w:line="217" w:lineRule="auto"/>
              <w:ind w:left="199"/>
              <w:rPr>
                <w:sz w:val="16"/>
                <w:szCs w:val="16"/>
              </w:rPr>
            </w:pPr>
            <w:r>
              <w:rPr>
                <w:b/>
                <w:bCs/>
                <w:spacing w:val="-3"/>
                <w:sz w:val="16"/>
                <w:szCs w:val="16"/>
              </w:rPr>
              <w:t>整体空间关系</w:t>
            </w:r>
          </w:p>
        </w:tc>
      </w:tr>
      <w:tr w14:paraId="5DB764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1" w:hRule="atLeast"/>
        </w:trPr>
        <w:tc>
          <w:tcPr>
            <w:tcW w:w="593" w:type="dxa"/>
            <w:vAlign w:val="top"/>
          </w:tcPr>
          <w:p w14:paraId="502F426B">
            <w:pPr>
              <w:pStyle w:val="6"/>
              <w:spacing w:before="71" w:line="220" w:lineRule="auto"/>
              <w:ind w:left="47"/>
              <w:rPr>
                <w:sz w:val="16"/>
                <w:szCs w:val="16"/>
              </w:rPr>
            </w:pPr>
            <w:r>
              <w:rPr>
                <w:b/>
                <w:bCs/>
                <w:spacing w:val="-5"/>
                <w:sz w:val="16"/>
                <w:szCs w:val="16"/>
              </w:rPr>
              <w:t>百分比</w:t>
            </w:r>
          </w:p>
        </w:tc>
        <w:tc>
          <w:tcPr>
            <w:tcW w:w="758" w:type="dxa"/>
            <w:vAlign w:val="top"/>
          </w:tcPr>
          <w:p w14:paraId="08D3D959">
            <w:pPr>
              <w:pStyle w:val="6"/>
              <w:spacing w:before="112" w:line="184" w:lineRule="auto"/>
              <w:ind w:left="254"/>
              <w:rPr>
                <w:sz w:val="16"/>
                <w:szCs w:val="16"/>
              </w:rPr>
            </w:pPr>
            <w:r>
              <w:rPr>
                <w:b/>
                <w:bCs/>
                <w:spacing w:val="-6"/>
                <w:sz w:val="16"/>
                <w:szCs w:val="16"/>
              </w:rPr>
              <w:t>15%</w:t>
            </w:r>
          </w:p>
        </w:tc>
        <w:tc>
          <w:tcPr>
            <w:tcW w:w="828" w:type="dxa"/>
            <w:vAlign w:val="top"/>
          </w:tcPr>
          <w:p w14:paraId="0D2E7BC0">
            <w:pPr>
              <w:pStyle w:val="6"/>
              <w:spacing w:before="113" w:line="183" w:lineRule="auto"/>
              <w:ind w:left="286"/>
              <w:rPr>
                <w:sz w:val="16"/>
                <w:szCs w:val="16"/>
              </w:rPr>
            </w:pPr>
            <w:r>
              <w:rPr>
                <w:b/>
                <w:bCs/>
                <w:spacing w:val="-3"/>
                <w:sz w:val="16"/>
                <w:szCs w:val="16"/>
              </w:rPr>
              <w:t>40%</w:t>
            </w:r>
          </w:p>
        </w:tc>
        <w:tc>
          <w:tcPr>
            <w:tcW w:w="589" w:type="dxa"/>
            <w:vAlign w:val="top"/>
          </w:tcPr>
          <w:p w14:paraId="6D66C620">
            <w:pPr>
              <w:pStyle w:val="6"/>
              <w:spacing w:before="113" w:line="183" w:lineRule="auto"/>
              <w:ind w:left="168"/>
              <w:rPr>
                <w:sz w:val="16"/>
                <w:szCs w:val="16"/>
              </w:rPr>
            </w:pPr>
            <w:r>
              <w:rPr>
                <w:b/>
                <w:bCs/>
                <w:spacing w:val="-4"/>
                <w:sz w:val="16"/>
                <w:szCs w:val="16"/>
              </w:rPr>
              <w:t>30%</w:t>
            </w:r>
          </w:p>
        </w:tc>
        <w:tc>
          <w:tcPr>
            <w:tcW w:w="1362" w:type="dxa"/>
            <w:vAlign w:val="top"/>
          </w:tcPr>
          <w:p w14:paraId="6BE7EF09">
            <w:pPr>
              <w:pStyle w:val="6"/>
              <w:spacing w:before="112" w:line="184" w:lineRule="auto"/>
              <w:ind w:left="559"/>
              <w:rPr>
                <w:sz w:val="16"/>
                <w:szCs w:val="16"/>
              </w:rPr>
            </w:pPr>
            <w:r>
              <w:rPr>
                <w:b/>
                <w:bCs/>
                <w:spacing w:val="-6"/>
                <w:sz w:val="16"/>
                <w:szCs w:val="16"/>
              </w:rPr>
              <w:t>15%</w:t>
            </w:r>
          </w:p>
        </w:tc>
      </w:tr>
    </w:tbl>
    <w:p w14:paraId="63E93114">
      <w:pPr>
        <w:spacing w:before="122" w:line="219" w:lineRule="auto"/>
        <w:ind w:left="370"/>
        <w:rPr>
          <w:rFonts w:ascii="宋体" w:hAnsi="宋体" w:eastAsia="宋体" w:cs="宋体"/>
          <w:sz w:val="17"/>
          <w:szCs w:val="17"/>
        </w:rPr>
      </w:pPr>
      <w:r>
        <w:rPr>
          <w:rFonts w:ascii="宋体" w:hAnsi="宋体" w:eastAsia="宋体" w:cs="宋体"/>
          <w:spacing w:val="5"/>
          <w:sz w:val="17"/>
          <w:szCs w:val="17"/>
        </w:rPr>
        <w:t>考试时间：120分钟</w:t>
      </w:r>
    </w:p>
    <w:p w14:paraId="6410E191">
      <w:pPr>
        <w:spacing w:before="88" w:line="219" w:lineRule="auto"/>
        <w:ind w:left="370"/>
        <w:rPr>
          <w:rFonts w:ascii="宋体" w:hAnsi="宋体" w:eastAsia="宋体" w:cs="宋体"/>
          <w:sz w:val="17"/>
          <w:szCs w:val="17"/>
        </w:rPr>
      </w:pPr>
      <w:r>
        <w:rPr>
          <w:rFonts w:ascii="宋体" w:hAnsi="宋体" w:eastAsia="宋体" w:cs="宋体"/>
          <w:i/>
          <w:iCs/>
          <w:spacing w:val="-2"/>
          <w:sz w:val="17"/>
          <w:szCs w:val="17"/>
        </w:rPr>
        <w:t>2.平面设计考试</w:t>
      </w:r>
    </w:p>
    <w:p w14:paraId="2221B252">
      <w:pPr>
        <w:spacing w:before="88" w:line="219" w:lineRule="auto"/>
        <w:ind w:left="370"/>
        <w:rPr>
          <w:rFonts w:ascii="宋体" w:hAnsi="宋体" w:eastAsia="宋体" w:cs="宋体"/>
          <w:sz w:val="17"/>
          <w:szCs w:val="17"/>
        </w:rPr>
      </w:pPr>
      <w:r>
        <w:rPr>
          <w:rFonts w:ascii="宋体" w:hAnsi="宋体" w:eastAsia="宋体" w:cs="宋体"/>
          <w:spacing w:val="6"/>
          <w:sz w:val="17"/>
          <w:szCs w:val="17"/>
        </w:rPr>
        <w:t>考试要求：(1)平面设计具有良好的识别性；</w:t>
      </w:r>
    </w:p>
    <w:p w14:paraId="23C36D70">
      <w:pPr>
        <w:spacing w:before="88" w:line="219" w:lineRule="auto"/>
        <w:ind w:left="1280"/>
        <w:rPr>
          <w:rFonts w:ascii="宋体" w:hAnsi="宋体" w:eastAsia="宋体" w:cs="宋体"/>
          <w:sz w:val="17"/>
          <w:szCs w:val="17"/>
        </w:rPr>
      </w:pPr>
      <w:r>
        <w:rPr>
          <w:rFonts w:ascii="宋体" w:hAnsi="宋体" w:eastAsia="宋体" w:cs="宋体"/>
          <w:spacing w:val="6"/>
          <w:sz w:val="17"/>
          <w:szCs w:val="17"/>
        </w:rPr>
        <w:t>(2)商品概念清楚、准确：</w:t>
      </w:r>
    </w:p>
    <w:p w14:paraId="35AAD732">
      <w:pPr>
        <w:spacing w:before="88" w:line="301" w:lineRule="auto"/>
        <w:ind w:left="1280" w:right="172"/>
        <w:rPr>
          <w:rFonts w:ascii="宋体" w:hAnsi="宋体" w:eastAsia="宋体" w:cs="宋体"/>
          <w:sz w:val="17"/>
          <w:szCs w:val="17"/>
        </w:rPr>
      </w:pPr>
      <w:r>
        <w:rPr>
          <w:rFonts w:ascii="宋体" w:hAnsi="宋体" w:eastAsia="宋体" w:cs="宋体"/>
          <w:spacing w:val="4"/>
          <w:sz w:val="17"/>
          <w:szCs w:val="17"/>
        </w:rPr>
        <w:t>(3)整体形象具有鲜明的审美特色；</w:t>
      </w:r>
      <w:r>
        <w:rPr>
          <w:rFonts w:ascii="宋体" w:hAnsi="宋体" w:eastAsia="宋体" w:cs="宋体"/>
          <w:sz w:val="17"/>
          <w:szCs w:val="17"/>
        </w:rPr>
        <w:t xml:space="preserve"> </w:t>
      </w:r>
      <w:r>
        <w:rPr>
          <w:rFonts w:ascii="宋体" w:hAnsi="宋体" w:eastAsia="宋体" w:cs="宋体"/>
          <w:spacing w:val="7"/>
          <w:sz w:val="17"/>
          <w:szCs w:val="17"/>
        </w:rPr>
        <w:t>(4)考试采用手绘形式；</w:t>
      </w:r>
    </w:p>
    <w:p w14:paraId="49797108">
      <w:pPr>
        <w:spacing w:before="26" w:line="219" w:lineRule="auto"/>
        <w:ind w:left="1280"/>
        <w:rPr>
          <w:rFonts w:ascii="宋体" w:hAnsi="宋体" w:eastAsia="宋体" w:cs="宋体"/>
          <w:sz w:val="17"/>
          <w:szCs w:val="17"/>
        </w:rPr>
      </w:pPr>
      <w:r>
        <w:rPr>
          <w:rFonts w:ascii="宋体" w:hAnsi="宋体" w:eastAsia="宋体" w:cs="宋体"/>
          <w:spacing w:val="13"/>
          <w:sz w:val="17"/>
          <w:szCs w:val="17"/>
        </w:rPr>
        <w:t>(5)草稿、拷贝纸各1张；</w:t>
      </w:r>
    </w:p>
    <w:p w14:paraId="79ACC055">
      <w:pPr>
        <w:spacing w:before="89" w:line="220" w:lineRule="auto"/>
        <w:ind w:left="1280"/>
        <w:rPr>
          <w:rFonts w:ascii="宋体" w:hAnsi="宋体" w:eastAsia="宋体" w:cs="宋体"/>
          <w:sz w:val="17"/>
          <w:szCs w:val="17"/>
        </w:rPr>
      </w:pPr>
      <w:r>
        <w:rPr>
          <w:rFonts w:ascii="宋体" w:hAnsi="宋体" w:eastAsia="宋体" w:cs="宋体"/>
          <w:spacing w:val="5"/>
          <w:sz w:val="17"/>
          <w:szCs w:val="17"/>
        </w:rPr>
        <w:t>(6)设计手法不限、色彩不限；</w:t>
      </w:r>
    </w:p>
    <w:p w14:paraId="287F62F0">
      <w:pPr>
        <w:spacing w:before="76" w:line="219" w:lineRule="auto"/>
        <w:ind w:left="1280"/>
        <w:rPr>
          <w:rFonts w:ascii="宋体" w:hAnsi="宋体" w:eastAsia="宋体" w:cs="宋体"/>
          <w:sz w:val="17"/>
          <w:szCs w:val="17"/>
        </w:rPr>
      </w:pPr>
      <w:r>
        <w:rPr>
          <w:rFonts w:ascii="宋体" w:hAnsi="宋体" w:eastAsia="宋体" w:cs="宋体"/>
          <w:spacing w:val="5"/>
          <w:sz w:val="17"/>
          <w:szCs w:val="17"/>
        </w:rPr>
        <w:t>(7)工具为铅笔、尺子、毛笔等。</w:t>
      </w:r>
    </w:p>
    <w:p w14:paraId="03C1D6BB">
      <w:pPr>
        <w:spacing w:before="100" w:line="220" w:lineRule="auto"/>
        <w:ind w:left="370"/>
        <w:rPr>
          <w:rFonts w:ascii="宋体" w:hAnsi="宋体" w:eastAsia="宋体" w:cs="宋体"/>
          <w:sz w:val="17"/>
          <w:szCs w:val="17"/>
        </w:rPr>
      </w:pPr>
      <w:r>
        <w:rPr>
          <w:rFonts w:ascii="宋体" w:hAnsi="宋体" w:eastAsia="宋体" w:cs="宋体"/>
          <w:spacing w:val="-3"/>
          <w:sz w:val="17"/>
          <w:szCs w:val="17"/>
        </w:rPr>
        <w:t>评分标准：</w:t>
      </w:r>
    </w:p>
    <w:p w14:paraId="59471863">
      <w:pPr>
        <w:spacing w:line="104" w:lineRule="exact"/>
      </w:pPr>
    </w:p>
    <w:tbl>
      <w:tblPr>
        <w:tblStyle w:val="5"/>
        <w:tblW w:w="4130" w:type="dxa"/>
        <w:tblInd w:w="2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94"/>
        <w:gridCol w:w="908"/>
        <w:gridCol w:w="1077"/>
        <w:gridCol w:w="658"/>
        <w:gridCol w:w="893"/>
      </w:tblGrid>
      <w:tr w14:paraId="719A67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658" w:hRule="atLeast"/>
        </w:trPr>
        <w:tc>
          <w:tcPr>
            <w:tcW w:w="594" w:type="dxa"/>
            <w:vAlign w:val="top"/>
          </w:tcPr>
          <w:p w14:paraId="52E4E6EC">
            <w:pPr>
              <w:pStyle w:val="6"/>
              <w:spacing w:before="249" w:line="219" w:lineRule="auto"/>
              <w:ind w:left="117"/>
            </w:pPr>
            <w:r>
              <w:rPr>
                <w:b/>
                <w:bCs/>
              </w:rPr>
              <w:t>内容</w:t>
            </w:r>
          </w:p>
        </w:tc>
        <w:tc>
          <w:tcPr>
            <w:tcW w:w="908" w:type="dxa"/>
            <w:vAlign w:val="top"/>
          </w:tcPr>
          <w:p w14:paraId="14B1F365">
            <w:pPr>
              <w:pStyle w:val="6"/>
              <w:spacing w:before="31" w:line="223" w:lineRule="auto"/>
              <w:ind w:left="23" w:right="16" w:firstLine="80"/>
            </w:pPr>
            <w:r>
              <w:rPr>
                <w:b/>
                <w:bCs/>
                <w:spacing w:val="-5"/>
              </w:rPr>
              <w:t>设计主题</w:t>
            </w:r>
            <w:r>
              <w:rPr>
                <w:spacing w:val="1"/>
              </w:rPr>
              <w:t xml:space="preserve">  </w:t>
            </w:r>
            <w:r>
              <w:rPr>
                <w:b/>
                <w:bCs/>
                <w:spacing w:val="-1"/>
              </w:rPr>
              <w:t>明确、信息</w:t>
            </w:r>
            <w:r>
              <w:rPr>
                <w:spacing w:val="2"/>
              </w:rPr>
              <w:t xml:space="preserve"> </w:t>
            </w:r>
            <w:r>
              <w:rPr>
                <w:b/>
                <w:bCs/>
                <w:spacing w:val="16"/>
              </w:rPr>
              <w:t>传达准确</w:t>
            </w:r>
          </w:p>
        </w:tc>
        <w:tc>
          <w:tcPr>
            <w:tcW w:w="1077" w:type="dxa"/>
            <w:vAlign w:val="top"/>
          </w:tcPr>
          <w:p w14:paraId="011FB5FF">
            <w:pPr>
              <w:pStyle w:val="6"/>
              <w:spacing w:before="29" w:line="219" w:lineRule="auto"/>
              <w:ind w:left="25"/>
            </w:pPr>
            <w:r>
              <w:rPr>
                <w:b/>
                <w:bCs/>
                <w:spacing w:val="-3"/>
              </w:rPr>
              <w:t>创新性、艺术</w:t>
            </w:r>
          </w:p>
          <w:p w14:paraId="554F94E0">
            <w:pPr>
              <w:pStyle w:val="6"/>
              <w:spacing w:before="8" w:line="220" w:lineRule="auto"/>
              <w:ind w:left="25"/>
            </w:pPr>
            <w:r>
              <w:rPr>
                <w:b/>
                <w:bCs/>
                <w:spacing w:val="-3"/>
              </w:rPr>
              <w:t>性、商品性相</w:t>
            </w:r>
          </w:p>
          <w:p w14:paraId="774918D6">
            <w:pPr>
              <w:pStyle w:val="6"/>
              <w:spacing w:before="18" w:line="203" w:lineRule="auto"/>
              <w:ind w:left="365"/>
            </w:pPr>
            <w:r>
              <w:rPr>
                <w:b/>
                <w:bCs/>
                <w:spacing w:val="-5"/>
              </w:rPr>
              <w:t>结合</w:t>
            </w:r>
          </w:p>
        </w:tc>
        <w:tc>
          <w:tcPr>
            <w:tcW w:w="658" w:type="dxa"/>
            <w:vAlign w:val="top"/>
          </w:tcPr>
          <w:p w14:paraId="688E6DE2">
            <w:pPr>
              <w:pStyle w:val="6"/>
              <w:spacing w:before="141" w:line="228" w:lineRule="auto"/>
              <w:ind w:left="158" w:right="156"/>
            </w:pPr>
            <w:r>
              <w:rPr>
                <w:b/>
                <w:bCs/>
                <w:spacing w:val="-6"/>
              </w:rPr>
              <w:t>创意</w:t>
            </w:r>
            <w:r>
              <w:t xml:space="preserve"> </w:t>
            </w:r>
            <w:r>
              <w:rPr>
                <w:b/>
                <w:bCs/>
                <w:spacing w:val="-6"/>
              </w:rPr>
              <w:t>编排</w:t>
            </w:r>
          </w:p>
        </w:tc>
        <w:tc>
          <w:tcPr>
            <w:tcW w:w="893" w:type="dxa"/>
            <w:vAlign w:val="top"/>
          </w:tcPr>
          <w:p w14:paraId="45681791">
            <w:pPr>
              <w:pStyle w:val="6"/>
              <w:spacing w:before="129" w:line="230" w:lineRule="auto"/>
              <w:ind w:left="99" w:right="20" w:hanging="79"/>
            </w:pPr>
            <w:r>
              <w:rPr>
                <w:b/>
                <w:bCs/>
                <w:spacing w:val="-4"/>
              </w:rPr>
              <w:t>文字、色彩</w:t>
            </w:r>
            <w:r>
              <w:rPr>
                <w:spacing w:val="2"/>
              </w:rPr>
              <w:t xml:space="preserve"> </w:t>
            </w:r>
            <w:r>
              <w:rPr>
                <w:b/>
                <w:bCs/>
                <w:spacing w:val="-4"/>
              </w:rPr>
              <w:t>搭配合理</w:t>
            </w:r>
          </w:p>
        </w:tc>
      </w:tr>
      <w:tr w14:paraId="61DCA9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2" w:hRule="atLeast"/>
        </w:trPr>
        <w:tc>
          <w:tcPr>
            <w:tcW w:w="594" w:type="dxa"/>
            <w:vAlign w:val="top"/>
          </w:tcPr>
          <w:p w14:paraId="3231DE46">
            <w:pPr>
              <w:pStyle w:val="6"/>
              <w:spacing w:before="82" w:line="220" w:lineRule="auto"/>
              <w:ind w:left="37"/>
            </w:pPr>
            <w:r>
              <w:rPr>
                <w:b/>
                <w:bCs/>
                <w:spacing w:val="-5"/>
              </w:rPr>
              <w:t>百分比</w:t>
            </w:r>
          </w:p>
        </w:tc>
        <w:tc>
          <w:tcPr>
            <w:tcW w:w="908" w:type="dxa"/>
            <w:vAlign w:val="top"/>
          </w:tcPr>
          <w:p w14:paraId="3B943162">
            <w:pPr>
              <w:pStyle w:val="6"/>
              <w:spacing w:before="126" w:line="183" w:lineRule="auto"/>
              <w:ind w:left="313"/>
            </w:pPr>
            <w:r>
              <w:rPr>
                <w:b/>
                <w:bCs/>
                <w:spacing w:val="-5"/>
              </w:rPr>
              <w:t>30%</w:t>
            </w:r>
          </w:p>
        </w:tc>
        <w:tc>
          <w:tcPr>
            <w:tcW w:w="1077" w:type="dxa"/>
            <w:vAlign w:val="top"/>
          </w:tcPr>
          <w:p w14:paraId="62AEDFB7">
            <w:pPr>
              <w:pStyle w:val="6"/>
              <w:spacing w:before="126" w:line="183" w:lineRule="auto"/>
              <w:ind w:left="405"/>
            </w:pPr>
            <w:r>
              <w:rPr>
                <w:b/>
                <w:bCs/>
                <w:spacing w:val="-5"/>
              </w:rPr>
              <w:t>30%</w:t>
            </w:r>
          </w:p>
        </w:tc>
        <w:tc>
          <w:tcPr>
            <w:tcW w:w="658" w:type="dxa"/>
            <w:vAlign w:val="top"/>
          </w:tcPr>
          <w:p w14:paraId="7ADF5393">
            <w:pPr>
              <w:pStyle w:val="6"/>
              <w:spacing w:before="126" w:line="183" w:lineRule="auto"/>
              <w:ind w:left="198"/>
            </w:pPr>
            <w:r>
              <w:rPr>
                <w:b/>
                <w:bCs/>
                <w:spacing w:val="-4"/>
              </w:rPr>
              <w:t>20%</w:t>
            </w:r>
          </w:p>
        </w:tc>
        <w:tc>
          <w:tcPr>
            <w:tcW w:w="893" w:type="dxa"/>
            <w:vAlign w:val="top"/>
          </w:tcPr>
          <w:p w14:paraId="54B33EA3">
            <w:pPr>
              <w:pStyle w:val="6"/>
              <w:spacing w:before="126" w:line="183" w:lineRule="auto"/>
              <w:ind w:left="310"/>
            </w:pPr>
            <w:r>
              <w:rPr>
                <w:b/>
                <w:bCs/>
                <w:spacing w:val="-4"/>
              </w:rPr>
              <w:t>20%</w:t>
            </w:r>
          </w:p>
        </w:tc>
      </w:tr>
    </w:tbl>
    <w:p w14:paraId="53553E5F">
      <w:pPr>
        <w:spacing w:before="122" w:line="219" w:lineRule="auto"/>
        <w:ind w:left="370"/>
        <w:rPr>
          <w:rFonts w:ascii="宋体" w:hAnsi="宋体" w:eastAsia="宋体" w:cs="宋体"/>
          <w:sz w:val="17"/>
          <w:szCs w:val="17"/>
        </w:rPr>
      </w:pPr>
      <w:r>
        <w:rPr>
          <w:rFonts w:ascii="宋体" w:hAnsi="宋体" w:eastAsia="宋体" w:cs="宋体"/>
          <w:spacing w:val="3"/>
          <w:sz w:val="17"/>
          <w:szCs w:val="17"/>
        </w:rPr>
        <w:t>考试时间：60分钟</w:t>
      </w:r>
    </w:p>
    <w:p w14:paraId="39147FB6">
      <w:pPr>
        <w:spacing w:before="98" w:line="219" w:lineRule="auto"/>
        <w:ind w:left="370"/>
        <w:rPr>
          <w:rFonts w:ascii="宋体" w:hAnsi="宋体" w:eastAsia="宋体" w:cs="宋体"/>
          <w:sz w:val="17"/>
          <w:szCs w:val="17"/>
        </w:rPr>
      </w:pPr>
      <w:r>
        <w:rPr>
          <w:rFonts w:ascii="宋体" w:hAnsi="宋体" w:eastAsia="宋体" w:cs="宋体"/>
          <w:sz w:val="17"/>
          <w:szCs w:val="17"/>
        </w:rPr>
        <w:t>3.计算机设计基础考试</w:t>
      </w:r>
    </w:p>
    <w:p w14:paraId="032CD1CD">
      <w:pPr>
        <w:spacing w:before="79" w:line="302" w:lineRule="auto"/>
        <w:ind w:right="28" w:firstLine="370"/>
        <w:rPr>
          <w:rFonts w:ascii="宋体" w:hAnsi="宋体" w:eastAsia="宋体" w:cs="宋体"/>
          <w:sz w:val="17"/>
          <w:szCs w:val="17"/>
        </w:rPr>
      </w:pPr>
      <w:r>
        <w:rPr>
          <w:rFonts w:ascii="宋体" w:hAnsi="宋体" w:eastAsia="宋体" w:cs="宋体"/>
          <w:sz w:val="17"/>
          <w:szCs w:val="17"/>
        </w:rPr>
        <w:t>考试要求：拟以计算机上机操作为主，可以通过题</w:t>
      </w:r>
      <w:r>
        <w:rPr>
          <w:rFonts w:ascii="宋体" w:hAnsi="宋体" w:eastAsia="宋体" w:cs="宋体"/>
          <w:spacing w:val="17"/>
          <w:sz w:val="17"/>
          <w:szCs w:val="17"/>
        </w:rPr>
        <w:t xml:space="preserve"> </w:t>
      </w:r>
      <w:r>
        <w:rPr>
          <w:rFonts w:ascii="宋体" w:hAnsi="宋体" w:eastAsia="宋体" w:cs="宋体"/>
          <w:spacing w:val="-5"/>
          <w:sz w:val="17"/>
          <w:szCs w:val="17"/>
        </w:rPr>
        <w:t>签方式完成。</w:t>
      </w:r>
    </w:p>
    <w:p w14:paraId="61C16B05">
      <w:pPr>
        <w:spacing w:before="18" w:line="270" w:lineRule="auto"/>
        <w:ind w:firstLine="430"/>
        <w:rPr>
          <w:rFonts w:ascii="宋体" w:hAnsi="宋体" w:eastAsia="宋体" w:cs="宋体"/>
          <w:sz w:val="17"/>
          <w:szCs w:val="17"/>
        </w:rPr>
      </w:pPr>
      <w:r>
        <w:rPr>
          <w:rFonts w:ascii="宋体" w:hAnsi="宋体" w:eastAsia="宋体" w:cs="宋体"/>
          <w:spacing w:val="7"/>
          <w:sz w:val="17"/>
          <w:szCs w:val="17"/>
        </w:rPr>
        <w:t>(1)以主题形式考查学生</w:t>
      </w:r>
      <w:r>
        <w:rPr>
          <w:rFonts w:ascii="宋体" w:hAnsi="宋体" w:eastAsia="宋体" w:cs="宋体"/>
          <w:spacing w:val="-42"/>
          <w:sz w:val="17"/>
          <w:szCs w:val="17"/>
        </w:rPr>
        <w:t xml:space="preserve"> </w:t>
      </w:r>
      <w:r>
        <w:rPr>
          <w:rFonts w:ascii="宋体" w:hAnsi="宋体" w:eastAsia="宋体" w:cs="宋体"/>
          <w:sz w:val="17"/>
          <w:szCs w:val="17"/>
        </w:rPr>
        <w:t>CorelDraw</w:t>
      </w:r>
      <w:r>
        <w:rPr>
          <w:rFonts w:ascii="宋体" w:hAnsi="宋体" w:eastAsia="宋体" w:cs="宋体"/>
          <w:spacing w:val="-35"/>
          <w:sz w:val="17"/>
          <w:szCs w:val="17"/>
        </w:rPr>
        <w:t xml:space="preserve"> </w:t>
      </w:r>
      <w:r>
        <w:rPr>
          <w:rFonts w:ascii="宋体" w:hAnsi="宋体" w:eastAsia="宋体" w:cs="宋体"/>
          <w:spacing w:val="7"/>
          <w:sz w:val="17"/>
          <w:szCs w:val="17"/>
        </w:rPr>
        <w:t>和</w:t>
      </w:r>
      <w:r>
        <w:rPr>
          <w:rFonts w:ascii="宋体" w:hAnsi="宋体" w:eastAsia="宋体" w:cs="宋体"/>
          <w:spacing w:val="-28"/>
          <w:sz w:val="17"/>
          <w:szCs w:val="17"/>
        </w:rPr>
        <w:t xml:space="preserve"> </w:t>
      </w:r>
      <w:r>
        <w:rPr>
          <w:rFonts w:ascii="宋体" w:hAnsi="宋体" w:eastAsia="宋体" w:cs="宋体"/>
          <w:sz w:val="17"/>
          <w:szCs w:val="17"/>
        </w:rPr>
        <w:t xml:space="preserve">Photoshop </w:t>
      </w:r>
      <w:r>
        <w:rPr>
          <w:rFonts w:ascii="宋体" w:hAnsi="宋体" w:eastAsia="宋体" w:cs="宋体"/>
          <w:spacing w:val="-3"/>
          <w:sz w:val="17"/>
          <w:szCs w:val="17"/>
        </w:rPr>
        <w:t>的操作。</w:t>
      </w:r>
    </w:p>
    <w:p w14:paraId="1CFDE356">
      <w:pPr>
        <w:spacing w:before="77" w:line="270" w:lineRule="auto"/>
        <w:ind w:right="36" w:firstLine="430"/>
        <w:rPr>
          <w:rFonts w:ascii="宋体" w:hAnsi="宋体" w:eastAsia="宋体" w:cs="宋体"/>
          <w:sz w:val="17"/>
          <w:szCs w:val="17"/>
        </w:rPr>
      </w:pPr>
      <w:r>
        <w:rPr>
          <w:rFonts w:ascii="宋体" w:hAnsi="宋体" w:eastAsia="宋体" w:cs="宋体"/>
          <w:spacing w:val="11"/>
          <w:sz w:val="17"/>
          <w:szCs w:val="17"/>
        </w:rPr>
        <w:t>(2)计算机操作系统为</w:t>
      </w:r>
      <w:r>
        <w:rPr>
          <w:rFonts w:ascii="Times New Roman" w:hAnsi="Times New Roman" w:eastAsia="Times New Roman" w:cs="Times New Roman"/>
          <w:sz w:val="17"/>
          <w:szCs w:val="17"/>
        </w:rPr>
        <w:t>WIN</w:t>
      </w:r>
      <w:r>
        <w:rPr>
          <w:rFonts w:ascii="Times New Roman" w:hAnsi="Times New Roman" w:eastAsia="Times New Roman" w:cs="Times New Roman"/>
          <w:spacing w:val="11"/>
          <w:sz w:val="17"/>
          <w:szCs w:val="17"/>
        </w:rPr>
        <w:t xml:space="preserve">   7,</w:t>
      </w:r>
      <w:r>
        <w:rPr>
          <w:rFonts w:ascii="宋体" w:hAnsi="宋体" w:eastAsia="宋体" w:cs="宋体"/>
          <w:spacing w:val="11"/>
          <w:sz w:val="17"/>
          <w:szCs w:val="17"/>
        </w:rPr>
        <w:t>安装有</w:t>
      </w:r>
      <w:r>
        <w:rPr>
          <w:rFonts w:ascii="Times New Roman" w:hAnsi="Times New Roman" w:eastAsia="Times New Roman" w:cs="Times New Roman"/>
          <w:sz w:val="17"/>
          <w:szCs w:val="17"/>
        </w:rPr>
        <w:t>CorelDraw</w:t>
      </w:r>
      <w:r>
        <w:rPr>
          <w:rFonts w:ascii="Times New Roman" w:hAnsi="Times New Roman" w:eastAsia="Times New Roman" w:cs="Times New Roman"/>
          <w:spacing w:val="6"/>
          <w:sz w:val="17"/>
          <w:szCs w:val="17"/>
        </w:rPr>
        <w:t xml:space="preserve"> </w:t>
      </w:r>
      <w:r>
        <w:rPr>
          <w:rFonts w:ascii="宋体" w:hAnsi="宋体" w:eastAsia="宋体" w:cs="宋体"/>
          <w:spacing w:val="-1"/>
          <w:sz w:val="17"/>
          <w:szCs w:val="17"/>
        </w:rPr>
        <w:t>和</w:t>
      </w:r>
      <w:r>
        <w:rPr>
          <w:rFonts w:ascii="宋体" w:hAnsi="宋体" w:eastAsia="宋体" w:cs="宋体"/>
          <w:spacing w:val="-35"/>
          <w:sz w:val="17"/>
          <w:szCs w:val="17"/>
        </w:rPr>
        <w:t xml:space="preserve"> </w:t>
      </w:r>
      <w:r>
        <w:rPr>
          <w:rFonts w:ascii="Times New Roman" w:hAnsi="Times New Roman" w:eastAsia="Times New Roman" w:cs="Times New Roman"/>
          <w:spacing w:val="-1"/>
          <w:sz w:val="17"/>
          <w:szCs w:val="17"/>
        </w:rPr>
        <w:t>Photoshop</w:t>
      </w:r>
      <w:r>
        <w:rPr>
          <w:rFonts w:ascii="宋体" w:hAnsi="宋体" w:eastAsia="宋体" w:cs="宋体"/>
          <w:spacing w:val="-1"/>
          <w:sz w:val="17"/>
          <w:szCs w:val="17"/>
        </w:rPr>
        <w:t>中文版。</w:t>
      </w:r>
    </w:p>
    <w:p w14:paraId="32CD5D19">
      <w:pPr>
        <w:spacing w:before="103" w:line="219" w:lineRule="auto"/>
        <w:ind w:left="430"/>
        <w:rPr>
          <w:rFonts w:ascii="宋体" w:hAnsi="宋体" w:eastAsia="宋体" w:cs="宋体"/>
          <w:sz w:val="17"/>
          <w:szCs w:val="17"/>
        </w:rPr>
      </w:pPr>
      <w:r>
        <w:rPr>
          <w:rFonts w:ascii="宋体" w:hAnsi="宋体" w:eastAsia="宋体" w:cs="宋体"/>
          <w:spacing w:val="12"/>
          <w:sz w:val="17"/>
          <w:szCs w:val="17"/>
        </w:rPr>
        <w:t>(3)考试素材库</w:t>
      </w:r>
    </w:p>
    <w:p w14:paraId="7063CB94">
      <w:pPr>
        <w:spacing w:before="79" w:line="268" w:lineRule="auto"/>
        <w:ind w:left="370" w:right="2528" w:firstLine="60"/>
        <w:rPr>
          <w:rFonts w:ascii="宋体" w:hAnsi="宋体" w:eastAsia="宋体" w:cs="宋体"/>
          <w:sz w:val="17"/>
          <w:szCs w:val="17"/>
        </w:rPr>
      </w:pPr>
      <w:r>
        <w:rPr>
          <w:rFonts w:ascii="宋体" w:hAnsi="宋体" w:eastAsia="宋体" w:cs="宋体"/>
          <w:spacing w:val="11"/>
          <w:sz w:val="17"/>
          <w:szCs w:val="17"/>
        </w:rPr>
        <w:t>(4)考试题签纸</w:t>
      </w:r>
      <w:r>
        <w:rPr>
          <w:rFonts w:ascii="宋体" w:hAnsi="宋体" w:eastAsia="宋体" w:cs="宋体"/>
          <w:spacing w:val="5"/>
          <w:sz w:val="17"/>
          <w:szCs w:val="17"/>
        </w:rPr>
        <w:t xml:space="preserve"> </w:t>
      </w:r>
      <w:r>
        <w:rPr>
          <w:rFonts w:ascii="宋体" w:hAnsi="宋体" w:eastAsia="宋体" w:cs="宋体"/>
          <w:spacing w:val="-3"/>
          <w:sz w:val="17"/>
          <w:szCs w:val="17"/>
        </w:rPr>
        <w:t>评分标准：</w:t>
      </w:r>
    </w:p>
    <w:p w14:paraId="39593FC7">
      <w:pPr>
        <w:spacing w:line="85" w:lineRule="exact"/>
      </w:pPr>
    </w:p>
    <w:tbl>
      <w:tblPr>
        <w:tblStyle w:val="5"/>
        <w:tblW w:w="4130" w:type="dxa"/>
        <w:tblInd w:w="2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74"/>
        <w:gridCol w:w="838"/>
        <w:gridCol w:w="1007"/>
        <w:gridCol w:w="868"/>
        <w:gridCol w:w="843"/>
      </w:tblGrid>
      <w:tr w14:paraId="12F365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574" w:type="dxa"/>
            <w:vAlign w:val="top"/>
          </w:tcPr>
          <w:p w14:paraId="2C1786AB">
            <w:pPr>
              <w:pStyle w:val="6"/>
              <w:spacing w:before="149" w:line="219" w:lineRule="auto"/>
              <w:ind w:left="117"/>
              <w:rPr>
                <w:sz w:val="16"/>
                <w:szCs w:val="16"/>
              </w:rPr>
            </w:pPr>
            <w:r>
              <w:rPr>
                <w:b/>
                <w:bCs/>
                <w:sz w:val="16"/>
                <w:szCs w:val="16"/>
              </w:rPr>
              <w:t>内容</w:t>
            </w:r>
          </w:p>
        </w:tc>
        <w:tc>
          <w:tcPr>
            <w:tcW w:w="838" w:type="dxa"/>
            <w:vAlign w:val="top"/>
          </w:tcPr>
          <w:p w14:paraId="2D887536">
            <w:pPr>
              <w:pStyle w:val="6"/>
              <w:spacing w:before="28" w:line="219" w:lineRule="auto"/>
              <w:ind w:left="13"/>
              <w:rPr>
                <w:sz w:val="16"/>
                <w:szCs w:val="16"/>
              </w:rPr>
            </w:pPr>
            <w:r>
              <w:rPr>
                <w:b/>
                <w:bCs/>
                <w:spacing w:val="-3"/>
                <w:sz w:val="16"/>
                <w:szCs w:val="16"/>
              </w:rPr>
              <w:t>计算机艺术</w:t>
            </w:r>
          </w:p>
          <w:p w14:paraId="5C5B179E">
            <w:pPr>
              <w:pStyle w:val="6"/>
              <w:spacing w:before="22" w:line="221" w:lineRule="auto"/>
              <w:ind w:left="93"/>
              <w:rPr>
                <w:sz w:val="16"/>
                <w:szCs w:val="16"/>
              </w:rPr>
            </w:pPr>
            <w:r>
              <w:rPr>
                <w:b/>
                <w:bCs/>
                <w:spacing w:val="-4"/>
                <w:sz w:val="16"/>
                <w:szCs w:val="16"/>
              </w:rPr>
              <w:t>设计基础</w:t>
            </w:r>
          </w:p>
        </w:tc>
        <w:tc>
          <w:tcPr>
            <w:tcW w:w="1007" w:type="dxa"/>
            <w:vAlign w:val="top"/>
          </w:tcPr>
          <w:p w14:paraId="13FBD003">
            <w:pPr>
              <w:pStyle w:val="6"/>
              <w:spacing w:before="29" w:line="230" w:lineRule="auto"/>
              <w:ind w:left="15" w:right="27"/>
              <w:rPr>
                <w:sz w:val="16"/>
                <w:szCs w:val="16"/>
              </w:rPr>
            </w:pPr>
            <w:r>
              <w:rPr>
                <w:b/>
                <w:bCs/>
                <w:spacing w:val="-3"/>
                <w:sz w:val="16"/>
                <w:szCs w:val="16"/>
              </w:rPr>
              <w:t>计算机艺术设</w:t>
            </w:r>
            <w:r>
              <w:rPr>
                <w:sz w:val="16"/>
                <w:szCs w:val="16"/>
              </w:rPr>
              <w:t xml:space="preserve"> </w:t>
            </w:r>
            <w:r>
              <w:rPr>
                <w:b/>
                <w:bCs/>
                <w:spacing w:val="-3"/>
                <w:sz w:val="16"/>
                <w:szCs w:val="16"/>
              </w:rPr>
              <w:t>计的基本要素</w:t>
            </w:r>
          </w:p>
        </w:tc>
        <w:tc>
          <w:tcPr>
            <w:tcW w:w="868" w:type="dxa"/>
            <w:vAlign w:val="top"/>
          </w:tcPr>
          <w:p w14:paraId="62ECDB5A">
            <w:pPr>
              <w:pStyle w:val="6"/>
              <w:spacing w:before="66" w:line="210" w:lineRule="auto"/>
              <w:ind w:left="28" w:right="14" w:firstLine="39"/>
              <w:rPr>
                <w:sz w:val="16"/>
                <w:szCs w:val="16"/>
              </w:rPr>
            </w:pPr>
            <w:r>
              <w:rPr>
                <w:b/>
                <w:bCs/>
                <w:spacing w:val="-3"/>
                <w:sz w:val="16"/>
                <w:szCs w:val="16"/>
              </w:rPr>
              <w:t>CorelDraw</w:t>
            </w:r>
            <w:r>
              <w:rPr>
                <w:spacing w:val="5"/>
                <w:sz w:val="16"/>
                <w:szCs w:val="16"/>
              </w:rPr>
              <w:t xml:space="preserve"> </w:t>
            </w:r>
            <w:r>
              <w:rPr>
                <w:b/>
                <w:bCs/>
                <w:spacing w:val="1"/>
                <w:sz w:val="16"/>
                <w:szCs w:val="16"/>
              </w:rPr>
              <w:t>中文版运用</w:t>
            </w:r>
          </w:p>
        </w:tc>
        <w:tc>
          <w:tcPr>
            <w:tcW w:w="843" w:type="dxa"/>
            <w:vAlign w:val="top"/>
          </w:tcPr>
          <w:p w14:paraId="60AB3B2A">
            <w:pPr>
              <w:pStyle w:val="6"/>
              <w:spacing w:before="35" w:line="228" w:lineRule="auto"/>
              <w:ind w:left="20" w:firstLine="39"/>
              <w:rPr>
                <w:sz w:val="16"/>
                <w:szCs w:val="16"/>
              </w:rPr>
            </w:pPr>
            <w:r>
              <w:rPr>
                <w:b/>
                <w:bCs/>
                <w:spacing w:val="-3"/>
                <w:sz w:val="16"/>
                <w:szCs w:val="16"/>
              </w:rPr>
              <w:t>Photoshop</w:t>
            </w:r>
            <w:r>
              <w:rPr>
                <w:spacing w:val="5"/>
                <w:sz w:val="16"/>
                <w:szCs w:val="16"/>
              </w:rPr>
              <w:t xml:space="preserve"> </w:t>
            </w:r>
            <w:r>
              <w:rPr>
                <w:b/>
                <w:bCs/>
                <w:sz w:val="16"/>
                <w:szCs w:val="16"/>
              </w:rPr>
              <w:t>中文版运用</w:t>
            </w:r>
          </w:p>
        </w:tc>
      </w:tr>
      <w:tr w14:paraId="2E1617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0" w:hRule="atLeast"/>
        </w:trPr>
        <w:tc>
          <w:tcPr>
            <w:tcW w:w="574" w:type="dxa"/>
            <w:vAlign w:val="top"/>
          </w:tcPr>
          <w:p w14:paraId="7F432EE7">
            <w:pPr>
              <w:pStyle w:val="6"/>
              <w:spacing w:before="80" w:line="220" w:lineRule="auto"/>
              <w:ind w:left="37"/>
              <w:rPr>
                <w:sz w:val="16"/>
                <w:szCs w:val="16"/>
              </w:rPr>
            </w:pPr>
            <w:r>
              <w:rPr>
                <w:b/>
                <w:bCs/>
                <w:spacing w:val="-5"/>
                <w:sz w:val="16"/>
                <w:szCs w:val="16"/>
              </w:rPr>
              <w:t>百分比</w:t>
            </w:r>
          </w:p>
        </w:tc>
        <w:tc>
          <w:tcPr>
            <w:tcW w:w="838" w:type="dxa"/>
            <w:vAlign w:val="top"/>
          </w:tcPr>
          <w:p w14:paraId="3925137E">
            <w:pPr>
              <w:pStyle w:val="6"/>
              <w:spacing w:before="122" w:line="183" w:lineRule="auto"/>
              <w:ind w:left="333"/>
              <w:rPr>
                <w:sz w:val="16"/>
                <w:szCs w:val="16"/>
              </w:rPr>
            </w:pPr>
            <w:r>
              <w:rPr>
                <w:b/>
                <w:bCs/>
                <w:spacing w:val="-5"/>
                <w:sz w:val="16"/>
                <w:szCs w:val="16"/>
              </w:rPr>
              <w:t>5%</w:t>
            </w:r>
          </w:p>
        </w:tc>
        <w:tc>
          <w:tcPr>
            <w:tcW w:w="1007" w:type="dxa"/>
            <w:vAlign w:val="top"/>
          </w:tcPr>
          <w:p w14:paraId="068CA4AC">
            <w:pPr>
              <w:pStyle w:val="6"/>
              <w:spacing w:before="122" w:line="183" w:lineRule="auto"/>
              <w:ind w:left="415"/>
              <w:rPr>
                <w:sz w:val="16"/>
                <w:szCs w:val="16"/>
              </w:rPr>
            </w:pPr>
            <w:r>
              <w:rPr>
                <w:b/>
                <w:bCs/>
                <w:spacing w:val="-5"/>
                <w:sz w:val="16"/>
                <w:szCs w:val="16"/>
              </w:rPr>
              <w:t>5%</w:t>
            </w:r>
          </w:p>
        </w:tc>
        <w:tc>
          <w:tcPr>
            <w:tcW w:w="868" w:type="dxa"/>
            <w:vAlign w:val="top"/>
          </w:tcPr>
          <w:p w14:paraId="047E1D85">
            <w:pPr>
              <w:pStyle w:val="6"/>
              <w:spacing w:before="122" w:line="183" w:lineRule="auto"/>
              <w:ind w:left="308"/>
              <w:rPr>
                <w:sz w:val="16"/>
                <w:szCs w:val="16"/>
              </w:rPr>
            </w:pPr>
            <w:r>
              <w:rPr>
                <w:b/>
                <w:bCs/>
                <w:spacing w:val="-3"/>
                <w:sz w:val="16"/>
                <w:szCs w:val="16"/>
              </w:rPr>
              <w:t>45%</w:t>
            </w:r>
          </w:p>
        </w:tc>
        <w:tc>
          <w:tcPr>
            <w:tcW w:w="843" w:type="dxa"/>
            <w:vAlign w:val="top"/>
          </w:tcPr>
          <w:p w14:paraId="078CF3A0">
            <w:pPr>
              <w:pStyle w:val="6"/>
              <w:spacing w:before="122" w:line="183" w:lineRule="auto"/>
              <w:ind w:left="300"/>
              <w:rPr>
                <w:sz w:val="16"/>
                <w:szCs w:val="16"/>
              </w:rPr>
            </w:pPr>
            <w:r>
              <w:rPr>
                <w:b/>
                <w:bCs/>
                <w:spacing w:val="-3"/>
                <w:sz w:val="16"/>
                <w:szCs w:val="16"/>
              </w:rPr>
              <w:t>45%</w:t>
            </w:r>
          </w:p>
        </w:tc>
      </w:tr>
    </w:tbl>
    <w:p w14:paraId="0159BC78">
      <w:pPr>
        <w:spacing w:before="73" w:line="312" w:lineRule="auto"/>
        <w:ind w:left="370" w:right="2283"/>
        <w:rPr>
          <w:rFonts w:ascii="宋体" w:hAnsi="宋体" w:eastAsia="宋体" w:cs="宋体"/>
          <w:sz w:val="17"/>
          <w:szCs w:val="17"/>
        </w:rPr>
      </w:pPr>
      <w:r>
        <w:rPr>
          <w:rFonts w:ascii="宋体" w:hAnsi="宋体" w:eastAsia="宋体" w:cs="宋体"/>
          <w:spacing w:val="5"/>
          <w:sz w:val="17"/>
          <w:szCs w:val="17"/>
        </w:rPr>
        <w:t>考试时间：120分钟</w:t>
      </w:r>
      <w:r>
        <w:rPr>
          <w:rFonts w:ascii="宋体" w:hAnsi="宋体" w:eastAsia="宋体" w:cs="宋体"/>
          <w:spacing w:val="8"/>
          <w:sz w:val="17"/>
          <w:szCs w:val="17"/>
        </w:rPr>
        <w:t xml:space="preserve"> </w:t>
      </w:r>
      <w:r>
        <w:rPr>
          <w:rFonts w:ascii="宋体" w:hAnsi="宋体" w:eastAsia="宋体" w:cs="宋体"/>
          <w:spacing w:val="-3"/>
          <w:sz w:val="17"/>
          <w:szCs w:val="17"/>
        </w:rPr>
        <w:t>题签样式：</w:t>
      </w:r>
    </w:p>
    <w:p w14:paraId="5CCB2360">
      <w:pPr>
        <w:spacing w:before="3" w:line="304" w:lineRule="auto"/>
        <w:ind w:right="40" w:firstLine="430"/>
        <w:rPr>
          <w:rFonts w:ascii="宋体" w:hAnsi="宋体" w:eastAsia="宋体" w:cs="宋体"/>
          <w:sz w:val="17"/>
          <w:szCs w:val="17"/>
        </w:rPr>
      </w:pPr>
      <w:r>
        <w:rPr>
          <w:rFonts w:ascii="宋体" w:hAnsi="宋体" w:eastAsia="宋体" w:cs="宋体"/>
          <w:spacing w:val="-5"/>
          <w:sz w:val="17"/>
          <w:szCs w:val="17"/>
        </w:rPr>
        <w:t>( 1</w:t>
      </w:r>
      <w:r>
        <w:rPr>
          <w:rFonts w:ascii="宋体" w:hAnsi="宋体" w:eastAsia="宋体" w:cs="宋体"/>
          <w:spacing w:val="-24"/>
          <w:sz w:val="17"/>
          <w:szCs w:val="17"/>
        </w:rPr>
        <w:t xml:space="preserve"> </w:t>
      </w:r>
      <w:r>
        <w:rPr>
          <w:rFonts w:ascii="宋体" w:hAnsi="宋体" w:eastAsia="宋体" w:cs="宋体"/>
          <w:spacing w:val="-5"/>
          <w:sz w:val="17"/>
          <w:szCs w:val="17"/>
        </w:rPr>
        <w:t>)</w:t>
      </w:r>
      <w:r>
        <w:rPr>
          <w:rFonts w:ascii="宋体" w:hAnsi="宋体" w:eastAsia="宋体" w:cs="宋体"/>
          <w:spacing w:val="-23"/>
          <w:sz w:val="17"/>
          <w:szCs w:val="17"/>
        </w:rPr>
        <w:t xml:space="preserve"> </w:t>
      </w:r>
      <w:r>
        <w:rPr>
          <w:rFonts w:ascii="宋体" w:hAnsi="宋体" w:eastAsia="宋体" w:cs="宋体"/>
          <w:spacing w:val="-5"/>
          <w:sz w:val="17"/>
          <w:szCs w:val="17"/>
        </w:rPr>
        <w:t>用</w:t>
      </w:r>
      <w:r>
        <w:rPr>
          <w:rFonts w:ascii="Times New Roman" w:hAnsi="Times New Roman" w:eastAsia="Times New Roman" w:cs="Times New Roman"/>
          <w:spacing w:val="-5"/>
          <w:sz w:val="17"/>
          <w:szCs w:val="17"/>
        </w:rPr>
        <w:t>CorelDraw</w:t>
      </w:r>
      <w:r>
        <w:rPr>
          <w:rFonts w:ascii="Times New Roman" w:hAnsi="Times New Roman" w:eastAsia="Times New Roman" w:cs="Times New Roman"/>
          <w:spacing w:val="16"/>
          <w:sz w:val="17"/>
          <w:szCs w:val="17"/>
        </w:rPr>
        <w:t xml:space="preserve"> </w:t>
      </w:r>
      <w:r>
        <w:rPr>
          <w:rFonts w:ascii="宋体" w:hAnsi="宋体" w:eastAsia="宋体" w:cs="宋体"/>
          <w:spacing w:val="-5"/>
          <w:sz w:val="17"/>
          <w:szCs w:val="17"/>
        </w:rPr>
        <w:t>中文版软件设计一幅封面，具体</w:t>
      </w:r>
      <w:r>
        <w:rPr>
          <w:rFonts w:ascii="宋体" w:hAnsi="宋体" w:eastAsia="宋体" w:cs="宋体"/>
          <w:sz w:val="17"/>
          <w:szCs w:val="17"/>
        </w:rPr>
        <w:t xml:space="preserve"> </w:t>
      </w:r>
      <w:r>
        <w:rPr>
          <w:rFonts w:ascii="宋体" w:hAnsi="宋体" w:eastAsia="宋体" w:cs="宋体"/>
          <w:spacing w:val="-3"/>
          <w:sz w:val="17"/>
          <w:szCs w:val="17"/>
        </w:rPr>
        <w:t>要求如下：</w:t>
      </w:r>
    </w:p>
    <w:p w14:paraId="3CF5F44A">
      <w:pPr>
        <w:spacing w:before="30" w:line="217" w:lineRule="auto"/>
        <w:ind w:left="790"/>
        <w:rPr>
          <w:rFonts w:ascii="宋体" w:hAnsi="宋体" w:eastAsia="宋体" w:cs="宋体"/>
          <w:sz w:val="17"/>
          <w:szCs w:val="17"/>
        </w:rPr>
      </w:pPr>
      <w:r>
        <w:rPr>
          <w:rFonts w:ascii="宋体" w:hAnsi="宋体" w:eastAsia="宋体" w:cs="宋体"/>
          <w:spacing w:val="1"/>
          <w:sz w:val="17"/>
          <w:szCs w:val="17"/>
        </w:rPr>
        <w:t>①用</w:t>
      </w:r>
      <w:r>
        <w:rPr>
          <w:rFonts w:ascii="Times New Roman" w:hAnsi="Times New Roman" w:eastAsia="Times New Roman" w:cs="Times New Roman"/>
          <w:sz w:val="17"/>
          <w:szCs w:val="17"/>
        </w:rPr>
        <w:t>CorelDraw</w:t>
      </w:r>
      <w:r>
        <w:rPr>
          <w:rFonts w:ascii="宋体" w:hAnsi="宋体" w:eastAsia="宋体" w:cs="宋体"/>
          <w:spacing w:val="1"/>
          <w:sz w:val="17"/>
          <w:szCs w:val="17"/>
        </w:rPr>
        <w:t>中文版软件及给定的素材；</w:t>
      </w:r>
    </w:p>
    <w:p w14:paraId="1235D573">
      <w:pPr>
        <w:spacing w:before="90" w:line="217" w:lineRule="auto"/>
        <w:ind w:left="790"/>
        <w:rPr>
          <w:rFonts w:ascii="宋体" w:hAnsi="宋体" w:eastAsia="宋体" w:cs="宋体"/>
          <w:sz w:val="17"/>
          <w:szCs w:val="17"/>
        </w:rPr>
      </w:pPr>
      <w:r>
        <w:rPr>
          <w:rFonts w:ascii="宋体" w:hAnsi="宋体" w:eastAsia="宋体" w:cs="宋体"/>
          <w:spacing w:val="-2"/>
          <w:sz w:val="17"/>
          <w:szCs w:val="17"/>
        </w:rPr>
        <w:t>②页面设计合理；</w:t>
      </w:r>
    </w:p>
    <w:p w14:paraId="379CD2B3">
      <w:pPr>
        <w:spacing w:before="80" w:line="186" w:lineRule="auto"/>
        <w:ind w:left="790"/>
        <w:rPr>
          <w:rFonts w:ascii="宋体" w:hAnsi="宋体" w:eastAsia="宋体" w:cs="宋体"/>
          <w:sz w:val="17"/>
          <w:szCs w:val="17"/>
        </w:rPr>
      </w:pPr>
      <w:r>
        <w:rPr>
          <w:rFonts w:ascii="宋体" w:hAnsi="宋体" w:eastAsia="宋体" w:cs="宋体"/>
          <w:spacing w:val="-4"/>
          <w:sz w:val="17"/>
          <w:szCs w:val="17"/>
        </w:rPr>
        <w:t>③画面清新有创意；</w:t>
      </w:r>
    </w:p>
    <w:p w14:paraId="30F65746">
      <w:pPr>
        <w:spacing w:line="186" w:lineRule="auto"/>
        <w:rPr>
          <w:rFonts w:ascii="宋体" w:hAnsi="宋体" w:eastAsia="宋体" w:cs="宋体"/>
          <w:sz w:val="17"/>
          <w:szCs w:val="17"/>
        </w:rPr>
        <w:sectPr>
          <w:type w:val="continuous"/>
          <w:pgSz w:w="10660" w:h="15080"/>
          <w:pgMar w:top="400" w:right="1032" w:bottom="925" w:left="819" w:header="0" w:footer="705" w:gutter="0"/>
          <w:cols w:equalWidth="0" w:num="2">
            <w:col w:w="4550" w:space="100"/>
            <w:col w:w="4158"/>
          </w:cols>
        </w:sectPr>
      </w:pPr>
    </w:p>
    <w:p w14:paraId="5F76A8B5">
      <w:pPr>
        <w:spacing w:before="9"/>
      </w:pPr>
    </w:p>
    <w:p w14:paraId="5181B7FF">
      <w:pPr>
        <w:spacing w:before="9"/>
      </w:pPr>
    </w:p>
    <w:p w14:paraId="1C37A9B5">
      <w:pPr>
        <w:spacing w:before="9"/>
      </w:pPr>
    </w:p>
    <w:p w14:paraId="6713C402">
      <w:pPr>
        <w:spacing w:before="9"/>
      </w:pPr>
    </w:p>
    <w:p w14:paraId="2055CDE8">
      <w:pPr>
        <w:sectPr>
          <w:footerReference r:id="rId81" w:type="default"/>
          <w:pgSz w:w="10660" w:h="15080"/>
          <w:pgMar w:top="400" w:right="845" w:bottom="925" w:left="969" w:header="0" w:footer="705" w:gutter="0"/>
          <w:cols w:equalWidth="0" w:num="1">
            <w:col w:w="8846"/>
          </w:cols>
        </w:sectPr>
      </w:pPr>
    </w:p>
    <w:p w14:paraId="67C03637">
      <w:pPr>
        <w:spacing w:line="217" w:lineRule="auto"/>
        <w:ind w:left="882"/>
        <w:rPr>
          <w:rFonts w:ascii="宋体" w:hAnsi="宋体" w:eastAsia="宋体" w:cs="宋体"/>
          <w:sz w:val="17"/>
          <w:szCs w:val="17"/>
        </w:rPr>
      </w:pPr>
      <w:r>
        <w:rPr>
          <w:rFonts w:ascii="宋体" w:hAnsi="宋体" w:eastAsia="宋体" w:cs="宋体"/>
          <w:b/>
          <w:bCs/>
          <w:spacing w:val="-6"/>
          <w:sz w:val="17"/>
          <w:szCs w:val="17"/>
        </w:rPr>
        <w:t>④有必要的文字及效果；</w:t>
      </w:r>
    </w:p>
    <w:p w14:paraId="294DB07D">
      <w:pPr>
        <w:spacing w:before="90" w:line="217" w:lineRule="auto"/>
        <w:ind w:left="882"/>
        <w:rPr>
          <w:rFonts w:ascii="宋体" w:hAnsi="宋体" w:eastAsia="宋体" w:cs="宋体"/>
          <w:sz w:val="17"/>
          <w:szCs w:val="17"/>
        </w:rPr>
      </w:pPr>
      <w:r>
        <w:rPr>
          <w:rFonts w:ascii="宋体" w:hAnsi="宋体" w:eastAsia="宋体" w:cs="宋体"/>
          <w:b/>
          <w:bCs/>
          <w:spacing w:val="-2"/>
          <w:sz w:val="17"/>
          <w:szCs w:val="17"/>
        </w:rPr>
        <w:t>⑤出版社标志明确。</w:t>
      </w:r>
    </w:p>
    <w:p w14:paraId="1E3A58F0">
      <w:pPr>
        <w:spacing w:before="102" w:line="217" w:lineRule="auto"/>
        <w:ind w:left="880"/>
        <w:rPr>
          <w:rFonts w:ascii="宋体" w:hAnsi="宋体" w:eastAsia="宋体" w:cs="宋体"/>
          <w:sz w:val="17"/>
          <w:szCs w:val="17"/>
        </w:rPr>
      </w:pPr>
      <w:r>
        <w:rPr>
          <w:rFonts w:ascii="宋体" w:hAnsi="宋体" w:eastAsia="宋体" w:cs="宋体"/>
          <w:sz w:val="17"/>
          <w:szCs w:val="17"/>
        </w:rPr>
        <w:t>⑥</w:t>
      </w:r>
    </w:p>
    <w:p w14:paraId="3E8F0DD2">
      <w:pPr>
        <w:spacing w:before="62" w:line="212" w:lineRule="auto"/>
        <w:ind w:left="452"/>
        <w:rPr>
          <w:rFonts w:ascii="宋体" w:hAnsi="宋体" w:eastAsia="宋体" w:cs="宋体"/>
          <w:sz w:val="17"/>
          <w:szCs w:val="17"/>
        </w:rPr>
      </w:pPr>
      <w:r>
        <w:rPr>
          <w:rFonts w:ascii="宋体" w:hAnsi="宋体" w:eastAsia="宋体" w:cs="宋体"/>
          <w:b/>
          <w:bCs/>
          <w:spacing w:val="-6"/>
          <w:sz w:val="17"/>
          <w:szCs w:val="17"/>
        </w:rPr>
        <w:t>(</w:t>
      </w:r>
      <w:r>
        <w:rPr>
          <w:rFonts w:ascii="宋体" w:hAnsi="宋体" w:eastAsia="宋体" w:cs="宋体"/>
          <w:spacing w:val="-16"/>
          <w:sz w:val="17"/>
          <w:szCs w:val="17"/>
        </w:rPr>
        <w:t xml:space="preserve"> </w:t>
      </w:r>
      <w:r>
        <w:rPr>
          <w:rFonts w:ascii="宋体" w:hAnsi="宋体" w:eastAsia="宋体" w:cs="宋体"/>
          <w:b/>
          <w:bCs/>
          <w:spacing w:val="-6"/>
          <w:sz w:val="17"/>
          <w:szCs w:val="17"/>
        </w:rPr>
        <w:t>2</w:t>
      </w:r>
      <w:r>
        <w:rPr>
          <w:rFonts w:ascii="宋体" w:hAnsi="宋体" w:eastAsia="宋体" w:cs="宋体"/>
          <w:spacing w:val="-32"/>
          <w:sz w:val="17"/>
          <w:szCs w:val="17"/>
        </w:rPr>
        <w:t xml:space="preserve"> </w:t>
      </w:r>
      <w:r>
        <w:rPr>
          <w:rFonts w:ascii="宋体" w:hAnsi="宋体" w:eastAsia="宋体" w:cs="宋体"/>
          <w:b/>
          <w:bCs/>
          <w:spacing w:val="-6"/>
          <w:sz w:val="17"/>
          <w:szCs w:val="17"/>
        </w:rPr>
        <w:t>)</w:t>
      </w:r>
      <w:r>
        <w:rPr>
          <w:rFonts w:ascii="宋体" w:hAnsi="宋体" w:eastAsia="宋体" w:cs="宋体"/>
          <w:spacing w:val="-31"/>
          <w:sz w:val="17"/>
          <w:szCs w:val="17"/>
        </w:rPr>
        <w:t xml:space="preserve"> </w:t>
      </w:r>
      <w:r>
        <w:rPr>
          <w:rFonts w:ascii="宋体" w:hAnsi="宋体" w:eastAsia="宋体" w:cs="宋体"/>
          <w:b/>
          <w:bCs/>
          <w:spacing w:val="-6"/>
          <w:sz w:val="17"/>
          <w:szCs w:val="17"/>
        </w:rPr>
        <w:t>用</w:t>
      </w:r>
      <w:r>
        <w:rPr>
          <w:rFonts w:ascii="Times New Roman" w:hAnsi="Times New Roman" w:eastAsia="Times New Roman" w:cs="Times New Roman"/>
          <w:b/>
          <w:bCs/>
          <w:spacing w:val="-6"/>
          <w:sz w:val="17"/>
          <w:szCs w:val="17"/>
        </w:rPr>
        <w:t>Photoshop</w:t>
      </w:r>
      <w:r>
        <w:rPr>
          <w:rFonts w:ascii="Times New Roman" w:hAnsi="Times New Roman" w:eastAsia="Times New Roman" w:cs="Times New Roman"/>
          <w:b/>
          <w:bCs/>
          <w:spacing w:val="13"/>
          <w:w w:val="101"/>
          <w:sz w:val="17"/>
          <w:szCs w:val="17"/>
        </w:rPr>
        <w:t xml:space="preserve"> </w:t>
      </w:r>
      <w:r>
        <w:rPr>
          <w:rFonts w:ascii="宋体" w:hAnsi="宋体" w:eastAsia="宋体" w:cs="宋体"/>
          <w:b/>
          <w:bCs/>
          <w:spacing w:val="-6"/>
          <w:sz w:val="17"/>
          <w:szCs w:val="17"/>
        </w:rPr>
        <w:t>中文版软件设计</w:t>
      </w:r>
      <w:r>
        <w:rPr>
          <w:rFonts w:ascii="宋体" w:hAnsi="宋体" w:eastAsia="宋体" w:cs="宋体"/>
          <w:spacing w:val="-25"/>
          <w:sz w:val="17"/>
          <w:szCs w:val="17"/>
        </w:rPr>
        <w:t xml:space="preserve"> </w:t>
      </w:r>
      <w:r>
        <w:rPr>
          <w:rFonts w:ascii="Times New Roman" w:hAnsi="Times New Roman" w:eastAsia="Times New Roman" w:cs="Times New Roman"/>
          <w:b/>
          <w:bCs/>
          <w:spacing w:val="-6"/>
          <w:sz w:val="17"/>
          <w:szCs w:val="17"/>
        </w:rPr>
        <w:t xml:space="preserve">CD </w:t>
      </w:r>
      <w:r>
        <w:rPr>
          <w:rFonts w:ascii="宋体" w:hAnsi="宋体" w:eastAsia="宋体" w:cs="宋体"/>
          <w:b/>
          <w:bCs/>
          <w:spacing w:val="-6"/>
          <w:sz w:val="17"/>
          <w:szCs w:val="17"/>
        </w:rPr>
        <w:t>唱片包装，</w:t>
      </w:r>
    </w:p>
    <w:p w14:paraId="55ADC17D">
      <w:pPr>
        <w:spacing w:before="124" w:line="220" w:lineRule="auto"/>
        <w:ind w:left="90"/>
        <w:rPr>
          <w:rFonts w:ascii="宋体" w:hAnsi="宋体" w:eastAsia="宋体" w:cs="宋体"/>
          <w:sz w:val="17"/>
          <w:szCs w:val="17"/>
        </w:rPr>
      </w:pPr>
      <w:r>
        <w:rPr>
          <w:rFonts w:ascii="宋体" w:hAnsi="宋体" w:eastAsia="宋体" w:cs="宋体"/>
          <w:spacing w:val="-7"/>
          <w:sz w:val="17"/>
          <w:szCs w:val="17"/>
        </w:rPr>
        <w:t>具体要求如下：</w:t>
      </w:r>
    </w:p>
    <w:p w14:paraId="7F0CB7D4">
      <w:pPr>
        <w:spacing w:before="88" w:line="212" w:lineRule="auto"/>
        <w:ind w:left="880"/>
        <w:rPr>
          <w:rFonts w:ascii="宋体" w:hAnsi="宋体" w:eastAsia="宋体" w:cs="宋体"/>
          <w:sz w:val="17"/>
          <w:szCs w:val="17"/>
        </w:rPr>
      </w:pPr>
      <w:r>
        <w:rPr>
          <w:rFonts w:ascii="宋体" w:hAnsi="宋体" w:eastAsia="宋体" w:cs="宋体"/>
          <w:spacing w:val="1"/>
          <w:sz w:val="17"/>
          <w:szCs w:val="17"/>
        </w:rPr>
        <w:t>①用</w:t>
      </w:r>
      <w:r>
        <w:rPr>
          <w:rFonts w:ascii="Times New Roman" w:hAnsi="Times New Roman" w:eastAsia="Times New Roman" w:cs="Times New Roman"/>
          <w:sz w:val="17"/>
          <w:szCs w:val="17"/>
        </w:rPr>
        <w:t>Photoshop</w:t>
      </w:r>
      <w:r>
        <w:rPr>
          <w:rFonts w:ascii="宋体" w:hAnsi="宋体" w:eastAsia="宋体" w:cs="宋体"/>
          <w:spacing w:val="1"/>
          <w:sz w:val="17"/>
          <w:szCs w:val="17"/>
        </w:rPr>
        <w:t>中文版软件及给定的素材；</w:t>
      </w:r>
    </w:p>
    <w:p w14:paraId="44CDEF82">
      <w:pPr>
        <w:spacing w:before="82" w:line="217" w:lineRule="auto"/>
        <w:ind w:left="880"/>
        <w:rPr>
          <w:rFonts w:ascii="宋体" w:hAnsi="宋体" w:eastAsia="宋体" w:cs="宋体"/>
          <w:sz w:val="17"/>
          <w:szCs w:val="17"/>
        </w:rPr>
      </w:pPr>
      <w:r>
        <w:rPr>
          <w:rFonts w:ascii="宋体" w:hAnsi="宋体" w:eastAsia="宋体" w:cs="宋体"/>
          <w:spacing w:val="-10"/>
          <w:sz w:val="17"/>
          <w:szCs w:val="17"/>
        </w:rPr>
        <w:t>②从所给素材中将部分图像选出，用在页面上；</w:t>
      </w:r>
    </w:p>
    <w:p w14:paraId="0A15AEF6">
      <w:pPr>
        <w:spacing w:before="100" w:line="217" w:lineRule="auto"/>
        <w:ind w:left="880"/>
        <w:rPr>
          <w:rFonts w:ascii="宋体" w:hAnsi="宋体" w:eastAsia="宋体" w:cs="宋体"/>
          <w:sz w:val="17"/>
          <w:szCs w:val="17"/>
        </w:rPr>
      </w:pPr>
      <w:r>
        <w:rPr>
          <w:rFonts w:ascii="宋体" w:hAnsi="宋体" w:eastAsia="宋体" w:cs="宋体"/>
          <w:spacing w:val="-5"/>
          <w:sz w:val="17"/>
          <w:szCs w:val="17"/>
        </w:rPr>
        <w:t>③页面设计合理；</w:t>
      </w:r>
    </w:p>
    <w:p w14:paraId="7DB8FA1F">
      <w:pPr>
        <w:spacing w:before="91" w:line="217" w:lineRule="auto"/>
        <w:ind w:left="880"/>
        <w:rPr>
          <w:rFonts w:ascii="宋体" w:hAnsi="宋体" w:eastAsia="宋体" w:cs="宋体"/>
          <w:sz w:val="17"/>
          <w:szCs w:val="17"/>
        </w:rPr>
      </w:pPr>
      <w:r>
        <w:rPr>
          <w:rFonts w:ascii="宋体" w:hAnsi="宋体" w:eastAsia="宋体" w:cs="宋体"/>
          <w:spacing w:val="-2"/>
          <w:sz w:val="17"/>
          <w:szCs w:val="17"/>
        </w:rPr>
        <w:t>④画面清新有创意；</w:t>
      </w:r>
    </w:p>
    <w:p w14:paraId="1EE218BC">
      <w:pPr>
        <w:spacing w:before="80" w:line="217" w:lineRule="auto"/>
        <w:ind w:left="880"/>
        <w:rPr>
          <w:rFonts w:ascii="宋体" w:hAnsi="宋体" w:eastAsia="宋体" w:cs="宋体"/>
          <w:sz w:val="17"/>
          <w:szCs w:val="17"/>
        </w:rPr>
      </w:pPr>
      <w:r>
        <w:rPr>
          <w:rFonts w:ascii="宋体" w:hAnsi="宋体" w:eastAsia="宋体" w:cs="宋体"/>
          <w:spacing w:val="-1"/>
          <w:sz w:val="17"/>
          <w:szCs w:val="17"/>
        </w:rPr>
        <w:t>⑤有必要的文字及效果；</w:t>
      </w:r>
    </w:p>
    <w:p w14:paraId="7AA9C6F5">
      <w:pPr>
        <w:spacing w:before="100" w:line="217" w:lineRule="auto"/>
        <w:ind w:left="880"/>
        <w:rPr>
          <w:rFonts w:ascii="宋体" w:hAnsi="宋体" w:eastAsia="宋体" w:cs="宋体"/>
          <w:sz w:val="17"/>
          <w:szCs w:val="17"/>
        </w:rPr>
      </w:pPr>
      <w:r>
        <w:rPr>
          <w:rFonts w:ascii="宋体" w:hAnsi="宋体" w:eastAsia="宋体" w:cs="宋体"/>
          <w:spacing w:val="-3"/>
          <w:sz w:val="17"/>
          <w:szCs w:val="17"/>
        </w:rPr>
        <w:t>⑥符合包装设计要求。</w:t>
      </w:r>
    </w:p>
    <w:p w14:paraId="7548A07D">
      <w:pPr>
        <w:spacing w:before="83" w:line="220" w:lineRule="auto"/>
        <w:ind w:left="450"/>
        <w:rPr>
          <w:rFonts w:ascii="宋体" w:hAnsi="宋体" w:eastAsia="宋体" w:cs="宋体"/>
          <w:sz w:val="17"/>
          <w:szCs w:val="17"/>
        </w:rPr>
      </w:pPr>
      <w:r>
        <w:rPr>
          <w:rFonts w:ascii="宋体" w:hAnsi="宋体" w:eastAsia="宋体" w:cs="宋体"/>
          <w:spacing w:val="13"/>
          <w:sz w:val="17"/>
          <w:szCs w:val="17"/>
        </w:rPr>
        <w:t>(二)试卷结构</w:t>
      </w:r>
    </w:p>
    <w:p w14:paraId="319710F1">
      <w:pPr>
        <w:spacing w:line="124" w:lineRule="exact"/>
      </w:pPr>
    </w:p>
    <w:tbl>
      <w:tblPr>
        <w:tblStyle w:val="5"/>
        <w:tblW w:w="4130" w:type="dxa"/>
        <w:tblInd w:w="11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13"/>
        <w:gridCol w:w="848"/>
        <w:gridCol w:w="948"/>
        <w:gridCol w:w="1421"/>
      </w:tblGrid>
      <w:tr w14:paraId="46068E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0" w:hRule="atLeast"/>
        </w:trPr>
        <w:tc>
          <w:tcPr>
            <w:tcW w:w="913" w:type="dxa"/>
            <w:vAlign w:val="top"/>
          </w:tcPr>
          <w:p w14:paraId="6A35ADDF">
            <w:pPr>
              <w:pStyle w:val="6"/>
              <w:spacing w:before="79" w:line="219" w:lineRule="auto"/>
              <w:ind w:left="107"/>
            </w:pPr>
            <w:r>
              <w:rPr>
                <w:b/>
                <w:bCs/>
              </w:rPr>
              <w:t>内容范围</w:t>
            </w:r>
          </w:p>
        </w:tc>
        <w:tc>
          <w:tcPr>
            <w:tcW w:w="848" w:type="dxa"/>
            <w:vAlign w:val="top"/>
          </w:tcPr>
          <w:p w14:paraId="2834785B">
            <w:pPr>
              <w:pStyle w:val="6"/>
              <w:spacing w:before="79" w:line="219" w:lineRule="auto"/>
              <w:ind w:left="244"/>
            </w:pPr>
            <w:r>
              <w:rPr>
                <w:b/>
                <w:bCs/>
                <w:spacing w:val="-4"/>
              </w:rPr>
              <w:t>素描</w:t>
            </w:r>
          </w:p>
        </w:tc>
        <w:tc>
          <w:tcPr>
            <w:tcW w:w="948" w:type="dxa"/>
            <w:vAlign w:val="top"/>
          </w:tcPr>
          <w:p w14:paraId="1BCCB496">
            <w:pPr>
              <w:pStyle w:val="6"/>
              <w:spacing w:before="80" w:line="221" w:lineRule="auto"/>
              <w:ind w:left="126"/>
            </w:pPr>
            <w:r>
              <w:rPr>
                <w:b/>
                <w:bCs/>
                <w:spacing w:val="-3"/>
              </w:rPr>
              <w:t>平面设计</w:t>
            </w:r>
          </w:p>
        </w:tc>
        <w:tc>
          <w:tcPr>
            <w:tcW w:w="1421" w:type="dxa"/>
            <w:vAlign w:val="top"/>
          </w:tcPr>
          <w:p w14:paraId="272884D9">
            <w:pPr>
              <w:pStyle w:val="6"/>
              <w:spacing w:before="78" w:line="219" w:lineRule="auto"/>
              <w:ind w:left="108"/>
            </w:pPr>
            <w:r>
              <w:rPr>
                <w:b/>
                <w:bCs/>
                <w:spacing w:val="-3"/>
              </w:rPr>
              <w:t>计算机设计基础</w:t>
            </w:r>
          </w:p>
        </w:tc>
      </w:tr>
      <w:tr w14:paraId="67BF41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0" w:hRule="atLeast"/>
        </w:trPr>
        <w:tc>
          <w:tcPr>
            <w:tcW w:w="913" w:type="dxa"/>
            <w:vAlign w:val="top"/>
          </w:tcPr>
          <w:p w14:paraId="6718055A">
            <w:pPr>
              <w:pStyle w:val="6"/>
              <w:spacing w:before="80" w:line="220" w:lineRule="auto"/>
              <w:ind w:left="107"/>
            </w:pPr>
            <w:r>
              <w:rPr>
                <w:b/>
                <w:bCs/>
                <w:spacing w:val="-4"/>
              </w:rPr>
              <w:t>所占比例</w:t>
            </w:r>
          </w:p>
        </w:tc>
        <w:tc>
          <w:tcPr>
            <w:tcW w:w="848" w:type="dxa"/>
            <w:vAlign w:val="top"/>
          </w:tcPr>
          <w:p w14:paraId="28C8CF2E">
            <w:pPr>
              <w:pStyle w:val="6"/>
              <w:spacing w:before="124" w:line="183" w:lineRule="auto"/>
              <w:ind w:left="284"/>
            </w:pPr>
            <w:r>
              <w:rPr>
                <w:b/>
                <w:bCs/>
                <w:spacing w:val="-5"/>
              </w:rPr>
              <w:t>35%</w:t>
            </w:r>
          </w:p>
        </w:tc>
        <w:tc>
          <w:tcPr>
            <w:tcW w:w="948" w:type="dxa"/>
            <w:vAlign w:val="top"/>
          </w:tcPr>
          <w:p w14:paraId="6F3302EB">
            <w:pPr>
              <w:pStyle w:val="6"/>
              <w:spacing w:before="124" w:line="183" w:lineRule="auto"/>
              <w:ind w:left="336"/>
            </w:pPr>
            <w:r>
              <w:rPr>
                <w:b/>
                <w:bCs/>
                <w:spacing w:val="-5"/>
              </w:rPr>
              <w:t>35%</w:t>
            </w:r>
          </w:p>
        </w:tc>
        <w:tc>
          <w:tcPr>
            <w:tcW w:w="1421" w:type="dxa"/>
            <w:vAlign w:val="top"/>
          </w:tcPr>
          <w:p w14:paraId="2B74657A">
            <w:pPr>
              <w:pStyle w:val="6"/>
              <w:spacing w:before="124" w:line="183" w:lineRule="auto"/>
              <w:ind w:left="578"/>
            </w:pPr>
            <w:r>
              <w:rPr>
                <w:b/>
                <w:bCs/>
                <w:spacing w:val="-5"/>
              </w:rPr>
              <w:t>30%</w:t>
            </w:r>
          </w:p>
        </w:tc>
      </w:tr>
    </w:tbl>
    <w:p w14:paraId="74A5BCB1">
      <w:pPr>
        <w:spacing w:before="192" w:line="239" w:lineRule="auto"/>
        <w:ind w:left="1002" w:right="864" w:hanging="549"/>
        <w:rPr>
          <w:rFonts w:ascii="黑体" w:hAnsi="黑体" w:eastAsia="黑体" w:cs="黑体"/>
          <w:sz w:val="27"/>
          <w:szCs w:val="27"/>
        </w:rPr>
      </w:pPr>
      <w:r>
        <w:rPr>
          <w:rFonts w:ascii="宋体" w:hAnsi="宋体" w:eastAsia="宋体" w:cs="宋体"/>
          <w:b/>
          <w:bCs/>
          <w:spacing w:val="21"/>
          <w:sz w:val="27"/>
          <w:szCs w:val="27"/>
        </w:rPr>
        <w:t>教育与体育大类(教育类)</w:t>
      </w:r>
      <w:r>
        <w:rPr>
          <w:rFonts w:ascii="宋体" w:hAnsi="宋体" w:eastAsia="宋体" w:cs="宋体"/>
          <w:spacing w:val="4"/>
          <w:sz w:val="27"/>
          <w:szCs w:val="27"/>
        </w:rPr>
        <w:t xml:space="preserve"> </w:t>
      </w:r>
      <w:r>
        <w:rPr>
          <w:rFonts w:ascii="黑体" w:hAnsi="黑体" w:eastAsia="黑体" w:cs="黑体"/>
          <w:b/>
          <w:bCs/>
          <w:spacing w:val="-1"/>
          <w:sz w:val="27"/>
          <w:szCs w:val="27"/>
        </w:rPr>
        <w:t>专业课理论考试纲要</w:t>
      </w:r>
    </w:p>
    <w:p w14:paraId="671CF4DB">
      <w:pPr>
        <w:spacing w:before="128" w:line="221" w:lineRule="auto"/>
        <w:ind w:left="93"/>
        <w:rPr>
          <w:rFonts w:ascii="黑体" w:hAnsi="黑体" w:eastAsia="黑体" w:cs="黑体"/>
          <w:sz w:val="23"/>
          <w:szCs w:val="23"/>
        </w:rPr>
      </w:pPr>
      <w:r>
        <w:rPr>
          <w:rFonts w:ascii="黑体" w:hAnsi="黑体" w:eastAsia="黑体" w:cs="黑体"/>
          <w:b/>
          <w:bCs/>
          <w:spacing w:val="-7"/>
          <w:sz w:val="23"/>
          <w:szCs w:val="23"/>
        </w:rPr>
        <w:t>一、考试范围与内容</w:t>
      </w:r>
    </w:p>
    <w:p w14:paraId="65B6EFEE">
      <w:pPr>
        <w:spacing w:before="139" w:line="301" w:lineRule="auto"/>
        <w:ind w:right="245" w:firstLine="450"/>
        <w:rPr>
          <w:rFonts w:ascii="宋体" w:hAnsi="宋体" w:eastAsia="宋体" w:cs="宋体"/>
          <w:sz w:val="17"/>
          <w:szCs w:val="17"/>
        </w:rPr>
      </w:pPr>
      <w:r>
        <w:rPr>
          <w:rFonts w:ascii="宋体" w:hAnsi="宋体" w:eastAsia="宋体" w:cs="宋体"/>
          <w:spacing w:val="18"/>
          <w:sz w:val="17"/>
          <w:szCs w:val="17"/>
        </w:rPr>
        <w:t>本纲要规定的考试范围和内容，以教育部所颁</w:t>
      </w:r>
      <w:r>
        <w:rPr>
          <w:rFonts w:ascii="宋体" w:hAnsi="宋体" w:eastAsia="宋体" w:cs="宋体"/>
          <w:spacing w:val="7"/>
          <w:sz w:val="17"/>
          <w:szCs w:val="17"/>
        </w:rPr>
        <w:t xml:space="preserve">  </w:t>
      </w:r>
      <w:r>
        <w:rPr>
          <w:rFonts w:ascii="宋体" w:hAnsi="宋体" w:eastAsia="宋体" w:cs="宋体"/>
          <w:spacing w:val="9"/>
          <w:sz w:val="17"/>
          <w:szCs w:val="17"/>
        </w:rPr>
        <w:t>布的《幼儿园教师专业标准(试行)》  《中小学和幼儿</w:t>
      </w:r>
      <w:r>
        <w:rPr>
          <w:rFonts w:ascii="宋体" w:hAnsi="宋体" w:eastAsia="宋体" w:cs="宋体"/>
          <w:spacing w:val="5"/>
          <w:sz w:val="17"/>
          <w:szCs w:val="17"/>
        </w:rPr>
        <w:t xml:space="preserve"> </w:t>
      </w:r>
      <w:r>
        <w:rPr>
          <w:rFonts w:ascii="宋体" w:hAnsi="宋体" w:eastAsia="宋体" w:cs="宋体"/>
          <w:spacing w:val="9"/>
          <w:sz w:val="17"/>
          <w:szCs w:val="17"/>
        </w:rPr>
        <w:t>园教师资格考试标准(试行)》  《中等职业学校学前教</w:t>
      </w:r>
      <w:r>
        <w:rPr>
          <w:rFonts w:ascii="宋体" w:hAnsi="宋体" w:eastAsia="宋体" w:cs="宋体"/>
          <w:spacing w:val="5"/>
          <w:sz w:val="17"/>
          <w:szCs w:val="17"/>
        </w:rPr>
        <w:t xml:space="preserve"> </w:t>
      </w:r>
      <w:r>
        <w:rPr>
          <w:rFonts w:ascii="宋体" w:hAnsi="宋体" w:eastAsia="宋体" w:cs="宋体"/>
          <w:spacing w:val="17"/>
          <w:sz w:val="17"/>
          <w:szCs w:val="17"/>
        </w:rPr>
        <w:t>育专业教学标准(试行)》为依据，主要内容包括：学</w:t>
      </w:r>
      <w:r>
        <w:rPr>
          <w:rFonts w:ascii="宋体" w:hAnsi="宋体" w:eastAsia="宋体" w:cs="宋体"/>
          <w:spacing w:val="10"/>
          <w:sz w:val="17"/>
          <w:szCs w:val="17"/>
        </w:rPr>
        <w:t xml:space="preserve"> </w:t>
      </w:r>
      <w:r>
        <w:rPr>
          <w:rFonts w:ascii="宋体" w:hAnsi="宋体" w:eastAsia="宋体" w:cs="宋体"/>
          <w:spacing w:val="27"/>
          <w:sz w:val="17"/>
          <w:szCs w:val="17"/>
        </w:rPr>
        <w:t>前儿童卫生与保健、学前儿童发展心理、学前教育</w:t>
      </w:r>
      <w:r>
        <w:rPr>
          <w:rFonts w:ascii="宋体" w:hAnsi="宋体" w:eastAsia="宋体" w:cs="宋体"/>
          <w:sz w:val="17"/>
          <w:szCs w:val="17"/>
        </w:rPr>
        <w:t xml:space="preserve"> </w:t>
      </w:r>
      <w:r>
        <w:rPr>
          <w:rFonts w:ascii="宋体" w:hAnsi="宋体" w:eastAsia="宋体" w:cs="宋体"/>
          <w:spacing w:val="21"/>
          <w:sz w:val="17"/>
          <w:szCs w:val="17"/>
        </w:rPr>
        <w:t>基础知识等三个部分，总分为200分。考试侧重</w:t>
      </w:r>
      <w:r>
        <w:rPr>
          <w:rFonts w:ascii="宋体" w:hAnsi="宋体" w:eastAsia="宋体" w:cs="宋体"/>
          <w:spacing w:val="20"/>
          <w:sz w:val="17"/>
          <w:szCs w:val="17"/>
        </w:rPr>
        <w:t>考查</w:t>
      </w:r>
      <w:r>
        <w:rPr>
          <w:rFonts w:ascii="宋体" w:hAnsi="宋体" w:eastAsia="宋体" w:cs="宋体"/>
          <w:sz w:val="17"/>
          <w:szCs w:val="17"/>
        </w:rPr>
        <w:t xml:space="preserve"> </w:t>
      </w:r>
      <w:r>
        <w:rPr>
          <w:rFonts w:ascii="宋体" w:hAnsi="宋体" w:eastAsia="宋体" w:cs="宋体"/>
          <w:spacing w:val="25"/>
          <w:sz w:val="17"/>
          <w:szCs w:val="17"/>
        </w:rPr>
        <w:t>考生对专业理论课的基础知识与技能的掌握程度，</w:t>
      </w:r>
      <w:r>
        <w:rPr>
          <w:rFonts w:ascii="宋体" w:hAnsi="宋体" w:eastAsia="宋体" w:cs="宋体"/>
          <w:spacing w:val="13"/>
          <w:sz w:val="17"/>
          <w:szCs w:val="17"/>
        </w:rPr>
        <w:t xml:space="preserve"> </w:t>
      </w:r>
      <w:r>
        <w:rPr>
          <w:rFonts w:ascii="宋体" w:hAnsi="宋体" w:eastAsia="宋体" w:cs="宋体"/>
          <w:spacing w:val="26"/>
          <w:sz w:val="17"/>
          <w:szCs w:val="17"/>
        </w:rPr>
        <w:t>同时注意考查考生运用所学专业知识分析、解决实</w:t>
      </w:r>
      <w:r>
        <w:rPr>
          <w:rFonts w:ascii="宋体" w:hAnsi="宋体" w:eastAsia="宋体" w:cs="宋体"/>
          <w:spacing w:val="15"/>
          <w:sz w:val="17"/>
          <w:szCs w:val="17"/>
        </w:rPr>
        <w:t xml:space="preserve"> 际问题的能力。</w:t>
      </w:r>
    </w:p>
    <w:p w14:paraId="079948B8">
      <w:pPr>
        <w:spacing w:before="83" w:line="219" w:lineRule="auto"/>
        <w:ind w:left="450"/>
        <w:rPr>
          <w:rFonts w:ascii="宋体" w:hAnsi="宋体" w:eastAsia="宋体" w:cs="宋体"/>
          <w:sz w:val="17"/>
          <w:szCs w:val="17"/>
        </w:rPr>
      </w:pPr>
      <w:r>
        <w:rPr>
          <w:rFonts w:ascii="宋体" w:hAnsi="宋体" w:eastAsia="宋体" w:cs="宋体"/>
          <w:spacing w:val="-5"/>
          <w:sz w:val="17"/>
          <w:szCs w:val="17"/>
        </w:rPr>
        <w:t>主要参考教材如下：</w:t>
      </w:r>
    </w:p>
    <w:p w14:paraId="4640A949">
      <w:pPr>
        <w:spacing w:before="90" w:line="312" w:lineRule="auto"/>
        <w:ind w:left="90" w:right="368" w:firstLine="359"/>
        <w:rPr>
          <w:rFonts w:ascii="宋体" w:hAnsi="宋体" w:eastAsia="宋体" w:cs="宋体"/>
          <w:sz w:val="17"/>
          <w:szCs w:val="17"/>
        </w:rPr>
      </w:pPr>
      <w:r>
        <w:rPr>
          <w:rFonts w:ascii="宋体" w:hAnsi="宋体" w:eastAsia="宋体" w:cs="宋体"/>
          <w:spacing w:val="1"/>
          <w:sz w:val="17"/>
          <w:szCs w:val="17"/>
        </w:rPr>
        <w:t>1.张兰香 潘秀萍主编《学前儿童卫生与</w:t>
      </w:r>
      <w:r>
        <w:rPr>
          <w:rFonts w:ascii="宋体" w:hAnsi="宋体" w:eastAsia="宋体" w:cs="宋体"/>
          <w:sz w:val="17"/>
          <w:szCs w:val="17"/>
        </w:rPr>
        <w:t xml:space="preserve">保健》(第 </w:t>
      </w:r>
      <w:r>
        <w:rPr>
          <w:rFonts w:ascii="宋体" w:hAnsi="宋体" w:eastAsia="宋体" w:cs="宋体"/>
          <w:spacing w:val="8"/>
          <w:sz w:val="17"/>
          <w:szCs w:val="17"/>
        </w:rPr>
        <w:t>二版).北京：北京师范大学出版社.</w:t>
      </w:r>
    </w:p>
    <w:p w14:paraId="4BE9E749">
      <w:pPr>
        <w:spacing w:before="4" w:line="302" w:lineRule="auto"/>
        <w:ind w:left="90" w:right="353" w:firstLine="359"/>
        <w:rPr>
          <w:rFonts w:ascii="宋体" w:hAnsi="宋体" w:eastAsia="宋体" w:cs="宋体"/>
          <w:sz w:val="17"/>
          <w:szCs w:val="17"/>
        </w:rPr>
      </w:pPr>
      <w:r>
        <w:rPr>
          <w:rFonts w:ascii="宋体" w:hAnsi="宋体" w:eastAsia="宋体" w:cs="宋体"/>
          <w:spacing w:val="8"/>
          <w:sz w:val="17"/>
          <w:szCs w:val="17"/>
        </w:rPr>
        <w:t>2.王东红</w:t>
      </w:r>
      <w:r>
        <w:rPr>
          <w:rFonts w:ascii="宋体" w:hAnsi="宋体" w:eastAsia="宋体" w:cs="宋体"/>
          <w:spacing w:val="29"/>
          <w:sz w:val="17"/>
          <w:szCs w:val="17"/>
        </w:rPr>
        <w:t xml:space="preserve"> </w:t>
      </w:r>
      <w:r>
        <w:rPr>
          <w:rFonts w:ascii="宋体" w:hAnsi="宋体" w:eastAsia="宋体" w:cs="宋体"/>
          <w:spacing w:val="8"/>
          <w:sz w:val="17"/>
          <w:szCs w:val="17"/>
        </w:rPr>
        <w:t>王洁主编《学前儿童卫生保健》(第三</w:t>
      </w:r>
      <w:r>
        <w:rPr>
          <w:rFonts w:ascii="宋体" w:hAnsi="宋体" w:eastAsia="宋体" w:cs="宋体"/>
          <w:sz w:val="17"/>
          <w:szCs w:val="17"/>
        </w:rPr>
        <w:t xml:space="preserve"> </w:t>
      </w:r>
      <w:r>
        <w:rPr>
          <w:rFonts w:ascii="宋体" w:hAnsi="宋体" w:eastAsia="宋体" w:cs="宋体"/>
          <w:spacing w:val="11"/>
          <w:sz w:val="17"/>
          <w:szCs w:val="17"/>
        </w:rPr>
        <w:t>版).北京：高等教育出版社.</w:t>
      </w:r>
    </w:p>
    <w:p w14:paraId="3BC86A17">
      <w:pPr>
        <w:spacing w:before="26" w:line="312" w:lineRule="auto"/>
        <w:ind w:left="90" w:right="350" w:firstLine="359"/>
        <w:rPr>
          <w:rFonts w:ascii="宋体" w:hAnsi="宋体" w:eastAsia="宋体" w:cs="宋体"/>
          <w:sz w:val="17"/>
          <w:szCs w:val="17"/>
        </w:rPr>
      </w:pPr>
      <w:r>
        <w:rPr>
          <w:rFonts w:ascii="宋体" w:hAnsi="宋体" w:eastAsia="宋体" w:cs="宋体"/>
          <w:spacing w:val="8"/>
          <w:sz w:val="17"/>
          <w:szCs w:val="17"/>
        </w:rPr>
        <w:t>3.王兴华</w:t>
      </w:r>
      <w:r>
        <w:rPr>
          <w:rFonts w:ascii="宋体" w:hAnsi="宋体" w:eastAsia="宋体" w:cs="宋体"/>
          <w:spacing w:val="32"/>
          <w:sz w:val="17"/>
          <w:szCs w:val="17"/>
        </w:rPr>
        <w:t xml:space="preserve"> </w:t>
      </w:r>
      <w:r>
        <w:rPr>
          <w:rFonts w:ascii="宋体" w:hAnsi="宋体" w:eastAsia="宋体" w:cs="宋体"/>
          <w:spacing w:val="8"/>
          <w:sz w:val="17"/>
          <w:szCs w:val="17"/>
        </w:rPr>
        <w:t>周佶主编《学前儿童发展心理》(第二</w:t>
      </w:r>
      <w:r>
        <w:rPr>
          <w:rFonts w:ascii="宋体" w:hAnsi="宋体" w:eastAsia="宋体" w:cs="宋体"/>
          <w:sz w:val="17"/>
          <w:szCs w:val="17"/>
        </w:rPr>
        <w:t xml:space="preserve"> </w:t>
      </w:r>
      <w:r>
        <w:rPr>
          <w:rFonts w:ascii="宋体" w:hAnsi="宋体" w:eastAsia="宋体" w:cs="宋体"/>
          <w:spacing w:val="11"/>
          <w:sz w:val="17"/>
          <w:szCs w:val="17"/>
        </w:rPr>
        <w:t>版).北京：高等教育出版社.</w:t>
      </w:r>
    </w:p>
    <w:p w14:paraId="6E23421A">
      <w:pPr>
        <w:spacing w:before="5" w:line="312" w:lineRule="auto"/>
        <w:ind w:left="90" w:right="351" w:firstLine="359"/>
        <w:rPr>
          <w:rFonts w:ascii="宋体" w:hAnsi="宋体" w:eastAsia="宋体" w:cs="宋体"/>
          <w:sz w:val="17"/>
          <w:szCs w:val="17"/>
        </w:rPr>
      </w:pPr>
      <w:r>
        <w:rPr>
          <w:rFonts w:ascii="宋体" w:hAnsi="宋体" w:eastAsia="宋体" w:cs="宋体"/>
          <w:spacing w:val="5"/>
          <w:sz w:val="17"/>
          <w:szCs w:val="17"/>
        </w:rPr>
        <w:t>4.冯婉桢主编《学前教育基础知识》(第二版).北</w:t>
      </w:r>
      <w:r>
        <w:rPr>
          <w:rFonts w:ascii="宋体" w:hAnsi="宋体" w:eastAsia="宋体" w:cs="宋体"/>
          <w:spacing w:val="2"/>
          <w:sz w:val="17"/>
          <w:szCs w:val="17"/>
        </w:rPr>
        <w:t xml:space="preserve"> </w:t>
      </w:r>
      <w:r>
        <w:rPr>
          <w:rFonts w:ascii="宋体" w:hAnsi="宋体" w:eastAsia="宋体" w:cs="宋体"/>
          <w:spacing w:val="4"/>
          <w:sz w:val="17"/>
          <w:szCs w:val="17"/>
        </w:rPr>
        <w:t>京：高等教育出版社.</w:t>
      </w:r>
    </w:p>
    <w:p w14:paraId="3D643C43">
      <w:pPr>
        <w:spacing w:before="2" w:line="221" w:lineRule="auto"/>
        <w:ind w:left="93"/>
        <w:rPr>
          <w:rFonts w:ascii="黑体" w:hAnsi="黑体" w:eastAsia="黑体" w:cs="黑体"/>
          <w:sz w:val="23"/>
          <w:szCs w:val="23"/>
        </w:rPr>
      </w:pPr>
      <w:r>
        <w:rPr>
          <w:rFonts w:ascii="黑体" w:hAnsi="黑体" w:eastAsia="黑体" w:cs="黑体"/>
          <w:b/>
          <w:bCs/>
          <w:spacing w:val="-4"/>
          <w:sz w:val="23"/>
          <w:szCs w:val="23"/>
        </w:rPr>
        <w:t>二、考试目标与水平层次</w:t>
      </w:r>
    </w:p>
    <w:p w14:paraId="005CF5B1">
      <w:pPr>
        <w:spacing w:before="86" w:line="289" w:lineRule="auto"/>
        <w:ind w:left="90" w:right="346" w:firstLine="359"/>
        <w:jc w:val="both"/>
        <w:rPr>
          <w:rFonts w:ascii="宋体" w:hAnsi="宋体" w:eastAsia="宋体" w:cs="宋体"/>
          <w:sz w:val="17"/>
          <w:szCs w:val="17"/>
        </w:rPr>
      </w:pPr>
      <w:r>
        <w:rPr>
          <w:rFonts w:ascii="宋体" w:hAnsi="宋体" w:eastAsia="宋体" w:cs="宋体"/>
          <w:sz w:val="17"/>
          <w:szCs w:val="17"/>
        </w:rPr>
        <w:t>本纲要确定的考试目标由知识与技能要点、考试条</w:t>
      </w:r>
      <w:r>
        <w:rPr>
          <w:rFonts w:ascii="宋体" w:hAnsi="宋体" w:eastAsia="宋体" w:cs="宋体"/>
          <w:spacing w:val="16"/>
          <w:sz w:val="17"/>
          <w:szCs w:val="17"/>
        </w:rPr>
        <w:t xml:space="preserve"> </w:t>
      </w:r>
      <w:r>
        <w:rPr>
          <w:rFonts w:ascii="宋体" w:hAnsi="宋体" w:eastAsia="宋体" w:cs="宋体"/>
          <w:spacing w:val="1"/>
          <w:sz w:val="17"/>
          <w:szCs w:val="17"/>
        </w:rPr>
        <w:t>目和考试水平三部分组成。“知识与技能要点”考查考</w:t>
      </w:r>
      <w:r>
        <w:rPr>
          <w:rFonts w:ascii="宋体" w:hAnsi="宋体" w:eastAsia="宋体" w:cs="宋体"/>
          <w:spacing w:val="11"/>
          <w:sz w:val="17"/>
          <w:szCs w:val="17"/>
        </w:rPr>
        <w:t xml:space="preserve"> </w:t>
      </w:r>
      <w:r>
        <w:rPr>
          <w:rFonts w:ascii="宋体" w:hAnsi="宋体" w:eastAsia="宋体" w:cs="宋体"/>
          <w:spacing w:val="-5"/>
          <w:sz w:val="17"/>
          <w:szCs w:val="17"/>
        </w:rPr>
        <w:t>生应知应会的基础知识和基本技能；“考试条目”是“知</w:t>
      </w:r>
      <w:r>
        <w:rPr>
          <w:rFonts w:ascii="宋体" w:hAnsi="宋体" w:eastAsia="宋体" w:cs="宋体"/>
          <w:spacing w:val="17"/>
          <w:sz w:val="17"/>
          <w:szCs w:val="17"/>
        </w:rPr>
        <w:t xml:space="preserve"> </w:t>
      </w:r>
      <w:r>
        <w:rPr>
          <w:rFonts w:ascii="宋体" w:hAnsi="宋体" w:eastAsia="宋体" w:cs="宋体"/>
          <w:spacing w:val="2"/>
          <w:sz w:val="17"/>
          <w:szCs w:val="17"/>
        </w:rPr>
        <w:t>识与技能要点”内容的细化；考试水平是具体确定所考</w:t>
      </w:r>
      <w:r>
        <w:rPr>
          <w:rFonts w:ascii="宋体" w:hAnsi="宋体" w:eastAsia="宋体" w:cs="宋体"/>
          <w:spacing w:val="7"/>
          <w:sz w:val="17"/>
          <w:szCs w:val="17"/>
        </w:rPr>
        <w:t xml:space="preserve"> </w:t>
      </w:r>
      <w:r>
        <w:rPr>
          <w:rFonts w:ascii="宋体" w:hAnsi="宋体" w:eastAsia="宋体" w:cs="宋体"/>
          <w:spacing w:val="-2"/>
          <w:sz w:val="17"/>
          <w:szCs w:val="17"/>
        </w:rPr>
        <w:t>查的应知应会的知识和技能的考查层次。</w:t>
      </w:r>
    </w:p>
    <w:p w14:paraId="2CE6363D">
      <w:pPr>
        <w:pStyle w:val="2"/>
        <w:spacing w:line="14" w:lineRule="auto"/>
        <w:rPr>
          <w:sz w:val="2"/>
        </w:rPr>
      </w:pPr>
      <w:r>
        <w:rPr>
          <w:sz w:val="2"/>
          <w:szCs w:val="2"/>
        </w:rPr>
        <w:br w:type="column"/>
      </w:r>
    </w:p>
    <w:p w14:paraId="6020B90F">
      <w:pPr>
        <w:spacing w:before="21" w:line="295" w:lineRule="auto"/>
        <w:ind w:left="2" w:right="27" w:firstLine="370"/>
        <w:jc w:val="both"/>
        <w:rPr>
          <w:rFonts w:ascii="宋体" w:hAnsi="宋体" w:eastAsia="宋体" w:cs="宋体"/>
          <w:sz w:val="17"/>
          <w:szCs w:val="17"/>
        </w:rPr>
      </w:pPr>
      <w:r>
        <w:rPr>
          <w:rFonts w:ascii="宋体" w:hAnsi="宋体" w:eastAsia="宋体" w:cs="宋体"/>
          <w:b/>
          <w:bCs/>
          <w:spacing w:val="-4"/>
          <w:sz w:val="17"/>
          <w:szCs w:val="17"/>
        </w:rPr>
        <w:t>本纲要的考试水平分为四个层次：</w:t>
      </w:r>
      <w:r>
        <w:rPr>
          <w:rFonts w:ascii="宋体" w:hAnsi="宋体" w:eastAsia="宋体" w:cs="宋体"/>
          <w:spacing w:val="24"/>
          <w:w w:val="101"/>
          <w:sz w:val="17"/>
          <w:szCs w:val="17"/>
        </w:rPr>
        <w:t xml:space="preserve"> </w:t>
      </w:r>
      <w:r>
        <w:rPr>
          <w:rFonts w:ascii="Times New Roman" w:hAnsi="Times New Roman" w:eastAsia="Times New Roman" w:cs="Times New Roman"/>
          <w:b/>
          <w:bCs/>
          <w:spacing w:val="-4"/>
          <w:sz w:val="17"/>
          <w:szCs w:val="17"/>
        </w:rPr>
        <w:t>A</w:t>
      </w:r>
      <w:r>
        <w:rPr>
          <w:rFonts w:ascii="宋体" w:hAnsi="宋体" w:eastAsia="宋体" w:cs="宋体"/>
          <w:b/>
          <w:bCs/>
          <w:spacing w:val="-4"/>
          <w:sz w:val="17"/>
          <w:szCs w:val="17"/>
        </w:rPr>
        <w:t>(</w:t>
      </w:r>
      <w:r>
        <w:rPr>
          <w:rFonts w:ascii="宋体" w:hAnsi="宋体" w:eastAsia="宋体" w:cs="宋体"/>
          <w:spacing w:val="-25"/>
          <w:sz w:val="17"/>
          <w:szCs w:val="17"/>
        </w:rPr>
        <w:t xml:space="preserve"> </w:t>
      </w:r>
      <w:r>
        <w:rPr>
          <w:rFonts w:ascii="宋体" w:hAnsi="宋体" w:eastAsia="宋体" w:cs="宋体"/>
          <w:b/>
          <w:bCs/>
          <w:spacing w:val="-4"/>
          <w:sz w:val="17"/>
          <w:szCs w:val="17"/>
        </w:rPr>
        <w:t>识</w:t>
      </w:r>
      <w:r>
        <w:rPr>
          <w:rFonts w:ascii="宋体" w:hAnsi="宋体" w:eastAsia="宋体" w:cs="宋体"/>
          <w:spacing w:val="-26"/>
          <w:sz w:val="17"/>
          <w:szCs w:val="17"/>
        </w:rPr>
        <w:t xml:space="preserve"> </w:t>
      </w:r>
      <w:r>
        <w:rPr>
          <w:rFonts w:ascii="宋体" w:hAnsi="宋体" w:eastAsia="宋体" w:cs="宋体"/>
          <w:b/>
          <w:bCs/>
          <w:spacing w:val="-4"/>
          <w:sz w:val="17"/>
          <w:szCs w:val="17"/>
        </w:rPr>
        <w:t>记</w:t>
      </w:r>
      <w:r>
        <w:rPr>
          <w:rFonts w:ascii="宋体" w:hAnsi="宋体" w:eastAsia="宋体" w:cs="宋体"/>
          <w:spacing w:val="-25"/>
          <w:sz w:val="17"/>
          <w:szCs w:val="17"/>
        </w:rPr>
        <w:t xml:space="preserve"> </w:t>
      </w:r>
      <w:r>
        <w:rPr>
          <w:rFonts w:ascii="宋体" w:hAnsi="宋体" w:eastAsia="宋体" w:cs="宋体"/>
          <w:b/>
          <w:bCs/>
          <w:spacing w:val="-4"/>
          <w:sz w:val="17"/>
          <w:szCs w:val="17"/>
        </w:rPr>
        <w:t>)</w:t>
      </w:r>
      <w:r>
        <w:rPr>
          <w:rFonts w:ascii="宋体" w:hAnsi="宋体" w:eastAsia="宋体" w:cs="宋体"/>
          <w:spacing w:val="-32"/>
          <w:sz w:val="17"/>
          <w:szCs w:val="17"/>
        </w:rPr>
        <w:t xml:space="preserve"> </w:t>
      </w:r>
      <w:r>
        <w:rPr>
          <w:rFonts w:ascii="宋体" w:hAnsi="宋体" w:eastAsia="宋体" w:cs="宋体"/>
          <w:b/>
          <w:bCs/>
          <w:spacing w:val="-4"/>
          <w:sz w:val="17"/>
          <w:szCs w:val="17"/>
        </w:rPr>
        <w:t>、</w:t>
      </w:r>
      <w:r>
        <w:rPr>
          <w:rFonts w:ascii="Times New Roman" w:hAnsi="Times New Roman" w:eastAsia="Times New Roman" w:cs="Times New Roman"/>
          <w:b/>
          <w:bCs/>
          <w:spacing w:val="-4"/>
          <w:sz w:val="17"/>
          <w:szCs w:val="17"/>
        </w:rPr>
        <w:t>B</w:t>
      </w:r>
      <w:r>
        <w:rPr>
          <w:rFonts w:ascii="Times New Roman" w:hAnsi="Times New Roman" w:eastAsia="Times New Roman" w:cs="Times New Roman"/>
          <w:b/>
          <w:bCs/>
          <w:sz w:val="17"/>
          <w:szCs w:val="17"/>
        </w:rPr>
        <w:t xml:space="preserve">  </w:t>
      </w:r>
      <w:r>
        <w:rPr>
          <w:rFonts w:ascii="宋体" w:hAnsi="宋体" w:eastAsia="宋体" w:cs="宋体"/>
          <w:b/>
          <w:bCs/>
          <w:sz w:val="17"/>
          <w:szCs w:val="17"/>
        </w:rPr>
        <w:t>(</w:t>
      </w:r>
      <w:r>
        <w:rPr>
          <w:rFonts w:ascii="宋体" w:hAnsi="宋体" w:eastAsia="宋体" w:cs="宋体"/>
          <w:spacing w:val="-17"/>
          <w:sz w:val="17"/>
          <w:szCs w:val="17"/>
        </w:rPr>
        <w:t xml:space="preserve"> </w:t>
      </w:r>
      <w:r>
        <w:rPr>
          <w:rFonts w:ascii="宋体" w:hAnsi="宋体" w:eastAsia="宋体" w:cs="宋体"/>
          <w:b/>
          <w:bCs/>
          <w:sz w:val="17"/>
          <w:szCs w:val="17"/>
        </w:rPr>
        <w:t>理</w:t>
      </w:r>
      <w:r>
        <w:rPr>
          <w:rFonts w:ascii="宋体" w:hAnsi="宋体" w:eastAsia="宋体" w:cs="宋体"/>
          <w:spacing w:val="-36"/>
          <w:sz w:val="17"/>
          <w:szCs w:val="17"/>
        </w:rPr>
        <w:t xml:space="preserve"> </w:t>
      </w:r>
      <w:r>
        <w:rPr>
          <w:rFonts w:ascii="宋体" w:hAnsi="宋体" w:eastAsia="宋体" w:cs="宋体"/>
          <w:b/>
          <w:bCs/>
          <w:sz w:val="17"/>
          <w:szCs w:val="17"/>
        </w:rPr>
        <w:t>解</w:t>
      </w:r>
      <w:r>
        <w:rPr>
          <w:rFonts w:ascii="宋体" w:hAnsi="宋体" w:eastAsia="宋体" w:cs="宋体"/>
          <w:spacing w:val="-35"/>
          <w:sz w:val="17"/>
          <w:szCs w:val="17"/>
        </w:rPr>
        <w:t xml:space="preserve"> </w:t>
      </w:r>
      <w:r>
        <w:rPr>
          <w:rFonts w:ascii="宋体" w:hAnsi="宋体" w:eastAsia="宋体" w:cs="宋体"/>
          <w:b/>
          <w:bCs/>
          <w:sz w:val="17"/>
          <w:szCs w:val="17"/>
        </w:rPr>
        <w:t>)</w:t>
      </w:r>
      <w:r>
        <w:rPr>
          <w:rFonts w:ascii="宋体" w:hAnsi="宋体" w:eastAsia="宋体" w:cs="宋体"/>
          <w:spacing w:val="-42"/>
          <w:sz w:val="17"/>
          <w:szCs w:val="17"/>
        </w:rPr>
        <w:t xml:space="preserve"> </w:t>
      </w:r>
      <w:r>
        <w:rPr>
          <w:rFonts w:ascii="宋体" w:hAnsi="宋体" w:eastAsia="宋体" w:cs="宋体"/>
          <w:b/>
          <w:bCs/>
          <w:sz w:val="17"/>
          <w:szCs w:val="17"/>
        </w:rPr>
        <w:t>、</w:t>
      </w:r>
      <w:r>
        <w:rPr>
          <w:rFonts w:ascii="Times New Roman" w:hAnsi="Times New Roman" w:eastAsia="Times New Roman" w:cs="Times New Roman"/>
          <w:b/>
          <w:bCs/>
          <w:sz w:val="17"/>
          <w:szCs w:val="17"/>
        </w:rPr>
        <w:t xml:space="preserve">C  </w:t>
      </w:r>
      <w:r>
        <w:rPr>
          <w:rFonts w:ascii="宋体" w:hAnsi="宋体" w:eastAsia="宋体" w:cs="宋体"/>
          <w:b/>
          <w:bCs/>
          <w:sz w:val="17"/>
          <w:szCs w:val="17"/>
        </w:rPr>
        <w:t>(</w:t>
      </w:r>
      <w:r>
        <w:rPr>
          <w:rFonts w:ascii="宋体" w:hAnsi="宋体" w:eastAsia="宋体" w:cs="宋体"/>
          <w:spacing w:val="-31"/>
          <w:sz w:val="17"/>
          <w:szCs w:val="17"/>
        </w:rPr>
        <w:t xml:space="preserve"> </w:t>
      </w:r>
      <w:r>
        <w:rPr>
          <w:rFonts w:ascii="宋体" w:hAnsi="宋体" w:eastAsia="宋体" w:cs="宋体"/>
          <w:b/>
          <w:bCs/>
          <w:sz w:val="17"/>
          <w:szCs w:val="17"/>
        </w:rPr>
        <w:t>掌</w:t>
      </w:r>
      <w:r>
        <w:rPr>
          <w:rFonts w:ascii="宋体" w:hAnsi="宋体" w:eastAsia="宋体" w:cs="宋体"/>
          <w:spacing w:val="-35"/>
          <w:sz w:val="17"/>
          <w:szCs w:val="17"/>
        </w:rPr>
        <w:t xml:space="preserve"> </w:t>
      </w:r>
      <w:r>
        <w:rPr>
          <w:rFonts w:ascii="宋体" w:hAnsi="宋体" w:eastAsia="宋体" w:cs="宋体"/>
          <w:b/>
          <w:bCs/>
          <w:sz w:val="17"/>
          <w:szCs w:val="17"/>
        </w:rPr>
        <w:t>握</w:t>
      </w:r>
      <w:r>
        <w:rPr>
          <w:rFonts w:ascii="宋体" w:hAnsi="宋体" w:eastAsia="宋体" w:cs="宋体"/>
          <w:spacing w:val="-35"/>
          <w:sz w:val="17"/>
          <w:szCs w:val="17"/>
        </w:rPr>
        <w:t xml:space="preserve"> </w:t>
      </w:r>
      <w:r>
        <w:rPr>
          <w:rFonts w:ascii="宋体" w:hAnsi="宋体" w:eastAsia="宋体" w:cs="宋体"/>
          <w:b/>
          <w:bCs/>
          <w:sz w:val="17"/>
          <w:szCs w:val="17"/>
        </w:rPr>
        <w:t>)</w:t>
      </w:r>
      <w:r>
        <w:rPr>
          <w:rFonts w:ascii="宋体" w:hAnsi="宋体" w:eastAsia="宋体" w:cs="宋体"/>
          <w:spacing w:val="-43"/>
          <w:sz w:val="17"/>
          <w:szCs w:val="17"/>
        </w:rPr>
        <w:t xml:space="preserve"> </w:t>
      </w:r>
      <w:r>
        <w:rPr>
          <w:rFonts w:ascii="宋体" w:hAnsi="宋体" w:eastAsia="宋体" w:cs="宋体"/>
          <w:b/>
          <w:bCs/>
          <w:sz w:val="17"/>
          <w:szCs w:val="17"/>
        </w:rPr>
        <w:t>、</w:t>
      </w:r>
      <w:r>
        <w:rPr>
          <w:rFonts w:ascii="Times New Roman" w:hAnsi="Times New Roman" w:eastAsia="Times New Roman" w:cs="Times New Roman"/>
          <w:b/>
          <w:bCs/>
          <w:sz w:val="17"/>
          <w:szCs w:val="17"/>
        </w:rPr>
        <w:t xml:space="preserve">D   </w:t>
      </w:r>
      <w:r>
        <w:rPr>
          <w:rFonts w:ascii="宋体" w:hAnsi="宋体" w:eastAsia="宋体" w:cs="宋体"/>
          <w:b/>
          <w:bCs/>
          <w:sz w:val="17"/>
          <w:szCs w:val="17"/>
        </w:rPr>
        <w:t>(综合运用)。每一较高层</w:t>
      </w:r>
      <w:r>
        <w:rPr>
          <w:rFonts w:ascii="宋体" w:hAnsi="宋体" w:eastAsia="宋体" w:cs="宋体"/>
          <w:sz w:val="17"/>
          <w:szCs w:val="17"/>
        </w:rPr>
        <w:t xml:space="preserve"> </w:t>
      </w:r>
      <w:r>
        <w:rPr>
          <w:rFonts w:ascii="宋体" w:hAnsi="宋体" w:eastAsia="宋体" w:cs="宋体"/>
          <w:b/>
          <w:bCs/>
          <w:spacing w:val="-3"/>
          <w:sz w:val="17"/>
          <w:szCs w:val="17"/>
        </w:rPr>
        <w:t>次同时包含其较低层次的考试水平。其具体含义</w:t>
      </w:r>
      <w:r>
        <w:rPr>
          <w:rFonts w:ascii="宋体" w:hAnsi="宋体" w:eastAsia="宋体" w:cs="宋体"/>
          <w:b/>
          <w:bCs/>
          <w:spacing w:val="-4"/>
          <w:sz w:val="17"/>
          <w:szCs w:val="17"/>
        </w:rPr>
        <w:t>为：</w:t>
      </w:r>
    </w:p>
    <w:p w14:paraId="25770458">
      <w:pPr>
        <w:spacing w:before="24" w:line="219" w:lineRule="auto"/>
        <w:ind w:right="23"/>
        <w:jc w:val="right"/>
        <w:rPr>
          <w:rFonts w:ascii="宋体" w:hAnsi="宋体" w:eastAsia="宋体" w:cs="宋体"/>
          <w:sz w:val="17"/>
          <w:szCs w:val="17"/>
        </w:rPr>
      </w:pPr>
      <w:r>
        <w:rPr>
          <w:rFonts w:ascii="Times New Roman" w:hAnsi="Times New Roman" w:eastAsia="Times New Roman" w:cs="Times New Roman"/>
          <w:b/>
          <w:bCs/>
          <w:spacing w:val="13"/>
          <w:sz w:val="17"/>
          <w:szCs w:val="17"/>
        </w:rPr>
        <w:t>A</w:t>
      </w:r>
      <w:r>
        <w:rPr>
          <w:rFonts w:ascii="宋体" w:hAnsi="宋体" w:eastAsia="宋体" w:cs="宋体"/>
          <w:b/>
          <w:bCs/>
          <w:spacing w:val="13"/>
          <w:sz w:val="17"/>
          <w:szCs w:val="17"/>
        </w:rPr>
        <w:t>(识记):主要考查考生对专业基础知识的识别</w:t>
      </w:r>
    </w:p>
    <w:p w14:paraId="377EEAB3">
      <w:pPr>
        <w:spacing w:before="79" w:line="299" w:lineRule="auto"/>
        <w:ind w:right="21"/>
        <w:rPr>
          <w:rFonts w:ascii="宋体" w:hAnsi="宋体" w:eastAsia="宋体" w:cs="宋体"/>
          <w:sz w:val="17"/>
          <w:szCs w:val="17"/>
        </w:rPr>
      </w:pPr>
      <w:r>
        <w:rPr>
          <w:rFonts w:ascii="宋体" w:hAnsi="宋体" w:eastAsia="宋体" w:cs="宋体"/>
          <w:spacing w:val="10"/>
          <w:sz w:val="17"/>
          <w:szCs w:val="17"/>
        </w:rPr>
        <w:t>和记忆水平，要求考生能正确地辨别、再认或再现相</w:t>
      </w:r>
      <w:r>
        <w:rPr>
          <w:rFonts w:ascii="宋体" w:hAnsi="宋体" w:eastAsia="宋体" w:cs="宋体"/>
          <w:spacing w:val="2"/>
          <w:sz w:val="17"/>
          <w:szCs w:val="17"/>
        </w:rPr>
        <w:t xml:space="preserve"> 应的基础知识，如要求学生能从题目所提供的材料中识</w:t>
      </w:r>
      <w:r>
        <w:rPr>
          <w:rFonts w:ascii="宋体" w:hAnsi="宋体" w:eastAsia="宋体" w:cs="宋体"/>
          <w:spacing w:val="11"/>
          <w:sz w:val="17"/>
          <w:szCs w:val="17"/>
        </w:rPr>
        <w:t xml:space="preserve"> </w:t>
      </w:r>
      <w:r>
        <w:rPr>
          <w:rFonts w:ascii="宋体" w:hAnsi="宋体" w:eastAsia="宋体" w:cs="宋体"/>
          <w:spacing w:val="9"/>
          <w:sz w:val="17"/>
          <w:szCs w:val="17"/>
        </w:rPr>
        <w:t>别出学过的知识(再认)或者能按题目要求复述学过的</w:t>
      </w:r>
      <w:r>
        <w:rPr>
          <w:rFonts w:ascii="宋体" w:hAnsi="宋体" w:eastAsia="宋体" w:cs="宋体"/>
          <w:spacing w:val="16"/>
          <w:sz w:val="17"/>
          <w:szCs w:val="17"/>
        </w:rPr>
        <w:t xml:space="preserve"> </w:t>
      </w:r>
      <w:r>
        <w:rPr>
          <w:rFonts w:ascii="宋体" w:hAnsi="宋体" w:eastAsia="宋体" w:cs="宋体"/>
          <w:spacing w:val="9"/>
          <w:sz w:val="17"/>
          <w:szCs w:val="17"/>
        </w:rPr>
        <w:t>知识(再现)。即在记忆水平上考核考生的学习成</w:t>
      </w:r>
      <w:r>
        <w:rPr>
          <w:rFonts w:ascii="宋体" w:hAnsi="宋体" w:eastAsia="宋体" w:cs="宋体"/>
          <w:spacing w:val="8"/>
          <w:sz w:val="17"/>
          <w:szCs w:val="17"/>
        </w:rPr>
        <w:t>果。</w:t>
      </w:r>
      <w:r>
        <w:rPr>
          <w:rFonts w:ascii="宋体" w:hAnsi="宋体" w:eastAsia="宋体" w:cs="宋体"/>
          <w:sz w:val="17"/>
          <w:szCs w:val="17"/>
        </w:rPr>
        <w:t xml:space="preserve"> </w:t>
      </w:r>
      <w:r>
        <w:rPr>
          <w:rFonts w:ascii="宋体" w:hAnsi="宋体" w:eastAsia="宋体" w:cs="宋体"/>
          <w:spacing w:val="-3"/>
          <w:sz w:val="17"/>
          <w:szCs w:val="17"/>
        </w:rPr>
        <w:t>例如：“注意”的概念。</w:t>
      </w:r>
    </w:p>
    <w:p w14:paraId="1C08145E">
      <w:pPr>
        <w:spacing w:before="113" w:line="299" w:lineRule="auto"/>
        <w:ind w:right="21" w:firstLine="370"/>
        <w:jc w:val="both"/>
        <w:rPr>
          <w:rFonts w:ascii="宋体" w:hAnsi="宋体" w:eastAsia="宋体" w:cs="宋体"/>
          <w:sz w:val="17"/>
          <w:szCs w:val="17"/>
        </w:rPr>
      </w:pPr>
      <w:r>
        <w:rPr>
          <w:rFonts w:ascii="Times New Roman" w:hAnsi="Times New Roman" w:eastAsia="Times New Roman" w:cs="Times New Roman"/>
          <w:spacing w:val="15"/>
          <w:sz w:val="17"/>
          <w:szCs w:val="17"/>
        </w:rPr>
        <w:t>B</w:t>
      </w:r>
      <w:r>
        <w:rPr>
          <w:rFonts w:ascii="宋体" w:hAnsi="宋体" w:eastAsia="宋体" w:cs="宋体"/>
          <w:spacing w:val="15"/>
          <w:sz w:val="17"/>
          <w:szCs w:val="17"/>
        </w:rPr>
        <w:t>(理解):主要考查考生对专业基础知识的理解</w:t>
      </w:r>
      <w:r>
        <w:rPr>
          <w:rFonts w:ascii="宋体" w:hAnsi="宋体" w:eastAsia="宋体" w:cs="宋体"/>
          <w:spacing w:val="6"/>
          <w:sz w:val="17"/>
          <w:szCs w:val="17"/>
        </w:rPr>
        <w:t xml:space="preserve"> </w:t>
      </w:r>
      <w:r>
        <w:rPr>
          <w:rFonts w:ascii="宋体" w:hAnsi="宋体" w:eastAsia="宋体" w:cs="宋体"/>
          <w:spacing w:val="2"/>
          <w:sz w:val="17"/>
          <w:szCs w:val="17"/>
        </w:rPr>
        <w:t>程度。除“识记”的要求外，正确理解所学知识的确切</w:t>
      </w:r>
      <w:r>
        <w:rPr>
          <w:rFonts w:ascii="宋体" w:hAnsi="宋体" w:eastAsia="宋体" w:cs="宋体"/>
          <w:spacing w:val="13"/>
          <w:sz w:val="17"/>
          <w:szCs w:val="17"/>
        </w:rPr>
        <w:t xml:space="preserve"> </w:t>
      </w:r>
      <w:r>
        <w:rPr>
          <w:rFonts w:ascii="宋体" w:hAnsi="宋体" w:eastAsia="宋体" w:cs="宋体"/>
          <w:spacing w:val="1"/>
          <w:sz w:val="17"/>
          <w:szCs w:val="17"/>
        </w:rPr>
        <w:t>含义以及与其相关知识的内在联系。例如：学前儿童生</w:t>
      </w:r>
      <w:r>
        <w:rPr>
          <w:rFonts w:ascii="宋体" w:hAnsi="宋体" w:eastAsia="宋体" w:cs="宋体"/>
          <w:spacing w:val="12"/>
          <w:sz w:val="17"/>
          <w:szCs w:val="17"/>
        </w:rPr>
        <w:t xml:space="preserve"> </w:t>
      </w:r>
      <w:r>
        <w:rPr>
          <w:rFonts w:ascii="宋体" w:hAnsi="宋体" w:eastAsia="宋体" w:cs="宋体"/>
          <w:spacing w:val="6"/>
          <w:sz w:val="17"/>
          <w:szCs w:val="17"/>
        </w:rPr>
        <w:t>长发育的一般规律是什么?有哪些因素影响学前儿童的</w:t>
      </w:r>
      <w:r>
        <w:rPr>
          <w:rFonts w:ascii="宋体" w:hAnsi="宋体" w:eastAsia="宋体" w:cs="宋体"/>
          <w:spacing w:val="3"/>
          <w:sz w:val="17"/>
          <w:szCs w:val="17"/>
        </w:rPr>
        <w:t xml:space="preserve"> </w:t>
      </w:r>
      <w:r>
        <w:rPr>
          <w:rFonts w:ascii="宋体" w:hAnsi="宋体" w:eastAsia="宋体" w:cs="宋体"/>
          <w:spacing w:val="-2"/>
          <w:sz w:val="17"/>
          <w:szCs w:val="17"/>
        </w:rPr>
        <w:t>生长发育?</w:t>
      </w:r>
    </w:p>
    <w:p w14:paraId="348E5D0A">
      <w:pPr>
        <w:spacing w:before="54" w:line="310" w:lineRule="auto"/>
        <w:ind w:right="27" w:firstLine="370"/>
        <w:rPr>
          <w:rFonts w:ascii="宋体" w:hAnsi="宋体" w:eastAsia="宋体" w:cs="宋体"/>
          <w:sz w:val="17"/>
          <w:szCs w:val="17"/>
        </w:rPr>
      </w:pPr>
      <w:r>
        <w:rPr>
          <w:rFonts w:ascii="Times New Roman" w:hAnsi="Times New Roman" w:eastAsia="Times New Roman" w:cs="Times New Roman"/>
          <w:spacing w:val="14"/>
          <w:sz w:val="17"/>
          <w:szCs w:val="17"/>
        </w:rPr>
        <w:t>C</w:t>
      </w:r>
      <w:r>
        <w:rPr>
          <w:rFonts w:ascii="宋体" w:hAnsi="宋体" w:eastAsia="宋体" w:cs="宋体"/>
          <w:spacing w:val="14"/>
          <w:sz w:val="17"/>
          <w:szCs w:val="17"/>
        </w:rPr>
        <w:t>(掌握):主要考查考生对所学专业基础知识、</w:t>
      </w:r>
      <w:r>
        <w:rPr>
          <w:rFonts w:ascii="宋体" w:hAnsi="宋体" w:eastAsia="宋体" w:cs="宋体"/>
          <w:spacing w:val="17"/>
          <w:sz w:val="17"/>
          <w:szCs w:val="17"/>
        </w:rPr>
        <w:t xml:space="preserve"> </w:t>
      </w:r>
      <w:r>
        <w:rPr>
          <w:rFonts w:ascii="宋体" w:hAnsi="宋体" w:eastAsia="宋体" w:cs="宋体"/>
          <w:spacing w:val="2"/>
          <w:sz w:val="17"/>
          <w:szCs w:val="17"/>
        </w:rPr>
        <w:t>基本技能的初步运用能力。要求考生在理解的</w:t>
      </w:r>
      <w:r>
        <w:rPr>
          <w:rFonts w:ascii="宋体" w:hAnsi="宋体" w:eastAsia="宋体" w:cs="宋体"/>
          <w:spacing w:val="1"/>
          <w:sz w:val="17"/>
          <w:szCs w:val="17"/>
        </w:rPr>
        <w:t>基础上，</w:t>
      </w:r>
      <w:r>
        <w:rPr>
          <w:rFonts w:ascii="宋体" w:hAnsi="宋体" w:eastAsia="宋体" w:cs="宋体"/>
          <w:sz w:val="17"/>
          <w:szCs w:val="17"/>
        </w:rPr>
        <w:t xml:space="preserve"> </w:t>
      </w:r>
      <w:r>
        <w:rPr>
          <w:rFonts w:ascii="宋体" w:hAnsi="宋体" w:eastAsia="宋体" w:cs="宋体"/>
          <w:spacing w:val="2"/>
          <w:sz w:val="17"/>
          <w:szCs w:val="17"/>
        </w:rPr>
        <w:t>用所学过的知识及方法解决新情况下出现的简</w:t>
      </w:r>
      <w:r>
        <w:rPr>
          <w:rFonts w:ascii="宋体" w:hAnsi="宋体" w:eastAsia="宋体" w:cs="宋体"/>
          <w:spacing w:val="1"/>
          <w:sz w:val="17"/>
          <w:szCs w:val="17"/>
        </w:rPr>
        <w:t>单问题。</w:t>
      </w:r>
      <w:r>
        <w:rPr>
          <w:rFonts w:ascii="宋体" w:hAnsi="宋体" w:eastAsia="宋体" w:cs="宋体"/>
          <w:sz w:val="17"/>
          <w:szCs w:val="17"/>
        </w:rPr>
        <w:t xml:space="preserve"> </w:t>
      </w:r>
      <w:r>
        <w:rPr>
          <w:rFonts w:ascii="宋体" w:hAnsi="宋体" w:eastAsia="宋体" w:cs="宋体"/>
          <w:spacing w:val="2"/>
          <w:sz w:val="17"/>
          <w:szCs w:val="17"/>
        </w:rPr>
        <w:t>例如：根据学前儿童膳食的特点与平衡膳食的要求，分</w:t>
      </w:r>
      <w:r>
        <w:rPr>
          <w:rFonts w:ascii="宋体" w:hAnsi="宋体" w:eastAsia="宋体" w:cs="宋体"/>
          <w:spacing w:val="8"/>
          <w:sz w:val="17"/>
          <w:szCs w:val="17"/>
        </w:rPr>
        <w:t xml:space="preserve"> </w:t>
      </w:r>
      <w:r>
        <w:rPr>
          <w:rFonts w:ascii="宋体" w:hAnsi="宋体" w:eastAsia="宋体" w:cs="宋体"/>
          <w:spacing w:val="-4"/>
          <w:sz w:val="17"/>
          <w:szCs w:val="17"/>
        </w:rPr>
        <w:t>析出现的问题。</w:t>
      </w:r>
    </w:p>
    <w:p w14:paraId="291ABB33">
      <w:pPr>
        <w:spacing w:before="23" w:line="306" w:lineRule="auto"/>
        <w:ind w:right="21" w:firstLine="370"/>
        <w:jc w:val="both"/>
        <w:rPr>
          <w:rFonts w:ascii="宋体" w:hAnsi="宋体" w:eastAsia="宋体" w:cs="宋体"/>
          <w:sz w:val="17"/>
          <w:szCs w:val="17"/>
        </w:rPr>
      </w:pPr>
      <w:r>
        <w:rPr>
          <w:rFonts w:ascii="Times New Roman" w:hAnsi="Times New Roman" w:eastAsia="Times New Roman" w:cs="Times New Roman"/>
          <w:spacing w:val="15"/>
          <w:sz w:val="17"/>
          <w:szCs w:val="17"/>
        </w:rPr>
        <w:t>D</w:t>
      </w:r>
      <w:r>
        <w:rPr>
          <w:rFonts w:ascii="宋体" w:hAnsi="宋体" w:eastAsia="宋体" w:cs="宋体"/>
          <w:spacing w:val="15"/>
          <w:sz w:val="17"/>
          <w:szCs w:val="17"/>
        </w:rPr>
        <w:t>(综合运用):主要考查考生对所学专业基础知</w:t>
      </w:r>
      <w:r>
        <w:rPr>
          <w:rFonts w:ascii="宋体" w:hAnsi="宋体" w:eastAsia="宋体" w:cs="宋体"/>
          <w:spacing w:val="4"/>
          <w:sz w:val="17"/>
          <w:szCs w:val="17"/>
        </w:rPr>
        <w:t xml:space="preserve"> </w:t>
      </w:r>
      <w:r>
        <w:rPr>
          <w:rFonts w:ascii="宋体" w:hAnsi="宋体" w:eastAsia="宋体" w:cs="宋体"/>
          <w:spacing w:val="2"/>
          <w:sz w:val="17"/>
          <w:szCs w:val="17"/>
        </w:rPr>
        <w:t>识的综合运用能力。要求考生在对专业基础知识掌握的</w:t>
      </w:r>
      <w:r>
        <w:rPr>
          <w:rFonts w:ascii="宋体" w:hAnsi="宋体" w:eastAsia="宋体" w:cs="宋体"/>
          <w:spacing w:val="14"/>
          <w:sz w:val="17"/>
          <w:szCs w:val="17"/>
        </w:rPr>
        <w:t xml:space="preserve"> </w:t>
      </w:r>
      <w:r>
        <w:rPr>
          <w:rFonts w:ascii="宋体" w:hAnsi="宋体" w:eastAsia="宋体" w:cs="宋体"/>
          <w:spacing w:val="-2"/>
          <w:sz w:val="17"/>
          <w:szCs w:val="17"/>
        </w:rPr>
        <w:t>基础上，具有系统的、灵活的、较强的综合应用能力。</w:t>
      </w:r>
    </w:p>
    <w:p w14:paraId="40BA18EC">
      <w:pPr>
        <w:spacing w:before="24" w:line="301" w:lineRule="auto"/>
        <w:ind w:right="22" w:firstLine="370"/>
        <w:rPr>
          <w:rFonts w:ascii="宋体" w:hAnsi="宋体" w:eastAsia="宋体" w:cs="宋体"/>
          <w:sz w:val="17"/>
          <w:szCs w:val="17"/>
        </w:rPr>
      </w:pPr>
      <w:r>
        <w:rPr>
          <w:rFonts w:ascii="宋体" w:hAnsi="宋体" w:eastAsia="宋体" w:cs="宋体"/>
          <w:spacing w:val="1"/>
          <w:sz w:val="17"/>
          <w:szCs w:val="17"/>
        </w:rPr>
        <w:t>例如：根据学前儿童心理发展的特点分析幼儿活动</w:t>
      </w:r>
      <w:r>
        <w:rPr>
          <w:rFonts w:ascii="宋体" w:hAnsi="宋体" w:eastAsia="宋体" w:cs="宋体"/>
          <w:spacing w:val="9"/>
          <w:sz w:val="17"/>
          <w:szCs w:val="17"/>
        </w:rPr>
        <w:t xml:space="preserve"> </w:t>
      </w:r>
      <w:r>
        <w:rPr>
          <w:rFonts w:ascii="宋体" w:hAnsi="宋体" w:eastAsia="宋体" w:cs="宋体"/>
          <w:spacing w:val="-3"/>
          <w:sz w:val="17"/>
          <w:szCs w:val="17"/>
        </w:rPr>
        <w:t>室的布置或设计教育活动等。</w:t>
      </w:r>
    </w:p>
    <w:p w14:paraId="67263879">
      <w:pPr>
        <w:spacing w:before="23" w:line="221" w:lineRule="auto"/>
        <w:ind w:left="3"/>
        <w:rPr>
          <w:rFonts w:ascii="黑体" w:hAnsi="黑体" w:eastAsia="黑体" w:cs="黑体"/>
          <w:sz w:val="23"/>
          <w:szCs w:val="23"/>
        </w:rPr>
      </w:pPr>
      <w:r>
        <w:rPr>
          <w:rFonts w:ascii="黑体" w:hAnsi="黑体" w:eastAsia="黑体" w:cs="黑体"/>
          <w:b/>
          <w:bCs/>
          <w:spacing w:val="-7"/>
          <w:sz w:val="23"/>
          <w:szCs w:val="23"/>
        </w:rPr>
        <w:t>三、考试内容</w:t>
      </w:r>
    </w:p>
    <w:p w14:paraId="13E2FBD3">
      <w:pPr>
        <w:pStyle w:val="2"/>
        <w:spacing w:line="300" w:lineRule="auto"/>
      </w:pPr>
    </w:p>
    <w:p w14:paraId="3FF9FD39">
      <w:pPr>
        <w:spacing w:before="75" w:line="219" w:lineRule="auto"/>
        <w:ind w:left="503"/>
        <w:rPr>
          <w:rFonts w:ascii="宋体" w:hAnsi="宋体" w:eastAsia="宋体" w:cs="宋体"/>
          <w:sz w:val="23"/>
          <w:szCs w:val="23"/>
        </w:rPr>
      </w:pPr>
      <w:r>
        <w:rPr>
          <w:rFonts w:ascii="宋体" w:hAnsi="宋体" w:eastAsia="宋体" w:cs="宋体"/>
          <w:b/>
          <w:bCs/>
          <w:spacing w:val="-6"/>
          <w:sz w:val="23"/>
          <w:szCs w:val="23"/>
        </w:rPr>
        <w:t>第一部分</w:t>
      </w:r>
      <w:r>
        <w:rPr>
          <w:rFonts w:ascii="宋体" w:hAnsi="宋体" w:eastAsia="宋体" w:cs="宋体"/>
          <w:spacing w:val="-6"/>
          <w:sz w:val="23"/>
          <w:szCs w:val="23"/>
        </w:rPr>
        <w:t xml:space="preserve">  </w:t>
      </w:r>
      <w:r>
        <w:rPr>
          <w:rFonts w:ascii="宋体" w:hAnsi="宋体" w:eastAsia="宋体" w:cs="宋体"/>
          <w:b/>
          <w:bCs/>
          <w:spacing w:val="-6"/>
          <w:sz w:val="23"/>
          <w:szCs w:val="23"/>
        </w:rPr>
        <w:t>学前儿童卫生与保健</w:t>
      </w:r>
    </w:p>
    <w:p w14:paraId="4C90C5AA">
      <w:pPr>
        <w:spacing w:before="315" w:line="221" w:lineRule="auto"/>
        <w:ind w:left="3"/>
        <w:rPr>
          <w:rFonts w:ascii="黑体" w:hAnsi="黑体" w:eastAsia="黑体" w:cs="黑体"/>
          <w:sz w:val="23"/>
          <w:szCs w:val="23"/>
        </w:rPr>
      </w:pPr>
      <w:r>
        <w:rPr>
          <w:rFonts w:ascii="黑体" w:hAnsi="黑体" w:eastAsia="黑体" w:cs="黑体"/>
          <w:b/>
          <w:bCs/>
          <w:spacing w:val="-4"/>
          <w:sz w:val="23"/>
          <w:szCs w:val="23"/>
        </w:rPr>
        <w:t>一、学前儿童的生理发育特点与保健</w:t>
      </w:r>
    </w:p>
    <w:p w14:paraId="07489E1E">
      <w:pPr>
        <w:spacing w:line="136" w:lineRule="exact"/>
      </w:pPr>
    </w:p>
    <w:tbl>
      <w:tblPr>
        <w:tblStyle w:val="5"/>
        <w:tblW w:w="4130" w:type="dxa"/>
        <w:tblInd w:w="2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33"/>
        <w:gridCol w:w="2484"/>
        <w:gridCol w:w="229"/>
        <w:gridCol w:w="220"/>
        <w:gridCol w:w="230"/>
        <w:gridCol w:w="234"/>
      </w:tblGrid>
      <w:tr w14:paraId="5190BA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4" w:hRule="atLeast"/>
        </w:trPr>
        <w:tc>
          <w:tcPr>
            <w:tcW w:w="733" w:type="dxa"/>
            <w:vMerge w:val="restart"/>
            <w:tcBorders>
              <w:bottom w:val="nil"/>
            </w:tcBorders>
            <w:vAlign w:val="top"/>
          </w:tcPr>
          <w:p w14:paraId="7A080F25">
            <w:pPr>
              <w:pStyle w:val="6"/>
              <w:spacing w:before="21" w:line="216" w:lineRule="auto"/>
              <w:ind w:left="86" w:hanging="69"/>
              <w:rPr>
                <w:sz w:val="18"/>
                <w:szCs w:val="18"/>
              </w:rPr>
            </w:pPr>
            <w:r>
              <w:rPr>
                <w:b/>
                <w:bCs/>
                <w:spacing w:val="-6"/>
                <w:sz w:val="18"/>
                <w:szCs w:val="18"/>
              </w:rPr>
              <w:t>知识与技</w:t>
            </w:r>
            <w:r>
              <w:rPr>
                <w:sz w:val="18"/>
                <w:szCs w:val="18"/>
              </w:rPr>
              <w:t xml:space="preserve"> </w:t>
            </w:r>
            <w:r>
              <w:rPr>
                <w:b/>
                <w:bCs/>
                <w:sz w:val="18"/>
                <w:szCs w:val="18"/>
              </w:rPr>
              <w:t>能要点</w:t>
            </w:r>
          </w:p>
        </w:tc>
        <w:tc>
          <w:tcPr>
            <w:tcW w:w="2484" w:type="dxa"/>
            <w:vMerge w:val="restart"/>
            <w:tcBorders>
              <w:bottom w:val="nil"/>
            </w:tcBorders>
            <w:vAlign w:val="top"/>
          </w:tcPr>
          <w:p w14:paraId="4675E84E">
            <w:pPr>
              <w:pStyle w:val="6"/>
              <w:spacing w:before="139" w:line="219" w:lineRule="auto"/>
              <w:ind w:left="924"/>
              <w:rPr>
                <w:sz w:val="18"/>
                <w:szCs w:val="18"/>
              </w:rPr>
            </w:pPr>
            <w:r>
              <w:rPr>
                <w:b/>
                <w:bCs/>
                <w:spacing w:val="5"/>
                <w:sz w:val="18"/>
                <w:szCs w:val="18"/>
              </w:rPr>
              <w:t>考试条目</w:t>
            </w:r>
          </w:p>
        </w:tc>
        <w:tc>
          <w:tcPr>
            <w:tcW w:w="913" w:type="dxa"/>
            <w:gridSpan w:val="4"/>
            <w:vAlign w:val="top"/>
          </w:tcPr>
          <w:p w14:paraId="051D4B60">
            <w:pPr>
              <w:pStyle w:val="6"/>
              <w:spacing w:before="19" w:line="199" w:lineRule="auto"/>
              <w:ind w:left="130"/>
              <w:rPr>
                <w:sz w:val="18"/>
                <w:szCs w:val="18"/>
              </w:rPr>
            </w:pPr>
            <w:r>
              <w:rPr>
                <w:b/>
                <w:bCs/>
                <w:spacing w:val="-4"/>
                <w:sz w:val="18"/>
                <w:szCs w:val="18"/>
              </w:rPr>
              <w:t>考试水平</w:t>
            </w:r>
          </w:p>
        </w:tc>
      </w:tr>
      <w:tr w14:paraId="070DCD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9" w:hRule="atLeast"/>
        </w:trPr>
        <w:tc>
          <w:tcPr>
            <w:tcW w:w="733" w:type="dxa"/>
            <w:vMerge w:val="continue"/>
            <w:tcBorders>
              <w:top w:val="nil"/>
            </w:tcBorders>
            <w:vAlign w:val="top"/>
          </w:tcPr>
          <w:p w14:paraId="5C9ACC42">
            <w:pPr>
              <w:rPr>
                <w:rFonts w:ascii="Arial"/>
                <w:sz w:val="21"/>
              </w:rPr>
            </w:pPr>
          </w:p>
        </w:tc>
        <w:tc>
          <w:tcPr>
            <w:tcW w:w="2484" w:type="dxa"/>
            <w:vMerge w:val="continue"/>
            <w:tcBorders>
              <w:top w:val="nil"/>
            </w:tcBorders>
            <w:vAlign w:val="top"/>
          </w:tcPr>
          <w:p w14:paraId="6BB94025">
            <w:pPr>
              <w:rPr>
                <w:rFonts w:ascii="Arial"/>
                <w:sz w:val="21"/>
              </w:rPr>
            </w:pPr>
          </w:p>
        </w:tc>
        <w:tc>
          <w:tcPr>
            <w:tcW w:w="229" w:type="dxa"/>
            <w:vAlign w:val="top"/>
          </w:tcPr>
          <w:p w14:paraId="68040C13">
            <w:pPr>
              <w:pStyle w:val="6"/>
              <w:spacing w:before="63" w:line="145" w:lineRule="exact"/>
              <w:ind w:left="70"/>
              <w:rPr>
                <w:sz w:val="18"/>
                <w:szCs w:val="18"/>
              </w:rPr>
            </w:pPr>
            <w:r>
              <w:rPr>
                <w:b/>
                <w:bCs/>
                <w:spacing w:val="-2"/>
                <w:position w:val="-2"/>
                <w:sz w:val="18"/>
                <w:szCs w:val="18"/>
              </w:rPr>
              <w:t>A</w:t>
            </w:r>
          </w:p>
        </w:tc>
        <w:tc>
          <w:tcPr>
            <w:tcW w:w="220" w:type="dxa"/>
            <w:vAlign w:val="top"/>
          </w:tcPr>
          <w:p w14:paraId="4B070FCB">
            <w:pPr>
              <w:pStyle w:val="6"/>
              <w:spacing w:before="66" w:line="142" w:lineRule="exact"/>
              <w:ind w:left="61"/>
              <w:rPr>
                <w:sz w:val="18"/>
                <w:szCs w:val="18"/>
              </w:rPr>
            </w:pPr>
            <w:r>
              <w:rPr>
                <w:b/>
                <w:bCs/>
                <w:spacing w:val="-2"/>
                <w:position w:val="-2"/>
                <w:sz w:val="18"/>
                <w:szCs w:val="18"/>
              </w:rPr>
              <w:t>B</w:t>
            </w:r>
          </w:p>
        </w:tc>
        <w:tc>
          <w:tcPr>
            <w:tcW w:w="230" w:type="dxa"/>
            <w:vAlign w:val="top"/>
          </w:tcPr>
          <w:p w14:paraId="56924A26">
            <w:pPr>
              <w:pStyle w:val="6"/>
              <w:spacing w:before="64" w:line="144" w:lineRule="exact"/>
              <w:ind w:left="49"/>
              <w:rPr>
                <w:sz w:val="18"/>
                <w:szCs w:val="18"/>
              </w:rPr>
            </w:pPr>
            <w:r>
              <w:rPr>
                <w:position w:val="-2"/>
                <w:sz w:val="18"/>
                <w:szCs w:val="18"/>
              </w:rPr>
              <w:t>C</w:t>
            </w:r>
          </w:p>
        </w:tc>
        <w:tc>
          <w:tcPr>
            <w:tcW w:w="234" w:type="dxa"/>
            <w:vAlign w:val="top"/>
          </w:tcPr>
          <w:p w14:paraId="2363BEA5">
            <w:pPr>
              <w:pStyle w:val="6"/>
              <w:spacing w:before="66" w:line="142" w:lineRule="exact"/>
              <w:ind w:left="68"/>
              <w:rPr>
                <w:sz w:val="18"/>
                <w:szCs w:val="18"/>
              </w:rPr>
            </w:pPr>
            <w:r>
              <w:rPr>
                <w:position w:val="-2"/>
                <w:sz w:val="18"/>
                <w:szCs w:val="18"/>
              </w:rPr>
              <w:t>D</w:t>
            </w:r>
          </w:p>
        </w:tc>
      </w:tr>
      <w:tr w14:paraId="2FE4D4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98" w:hRule="atLeast"/>
        </w:trPr>
        <w:tc>
          <w:tcPr>
            <w:tcW w:w="733" w:type="dxa"/>
            <w:vAlign w:val="top"/>
          </w:tcPr>
          <w:p w14:paraId="2385D87D">
            <w:pPr>
              <w:pStyle w:val="6"/>
              <w:spacing w:before="159" w:line="224" w:lineRule="auto"/>
              <w:ind w:left="175" w:right="194"/>
              <w:rPr>
                <w:sz w:val="18"/>
                <w:szCs w:val="18"/>
              </w:rPr>
            </w:pPr>
            <w:r>
              <w:rPr>
                <w:spacing w:val="-4"/>
                <w:sz w:val="18"/>
                <w:szCs w:val="18"/>
              </w:rPr>
              <w:t>运动</w:t>
            </w:r>
            <w:r>
              <w:rPr>
                <w:sz w:val="18"/>
                <w:szCs w:val="18"/>
              </w:rPr>
              <w:t xml:space="preserve"> </w:t>
            </w:r>
            <w:r>
              <w:rPr>
                <w:spacing w:val="-6"/>
                <w:sz w:val="18"/>
                <w:szCs w:val="18"/>
              </w:rPr>
              <w:t>系统</w:t>
            </w:r>
          </w:p>
        </w:tc>
        <w:tc>
          <w:tcPr>
            <w:tcW w:w="2484" w:type="dxa"/>
            <w:vAlign w:val="top"/>
          </w:tcPr>
          <w:p w14:paraId="4CEAD887">
            <w:pPr>
              <w:pStyle w:val="6"/>
              <w:spacing w:before="30" w:line="223" w:lineRule="auto"/>
              <w:ind w:left="12" w:right="285"/>
              <w:jc w:val="both"/>
              <w:rPr>
                <w:sz w:val="18"/>
                <w:szCs w:val="18"/>
              </w:rPr>
            </w:pPr>
            <w:r>
              <w:rPr>
                <w:sz w:val="18"/>
                <w:szCs w:val="18"/>
              </w:rPr>
              <w:t>1.运动系统的组成及其功能</w:t>
            </w:r>
            <w:r>
              <w:rPr>
                <w:spacing w:val="8"/>
                <w:sz w:val="18"/>
                <w:szCs w:val="18"/>
              </w:rPr>
              <w:t xml:space="preserve"> </w:t>
            </w:r>
            <w:r>
              <w:rPr>
                <w:spacing w:val="1"/>
                <w:sz w:val="18"/>
                <w:szCs w:val="18"/>
              </w:rPr>
              <w:t>2.学前儿童运动系统的特点</w:t>
            </w:r>
            <w:r>
              <w:rPr>
                <w:spacing w:val="2"/>
                <w:sz w:val="18"/>
                <w:szCs w:val="18"/>
              </w:rPr>
              <w:t xml:space="preserve"> </w:t>
            </w:r>
            <w:r>
              <w:rPr>
                <w:spacing w:val="-1"/>
                <w:sz w:val="18"/>
                <w:szCs w:val="18"/>
              </w:rPr>
              <w:t>3.学前儿童运动系统的保健</w:t>
            </w:r>
          </w:p>
        </w:tc>
        <w:tc>
          <w:tcPr>
            <w:tcW w:w="229" w:type="dxa"/>
            <w:vAlign w:val="top"/>
          </w:tcPr>
          <w:p w14:paraId="2FED0D98">
            <w:pPr>
              <w:pStyle w:val="6"/>
              <w:spacing w:before="68" w:line="238" w:lineRule="auto"/>
              <w:ind w:left="48"/>
              <w:rPr>
                <w:sz w:val="12"/>
                <w:szCs w:val="12"/>
              </w:rPr>
            </w:pPr>
            <w:r>
              <w:rPr>
                <w:sz w:val="12"/>
                <w:szCs w:val="12"/>
              </w:rPr>
              <w:t>√</w:t>
            </w:r>
          </w:p>
        </w:tc>
        <w:tc>
          <w:tcPr>
            <w:tcW w:w="220" w:type="dxa"/>
            <w:vAlign w:val="top"/>
          </w:tcPr>
          <w:p w14:paraId="2965CE1B">
            <w:pPr>
              <w:spacing w:line="258" w:lineRule="auto"/>
              <w:rPr>
                <w:rFonts w:ascii="Arial"/>
                <w:sz w:val="21"/>
              </w:rPr>
            </w:pPr>
          </w:p>
          <w:p w14:paraId="640AB742">
            <w:pPr>
              <w:pStyle w:val="6"/>
              <w:spacing w:before="39" w:line="238" w:lineRule="auto"/>
              <w:ind w:left="48"/>
              <w:rPr>
                <w:sz w:val="12"/>
                <w:szCs w:val="12"/>
              </w:rPr>
            </w:pPr>
            <w:r>
              <w:rPr>
                <w:sz w:val="12"/>
                <w:szCs w:val="12"/>
              </w:rPr>
              <w:t>√</w:t>
            </w:r>
          </w:p>
        </w:tc>
        <w:tc>
          <w:tcPr>
            <w:tcW w:w="230" w:type="dxa"/>
            <w:vAlign w:val="top"/>
          </w:tcPr>
          <w:p w14:paraId="4BC406B7">
            <w:pPr>
              <w:rPr>
                <w:rFonts w:ascii="Arial"/>
                <w:sz w:val="21"/>
              </w:rPr>
            </w:pPr>
          </w:p>
        </w:tc>
        <w:tc>
          <w:tcPr>
            <w:tcW w:w="234" w:type="dxa"/>
            <w:vAlign w:val="top"/>
          </w:tcPr>
          <w:p w14:paraId="32146B57">
            <w:pPr>
              <w:spacing w:line="427" w:lineRule="auto"/>
              <w:rPr>
                <w:rFonts w:ascii="Arial"/>
                <w:sz w:val="21"/>
              </w:rPr>
            </w:pPr>
          </w:p>
          <w:p w14:paraId="2C9083A8">
            <w:pPr>
              <w:pStyle w:val="6"/>
              <w:spacing w:before="39" w:line="238" w:lineRule="auto"/>
              <w:ind w:left="49"/>
              <w:rPr>
                <w:sz w:val="12"/>
                <w:szCs w:val="12"/>
              </w:rPr>
            </w:pPr>
            <w:r>
              <w:rPr>
                <w:sz w:val="12"/>
                <w:szCs w:val="12"/>
              </w:rPr>
              <w:t>√</w:t>
            </w:r>
          </w:p>
        </w:tc>
      </w:tr>
      <w:tr w14:paraId="7D46D6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5" w:hRule="atLeast"/>
        </w:trPr>
        <w:tc>
          <w:tcPr>
            <w:tcW w:w="733" w:type="dxa"/>
            <w:vMerge w:val="restart"/>
            <w:tcBorders>
              <w:bottom w:val="nil"/>
            </w:tcBorders>
            <w:vAlign w:val="top"/>
          </w:tcPr>
          <w:p w14:paraId="338E320F">
            <w:pPr>
              <w:pStyle w:val="6"/>
              <w:spacing w:before="162" w:line="218" w:lineRule="auto"/>
              <w:ind w:left="175" w:right="180"/>
              <w:rPr>
                <w:sz w:val="18"/>
                <w:szCs w:val="18"/>
              </w:rPr>
            </w:pPr>
            <w:r>
              <w:rPr>
                <w:spacing w:val="3"/>
                <w:sz w:val="18"/>
                <w:szCs w:val="18"/>
              </w:rPr>
              <w:t>呼吸</w:t>
            </w:r>
            <w:r>
              <w:rPr>
                <w:sz w:val="18"/>
                <w:szCs w:val="18"/>
              </w:rPr>
              <w:t xml:space="preserve"> </w:t>
            </w:r>
            <w:r>
              <w:rPr>
                <w:spacing w:val="-3"/>
                <w:sz w:val="18"/>
                <w:szCs w:val="18"/>
              </w:rPr>
              <w:t>系统</w:t>
            </w:r>
          </w:p>
        </w:tc>
        <w:tc>
          <w:tcPr>
            <w:tcW w:w="2484" w:type="dxa"/>
            <w:tcBorders>
              <w:bottom w:val="nil"/>
            </w:tcBorders>
            <w:vAlign w:val="top"/>
          </w:tcPr>
          <w:p w14:paraId="141EB71A">
            <w:pPr>
              <w:pStyle w:val="6"/>
              <w:spacing w:before="31" w:line="188" w:lineRule="auto"/>
              <w:ind w:left="12"/>
              <w:rPr>
                <w:sz w:val="18"/>
                <w:szCs w:val="18"/>
              </w:rPr>
            </w:pPr>
            <w:r>
              <w:rPr>
                <w:sz w:val="18"/>
                <w:szCs w:val="18"/>
              </w:rPr>
              <w:t>1.呼吸系统组成及其功能</w:t>
            </w:r>
          </w:p>
        </w:tc>
        <w:tc>
          <w:tcPr>
            <w:tcW w:w="229" w:type="dxa"/>
            <w:tcBorders>
              <w:bottom w:val="nil"/>
            </w:tcBorders>
            <w:vAlign w:val="top"/>
          </w:tcPr>
          <w:p w14:paraId="6444AC48">
            <w:pPr>
              <w:pStyle w:val="6"/>
              <w:spacing w:before="50" w:line="238" w:lineRule="auto"/>
              <w:ind w:left="18"/>
              <w:rPr>
                <w:sz w:val="12"/>
                <w:szCs w:val="12"/>
              </w:rPr>
            </w:pPr>
            <w:r>
              <w:rPr>
                <w:sz w:val="12"/>
                <w:szCs w:val="12"/>
              </w:rPr>
              <w:t>√</w:t>
            </w:r>
          </w:p>
        </w:tc>
        <w:tc>
          <w:tcPr>
            <w:tcW w:w="220" w:type="dxa"/>
            <w:tcBorders>
              <w:bottom w:val="nil"/>
            </w:tcBorders>
            <w:vAlign w:val="top"/>
          </w:tcPr>
          <w:p w14:paraId="3364349B">
            <w:pPr>
              <w:spacing w:line="215" w:lineRule="exact"/>
              <w:rPr>
                <w:rFonts w:ascii="Arial"/>
                <w:sz w:val="18"/>
              </w:rPr>
            </w:pPr>
          </w:p>
        </w:tc>
        <w:tc>
          <w:tcPr>
            <w:tcW w:w="230" w:type="dxa"/>
            <w:tcBorders>
              <w:bottom w:val="nil"/>
            </w:tcBorders>
            <w:vAlign w:val="top"/>
          </w:tcPr>
          <w:p w14:paraId="22D0E40C">
            <w:pPr>
              <w:spacing w:line="215" w:lineRule="exact"/>
              <w:rPr>
                <w:rFonts w:ascii="Arial"/>
                <w:sz w:val="18"/>
              </w:rPr>
            </w:pPr>
          </w:p>
        </w:tc>
        <w:tc>
          <w:tcPr>
            <w:tcW w:w="234" w:type="dxa"/>
            <w:tcBorders>
              <w:bottom w:val="nil"/>
            </w:tcBorders>
            <w:vAlign w:val="top"/>
          </w:tcPr>
          <w:p w14:paraId="58C411D7">
            <w:pPr>
              <w:spacing w:line="215" w:lineRule="exact"/>
              <w:rPr>
                <w:rFonts w:ascii="Arial"/>
                <w:sz w:val="18"/>
              </w:rPr>
            </w:pPr>
          </w:p>
        </w:tc>
      </w:tr>
      <w:tr w14:paraId="196544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9" w:hRule="atLeast"/>
        </w:trPr>
        <w:tc>
          <w:tcPr>
            <w:tcW w:w="733" w:type="dxa"/>
            <w:vMerge w:val="continue"/>
            <w:tcBorders>
              <w:top w:val="nil"/>
              <w:bottom w:val="nil"/>
            </w:tcBorders>
            <w:vAlign w:val="top"/>
          </w:tcPr>
          <w:p w14:paraId="45D8D498">
            <w:pPr>
              <w:rPr>
                <w:rFonts w:ascii="Arial"/>
                <w:sz w:val="21"/>
              </w:rPr>
            </w:pPr>
          </w:p>
        </w:tc>
        <w:tc>
          <w:tcPr>
            <w:tcW w:w="2484" w:type="dxa"/>
            <w:tcBorders>
              <w:top w:val="nil"/>
              <w:bottom w:val="nil"/>
            </w:tcBorders>
            <w:vAlign w:val="top"/>
          </w:tcPr>
          <w:p w14:paraId="2E8D2A36">
            <w:pPr>
              <w:pStyle w:val="6"/>
              <w:spacing w:before="26" w:line="187" w:lineRule="auto"/>
              <w:ind w:left="12"/>
              <w:rPr>
                <w:sz w:val="18"/>
                <w:szCs w:val="18"/>
              </w:rPr>
            </w:pPr>
            <w:r>
              <w:rPr>
                <w:spacing w:val="1"/>
                <w:sz w:val="18"/>
                <w:szCs w:val="18"/>
              </w:rPr>
              <w:t>2.学前儿童呼吸系统的特点</w:t>
            </w:r>
          </w:p>
        </w:tc>
        <w:tc>
          <w:tcPr>
            <w:tcW w:w="229" w:type="dxa"/>
            <w:tcBorders>
              <w:top w:val="nil"/>
              <w:bottom w:val="nil"/>
            </w:tcBorders>
            <w:vAlign w:val="top"/>
          </w:tcPr>
          <w:p w14:paraId="636246FB">
            <w:pPr>
              <w:spacing w:line="208" w:lineRule="exact"/>
              <w:rPr>
                <w:rFonts w:ascii="Arial"/>
                <w:sz w:val="18"/>
              </w:rPr>
            </w:pPr>
          </w:p>
        </w:tc>
        <w:tc>
          <w:tcPr>
            <w:tcW w:w="220" w:type="dxa"/>
            <w:tcBorders>
              <w:top w:val="nil"/>
              <w:bottom w:val="nil"/>
            </w:tcBorders>
            <w:vAlign w:val="top"/>
          </w:tcPr>
          <w:p w14:paraId="4666E451">
            <w:pPr>
              <w:pStyle w:val="6"/>
              <w:spacing w:before="65" w:line="220" w:lineRule="auto"/>
              <w:ind w:left="48"/>
              <w:rPr>
                <w:sz w:val="12"/>
                <w:szCs w:val="12"/>
              </w:rPr>
            </w:pPr>
            <w:r>
              <w:rPr>
                <w:sz w:val="12"/>
                <w:szCs w:val="12"/>
              </w:rPr>
              <w:t>√</w:t>
            </w:r>
          </w:p>
        </w:tc>
        <w:tc>
          <w:tcPr>
            <w:tcW w:w="230" w:type="dxa"/>
            <w:tcBorders>
              <w:top w:val="nil"/>
              <w:bottom w:val="nil"/>
            </w:tcBorders>
            <w:vAlign w:val="top"/>
          </w:tcPr>
          <w:p w14:paraId="2D2E3013">
            <w:pPr>
              <w:spacing w:line="208" w:lineRule="exact"/>
              <w:rPr>
                <w:rFonts w:ascii="Arial"/>
                <w:sz w:val="18"/>
              </w:rPr>
            </w:pPr>
          </w:p>
        </w:tc>
        <w:tc>
          <w:tcPr>
            <w:tcW w:w="234" w:type="dxa"/>
            <w:tcBorders>
              <w:top w:val="nil"/>
              <w:bottom w:val="nil"/>
            </w:tcBorders>
            <w:vAlign w:val="top"/>
          </w:tcPr>
          <w:p w14:paraId="362D52A1">
            <w:pPr>
              <w:spacing w:line="208" w:lineRule="exact"/>
              <w:rPr>
                <w:rFonts w:ascii="Arial"/>
                <w:sz w:val="18"/>
              </w:rPr>
            </w:pPr>
          </w:p>
        </w:tc>
      </w:tr>
      <w:tr w14:paraId="76DC60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4" w:hRule="atLeast"/>
        </w:trPr>
        <w:tc>
          <w:tcPr>
            <w:tcW w:w="733" w:type="dxa"/>
            <w:vMerge w:val="continue"/>
            <w:tcBorders>
              <w:top w:val="nil"/>
            </w:tcBorders>
            <w:vAlign w:val="top"/>
          </w:tcPr>
          <w:p w14:paraId="24540956">
            <w:pPr>
              <w:rPr>
                <w:rFonts w:ascii="Arial"/>
                <w:sz w:val="21"/>
              </w:rPr>
            </w:pPr>
          </w:p>
        </w:tc>
        <w:tc>
          <w:tcPr>
            <w:tcW w:w="2484" w:type="dxa"/>
            <w:tcBorders>
              <w:top w:val="nil"/>
            </w:tcBorders>
            <w:vAlign w:val="top"/>
          </w:tcPr>
          <w:p w14:paraId="3CC60125">
            <w:pPr>
              <w:pStyle w:val="6"/>
              <w:spacing w:before="27" w:line="202" w:lineRule="auto"/>
              <w:ind w:left="12"/>
              <w:rPr>
                <w:sz w:val="18"/>
                <w:szCs w:val="18"/>
              </w:rPr>
            </w:pPr>
            <w:r>
              <w:rPr>
                <w:spacing w:val="-1"/>
                <w:sz w:val="18"/>
                <w:szCs w:val="18"/>
              </w:rPr>
              <w:t>3.学前儿童呼吸系统的保健</w:t>
            </w:r>
          </w:p>
        </w:tc>
        <w:tc>
          <w:tcPr>
            <w:tcW w:w="229" w:type="dxa"/>
            <w:tcBorders>
              <w:top w:val="nil"/>
            </w:tcBorders>
            <w:vAlign w:val="top"/>
          </w:tcPr>
          <w:p w14:paraId="2D2DCA04">
            <w:pPr>
              <w:spacing w:line="223" w:lineRule="exact"/>
              <w:rPr>
                <w:rFonts w:ascii="Arial"/>
                <w:sz w:val="19"/>
              </w:rPr>
            </w:pPr>
          </w:p>
        </w:tc>
        <w:tc>
          <w:tcPr>
            <w:tcW w:w="220" w:type="dxa"/>
            <w:tcBorders>
              <w:top w:val="nil"/>
            </w:tcBorders>
            <w:vAlign w:val="top"/>
          </w:tcPr>
          <w:p w14:paraId="223D8BFE">
            <w:pPr>
              <w:spacing w:line="223" w:lineRule="exact"/>
              <w:rPr>
                <w:rFonts w:ascii="Arial"/>
                <w:sz w:val="19"/>
              </w:rPr>
            </w:pPr>
          </w:p>
        </w:tc>
        <w:tc>
          <w:tcPr>
            <w:tcW w:w="230" w:type="dxa"/>
            <w:tcBorders>
              <w:top w:val="nil"/>
            </w:tcBorders>
            <w:vAlign w:val="top"/>
          </w:tcPr>
          <w:p w14:paraId="4E628E2B">
            <w:pPr>
              <w:spacing w:line="223" w:lineRule="exact"/>
              <w:rPr>
                <w:rFonts w:ascii="Arial"/>
                <w:sz w:val="19"/>
              </w:rPr>
            </w:pPr>
          </w:p>
        </w:tc>
        <w:tc>
          <w:tcPr>
            <w:tcW w:w="234" w:type="dxa"/>
            <w:tcBorders>
              <w:top w:val="nil"/>
            </w:tcBorders>
            <w:vAlign w:val="top"/>
          </w:tcPr>
          <w:p w14:paraId="04ED3CF1">
            <w:pPr>
              <w:spacing w:line="223" w:lineRule="exact"/>
              <w:rPr>
                <w:rFonts w:ascii="Arial"/>
                <w:sz w:val="19"/>
              </w:rPr>
            </w:pPr>
          </w:p>
        </w:tc>
      </w:tr>
      <w:tr w14:paraId="08477E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0" w:hRule="atLeast"/>
        </w:trPr>
        <w:tc>
          <w:tcPr>
            <w:tcW w:w="733" w:type="dxa"/>
            <w:vMerge w:val="restart"/>
            <w:tcBorders>
              <w:bottom w:val="nil"/>
            </w:tcBorders>
            <w:vAlign w:val="top"/>
          </w:tcPr>
          <w:p w14:paraId="418268A6">
            <w:pPr>
              <w:pStyle w:val="6"/>
              <w:spacing w:before="162" w:line="209" w:lineRule="auto"/>
              <w:ind w:left="175" w:right="194"/>
              <w:rPr>
                <w:sz w:val="18"/>
                <w:szCs w:val="18"/>
              </w:rPr>
            </w:pPr>
            <w:r>
              <w:rPr>
                <w:spacing w:val="-4"/>
                <w:sz w:val="18"/>
                <w:szCs w:val="18"/>
              </w:rPr>
              <w:t>循环</w:t>
            </w:r>
            <w:r>
              <w:rPr>
                <w:sz w:val="18"/>
                <w:szCs w:val="18"/>
              </w:rPr>
              <w:t xml:space="preserve"> </w:t>
            </w:r>
            <w:r>
              <w:rPr>
                <w:spacing w:val="-6"/>
                <w:sz w:val="18"/>
                <w:szCs w:val="18"/>
              </w:rPr>
              <w:t>系统</w:t>
            </w:r>
          </w:p>
        </w:tc>
        <w:tc>
          <w:tcPr>
            <w:tcW w:w="2484" w:type="dxa"/>
            <w:tcBorders>
              <w:bottom w:val="nil"/>
            </w:tcBorders>
            <w:vAlign w:val="top"/>
          </w:tcPr>
          <w:p w14:paraId="43C4FFCB">
            <w:pPr>
              <w:pStyle w:val="6"/>
              <w:spacing w:before="33" w:line="171" w:lineRule="auto"/>
              <w:ind w:left="12"/>
              <w:rPr>
                <w:sz w:val="18"/>
                <w:szCs w:val="18"/>
              </w:rPr>
            </w:pPr>
            <w:r>
              <w:rPr>
                <w:sz w:val="18"/>
                <w:szCs w:val="18"/>
              </w:rPr>
              <w:t>1.循环系统的组成及其功能</w:t>
            </w:r>
          </w:p>
        </w:tc>
        <w:tc>
          <w:tcPr>
            <w:tcW w:w="229" w:type="dxa"/>
            <w:tcBorders>
              <w:bottom w:val="nil"/>
            </w:tcBorders>
            <w:vAlign w:val="top"/>
          </w:tcPr>
          <w:p w14:paraId="2FAD60C0">
            <w:pPr>
              <w:pStyle w:val="6"/>
              <w:spacing w:before="72" w:line="196" w:lineRule="auto"/>
              <w:ind w:left="48"/>
              <w:rPr>
                <w:sz w:val="12"/>
                <w:szCs w:val="12"/>
              </w:rPr>
            </w:pPr>
            <w:r>
              <w:rPr>
                <w:sz w:val="12"/>
                <w:szCs w:val="12"/>
              </w:rPr>
              <w:t>√</w:t>
            </w:r>
          </w:p>
        </w:tc>
        <w:tc>
          <w:tcPr>
            <w:tcW w:w="220" w:type="dxa"/>
            <w:tcBorders>
              <w:bottom w:val="nil"/>
            </w:tcBorders>
            <w:vAlign w:val="top"/>
          </w:tcPr>
          <w:p w14:paraId="4792F122">
            <w:pPr>
              <w:spacing w:line="200" w:lineRule="exact"/>
              <w:rPr>
                <w:rFonts w:ascii="Arial"/>
                <w:sz w:val="17"/>
              </w:rPr>
            </w:pPr>
          </w:p>
        </w:tc>
        <w:tc>
          <w:tcPr>
            <w:tcW w:w="230" w:type="dxa"/>
            <w:tcBorders>
              <w:bottom w:val="nil"/>
            </w:tcBorders>
            <w:vAlign w:val="top"/>
          </w:tcPr>
          <w:p w14:paraId="0FC6C765">
            <w:pPr>
              <w:spacing w:line="200" w:lineRule="exact"/>
              <w:rPr>
                <w:rFonts w:ascii="Arial"/>
                <w:sz w:val="17"/>
              </w:rPr>
            </w:pPr>
          </w:p>
        </w:tc>
        <w:tc>
          <w:tcPr>
            <w:tcW w:w="234" w:type="dxa"/>
            <w:tcBorders>
              <w:bottom w:val="nil"/>
            </w:tcBorders>
            <w:vAlign w:val="top"/>
          </w:tcPr>
          <w:p w14:paraId="07872FB3">
            <w:pPr>
              <w:spacing w:line="200" w:lineRule="exact"/>
              <w:rPr>
                <w:rFonts w:ascii="Arial"/>
                <w:sz w:val="17"/>
              </w:rPr>
            </w:pPr>
          </w:p>
        </w:tc>
      </w:tr>
      <w:tr w14:paraId="3D8029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89" w:hRule="atLeast"/>
        </w:trPr>
        <w:tc>
          <w:tcPr>
            <w:tcW w:w="733" w:type="dxa"/>
            <w:vMerge w:val="continue"/>
            <w:tcBorders>
              <w:top w:val="nil"/>
              <w:bottom w:val="nil"/>
            </w:tcBorders>
            <w:vAlign w:val="top"/>
          </w:tcPr>
          <w:p w14:paraId="2FBF916F">
            <w:pPr>
              <w:rPr>
                <w:rFonts w:ascii="Arial"/>
                <w:sz w:val="21"/>
              </w:rPr>
            </w:pPr>
          </w:p>
        </w:tc>
        <w:tc>
          <w:tcPr>
            <w:tcW w:w="2484" w:type="dxa"/>
            <w:tcBorders>
              <w:top w:val="nil"/>
              <w:bottom w:val="nil"/>
            </w:tcBorders>
            <w:vAlign w:val="top"/>
          </w:tcPr>
          <w:p w14:paraId="425481B1">
            <w:pPr>
              <w:pStyle w:val="6"/>
              <w:spacing w:before="13" w:line="170" w:lineRule="auto"/>
              <w:ind w:left="12"/>
              <w:rPr>
                <w:sz w:val="18"/>
                <w:szCs w:val="18"/>
              </w:rPr>
            </w:pPr>
            <w:r>
              <w:rPr>
                <w:spacing w:val="1"/>
                <w:sz w:val="18"/>
                <w:szCs w:val="18"/>
              </w:rPr>
              <w:t>2.学前儿童循环系统的特点</w:t>
            </w:r>
          </w:p>
        </w:tc>
        <w:tc>
          <w:tcPr>
            <w:tcW w:w="229" w:type="dxa"/>
            <w:tcBorders>
              <w:top w:val="nil"/>
              <w:bottom w:val="nil"/>
            </w:tcBorders>
            <w:vAlign w:val="top"/>
          </w:tcPr>
          <w:p w14:paraId="24A31C54">
            <w:pPr>
              <w:spacing w:line="178" w:lineRule="exact"/>
              <w:rPr>
                <w:rFonts w:ascii="Arial"/>
                <w:sz w:val="15"/>
              </w:rPr>
            </w:pPr>
          </w:p>
        </w:tc>
        <w:tc>
          <w:tcPr>
            <w:tcW w:w="220" w:type="dxa"/>
            <w:tcBorders>
              <w:top w:val="nil"/>
              <w:bottom w:val="nil"/>
            </w:tcBorders>
            <w:vAlign w:val="top"/>
          </w:tcPr>
          <w:p w14:paraId="3CE7528D">
            <w:pPr>
              <w:pStyle w:val="6"/>
              <w:spacing w:before="73" w:line="163" w:lineRule="auto"/>
              <w:ind w:left="48"/>
              <w:rPr>
                <w:sz w:val="12"/>
                <w:szCs w:val="12"/>
              </w:rPr>
            </w:pPr>
            <w:r>
              <w:rPr>
                <w:sz w:val="12"/>
                <w:szCs w:val="12"/>
              </w:rPr>
              <w:t>√</w:t>
            </w:r>
          </w:p>
        </w:tc>
        <w:tc>
          <w:tcPr>
            <w:tcW w:w="230" w:type="dxa"/>
            <w:tcBorders>
              <w:top w:val="nil"/>
              <w:bottom w:val="nil"/>
            </w:tcBorders>
            <w:vAlign w:val="top"/>
          </w:tcPr>
          <w:p w14:paraId="48E6DD53">
            <w:pPr>
              <w:spacing w:line="178" w:lineRule="exact"/>
              <w:rPr>
                <w:rFonts w:ascii="Arial"/>
                <w:sz w:val="15"/>
              </w:rPr>
            </w:pPr>
          </w:p>
        </w:tc>
        <w:tc>
          <w:tcPr>
            <w:tcW w:w="234" w:type="dxa"/>
            <w:tcBorders>
              <w:top w:val="nil"/>
              <w:bottom w:val="nil"/>
            </w:tcBorders>
            <w:vAlign w:val="top"/>
          </w:tcPr>
          <w:p w14:paraId="3996EEE0">
            <w:pPr>
              <w:spacing w:line="178" w:lineRule="exact"/>
              <w:rPr>
                <w:rFonts w:ascii="Arial"/>
                <w:sz w:val="15"/>
              </w:rPr>
            </w:pPr>
          </w:p>
        </w:tc>
      </w:tr>
      <w:tr w14:paraId="0C3AF7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9" w:hRule="atLeast"/>
        </w:trPr>
        <w:tc>
          <w:tcPr>
            <w:tcW w:w="733" w:type="dxa"/>
            <w:vMerge w:val="continue"/>
            <w:tcBorders>
              <w:top w:val="nil"/>
            </w:tcBorders>
            <w:vAlign w:val="top"/>
          </w:tcPr>
          <w:p w14:paraId="4F82D4F4">
            <w:pPr>
              <w:rPr>
                <w:rFonts w:ascii="Arial"/>
                <w:sz w:val="21"/>
              </w:rPr>
            </w:pPr>
          </w:p>
        </w:tc>
        <w:tc>
          <w:tcPr>
            <w:tcW w:w="2484" w:type="dxa"/>
            <w:tcBorders>
              <w:top w:val="nil"/>
            </w:tcBorders>
            <w:vAlign w:val="top"/>
          </w:tcPr>
          <w:p w14:paraId="21BE7092">
            <w:pPr>
              <w:pStyle w:val="6"/>
              <w:spacing w:before="14" w:line="219" w:lineRule="auto"/>
              <w:ind w:left="12"/>
              <w:rPr>
                <w:sz w:val="18"/>
                <w:szCs w:val="18"/>
              </w:rPr>
            </w:pPr>
            <w:r>
              <w:rPr>
                <w:spacing w:val="-1"/>
                <w:sz w:val="18"/>
                <w:szCs w:val="18"/>
              </w:rPr>
              <w:t>3.学前儿童循环系统的保健</w:t>
            </w:r>
          </w:p>
        </w:tc>
        <w:tc>
          <w:tcPr>
            <w:tcW w:w="229" w:type="dxa"/>
            <w:tcBorders>
              <w:top w:val="nil"/>
            </w:tcBorders>
            <w:vAlign w:val="top"/>
          </w:tcPr>
          <w:p w14:paraId="7A9909F5">
            <w:pPr>
              <w:spacing w:line="238" w:lineRule="exact"/>
              <w:rPr>
                <w:rFonts w:ascii="Arial"/>
                <w:sz w:val="20"/>
              </w:rPr>
            </w:pPr>
          </w:p>
        </w:tc>
        <w:tc>
          <w:tcPr>
            <w:tcW w:w="220" w:type="dxa"/>
            <w:tcBorders>
              <w:top w:val="nil"/>
            </w:tcBorders>
            <w:vAlign w:val="top"/>
          </w:tcPr>
          <w:p w14:paraId="5136DB88">
            <w:pPr>
              <w:spacing w:line="238" w:lineRule="exact"/>
              <w:rPr>
                <w:rFonts w:ascii="Arial"/>
                <w:sz w:val="20"/>
              </w:rPr>
            </w:pPr>
          </w:p>
        </w:tc>
        <w:tc>
          <w:tcPr>
            <w:tcW w:w="230" w:type="dxa"/>
            <w:tcBorders>
              <w:top w:val="nil"/>
            </w:tcBorders>
            <w:vAlign w:val="top"/>
          </w:tcPr>
          <w:p w14:paraId="3A730FA3">
            <w:pPr>
              <w:spacing w:line="238" w:lineRule="exact"/>
              <w:rPr>
                <w:rFonts w:ascii="Arial"/>
                <w:sz w:val="20"/>
              </w:rPr>
            </w:pPr>
          </w:p>
        </w:tc>
        <w:tc>
          <w:tcPr>
            <w:tcW w:w="234" w:type="dxa"/>
            <w:tcBorders>
              <w:top w:val="nil"/>
            </w:tcBorders>
            <w:vAlign w:val="top"/>
          </w:tcPr>
          <w:p w14:paraId="43DA3501">
            <w:pPr>
              <w:spacing w:line="238" w:lineRule="exact"/>
              <w:rPr>
                <w:rFonts w:ascii="Arial"/>
                <w:sz w:val="20"/>
              </w:rPr>
            </w:pPr>
          </w:p>
        </w:tc>
      </w:tr>
      <w:tr w14:paraId="3E2C13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58" w:hRule="atLeast"/>
        </w:trPr>
        <w:tc>
          <w:tcPr>
            <w:tcW w:w="733" w:type="dxa"/>
            <w:vAlign w:val="top"/>
          </w:tcPr>
          <w:p w14:paraId="78AEBCCE">
            <w:pPr>
              <w:pStyle w:val="6"/>
              <w:spacing w:before="166" w:line="208" w:lineRule="auto"/>
              <w:ind w:left="175" w:right="198"/>
              <w:rPr>
                <w:sz w:val="18"/>
                <w:szCs w:val="18"/>
              </w:rPr>
            </w:pPr>
            <w:r>
              <w:rPr>
                <w:spacing w:val="-6"/>
                <w:sz w:val="18"/>
                <w:szCs w:val="18"/>
              </w:rPr>
              <w:t>消化</w:t>
            </w:r>
            <w:r>
              <w:rPr>
                <w:sz w:val="18"/>
                <w:szCs w:val="18"/>
              </w:rPr>
              <w:t xml:space="preserve"> </w:t>
            </w:r>
            <w:r>
              <w:rPr>
                <w:spacing w:val="-6"/>
                <w:sz w:val="18"/>
                <w:szCs w:val="18"/>
              </w:rPr>
              <w:t>系统</w:t>
            </w:r>
          </w:p>
        </w:tc>
        <w:tc>
          <w:tcPr>
            <w:tcW w:w="2484" w:type="dxa"/>
            <w:vAlign w:val="top"/>
          </w:tcPr>
          <w:p w14:paraId="341DA805">
            <w:pPr>
              <w:pStyle w:val="6"/>
              <w:spacing w:before="45" w:line="203" w:lineRule="auto"/>
              <w:ind w:left="12" w:right="285"/>
              <w:jc w:val="both"/>
              <w:rPr>
                <w:sz w:val="18"/>
                <w:szCs w:val="18"/>
              </w:rPr>
            </w:pPr>
            <w:r>
              <w:rPr>
                <w:sz w:val="18"/>
                <w:szCs w:val="18"/>
              </w:rPr>
              <w:t>1.消化系统的组成及其功能</w:t>
            </w:r>
            <w:r>
              <w:rPr>
                <w:spacing w:val="8"/>
                <w:sz w:val="18"/>
                <w:szCs w:val="18"/>
              </w:rPr>
              <w:t xml:space="preserve"> </w:t>
            </w:r>
            <w:r>
              <w:rPr>
                <w:spacing w:val="1"/>
                <w:sz w:val="18"/>
                <w:szCs w:val="18"/>
              </w:rPr>
              <w:t>2.学前儿童消化系统的特点</w:t>
            </w:r>
            <w:r>
              <w:rPr>
                <w:spacing w:val="2"/>
                <w:sz w:val="18"/>
                <w:szCs w:val="18"/>
              </w:rPr>
              <w:t xml:space="preserve"> </w:t>
            </w:r>
            <w:r>
              <w:rPr>
                <w:spacing w:val="-1"/>
                <w:sz w:val="18"/>
                <w:szCs w:val="18"/>
              </w:rPr>
              <w:t>3.学前儿童消化系统的保健</w:t>
            </w:r>
          </w:p>
        </w:tc>
        <w:tc>
          <w:tcPr>
            <w:tcW w:w="229" w:type="dxa"/>
            <w:vAlign w:val="top"/>
          </w:tcPr>
          <w:p w14:paraId="7BF3B2A9">
            <w:pPr>
              <w:pStyle w:val="6"/>
              <w:spacing w:before="74" w:line="238" w:lineRule="auto"/>
              <w:ind w:left="48"/>
              <w:rPr>
                <w:sz w:val="12"/>
                <w:szCs w:val="12"/>
              </w:rPr>
            </w:pPr>
            <w:r>
              <w:rPr>
                <w:sz w:val="12"/>
                <w:szCs w:val="12"/>
              </w:rPr>
              <w:t>√</w:t>
            </w:r>
          </w:p>
        </w:tc>
        <w:tc>
          <w:tcPr>
            <w:tcW w:w="220" w:type="dxa"/>
            <w:vAlign w:val="top"/>
          </w:tcPr>
          <w:p w14:paraId="76E33FDC">
            <w:pPr>
              <w:spacing w:line="244" w:lineRule="auto"/>
              <w:rPr>
                <w:rFonts w:ascii="Arial"/>
                <w:sz w:val="21"/>
              </w:rPr>
            </w:pPr>
          </w:p>
          <w:p w14:paraId="0FBE600E">
            <w:pPr>
              <w:pStyle w:val="6"/>
              <w:spacing w:before="39" w:line="238" w:lineRule="auto"/>
              <w:ind w:left="48"/>
              <w:rPr>
                <w:sz w:val="12"/>
                <w:szCs w:val="12"/>
              </w:rPr>
            </w:pPr>
            <w:r>
              <w:rPr>
                <w:sz w:val="12"/>
                <w:szCs w:val="12"/>
              </w:rPr>
              <w:t>√</w:t>
            </w:r>
          </w:p>
        </w:tc>
        <w:tc>
          <w:tcPr>
            <w:tcW w:w="230" w:type="dxa"/>
            <w:vAlign w:val="top"/>
          </w:tcPr>
          <w:p w14:paraId="2FEE1C28">
            <w:pPr>
              <w:rPr>
                <w:rFonts w:ascii="Arial"/>
                <w:sz w:val="21"/>
              </w:rPr>
            </w:pPr>
          </w:p>
        </w:tc>
        <w:tc>
          <w:tcPr>
            <w:tcW w:w="234" w:type="dxa"/>
            <w:vAlign w:val="top"/>
          </w:tcPr>
          <w:p w14:paraId="50AFC402">
            <w:pPr>
              <w:spacing w:line="383" w:lineRule="auto"/>
              <w:rPr>
                <w:rFonts w:ascii="Arial"/>
                <w:sz w:val="21"/>
              </w:rPr>
            </w:pPr>
          </w:p>
          <w:p w14:paraId="707253C8">
            <w:pPr>
              <w:pStyle w:val="6"/>
              <w:spacing w:before="39" w:line="238" w:lineRule="auto"/>
              <w:ind w:left="49"/>
              <w:rPr>
                <w:sz w:val="12"/>
                <w:szCs w:val="12"/>
              </w:rPr>
            </w:pPr>
            <w:r>
              <w:rPr>
                <w:sz w:val="12"/>
                <w:szCs w:val="12"/>
              </w:rPr>
              <w:t>√</w:t>
            </w:r>
          </w:p>
        </w:tc>
      </w:tr>
      <w:tr w14:paraId="274227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0" w:hRule="atLeast"/>
        </w:trPr>
        <w:tc>
          <w:tcPr>
            <w:tcW w:w="733" w:type="dxa"/>
            <w:vMerge w:val="restart"/>
            <w:tcBorders>
              <w:bottom w:val="nil"/>
            </w:tcBorders>
            <w:vAlign w:val="top"/>
          </w:tcPr>
          <w:p w14:paraId="02A076C0">
            <w:pPr>
              <w:pStyle w:val="6"/>
              <w:spacing w:before="158" w:line="208" w:lineRule="auto"/>
              <w:ind w:left="175" w:right="197"/>
              <w:rPr>
                <w:sz w:val="18"/>
                <w:szCs w:val="18"/>
              </w:rPr>
            </w:pPr>
            <w:r>
              <w:rPr>
                <w:spacing w:val="-5"/>
                <w:sz w:val="18"/>
                <w:szCs w:val="18"/>
              </w:rPr>
              <w:t>泌尿</w:t>
            </w:r>
            <w:r>
              <w:rPr>
                <w:sz w:val="18"/>
                <w:szCs w:val="18"/>
              </w:rPr>
              <w:t xml:space="preserve"> </w:t>
            </w:r>
            <w:r>
              <w:rPr>
                <w:spacing w:val="-6"/>
                <w:sz w:val="18"/>
                <w:szCs w:val="18"/>
              </w:rPr>
              <w:t>系统</w:t>
            </w:r>
          </w:p>
        </w:tc>
        <w:tc>
          <w:tcPr>
            <w:tcW w:w="2484" w:type="dxa"/>
            <w:tcBorders>
              <w:bottom w:val="nil"/>
            </w:tcBorders>
            <w:vAlign w:val="top"/>
          </w:tcPr>
          <w:p w14:paraId="13CEFAFB">
            <w:pPr>
              <w:pStyle w:val="6"/>
              <w:spacing w:before="38" w:line="166" w:lineRule="auto"/>
              <w:ind w:left="12"/>
              <w:rPr>
                <w:sz w:val="18"/>
                <w:szCs w:val="18"/>
              </w:rPr>
            </w:pPr>
            <w:r>
              <w:rPr>
                <w:sz w:val="18"/>
                <w:szCs w:val="18"/>
              </w:rPr>
              <w:t>1.泌尿系统的组成及其功能</w:t>
            </w:r>
          </w:p>
        </w:tc>
        <w:tc>
          <w:tcPr>
            <w:tcW w:w="229" w:type="dxa"/>
            <w:tcBorders>
              <w:bottom w:val="nil"/>
            </w:tcBorders>
            <w:vAlign w:val="top"/>
          </w:tcPr>
          <w:p w14:paraId="0F7BEBDA">
            <w:pPr>
              <w:spacing w:line="200" w:lineRule="exact"/>
              <w:rPr>
                <w:rFonts w:ascii="Arial"/>
                <w:sz w:val="17"/>
              </w:rPr>
            </w:pPr>
          </w:p>
        </w:tc>
        <w:tc>
          <w:tcPr>
            <w:tcW w:w="220" w:type="dxa"/>
            <w:tcBorders>
              <w:bottom w:val="nil"/>
            </w:tcBorders>
            <w:vAlign w:val="top"/>
          </w:tcPr>
          <w:p w14:paraId="66905ABB">
            <w:pPr>
              <w:spacing w:line="200" w:lineRule="exact"/>
              <w:rPr>
                <w:rFonts w:ascii="Arial"/>
                <w:sz w:val="17"/>
              </w:rPr>
            </w:pPr>
          </w:p>
        </w:tc>
        <w:tc>
          <w:tcPr>
            <w:tcW w:w="230" w:type="dxa"/>
            <w:tcBorders>
              <w:bottom w:val="nil"/>
            </w:tcBorders>
            <w:vAlign w:val="top"/>
          </w:tcPr>
          <w:p w14:paraId="09B13250">
            <w:pPr>
              <w:spacing w:line="200" w:lineRule="exact"/>
              <w:rPr>
                <w:rFonts w:ascii="Arial"/>
                <w:sz w:val="17"/>
              </w:rPr>
            </w:pPr>
          </w:p>
        </w:tc>
        <w:tc>
          <w:tcPr>
            <w:tcW w:w="234" w:type="dxa"/>
            <w:tcBorders>
              <w:bottom w:val="nil"/>
            </w:tcBorders>
            <w:vAlign w:val="top"/>
          </w:tcPr>
          <w:p w14:paraId="376D426A">
            <w:pPr>
              <w:spacing w:line="200" w:lineRule="exact"/>
              <w:rPr>
                <w:rFonts w:ascii="Arial"/>
                <w:sz w:val="17"/>
              </w:rPr>
            </w:pPr>
          </w:p>
        </w:tc>
      </w:tr>
      <w:tr w14:paraId="718A14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90" w:hRule="atLeast"/>
        </w:trPr>
        <w:tc>
          <w:tcPr>
            <w:tcW w:w="733" w:type="dxa"/>
            <w:vMerge w:val="continue"/>
            <w:tcBorders>
              <w:top w:val="nil"/>
              <w:bottom w:val="nil"/>
            </w:tcBorders>
            <w:vAlign w:val="top"/>
          </w:tcPr>
          <w:p w14:paraId="2EF1C54D">
            <w:pPr>
              <w:rPr>
                <w:rFonts w:ascii="Arial"/>
                <w:sz w:val="21"/>
              </w:rPr>
            </w:pPr>
          </w:p>
        </w:tc>
        <w:tc>
          <w:tcPr>
            <w:tcW w:w="2484" w:type="dxa"/>
            <w:tcBorders>
              <w:top w:val="nil"/>
              <w:bottom w:val="nil"/>
            </w:tcBorders>
            <w:vAlign w:val="top"/>
          </w:tcPr>
          <w:p w14:paraId="11C7EB54">
            <w:pPr>
              <w:pStyle w:val="6"/>
              <w:spacing w:before="17" w:line="167" w:lineRule="auto"/>
              <w:ind w:left="12"/>
              <w:rPr>
                <w:sz w:val="18"/>
                <w:szCs w:val="18"/>
              </w:rPr>
            </w:pPr>
            <w:r>
              <w:rPr>
                <w:spacing w:val="1"/>
                <w:sz w:val="18"/>
                <w:szCs w:val="18"/>
              </w:rPr>
              <w:t>2.学前儿童泌尿系统的特点</w:t>
            </w:r>
          </w:p>
        </w:tc>
        <w:tc>
          <w:tcPr>
            <w:tcW w:w="229" w:type="dxa"/>
            <w:tcBorders>
              <w:top w:val="nil"/>
              <w:bottom w:val="nil"/>
            </w:tcBorders>
            <w:vAlign w:val="top"/>
          </w:tcPr>
          <w:p w14:paraId="36233332">
            <w:pPr>
              <w:spacing w:line="180" w:lineRule="exact"/>
              <w:rPr>
                <w:rFonts w:ascii="Arial"/>
                <w:sz w:val="15"/>
              </w:rPr>
            </w:pPr>
          </w:p>
        </w:tc>
        <w:tc>
          <w:tcPr>
            <w:tcW w:w="220" w:type="dxa"/>
            <w:tcBorders>
              <w:top w:val="nil"/>
              <w:bottom w:val="nil"/>
            </w:tcBorders>
            <w:vAlign w:val="top"/>
          </w:tcPr>
          <w:p w14:paraId="4BFFF3A7">
            <w:pPr>
              <w:spacing w:line="180" w:lineRule="exact"/>
              <w:rPr>
                <w:rFonts w:ascii="Arial"/>
                <w:sz w:val="15"/>
              </w:rPr>
            </w:pPr>
          </w:p>
        </w:tc>
        <w:tc>
          <w:tcPr>
            <w:tcW w:w="230" w:type="dxa"/>
            <w:tcBorders>
              <w:top w:val="nil"/>
              <w:bottom w:val="nil"/>
            </w:tcBorders>
            <w:vAlign w:val="top"/>
          </w:tcPr>
          <w:p w14:paraId="6365EEAE">
            <w:pPr>
              <w:spacing w:line="180" w:lineRule="exact"/>
              <w:rPr>
                <w:rFonts w:ascii="Arial"/>
                <w:sz w:val="15"/>
              </w:rPr>
            </w:pPr>
          </w:p>
        </w:tc>
        <w:tc>
          <w:tcPr>
            <w:tcW w:w="234" w:type="dxa"/>
            <w:tcBorders>
              <w:top w:val="nil"/>
              <w:bottom w:val="nil"/>
            </w:tcBorders>
            <w:vAlign w:val="top"/>
          </w:tcPr>
          <w:p w14:paraId="6092035C">
            <w:pPr>
              <w:spacing w:line="180" w:lineRule="exact"/>
              <w:rPr>
                <w:rFonts w:ascii="Arial"/>
                <w:sz w:val="15"/>
              </w:rPr>
            </w:pPr>
          </w:p>
        </w:tc>
      </w:tr>
      <w:tr w14:paraId="56E240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4" w:hRule="atLeast"/>
        </w:trPr>
        <w:tc>
          <w:tcPr>
            <w:tcW w:w="733" w:type="dxa"/>
            <w:vMerge w:val="continue"/>
            <w:tcBorders>
              <w:top w:val="nil"/>
            </w:tcBorders>
            <w:vAlign w:val="top"/>
          </w:tcPr>
          <w:p w14:paraId="5232388F">
            <w:pPr>
              <w:rPr>
                <w:rFonts w:ascii="Arial"/>
                <w:sz w:val="21"/>
              </w:rPr>
            </w:pPr>
          </w:p>
        </w:tc>
        <w:tc>
          <w:tcPr>
            <w:tcW w:w="2484" w:type="dxa"/>
            <w:tcBorders>
              <w:top w:val="nil"/>
            </w:tcBorders>
            <w:vAlign w:val="top"/>
          </w:tcPr>
          <w:p w14:paraId="6AB3C144">
            <w:pPr>
              <w:pStyle w:val="6"/>
              <w:spacing w:before="17" w:line="219" w:lineRule="auto"/>
              <w:ind w:left="12"/>
              <w:rPr>
                <w:sz w:val="18"/>
                <w:szCs w:val="18"/>
              </w:rPr>
            </w:pPr>
            <w:r>
              <w:rPr>
                <w:spacing w:val="-1"/>
                <w:sz w:val="18"/>
                <w:szCs w:val="18"/>
              </w:rPr>
              <w:t>3.学前儿童泌尿系统的保健</w:t>
            </w:r>
          </w:p>
        </w:tc>
        <w:tc>
          <w:tcPr>
            <w:tcW w:w="229" w:type="dxa"/>
            <w:tcBorders>
              <w:top w:val="nil"/>
            </w:tcBorders>
            <w:vAlign w:val="top"/>
          </w:tcPr>
          <w:p w14:paraId="06A26298">
            <w:pPr>
              <w:spacing w:line="234" w:lineRule="exact"/>
              <w:rPr>
                <w:rFonts w:ascii="Arial"/>
                <w:sz w:val="20"/>
              </w:rPr>
            </w:pPr>
          </w:p>
        </w:tc>
        <w:tc>
          <w:tcPr>
            <w:tcW w:w="220" w:type="dxa"/>
            <w:tcBorders>
              <w:top w:val="nil"/>
            </w:tcBorders>
            <w:vAlign w:val="top"/>
          </w:tcPr>
          <w:p w14:paraId="5DB27519">
            <w:pPr>
              <w:spacing w:line="234" w:lineRule="exact"/>
              <w:rPr>
                <w:rFonts w:ascii="Arial"/>
                <w:sz w:val="20"/>
              </w:rPr>
            </w:pPr>
          </w:p>
        </w:tc>
        <w:tc>
          <w:tcPr>
            <w:tcW w:w="230" w:type="dxa"/>
            <w:tcBorders>
              <w:top w:val="nil"/>
            </w:tcBorders>
            <w:vAlign w:val="top"/>
          </w:tcPr>
          <w:p w14:paraId="7DC59187">
            <w:pPr>
              <w:spacing w:line="234" w:lineRule="exact"/>
              <w:rPr>
                <w:rFonts w:ascii="Arial"/>
                <w:sz w:val="20"/>
              </w:rPr>
            </w:pPr>
          </w:p>
        </w:tc>
        <w:tc>
          <w:tcPr>
            <w:tcW w:w="234" w:type="dxa"/>
            <w:tcBorders>
              <w:top w:val="nil"/>
            </w:tcBorders>
            <w:vAlign w:val="top"/>
          </w:tcPr>
          <w:p w14:paraId="778FAE8E">
            <w:pPr>
              <w:spacing w:line="234" w:lineRule="exact"/>
              <w:rPr>
                <w:rFonts w:ascii="Arial"/>
                <w:sz w:val="20"/>
              </w:rPr>
            </w:pPr>
          </w:p>
        </w:tc>
      </w:tr>
    </w:tbl>
    <w:p w14:paraId="6728D768">
      <w:pPr>
        <w:pStyle w:val="2"/>
        <w:spacing w:line="61" w:lineRule="exact"/>
        <w:rPr>
          <w:sz w:val="5"/>
        </w:rPr>
      </w:pPr>
    </w:p>
    <w:p w14:paraId="6A40775A">
      <w:pPr>
        <w:spacing w:line="61" w:lineRule="exact"/>
        <w:rPr>
          <w:sz w:val="5"/>
          <w:szCs w:val="5"/>
        </w:rPr>
        <w:sectPr>
          <w:type w:val="continuous"/>
          <w:pgSz w:w="10660" w:h="15080"/>
          <w:pgMar w:top="400" w:right="845" w:bottom="925" w:left="969" w:header="0" w:footer="705" w:gutter="0"/>
          <w:cols w:equalWidth="0" w:num="2">
            <w:col w:w="4581" w:space="100"/>
            <w:col w:w="4165"/>
          </w:cols>
        </w:sectPr>
      </w:pPr>
    </w:p>
    <w:p w14:paraId="4484AD52">
      <w:pPr>
        <w:spacing w:before="10"/>
      </w:pPr>
    </w:p>
    <w:p w14:paraId="7833BA97">
      <w:pPr>
        <w:spacing w:before="10"/>
      </w:pPr>
    </w:p>
    <w:p w14:paraId="61488E20">
      <w:pPr>
        <w:spacing w:before="10"/>
      </w:pPr>
    </w:p>
    <w:p w14:paraId="35F1D534">
      <w:pPr>
        <w:spacing w:before="9"/>
      </w:pPr>
    </w:p>
    <w:p w14:paraId="188720BE">
      <w:pPr>
        <w:sectPr>
          <w:footerReference r:id="rId82" w:type="default"/>
          <w:pgSz w:w="10660" w:h="15080"/>
          <w:pgMar w:top="400" w:right="1024" w:bottom="925" w:left="819" w:header="0" w:footer="705" w:gutter="0"/>
          <w:cols w:equalWidth="0" w:num="1">
            <w:col w:w="8816"/>
          </w:cols>
        </w:sectPr>
      </w:pPr>
    </w:p>
    <w:p w14:paraId="68D9017B">
      <w:pPr>
        <w:spacing w:line="103" w:lineRule="auto"/>
        <w:rPr>
          <w:rFonts w:ascii="Arial"/>
          <w:sz w:val="2"/>
        </w:rPr>
      </w:pPr>
    </w:p>
    <w:tbl>
      <w:tblPr>
        <w:tblStyle w:val="5"/>
        <w:tblW w:w="4130"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33"/>
        <w:gridCol w:w="2484"/>
        <w:gridCol w:w="230"/>
        <w:gridCol w:w="229"/>
        <w:gridCol w:w="220"/>
        <w:gridCol w:w="234"/>
      </w:tblGrid>
      <w:tr w14:paraId="05182F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5" w:hRule="atLeast"/>
        </w:trPr>
        <w:tc>
          <w:tcPr>
            <w:tcW w:w="733" w:type="dxa"/>
            <w:vMerge w:val="restart"/>
            <w:tcBorders>
              <w:bottom w:val="nil"/>
            </w:tcBorders>
            <w:vAlign w:val="top"/>
          </w:tcPr>
          <w:p w14:paraId="40493686">
            <w:pPr>
              <w:pStyle w:val="6"/>
              <w:spacing w:before="20" w:line="221" w:lineRule="auto"/>
              <w:ind w:left="17"/>
            </w:pPr>
            <w:r>
              <w:rPr>
                <w:b/>
                <w:bCs/>
                <w:spacing w:val="-4"/>
              </w:rPr>
              <w:t>知识与技</w:t>
            </w:r>
          </w:p>
          <w:p w14:paraId="72253799">
            <w:pPr>
              <w:pStyle w:val="6"/>
              <w:spacing w:before="16" w:line="211" w:lineRule="auto"/>
              <w:ind w:left="107"/>
            </w:pPr>
            <w:r>
              <w:rPr>
                <w:b/>
                <w:bCs/>
                <w:spacing w:val="1"/>
              </w:rPr>
              <w:t>能要点</w:t>
            </w:r>
          </w:p>
        </w:tc>
        <w:tc>
          <w:tcPr>
            <w:tcW w:w="2484" w:type="dxa"/>
            <w:vMerge w:val="restart"/>
            <w:tcBorders>
              <w:bottom w:val="nil"/>
            </w:tcBorders>
            <w:vAlign w:val="top"/>
          </w:tcPr>
          <w:p w14:paraId="5EAB4884">
            <w:pPr>
              <w:pStyle w:val="6"/>
              <w:spacing w:before="139" w:line="219" w:lineRule="auto"/>
              <w:ind w:left="924"/>
            </w:pPr>
            <w:r>
              <w:rPr>
                <w:b/>
                <w:bCs/>
                <w:spacing w:val="5"/>
              </w:rPr>
              <w:t>考试条目</w:t>
            </w:r>
          </w:p>
        </w:tc>
        <w:tc>
          <w:tcPr>
            <w:tcW w:w="913" w:type="dxa"/>
            <w:gridSpan w:val="4"/>
            <w:vAlign w:val="top"/>
          </w:tcPr>
          <w:p w14:paraId="7D3BFBCA">
            <w:pPr>
              <w:pStyle w:val="6"/>
              <w:spacing w:before="29" w:line="212" w:lineRule="auto"/>
              <w:ind w:left="130"/>
            </w:pPr>
            <w:r>
              <w:rPr>
                <w:b/>
                <w:bCs/>
                <w:spacing w:val="-4"/>
              </w:rPr>
              <w:t>考试水平</w:t>
            </w:r>
          </w:p>
        </w:tc>
      </w:tr>
      <w:tr w14:paraId="0E1057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0" w:hRule="atLeast"/>
        </w:trPr>
        <w:tc>
          <w:tcPr>
            <w:tcW w:w="733" w:type="dxa"/>
            <w:vMerge w:val="continue"/>
            <w:tcBorders>
              <w:top w:val="nil"/>
            </w:tcBorders>
            <w:vAlign w:val="top"/>
          </w:tcPr>
          <w:p w14:paraId="785935D9">
            <w:pPr>
              <w:rPr>
                <w:rFonts w:ascii="Arial"/>
                <w:sz w:val="21"/>
              </w:rPr>
            </w:pPr>
          </w:p>
        </w:tc>
        <w:tc>
          <w:tcPr>
            <w:tcW w:w="2484" w:type="dxa"/>
            <w:vMerge w:val="continue"/>
            <w:tcBorders>
              <w:top w:val="nil"/>
            </w:tcBorders>
            <w:vAlign w:val="top"/>
          </w:tcPr>
          <w:p w14:paraId="704392E6">
            <w:pPr>
              <w:rPr>
                <w:rFonts w:ascii="Arial"/>
                <w:sz w:val="21"/>
              </w:rPr>
            </w:pPr>
          </w:p>
        </w:tc>
        <w:tc>
          <w:tcPr>
            <w:tcW w:w="230" w:type="dxa"/>
            <w:vAlign w:val="top"/>
          </w:tcPr>
          <w:p w14:paraId="56DDA1FD">
            <w:pPr>
              <w:pStyle w:val="6"/>
              <w:spacing w:before="59" w:line="131" w:lineRule="exact"/>
              <w:ind w:left="20"/>
            </w:pPr>
            <w:r>
              <w:rPr>
                <w:b/>
                <w:bCs/>
                <w:spacing w:val="-2"/>
                <w:position w:val="-2"/>
              </w:rPr>
              <w:t>A</w:t>
            </w:r>
          </w:p>
        </w:tc>
        <w:tc>
          <w:tcPr>
            <w:tcW w:w="229" w:type="dxa"/>
            <w:vAlign w:val="top"/>
          </w:tcPr>
          <w:p w14:paraId="7E0F1CB4">
            <w:pPr>
              <w:pStyle w:val="6"/>
              <w:spacing w:before="62" w:line="128" w:lineRule="exact"/>
              <w:ind w:left="30"/>
            </w:pPr>
            <w:r>
              <w:rPr>
                <w:b/>
                <w:bCs/>
                <w:spacing w:val="-2"/>
                <w:position w:val="-2"/>
              </w:rPr>
              <w:t>B</w:t>
            </w:r>
          </w:p>
        </w:tc>
        <w:tc>
          <w:tcPr>
            <w:tcW w:w="220" w:type="dxa"/>
            <w:vAlign w:val="top"/>
          </w:tcPr>
          <w:p w14:paraId="76E7E633">
            <w:pPr>
              <w:pStyle w:val="6"/>
              <w:spacing w:before="60" w:line="130" w:lineRule="exact"/>
              <w:ind w:left="48"/>
            </w:pPr>
            <w:r>
              <w:rPr>
                <w:position w:val="-2"/>
              </w:rPr>
              <w:t>C</w:t>
            </w:r>
          </w:p>
        </w:tc>
        <w:tc>
          <w:tcPr>
            <w:tcW w:w="234" w:type="dxa"/>
            <w:vAlign w:val="top"/>
          </w:tcPr>
          <w:p w14:paraId="07E82F7D">
            <w:pPr>
              <w:pStyle w:val="6"/>
              <w:spacing w:before="62" w:line="128" w:lineRule="exact"/>
              <w:ind w:left="21"/>
            </w:pPr>
            <w:r>
              <w:rPr>
                <w:b/>
                <w:bCs/>
                <w:spacing w:val="-2"/>
                <w:position w:val="-2"/>
              </w:rPr>
              <w:t>D</w:t>
            </w:r>
          </w:p>
        </w:tc>
      </w:tr>
      <w:tr w14:paraId="101FBD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88" w:hRule="atLeast"/>
        </w:trPr>
        <w:tc>
          <w:tcPr>
            <w:tcW w:w="733" w:type="dxa"/>
            <w:vAlign w:val="top"/>
          </w:tcPr>
          <w:p w14:paraId="41003B2A">
            <w:pPr>
              <w:pStyle w:val="6"/>
              <w:spacing w:before="231" w:line="212" w:lineRule="auto"/>
              <w:ind w:left="184" w:right="206"/>
            </w:pPr>
            <w:r>
              <w:rPr>
                <w:spacing w:val="-4"/>
              </w:rPr>
              <w:t>生殖</w:t>
            </w:r>
            <w:r>
              <w:t xml:space="preserve"> </w:t>
            </w:r>
            <w:r>
              <w:rPr>
                <w:spacing w:val="-6"/>
              </w:rPr>
              <w:t>系统</w:t>
            </w:r>
          </w:p>
        </w:tc>
        <w:tc>
          <w:tcPr>
            <w:tcW w:w="2484" w:type="dxa"/>
            <w:vAlign w:val="top"/>
          </w:tcPr>
          <w:p w14:paraId="10319A57">
            <w:pPr>
              <w:pStyle w:val="6"/>
              <w:spacing w:before="138" w:line="205" w:lineRule="auto"/>
              <w:ind w:left="11"/>
            </w:pPr>
            <w:r>
              <w:t>1.生殖系统的功能</w:t>
            </w:r>
          </w:p>
          <w:p w14:paraId="1AC733D6">
            <w:pPr>
              <w:pStyle w:val="6"/>
              <w:spacing w:line="218" w:lineRule="auto"/>
              <w:ind w:left="11" w:right="406"/>
            </w:pPr>
            <w:r>
              <w:rPr>
                <w:spacing w:val="1"/>
              </w:rPr>
              <w:t xml:space="preserve">2.学前儿童生殖系统的特点 </w:t>
            </w:r>
            <w:r>
              <w:rPr>
                <w:spacing w:val="-1"/>
              </w:rPr>
              <w:t>3.学前儿童生殖系统的保健</w:t>
            </w:r>
          </w:p>
        </w:tc>
        <w:tc>
          <w:tcPr>
            <w:tcW w:w="230" w:type="dxa"/>
            <w:vAlign w:val="top"/>
          </w:tcPr>
          <w:p w14:paraId="6CDD527E">
            <w:pPr>
              <w:pStyle w:val="6"/>
              <w:spacing w:before="178" w:line="238" w:lineRule="auto"/>
              <w:ind w:left="18"/>
              <w:rPr>
                <w:sz w:val="13"/>
                <w:szCs w:val="13"/>
              </w:rPr>
            </w:pPr>
            <w:r>
              <w:rPr>
                <w:sz w:val="13"/>
                <w:szCs w:val="13"/>
              </w:rPr>
              <w:t>√</w:t>
            </w:r>
          </w:p>
        </w:tc>
        <w:tc>
          <w:tcPr>
            <w:tcW w:w="229" w:type="dxa"/>
            <w:vAlign w:val="top"/>
          </w:tcPr>
          <w:p w14:paraId="10CB4565">
            <w:pPr>
              <w:rPr>
                <w:rFonts w:ascii="Arial"/>
                <w:sz w:val="21"/>
              </w:rPr>
            </w:pPr>
          </w:p>
        </w:tc>
        <w:tc>
          <w:tcPr>
            <w:tcW w:w="220" w:type="dxa"/>
            <w:vAlign w:val="top"/>
          </w:tcPr>
          <w:p w14:paraId="39CF1EA1">
            <w:pPr>
              <w:rPr>
                <w:rFonts w:ascii="Arial"/>
                <w:sz w:val="21"/>
              </w:rPr>
            </w:pPr>
          </w:p>
        </w:tc>
        <w:tc>
          <w:tcPr>
            <w:tcW w:w="234" w:type="dxa"/>
            <w:vAlign w:val="top"/>
          </w:tcPr>
          <w:p w14:paraId="644BC274">
            <w:pPr>
              <w:rPr>
                <w:rFonts w:ascii="Arial"/>
                <w:sz w:val="21"/>
              </w:rPr>
            </w:pPr>
          </w:p>
        </w:tc>
      </w:tr>
      <w:tr w14:paraId="060127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8" w:hRule="atLeast"/>
        </w:trPr>
        <w:tc>
          <w:tcPr>
            <w:tcW w:w="733" w:type="dxa"/>
            <w:vAlign w:val="top"/>
          </w:tcPr>
          <w:p w14:paraId="1E95F4FE">
            <w:pPr>
              <w:pStyle w:val="6"/>
              <w:spacing w:before="228" w:line="209" w:lineRule="auto"/>
              <w:ind w:left="184" w:right="96" w:hanging="79"/>
            </w:pPr>
            <w:r>
              <w:rPr>
                <w:spacing w:val="3"/>
              </w:rPr>
              <w:t>内分泌</w:t>
            </w:r>
            <w:r>
              <w:rPr>
                <w:spacing w:val="1"/>
              </w:rPr>
              <w:t xml:space="preserve"> </w:t>
            </w:r>
            <w:r>
              <w:rPr>
                <w:spacing w:val="-3"/>
              </w:rPr>
              <w:t>系统</w:t>
            </w:r>
          </w:p>
        </w:tc>
        <w:tc>
          <w:tcPr>
            <w:tcW w:w="2484" w:type="dxa"/>
            <w:vAlign w:val="top"/>
          </w:tcPr>
          <w:p w14:paraId="578BBF52">
            <w:pPr>
              <w:pStyle w:val="6"/>
              <w:spacing w:before="129" w:line="207" w:lineRule="auto"/>
              <w:ind w:left="11" w:right="236"/>
              <w:jc w:val="both"/>
            </w:pPr>
            <w:r>
              <w:t>1.内分泌系统的组成及其功能</w:t>
            </w:r>
            <w:r>
              <w:rPr>
                <w:spacing w:val="7"/>
              </w:rPr>
              <w:t xml:space="preserve"> </w:t>
            </w:r>
            <w:r>
              <w:rPr>
                <w:spacing w:val="1"/>
              </w:rPr>
              <w:t>2.学前儿童内分泌系统的特点</w:t>
            </w:r>
            <w:r>
              <w:t xml:space="preserve"> </w:t>
            </w:r>
            <w:r>
              <w:rPr>
                <w:spacing w:val="-1"/>
              </w:rPr>
              <w:t>3.学前儿童内分泌系统的保健</w:t>
            </w:r>
          </w:p>
        </w:tc>
        <w:tc>
          <w:tcPr>
            <w:tcW w:w="230" w:type="dxa"/>
            <w:vAlign w:val="top"/>
          </w:tcPr>
          <w:p w14:paraId="29918B39">
            <w:pPr>
              <w:rPr>
                <w:rFonts w:ascii="Arial"/>
                <w:sz w:val="21"/>
              </w:rPr>
            </w:pPr>
          </w:p>
        </w:tc>
        <w:tc>
          <w:tcPr>
            <w:tcW w:w="229" w:type="dxa"/>
            <w:vAlign w:val="top"/>
          </w:tcPr>
          <w:p w14:paraId="6953434A">
            <w:pPr>
              <w:rPr>
                <w:rFonts w:ascii="Arial"/>
                <w:sz w:val="21"/>
              </w:rPr>
            </w:pPr>
          </w:p>
        </w:tc>
        <w:tc>
          <w:tcPr>
            <w:tcW w:w="220" w:type="dxa"/>
            <w:vAlign w:val="top"/>
          </w:tcPr>
          <w:p w14:paraId="15EA8AB3">
            <w:pPr>
              <w:rPr>
                <w:rFonts w:ascii="Arial"/>
                <w:sz w:val="21"/>
              </w:rPr>
            </w:pPr>
          </w:p>
        </w:tc>
        <w:tc>
          <w:tcPr>
            <w:tcW w:w="234" w:type="dxa"/>
            <w:vAlign w:val="top"/>
          </w:tcPr>
          <w:p w14:paraId="2688015E">
            <w:pPr>
              <w:rPr>
                <w:rFonts w:ascii="Arial"/>
                <w:sz w:val="21"/>
              </w:rPr>
            </w:pPr>
          </w:p>
        </w:tc>
      </w:tr>
      <w:tr w14:paraId="3C5E39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98" w:hRule="atLeast"/>
        </w:trPr>
        <w:tc>
          <w:tcPr>
            <w:tcW w:w="733" w:type="dxa"/>
            <w:vAlign w:val="top"/>
          </w:tcPr>
          <w:p w14:paraId="27799C66">
            <w:pPr>
              <w:pStyle w:val="6"/>
              <w:spacing w:before="231" w:line="214" w:lineRule="auto"/>
              <w:ind w:left="184" w:right="204"/>
            </w:pPr>
            <w:r>
              <w:rPr>
                <w:spacing w:val="-4"/>
              </w:rPr>
              <w:t>神经</w:t>
            </w:r>
            <w:r>
              <w:t xml:space="preserve"> </w:t>
            </w:r>
            <w:r>
              <w:rPr>
                <w:spacing w:val="-6"/>
              </w:rPr>
              <w:t>系统</w:t>
            </w:r>
          </w:p>
        </w:tc>
        <w:tc>
          <w:tcPr>
            <w:tcW w:w="2484" w:type="dxa"/>
            <w:vAlign w:val="top"/>
          </w:tcPr>
          <w:p w14:paraId="46C20328">
            <w:pPr>
              <w:pStyle w:val="6"/>
              <w:spacing w:before="140" w:line="211" w:lineRule="auto"/>
              <w:ind w:left="11" w:right="406"/>
              <w:jc w:val="both"/>
            </w:pPr>
            <w:r>
              <w:t>1.神经系统的组成及其功能</w:t>
            </w:r>
            <w:r>
              <w:rPr>
                <w:spacing w:val="7"/>
              </w:rPr>
              <w:t xml:space="preserve"> </w:t>
            </w:r>
            <w:r>
              <w:rPr>
                <w:spacing w:val="1"/>
              </w:rPr>
              <w:t xml:space="preserve">2.学前儿童神经系统的特点 </w:t>
            </w:r>
            <w:r>
              <w:rPr>
                <w:spacing w:val="-1"/>
              </w:rPr>
              <w:t>3.学前儿童神经系统的保健</w:t>
            </w:r>
          </w:p>
        </w:tc>
        <w:tc>
          <w:tcPr>
            <w:tcW w:w="230" w:type="dxa"/>
            <w:vAlign w:val="top"/>
          </w:tcPr>
          <w:p w14:paraId="544C69FC">
            <w:pPr>
              <w:rPr>
                <w:rFonts w:ascii="Arial"/>
                <w:sz w:val="21"/>
              </w:rPr>
            </w:pPr>
          </w:p>
        </w:tc>
        <w:tc>
          <w:tcPr>
            <w:tcW w:w="229" w:type="dxa"/>
            <w:vAlign w:val="top"/>
          </w:tcPr>
          <w:p w14:paraId="1636853D">
            <w:pPr>
              <w:rPr>
                <w:rFonts w:ascii="Arial"/>
                <w:sz w:val="21"/>
              </w:rPr>
            </w:pPr>
          </w:p>
        </w:tc>
        <w:tc>
          <w:tcPr>
            <w:tcW w:w="220" w:type="dxa"/>
            <w:vAlign w:val="top"/>
          </w:tcPr>
          <w:p w14:paraId="3BC11FF2">
            <w:pPr>
              <w:rPr>
                <w:rFonts w:ascii="Arial"/>
                <w:sz w:val="21"/>
              </w:rPr>
            </w:pPr>
          </w:p>
        </w:tc>
        <w:tc>
          <w:tcPr>
            <w:tcW w:w="234" w:type="dxa"/>
            <w:vAlign w:val="top"/>
          </w:tcPr>
          <w:p w14:paraId="4FBF6D15">
            <w:pPr>
              <w:rPr>
                <w:rFonts w:ascii="Arial"/>
                <w:sz w:val="21"/>
              </w:rPr>
            </w:pPr>
          </w:p>
        </w:tc>
      </w:tr>
      <w:tr w14:paraId="302FD5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78" w:hRule="atLeast"/>
        </w:trPr>
        <w:tc>
          <w:tcPr>
            <w:tcW w:w="733" w:type="dxa"/>
            <w:vAlign w:val="top"/>
          </w:tcPr>
          <w:p w14:paraId="74A4F1AC">
            <w:pPr>
              <w:pStyle w:val="6"/>
              <w:spacing w:before="123" w:line="207" w:lineRule="auto"/>
              <w:ind w:left="14"/>
            </w:pPr>
            <w:r>
              <w:rPr>
                <w:spacing w:val="-2"/>
              </w:rPr>
              <w:t>感觉器官</w:t>
            </w:r>
          </w:p>
          <w:p w14:paraId="5DC1F868">
            <w:pPr>
              <w:pStyle w:val="6"/>
              <w:spacing w:line="213" w:lineRule="auto"/>
              <w:ind w:left="137" w:hanging="53"/>
            </w:pPr>
            <w:r>
              <w:rPr>
                <w:spacing w:val="-17"/>
                <w:sz w:val="16"/>
                <w:szCs w:val="16"/>
              </w:rPr>
              <w:t>(眼、耳、</w:t>
            </w:r>
            <w:r>
              <w:rPr>
                <w:spacing w:val="2"/>
                <w:sz w:val="16"/>
                <w:szCs w:val="16"/>
              </w:rPr>
              <w:t xml:space="preserve"> </w:t>
            </w:r>
            <w:r>
              <w:rPr>
                <w:spacing w:val="-4"/>
              </w:rPr>
              <w:t>鼻舌)</w:t>
            </w:r>
          </w:p>
        </w:tc>
        <w:tc>
          <w:tcPr>
            <w:tcW w:w="2484" w:type="dxa"/>
            <w:vAlign w:val="top"/>
          </w:tcPr>
          <w:p w14:paraId="76157583">
            <w:pPr>
              <w:pStyle w:val="6"/>
              <w:spacing w:before="132" w:line="207" w:lineRule="auto"/>
              <w:ind w:left="11"/>
            </w:pPr>
            <w:r>
              <w:rPr>
                <w:spacing w:val="-1"/>
              </w:rPr>
              <w:t>1.眼、耳、鼻舌的组成及其功能</w:t>
            </w:r>
            <w:r>
              <w:rPr>
                <w:spacing w:val="5"/>
              </w:rPr>
              <w:t xml:space="preserve">  </w:t>
            </w:r>
            <w:r>
              <w:rPr>
                <w:spacing w:val="-6"/>
              </w:rPr>
              <w:t>2.学前儿童的眼、耳、鼻舌的特点</w:t>
            </w:r>
            <w:r>
              <w:rPr>
                <w:spacing w:val="7"/>
              </w:rPr>
              <w:t xml:space="preserve"> </w:t>
            </w:r>
            <w:r>
              <w:rPr>
                <w:spacing w:val="-6"/>
              </w:rPr>
              <w:t>3.学前儿童眼、耳、鼻舌等的保健</w:t>
            </w:r>
          </w:p>
        </w:tc>
        <w:tc>
          <w:tcPr>
            <w:tcW w:w="230" w:type="dxa"/>
            <w:vAlign w:val="top"/>
          </w:tcPr>
          <w:p w14:paraId="1E0AFF40">
            <w:pPr>
              <w:rPr>
                <w:rFonts w:ascii="Arial"/>
                <w:sz w:val="21"/>
              </w:rPr>
            </w:pPr>
          </w:p>
        </w:tc>
        <w:tc>
          <w:tcPr>
            <w:tcW w:w="229" w:type="dxa"/>
            <w:vAlign w:val="top"/>
          </w:tcPr>
          <w:p w14:paraId="250EDDB1">
            <w:pPr>
              <w:rPr>
                <w:rFonts w:ascii="Arial"/>
                <w:sz w:val="21"/>
              </w:rPr>
            </w:pPr>
          </w:p>
        </w:tc>
        <w:tc>
          <w:tcPr>
            <w:tcW w:w="220" w:type="dxa"/>
            <w:vAlign w:val="top"/>
          </w:tcPr>
          <w:p w14:paraId="724874AC">
            <w:pPr>
              <w:rPr>
                <w:rFonts w:ascii="Arial"/>
                <w:sz w:val="21"/>
              </w:rPr>
            </w:pPr>
          </w:p>
        </w:tc>
        <w:tc>
          <w:tcPr>
            <w:tcW w:w="234" w:type="dxa"/>
            <w:vAlign w:val="top"/>
          </w:tcPr>
          <w:p w14:paraId="051B6574">
            <w:pPr>
              <w:rPr>
                <w:rFonts w:ascii="Arial"/>
                <w:sz w:val="21"/>
              </w:rPr>
            </w:pPr>
          </w:p>
        </w:tc>
      </w:tr>
      <w:tr w14:paraId="5804E2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3" w:hRule="atLeast"/>
        </w:trPr>
        <w:tc>
          <w:tcPr>
            <w:tcW w:w="733" w:type="dxa"/>
            <w:vAlign w:val="top"/>
          </w:tcPr>
          <w:p w14:paraId="7F447184">
            <w:pPr>
              <w:pStyle w:val="6"/>
              <w:spacing w:before="285" w:line="220" w:lineRule="auto"/>
              <w:ind w:left="184"/>
            </w:pPr>
            <w:r>
              <w:rPr>
                <w:spacing w:val="-3"/>
              </w:rPr>
              <w:t>皮肤</w:t>
            </w:r>
          </w:p>
        </w:tc>
        <w:tc>
          <w:tcPr>
            <w:tcW w:w="2484" w:type="dxa"/>
            <w:vAlign w:val="top"/>
          </w:tcPr>
          <w:p w14:paraId="4F44949F">
            <w:pPr>
              <w:pStyle w:val="6"/>
              <w:spacing w:before="106" w:line="210" w:lineRule="auto"/>
              <w:ind w:left="11" w:right="746"/>
              <w:jc w:val="both"/>
            </w:pPr>
            <w:r>
              <w:t>1.皮肤的组成及其功能</w:t>
            </w:r>
            <w:r>
              <w:rPr>
                <w:spacing w:val="7"/>
              </w:rPr>
              <w:t xml:space="preserve"> </w:t>
            </w:r>
            <w:r>
              <w:rPr>
                <w:spacing w:val="1"/>
              </w:rPr>
              <w:t>2.学前儿童皮肤的特点</w:t>
            </w:r>
            <w:r>
              <w:rPr>
                <w:spacing w:val="3"/>
              </w:rPr>
              <w:t xml:space="preserve"> </w:t>
            </w:r>
            <w:r>
              <w:rPr>
                <w:spacing w:val="-1"/>
              </w:rPr>
              <w:t>3.学前儿童皮肤的保健</w:t>
            </w:r>
          </w:p>
        </w:tc>
        <w:tc>
          <w:tcPr>
            <w:tcW w:w="230" w:type="dxa"/>
            <w:vAlign w:val="top"/>
          </w:tcPr>
          <w:p w14:paraId="17EF6121">
            <w:pPr>
              <w:rPr>
                <w:rFonts w:ascii="Arial"/>
                <w:sz w:val="21"/>
              </w:rPr>
            </w:pPr>
          </w:p>
        </w:tc>
        <w:tc>
          <w:tcPr>
            <w:tcW w:w="229" w:type="dxa"/>
            <w:vAlign w:val="top"/>
          </w:tcPr>
          <w:p w14:paraId="278B35A2">
            <w:pPr>
              <w:rPr>
                <w:rFonts w:ascii="Arial"/>
                <w:sz w:val="21"/>
              </w:rPr>
            </w:pPr>
          </w:p>
        </w:tc>
        <w:tc>
          <w:tcPr>
            <w:tcW w:w="220" w:type="dxa"/>
            <w:vAlign w:val="top"/>
          </w:tcPr>
          <w:p w14:paraId="7FFAB447">
            <w:pPr>
              <w:rPr>
                <w:rFonts w:ascii="Arial"/>
                <w:sz w:val="21"/>
              </w:rPr>
            </w:pPr>
          </w:p>
        </w:tc>
        <w:tc>
          <w:tcPr>
            <w:tcW w:w="234" w:type="dxa"/>
            <w:vAlign w:val="top"/>
          </w:tcPr>
          <w:p w14:paraId="065D5DC5">
            <w:pPr>
              <w:rPr>
                <w:rFonts w:ascii="Arial"/>
                <w:sz w:val="21"/>
              </w:rPr>
            </w:pPr>
          </w:p>
        </w:tc>
      </w:tr>
    </w:tbl>
    <w:p w14:paraId="6457FAE7">
      <w:pPr>
        <w:spacing w:before="189" w:line="221" w:lineRule="auto"/>
        <w:ind w:left="83"/>
        <w:rPr>
          <w:rFonts w:ascii="黑体" w:hAnsi="黑体" w:eastAsia="黑体" w:cs="黑体"/>
          <w:sz w:val="23"/>
          <w:szCs w:val="23"/>
        </w:rPr>
      </w:pPr>
      <w:r>
        <w:rPr>
          <w:rFonts w:ascii="黑体" w:hAnsi="黑体" w:eastAsia="黑体" w:cs="黑体"/>
          <w:b/>
          <w:bCs/>
          <w:spacing w:val="-6"/>
          <w:sz w:val="23"/>
          <w:szCs w:val="23"/>
        </w:rPr>
        <w:t>二、学前儿童的生长发育及健康评价</w:t>
      </w:r>
    </w:p>
    <w:p w14:paraId="6F42670D">
      <w:pPr>
        <w:spacing w:line="145" w:lineRule="exact"/>
      </w:pPr>
    </w:p>
    <w:tbl>
      <w:tblPr>
        <w:tblStyle w:val="5"/>
        <w:tblW w:w="4130"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33"/>
        <w:gridCol w:w="2484"/>
        <w:gridCol w:w="230"/>
        <w:gridCol w:w="229"/>
        <w:gridCol w:w="220"/>
        <w:gridCol w:w="234"/>
      </w:tblGrid>
      <w:tr w14:paraId="3AD24C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4" w:hRule="atLeast"/>
        </w:trPr>
        <w:tc>
          <w:tcPr>
            <w:tcW w:w="733" w:type="dxa"/>
            <w:vMerge w:val="restart"/>
            <w:tcBorders>
              <w:bottom w:val="nil"/>
            </w:tcBorders>
            <w:vAlign w:val="top"/>
          </w:tcPr>
          <w:p w14:paraId="1BCC5731">
            <w:pPr>
              <w:pStyle w:val="6"/>
              <w:spacing w:before="31" w:line="206" w:lineRule="auto"/>
              <w:ind w:left="86" w:hanging="69"/>
              <w:rPr>
                <w:sz w:val="18"/>
                <w:szCs w:val="18"/>
              </w:rPr>
            </w:pPr>
            <w:r>
              <w:rPr>
                <w:b/>
                <w:bCs/>
                <w:spacing w:val="-6"/>
                <w:sz w:val="18"/>
                <w:szCs w:val="18"/>
              </w:rPr>
              <w:t>知识与技</w:t>
            </w:r>
            <w:r>
              <w:rPr>
                <w:sz w:val="18"/>
                <w:szCs w:val="18"/>
              </w:rPr>
              <w:t xml:space="preserve"> </w:t>
            </w:r>
            <w:r>
              <w:rPr>
                <w:b/>
                <w:bCs/>
                <w:sz w:val="18"/>
                <w:szCs w:val="18"/>
              </w:rPr>
              <w:t>能要点</w:t>
            </w:r>
          </w:p>
        </w:tc>
        <w:tc>
          <w:tcPr>
            <w:tcW w:w="2484" w:type="dxa"/>
            <w:vMerge w:val="restart"/>
            <w:tcBorders>
              <w:bottom w:val="nil"/>
            </w:tcBorders>
            <w:vAlign w:val="top"/>
          </w:tcPr>
          <w:p w14:paraId="3331347D">
            <w:pPr>
              <w:pStyle w:val="6"/>
              <w:spacing w:before="129" w:line="219" w:lineRule="auto"/>
              <w:ind w:left="924"/>
              <w:rPr>
                <w:sz w:val="18"/>
                <w:szCs w:val="18"/>
              </w:rPr>
            </w:pPr>
            <w:r>
              <w:rPr>
                <w:b/>
                <w:bCs/>
                <w:spacing w:val="5"/>
                <w:sz w:val="18"/>
                <w:szCs w:val="18"/>
              </w:rPr>
              <w:t>考试条目</w:t>
            </w:r>
          </w:p>
        </w:tc>
        <w:tc>
          <w:tcPr>
            <w:tcW w:w="913" w:type="dxa"/>
            <w:gridSpan w:val="4"/>
            <w:vAlign w:val="top"/>
          </w:tcPr>
          <w:p w14:paraId="14A3CAC4">
            <w:pPr>
              <w:pStyle w:val="6"/>
              <w:spacing w:before="19" w:line="199" w:lineRule="auto"/>
              <w:ind w:left="140"/>
              <w:rPr>
                <w:sz w:val="18"/>
                <w:szCs w:val="18"/>
              </w:rPr>
            </w:pPr>
            <w:r>
              <w:rPr>
                <w:b/>
                <w:bCs/>
                <w:spacing w:val="-4"/>
                <w:sz w:val="18"/>
                <w:szCs w:val="18"/>
              </w:rPr>
              <w:t>考试水平</w:t>
            </w:r>
          </w:p>
        </w:tc>
      </w:tr>
      <w:tr w14:paraId="17A0E3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9" w:hRule="atLeast"/>
        </w:trPr>
        <w:tc>
          <w:tcPr>
            <w:tcW w:w="733" w:type="dxa"/>
            <w:vMerge w:val="continue"/>
            <w:tcBorders>
              <w:top w:val="nil"/>
            </w:tcBorders>
            <w:vAlign w:val="top"/>
          </w:tcPr>
          <w:p w14:paraId="1F4BF49A">
            <w:pPr>
              <w:rPr>
                <w:rFonts w:ascii="Arial"/>
                <w:sz w:val="21"/>
              </w:rPr>
            </w:pPr>
          </w:p>
        </w:tc>
        <w:tc>
          <w:tcPr>
            <w:tcW w:w="2484" w:type="dxa"/>
            <w:vMerge w:val="continue"/>
            <w:tcBorders>
              <w:top w:val="nil"/>
            </w:tcBorders>
            <w:vAlign w:val="top"/>
          </w:tcPr>
          <w:p w14:paraId="40DE2F41">
            <w:pPr>
              <w:rPr>
                <w:rFonts w:ascii="Arial"/>
                <w:sz w:val="21"/>
              </w:rPr>
            </w:pPr>
          </w:p>
        </w:tc>
        <w:tc>
          <w:tcPr>
            <w:tcW w:w="230" w:type="dxa"/>
            <w:vAlign w:val="top"/>
          </w:tcPr>
          <w:p w14:paraId="4FED84CB">
            <w:pPr>
              <w:pStyle w:val="6"/>
              <w:spacing w:before="63" w:line="136" w:lineRule="exact"/>
              <w:ind w:left="50"/>
              <w:rPr>
                <w:sz w:val="18"/>
                <w:szCs w:val="18"/>
              </w:rPr>
            </w:pPr>
            <w:r>
              <w:rPr>
                <w:b/>
                <w:bCs/>
                <w:spacing w:val="-2"/>
                <w:position w:val="-2"/>
                <w:sz w:val="18"/>
                <w:szCs w:val="18"/>
              </w:rPr>
              <w:t>A</w:t>
            </w:r>
          </w:p>
        </w:tc>
        <w:tc>
          <w:tcPr>
            <w:tcW w:w="229" w:type="dxa"/>
            <w:vAlign w:val="top"/>
          </w:tcPr>
          <w:p w14:paraId="0B6F3719">
            <w:pPr>
              <w:pStyle w:val="6"/>
              <w:spacing w:before="66" w:line="133" w:lineRule="exact"/>
              <w:ind w:left="40"/>
              <w:rPr>
                <w:sz w:val="18"/>
                <w:szCs w:val="18"/>
              </w:rPr>
            </w:pPr>
            <w:r>
              <w:rPr>
                <w:b/>
                <w:bCs/>
                <w:spacing w:val="-2"/>
                <w:position w:val="-2"/>
                <w:sz w:val="18"/>
                <w:szCs w:val="18"/>
              </w:rPr>
              <w:t>B</w:t>
            </w:r>
          </w:p>
        </w:tc>
        <w:tc>
          <w:tcPr>
            <w:tcW w:w="220" w:type="dxa"/>
            <w:vAlign w:val="top"/>
          </w:tcPr>
          <w:p w14:paraId="0AD8A4B1">
            <w:pPr>
              <w:pStyle w:val="6"/>
              <w:spacing w:before="64" w:line="135" w:lineRule="exact"/>
              <w:ind w:left="48"/>
              <w:rPr>
                <w:sz w:val="18"/>
                <w:szCs w:val="18"/>
              </w:rPr>
            </w:pPr>
            <w:r>
              <w:rPr>
                <w:position w:val="-2"/>
                <w:sz w:val="18"/>
                <w:szCs w:val="18"/>
              </w:rPr>
              <w:t>C</w:t>
            </w:r>
          </w:p>
        </w:tc>
        <w:tc>
          <w:tcPr>
            <w:tcW w:w="234" w:type="dxa"/>
            <w:vAlign w:val="top"/>
          </w:tcPr>
          <w:p w14:paraId="00A95222">
            <w:pPr>
              <w:pStyle w:val="6"/>
              <w:spacing w:before="66" w:line="133" w:lineRule="exact"/>
              <w:ind w:left="21"/>
              <w:rPr>
                <w:sz w:val="18"/>
                <w:szCs w:val="18"/>
              </w:rPr>
            </w:pPr>
            <w:r>
              <w:rPr>
                <w:b/>
                <w:bCs/>
                <w:spacing w:val="-2"/>
                <w:position w:val="-2"/>
                <w:sz w:val="18"/>
                <w:szCs w:val="18"/>
              </w:rPr>
              <w:t>D</w:t>
            </w:r>
          </w:p>
        </w:tc>
      </w:tr>
      <w:tr w14:paraId="01069B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67" w:hRule="atLeast"/>
        </w:trPr>
        <w:tc>
          <w:tcPr>
            <w:tcW w:w="733" w:type="dxa"/>
            <w:vAlign w:val="top"/>
          </w:tcPr>
          <w:p w14:paraId="31DAF976">
            <w:pPr>
              <w:spacing w:line="293" w:lineRule="auto"/>
              <w:rPr>
                <w:rFonts w:ascii="Arial"/>
                <w:sz w:val="21"/>
              </w:rPr>
            </w:pPr>
          </w:p>
          <w:p w14:paraId="70311298">
            <w:pPr>
              <w:pStyle w:val="6"/>
              <w:spacing w:before="58" w:line="205" w:lineRule="auto"/>
              <w:ind w:left="174" w:right="173"/>
              <w:rPr>
                <w:sz w:val="18"/>
                <w:szCs w:val="18"/>
              </w:rPr>
            </w:pPr>
            <w:r>
              <w:rPr>
                <w:spacing w:val="-5"/>
                <w:sz w:val="18"/>
                <w:szCs w:val="18"/>
              </w:rPr>
              <w:t>生长</w:t>
            </w:r>
            <w:r>
              <w:rPr>
                <w:sz w:val="18"/>
                <w:szCs w:val="18"/>
              </w:rPr>
              <w:t xml:space="preserve"> </w:t>
            </w:r>
            <w:r>
              <w:rPr>
                <w:spacing w:val="7"/>
                <w:sz w:val="18"/>
                <w:szCs w:val="18"/>
              </w:rPr>
              <w:t>发育</w:t>
            </w:r>
          </w:p>
        </w:tc>
        <w:tc>
          <w:tcPr>
            <w:tcW w:w="2484" w:type="dxa"/>
            <w:vAlign w:val="top"/>
          </w:tcPr>
          <w:p w14:paraId="56CA9D66">
            <w:pPr>
              <w:pStyle w:val="6"/>
              <w:spacing w:before="179" w:line="195" w:lineRule="auto"/>
              <w:ind w:left="11"/>
              <w:rPr>
                <w:sz w:val="18"/>
                <w:szCs w:val="18"/>
              </w:rPr>
            </w:pPr>
            <w:r>
              <w:rPr>
                <w:spacing w:val="2"/>
                <w:sz w:val="18"/>
                <w:szCs w:val="18"/>
              </w:rPr>
              <w:t>1.生长、发育</w:t>
            </w:r>
          </w:p>
          <w:p w14:paraId="157560B9">
            <w:pPr>
              <w:pStyle w:val="6"/>
              <w:spacing w:line="194" w:lineRule="auto"/>
              <w:ind w:left="11"/>
              <w:rPr>
                <w:sz w:val="18"/>
                <w:szCs w:val="18"/>
              </w:rPr>
            </w:pPr>
            <w:r>
              <w:rPr>
                <w:sz w:val="18"/>
                <w:szCs w:val="18"/>
              </w:rPr>
              <w:t>2.儿童生长发育的年龄分期</w:t>
            </w:r>
          </w:p>
          <w:p w14:paraId="1C58BBEB">
            <w:pPr>
              <w:pStyle w:val="6"/>
              <w:spacing w:line="194" w:lineRule="auto"/>
              <w:ind w:left="11"/>
              <w:rPr>
                <w:sz w:val="18"/>
                <w:szCs w:val="18"/>
              </w:rPr>
            </w:pPr>
            <w:r>
              <w:rPr>
                <w:spacing w:val="-1"/>
                <w:sz w:val="18"/>
                <w:szCs w:val="18"/>
              </w:rPr>
              <w:t>3.学前儿童生长发育的规律</w:t>
            </w:r>
          </w:p>
          <w:p w14:paraId="3196F20D">
            <w:pPr>
              <w:pStyle w:val="6"/>
              <w:spacing w:line="219" w:lineRule="auto"/>
              <w:jc w:val="right"/>
              <w:rPr>
                <w:sz w:val="18"/>
                <w:szCs w:val="18"/>
              </w:rPr>
            </w:pPr>
            <w:r>
              <w:rPr>
                <w:spacing w:val="-4"/>
                <w:sz w:val="18"/>
                <w:szCs w:val="18"/>
              </w:rPr>
              <w:t>4.影响学前儿童生长发育的因素</w:t>
            </w:r>
          </w:p>
        </w:tc>
        <w:tc>
          <w:tcPr>
            <w:tcW w:w="230" w:type="dxa"/>
            <w:vAlign w:val="top"/>
          </w:tcPr>
          <w:p w14:paraId="030B9F2A">
            <w:pPr>
              <w:pStyle w:val="6"/>
              <w:spacing w:before="258" w:line="219" w:lineRule="auto"/>
              <w:ind w:left="18"/>
              <w:rPr>
                <w:sz w:val="18"/>
                <w:szCs w:val="18"/>
              </w:rPr>
            </w:pPr>
            <w:r>
              <w:rPr>
                <w:sz w:val="18"/>
                <w:szCs w:val="18"/>
              </w:rPr>
              <w:t>才</w:t>
            </w:r>
          </w:p>
        </w:tc>
        <w:tc>
          <w:tcPr>
            <w:tcW w:w="229" w:type="dxa"/>
            <w:vAlign w:val="top"/>
          </w:tcPr>
          <w:p w14:paraId="75C03142">
            <w:pPr>
              <w:spacing w:line="352" w:lineRule="auto"/>
              <w:rPr>
                <w:rFonts w:ascii="Arial"/>
                <w:sz w:val="21"/>
              </w:rPr>
            </w:pPr>
          </w:p>
          <w:p w14:paraId="2BDD7AB0">
            <w:pPr>
              <w:spacing w:line="352" w:lineRule="auto"/>
              <w:rPr>
                <w:rFonts w:ascii="Arial"/>
                <w:sz w:val="21"/>
              </w:rPr>
            </w:pPr>
          </w:p>
          <w:p w14:paraId="37AE9ABC">
            <w:pPr>
              <w:pStyle w:val="6"/>
              <w:spacing w:before="59" w:line="238" w:lineRule="auto"/>
              <w:ind w:left="27"/>
              <w:rPr>
                <w:sz w:val="18"/>
                <w:szCs w:val="18"/>
              </w:rPr>
            </w:pPr>
            <w:r>
              <w:rPr>
                <w:sz w:val="18"/>
                <w:szCs w:val="18"/>
              </w:rPr>
              <w:t>√</w:t>
            </w:r>
          </w:p>
        </w:tc>
        <w:tc>
          <w:tcPr>
            <w:tcW w:w="220" w:type="dxa"/>
            <w:vAlign w:val="top"/>
          </w:tcPr>
          <w:p w14:paraId="3BF31673">
            <w:pPr>
              <w:rPr>
                <w:rFonts w:ascii="Arial"/>
                <w:sz w:val="21"/>
              </w:rPr>
            </w:pPr>
          </w:p>
        </w:tc>
        <w:tc>
          <w:tcPr>
            <w:tcW w:w="234" w:type="dxa"/>
            <w:vAlign w:val="top"/>
          </w:tcPr>
          <w:p w14:paraId="6B4C4F20">
            <w:pPr>
              <w:rPr>
                <w:rFonts w:ascii="Arial"/>
                <w:sz w:val="21"/>
              </w:rPr>
            </w:pPr>
          </w:p>
        </w:tc>
      </w:tr>
      <w:tr w14:paraId="127AE5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879" w:hRule="atLeast"/>
        </w:trPr>
        <w:tc>
          <w:tcPr>
            <w:tcW w:w="733" w:type="dxa"/>
            <w:vAlign w:val="top"/>
          </w:tcPr>
          <w:p w14:paraId="034A37E1">
            <w:pPr>
              <w:spacing w:line="300" w:lineRule="auto"/>
              <w:rPr>
                <w:rFonts w:ascii="Arial"/>
                <w:sz w:val="21"/>
              </w:rPr>
            </w:pPr>
          </w:p>
          <w:p w14:paraId="2D70E109">
            <w:pPr>
              <w:spacing w:line="300" w:lineRule="auto"/>
              <w:rPr>
                <w:rFonts w:ascii="Arial"/>
                <w:sz w:val="21"/>
              </w:rPr>
            </w:pPr>
          </w:p>
          <w:p w14:paraId="49B3ECE5">
            <w:pPr>
              <w:pStyle w:val="6"/>
              <w:spacing w:before="58" w:line="205" w:lineRule="auto"/>
              <w:ind w:left="84"/>
              <w:rPr>
                <w:sz w:val="18"/>
                <w:szCs w:val="18"/>
              </w:rPr>
            </w:pPr>
            <w:r>
              <w:rPr>
                <w:spacing w:val="-2"/>
                <w:sz w:val="18"/>
                <w:szCs w:val="18"/>
              </w:rPr>
              <w:t>生长发</w:t>
            </w:r>
          </w:p>
          <w:p w14:paraId="5D072BF1">
            <w:pPr>
              <w:pStyle w:val="6"/>
              <w:spacing w:line="219" w:lineRule="auto"/>
              <w:ind w:left="174"/>
              <w:rPr>
                <w:sz w:val="18"/>
                <w:szCs w:val="18"/>
              </w:rPr>
            </w:pPr>
            <w:r>
              <w:rPr>
                <w:spacing w:val="7"/>
                <w:sz w:val="18"/>
                <w:szCs w:val="18"/>
              </w:rPr>
              <w:t>育的</w:t>
            </w:r>
          </w:p>
          <w:p w14:paraId="3EE1F0D4">
            <w:pPr>
              <w:pStyle w:val="6"/>
              <w:spacing w:before="24" w:line="218" w:lineRule="auto"/>
              <w:ind w:left="174"/>
              <w:rPr>
                <w:sz w:val="18"/>
                <w:szCs w:val="18"/>
              </w:rPr>
            </w:pPr>
            <w:r>
              <w:rPr>
                <w:spacing w:val="-2"/>
                <w:sz w:val="18"/>
                <w:szCs w:val="18"/>
              </w:rPr>
              <w:t>评价</w:t>
            </w:r>
          </w:p>
        </w:tc>
        <w:tc>
          <w:tcPr>
            <w:tcW w:w="2484" w:type="dxa"/>
            <w:vAlign w:val="top"/>
          </w:tcPr>
          <w:p w14:paraId="262D5E59">
            <w:pPr>
              <w:pStyle w:val="6"/>
              <w:spacing w:before="213" w:line="194" w:lineRule="auto"/>
              <w:ind w:left="11" w:right="31"/>
              <w:jc w:val="both"/>
              <w:rPr>
                <w:sz w:val="18"/>
                <w:szCs w:val="18"/>
              </w:rPr>
            </w:pPr>
            <w:r>
              <w:rPr>
                <w:spacing w:val="6"/>
                <w:sz w:val="18"/>
                <w:szCs w:val="18"/>
              </w:rPr>
              <w:t>1.体重、身高(身长)、头围、</w:t>
            </w:r>
            <w:r>
              <w:rPr>
                <w:sz w:val="18"/>
                <w:szCs w:val="18"/>
              </w:rPr>
              <w:t xml:space="preserve"> </w:t>
            </w:r>
            <w:r>
              <w:rPr>
                <w:spacing w:val="6"/>
                <w:sz w:val="18"/>
                <w:szCs w:val="18"/>
              </w:rPr>
              <w:t>胸围、坐高、肺活量、脉搏、</w:t>
            </w:r>
            <w:r>
              <w:rPr>
                <w:spacing w:val="10"/>
                <w:sz w:val="18"/>
                <w:szCs w:val="18"/>
              </w:rPr>
              <w:t xml:space="preserve"> </w:t>
            </w:r>
            <w:r>
              <w:rPr>
                <w:spacing w:val="-1"/>
                <w:sz w:val="18"/>
                <w:szCs w:val="18"/>
              </w:rPr>
              <w:t>血压等的测量方法</w:t>
            </w:r>
          </w:p>
          <w:p w14:paraId="71AD39DD">
            <w:pPr>
              <w:pStyle w:val="6"/>
              <w:spacing w:line="195" w:lineRule="auto"/>
              <w:ind w:left="11"/>
              <w:rPr>
                <w:sz w:val="18"/>
                <w:szCs w:val="18"/>
              </w:rPr>
            </w:pPr>
            <w:r>
              <w:rPr>
                <w:spacing w:val="-7"/>
                <w:sz w:val="18"/>
                <w:szCs w:val="18"/>
              </w:rPr>
              <w:t>2.学前儿童生长发育的评价方</w:t>
            </w:r>
            <w:r>
              <w:rPr>
                <w:spacing w:val="2"/>
                <w:sz w:val="18"/>
                <w:szCs w:val="18"/>
              </w:rPr>
              <w:t xml:space="preserve">   </w:t>
            </w:r>
            <w:r>
              <w:rPr>
                <w:spacing w:val="-5"/>
                <w:sz w:val="18"/>
                <w:szCs w:val="18"/>
              </w:rPr>
              <w:t>法：指数评价法、等级评价法、</w:t>
            </w:r>
            <w:r>
              <w:rPr>
                <w:spacing w:val="11"/>
                <w:sz w:val="18"/>
                <w:szCs w:val="18"/>
              </w:rPr>
              <w:t xml:space="preserve"> </w:t>
            </w:r>
            <w:r>
              <w:rPr>
                <w:spacing w:val="-6"/>
                <w:sz w:val="18"/>
                <w:szCs w:val="18"/>
              </w:rPr>
              <w:t>百分位数评价法、三项指标综</w:t>
            </w:r>
            <w:r>
              <w:rPr>
                <w:spacing w:val="1"/>
                <w:sz w:val="18"/>
                <w:szCs w:val="18"/>
              </w:rPr>
              <w:t xml:space="preserve">   </w:t>
            </w:r>
            <w:r>
              <w:rPr>
                <w:spacing w:val="-7"/>
                <w:sz w:val="18"/>
                <w:szCs w:val="18"/>
              </w:rPr>
              <w:t>合评价法</w:t>
            </w:r>
          </w:p>
          <w:p w14:paraId="2E70F14D">
            <w:pPr>
              <w:pStyle w:val="6"/>
              <w:spacing w:line="219" w:lineRule="auto"/>
              <w:jc w:val="right"/>
              <w:rPr>
                <w:sz w:val="18"/>
                <w:szCs w:val="18"/>
              </w:rPr>
            </w:pPr>
            <w:r>
              <w:rPr>
                <w:spacing w:val="-4"/>
                <w:sz w:val="18"/>
                <w:szCs w:val="18"/>
              </w:rPr>
              <w:t>3.学前儿童健康检查的时间规定</w:t>
            </w:r>
          </w:p>
        </w:tc>
        <w:tc>
          <w:tcPr>
            <w:tcW w:w="230" w:type="dxa"/>
            <w:vAlign w:val="top"/>
          </w:tcPr>
          <w:p w14:paraId="143E7F5B">
            <w:pPr>
              <w:rPr>
                <w:rFonts w:ascii="Arial"/>
                <w:sz w:val="21"/>
              </w:rPr>
            </w:pPr>
          </w:p>
        </w:tc>
        <w:tc>
          <w:tcPr>
            <w:tcW w:w="229" w:type="dxa"/>
            <w:vAlign w:val="top"/>
          </w:tcPr>
          <w:p w14:paraId="6C3CC05F">
            <w:pPr>
              <w:rPr>
                <w:rFonts w:ascii="Arial"/>
                <w:sz w:val="21"/>
              </w:rPr>
            </w:pPr>
          </w:p>
        </w:tc>
        <w:tc>
          <w:tcPr>
            <w:tcW w:w="220" w:type="dxa"/>
            <w:vAlign w:val="top"/>
          </w:tcPr>
          <w:p w14:paraId="16EAFB30">
            <w:pPr>
              <w:rPr>
                <w:rFonts w:ascii="Arial"/>
                <w:sz w:val="21"/>
              </w:rPr>
            </w:pPr>
          </w:p>
        </w:tc>
        <w:tc>
          <w:tcPr>
            <w:tcW w:w="234" w:type="dxa"/>
            <w:vAlign w:val="top"/>
          </w:tcPr>
          <w:p w14:paraId="4E9CFA5C">
            <w:pPr>
              <w:rPr>
                <w:rFonts w:ascii="Arial"/>
                <w:sz w:val="21"/>
              </w:rPr>
            </w:pPr>
          </w:p>
        </w:tc>
      </w:tr>
    </w:tbl>
    <w:p w14:paraId="595CF6C6">
      <w:pPr>
        <w:spacing w:before="289" w:line="221" w:lineRule="auto"/>
        <w:ind w:left="83"/>
        <w:rPr>
          <w:rFonts w:ascii="黑体" w:hAnsi="黑体" w:eastAsia="黑体" w:cs="黑体"/>
          <w:sz w:val="23"/>
          <w:szCs w:val="23"/>
        </w:rPr>
      </w:pPr>
      <w:r>
        <w:rPr>
          <w:rFonts w:ascii="黑体" w:hAnsi="黑体" w:eastAsia="黑体" w:cs="黑体"/>
          <w:b/>
          <w:bCs/>
          <w:spacing w:val="-5"/>
          <w:sz w:val="23"/>
          <w:szCs w:val="23"/>
        </w:rPr>
        <w:t>三、学前儿童的营养卫生与保健</w:t>
      </w:r>
    </w:p>
    <w:p w14:paraId="22827320">
      <w:pPr>
        <w:spacing w:line="195" w:lineRule="exact"/>
      </w:pPr>
    </w:p>
    <w:tbl>
      <w:tblPr>
        <w:tblStyle w:val="5"/>
        <w:tblW w:w="4130"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43"/>
        <w:gridCol w:w="2484"/>
        <w:gridCol w:w="220"/>
        <w:gridCol w:w="229"/>
        <w:gridCol w:w="220"/>
        <w:gridCol w:w="234"/>
      </w:tblGrid>
      <w:tr w14:paraId="687C7D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4" w:hRule="atLeast"/>
        </w:trPr>
        <w:tc>
          <w:tcPr>
            <w:tcW w:w="743" w:type="dxa"/>
            <w:vMerge w:val="restart"/>
            <w:tcBorders>
              <w:bottom w:val="nil"/>
            </w:tcBorders>
            <w:vAlign w:val="top"/>
          </w:tcPr>
          <w:p w14:paraId="5FF1344D">
            <w:pPr>
              <w:pStyle w:val="6"/>
              <w:spacing w:before="21" w:line="211" w:lineRule="auto"/>
              <w:ind w:left="97" w:right="6" w:hanging="80"/>
              <w:rPr>
                <w:sz w:val="18"/>
                <w:szCs w:val="18"/>
              </w:rPr>
            </w:pPr>
            <w:r>
              <w:rPr>
                <w:b/>
                <w:bCs/>
                <w:spacing w:val="-5"/>
                <w:sz w:val="18"/>
                <w:szCs w:val="18"/>
              </w:rPr>
              <w:t>知识与技</w:t>
            </w:r>
            <w:r>
              <w:rPr>
                <w:sz w:val="18"/>
                <w:szCs w:val="18"/>
              </w:rPr>
              <w:t xml:space="preserve"> </w:t>
            </w:r>
            <w:r>
              <w:rPr>
                <w:b/>
                <w:bCs/>
                <w:spacing w:val="1"/>
                <w:sz w:val="18"/>
                <w:szCs w:val="18"/>
              </w:rPr>
              <w:t>能要点</w:t>
            </w:r>
          </w:p>
        </w:tc>
        <w:tc>
          <w:tcPr>
            <w:tcW w:w="2484" w:type="dxa"/>
            <w:vMerge w:val="restart"/>
            <w:tcBorders>
              <w:bottom w:val="nil"/>
            </w:tcBorders>
            <w:vAlign w:val="top"/>
          </w:tcPr>
          <w:p w14:paraId="14EB2BD3">
            <w:pPr>
              <w:pStyle w:val="6"/>
              <w:spacing w:before="129" w:line="219" w:lineRule="auto"/>
              <w:ind w:left="924"/>
              <w:rPr>
                <w:sz w:val="18"/>
                <w:szCs w:val="18"/>
              </w:rPr>
            </w:pPr>
            <w:r>
              <w:rPr>
                <w:b/>
                <w:bCs/>
                <w:spacing w:val="5"/>
                <w:sz w:val="18"/>
                <w:szCs w:val="18"/>
              </w:rPr>
              <w:t>考试条目</w:t>
            </w:r>
          </w:p>
        </w:tc>
        <w:tc>
          <w:tcPr>
            <w:tcW w:w="903" w:type="dxa"/>
            <w:gridSpan w:val="4"/>
            <w:vAlign w:val="top"/>
          </w:tcPr>
          <w:p w14:paraId="1BADE314">
            <w:pPr>
              <w:pStyle w:val="6"/>
              <w:spacing w:before="29" w:line="199" w:lineRule="auto"/>
              <w:ind w:left="120"/>
              <w:rPr>
                <w:sz w:val="18"/>
                <w:szCs w:val="18"/>
              </w:rPr>
            </w:pPr>
            <w:r>
              <w:rPr>
                <w:b/>
                <w:bCs/>
                <w:spacing w:val="-4"/>
                <w:sz w:val="18"/>
                <w:szCs w:val="18"/>
              </w:rPr>
              <w:t>考试水平</w:t>
            </w:r>
          </w:p>
        </w:tc>
      </w:tr>
      <w:tr w14:paraId="6B1A99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99" w:hRule="atLeast"/>
        </w:trPr>
        <w:tc>
          <w:tcPr>
            <w:tcW w:w="743" w:type="dxa"/>
            <w:vMerge w:val="continue"/>
            <w:tcBorders>
              <w:top w:val="nil"/>
            </w:tcBorders>
            <w:vAlign w:val="top"/>
          </w:tcPr>
          <w:p w14:paraId="144F4919">
            <w:pPr>
              <w:rPr>
                <w:rFonts w:ascii="Arial"/>
                <w:sz w:val="21"/>
              </w:rPr>
            </w:pPr>
          </w:p>
        </w:tc>
        <w:tc>
          <w:tcPr>
            <w:tcW w:w="2484" w:type="dxa"/>
            <w:vMerge w:val="continue"/>
            <w:tcBorders>
              <w:top w:val="nil"/>
            </w:tcBorders>
            <w:vAlign w:val="top"/>
          </w:tcPr>
          <w:p w14:paraId="71DF838E">
            <w:pPr>
              <w:rPr>
                <w:rFonts w:ascii="Arial"/>
                <w:sz w:val="21"/>
              </w:rPr>
            </w:pPr>
          </w:p>
        </w:tc>
        <w:tc>
          <w:tcPr>
            <w:tcW w:w="220" w:type="dxa"/>
            <w:vAlign w:val="top"/>
          </w:tcPr>
          <w:p w14:paraId="1742D308">
            <w:pPr>
              <w:pStyle w:val="6"/>
              <w:spacing w:before="43" w:line="145" w:lineRule="exact"/>
              <w:ind w:left="37"/>
              <w:rPr>
                <w:sz w:val="18"/>
                <w:szCs w:val="18"/>
              </w:rPr>
            </w:pPr>
            <w:r>
              <w:rPr>
                <w:position w:val="-2"/>
                <w:sz w:val="18"/>
                <w:szCs w:val="18"/>
              </w:rPr>
              <w:t>A</w:t>
            </w:r>
          </w:p>
        </w:tc>
        <w:tc>
          <w:tcPr>
            <w:tcW w:w="229" w:type="dxa"/>
            <w:vAlign w:val="top"/>
          </w:tcPr>
          <w:p w14:paraId="4ACCA5B3">
            <w:pPr>
              <w:pStyle w:val="6"/>
              <w:spacing w:before="46" w:line="142" w:lineRule="exact"/>
              <w:ind w:left="20"/>
              <w:rPr>
                <w:sz w:val="18"/>
                <w:szCs w:val="18"/>
              </w:rPr>
            </w:pPr>
            <w:r>
              <w:rPr>
                <w:b/>
                <w:bCs/>
                <w:spacing w:val="-2"/>
                <w:position w:val="-2"/>
                <w:sz w:val="18"/>
                <w:szCs w:val="18"/>
              </w:rPr>
              <w:t>B</w:t>
            </w:r>
          </w:p>
        </w:tc>
        <w:tc>
          <w:tcPr>
            <w:tcW w:w="220" w:type="dxa"/>
            <w:vAlign w:val="top"/>
          </w:tcPr>
          <w:p w14:paraId="4952359F">
            <w:pPr>
              <w:pStyle w:val="6"/>
              <w:spacing w:before="44" w:line="144" w:lineRule="exact"/>
              <w:ind w:left="18"/>
              <w:rPr>
                <w:sz w:val="18"/>
                <w:szCs w:val="18"/>
              </w:rPr>
            </w:pPr>
            <w:r>
              <w:rPr>
                <w:position w:val="-2"/>
                <w:sz w:val="18"/>
                <w:szCs w:val="18"/>
              </w:rPr>
              <w:t>C</w:t>
            </w:r>
          </w:p>
        </w:tc>
        <w:tc>
          <w:tcPr>
            <w:tcW w:w="234" w:type="dxa"/>
            <w:vAlign w:val="top"/>
          </w:tcPr>
          <w:p w14:paraId="0987D775">
            <w:pPr>
              <w:pStyle w:val="6"/>
              <w:spacing w:before="46" w:line="142" w:lineRule="exact"/>
              <w:ind w:left="51"/>
              <w:rPr>
                <w:sz w:val="18"/>
                <w:szCs w:val="18"/>
              </w:rPr>
            </w:pPr>
            <w:r>
              <w:rPr>
                <w:b/>
                <w:bCs/>
                <w:spacing w:val="-2"/>
                <w:position w:val="-2"/>
                <w:sz w:val="18"/>
                <w:szCs w:val="18"/>
              </w:rPr>
              <w:t>D</w:t>
            </w:r>
          </w:p>
        </w:tc>
      </w:tr>
      <w:tr w14:paraId="075191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75" w:hRule="atLeast"/>
        </w:trPr>
        <w:tc>
          <w:tcPr>
            <w:tcW w:w="743" w:type="dxa"/>
            <w:vAlign w:val="top"/>
          </w:tcPr>
          <w:p w14:paraId="147A6CCC">
            <w:pPr>
              <w:spacing w:line="408" w:lineRule="auto"/>
              <w:rPr>
                <w:rFonts w:ascii="Arial"/>
                <w:sz w:val="21"/>
              </w:rPr>
            </w:pPr>
          </w:p>
          <w:p w14:paraId="30C19A60">
            <w:pPr>
              <w:pStyle w:val="6"/>
              <w:spacing w:before="58" w:line="195" w:lineRule="auto"/>
              <w:ind w:left="94"/>
              <w:rPr>
                <w:sz w:val="18"/>
                <w:szCs w:val="18"/>
              </w:rPr>
            </w:pPr>
            <w:r>
              <w:rPr>
                <w:spacing w:val="-2"/>
                <w:sz w:val="18"/>
                <w:szCs w:val="18"/>
              </w:rPr>
              <w:t>幼儿对</w:t>
            </w:r>
          </w:p>
          <w:p w14:paraId="1E7114AB">
            <w:pPr>
              <w:pStyle w:val="6"/>
              <w:spacing w:line="205" w:lineRule="auto"/>
              <w:ind w:left="94"/>
              <w:rPr>
                <w:sz w:val="18"/>
                <w:szCs w:val="18"/>
              </w:rPr>
            </w:pPr>
            <w:r>
              <w:rPr>
                <w:spacing w:val="4"/>
                <w:sz w:val="18"/>
                <w:szCs w:val="18"/>
              </w:rPr>
              <w:t>营养的</w:t>
            </w:r>
          </w:p>
          <w:p w14:paraId="09254711">
            <w:pPr>
              <w:pStyle w:val="6"/>
              <w:spacing w:line="220" w:lineRule="auto"/>
              <w:ind w:left="184"/>
              <w:rPr>
                <w:sz w:val="18"/>
                <w:szCs w:val="18"/>
              </w:rPr>
            </w:pPr>
            <w:r>
              <w:rPr>
                <w:spacing w:val="4"/>
                <w:sz w:val="18"/>
                <w:szCs w:val="18"/>
              </w:rPr>
              <w:t>需要</w:t>
            </w:r>
          </w:p>
        </w:tc>
        <w:tc>
          <w:tcPr>
            <w:tcW w:w="2484" w:type="dxa"/>
            <w:vAlign w:val="top"/>
          </w:tcPr>
          <w:p w14:paraId="03C2CF9C">
            <w:pPr>
              <w:pStyle w:val="6"/>
              <w:spacing w:before="88" w:line="195" w:lineRule="auto"/>
              <w:ind w:left="11"/>
              <w:rPr>
                <w:sz w:val="18"/>
                <w:szCs w:val="18"/>
              </w:rPr>
            </w:pPr>
            <w:r>
              <w:rPr>
                <w:spacing w:val="-4"/>
                <w:sz w:val="18"/>
                <w:szCs w:val="18"/>
              </w:rPr>
              <w:t>1.营养的理解及错误观念的识别</w:t>
            </w:r>
            <w:r>
              <w:rPr>
                <w:spacing w:val="1"/>
                <w:sz w:val="18"/>
                <w:szCs w:val="18"/>
              </w:rPr>
              <w:t xml:space="preserve"> </w:t>
            </w:r>
            <w:r>
              <w:rPr>
                <w:sz w:val="18"/>
                <w:szCs w:val="18"/>
              </w:rPr>
              <w:t xml:space="preserve">2.优质蛋白质及蛋白质的互补  </w:t>
            </w:r>
            <w:r>
              <w:rPr>
                <w:spacing w:val="14"/>
                <w:sz w:val="18"/>
                <w:szCs w:val="18"/>
              </w:rPr>
              <w:t>作用</w:t>
            </w:r>
          </w:p>
          <w:p w14:paraId="65AEA4D6">
            <w:pPr>
              <w:pStyle w:val="6"/>
              <w:spacing w:before="2" w:line="203" w:lineRule="auto"/>
              <w:ind w:left="11"/>
              <w:rPr>
                <w:sz w:val="18"/>
                <w:szCs w:val="18"/>
              </w:rPr>
            </w:pPr>
            <w:r>
              <w:rPr>
                <w:spacing w:val="-2"/>
                <w:sz w:val="18"/>
                <w:szCs w:val="18"/>
              </w:rPr>
              <w:t>3.各种营养素的主要生理功能</w:t>
            </w:r>
            <w:r>
              <w:rPr>
                <w:spacing w:val="4"/>
                <w:sz w:val="18"/>
                <w:szCs w:val="18"/>
              </w:rPr>
              <w:t xml:space="preserve">  </w:t>
            </w:r>
            <w:r>
              <w:rPr>
                <w:spacing w:val="-4"/>
                <w:sz w:val="18"/>
                <w:szCs w:val="18"/>
              </w:rPr>
              <w:t>4.学前儿童各种营养素供给量不</w:t>
            </w:r>
            <w:r>
              <w:rPr>
                <w:spacing w:val="1"/>
                <w:sz w:val="18"/>
                <w:szCs w:val="18"/>
              </w:rPr>
              <w:t xml:space="preserve"> </w:t>
            </w:r>
            <w:r>
              <w:rPr>
                <w:spacing w:val="-2"/>
                <w:sz w:val="18"/>
                <w:szCs w:val="18"/>
              </w:rPr>
              <w:t>足或过量时的不良影响及表现</w:t>
            </w:r>
            <w:r>
              <w:rPr>
                <w:spacing w:val="3"/>
                <w:sz w:val="18"/>
                <w:szCs w:val="18"/>
              </w:rPr>
              <w:t xml:space="preserve">  </w:t>
            </w:r>
            <w:r>
              <w:rPr>
                <w:spacing w:val="-2"/>
                <w:sz w:val="18"/>
                <w:szCs w:val="18"/>
              </w:rPr>
              <w:t>5.各种营养素的食物来源</w:t>
            </w:r>
          </w:p>
        </w:tc>
        <w:tc>
          <w:tcPr>
            <w:tcW w:w="220" w:type="dxa"/>
            <w:vAlign w:val="top"/>
          </w:tcPr>
          <w:p w14:paraId="5FA5BDE6">
            <w:pPr>
              <w:spacing w:line="337" w:lineRule="auto"/>
              <w:rPr>
                <w:rFonts w:ascii="Arial"/>
                <w:sz w:val="21"/>
              </w:rPr>
            </w:pPr>
          </w:p>
          <w:p w14:paraId="4F6E5FB9">
            <w:pPr>
              <w:spacing w:line="337" w:lineRule="auto"/>
              <w:rPr>
                <w:rFonts w:ascii="Arial"/>
                <w:sz w:val="21"/>
              </w:rPr>
            </w:pPr>
          </w:p>
          <w:p w14:paraId="397DE7C0">
            <w:pPr>
              <w:spacing w:line="306" w:lineRule="exact"/>
              <w:ind w:firstLine="45"/>
            </w:pPr>
            <w:r>
              <w:rPr>
                <w:position w:val="-6"/>
              </w:rPr>
              <w:drawing>
                <wp:inline distT="0" distB="0" distL="0" distR="0">
                  <wp:extent cx="85090" cy="194310"/>
                  <wp:effectExtent l="0" t="0" r="0" b="0"/>
                  <wp:docPr id="382" name="IM 382"/>
                  <wp:cNvGraphicFramePr/>
                  <a:graphic xmlns:a="http://schemas.openxmlformats.org/drawingml/2006/main">
                    <a:graphicData uri="http://schemas.openxmlformats.org/drawingml/2006/picture">
                      <pic:pic xmlns:pic="http://schemas.openxmlformats.org/drawingml/2006/picture">
                        <pic:nvPicPr>
                          <pic:cNvPr id="382" name="IM 382"/>
                          <pic:cNvPicPr/>
                        </pic:nvPicPr>
                        <pic:blipFill>
                          <a:blip r:embed="rId355"/>
                          <a:stretch>
                            <a:fillRect/>
                          </a:stretch>
                        </pic:blipFill>
                        <pic:spPr>
                          <a:xfrm>
                            <a:off x="0" y="0"/>
                            <a:ext cx="85696" cy="194313"/>
                          </a:xfrm>
                          <a:prstGeom prst="rect">
                            <a:avLst/>
                          </a:prstGeom>
                        </pic:spPr>
                      </pic:pic>
                    </a:graphicData>
                  </a:graphic>
                </wp:inline>
              </w:drawing>
            </w:r>
          </w:p>
        </w:tc>
        <w:tc>
          <w:tcPr>
            <w:tcW w:w="229" w:type="dxa"/>
            <w:vAlign w:val="top"/>
          </w:tcPr>
          <w:p w14:paraId="61F03DBE">
            <w:pPr>
              <w:spacing w:before="143" w:line="281" w:lineRule="exact"/>
              <w:ind w:firstLine="48"/>
            </w:pPr>
            <w:r>
              <w:rPr>
                <w:position w:val="-5"/>
              </w:rPr>
              <w:drawing>
                <wp:inline distT="0" distB="0" distL="0" distR="0">
                  <wp:extent cx="91440" cy="178435"/>
                  <wp:effectExtent l="0" t="0" r="0" b="0"/>
                  <wp:docPr id="384" name="IM 384"/>
                  <wp:cNvGraphicFramePr/>
                  <a:graphic xmlns:a="http://schemas.openxmlformats.org/drawingml/2006/main">
                    <a:graphicData uri="http://schemas.openxmlformats.org/drawingml/2006/picture">
                      <pic:pic xmlns:pic="http://schemas.openxmlformats.org/drawingml/2006/picture">
                        <pic:nvPicPr>
                          <pic:cNvPr id="384" name="IM 384"/>
                          <pic:cNvPicPr/>
                        </pic:nvPicPr>
                        <pic:blipFill>
                          <a:blip r:embed="rId356"/>
                          <a:stretch>
                            <a:fillRect/>
                          </a:stretch>
                        </pic:blipFill>
                        <pic:spPr>
                          <a:xfrm>
                            <a:off x="0" y="0"/>
                            <a:ext cx="92059" cy="178588"/>
                          </a:xfrm>
                          <a:prstGeom prst="rect">
                            <a:avLst/>
                          </a:prstGeom>
                        </pic:spPr>
                      </pic:pic>
                    </a:graphicData>
                  </a:graphic>
                </wp:inline>
              </w:drawing>
            </w:r>
          </w:p>
        </w:tc>
        <w:tc>
          <w:tcPr>
            <w:tcW w:w="220" w:type="dxa"/>
            <w:vAlign w:val="top"/>
          </w:tcPr>
          <w:p w14:paraId="603EFFE3">
            <w:pPr>
              <w:rPr>
                <w:rFonts w:ascii="Arial"/>
                <w:sz w:val="21"/>
              </w:rPr>
            </w:pPr>
          </w:p>
        </w:tc>
        <w:tc>
          <w:tcPr>
            <w:tcW w:w="234" w:type="dxa"/>
            <w:vAlign w:val="top"/>
          </w:tcPr>
          <w:p w14:paraId="7EE80375">
            <w:pPr>
              <w:rPr>
                <w:rFonts w:ascii="Arial"/>
                <w:sz w:val="21"/>
              </w:rPr>
            </w:pPr>
          </w:p>
        </w:tc>
      </w:tr>
      <w:tr w14:paraId="0DD5CF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92" w:hRule="atLeast"/>
        </w:trPr>
        <w:tc>
          <w:tcPr>
            <w:tcW w:w="743" w:type="dxa"/>
            <w:vAlign w:val="top"/>
          </w:tcPr>
          <w:p w14:paraId="2BB4E698">
            <w:pPr>
              <w:pStyle w:val="6"/>
              <w:spacing w:before="184" w:line="207" w:lineRule="auto"/>
              <w:ind w:left="94" w:right="105"/>
              <w:jc w:val="both"/>
              <w:rPr>
                <w:sz w:val="18"/>
                <w:szCs w:val="18"/>
              </w:rPr>
            </w:pPr>
            <w:r>
              <w:rPr>
                <w:spacing w:val="-4"/>
                <w:sz w:val="18"/>
                <w:szCs w:val="18"/>
              </w:rPr>
              <w:t>学前儿</w:t>
            </w:r>
            <w:r>
              <w:rPr>
                <w:sz w:val="18"/>
                <w:szCs w:val="18"/>
              </w:rPr>
              <w:t xml:space="preserve"> </w:t>
            </w:r>
            <w:r>
              <w:rPr>
                <w:spacing w:val="-3"/>
                <w:sz w:val="18"/>
                <w:szCs w:val="18"/>
              </w:rPr>
              <w:t>童的膳</w:t>
            </w:r>
            <w:r>
              <w:rPr>
                <w:sz w:val="18"/>
                <w:szCs w:val="18"/>
              </w:rPr>
              <w:t xml:space="preserve"> </w:t>
            </w:r>
            <w:r>
              <w:rPr>
                <w:spacing w:val="-3"/>
                <w:sz w:val="18"/>
                <w:szCs w:val="18"/>
              </w:rPr>
              <w:t>食卫生</w:t>
            </w:r>
          </w:p>
        </w:tc>
        <w:tc>
          <w:tcPr>
            <w:tcW w:w="2484" w:type="dxa"/>
            <w:vAlign w:val="top"/>
          </w:tcPr>
          <w:p w14:paraId="37E74E2D">
            <w:pPr>
              <w:pStyle w:val="6"/>
              <w:spacing w:before="74" w:line="200" w:lineRule="auto"/>
              <w:ind w:left="11" w:right="102" w:firstLine="10"/>
              <w:rPr>
                <w:sz w:val="18"/>
                <w:szCs w:val="18"/>
              </w:rPr>
            </w:pPr>
            <w:r>
              <w:rPr>
                <w:sz w:val="18"/>
                <w:szCs w:val="18"/>
              </w:rPr>
              <w:t>1.学前儿童膳食的配制原则及</w:t>
            </w:r>
            <w:r>
              <w:rPr>
                <w:spacing w:val="8"/>
                <w:sz w:val="18"/>
                <w:szCs w:val="18"/>
              </w:rPr>
              <w:t xml:space="preserve"> </w:t>
            </w:r>
            <w:r>
              <w:rPr>
                <w:spacing w:val="-2"/>
                <w:sz w:val="18"/>
                <w:szCs w:val="18"/>
              </w:rPr>
              <w:t>食品卫生</w:t>
            </w:r>
          </w:p>
          <w:p w14:paraId="73E2C4CC">
            <w:pPr>
              <w:pStyle w:val="6"/>
              <w:spacing w:before="1" w:line="206" w:lineRule="auto"/>
              <w:ind w:left="11" w:right="311"/>
              <w:rPr>
                <w:sz w:val="18"/>
                <w:szCs w:val="18"/>
              </w:rPr>
            </w:pPr>
            <w:r>
              <w:rPr>
                <w:spacing w:val="-1"/>
                <w:sz w:val="18"/>
                <w:szCs w:val="18"/>
              </w:rPr>
              <w:t>2.烹调制备卫生及厨房卫生</w:t>
            </w:r>
            <w:r>
              <w:rPr>
                <w:spacing w:val="2"/>
                <w:sz w:val="18"/>
                <w:szCs w:val="18"/>
              </w:rPr>
              <w:t xml:space="preserve"> </w:t>
            </w:r>
            <w:r>
              <w:rPr>
                <w:spacing w:val="-1"/>
                <w:sz w:val="18"/>
                <w:szCs w:val="18"/>
              </w:rPr>
              <w:t>3.健康饮食行为的培养</w:t>
            </w:r>
          </w:p>
        </w:tc>
        <w:tc>
          <w:tcPr>
            <w:tcW w:w="220" w:type="dxa"/>
            <w:vAlign w:val="top"/>
          </w:tcPr>
          <w:p w14:paraId="75021040">
            <w:pPr>
              <w:rPr>
                <w:rFonts w:ascii="Arial"/>
                <w:sz w:val="21"/>
              </w:rPr>
            </w:pPr>
          </w:p>
        </w:tc>
        <w:tc>
          <w:tcPr>
            <w:tcW w:w="229" w:type="dxa"/>
            <w:vAlign w:val="top"/>
          </w:tcPr>
          <w:p w14:paraId="56BC0803">
            <w:pPr>
              <w:rPr>
                <w:rFonts w:ascii="Arial"/>
                <w:sz w:val="21"/>
              </w:rPr>
            </w:pPr>
          </w:p>
        </w:tc>
        <w:tc>
          <w:tcPr>
            <w:tcW w:w="220" w:type="dxa"/>
            <w:vAlign w:val="top"/>
          </w:tcPr>
          <w:p w14:paraId="25CF148A">
            <w:pPr>
              <w:pStyle w:val="6"/>
              <w:spacing w:before="105" w:line="238" w:lineRule="auto"/>
              <w:ind w:left="18"/>
              <w:rPr>
                <w:sz w:val="13"/>
                <w:szCs w:val="13"/>
              </w:rPr>
            </w:pPr>
            <w:r>
              <w:rPr>
                <w:sz w:val="13"/>
                <w:szCs w:val="13"/>
              </w:rPr>
              <w:t>√</w:t>
            </w:r>
          </w:p>
        </w:tc>
        <w:tc>
          <w:tcPr>
            <w:tcW w:w="234" w:type="dxa"/>
            <w:vAlign w:val="top"/>
          </w:tcPr>
          <w:p w14:paraId="6135DEE3">
            <w:pPr>
              <w:rPr>
                <w:rFonts w:ascii="Arial"/>
                <w:sz w:val="21"/>
              </w:rPr>
            </w:pPr>
          </w:p>
        </w:tc>
      </w:tr>
    </w:tbl>
    <w:p w14:paraId="57DA043B">
      <w:pPr>
        <w:spacing w:before="279" w:line="187" w:lineRule="auto"/>
        <w:ind w:left="83"/>
        <w:rPr>
          <w:rFonts w:ascii="黑体" w:hAnsi="黑体" w:eastAsia="黑体" w:cs="黑体"/>
          <w:sz w:val="23"/>
          <w:szCs w:val="23"/>
        </w:rPr>
      </w:pPr>
      <w:r>
        <w:rPr>
          <w:rFonts w:ascii="黑体" w:hAnsi="黑体" w:eastAsia="黑体" w:cs="黑体"/>
          <w:b/>
          <w:bCs/>
          <w:spacing w:val="-6"/>
          <w:sz w:val="23"/>
          <w:szCs w:val="23"/>
        </w:rPr>
        <w:t>四、学前儿童常见病及其预防</w:t>
      </w:r>
    </w:p>
    <w:p w14:paraId="06DA1717">
      <w:pPr>
        <w:pStyle w:val="2"/>
        <w:spacing w:line="14" w:lineRule="auto"/>
        <w:rPr>
          <w:sz w:val="2"/>
        </w:rPr>
      </w:pPr>
      <w:r>
        <w:rPr>
          <w:sz w:val="2"/>
          <w:szCs w:val="2"/>
        </w:rPr>
        <w:br w:type="column"/>
      </w:r>
    </w:p>
    <w:tbl>
      <w:tblPr>
        <w:tblStyle w:val="5"/>
        <w:tblW w:w="414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43"/>
        <w:gridCol w:w="2484"/>
        <w:gridCol w:w="230"/>
        <w:gridCol w:w="229"/>
        <w:gridCol w:w="220"/>
        <w:gridCol w:w="234"/>
      </w:tblGrid>
      <w:tr w14:paraId="33CF73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9" w:hRule="atLeast"/>
        </w:trPr>
        <w:tc>
          <w:tcPr>
            <w:tcW w:w="743" w:type="dxa"/>
            <w:vMerge w:val="restart"/>
            <w:tcBorders>
              <w:top w:val="single" w:color="000000" w:sz="2" w:space="0"/>
              <w:bottom w:val="nil"/>
            </w:tcBorders>
            <w:vAlign w:val="top"/>
          </w:tcPr>
          <w:p w14:paraId="54B9B43F">
            <w:pPr>
              <w:pStyle w:val="6"/>
              <w:spacing w:before="25" w:line="212" w:lineRule="auto"/>
              <w:ind w:left="96" w:right="6" w:hanging="79"/>
              <w:rPr>
                <w:sz w:val="18"/>
                <w:szCs w:val="18"/>
              </w:rPr>
            </w:pPr>
            <w:r>
              <w:rPr>
                <w:b/>
                <w:bCs/>
                <w:spacing w:val="-5"/>
                <w:sz w:val="18"/>
                <w:szCs w:val="18"/>
              </w:rPr>
              <w:t>知识与技</w:t>
            </w:r>
            <w:r>
              <w:rPr>
                <w:sz w:val="18"/>
                <w:szCs w:val="18"/>
              </w:rPr>
              <w:t xml:space="preserve"> </w:t>
            </w:r>
            <w:r>
              <w:rPr>
                <w:b/>
                <w:bCs/>
                <w:spacing w:val="1"/>
                <w:sz w:val="18"/>
                <w:szCs w:val="18"/>
              </w:rPr>
              <w:t>能要点</w:t>
            </w:r>
          </w:p>
        </w:tc>
        <w:tc>
          <w:tcPr>
            <w:tcW w:w="2484" w:type="dxa"/>
            <w:vMerge w:val="restart"/>
            <w:tcBorders>
              <w:top w:val="single" w:color="000000" w:sz="2" w:space="0"/>
              <w:bottom w:val="nil"/>
            </w:tcBorders>
            <w:vAlign w:val="top"/>
          </w:tcPr>
          <w:p w14:paraId="050F62CE">
            <w:pPr>
              <w:pStyle w:val="6"/>
              <w:spacing w:before="134" w:line="219" w:lineRule="auto"/>
              <w:ind w:left="934"/>
              <w:rPr>
                <w:sz w:val="18"/>
                <w:szCs w:val="18"/>
              </w:rPr>
            </w:pPr>
            <w:r>
              <w:rPr>
                <w:b/>
                <w:bCs/>
                <w:spacing w:val="5"/>
                <w:sz w:val="18"/>
                <w:szCs w:val="18"/>
              </w:rPr>
              <w:t>考试条目</w:t>
            </w:r>
          </w:p>
        </w:tc>
        <w:tc>
          <w:tcPr>
            <w:tcW w:w="913" w:type="dxa"/>
            <w:gridSpan w:val="4"/>
            <w:tcBorders>
              <w:top w:val="single" w:color="000000" w:sz="2" w:space="0"/>
              <w:bottom w:val="single" w:color="000000" w:sz="2" w:space="0"/>
            </w:tcBorders>
            <w:vAlign w:val="top"/>
          </w:tcPr>
          <w:p w14:paraId="42AF88DC">
            <w:pPr>
              <w:pStyle w:val="6"/>
              <w:spacing w:before="24" w:line="199" w:lineRule="auto"/>
              <w:ind w:left="110"/>
              <w:rPr>
                <w:sz w:val="18"/>
                <w:szCs w:val="18"/>
              </w:rPr>
            </w:pPr>
            <w:r>
              <w:rPr>
                <w:b/>
                <w:bCs/>
                <w:spacing w:val="-4"/>
                <w:sz w:val="18"/>
                <w:szCs w:val="18"/>
              </w:rPr>
              <w:t>考试水平</w:t>
            </w:r>
          </w:p>
        </w:tc>
      </w:tr>
      <w:tr w14:paraId="0233D2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5" w:hRule="atLeast"/>
        </w:trPr>
        <w:tc>
          <w:tcPr>
            <w:tcW w:w="743" w:type="dxa"/>
            <w:vMerge w:val="continue"/>
            <w:tcBorders>
              <w:top w:val="nil"/>
              <w:bottom w:val="single" w:color="000000" w:sz="2" w:space="0"/>
            </w:tcBorders>
            <w:vAlign w:val="top"/>
          </w:tcPr>
          <w:p w14:paraId="25CA3A91">
            <w:pPr>
              <w:rPr>
                <w:rFonts w:ascii="Arial"/>
                <w:sz w:val="21"/>
              </w:rPr>
            </w:pPr>
          </w:p>
        </w:tc>
        <w:tc>
          <w:tcPr>
            <w:tcW w:w="2484" w:type="dxa"/>
            <w:vMerge w:val="continue"/>
            <w:tcBorders>
              <w:top w:val="nil"/>
              <w:bottom w:val="single" w:color="000000" w:sz="2" w:space="0"/>
            </w:tcBorders>
            <w:vAlign w:val="top"/>
          </w:tcPr>
          <w:p w14:paraId="3D0700C7">
            <w:pPr>
              <w:rPr>
                <w:rFonts w:ascii="Arial"/>
                <w:sz w:val="21"/>
              </w:rPr>
            </w:pPr>
          </w:p>
        </w:tc>
        <w:tc>
          <w:tcPr>
            <w:tcW w:w="230" w:type="dxa"/>
            <w:tcBorders>
              <w:top w:val="single" w:color="000000" w:sz="2" w:space="0"/>
              <w:bottom w:val="single" w:color="000000" w:sz="2" w:space="0"/>
            </w:tcBorders>
            <w:vAlign w:val="top"/>
          </w:tcPr>
          <w:p w14:paraId="0A4FA852">
            <w:pPr>
              <w:pStyle w:val="6"/>
              <w:spacing w:before="68" w:line="136" w:lineRule="exact"/>
              <w:ind w:left="70"/>
              <w:rPr>
                <w:sz w:val="18"/>
                <w:szCs w:val="18"/>
              </w:rPr>
            </w:pPr>
            <w:r>
              <w:rPr>
                <w:b/>
                <w:bCs/>
                <w:spacing w:val="-2"/>
                <w:position w:val="-2"/>
                <w:sz w:val="18"/>
                <w:szCs w:val="18"/>
              </w:rPr>
              <w:t>A</w:t>
            </w:r>
          </w:p>
        </w:tc>
        <w:tc>
          <w:tcPr>
            <w:tcW w:w="229" w:type="dxa"/>
            <w:tcBorders>
              <w:top w:val="single" w:color="000000" w:sz="2" w:space="0"/>
              <w:bottom w:val="single" w:color="000000" w:sz="2" w:space="0"/>
            </w:tcBorders>
            <w:vAlign w:val="top"/>
          </w:tcPr>
          <w:p w14:paraId="2E2CAD36">
            <w:pPr>
              <w:pStyle w:val="6"/>
              <w:spacing w:before="71" w:line="133" w:lineRule="exact"/>
              <w:ind w:left="40"/>
              <w:rPr>
                <w:sz w:val="18"/>
                <w:szCs w:val="18"/>
              </w:rPr>
            </w:pPr>
            <w:r>
              <w:rPr>
                <w:b/>
                <w:bCs/>
                <w:spacing w:val="-2"/>
                <w:position w:val="-2"/>
                <w:sz w:val="18"/>
                <w:szCs w:val="18"/>
              </w:rPr>
              <w:t>B</w:t>
            </w:r>
          </w:p>
        </w:tc>
        <w:tc>
          <w:tcPr>
            <w:tcW w:w="220" w:type="dxa"/>
            <w:tcBorders>
              <w:top w:val="single" w:color="000000" w:sz="2" w:space="0"/>
              <w:bottom w:val="single" w:color="000000" w:sz="2" w:space="0"/>
            </w:tcBorders>
            <w:vAlign w:val="top"/>
          </w:tcPr>
          <w:p w14:paraId="33F84E17">
            <w:pPr>
              <w:pStyle w:val="6"/>
              <w:spacing w:before="69" w:line="136" w:lineRule="exact"/>
              <w:ind w:left="58"/>
              <w:rPr>
                <w:sz w:val="18"/>
                <w:szCs w:val="18"/>
              </w:rPr>
            </w:pPr>
            <w:r>
              <w:rPr>
                <w:position w:val="-2"/>
                <w:sz w:val="18"/>
                <w:szCs w:val="18"/>
              </w:rPr>
              <w:t>C</w:t>
            </w:r>
          </w:p>
        </w:tc>
        <w:tc>
          <w:tcPr>
            <w:tcW w:w="234" w:type="dxa"/>
            <w:tcBorders>
              <w:top w:val="single" w:color="000000" w:sz="2" w:space="0"/>
              <w:bottom w:val="single" w:color="000000" w:sz="2" w:space="0"/>
            </w:tcBorders>
            <w:vAlign w:val="top"/>
          </w:tcPr>
          <w:p w14:paraId="1248C600">
            <w:pPr>
              <w:pStyle w:val="6"/>
              <w:spacing w:before="71" w:line="133" w:lineRule="exact"/>
              <w:jc w:val="right"/>
              <w:rPr>
                <w:sz w:val="18"/>
                <w:szCs w:val="18"/>
              </w:rPr>
            </w:pPr>
            <w:r>
              <w:rPr>
                <w:b/>
                <w:bCs/>
                <w:spacing w:val="-6"/>
                <w:w w:val="96"/>
                <w:position w:val="-2"/>
                <w:sz w:val="18"/>
                <w:szCs w:val="18"/>
              </w:rPr>
              <w:t>D</w:t>
            </w:r>
          </w:p>
        </w:tc>
      </w:tr>
      <w:tr w14:paraId="5DE631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64" w:hRule="atLeast"/>
        </w:trPr>
        <w:tc>
          <w:tcPr>
            <w:tcW w:w="743" w:type="dxa"/>
            <w:tcBorders>
              <w:top w:val="single" w:color="000000" w:sz="2" w:space="0"/>
              <w:bottom w:val="single" w:color="000000" w:sz="2" w:space="0"/>
            </w:tcBorders>
            <w:vAlign w:val="top"/>
          </w:tcPr>
          <w:p w14:paraId="63515943">
            <w:pPr>
              <w:spacing w:line="247" w:lineRule="auto"/>
              <w:rPr>
                <w:rFonts w:ascii="Arial"/>
                <w:sz w:val="21"/>
              </w:rPr>
            </w:pPr>
          </w:p>
          <w:p w14:paraId="3E469722">
            <w:pPr>
              <w:spacing w:line="247" w:lineRule="auto"/>
              <w:rPr>
                <w:rFonts w:ascii="Arial"/>
                <w:sz w:val="21"/>
              </w:rPr>
            </w:pPr>
          </w:p>
          <w:p w14:paraId="0BEFD403">
            <w:pPr>
              <w:spacing w:line="247" w:lineRule="auto"/>
              <w:rPr>
                <w:rFonts w:ascii="Arial"/>
                <w:sz w:val="21"/>
              </w:rPr>
            </w:pPr>
          </w:p>
          <w:p w14:paraId="6E3FB2EB">
            <w:pPr>
              <w:spacing w:line="247" w:lineRule="auto"/>
              <w:rPr>
                <w:rFonts w:ascii="Arial"/>
                <w:sz w:val="21"/>
              </w:rPr>
            </w:pPr>
          </w:p>
          <w:p w14:paraId="6E8E1315">
            <w:pPr>
              <w:spacing w:line="247" w:lineRule="auto"/>
              <w:rPr>
                <w:rFonts w:ascii="Arial"/>
                <w:sz w:val="21"/>
              </w:rPr>
            </w:pPr>
          </w:p>
          <w:p w14:paraId="6D2F6C5D">
            <w:pPr>
              <w:spacing w:line="247" w:lineRule="auto"/>
              <w:rPr>
                <w:rFonts w:ascii="Arial"/>
                <w:sz w:val="21"/>
              </w:rPr>
            </w:pPr>
          </w:p>
          <w:p w14:paraId="3C8B2685">
            <w:pPr>
              <w:spacing w:line="248" w:lineRule="auto"/>
              <w:rPr>
                <w:rFonts w:ascii="Arial"/>
                <w:sz w:val="21"/>
              </w:rPr>
            </w:pPr>
          </w:p>
          <w:p w14:paraId="62D8EE9D">
            <w:pPr>
              <w:pStyle w:val="6"/>
              <w:spacing w:before="59" w:line="205" w:lineRule="auto"/>
              <w:ind w:left="97"/>
              <w:rPr>
                <w:sz w:val="18"/>
                <w:szCs w:val="18"/>
              </w:rPr>
            </w:pPr>
            <w:r>
              <w:rPr>
                <w:b/>
                <w:bCs/>
                <w:spacing w:val="-5"/>
                <w:sz w:val="18"/>
                <w:szCs w:val="18"/>
              </w:rPr>
              <w:t>学前儿</w:t>
            </w:r>
          </w:p>
          <w:p w14:paraId="2E75A226">
            <w:pPr>
              <w:pStyle w:val="6"/>
              <w:spacing w:line="205" w:lineRule="auto"/>
              <w:ind w:left="97"/>
              <w:rPr>
                <w:sz w:val="18"/>
                <w:szCs w:val="18"/>
              </w:rPr>
            </w:pPr>
            <w:r>
              <w:rPr>
                <w:b/>
                <w:bCs/>
                <w:spacing w:val="-4"/>
                <w:sz w:val="18"/>
                <w:szCs w:val="18"/>
              </w:rPr>
              <w:t>童常见</w:t>
            </w:r>
          </w:p>
          <w:p w14:paraId="5AADEAF3">
            <w:pPr>
              <w:pStyle w:val="6"/>
              <w:spacing w:line="205" w:lineRule="auto"/>
              <w:ind w:left="97"/>
              <w:rPr>
                <w:sz w:val="18"/>
                <w:szCs w:val="18"/>
              </w:rPr>
            </w:pPr>
            <w:r>
              <w:rPr>
                <w:b/>
                <w:bCs/>
                <w:spacing w:val="-4"/>
                <w:sz w:val="18"/>
                <w:szCs w:val="18"/>
              </w:rPr>
              <w:t>疾病及</w:t>
            </w:r>
          </w:p>
          <w:p w14:paraId="7A6C3D5E">
            <w:pPr>
              <w:pStyle w:val="6"/>
              <w:spacing w:line="220" w:lineRule="auto"/>
              <w:ind w:left="187"/>
              <w:rPr>
                <w:sz w:val="18"/>
                <w:szCs w:val="18"/>
              </w:rPr>
            </w:pPr>
            <w:r>
              <w:rPr>
                <w:b/>
                <w:bCs/>
                <w:spacing w:val="-5"/>
                <w:sz w:val="18"/>
                <w:szCs w:val="18"/>
              </w:rPr>
              <w:t>预防</w:t>
            </w:r>
          </w:p>
        </w:tc>
        <w:tc>
          <w:tcPr>
            <w:tcW w:w="2484" w:type="dxa"/>
            <w:tcBorders>
              <w:top w:val="single" w:color="000000" w:sz="2" w:space="0"/>
              <w:bottom w:val="single" w:color="000000" w:sz="2" w:space="0"/>
            </w:tcBorders>
            <w:vAlign w:val="top"/>
          </w:tcPr>
          <w:p w14:paraId="22FBCFBD">
            <w:pPr>
              <w:pStyle w:val="6"/>
              <w:spacing w:before="20" w:line="215" w:lineRule="auto"/>
              <w:ind w:left="14"/>
              <w:rPr>
                <w:sz w:val="18"/>
                <w:szCs w:val="18"/>
              </w:rPr>
            </w:pPr>
            <w:r>
              <w:rPr>
                <w:b/>
                <w:bCs/>
                <w:spacing w:val="-2"/>
                <w:sz w:val="18"/>
                <w:szCs w:val="18"/>
              </w:rPr>
              <w:t>1.学前儿童生病的常见表现</w:t>
            </w:r>
          </w:p>
          <w:p w14:paraId="29558426">
            <w:pPr>
              <w:pStyle w:val="6"/>
              <w:spacing w:line="195" w:lineRule="auto"/>
              <w:ind w:left="14"/>
              <w:rPr>
                <w:sz w:val="18"/>
                <w:szCs w:val="18"/>
              </w:rPr>
            </w:pPr>
            <w:r>
              <w:rPr>
                <w:b/>
                <w:bCs/>
                <w:spacing w:val="-3"/>
                <w:sz w:val="18"/>
                <w:szCs w:val="18"/>
              </w:rPr>
              <w:t>2.预防遗传病——优生措施</w:t>
            </w:r>
          </w:p>
          <w:p w14:paraId="1D680B15">
            <w:pPr>
              <w:pStyle w:val="6"/>
              <w:spacing w:line="194" w:lineRule="auto"/>
              <w:ind w:left="14"/>
              <w:rPr>
                <w:sz w:val="18"/>
                <w:szCs w:val="18"/>
              </w:rPr>
            </w:pPr>
            <w:r>
              <w:rPr>
                <w:b/>
                <w:bCs/>
                <w:spacing w:val="-3"/>
                <w:sz w:val="18"/>
                <w:szCs w:val="18"/>
              </w:rPr>
              <w:t>3.婴幼儿常见病的症状(常见</w:t>
            </w:r>
          </w:p>
          <w:p w14:paraId="45FB5709">
            <w:pPr>
              <w:pStyle w:val="6"/>
              <w:spacing w:before="1" w:line="191" w:lineRule="auto"/>
              <w:ind w:left="14"/>
              <w:rPr>
                <w:sz w:val="18"/>
                <w:szCs w:val="18"/>
              </w:rPr>
            </w:pPr>
            <w:r>
              <w:rPr>
                <w:b/>
                <w:bCs/>
                <w:spacing w:val="-7"/>
                <w:sz w:val="18"/>
                <w:szCs w:val="18"/>
              </w:rPr>
              <w:t>营养性疾病、呼吸系统常见病、</w:t>
            </w:r>
            <w:r>
              <w:rPr>
                <w:spacing w:val="10"/>
                <w:sz w:val="18"/>
                <w:szCs w:val="18"/>
              </w:rPr>
              <w:t xml:space="preserve"> </w:t>
            </w:r>
            <w:r>
              <w:rPr>
                <w:b/>
                <w:bCs/>
                <w:spacing w:val="-16"/>
                <w:sz w:val="18"/>
                <w:szCs w:val="18"/>
              </w:rPr>
              <w:t>消化系统常见病、常见五官疾病)</w:t>
            </w:r>
            <w:r>
              <w:rPr>
                <w:spacing w:val="9"/>
                <w:sz w:val="18"/>
                <w:szCs w:val="18"/>
              </w:rPr>
              <w:t xml:space="preserve"> </w:t>
            </w:r>
            <w:r>
              <w:rPr>
                <w:b/>
                <w:bCs/>
                <w:spacing w:val="-8"/>
                <w:sz w:val="18"/>
                <w:szCs w:val="18"/>
              </w:rPr>
              <w:t>4.婴幼儿常见病的防治(常见</w:t>
            </w:r>
          </w:p>
          <w:p w14:paraId="76E23E3C">
            <w:pPr>
              <w:pStyle w:val="6"/>
              <w:spacing w:line="194" w:lineRule="auto"/>
              <w:ind w:left="24"/>
              <w:rPr>
                <w:sz w:val="18"/>
                <w:szCs w:val="18"/>
              </w:rPr>
            </w:pPr>
            <w:r>
              <w:rPr>
                <w:b/>
                <w:bCs/>
                <w:spacing w:val="-3"/>
                <w:sz w:val="18"/>
                <w:szCs w:val="18"/>
              </w:rPr>
              <w:t>营养性疾病、呼吸系统常见</w:t>
            </w:r>
          </w:p>
          <w:p w14:paraId="13540034">
            <w:pPr>
              <w:pStyle w:val="6"/>
              <w:spacing w:before="1" w:line="194" w:lineRule="auto"/>
              <w:ind w:left="14"/>
              <w:rPr>
                <w:sz w:val="18"/>
                <w:szCs w:val="18"/>
              </w:rPr>
            </w:pPr>
            <w:r>
              <w:rPr>
                <w:b/>
                <w:bCs/>
                <w:spacing w:val="-7"/>
                <w:sz w:val="18"/>
                <w:szCs w:val="18"/>
              </w:rPr>
              <w:t>病、消化系统常见病、常见五官</w:t>
            </w:r>
            <w:r>
              <w:rPr>
                <w:spacing w:val="10"/>
                <w:sz w:val="18"/>
                <w:szCs w:val="18"/>
              </w:rPr>
              <w:t xml:space="preserve"> </w:t>
            </w:r>
            <w:r>
              <w:rPr>
                <w:b/>
                <w:bCs/>
                <w:spacing w:val="9"/>
                <w:sz w:val="18"/>
                <w:szCs w:val="18"/>
              </w:rPr>
              <w:t>疾病)</w:t>
            </w:r>
          </w:p>
          <w:p w14:paraId="127A866D">
            <w:pPr>
              <w:pStyle w:val="6"/>
              <w:spacing w:before="2" w:line="194" w:lineRule="auto"/>
              <w:ind w:left="14" w:right="130"/>
              <w:rPr>
                <w:sz w:val="18"/>
                <w:szCs w:val="18"/>
              </w:rPr>
            </w:pPr>
            <w:r>
              <w:rPr>
                <w:b/>
                <w:bCs/>
                <w:spacing w:val="-3"/>
                <w:sz w:val="18"/>
                <w:szCs w:val="18"/>
              </w:rPr>
              <w:t>5.传染病的概念、特征、发生</w:t>
            </w:r>
            <w:r>
              <w:rPr>
                <w:spacing w:val="3"/>
                <w:sz w:val="18"/>
                <w:szCs w:val="18"/>
              </w:rPr>
              <w:t xml:space="preserve"> </w:t>
            </w:r>
            <w:r>
              <w:rPr>
                <w:b/>
                <w:bCs/>
                <w:spacing w:val="-3"/>
                <w:sz w:val="18"/>
                <w:szCs w:val="18"/>
              </w:rPr>
              <w:t>流行的基本环节</w:t>
            </w:r>
          </w:p>
          <w:p w14:paraId="5C529BE2">
            <w:pPr>
              <w:pStyle w:val="6"/>
              <w:spacing w:line="205" w:lineRule="auto"/>
              <w:ind w:left="14"/>
              <w:rPr>
                <w:sz w:val="18"/>
                <w:szCs w:val="18"/>
              </w:rPr>
            </w:pPr>
            <w:r>
              <w:rPr>
                <w:b/>
                <w:bCs/>
                <w:spacing w:val="-3"/>
                <w:sz w:val="18"/>
                <w:szCs w:val="18"/>
              </w:rPr>
              <w:t>6.传染病的预防措施</w:t>
            </w:r>
          </w:p>
          <w:p w14:paraId="46F1EED6">
            <w:pPr>
              <w:pStyle w:val="6"/>
              <w:spacing w:line="196" w:lineRule="auto"/>
              <w:ind w:left="14"/>
              <w:rPr>
                <w:sz w:val="18"/>
                <w:szCs w:val="18"/>
              </w:rPr>
            </w:pPr>
            <w:r>
              <w:rPr>
                <w:b/>
                <w:bCs/>
                <w:spacing w:val="-3"/>
                <w:sz w:val="18"/>
                <w:szCs w:val="18"/>
              </w:rPr>
              <w:t>7.学前儿童常见传染病(流行</w:t>
            </w:r>
          </w:p>
          <w:p w14:paraId="2B843C9E">
            <w:pPr>
              <w:pStyle w:val="6"/>
              <w:spacing w:before="2" w:line="194" w:lineRule="auto"/>
              <w:ind w:left="14"/>
              <w:rPr>
                <w:sz w:val="18"/>
                <w:szCs w:val="18"/>
              </w:rPr>
            </w:pPr>
            <w:r>
              <w:rPr>
                <w:b/>
                <w:bCs/>
                <w:spacing w:val="-7"/>
                <w:sz w:val="18"/>
                <w:szCs w:val="18"/>
              </w:rPr>
              <w:t>性感冒、麻疹、流行性腮腺炎、</w:t>
            </w:r>
            <w:r>
              <w:rPr>
                <w:spacing w:val="10"/>
                <w:sz w:val="18"/>
                <w:szCs w:val="18"/>
              </w:rPr>
              <w:t xml:space="preserve"> </w:t>
            </w:r>
            <w:r>
              <w:rPr>
                <w:b/>
                <w:bCs/>
                <w:spacing w:val="-18"/>
                <w:sz w:val="18"/>
                <w:szCs w:val="18"/>
              </w:rPr>
              <w:t>猩红热、手足口病、细菌性痢疾、</w:t>
            </w:r>
            <w:r>
              <w:rPr>
                <w:sz w:val="18"/>
                <w:szCs w:val="18"/>
              </w:rPr>
              <w:t xml:space="preserve"> </w:t>
            </w:r>
            <w:r>
              <w:rPr>
                <w:b/>
                <w:bCs/>
                <w:spacing w:val="-12"/>
                <w:sz w:val="18"/>
                <w:szCs w:val="18"/>
              </w:rPr>
              <w:t>水痘、流行性脑脊髓膜炎、病毒</w:t>
            </w:r>
            <w:r>
              <w:rPr>
                <w:spacing w:val="1"/>
                <w:sz w:val="18"/>
                <w:szCs w:val="18"/>
              </w:rPr>
              <w:t xml:space="preserve">  </w:t>
            </w:r>
            <w:r>
              <w:rPr>
                <w:b/>
                <w:bCs/>
                <w:spacing w:val="-8"/>
                <w:sz w:val="18"/>
                <w:szCs w:val="18"/>
              </w:rPr>
              <w:t>性肝炎、急性结膜炎)的流行</w:t>
            </w:r>
          </w:p>
          <w:p w14:paraId="748E329C">
            <w:pPr>
              <w:pStyle w:val="6"/>
              <w:spacing w:line="195" w:lineRule="auto"/>
              <w:ind w:left="14"/>
              <w:rPr>
                <w:sz w:val="18"/>
                <w:szCs w:val="18"/>
              </w:rPr>
            </w:pPr>
            <w:r>
              <w:rPr>
                <w:b/>
                <w:bCs/>
                <w:spacing w:val="-7"/>
                <w:sz w:val="18"/>
                <w:szCs w:val="18"/>
              </w:rPr>
              <w:t>特点、症状，并能针对不同传染</w:t>
            </w:r>
            <w:r>
              <w:rPr>
                <w:spacing w:val="10"/>
                <w:sz w:val="18"/>
                <w:szCs w:val="18"/>
              </w:rPr>
              <w:t xml:space="preserve"> </w:t>
            </w:r>
            <w:r>
              <w:rPr>
                <w:b/>
                <w:bCs/>
                <w:spacing w:val="-3"/>
                <w:sz w:val="18"/>
                <w:szCs w:val="18"/>
              </w:rPr>
              <w:t>病采取相应的预防措施</w:t>
            </w:r>
          </w:p>
          <w:p w14:paraId="53B6CA12">
            <w:pPr>
              <w:pStyle w:val="6"/>
              <w:spacing w:before="1" w:line="203" w:lineRule="auto"/>
              <w:ind w:left="14" w:right="37"/>
              <w:rPr>
                <w:sz w:val="18"/>
                <w:szCs w:val="18"/>
              </w:rPr>
            </w:pPr>
            <w:r>
              <w:rPr>
                <w:b/>
                <w:bCs/>
                <w:spacing w:val="-3"/>
                <w:sz w:val="18"/>
                <w:szCs w:val="18"/>
              </w:rPr>
              <w:t>8.学前儿童常见寄生虫疾病(蛔</w:t>
            </w:r>
            <w:r>
              <w:rPr>
                <w:spacing w:val="7"/>
                <w:sz w:val="18"/>
                <w:szCs w:val="18"/>
              </w:rPr>
              <w:t xml:space="preserve"> </w:t>
            </w:r>
            <w:r>
              <w:rPr>
                <w:b/>
                <w:bCs/>
                <w:sz w:val="18"/>
                <w:szCs w:val="18"/>
              </w:rPr>
              <w:t>虫病、蛲虫病)的病因、症状</w:t>
            </w:r>
            <w:r>
              <w:rPr>
                <w:spacing w:val="1"/>
                <w:sz w:val="18"/>
                <w:szCs w:val="18"/>
              </w:rPr>
              <w:t xml:space="preserve">  </w:t>
            </w:r>
            <w:r>
              <w:rPr>
                <w:b/>
                <w:bCs/>
                <w:spacing w:val="-3"/>
                <w:sz w:val="18"/>
                <w:szCs w:val="18"/>
              </w:rPr>
              <w:t>及防治措施。</w:t>
            </w:r>
          </w:p>
        </w:tc>
        <w:tc>
          <w:tcPr>
            <w:tcW w:w="230" w:type="dxa"/>
            <w:tcBorders>
              <w:top w:val="single" w:color="000000" w:sz="2" w:space="0"/>
              <w:bottom w:val="single" w:color="000000" w:sz="2" w:space="0"/>
            </w:tcBorders>
            <w:vAlign w:val="top"/>
          </w:tcPr>
          <w:p w14:paraId="7F10857D">
            <w:pPr>
              <w:pStyle w:val="6"/>
              <w:spacing w:before="63" w:line="465" w:lineRule="auto"/>
              <w:ind w:left="47" w:right="79"/>
              <w:rPr>
                <w:sz w:val="13"/>
                <w:szCs w:val="13"/>
              </w:rPr>
            </w:pPr>
            <w:r>
              <w:rPr>
                <w:spacing w:val="-38"/>
                <w:sz w:val="13"/>
                <w:szCs w:val="13"/>
              </w:rPr>
              <w:t>√</w:t>
            </w:r>
            <w:r>
              <w:rPr>
                <w:sz w:val="13"/>
                <w:szCs w:val="13"/>
              </w:rPr>
              <w:t xml:space="preserve"> </w:t>
            </w:r>
            <w:r>
              <w:rPr>
                <w:spacing w:val="-38"/>
                <w:sz w:val="13"/>
                <w:szCs w:val="13"/>
              </w:rPr>
              <w:t>√</w:t>
            </w:r>
          </w:p>
          <w:p w14:paraId="15085E06">
            <w:pPr>
              <w:spacing w:line="262" w:lineRule="auto"/>
              <w:rPr>
                <w:rFonts w:ascii="Arial"/>
                <w:sz w:val="21"/>
              </w:rPr>
            </w:pPr>
          </w:p>
          <w:p w14:paraId="6D2165B7">
            <w:pPr>
              <w:spacing w:line="263" w:lineRule="auto"/>
              <w:rPr>
                <w:rFonts w:ascii="Arial"/>
                <w:sz w:val="21"/>
              </w:rPr>
            </w:pPr>
          </w:p>
          <w:p w14:paraId="2748AD93">
            <w:pPr>
              <w:spacing w:line="263" w:lineRule="auto"/>
              <w:rPr>
                <w:rFonts w:ascii="Arial"/>
                <w:sz w:val="21"/>
              </w:rPr>
            </w:pPr>
          </w:p>
          <w:p w14:paraId="6CD1ACFA">
            <w:pPr>
              <w:pStyle w:val="6"/>
              <w:spacing w:before="42" w:line="238" w:lineRule="auto"/>
              <w:ind w:left="47"/>
              <w:rPr>
                <w:sz w:val="13"/>
                <w:szCs w:val="13"/>
              </w:rPr>
            </w:pPr>
            <w:r>
              <w:rPr>
                <w:sz w:val="13"/>
                <w:szCs w:val="13"/>
              </w:rPr>
              <w:t>√</w:t>
            </w:r>
          </w:p>
        </w:tc>
        <w:tc>
          <w:tcPr>
            <w:tcW w:w="229" w:type="dxa"/>
            <w:tcBorders>
              <w:top w:val="single" w:color="000000" w:sz="2" w:space="0"/>
              <w:bottom w:val="single" w:color="000000" w:sz="2" w:space="0"/>
            </w:tcBorders>
            <w:vAlign w:val="top"/>
          </w:tcPr>
          <w:p w14:paraId="63C9BBA2">
            <w:pPr>
              <w:rPr>
                <w:rFonts w:ascii="Arial"/>
                <w:sz w:val="21"/>
              </w:rPr>
            </w:pPr>
          </w:p>
        </w:tc>
        <w:tc>
          <w:tcPr>
            <w:tcW w:w="220" w:type="dxa"/>
            <w:tcBorders>
              <w:top w:val="single" w:color="000000" w:sz="2" w:space="0"/>
              <w:bottom w:val="single" w:color="000000" w:sz="2" w:space="0"/>
            </w:tcBorders>
            <w:textDirection w:val="tbRlV"/>
            <w:vAlign w:val="top"/>
          </w:tcPr>
          <w:p w14:paraId="63A5C7DC">
            <w:pPr>
              <w:pStyle w:val="6"/>
              <w:spacing w:before="63" w:line="132" w:lineRule="exact"/>
              <w:ind w:left="120"/>
              <w:rPr>
                <w:sz w:val="18"/>
                <w:szCs w:val="18"/>
              </w:rPr>
            </w:pPr>
            <w:r>
              <w:pict>
                <v:shape id="_x0000_s1048" o:spid="_x0000_s1048" o:spt="202" type="#_x0000_t202" style="position:absolute;left:0pt;margin-left:2.2pt;margin-top:93.25pt;height:10.9pt;width:6.45pt;mso-position-horizontal-relative:page;mso-position-vertical-relative:page;z-index:251698176;mso-width-relative:page;mso-height-relative:page;" filled="f" stroked="f" coordsize="21600,21600">
                  <v:path/>
                  <v:fill on="f" focussize="0,0"/>
                  <v:stroke on="f"/>
                  <v:imagedata o:title=""/>
                  <o:lock v:ext="edit" aspectratio="f"/>
                  <v:textbox inset="0mm,0mm,0mm,0mm">
                    <w:txbxContent>
                      <w:p w14:paraId="7BC1AC3A">
                        <w:pPr>
                          <w:pStyle w:val="6"/>
                          <w:spacing w:before="19" w:line="182" w:lineRule="auto"/>
                          <w:ind w:left="20"/>
                          <w:rPr>
                            <w:sz w:val="18"/>
                            <w:szCs w:val="18"/>
                          </w:rPr>
                        </w:pPr>
                        <w:r>
                          <w:rPr>
                            <w:sz w:val="18"/>
                            <w:szCs w:val="18"/>
                          </w:rPr>
                          <w:t>N</w:t>
                        </w:r>
                      </w:p>
                    </w:txbxContent>
                  </v:textbox>
                </v:shape>
              </w:pict>
            </w:r>
            <w:r>
              <w:pict>
                <v:shape id="_x0000_s1049" o:spid="_x0000_s1049" o:spt="202" type="#_x0000_t202" style="position:absolute;left:0pt;margin-left:2.2pt;margin-top:161.25pt;height:10.9pt;width:6.4pt;mso-position-horizontal-relative:page;mso-position-vertical-relative:page;z-index:251699200;mso-width-relative:page;mso-height-relative:page;" filled="f" stroked="f" coordsize="21600,21600">
                  <v:path/>
                  <v:fill on="f" focussize="0,0"/>
                  <v:stroke on="f"/>
                  <v:imagedata o:title=""/>
                  <o:lock v:ext="edit" aspectratio="f"/>
                  <v:textbox inset="0mm,0mm,0mm,0mm">
                    <w:txbxContent>
                      <w:p w14:paraId="47E4CAD1">
                        <w:pPr>
                          <w:pStyle w:val="6"/>
                          <w:spacing w:before="19" w:line="182" w:lineRule="auto"/>
                          <w:ind w:left="20"/>
                          <w:rPr>
                            <w:sz w:val="18"/>
                            <w:szCs w:val="18"/>
                          </w:rPr>
                        </w:pPr>
                        <w:r>
                          <w:rPr>
                            <w:sz w:val="18"/>
                            <w:szCs w:val="18"/>
                          </w:rPr>
                          <w:t>V</w:t>
                        </w:r>
                      </w:p>
                    </w:txbxContent>
                  </v:textbox>
                </v:shape>
              </w:pict>
            </w:r>
            <w:r>
              <w:rPr>
                <w:spacing w:val="43"/>
                <w:w w:val="125"/>
                <w:position w:val="-3"/>
                <w:sz w:val="18"/>
                <w:szCs w:val="18"/>
              </w:rPr>
              <w:t>v</w:t>
            </w:r>
            <w:r>
              <w:rPr>
                <w:spacing w:val="2"/>
                <w:position w:val="-3"/>
                <w:sz w:val="18"/>
                <w:szCs w:val="18"/>
              </w:rPr>
              <w:t xml:space="preserve">        </w:t>
            </w:r>
            <w:r>
              <w:rPr>
                <w:spacing w:val="43"/>
                <w:w w:val="125"/>
                <w:position w:val="-3"/>
                <w:sz w:val="18"/>
                <w:szCs w:val="18"/>
              </w:rPr>
              <w:t>&gt;</w:t>
            </w:r>
          </w:p>
        </w:tc>
        <w:tc>
          <w:tcPr>
            <w:tcW w:w="234" w:type="dxa"/>
            <w:tcBorders>
              <w:top w:val="single" w:color="000000" w:sz="2" w:space="0"/>
              <w:bottom w:val="single" w:color="000000" w:sz="2" w:space="0"/>
            </w:tcBorders>
            <w:vAlign w:val="top"/>
          </w:tcPr>
          <w:p w14:paraId="14ACDB44">
            <w:pPr>
              <w:spacing w:line="254" w:lineRule="auto"/>
              <w:rPr>
                <w:rFonts w:ascii="Arial"/>
                <w:sz w:val="21"/>
              </w:rPr>
            </w:pPr>
          </w:p>
          <w:p w14:paraId="7C414256">
            <w:pPr>
              <w:spacing w:line="254" w:lineRule="auto"/>
              <w:rPr>
                <w:rFonts w:ascii="Arial"/>
                <w:sz w:val="21"/>
              </w:rPr>
            </w:pPr>
          </w:p>
          <w:p w14:paraId="11806F12">
            <w:pPr>
              <w:spacing w:line="254" w:lineRule="auto"/>
              <w:rPr>
                <w:rFonts w:ascii="Arial"/>
                <w:sz w:val="21"/>
              </w:rPr>
            </w:pPr>
          </w:p>
          <w:p w14:paraId="79E2CF0D">
            <w:pPr>
              <w:spacing w:line="254" w:lineRule="auto"/>
              <w:rPr>
                <w:rFonts w:ascii="Arial"/>
                <w:sz w:val="21"/>
              </w:rPr>
            </w:pPr>
          </w:p>
          <w:p w14:paraId="074DA6FA">
            <w:pPr>
              <w:spacing w:line="255" w:lineRule="auto"/>
              <w:rPr>
                <w:rFonts w:ascii="Arial"/>
                <w:sz w:val="21"/>
              </w:rPr>
            </w:pPr>
          </w:p>
          <w:p w14:paraId="5C901EF0">
            <w:pPr>
              <w:spacing w:line="255" w:lineRule="auto"/>
              <w:rPr>
                <w:rFonts w:ascii="Arial"/>
                <w:sz w:val="21"/>
              </w:rPr>
            </w:pPr>
          </w:p>
          <w:p w14:paraId="5A166A5E">
            <w:pPr>
              <w:spacing w:line="255" w:lineRule="auto"/>
              <w:rPr>
                <w:rFonts w:ascii="Arial"/>
                <w:sz w:val="21"/>
              </w:rPr>
            </w:pPr>
          </w:p>
          <w:p w14:paraId="7395A299">
            <w:pPr>
              <w:pStyle w:val="6"/>
              <w:spacing w:before="58"/>
              <w:ind w:left="19"/>
              <w:rPr>
                <w:sz w:val="18"/>
                <w:szCs w:val="18"/>
              </w:rPr>
            </w:pPr>
            <w:r>
              <w:rPr>
                <w:sz w:val="18"/>
                <w:szCs w:val="18"/>
              </w:rPr>
              <w:t>v</w:t>
            </w:r>
          </w:p>
        </w:tc>
      </w:tr>
    </w:tbl>
    <w:p w14:paraId="3A5ED2B5">
      <w:pPr>
        <w:spacing w:before="259" w:line="221" w:lineRule="auto"/>
        <w:ind w:left="18"/>
        <w:rPr>
          <w:rFonts w:ascii="黑体" w:hAnsi="黑体" w:eastAsia="黑体" w:cs="黑体"/>
          <w:sz w:val="23"/>
          <w:szCs w:val="23"/>
        </w:rPr>
      </w:pPr>
      <w:r>
        <w:rPr>
          <w:rFonts w:ascii="黑体" w:hAnsi="黑体" w:eastAsia="黑体" w:cs="黑体"/>
          <w:b/>
          <w:bCs/>
          <w:spacing w:val="-6"/>
          <w:sz w:val="23"/>
          <w:szCs w:val="23"/>
        </w:rPr>
        <w:t>五、学前儿童常用护理与急救技术</w:t>
      </w:r>
    </w:p>
    <w:p w14:paraId="10DB26C7">
      <w:pPr>
        <w:spacing w:line="205" w:lineRule="exact"/>
      </w:pPr>
    </w:p>
    <w:tbl>
      <w:tblPr>
        <w:tblStyle w:val="5"/>
        <w:tblW w:w="414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33"/>
        <w:gridCol w:w="2484"/>
        <w:gridCol w:w="230"/>
        <w:gridCol w:w="230"/>
        <w:gridCol w:w="219"/>
        <w:gridCol w:w="244"/>
      </w:tblGrid>
      <w:tr w14:paraId="55870D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4" w:hRule="atLeast"/>
        </w:trPr>
        <w:tc>
          <w:tcPr>
            <w:tcW w:w="733" w:type="dxa"/>
            <w:vMerge w:val="restart"/>
            <w:tcBorders>
              <w:bottom w:val="nil"/>
            </w:tcBorders>
            <w:vAlign w:val="top"/>
          </w:tcPr>
          <w:p w14:paraId="7697829B">
            <w:pPr>
              <w:pStyle w:val="6"/>
              <w:spacing w:before="30" w:line="207" w:lineRule="auto"/>
              <w:ind w:left="86" w:hanging="69"/>
              <w:rPr>
                <w:sz w:val="18"/>
                <w:szCs w:val="18"/>
              </w:rPr>
            </w:pPr>
            <w:r>
              <w:rPr>
                <w:b/>
                <w:bCs/>
                <w:spacing w:val="-6"/>
                <w:sz w:val="18"/>
                <w:szCs w:val="18"/>
              </w:rPr>
              <w:t>知识与技</w:t>
            </w:r>
            <w:r>
              <w:rPr>
                <w:sz w:val="18"/>
                <w:szCs w:val="18"/>
              </w:rPr>
              <w:t xml:space="preserve"> </w:t>
            </w:r>
            <w:r>
              <w:rPr>
                <w:b/>
                <w:bCs/>
                <w:sz w:val="18"/>
                <w:szCs w:val="18"/>
              </w:rPr>
              <w:t>能要点</w:t>
            </w:r>
          </w:p>
        </w:tc>
        <w:tc>
          <w:tcPr>
            <w:tcW w:w="2484" w:type="dxa"/>
            <w:vMerge w:val="restart"/>
            <w:tcBorders>
              <w:bottom w:val="nil"/>
            </w:tcBorders>
            <w:vAlign w:val="top"/>
          </w:tcPr>
          <w:p w14:paraId="31C0CFB6">
            <w:pPr>
              <w:pStyle w:val="6"/>
              <w:spacing w:before="129" w:line="219" w:lineRule="auto"/>
              <w:ind w:left="924"/>
              <w:rPr>
                <w:sz w:val="18"/>
                <w:szCs w:val="18"/>
              </w:rPr>
            </w:pPr>
            <w:r>
              <w:rPr>
                <w:b/>
                <w:bCs/>
                <w:spacing w:val="5"/>
                <w:sz w:val="18"/>
                <w:szCs w:val="18"/>
              </w:rPr>
              <w:t>考试条目</w:t>
            </w:r>
          </w:p>
        </w:tc>
        <w:tc>
          <w:tcPr>
            <w:tcW w:w="923" w:type="dxa"/>
            <w:gridSpan w:val="4"/>
            <w:vAlign w:val="top"/>
          </w:tcPr>
          <w:p w14:paraId="78E631DD">
            <w:pPr>
              <w:pStyle w:val="6"/>
              <w:spacing w:before="29" w:line="199" w:lineRule="auto"/>
              <w:ind w:left="140"/>
              <w:rPr>
                <w:sz w:val="18"/>
                <w:szCs w:val="18"/>
              </w:rPr>
            </w:pPr>
            <w:r>
              <w:rPr>
                <w:b/>
                <w:bCs/>
                <w:spacing w:val="-4"/>
                <w:sz w:val="18"/>
                <w:szCs w:val="18"/>
              </w:rPr>
              <w:t>考试水平</w:t>
            </w:r>
          </w:p>
        </w:tc>
      </w:tr>
      <w:tr w14:paraId="476E5F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0" w:hRule="atLeast"/>
        </w:trPr>
        <w:tc>
          <w:tcPr>
            <w:tcW w:w="733" w:type="dxa"/>
            <w:vMerge w:val="continue"/>
            <w:tcBorders>
              <w:top w:val="nil"/>
            </w:tcBorders>
            <w:vAlign w:val="top"/>
          </w:tcPr>
          <w:p w14:paraId="45B13358">
            <w:pPr>
              <w:rPr>
                <w:rFonts w:ascii="Arial"/>
                <w:sz w:val="21"/>
              </w:rPr>
            </w:pPr>
          </w:p>
        </w:tc>
        <w:tc>
          <w:tcPr>
            <w:tcW w:w="2484" w:type="dxa"/>
            <w:vMerge w:val="continue"/>
            <w:tcBorders>
              <w:top w:val="nil"/>
            </w:tcBorders>
            <w:vAlign w:val="top"/>
          </w:tcPr>
          <w:p w14:paraId="00274975">
            <w:pPr>
              <w:rPr>
                <w:rFonts w:ascii="Arial"/>
                <w:sz w:val="21"/>
              </w:rPr>
            </w:pPr>
          </w:p>
        </w:tc>
        <w:tc>
          <w:tcPr>
            <w:tcW w:w="230" w:type="dxa"/>
            <w:vAlign w:val="top"/>
          </w:tcPr>
          <w:p w14:paraId="70C8EC48">
            <w:pPr>
              <w:pStyle w:val="6"/>
              <w:spacing w:before="43" w:line="146" w:lineRule="exact"/>
              <w:ind w:left="50"/>
              <w:rPr>
                <w:sz w:val="18"/>
                <w:szCs w:val="18"/>
              </w:rPr>
            </w:pPr>
            <w:r>
              <w:rPr>
                <w:b/>
                <w:bCs/>
                <w:spacing w:val="-2"/>
                <w:position w:val="-2"/>
                <w:sz w:val="18"/>
                <w:szCs w:val="18"/>
              </w:rPr>
              <w:t>A</w:t>
            </w:r>
          </w:p>
        </w:tc>
        <w:tc>
          <w:tcPr>
            <w:tcW w:w="230" w:type="dxa"/>
            <w:vAlign w:val="top"/>
          </w:tcPr>
          <w:p w14:paraId="79C6F03C">
            <w:pPr>
              <w:pStyle w:val="6"/>
              <w:spacing w:before="46" w:line="143" w:lineRule="exact"/>
              <w:ind w:left="20"/>
              <w:rPr>
                <w:sz w:val="18"/>
                <w:szCs w:val="18"/>
              </w:rPr>
            </w:pPr>
            <w:r>
              <w:rPr>
                <w:b/>
                <w:bCs/>
                <w:spacing w:val="-2"/>
                <w:position w:val="-2"/>
                <w:sz w:val="18"/>
                <w:szCs w:val="18"/>
              </w:rPr>
              <w:t>B</w:t>
            </w:r>
          </w:p>
        </w:tc>
        <w:tc>
          <w:tcPr>
            <w:tcW w:w="219" w:type="dxa"/>
            <w:vAlign w:val="top"/>
          </w:tcPr>
          <w:p w14:paraId="52B548AD">
            <w:pPr>
              <w:pStyle w:val="6"/>
              <w:spacing w:before="67" w:line="123" w:lineRule="exact"/>
              <w:ind w:left="38"/>
              <w:rPr>
                <w:sz w:val="19"/>
                <w:szCs w:val="19"/>
              </w:rPr>
            </w:pPr>
            <w:r>
              <w:rPr>
                <w:position w:val="-3"/>
                <w:sz w:val="19"/>
                <w:szCs w:val="19"/>
              </w:rPr>
              <w:t>C</w:t>
            </w:r>
          </w:p>
        </w:tc>
        <w:tc>
          <w:tcPr>
            <w:tcW w:w="244" w:type="dxa"/>
            <w:vAlign w:val="top"/>
          </w:tcPr>
          <w:p w14:paraId="45D315EE">
            <w:pPr>
              <w:pStyle w:val="6"/>
              <w:spacing w:before="46" w:line="143" w:lineRule="exact"/>
              <w:ind w:left="31"/>
              <w:rPr>
                <w:sz w:val="18"/>
                <w:szCs w:val="18"/>
              </w:rPr>
            </w:pPr>
            <w:r>
              <w:rPr>
                <w:b/>
                <w:bCs/>
                <w:spacing w:val="-2"/>
                <w:position w:val="-2"/>
                <w:sz w:val="18"/>
                <w:szCs w:val="18"/>
              </w:rPr>
              <w:t>D</w:t>
            </w:r>
          </w:p>
        </w:tc>
      </w:tr>
      <w:tr w14:paraId="3D599D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87" w:hRule="atLeast"/>
        </w:trPr>
        <w:tc>
          <w:tcPr>
            <w:tcW w:w="733" w:type="dxa"/>
            <w:vAlign w:val="top"/>
          </w:tcPr>
          <w:p w14:paraId="5DA92112">
            <w:pPr>
              <w:pStyle w:val="6"/>
              <w:spacing w:before="187" w:line="196" w:lineRule="auto"/>
              <w:ind w:left="84"/>
              <w:rPr>
                <w:sz w:val="18"/>
                <w:szCs w:val="18"/>
              </w:rPr>
            </w:pPr>
            <w:r>
              <w:rPr>
                <w:spacing w:val="-3"/>
                <w:sz w:val="18"/>
                <w:szCs w:val="18"/>
              </w:rPr>
              <w:t>学前儿</w:t>
            </w:r>
          </w:p>
          <w:p w14:paraId="71810779">
            <w:pPr>
              <w:pStyle w:val="6"/>
              <w:spacing w:line="194" w:lineRule="auto"/>
              <w:ind w:left="84"/>
              <w:rPr>
                <w:sz w:val="18"/>
                <w:szCs w:val="18"/>
              </w:rPr>
            </w:pPr>
            <w:r>
              <w:rPr>
                <w:spacing w:val="7"/>
                <w:sz w:val="18"/>
                <w:szCs w:val="18"/>
              </w:rPr>
              <w:t>童常用</w:t>
            </w:r>
          </w:p>
          <w:p w14:paraId="78881188">
            <w:pPr>
              <w:pStyle w:val="6"/>
              <w:spacing w:line="194" w:lineRule="auto"/>
              <w:ind w:left="174"/>
              <w:rPr>
                <w:sz w:val="18"/>
                <w:szCs w:val="18"/>
              </w:rPr>
            </w:pPr>
            <w:r>
              <w:rPr>
                <w:spacing w:val="-2"/>
                <w:sz w:val="18"/>
                <w:szCs w:val="18"/>
              </w:rPr>
              <w:t>护理</w:t>
            </w:r>
          </w:p>
          <w:p w14:paraId="294C65A7">
            <w:pPr>
              <w:pStyle w:val="6"/>
              <w:spacing w:line="219" w:lineRule="auto"/>
              <w:ind w:left="174"/>
              <w:rPr>
                <w:sz w:val="18"/>
                <w:szCs w:val="18"/>
              </w:rPr>
            </w:pPr>
            <w:r>
              <w:rPr>
                <w:spacing w:val="-2"/>
                <w:sz w:val="18"/>
                <w:szCs w:val="18"/>
              </w:rPr>
              <w:t>技术</w:t>
            </w:r>
          </w:p>
        </w:tc>
        <w:tc>
          <w:tcPr>
            <w:tcW w:w="2484" w:type="dxa"/>
            <w:vAlign w:val="top"/>
          </w:tcPr>
          <w:p w14:paraId="4E29F178">
            <w:pPr>
              <w:pStyle w:val="6"/>
              <w:spacing w:before="76" w:line="202" w:lineRule="auto"/>
              <w:ind w:left="12" w:firstLine="9"/>
              <w:rPr>
                <w:sz w:val="18"/>
                <w:szCs w:val="18"/>
              </w:rPr>
            </w:pPr>
            <w:r>
              <w:rPr>
                <w:spacing w:val="-9"/>
                <w:sz w:val="18"/>
                <w:szCs w:val="18"/>
              </w:rPr>
              <w:t>学前儿童患病时常用的护理技</w:t>
            </w:r>
            <w:r>
              <w:rPr>
                <w:spacing w:val="2"/>
                <w:sz w:val="18"/>
                <w:szCs w:val="18"/>
              </w:rPr>
              <w:t xml:space="preserve">   </w:t>
            </w:r>
            <w:r>
              <w:rPr>
                <w:spacing w:val="-10"/>
                <w:sz w:val="18"/>
                <w:szCs w:val="18"/>
              </w:rPr>
              <w:t>能(测量体温、物理降温、热敷、</w:t>
            </w:r>
            <w:r>
              <w:rPr>
                <w:sz w:val="18"/>
                <w:szCs w:val="18"/>
              </w:rPr>
              <w:t xml:space="preserve"> </w:t>
            </w:r>
            <w:r>
              <w:rPr>
                <w:spacing w:val="-7"/>
                <w:sz w:val="18"/>
                <w:szCs w:val="18"/>
              </w:rPr>
              <w:t>止鼻血，喂药、滴眼药水、涂</w:t>
            </w:r>
          </w:p>
          <w:p w14:paraId="2BB1DCE3">
            <w:pPr>
              <w:pStyle w:val="6"/>
              <w:spacing w:line="207" w:lineRule="auto"/>
              <w:ind w:left="12" w:right="474"/>
              <w:rPr>
                <w:sz w:val="18"/>
                <w:szCs w:val="18"/>
              </w:rPr>
            </w:pPr>
            <w:r>
              <w:rPr>
                <w:sz w:val="18"/>
                <w:szCs w:val="18"/>
              </w:rPr>
              <w:t>眼药膏、滴鼻药水、滴耳</w:t>
            </w:r>
            <w:r>
              <w:rPr>
                <w:spacing w:val="6"/>
                <w:sz w:val="18"/>
                <w:szCs w:val="18"/>
              </w:rPr>
              <w:t xml:space="preserve"> </w:t>
            </w:r>
            <w:r>
              <w:rPr>
                <w:spacing w:val="9"/>
                <w:sz w:val="18"/>
                <w:szCs w:val="18"/>
              </w:rPr>
              <w:t>药水等)</w:t>
            </w:r>
          </w:p>
        </w:tc>
        <w:tc>
          <w:tcPr>
            <w:tcW w:w="230" w:type="dxa"/>
            <w:vAlign w:val="top"/>
          </w:tcPr>
          <w:p w14:paraId="4BCF6CE8">
            <w:pPr>
              <w:rPr>
                <w:rFonts w:ascii="Arial"/>
                <w:sz w:val="21"/>
              </w:rPr>
            </w:pPr>
          </w:p>
        </w:tc>
        <w:tc>
          <w:tcPr>
            <w:tcW w:w="230" w:type="dxa"/>
            <w:vAlign w:val="top"/>
          </w:tcPr>
          <w:p w14:paraId="795FC592">
            <w:pPr>
              <w:rPr>
                <w:rFonts w:ascii="Arial"/>
                <w:sz w:val="21"/>
              </w:rPr>
            </w:pPr>
          </w:p>
        </w:tc>
        <w:tc>
          <w:tcPr>
            <w:tcW w:w="219" w:type="dxa"/>
            <w:vAlign w:val="top"/>
          </w:tcPr>
          <w:p w14:paraId="6B0F2003">
            <w:pPr>
              <w:spacing w:line="442" w:lineRule="auto"/>
              <w:rPr>
                <w:rFonts w:ascii="Arial"/>
                <w:sz w:val="21"/>
              </w:rPr>
            </w:pPr>
          </w:p>
          <w:p w14:paraId="10253DB2">
            <w:pPr>
              <w:pStyle w:val="6"/>
              <w:spacing w:before="46" w:line="238" w:lineRule="auto"/>
              <w:ind w:left="17"/>
              <w:rPr>
                <w:sz w:val="14"/>
                <w:szCs w:val="14"/>
              </w:rPr>
            </w:pPr>
            <w:r>
              <w:rPr>
                <w:sz w:val="14"/>
                <w:szCs w:val="14"/>
              </w:rPr>
              <w:t>√</w:t>
            </w:r>
          </w:p>
        </w:tc>
        <w:tc>
          <w:tcPr>
            <w:tcW w:w="244" w:type="dxa"/>
            <w:vAlign w:val="top"/>
          </w:tcPr>
          <w:p w14:paraId="72D67311">
            <w:pPr>
              <w:rPr>
                <w:rFonts w:ascii="Arial"/>
                <w:sz w:val="21"/>
              </w:rPr>
            </w:pPr>
          </w:p>
        </w:tc>
      </w:tr>
      <w:tr w14:paraId="1809AC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906" w:hRule="atLeast"/>
        </w:trPr>
        <w:tc>
          <w:tcPr>
            <w:tcW w:w="733" w:type="dxa"/>
            <w:vAlign w:val="top"/>
          </w:tcPr>
          <w:p w14:paraId="40CDACAA">
            <w:pPr>
              <w:spacing w:line="319" w:lineRule="auto"/>
              <w:rPr>
                <w:rFonts w:ascii="Arial"/>
                <w:sz w:val="21"/>
              </w:rPr>
            </w:pPr>
          </w:p>
          <w:p w14:paraId="66CA52F4">
            <w:pPr>
              <w:spacing w:line="319" w:lineRule="auto"/>
              <w:rPr>
                <w:rFonts w:ascii="Arial"/>
                <w:sz w:val="21"/>
              </w:rPr>
            </w:pPr>
          </w:p>
          <w:p w14:paraId="7F3AF9AC">
            <w:pPr>
              <w:pStyle w:val="6"/>
              <w:spacing w:before="59" w:line="203" w:lineRule="auto"/>
              <w:ind w:left="84" w:right="86"/>
              <w:jc w:val="both"/>
              <w:rPr>
                <w:sz w:val="18"/>
                <w:szCs w:val="18"/>
              </w:rPr>
            </w:pPr>
            <w:r>
              <w:rPr>
                <w:spacing w:val="-4"/>
                <w:sz w:val="18"/>
                <w:szCs w:val="18"/>
              </w:rPr>
              <w:t>学前儿</w:t>
            </w:r>
            <w:r>
              <w:rPr>
                <w:sz w:val="18"/>
                <w:szCs w:val="18"/>
              </w:rPr>
              <w:t xml:space="preserve"> </w:t>
            </w:r>
            <w:r>
              <w:rPr>
                <w:spacing w:val="3"/>
                <w:sz w:val="18"/>
                <w:szCs w:val="18"/>
              </w:rPr>
              <w:t>童的意</w:t>
            </w:r>
            <w:r>
              <w:rPr>
                <w:spacing w:val="1"/>
                <w:sz w:val="18"/>
                <w:szCs w:val="18"/>
              </w:rPr>
              <w:t xml:space="preserve"> </w:t>
            </w:r>
            <w:r>
              <w:rPr>
                <w:spacing w:val="3"/>
                <w:sz w:val="18"/>
                <w:szCs w:val="18"/>
              </w:rPr>
              <w:t>外伤害</w:t>
            </w:r>
          </w:p>
        </w:tc>
        <w:tc>
          <w:tcPr>
            <w:tcW w:w="2484" w:type="dxa"/>
            <w:vAlign w:val="top"/>
          </w:tcPr>
          <w:p w14:paraId="1CED23BF">
            <w:pPr>
              <w:pStyle w:val="6"/>
              <w:spacing w:before="70" w:line="219" w:lineRule="auto"/>
              <w:ind w:left="12"/>
              <w:rPr>
                <w:sz w:val="16"/>
                <w:szCs w:val="16"/>
              </w:rPr>
            </w:pPr>
            <w:r>
              <w:rPr>
                <w:sz w:val="16"/>
                <w:szCs w:val="16"/>
              </w:rPr>
              <w:t>1.学前儿童常见的意外伤害(小</w:t>
            </w:r>
          </w:p>
          <w:p w14:paraId="22DD3784">
            <w:pPr>
              <w:pStyle w:val="6"/>
              <w:spacing w:line="207" w:lineRule="auto"/>
              <w:ind w:left="31"/>
              <w:rPr>
                <w:sz w:val="16"/>
                <w:szCs w:val="16"/>
              </w:rPr>
            </w:pPr>
            <w:r>
              <w:rPr>
                <w:spacing w:val="5"/>
                <w:sz w:val="16"/>
                <w:szCs w:val="16"/>
              </w:rPr>
              <w:t>外伤、异物入体、动物咬(蛰、</w:t>
            </w:r>
          </w:p>
          <w:p w14:paraId="5C185C8D">
            <w:pPr>
              <w:pStyle w:val="6"/>
              <w:spacing w:before="1" w:line="212" w:lineRule="auto"/>
              <w:ind w:left="12" w:firstLine="9"/>
              <w:rPr>
                <w:sz w:val="16"/>
                <w:szCs w:val="16"/>
              </w:rPr>
            </w:pPr>
            <w:r>
              <w:rPr>
                <w:spacing w:val="-13"/>
                <w:sz w:val="16"/>
                <w:szCs w:val="16"/>
              </w:rPr>
              <w:t>叮</w:t>
            </w:r>
            <w:r>
              <w:rPr>
                <w:spacing w:val="-29"/>
                <w:sz w:val="16"/>
                <w:szCs w:val="16"/>
              </w:rPr>
              <w:t xml:space="preserve"> </w:t>
            </w:r>
            <w:r>
              <w:rPr>
                <w:spacing w:val="-13"/>
                <w:sz w:val="16"/>
                <w:szCs w:val="16"/>
              </w:rPr>
              <w:t>)</w:t>
            </w:r>
            <w:r>
              <w:rPr>
                <w:spacing w:val="-31"/>
                <w:sz w:val="16"/>
                <w:szCs w:val="16"/>
              </w:rPr>
              <w:t xml:space="preserve"> </w:t>
            </w:r>
            <w:r>
              <w:rPr>
                <w:spacing w:val="-13"/>
                <w:sz w:val="16"/>
                <w:szCs w:val="16"/>
              </w:rPr>
              <w:t>伤</w:t>
            </w:r>
            <w:r>
              <w:rPr>
                <w:spacing w:val="-20"/>
                <w:sz w:val="16"/>
                <w:szCs w:val="16"/>
              </w:rPr>
              <w:t xml:space="preserve"> </w:t>
            </w:r>
            <w:r>
              <w:rPr>
                <w:spacing w:val="-13"/>
                <w:sz w:val="16"/>
                <w:szCs w:val="16"/>
              </w:rPr>
              <w:t>、</w:t>
            </w:r>
            <w:r>
              <w:rPr>
                <w:spacing w:val="-30"/>
                <w:sz w:val="16"/>
                <w:szCs w:val="16"/>
              </w:rPr>
              <w:t xml:space="preserve"> </w:t>
            </w:r>
            <w:r>
              <w:rPr>
                <w:spacing w:val="-13"/>
                <w:sz w:val="16"/>
                <w:szCs w:val="16"/>
              </w:rPr>
              <w:t>头</w:t>
            </w:r>
            <w:r>
              <w:rPr>
                <w:spacing w:val="-29"/>
                <w:sz w:val="16"/>
                <w:szCs w:val="16"/>
              </w:rPr>
              <w:t xml:space="preserve"> </w:t>
            </w:r>
            <w:r>
              <w:rPr>
                <w:spacing w:val="-13"/>
                <w:sz w:val="16"/>
                <w:szCs w:val="16"/>
              </w:rPr>
              <w:t>部</w:t>
            </w:r>
            <w:r>
              <w:rPr>
                <w:spacing w:val="-31"/>
                <w:sz w:val="16"/>
                <w:szCs w:val="16"/>
              </w:rPr>
              <w:t xml:space="preserve"> </w:t>
            </w:r>
            <w:r>
              <w:rPr>
                <w:spacing w:val="-13"/>
                <w:sz w:val="16"/>
                <w:szCs w:val="16"/>
              </w:rPr>
              <w:t>摔</w:t>
            </w:r>
            <w:r>
              <w:rPr>
                <w:spacing w:val="-31"/>
                <w:sz w:val="16"/>
                <w:szCs w:val="16"/>
              </w:rPr>
              <w:t xml:space="preserve"> </w:t>
            </w:r>
            <w:r>
              <w:rPr>
                <w:spacing w:val="-13"/>
                <w:sz w:val="16"/>
                <w:szCs w:val="16"/>
              </w:rPr>
              <w:t>伤</w:t>
            </w:r>
            <w:r>
              <w:rPr>
                <w:spacing w:val="-20"/>
                <w:sz w:val="16"/>
                <w:szCs w:val="16"/>
              </w:rPr>
              <w:t xml:space="preserve"> </w:t>
            </w:r>
            <w:r>
              <w:rPr>
                <w:spacing w:val="-13"/>
                <w:sz w:val="16"/>
                <w:szCs w:val="16"/>
              </w:rPr>
              <w:t>、</w:t>
            </w:r>
            <w:r>
              <w:rPr>
                <w:spacing w:val="-23"/>
                <w:sz w:val="16"/>
                <w:szCs w:val="16"/>
              </w:rPr>
              <w:t xml:space="preserve"> </w:t>
            </w:r>
            <w:r>
              <w:rPr>
                <w:spacing w:val="-13"/>
                <w:sz w:val="16"/>
                <w:szCs w:val="16"/>
              </w:rPr>
              <w:t>眼</w:t>
            </w:r>
            <w:r>
              <w:rPr>
                <w:spacing w:val="-28"/>
                <w:sz w:val="16"/>
                <w:szCs w:val="16"/>
              </w:rPr>
              <w:t xml:space="preserve"> </w:t>
            </w:r>
            <w:r>
              <w:rPr>
                <w:spacing w:val="-13"/>
                <w:sz w:val="16"/>
                <w:szCs w:val="16"/>
              </w:rPr>
              <w:t>外</w:t>
            </w:r>
            <w:r>
              <w:rPr>
                <w:spacing w:val="-31"/>
                <w:sz w:val="16"/>
                <w:szCs w:val="16"/>
              </w:rPr>
              <w:t xml:space="preserve"> </w:t>
            </w:r>
            <w:r>
              <w:rPr>
                <w:spacing w:val="-13"/>
                <w:sz w:val="16"/>
                <w:szCs w:val="16"/>
              </w:rPr>
              <w:t>伤</w:t>
            </w:r>
            <w:r>
              <w:rPr>
                <w:spacing w:val="-37"/>
                <w:sz w:val="16"/>
                <w:szCs w:val="16"/>
              </w:rPr>
              <w:t xml:space="preserve"> </w:t>
            </w:r>
            <w:r>
              <w:rPr>
                <w:spacing w:val="-13"/>
                <w:sz w:val="16"/>
                <w:szCs w:val="16"/>
              </w:rPr>
              <w:t>、</w:t>
            </w:r>
            <w:r>
              <w:rPr>
                <w:sz w:val="16"/>
                <w:szCs w:val="16"/>
              </w:rPr>
              <w:t xml:space="preserve"> 烧(烫)伤、触电、中毒、溺水)</w:t>
            </w:r>
          </w:p>
          <w:p w14:paraId="5D8A4589">
            <w:pPr>
              <w:pStyle w:val="6"/>
              <w:spacing w:before="1" w:line="185" w:lineRule="auto"/>
              <w:ind w:left="21"/>
              <w:rPr>
                <w:sz w:val="16"/>
                <w:szCs w:val="16"/>
              </w:rPr>
            </w:pPr>
            <w:r>
              <w:rPr>
                <w:sz w:val="16"/>
                <w:szCs w:val="16"/>
              </w:rPr>
              <w:t>的处理办法。</w:t>
            </w:r>
          </w:p>
          <w:p w14:paraId="29FD759A">
            <w:pPr>
              <w:pStyle w:val="6"/>
              <w:spacing w:line="207" w:lineRule="auto"/>
              <w:ind w:left="12" w:right="390"/>
              <w:rPr>
                <w:sz w:val="16"/>
                <w:szCs w:val="16"/>
              </w:rPr>
            </w:pPr>
            <w:r>
              <w:rPr>
                <w:spacing w:val="-1"/>
                <w:sz w:val="16"/>
                <w:szCs w:val="16"/>
              </w:rPr>
              <w:t>2.口对口人工呼吸、胸外心脏</w:t>
            </w:r>
            <w:r>
              <w:rPr>
                <w:spacing w:val="4"/>
                <w:sz w:val="16"/>
                <w:szCs w:val="16"/>
              </w:rPr>
              <w:t xml:space="preserve"> </w:t>
            </w:r>
            <w:r>
              <w:rPr>
                <w:spacing w:val="-1"/>
                <w:sz w:val="16"/>
                <w:szCs w:val="16"/>
              </w:rPr>
              <w:t>按压的操作要领</w:t>
            </w:r>
          </w:p>
          <w:p w14:paraId="6D882B8A">
            <w:pPr>
              <w:pStyle w:val="6"/>
              <w:spacing w:before="1" w:line="213" w:lineRule="auto"/>
              <w:ind w:left="12" w:right="362"/>
              <w:rPr>
                <w:sz w:val="16"/>
                <w:szCs w:val="16"/>
              </w:rPr>
            </w:pPr>
            <w:r>
              <w:rPr>
                <w:spacing w:val="1"/>
                <w:sz w:val="16"/>
                <w:szCs w:val="16"/>
              </w:rPr>
              <w:t>3.掌握常见的止血方法及鼻出</w:t>
            </w:r>
            <w:r>
              <w:rPr>
                <w:spacing w:val="4"/>
                <w:sz w:val="16"/>
                <w:szCs w:val="16"/>
              </w:rPr>
              <w:t xml:space="preserve"> </w:t>
            </w:r>
            <w:r>
              <w:rPr>
                <w:spacing w:val="-1"/>
                <w:sz w:val="16"/>
                <w:szCs w:val="16"/>
              </w:rPr>
              <w:t>血的应急处理要求</w:t>
            </w:r>
          </w:p>
          <w:p w14:paraId="609D3F68">
            <w:pPr>
              <w:pStyle w:val="6"/>
              <w:spacing w:line="219" w:lineRule="auto"/>
              <w:ind w:left="12"/>
              <w:rPr>
                <w:sz w:val="16"/>
                <w:szCs w:val="16"/>
              </w:rPr>
            </w:pPr>
            <w:r>
              <w:rPr>
                <w:spacing w:val="-1"/>
                <w:sz w:val="16"/>
                <w:szCs w:val="16"/>
              </w:rPr>
              <w:t>4.骨折后的应急处理要求</w:t>
            </w:r>
          </w:p>
        </w:tc>
        <w:tc>
          <w:tcPr>
            <w:tcW w:w="230" w:type="dxa"/>
            <w:vAlign w:val="top"/>
          </w:tcPr>
          <w:p w14:paraId="7DC38EBA">
            <w:pPr>
              <w:rPr>
                <w:rFonts w:ascii="Arial"/>
                <w:sz w:val="21"/>
              </w:rPr>
            </w:pPr>
          </w:p>
        </w:tc>
        <w:tc>
          <w:tcPr>
            <w:tcW w:w="230" w:type="dxa"/>
            <w:vAlign w:val="top"/>
          </w:tcPr>
          <w:p w14:paraId="664F4B91">
            <w:pPr>
              <w:rPr>
                <w:rFonts w:ascii="Arial"/>
                <w:sz w:val="21"/>
              </w:rPr>
            </w:pPr>
          </w:p>
        </w:tc>
        <w:tc>
          <w:tcPr>
            <w:tcW w:w="219" w:type="dxa"/>
            <w:vAlign w:val="top"/>
          </w:tcPr>
          <w:p w14:paraId="194AFDC8">
            <w:pPr>
              <w:pStyle w:val="6"/>
              <w:spacing w:before="83" w:line="238" w:lineRule="auto"/>
              <w:ind w:left="17"/>
              <w:rPr>
                <w:sz w:val="14"/>
                <w:szCs w:val="14"/>
              </w:rPr>
            </w:pPr>
            <w:r>
              <w:rPr>
                <w:sz w:val="14"/>
                <w:szCs w:val="14"/>
              </w:rPr>
              <w:t>√</w:t>
            </w:r>
          </w:p>
        </w:tc>
        <w:tc>
          <w:tcPr>
            <w:tcW w:w="244" w:type="dxa"/>
            <w:vAlign w:val="top"/>
          </w:tcPr>
          <w:p w14:paraId="25D8B7B0">
            <w:pPr>
              <w:rPr>
                <w:rFonts w:ascii="Arial"/>
                <w:sz w:val="21"/>
              </w:rPr>
            </w:pPr>
          </w:p>
        </w:tc>
      </w:tr>
      <w:tr w14:paraId="2A0B28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53" w:hRule="atLeast"/>
        </w:trPr>
        <w:tc>
          <w:tcPr>
            <w:tcW w:w="733" w:type="dxa"/>
            <w:vAlign w:val="top"/>
          </w:tcPr>
          <w:p w14:paraId="109EA44D">
            <w:pPr>
              <w:pStyle w:val="6"/>
              <w:spacing w:before="86" w:line="194" w:lineRule="auto"/>
              <w:ind w:left="15"/>
              <w:jc w:val="both"/>
              <w:rPr>
                <w:sz w:val="18"/>
                <w:szCs w:val="18"/>
              </w:rPr>
            </w:pPr>
            <w:r>
              <w:rPr>
                <w:spacing w:val="-4"/>
                <w:sz w:val="18"/>
                <w:szCs w:val="18"/>
              </w:rPr>
              <w:t>托幼机构</w:t>
            </w:r>
            <w:r>
              <w:rPr>
                <w:spacing w:val="2"/>
                <w:sz w:val="18"/>
                <w:szCs w:val="18"/>
              </w:rPr>
              <w:t xml:space="preserve"> </w:t>
            </w:r>
            <w:r>
              <w:rPr>
                <w:spacing w:val="-5"/>
                <w:sz w:val="18"/>
                <w:szCs w:val="18"/>
              </w:rPr>
              <w:t>意外事故</w:t>
            </w:r>
            <w:r>
              <w:rPr>
                <w:spacing w:val="2"/>
                <w:sz w:val="18"/>
                <w:szCs w:val="18"/>
              </w:rPr>
              <w:t xml:space="preserve"> </w:t>
            </w:r>
            <w:r>
              <w:rPr>
                <w:spacing w:val="-7"/>
                <w:sz w:val="18"/>
                <w:szCs w:val="18"/>
              </w:rPr>
              <w:t>的原因与</w:t>
            </w:r>
            <w:r>
              <w:rPr>
                <w:sz w:val="18"/>
                <w:szCs w:val="18"/>
              </w:rPr>
              <w:t xml:space="preserve"> </w:t>
            </w:r>
            <w:r>
              <w:rPr>
                <w:spacing w:val="-4"/>
                <w:sz w:val="18"/>
                <w:szCs w:val="18"/>
              </w:rPr>
              <w:t>安全管理</w:t>
            </w:r>
          </w:p>
        </w:tc>
        <w:tc>
          <w:tcPr>
            <w:tcW w:w="2484" w:type="dxa"/>
            <w:vAlign w:val="top"/>
          </w:tcPr>
          <w:p w14:paraId="13C8D245">
            <w:pPr>
              <w:pStyle w:val="6"/>
              <w:spacing w:before="165" w:line="195" w:lineRule="auto"/>
              <w:ind w:left="12"/>
              <w:rPr>
                <w:sz w:val="18"/>
                <w:szCs w:val="18"/>
              </w:rPr>
            </w:pPr>
            <w:r>
              <w:rPr>
                <w:spacing w:val="-4"/>
                <w:sz w:val="18"/>
                <w:szCs w:val="18"/>
              </w:rPr>
              <w:t>1.托幼机构意外事故的常见原因</w:t>
            </w:r>
            <w:r>
              <w:rPr>
                <w:sz w:val="18"/>
                <w:szCs w:val="18"/>
              </w:rPr>
              <w:t xml:space="preserve"> </w:t>
            </w:r>
            <w:r>
              <w:rPr>
                <w:spacing w:val="-2"/>
                <w:sz w:val="18"/>
                <w:szCs w:val="18"/>
              </w:rPr>
              <w:t>2.托幼机构的安全管理措施</w:t>
            </w:r>
          </w:p>
          <w:p w14:paraId="40470B8F">
            <w:pPr>
              <w:pStyle w:val="6"/>
              <w:spacing w:line="219" w:lineRule="auto"/>
              <w:ind w:left="12"/>
              <w:rPr>
                <w:sz w:val="18"/>
                <w:szCs w:val="18"/>
              </w:rPr>
            </w:pPr>
            <w:r>
              <w:rPr>
                <w:spacing w:val="1"/>
                <w:sz w:val="18"/>
                <w:szCs w:val="18"/>
              </w:rPr>
              <w:t>3.如何进行安全教育</w:t>
            </w:r>
          </w:p>
        </w:tc>
        <w:tc>
          <w:tcPr>
            <w:tcW w:w="230" w:type="dxa"/>
            <w:vAlign w:val="top"/>
          </w:tcPr>
          <w:p w14:paraId="3623DD8C">
            <w:pPr>
              <w:rPr>
                <w:rFonts w:ascii="Arial"/>
                <w:sz w:val="21"/>
              </w:rPr>
            </w:pPr>
          </w:p>
        </w:tc>
        <w:tc>
          <w:tcPr>
            <w:tcW w:w="230" w:type="dxa"/>
            <w:vAlign w:val="top"/>
          </w:tcPr>
          <w:p w14:paraId="5041C49F">
            <w:pPr>
              <w:rPr>
                <w:rFonts w:ascii="Arial"/>
                <w:sz w:val="21"/>
              </w:rPr>
            </w:pPr>
          </w:p>
        </w:tc>
        <w:tc>
          <w:tcPr>
            <w:tcW w:w="219" w:type="dxa"/>
            <w:vAlign w:val="top"/>
          </w:tcPr>
          <w:p w14:paraId="40AA49EE">
            <w:pPr>
              <w:rPr>
                <w:rFonts w:ascii="Arial"/>
                <w:sz w:val="21"/>
              </w:rPr>
            </w:pPr>
          </w:p>
        </w:tc>
        <w:tc>
          <w:tcPr>
            <w:tcW w:w="244" w:type="dxa"/>
            <w:vAlign w:val="top"/>
          </w:tcPr>
          <w:p w14:paraId="1D47F148">
            <w:pPr>
              <w:rPr>
                <w:rFonts w:ascii="Arial"/>
                <w:sz w:val="21"/>
              </w:rPr>
            </w:pPr>
          </w:p>
        </w:tc>
      </w:tr>
    </w:tbl>
    <w:p w14:paraId="55F41CE2">
      <w:pPr>
        <w:spacing w:before="219" w:line="222" w:lineRule="auto"/>
        <w:ind w:left="18"/>
        <w:rPr>
          <w:rFonts w:ascii="黑体" w:hAnsi="黑体" w:eastAsia="黑体" w:cs="黑体"/>
          <w:sz w:val="23"/>
          <w:szCs w:val="23"/>
        </w:rPr>
      </w:pPr>
      <w:r>
        <w:rPr>
          <w:rFonts w:ascii="黑体" w:hAnsi="黑体" w:eastAsia="黑体" w:cs="黑体"/>
          <w:b/>
          <w:bCs/>
          <w:spacing w:val="-7"/>
          <w:sz w:val="23"/>
          <w:szCs w:val="23"/>
        </w:rPr>
        <w:t>六、幼儿园保教活动卫生</w:t>
      </w:r>
    </w:p>
    <w:p w14:paraId="231B9066">
      <w:pPr>
        <w:spacing w:line="123" w:lineRule="exact"/>
      </w:pPr>
    </w:p>
    <w:tbl>
      <w:tblPr>
        <w:tblStyle w:val="5"/>
        <w:tblW w:w="414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43"/>
        <w:gridCol w:w="2484"/>
        <w:gridCol w:w="230"/>
        <w:gridCol w:w="220"/>
        <w:gridCol w:w="229"/>
        <w:gridCol w:w="234"/>
      </w:tblGrid>
      <w:tr w14:paraId="3C68F2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4" w:hRule="atLeast"/>
        </w:trPr>
        <w:tc>
          <w:tcPr>
            <w:tcW w:w="743" w:type="dxa"/>
            <w:vMerge w:val="restart"/>
            <w:tcBorders>
              <w:bottom w:val="nil"/>
            </w:tcBorders>
            <w:vAlign w:val="top"/>
          </w:tcPr>
          <w:p w14:paraId="4A3A5084">
            <w:pPr>
              <w:pStyle w:val="6"/>
              <w:spacing w:before="31" w:line="201" w:lineRule="auto"/>
              <w:ind w:left="96" w:right="6" w:hanging="79"/>
              <w:rPr>
                <w:sz w:val="18"/>
                <w:szCs w:val="18"/>
              </w:rPr>
            </w:pPr>
            <w:r>
              <w:rPr>
                <w:b/>
                <w:bCs/>
                <w:spacing w:val="-5"/>
                <w:sz w:val="18"/>
                <w:szCs w:val="18"/>
              </w:rPr>
              <w:t>知识与技</w:t>
            </w:r>
            <w:r>
              <w:rPr>
                <w:sz w:val="18"/>
                <w:szCs w:val="18"/>
              </w:rPr>
              <w:t xml:space="preserve"> </w:t>
            </w:r>
            <w:r>
              <w:rPr>
                <w:b/>
                <w:bCs/>
                <w:spacing w:val="1"/>
                <w:sz w:val="18"/>
                <w:szCs w:val="18"/>
              </w:rPr>
              <w:t>能要点</w:t>
            </w:r>
          </w:p>
        </w:tc>
        <w:tc>
          <w:tcPr>
            <w:tcW w:w="2484" w:type="dxa"/>
            <w:vMerge w:val="restart"/>
            <w:tcBorders>
              <w:bottom w:val="nil"/>
            </w:tcBorders>
            <w:vAlign w:val="top"/>
          </w:tcPr>
          <w:p w14:paraId="5EFA1CEA">
            <w:pPr>
              <w:pStyle w:val="6"/>
              <w:spacing w:before="129" w:line="219" w:lineRule="auto"/>
              <w:ind w:left="934"/>
              <w:rPr>
                <w:sz w:val="18"/>
                <w:szCs w:val="18"/>
              </w:rPr>
            </w:pPr>
            <w:r>
              <w:rPr>
                <w:b/>
                <w:bCs/>
                <w:spacing w:val="5"/>
                <w:sz w:val="18"/>
                <w:szCs w:val="18"/>
              </w:rPr>
              <w:t>考试条目</w:t>
            </w:r>
          </w:p>
        </w:tc>
        <w:tc>
          <w:tcPr>
            <w:tcW w:w="913" w:type="dxa"/>
            <w:gridSpan w:val="4"/>
            <w:vAlign w:val="top"/>
          </w:tcPr>
          <w:p w14:paraId="6C1240BC">
            <w:pPr>
              <w:pStyle w:val="6"/>
              <w:spacing w:before="19" w:line="199" w:lineRule="auto"/>
              <w:ind w:left="130"/>
              <w:rPr>
                <w:sz w:val="18"/>
                <w:szCs w:val="18"/>
              </w:rPr>
            </w:pPr>
            <w:r>
              <w:rPr>
                <w:b/>
                <w:bCs/>
                <w:spacing w:val="-4"/>
                <w:sz w:val="18"/>
                <w:szCs w:val="18"/>
              </w:rPr>
              <w:t>考试水平</w:t>
            </w:r>
          </w:p>
        </w:tc>
      </w:tr>
      <w:tr w14:paraId="57B77D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99" w:hRule="atLeast"/>
        </w:trPr>
        <w:tc>
          <w:tcPr>
            <w:tcW w:w="743" w:type="dxa"/>
            <w:vMerge w:val="continue"/>
            <w:tcBorders>
              <w:top w:val="nil"/>
            </w:tcBorders>
            <w:vAlign w:val="top"/>
          </w:tcPr>
          <w:p w14:paraId="6EEA8DFB">
            <w:pPr>
              <w:rPr>
                <w:rFonts w:ascii="Arial"/>
                <w:sz w:val="21"/>
              </w:rPr>
            </w:pPr>
          </w:p>
        </w:tc>
        <w:tc>
          <w:tcPr>
            <w:tcW w:w="2484" w:type="dxa"/>
            <w:vMerge w:val="continue"/>
            <w:tcBorders>
              <w:top w:val="nil"/>
            </w:tcBorders>
            <w:vAlign w:val="top"/>
          </w:tcPr>
          <w:p w14:paraId="75AB6D05">
            <w:pPr>
              <w:rPr>
                <w:rFonts w:ascii="Arial"/>
                <w:sz w:val="21"/>
              </w:rPr>
            </w:pPr>
          </w:p>
        </w:tc>
        <w:tc>
          <w:tcPr>
            <w:tcW w:w="230" w:type="dxa"/>
            <w:vAlign w:val="top"/>
          </w:tcPr>
          <w:p w14:paraId="4FA89974">
            <w:pPr>
              <w:pStyle w:val="6"/>
              <w:spacing w:before="43" w:line="145" w:lineRule="exact"/>
              <w:ind w:left="18"/>
              <w:rPr>
                <w:sz w:val="18"/>
                <w:szCs w:val="18"/>
              </w:rPr>
            </w:pPr>
            <w:r>
              <w:rPr>
                <w:position w:val="-2"/>
                <w:sz w:val="18"/>
                <w:szCs w:val="18"/>
              </w:rPr>
              <w:t>A</w:t>
            </w:r>
          </w:p>
        </w:tc>
        <w:tc>
          <w:tcPr>
            <w:tcW w:w="220" w:type="dxa"/>
            <w:vAlign w:val="top"/>
          </w:tcPr>
          <w:p w14:paraId="71E1D2C8">
            <w:pPr>
              <w:pStyle w:val="6"/>
              <w:spacing w:before="46" w:line="142" w:lineRule="exact"/>
              <w:ind w:left="58"/>
              <w:rPr>
                <w:sz w:val="18"/>
                <w:szCs w:val="18"/>
              </w:rPr>
            </w:pPr>
            <w:r>
              <w:rPr>
                <w:position w:val="-2"/>
                <w:sz w:val="18"/>
                <w:szCs w:val="18"/>
              </w:rPr>
              <w:t>B</w:t>
            </w:r>
          </w:p>
        </w:tc>
        <w:tc>
          <w:tcPr>
            <w:tcW w:w="229" w:type="dxa"/>
            <w:vAlign w:val="top"/>
          </w:tcPr>
          <w:p w14:paraId="5313D4EA">
            <w:pPr>
              <w:pStyle w:val="6"/>
              <w:spacing w:before="44" w:line="144" w:lineRule="exact"/>
              <w:ind w:left="48"/>
              <w:rPr>
                <w:sz w:val="18"/>
                <w:szCs w:val="18"/>
              </w:rPr>
            </w:pPr>
            <w:r>
              <w:rPr>
                <w:position w:val="-2"/>
                <w:sz w:val="18"/>
                <w:szCs w:val="18"/>
              </w:rPr>
              <w:t>C</w:t>
            </w:r>
          </w:p>
        </w:tc>
        <w:tc>
          <w:tcPr>
            <w:tcW w:w="234" w:type="dxa"/>
            <w:vAlign w:val="top"/>
          </w:tcPr>
          <w:p w14:paraId="25D17C87">
            <w:pPr>
              <w:pStyle w:val="6"/>
              <w:spacing w:before="46" w:line="142" w:lineRule="exact"/>
              <w:ind w:right="4"/>
              <w:jc w:val="right"/>
              <w:rPr>
                <w:sz w:val="18"/>
                <w:szCs w:val="18"/>
              </w:rPr>
            </w:pPr>
            <w:r>
              <w:rPr>
                <w:position w:val="-2"/>
                <w:sz w:val="18"/>
                <w:szCs w:val="18"/>
              </w:rPr>
              <w:t>D</w:t>
            </w:r>
          </w:p>
        </w:tc>
      </w:tr>
      <w:tr w14:paraId="706A80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66" w:hRule="atLeast"/>
        </w:trPr>
        <w:tc>
          <w:tcPr>
            <w:tcW w:w="743" w:type="dxa"/>
            <w:vAlign w:val="top"/>
          </w:tcPr>
          <w:p w14:paraId="44924BFB">
            <w:pPr>
              <w:pStyle w:val="6"/>
              <w:spacing w:before="180" w:line="207" w:lineRule="auto"/>
              <w:ind w:left="94" w:right="86"/>
              <w:rPr>
                <w:sz w:val="18"/>
                <w:szCs w:val="18"/>
              </w:rPr>
            </w:pPr>
            <w:r>
              <w:rPr>
                <w:spacing w:val="3"/>
                <w:sz w:val="18"/>
                <w:szCs w:val="18"/>
              </w:rPr>
              <w:t>生活作</w:t>
            </w:r>
            <w:r>
              <w:rPr>
                <w:spacing w:val="1"/>
                <w:sz w:val="18"/>
                <w:szCs w:val="18"/>
              </w:rPr>
              <w:t xml:space="preserve"> </w:t>
            </w:r>
            <w:r>
              <w:rPr>
                <w:spacing w:val="3"/>
                <w:sz w:val="18"/>
                <w:szCs w:val="18"/>
              </w:rPr>
              <w:t>息制度</w:t>
            </w:r>
          </w:p>
        </w:tc>
        <w:tc>
          <w:tcPr>
            <w:tcW w:w="2484" w:type="dxa"/>
            <w:vAlign w:val="top"/>
          </w:tcPr>
          <w:p w14:paraId="714105D3">
            <w:pPr>
              <w:pStyle w:val="6"/>
              <w:spacing w:before="37" w:line="208" w:lineRule="auto"/>
              <w:ind w:left="11"/>
              <w:rPr>
                <w:sz w:val="18"/>
                <w:szCs w:val="18"/>
              </w:rPr>
            </w:pPr>
            <w:r>
              <w:rPr>
                <w:spacing w:val="-4"/>
                <w:sz w:val="18"/>
                <w:szCs w:val="18"/>
              </w:rPr>
              <w:t>1.制定一日生活作息日程的依据</w:t>
            </w:r>
            <w:r>
              <w:rPr>
                <w:spacing w:val="1"/>
                <w:sz w:val="18"/>
                <w:szCs w:val="18"/>
              </w:rPr>
              <w:t xml:space="preserve"> </w:t>
            </w:r>
            <w:r>
              <w:rPr>
                <w:sz w:val="18"/>
                <w:szCs w:val="18"/>
              </w:rPr>
              <w:t>2.学前儿童一日生活各环节的</w:t>
            </w:r>
            <w:r>
              <w:rPr>
                <w:spacing w:val="2"/>
                <w:sz w:val="18"/>
                <w:szCs w:val="18"/>
              </w:rPr>
              <w:t xml:space="preserve">  </w:t>
            </w:r>
            <w:r>
              <w:rPr>
                <w:spacing w:val="-3"/>
                <w:sz w:val="18"/>
                <w:szCs w:val="18"/>
              </w:rPr>
              <w:t>卫生要求</w:t>
            </w:r>
          </w:p>
        </w:tc>
        <w:tc>
          <w:tcPr>
            <w:tcW w:w="230" w:type="dxa"/>
            <w:vAlign w:val="top"/>
          </w:tcPr>
          <w:p w14:paraId="511EC2F8">
            <w:pPr>
              <w:rPr>
                <w:rFonts w:ascii="Arial"/>
                <w:sz w:val="21"/>
              </w:rPr>
            </w:pPr>
          </w:p>
        </w:tc>
        <w:tc>
          <w:tcPr>
            <w:tcW w:w="220" w:type="dxa"/>
            <w:vAlign w:val="top"/>
          </w:tcPr>
          <w:p w14:paraId="39FA2A50">
            <w:pPr>
              <w:pStyle w:val="6"/>
              <w:spacing w:before="80" w:line="238" w:lineRule="auto"/>
              <w:ind w:left="37"/>
              <w:rPr>
                <w:sz w:val="13"/>
                <w:szCs w:val="13"/>
              </w:rPr>
            </w:pPr>
            <w:r>
              <w:rPr>
                <w:sz w:val="13"/>
                <w:szCs w:val="13"/>
              </w:rPr>
              <w:t>√</w:t>
            </w:r>
          </w:p>
        </w:tc>
        <w:tc>
          <w:tcPr>
            <w:tcW w:w="229" w:type="dxa"/>
            <w:vAlign w:val="top"/>
          </w:tcPr>
          <w:p w14:paraId="543B6A34">
            <w:pPr>
              <w:rPr>
                <w:rFonts w:ascii="Arial"/>
                <w:sz w:val="21"/>
              </w:rPr>
            </w:pPr>
          </w:p>
        </w:tc>
        <w:tc>
          <w:tcPr>
            <w:tcW w:w="234" w:type="dxa"/>
            <w:vAlign w:val="top"/>
          </w:tcPr>
          <w:p w14:paraId="21FEEE22">
            <w:pPr>
              <w:pStyle w:val="6"/>
              <w:spacing w:before="281" w:line="238" w:lineRule="auto"/>
              <w:ind w:right="4"/>
              <w:jc w:val="right"/>
              <w:rPr>
                <w:sz w:val="14"/>
                <w:szCs w:val="14"/>
              </w:rPr>
            </w:pPr>
            <w:r>
              <w:rPr>
                <w:sz w:val="14"/>
                <w:szCs w:val="14"/>
              </w:rPr>
              <w:t>√</w:t>
            </w:r>
          </w:p>
        </w:tc>
      </w:tr>
      <w:tr w14:paraId="1133C4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70" w:hRule="atLeast"/>
        </w:trPr>
        <w:tc>
          <w:tcPr>
            <w:tcW w:w="743" w:type="dxa"/>
            <w:vAlign w:val="top"/>
          </w:tcPr>
          <w:p w14:paraId="2909C011">
            <w:pPr>
              <w:pStyle w:val="6"/>
              <w:spacing w:before="60" w:line="196" w:lineRule="auto"/>
              <w:ind w:left="97"/>
              <w:rPr>
                <w:sz w:val="18"/>
                <w:szCs w:val="18"/>
              </w:rPr>
            </w:pPr>
            <w:r>
              <w:rPr>
                <w:b/>
                <w:bCs/>
                <w:spacing w:val="-4"/>
                <w:sz w:val="18"/>
                <w:szCs w:val="18"/>
              </w:rPr>
              <w:t>托幼机</w:t>
            </w:r>
          </w:p>
          <w:p w14:paraId="7A4668E2">
            <w:pPr>
              <w:pStyle w:val="6"/>
              <w:spacing w:line="205" w:lineRule="auto"/>
              <w:ind w:left="107"/>
              <w:rPr>
                <w:sz w:val="18"/>
                <w:szCs w:val="18"/>
              </w:rPr>
            </w:pPr>
            <w:r>
              <w:rPr>
                <w:b/>
                <w:bCs/>
                <w:spacing w:val="-4"/>
                <w:sz w:val="18"/>
                <w:szCs w:val="18"/>
              </w:rPr>
              <w:t>构卫生</w:t>
            </w:r>
          </w:p>
          <w:p w14:paraId="49D00D2F">
            <w:pPr>
              <w:pStyle w:val="6"/>
              <w:spacing w:line="194" w:lineRule="auto"/>
              <w:ind w:left="187"/>
              <w:rPr>
                <w:sz w:val="18"/>
                <w:szCs w:val="18"/>
              </w:rPr>
            </w:pPr>
            <w:r>
              <w:rPr>
                <w:b/>
                <w:bCs/>
                <w:spacing w:val="-4"/>
                <w:sz w:val="18"/>
                <w:szCs w:val="18"/>
              </w:rPr>
              <w:t>保健</w:t>
            </w:r>
          </w:p>
          <w:p w14:paraId="10D776A4">
            <w:pPr>
              <w:pStyle w:val="6"/>
              <w:spacing w:line="220" w:lineRule="auto"/>
              <w:ind w:left="187"/>
              <w:rPr>
                <w:sz w:val="18"/>
                <w:szCs w:val="18"/>
              </w:rPr>
            </w:pPr>
            <w:r>
              <w:rPr>
                <w:b/>
                <w:bCs/>
                <w:spacing w:val="-4"/>
                <w:sz w:val="18"/>
                <w:szCs w:val="18"/>
              </w:rPr>
              <w:t>制度</w:t>
            </w:r>
          </w:p>
        </w:tc>
        <w:tc>
          <w:tcPr>
            <w:tcW w:w="2484" w:type="dxa"/>
            <w:vAlign w:val="top"/>
          </w:tcPr>
          <w:p w14:paraId="16E0E5AF">
            <w:pPr>
              <w:pStyle w:val="6"/>
              <w:spacing w:before="42" w:line="190" w:lineRule="auto"/>
              <w:ind w:left="11" w:right="1191"/>
              <w:rPr>
                <w:sz w:val="18"/>
                <w:szCs w:val="18"/>
              </w:rPr>
            </w:pPr>
            <w:r>
              <w:rPr>
                <w:spacing w:val="1"/>
                <w:sz w:val="18"/>
                <w:szCs w:val="18"/>
              </w:rPr>
              <w:t xml:space="preserve">1.体格检查制度 </w:t>
            </w:r>
            <w:r>
              <w:rPr>
                <w:spacing w:val="-1"/>
                <w:sz w:val="18"/>
                <w:szCs w:val="18"/>
              </w:rPr>
              <w:t>2.隔离制度</w:t>
            </w:r>
          </w:p>
          <w:p w14:paraId="10C7FB74">
            <w:pPr>
              <w:pStyle w:val="6"/>
              <w:spacing w:before="1" w:line="206" w:lineRule="auto"/>
              <w:ind w:left="11" w:right="104"/>
              <w:rPr>
                <w:sz w:val="18"/>
                <w:szCs w:val="18"/>
              </w:rPr>
            </w:pPr>
            <w:r>
              <w:rPr>
                <w:spacing w:val="1"/>
                <w:sz w:val="18"/>
                <w:szCs w:val="18"/>
              </w:rPr>
              <w:t>3.幼儿园环境和主要物品的消</w:t>
            </w:r>
            <w:r>
              <w:rPr>
                <w:spacing w:val="2"/>
                <w:sz w:val="18"/>
                <w:szCs w:val="18"/>
              </w:rPr>
              <w:t xml:space="preserve"> </w:t>
            </w:r>
            <w:r>
              <w:rPr>
                <w:sz w:val="18"/>
                <w:szCs w:val="18"/>
              </w:rPr>
              <w:t>毒方法。</w:t>
            </w:r>
          </w:p>
        </w:tc>
        <w:tc>
          <w:tcPr>
            <w:tcW w:w="230" w:type="dxa"/>
            <w:vAlign w:val="top"/>
          </w:tcPr>
          <w:p w14:paraId="17FCFB1F">
            <w:pPr>
              <w:rPr>
                <w:rFonts w:ascii="Arial"/>
                <w:sz w:val="21"/>
              </w:rPr>
            </w:pPr>
          </w:p>
        </w:tc>
        <w:tc>
          <w:tcPr>
            <w:tcW w:w="220" w:type="dxa"/>
            <w:vAlign w:val="top"/>
          </w:tcPr>
          <w:p w14:paraId="1945B569">
            <w:pPr>
              <w:rPr>
                <w:rFonts w:ascii="Arial"/>
                <w:sz w:val="21"/>
              </w:rPr>
            </w:pPr>
          </w:p>
        </w:tc>
        <w:tc>
          <w:tcPr>
            <w:tcW w:w="229" w:type="dxa"/>
            <w:vAlign w:val="top"/>
          </w:tcPr>
          <w:p w14:paraId="2CDA6E92">
            <w:pPr>
              <w:rPr>
                <w:rFonts w:ascii="Arial"/>
                <w:sz w:val="21"/>
              </w:rPr>
            </w:pPr>
          </w:p>
        </w:tc>
        <w:tc>
          <w:tcPr>
            <w:tcW w:w="234" w:type="dxa"/>
            <w:vAlign w:val="top"/>
          </w:tcPr>
          <w:p w14:paraId="59F18865">
            <w:pPr>
              <w:rPr>
                <w:rFonts w:ascii="Arial"/>
                <w:sz w:val="21"/>
              </w:rPr>
            </w:pPr>
          </w:p>
        </w:tc>
      </w:tr>
    </w:tbl>
    <w:p w14:paraId="3E818141">
      <w:pPr>
        <w:pStyle w:val="2"/>
        <w:spacing w:line="29" w:lineRule="auto"/>
        <w:rPr>
          <w:sz w:val="2"/>
        </w:rPr>
      </w:pPr>
    </w:p>
    <w:p w14:paraId="59B658B0">
      <w:pPr>
        <w:spacing w:line="29" w:lineRule="auto"/>
        <w:rPr>
          <w:sz w:val="2"/>
          <w:szCs w:val="2"/>
        </w:rPr>
        <w:sectPr>
          <w:type w:val="continuous"/>
          <w:pgSz w:w="10660" w:h="15080"/>
          <w:pgMar w:top="400" w:right="1024" w:bottom="925" w:left="819" w:header="0" w:footer="705" w:gutter="0"/>
          <w:cols w:equalWidth="0" w:num="2">
            <w:col w:w="4566" w:space="100"/>
            <w:col w:w="4151"/>
          </w:cols>
        </w:sectPr>
      </w:pPr>
    </w:p>
    <w:p w14:paraId="4ADCEDC9">
      <w:pPr>
        <w:spacing w:before="13"/>
      </w:pPr>
    </w:p>
    <w:p w14:paraId="19F867AE">
      <w:pPr>
        <w:spacing w:before="12"/>
      </w:pPr>
    </w:p>
    <w:p w14:paraId="3358FEA0">
      <w:pPr>
        <w:spacing w:before="12"/>
      </w:pPr>
    </w:p>
    <w:p w14:paraId="2CF72752">
      <w:pPr>
        <w:spacing w:before="12"/>
      </w:pPr>
    </w:p>
    <w:p w14:paraId="5A2C916A">
      <w:pPr>
        <w:sectPr>
          <w:footerReference r:id="rId83" w:type="default"/>
          <w:pgSz w:w="10660" w:h="15080"/>
          <w:pgMar w:top="400" w:right="885" w:bottom="925" w:left="1024" w:header="0" w:footer="705" w:gutter="0"/>
          <w:cols w:equalWidth="0" w:num="1">
            <w:col w:w="8750"/>
          </w:cols>
        </w:sectPr>
      </w:pPr>
    </w:p>
    <w:p w14:paraId="07927BB6">
      <w:pPr>
        <w:pStyle w:val="2"/>
        <w:spacing w:line="272" w:lineRule="auto"/>
      </w:pPr>
    </w:p>
    <w:p w14:paraId="617DA638">
      <w:pPr>
        <w:spacing w:before="75" w:line="221" w:lineRule="auto"/>
        <w:ind w:left="698"/>
        <w:rPr>
          <w:rFonts w:ascii="黑体" w:hAnsi="黑体" w:eastAsia="黑体" w:cs="黑体"/>
          <w:sz w:val="23"/>
          <w:szCs w:val="23"/>
        </w:rPr>
      </w:pPr>
      <w:r>
        <w:rPr>
          <w:rFonts w:ascii="黑体" w:hAnsi="黑体" w:eastAsia="黑体" w:cs="黑体"/>
          <w:b/>
          <w:bCs/>
          <w:spacing w:val="-2"/>
          <w:sz w:val="23"/>
          <w:szCs w:val="23"/>
        </w:rPr>
        <w:t>第二部分</w:t>
      </w:r>
      <w:r>
        <w:rPr>
          <w:rFonts w:ascii="黑体" w:hAnsi="黑体" w:eastAsia="黑体" w:cs="黑体"/>
          <w:spacing w:val="28"/>
          <w:sz w:val="23"/>
          <w:szCs w:val="23"/>
        </w:rPr>
        <w:t xml:space="preserve">  </w:t>
      </w:r>
      <w:r>
        <w:rPr>
          <w:rFonts w:ascii="黑体" w:hAnsi="黑体" w:eastAsia="黑体" w:cs="黑体"/>
          <w:b/>
          <w:bCs/>
          <w:spacing w:val="-2"/>
          <w:sz w:val="23"/>
          <w:szCs w:val="23"/>
        </w:rPr>
        <w:t>学前儿童发展心理</w:t>
      </w:r>
    </w:p>
    <w:p w14:paraId="5FADC297">
      <w:pPr>
        <w:pStyle w:val="2"/>
        <w:spacing w:line="301" w:lineRule="auto"/>
      </w:pPr>
    </w:p>
    <w:p w14:paraId="254B4361">
      <w:pPr>
        <w:spacing w:before="75" w:line="224" w:lineRule="auto"/>
        <w:ind w:left="58"/>
        <w:rPr>
          <w:rFonts w:ascii="黑体" w:hAnsi="黑体" w:eastAsia="黑体" w:cs="黑体"/>
          <w:sz w:val="23"/>
          <w:szCs w:val="23"/>
        </w:rPr>
      </w:pPr>
      <w:r>
        <w:rPr>
          <w:rFonts w:ascii="黑体" w:hAnsi="黑体" w:eastAsia="黑体" w:cs="黑体"/>
          <w:b/>
          <w:bCs/>
          <w:spacing w:val="-4"/>
          <w:sz w:val="23"/>
          <w:szCs w:val="23"/>
        </w:rPr>
        <w:t>一、绪论</w:t>
      </w:r>
    </w:p>
    <w:p w14:paraId="0DC89AC7">
      <w:pPr>
        <w:spacing w:line="188" w:lineRule="exact"/>
      </w:pPr>
    </w:p>
    <w:tbl>
      <w:tblPr>
        <w:tblStyle w:val="5"/>
        <w:tblW w:w="414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53"/>
        <w:gridCol w:w="2484"/>
        <w:gridCol w:w="220"/>
        <w:gridCol w:w="230"/>
        <w:gridCol w:w="229"/>
        <w:gridCol w:w="224"/>
      </w:tblGrid>
      <w:tr w14:paraId="659784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5" w:hRule="atLeast"/>
        </w:trPr>
        <w:tc>
          <w:tcPr>
            <w:tcW w:w="753" w:type="dxa"/>
            <w:vMerge w:val="restart"/>
            <w:tcBorders>
              <w:bottom w:val="nil"/>
            </w:tcBorders>
            <w:vAlign w:val="top"/>
          </w:tcPr>
          <w:p w14:paraId="36EB874C">
            <w:pPr>
              <w:pStyle w:val="6"/>
              <w:spacing w:before="10" w:line="221" w:lineRule="auto"/>
              <w:ind w:left="7"/>
              <w:rPr>
                <w:sz w:val="18"/>
                <w:szCs w:val="18"/>
              </w:rPr>
            </w:pPr>
            <w:r>
              <w:rPr>
                <w:b/>
                <w:bCs/>
                <w:spacing w:val="-4"/>
                <w:sz w:val="18"/>
                <w:szCs w:val="18"/>
              </w:rPr>
              <w:t>知识与技</w:t>
            </w:r>
          </w:p>
          <w:p w14:paraId="332118DA">
            <w:pPr>
              <w:pStyle w:val="6"/>
              <w:spacing w:before="14" w:line="198" w:lineRule="auto"/>
              <w:ind w:left="97"/>
              <w:rPr>
                <w:sz w:val="18"/>
                <w:szCs w:val="18"/>
              </w:rPr>
            </w:pPr>
            <w:r>
              <w:rPr>
                <w:b/>
                <w:bCs/>
                <w:spacing w:val="1"/>
                <w:sz w:val="18"/>
                <w:szCs w:val="18"/>
              </w:rPr>
              <w:t>能要点</w:t>
            </w:r>
          </w:p>
        </w:tc>
        <w:tc>
          <w:tcPr>
            <w:tcW w:w="2484" w:type="dxa"/>
            <w:vMerge w:val="restart"/>
            <w:tcBorders>
              <w:bottom w:val="nil"/>
            </w:tcBorders>
            <w:vAlign w:val="top"/>
          </w:tcPr>
          <w:p w14:paraId="39A6D78E">
            <w:pPr>
              <w:pStyle w:val="6"/>
              <w:spacing w:before="129" w:line="219" w:lineRule="auto"/>
              <w:ind w:left="914"/>
              <w:rPr>
                <w:sz w:val="18"/>
                <w:szCs w:val="18"/>
              </w:rPr>
            </w:pPr>
            <w:r>
              <w:rPr>
                <w:b/>
                <w:bCs/>
                <w:spacing w:val="5"/>
                <w:sz w:val="18"/>
                <w:szCs w:val="18"/>
              </w:rPr>
              <w:t>考试条目</w:t>
            </w:r>
          </w:p>
        </w:tc>
        <w:tc>
          <w:tcPr>
            <w:tcW w:w="903" w:type="dxa"/>
            <w:gridSpan w:val="4"/>
            <w:vAlign w:val="top"/>
          </w:tcPr>
          <w:p w14:paraId="755B5F3B">
            <w:pPr>
              <w:pStyle w:val="6"/>
              <w:spacing w:before="20" w:line="200" w:lineRule="auto"/>
              <w:ind w:left="100"/>
              <w:rPr>
                <w:sz w:val="18"/>
                <w:szCs w:val="18"/>
              </w:rPr>
            </w:pPr>
            <w:r>
              <w:rPr>
                <w:b/>
                <w:bCs/>
                <w:spacing w:val="-4"/>
                <w:sz w:val="18"/>
                <w:szCs w:val="18"/>
              </w:rPr>
              <w:t>考试水平</w:t>
            </w:r>
          </w:p>
        </w:tc>
      </w:tr>
      <w:tr w14:paraId="206909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9" w:hRule="atLeast"/>
        </w:trPr>
        <w:tc>
          <w:tcPr>
            <w:tcW w:w="753" w:type="dxa"/>
            <w:vMerge w:val="continue"/>
            <w:tcBorders>
              <w:top w:val="nil"/>
            </w:tcBorders>
            <w:vAlign w:val="top"/>
          </w:tcPr>
          <w:p w14:paraId="0F128017">
            <w:pPr>
              <w:rPr>
                <w:rFonts w:ascii="Arial"/>
                <w:sz w:val="21"/>
              </w:rPr>
            </w:pPr>
          </w:p>
        </w:tc>
        <w:tc>
          <w:tcPr>
            <w:tcW w:w="2484" w:type="dxa"/>
            <w:vMerge w:val="continue"/>
            <w:tcBorders>
              <w:top w:val="nil"/>
            </w:tcBorders>
            <w:vAlign w:val="top"/>
          </w:tcPr>
          <w:p w14:paraId="12BFC90A">
            <w:pPr>
              <w:rPr>
                <w:rFonts w:ascii="Arial"/>
                <w:sz w:val="21"/>
              </w:rPr>
            </w:pPr>
          </w:p>
        </w:tc>
        <w:tc>
          <w:tcPr>
            <w:tcW w:w="220" w:type="dxa"/>
            <w:vAlign w:val="top"/>
          </w:tcPr>
          <w:p w14:paraId="0F069F50">
            <w:pPr>
              <w:pStyle w:val="6"/>
              <w:spacing w:before="62" w:line="137" w:lineRule="exact"/>
              <w:ind w:left="58"/>
              <w:rPr>
                <w:sz w:val="18"/>
                <w:szCs w:val="18"/>
              </w:rPr>
            </w:pPr>
            <w:r>
              <w:rPr>
                <w:position w:val="-2"/>
                <w:sz w:val="18"/>
                <w:szCs w:val="18"/>
              </w:rPr>
              <w:t>A</w:t>
            </w:r>
          </w:p>
        </w:tc>
        <w:tc>
          <w:tcPr>
            <w:tcW w:w="230" w:type="dxa"/>
            <w:vAlign w:val="top"/>
          </w:tcPr>
          <w:p w14:paraId="25C50105">
            <w:pPr>
              <w:pStyle w:val="6"/>
              <w:spacing w:before="65" w:line="134" w:lineRule="exact"/>
              <w:jc w:val="right"/>
              <w:rPr>
                <w:sz w:val="18"/>
                <w:szCs w:val="18"/>
              </w:rPr>
            </w:pPr>
            <w:r>
              <w:rPr>
                <w:b/>
                <w:bCs/>
                <w:spacing w:val="-5"/>
                <w:position w:val="-2"/>
                <w:sz w:val="18"/>
                <w:szCs w:val="18"/>
              </w:rPr>
              <w:t>B</w:t>
            </w:r>
          </w:p>
        </w:tc>
        <w:tc>
          <w:tcPr>
            <w:tcW w:w="229" w:type="dxa"/>
            <w:vAlign w:val="top"/>
          </w:tcPr>
          <w:p w14:paraId="12E82F59">
            <w:pPr>
              <w:pStyle w:val="6"/>
              <w:spacing w:before="63" w:line="136" w:lineRule="exact"/>
              <w:ind w:left="17"/>
              <w:rPr>
                <w:sz w:val="18"/>
                <w:szCs w:val="18"/>
              </w:rPr>
            </w:pPr>
            <w:r>
              <w:rPr>
                <w:position w:val="-2"/>
                <w:sz w:val="18"/>
                <w:szCs w:val="18"/>
              </w:rPr>
              <w:t>C</w:t>
            </w:r>
          </w:p>
        </w:tc>
        <w:tc>
          <w:tcPr>
            <w:tcW w:w="224" w:type="dxa"/>
            <w:vAlign w:val="top"/>
          </w:tcPr>
          <w:p w14:paraId="487964C0">
            <w:pPr>
              <w:pStyle w:val="6"/>
              <w:spacing w:before="65" w:line="134" w:lineRule="exact"/>
              <w:ind w:left="21"/>
              <w:rPr>
                <w:sz w:val="18"/>
                <w:szCs w:val="18"/>
              </w:rPr>
            </w:pPr>
            <w:r>
              <w:rPr>
                <w:b/>
                <w:bCs/>
                <w:spacing w:val="-2"/>
                <w:position w:val="-2"/>
                <w:sz w:val="18"/>
                <w:szCs w:val="18"/>
              </w:rPr>
              <w:t>D</w:t>
            </w:r>
          </w:p>
        </w:tc>
      </w:tr>
      <w:tr w14:paraId="4C0F86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927" w:hRule="atLeast"/>
        </w:trPr>
        <w:tc>
          <w:tcPr>
            <w:tcW w:w="753" w:type="dxa"/>
            <w:vAlign w:val="top"/>
          </w:tcPr>
          <w:p w14:paraId="2A7D73DB">
            <w:pPr>
              <w:spacing w:line="318" w:lineRule="auto"/>
              <w:rPr>
                <w:rFonts w:ascii="Arial"/>
                <w:sz w:val="21"/>
              </w:rPr>
            </w:pPr>
          </w:p>
          <w:p w14:paraId="554B495E">
            <w:pPr>
              <w:pStyle w:val="6"/>
              <w:spacing w:before="58" w:line="219" w:lineRule="auto"/>
              <w:ind w:left="185"/>
              <w:rPr>
                <w:sz w:val="18"/>
                <w:szCs w:val="18"/>
              </w:rPr>
            </w:pPr>
            <w:r>
              <w:rPr>
                <w:spacing w:val="-2"/>
                <w:sz w:val="18"/>
                <w:szCs w:val="18"/>
              </w:rPr>
              <w:t>概述</w:t>
            </w:r>
          </w:p>
        </w:tc>
        <w:tc>
          <w:tcPr>
            <w:tcW w:w="2484" w:type="dxa"/>
            <w:vAlign w:val="top"/>
          </w:tcPr>
          <w:p w14:paraId="07BC571D">
            <w:pPr>
              <w:pStyle w:val="6"/>
              <w:spacing w:before="27" w:line="228" w:lineRule="auto"/>
              <w:ind w:left="2"/>
              <w:jc w:val="both"/>
              <w:rPr>
                <w:sz w:val="18"/>
                <w:szCs w:val="18"/>
              </w:rPr>
            </w:pPr>
            <w:r>
              <w:rPr>
                <w:spacing w:val="-4"/>
                <w:sz w:val="18"/>
                <w:szCs w:val="18"/>
              </w:rPr>
              <w:t>1.学前儿童发展心理的研究内容</w:t>
            </w:r>
            <w:r>
              <w:rPr>
                <w:spacing w:val="10"/>
                <w:sz w:val="18"/>
                <w:szCs w:val="18"/>
              </w:rPr>
              <w:t xml:space="preserve"> </w:t>
            </w:r>
            <w:r>
              <w:rPr>
                <w:spacing w:val="-4"/>
                <w:sz w:val="18"/>
                <w:szCs w:val="18"/>
              </w:rPr>
              <w:t>2.学前儿童发展心理的研究意义</w:t>
            </w:r>
            <w:r>
              <w:rPr>
                <w:spacing w:val="10"/>
                <w:sz w:val="18"/>
                <w:szCs w:val="18"/>
              </w:rPr>
              <w:t xml:space="preserve"> </w:t>
            </w:r>
            <w:r>
              <w:rPr>
                <w:spacing w:val="-4"/>
                <w:sz w:val="18"/>
                <w:szCs w:val="18"/>
              </w:rPr>
              <w:t>3.学前儿童发展心理的主要研究</w:t>
            </w:r>
            <w:r>
              <w:rPr>
                <w:spacing w:val="10"/>
                <w:sz w:val="18"/>
                <w:szCs w:val="18"/>
              </w:rPr>
              <w:t xml:space="preserve"> </w:t>
            </w:r>
            <w:r>
              <w:rPr>
                <w:spacing w:val="-3"/>
                <w:sz w:val="18"/>
                <w:szCs w:val="18"/>
              </w:rPr>
              <w:t>方法</w:t>
            </w:r>
          </w:p>
        </w:tc>
        <w:tc>
          <w:tcPr>
            <w:tcW w:w="220" w:type="dxa"/>
            <w:vAlign w:val="top"/>
          </w:tcPr>
          <w:p w14:paraId="7D20A1BF">
            <w:pPr>
              <w:pStyle w:val="6"/>
              <w:spacing w:before="69" w:line="238" w:lineRule="auto"/>
              <w:ind w:left="38"/>
              <w:rPr>
                <w:sz w:val="13"/>
                <w:szCs w:val="13"/>
              </w:rPr>
            </w:pPr>
            <w:r>
              <w:rPr>
                <w:sz w:val="13"/>
                <w:szCs w:val="13"/>
              </w:rPr>
              <w:t>√</w:t>
            </w:r>
          </w:p>
        </w:tc>
        <w:tc>
          <w:tcPr>
            <w:tcW w:w="230" w:type="dxa"/>
            <w:vAlign w:val="top"/>
          </w:tcPr>
          <w:p w14:paraId="431E94CF">
            <w:pPr>
              <w:spacing w:line="454" w:lineRule="auto"/>
              <w:rPr>
                <w:rFonts w:ascii="Arial"/>
                <w:sz w:val="21"/>
              </w:rPr>
            </w:pPr>
          </w:p>
          <w:p w14:paraId="293CA3B4">
            <w:pPr>
              <w:pStyle w:val="6"/>
              <w:spacing w:before="42" w:line="238" w:lineRule="auto"/>
              <w:ind w:right="2"/>
              <w:jc w:val="right"/>
              <w:rPr>
                <w:sz w:val="13"/>
                <w:szCs w:val="13"/>
              </w:rPr>
            </w:pPr>
            <w:r>
              <w:rPr>
                <w:sz w:val="13"/>
                <w:szCs w:val="13"/>
              </w:rPr>
              <w:t>√</w:t>
            </w:r>
          </w:p>
        </w:tc>
        <w:tc>
          <w:tcPr>
            <w:tcW w:w="229" w:type="dxa"/>
            <w:vAlign w:val="top"/>
          </w:tcPr>
          <w:p w14:paraId="638BFC9C">
            <w:pPr>
              <w:rPr>
                <w:rFonts w:ascii="Arial"/>
                <w:sz w:val="21"/>
              </w:rPr>
            </w:pPr>
          </w:p>
        </w:tc>
        <w:tc>
          <w:tcPr>
            <w:tcW w:w="224" w:type="dxa"/>
            <w:vAlign w:val="top"/>
          </w:tcPr>
          <w:p w14:paraId="5B9751FA">
            <w:pPr>
              <w:rPr>
                <w:rFonts w:ascii="Arial"/>
                <w:sz w:val="21"/>
              </w:rPr>
            </w:pPr>
          </w:p>
        </w:tc>
      </w:tr>
      <w:tr w14:paraId="004645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29" w:hRule="atLeast"/>
        </w:trPr>
        <w:tc>
          <w:tcPr>
            <w:tcW w:w="753" w:type="dxa"/>
            <w:vAlign w:val="top"/>
          </w:tcPr>
          <w:p w14:paraId="5B3D91AC">
            <w:pPr>
              <w:spacing w:line="324" w:lineRule="auto"/>
              <w:rPr>
                <w:rFonts w:ascii="Arial"/>
                <w:sz w:val="21"/>
              </w:rPr>
            </w:pPr>
          </w:p>
          <w:p w14:paraId="3B91479A">
            <w:pPr>
              <w:spacing w:line="325" w:lineRule="auto"/>
              <w:rPr>
                <w:rFonts w:ascii="Arial"/>
                <w:sz w:val="21"/>
              </w:rPr>
            </w:pPr>
          </w:p>
          <w:p w14:paraId="526E8E62">
            <w:pPr>
              <w:pStyle w:val="6"/>
              <w:spacing w:before="58" w:line="219" w:lineRule="auto"/>
              <w:ind w:left="5"/>
              <w:rPr>
                <w:sz w:val="18"/>
                <w:szCs w:val="18"/>
              </w:rPr>
            </w:pPr>
            <w:r>
              <w:rPr>
                <w:spacing w:val="-2"/>
                <w:sz w:val="18"/>
                <w:szCs w:val="18"/>
              </w:rPr>
              <w:t>学前儿童</w:t>
            </w:r>
          </w:p>
          <w:p w14:paraId="75A3CE41">
            <w:pPr>
              <w:pStyle w:val="6"/>
              <w:spacing w:before="6" w:line="220" w:lineRule="auto"/>
              <w:ind w:left="5"/>
              <w:rPr>
                <w:sz w:val="18"/>
                <w:szCs w:val="18"/>
              </w:rPr>
            </w:pPr>
            <w:r>
              <w:rPr>
                <w:spacing w:val="2"/>
                <w:sz w:val="18"/>
                <w:szCs w:val="18"/>
              </w:rPr>
              <w:t>心理发展</w:t>
            </w:r>
          </w:p>
          <w:p w14:paraId="11D03B39">
            <w:pPr>
              <w:pStyle w:val="6"/>
              <w:spacing w:before="13" w:line="219" w:lineRule="auto"/>
              <w:ind w:left="94"/>
              <w:rPr>
                <w:sz w:val="18"/>
                <w:szCs w:val="18"/>
              </w:rPr>
            </w:pPr>
            <w:r>
              <w:rPr>
                <w:spacing w:val="2"/>
                <w:sz w:val="18"/>
                <w:szCs w:val="18"/>
              </w:rPr>
              <w:t>的基本</w:t>
            </w:r>
          </w:p>
          <w:p w14:paraId="7DE1D783">
            <w:pPr>
              <w:pStyle w:val="6"/>
              <w:spacing w:before="4" w:line="227" w:lineRule="auto"/>
              <w:ind w:left="185"/>
              <w:rPr>
                <w:sz w:val="18"/>
                <w:szCs w:val="18"/>
              </w:rPr>
            </w:pPr>
            <w:r>
              <w:rPr>
                <w:spacing w:val="-3"/>
                <w:sz w:val="18"/>
                <w:szCs w:val="18"/>
              </w:rPr>
              <w:t>理论</w:t>
            </w:r>
          </w:p>
        </w:tc>
        <w:tc>
          <w:tcPr>
            <w:tcW w:w="2484" w:type="dxa"/>
            <w:vAlign w:val="top"/>
          </w:tcPr>
          <w:p w14:paraId="7449C34C">
            <w:pPr>
              <w:pStyle w:val="6"/>
              <w:spacing w:before="41" w:line="205" w:lineRule="auto"/>
              <w:ind w:left="2"/>
              <w:rPr>
                <w:sz w:val="18"/>
                <w:szCs w:val="18"/>
              </w:rPr>
            </w:pPr>
            <w:r>
              <w:rPr>
                <w:spacing w:val="1"/>
                <w:sz w:val="18"/>
                <w:szCs w:val="18"/>
              </w:rPr>
              <w:t>1.成熟势力说</w:t>
            </w:r>
          </w:p>
          <w:p w14:paraId="488CED39">
            <w:pPr>
              <w:pStyle w:val="6"/>
              <w:spacing w:before="1" w:line="232" w:lineRule="auto"/>
              <w:ind w:left="2" w:right="141"/>
              <w:rPr>
                <w:sz w:val="18"/>
                <w:szCs w:val="18"/>
              </w:rPr>
            </w:pPr>
            <w:r>
              <w:rPr>
                <w:spacing w:val="-1"/>
                <w:sz w:val="18"/>
                <w:szCs w:val="18"/>
              </w:rPr>
              <w:t>2.家庭教养方式的种类及其对</w:t>
            </w:r>
            <w:r>
              <w:rPr>
                <w:spacing w:val="3"/>
                <w:sz w:val="18"/>
                <w:szCs w:val="18"/>
              </w:rPr>
              <w:t xml:space="preserve"> </w:t>
            </w:r>
            <w:r>
              <w:rPr>
                <w:spacing w:val="2"/>
                <w:sz w:val="18"/>
                <w:szCs w:val="18"/>
              </w:rPr>
              <w:t>儿童的影响</w:t>
            </w:r>
          </w:p>
          <w:p w14:paraId="0E8A9F59">
            <w:pPr>
              <w:pStyle w:val="6"/>
              <w:spacing w:before="5" w:line="223" w:lineRule="auto"/>
              <w:ind w:left="2"/>
              <w:rPr>
                <w:sz w:val="18"/>
                <w:szCs w:val="18"/>
              </w:rPr>
            </w:pPr>
            <w:r>
              <w:rPr>
                <w:spacing w:val="-2"/>
                <w:sz w:val="18"/>
                <w:szCs w:val="18"/>
              </w:rPr>
              <w:t>3.有利于儿童发展的园所特征</w:t>
            </w:r>
            <w:r>
              <w:rPr>
                <w:spacing w:val="5"/>
                <w:sz w:val="18"/>
                <w:szCs w:val="18"/>
              </w:rPr>
              <w:t xml:space="preserve">  </w:t>
            </w:r>
            <w:r>
              <w:rPr>
                <w:spacing w:val="-4"/>
                <w:sz w:val="18"/>
                <w:szCs w:val="18"/>
              </w:rPr>
              <w:t>4.埃里克森的心理发展八阶段论</w:t>
            </w:r>
            <w:r>
              <w:rPr>
                <w:spacing w:val="10"/>
                <w:sz w:val="18"/>
                <w:szCs w:val="18"/>
              </w:rPr>
              <w:t xml:space="preserve"> </w:t>
            </w:r>
            <w:r>
              <w:rPr>
                <w:spacing w:val="-2"/>
                <w:sz w:val="18"/>
                <w:szCs w:val="18"/>
              </w:rPr>
              <w:t>5.经典条件反射理论及操作性</w:t>
            </w:r>
            <w:r>
              <w:rPr>
                <w:spacing w:val="5"/>
                <w:sz w:val="18"/>
                <w:szCs w:val="18"/>
              </w:rPr>
              <w:t xml:space="preserve">  </w:t>
            </w:r>
            <w:r>
              <w:rPr>
                <w:spacing w:val="-2"/>
                <w:sz w:val="18"/>
                <w:szCs w:val="18"/>
              </w:rPr>
              <w:t>条件反射理论</w:t>
            </w:r>
          </w:p>
          <w:p w14:paraId="53574D97">
            <w:pPr>
              <w:pStyle w:val="6"/>
              <w:spacing w:line="216" w:lineRule="auto"/>
              <w:ind w:left="2"/>
              <w:rPr>
                <w:sz w:val="18"/>
                <w:szCs w:val="18"/>
              </w:rPr>
            </w:pPr>
            <w:r>
              <w:rPr>
                <w:spacing w:val="-1"/>
                <w:sz w:val="18"/>
                <w:szCs w:val="18"/>
              </w:rPr>
              <w:t>6.社会认知(观察)学习理论</w:t>
            </w:r>
          </w:p>
          <w:p w14:paraId="5810559D">
            <w:pPr>
              <w:pStyle w:val="6"/>
              <w:spacing w:line="224" w:lineRule="auto"/>
              <w:ind w:left="2" w:right="143"/>
              <w:rPr>
                <w:sz w:val="18"/>
                <w:szCs w:val="18"/>
              </w:rPr>
            </w:pPr>
            <w:r>
              <w:rPr>
                <w:spacing w:val="-1"/>
                <w:sz w:val="18"/>
                <w:szCs w:val="18"/>
              </w:rPr>
              <w:t>7.皮亚杰认知发展四阶段理论</w:t>
            </w:r>
            <w:r>
              <w:rPr>
                <w:spacing w:val="1"/>
                <w:sz w:val="18"/>
                <w:szCs w:val="18"/>
              </w:rPr>
              <w:t xml:space="preserve"> </w:t>
            </w:r>
            <w:r>
              <w:rPr>
                <w:spacing w:val="-1"/>
                <w:sz w:val="18"/>
                <w:szCs w:val="18"/>
              </w:rPr>
              <w:t>8.最近发展区理论</w:t>
            </w:r>
          </w:p>
        </w:tc>
        <w:tc>
          <w:tcPr>
            <w:tcW w:w="220" w:type="dxa"/>
            <w:vAlign w:val="top"/>
          </w:tcPr>
          <w:p w14:paraId="55E29EE4">
            <w:pPr>
              <w:rPr>
                <w:rFonts w:ascii="Arial"/>
                <w:sz w:val="21"/>
              </w:rPr>
            </w:pPr>
          </w:p>
        </w:tc>
        <w:tc>
          <w:tcPr>
            <w:tcW w:w="230" w:type="dxa"/>
            <w:vAlign w:val="top"/>
          </w:tcPr>
          <w:p w14:paraId="2E9D6EE1">
            <w:pPr>
              <w:spacing w:before="81" w:line="314" w:lineRule="exact"/>
              <w:ind w:firstLine="61"/>
            </w:pPr>
            <w:r>
              <w:rPr>
                <w:position w:val="-6"/>
              </w:rPr>
              <w:drawing>
                <wp:inline distT="0" distB="0" distL="0" distR="0">
                  <wp:extent cx="83185" cy="198755"/>
                  <wp:effectExtent l="0" t="0" r="0" b="0"/>
                  <wp:docPr id="386" name="IM 386"/>
                  <wp:cNvGraphicFramePr/>
                  <a:graphic xmlns:a="http://schemas.openxmlformats.org/drawingml/2006/main">
                    <a:graphicData uri="http://schemas.openxmlformats.org/drawingml/2006/picture">
                      <pic:pic xmlns:pic="http://schemas.openxmlformats.org/drawingml/2006/picture">
                        <pic:nvPicPr>
                          <pic:cNvPr id="386" name="IM 386"/>
                          <pic:cNvPicPr/>
                        </pic:nvPicPr>
                        <pic:blipFill>
                          <a:blip r:embed="rId357"/>
                          <a:stretch>
                            <a:fillRect/>
                          </a:stretch>
                        </pic:blipFill>
                        <pic:spPr>
                          <a:xfrm>
                            <a:off x="0" y="0"/>
                            <a:ext cx="83335" cy="199114"/>
                          </a:xfrm>
                          <a:prstGeom prst="rect">
                            <a:avLst/>
                          </a:prstGeom>
                        </pic:spPr>
                      </pic:pic>
                    </a:graphicData>
                  </a:graphic>
                </wp:inline>
              </w:drawing>
            </w:r>
          </w:p>
        </w:tc>
        <w:tc>
          <w:tcPr>
            <w:tcW w:w="229" w:type="dxa"/>
            <w:vAlign w:val="top"/>
          </w:tcPr>
          <w:p w14:paraId="6CFC134F">
            <w:pPr>
              <w:rPr>
                <w:rFonts w:ascii="Arial"/>
                <w:sz w:val="21"/>
              </w:rPr>
            </w:pPr>
          </w:p>
        </w:tc>
        <w:tc>
          <w:tcPr>
            <w:tcW w:w="224" w:type="dxa"/>
            <w:vAlign w:val="top"/>
          </w:tcPr>
          <w:p w14:paraId="6E2A021C">
            <w:pPr>
              <w:rPr>
                <w:rFonts w:ascii="Arial"/>
                <w:sz w:val="21"/>
              </w:rPr>
            </w:pPr>
          </w:p>
        </w:tc>
      </w:tr>
    </w:tbl>
    <w:p w14:paraId="1FA0D442">
      <w:pPr>
        <w:spacing w:before="209" w:line="221" w:lineRule="auto"/>
        <w:ind w:left="18"/>
        <w:rPr>
          <w:rFonts w:ascii="黑体" w:hAnsi="黑体" w:eastAsia="黑体" w:cs="黑体"/>
          <w:sz w:val="23"/>
          <w:szCs w:val="23"/>
        </w:rPr>
      </w:pPr>
      <w:r>
        <w:rPr>
          <w:rFonts w:ascii="黑体" w:hAnsi="黑体" w:eastAsia="黑体" w:cs="黑体"/>
          <w:b/>
          <w:bCs/>
          <w:spacing w:val="-5"/>
          <w:sz w:val="23"/>
          <w:szCs w:val="23"/>
        </w:rPr>
        <w:t>二、学前儿童认知发展</w:t>
      </w:r>
    </w:p>
    <w:p w14:paraId="1C4304D9">
      <w:pPr>
        <w:spacing w:line="165" w:lineRule="exact"/>
      </w:pPr>
    </w:p>
    <w:tbl>
      <w:tblPr>
        <w:tblStyle w:val="5"/>
        <w:tblW w:w="413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33"/>
        <w:gridCol w:w="2484"/>
        <w:gridCol w:w="219"/>
        <w:gridCol w:w="230"/>
        <w:gridCol w:w="230"/>
        <w:gridCol w:w="234"/>
      </w:tblGrid>
      <w:tr w14:paraId="46E1E0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5" w:hRule="atLeast"/>
        </w:trPr>
        <w:tc>
          <w:tcPr>
            <w:tcW w:w="733" w:type="dxa"/>
            <w:vMerge w:val="restart"/>
            <w:tcBorders>
              <w:bottom w:val="nil"/>
            </w:tcBorders>
            <w:vAlign w:val="top"/>
          </w:tcPr>
          <w:p w14:paraId="4BB682C3">
            <w:pPr>
              <w:pStyle w:val="6"/>
              <w:spacing w:before="21" w:line="207" w:lineRule="auto"/>
              <w:ind w:left="86" w:hanging="69"/>
              <w:rPr>
                <w:sz w:val="18"/>
                <w:szCs w:val="18"/>
              </w:rPr>
            </w:pPr>
            <w:r>
              <w:rPr>
                <w:b/>
                <w:bCs/>
                <w:spacing w:val="-6"/>
                <w:sz w:val="18"/>
                <w:szCs w:val="18"/>
              </w:rPr>
              <w:t>知识与技</w:t>
            </w:r>
            <w:r>
              <w:rPr>
                <w:sz w:val="18"/>
                <w:szCs w:val="18"/>
              </w:rPr>
              <w:t xml:space="preserve"> </w:t>
            </w:r>
            <w:r>
              <w:rPr>
                <w:b/>
                <w:bCs/>
                <w:sz w:val="18"/>
                <w:szCs w:val="18"/>
              </w:rPr>
              <w:t>能要点</w:t>
            </w:r>
          </w:p>
        </w:tc>
        <w:tc>
          <w:tcPr>
            <w:tcW w:w="2484" w:type="dxa"/>
            <w:vMerge w:val="restart"/>
            <w:tcBorders>
              <w:bottom w:val="nil"/>
            </w:tcBorders>
            <w:vAlign w:val="top"/>
          </w:tcPr>
          <w:p w14:paraId="7E260AD9">
            <w:pPr>
              <w:pStyle w:val="6"/>
              <w:spacing w:before="129" w:line="219" w:lineRule="auto"/>
              <w:ind w:left="924"/>
              <w:rPr>
                <w:sz w:val="18"/>
                <w:szCs w:val="18"/>
              </w:rPr>
            </w:pPr>
            <w:r>
              <w:rPr>
                <w:b/>
                <w:bCs/>
                <w:spacing w:val="5"/>
                <w:sz w:val="18"/>
                <w:szCs w:val="18"/>
              </w:rPr>
              <w:t>考试条目</w:t>
            </w:r>
          </w:p>
        </w:tc>
        <w:tc>
          <w:tcPr>
            <w:tcW w:w="913" w:type="dxa"/>
            <w:gridSpan w:val="4"/>
            <w:vAlign w:val="top"/>
          </w:tcPr>
          <w:p w14:paraId="6F5BA7DC">
            <w:pPr>
              <w:pStyle w:val="6"/>
              <w:spacing w:line="200" w:lineRule="auto"/>
              <w:ind w:left="110"/>
              <w:rPr>
                <w:sz w:val="18"/>
                <w:szCs w:val="18"/>
              </w:rPr>
            </w:pPr>
            <w:r>
              <w:rPr>
                <w:b/>
                <w:bCs/>
                <w:spacing w:val="-4"/>
                <w:sz w:val="18"/>
                <w:szCs w:val="18"/>
              </w:rPr>
              <w:t>考试水平</w:t>
            </w:r>
          </w:p>
        </w:tc>
      </w:tr>
      <w:tr w14:paraId="26B4F5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0" w:hRule="atLeast"/>
        </w:trPr>
        <w:tc>
          <w:tcPr>
            <w:tcW w:w="733" w:type="dxa"/>
            <w:vMerge w:val="continue"/>
            <w:tcBorders>
              <w:top w:val="nil"/>
            </w:tcBorders>
            <w:vAlign w:val="top"/>
          </w:tcPr>
          <w:p w14:paraId="5DF68BE9">
            <w:pPr>
              <w:rPr>
                <w:rFonts w:ascii="Arial"/>
                <w:sz w:val="21"/>
              </w:rPr>
            </w:pPr>
          </w:p>
        </w:tc>
        <w:tc>
          <w:tcPr>
            <w:tcW w:w="2484" w:type="dxa"/>
            <w:vMerge w:val="continue"/>
            <w:tcBorders>
              <w:top w:val="nil"/>
            </w:tcBorders>
            <w:vAlign w:val="top"/>
          </w:tcPr>
          <w:p w14:paraId="00A80830">
            <w:pPr>
              <w:rPr>
                <w:rFonts w:ascii="Arial"/>
                <w:sz w:val="21"/>
              </w:rPr>
            </w:pPr>
          </w:p>
        </w:tc>
        <w:tc>
          <w:tcPr>
            <w:tcW w:w="219" w:type="dxa"/>
            <w:vAlign w:val="top"/>
          </w:tcPr>
          <w:p w14:paraId="650F0106">
            <w:pPr>
              <w:pStyle w:val="6"/>
              <w:spacing w:before="62" w:line="148" w:lineRule="exact"/>
              <w:ind w:left="17"/>
              <w:rPr>
                <w:sz w:val="18"/>
                <w:szCs w:val="18"/>
              </w:rPr>
            </w:pPr>
            <w:r>
              <w:rPr>
                <w:position w:val="-2"/>
                <w:sz w:val="18"/>
                <w:szCs w:val="18"/>
              </w:rPr>
              <w:t>A</w:t>
            </w:r>
          </w:p>
        </w:tc>
        <w:tc>
          <w:tcPr>
            <w:tcW w:w="230" w:type="dxa"/>
            <w:vAlign w:val="top"/>
          </w:tcPr>
          <w:p w14:paraId="2B567FEB">
            <w:pPr>
              <w:pStyle w:val="6"/>
              <w:spacing w:before="65" w:line="145" w:lineRule="exact"/>
              <w:ind w:left="21"/>
              <w:rPr>
                <w:sz w:val="18"/>
                <w:szCs w:val="18"/>
              </w:rPr>
            </w:pPr>
            <w:r>
              <w:rPr>
                <w:b/>
                <w:bCs/>
                <w:spacing w:val="-2"/>
                <w:position w:val="-2"/>
                <w:sz w:val="18"/>
                <w:szCs w:val="18"/>
              </w:rPr>
              <w:t>B</w:t>
            </w:r>
          </w:p>
        </w:tc>
        <w:tc>
          <w:tcPr>
            <w:tcW w:w="230" w:type="dxa"/>
            <w:vAlign w:val="top"/>
          </w:tcPr>
          <w:p w14:paraId="2DA92B7C">
            <w:pPr>
              <w:pStyle w:val="6"/>
              <w:spacing w:before="62" w:line="148" w:lineRule="exact"/>
              <w:jc w:val="right"/>
              <w:rPr>
                <w:sz w:val="18"/>
                <w:szCs w:val="18"/>
              </w:rPr>
            </w:pPr>
            <w:r>
              <w:rPr>
                <w:b/>
                <w:bCs/>
                <w:spacing w:val="-10"/>
                <w:w w:val="96"/>
                <w:position w:val="-2"/>
                <w:sz w:val="18"/>
                <w:szCs w:val="18"/>
              </w:rPr>
              <w:t>C</w:t>
            </w:r>
          </w:p>
        </w:tc>
        <w:tc>
          <w:tcPr>
            <w:tcW w:w="234" w:type="dxa"/>
            <w:vAlign w:val="top"/>
          </w:tcPr>
          <w:p w14:paraId="6292A9A4">
            <w:pPr>
              <w:pStyle w:val="6"/>
              <w:spacing w:before="65" w:line="145" w:lineRule="exact"/>
              <w:ind w:left="21"/>
              <w:rPr>
                <w:sz w:val="18"/>
                <w:szCs w:val="18"/>
              </w:rPr>
            </w:pPr>
            <w:r>
              <w:rPr>
                <w:b/>
                <w:bCs/>
                <w:spacing w:val="-2"/>
                <w:position w:val="-2"/>
                <w:sz w:val="18"/>
                <w:szCs w:val="18"/>
              </w:rPr>
              <w:t>D</w:t>
            </w:r>
          </w:p>
        </w:tc>
      </w:tr>
      <w:tr w14:paraId="3601B2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887" w:hRule="atLeast"/>
        </w:trPr>
        <w:tc>
          <w:tcPr>
            <w:tcW w:w="733" w:type="dxa"/>
            <w:vAlign w:val="top"/>
          </w:tcPr>
          <w:p w14:paraId="25FCD396">
            <w:pPr>
              <w:spacing w:line="342" w:lineRule="auto"/>
              <w:rPr>
                <w:rFonts w:ascii="Arial"/>
                <w:sz w:val="21"/>
              </w:rPr>
            </w:pPr>
          </w:p>
          <w:p w14:paraId="457B4115">
            <w:pPr>
              <w:spacing w:line="343" w:lineRule="auto"/>
              <w:rPr>
                <w:rFonts w:ascii="Arial"/>
                <w:sz w:val="21"/>
              </w:rPr>
            </w:pPr>
          </w:p>
          <w:p w14:paraId="31C7E9B6">
            <w:pPr>
              <w:pStyle w:val="6"/>
              <w:spacing w:before="58" w:line="220" w:lineRule="auto"/>
              <w:ind w:left="85"/>
              <w:rPr>
                <w:sz w:val="18"/>
                <w:szCs w:val="18"/>
              </w:rPr>
            </w:pPr>
            <w:r>
              <w:rPr>
                <w:spacing w:val="-2"/>
                <w:sz w:val="18"/>
                <w:szCs w:val="18"/>
              </w:rPr>
              <w:t>感知觉</w:t>
            </w:r>
          </w:p>
          <w:p w14:paraId="77E14DC3">
            <w:pPr>
              <w:pStyle w:val="6"/>
              <w:spacing w:before="24" w:line="219" w:lineRule="auto"/>
              <w:ind w:left="175"/>
              <w:rPr>
                <w:sz w:val="18"/>
                <w:szCs w:val="18"/>
              </w:rPr>
            </w:pPr>
            <w:r>
              <w:rPr>
                <w:spacing w:val="-2"/>
                <w:sz w:val="18"/>
                <w:szCs w:val="18"/>
              </w:rPr>
              <w:t>概述</w:t>
            </w:r>
          </w:p>
        </w:tc>
        <w:tc>
          <w:tcPr>
            <w:tcW w:w="2484" w:type="dxa"/>
            <w:vAlign w:val="top"/>
          </w:tcPr>
          <w:p w14:paraId="7A1A1323">
            <w:pPr>
              <w:pStyle w:val="6"/>
              <w:spacing w:before="37" w:line="215" w:lineRule="auto"/>
              <w:ind w:left="2" w:right="842"/>
              <w:rPr>
                <w:sz w:val="18"/>
                <w:szCs w:val="18"/>
              </w:rPr>
            </w:pPr>
            <w:r>
              <w:rPr>
                <w:sz w:val="18"/>
                <w:szCs w:val="18"/>
              </w:rPr>
              <w:t>1.感觉、知觉的含义</w:t>
            </w:r>
            <w:r>
              <w:rPr>
                <w:spacing w:val="8"/>
                <w:sz w:val="18"/>
                <w:szCs w:val="18"/>
              </w:rPr>
              <w:t xml:space="preserve"> </w:t>
            </w:r>
            <w:r>
              <w:rPr>
                <w:spacing w:val="-2"/>
                <w:sz w:val="18"/>
                <w:szCs w:val="18"/>
              </w:rPr>
              <w:t>2.感觉的种类</w:t>
            </w:r>
          </w:p>
          <w:p w14:paraId="51268BB7">
            <w:pPr>
              <w:pStyle w:val="6"/>
              <w:spacing w:before="2" w:line="213" w:lineRule="auto"/>
              <w:ind w:left="2"/>
              <w:jc w:val="both"/>
              <w:rPr>
                <w:sz w:val="18"/>
                <w:szCs w:val="18"/>
              </w:rPr>
            </w:pPr>
            <w:r>
              <w:rPr>
                <w:sz w:val="18"/>
                <w:szCs w:val="18"/>
              </w:rPr>
              <w:t>3.感受性及其变化的规律(感觉</w:t>
            </w:r>
            <w:r>
              <w:rPr>
                <w:spacing w:val="3"/>
                <w:sz w:val="18"/>
                <w:szCs w:val="18"/>
              </w:rPr>
              <w:t xml:space="preserve"> </w:t>
            </w:r>
            <w:r>
              <w:rPr>
                <w:spacing w:val="-4"/>
                <w:sz w:val="18"/>
                <w:szCs w:val="18"/>
              </w:rPr>
              <w:t>的适应、感觉的对比、感觉的可</w:t>
            </w:r>
            <w:r>
              <w:rPr>
                <w:spacing w:val="6"/>
                <w:sz w:val="18"/>
                <w:szCs w:val="18"/>
              </w:rPr>
              <w:t xml:space="preserve"> </w:t>
            </w:r>
            <w:r>
              <w:rPr>
                <w:spacing w:val="9"/>
                <w:sz w:val="18"/>
                <w:szCs w:val="18"/>
              </w:rPr>
              <w:t>训练性)</w:t>
            </w:r>
          </w:p>
          <w:p w14:paraId="63D03149">
            <w:pPr>
              <w:pStyle w:val="6"/>
              <w:spacing w:before="4" w:line="213" w:lineRule="auto"/>
              <w:ind w:left="2" w:right="228"/>
              <w:rPr>
                <w:sz w:val="18"/>
                <w:szCs w:val="18"/>
              </w:rPr>
            </w:pPr>
            <w:r>
              <w:rPr>
                <w:spacing w:val="-1"/>
                <w:sz w:val="18"/>
                <w:szCs w:val="18"/>
              </w:rPr>
              <w:t>4.知觉的特性(选择性、整体</w:t>
            </w:r>
            <w:r>
              <w:rPr>
                <w:spacing w:val="6"/>
                <w:sz w:val="18"/>
                <w:szCs w:val="18"/>
              </w:rPr>
              <w:t xml:space="preserve"> </w:t>
            </w:r>
            <w:r>
              <w:rPr>
                <w:spacing w:val="3"/>
                <w:sz w:val="18"/>
                <w:szCs w:val="18"/>
              </w:rPr>
              <w:t>性、理解性、恒常性)</w:t>
            </w:r>
          </w:p>
          <w:p w14:paraId="649DA684">
            <w:pPr>
              <w:pStyle w:val="6"/>
              <w:spacing w:before="3" w:line="190" w:lineRule="auto"/>
              <w:ind w:left="2" w:right="117"/>
              <w:rPr>
                <w:sz w:val="18"/>
                <w:szCs w:val="18"/>
              </w:rPr>
            </w:pPr>
            <w:r>
              <w:rPr>
                <w:spacing w:val="1"/>
                <w:sz w:val="18"/>
                <w:szCs w:val="18"/>
              </w:rPr>
              <w:t>5.感知规律在幼儿园教学中的</w:t>
            </w:r>
            <w:r>
              <w:rPr>
                <w:sz w:val="18"/>
                <w:szCs w:val="18"/>
              </w:rPr>
              <w:t xml:space="preserve"> </w:t>
            </w:r>
            <w:r>
              <w:rPr>
                <w:spacing w:val="10"/>
                <w:sz w:val="18"/>
                <w:szCs w:val="18"/>
              </w:rPr>
              <w:t>运用</w:t>
            </w:r>
          </w:p>
        </w:tc>
        <w:tc>
          <w:tcPr>
            <w:tcW w:w="219" w:type="dxa"/>
            <w:vAlign w:val="top"/>
          </w:tcPr>
          <w:p w14:paraId="1FC16E84">
            <w:pPr>
              <w:rPr>
                <w:rFonts w:ascii="Arial"/>
                <w:sz w:val="21"/>
              </w:rPr>
            </w:pPr>
          </w:p>
        </w:tc>
        <w:tc>
          <w:tcPr>
            <w:tcW w:w="230" w:type="dxa"/>
            <w:vAlign w:val="top"/>
          </w:tcPr>
          <w:p w14:paraId="6F8255BA">
            <w:pPr>
              <w:rPr>
                <w:rFonts w:ascii="Arial"/>
                <w:sz w:val="21"/>
              </w:rPr>
            </w:pPr>
          </w:p>
        </w:tc>
        <w:tc>
          <w:tcPr>
            <w:tcW w:w="230" w:type="dxa"/>
            <w:vAlign w:val="top"/>
          </w:tcPr>
          <w:p w14:paraId="410C047C">
            <w:pPr>
              <w:spacing w:line="413" w:lineRule="auto"/>
              <w:rPr>
                <w:rFonts w:ascii="Arial"/>
                <w:sz w:val="21"/>
              </w:rPr>
            </w:pPr>
          </w:p>
          <w:p w14:paraId="65F18901">
            <w:pPr>
              <w:pStyle w:val="6"/>
              <w:spacing w:before="42" w:line="238" w:lineRule="auto"/>
              <w:jc w:val="right"/>
              <w:rPr>
                <w:sz w:val="13"/>
                <w:szCs w:val="13"/>
              </w:rPr>
            </w:pPr>
            <w:r>
              <w:rPr>
                <w:spacing w:val="-38"/>
                <w:sz w:val="13"/>
                <w:szCs w:val="13"/>
              </w:rPr>
              <w:t>√</w:t>
            </w:r>
          </w:p>
        </w:tc>
        <w:tc>
          <w:tcPr>
            <w:tcW w:w="234" w:type="dxa"/>
            <w:vAlign w:val="top"/>
          </w:tcPr>
          <w:p w14:paraId="4E6B4FAE">
            <w:pPr>
              <w:rPr>
                <w:rFonts w:ascii="Arial"/>
                <w:sz w:val="21"/>
              </w:rPr>
            </w:pPr>
          </w:p>
        </w:tc>
      </w:tr>
      <w:tr w14:paraId="15412C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97" w:hRule="atLeast"/>
        </w:trPr>
        <w:tc>
          <w:tcPr>
            <w:tcW w:w="733" w:type="dxa"/>
            <w:vAlign w:val="top"/>
          </w:tcPr>
          <w:p w14:paraId="0111B28C">
            <w:pPr>
              <w:spacing w:line="409" w:lineRule="auto"/>
              <w:rPr>
                <w:rFonts w:ascii="Arial"/>
                <w:sz w:val="21"/>
              </w:rPr>
            </w:pPr>
          </w:p>
          <w:p w14:paraId="49C71EE9">
            <w:pPr>
              <w:pStyle w:val="6"/>
              <w:spacing w:before="58" w:line="197" w:lineRule="auto"/>
              <w:ind w:left="85"/>
              <w:rPr>
                <w:sz w:val="18"/>
                <w:szCs w:val="18"/>
              </w:rPr>
            </w:pPr>
            <w:r>
              <w:rPr>
                <w:spacing w:val="-3"/>
                <w:sz w:val="18"/>
                <w:szCs w:val="18"/>
              </w:rPr>
              <w:t>学前儿</w:t>
            </w:r>
          </w:p>
          <w:p w14:paraId="7D49BA4E">
            <w:pPr>
              <w:pStyle w:val="6"/>
              <w:spacing w:line="221" w:lineRule="auto"/>
              <w:ind w:left="85"/>
              <w:rPr>
                <w:sz w:val="18"/>
                <w:szCs w:val="18"/>
              </w:rPr>
            </w:pPr>
            <w:r>
              <w:rPr>
                <w:spacing w:val="4"/>
                <w:sz w:val="18"/>
                <w:szCs w:val="18"/>
              </w:rPr>
              <w:t>童感知</w:t>
            </w:r>
          </w:p>
          <w:p w14:paraId="651D89CB">
            <w:pPr>
              <w:pStyle w:val="6"/>
              <w:spacing w:before="2" w:line="220" w:lineRule="auto"/>
              <w:ind w:left="175"/>
              <w:rPr>
                <w:sz w:val="18"/>
                <w:szCs w:val="18"/>
              </w:rPr>
            </w:pPr>
            <w:r>
              <w:rPr>
                <w:spacing w:val="7"/>
                <w:sz w:val="18"/>
                <w:szCs w:val="18"/>
              </w:rPr>
              <w:t>觉的</w:t>
            </w:r>
          </w:p>
          <w:p w14:paraId="29EA700E">
            <w:pPr>
              <w:pStyle w:val="6"/>
              <w:spacing w:before="5" w:line="220" w:lineRule="auto"/>
              <w:ind w:left="175"/>
              <w:rPr>
                <w:sz w:val="18"/>
                <w:szCs w:val="18"/>
              </w:rPr>
            </w:pPr>
            <w:r>
              <w:rPr>
                <w:spacing w:val="-3"/>
                <w:sz w:val="18"/>
                <w:szCs w:val="18"/>
              </w:rPr>
              <w:t>发展</w:t>
            </w:r>
          </w:p>
        </w:tc>
        <w:tc>
          <w:tcPr>
            <w:tcW w:w="2484" w:type="dxa"/>
            <w:vAlign w:val="top"/>
          </w:tcPr>
          <w:p w14:paraId="480C85EF">
            <w:pPr>
              <w:pStyle w:val="6"/>
              <w:spacing w:before="40" w:line="210" w:lineRule="auto"/>
              <w:ind w:left="2" w:right="114" w:firstLine="10"/>
              <w:rPr>
                <w:sz w:val="18"/>
                <w:szCs w:val="18"/>
              </w:rPr>
            </w:pPr>
            <w:r>
              <w:rPr>
                <w:sz w:val="18"/>
                <w:szCs w:val="18"/>
              </w:rPr>
              <w:t>1.学前儿童视力及辨色力的发</w:t>
            </w:r>
            <w:r>
              <w:rPr>
                <w:spacing w:val="6"/>
                <w:sz w:val="18"/>
                <w:szCs w:val="18"/>
              </w:rPr>
              <w:t xml:space="preserve"> </w:t>
            </w:r>
            <w:r>
              <w:rPr>
                <w:spacing w:val="2"/>
                <w:sz w:val="18"/>
                <w:szCs w:val="18"/>
              </w:rPr>
              <w:t>展特点及培养要点</w:t>
            </w:r>
          </w:p>
          <w:p w14:paraId="013799BF">
            <w:pPr>
              <w:pStyle w:val="6"/>
              <w:spacing w:before="1" w:line="225" w:lineRule="auto"/>
              <w:ind w:left="2" w:right="131" w:firstLine="10"/>
              <w:rPr>
                <w:sz w:val="18"/>
                <w:szCs w:val="18"/>
              </w:rPr>
            </w:pPr>
            <w:r>
              <w:rPr>
                <w:spacing w:val="-1"/>
                <w:sz w:val="18"/>
                <w:szCs w:val="18"/>
              </w:rPr>
              <w:t>2.学前儿童听觉的发展特点及</w:t>
            </w:r>
            <w:r>
              <w:rPr>
                <w:spacing w:val="3"/>
                <w:sz w:val="18"/>
                <w:szCs w:val="18"/>
              </w:rPr>
              <w:t xml:space="preserve"> </w:t>
            </w:r>
            <w:r>
              <w:rPr>
                <w:spacing w:val="2"/>
                <w:sz w:val="18"/>
                <w:szCs w:val="18"/>
              </w:rPr>
              <w:t>听力训练要点</w:t>
            </w:r>
          </w:p>
          <w:p w14:paraId="44A10360">
            <w:pPr>
              <w:pStyle w:val="6"/>
              <w:spacing w:line="205" w:lineRule="auto"/>
              <w:ind w:left="2" w:right="107" w:firstLine="10"/>
              <w:rPr>
                <w:sz w:val="18"/>
                <w:szCs w:val="18"/>
              </w:rPr>
            </w:pPr>
            <w:r>
              <w:rPr>
                <w:spacing w:val="1"/>
                <w:sz w:val="18"/>
                <w:szCs w:val="18"/>
              </w:rPr>
              <w:t>3.学前儿童空间知觉及时间知</w:t>
            </w:r>
            <w:r>
              <w:rPr>
                <w:sz w:val="18"/>
                <w:szCs w:val="18"/>
              </w:rPr>
              <w:t xml:space="preserve"> </w:t>
            </w:r>
            <w:r>
              <w:rPr>
                <w:spacing w:val="2"/>
                <w:sz w:val="18"/>
                <w:szCs w:val="18"/>
              </w:rPr>
              <w:t>觉的发展特点</w:t>
            </w:r>
          </w:p>
          <w:p w14:paraId="032C1E3B">
            <w:pPr>
              <w:pStyle w:val="6"/>
              <w:spacing w:line="203" w:lineRule="auto"/>
              <w:ind w:left="2" w:right="118"/>
              <w:rPr>
                <w:sz w:val="18"/>
                <w:szCs w:val="18"/>
              </w:rPr>
            </w:pPr>
            <w:r>
              <w:rPr>
                <w:sz w:val="18"/>
                <w:szCs w:val="18"/>
              </w:rPr>
              <w:t>4.学前儿童感知力和观察力的</w:t>
            </w:r>
            <w:r>
              <w:rPr>
                <w:spacing w:val="12"/>
                <w:sz w:val="18"/>
                <w:szCs w:val="18"/>
              </w:rPr>
              <w:t xml:space="preserve"> </w:t>
            </w:r>
            <w:r>
              <w:rPr>
                <w:spacing w:val="-2"/>
                <w:sz w:val="18"/>
                <w:szCs w:val="18"/>
              </w:rPr>
              <w:t>培养</w:t>
            </w:r>
          </w:p>
        </w:tc>
        <w:tc>
          <w:tcPr>
            <w:tcW w:w="219" w:type="dxa"/>
            <w:vAlign w:val="top"/>
          </w:tcPr>
          <w:p w14:paraId="64C4BCBF">
            <w:pPr>
              <w:rPr>
                <w:rFonts w:ascii="Arial"/>
                <w:sz w:val="21"/>
              </w:rPr>
            </w:pPr>
          </w:p>
        </w:tc>
        <w:tc>
          <w:tcPr>
            <w:tcW w:w="230" w:type="dxa"/>
            <w:vAlign w:val="top"/>
          </w:tcPr>
          <w:p w14:paraId="452BF39F">
            <w:pPr>
              <w:rPr>
                <w:rFonts w:ascii="Arial"/>
                <w:sz w:val="21"/>
              </w:rPr>
            </w:pPr>
          </w:p>
        </w:tc>
        <w:tc>
          <w:tcPr>
            <w:tcW w:w="230" w:type="dxa"/>
            <w:vAlign w:val="top"/>
          </w:tcPr>
          <w:p w14:paraId="7EB8BD53">
            <w:pPr>
              <w:rPr>
                <w:rFonts w:ascii="Arial"/>
                <w:sz w:val="21"/>
              </w:rPr>
            </w:pPr>
          </w:p>
        </w:tc>
        <w:tc>
          <w:tcPr>
            <w:tcW w:w="234" w:type="dxa"/>
            <w:vAlign w:val="top"/>
          </w:tcPr>
          <w:p w14:paraId="09D1596A">
            <w:pPr>
              <w:rPr>
                <w:rFonts w:ascii="Arial"/>
                <w:sz w:val="21"/>
              </w:rPr>
            </w:pPr>
          </w:p>
        </w:tc>
      </w:tr>
      <w:tr w14:paraId="75BA64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48" w:hRule="atLeast"/>
        </w:trPr>
        <w:tc>
          <w:tcPr>
            <w:tcW w:w="733" w:type="dxa"/>
            <w:vAlign w:val="top"/>
          </w:tcPr>
          <w:p w14:paraId="7B50A102">
            <w:pPr>
              <w:spacing w:line="297" w:lineRule="auto"/>
              <w:rPr>
                <w:rFonts w:ascii="Arial"/>
                <w:sz w:val="21"/>
              </w:rPr>
            </w:pPr>
          </w:p>
          <w:p w14:paraId="65DE1D22">
            <w:pPr>
              <w:pStyle w:val="6"/>
              <w:spacing w:before="58" w:line="210" w:lineRule="auto"/>
              <w:ind w:left="175" w:right="194"/>
              <w:rPr>
                <w:sz w:val="18"/>
                <w:szCs w:val="18"/>
              </w:rPr>
            </w:pPr>
            <w:r>
              <w:rPr>
                <w:spacing w:val="-4"/>
                <w:sz w:val="18"/>
                <w:szCs w:val="18"/>
              </w:rPr>
              <w:t>注意</w:t>
            </w:r>
            <w:r>
              <w:rPr>
                <w:sz w:val="18"/>
                <w:szCs w:val="18"/>
              </w:rPr>
              <w:t xml:space="preserve"> </w:t>
            </w:r>
            <w:r>
              <w:rPr>
                <w:spacing w:val="-4"/>
                <w:sz w:val="18"/>
                <w:szCs w:val="18"/>
              </w:rPr>
              <w:t>概述</w:t>
            </w:r>
          </w:p>
        </w:tc>
        <w:tc>
          <w:tcPr>
            <w:tcW w:w="2484" w:type="dxa"/>
            <w:vAlign w:val="top"/>
          </w:tcPr>
          <w:p w14:paraId="1C273394">
            <w:pPr>
              <w:pStyle w:val="6"/>
              <w:spacing w:before="43" w:line="205" w:lineRule="auto"/>
              <w:ind w:left="2" w:right="1382"/>
              <w:rPr>
                <w:sz w:val="18"/>
                <w:szCs w:val="18"/>
              </w:rPr>
            </w:pPr>
            <w:r>
              <w:rPr>
                <w:spacing w:val="1"/>
                <w:sz w:val="18"/>
                <w:szCs w:val="18"/>
              </w:rPr>
              <w:t xml:space="preserve">1.注意的含义 </w:t>
            </w:r>
            <w:r>
              <w:rPr>
                <w:spacing w:val="-2"/>
                <w:sz w:val="18"/>
                <w:szCs w:val="18"/>
              </w:rPr>
              <w:t>2.注意的种类</w:t>
            </w:r>
          </w:p>
          <w:p w14:paraId="1A1008EE">
            <w:pPr>
              <w:pStyle w:val="6"/>
              <w:spacing w:before="1" w:line="203" w:lineRule="auto"/>
              <w:ind w:left="2" w:right="678"/>
              <w:jc w:val="both"/>
              <w:rPr>
                <w:sz w:val="18"/>
                <w:szCs w:val="18"/>
              </w:rPr>
            </w:pPr>
            <w:r>
              <w:rPr>
                <w:spacing w:val="-1"/>
                <w:sz w:val="18"/>
                <w:szCs w:val="18"/>
              </w:rPr>
              <w:t>3.产生无意注意的因素</w:t>
            </w:r>
            <w:r>
              <w:rPr>
                <w:sz w:val="18"/>
                <w:szCs w:val="18"/>
              </w:rPr>
              <w:t xml:space="preserve"> </w:t>
            </w:r>
            <w:r>
              <w:rPr>
                <w:spacing w:val="-1"/>
                <w:sz w:val="18"/>
                <w:szCs w:val="18"/>
              </w:rPr>
              <w:t>4.保持有意注意的因素</w:t>
            </w:r>
            <w:r>
              <w:rPr>
                <w:spacing w:val="3"/>
                <w:sz w:val="18"/>
                <w:szCs w:val="18"/>
              </w:rPr>
              <w:t xml:space="preserve"> </w:t>
            </w:r>
            <w:r>
              <w:rPr>
                <w:spacing w:val="2"/>
                <w:sz w:val="18"/>
                <w:szCs w:val="18"/>
              </w:rPr>
              <w:t>5.注意的品质</w:t>
            </w:r>
          </w:p>
        </w:tc>
        <w:tc>
          <w:tcPr>
            <w:tcW w:w="219" w:type="dxa"/>
            <w:vAlign w:val="top"/>
          </w:tcPr>
          <w:p w14:paraId="45F93B11">
            <w:pPr>
              <w:rPr>
                <w:rFonts w:ascii="Arial"/>
                <w:sz w:val="21"/>
              </w:rPr>
            </w:pPr>
          </w:p>
        </w:tc>
        <w:tc>
          <w:tcPr>
            <w:tcW w:w="230" w:type="dxa"/>
            <w:vAlign w:val="top"/>
          </w:tcPr>
          <w:p w14:paraId="6A671E75">
            <w:pPr>
              <w:rPr>
                <w:rFonts w:ascii="Arial"/>
                <w:sz w:val="21"/>
              </w:rPr>
            </w:pPr>
          </w:p>
        </w:tc>
        <w:tc>
          <w:tcPr>
            <w:tcW w:w="230" w:type="dxa"/>
            <w:vAlign w:val="top"/>
          </w:tcPr>
          <w:p w14:paraId="5B280E20">
            <w:pPr>
              <w:rPr>
                <w:rFonts w:ascii="Arial"/>
                <w:sz w:val="21"/>
              </w:rPr>
            </w:pPr>
          </w:p>
        </w:tc>
        <w:tc>
          <w:tcPr>
            <w:tcW w:w="234" w:type="dxa"/>
            <w:vAlign w:val="top"/>
          </w:tcPr>
          <w:p w14:paraId="5519E30D">
            <w:pPr>
              <w:rPr>
                <w:rFonts w:ascii="Arial"/>
                <w:sz w:val="21"/>
              </w:rPr>
            </w:pPr>
          </w:p>
        </w:tc>
      </w:tr>
      <w:tr w14:paraId="780E5A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9" w:hRule="atLeast"/>
        </w:trPr>
        <w:tc>
          <w:tcPr>
            <w:tcW w:w="733" w:type="dxa"/>
            <w:vAlign w:val="top"/>
          </w:tcPr>
          <w:p w14:paraId="7B260CFC">
            <w:pPr>
              <w:pStyle w:val="6"/>
              <w:spacing w:before="45" w:line="219" w:lineRule="auto"/>
              <w:ind w:left="15"/>
              <w:rPr>
                <w:sz w:val="16"/>
                <w:szCs w:val="16"/>
              </w:rPr>
            </w:pPr>
            <w:r>
              <w:rPr>
                <w:spacing w:val="-4"/>
                <w:sz w:val="18"/>
                <w:szCs w:val="18"/>
              </w:rPr>
              <w:t>学前儿童</w:t>
            </w:r>
            <w:r>
              <w:rPr>
                <w:spacing w:val="2"/>
                <w:sz w:val="18"/>
                <w:szCs w:val="18"/>
              </w:rPr>
              <w:t xml:space="preserve"> </w:t>
            </w:r>
            <w:r>
              <w:rPr>
                <w:spacing w:val="-18"/>
                <w:w w:val="98"/>
                <w:sz w:val="16"/>
                <w:szCs w:val="16"/>
              </w:rPr>
              <w:t>注</w:t>
            </w:r>
            <w:r>
              <w:rPr>
                <w:spacing w:val="-17"/>
                <w:w w:val="98"/>
                <w:sz w:val="16"/>
                <w:szCs w:val="16"/>
              </w:rPr>
              <w:t>意的发</w:t>
            </w:r>
            <w:r>
              <w:rPr>
                <w:spacing w:val="-11"/>
                <w:w w:val="98"/>
                <w:sz w:val="16"/>
                <w:szCs w:val="16"/>
              </w:rPr>
              <w:t>展</w:t>
            </w:r>
          </w:p>
        </w:tc>
        <w:tc>
          <w:tcPr>
            <w:tcW w:w="2484" w:type="dxa"/>
            <w:vAlign w:val="top"/>
          </w:tcPr>
          <w:p w14:paraId="123B7D0B">
            <w:pPr>
              <w:pStyle w:val="6"/>
              <w:spacing w:before="45" w:line="207" w:lineRule="auto"/>
              <w:ind w:left="2" w:right="302"/>
              <w:rPr>
                <w:sz w:val="18"/>
                <w:szCs w:val="18"/>
              </w:rPr>
            </w:pPr>
            <w:r>
              <w:rPr>
                <w:sz w:val="18"/>
                <w:szCs w:val="18"/>
              </w:rPr>
              <w:t>1.学前儿童注意的发生发展</w:t>
            </w:r>
            <w:r>
              <w:rPr>
                <w:spacing w:val="8"/>
                <w:sz w:val="18"/>
                <w:szCs w:val="18"/>
              </w:rPr>
              <w:t xml:space="preserve"> </w:t>
            </w:r>
            <w:r>
              <w:rPr>
                <w:spacing w:val="1"/>
                <w:sz w:val="18"/>
                <w:szCs w:val="18"/>
              </w:rPr>
              <w:t>2.婴幼儿注意规律的应用</w:t>
            </w:r>
          </w:p>
        </w:tc>
        <w:tc>
          <w:tcPr>
            <w:tcW w:w="219" w:type="dxa"/>
            <w:vAlign w:val="top"/>
          </w:tcPr>
          <w:p w14:paraId="42C30A9E">
            <w:pPr>
              <w:rPr>
                <w:rFonts w:ascii="Arial"/>
                <w:sz w:val="21"/>
              </w:rPr>
            </w:pPr>
          </w:p>
        </w:tc>
        <w:tc>
          <w:tcPr>
            <w:tcW w:w="230" w:type="dxa"/>
            <w:vAlign w:val="top"/>
          </w:tcPr>
          <w:p w14:paraId="2E93F795">
            <w:pPr>
              <w:rPr>
                <w:rFonts w:ascii="Arial"/>
                <w:sz w:val="21"/>
              </w:rPr>
            </w:pPr>
          </w:p>
        </w:tc>
        <w:tc>
          <w:tcPr>
            <w:tcW w:w="230" w:type="dxa"/>
            <w:vAlign w:val="top"/>
          </w:tcPr>
          <w:p w14:paraId="695B9991">
            <w:pPr>
              <w:rPr>
                <w:rFonts w:ascii="Arial"/>
                <w:sz w:val="21"/>
              </w:rPr>
            </w:pPr>
          </w:p>
        </w:tc>
        <w:tc>
          <w:tcPr>
            <w:tcW w:w="234" w:type="dxa"/>
            <w:vAlign w:val="top"/>
          </w:tcPr>
          <w:p w14:paraId="3C40B464">
            <w:pPr>
              <w:rPr>
                <w:rFonts w:ascii="Arial"/>
                <w:sz w:val="21"/>
              </w:rPr>
            </w:pPr>
          </w:p>
        </w:tc>
      </w:tr>
      <w:tr w14:paraId="176639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3" w:hRule="atLeast"/>
        </w:trPr>
        <w:tc>
          <w:tcPr>
            <w:tcW w:w="733" w:type="dxa"/>
            <w:vAlign w:val="top"/>
          </w:tcPr>
          <w:p w14:paraId="05C47B80">
            <w:pPr>
              <w:spacing w:line="336" w:lineRule="auto"/>
              <w:rPr>
                <w:rFonts w:ascii="Arial"/>
                <w:sz w:val="21"/>
              </w:rPr>
            </w:pPr>
          </w:p>
          <w:p w14:paraId="4B1A3FA5">
            <w:pPr>
              <w:pStyle w:val="6"/>
              <w:spacing w:before="58" w:line="217" w:lineRule="auto"/>
              <w:ind w:left="175" w:right="194"/>
              <w:rPr>
                <w:sz w:val="18"/>
                <w:szCs w:val="18"/>
              </w:rPr>
            </w:pPr>
            <w:r>
              <w:rPr>
                <w:spacing w:val="-4"/>
                <w:sz w:val="18"/>
                <w:szCs w:val="18"/>
              </w:rPr>
              <w:t>记忆</w:t>
            </w:r>
            <w:r>
              <w:rPr>
                <w:sz w:val="18"/>
                <w:szCs w:val="18"/>
              </w:rPr>
              <w:t xml:space="preserve"> </w:t>
            </w:r>
            <w:r>
              <w:rPr>
                <w:spacing w:val="-4"/>
                <w:sz w:val="18"/>
                <w:szCs w:val="18"/>
              </w:rPr>
              <w:t>概述</w:t>
            </w:r>
          </w:p>
        </w:tc>
        <w:tc>
          <w:tcPr>
            <w:tcW w:w="2484" w:type="dxa"/>
            <w:vAlign w:val="top"/>
          </w:tcPr>
          <w:p w14:paraId="4E1B43A0">
            <w:pPr>
              <w:pStyle w:val="6"/>
              <w:spacing w:before="45" w:line="213" w:lineRule="auto"/>
              <w:ind w:left="2" w:right="51"/>
              <w:jc w:val="both"/>
              <w:rPr>
                <w:sz w:val="18"/>
                <w:szCs w:val="18"/>
              </w:rPr>
            </w:pPr>
            <w:r>
              <w:rPr>
                <w:sz w:val="18"/>
                <w:szCs w:val="18"/>
              </w:rPr>
              <w:t>1.记忆的含义，记忆的基本环</w:t>
            </w:r>
            <w:r>
              <w:rPr>
                <w:spacing w:val="4"/>
                <w:sz w:val="18"/>
                <w:szCs w:val="18"/>
              </w:rPr>
              <w:t xml:space="preserve">  节(识记、保持、再认和再现)</w:t>
            </w:r>
            <w:r>
              <w:rPr>
                <w:spacing w:val="12"/>
                <w:sz w:val="18"/>
                <w:szCs w:val="18"/>
              </w:rPr>
              <w:t xml:space="preserve"> </w:t>
            </w:r>
            <w:r>
              <w:rPr>
                <w:spacing w:val="-1"/>
                <w:sz w:val="18"/>
                <w:szCs w:val="18"/>
              </w:rPr>
              <w:t>2.记忆的种类(按记忆的内容分</w:t>
            </w:r>
            <w:r>
              <w:rPr>
                <w:spacing w:val="4"/>
                <w:sz w:val="18"/>
                <w:szCs w:val="18"/>
              </w:rPr>
              <w:t xml:space="preserve"> </w:t>
            </w:r>
            <w:r>
              <w:rPr>
                <w:spacing w:val="3"/>
                <w:sz w:val="18"/>
                <w:szCs w:val="18"/>
              </w:rPr>
              <w:t>和按保存的时间长短分)</w:t>
            </w:r>
          </w:p>
          <w:p w14:paraId="7D465C57">
            <w:pPr>
              <w:pStyle w:val="6"/>
              <w:spacing w:line="219" w:lineRule="auto"/>
              <w:ind w:left="2"/>
              <w:rPr>
                <w:sz w:val="18"/>
                <w:szCs w:val="18"/>
              </w:rPr>
            </w:pPr>
            <w:r>
              <w:rPr>
                <w:spacing w:val="-2"/>
                <w:sz w:val="18"/>
                <w:szCs w:val="18"/>
              </w:rPr>
              <w:t>3.记忆保持的规律</w:t>
            </w:r>
          </w:p>
        </w:tc>
        <w:tc>
          <w:tcPr>
            <w:tcW w:w="219" w:type="dxa"/>
            <w:vAlign w:val="top"/>
          </w:tcPr>
          <w:p w14:paraId="206E863D">
            <w:pPr>
              <w:rPr>
                <w:rFonts w:ascii="Arial"/>
                <w:sz w:val="21"/>
              </w:rPr>
            </w:pPr>
          </w:p>
        </w:tc>
        <w:tc>
          <w:tcPr>
            <w:tcW w:w="230" w:type="dxa"/>
            <w:vAlign w:val="top"/>
          </w:tcPr>
          <w:p w14:paraId="3B623EC1">
            <w:pPr>
              <w:rPr>
                <w:rFonts w:ascii="Arial"/>
                <w:sz w:val="21"/>
              </w:rPr>
            </w:pPr>
          </w:p>
        </w:tc>
        <w:tc>
          <w:tcPr>
            <w:tcW w:w="230" w:type="dxa"/>
            <w:vAlign w:val="top"/>
          </w:tcPr>
          <w:p w14:paraId="22410A1E">
            <w:pPr>
              <w:rPr>
                <w:rFonts w:ascii="Arial"/>
                <w:sz w:val="21"/>
              </w:rPr>
            </w:pPr>
          </w:p>
        </w:tc>
        <w:tc>
          <w:tcPr>
            <w:tcW w:w="234" w:type="dxa"/>
            <w:vAlign w:val="top"/>
          </w:tcPr>
          <w:p w14:paraId="279FD9BE">
            <w:pPr>
              <w:rPr>
                <w:rFonts w:ascii="Arial"/>
                <w:sz w:val="21"/>
              </w:rPr>
            </w:pPr>
          </w:p>
        </w:tc>
      </w:tr>
    </w:tbl>
    <w:p w14:paraId="56A4FE4E">
      <w:pPr>
        <w:pStyle w:val="2"/>
        <w:spacing w:line="104" w:lineRule="auto"/>
        <w:rPr>
          <w:sz w:val="2"/>
        </w:rPr>
      </w:pPr>
    </w:p>
    <w:p w14:paraId="1603B817">
      <w:pPr>
        <w:pStyle w:val="2"/>
        <w:spacing w:line="14" w:lineRule="auto"/>
        <w:rPr>
          <w:sz w:val="2"/>
        </w:rPr>
      </w:pPr>
      <w:r>
        <w:rPr>
          <w:sz w:val="2"/>
          <w:szCs w:val="2"/>
        </w:rPr>
        <w:br w:type="column"/>
      </w:r>
    </w:p>
    <w:tbl>
      <w:tblPr>
        <w:tblStyle w:val="5"/>
        <w:tblW w:w="413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33"/>
        <w:gridCol w:w="2484"/>
        <w:gridCol w:w="229"/>
        <w:gridCol w:w="220"/>
        <w:gridCol w:w="230"/>
        <w:gridCol w:w="234"/>
      </w:tblGrid>
      <w:tr w14:paraId="156099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0" w:hRule="atLeast"/>
        </w:trPr>
        <w:tc>
          <w:tcPr>
            <w:tcW w:w="733" w:type="dxa"/>
            <w:vMerge w:val="restart"/>
            <w:tcBorders>
              <w:top w:val="single" w:color="000000" w:sz="2" w:space="0"/>
              <w:bottom w:val="nil"/>
            </w:tcBorders>
            <w:vAlign w:val="top"/>
          </w:tcPr>
          <w:p w14:paraId="0AD98BF1">
            <w:pPr>
              <w:pStyle w:val="6"/>
              <w:spacing w:before="25" w:line="212" w:lineRule="auto"/>
              <w:ind w:left="86" w:hanging="69"/>
              <w:rPr>
                <w:sz w:val="18"/>
                <w:szCs w:val="18"/>
              </w:rPr>
            </w:pPr>
            <w:r>
              <w:rPr>
                <w:b/>
                <w:bCs/>
                <w:spacing w:val="-6"/>
                <w:sz w:val="18"/>
                <w:szCs w:val="18"/>
              </w:rPr>
              <w:t>知识与技</w:t>
            </w:r>
            <w:r>
              <w:rPr>
                <w:sz w:val="18"/>
                <w:szCs w:val="18"/>
              </w:rPr>
              <w:t xml:space="preserve"> </w:t>
            </w:r>
            <w:r>
              <w:rPr>
                <w:b/>
                <w:bCs/>
                <w:sz w:val="18"/>
                <w:szCs w:val="18"/>
              </w:rPr>
              <w:t>能要点</w:t>
            </w:r>
          </w:p>
        </w:tc>
        <w:tc>
          <w:tcPr>
            <w:tcW w:w="2484" w:type="dxa"/>
            <w:vMerge w:val="restart"/>
            <w:tcBorders>
              <w:top w:val="single" w:color="000000" w:sz="2" w:space="0"/>
              <w:bottom w:val="nil"/>
            </w:tcBorders>
            <w:vAlign w:val="top"/>
          </w:tcPr>
          <w:p w14:paraId="3C75951A">
            <w:pPr>
              <w:pStyle w:val="6"/>
              <w:spacing w:before="134" w:line="219" w:lineRule="auto"/>
              <w:ind w:left="914"/>
              <w:rPr>
                <w:sz w:val="18"/>
                <w:szCs w:val="18"/>
              </w:rPr>
            </w:pPr>
            <w:r>
              <w:rPr>
                <w:b/>
                <w:bCs/>
                <w:spacing w:val="5"/>
                <w:sz w:val="18"/>
                <w:szCs w:val="18"/>
              </w:rPr>
              <w:t>考试条目</w:t>
            </w:r>
          </w:p>
        </w:tc>
        <w:tc>
          <w:tcPr>
            <w:tcW w:w="913" w:type="dxa"/>
            <w:gridSpan w:val="4"/>
            <w:tcBorders>
              <w:top w:val="single" w:color="000000" w:sz="2" w:space="0"/>
              <w:bottom w:val="single" w:color="000000" w:sz="2" w:space="0"/>
            </w:tcBorders>
            <w:vAlign w:val="top"/>
          </w:tcPr>
          <w:p w14:paraId="57417AD8">
            <w:pPr>
              <w:pStyle w:val="6"/>
              <w:spacing w:before="25" w:line="200" w:lineRule="auto"/>
              <w:ind w:left="100"/>
              <w:rPr>
                <w:sz w:val="18"/>
                <w:szCs w:val="18"/>
              </w:rPr>
            </w:pPr>
            <w:r>
              <w:rPr>
                <w:b/>
                <w:bCs/>
                <w:spacing w:val="-4"/>
                <w:sz w:val="18"/>
                <w:szCs w:val="18"/>
              </w:rPr>
              <w:t>考试水平</w:t>
            </w:r>
          </w:p>
        </w:tc>
      </w:tr>
      <w:tr w14:paraId="3D1D79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4" w:hRule="atLeast"/>
        </w:trPr>
        <w:tc>
          <w:tcPr>
            <w:tcW w:w="733" w:type="dxa"/>
            <w:vMerge w:val="continue"/>
            <w:tcBorders>
              <w:top w:val="nil"/>
              <w:bottom w:val="single" w:color="000000" w:sz="2" w:space="0"/>
            </w:tcBorders>
            <w:vAlign w:val="top"/>
          </w:tcPr>
          <w:p w14:paraId="10C3593A">
            <w:pPr>
              <w:rPr>
                <w:rFonts w:ascii="Arial"/>
                <w:sz w:val="21"/>
              </w:rPr>
            </w:pPr>
          </w:p>
        </w:tc>
        <w:tc>
          <w:tcPr>
            <w:tcW w:w="2484" w:type="dxa"/>
            <w:vMerge w:val="continue"/>
            <w:tcBorders>
              <w:top w:val="nil"/>
              <w:bottom w:val="single" w:color="000000" w:sz="2" w:space="0"/>
            </w:tcBorders>
            <w:vAlign w:val="top"/>
          </w:tcPr>
          <w:p w14:paraId="27ADC003">
            <w:pPr>
              <w:rPr>
                <w:rFonts w:ascii="Arial"/>
                <w:sz w:val="21"/>
              </w:rPr>
            </w:pPr>
          </w:p>
        </w:tc>
        <w:tc>
          <w:tcPr>
            <w:tcW w:w="229" w:type="dxa"/>
            <w:tcBorders>
              <w:top w:val="single" w:color="000000" w:sz="2" w:space="0"/>
              <w:bottom w:val="single" w:color="000000" w:sz="2" w:space="0"/>
            </w:tcBorders>
            <w:vAlign w:val="top"/>
          </w:tcPr>
          <w:p w14:paraId="0D36661F">
            <w:pPr>
              <w:pStyle w:val="6"/>
              <w:spacing w:before="67" w:line="137" w:lineRule="exact"/>
              <w:ind w:left="18"/>
              <w:rPr>
                <w:sz w:val="18"/>
                <w:szCs w:val="18"/>
              </w:rPr>
            </w:pPr>
            <w:r>
              <w:rPr>
                <w:position w:val="-2"/>
                <w:sz w:val="18"/>
                <w:szCs w:val="18"/>
              </w:rPr>
              <w:t>A</w:t>
            </w:r>
          </w:p>
        </w:tc>
        <w:tc>
          <w:tcPr>
            <w:tcW w:w="220" w:type="dxa"/>
            <w:tcBorders>
              <w:top w:val="single" w:color="000000" w:sz="2" w:space="0"/>
              <w:bottom w:val="single" w:color="000000" w:sz="2" w:space="0"/>
            </w:tcBorders>
            <w:vAlign w:val="top"/>
          </w:tcPr>
          <w:p w14:paraId="53A02C21">
            <w:pPr>
              <w:pStyle w:val="6"/>
              <w:spacing w:before="70" w:line="134" w:lineRule="exact"/>
              <w:ind w:left="19"/>
              <w:rPr>
                <w:sz w:val="18"/>
                <w:szCs w:val="18"/>
              </w:rPr>
            </w:pPr>
            <w:r>
              <w:rPr>
                <w:position w:val="-2"/>
                <w:sz w:val="18"/>
                <w:szCs w:val="18"/>
              </w:rPr>
              <w:t>B</w:t>
            </w:r>
          </w:p>
        </w:tc>
        <w:tc>
          <w:tcPr>
            <w:tcW w:w="230" w:type="dxa"/>
            <w:tcBorders>
              <w:top w:val="single" w:color="000000" w:sz="2" w:space="0"/>
              <w:bottom w:val="single" w:color="000000" w:sz="2" w:space="0"/>
            </w:tcBorders>
            <w:vAlign w:val="top"/>
          </w:tcPr>
          <w:p w14:paraId="5027B741">
            <w:pPr>
              <w:pStyle w:val="6"/>
              <w:spacing w:before="67" w:line="137" w:lineRule="exact"/>
              <w:ind w:left="21"/>
              <w:rPr>
                <w:sz w:val="18"/>
                <w:szCs w:val="18"/>
              </w:rPr>
            </w:pPr>
            <w:r>
              <w:rPr>
                <w:b/>
                <w:bCs/>
                <w:spacing w:val="-2"/>
                <w:position w:val="-2"/>
                <w:sz w:val="18"/>
                <w:szCs w:val="18"/>
              </w:rPr>
              <w:t>C</w:t>
            </w:r>
          </w:p>
        </w:tc>
        <w:tc>
          <w:tcPr>
            <w:tcW w:w="234" w:type="dxa"/>
            <w:tcBorders>
              <w:top w:val="single" w:color="000000" w:sz="2" w:space="0"/>
              <w:bottom w:val="single" w:color="000000" w:sz="2" w:space="0"/>
            </w:tcBorders>
            <w:vAlign w:val="top"/>
          </w:tcPr>
          <w:p w14:paraId="027200C0">
            <w:pPr>
              <w:pStyle w:val="6"/>
              <w:spacing w:before="70" w:line="134" w:lineRule="exact"/>
              <w:ind w:left="21"/>
              <w:rPr>
                <w:sz w:val="18"/>
                <w:szCs w:val="18"/>
              </w:rPr>
            </w:pPr>
            <w:r>
              <w:rPr>
                <w:b/>
                <w:bCs/>
                <w:spacing w:val="-2"/>
                <w:position w:val="-2"/>
                <w:sz w:val="18"/>
                <w:szCs w:val="18"/>
              </w:rPr>
              <w:t>D</w:t>
            </w:r>
          </w:p>
        </w:tc>
      </w:tr>
      <w:tr w14:paraId="7D448C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83" w:hRule="atLeast"/>
        </w:trPr>
        <w:tc>
          <w:tcPr>
            <w:tcW w:w="733" w:type="dxa"/>
            <w:tcBorders>
              <w:top w:val="single" w:color="000000" w:sz="2" w:space="0"/>
              <w:bottom w:val="single" w:color="000000" w:sz="2" w:space="0"/>
            </w:tcBorders>
            <w:vAlign w:val="top"/>
          </w:tcPr>
          <w:p w14:paraId="3EEF8BA0">
            <w:pPr>
              <w:pStyle w:val="6"/>
              <w:spacing w:before="33" w:line="219" w:lineRule="auto"/>
              <w:ind w:left="85"/>
              <w:rPr>
                <w:sz w:val="18"/>
                <w:szCs w:val="18"/>
              </w:rPr>
            </w:pPr>
            <w:r>
              <w:rPr>
                <w:spacing w:val="-3"/>
                <w:sz w:val="18"/>
                <w:szCs w:val="18"/>
              </w:rPr>
              <w:t>学前儿</w:t>
            </w:r>
          </w:p>
          <w:p w14:paraId="3EDA125C">
            <w:pPr>
              <w:pStyle w:val="6"/>
              <w:spacing w:before="27" w:line="204" w:lineRule="auto"/>
              <w:ind w:left="85"/>
              <w:rPr>
                <w:sz w:val="18"/>
                <w:szCs w:val="18"/>
              </w:rPr>
            </w:pPr>
            <w:r>
              <w:rPr>
                <w:spacing w:val="-2"/>
                <w:sz w:val="18"/>
                <w:szCs w:val="18"/>
              </w:rPr>
              <w:t>童记忆</w:t>
            </w:r>
          </w:p>
          <w:p w14:paraId="1F5F0312">
            <w:pPr>
              <w:pStyle w:val="6"/>
              <w:spacing w:line="214" w:lineRule="auto"/>
              <w:ind w:left="85"/>
              <w:rPr>
                <w:sz w:val="18"/>
                <w:szCs w:val="18"/>
              </w:rPr>
            </w:pPr>
            <w:r>
              <w:rPr>
                <w:spacing w:val="3"/>
                <w:sz w:val="18"/>
                <w:szCs w:val="18"/>
              </w:rPr>
              <w:t>的发展</w:t>
            </w:r>
          </w:p>
          <w:p w14:paraId="3C6569E8">
            <w:pPr>
              <w:pStyle w:val="6"/>
              <w:spacing w:line="195" w:lineRule="auto"/>
              <w:ind w:left="175"/>
              <w:rPr>
                <w:sz w:val="18"/>
                <w:szCs w:val="18"/>
              </w:rPr>
            </w:pPr>
            <w:r>
              <w:rPr>
                <w:spacing w:val="8"/>
                <w:sz w:val="18"/>
                <w:szCs w:val="18"/>
              </w:rPr>
              <w:t>特点</w:t>
            </w:r>
          </w:p>
        </w:tc>
        <w:tc>
          <w:tcPr>
            <w:tcW w:w="2484" w:type="dxa"/>
            <w:tcBorders>
              <w:top w:val="single" w:color="000000" w:sz="2" w:space="0"/>
              <w:bottom w:val="single" w:color="000000" w:sz="2" w:space="0"/>
            </w:tcBorders>
            <w:vAlign w:val="top"/>
          </w:tcPr>
          <w:p w14:paraId="23DDF084">
            <w:pPr>
              <w:pStyle w:val="6"/>
              <w:spacing w:before="33" w:line="223" w:lineRule="auto"/>
              <w:ind w:left="12" w:right="110"/>
              <w:rPr>
                <w:sz w:val="18"/>
                <w:szCs w:val="18"/>
              </w:rPr>
            </w:pPr>
            <w:r>
              <w:rPr>
                <w:sz w:val="18"/>
                <w:szCs w:val="18"/>
              </w:rPr>
              <w:t>1.学前儿童记忆的发生与早期</w:t>
            </w:r>
            <w:r>
              <w:rPr>
                <w:spacing w:val="10"/>
                <w:sz w:val="18"/>
                <w:szCs w:val="18"/>
              </w:rPr>
              <w:t xml:space="preserve"> </w:t>
            </w:r>
            <w:r>
              <w:rPr>
                <w:spacing w:val="-3"/>
                <w:sz w:val="18"/>
                <w:szCs w:val="18"/>
              </w:rPr>
              <w:t>发展</w:t>
            </w:r>
          </w:p>
          <w:p w14:paraId="09197BD9">
            <w:pPr>
              <w:pStyle w:val="6"/>
              <w:spacing w:before="14" w:line="200" w:lineRule="auto"/>
              <w:ind w:left="12" w:right="285"/>
              <w:rPr>
                <w:sz w:val="18"/>
                <w:szCs w:val="18"/>
              </w:rPr>
            </w:pPr>
            <w:r>
              <w:rPr>
                <w:spacing w:val="1"/>
                <w:sz w:val="18"/>
                <w:szCs w:val="18"/>
              </w:rPr>
              <w:t>2.幼儿记忆发展的主要特点</w:t>
            </w:r>
            <w:r>
              <w:rPr>
                <w:spacing w:val="2"/>
                <w:sz w:val="18"/>
                <w:szCs w:val="18"/>
              </w:rPr>
              <w:t xml:space="preserve"> </w:t>
            </w:r>
            <w:r>
              <w:rPr>
                <w:spacing w:val="-1"/>
                <w:sz w:val="18"/>
                <w:szCs w:val="18"/>
              </w:rPr>
              <w:t>3.婴幼儿记忆力的培养</w:t>
            </w:r>
          </w:p>
        </w:tc>
        <w:tc>
          <w:tcPr>
            <w:tcW w:w="229" w:type="dxa"/>
            <w:tcBorders>
              <w:top w:val="single" w:color="000000" w:sz="2" w:space="0"/>
              <w:bottom w:val="single" w:color="000000" w:sz="2" w:space="0"/>
            </w:tcBorders>
            <w:vAlign w:val="top"/>
          </w:tcPr>
          <w:p w14:paraId="6F19850E">
            <w:pPr>
              <w:rPr>
                <w:rFonts w:ascii="Arial"/>
                <w:sz w:val="21"/>
              </w:rPr>
            </w:pPr>
          </w:p>
        </w:tc>
        <w:tc>
          <w:tcPr>
            <w:tcW w:w="220" w:type="dxa"/>
            <w:tcBorders>
              <w:top w:val="single" w:color="000000" w:sz="2" w:space="0"/>
              <w:bottom w:val="single" w:color="000000" w:sz="2" w:space="0"/>
            </w:tcBorders>
            <w:vAlign w:val="top"/>
          </w:tcPr>
          <w:p w14:paraId="76CC9A36">
            <w:pPr>
              <w:rPr>
                <w:rFonts w:ascii="Arial"/>
                <w:sz w:val="21"/>
              </w:rPr>
            </w:pPr>
          </w:p>
        </w:tc>
        <w:tc>
          <w:tcPr>
            <w:tcW w:w="230" w:type="dxa"/>
            <w:tcBorders>
              <w:top w:val="single" w:color="000000" w:sz="2" w:space="0"/>
              <w:bottom w:val="single" w:color="000000" w:sz="2" w:space="0"/>
            </w:tcBorders>
            <w:vAlign w:val="top"/>
          </w:tcPr>
          <w:p w14:paraId="45531F56">
            <w:pPr>
              <w:rPr>
                <w:rFonts w:ascii="Arial"/>
                <w:sz w:val="21"/>
              </w:rPr>
            </w:pPr>
          </w:p>
        </w:tc>
        <w:tc>
          <w:tcPr>
            <w:tcW w:w="234" w:type="dxa"/>
            <w:tcBorders>
              <w:top w:val="single" w:color="000000" w:sz="2" w:space="0"/>
              <w:bottom w:val="single" w:color="000000" w:sz="2" w:space="0"/>
            </w:tcBorders>
            <w:vAlign w:val="top"/>
          </w:tcPr>
          <w:p w14:paraId="66D9B0C6">
            <w:pPr>
              <w:rPr>
                <w:rFonts w:ascii="Arial"/>
                <w:sz w:val="21"/>
              </w:rPr>
            </w:pPr>
          </w:p>
        </w:tc>
      </w:tr>
      <w:tr w14:paraId="016104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43" w:hRule="atLeast"/>
        </w:trPr>
        <w:tc>
          <w:tcPr>
            <w:tcW w:w="733" w:type="dxa"/>
            <w:tcBorders>
              <w:top w:val="single" w:color="000000" w:sz="2" w:space="0"/>
              <w:bottom w:val="single" w:color="000000" w:sz="2" w:space="0"/>
            </w:tcBorders>
            <w:vAlign w:val="top"/>
          </w:tcPr>
          <w:p w14:paraId="260EC168">
            <w:pPr>
              <w:pStyle w:val="6"/>
              <w:spacing w:before="274" w:line="227" w:lineRule="auto"/>
              <w:ind w:left="85" w:right="88"/>
              <w:jc w:val="both"/>
              <w:rPr>
                <w:sz w:val="18"/>
                <w:szCs w:val="18"/>
              </w:rPr>
            </w:pPr>
            <w:r>
              <w:rPr>
                <w:spacing w:val="3"/>
                <w:sz w:val="18"/>
                <w:szCs w:val="18"/>
              </w:rPr>
              <w:t>思维及</w:t>
            </w:r>
            <w:r>
              <w:rPr>
                <w:sz w:val="18"/>
                <w:szCs w:val="18"/>
              </w:rPr>
              <w:t xml:space="preserve"> </w:t>
            </w:r>
            <w:r>
              <w:rPr>
                <w:spacing w:val="-4"/>
                <w:sz w:val="18"/>
                <w:szCs w:val="18"/>
              </w:rPr>
              <w:t>学前儿</w:t>
            </w:r>
            <w:r>
              <w:rPr>
                <w:sz w:val="18"/>
                <w:szCs w:val="18"/>
              </w:rPr>
              <w:t xml:space="preserve"> </w:t>
            </w:r>
            <w:r>
              <w:rPr>
                <w:spacing w:val="-3"/>
                <w:sz w:val="18"/>
                <w:szCs w:val="18"/>
              </w:rPr>
              <w:t>童思维</w:t>
            </w:r>
            <w:r>
              <w:rPr>
                <w:sz w:val="18"/>
                <w:szCs w:val="18"/>
              </w:rPr>
              <w:t xml:space="preserve"> </w:t>
            </w:r>
            <w:r>
              <w:rPr>
                <w:spacing w:val="3"/>
                <w:sz w:val="18"/>
                <w:szCs w:val="18"/>
              </w:rPr>
              <w:t>的发展</w:t>
            </w:r>
          </w:p>
        </w:tc>
        <w:tc>
          <w:tcPr>
            <w:tcW w:w="2484" w:type="dxa"/>
            <w:tcBorders>
              <w:top w:val="single" w:color="000000" w:sz="2" w:space="0"/>
              <w:bottom w:val="single" w:color="000000" w:sz="2" w:space="0"/>
            </w:tcBorders>
            <w:vAlign w:val="top"/>
          </w:tcPr>
          <w:p w14:paraId="3A12DD3D">
            <w:pPr>
              <w:pStyle w:val="6"/>
              <w:spacing w:before="55" w:line="217" w:lineRule="auto"/>
              <w:ind w:left="12" w:right="1374"/>
              <w:rPr>
                <w:sz w:val="18"/>
                <w:szCs w:val="18"/>
              </w:rPr>
            </w:pPr>
            <w:r>
              <w:rPr>
                <w:spacing w:val="1"/>
                <w:sz w:val="18"/>
                <w:szCs w:val="18"/>
              </w:rPr>
              <w:t>1.什么是思维</w:t>
            </w:r>
            <w:r>
              <w:rPr>
                <w:sz w:val="18"/>
                <w:szCs w:val="18"/>
              </w:rPr>
              <w:t xml:space="preserve"> </w:t>
            </w:r>
            <w:r>
              <w:rPr>
                <w:spacing w:val="-1"/>
                <w:sz w:val="18"/>
                <w:szCs w:val="18"/>
              </w:rPr>
              <w:t>2.思维的种类</w:t>
            </w:r>
          </w:p>
          <w:p w14:paraId="5663B61E">
            <w:pPr>
              <w:pStyle w:val="6"/>
              <w:spacing w:before="6" w:line="215" w:lineRule="auto"/>
              <w:ind w:left="12"/>
              <w:rPr>
                <w:sz w:val="18"/>
                <w:szCs w:val="18"/>
              </w:rPr>
            </w:pPr>
            <w:r>
              <w:rPr>
                <w:sz w:val="18"/>
                <w:szCs w:val="18"/>
              </w:rPr>
              <w:t>3.婴幼儿思维的发生发展</w:t>
            </w:r>
          </w:p>
          <w:p w14:paraId="14CD8D2F">
            <w:pPr>
              <w:pStyle w:val="6"/>
              <w:spacing w:before="1" w:line="217" w:lineRule="auto"/>
              <w:ind w:left="12" w:right="107"/>
              <w:rPr>
                <w:sz w:val="18"/>
                <w:szCs w:val="18"/>
              </w:rPr>
            </w:pPr>
            <w:r>
              <w:rPr>
                <w:sz w:val="18"/>
                <w:szCs w:val="18"/>
              </w:rPr>
              <w:t>4.婴幼儿概念、判断、推理的</w:t>
            </w:r>
            <w:r>
              <w:rPr>
                <w:spacing w:val="12"/>
                <w:sz w:val="18"/>
                <w:szCs w:val="18"/>
              </w:rPr>
              <w:t xml:space="preserve"> </w:t>
            </w:r>
            <w:r>
              <w:rPr>
                <w:spacing w:val="-3"/>
                <w:sz w:val="18"/>
                <w:szCs w:val="18"/>
              </w:rPr>
              <w:t>发展</w:t>
            </w:r>
          </w:p>
          <w:p w14:paraId="2E8F5E2C">
            <w:pPr>
              <w:pStyle w:val="6"/>
              <w:spacing w:before="14" w:line="204" w:lineRule="auto"/>
              <w:ind w:left="12"/>
              <w:rPr>
                <w:sz w:val="18"/>
                <w:szCs w:val="18"/>
              </w:rPr>
            </w:pPr>
            <w:r>
              <w:rPr>
                <w:spacing w:val="-1"/>
                <w:sz w:val="18"/>
                <w:szCs w:val="18"/>
              </w:rPr>
              <w:t>5.婴幼儿思维能力的培养</w:t>
            </w:r>
          </w:p>
        </w:tc>
        <w:tc>
          <w:tcPr>
            <w:tcW w:w="229" w:type="dxa"/>
            <w:tcBorders>
              <w:top w:val="single" w:color="000000" w:sz="2" w:space="0"/>
              <w:bottom w:val="single" w:color="000000" w:sz="2" w:space="0"/>
            </w:tcBorders>
            <w:vAlign w:val="top"/>
          </w:tcPr>
          <w:p w14:paraId="3DFAF39D">
            <w:pPr>
              <w:rPr>
                <w:rFonts w:ascii="Arial"/>
                <w:sz w:val="21"/>
              </w:rPr>
            </w:pPr>
          </w:p>
        </w:tc>
        <w:tc>
          <w:tcPr>
            <w:tcW w:w="220" w:type="dxa"/>
            <w:tcBorders>
              <w:top w:val="single" w:color="000000" w:sz="2" w:space="0"/>
              <w:bottom w:val="single" w:color="000000" w:sz="2" w:space="0"/>
            </w:tcBorders>
            <w:vAlign w:val="top"/>
          </w:tcPr>
          <w:p w14:paraId="37281F46">
            <w:pPr>
              <w:spacing w:line="300" w:lineRule="auto"/>
              <w:rPr>
                <w:rFonts w:ascii="Arial"/>
                <w:sz w:val="21"/>
              </w:rPr>
            </w:pPr>
          </w:p>
          <w:p w14:paraId="41A2745A">
            <w:pPr>
              <w:spacing w:line="537" w:lineRule="exact"/>
              <w:ind w:firstLine="43"/>
            </w:pPr>
            <w:r>
              <w:rPr>
                <w:position w:val="-10"/>
              </w:rPr>
              <w:drawing>
                <wp:inline distT="0" distB="0" distL="0" distR="0">
                  <wp:extent cx="82550" cy="340995"/>
                  <wp:effectExtent l="0" t="0" r="0" b="0"/>
                  <wp:docPr id="388" name="IM 388"/>
                  <wp:cNvGraphicFramePr/>
                  <a:graphic xmlns:a="http://schemas.openxmlformats.org/drawingml/2006/main">
                    <a:graphicData uri="http://schemas.openxmlformats.org/drawingml/2006/picture">
                      <pic:pic xmlns:pic="http://schemas.openxmlformats.org/drawingml/2006/picture">
                        <pic:nvPicPr>
                          <pic:cNvPr id="388" name="IM 388"/>
                          <pic:cNvPicPr/>
                        </pic:nvPicPr>
                        <pic:blipFill>
                          <a:blip r:embed="rId358"/>
                          <a:stretch>
                            <a:fillRect/>
                          </a:stretch>
                        </pic:blipFill>
                        <pic:spPr>
                          <a:xfrm>
                            <a:off x="0" y="0"/>
                            <a:ext cx="82953" cy="341441"/>
                          </a:xfrm>
                          <a:prstGeom prst="rect">
                            <a:avLst/>
                          </a:prstGeom>
                        </pic:spPr>
                      </pic:pic>
                    </a:graphicData>
                  </a:graphic>
                </wp:inline>
              </w:drawing>
            </w:r>
          </w:p>
        </w:tc>
        <w:tc>
          <w:tcPr>
            <w:tcW w:w="230" w:type="dxa"/>
            <w:tcBorders>
              <w:top w:val="single" w:color="000000" w:sz="2" w:space="0"/>
              <w:bottom w:val="single" w:color="000000" w:sz="2" w:space="0"/>
            </w:tcBorders>
            <w:vAlign w:val="top"/>
          </w:tcPr>
          <w:p w14:paraId="66EEB271">
            <w:pPr>
              <w:rPr>
                <w:rFonts w:ascii="Arial"/>
                <w:sz w:val="21"/>
              </w:rPr>
            </w:pPr>
          </w:p>
        </w:tc>
        <w:tc>
          <w:tcPr>
            <w:tcW w:w="234" w:type="dxa"/>
            <w:tcBorders>
              <w:top w:val="single" w:color="000000" w:sz="2" w:space="0"/>
              <w:bottom w:val="single" w:color="000000" w:sz="2" w:space="0"/>
            </w:tcBorders>
            <w:vAlign w:val="top"/>
          </w:tcPr>
          <w:p w14:paraId="716A9429">
            <w:pPr>
              <w:rPr>
                <w:rFonts w:ascii="Arial"/>
                <w:sz w:val="21"/>
              </w:rPr>
            </w:pPr>
          </w:p>
        </w:tc>
      </w:tr>
      <w:tr w14:paraId="5CB5EF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78" w:hRule="atLeast"/>
        </w:trPr>
        <w:tc>
          <w:tcPr>
            <w:tcW w:w="733" w:type="dxa"/>
            <w:tcBorders>
              <w:top w:val="single" w:color="000000" w:sz="2" w:space="0"/>
              <w:bottom w:val="single" w:color="000000" w:sz="2" w:space="0"/>
            </w:tcBorders>
            <w:vAlign w:val="top"/>
          </w:tcPr>
          <w:p w14:paraId="75893783">
            <w:pPr>
              <w:pStyle w:val="6"/>
              <w:spacing w:before="48" w:line="210" w:lineRule="auto"/>
              <w:ind w:left="85" w:right="88"/>
              <w:jc w:val="both"/>
              <w:rPr>
                <w:sz w:val="18"/>
                <w:szCs w:val="18"/>
              </w:rPr>
            </w:pPr>
            <w:r>
              <w:rPr>
                <w:spacing w:val="3"/>
                <w:sz w:val="18"/>
                <w:szCs w:val="18"/>
              </w:rPr>
              <w:t>言语及</w:t>
            </w:r>
            <w:r>
              <w:rPr>
                <w:sz w:val="18"/>
                <w:szCs w:val="18"/>
              </w:rPr>
              <w:t xml:space="preserve"> </w:t>
            </w:r>
            <w:r>
              <w:rPr>
                <w:spacing w:val="-4"/>
                <w:sz w:val="18"/>
                <w:szCs w:val="18"/>
              </w:rPr>
              <w:t>学前儿</w:t>
            </w:r>
            <w:r>
              <w:rPr>
                <w:sz w:val="18"/>
                <w:szCs w:val="18"/>
              </w:rPr>
              <w:t xml:space="preserve"> </w:t>
            </w:r>
            <w:r>
              <w:rPr>
                <w:spacing w:val="-3"/>
                <w:sz w:val="18"/>
                <w:szCs w:val="18"/>
              </w:rPr>
              <w:t>童言语</w:t>
            </w:r>
            <w:r>
              <w:rPr>
                <w:sz w:val="18"/>
                <w:szCs w:val="18"/>
              </w:rPr>
              <w:t xml:space="preserve"> </w:t>
            </w:r>
            <w:r>
              <w:rPr>
                <w:spacing w:val="3"/>
                <w:sz w:val="18"/>
                <w:szCs w:val="18"/>
              </w:rPr>
              <w:t>的发展</w:t>
            </w:r>
          </w:p>
        </w:tc>
        <w:tc>
          <w:tcPr>
            <w:tcW w:w="2484" w:type="dxa"/>
            <w:tcBorders>
              <w:top w:val="single" w:color="000000" w:sz="2" w:space="0"/>
              <w:bottom w:val="single" w:color="000000" w:sz="2" w:space="0"/>
            </w:tcBorders>
            <w:vAlign w:val="top"/>
          </w:tcPr>
          <w:p w14:paraId="20F53548">
            <w:pPr>
              <w:pStyle w:val="6"/>
              <w:spacing w:before="156" w:line="219" w:lineRule="auto"/>
              <w:ind w:left="12"/>
              <w:rPr>
                <w:sz w:val="18"/>
                <w:szCs w:val="18"/>
              </w:rPr>
            </w:pPr>
            <w:r>
              <w:rPr>
                <w:sz w:val="18"/>
                <w:szCs w:val="18"/>
              </w:rPr>
              <w:t>1.言语、语言的概念</w:t>
            </w:r>
          </w:p>
          <w:p w14:paraId="0EC41EC2">
            <w:pPr>
              <w:pStyle w:val="6"/>
              <w:spacing w:before="6" w:line="222" w:lineRule="auto"/>
              <w:ind w:left="12" w:right="105"/>
              <w:rPr>
                <w:sz w:val="18"/>
                <w:szCs w:val="18"/>
              </w:rPr>
            </w:pPr>
            <w:r>
              <w:rPr>
                <w:spacing w:val="1"/>
                <w:sz w:val="18"/>
                <w:szCs w:val="18"/>
              </w:rPr>
              <w:t xml:space="preserve">2.婴幼儿言语的发生发展特点 </w:t>
            </w:r>
            <w:r>
              <w:rPr>
                <w:spacing w:val="-1"/>
                <w:sz w:val="18"/>
                <w:szCs w:val="18"/>
              </w:rPr>
              <w:t>3.婴幼儿言语能力的培养</w:t>
            </w:r>
          </w:p>
        </w:tc>
        <w:tc>
          <w:tcPr>
            <w:tcW w:w="229" w:type="dxa"/>
            <w:tcBorders>
              <w:top w:val="single" w:color="000000" w:sz="2" w:space="0"/>
              <w:bottom w:val="single" w:color="000000" w:sz="2" w:space="0"/>
            </w:tcBorders>
            <w:vAlign w:val="top"/>
          </w:tcPr>
          <w:p w14:paraId="0253C238">
            <w:pPr>
              <w:rPr>
                <w:rFonts w:ascii="Arial"/>
                <w:sz w:val="21"/>
              </w:rPr>
            </w:pPr>
          </w:p>
        </w:tc>
        <w:tc>
          <w:tcPr>
            <w:tcW w:w="220" w:type="dxa"/>
            <w:tcBorders>
              <w:top w:val="single" w:color="000000" w:sz="2" w:space="0"/>
              <w:bottom w:val="single" w:color="000000" w:sz="2" w:space="0"/>
            </w:tcBorders>
            <w:vAlign w:val="top"/>
          </w:tcPr>
          <w:p w14:paraId="7F1B7E01">
            <w:pPr>
              <w:rPr>
                <w:rFonts w:ascii="Arial"/>
                <w:sz w:val="21"/>
              </w:rPr>
            </w:pPr>
          </w:p>
        </w:tc>
        <w:tc>
          <w:tcPr>
            <w:tcW w:w="230" w:type="dxa"/>
            <w:tcBorders>
              <w:top w:val="single" w:color="000000" w:sz="2" w:space="0"/>
              <w:bottom w:val="single" w:color="000000" w:sz="2" w:space="0"/>
            </w:tcBorders>
            <w:vAlign w:val="top"/>
          </w:tcPr>
          <w:p w14:paraId="1A19D8A0">
            <w:pPr>
              <w:rPr>
                <w:rFonts w:ascii="Arial"/>
                <w:sz w:val="21"/>
              </w:rPr>
            </w:pPr>
          </w:p>
        </w:tc>
        <w:tc>
          <w:tcPr>
            <w:tcW w:w="234" w:type="dxa"/>
            <w:tcBorders>
              <w:top w:val="single" w:color="000000" w:sz="2" w:space="0"/>
              <w:bottom w:val="single" w:color="000000" w:sz="2" w:space="0"/>
            </w:tcBorders>
            <w:vAlign w:val="top"/>
          </w:tcPr>
          <w:p w14:paraId="1DA1560E">
            <w:pPr>
              <w:rPr>
                <w:rFonts w:ascii="Arial"/>
                <w:sz w:val="21"/>
              </w:rPr>
            </w:pPr>
          </w:p>
        </w:tc>
      </w:tr>
    </w:tbl>
    <w:p w14:paraId="1F642DA6">
      <w:pPr>
        <w:spacing w:before="179" w:line="221" w:lineRule="auto"/>
        <w:ind w:left="18"/>
        <w:rPr>
          <w:rFonts w:ascii="黑体" w:hAnsi="黑体" w:eastAsia="黑体" w:cs="黑体"/>
          <w:sz w:val="23"/>
          <w:szCs w:val="23"/>
        </w:rPr>
      </w:pPr>
      <w:r>
        <w:rPr>
          <w:rFonts w:ascii="黑体" w:hAnsi="黑体" w:eastAsia="黑体" w:cs="黑体"/>
          <w:b/>
          <w:bCs/>
          <w:spacing w:val="-7"/>
          <w:sz w:val="23"/>
          <w:szCs w:val="23"/>
        </w:rPr>
        <w:t>三、学前儿童的社会性发展</w:t>
      </w:r>
    </w:p>
    <w:p w14:paraId="67C37D8A">
      <w:pPr>
        <w:spacing w:line="155" w:lineRule="exact"/>
      </w:pPr>
    </w:p>
    <w:tbl>
      <w:tblPr>
        <w:tblStyle w:val="5"/>
        <w:tblW w:w="411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23"/>
        <w:gridCol w:w="2484"/>
        <w:gridCol w:w="229"/>
        <w:gridCol w:w="220"/>
        <w:gridCol w:w="240"/>
        <w:gridCol w:w="214"/>
      </w:tblGrid>
      <w:tr w14:paraId="2346BF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0" w:hRule="atLeast"/>
        </w:trPr>
        <w:tc>
          <w:tcPr>
            <w:tcW w:w="723" w:type="dxa"/>
            <w:vMerge w:val="restart"/>
            <w:tcBorders>
              <w:top w:val="single" w:color="000000" w:sz="2" w:space="0"/>
              <w:bottom w:val="nil"/>
            </w:tcBorders>
            <w:vAlign w:val="top"/>
          </w:tcPr>
          <w:p w14:paraId="01E864B5">
            <w:pPr>
              <w:pStyle w:val="6"/>
              <w:spacing w:before="26" w:line="207" w:lineRule="auto"/>
              <w:ind w:left="85" w:hanging="68"/>
              <w:rPr>
                <w:sz w:val="18"/>
                <w:szCs w:val="18"/>
              </w:rPr>
            </w:pPr>
            <w:r>
              <w:rPr>
                <w:b/>
                <w:bCs/>
                <w:spacing w:val="-10"/>
                <w:sz w:val="18"/>
                <w:szCs w:val="18"/>
              </w:rPr>
              <w:t>知</w:t>
            </w:r>
            <w:r>
              <w:rPr>
                <w:b/>
                <w:bCs/>
                <w:spacing w:val="-9"/>
                <w:sz w:val="18"/>
                <w:szCs w:val="18"/>
              </w:rPr>
              <w:t>识与</w:t>
            </w:r>
            <w:r>
              <w:rPr>
                <w:b/>
                <w:bCs/>
                <w:spacing w:val="-8"/>
                <w:sz w:val="18"/>
                <w:szCs w:val="18"/>
              </w:rPr>
              <w:t>技</w:t>
            </w:r>
            <w:r>
              <w:rPr>
                <w:spacing w:val="2"/>
                <w:sz w:val="18"/>
                <w:szCs w:val="18"/>
              </w:rPr>
              <w:t xml:space="preserve"> </w:t>
            </w:r>
            <w:r>
              <w:rPr>
                <w:b/>
                <w:bCs/>
                <w:spacing w:val="-2"/>
                <w:sz w:val="18"/>
                <w:szCs w:val="18"/>
              </w:rPr>
              <w:t>能要点</w:t>
            </w:r>
          </w:p>
        </w:tc>
        <w:tc>
          <w:tcPr>
            <w:tcW w:w="2484" w:type="dxa"/>
            <w:vMerge w:val="restart"/>
            <w:tcBorders>
              <w:top w:val="single" w:color="000000" w:sz="2" w:space="0"/>
              <w:bottom w:val="nil"/>
            </w:tcBorders>
            <w:vAlign w:val="top"/>
          </w:tcPr>
          <w:p w14:paraId="768994E4">
            <w:pPr>
              <w:pStyle w:val="6"/>
              <w:spacing w:before="134" w:line="219" w:lineRule="auto"/>
              <w:ind w:left="934"/>
              <w:rPr>
                <w:sz w:val="18"/>
                <w:szCs w:val="18"/>
              </w:rPr>
            </w:pPr>
            <w:r>
              <w:rPr>
                <w:b/>
                <w:bCs/>
                <w:spacing w:val="5"/>
                <w:sz w:val="18"/>
                <w:szCs w:val="18"/>
              </w:rPr>
              <w:t>考试条目</w:t>
            </w:r>
          </w:p>
        </w:tc>
        <w:tc>
          <w:tcPr>
            <w:tcW w:w="903" w:type="dxa"/>
            <w:gridSpan w:val="4"/>
            <w:tcBorders>
              <w:top w:val="single" w:color="000000" w:sz="2" w:space="0"/>
              <w:bottom w:val="single" w:color="000000" w:sz="2" w:space="0"/>
            </w:tcBorders>
            <w:vAlign w:val="top"/>
          </w:tcPr>
          <w:p w14:paraId="39C356DF">
            <w:pPr>
              <w:pStyle w:val="6"/>
              <w:spacing w:before="25" w:line="200" w:lineRule="auto"/>
              <w:ind w:left="120"/>
              <w:rPr>
                <w:sz w:val="18"/>
                <w:szCs w:val="18"/>
              </w:rPr>
            </w:pPr>
            <w:r>
              <w:rPr>
                <w:b/>
                <w:bCs/>
                <w:spacing w:val="-4"/>
                <w:sz w:val="18"/>
                <w:szCs w:val="18"/>
              </w:rPr>
              <w:t>考试水平</w:t>
            </w:r>
          </w:p>
        </w:tc>
      </w:tr>
      <w:tr w14:paraId="618355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5" w:hRule="atLeast"/>
        </w:trPr>
        <w:tc>
          <w:tcPr>
            <w:tcW w:w="723" w:type="dxa"/>
            <w:vMerge w:val="continue"/>
            <w:tcBorders>
              <w:top w:val="nil"/>
              <w:bottom w:val="single" w:color="000000" w:sz="2" w:space="0"/>
            </w:tcBorders>
            <w:vAlign w:val="top"/>
          </w:tcPr>
          <w:p w14:paraId="153382A0">
            <w:pPr>
              <w:rPr>
                <w:rFonts w:ascii="Arial"/>
                <w:sz w:val="21"/>
              </w:rPr>
            </w:pPr>
          </w:p>
        </w:tc>
        <w:tc>
          <w:tcPr>
            <w:tcW w:w="2484" w:type="dxa"/>
            <w:vMerge w:val="continue"/>
            <w:tcBorders>
              <w:top w:val="nil"/>
              <w:bottom w:val="single" w:color="000000" w:sz="2" w:space="0"/>
            </w:tcBorders>
            <w:vAlign w:val="top"/>
          </w:tcPr>
          <w:p w14:paraId="335F9DFC">
            <w:pPr>
              <w:rPr>
                <w:rFonts w:ascii="Arial"/>
                <w:sz w:val="21"/>
              </w:rPr>
            </w:pPr>
          </w:p>
        </w:tc>
        <w:tc>
          <w:tcPr>
            <w:tcW w:w="229" w:type="dxa"/>
            <w:tcBorders>
              <w:top w:val="single" w:color="000000" w:sz="2" w:space="0"/>
              <w:bottom w:val="single" w:color="000000" w:sz="2" w:space="0"/>
            </w:tcBorders>
            <w:vAlign w:val="top"/>
          </w:tcPr>
          <w:p w14:paraId="16D04FA2">
            <w:pPr>
              <w:pStyle w:val="6"/>
              <w:spacing w:before="47" w:line="148" w:lineRule="exact"/>
              <w:ind w:left="20"/>
              <w:rPr>
                <w:sz w:val="18"/>
                <w:szCs w:val="18"/>
              </w:rPr>
            </w:pPr>
            <w:r>
              <w:rPr>
                <w:b/>
                <w:bCs/>
                <w:spacing w:val="-2"/>
                <w:position w:val="-2"/>
                <w:sz w:val="18"/>
                <w:szCs w:val="18"/>
              </w:rPr>
              <w:t>A</w:t>
            </w:r>
          </w:p>
        </w:tc>
        <w:tc>
          <w:tcPr>
            <w:tcW w:w="220" w:type="dxa"/>
            <w:tcBorders>
              <w:top w:val="single" w:color="000000" w:sz="2" w:space="0"/>
              <w:bottom w:val="single" w:color="000000" w:sz="2" w:space="0"/>
            </w:tcBorders>
            <w:vAlign w:val="top"/>
          </w:tcPr>
          <w:p w14:paraId="523C03CF">
            <w:pPr>
              <w:pStyle w:val="6"/>
              <w:spacing w:before="49" w:line="146" w:lineRule="exact"/>
              <w:ind w:left="21"/>
              <w:rPr>
                <w:sz w:val="18"/>
                <w:szCs w:val="18"/>
              </w:rPr>
            </w:pPr>
            <w:r>
              <w:rPr>
                <w:b/>
                <w:bCs/>
                <w:spacing w:val="-2"/>
                <w:position w:val="-2"/>
                <w:sz w:val="18"/>
                <w:szCs w:val="18"/>
              </w:rPr>
              <w:t>B</w:t>
            </w:r>
          </w:p>
        </w:tc>
        <w:tc>
          <w:tcPr>
            <w:tcW w:w="240" w:type="dxa"/>
            <w:tcBorders>
              <w:top w:val="single" w:color="000000" w:sz="2" w:space="0"/>
              <w:bottom w:val="single" w:color="000000" w:sz="2" w:space="0"/>
            </w:tcBorders>
            <w:vAlign w:val="top"/>
          </w:tcPr>
          <w:p w14:paraId="7170CA5E">
            <w:pPr>
              <w:pStyle w:val="6"/>
              <w:spacing w:before="47" w:line="148" w:lineRule="exact"/>
              <w:ind w:left="31"/>
              <w:rPr>
                <w:sz w:val="18"/>
                <w:szCs w:val="18"/>
              </w:rPr>
            </w:pPr>
            <w:r>
              <w:rPr>
                <w:b/>
                <w:bCs/>
                <w:spacing w:val="-2"/>
                <w:position w:val="-2"/>
                <w:sz w:val="18"/>
                <w:szCs w:val="18"/>
              </w:rPr>
              <w:t>C</w:t>
            </w:r>
          </w:p>
        </w:tc>
        <w:tc>
          <w:tcPr>
            <w:tcW w:w="214" w:type="dxa"/>
            <w:tcBorders>
              <w:top w:val="single" w:color="000000" w:sz="2" w:space="0"/>
              <w:bottom w:val="single" w:color="000000" w:sz="2" w:space="0"/>
            </w:tcBorders>
            <w:vAlign w:val="top"/>
          </w:tcPr>
          <w:p w14:paraId="491A44AB">
            <w:pPr>
              <w:pStyle w:val="6"/>
              <w:spacing w:before="49" w:line="146" w:lineRule="exact"/>
              <w:ind w:left="41"/>
              <w:rPr>
                <w:sz w:val="18"/>
                <w:szCs w:val="18"/>
              </w:rPr>
            </w:pPr>
            <w:r>
              <w:rPr>
                <w:b/>
                <w:bCs/>
                <w:spacing w:val="-2"/>
                <w:position w:val="-2"/>
                <w:sz w:val="18"/>
                <w:szCs w:val="18"/>
              </w:rPr>
              <w:t>D</w:t>
            </w:r>
          </w:p>
        </w:tc>
      </w:tr>
      <w:tr w14:paraId="59B354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5" w:hRule="atLeast"/>
        </w:trPr>
        <w:tc>
          <w:tcPr>
            <w:tcW w:w="723" w:type="dxa"/>
            <w:tcBorders>
              <w:top w:val="single" w:color="000000" w:sz="2" w:space="0"/>
              <w:bottom w:val="single" w:color="000000" w:sz="2" w:space="0"/>
            </w:tcBorders>
            <w:vAlign w:val="top"/>
          </w:tcPr>
          <w:p w14:paraId="4A847F72">
            <w:pPr>
              <w:pStyle w:val="6"/>
              <w:spacing w:before="162" w:line="219" w:lineRule="auto"/>
              <w:ind w:left="175"/>
              <w:rPr>
                <w:sz w:val="18"/>
                <w:szCs w:val="18"/>
              </w:rPr>
            </w:pPr>
            <w:r>
              <w:rPr>
                <w:spacing w:val="-2"/>
                <w:sz w:val="18"/>
                <w:szCs w:val="18"/>
              </w:rPr>
              <w:t>概述</w:t>
            </w:r>
          </w:p>
        </w:tc>
        <w:tc>
          <w:tcPr>
            <w:tcW w:w="2484" w:type="dxa"/>
            <w:tcBorders>
              <w:top w:val="single" w:color="000000" w:sz="2" w:space="0"/>
              <w:bottom w:val="single" w:color="000000" w:sz="2" w:space="0"/>
            </w:tcBorders>
            <w:vAlign w:val="top"/>
          </w:tcPr>
          <w:p w14:paraId="4E23B952">
            <w:pPr>
              <w:pStyle w:val="6"/>
              <w:spacing w:before="71" w:line="217" w:lineRule="auto"/>
              <w:ind w:left="12" w:right="1192"/>
              <w:rPr>
                <w:sz w:val="18"/>
                <w:szCs w:val="18"/>
              </w:rPr>
            </w:pPr>
            <w:r>
              <w:rPr>
                <w:spacing w:val="1"/>
                <w:sz w:val="18"/>
                <w:szCs w:val="18"/>
              </w:rPr>
              <w:t>1.社会性的含义</w:t>
            </w:r>
            <w:r>
              <w:rPr>
                <w:sz w:val="18"/>
                <w:szCs w:val="18"/>
              </w:rPr>
              <w:t xml:space="preserve"> </w:t>
            </w:r>
            <w:r>
              <w:rPr>
                <w:spacing w:val="-1"/>
                <w:sz w:val="18"/>
                <w:szCs w:val="18"/>
              </w:rPr>
              <w:t>2.社会化的含义</w:t>
            </w:r>
          </w:p>
        </w:tc>
        <w:tc>
          <w:tcPr>
            <w:tcW w:w="229" w:type="dxa"/>
            <w:tcBorders>
              <w:top w:val="single" w:color="000000" w:sz="2" w:space="0"/>
              <w:bottom w:val="single" w:color="000000" w:sz="2" w:space="0"/>
            </w:tcBorders>
            <w:vAlign w:val="top"/>
          </w:tcPr>
          <w:p w14:paraId="20B02397">
            <w:pPr>
              <w:rPr>
                <w:rFonts w:ascii="Arial"/>
                <w:sz w:val="21"/>
              </w:rPr>
            </w:pPr>
          </w:p>
        </w:tc>
        <w:tc>
          <w:tcPr>
            <w:tcW w:w="220" w:type="dxa"/>
            <w:tcBorders>
              <w:top w:val="single" w:color="000000" w:sz="2" w:space="0"/>
              <w:bottom w:val="single" w:color="000000" w:sz="2" w:space="0"/>
            </w:tcBorders>
            <w:vAlign w:val="top"/>
          </w:tcPr>
          <w:p w14:paraId="59EDFD11">
            <w:pPr>
              <w:rPr>
                <w:rFonts w:ascii="Arial"/>
                <w:sz w:val="21"/>
              </w:rPr>
            </w:pPr>
          </w:p>
        </w:tc>
        <w:tc>
          <w:tcPr>
            <w:tcW w:w="240" w:type="dxa"/>
            <w:tcBorders>
              <w:top w:val="single" w:color="000000" w:sz="2" w:space="0"/>
              <w:bottom w:val="single" w:color="000000" w:sz="2" w:space="0"/>
            </w:tcBorders>
            <w:vAlign w:val="top"/>
          </w:tcPr>
          <w:p w14:paraId="7E7656FC">
            <w:pPr>
              <w:rPr>
                <w:rFonts w:ascii="Arial"/>
                <w:sz w:val="21"/>
              </w:rPr>
            </w:pPr>
          </w:p>
        </w:tc>
        <w:tc>
          <w:tcPr>
            <w:tcW w:w="214" w:type="dxa"/>
            <w:tcBorders>
              <w:top w:val="single" w:color="000000" w:sz="2" w:space="0"/>
              <w:bottom w:val="single" w:color="000000" w:sz="2" w:space="0"/>
            </w:tcBorders>
            <w:vAlign w:val="top"/>
          </w:tcPr>
          <w:p w14:paraId="141796AB">
            <w:pPr>
              <w:rPr>
                <w:rFonts w:ascii="Arial"/>
                <w:sz w:val="21"/>
              </w:rPr>
            </w:pPr>
          </w:p>
        </w:tc>
      </w:tr>
      <w:tr w14:paraId="33063C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84" w:hRule="atLeast"/>
        </w:trPr>
        <w:tc>
          <w:tcPr>
            <w:tcW w:w="723" w:type="dxa"/>
            <w:tcBorders>
              <w:top w:val="single" w:color="000000" w:sz="2" w:space="0"/>
              <w:bottom w:val="single" w:color="000000" w:sz="2" w:space="0"/>
            </w:tcBorders>
            <w:vAlign w:val="top"/>
          </w:tcPr>
          <w:p w14:paraId="08A6BB5A">
            <w:pPr>
              <w:pStyle w:val="6"/>
              <w:spacing w:before="261" w:line="208" w:lineRule="auto"/>
              <w:ind w:left="85"/>
              <w:rPr>
                <w:sz w:val="18"/>
                <w:szCs w:val="18"/>
              </w:rPr>
            </w:pPr>
            <w:r>
              <w:rPr>
                <w:spacing w:val="-3"/>
                <w:sz w:val="18"/>
                <w:szCs w:val="18"/>
              </w:rPr>
              <w:t>学前儿</w:t>
            </w:r>
          </w:p>
          <w:p w14:paraId="0C7159EF">
            <w:pPr>
              <w:pStyle w:val="6"/>
              <w:spacing w:line="222" w:lineRule="auto"/>
              <w:ind w:left="175"/>
              <w:rPr>
                <w:sz w:val="18"/>
                <w:szCs w:val="18"/>
              </w:rPr>
            </w:pPr>
            <w:r>
              <w:rPr>
                <w:spacing w:val="7"/>
                <w:sz w:val="18"/>
                <w:szCs w:val="18"/>
              </w:rPr>
              <w:t>童的</w:t>
            </w:r>
          </w:p>
          <w:p w14:paraId="27C5A10F">
            <w:pPr>
              <w:pStyle w:val="6"/>
              <w:spacing w:before="1" w:line="220" w:lineRule="auto"/>
              <w:ind w:left="175"/>
              <w:rPr>
                <w:sz w:val="18"/>
                <w:szCs w:val="18"/>
              </w:rPr>
            </w:pPr>
            <w:r>
              <w:rPr>
                <w:spacing w:val="10"/>
                <w:sz w:val="18"/>
                <w:szCs w:val="18"/>
              </w:rPr>
              <w:t>气质</w:t>
            </w:r>
          </w:p>
        </w:tc>
        <w:tc>
          <w:tcPr>
            <w:tcW w:w="2484" w:type="dxa"/>
            <w:tcBorders>
              <w:top w:val="single" w:color="000000" w:sz="2" w:space="0"/>
              <w:bottom w:val="single" w:color="000000" w:sz="2" w:space="0"/>
            </w:tcBorders>
            <w:vAlign w:val="top"/>
          </w:tcPr>
          <w:p w14:paraId="44B47D8F">
            <w:pPr>
              <w:pStyle w:val="6"/>
              <w:spacing w:before="32" w:line="220" w:lineRule="auto"/>
              <w:ind w:left="12" w:right="129"/>
              <w:jc w:val="both"/>
              <w:rPr>
                <w:sz w:val="18"/>
                <w:szCs w:val="18"/>
              </w:rPr>
            </w:pPr>
            <w:r>
              <w:rPr>
                <w:sz w:val="18"/>
                <w:szCs w:val="18"/>
              </w:rPr>
              <w:t>1.气质的种类及表现(托马斯</w:t>
            </w:r>
            <w:r>
              <w:rPr>
                <w:spacing w:val="3"/>
                <w:sz w:val="18"/>
                <w:szCs w:val="18"/>
              </w:rPr>
              <w:t xml:space="preserve">  </w:t>
            </w:r>
            <w:r>
              <w:rPr>
                <w:spacing w:val="-1"/>
                <w:sz w:val="18"/>
                <w:szCs w:val="18"/>
              </w:rPr>
              <w:t>和切斯的三类型说、我国的五</w:t>
            </w:r>
            <w:r>
              <w:rPr>
                <w:spacing w:val="4"/>
                <w:sz w:val="18"/>
                <w:szCs w:val="18"/>
              </w:rPr>
              <w:t xml:space="preserve"> </w:t>
            </w:r>
            <w:r>
              <w:rPr>
                <w:spacing w:val="9"/>
                <w:sz w:val="18"/>
                <w:szCs w:val="18"/>
              </w:rPr>
              <w:t>类型说)</w:t>
            </w:r>
          </w:p>
          <w:p w14:paraId="423BE6EE">
            <w:pPr>
              <w:pStyle w:val="6"/>
              <w:spacing w:before="6" w:line="201" w:lineRule="auto"/>
              <w:ind w:left="12" w:right="851"/>
              <w:rPr>
                <w:sz w:val="18"/>
                <w:szCs w:val="18"/>
              </w:rPr>
            </w:pPr>
            <w:r>
              <w:rPr>
                <w:spacing w:val="-1"/>
                <w:sz w:val="18"/>
                <w:szCs w:val="18"/>
              </w:rPr>
              <w:t>2.学前儿童气质发展</w:t>
            </w:r>
            <w:r>
              <w:rPr>
                <w:sz w:val="18"/>
                <w:szCs w:val="18"/>
              </w:rPr>
              <w:t xml:space="preserve"> </w:t>
            </w:r>
            <w:r>
              <w:rPr>
                <w:spacing w:val="2"/>
                <w:sz w:val="18"/>
                <w:szCs w:val="18"/>
              </w:rPr>
              <w:t>3.气质与教育</w:t>
            </w:r>
          </w:p>
        </w:tc>
        <w:tc>
          <w:tcPr>
            <w:tcW w:w="229" w:type="dxa"/>
            <w:tcBorders>
              <w:top w:val="single" w:color="000000" w:sz="2" w:space="0"/>
              <w:bottom w:val="single" w:color="000000" w:sz="2" w:space="0"/>
            </w:tcBorders>
            <w:vAlign w:val="top"/>
          </w:tcPr>
          <w:p w14:paraId="5F521795">
            <w:pPr>
              <w:rPr>
                <w:rFonts w:ascii="Arial"/>
                <w:sz w:val="21"/>
              </w:rPr>
            </w:pPr>
          </w:p>
        </w:tc>
        <w:tc>
          <w:tcPr>
            <w:tcW w:w="220" w:type="dxa"/>
            <w:tcBorders>
              <w:top w:val="single" w:color="000000" w:sz="2" w:space="0"/>
              <w:bottom w:val="single" w:color="000000" w:sz="2" w:space="0"/>
            </w:tcBorders>
            <w:vAlign w:val="top"/>
          </w:tcPr>
          <w:p w14:paraId="3F841D78">
            <w:pPr>
              <w:rPr>
                <w:rFonts w:ascii="Arial"/>
                <w:sz w:val="21"/>
              </w:rPr>
            </w:pPr>
          </w:p>
        </w:tc>
        <w:tc>
          <w:tcPr>
            <w:tcW w:w="240" w:type="dxa"/>
            <w:tcBorders>
              <w:top w:val="single" w:color="000000" w:sz="2" w:space="0"/>
              <w:bottom w:val="single" w:color="000000" w:sz="2" w:space="0"/>
            </w:tcBorders>
            <w:vAlign w:val="top"/>
          </w:tcPr>
          <w:p w14:paraId="3656BDD1">
            <w:pPr>
              <w:rPr>
                <w:rFonts w:ascii="Arial"/>
                <w:sz w:val="21"/>
              </w:rPr>
            </w:pPr>
          </w:p>
        </w:tc>
        <w:tc>
          <w:tcPr>
            <w:tcW w:w="214" w:type="dxa"/>
            <w:tcBorders>
              <w:top w:val="single" w:color="000000" w:sz="2" w:space="0"/>
              <w:bottom w:val="single" w:color="000000" w:sz="2" w:space="0"/>
            </w:tcBorders>
            <w:vAlign w:val="top"/>
          </w:tcPr>
          <w:p w14:paraId="1F332C14">
            <w:pPr>
              <w:spacing w:line="303" w:lineRule="auto"/>
              <w:rPr>
                <w:rFonts w:ascii="Arial"/>
                <w:sz w:val="21"/>
              </w:rPr>
            </w:pPr>
          </w:p>
          <w:p w14:paraId="19F7196B">
            <w:pPr>
              <w:spacing w:line="303" w:lineRule="auto"/>
              <w:rPr>
                <w:rFonts w:ascii="Arial"/>
                <w:sz w:val="21"/>
              </w:rPr>
            </w:pPr>
          </w:p>
          <w:p w14:paraId="008413FC">
            <w:pPr>
              <w:spacing w:line="303" w:lineRule="auto"/>
              <w:rPr>
                <w:rFonts w:ascii="Arial"/>
                <w:sz w:val="21"/>
              </w:rPr>
            </w:pPr>
          </w:p>
          <w:p w14:paraId="23998A8C">
            <w:pPr>
              <w:spacing w:line="126" w:lineRule="exact"/>
              <w:ind w:firstLine="53"/>
            </w:pPr>
            <w:r>
              <w:rPr>
                <w:position w:val="-2"/>
              </w:rPr>
              <w:drawing>
                <wp:inline distT="0" distB="0" distL="0" distR="0">
                  <wp:extent cx="81915" cy="80010"/>
                  <wp:effectExtent l="0" t="0" r="0" b="0"/>
                  <wp:docPr id="390" name="IM 390"/>
                  <wp:cNvGraphicFramePr/>
                  <a:graphic xmlns:a="http://schemas.openxmlformats.org/drawingml/2006/main">
                    <a:graphicData uri="http://schemas.openxmlformats.org/drawingml/2006/picture">
                      <pic:pic xmlns:pic="http://schemas.openxmlformats.org/drawingml/2006/picture">
                        <pic:nvPicPr>
                          <pic:cNvPr id="390" name="IM 390"/>
                          <pic:cNvPicPr/>
                        </pic:nvPicPr>
                        <pic:blipFill>
                          <a:blip r:embed="rId359"/>
                          <a:stretch>
                            <a:fillRect/>
                          </a:stretch>
                        </pic:blipFill>
                        <pic:spPr>
                          <a:xfrm>
                            <a:off x="0" y="0"/>
                            <a:ext cx="82549" cy="80020"/>
                          </a:xfrm>
                          <a:prstGeom prst="rect">
                            <a:avLst/>
                          </a:prstGeom>
                        </pic:spPr>
                      </pic:pic>
                    </a:graphicData>
                  </a:graphic>
                </wp:inline>
              </w:drawing>
            </w:r>
          </w:p>
        </w:tc>
      </w:tr>
      <w:tr w14:paraId="325472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44" w:hRule="atLeast"/>
        </w:trPr>
        <w:tc>
          <w:tcPr>
            <w:tcW w:w="723" w:type="dxa"/>
            <w:tcBorders>
              <w:top w:val="single" w:color="000000" w:sz="2" w:space="0"/>
              <w:bottom w:val="single" w:color="000000" w:sz="2" w:space="0"/>
            </w:tcBorders>
            <w:vAlign w:val="top"/>
          </w:tcPr>
          <w:p w14:paraId="5085BB7C">
            <w:pPr>
              <w:spacing w:line="303" w:lineRule="auto"/>
              <w:rPr>
                <w:rFonts w:ascii="Arial"/>
                <w:sz w:val="21"/>
              </w:rPr>
            </w:pPr>
          </w:p>
          <w:p w14:paraId="4677E5A8">
            <w:pPr>
              <w:pStyle w:val="6"/>
              <w:spacing w:before="58" w:line="234" w:lineRule="auto"/>
              <w:ind w:left="85" w:right="96"/>
              <w:jc w:val="both"/>
              <w:rPr>
                <w:sz w:val="18"/>
                <w:szCs w:val="18"/>
              </w:rPr>
            </w:pPr>
            <w:r>
              <w:rPr>
                <w:spacing w:val="-4"/>
                <w:sz w:val="18"/>
                <w:szCs w:val="18"/>
              </w:rPr>
              <w:t>学前儿</w:t>
            </w:r>
            <w:r>
              <w:rPr>
                <w:sz w:val="18"/>
                <w:szCs w:val="18"/>
              </w:rPr>
              <w:t xml:space="preserve"> </w:t>
            </w:r>
            <w:r>
              <w:rPr>
                <w:spacing w:val="-3"/>
                <w:sz w:val="18"/>
                <w:szCs w:val="18"/>
              </w:rPr>
              <w:t>童的情</w:t>
            </w:r>
            <w:r>
              <w:rPr>
                <w:sz w:val="18"/>
                <w:szCs w:val="18"/>
              </w:rPr>
              <w:t xml:space="preserve"> </w:t>
            </w:r>
            <w:r>
              <w:rPr>
                <w:spacing w:val="-4"/>
                <w:sz w:val="18"/>
                <w:szCs w:val="18"/>
              </w:rPr>
              <w:t>绪发展</w:t>
            </w:r>
          </w:p>
        </w:tc>
        <w:tc>
          <w:tcPr>
            <w:tcW w:w="2484" w:type="dxa"/>
            <w:tcBorders>
              <w:top w:val="single" w:color="000000" w:sz="2" w:space="0"/>
              <w:bottom w:val="single" w:color="000000" w:sz="2" w:space="0"/>
            </w:tcBorders>
            <w:vAlign w:val="top"/>
          </w:tcPr>
          <w:p w14:paraId="21126829">
            <w:pPr>
              <w:pStyle w:val="6"/>
              <w:spacing w:before="53" w:line="220" w:lineRule="auto"/>
              <w:ind w:left="12"/>
              <w:rPr>
                <w:sz w:val="18"/>
                <w:szCs w:val="18"/>
              </w:rPr>
            </w:pPr>
            <w:r>
              <w:rPr>
                <w:spacing w:val="1"/>
                <w:sz w:val="18"/>
                <w:szCs w:val="18"/>
              </w:rPr>
              <w:t>1.情绪的定义</w:t>
            </w:r>
          </w:p>
          <w:p w14:paraId="1A0B7555">
            <w:pPr>
              <w:pStyle w:val="6"/>
              <w:spacing w:before="13" w:line="212" w:lineRule="auto"/>
              <w:ind w:left="12" w:right="131"/>
              <w:rPr>
                <w:sz w:val="18"/>
                <w:szCs w:val="18"/>
              </w:rPr>
            </w:pPr>
            <w:r>
              <w:rPr>
                <w:spacing w:val="-1"/>
                <w:sz w:val="18"/>
                <w:szCs w:val="18"/>
              </w:rPr>
              <w:t>2.婴儿原始情绪表达及其意义</w:t>
            </w:r>
            <w:r>
              <w:rPr>
                <w:spacing w:val="3"/>
                <w:sz w:val="18"/>
                <w:szCs w:val="18"/>
              </w:rPr>
              <w:t xml:space="preserve"> </w:t>
            </w:r>
            <w:r>
              <w:rPr>
                <w:spacing w:val="-1"/>
                <w:sz w:val="18"/>
                <w:szCs w:val="18"/>
              </w:rPr>
              <w:t>3.情绪的分化及社会化</w:t>
            </w:r>
          </w:p>
          <w:p w14:paraId="0F72C00F">
            <w:pPr>
              <w:pStyle w:val="6"/>
              <w:spacing w:before="17" w:line="223" w:lineRule="auto"/>
              <w:ind w:left="12" w:right="308"/>
              <w:rPr>
                <w:sz w:val="18"/>
                <w:szCs w:val="18"/>
              </w:rPr>
            </w:pPr>
            <w:r>
              <w:rPr>
                <w:spacing w:val="-1"/>
                <w:sz w:val="18"/>
                <w:szCs w:val="18"/>
              </w:rPr>
              <w:t>4.情绪的理解和表达的发展</w:t>
            </w:r>
            <w:r>
              <w:rPr>
                <w:spacing w:val="5"/>
                <w:sz w:val="18"/>
                <w:szCs w:val="18"/>
              </w:rPr>
              <w:t xml:space="preserve"> </w:t>
            </w:r>
            <w:r>
              <w:rPr>
                <w:spacing w:val="1"/>
                <w:sz w:val="18"/>
                <w:szCs w:val="18"/>
              </w:rPr>
              <w:t>5.情绪调节的发展</w:t>
            </w:r>
          </w:p>
          <w:p w14:paraId="7F3F9DDA">
            <w:pPr>
              <w:pStyle w:val="6"/>
              <w:spacing w:before="4" w:line="186" w:lineRule="auto"/>
              <w:ind w:left="12"/>
              <w:rPr>
                <w:sz w:val="18"/>
                <w:szCs w:val="18"/>
              </w:rPr>
            </w:pPr>
            <w:r>
              <w:rPr>
                <w:spacing w:val="1"/>
                <w:sz w:val="18"/>
                <w:szCs w:val="18"/>
              </w:rPr>
              <w:t>6.婴幼儿情绪的教育</w:t>
            </w:r>
          </w:p>
        </w:tc>
        <w:tc>
          <w:tcPr>
            <w:tcW w:w="229" w:type="dxa"/>
            <w:tcBorders>
              <w:top w:val="single" w:color="000000" w:sz="2" w:space="0"/>
              <w:bottom w:val="single" w:color="000000" w:sz="2" w:space="0"/>
            </w:tcBorders>
            <w:vAlign w:val="top"/>
          </w:tcPr>
          <w:p w14:paraId="7DBCE62E">
            <w:pPr>
              <w:spacing w:before="93" w:line="313" w:lineRule="exact"/>
              <w:ind w:firstLine="43"/>
            </w:pPr>
            <w:r>
              <w:rPr>
                <w:position w:val="-6"/>
              </w:rPr>
              <w:drawing>
                <wp:inline distT="0" distB="0" distL="0" distR="0">
                  <wp:extent cx="95250" cy="198755"/>
                  <wp:effectExtent l="0" t="0" r="0" b="0"/>
                  <wp:docPr id="392" name="IM 392"/>
                  <wp:cNvGraphicFramePr/>
                  <a:graphic xmlns:a="http://schemas.openxmlformats.org/drawingml/2006/main">
                    <a:graphicData uri="http://schemas.openxmlformats.org/drawingml/2006/picture">
                      <pic:pic xmlns:pic="http://schemas.openxmlformats.org/drawingml/2006/picture">
                        <pic:nvPicPr>
                          <pic:cNvPr id="392" name="IM 392"/>
                          <pic:cNvPicPr/>
                        </pic:nvPicPr>
                        <pic:blipFill>
                          <a:blip r:embed="rId360"/>
                          <a:stretch>
                            <a:fillRect/>
                          </a:stretch>
                        </pic:blipFill>
                        <pic:spPr>
                          <a:xfrm>
                            <a:off x="0" y="0"/>
                            <a:ext cx="95275" cy="199082"/>
                          </a:xfrm>
                          <a:prstGeom prst="rect">
                            <a:avLst/>
                          </a:prstGeom>
                        </pic:spPr>
                      </pic:pic>
                    </a:graphicData>
                  </a:graphic>
                </wp:inline>
              </w:drawing>
            </w:r>
          </w:p>
        </w:tc>
        <w:tc>
          <w:tcPr>
            <w:tcW w:w="220" w:type="dxa"/>
            <w:tcBorders>
              <w:top w:val="single" w:color="000000" w:sz="2" w:space="0"/>
              <w:bottom w:val="single" w:color="000000" w:sz="2" w:space="0"/>
            </w:tcBorders>
            <w:vAlign w:val="top"/>
          </w:tcPr>
          <w:p w14:paraId="5C4AD59D">
            <w:pPr>
              <w:spacing w:line="257" w:lineRule="auto"/>
              <w:rPr>
                <w:rFonts w:ascii="Arial"/>
                <w:sz w:val="21"/>
              </w:rPr>
            </w:pPr>
          </w:p>
          <w:p w14:paraId="26D52E29">
            <w:pPr>
              <w:spacing w:line="258" w:lineRule="auto"/>
              <w:rPr>
                <w:rFonts w:ascii="Arial"/>
                <w:sz w:val="21"/>
              </w:rPr>
            </w:pPr>
          </w:p>
          <w:p w14:paraId="13722E27">
            <w:pPr>
              <w:spacing w:line="319" w:lineRule="exact"/>
              <w:ind w:firstLine="43"/>
            </w:pPr>
            <w:r>
              <w:rPr>
                <w:position w:val="-6"/>
              </w:rPr>
              <w:drawing>
                <wp:inline distT="0" distB="0" distL="0" distR="0">
                  <wp:extent cx="82550" cy="202565"/>
                  <wp:effectExtent l="0" t="0" r="0" b="0"/>
                  <wp:docPr id="394" name="IM 394"/>
                  <wp:cNvGraphicFramePr/>
                  <a:graphic xmlns:a="http://schemas.openxmlformats.org/drawingml/2006/main">
                    <a:graphicData uri="http://schemas.openxmlformats.org/drawingml/2006/picture">
                      <pic:pic xmlns:pic="http://schemas.openxmlformats.org/drawingml/2006/picture">
                        <pic:nvPicPr>
                          <pic:cNvPr id="394" name="IM 394"/>
                          <pic:cNvPicPr/>
                        </pic:nvPicPr>
                        <pic:blipFill>
                          <a:blip r:embed="rId361"/>
                          <a:stretch>
                            <a:fillRect/>
                          </a:stretch>
                        </pic:blipFill>
                        <pic:spPr>
                          <a:xfrm>
                            <a:off x="0" y="0"/>
                            <a:ext cx="82984" cy="202931"/>
                          </a:xfrm>
                          <a:prstGeom prst="rect">
                            <a:avLst/>
                          </a:prstGeom>
                        </pic:spPr>
                      </pic:pic>
                    </a:graphicData>
                  </a:graphic>
                </wp:inline>
              </w:drawing>
            </w:r>
          </w:p>
        </w:tc>
        <w:tc>
          <w:tcPr>
            <w:tcW w:w="240" w:type="dxa"/>
            <w:tcBorders>
              <w:top w:val="single" w:color="000000" w:sz="2" w:space="0"/>
              <w:bottom w:val="single" w:color="000000" w:sz="2" w:space="0"/>
            </w:tcBorders>
            <w:vAlign w:val="top"/>
          </w:tcPr>
          <w:p w14:paraId="1DA14487">
            <w:pPr>
              <w:spacing w:line="282" w:lineRule="auto"/>
              <w:rPr>
                <w:rFonts w:ascii="Arial"/>
                <w:sz w:val="21"/>
              </w:rPr>
            </w:pPr>
          </w:p>
          <w:p w14:paraId="773F72A1">
            <w:pPr>
              <w:spacing w:line="282" w:lineRule="auto"/>
              <w:rPr>
                <w:rFonts w:ascii="Arial"/>
                <w:sz w:val="21"/>
              </w:rPr>
            </w:pPr>
          </w:p>
          <w:p w14:paraId="577BB62D">
            <w:pPr>
              <w:spacing w:line="283" w:lineRule="auto"/>
              <w:rPr>
                <w:rFonts w:ascii="Arial"/>
                <w:sz w:val="21"/>
              </w:rPr>
            </w:pPr>
          </w:p>
          <w:p w14:paraId="7D31315E">
            <w:pPr>
              <w:pStyle w:val="6"/>
              <w:spacing w:before="58" w:line="238" w:lineRule="auto"/>
              <w:ind w:left="29"/>
              <w:rPr>
                <w:sz w:val="18"/>
                <w:szCs w:val="18"/>
              </w:rPr>
            </w:pPr>
            <w:r>
              <w:rPr>
                <w:sz w:val="18"/>
                <w:szCs w:val="18"/>
              </w:rPr>
              <w:t>√</w:t>
            </w:r>
          </w:p>
        </w:tc>
        <w:tc>
          <w:tcPr>
            <w:tcW w:w="214" w:type="dxa"/>
            <w:tcBorders>
              <w:top w:val="single" w:color="000000" w:sz="2" w:space="0"/>
              <w:bottom w:val="single" w:color="000000" w:sz="2" w:space="0"/>
            </w:tcBorders>
            <w:vAlign w:val="top"/>
          </w:tcPr>
          <w:p w14:paraId="71836201">
            <w:pPr>
              <w:spacing w:line="293" w:lineRule="auto"/>
              <w:rPr>
                <w:rFonts w:ascii="Arial"/>
                <w:sz w:val="21"/>
              </w:rPr>
            </w:pPr>
          </w:p>
          <w:p w14:paraId="79727078">
            <w:pPr>
              <w:spacing w:line="293" w:lineRule="auto"/>
              <w:rPr>
                <w:rFonts w:ascii="Arial"/>
                <w:sz w:val="21"/>
              </w:rPr>
            </w:pPr>
          </w:p>
          <w:p w14:paraId="4555C085">
            <w:pPr>
              <w:spacing w:line="294" w:lineRule="auto"/>
              <w:rPr>
                <w:rFonts w:ascii="Arial"/>
                <w:sz w:val="21"/>
              </w:rPr>
            </w:pPr>
          </w:p>
          <w:p w14:paraId="61C85517">
            <w:pPr>
              <w:spacing w:line="294" w:lineRule="auto"/>
              <w:rPr>
                <w:rFonts w:ascii="Arial"/>
                <w:sz w:val="21"/>
              </w:rPr>
            </w:pPr>
          </w:p>
          <w:p w14:paraId="2298E0F9">
            <w:pPr>
              <w:spacing w:line="116" w:lineRule="exact"/>
              <w:ind w:firstLine="53"/>
            </w:pPr>
            <w:r>
              <w:rPr>
                <w:position w:val="-2"/>
              </w:rPr>
              <w:drawing>
                <wp:inline distT="0" distB="0" distL="0" distR="0">
                  <wp:extent cx="81915" cy="73025"/>
                  <wp:effectExtent l="0" t="0" r="0" b="0"/>
                  <wp:docPr id="396" name="IM 396"/>
                  <wp:cNvGraphicFramePr/>
                  <a:graphic xmlns:a="http://schemas.openxmlformats.org/drawingml/2006/main">
                    <a:graphicData uri="http://schemas.openxmlformats.org/drawingml/2006/picture">
                      <pic:pic xmlns:pic="http://schemas.openxmlformats.org/drawingml/2006/picture">
                        <pic:nvPicPr>
                          <pic:cNvPr id="396" name="IM 396"/>
                          <pic:cNvPicPr/>
                        </pic:nvPicPr>
                        <pic:blipFill>
                          <a:blip r:embed="rId362"/>
                          <a:stretch>
                            <a:fillRect/>
                          </a:stretch>
                        </pic:blipFill>
                        <pic:spPr>
                          <a:xfrm>
                            <a:off x="0" y="0"/>
                            <a:ext cx="82549" cy="73447"/>
                          </a:xfrm>
                          <a:prstGeom prst="rect">
                            <a:avLst/>
                          </a:prstGeom>
                        </pic:spPr>
                      </pic:pic>
                    </a:graphicData>
                  </a:graphic>
                </wp:inline>
              </w:drawing>
            </w:r>
          </w:p>
        </w:tc>
      </w:tr>
      <w:tr w14:paraId="7CE233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04" w:hRule="atLeast"/>
        </w:trPr>
        <w:tc>
          <w:tcPr>
            <w:tcW w:w="723" w:type="dxa"/>
            <w:tcBorders>
              <w:top w:val="single" w:color="000000" w:sz="2" w:space="0"/>
              <w:bottom w:val="single" w:color="000000" w:sz="2" w:space="0"/>
            </w:tcBorders>
            <w:vAlign w:val="top"/>
          </w:tcPr>
          <w:p w14:paraId="528F028B">
            <w:pPr>
              <w:pStyle w:val="6"/>
              <w:spacing w:before="273" w:line="223" w:lineRule="auto"/>
              <w:ind w:left="85" w:right="73"/>
              <w:jc w:val="both"/>
              <w:rPr>
                <w:sz w:val="18"/>
                <w:szCs w:val="18"/>
              </w:rPr>
            </w:pPr>
            <w:r>
              <w:rPr>
                <w:spacing w:val="-4"/>
                <w:sz w:val="18"/>
                <w:szCs w:val="18"/>
              </w:rPr>
              <w:t>学前儿</w:t>
            </w:r>
            <w:r>
              <w:rPr>
                <w:sz w:val="18"/>
                <w:szCs w:val="18"/>
              </w:rPr>
              <w:t xml:space="preserve"> </w:t>
            </w:r>
            <w:r>
              <w:rPr>
                <w:spacing w:val="-3"/>
                <w:sz w:val="18"/>
                <w:szCs w:val="18"/>
              </w:rPr>
              <w:t>童的社</w:t>
            </w:r>
            <w:r>
              <w:rPr>
                <w:sz w:val="18"/>
                <w:szCs w:val="18"/>
              </w:rPr>
              <w:t xml:space="preserve"> </w:t>
            </w:r>
            <w:r>
              <w:rPr>
                <w:spacing w:val="4"/>
                <w:sz w:val="18"/>
                <w:szCs w:val="18"/>
              </w:rPr>
              <w:t>会认知</w:t>
            </w:r>
          </w:p>
        </w:tc>
        <w:tc>
          <w:tcPr>
            <w:tcW w:w="2484" w:type="dxa"/>
            <w:tcBorders>
              <w:top w:val="single" w:color="000000" w:sz="2" w:space="0"/>
              <w:bottom w:val="single" w:color="000000" w:sz="2" w:space="0"/>
            </w:tcBorders>
            <w:vAlign w:val="top"/>
          </w:tcPr>
          <w:p w14:paraId="02429AAC">
            <w:pPr>
              <w:pStyle w:val="6"/>
              <w:spacing w:before="33" w:line="219" w:lineRule="auto"/>
              <w:ind w:left="12"/>
              <w:rPr>
                <w:sz w:val="18"/>
                <w:szCs w:val="18"/>
              </w:rPr>
            </w:pPr>
            <w:r>
              <w:rPr>
                <w:spacing w:val="-3"/>
                <w:sz w:val="18"/>
                <w:szCs w:val="18"/>
              </w:rPr>
              <w:t>1.</w:t>
            </w:r>
            <w:r>
              <w:rPr>
                <w:spacing w:val="-48"/>
                <w:sz w:val="18"/>
                <w:szCs w:val="18"/>
              </w:rPr>
              <w:t xml:space="preserve"> </w:t>
            </w:r>
            <w:r>
              <w:rPr>
                <w:spacing w:val="-3"/>
                <w:sz w:val="18"/>
                <w:szCs w:val="18"/>
              </w:rPr>
              <w:t>自我的特征及结构</w:t>
            </w:r>
          </w:p>
          <w:p w14:paraId="68964C1C">
            <w:pPr>
              <w:pStyle w:val="6"/>
              <w:spacing w:before="26" w:line="213" w:lineRule="auto"/>
              <w:ind w:left="12" w:right="131"/>
              <w:rPr>
                <w:sz w:val="18"/>
                <w:szCs w:val="18"/>
              </w:rPr>
            </w:pPr>
            <w:r>
              <w:rPr>
                <w:spacing w:val="-1"/>
                <w:sz w:val="18"/>
                <w:szCs w:val="18"/>
              </w:rPr>
              <w:t>2.学前儿童自我认知、自我体</w:t>
            </w:r>
            <w:r>
              <w:rPr>
                <w:spacing w:val="3"/>
                <w:sz w:val="18"/>
                <w:szCs w:val="18"/>
              </w:rPr>
              <w:t xml:space="preserve"> </w:t>
            </w:r>
            <w:r>
              <w:rPr>
                <w:spacing w:val="-1"/>
                <w:sz w:val="18"/>
                <w:szCs w:val="18"/>
              </w:rPr>
              <w:t>验、自我调节的发展</w:t>
            </w:r>
          </w:p>
          <w:p w14:paraId="03A82661">
            <w:pPr>
              <w:pStyle w:val="6"/>
              <w:spacing w:before="25" w:line="195" w:lineRule="auto"/>
              <w:ind w:left="12" w:right="492"/>
              <w:rPr>
                <w:sz w:val="18"/>
                <w:szCs w:val="18"/>
              </w:rPr>
            </w:pPr>
            <w:r>
              <w:rPr>
                <w:spacing w:val="-1"/>
                <w:sz w:val="18"/>
                <w:szCs w:val="18"/>
              </w:rPr>
              <w:t>3.儿童的服从及教育策略</w:t>
            </w:r>
            <w:r>
              <w:rPr>
                <w:sz w:val="18"/>
                <w:szCs w:val="18"/>
              </w:rPr>
              <w:t xml:space="preserve"> </w:t>
            </w:r>
            <w:r>
              <w:rPr>
                <w:spacing w:val="1"/>
                <w:sz w:val="18"/>
                <w:szCs w:val="18"/>
              </w:rPr>
              <w:t>4.对他人的认识特点</w:t>
            </w:r>
          </w:p>
        </w:tc>
        <w:tc>
          <w:tcPr>
            <w:tcW w:w="229" w:type="dxa"/>
            <w:tcBorders>
              <w:top w:val="single" w:color="000000" w:sz="2" w:space="0"/>
              <w:bottom w:val="single" w:color="000000" w:sz="2" w:space="0"/>
            </w:tcBorders>
            <w:vAlign w:val="top"/>
          </w:tcPr>
          <w:p w14:paraId="0BA2B6E8">
            <w:pPr>
              <w:spacing w:before="64" w:line="108" w:lineRule="exact"/>
              <w:ind w:firstLine="50"/>
            </w:pPr>
            <w:r>
              <w:rPr>
                <w:position w:val="-2"/>
              </w:rPr>
              <w:drawing>
                <wp:inline distT="0" distB="0" distL="0" distR="0">
                  <wp:extent cx="80010" cy="68580"/>
                  <wp:effectExtent l="0" t="0" r="0" b="0"/>
                  <wp:docPr id="398" name="IM 398"/>
                  <wp:cNvGraphicFramePr/>
                  <a:graphic xmlns:a="http://schemas.openxmlformats.org/drawingml/2006/main">
                    <a:graphicData uri="http://schemas.openxmlformats.org/drawingml/2006/picture">
                      <pic:pic xmlns:pic="http://schemas.openxmlformats.org/drawingml/2006/picture">
                        <pic:nvPicPr>
                          <pic:cNvPr id="398" name="IM 398"/>
                          <pic:cNvPicPr/>
                        </pic:nvPicPr>
                        <pic:blipFill>
                          <a:blip r:embed="rId363"/>
                          <a:stretch>
                            <a:fillRect/>
                          </a:stretch>
                        </pic:blipFill>
                        <pic:spPr>
                          <a:xfrm>
                            <a:off x="0" y="0"/>
                            <a:ext cx="80015" cy="68589"/>
                          </a:xfrm>
                          <a:prstGeom prst="rect">
                            <a:avLst/>
                          </a:prstGeom>
                        </pic:spPr>
                      </pic:pic>
                    </a:graphicData>
                  </a:graphic>
                </wp:inline>
              </w:drawing>
            </w:r>
          </w:p>
        </w:tc>
        <w:tc>
          <w:tcPr>
            <w:tcW w:w="220" w:type="dxa"/>
            <w:tcBorders>
              <w:top w:val="single" w:color="000000" w:sz="2" w:space="0"/>
              <w:bottom w:val="single" w:color="000000" w:sz="2" w:space="0"/>
            </w:tcBorders>
            <w:vAlign w:val="top"/>
          </w:tcPr>
          <w:p w14:paraId="768BC94B">
            <w:pPr>
              <w:spacing w:line="286" w:lineRule="auto"/>
              <w:rPr>
                <w:rFonts w:ascii="Arial"/>
                <w:sz w:val="21"/>
              </w:rPr>
            </w:pPr>
          </w:p>
          <w:p w14:paraId="56968244">
            <w:pPr>
              <w:spacing w:line="112" w:lineRule="exact"/>
              <w:ind w:firstLine="43"/>
            </w:pPr>
            <w:r>
              <w:rPr>
                <w:position w:val="-2"/>
              </w:rPr>
              <w:drawing>
                <wp:inline distT="0" distB="0" distL="0" distR="0">
                  <wp:extent cx="82550" cy="70485"/>
                  <wp:effectExtent l="0" t="0" r="0" b="0"/>
                  <wp:docPr id="400" name="IM 400"/>
                  <wp:cNvGraphicFramePr/>
                  <a:graphic xmlns:a="http://schemas.openxmlformats.org/drawingml/2006/main">
                    <a:graphicData uri="http://schemas.openxmlformats.org/drawingml/2006/picture">
                      <pic:pic xmlns:pic="http://schemas.openxmlformats.org/drawingml/2006/picture">
                        <pic:nvPicPr>
                          <pic:cNvPr id="400" name="IM 400"/>
                          <pic:cNvPicPr/>
                        </pic:nvPicPr>
                        <pic:blipFill>
                          <a:blip r:embed="rId364"/>
                          <a:stretch>
                            <a:fillRect/>
                          </a:stretch>
                        </pic:blipFill>
                        <pic:spPr>
                          <a:xfrm>
                            <a:off x="0" y="0"/>
                            <a:ext cx="82984" cy="71116"/>
                          </a:xfrm>
                          <a:prstGeom prst="rect">
                            <a:avLst/>
                          </a:prstGeom>
                        </pic:spPr>
                      </pic:pic>
                    </a:graphicData>
                  </a:graphic>
                </wp:inline>
              </w:drawing>
            </w:r>
          </w:p>
        </w:tc>
        <w:tc>
          <w:tcPr>
            <w:tcW w:w="240" w:type="dxa"/>
            <w:tcBorders>
              <w:top w:val="single" w:color="000000" w:sz="2" w:space="0"/>
              <w:bottom w:val="single" w:color="000000" w:sz="2" w:space="0"/>
            </w:tcBorders>
            <w:vAlign w:val="top"/>
          </w:tcPr>
          <w:p w14:paraId="6023BF61">
            <w:pPr>
              <w:spacing w:line="244" w:lineRule="auto"/>
              <w:rPr>
                <w:rFonts w:ascii="Arial"/>
                <w:sz w:val="21"/>
              </w:rPr>
            </w:pPr>
          </w:p>
          <w:p w14:paraId="26023EC9">
            <w:pPr>
              <w:spacing w:line="244" w:lineRule="auto"/>
              <w:rPr>
                <w:rFonts w:ascii="Arial"/>
                <w:sz w:val="21"/>
              </w:rPr>
            </w:pPr>
          </w:p>
          <w:p w14:paraId="3DFDFC00">
            <w:pPr>
              <w:spacing w:line="245" w:lineRule="auto"/>
              <w:rPr>
                <w:rFonts w:ascii="Arial"/>
                <w:sz w:val="21"/>
              </w:rPr>
            </w:pPr>
          </w:p>
          <w:p w14:paraId="5E616485">
            <w:pPr>
              <w:spacing w:line="112" w:lineRule="exact"/>
              <w:ind w:firstLine="60"/>
            </w:pPr>
            <w:r>
              <w:rPr>
                <w:position w:val="-2"/>
              </w:rPr>
              <w:drawing>
                <wp:inline distT="0" distB="0" distL="0" distR="0">
                  <wp:extent cx="80010" cy="70485"/>
                  <wp:effectExtent l="0" t="0" r="0" b="0"/>
                  <wp:docPr id="402" name="IM 402"/>
                  <wp:cNvGraphicFramePr/>
                  <a:graphic xmlns:a="http://schemas.openxmlformats.org/drawingml/2006/main">
                    <a:graphicData uri="http://schemas.openxmlformats.org/drawingml/2006/picture">
                      <pic:pic xmlns:pic="http://schemas.openxmlformats.org/drawingml/2006/picture">
                        <pic:nvPicPr>
                          <pic:cNvPr id="402" name="IM 402"/>
                          <pic:cNvPicPr/>
                        </pic:nvPicPr>
                        <pic:blipFill>
                          <a:blip r:embed="rId365"/>
                          <a:stretch>
                            <a:fillRect/>
                          </a:stretch>
                        </pic:blipFill>
                        <pic:spPr>
                          <a:xfrm>
                            <a:off x="0" y="0"/>
                            <a:ext cx="80015" cy="71117"/>
                          </a:xfrm>
                          <a:prstGeom prst="rect">
                            <a:avLst/>
                          </a:prstGeom>
                        </pic:spPr>
                      </pic:pic>
                    </a:graphicData>
                  </a:graphic>
                </wp:inline>
              </w:drawing>
            </w:r>
          </w:p>
        </w:tc>
        <w:tc>
          <w:tcPr>
            <w:tcW w:w="214" w:type="dxa"/>
            <w:tcBorders>
              <w:top w:val="single" w:color="000000" w:sz="2" w:space="0"/>
              <w:bottom w:val="single" w:color="000000" w:sz="2" w:space="0"/>
            </w:tcBorders>
            <w:vAlign w:val="top"/>
          </w:tcPr>
          <w:p w14:paraId="79DD8695">
            <w:pPr>
              <w:rPr>
                <w:rFonts w:ascii="Arial"/>
                <w:sz w:val="21"/>
              </w:rPr>
            </w:pPr>
          </w:p>
        </w:tc>
      </w:tr>
      <w:tr w14:paraId="7992E6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04" w:hRule="atLeast"/>
        </w:trPr>
        <w:tc>
          <w:tcPr>
            <w:tcW w:w="723" w:type="dxa"/>
            <w:tcBorders>
              <w:top w:val="single" w:color="000000" w:sz="2" w:space="0"/>
              <w:bottom w:val="single" w:color="000000" w:sz="2" w:space="0"/>
            </w:tcBorders>
            <w:vAlign w:val="top"/>
          </w:tcPr>
          <w:p w14:paraId="12A48241">
            <w:pPr>
              <w:pStyle w:val="6"/>
              <w:spacing w:before="254" w:line="219" w:lineRule="auto"/>
              <w:ind w:left="85"/>
              <w:rPr>
                <w:sz w:val="18"/>
                <w:szCs w:val="18"/>
              </w:rPr>
            </w:pPr>
            <w:r>
              <w:rPr>
                <w:spacing w:val="-3"/>
                <w:sz w:val="18"/>
                <w:szCs w:val="18"/>
              </w:rPr>
              <w:t>学前儿</w:t>
            </w:r>
          </w:p>
          <w:p w14:paraId="46B42A97">
            <w:pPr>
              <w:pStyle w:val="6"/>
              <w:spacing w:before="15" w:line="219" w:lineRule="auto"/>
              <w:ind w:left="85"/>
              <w:rPr>
                <w:sz w:val="18"/>
                <w:szCs w:val="18"/>
              </w:rPr>
            </w:pPr>
            <w:r>
              <w:rPr>
                <w:spacing w:val="-2"/>
                <w:sz w:val="18"/>
                <w:szCs w:val="18"/>
              </w:rPr>
              <w:t>童社会</w:t>
            </w:r>
          </w:p>
          <w:p w14:paraId="77E433AE">
            <w:pPr>
              <w:pStyle w:val="6"/>
              <w:spacing w:before="7" w:line="219" w:lineRule="auto"/>
              <w:ind w:left="175"/>
              <w:rPr>
                <w:sz w:val="18"/>
                <w:szCs w:val="18"/>
              </w:rPr>
            </w:pPr>
            <w:r>
              <w:rPr>
                <w:spacing w:val="-3"/>
                <w:sz w:val="18"/>
                <w:szCs w:val="18"/>
              </w:rPr>
              <w:t>交往</w:t>
            </w:r>
          </w:p>
        </w:tc>
        <w:tc>
          <w:tcPr>
            <w:tcW w:w="2484" w:type="dxa"/>
            <w:tcBorders>
              <w:top w:val="single" w:color="000000" w:sz="2" w:space="0"/>
              <w:bottom w:val="single" w:color="000000" w:sz="2" w:space="0"/>
            </w:tcBorders>
            <w:vAlign w:val="top"/>
          </w:tcPr>
          <w:p w14:paraId="57D5E04A">
            <w:pPr>
              <w:pStyle w:val="6"/>
              <w:spacing w:before="32" w:line="227" w:lineRule="auto"/>
              <w:ind w:left="12" w:right="311"/>
              <w:rPr>
                <w:sz w:val="18"/>
                <w:szCs w:val="18"/>
              </w:rPr>
            </w:pPr>
            <w:r>
              <w:rPr>
                <w:spacing w:val="1"/>
                <w:sz w:val="18"/>
                <w:szCs w:val="18"/>
              </w:rPr>
              <w:t xml:space="preserve">1.亲子依恋的含义及特点  </w:t>
            </w:r>
            <w:r>
              <w:rPr>
                <w:spacing w:val="-1"/>
                <w:sz w:val="18"/>
                <w:szCs w:val="18"/>
              </w:rPr>
              <w:t>2.学前儿童亲子依恋的发展</w:t>
            </w:r>
            <w:r>
              <w:rPr>
                <w:spacing w:val="2"/>
                <w:sz w:val="18"/>
                <w:szCs w:val="18"/>
              </w:rPr>
              <w:t xml:space="preserve"> </w:t>
            </w:r>
            <w:r>
              <w:rPr>
                <w:spacing w:val="1"/>
                <w:sz w:val="18"/>
                <w:szCs w:val="18"/>
              </w:rPr>
              <w:t>3.依恋的类型</w:t>
            </w:r>
          </w:p>
          <w:p w14:paraId="161FBADB">
            <w:pPr>
              <w:pStyle w:val="6"/>
              <w:spacing w:before="7" w:line="215" w:lineRule="auto"/>
              <w:ind w:left="12"/>
              <w:rPr>
                <w:sz w:val="18"/>
                <w:szCs w:val="18"/>
              </w:rPr>
            </w:pPr>
            <w:r>
              <w:rPr>
                <w:spacing w:val="3"/>
                <w:sz w:val="18"/>
                <w:szCs w:val="18"/>
              </w:rPr>
              <w:t>4.依恋的作用</w:t>
            </w:r>
          </w:p>
          <w:p w14:paraId="005FEC64">
            <w:pPr>
              <w:pStyle w:val="6"/>
              <w:spacing w:line="184" w:lineRule="auto"/>
              <w:ind w:left="12"/>
              <w:rPr>
                <w:sz w:val="18"/>
                <w:szCs w:val="18"/>
              </w:rPr>
            </w:pPr>
            <w:r>
              <w:rPr>
                <w:spacing w:val="-1"/>
                <w:sz w:val="18"/>
                <w:szCs w:val="18"/>
              </w:rPr>
              <w:t>5.建立良好的依恋关系的策略</w:t>
            </w:r>
          </w:p>
        </w:tc>
        <w:tc>
          <w:tcPr>
            <w:tcW w:w="229" w:type="dxa"/>
            <w:tcBorders>
              <w:top w:val="single" w:color="000000" w:sz="2" w:space="0"/>
              <w:bottom w:val="single" w:color="000000" w:sz="2" w:space="0"/>
            </w:tcBorders>
            <w:vAlign w:val="top"/>
          </w:tcPr>
          <w:p w14:paraId="21411C6A">
            <w:pPr>
              <w:rPr>
                <w:rFonts w:ascii="Arial"/>
                <w:sz w:val="21"/>
              </w:rPr>
            </w:pPr>
          </w:p>
        </w:tc>
        <w:tc>
          <w:tcPr>
            <w:tcW w:w="220" w:type="dxa"/>
            <w:tcBorders>
              <w:top w:val="single" w:color="000000" w:sz="2" w:space="0"/>
              <w:bottom w:val="single" w:color="000000" w:sz="2" w:space="0"/>
            </w:tcBorders>
            <w:vAlign w:val="top"/>
          </w:tcPr>
          <w:p w14:paraId="1B4C8AFD">
            <w:pPr>
              <w:rPr>
                <w:rFonts w:ascii="Arial"/>
                <w:sz w:val="21"/>
              </w:rPr>
            </w:pPr>
          </w:p>
        </w:tc>
        <w:tc>
          <w:tcPr>
            <w:tcW w:w="240" w:type="dxa"/>
            <w:tcBorders>
              <w:top w:val="single" w:color="000000" w:sz="2" w:space="0"/>
              <w:bottom w:val="single" w:color="000000" w:sz="2" w:space="0"/>
            </w:tcBorders>
            <w:vAlign w:val="top"/>
          </w:tcPr>
          <w:p w14:paraId="2D255C98">
            <w:pPr>
              <w:rPr>
                <w:rFonts w:ascii="Arial"/>
                <w:sz w:val="21"/>
              </w:rPr>
            </w:pPr>
          </w:p>
        </w:tc>
        <w:tc>
          <w:tcPr>
            <w:tcW w:w="214" w:type="dxa"/>
            <w:tcBorders>
              <w:top w:val="single" w:color="000000" w:sz="2" w:space="0"/>
              <w:bottom w:val="single" w:color="000000" w:sz="2" w:space="0"/>
            </w:tcBorders>
            <w:vAlign w:val="top"/>
          </w:tcPr>
          <w:p w14:paraId="798A6EB8">
            <w:pPr>
              <w:rPr>
                <w:rFonts w:ascii="Arial"/>
                <w:sz w:val="21"/>
              </w:rPr>
            </w:pPr>
          </w:p>
        </w:tc>
      </w:tr>
      <w:tr w14:paraId="1DE2DA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44" w:hRule="atLeast"/>
        </w:trPr>
        <w:tc>
          <w:tcPr>
            <w:tcW w:w="723" w:type="dxa"/>
            <w:tcBorders>
              <w:top w:val="single" w:color="000000" w:sz="2" w:space="0"/>
              <w:bottom w:val="single" w:color="000000" w:sz="2" w:space="0"/>
            </w:tcBorders>
            <w:vAlign w:val="top"/>
          </w:tcPr>
          <w:p w14:paraId="4D306860">
            <w:pPr>
              <w:pStyle w:val="6"/>
              <w:spacing w:before="35" w:line="217" w:lineRule="auto"/>
              <w:ind w:left="85"/>
              <w:rPr>
                <w:sz w:val="18"/>
                <w:szCs w:val="18"/>
              </w:rPr>
            </w:pPr>
            <w:r>
              <w:rPr>
                <w:spacing w:val="-3"/>
                <w:sz w:val="18"/>
                <w:szCs w:val="18"/>
              </w:rPr>
              <w:t>学前儿</w:t>
            </w:r>
          </w:p>
          <w:p w14:paraId="5A717EAB">
            <w:pPr>
              <w:pStyle w:val="6"/>
              <w:spacing w:line="202" w:lineRule="auto"/>
              <w:ind w:left="175"/>
              <w:rPr>
                <w:sz w:val="18"/>
                <w:szCs w:val="18"/>
              </w:rPr>
            </w:pPr>
            <w:r>
              <w:rPr>
                <w:spacing w:val="8"/>
                <w:sz w:val="18"/>
                <w:szCs w:val="18"/>
              </w:rPr>
              <w:t>童同</w:t>
            </w:r>
          </w:p>
          <w:p w14:paraId="34143230">
            <w:pPr>
              <w:pStyle w:val="6"/>
              <w:spacing w:line="193" w:lineRule="auto"/>
              <w:ind w:left="85"/>
              <w:rPr>
                <w:sz w:val="18"/>
                <w:szCs w:val="18"/>
              </w:rPr>
            </w:pPr>
            <w:r>
              <w:rPr>
                <w:spacing w:val="-2"/>
                <w:sz w:val="18"/>
                <w:szCs w:val="18"/>
              </w:rPr>
              <w:t>伴交往</w:t>
            </w:r>
          </w:p>
        </w:tc>
        <w:tc>
          <w:tcPr>
            <w:tcW w:w="2484" w:type="dxa"/>
            <w:tcBorders>
              <w:top w:val="single" w:color="000000" w:sz="2" w:space="0"/>
              <w:bottom w:val="single" w:color="000000" w:sz="2" w:space="0"/>
            </w:tcBorders>
            <w:vAlign w:val="top"/>
          </w:tcPr>
          <w:p w14:paraId="4FA1C915">
            <w:pPr>
              <w:pStyle w:val="6"/>
              <w:spacing w:before="45" w:line="219" w:lineRule="auto"/>
              <w:ind w:left="12"/>
              <w:rPr>
                <w:sz w:val="18"/>
                <w:szCs w:val="18"/>
              </w:rPr>
            </w:pPr>
            <w:r>
              <w:rPr>
                <w:sz w:val="18"/>
                <w:szCs w:val="18"/>
              </w:rPr>
              <w:t>1.同伴交往的作用及发展</w:t>
            </w:r>
          </w:p>
          <w:p w14:paraId="2888B446">
            <w:pPr>
              <w:pStyle w:val="6"/>
              <w:spacing w:before="15" w:line="195" w:lineRule="auto"/>
              <w:ind w:left="12" w:right="1010"/>
            </w:pPr>
            <w:r>
              <w:rPr>
                <w:spacing w:val="6"/>
              </w:rPr>
              <w:t>2.</w:t>
            </w:r>
            <w:r>
              <w:rPr>
                <w:spacing w:val="-49"/>
              </w:rPr>
              <w:t xml:space="preserve"> </w:t>
            </w:r>
            <w:r>
              <w:rPr>
                <w:spacing w:val="6"/>
              </w:rPr>
              <w:t>同伴交往的类型</w:t>
            </w:r>
            <w:r>
              <w:t xml:space="preserve"> </w:t>
            </w:r>
            <w:r>
              <w:rPr>
                <w:spacing w:val="5"/>
              </w:rPr>
              <w:t>3.</w:t>
            </w:r>
            <w:r>
              <w:rPr>
                <w:spacing w:val="-45"/>
              </w:rPr>
              <w:t xml:space="preserve"> </w:t>
            </w:r>
            <w:r>
              <w:rPr>
                <w:spacing w:val="5"/>
              </w:rPr>
              <w:t>同伴交往的促进</w:t>
            </w:r>
          </w:p>
        </w:tc>
        <w:tc>
          <w:tcPr>
            <w:tcW w:w="229" w:type="dxa"/>
            <w:tcBorders>
              <w:top w:val="single" w:color="000000" w:sz="2" w:space="0"/>
              <w:bottom w:val="single" w:color="000000" w:sz="2" w:space="0"/>
            </w:tcBorders>
            <w:vAlign w:val="top"/>
          </w:tcPr>
          <w:p w14:paraId="31B3C65C">
            <w:pPr>
              <w:rPr>
                <w:rFonts w:ascii="Arial"/>
                <w:sz w:val="21"/>
              </w:rPr>
            </w:pPr>
          </w:p>
        </w:tc>
        <w:tc>
          <w:tcPr>
            <w:tcW w:w="220" w:type="dxa"/>
            <w:tcBorders>
              <w:top w:val="single" w:color="000000" w:sz="2" w:space="0"/>
              <w:bottom w:val="single" w:color="000000" w:sz="2" w:space="0"/>
            </w:tcBorders>
            <w:vAlign w:val="top"/>
          </w:tcPr>
          <w:p w14:paraId="41110C7D">
            <w:pPr>
              <w:rPr>
                <w:rFonts w:ascii="Arial"/>
                <w:sz w:val="21"/>
              </w:rPr>
            </w:pPr>
          </w:p>
        </w:tc>
        <w:tc>
          <w:tcPr>
            <w:tcW w:w="240" w:type="dxa"/>
            <w:tcBorders>
              <w:top w:val="single" w:color="000000" w:sz="2" w:space="0"/>
              <w:bottom w:val="single" w:color="000000" w:sz="2" w:space="0"/>
            </w:tcBorders>
            <w:vAlign w:val="top"/>
          </w:tcPr>
          <w:p w14:paraId="1655FC5D">
            <w:pPr>
              <w:rPr>
                <w:rFonts w:ascii="Arial"/>
                <w:sz w:val="21"/>
              </w:rPr>
            </w:pPr>
          </w:p>
        </w:tc>
        <w:tc>
          <w:tcPr>
            <w:tcW w:w="214" w:type="dxa"/>
            <w:tcBorders>
              <w:top w:val="single" w:color="000000" w:sz="2" w:space="0"/>
              <w:bottom w:val="single" w:color="000000" w:sz="2" w:space="0"/>
            </w:tcBorders>
            <w:vAlign w:val="top"/>
          </w:tcPr>
          <w:p w14:paraId="1E2850F8">
            <w:pPr>
              <w:rPr>
                <w:rFonts w:ascii="Arial"/>
                <w:sz w:val="21"/>
              </w:rPr>
            </w:pPr>
          </w:p>
        </w:tc>
      </w:tr>
      <w:tr w14:paraId="1D262E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4" w:hRule="atLeast"/>
        </w:trPr>
        <w:tc>
          <w:tcPr>
            <w:tcW w:w="723" w:type="dxa"/>
            <w:tcBorders>
              <w:top w:val="single" w:color="000000" w:sz="2" w:space="0"/>
              <w:bottom w:val="single" w:color="000000" w:sz="2" w:space="0"/>
            </w:tcBorders>
            <w:vAlign w:val="top"/>
          </w:tcPr>
          <w:p w14:paraId="03F151EB">
            <w:pPr>
              <w:pStyle w:val="6"/>
              <w:spacing w:before="66" w:line="209" w:lineRule="auto"/>
              <w:ind w:left="175" w:right="161"/>
              <w:rPr>
                <w:sz w:val="18"/>
                <w:szCs w:val="18"/>
              </w:rPr>
            </w:pPr>
            <w:r>
              <w:rPr>
                <w:spacing w:val="5"/>
                <w:sz w:val="18"/>
                <w:szCs w:val="18"/>
              </w:rPr>
              <w:t>师幼</w:t>
            </w:r>
            <w:r>
              <w:rPr>
                <w:sz w:val="18"/>
                <w:szCs w:val="18"/>
              </w:rPr>
              <w:t xml:space="preserve"> </w:t>
            </w:r>
            <w:r>
              <w:rPr>
                <w:spacing w:val="8"/>
                <w:sz w:val="18"/>
                <w:szCs w:val="18"/>
              </w:rPr>
              <w:t>关系</w:t>
            </w:r>
          </w:p>
        </w:tc>
        <w:tc>
          <w:tcPr>
            <w:tcW w:w="2484" w:type="dxa"/>
            <w:tcBorders>
              <w:top w:val="single" w:color="000000" w:sz="2" w:space="0"/>
              <w:bottom w:val="single" w:color="000000" w:sz="2" w:space="0"/>
            </w:tcBorders>
            <w:vAlign w:val="top"/>
          </w:tcPr>
          <w:p w14:paraId="22B56FDC">
            <w:pPr>
              <w:pStyle w:val="6"/>
              <w:spacing w:before="66" w:line="219" w:lineRule="auto"/>
              <w:ind w:left="12"/>
              <w:rPr>
                <w:sz w:val="18"/>
                <w:szCs w:val="18"/>
              </w:rPr>
            </w:pPr>
            <w:r>
              <w:rPr>
                <w:sz w:val="18"/>
                <w:szCs w:val="18"/>
              </w:rPr>
              <w:t>1.影响师幼关系的因素</w:t>
            </w:r>
          </w:p>
          <w:p w14:paraId="39BB4B4E">
            <w:pPr>
              <w:pStyle w:val="6"/>
              <w:spacing w:before="5" w:line="193" w:lineRule="auto"/>
              <w:ind w:left="12"/>
              <w:rPr>
                <w:sz w:val="18"/>
                <w:szCs w:val="18"/>
              </w:rPr>
            </w:pPr>
            <w:r>
              <w:rPr>
                <w:spacing w:val="-1"/>
                <w:sz w:val="18"/>
                <w:szCs w:val="18"/>
              </w:rPr>
              <w:t>2.促进良好师幼关系的措施</w:t>
            </w:r>
          </w:p>
        </w:tc>
        <w:tc>
          <w:tcPr>
            <w:tcW w:w="229" w:type="dxa"/>
            <w:tcBorders>
              <w:top w:val="single" w:color="000000" w:sz="2" w:space="0"/>
              <w:bottom w:val="single" w:color="000000" w:sz="2" w:space="0"/>
            </w:tcBorders>
            <w:vAlign w:val="top"/>
          </w:tcPr>
          <w:p w14:paraId="67AA9DB5">
            <w:pPr>
              <w:rPr>
                <w:rFonts w:ascii="Arial"/>
                <w:sz w:val="21"/>
              </w:rPr>
            </w:pPr>
          </w:p>
        </w:tc>
        <w:tc>
          <w:tcPr>
            <w:tcW w:w="220" w:type="dxa"/>
            <w:tcBorders>
              <w:top w:val="single" w:color="000000" w:sz="2" w:space="0"/>
              <w:bottom w:val="single" w:color="000000" w:sz="2" w:space="0"/>
            </w:tcBorders>
            <w:vAlign w:val="top"/>
          </w:tcPr>
          <w:p w14:paraId="58D6442A">
            <w:pPr>
              <w:rPr>
                <w:rFonts w:ascii="Arial"/>
                <w:sz w:val="21"/>
              </w:rPr>
            </w:pPr>
          </w:p>
        </w:tc>
        <w:tc>
          <w:tcPr>
            <w:tcW w:w="240" w:type="dxa"/>
            <w:tcBorders>
              <w:top w:val="single" w:color="000000" w:sz="2" w:space="0"/>
              <w:bottom w:val="single" w:color="000000" w:sz="2" w:space="0"/>
            </w:tcBorders>
            <w:vAlign w:val="top"/>
          </w:tcPr>
          <w:p w14:paraId="72C353B7">
            <w:pPr>
              <w:rPr>
                <w:rFonts w:ascii="Arial"/>
                <w:sz w:val="21"/>
              </w:rPr>
            </w:pPr>
          </w:p>
        </w:tc>
        <w:tc>
          <w:tcPr>
            <w:tcW w:w="214" w:type="dxa"/>
            <w:tcBorders>
              <w:top w:val="single" w:color="000000" w:sz="2" w:space="0"/>
              <w:bottom w:val="single" w:color="000000" w:sz="2" w:space="0"/>
            </w:tcBorders>
            <w:vAlign w:val="top"/>
          </w:tcPr>
          <w:p w14:paraId="03EBBC85">
            <w:pPr>
              <w:rPr>
                <w:rFonts w:ascii="Arial"/>
                <w:sz w:val="21"/>
              </w:rPr>
            </w:pPr>
          </w:p>
        </w:tc>
      </w:tr>
      <w:tr w14:paraId="175F17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49" w:hRule="atLeast"/>
        </w:trPr>
        <w:tc>
          <w:tcPr>
            <w:tcW w:w="723" w:type="dxa"/>
            <w:tcBorders>
              <w:top w:val="single" w:color="000000" w:sz="2" w:space="0"/>
              <w:bottom w:val="single" w:color="000000" w:sz="2" w:space="0"/>
            </w:tcBorders>
            <w:vAlign w:val="top"/>
          </w:tcPr>
          <w:p w14:paraId="3B510083">
            <w:pPr>
              <w:spacing w:line="405" w:lineRule="auto"/>
              <w:rPr>
                <w:rFonts w:ascii="Arial"/>
                <w:sz w:val="21"/>
              </w:rPr>
            </w:pPr>
          </w:p>
          <w:p w14:paraId="250B4571">
            <w:pPr>
              <w:pStyle w:val="6"/>
              <w:spacing w:before="59" w:line="230" w:lineRule="auto"/>
              <w:ind w:left="85" w:right="94"/>
              <w:jc w:val="both"/>
              <w:rPr>
                <w:sz w:val="18"/>
                <w:szCs w:val="18"/>
              </w:rPr>
            </w:pPr>
            <w:r>
              <w:rPr>
                <w:spacing w:val="-4"/>
                <w:sz w:val="18"/>
                <w:szCs w:val="18"/>
              </w:rPr>
              <w:t>学前儿</w:t>
            </w:r>
            <w:r>
              <w:rPr>
                <w:sz w:val="18"/>
                <w:szCs w:val="18"/>
              </w:rPr>
              <w:t xml:space="preserve"> </w:t>
            </w:r>
            <w:r>
              <w:rPr>
                <w:spacing w:val="-3"/>
                <w:sz w:val="18"/>
                <w:szCs w:val="18"/>
              </w:rPr>
              <w:t>童亲社</w:t>
            </w:r>
            <w:r>
              <w:rPr>
                <w:sz w:val="18"/>
                <w:szCs w:val="18"/>
              </w:rPr>
              <w:t xml:space="preserve"> </w:t>
            </w:r>
            <w:r>
              <w:rPr>
                <w:spacing w:val="-3"/>
                <w:sz w:val="18"/>
                <w:szCs w:val="18"/>
              </w:rPr>
              <w:t>会行为</w:t>
            </w:r>
          </w:p>
        </w:tc>
        <w:tc>
          <w:tcPr>
            <w:tcW w:w="2484" w:type="dxa"/>
            <w:tcBorders>
              <w:top w:val="single" w:color="000000" w:sz="2" w:space="0"/>
              <w:bottom w:val="single" w:color="000000" w:sz="2" w:space="0"/>
            </w:tcBorders>
            <w:vAlign w:val="top"/>
          </w:tcPr>
          <w:p w14:paraId="42E5DA59">
            <w:pPr>
              <w:pStyle w:val="6"/>
              <w:spacing w:before="35" w:line="226" w:lineRule="auto"/>
              <w:ind w:left="12" w:right="113"/>
              <w:rPr>
                <w:sz w:val="18"/>
                <w:szCs w:val="18"/>
              </w:rPr>
            </w:pPr>
            <w:r>
              <w:rPr>
                <w:sz w:val="18"/>
                <w:szCs w:val="18"/>
              </w:rPr>
              <w:t>1.亲社会行为的含义及其发生</w:t>
            </w:r>
            <w:r>
              <w:rPr>
                <w:spacing w:val="7"/>
                <w:sz w:val="18"/>
                <w:szCs w:val="18"/>
              </w:rPr>
              <w:t xml:space="preserve"> </w:t>
            </w:r>
            <w:r>
              <w:rPr>
                <w:spacing w:val="-1"/>
                <w:sz w:val="18"/>
                <w:szCs w:val="18"/>
              </w:rPr>
              <w:t>2.亲社会行为的影响因素</w:t>
            </w:r>
          </w:p>
          <w:p w14:paraId="126F0372">
            <w:pPr>
              <w:pStyle w:val="6"/>
              <w:spacing w:line="218" w:lineRule="auto"/>
              <w:ind w:left="12"/>
              <w:rPr>
                <w:sz w:val="18"/>
                <w:szCs w:val="18"/>
              </w:rPr>
            </w:pPr>
            <w:r>
              <w:rPr>
                <w:spacing w:val="-1"/>
                <w:sz w:val="18"/>
                <w:szCs w:val="18"/>
              </w:rPr>
              <w:t>3.亲社会行为的培养</w:t>
            </w:r>
          </w:p>
          <w:p w14:paraId="057B479C">
            <w:pPr>
              <w:pStyle w:val="6"/>
              <w:spacing w:before="28" w:line="215" w:lineRule="auto"/>
              <w:ind w:left="12" w:right="128"/>
              <w:rPr>
                <w:sz w:val="18"/>
                <w:szCs w:val="18"/>
              </w:rPr>
            </w:pPr>
            <w:r>
              <w:rPr>
                <w:spacing w:val="-1"/>
                <w:sz w:val="18"/>
                <w:szCs w:val="18"/>
              </w:rPr>
              <w:t>4.攻击行为的含义及幼儿发展</w:t>
            </w:r>
            <w:r>
              <w:rPr>
                <w:spacing w:val="6"/>
                <w:sz w:val="18"/>
                <w:szCs w:val="18"/>
              </w:rPr>
              <w:t xml:space="preserve"> </w:t>
            </w:r>
            <w:r>
              <w:rPr>
                <w:spacing w:val="8"/>
                <w:sz w:val="18"/>
                <w:szCs w:val="18"/>
              </w:rPr>
              <w:t>特点</w:t>
            </w:r>
          </w:p>
          <w:p w14:paraId="5E47D9E3">
            <w:pPr>
              <w:pStyle w:val="6"/>
              <w:spacing w:line="206" w:lineRule="auto"/>
              <w:ind w:left="12" w:right="672"/>
              <w:rPr>
                <w:sz w:val="18"/>
                <w:szCs w:val="18"/>
              </w:rPr>
            </w:pPr>
            <w:r>
              <w:rPr>
                <w:spacing w:val="-1"/>
                <w:sz w:val="18"/>
                <w:szCs w:val="18"/>
              </w:rPr>
              <w:t>5.攻击行为的影响因素</w:t>
            </w:r>
            <w:r>
              <w:rPr>
                <w:sz w:val="18"/>
                <w:szCs w:val="18"/>
              </w:rPr>
              <w:t xml:space="preserve"> </w:t>
            </w:r>
            <w:r>
              <w:rPr>
                <w:spacing w:val="-1"/>
                <w:sz w:val="18"/>
                <w:szCs w:val="18"/>
              </w:rPr>
              <w:t>6.攻击行为的矫正</w:t>
            </w:r>
          </w:p>
        </w:tc>
        <w:tc>
          <w:tcPr>
            <w:tcW w:w="229" w:type="dxa"/>
            <w:tcBorders>
              <w:top w:val="single" w:color="000000" w:sz="2" w:space="0"/>
              <w:bottom w:val="single" w:color="000000" w:sz="2" w:space="0"/>
            </w:tcBorders>
            <w:vAlign w:val="top"/>
          </w:tcPr>
          <w:p w14:paraId="2520E2E7">
            <w:pPr>
              <w:rPr>
                <w:rFonts w:ascii="Arial"/>
                <w:sz w:val="21"/>
              </w:rPr>
            </w:pPr>
          </w:p>
        </w:tc>
        <w:tc>
          <w:tcPr>
            <w:tcW w:w="220" w:type="dxa"/>
            <w:tcBorders>
              <w:top w:val="single" w:color="000000" w:sz="2" w:space="0"/>
              <w:bottom w:val="single" w:color="000000" w:sz="2" w:space="0"/>
            </w:tcBorders>
            <w:vAlign w:val="top"/>
          </w:tcPr>
          <w:p w14:paraId="146C968F">
            <w:pPr>
              <w:spacing w:line="281" w:lineRule="auto"/>
              <w:rPr>
                <w:rFonts w:ascii="Arial"/>
                <w:sz w:val="21"/>
              </w:rPr>
            </w:pPr>
          </w:p>
          <w:p w14:paraId="4C40E7B6">
            <w:pPr>
              <w:spacing w:line="131" w:lineRule="exact"/>
              <w:ind w:left="43"/>
            </w:pPr>
            <w:r>
              <w:rPr>
                <w:position w:val="-3"/>
              </w:rPr>
              <w:drawing>
                <wp:inline distT="0" distB="0" distL="0" distR="0">
                  <wp:extent cx="82550" cy="82550"/>
                  <wp:effectExtent l="0" t="0" r="0" b="0"/>
                  <wp:docPr id="404" name="IM 404"/>
                  <wp:cNvGraphicFramePr/>
                  <a:graphic xmlns:a="http://schemas.openxmlformats.org/drawingml/2006/main">
                    <a:graphicData uri="http://schemas.openxmlformats.org/drawingml/2006/picture">
                      <pic:pic xmlns:pic="http://schemas.openxmlformats.org/drawingml/2006/picture">
                        <pic:nvPicPr>
                          <pic:cNvPr id="404" name="IM 404"/>
                          <pic:cNvPicPr/>
                        </pic:nvPicPr>
                        <pic:blipFill>
                          <a:blip r:embed="rId366"/>
                          <a:stretch>
                            <a:fillRect/>
                          </a:stretch>
                        </pic:blipFill>
                        <pic:spPr>
                          <a:xfrm>
                            <a:off x="0" y="0"/>
                            <a:ext cx="82984" cy="82970"/>
                          </a:xfrm>
                          <a:prstGeom prst="rect">
                            <a:avLst/>
                          </a:prstGeom>
                        </pic:spPr>
                      </pic:pic>
                    </a:graphicData>
                  </a:graphic>
                </wp:inline>
              </w:drawing>
            </w:r>
          </w:p>
          <w:p w14:paraId="3156DC00">
            <w:pPr>
              <w:spacing w:line="324" w:lineRule="auto"/>
              <w:rPr>
                <w:rFonts w:ascii="Arial"/>
                <w:sz w:val="21"/>
              </w:rPr>
            </w:pPr>
          </w:p>
          <w:p w14:paraId="01824F17">
            <w:pPr>
              <w:spacing w:line="324" w:lineRule="auto"/>
              <w:rPr>
                <w:rFonts w:ascii="Arial"/>
                <w:sz w:val="21"/>
              </w:rPr>
            </w:pPr>
          </w:p>
          <w:p w14:paraId="0893F28B">
            <w:pPr>
              <w:pStyle w:val="6"/>
              <w:spacing w:before="59" w:line="238" w:lineRule="auto"/>
              <w:ind w:left="19"/>
              <w:rPr>
                <w:sz w:val="18"/>
                <w:szCs w:val="18"/>
              </w:rPr>
            </w:pPr>
            <w:r>
              <w:rPr>
                <w:sz w:val="18"/>
                <w:szCs w:val="18"/>
              </w:rPr>
              <w:t>√</w:t>
            </w:r>
          </w:p>
        </w:tc>
        <w:tc>
          <w:tcPr>
            <w:tcW w:w="240" w:type="dxa"/>
            <w:tcBorders>
              <w:top w:val="single" w:color="000000" w:sz="2" w:space="0"/>
              <w:bottom w:val="single" w:color="000000" w:sz="2" w:space="0"/>
            </w:tcBorders>
            <w:vAlign w:val="top"/>
          </w:tcPr>
          <w:p w14:paraId="11528DE7">
            <w:pPr>
              <w:rPr>
                <w:rFonts w:ascii="Arial"/>
                <w:sz w:val="21"/>
              </w:rPr>
            </w:pPr>
          </w:p>
        </w:tc>
        <w:tc>
          <w:tcPr>
            <w:tcW w:w="214" w:type="dxa"/>
            <w:tcBorders>
              <w:top w:val="single" w:color="000000" w:sz="2" w:space="0"/>
              <w:bottom w:val="single" w:color="000000" w:sz="2" w:space="0"/>
            </w:tcBorders>
            <w:vAlign w:val="top"/>
          </w:tcPr>
          <w:p w14:paraId="6617E2B3">
            <w:pPr>
              <w:rPr>
                <w:rFonts w:ascii="Arial"/>
                <w:sz w:val="21"/>
              </w:rPr>
            </w:pPr>
          </w:p>
        </w:tc>
      </w:tr>
    </w:tbl>
    <w:p w14:paraId="48AB84DC">
      <w:pPr>
        <w:pStyle w:val="2"/>
        <w:spacing w:line="14" w:lineRule="auto"/>
        <w:rPr>
          <w:sz w:val="2"/>
        </w:rPr>
      </w:pPr>
    </w:p>
    <w:p w14:paraId="320709B3">
      <w:pPr>
        <w:spacing w:line="14" w:lineRule="auto"/>
        <w:rPr>
          <w:sz w:val="2"/>
          <w:szCs w:val="2"/>
        </w:rPr>
        <w:sectPr>
          <w:type w:val="continuous"/>
          <w:pgSz w:w="10660" w:h="15080"/>
          <w:pgMar w:top="400" w:right="885" w:bottom="925" w:left="1024" w:header="0" w:footer="705" w:gutter="0"/>
          <w:cols w:equalWidth="0" w:num="2">
            <w:col w:w="4501" w:space="100"/>
            <w:col w:w="4150"/>
          </w:cols>
        </w:sectPr>
      </w:pPr>
    </w:p>
    <w:p w14:paraId="6768A3AE">
      <w:pPr>
        <w:spacing w:before="10"/>
      </w:pPr>
    </w:p>
    <w:p w14:paraId="4E3646BF">
      <w:pPr>
        <w:spacing w:before="10"/>
      </w:pPr>
    </w:p>
    <w:p w14:paraId="0DB6C892">
      <w:pPr>
        <w:spacing w:before="10"/>
      </w:pPr>
    </w:p>
    <w:p w14:paraId="0646D99C">
      <w:pPr>
        <w:spacing w:before="9"/>
      </w:pPr>
    </w:p>
    <w:p w14:paraId="09F3D86D">
      <w:pPr>
        <w:sectPr>
          <w:footerReference r:id="rId84" w:type="default"/>
          <w:pgSz w:w="10660" w:h="15080"/>
          <w:pgMar w:top="400" w:right="1024" w:bottom="927" w:left="819" w:header="0" w:footer="719" w:gutter="0"/>
          <w:cols w:equalWidth="0" w:num="1">
            <w:col w:w="8816"/>
          </w:cols>
        </w:sectPr>
      </w:pPr>
    </w:p>
    <w:p w14:paraId="553E0658">
      <w:pPr>
        <w:spacing w:line="101" w:lineRule="auto"/>
        <w:rPr>
          <w:rFonts w:ascii="Arial"/>
          <w:sz w:val="2"/>
        </w:rPr>
      </w:pPr>
    </w:p>
    <w:tbl>
      <w:tblPr>
        <w:tblStyle w:val="5"/>
        <w:tblW w:w="4130"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43"/>
        <w:gridCol w:w="2484"/>
        <w:gridCol w:w="230"/>
        <w:gridCol w:w="229"/>
        <w:gridCol w:w="220"/>
        <w:gridCol w:w="224"/>
      </w:tblGrid>
      <w:tr w14:paraId="3816A8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4" w:hRule="atLeast"/>
        </w:trPr>
        <w:tc>
          <w:tcPr>
            <w:tcW w:w="743" w:type="dxa"/>
            <w:vMerge w:val="restart"/>
            <w:tcBorders>
              <w:bottom w:val="nil"/>
            </w:tcBorders>
            <w:vAlign w:val="top"/>
          </w:tcPr>
          <w:p w14:paraId="76B1AB0E">
            <w:pPr>
              <w:pStyle w:val="6"/>
              <w:spacing w:before="21" w:line="211" w:lineRule="auto"/>
              <w:ind w:left="97" w:right="6" w:hanging="80"/>
              <w:rPr>
                <w:sz w:val="18"/>
                <w:szCs w:val="18"/>
              </w:rPr>
            </w:pPr>
            <w:r>
              <w:rPr>
                <w:b/>
                <w:bCs/>
                <w:spacing w:val="-5"/>
                <w:sz w:val="18"/>
                <w:szCs w:val="18"/>
              </w:rPr>
              <w:t>知识与技</w:t>
            </w:r>
            <w:r>
              <w:rPr>
                <w:sz w:val="18"/>
                <w:szCs w:val="18"/>
              </w:rPr>
              <w:t xml:space="preserve"> </w:t>
            </w:r>
            <w:r>
              <w:rPr>
                <w:b/>
                <w:bCs/>
                <w:spacing w:val="1"/>
                <w:sz w:val="18"/>
                <w:szCs w:val="18"/>
              </w:rPr>
              <w:t>能要点</w:t>
            </w:r>
          </w:p>
        </w:tc>
        <w:tc>
          <w:tcPr>
            <w:tcW w:w="2484" w:type="dxa"/>
            <w:vMerge w:val="restart"/>
            <w:tcBorders>
              <w:bottom w:val="nil"/>
            </w:tcBorders>
            <w:vAlign w:val="top"/>
          </w:tcPr>
          <w:p w14:paraId="7A63FF6C">
            <w:pPr>
              <w:pStyle w:val="6"/>
              <w:spacing w:before="129" w:line="219" w:lineRule="auto"/>
              <w:ind w:left="924"/>
              <w:rPr>
                <w:sz w:val="18"/>
                <w:szCs w:val="18"/>
              </w:rPr>
            </w:pPr>
            <w:r>
              <w:rPr>
                <w:b/>
                <w:bCs/>
                <w:spacing w:val="5"/>
                <w:sz w:val="18"/>
                <w:szCs w:val="18"/>
              </w:rPr>
              <w:t>考试条目</w:t>
            </w:r>
          </w:p>
        </w:tc>
        <w:tc>
          <w:tcPr>
            <w:tcW w:w="903" w:type="dxa"/>
            <w:gridSpan w:val="4"/>
            <w:vAlign w:val="top"/>
          </w:tcPr>
          <w:p w14:paraId="66C109D4">
            <w:pPr>
              <w:pStyle w:val="6"/>
              <w:spacing w:before="29" w:line="199" w:lineRule="auto"/>
              <w:ind w:left="110"/>
              <w:rPr>
                <w:sz w:val="18"/>
                <w:szCs w:val="18"/>
              </w:rPr>
            </w:pPr>
            <w:r>
              <w:rPr>
                <w:b/>
                <w:bCs/>
                <w:spacing w:val="-4"/>
                <w:sz w:val="18"/>
                <w:szCs w:val="18"/>
              </w:rPr>
              <w:t>考试水平</w:t>
            </w:r>
          </w:p>
        </w:tc>
      </w:tr>
      <w:tr w14:paraId="609B87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99" w:hRule="atLeast"/>
        </w:trPr>
        <w:tc>
          <w:tcPr>
            <w:tcW w:w="743" w:type="dxa"/>
            <w:vMerge w:val="continue"/>
            <w:tcBorders>
              <w:top w:val="nil"/>
            </w:tcBorders>
            <w:vAlign w:val="top"/>
          </w:tcPr>
          <w:p w14:paraId="7EDE6F27">
            <w:pPr>
              <w:rPr>
                <w:rFonts w:ascii="Arial"/>
                <w:sz w:val="21"/>
              </w:rPr>
            </w:pPr>
          </w:p>
        </w:tc>
        <w:tc>
          <w:tcPr>
            <w:tcW w:w="2484" w:type="dxa"/>
            <w:vMerge w:val="continue"/>
            <w:tcBorders>
              <w:top w:val="nil"/>
            </w:tcBorders>
            <w:vAlign w:val="top"/>
          </w:tcPr>
          <w:p w14:paraId="56EC25CD">
            <w:pPr>
              <w:rPr>
                <w:rFonts w:ascii="Arial"/>
                <w:sz w:val="21"/>
              </w:rPr>
            </w:pPr>
          </w:p>
        </w:tc>
        <w:tc>
          <w:tcPr>
            <w:tcW w:w="230" w:type="dxa"/>
            <w:vAlign w:val="top"/>
          </w:tcPr>
          <w:p w14:paraId="3E7F4960">
            <w:pPr>
              <w:pStyle w:val="6"/>
              <w:spacing w:before="43" w:line="146" w:lineRule="exact"/>
              <w:ind w:left="70"/>
              <w:rPr>
                <w:sz w:val="18"/>
                <w:szCs w:val="18"/>
              </w:rPr>
            </w:pPr>
            <w:r>
              <w:rPr>
                <w:b/>
                <w:bCs/>
                <w:spacing w:val="-2"/>
                <w:position w:val="-2"/>
                <w:sz w:val="18"/>
                <w:szCs w:val="18"/>
              </w:rPr>
              <w:t>A</w:t>
            </w:r>
          </w:p>
        </w:tc>
        <w:tc>
          <w:tcPr>
            <w:tcW w:w="229" w:type="dxa"/>
            <w:vAlign w:val="top"/>
          </w:tcPr>
          <w:p w14:paraId="7059459F">
            <w:pPr>
              <w:pStyle w:val="6"/>
              <w:spacing w:before="46" w:line="143" w:lineRule="exact"/>
              <w:ind w:left="20"/>
              <w:rPr>
                <w:sz w:val="18"/>
                <w:szCs w:val="18"/>
              </w:rPr>
            </w:pPr>
            <w:r>
              <w:rPr>
                <w:b/>
                <w:bCs/>
                <w:spacing w:val="-2"/>
                <w:position w:val="-2"/>
                <w:sz w:val="18"/>
                <w:szCs w:val="18"/>
              </w:rPr>
              <w:t>B</w:t>
            </w:r>
          </w:p>
        </w:tc>
        <w:tc>
          <w:tcPr>
            <w:tcW w:w="220" w:type="dxa"/>
            <w:vAlign w:val="top"/>
          </w:tcPr>
          <w:p w14:paraId="479A04BE">
            <w:pPr>
              <w:pStyle w:val="6"/>
              <w:spacing w:before="44" w:line="145" w:lineRule="exact"/>
              <w:ind w:left="48"/>
              <w:rPr>
                <w:sz w:val="18"/>
                <w:szCs w:val="18"/>
              </w:rPr>
            </w:pPr>
            <w:r>
              <w:rPr>
                <w:position w:val="-2"/>
                <w:sz w:val="18"/>
                <w:szCs w:val="18"/>
              </w:rPr>
              <w:t>C</w:t>
            </w:r>
          </w:p>
        </w:tc>
        <w:tc>
          <w:tcPr>
            <w:tcW w:w="224" w:type="dxa"/>
            <w:vAlign w:val="top"/>
          </w:tcPr>
          <w:p w14:paraId="37BE0EF4">
            <w:pPr>
              <w:pStyle w:val="6"/>
              <w:spacing w:before="46" w:line="143" w:lineRule="exact"/>
              <w:ind w:left="61"/>
              <w:rPr>
                <w:sz w:val="18"/>
                <w:szCs w:val="18"/>
              </w:rPr>
            </w:pPr>
            <w:r>
              <w:rPr>
                <w:b/>
                <w:bCs/>
                <w:spacing w:val="-2"/>
                <w:position w:val="-2"/>
                <w:sz w:val="18"/>
                <w:szCs w:val="18"/>
              </w:rPr>
              <w:t>D</w:t>
            </w:r>
          </w:p>
        </w:tc>
      </w:tr>
      <w:tr w14:paraId="2DC8C2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45" w:hRule="atLeast"/>
        </w:trPr>
        <w:tc>
          <w:tcPr>
            <w:tcW w:w="743" w:type="dxa"/>
            <w:vAlign w:val="top"/>
          </w:tcPr>
          <w:p w14:paraId="237AFC50">
            <w:pPr>
              <w:pStyle w:val="6"/>
              <w:spacing w:before="279" w:line="219" w:lineRule="auto"/>
              <w:ind w:left="94"/>
              <w:rPr>
                <w:sz w:val="18"/>
                <w:szCs w:val="18"/>
              </w:rPr>
            </w:pPr>
            <w:r>
              <w:rPr>
                <w:spacing w:val="-3"/>
                <w:sz w:val="18"/>
                <w:szCs w:val="18"/>
              </w:rPr>
              <w:t>学前儿</w:t>
            </w:r>
          </w:p>
          <w:p w14:paraId="24C9E235">
            <w:pPr>
              <w:pStyle w:val="6"/>
              <w:spacing w:before="12" w:line="220" w:lineRule="auto"/>
              <w:ind w:left="184"/>
              <w:rPr>
                <w:sz w:val="18"/>
                <w:szCs w:val="18"/>
              </w:rPr>
            </w:pPr>
            <w:r>
              <w:rPr>
                <w:spacing w:val="-3"/>
                <w:sz w:val="18"/>
                <w:szCs w:val="18"/>
              </w:rPr>
              <w:t>童道</w:t>
            </w:r>
          </w:p>
          <w:p w14:paraId="7DE7101D">
            <w:pPr>
              <w:pStyle w:val="6"/>
              <w:spacing w:line="220" w:lineRule="auto"/>
              <w:ind w:left="94"/>
              <w:rPr>
                <w:sz w:val="18"/>
                <w:szCs w:val="18"/>
              </w:rPr>
            </w:pPr>
            <w:r>
              <w:rPr>
                <w:spacing w:val="-2"/>
                <w:sz w:val="18"/>
                <w:szCs w:val="18"/>
              </w:rPr>
              <w:t>德发展</w:t>
            </w:r>
          </w:p>
        </w:tc>
        <w:tc>
          <w:tcPr>
            <w:tcW w:w="2484" w:type="dxa"/>
            <w:vAlign w:val="top"/>
          </w:tcPr>
          <w:p w14:paraId="77188B9E">
            <w:pPr>
              <w:pStyle w:val="6"/>
              <w:spacing w:before="20" w:line="230" w:lineRule="auto"/>
              <w:ind w:left="11" w:right="128"/>
              <w:jc w:val="both"/>
              <w:rPr>
                <w:sz w:val="18"/>
                <w:szCs w:val="18"/>
              </w:rPr>
            </w:pPr>
            <w:r>
              <w:rPr>
                <w:sz w:val="18"/>
                <w:szCs w:val="18"/>
              </w:rPr>
              <w:t>1.道德认知的发展(皮亚杰的</w:t>
            </w:r>
            <w:r>
              <w:rPr>
                <w:spacing w:val="12"/>
                <w:sz w:val="18"/>
                <w:szCs w:val="18"/>
              </w:rPr>
              <w:t xml:space="preserve"> </w:t>
            </w:r>
            <w:r>
              <w:rPr>
                <w:spacing w:val="-1"/>
                <w:sz w:val="18"/>
                <w:szCs w:val="18"/>
              </w:rPr>
              <w:t>道德认知发展理论、柯尔伯格</w:t>
            </w:r>
            <w:r>
              <w:rPr>
                <w:spacing w:val="5"/>
                <w:sz w:val="18"/>
                <w:szCs w:val="18"/>
              </w:rPr>
              <w:t xml:space="preserve"> 的前习俗水平)</w:t>
            </w:r>
          </w:p>
          <w:p w14:paraId="1D0078F7">
            <w:pPr>
              <w:pStyle w:val="6"/>
              <w:spacing w:before="5" w:line="222" w:lineRule="auto"/>
              <w:ind w:left="11" w:right="311"/>
              <w:rPr>
                <w:sz w:val="18"/>
                <w:szCs w:val="18"/>
              </w:rPr>
            </w:pPr>
            <w:r>
              <w:rPr>
                <w:spacing w:val="-1"/>
                <w:sz w:val="18"/>
                <w:szCs w:val="18"/>
              </w:rPr>
              <w:t>2.促进道德认知发展的策略</w:t>
            </w:r>
            <w:r>
              <w:rPr>
                <w:spacing w:val="2"/>
                <w:sz w:val="18"/>
                <w:szCs w:val="18"/>
              </w:rPr>
              <w:t xml:space="preserve"> </w:t>
            </w:r>
            <w:r>
              <w:rPr>
                <w:spacing w:val="-1"/>
                <w:sz w:val="18"/>
                <w:szCs w:val="18"/>
              </w:rPr>
              <w:t>3.促进道德行为发展的策略</w:t>
            </w:r>
          </w:p>
        </w:tc>
        <w:tc>
          <w:tcPr>
            <w:tcW w:w="230" w:type="dxa"/>
            <w:vAlign w:val="top"/>
          </w:tcPr>
          <w:p w14:paraId="141CA46F">
            <w:pPr>
              <w:rPr>
                <w:rFonts w:ascii="Arial"/>
                <w:sz w:val="21"/>
              </w:rPr>
            </w:pPr>
          </w:p>
        </w:tc>
        <w:tc>
          <w:tcPr>
            <w:tcW w:w="229" w:type="dxa"/>
            <w:vAlign w:val="top"/>
          </w:tcPr>
          <w:p w14:paraId="59728BE6">
            <w:pPr>
              <w:pStyle w:val="6"/>
              <w:spacing w:before="49" w:line="238" w:lineRule="auto"/>
              <w:ind w:left="17"/>
              <w:rPr>
                <w:sz w:val="12"/>
                <w:szCs w:val="12"/>
              </w:rPr>
            </w:pPr>
            <w:r>
              <w:rPr>
                <w:sz w:val="12"/>
                <w:szCs w:val="12"/>
              </w:rPr>
              <w:t>√</w:t>
            </w:r>
          </w:p>
        </w:tc>
        <w:tc>
          <w:tcPr>
            <w:tcW w:w="220" w:type="dxa"/>
            <w:vAlign w:val="top"/>
          </w:tcPr>
          <w:p w14:paraId="37BF449C">
            <w:pPr>
              <w:rPr>
                <w:rFonts w:ascii="Arial"/>
                <w:sz w:val="21"/>
              </w:rPr>
            </w:pPr>
          </w:p>
        </w:tc>
        <w:tc>
          <w:tcPr>
            <w:tcW w:w="224" w:type="dxa"/>
            <w:vAlign w:val="top"/>
          </w:tcPr>
          <w:p w14:paraId="0AAB6903">
            <w:pPr>
              <w:pStyle w:val="6"/>
              <w:spacing w:before="59" w:line="238" w:lineRule="auto"/>
              <w:ind w:left="48"/>
              <w:rPr>
                <w:sz w:val="12"/>
                <w:szCs w:val="12"/>
              </w:rPr>
            </w:pPr>
            <w:r>
              <w:rPr>
                <w:sz w:val="12"/>
                <w:szCs w:val="12"/>
              </w:rPr>
              <w:t>√</w:t>
            </w:r>
          </w:p>
        </w:tc>
      </w:tr>
      <w:tr w14:paraId="65F309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12" w:hRule="atLeast"/>
        </w:trPr>
        <w:tc>
          <w:tcPr>
            <w:tcW w:w="743" w:type="dxa"/>
            <w:vAlign w:val="top"/>
          </w:tcPr>
          <w:p w14:paraId="08745A50">
            <w:pPr>
              <w:pStyle w:val="6"/>
              <w:spacing w:before="103" w:line="231" w:lineRule="auto"/>
              <w:ind w:left="94" w:right="107"/>
              <w:jc w:val="right"/>
              <w:rPr>
                <w:sz w:val="18"/>
                <w:szCs w:val="18"/>
              </w:rPr>
            </w:pPr>
            <w:r>
              <w:rPr>
                <w:spacing w:val="-4"/>
                <w:sz w:val="18"/>
                <w:szCs w:val="18"/>
              </w:rPr>
              <w:t>学前儿</w:t>
            </w:r>
            <w:r>
              <w:rPr>
                <w:sz w:val="18"/>
                <w:szCs w:val="18"/>
              </w:rPr>
              <w:t xml:space="preserve"> </w:t>
            </w:r>
            <w:r>
              <w:rPr>
                <w:spacing w:val="40"/>
                <w:sz w:val="18"/>
                <w:szCs w:val="18"/>
              </w:rPr>
              <w:t>童性</w:t>
            </w:r>
            <w:r>
              <w:rPr>
                <w:sz w:val="18"/>
                <w:szCs w:val="18"/>
              </w:rPr>
              <w:t xml:space="preserve">  </w:t>
            </w:r>
            <w:r>
              <w:rPr>
                <w:spacing w:val="-4"/>
                <w:sz w:val="18"/>
                <w:szCs w:val="18"/>
              </w:rPr>
              <w:t>别发展</w:t>
            </w:r>
          </w:p>
        </w:tc>
        <w:tc>
          <w:tcPr>
            <w:tcW w:w="2484" w:type="dxa"/>
            <w:vAlign w:val="top"/>
          </w:tcPr>
          <w:p w14:paraId="6DCBD40A">
            <w:pPr>
              <w:pStyle w:val="6"/>
              <w:spacing w:before="115" w:line="220" w:lineRule="auto"/>
              <w:ind w:left="11"/>
              <w:rPr>
                <w:sz w:val="18"/>
                <w:szCs w:val="18"/>
              </w:rPr>
            </w:pPr>
            <w:r>
              <w:rPr>
                <w:spacing w:val="1"/>
                <w:sz w:val="18"/>
                <w:szCs w:val="18"/>
              </w:rPr>
              <w:t>1.性别认同的发展</w:t>
            </w:r>
          </w:p>
          <w:p w14:paraId="5CE7AA27">
            <w:pPr>
              <w:pStyle w:val="6"/>
              <w:spacing w:before="3" w:line="223" w:lineRule="auto"/>
              <w:ind w:left="11" w:right="671"/>
              <w:rPr>
                <w:sz w:val="18"/>
                <w:szCs w:val="18"/>
              </w:rPr>
            </w:pPr>
            <w:r>
              <w:rPr>
                <w:spacing w:val="-1"/>
                <w:sz w:val="18"/>
                <w:szCs w:val="18"/>
              </w:rPr>
              <w:t>2.性别角色行为的发展</w:t>
            </w:r>
            <w:r>
              <w:rPr>
                <w:sz w:val="18"/>
                <w:szCs w:val="18"/>
              </w:rPr>
              <w:t xml:space="preserve"> </w:t>
            </w:r>
            <w:r>
              <w:rPr>
                <w:spacing w:val="-2"/>
                <w:sz w:val="18"/>
                <w:szCs w:val="18"/>
              </w:rPr>
              <w:t>3.性别意识的培养</w:t>
            </w:r>
          </w:p>
        </w:tc>
        <w:tc>
          <w:tcPr>
            <w:tcW w:w="230" w:type="dxa"/>
            <w:vAlign w:val="top"/>
          </w:tcPr>
          <w:p w14:paraId="38E675D1">
            <w:pPr>
              <w:pStyle w:val="6"/>
              <w:spacing w:before="152" w:line="333" w:lineRule="auto"/>
              <w:ind w:left="18" w:right="73"/>
              <w:rPr>
                <w:sz w:val="18"/>
                <w:szCs w:val="18"/>
              </w:rPr>
            </w:pPr>
            <w:r>
              <w:rPr>
                <w:spacing w:val="-52"/>
                <w:sz w:val="18"/>
                <w:szCs w:val="18"/>
              </w:rPr>
              <w:t>√</w:t>
            </w:r>
            <w:r>
              <w:rPr>
                <w:sz w:val="18"/>
                <w:szCs w:val="18"/>
              </w:rPr>
              <w:t xml:space="preserve"> </w:t>
            </w:r>
            <w:r>
              <w:rPr>
                <w:spacing w:val="-52"/>
                <w:sz w:val="18"/>
                <w:szCs w:val="18"/>
              </w:rPr>
              <w:t>√</w:t>
            </w:r>
          </w:p>
        </w:tc>
        <w:tc>
          <w:tcPr>
            <w:tcW w:w="229" w:type="dxa"/>
            <w:vAlign w:val="top"/>
          </w:tcPr>
          <w:p w14:paraId="0FF1C6C7">
            <w:pPr>
              <w:rPr>
                <w:rFonts w:ascii="Arial"/>
                <w:sz w:val="21"/>
              </w:rPr>
            </w:pPr>
          </w:p>
        </w:tc>
        <w:tc>
          <w:tcPr>
            <w:tcW w:w="220" w:type="dxa"/>
            <w:vAlign w:val="top"/>
          </w:tcPr>
          <w:p w14:paraId="08264FA5">
            <w:pPr>
              <w:spacing w:line="265" w:lineRule="auto"/>
              <w:rPr>
                <w:rFonts w:ascii="Arial"/>
                <w:sz w:val="21"/>
              </w:rPr>
            </w:pPr>
          </w:p>
          <w:p w14:paraId="77D7CAF5">
            <w:pPr>
              <w:spacing w:line="266" w:lineRule="auto"/>
              <w:rPr>
                <w:rFonts w:ascii="Arial"/>
                <w:sz w:val="21"/>
              </w:rPr>
            </w:pPr>
          </w:p>
          <w:p w14:paraId="18FA1A5A">
            <w:pPr>
              <w:pStyle w:val="6"/>
              <w:spacing w:before="39" w:line="238" w:lineRule="auto"/>
              <w:ind w:left="18"/>
              <w:rPr>
                <w:sz w:val="12"/>
                <w:szCs w:val="12"/>
              </w:rPr>
            </w:pPr>
            <w:r>
              <w:rPr>
                <w:sz w:val="12"/>
                <w:szCs w:val="12"/>
              </w:rPr>
              <w:t>√</w:t>
            </w:r>
          </w:p>
        </w:tc>
        <w:tc>
          <w:tcPr>
            <w:tcW w:w="224" w:type="dxa"/>
            <w:vAlign w:val="top"/>
          </w:tcPr>
          <w:p w14:paraId="237A9886">
            <w:pPr>
              <w:rPr>
                <w:rFonts w:ascii="Arial"/>
                <w:sz w:val="21"/>
              </w:rPr>
            </w:pPr>
          </w:p>
        </w:tc>
      </w:tr>
    </w:tbl>
    <w:p w14:paraId="4640518F">
      <w:pPr>
        <w:spacing w:before="169" w:line="221" w:lineRule="auto"/>
        <w:ind w:left="73"/>
        <w:rPr>
          <w:rFonts w:ascii="黑体" w:hAnsi="黑体" w:eastAsia="黑体" w:cs="黑体"/>
          <w:sz w:val="23"/>
          <w:szCs w:val="23"/>
        </w:rPr>
      </w:pPr>
      <w:r>
        <w:rPr>
          <w:rFonts w:ascii="黑体" w:hAnsi="黑体" w:eastAsia="黑体" w:cs="黑体"/>
          <w:b/>
          <w:bCs/>
          <w:spacing w:val="-7"/>
          <w:sz w:val="23"/>
          <w:szCs w:val="23"/>
        </w:rPr>
        <w:t>四、学前儿童的心理健康</w:t>
      </w:r>
    </w:p>
    <w:p w14:paraId="04588748">
      <w:pPr>
        <w:spacing w:line="125" w:lineRule="exact"/>
      </w:pPr>
    </w:p>
    <w:tbl>
      <w:tblPr>
        <w:tblStyle w:val="5"/>
        <w:tblW w:w="4130"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43"/>
        <w:gridCol w:w="2484"/>
        <w:gridCol w:w="230"/>
        <w:gridCol w:w="229"/>
        <w:gridCol w:w="220"/>
        <w:gridCol w:w="224"/>
      </w:tblGrid>
      <w:tr w14:paraId="4F3BA3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3" w:hRule="atLeast"/>
        </w:trPr>
        <w:tc>
          <w:tcPr>
            <w:tcW w:w="743" w:type="dxa"/>
            <w:vMerge w:val="restart"/>
            <w:tcBorders>
              <w:bottom w:val="nil"/>
            </w:tcBorders>
            <w:vAlign w:val="top"/>
          </w:tcPr>
          <w:p w14:paraId="245A0AA6">
            <w:pPr>
              <w:pStyle w:val="6"/>
              <w:spacing w:before="21" w:line="223" w:lineRule="auto"/>
              <w:ind w:left="107" w:right="35" w:hanging="80"/>
            </w:pPr>
            <w:r>
              <w:rPr>
                <w:b/>
                <w:bCs/>
                <w:spacing w:val="-5"/>
              </w:rPr>
              <w:t>知识与技</w:t>
            </w:r>
            <w:r>
              <w:rPr>
                <w:spacing w:val="1"/>
              </w:rPr>
              <w:t xml:space="preserve"> </w:t>
            </w:r>
            <w:r>
              <w:rPr>
                <w:b/>
                <w:bCs/>
                <w:spacing w:val="1"/>
              </w:rPr>
              <w:t>能要点</w:t>
            </w:r>
          </w:p>
        </w:tc>
        <w:tc>
          <w:tcPr>
            <w:tcW w:w="2484" w:type="dxa"/>
            <w:vMerge w:val="restart"/>
            <w:tcBorders>
              <w:bottom w:val="nil"/>
            </w:tcBorders>
            <w:vAlign w:val="top"/>
          </w:tcPr>
          <w:p w14:paraId="4FD26B63">
            <w:pPr>
              <w:pStyle w:val="6"/>
              <w:spacing w:before="139" w:line="219" w:lineRule="auto"/>
              <w:ind w:left="924"/>
            </w:pPr>
            <w:r>
              <w:rPr>
                <w:b/>
                <w:bCs/>
                <w:spacing w:val="5"/>
              </w:rPr>
              <w:t>考试条目</w:t>
            </w:r>
          </w:p>
        </w:tc>
        <w:tc>
          <w:tcPr>
            <w:tcW w:w="903" w:type="dxa"/>
            <w:gridSpan w:val="4"/>
            <w:vAlign w:val="top"/>
          </w:tcPr>
          <w:p w14:paraId="39533F42">
            <w:pPr>
              <w:pStyle w:val="6"/>
              <w:spacing w:before="29" w:line="199" w:lineRule="auto"/>
              <w:ind w:left="110"/>
            </w:pPr>
            <w:r>
              <w:rPr>
                <w:b/>
                <w:bCs/>
                <w:spacing w:val="-4"/>
              </w:rPr>
              <w:t>考试水平</w:t>
            </w:r>
          </w:p>
        </w:tc>
      </w:tr>
      <w:tr w14:paraId="555C5A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9" w:hRule="atLeast"/>
        </w:trPr>
        <w:tc>
          <w:tcPr>
            <w:tcW w:w="743" w:type="dxa"/>
            <w:vMerge w:val="continue"/>
            <w:tcBorders>
              <w:top w:val="nil"/>
            </w:tcBorders>
            <w:vAlign w:val="top"/>
          </w:tcPr>
          <w:p w14:paraId="01F60BDA">
            <w:pPr>
              <w:rPr>
                <w:rFonts w:ascii="Arial"/>
                <w:sz w:val="21"/>
              </w:rPr>
            </w:pPr>
          </w:p>
        </w:tc>
        <w:tc>
          <w:tcPr>
            <w:tcW w:w="2484" w:type="dxa"/>
            <w:vMerge w:val="continue"/>
            <w:tcBorders>
              <w:top w:val="nil"/>
            </w:tcBorders>
            <w:vAlign w:val="top"/>
          </w:tcPr>
          <w:p w14:paraId="21951D8F">
            <w:pPr>
              <w:rPr>
                <w:rFonts w:ascii="Arial"/>
                <w:sz w:val="21"/>
              </w:rPr>
            </w:pPr>
          </w:p>
        </w:tc>
        <w:tc>
          <w:tcPr>
            <w:tcW w:w="230" w:type="dxa"/>
            <w:vAlign w:val="top"/>
          </w:tcPr>
          <w:p w14:paraId="23B3A27B">
            <w:pPr>
              <w:pStyle w:val="6"/>
              <w:spacing w:before="61" w:line="138" w:lineRule="exact"/>
              <w:ind w:left="40"/>
            </w:pPr>
            <w:r>
              <w:rPr>
                <w:b/>
                <w:bCs/>
                <w:spacing w:val="-2"/>
                <w:position w:val="-2"/>
              </w:rPr>
              <w:t>A</w:t>
            </w:r>
          </w:p>
        </w:tc>
        <w:tc>
          <w:tcPr>
            <w:tcW w:w="229" w:type="dxa"/>
            <w:vAlign w:val="top"/>
          </w:tcPr>
          <w:p w14:paraId="1B9230B5">
            <w:pPr>
              <w:pStyle w:val="6"/>
              <w:spacing w:before="63" w:line="136" w:lineRule="exact"/>
              <w:ind w:left="20"/>
            </w:pPr>
            <w:r>
              <w:rPr>
                <w:b/>
                <w:bCs/>
                <w:spacing w:val="-2"/>
                <w:position w:val="-2"/>
              </w:rPr>
              <w:t>B</w:t>
            </w:r>
          </w:p>
        </w:tc>
        <w:tc>
          <w:tcPr>
            <w:tcW w:w="220" w:type="dxa"/>
            <w:vAlign w:val="top"/>
          </w:tcPr>
          <w:p w14:paraId="7B823D6B">
            <w:pPr>
              <w:pStyle w:val="6"/>
              <w:spacing w:before="62" w:line="137" w:lineRule="exact"/>
              <w:ind w:left="38"/>
            </w:pPr>
            <w:r>
              <w:rPr>
                <w:position w:val="-2"/>
              </w:rPr>
              <w:t>C</w:t>
            </w:r>
          </w:p>
        </w:tc>
        <w:tc>
          <w:tcPr>
            <w:tcW w:w="224" w:type="dxa"/>
            <w:vAlign w:val="top"/>
          </w:tcPr>
          <w:p w14:paraId="49E4ED75">
            <w:pPr>
              <w:pStyle w:val="6"/>
              <w:spacing w:before="63" w:line="136" w:lineRule="exact"/>
              <w:ind w:left="51"/>
            </w:pPr>
            <w:r>
              <w:rPr>
                <w:b/>
                <w:bCs/>
                <w:spacing w:val="-2"/>
                <w:position w:val="-2"/>
              </w:rPr>
              <w:t>D</w:t>
            </w:r>
          </w:p>
        </w:tc>
      </w:tr>
      <w:tr w14:paraId="1BF1D8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7" w:hRule="atLeast"/>
        </w:trPr>
        <w:tc>
          <w:tcPr>
            <w:tcW w:w="743" w:type="dxa"/>
            <w:vAlign w:val="top"/>
          </w:tcPr>
          <w:p w14:paraId="31897969">
            <w:pPr>
              <w:pStyle w:val="6"/>
              <w:spacing w:before="79" w:line="243" w:lineRule="auto"/>
              <w:ind w:left="104" w:right="20" w:hanging="80"/>
            </w:pPr>
            <w:r>
              <w:rPr>
                <w:spacing w:val="1"/>
              </w:rPr>
              <w:t>心理健康</w:t>
            </w:r>
            <w:r>
              <w:rPr>
                <w:spacing w:val="2"/>
              </w:rPr>
              <w:t xml:space="preserve"> 的特征</w:t>
            </w:r>
          </w:p>
        </w:tc>
        <w:tc>
          <w:tcPr>
            <w:tcW w:w="2484" w:type="dxa"/>
            <w:vAlign w:val="top"/>
          </w:tcPr>
          <w:p w14:paraId="0947A0FC">
            <w:pPr>
              <w:pStyle w:val="6"/>
              <w:spacing w:before="89" w:line="224" w:lineRule="auto"/>
              <w:ind w:left="11" w:right="73"/>
            </w:pPr>
            <w:r>
              <w:t>1.健康的含义、心理健康的含义</w:t>
            </w:r>
            <w:r>
              <w:rPr>
                <w:spacing w:val="7"/>
              </w:rPr>
              <w:t xml:space="preserve"> </w:t>
            </w:r>
            <w:r>
              <w:rPr>
                <w:spacing w:val="-1"/>
              </w:rPr>
              <w:t>2.学前儿童心理健康的特征</w:t>
            </w:r>
          </w:p>
        </w:tc>
        <w:tc>
          <w:tcPr>
            <w:tcW w:w="230" w:type="dxa"/>
            <w:vAlign w:val="top"/>
          </w:tcPr>
          <w:p w14:paraId="3ECA2E20">
            <w:pPr>
              <w:rPr>
                <w:rFonts w:ascii="Arial"/>
                <w:sz w:val="21"/>
              </w:rPr>
            </w:pPr>
          </w:p>
        </w:tc>
        <w:tc>
          <w:tcPr>
            <w:tcW w:w="229" w:type="dxa"/>
            <w:vAlign w:val="top"/>
          </w:tcPr>
          <w:p w14:paraId="6D11A88F">
            <w:pPr>
              <w:rPr>
                <w:rFonts w:ascii="Arial"/>
                <w:sz w:val="21"/>
              </w:rPr>
            </w:pPr>
          </w:p>
        </w:tc>
        <w:tc>
          <w:tcPr>
            <w:tcW w:w="220" w:type="dxa"/>
            <w:vAlign w:val="top"/>
          </w:tcPr>
          <w:p w14:paraId="0DE35690">
            <w:pPr>
              <w:rPr>
                <w:rFonts w:ascii="Arial"/>
                <w:sz w:val="21"/>
              </w:rPr>
            </w:pPr>
          </w:p>
        </w:tc>
        <w:tc>
          <w:tcPr>
            <w:tcW w:w="224" w:type="dxa"/>
            <w:vAlign w:val="top"/>
          </w:tcPr>
          <w:p w14:paraId="184725FD">
            <w:pPr>
              <w:rPr>
                <w:rFonts w:ascii="Arial"/>
                <w:sz w:val="21"/>
              </w:rPr>
            </w:pPr>
          </w:p>
        </w:tc>
      </w:tr>
      <w:tr w14:paraId="31AD7B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50" w:hRule="atLeast"/>
        </w:trPr>
        <w:tc>
          <w:tcPr>
            <w:tcW w:w="743" w:type="dxa"/>
            <w:vAlign w:val="top"/>
          </w:tcPr>
          <w:p w14:paraId="1CA838D5">
            <w:pPr>
              <w:pStyle w:val="6"/>
              <w:spacing w:before="173" w:line="219" w:lineRule="auto"/>
              <w:ind w:left="105"/>
            </w:pPr>
            <w:r>
              <w:rPr>
                <w:spacing w:val="-3"/>
              </w:rPr>
              <w:t>学前儿</w:t>
            </w:r>
          </w:p>
          <w:p w14:paraId="5EBE6271">
            <w:pPr>
              <w:pStyle w:val="6"/>
              <w:spacing w:before="40" w:line="221" w:lineRule="auto"/>
              <w:ind w:left="105"/>
            </w:pPr>
            <w:r>
              <w:rPr>
                <w:spacing w:val="-2"/>
              </w:rPr>
              <w:t>童问题</w:t>
            </w:r>
          </w:p>
          <w:p w14:paraId="757A38F3">
            <w:pPr>
              <w:pStyle w:val="6"/>
              <w:spacing w:before="4" w:line="220" w:lineRule="auto"/>
              <w:ind w:left="194"/>
            </w:pPr>
            <w:r>
              <w:rPr>
                <w:spacing w:val="-3"/>
              </w:rPr>
              <w:t>行为</w:t>
            </w:r>
          </w:p>
        </w:tc>
        <w:tc>
          <w:tcPr>
            <w:tcW w:w="2484" w:type="dxa"/>
            <w:vAlign w:val="top"/>
          </w:tcPr>
          <w:p w14:paraId="6CAFEEC5">
            <w:pPr>
              <w:pStyle w:val="6"/>
              <w:spacing w:before="42" w:line="229" w:lineRule="auto"/>
              <w:ind w:left="11" w:right="583"/>
            </w:pPr>
            <w:r>
              <w:t>1.问题行为及其判定标准</w:t>
            </w:r>
            <w:r>
              <w:rPr>
                <w:spacing w:val="7"/>
              </w:rPr>
              <w:t xml:space="preserve"> </w:t>
            </w:r>
            <w:r>
              <w:rPr>
                <w:spacing w:val="-1"/>
              </w:rPr>
              <w:t>2.问题行为的种类</w:t>
            </w:r>
          </w:p>
          <w:p w14:paraId="3EE3090B">
            <w:pPr>
              <w:pStyle w:val="6"/>
              <w:spacing w:before="18" w:line="224" w:lineRule="auto"/>
              <w:ind w:left="11" w:right="262"/>
            </w:pPr>
            <w:r>
              <w:rPr>
                <w:spacing w:val="-1"/>
              </w:rPr>
              <w:t>3.常见问题行为的表现及应对</w:t>
            </w:r>
            <w:r>
              <w:rPr>
                <w:spacing w:val="2"/>
              </w:rPr>
              <w:t xml:space="preserve"> </w:t>
            </w:r>
            <w:r>
              <w:rPr>
                <w:spacing w:val="-2"/>
              </w:rPr>
              <w:t>措施</w:t>
            </w:r>
          </w:p>
        </w:tc>
        <w:tc>
          <w:tcPr>
            <w:tcW w:w="230" w:type="dxa"/>
            <w:vAlign w:val="top"/>
          </w:tcPr>
          <w:p w14:paraId="00FFE058">
            <w:pPr>
              <w:rPr>
                <w:rFonts w:ascii="Arial"/>
                <w:sz w:val="21"/>
              </w:rPr>
            </w:pPr>
          </w:p>
        </w:tc>
        <w:tc>
          <w:tcPr>
            <w:tcW w:w="229" w:type="dxa"/>
            <w:vAlign w:val="top"/>
          </w:tcPr>
          <w:p w14:paraId="08FB174D">
            <w:pPr>
              <w:rPr>
                <w:rFonts w:ascii="Arial"/>
                <w:sz w:val="21"/>
              </w:rPr>
            </w:pPr>
          </w:p>
        </w:tc>
        <w:tc>
          <w:tcPr>
            <w:tcW w:w="220" w:type="dxa"/>
            <w:vAlign w:val="top"/>
          </w:tcPr>
          <w:p w14:paraId="5EAC9896">
            <w:pPr>
              <w:spacing w:line="429" w:lineRule="auto"/>
              <w:rPr>
                <w:rFonts w:ascii="Arial"/>
                <w:sz w:val="21"/>
              </w:rPr>
            </w:pPr>
          </w:p>
          <w:p w14:paraId="1714A937">
            <w:pPr>
              <w:pStyle w:val="6"/>
              <w:spacing w:before="42" w:line="238" w:lineRule="auto"/>
              <w:ind w:left="18"/>
              <w:rPr>
                <w:sz w:val="13"/>
                <w:szCs w:val="13"/>
              </w:rPr>
            </w:pPr>
            <w:r>
              <w:rPr>
                <w:sz w:val="13"/>
                <w:szCs w:val="13"/>
              </w:rPr>
              <w:t>√</w:t>
            </w:r>
          </w:p>
        </w:tc>
        <w:tc>
          <w:tcPr>
            <w:tcW w:w="224" w:type="dxa"/>
            <w:vAlign w:val="top"/>
          </w:tcPr>
          <w:p w14:paraId="7DBFA865">
            <w:pPr>
              <w:rPr>
                <w:rFonts w:ascii="Arial"/>
                <w:sz w:val="21"/>
              </w:rPr>
            </w:pPr>
          </w:p>
        </w:tc>
      </w:tr>
    </w:tbl>
    <w:p w14:paraId="3A24DE8F">
      <w:pPr>
        <w:pStyle w:val="2"/>
        <w:spacing w:line="362" w:lineRule="auto"/>
      </w:pPr>
    </w:p>
    <w:p w14:paraId="7AB1B4E2">
      <w:pPr>
        <w:spacing w:before="74" w:line="221" w:lineRule="auto"/>
        <w:ind w:left="753"/>
        <w:rPr>
          <w:rFonts w:ascii="黑体" w:hAnsi="黑体" w:eastAsia="黑体" w:cs="黑体"/>
          <w:sz w:val="23"/>
          <w:szCs w:val="23"/>
        </w:rPr>
      </w:pPr>
      <w:r>
        <w:rPr>
          <w:rFonts w:ascii="黑体" w:hAnsi="黑体" w:eastAsia="黑体" w:cs="黑体"/>
          <w:b/>
          <w:bCs/>
          <w:spacing w:val="-2"/>
          <w:sz w:val="23"/>
          <w:szCs w:val="23"/>
        </w:rPr>
        <w:t>第三部分学前教育基础知识</w:t>
      </w:r>
    </w:p>
    <w:p w14:paraId="46744FAC">
      <w:pPr>
        <w:spacing w:before="304" w:line="221" w:lineRule="auto"/>
        <w:ind w:left="73"/>
        <w:rPr>
          <w:rFonts w:ascii="黑体" w:hAnsi="黑体" w:eastAsia="黑体" w:cs="黑体"/>
          <w:sz w:val="23"/>
          <w:szCs w:val="23"/>
        </w:rPr>
      </w:pPr>
      <w:r>
        <w:rPr>
          <w:rFonts w:ascii="黑体" w:hAnsi="黑体" w:eastAsia="黑体" w:cs="黑体"/>
          <w:b/>
          <w:bCs/>
          <w:spacing w:val="-8"/>
          <w:sz w:val="23"/>
          <w:szCs w:val="23"/>
        </w:rPr>
        <w:t>一、学前教育的概述</w:t>
      </w:r>
    </w:p>
    <w:p w14:paraId="552139A3">
      <w:pPr>
        <w:spacing w:line="126" w:lineRule="exact"/>
      </w:pPr>
    </w:p>
    <w:tbl>
      <w:tblPr>
        <w:tblStyle w:val="5"/>
        <w:tblW w:w="4130"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43"/>
        <w:gridCol w:w="2484"/>
        <w:gridCol w:w="230"/>
        <w:gridCol w:w="229"/>
        <w:gridCol w:w="220"/>
        <w:gridCol w:w="224"/>
      </w:tblGrid>
      <w:tr w14:paraId="21FDDA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3" w:hRule="atLeast"/>
        </w:trPr>
        <w:tc>
          <w:tcPr>
            <w:tcW w:w="743" w:type="dxa"/>
            <w:vMerge w:val="restart"/>
            <w:tcBorders>
              <w:bottom w:val="nil"/>
            </w:tcBorders>
            <w:vAlign w:val="top"/>
          </w:tcPr>
          <w:p w14:paraId="48600E5F">
            <w:pPr>
              <w:pStyle w:val="6"/>
              <w:spacing w:before="20" w:line="211" w:lineRule="auto"/>
              <w:ind w:left="97" w:right="6" w:hanging="80"/>
              <w:rPr>
                <w:sz w:val="18"/>
                <w:szCs w:val="18"/>
              </w:rPr>
            </w:pPr>
            <w:r>
              <w:rPr>
                <w:b/>
                <w:bCs/>
                <w:spacing w:val="-5"/>
                <w:sz w:val="18"/>
                <w:szCs w:val="18"/>
              </w:rPr>
              <w:t>知识与技</w:t>
            </w:r>
            <w:r>
              <w:rPr>
                <w:sz w:val="18"/>
                <w:szCs w:val="18"/>
              </w:rPr>
              <w:t xml:space="preserve"> </w:t>
            </w:r>
            <w:r>
              <w:rPr>
                <w:b/>
                <w:bCs/>
                <w:spacing w:val="1"/>
                <w:sz w:val="18"/>
                <w:szCs w:val="18"/>
              </w:rPr>
              <w:t>能要点</w:t>
            </w:r>
          </w:p>
        </w:tc>
        <w:tc>
          <w:tcPr>
            <w:tcW w:w="2484" w:type="dxa"/>
            <w:vMerge w:val="restart"/>
            <w:tcBorders>
              <w:bottom w:val="nil"/>
            </w:tcBorders>
            <w:vAlign w:val="top"/>
          </w:tcPr>
          <w:p w14:paraId="76FBB527">
            <w:pPr>
              <w:pStyle w:val="6"/>
              <w:spacing w:before="129" w:line="219" w:lineRule="auto"/>
              <w:ind w:left="924"/>
              <w:rPr>
                <w:sz w:val="18"/>
                <w:szCs w:val="18"/>
              </w:rPr>
            </w:pPr>
            <w:r>
              <w:rPr>
                <w:b/>
                <w:bCs/>
                <w:spacing w:val="5"/>
                <w:sz w:val="18"/>
                <w:szCs w:val="18"/>
              </w:rPr>
              <w:t>考试条目</w:t>
            </w:r>
          </w:p>
        </w:tc>
        <w:tc>
          <w:tcPr>
            <w:tcW w:w="903" w:type="dxa"/>
            <w:gridSpan w:val="4"/>
            <w:vAlign w:val="top"/>
          </w:tcPr>
          <w:p w14:paraId="7EFE88D3">
            <w:pPr>
              <w:pStyle w:val="6"/>
              <w:spacing w:before="19" w:line="198" w:lineRule="auto"/>
              <w:ind w:left="120"/>
              <w:rPr>
                <w:sz w:val="18"/>
                <w:szCs w:val="18"/>
              </w:rPr>
            </w:pPr>
            <w:r>
              <w:rPr>
                <w:b/>
                <w:bCs/>
                <w:spacing w:val="-4"/>
                <w:sz w:val="18"/>
                <w:szCs w:val="18"/>
              </w:rPr>
              <w:t>考试水平</w:t>
            </w:r>
          </w:p>
        </w:tc>
      </w:tr>
      <w:tr w14:paraId="38A527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9" w:hRule="atLeast"/>
        </w:trPr>
        <w:tc>
          <w:tcPr>
            <w:tcW w:w="743" w:type="dxa"/>
            <w:vMerge w:val="continue"/>
            <w:tcBorders>
              <w:top w:val="nil"/>
            </w:tcBorders>
            <w:vAlign w:val="top"/>
          </w:tcPr>
          <w:p w14:paraId="050847E6">
            <w:pPr>
              <w:rPr>
                <w:rFonts w:ascii="Arial"/>
                <w:sz w:val="21"/>
              </w:rPr>
            </w:pPr>
          </w:p>
        </w:tc>
        <w:tc>
          <w:tcPr>
            <w:tcW w:w="2484" w:type="dxa"/>
            <w:vMerge w:val="continue"/>
            <w:tcBorders>
              <w:top w:val="nil"/>
            </w:tcBorders>
            <w:vAlign w:val="top"/>
          </w:tcPr>
          <w:p w14:paraId="1A0F7F37">
            <w:pPr>
              <w:rPr>
                <w:rFonts w:ascii="Arial"/>
                <w:sz w:val="21"/>
              </w:rPr>
            </w:pPr>
          </w:p>
        </w:tc>
        <w:tc>
          <w:tcPr>
            <w:tcW w:w="230" w:type="dxa"/>
            <w:vAlign w:val="top"/>
          </w:tcPr>
          <w:p w14:paraId="34395F4B">
            <w:pPr>
              <w:pStyle w:val="6"/>
              <w:spacing w:before="64" w:line="135" w:lineRule="exact"/>
              <w:ind w:left="40"/>
              <w:rPr>
                <w:sz w:val="18"/>
                <w:szCs w:val="18"/>
              </w:rPr>
            </w:pPr>
            <w:r>
              <w:rPr>
                <w:b/>
                <w:bCs/>
                <w:spacing w:val="-2"/>
                <w:position w:val="-2"/>
                <w:sz w:val="18"/>
                <w:szCs w:val="18"/>
              </w:rPr>
              <w:t>A</w:t>
            </w:r>
          </w:p>
        </w:tc>
        <w:tc>
          <w:tcPr>
            <w:tcW w:w="229" w:type="dxa"/>
            <w:vAlign w:val="top"/>
          </w:tcPr>
          <w:p w14:paraId="3C115A72">
            <w:pPr>
              <w:pStyle w:val="6"/>
              <w:spacing w:before="67" w:line="132" w:lineRule="exact"/>
              <w:ind w:left="20"/>
              <w:rPr>
                <w:sz w:val="18"/>
                <w:szCs w:val="18"/>
              </w:rPr>
            </w:pPr>
            <w:r>
              <w:rPr>
                <w:b/>
                <w:bCs/>
                <w:spacing w:val="-2"/>
                <w:position w:val="-2"/>
                <w:sz w:val="18"/>
                <w:szCs w:val="18"/>
              </w:rPr>
              <w:t>B</w:t>
            </w:r>
          </w:p>
        </w:tc>
        <w:tc>
          <w:tcPr>
            <w:tcW w:w="220" w:type="dxa"/>
            <w:vAlign w:val="top"/>
          </w:tcPr>
          <w:p w14:paraId="444A7BAB">
            <w:pPr>
              <w:pStyle w:val="6"/>
              <w:spacing w:before="65" w:line="134" w:lineRule="exact"/>
              <w:ind w:left="58"/>
              <w:rPr>
                <w:sz w:val="18"/>
                <w:szCs w:val="18"/>
              </w:rPr>
            </w:pPr>
            <w:r>
              <w:rPr>
                <w:position w:val="-2"/>
                <w:sz w:val="18"/>
                <w:szCs w:val="18"/>
              </w:rPr>
              <w:t>C</w:t>
            </w:r>
          </w:p>
        </w:tc>
        <w:tc>
          <w:tcPr>
            <w:tcW w:w="224" w:type="dxa"/>
            <w:vAlign w:val="top"/>
          </w:tcPr>
          <w:p w14:paraId="01D1F789">
            <w:pPr>
              <w:pStyle w:val="6"/>
              <w:spacing w:before="67" w:line="132" w:lineRule="exact"/>
              <w:ind w:left="21"/>
              <w:rPr>
                <w:sz w:val="18"/>
                <w:szCs w:val="18"/>
              </w:rPr>
            </w:pPr>
            <w:r>
              <w:rPr>
                <w:b/>
                <w:bCs/>
                <w:spacing w:val="-2"/>
                <w:position w:val="-2"/>
                <w:sz w:val="18"/>
                <w:szCs w:val="18"/>
              </w:rPr>
              <w:t>D</w:t>
            </w:r>
          </w:p>
        </w:tc>
      </w:tr>
      <w:tr w14:paraId="457EDA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96" w:hRule="atLeast"/>
        </w:trPr>
        <w:tc>
          <w:tcPr>
            <w:tcW w:w="743" w:type="dxa"/>
            <w:vAlign w:val="top"/>
          </w:tcPr>
          <w:p w14:paraId="5276A53D">
            <w:pPr>
              <w:pStyle w:val="6"/>
              <w:spacing w:before="151" w:line="222" w:lineRule="auto"/>
              <w:ind w:left="94" w:right="5" w:hanging="80"/>
              <w:rPr>
                <w:sz w:val="18"/>
                <w:szCs w:val="18"/>
              </w:rPr>
            </w:pPr>
            <w:r>
              <w:rPr>
                <w:spacing w:val="-2"/>
                <w:sz w:val="18"/>
                <w:szCs w:val="18"/>
              </w:rPr>
              <w:t>什么是学</w:t>
            </w:r>
            <w:r>
              <w:rPr>
                <w:sz w:val="18"/>
                <w:szCs w:val="18"/>
              </w:rPr>
              <w:t xml:space="preserve"> </w:t>
            </w:r>
            <w:r>
              <w:rPr>
                <w:spacing w:val="4"/>
                <w:sz w:val="18"/>
                <w:szCs w:val="18"/>
              </w:rPr>
              <w:t>前教育</w:t>
            </w:r>
          </w:p>
        </w:tc>
        <w:tc>
          <w:tcPr>
            <w:tcW w:w="2484" w:type="dxa"/>
            <w:vAlign w:val="top"/>
          </w:tcPr>
          <w:p w14:paraId="65EEE0D0">
            <w:pPr>
              <w:pStyle w:val="6"/>
              <w:spacing w:before="170" w:line="217" w:lineRule="auto"/>
              <w:ind w:left="11" w:right="1010"/>
              <w:rPr>
                <w:sz w:val="18"/>
                <w:szCs w:val="18"/>
              </w:rPr>
            </w:pPr>
            <w:r>
              <w:rPr>
                <w:spacing w:val="1"/>
                <w:sz w:val="18"/>
                <w:szCs w:val="18"/>
              </w:rPr>
              <w:t>1.学前教育的含义</w:t>
            </w:r>
            <w:r>
              <w:rPr>
                <w:sz w:val="18"/>
                <w:szCs w:val="18"/>
              </w:rPr>
              <w:t xml:space="preserve"> </w:t>
            </w:r>
            <w:r>
              <w:rPr>
                <w:spacing w:val="1"/>
                <w:sz w:val="18"/>
                <w:szCs w:val="18"/>
              </w:rPr>
              <w:t>2.学前教育的类型</w:t>
            </w:r>
          </w:p>
        </w:tc>
        <w:tc>
          <w:tcPr>
            <w:tcW w:w="230" w:type="dxa"/>
            <w:textDirection w:val="tbRlV"/>
            <w:vAlign w:val="top"/>
          </w:tcPr>
          <w:p w14:paraId="0477982B">
            <w:pPr>
              <w:pStyle w:val="6"/>
              <w:spacing w:before="30" w:line="197" w:lineRule="auto"/>
              <w:ind w:left="239"/>
              <w:rPr>
                <w:sz w:val="18"/>
                <w:szCs w:val="18"/>
              </w:rPr>
            </w:pPr>
            <w:r>
              <w:rPr>
                <w:sz w:val="18"/>
                <w:szCs w:val="18"/>
              </w:rPr>
              <w:t>八</w:t>
            </w:r>
          </w:p>
        </w:tc>
        <w:tc>
          <w:tcPr>
            <w:tcW w:w="229" w:type="dxa"/>
            <w:vAlign w:val="top"/>
          </w:tcPr>
          <w:p w14:paraId="618C6F9A">
            <w:pPr>
              <w:rPr>
                <w:rFonts w:ascii="Arial"/>
                <w:sz w:val="21"/>
              </w:rPr>
            </w:pPr>
          </w:p>
        </w:tc>
        <w:tc>
          <w:tcPr>
            <w:tcW w:w="220" w:type="dxa"/>
            <w:vAlign w:val="top"/>
          </w:tcPr>
          <w:p w14:paraId="13CA8637">
            <w:pPr>
              <w:rPr>
                <w:rFonts w:ascii="Arial"/>
                <w:sz w:val="21"/>
              </w:rPr>
            </w:pPr>
          </w:p>
        </w:tc>
        <w:tc>
          <w:tcPr>
            <w:tcW w:w="224" w:type="dxa"/>
            <w:vAlign w:val="top"/>
          </w:tcPr>
          <w:p w14:paraId="2BF1CDAE">
            <w:pPr>
              <w:rPr>
                <w:rFonts w:ascii="Arial"/>
                <w:sz w:val="21"/>
              </w:rPr>
            </w:pPr>
          </w:p>
        </w:tc>
      </w:tr>
      <w:tr w14:paraId="64276E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31" w:hRule="atLeast"/>
        </w:trPr>
        <w:tc>
          <w:tcPr>
            <w:tcW w:w="743" w:type="dxa"/>
            <w:vAlign w:val="top"/>
          </w:tcPr>
          <w:p w14:paraId="6B60DC7E">
            <w:pPr>
              <w:pStyle w:val="6"/>
              <w:spacing w:before="174" w:line="231" w:lineRule="auto"/>
              <w:ind w:left="92" w:hanging="78"/>
              <w:rPr>
                <w:sz w:val="18"/>
                <w:szCs w:val="18"/>
              </w:rPr>
            </w:pPr>
            <w:r>
              <w:rPr>
                <w:spacing w:val="-1"/>
                <w:sz w:val="18"/>
                <w:szCs w:val="18"/>
              </w:rPr>
              <w:t>学前教育</w:t>
            </w:r>
            <w:r>
              <w:rPr>
                <w:spacing w:val="1"/>
                <w:sz w:val="18"/>
                <w:szCs w:val="18"/>
              </w:rPr>
              <w:t xml:space="preserve"> </w:t>
            </w:r>
            <w:r>
              <w:rPr>
                <w:spacing w:val="-2"/>
                <w:sz w:val="18"/>
                <w:szCs w:val="18"/>
              </w:rPr>
              <w:t>的价值</w:t>
            </w:r>
          </w:p>
        </w:tc>
        <w:tc>
          <w:tcPr>
            <w:tcW w:w="2484" w:type="dxa"/>
            <w:vAlign w:val="top"/>
          </w:tcPr>
          <w:p w14:paraId="395C0C0E">
            <w:pPr>
              <w:pStyle w:val="6"/>
              <w:spacing w:before="31" w:line="220" w:lineRule="auto"/>
              <w:ind w:left="11" w:right="115"/>
              <w:jc w:val="both"/>
              <w:rPr>
                <w:sz w:val="18"/>
                <w:szCs w:val="18"/>
              </w:rPr>
            </w:pPr>
            <w:r>
              <w:rPr>
                <w:sz w:val="18"/>
                <w:szCs w:val="18"/>
              </w:rPr>
              <w:t>1.学前教育对个人发展的价值</w:t>
            </w:r>
            <w:r>
              <w:rPr>
                <w:spacing w:val="5"/>
                <w:sz w:val="18"/>
                <w:szCs w:val="18"/>
              </w:rPr>
              <w:t xml:space="preserve"> </w:t>
            </w:r>
            <w:r>
              <w:rPr>
                <w:spacing w:val="-1"/>
                <w:sz w:val="18"/>
                <w:szCs w:val="18"/>
              </w:rPr>
              <w:t>2.学前教育对家庭、教育事业</w:t>
            </w:r>
            <w:r>
              <w:rPr>
                <w:spacing w:val="3"/>
                <w:sz w:val="18"/>
                <w:szCs w:val="18"/>
              </w:rPr>
              <w:t xml:space="preserve"> </w:t>
            </w:r>
            <w:r>
              <w:rPr>
                <w:spacing w:val="-1"/>
                <w:sz w:val="18"/>
                <w:szCs w:val="18"/>
              </w:rPr>
              <w:t>和社会发展的价值</w:t>
            </w:r>
          </w:p>
        </w:tc>
        <w:tc>
          <w:tcPr>
            <w:tcW w:w="230" w:type="dxa"/>
            <w:vAlign w:val="top"/>
          </w:tcPr>
          <w:p w14:paraId="2086759C">
            <w:pPr>
              <w:rPr>
                <w:rFonts w:ascii="Arial"/>
                <w:sz w:val="21"/>
              </w:rPr>
            </w:pPr>
          </w:p>
        </w:tc>
        <w:tc>
          <w:tcPr>
            <w:tcW w:w="229" w:type="dxa"/>
            <w:vAlign w:val="top"/>
          </w:tcPr>
          <w:p w14:paraId="69567B3C">
            <w:pPr>
              <w:rPr>
                <w:rFonts w:ascii="Arial"/>
                <w:sz w:val="21"/>
              </w:rPr>
            </w:pPr>
          </w:p>
        </w:tc>
        <w:tc>
          <w:tcPr>
            <w:tcW w:w="220" w:type="dxa"/>
            <w:vAlign w:val="top"/>
          </w:tcPr>
          <w:p w14:paraId="2F3678A7">
            <w:pPr>
              <w:spacing w:line="283" w:lineRule="auto"/>
              <w:rPr>
                <w:rFonts w:ascii="Arial"/>
                <w:sz w:val="21"/>
              </w:rPr>
            </w:pPr>
          </w:p>
          <w:p w14:paraId="6CAE13E8">
            <w:pPr>
              <w:pStyle w:val="6"/>
              <w:spacing w:before="39" w:line="238" w:lineRule="auto"/>
              <w:ind w:left="48"/>
              <w:rPr>
                <w:sz w:val="12"/>
                <w:szCs w:val="12"/>
              </w:rPr>
            </w:pPr>
            <w:r>
              <w:rPr>
                <w:sz w:val="12"/>
                <w:szCs w:val="12"/>
              </w:rPr>
              <w:t>√</w:t>
            </w:r>
          </w:p>
        </w:tc>
        <w:tc>
          <w:tcPr>
            <w:tcW w:w="224" w:type="dxa"/>
            <w:vAlign w:val="top"/>
          </w:tcPr>
          <w:p w14:paraId="26D28DDB">
            <w:pPr>
              <w:rPr>
                <w:rFonts w:ascii="Arial"/>
                <w:sz w:val="21"/>
              </w:rPr>
            </w:pPr>
          </w:p>
        </w:tc>
      </w:tr>
    </w:tbl>
    <w:p w14:paraId="370D0264">
      <w:pPr>
        <w:spacing w:before="209" w:line="221" w:lineRule="auto"/>
        <w:ind w:left="73"/>
        <w:rPr>
          <w:rFonts w:ascii="黑体" w:hAnsi="黑体" w:eastAsia="黑体" w:cs="黑体"/>
          <w:sz w:val="23"/>
          <w:szCs w:val="23"/>
        </w:rPr>
      </w:pPr>
      <w:r>
        <w:rPr>
          <w:rFonts w:ascii="黑体" w:hAnsi="黑体" w:eastAsia="黑体" w:cs="黑体"/>
          <w:b/>
          <w:bCs/>
          <w:spacing w:val="-6"/>
          <w:sz w:val="23"/>
          <w:szCs w:val="23"/>
        </w:rPr>
        <w:t>二、学前教育的目标与内容</w:t>
      </w:r>
    </w:p>
    <w:p w14:paraId="33D0B790">
      <w:pPr>
        <w:spacing w:line="145" w:lineRule="exact"/>
      </w:pPr>
    </w:p>
    <w:tbl>
      <w:tblPr>
        <w:tblStyle w:val="5"/>
        <w:tblW w:w="4130"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33"/>
        <w:gridCol w:w="2484"/>
        <w:gridCol w:w="230"/>
        <w:gridCol w:w="229"/>
        <w:gridCol w:w="220"/>
        <w:gridCol w:w="234"/>
      </w:tblGrid>
      <w:tr w14:paraId="48566A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9" w:hRule="atLeast"/>
        </w:trPr>
        <w:tc>
          <w:tcPr>
            <w:tcW w:w="733" w:type="dxa"/>
            <w:vMerge w:val="restart"/>
            <w:tcBorders>
              <w:top w:val="single" w:color="000000" w:sz="2" w:space="0"/>
              <w:bottom w:val="nil"/>
            </w:tcBorders>
            <w:vAlign w:val="top"/>
          </w:tcPr>
          <w:p w14:paraId="32D6490A">
            <w:pPr>
              <w:pStyle w:val="6"/>
              <w:spacing w:before="25" w:line="221" w:lineRule="auto"/>
              <w:ind w:left="17"/>
            </w:pPr>
            <w:r>
              <w:rPr>
                <w:b/>
                <w:bCs/>
                <w:spacing w:val="-4"/>
              </w:rPr>
              <w:t>知识与技</w:t>
            </w:r>
          </w:p>
          <w:p w14:paraId="68AC9F93">
            <w:pPr>
              <w:pStyle w:val="6"/>
              <w:spacing w:before="16" w:line="209" w:lineRule="auto"/>
              <w:ind w:left="107"/>
            </w:pPr>
            <w:r>
              <w:rPr>
                <w:b/>
                <w:bCs/>
                <w:spacing w:val="1"/>
              </w:rPr>
              <w:t>能要点</w:t>
            </w:r>
          </w:p>
        </w:tc>
        <w:tc>
          <w:tcPr>
            <w:tcW w:w="2484" w:type="dxa"/>
            <w:vMerge w:val="restart"/>
            <w:tcBorders>
              <w:top w:val="single" w:color="000000" w:sz="2" w:space="0"/>
              <w:bottom w:val="nil"/>
            </w:tcBorders>
            <w:vAlign w:val="top"/>
          </w:tcPr>
          <w:p w14:paraId="0EDF8B55">
            <w:pPr>
              <w:pStyle w:val="6"/>
              <w:spacing w:before="144" w:line="219" w:lineRule="auto"/>
              <w:ind w:left="924"/>
            </w:pPr>
            <w:r>
              <w:rPr>
                <w:b/>
                <w:bCs/>
                <w:spacing w:val="5"/>
              </w:rPr>
              <w:t>考试条目</w:t>
            </w:r>
          </w:p>
        </w:tc>
        <w:tc>
          <w:tcPr>
            <w:tcW w:w="913" w:type="dxa"/>
            <w:gridSpan w:val="4"/>
            <w:tcBorders>
              <w:top w:val="single" w:color="000000" w:sz="2" w:space="0"/>
              <w:bottom w:val="single" w:color="000000" w:sz="2" w:space="0"/>
            </w:tcBorders>
            <w:vAlign w:val="top"/>
          </w:tcPr>
          <w:p w14:paraId="5AEC47DD">
            <w:pPr>
              <w:pStyle w:val="6"/>
              <w:spacing w:before="34" w:line="200" w:lineRule="auto"/>
              <w:ind w:left="120"/>
            </w:pPr>
            <w:r>
              <w:rPr>
                <w:b/>
                <w:bCs/>
                <w:spacing w:val="-4"/>
              </w:rPr>
              <w:t>考试水平</w:t>
            </w:r>
          </w:p>
        </w:tc>
      </w:tr>
      <w:tr w14:paraId="3AB247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4" w:hRule="atLeast"/>
        </w:trPr>
        <w:tc>
          <w:tcPr>
            <w:tcW w:w="733" w:type="dxa"/>
            <w:vMerge w:val="continue"/>
            <w:tcBorders>
              <w:top w:val="nil"/>
              <w:bottom w:val="single" w:color="000000" w:sz="2" w:space="0"/>
            </w:tcBorders>
            <w:vAlign w:val="top"/>
          </w:tcPr>
          <w:p w14:paraId="4E86F7E3">
            <w:pPr>
              <w:rPr>
                <w:rFonts w:ascii="Arial"/>
                <w:sz w:val="21"/>
              </w:rPr>
            </w:pPr>
          </w:p>
        </w:tc>
        <w:tc>
          <w:tcPr>
            <w:tcW w:w="2484" w:type="dxa"/>
            <w:vMerge w:val="continue"/>
            <w:tcBorders>
              <w:top w:val="nil"/>
              <w:bottom w:val="single" w:color="000000" w:sz="2" w:space="0"/>
            </w:tcBorders>
            <w:vAlign w:val="top"/>
          </w:tcPr>
          <w:p w14:paraId="57605FD7">
            <w:pPr>
              <w:rPr>
                <w:rFonts w:ascii="Arial"/>
                <w:sz w:val="21"/>
              </w:rPr>
            </w:pPr>
          </w:p>
        </w:tc>
        <w:tc>
          <w:tcPr>
            <w:tcW w:w="230" w:type="dxa"/>
            <w:tcBorders>
              <w:top w:val="single" w:color="000000" w:sz="2" w:space="0"/>
              <w:bottom w:val="single" w:color="000000" w:sz="2" w:space="0"/>
            </w:tcBorders>
            <w:vAlign w:val="top"/>
          </w:tcPr>
          <w:p w14:paraId="14D19C1F">
            <w:pPr>
              <w:pStyle w:val="6"/>
              <w:spacing w:before="65" w:line="138" w:lineRule="exact"/>
              <w:ind w:left="70"/>
            </w:pPr>
            <w:r>
              <w:rPr>
                <w:b/>
                <w:bCs/>
                <w:spacing w:val="-2"/>
                <w:position w:val="-2"/>
              </w:rPr>
              <w:t>A</w:t>
            </w:r>
          </w:p>
        </w:tc>
        <w:tc>
          <w:tcPr>
            <w:tcW w:w="229" w:type="dxa"/>
            <w:tcBorders>
              <w:top w:val="single" w:color="000000" w:sz="2" w:space="0"/>
              <w:bottom w:val="single" w:color="000000" w:sz="2" w:space="0"/>
            </w:tcBorders>
            <w:vAlign w:val="top"/>
          </w:tcPr>
          <w:p w14:paraId="5BC2A12A">
            <w:pPr>
              <w:pStyle w:val="6"/>
              <w:spacing w:before="67" w:line="136" w:lineRule="exact"/>
              <w:ind w:left="30"/>
            </w:pPr>
            <w:r>
              <w:rPr>
                <w:b/>
                <w:bCs/>
                <w:spacing w:val="-2"/>
                <w:position w:val="-2"/>
              </w:rPr>
              <w:t>B</w:t>
            </w:r>
          </w:p>
        </w:tc>
        <w:tc>
          <w:tcPr>
            <w:tcW w:w="220" w:type="dxa"/>
            <w:tcBorders>
              <w:top w:val="single" w:color="000000" w:sz="2" w:space="0"/>
              <w:bottom w:val="single" w:color="000000" w:sz="2" w:space="0"/>
            </w:tcBorders>
            <w:vAlign w:val="top"/>
          </w:tcPr>
          <w:p w14:paraId="65E556A8">
            <w:pPr>
              <w:pStyle w:val="6"/>
              <w:spacing w:before="66" w:line="137" w:lineRule="exact"/>
              <w:ind w:left="48"/>
            </w:pPr>
            <w:r>
              <w:rPr>
                <w:position w:val="-2"/>
              </w:rPr>
              <w:t>C</w:t>
            </w:r>
          </w:p>
        </w:tc>
        <w:tc>
          <w:tcPr>
            <w:tcW w:w="234" w:type="dxa"/>
            <w:tcBorders>
              <w:top w:val="single" w:color="000000" w:sz="2" w:space="0"/>
              <w:bottom w:val="single" w:color="000000" w:sz="2" w:space="0"/>
            </w:tcBorders>
            <w:vAlign w:val="top"/>
          </w:tcPr>
          <w:p w14:paraId="2135D737">
            <w:pPr>
              <w:pStyle w:val="6"/>
              <w:spacing w:before="67" w:line="136" w:lineRule="exact"/>
              <w:ind w:left="61"/>
            </w:pPr>
            <w:r>
              <w:rPr>
                <w:b/>
                <w:bCs/>
                <w:spacing w:val="-2"/>
                <w:position w:val="-2"/>
              </w:rPr>
              <w:t>D</w:t>
            </w:r>
          </w:p>
        </w:tc>
      </w:tr>
      <w:tr w14:paraId="039BEA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04" w:hRule="atLeast"/>
        </w:trPr>
        <w:tc>
          <w:tcPr>
            <w:tcW w:w="733" w:type="dxa"/>
            <w:tcBorders>
              <w:top w:val="single" w:color="000000" w:sz="2" w:space="0"/>
              <w:bottom w:val="single" w:color="000000" w:sz="2" w:space="0"/>
            </w:tcBorders>
            <w:vAlign w:val="top"/>
          </w:tcPr>
          <w:p w14:paraId="2B1011A9">
            <w:pPr>
              <w:pStyle w:val="6"/>
              <w:spacing w:before="203" w:line="219" w:lineRule="auto"/>
              <w:ind w:left="14"/>
            </w:pPr>
            <w:r>
              <w:rPr>
                <w:spacing w:val="3"/>
              </w:rPr>
              <w:t>学前教育</w:t>
            </w:r>
          </w:p>
          <w:p w14:paraId="496F4F6B">
            <w:pPr>
              <w:pStyle w:val="6"/>
              <w:spacing w:before="38" w:line="220" w:lineRule="auto"/>
              <w:ind w:left="105"/>
            </w:pPr>
            <w:r>
              <w:rPr>
                <w:spacing w:val="2"/>
              </w:rPr>
              <w:t>的目标</w:t>
            </w:r>
          </w:p>
        </w:tc>
        <w:tc>
          <w:tcPr>
            <w:tcW w:w="2484" w:type="dxa"/>
            <w:tcBorders>
              <w:top w:val="single" w:color="000000" w:sz="2" w:space="0"/>
              <w:bottom w:val="single" w:color="000000" w:sz="2" w:space="0"/>
            </w:tcBorders>
            <w:vAlign w:val="top"/>
          </w:tcPr>
          <w:p w14:paraId="2395B268">
            <w:pPr>
              <w:pStyle w:val="6"/>
              <w:spacing w:before="104" w:line="236" w:lineRule="auto"/>
              <w:ind w:left="11"/>
            </w:pPr>
            <w:r>
              <w:rPr>
                <w:spacing w:val="-6"/>
              </w:rPr>
              <w:t>1.我国幼儿园体育、智育、德育、</w:t>
            </w:r>
            <w:r>
              <w:rPr>
                <w:spacing w:val="7"/>
              </w:rPr>
              <w:t xml:space="preserve"> </w:t>
            </w:r>
            <w:r>
              <w:rPr>
                <w:spacing w:val="-6"/>
              </w:rPr>
              <w:t>美育、劳动教育的具体目标</w:t>
            </w:r>
          </w:p>
          <w:p w14:paraId="5B406D00">
            <w:pPr>
              <w:pStyle w:val="6"/>
              <w:spacing w:before="3" w:line="219" w:lineRule="auto"/>
              <w:ind w:left="11"/>
            </w:pPr>
            <w:r>
              <w:rPr>
                <w:spacing w:val="-1"/>
              </w:rPr>
              <w:t>2.制定幼儿园教育目标的依据</w:t>
            </w:r>
          </w:p>
        </w:tc>
        <w:tc>
          <w:tcPr>
            <w:tcW w:w="230" w:type="dxa"/>
            <w:tcBorders>
              <w:top w:val="single" w:color="000000" w:sz="2" w:space="0"/>
              <w:bottom w:val="single" w:color="000000" w:sz="2" w:space="0"/>
            </w:tcBorders>
            <w:vAlign w:val="top"/>
          </w:tcPr>
          <w:p w14:paraId="70B9830F">
            <w:pPr>
              <w:pStyle w:val="6"/>
              <w:spacing w:before="120" w:line="238" w:lineRule="auto"/>
              <w:ind w:left="28"/>
            </w:pPr>
            <w:r>
              <w:t>√</w:t>
            </w:r>
          </w:p>
        </w:tc>
        <w:tc>
          <w:tcPr>
            <w:tcW w:w="229" w:type="dxa"/>
            <w:tcBorders>
              <w:top w:val="single" w:color="000000" w:sz="2" w:space="0"/>
              <w:bottom w:val="single" w:color="000000" w:sz="2" w:space="0"/>
            </w:tcBorders>
            <w:vAlign w:val="top"/>
          </w:tcPr>
          <w:p w14:paraId="339DC968">
            <w:pPr>
              <w:rPr>
                <w:rFonts w:ascii="Arial"/>
                <w:sz w:val="21"/>
              </w:rPr>
            </w:pPr>
          </w:p>
        </w:tc>
        <w:tc>
          <w:tcPr>
            <w:tcW w:w="220" w:type="dxa"/>
            <w:tcBorders>
              <w:top w:val="single" w:color="000000" w:sz="2" w:space="0"/>
              <w:bottom w:val="single" w:color="000000" w:sz="2" w:space="0"/>
            </w:tcBorders>
            <w:vAlign w:val="top"/>
          </w:tcPr>
          <w:p w14:paraId="6B2DC77D">
            <w:pPr>
              <w:spacing w:line="251" w:lineRule="auto"/>
              <w:rPr>
                <w:rFonts w:ascii="Arial"/>
                <w:sz w:val="21"/>
              </w:rPr>
            </w:pPr>
          </w:p>
          <w:p w14:paraId="42DA194E">
            <w:pPr>
              <w:spacing w:line="251" w:lineRule="auto"/>
              <w:rPr>
                <w:rFonts w:ascii="Arial"/>
                <w:sz w:val="21"/>
              </w:rPr>
            </w:pPr>
          </w:p>
          <w:p w14:paraId="451C8200">
            <w:pPr>
              <w:pStyle w:val="6"/>
              <w:spacing w:before="55" w:line="238" w:lineRule="auto"/>
              <w:ind w:left="18"/>
            </w:pPr>
            <w:r>
              <w:t>√</w:t>
            </w:r>
          </w:p>
        </w:tc>
        <w:tc>
          <w:tcPr>
            <w:tcW w:w="234" w:type="dxa"/>
            <w:tcBorders>
              <w:top w:val="single" w:color="000000" w:sz="2" w:space="0"/>
              <w:bottom w:val="single" w:color="000000" w:sz="2" w:space="0"/>
            </w:tcBorders>
            <w:vAlign w:val="top"/>
          </w:tcPr>
          <w:p w14:paraId="66FEA566">
            <w:pPr>
              <w:rPr>
                <w:rFonts w:ascii="Arial"/>
                <w:sz w:val="21"/>
              </w:rPr>
            </w:pPr>
          </w:p>
        </w:tc>
      </w:tr>
      <w:tr w14:paraId="1DBD78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36" w:hRule="atLeast"/>
        </w:trPr>
        <w:tc>
          <w:tcPr>
            <w:tcW w:w="733" w:type="dxa"/>
            <w:tcBorders>
              <w:top w:val="single" w:color="000000" w:sz="2" w:space="0"/>
              <w:bottom w:val="single" w:color="000000" w:sz="2" w:space="0"/>
            </w:tcBorders>
            <w:vAlign w:val="top"/>
          </w:tcPr>
          <w:p w14:paraId="1039501B">
            <w:pPr>
              <w:spacing w:line="287" w:lineRule="auto"/>
              <w:rPr>
                <w:rFonts w:ascii="Arial"/>
                <w:sz w:val="21"/>
              </w:rPr>
            </w:pPr>
          </w:p>
          <w:p w14:paraId="2FCB25FC">
            <w:pPr>
              <w:spacing w:line="288" w:lineRule="auto"/>
              <w:rPr>
                <w:rFonts w:ascii="Arial"/>
                <w:sz w:val="21"/>
              </w:rPr>
            </w:pPr>
          </w:p>
          <w:p w14:paraId="4A7C185B">
            <w:pPr>
              <w:spacing w:line="288" w:lineRule="auto"/>
              <w:rPr>
                <w:rFonts w:ascii="Arial"/>
                <w:sz w:val="21"/>
              </w:rPr>
            </w:pPr>
          </w:p>
          <w:p w14:paraId="5C9F56F7">
            <w:pPr>
              <w:pStyle w:val="6"/>
              <w:spacing w:before="55" w:line="219" w:lineRule="auto"/>
              <w:ind w:left="14"/>
            </w:pPr>
            <w:r>
              <w:rPr>
                <w:spacing w:val="3"/>
              </w:rPr>
              <w:t>学前教育</w:t>
            </w:r>
          </w:p>
          <w:p w14:paraId="06D3626C">
            <w:pPr>
              <w:pStyle w:val="6"/>
              <w:spacing w:before="48" w:line="219" w:lineRule="auto"/>
              <w:ind w:left="105"/>
            </w:pPr>
            <w:r>
              <w:rPr>
                <w:spacing w:val="2"/>
              </w:rPr>
              <w:t>的内容</w:t>
            </w:r>
          </w:p>
        </w:tc>
        <w:tc>
          <w:tcPr>
            <w:tcW w:w="2484" w:type="dxa"/>
            <w:tcBorders>
              <w:top w:val="single" w:color="000000" w:sz="2" w:space="0"/>
              <w:bottom w:val="single" w:color="000000" w:sz="2" w:space="0"/>
            </w:tcBorders>
            <w:vAlign w:val="top"/>
          </w:tcPr>
          <w:p w14:paraId="795956C6">
            <w:pPr>
              <w:pStyle w:val="6"/>
              <w:spacing w:before="43" w:line="224" w:lineRule="auto"/>
              <w:ind w:left="11" w:right="74"/>
            </w:pPr>
            <w:r>
              <w:t>1.体育：学前儿童体育的根本任</w:t>
            </w:r>
            <w:r>
              <w:rPr>
                <w:spacing w:val="6"/>
              </w:rPr>
              <w:t xml:space="preserve"> </w:t>
            </w:r>
            <w:r>
              <w:rPr>
                <w:spacing w:val="1"/>
              </w:rPr>
              <w:t>务；体育活动的实施要点</w:t>
            </w:r>
          </w:p>
          <w:p w14:paraId="05E56A35">
            <w:pPr>
              <w:pStyle w:val="6"/>
              <w:spacing w:before="27" w:line="224" w:lineRule="auto"/>
              <w:ind w:left="11" w:right="58"/>
            </w:pPr>
            <w:r>
              <w:rPr>
                <w:spacing w:val="1"/>
              </w:rPr>
              <w:t>2.智育：学前儿童智育的主要内</w:t>
            </w:r>
            <w:r>
              <w:rPr>
                <w:spacing w:val="7"/>
              </w:rPr>
              <w:t xml:space="preserve"> </w:t>
            </w:r>
            <w:r>
              <w:rPr>
                <w:spacing w:val="1"/>
              </w:rPr>
              <w:t>容；智育实施的注意要点</w:t>
            </w:r>
          </w:p>
          <w:p w14:paraId="1AEAC400">
            <w:pPr>
              <w:pStyle w:val="6"/>
              <w:spacing w:before="27" w:line="224" w:lineRule="auto"/>
              <w:ind w:left="11"/>
            </w:pPr>
            <w:r>
              <w:rPr>
                <w:spacing w:val="5"/>
              </w:rPr>
              <w:t>3.德育：学前儿童德育的目标；</w:t>
            </w:r>
            <w:r>
              <w:rPr>
                <w:spacing w:val="6"/>
              </w:rPr>
              <w:t xml:space="preserve"> </w:t>
            </w:r>
            <w:r>
              <w:rPr>
                <w:spacing w:val="-2"/>
              </w:rPr>
              <w:t>学前儿童德育的内容</w:t>
            </w:r>
          </w:p>
          <w:p w14:paraId="770A7FC2">
            <w:pPr>
              <w:pStyle w:val="6"/>
              <w:spacing w:before="17" w:line="239" w:lineRule="auto"/>
              <w:ind w:left="11" w:right="258"/>
            </w:pPr>
            <w:r>
              <w:rPr>
                <w:spacing w:val="-1"/>
              </w:rPr>
              <w:t>4.美育：学前儿童美育实施的</w:t>
            </w:r>
            <w:r>
              <w:rPr>
                <w:spacing w:val="7"/>
              </w:rPr>
              <w:t xml:space="preserve"> </w:t>
            </w:r>
            <w:r>
              <w:rPr>
                <w:spacing w:val="3"/>
              </w:rPr>
              <w:t>注意要点</w:t>
            </w:r>
          </w:p>
          <w:p w14:paraId="19FF8C5B">
            <w:pPr>
              <w:pStyle w:val="6"/>
              <w:spacing w:before="1" w:line="234" w:lineRule="auto"/>
              <w:ind w:left="11" w:right="262"/>
            </w:pPr>
            <w:r>
              <w:rPr>
                <w:spacing w:val="-1"/>
              </w:rPr>
              <w:t>5.劳动教育：学前儿童劳动教</w:t>
            </w:r>
            <w:r>
              <w:rPr>
                <w:spacing w:val="2"/>
              </w:rPr>
              <w:t xml:space="preserve"> </w:t>
            </w:r>
            <w:r>
              <w:rPr>
                <w:spacing w:val="1"/>
              </w:rPr>
              <w:t>育实施的注意要点</w:t>
            </w:r>
          </w:p>
        </w:tc>
        <w:tc>
          <w:tcPr>
            <w:tcW w:w="230" w:type="dxa"/>
            <w:tcBorders>
              <w:top w:val="single" w:color="000000" w:sz="2" w:space="0"/>
              <w:bottom w:val="single" w:color="000000" w:sz="2" w:space="0"/>
            </w:tcBorders>
            <w:vAlign w:val="top"/>
          </w:tcPr>
          <w:p w14:paraId="177C3EC4">
            <w:pPr>
              <w:rPr>
                <w:rFonts w:ascii="Arial"/>
                <w:sz w:val="21"/>
              </w:rPr>
            </w:pPr>
          </w:p>
        </w:tc>
        <w:tc>
          <w:tcPr>
            <w:tcW w:w="229" w:type="dxa"/>
            <w:tcBorders>
              <w:top w:val="single" w:color="000000" w:sz="2" w:space="0"/>
              <w:bottom w:val="single" w:color="000000" w:sz="2" w:space="0"/>
            </w:tcBorders>
            <w:vAlign w:val="top"/>
          </w:tcPr>
          <w:p w14:paraId="6E487523">
            <w:pPr>
              <w:pStyle w:val="6"/>
              <w:spacing w:before="91" w:line="238" w:lineRule="auto"/>
              <w:jc w:val="right"/>
            </w:pPr>
            <w:r>
              <w:rPr>
                <w:spacing w:val="-49"/>
              </w:rPr>
              <w:t>√</w:t>
            </w:r>
          </w:p>
        </w:tc>
        <w:tc>
          <w:tcPr>
            <w:tcW w:w="220" w:type="dxa"/>
            <w:tcBorders>
              <w:top w:val="single" w:color="000000" w:sz="2" w:space="0"/>
              <w:bottom w:val="single" w:color="000000" w:sz="2" w:space="0"/>
            </w:tcBorders>
            <w:vAlign w:val="top"/>
          </w:tcPr>
          <w:p w14:paraId="0DE5FD37">
            <w:pPr>
              <w:rPr>
                <w:rFonts w:ascii="Arial"/>
                <w:sz w:val="21"/>
              </w:rPr>
            </w:pPr>
          </w:p>
        </w:tc>
        <w:tc>
          <w:tcPr>
            <w:tcW w:w="234" w:type="dxa"/>
            <w:tcBorders>
              <w:top w:val="single" w:color="000000" w:sz="2" w:space="0"/>
              <w:bottom w:val="single" w:color="000000" w:sz="2" w:space="0"/>
            </w:tcBorders>
            <w:vAlign w:val="top"/>
          </w:tcPr>
          <w:p w14:paraId="56F43E68">
            <w:pPr>
              <w:rPr>
                <w:rFonts w:ascii="Arial"/>
                <w:sz w:val="21"/>
              </w:rPr>
            </w:pPr>
          </w:p>
        </w:tc>
      </w:tr>
    </w:tbl>
    <w:p w14:paraId="3AF44A38">
      <w:pPr>
        <w:pStyle w:val="2"/>
        <w:spacing w:line="14" w:lineRule="auto"/>
        <w:rPr>
          <w:sz w:val="2"/>
        </w:rPr>
      </w:pPr>
    </w:p>
    <w:p w14:paraId="1C113809">
      <w:pPr>
        <w:pStyle w:val="2"/>
        <w:spacing w:line="14" w:lineRule="auto"/>
        <w:rPr>
          <w:sz w:val="2"/>
        </w:rPr>
      </w:pPr>
      <w:r>
        <w:rPr>
          <w:sz w:val="2"/>
          <w:szCs w:val="2"/>
        </w:rPr>
        <w:br w:type="column"/>
      </w:r>
    </w:p>
    <w:p w14:paraId="71ECC152">
      <w:pPr>
        <w:spacing w:line="220" w:lineRule="auto"/>
        <w:ind w:left="8"/>
        <w:rPr>
          <w:rFonts w:ascii="黑体" w:hAnsi="黑体" w:eastAsia="黑体" w:cs="黑体"/>
          <w:sz w:val="23"/>
          <w:szCs w:val="23"/>
        </w:rPr>
      </w:pPr>
      <w:r>
        <w:rPr>
          <w:rFonts w:ascii="黑体" w:hAnsi="黑体" w:eastAsia="黑体" w:cs="黑体"/>
          <w:b/>
          <w:bCs/>
          <w:spacing w:val="-6"/>
          <w:sz w:val="23"/>
          <w:szCs w:val="23"/>
        </w:rPr>
        <w:t>三、幼儿园教育的途径与原则</w:t>
      </w:r>
    </w:p>
    <w:p w14:paraId="6F1DCC49">
      <w:pPr>
        <w:spacing w:line="153" w:lineRule="exact"/>
      </w:pPr>
    </w:p>
    <w:tbl>
      <w:tblPr>
        <w:tblStyle w:val="5"/>
        <w:tblW w:w="414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33"/>
        <w:gridCol w:w="2484"/>
        <w:gridCol w:w="230"/>
        <w:gridCol w:w="230"/>
        <w:gridCol w:w="219"/>
        <w:gridCol w:w="244"/>
      </w:tblGrid>
      <w:tr w14:paraId="3F8665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4" w:hRule="atLeast"/>
        </w:trPr>
        <w:tc>
          <w:tcPr>
            <w:tcW w:w="733" w:type="dxa"/>
            <w:vMerge w:val="restart"/>
            <w:tcBorders>
              <w:bottom w:val="nil"/>
            </w:tcBorders>
            <w:vAlign w:val="top"/>
          </w:tcPr>
          <w:p w14:paraId="3862FE66">
            <w:pPr>
              <w:pStyle w:val="6"/>
              <w:spacing w:before="20" w:line="221" w:lineRule="auto"/>
              <w:ind w:left="17"/>
            </w:pPr>
            <w:r>
              <w:rPr>
                <w:b/>
                <w:bCs/>
                <w:spacing w:val="-4"/>
              </w:rPr>
              <w:t>知识与技</w:t>
            </w:r>
          </w:p>
          <w:p w14:paraId="35810996">
            <w:pPr>
              <w:pStyle w:val="6"/>
              <w:spacing w:before="26" w:line="198" w:lineRule="auto"/>
              <w:ind w:left="107"/>
            </w:pPr>
            <w:r>
              <w:rPr>
                <w:b/>
                <w:bCs/>
                <w:spacing w:val="1"/>
              </w:rPr>
              <w:t>能要点</w:t>
            </w:r>
          </w:p>
        </w:tc>
        <w:tc>
          <w:tcPr>
            <w:tcW w:w="2484" w:type="dxa"/>
            <w:vMerge w:val="restart"/>
            <w:tcBorders>
              <w:bottom w:val="nil"/>
            </w:tcBorders>
            <w:vAlign w:val="top"/>
          </w:tcPr>
          <w:p w14:paraId="6BA85D9C">
            <w:pPr>
              <w:pStyle w:val="6"/>
              <w:spacing w:before="139" w:line="219" w:lineRule="auto"/>
              <w:ind w:left="934"/>
            </w:pPr>
            <w:r>
              <w:rPr>
                <w:b/>
                <w:bCs/>
                <w:spacing w:val="5"/>
              </w:rPr>
              <w:t>考试条目</w:t>
            </w:r>
          </w:p>
        </w:tc>
        <w:tc>
          <w:tcPr>
            <w:tcW w:w="923" w:type="dxa"/>
            <w:gridSpan w:val="4"/>
            <w:vAlign w:val="top"/>
          </w:tcPr>
          <w:p w14:paraId="0F101AF1">
            <w:pPr>
              <w:pStyle w:val="6"/>
              <w:spacing w:before="28" w:line="201" w:lineRule="auto"/>
              <w:ind w:left="140"/>
            </w:pPr>
            <w:r>
              <w:rPr>
                <w:b/>
                <w:bCs/>
                <w:spacing w:val="-4"/>
              </w:rPr>
              <w:t>考试水平</w:t>
            </w:r>
          </w:p>
        </w:tc>
      </w:tr>
      <w:tr w14:paraId="02DF98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9" w:hRule="atLeast"/>
        </w:trPr>
        <w:tc>
          <w:tcPr>
            <w:tcW w:w="733" w:type="dxa"/>
            <w:vMerge w:val="continue"/>
            <w:tcBorders>
              <w:top w:val="nil"/>
            </w:tcBorders>
            <w:vAlign w:val="top"/>
          </w:tcPr>
          <w:p w14:paraId="23472D0D">
            <w:pPr>
              <w:rPr>
                <w:rFonts w:ascii="Arial"/>
                <w:sz w:val="21"/>
              </w:rPr>
            </w:pPr>
          </w:p>
        </w:tc>
        <w:tc>
          <w:tcPr>
            <w:tcW w:w="2484" w:type="dxa"/>
            <w:vMerge w:val="continue"/>
            <w:tcBorders>
              <w:top w:val="nil"/>
            </w:tcBorders>
            <w:vAlign w:val="top"/>
          </w:tcPr>
          <w:p w14:paraId="116ECA87">
            <w:pPr>
              <w:rPr>
                <w:rFonts w:ascii="Arial"/>
                <w:sz w:val="21"/>
              </w:rPr>
            </w:pPr>
          </w:p>
        </w:tc>
        <w:tc>
          <w:tcPr>
            <w:tcW w:w="230" w:type="dxa"/>
            <w:vAlign w:val="top"/>
          </w:tcPr>
          <w:p w14:paraId="274D420D">
            <w:pPr>
              <w:pStyle w:val="6"/>
              <w:spacing w:before="60" w:line="139" w:lineRule="exact"/>
              <w:ind w:left="50"/>
            </w:pPr>
            <w:r>
              <w:rPr>
                <w:b/>
                <w:bCs/>
                <w:spacing w:val="-2"/>
                <w:position w:val="-2"/>
              </w:rPr>
              <w:t>A</w:t>
            </w:r>
          </w:p>
        </w:tc>
        <w:tc>
          <w:tcPr>
            <w:tcW w:w="230" w:type="dxa"/>
            <w:vAlign w:val="top"/>
          </w:tcPr>
          <w:p w14:paraId="60F0E75D">
            <w:pPr>
              <w:pStyle w:val="6"/>
              <w:spacing w:before="62" w:line="137" w:lineRule="exact"/>
              <w:ind w:left="20"/>
            </w:pPr>
            <w:r>
              <w:rPr>
                <w:b/>
                <w:bCs/>
                <w:spacing w:val="-2"/>
                <w:position w:val="-2"/>
              </w:rPr>
              <w:t>B</w:t>
            </w:r>
          </w:p>
        </w:tc>
        <w:tc>
          <w:tcPr>
            <w:tcW w:w="219" w:type="dxa"/>
            <w:vAlign w:val="top"/>
          </w:tcPr>
          <w:p w14:paraId="7040D6B0">
            <w:pPr>
              <w:pStyle w:val="6"/>
              <w:spacing w:before="60" w:line="139" w:lineRule="exact"/>
              <w:ind w:left="50"/>
            </w:pPr>
            <w:r>
              <w:rPr>
                <w:b/>
                <w:bCs/>
                <w:spacing w:val="-2"/>
                <w:position w:val="-2"/>
              </w:rPr>
              <w:t>C</w:t>
            </w:r>
          </w:p>
        </w:tc>
        <w:tc>
          <w:tcPr>
            <w:tcW w:w="244" w:type="dxa"/>
            <w:vAlign w:val="top"/>
          </w:tcPr>
          <w:p w14:paraId="47299BD7">
            <w:pPr>
              <w:pStyle w:val="6"/>
              <w:spacing w:before="62" w:line="137" w:lineRule="exact"/>
              <w:ind w:left="31"/>
            </w:pPr>
            <w:r>
              <w:rPr>
                <w:b/>
                <w:bCs/>
                <w:spacing w:val="-2"/>
                <w:position w:val="-2"/>
              </w:rPr>
              <w:t>D</w:t>
            </w:r>
          </w:p>
        </w:tc>
      </w:tr>
      <w:tr w14:paraId="61D5CB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86" w:hRule="atLeast"/>
        </w:trPr>
        <w:tc>
          <w:tcPr>
            <w:tcW w:w="733" w:type="dxa"/>
            <w:vAlign w:val="top"/>
          </w:tcPr>
          <w:p w14:paraId="3733F1D6">
            <w:pPr>
              <w:pStyle w:val="6"/>
              <w:spacing w:before="199" w:line="232" w:lineRule="auto"/>
              <w:ind w:left="105" w:right="92"/>
              <w:jc w:val="both"/>
            </w:pPr>
            <w:r>
              <w:rPr>
                <w:spacing w:val="5"/>
              </w:rPr>
              <w:t>幼儿园</w:t>
            </w:r>
            <w:r>
              <w:t xml:space="preserve"> </w:t>
            </w:r>
            <w:r>
              <w:rPr>
                <w:spacing w:val="4"/>
              </w:rPr>
              <w:t>教育的</w:t>
            </w:r>
            <w:r>
              <w:t xml:space="preserve"> </w:t>
            </w:r>
            <w:r>
              <w:rPr>
                <w:spacing w:val="36"/>
              </w:rPr>
              <w:t>途径</w:t>
            </w:r>
          </w:p>
        </w:tc>
        <w:tc>
          <w:tcPr>
            <w:tcW w:w="2484" w:type="dxa"/>
            <w:vAlign w:val="top"/>
          </w:tcPr>
          <w:p w14:paraId="3D4464FA">
            <w:pPr>
              <w:pStyle w:val="6"/>
              <w:spacing w:before="89" w:line="236" w:lineRule="auto"/>
              <w:ind w:left="12" w:right="753"/>
            </w:pPr>
            <w:r>
              <w:t>1.生活活动的各个环节</w:t>
            </w:r>
            <w:r>
              <w:rPr>
                <w:spacing w:val="7"/>
              </w:rPr>
              <w:t xml:space="preserve"> </w:t>
            </w:r>
            <w:r>
              <w:rPr>
                <w:spacing w:val="1"/>
              </w:rPr>
              <w:t>2.区域游戏的特点</w:t>
            </w:r>
          </w:p>
          <w:p w14:paraId="743C0FD3">
            <w:pPr>
              <w:pStyle w:val="6"/>
              <w:spacing w:before="3" w:line="236" w:lineRule="auto"/>
              <w:ind w:left="12" w:right="87"/>
            </w:pPr>
            <w:r>
              <w:rPr>
                <w:spacing w:val="1"/>
              </w:rPr>
              <w:t>3.幼儿园集体教学活动的特点</w:t>
            </w:r>
            <w:r>
              <w:t xml:space="preserve">  </w:t>
            </w:r>
            <w:r>
              <w:rPr>
                <w:spacing w:val="-1"/>
              </w:rPr>
              <w:t>4.幼儿园的物质环境与精神环境</w:t>
            </w:r>
          </w:p>
        </w:tc>
        <w:tc>
          <w:tcPr>
            <w:tcW w:w="230" w:type="dxa"/>
            <w:vAlign w:val="top"/>
          </w:tcPr>
          <w:p w14:paraId="2191C7F3">
            <w:pPr>
              <w:rPr>
                <w:rFonts w:ascii="Arial"/>
                <w:sz w:val="21"/>
              </w:rPr>
            </w:pPr>
          </w:p>
        </w:tc>
        <w:tc>
          <w:tcPr>
            <w:tcW w:w="230" w:type="dxa"/>
            <w:vAlign w:val="top"/>
          </w:tcPr>
          <w:p w14:paraId="6927EF17">
            <w:pPr>
              <w:rPr>
                <w:rFonts w:ascii="Arial"/>
                <w:sz w:val="21"/>
              </w:rPr>
            </w:pPr>
          </w:p>
        </w:tc>
        <w:tc>
          <w:tcPr>
            <w:tcW w:w="219" w:type="dxa"/>
            <w:vAlign w:val="top"/>
          </w:tcPr>
          <w:p w14:paraId="7AE5963A">
            <w:pPr>
              <w:rPr>
                <w:rFonts w:ascii="Arial"/>
                <w:sz w:val="21"/>
              </w:rPr>
            </w:pPr>
          </w:p>
        </w:tc>
        <w:tc>
          <w:tcPr>
            <w:tcW w:w="244" w:type="dxa"/>
            <w:vAlign w:val="top"/>
          </w:tcPr>
          <w:p w14:paraId="3E7712FE">
            <w:pPr>
              <w:rPr>
                <w:rFonts w:ascii="Arial"/>
                <w:sz w:val="21"/>
              </w:rPr>
            </w:pPr>
          </w:p>
        </w:tc>
      </w:tr>
      <w:tr w14:paraId="772F8F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30" w:hRule="atLeast"/>
        </w:trPr>
        <w:tc>
          <w:tcPr>
            <w:tcW w:w="733" w:type="dxa"/>
            <w:vAlign w:val="top"/>
          </w:tcPr>
          <w:p w14:paraId="2DD8AF00">
            <w:pPr>
              <w:spacing w:line="424" w:lineRule="auto"/>
              <w:rPr>
                <w:rFonts w:ascii="Arial"/>
                <w:sz w:val="21"/>
              </w:rPr>
            </w:pPr>
          </w:p>
          <w:p w14:paraId="59F9800B">
            <w:pPr>
              <w:pStyle w:val="6"/>
              <w:spacing w:before="55" w:line="233" w:lineRule="auto"/>
              <w:ind w:left="105" w:right="92"/>
              <w:jc w:val="both"/>
            </w:pPr>
            <w:r>
              <w:rPr>
                <w:spacing w:val="5"/>
              </w:rPr>
              <w:t>幼儿园</w:t>
            </w:r>
            <w:r>
              <w:t xml:space="preserve"> </w:t>
            </w:r>
            <w:r>
              <w:rPr>
                <w:spacing w:val="4"/>
              </w:rPr>
              <w:t>教育的</w:t>
            </w:r>
            <w:r>
              <w:t xml:space="preserve"> </w:t>
            </w:r>
            <w:r>
              <w:rPr>
                <w:spacing w:val="20"/>
                <w:w w:val="116"/>
              </w:rPr>
              <w:t>原则</w:t>
            </w:r>
          </w:p>
        </w:tc>
        <w:tc>
          <w:tcPr>
            <w:tcW w:w="2484" w:type="dxa"/>
            <w:vAlign w:val="top"/>
          </w:tcPr>
          <w:p w14:paraId="5EDFC553">
            <w:pPr>
              <w:pStyle w:val="6"/>
              <w:spacing w:before="43" w:line="218" w:lineRule="auto"/>
              <w:ind w:left="12" w:right="56" w:firstLine="9"/>
            </w:pPr>
            <w:r>
              <w:rPr>
                <w:spacing w:val="1"/>
              </w:rPr>
              <w:t>1.保障环境卫生与幼儿安全原则</w:t>
            </w:r>
            <w:r>
              <w:t xml:space="preserve"> 2.尊重幼儿的人格与合法权利</w:t>
            </w:r>
          </w:p>
          <w:p w14:paraId="5905432C">
            <w:pPr>
              <w:pStyle w:val="6"/>
              <w:spacing w:before="38" w:line="220" w:lineRule="auto"/>
              <w:ind w:left="12"/>
            </w:pPr>
            <w:r>
              <w:rPr>
                <w:spacing w:val="7"/>
              </w:rPr>
              <w:t>原则</w:t>
            </w:r>
          </w:p>
          <w:p w14:paraId="1AA80CC1">
            <w:pPr>
              <w:pStyle w:val="6"/>
              <w:spacing w:before="16" w:line="237" w:lineRule="auto"/>
              <w:ind w:left="12" w:right="576"/>
            </w:pPr>
            <w:r>
              <w:rPr>
                <w:spacing w:val="1"/>
              </w:rPr>
              <w:t>3.促进幼儿全面发展原则</w:t>
            </w:r>
            <w:r>
              <w:rPr>
                <w:spacing w:val="2"/>
              </w:rPr>
              <w:t xml:space="preserve"> </w:t>
            </w:r>
            <w:r>
              <w:rPr>
                <w:spacing w:val="1"/>
              </w:rPr>
              <w:t>4.保教结合原则</w:t>
            </w:r>
          </w:p>
          <w:p w14:paraId="65E301D8">
            <w:pPr>
              <w:pStyle w:val="6"/>
              <w:spacing w:before="3" w:line="218" w:lineRule="auto"/>
              <w:ind w:left="12"/>
            </w:pPr>
            <w:r>
              <w:rPr>
                <w:spacing w:val="1"/>
              </w:rPr>
              <w:t>5.以游戏为基本活动的原则</w:t>
            </w:r>
          </w:p>
          <w:p w14:paraId="471D466D">
            <w:pPr>
              <w:pStyle w:val="6"/>
              <w:spacing w:line="192" w:lineRule="auto"/>
              <w:ind w:left="12"/>
            </w:pPr>
            <w:r>
              <w:rPr>
                <w:spacing w:val="1"/>
              </w:rPr>
              <w:t>6.与家庭、社区积极合作的原则</w:t>
            </w:r>
          </w:p>
        </w:tc>
        <w:tc>
          <w:tcPr>
            <w:tcW w:w="230" w:type="dxa"/>
            <w:vAlign w:val="top"/>
          </w:tcPr>
          <w:p w14:paraId="44A58DE3">
            <w:pPr>
              <w:rPr>
                <w:rFonts w:ascii="Arial"/>
                <w:sz w:val="21"/>
              </w:rPr>
            </w:pPr>
          </w:p>
        </w:tc>
        <w:tc>
          <w:tcPr>
            <w:tcW w:w="230" w:type="dxa"/>
            <w:vAlign w:val="top"/>
          </w:tcPr>
          <w:p w14:paraId="3674A0E1">
            <w:pPr>
              <w:rPr>
                <w:rFonts w:ascii="Arial"/>
                <w:sz w:val="21"/>
              </w:rPr>
            </w:pPr>
          </w:p>
        </w:tc>
        <w:tc>
          <w:tcPr>
            <w:tcW w:w="219" w:type="dxa"/>
            <w:vAlign w:val="top"/>
          </w:tcPr>
          <w:p w14:paraId="0DD98724">
            <w:pPr>
              <w:rPr>
                <w:rFonts w:ascii="Arial"/>
                <w:sz w:val="21"/>
              </w:rPr>
            </w:pPr>
          </w:p>
        </w:tc>
        <w:tc>
          <w:tcPr>
            <w:tcW w:w="244" w:type="dxa"/>
            <w:vAlign w:val="top"/>
          </w:tcPr>
          <w:p w14:paraId="45B8E1E1">
            <w:pPr>
              <w:rPr>
                <w:rFonts w:ascii="Arial"/>
                <w:sz w:val="21"/>
              </w:rPr>
            </w:pPr>
          </w:p>
        </w:tc>
      </w:tr>
    </w:tbl>
    <w:p w14:paraId="69BFDCB3">
      <w:pPr>
        <w:spacing w:before="169" w:line="221" w:lineRule="auto"/>
        <w:ind w:left="8"/>
        <w:rPr>
          <w:rFonts w:ascii="黑体" w:hAnsi="黑体" w:eastAsia="黑体" w:cs="黑体"/>
          <w:sz w:val="23"/>
          <w:szCs w:val="23"/>
        </w:rPr>
      </w:pPr>
      <w:r>
        <w:rPr>
          <w:rFonts w:ascii="黑体" w:hAnsi="黑体" w:eastAsia="黑体" w:cs="黑体"/>
          <w:b/>
          <w:bCs/>
          <w:spacing w:val="-9"/>
          <w:sz w:val="23"/>
          <w:szCs w:val="23"/>
        </w:rPr>
        <w:t>四、学前儿童与教师</w:t>
      </w:r>
    </w:p>
    <w:p w14:paraId="0AB655F8">
      <w:pPr>
        <w:spacing w:line="155" w:lineRule="exact"/>
      </w:pPr>
    </w:p>
    <w:tbl>
      <w:tblPr>
        <w:tblStyle w:val="5"/>
        <w:tblW w:w="414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33"/>
        <w:gridCol w:w="2484"/>
        <w:gridCol w:w="230"/>
        <w:gridCol w:w="230"/>
        <w:gridCol w:w="219"/>
        <w:gridCol w:w="244"/>
      </w:tblGrid>
      <w:tr w14:paraId="4D2064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4" w:hRule="atLeast"/>
        </w:trPr>
        <w:tc>
          <w:tcPr>
            <w:tcW w:w="733" w:type="dxa"/>
            <w:vMerge w:val="restart"/>
            <w:tcBorders>
              <w:bottom w:val="nil"/>
            </w:tcBorders>
            <w:vAlign w:val="top"/>
          </w:tcPr>
          <w:p w14:paraId="4CB7DC39">
            <w:pPr>
              <w:pStyle w:val="6"/>
              <w:spacing w:before="21" w:line="216" w:lineRule="auto"/>
              <w:ind w:left="86" w:hanging="69"/>
              <w:rPr>
                <w:sz w:val="18"/>
                <w:szCs w:val="18"/>
              </w:rPr>
            </w:pPr>
            <w:r>
              <w:rPr>
                <w:b/>
                <w:bCs/>
                <w:spacing w:val="-6"/>
                <w:sz w:val="18"/>
                <w:szCs w:val="18"/>
              </w:rPr>
              <w:t>知识与技</w:t>
            </w:r>
            <w:r>
              <w:rPr>
                <w:sz w:val="18"/>
                <w:szCs w:val="18"/>
              </w:rPr>
              <w:t xml:space="preserve"> </w:t>
            </w:r>
            <w:r>
              <w:rPr>
                <w:b/>
                <w:bCs/>
                <w:sz w:val="18"/>
                <w:szCs w:val="18"/>
              </w:rPr>
              <w:t>能要点</w:t>
            </w:r>
          </w:p>
        </w:tc>
        <w:tc>
          <w:tcPr>
            <w:tcW w:w="2484" w:type="dxa"/>
            <w:vMerge w:val="restart"/>
            <w:tcBorders>
              <w:bottom w:val="nil"/>
            </w:tcBorders>
            <w:vAlign w:val="top"/>
          </w:tcPr>
          <w:p w14:paraId="701AEE1F">
            <w:pPr>
              <w:pStyle w:val="6"/>
              <w:spacing w:before="139" w:line="219" w:lineRule="auto"/>
              <w:ind w:left="924"/>
              <w:rPr>
                <w:sz w:val="18"/>
                <w:szCs w:val="18"/>
              </w:rPr>
            </w:pPr>
            <w:r>
              <w:rPr>
                <w:b/>
                <w:bCs/>
                <w:spacing w:val="5"/>
                <w:sz w:val="18"/>
                <w:szCs w:val="18"/>
              </w:rPr>
              <w:t>考试条目</w:t>
            </w:r>
          </w:p>
        </w:tc>
        <w:tc>
          <w:tcPr>
            <w:tcW w:w="923" w:type="dxa"/>
            <w:gridSpan w:val="4"/>
            <w:vAlign w:val="top"/>
          </w:tcPr>
          <w:p w14:paraId="400F2568">
            <w:pPr>
              <w:pStyle w:val="6"/>
              <w:spacing w:before="19" w:line="199" w:lineRule="auto"/>
              <w:ind w:left="130"/>
              <w:rPr>
                <w:sz w:val="18"/>
                <w:szCs w:val="18"/>
              </w:rPr>
            </w:pPr>
            <w:r>
              <w:rPr>
                <w:b/>
                <w:bCs/>
                <w:spacing w:val="-4"/>
                <w:sz w:val="18"/>
                <w:szCs w:val="18"/>
              </w:rPr>
              <w:t>考试水平</w:t>
            </w:r>
          </w:p>
        </w:tc>
      </w:tr>
      <w:tr w14:paraId="57E73B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9" w:hRule="atLeast"/>
        </w:trPr>
        <w:tc>
          <w:tcPr>
            <w:tcW w:w="733" w:type="dxa"/>
            <w:vMerge w:val="continue"/>
            <w:tcBorders>
              <w:top w:val="nil"/>
            </w:tcBorders>
            <w:vAlign w:val="top"/>
          </w:tcPr>
          <w:p w14:paraId="4129ACF4">
            <w:pPr>
              <w:rPr>
                <w:rFonts w:ascii="Arial"/>
                <w:sz w:val="21"/>
              </w:rPr>
            </w:pPr>
          </w:p>
        </w:tc>
        <w:tc>
          <w:tcPr>
            <w:tcW w:w="2484" w:type="dxa"/>
            <w:vMerge w:val="continue"/>
            <w:tcBorders>
              <w:top w:val="nil"/>
            </w:tcBorders>
            <w:vAlign w:val="top"/>
          </w:tcPr>
          <w:p w14:paraId="2DB5D7C5">
            <w:pPr>
              <w:rPr>
                <w:rFonts w:ascii="Arial"/>
                <w:sz w:val="21"/>
              </w:rPr>
            </w:pPr>
          </w:p>
        </w:tc>
        <w:tc>
          <w:tcPr>
            <w:tcW w:w="230" w:type="dxa"/>
            <w:vAlign w:val="top"/>
          </w:tcPr>
          <w:p w14:paraId="2FD6BD3B">
            <w:pPr>
              <w:pStyle w:val="6"/>
              <w:spacing w:before="63" w:line="146" w:lineRule="exact"/>
              <w:ind w:left="67"/>
              <w:rPr>
                <w:sz w:val="18"/>
                <w:szCs w:val="18"/>
              </w:rPr>
            </w:pPr>
            <w:r>
              <w:rPr>
                <w:position w:val="-2"/>
                <w:sz w:val="18"/>
                <w:szCs w:val="18"/>
              </w:rPr>
              <w:t>A</w:t>
            </w:r>
          </w:p>
        </w:tc>
        <w:tc>
          <w:tcPr>
            <w:tcW w:w="230" w:type="dxa"/>
            <w:vAlign w:val="top"/>
          </w:tcPr>
          <w:p w14:paraId="7F43D008">
            <w:pPr>
              <w:pStyle w:val="6"/>
              <w:spacing w:before="66" w:line="143" w:lineRule="exact"/>
              <w:ind w:left="40"/>
              <w:rPr>
                <w:sz w:val="18"/>
                <w:szCs w:val="18"/>
              </w:rPr>
            </w:pPr>
            <w:r>
              <w:rPr>
                <w:b/>
                <w:bCs/>
                <w:spacing w:val="-2"/>
                <w:position w:val="-2"/>
                <w:sz w:val="18"/>
                <w:szCs w:val="18"/>
              </w:rPr>
              <w:t>B</w:t>
            </w:r>
          </w:p>
        </w:tc>
        <w:tc>
          <w:tcPr>
            <w:tcW w:w="219" w:type="dxa"/>
            <w:vAlign w:val="top"/>
          </w:tcPr>
          <w:p w14:paraId="1250E485">
            <w:pPr>
              <w:pStyle w:val="6"/>
              <w:spacing w:before="64" w:line="145" w:lineRule="exact"/>
              <w:ind w:left="17"/>
              <w:rPr>
                <w:sz w:val="18"/>
                <w:szCs w:val="18"/>
              </w:rPr>
            </w:pPr>
            <w:r>
              <w:rPr>
                <w:position w:val="-2"/>
                <w:sz w:val="18"/>
                <w:szCs w:val="18"/>
              </w:rPr>
              <w:t>C</w:t>
            </w:r>
          </w:p>
        </w:tc>
        <w:tc>
          <w:tcPr>
            <w:tcW w:w="244" w:type="dxa"/>
            <w:vAlign w:val="top"/>
          </w:tcPr>
          <w:p w14:paraId="23E969DB">
            <w:pPr>
              <w:pStyle w:val="6"/>
              <w:spacing w:before="66" w:line="143" w:lineRule="exact"/>
              <w:ind w:left="31"/>
              <w:rPr>
                <w:sz w:val="18"/>
                <w:szCs w:val="18"/>
              </w:rPr>
            </w:pPr>
            <w:r>
              <w:rPr>
                <w:b/>
                <w:bCs/>
                <w:spacing w:val="-2"/>
                <w:position w:val="-2"/>
                <w:sz w:val="18"/>
                <w:szCs w:val="18"/>
              </w:rPr>
              <w:t>D</w:t>
            </w:r>
          </w:p>
        </w:tc>
      </w:tr>
      <w:tr w14:paraId="18EBA2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77" w:hRule="atLeast"/>
        </w:trPr>
        <w:tc>
          <w:tcPr>
            <w:tcW w:w="733" w:type="dxa"/>
            <w:vAlign w:val="top"/>
          </w:tcPr>
          <w:p w14:paraId="32DB6245">
            <w:pPr>
              <w:spacing w:line="289" w:lineRule="auto"/>
              <w:rPr>
                <w:rFonts w:ascii="Arial"/>
                <w:sz w:val="21"/>
              </w:rPr>
            </w:pPr>
          </w:p>
          <w:p w14:paraId="6D282A81">
            <w:pPr>
              <w:pStyle w:val="6"/>
              <w:spacing w:before="59" w:line="217" w:lineRule="auto"/>
              <w:ind w:left="174" w:right="198"/>
              <w:rPr>
                <w:sz w:val="18"/>
                <w:szCs w:val="18"/>
              </w:rPr>
            </w:pPr>
            <w:r>
              <w:rPr>
                <w:spacing w:val="-6"/>
                <w:sz w:val="18"/>
                <w:szCs w:val="18"/>
              </w:rPr>
              <w:t>学前</w:t>
            </w:r>
            <w:r>
              <w:rPr>
                <w:sz w:val="18"/>
                <w:szCs w:val="18"/>
              </w:rPr>
              <w:t xml:space="preserve"> </w:t>
            </w:r>
            <w:r>
              <w:rPr>
                <w:spacing w:val="-6"/>
                <w:sz w:val="18"/>
                <w:szCs w:val="18"/>
              </w:rPr>
              <w:t>儿童</w:t>
            </w:r>
          </w:p>
        </w:tc>
        <w:tc>
          <w:tcPr>
            <w:tcW w:w="2484" w:type="dxa"/>
            <w:vAlign w:val="top"/>
          </w:tcPr>
          <w:p w14:paraId="5817B5F8">
            <w:pPr>
              <w:pStyle w:val="6"/>
              <w:spacing w:before="39" w:line="215" w:lineRule="auto"/>
              <w:ind w:left="21"/>
              <w:rPr>
                <w:sz w:val="18"/>
                <w:szCs w:val="18"/>
              </w:rPr>
            </w:pPr>
            <w:r>
              <w:rPr>
                <w:spacing w:val="1"/>
                <w:sz w:val="18"/>
                <w:szCs w:val="18"/>
              </w:rPr>
              <w:t>1.儿童享有各种合法权利</w:t>
            </w:r>
          </w:p>
          <w:p w14:paraId="2CC4A09B">
            <w:pPr>
              <w:pStyle w:val="6"/>
              <w:spacing w:before="1" w:line="220" w:lineRule="auto"/>
              <w:ind w:left="21" w:hanging="9"/>
              <w:rPr>
                <w:sz w:val="18"/>
                <w:szCs w:val="18"/>
              </w:rPr>
            </w:pPr>
            <w:r>
              <w:rPr>
                <w:spacing w:val="-6"/>
                <w:sz w:val="18"/>
                <w:szCs w:val="18"/>
              </w:rPr>
              <w:t>2.儿童发展观的含义，儿童发</w:t>
            </w:r>
            <w:r>
              <w:rPr>
                <w:spacing w:val="3"/>
                <w:sz w:val="18"/>
                <w:szCs w:val="18"/>
              </w:rPr>
              <w:t xml:space="preserve">   </w:t>
            </w:r>
            <w:r>
              <w:rPr>
                <w:spacing w:val="1"/>
                <w:sz w:val="18"/>
                <w:szCs w:val="18"/>
              </w:rPr>
              <w:t>展观的主要观点(遗传决定论、</w:t>
            </w:r>
          </w:p>
          <w:p w14:paraId="562DC356">
            <w:pPr>
              <w:pStyle w:val="6"/>
              <w:spacing w:before="1" w:line="198" w:lineRule="auto"/>
              <w:ind w:left="21" w:right="641"/>
              <w:rPr>
                <w:sz w:val="18"/>
                <w:szCs w:val="18"/>
              </w:rPr>
            </w:pPr>
            <w:r>
              <w:rPr>
                <w:spacing w:val="3"/>
                <w:sz w:val="18"/>
                <w:szCs w:val="18"/>
              </w:rPr>
              <w:t>环境决定论、复合论)</w:t>
            </w:r>
            <w:r>
              <w:rPr>
                <w:spacing w:val="8"/>
                <w:sz w:val="18"/>
                <w:szCs w:val="18"/>
              </w:rPr>
              <w:t xml:space="preserve"> </w:t>
            </w:r>
            <w:r>
              <w:rPr>
                <w:sz w:val="18"/>
                <w:szCs w:val="18"/>
              </w:rPr>
              <w:t>3.儿童发展的基本认识</w:t>
            </w:r>
          </w:p>
        </w:tc>
        <w:tc>
          <w:tcPr>
            <w:tcW w:w="230" w:type="dxa"/>
            <w:vAlign w:val="top"/>
          </w:tcPr>
          <w:p w14:paraId="01D389C9">
            <w:pPr>
              <w:pStyle w:val="6"/>
              <w:spacing w:before="60" w:line="238" w:lineRule="auto"/>
              <w:ind w:left="47"/>
              <w:rPr>
                <w:sz w:val="13"/>
                <w:szCs w:val="13"/>
              </w:rPr>
            </w:pPr>
            <w:r>
              <w:rPr>
                <w:sz w:val="13"/>
                <w:szCs w:val="13"/>
              </w:rPr>
              <w:t>√</w:t>
            </w:r>
          </w:p>
        </w:tc>
        <w:tc>
          <w:tcPr>
            <w:tcW w:w="230" w:type="dxa"/>
            <w:vAlign w:val="top"/>
          </w:tcPr>
          <w:p w14:paraId="1DA7B21B">
            <w:pPr>
              <w:rPr>
                <w:rFonts w:ascii="Arial"/>
                <w:sz w:val="21"/>
              </w:rPr>
            </w:pPr>
          </w:p>
        </w:tc>
        <w:tc>
          <w:tcPr>
            <w:tcW w:w="219" w:type="dxa"/>
            <w:vAlign w:val="top"/>
          </w:tcPr>
          <w:p w14:paraId="1B635621">
            <w:pPr>
              <w:spacing w:line="294" w:lineRule="auto"/>
              <w:rPr>
                <w:rFonts w:ascii="Arial"/>
                <w:sz w:val="21"/>
              </w:rPr>
            </w:pPr>
          </w:p>
          <w:p w14:paraId="0A94E0F4">
            <w:pPr>
              <w:spacing w:line="294" w:lineRule="auto"/>
              <w:rPr>
                <w:rFonts w:ascii="Arial"/>
                <w:sz w:val="21"/>
              </w:rPr>
            </w:pPr>
          </w:p>
          <w:p w14:paraId="74B03FDC">
            <w:pPr>
              <w:spacing w:line="294" w:lineRule="auto"/>
              <w:rPr>
                <w:rFonts w:ascii="Arial"/>
                <w:sz w:val="21"/>
              </w:rPr>
            </w:pPr>
          </w:p>
          <w:p w14:paraId="53F771A9">
            <w:pPr>
              <w:pStyle w:val="6"/>
              <w:spacing w:before="42" w:line="194" w:lineRule="auto"/>
              <w:ind w:left="17"/>
              <w:rPr>
                <w:sz w:val="13"/>
                <w:szCs w:val="13"/>
              </w:rPr>
            </w:pPr>
            <w:r>
              <w:rPr>
                <w:sz w:val="13"/>
                <w:szCs w:val="13"/>
              </w:rPr>
              <w:t>√</w:t>
            </w:r>
          </w:p>
        </w:tc>
        <w:tc>
          <w:tcPr>
            <w:tcW w:w="244" w:type="dxa"/>
            <w:vAlign w:val="top"/>
          </w:tcPr>
          <w:p w14:paraId="692D89CC">
            <w:pPr>
              <w:rPr>
                <w:rFonts w:ascii="Arial"/>
                <w:sz w:val="21"/>
              </w:rPr>
            </w:pPr>
          </w:p>
        </w:tc>
      </w:tr>
      <w:tr w14:paraId="077CAB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27" w:hRule="atLeast"/>
        </w:trPr>
        <w:tc>
          <w:tcPr>
            <w:tcW w:w="733" w:type="dxa"/>
            <w:vAlign w:val="top"/>
          </w:tcPr>
          <w:p w14:paraId="4FE81B8C">
            <w:pPr>
              <w:spacing w:line="322" w:lineRule="auto"/>
              <w:rPr>
                <w:rFonts w:ascii="Arial"/>
                <w:sz w:val="21"/>
              </w:rPr>
            </w:pPr>
          </w:p>
          <w:p w14:paraId="34F98612">
            <w:pPr>
              <w:pStyle w:val="6"/>
              <w:spacing w:before="58" w:line="219" w:lineRule="auto"/>
              <w:ind w:left="174"/>
              <w:rPr>
                <w:sz w:val="18"/>
                <w:szCs w:val="18"/>
              </w:rPr>
            </w:pPr>
            <w:r>
              <w:rPr>
                <w:spacing w:val="-3"/>
                <w:sz w:val="18"/>
                <w:szCs w:val="18"/>
              </w:rPr>
              <w:t>教师</w:t>
            </w:r>
          </w:p>
        </w:tc>
        <w:tc>
          <w:tcPr>
            <w:tcW w:w="2484" w:type="dxa"/>
            <w:vAlign w:val="top"/>
          </w:tcPr>
          <w:p w14:paraId="2983EF73">
            <w:pPr>
              <w:pStyle w:val="6"/>
              <w:spacing w:before="63" w:line="222" w:lineRule="auto"/>
              <w:ind w:left="12"/>
              <w:rPr>
                <w:sz w:val="18"/>
                <w:szCs w:val="18"/>
              </w:rPr>
            </w:pPr>
            <w:r>
              <w:rPr>
                <w:spacing w:val="-4"/>
                <w:sz w:val="18"/>
                <w:szCs w:val="18"/>
              </w:rPr>
              <w:t>1.幼儿园教师的身份与职责要求</w:t>
            </w:r>
            <w:r>
              <w:rPr>
                <w:sz w:val="18"/>
                <w:szCs w:val="18"/>
              </w:rPr>
              <w:t xml:space="preserve"> </w:t>
            </w:r>
            <w:r>
              <w:rPr>
                <w:spacing w:val="-2"/>
                <w:sz w:val="18"/>
                <w:szCs w:val="18"/>
              </w:rPr>
              <w:t>2.幼儿园教师的素质要求(专</w:t>
            </w:r>
          </w:p>
          <w:p w14:paraId="7154DA2A">
            <w:pPr>
              <w:pStyle w:val="6"/>
              <w:spacing w:before="5" w:line="213" w:lineRule="auto"/>
              <w:ind w:left="21" w:right="98" w:firstLine="20"/>
              <w:rPr>
                <w:sz w:val="18"/>
                <w:szCs w:val="18"/>
              </w:rPr>
            </w:pPr>
            <w:r>
              <w:rPr>
                <w:spacing w:val="-1"/>
                <w:sz w:val="18"/>
                <w:szCs w:val="18"/>
              </w:rPr>
              <w:t>业理念与师德、专业知识、专</w:t>
            </w:r>
            <w:r>
              <w:rPr>
                <w:spacing w:val="5"/>
                <w:sz w:val="18"/>
                <w:szCs w:val="18"/>
              </w:rPr>
              <w:t xml:space="preserve"> </w:t>
            </w:r>
            <w:r>
              <w:rPr>
                <w:spacing w:val="9"/>
                <w:sz w:val="18"/>
                <w:szCs w:val="18"/>
              </w:rPr>
              <w:t>业能力)</w:t>
            </w:r>
          </w:p>
        </w:tc>
        <w:tc>
          <w:tcPr>
            <w:tcW w:w="230" w:type="dxa"/>
            <w:vAlign w:val="top"/>
          </w:tcPr>
          <w:p w14:paraId="698C3CEE">
            <w:pPr>
              <w:pStyle w:val="6"/>
              <w:spacing w:before="63" w:line="238" w:lineRule="auto"/>
              <w:ind w:left="47"/>
              <w:rPr>
                <w:sz w:val="13"/>
                <w:szCs w:val="13"/>
              </w:rPr>
            </w:pPr>
            <w:r>
              <w:rPr>
                <w:sz w:val="13"/>
                <w:szCs w:val="13"/>
              </w:rPr>
              <w:t>√</w:t>
            </w:r>
          </w:p>
        </w:tc>
        <w:tc>
          <w:tcPr>
            <w:tcW w:w="230" w:type="dxa"/>
            <w:vAlign w:val="top"/>
          </w:tcPr>
          <w:p w14:paraId="6FEC5E19">
            <w:pPr>
              <w:rPr>
                <w:rFonts w:ascii="Arial"/>
                <w:sz w:val="21"/>
              </w:rPr>
            </w:pPr>
          </w:p>
        </w:tc>
        <w:tc>
          <w:tcPr>
            <w:tcW w:w="219" w:type="dxa"/>
            <w:vAlign w:val="top"/>
          </w:tcPr>
          <w:p w14:paraId="590E201F">
            <w:pPr>
              <w:spacing w:line="428" w:lineRule="auto"/>
              <w:rPr>
                <w:rFonts w:ascii="Arial"/>
                <w:sz w:val="21"/>
              </w:rPr>
            </w:pPr>
          </w:p>
          <w:p w14:paraId="614F7340">
            <w:pPr>
              <w:pStyle w:val="6"/>
              <w:spacing w:before="42" w:line="238" w:lineRule="auto"/>
              <w:ind w:left="17"/>
              <w:rPr>
                <w:sz w:val="13"/>
                <w:szCs w:val="13"/>
              </w:rPr>
            </w:pPr>
            <w:r>
              <w:rPr>
                <w:sz w:val="13"/>
                <w:szCs w:val="13"/>
              </w:rPr>
              <w:t>√</w:t>
            </w:r>
          </w:p>
        </w:tc>
        <w:tc>
          <w:tcPr>
            <w:tcW w:w="244" w:type="dxa"/>
            <w:vAlign w:val="top"/>
          </w:tcPr>
          <w:p w14:paraId="3190F432">
            <w:pPr>
              <w:rPr>
                <w:rFonts w:ascii="Arial"/>
                <w:sz w:val="21"/>
              </w:rPr>
            </w:pPr>
          </w:p>
        </w:tc>
      </w:tr>
      <w:tr w14:paraId="07A295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23" w:hRule="atLeast"/>
        </w:trPr>
        <w:tc>
          <w:tcPr>
            <w:tcW w:w="733" w:type="dxa"/>
            <w:vAlign w:val="top"/>
          </w:tcPr>
          <w:p w14:paraId="59C0B153">
            <w:pPr>
              <w:pStyle w:val="6"/>
              <w:spacing w:before="134" w:line="207" w:lineRule="auto"/>
              <w:ind w:left="84"/>
              <w:rPr>
                <w:sz w:val="18"/>
                <w:szCs w:val="18"/>
              </w:rPr>
            </w:pPr>
            <w:r>
              <w:rPr>
                <w:spacing w:val="4"/>
                <w:sz w:val="18"/>
                <w:szCs w:val="18"/>
              </w:rPr>
              <w:t>教师与</w:t>
            </w:r>
          </w:p>
          <w:p w14:paraId="56AC77EF">
            <w:pPr>
              <w:pStyle w:val="6"/>
              <w:spacing w:line="220" w:lineRule="auto"/>
              <w:ind w:left="174"/>
              <w:rPr>
                <w:sz w:val="18"/>
                <w:szCs w:val="18"/>
              </w:rPr>
            </w:pPr>
            <w:r>
              <w:rPr>
                <w:spacing w:val="-3"/>
                <w:sz w:val="18"/>
                <w:szCs w:val="18"/>
              </w:rPr>
              <w:t>学前</w:t>
            </w:r>
          </w:p>
          <w:p w14:paraId="716AFC3D">
            <w:pPr>
              <w:pStyle w:val="6"/>
              <w:spacing w:before="3" w:line="219" w:lineRule="auto"/>
              <w:ind w:left="174"/>
              <w:rPr>
                <w:sz w:val="18"/>
                <w:szCs w:val="18"/>
              </w:rPr>
            </w:pPr>
            <w:r>
              <w:rPr>
                <w:spacing w:val="-3"/>
                <w:sz w:val="18"/>
                <w:szCs w:val="18"/>
              </w:rPr>
              <w:t>儿童</w:t>
            </w:r>
          </w:p>
        </w:tc>
        <w:tc>
          <w:tcPr>
            <w:tcW w:w="2484" w:type="dxa"/>
            <w:vAlign w:val="top"/>
          </w:tcPr>
          <w:p w14:paraId="60153C8C">
            <w:pPr>
              <w:pStyle w:val="6"/>
              <w:spacing w:before="114" w:line="228" w:lineRule="auto"/>
              <w:ind w:left="21" w:right="464"/>
              <w:rPr>
                <w:sz w:val="18"/>
                <w:szCs w:val="18"/>
              </w:rPr>
            </w:pPr>
            <w:r>
              <w:rPr>
                <w:sz w:val="18"/>
                <w:szCs w:val="18"/>
              </w:rPr>
              <w:t>1.幼儿园教师的多重角色</w:t>
            </w:r>
            <w:r>
              <w:rPr>
                <w:spacing w:val="6"/>
                <w:sz w:val="18"/>
                <w:szCs w:val="18"/>
              </w:rPr>
              <w:t xml:space="preserve"> </w:t>
            </w:r>
            <w:r>
              <w:rPr>
                <w:spacing w:val="1"/>
                <w:sz w:val="18"/>
                <w:szCs w:val="18"/>
              </w:rPr>
              <w:t>2.理想的师幼互动特点</w:t>
            </w:r>
          </w:p>
          <w:p w14:paraId="0DCE3BB9">
            <w:pPr>
              <w:pStyle w:val="6"/>
              <w:spacing w:before="26" w:line="219" w:lineRule="auto"/>
              <w:ind w:left="21"/>
              <w:rPr>
                <w:sz w:val="18"/>
                <w:szCs w:val="18"/>
              </w:rPr>
            </w:pPr>
            <w:r>
              <w:rPr>
                <w:spacing w:val="-1"/>
                <w:sz w:val="18"/>
                <w:szCs w:val="18"/>
              </w:rPr>
              <w:t>3.理想的师幼互动策略</w:t>
            </w:r>
          </w:p>
        </w:tc>
        <w:tc>
          <w:tcPr>
            <w:tcW w:w="230" w:type="dxa"/>
            <w:vAlign w:val="top"/>
          </w:tcPr>
          <w:p w14:paraId="30DE4A95">
            <w:pPr>
              <w:rPr>
                <w:rFonts w:ascii="Arial"/>
                <w:sz w:val="21"/>
              </w:rPr>
            </w:pPr>
          </w:p>
        </w:tc>
        <w:tc>
          <w:tcPr>
            <w:tcW w:w="230" w:type="dxa"/>
            <w:vAlign w:val="top"/>
          </w:tcPr>
          <w:p w14:paraId="29B9F71C">
            <w:pPr>
              <w:rPr>
                <w:rFonts w:ascii="Arial"/>
                <w:sz w:val="21"/>
              </w:rPr>
            </w:pPr>
          </w:p>
        </w:tc>
        <w:tc>
          <w:tcPr>
            <w:tcW w:w="219" w:type="dxa"/>
            <w:vAlign w:val="top"/>
          </w:tcPr>
          <w:p w14:paraId="58672747">
            <w:pPr>
              <w:rPr>
                <w:rFonts w:ascii="Arial"/>
                <w:sz w:val="21"/>
              </w:rPr>
            </w:pPr>
          </w:p>
        </w:tc>
        <w:tc>
          <w:tcPr>
            <w:tcW w:w="244" w:type="dxa"/>
            <w:vAlign w:val="top"/>
          </w:tcPr>
          <w:p w14:paraId="13C129FA">
            <w:pPr>
              <w:rPr>
                <w:rFonts w:ascii="Arial"/>
                <w:sz w:val="21"/>
              </w:rPr>
            </w:pPr>
          </w:p>
        </w:tc>
      </w:tr>
    </w:tbl>
    <w:p w14:paraId="0ECFB039">
      <w:pPr>
        <w:spacing w:before="199" w:line="221" w:lineRule="auto"/>
        <w:ind w:left="8"/>
        <w:rPr>
          <w:rFonts w:ascii="黑体" w:hAnsi="黑体" w:eastAsia="黑体" w:cs="黑体"/>
          <w:sz w:val="23"/>
          <w:szCs w:val="23"/>
        </w:rPr>
      </w:pPr>
      <w:r>
        <w:rPr>
          <w:rFonts w:ascii="黑体" w:hAnsi="黑体" w:eastAsia="黑体" w:cs="黑体"/>
          <w:b/>
          <w:bCs/>
          <w:spacing w:val="-9"/>
          <w:sz w:val="23"/>
          <w:szCs w:val="23"/>
        </w:rPr>
        <w:t>五、幼儿园游戏</w:t>
      </w:r>
    </w:p>
    <w:p w14:paraId="21C1BF22">
      <w:pPr>
        <w:spacing w:line="166" w:lineRule="exact"/>
      </w:pPr>
    </w:p>
    <w:tbl>
      <w:tblPr>
        <w:tblStyle w:val="5"/>
        <w:tblW w:w="414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33"/>
        <w:gridCol w:w="2484"/>
        <w:gridCol w:w="230"/>
        <w:gridCol w:w="230"/>
        <w:gridCol w:w="219"/>
        <w:gridCol w:w="244"/>
      </w:tblGrid>
      <w:tr w14:paraId="39A215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4" w:hRule="atLeast"/>
        </w:trPr>
        <w:tc>
          <w:tcPr>
            <w:tcW w:w="733" w:type="dxa"/>
            <w:vMerge w:val="restart"/>
            <w:tcBorders>
              <w:bottom w:val="nil"/>
            </w:tcBorders>
            <w:vAlign w:val="top"/>
          </w:tcPr>
          <w:p w14:paraId="45107611">
            <w:pPr>
              <w:pStyle w:val="6"/>
              <w:spacing w:before="20" w:line="212" w:lineRule="auto"/>
              <w:ind w:left="86" w:hanging="69"/>
              <w:rPr>
                <w:sz w:val="18"/>
                <w:szCs w:val="18"/>
              </w:rPr>
            </w:pPr>
            <w:r>
              <w:rPr>
                <w:b/>
                <w:bCs/>
                <w:spacing w:val="-6"/>
                <w:sz w:val="18"/>
                <w:szCs w:val="18"/>
              </w:rPr>
              <w:t>知识与技</w:t>
            </w:r>
            <w:r>
              <w:rPr>
                <w:sz w:val="18"/>
                <w:szCs w:val="18"/>
              </w:rPr>
              <w:t xml:space="preserve"> </w:t>
            </w:r>
            <w:r>
              <w:rPr>
                <w:b/>
                <w:bCs/>
                <w:sz w:val="18"/>
                <w:szCs w:val="18"/>
              </w:rPr>
              <w:t>能要点</w:t>
            </w:r>
          </w:p>
        </w:tc>
        <w:tc>
          <w:tcPr>
            <w:tcW w:w="2484" w:type="dxa"/>
            <w:vMerge w:val="restart"/>
            <w:tcBorders>
              <w:bottom w:val="nil"/>
            </w:tcBorders>
            <w:vAlign w:val="top"/>
          </w:tcPr>
          <w:p w14:paraId="1C81214F">
            <w:pPr>
              <w:pStyle w:val="6"/>
              <w:spacing w:before="129" w:line="219" w:lineRule="auto"/>
              <w:ind w:left="934"/>
              <w:rPr>
                <w:sz w:val="18"/>
                <w:szCs w:val="18"/>
              </w:rPr>
            </w:pPr>
            <w:r>
              <w:rPr>
                <w:b/>
                <w:bCs/>
                <w:spacing w:val="5"/>
                <w:sz w:val="18"/>
                <w:szCs w:val="18"/>
              </w:rPr>
              <w:t>考试条目</w:t>
            </w:r>
          </w:p>
        </w:tc>
        <w:tc>
          <w:tcPr>
            <w:tcW w:w="923" w:type="dxa"/>
            <w:gridSpan w:val="4"/>
            <w:vAlign w:val="top"/>
          </w:tcPr>
          <w:p w14:paraId="59E405C7">
            <w:pPr>
              <w:pStyle w:val="6"/>
              <w:spacing w:before="19" w:line="199" w:lineRule="auto"/>
              <w:ind w:left="120"/>
              <w:rPr>
                <w:sz w:val="18"/>
                <w:szCs w:val="18"/>
              </w:rPr>
            </w:pPr>
            <w:r>
              <w:rPr>
                <w:b/>
                <w:bCs/>
                <w:spacing w:val="-4"/>
                <w:sz w:val="18"/>
                <w:szCs w:val="18"/>
              </w:rPr>
              <w:t>考试水平</w:t>
            </w:r>
          </w:p>
        </w:tc>
      </w:tr>
      <w:tr w14:paraId="6DDBC6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0" w:hRule="atLeast"/>
        </w:trPr>
        <w:tc>
          <w:tcPr>
            <w:tcW w:w="733" w:type="dxa"/>
            <w:vMerge w:val="continue"/>
            <w:tcBorders>
              <w:top w:val="nil"/>
            </w:tcBorders>
            <w:vAlign w:val="top"/>
          </w:tcPr>
          <w:p w14:paraId="3CE80539">
            <w:pPr>
              <w:rPr>
                <w:rFonts w:ascii="Arial"/>
                <w:sz w:val="21"/>
              </w:rPr>
            </w:pPr>
          </w:p>
        </w:tc>
        <w:tc>
          <w:tcPr>
            <w:tcW w:w="2484" w:type="dxa"/>
            <w:vMerge w:val="continue"/>
            <w:tcBorders>
              <w:top w:val="nil"/>
            </w:tcBorders>
            <w:vAlign w:val="top"/>
          </w:tcPr>
          <w:p w14:paraId="75769176">
            <w:pPr>
              <w:rPr>
                <w:rFonts w:ascii="Arial"/>
                <w:sz w:val="21"/>
              </w:rPr>
            </w:pPr>
          </w:p>
        </w:tc>
        <w:tc>
          <w:tcPr>
            <w:tcW w:w="230" w:type="dxa"/>
            <w:vAlign w:val="top"/>
          </w:tcPr>
          <w:p w14:paraId="35D73DF8">
            <w:pPr>
              <w:pStyle w:val="6"/>
              <w:spacing w:before="63" w:line="136" w:lineRule="exact"/>
              <w:jc w:val="right"/>
              <w:rPr>
                <w:sz w:val="18"/>
                <w:szCs w:val="18"/>
              </w:rPr>
            </w:pPr>
            <w:r>
              <w:rPr>
                <w:b/>
                <w:bCs/>
                <w:spacing w:val="-2"/>
                <w:w w:val="88"/>
                <w:position w:val="-2"/>
                <w:sz w:val="18"/>
                <w:szCs w:val="18"/>
              </w:rPr>
              <w:t>A</w:t>
            </w:r>
          </w:p>
        </w:tc>
        <w:tc>
          <w:tcPr>
            <w:tcW w:w="230" w:type="dxa"/>
            <w:vAlign w:val="top"/>
          </w:tcPr>
          <w:p w14:paraId="648AD4CD">
            <w:pPr>
              <w:pStyle w:val="6"/>
              <w:spacing w:before="66" w:line="133" w:lineRule="exact"/>
              <w:ind w:left="40"/>
              <w:rPr>
                <w:sz w:val="18"/>
                <w:szCs w:val="18"/>
              </w:rPr>
            </w:pPr>
            <w:r>
              <w:rPr>
                <w:b/>
                <w:bCs/>
                <w:spacing w:val="-2"/>
                <w:position w:val="-2"/>
                <w:sz w:val="18"/>
                <w:szCs w:val="18"/>
              </w:rPr>
              <w:t>B</w:t>
            </w:r>
          </w:p>
        </w:tc>
        <w:tc>
          <w:tcPr>
            <w:tcW w:w="219" w:type="dxa"/>
            <w:vAlign w:val="top"/>
          </w:tcPr>
          <w:p w14:paraId="1F36CFCD">
            <w:pPr>
              <w:pStyle w:val="6"/>
              <w:spacing w:before="64" w:line="136" w:lineRule="exact"/>
              <w:ind w:left="38"/>
              <w:rPr>
                <w:sz w:val="18"/>
                <w:szCs w:val="18"/>
              </w:rPr>
            </w:pPr>
            <w:r>
              <w:rPr>
                <w:position w:val="-2"/>
                <w:sz w:val="18"/>
                <w:szCs w:val="18"/>
              </w:rPr>
              <w:t>C</w:t>
            </w:r>
          </w:p>
        </w:tc>
        <w:tc>
          <w:tcPr>
            <w:tcW w:w="244" w:type="dxa"/>
            <w:vAlign w:val="top"/>
          </w:tcPr>
          <w:p w14:paraId="058DFDCF">
            <w:pPr>
              <w:pStyle w:val="6"/>
              <w:spacing w:before="66" w:line="133" w:lineRule="exact"/>
              <w:ind w:left="31"/>
              <w:rPr>
                <w:sz w:val="18"/>
                <w:szCs w:val="18"/>
              </w:rPr>
            </w:pPr>
            <w:r>
              <w:rPr>
                <w:b/>
                <w:bCs/>
                <w:spacing w:val="-2"/>
                <w:position w:val="-2"/>
                <w:sz w:val="18"/>
                <w:szCs w:val="18"/>
              </w:rPr>
              <w:t>D</w:t>
            </w:r>
          </w:p>
        </w:tc>
      </w:tr>
      <w:tr w14:paraId="150176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8" w:hRule="atLeast"/>
        </w:trPr>
        <w:tc>
          <w:tcPr>
            <w:tcW w:w="733" w:type="dxa"/>
            <w:vAlign w:val="top"/>
          </w:tcPr>
          <w:p w14:paraId="7273940D">
            <w:pPr>
              <w:pStyle w:val="6"/>
              <w:spacing w:before="78" w:line="220" w:lineRule="auto"/>
              <w:ind w:left="84"/>
              <w:rPr>
                <w:sz w:val="18"/>
                <w:szCs w:val="18"/>
              </w:rPr>
            </w:pPr>
            <w:r>
              <w:rPr>
                <w:spacing w:val="4"/>
                <w:sz w:val="18"/>
                <w:szCs w:val="18"/>
              </w:rPr>
              <w:t>游戏的</w:t>
            </w:r>
          </w:p>
          <w:p w14:paraId="705A3A59">
            <w:pPr>
              <w:pStyle w:val="6"/>
              <w:spacing w:before="5" w:line="213" w:lineRule="auto"/>
              <w:ind w:left="84"/>
              <w:rPr>
                <w:sz w:val="18"/>
                <w:szCs w:val="18"/>
              </w:rPr>
            </w:pPr>
            <w:r>
              <w:rPr>
                <w:spacing w:val="4"/>
                <w:sz w:val="18"/>
                <w:szCs w:val="18"/>
              </w:rPr>
              <w:t>定义与</w:t>
            </w:r>
          </w:p>
          <w:p w14:paraId="12DEBA99">
            <w:pPr>
              <w:pStyle w:val="6"/>
              <w:spacing w:line="216" w:lineRule="auto"/>
              <w:ind w:left="174"/>
              <w:rPr>
                <w:sz w:val="18"/>
                <w:szCs w:val="18"/>
              </w:rPr>
            </w:pPr>
            <w:r>
              <w:rPr>
                <w:spacing w:val="-2"/>
                <w:sz w:val="18"/>
                <w:szCs w:val="18"/>
              </w:rPr>
              <w:t>价值</w:t>
            </w:r>
          </w:p>
        </w:tc>
        <w:tc>
          <w:tcPr>
            <w:tcW w:w="2484" w:type="dxa"/>
            <w:vAlign w:val="top"/>
          </w:tcPr>
          <w:p w14:paraId="75BEA798">
            <w:pPr>
              <w:pStyle w:val="6"/>
              <w:spacing w:before="188" w:line="216" w:lineRule="auto"/>
              <w:ind w:left="2"/>
              <w:rPr>
                <w:sz w:val="18"/>
                <w:szCs w:val="18"/>
              </w:rPr>
            </w:pPr>
            <w:r>
              <w:rPr>
                <w:spacing w:val="1"/>
                <w:sz w:val="18"/>
                <w:szCs w:val="18"/>
              </w:rPr>
              <w:t>1.游戏的特征</w:t>
            </w:r>
          </w:p>
          <w:p w14:paraId="29CA1CA8">
            <w:pPr>
              <w:pStyle w:val="6"/>
              <w:spacing w:line="220" w:lineRule="auto"/>
              <w:ind w:left="2"/>
              <w:rPr>
                <w:sz w:val="18"/>
                <w:szCs w:val="18"/>
              </w:rPr>
            </w:pPr>
            <w:r>
              <w:rPr>
                <w:spacing w:val="2"/>
                <w:sz w:val="18"/>
                <w:szCs w:val="18"/>
              </w:rPr>
              <w:t>2.游戏的重要作用</w:t>
            </w:r>
          </w:p>
        </w:tc>
        <w:tc>
          <w:tcPr>
            <w:tcW w:w="230" w:type="dxa"/>
            <w:vAlign w:val="top"/>
          </w:tcPr>
          <w:p w14:paraId="69F97643">
            <w:pPr>
              <w:rPr>
                <w:rFonts w:ascii="Arial"/>
                <w:sz w:val="21"/>
              </w:rPr>
            </w:pPr>
          </w:p>
        </w:tc>
        <w:tc>
          <w:tcPr>
            <w:tcW w:w="230" w:type="dxa"/>
            <w:vAlign w:val="top"/>
          </w:tcPr>
          <w:p w14:paraId="1804613D">
            <w:pPr>
              <w:spacing w:before="228" w:line="314" w:lineRule="exact"/>
              <w:ind w:firstLine="40"/>
            </w:pPr>
            <w:r>
              <w:rPr>
                <w:position w:val="-6"/>
              </w:rPr>
              <w:drawing>
                <wp:inline distT="0" distB="0" distL="0" distR="0">
                  <wp:extent cx="92075" cy="198755"/>
                  <wp:effectExtent l="0" t="0" r="0" b="0"/>
                  <wp:docPr id="406" name="IM 406"/>
                  <wp:cNvGraphicFramePr/>
                  <a:graphic xmlns:a="http://schemas.openxmlformats.org/drawingml/2006/main">
                    <a:graphicData uri="http://schemas.openxmlformats.org/drawingml/2006/picture">
                      <pic:pic xmlns:pic="http://schemas.openxmlformats.org/drawingml/2006/picture">
                        <pic:nvPicPr>
                          <pic:cNvPr id="406" name="IM 406"/>
                          <pic:cNvPicPr/>
                        </pic:nvPicPr>
                        <pic:blipFill>
                          <a:blip r:embed="rId367"/>
                          <a:stretch>
                            <a:fillRect/>
                          </a:stretch>
                        </pic:blipFill>
                        <pic:spPr>
                          <a:xfrm>
                            <a:off x="0" y="0"/>
                            <a:ext cx="92093" cy="199294"/>
                          </a:xfrm>
                          <a:prstGeom prst="rect">
                            <a:avLst/>
                          </a:prstGeom>
                        </pic:spPr>
                      </pic:pic>
                    </a:graphicData>
                  </a:graphic>
                </wp:inline>
              </w:drawing>
            </w:r>
          </w:p>
        </w:tc>
        <w:tc>
          <w:tcPr>
            <w:tcW w:w="219" w:type="dxa"/>
            <w:vAlign w:val="top"/>
          </w:tcPr>
          <w:p w14:paraId="33295AA5">
            <w:pPr>
              <w:rPr>
                <w:rFonts w:ascii="Arial"/>
                <w:sz w:val="21"/>
              </w:rPr>
            </w:pPr>
          </w:p>
        </w:tc>
        <w:tc>
          <w:tcPr>
            <w:tcW w:w="244" w:type="dxa"/>
            <w:vAlign w:val="top"/>
          </w:tcPr>
          <w:p w14:paraId="320D0EB4">
            <w:pPr>
              <w:rPr>
                <w:rFonts w:ascii="Arial"/>
                <w:sz w:val="21"/>
              </w:rPr>
            </w:pPr>
          </w:p>
        </w:tc>
      </w:tr>
      <w:tr w14:paraId="1E9517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17" w:hRule="atLeast"/>
        </w:trPr>
        <w:tc>
          <w:tcPr>
            <w:tcW w:w="733" w:type="dxa"/>
            <w:vAlign w:val="top"/>
          </w:tcPr>
          <w:p w14:paraId="54F334F7">
            <w:pPr>
              <w:spacing w:line="260" w:lineRule="auto"/>
              <w:rPr>
                <w:rFonts w:ascii="Arial"/>
                <w:sz w:val="21"/>
              </w:rPr>
            </w:pPr>
          </w:p>
          <w:p w14:paraId="41727F04">
            <w:pPr>
              <w:pStyle w:val="6"/>
              <w:spacing w:before="58" w:line="219" w:lineRule="auto"/>
              <w:ind w:left="84"/>
              <w:rPr>
                <w:sz w:val="18"/>
                <w:szCs w:val="18"/>
              </w:rPr>
            </w:pPr>
            <w:r>
              <w:rPr>
                <w:spacing w:val="5"/>
                <w:sz w:val="18"/>
                <w:szCs w:val="18"/>
              </w:rPr>
              <w:t>幼儿园</w:t>
            </w:r>
          </w:p>
          <w:p w14:paraId="7E4BC7EA">
            <w:pPr>
              <w:pStyle w:val="6"/>
              <w:spacing w:before="6" w:line="215" w:lineRule="auto"/>
              <w:ind w:left="84"/>
              <w:rPr>
                <w:sz w:val="18"/>
                <w:szCs w:val="18"/>
              </w:rPr>
            </w:pPr>
            <w:r>
              <w:rPr>
                <w:spacing w:val="4"/>
                <w:sz w:val="18"/>
                <w:szCs w:val="18"/>
              </w:rPr>
              <w:t>游戏的</w:t>
            </w:r>
          </w:p>
          <w:p w14:paraId="62CE4E2B">
            <w:pPr>
              <w:pStyle w:val="6"/>
              <w:spacing w:line="219" w:lineRule="auto"/>
              <w:ind w:left="174"/>
              <w:rPr>
                <w:sz w:val="18"/>
                <w:szCs w:val="18"/>
              </w:rPr>
            </w:pPr>
            <w:r>
              <w:rPr>
                <w:spacing w:val="-3"/>
                <w:sz w:val="18"/>
                <w:szCs w:val="18"/>
              </w:rPr>
              <w:t>分类</w:t>
            </w:r>
          </w:p>
        </w:tc>
        <w:tc>
          <w:tcPr>
            <w:tcW w:w="2484" w:type="dxa"/>
            <w:vAlign w:val="top"/>
          </w:tcPr>
          <w:p w14:paraId="01A5171D">
            <w:pPr>
              <w:pStyle w:val="6"/>
              <w:spacing w:before="80" w:line="219" w:lineRule="auto"/>
              <w:ind w:left="31"/>
              <w:rPr>
                <w:sz w:val="18"/>
                <w:szCs w:val="18"/>
              </w:rPr>
            </w:pPr>
            <w:r>
              <w:rPr>
                <w:sz w:val="18"/>
                <w:szCs w:val="18"/>
              </w:rPr>
              <w:t>1.幼儿的自由游戏(练习性游</w:t>
            </w:r>
          </w:p>
          <w:p w14:paraId="18577311">
            <w:pPr>
              <w:pStyle w:val="6"/>
              <w:spacing w:before="17" w:line="227" w:lineRule="auto"/>
              <w:ind w:left="2" w:firstLine="19"/>
              <w:rPr>
                <w:sz w:val="18"/>
                <w:szCs w:val="18"/>
              </w:rPr>
            </w:pPr>
            <w:r>
              <w:rPr>
                <w:spacing w:val="-5"/>
                <w:sz w:val="18"/>
                <w:szCs w:val="18"/>
              </w:rPr>
              <w:t>戏、象征性游戏、结构游戏、规</w:t>
            </w:r>
            <w:r>
              <w:rPr>
                <w:spacing w:val="1"/>
                <w:sz w:val="18"/>
                <w:szCs w:val="18"/>
              </w:rPr>
              <w:t xml:space="preserve"> 则游戏、主题角色游戏、表演</w:t>
            </w:r>
            <w:r>
              <w:rPr>
                <w:spacing w:val="5"/>
                <w:sz w:val="18"/>
                <w:szCs w:val="18"/>
              </w:rPr>
              <w:t xml:space="preserve">  </w:t>
            </w:r>
            <w:r>
              <w:rPr>
                <w:spacing w:val="12"/>
                <w:sz w:val="18"/>
                <w:szCs w:val="18"/>
              </w:rPr>
              <w:t>游戏)</w:t>
            </w:r>
          </w:p>
          <w:p w14:paraId="7C587A00">
            <w:pPr>
              <w:pStyle w:val="6"/>
              <w:spacing w:before="5" w:line="219" w:lineRule="auto"/>
              <w:ind w:left="12"/>
              <w:rPr>
                <w:sz w:val="18"/>
                <w:szCs w:val="18"/>
              </w:rPr>
            </w:pPr>
            <w:r>
              <w:rPr>
                <w:spacing w:val="2"/>
                <w:sz w:val="18"/>
                <w:szCs w:val="18"/>
              </w:rPr>
              <w:t>2.教师组织的游戏(体育游戏)</w:t>
            </w:r>
          </w:p>
        </w:tc>
        <w:tc>
          <w:tcPr>
            <w:tcW w:w="230" w:type="dxa"/>
            <w:vAlign w:val="top"/>
          </w:tcPr>
          <w:p w14:paraId="43B6318B">
            <w:pPr>
              <w:pStyle w:val="6"/>
              <w:spacing w:before="98" w:line="238" w:lineRule="auto"/>
              <w:ind w:left="18"/>
              <w:rPr>
                <w:sz w:val="18"/>
                <w:szCs w:val="18"/>
              </w:rPr>
            </w:pPr>
            <w:r>
              <w:rPr>
                <w:sz w:val="18"/>
                <w:szCs w:val="18"/>
              </w:rPr>
              <w:t>√</w:t>
            </w:r>
          </w:p>
        </w:tc>
        <w:tc>
          <w:tcPr>
            <w:tcW w:w="230" w:type="dxa"/>
            <w:vAlign w:val="top"/>
          </w:tcPr>
          <w:p w14:paraId="0B3C0DD1">
            <w:pPr>
              <w:rPr>
                <w:rFonts w:ascii="Arial"/>
                <w:sz w:val="21"/>
              </w:rPr>
            </w:pPr>
          </w:p>
        </w:tc>
        <w:tc>
          <w:tcPr>
            <w:tcW w:w="219" w:type="dxa"/>
            <w:vAlign w:val="top"/>
          </w:tcPr>
          <w:p w14:paraId="0D0E6F39">
            <w:pPr>
              <w:rPr>
                <w:rFonts w:ascii="Arial"/>
                <w:sz w:val="21"/>
              </w:rPr>
            </w:pPr>
          </w:p>
        </w:tc>
        <w:tc>
          <w:tcPr>
            <w:tcW w:w="244" w:type="dxa"/>
            <w:vAlign w:val="top"/>
          </w:tcPr>
          <w:p w14:paraId="69B0DB9D">
            <w:pPr>
              <w:rPr>
                <w:rFonts w:ascii="Arial"/>
                <w:sz w:val="21"/>
              </w:rPr>
            </w:pPr>
          </w:p>
        </w:tc>
      </w:tr>
      <w:tr w14:paraId="058F06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77" w:hRule="atLeast"/>
        </w:trPr>
        <w:tc>
          <w:tcPr>
            <w:tcW w:w="733" w:type="dxa"/>
            <w:vAlign w:val="top"/>
          </w:tcPr>
          <w:p w14:paraId="4FCC5246">
            <w:pPr>
              <w:pStyle w:val="6"/>
              <w:spacing w:before="143" w:line="219" w:lineRule="auto"/>
              <w:ind w:left="84"/>
              <w:rPr>
                <w:sz w:val="18"/>
                <w:szCs w:val="18"/>
              </w:rPr>
            </w:pPr>
            <w:r>
              <w:rPr>
                <w:spacing w:val="5"/>
                <w:sz w:val="18"/>
                <w:szCs w:val="18"/>
              </w:rPr>
              <w:t>幼儿园</w:t>
            </w:r>
          </w:p>
          <w:p w14:paraId="56BD623D">
            <w:pPr>
              <w:pStyle w:val="6"/>
              <w:spacing w:before="16" w:line="206" w:lineRule="auto"/>
              <w:ind w:left="84"/>
              <w:rPr>
                <w:sz w:val="18"/>
                <w:szCs w:val="18"/>
              </w:rPr>
            </w:pPr>
            <w:r>
              <w:rPr>
                <w:spacing w:val="2"/>
                <w:sz w:val="18"/>
                <w:szCs w:val="18"/>
              </w:rPr>
              <w:t>以游戏</w:t>
            </w:r>
          </w:p>
          <w:p w14:paraId="1FC44682">
            <w:pPr>
              <w:pStyle w:val="6"/>
              <w:spacing w:line="220" w:lineRule="auto"/>
              <w:ind w:left="174"/>
              <w:rPr>
                <w:sz w:val="18"/>
                <w:szCs w:val="18"/>
              </w:rPr>
            </w:pPr>
            <w:r>
              <w:rPr>
                <w:spacing w:val="-3"/>
                <w:sz w:val="18"/>
                <w:szCs w:val="18"/>
              </w:rPr>
              <w:t>为基</w:t>
            </w:r>
          </w:p>
          <w:p w14:paraId="5F607256">
            <w:pPr>
              <w:pStyle w:val="6"/>
              <w:spacing w:before="22" w:line="219" w:lineRule="auto"/>
              <w:ind w:left="84"/>
              <w:rPr>
                <w:sz w:val="18"/>
                <w:szCs w:val="18"/>
              </w:rPr>
            </w:pPr>
            <w:r>
              <w:rPr>
                <w:spacing w:val="4"/>
                <w:sz w:val="18"/>
                <w:szCs w:val="18"/>
              </w:rPr>
              <w:t>本活动</w:t>
            </w:r>
          </w:p>
        </w:tc>
        <w:tc>
          <w:tcPr>
            <w:tcW w:w="2484" w:type="dxa"/>
            <w:vAlign w:val="top"/>
          </w:tcPr>
          <w:p w14:paraId="1018CF20">
            <w:pPr>
              <w:pStyle w:val="6"/>
              <w:spacing w:before="132" w:line="226" w:lineRule="auto"/>
              <w:ind w:left="2" w:right="88" w:firstLine="29"/>
              <w:rPr>
                <w:sz w:val="18"/>
                <w:szCs w:val="18"/>
              </w:rPr>
            </w:pPr>
            <w:r>
              <w:rPr>
                <w:sz w:val="18"/>
                <w:szCs w:val="18"/>
              </w:rPr>
              <w:t>1.幼儿园以游戏为基本活动的</w:t>
            </w:r>
            <w:r>
              <w:rPr>
                <w:spacing w:val="12"/>
                <w:sz w:val="18"/>
                <w:szCs w:val="18"/>
              </w:rPr>
              <w:t xml:space="preserve"> </w:t>
            </w:r>
            <w:r>
              <w:rPr>
                <w:spacing w:val="9"/>
                <w:sz w:val="18"/>
                <w:szCs w:val="18"/>
              </w:rPr>
              <w:t>原因</w:t>
            </w:r>
          </w:p>
          <w:p w14:paraId="4FEF3F75">
            <w:pPr>
              <w:pStyle w:val="6"/>
              <w:spacing w:before="1" w:line="232" w:lineRule="auto"/>
              <w:ind w:left="2" w:right="662"/>
              <w:rPr>
                <w:sz w:val="18"/>
                <w:szCs w:val="18"/>
              </w:rPr>
            </w:pPr>
            <w:r>
              <w:rPr>
                <w:spacing w:val="-1"/>
                <w:sz w:val="18"/>
                <w:szCs w:val="18"/>
              </w:rPr>
              <w:t>2.幼儿游戏的三种形式</w:t>
            </w:r>
            <w:r>
              <w:rPr>
                <w:sz w:val="18"/>
                <w:szCs w:val="18"/>
              </w:rPr>
              <w:t xml:space="preserve"> 3.幼儿自由游戏的开展</w:t>
            </w:r>
          </w:p>
        </w:tc>
        <w:tc>
          <w:tcPr>
            <w:tcW w:w="230" w:type="dxa"/>
            <w:vAlign w:val="top"/>
          </w:tcPr>
          <w:p w14:paraId="1CF4CCD0">
            <w:pPr>
              <w:rPr>
                <w:rFonts w:ascii="Arial"/>
                <w:sz w:val="21"/>
              </w:rPr>
            </w:pPr>
          </w:p>
        </w:tc>
        <w:tc>
          <w:tcPr>
            <w:tcW w:w="230" w:type="dxa"/>
            <w:vAlign w:val="top"/>
          </w:tcPr>
          <w:p w14:paraId="1B4D577F">
            <w:pPr>
              <w:rPr>
                <w:rFonts w:ascii="Arial"/>
                <w:sz w:val="21"/>
              </w:rPr>
            </w:pPr>
          </w:p>
        </w:tc>
        <w:tc>
          <w:tcPr>
            <w:tcW w:w="219" w:type="dxa"/>
            <w:vAlign w:val="top"/>
          </w:tcPr>
          <w:p w14:paraId="23A8C2BA">
            <w:pPr>
              <w:rPr>
                <w:rFonts w:ascii="Arial"/>
                <w:sz w:val="21"/>
              </w:rPr>
            </w:pPr>
          </w:p>
        </w:tc>
        <w:tc>
          <w:tcPr>
            <w:tcW w:w="244" w:type="dxa"/>
            <w:vAlign w:val="top"/>
          </w:tcPr>
          <w:p w14:paraId="133A7B5C">
            <w:pPr>
              <w:rPr>
                <w:rFonts w:ascii="Arial"/>
                <w:sz w:val="21"/>
              </w:rPr>
            </w:pPr>
          </w:p>
        </w:tc>
      </w:tr>
      <w:tr w14:paraId="508C6B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83" w:hRule="atLeast"/>
        </w:trPr>
        <w:tc>
          <w:tcPr>
            <w:tcW w:w="733" w:type="dxa"/>
            <w:vAlign w:val="top"/>
          </w:tcPr>
          <w:p w14:paraId="1237DE20">
            <w:pPr>
              <w:pStyle w:val="6"/>
              <w:spacing w:before="166" w:line="216" w:lineRule="auto"/>
              <w:ind w:left="84"/>
              <w:rPr>
                <w:sz w:val="18"/>
                <w:szCs w:val="18"/>
              </w:rPr>
            </w:pPr>
            <w:r>
              <w:rPr>
                <w:spacing w:val="5"/>
                <w:sz w:val="18"/>
                <w:szCs w:val="18"/>
              </w:rPr>
              <w:t>幼儿园</w:t>
            </w:r>
          </w:p>
          <w:p w14:paraId="4DB24F94">
            <w:pPr>
              <w:pStyle w:val="6"/>
              <w:spacing w:line="216" w:lineRule="auto"/>
              <w:ind w:left="174"/>
              <w:rPr>
                <w:sz w:val="18"/>
                <w:szCs w:val="18"/>
              </w:rPr>
            </w:pPr>
            <w:r>
              <w:rPr>
                <w:spacing w:val="-2"/>
                <w:sz w:val="18"/>
                <w:szCs w:val="18"/>
              </w:rPr>
              <w:t>游戏</w:t>
            </w:r>
          </w:p>
          <w:p w14:paraId="69BCD097">
            <w:pPr>
              <w:pStyle w:val="6"/>
              <w:spacing w:line="220" w:lineRule="auto"/>
              <w:ind w:left="174"/>
              <w:rPr>
                <w:sz w:val="18"/>
                <w:szCs w:val="18"/>
              </w:rPr>
            </w:pPr>
            <w:r>
              <w:rPr>
                <w:spacing w:val="5"/>
                <w:sz w:val="18"/>
                <w:szCs w:val="18"/>
              </w:rPr>
              <w:t>指导</w:t>
            </w:r>
          </w:p>
        </w:tc>
        <w:tc>
          <w:tcPr>
            <w:tcW w:w="2484" w:type="dxa"/>
            <w:vAlign w:val="top"/>
          </w:tcPr>
          <w:p w14:paraId="414C1393">
            <w:pPr>
              <w:pStyle w:val="6"/>
              <w:spacing w:before="255" w:line="222" w:lineRule="auto"/>
              <w:ind w:left="2" w:firstLine="9"/>
              <w:rPr>
                <w:sz w:val="18"/>
                <w:szCs w:val="18"/>
              </w:rPr>
            </w:pPr>
            <w:r>
              <w:rPr>
                <w:spacing w:val="-4"/>
                <w:sz w:val="18"/>
                <w:szCs w:val="18"/>
              </w:rPr>
              <w:t>1.教师在幼儿游戏中的不同角色</w:t>
            </w:r>
            <w:r>
              <w:rPr>
                <w:sz w:val="18"/>
                <w:szCs w:val="18"/>
              </w:rPr>
              <w:t xml:space="preserve"> </w:t>
            </w:r>
            <w:r>
              <w:rPr>
                <w:spacing w:val="-1"/>
                <w:sz w:val="18"/>
                <w:szCs w:val="18"/>
              </w:rPr>
              <w:t>2.幼儿园游戏指导的基本要求</w:t>
            </w:r>
          </w:p>
        </w:tc>
        <w:tc>
          <w:tcPr>
            <w:tcW w:w="230" w:type="dxa"/>
            <w:vAlign w:val="top"/>
          </w:tcPr>
          <w:p w14:paraId="25E4BCC9">
            <w:pPr>
              <w:rPr>
                <w:rFonts w:ascii="Arial"/>
                <w:sz w:val="21"/>
              </w:rPr>
            </w:pPr>
          </w:p>
        </w:tc>
        <w:tc>
          <w:tcPr>
            <w:tcW w:w="230" w:type="dxa"/>
            <w:vAlign w:val="top"/>
          </w:tcPr>
          <w:p w14:paraId="27D00B73">
            <w:pPr>
              <w:rPr>
                <w:rFonts w:ascii="Arial"/>
                <w:sz w:val="21"/>
              </w:rPr>
            </w:pPr>
          </w:p>
        </w:tc>
        <w:tc>
          <w:tcPr>
            <w:tcW w:w="219" w:type="dxa"/>
            <w:vAlign w:val="top"/>
          </w:tcPr>
          <w:p w14:paraId="2F74A8F5">
            <w:pPr>
              <w:rPr>
                <w:rFonts w:ascii="Arial"/>
                <w:sz w:val="21"/>
              </w:rPr>
            </w:pPr>
          </w:p>
        </w:tc>
        <w:tc>
          <w:tcPr>
            <w:tcW w:w="244" w:type="dxa"/>
            <w:vAlign w:val="top"/>
          </w:tcPr>
          <w:p w14:paraId="7CB2CB10">
            <w:pPr>
              <w:rPr>
                <w:rFonts w:ascii="Arial"/>
                <w:sz w:val="21"/>
              </w:rPr>
            </w:pPr>
          </w:p>
        </w:tc>
      </w:tr>
    </w:tbl>
    <w:p w14:paraId="1D0F91E3">
      <w:pPr>
        <w:pStyle w:val="2"/>
        <w:spacing w:line="50" w:lineRule="exact"/>
        <w:rPr>
          <w:sz w:val="4"/>
        </w:rPr>
      </w:pPr>
    </w:p>
    <w:p w14:paraId="62467252">
      <w:pPr>
        <w:spacing w:line="50" w:lineRule="exact"/>
        <w:rPr>
          <w:sz w:val="4"/>
          <w:szCs w:val="4"/>
        </w:rPr>
        <w:sectPr>
          <w:type w:val="continuous"/>
          <w:pgSz w:w="10660" w:h="15080"/>
          <w:pgMar w:top="400" w:right="1024" w:bottom="927" w:left="819" w:header="0" w:footer="719" w:gutter="0"/>
          <w:cols w:equalWidth="0" w:num="2">
            <w:col w:w="4566" w:space="100"/>
            <w:col w:w="4151"/>
          </w:cols>
        </w:sectPr>
      </w:pPr>
    </w:p>
    <w:p w14:paraId="2809A65B">
      <w:pPr>
        <w:spacing w:before="78"/>
      </w:pPr>
    </w:p>
    <w:p w14:paraId="3965F8A9">
      <w:pPr>
        <w:spacing w:before="78"/>
      </w:pPr>
    </w:p>
    <w:p w14:paraId="4128E359">
      <w:pPr>
        <w:spacing w:before="77"/>
      </w:pPr>
    </w:p>
    <w:p w14:paraId="7C8BA65E">
      <w:pPr>
        <w:sectPr>
          <w:footerReference r:id="rId85" w:type="default"/>
          <w:pgSz w:w="10660" w:h="15080"/>
          <w:pgMar w:top="400" w:right="885" w:bottom="925" w:left="1024" w:header="0" w:footer="705" w:gutter="0"/>
          <w:cols w:equalWidth="0" w:num="1">
            <w:col w:w="8750"/>
          </w:cols>
        </w:sectPr>
      </w:pPr>
    </w:p>
    <w:p w14:paraId="1A5CF4F1">
      <w:pPr>
        <w:spacing w:before="46" w:line="221" w:lineRule="auto"/>
        <w:ind w:left="8"/>
        <w:rPr>
          <w:rFonts w:ascii="黑体" w:hAnsi="黑体" w:eastAsia="黑体" w:cs="黑体"/>
          <w:sz w:val="23"/>
          <w:szCs w:val="23"/>
        </w:rPr>
      </w:pPr>
      <w:r>
        <w:rPr>
          <w:rFonts w:ascii="黑体" w:hAnsi="黑体" w:eastAsia="黑体" w:cs="黑体"/>
          <w:b/>
          <w:bCs/>
          <w:spacing w:val="-7"/>
          <w:sz w:val="23"/>
          <w:szCs w:val="23"/>
        </w:rPr>
        <w:t>六、幼儿园课程</w:t>
      </w:r>
    </w:p>
    <w:p w14:paraId="48FD9034">
      <w:pPr>
        <w:spacing w:line="155" w:lineRule="exact"/>
      </w:pPr>
    </w:p>
    <w:tbl>
      <w:tblPr>
        <w:tblStyle w:val="5"/>
        <w:tblW w:w="414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53"/>
        <w:gridCol w:w="2484"/>
        <w:gridCol w:w="220"/>
        <w:gridCol w:w="230"/>
        <w:gridCol w:w="229"/>
        <w:gridCol w:w="224"/>
      </w:tblGrid>
      <w:tr w14:paraId="24865E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4" w:hRule="atLeast"/>
        </w:trPr>
        <w:tc>
          <w:tcPr>
            <w:tcW w:w="753" w:type="dxa"/>
            <w:vMerge w:val="restart"/>
            <w:tcBorders>
              <w:bottom w:val="nil"/>
            </w:tcBorders>
            <w:vAlign w:val="top"/>
          </w:tcPr>
          <w:p w14:paraId="6C3ABF3A">
            <w:pPr>
              <w:pStyle w:val="6"/>
              <w:spacing w:before="20" w:line="221" w:lineRule="auto"/>
              <w:ind w:left="27"/>
            </w:pPr>
            <w:r>
              <w:rPr>
                <w:b/>
                <w:bCs/>
                <w:spacing w:val="-4"/>
              </w:rPr>
              <w:t>知识与技</w:t>
            </w:r>
          </w:p>
          <w:p w14:paraId="685A278A">
            <w:pPr>
              <w:pStyle w:val="6"/>
              <w:spacing w:before="16" w:line="209" w:lineRule="auto"/>
              <w:ind w:left="117"/>
            </w:pPr>
            <w:r>
              <w:rPr>
                <w:b/>
                <w:bCs/>
                <w:spacing w:val="1"/>
              </w:rPr>
              <w:t>能要点</w:t>
            </w:r>
          </w:p>
        </w:tc>
        <w:tc>
          <w:tcPr>
            <w:tcW w:w="2484" w:type="dxa"/>
            <w:vMerge w:val="restart"/>
            <w:tcBorders>
              <w:bottom w:val="nil"/>
            </w:tcBorders>
            <w:vAlign w:val="top"/>
          </w:tcPr>
          <w:p w14:paraId="6AC811BD">
            <w:pPr>
              <w:pStyle w:val="6"/>
              <w:spacing w:before="139" w:line="219" w:lineRule="auto"/>
              <w:ind w:left="924"/>
            </w:pPr>
            <w:r>
              <w:rPr>
                <w:b/>
                <w:bCs/>
                <w:spacing w:val="5"/>
              </w:rPr>
              <w:t>考试条目</w:t>
            </w:r>
          </w:p>
        </w:tc>
        <w:tc>
          <w:tcPr>
            <w:tcW w:w="903" w:type="dxa"/>
            <w:gridSpan w:val="4"/>
            <w:vAlign w:val="top"/>
          </w:tcPr>
          <w:p w14:paraId="0CA254E7">
            <w:pPr>
              <w:pStyle w:val="6"/>
              <w:spacing w:before="28" w:line="201" w:lineRule="auto"/>
              <w:ind w:left="110"/>
            </w:pPr>
            <w:r>
              <w:rPr>
                <w:b/>
                <w:bCs/>
                <w:spacing w:val="-4"/>
              </w:rPr>
              <w:t>考试水平</w:t>
            </w:r>
          </w:p>
        </w:tc>
      </w:tr>
      <w:tr w14:paraId="32F215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9" w:hRule="atLeast"/>
        </w:trPr>
        <w:tc>
          <w:tcPr>
            <w:tcW w:w="753" w:type="dxa"/>
            <w:vMerge w:val="continue"/>
            <w:tcBorders>
              <w:top w:val="nil"/>
            </w:tcBorders>
            <w:vAlign w:val="top"/>
          </w:tcPr>
          <w:p w14:paraId="60EEE9CE">
            <w:pPr>
              <w:rPr>
                <w:rFonts w:ascii="Arial"/>
                <w:sz w:val="21"/>
              </w:rPr>
            </w:pPr>
          </w:p>
        </w:tc>
        <w:tc>
          <w:tcPr>
            <w:tcW w:w="2484" w:type="dxa"/>
            <w:vMerge w:val="continue"/>
            <w:tcBorders>
              <w:top w:val="nil"/>
            </w:tcBorders>
            <w:vAlign w:val="top"/>
          </w:tcPr>
          <w:p w14:paraId="5F580B45">
            <w:pPr>
              <w:rPr>
                <w:rFonts w:ascii="Arial"/>
                <w:sz w:val="21"/>
              </w:rPr>
            </w:pPr>
          </w:p>
        </w:tc>
        <w:tc>
          <w:tcPr>
            <w:tcW w:w="220" w:type="dxa"/>
            <w:vAlign w:val="top"/>
          </w:tcPr>
          <w:p w14:paraId="2F55E28A">
            <w:pPr>
              <w:pStyle w:val="6"/>
              <w:spacing w:before="60" w:line="139" w:lineRule="exact"/>
              <w:ind w:left="47"/>
            </w:pPr>
            <w:r>
              <w:rPr>
                <w:position w:val="-2"/>
              </w:rPr>
              <w:t>A</w:t>
            </w:r>
          </w:p>
        </w:tc>
        <w:tc>
          <w:tcPr>
            <w:tcW w:w="230" w:type="dxa"/>
            <w:vAlign w:val="top"/>
          </w:tcPr>
          <w:p w14:paraId="55495C9E">
            <w:pPr>
              <w:pStyle w:val="6"/>
              <w:spacing w:before="62" w:line="137" w:lineRule="exact"/>
              <w:ind w:left="70"/>
            </w:pPr>
            <w:r>
              <w:rPr>
                <w:b/>
                <w:bCs/>
                <w:spacing w:val="-2"/>
                <w:position w:val="-2"/>
              </w:rPr>
              <w:t>B</w:t>
            </w:r>
          </w:p>
        </w:tc>
        <w:tc>
          <w:tcPr>
            <w:tcW w:w="229" w:type="dxa"/>
            <w:vAlign w:val="top"/>
          </w:tcPr>
          <w:p w14:paraId="58F8A9CF">
            <w:pPr>
              <w:pStyle w:val="6"/>
              <w:spacing w:before="61" w:line="138" w:lineRule="exact"/>
              <w:ind w:left="17"/>
            </w:pPr>
            <w:r>
              <w:rPr>
                <w:position w:val="-2"/>
              </w:rPr>
              <w:t>C</w:t>
            </w:r>
          </w:p>
        </w:tc>
        <w:tc>
          <w:tcPr>
            <w:tcW w:w="224" w:type="dxa"/>
            <w:vAlign w:val="top"/>
          </w:tcPr>
          <w:p w14:paraId="4F70B397">
            <w:pPr>
              <w:pStyle w:val="6"/>
              <w:spacing w:before="62" w:line="137" w:lineRule="exact"/>
              <w:ind w:left="21"/>
            </w:pPr>
            <w:r>
              <w:rPr>
                <w:b/>
                <w:bCs/>
                <w:spacing w:val="-2"/>
                <w:position w:val="-2"/>
              </w:rPr>
              <w:t>D</w:t>
            </w:r>
          </w:p>
        </w:tc>
      </w:tr>
      <w:tr w14:paraId="706CFC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65" w:hRule="atLeast"/>
        </w:trPr>
        <w:tc>
          <w:tcPr>
            <w:tcW w:w="753" w:type="dxa"/>
            <w:vAlign w:val="top"/>
          </w:tcPr>
          <w:p w14:paraId="6366D3CD">
            <w:pPr>
              <w:pStyle w:val="6"/>
              <w:spacing w:before="48" w:line="219" w:lineRule="auto"/>
              <w:ind w:left="115" w:right="102"/>
            </w:pPr>
            <w:r>
              <w:rPr>
                <w:spacing w:val="5"/>
              </w:rPr>
              <w:t>幼儿园</w:t>
            </w:r>
            <w:r>
              <w:t xml:space="preserve"> </w:t>
            </w:r>
            <w:r>
              <w:rPr>
                <w:spacing w:val="-2"/>
              </w:rPr>
              <w:t>课程的</w:t>
            </w:r>
            <w:r>
              <w:t xml:space="preserve"> </w:t>
            </w:r>
            <w:r>
              <w:rPr>
                <w:spacing w:val="34"/>
              </w:rPr>
              <w:t>定义</w:t>
            </w:r>
            <w:r>
              <w:t xml:space="preserve">  </w:t>
            </w:r>
            <w:r>
              <w:rPr>
                <w:spacing w:val="5"/>
              </w:rPr>
              <w:t>与特点</w:t>
            </w:r>
          </w:p>
        </w:tc>
        <w:tc>
          <w:tcPr>
            <w:tcW w:w="2484" w:type="dxa"/>
            <w:vAlign w:val="top"/>
          </w:tcPr>
          <w:p w14:paraId="48A16655">
            <w:pPr>
              <w:pStyle w:val="6"/>
              <w:spacing w:before="49" w:line="219" w:lineRule="auto"/>
              <w:ind w:left="12"/>
            </w:pPr>
            <w:r>
              <w:t>1.幼儿园课程的定义与内涵</w:t>
            </w:r>
          </w:p>
          <w:p w14:paraId="228EEC7C">
            <w:pPr>
              <w:pStyle w:val="6"/>
              <w:spacing w:before="8" w:line="224" w:lineRule="auto"/>
              <w:ind w:left="12" w:right="77"/>
            </w:pPr>
            <w:r>
              <w:rPr>
                <w:spacing w:val="5"/>
              </w:rPr>
              <w:t>2.幼儿园课程的特点(启蒙性、</w:t>
            </w:r>
            <w:r>
              <w:rPr>
                <w:spacing w:val="13"/>
              </w:rPr>
              <w:t xml:space="preserve"> </w:t>
            </w:r>
            <w:r>
              <w:rPr>
                <w:spacing w:val="7"/>
              </w:rPr>
              <w:t>生活性、活动性、游戏性、</w:t>
            </w:r>
          </w:p>
          <w:p w14:paraId="7C442498">
            <w:pPr>
              <w:pStyle w:val="6"/>
              <w:spacing w:before="7" w:line="191" w:lineRule="auto"/>
              <w:ind w:left="12"/>
            </w:pPr>
            <w:r>
              <w:rPr>
                <w:spacing w:val="10"/>
              </w:rPr>
              <w:t>综合性)</w:t>
            </w:r>
          </w:p>
        </w:tc>
        <w:tc>
          <w:tcPr>
            <w:tcW w:w="220" w:type="dxa"/>
            <w:vAlign w:val="top"/>
          </w:tcPr>
          <w:p w14:paraId="1C51F9ED">
            <w:pPr>
              <w:rPr>
                <w:rFonts w:ascii="Arial"/>
                <w:sz w:val="21"/>
              </w:rPr>
            </w:pPr>
          </w:p>
        </w:tc>
        <w:tc>
          <w:tcPr>
            <w:tcW w:w="230" w:type="dxa"/>
            <w:vAlign w:val="top"/>
          </w:tcPr>
          <w:p w14:paraId="5EB48804">
            <w:pPr>
              <w:pStyle w:val="6"/>
              <w:spacing w:before="65" w:line="420" w:lineRule="auto"/>
              <w:ind w:left="28" w:right="70"/>
            </w:pPr>
            <w:r>
              <w:rPr>
                <w:spacing w:val="-49"/>
              </w:rPr>
              <w:t>√</w:t>
            </w:r>
            <w:r>
              <w:t xml:space="preserve"> </w:t>
            </w:r>
            <w:r>
              <w:rPr>
                <w:spacing w:val="-49"/>
              </w:rPr>
              <w:t>√</w:t>
            </w:r>
          </w:p>
        </w:tc>
        <w:tc>
          <w:tcPr>
            <w:tcW w:w="229" w:type="dxa"/>
            <w:vAlign w:val="top"/>
          </w:tcPr>
          <w:p w14:paraId="4104912B">
            <w:pPr>
              <w:rPr>
                <w:rFonts w:ascii="Arial"/>
                <w:sz w:val="21"/>
              </w:rPr>
            </w:pPr>
          </w:p>
        </w:tc>
        <w:tc>
          <w:tcPr>
            <w:tcW w:w="224" w:type="dxa"/>
            <w:vAlign w:val="top"/>
          </w:tcPr>
          <w:p w14:paraId="7D5A8E75">
            <w:pPr>
              <w:rPr>
                <w:rFonts w:ascii="Arial"/>
                <w:sz w:val="21"/>
              </w:rPr>
            </w:pPr>
          </w:p>
        </w:tc>
      </w:tr>
      <w:tr w14:paraId="3E35F8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61" w:hRule="atLeast"/>
        </w:trPr>
        <w:tc>
          <w:tcPr>
            <w:tcW w:w="753" w:type="dxa"/>
            <w:vAlign w:val="top"/>
          </w:tcPr>
          <w:p w14:paraId="4A7C4FE9">
            <w:pPr>
              <w:pStyle w:val="6"/>
              <w:spacing w:before="54" w:line="216" w:lineRule="auto"/>
              <w:ind w:left="25" w:right="44" w:firstLine="89"/>
              <w:jc w:val="right"/>
            </w:pPr>
            <w:r>
              <w:rPr>
                <w:spacing w:val="5"/>
              </w:rPr>
              <w:t>幼儿园</w:t>
            </w:r>
            <w:r>
              <w:t xml:space="preserve"> </w:t>
            </w:r>
            <w:r>
              <w:rPr>
                <w:spacing w:val="28"/>
              </w:rPr>
              <w:t>课程的</w:t>
            </w:r>
            <w:r>
              <w:t xml:space="preserve">  </w:t>
            </w:r>
            <w:r>
              <w:rPr>
                <w:spacing w:val="-2"/>
              </w:rPr>
              <w:t>基本要素</w:t>
            </w:r>
          </w:p>
        </w:tc>
        <w:tc>
          <w:tcPr>
            <w:tcW w:w="2484" w:type="dxa"/>
            <w:vAlign w:val="top"/>
          </w:tcPr>
          <w:p w14:paraId="2AD9C59D">
            <w:pPr>
              <w:pStyle w:val="6"/>
              <w:spacing w:before="174" w:line="218" w:lineRule="auto"/>
              <w:ind w:left="12" w:right="236"/>
            </w:pPr>
            <w:r>
              <w:rPr>
                <w:spacing w:val="1"/>
              </w:rPr>
              <w:t>1.幼儿园课程内容选择的原则</w:t>
            </w:r>
            <w:r>
              <w:t xml:space="preserve"> </w:t>
            </w:r>
            <w:r>
              <w:rPr>
                <w:spacing w:val="-1"/>
              </w:rPr>
              <w:t>2.幼儿园课程实施的途径</w:t>
            </w:r>
          </w:p>
        </w:tc>
        <w:tc>
          <w:tcPr>
            <w:tcW w:w="220" w:type="dxa"/>
            <w:vAlign w:val="top"/>
          </w:tcPr>
          <w:p w14:paraId="586D3BF9">
            <w:pPr>
              <w:rPr>
                <w:rFonts w:ascii="Arial"/>
                <w:sz w:val="21"/>
              </w:rPr>
            </w:pPr>
          </w:p>
        </w:tc>
        <w:tc>
          <w:tcPr>
            <w:tcW w:w="230" w:type="dxa"/>
            <w:vAlign w:val="top"/>
          </w:tcPr>
          <w:p w14:paraId="05D6CB8F">
            <w:pPr>
              <w:rPr>
                <w:rFonts w:ascii="Arial"/>
                <w:sz w:val="21"/>
              </w:rPr>
            </w:pPr>
          </w:p>
        </w:tc>
        <w:tc>
          <w:tcPr>
            <w:tcW w:w="229" w:type="dxa"/>
            <w:vAlign w:val="top"/>
          </w:tcPr>
          <w:p w14:paraId="4A59A397">
            <w:pPr>
              <w:rPr>
                <w:rFonts w:ascii="Arial"/>
                <w:sz w:val="21"/>
              </w:rPr>
            </w:pPr>
          </w:p>
        </w:tc>
        <w:tc>
          <w:tcPr>
            <w:tcW w:w="224" w:type="dxa"/>
            <w:vAlign w:val="top"/>
          </w:tcPr>
          <w:p w14:paraId="49A83E79">
            <w:pPr>
              <w:rPr>
                <w:rFonts w:ascii="Arial"/>
                <w:sz w:val="21"/>
              </w:rPr>
            </w:pPr>
          </w:p>
        </w:tc>
      </w:tr>
    </w:tbl>
    <w:p w14:paraId="34EDF1F8">
      <w:pPr>
        <w:spacing w:before="199" w:line="222" w:lineRule="auto"/>
        <w:ind w:left="8"/>
        <w:rPr>
          <w:rFonts w:ascii="黑体" w:hAnsi="黑体" w:eastAsia="黑体" w:cs="黑体"/>
          <w:sz w:val="23"/>
          <w:szCs w:val="23"/>
        </w:rPr>
      </w:pPr>
      <w:r>
        <w:rPr>
          <w:rFonts w:ascii="黑体" w:hAnsi="黑体" w:eastAsia="黑体" w:cs="黑体"/>
          <w:b/>
          <w:bCs/>
          <w:spacing w:val="-4"/>
          <w:sz w:val="23"/>
          <w:szCs w:val="23"/>
        </w:rPr>
        <w:t>七、幼儿园环境</w:t>
      </w:r>
    </w:p>
    <w:p w14:paraId="5F1EEA10">
      <w:pPr>
        <w:spacing w:line="153" w:lineRule="exact"/>
      </w:pPr>
    </w:p>
    <w:tbl>
      <w:tblPr>
        <w:tblStyle w:val="5"/>
        <w:tblW w:w="414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53"/>
        <w:gridCol w:w="2484"/>
        <w:gridCol w:w="220"/>
        <w:gridCol w:w="230"/>
        <w:gridCol w:w="229"/>
        <w:gridCol w:w="224"/>
      </w:tblGrid>
      <w:tr w14:paraId="3DACE0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4" w:hRule="atLeast"/>
        </w:trPr>
        <w:tc>
          <w:tcPr>
            <w:tcW w:w="753" w:type="dxa"/>
            <w:vMerge w:val="restart"/>
            <w:tcBorders>
              <w:bottom w:val="nil"/>
            </w:tcBorders>
            <w:vAlign w:val="top"/>
          </w:tcPr>
          <w:p w14:paraId="00074E2F">
            <w:pPr>
              <w:pStyle w:val="6"/>
              <w:spacing w:before="21" w:line="215" w:lineRule="auto"/>
              <w:ind w:left="7"/>
              <w:rPr>
                <w:sz w:val="18"/>
                <w:szCs w:val="18"/>
              </w:rPr>
            </w:pPr>
            <w:r>
              <w:rPr>
                <w:b/>
                <w:bCs/>
                <w:spacing w:val="-4"/>
                <w:sz w:val="18"/>
                <w:szCs w:val="18"/>
              </w:rPr>
              <w:t>知识与技</w:t>
            </w:r>
          </w:p>
          <w:p w14:paraId="41B3C10B">
            <w:pPr>
              <w:pStyle w:val="6"/>
              <w:spacing w:line="197" w:lineRule="auto"/>
              <w:ind w:left="97"/>
              <w:rPr>
                <w:sz w:val="18"/>
                <w:szCs w:val="18"/>
              </w:rPr>
            </w:pPr>
            <w:r>
              <w:rPr>
                <w:b/>
                <w:bCs/>
                <w:spacing w:val="1"/>
                <w:sz w:val="18"/>
                <w:szCs w:val="18"/>
              </w:rPr>
              <w:t>能要点</w:t>
            </w:r>
          </w:p>
        </w:tc>
        <w:tc>
          <w:tcPr>
            <w:tcW w:w="2484" w:type="dxa"/>
            <w:vMerge w:val="restart"/>
            <w:tcBorders>
              <w:bottom w:val="nil"/>
            </w:tcBorders>
            <w:vAlign w:val="top"/>
          </w:tcPr>
          <w:p w14:paraId="3E96489B">
            <w:pPr>
              <w:pStyle w:val="6"/>
              <w:spacing w:before="129" w:line="219" w:lineRule="auto"/>
              <w:ind w:left="924"/>
              <w:rPr>
                <w:sz w:val="18"/>
                <w:szCs w:val="18"/>
              </w:rPr>
            </w:pPr>
            <w:r>
              <w:rPr>
                <w:b/>
                <w:bCs/>
                <w:spacing w:val="5"/>
                <w:sz w:val="18"/>
                <w:szCs w:val="18"/>
              </w:rPr>
              <w:t>考试条目</w:t>
            </w:r>
          </w:p>
        </w:tc>
        <w:tc>
          <w:tcPr>
            <w:tcW w:w="903" w:type="dxa"/>
            <w:gridSpan w:val="4"/>
            <w:vAlign w:val="top"/>
          </w:tcPr>
          <w:p w14:paraId="5BBC2516">
            <w:pPr>
              <w:pStyle w:val="6"/>
              <w:spacing w:before="19" w:line="199" w:lineRule="auto"/>
              <w:ind w:left="130"/>
              <w:rPr>
                <w:sz w:val="18"/>
                <w:szCs w:val="18"/>
              </w:rPr>
            </w:pPr>
            <w:r>
              <w:rPr>
                <w:b/>
                <w:bCs/>
                <w:spacing w:val="-4"/>
                <w:sz w:val="18"/>
                <w:szCs w:val="18"/>
              </w:rPr>
              <w:t>考试水平</w:t>
            </w:r>
          </w:p>
        </w:tc>
      </w:tr>
      <w:tr w14:paraId="7195A9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0" w:hRule="atLeast"/>
        </w:trPr>
        <w:tc>
          <w:tcPr>
            <w:tcW w:w="753" w:type="dxa"/>
            <w:vMerge w:val="continue"/>
            <w:tcBorders>
              <w:top w:val="nil"/>
            </w:tcBorders>
            <w:vAlign w:val="top"/>
          </w:tcPr>
          <w:p w14:paraId="212857A3">
            <w:pPr>
              <w:rPr>
                <w:rFonts w:ascii="Arial"/>
                <w:sz w:val="21"/>
              </w:rPr>
            </w:pPr>
          </w:p>
        </w:tc>
        <w:tc>
          <w:tcPr>
            <w:tcW w:w="2484" w:type="dxa"/>
            <w:vMerge w:val="continue"/>
            <w:tcBorders>
              <w:top w:val="nil"/>
            </w:tcBorders>
            <w:vAlign w:val="top"/>
          </w:tcPr>
          <w:p w14:paraId="1C5DAAD7">
            <w:pPr>
              <w:rPr>
                <w:rFonts w:ascii="Arial"/>
                <w:sz w:val="21"/>
              </w:rPr>
            </w:pPr>
          </w:p>
        </w:tc>
        <w:tc>
          <w:tcPr>
            <w:tcW w:w="220" w:type="dxa"/>
            <w:vAlign w:val="top"/>
          </w:tcPr>
          <w:p w14:paraId="70901C5E">
            <w:pPr>
              <w:pStyle w:val="6"/>
              <w:spacing w:before="43" w:line="146" w:lineRule="exact"/>
              <w:ind w:left="58"/>
              <w:rPr>
                <w:sz w:val="18"/>
                <w:szCs w:val="18"/>
              </w:rPr>
            </w:pPr>
            <w:r>
              <w:rPr>
                <w:position w:val="-2"/>
                <w:sz w:val="18"/>
                <w:szCs w:val="18"/>
              </w:rPr>
              <w:t>A</w:t>
            </w:r>
          </w:p>
        </w:tc>
        <w:tc>
          <w:tcPr>
            <w:tcW w:w="230" w:type="dxa"/>
            <w:vAlign w:val="top"/>
          </w:tcPr>
          <w:p w14:paraId="60841248">
            <w:pPr>
              <w:pStyle w:val="6"/>
              <w:spacing w:before="46" w:line="143" w:lineRule="exact"/>
              <w:ind w:left="20"/>
              <w:rPr>
                <w:sz w:val="18"/>
                <w:szCs w:val="18"/>
              </w:rPr>
            </w:pPr>
            <w:r>
              <w:rPr>
                <w:b/>
                <w:bCs/>
                <w:spacing w:val="-2"/>
                <w:position w:val="-2"/>
                <w:sz w:val="18"/>
                <w:szCs w:val="18"/>
              </w:rPr>
              <w:t>B</w:t>
            </w:r>
          </w:p>
        </w:tc>
        <w:tc>
          <w:tcPr>
            <w:tcW w:w="229" w:type="dxa"/>
            <w:vAlign w:val="top"/>
          </w:tcPr>
          <w:p w14:paraId="60438B29">
            <w:pPr>
              <w:pStyle w:val="6"/>
              <w:spacing w:before="44" w:line="146" w:lineRule="exact"/>
              <w:ind w:left="17"/>
              <w:rPr>
                <w:sz w:val="18"/>
                <w:szCs w:val="18"/>
              </w:rPr>
            </w:pPr>
            <w:r>
              <w:rPr>
                <w:position w:val="-2"/>
                <w:sz w:val="18"/>
                <w:szCs w:val="18"/>
              </w:rPr>
              <w:t>C</w:t>
            </w:r>
          </w:p>
        </w:tc>
        <w:tc>
          <w:tcPr>
            <w:tcW w:w="224" w:type="dxa"/>
            <w:vAlign w:val="top"/>
          </w:tcPr>
          <w:p w14:paraId="33A78EC3">
            <w:pPr>
              <w:pStyle w:val="6"/>
              <w:spacing w:before="46" w:line="143" w:lineRule="exact"/>
              <w:ind w:left="21"/>
              <w:rPr>
                <w:sz w:val="18"/>
                <w:szCs w:val="18"/>
              </w:rPr>
            </w:pPr>
            <w:r>
              <w:rPr>
                <w:b/>
                <w:bCs/>
                <w:spacing w:val="-2"/>
                <w:position w:val="-2"/>
                <w:sz w:val="18"/>
                <w:szCs w:val="18"/>
              </w:rPr>
              <w:t>D</w:t>
            </w:r>
          </w:p>
        </w:tc>
      </w:tr>
      <w:tr w14:paraId="033C3E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17" w:hRule="atLeast"/>
        </w:trPr>
        <w:tc>
          <w:tcPr>
            <w:tcW w:w="753" w:type="dxa"/>
            <w:vAlign w:val="top"/>
          </w:tcPr>
          <w:p w14:paraId="57CDAD97">
            <w:pPr>
              <w:pStyle w:val="6"/>
              <w:spacing w:before="268" w:line="206" w:lineRule="auto"/>
              <w:ind w:left="5"/>
              <w:rPr>
                <w:sz w:val="18"/>
                <w:szCs w:val="18"/>
              </w:rPr>
            </w:pPr>
            <w:r>
              <w:rPr>
                <w:spacing w:val="-2"/>
                <w:sz w:val="18"/>
                <w:szCs w:val="18"/>
              </w:rPr>
              <w:t>幼儿园环</w:t>
            </w:r>
          </w:p>
          <w:p w14:paraId="54E81C3B">
            <w:pPr>
              <w:pStyle w:val="6"/>
              <w:spacing w:line="220" w:lineRule="auto"/>
              <w:jc w:val="right"/>
              <w:rPr>
                <w:sz w:val="18"/>
                <w:szCs w:val="18"/>
              </w:rPr>
            </w:pPr>
            <w:r>
              <w:rPr>
                <w:spacing w:val="4"/>
                <w:sz w:val="18"/>
                <w:szCs w:val="18"/>
              </w:rPr>
              <w:t>境的作用</w:t>
            </w:r>
          </w:p>
          <w:p w14:paraId="142822CC">
            <w:pPr>
              <w:pStyle w:val="6"/>
              <w:spacing w:before="25" w:line="215" w:lineRule="auto"/>
              <w:ind w:left="94"/>
              <w:rPr>
                <w:sz w:val="18"/>
                <w:szCs w:val="18"/>
              </w:rPr>
            </w:pPr>
            <w:r>
              <w:rPr>
                <w:spacing w:val="-3"/>
                <w:sz w:val="18"/>
                <w:szCs w:val="18"/>
              </w:rPr>
              <w:t>与创设</w:t>
            </w:r>
          </w:p>
          <w:p w14:paraId="6ED492EE">
            <w:pPr>
              <w:pStyle w:val="6"/>
              <w:spacing w:line="220" w:lineRule="auto"/>
              <w:ind w:left="185"/>
              <w:rPr>
                <w:sz w:val="18"/>
                <w:szCs w:val="18"/>
              </w:rPr>
            </w:pPr>
            <w:r>
              <w:rPr>
                <w:spacing w:val="8"/>
                <w:sz w:val="18"/>
                <w:szCs w:val="18"/>
              </w:rPr>
              <w:t>原则</w:t>
            </w:r>
          </w:p>
        </w:tc>
        <w:tc>
          <w:tcPr>
            <w:tcW w:w="2484" w:type="dxa"/>
            <w:vAlign w:val="top"/>
          </w:tcPr>
          <w:p w14:paraId="17AD3CB3">
            <w:pPr>
              <w:pStyle w:val="6"/>
              <w:spacing w:before="37" w:line="226" w:lineRule="auto"/>
              <w:ind w:left="12" w:right="294"/>
              <w:rPr>
                <w:sz w:val="18"/>
                <w:szCs w:val="18"/>
              </w:rPr>
            </w:pPr>
            <w:r>
              <w:rPr>
                <w:sz w:val="18"/>
                <w:szCs w:val="18"/>
              </w:rPr>
              <w:t>1.幼儿园环境的概念与分类</w:t>
            </w:r>
            <w:r>
              <w:rPr>
                <w:spacing w:val="6"/>
                <w:sz w:val="18"/>
                <w:szCs w:val="18"/>
              </w:rPr>
              <w:t xml:space="preserve"> </w:t>
            </w:r>
            <w:r>
              <w:rPr>
                <w:spacing w:val="2"/>
                <w:sz w:val="18"/>
                <w:szCs w:val="18"/>
              </w:rPr>
              <w:t>2.幼儿园环境的作用</w:t>
            </w:r>
          </w:p>
          <w:p w14:paraId="36059325">
            <w:pPr>
              <w:pStyle w:val="6"/>
              <w:spacing w:before="1" w:line="212" w:lineRule="auto"/>
              <w:ind w:left="12" w:right="128"/>
              <w:jc w:val="both"/>
              <w:rPr>
                <w:sz w:val="18"/>
                <w:szCs w:val="18"/>
              </w:rPr>
            </w:pPr>
            <w:r>
              <w:rPr>
                <w:sz w:val="18"/>
                <w:szCs w:val="18"/>
              </w:rPr>
              <w:t>3.幼儿园环境创设的原则(安</w:t>
            </w:r>
            <w:r>
              <w:rPr>
                <w:spacing w:val="4"/>
                <w:sz w:val="18"/>
                <w:szCs w:val="18"/>
              </w:rPr>
              <w:t xml:space="preserve">  </w:t>
            </w:r>
            <w:r>
              <w:rPr>
                <w:spacing w:val="-1"/>
                <w:sz w:val="18"/>
                <w:szCs w:val="18"/>
              </w:rPr>
              <w:t>全性原则、一致性原则、发展</w:t>
            </w:r>
            <w:r>
              <w:rPr>
                <w:spacing w:val="4"/>
                <w:sz w:val="18"/>
                <w:szCs w:val="18"/>
              </w:rPr>
              <w:t xml:space="preserve"> </w:t>
            </w:r>
            <w:r>
              <w:rPr>
                <w:spacing w:val="-1"/>
                <w:sz w:val="18"/>
                <w:szCs w:val="18"/>
              </w:rPr>
              <w:t>适宜性原则、主体性原则、经</w:t>
            </w:r>
            <w:r>
              <w:rPr>
                <w:spacing w:val="4"/>
                <w:sz w:val="18"/>
                <w:szCs w:val="18"/>
              </w:rPr>
              <w:t xml:space="preserve"> </w:t>
            </w:r>
            <w:r>
              <w:rPr>
                <w:spacing w:val="7"/>
                <w:sz w:val="18"/>
                <w:szCs w:val="18"/>
              </w:rPr>
              <w:t>济性原则)</w:t>
            </w:r>
          </w:p>
        </w:tc>
        <w:tc>
          <w:tcPr>
            <w:tcW w:w="220" w:type="dxa"/>
            <w:vAlign w:val="top"/>
          </w:tcPr>
          <w:p w14:paraId="3612C762">
            <w:pPr>
              <w:pStyle w:val="6"/>
              <w:spacing w:before="79" w:line="238" w:lineRule="auto"/>
              <w:ind w:left="38"/>
              <w:rPr>
                <w:sz w:val="13"/>
                <w:szCs w:val="13"/>
              </w:rPr>
            </w:pPr>
            <w:r>
              <w:rPr>
                <w:sz w:val="13"/>
                <w:szCs w:val="13"/>
              </w:rPr>
              <w:t>√</w:t>
            </w:r>
          </w:p>
        </w:tc>
        <w:tc>
          <w:tcPr>
            <w:tcW w:w="230" w:type="dxa"/>
            <w:vAlign w:val="top"/>
          </w:tcPr>
          <w:p w14:paraId="1351F9CA">
            <w:pPr>
              <w:rPr>
                <w:rFonts w:ascii="Arial"/>
                <w:sz w:val="21"/>
              </w:rPr>
            </w:pPr>
          </w:p>
        </w:tc>
        <w:tc>
          <w:tcPr>
            <w:tcW w:w="229" w:type="dxa"/>
            <w:vAlign w:val="top"/>
          </w:tcPr>
          <w:p w14:paraId="6C36A413">
            <w:pPr>
              <w:rPr>
                <w:rFonts w:ascii="Arial"/>
                <w:sz w:val="21"/>
              </w:rPr>
            </w:pPr>
          </w:p>
        </w:tc>
        <w:tc>
          <w:tcPr>
            <w:tcW w:w="224" w:type="dxa"/>
            <w:vAlign w:val="top"/>
          </w:tcPr>
          <w:p w14:paraId="1F2DCF4D">
            <w:pPr>
              <w:rPr>
                <w:rFonts w:ascii="Arial"/>
                <w:sz w:val="21"/>
              </w:rPr>
            </w:pPr>
          </w:p>
        </w:tc>
      </w:tr>
      <w:tr w14:paraId="0F49DB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17" w:hRule="atLeast"/>
        </w:trPr>
        <w:tc>
          <w:tcPr>
            <w:tcW w:w="753" w:type="dxa"/>
            <w:vAlign w:val="top"/>
          </w:tcPr>
          <w:p w14:paraId="5E99B82F">
            <w:pPr>
              <w:spacing w:line="301" w:lineRule="auto"/>
              <w:rPr>
                <w:rFonts w:ascii="Arial"/>
                <w:sz w:val="21"/>
              </w:rPr>
            </w:pPr>
          </w:p>
          <w:p w14:paraId="6DCD9DC3">
            <w:pPr>
              <w:pStyle w:val="6"/>
              <w:spacing w:before="58" w:line="219" w:lineRule="auto"/>
              <w:ind w:left="5"/>
              <w:rPr>
                <w:sz w:val="18"/>
                <w:szCs w:val="18"/>
              </w:rPr>
            </w:pPr>
            <w:r>
              <w:rPr>
                <w:spacing w:val="-2"/>
                <w:sz w:val="18"/>
                <w:szCs w:val="18"/>
              </w:rPr>
              <w:t>幼儿园物</w:t>
            </w:r>
          </w:p>
          <w:p w14:paraId="31830160">
            <w:pPr>
              <w:pStyle w:val="6"/>
              <w:spacing w:before="6" w:line="220" w:lineRule="auto"/>
              <w:ind w:left="5"/>
              <w:rPr>
                <w:sz w:val="18"/>
                <w:szCs w:val="18"/>
              </w:rPr>
            </w:pPr>
            <w:r>
              <w:rPr>
                <w:spacing w:val="3"/>
                <w:sz w:val="18"/>
                <w:szCs w:val="18"/>
              </w:rPr>
              <w:t>质环境的</w:t>
            </w:r>
          </w:p>
          <w:p w14:paraId="54B281A3">
            <w:pPr>
              <w:pStyle w:val="6"/>
              <w:spacing w:before="16" w:line="221" w:lineRule="auto"/>
              <w:ind w:left="185"/>
              <w:rPr>
                <w:sz w:val="18"/>
                <w:szCs w:val="18"/>
              </w:rPr>
            </w:pPr>
            <w:r>
              <w:rPr>
                <w:spacing w:val="-2"/>
                <w:sz w:val="18"/>
                <w:szCs w:val="18"/>
              </w:rPr>
              <w:t>创设</w:t>
            </w:r>
          </w:p>
        </w:tc>
        <w:tc>
          <w:tcPr>
            <w:tcW w:w="2484" w:type="dxa"/>
            <w:vAlign w:val="top"/>
          </w:tcPr>
          <w:p w14:paraId="219779B8">
            <w:pPr>
              <w:pStyle w:val="6"/>
              <w:spacing w:before="41" w:line="219" w:lineRule="auto"/>
              <w:ind w:left="12"/>
              <w:rPr>
                <w:sz w:val="18"/>
                <w:szCs w:val="18"/>
              </w:rPr>
            </w:pPr>
            <w:r>
              <w:rPr>
                <w:sz w:val="18"/>
                <w:szCs w:val="18"/>
              </w:rPr>
              <w:t>1.幼儿园活动室的面积规定</w:t>
            </w:r>
          </w:p>
          <w:p w14:paraId="3AD9B8D7">
            <w:pPr>
              <w:pStyle w:val="6"/>
              <w:spacing w:before="5" w:line="222" w:lineRule="auto"/>
              <w:ind w:left="12" w:right="107"/>
              <w:rPr>
                <w:sz w:val="18"/>
                <w:szCs w:val="18"/>
              </w:rPr>
            </w:pPr>
            <w:r>
              <w:rPr>
                <w:spacing w:val="1"/>
                <w:sz w:val="18"/>
                <w:szCs w:val="18"/>
              </w:rPr>
              <w:t>2.幼儿园室内活动区的规划与</w:t>
            </w:r>
            <w:r>
              <w:rPr>
                <w:sz w:val="18"/>
                <w:szCs w:val="18"/>
              </w:rPr>
              <w:t xml:space="preserve"> </w:t>
            </w:r>
            <w:r>
              <w:rPr>
                <w:spacing w:val="-2"/>
                <w:sz w:val="18"/>
                <w:szCs w:val="18"/>
              </w:rPr>
              <w:t>材料投放</w:t>
            </w:r>
          </w:p>
          <w:p w14:paraId="70513E00">
            <w:pPr>
              <w:pStyle w:val="6"/>
              <w:spacing w:before="7" w:line="215" w:lineRule="auto"/>
              <w:ind w:left="12"/>
              <w:rPr>
                <w:sz w:val="18"/>
                <w:szCs w:val="18"/>
              </w:rPr>
            </w:pPr>
            <w:r>
              <w:rPr>
                <w:spacing w:val="-1"/>
                <w:sz w:val="18"/>
                <w:szCs w:val="18"/>
              </w:rPr>
              <w:t>3.幼儿园室内墙面装饰</w:t>
            </w:r>
          </w:p>
          <w:p w14:paraId="0D1F4473">
            <w:pPr>
              <w:pStyle w:val="6"/>
              <w:spacing w:before="2" w:line="202" w:lineRule="auto"/>
              <w:ind w:left="12" w:right="128"/>
              <w:rPr>
                <w:sz w:val="18"/>
                <w:szCs w:val="18"/>
              </w:rPr>
            </w:pPr>
            <w:r>
              <w:rPr>
                <w:spacing w:val="-1"/>
                <w:sz w:val="18"/>
                <w:szCs w:val="18"/>
              </w:rPr>
              <w:t>4.幼儿园物质环境创设的注意</w:t>
            </w:r>
            <w:r>
              <w:rPr>
                <w:spacing w:val="6"/>
                <w:sz w:val="18"/>
                <w:szCs w:val="18"/>
              </w:rPr>
              <w:t xml:space="preserve"> </w:t>
            </w:r>
            <w:r>
              <w:rPr>
                <w:spacing w:val="-2"/>
                <w:sz w:val="18"/>
                <w:szCs w:val="18"/>
              </w:rPr>
              <w:t>事项</w:t>
            </w:r>
          </w:p>
        </w:tc>
        <w:tc>
          <w:tcPr>
            <w:tcW w:w="220" w:type="dxa"/>
            <w:vAlign w:val="top"/>
          </w:tcPr>
          <w:p w14:paraId="0BFB8590">
            <w:pPr>
              <w:rPr>
                <w:rFonts w:ascii="Arial"/>
                <w:sz w:val="21"/>
              </w:rPr>
            </w:pPr>
          </w:p>
        </w:tc>
        <w:tc>
          <w:tcPr>
            <w:tcW w:w="230" w:type="dxa"/>
            <w:vAlign w:val="top"/>
          </w:tcPr>
          <w:p w14:paraId="4C024343">
            <w:pPr>
              <w:rPr>
                <w:rFonts w:ascii="Arial"/>
                <w:sz w:val="21"/>
              </w:rPr>
            </w:pPr>
          </w:p>
        </w:tc>
        <w:tc>
          <w:tcPr>
            <w:tcW w:w="229" w:type="dxa"/>
            <w:vAlign w:val="top"/>
          </w:tcPr>
          <w:p w14:paraId="05C0D708">
            <w:pPr>
              <w:rPr>
                <w:rFonts w:ascii="Arial"/>
                <w:sz w:val="21"/>
              </w:rPr>
            </w:pPr>
          </w:p>
        </w:tc>
        <w:tc>
          <w:tcPr>
            <w:tcW w:w="224" w:type="dxa"/>
            <w:vAlign w:val="top"/>
          </w:tcPr>
          <w:p w14:paraId="74C864AE">
            <w:pPr>
              <w:rPr>
                <w:rFonts w:ascii="Arial"/>
                <w:sz w:val="21"/>
              </w:rPr>
            </w:pPr>
          </w:p>
        </w:tc>
      </w:tr>
      <w:tr w14:paraId="7AEA11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92" w:hRule="atLeast"/>
        </w:trPr>
        <w:tc>
          <w:tcPr>
            <w:tcW w:w="753" w:type="dxa"/>
            <w:vAlign w:val="top"/>
          </w:tcPr>
          <w:p w14:paraId="3DE4456C">
            <w:pPr>
              <w:pStyle w:val="6"/>
              <w:spacing w:before="253" w:line="219" w:lineRule="auto"/>
              <w:ind w:left="5"/>
              <w:rPr>
                <w:sz w:val="18"/>
                <w:szCs w:val="18"/>
              </w:rPr>
            </w:pPr>
            <w:r>
              <w:rPr>
                <w:spacing w:val="-2"/>
                <w:sz w:val="18"/>
                <w:szCs w:val="18"/>
              </w:rPr>
              <w:t>幼儿园精</w:t>
            </w:r>
          </w:p>
          <w:p w14:paraId="10BF89AC">
            <w:pPr>
              <w:pStyle w:val="6"/>
              <w:spacing w:before="17" w:line="217" w:lineRule="auto"/>
              <w:ind w:left="5"/>
              <w:rPr>
                <w:sz w:val="18"/>
                <w:szCs w:val="18"/>
              </w:rPr>
            </w:pPr>
            <w:r>
              <w:rPr>
                <w:spacing w:val="3"/>
                <w:sz w:val="18"/>
                <w:szCs w:val="18"/>
              </w:rPr>
              <w:t>神环境的</w:t>
            </w:r>
          </w:p>
          <w:p w14:paraId="2CC16076">
            <w:pPr>
              <w:pStyle w:val="6"/>
              <w:spacing w:line="220" w:lineRule="auto"/>
              <w:ind w:left="185"/>
              <w:rPr>
                <w:sz w:val="18"/>
                <w:szCs w:val="18"/>
              </w:rPr>
            </w:pPr>
            <w:r>
              <w:rPr>
                <w:spacing w:val="-2"/>
                <w:sz w:val="18"/>
                <w:szCs w:val="18"/>
              </w:rPr>
              <w:t>创设</w:t>
            </w:r>
          </w:p>
        </w:tc>
        <w:tc>
          <w:tcPr>
            <w:tcW w:w="2484" w:type="dxa"/>
            <w:vAlign w:val="top"/>
          </w:tcPr>
          <w:p w14:paraId="1E5E5ACA">
            <w:pPr>
              <w:pStyle w:val="6"/>
              <w:spacing w:before="134" w:line="225" w:lineRule="auto"/>
              <w:ind w:left="12" w:right="654"/>
              <w:rPr>
                <w:sz w:val="18"/>
                <w:szCs w:val="18"/>
              </w:rPr>
            </w:pPr>
            <w:r>
              <w:rPr>
                <w:spacing w:val="-3"/>
                <w:sz w:val="18"/>
                <w:szCs w:val="18"/>
              </w:rPr>
              <w:t>1.</w:t>
            </w:r>
            <w:r>
              <w:rPr>
                <w:spacing w:val="-51"/>
                <w:sz w:val="18"/>
                <w:szCs w:val="18"/>
              </w:rPr>
              <w:t xml:space="preserve"> </w:t>
            </w:r>
            <w:r>
              <w:rPr>
                <w:spacing w:val="-3"/>
                <w:sz w:val="18"/>
                <w:szCs w:val="18"/>
              </w:rPr>
              <w:t>良好师幼关系的建立</w:t>
            </w:r>
            <w:r>
              <w:rPr>
                <w:sz w:val="18"/>
                <w:szCs w:val="18"/>
              </w:rPr>
              <w:t xml:space="preserve"> </w:t>
            </w:r>
            <w:r>
              <w:rPr>
                <w:spacing w:val="-1"/>
                <w:sz w:val="18"/>
                <w:szCs w:val="18"/>
              </w:rPr>
              <w:t>2.良好同伴关系的建立</w:t>
            </w:r>
          </w:p>
          <w:p w14:paraId="06930B92">
            <w:pPr>
              <w:pStyle w:val="6"/>
              <w:spacing w:line="223" w:lineRule="auto"/>
              <w:ind w:left="12" w:right="110"/>
              <w:rPr>
                <w:sz w:val="18"/>
                <w:szCs w:val="18"/>
              </w:rPr>
            </w:pPr>
            <w:r>
              <w:rPr>
                <w:sz w:val="18"/>
                <w:szCs w:val="18"/>
              </w:rPr>
              <w:t>3.幼儿园精神环境创设的注意</w:t>
            </w:r>
            <w:r>
              <w:rPr>
                <w:spacing w:val="10"/>
                <w:sz w:val="18"/>
                <w:szCs w:val="18"/>
              </w:rPr>
              <w:t xml:space="preserve"> </w:t>
            </w:r>
            <w:r>
              <w:rPr>
                <w:spacing w:val="-2"/>
                <w:sz w:val="18"/>
                <w:szCs w:val="18"/>
              </w:rPr>
              <w:t>事项</w:t>
            </w:r>
          </w:p>
        </w:tc>
        <w:tc>
          <w:tcPr>
            <w:tcW w:w="220" w:type="dxa"/>
            <w:vAlign w:val="top"/>
          </w:tcPr>
          <w:p w14:paraId="5049277A">
            <w:pPr>
              <w:rPr>
                <w:rFonts w:ascii="Arial"/>
                <w:sz w:val="21"/>
              </w:rPr>
            </w:pPr>
          </w:p>
        </w:tc>
        <w:tc>
          <w:tcPr>
            <w:tcW w:w="230" w:type="dxa"/>
            <w:vAlign w:val="top"/>
          </w:tcPr>
          <w:p w14:paraId="3241D605">
            <w:pPr>
              <w:rPr>
                <w:rFonts w:ascii="Arial"/>
                <w:sz w:val="21"/>
              </w:rPr>
            </w:pPr>
          </w:p>
        </w:tc>
        <w:tc>
          <w:tcPr>
            <w:tcW w:w="229" w:type="dxa"/>
            <w:vAlign w:val="top"/>
          </w:tcPr>
          <w:p w14:paraId="074BDD52">
            <w:pPr>
              <w:rPr>
                <w:rFonts w:ascii="Arial"/>
                <w:sz w:val="21"/>
              </w:rPr>
            </w:pPr>
          </w:p>
        </w:tc>
        <w:tc>
          <w:tcPr>
            <w:tcW w:w="224" w:type="dxa"/>
            <w:vAlign w:val="top"/>
          </w:tcPr>
          <w:p w14:paraId="0F070ED5">
            <w:pPr>
              <w:rPr>
                <w:rFonts w:ascii="Arial"/>
                <w:sz w:val="21"/>
              </w:rPr>
            </w:pPr>
          </w:p>
        </w:tc>
      </w:tr>
    </w:tbl>
    <w:p w14:paraId="64D8C6AD">
      <w:pPr>
        <w:spacing w:before="220" w:line="222" w:lineRule="auto"/>
        <w:ind w:left="8"/>
        <w:rPr>
          <w:rFonts w:ascii="黑体" w:hAnsi="黑体" w:eastAsia="黑体" w:cs="黑体"/>
          <w:sz w:val="23"/>
          <w:szCs w:val="23"/>
        </w:rPr>
      </w:pPr>
      <w:r>
        <w:rPr>
          <w:rFonts w:ascii="黑体" w:hAnsi="黑体" w:eastAsia="黑体" w:cs="黑体"/>
          <w:b/>
          <w:bCs/>
          <w:spacing w:val="-7"/>
          <w:sz w:val="23"/>
          <w:szCs w:val="23"/>
        </w:rPr>
        <w:t>八、家园合作与幼小衔接</w:t>
      </w:r>
    </w:p>
    <w:p w14:paraId="700A0D23">
      <w:pPr>
        <w:spacing w:line="144" w:lineRule="exact"/>
      </w:pPr>
    </w:p>
    <w:tbl>
      <w:tblPr>
        <w:tblStyle w:val="5"/>
        <w:tblW w:w="414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43"/>
        <w:gridCol w:w="2484"/>
        <w:gridCol w:w="220"/>
        <w:gridCol w:w="230"/>
        <w:gridCol w:w="229"/>
        <w:gridCol w:w="234"/>
      </w:tblGrid>
      <w:tr w14:paraId="54B096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4" w:hRule="atLeast"/>
        </w:trPr>
        <w:tc>
          <w:tcPr>
            <w:tcW w:w="743" w:type="dxa"/>
            <w:vMerge w:val="restart"/>
            <w:tcBorders>
              <w:bottom w:val="nil"/>
            </w:tcBorders>
            <w:vAlign w:val="top"/>
          </w:tcPr>
          <w:p w14:paraId="42D13E2C">
            <w:pPr>
              <w:pStyle w:val="6"/>
              <w:spacing w:before="20" w:line="224" w:lineRule="auto"/>
              <w:ind w:left="106" w:right="35" w:hanging="79"/>
            </w:pPr>
            <w:r>
              <w:rPr>
                <w:b/>
                <w:bCs/>
                <w:spacing w:val="-5"/>
              </w:rPr>
              <w:t>知识与技</w:t>
            </w:r>
            <w:r>
              <w:rPr>
                <w:spacing w:val="1"/>
              </w:rPr>
              <w:t xml:space="preserve"> </w:t>
            </w:r>
            <w:r>
              <w:rPr>
                <w:b/>
                <w:bCs/>
                <w:spacing w:val="1"/>
              </w:rPr>
              <w:t>能要点</w:t>
            </w:r>
          </w:p>
        </w:tc>
        <w:tc>
          <w:tcPr>
            <w:tcW w:w="2484" w:type="dxa"/>
            <w:vMerge w:val="restart"/>
            <w:tcBorders>
              <w:bottom w:val="nil"/>
            </w:tcBorders>
            <w:vAlign w:val="top"/>
          </w:tcPr>
          <w:p w14:paraId="1F4C48FE">
            <w:pPr>
              <w:pStyle w:val="6"/>
              <w:spacing w:before="139" w:line="219" w:lineRule="auto"/>
              <w:ind w:left="924"/>
            </w:pPr>
            <w:r>
              <w:rPr>
                <w:b/>
                <w:bCs/>
                <w:spacing w:val="5"/>
              </w:rPr>
              <w:t>考试条目</w:t>
            </w:r>
          </w:p>
        </w:tc>
        <w:tc>
          <w:tcPr>
            <w:tcW w:w="913" w:type="dxa"/>
            <w:gridSpan w:val="4"/>
            <w:vAlign w:val="top"/>
          </w:tcPr>
          <w:p w14:paraId="79009DDA">
            <w:pPr>
              <w:pStyle w:val="6"/>
              <w:spacing w:before="28" w:line="201" w:lineRule="auto"/>
              <w:ind w:left="140"/>
            </w:pPr>
            <w:r>
              <w:rPr>
                <w:b/>
                <w:bCs/>
                <w:spacing w:val="-4"/>
              </w:rPr>
              <w:t>考试水平</w:t>
            </w:r>
          </w:p>
        </w:tc>
      </w:tr>
      <w:tr w14:paraId="79B173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9" w:hRule="atLeast"/>
        </w:trPr>
        <w:tc>
          <w:tcPr>
            <w:tcW w:w="743" w:type="dxa"/>
            <w:vMerge w:val="continue"/>
            <w:tcBorders>
              <w:top w:val="nil"/>
            </w:tcBorders>
            <w:vAlign w:val="top"/>
          </w:tcPr>
          <w:p w14:paraId="2D9CFF2B">
            <w:pPr>
              <w:rPr>
                <w:rFonts w:ascii="Arial"/>
                <w:sz w:val="21"/>
              </w:rPr>
            </w:pPr>
          </w:p>
        </w:tc>
        <w:tc>
          <w:tcPr>
            <w:tcW w:w="2484" w:type="dxa"/>
            <w:vMerge w:val="continue"/>
            <w:tcBorders>
              <w:top w:val="nil"/>
            </w:tcBorders>
            <w:vAlign w:val="top"/>
          </w:tcPr>
          <w:p w14:paraId="22B5B753">
            <w:pPr>
              <w:rPr>
                <w:rFonts w:ascii="Arial"/>
                <w:sz w:val="21"/>
              </w:rPr>
            </w:pPr>
          </w:p>
        </w:tc>
        <w:tc>
          <w:tcPr>
            <w:tcW w:w="220" w:type="dxa"/>
            <w:vAlign w:val="top"/>
          </w:tcPr>
          <w:p w14:paraId="7A7FF845">
            <w:pPr>
              <w:pStyle w:val="6"/>
              <w:spacing w:before="60" w:line="139" w:lineRule="exact"/>
              <w:ind w:left="38"/>
            </w:pPr>
            <w:r>
              <w:rPr>
                <w:position w:val="-2"/>
              </w:rPr>
              <w:t>A</w:t>
            </w:r>
          </w:p>
        </w:tc>
        <w:tc>
          <w:tcPr>
            <w:tcW w:w="230" w:type="dxa"/>
            <w:vAlign w:val="top"/>
          </w:tcPr>
          <w:p w14:paraId="7F9EFF19">
            <w:pPr>
              <w:pStyle w:val="6"/>
              <w:spacing w:before="62" w:line="137" w:lineRule="exact"/>
              <w:ind w:left="60"/>
            </w:pPr>
            <w:r>
              <w:rPr>
                <w:b/>
                <w:bCs/>
                <w:spacing w:val="-2"/>
                <w:position w:val="-2"/>
              </w:rPr>
              <w:t>B</w:t>
            </w:r>
          </w:p>
        </w:tc>
        <w:tc>
          <w:tcPr>
            <w:tcW w:w="229" w:type="dxa"/>
            <w:vAlign w:val="top"/>
          </w:tcPr>
          <w:p w14:paraId="73AFDC42">
            <w:pPr>
              <w:pStyle w:val="6"/>
              <w:spacing w:before="61" w:line="138" w:lineRule="exact"/>
              <w:ind w:left="17"/>
            </w:pPr>
            <w:r>
              <w:rPr>
                <w:position w:val="-2"/>
              </w:rPr>
              <w:t>C</w:t>
            </w:r>
          </w:p>
        </w:tc>
        <w:tc>
          <w:tcPr>
            <w:tcW w:w="234" w:type="dxa"/>
            <w:vAlign w:val="top"/>
          </w:tcPr>
          <w:p w14:paraId="4FB40125">
            <w:pPr>
              <w:pStyle w:val="6"/>
              <w:spacing w:before="62" w:line="137" w:lineRule="exact"/>
              <w:ind w:left="61"/>
            </w:pPr>
            <w:r>
              <w:rPr>
                <w:b/>
                <w:bCs/>
                <w:spacing w:val="-2"/>
                <w:position w:val="-2"/>
              </w:rPr>
              <w:t>D</w:t>
            </w:r>
          </w:p>
        </w:tc>
      </w:tr>
      <w:tr w14:paraId="744138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16" w:hRule="atLeast"/>
        </w:trPr>
        <w:tc>
          <w:tcPr>
            <w:tcW w:w="743" w:type="dxa"/>
            <w:vAlign w:val="top"/>
          </w:tcPr>
          <w:p w14:paraId="7671FB90">
            <w:pPr>
              <w:pStyle w:val="6"/>
              <w:spacing w:before="159" w:line="237" w:lineRule="auto"/>
              <w:ind w:left="194" w:right="182"/>
            </w:pPr>
            <w:r>
              <w:rPr>
                <w:spacing w:val="7"/>
              </w:rPr>
              <w:t>家园</w:t>
            </w:r>
            <w:r>
              <w:t xml:space="preserve"> </w:t>
            </w:r>
            <w:r>
              <w:rPr>
                <w:spacing w:val="-2"/>
              </w:rPr>
              <w:t>合作</w:t>
            </w:r>
          </w:p>
        </w:tc>
        <w:tc>
          <w:tcPr>
            <w:tcW w:w="2484" w:type="dxa"/>
            <w:vAlign w:val="top"/>
          </w:tcPr>
          <w:p w14:paraId="6F80D93C">
            <w:pPr>
              <w:pStyle w:val="6"/>
              <w:spacing w:before="70" w:line="230" w:lineRule="auto"/>
              <w:ind w:left="12" w:right="1086"/>
              <w:jc w:val="both"/>
            </w:pPr>
            <w:r>
              <w:t>1.家园合作的意义</w:t>
            </w:r>
            <w:r>
              <w:rPr>
                <w:spacing w:val="7"/>
              </w:rPr>
              <w:t xml:space="preserve"> </w:t>
            </w:r>
            <w:r>
              <w:rPr>
                <w:spacing w:val="1"/>
              </w:rPr>
              <w:t>2.家园合作的原则</w:t>
            </w:r>
            <w:r>
              <w:rPr>
                <w:spacing w:val="5"/>
              </w:rPr>
              <w:t xml:space="preserve"> </w:t>
            </w:r>
            <w:r>
              <w:rPr>
                <w:spacing w:val="-1"/>
              </w:rPr>
              <w:t>3.家园合作的方式</w:t>
            </w:r>
          </w:p>
        </w:tc>
        <w:tc>
          <w:tcPr>
            <w:tcW w:w="220" w:type="dxa"/>
            <w:vAlign w:val="top"/>
          </w:tcPr>
          <w:p w14:paraId="5F307AC0">
            <w:pPr>
              <w:rPr>
                <w:rFonts w:ascii="Arial"/>
                <w:sz w:val="21"/>
              </w:rPr>
            </w:pPr>
          </w:p>
        </w:tc>
        <w:tc>
          <w:tcPr>
            <w:tcW w:w="230" w:type="dxa"/>
            <w:vAlign w:val="top"/>
          </w:tcPr>
          <w:p w14:paraId="03983528">
            <w:pPr>
              <w:rPr>
                <w:rFonts w:ascii="Arial"/>
                <w:sz w:val="21"/>
              </w:rPr>
            </w:pPr>
          </w:p>
        </w:tc>
        <w:tc>
          <w:tcPr>
            <w:tcW w:w="229" w:type="dxa"/>
            <w:vAlign w:val="top"/>
          </w:tcPr>
          <w:p w14:paraId="784709D1">
            <w:pPr>
              <w:rPr>
                <w:rFonts w:ascii="Arial"/>
                <w:sz w:val="21"/>
              </w:rPr>
            </w:pPr>
          </w:p>
        </w:tc>
        <w:tc>
          <w:tcPr>
            <w:tcW w:w="234" w:type="dxa"/>
            <w:vAlign w:val="top"/>
          </w:tcPr>
          <w:p w14:paraId="35D115BC">
            <w:pPr>
              <w:rPr>
                <w:rFonts w:ascii="Arial"/>
                <w:sz w:val="21"/>
              </w:rPr>
            </w:pPr>
          </w:p>
        </w:tc>
      </w:tr>
      <w:tr w14:paraId="6C9F56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1" w:hRule="atLeast"/>
        </w:trPr>
        <w:tc>
          <w:tcPr>
            <w:tcW w:w="743" w:type="dxa"/>
            <w:vAlign w:val="top"/>
          </w:tcPr>
          <w:p w14:paraId="1D132D74">
            <w:pPr>
              <w:pStyle w:val="6"/>
              <w:spacing w:before="172" w:line="238" w:lineRule="auto"/>
              <w:ind w:left="194" w:right="184"/>
            </w:pPr>
            <w:r>
              <w:rPr>
                <w:spacing w:val="6"/>
              </w:rPr>
              <w:t>幼小</w:t>
            </w:r>
            <w:r>
              <w:t xml:space="preserve"> </w:t>
            </w:r>
            <w:r>
              <w:rPr>
                <w:spacing w:val="-2"/>
              </w:rPr>
              <w:t>衔接</w:t>
            </w:r>
          </w:p>
        </w:tc>
        <w:tc>
          <w:tcPr>
            <w:tcW w:w="2484" w:type="dxa"/>
            <w:vAlign w:val="top"/>
          </w:tcPr>
          <w:p w14:paraId="216FACEA">
            <w:pPr>
              <w:pStyle w:val="6"/>
              <w:spacing w:before="72" w:line="231" w:lineRule="auto"/>
              <w:ind w:left="12" w:right="1093"/>
              <w:jc w:val="both"/>
            </w:pPr>
            <w:r>
              <w:t>1.幼小衔接的含义</w:t>
            </w:r>
            <w:r>
              <w:rPr>
                <w:spacing w:val="7"/>
              </w:rPr>
              <w:t xml:space="preserve"> </w:t>
            </w:r>
            <w:r>
              <w:rPr>
                <w:spacing w:val="-1"/>
              </w:rPr>
              <w:t>2.幼小衔接的任务</w:t>
            </w:r>
            <w:r>
              <w:t xml:space="preserve"> </w:t>
            </w:r>
            <w:r>
              <w:rPr>
                <w:spacing w:val="-2"/>
              </w:rPr>
              <w:t>3.幼小衔接的措施</w:t>
            </w:r>
          </w:p>
        </w:tc>
        <w:tc>
          <w:tcPr>
            <w:tcW w:w="220" w:type="dxa"/>
            <w:vAlign w:val="top"/>
          </w:tcPr>
          <w:p w14:paraId="2318E8FA">
            <w:pPr>
              <w:rPr>
                <w:rFonts w:ascii="Arial"/>
                <w:sz w:val="21"/>
              </w:rPr>
            </w:pPr>
          </w:p>
        </w:tc>
        <w:tc>
          <w:tcPr>
            <w:tcW w:w="230" w:type="dxa"/>
            <w:vAlign w:val="top"/>
          </w:tcPr>
          <w:p w14:paraId="50738061">
            <w:pPr>
              <w:rPr>
                <w:rFonts w:ascii="Arial"/>
                <w:sz w:val="21"/>
              </w:rPr>
            </w:pPr>
          </w:p>
        </w:tc>
        <w:tc>
          <w:tcPr>
            <w:tcW w:w="229" w:type="dxa"/>
            <w:vAlign w:val="top"/>
          </w:tcPr>
          <w:p w14:paraId="792ACFCC">
            <w:pPr>
              <w:rPr>
                <w:rFonts w:ascii="Arial"/>
                <w:sz w:val="21"/>
              </w:rPr>
            </w:pPr>
          </w:p>
        </w:tc>
        <w:tc>
          <w:tcPr>
            <w:tcW w:w="234" w:type="dxa"/>
            <w:vAlign w:val="top"/>
          </w:tcPr>
          <w:p w14:paraId="3CDEC613">
            <w:pPr>
              <w:rPr>
                <w:rFonts w:ascii="Arial"/>
                <w:sz w:val="21"/>
              </w:rPr>
            </w:pPr>
          </w:p>
        </w:tc>
      </w:tr>
    </w:tbl>
    <w:p w14:paraId="0139B5BF">
      <w:pPr>
        <w:spacing w:before="179" w:line="221" w:lineRule="auto"/>
        <w:ind w:left="8"/>
        <w:rPr>
          <w:rFonts w:ascii="黑体" w:hAnsi="黑体" w:eastAsia="黑体" w:cs="黑体"/>
          <w:sz w:val="23"/>
          <w:szCs w:val="23"/>
        </w:rPr>
      </w:pPr>
      <w:r>
        <w:rPr>
          <w:rFonts w:ascii="黑体" w:hAnsi="黑体" w:eastAsia="黑体" w:cs="黑体"/>
          <w:b/>
          <w:bCs/>
          <w:spacing w:val="-10"/>
          <w:sz w:val="23"/>
          <w:szCs w:val="23"/>
        </w:rPr>
        <w:t>九、学前教育评价</w:t>
      </w:r>
    </w:p>
    <w:p w14:paraId="308690D8">
      <w:pPr>
        <w:spacing w:line="95" w:lineRule="exact"/>
      </w:pPr>
    </w:p>
    <w:tbl>
      <w:tblPr>
        <w:tblStyle w:val="5"/>
        <w:tblW w:w="414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53"/>
        <w:gridCol w:w="2484"/>
        <w:gridCol w:w="210"/>
        <w:gridCol w:w="230"/>
        <w:gridCol w:w="229"/>
        <w:gridCol w:w="234"/>
      </w:tblGrid>
      <w:tr w14:paraId="582045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9" w:hRule="atLeast"/>
        </w:trPr>
        <w:tc>
          <w:tcPr>
            <w:tcW w:w="753" w:type="dxa"/>
            <w:vMerge w:val="restart"/>
            <w:tcBorders>
              <w:top w:val="single" w:color="000000" w:sz="2" w:space="0"/>
              <w:bottom w:val="nil"/>
            </w:tcBorders>
            <w:vAlign w:val="top"/>
          </w:tcPr>
          <w:p w14:paraId="0AB5148E">
            <w:pPr>
              <w:pStyle w:val="6"/>
              <w:spacing w:before="25" w:line="221" w:lineRule="auto"/>
              <w:ind w:left="7"/>
              <w:rPr>
                <w:sz w:val="18"/>
                <w:szCs w:val="18"/>
              </w:rPr>
            </w:pPr>
            <w:r>
              <w:rPr>
                <w:b/>
                <w:bCs/>
                <w:spacing w:val="-4"/>
                <w:sz w:val="18"/>
                <w:szCs w:val="18"/>
              </w:rPr>
              <w:t>知识与技</w:t>
            </w:r>
          </w:p>
          <w:p w14:paraId="4F9F89AC">
            <w:pPr>
              <w:pStyle w:val="6"/>
              <w:spacing w:before="4" w:line="197" w:lineRule="auto"/>
              <w:ind w:left="97"/>
              <w:rPr>
                <w:sz w:val="18"/>
                <w:szCs w:val="18"/>
              </w:rPr>
            </w:pPr>
            <w:r>
              <w:rPr>
                <w:b/>
                <w:bCs/>
                <w:spacing w:val="1"/>
                <w:sz w:val="18"/>
                <w:szCs w:val="18"/>
              </w:rPr>
              <w:t>能要点</w:t>
            </w:r>
          </w:p>
        </w:tc>
        <w:tc>
          <w:tcPr>
            <w:tcW w:w="2484" w:type="dxa"/>
            <w:vMerge w:val="restart"/>
            <w:tcBorders>
              <w:top w:val="single" w:color="000000" w:sz="2" w:space="0"/>
              <w:bottom w:val="nil"/>
            </w:tcBorders>
            <w:vAlign w:val="top"/>
          </w:tcPr>
          <w:p w14:paraId="38ABF64A">
            <w:pPr>
              <w:pStyle w:val="6"/>
              <w:spacing w:before="134" w:line="219" w:lineRule="auto"/>
              <w:ind w:left="924"/>
              <w:rPr>
                <w:sz w:val="18"/>
                <w:szCs w:val="18"/>
              </w:rPr>
            </w:pPr>
            <w:r>
              <w:rPr>
                <w:b/>
                <w:bCs/>
                <w:spacing w:val="5"/>
                <w:sz w:val="18"/>
                <w:szCs w:val="18"/>
              </w:rPr>
              <w:t>考试条目</w:t>
            </w:r>
          </w:p>
        </w:tc>
        <w:tc>
          <w:tcPr>
            <w:tcW w:w="903" w:type="dxa"/>
            <w:gridSpan w:val="4"/>
            <w:tcBorders>
              <w:top w:val="single" w:color="000000" w:sz="2" w:space="0"/>
              <w:bottom w:val="single" w:color="000000" w:sz="2" w:space="0"/>
            </w:tcBorders>
            <w:vAlign w:val="top"/>
          </w:tcPr>
          <w:p w14:paraId="31C615F6">
            <w:pPr>
              <w:pStyle w:val="6"/>
              <w:spacing w:before="24" w:line="199" w:lineRule="auto"/>
              <w:ind w:left="110"/>
              <w:rPr>
                <w:sz w:val="18"/>
                <w:szCs w:val="18"/>
              </w:rPr>
            </w:pPr>
            <w:r>
              <w:rPr>
                <w:b/>
                <w:bCs/>
                <w:spacing w:val="-4"/>
                <w:sz w:val="18"/>
                <w:szCs w:val="18"/>
              </w:rPr>
              <w:t>考试水平</w:t>
            </w:r>
          </w:p>
        </w:tc>
      </w:tr>
      <w:tr w14:paraId="673485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4" w:hRule="atLeast"/>
        </w:trPr>
        <w:tc>
          <w:tcPr>
            <w:tcW w:w="753" w:type="dxa"/>
            <w:vMerge w:val="continue"/>
            <w:tcBorders>
              <w:top w:val="nil"/>
              <w:bottom w:val="single" w:color="000000" w:sz="2" w:space="0"/>
            </w:tcBorders>
            <w:vAlign w:val="top"/>
          </w:tcPr>
          <w:p w14:paraId="01CB6AE4">
            <w:pPr>
              <w:rPr>
                <w:rFonts w:ascii="Arial"/>
                <w:sz w:val="21"/>
              </w:rPr>
            </w:pPr>
          </w:p>
        </w:tc>
        <w:tc>
          <w:tcPr>
            <w:tcW w:w="2484" w:type="dxa"/>
            <w:vMerge w:val="continue"/>
            <w:tcBorders>
              <w:top w:val="nil"/>
              <w:bottom w:val="single" w:color="000000" w:sz="2" w:space="0"/>
            </w:tcBorders>
            <w:vAlign w:val="top"/>
          </w:tcPr>
          <w:p w14:paraId="4C919721">
            <w:pPr>
              <w:rPr>
                <w:rFonts w:ascii="Arial"/>
                <w:sz w:val="21"/>
              </w:rPr>
            </w:pPr>
          </w:p>
        </w:tc>
        <w:tc>
          <w:tcPr>
            <w:tcW w:w="210" w:type="dxa"/>
            <w:tcBorders>
              <w:top w:val="single" w:color="000000" w:sz="2" w:space="0"/>
              <w:bottom w:val="single" w:color="000000" w:sz="2" w:space="0"/>
            </w:tcBorders>
            <w:vAlign w:val="top"/>
          </w:tcPr>
          <w:p w14:paraId="50A31024">
            <w:pPr>
              <w:pStyle w:val="6"/>
              <w:spacing w:before="68" w:line="135" w:lineRule="exact"/>
              <w:ind w:left="20"/>
              <w:rPr>
                <w:sz w:val="18"/>
                <w:szCs w:val="18"/>
              </w:rPr>
            </w:pPr>
            <w:r>
              <w:rPr>
                <w:b/>
                <w:bCs/>
                <w:spacing w:val="-2"/>
                <w:position w:val="-2"/>
                <w:sz w:val="18"/>
                <w:szCs w:val="18"/>
              </w:rPr>
              <w:t>A</w:t>
            </w:r>
          </w:p>
        </w:tc>
        <w:tc>
          <w:tcPr>
            <w:tcW w:w="230" w:type="dxa"/>
            <w:tcBorders>
              <w:top w:val="single" w:color="000000" w:sz="2" w:space="0"/>
              <w:bottom w:val="single" w:color="000000" w:sz="2" w:space="0"/>
            </w:tcBorders>
            <w:vAlign w:val="top"/>
          </w:tcPr>
          <w:p w14:paraId="6ACB93E8">
            <w:pPr>
              <w:pStyle w:val="6"/>
              <w:spacing w:before="70" w:line="133" w:lineRule="exact"/>
              <w:ind w:left="20"/>
              <w:rPr>
                <w:sz w:val="18"/>
                <w:szCs w:val="18"/>
              </w:rPr>
            </w:pPr>
            <w:r>
              <w:rPr>
                <w:b/>
                <w:bCs/>
                <w:spacing w:val="-2"/>
                <w:position w:val="-2"/>
                <w:sz w:val="18"/>
                <w:szCs w:val="18"/>
              </w:rPr>
              <w:t>B</w:t>
            </w:r>
          </w:p>
        </w:tc>
        <w:tc>
          <w:tcPr>
            <w:tcW w:w="229" w:type="dxa"/>
            <w:tcBorders>
              <w:top w:val="single" w:color="000000" w:sz="2" w:space="0"/>
              <w:bottom w:val="single" w:color="000000" w:sz="2" w:space="0"/>
            </w:tcBorders>
            <w:vAlign w:val="top"/>
          </w:tcPr>
          <w:p w14:paraId="36DAA15D">
            <w:pPr>
              <w:pStyle w:val="6"/>
              <w:spacing w:before="69" w:line="134" w:lineRule="exact"/>
              <w:ind w:left="38"/>
              <w:rPr>
                <w:sz w:val="18"/>
                <w:szCs w:val="18"/>
              </w:rPr>
            </w:pPr>
            <w:r>
              <w:rPr>
                <w:position w:val="-2"/>
                <w:sz w:val="18"/>
                <w:szCs w:val="18"/>
              </w:rPr>
              <w:t>C</w:t>
            </w:r>
          </w:p>
        </w:tc>
        <w:tc>
          <w:tcPr>
            <w:tcW w:w="234" w:type="dxa"/>
            <w:tcBorders>
              <w:top w:val="single" w:color="000000" w:sz="2" w:space="0"/>
              <w:bottom w:val="single" w:color="000000" w:sz="2" w:space="0"/>
            </w:tcBorders>
            <w:vAlign w:val="top"/>
          </w:tcPr>
          <w:p w14:paraId="6C6DA571">
            <w:pPr>
              <w:pStyle w:val="6"/>
              <w:spacing w:before="70" w:line="133" w:lineRule="exact"/>
              <w:ind w:left="51"/>
              <w:rPr>
                <w:sz w:val="18"/>
                <w:szCs w:val="18"/>
              </w:rPr>
            </w:pPr>
            <w:r>
              <w:rPr>
                <w:b/>
                <w:bCs/>
                <w:spacing w:val="-2"/>
                <w:position w:val="-2"/>
                <w:sz w:val="18"/>
                <w:szCs w:val="18"/>
              </w:rPr>
              <w:t>D</w:t>
            </w:r>
          </w:p>
        </w:tc>
      </w:tr>
      <w:tr w14:paraId="51F320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43" w:hRule="atLeast"/>
        </w:trPr>
        <w:tc>
          <w:tcPr>
            <w:tcW w:w="753" w:type="dxa"/>
            <w:tcBorders>
              <w:top w:val="single" w:color="000000" w:sz="2" w:space="0"/>
              <w:bottom w:val="single" w:color="000000" w:sz="2" w:space="0"/>
            </w:tcBorders>
            <w:vAlign w:val="top"/>
          </w:tcPr>
          <w:p w14:paraId="0D239D4F">
            <w:pPr>
              <w:pStyle w:val="6"/>
              <w:spacing w:before="33" w:line="205" w:lineRule="auto"/>
              <w:ind w:left="94" w:right="96"/>
              <w:jc w:val="both"/>
              <w:rPr>
                <w:sz w:val="18"/>
                <w:szCs w:val="18"/>
              </w:rPr>
            </w:pPr>
            <w:r>
              <w:rPr>
                <w:spacing w:val="-4"/>
                <w:sz w:val="18"/>
                <w:szCs w:val="18"/>
              </w:rPr>
              <w:t>学前教</w:t>
            </w:r>
            <w:r>
              <w:rPr>
                <w:sz w:val="18"/>
                <w:szCs w:val="18"/>
              </w:rPr>
              <w:t xml:space="preserve"> </w:t>
            </w:r>
            <w:r>
              <w:rPr>
                <w:spacing w:val="2"/>
                <w:sz w:val="18"/>
                <w:szCs w:val="18"/>
              </w:rPr>
              <w:t>育评价</w:t>
            </w:r>
            <w:r>
              <w:rPr>
                <w:sz w:val="18"/>
                <w:szCs w:val="18"/>
              </w:rPr>
              <w:t xml:space="preserve"> </w:t>
            </w:r>
            <w:r>
              <w:rPr>
                <w:spacing w:val="3"/>
                <w:sz w:val="18"/>
                <w:szCs w:val="18"/>
              </w:rPr>
              <w:t>的含义</w:t>
            </w:r>
            <w:r>
              <w:rPr>
                <w:sz w:val="18"/>
                <w:szCs w:val="18"/>
              </w:rPr>
              <w:t xml:space="preserve"> </w:t>
            </w:r>
            <w:r>
              <w:rPr>
                <w:spacing w:val="3"/>
                <w:sz w:val="18"/>
                <w:szCs w:val="18"/>
              </w:rPr>
              <w:t>与类型</w:t>
            </w:r>
          </w:p>
        </w:tc>
        <w:tc>
          <w:tcPr>
            <w:tcW w:w="2484" w:type="dxa"/>
            <w:tcBorders>
              <w:top w:val="single" w:color="000000" w:sz="2" w:space="0"/>
              <w:bottom w:val="single" w:color="000000" w:sz="2" w:space="0"/>
            </w:tcBorders>
            <w:vAlign w:val="top"/>
          </w:tcPr>
          <w:p w14:paraId="5C687ADD">
            <w:pPr>
              <w:pStyle w:val="6"/>
              <w:spacing w:before="242" w:line="227" w:lineRule="auto"/>
              <w:ind w:left="12" w:right="112"/>
              <w:rPr>
                <w:sz w:val="18"/>
                <w:szCs w:val="18"/>
              </w:rPr>
            </w:pPr>
            <w:r>
              <w:rPr>
                <w:sz w:val="18"/>
                <w:szCs w:val="18"/>
              </w:rPr>
              <w:t>1.学前教育评价的含义与功能</w:t>
            </w:r>
            <w:r>
              <w:rPr>
                <w:spacing w:val="8"/>
                <w:sz w:val="18"/>
                <w:szCs w:val="18"/>
              </w:rPr>
              <w:t xml:space="preserve"> </w:t>
            </w:r>
            <w:r>
              <w:rPr>
                <w:spacing w:val="1"/>
                <w:sz w:val="18"/>
                <w:szCs w:val="18"/>
              </w:rPr>
              <w:t>2.学前教育评价的类型</w:t>
            </w:r>
          </w:p>
        </w:tc>
        <w:tc>
          <w:tcPr>
            <w:tcW w:w="210" w:type="dxa"/>
            <w:tcBorders>
              <w:top w:val="single" w:color="000000" w:sz="2" w:space="0"/>
              <w:bottom w:val="single" w:color="000000" w:sz="2" w:space="0"/>
            </w:tcBorders>
            <w:vAlign w:val="top"/>
          </w:tcPr>
          <w:p w14:paraId="1E0BDE5B">
            <w:pPr>
              <w:spacing w:line="267" w:lineRule="auto"/>
              <w:rPr>
                <w:rFonts w:ascii="Arial"/>
                <w:sz w:val="21"/>
              </w:rPr>
            </w:pPr>
          </w:p>
          <w:p w14:paraId="45441AE9">
            <w:pPr>
              <w:spacing w:line="321" w:lineRule="exact"/>
              <w:ind w:firstLine="42"/>
            </w:pPr>
            <w:r>
              <w:rPr>
                <w:position w:val="-6"/>
              </w:rPr>
              <w:drawing>
                <wp:inline distT="0" distB="0" distL="0" distR="0">
                  <wp:extent cx="81915" cy="203200"/>
                  <wp:effectExtent l="0" t="0" r="0" b="0"/>
                  <wp:docPr id="408" name="IM 408"/>
                  <wp:cNvGraphicFramePr/>
                  <a:graphic xmlns:a="http://schemas.openxmlformats.org/drawingml/2006/main">
                    <a:graphicData uri="http://schemas.openxmlformats.org/drawingml/2006/picture">
                      <pic:pic xmlns:pic="http://schemas.openxmlformats.org/drawingml/2006/picture">
                        <pic:nvPicPr>
                          <pic:cNvPr id="408" name="IM 408"/>
                          <pic:cNvPicPr/>
                        </pic:nvPicPr>
                        <pic:blipFill>
                          <a:blip r:embed="rId368"/>
                          <a:stretch>
                            <a:fillRect/>
                          </a:stretch>
                        </pic:blipFill>
                        <pic:spPr>
                          <a:xfrm>
                            <a:off x="0" y="0"/>
                            <a:ext cx="82549" cy="203354"/>
                          </a:xfrm>
                          <a:prstGeom prst="rect">
                            <a:avLst/>
                          </a:prstGeom>
                        </pic:spPr>
                      </pic:pic>
                    </a:graphicData>
                  </a:graphic>
                </wp:inline>
              </w:drawing>
            </w:r>
          </w:p>
        </w:tc>
        <w:tc>
          <w:tcPr>
            <w:tcW w:w="230" w:type="dxa"/>
            <w:tcBorders>
              <w:top w:val="single" w:color="000000" w:sz="2" w:space="0"/>
              <w:bottom w:val="single" w:color="000000" w:sz="2" w:space="0"/>
            </w:tcBorders>
            <w:vAlign w:val="top"/>
          </w:tcPr>
          <w:p w14:paraId="78BC1451">
            <w:pPr>
              <w:rPr>
                <w:rFonts w:ascii="Arial"/>
                <w:sz w:val="21"/>
              </w:rPr>
            </w:pPr>
          </w:p>
        </w:tc>
        <w:tc>
          <w:tcPr>
            <w:tcW w:w="229" w:type="dxa"/>
            <w:tcBorders>
              <w:top w:val="single" w:color="000000" w:sz="2" w:space="0"/>
              <w:bottom w:val="single" w:color="000000" w:sz="2" w:space="0"/>
            </w:tcBorders>
            <w:vAlign w:val="top"/>
          </w:tcPr>
          <w:p w14:paraId="1544B4BF">
            <w:pPr>
              <w:rPr>
                <w:rFonts w:ascii="Arial"/>
                <w:sz w:val="21"/>
              </w:rPr>
            </w:pPr>
          </w:p>
        </w:tc>
        <w:tc>
          <w:tcPr>
            <w:tcW w:w="234" w:type="dxa"/>
            <w:tcBorders>
              <w:top w:val="single" w:color="000000" w:sz="2" w:space="0"/>
              <w:bottom w:val="single" w:color="000000" w:sz="2" w:space="0"/>
            </w:tcBorders>
            <w:vAlign w:val="top"/>
          </w:tcPr>
          <w:p w14:paraId="19B3B8CE">
            <w:pPr>
              <w:rPr>
                <w:rFonts w:ascii="Arial"/>
                <w:sz w:val="21"/>
              </w:rPr>
            </w:pPr>
          </w:p>
        </w:tc>
      </w:tr>
      <w:tr w14:paraId="4CD148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27" w:hRule="atLeast"/>
        </w:trPr>
        <w:tc>
          <w:tcPr>
            <w:tcW w:w="753" w:type="dxa"/>
            <w:tcBorders>
              <w:top w:val="single" w:color="000000" w:sz="2" w:space="0"/>
              <w:bottom w:val="single" w:color="000000" w:sz="2" w:space="0"/>
            </w:tcBorders>
            <w:vAlign w:val="top"/>
          </w:tcPr>
          <w:p w14:paraId="2B5E0E8C">
            <w:pPr>
              <w:pStyle w:val="6"/>
              <w:spacing w:before="37" w:line="200" w:lineRule="auto"/>
              <w:ind w:left="94" w:right="100"/>
              <w:jc w:val="both"/>
              <w:rPr>
                <w:sz w:val="18"/>
                <w:szCs w:val="18"/>
              </w:rPr>
            </w:pPr>
            <w:r>
              <w:rPr>
                <w:spacing w:val="-4"/>
                <w:sz w:val="18"/>
                <w:szCs w:val="18"/>
              </w:rPr>
              <w:t>学前教</w:t>
            </w:r>
            <w:r>
              <w:rPr>
                <w:sz w:val="18"/>
                <w:szCs w:val="18"/>
              </w:rPr>
              <w:t xml:space="preserve"> </w:t>
            </w:r>
            <w:r>
              <w:rPr>
                <w:spacing w:val="2"/>
                <w:sz w:val="18"/>
                <w:szCs w:val="18"/>
              </w:rPr>
              <w:t>育评价</w:t>
            </w:r>
            <w:r>
              <w:rPr>
                <w:sz w:val="18"/>
                <w:szCs w:val="18"/>
              </w:rPr>
              <w:t xml:space="preserve"> </w:t>
            </w:r>
            <w:r>
              <w:rPr>
                <w:spacing w:val="2"/>
                <w:sz w:val="18"/>
                <w:szCs w:val="18"/>
              </w:rPr>
              <w:t>的过程</w:t>
            </w:r>
            <w:r>
              <w:rPr>
                <w:sz w:val="18"/>
                <w:szCs w:val="18"/>
              </w:rPr>
              <w:t xml:space="preserve"> </w:t>
            </w:r>
            <w:r>
              <w:rPr>
                <w:spacing w:val="-3"/>
                <w:sz w:val="18"/>
                <w:szCs w:val="18"/>
              </w:rPr>
              <w:t>与方法</w:t>
            </w:r>
          </w:p>
        </w:tc>
        <w:tc>
          <w:tcPr>
            <w:tcW w:w="2484" w:type="dxa"/>
            <w:tcBorders>
              <w:top w:val="single" w:color="000000" w:sz="2" w:space="0"/>
              <w:bottom w:val="single" w:color="000000" w:sz="2" w:space="0"/>
            </w:tcBorders>
            <w:vAlign w:val="top"/>
          </w:tcPr>
          <w:p w14:paraId="2A5BD879">
            <w:pPr>
              <w:pStyle w:val="6"/>
              <w:spacing w:before="124" w:line="205" w:lineRule="auto"/>
              <w:ind w:left="12"/>
              <w:rPr>
                <w:sz w:val="18"/>
                <w:szCs w:val="18"/>
              </w:rPr>
            </w:pPr>
            <w:r>
              <w:rPr>
                <w:sz w:val="18"/>
                <w:szCs w:val="18"/>
              </w:rPr>
              <w:t>1.学前教育评价的过程</w:t>
            </w:r>
          </w:p>
          <w:p w14:paraId="4ED89C4A">
            <w:pPr>
              <w:pStyle w:val="6"/>
              <w:spacing w:line="235" w:lineRule="auto"/>
              <w:ind w:left="12" w:right="221"/>
              <w:rPr>
                <w:sz w:val="18"/>
                <w:szCs w:val="18"/>
              </w:rPr>
            </w:pPr>
            <w:r>
              <w:rPr>
                <w:spacing w:val="-1"/>
                <w:sz w:val="18"/>
                <w:szCs w:val="18"/>
              </w:rPr>
              <w:t>2.学前教育评价的方法(观察</w:t>
            </w:r>
            <w:r>
              <w:rPr>
                <w:spacing w:val="3"/>
                <w:sz w:val="18"/>
                <w:szCs w:val="18"/>
              </w:rPr>
              <w:t xml:space="preserve"> </w:t>
            </w:r>
            <w:r>
              <w:rPr>
                <w:spacing w:val="6"/>
                <w:sz w:val="18"/>
                <w:szCs w:val="18"/>
              </w:rPr>
              <w:t>法、访谈法)</w:t>
            </w:r>
          </w:p>
        </w:tc>
        <w:tc>
          <w:tcPr>
            <w:tcW w:w="210" w:type="dxa"/>
            <w:tcBorders>
              <w:top w:val="single" w:color="000000" w:sz="2" w:space="0"/>
              <w:bottom w:val="single" w:color="000000" w:sz="2" w:space="0"/>
            </w:tcBorders>
            <w:vAlign w:val="top"/>
          </w:tcPr>
          <w:p w14:paraId="02855093">
            <w:pPr>
              <w:rPr>
                <w:rFonts w:ascii="Arial"/>
                <w:sz w:val="21"/>
              </w:rPr>
            </w:pPr>
          </w:p>
        </w:tc>
        <w:tc>
          <w:tcPr>
            <w:tcW w:w="230" w:type="dxa"/>
            <w:tcBorders>
              <w:top w:val="single" w:color="000000" w:sz="2" w:space="0"/>
              <w:bottom w:val="single" w:color="000000" w:sz="2" w:space="0"/>
            </w:tcBorders>
            <w:vAlign w:val="top"/>
          </w:tcPr>
          <w:p w14:paraId="43C00AE0">
            <w:pPr>
              <w:rPr>
                <w:rFonts w:ascii="Arial"/>
                <w:sz w:val="21"/>
              </w:rPr>
            </w:pPr>
          </w:p>
        </w:tc>
        <w:tc>
          <w:tcPr>
            <w:tcW w:w="229" w:type="dxa"/>
            <w:tcBorders>
              <w:top w:val="single" w:color="000000" w:sz="2" w:space="0"/>
              <w:bottom w:val="single" w:color="000000" w:sz="2" w:space="0"/>
            </w:tcBorders>
            <w:vAlign w:val="top"/>
          </w:tcPr>
          <w:p w14:paraId="2361F265">
            <w:pPr>
              <w:rPr>
                <w:rFonts w:ascii="Arial"/>
                <w:sz w:val="21"/>
              </w:rPr>
            </w:pPr>
          </w:p>
        </w:tc>
        <w:tc>
          <w:tcPr>
            <w:tcW w:w="234" w:type="dxa"/>
            <w:tcBorders>
              <w:top w:val="single" w:color="000000" w:sz="2" w:space="0"/>
              <w:bottom w:val="single" w:color="000000" w:sz="2" w:space="0"/>
            </w:tcBorders>
            <w:vAlign w:val="top"/>
          </w:tcPr>
          <w:p w14:paraId="63A5B39C">
            <w:pPr>
              <w:rPr>
                <w:rFonts w:ascii="Arial"/>
                <w:sz w:val="21"/>
              </w:rPr>
            </w:pPr>
          </w:p>
        </w:tc>
      </w:tr>
    </w:tbl>
    <w:p w14:paraId="256AB352">
      <w:pPr>
        <w:pStyle w:val="2"/>
        <w:spacing w:line="14" w:lineRule="auto"/>
        <w:rPr>
          <w:sz w:val="2"/>
        </w:rPr>
      </w:pPr>
    </w:p>
    <w:p w14:paraId="3A59AE5D">
      <w:pPr>
        <w:pStyle w:val="2"/>
        <w:spacing w:line="14" w:lineRule="auto"/>
        <w:rPr>
          <w:sz w:val="2"/>
        </w:rPr>
      </w:pPr>
      <w:r>
        <w:rPr>
          <w:sz w:val="2"/>
          <w:szCs w:val="2"/>
        </w:rPr>
        <w:br w:type="column"/>
      </w:r>
    </w:p>
    <w:p w14:paraId="10793084">
      <w:pPr>
        <w:spacing w:before="45" w:line="221" w:lineRule="auto"/>
        <w:ind w:left="3"/>
        <w:rPr>
          <w:rFonts w:ascii="黑体" w:hAnsi="黑体" w:eastAsia="黑体" w:cs="黑体"/>
          <w:sz w:val="23"/>
          <w:szCs w:val="23"/>
        </w:rPr>
      </w:pPr>
      <w:r>
        <w:rPr>
          <w:rFonts w:ascii="黑体" w:hAnsi="黑体" w:eastAsia="黑体" w:cs="黑体"/>
          <w:b/>
          <w:bCs/>
          <w:spacing w:val="-7"/>
          <w:sz w:val="23"/>
          <w:szCs w:val="23"/>
        </w:rPr>
        <w:t>四、考试形式与试卷结构</w:t>
      </w:r>
    </w:p>
    <w:p w14:paraId="7C8D656A">
      <w:pPr>
        <w:spacing w:before="85" w:line="219" w:lineRule="auto"/>
        <w:ind w:left="342"/>
        <w:rPr>
          <w:rFonts w:ascii="宋体" w:hAnsi="宋体" w:eastAsia="宋体" w:cs="宋体"/>
          <w:sz w:val="17"/>
          <w:szCs w:val="17"/>
        </w:rPr>
      </w:pPr>
      <w:r>
        <w:rPr>
          <w:rFonts w:ascii="宋体" w:hAnsi="宋体" w:eastAsia="宋体" w:cs="宋体"/>
          <w:b/>
          <w:bCs/>
          <w:spacing w:val="-6"/>
          <w:sz w:val="17"/>
          <w:szCs w:val="17"/>
        </w:rPr>
        <w:t>1.考核形式</w:t>
      </w:r>
    </w:p>
    <w:p w14:paraId="21F6AEBD">
      <w:pPr>
        <w:spacing w:before="99" w:line="219" w:lineRule="auto"/>
        <w:ind w:left="429"/>
        <w:rPr>
          <w:rFonts w:ascii="宋体" w:hAnsi="宋体" w:eastAsia="宋体" w:cs="宋体"/>
          <w:sz w:val="17"/>
          <w:szCs w:val="17"/>
        </w:rPr>
      </w:pPr>
      <w:r>
        <w:rPr>
          <w:rFonts w:ascii="宋体" w:hAnsi="宋体" w:eastAsia="宋体" w:cs="宋体"/>
          <w:spacing w:val="7"/>
          <w:sz w:val="17"/>
          <w:szCs w:val="17"/>
        </w:rPr>
        <w:t>(1)采用闭卷笔答方式。</w:t>
      </w:r>
    </w:p>
    <w:p w14:paraId="3B0AEA8C">
      <w:pPr>
        <w:spacing w:before="79" w:line="219" w:lineRule="auto"/>
        <w:ind w:left="429"/>
        <w:rPr>
          <w:rFonts w:ascii="宋体" w:hAnsi="宋体" w:eastAsia="宋体" w:cs="宋体"/>
          <w:sz w:val="17"/>
          <w:szCs w:val="17"/>
        </w:rPr>
      </w:pPr>
      <w:r>
        <w:rPr>
          <w:rFonts w:ascii="宋体" w:hAnsi="宋体" w:eastAsia="宋体" w:cs="宋体"/>
          <w:spacing w:val="11"/>
          <w:sz w:val="17"/>
          <w:szCs w:val="17"/>
        </w:rPr>
        <w:t>(2)考试时间为150分钟。</w:t>
      </w:r>
    </w:p>
    <w:p w14:paraId="238E3F08">
      <w:pPr>
        <w:spacing w:before="87" w:line="302" w:lineRule="auto"/>
        <w:ind w:right="61" w:firstLine="339"/>
        <w:rPr>
          <w:rFonts w:ascii="宋体" w:hAnsi="宋体" w:eastAsia="宋体" w:cs="宋体"/>
          <w:sz w:val="17"/>
          <w:szCs w:val="17"/>
        </w:rPr>
      </w:pPr>
      <w:r>
        <w:rPr>
          <w:rFonts w:ascii="宋体" w:hAnsi="宋体" w:eastAsia="宋体" w:cs="宋体"/>
          <w:spacing w:val="12"/>
          <w:sz w:val="17"/>
          <w:szCs w:val="17"/>
        </w:rPr>
        <w:t>2.试卷结构：(命题单位可依据具体情况在5%的</w:t>
      </w:r>
      <w:r>
        <w:rPr>
          <w:rFonts w:ascii="宋体" w:hAnsi="宋体" w:eastAsia="宋体" w:cs="宋体"/>
          <w:spacing w:val="1"/>
          <w:sz w:val="17"/>
          <w:szCs w:val="17"/>
        </w:rPr>
        <w:t xml:space="preserve"> </w:t>
      </w:r>
      <w:r>
        <w:rPr>
          <w:rFonts w:ascii="宋体" w:hAnsi="宋体" w:eastAsia="宋体" w:cs="宋体"/>
          <w:spacing w:val="5"/>
          <w:sz w:val="17"/>
          <w:szCs w:val="17"/>
        </w:rPr>
        <w:t>比例内增减)</w:t>
      </w:r>
    </w:p>
    <w:p w14:paraId="02D0CEEF">
      <w:pPr>
        <w:spacing w:before="24" w:line="219" w:lineRule="auto"/>
        <w:ind w:left="429"/>
        <w:rPr>
          <w:rFonts w:ascii="宋体" w:hAnsi="宋体" w:eastAsia="宋体" w:cs="宋体"/>
          <w:sz w:val="17"/>
          <w:szCs w:val="17"/>
        </w:rPr>
      </w:pPr>
      <w:r>
        <w:rPr>
          <w:rFonts w:ascii="宋体" w:hAnsi="宋体" w:eastAsia="宋体" w:cs="宋体"/>
          <w:spacing w:val="12"/>
          <w:sz w:val="17"/>
          <w:szCs w:val="17"/>
        </w:rPr>
        <w:t>(1)按知识点分</w:t>
      </w:r>
    </w:p>
    <w:p w14:paraId="31AF66B5">
      <w:pPr>
        <w:spacing w:line="136" w:lineRule="exact"/>
      </w:pPr>
    </w:p>
    <w:tbl>
      <w:tblPr>
        <w:tblStyle w:val="5"/>
        <w:tblW w:w="4130" w:type="dxa"/>
        <w:tblInd w:w="1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34"/>
        <w:gridCol w:w="1775"/>
        <w:gridCol w:w="898"/>
        <w:gridCol w:w="923"/>
      </w:tblGrid>
      <w:tr w14:paraId="0F91C1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3" w:hRule="atLeast"/>
        </w:trPr>
        <w:tc>
          <w:tcPr>
            <w:tcW w:w="534" w:type="dxa"/>
            <w:vAlign w:val="top"/>
          </w:tcPr>
          <w:p w14:paraId="617DE23E">
            <w:pPr>
              <w:pStyle w:val="6"/>
              <w:spacing w:before="110" w:line="221" w:lineRule="auto"/>
              <w:ind w:left="87"/>
            </w:pPr>
            <w:r>
              <w:rPr>
                <w:b/>
                <w:bCs/>
                <w:spacing w:val="-4"/>
              </w:rPr>
              <w:t>序号</w:t>
            </w:r>
          </w:p>
        </w:tc>
        <w:tc>
          <w:tcPr>
            <w:tcW w:w="1775" w:type="dxa"/>
            <w:vAlign w:val="top"/>
          </w:tcPr>
          <w:p w14:paraId="5B9E517C">
            <w:pPr>
              <w:pStyle w:val="6"/>
              <w:spacing w:before="108" w:line="219" w:lineRule="auto"/>
              <w:ind w:left="553"/>
            </w:pPr>
            <w:r>
              <w:rPr>
                <w:b/>
                <w:bCs/>
                <w:spacing w:val="5"/>
              </w:rPr>
              <w:t>知识科目</w:t>
            </w:r>
          </w:p>
        </w:tc>
        <w:tc>
          <w:tcPr>
            <w:tcW w:w="898" w:type="dxa"/>
            <w:vAlign w:val="top"/>
          </w:tcPr>
          <w:p w14:paraId="50EC8B5F">
            <w:pPr>
              <w:pStyle w:val="6"/>
              <w:spacing w:before="110" w:line="220" w:lineRule="auto"/>
              <w:ind w:left="188"/>
            </w:pPr>
            <w:r>
              <w:rPr>
                <w:b/>
                <w:bCs/>
                <w:spacing w:val="-5"/>
              </w:rPr>
              <w:t>百分比</w:t>
            </w:r>
          </w:p>
        </w:tc>
        <w:tc>
          <w:tcPr>
            <w:tcW w:w="923" w:type="dxa"/>
            <w:vAlign w:val="top"/>
          </w:tcPr>
          <w:p w14:paraId="42BD8C95">
            <w:pPr>
              <w:pStyle w:val="6"/>
              <w:spacing w:before="109" w:line="219" w:lineRule="auto"/>
              <w:ind w:left="290"/>
            </w:pPr>
            <w:r>
              <w:rPr>
                <w:b/>
                <w:bCs/>
                <w:spacing w:val="-4"/>
              </w:rPr>
              <w:t>分值</w:t>
            </w:r>
          </w:p>
        </w:tc>
      </w:tr>
      <w:tr w14:paraId="3DD7D0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7" w:hRule="atLeast"/>
        </w:trPr>
        <w:tc>
          <w:tcPr>
            <w:tcW w:w="534" w:type="dxa"/>
            <w:vAlign w:val="top"/>
          </w:tcPr>
          <w:p w14:paraId="171FDBD9">
            <w:pPr>
              <w:pStyle w:val="6"/>
              <w:spacing w:before="141" w:line="184" w:lineRule="auto"/>
              <w:ind w:left="215"/>
            </w:pPr>
            <w:r>
              <w:t>1</w:t>
            </w:r>
          </w:p>
        </w:tc>
        <w:tc>
          <w:tcPr>
            <w:tcW w:w="1775" w:type="dxa"/>
            <w:vAlign w:val="top"/>
          </w:tcPr>
          <w:p w14:paraId="57BA1560">
            <w:pPr>
              <w:pStyle w:val="6"/>
              <w:spacing w:before="99" w:line="219" w:lineRule="auto"/>
              <w:ind w:left="1"/>
            </w:pPr>
            <w:r>
              <w:rPr>
                <w:spacing w:val="-1"/>
              </w:rPr>
              <w:t>学前儿童卫生与保健</w:t>
            </w:r>
          </w:p>
        </w:tc>
        <w:tc>
          <w:tcPr>
            <w:tcW w:w="898" w:type="dxa"/>
            <w:vAlign w:val="top"/>
          </w:tcPr>
          <w:p w14:paraId="733EB7CE">
            <w:pPr>
              <w:pStyle w:val="6"/>
              <w:spacing w:before="142" w:line="183" w:lineRule="auto"/>
              <w:ind w:left="316"/>
            </w:pPr>
            <w:r>
              <w:rPr>
                <w:spacing w:val="-3"/>
              </w:rPr>
              <w:t>30%</w:t>
            </w:r>
          </w:p>
        </w:tc>
        <w:tc>
          <w:tcPr>
            <w:tcW w:w="923" w:type="dxa"/>
            <w:vAlign w:val="top"/>
          </w:tcPr>
          <w:p w14:paraId="1DFFEBBD">
            <w:pPr>
              <w:pStyle w:val="6"/>
              <w:spacing w:before="99" w:line="220" w:lineRule="auto"/>
              <w:ind w:left="287"/>
            </w:pPr>
            <w:r>
              <w:rPr>
                <w:spacing w:val="-2"/>
              </w:rPr>
              <w:t>60分</w:t>
            </w:r>
          </w:p>
        </w:tc>
      </w:tr>
      <w:tr w14:paraId="433A35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7" w:hRule="atLeast"/>
        </w:trPr>
        <w:tc>
          <w:tcPr>
            <w:tcW w:w="534" w:type="dxa"/>
            <w:vAlign w:val="top"/>
          </w:tcPr>
          <w:p w14:paraId="5836719B">
            <w:pPr>
              <w:pStyle w:val="6"/>
              <w:spacing w:before="145" w:line="183" w:lineRule="auto"/>
              <w:ind w:left="215"/>
            </w:pPr>
            <w:r>
              <w:t>2</w:t>
            </w:r>
          </w:p>
        </w:tc>
        <w:tc>
          <w:tcPr>
            <w:tcW w:w="1775" w:type="dxa"/>
            <w:vAlign w:val="top"/>
          </w:tcPr>
          <w:p w14:paraId="77FCD73D">
            <w:pPr>
              <w:pStyle w:val="6"/>
              <w:spacing w:before="102" w:line="219" w:lineRule="auto"/>
              <w:ind w:left="1"/>
            </w:pPr>
            <w:r>
              <w:rPr>
                <w:spacing w:val="-2"/>
              </w:rPr>
              <w:t>学前儿童发展心理</w:t>
            </w:r>
          </w:p>
        </w:tc>
        <w:tc>
          <w:tcPr>
            <w:tcW w:w="898" w:type="dxa"/>
            <w:vAlign w:val="top"/>
          </w:tcPr>
          <w:p w14:paraId="78664D8D">
            <w:pPr>
              <w:pStyle w:val="6"/>
              <w:spacing w:before="145" w:line="183" w:lineRule="auto"/>
              <w:ind w:left="316"/>
            </w:pPr>
            <w:r>
              <w:rPr>
                <w:spacing w:val="-3"/>
              </w:rPr>
              <w:t>35%</w:t>
            </w:r>
          </w:p>
        </w:tc>
        <w:tc>
          <w:tcPr>
            <w:tcW w:w="923" w:type="dxa"/>
            <w:vAlign w:val="top"/>
          </w:tcPr>
          <w:p w14:paraId="4C424409">
            <w:pPr>
              <w:pStyle w:val="6"/>
              <w:spacing w:before="102" w:line="220" w:lineRule="auto"/>
              <w:ind w:left="287"/>
            </w:pPr>
            <w:r>
              <w:rPr>
                <w:spacing w:val="-2"/>
              </w:rPr>
              <w:t>70分</w:t>
            </w:r>
          </w:p>
        </w:tc>
      </w:tr>
      <w:tr w14:paraId="450FED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3" w:hRule="atLeast"/>
        </w:trPr>
        <w:tc>
          <w:tcPr>
            <w:tcW w:w="534" w:type="dxa"/>
            <w:vAlign w:val="top"/>
          </w:tcPr>
          <w:p w14:paraId="612F7E94">
            <w:pPr>
              <w:pStyle w:val="6"/>
              <w:spacing w:before="148" w:line="183" w:lineRule="auto"/>
              <w:ind w:left="215"/>
            </w:pPr>
            <w:r>
              <w:t>3</w:t>
            </w:r>
          </w:p>
        </w:tc>
        <w:tc>
          <w:tcPr>
            <w:tcW w:w="1775" w:type="dxa"/>
            <w:vAlign w:val="top"/>
          </w:tcPr>
          <w:p w14:paraId="1872D3EC">
            <w:pPr>
              <w:pStyle w:val="6"/>
              <w:spacing w:before="105" w:line="219" w:lineRule="auto"/>
              <w:ind w:left="1"/>
            </w:pPr>
            <w:r>
              <w:rPr>
                <w:spacing w:val="1"/>
              </w:rPr>
              <w:t>学前教育基础知识</w:t>
            </w:r>
          </w:p>
        </w:tc>
        <w:tc>
          <w:tcPr>
            <w:tcW w:w="898" w:type="dxa"/>
            <w:vAlign w:val="top"/>
          </w:tcPr>
          <w:p w14:paraId="568E0D96">
            <w:pPr>
              <w:pStyle w:val="6"/>
              <w:spacing w:before="148" w:line="183" w:lineRule="auto"/>
              <w:ind w:left="316"/>
            </w:pPr>
            <w:r>
              <w:rPr>
                <w:spacing w:val="-3"/>
              </w:rPr>
              <w:t>35%</w:t>
            </w:r>
          </w:p>
        </w:tc>
        <w:tc>
          <w:tcPr>
            <w:tcW w:w="923" w:type="dxa"/>
            <w:vAlign w:val="top"/>
          </w:tcPr>
          <w:p w14:paraId="27E72147">
            <w:pPr>
              <w:pStyle w:val="6"/>
              <w:spacing w:before="105" w:line="220" w:lineRule="auto"/>
              <w:ind w:left="287"/>
            </w:pPr>
            <w:r>
              <w:rPr>
                <w:spacing w:val="-2"/>
              </w:rPr>
              <w:t>70分</w:t>
            </w:r>
          </w:p>
        </w:tc>
      </w:tr>
    </w:tbl>
    <w:p w14:paraId="73E6C414">
      <w:pPr>
        <w:spacing w:before="173" w:line="219" w:lineRule="auto"/>
        <w:ind w:left="429"/>
        <w:rPr>
          <w:rFonts w:ascii="宋体" w:hAnsi="宋体" w:eastAsia="宋体" w:cs="宋体"/>
          <w:sz w:val="17"/>
          <w:szCs w:val="17"/>
        </w:rPr>
      </w:pPr>
      <w:r>
        <w:rPr>
          <w:rFonts w:ascii="宋体" w:hAnsi="宋体" w:eastAsia="宋体" w:cs="宋体"/>
          <w:spacing w:val="10"/>
          <w:sz w:val="17"/>
          <w:szCs w:val="17"/>
        </w:rPr>
        <w:t>(2)按考试水平分</w:t>
      </w:r>
    </w:p>
    <w:p w14:paraId="626CFE1A">
      <w:pPr>
        <w:spacing w:line="106" w:lineRule="exact"/>
      </w:pPr>
    </w:p>
    <w:tbl>
      <w:tblPr>
        <w:tblStyle w:val="5"/>
        <w:tblW w:w="4130" w:type="dxa"/>
        <w:tblInd w:w="1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192"/>
        <w:gridCol w:w="738"/>
        <w:gridCol w:w="729"/>
        <w:gridCol w:w="738"/>
        <w:gridCol w:w="733"/>
      </w:tblGrid>
      <w:tr w14:paraId="58D9A9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0" w:hRule="atLeast"/>
        </w:trPr>
        <w:tc>
          <w:tcPr>
            <w:tcW w:w="1192" w:type="dxa"/>
            <w:vAlign w:val="top"/>
          </w:tcPr>
          <w:p w14:paraId="32EF717A">
            <w:pPr>
              <w:pStyle w:val="6"/>
              <w:spacing w:before="79" w:line="219" w:lineRule="auto"/>
              <w:ind w:left="247"/>
            </w:pPr>
            <w:r>
              <w:rPr>
                <w:b/>
                <w:bCs/>
                <w:spacing w:val="-4"/>
              </w:rPr>
              <w:t>考试水平</w:t>
            </w:r>
          </w:p>
        </w:tc>
        <w:tc>
          <w:tcPr>
            <w:tcW w:w="738" w:type="dxa"/>
            <w:vAlign w:val="top"/>
          </w:tcPr>
          <w:p w14:paraId="4CA9DCDD">
            <w:pPr>
              <w:pStyle w:val="6"/>
              <w:spacing w:before="124" w:line="184" w:lineRule="auto"/>
              <w:ind w:left="315"/>
            </w:pPr>
            <w:r>
              <w:rPr>
                <w:b/>
                <w:bCs/>
                <w:spacing w:val="-2"/>
              </w:rPr>
              <w:t>A</w:t>
            </w:r>
          </w:p>
        </w:tc>
        <w:tc>
          <w:tcPr>
            <w:tcW w:w="729" w:type="dxa"/>
            <w:vAlign w:val="top"/>
          </w:tcPr>
          <w:p w14:paraId="7CB92C7E">
            <w:pPr>
              <w:pStyle w:val="6"/>
              <w:spacing w:before="126" w:line="182" w:lineRule="auto"/>
              <w:ind w:left="317"/>
            </w:pPr>
            <w:r>
              <w:rPr>
                <w:b/>
                <w:bCs/>
                <w:spacing w:val="-2"/>
              </w:rPr>
              <w:t>B</w:t>
            </w:r>
          </w:p>
        </w:tc>
        <w:tc>
          <w:tcPr>
            <w:tcW w:w="738" w:type="dxa"/>
            <w:vAlign w:val="top"/>
          </w:tcPr>
          <w:p w14:paraId="630403D1">
            <w:pPr>
              <w:pStyle w:val="6"/>
              <w:spacing w:before="124" w:line="183" w:lineRule="auto"/>
              <w:ind w:left="318"/>
            </w:pPr>
            <w:r>
              <w:rPr>
                <w:b/>
                <w:bCs/>
                <w:spacing w:val="-2"/>
              </w:rPr>
              <w:t>C</w:t>
            </w:r>
          </w:p>
        </w:tc>
        <w:tc>
          <w:tcPr>
            <w:tcW w:w="733" w:type="dxa"/>
            <w:vAlign w:val="top"/>
          </w:tcPr>
          <w:p w14:paraId="34B8141C">
            <w:pPr>
              <w:pStyle w:val="6"/>
              <w:spacing w:before="126" w:line="182" w:lineRule="auto"/>
              <w:ind w:left="320"/>
            </w:pPr>
            <w:r>
              <w:rPr>
                <w:b/>
                <w:bCs/>
                <w:spacing w:val="-2"/>
              </w:rPr>
              <w:t>D</w:t>
            </w:r>
          </w:p>
        </w:tc>
      </w:tr>
      <w:tr w14:paraId="39C34D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0" w:hRule="atLeast"/>
        </w:trPr>
        <w:tc>
          <w:tcPr>
            <w:tcW w:w="1192" w:type="dxa"/>
            <w:vAlign w:val="top"/>
          </w:tcPr>
          <w:p w14:paraId="10D7B707">
            <w:pPr>
              <w:pStyle w:val="6"/>
              <w:spacing w:before="80" w:line="220" w:lineRule="auto"/>
              <w:ind w:left="337"/>
            </w:pPr>
            <w:r>
              <w:rPr>
                <w:b/>
                <w:bCs/>
                <w:spacing w:val="-5"/>
              </w:rPr>
              <w:t>百分比</w:t>
            </w:r>
          </w:p>
        </w:tc>
        <w:tc>
          <w:tcPr>
            <w:tcW w:w="738" w:type="dxa"/>
            <w:vAlign w:val="top"/>
          </w:tcPr>
          <w:p w14:paraId="3154184C">
            <w:pPr>
              <w:pStyle w:val="6"/>
              <w:spacing w:before="124" w:line="183" w:lineRule="auto"/>
              <w:ind w:left="235"/>
            </w:pPr>
            <w:r>
              <w:rPr>
                <w:b/>
                <w:bCs/>
                <w:spacing w:val="-4"/>
              </w:rPr>
              <w:t>20%</w:t>
            </w:r>
          </w:p>
        </w:tc>
        <w:tc>
          <w:tcPr>
            <w:tcW w:w="729" w:type="dxa"/>
            <w:vAlign w:val="top"/>
          </w:tcPr>
          <w:p w14:paraId="153FD887">
            <w:pPr>
              <w:pStyle w:val="6"/>
              <w:spacing w:before="124" w:line="183" w:lineRule="auto"/>
              <w:ind w:left="227"/>
            </w:pPr>
            <w:r>
              <w:rPr>
                <w:b/>
                <w:bCs/>
                <w:spacing w:val="-5"/>
              </w:rPr>
              <w:t>30%</w:t>
            </w:r>
          </w:p>
        </w:tc>
        <w:tc>
          <w:tcPr>
            <w:tcW w:w="738" w:type="dxa"/>
            <w:vAlign w:val="top"/>
          </w:tcPr>
          <w:p w14:paraId="7E558956">
            <w:pPr>
              <w:pStyle w:val="6"/>
              <w:spacing w:before="124" w:line="183" w:lineRule="auto"/>
              <w:ind w:left="238"/>
            </w:pPr>
            <w:r>
              <w:rPr>
                <w:b/>
                <w:bCs/>
                <w:spacing w:val="-5"/>
              </w:rPr>
              <w:t>30%</w:t>
            </w:r>
          </w:p>
        </w:tc>
        <w:tc>
          <w:tcPr>
            <w:tcW w:w="733" w:type="dxa"/>
            <w:vAlign w:val="top"/>
          </w:tcPr>
          <w:p w14:paraId="5CA0D6DF">
            <w:pPr>
              <w:pStyle w:val="6"/>
              <w:spacing w:before="124" w:line="183" w:lineRule="auto"/>
              <w:ind w:left="230"/>
            </w:pPr>
            <w:r>
              <w:rPr>
                <w:b/>
                <w:bCs/>
                <w:spacing w:val="-4"/>
              </w:rPr>
              <w:t>20%</w:t>
            </w:r>
          </w:p>
        </w:tc>
      </w:tr>
    </w:tbl>
    <w:p w14:paraId="6C5E8FE9">
      <w:pPr>
        <w:spacing w:before="152" w:line="219" w:lineRule="auto"/>
        <w:ind w:left="429"/>
        <w:rPr>
          <w:rFonts w:ascii="宋体" w:hAnsi="宋体" w:eastAsia="宋体" w:cs="宋体"/>
          <w:sz w:val="17"/>
          <w:szCs w:val="17"/>
        </w:rPr>
      </w:pPr>
      <w:r>
        <w:rPr>
          <w:rFonts w:ascii="宋体" w:hAnsi="宋体" w:eastAsia="宋体" w:cs="宋体"/>
          <w:spacing w:val="10"/>
          <w:sz w:val="17"/>
          <w:szCs w:val="17"/>
        </w:rPr>
        <w:t>(3)按考试题型分</w:t>
      </w:r>
    </w:p>
    <w:p w14:paraId="7DE8CF29">
      <w:pPr>
        <w:spacing w:line="106" w:lineRule="exact"/>
      </w:pPr>
    </w:p>
    <w:tbl>
      <w:tblPr>
        <w:tblStyle w:val="5"/>
        <w:tblW w:w="4130" w:type="dxa"/>
        <w:tblInd w:w="1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93"/>
        <w:gridCol w:w="568"/>
        <w:gridCol w:w="569"/>
        <w:gridCol w:w="559"/>
        <w:gridCol w:w="569"/>
        <w:gridCol w:w="1072"/>
      </w:tblGrid>
      <w:tr w14:paraId="55FA5A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793" w:type="dxa"/>
            <w:vAlign w:val="top"/>
          </w:tcPr>
          <w:p w14:paraId="46A56920">
            <w:pPr>
              <w:pStyle w:val="6"/>
              <w:spacing w:before="91" w:line="221" w:lineRule="auto"/>
              <w:ind w:left="217"/>
            </w:pPr>
            <w:r>
              <w:rPr>
                <w:b/>
                <w:bCs/>
                <w:spacing w:val="-4"/>
              </w:rPr>
              <w:t>题型</w:t>
            </w:r>
          </w:p>
        </w:tc>
        <w:tc>
          <w:tcPr>
            <w:tcW w:w="568" w:type="dxa"/>
            <w:vAlign w:val="top"/>
          </w:tcPr>
          <w:p w14:paraId="6DB97BBB">
            <w:pPr>
              <w:pStyle w:val="6"/>
              <w:spacing w:before="90" w:line="221" w:lineRule="auto"/>
              <w:ind w:left="24"/>
            </w:pPr>
            <w:r>
              <w:rPr>
                <w:b/>
                <w:bCs/>
                <w:spacing w:val="-4"/>
              </w:rPr>
              <w:t>选择题</w:t>
            </w:r>
          </w:p>
        </w:tc>
        <w:tc>
          <w:tcPr>
            <w:tcW w:w="569" w:type="dxa"/>
            <w:vAlign w:val="top"/>
          </w:tcPr>
          <w:p w14:paraId="2D0B4046">
            <w:pPr>
              <w:pStyle w:val="6"/>
              <w:spacing w:before="90" w:line="220" w:lineRule="auto"/>
              <w:ind w:left="26"/>
            </w:pPr>
            <w:r>
              <w:rPr>
                <w:b/>
                <w:bCs/>
                <w:spacing w:val="-4"/>
              </w:rPr>
              <w:t>填空题</w:t>
            </w:r>
          </w:p>
        </w:tc>
        <w:tc>
          <w:tcPr>
            <w:tcW w:w="559" w:type="dxa"/>
            <w:vAlign w:val="top"/>
          </w:tcPr>
          <w:p w14:paraId="0FF3EBD4">
            <w:pPr>
              <w:pStyle w:val="6"/>
              <w:spacing w:before="89" w:line="219" w:lineRule="auto"/>
              <w:ind w:left="17"/>
            </w:pPr>
            <w:r>
              <w:rPr>
                <w:b/>
                <w:bCs/>
                <w:spacing w:val="-4"/>
              </w:rPr>
              <w:t>判断题</w:t>
            </w:r>
          </w:p>
        </w:tc>
        <w:tc>
          <w:tcPr>
            <w:tcW w:w="569" w:type="dxa"/>
            <w:vAlign w:val="top"/>
          </w:tcPr>
          <w:p w14:paraId="29D12C09">
            <w:pPr>
              <w:pStyle w:val="6"/>
              <w:spacing w:before="88" w:line="219" w:lineRule="auto"/>
              <w:ind w:left="28"/>
            </w:pPr>
            <w:r>
              <w:rPr>
                <w:b/>
                <w:bCs/>
                <w:spacing w:val="-5"/>
              </w:rPr>
              <w:t>简答题</w:t>
            </w:r>
          </w:p>
        </w:tc>
        <w:tc>
          <w:tcPr>
            <w:tcW w:w="1072" w:type="dxa"/>
            <w:vAlign w:val="top"/>
          </w:tcPr>
          <w:p w14:paraId="369B0035">
            <w:pPr>
              <w:pStyle w:val="6"/>
              <w:spacing w:before="90" w:line="220" w:lineRule="auto"/>
              <w:ind w:left="19"/>
            </w:pPr>
            <w:r>
              <w:rPr>
                <w:b/>
                <w:bCs/>
                <w:spacing w:val="-4"/>
              </w:rPr>
              <w:t>实践与应用题</w:t>
            </w:r>
          </w:p>
        </w:tc>
      </w:tr>
      <w:tr w14:paraId="31D9EF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0" w:hRule="atLeast"/>
        </w:trPr>
        <w:tc>
          <w:tcPr>
            <w:tcW w:w="793" w:type="dxa"/>
            <w:vAlign w:val="top"/>
          </w:tcPr>
          <w:p w14:paraId="663927E2">
            <w:pPr>
              <w:pStyle w:val="6"/>
              <w:spacing w:before="80" w:line="220" w:lineRule="auto"/>
              <w:ind w:left="137"/>
            </w:pPr>
            <w:r>
              <w:rPr>
                <w:b/>
                <w:bCs/>
                <w:spacing w:val="-5"/>
              </w:rPr>
              <w:t>百分比</w:t>
            </w:r>
          </w:p>
        </w:tc>
        <w:tc>
          <w:tcPr>
            <w:tcW w:w="568" w:type="dxa"/>
            <w:vAlign w:val="top"/>
          </w:tcPr>
          <w:p w14:paraId="0952F0E3">
            <w:pPr>
              <w:pStyle w:val="6"/>
              <w:spacing w:before="124" w:line="183" w:lineRule="auto"/>
              <w:ind w:left="144"/>
            </w:pPr>
            <w:r>
              <w:rPr>
                <w:b/>
                <w:bCs/>
                <w:spacing w:val="-5"/>
              </w:rPr>
              <w:t>30%</w:t>
            </w:r>
          </w:p>
        </w:tc>
        <w:tc>
          <w:tcPr>
            <w:tcW w:w="569" w:type="dxa"/>
            <w:vAlign w:val="top"/>
          </w:tcPr>
          <w:p w14:paraId="4D8E5D59">
            <w:pPr>
              <w:pStyle w:val="6"/>
              <w:spacing w:before="124" w:line="183" w:lineRule="auto"/>
              <w:ind w:left="146"/>
            </w:pPr>
            <w:r>
              <w:rPr>
                <w:b/>
                <w:bCs/>
                <w:spacing w:val="-4"/>
              </w:rPr>
              <w:t>20%</w:t>
            </w:r>
          </w:p>
        </w:tc>
        <w:tc>
          <w:tcPr>
            <w:tcW w:w="559" w:type="dxa"/>
            <w:vAlign w:val="top"/>
          </w:tcPr>
          <w:p w14:paraId="4342F4D2">
            <w:pPr>
              <w:pStyle w:val="6"/>
              <w:spacing w:before="123" w:line="184" w:lineRule="auto"/>
              <w:ind w:left="147"/>
            </w:pPr>
            <w:r>
              <w:rPr>
                <w:b/>
                <w:bCs/>
                <w:spacing w:val="-7"/>
              </w:rPr>
              <w:t>10%</w:t>
            </w:r>
          </w:p>
        </w:tc>
        <w:tc>
          <w:tcPr>
            <w:tcW w:w="569" w:type="dxa"/>
            <w:vAlign w:val="top"/>
          </w:tcPr>
          <w:p w14:paraId="081DCA98">
            <w:pPr>
              <w:pStyle w:val="6"/>
              <w:spacing w:before="124" w:line="183" w:lineRule="auto"/>
              <w:ind w:left="148"/>
            </w:pPr>
            <w:r>
              <w:rPr>
                <w:b/>
                <w:bCs/>
                <w:spacing w:val="-4"/>
              </w:rPr>
              <w:t>20%</w:t>
            </w:r>
          </w:p>
        </w:tc>
        <w:tc>
          <w:tcPr>
            <w:tcW w:w="1072" w:type="dxa"/>
            <w:vAlign w:val="top"/>
          </w:tcPr>
          <w:p w14:paraId="45566CA5">
            <w:pPr>
              <w:pStyle w:val="6"/>
              <w:spacing w:before="124" w:line="183" w:lineRule="auto"/>
              <w:ind w:left="399"/>
            </w:pPr>
            <w:r>
              <w:rPr>
                <w:b/>
                <w:bCs/>
                <w:spacing w:val="-4"/>
              </w:rPr>
              <w:t>20%</w:t>
            </w:r>
          </w:p>
        </w:tc>
      </w:tr>
    </w:tbl>
    <w:p w14:paraId="28C8536C">
      <w:pPr>
        <w:pStyle w:val="2"/>
        <w:spacing w:line="399" w:lineRule="auto"/>
      </w:pPr>
    </w:p>
    <w:p w14:paraId="6CC196E3">
      <w:pPr>
        <w:spacing w:before="88" w:line="221" w:lineRule="auto"/>
        <w:ind w:left="343"/>
        <w:rPr>
          <w:rFonts w:ascii="黑体" w:hAnsi="黑体" w:eastAsia="黑体" w:cs="黑体"/>
          <w:sz w:val="27"/>
          <w:szCs w:val="27"/>
        </w:rPr>
      </w:pPr>
      <w:r>
        <w:rPr>
          <w:rFonts w:ascii="黑体" w:hAnsi="黑体" w:eastAsia="黑体" w:cs="黑体"/>
          <w:b/>
          <w:bCs/>
          <w:spacing w:val="18"/>
          <w:sz w:val="27"/>
          <w:szCs w:val="27"/>
        </w:rPr>
        <w:t>交通运输大类(轨道交通类)</w:t>
      </w:r>
    </w:p>
    <w:p w14:paraId="00457C64">
      <w:pPr>
        <w:spacing w:before="67" w:line="221" w:lineRule="auto"/>
        <w:ind w:left="1033"/>
        <w:outlineLvl w:val="0"/>
        <w:rPr>
          <w:rFonts w:ascii="黑体" w:hAnsi="黑体" w:eastAsia="黑体" w:cs="黑体"/>
          <w:sz w:val="27"/>
          <w:szCs w:val="27"/>
        </w:rPr>
      </w:pPr>
      <w:bookmarkStart w:id="47" w:name="bookmark13"/>
      <w:bookmarkEnd w:id="47"/>
      <w:r>
        <w:rPr>
          <w:rFonts w:ascii="黑体" w:hAnsi="黑体" w:eastAsia="黑体" w:cs="黑体"/>
          <w:b/>
          <w:bCs/>
          <w:spacing w:val="1"/>
          <w:sz w:val="27"/>
          <w:szCs w:val="27"/>
        </w:rPr>
        <w:t>专业理论考试纲要</w:t>
      </w:r>
    </w:p>
    <w:p w14:paraId="73075529">
      <w:pPr>
        <w:pStyle w:val="2"/>
        <w:spacing w:line="448" w:lineRule="auto"/>
      </w:pPr>
    </w:p>
    <w:p w14:paraId="2C596BCB">
      <w:pPr>
        <w:spacing w:before="75" w:line="221" w:lineRule="auto"/>
        <w:ind w:left="3"/>
        <w:rPr>
          <w:rFonts w:ascii="黑体" w:hAnsi="黑体" w:eastAsia="黑体" w:cs="黑体"/>
          <w:sz w:val="23"/>
          <w:szCs w:val="23"/>
        </w:rPr>
      </w:pPr>
      <w:r>
        <w:rPr>
          <w:rFonts w:ascii="黑体" w:hAnsi="黑体" w:eastAsia="黑体" w:cs="黑体"/>
          <w:b/>
          <w:bCs/>
          <w:spacing w:val="-6"/>
          <w:sz w:val="23"/>
          <w:szCs w:val="23"/>
        </w:rPr>
        <w:t>一、考试范围和内容</w:t>
      </w:r>
    </w:p>
    <w:p w14:paraId="6A015600">
      <w:pPr>
        <w:spacing w:before="86" w:line="312" w:lineRule="auto"/>
        <w:ind w:right="32" w:firstLine="339"/>
        <w:rPr>
          <w:rFonts w:ascii="宋体" w:hAnsi="宋体" w:eastAsia="宋体" w:cs="宋体"/>
          <w:sz w:val="17"/>
          <w:szCs w:val="17"/>
        </w:rPr>
      </w:pPr>
      <w:r>
        <w:rPr>
          <w:rFonts w:ascii="宋体" w:hAnsi="宋体" w:eastAsia="宋体" w:cs="宋体"/>
          <w:sz w:val="17"/>
          <w:szCs w:val="17"/>
        </w:rPr>
        <w:t>本纲要的制定以教育部颁发的中等职业学校《城市</w:t>
      </w:r>
      <w:r>
        <w:rPr>
          <w:rFonts w:ascii="宋体" w:hAnsi="宋体" w:eastAsia="宋体" w:cs="宋体"/>
          <w:spacing w:val="18"/>
          <w:sz w:val="17"/>
          <w:szCs w:val="17"/>
        </w:rPr>
        <w:t xml:space="preserve"> </w:t>
      </w:r>
      <w:r>
        <w:rPr>
          <w:rFonts w:ascii="宋体" w:hAnsi="宋体" w:eastAsia="宋体" w:cs="宋体"/>
          <w:spacing w:val="2"/>
          <w:sz w:val="17"/>
          <w:szCs w:val="17"/>
        </w:rPr>
        <w:t>轨道交通信号维护专业教学指导方案》为依据，主</w:t>
      </w:r>
      <w:r>
        <w:rPr>
          <w:rFonts w:ascii="宋体" w:hAnsi="宋体" w:eastAsia="宋体" w:cs="宋体"/>
          <w:spacing w:val="1"/>
          <w:sz w:val="17"/>
          <w:szCs w:val="17"/>
        </w:rPr>
        <w:t>要参</w:t>
      </w:r>
      <w:r>
        <w:rPr>
          <w:rFonts w:ascii="宋体" w:hAnsi="宋体" w:eastAsia="宋体" w:cs="宋体"/>
          <w:sz w:val="17"/>
          <w:szCs w:val="17"/>
        </w:rPr>
        <w:t xml:space="preserve"> </w:t>
      </w:r>
      <w:r>
        <w:rPr>
          <w:rFonts w:ascii="宋体" w:hAnsi="宋体" w:eastAsia="宋体" w:cs="宋体"/>
          <w:spacing w:val="2"/>
          <w:sz w:val="17"/>
          <w:szCs w:val="17"/>
        </w:rPr>
        <w:t>考高等教育出版社版、周绍敏主编的中等职业教育规划</w:t>
      </w:r>
      <w:r>
        <w:rPr>
          <w:rFonts w:ascii="宋体" w:hAnsi="宋体" w:eastAsia="宋体" w:cs="宋体"/>
          <w:spacing w:val="3"/>
          <w:sz w:val="17"/>
          <w:szCs w:val="17"/>
        </w:rPr>
        <w:t xml:space="preserve"> </w:t>
      </w:r>
      <w:r>
        <w:rPr>
          <w:rFonts w:ascii="宋体" w:hAnsi="宋体" w:eastAsia="宋体" w:cs="宋体"/>
          <w:spacing w:val="5"/>
          <w:sz w:val="17"/>
          <w:szCs w:val="17"/>
        </w:rPr>
        <w:t>教材《电工技术基础与技能》,《信息技术》教材主要</w:t>
      </w:r>
      <w:r>
        <w:rPr>
          <w:rFonts w:ascii="宋体" w:hAnsi="宋体" w:eastAsia="宋体" w:cs="宋体"/>
          <w:spacing w:val="12"/>
          <w:sz w:val="17"/>
          <w:szCs w:val="17"/>
        </w:rPr>
        <w:t xml:space="preserve"> </w:t>
      </w:r>
      <w:r>
        <w:rPr>
          <w:rFonts w:ascii="宋体" w:hAnsi="宋体" w:eastAsia="宋体" w:cs="宋体"/>
          <w:spacing w:val="2"/>
          <w:sz w:val="17"/>
          <w:szCs w:val="17"/>
        </w:rPr>
        <w:t>依据“十四五”职业教育国家规划教材之高等教</w:t>
      </w:r>
      <w:r>
        <w:rPr>
          <w:rFonts w:ascii="宋体" w:hAnsi="宋体" w:eastAsia="宋体" w:cs="宋体"/>
          <w:spacing w:val="1"/>
          <w:sz w:val="17"/>
          <w:szCs w:val="17"/>
        </w:rPr>
        <w:t>育出版</w:t>
      </w:r>
      <w:r>
        <w:rPr>
          <w:rFonts w:ascii="宋体" w:hAnsi="宋体" w:eastAsia="宋体" w:cs="宋体"/>
          <w:sz w:val="17"/>
          <w:szCs w:val="17"/>
        </w:rPr>
        <w:t xml:space="preserve"> </w:t>
      </w:r>
      <w:r>
        <w:rPr>
          <w:rFonts w:ascii="宋体" w:hAnsi="宋体" w:eastAsia="宋体" w:cs="宋体"/>
          <w:spacing w:val="-3"/>
          <w:sz w:val="17"/>
          <w:szCs w:val="17"/>
        </w:rPr>
        <w:t>社《信息技术：基础模块》和《信息技术：</w:t>
      </w:r>
      <w:r>
        <w:rPr>
          <w:rFonts w:ascii="宋体" w:hAnsi="宋体" w:eastAsia="宋体" w:cs="宋体"/>
          <w:spacing w:val="-4"/>
          <w:sz w:val="17"/>
          <w:szCs w:val="17"/>
        </w:rPr>
        <w:t>拓展模块—</w:t>
      </w:r>
      <w:r>
        <w:rPr>
          <w:rFonts w:ascii="宋体" w:hAnsi="宋体" w:eastAsia="宋体" w:cs="宋体"/>
          <w:sz w:val="17"/>
          <w:szCs w:val="17"/>
        </w:rPr>
        <w:t xml:space="preserve">  </w:t>
      </w:r>
      <w:r>
        <w:rPr>
          <w:rFonts w:ascii="宋体" w:hAnsi="宋体" w:eastAsia="宋体" w:cs="宋体"/>
          <w:spacing w:val="5"/>
          <w:sz w:val="17"/>
          <w:szCs w:val="17"/>
        </w:rPr>
        <w:t xml:space="preserve">办公应用》(徐维祥主编),闫国强主编《城市轨道交通 </w:t>
      </w:r>
      <w:r>
        <w:rPr>
          <w:rFonts w:ascii="黑体" w:hAnsi="黑体" w:eastAsia="黑体" w:cs="黑体"/>
          <w:spacing w:val="1"/>
          <w:sz w:val="17"/>
          <w:szCs w:val="17"/>
        </w:rPr>
        <w:t>概论》。同时，还参考了其他中等职业教育同类教材，</w:t>
      </w:r>
      <w:r>
        <w:rPr>
          <w:rFonts w:ascii="黑体" w:hAnsi="黑体" w:eastAsia="黑体" w:cs="黑体"/>
          <w:spacing w:val="10"/>
          <w:sz w:val="17"/>
          <w:szCs w:val="17"/>
        </w:rPr>
        <w:t xml:space="preserve"> </w:t>
      </w:r>
      <w:r>
        <w:rPr>
          <w:rFonts w:ascii="宋体" w:hAnsi="宋体" w:eastAsia="宋体" w:cs="宋体"/>
          <w:spacing w:val="-3"/>
          <w:sz w:val="17"/>
          <w:szCs w:val="17"/>
        </w:rPr>
        <w:t>对部分章程和知识点做了调整。</w:t>
      </w:r>
    </w:p>
    <w:p w14:paraId="6EDCE0A3">
      <w:pPr>
        <w:spacing w:before="23" w:line="221" w:lineRule="auto"/>
        <w:ind w:left="3"/>
        <w:rPr>
          <w:rFonts w:ascii="黑体" w:hAnsi="黑体" w:eastAsia="黑体" w:cs="黑体"/>
          <w:sz w:val="23"/>
          <w:szCs w:val="23"/>
        </w:rPr>
      </w:pPr>
      <w:r>
        <w:rPr>
          <w:rFonts w:ascii="黑体" w:hAnsi="黑体" w:eastAsia="黑体" w:cs="黑体"/>
          <w:b/>
          <w:bCs/>
          <w:spacing w:val="-5"/>
          <w:sz w:val="23"/>
          <w:szCs w:val="23"/>
        </w:rPr>
        <w:t>二、考试目标和水平层次</w:t>
      </w:r>
    </w:p>
    <w:p w14:paraId="4C8AD3F0">
      <w:pPr>
        <w:spacing w:before="85" w:line="310" w:lineRule="auto"/>
        <w:ind w:right="29" w:firstLine="339"/>
        <w:rPr>
          <w:rFonts w:ascii="宋体" w:hAnsi="宋体" w:eastAsia="宋体" w:cs="宋体"/>
          <w:sz w:val="17"/>
          <w:szCs w:val="17"/>
        </w:rPr>
      </w:pPr>
      <w:r>
        <w:rPr>
          <w:rFonts w:ascii="宋体" w:hAnsi="宋体" w:eastAsia="宋体" w:cs="宋体"/>
          <w:sz w:val="17"/>
          <w:szCs w:val="17"/>
        </w:rPr>
        <w:t>本纲要考试目标以章为序，包括知识要点、考试条</w:t>
      </w:r>
      <w:r>
        <w:rPr>
          <w:rFonts w:ascii="宋体" w:hAnsi="宋体" w:eastAsia="宋体" w:cs="宋体"/>
          <w:spacing w:val="16"/>
          <w:sz w:val="17"/>
          <w:szCs w:val="17"/>
        </w:rPr>
        <w:t xml:space="preserve"> </w:t>
      </w:r>
      <w:r>
        <w:rPr>
          <w:rFonts w:ascii="宋体" w:hAnsi="宋体" w:eastAsia="宋体" w:cs="宋体"/>
          <w:spacing w:val="1"/>
          <w:sz w:val="17"/>
          <w:szCs w:val="17"/>
        </w:rPr>
        <w:t>目和考试水平三个部分。其中“知识要点”是学</w:t>
      </w:r>
      <w:r>
        <w:rPr>
          <w:rFonts w:ascii="宋体" w:hAnsi="宋体" w:eastAsia="宋体" w:cs="宋体"/>
          <w:sz w:val="17"/>
          <w:szCs w:val="17"/>
        </w:rPr>
        <w:t xml:space="preserve">生应知 </w:t>
      </w:r>
      <w:r>
        <w:rPr>
          <w:rFonts w:ascii="宋体" w:hAnsi="宋体" w:eastAsia="宋体" w:cs="宋体"/>
          <w:spacing w:val="2"/>
          <w:sz w:val="17"/>
          <w:szCs w:val="17"/>
        </w:rPr>
        <w:t>应会的基础知识和基本技能，“试考条目”是知识要点</w:t>
      </w:r>
      <w:r>
        <w:rPr>
          <w:rFonts w:ascii="宋体" w:hAnsi="宋体" w:eastAsia="宋体" w:cs="宋体"/>
          <w:spacing w:val="6"/>
          <w:sz w:val="17"/>
          <w:szCs w:val="17"/>
        </w:rPr>
        <w:t xml:space="preserve"> </w:t>
      </w:r>
      <w:r>
        <w:rPr>
          <w:rFonts w:ascii="宋体" w:hAnsi="宋体" w:eastAsia="宋体" w:cs="宋体"/>
          <w:spacing w:val="1"/>
          <w:sz w:val="17"/>
          <w:szCs w:val="17"/>
        </w:rPr>
        <w:t>的细化条目，“考试水平”是对考试条目的要求层次。</w:t>
      </w:r>
      <w:r>
        <w:rPr>
          <w:rFonts w:ascii="宋体" w:hAnsi="宋体" w:eastAsia="宋体" w:cs="宋体"/>
          <w:spacing w:val="9"/>
          <w:sz w:val="17"/>
          <w:szCs w:val="17"/>
        </w:rPr>
        <w:t xml:space="preserve"> </w:t>
      </w:r>
      <w:r>
        <w:rPr>
          <w:rFonts w:ascii="宋体" w:hAnsi="宋体" w:eastAsia="宋体" w:cs="宋体"/>
          <w:spacing w:val="-5"/>
          <w:sz w:val="17"/>
          <w:szCs w:val="17"/>
        </w:rPr>
        <w:t>电子类综合学科的考试水平为四个层次：A (</w:t>
      </w:r>
      <w:r>
        <w:rPr>
          <w:rFonts w:ascii="宋体" w:hAnsi="宋体" w:eastAsia="宋体" w:cs="宋体"/>
          <w:spacing w:val="-17"/>
          <w:sz w:val="17"/>
          <w:szCs w:val="17"/>
        </w:rPr>
        <w:t xml:space="preserve"> </w:t>
      </w:r>
      <w:r>
        <w:rPr>
          <w:rFonts w:ascii="宋体" w:hAnsi="宋体" w:eastAsia="宋体" w:cs="宋体"/>
          <w:spacing w:val="-5"/>
          <w:sz w:val="17"/>
          <w:szCs w:val="17"/>
        </w:rPr>
        <w:t>识</w:t>
      </w:r>
      <w:r>
        <w:rPr>
          <w:rFonts w:ascii="宋体" w:hAnsi="宋体" w:eastAsia="宋体" w:cs="宋体"/>
          <w:spacing w:val="-30"/>
          <w:sz w:val="17"/>
          <w:szCs w:val="17"/>
        </w:rPr>
        <w:t xml:space="preserve"> </w:t>
      </w:r>
      <w:r>
        <w:rPr>
          <w:rFonts w:ascii="宋体" w:hAnsi="宋体" w:eastAsia="宋体" w:cs="宋体"/>
          <w:spacing w:val="-5"/>
          <w:sz w:val="17"/>
          <w:szCs w:val="17"/>
        </w:rPr>
        <w:t>记</w:t>
      </w:r>
      <w:r>
        <w:rPr>
          <w:rFonts w:ascii="宋体" w:hAnsi="宋体" w:eastAsia="宋体" w:cs="宋体"/>
          <w:spacing w:val="-29"/>
          <w:sz w:val="17"/>
          <w:szCs w:val="17"/>
        </w:rPr>
        <w:t xml:space="preserve"> </w:t>
      </w:r>
      <w:r>
        <w:rPr>
          <w:rFonts w:ascii="宋体" w:hAnsi="宋体" w:eastAsia="宋体" w:cs="宋体"/>
          <w:spacing w:val="-5"/>
          <w:sz w:val="17"/>
          <w:szCs w:val="17"/>
        </w:rPr>
        <w:t>)</w:t>
      </w:r>
      <w:r>
        <w:rPr>
          <w:rFonts w:ascii="宋体" w:hAnsi="宋体" w:eastAsia="宋体" w:cs="宋体"/>
          <w:spacing w:val="-36"/>
          <w:sz w:val="17"/>
          <w:szCs w:val="17"/>
        </w:rPr>
        <w:t xml:space="preserve"> </w:t>
      </w:r>
      <w:r>
        <w:rPr>
          <w:rFonts w:ascii="宋体" w:hAnsi="宋体" w:eastAsia="宋体" w:cs="宋体"/>
          <w:spacing w:val="-5"/>
          <w:sz w:val="17"/>
          <w:szCs w:val="17"/>
        </w:rPr>
        <w:t>、B</w:t>
      </w:r>
    </w:p>
    <w:p w14:paraId="79F0ADD1">
      <w:pPr>
        <w:spacing w:line="310" w:lineRule="auto"/>
        <w:rPr>
          <w:rFonts w:ascii="宋体" w:hAnsi="宋体" w:eastAsia="宋体" w:cs="宋体"/>
          <w:sz w:val="17"/>
          <w:szCs w:val="17"/>
        </w:rPr>
        <w:sectPr>
          <w:type w:val="continuous"/>
          <w:pgSz w:w="10660" w:h="15080"/>
          <w:pgMar w:top="400" w:right="885" w:bottom="925" w:left="1024" w:header="0" w:footer="705" w:gutter="0"/>
          <w:cols w:equalWidth="0" w:num="2">
            <w:col w:w="4486" w:space="100"/>
            <w:col w:w="4165"/>
          </w:cols>
        </w:sectPr>
      </w:pPr>
    </w:p>
    <w:p w14:paraId="41669769">
      <w:pPr>
        <w:spacing w:before="1"/>
      </w:pPr>
    </w:p>
    <w:p w14:paraId="2029DADA">
      <w:pPr>
        <w:spacing w:before="1"/>
      </w:pPr>
    </w:p>
    <w:p w14:paraId="03FF6574">
      <w:pPr>
        <w:spacing w:before="1"/>
      </w:pPr>
    </w:p>
    <w:p w14:paraId="1C198D3D"/>
    <w:p w14:paraId="6BFA2466">
      <w:pPr>
        <w:sectPr>
          <w:footerReference r:id="rId86" w:type="default"/>
          <w:pgSz w:w="10660" w:h="15080"/>
          <w:pgMar w:top="400" w:right="1024" w:bottom="925" w:left="819" w:header="0" w:footer="705" w:gutter="0"/>
          <w:cols w:equalWidth="0" w:num="1">
            <w:col w:w="8816"/>
          </w:cols>
        </w:sectPr>
      </w:pPr>
    </w:p>
    <w:p w14:paraId="1B9F21DC">
      <w:pPr>
        <w:spacing w:before="34" w:line="314" w:lineRule="auto"/>
        <w:ind w:left="2" w:right="499"/>
        <w:rPr>
          <w:rFonts w:ascii="宋体" w:hAnsi="宋体" w:eastAsia="宋体" w:cs="宋体"/>
          <w:sz w:val="17"/>
          <w:szCs w:val="17"/>
        </w:rPr>
      </w:pPr>
      <w:bookmarkStart w:id="48" w:name="bookmark39"/>
      <w:bookmarkEnd w:id="48"/>
      <w:r>
        <w:rPr>
          <w:rFonts w:ascii="宋体" w:hAnsi="宋体" w:eastAsia="宋体" w:cs="宋体"/>
          <w:b/>
          <w:bCs/>
          <w:spacing w:val="-2"/>
          <w:sz w:val="17"/>
          <w:szCs w:val="17"/>
        </w:rPr>
        <w:t>(</w:t>
      </w:r>
      <w:r>
        <w:rPr>
          <w:rFonts w:ascii="宋体" w:hAnsi="宋体" w:eastAsia="宋体" w:cs="宋体"/>
          <w:spacing w:val="-28"/>
          <w:sz w:val="17"/>
          <w:szCs w:val="17"/>
        </w:rPr>
        <w:t xml:space="preserve"> </w:t>
      </w:r>
      <w:r>
        <w:rPr>
          <w:rFonts w:ascii="宋体" w:hAnsi="宋体" w:eastAsia="宋体" w:cs="宋体"/>
          <w:b/>
          <w:bCs/>
          <w:spacing w:val="-2"/>
          <w:sz w:val="17"/>
          <w:szCs w:val="17"/>
        </w:rPr>
        <w:t>理</w:t>
      </w:r>
      <w:r>
        <w:rPr>
          <w:rFonts w:ascii="宋体" w:hAnsi="宋体" w:eastAsia="宋体" w:cs="宋体"/>
          <w:spacing w:val="-36"/>
          <w:sz w:val="17"/>
          <w:szCs w:val="17"/>
        </w:rPr>
        <w:t xml:space="preserve"> </w:t>
      </w:r>
      <w:r>
        <w:rPr>
          <w:rFonts w:ascii="宋体" w:hAnsi="宋体" w:eastAsia="宋体" w:cs="宋体"/>
          <w:b/>
          <w:bCs/>
          <w:spacing w:val="-2"/>
          <w:sz w:val="17"/>
          <w:szCs w:val="17"/>
        </w:rPr>
        <w:t>解</w:t>
      </w:r>
      <w:r>
        <w:rPr>
          <w:rFonts w:ascii="宋体" w:hAnsi="宋体" w:eastAsia="宋体" w:cs="宋体"/>
          <w:spacing w:val="-35"/>
          <w:sz w:val="17"/>
          <w:szCs w:val="17"/>
        </w:rPr>
        <w:t xml:space="preserve"> </w:t>
      </w:r>
      <w:r>
        <w:rPr>
          <w:rFonts w:ascii="宋体" w:hAnsi="宋体" w:eastAsia="宋体" w:cs="宋体"/>
          <w:b/>
          <w:bCs/>
          <w:spacing w:val="-2"/>
          <w:sz w:val="17"/>
          <w:szCs w:val="17"/>
        </w:rPr>
        <w:t>)</w:t>
      </w:r>
      <w:r>
        <w:rPr>
          <w:rFonts w:ascii="宋体" w:hAnsi="宋体" w:eastAsia="宋体" w:cs="宋体"/>
          <w:spacing w:val="-42"/>
          <w:sz w:val="17"/>
          <w:szCs w:val="17"/>
        </w:rPr>
        <w:t xml:space="preserve"> </w:t>
      </w:r>
      <w:r>
        <w:rPr>
          <w:rFonts w:ascii="宋体" w:hAnsi="宋体" w:eastAsia="宋体" w:cs="宋体"/>
          <w:b/>
          <w:bCs/>
          <w:spacing w:val="-2"/>
          <w:sz w:val="17"/>
          <w:szCs w:val="17"/>
        </w:rPr>
        <w:t>、</w:t>
      </w:r>
      <w:r>
        <w:rPr>
          <w:rFonts w:ascii="Times New Roman" w:hAnsi="Times New Roman" w:eastAsia="Times New Roman" w:cs="Times New Roman"/>
          <w:b/>
          <w:bCs/>
          <w:spacing w:val="-2"/>
          <w:sz w:val="17"/>
          <w:szCs w:val="17"/>
        </w:rPr>
        <w:t>C</w:t>
      </w:r>
      <w:r>
        <w:rPr>
          <w:rFonts w:ascii="宋体" w:hAnsi="宋体" w:eastAsia="宋体" w:cs="宋体"/>
          <w:b/>
          <w:bCs/>
          <w:spacing w:val="-2"/>
          <w:sz w:val="17"/>
          <w:szCs w:val="17"/>
        </w:rPr>
        <w:t>(</w:t>
      </w:r>
      <w:r>
        <w:rPr>
          <w:rFonts w:ascii="宋体" w:hAnsi="宋体" w:eastAsia="宋体" w:cs="宋体"/>
          <w:spacing w:val="-24"/>
          <w:sz w:val="17"/>
          <w:szCs w:val="17"/>
        </w:rPr>
        <w:t xml:space="preserve"> </w:t>
      </w:r>
      <w:r>
        <w:rPr>
          <w:rFonts w:ascii="宋体" w:hAnsi="宋体" w:eastAsia="宋体" w:cs="宋体"/>
          <w:b/>
          <w:bCs/>
          <w:spacing w:val="-2"/>
          <w:sz w:val="17"/>
          <w:szCs w:val="17"/>
        </w:rPr>
        <w:t>掌</w:t>
      </w:r>
      <w:r>
        <w:rPr>
          <w:rFonts w:ascii="宋体" w:hAnsi="宋体" w:eastAsia="宋体" w:cs="宋体"/>
          <w:spacing w:val="-28"/>
          <w:sz w:val="17"/>
          <w:szCs w:val="17"/>
        </w:rPr>
        <w:t xml:space="preserve"> </w:t>
      </w:r>
      <w:r>
        <w:rPr>
          <w:rFonts w:ascii="宋体" w:hAnsi="宋体" w:eastAsia="宋体" w:cs="宋体"/>
          <w:b/>
          <w:bCs/>
          <w:spacing w:val="-2"/>
          <w:sz w:val="17"/>
          <w:szCs w:val="17"/>
        </w:rPr>
        <w:t>握</w:t>
      </w:r>
      <w:r>
        <w:rPr>
          <w:rFonts w:ascii="宋体" w:hAnsi="宋体" w:eastAsia="宋体" w:cs="宋体"/>
          <w:spacing w:val="-27"/>
          <w:sz w:val="17"/>
          <w:szCs w:val="17"/>
        </w:rPr>
        <w:t xml:space="preserve"> </w:t>
      </w:r>
      <w:r>
        <w:rPr>
          <w:rFonts w:ascii="宋体" w:hAnsi="宋体" w:eastAsia="宋体" w:cs="宋体"/>
          <w:b/>
          <w:bCs/>
          <w:spacing w:val="-2"/>
          <w:sz w:val="17"/>
          <w:szCs w:val="17"/>
        </w:rPr>
        <w:t>)</w:t>
      </w:r>
      <w:r>
        <w:rPr>
          <w:rFonts w:ascii="宋体" w:hAnsi="宋体" w:eastAsia="宋体" w:cs="宋体"/>
          <w:spacing w:val="-35"/>
          <w:sz w:val="17"/>
          <w:szCs w:val="17"/>
        </w:rPr>
        <w:t xml:space="preserve"> </w:t>
      </w:r>
      <w:r>
        <w:rPr>
          <w:rFonts w:ascii="宋体" w:hAnsi="宋体" w:eastAsia="宋体" w:cs="宋体"/>
          <w:b/>
          <w:bCs/>
          <w:spacing w:val="-2"/>
          <w:sz w:val="17"/>
          <w:szCs w:val="17"/>
        </w:rPr>
        <w:t>、</w:t>
      </w:r>
      <w:r>
        <w:rPr>
          <w:rFonts w:ascii="Times New Roman" w:hAnsi="Times New Roman" w:eastAsia="Times New Roman" w:cs="Times New Roman"/>
          <w:b/>
          <w:bCs/>
          <w:spacing w:val="-2"/>
          <w:sz w:val="17"/>
          <w:szCs w:val="17"/>
        </w:rPr>
        <w:t>D</w:t>
      </w:r>
      <w:r>
        <w:rPr>
          <w:rFonts w:ascii="宋体" w:hAnsi="宋体" w:eastAsia="宋体" w:cs="宋体"/>
          <w:b/>
          <w:bCs/>
          <w:spacing w:val="-2"/>
          <w:sz w:val="17"/>
          <w:szCs w:val="17"/>
        </w:rPr>
        <w:t>(综合运用)。它们的基本含</w:t>
      </w:r>
      <w:r>
        <w:rPr>
          <w:rFonts w:ascii="宋体" w:hAnsi="宋体" w:eastAsia="宋体" w:cs="宋体"/>
          <w:sz w:val="17"/>
          <w:szCs w:val="17"/>
        </w:rPr>
        <w:t xml:space="preserve"> </w:t>
      </w:r>
      <w:r>
        <w:rPr>
          <w:rFonts w:ascii="宋体" w:hAnsi="宋体" w:eastAsia="宋体" w:cs="宋体"/>
          <w:b/>
          <w:bCs/>
          <w:spacing w:val="-11"/>
          <w:sz w:val="17"/>
          <w:szCs w:val="17"/>
        </w:rPr>
        <w:t>义如下：</w:t>
      </w:r>
    </w:p>
    <w:p w14:paraId="6D2B6432">
      <w:pPr>
        <w:spacing w:before="1" w:line="302" w:lineRule="auto"/>
        <w:ind w:left="2" w:right="389" w:firstLine="427"/>
        <w:rPr>
          <w:rFonts w:ascii="宋体" w:hAnsi="宋体" w:eastAsia="宋体" w:cs="宋体"/>
          <w:sz w:val="17"/>
          <w:szCs w:val="17"/>
        </w:rPr>
      </w:pPr>
      <w:r>
        <w:rPr>
          <w:rFonts w:ascii="Times New Roman" w:hAnsi="Times New Roman" w:eastAsia="Times New Roman" w:cs="Times New Roman"/>
          <w:b/>
          <w:bCs/>
          <w:spacing w:val="21"/>
          <w:sz w:val="17"/>
          <w:szCs w:val="17"/>
        </w:rPr>
        <w:t>A</w:t>
      </w:r>
      <w:r>
        <w:rPr>
          <w:rFonts w:ascii="宋体" w:hAnsi="宋体" w:eastAsia="宋体" w:cs="宋体"/>
          <w:b/>
          <w:bCs/>
          <w:spacing w:val="21"/>
          <w:sz w:val="17"/>
          <w:szCs w:val="17"/>
        </w:rPr>
        <w:t>(识记):考查学生对基础知识的识别和记忆</w:t>
      </w:r>
      <w:r>
        <w:rPr>
          <w:rFonts w:ascii="宋体" w:hAnsi="宋体" w:eastAsia="宋体" w:cs="宋体"/>
          <w:sz w:val="17"/>
          <w:szCs w:val="17"/>
        </w:rPr>
        <w:t xml:space="preserve"> </w:t>
      </w:r>
      <w:r>
        <w:rPr>
          <w:rFonts w:ascii="宋体" w:hAnsi="宋体" w:eastAsia="宋体" w:cs="宋体"/>
          <w:b/>
          <w:bCs/>
          <w:sz w:val="17"/>
          <w:szCs w:val="17"/>
        </w:rPr>
        <w:t>能力。具体为：能够记住相应课程中规定的有</w:t>
      </w:r>
      <w:r>
        <w:rPr>
          <w:rFonts w:ascii="宋体" w:hAnsi="宋体" w:eastAsia="宋体" w:cs="宋体"/>
          <w:b/>
          <w:bCs/>
          <w:spacing w:val="-1"/>
          <w:sz w:val="17"/>
          <w:szCs w:val="17"/>
        </w:rPr>
        <w:t>关知识点</w:t>
      </w:r>
    </w:p>
    <w:p w14:paraId="0F7FCF91">
      <w:pPr>
        <w:spacing w:before="24" w:line="309" w:lineRule="auto"/>
        <w:ind w:right="369"/>
        <w:jc w:val="both"/>
        <w:rPr>
          <w:rFonts w:ascii="宋体" w:hAnsi="宋体" w:eastAsia="宋体" w:cs="宋体"/>
          <w:sz w:val="17"/>
          <w:szCs w:val="17"/>
        </w:rPr>
      </w:pPr>
      <w:r>
        <w:rPr>
          <w:rFonts w:ascii="宋体" w:hAnsi="宋体" w:eastAsia="宋体" w:cs="宋体"/>
          <w:spacing w:val="1"/>
          <w:sz w:val="17"/>
          <w:szCs w:val="17"/>
        </w:rPr>
        <w:t>的主要内容(如定义、基本概念、符号、参数、表达式、</w:t>
      </w:r>
      <w:r>
        <w:rPr>
          <w:rFonts w:ascii="宋体" w:hAnsi="宋体" w:eastAsia="宋体" w:cs="宋体"/>
          <w:spacing w:val="4"/>
          <w:sz w:val="17"/>
          <w:szCs w:val="17"/>
        </w:rPr>
        <w:t xml:space="preserve"> </w:t>
      </w:r>
      <w:r>
        <w:rPr>
          <w:rFonts w:ascii="宋体" w:hAnsi="宋体" w:eastAsia="宋体" w:cs="宋体"/>
          <w:spacing w:val="8"/>
          <w:sz w:val="17"/>
          <w:szCs w:val="17"/>
        </w:rPr>
        <w:t xml:space="preserve">公式、结论、方法、步骤及特征、特点等),能够根据  </w:t>
      </w:r>
      <w:r>
        <w:rPr>
          <w:rFonts w:ascii="宋体" w:hAnsi="宋体" w:eastAsia="宋体" w:cs="宋体"/>
          <w:spacing w:val="1"/>
          <w:sz w:val="17"/>
          <w:szCs w:val="17"/>
        </w:rPr>
        <w:t>考核的不同要求，做出表述和选择。例如：稳压二极管</w:t>
      </w:r>
      <w:r>
        <w:rPr>
          <w:rFonts w:ascii="宋体" w:hAnsi="宋体" w:eastAsia="宋体" w:cs="宋体"/>
          <w:spacing w:val="7"/>
          <w:sz w:val="17"/>
          <w:szCs w:val="17"/>
        </w:rPr>
        <w:t xml:space="preserve">  </w:t>
      </w:r>
      <w:r>
        <w:rPr>
          <w:rFonts w:ascii="宋体" w:hAnsi="宋体" w:eastAsia="宋体" w:cs="宋体"/>
          <w:spacing w:val="-1"/>
          <w:sz w:val="17"/>
          <w:szCs w:val="17"/>
        </w:rPr>
        <w:t>在电路中起稳压作用时，它应处于什么状态?</w:t>
      </w:r>
    </w:p>
    <w:p w14:paraId="1406F97D">
      <w:pPr>
        <w:spacing w:before="23" w:line="311" w:lineRule="auto"/>
        <w:ind w:right="369" w:firstLine="430"/>
        <w:jc w:val="both"/>
        <w:rPr>
          <w:rFonts w:ascii="宋体" w:hAnsi="宋体" w:eastAsia="宋体" w:cs="宋体"/>
          <w:sz w:val="17"/>
          <w:szCs w:val="17"/>
        </w:rPr>
      </w:pPr>
      <w:r>
        <w:rPr>
          <w:rFonts w:ascii="Times New Roman" w:hAnsi="Times New Roman" w:eastAsia="Times New Roman" w:cs="Times New Roman"/>
          <w:spacing w:val="14"/>
          <w:sz w:val="17"/>
          <w:szCs w:val="17"/>
        </w:rPr>
        <w:t>B</w:t>
      </w:r>
      <w:r>
        <w:rPr>
          <w:rFonts w:ascii="宋体" w:hAnsi="宋体" w:eastAsia="宋体" w:cs="宋体"/>
          <w:spacing w:val="14"/>
          <w:sz w:val="17"/>
          <w:szCs w:val="17"/>
        </w:rPr>
        <w:t>(理解):考查学生对基础知识的理解程度，要</w:t>
      </w:r>
      <w:r>
        <w:rPr>
          <w:rFonts w:ascii="宋体" w:hAnsi="宋体" w:eastAsia="宋体" w:cs="宋体"/>
          <w:spacing w:val="11"/>
          <w:sz w:val="17"/>
          <w:szCs w:val="17"/>
        </w:rPr>
        <w:t xml:space="preserve"> </w:t>
      </w:r>
      <w:r>
        <w:rPr>
          <w:rFonts w:ascii="宋体" w:hAnsi="宋体" w:eastAsia="宋体" w:cs="宋体"/>
          <w:spacing w:val="2"/>
          <w:sz w:val="17"/>
          <w:szCs w:val="17"/>
        </w:rPr>
        <w:t>求考生在识记与记忆的基础上，理解所学知识的具体含</w:t>
      </w:r>
      <w:r>
        <w:rPr>
          <w:rFonts w:ascii="宋体" w:hAnsi="宋体" w:eastAsia="宋体" w:cs="宋体"/>
          <w:spacing w:val="8"/>
          <w:sz w:val="17"/>
          <w:szCs w:val="17"/>
        </w:rPr>
        <w:t xml:space="preserve"> </w:t>
      </w:r>
      <w:r>
        <w:rPr>
          <w:rFonts w:ascii="宋体" w:hAnsi="宋体" w:eastAsia="宋体" w:cs="宋体"/>
          <w:spacing w:val="1"/>
          <w:sz w:val="17"/>
          <w:szCs w:val="17"/>
        </w:rPr>
        <w:t>义，并能运用它进行简单的计算。要求能够领悟和理解</w:t>
      </w:r>
      <w:r>
        <w:rPr>
          <w:rFonts w:ascii="宋体" w:hAnsi="宋体" w:eastAsia="宋体" w:cs="宋体"/>
          <w:spacing w:val="5"/>
          <w:sz w:val="17"/>
          <w:szCs w:val="17"/>
        </w:rPr>
        <w:t xml:space="preserve">  </w:t>
      </w:r>
      <w:r>
        <w:rPr>
          <w:rFonts w:ascii="宋体" w:hAnsi="宋体" w:eastAsia="宋体" w:cs="宋体"/>
          <w:spacing w:val="1"/>
          <w:sz w:val="17"/>
          <w:szCs w:val="17"/>
        </w:rPr>
        <w:t>相应课程中规定的有关知识点的内涵和外延，以及与其</w:t>
      </w:r>
      <w:r>
        <w:rPr>
          <w:rFonts w:ascii="宋体" w:hAnsi="宋体" w:eastAsia="宋体" w:cs="宋体"/>
          <w:spacing w:val="6"/>
          <w:sz w:val="17"/>
          <w:szCs w:val="17"/>
        </w:rPr>
        <w:t xml:space="preserve">  </w:t>
      </w:r>
      <w:r>
        <w:rPr>
          <w:rFonts w:ascii="宋体" w:hAnsi="宋体" w:eastAsia="宋体" w:cs="宋体"/>
          <w:spacing w:val="1"/>
          <w:sz w:val="17"/>
          <w:szCs w:val="17"/>
        </w:rPr>
        <w:t>他知识点的区别和联系，并能根据考核的不同要求，做</w:t>
      </w:r>
      <w:r>
        <w:rPr>
          <w:rFonts w:ascii="宋体" w:hAnsi="宋体" w:eastAsia="宋体" w:cs="宋体"/>
          <w:spacing w:val="6"/>
          <w:sz w:val="17"/>
          <w:szCs w:val="17"/>
        </w:rPr>
        <w:t xml:space="preserve">  </w:t>
      </w:r>
      <w:r>
        <w:rPr>
          <w:rFonts w:ascii="宋体" w:hAnsi="宋体" w:eastAsia="宋体" w:cs="宋体"/>
          <w:spacing w:val="-9"/>
          <w:sz w:val="17"/>
          <w:szCs w:val="17"/>
        </w:rPr>
        <w:t>出正确的解释、选择、说明和论述。如：电容器在充电时，</w:t>
      </w:r>
      <w:r>
        <w:rPr>
          <w:rFonts w:ascii="宋体" w:hAnsi="宋体" w:eastAsia="宋体" w:cs="宋体"/>
          <w:spacing w:val="8"/>
          <w:sz w:val="17"/>
          <w:szCs w:val="17"/>
        </w:rPr>
        <w:t xml:space="preserve"> </w:t>
      </w:r>
      <w:r>
        <w:rPr>
          <w:rFonts w:ascii="宋体" w:hAnsi="宋体" w:eastAsia="宋体" w:cs="宋体"/>
          <w:spacing w:val="-4"/>
          <w:sz w:val="17"/>
          <w:szCs w:val="17"/>
        </w:rPr>
        <w:t>电流的变化和两极板电压的变化。</w:t>
      </w:r>
    </w:p>
    <w:p w14:paraId="4F99A6F9">
      <w:pPr>
        <w:spacing w:before="27" w:line="308" w:lineRule="auto"/>
        <w:ind w:right="366" w:firstLine="430"/>
        <w:jc w:val="both"/>
        <w:rPr>
          <w:rFonts w:ascii="宋体" w:hAnsi="宋体" w:eastAsia="宋体" w:cs="宋体"/>
          <w:sz w:val="17"/>
          <w:szCs w:val="17"/>
        </w:rPr>
      </w:pPr>
      <w:r>
        <w:rPr>
          <w:rFonts w:ascii="Times New Roman" w:hAnsi="Times New Roman" w:eastAsia="Times New Roman" w:cs="Times New Roman"/>
          <w:spacing w:val="15"/>
          <w:sz w:val="17"/>
          <w:szCs w:val="17"/>
        </w:rPr>
        <w:t>C</w:t>
      </w:r>
      <w:r>
        <w:rPr>
          <w:rFonts w:ascii="宋体" w:hAnsi="宋体" w:eastAsia="宋体" w:cs="宋体"/>
          <w:spacing w:val="15"/>
          <w:sz w:val="17"/>
          <w:szCs w:val="17"/>
        </w:rPr>
        <w:t>(掌握):考查考生对所学基础知识的初步应用</w:t>
      </w:r>
      <w:r>
        <w:rPr>
          <w:rFonts w:ascii="宋体" w:hAnsi="宋体" w:eastAsia="宋体" w:cs="宋体"/>
          <w:spacing w:val="1"/>
          <w:sz w:val="17"/>
          <w:szCs w:val="17"/>
        </w:rPr>
        <w:t xml:space="preserve"> </w:t>
      </w:r>
      <w:r>
        <w:rPr>
          <w:rFonts w:ascii="宋体" w:hAnsi="宋体" w:eastAsia="宋体" w:cs="宋体"/>
          <w:spacing w:val="-2"/>
          <w:sz w:val="17"/>
          <w:szCs w:val="17"/>
        </w:rPr>
        <w:t>能力，要求考生能够运用相应课程中规定的少量知</w:t>
      </w:r>
      <w:r>
        <w:rPr>
          <w:rFonts w:ascii="宋体" w:hAnsi="宋体" w:eastAsia="宋体" w:cs="宋体"/>
          <w:spacing w:val="-3"/>
          <w:sz w:val="17"/>
          <w:szCs w:val="17"/>
        </w:rPr>
        <w:t>识点，</w:t>
      </w:r>
      <w:r>
        <w:rPr>
          <w:rFonts w:ascii="宋体" w:hAnsi="宋体" w:eastAsia="宋体" w:cs="宋体"/>
          <w:sz w:val="17"/>
          <w:szCs w:val="17"/>
        </w:rPr>
        <w:t xml:space="preserve"> </w:t>
      </w:r>
      <w:r>
        <w:rPr>
          <w:rFonts w:ascii="宋体" w:hAnsi="宋体" w:eastAsia="宋体" w:cs="宋体"/>
          <w:spacing w:val="2"/>
          <w:sz w:val="17"/>
          <w:szCs w:val="17"/>
        </w:rPr>
        <w:t>分析和解决一般应用问题，如简单的计算、绘图和分析</w:t>
      </w:r>
      <w:r>
        <w:rPr>
          <w:rFonts w:ascii="宋体" w:hAnsi="宋体" w:eastAsia="宋体" w:cs="宋体"/>
          <w:spacing w:val="8"/>
          <w:sz w:val="17"/>
          <w:szCs w:val="17"/>
        </w:rPr>
        <w:t xml:space="preserve"> </w:t>
      </w:r>
      <w:r>
        <w:rPr>
          <w:rFonts w:ascii="宋体" w:hAnsi="宋体" w:eastAsia="宋体" w:cs="宋体"/>
          <w:spacing w:val="1"/>
          <w:sz w:val="17"/>
          <w:szCs w:val="17"/>
        </w:rPr>
        <w:t>论证等。</w:t>
      </w:r>
    </w:p>
    <w:p w14:paraId="1C581D26">
      <w:pPr>
        <w:spacing w:before="27" w:line="310" w:lineRule="auto"/>
        <w:ind w:right="359" w:firstLine="430"/>
        <w:jc w:val="both"/>
        <w:rPr>
          <w:rFonts w:ascii="宋体" w:hAnsi="宋体" w:eastAsia="宋体" w:cs="宋体"/>
          <w:sz w:val="17"/>
          <w:szCs w:val="17"/>
        </w:rPr>
      </w:pPr>
      <w:r>
        <w:rPr>
          <w:rFonts w:ascii="Times New Roman" w:hAnsi="Times New Roman" w:eastAsia="Times New Roman" w:cs="Times New Roman"/>
          <w:spacing w:val="14"/>
          <w:sz w:val="17"/>
          <w:szCs w:val="17"/>
        </w:rPr>
        <w:t>D</w:t>
      </w:r>
      <w:r>
        <w:rPr>
          <w:rFonts w:ascii="宋体" w:hAnsi="宋体" w:eastAsia="宋体" w:cs="宋体"/>
          <w:spacing w:val="14"/>
          <w:sz w:val="17"/>
          <w:szCs w:val="17"/>
        </w:rPr>
        <w:t>(综合运用):考查考生对所学知识的综合运用</w:t>
      </w:r>
      <w:r>
        <w:rPr>
          <w:rFonts w:ascii="宋体" w:hAnsi="宋体" w:eastAsia="宋体" w:cs="宋体"/>
          <w:spacing w:val="13"/>
          <w:sz w:val="17"/>
          <w:szCs w:val="17"/>
        </w:rPr>
        <w:t xml:space="preserve"> </w:t>
      </w:r>
      <w:r>
        <w:rPr>
          <w:rFonts w:ascii="宋体" w:hAnsi="宋体" w:eastAsia="宋体" w:cs="宋体"/>
          <w:spacing w:val="-2"/>
          <w:sz w:val="17"/>
          <w:szCs w:val="17"/>
        </w:rPr>
        <w:t>能力。要求考生能够运用所学课程中规定的多个知识点，</w:t>
      </w:r>
      <w:r>
        <w:rPr>
          <w:rFonts w:ascii="宋体" w:hAnsi="宋体" w:eastAsia="宋体" w:cs="宋体"/>
          <w:spacing w:val="4"/>
          <w:sz w:val="17"/>
          <w:szCs w:val="17"/>
        </w:rPr>
        <w:t xml:space="preserve"> </w:t>
      </w:r>
      <w:r>
        <w:rPr>
          <w:rFonts w:ascii="宋体" w:hAnsi="宋体" w:eastAsia="宋体" w:cs="宋体"/>
          <w:spacing w:val="1"/>
          <w:sz w:val="17"/>
          <w:szCs w:val="17"/>
        </w:rPr>
        <w:t>分析和解决较复杂的应用问题，如计算、绘图、简单设</w:t>
      </w:r>
      <w:r>
        <w:rPr>
          <w:rFonts w:ascii="宋体" w:hAnsi="宋体" w:eastAsia="宋体" w:cs="宋体"/>
          <w:spacing w:val="6"/>
          <w:sz w:val="17"/>
          <w:szCs w:val="17"/>
        </w:rPr>
        <w:t xml:space="preserve">  </w:t>
      </w:r>
      <w:r>
        <w:rPr>
          <w:rFonts w:ascii="宋体" w:hAnsi="宋体" w:eastAsia="宋体" w:cs="宋体"/>
          <w:spacing w:val="-2"/>
          <w:sz w:val="17"/>
          <w:szCs w:val="17"/>
        </w:rPr>
        <w:t>计、分析、论证等。同时还要求考生在解决上述问题时，</w:t>
      </w:r>
      <w:r>
        <w:rPr>
          <w:rFonts w:ascii="宋体" w:hAnsi="宋体" w:eastAsia="宋体" w:cs="宋体"/>
          <w:spacing w:val="4"/>
          <w:sz w:val="17"/>
          <w:szCs w:val="17"/>
        </w:rPr>
        <w:t xml:space="preserve"> </w:t>
      </w:r>
      <w:r>
        <w:rPr>
          <w:rFonts w:ascii="宋体" w:hAnsi="宋体" w:eastAsia="宋体" w:cs="宋体"/>
          <w:spacing w:val="2"/>
          <w:sz w:val="17"/>
          <w:szCs w:val="17"/>
        </w:rPr>
        <w:t>综合运用电子类三门专业学科的知识点，分析和解决较</w:t>
      </w:r>
      <w:r>
        <w:rPr>
          <w:rFonts w:ascii="宋体" w:hAnsi="宋体" w:eastAsia="宋体" w:cs="宋体"/>
          <w:spacing w:val="4"/>
          <w:sz w:val="17"/>
          <w:szCs w:val="17"/>
        </w:rPr>
        <w:t xml:space="preserve">  </w:t>
      </w:r>
      <w:r>
        <w:rPr>
          <w:rFonts w:ascii="宋体" w:hAnsi="宋体" w:eastAsia="宋体" w:cs="宋体"/>
          <w:spacing w:val="-4"/>
          <w:sz w:val="17"/>
          <w:szCs w:val="17"/>
        </w:rPr>
        <w:t>复杂的应用问题。</w:t>
      </w:r>
    </w:p>
    <w:p w14:paraId="603D34AC">
      <w:pPr>
        <w:spacing w:before="25" w:line="306" w:lineRule="auto"/>
        <w:ind w:right="402" w:firstLine="430"/>
        <w:jc w:val="both"/>
        <w:rPr>
          <w:rFonts w:ascii="宋体" w:hAnsi="宋体" w:eastAsia="宋体" w:cs="宋体"/>
          <w:sz w:val="17"/>
          <w:szCs w:val="17"/>
        </w:rPr>
      </w:pPr>
      <w:r>
        <w:rPr>
          <w:rFonts w:ascii="宋体" w:hAnsi="宋体" w:eastAsia="宋体" w:cs="宋体"/>
          <w:spacing w:val="-1"/>
          <w:sz w:val="17"/>
          <w:szCs w:val="17"/>
        </w:rPr>
        <w:t>这四个层次的考试水平由简单到复杂、有低级到高</w:t>
      </w:r>
      <w:r>
        <w:rPr>
          <w:rFonts w:ascii="宋体" w:hAnsi="宋体" w:eastAsia="宋体" w:cs="宋体"/>
          <w:spacing w:val="13"/>
          <w:sz w:val="17"/>
          <w:szCs w:val="17"/>
        </w:rPr>
        <w:t xml:space="preserve"> </w:t>
      </w:r>
      <w:r>
        <w:rPr>
          <w:rFonts w:ascii="宋体" w:hAnsi="宋体" w:eastAsia="宋体" w:cs="宋体"/>
          <w:spacing w:val="2"/>
          <w:sz w:val="17"/>
          <w:szCs w:val="17"/>
        </w:rPr>
        <w:t>级，每一较高层次的考试水平都同时包括了它的较低层</w:t>
      </w:r>
      <w:r>
        <w:rPr>
          <w:rFonts w:ascii="宋体" w:hAnsi="宋体" w:eastAsia="宋体" w:cs="宋体"/>
          <w:spacing w:val="11"/>
          <w:sz w:val="17"/>
          <w:szCs w:val="17"/>
        </w:rPr>
        <w:t xml:space="preserve"> </w:t>
      </w:r>
      <w:r>
        <w:rPr>
          <w:rFonts w:ascii="宋体" w:hAnsi="宋体" w:eastAsia="宋体" w:cs="宋体"/>
          <w:spacing w:val="-4"/>
          <w:sz w:val="17"/>
          <w:szCs w:val="17"/>
        </w:rPr>
        <w:t>次的考试水平要求。</w:t>
      </w:r>
    </w:p>
    <w:p w14:paraId="7BDD4B4F">
      <w:pPr>
        <w:spacing w:before="32" w:line="221" w:lineRule="auto"/>
        <w:ind w:left="3"/>
        <w:rPr>
          <w:rFonts w:ascii="黑体" w:hAnsi="黑体" w:eastAsia="黑体" w:cs="黑体"/>
          <w:sz w:val="22"/>
          <w:szCs w:val="22"/>
        </w:rPr>
      </w:pPr>
      <w:r>
        <w:rPr>
          <w:rFonts w:ascii="黑体" w:hAnsi="黑体" w:eastAsia="黑体" w:cs="黑体"/>
          <w:b/>
          <w:bCs/>
          <w:spacing w:val="1"/>
          <w:sz w:val="22"/>
          <w:szCs w:val="22"/>
        </w:rPr>
        <w:t>三、考试目标</w:t>
      </w:r>
    </w:p>
    <w:p w14:paraId="182029AF">
      <w:pPr>
        <w:spacing w:before="96" w:line="221" w:lineRule="auto"/>
        <w:ind w:left="1123"/>
        <w:rPr>
          <w:rFonts w:ascii="黑体" w:hAnsi="黑体" w:eastAsia="黑体" w:cs="黑体"/>
          <w:sz w:val="22"/>
          <w:szCs w:val="22"/>
        </w:rPr>
      </w:pPr>
      <w:r>
        <w:rPr>
          <w:rFonts w:ascii="黑体" w:hAnsi="黑体" w:eastAsia="黑体" w:cs="黑体"/>
          <w:b/>
          <w:bCs/>
          <w:spacing w:val="-1"/>
          <w:sz w:val="22"/>
          <w:szCs w:val="22"/>
        </w:rPr>
        <w:t>第一部分</w:t>
      </w:r>
      <w:r>
        <w:rPr>
          <w:rFonts w:ascii="黑体" w:hAnsi="黑体" w:eastAsia="黑体" w:cs="黑体"/>
          <w:spacing w:val="22"/>
          <w:sz w:val="22"/>
          <w:szCs w:val="22"/>
        </w:rPr>
        <w:t xml:space="preserve">  </w:t>
      </w:r>
      <w:r>
        <w:rPr>
          <w:rFonts w:ascii="黑体" w:hAnsi="黑体" w:eastAsia="黑体" w:cs="黑体"/>
          <w:b/>
          <w:bCs/>
          <w:spacing w:val="-1"/>
          <w:sz w:val="22"/>
          <w:szCs w:val="22"/>
        </w:rPr>
        <w:t>电工基础</w:t>
      </w:r>
    </w:p>
    <w:p w14:paraId="01712FDF">
      <w:pPr>
        <w:spacing w:before="147" w:line="219" w:lineRule="auto"/>
        <w:ind w:left="1252"/>
        <w:rPr>
          <w:rFonts w:ascii="宋体" w:hAnsi="宋体" w:eastAsia="宋体" w:cs="宋体"/>
          <w:sz w:val="17"/>
          <w:szCs w:val="17"/>
        </w:rPr>
      </w:pPr>
      <w:r>
        <w:rPr>
          <w:rFonts w:ascii="宋体" w:hAnsi="宋体" w:eastAsia="宋体" w:cs="宋体"/>
          <w:b/>
          <w:bCs/>
          <w:spacing w:val="-5"/>
          <w:sz w:val="17"/>
          <w:szCs w:val="17"/>
        </w:rPr>
        <w:t>第一章</w:t>
      </w:r>
      <w:r>
        <w:rPr>
          <w:rFonts w:ascii="宋体" w:hAnsi="宋体" w:eastAsia="宋体" w:cs="宋体"/>
          <w:spacing w:val="28"/>
          <w:sz w:val="17"/>
          <w:szCs w:val="17"/>
        </w:rPr>
        <w:t xml:space="preserve"> </w:t>
      </w:r>
      <w:r>
        <w:rPr>
          <w:rFonts w:ascii="宋体" w:hAnsi="宋体" w:eastAsia="宋体" w:cs="宋体"/>
          <w:b/>
          <w:bCs/>
          <w:spacing w:val="-5"/>
          <w:sz w:val="17"/>
          <w:szCs w:val="17"/>
        </w:rPr>
        <w:t>电路的基本概念</w:t>
      </w:r>
    </w:p>
    <w:p w14:paraId="09CAB4B2">
      <w:pPr>
        <w:spacing w:line="129" w:lineRule="exact"/>
      </w:pPr>
    </w:p>
    <w:tbl>
      <w:tblPr>
        <w:tblStyle w:val="5"/>
        <w:tblW w:w="4130"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33"/>
        <w:gridCol w:w="2484"/>
        <w:gridCol w:w="230"/>
        <w:gridCol w:w="229"/>
        <w:gridCol w:w="220"/>
        <w:gridCol w:w="234"/>
      </w:tblGrid>
      <w:tr w14:paraId="3CBF20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9" w:hRule="atLeast"/>
        </w:trPr>
        <w:tc>
          <w:tcPr>
            <w:tcW w:w="733" w:type="dxa"/>
            <w:vMerge w:val="restart"/>
            <w:tcBorders>
              <w:top w:val="single" w:color="000000" w:sz="2" w:space="0"/>
              <w:bottom w:val="nil"/>
            </w:tcBorders>
            <w:vAlign w:val="top"/>
          </w:tcPr>
          <w:p w14:paraId="40AEAC93">
            <w:pPr>
              <w:pStyle w:val="6"/>
              <w:spacing w:before="25" w:line="217" w:lineRule="auto"/>
              <w:ind w:left="17"/>
            </w:pPr>
            <w:r>
              <w:rPr>
                <w:b/>
                <w:bCs/>
                <w:spacing w:val="-4"/>
              </w:rPr>
              <w:t>知识与技</w:t>
            </w:r>
          </w:p>
          <w:p w14:paraId="725F5C78">
            <w:pPr>
              <w:pStyle w:val="6"/>
              <w:spacing w:line="220" w:lineRule="auto"/>
              <w:ind w:left="107"/>
            </w:pPr>
            <w:r>
              <w:rPr>
                <w:b/>
                <w:bCs/>
                <w:spacing w:val="1"/>
              </w:rPr>
              <w:t>能要点</w:t>
            </w:r>
          </w:p>
        </w:tc>
        <w:tc>
          <w:tcPr>
            <w:tcW w:w="2484" w:type="dxa"/>
            <w:vMerge w:val="restart"/>
            <w:tcBorders>
              <w:top w:val="single" w:color="000000" w:sz="2" w:space="0"/>
              <w:bottom w:val="nil"/>
            </w:tcBorders>
            <w:vAlign w:val="top"/>
          </w:tcPr>
          <w:p w14:paraId="1E4E7982">
            <w:pPr>
              <w:pStyle w:val="6"/>
              <w:spacing w:before="144" w:line="219" w:lineRule="auto"/>
              <w:ind w:left="934"/>
            </w:pPr>
            <w:r>
              <w:rPr>
                <w:b/>
                <w:bCs/>
                <w:spacing w:val="5"/>
              </w:rPr>
              <w:t>考试条目</w:t>
            </w:r>
          </w:p>
        </w:tc>
        <w:tc>
          <w:tcPr>
            <w:tcW w:w="913" w:type="dxa"/>
            <w:gridSpan w:val="4"/>
            <w:tcBorders>
              <w:top w:val="single" w:color="000000" w:sz="2" w:space="0"/>
              <w:bottom w:val="single" w:color="000000" w:sz="2" w:space="0"/>
            </w:tcBorders>
            <w:vAlign w:val="top"/>
          </w:tcPr>
          <w:p w14:paraId="7D8C536A">
            <w:pPr>
              <w:pStyle w:val="6"/>
              <w:spacing w:before="33" w:line="201" w:lineRule="auto"/>
              <w:ind w:left="120"/>
            </w:pPr>
            <w:r>
              <w:rPr>
                <w:b/>
                <w:bCs/>
                <w:spacing w:val="-4"/>
              </w:rPr>
              <w:t>考试水平</w:t>
            </w:r>
          </w:p>
        </w:tc>
      </w:tr>
      <w:tr w14:paraId="3E23EA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4" w:hRule="atLeast"/>
        </w:trPr>
        <w:tc>
          <w:tcPr>
            <w:tcW w:w="733" w:type="dxa"/>
            <w:vMerge w:val="continue"/>
            <w:tcBorders>
              <w:top w:val="nil"/>
              <w:bottom w:val="single" w:color="000000" w:sz="2" w:space="0"/>
            </w:tcBorders>
            <w:vAlign w:val="top"/>
          </w:tcPr>
          <w:p w14:paraId="34B25BEA">
            <w:pPr>
              <w:rPr>
                <w:rFonts w:ascii="Arial"/>
                <w:sz w:val="21"/>
              </w:rPr>
            </w:pPr>
          </w:p>
        </w:tc>
        <w:tc>
          <w:tcPr>
            <w:tcW w:w="2484" w:type="dxa"/>
            <w:vMerge w:val="continue"/>
            <w:tcBorders>
              <w:top w:val="nil"/>
              <w:bottom w:val="single" w:color="000000" w:sz="2" w:space="0"/>
            </w:tcBorders>
            <w:vAlign w:val="top"/>
          </w:tcPr>
          <w:p w14:paraId="6392F6AC">
            <w:pPr>
              <w:rPr>
                <w:rFonts w:ascii="Arial"/>
                <w:sz w:val="21"/>
              </w:rPr>
            </w:pPr>
          </w:p>
        </w:tc>
        <w:tc>
          <w:tcPr>
            <w:tcW w:w="230" w:type="dxa"/>
            <w:tcBorders>
              <w:top w:val="single" w:color="000000" w:sz="2" w:space="0"/>
              <w:bottom w:val="single" w:color="000000" w:sz="2" w:space="0"/>
            </w:tcBorders>
            <w:vAlign w:val="top"/>
          </w:tcPr>
          <w:p w14:paraId="6BC0F7A3">
            <w:pPr>
              <w:pStyle w:val="6"/>
              <w:spacing w:before="65" w:line="138" w:lineRule="exact"/>
              <w:ind w:left="20"/>
            </w:pPr>
            <w:r>
              <w:rPr>
                <w:b/>
                <w:bCs/>
                <w:spacing w:val="-2"/>
                <w:position w:val="-2"/>
              </w:rPr>
              <w:t>A</w:t>
            </w:r>
          </w:p>
        </w:tc>
        <w:tc>
          <w:tcPr>
            <w:tcW w:w="229" w:type="dxa"/>
            <w:tcBorders>
              <w:top w:val="single" w:color="000000" w:sz="2" w:space="0"/>
              <w:bottom w:val="single" w:color="000000" w:sz="2" w:space="0"/>
            </w:tcBorders>
            <w:vAlign w:val="top"/>
          </w:tcPr>
          <w:p w14:paraId="24D219CC">
            <w:pPr>
              <w:pStyle w:val="6"/>
              <w:spacing w:before="67" w:line="136" w:lineRule="exact"/>
              <w:ind w:left="70"/>
            </w:pPr>
            <w:r>
              <w:rPr>
                <w:b/>
                <w:bCs/>
                <w:spacing w:val="-2"/>
                <w:position w:val="-2"/>
              </w:rPr>
              <w:t>B</w:t>
            </w:r>
          </w:p>
        </w:tc>
        <w:tc>
          <w:tcPr>
            <w:tcW w:w="220" w:type="dxa"/>
            <w:tcBorders>
              <w:top w:val="single" w:color="000000" w:sz="2" w:space="0"/>
              <w:bottom w:val="single" w:color="000000" w:sz="2" w:space="0"/>
            </w:tcBorders>
            <w:vAlign w:val="top"/>
          </w:tcPr>
          <w:p w14:paraId="48624612">
            <w:pPr>
              <w:pStyle w:val="6"/>
              <w:spacing w:before="66" w:line="137" w:lineRule="exact"/>
              <w:ind w:left="58"/>
            </w:pPr>
            <w:r>
              <w:rPr>
                <w:position w:val="-2"/>
              </w:rPr>
              <w:t>C</w:t>
            </w:r>
          </w:p>
        </w:tc>
        <w:tc>
          <w:tcPr>
            <w:tcW w:w="234" w:type="dxa"/>
            <w:tcBorders>
              <w:top w:val="single" w:color="000000" w:sz="2" w:space="0"/>
              <w:bottom w:val="single" w:color="000000" w:sz="2" w:space="0"/>
            </w:tcBorders>
            <w:vAlign w:val="top"/>
          </w:tcPr>
          <w:p w14:paraId="40B5A4A6">
            <w:pPr>
              <w:pStyle w:val="6"/>
              <w:spacing w:before="67" w:line="136" w:lineRule="exact"/>
              <w:ind w:left="21"/>
            </w:pPr>
            <w:r>
              <w:rPr>
                <w:b/>
                <w:bCs/>
                <w:spacing w:val="-2"/>
                <w:position w:val="-2"/>
              </w:rPr>
              <w:t>D</w:t>
            </w:r>
          </w:p>
        </w:tc>
      </w:tr>
      <w:tr w14:paraId="5259C2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54" w:hRule="atLeast"/>
        </w:trPr>
        <w:tc>
          <w:tcPr>
            <w:tcW w:w="733" w:type="dxa"/>
            <w:tcBorders>
              <w:top w:val="single" w:color="000000" w:sz="2" w:space="0"/>
              <w:bottom w:val="single" w:color="000000" w:sz="2" w:space="0"/>
            </w:tcBorders>
            <w:vAlign w:val="top"/>
          </w:tcPr>
          <w:p w14:paraId="0FAA1849">
            <w:pPr>
              <w:pStyle w:val="6"/>
              <w:spacing w:before="243" w:line="219" w:lineRule="auto"/>
              <w:ind w:left="184"/>
            </w:pPr>
            <w:r>
              <w:rPr>
                <w:spacing w:val="3"/>
              </w:rPr>
              <w:t>电路</w:t>
            </w:r>
          </w:p>
        </w:tc>
        <w:tc>
          <w:tcPr>
            <w:tcW w:w="2484" w:type="dxa"/>
            <w:tcBorders>
              <w:top w:val="single" w:color="000000" w:sz="2" w:space="0"/>
              <w:bottom w:val="single" w:color="000000" w:sz="2" w:space="0"/>
            </w:tcBorders>
            <w:vAlign w:val="top"/>
          </w:tcPr>
          <w:p w14:paraId="5F60062E">
            <w:pPr>
              <w:pStyle w:val="6"/>
              <w:spacing w:before="44" w:line="217" w:lineRule="auto"/>
              <w:ind w:left="11" w:right="1434"/>
              <w:jc w:val="both"/>
            </w:pPr>
            <w:r>
              <w:rPr>
                <w:spacing w:val="1"/>
              </w:rPr>
              <w:t>1.电路的组成</w:t>
            </w:r>
            <w:r>
              <w:t xml:space="preserve"> </w:t>
            </w:r>
            <w:r>
              <w:rPr>
                <w:spacing w:val="-2"/>
              </w:rPr>
              <w:t>2.电路的状态</w:t>
            </w:r>
            <w:r>
              <w:rPr>
                <w:spacing w:val="4"/>
              </w:rPr>
              <w:t xml:space="preserve"> </w:t>
            </w:r>
            <w:r>
              <w:rPr>
                <w:spacing w:val="3"/>
              </w:rPr>
              <w:t>3.电路图</w:t>
            </w:r>
          </w:p>
        </w:tc>
        <w:tc>
          <w:tcPr>
            <w:tcW w:w="230" w:type="dxa"/>
            <w:tcBorders>
              <w:top w:val="single" w:color="000000" w:sz="2" w:space="0"/>
              <w:bottom w:val="single" w:color="000000" w:sz="2" w:space="0"/>
            </w:tcBorders>
            <w:vAlign w:val="top"/>
          </w:tcPr>
          <w:p w14:paraId="7B7F1E0D">
            <w:pPr>
              <w:pStyle w:val="6"/>
              <w:spacing w:before="53" w:line="238" w:lineRule="auto"/>
              <w:ind w:left="18"/>
              <w:rPr>
                <w:sz w:val="12"/>
                <w:szCs w:val="12"/>
              </w:rPr>
            </w:pPr>
            <w:r>
              <w:rPr>
                <w:sz w:val="12"/>
                <w:szCs w:val="12"/>
              </w:rPr>
              <w:t>√</w:t>
            </w:r>
          </w:p>
        </w:tc>
        <w:tc>
          <w:tcPr>
            <w:tcW w:w="229" w:type="dxa"/>
            <w:tcBorders>
              <w:top w:val="single" w:color="000000" w:sz="2" w:space="0"/>
              <w:bottom w:val="single" w:color="000000" w:sz="2" w:space="0"/>
            </w:tcBorders>
            <w:vAlign w:val="top"/>
          </w:tcPr>
          <w:p w14:paraId="50ED18B3">
            <w:pPr>
              <w:rPr>
                <w:rFonts w:ascii="Arial"/>
                <w:sz w:val="21"/>
              </w:rPr>
            </w:pPr>
          </w:p>
        </w:tc>
        <w:tc>
          <w:tcPr>
            <w:tcW w:w="220" w:type="dxa"/>
            <w:tcBorders>
              <w:top w:val="single" w:color="000000" w:sz="2" w:space="0"/>
              <w:bottom w:val="single" w:color="000000" w:sz="2" w:space="0"/>
            </w:tcBorders>
            <w:vAlign w:val="top"/>
          </w:tcPr>
          <w:p w14:paraId="1C9C8405">
            <w:pPr>
              <w:spacing w:before="178" w:line="336" w:lineRule="exact"/>
              <w:ind w:firstLine="24"/>
            </w:pPr>
            <w:r>
              <w:rPr>
                <w:position w:val="-6"/>
              </w:rPr>
              <w:drawing>
                <wp:inline distT="0" distB="0" distL="0" distR="0">
                  <wp:extent cx="94615" cy="212725"/>
                  <wp:effectExtent l="0" t="0" r="0" b="0"/>
                  <wp:docPr id="410" name="IM 410"/>
                  <wp:cNvGraphicFramePr/>
                  <a:graphic xmlns:a="http://schemas.openxmlformats.org/drawingml/2006/main">
                    <a:graphicData uri="http://schemas.openxmlformats.org/drawingml/2006/picture">
                      <pic:pic xmlns:pic="http://schemas.openxmlformats.org/drawingml/2006/picture">
                        <pic:nvPicPr>
                          <pic:cNvPr id="410" name="IM 410"/>
                          <pic:cNvPicPr/>
                        </pic:nvPicPr>
                        <pic:blipFill>
                          <a:blip r:embed="rId369"/>
                          <a:stretch>
                            <a:fillRect/>
                          </a:stretch>
                        </pic:blipFill>
                        <pic:spPr>
                          <a:xfrm>
                            <a:off x="0" y="0"/>
                            <a:ext cx="94839" cy="213295"/>
                          </a:xfrm>
                          <a:prstGeom prst="rect">
                            <a:avLst/>
                          </a:prstGeom>
                        </pic:spPr>
                      </pic:pic>
                    </a:graphicData>
                  </a:graphic>
                </wp:inline>
              </w:drawing>
            </w:r>
          </w:p>
        </w:tc>
        <w:tc>
          <w:tcPr>
            <w:tcW w:w="234" w:type="dxa"/>
            <w:tcBorders>
              <w:top w:val="single" w:color="000000" w:sz="2" w:space="0"/>
              <w:bottom w:val="single" w:color="000000" w:sz="2" w:space="0"/>
            </w:tcBorders>
            <w:vAlign w:val="top"/>
          </w:tcPr>
          <w:p w14:paraId="03BE346E">
            <w:pPr>
              <w:rPr>
                <w:rFonts w:ascii="Arial"/>
                <w:sz w:val="21"/>
              </w:rPr>
            </w:pPr>
          </w:p>
        </w:tc>
      </w:tr>
      <w:tr w14:paraId="3F1127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4" w:hRule="atLeast"/>
        </w:trPr>
        <w:tc>
          <w:tcPr>
            <w:tcW w:w="733" w:type="dxa"/>
            <w:tcBorders>
              <w:top w:val="single" w:color="000000" w:sz="2" w:space="0"/>
              <w:bottom w:val="single" w:color="000000" w:sz="2" w:space="0"/>
            </w:tcBorders>
            <w:vAlign w:val="top"/>
          </w:tcPr>
          <w:p w14:paraId="50D2EFE4">
            <w:pPr>
              <w:pStyle w:val="6"/>
              <w:spacing w:before="157" w:line="223" w:lineRule="auto"/>
              <w:ind w:left="184"/>
            </w:pPr>
            <w:r>
              <w:rPr>
                <w:spacing w:val="3"/>
              </w:rPr>
              <w:t>电流</w:t>
            </w:r>
          </w:p>
        </w:tc>
        <w:tc>
          <w:tcPr>
            <w:tcW w:w="2484" w:type="dxa"/>
            <w:tcBorders>
              <w:top w:val="single" w:color="000000" w:sz="2" w:space="0"/>
              <w:bottom w:val="single" w:color="000000" w:sz="2" w:space="0"/>
            </w:tcBorders>
            <w:vAlign w:val="top"/>
          </w:tcPr>
          <w:p w14:paraId="0630CCC1">
            <w:pPr>
              <w:pStyle w:val="6"/>
              <w:spacing w:before="75" w:line="211" w:lineRule="auto"/>
              <w:ind w:left="11" w:right="1434"/>
            </w:pPr>
            <w:r>
              <w:rPr>
                <w:spacing w:val="1"/>
              </w:rPr>
              <w:t>1.电流的形成</w:t>
            </w:r>
            <w:r>
              <w:t xml:space="preserve"> </w:t>
            </w:r>
            <w:r>
              <w:rPr>
                <w:spacing w:val="1"/>
              </w:rPr>
              <w:t>2.电流</w:t>
            </w:r>
          </w:p>
        </w:tc>
        <w:tc>
          <w:tcPr>
            <w:tcW w:w="230" w:type="dxa"/>
            <w:tcBorders>
              <w:top w:val="single" w:color="000000" w:sz="2" w:space="0"/>
              <w:bottom w:val="single" w:color="000000" w:sz="2" w:space="0"/>
            </w:tcBorders>
            <w:vAlign w:val="top"/>
          </w:tcPr>
          <w:p w14:paraId="674FA891">
            <w:pPr>
              <w:spacing w:line="272" w:lineRule="auto"/>
              <w:rPr>
                <w:rFonts w:ascii="Arial"/>
                <w:sz w:val="21"/>
              </w:rPr>
            </w:pPr>
          </w:p>
          <w:p w14:paraId="355D94CB">
            <w:pPr>
              <w:spacing w:line="135" w:lineRule="exact"/>
              <w:ind w:firstLine="59"/>
            </w:pPr>
            <w:r>
              <w:rPr>
                <w:position w:val="-2"/>
              </w:rPr>
              <w:drawing>
                <wp:inline distT="0" distB="0" distL="0" distR="0">
                  <wp:extent cx="79375" cy="85090"/>
                  <wp:effectExtent l="0" t="0" r="0" b="0"/>
                  <wp:docPr id="412" name="IM 412"/>
                  <wp:cNvGraphicFramePr/>
                  <a:graphic xmlns:a="http://schemas.openxmlformats.org/drawingml/2006/main">
                    <a:graphicData uri="http://schemas.openxmlformats.org/drawingml/2006/picture">
                      <pic:pic xmlns:pic="http://schemas.openxmlformats.org/drawingml/2006/picture">
                        <pic:nvPicPr>
                          <pic:cNvPr id="412" name="IM 412"/>
                          <pic:cNvPicPr/>
                        </pic:nvPicPr>
                        <pic:blipFill>
                          <a:blip r:embed="rId370"/>
                          <a:stretch>
                            <a:fillRect/>
                          </a:stretch>
                        </pic:blipFill>
                        <pic:spPr>
                          <a:xfrm>
                            <a:off x="0" y="0"/>
                            <a:ext cx="79401" cy="85666"/>
                          </a:xfrm>
                          <a:prstGeom prst="rect">
                            <a:avLst/>
                          </a:prstGeom>
                        </pic:spPr>
                      </pic:pic>
                    </a:graphicData>
                  </a:graphic>
                </wp:inline>
              </w:drawing>
            </w:r>
          </w:p>
        </w:tc>
        <w:tc>
          <w:tcPr>
            <w:tcW w:w="229" w:type="dxa"/>
            <w:tcBorders>
              <w:top w:val="single" w:color="000000" w:sz="2" w:space="0"/>
              <w:bottom w:val="single" w:color="000000" w:sz="2" w:space="0"/>
            </w:tcBorders>
            <w:vAlign w:val="top"/>
          </w:tcPr>
          <w:p w14:paraId="7B7C894D">
            <w:pPr>
              <w:rPr>
                <w:rFonts w:ascii="Arial"/>
                <w:sz w:val="21"/>
              </w:rPr>
            </w:pPr>
          </w:p>
        </w:tc>
        <w:tc>
          <w:tcPr>
            <w:tcW w:w="220" w:type="dxa"/>
            <w:tcBorders>
              <w:top w:val="single" w:color="000000" w:sz="2" w:space="0"/>
              <w:bottom w:val="single" w:color="000000" w:sz="2" w:space="0"/>
            </w:tcBorders>
            <w:vAlign w:val="top"/>
          </w:tcPr>
          <w:p w14:paraId="29CA0565">
            <w:pPr>
              <w:pStyle w:val="6"/>
              <w:spacing w:before="75" w:line="238" w:lineRule="auto"/>
              <w:ind w:left="39"/>
              <w:rPr>
                <w:sz w:val="13"/>
                <w:szCs w:val="13"/>
              </w:rPr>
            </w:pPr>
            <w:r>
              <w:rPr>
                <w:sz w:val="13"/>
                <w:szCs w:val="13"/>
              </w:rPr>
              <w:t>√</w:t>
            </w:r>
          </w:p>
        </w:tc>
        <w:tc>
          <w:tcPr>
            <w:tcW w:w="234" w:type="dxa"/>
            <w:tcBorders>
              <w:top w:val="single" w:color="000000" w:sz="2" w:space="0"/>
              <w:bottom w:val="single" w:color="000000" w:sz="2" w:space="0"/>
            </w:tcBorders>
            <w:vAlign w:val="top"/>
          </w:tcPr>
          <w:p w14:paraId="0F3521F9">
            <w:pPr>
              <w:rPr>
                <w:rFonts w:ascii="Arial"/>
                <w:sz w:val="21"/>
              </w:rPr>
            </w:pPr>
          </w:p>
        </w:tc>
      </w:tr>
      <w:tr w14:paraId="5EFC63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4" w:hRule="atLeast"/>
        </w:trPr>
        <w:tc>
          <w:tcPr>
            <w:tcW w:w="733" w:type="dxa"/>
            <w:tcBorders>
              <w:top w:val="single" w:color="000000" w:sz="2" w:space="0"/>
              <w:bottom w:val="single" w:color="000000" w:sz="2" w:space="0"/>
            </w:tcBorders>
            <w:vAlign w:val="top"/>
          </w:tcPr>
          <w:p w14:paraId="697EFADB">
            <w:pPr>
              <w:pStyle w:val="6"/>
              <w:spacing w:before="166" w:line="221" w:lineRule="auto"/>
              <w:ind w:left="184"/>
            </w:pPr>
            <w:r>
              <w:rPr>
                <w:spacing w:val="2"/>
              </w:rPr>
              <w:t>电阻</w:t>
            </w:r>
          </w:p>
        </w:tc>
        <w:tc>
          <w:tcPr>
            <w:tcW w:w="2484" w:type="dxa"/>
            <w:tcBorders>
              <w:top w:val="single" w:color="000000" w:sz="2" w:space="0"/>
              <w:bottom w:val="single" w:color="000000" w:sz="2" w:space="0"/>
            </w:tcBorders>
            <w:vAlign w:val="top"/>
          </w:tcPr>
          <w:p w14:paraId="760720C2">
            <w:pPr>
              <w:pStyle w:val="6"/>
              <w:spacing w:before="66" w:line="221" w:lineRule="auto"/>
              <w:ind w:left="11"/>
            </w:pPr>
            <w:r>
              <w:rPr>
                <w:spacing w:val="-5"/>
              </w:rPr>
              <w:t>1.</w:t>
            </w:r>
            <w:r>
              <w:rPr>
                <w:spacing w:val="-51"/>
              </w:rPr>
              <w:t xml:space="preserve"> </w:t>
            </w:r>
            <w:r>
              <w:rPr>
                <w:spacing w:val="-5"/>
              </w:rPr>
              <w:t>电阻</w:t>
            </w:r>
          </w:p>
          <w:p w14:paraId="553503B2">
            <w:pPr>
              <w:pStyle w:val="6"/>
              <w:spacing w:before="16" w:line="215" w:lineRule="auto"/>
              <w:ind w:left="11"/>
            </w:pPr>
            <w:r>
              <w:rPr>
                <w:spacing w:val="1"/>
              </w:rPr>
              <w:t>2.电阻与温度的关系</w:t>
            </w:r>
          </w:p>
        </w:tc>
        <w:tc>
          <w:tcPr>
            <w:tcW w:w="230" w:type="dxa"/>
            <w:tcBorders>
              <w:top w:val="single" w:color="000000" w:sz="2" w:space="0"/>
              <w:bottom w:val="single" w:color="000000" w:sz="2" w:space="0"/>
            </w:tcBorders>
            <w:vAlign w:val="top"/>
          </w:tcPr>
          <w:p w14:paraId="66F6039D">
            <w:pPr>
              <w:rPr>
                <w:rFonts w:ascii="Arial"/>
                <w:sz w:val="21"/>
              </w:rPr>
            </w:pPr>
          </w:p>
        </w:tc>
        <w:tc>
          <w:tcPr>
            <w:tcW w:w="229" w:type="dxa"/>
            <w:tcBorders>
              <w:top w:val="single" w:color="000000" w:sz="2" w:space="0"/>
              <w:bottom w:val="single" w:color="000000" w:sz="2" w:space="0"/>
            </w:tcBorders>
            <w:vAlign w:val="top"/>
          </w:tcPr>
          <w:p w14:paraId="2CE19AA2">
            <w:pPr>
              <w:rPr>
                <w:rFonts w:ascii="Arial"/>
                <w:sz w:val="21"/>
              </w:rPr>
            </w:pPr>
          </w:p>
        </w:tc>
        <w:tc>
          <w:tcPr>
            <w:tcW w:w="220" w:type="dxa"/>
            <w:tcBorders>
              <w:top w:val="single" w:color="000000" w:sz="2" w:space="0"/>
              <w:bottom w:val="single" w:color="000000" w:sz="2" w:space="0"/>
            </w:tcBorders>
            <w:vAlign w:val="top"/>
          </w:tcPr>
          <w:p w14:paraId="7B95FADE">
            <w:pPr>
              <w:rPr>
                <w:rFonts w:ascii="Arial"/>
                <w:sz w:val="21"/>
              </w:rPr>
            </w:pPr>
          </w:p>
        </w:tc>
        <w:tc>
          <w:tcPr>
            <w:tcW w:w="234" w:type="dxa"/>
            <w:tcBorders>
              <w:top w:val="single" w:color="000000" w:sz="2" w:space="0"/>
              <w:bottom w:val="single" w:color="000000" w:sz="2" w:space="0"/>
            </w:tcBorders>
            <w:vAlign w:val="top"/>
          </w:tcPr>
          <w:p w14:paraId="73956F54">
            <w:pPr>
              <w:rPr>
                <w:rFonts w:ascii="Arial"/>
                <w:sz w:val="21"/>
              </w:rPr>
            </w:pPr>
          </w:p>
        </w:tc>
      </w:tr>
      <w:tr w14:paraId="2CBD21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54" w:hRule="atLeast"/>
        </w:trPr>
        <w:tc>
          <w:tcPr>
            <w:tcW w:w="733" w:type="dxa"/>
            <w:tcBorders>
              <w:top w:val="single" w:color="000000" w:sz="2" w:space="0"/>
              <w:bottom w:val="single" w:color="000000" w:sz="2" w:space="0"/>
            </w:tcBorders>
            <w:vAlign w:val="top"/>
          </w:tcPr>
          <w:p w14:paraId="0DF57518">
            <w:pPr>
              <w:pStyle w:val="6"/>
              <w:spacing w:before="46" w:line="219" w:lineRule="auto"/>
              <w:ind w:left="105"/>
            </w:pPr>
            <w:r>
              <w:rPr>
                <w:spacing w:val="-2"/>
              </w:rPr>
              <w:t>部分电</w:t>
            </w:r>
          </w:p>
          <w:p w14:paraId="3223F373">
            <w:pPr>
              <w:pStyle w:val="6"/>
              <w:spacing w:before="14" w:line="207" w:lineRule="auto"/>
              <w:ind w:left="107" w:right="110" w:firstLine="79"/>
            </w:pPr>
            <w:r>
              <w:rPr>
                <w:b/>
                <w:bCs/>
                <w:spacing w:val="-6"/>
              </w:rPr>
              <w:t>路欧</w:t>
            </w:r>
            <w:r>
              <w:t xml:space="preserve">  </w:t>
            </w:r>
            <w:r>
              <w:rPr>
                <w:b/>
                <w:bCs/>
                <w:spacing w:val="-4"/>
              </w:rPr>
              <w:t>姆定律</w:t>
            </w:r>
          </w:p>
        </w:tc>
        <w:tc>
          <w:tcPr>
            <w:tcW w:w="2484" w:type="dxa"/>
            <w:tcBorders>
              <w:top w:val="single" w:color="000000" w:sz="2" w:space="0"/>
              <w:bottom w:val="single" w:color="000000" w:sz="2" w:space="0"/>
            </w:tcBorders>
            <w:vAlign w:val="top"/>
          </w:tcPr>
          <w:p w14:paraId="02C34F2A">
            <w:pPr>
              <w:pStyle w:val="6"/>
              <w:spacing w:before="155" w:line="217" w:lineRule="auto"/>
              <w:ind w:left="11"/>
            </w:pPr>
            <w:r>
              <w:rPr>
                <w:spacing w:val="1"/>
              </w:rPr>
              <w:t>1.欧姆定律</w:t>
            </w:r>
          </w:p>
          <w:p w14:paraId="50A556D0">
            <w:pPr>
              <w:pStyle w:val="6"/>
              <w:spacing w:line="218" w:lineRule="auto"/>
              <w:ind w:left="11"/>
            </w:pPr>
            <w:r>
              <w:rPr>
                <w:spacing w:val="1"/>
              </w:rPr>
              <w:t>2.伏安特性曲线</w:t>
            </w:r>
          </w:p>
        </w:tc>
        <w:tc>
          <w:tcPr>
            <w:tcW w:w="230" w:type="dxa"/>
            <w:tcBorders>
              <w:top w:val="single" w:color="000000" w:sz="2" w:space="0"/>
              <w:bottom w:val="single" w:color="000000" w:sz="2" w:space="0"/>
            </w:tcBorders>
            <w:vAlign w:val="top"/>
          </w:tcPr>
          <w:p w14:paraId="07EA5752">
            <w:pPr>
              <w:rPr>
                <w:rFonts w:ascii="Arial"/>
                <w:sz w:val="21"/>
              </w:rPr>
            </w:pPr>
          </w:p>
        </w:tc>
        <w:tc>
          <w:tcPr>
            <w:tcW w:w="229" w:type="dxa"/>
            <w:tcBorders>
              <w:top w:val="single" w:color="000000" w:sz="2" w:space="0"/>
              <w:bottom w:val="single" w:color="000000" w:sz="2" w:space="0"/>
            </w:tcBorders>
            <w:vAlign w:val="top"/>
          </w:tcPr>
          <w:p w14:paraId="2DADBBB4">
            <w:pPr>
              <w:spacing w:line="322" w:lineRule="auto"/>
              <w:rPr>
                <w:rFonts w:ascii="Arial"/>
                <w:sz w:val="21"/>
              </w:rPr>
            </w:pPr>
          </w:p>
          <w:p w14:paraId="5891CAF5">
            <w:pPr>
              <w:pStyle w:val="6"/>
              <w:spacing w:before="43" w:line="238" w:lineRule="auto"/>
              <w:ind w:left="47"/>
              <w:rPr>
                <w:sz w:val="13"/>
                <w:szCs w:val="13"/>
              </w:rPr>
            </w:pPr>
            <w:r>
              <w:rPr>
                <w:sz w:val="13"/>
                <w:szCs w:val="13"/>
              </w:rPr>
              <w:t>√</w:t>
            </w:r>
          </w:p>
        </w:tc>
        <w:tc>
          <w:tcPr>
            <w:tcW w:w="220" w:type="dxa"/>
            <w:tcBorders>
              <w:top w:val="single" w:color="000000" w:sz="2" w:space="0"/>
              <w:bottom w:val="single" w:color="000000" w:sz="2" w:space="0"/>
            </w:tcBorders>
            <w:vAlign w:val="top"/>
          </w:tcPr>
          <w:p w14:paraId="4C8D907E">
            <w:pPr>
              <w:rPr>
                <w:rFonts w:ascii="Arial"/>
                <w:sz w:val="21"/>
              </w:rPr>
            </w:pPr>
          </w:p>
        </w:tc>
        <w:tc>
          <w:tcPr>
            <w:tcW w:w="234" w:type="dxa"/>
            <w:tcBorders>
              <w:top w:val="single" w:color="000000" w:sz="2" w:space="0"/>
              <w:bottom w:val="single" w:color="000000" w:sz="2" w:space="0"/>
            </w:tcBorders>
            <w:vAlign w:val="top"/>
          </w:tcPr>
          <w:p w14:paraId="7C4A625C">
            <w:pPr>
              <w:pStyle w:val="6"/>
              <w:spacing w:before="148" w:line="242" w:lineRule="auto"/>
              <w:ind w:left="29"/>
              <w:rPr>
                <w:sz w:val="16"/>
                <w:szCs w:val="16"/>
              </w:rPr>
            </w:pPr>
            <w:r>
              <w:rPr>
                <w:sz w:val="16"/>
                <w:szCs w:val="16"/>
              </w:rPr>
              <w:t>√</w:t>
            </w:r>
          </w:p>
        </w:tc>
      </w:tr>
      <w:tr w14:paraId="2ABF9C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733" w:type="dxa"/>
            <w:tcBorders>
              <w:top w:val="single" w:color="000000" w:sz="2" w:space="0"/>
              <w:bottom w:val="single" w:color="000000" w:sz="2" w:space="0"/>
            </w:tcBorders>
            <w:vAlign w:val="top"/>
          </w:tcPr>
          <w:p w14:paraId="0F791DAE">
            <w:pPr>
              <w:pStyle w:val="6"/>
              <w:spacing w:before="30" w:line="222" w:lineRule="auto"/>
              <w:ind w:left="187" w:right="191"/>
            </w:pPr>
            <w:r>
              <w:rPr>
                <w:b/>
                <w:bCs/>
              </w:rPr>
              <w:t>电工</w:t>
            </w:r>
            <w:r>
              <w:t xml:space="preserve"> </w:t>
            </w:r>
            <w:r>
              <w:rPr>
                <w:b/>
                <w:bCs/>
                <w:spacing w:val="-4"/>
              </w:rPr>
              <w:t>元件</w:t>
            </w:r>
          </w:p>
        </w:tc>
        <w:tc>
          <w:tcPr>
            <w:tcW w:w="2484" w:type="dxa"/>
            <w:tcBorders>
              <w:top w:val="single" w:color="000000" w:sz="2" w:space="0"/>
              <w:bottom w:val="single" w:color="000000" w:sz="2" w:space="0"/>
            </w:tcBorders>
            <w:vAlign w:val="top"/>
          </w:tcPr>
          <w:p w14:paraId="5F7FB729">
            <w:pPr>
              <w:pStyle w:val="6"/>
              <w:spacing w:before="145" w:line="221" w:lineRule="auto"/>
              <w:ind w:left="14"/>
            </w:pPr>
            <w:r>
              <w:rPr>
                <w:b/>
                <w:bCs/>
                <w:spacing w:val="-1"/>
              </w:rPr>
              <w:t>电阻器</w:t>
            </w:r>
          </w:p>
        </w:tc>
        <w:tc>
          <w:tcPr>
            <w:tcW w:w="230" w:type="dxa"/>
            <w:tcBorders>
              <w:top w:val="single" w:color="000000" w:sz="2" w:space="0"/>
              <w:bottom w:val="single" w:color="000000" w:sz="2" w:space="0"/>
            </w:tcBorders>
            <w:vAlign w:val="top"/>
          </w:tcPr>
          <w:p w14:paraId="299CCD2E">
            <w:pPr>
              <w:spacing w:before="156" w:line="135" w:lineRule="exact"/>
              <w:ind w:firstLine="35"/>
            </w:pPr>
            <w:r>
              <w:rPr>
                <w:position w:val="-2"/>
              </w:rPr>
              <w:drawing>
                <wp:inline distT="0" distB="0" distL="0" distR="0">
                  <wp:extent cx="97790" cy="85090"/>
                  <wp:effectExtent l="0" t="0" r="0" b="0"/>
                  <wp:docPr id="414" name="IM 414"/>
                  <wp:cNvGraphicFramePr/>
                  <a:graphic xmlns:a="http://schemas.openxmlformats.org/drawingml/2006/main">
                    <a:graphicData uri="http://schemas.openxmlformats.org/drawingml/2006/picture">
                      <pic:pic xmlns:pic="http://schemas.openxmlformats.org/drawingml/2006/picture">
                        <pic:nvPicPr>
                          <pic:cNvPr id="414" name="IM 414"/>
                          <pic:cNvPicPr/>
                        </pic:nvPicPr>
                        <pic:blipFill>
                          <a:blip r:embed="rId371"/>
                          <a:stretch>
                            <a:fillRect/>
                          </a:stretch>
                        </pic:blipFill>
                        <pic:spPr>
                          <a:xfrm>
                            <a:off x="0" y="0"/>
                            <a:ext cx="97939" cy="85666"/>
                          </a:xfrm>
                          <a:prstGeom prst="rect">
                            <a:avLst/>
                          </a:prstGeom>
                        </pic:spPr>
                      </pic:pic>
                    </a:graphicData>
                  </a:graphic>
                </wp:inline>
              </w:drawing>
            </w:r>
          </w:p>
        </w:tc>
        <w:tc>
          <w:tcPr>
            <w:tcW w:w="229" w:type="dxa"/>
            <w:tcBorders>
              <w:top w:val="single" w:color="000000" w:sz="2" w:space="0"/>
              <w:bottom w:val="single" w:color="000000" w:sz="2" w:space="0"/>
            </w:tcBorders>
            <w:vAlign w:val="top"/>
          </w:tcPr>
          <w:p w14:paraId="6CBC5C81">
            <w:pPr>
              <w:rPr>
                <w:rFonts w:ascii="Arial"/>
                <w:sz w:val="21"/>
              </w:rPr>
            </w:pPr>
          </w:p>
        </w:tc>
        <w:tc>
          <w:tcPr>
            <w:tcW w:w="220" w:type="dxa"/>
            <w:tcBorders>
              <w:top w:val="single" w:color="000000" w:sz="2" w:space="0"/>
              <w:bottom w:val="single" w:color="000000" w:sz="2" w:space="0"/>
            </w:tcBorders>
            <w:vAlign w:val="top"/>
          </w:tcPr>
          <w:p w14:paraId="5E9A40A6">
            <w:pPr>
              <w:rPr>
                <w:rFonts w:ascii="Arial"/>
                <w:sz w:val="21"/>
              </w:rPr>
            </w:pPr>
          </w:p>
        </w:tc>
        <w:tc>
          <w:tcPr>
            <w:tcW w:w="234" w:type="dxa"/>
            <w:tcBorders>
              <w:top w:val="single" w:color="000000" w:sz="2" w:space="0"/>
              <w:bottom w:val="single" w:color="000000" w:sz="2" w:space="0"/>
            </w:tcBorders>
            <w:vAlign w:val="top"/>
          </w:tcPr>
          <w:p w14:paraId="19EDAB9E">
            <w:pPr>
              <w:rPr>
                <w:rFonts w:ascii="Arial"/>
                <w:sz w:val="21"/>
              </w:rPr>
            </w:pPr>
          </w:p>
        </w:tc>
      </w:tr>
    </w:tbl>
    <w:p w14:paraId="751C06DD">
      <w:pPr>
        <w:pStyle w:val="2"/>
        <w:spacing w:line="14" w:lineRule="auto"/>
        <w:rPr>
          <w:sz w:val="2"/>
        </w:rPr>
      </w:pPr>
    </w:p>
    <w:p w14:paraId="703BEF22">
      <w:pPr>
        <w:pStyle w:val="2"/>
        <w:spacing w:line="14" w:lineRule="auto"/>
        <w:rPr>
          <w:sz w:val="2"/>
        </w:rPr>
      </w:pPr>
      <w:r>
        <w:rPr>
          <w:sz w:val="2"/>
          <w:szCs w:val="2"/>
        </w:rPr>
        <w:br w:type="column"/>
      </w:r>
    </w:p>
    <w:p w14:paraId="4D184FFE">
      <w:pPr>
        <w:spacing w:before="52" w:line="219" w:lineRule="auto"/>
        <w:ind w:left="1227"/>
        <w:rPr>
          <w:rFonts w:ascii="宋体" w:hAnsi="宋体" w:eastAsia="宋体" w:cs="宋体"/>
          <w:sz w:val="17"/>
          <w:szCs w:val="17"/>
        </w:rPr>
      </w:pPr>
      <w:r>
        <w:rPr>
          <w:rFonts w:ascii="宋体" w:hAnsi="宋体" w:eastAsia="宋体" w:cs="宋体"/>
          <w:b/>
          <w:bCs/>
          <w:spacing w:val="-2"/>
          <w:sz w:val="17"/>
          <w:szCs w:val="17"/>
        </w:rPr>
        <w:t>第二章</w:t>
      </w:r>
      <w:r>
        <w:rPr>
          <w:rFonts w:ascii="宋体" w:hAnsi="宋体" w:eastAsia="宋体" w:cs="宋体"/>
          <w:spacing w:val="17"/>
          <w:sz w:val="17"/>
          <w:szCs w:val="17"/>
        </w:rPr>
        <w:t xml:space="preserve"> </w:t>
      </w:r>
      <w:r>
        <w:rPr>
          <w:rFonts w:ascii="宋体" w:hAnsi="宋体" w:eastAsia="宋体" w:cs="宋体"/>
          <w:b/>
          <w:bCs/>
          <w:spacing w:val="-2"/>
          <w:sz w:val="17"/>
          <w:szCs w:val="17"/>
        </w:rPr>
        <w:t>简单直流电路</w:t>
      </w:r>
    </w:p>
    <w:p w14:paraId="2FCF7D2D">
      <w:pPr>
        <w:spacing w:line="89" w:lineRule="exact"/>
      </w:pPr>
    </w:p>
    <w:tbl>
      <w:tblPr>
        <w:tblStyle w:val="5"/>
        <w:tblW w:w="413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33"/>
        <w:gridCol w:w="2474"/>
        <w:gridCol w:w="239"/>
        <w:gridCol w:w="220"/>
        <w:gridCol w:w="219"/>
        <w:gridCol w:w="245"/>
      </w:tblGrid>
      <w:tr w14:paraId="1FA5CD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5" w:hRule="atLeast"/>
        </w:trPr>
        <w:tc>
          <w:tcPr>
            <w:tcW w:w="733" w:type="dxa"/>
            <w:vMerge w:val="restart"/>
            <w:tcBorders>
              <w:bottom w:val="nil"/>
            </w:tcBorders>
            <w:vAlign w:val="top"/>
          </w:tcPr>
          <w:p w14:paraId="7F14E229">
            <w:pPr>
              <w:pStyle w:val="6"/>
              <w:spacing w:before="20" w:line="221" w:lineRule="auto"/>
              <w:ind w:left="17"/>
            </w:pPr>
            <w:r>
              <w:rPr>
                <w:b/>
                <w:bCs/>
                <w:spacing w:val="-4"/>
              </w:rPr>
              <w:t>知识与技</w:t>
            </w:r>
          </w:p>
          <w:p w14:paraId="22F8E780">
            <w:pPr>
              <w:pStyle w:val="6"/>
              <w:spacing w:before="6" w:line="211" w:lineRule="auto"/>
              <w:ind w:left="107"/>
            </w:pPr>
            <w:r>
              <w:rPr>
                <w:b/>
                <w:bCs/>
                <w:spacing w:val="1"/>
              </w:rPr>
              <w:t>能要点</w:t>
            </w:r>
          </w:p>
        </w:tc>
        <w:tc>
          <w:tcPr>
            <w:tcW w:w="2474" w:type="dxa"/>
            <w:vMerge w:val="restart"/>
            <w:tcBorders>
              <w:bottom w:val="nil"/>
            </w:tcBorders>
            <w:vAlign w:val="top"/>
          </w:tcPr>
          <w:p w14:paraId="6D251A88">
            <w:pPr>
              <w:pStyle w:val="6"/>
              <w:spacing w:before="129" w:line="219" w:lineRule="auto"/>
              <w:ind w:left="904"/>
            </w:pPr>
            <w:r>
              <w:rPr>
                <w:b/>
                <w:bCs/>
                <w:spacing w:val="5"/>
              </w:rPr>
              <w:t>考试条目</w:t>
            </w:r>
          </w:p>
        </w:tc>
        <w:tc>
          <w:tcPr>
            <w:tcW w:w="923" w:type="dxa"/>
            <w:gridSpan w:val="4"/>
            <w:vAlign w:val="top"/>
          </w:tcPr>
          <w:p w14:paraId="29B5FBE2">
            <w:pPr>
              <w:pStyle w:val="6"/>
              <w:spacing w:before="18" w:line="202" w:lineRule="auto"/>
              <w:ind w:left="130"/>
            </w:pPr>
            <w:r>
              <w:rPr>
                <w:b/>
                <w:bCs/>
                <w:spacing w:val="-4"/>
              </w:rPr>
              <w:t>考试水平</w:t>
            </w:r>
          </w:p>
        </w:tc>
      </w:tr>
      <w:tr w14:paraId="13A6BD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0" w:hRule="atLeast"/>
        </w:trPr>
        <w:tc>
          <w:tcPr>
            <w:tcW w:w="733" w:type="dxa"/>
            <w:vMerge w:val="continue"/>
            <w:tcBorders>
              <w:top w:val="nil"/>
            </w:tcBorders>
            <w:vAlign w:val="top"/>
          </w:tcPr>
          <w:p w14:paraId="5A34CD52">
            <w:pPr>
              <w:rPr>
                <w:rFonts w:ascii="Arial"/>
                <w:sz w:val="21"/>
              </w:rPr>
            </w:pPr>
          </w:p>
        </w:tc>
        <w:tc>
          <w:tcPr>
            <w:tcW w:w="2474" w:type="dxa"/>
            <w:vMerge w:val="continue"/>
            <w:tcBorders>
              <w:top w:val="nil"/>
            </w:tcBorders>
            <w:vAlign w:val="top"/>
          </w:tcPr>
          <w:p w14:paraId="745569E2">
            <w:pPr>
              <w:rPr>
                <w:rFonts w:ascii="Arial"/>
                <w:sz w:val="21"/>
              </w:rPr>
            </w:pPr>
          </w:p>
        </w:tc>
        <w:tc>
          <w:tcPr>
            <w:tcW w:w="239" w:type="dxa"/>
            <w:vAlign w:val="top"/>
          </w:tcPr>
          <w:p w14:paraId="241C3618">
            <w:pPr>
              <w:pStyle w:val="6"/>
              <w:spacing w:before="59" w:line="141" w:lineRule="exact"/>
              <w:ind w:left="50"/>
            </w:pPr>
            <w:r>
              <w:rPr>
                <w:b/>
                <w:bCs/>
                <w:spacing w:val="-2"/>
                <w:position w:val="-2"/>
              </w:rPr>
              <w:t>A</w:t>
            </w:r>
          </w:p>
        </w:tc>
        <w:tc>
          <w:tcPr>
            <w:tcW w:w="220" w:type="dxa"/>
            <w:vAlign w:val="top"/>
          </w:tcPr>
          <w:p w14:paraId="48C31934">
            <w:pPr>
              <w:pStyle w:val="6"/>
              <w:spacing w:before="62" w:line="138" w:lineRule="exact"/>
              <w:ind w:left="21"/>
            </w:pPr>
            <w:r>
              <w:rPr>
                <w:b/>
                <w:bCs/>
                <w:spacing w:val="-2"/>
                <w:position w:val="-2"/>
              </w:rPr>
              <w:t>B</w:t>
            </w:r>
          </w:p>
        </w:tc>
        <w:tc>
          <w:tcPr>
            <w:tcW w:w="219" w:type="dxa"/>
            <w:vAlign w:val="top"/>
          </w:tcPr>
          <w:p w14:paraId="062B2B5B">
            <w:pPr>
              <w:pStyle w:val="6"/>
              <w:spacing w:before="59" w:line="141" w:lineRule="exact"/>
              <w:ind w:left="61"/>
            </w:pPr>
            <w:r>
              <w:rPr>
                <w:b/>
                <w:bCs/>
                <w:spacing w:val="-2"/>
                <w:position w:val="-2"/>
              </w:rPr>
              <w:t>C</w:t>
            </w:r>
          </w:p>
        </w:tc>
        <w:tc>
          <w:tcPr>
            <w:tcW w:w="245" w:type="dxa"/>
            <w:vAlign w:val="top"/>
          </w:tcPr>
          <w:p w14:paraId="03D4F816">
            <w:pPr>
              <w:pStyle w:val="6"/>
              <w:spacing w:before="62" w:line="138" w:lineRule="exact"/>
              <w:ind w:right="7"/>
              <w:jc w:val="right"/>
            </w:pPr>
            <w:r>
              <w:rPr>
                <w:b/>
                <w:bCs/>
                <w:spacing w:val="-2"/>
                <w:position w:val="-2"/>
              </w:rPr>
              <w:t>D</w:t>
            </w:r>
          </w:p>
        </w:tc>
      </w:tr>
      <w:tr w14:paraId="726C0A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0" w:hRule="atLeast"/>
        </w:trPr>
        <w:tc>
          <w:tcPr>
            <w:tcW w:w="733" w:type="dxa"/>
            <w:tcBorders>
              <w:bottom w:val="nil"/>
            </w:tcBorders>
            <w:vAlign w:val="top"/>
          </w:tcPr>
          <w:p w14:paraId="4D568A7A">
            <w:pPr>
              <w:pStyle w:val="6"/>
              <w:spacing w:before="46" w:line="199" w:lineRule="auto"/>
              <w:jc w:val="right"/>
            </w:pPr>
            <w:r>
              <w:rPr>
                <w:spacing w:val="-4"/>
              </w:rPr>
              <w:t>电动势</w:t>
            </w:r>
            <w:r>
              <w:rPr>
                <w:spacing w:val="-43"/>
              </w:rPr>
              <w:t xml:space="preserve"> </w:t>
            </w:r>
            <w:r>
              <w:rPr>
                <w:spacing w:val="-4"/>
              </w:rPr>
              <w:t>、</w:t>
            </w:r>
          </w:p>
        </w:tc>
        <w:tc>
          <w:tcPr>
            <w:tcW w:w="2474" w:type="dxa"/>
            <w:tcBorders>
              <w:bottom w:val="nil"/>
            </w:tcBorders>
            <w:vAlign w:val="top"/>
          </w:tcPr>
          <w:p w14:paraId="5436A908">
            <w:pPr>
              <w:pStyle w:val="6"/>
              <w:spacing w:before="27" w:line="219" w:lineRule="auto"/>
              <w:ind w:left="12"/>
            </w:pPr>
            <w:r>
              <w:rPr>
                <w:spacing w:val="-4"/>
              </w:rPr>
              <w:t>1.</w:t>
            </w:r>
            <w:r>
              <w:rPr>
                <w:spacing w:val="-50"/>
              </w:rPr>
              <w:t xml:space="preserve"> </w:t>
            </w:r>
            <w:r>
              <w:rPr>
                <w:spacing w:val="-4"/>
              </w:rPr>
              <w:t>电动势</w:t>
            </w:r>
          </w:p>
        </w:tc>
        <w:tc>
          <w:tcPr>
            <w:tcW w:w="239" w:type="dxa"/>
            <w:tcBorders>
              <w:bottom w:val="nil"/>
            </w:tcBorders>
            <w:vAlign w:val="top"/>
          </w:tcPr>
          <w:p w14:paraId="754F2D1B">
            <w:pPr>
              <w:spacing w:line="230" w:lineRule="exact"/>
              <w:rPr>
                <w:rFonts w:ascii="Arial"/>
                <w:sz w:val="20"/>
              </w:rPr>
            </w:pPr>
          </w:p>
        </w:tc>
        <w:tc>
          <w:tcPr>
            <w:tcW w:w="220" w:type="dxa"/>
            <w:tcBorders>
              <w:bottom w:val="nil"/>
            </w:tcBorders>
            <w:vAlign w:val="top"/>
          </w:tcPr>
          <w:p w14:paraId="5D1BD0F5">
            <w:pPr>
              <w:spacing w:before="49" w:line="140" w:lineRule="exact"/>
              <w:ind w:firstLine="41"/>
            </w:pPr>
            <w:r>
              <w:rPr>
                <w:position w:val="-2"/>
              </w:rPr>
              <w:drawing>
                <wp:inline distT="0" distB="0" distL="0" distR="0">
                  <wp:extent cx="80010" cy="88265"/>
                  <wp:effectExtent l="0" t="0" r="0" b="0"/>
                  <wp:docPr id="416" name="IM 416"/>
                  <wp:cNvGraphicFramePr/>
                  <a:graphic xmlns:a="http://schemas.openxmlformats.org/drawingml/2006/main">
                    <a:graphicData uri="http://schemas.openxmlformats.org/drawingml/2006/picture">
                      <pic:pic xmlns:pic="http://schemas.openxmlformats.org/drawingml/2006/picture">
                        <pic:nvPicPr>
                          <pic:cNvPr id="416" name="IM 416"/>
                          <pic:cNvPicPr/>
                        </pic:nvPicPr>
                        <pic:blipFill>
                          <a:blip r:embed="rId372"/>
                          <a:stretch>
                            <a:fillRect/>
                          </a:stretch>
                        </pic:blipFill>
                        <pic:spPr>
                          <a:xfrm>
                            <a:off x="0" y="0"/>
                            <a:ext cx="80581" cy="88882"/>
                          </a:xfrm>
                          <a:prstGeom prst="rect">
                            <a:avLst/>
                          </a:prstGeom>
                        </pic:spPr>
                      </pic:pic>
                    </a:graphicData>
                  </a:graphic>
                </wp:inline>
              </w:drawing>
            </w:r>
          </w:p>
        </w:tc>
        <w:tc>
          <w:tcPr>
            <w:tcW w:w="219" w:type="dxa"/>
            <w:tcBorders>
              <w:bottom w:val="nil"/>
            </w:tcBorders>
            <w:vAlign w:val="top"/>
          </w:tcPr>
          <w:p w14:paraId="5C0D1CDF">
            <w:pPr>
              <w:spacing w:line="230" w:lineRule="exact"/>
              <w:rPr>
                <w:rFonts w:ascii="Arial"/>
                <w:sz w:val="20"/>
              </w:rPr>
            </w:pPr>
          </w:p>
        </w:tc>
        <w:tc>
          <w:tcPr>
            <w:tcW w:w="245" w:type="dxa"/>
            <w:tcBorders>
              <w:bottom w:val="nil"/>
            </w:tcBorders>
            <w:vAlign w:val="top"/>
          </w:tcPr>
          <w:p w14:paraId="7F210B53">
            <w:pPr>
              <w:spacing w:line="230" w:lineRule="exact"/>
              <w:rPr>
                <w:rFonts w:ascii="Arial"/>
                <w:sz w:val="20"/>
              </w:rPr>
            </w:pPr>
          </w:p>
        </w:tc>
      </w:tr>
      <w:tr w14:paraId="15ED6F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5" w:hRule="atLeast"/>
        </w:trPr>
        <w:tc>
          <w:tcPr>
            <w:tcW w:w="733" w:type="dxa"/>
            <w:tcBorders>
              <w:top w:val="nil"/>
              <w:bottom w:val="nil"/>
            </w:tcBorders>
            <w:vAlign w:val="top"/>
          </w:tcPr>
          <w:p w14:paraId="2264491E">
            <w:pPr>
              <w:pStyle w:val="6"/>
              <w:spacing w:before="50" w:line="190" w:lineRule="auto"/>
              <w:ind w:left="105"/>
            </w:pPr>
            <w:r>
              <w:rPr>
                <w:spacing w:val="3"/>
              </w:rPr>
              <w:t>闭合电</w:t>
            </w:r>
          </w:p>
        </w:tc>
        <w:tc>
          <w:tcPr>
            <w:tcW w:w="2474" w:type="dxa"/>
            <w:tcBorders>
              <w:top w:val="nil"/>
              <w:bottom w:val="nil"/>
            </w:tcBorders>
            <w:vAlign w:val="top"/>
          </w:tcPr>
          <w:p w14:paraId="0565C90B">
            <w:pPr>
              <w:pStyle w:val="6"/>
              <w:spacing w:before="27" w:line="215" w:lineRule="auto"/>
              <w:ind w:left="12"/>
            </w:pPr>
            <w:r>
              <w:rPr>
                <w:spacing w:val="-1"/>
              </w:rPr>
              <w:t>2.闭合电路欧姆定律</w:t>
            </w:r>
          </w:p>
        </w:tc>
        <w:tc>
          <w:tcPr>
            <w:tcW w:w="239" w:type="dxa"/>
            <w:tcBorders>
              <w:top w:val="nil"/>
              <w:bottom w:val="nil"/>
            </w:tcBorders>
            <w:vAlign w:val="top"/>
          </w:tcPr>
          <w:p w14:paraId="02A07A44">
            <w:pPr>
              <w:spacing w:line="225" w:lineRule="exact"/>
              <w:rPr>
                <w:rFonts w:ascii="Arial"/>
                <w:sz w:val="19"/>
              </w:rPr>
            </w:pPr>
          </w:p>
        </w:tc>
        <w:tc>
          <w:tcPr>
            <w:tcW w:w="220" w:type="dxa"/>
            <w:tcBorders>
              <w:top w:val="nil"/>
              <w:bottom w:val="nil"/>
            </w:tcBorders>
            <w:vAlign w:val="top"/>
          </w:tcPr>
          <w:p w14:paraId="079CCE94">
            <w:pPr>
              <w:spacing w:line="225" w:lineRule="exact"/>
              <w:rPr>
                <w:rFonts w:ascii="Arial"/>
                <w:sz w:val="19"/>
              </w:rPr>
            </w:pPr>
          </w:p>
        </w:tc>
        <w:tc>
          <w:tcPr>
            <w:tcW w:w="219" w:type="dxa"/>
            <w:tcBorders>
              <w:top w:val="nil"/>
              <w:bottom w:val="nil"/>
            </w:tcBorders>
            <w:vAlign w:val="top"/>
          </w:tcPr>
          <w:p w14:paraId="449A3C3C">
            <w:pPr>
              <w:spacing w:line="225" w:lineRule="exact"/>
              <w:rPr>
                <w:rFonts w:ascii="Arial"/>
                <w:sz w:val="19"/>
              </w:rPr>
            </w:pPr>
          </w:p>
        </w:tc>
        <w:tc>
          <w:tcPr>
            <w:tcW w:w="245" w:type="dxa"/>
            <w:tcBorders>
              <w:top w:val="nil"/>
              <w:bottom w:val="nil"/>
            </w:tcBorders>
            <w:vAlign w:val="top"/>
          </w:tcPr>
          <w:p w14:paraId="4AF4C21E">
            <w:pPr>
              <w:spacing w:line="225" w:lineRule="exact"/>
              <w:rPr>
                <w:rFonts w:ascii="Arial"/>
                <w:sz w:val="19"/>
              </w:rPr>
            </w:pPr>
          </w:p>
        </w:tc>
      </w:tr>
      <w:tr w14:paraId="1EC73E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3" w:hRule="atLeast"/>
        </w:trPr>
        <w:tc>
          <w:tcPr>
            <w:tcW w:w="733" w:type="dxa"/>
            <w:tcBorders>
              <w:top w:val="nil"/>
            </w:tcBorders>
            <w:vAlign w:val="top"/>
          </w:tcPr>
          <w:p w14:paraId="3C64BBB2">
            <w:pPr>
              <w:pStyle w:val="6"/>
              <w:spacing w:before="42" w:line="223" w:lineRule="auto"/>
              <w:ind w:left="184" w:right="115" w:hanging="79"/>
            </w:pPr>
            <w:r>
              <w:rPr>
                <w:spacing w:val="-3"/>
              </w:rPr>
              <w:t>路欧姆</w:t>
            </w:r>
            <w:r>
              <w:t xml:space="preserve"> </w:t>
            </w:r>
            <w:r>
              <w:rPr>
                <w:spacing w:val="-3"/>
              </w:rPr>
              <w:t>定律</w:t>
            </w:r>
          </w:p>
        </w:tc>
        <w:tc>
          <w:tcPr>
            <w:tcW w:w="2474" w:type="dxa"/>
            <w:tcBorders>
              <w:top w:val="nil"/>
            </w:tcBorders>
            <w:vAlign w:val="top"/>
          </w:tcPr>
          <w:p w14:paraId="4E52A633">
            <w:pPr>
              <w:pStyle w:val="6"/>
              <w:spacing w:before="21" w:line="217" w:lineRule="auto"/>
              <w:ind w:left="12"/>
            </w:pPr>
            <w:r>
              <w:rPr>
                <w:spacing w:val="-2"/>
              </w:rPr>
              <w:t>3.路端电压</w:t>
            </w:r>
          </w:p>
          <w:p w14:paraId="2B68CCEE">
            <w:pPr>
              <w:pStyle w:val="6"/>
              <w:spacing w:line="219" w:lineRule="auto"/>
              <w:ind w:left="12"/>
            </w:pPr>
            <w:r>
              <w:rPr>
                <w:spacing w:val="-1"/>
              </w:rPr>
              <w:t>4.电源向负载输出的功率</w:t>
            </w:r>
          </w:p>
        </w:tc>
        <w:tc>
          <w:tcPr>
            <w:tcW w:w="239" w:type="dxa"/>
            <w:tcBorders>
              <w:top w:val="nil"/>
            </w:tcBorders>
            <w:vAlign w:val="top"/>
          </w:tcPr>
          <w:p w14:paraId="7D3435F4">
            <w:pPr>
              <w:rPr>
                <w:rFonts w:ascii="Arial"/>
                <w:sz w:val="21"/>
              </w:rPr>
            </w:pPr>
          </w:p>
        </w:tc>
        <w:tc>
          <w:tcPr>
            <w:tcW w:w="220" w:type="dxa"/>
            <w:tcBorders>
              <w:top w:val="nil"/>
            </w:tcBorders>
            <w:vAlign w:val="top"/>
          </w:tcPr>
          <w:p w14:paraId="5D186DC9">
            <w:pPr>
              <w:rPr>
                <w:rFonts w:ascii="Arial"/>
                <w:sz w:val="21"/>
              </w:rPr>
            </w:pPr>
          </w:p>
        </w:tc>
        <w:tc>
          <w:tcPr>
            <w:tcW w:w="219" w:type="dxa"/>
            <w:tcBorders>
              <w:top w:val="nil"/>
            </w:tcBorders>
            <w:vAlign w:val="top"/>
          </w:tcPr>
          <w:p w14:paraId="69F8B09D">
            <w:pPr>
              <w:rPr>
                <w:rFonts w:ascii="Arial"/>
                <w:sz w:val="21"/>
              </w:rPr>
            </w:pPr>
          </w:p>
        </w:tc>
        <w:tc>
          <w:tcPr>
            <w:tcW w:w="245" w:type="dxa"/>
            <w:tcBorders>
              <w:top w:val="nil"/>
            </w:tcBorders>
            <w:vAlign w:val="top"/>
          </w:tcPr>
          <w:p w14:paraId="18367AC7">
            <w:pPr>
              <w:rPr>
                <w:rFonts w:ascii="Arial"/>
                <w:sz w:val="21"/>
              </w:rPr>
            </w:pPr>
          </w:p>
        </w:tc>
      </w:tr>
      <w:tr w14:paraId="761256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9" w:hRule="atLeast"/>
        </w:trPr>
        <w:tc>
          <w:tcPr>
            <w:tcW w:w="733" w:type="dxa"/>
            <w:vAlign w:val="top"/>
          </w:tcPr>
          <w:p w14:paraId="5EEE7FD2">
            <w:pPr>
              <w:pStyle w:val="6"/>
              <w:spacing w:before="134" w:line="225" w:lineRule="auto"/>
              <w:ind w:left="105"/>
            </w:pPr>
            <w:r>
              <w:rPr>
                <w:spacing w:val="1"/>
              </w:rPr>
              <w:t>电池组</w:t>
            </w:r>
          </w:p>
        </w:tc>
        <w:tc>
          <w:tcPr>
            <w:tcW w:w="2474" w:type="dxa"/>
            <w:vAlign w:val="top"/>
          </w:tcPr>
          <w:p w14:paraId="084C2111">
            <w:pPr>
              <w:pStyle w:val="6"/>
              <w:spacing w:before="39" w:line="206" w:lineRule="auto"/>
              <w:ind w:left="12" w:right="1425"/>
            </w:pPr>
            <w:r>
              <w:t>1.电池的串联</w:t>
            </w:r>
            <w:r>
              <w:rPr>
                <w:spacing w:val="5"/>
              </w:rPr>
              <w:t xml:space="preserve"> </w:t>
            </w:r>
            <w:r>
              <w:rPr>
                <w:spacing w:val="-1"/>
              </w:rPr>
              <w:t>2.电池的并联</w:t>
            </w:r>
          </w:p>
        </w:tc>
        <w:tc>
          <w:tcPr>
            <w:tcW w:w="239" w:type="dxa"/>
            <w:vAlign w:val="top"/>
          </w:tcPr>
          <w:p w14:paraId="37C5DABF">
            <w:pPr>
              <w:rPr>
                <w:rFonts w:ascii="Arial"/>
                <w:sz w:val="21"/>
              </w:rPr>
            </w:pPr>
          </w:p>
        </w:tc>
        <w:tc>
          <w:tcPr>
            <w:tcW w:w="220" w:type="dxa"/>
            <w:vAlign w:val="top"/>
          </w:tcPr>
          <w:p w14:paraId="2DCF8B22">
            <w:pPr>
              <w:rPr>
                <w:rFonts w:ascii="Arial"/>
                <w:sz w:val="21"/>
              </w:rPr>
            </w:pPr>
          </w:p>
        </w:tc>
        <w:tc>
          <w:tcPr>
            <w:tcW w:w="219" w:type="dxa"/>
            <w:vAlign w:val="top"/>
          </w:tcPr>
          <w:p w14:paraId="7A751A91">
            <w:pPr>
              <w:rPr>
                <w:rFonts w:ascii="Arial"/>
                <w:sz w:val="21"/>
              </w:rPr>
            </w:pPr>
          </w:p>
        </w:tc>
        <w:tc>
          <w:tcPr>
            <w:tcW w:w="245" w:type="dxa"/>
            <w:vAlign w:val="top"/>
          </w:tcPr>
          <w:p w14:paraId="70D4E7F4">
            <w:pPr>
              <w:rPr>
                <w:rFonts w:ascii="Arial"/>
                <w:sz w:val="21"/>
              </w:rPr>
            </w:pPr>
          </w:p>
        </w:tc>
      </w:tr>
      <w:tr w14:paraId="4B1D3C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9" w:hRule="atLeast"/>
        </w:trPr>
        <w:tc>
          <w:tcPr>
            <w:tcW w:w="733" w:type="dxa"/>
            <w:vAlign w:val="top"/>
          </w:tcPr>
          <w:p w14:paraId="61B787FE">
            <w:pPr>
              <w:pStyle w:val="6"/>
              <w:spacing w:before="41" w:line="205" w:lineRule="auto"/>
              <w:ind w:left="184" w:right="94" w:hanging="79"/>
            </w:pPr>
            <w:r>
              <w:rPr>
                <w:spacing w:val="4"/>
              </w:rPr>
              <w:t>电阻的</w:t>
            </w:r>
            <w:r>
              <w:t xml:space="preserve"> </w:t>
            </w:r>
            <w:r>
              <w:rPr>
                <w:spacing w:val="3"/>
              </w:rPr>
              <w:t>串联</w:t>
            </w:r>
          </w:p>
        </w:tc>
        <w:tc>
          <w:tcPr>
            <w:tcW w:w="2474" w:type="dxa"/>
            <w:vAlign w:val="top"/>
          </w:tcPr>
          <w:p w14:paraId="477565E7">
            <w:pPr>
              <w:pStyle w:val="6"/>
              <w:spacing w:before="30" w:line="211" w:lineRule="auto"/>
              <w:ind w:left="12" w:right="1255"/>
            </w:pPr>
            <w:r>
              <w:t>1.电阻串联电路</w:t>
            </w:r>
            <w:r>
              <w:rPr>
                <w:spacing w:val="5"/>
              </w:rPr>
              <w:t xml:space="preserve"> </w:t>
            </w:r>
            <w:r>
              <w:rPr>
                <w:spacing w:val="-2"/>
              </w:rPr>
              <w:t>2.伏特表</w:t>
            </w:r>
          </w:p>
        </w:tc>
        <w:tc>
          <w:tcPr>
            <w:tcW w:w="239" w:type="dxa"/>
            <w:vAlign w:val="top"/>
          </w:tcPr>
          <w:p w14:paraId="2E627671">
            <w:pPr>
              <w:rPr>
                <w:rFonts w:ascii="Arial"/>
                <w:sz w:val="21"/>
              </w:rPr>
            </w:pPr>
          </w:p>
        </w:tc>
        <w:tc>
          <w:tcPr>
            <w:tcW w:w="220" w:type="dxa"/>
            <w:vAlign w:val="top"/>
          </w:tcPr>
          <w:p w14:paraId="0177E91A">
            <w:pPr>
              <w:rPr>
                <w:rFonts w:ascii="Arial"/>
                <w:sz w:val="21"/>
              </w:rPr>
            </w:pPr>
          </w:p>
        </w:tc>
        <w:tc>
          <w:tcPr>
            <w:tcW w:w="219" w:type="dxa"/>
            <w:vAlign w:val="top"/>
          </w:tcPr>
          <w:p w14:paraId="534749EF">
            <w:pPr>
              <w:rPr>
                <w:rFonts w:ascii="Arial"/>
                <w:sz w:val="21"/>
              </w:rPr>
            </w:pPr>
          </w:p>
        </w:tc>
        <w:tc>
          <w:tcPr>
            <w:tcW w:w="245" w:type="dxa"/>
            <w:vAlign w:val="top"/>
          </w:tcPr>
          <w:p w14:paraId="65D21D0C">
            <w:pPr>
              <w:rPr>
                <w:rFonts w:ascii="Arial"/>
                <w:sz w:val="21"/>
              </w:rPr>
            </w:pPr>
          </w:p>
        </w:tc>
      </w:tr>
      <w:tr w14:paraId="2E8B1D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9" w:hRule="atLeast"/>
        </w:trPr>
        <w:tc>
          <w:tcPr>
            <w:tcW w:w="733" w:type="dxa"/>
            <w:vAlign w:val="top"/>
          </w:tcPr>
          <w:p w14:paraId="212CB840">
            <w:pPr>
              <w:pStyle w:val="6"/>
              <w:spacing w:before="51" w:line="205" w:lineRule="auto"/>
              <w:ind w:left="184" w:right="94" w:hanging="79"/>
            </w:pPr>
            <w:r>
              <w:rPr>
                <w:spacing w:val="4"/>
              </w:rPr>
              <w:t>电阻的</w:t>
            </w:r>
            <w:r>
              <w:t xml:space="preserve"> </w:t>
            </w:r>
            <w:r>
              <w:rPr>
                <w:spacing w:val="-3"/>
              </w:rPr>
              <w:t>并联</w:t>
            </w:r>
          </w:p>
        </w:tc>
        <w:tc>
          <w:tcPr>
            <w:tcW w:w="2474" w:type="dxa"/>
            <w:vAlign w:val="top"/>
          </w:tcPr>
          <w:p w14:paraId="0E432294">
            <w:pPr>
              <w:pStyle w:val="6"/>
              <w:spacing w:before="40" w:line="211" w:lineRule="auto"/>
              <w:ind w:left="12" w:right="1255"/>
            </w:pPr>
            <w:r>
              <w:t>1.电阻并联电路</w:t>
            </w:r>
            <w:r>
              <w:rPr>
                <w:spacing w:val="5"/>
              </w:rPr>
              <w:t xml:space="preserve"> </w:t>
            </w:r>
            <w:r>
              <w:rPr>
                <w:spacing w:val="-2"/>
              </w:rPr>
              <w:t>2.安培表</w:t>
            </w:r>
          </w:p>
        </w:tc>
        <w:tc>
          <w:tcPr>
            <w:tcW w:w="239" w:type="dxa"/>
            <w:vAlign w:val="top"/>
          </w:tcPr>
          <w:p w14:paraId="3F12FD8F">
            <w:pPr>
              <w:rPr>
                <w:rFonts w:ascii="Arial"/>
                <w:sz w:val="21"/>
              </w:rPr>
            </w:pPr>
          </w:p>
        </w:tc>
        <w:tc>
          <w:tcPr>
            <w:tcW w:w="220" w:type="dxa"/>
            <w:vAlign w:val="top"/>
          </w:tcPr>
          <w:p w14:paraId="776164CD">
            <w:pPr>
              <w:rPr>
                <w:rFonts w:ascii="Arial"/>
                <w:sz w:val="21"/>
              </w:rPr>
            </w:pPr>
          </w:p>
        </w:tc>
        <w:tc>
          <w:tcPr>
            <w:tcW w:w="219" w:type="dxa"/>
            <w:vAlign w:val="top"/>
          </w:tcPr>
          <w:p w14:paraId="587E8AD0">
            <w:pPr>
              <w:rPr>
                <w:rFonts w:ascii="Arial"/>
                <w:sz w:val="21"/>
              </w:rPr>
            </w:pPr>
          </w:p>
        </w:tc>
        <w:tc>
          <w:tcPr>
            <w:tcW w:w="245" w:type="dxa"/>
            <w:vAlign w:val="top"/>
          </w:tcPr>
          <w:p w14:paraId="6C017E7A">
            <w:pPr>
              <w:rPr>
                <w:rFonts w:ascii="Arial"/>
                <w:sz w:val="21"/>
              </w:rPr>
            </w:pPr>
          </w:p>
        </w:tc>
      </w:tr>
      <w:tr w14:paraId="513C22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27" w:hRule="atLeast"/>
        </w:trPr>
        <w:tc>
          <w:tcPr>
            <w:tcW w:w="733" w:type="dxa"/>
            <w:vAlign w:val="top"/>
          </w:tcPr>
          <w:p w14:paraId="456BC972">
            <w:pPr>
              <w:spacing w:line="404" w:lineRule="auto"/>
              <w:rPr>
                <w:rFonts w:ascii="Arial"/>
                <w:sz w:val="21"/>
              </w:rPr>
            </w:pPr>
          </w:p>
          <w:p w14:paraId="03D86547">
            <w:pPr>
              <w:pStyle w:val="6"/>
              <w:spacing w:before="56" w:line="220" w:lineRule="auto"/>
              <w:ind w:left="15"/>
            </w:pPr>
            <w:r>
              <w:rPr>
                <w:spacing w:val="-3"/>
              </w:rPr>
              <w:t>万用电表</w:t>
            </w:r>
          </w:p>
          <w:p w14:paraId="4CEE9217">
            <w:pPr>
              <w:pStyle w:val="6"/>
              <w:spacing w:before="35" w:line="219" w:lineRule="auto"/>
              <w:ind w:left="105"/>
            </w:pPr>
            <w:r>
              <w:rPr>
                <w:spacing w:val="2"/>
              </w:rPr>
              <w:t>的基本</w:t>
            </w:r>
          </w:p>
          <w:p w14:paraId="11F89893">
            <w:pPr>
              <w:pStyle w:val="6"/>
              <w:spacing w:before="22" w:line="224" w:lineRule="auto"/>
              <w:ind w:left="184"/>
            </w:pPr>
            <w:r>
              <w:rPr>
                <w:spacing w:val="-3"/>
              </w:rPr>
              <w:t>原理</w:t>
            </w:r>
          </w:p>
        </w:tc>
        <w:tc>
          <w:tcPr>
            <w:tcW w:w="2474" w:type="dxa"/>
            <w:vAlign w:val="top"/>
          </w:tcPr>
          <w:p w14:paraId="2122469D">
            <w:pPr>
              <w:pStyle w:val="6"/>
              <w:spacing w:before="42" w:line="219" w:lineRule="auto"/>
              <w:ind w:left="12"/>
            </w:pPr>
            <w:r>
              <w:rPr>
                <w:spacing w:val="2"/>
              </w:rPr>
              <w:t>1.表头</w:t>
            </w:r>
          </w:p>
          <w:p w14:paraId="32C004B7">
            <w:pPr>
              <w:pStyle w:val="6"/>
              <w:spacing w:before="10" w:line="237" w:lineRule="auto"/>
              <w:ind w:left="12" w:right="1267"/>
            </w:pPr>
            <w:r>
              <w:rPr>
                <w:spacing w:val="-2"/>
              </w:rPr>
              <w:t>2.直流电压测量</w:t>
            </w:r>
            <w:r>
              <w:rPr>
                <w:spacing w:val="6"/>
              </w:rPr>
              <w:t xml:space="preserve"> </w:t>
            </w:r>
            <w:r>
              <w:rPr>
                <w:spacing w:val="-2"/>
              </w:rPr>
              <w:t>3.交流电压测量</w:t>
            </w:r>
            <w:r>
              <w:rPr>
                <w:spacing w:val="4"/>
              </w:rPr>
              <w:t xml:space="preserve"> </w:t>
            </w:r>
            <w:r>
              <w:rPr>
                <w:spacing w:val="-1"/>
              </w:rPr>
              <w:t>4.直流电流测量</w:t>
            </w:r>
            <w:r>
              <w:rPr>
                <w:spacing w:val="1"/>
              </w:rPr>
              <w:t xml:space="preserve"> </w:t>
            </w:r>
            <w:r>
              <w:rPr>
                <w:spacing w:val="-2"/>
              </w:rPr>
              <w:t>5.交流电流测量</w:t>
            </w:r>
            <w:r>
              <w:rPr>
                <w:spacing w:val="4"/>
              </w:rPr>
              <w:t xml:space="preserve"> </w:t>
            </w:r>
            <w:r>
              <w:rPr>
                <w:spacing w:val="-1"/>
              </w:rPr>
              <w:t>6.欧姆表</w:t>
            </w:r>
          </w:p>
          <w:p w14:paraId="78B531F1">
            <w:pPr>
              <w:pStyle w:val="6"/>
              <w:spacing w:before="7" w:line="179" w:lineRule="auto"/>
              <w:ind w:left="12"/>
            </w:pPr>
            <w:r>
              <w:t>7.使用万用表注意事项</w:t>
            </w:r>
          </w:p>
        </w:tc>
        <w:tc>
          <w:tcPr>
            <w:tcW w:w="239" w:type="dxa"/>
            <w:vAlign w:val="top"/>
          </w:tcPr>
          <w:p w14:paraId="196E7C55">
            <w:pPr>
              <w:rPr>
                <w:rFonts w:ascii="Arial"/>
                <w:sz w:val="21"/>
              </w:rPr>
            </w:pPr>
          </w:p>
        </w:tc>
        <w:tc>
          <w:tcPr>
            <w:tcW w:w="220" w:type="dxa"/>
            <w:vAlign w:val="top"/>
          </w:tcPr>
          <w:p w14:paraId="627F435A">
            <w:pPr>
              <w:rPr>
                <w:rFonts w:ascii="Arial"/>
                <w:sz w:val="21"/>
              </w:rPr>
            </w:pPr>
          </w:p>
        </w:tc>
        <w:tc>
          <w:tcPr>
            <w:tcW w:w="219" w:type="dxa"/>
            <w:vAlign w:val="top"/>
          </w:tcPr>
          <w:p w14:paraId="5B50DC3B">
            <w:pPr>
              <w:rPr>
                <w:rFonts w:ascii="Arial"/>
                <w:sz w:val="21"/>
              </w:rPr>
            </w:pPr>
          </w:p>
        </w:tc>
        <w:tc>
          <w:tcPr>
            <w:tcW w:w="245" w:type="dxa"/>
            <w:vAlign w:val="top"/>
          </w:tcPr>
          <w:p w14:paraId="7B5A4F4B">
            <w:pPr>
              <w:rPr>
                <w:rFonts w:ascii="Arial"/>
                <w:sz w:val="21"/>
              </w:rPr>
            </w:pPr>
          </w:p>
        </w:tc>
      </w:tr>
      <w:tr w14:paraId="3BD03A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733" w:type="dxa"/>
            <w:vAlign w:val="top"/>
          </w:tcPr>
          <w:p w14:paraId="1710EB90">
            <w:pPr>
              <w:pStyle w:val="6"/>
              <w:spacing w:before="55" w:line="208" w:lineRule="auto"/>
              <w:ind w:left="184" w:right="94" w:hanging="79"/>
            </w:pPr>
            <w:r>
              <w:rPr>
                <w:spacing w:val="4"/>
              </w:rPr>
              <w:t>电阻的</w:t>
            </w:r>
            <w:r>
              <w:t xml:space="preserve"> </w:t>
            </w:r>
            <w:r>
              <w:rPr>
                <w:spacing w:val="-2"/>
              </w:rPr>
              <w:t>测量</w:t>
            </w:r>
          </w:p>
        </w:tc>
        <w:tc>
          <w:tcPr>
            <w:tcW w:w="2474" w:type="dxa"/>
            <w:vAlign w:val="top"/>
          </w:tcPr>
          <w:p w14:paraId="3CCE5F4E">
            <w:pPr>
              <w:pStyle w:val="6"/>
              <w:spacing w:before="54" w:line="218" w:lineRule="auto"/>
              <w:ind w:left="12"/>
            </w:pPr>
            <w:r>
              <w:rPr>
                <w:spacing w:val="1"/>
              </w:rPr>
              <w:t>1.伏安法</w:t>
            </w:r>
          </w:p>
          <w:p w14:paraId="203CD77D">
            <w:pPr>
              <w:pStyle w:val="6"/>
              <w:spacing w:line="199" w:lineRule="auto"/>
              <w:ind w:left="12"/>
            </w:pPr>
            <w:r>
              <w:rPr>
                <w:spacing w:val="-1"/>
              </w:rPr>
              <w:t>2.惠斯通电桥</w:t>
            </w:r>
          </w:p>
        </w:tc>
        <w:tc>
          <w:tcPr>
            <w:tcW w:w="239" w:type="dxa"/>
            <w:vAlign w:val="top"/>
          </w:tcPr>
          <w:p w14:paraId="3F275E59">
            <w:pPr>
              <w:rPr>
                <w:rFonts w:ascii="Arial"/>
                <w:sz w:val="21"/>
              </w:rPr>
            </w:pPr>
          </w:p>
        </w:tc>
        <w:tc>
          <w:tcPr>
            <w:tcW w:w="220" w:type="dxa"/>
            <w:vAlign w:val="top"/>
          </w:tcPr>
          <w:p w14:paraId="30804BF2">
            <w:pPr>
              <w:rPr>
                <w:rFonts w:ascii="Arial"/>
                <w:sz w:val="21"/>
              </w:rPr>
            </w:pPr>
          </w:p>
        </w:tc>
        <w:tc>
          <w:tcPr>
            <w:tcW w:w="219" w:type="dxa"/>
            <w:vAlign w:val="top"/>
          </w:tcPr>
          <w:p w14:paraId="45F3F348">
            <w:pPr>
              <w:rPr>
                <w:rFonts w:ascii="Arial"/>
                <w:sz w:val="21"/>
              </w:rPr>
            </w:pPr>
          </w:p>
        </w:tc>
        <w:tc>
          <w:tcPr>
            <w:tcW w:w="245" w:type="dxa"/>
            <w:vAlign w:val="top"/>
          </w:tcPr>
          <w:p w14:paraId="49E85BA4">
            <w:pPr>
              <w:rPr>
                <w:rFonts w:ascii="Arial"/>
                <w:sz w:val="21"/>
              </w:rPr>
            </w:pPr>
          </w:p>
        </w:tc>
      </w:tr>
      <w:tr w14:paraId="6AC555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53" w:hRule="atLeast"/>
        </w:trPr>
        <w:tc>
          <w:tcPr>
            <w:tcW w:w="733" w:type="dxa"/>
            <w:vAlign w:val="top"/>
          </w:tcPr>
          <w:p w14:paraId="28DA6192">
            <w:pPr>
              <w:pStyle w:val="6"/>
              <w:spacing w:before="45" w:line="195" w:lineRule="auto"/>
              <w:ind w:left="105" w:right="89"/>
              <w:rPr>
                <w:sz w:val="16"/>
                <w:szCs w:val="16"/>
              </w:rPr>
            </w:pPr>
            <w:r>
              <w:rPr>
                <w:spacing w:val="6"/>
              </w:rPr>
              <w:t>电路中</w:t>
            </w:r>
            <w:r>
              <w:t xml:space="preserve"> </w:t>
            </w:r>
            <w:r>
              <w:rPr>
                <w:spacing w:val="-3"/>
              </w:rPr>
              <w:t>各点电</w:t>
            </w:r>
            <w:r>
              <w:t xml:space="preserve"> </w:t>
            </w:r>
            <w:r>
              <w:rPr>
                <w:spacing w:val="27"/>
                <w:sz w:val="16"/>
                <w:szCs w:val="16"/>
              </w:rPr>
              <w:t>位</w:t>
            </w:r>
            <w:r>
              <w:rPr>
                <w:spacing w:val="-22"/>
                <w:sz w:val="16"/>
                <w:szCs w:val="16"/>
              </w:rPr>
              <w:t xml:space="preserve"> </w:t>
            </w:r>
            <w:r>
              <w:rPr>
                <w:spacing w:val="27"/>
                <w:sz w:val="16"/>
                <w:szCs w:val="16"/>
              </w:rPr>
              <w:t>的</w:t>
            </w:r>
            <w:r>
              <w:rPr>
                <w:sz w:val="16"/>
                <w:szCs w:val="16"/>
              </w:rPr>
              <w:t xml:space="preserve">  </w:t>
            </w:r>
            <w:r>
              <w:rPr>
                <w:spacing w:val="13"/>
                <w:w w:val="125"/>
                <w:sz w:val="16"/>
                <w:szCs w:val="16"/>
              </w:rPr>
              <w:t>计算</w:t>
            </w:r>
          </w:p>
        </w:tc>
        <w:tc>
          <w:tcPr>
            <w:tcW w:w="2474" w:type="dxa"/>
            <w:vAlign w:val="top"/>
          </w:tcPr>
          <w:p w14:paraId="00A84209">
            <w:pPr>
              <w:pStyle w:val="6"/>
              <w:spacing w:before="206" w:line="216" w:lineRule="auto"/>
              <w:ind w:left="12"/>
            </w:pPr>
            <w:r>
              <w:rPr>
                <w:spacing w:val="-5"/>
              </w:rPr>
              <w:t>1.</w:t>
            </w:r>
            <w:r>
              <w:rPr>
                <w:spacing w:val="-50"/>
              </w:rPr>
              <w:t xml:space="preserve"> </w:t>
            </w:r>
            <w:r>
              <w:rPr>
                <w:spacing w:val="-5"/>
              </w:rPr>
              <w:t>电位</w:t>
            </w:r>
          </w:p>
          <w:p w14:paraId="72316C9C">
            <w:pPr>
              <w:pStyle w:val="6"/>
              <w:spacing w:line="219" w:lineRule="auto"/>
              <w:ind w:left="12"/>
            </w:pPr>
            <w:r>
              <w:rPr>
                <w:spacing w:val="-1"/>
              </w:rPr>
              <w:t>2.电位计算</w:t>
            </w:r>
          </w:p>
        </w:tc>
        <w:tc>
          <w:tcPr>
            <w:tcW w:w="239" w:type="dxa"/>
            <w:vAlign w:val="top"/>
          </w:tcPr>
          <w:p w14:paraId="01AC5C85">
            <w:pPr>
              <w:rPr>
                <w:rFonts w:ascii="Arial"/>
                <w:sz w:val="21"/>
              </w:rPr>
            </w:pPr>
          </w:p>
        </w:tc>
        <w:tc>
          <w:tcPr>
            <w:tcW w:w="220" w:type="dxa"/>
            <w:vAlign w:val="top"/>
          </w:tcPr>
          <w:p w14:paraId="1A30809A">
            <w:pPr>
              <w:rPr>
                <w:rFonts w:ascii="Arial"/>
                <w:sz w:val="21"/>
              </w:rPr>
            </w:pPr>
          </w:p>
        </w:tc>
        <w:tc>
          <w:tcPr>
            <w:tcW w:w="219" w:type="dxa"/>
            <w:vAlign w:val="top"/>
          </w:tcPr>
          <w:p w14:paraId="2CFBB473">
            <w:pPr>
              <w:pStyle w:val="6"/>
              <w:spacing w:before="217" w:line="238" w:lineRule="auto"/>
              <w:ind w:left="39"/>
              <w:rPr>
                <w:sz w:val="13"/>
                <w:szCs w:val="13"/>
              </w:rPr>
            </w:pPr>
            <w:r>
              <w:rPr>
                <w:sz w:val="13"/>
                <w:szCs w:val="13"/>
              </w:rPr>
              <w:t>√</w:t>
            </w:r>
          </w:p>
        </w:tc>
        <w:tc>
          <w:tcPr>
            <w:tcW w:w="245" w:type="dxa"/>
            <w:vAlign w:val="top"/>
          </w:tcPr>
          <w:p w14:paraId="472DF977">
            <w:pPr>
              <w:spacing w:line="392" w:lineRule="auto"/>
              <w:rPr>
                <w:rFonts w:ascii="Arial"/>
                <w:sz w:val="21"/>
              </w:rPr>
            </w:pPr>
          </w:p>
          <w:p w14:paraId="7E2614A4">
            <w:pPr>
              <w:pStyle w:val="6"/>
              <w:spacing w:before="42" w:line="238" w:lineRule="auto"/>
              <w:ind w:left="30"/>
              <w:rPr>
                <w:sz w:val="13"/>
                <w:szCs w:val="13"/>
              </w:rPr>
            </w:pPr>
            <w:r>
              <w:rPr>
                <w:sz w:val="13"/>
                <w:szCs w:val="13"/>
              </w:rPr>
              <w:t>√</w:t>
            </w:r>
          </w:p>
        </w:tc>
      </w:tr>
    </w:tbl>
    <w:p w14:paraId="6C9A2E2A">
      <w:pPr>
        <w:spacing w:before="138" w:line="219" w:lineRule="auto"/>
        <w:ind w:left="1257"/>
        <w:rPr>
          <w:rFonts w:ascii="宋体" w:hAnsi="宋体" w:eastAsia="宋体" w:cs="宋体"/>
          <w:sz w:val="17"/>
          <w:szCs w:val="17"/>
        </w:rPr>
      </w:pPr>
      <w:r>
        <w:rPr>
          <w:rFonts w:ascii="宋体" w:hAnsi="宋体" w:eastAsia="宋体" w:cs="宋体"/>
          <w:b/>
          <w:bCs/>
          <w:spacing w:val="6"/>
          <w:sz w:val="17"/>
          <w:szCs w:val="17"/>
        </w:rPr>
        <w:t>第三章复杂直流电路</w:t>
      </w:r>
    </w:p>
    <w:p w14:paraId="5BFDE339">
      <w:pPr>
        <w:spacing w:line="90" w:lineRule="exact"/>
      </w:pPr>
    </w:p>
    <w:tbl>
      <w:tblPr>
        <w:tblStyle w:val="5"/>
        <w:tblW w:w="414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43"/>
        <w:gridCol w:w="2484"/>
        <w:gridCol w:w="230"/>
        <w:gridCol w:w="229"/>
        <w:gridCol w:w="220"/>
        <w:gridCol w:w="234"/>
      </w:tblGrid>
      <w:tr w14:paraId="2540D4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4" w:hRule="atLeast"/>
        </w:trPr>
        <w:tc>
          <w:tcPr>
            <w:tcW w:w="743" w:type="dxa"/>
            <w:vMerge w:val="restart"/>
            <w:tcBorders>
              <w:bottom w:val="nil"/>
            </w:tcBorders>
            <w:vAlign w:val="top"/>
          </w:tcPr>
          <w:p w14:paraId="05DA9453">
            <w:pPr>
              <w:pStyle w:val="6"/>
              <w:spacing w:before="21" w:line="218" w:lineRule="auto"/>
              <w:ind w:left="107" w:right="35" w:hanging="80"/>
            </w:pPr>
            <w:r>
              <w:rPr>
                <w:b/>
                <w:bCs/>
                <w:spacing w:val="-5"/>
              </w:rPr>
              <w:t>知识与技</w:t>
            </w:r>
            <w:r>
              <w:rPr>
                <w:spacing w:val="1"/>
              </w:rPr>
              <w:t xml:space="preserve"> </w:t>
            </w:r>
            <w:r>
              <w:rPr>
                <w:b/>
                <w:bCs/>
                <w:spacing w:val="1"/>
              </w:rPr>
              <w:t>能要点</w:t>
            </w:r>
          </w:p>
        </w:tc>
        <w:tc>
          <w:tcPr>
            <w:tcW w:w="2484" w:type="dxa"/>
            <w:vMerge w:val="restart"/>
            <w:tcBorders>
              <w:bottom w:val="nil"/>
            </w:tcBorders>
            <w:vAlign w:val="top"/>
          </w:tcPr>
          <w:p w14:paraId="64252990">
            <w:pPr>
              <w:pStyle w:val="6"/>
              <w:spacing w:before="129" w:line="219" w:lineRule="auto"/>
              <w:ind w:left="914"/>
            </w:pPr>
            <w:r>
              <w:rPr>
                <w:b/>
                <w:bCs/>
                <w:spacing w:val="5"/>
              </w:rPr>
              <w:t>考试条目</w:t>
            </w:r>
          </w:p>
        </w:tc>
        <w:tc>
          <w:tcPr>
            <w:tcW w:w="913" w:type="dxa"/>
            <w:gridSpan w:val="4"/>
            <w:vAlign w:val="top"/>
          </w:tcPr>
          <w:p w14:paraId="48FD6644">
            <w:pPr>
              <w:pStyle w:val="6"/>
              <w:spacing w:before="28" w:line="201" w:lineRule="auto"/>
              <w:ind w:left="120"/>
            </w:pPr>
            <w:r>
              <w:rPr>
                <w:b/>
                <w:bCs/>
                <w:spacing w:val="-4"/>
              </w:rPr>
              <w:t>考试水平</w:t>
            </w:r>
          </w:p>
        </w:tc>
      </w:tr>
      <w:tr w14:paraId="2C17F9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99" w:hRule="atLeast"/>
        </w:trPr>
        <w:tc>
          <w:tcPr>
            <w:tcW w:w="743" w:type="dxa"/>
            <w:vMerge w:val="continue"/>
            <w:tcBorders>
              <w:top w:val="nil"/>
            </w:tcBorders>
            <w:vAlign w:val="top"/>
          </w:tcPr>
          <w:p w14:paraId="4D75FAD7">
            <w:pPr>
              <w:rPr>
                <w:rFonts w:ascii="Arial"/>
                <w:sz w:val="21"/>
              </w:rPr>
            </w:pPr>
          </w:p>
        </w:tc>
        <w:tc>
          <w:tcPr>
            <w:tcW w:w="2484" w:type="dxa"/>
            <w:vMerge w:val="continue"/>
            <w:tcBorders>
              <w:top w:val="nil"/>
            </w:tcBorders>
            <w:vAlign w:val="top"/>
          </w:tcPr>
          <w:p w14:paraId="378601C0">
            <w:pPr>
              <w:rPr>
                <w:rFonts w:ascii="Arial"/>
                <w:sz w:val="21"/>
              </w:rPr>
            </w:pPr>
          </w:p>
        </w:tc>
        <w:tc>
          <w:tcPr>
            <w:tcW w:w="230" w:type="dxa"/>
            <w:vAlign w:val="top"/>
          </w:tcPr>
          <w:p w14:paraId="656C3DB0">
            <w:pPr>
              <w:pStyle w:val="6"/>
              <w:spacing w:before="60" w:line="129" w:lineRule="exact"/>
              <w:jc w:val="right"/>
            </w:pPr>
            <w:r>
              <w:rPr>
                <w:spacing w:val="-2"/>
                <w:w w:val="98"/>
                <w:position w:val="-2"/>
              </w:rPr>
              <w:t>A</w:t>
            </w:r>
          </w:p>
        </w:tc>
        <w:tc>
          <w:tcPr>
            <w:tcW w:w="229" w:type="dxa"/>
            <w:vAlign w:val="top"/>
          </w:tcPr>
          <w:p w14:paraId="2236FC5E">
            <w:pPr>
              <w:pStyle w:val="6"/>
              <w:spacing w:before="62" w:line="127" w:lineRule="exact"/>
              <w:ind w:left="70"/>
            </w:pPr>
            <w:r>
              <w:rPr>
                <w:b/>
                <w:bCs/>
                <w:spacing w:val="-2"/>
                <w:position w:val="-2"/>
              </w:rPr>
              <w:t>B</w:t>
            </w:r>
          </w:p>
        </w:tc>
        <w:tc>
          <w:tcPr>
            <w:tcW w:w="220" w:type="dxa"/>
            <w:vAlign w:val="top"/>
          </w:tcPr>
          <w:p w14:paraId="226215E7">
            <w:pPr>
              <w:pStyle w:val="6"/>
              <w:spacing w:before="61" w:line="128" w:lineRule="exact"/>
              <w:ind w:left="58"/>
            </w:pPr>
            <w:r>
              <w:rPr>
                <w:position w:val="-2"/>
              </w:rPr>
              <w:t>C</w:t>
            </w:r>
          </w:p>
        </w:tc>
        <w:tc>
          <w:tcPr>
            <w:tcW w:w="234" w:type="dxa"/>
            <w:vAlign w:val="top"/>
          </w:tcPr>
          <w:p w14:paraId="4C5AD2B7">
            <w:pPr>
              <w:pStyle w:val="6"/>
              <w:spacing w:before="62" w:line="127" w:lineRule="exact"/>
              <w:ind w:left="71"/>
            </w:pPr>
            <w:r>
              <w:rPr>
                <w:b/>
                <w:bCs/>
                <w:spacing w:val="-2"/>
                <w:position w:val="-2"/>
              </w:rPr>
              <w:t>D</w:t>
            </w:r>
          </w:p>
        </w:tc>
      </w:tr>
      <w:tr w14:paraId="63D372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8" w:hRule="atLeast"/>
        </w:trPr>
        <w:tc>
          <w:tcPr>
            <w:tcW w:w="743" w:type="dxa"/>
            <w:vAlign w:val="top"/>
          </w:tcPr>
          <w:p w14:paraId="187B3CE4">
            <w:pPr>
              <w:pStyle w:val="6"/>
              <w:spacing w:before="209" w:line="229" w:lineRule="auto"/>
              <w:ind w:left="105" w:right="124"/>
            </w:pPr>
            <w:r>
              <w:rPr>
                <w:spacing w:val="-3"/>
              </w:rPr>
              <w:t>基尔霍</w:t>
            </w:r>
            <w:r>
              <w:rPr>
                <w:spacing w:val="1"/>
              </w:rPr>
              <w:t xml:space="preserve"> </w:t>
            </w:r>
            <w:r>
              <w:rPr>
                <w:spacing w:val="-4"/>
              </w:rPr>
              <w:t>夫定律</w:t>
            </w:r>
          </w:p>
        </w:tc>
        <w:tc>
          <w:tcPr>
            <w:tcW w:w="2484" w:type="dxa"/>
            <w:vAlign w:val="top"/>
          </w:tcPr>
          <w:p w14:paraId="4EC1A24D">
            <w:pPr>
              <w:pStyle w:val="6"/>
              <w:spacing w:before="89" w:line="219" w:lineRule="auto"/>
              <w:ind w:left="2"/>
            </w:pPr>
            <w:r>
              <w:t>1.支路节点和回路</w:t>
            </w:r>
          </w:p>
          <w:p w14:paraId="35ADF793">
            <w:pPr>
              <w:pStyle w:val="6"/>
              <w:spacing w:before="18" w:line="229" w:lineRule="auto"/>
              <w:ind w:left="2" w:right="950"/>
            </w:pPr>
            <w:r>
              <w:rPr>
                <w:spacing w:val="-1"/>
              </w:rPr>
              <w:t>2.基尔霍夫电流定律</w:t>
            </w:r>
            <w:r>
              <w:t xml:space="preserve"> </w:t>
            </w:r>
            <w:r>
              <w:rPr>
                <w:spacing w:val="-2"/>
              </w:rPr>
              <w:t>3.基尔霍夫电压定律</w:t>
            </w:r>
          </w:p>
        </w:tc>
        <w:tc>
          <w:tcPr>
            <w:tcW w:w="230" w:type="dxa"/>
            <w:vAlign w:val="top"/>
          </w:tcPr>
          <w:p w14:paraId="125A52F7">
            <w:pPr>
              <w:rPr>
                <w:rFonts w:ascii="Arial"/>
                <w:sz w:val="21"/>
              </w:rPr>
            </w:pPr>
          </w:p>
        </w:tc>
        <w:tc>
          <w:tcPr>
            <w:tcW w:w="229" w:type="dxa"/>
            <w:vAlign w:val="top"/>
          </w:tcPr>
          <w:p w14:paraId="309A06FB">
            <w:pPr>
              <w:pStyle w:val="6"/>
              <w:spacing w:before="100" w:line="238" w:lineRule="auto"/>
              <w:ind w:left="48"/>
              <w:rPr>
                <w:sz w:val="13"/>
                <w:szCs w:val="13"/>
              </w:rPr>
            </w:pPr>
            <w:r>
              <w:rPr>
                <w:sz w:val="13"/>
                <w:szCs w:val="13"/>
              </w:rPr>
              <w:t>√</w:t>
            </w:r>
          </w:p>
        </w:tc>
        <w:tc>
          <w:tcPr>
            <w:tcW w:w="220" w:type="dxa"/>
            <w:vAlign w:val="top"/>
          </w:tcPr>
          <w:p w14:paraId="59C1D6C7">
            <w:pPr>
              <w:rPr>
                <w:rFonts w:ascii="Arial"/>
                <w:sz w:val="21"/>
              </w:rPr>
            </w:pPr>
          </w:p>
        </w:tc>
        <w:tc>
          <w:tcPr>
            <w:tcW w:w="234" w:type="dxa"/>
            <w:vAlign w:val="top"/>
          </w:tcPr>
          <w:p w14:paraId="1463B20F">
            <w:pPr>
              <w:rPr>
                <w:rFonts w:ascii="Arial"/>
                <w:sz w:val="21"/>
              </w:rPr>
            </w:pPr>
          </w:p>
        </w:tc>
      </w:tr>
      <w:tr w14:paraId="421207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58" w:hRule="atLeast"/>
        </w:trPr>
        <w:tc>
          <w:tcPr>
            <w:tcW w:w="743" w:type="dxa"/>
            <w:vAlign w:val="top"/>
          </w:tcPr>
          <w:p w14:paraId="51CEC2C1">
            <w:pPr>
              <w:pStyle w:val="6"/>
              <w:spacing w:before="31" w:line="223" w:lineRule="auto"/>
              <w:ind w:left="105" w:right="97"/>
              <w:jc w:val="both"/>
            </w:pPr>
            <w:r>
              <w:rPr>
                <w:spacing w:val="-3"/>
              </w:rPr>
              <w:t>基尔霍</w:t>
            </w:r>
            <w:r>
              <w:rPr>
                <w:spacing w:val="1"/>
              </w:rPr>
              <w:t xml:space="preserve"> </w:t>
            </w:r>
            <w:r>
              <w:rPr>
                <w:spacing w:val="-4"/>
              </w:rPr>
              <w:t>夫定律</w:t>
            </w:r>
            <w:r>
              <w:rPr>
                <w:spacing w:val="1"/>
              </w:rPr>
              <w:t xml:space="preserve"> </w:t>
            </w:r>
            <w:r>
              <w:rPr>
                <w:spacing w:val="6"/>
              </w:rPr>
              <w:t>的应用</w:t>
            </w:r>
          </w:p>
        </w:tc>
        <w:tc>
          <w:tcPr>
            <w:tcW w:w="2484" w:type="dxa"/>
            <w:vAlign w:val="top"/>
          </w:tcPr>
          <w:p w14:paraId="1FD1C7C0">
            <w:pPr>
              <w:pStyle w:val="6"/>
              <w:spacing w:before="251" w:line="219" w:lineRule="auto"/>
              <w:ind w:left="2"/>
            </w:pPr>
            <w:r>
              <w:rPr>
                <w:spacing w:val="-2"/>
              </w:rPr>
              <w:t>支路电流法</w:t>
            </w:r>
          </w:p>
        </w:tc>
        <w:tc>
          <w:tcPr>
            <w:tcW w:w="230" w:type="dxa"/>
            <w:vAlign w:val="top"/>
          </w:tcPr>
          <w:p w14:paraId="3FA5D3F2">
            <w:pPr>
              <w:rPr>
                <w:rFonts w:ascii="Arial"/>
                <w:sz w:val="21"/>
              </w:rPr>
            </w:pPr>
          </w:p>
        </w:tc>
        <w:tc>
          <w:tcPr>
            <w:tcW w:w="229" w:type="dxa"/>
            <w:vAlign w:val="top"/>
          </w:tcPr>
          <w:p w14:paraId="6B84AAF4">
            <w:pPr>
              <w:rPr>
                <w:rFonts w:ascii="Arial"/>
                <w:sz w:val="21"/>
              </w:rPr>
            </w:pPr>
          </w:p>
        </w:tc>
        <w:tc>
          <w:tcPr>
            <w:tcW w:w="220" w:type="dxa"/>
            <w:vAlign w:val="top"/>
          </w:tcPr>
          <w:p w14:paraId="18FD625D">
            <w:pPr>
              <w:rPr>
                <w:rFonts w:ascii="Arial"/>
                <w:sz w:val="21"/>
              </w:rPr>
            </w:pPr>
          </w:p>
        </w:tc>
        <w:tc>
          <w:tcPr>
            <w:tcW w:w="234" w:type="dxa"/>
            <w:vAlign w:val="top"/>
          </w:tcPr>
          <w:p w14:paraId="39A01DC8">
            <w:pPr>
              <w:rPr>
                <w:rFonts w:ascii="Arial"/>
                <w:sz w:val="21"/>
              </w:rPr>
            </w:pPr>
          </w:p>
          <w:p w14:paraId="05F02866">
            <w:pPr>
              <w:pStyle w:val="6"/>
              <w:spacing w:before="39" w:line="238" w:lineRule="auto"/>
              <w:ind w:left="48"/>
              <w:rPr>
                <w:sz w:val="12"/>
                <w:szCs w:val="12"/>
              </w:rPr>
            </w:pPr>
            <w:r>
              <w:rPr>
                <w:sz w:val="12"/>
                <w:szCs w:val="12"/>
              </w:rPr>
              <w:t>√</w:t>
            </w:r>
          </w:p>
        </w:tc>
      </w:tr>
      <w:tr w14:paraId="5E6DAD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8" w:hRule="atLeast"/>
        </w:trPr>
        <w:tc>
          <w:tcPr>
            <w:tcW w:w="743" w:type="dxa"/>
            <w:vAlign w:val="top"/>
          </w:tcPr>
          <w:p w14:paraId="26156A43">
            <w:pPr>
              <w:pStyle w:val="6"/>
              <w:spacing w:before="65" w:line="213" w:lineRule="auto"/>
              <w:ind w:left="194" w:right="184"/>
            </w:pPr>
            <w:r>
              <w:rPr>
                <w:spacing w:val="6"/>
              </w:rPr>
              <w:t>叠加</w:t>
            </w:r>
            <w:r>
              <w:t xml:space="preserve"> </w:t>
            </w:r>
            <w:r>
              <w:rPr>
                <w:spacing w:val="-3"/>
              </w:rPr>
              <w:t>原理</w:t>
            </w:r>
          </w:p>
        </w:tc>
        <w:tc>
          <w:tcPr>
            <w:tcW w:w="2484" w:type="dxa"/>
            <w:vAlign w:val="top"/>
          </w:tcPr>
          <w:p w14:paraId="452EB7FD">
            <w:pPr>
              <w:pStyle w:val="6"/>
              <w:spacing w:before="156" w:line="223" w:lineRule="auto"/>
              <w:ind w:left="2"/>
            </w:pPr>
            <w:r>
              <w:rPr>
                <w:spacing w:val="-2"/>
              </w:rPr>
              <w:t>叠加原理</w:t>
            </w:r>
          </w:p>
        </w:tc>
        <w:tc>
          <w:tcPr>
            <w:tcW w:w="230" w:type="dxa"/>
            <w:vAlign w:val="top"/>
          </w:tcPr>
          <w:p w14:paraId="15F7CDB0">
            <w:pPr>
              <w:pStyle w:val="6"/>
              <w:spacing w:before="184" w:line="238" w:lineRule="auto"/>
              <w:ind w:left="18"/>
              <w:rPr>
                <w:sz w:val="13"/>
                <w:szCs w:val="13"/>
              </w:rPr>
            </w:pPr>
            <w:r>
              <w:rPr>
                <w:sz w:val="13"/>
                <w:szCs w:val="13"/>
              </w:rPr>
              <w:t>√</w:t>
            </w:r>
          </w:p>
        </w:tc>
        <w:tc>
          <w:tcPr>
            <w:tcW w:w="229" w:type="dxa"/>
            <w:vAlign w:val="top"/>
          </w:tcPr>
          <w:p w14:paraId="09DC69B9">
            <w:pPr>
              <w:rPr>
                <w:rFonts w:ascii="Arial"/>
                <w:sz w:val="21"/>
              </w:rPr>
            </w:pPr>
          </w:p>
        </w:tc>
        <w:tc>
          <w:tcPr>
            <w:tcW w:w="220" w:type="dxa"/>
            <w:vAlign w:val="top"/>
          </w:tcPr>
          <w:p w14:paraId="62D12633">
            <w:pPr>
              <w:rPr>
                <w:rFonts w:ascii="Arial"/>
                <w:sz w:val="21"/>
              </w:rPr>
            </w:pPr>
          </w:p>
        </w:tc>
        <w:tc>
          <w:tcPr>
            <w:tcW w:w="234" w:type="dxa"/>
            <w:vAlign w:val="top"/>
          </w:tcPr>
          <w:p w14:paraId="7238E69D">
            <w:pPr>
              <w:rPr>
                <w:rFonts w:ascii="Arial"/>
                <w:sz w:val="21"/>
              </w:rPr>
            </w:pPr>
          </w:p>
        </w:tc>
      </w:tr>
      <w:tr w14:paraId="5E8F99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3" w:hRule="atLeast"/>
        </w:trPr>
        <w:tc>
          <w:tcPr>
            <w:tcW w:w="743" w:type="dxa"/>
            <w:vAlign w:val="top"/>
          </w:tcPr>
          <w:p w14:paraId="2CF8DEE1">
            <w:pPr>
              <w:pStyle w:val="6"/>
              <w:spacing w:before="65" w:line="217" w:lineRule="auto"/>
              <w:ind w:left="105"/>
            </w:pPr>
            <w:r>
              <w:rPr>
                <w:spacing w:val="-3"/>
              </w:rPr>
              <w:t>戴维南</w:t>
            </w:r>
          </w:p>
          <w:p w14:paraId="163DB3F6">
            <w:pPr>
              <w:pStyle w:val="6"/>
              <w:spacing w:line="192" w:lineRule="auto"/>
              <w:ind w:left="194"/>
            </w:pPr>
            <w:r>
              <w:rPr>
                <w:spacing w:val="-3"/>
              </w:rPr>
              <w:t>定理</w:t>
            </w:r>
          </w:p>
        </w:tc>
        <w:tc>
          <w:tcPr>
            <w:tcW w:w="2484" w:type="dxa"/>
            <w:vAlign w:val="top"/>
          </w:tcPr>
          <w:p w14:paraId="1CAC1114">
            <w:pPr>
              <w:pStyle w:val="6"/>
              <w:spacing w:before="65" w:line="219" w:lineRule="auto"/>
              <w:ind w:left="2"/>
            </w:pPr>
            <w:r>
              <w:rPr>
                <w:spacing w:val="1"/>
              </w:rPr>
              <w:t>1.二端网路</w:t>
            </w:r>
          </w:p>
          <w:p w14:paraId="25D0D056">
            <w:pPr>
              <w:pStyle w:val="6"/>
              <w:spacing w:before="8" w:line="182" w:lineRule="auto"/>
              <w:ind w:left="2"/>
            </w:pPr>
            <w:r>
              <w:rPr>
                <w:spacing w:val="-1"/>
              </w:rPr>
              <w:t>2.戴维南定理</w:t>
            </w:r>
          </w:p>
        </w:tc>
        <w:tc>
          <w:tcPr>
            <w:tcW w:w="230" w:type="dxa"/>
            <w:vAlign w:val="top"/>
          </w:tcPr>
          <w:p w14:paraId="7B0A1158">
            <w:pPr>
              <w:rPr>
                <w:rFonts w:ascii="Arial"/>
                <w:sz w:val="21"/>
              </w:rPr>
            </w:pPr>
          </w:p>
        </w:tc>
        <w:tc>
          <w:tcPr>
            <w:tcW w:w="229" w:type="dxa"/>
            <w:vAlign w:val="top"/>
          </w:tcPr>
          <w:p w14:paraId="4DB613AE">
            <w:pPr>
              <w:rPr>
                <w:rFonts w:ascii="Arial"/>
                <w:sz w:val="21"/>
              </w:rPr>
            </w:pPr>
          </w:p>
        </w:tc>
        <w:tc>
          <w:tcPr>
            <w:tcW w:w="220" w:type="dxa"/>
            <w:textDirection w:val="tbRlV"/>
            <w:vAlign w:val="top"/>
          </w:tcPr>
          <w:p w14:paraId="464E96EB">
            <w:pPr>
              <w:pStyle w:val="6"/>
              <w:spacing w:before="53" w:line="175" w:lineRule="exact"/>
              <w:ind w:left="77"/>
              <w:rPr>
                <w:sz w:val="22"/>
                <w:szCs w:val="22"/>
              </w:rPr>
            </w:pPr>
            <w:r>
              <w:rPr>
                <w:spacing w:val="52"/>
                <w:w w:val="125"/>
                <w:position w:val="-4"/>
                <w:sz w:val="22"/>
                <w:szCs w:val="22"/>
              </w:rPr>
              <w:t>M</w:t>
            </w:r>
          </w:p>
        </w:tc>
        <w:tc>
          <w:tcPr>
            <w:tcW w:w="234" w:type="dxa"/>
            <w:vAlign w:val="top"/>
          </w:tcPr>
          <w:p w14:paraId="08FF5055">
            <w:pPr>
              <w:rPr>
                <w:rFonts w:ascii="Arial"/>
                <w:sz w:val="21"/>
              </w:rPr>
            </w:pPr>
          </w:p>
        </w:tc>
      </w:tr>
    </w:tbl>
    <w:p w14:paraId="03E9B6E0">
      <w:pPr>
        <w:spacing w:before="199" w:line="219" w:lineRule="auto"/>
        <w:ind w:left="1577"/>
        <w:rPr>
          <w:rFonts w:ascii="宋体" w:hAnsi="宋体" w:eastAsia="宋体" w:cs="宋体"/>
          <w:sz w:val="17"/>
          <w:szCs w:val="17"/>
        </w:rPr>
      </w:pPr>
      <w:r>
        <w:rPr>
          <w:rFonts w:ascii="宋体" w:hAnsi="宋体" w:eastAsia="宋体" w:cs="宋体"/>
          <w:b/>
          <w:bCs/>
          <w:spacing w:val="-2"/>
          <w:sz w:val="17"/>
          <w:szCs w:val="17"/>
        </w:rPr>
        <w:t>第四章</w:t>
      </w:r>
      <w:r>
        <w:rPr>
          <w:rFonts w:ascii="宋体" w:hAnsi="宋体" w:eastAsia="宋体" w:cs="宋体"/>
          <w:spacing w:val="47"/>
          <w:sz w:val="17"/>
          <w:szCs w:val="17"/>
        </w:rPr>
        <w:t xml:space="preserve"> </w:t>
      </w:r>
      <w:r>
        <w:rPr>
          <w:rFonts w:ascii="宋体" w:hAnsi="宋体" w:eastAsia="宋体" w:cs="宋体"/>
          <w:b/>
          <w:bCs/>
          <w:spacing w:val="-2"/>
          <w:sz w:val="17"/>
          <w:szCs w:val="17"/>
        </w:rPr>
        <w:t>电容</w:t>
      </w:r>
    </w:p>
    <w:p w14:paraId="513342A0">
      <w:pPr>
        <w:spacing w:line="119" w:lineRule="exact"/>
      </w:pPr>
    </w:p>
    <w:tbl>
      <w:tblPr>
        <w:tblStyle w:val="5"/>
        <w:tblW w:w="414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33"/>
        <w:gridCol w:w="2484"/>
        <w:gridCol w:w="230"/>
        <w:gridCol w:w="230"/>
        <w:gridCol w:w="219"/>
        <w:gridCol w:w="244"/>
      </w:tblGrid>
      <w:tr w14:paraId="2E0321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4" w:hRule="atLeast"/>
        </w:trPr>
        <w:tc>
          <w:tcPr>
            <w:tcW w:w="733" w:type="dxa"/>
            <w:vMerge w:val="restart"/>
            <w:tcBorders>
              <w:bottom w:val="nil"/>
            </w:tcBorders>
            <w:vAlign w:val="top"/>
          </w:tcPr>
          <w:p w14:paraId="553C1C50">
            <w:pPr>
              <w:pStyle w:val="6"/>
              <w:spacing w:before="20" w:line="221" w:lineRule="auto"/>
              <w:ind w:left="17"/>
            </w:pPr>
            <w:r>
              <w:rPr>
                <w:b/>
                <w:bCs/>
                <w:spacing w:val="-4"/>
              </w:rPr>
              <w:t>知识与技</w:t>
            </w:r>
          </w:p>
          <w:p w14:paraId="56C75BA2">
            <w:pPr>
              <w:pStyle w:val="6"/>
              <w:spacing w:before="16" w:line="209" w:lineRule="auto"/>
              <w:ind w:left="107"/>
            </w:pPr>
            <w:r>
              <w:rPr>
                <w:b/>
                <w:bCs/>
                <w:spacing w:val="1"/>
              </w:rPr>
              <w:t>能要点</w:t>
            </w:r>
          </w:p>
        </w:tc>
        <w:tc>
          <w:tcPr>
            <w:tcW w:w="2484" w:type="dxa"/>
            <w:vMerge w:val="restart"/>
            <w:tcBorders>
              <w:bottom w:val="nil"/>
            </w:tcBorders>
            <w:vAlign w:val="top"/>
          </w:tcPr>
          <w:p w14:paraId="4ED7B8E5">
            <w:pPr>
              <w:pStyle w:val="6"/>
              <w:spacing w:before="139" w:line="219" w:lineRule="auto"/>
              <w:ind w:left="914"/>
            </w:pPr>
            <w:r>
              <w:rPr>
                <w:b/>
                <w:bCs/>
                <w:spacing w:val="5"/>
              </w:rPr>
              <w:t>考试条目</w:t>
            </w:r>
          </w:p>
        </w:tc>
        <w:tc>
          <w:tcPr>
            <w:tcW w:w="923" w:type="dxa"/>
            <w:gridSpan w:val="4"/>
            <w:vAlign w:val="top"/>
          </w:tcPr>
          <w:p w14:paraId="32914B60">
            <w:pPr>
              <w:pStyle w:val="6"/>
              <w:spacing w:before="28" w:line="201" w:lineRule="auto"/>
              <w:ind w:left="130"/>
            </w:pPr>
            <w:r>
              <w:rPr>
                <w:b/>
                <w:bCs/>
                <w:spacing w:val="-4"/>
              </w:rPr>
              <w:t>考试水平</w:t>
            </w:r>
          </w:p>
        </w:tc>
      </w:tr>
      <w:tr w14:paraId="784EAF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9" w:hRule="atLeast"/>
        </w:trPr>
        <w:tc>
          <w:tcPr>
            <w:tcW w:w="733" w:type="dxa"/>
            <w:vMerge w:val="continue"/>
            <w:tcBorders>
              <w:top w:val="nil"/>
            </w:tcBorders>
            <w:vAlign w:val="top"/>
          </w:tcPr>
          <w:p w14:paraId="02832006">
            <w:pPr>
              <w:rPr>
                <w:rFonts w:ascii="Arial"/>
                <w:sz w:val="21"/>
              </w:rPr>
            </w:pPr>
          </w:p>
        </w:tc>
        <w:tc>
          <w:tcPr>
            <w:tcW w:w="2484" w:type="dxa"/>
            <w:vMerge w:val="continue"/>
            <w:tcBorders>
              <w:top w:val="nil"/>
            </w:tcBorders>
            <w:vAlign w:val="top"/>
          </w:tcPr>
          <w:p w14:paraId="4CEE2436">
            <w:pPr>
              <w:rPr>
                <w:rFonts w:ascii="Arial"/>
                <w:sz w:val="21"/>
              </w:rPr>
            </w:pPr>
          </w:p>
        </w:tc>
        <w:tc>
          <w:tcPr>
            <w:tcW w:w="230" w:type="dxa"/>
            <w:vAlign w:val="top"/>
          </w:tcPr>
          <w:p w14:paraId="6DD1746C">
            <w:pPr>
              <w:pStyle w:val="6"/>
              <w:spacing w:before="60" w:line="138" w:lineRule="exact"/>
              <w:ind w:left="50"/>
            </w:pPr>
            <w:r>
              <w:rPr>
                <w:b/>
                <w:bCs/>
                <w:spacing w:val="-2"/>
                <w:position w:val="-2"/>
              </w:rPr>
              <w:t>A</w:t>
            </w:r>
          </w:p>
        </w:tc>
        <w:tc>
          <w:tcPr>
            <w:tcW w:w="230" w:type="dxa"/>
            <w:vAlign w:val="top"/>
          </w:tcPr>
          <w:p w14:paraId="1C2CB0E5">
            <w:pPr>
              <w:pStyle w:val="6"/>
              <w:spacing w:before="62" w:line="136" w:lineRule="exact"/>
              <w:ind w:left="20"/>
            </w:pPr>
            <w:r>
              <w:rPr>
                <w:b/>
                <w:bCs/>
                <w:spacing w:val="-2"/>
                <w:position w:val="-2"/>
              </w:rPr>
              <w:t>B</w:t>
            </w:r>
          </w:p>
        </w:tc>
        <w:tc>
          <w:tcPr>
            <w:tcW w:w="219" w:type="dxa"/>
            <w:vAlign w:val="top"/>
          </w:tcPr>
          <w:p w14:paraId="5589BF7A">
            <w:pPr>
              <w:pStyle w:val="6"/>
              <w:spacing w:before="61" w:line="137" w:lineRule="exact"/>
              <w:ind w:left="48"/>
            </w:pPr>
            <w:r>
              <w:rPr>
                <w:position w:val="-2"/>
              </w:rPr>
              <w:t>C</w:t>
            </w:r>
          </w:p>
        </w:tc>
        <w:tc>
          <w:tcPr>
            <w:tcW w:w="244" w:type="dxa"/>
            <w:vAlign w:val="top"/>
          </w:tcPr>
          <w:p w14:paraId="2E64F1B1">
            <w:pPr>
              <w:pStyle w:val="6"/>
              <w:spacing w:before="62" w:line="136" w:lineRule="exact"/>
              <w:ind w:left="21"/>
            </w:pPr>
            <w:r>
              <w:rPr>
                <w:b/>
                <w:bCs/>
                <w:spacing w:val="-2"/>
                <w:position w:val="-2"/>
              </w:rPr>
              <w:t>D</w:t>
            </w:r>
          </w:p>
        </w:tc>
      </w:tr>
      <w:tr w14:paraId="7607A7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8" w:hRule="atLeast"/>
        </w:trPr>
        <w:tc>
          <w:tcPr>
            <w:tcW w:w="733" w:type="dxa"/>
            <w:vAlign w:val="top"/>
          </w:tcPr>
          <w:p w14:paraId="0CF65CE3">
            <w:pPr>
              <w:pStyle w:val="6"/>
              <w:spacing w:before="168" w:line="219" w:lineRule="auto"/>
              <w:ind w:left="105" w:right="100"/>
            </w:pPr>
            <w:r>
              <w:rPr>
                <w:spacing w:val="2"/>
              </w:rPr>
              <w:t>电容器</w:t>
            </w:r>
            <w:r>
              <w:t xml:space="preserve"> </w:t>
            </w:r>
            <w:r>
              <w:rPr>
                <w:spacing w:val="-2"/>
              </w:rPr>
              <w:t>和电容</w:t>
            </w:r>
          </w:p>
        </w:tc>
        <w:tc>
          <w:tcPr>
            <w:tcW w:w="2484" w:type="dxa"/>
            <w:vAlign w:val="top"/>
          </w:tcPr>
          <w:p w14:paraId="459DDE6A">
            <w:pPr>
              <w:pStyle w:val="6"/>
              <w:spacing w:before="29" w:line="237" w:lineRule="auto"/>
              <w:ind w:left="12" w:right="1774"/>
            </w:pPr>
            <w:r>
              <w:rPr>
                <w:spacing w:val="1"/>
              </w:rPr>
              <w:t>1.电容器 2.电容</w:t>
            </w:r>
          </w:p>
          <w:p w14:paraId="6570E3EE">
            <w:pPr>
              <w:pStyle w:val="6"/>
              <w:spacing w:before="22" w:line="206" w:lineRule="auto"/>
              <w:ind w:left="12"/>
            </w:pPr>
            <w:r>
              <w:rPr>
                <w:spacing w:val="-1"/>
              </w:rPr>
              <w:t>3.平行板电容器的电容</w:t>
            </w:r>
          </w:p>
        </w:tc>
        <w:tc>
          <w:tcPr>
            <w:tcW w:w="230" w:type="dxa"/>
            <w:vAlign w:val="top"/>
          </w:tcPr>
          <w:p w14:paraId="40D6B4DC">
            <w:pPr>
              <w:pStyle w:val="6"/>
              <w:spacing w:before="60" w:line="238" w:lineRule="auto"/>
              <w:ind w:left="18"/>
              <w:rPr>
                <w:sz w:val="13"/>
                <w:szCs w:val="13"/>
              </w:rPr>
            </w:pPr>
            <w:r>
              <w:rPr>
                <w:sz w:val="13"/>
                <w:szCs w:val="13"/>
              </w:rPr>
              <w:t>√</w:t>
            </w:r>
          </w:p>
        </w:tc>
        <w:tc>
          <w:tcPr>
            <w:tcW w:w="230" w:type="dxa"/>
            <w:vAlign w:val="top"/>
          </w:tcPr>
          <w:p w14:paraId="6EF2E8DD">
            <w:pPr>
              <w:rPr>
                <w:rFonts w:ascii="Arial"/>
                <w:sz w:val="21"/>
              </w:rPr>
            </w:pPr>
          </w:p>
        </w:tc>
        <w:tc>
          <w:tcPr>
            <w:tcW w:w="219" w:type="dxa"/>
            <w:vAlign w:val="top"/>
          </w:tcPr>
          <w:p w14:paraId="017EC54E">
            <w:pPr>
              <w:rPr>
                <w:rFonts w:ascii="Arial"/>
                <w:sz w:val="21"/>
              </w:rPr>
            </w:pPr>
          </w:p>
        </w:tc>
        <w:tc>
          <w:tcPr>
            <w:tcW w:w="244" w:type="dxa"/>
            <w:vAlign w:val="top"/>
          </w:tcPr>
          <w:p w14:paraId="7C8837CE">
            <w:pPr>
              <w:rPr>
                <w:rFonts w:ascii="Arial"/>
                <w:sz w:val="21"/>
              </w:rPr>
            </w:pPr>
          </w:p>
        </w:tc>
      </w:tr>
      <w:tr w14:paraId="5D47B5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8" w:hRule="atLeast"/>
        </w:trPr>
        <w:tc>
          <w:tcPr>
            <w:tcW w:w="733" w:type="dxa"/>
            <w:vAlign w:val="top"/>
          </w:tcPr>
          <w:p w14:paraId="1CBC9F5F">
            <w:pPr>
              <w:pStyle w:val="6"/>
              <w:spacing w:before="80" w:line="221" w:lineRule="auto"/>
              <w:ind w:left="184" w:right="97" w:hanging="79"/>
            </w:pPr>
            <w:r>
              <w:rPr>
                <w:spacing w:val="3"/>
              </w:rPr>
              <w:t>常用电</w:t>
            </w:r>
            <w:r>
              <w:t xml:space="preserve"> </w:t>
            </w:r>
            <w:r>
              <w:rPr>
                <w:spacing w:val="-3"/>
              </w:rPr>
              <w:t>容器</w:t>
            </w:r>
          </w:p>
        </w:tc>
        <w:tc>
          <w:tcPr>
            <w:tcW w:w="2484" w:type="dxa"/>
            <w:vAlign w:val="top"/>
          </w:tcPr>
          <w:p w14:paraId="371621E3">
            <w:pPr>
              <w:pStyle w:val="6"/>
              <w:spacing w:before="60" w:line="232" w:lineRule="auto"/>
              <w:ind w:left="12" w:right="1094"/>
            </w:pPr>
            <w:r>
              <w:t>1.常用电容器种类</w:t>
            </w:r>
            <w:r>
              <w:rPr>
                <w:spacing w:val="6"/>
              </w:rPr>
              <w:t xml:space="preserve"> </w:t>
            </w:r>
            <w:r>
              <w:rPr>
                <w:spacing w:val="-1"/>
              </w:rPr>
              <w:t>2.电容器的额定值</w:t>
            </w:r>
          </w:p>
        </w:tc>
        <w:tc>
          <w:tcPr>
            <w:tcW w:w="230" w:type="dxa"/>
            <w:vAlign w:val="top"/>
          </w:tcPr>
          <w:p w14:paraId="39165C43">
            <w:pPr>
              <w:pStyle w:val="6"/>
              <w:spacing w:before="82" w:line="238" w:lineRule="auto"/>
              <w:ind w:left="18"/>
              <w:rPr>
                <w:sz w:val="13"/>
                <w:szCs w:val="13"/>
              </w:rPr>
            </w:pPr>
            <w:r>
              <w:rPr>
                <w:sz w:val="13"/>
                <w:szCs w:val="13"/>
              </w:rPr>
              <w:t>√</w:t>
            </w:r>
          </w:p>
        </w:tc>
        <w:tc>
          <w:tcPr>
            <w:tcW w:w="230" w:type="dxa"/>
            <w:vAlign w:val="top"/>
          </w:tcPr>
          <w:p w14:paraId="53065200">
            <w:pPr>
              <w:rPr>
                <w:rFonts w:ascii="Arial"/>
                <w:sz w:val="21"/>
              </w:rPr>
            </w:pPr>
          </w:p>
        </w:tc>
        <w:tc>
          <w:tcPr>
            <w:tcW w:w="219" w:type="dxa"/>
            <w:vAlign w:val="top"/>
          </w:tcPr>
          <w:p w14:paraId="05AAB03F">
            <w:pPr>
              <w:rPr>
                <w:rFonts w:ascii="Arial"/>
                <w:sz w:val="21"/>
              </w:rPr>
            </w:pPr>
          </w:p>
        </w:tc>
        <w:tc>
          <w:tcPr>
            <w:tcW w:w="244" w:type="dxa"/>
            <w:vAlign w:val="top"/>
          </w:tcPr>
          <w:p w14:paraId="675E2E1E">
            <w:pPr>
              <w:rPr>
                <w:rFonts w:ascii="Arial"/>
                <w:sz w:val="21"/>
              </w:rPr>
            </w:pPr>
          </w:p>
        </w:tc>
      </w:tr>
      <w:tr w14:paraId="09BA9F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8" w:hRule="atLeast"/>
        </w:trPr>
        <w:tc>
          <w:tcPr>
            <w:tcW w:w="733" w:type="dxa"/>
            <w:vAlign w:val="top"/>
          </w:tcPr>
          <w:p w14:paraId="45208D82">
            <w:pPr>
              <w:pStyle w:val="6"/>
              <w:spacing w:before="63" w:line="225" w:lineRule="auto"/>
              <w:ind w:left="105" w:right="100"/>
            </w:pPr>
            <w:r>
              <w:rPr>
                <w:spacing w:val="2"/>
              </w:rPr>
              <w:t>电容器</w:t>
            </w:r>
            <w:r>
              <w:t xml:space="preserve"> </w:t>
            </w:r>
            <w:r>
              <w:rPr>
                <w:spacing w:val="2"/>
              </w:rPr>
              <w:t>的联接</w:t>
            </w:r>
          </w:p>
        </w:tc>
        <w:tc>
          <w:tcPr>
            <w:tcW w:w="2484" w:type="dxa"/>
            <w:vAlign w:val="top"/>
          </w:tcPr>
          <w:p w14:paraId="6D388338">
            <w:pPr>
              <w:pStyle w:val="6"/>
              <w:spacing w:before="72" w:line="220" w:lineRule="auto"/>
              <w:ind w:left="12" w:right="1265"/>
            </w:pPr>
            <w:r>
              <w:t>1.电容器的串联</w:t>
            </w:r>
            <w:r>
              <w:rPr>
                <w:spacing w:val="5"/>
              </w:rPr>
              <w:t xml:space="preserve"> </w:t>
            </w:r>
            <w:r>
              <w:rPr>
                <w:spacing w:val="-1"/>
              </w:rPr>
              <w:t>2.电容器的并联</w:t>
            </w:r>
          </w:p>
        </w:tc>
        <w:tc>
          <w:tcPr>
            <w:tcW w:w="230" w:type="dxa"/>
            <w:vAlign w:val="top"/>
          </w:tcPr>
          <w:p w14:paraId="3D61AB0A">
            <w:pPr>
              <w:rPr>
                <w:rFonts w:ascii="Arial"/>
                <w:sz w:val="21"/>
              </w:rPr>
            </w:pPr>
          </w:p>
        </w:tc>
        <w:tc>
          <w:tcPr>
            <w:tcW w:w="230" w:type="dxa"/>
            <w:vAlign w:val="top"/>
          </w:tcPr>
          <w:p w14:paraId="02974CCA">
            <w:pPr>
              <w:rPr>
                <w:rFonts w:ascii="Arial"/>
                <w:sz w:val="21"/>
              </w:rPr>
            </w:pPr>
          </w:p>
        </w:tc>
        <w:tc>
          <w:tcPr>
            <w:tcW w:w="219" w:type="dxa"/>
            <w:vAlign w:val="top"/>
          </w:tcPr>
          <w:p w14:paraId="2E2CFBA7">
            <w:pPr>
              <w:spacing w:before="115" w:line="300" w:lineRule="exact"/>
              <w:ind w:firstLine="41"/>
            </w:pPr>
            <w:r>
              <w:rPr>
                <w:position w:val="-5"/>
              </w:rPr>
              <w:drawing>
                <wp:inline distT="0" distB="0" distL="0" distR="0">
                  <wp:extent cx="82550" cy="189865"/>
                  <wp:effectExtent l="0" t="0" r="0" b="0"/>
                  <wp:docPr id="418" name="IM 418"/>
                  <wp:cNvGraphicFramePr/>
                  <a:graphic xmlns:a="http://schemas.openxmlformats.org/drawingml/2006/main">
                    <a:graphicData uri="http://schemas.openxmlformats.org/drawingml/2006/picture">
                      <pic:pic xmlns:pic="http://schemas.openxmlformats.org/drawingml/2006/picture">
                        <pic:nvPicPr>
                          <pic:cNvPr id="418" name="IM 418"/>
                          <pic:cNvPicPr/>
                        </pic:nvPicPr>
                        <pic:blipFill>
                          <a:blip r:embed="rId373"/>
                          <a:stretch>
                            <a:fillRect/>
                          </a:stretch>
                        </pic:blipFill>
                        <pic:spPr>
                          <a:xfrm>
                            <a:off x="0" y="0"/>
                            <a:ext cx="82984" cy="190462"/>
                          </a:xfrm>
                          <a:prstGeom prst="rect">
                            <a:avLst/>
                          </a:prstGeom>
                        </pic:spPr>
                      </pic:pic>
                    </a:graphicData>
                  </a:graphic>
                </wp:inline>
              </w:drawing>
            </w:r>
          </w:p>
        </w:tc>
        <w:tc>
          <w:tcPr>
            <w:tcW w:w="244" w:type="dxa"/>
            <w:vAlign w:val="top"/>
          </w:tcPr>
          <w:p w14:paraId="5DAADF82">
            <w:pPr>
              <w:rPr>
                <w:rFonts w:ascii="Arial"/>
                <w:sz w:val="21"/>
              </w:rPr>
            </w:pPr>
          </w:p>
        </w:tc>
      </w:tr>
      <w:tr w14:paraId="7AE075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73" w:hRule="atLeast"/>
        </w:trPr>
        <w:tc>
          <w:tcPr>
            <w:tcW w:w="733" w:type="dxa"/>
            <w:vAlign w:val="top"/>
          </w:tcPr>
          <w:p w14:paraId="06B47640">
            <w:pPr>
              <w:pStyle w:val="6"/>
              <w:spacing w:before="64" w:line="219" w:lineRule="auto"/>
              <w:ind w:left="105" w:right="97"/>
            </w:pPr>
            <w:r>
              <w:rPr>
                <w:spacing w:val="2"/>
              </w:rPr>
              <w:t>电容器</w:t>
            </w:r>
            <w:r>
              <w:t xml:space="preserve"> </w:t>
            </w:r>
            <w:r>
              <w:rPr>
                <w:spacing w:val="3"/>
              </w:rPr>
              <w:t>的充电</w:t>
            </w:r>
          </w:p>
          <w:p w14:paraId="2C904200">
            <w:pPr>
              <w:pStyle w:val="6"/>
              <w:spacing w:before="15" w:line="195" w:lineRule="auto"/>
              <w:ind w:left="107"/>
            </w:pPr>
            <w:r>
              <w:rPr>
                <w:b/>
                <w:bCs/>
                <w:spacing w:val="-4"/>
              </w:rPr>
              <w:t>和放电</w:t>
            </w:r>
          </w:p>
        </w:tc>
        <w:tc>
          <w:tcPr>
            <w:tcW w:w="2484" w:type="dxa"/>
            <w:vAlign w:val="top"/>
          </w:tcPr>
          <w:p w14:paraId="0E06EC87">
            <w:pPr>
              <w:pStyle w:val="6"/>
              <w:spacing w:before="55" w:line="224" w:lineRule="auto"/>
              <w:ind w:left="12" w:right="1280"/>
            </w:pPr>
            <w:r>
              <w:rPr>
                <w:spacing w:val="1"/>
              </w:rPr>
              <w:t>1.电容器充电</w:t>
            </w:r>
            <w:r>
              <w:t xml:space="preserve">   </w:t>
            </w:r>
            <w:r>
              <w:rPr>
                <w:spacing w:val="-2"/>
              </w:rPr>
              <w:t>2.电容器的放电</w:t>
            </w:r>
          </w:p>
          <w:p w14:paraId="5E33AD89">
            <w:pPr>
              <w:pStyle w:val="6"/>
              <w:spacing w:before="17" w:line="193" w:lineRule="auto"/>
              <w:ind w:left="12"/>
            </w:pPr>
            <w:r>
              <w:rPr>
                <w:spacing w:val="1"/>
              </w:rPr>
              <w:t>3.电容器的质量判别</w:t>
            </w:r>
          </w:p>
        </w:tc>
        <w:tc>
          <w:tcPr>
            <w:tcW w:w="230" w:type="dxa"/>
            <w:vAlign w:val="top"/>
          </w:tcPr>
          <w:p w14:paraId="123712E8">
            <w:pPr>
              <w:rPr>
                <w:rFonts w:ascii="Arial"/>
                <w:sz w:val="21"/>
              </w:rPr>
            </w:pPr>
          </w:p>
        </w:tc>
        <w:tc>
          <w:tcPr>
            <w:tcW w:w="230" w:type="dxa"/>
            <w:vAlign w:val="top"/>
          </w:tcPr>
          <w:p w14:paraId="4495074D">
            <w:pPr>
              <w:spacing w:before="53" w:line="349" w:lineRule="exact"/>
              <w:ind w:firstLine="40"/>
            </w:pPr>
            <w:r>
              <w:rPr>
                <w:position w:val="-6"/>
              </w:rPr>
              <w:drawing>
                <wp:inline distT="0" distB="0" distL="0" distR="0">
                  <wp:extent cx="92075" cy="221615"/>
                  <wp:effectExtent l="0" t="0" r="0" b="0"/>
                  <wp:docPr id="420" name="IM 420"/>
                  <wp:cNvGraphicFramePr/>
                  <a:graphic xmlns:a="http://schemas.openxmlformats.org/drawingml/2006/main">
                    <a:graphicData uri="http://schemas.openxmlformats.org/drawingml/2006/picture">
                      <pic:pic xmlns:pic="http://schemas.openxmlformats.org/drawingml/2006/picture">
                        <pic:nvPicPr>
                          <pic:cNvPr id="420" name="IM 420"/>
                          <pic:cNvPicPr/>
                        </pic:nvPicPr>
                        <pic:blipFill>
                          <a:blip r:embed="rId374"/>
                          <a:stretch>
                            <a:fillRect/>
                          </a:stretch>
                        </pic:blipFill>
                        <pic:spPr>
                          <a:xfrm>
                            <a:off x="0" y="0"/>
                            <a:ext cx="92093" cy="222039"/>
                          </a:xfrm>
                          <a:prstGeom prst="rect">
                            <a:avLst/>
                          </a:prstGeom>
                        </pic:spPr>
                      </pic:pic>
                    </a:graphicData>
                  </a:graphic>
                </wp:inline>
              </w:drawing>
            </w:r>
          </w:p>
        </w:tc>
        <w:tc>
          <w:tcPr>
            <w:tcW w:w="219" w:type="dxa"/>
            <w:vAlign w:val="top"/>
          </w:tcPr>
          <w:p w14:paraId="7EC8EF18">
            <w:pPr>
              <w:spacing w:line="423" w:lineRule="auto"/>
              <w:rPr>
                <w:rFonts w:ascii="Arial"/>
                <w:sz w:val="21"/>
              </w:rPr>
            </w:pPr>
          </w:p>
          <w:p w14:paraId="549DD461">
            <w:pPr>
              <w:pStyle w:val="6"/>
              <w:spacing w:before="55" w:line="197" w:lineRule="auto"/>
              <w:ind w:left="17"/>
            </w:pPr>
            <w:r>
              <w:t>√</w:t>
            </w:r>
          </w:p>
        </w:tc>
        <w:tc>
          <w:tcPr>
            <w:tcW w:w="244" w:type="dxa"/>
            <w:vAlign w:val="top"/>
          </w:tcPr>
          <w:p w14:paraId="25DDC4DC">
            <w:pPr>
              <w:rPr>
                <w:rFonts w:ascii="Arial"/>
                <w:sz w:val="21"/>
              </w:rPr>
            </w:pPr>
          </w:p>
        </w:tc>
      </w:tr>
    </w:tbl>
    <w:p w14:paraId="0ADDD71F">
      <w:pPr>
        <w:pStyle w:val="2"/>
        <w:spacing w:line="20" w:lineRule="exact"/>
        <w:rPr>
          <w:sz w:val="2"/>
        </w:rPr>
      </w:pPr>
    </w:p>
    <w:p w14:paraId="656C2B6C">
      <w:pPr>
        <w:spacing w:line="20" w:lineRule="exact"/>
        <w:rPr>
          <w:sz w:val="2"/>
          <w:szCs w:val="2"/>
        </w:rPr>
        <w:sectPr>
          <w:type w:val="continuous"/>
          <w:pgSz w:w="10660" w:h="15080"/>
          <w:pgMar w:top="400" w:right="1024" w:bottom="925" w:left="819" w:header="0" w:footer="705" w:gutter="0"/>
          <w:cols w:equalWidth="0" w:num="2">
            <w:col w:w="4566" w:space="100"/>
            <w:col w:w="4151"/>
          </w:cols>
        </w:sectPr>
      </w:pPr>
    </w:p>
    <w:p w14:paraId="50C1FDD2">
      <w:pPr>
        <w:spacing w:before="10"/>
      </w:pPr>
    </w:p>
    <w:p w14:paraId="5CB79BB1">
      <w:pPr>
        <w:spacing w:before="9"/>
      </w:pPr>
    </w:p>
    <w:p w14:paraId="1246C84D">
      <w:pPr>
        <w:spacing w:before="9"/>
      </w:pPr>
    </w:p>
    <w:p w14:paraId="443F0325">
      <w:pPr>
        <w:spacing w:before="9"/>
      </w:pPr>
    </w:p>
    <w:p w14:paraId="516A35B7">
      <w:pPr>
        <w:sectPr>
          <w:footerReference r:id="rId87" w:type="default"/>
          <w:pgSz w:w="10660" w:h="15080"/>
          <w:pgMar w:top="400" w:right="885" w:bottom="925" w:left="1024" w:header="0" w:footer="705" w:gutter="0"/>
          <w:cols w:equalWidth="0" w:num="1">
            <w:col w:w="8751"/>
          </w:cols>
        </w:sectPr>
      </w:pPr>
    </w:p>
    <w:p w14:paraId="7A72BD53">
      <w:pPr>
        <w:spacing w:line="218" w:lineRule="auto"/>
        <w:ind w:left="1347"/>
        <w:rPr>
          <w:rFonts w:ascii="宋体" w:hAnsi="宋体" w:eastAsia="宋体" w:cs="宋体"/>
          <w:sz w:val="17"/>
          <w:szCs w:val="17"/>
        </w:rPr>
      </w:pPr>
      <w:r>
        <w:rPr>
          <w:rFonts w:ascii="宋体" w:hAnsi="宋体" w:eastAsia="宋体" w:cs="宋体"/>
          <w:b/>
          <w:bCs/>
          <w:spacing w:val="8"/>
          <w:sz w:val="17"/>
          <w:szCs w:val="17"/>
        </w:rPr>
        <w:t>第五章磁场和磁路</w:t>
      </w:r>
    </w:p>
    <w:p w14:paraId="7B3EFB8B">
      <w:pPr>
        <w:spacing w:line="59" w:lineRule="exact"/>
      </w:pPr>
    </w:p>
    <w:tbl>
      <w:tblPr>
        <w:tblStyle w:val="5"/>
        <w:tblW w:w="4140" w:type="dxa"/>
        <w:tblInd w:w="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43"/>
        <w:gridCol w:w="2484"/>
        <w:gridCol w:w="220"/>
        <w:gridCol w:w="230"/>
        <w:gridCol w:w="229"/>
        <w:gridCol w:w="234"/>
      </w:tblGrid>
      <w:tr w14:paraId="0AB1C8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4" w:hRule="atLeast"/>
        </w:trPr>
        <w:tc>
          <w:tcPr>
            <w:tcW w:w="743" w:type="dxa"/>
            <w:vMerge w:val="restart"/>
            <w:tcBorders>
              <w:bottom w:val="nil"/>
            </w:tcBorders>
            <w:vAlign w:val="top"/>
          </w:tcPr>
          <w:p w14:paraId="0C1830C4">
            <w:pPr>
              <w:pStyle w:val="6"/>
              <w:spacing w:before="20" w:line="224" w:lineRule="auto"/>
              <w:ind w:left="106" w:right="35" w:hanging="79"/>
            </w:pPr>
            <w:r>
              <w:rPr>
                <w:b/>
                <w:bCs/>
                <w:spacing w:val="-5"/>
              </w:rPr>
              <w:t>知识与技</w:t>
            </w:r>
            <w:r>
              <w:rPr>
                <w:spacing w:val="1"/>
              </w:rPr>
              <w:t xml:space="preserve"> </w:t>
            </w:r>
            <w:r>
              <w:rPr>
                <w:b/>
                <w:bCs/>
                <w:spacing w:val="1"/>
              </w:rPr>
              <w:t>能要点</w:t>
            </w:r>
          </w:p>
        </w:tc>
        <w:tc>
          <w:tcPr>
            <w:tcW w:w="2484" w:type="dxa"/>
            <w:vMerge w:val="restart"/>
            <w:tcBorders>
              <w:bottom w:val="nil"/>
            </w:tcBorders>
            <w:vAlign w:val="top"/>
          </w:tcPr>
          <w:p w14:paraId="08661B64">
            <w:pPr>
              <w:pStyle w:val="6"/>
              <w:spacing w:before="139" w:line="219" w:lineRule="auto"/>
              <w:ind w:left="924"/>
            </w:pPr>
            <w:r>
              <w:rPr>
                <w:b/>
                <w:bCs/>
                <w:spacing w:val="5"/>
              </w:rPr>
              <w:t>考试条目</w:t>
            </w:r>
          </w:p>
        </w:tc>
        <w:tc>
          <w:tcPr>
            <w:tcW w:w="913" w:type="dxa"/>
            <w:gridSpan w:val="4"/>
            <w:vAlign w:val="top"/>
          </w:tcPr>
          <w:p w14:paraId="5AEFFD1E">
            <w:pPr>
              <w:pStyle w:val="6"/>
              <w:spacing w:before="29" w:line="200" w:lineRule="auto"/>
              <w:ind w:left="110"/>
            </w:pPr>
            <w:r>
              <w:rPr>
                <w:b/>
                <w:bCs/>
                <w:spacing w:val="-4"/>
              </w:rPr>
              <w:t>考试水平</w:t>
            </w:r>
          </w:p>
        </w:tc>
      </w:tr>
      <w:tr w14:paraId="6191A6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9" w:hRule="atLeast"/>
        </w:trPr>
        <w:tc>
          <w:tcPr>
            <w:tcW w:w="743" w:type="dxa"/>
            <w:vMerge w:val="continue"/>
            <w:tcBorders>
              <w:top w:val="nil"/>
            </w:tcBorders>
            <w:vAlign w:val="top"/>
          </w:tcPr>
          <w:p w14:paraId="16C2746E">
            <w:pPr>
              <w:rPr>
                <w:rFonts w:ascii="Arial"/>
                <w:sz w:val="21"/>
              </w:rPr>
            </w:pPr>
          </w:p>
        </w:tc>
        <w:tc>
          <w:tcPr>
            <w:tcW w:w="2484" w:type="dxa"/>
            <w:vMerge w:val="continue"/>
            <w:tcBorders>
              <w:top w:val="nil"/>
            </w:tcBorders>
            <w:vAlign w:val="top"/>
          </w:tcPr>
          <w:p w14:paraId="78EF1B3C">
            <w:pPr>
              <w:rPr>
                <w:rFonts w:ascii="Arial"/>
                <w:sz w:val="21"/>
              </w:rPr>
            </w:pPr>
          </w:p>
        </w:tc>
        <w:tc>
          <w:tcPr>
            <w:tcW w:w="220" w:type="dxa"/>
            <w:vAlign w:val="top"/>
          </w:tcPr>
          <w:p w14:paraId="10676584">
            <w:pPr>
              <w:pStyle w:val="6"/>
              <w:spacing w:before="60" w:line="139" w:lineRule="exact"/>
              <w:ind w:left="18"/>
            </w:pPr>
            <w:r>
              <w:rPr>
                <w:position w:val="-2"/>
              </w:rPr>
              <w:t>A</w:t>
            </w:r>
          </w:p>
        </w:tc>
        <w:tc>
          <w:tcPr>
            <w:tcW w:w="230" w:type="dxa"/>
            <w:vAlign w:val="top"/>
          </w:tcPr>
          <w:p w14:paraId="02E97007">
            <w:pPr>
              <w:pStyle w:val="6"/>
              <w:spacing w:before="62" w:line="137" w:lineRule="exact"/>
              <w:ind w:left="20"/>
            </w:pPr>
            <w:r>
              <w:rPr>
                <w:b/>
                <w:bCs/>
                <w:spacing w:val="-2"/>
                <w:position w:val="-2"/>
              </w:rPr>
              <w:t>B</w:t>
            </w:r>
          </w:p>
        </w:tc>
        <w:tc>
          <w:tcPr>
            <w:tcW w:w="229" w:type="dxa"/>
            <w:vAlign w:val="top"/>
          </w:tcPr>
          <w:p w14:paraId="6FFDBF7D">
            <w:pPr>
              <w:pStyle w:val="6"/>
              <w:spacing w:before="61" w:line="138" w:lineRule="exact"/>
              <w:ind w:left="17"/>
            </w:pPr>
            <w:r>
              <w:rPr>
                <w:position w:val="-2"/>
              </w:rPr>
              <w:t>C</w:t>
            </w:r>
          </w:p>
        </w:tc>
        <w:tc>
          <w:tcPr>
            <w:tcW w:w="234" w:type="dxa"/>
            <w:vAlign w:val="top"/>
          </w:tcPr>
          <w:p w14:paraId="4AC6D814">
            <w:pPr>
              <w:pStyle w:val="6"/>
              <w:spacing w:before="62" w:line="137" w:lineRule="exact"/>
              <w:ind w:left="39"/>
            </w:pPr>
            <w:r>
              <w:rPr>
                <w:position w:val="-2"/>
              </w:rPr>
              <w:t>D</w:t>
            </w:r>
          </w:p>
        </w:tc>
      </w:tr>
      <w:tr w14:paraId="7F1A80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7" w:hRule="atLeast"/>
        </w:trPr>
        <w:tc>
          <w:tcPr>
            <w:tcW w:w="743" w:type="dxa"/>
            <w:vAlign w:val="top"/>
          </w:tcPr>
          <w:p w14:paraId="1D16086B">
            <w:pPr>
              <w:pStyle w:val="6"/>
              <w:spacing w:before="151" w:line="235" w:lineRule="auto"/>
              <w:ind w:left="105" w:right="104"/>
            </w:pPr>
            <w:r>
              <w:rPr>
                <w:spacing w:val="4"/>
              </w:rPr>
              <w:t>电流的</w:t>
            </w:r>
            <w:r>
              <w:t xml:space="preserve"> </w:t>
            </w:r>
            <w:r>
              <w:rPr>
                <w:spacing w:val="-2"/>
              </w:rPr>
              <w:t>磁效应</w:t>
            </w:r>
          </w:p>
        </w:tc>
        <w:tc>
          <w:tcPr>
            <w:tcW w:w="2484" w:type="dxa"/>
            <w:vAlign w:val="top"/>
          </w:tcPr>
          <w:p w14:paraId="49110282">
            <w:pPr>
              <w:pStyle w:val="6"/>
              <w:spacing w:before="39" w:line="220" w:lineRule="auto"/>
              <w:ind w:left="12"/>
            </w:pPr>
            <w:r>
              <w:rPr>
                <w:spacing w:val="2"/>
              </w:rPr>
              <w:t>1.磁场</w:t>
            </w:r>
          </w:p>
          <w:p w14:paraId="0B6ECBBD">
            <w:pPr>
              <w:pStyle w:val="6"/>
              <w:spacing w:before="7" w:line="232" w:lineRule="auto"/>
              <w:ind w:left="12" w:right="750"/>
            </w:pPr>
            <w:r>
              <w:rPr>
                <w:spacing w:val="1"/>
              </w:rPr>
              <w:t>2.磁场的方向和磁感线</w:t>
            </w:r>
            <w:r>
              <w:t xml:space="preserve"> </w:t>
            </w:r>
            <w:r>
              <w:rPr>
                <w:spacing w:val="1"/>
              </w:rPr>
              <w:t>3.电流的磁场</w:t>
            </w:r>
          </w:p>
        </w:tc>
        <w:tc>
          <w:tcPr>
            <w:tcW w:w="220" w:type="dxa"/>
            <w:vAlign w:val="top"/>
          </w:tcPr>
          <w:p w14:paraId="59D04923">
            <w:pPr>
              <w:spacing w:line="384" w:lineRule="exact"/>
              <w:ind w:firstLine="30"/>
            </w:pPr>
            <w:r>
              <w:rPr>
                <w:position w:val="-7"/>
              </w:rPr>
              <w:drawing>
                <wp:inline distT="0" distB="0" distL="0" distR="0">
                  <wp:extent cx="92075" cy="243840"/>
                  <wp:effectExtent l="0" t="0" r="0" b="0"/>
                  <wp:docPr id="422" name="IM 422"/>
                  <wp:cNvGraphicFramePr/>
                  <a:graphic xmlns:a="http://schemas.openxmlformats.org/drawingml/2006/main">
                    <a:graphicData uri="http://schemas.openxmlformats.org/drawingml/2006/picture">
                      <pic:pic xmlns:pic="http://schemas.openxmlformats.org/drawingml/2006/picture">
                        <pic:nvPicPr>
                          <pic:cNvPr id="422" name="IM 422"/>
                          <pic:cNvPicPr/>
                        </pic:nvPicPr>
                        <pic:blipFill>
                          <a:blip r:embed="rId375"/>
                          <a:stretch>
                            <a:fillRect/>
                          </a:stretch>
                        </pic:blipFill>
                        <pic:spPr>
                          <a:xfrm>
                            <a:off x="0" y="0"/>
                            <a:ext cx="92093" cy="244078"/>
                          </a:xfrm>
                          <a:prstGeom prst="rect">
                            <a:avLst/>
                          </a:prstGeom>
                        </pic:spPr>
                      </pic:pic>
                    </a:graphicData>
                  </a:graphic>
                </wp:inline>
              </w:drawing>
            </w:r>
          </w:p>
        </w:tc>
        <w:tc>
          <w:tcPr>
            <w:tcW w:w="230" w:type="dxa"/>
            <w:vAlign w:val="top"/>
          </w:tcPr>
          <w:p w14:paraId="4683B398">
            <w:pPr>
              <w:spacing w:line="418" w:lineRule="auto"/>
              <w:rPr>
                <w:rFonts w:ascii="Arial"/>
                <w:sz w:val="21"/>
              </w:rPr>
            </w:pPr>
          </w:p>
          <w:p w14:paraId="4473168B">
            <w:pPr>
              <w:pStyle w:val="6"/>
              <w:spacing w:before="55" w:line="218" w:lineRule="auto"/>
              <w:ind w:left="28"/>
            </w:pPr>
            <w:r>
              <w:t>√</w:t>
            </w:r>
          </w:p>
        </w:tc>
        <w:tc>
          <w:tcPr>
            <w:tcW w:w="229" w:type="dxa"/>
            <w:vAlign w:val="top"/>
          </w:tcPr>
          <w:p w14:paraId="7A659D0A">
            <w:pPr>
              <w:rPr>
                <w:rFonts w:ascii="Arial"/>
                <w:sz w:val="21"/>
              </w:rPr>
            </w:pPr>
          </w:p>
        </w:tc>
        <w:tc>
          <w:tcPr>
            <w:tcW w:w="234" w:type="dxa"/>
            <w:vAlign w:val="top"/>
          </w:tcPr>
          <w:p w14:paraId="47DB0B27">
            <w:pPr>
              <w:rPr>
                <w:rFonts w:ascii="Arial"/>
                <w:sz w:val="21"/>
              </w:rPr>
            </w:pPr>
          </w:p>
        </w:tc>
      </w:tr>
      <w:tr w14:paraId="66857C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77" w:hRule="atLeast"/>
        </w:trPr>
        <w:tc>
          <w:tcPr>
            <w:tcW w:w="743" w:type="dxa"/>
            <w:vAlign w:val="top"/>
          </w:tcPr>
          <w:p w14:paraId="57D248FA">
            <w:pPr>
              <w:pStyle w:val="6"/>
              <w:spacing w:before="262" w:line="217" w:lineRule="auto"/>
              <w:ind w:left="25" w:right="34"/>
            </w:pPr>
            <w:r>
              <w:rPr>
                <w:spacing w:val="-2"/>
              </w:rPr>
              <w:t>磁场的基</w:t>
            </w:r>
            <w:r>
              <w:t xml:space="preserve"> </w:t>
            </w:r>
            <w:r>
              <w:rPr>
                <w:spacing w:val="-2"/>
              </w:rPr>
              <w:t>本物理量</w:t>
            </w:r>
          </w:p>
        </w:tc>
        <w:tc>
          <w:tcPr>
            <w:tcW w:w="2484" w:type="dxa"/>
            <w:vAlign w:val="top"/>
          </w:tcPr>
          <w:p w14:paraId="28088484">
            <w:pPr>
              <w:pStyle w:val="6"/>
              <w:spacing w:before="42" w:line="220" w:lineRule="auto"/>
              <w:ind w:left="12"/>
            </w:pPr>
            <w:r>
              <w:rPr>
                <w:spacing w:val="1"/>
              </w:rPr>
              <w:t>1.磁感应强度</w:t>
            </w:r>
          </w:p>
          <w:p w14:paraId="29CCDA15">
            <w:pPr>
              <w:pStyle w:val="6"/>
              <w:spacing w:before="22" w:line="211" w:lineRule="auto"/>
              <w:ind w:left="12"/>
            </w:pPr>
            <w:r>
              <w:rPr>
                <w:spacing w:val="-2"/>
              </w:rPr>
              <w:t>2.磁通</w:t>
            </w:r>
          </w:p>
          <w:p w14:paraId="1012366A">
            <w:pPr>
              <w:pStyle w:val="6"/>
              <w:spacing w:line="219" w:lineRule="auto"/>
              <w:ind w:left="12"/>
            </w:pPr>
            <w:r>
              <w:rPr>
                <w:spacing w:val="-3"/>
              </w:rPr>
              <w:t>3.磁导率</w:t>
            </w:r>
          </w:p>
          <w:p w14:paraId="3E8C398B">
            <w:pPr>
              <w:pStyle w:val="6"/>
              <w:spacing w:before="38" w:line="179" w:lineRule="auto"/>
              <w:ind w:left="12"/>
            </w:pPr>
            <w:r>
              <w:rPr>
                <w:spacing w:val="-1"/>
              </w:rPr>
              <w:t>4.磁场强度</w:t>
            </w:r>
          </w:p>
        </w:tc>
        <w:tc>
          <w:tcPr>
            <w:tcW w:w="220" w:type="dxa"/>
            <w:vAlign w:val="top"/>
          </w:tcPr>
          <w:p w14:paraId="35B042D0">
            <w:pPr>
              <w:spacing w:line="264" w:lineRule="auto"/>
              <w:rPr>
                <w:rFonts w:ascii="Arial"/>
                <w:sz w:val="21"/>
              </w:rPr>
            </w:pPr>
          </w:p>
          <w:p w14:paraId="44188F17">
            <w:pPr>
              <w:spacing w:line="264" w:lineRule="auto"/>
              <w:rPr>
                <w:rFonts w:ascii="Arial"/>
                <w:sz w:val="21"/>
              </w:rPr>
            </w:pPr>
          </w:p>
          <w:p w14:paraId="66F7A4D2">
            <w:pPr>
              <w:spacing w:before="1" w:line="313" w:lineRule="exact"/>
              <w:ind w:firstLine="42"/>
            </w:pPr>
            <w:r>
              <w:rPr>
                <w:position w:val="-6"/>
              </w:rPr>
              <w:drawing>
                <wp:inline distT="0" distB="0" distL="0" distR="0">
                  <wp:extent cx="94615" cy="198755"/>
                  <wp:effectExtent l="0" t="0" r="0" b="0"/>
                  <wp:docPr id="424" name="IM 424"/>
                  <wp:cNvGraphicFramePr/>
                  <a:graphic xmlns:a="http://schemas.openxmlformats.org/drawingml/2006/main">
                    <a:graphicData uri="http://schemas.openxmlformats.org/drawingml/2006/picture">
                      <pic:pic xmlns:pic="http://schemas.openxmlformats.org/drawingml/2006/picture">
                        <pic:nvPicPr>
                          <pic:cNvPr id="424" name="IM 424"/>
                          <pic:cNvPicPr/>
                        </pic:nvPicPr>
                        <pic:blipFill>
                          <a:blip r:embed="rId376"/>
                          <a:stretch>
                            <a:fillRect/>
                          </a:stretch>
                        </pic:blipFill>
                        <pic:spPr>
                          <a:xfrm>
                            <a:off x="0" y="0"/>
                            <a:ext cx="94839" cy="199114"/>
                          </a:xfrm>
                          <a:prstGeom prst="rect">
                            <a:avLst/>
                          </a:prstGeom>
                        </pic:spPr>
                      </pic:pic>
                    </a:graphicData>
                  </a:graphic>
                </wp:inline>
              </w:drawing>
            </w:r>
          </w:p>
        </w:tc>
        <w:tc>
          <w:tcPr>
            <w:tcW w:w="230" w:type="dxa"/>
            <w:vAlign w:val="top"/>
          </w:tcPr>
          <w:p w14:paraId="586B847A">
            <w:pPr>
              <w:spacing w:before="97" w:line="301" w:lineRule="exact"/>
              <w:ind w:firstLine="55"/>
            </w:pPr>
            <w:r>
              <w:rPr>
                <w:position w:val="-6"/>
              </w:rPr>
              <w:drawing>
                <wp:inline distT="0" distB="0" distL="0" distR="0">
                  <wp:extent cx="73025" cy="190500"/>
                  <wp:effectExtent l="0" t="0" r="0" b="0"/>
                  <wp:docPr id="426" name="IM 426"/>
                  <wp:cNvGraphicFramePr/>
                  <a:graphic xmlns:a="http://schemas.openxmlformats.org/drawingml/2006/main">
                    <a:graphicData uri="http://schemas.openxmlformats.org/drawingml/2006/picture">
                      <pic:pic xmlns:pic="http://schemas.openxmlformats.org/drawingml/2006/picture">
                        <pic:nvPicPr>
                          <pic:cNvPr id="426" name="IM 426"/>
                          <pic:cNvPicPr/>
                        </pic:nvPicPr>
                        <pic:blipFill>
                          <a:blip r:embed="rId377"/>
                          <a:stretch>
                            <a:fillRect/>
                          </a:stretch>
                        </pic:blipFill>
                        <pic:spPr>
                          <a:xfrm>
                            <a:off x="0" y="0"/>
                            <a:ext cx="73483" cy="191025"/>
                          </a:xfrm>
                          <a:prstGeom prst="rect">
                            <a:avLst/>
                          </a:prstGeom>
                        </pic:spPr>
                      </pic:pic>
                    </a:graphicData>
                  </a:graphic>
                </wp:inline>
              </w:drawing>
            </w:r>
          </w:p>
        </w:tc>
        <w:tc>
          <w:tcPr>
            <w:tcW w:w="229" w:type="dxa"/>
            <w:vAlign w:val="top"/>
          </w:tcPr>
          <w:p w14:paraId="3AD75148">
            <w:pPr>
              <w:rPr>
                <w:rFonts w:ascii="Arial"/>
                <w:sz w:val="21"/>
              </w:rPr>
            </w:pPr>
          </w:p>
        </w:tc>
        <w:tc>
          <w:tcPr>
            <w:tcW w:w="234" w:type="dxa"/>
            <w:vAlign w:val="top"/>
          </w:tcPr>
          <w:p w14:paraId="35D8C04E">
            <w:pPr>
              <w:rPr>
                <w:rFonts w:ascii="Arial"/>
                <w:sz w:val="21"/>
              </w:rPr>
            </w:pPr>
          </w:p>
        </w:tc>
      </w:tr>
      <w:tr w14:paraId="6C9F60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4" w:hRule="atLeast"/>
        </w:trPr>
        <w:tc>
          <w:tcPr>
            <w:tcW w:w="743" w:type="dxa"/>
            <w:vAlign w:val="top"/>
          </w:tcPr>
          <w:p w14:paraId="7CF9EF5D">
            <w:pPr>
              <w:pStyle w:val="6"/>
              <w:spacing w:before="45" w:line="206" w:lineRule="auto"/>
              <w:ind w:left="25"/>
            </w:pPr>
            <w:r>
              <w:rPr>
                <w:spacing w:val="-2"/>
              </w:rPr>
              <w:t>磁场对电</w:t>
            </w:r>
          </w:p>
          <w:p w14:paraId="0F63284F">
            <w:pPr>
              <w:pStyle w:val="6"/>
              <w:spacing w:line="178" w:lineRule="auto"/>
              <w:ind w:left="194" w:right="125" w:hanging="89"/>
            </w:pPr>
            <w:r>
              <w:rPr>
                <w:spacing w:val="-3"/>
              </w:rPr>
              <w:t>流的作</w:t>
            </w:r>
            <w:r>
              <w:t xml:space="preserve"> </w:t>
            </w:r>
            <w:r>
              <w:rPr>
                <w:spacing w:val="7"/>
              </w:rPr>
              <w:t>用力</w:t>
            </w:r>
          </w:p>
        </w:tc>
        <w:tc>
          <w:tcPr>
            <w:tcW w:w="2484" w:type="dxa"/>
            <w:vAlign w:val="top"/>
          </w:tcPr>
          <w:p w14:paraId="56E0FED2">
            <w:pPr>
              <w:pStyle w:val="6"/>
              <w:spacing w:before="114" w:line="230" w:lineRule="auto"/>
              <w:ind w:left="12" w:right="747"/>
            </w:pPr>
            <w:r>
              <w:rPr>
                <w:spacing w:val="1"/>
              </w:rPr>
              <w:t>1.磁场对电流的作用力</w:t>
            </w:r>
            <w:r>
              <w:rPr>
                <w:spacing w:val="2"/>
              </w:rPr>
              <w:t xml:space="preserve"> </w:t>
            </w:r>
            <w:r>
              <w:rPr>
                <w:spacing w:val="-1"/>
              </w:rPr>
              <w:t>2.电流表的工作原理</w:t>
            </w:r>
          </w:p>
        </w:tc>
        <w:tc>
          <w:tcPr>
            <w:tcW w:w="220" w:type="dxa"/>
            <w:vAlign w:val="top"/>
          </w:tcPr>
          <w:p w14:paraId="60F8A8C8">
            <w:pPr>
              <w:rPr>
                <w:rFonts w:ascii="Arial"/>
                <w:sz w:val="21"/>
              </w:rPr>
            </w:pPr>
          </w:p>
        </w:tc>
        <w:tc>
          <w:tcPr>
            <w:tcW w:w="230" w:type="dxa"/>
            <w:vAlign w:val="top"/>
          </w:tcPr>
          <w:p w14:paraId="606AD376">
            <w:pPr>
              <w:rPr>
                <w:rFonts w:ascii="Arial"/>
                <w:sz w:val="21"/>
              </w:rPr>
            </w:pPr>
          </w:p>
        </w:tc>
        <w:tc>
          <w:tcPr>
            <w:tcW w:w="229" w:type="dxa"/>
            <w:vAlign w:val="top"/>
          </w:tcPr>
          <w:p w14:paraId="38B8EA4B">
            <w:pPr>
              <w:rPr>
                <w:rFonts w:ascii="Arial"/>
                <w:sz w:val="21"/>
              </w:rPr>
            </w:pPr>
          </w:p>
        </w:tc>
        <w:tc>
          <w:tcPr>
            <w:tcW w:w="234" w:type="dxa"/>
            <w:vAlign w:val="top"/>
          </w:tcPr>
          <w:p w14:paraId="377A0B57">
            <w:pPr>
              <w:rPr>
                <w:rFonts w:ascii="Arial"/>
                <w:sz w:val="21"/>
              </w:rPr>
            </w:pPr>
          </w:p>
        </w:tc>
      </w:tr>
    </w:tbl>
    <w:p w14:paraId="0B9B4D53">
      <w:pPr>
        <w:spacing w:before="187" w:line="219" w:lineRule="auto"/>
        <w:ind w:left="1437"/>
        <w:rPr>
          <w:rFonts w:ascii="宋体" w:hAnsi="宋体" w:eastAsia="宋体" w:cs="宋体"/>
          <w:sz w:val="17"/>
          <w:szCs w:val="17"/>
        </w:rPr>
      </w:pPr>
      <w:r>
        <w:rPr>
          <w:rFonts w:ascii="宋体" w:hAnsi="宋体" w:eastAsia="宋体" w:cs="宋体"/>
          <w:b/>
          <w:bCs/>
          <w:spacing w:val="-4"/>
          <w:sz w:val="17"/>
          <w:szCs w:val="17"/>
        </w:rPr>
        <w:t>第六章</w:t>
      </w:r>
      <w:r>
        <w:rPr>
          <w:rFonts w:ascii="宋体" w:hAnsi="宋体" w:eastAsia="宋体" w:cs="宋体"/>
          <w:spacing w:val="36"/>
          <w:sz w:val="17"/>
          <w:szCs w:val="17"/>
        </w:rPr>
        <w:t xml:space="preserve"> </w:t>
      </w:r>
      <w:r>
        <w:rPr>
          <w:rFonts w:ascii="宋体" w:hAnsi="宋体" w:eastAsia="宋体" w:cs="宋体"/>
          <w:b/>
          <w:bCs/>
          <w:spacing w:val="-4"/>
          <w:sz w:val="17"/>
          <w:szCs w:val="17"/>
        </w:rPr>
        <w:t>电磁感应</w:t>
      </w:r>
    </w:p>
    <w:p w14:paraId="473F3104">
      <w:pPr>
        <w:spacing w:line="110" w:lineRule="exact"/>
      </w:pPr>
    </w:p>
    <w:tbl>
      <w:tblPr>
        <w:tblStyle w:val="5"/>
        <w:tblW w:w="4140" w:type="dxa"/>
        <w:tblInd w:w="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33"/>
        <w:gridCol w:w="2484"/>
        <w:gridCol w:w="230"/>
        <w:gridCol w:w="230"/>
        <w:gridCol w:w="229"/>
        <w:gridCol w:w="234"/>
      </w:tblGrid>
      <w:tr w14:paraId="61F6E1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4" w:hRule="atLeast"/>
        </w:trPr>
        <w:tc>
          <w:tcPr>
            <w:tcW w:w="733" w:type="dxa"/>
            <w:vMerge w:val="restart"/>
            <w:tcBorders>
              <w:bottom w:val="nil"/>
            </w:tcBorders>
            <w:vAlign w:val="top"/>
          </w:tcPr>
          <w:p w14:paraId="72922C1F">
            <w:pPr>
              <w:pStyle w:val="6"/>
              <w:spacing w:before="20" w:line="221" w:lineRule="auto"/>
              <w:ind w:left="17"/>
            </w:pPr>
            <w:r>
              <w:rPr>
                <w:b/>
                <w:bCs/>
                <w:spacing w:val="-4"/>
              </w:rPr>
              <w:t>知识与技</w:t>
            </w:r>
          </w:p>
          <w:p w14:paraId="6C975D4F">
            <w:pPr>
              <w:pStyle w:val="6"/>
              <w:spacing w:before="16" w:line="210" w:lineRule="auto"/>
              <w:ind w:left="107"/>
            </w:pPr>
            <w:r>
              <w:rPr>
                <w:b/>
                <w:bCs/>
                <w:spacing w:val="1"/>
              </w:rPr>
              <w:t>能要点</w:t>
            </w:r>
          </w:p>
        </w:tc>
        <w:tc>
          <w:tcPr>
            <w:tcW w:w="2484" w:type="dxa"/>
            <w:vMerge w:val="restart"/>
            <w:tcBorders>
              <w:bottom w:val="nil"/>
            </w:tcBorders>
            <w:vAlign w:val="top"/>
          </w:tcPr>
          <w:p w14:paraId="37F04E6B">
            <w:pPr>
              <w:pStyle w:val="6"/>
              <w:spacing w:before="139" w:line="219" w:lineRule="auto"/>
              <w:ind w:left="924"/>
            </w:pPr>
            <w:r>
              <w:rPr>
                <w:b/>
                <w:bCs/>
                <w:spacing w:val="5"/>
              </w:rPr>
              <w:t>考试条目</w:t>
            </w:r>
          </w:p>
        </w:tc>
        <w:tc>
          <w:tcPr>
            <w:tcW w:w="923" w:type="dxa"/>
            <w:gridSpan w:val="4"/>
            <w:vAlign w:val="top"/>
          </w:tcPr>
          <w:p w14:paraId="0AFB0CE6">
            <w:pPr>
              <w:pStyle w:val="6"/>
              <w:spacing w:before="28" w:line="201" w:lineRule="auto"/>
              <w:ind w:left="130"/>
            </w:pPr>
            <w:r>
              <w:rPr>
                <w:b/>
                <w:bCs/>
                <w:spacing w:val="-4"/>
              </w:rPr>
              <w:t>考试水平</w:t>
            </w:r>
          </w:p>
        </w:tc>
      </w:tr>
      <w:tr w14:paraId="0C0351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0" w:hRule="atLeast"/>
        </w:trPr>
        <w:tc>
          <w:tcPr>
            <w:tcW w:w="733" w:type="dxa"/>
            <w:vMerge w:val="continue"/>
            <w:tcBorders>
              <w:top w:val="nil"/>
            </w:tcBorders>
            <w:vAlign w:val="top"/>
          </w:tcPr>
          <w:p w14:paraId="21423F9B">
            <w:pPr>
              <w:rPr>
                <w:rFonts w:ascii="Arial"/>
                <w:sz w:val="21"/>
              </w:rPr>
            </w:pPr>
          </w:p>
        </w:tc>
        <w:tc>
          <w:tcPr>
            <w:tcW w:w="2484" w:type="dxa"/>
            <w:vMerge w:val="continue"/>
            <w:tcBorders>
              <w:top w:val="nil"/>
            </w:tcBorders>
            <w:vAlign w:val="top"/>
          </w:tcPr>
          <w:p w14:paraId="704E9E0C">
            <w:pPr>
              <w:rPr>
                <w:rFonts w:ascii="Arial"/>
                <w:sz w:val="21"/>
              </w:rPr>
            </w:pPr>
          </w:p>
        </w:tc>
        <w:tc>
          <w:tcPr>
            <w:tcW w:w="230" w:type="dxa"/>
            <w:vAlign w:val="top"/>
          </w:tcPr>
          <w:p w14:paraId="038D3C19">
            <w:pPr>
              <w:pStyle w:val="6"/>
              <w:spacing w:before="60" w:line="140" w:lineRule="exact"/>
              <w:ind w:left="48"/>
            </w:pPr>
            <w:r>
              <w:rPr>
                <w:position w:val="-2"/>
              </w:rPr>
              <w:t>A</w:t>
            </w:r>
          </w:p>
        </w:tc>
        <w:tc>
          <w:tcPr>
            <w:tcW w:w="230" w:type="dxa"/>
            <w:vAlign w:val="top"/>
          </w:tcPr>
          <w:p w14:paraId="22249ED0">
            <w:pPr>
              <w:pStyle w:val="6"/>
              <w:spacing w:before="62" w:line="138" w:lineRule="exact"/>
              <w:ind w:left="20"/>
            </w:pPr>
            <w:r>
              <w:rPr>
                <w:b/>
                <w:bCs/>
                <w:spacing w:val="-2"/>
                <w:position w:val="-2"/>
              </w:rPr>
              <w:t>B</w:t>
            </w:r>
          </w:p>
        </w:tc>
        <w:tc>
          <w:tcPr>
            <w:tcW w:w="229" w:type="dxa"/>
            <w:vAlign w:val="top"/>
          </w:tcPr>
          <w:p w14:paraId="40441898">
            <w:pPr>
              <w:pStyle w:val="6"/>
              <w:spacing w:before="61" w:line="138" w:lineRule="exact"/>
              <w:ind w:left="17"/>
            </w:pPr>
            <w:r>
              <w:rPr>
                <w:position w:val="-2"/>
              </w:rPr>
              <w:t>C</w:t>
            </w:r>
          </w:p>
        </w:tc>
        <w:tc>
          <w:tcPr>
            <w:tcW w:w="234" w:type="dxa"/>
            <w:vAlign w:val="top"/>
          </w:tcPr>
          <w:p w14:paraId="5D6BFF86">
            <w:pPr>
              <w:pStyle w:val="6"/>
              <w:spacing w:before="62" w:line="138" w:lineRule="exact"/>
              <w:ind w:left="19"/>
            </w:pPr>
            <w:r>
              <w:rPr>
                <w:position w:val="-2"/>
              </w:rPr>
              <w:t>D</w:t>
            </w:r>
          </w:p>
        </w:tc>
      </w:tr>
      <w:tr w14:paraId="255456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9" w:hRule="atLeast"/>
        </w:trPr>
        <w:tc>
          <w:tcPr>
            <w:tcW w:w="733" w:type="dxa"/>
            <w:vAlign w:val="top"/>
          </w:tcPr>
          <w:p w14:paraId="3F896CC7">
            <w:pPr>
              <w:pStyle w:val="6"/>
              <w:spacing w:before="42" w:line="210" w:lineRule="auto"/>
              <w:ind w:left="105" w:right="100"/>
            </w:pPr>
            <w:r>
              <w:rPr>
                <w:spacing w:val="2"/>
              </w:rPr>
              <w:t>电磁感</w:t>
            </w:r>
            <w:r>
              <w:t xml:space="preserve"> </w:t>
            </w:r>
            <w:r>
              <w:rPr>
                <w:spacing w:val="-2"/>
              </w:rPr>
              <w:t>应现象</w:t>
            </w:r>
          </w:p>
        </w:tc>
        <w:tc>
          <w:tcPr>
            <w:tcW w:w="2484" w:type="dxa"/>
            <w:vAlign w:val="top"/>
          </w:tcPr>
          <w:p w14:paraId="11C28791">
            <w:pPr>
              <w:pStyle w:val="6"/>
              <w:spacing w:before="138" w:line="219" w:lineRule="auto"/>
              <w:ind w:left="12"/>
            </w:pPr>
            <w:r>
              <w:rPr>
                <w:spacing w:val="1"/>
              </w:rPr>
              <w:t>电磁感应现象</w:t>
            </w:r>
          </w:p>
        </w:tc>
        <w:tc>
          <w:tcPr>
            <w:tcW w:w="230" w:type="dxa"/>
            <w:vAlign w:val="top"/>
          </w:tcPr>
          <w:p w14:paraId="321A86CE">
            <w:pPr>
              <w:rPr>
                <w:rFonts w:ascii="Arial"/>
                <w:sz w:val="21"/>
              </w:rPr>
            </w:pPr>
          </w:p>
        </w:tc>
        <w:tc>
          <w:tcPr>
            <w:tcW w:w="230" w:type="dxa"/>
            <w:vAlign w:val="top"/>
          </w:tcPr>
          <w:p w14:paraId="01790E4D">
            <w:pPr>
              <w:spacing w:before="157" w:line="135" w:lineRule="exact"/>
              <w:ind w:firstLine="59"/>
            </w:pPr>
            <w:r>
              <w:rPr>
                <w:position w:val="-2"/>
              </w:rPr>
              <w:drawing>
                <wp:inline distT="0" distB="0" distL="0" distR="0">
                  <wp:extent cx="78740" cy="85090"/>
                  <wp:effectExtent l="0" t="0" r="0" b="0"/>
                  <wp:docPr id="428" name="IM 428"/>
                  <wp:cNvGraphicFramePr/>
                  <a:graphic xmlns:a="http://schemas.openxmlformats.org/drawingml/2006/main">
                    <a:graphicData uri="http://schemas.openxmlformats.org/drawingml/2006/picture">
                      <pic:pic xmlns:pic="http://schemas.openxmlformats.org/drawingml/2006/picture">
                        <pic:nvPicPr>
                          <pic:cNvPr id="428" name="IM 428"/>
                          <pic:cNvPicPr/>
                        </pic:nvPicPr>
                        <pic:blipFill>
                          <a:blip r:embed="rId378"/>
                          <a:stretch>
                            <a:fillRect/>
                          </a:stretch>
                        </pic:blipFill>
                        <pic:spPr>
                          <a:xfrm>
                            <a:off x="0" y="0"/>
                            <a:ext cx="79367" cy="85703"/>
                          </a:xfrm>
                          <a:prstGeom prst="rect">
                            <a:avLst/>
                          </a:prstGeom>
                        </pic:spPr>
                      </pic:pic>
                    </a:graphicData>
                  </a:graphic>
                </wp:inline>
              </w:drawing>
            </w:r>
          </w:p>
        </w:tc>
        <w:tc>
          <w:tcPr>
            <w:tcW w:w="229" w:type="dxa"/>
            <w:vAlign w:val="top"/>
          </w:tcPr>
          <w:p w14:paraId="26F78794">
            <w:pPr>
              <w:rPr>
                <w:rFonts w:ascii="Arial"/>
                <w:sz w:val="21"/>
              </w:rPr>
            </w:pPr>
          </w:p>
        </w:tc>
        <w:tc>
          <w:tcPr>
            <w:tcW w:w="234" w:type="dxa"/>
            <w:vAlign w:val="top"/>
          </w:tcPr>
          <w:p w14:paraId="0379E13F">
            <w:pPr>
              <w:rPr>
                <w:rFonts w:ascii="Arial"/>
                <w:sz w:val="21"/>
              </w:rPr>
            </w:pPr>
          </w:p>
        </w:tc>
      </w:tr>
      <w:tr w14:paraId="4AC09D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9" w:hRule="atLeast"/>
        </w:trPr>
        <w:tc>
          <w:tcPr>
            <w:tcW w:w="733" w:type="dxa"/>
            <w:vAlign w:val="top"/>
          </w:tcPr>
          <w:p w14:paraId="5F4D214A">
            <w:pPr>
              <w:pStyle w:val="6"/>
              <w:spacing w:before="50" w:line="184" w:lineRule="auto"/>
              <w:ind w:left="184" w:right="115" w:hanging="79"/>
              <w:jc w:val="both"/>
            </w:pPr>
            <w:r>
              <w:rPr>
                <w:spacing w:val="-3"/>
              </w:rPr>
              <w:t>感应电</w:t>
            </w:r>
            <w:r>
              <w:t xml:space="preserve"> </w:t>
            </w:r>
            <w:r>
              <w:rPr>
                <w:spacing w:val="6"/>
              </w:rPr>
              <w:t>流的</w:t>
            </w:r>
            <w:r>
              <w:t xml:space="preserve">  </w:t>
            </w:r>
            <w:r>
              <w:rPr>
                <w:spacing w:val="8"/>
              </w:rPr>
              <w:t>方向</w:t>
            </w:r>
          </w:p>
        </w:tc>
        <w:tc>
          <w:tcPr>
            <w:tcW w:w="2484" w:type="dxa"/>
            <w:vAlign w:val="top"/>
          </w:tcPr>
          <w:p w14:paraId="67746893">
            <w:pPr>
              <w:pStyle w:val="6"/>
              <w:spacing w:before="110" w:line="223" w:lineRule="auto"/>
              <w:ind w:left="12" w:right="1596"/>
            </w:pPr>
            <w:r>
              <w:rPr>
                <w:spacing w:val="2"/>
              </w:rPr>
              <w:t xml:space="preserve">1.右手定则 </w:t>
            </w:r>
            <w:r>
              <w:rPr>
                <w:spacing w:val="-2"/>
              </w:rPr>
              <w:t>2.楞次定律</w:t>
            </w:r>
          </w:p>
        </w:tc>
        <w:tc>
          <w:tcPr>
            <w:tcW w:w="230" w:type="dxa"/>
            <w:vAlign w:val="top"/>
          </w:tcPr>
          <w:p w14:paraId="11993738">
            <w:pPr>
              <w:rPr>
                <w:rFonts w:ascii="Arial"/>
                <w:sz w:val="21"/>
              </w:rPr>
            </w:pPr>
          </w:p>
        </w:tc>
        <w:tc>
          <w:tcPr>
            <w:tcW w:w="230" w:type="dxa"/>
            <w:vAlign w:val="top"/>
          </w:tcPr>
          <w:p w14:paraId="6B0959D5">
            <w:pPr>
              <w:rPr>
                <w:rFonts w:ascii="Arial"/>
                <w:sz w:val="21"/>
              </w:rPr>
            </w:pPr>
          </w:p>
        </w:tc>
        <w:tc>
          <w:tcPr>
            <w:tcW w:w="229" w:type="dxa"/>
            <w:vAlign w:val="top"/>
          </w:tcPr>
          <w:p w14:paraId="41F6FCCC">
            <w:pPr>
              <w:spacing w:before="162" w:line="276" w:lineRule="exact"/>
              <w:ind w:firstLine="39"/>
            </w:pPr>
            <w:r>
              <w:rPr>
                <w:position w:val="-5"/>
              </w:rPr>
              <w:drawing>
                <wp:inline distT="0" distB="0" distL="0" distR="0">
                  <wp:extent cx="92075" cy="175260"/>
                  <wp:effectExtent l="0" t="0" r="0" b="0"/>
                  <wp:docPr id="430" name="IM 430"/>
                  <wp:cNvGraphicFramePr/>
                  <a:graphic xmlns:a="http://schemas.openxmlformats.org/drawingml/2006/main">
                    <a:graphicData uri="http://schemas.openxmlformats.org/drawingml/2006/picture">
                      <pic:pic xmlns:pic="http://schemas.openxmlformats.org/drawingml/2006/picture">
                        <pic:nvPicPr>
                          <pic:cNvPr id="430" name="IM 430"/>
                          <pic:cNvPicPr/>
                        </pic:nvPicPr>
                        <pic:blipFill>
                          <a:blip r:embed="rId379"/>
                          <a:stretch>
                            <a:fillRect/>
                          </a:stretch>
                        </pic:blipFill>
                        <pic:spPr>
                          <a:xfrm>
                            <a:off x="0" y="0"/>
                            <a:ext cx="92633" cy="175294"/>
                          </a:xfrm>
                          <a:prstGeom prst="rect">
                            <a:avLst/>
                          </a:prstGeom>
                        </pic:spPr>
                      </pic:pic>
                    </a:graphicData>
                  </a:graphic>
                </wp:inline>
              </w:drawing>
            </w:r>
          </w:p>
        </w:tc>
        <w:tc>
          <w:tcPr>
            <w:tcW w:w="234" w:type="dxa"/>
            <w:vAlign w:val="top"/>
          </w:tcPr>
          <w:p w14:paraId="706280FC">
            <w:pPr>
              <w:rPr>
                <w:rFonts w:ascii="Arial"/>
                <w:sz w:val="21"/>
              </w:rPr>
            </w:pPr>
          </w:p>
        </w:tc>
      </w:tr>
      <w:tr w14:paraId="262EB8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8" w:hRule="atLeast"/>
        </w:trPr>
        <w:tc>
          <w:tcPr>
            <w:tcW w:w="733" w:type="dxa"/>
            <w:vAlign w:val="top"/>
          </w:tcPr>
          <w:p w14:paraId="04EE8F39">
            <w:pPr>
              <w:pStyle w:val="6"/>
              <w:spacing w:before="144" w:line="205" w:lineRule="auto"/>
              <w:ind w:left="105" w:right="100"/>
            </w:pPr>
            <w:r>
              <w:rPr>
                <w:spacing w:val="2"/>
              </w:rPr>
              <w:t>电磁感</w:t>
            </w:r>
            <w:r>
              <w:t xml:space="preserve"> </w:t>
            </w:r>
            <w:r>
              <w:rPr>
                <w:spacing w:val="-2"/>
              </w:rPr>
              <w:t>应定律</w:t>
            </w:r>
          </w:p>
        </w:tc>
        <w:tc>
          <w:tcPr>
            <w:tcW w:w="2484" w:type="dxa"/>
            <w:vAlign w:val="top"/>
          </w:tcPr>
          <w:p w14:paraId="000E4B47">
            <w:pPr>
              <w:pStyle w:val="6"/>
              <w:spacing w:before="60" w:line="195" w:lineRule="auto"/>
              <w:ind w:left="12"/>
            </w:pPr>
            <w:r>
              <w:rPr>
                <w:spacing w:val="1"/>
              </w:rPr>
              <w:t>1.感应电动势</w:t>
            </w:r>
          </w:p>
          <w:p w14:paraId="53B8F752">
            <w:pPr>
              <w:pStyle w:val="6"/>
              <w:spacing w:line="205" w:lineRule="auto"/>
              <w:ind w:left="12" w:right="238"/>
            </w:pPr>
            <w:r>
              <w:t>2.切割磁感线时的感应电动势</w:t>
            </w:r>
            <w:r>
              <w:rPr>
                <w:spacing w:val="12"/>
              </w:rPr>
              <w:t xml:space="preserve"> </w:t>
            </w:r>
            <w:r>
              <w:rPr>
                <w:spacing w:val="-1"/>
              </w:rPr>
              <w:t>3.电磁感应定律</w:t>
            </w:r>
          </w:p>
        </w:tc>
        <w:tc>
          <w:tcPr>
            <w:tcW w:w="230" w:type="dxa"/>
            <w:vAlign w:val="top"/>
          </w:tcPr>
          <w:p w14:paraId="23366369">
            <w:pPr>
              <w:rPr>
                <w:rFonts w:ascii="Arial"/>
                <w:sz w:val="21"/>
              </w:rPr>
            </w:pPr>
          </w:p>
        </w:tc>
        <w:tc>
          <w:tcPr>
            <w:tcW w:w="230" w:type="dxa"/>
            <w:vAlign w:val="top"/>
          </w:tcPr>
          <w:p w14:paraId="4335E86A">
            <w:pPr>
              <w:spacing w:before="117" w:line="268" w:lineRule="exact"/>
              <w:ind w:firstLine="51"/>
            </w:pPr>
            <w:r>
              <w:rPr>
                <w:position w:val="-5"/>
              </w:rPr>
              <w:drawing>
                <wp:inline distT="0" distB="0" distL="0" distR="0">
                  <wp:extent cx="82550" cy="169545"/>
                  <wp:effectExtent l="0" t="0" r="0" b="0"/>
                  <wp:docPr id="432" name="IM 432"/>
                  <wp:cNvGraphicFramePr/>
                  <a:graphic xmlns:a="http://schemas.openxmlformats.org/drawingml/2006/main">
                    <a:graphicData uri="http://schemas.openxmlformats.org/drawingml/2006/picture">
                      <pic:pic xmlns:pic="http://schemas.openxmlformats.org/drawingml/2006/picture">
                        <pic:nvPicPr>
                          <pic:cNvPr id="432" name="IM 432"/>
                          <pic:cNvPicPr/>
                        </pic:nvPicPr>
                        <pic:blipFill>
                          <a:blip r:embed="rId380"/>
                          <a:stretch>
                            <a:fillRect/>
                          </a:stretch>
                        </pic:blipFill>
                        <pic:spPr>
                          <a:xfrm>
                            <a:off x="0" y="0"/>
                            <a:ext cx="82953" cy="170082"/>
                          </a:xfrm>
                          <a:prstGeom prst="rect">
                            <a:avLst/>
                          </a:prstGeom>
                        </pic:spPr>
                      </pic:pic>
                    </a:graphicData>
                  </a:graphic>
                </wp:inline>
              </w:drawing>
            </w:r>
          </w:p>
        </w:tc>
        <w:tc>
          <w:tcPr>
            <w:tcW w:w="229" w:type="dxa"/>
            <w:vAlign w:val="top"/>
          </w:tcPr>
          <w:p w14:paraId="6C442E69">
            <w:pPr>
              <w:rPr>
                <w:rFonts w:ascii="Arial"/>
                <w:sz w:val="21"/>
              </w:rPr>
            </w:pPr>
          </w:p>
        </w:tc>
        <w:tc>
          <w:tcPr>
            <w:tcW w:w="234" w:type="dxa"/>
            <w:vAlign w:val="top"/>
          </w:tcPr>
          <w:p w14:paraId="6EB7CEDE">
            <w:pPr>
              <w:spacing w:line="427" w:lineRule="auto"/>
              <w:rPr>
                <w:rFonts w:ascii="Arial"/>
                <w:sz w:val="21"/>
              </w:rPr>
            </w:pPr>
          </w:p>
          <w:p w14:paraId="4A7B3571">
            <w:pPr>
              <w:spacing w:line="135" w:lineRule="exact"/>
              <w:ind w:firstLine="49"/>
            </w:pPr>
            <w:r>
              <w:rPr>
                <w:position w:val="-2"/>
              </w:rPr>
              <w:drawing>
                <wp:inline distT="0" distB="0" distL="0" distR="0">
                  <wp:extent cx="80010" cy="85090"/>
                  <wp:effectExtent l="0" t="0" r="0" b="0"/>
                  <wp:docPr id="434" name="IM 434"/>
                  <wp:cNvGraphicFramePr/>
                  <a:graphic xmlns:a="http://schemas.openxmlformats.org/drawingml/2006/main">
                    <a:graphicData uri="http://schemas.openxmlformats.org/drawingml/2006/picture">
                      <pic:pic xmlns:pic="http://schemas.openxmlformats.org/drawingml/2006/picture">
                        <pic:nvPicPr>
                          <pic:cNvPr id="434" name="IM 434"/>
                          <pic:cNvPicPr/>
                        </pic:nvPicPr>
                        <pic:blipFill>
                          <a:blip r:embed="rId381"/>
                          <a:stretch>
                            <a:fillRect/>
                          </a:stretch>
                        </pic:blipFill>
                        <pic:spPr>
                          <a:xfrm>
                            <a:off x="0" y="0"/>
                            <a:ext cx="80015" cy="85703"/>
                          </a:xfrm>
                          <a:prstGeom prst="rect">
                            <a:avLst/>
                          </a:prstGeom>
                        </pic:spPr>
                      </pic:pic>
                    </a:graphicData>
                  </a:graphic>
                </wp:inline>
              </w:drawing>
            </w:r>
          </w:p>
        </w:tc>
      </w:tr>
      <w:tr w14:paraId="058E9E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8" w:hRule="atLeast"/>
        </w:trPr>
        <w:tc>
          <w:tcPr>
            <w:tcW w:w="733" w:type="dxa"/>
            <w:vAlign w:val="top"/>
          </w:tcPr>
          <w:p w14:paraId="34DFA4CE">
            <w:pPr>
              <w:pStyle w:val="6"/>
              <w:spacing w:before="212" w:line="207" w:lineRule="auto"/>
              <w:ind w:left="184" w:right="189"/>
            </w:pPr>
            <w:r>
              <w:rPr>
                <w:spacing w:val="4"/>
              </w:rPr>
              <w:t>自感</w:t>
            </w:r>
            <w:r>
              <w:t xml:space="preserve"> </w:t>
            </w:r>
            <w:r>
              <w:rPr>
                <w:spacing w:val="-2"/>
              </w:rPr>
              <w:t>现象</w:t>
            </w:r>
          </w:p>
        </w:tc>
        <w:tc>
          <w:tcPr>
            <w:tcW w:w="2484" w:type="dxa"/>
            <w:vAlign w:val="top"/>
          </w:tcPr>
          <w:p w14:paraId="441C9E5E">
            <w:pPr>
              <w:pStyle w:val="6"/>
              <w:spacing w:before="32" w:line="206" w:lineRule="auto"/>
              <w:ind w:left="12"/>
            </w:pPr>
            <w:r>
              <w:rPr>
                <w:spacing w:val="-5"/>
              </w:rPr>
              <w:t>1.</w:t>
            </w:r>
            <w:r>
              <w:rPr>
                <w:spacing w:val="-45"/>
              </w:rPr>
              <w:t xml:space="preserve"> </w:t>
            </w:r>
            <w:r>
              <w:rPr>
                <w:spacing w:val="-5"/>
              </w:rPr>
              <w:t>自感现象</w:t>
            </w:r>
          </w:p>
          <w:p w14:paraId="4372B4B5">
            <w:pPr>
              <w:pStyle w:val="6"/>
              <w:spacing w:line="194" w:lineRule="auto"/>
              <w:ind w:left="12"/>
            </w:pPr>
            <w:r>
              <w:rPr>
                <w:spacing w:val="-6"/>
              </w:rPr>
              <w:t>2.</w:t>
            </w:r>
            <w:r>
              <w:rPr>
                <w:spacing w:val="-51"/>
              </w:rPr>
              <w:t xml:space="preserve"> </w:t>
            </w:r>
            <w:r>
              <w:rPr>
                <w:spacing w:val="-6"/>
              </w:rPr>
              <w:t>自感系数</w:t>
            </w:r>
          </w:p>
          <w:p w14:paraId="09C59A75">
            <w:pPr>
              <w:pStyle w:val="6"/>
              <w:spacing w:line="196" w:lineRule="auto"/>
              <w:ind w:left="12"/>
              <w:rPr>
                <w:sz w:val="16"/>
                <w:szCs w:val="16"/>
              </w:rPr>
            </w:pPr>
            <w:r>
              <w:rPr>
                <w:spacing w:val="3"/>
                <w:sz w:val="16"/>
                <w:szCs w:val="16"/>
              </w:rPr>
              <w:t>3.</w:t>
            </w:r>
            <w:r>
              <w:rPr>
                <w:spacing w:val="-30"/>
                <w:sz w:val="16"/>
                <w:szCs w:val="16"/>
              </w:rPr>
              <w:t xml:space="preserve"> </w:t>
            </w:r>
            <w:r>
              <w:rPr>
                <w:spacing w:val="3"/>
                <w:sz w:val="16"/>
                <w:szCs w:val="16"/>
              </w:rPr>
              <w:t>自感电动势</w:t>
            </w:r>
          </w:p>
          <w:p w14:paraId="3CB1E550">
            <w:pPr>
              <w:pStyle w:val="6"/>
              <w:spacing w:line="192" w:lineRule="auto"/>
              <w:ind w:left="12"/>
              <w:rPr>
                <w:sz w:val="16"/>
                <w:szCs w:val="16"/>
              </w:rPr>
            </w:pPr>
            <w:r>
              <w:rPr>
                <w:spacing w:val="5"/>
                <w:sz w:val="16"/>
                <w:szCs w:val="16"/>
              </w:rPr>
              <w:t>4.</w:t>
            </w:r>
            <w:r>
              <w:rPr>
                <w:spacing w:val="-32"/>
                <w:sz w:val="16"/>
                <w:szCs w:val="16"/>
              </w:rPr>
              <w:t xml:space="preserve"> </w:t>
            </w:r>
            <w:r>
              <w:rPr>
                <w:spacing w:val="5"/>
                <w:sz w:val="16"/>
                <w:szCs w:val="16"/>
              </w:rPr>
              <w:t>自感现象应用</w:t>
            </w:r>
          </w:p>
        </w:tc>
        <w:tc>
          <w:tcPr>
            <w:tcW w:w="230" w:type="dxa"/>
            <w:vAlign w:val="top"/>
          </w:tcPr>
          <w:p w14:paraId="4EE70B32">
            <w:pPr>
              <w:rPr>
                <w:rFonts w:ascii="Arial"/>
                <w:sz w:val="21"/>
              </w:rPr>
            </w:pPr>
          </w:p>
        </w:tc>
        <w:tc>
          <w:tcPr>
            <w:tcW w:w="230" w:type="dxa"/>
            <w:vAlign w:val="top"/>
          </w:tcPr>
          <w:p w14:paraId="0840350E">
            <w:pPr>
              <w:rPr>
                <w:rFonts w:ascii="Arial"/>
                <w:sz w:val="21"/>
              </w:rPr>
            </w:pPr>
          </w:p>
        </w:tc>
        <w:tc>
          <w:tcPr>
            <w:tcW w:w="229" w:type="dxa"/>
            <w:vAlign w:val="top"/>
          </w:tcPr>
          <w:p w14:paraId="303C699D">
            <w:pPr>
              <w:rPr>
                <w:rFonts w:ascii="Arial"/>
                <w:sz w:val="21"/>
              </w:rPr>
            </w:pPr>
          </w:p>
        </w:tc>
        <w:tc>
          <w:tcPr>
            <w:tcW w:w="234" w:type="dxa"/>
            <w:vAlign w:val="top"/>
          </w:tcPr>
          <w:p w14:paraId="5203AD28">
            <w:pPr>
              <w:rPr>
                <w:rFonts w:ascii="Arial"/>
                <w:sz w:val="21"/>
              </w:rPr>
            </w:pPr>
          </w:p>
        </w:tc>
      </w:tr>
      <w:tr w14:paraId="6A869D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9" w:hRule="atLeast"/>
        </w:trPr>
        <w:tc>
          <w:tcPr>
            <w:tcW w:w="733" w:type="dxa"/>
            <w:vAlign w:val="top"/>
          </w:tcPr>
          <w:p w14:paraId="5C75B7C9">
            <w:pPr>
              <w:pStyle w:val="6"/>
              <w:spacing w:before="68" w:line="196" w:lineRule="auto"/>
              <w:ind w:left="184" w:right="206"/>
            </w:pPr>
            <w:r>
              <w:rPr>
                <w:spacing w:val="-5"/>
              </w:rPr>
              <w:t>互感</w:t>
            </w:r>
            <w:r>
              <w:t xml:space="preserve"> </w:t>
            </w:r>
            <w:r>
              <w:rPr>
                <w:spacing w:val="-4"/>
              </w:rPr>
              <w:t>现象</w:t>
            </w:r>
          </w:p>
        </w:tc>
        <w:tc>
          <w:tcPr>
            <w:tcW w:w="2484" w:type="dxa"/>
            <w:vAlign w:val="top"/>
          </w:tcPr>
          <w:p w14:paraId="5D1BB3D0">
            <w:pPr>
              <w:pStyle w:val="6"/>
              <w:spacing w:before="144" w:line="219" w:lineRule="auto"/>
              <w:ind w:left="12"/>
            </w:pPr>
            <w:r>
              <w:rPr>
                <w:spacing w:val="-2"/>
              </w:rPr>
              <w:t>互感现象</w:t>
            </w:r>
          </w:p>
        </w:tc>
        <w:tc>
          <w:tcPr>
            <w:tcW w:w="230" w:type="dxa"/>
            <w:vAlign w:val="top"/>
          </w:tcPr>
          <w:p w14:paraId="669CB8D5">
            <w:pPr>
              <w:rPr>
                <w:rFonts w:ascii="Arial"/>
                <w:sz w:val="21"/>
              </w:rPr>
            </w:pPr>
          </w:p>
        </w:tc>
        <w:tc>
          <w:tcPr>
            <w:tcW w:w="230" w:type="dxa"/>
            <w:vAlign w:val="top"/>
          </w:tcPr>
          <w:p w14:paraId="18E420D6">
            <w:pPr>
              <w:rPr>
                <w:rFonts w:ascii="Arial"/>
                <w:sz w:val="21"/>
              </w:rPr>
            </w:pPr>
          </w:p>
        </w:tc>
        <w:tc>
          <w:tcPr>
            <w:tcW w:w="229" w:type="dxa"/>
            <w:vAlign w:val="top"/>
          </w:tcPr>
          <w:p w14:paraId="00C8791B">
            <w:pPr>
              <w:rPr>
                <w:rFonts w:ascii="Arial"/>
                <w:sz w:val="21"/>
              </w:rPr>
            </w:pPr>
          </w:p>
        </w:tc>
        <w:tc>
          <w:tcPr>
            <w:tcW w:w="234" w:type="dxa"/>
            <w:vAlign w:val="top"/>
          </w:tcPr>
          <w:p w14:paraId="48271A2C">
            <w:pPr>
              <w:rPr>
                <w:rFonts w:ascii="Arial"/>
                <w:sz w:val="21"/>
              </w:rPr>
            </w:pPr>
          </w:p>
        </w:tc>
      </w:tr>
      <w:tr w14:paraId="55E1DF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53" w:hRule="atLeast"/>
        </w:trPr>
        <w:tc>
          <w:tcPr>
            <w:tcW w:w="733" w:type="dxa"/>
            <w:vAlign w:val="top"/>
          </w:tcPr>
          <w:p w14:paraId="6BD09195">
            <w:pPr>
              <w:pStyle w:val="6"/>
              <w:spacing w:before="67" w:line="207" w:lineRule="auto"/>
              <w:ind w:left="184" w:right="100" w:hanging="79"/>
            </w:pPr>
            <w:r>
              <w:rPr>
                <w:spacing w:val="2"/>
              </w:rPr>
              <w:t>电磁感</w:t>
            </w:r>
            <w:r>
              <w:t xml:space="preserve"> </w:t>
            </w:r>
            <w:r>
              <w:rPr>
                <w:spacing w:val="-4"/>
              </w:rPr>
              <w:t>应的</w:t>
            </w:r>
            <w:r>
              <w:t xml:space="preserve">  </w:t>
            </w:r>
            <w:r>
              <w:rPr>
                <w:spacing w:val="10"/>
              </w:rPr>
              <w:t>应用</w:t>
            </w:r>
          </w:p>
        </w:tc>
        <w:tc>
          <w:tcPr>
            <w:tcW w:w="2484" w:type="dxa"/>
            <w:vAlign w:val="top"/>
          </w:tcPr>
          <w:p w14:paraId="1BE7E779">
            <w:pPr>
              <w:pStyle w:val="6"/>
              <w:spacing w:before="56" w:line="194" w:lineRule="auto"/>
              <w:ind w:left="12"/>
            </w:pPr>
            <w:r>
              <w:rPr>
                <w:spacing w:val="1"/>
              </w:rPr>
              <w:t>1.涡流</w:t>
            </w:r>
          </w:p>
          <w:p w14:paraId="42903D95">
            <w:pPr>
              <w:pStyle w:val="6"/>
              <w:spacing w:line="207" w:lineRule="auto"/>
              <w:ind w:left="12" w:right="1450"/>
            </w:pPr>
            <w:r>
              <w:rPr>
                <w:spacing w:val="-2"/>
              </w:rPr>
              <w:t>2.动圈式话筒</w:t>
            </w:r>
            <w:r>
              <w:rPr>
                <w:spacing w:val="4"/>
              </w:rPr>
              <w:t xml:space="preserve"> </w:t>
            </w:r>
            <w:r>
              <w:rPr>
                <w:spacing w:val="-3"/>
              </w:rPr>
              <w:t>3.磁屏蔽</w:t>
            </w:r>
          </w:p>
        </w:tc>
        <w:tc>
          <w:tcPr>
            <w:tcW w:w="230" w:type="dxa"/>
            <w:vAlign w:val="top"/>
          </w:tcPr>
          <w:p w14:paraId="6E518F56">
            <w:pPr>
              <w:rPr>
                <w:rFonts w:ascii="Arial"/>
                <w:sz w:val="21"/>
              </w:rPr>
            </w:pPr>
          </w:p>
        </w:tc>
        <w:tc>
          <w:tcPr>
            <w:tcW w:w="230" w:type="dxa"/>
            <w:vAlign w:val="top"/>
          </w:tcPr>
          <w:p w14:paraId="2450A2B4">
            <w:pPr>
              <w:spacing w:line="242" w:lineRule="auto"/>
              <w:rPr>
                <w:rFonts w:ascii="Arial"/>
                <w:sz w:val="21"/>
              </w:rPr>
            </w:pPr>
          </w:p>
          <w:p w14:paraId="7037AB81">
            <w:pPr>
              <w:spacing w:line="287" w:lineRule="exact"/>
              <w:ind w:firstLine="52"/>
            </w:pPr>
            <w:r>
              <w:rPr>
                <w:position w:val="-5"/>
              </w:rPr>
              <w:drawing>
                <wp:inline distT="0" distB="0" distL="0" distR="0">
                  <wp:extent cx="81915" cy="181610"/>
                  <wp:effectExtent l="0" t="0" r="0" b="0"/>
                  <wp:docPr id="436" name="IM 436"/>
                  <wp:cNvGraphicFramePr/>
                  <a:graphic xmlns:a="http://schemas.openxmlformats.org/drawingml/2006/main">
                    <a:graphicData uri="http://schemas.openxmlformats.org/drawingml/2006/picture">
                      <pic:pic xmlns:pic="http://schemas.openxmlformats.org/drawingml/2006/picture">
                        <pic:nvPicPr>
                          <pic:cNvPr id="436" name="IM 436"/>
                          <pic:cNvPicPr/>
                        </pic:nvPicPr>
                        <pic:blipFill>
                          <a:blip r:embed="rId382"/>
                          <a:stretch>
                            <a:fillRect/>
                          </a:stretch>
                        </pic:blipFill>
                        <pic:spPr>
                          <a:xfrm>
                            <a:off x="0" y="0"/>
                            <a:ext cx="82549" cy="181831"/>
                          </a:xfrm>
                          <a:prstGeom prst="rect">
                            <a:avLst/>
                          </a:prstGeom>
                        </pic:spPr>
                      </pic:pic>
                    </a:graphicData>
                  </a:graphic>
                </wp:inline>
              </w:drawing>
            </w:r>
          </w:p>
        </w:tc>
        <w:tc>
          <w:tcPr>
            <w:tcW w:w="229" w:type="dxa"/>
            <w:vAlign w:val="top"/>
          </w:tcPr>
          <w:p w14:paraId="1A031B88">
            <w:pPr>
              <w:rPr>
                <w:rFonts w:ascii="Arial"/>
                <w:sz w:val="21"/>
              </w:rPr>
            </w:pPr>
          </w:p>
        </w:tc>
        <w:tc>
          <w:tcPr>
            <w:tcW w:w="234" w:type="dxa"/>
            <w:vAlign w:val="top"/>
          </w:tcPr>
          <w:p w14:paraId="0D08EC68">
            <w:pPr>
              <w:rPr>
                <w:rFonts w:ascii="Arial"/>
                <w:sz w:val="21"/>
              </w:rPr>
            </w:pPr>
          </w:p>
        </w:tc>
      </w:tr>
    </w:tbl>
    <w:p w14:paraId="76AA43EA">
      <w:pPr>
        <w:spacing w:before="98" w:line="219" w:lineRule="auto"/>
        <w:ind w:left="957"/>
        <w:rPr>
          <w:rFonts w:ascii="宋体" w:hAnsi="宋体" w:eastAsia="宋体" w:cs="宋体"/>
          <w:sz w:val="17"/>
          <w:szCs w:val="17"/>
        </w:rPr>
      </w:pPr>
      <w:r>
        <w:rPr>
          <w:rFonts w:ascii="宋体" w:hAnsi="宋体" w:eastAsia="宋体" w:cs="宋体"/>
          <w:b/>
          <w:bCs/>
          <w:spacing w:val="-1"/>
          <w:sz w:val="17"/>
          <w:szCs w:val="17"/>
        </w:rPr>
        <w:t>第七章正弦交流电的基本概念</w:t>
      </w:r>
    </w:p>
    <w:p w14:paraId="66BF44A7">
      <w:pPr>
        <w:spacing w:line="50" w:lineRule="exact"/>
      </w:pPr>
    </w:p>
    <w:tbl>
      <w:tblPr>
        <w:tblStyle w:val="5"/>
        <w:tblW w:w="4140" w:type="dxa"/>
        <w:tblInd w:w="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43"/>
        <w:gridCol w:w="2484"/>
        <w:gridCol w:w="220"/>
        <w:gridCol w:w="230"/>
        <w:gridCol w:w="229"/>
        <w:gridCol w:w="234"/>
      </w:tblGrid>
      <w:tr w14:paraId="482593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4" w:hRule="atLeast"/>
        </w:trPr>
        <w:tc>
          <w:tcPr>
            <w:tcW w:w="743" w:type="dxa"/>
            <w:vMerge w:val="restart"/>
            <w:tcBorders>
              <w:bottom w:val="nil"/>
            </w:tcBorders>
            <w:vAlign w:val="top"/>
          </w:tcPr>
          <w:p w14:paraId="5075D2BD">
            <w:pPr>
              <w:pStyle w:val="6"/>
              <w:spacing w:before="31" w:line="218" w:lineRule="auto"/>
              <w:ind w:left="106" w:right="35" w:hanging="79"/>
            </w:pPr>
            <w:r>
              <w:rPr>
                <w:b/>
                <w:bCs/>
                <w:spacing w:val="-5"/>
              </w:rPr>
              <w:t>知识与技</w:t>
            </w:r>
            <w:r>
              <w:rPr>
                <w:spacing w:val="1"/>
              </w:rPr>
              <w:t xml:space="preserve"> </w:t>
            </w:r>
            <w:r>
              <w:rPr>
                <w:b/>
                <w:bCs/>
                <w:spacing w:val="1"/>
              </w:rPr>
              <w:t>能要点</w:t>
            </w:r>
          </w:p>
        </w:tc>
        <w:tc>
          <w:tcPr>
            <w:tcW w:w="2484" w:type="dxa"/>
            <w:vMerge w:val="restart"/>
            <w:tcBorders>
              <w:bottom w:val="nil"/>
            </w:tcBorders>
            <w:vAlign w:val="top"/>
          </w:tcPr>
          <w:p w14:paraId="293EDD69">
            <w:pPr>
              <w:pStyle w:val="6"/>
              <w:spacing w:before="139" w:line="219" w:lineRule="auto"/>
              <w:ind w:left="924"/>
            </w:pPr>
            <w:r>
              <w:rPr>
                <w:b/>
                <w:bCs/>
                <w:spacing w:val="5"/>
              </w:rPr>
              <w:t>考试条目</w:t>
            </w:r>
          </w:p>
        </w:tc>
        <w:tc>
          <w:tcPr>
            <w:tcW w:w="913" w:type="dxa"/>
            <w:gridSpan w:val="4"/>
            <w:vAlign w:val="top"/>
          </w:tcPr>
          <w:p w14:paraId="782E95D6">
            <w:pPr>
              <w:pStyle w:val="6"/>
              <w:spacing w:before="29" w:line="200" w:lineRule="auto"/>
              <w:ind w:left="130"/>
            </w:pPr>
            <w:r>
              <w:rPr>
                <w:b/>
                <w:bCs/>
                <w:spacing w:val="-4"/>
              </w:rPr>
              <w:t>考试水平</w:t>
            </w:r>
          </w:p>
        </w:tc>
      </w:tr>
      <w:tr w14:paraId="06928E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9" w:hRule="atLeast"/>
        </w:trPr>
        <w:tc>
          <w:tcPr>
            <w:tcW w:w="743" w:type="dxa"/>
            <w:vMerge w:val="continue"/>
            <w:tcBorders>
              <w:top w:val="nil"/>
            </w:tcBorders>
            <w:vAlign w:val="top"/>
          </w:tcPr>
          <w:p w14:paraId="6F19D0B3">
            <w:pPr>
              <w:rPr>
                <w:rFonts w:ascii="Arial"/>
                <w:sz w:val="21"/>
              </w:rPr>
            </w:pPr>
          </w:p>
        </w:tc>
        <w:tc>
          <w:tcPr>
            <w:tcW w:w="2484" w:type="dxa"/>
            <w:vMerge w:val="continue"/>
            <w:tcBorders>
              <w:top w:val="nil"/>
            </w:tcBorders>
            <w:vAlign w:val="top"/>
          </w:tcPr>
          <w:p w14:paraId="012AF8DC">
            <w:pPr>
              <w:rPr>
                <w:rFonts w:ascii="Arial"/>
                <w:sz w:val="21"/>
              </w:rPr>
            </w:pPr>
          </w:p>
        </w:tc>
        <w:tc>
          <w:tcPr>
            <w:tcW w:w="220" w:type="dxa"/>
            <w:vAlign w:val="top"/>
          </w:tcPr>
          <w:p w14:paraId="5B72D734">
            <w:pPr>
              <w:pStyle w:val="6"/>
              <w:spacing w:before="60" w:line="139" w:lineRule="exact"/>
              <w:ind w:left="30"/>
            </w:pPr>
            <w:r>
              <w:rPr>
                <w:b/>
                <w:bCs/>
                <w:spacing w:val="-2"/>
                <w:position w:val="-2"/>
              </w:rPr>
              <w:t>A</w:t>
            </w:r>
          </w:p>
        </w:tc>
        <w:tc>
          <w:tcPr>
            <w:tcW w:w="230" w:type="dxa"/>
            <w:vAlign w:val="top"/>
          </w:tcPr>
          <w:p w14:paraId="20C98A2D">
            <w:pPr>
              <w:pStyle w:val="6"/>
              <w:spacing w:before="63" w:line="136" w:lineRule="exact"/>
              <w:ind w:left="20"/>
            </w:pPr>
            <w:r>
              <w:rPr>
                <w:b/>
                <w:bCs/>
                <w:spacing w:val="-2"/>
                <w:position w:val="-2"/>
              </w:rPr>
              <w:t>B</w:t>
            </w:r>
          </w:p>
        </w:tc>
        <w:tc>
          <w:tcPr>
            <w:tcW w:w="229" w:type="dxa"/>
            <w:vAlign w:val="top"/>
          </w:tcPr>
          <w:p w14:paraId="192DE293">
            <w:pPr>
              <w:pStyle w:val="6"/>
              <w:spacing w:before="61" w:line="138" w:lineRule="exact"/>
              <w:ind w:left="17"/>
            </w:pPr>
            <w:r>
              <w:rPr>
                <w:position w:val="-2"/>
              </w:rPr>
              <w:t>C</w:t>
            </w:r>
          </w:p>
        </w:tc>
        <w:tc>
          <w:tcPr>
            <w:tcW w:w="234" w:type="dxa"/>
            <w:vAlign w:val="top"/>
          </w:tcPr>
          <w:p w14:paraId="52A9103B">
            <w:pPr>
              <w:pStyle w:val="6"/>
              <w:spacing w:before="63" w:line="136" w:lineRule="exact"/>
              <w:ind w:left="19"/>
            </w:pPr>
            <w:r>
              <w:rPr>
                <w:position w:val="-2"/>
              </w:rPr>
              <w:t>D</w:t>
            </w:r>
          </w:p>
        </w:tc>
      </w:tr>
      <w:tr w14:paraId="691A1C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17" w:hRule="atLeast"/>
        </w:trPr>
        <w:tc>
          <w:tcPr>
            <w:tcW w:w="743" w:type="dxa"/>
            <w:vAlign w:val="top"/>
          </w:tcPr>
          <w:p w14:paraId="2D3E355C">
            <w:pPr>
              <w:pStyle w:val="6"/>
              <w:spacing w:before="280" w:line="228" w:lineRule="auto"/>
              <w:ind w:left="105" w:right="107"/>
            </w:pPr>
            <w:r>
              <w:rPr>
                <w:spacing w:val="3"/>
              </w:rPr>
              <w:t>交流电</w:t>
            </w:r>
            <w:r>
              <w:t xml:space="preserve"> </w:t>
            </w:r>
            <w:r>
              <w:rPr>
                <w:spacing w:val="2"/>
              </w:rPr>
              <w:t>的产生</w:t>
            </w:r>
          </w:p>
        </w:tc>
        <w:tc>
          <w:tcPr>
            <w:tcW w:w="2484" w:type="dxa"/>
            <w:vAlign w:val="top"/>
          </w:tcPr>
          <w:p w14:paraId="10E0AA49">
            <w:pPr>
              <w:pStyle w:val="6"/>
              <w:spacing w:before="50" w:line="205" w:lineRule="auto"/>
              <w:ind w:left="2"/>
            </w:pPr>
            <w:r>
              <w:rPr>
                <w:spacing w:val="1"/>
              </w:rPr>
              <w:t>1.正弦交流电</w:t>
            </w:r>
          </w:p>
          <w:p w14:paraId="23C62C1E">
            <w:pPr>
              <w:pStyle w:val="6"/>
              <w:spacing w:line="219" w:lineRule="auto"/>
              <w:ind w:left="2"/>
            </w:pPr>
            <w:r>
              <w:rPr>
                <w:spacing w:val="-1"/>
              </w:rPr>
              <w:t>2.交流电的产生</w:t>
            </w:r>
          </w:p>
          <w:p w14:paraId="6FDD53D0">
            <w:pPr>
              <w:pStyle w:val="6"/>
              <w:spacing w:before="39" w:line="228" w:lineRule="auto"/>
              <w:ind w:left="2" w:right="1097"/>
            </w:pPr>
            <w:r>
              <w:rPr>
                <w:spacing w:val="1"/>
              </w:rPr>
              <w:t>3.交流电的波形图</w:t>
            </w:r>
            <w:r>
              <w:rPr>
                <w:spacing w:val="4"/>
              </w:rPr>
              <w:t xml:space="preserve"> </w:t>
            </w:r>
            <w:r>
              <w:rPr>
                <w:spacing w:val="-1"/>
              </w:rPr>
              <w:t>4.交流电发电机</w:t>
            </w:r>
          </w:p>
        </w:tc>
        <w:tc>
          <w:tcPr>
            <w:tcW w:w="220" w:type="dxa"/>
            <w:vAlign w:val="top"/>
          </w:tcPr>
          <w:p w14:paraId="16EED902">
            <w:pPr>
              <w:rPr>
                <w:rFonts w:ascii="Arial"/>
                <w:sz w:val="21"/>
              </w:rPr>
            </w:pPr>
          </w:p>
        </w:tc>
        <w:tc>
          <w:tcPr>
            <w:tcW w:w="230" w:type="dxa"/>
            <w:vAlign w:val="top"/>
          </w:tcPr>
          <w:p w14:paraId="282AFA63">
            <w:pPr>
              <w:rPr>
                <w:rFonts w:ascii="Arial"/>
                <w:sz w:val="21"/>
              </w:rPr>
            </w:pPr>
          </w:p>
        </w:tc>
        <w:tc>
          <w:tcPr>
            <w:tcW w:w="229" w:type="dxa"/>
            <w:vAlign w:val="top"/>
          </w:tcPr>
          <w:p w14:paraId="53C0FDFC">
            <w:pPr>
              <w:rPr>
                <w:rFonts w:ascii="Arial"/>
                <w:sz w:val="21"/>
              </w:rPr>
            </w:pPr>
          </w:p>
        </w:tc>
        <w:tc>
          <w:tcPr>
            <w:tcW w:w="234" w:type="dxa"/>
            <w:vAlign w:val="top"/>
          </w:tcPr>
          <w:p w14:paraId="12C0DD4A">
            <w:pPr>
              <w:rPr>
                <w:rFonts w:ascii="Arial"/>
                <w:sz w:val="21"/>
              </w:rPr>
            </w:pPr>
          </w:p>
        </w:tc>
      </w:tr>
      <w:tr w14:paraId="63CA48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07" w:hRule="atLeast"/>
        </w:trPr>
        <w:tc>
          <w:tcPr>
            <w:tcW w:w="743" w:type="dxa"/>
            <w:vAlign w:val="top"/>
          </w:tcPr>
          <w:p w14:paraId="45593AA4">
            <w:pPr>
              <w:pStyle w:val="6"/>
              <w:spacing w:before="42" w:line="237" w:lineRule="auto"/>
              <w:ind w:left="105" w:right="104"/>
              <w:jc w:val="both"/>
            </w:pPr>
            <w:r>
              <w:rPr>
                <w:spacing w:val="-2"/>
              </w:rPr>
              <w:t>表征交</w:t>
            </w:r>
            <w:r>
              <w:t xml:space="preserve"> </w:t>
            </w:r>
            <w:r>
              <w:rPr>
                <w:spacing w:val="4"/>
              </w:rPr>
              <w:t>流电的</w:t>
            </w:r>
            <w:r>
              <w:t xml:space="preserve"> </w:t>
            </w:r>
            <w:r>
              <w:rPr>
                <w:spacing w:val="-2"/>
              </w:rPr>
              <w:t>物理量</w:t>
            </w:r>
          </w:p>
        </w:tc>
        <w:tc>
          <w:tcPr>
            <w:tcW w:w="2484" w:type="dxa"/>
            <w:vAlign w:val="top"/>
          </w:tcPr>
          <w:p w14:paraId="79645805">
            <w:pPr>
              <w:pStyle w:val="6"/>
              <w:spacing w:before="42" w:line="219" w:lineRule="auto"/>
              <w:ind w:left="2"/>
            </w:pPr>
            <w:r>
              <w:rPr>
                <w:spacing w:val="1"/>
              </w:rPr>
              <w:t>1.周期和频率</w:t>
            </w:r>
          </w:p>
          <w:p w14:paraId="65E8F4F2">
            <w:pPr>
              <w:pStyle w:val="6"/>
              <w:spacing w:before="17" w:line="231" w:lineRule="auto"/>
              <w:ind w:left="2" w:right="1120"/>
            </w:pPr>
            <w:r>
              <w:rPr>
                <w:spacing w:val="-1"/>
              </w:rPr>
              <w:t>2.最大值和有效值</w:t>
            </w:r>
            <w:r>
              <w:t xml:space="preserve"> </w:t>
            </w:r>
            <w:r>
              <w:rPr>
                <w:spacing w:val="-2"/>
              </w:rPr>
              <w:t>3.相位和相位差</w:t>
            </w:r>
          </w:p>
        </w:tc>
        <w:tc>
          <w:tcPr>
            <w:tcW w:w="220" w:type="dxa"/>
            <w:vAlign w:val="top"/>
          </w:tcPr>
          <w:p w14:paraId="3DCA1E1E">
            <w:pPr>
              <w:rPr>
                <w:rFonts w:ascii="Arial"/>
                <w:sz w:val="21"/>
              </w:rPr>
            </w:pPr>
          </w:p>
        </w:tc>
        <w:tc>
          <w:tcPr>
            <w:tcW w:w="230" w:type="dxa"/>
            <w:vAlign w:val="top"/>
          </w:tcPr>
          <w:p w14:paraId="09614518">
            <w:pPr>
              <w:rPr>
                <w:rFonts w:ascii="Arial"/>
                <w:sz w:val="21"/>
              </w:rPr>
            </w:pPr>
          </w:p>
        </w:tc>
        <w:tc>
          <w:tcPr>
            <w:tcW w:w="229" w:type="dxa"/>
            <w:vAlign w:val="top"/>
          </w:tcPr>
          <w:p w14:paraId="08D30959">
            <w:pPr>
              <w:spacing w:before="45" w:line="359" w:lineRule="exact"/>
            </w:pPr>
            <w:r>
              <w:rPr>
                <w:position w:val="-7"/>
              </w:rPr>
              <w:drawing>
                <wp:inline distT="0" distB="0" distL="0" distR="0">
                  <wp:extent cx="100330" cy="227965"/>
                  <wp:effectExtent l="0" t="0" r="0" b="0"/>
                  <wp:docPr id="438" name="IM 438"/>
                  <wp:cNvGraphicFramePr/>
                  <a:graphic xmlns:a="http://schemas.openxmlformats.org/drawingml/2006/main">
                    <a:graphicData uri="http://schemas.openxmlformats.org/drawingml/2006/picture">
                      <pic:pic xmlns:pic="http://schemas.openxmlformats.org/drawingml/2006/picture">
                        <pic:nvPicPr>
                          <pic:cNvPr id="438" name="IM 438"/>
                          <pic:cNvPicPr/>
                        </pic:nvPicPr>
                        <pic:blipFill>
                          <a:blip r:embed="rId383"/>
                          <a:stretch>
                            <a:fillRect/>
                          </a:stretch>
                        </pic:blipFill>
                        <pic:spPr>
                          <a:xfrm>
                            <a:off x="0" y="0"/>
                            <a:ext cx="100362" cy="228574"/>
                          </a:xfrm>
                          <a:prstGeom prst="rect">
                            <a:avLst/>
                          </a:prstGeom>
                        </pic:spPr>
                      </pic:pic>
                    </a:graphicData>
                  </a:graphic>
                </wp:inline>
              </w:drawing>
            </w:r>
          </w:p>
        </w:tc>
        <w:tc>
          <w:tcPr>
            <w:tcW w:w="234" w:type="dxa"/>
            <w:vAlign w:val="top"/>
          </w:tcPr>
          <w:p w14:paraId="468B3E3D">
            <w:pPr>
              <w:rPr>
                <w:rFonts w:ascii="Arial"/>
                <w:sz w:val="21"/>
              </w:rPr>
            </w:pPr>
          </w:p>
        </w:tc>
      </w:tr>
      <w:tr w14:paraId="65C362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72" w:hRule="atLeast"/>
        </w:trPr>
        <w:tc>
          <w:tcPr>
            <w:tcW w:w="743" w:type="dxa"/>
            <w:vAlign w:val="top"/>
          </w:tcPr>
          <w:p w14:paraId="7814944E">
            <w:pPr>
              <w:pStyle w:val="6"/>
              <w:spacing w:before="145" w:line="230" w:lineRule="auto"/>
              <w:ind w:left="104" w:right="14" w:hanging="79"/>
            </w:pPr>
            <w:r>
              <w:rPr>
                <w:spacing w:val="3"/>
              </w:rPr>
              <w:t>交流电的</w:t>
            </w:r>
            <w:r>
              <w:t xml:space="preserve"> </w:t>
            </w:r>
            <w:r>
              <w:rPr>
                <w:spacing w:val="-2"/>
              </w:rPr>
              <w:t>表示法</w:t>
            </w:r>
          </w:p>
        </w:tc>
        <w:tc>
          <w:tcPr>
            <w:tcW w:w="2484" w:type="dxa"/>
            <w:vAlign w:val="top"/>
          </w:tcPr>
          <w:p w14:paraId="46FEC8C0">
            <w:pPr>
              <w:pStyle w:val="6"/>
              <w:spacing w:before="54" w:line="220" w:lineRule="auto"/>
              <w:ind w:left="2" w:right="1275"/>
              <w:jc w:val="both"/>
            </w:pPr>
            <w:r>
              <w:t>1.解析式表示法</w:t>
            </w:r>
            <w:r>
              <w:rPr>
                <w:spacing w:val="4"/>
              </w:rPr>
              <w:t xml:space="preserve"> </w:t>
            </w:r>
            <w:r>
              <w:rPr>
                <w:spacing w:val="-2"/>
              </w:rPr>
              <w:t>2.波形图表示法</w:t>
            </w:r>
            <w:r>
              <w:rPr>
                <w:spacing w:val="6"/>
              </w:rPr>
              <w:t xml:space="preserve"> </w:t>
            </w:r>
            <w:r>
              <w:rPr>
                <w:spacing w:val="-2"/>
              </w:rPr>
              <w:t>3.相量表示法</w:t>
            </w:r>
          </w:p>
        </w:tc>
        <w:tc>
          <w:tcPr>
            <w:tcW w:w="220" w:type="dxa"/>
            <w:vAlign w:val="top"/>
          </w:tcPr>
          <w:p w14:paraId="38C1E3C5">
            <w:pPr>
              <w:rPr>
                <w:rFonts w:ascii="Arial"/>
                <w:sz w:val="21"/>
              </w:rPr>
            </w:pPr>
          </w:p>
        </w:tc>
        <w:tc>
          <w:tcPr>
            <w:tcW w:w="230" w:type="dxa"/>
            <w:vAlign w:val="top"/>
          </w:tcPr>
          <w:p w14:paraId="6922BE12">
            <w:pPr>
              <w:rPr>
                <w:rFonts w:ascii="Arial"/>
                <w:sz w:val="21"/>
              </w:rPr>
            </w:pPr>
          </w:p>
        </w:tc>
        <w:tc>
          <w:tcPr>
            <w:tcW w:w="229" w:type="dxa"/>
            <w:vAlign w:val="top"/>
          </w:tcPr>
          <w:p w14:paraId="678F604D">
            <w:pPr>
              <w:rPr>
                <w:rFonts w:ascii="Arial"/>
                <w:sz w:val="21"/>
              </w:rPr>
            </w:pPr>
          </w:p>
        </w:tc>
        <w:tc>
          <w:tcPr>
            <w:tcW w:w="234" w:type="dxa"/>
            <w:vAlign w:val="top"/>
          </w:tcPr>
          <w:p w14:paraId="37A9E7F7">
            <w:pPr>
              <w:rPr>
                <w:rFonts w:ascii="Arial"/>
                <w:sz w:val="21"/>
              </w:rPr>
            </w:pPr>
          </w:p>
        </w:tc>
      </w:tr>
    </w:tbl>
    <w:p w14:paraId="79A47CED">
      <w:pPr>
        <w:spacing w:before="108" w:line="219" w:lineRule="auto"/>
        <w:ind w:left="1347"/>
        <w:rPr>
          <w:rFonts w:ascii="宋体" w:hAnsi="宋体" w:eastAsia="宋体" w:cs="宋体"/>
          <w:sz w:val="17"/>
          <w:szCs w:val="17"/>
        </w:rPr>
      </w:pPr>
      <w:r>
        <w:rPr>
          <w:rFonts w:ascii="宋体" w:hAnsi="宋体" w:eastAsia="宋体" w:cs="宋体"/>
          <w:b/>
          <w:bCs/>
          <w:spacing w:val="8"/>
          <w:sz w:val="17"/>
          <w:szCs w:val="17"/>
        </w:rPr>
        <w:t>第八章正弦交流电</w:t>
      </w:r>
    </w:p>
    <w:p w14:paraId="59017961">
      <w:pPr>
        <w:spacing w:line="60" w:lineRule="exact"/>
      </w:pPr>
    </w:p>
    <w:tbl>
      <w:tblPr>
        <w:tblStyle w:val="5"/>
        <w:tblW w:w="413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43"/>
        <w:gridCol w:w="2484"/>
        <w:gridCol w:w="230"/>
        <w:gridCol w:w="220"/>
        <w:gridCol w:w="229"/>
        <w:gridCol w:w="224"/>
      </w:tblGrid>
      <w:tr w14:paraId="29F6F6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3" w:hRule="atLeast"/>
        </w:trPr>
        <w:tc>
          <w:tcPr>
            <w:tcW w:w="743" w:type="dxa"/>
            <w:vMerge w:val="restart"/>
            <w:tcBorders>
              <w:bottom w:val="nil"/>
            </w:tcBorders>
            <w:vAlign w:val="top"/>
          </w:tcPr>
          <w:p w14:paraId="3613436F">
            <w:pPr>
              <w:pStyle w:val="6"/>
              <w:spacing w:before="30" w:line="218" w:lineRule="auto"/>
              <w:ind w:left="106" w:right="35" w:hanging="79"/>
            </w:pPr>
            <w:r>
              <w:rPr>
                <w:b/>
                <w:bCs/>
                <w:spacing w:val="-5"/>
              </w:rPr>
              <w:t>知识与技</w:t>
            </w:r>
            <w:r>
              <w:rPr>
                <w:spacing w:val="1"/>
              </w:rPr>
              <w:t xml:space="preserve"> </w:t>
            </w:r>
            <w:r>
              <w:rPr>
                <w:b/>
                <w:bCs/>
                <w:spacing w:val="1"/>
              </w:rPr>
              <w:t>能要点</w:t>
            </w:r>
          </w:p>
        </w:tc>
        <w:tc>
          <w:tcPr>
            <w:tcW w:w="2484" w:type="dxa"/>
            <w:vMerge w:val="restart"/>
            <w:tcBorders>
              <w:bottom w:val="nil"/>
            </w:tcBorders>
            <w:vAlign w:val="top"/>
          </w:tcPr>
          <w:p w14:paraId="1B28A314">
            <w:pPr>
              <w:pStyle w:val="6"/>
              <w:spacing w:before="139" w:line="219" w:lineRule="auto"/>
              <w:ind w:left="924"/>
            </w:pPr>
            <w:r>
              <w:rPr>
                <w:b/>
                <w:bCs/>
                <w:spacing w:val="5"/>
              </w:rPr>
              <w:t>考试条目</w:t>
            </w:r>
          </w:p>
        </w:tc>
        <w:tc>
          <w:tcPr>
            <w:tcW w:w="903" w:type="dxa"/>
            <w:gridSpan w:val="4"/>
            <w:vAlign w:val="top"/>
          </w:tcPr>
          <w:p w14:paraId="066ABE0F">
            <w:pPr>
              <w:pStyle w:val="6"/>
              <w:spacing w:before="29" w:line="210" w:lineRule="auto"/>
              <w:ind w:left="130"/>
            </w:pPr>
            <w:r>
              <w:rPr>
                <w:b/>
                <w:bCs/>
                <w:spacing w:val="-4"/>
              </w:rPr>
              <w:t>考试水平</w:t>
            </w:r>
          </w:p>
        </w:tc>
      </w:tr>
      <w:tr w14:paraId="62E3C6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99" w:hRule="atLeast"/>
        </w:trPr>
        <w:tc>
          <w:tcPr>
            <w:tcW w:w="743" w:type="dxa"/>
            <w:vMerge w:val="continue"/>
            <w:tcBorders>
              <w:top w:val="nil"/>
            </w:tcBorders>
            <w:vAlign w:val="top"/>
          </w:tcPr>
          <w:p w14:paraId="7E6FBBD6">
            <w:pPr>
              <w:rPr>
                <w:rFonts w:ascii="Arial"/>
                <w:sz w:val="21"/>
              </w:rPr>
            </w:pPr>
          </w:p>
        </w:tc>
        <w:tc>
          <w:tcPr>
            <w:tcW w:w="2484" w:type="dxa"/>
            <w:vMerge w:val="continue"/>
            <w:tcBorders>
              <w:top w:val="nil"/>
            </w:tcBorders>
            <w:vAlign w:val="top"/>
          </w:tcPr>
          <w:p w14:paraId="03677B8F">
            <w:pPr>
              <w:rPr>
                <w:rFonts w:ascii="Arial"/>
                <w:sz w:val="21"/>
              </w:rPr>
            </w:pPr>
          </w:p>
        </w:tc>
        <w:tc>
          <w:tcPr>
            <w:tcW w:w="230" w:type="dxa"/>
            <w:vAlign w:val="top"/>
          </w:tcPr>
          <w:p w14:paraId="689B0342">
            <w:pPr>
              <w:pStyle w:val="6"/>
              <w:spacing w:before="61" w:line="127" w:lineRule="exact"/>
              <w:ind w:left="70"/>
            </w:pPr>
            <w:r>
              <w:rPr>
                <w:b/>
                <w:bCs/>
                <w:spacing w:val="-2"/>
                <w:position w:val="-2"/>
              </w:rPr>
              <w:t>A</w:t>
            </w:r>
          </w:p>
        </w:tc>
        <w:tc>
          <w:tcPr>
            <w:tcW w:w="220" w:type="dxa"/>
            <w:vAlign w:val="top"/>
          </w:tcPr>
          <w:p w14:paraId="1D5B5985">
            <w:pPr>
              <w:pStyle w:val="6"/>
              <w:spacing w:before="64" w:line="124" w:lineRule="exact"/>
              <w:ind w:left="50"/>
            </w:pPr>
            <w:r>
              <w:rPr>
                <w:b/>
                <w:bCs/>
                <w:spacing w:val="-2"/>
                <w:position w:val="-2"/>
              </w:rPr>
              <w:t>B</w:t>
            </w:r>
          </w:p>
        </w:tc>
        <w:tc>
          <w:tcPr>
            <w:tcW w:w="229" w:type="dxa"/>
            <w:vAlign w:val="top"/>
          </w:tcPr>
          <w:p w14:paraId="336F17EF">
            <w:pPr>
              <w:pStyle w:val="6"/>
              <w:spacing w:before="68" w:line="120" w:lineRule="exact"/>
              <w:ind w:left="58"/>
              <w:rPr>
                <w:sz w:val="19"/>
                <w:szCs w:val="19"/>
              </w:rPr>
            </w:pPr>
            <w:r>
              <w:rPr>
                <w:position w:val="-3"/>
                <w:sz w:val="19"/>
                <w:szCs w:val="19"/>
              </w:rPr>
              <w:t>C</w:t>
            </w:r>
          </w:p>
        </w:tc>
        <w:tc>
          <w:tcPr>
            <w:tcW w:w="224" w:type="dxa"/>
            <w:vAlign w:val="top"/>
          </w:tcPr>
          <w:p w14:paraId="201D8A84">
            <w:pPr>
              <w:pStyle w:val="6"/>
              <w:spacing w:before="64" w:line="124" w:lineRule="exact"/>
              <w:ind w:left="21"/>
            </w:pPr>
            <w:r>
              <w:rPr>
                <w:b/>
                <w:bCs/>
                <w:spacing w:val="-2"/>
                <w:position w:val="-2"/>
              </w:rPr>
              <w:t>D</w:t>
            </w:r>
          </w:p>
        </w:tc>
      </w:tr>
      <w:tr w14:paraId="1CCF5683">
        <w:tblPrEx>
          <w:tblCellMar>
            <w:top w:w="0" w:type="dxa"/>
            <w:left w:w="0" w:type="dxa"/>
            <w:bottom w:w="0" w:type="dxa"/>
            <w:right w:w="0" w:type="dxa"/>
          </w:tblCellMar>
        </w:tblPrEx>
        <w:trPr>
          <w:trHeight w:val="437" w:hRule="atLeast"/>
        </w:trPr>
        <w:tc>
          <w:tcPr>
            <w:tcW w:w="743" w:type="dxa"/>
            <w:vAlign w:val="top"/>
          </w:tcPr>
          <w:p w14:paraId="3599F87A">
            <w:pPr>
              <w:pStyle w:val="6"/>
              <w:spacing w:before="40" w:line="216" w:lineRule="auto"/>
              <w:ind w:left="105"/>
            </w:pPr>
            <w:r>
              <w:rPr>
                <w:spacing w:val="-2"/>
              </w:rPr>
              <w:t>纯电阻</w:t>
            </w:r>
          </w:p>
          <w:p w14:paraId="44B74600">
            <w:pPr>
              <w:pStyle w:val="6"/>
              <w:spacing w:line="203" w:lineRule="auto"/>
              <w:ind w:left="194"/>
            </w:pPr>
            <w:r>
              <w:rPr>
                <w:spacing w:val="3"/>
              </w:rPr>
              <w:t>电路</w:t>
            </w:r>
          </w:p>
        </w:tc>
        <w:tc>
          <w:tcPr>
            <w:tcW w:w="2484" w:type="dxa"/>
            <w:vAlign w:val="top"/>
          </w:tcPr>
          <w:p w14:paraId="63038362">
            <w:pPr>
              <w:pStyle w:val="6"/>
              <w:spacing w:before="50" w:line="206" w:lineRule="auto"/>
              <w:ind w:left="12"/>
            </w:pPr>
            <w:r>
              <w:t>1.纯电阻电路</w:t>
            </w:r>
          </w:p>
          <w:p w14:paraId="65A42A67">
            <w:pPr>
              <w:pStyle w:val="6"/>
              <w:spacing w:line="203" w:lineRule="auto"/>
              <w:ind w:left="12"/>
            </w:pPr>
            <w:r>
              <w:rPr>
                <w:spacing w:val="1"/>
              </w:rPr>
              <w:t>2.纯电阻电路电压与电流关系</w:t>
            </w:r>
          </w:p>
        </w:tc>
        <w:tc>
          <w:tcPr>
            <w:tcW w:w="230" w:type="dxa"/>
            <w:vAlign w:val="top"/>
          </w:tcPr>
          <w:p w14:paraId="483214A0">
            <w:pPr>
              <w:pStyle w:val="6"/>
              <w:spacing w:before="60" w:line="238" w:lineRule="auto"/>
              <w:ind w:left="48"/>
              <w:rPr>
                <w:sz w:val="12"/>
                <w:szCs w:val="12"/>
              </w:rPr>
            </w:pPr>
            <w:r>
              <w:rPr>
                <w:sz w:val="12"/>
                <w:szCs w:val="12"/>
              </w:rPr>
              <w:t>√</w:t>
            </w:r>
          </w:p>
        </w:tc>
        <w:tc>
          <w:tcPr>
            <w:tcW w:w="220" w:type="dxa"/>
            <w:vAlign w:val="top"/>
          </w:tcPr>
          <w:p w14:paraId="020BACC0">
            <w:pPr>
              <w:rPr>
                <w:rFonts w:ascii="Arial"/>
                <w:sz w:val="21"/>
              </w:rPr>
            </w:pPr>
          </w:p>
        </w:tc>
        <w:tc>
          <w:tcPr>
            <w:tcW w:w="229" w:type="dxa"/>
            <w:vAlign w:val="top"/>
          </w:tcPr>
          <w:p w14:paraId="5F178F16">
            <w:pPr>
              <w:pStyle w:val="6"/>
              <w:spacing w:before="250" w:line="238" w:lineRule="auto"/>
              <w:ind w:left="48"/>
              <w:rPr>
                <w:sz w:val="12"/>
                <w:szCs w:val="12"/>
              </w:rPr>
            </w:pPr>
            <w:r>
              <w:rPr>
                <w:sz w:val="12"/>
                <w:szCs w:val="12"/>
              </w:rPr>
              <w:t>√</w:t>
            </w:r>
          </w:p>
        </w:tc>
        <w:tc>
          <w:tcPr>
            <w:tcW w:w="224" w:type="dxa"/>
            <w:vAlign w:val="top"/>
          </w:tcPr>
          <w:p w14:paraId="6F0E8BBD">
            <w:pPr>
              <w:rPr>
                <w:rFonts w:ascii="Arial"/>
                <w:sz w:val="21"/>
              </w:rPr>
            </w:pPr>
          </w:p>
        </w:tc>
      </w:tr>
      <w:tr w14:paraId="18DD0F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51" w:hRule="atLeast"/>
        </w:trPr>
        <w:tc>
          <w:tcPr>
            <w:tcW w:w="743" w:type="dxa"/>
            <w:vAlign w:val="top"/>
          </w:tcPr>
          <w:p w14:paraId="1D3BA478">
            <w:pPr>
              <w:pStyle w:val="6"/>
              <w:spacing w:before="146" w:line="224" w:lineRule="auto"/>
              <w:ind w:left="105"/>
            </w:pPr>
            <w:r>
              <w:rPr>
                <w:spacing w:val="-2"/>
              </w:rPr>
              <w:t>纯电感</w:t>
            </w:r>
          </w:p>
          <w:p w14:paraId="703164C2">
            <w:pPr>
              <w:pStyle w:val="6"/>
              <w:spacing w:before="10" w:line="219" w:lineRule="auto"/>
              <w:ind w:left="194"/>
            </w:pPr>
            <w:r>
              <w:rPr>
                <w:spacing w:val="3"/>
              </w:rPr>
              <w:t>电路</w:t>
            </w:r>
          </w:p>
        </w:tc>
        <w:tc>
          <w:tcPr>
            <w:tcW w:w="2484" w:type="dxa"/>
            <w:vAlign w:val="top"/>
          </w:tcPr>
          <w:p w14:paraId="7BC03AAE">
            <w:pPr>
              <w:pStyle w:val="6"/>
              <w:spacing w:before="33" w:line="239" w:lineRule="auto"/>
              <w:ind w:left="12" w:right="401"/>
            </w:pPr>
            <w:r>
              <w:rPr>
                <w:spacing w:val="1"/>
              </w:rPr>
              <w:t>1.电感对交流电的阻碍作用</w:t>
            </w:r>
            <w:r>
              <w:rPr>
                <w:spacing w:val="6"/>
              </w:rPr>
              <w:t xml:space="preserve"> </w:t>
            </w:r>
            <w:r>
              <w:rPr>
                <w:spacing w:val="3"/>
              </w:rPr>
              <w:t>2.扼流圈</w:t>
            </w:r>
          </w:p>
          <w:p w14:paraId="791CBD93">
            <w:pPr>
              <w:pStyle w:val="6"/>
              <w:spacing w:line="181" w:lineRule="auto"/>
              <w:ind w:left="12"/>
            </w:pPr>
            <w:r>
              <w:rPr>
                <w:spacing w:val="1"/>
              </w:rPr>
              <w:t>3.电压与电流的关系</w:t>
            </w:r>
          </w:p>
        </w:tc>
        <w:tc>
          <w:tcPr>
            <w:tcW w:w="230" w:type="dxa"/>
            <w:vAlign w:val="top"/>
          </w:tcPr>
          <w:p w14:paraId="50D5E584">
            <w:pPr>
              <w:rPr>
                <w:rFonts w:ascii="Arial"/>
                <w:sz w:val="21"/>
              </w:rPr>
            </w:pPr>
          </w:p>
        </w:tc>
        <w:tc>
          <w:tcPr>
            <w:tcW w:w="220" w:type="dxa"/>
            <w:vAlign w:val="top"/>
          </w:tcPr>
          <w:p w14:paraId="21AA9031">
            <w:pPr>
              <w:rPr>
                <w:rFonts w:ascii="Arial"/>
                <w:sz w:val="21"/>
              </w:rPr>
            </w:pPr>
          </w:p>
        </w:tc>
        <w:tc>
          <w:tcPr>
            <w:tcW w:w="229" w:type="dxa"/>
            <w:vAlign w:val="top"/>
          </w:tcPr>
          <w:p w14:paraId="51381CEC">
            <w:pPr>
              <w:spacing w:line="461" w:lineRule="auto"/>
              <w:rPr>
                <w:rFonts w:ascii="Arial"/>
                <w:sz w:val="21"/>
              </w:rPr>
            </w:pPr>
          </w:p>
          <w:p w14:paraId="2A3B5FB9">
            <w:pPr>
              <w:pStyle w:val="6"/>
              <w:spacing w:before="39" w:line="212" w:lineRule="auto"/>
              <w:ind w:left="48"/>
              <w:rPr>
                <w:sz w:val="12"/>
                <w:szCs w:val="12"/>
              </w:rPr>
            </w:pPr>
            <w:r>
              <w:rPr>
                <w:sz w:val="12"/>
                <w:szCs w:val="12"/>
              </w:rPr>
              <w:t>√</w:t>
            </w:r>
          </w:p>
        </w:tc>
        <w:tc>
          <w:tcPr>
            <w:tcW w:w="224" w:type="dxa"/>
            <w:vAlign w:val="top"/>
          </w:tcPr>
          <w:p w14:paraId="04651069">
            <w:pPr>
              <w:rPr>
                <w:rFonts w:ascii="Arial"/>
                <w:sz w:val="21"/>
              </w:rPr>
            </w:pPr>
          </w:p>
        </w:tc>
      </w:tr>
    </w:tbl>
    <w:p w14:paraId="62E18E96">
      <w:pPr>
        <w:pStyle w:val="2"/>
        <w:spacing w:line="60" w:lineRule="exact"/>
        <w:rPr>
          <w:sz w:val="5"/>
        </w:rPr>
      </w:pPr>
    </w:p>
    <w:p w14:paraId="6419C6D4">
      <w:pPr>
        <w:pStyle w:val="2"/>
        <w:spacing w:line="14" w:lineRule="auto"/>
        <w:rPr>
          <w:sz w:val="2"/>
        </w:rPr>
      </w:pPr>
      <w:r>
        <w:rPr>
          <w:sz w:val="2"/>
          <w:szCs w:val="2"/>
        </w:rPr>
        <w:br w:type="column"/>
      </w:r>
    </w:p>
    <w:p w14:paraId="4A87918E">
      <w:pPr>
        <w:spacing w:line="101" w:lineRule="auto"/>
        <w:rPr>
          <w:rFonts w:ascii="Arial"/>
          <w:sz w:val="2"/>
        </w:rPr>
      </w:pPr>
    </w:p>
    <w:tbl>
      <w:tblPr>
        <w:tblStyle w:val="5"/>
        <w:tblW w:w="414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43"/>
        <w:gridCol w:w="2484"/>
        <w:gridCol w:w="220"/>
        <w:gridCol w:w="230"/>
        <w:gridCol w:w="229"/>
        <w:gridCol w:w="234"/>
      </w:tblGrid>
      <w:tr w14:paraId="550E64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5" w:hRule="atLeast"/>
        </w:trPr>
        <w:tc>
          <w:tcPr>
            <w:tcW w:w="743" w:type="dxa"/>
            <w:vMerge w:val="restart"/>
            <w:tcBorders>
              <w:bottom w:val="nil"/>
            </w:tcBorders>
            <w:vAlign w:val="top"/>
          </w:tcPr>
          <w:p w14:paraId="0875963F">
            <w:pPr>
              <w:pStyle w:val="6"/>
              <w:spacing w:before="20" w:line="212" w:lineRule="auto"/>
              <w:ind w:left="96" w:right="6" w:hanging="79"/>
              <w:rPr>
                <w:sz w:val="18"/>
                <w:szCs w:val="18"/>
              </w:rPr>
            </w:pPr>
            <w:r>
              <w:rPr>
                <w:b/>
                <w:bCs/>
                <w:spacing w:val="-5"/>
                <w:sz w:val="18"/>
                <w:szCs w:val="18"/>
              </w:rPr>
              <w:t>知识与技</w:t>
            </w:r>
            <w:r>
              <w:rPr>
                <w:sz w:val="18"/>
                <w:szCs w:val="18"/>
              </w:rPr>
              <w:t xml:space="preserve"> </w:t>
            </w:r>
            <w:r>
              <w:rPr>
                <w:b/>
                <w:bCs/>
                <w:spacing w:val="1"/>
                <w:sz w:val="18"/>
                <w:szCs w:val="18"/>
              </w:rPr>
              <w:t>能要点</w:t>
            </w:r>
          </w:p>
        </w:tc>
        <w:tc>
          <w:tcPr>
            <w:tcW w:w="2484" w:type="dxa"/>
            <w:vMerge w:val="restart"/>
            <w:tcBorders>
              <w:bottom w:val="nil"/>
            </w:tcBorders>
            <w:vAlign w:val="top"/>
          </w:tcPr>
          <w:p w14:paraId="13CAAA83">
            <w:pPr>
              <w:pStyle w:val="6"/>
              <w:spacing w:before="129" w:line="219" w:lineRule="auto"/>
              <w:ind w:left="904"/>
              <w:rPr>
                <w:sz w:val="18"/>
                <w:szCs w:val="18"/>
              </w:rPr>
            </w:pPr>
            <w:r>
              <w:rPr>
                <w:b/>
                <w:bCs/>
                <w:spacing w:val="5"/>
                <w:sz w:val="18"/>
                <w:szCs w:val="18"/>
              </w:rPr>
              <w:t>考试条目</w:t>
            </w:r>
          </w:p>
        </w:tc>
        <w:tc>
          <w:tcPr>
            <w:tcW w:w="913" w:type="dxa"/>
            <w:gridSpan w:val="4"/>
            <w:vAlign w:val="top"/>
          </w:tcPr>
          <w:p w14:paraId="6CB18B97">
            <w:pPr>
              <w:pStyle w:val="6"/>
              <w:spacing w:before="20" w:line="200" w:lineRule="auto"/>
              <w:ind w:left="130"/>
              <w:rPr>
                <w:sz w:val="18"/>
                <w:szCs w:val="18"/>
              </w:rPr>
            </w:pPr>
            <w:r>
              <w:rPr>
                <w:b/>
                <w:bCs/>
                <w:spacing w:val="-4"/>
                <w:sz w:val="18"/>
                <w:szCs w:val="18"/>
              </w:rPr>
              <w:t>考试水平</w:t>
            </w:r>
          </w:p>
        </w:tc>
      </w:tr>
      <w:tr w14:paraId="3250A5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9" w:hRule="atLeast"/>
        </w:trPr>
        <w:tc>
          <w:tcPr>
            <w:tcW w:w="743" w:type="dxa"/>
            <w:vMerge w:val="continue"/>
            <w:tcBorders>
              <w:top w:val="nil"/>
            </w:tcBorders>
            <w:vAlign w:val="top"/>
          </w:tcPr>
          <w:p w14:paraId="66B1DFC0">
            <w:pPr>
              <w:rPr>
                <w:rFonts w:ascii="Arial"/>
                <w:sz w:val="21"/>
              </w:rPr>
            </w:pPr>
          </w:p>
        </w:tc>
        <w:tc>
          <w:tcPr>
            <w:tcW w:w="2484" w:type="dxa"/>
            <w:vMerge w:val="continue"/>
            <w:tcBorders>
              <w:top w:val="nil"/>
            </w:tcBorders>
            <w:vAlign w:val="top"/>
          </w:tcPr>
          <w:p w14:paraId="309563C7">
            <w:pPr>
              <w:rPr>
                <w:rFonts w:ascii="Arial"/>
                <w:sz w:val="21"/>
              </w:rPr>
            </w:pPr>
          </w:p>
        </w:tc>
        <w:tc>
          <w:tcPr>
            <w:tcW w:w="220" w:type="dxa"/>
            <w:vAlign w:val="top"/>
          </w:tcPr>
          <w:p w14:paraId="29604DA2">
            <w:pPr>
              <w:pStyle w:val="6"/>
              <w:spacing w:before="62" w:line="137" w:lineRule="exact"/>
              <w:ind w:left="18"/>
              <w:rPr>
                <w:sz w:val="18"/>
                <w:szCs w:val="18"/>
              </w:rPr>
            </w:pPr>
            <w:r>
              <w:rPr>
                <w:position w:val="-2"/>
                <w:sz w:val="18"/>
                <w:szCs w:val="18"/>
              </w:rPr>
              <w:t>A</w:t>
            </w:r>
          </w:p>
        </w:tc>
        <w:tc>
          <w:tcPr>
            <w:tcW w:w="230" w:type="dxa"/>
            <w:vAlign w:val="top"/>
          </w:tcPr>
          <w:p w14:paraId="0E8181D5">
            <w:pPr>
              <w:pStyle w:val="6"/>
              <w:spacing w:before="65" w:line="134" w:lineRule="exact"/>
              <w:ind w:left="20"/>
              <w:rPr>
                <w:sz w:val="18"/>
                <w:szCs w:val="18"/>
              </w:rPr>
            </w:pPr>
            <w:r>
              <w:rPr>
                <w:b/>
                <w:bCs/>
                <w:spacing w:val="-2"/>
                <w:position w:val="-2"/>
                <w:sz w:val="18"/>
                <w:szCs w:val="18"/>
              </w:rPr>
              <w:t>B</w:t>
            </w:r>
          </w:p>
        </w:tc>
        <w:tc>
          <w:tcPr>
            <w:tcW w:w="229" w:type="dxa"/>
            <w:vAlign w:val="top"/>
          </w:tcPr>
          <w:p w14:paraId="26451431">
            <w:pPr>
              <w:pStyle w:val="6"/>
              <w:spacing w:before="62" w:line="137" w:lineRule="exact"/>
              <w:ind w:left="40"/>
              <w:rPr>
                <w:sz w:val="18"/>
                <w:szCs w:val="18"/>
              </w:rPr>
            </w:pPr>
            <w:r>
              <w:rPr>
                <w:b/>
                <w:bCs/>
                <w:spacing w:val="-2"/>
                <w:position w:val="-2"/>
                <w:sz w:val="18"/>
                <w:szCs w:val="18"/>
              </w:rPr>
              <w:t>C</w:t>
            </w:r>
          </w:p>
        </w:tc>
        <w:tc>
          <w:tcPr>
            <w:tcW w:w="234" w:type="dxa"/>
            <w:vAlign w:val="top"/>
          </w:tcPr>
          <w:p w14:paraId="441B856E">
            <w:pPr>
              <w:pStyle w:val="6"/>
              <w:spacing w:before="65" w:line="134" w:lineRule="exact"/>
              <w:ind w:left="21"/>
              <w:rPr>
                <w:sz w:val="18"/>
                <w:szCs w:val="18"/>
              </w:rPr>
            </w:pPr>
            <w:r>
              <w:rPr>
                <w:b/>
                <w:bCs/>
                <w:spacing w:val="-2"/>
                <w:position w:val="-2"/>
                <w:sz w:val="18"/>
                <w:szCs w:val="18"/>
              </w:rPr>
              <w:t>D</w:t>
            </w:r>
          </w:p>
        </w:tc>
      </w:tr>
      <w:tr w14:paraId="6829DC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59" w:hRule="atLeast"/>
        </w:trPr>
        <w:tc>
          <w:tcPr>
            <w:tcW w:w="743" w:type="dxa"/>
            <w:vAlign w:val="top"/>
          </w:tcPr>
          <w:p w14:paraId="513216DF">
            <w:pPr>
              <w:pStyle w:val="6"/>
              <w:spacing w:before="148" w:line="215" w:lineRule="auto"/>
              <w:ind w:left="94"/>
              <w:rPr>
                <w:sz w:val="18"/>
                <w:szCs w:val="18"/>
              </w:rPr>
            </w:pPr>
            <w:r>
              <w:rPr>
                <w:spacing w:val="-3"/>
                <w:sz w:val="18"/>
                <w:szCs w:val="18"/>
              </w:rPr>
              <w:t>纯电容</w:t>
            </w:r>
          </w:p>
          <w:p w14:paraId="0C0E65FE">
            <w:pPr>
              <w:pStyle w:val="6"/>
              <w:spacing w:line="219" w:lineRule="auto"/>
              <w:ind w:left="185"/>
              <w:rPr>
                <w:sz w:val="18"/>
                <w:szCs w:val="18"/>
              </w:rPr>
            </w:pPr>
            <w:r>
              <w:rPr>
                <w:spacing w:val="3"/>
                <w:sz w:val="18"/>
                <w:szCs w:val="18"/>
              </w:rPr>
              <w:t>电路</w:t>
            </w:r>
          </w:p>
        </w:tc>
        <w:tc>
          <w:tcPr>
            <w:tcW w:w="2484" w:type="dxa"/>
            <w:vAlign w:val="top"/>
          </w:tcPr>
          <w:p w14:paraId="1C97E507">
            <w:pPr>
              <w:pStyle w:val="6"/>
              <w:spacing w:before="59" w:line="205" w:lineRule="auto"/>
              <w:ind w:left="12" w:right="280"/>
              <w:rPr>
                <w:sz w:val="18"/>
                <w:szCs w:val="18"/>
              </w:rPr>
            </w:pPr>
            <w:r>
              <w:rPr>
                <w:spacing w:val="1"/>
                <w:sz w:val="18"/>
                <w:szCs w:val="18"/>
              </w:rPr>
              <w:t>1.电容对交流电的阻碍作用</w:t>
            </w:r>
            <w:r>
              <w:rPr>
                <w:spacing w:val="7"/>
                <w:sz w:val="18"/>
                <w:szCs w:val="18"/>
              </w:rPr>
              <w:t xml:space="preserve"> </w:t>
            </w:r>
            <w:r>
              <w:rPr>
                <w:spacing w:val="-1"/>
                <w:sz w:val="18"/>
                <w:szCs w:val="18"/>
              </w:rPr>
              <w:t>2.隔直电容和旁路电容</w:t>
            </w:r>
          </w:p>
          <w:p w14:paraId="56961ED3">
            <w:pPr>
              <w:pStyle w:val="6"/>
              <w:spacing w:line="194" w:lineRule="auto"/>
              <w:ind w:left="12"/>
              <w:rPr>
                <w:sz w:val="18"/>
                <w:szCs w:val="18"/>
              </w:rPr>
            </w:pPr>
            <w:r>
              <w:rPr>
                <w:spacing w:val="1"/>
                <w:sz w:val="18"/>
                <w:szCs w:val="18"/>
              </w:rPr>
              <w:t>3.电压与电流的关系</w:t>
            </w:r>
          </w:p>
        </w:tc>
        <w:tc>
          <w:tcPr>
            <w:tcW w:w="220" w:type="dxa"/>
            <w:vAlign w:val="top"/>
          </w:tcPr>
          <w:p w14:paraId="27C4EC1C">
            <w:pPr>
              <w:rPr>
                <w:rFonts w:ascii="Arial"/>
                <w:sz w:val="21"/>
              </w:rPr>
            </w:pPr>
          </w:p>
        </w:tc>
        <w:tc>
          <w:tcPr>
            <w:tcW w:w="230" w:type="dxa"/>
            <w:vAlign w:val="top"/>
          </w:tcPr>
          <w:p w14:paraId="0F8EF3E0">
            <w:pPr>
              <w:rPr>
                <w:rFonts w:ascii="Arial"/>
                <w:sz w:val="21"/>
              </w:rPr>
            </w:pPr>
          </w:p>
        </w:tc>
        <w:tc>
          <w:tcPr>
            <w:tcW w:w="229" w:type="dxa"/>
            <w:vAlign w:val="top"/>
          </w:tcPr>
          <w:p w14:paraId="56741828">
            <w:pPr>
              <w:rPr>
                <w:rFonts w:ascii="Arial"/>
                <w:sz w:val="21"/>
              </w:rPr>
            </w:pPr>
          </w:p>
        </w:tc>
        <w:tc>
          <w:tcPr>
            <w:tcW w:w="234" w:type="dxa"/>
            <w:vAlign w:val="top"/>
          </w:tcPr>
          <w:p w14:paraId="0435643D">
            <w:pPr>
              <w:rPr>
                <w:rFonts w:ascii="Arial"/>
                <w:sz w:val="21"/>
              </w:rPr>
            </w:pPr>
          </w:p>
        </w:tc>
      </w:tr>
      <w:tr w14:paraId="3AC414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78" w:hRule="atLeast"/>
        </w:trPr>
        <w:tc>
          <w:tcPr>
            <w:tcW w:w="743" w:type="dxa"/>
            <w:vAlign w:val="top"/>
          </w:tcPr>
          <w:p w14:paraId="5E29BED3">
            <w:pPr>
              <w:pStyle w:val="6"/>
              <w:spacing w:before="39" w:line="222" w:lineRule="auto"/>
              <w:ind w:left="15"/>
              <w:jc w:val="both"/>
              <w:rPr>
                <w:sz w:val="18"/>
                <w:szCs w:val="18"/>
              </w:rPr>
            </w:pPr>
            <w:r>
              <w:rPr>
                <w:spacing w:val="-1"/>
                <w:sz w:val="18"/>
                <w:szCs w:val="18"/>
              </w:rPr>
              <w:t>电阻、电</w:t>
            </w:r>
            <w:r>
              <w:rPr>
                <w:sz w:val="18"/>
                <w:szCs w:val="18"/>
              </w:rPr>
              <w:t xml:space="preserve"> </w:t>
            </w:r>
            <w:r>
              <w:rPr>
                <w:spacing w:val="-6"/>
                <w:sz w:val="18"/>
                <w:szCs w:val="18"/>
              </w:rPr>
              <w:t>感、电容</w:t>
            </w:r>
            <w:r>
              <w:rPr>
                <w:spacing w:val="2"/>
                <w:sz w:val="18"/>
                <w:szCs w:val="18"/>
              </w:rPr>
              <w:t xml:space="preserve"> </w:t>
            </w:r>
            <w:r>
              <w:rPr>
                <w:spacing w:val="25"/>
                <w:sz w:val="18"/>
                <w:szCs w:val="18"/>
              </w:rPr>
              <w:t>的串联</w:t>
            </w:r>
          </w:p>
          <w:p w14:paraId="6D567792">
            <w:pPr>
              <w:pStyle w:val="6"/>
              <w:spacing w:line="183" w:lineRule="auto"/>
              <w:ind w:left="185"/>
              <w:rPr>
                <w:sz w:val="18"/>
                <w:szCs w:val="18"/>
              </w:rPr>
            </w:pPr>
            <w:r>
              <w:rPr>
                <w:spacing w:val="3"/>
                <w:sz w:val="18"/>
                <w:szCs w:val="18"/>
              </w:rPr>
              <w:t>电路</w:t>
            </w:r>
          </w:p>
        </w:tc>
        <w:tc>
          <w:tcPr>
            <w:tcW w:w="2484" w:type="dxa"/>
            <w:vAlign w:val="top"/>
          </w:tcPr>
          <w:p w14:paraId="2CC74A9D">
            <w:pPr>
              <w:pStyle w:val="6"/>
              <w:spacing w:before="29" w:line="215" w:lineRule="auto"/>
              <w:ind w:left="12" w:right="285"/>
              <w:rPr>
                <w:sz w:val="18"/>
                <w:szCs w:val="18"/>
              </w:rPr>
            </w:pPr>
            <w:r>
              <w:rPr>
                <w:spacing w:val="1"/>
                <w:sz w:val="18"/>
                <w:szCs w:val="18"/>
              </w:rPr>
              <w:t>1.端电压与电流的相位关系</w:t>
            </w:r>
            <w:r>
              <w:rPr>
                <w:spacing w:val="2"/>
                <w:sz w:val="18"/>
                <w:szCs w:val="18"/>
              </w:rPr>
              <w:t xml:space="preserve"> </w:t>
            </w:r>
            <w:r>
              <w:rPr>
                <w:spacing w:val="1"/>
                <w:sz w:val="18"/>
                <w:szCs w:val="18"/>
              </w:rPr>
              <w:t>2.端电压与电流的大小关系</w:t>
            </w:r>
            <w:r>
              <w:rPr>
                <w:spacing w:val="2"/>
                <w:sz w:val="18"/>
                <w:szCs w:val="18"/>
              </w:rPr>
              <w:t xml:space="preserve"> </w:t>
            </w:r>
            <w:r>
              <w:rPr>
                <w:spacing w:val="-1"/>
                <w:sz w:val="18"/>
                <w:szCs w:val="18"/>
              </w:rPr>
              <w:t>3.RLC串联电路的两个特征</w:t>
            </w:r>
            <w:r>
              <w:rPr>
                <w:spacing w:val="1"/>
                <w:sz w:val="18"/>
                <w:szCs w:val="18"/>
              </w:rPr>
              <w:t xml:space="preserve">  </w:t>
            </w:r>
            <w:r>
              <w:rPr>
                <w:spacing w:val="-1"/>
                <w:sz w:val="18"/>
                <w:szCs w:val="18"/>
              </w:rPr>
              <w:t>4.串联谐振的定义和条件</w:t>
            </w:r>
          </w:p>
        </w:tc>
        <w:tc>
          <w:tcPr>
            <w:tcW w:w="220" w:type="dxa"/>
            <w:vAlign w:val="top"/>
          </w:tcPr>
          <w:p w14:paraId="286D1F79">
            <w:pPr>
              <w:rPr>
                <w:rFonts w:ascii="Arial"/>
                <w:sz w:val="21"/>
              </w:rPr>
            </w:pPr>
          </w:p>
        </w:tc>
        <w:tc>
          <w:tcPr>
            <w:tcW w:w="230" w:type="dxa"/>
            <w:vAlign w:val="top"/>
          </w:tcPr>
          <w:p w14:paraId="1A14918E">
            <w:pPr>
              <w:rPr>
                <w:rFonts w:ascii="Arial"/>
                <w:sz w:val="21"/>
              </w:rPr>
            </w:pPr>
          </w:p>
        </w:tc>
        <w:tc>
          <w:tcPr>
            <w:tcW w:w="229" w:type="dxa"/>
            <w:vAlign w:val="top"/>
          </w:tcPr>
          <w:p w14:paraId="45BD3D21">
            <w:pPr>
              <w:rPr>
                <w:rFonts w:ascii="Arial"/>
                <w:sz w:val="21"/>
              </w:rPr>
            </w:pPr>
          </w:p>
        </w:tc>
        <w:tc>
          <w:tcPr>
            <w:tcW w:w="234" w:type="dxa"/>
            <w:vAlign w:val="top"/>
          </w:tcPr>
          <w:p w14:paraId="35810515">
            <w:pPr>
              <w:spacing w:line="257" w:lineRule="auto"/>
              <w:rPr>
                <w:rFonts w:ascii="Arial"/>
                <w:sz w:val="21"/>
              </w:rPr>
            </w:pPr>
          </w:p>
          <w:p w14:paraId="1AEA062A">
            <w:pPr>
              <w:spacing w:line="257" w:lineRule="auto"/>
              <w:rPr>
                <w:rFonts w:ascii="Arial"/>
                <w:sz w:val="21"/>
              </w:rPr>
            </w:pPr>
          </w:p>
          <w:p w14:paraId="548BD9EC">
            <w:pPr>
              <w:spacing w:line="307" w:lineRule="exact"/>
              <w:ind w:firstLine="43"/>
            </w:pPr>
            <w:r>
              <w:rPr>
                <w:position w:val="-6"/>
              </w:rPr>
              <w:drawing>
                <wp:inline distT="0" distB="0" distL="0" distR="0">
                  <wp:extent cx="82550" cy="194945"/>
                  <wp:effectExtent l="0" t="0" r="0" b="0"/>
                  <wp:docPr id="440" name="IM 440"/>
                  <wp:cNvGraphicFramePr/>
                  <a:graphic xmlns:a="http://schemas.openxmlformats.org/drawingml/2006/main">
                    <a:graphicData uri="http://schemas.openxmlformats.org/drawingml/2006/picture">
                      <pic:pic xmlns:pic="http://schemas.openxmlformats.org/drawingml/2006/picture">
                        <pic:nvPicPr>
                          <pic:cNvPr id="440" name="IM 440"/>
                          <pic:cNvPicPr/>
                        </pic:nvPicPr>
                        <pic:blipFill>
                          <a:blip r:embed="rId384"/>
                          <a:stretch>
                            <a:fillRect/>
                          </a:stretch>
                        </pic:blipFill>
                        <pic:spPr>
                          <a:xfrm>
                            <a:off x="0" y="0"/>
                            <a:ext cx="82984" cy="195070"/>
                          </a:xfrm>
                          <a:prstGeom prst="rect">
                            <a:avLst/>
                          </a:prstGeom>
                        </pic:spPr>
                      </pic:pic>
                    </a:graphicData>
                  </a:graphic>
                </wp:inline>
              </w:drawing>
            </w:r>
          </w:p>
        </w:tc>
      </w:tr>
      <w:tr w14:paraId="600FBC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8" w:hRule="atLeast"/>
        </w:trPr>
        <w:tc>
          <w:tcPr>
            <w:tcW w:w="743" w:type="dxa"/>
            <w:vAlign w:val="top"/>
          </w:tcPr>
          <w:p w14:paraId="1DBE1591">
            <w:pPr>
              <w:pStyle w:val="6"/>
              <w:spacing w:before="12" w:line="194" w:lineRule="auto"/>
              <w:jc w:val="right"/>
              <w:rPr>
                <w:sz w:val="18"/>
                <w:szCs w:val="18"/>
              </w:rPr>
            </w:pPr>
            <w:r>
              <w:rPr>
                <w:spacing w:val="-1"/>
                <w:sz w:val="18"/>
                <w:szCs w:val="18"/>
              </w:rPr>
              <w:t>电阻、电</w:t>
            </w:r>
          </w:p>
          <w:p w14:paraId="3B6FE533">
            <w:pPr>
              <w:pStyle w:val="6"/>
              <w:spacing w:line="193" w:lineRule="auto"/>
              <w:ind w:left="15"/>
              <w:rPr>
                <w:sz w:val="18"/>
                <w:szCs w:val="18"/>
              </w:rPr>
            </w:pPr>
            <w:r>
              <w:rPr>
                <w:spacing w:val="-2"/>
                <w:sz w:val="18"/>
                <w:szCs w:val="18"/>
              </w:rPr>
              <w:t>感、电容</w:t>
            </w:r>
          </w:p>
          <w:p w14:paraId="641139A4">
            <w:pPr>
              <w:pStyle w:val="6"/>
              <w:spacing w:line="184" w:lineRule="auto"/>
              <w:ind w:left="115"/>
            </w:pPr>
            <w:r>
              <w:rPr>
                <w:spacing w:val="12"/>
              </w:rPr>
              <w:t>的并联</w:t>
            </w:r>
          </w:p>
          <w:p w14:paraId="2BC684EF">
            <w:pPr>
              <w:pStyle w:val="6"/>
              <w:spacing w:line="192" w:lineRule="auto"/>
              <w:ind w:left="185"/>
            </w:pPr>
            <w:r>
              <w:rPr>
                <w:spacing w:val="-14"/>
              </w:rPr>
              <w:t>电</w:t>
            </w:r>
            <w:r>
              <w:rPr>
                <w:spacing w:val="-24"/>
              </w:rPr>
              <w:t xml:space="preserve"> </w:t>
            </w:r>
            <w:r>
              <w:rPr>
                <w:spacing w:val="-14"/>
              </w:rPr>
              <w:t>路</w:t>
            </w:r>
          </w:p>
        </w:tc>
        <w:tc>
          <w:tcPr>
            <w:tcW w:w="2484" w:type="dxa"/>
            <w:vAlign w:val="top"/>
          </w:tcPr>
          <w:p w14:paraId="026D7783">
            <w:pPr>
              <w:pStyle w:val="6"/>
              <w:spacing w:before="191" w:line="223" w:lineRule="auto"/>
              <w:ind w:left="12" w:right="285"/>
              <w:rPr>
                <w:sz w:val="18"/>
                <w:szCs w:val="18"/>
              </w:rPr>
            </w:pPr>
            <w:r>
              <w:rPr>
                <w:spacing w:val="1"/>
                <w:sz w:val="18"/>
                <w:szCs w:val="18"/>
              </w:rPr>
              <w:t>1.总电流和电压的相位关系</w:t>
            </w:r>
            <w:r>
              <w:rPr>
                <w:spacing w:val="2"/>
                <w:sz w:val="18"/>
                <w:szCs w:val="18"/>
              </w:rPr>
              <w:t xml:space="preserve"> </w:t>
            </w:r>
            <w:r>
              <w:rPr>
                <w:spacing w:val="1"/>
                <w:sz w:val="18"/>
                <w:szCs w:val="18"/>
              </w:rPr>
              <w:t>2.总电流和电压的大小关系</w:t>
            </w:r>
          </w:p>
        </w:tc>
        <w:tc>
          <w:tcPr>
            <w:tcW w:w="220" w:type="dxa"/>
            <w:vAlign w:val="top"/>
          </w:tcPr>
          <w:p w14:paraId="31943B90">
            <w:pPr>
              <w:rPr>
                <w:rFonts w:ascii="Arial"/>
                <w:sz w:val="21"/>
              </w:rPr>
            </w:pPr>
          </w:p>
        </w:tc>
        <w:tc>
          <w:tcPr>
            <w:tcW w:w="230" w:type="dxa"/>
            <w:vAlign w:val="top"/>
          </w:tcPr>
          <w:p w14:paraId="05FF0456">
            <w:pPr>
              <w:rPr>
                <w:rFonts w:ascii="Arial"/>
                <w:sz w:val="21"/>
              </w:rPr>
            </w:pPr>
          </w:p>
        </w:tc>
        <w:tc>
          <w:tcPr>
            <w:tcW w:w="229" w:type="dxa"/>
            <w:vAlign w:val="top"/>
          </w:tcPr>
          <w:p w14:paraId="5485CE42">
            <w:pPr>
              <w:rPr>
                <w:rFonts w:ascii="Arial"/>
                <w:sz w:val="21"/>
              </w:rPr>
            </w:pPr>
          </w:p>
        </w:tc>
        <w:tc>
          <w:tcPr>
            <w:tcW w:w="234" w:type="dxa"/>
            <w:vAlign w:val="top"/>
          </w:tcPr>
          <w:p w14:paraId="0962458A">
            <w:pPr>
              <w:rPr>
                <w:rFonts w:ascii="Arial"/>
                <w:sz w:val="21"/>
              </w:rPr>
            </w:pPr>
          </w:p>
        </w:tc>
      </w:tr>
      <w:tr w14:paraId="2EF2AA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78" w:hRule="atLeast"/>
        </w:trPr>
        <w:tc>
          <w:tcPr>
            <w:tcW w:w="743" w:type="dxa"/>
            <w:vAlign w:val="top"/>
          </w:tcPr>
          <w:p w14:paraId="7A7B6962">
            <w:pPr>
              <w:pStyle w:val="6"/>
              <w:spacing w:before="25" w:line="216" w:lineRule="auto"/>
              <w:ind w:left="94" w:right="85"/>
              <w:jc w:val="both"/>
              <w:rPr>
                <w:sz w:val="18"/>
                <w:szCs w:val="18"/>
              </w:rPr>
            </w:pPr>
            <w:r>
              <w:rPr>
                <w:spacing w:val="4"/>
                <w:sz w:val="18"/>
                <w:szCs w:val="18"/>
              </w:rPr>
              <w:t>电感线</w:t>
            </w:r>
            <w:r>
              <w:rPr>
                <w:sz w:val="18"/>
                <w:szCs w:val="18"/>
              </w:rPr>
              <w:t xml:space="preserve"> </w:t>
            </w:r>
            <w:r>
              <w:rPr>
                <w:spacing w:val="3"/>
                <w:sz w:val="18"/>
                <w:szCs w:val="18"/>
              </w:rPr>
              <w:t>圈与电</w:t>
            </w:r>
            <w:r>
              <w:rPr>
                <w:sz w:val="18"/>
                <w:szCs w:val="18"/>
              </w:rPr>
              <w:t xml:space="preserve"> </w:t>
            </w:r>
            <w:r>
              <w:rPr>
                <w:spacing w:val="-4"/>
                <w:sz w:val="18"/>
                <w:szCs w:val="18"/>
              </w:rPr>
              <w:t>容器并</w:t>
            </w:r>
            <w:r>
              <w:rPr>
                <w:spacing w:val="1"/>
                <w:sz w:val="18"/>
                <w:szCs w:val="18"/>
              </w:rPr>
              <w:t xml:space="preserve"> </w:t>
            </w:r>
            <w:r>
              <w:rPr>
                <w:spacing w:val="-2"/>
                <w:sz w:val="18"/>
                <w:szCs w:val="18"/>
              </w:rPr>
              <w:t>联电路</w:t>
            </w:r>
          </w:p>
        </w:tc>
        <w:tc>
          <w:tcPr>
            <w:tcW w:w="2484" w:type="dxa"/>
            <w:vAlign w:val="top"/>
          </w:tcPr>
          <w:p w14:paraId="06E8801A">
            <w:pPr>
              <w:pStyle w:val="6"/>
              <w:spacing w:before="142" w:line="226" w:lineRule="auto"/>
              <w:ind w:left="12" w:right="1726"/>
              <w:rPr>
                <w:sz w:val="18"/>
                <w:szCs w:val="18"/>
              </w:rPr>
            </w:pPr>
            <w:r>
              <w:rPr>
                <w:spacing w:val="-5"/>
                <w:sz w:val="18"/>
                <w:szCs w:val="18"/>
              </w:rPr>
              <w:t>1.</w:t>
            </w:r>
            <w:r>
              <w:rPr>
                <w:spacing w:val="-51"/>
                <w:sz w:val="18"/>
                <w:szCs w:val="18"/>
              </w:rPr>
              <w:t xml:space="preserve"> </w:t>
            </w:r>
            <w:r>
              <w:rPr>
                <w:spacing w:val="-5"/>
                <w:sz w:val="18"/>
                <w:szCs w:val="18"/>
              </w:rPr>
              <w:t>电路图</w:t>
            </w:r>
            <w:r>
              <w:rPr>
                <w:sz w:val="18"/>
                <w:szCs w:val="18"/>
              </w:rPr>
              <w:t xml:space="preserve"> </w:t>
            </w:r>
            <w:r>
              <w:rPr>
                <w:spacing w:val="3"/>
                <w:sz w:val="18"/>
                <w:szCs w:val="18"/>
              </w:rPr>
              <w:t>2.相量图</w:t>
            </w:r>
          </w:p>
          <w:p w14:paraId="32E294F7">
            <w:pPr>
              <w:pStyle w:val="6"/>
              <w:spacing w:line="219" w:lineRule="auto"/>
              <w:ind w:left="12"/>
              <w:rPr>
                <w:sz w:val="18"/>
                <w:szCs w:val="18"/>
              </w:rPr>
            </w:pPr>
            <w:r>
              <w:rPr>
                <w:spacing w:val="-1"/>
                <w:sz w:val="18"/>
                <w:szCs w:val="18"/>
              </w:rPr>
              <w:t>3.并联谐振的定义和条件</w:t>
            </w:r>
          </w:p>
        </w:tc>
        <w:tc>
          <w:tcPr>
            <w:tcW w:w="220" w:type="dxa"/>
            <w:vAlign w:val="top"/>
          </w:tcPr>
          <w:p w14:paraId="453D2F0D">
            <w:pPr>
              <w:rPr>
                <w:rFonts w:ascii="Arial"/>
                <w:sz w:val="21"/>
              </w:rPr>
            </w:pPr>
          </w:p>
        </w:tc>
        <w:tc>
          <w:tcPr>
            <w:tcW w:w="230" w:type="dxa"/>
            <w:vAlign w:val="top"/>
          </w:tcPr>
          <w:p w14:paraId="05B458EF">
            <w:pPr>
              <w:rPr>
                <w:rFonts w:ascii="Arial"/>
                <w:sz w:val="21"/>
              </w:rPr>
            </w:pPr>
          </w:p>
        </w:tc>
        <w:tc>
          <w:tcPr>
            <w:tcW w:w="229" w:type="dxa"/>
            <w:vAlign w:val="top"/>
          </w:tcPr>
          <w:p w14:paraId="2B1F61CF">
            <w:pPr>
              <w:rPr>
                <w:rFonts w:ascii="Arial"/>
                <w:sz w:val="21"/>
              </w:rPr>
            </w:pPr>
          </w:p>
        </w:tc>
        <w:tc>
          <w:tcPr>
            <w:tcW w:w="234" w:type="dxa"/>
            <w:vAlign w:val="top"/>
          </w:tcPr>
          <w:p w14:paraId="604E44ED">
            <w:pPr>
              <w:rPr>
                <w:rFonts w:ascii="Arial"/>
                <w:sz w:val="21"/>
              </w:rPr>
            </w:pPr>
          </w:p>
        </w:tc>
      </w:tr>
      <w:tr w14:paraId="3957E8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59" w:hRule="atLeast"/>
        </w:trPr>
        <w:tc>
          <w:tcPr>
            <w:tcW w:w="743" w:type="dxa"/>
            <w:vAlign w:val="top"/>
          </w:tcPr>
          <w:p w14:paraId="2CC799C0">
            <w:pPr>
              <w:pStyle w:val="6"/>
              <w:spacing w:before="146" w:line="217" w:lineRule="auto"/>
              <w:ind w:left="94" w:right="8" w:hanging="79"/>
              <w:rPr>
                <w:sz w:val="18"/>
                <w:szCs w:val="18"/>
              </w:rPr>
            </w:pPr>
            <w:r>
              <w:rPr>
                <w:spacing w:val="-3"/>
                <w:sz w:val="18"/>
                <w:szCs w:val="18"/>
              </w:rPr>
              <w:t>交流电路</w:t>
            </w:r>
            <w:r>
              <w:rPr>
                <w:sz w:val="18"/>
                <w:szCs w:val="18"/>
              </w:rPr>
              <w:t xml:space="preserve"> </w:t>
            </w:r>
            <w:r>
              <w:rPr>
                <w:spacing w:val="2"/>
                <w:sz w:val="18"/>
                <w:szCs w:val="18"/>
              </w:rPr>
              <w:t>的功率</w:t>
            </w:r>
          </w:p>
        </w:tc>
        <w:tc>
          <w:tcPr>
            <w:tcW w:w="2484" w:type="dxa"/>
            <w:vAlign w:val="top"/>
          </w:tcPr>
          <w:p w14:paraId="516C9FE8">
            <w:pPr>
              <w:pStyle w:val="6"/>
              <w:spacing w:before="36" w:line="220" w:lineRule="auto"/>
              <w:ind w:left="12" w:right="1013"/>
              <w:rPr>
                <w:sz w:val="18"/>
                <w:szCs w:val="18"/>
              </w:rPr>
            </w:pPr>
            <w:r>
              <w:rPr>
                <w:sz w:val="18"/>
                <w:szCs w:val="18"/>
              </w:rPr>
              <w:t>1.交流电路的功率</w:t>
            </w:r>
            <w:r>
              <w:rPr>
                <w:spacing w:val="7"/>
                <w:sz w:val="18"/>
                <w:szCs w:val="18"/>
              </w:rPr>
              <w:t xml:space="preserve"> </w:t>
            </w:r>
            <w:r>
              <w:rPr>
                <w:spacing w:val="-2"/>
                <w:sz w:val="18"/>
                <w:szCs w:val="18"/>
              </w:rPr>
              <w:t>2.功率因数</w:t>
            </w:r>
          </w:p>
          <w:p w14:paraId="52128503">
            <w:pPr>
              <w:pStyle w:val="6"/>
              <w:spacing w:line="188" w:lineRule="auto"/>
              <w:ind w:left="12"/>
              <w:rPr>
                <w:sz w:val="18"/>
                <w:szCs w:val="18"/>
              </w:rPr>
            </w:pPr>
            <w:r>
              <w:rPr>
                <w:spacing w:val="-1"/>
                <w:sz w:val="18"/>
                <w:szCs w:val="18"/>
              </w:rPr>
              <w:t>3.提高功率因数的意义和方法</w:t>
            </w:r>
          </w:p>
        </w:tc>
        <w:tc>
          <w:tcPr>
            <w:tcW w:w="220" w:type="dxa"/>
            <w:vAlign w:val="top"/>
          </w:tcPr>
          <w:p w14:paraId="12B177B2">
            <w:pPr>
              <w:rPr>
                <w:rFonts w:ascii="Arial"/>
                <w:sz w:val="21"/>
              </w:rPr>
            </w:pPr>
          </w:p>
        </w:tc>
        <w:tc>
          <w:tcPr>
            <w:tcW w:w="230" w:type="dxa"/>
            <w:vAlign w:val="top"/>
          </w:tcPr>
          <w:p w14:paraId="65FD9D98">
            <w:pPr>
              <w:spacing w:before="106" w:line="512" w:lineRule="exact"/>
              <w:ind w:firstLine="43"/>
            </w:pPr>
            <w:r>
              <w:rPr>
                <w:position w:val="-10"/>
              </w:rPr>
              <w:drawing>
                <wp:inline distT="0" distB="0" distL="0" distR="0">
                  <wp:extent cx="94615" cy="325120"/>
                  <wp:effectExtent l="0" t="0" r="0" b="0"/>
                  <wp:docPr id="442" name="IM 442"/>
                  <wp:cNvGraphicFramePr/>
                  <a:graphic xmlns:a="http://schemas.openxmlformats.org/drawingml/2006/main">
                    <a:graphicData uri="http://schemas.openxmlformats.org/drawingml/2006/picture">
                      <pic:pic xmlns:pic="http://schemas.openxmlformats.org/drawingml/2006/picture">
                        <pic:nvPicPr>
                          <pic:cNvPr id="442" name="IM 442"/>
                          <pic:cNvPicPr/>
                        </pic:nvPicPr>
                        <pic:blipFill>
                          <a:blip r:embed="rId385"/>
                          <a:stretch>
                            <a:fillRect/>
                          </a:stretch>
                        </pic:blipFill>
                        <pic:spPr>
                          <a:xfrm>
                            <a:off x="0" y="0"/>
                            <a:ext cx="95241" cy="325598"/>
                          </a:xfrm>
                          <a:prstGeom prst="rect">
                            <a:avLst/>
                          </a:prstGeom>
                        </pic:spPr>
                      </pic:pic>
                    </a:graphicData>
                  </a:graphic>
                </wp:inline>
              </w:drawing>
            </w:r>
          </w:p>
        </w:tc>
        <w:tc>
          <w:tcPr>
            <w:tcW w:w="229" w:type="dxa"/>
            <w:vAlign w:val="top"/>
          </w:tcPr>
          <w:p w14:paraId="144AA0FA">
            <w:pPr>
              <w:rPr>
                <w:rFonts w:ascii="Arial"/>
                <w:sz w:val="21"/>
              </w:rPr>
            </w:pPr>
          </w:p>
        </w:tc>
        <w:tc>
          <w:tcPr>
            <w:tcW w:w="234" w:type="dxa"/>
            <w:vAlign w:val="top"/>
          </w:tcPr>
          <w:p w14:paraId="5896F987">
            <w:pPr>
              <w:rPr>
                <w:rFonts w:ascii="Arial"/>
                <w:sz w:val="21"/>
              </w:rPr>
            </w:pPr>
          </w:p>
        </w:tc>
      </w:tr>
      <w:tr w14:paraId="5F8896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54" w:hRule="atLeast"/>
        </w:trPr>
        <w:tc>
          <w:tcPr>
            <w:tcW w:w="743" w:type="dxa"/>
            <w:vAlign w:val="top"/>
          </w:tcPr>
          <w:p w14:paraId="667C7DEA">
            <w:pPr>
              <w:pStyle w:val="6"/>
              <w:spacing w:before="47" w:line="204" w:lineRule="auto"/>
              <w:ind w:left="94" w:right="87"/>
              <w:jc w:val="both"/>
              <w:rPr>
                <w:sz w:val="18"/>
                <w:szCs w:val="18"/>
              </w:rPr>
            </w:pPr>
            <w:r>
              <w:rPr>
                <w:spacing w:val="3"/>
                <w:sz w:val="18"/>
                <w:szCs w:val="18"/>
              </w:rPr>
              <w:t>交流电</w:t>
            </w:r>
            <w:r>
              <w:rPr>
                <w:sz w:val="18"/>
                <w:szCs w:val="18"/>
              </w:rPr>
              <w:t xml:space="preserve"> </w:t>
            </w:r>
            <w:r>
              <w:rPr>
                <w:spacing w:val="-3"/>
                <w:sz w:val="18"/>
                <w:szCs w:val="18"/>
              </w:rPr>
              <w:t>路的实</w:t>
            </w:r>
            <w:r>
              <w:rPr>
                <w:sz w:val="18"/>
                <w:szCs w:val="18"/>
              </w:rPr>
              <w:t xml:space="preserve"> </w:t>
            </w:r>
            <w:r>
              <w:rPr>
                <w:spacing w:val="2"/>
                <w:sz w:val="18"/>
                <w:szCs w:val="18"/>
              </w:rPr>
              <w:t>际元件</w:t>
            </w:r>
          </w:p>
        </w:tc>
        <w:tc>
          <w:tcPr>
            <w:tcW w:w="2484" w:type="dxa"/>
            <w:vAlign w:val="top"/>
          </w:tcPr>
          <w:p w14:paraId="0FFAE7C9">
            <w:pPr>
              <w:pStyle w:val="6"/>
              <w:spacing w:before="47" w:line="210" w:lineRule="auto"/>
              <w:ind w:left="12" w:right="1375"/>
              <w:rPr>
                <w:sz w:val="18"/>
                <w:szCs w:val="18"/>
              </w:rPr>
            </w:pPr>
            <w:r>
              <w:rPr>
                <w:sz w:val="18"/>
                <w:szCs w:val="18"/>
              </w:rPr>
              <w:t>1.导体的电阻</w:t>
            </w:r>
            <w:r>
              <w:rPr>
                <w:spacing w:val="5"/>
                <w:sz w:val="18"/>
                <w:szCs w:val="18"/>
              </w:rPr>
              <w:t xml:space="preserve"> </w:t>
            </w:r>
            <w:r>
              <w:rPr>
                <w:spacing w:val="3"/>
                <w:sz w:val="18"/>
                <w:szCs w:val="18"/>
              </w:rPr>
              <w:t>2.电感线圈</w:t>
            </w:r>
          </w:p>
          <w:p w14:paraId="22197A56">
            <w:pPr>
              <w:pStyle w:val="6"/>
              <w:spacing w:line="191" w:lineRule="auto"/>
              <w:ind w:left="12"/>
              <w:rPr>
                <w:sz w:val="18"/>
                <w:szCs w:val="18"/>
              </w:rPr>
            </w:pPr>
            <w:r>
              <w:rPr>
                <w:spacing w:val="-1"/>
                <w:sz w:val="18"/>
                <w:szCs w:val="18"/>
              </w:rPr>
              <w:t>3.电容器</w:t>
            </w:r>
          </w:p>
        </w:tc>
        <w:tc>
          <w:tcPr>
            <w:tcW w:w="220" w:type="dxa"/>
            <w:vAlign w:val="top"/>
          </w:tcPr>
          <w:p w14:paraId="0F229F56">
            <w:pPr>
              <w:spacing w:before="95" w:line="504" w:lineRule="exact"/>
              <w:ind w:firstLine="45"/>
            </w:pPr>
            <w:r>
              <w:rPr>
                <w:position w:val="-10"/>
              </w:rPr>
              <w:drawing>
                <wp:inline distT="0" distB="0" distL="0" distR="0">
                  <wp:extent cx="77470" cy="319405"/>
                  <wp:effectExtent l="0" t="0" r="0" b="0"/>
                  <wp:docPr id="444" name="IM 444"/>
                  <wp:cNvGraphicFramePr/>
                  <a:graphic xmlns:a="http://schemas.openxmlformats.org/drawingml/2006/main">
                    <a:graphicData uri="http://schemas.openxmlformats.org/drawingml/2006/picture">
                      <pic:pic xmlns:pic="http://schemas.openxmlformats.org/drawingml/2006/picture">
                        <pic:nvPicPr>
                          <pic:cNvPr id="444" name="IM 444"/>
                          <pic:cNvPicPr/>
                        </pic:nvPicPr>
                        <pic:blipFill>
                          <a:blip r:embed="rId386"/>
                          <a:stretch>
                            <a:fillRect/>
                          </a:stretch>
                        </pic:blipFill>
                        <pic:spPr>
                          <a:xfrm>
                            <a:off x="0" y="0"/>
                            <a:ext cx="77798" cy="319927"/>
                          </a:xfrm>
                          <a:prstGeom prst="rect">
                            <a:avLst/>
                          </a:prstGeom>
                        </pic:spPr>
                      </pic:pic>
                    </a:graphicData>
                  </a:graphic>
                </wp:inline>
              </w:drawing>
            </w:r>
          </w:p>
        </w:tc>
        <w:tc>
          <w:tcPr>
            <w:tcW w:w="230" w:type="dxa"/>
            <w:vAlign w:val="top"/>
          </w:tcPr>
          <w:p w14:paraId="0A6626C0">
            <w:pPr>
              <w:rPr>
                <w:rFonts w:ascii="Arial"/>
                <w:sz w:val="21"/>
              </w:rPr>
            </w:pPr>
          </w:p>
        </w:tc>
        <w:tc>
          <w:tcPr>
            <w:tcW w:w="229" w:type="dxa"/>
            <w:vAlign w:val="top"/>
          </w:tcPr>
          <w:p w14:paraId="181F46BB">
            <w:pPr>
              <w:rPr>
                <w:rFonts w:ascii="Arial"/>
                <w:sz w:val="21"/>
              </w:rPr>
            </w:pPr>
          </w:p>
        </w:tc>
        <w:tc>
          <w:tcPr>
            <w:tcW w:w="234" w:type="dxa"/>
            <w:vAlign w:val="top"/>
          </w:tcPr>
          <w:p w14:paraId="09A35D61">
            <w:pPr>
              <w:rPr>
                <w:rFonts w:ascii="Arial"/>
                <w:sz w:val="21"/>
              </w:rPr>
            </w:pPr>
          </w:p>
        </w:tc>
      </w:tr>
    </w:tbl>
    <w:p w14:paraId="758EB94D">
      <w:pPr>
        <w:spacing w:before="188" w:line="219" w:lineRule="auto"/>
        <w:ind w:left="1107"/>
        <w:rPr>
          <w:rFonts w:ascii="宋体" w:hAnsi="宋体" w:eastAsia="宋体" w:cs="宋体"/>
          <w:sz w:val="17"/>
          <w:szCs w:val="17"/>
        </w:rPr>
      </w:pPr>
      <w:r>
        <w:rPr>
          <w:rFonts w:ascii="宋体" w:hAnsi="宋体" w:eastAsia="宋体" w:cs="宋体"/>
          <w:b/>
          <w:bCs/>
          <w:spacing w:val="2"/>
          <w:sz w:val="17"/>
          <w:szCs w:val="17"/>
        </w:rPr>
        <w:t>第九章三相正弦交流电路</w:t>
      </w:r>
    </w:p>
    <w:p w14:paraId="52BA2B40">
      <w:pPr>
        <w:spacing w:line="139" w:lineRule="exact"/>
      </w:pPr>
    </w:p>
    <w:tbl>
      <w:tblPr>
        <w:tblStyle w:val="5"/>
        <w:tblW w:w="414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43"/>
        <w:gridCol w:w="2484"/>
        <w:gridCol w:w="220"/>
        <w:gridCol w:w="230"/>
        <w:gridCol w:w="229"/>
        <w:gridCol w:w="234"/>
      </w:tblGrid>
      <w:tr w14:paraId="1B599A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4" w:hRule="atLeast"/>
        </w:trPr>
        <w:tc>
          <w:tcPr>
            <w:tcW w:w="743" w:type="dxa"/>
            <w:vMerge w:val="restart"/>
            <w:tcBorders>
              <w:bottom w:val="nil"/>
            </w:tcBorders>
            <w:vAlign w:val="top"/>
          </w:tcPr>
          <w:p w14:paraId="7FA37861">
            <w:pPr>
              <w:pStyle w:val="6"/>
              <w:spacing w:before="31" w:line="218" w:lineRule="auto"/>
              <w:ind w:left="106" w:right="35" w:hanging="79"/>
            </w:pPr>
            <w:r>
              <w:rPr>
                <w:b/>
                <w:bCs/>
                <w:spacing w:val="-5"/>
              </w:rPr>
              <w:t>知识与技</w:t>
            </w:r>
            <w:r>
              <w:rPr>
                <w:spacing w:val="1"/>
              </w:rPr>
              <w:t xml:space="preserve"> </w:t>
            </w:r>
            <w:r>
              <w:rPr>
                <w:b/>
                <w:bCs/>
                <w:spacing w:val="1"/>
              </w:rPr>
              <w:t>能要点</w:t>
            </w:r>
          </w:p>
        </w:tc>
        <w:tc>
          <w:tcPr>
            <w:tcW w:w="2484" w:type="dxa"/>
            <w:vMerge w:val="restart"/>
            <w:tcBorders>
              <w:bottom w:val="nil"/>
            </w:tcBorders>
            <w:vAlign w:val="top"/>
          </w:tcPr>
          <w:p w14:paraId="40813285">
            <w:pPr>
              <w:pStyle w:val="6"/>
              <w:spacing w:before="139" w:line="219" w:lineRule="auto"/>
              <w:ind w:left="904"/>
            </w:pPr>
            <w:r>
              <w:rPr>
                <w:b/>
                <w:bCs/>
                <w:spacing w:val="5"/>
              </w:rPr>
              <w:t>考试条目</w:t>
            </w:r>
          </w:p>
        </w:tc>
        <w:tc>
          <w:tcPr>
            <w:tcW w:w="913" w:type="dxa"/>
            <w:gridSpan w:val="4"/>
            <w:vAlign w:val="top"/>
          </w:tcPr>
          <w:p w14:paraId="7B0775E0">
            <w:pPr>
              <w:pStyle w:val="6"/>
              <w:spacing w:before="28" w:line="201" w:lineRule="auto"/>
              <w:ind w:left="140"/>
            </w:pPr>
            <w:r>
              <w:rPr>
                <w:b/>
                <w:bCs/>
                <w:spacing w:val="-4"/>
              </w:rPr>
              <w:t>考试水平</w:t>
            </w:r>
          </w:p>
        </w:tc>
      </w:tr>
      <w:tr w14:paraId="740EBA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9" w:hRule="atLeast"/>
        </w:trPr>
        <w:tc>
          <w:tcPr>
            <w:tcW w:w="743" w:type="dxa"/>
            <w:vMerge w:val="continue"/>
            <w:tcBorders>
              <w:top w:val="nil"/>
            </w:tcBorders>
            <w:vAlign w:val="top"/>
          </w:tcPr>
          <w:p w14:paraId="1C2BD8ED">
            <w:pPr>
              <w:rPr>
                <w:rFonts w:ascii="Arial"/>
                <w:sz w:val="21"/>
              </w:rPr>
            </w:pPr>
          </w:p>
        </w:tc>
        <w:tc>
          <w:tcPr>
            <w:tcW w:w="2484" w:type="dxa"/>
            <w:vMerge w:val="continue"/>
            <w:tcBorders>
              <w:top w:val="nil"/>
            </w:tcBorders>
            <w:vAlign w:val="top"/>
          </w:tcPr>
          <w:p w14:paraId="7901BF71">
            <w:pPr>
              <w:rPr>
                <w:rFonts w:ascii="Arial"/>
                <w:sz w:val="21"/>
              </w:rPr>
            </w:pPr>
          </w:p>
        </w:tc>
        <w:tc>
          <w:tcPr>
            <w:tcW w:w="220" w:type="dxa"/>
            <w:vAlign w:val="top"/>
          </w:tcPr>
          <w:p w14:paraId="1A4B1A26">
            <w:pPr>
              <w:pStyle w:val="6"/>
              <w:spacing w:before="60" w:line="139" w:lineRule="exact"/>
              <w:ind w:left="57"/>
            </w:pPr>
            <w:r>
              <w:rPr>
                <w:position w:val="-2"/>
              </w:rPr>
              <w:t>A</w:t>
            </w:r>
          </w:p>
        </w:tc>
        <w:tc>
          <w:tcPr>
            <w:tcW w:w="230" w:type="dxa"/>
            <w:vAlign w:val="top"/>
          </w:tcPr>
          <w:p w14:paraId="30443C78">
            <w:pPr>
              <w:pStyle w:val="6"/>
              <w:spacing w:before="62" w:line="137" w:lineRule="exact"/>
              <w:ind w:left="20"/>
            </w:pPr>
            <w:r>
              <w:rPr>
                <w:b/>
                <w:bCs/>
                <w:spacing w:val="-2"/>
                <w:position w:val="-2"/>
              </w:rPr>
              <w:t>B</w:t>
            </w:r>
          </w:p>
        </w:tc>
        <w:tc>
          <w:tcPr>
            <w:tcW w:w="229" w:type="dxa"/>
            <w:vAlign w:val="top"/>
          </w:tcPr>
          <w:p w14:paraId="70117BAE">
            <w:pPr>
              <w:pStyle w:val="6"/>
              <w:spacing w:before="64" w:line="135" w:lineRule="exact"/>
              <w:ind w:left="67"/>
              <w:rPr>
                <w:sz w:val="18"/>
                <w:szCs w:val="18"/>
              </w:rPr>
            </w:pPr>
            <w:r>
              <w:rPr>
                <w:position w:val="-2"/>
                <w:sz w:val="18"/>
                <w:szCs w:val="18"/>
              </w:rPr>
              <w:t>C</w:t>
            </w:r>
          </w:p>
        </w:tc>
        <w:tc>
          <w:tcPr>
            <w:tcW w:w="234" w:type="dxa"/>
            <w:vAlign w:val="top"/>
          </w:tcPr>
          <w:p w14:paraId="5F8D2F7A">
            <w:pPr>
              <w:pStyle w:val="6"/>
              <w:spacing w:before="62" w:line="137" w:lineRule="exact"/>
              <w:ind w:left="21"/>
            </w:pPr>
            <w:r>
              <w:rPr>
                <w:b/>
                <w:bCs/>
                <w:spacing w:val="-2"/>
                <w:position w:val="-2"/>
              </w:rPr>
              <w:t>D</w:t>
            </w:r>
          </w:p>
        </w:tc>
      </w:tr>
      <w:tr w14:paraId="73F59B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8" w:hRule="atLeast"/>
        </w:trPr>
        <w:tc>
          <w:tcPr>
            <w:tcW w:w="743" w:type="dxa"/>
            <w:vAlign w:val="top"/>
          </w:tcPr>
          <w:p w14:paraId="58266E8E">
            <w:pPr>
              <w:pStyle w:val="6"/>
              <w:spacing w:before="69" w:line="246" w:lineRule="auto"/>
              <w:ind w:left="25" w:right="19"/>
            </w:pPr>
            <w:r>
              <w:rPr>
                <w:spacing w:val="-2"/>
              </w:rPr>
              <w:t>三相交流</w:t>
            </w:r>
            <w:r>
              <w:t xml:space="preserve"> </w:t>
            </w:r>
            <w:r>
              <w:rPr>
                <w:spacing w:val="1"/>
              </w:rPr>
              <w:t>电的产生</w:t>
            </w:r>
          </w:p>
        </w:tc>
        <w:tc>
          <w:tcPr>
            <w:tcW w:w="2484" w:type="dxa"/>
            <w:vAlign w:val="top"/>
          </w:tcPr>
          <w:p w14:paraId="57073CC8">
            <w:pPr>
              <w:pStyle w:val="6"/>
              <w:spacing w:before="99" w:line="216" w:lineRule="auto"/>
              <w:ind w:left="12"/>
            </w:pPr>
            <w:r>
              <w:rPr>
                <w:spacing w:val="1"/>
              </w:rPr>
              <w:t>1.三相交流电</w:t>
            </w:r>
          </w:p>
          <w:p w14:paraId="7AA65B81">
            <w:pPr>
              <w:pStyle w:val="6"/>
              <w:spacing w:line="219" w:lineRule="auto"/>
              <w:ind w:left="12"/>
            </w:pPr>
            <w:r>
              <w:rPr>
                <w:spacing w:val="-1"/>
              </w:rPr>
              <w:t>2.三相交流电的产生</w:t>
            </w:r>
          </w:p>
        </w:tc>
        <w:tc>
          <w:tcPr>
            <w:tcW w:w="220" w:type="dxa"/>
            <w:vAlign w:val="top"/>
          </w:tcPr>
          <w:p w14:paraId="0485C119">
            <w:pPr>
              <w:pStyle w:val="6"/>
              <w:spacing w:before="134" w:line="201" w:lineRule="auto"/>
              <w:ind w:left="18" w:right="69" w:firstLine="39"/>
            </w:pPr>
            <w:r>
              <w:rPr>
                <w:spacing w:val="-3"/>
              </w:rPr>
              <w:t>V</w:t>
            </w:r>
            <w:r>
              <w:t xml:space="preserve"> </w:t>
            </w:r>
            <w:r>
              <w:rPr>
                <w:spacing w:val="-49"/>
              </w:rPr>
              <w:t>√</w:t>
            </w:r>
          </w:p>
        </w:tc>
        <w:tc>
          <w:tcPr>
            <w:tcW w:w="230" w:type="dxa"/>
            <w:vAlign w:val="top"/>
          </w:tcPr>
          <w:p w14:paraId="08A8D341">
            <w:pPr>
              <w:rPr>
                <w:rFonts w:ascii="Arial"/>
                <w:sz w:val="21"/>
              </w:rPr>
            </w:pPr>
          </w:p>
        </w:tc>
        <w:tc>
          <w:tcPr>
            <w:tcW w:w="229" w:type="dxa"/>
            <w:vAlign w:val="top"/>
          </w:tcPr>
          <w:p w14:paraId="27046536">
            <w:pPr>
              <w:rPr>
                <w:rFonts w:ascii="Arial"/>
                <w:sz w:val="21"/>
              </w:rPr>
            </w:pPr>
          </w:p>
        </w:tc>
        <w:tc>
          <w:tcPr>
            <w:tcW w:w="234" w:type="dxa"/>
            <w:vAlign w:val="top"/>
          </w:tcPr>
          <w:p w14:paraId="55764FFF">
            <w:pPr>
              <w:rPr>
                <w:rFonts w:ascii="Arial"/>
                <w:sz w:val="21"/>
              </w:rPr>
            </w:pPr>
          </w:p>
        </w:tc>
      </w:tr>
      <w:tr w14:paraId="5BD140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18" w:hRule="atLeast"/>
        </w:trPr>
        <w:tc>
          <w:tcPr>
            <w:tcW w:w="743" w:type="dxa"/>
            <w:vAlign w:val="top"/>
          </w:tcPr>
          <w:p w14:paraId="7750B9B3">
            <w:pPr>
              <w:pStyle w:val="6"/>
              <w:spacing w:before="112" w:line="258" w:lineRule="auto"/>
              <w:ind w:left="104" w:right="34" w:hanging="79"/>
            </w:pPr>
            <w:r>
              <w:rPr>
                <w:spacing w:val="-2"/>
              </w:rPr>
              <w:t>三相电源</w:t>
            </w:r>
            <w:r>
              <w:t xml:space="preserve"> </w:t>
            </w:r>
            <w:r>
              <w:rPr>
                <w:spacing w:val="2"/>
              </w:rPr>
              <w:t>的联接</w:t>
            </w:r>
          </w:p>
        </w:tc>
        <w:tc>
          <w:tcPr>
            <w:tcW w:w="2484" w:type="dxa"/>
            <w:vAlign w:val="top"/>
          </w:tcPr>
          <w:p w14:paraId="5A8E2DF7">
            <w:pPr>
              <w:pStyle w:val="6"/>
              <w:spacing w:before="231" w:line="221" w:lineRule="auto"/>
              <w:ind w:left="12"/>
            </w:pPr>
            <w:r>
              <w:rPr>
                <w:spacing w:val="-1"/>
              </w:rPr>
              <w:t>三相电源的星形联接</w:t>
            </w:r>
          </w:p>
        </w:tc>
        <w:tc>
          <w:tcPr>
            <w:tcW w:w="220" w:type="dxa"/>
            <w:vAlign w:val="top"/>
          </w:tcPr>
          <w:p w14:paraId="3AEA2CC1">
            <w:pPr>
              <w:rPr>
                <w:rFonts w:ascii="Arial"/>
                <w:sz w:val="21"/>
              </w:rPr>
            </w:pPr>
          </w:p>
        </w:tc>
        <w:tc>
          <w:tcPr>
            <w:tcW w:w="230" w:type="dxa"/>
            <w:vAlign w:val="top"/>
          </w:tcPr>
          <w:p w14:paraId="4E2DCD6F">
            <w:pPr>
              <w:rPr>
                <w:rFonts w:ascii="Arial"/>
                <w:sz w:val="21"/>
              </w:rPr>
            </w:pPr>
          </w:p>
        </w:tc>
        <w:tc>
          <w:tcPr>
            <w:tcW w:w="229" w:type="dxa"/>
            <w:vAlign w:val="top"/>
          </w:tcPr>
          <w:p w14:paraId="761D76EF">
            <w:pPr>
              <w:pStyle w:val="6"/>
              <w:spacing w:before="262" w:line="238" w:lineRule="auto"/>
              <w:ind w:left="48"/>
              <w:rPr>
                <w:sz w:val="13"/>
                <w:szCs w:val="13"/>
              </w:rPr>
            </w:pPr>
            <w:r>
              <w:rPr>
                <w:sz w:val="13"/>
                <w:szCs w:val="13"/>
              </w:rPr>
              <w:t>√</w:t>
            </w:r>
          </w:p>
        </w:tc>
        <w:tc>
          <w:tcPr>
            <w:tcW w:w="234" w:type="dxa"/>
            <w:vAlign w:val="top"/>
          </w:tcPr>
          <w:p w14:paraId="0B3E4DF9">
            <w:pPr>
              <w:rPr>
                <w:rFonts w:ascii="Arial"/>
                <w:sz w:val="21"/>
              </w:rPr>
            </w:pPr>
          </w:p>
        </w:tc>
      </w:tr>
      <w:tr w14:paraId="66CB23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7" w:hRule="atLeast"/>
        </w:trPr>
        <w:tc>
          <w:tcPr>
            <w:tcW w:w="743" w:type="dxa"/>
            <w:vAlign w:val="top"/>
          </w:tcPr>
          <w:p w14:paraId="508E0630">
            <w:pPr>
              <w:pStyle w:val="6"/>
              <w:spacing w:before="271" w:line="231" w:lineRule="auto"/>
              <w:ind w:left="104" w:right="34" w:hanging="79"/>
            </w:pPr>
            <w:r>
              <w:rPr>
                <w:spacing w:val="-2"/>
              </w:rPr>
              <w:t>三相负载</w:t>
            </w:r>
            <w:r>
              <w:t xml:space="preserve"> </w:t>
            </w:r>
            <w:r>
              <w:rPr>
                <w:spacing w:val="3"/>
              </w:rPr>
              <w:t>的联结</w:t>
            </w:r>
          </w:p>
        </w:tc>
        <w:tc>
          <w:tcPr>
            <w:tcW w:w="2484" w:type="dxa"/>
            <w:vAlign w:val="top"/>
          </w:tcPr>
          <w:p w14:paraId="0BEA95BF">
            <w:pPr>
              <w:pStyle w:val="6"/>
              <w:spacing w:before="33" w:line="219" w:lineRule="auto"/>
              <w:ind w:left="12"/>
            </w:pPr>
            <w:r>
              <w:rPr>
                <w:spacing w:val="1"/>
              </w:rPr>
              <w:t>1.三相负载</w:t>
            </w:r>
          </w:p>
          <w:p w14:paraId="5C52859E">
            <w:pPr>
              <w:pStyle w:val="6"/>
              <w:spacing w:before="18" w:line="219" w:lineRule="auto"/>
              <w:ind w:left="12"/>
            </w:pPr>
            <w:r>
              <w:rPr>
                <w:spacing w:val="-1"/>
              </w:rPr>
              <w:t>2.三相负载的星形联接</w:t>
            </w:r>
          </w:p>
          <w:p w14:paraId="74066854">
            <w:pPr>
              <w:pStyle w:val="6"/>
              <w:spacing w:before="27" w:line="225" w:lineRule="auto"/>
              <w:ind w:left="12" w:right="601"/>
            </w:pPr>
            <w:r>
              <w:rPr>
                <w:spacing w:val="-1"/>
              </w:rPr>
              <w:t>3.三相负载的三角形联接</w:t>
            </w:r>
            <w:r>
              <w:t xml:space="preserve"> </w:t>
            </w:r>
            <w:r>
              <w:rPr>
                <w:spacing w:val="2"/>
              </w:rPr>
              <w:t>4.中性线的作用</w:t>
            </w:r>
          </w:p>
        </w:tc>
        <w:tc>
          <w:tcPr>
            <w:tcW w:w="220" w:type="dxa"/>
            <w:vAlign w:val="top"/>
          </w:tcPr>
          <w:p w14:paraId="509937FB">
            <w:pPr>
              <w:rPr>
                <w:rFonts w:ascii="Arial"/>
                <w:sz w:val="21"/>
              </w:rPr>
            </w:pPr>
          </w:p>
        </w:tc>
        <w:tc>
          <w:tcPr>
            <w:tcW w:w="230" w:type="dxa"/>
            <w:vAlign w:val="top"/>
          </w:tcPr>
          <w:p w14:paraId="392113C1">
            <w:pPr>
              <w:rPr>
                <w:rFonts w:ascii="Arial"/>
                <w:sz w:val="21"/>
              </w:rPr>
            </w:pPr>
          </w:p>
        </w:tc>
        <w:tc>
          <w:tcPr>
            <w:tcW w:w="229" w:type="dxa"/>
            <w:vAlign w:val="top"/>
          </w:tcPr>
          <w:p w14:paraId="247BA40E">
            <w:pPr>
              <w:rPr>
                <w:rFonts w:ascii="Arial"/>
                <w:sz w:val="21"/>
              </w:rPr>
            </w:pPr>
          </w:p>
        </w:tc>
        <w:tc>
          <w:tcPr>
            <w:tcW w:w="234" w:type="dxa"/>
            <w:vAlign w:val="top"/>
          </w:tcPr>
          <w:p w14:paraId="618A79E6">
            <w:pPr>
              <w:rPr>
                <w:rFonts w:ascii="Arial"/>
                <w:sz w:val="21"/>
              </w:rPr>
            </w:pPr>
          </w:p>
        </w:tc>
      </w:tr>
      <w:tr w14:paraId="723CA9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13" w:hRule="atLeast"/>
        </w:trPr>
        <w:tc>
          <w:tcPr>
            <w:tcW w:w="743" w:type="dxa"/>
            <w:vAlign w:val="top"/>
          </w:tcPr>
          <w:p w14:paraId="78AACDE4">
            <w:pPr>
              <w:pStyle w:val="6"/>
              <w:spacing w:before="115" w:line="229" w:lineRule="auto"/>
              <w:ind w:left="104" w:right="34" w:hanging="79"/>
            </w:pPr>
            <w:r>
              <w:rPr>
                <w:spacing w:val="-2"/>
              </w:rPr>
              <w:t>三相电路</w:t>
            </w:r>
            <w:r>
              <w:t xml:space="preserve"> </w:t>
            </w:r>
            <w:r>
              <w:rPr>
                <w:spacing w:val="2"/>
              </w:rPr>
              <w:t>的功率</w:t>
            </w:r>
          </w:p>
        </w:tc>
        <w:tc>
          <w:tcPr>
            <w:tcW w:w="2484" w:type="dxa"/>
            <w:vAlign w:val="top"/>
          </w:tcPr>
          <w:p w14:paraId="7B39746E">
            <w:pPr>
              <w:pStyle w:val="6"/>
              <w:spacing w:before="115" w:line="250" w:lineRule="auto"/>
              <w:ind w:left="12" w:right="248" w:firstLine="10"/>
            </w:pPr>
            <w:r>
              <w:rPr>
                <w:spacing w:val="-1"/>
              </w:rPr>
              <w:t>三相电路功率、功率计数，一</w:t>
            </w:r>
            <w:r>
              <w:rPr>
                <w:spacing w:val="5"/>
              </w:rPr>
              <w:t xml:space="preserve"> </w:t>
            </w:r>
            <w:r>
              <w:rPr>
                <w:spacing w:val="-1"/>
              </w:rPr>
              <w:t>表法、二表法</w:t>
            </w:r>
          </w:p>
        </w:tc>
        <w:tc>
          <w:tcPr>
            <w:tcW w:w="220" w:type="dxa"/>
            <w:vAlign w:val="top"/>
          </w:tcPr>
          <w:p w14:paraId="6340FD1B">
            <w:pPr>
              <w:rPr>
                <w:rFonts w:ascii="Arial"/>
                <w:sz w:val="21"/>
              </w:rPr>
            </w:pPr>
          </w:p>
        </w:tc>
        <w:tc>
          <w:tcPr>
            <w:tcW w:w="230" w:type="dxa"/>
            <w:vAlign w:val="top"/>
          </w:tcPr>
          <w:p w14:paraId="51E0E865">
            <w:pPr>
              <w:rPr>
                <w:rFonts w:ascii="Arial"/>
                <w:sz w:val="21"/>
              </w:rPr>
            </w:pPr>
          </w:p>
        </w:tc>
        <w:tc>
          <w:tcPr>
            <w:tcW w:w="229" w:type="dxa"/>
            <w:vAlign w:val="top"/>
          </w:tcPr>
          <w:p w14:paraId="0A76F046">
            <w:pPr>
              <w:pStyle w:val="6"/>
              <w:spacing w:before="257" w:line="238" w:lineRule="auto"/>
              <w:ind w:left="48"/>
              <w:rPr>
                <w:sz w:val="13"/>
                <w:szCs w:val="13"/>
              </w:rPr>
            </w:pPr>
            <w:r>
              <w:rPr>
                <w:sz w:val="13"/>
                <w:szCs w:val="13"/>
              </w:rPr>
              <w:t>√</w:t>
            </w:r>
          </w:p>
        </w:tc>
        <w:tc>
          <w:tcPr>
            <w:tcW w:w="234" w:type="dxa"/>
            <w:vAlign w:val="top"/>
          </w:tcPr>
          <w:p w14:paraId="259478D4">
            <w:pPr>
              <w:rPr>
                <w:rFonts w:ascii="Arial"/>
                <w:sz w:val="21"/>
              </w:rPr>
            </w:pPr>
          </w:p>
        </w:tc>
      </w:tr>
    </w:tbl>
    <w:p w14:paraId="7E6CFBB3">
      <w:pPr>
        <w:spacing w:before="218" w:line="219" w:lineRule="auto"/>
        <w:ind w:left="717"/>
        <w:rPr>
          <w:rFonts w:ascii="宋体" w:hAnsi="宋体" w:eastAsia="宋体" w:cs="宋体"/>
          <w:sz w:val="17"/>
          <w:szCs w:val="17"/>
        </w:rPr>
      </w:pPr>
      <w:r>
        <w:rPr>
          <w:rFonts w:ascii="宋体" w:hAnsi="宋体" w:eastAsia="宋体" w:cs="宋体"/>
          <w:b/>
          <w:bCs/>
          <w:spacing w:val="-3"/>
          <w:sz w:val="17"/>
          <w:szCs w:val="17"/>
        </w:rPr>
        <w:t>第十章变压器和三相异步交流电动机</w:t>
      </w:r>
    </w:p>
    <w:p w14:paraId="4BB45032">
      <w:pPr>
        <w:spacing w:line="110" w:lineRule="exact"/>
      </w:pPr>
    </w:p>
    <w:tbl>
      <w:tblPr>
        <w:tblStyle w:val="5"/>
        <w:tblW w:w="414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53"/>
        <w:gridCol w:w="2484"/>
        <w:gridCol w:w="210"/>
        <w:gridCol w:w="230"/>
        <w:gridCol w:w="229"/>
        <w:gridCol w:w="234"/>
      </w:tblGrid>
      <w:tr w14:paraId="690CAB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9" w:hRule="atLeast"/>
        </w:trPr>
        <w:tc>
          <w:tcPr>
            <w:tcW w:w="753" w:type="dxa"/>
            <w:vMerge w:val="restart"/>
            <w:tcBorders>
              <w:top w:val="single" w:color="000000" w:sz="2" w:space="0"/>
              <w:bottom w:val="nil"/>
            </w:tcBorders>
            <w:vAlign w:val="top"/>
          </w:tcPr>
          <w:p w14:paraId="31A75FD6">
            <w:pPr>
              <w:pStyle w:val="6"/>
              <w:spacing w:before="35" w:line="221" w:lineRule="auto"/>
              <w:ind w:left="27"/>
            </w:pPr>
            <w:r>
              <w:rPr>
                <w:b/>
                <w:bCs/>
                <w:spacing w:val="-4"/>
              </w:rPr>
              <w:t>知识与技</w:t>
            </w:r>
          </w:p>
          <w:p w14:paraId="24009BA0">
            <w:pPr>
              <w:pStyle w:val="6"/>
              <w:spacing w:before="16" w:line="199" w:lineRule="auto"/>
              <w:ind w:left="117"/>
            </w:pPr>
            <w:r>
              <w:rPr>
                <w:b/>
                <w:bCs/>
                <w:spacing w:val="1"/>
              </w:rPr>
              <w:t>能要点</w:t>
            </w:r>
          </w:p>
        </w:tc>
        <w:tc>
          <w:tcPr>
            <w:tcW w:w="2484" w:type="dxa"/>
            <w:vMerge w:val="restart"/>
            <w:tcBorders>
              <w:top w:val="single" w:color="000000" w:sz="2" w:space="0"/>
              <w:bottom w:val="nil"/>
            </w:tcBorders>
            <w:vAlign w:val="top"/>
          </w:tcPr>
          <w:p w14:paraId="2782ED50">
            <w:pPr>
              <w:pStyle w:val="6"/>
              <w:spacing w:before="144" w:line="219" w:lineRule="auto"/>
              <w:ind w:left="924"/>
            </w:pPr>
            <w:r>
              <w:rPr>
                <w:b/>
                <w:bCs/>
                <w:spacing w:val="5"/>
              </w:rPr>
              <w:t>考试条目</w:t>
            </w:r>
          </w:p>
        </w:tc>
        <w:tc>
          <w:tcPr>
            <w:tcW w:w="903" w:type="dxa"/>
            <w:gridSpan w:val="4"/>
            <w:tcBorders>
              <w:top w:val="single" w:color="000000" w:sz="2" w:space="0"/>
              <w:bottom w:val="single" w:color="000000" w:sz="2" w:space="0"/>
            </w:tcBorders>
            <w:vAlign w:val="top"/>
          </w:tcPr>
          <w:p w14:paraId="6E676D5F">
            <w:pPr>
              <w:pStyle w:val="6"/>
              <w:spacing w:before="34" w:line="211" w:lineRule="auto"/>
              <w:ind w:left="120"/>
            </w:pPr>
            <w:r>
              <w:rPr>
                <w:b/>
                <w:bCs/>
                <w:spacing w:val="-4"/>
              </w:rPr>
              <w:t>考试水平</w:t>
            </w:r>
          </w:p>
        </w:tc>
      </w:tr>
      <w:tr w14:paraId="701692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5" w:hRule="atLeast"/>
        </w:trPr>
        <w:tc>
          <w:tcPr>
            <w:tcW w:w="753" w:type="dxa"/>
            <w:vMerge w:val="continue"/>
            <w:tcBorders>
              <w:top w:val="nil"/>
              <w:bottom w:val="single" w:color="000000" w:sz="2" w:space="0"/>
            </w:tcBorders>
            <w:vAlign w:val="top"/>
          </w:tcPr>
          <w:p w14:paraId="74DC1F07">
            <w:pPr>
              <w:rPr>
                <w:rFonts w:ascii="Arial"/>
                <w:sz w:val="21"/>
              </w:rPr>
            </w:pPr>
          </w:p>
        </w:tc>
        <w:tc>
          <w:tcPr>
            <w:tcW w:w="2484" w:type="dxa"/>
            <w:vMerge w:val="continue"/>
            <w:tcBorders>
              <w:top w:val="nil"/>
              <w:bottom w:val="single" w:color="000000" w:sz="2" w:space="0"/>
            </w:tcBorders>
            <w:vAlign w:val="top"/>
          </w:tcPr>
          <w:p w14:paraId="712D703E">
            <w:pPr>
              <w:rPr>
                <w:rFonts w:ascii="Arial"/>
                <w:sz w:val="21"/>
              </w:rPr>
            </w:pPr>
          </w:p>
        </w:tc>
        <w:tc>
          <w:tcPr>
            <w:tcW w:w="210" w:type="dxa"/>
            <w:tcBorders>
              <w:top w:val="single" w:color="000000" w:sz="2" w:space="0"/>
              <w:bottom w:val="single" w:color="000000" w:sz="2" w:space="0"/>
            </w:tcBorders>
            <w:vAlign w:val="top"/>
          </w:tcPr>
          <w:p w14:paraId="02ECD144">
            <w:pPr>
              <w:pStyle w:val="6"/>
              <w:spacing w:before="65" w:line="130" w:lineRule="exact"/>
              <w:ind w:left="18"/>
            </w:pPr>
            <w:r>
              <w:rPr>
                <w:position w:val="-2"/>
              </w:rPr>
              <w:t>A</w:t>
            </w:r>
          </w:p>
        </w:tc>
        <w:tc>
          <w:tcPr>
            <w:tcW w:w="230" w:type="dxa"/>
            <w:tcBorders>
              <w:top w:val="single" w:color="000000" w:sz="2" w:space="0"/>
              <w:bottom w:val="single" w:color="000000" w:sz="2" w:space="0"/>
            </w:tcBorders>
            <w:vAlign w:val="top"/>
          </w:tcPr>
          <w:p w14:paraId="4AA33DF9">
            <w:pPr>
              <w:pStyle w:val="6"/>
              <w:spacing w:before="67" w:line="128" w:lineRule="exact"/>
              <w:ind w:left="30"/>
            </w:pPr>
            <w:r>
              <w:rPr>
                <w:b/>
                <w:bCs/>
                <w:spacing w:val="-2"/>
                <w:position w:val="-2"/>
              </w:rPr>
              <w:t>B</w:t>
            </w:r>
          </w:p>
        </w:tc>
        <w:tc>
          <w:tcPr>
            <w:tcW w:w="229" w:type="dxa"/>
            <w:tcBorders>
              <w:top w:val="single" w:color="000000" w:sz="2" w:space="0"/>
              <w:bottom w:val="single" w:color="000000" w:sz="2" w:space="0"/>
            </w:tcBorders>
            <w:vAlign w:val="top"/>
          </w:tcPr>
          <w:p w14:paraId="76609C36">
            <w:pPr>
              <w:pStyle w:val="6"/>
              <w:spacing w:before="65" w:line="130" w:lineRule="exact"/>
              <w:ind w:left="20"/>
            </w:pPr>
            <w:r>
              <w:rPr>
                <w:b/>
                <w:bCs/>
                <w:spacing w:val="-2"/>
                <w:position w:val="-2"/>
              </w:rPr>
              <w:t>C</w:t>
            </w:r>
          </w:p>
        </w:tc>
        <w:tc>
          <w:tcPr>
            <w:tcW w:w="234" w:type="dxa"/>
            <w:tcBorders>
              <w:top w:val="single" w:color="000000" w:sz="2" w:space="0"/>
              <w:bottom w:val="single" w:color="000000" w:sz="2" w:space="0"/>
            </w:tcBorders>
            <w:vAlign w:val="top"/>
          </w:tcPr>
          <w:p w14:paraId="016D702F">
            <w:pPr>
              <w:pStyle w:val="6"/>
              <w:spacing w:before="67" w:line="128" w:lineRule="exact"/>
              <w:ind w:left="21"/>
            </w:pPr>
            <w:r>
              <w:rPr>
                <w:b/>
                <w:bCs/>
                <w:spacing w:val="-2"/>
                <w:position w:val="-2"/>
              </w:rPr>
              <w:t>D</w:t>
            </w:r>
          </w:p>
        </w:tc>
      </w:tr>
      <w:tr w14:paraId="002116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4" w:hRule="atLeast"/>
        </w:trPr>
        <w:tc>
          <w:tcPr>
            <w:tcW w:w="753" w:type="dxa"/>
            <w:tcBorders>
              <w:top w:val="single" w:color="000000" w:sz="2" w:space="0"/>
              <w:bottom w:val="single" w:color="000000" w:sz="2" w:space="0"/>
            </w:tcBorders>
            <w:vAlign w:val="top"/>
          </w:tcPr>
          <w:p w14:paraId="13C61E61">
            <w:pPr>
              <w:pStyle w:val="6"/>
              <w:spacing w:before="43" w:line="212" w:lineRule="auto"/>
              <w:ind w:left="115" w:right="111"/>
            </w:pPr>
            <w:r>
              <w:rPr>
                <w:spacing w:val="-3"/>
              </w:rPr>
              <w:t>变压器</w:t>
            </w:r>
            <w:r>
              <w:rPr>
                <w:spacing w:val="1"/>
              </w:rPr>
              <w:t xml:space="preserve"> </w:t>
            </w:r>
            <w:r>
              <w:rPr>
                <w:spacing w:val="2"/>
              </w:rPr>
              <w:t>的构造</w:t>
            </w:r>
          </w:p>
        </w:tc>
        <w:tc>
          <w:tcPr>
            <w:tcW w:w="2484" w:type="dxa"/>
            <w:tcBorders>
              <w:top w:val="single" w:color="000000" w:sz="2" w:space="0"/>
              <w:bottom w:val="single" w:color="000000" w:sz="2" w:space="0"/>
            </w:tcBorders>
            <w:vAlign w:val="top"/>
          </w:tcPr>
          <w:p w14:paraId="6F8B43BD">
            <w:pPr>
              <w:pStyle w:val="6"/>
              <w:spacing w:before="41" w:line="213" w:lineRule="auto"/>
              <w:ind w:left="12" w:right="754"/>
            </w:pPr>
            <w:r>
              <w:t>1.变压器的用途及种类</w:t>
            </w:r>
            <w:r>
              <w:rPr>
                <w:spacing w:val="6"/>
              </w:rPr>
              <w:t xml:space="preserve"> </w:t>
            </w:r>
            <w:r>
              <w:rPr>
                <w:spacing w:val="-1"/>
              </w:rPr>
              <w:t>2.变压器的基本结构</w:t>
            </w:r>
          </w:p>
        </w:tc>
        <w:tc>
          <w:tcPr>
            <w:tcW w:w="210" w:type="dxa"/>
            <w:tcBorders>
              <w:top w:val="single" w:color="000000" w:sz="2" w:space="0"/>
              <w:bottom w:val="single" w:color="000000" w:sz="2" w:space="0"/>
            </w:tcBorders>
            <w:vAlign w:val="top"/>
          </w:tcPr>
          <w:p w14:paraId="3FCA04B3">
            <w:pPr>
              <w:spacing w:before="92" w:line="305" w:lineRule="exact"/>
              <w:ind w:firstLine="50"/>
            </w:pPr>
            <w:r>
              <w:rPr>
                <w:position w:val="-6"/>
              </w:rPr>
              <w:drawing>
                <wp:inline distT="0" distB="0" distL="0" distR="0">
                  <wp:extent cx="58420" cy="193675"/>
                  <wp:effectExtent l="0" t="0" r="0" b="0"/>
                  <wp:docPr id="446" name="IM 446"/>
                  <wp:cNvGraphicFramePr/>
                  <a:graphic xmlns:a="http://schemas.openxmlformats.org/drawingml/2006/main">
                    <a:graphicData uri="http://schemas.openxmlformats.org/drawingml/2006/picture">
                      <pic:pic xmlns:pic="http://schemas.openxmlformats.org/drawingml/2006/picture">
                        <pic:nvPicPr>
                          <pic:cNvPr id="446" name="IM 446"/>
                          <pic:cNvPicPr/>
                        </pic:nvPicPr>
                        <pic:blipFill>
                          <a:blip r:embed="rId387"/>
                          <a:stretch>
                            <a:fillRect/>
                          </a:stretch>
                        </pic:blipFill>
                        <pic:spPr>
                          <a:xfrm>
                            <a:off x="0" y="0"/>
                            <a:ext cx="58604" cy="193941"/>
                          </a:xfrm>
                          <a:prstGeom prst="rect">
                            <a:avLst/>
                          </a:prstGeom>
                        </pic:spPr>
                      </pic:pic>
                    </a:graphicData>
                  </a:graphic>
                </wp:inline>
              </w:drawing>
            </w:r>
          </w:p>
        </w:tc>
        <w:tc>
          <w:tcPr>
            <w:tcW w:w="230" w:type="dxa"/>
            <w:tcBorders>
              <w:top w:val="single" w:color="000000" w:sz="2" w:space="0"/>
              <w:bottom w:val="single" w:color="000000" w:sz="2" w:space="0"/>
            </w:tcBorders>
            <w:vAlign w:val="top"/>
          </w:tcPr>
          <w:p w14:paraId="0FA07986">
            <w:pPr>
              <w:rPr>
                <w:rFonts w:ascii="Arial"/>
                <w:sz w:val="21"/>
              </w:rPr>
            </w:pPr>
          </w:p>
        </w:tc>
        <w:tc>
          <w:tcPr>
            <w:tcW w:w="229" w:type="dxa"/>
            <w:tcBorders>
              <w:top w:val="single" w:color="000000" w:sz="2" w:space="0"/>
              <w:bottom w:val="single" w:color="000000" w:sz="2" w:space="0"/>
            </w:tcBorders>
            <w:vAlign w:val="top"/>
          </w:tcPr>
          <w:p w14:paraId="2EA8271E">
            <w:pPr>
              <w:rPr>
                <w:rFonts w:ascii="Arial"/>
                <w:sz w:val="21"/>
              </w:rPr>
            </w:pPr>
          </w:p>
        </w:tc>
        <w:tc>
          <w:tcPr>
            <w:tcW w:w="234" w:type="dxa"/>
            <w:tcBorders>
              <w:top w:val="single" w:color="000000" w:sz="2" w:space="0"/>
              <w:bottom w:val="single" w:color="000000" w:sz="2" w:space="0"/>
            </w:tcBorders>
            <w:vAlign w:val="top"/>
          </w:tcPr>
          <w:p w14:paraId="5EF198EC">
            <w:pPr>
              <w:rPr>
                <w:rFonts w:ascii="Arial"/>
                <w:sz w:val="21"/>
              </w:rPr>
            </w:pPr>
          </w:p>
        </w:tc>
      </w:tr>
      <w:tr w14:paraId="47964A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93" w:hRule="atLeast"/>
        </w:trPr>
        <w:tc>
          <w:tcPr>
            <w:tcW w:w="753" w:type="dxa"/>
            <w:tcBorders>
              <w:top w:val="single" w:color="000000" w:sz="2" w:space="0"/>
              <w:bottom w:val="single" w:color="000000" w:sz="2" w:space="0"/>
            </w:tcBorders>
            <w:vAlign w:val="top"/>
          </w:tcPr>
          <w:p w14:paraId="3EE35DAE">
            <w:pPr>
              <w:pStyle w:val="6"/>
              <w:spacing w:before="155" w:line="238" w:lineRule="auto"/>
              <w:ind w:left="115" w:right="106"/>
              <w:jc w:val="both"/>
            </w:pPr>
            <w:r>
              <w:rPr>
                <w:spacing w:val="-3"/>
              </w:rPr>
              <w:t>变压器</w:t>
            </w:r>
            <w:r>
              <w:rPr>
                <w:spacing w:val="1"/>
              </w:rPr>
              <w:t xml:space="preserve"> </w:t>
            </w:r>
            <w:r>
              <w:rPr>
                <w:spacing w:val="3"/>
              </w:rPr>
              <w:t>的工作</w:t>
            </w:r>
            <w:r>
              <w:rPr>
                <w:spacing w:val="1"/>
              </w:rPr>
              <w:t xml:space="preserve"> </w:t>
            </w:r>
            <w:r>
              <w:rPr>
                <w:spacing w:val="34"/>
              </w:rPr>
              <w:t>原理</w:t>
            </w:r>
          </w:p>
        </w:tc>
        <w:tc>
          <w:tcPr>
            <w:tcW w:w="2484" w:type="dxa"/>
            <w:tcBorders>
              <w:top w:val="single" w:color="000000" w:sz="2" w:space="0"/>
              <w:bottom w:val="single" w:color="000000" w:sz="2" w:space="0"/>
            </w:tcBorders>
            <w:vAlign w:val="top"/>
          </w:tcPr>
          <w:p w14:paraId="5A5139E8">
            <w:pPr>
              <w:pStyle w:val="6"/>
              <w:spacing w:before="43" w:line="235" w:lineRule="auto"/>
              <w:ind w:left="12" w:right="1263"/>
              <w:jc w:val="both"/>
            </w:pPr>
            <w:r>
              <w:t>1.改变交流电压</w:t>
            </w:r>
            <w:r>
              <w:rPr>
                <w:spacing w:val="6"/>
              </w:rPr>
              <w:t xml:space="preserve"> </w:t>
            </w:r>
            <w:r>
              <w:rPr>
                <w:spacing w:val="-2"/>
              </w:rPr>
              <w:t>2.改变交流电流</w:t>
            </w:r>
            <w:r>
              <w:rPr>
                <w:spacing w:val="6"/>
              </w:rPr>
              <w:t xml:space="preserve"> </w:t>
            </w:r>
            <w:r>
              <w:rPr>
                <w:spacing w:val="-2"/>
              </w:rPr>
              <w:t>3.变换交流阻抗</w:t>
            </w:r>
          </w:p>
          <w:p w14:paraId="3B63649D">
            <w:pPr>
              <w:pStyle w:val="6"/>
              <w:spacing w:line="206" w:lineRule="auto"/>
              <w:ind w:left="12"/>
            </w:pPr>
            <w:r>
              <w:rPr>
                <w:spacing w:val="-1"/>
              </w:rPr>
              <w:t>4.变压器的外特性和电压变化率</w:t>
            </w:r>
          </w:p>
        </w:tc>
        <w:tc>
          <w:tcPr>
            <w:tcW w:w="210" w:type="dxa"/>
            <w:tcBorders>
              <w:top w:val="single" w:color="000000" w:sz="2" w:space="0"/>
              <w:bottom w:val="single" w:color="000000" w:sz="2" w:space="0"/>
            </w:tcBorders>
            <w:vAlign w:val="top"/>
          </w:tcPr>
          <w:p w14:paraId="32D1006F">
            <w:pPr>
              <w:rPr>
                <w:rFonts w:ascii="Arial"/>
                <w:sz w:val="21"/>
              </w:rPr>
            </w:pPr>
          </w:p>
        </w:tc>
        <w:tc>
          <w:tcPr>
            <w:tcW w:w="230" w:type="dxa"/>
            <w:tcBorders>
              <w:top w:val="single" w:color="000000" w:sz="2" w:space="0"/>
              <w:bottom w:val="single" w:color="000000" w:sz="2" w:space="0"/>
            </w:tcBorders>
            <w:vAlign w:val="top"/>
          </w:tcPr>
          <w:p w14:paraId="78A813AA">
            <w:pPr>
              <w:rPr>
                <w:rFonts w:ascii="Arial"/>
                <w:sz w:val="21"/>
              </w:rPr>
            </w:pPr>
          </w:p>
        </w:tc>
        <w:tc>
          <w:tcPr>
            <w:tcW w:w="229" w:type="dxa"/>
            <w:tcBorders>
              <w:top w:val="single" w:color="000000" w:sz="2" w:space="0"/>
              <w:bottom w:val="single" w:color="000000" w:sz="2" w:space="0"/>
            </w:tcBorders>
            <w:vAlign w:val="top"/>
          </w:tcPr>
          <w:p w14:paraId="0A1E4231">
            <w:pPr>
              <w:spacing w:before="101" w:line="518" w:lineRule="exact"/>
              <w:ind w:firstLine="48"/>
            </w:pPr>
            <w:r>
              <w:rPr>
                <w:position w:val="-10"/>
              </w:rPr>
              <w:drawing>
                <wp:inline distT="0" distB="0" distL="0" distR="0">
                  <wp:extent cx="88265" cy="328295"/>
                  <wp:effectExtent l="0" t="0" r="0" b="0"/>
                  <wp:docPr id="448" name="IM 448"/>
                  <wp:cNvGraphicFramePr/>
                  <a:graphic xmlns:a="http://schemas.openxmlformats.org/drawingml/2006/main">
                    <a:graphicData uri="http://schemas.openxmlformats.org/drawingml/2006/picture">
                      <pic:pic xmlns:pic="http://schemas.openxmlformats.org/drawingml/2006/picture">
                        <pic:nvPicPr>
                          <pic:cNvPr id="448" name="IM 448"/>
                          <pic:cNvPicPr/>
                        </pic:nvPicPr>
                        <pic:blipFill>
                          <a:blip r:embed="rId388"/>
                          <a:stretch>
                            <a:fillRect/>
                          </a:stretch>
                        </pic:blipFill>
                        <pic:spPr>
                          <a:xfrm>
                            <a:off x="0" y="0"/>
                            <a:ext cx="88891" cy="328844"/>
                          </a:xfrm>
                          <a:prstGeom prst="rect">
                            <a:avLst/>
                          </a:prstGeom>
                        </pic:spPr>
                      </pic:pic>
                    </a:graphicData>
                  </a:graphic>
                </wp:inline>
              </w:drawing>
            </w:r>
          </w:p>
        </w:tc>
        <w:tc>
          <w:tcPr>
            <w:tcW w:w="234" w:type="dxa"/>
            <w:tcBorders>
              <w:top w:val="single" w:color="000000" w:sz="2" w:space="0"/>
              <w:bottom w:val="single" w:color="000000" w:sz="2" w:space="0"/>
            </w:tcBorders>
            <w:vAlign w:val="top"/>
          </w:tcPr>
          <w:p w14:paraId="678C562A">
            <w:pPr>
              <w:rPr>
                <w:rFonts w:ascii="Arial"/>
                <w:sz w:val="21"/>
              </w:rPr>
            </w:pPr>
          </w:p>
        </w:tc>
      </w:tr>
      <w:tr w14:paraId="1D8C03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4" w:hRule="atLeast"/>
        </w:trPr>
        <w:tc>
          <w:tcPr>
            <w:tcW w:w="753" w:type="dxa"/>
            <w:tcBorders>
              <w:top w:val="single" w:color="000000" w:sz="2" w:space="0"/>
              <w:bottom w:val="single" w:color="000000" w:sz="2" w:space="0"/>
            </w:tcBorders>
            <w:vAlign w:val="top"/>
          </w:tcPr>
          <w:p w14:paraId="06E16E83">
            <w:pPr>
              <w:pStyle w:val="6"/>
              <w:spacing w:before="35" w:line="195" w:lineRule="auto"/>
              <w:ind w:left="115" w:right="110"/>
              <w:jc w:val="both"/>
            </w:pPr>
            <w:r>
              <w:rPr>
                <w:spacing w:val="-3"/>
              </w:rPr>
              <w:t>变压器</w:t>
            </w:r>
            <w:r>
              <w:rPr>
                <w:spacing w:val="1"/>
              </w:rPr>
              <w:t xml:space="preserve"> </w:t>
            </w:r>
            <w:r>
              <w:rPr>
                <w:spacing w:val="2"/>
              </w:rPr>
              <w:t>的功率</w:t>
            </w:r>
            <w:r>
              <w:t xml:space="preserve"> </w:t>
            </w:r>
            <w:r>
              <w:rPr>
                <w:spacing w:val="-2"/>
              </w:rPr>
              <w:t>和效率</w:t>
            </w:r>
          </w:p>
        </w:tc>
        <w:tc>
          <w:tcPr>
            <w:tcW w:w="2484" w:type="dxa"/>
            <w:tcBorders>
              <w:top w:val="single" w:color="000000" w:sz="2" w:space="0"/>
              <w:bottom w:val="single" w:color="000000" w:sz="2" w:space="0"/>
            </w:tcBorders>
            <w:vAlign w:val="top"/>
          </w:tcPr>
          <w:p w14:paraId="548B4BF7">
            <w:pPr>
              <w:pStyle w:val="6"/>
              <w:spacing w:before="115" w:line="236" w:lineRule="auto"/>
              <w:ind w:left="12" w:right="1263"/>
            </w:pPr>
            <w:r>
              <w:t>1.变压器的功率</w:t>
            </w:r>
            <w:r>
              <w:rPr>
                <w:spacing w:val="6"/>
              </w:rPr>
              <w:t xml:space="preserve"> </w:t>
            </w:r>
            <w:r>
              <w:rPr>
                <w:spacing w:val="-2"/>
              </w:rPr>
              <w:t>2.变压器的效率</w:t>
            </w:r>
          </w:p>
        </w:tc>
        <w:tc>
          <w:tcPr>
            <w:tcW w:w="210" w:type="dxa"/>
            <w:tcBorders>
              <w:top w:val="single" w:color="000000" w:sz="2" w:space="0"/>
              <w:bottom w:val="single" w:color="000000" w:sz="2" w:space="0"/>
            </w:tcBorders>
            <w:vAlign w:val="top"/>
          </w:tcPr>
          <w:p w14:paraId="50B73C47">
            <w:pPr>
              <w:rPr>
                <w:rFonts w:ascii="Arial"/>
                <w:sz w:val="21"/>
              </w:rPr>
            </w:pPr>
          </w:p>
        </w:tc>
        <w:tc>
          <w:tcPr>
            <w:tcW w:w="230" w:type="dxa"/>
            <w:tcBorders>
              <w:top w:val="single" w:color="000000" w:sz="2" w:space="0"/>
              <w:bottom w:val="single" w:color="000000" w:sz="2" w:space="0"/>
            </w:tcBorders>
            <w:vAlign w:val="top"/>
          </w:tcPr>
          <w:p w14:paraId="7BB4B09D">
            <w:pPr>
              <w:spacing w:before="170" w:line="301" w:lineRule="exact"/>
              <w:ind w:firstLine="58"/>
            </w:pPr>
            <w:r>
              <w:rPr>
                <w:position w:val="-6"/>
              </w:rPr>
              <w:drawing>
                <wp:inline distT="0" distB="0" distL="0" distR="0">
                  <wp:extent cx="75565" cy="191135"/>
                  <wp:effectExtent l="0" t="0" r="0" b="0"/>
                  <wp:docPr id="450" name="IM 450"/>
                  <wp:cNvGraphicFramePr/>
                  <a:graphic xmlns:a="http://schemas.openxmlformats.org/drawingml/2006/main">
                    <a:graphicData uri="http://schemas.openxmlformats.org/drawingml/2006/picture">
                      <pic:pic xmlns:pic="http://schemas.openxmlformats.org/drawingml/2006/picture">
                        <pic:nvPicPr>
                          <pic:cNvPr id="450" name="IM 450"/>
                          <pic:cNvPicPr/>
                        </pic:nvPicPr>
                        <pic:blipFill>
                          <a:blip r:embed="rId389"/>
                          <a:stretch>
                            <a:fillRect/>
                          </a:stretch>
                        </pic:blipFill>
                        <pic:spPr>
                          <a:xfrm>
                            <a:off x="0" y="0"/>
                            <a:ext cx="76193" cy="191435"/>
                          </a:xfrm>
                          <a:prstGeom prst="rect">
                            <a:avLst/>
                          </a:prstGeom>
                        </pic:spPr>
                      </pic:pic>
                    </a:graphicData>
                  </a:graphic>
                </wp:inline>
              </w:drawing>
            </w:r>
          </w:p>
        </w:tc>
        <w:tc>
          <w:tcPr>
            <w:tcW w:w="229" w:type="dxa"/>
            <w:tcBorders>
              <w:top w:val="single" w:color="000000" w:sz="2" w:space="0"/>
              <w:bottom w:val="single" w:color="000000" w:sz="2" w:space="0"/>
            </w:tcBorders>
            <w:vAlign w:val="top"/>
          </w:tcPr>
          <w:p w14:paraId="05F7EA24">
            <w:pPr>
              <w:rPr>
                <w:rFonts w:ascii="Arial"/>
                <w:sz w:val="21"/>
              </w:rPr>
            </w:pPr>
          </w:p>
        </w:tc>
        <w:tc>
          <w:tcPr>
            <w:tcW w:w="234" w:type="dxa"/>
            <w:tcBorders>
              <w:top w:val="single" w:color="000000" w:sz="2" w:space="0"/>
              <w:bottom w:val="single" w:color="000000" w:sz="2" w:space="0"/>
            </w:tcBorders>
            <w:vAlign w:val="top"/>
          </w:tcPr>
          <w:p w14:paraId="0D314008">
            <w:pPr>
              <w:rPr>
                <w:rFonts w:ascii="Arial"/>
                <w:sz w:val="21"/>
              </w:rPr>
            </w:pPr>
          </w:p>
        </w:tc>
      </w:tr>
      <w:tr w14:paraId="11CF0C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78" w:hRule="atLeast"/>
        </w:trPr>
        <w:tc>
          <w:tcPr>
            <w:tcW w:w="753" w:type="dxa"/>
            <w:tcBorders>
              <w:top w:val="single" w:color="000000" w:sz="2" w:space="0"/>
              <w:bottom w:val="single" w:color="000000" w:sz="2" w:space="0"/>
            </w:tcBorders>
            <w:vAlign w:val="top"/>
          </w:tcPr>
          <w:p w14:paraId="76E9F871">
            <w:pPr>
              <w:pStyle w:val="6"/>
              <w:spacing w:before="263" w:line="220" w:lineRule="auto"/>
              <w:ind w:left="117"/>
            </w:pPr>
            <w:r>
              <w:rPr>
                <w:b/>
                <w:bCs/>
                <w:spacing w:val="-5"/>
              </w:rPr>
              <w:t>常用变</w:t>
            </w:r>
          </w:p>
          <w:p w14:paraId="5294E63D">
            <w:pPr>
              <w:pStyle w:val="6"/>
              <w:spacing w:before="12" w:line="223" w:lineRule="auto"/>
              <w:ind w:left="194"/>
            </w:pPr>
            <w:r>
              <w:rPr>
                <w:spacing w:val="-2"/>
              </w:rPr>
              <w:t>压器</w:t>
            </w:r>
          </w:p>
        </w:tc>
        <w:tc>
          <w:tcPr>
            <w:tcW w:w="2484" w:type="dxa"/>
            <w:tcBorders>
              <w:top w:val="single" w:color="000000" w:sz="2" w:space="0"/>
              <w:bottom w:val="single" w:color="000000" w:sz="2" w:space="0"/>
            </w:tcBorders>
            <w:vAlign w:val="top"/>
          </w:tcPr>
          <w:p w14:paraId="71BF06E6">
            <w:pPr>
              <w:pStyle w:val="6"/>
              <w:spacing w:before="43" w:line="219" w:lineRule="auto"/>
              <w:ind w:left="14"/>
            </w:pPr>
            <w:r>
              <w:rPr>
                <w:b/>
                <w:bCs/>
                <w:spacing w:val="-7"/>
              </w:rPr>
              <w:t>1.</w:t>
            </w:r>
            <w:r>
              <w:rPr>
                <w:spacing w:val="-44"/>
              </w:rPr>
              <w:t xml:space="preserve"> </w:t>
            </w:r>
            <w:r>
              <w:rPr>
                <w:b/>
                <w:bCs/>
                <w:spacing w:val="-7"/>
              </w:rPr>
              <w:t>自耦变压器</w:t>
            </w:r>
          </w:p>
          <w:p w14:paraId="7C434A9F">
            <w:pPr>
              <w:pStyle w:val="6"/>
              <w:spacing w:before="21" w:line="228" w:lineRule="auto"/>
              <w:ind w:left="12" w:right="1280"/>
            </w:pPr>
            <w:r>
              <w:rPr>
                <w:spacing w:val="-2"/>
              </w:rPr>
              <w:t>2.多绕组变压器</w:t>
            </w:r>
            <w:r>
              <w:rPr>
                <w:spacing w:val="6"/>
              </w:rPr>
              <w:t xml:space="preserve"> </w:t>
            </w:r>
            <w:r>
              <w:rPr>
                <w:spacing w:val="-2"/>
              </w:rPr>
              <w:t>3.互感器</w:t>
            </w:r>
          </w:p>
          <w:p w14:paraId="0F12E449">
            <w:pPr>
              <w:pStyle w:val="6"/>
              <w:spacing w:line="196" w:lineRule="auto"/>
              <w:ind w:left="12"/>
            </w:pPr>
            <w:r>
              <w:rPr>
                <w:spacing w:val="-1"/>
              </w:rPr>
              <w:t>4.三相变压器</w:t>
            </w:r>
          </w:p>
        </w:tc>
        <w:tc>
          <w:tcPr>
            <w:tcW w:w="210" w:type="dxa"/>
            <w:tcBorders>
              <w:top w:val="single" w:color="000000" w:sz="2" w:space="0"/>
              <w:bottom w:val="single" w:color="000000" w:sz="2" w:space="0"/>
            </w:tcBorders>
            <w:vAlign w:val="top"/>
          </w:tcPr>
          <w:p w14:paraId="644EAC6E">
            <w:pPr>
              <w:spacing w:line="453" w:lineRule="auto"/>
              <w:rPr>
                <w:rFonts w:ascii="Arial"/>
                <w:sz w:val="21"/>
              </w:rPr>
            </w:pPr>
          </w:p>
          <w:p w14:paraId="018048BA">
            <w:pPr>
              <w:pStyle w:val="6"/>
              <w:spacing w:before="52" w:line="229" w:lineRule="auto"/>
              <w:rPr>
                <w:sz w:val="16"/>
                <w:szCs w:val="16"/>
              </w:rPr>
            </w:pPr>
            <w:r>
              <w:rPr>
                <w:sz w:val="16"/>
                <w:szCs w:val="16"/>
              </w:rPr>
              <w:t>外</w:t>
            </w:r>
          </w:p>
        </w:tc>
        <w:tc>
          <w:tcPr>
            <w:tcW w:w="230" w:type="dxa"/>
            <w:tcBorders>
              <w:top w:val="single" w:color="000000" w:sz="2" w:space="0"/>
              <w:bottom w:val="single" w:color="000000" w:sz="2" w:space="0"/>
            </w:tcBorders>
            <w:vAlign w:val="top"/>
          </w:tcPr>
          <w:p w14:paraId="614D522C">
            <w:pPr>
              <w:rPr>
                <w:rFonts w:ascii="Arial"/>
                <w:sz w:val="21"/>
              </w:rPr>
            </w:pPr>
          </w:p>
        </w:tc>
        <w:tc>
          <w:tcPr>
            <w:tcW w:w="229" w:type="dxa"/>
            <w:tcBorders>
              <w:top w:val="single" w:color="000000" w:sz="2" w:space="0"/>
              <w:bottom w:val="single" w:color="000000" w:sz="2" w:space="0"/>
            </w:tcBorders>
            <w:vAlign w:val="top"/>
          </w:tcPr>
          <w:p w14:paraId="4B16974B">
            <w:pPr>
              <w:rPr>
                <w:rFonts w:ascii="Arial"/>
                <w:sz w:val="21"/>
              </w:rPr>
            </w:pPr>
          </w:p>
        </w:tc>
        <w:tc>
          <w:tcPr>
            <w:tcW w:w="234" w:type="dxa"/>
            <w:tcBorders>
              <w:top w:val="single" w:color="000000" w:sz="2" w:space="0"/>
              <w:bottom w:val="single" w:color="000000" w:sz="2" w:space="0"/>
            </w:tcBorders>
            <w:vAlign w:val="top"/>
          </w:tcPr>
          <w:p w14:paraId="5A329ED8">
            <w:pPr>
              <w:rPr>
                <w:rFonts w:ascii="Arial"/>
                <w:sz w:val="21"/>
              </w:rPr>
            </w:pPr>
          </w:p>
        </w:tc>
      </w:tr>
    </w:tbl>
    <w:p w14:paraId="563C0D29">
      <w:pPr>
        <w:pStyle w:val="2"/>
        <w:spacing w:line="14" w:lineRule="auto"/>
        <w:rPr>
          <w:sz w:val="2"/>
        </w:rPr>
      </w:pPr>
    </w:p>
    <w:p w14:paraId="3319A7EF">
      <w:pPr>
        <w:spacing w:line="14" w:lineRule="auto"/>
        <w:rPr>
          <w:sz w:val="2"/>
          <w:szCs w:val="2"/>
        </w:rPr>
        <w:sectPr>
          <w:type w:val="continuous"/>
          <w:pgSz w:w="10660" w:h="15080"/>
          <w:pgMar w:top="400" w:right="885" w:bottom="925" w:left="1024" w:header="0" w:footer="705" w:gutter="0"/>
          <w:cols w:equalWidth="0" w:num="2">
            <w:col w:w="4501" w:space="100"/>
            <w:col w:w="4151"/>
          </w:cols>
        </w:sectPr>
      </w:pPr>
    </w:p>
    <w:p w14:paraId="2BB10DF3">
      <w:pPr>
        <w:spacing w:before="13"/>
      </w:pPr>
      <w:r>
        <w:drawing>
          <wp:anchor distT="0" distB="0" distL="0" distR="0" simplePos="0" relativeHeight="251700224" behindDoc="1" locked="0" layoutInCell="0" allowOverlap="1">
            <wp:simplePos x="0" y="0"/>
            <wp:positionH relativeFrom="page">
              <wp:posOffset>2645410</wp:posOffset>
            </wp:positionH>
            <wp:positionV relativeFrom="page">
              <wp:posOffset>1770380</wp:posOffset>
            </wp:positionV>
            <wp:extent cx="243205" cy="534670"/>
            <wp:effectExtent l="0" t="0" r="0" b="0"/>
            <wp:wrapNone/>
            <wp:docPr id="452" name="IM 452"/>
            <wp:cNvGraphicFramePr/>
            <a:graphic xmlns:a="http://schemas.openxmlformats.org/drawingml/2006/main">
              <a:graphicData uri="http://schemas.openxmlformats.org/drawingml/2006/picture">
                <pic:pic xmlns:pic="http://schemas.openxmlformats.org/drawingml/2006/picture">
                  <pic:nvPicPr>
                    <pic:cNvPr id="452" name="IM 452"/>
                    <pic:cNvPicPr/>
                  </pic:nvPicPr>
                  <pic:blipFill>
                    <a:blip r:embed="rId390"/>
                    <a:stretch>
                      <a:fillRect/>
                    </a:stretch>
                  </pic:blipFill>
                  <pic:spPr>
                    <a:xfrm>
                      <a:off x="0" y="0"/>
                      <a:ext cx="243405" cy="534772"/>
                    </a:xfrm>
                    <a:prstGeom prst="rect">
                      <a:avLst/>
                    </a:prstGeom>
                  </pic:spPr>
                </pic:pic>
              </a:graphicData>
            </a:graphic>
          </wp:anchor>
        </w:drawing>
      </w:r>
    </w:p>
    <w:p w14:paraId="0B200AD6">
      <w:pPr>
        <w:spacing w:before="12"/>
      </w:pPr>
    </w:p>
    <w:p w14:paraId="51DC4AD7">
      <w:pPr>
        <w:spacing w:before="12"/>
      </w:pPr>
    </w:p>
    <w:p w14:paraId="425073F0">
      <w:pPr>
        <w:spacing w:before="12"/>
      </w:pPr>
    </w:p>
    <w:p w14:paraId="17CAF21A">
      <w:pPr>
        <w:sectPr>
          <w:footerReference r:id="rId88" w:type="default"/>
          <w:pgSz w:w="10660" w:h="15080"/>
          <w:pgMar w:top="400" w:right="1014" w:bottom="925" w:left="819" w:header="0" w:footer="705" w:gutter="0"/>
          <w:cols w:equalWidth="0" w:num="1">
            <w:col w:w="8826"/>
          </w:cols>
        </w:sectPr>
      </w:pPr>
    </w:p>
    <w:tbl>
      <w:tblPr>
        <w:tblStyle w:val="5"/>
        <w:tblW w:w="4130"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43"/>
        <w:gridCol w:w="2484"/>
        <w:gridCol w:w="230"/>
        <w:gridCol w:w="229"/>
        <w:gridCol w:w="220"/>
        <w:gridCol w:w="224"/>
      </w:tblGrid>
      <w:tr w14:paraId="5F2B12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4" w:hRule="atLeast"/>
        </w:trPr>
        <w:tc>
          <w:tcPr>
            <w:tcW w:w="743" w:type="dxa"/>
            <w:vMerge w:val="restart"/>
            <w:tcBorders>
              <w:bottom w:val="nil"/>
            </w:tcBorders>
            <w:vAlign w:val="top"/>
          </w:tcPr>
          <w:p w14:paraId="6B37747F">
            <w:pPr>
              <w:pStyle w:val="6"/>
              <w:spacing w:before="20" w:line="224" w:lineRule="auto"/>
              <w:ind w:left="107" w:right="35" w:hanging="80"/>
            </w:pPr>
            <w:r>
              <w:rPr>
                <w:b/>
                <w:bCs/>
                <w:spacing w:val="-5"/>
              </w:rPr>
              <w:t>知识与技</w:t>
            </w:r>
            <w:r>
              <w:rPr>
                <w:spacing w:val="1"/>
              </w:rPr>
              <w:t xml:space="preserve"> </w:t>
            </w:r>
            <w:r>
              <w:rPr>
                <w:b/>
                <w:bCs/>
                <w:spacing w:val="1"/>
              </w:rPr>
              <w:t>能要点</w:t>
            </w:r>
          </w:p>
        </w:tc>
        <w:tc>
          <w:tcPr>
            <w:tcW w:w="2484" w:type="dxa"/>
            <w:vMerge w:val="restart"/>
            <w:tcBorders>
              <w:bottom w:val="nil"/>
            </w:tcBorders>
            <w:vAlign w:val="top"/>
          </w:tcPr>
          <w:p w14:paraId="511A1489">
            <w:pPr>
              <w:pStyle w:val="6"/>
              <w:spacing w:before="139" w:line="219" w:lineRule="auto"/>
              <w:ind w:left="924"/>
            </w:pPr>
            <w:r>
              <w:rPr>
                <w:b/>
                <w:bCs/>
                <w:spacing w:val="5"/>
              </w:rPr>
              <w:t>考试条目</w:t>
            </w:r>
          </w:p>
        </w:tc>
        <w:tc>
          <w:tcPr>
            <w:tcW w:w="903" w:type="dxa"/>
            <w:gridSpan w:val="4"/>
            <w:vAlign w:val="top"/>
          </w:tcPr>
          <w:p w14:paraId="1F8CD6A1">
            <w:pPr>
              <w:pStyle w:val="6"/>
              <w:spacing w:before="29" w:line="200" w:lineRule="auto"/>
              <w:ind w:left="120"/>
            </w:pPr>
            <w:r>
              <w:rPr>
                <w:b/>
                <w:bCs/>
                <w:spacing w:val="-4"/>
              </w:rPr>
              <w:t>考试水平</w:t>
            </w:r>
          </w:p>
        </w:tc>
      </w:tr>
      <w:tr w14:paraId="069DA7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9" w:hRule="atLeast"/>
        </w:trPr>
        <w:tc>
          <w:tcPr>
            <w:tcW w:w="743" w:type="dxa"/>
            <w:vMerge w:val="continue"/>
            <w:tcBorders>
              <w:top w:val="nil"/>
            </w:tcBorders>
            <w:vAlign w:val="top"/>
          </w:tcPr>
          <w:p w14:paraId="2881F01D">
            <w:pPr>
              <w:rPr>
                <w:rFonts w:ascii="Arial"/>
                <w:sz w:val="21"/>
              </w:rPr>
            </w:pPr>
          </w:p>
        </w:tc>
        <w:tc>
          <w:tcPr>
            <w:tcW w:w="2484" w:type="dxa"/>
            <w:vMerge w:val="continue"/>
            <w:tcBorders>
              <w:top w:val="nil"/>
            </w:tcBorders>
            <w:vAlign w:val="top"/>
          </w:tcPr>
          <w:p w14:paraId="3CB3E374">
            <w:pPr>
              <w:rPr>
                <w:rFonts w:ascii="Arial"/>
                <w:sz w:val="21"/>
              </w:rPr>
            </w:pPr>
          </w:p>
        </w:tc>
        <w:tc>
          <w:tcPr>
            <w:tcW w:w="230" w:type="dxa"/>
            <w:vAlign w:val="top"/>
          </w:tcPr>
          <w:p w14:paraId="22AE00EB">
            <w:pPr>
              <w:pStyle w:val="6"/>
              <w:spacing w:before="60" w:line="139" w:lineRule="exact"/>
              <w:ind w:left="20"/>
            </w:pPr>
            <w:r>
              <w:rPr>
                <w:b/>
                <w:bCs/>
                <w:spacing w:val="-2"/>
                <w:position w:val="-2"/>
              </w:rPr>
              <w:t>A</w:t>
            </w:r>
          </w:p>
        </w:tc>
        <w:tc>
          <w:tcPr>
            <w:tcW w:w="229" w:type="dxa"/>
            <w:vAlign w:val="top"/>
          </w:tcPr>
          <w:p w14:paraId="23F49B03">
            <w:pPr>
              <w:pStyle w:val="6"/>
              <w:spacing w:before="63" w:line="136" w:lineRule="exact"/>
              <w:ind w:right="3"/>
              <w:jc w:val="right"/>
            </w:pPr>
            <w:r>
              <w:rPr>
                <w:b/>
                <w:bCs/>
                <w:spacing w:val="-2"/>
                <w:position w:val="-2"/>
              </w:rPr>
              <w:t>B</w:t>
            </w:r>
          </w:p>
        </w:tc>
        <w:tc>
          <w:tcPr>
            <w:tcW w:w="220" w:type="dxa"/>
            <w:vAlign w:val="top"/>
          </w:tcPr>
          <w:p w14:paraId="308D464E">
            <w:pPr>
              <w:pStyle w:val="6"/>
              <w:spacing w:before="61" w:line="138" w:lineRule="exact"/>
              <w:ind w:left="48"/>
            </w:pPr>
            <w:r>
              <w:rPr>
                <w:position w:val="-2"/>
              </w:rPr>
              <w:t>C</w:t>
            </w:r>
          </w:p>
        </w:tc>
        <w:tc>
          <w:tcPr>
            <w:tcW w:w="224" w:type="dxa"/>
            <w:vAlign w:val="top"/>
          </w:tcPr>
          <w:p w14:paraId="5DDFBC2A">
            <w:pPr>
              <w:pStyle w:val="6"/>
              <w:spacing w:before="63" w:line="136" w:lineRule="exact"/>
              <w:ind w:left="21"/>
            </w:pPr>
            <w:r>
              <w:rPr>
                <w:b/>
                <w:bCs/>
                <w:spacing w:val="-2"/>
                <w:position w:val="-2"/>
              </w:rPr>
              <w:t>D</w:t>
            </w:r>
          </w:p>
        </w:tc>
      </w:tr>
      <w:tr w14:paraId="059509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58" w:hRule="atLeast"/>
        </w:trPr>
        <w:tc>
          <w:tcPr>
            <w:tcW w:w="743" w:type="dxa"/>
            <w:vAlign w:val="top"/>
          </w:tcPr>
          <w:p w14:paraId="27147251">
            <w:pPr>
              <w:pStyle w:val="6"/>
              <w:spacing w:before="39" w:line="216" w:lineRule="auto"/>
              <w:ind w:left="24"/>
            </w:pPr>
            <w:r>
              <w:rPr>
                <w:spacing w:val="-2"/>
              </w:rPr>
              <w:t>变压器的</w:t>
            </w:r>
          </w:p>
          <w:p w14:paraId="3A23AE69">
            <w:pPr>
              <w:pStyle w:val="6"/>
              <w:spacing w:line="219" w:lineRule="auto"/>
              <w:ind w:left="24"/>
            </w:pPr>
            <w:r>
              <w:rPr>
                <w:spacing w:val="3"/>
              </w:rPr>
              <w:t>额定值和</w:t>
            </w:r>
          </w:p>
          <w:p w14:paraId="5B844993">
            <w:pPr>
              <w:pStyle w:val="6"/>
              <w:spacing w:before="37" w:line="184" w:lineRule="auto"/>
              <w:ind w:left="194"/>
            </w:pPr>
            <w:r>
              <w:rPr>
                <w:spacing w:val="-2"/>
              </w:rPr>
              <w:t>检验</w:t>
            </w:r>
          </w:p>
        </w:tc>
        <w:tc>
          <w:tcPr>
            <w:tcW w:w="2484" w:type="dxa"/>
            <w:vAlign w:val="top"/>
          </w:tcPr>
          <w:p w14:paraId="738B1CCA">
            <w:pPr>
              <w:pStyle w:val="6"/>
              <w:spacing w:before="249" w:line="219" w:lineRule="auto"/>
              <w:ind w:left="1"/>
            </w:pPr>
            <w:r>
              <w:t>1.变压器的额定值</w:t>
            </w:r>
          </w:p>
        </w:tc>
        <w:tc>
          <w:tcPr>
            <w:tcW w:w="230" w:type="dxa"/>
            <w:vAlign w:val="top"/>
          </w:tcPr>
          <w:p w14:paraId="5797116F">
            <w:pPr>
              <w:rPr>
                <w:rFonts w:ascii="Arial"/>
                <w:sz w:val="21"/>
              </w:rPr>
            </w:pPr>
          </w:p>
        </w:tc>
        <w:tc>
          <w:tcPr>
            <w:tcW w:w="229" w:type="dxa"/>
            <w:vAlign w:val="top"/>
          </w:tcPr>
          <w:p w14:paraId="6228692B">
            <w:pPr>
              <w:pStyle w:val="6"/>
              <w:spacing w:before="266" w:line="238" w:lineRule="auto"/>
              <w:ind w:left="17"/>
            </w:pPr>
            <w:r>
              <w:t>√</w:t>
            </w:r>
          </w:p>
        </w:tc>
        <w:tc>
          <w:tcPr>
            <w:tcW w:w="220" w:type="dxa"/>
            <w:vAlign w:val="top"/>
          </w:tcPr>
          <w:p w14:paraId="44C648E8">
            <w:pPr>
              <w:rPr>
                <w:rFonts w:ascii="Arial"/>
                <w:sz w:val="21"/>
              </w:rPr>
            </w:pPr>
          </w:p>
        </w:tc>
        <w:tc>
          <w:tcPr>
            <w:tcW w:w="224" w:type="dxa"/>
            <w:vAlign w:val="top"/>
          </w:tcPr>
          <w:p w14:paraId="1D52BA95">
            <w:pPr>
              <w:rPr>
                <w:rFonts w:ascii="Arial"/>
                <w:sz w:val="21"/>
              </w:rPr>
            </w:pPr>
          </w:p>
        </w:tc>
      </w:tr>
      <w:tr w14:paraId="59051A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15" w:hRule="atLeast"/>
        </w:trPr>
        <w:tc>
          <w:tcPr>
            <w:tcW w:w="743" w:type="dxa"/>
            <w:vAlign w:val="top"/>
          </w:tcPr>
          <w:p w14:paraId="4D876508">
            <w:pPr>
              <w:spacing w:line="393" w:lineRule="auto"/>
              <w:rPr>
                <w:rFonts w:ascii="Arial"/>
                <w:sz w:val="21"/>
              </w:rPr>
            </w:pPr>
          </w:p>
          <w:p w14:paraId="0F86580C">
            <w:pPr>
              <w:pStyle w:val="6"/>
              <w:spacing w:before="55" w:line="268" w:lineRule="auto"/>
              <w:ind w:left="104" w:right="34" w:hanging="80"/>
            </w:pPr>
            <w:r>
              <w:rPr>
                <w:spacing w:val="-2"/>
              </w:rPr>
              <w:t>三相异步</w:t>
            </w:r>
            <w:r>
              <w:t xml:space="preserve"> </w:t>
            </w:r>
            <w:r>
              <w:rPr>
                <w:spacing w:val="2"/>
              </w:rPr>
              <w:t>电动机</w:t>
            </w:r>
          </w:p>
        </w:tc>
        <w:tc>
          <w:tcPr>
            <w:tcW w:w="2484" w:type="dxa"/>
            <w:vAlign w:val="top"/>
          </w:tcPr>
          <w:p w14:paraId="3AFCD24C">
            <w:pPr>
              <w:pStyle w:val="6"/>
              <w:spacing w:before="130" w:line="248" w:lineRule="auto"/>
              <w:ind w:left="1" w:right="590"/>
            </w:pPr>
            <w:r>
              <w:t>1.三相异步电动机的结构</w:t>
            </w:r>
            <w:r>
              <w:rPr>
                <w:spacing w:val="10"/>
              </w:rPr>
              <w:t xml:space="preserve"> </w:t>
            </w:r>
            <w:r>
              <w:rPr>
                <w:spacing w:val="-1"/>
              </w:rPr>
              <w:t>2.旋转磁场的产生</w:t>
            </w:r>
          </w:p>
          <w:p w14:paraId="69608510">
            <w:pPr>
              <w:pStyle w:val="6"/>
              <w:spacing w:before="3" w:line="219" w:lineRule="auto"/>
              <w:ind w:left="1"/>
            </w:pPr>
            <w:r>
              <w:rPr>
                <w:spacing w:val="-1"/>
              </w:rPr>
              <w:t>3.三相异步电动机的工作原理</w:t>
            </w:r>
          </w:p>
          <w:p w14:paraId="386BA0E5">
            <w:pPr>
              <w:pStyle w:val="6"/>
              <w:spacing w:before="18" w:line="229" w:lineRule="auto"/>
              <w:ind w:left="1" w:right="98"/>
            </w:pPr>
            <w:r>
              <w:rPr>
                <w:spacing w:val="-1"/>
              </w:rPr>
              <w:t>4.三相异步电动机的极数和转速</w:t>
            </w:r>
            <w:r>
              <w:rPr>
                <w:spacing w:val="8"/>
              </w:rPr>
              <w:t xml:space="preserve"> </w:t>
            </w:r>
            <w:r>
              <w:rPr>
                <w:spacing w:val="-1"/>
              </w:rPr>
              <w:t>5.三相异步电动机铭牌</w:t>
            </w:r>
          </w:p>
        </w:tc>
        <w:tc>
          <w:tcPr>
            <w:tcW w:w="230" w:type="dxa"/>
            <w:vAlign w:val="top"/>
          </w:tcPr>
          <w:p w14:paraId="59595EB3">
            <w:pPr>
              <w:rPr>
                <w:rFonts w:ascii="Arial"/>
                <w:sz w:val="21"/>
              </w:rPr>
            </w:pPr>
          </w:p>
        </w:tc>
        <w:tc>
          <w:tcPr>
            <w:tcW w:w="229" w:type="dxa"/>
            <w:vAlign w:val="top"/>
          </w:tcPr>
          <w:p w14:paraId="727AE546">
            <w:pPr>
              <w:rPr>
                <w:rFonts w:ascii="Arial"/>
                <w:sz w:val="21"/>
              </w:rPr>
            </w:pPr>
          </w:p>
        </w:tc>
        <w:tc>
          <w:tcPr>
            <w:tcW w:w="220" w:type="dxa"/>
            <w:vAlign w:val="top"/>
          </w:tcPr>
          <w:p w14:paraId="357261B9">
            <w:pPr>
              <w:rPr>
                <w:rFonts w:ascii="Arial"/>
                <w:sz w:val="21"/>
              </w:rPr>
            </w:pPr>
          </w:p>
        </w:tc>
        <w:tc>
          <w:tcPr>
            <w:tcW w:w="224" w:type="dxa"/>
            <w:vAlign w:val="top"/>
          </w:tcPr>
          <w:p w14:paraId="209227A6">
            <w:pPr>
              <w:rPr>
                <w:rFonts w:ascii="Arial"/>
                <w:sz w:val="21"/>
              </w:rPr>
            </w:pPr>
          </w:p>
        </w:tc>
      </w:tr>
      <w:tr w14:paraId="24B6F6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3" w:hRule="atLeast"/>
        </w:trPr>
        <w:tc>
          <w:tcPr>
            <w:tcW w:w="743" w:type="dxa"/>
            <w:vAlign w:val="top"/>
          </w:tcPr>
          <w:p w14:paraId="5226D130">
            <w:pPr>
              <w:pStyle w:val="6"/>
              <w:spacing w:before="45" w:line="232" w:lineRule="auto"/>
              <w:ind w:left="104" w:right="36" w:hanging="80"/>
            </w:pPr>
            <w:r>
              <w:rPr>
                <w:spacing w:val="-2"/>
              </w:rPr>
              <w:t>单相异步</w:t>
            </w:r>
            <w:r>
              <w:t xml:space="preserve"> </w:t>
            </w:r>
            <w:r>
              <w:rPr>
                <w:spacing w:val="2"/>
              </w:rPr>
              <w:t>电动机</w:t>
            </w:r>
          </w:p>
        </w:tc>
        <w:tc>
          <w:tcPr>
            <w:tcW w:w="2484" w:type="dxa"/>
            <w:vAlign w:val="top"/>
          </w:tcPr>
          <w:p w14:paraId="546E9E36">
            <w:pPr>
              <w:pStyle w:val="6"/>
              <w:spacing w:before="65" w:line="221" w:lineRule="auto"/>
              <w:ind w:left="1" w:right="256"/>
            </w:pPr>
            <w:r>
              <w:t>1.单相异步电动机的工作原理</w:t>
            </w:r>
            <w:r>
              <w:rPr>
                <w:spacing w:val="5"/>
              </w:rPr>
              <w:t xml:space="preserve"> </w:t>
            </w:r>
            <w:r>
              <w:rPr>
                <w:spacing w:val="-1"/>
              </w:rPr>
              <w:t>2.单相电容式异步电动机</w:t>
            </w:r>
          </w:p>
        </w:tc>
        <w:tc>
          <w:tcPr>
            <w:tcW w:w="230" w:type="dxa"/>
            <w:vAlign w:val="top"/>
          </w:tcPr>
          <w:p w14:paraId="5CA5E060">
            <w:pPr>
              <w:rPr>
                <w:rFonts w:ascii="Arial"/>
                <w:sz w:val="21"/>
              </w:rPr>
            </w:pPr>
          </w:p>
        </w:tc>
        <w:tc>
          <w:tcPr>
            <w:tcW w:w="229" w:type="dxa"/>
            <w:vAlign w:val="top"/>
          </w:tcPr>
          <w:p w14:paraId="134A3E9A">
            <w:pPr>
              <w:rPr>
                <w:rFonts w:ascii="Arial"/>
                <w:sz w:val="21"/>
              </w:rPr>
            </w:pPr>
          </w:p>
        </w:tc>
        <w:tc>
          <w:tcPr>
            <w:tcW w:w="220" w:type="dxa"/>
            <w:vAlign w:val="top"/>
          </w:tcPr>
          <w:p w14:paraId="66C20C02">
            <w:pPr>
              <w:rPr>
                <w:rFonts w:ascii="Arial"/>
                <w:sz w:val="21"/>
              </w:rPr>
            </w:pPr>
          </w:p>
        </w:tc>
        <w:tc>
          <w:tcPr>
            <w:tcW w:w="224" w:type="dxa"/>
            <w:vAlign w:val="top"/>
          </w:tcPr>
          <w:p w14:paraId="0DFE2392">
            <w:pPr>
              <w:rPr>
                <w:rFonts w:ascii="Arial"/>
                <w:sz w:val="21"/>
              </w:rPr>
            </w:pPr>
          </w:p>
        </w:tc>
      </w:tr>
    </w:tbl>
    <w:p w14:paraId="032E5254">
      <w:pPr>
        <w:spacing w:before="218" w:line="219" w:lineRule="auto"/>
        <w:ind w:left="992"/>
        <w:rPr>
          <w:rFonts w:ascii="宋体" w:hAnsi="宋体" w:eastAsia="宋体" w:cs="宋体"/>
          <w:sz w:val="17"/>
          <w:szCs w:val="17"/>
        </w:rPr>
      </w:pPr>
      <w:r>
        <w:rPr>
          <w:rFonts w:ascii="宋体" w:hAnsi="宋体" w:eastAsia="宋体" w:cs="宋体"/>
          <w:b/>
          <w:bCs/>
          <w:spacing w:val="-3"/>
          <w:sz w:val="17"/>
          <w:szCs w:val="17"/>
        </w:rPr>
        <w:t>第十一章</w:t>
      </w:r>
      <w:r>
        <w:rPr>
          <w:rFonts w:ascii="宋体" w:hAnsi="宋体" w:eastAsia="宋体" w:cs="宋体"/>
          <w:spacing w:val="-3"/>
          <w:sz w:val="17"/>
          <w:szCs w:val="17"/>
        </w:rPr>
        <w:t xml:space="preserve"> </w:t>
      </w:r>
      <w:r>
        <w:rPr>
          <w:rFonts w:ascii="宋体" w:hAnsi="宋体" w:eastAsia="宋体" w:cs="宋体"/>
          <w:b/>
          <w:bCs/>
          <w:spacing w:val="-3"/>
          <w:sz w:val="17"/>
          <w:szCs w:val="17"/>
        </w:rPr>
        <w:t>照明电路和安全用电</w:t>
      </w:r>
    </w:p>
    <w:p w14:paraId="175DB5ED">
      <w:pPr>
        <w:spacing w:line="109" w:lineRule="exact"/>
      </w:pPr>
    </w:p>
    <w:tbl>
      <w:tblPr>
        <w:tblStyle w:val="5"/>
        <w:tblW w:w="4130"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33"/>
        <w:gridCol w:w="2484"/>
        <w:gridCol w:w="230"/>
        <w:gridCol w:w="229"/>
        <w:gridCol w:w="220"/>
        <w:gridCol w:w="234"/>
      </w:tblGrid>
      <w:tr w14:paraId="690822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4" w:hRule="atLeast"/>
        </w:trPr>
        <w:tc>
          <w:tcPr>
            <w:tcW w:w="733" w:type="dxa"/>
            <w:vMerge w:val="restart"/>
            <w:tcBorders>
              <w:bottom w:val="nil"/>
            </w:tcBorders>
            <w:vAlign w:val="top"/>
          </w:tcPr>
          <w:p w14:paraId="70A0AA2A">
            <w:pPr>
              <w:pStyle w:val="6"/>
              <w:spacing w:before="11" w:line="216" w:lineRule="auto"/>
              <w:ind w:left="86" w:hanging="69"/>
              <w:rPr>
                <w:sz w:val="18"/>
                <w:szCs w:val="18"/>
              </w:rPr>
            </w:pPr>
            <w:r>
              <w:rPr>
                <w:b/>
                <w:bCs/>
                <w:spacing w:val="-6"/>
                <w:sz w:val="18"/>
                <w:szCs w:val="18"/>
              </w:rPr>
              <w:t>知识与技</w:t>
            </w:r>
            <w:r>
              <w:rPr>
                <w:sz w:val="18"/>
                <w:szCs w:val="18"/>
              </w:rPr>
              <w:t xml:space="preserve"> </w:t>
            </w:r>
            <w:r>
              <w:rPr>
                <w:b/>
                <w:bCs/>
                <w:sz w:val="18"/>
                <w:szCs w:val="18"/>
              </w:rPr>
              <w:t>能要点</w:t>
            </w:r>
          </w:p>
        </w:tc>
        <w:tc>
          <w:tcPr>
            <w:tcW w:w="2484" w:type="dxa"/>
            <w:vMerge w:val="restart"/>
            <w:tcBorders>
              <w:bottom w:val="nil"/>
            </w:tcBorders>
            <w:vAlign w:val="top"/>
          </w:tcPr>
          <w:p w14:paraId="404734E2">
            <w:pPr>
              <w:pStyle w:val="6"/>
              <w:spacing w:before="129" w:line="219" w:lineRule="auto"/>
              <w:ind w:left="924"/>
              <w:rPr>
                <w:sz w:val="18"/>
                <w:szCs w:val="18"/>
              </w:rPr>
            </w:pPr>
            <w:r>
              <w:rPr>
                <w:b/>
                <w:bCs/>
                <w:spacing w:val="5"/>
                <w:sz w:val="18"/>
                <w:szCs w:val="18"/>
              </w:rPr>
              <w:t>考试条目</w:t>
            </w:r>
          </w:p>
        </w:tc>
        <w:tc>
          <w:tcPr>
            <w:tcW w:w="913" w:type="dxa"/>
            <w:gridSpan w:val="4"/>
            <w:vAlign w:val="top"/>
          </w:tcPr>
          <w:p w14:paraId="0BAC9AF2">
            <w:pPr>
              <w:pStyle w:val="6"/>
              <w:spacing w:before="19" w:line="199" w:lineRule="auto"/>
              <w:ind w:left="140"/>
              <w:rPr>
                <w:sz w:val="18"/>
                <w:szCs w:val="18"/>
              </w:rPr>
            </w:pPr>
            <w:r>
              <w:rPr>
                <w:b/>
                <w:bCs/>
                <w:spacing w:val="-4"/>
                <w:sz w:val="18"/>
                <w:szCs w:val="18"/>
              </w:rPr>
              <w:t>考试水平</w:t>
            </w:r>
          </w:p>
        </w:tc>
      </w:tr>
      <w:tr w14:paraId="1AF35F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9" w:hRule="atLeast"/>
        </w:trPr>
        <w:tc>
          <w:tcPr>
            <w:tcW w:w="733" w:type="dxa"/>
            <w:vMerge w:val="continue"/>
            <w:tcBorders>
              <w:top w:val="nil"/>
            </w:tcBorders>
            <w:vAlign w:val="top"/>
          </w:tcPr>
          <w:p w14:paraId="7452868A">
            <w:pPr>
              <w:rPr>
                <w:rFonts w:ascii="Arial"/>
                <w:sz w:val="21"/>
              </w:rPr>
            </w:pPr>
          </w:p>
        </w:tc>
        <w:tc>
          <w:tcPr>
            <w:tcW w:w="2484" w:type="dxa"/>
            <w:vMerge w:val="continue"/>
            <w:tcBorders>
              <w:top w:val="nil"/>
            </w:tcBorders>
            <w:vAlign w:val="top"/>
          </w:tcPr>
          <w:p w14:paraId="4C9D57CF">
            <w:pPr>
              <w:rPr>
                <w:rFonts w:ascii="Arial"/>
                <w:sz w:val="21"/>
              </w:rPr>
            </w:pPr>
          </w:p>
        </w:tc>
        <w:tc>
          <w:tcPr>
            <w:tcW w:w="230" w:type="dxa"/>
            <w:vAlign w:val="top"/>
          </w:tcPr>
          <w:p w14:paraId="1D83A313">
            <w:pPr>
              <w:pStyle w:val="6"/>
              <w:spacing w:before="63" w:line="136" w:lineRule="exact"/>
              <w:ind w:left="20"/>
              <w:rPr>
                <w:sz w:val="18"/>
                <w:szCs w:val="18"/>
              </w:rPr>
            </w:pPr>
            <w:r>
              <w:rPr>
                <w:b/>
                <w:bCs/>
                <w:spacing w:val="-2"/>
                <w:position w:val="-2"/>
                <w:sz w:val="18"/>
                <w:szCs w:val="18"/>
              </w:rPr>
              <w:t>A</w:t>
            </w:r>
          </w:p>
        </w:tc>
        <w:tc>
          <w:tcPr>
            <w:tcW w:w="229" w:type="dxa"/>
            <w:vAlign w:val="top"/>
          </w:tcPr>
          <w:p w14:paraId="0022DBE8">
            <w:pPr>
              <w:pStyle w:val="6"/>
              <w:spacing w:before="66" w:line="133" w:lineRule="exact"/>
              <w:ind w:left="30"/>
              <w:rPr>
                <w:sz w:val="18"/>
                <w:szCs w:val="18"/>
              </w:rPr>
            </w:pPr>
            <w:r>
              <w:rPr>
                <w:b/>
                <w:bCs/>
                <w:spacing w:val="-2"/>
                <w:position w:val="-2"/>
                <w:sz w:val="18"/>
                <w:szCs w:val="18"/>
              </w:rPr>
              <w:t>B</w:t>
            </w:r>
          </w:p>
        </w:tc>
        <w:tc>
          <w:tcPr>
            <w:tcW w:w="220" w:type="dxa"/>
            <w:vAlign w:val="top"/>
          </w:tcPr>
          <w:p w14:paraId="189D8A69">
            <w:pPr>
              <w:pStyle w:val="6"/>
              <w:spacing w:before="64" w:line="135" w:lineRule="exact"/>
              <w:ind w:left="28"/>
              <w:rPr>
                <w:sz w:val="18"/>
                <w:szCs w:val="18"/>
              </w:rPr>
            </w:pPr>
            <w:r>
              <w:rPr>
                <w:position w:val="-2"/>
                <w:sz w:val="18"/>
                <w:szCs w:val="18"/>
              </w:rPr>
              <w:t>C</w:t>
            </w:r>
          </w:p>
        </w:tc>
        <w:tc>
          <w:tcPr>
            <w:tcW w:w="234" w:type="dxa"/>
            <w:vAlign w:val="top"/>
          </w:tcPr>
          <w:p w14:paraId="38257F06">
            <w:pPr>
              <w:pStyle w:val="6"/>
              <w:spacing w:before="66" w:line="133" w:lineRule="exact"/>
              <w:ind w:left="51"/>
              <w:rPr>
                <w:sz w:val="18"/>
                <w:szCs w:val="18"/>
              </w:rPr>
            </w:pPr>
            <w:r>
              <w:rPr>
                <w:b/>
                <w:bCs/>
                <w:spacing w:val="-2"/>
                <w:position w:val="-2"/>
                <w:sz w:val="18"/>
                <w:szCs w:val="18"/>
              </w:rPr>
              <w:t>D</w:t>
            </w:r>
          </w:p>
        </w:tc>
      </w:tr>
      <w:tr w14:paraId="2937F5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37" w:hRule="atLeast"/>
        </w:trPr>
        <w:tc>
          <w:tcPr>
            <w:tcW w:w="733" w:type="dxa"/>
            <w:vAlign w:val="top"/>
          </w:tcPr>
          <w:p w14:paraId="24722DF5">
            <w:pPr>
              <w:pStyle w:val="6"/>
              <w:spacing w:before="89" w:line="215" w:lineRule="auto"/>
              <w:ind w:left="84"/>
              <w:rPr>
                <w:sz w:val="18"/>
                <w:szCs w:val="18"/>
              </w:rPr>
            </w:pPr>
            <w:r>
              <w:rPr>
                <w:spacing w:val="3"/>
                <w:sz w:val="18"/>
                <w:szCs w:val="18"/>
              </w:rPr>
              <w:t>白炽灯</w:t>
            </w:r>
          </w:p>
          <w:p w14:paraId="59EC5955">
            <w:pPr>
              <w:pStyle w:val="6"/>
              <w:spacing w:line="219" w:lineRule="auto"/>
              <w:ind w:left="174"/>
              <w:rPr>
                <w:sz w:val="18"/>
                <w:szCs w:val="18"/>
              </w:rPr>
            </w:pPr>
            <w:r>
              <w:rPr>
                <w:spacing w:val="9"/>
                <w:sz w:val="18"/>
                <w:szCs w:val="18"/>
              </w:rPr>
              <w:t>照明</w:t>
            </w:r>
          </w:p>
          <w:p w14:paraId="36BB9512">
            <w:pPr>
              <w:pStyle w:val="6"/>
              <w:spacing w:before="16" w:line="203" w:lineRule="auto"/>
              <w:ind w:left="174"/>
              <w:rPr>
                <w:sz w:val="18"/>
                <w:szCs w:val="18"/>
              </w:rPr>
            </w:pPr>
            <w:r>
              <w:rPr>
                <w:spacing w:val="3"/>
                <w:sz w:val="18"/>
                <w:szCs w:val="18"/>
              </w:rPr>
              <w:t>电路</w:t>
            </w:r>
          </w:p>
        </w:tc>
        <w:tc>
          <w:tcPr>
            <w:tcW w:w="2484" w:type="dxa"/>
            <w:vAlign w:val="top"/>
          </w:tcPr>
          <w:p w14:paraId="6E7445E1">
            <w:pPr>
              <w:pStyle w:val="6"/>
              <w:spacing w:before="69" w:line="220" w:lineRule="auto"/>
              <w:ind w:left="2"/>
              <w:rPr>
                <w:sz w:val="18"/>
                <w:szCs w:val="18"/>
              </w:rPr>
            </w:pPr>
            <w:r>
              <w:rPr>
                <w:spacing w:val="1"/>
                <w:sz w:val="18"/>
                <w:szCs w:val="18"/>
              </w:rPr>
              <w:t>1.灯泡和开关</w:t>
            </w:r>
          </w:p>
          <w:p w14:paraId="6FC777B2">
            <w:pPr>
              <w:pStyle w:val="6"/>
              <w:spacing w:before="15" w:line="219" w:lineRule="auto"/>
              <w:ind w:left="2" w:right="470"/>
              <w:rPr>
                <w:sz w:val="18"/>
                <w:szCs w:val="18"/>
              </w:rPr>
            </w:pPr>
            <w:r>
              <w:rPr>
                <w:spacing w:val="1"/>
                <w:sz w:val="18"/>
                <w:szCs w:val="18"/>
              </w:rPr>
              <w:t>2.单联、双联开关的使用</w:t>
            </w:r>
            <w:r>
              <w:rPr>
                <w:spacing w:val="8"/>
                <w:sz w:val="18"/>
                <w:szCs w:val="18"/>
              </w:rPr>
              <w:t xml:space="preserve"> </w:t>
            </w:r>
            <w:r>
              <w:rPr>
                <w:spacing w:val="-1"/>
                <w:sz w:val="18"/>
                <w:szCs w:val="18"/>
              </w:rPr>
              <w:t>3.常用白炽灯照明电路</w:t>
            </w:r>
          </w:p>
        </w:tc>
        <w:tc>
          <w:tcPr>
            <w:tcW w:w="230" w:type="dxa"/>
            <w:vAlign w:val="top"/>
          </w:tcPr>
          <w:p w14:paraId="3E631C4D">
            <w:pPr>
              <w:pStyle w:val="6"/>
              <w:spacing w:before="100" w:line="238" w:lineRule="auto"/>
              <w:ind w:left="18"/>
              <w:rPr>
                <w:sz w:val="13"/>
                <w:szCs w:val="13"/>
              </w:rPr>
            </w:pPr>
            <w:r>
              <w:rPr>
                <w:sz w:val="13"/>
                <w:szCs w:val="13"/>
              </w:rPr>
              <w:t>√</w:t>
            </w:r>
          </w:p>
        </w:tc>
        <w:tc>
          <w:tcPr>
            <w:tcW w:w="229" w:type="dxa"/>
            <w:vAlign w:val="top"/>
          </w:tcPr>
          <w:p w14:paraId="772434EC">
            <w:pPr>
              <w:rPr>
                <w:rFonts w:ascii="Arial"/>
                <w:sz w:val="21"/>
              </w:rPr>
            </w:pPr>
          </w:p>
        </w:tc>
        <w:tc>
          <w:tcPr>
            <w:tcW w:w="220" w:type="dxa"/>
            <w:vAlign w:val="top"/>
          </w:tcPr>
          <w:p w14:paraId="5D52046F">
            <w:pPr>
              <w:rPr>
                <w:rFonts w:ascii="Arial"/>
                <w:sz w:val="21"/>
              </w:rPr>
            </w:pPr>
          </w:p>
        </w:tc>
        <w:tc>
          <w:tcPr>
            <w:tcW w:w="234" w:type="dxa"/>
            <w:vAlign w:val="top"/>
          </w:tcPr>
          <w:p w14:paraId="6AB45199">
            <w:pPr>
              <w:rPr>
                <w:rFonts w:ascii="Arial"/>
                <w:sz w:val="21"/>
              </w:rPr>
            </w:pPr>
          </w:p>
        </w:tc>
      </w:tr>
      <w:tr w14:paraId="60CFB4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8" w:hRule="atLeast"/>
        </w:trPr>
        <w:tc>
          <w:tcPr>
            <w:tcW w:w="733" w:type="dxa"/>
            <w:vAlign w:val="top"/>
          </w:tcPr>
          <w:p w14:paraId="738D74D6">
            <w:pPr>
              <w:pStyle w:val="6"/>
              <w:spacing w:before="62" w:line="215" w:lineRule="auto"/>
              <w:ind w:left="84"/>
              <w:rPr>
                <w:sz w:val="18"/>
                <w:szCs w:val="18"/>
              </w:rPr>
            </w:pPr>
            <w:r>
              <w:rPr>
                <w:spacing w:val="3"/>
                <w:sz w:val="18"/>
                <w:szCs w:val="18"/>
              </w:rPr>
              <w:t>日光灯</w:t>
            </w:r>
          </w:p>
          <w:p w14:paraId="02C0C2BC">
            <w:pPr>
              <w:pStyle w:val="6"/>
              <w:spacing w:line="219" w:lineRule="auto"/>
              <w:ind w:left="174"/>
              <w:rPr>
                <w:sz w:val="18"/>
                <w:szCs w:val="18"/>
              </w:rPr>
            </w:pPr>
            <w:r>
              <w:rPr>
                <w:spacing w:val="9"/>
                <w:sz w:val="18"/>
                <w:szCs w:val="18"/>
              </w:rPr>
              <w:t>照明</w:t>
            </w:r>
          </w:p>
          <w:p w14:paraId="37A87387">
            <w:pPr>
              <w:pStyle w:val="6"/>
              <w:spacing w:before="16" w:line="180" w:lineRule="auto"/>
              <w:ind w:left="174"/>
              <w:rPr>
                <w:sz w:val="18"/>
                <w:szCs w:val="18"/>
              </w:rPr>
            </w:pPr>
            <w:r>
              <w:rPr>
                <w:spacing w:val="3"/>
                <w:sz w:val="18"/>
                <w:szCs w:val="18"/>
              </w:rPr>
              <w:t>电路</w:t>
            </w:r>
          </w:p>
        </w:tc>
        <w:tc>
          <w:tcPr>
            <w:tcW w:w="2484" w:type="dxa"/>
            <w:vAlign w:val="top"/>
          </w:tcPr>
          <w:p w14:paraId="002268BA">
            <w:pPr>
              <w:pStyle w:val="6"/>
              <w:spacing w:before="52" w:line="219" w:lineRule="auto"/>
              <w:ind w:left="2"/>
              <w:rPr>
                <w:sz w:val="18"/>
                <w:szCs w:val="18"/>
              </w:rPr>
            </w:pPr>
            <w:r>
              <w:rPr>
                <w:spacing w:val="-4"/>
                <w:sz w:val="18"/>
                <w:szCs w:val="18"/>
              </w:rPr>
              <w:t>1.</w:t>
            </w:r>
            <w:r>
              <w:rPr>
                <w:spacing w:val="-48"/>
                <w:sz w:val="18"/>
                <w:szCs w:val="18"/>
              </w:rPr>
              <w:t xml:space="preserve"> </w:t>
            </w:r>
            <w:r>
              <w:rPr>
                <w:spacing w:val="-4"/>
                <w:sz w:val="18"/>
                <w:szCs w:val="18"/>
              </w:rPr>
              <w:t>日光灯的组成</w:t>
            </w:r>
          </w:p>
          <w:p w14:paraId="0A1C78CA">
            <w:pPr>
              <w:pStyle w:val="6"/>
              <w:spacing w:before="6" w:line="208" w:lineRule="auto"/>
              <w:ind w:left="2" w:right="141"/>
              <w:rPr>
                <w:sz w:val="18"/>
                <w:szCs w:val="18"/>
              </w:rPr>
            </w:pPr>
            <w:r>
              <w:rPr>
                <w:spacing w:val="-1"/>
                <w:sz w:val="18"/>
                <w:szCs w:val="18"/>
              </w:rPr>
              <w:t>2.启辉器、镇流器的工作过程</w:t>
            </w:r>
            <w:r>
              <w:rPr>
                <w:spacing w:val="3"/>
                <w:sz w:val="18"/>
                <w:szCs w:val="18"/>
              </w:rPr>
              <w:t xml:space="preserve"> </w:t>
            </w:r>
            <w:r>
              <w:rPr>
                <w:spacing w:val="7"/>
                <w:sz w:val="18"/>
                <w:szCs w:val="18"/>
              </w:rPr>
              <w:t>及作用</w:t>
            </w:r>
          </w:p>
        </w:tc>
        <w:tc>
          <w:tcPr>
            <w:tcW w:w="230" w:type="dxa"/>
            <w:vAlign w:val="top"/>
          </w:tcPr>
          <w:p w14:paraId="729E0E2D">
            <w:pPr>
              <w:rPr>
                <w:rFonts w:ascii="Arial"/>
                <w:sz w:val="21"/>
              </w:rPr>
            </w:pPr>
          </w:p>
        </w:tc>
        <w:tc>
          <w:tcPr>
            <w:tcW w:w="229" w:type="dxa"/>
            <w:vAlign w:val="top"/>
          </w:tcPr>
          <w:p w14:paraId="4CB834D3">
            <w:pPr>
              <w:spacing w:before="86" w:line="111" w:lineRule="exact"/>
              <w:ind w:firstLine="42"/>
            </w:pPr>
            <w:r>
              <w:rPr>
                <w:position w:val="-2"/>
              </w:rPr>
              <w:drawing>
                <wp:inline distT="0" distB="0" distL="0" distR="0">
                  <wp:extent cx="81915" cy="70485"/>
                  <wp:effectExtent l="0" t="0" r="0" b="0"/>
                  <wp:docPr id="454" name="IM 454"/>
                  <wp:cNvGraphicFramePr/>
                  <a:graphic xmlns:a="http://schemas.openxmlformats.org/drawingml/2006/main">
                    <a:graphicData uri="http://schemas.openxmlformats.org/drawingml/2006/picture">
                      <pic:pic xmlns:pic="http://schemas.openxmlformats.org/drawingml/2006/picture">
                        <pic:nvPicPr>
                          <pic:cNvPr id="454" name="IM 454"/>
                          <pic:cNvPicPr/>
                        </pic:nvPicPr>
                        <pic:blipFill>
                          <a:blip r:embed="rId391"/>
                          <a:stretch>
                            <a:fillRect/>
                          </a:stretch>
                        </pic:blipFill>
                        <pic:spPr>
                          <a:xfrm>
                            <a:off x="0" y="0"/>
                            <a:ext cx="82549" cy="70751"/>
                          </a:xfrm>
                          <a:prstGeom prst="rect">
                            <a:avLst/>
                          </a:prstGeom>
                        </pic:spPr>
                      </pic:pic>
                    </a:graphicData>
                  </a:graphic>
                </wp:inline>
              </w:drawing>
            </w:r>
          </w:p>
        </w:tc>
        <w:tc>
          <w:tcPr>
            <w:tcW w:w="220" w:type="dxa"/>
            <w:vAlign w:val="top"/>
          </w:tcPr>
          <w:p w14:paraId="0DF0F71F">
            <w:pPr>
              <w:rPr>
                <w:rFonts w:ascii="Arial"/>
                <w:sz w:val="21"/>
              </w:rPr>
            </w:pPr>
          </w:p>
        </w:tc>
        <w:tc>
          <w:tcPr>
            <w:tcW w:w="234" w:type="dxa"/>
            <w:vAlign w:val="top"/>
          </w:tcPr>
          <w:p w14:paraId="107845DE">
            <w:pPr>
              <w:rPr>
                <w:rFonts w:ascii="Arial"/>
                <w:sz w:val="21"/>
              </w:rPr>
            </w:pPr>
          </w:p>
        </w:tc>
      </w:tr>
      <w:tr w14:paraId="411B50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02" w:hRule="atLeast"/>
        </w:trPr>
        <w:tc>
          <w:tcPr>
            <w:tcW w:w="733" w:type="dxa"/>
            <w:vAlign w:val="top"/>
          </w:tcPr>
          <w:p w14:paraId="4092147E">
            <w:pPr>
              <w:pStyle w:val="6"/>
              <w:spacing w:before="175" w:line="218" w:lineRule="auto"/>
              <w:ind w:left="174" w:right="196"/>
              <w:rPr>
                <w:sz w:val="18"/>
                <w:szCs w:val="18"/>
              </w:rPr>
            </w:pPr>
            <w:r>
              <w:rPr>
                <w:spacing w:val="-6"/>
                <w:sz w:val="18"/>
                <w:szCs w:val="18"/>
              </w:rPr>
              <w:t>安全</w:t>
            </w:r>
            <w:r>
              <w:rPr>
                <w:sz w:val="18"/>
                <w:szCs w:val="18"/>
              </w:rPr>
              <w:t xml:space="preserve"> </w:t>
            </w:r>
            <w:r>
              <w:rPr>
                <w:spacing w:val="-5"/>
                <w:sz w:val="18"/>
                <w:szCs w:val="18"/>
              </w:rPr>
              <w:t>用电</w:t>
            </w:r>
          </w:p>
        </w:tc>
        <w:tc>
          <w:tcPr>
            <w:tcW w:w="2484" w:type="dxa"/>
            <w:vAlign w:val="top"/>
          </w:tcPr>
          <w:p w14:paraId="5C31BFD2">
            <w:pPr>
              <w:pStyle w:val="6"/>
              <w:spacing w:before="86" w:line="204" w:lineRule="auto"/>
              <w:ind w:left="2"/>
              <w:rPr>
                <w:sz w:val="18"/>
                <w:szCs w:val="18"/>
              </w:rPr>
            </w:pPr>
            <w:r>
              <w:rPr>
                <w:spacing w:val="2"/>
                <w:sz w:val="18"/>
                <w:szCs w:val="18"/>
              </w:rPr>
              <w:t>1.触电</w:t>
            </w:r>
          </w:p>
          <w:p w14:paraId="4B510435">
            <w:pPr>
              <w:pStyle w:val="6"/>
              <w:spacing w:before="1" w:line="208" w:lineRule="auto"/>
              <w:ind w:left="2" w:right="299"/>
              <w:rPr>
                <w:sz w:val="18"/>
                <w:szCs w:val="18"/>
              </w:rPr>
            </w:pPr>
            <w:r>
              <w:rPr>
                <w:sz w:val="18"/>
                <w:szCs w:val="18"/>
              </w:rPr>
              <w:t>2.保护性接地和保护接中线</w:t>
            </w:r>
            <w:r>
              <w:rPr>
                <w:spacing w:val="11"/>
                <w:sz w:val="18"/>
                <w:szCs w:val="18"/>
              </w:rPr>
              <w:t xml:space="preserve"> </w:t>
            </w:r>
            <w:r>
              <w:rPr>
                <w:spacing w:val="1"/>
                <w:sz w:val="18"/>
                <w:szCs w:val="18"/>
              </w:rPr>
              <w:t>3.安全用电常识</w:t>
            </w:r>
          </w:p>
        </w:tc>
        <w:tc>
          <w:tcPr>
            <w:tcW w:w="230" w:type="dxa"/>
            <w:vAlign w:val="top"/>
          </w:tcPr>
          <w:p w14:paraId="7214958C">
            <w:pPr>
              <w:rPr>
                <w:rFonts w:ascii="Arial"/>
                <w:sz w:val="21"/>
              </w:rPr>
            </w:pPr>
          </w:p>
        </w:tc>
        <w:tc>
          <w:tcPr>
            <w:tcW w:w="229" w:type="dxa"/>
            <w:vAlign w:val="top"/>
          </w:tcPr>
          <w:p w14:paraId="40E2ED2B">
            <w:pPr>
              <w:spacing w:line="339" w:lineRule="auto"/>
              <w:rPr>
                <w:rFonts w:ascii="Arial"/>
                <w:sz w:val="21"/>
              </w:rPr>
            </w:pPr>
          </w:p>
          <w:p w14:paraId="5AF66ADD">
            <w:pPr>
              <w:spacing w:line="308" w:lineRule="exact"/>
              <w:ind w:firstLine="51"/>
            </w:pPr>
            <w:r>
              <w:rPr>
                <w:position w:val="-6"/>
              </w:rPr>
              <w:drawing>
                <wp:inline distT="0" distB="0" distL="0" distR="0">
                  <wp:extent cx="83185" cy="195580"/>
                  <wp:effectExtent l="0" t="0" r="0" b="0"/>
                  <wp:docPr id="456" name="IM 456"/>
                  <wp:cNvGraphicFramePr/>
                  <a:graphic xmlns:a="http://schemas.openxmlformats.org/drawingml/2006/main">
                    <a:graphicData uri="http://schemas.openxmlformats.org/drawingml/2006/picture">
                      <pic:pic xmlns:pic="http://schemas.openxmlformats.org/drawingml/2006/picture">
                        <pic:nvPicPr>
                          <pic:cNvPr id="456" name="IM 456"/>
                          <pic:cNvPicPr/>
                        </pic:nvPicPr>
                        <pic:blipFill>
                          <a:blip r:embed="rId392"/>
                          <a:stretch>
                            <a:fillRect/>
                          </a:stretch>
                        </pic:blipFill>
                        <pic:spPr>
                          <a:xfrm>
                            <a:off x="0" y="0"/>
                            <a:ext cx="83335" cy="195948"/>
                          </a:xfrm>
                          <a:prstGeom prst="rect">
                            <a:avLst/>
                          </a:prstGeom>
                        </pic:spPr>
                      </pic:pic>
                    </a:graphicData>
                  </a:graphic>
                </wp:inline>
              </w:drawing>
            </w:r>
          </w:p>
        </w:tc>
        <w:tc>
          <w:tcPr>
            <w:tcW w:w="220" w:type="dxa"/>
            <w:vAlign w:val="top"/>
          </w:tcPr>
          <w:p w14:paraId="29F05E7E">
            <w:pPr>
              <w:rPr>
                <w:rFonts w:ascii="Arial"/>
                <w:sz w:val="21"/>
              </w:rPr>
            </w:pPr>
          </w:p>
        </w:tc>
        <w:tc>
          <w:tcPr>
            <w:tcW w:w="234" w:type="dxa"/>
            <w:vAlign w:val="top"/>
          </w:tcPr>
          <w:p w14:paraId="00007D8E">
            <w:pPr>
              <w:rPr>
                <w:rFonts w:ascii="Arial"/>
                <w:sz w:val="21"/>
              </w:rPr>
            </w:pPr>
          </w:p>
        </w:tc>
      </w:tr>
    </w:tbl>
    <w:p w14:paraId="46CB30EF">
      <w:pPr>
        <w:spacing w:before="179" w:line="222" w:lineRule="auto"/>
        <w:ind w:left="1163"/>
        <w:rPr>
          <w:rFonts w:ascii="黑体" w:hAnsi="黑体" w:eastAsia="黑体" w:cs="黑体"/>
          <w:sz w:val="23"/>
          <w:szCs w:val="23"/>
        </w:rPr>
      </w:pPr>
      <w:r>
        <w:rPr>
          <w:rFonts w:ascii="黑体" w:hAnsi="黑体" w:eastAsia="黑体" w:cs="黑体"/>
          <w:b/>
          <w:bCs/>
          <w:spacing w:val="14"/>
          <w:sz w:val="23"/>
          <w:szCs w:val="23"/>
        </w:rPr>
        <w:t>第二部分信息技术</w:t>
      </w:r>
    </w:p>
    <w:p w14:paraId="3B80E0EA">
      <w:pPr>
        <w:spacing w:before="116" w:line="228" w:lineRule="auto"/>
        <w:ind w:left="510"/>
        <w:rPr>
          <w:rFonts w:ascii="楷体" w:hAnsi="楷体" w:eastAsia="楷体" w:cs="楷体"/>
          <w:sz w:val="17"/>
          <w:szCs w:val="17"/>
        </w:rPr>
      </w:pPr>
      <w:r>
        <w:rPr>
          <w:rFonts w:ascii="楷体" w:hAnsi="楷体" w:eastAsia="楷体" w:cs="楷体"/>
          <w:spacing w:val="8"/>
          <w:sz w:val="17"/>
          <w:szCs w:val="17"/>
        </w:rPr>
        <w:t>(一)信息技术应用基础</w:t>
      </w:r>
    </w:p>
    <w:p w14:paraId="4EB94AD0">
      <w:pPr>
        <w:spacing w:line="67" w:lineRule="exact"/>
      </w:pPr>
    </w:p>
    <w:tbl>
      <w:tblPr>
        <w:tblStyle w:val="5"/>
        <w:tblW w:w="4119"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23"/>
        <w:gridCol w:w="2494"/>
        <w:gridCol w:w="219"/>
        <w:gridCol w:w="239"/>
        <w:gridCol w:w="210"/>
        <w:gridCol w:w="234"/>
      </w:tblGrid>
      <w:tr w14:paraId="375E0A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9" w:hRule="atLeast"/>
        </w:trPr>
        <w:tc>
          <w:tcPr>
            <w:tcW w:w="723" w:type="dxa"/>
            <w:vMerge w:val="restart"/>
            <w:tcBorders>
              <w:top w:val="single" w:color="000000" w:sz="2" w:space="0"/>
              <w:bottom w:val="nil"/>
            </w:tcBorders>
            <w:vAlign w:val="top"/>
          </w:tcPr>
          <w:p w14:paraId="6091056C">
            <w:pPr>
              <w:pStyle w:val="6"/>
              <w:spacing w:before="15" w:line="212" w:lineRule="auto"/>
              <w:ind w:left="85" w:hanging="68"/>
              <w:rPr>
                <w:sz w:val="18"/>
                <w:szCs w:val="18"/>
              </w:rPr>
            </w:pPr>
            <w:r>
              <w:rPr>
                <w:b/>
                <w:bCs/>
                <w:spacing w:val="-10"/>
                <w:sz w:val="18"/>
                <w:szCs w:val="18"/>
              </w:rPr>
              <w:t>知</w:t>
            </w:r>
            <w:r>
              <w:rPr>
                <w:b/>
                <w:bCs/>
                <w:spacing w:val="-9"/>
                <w:sz w:val="18"/>
                <w:szCs w:val="18"/>
              </w:rPr>
              <w:t>识与</w:t>
            </w:r>
            <w:r>
              <w:rPr>
                <w:b/>
                <w:bCs/>
                <w:spacing w:val="-8"/>
                <w:sz w:val="18"/>
                <w:szCs w:val="18"/>
              </w:rPr>
              <w:t>技</w:t>
            </w:r>
            <w:r>
              <w:rPr>
                <w:spacing w:val="2"/>
                <w:sz w:val="18"/>
                <w:szCs w:val="18"/>
              </w:rPr>
              <w:t xml:space="preserve"> </w:t>
            </w:r>
            <w:r>
              <w:rPr>
                <w:b/>
                <w:bCs/>
                <w:spacing w:val="-2"/>
                <w:sz w:val="18"/>
                <w:szCs w:val="18"/>
              </w:rPr>
              <w:t>能要点</w:t>
            </w:r>
          </w:p>
        </w:tc>
        <w:tc>
          <w:tcPr>
            <w:tcW w:w="2494" w:type="dxa"/>
            <w:vMerge w:val="restart"/>
            <w:tcBorders>
              <w:top w:val="single" w:color="000000" w:sz="2" w:space="0"/>
              <w:bottom w:val="nil"/>
            </w:tcBorders>
            <w:vAlign w:val="top"/>
          </w:tcPr>
          <w:p w14:paraId="39EFE210">
            <w:pPr>
              <w:pStyle w:val="6"/>
              <w:spacing w:before="134" w:line="219" w:lineRule="auto"/>
              <w:ind w:left="934"/>
              <w:rPr>
                <w:sz w:val="18"/>
                <w:szCs w:val="18"/>
              </w:rPr>
            </w:pPr>
            <w:r>
              <w:rPr>
                <w:b/>
                <w:bCs/>
                <w:spacing w:val="5"/>
                <w:sz w:val="18"/>
                <w:szCs w:val="18"/>
              </w:rPr>
              <w:t>考试条目</w:t>
            </w:r>
          </w:p>
        </w:tc>
        <w:tc>
          <w:tcPr>
            <w:tcW w:w="902" w:type="dxa"/>
            <w:gridSpan w:val="4"/>
            <w:tcBorders>
              <w:top w:val="single" w:color="000000" w:sz="2" w:space="0"/>
              <w:bottom w:val="single" w:color="000000" w:sz="2" w:space="0"/>
            </w:tcBorders>
            <w:vAlign w:val="top"/>
          </w:tcPr>
          <w:p w14:paraId="1A8C2E29">
            <w:pPr>
              <w:pStyle w:val="6"/>
              <w:spacing w:before="24" w:line="189" w:lineRule="auto"/>
              <w:ind w:left="130"/>
              <w:rPr>
                <w:sz w:val="18"/>
                <w:szCs w:val="18"/>
              </w:rPr>
            </w:pPr>
            <w:r>
              <w:rPr>
                <w:b/>
                <w:bCs/>
                <w:spacing w:val="-4"/>
                <w:sz w:val="18"/>
                <w:szCs w:val="18"/>
              </w:rPr>
              <w:t>考试水平</w:t>
            </w:r>
          </w:p>
        </w:tc>
      </w:tr>
      <w:tr w14:paraId="00C278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5" w:hRule="atLeast"/>
        </w:trPr>
        <w:tc>
          <w:tcPr>
            <w:tcW w:w="723" w:type="dxa"/>
            <w:vMerge w:val="continue"/>
            <w:tcBorders>
              <w:top w:val="nil"/>
              <w:bottom w:val="single" w:color="000000" w:sz="2" w:space="0"/>
            </w:tcBorders>
            <w:vAlign w:val="top"/>
          </w:tcPr>
          <w:p w14:paraId="5839E284">
            <w:pPr>
              <w:rPr>
                <w:rFonts w:ascii="Arial"/>
                <w:sz w:val="21"/>
              </w:rPr>
            </w:pPr>
          </w:p>
        </w:tc>
        <w:tc>
          <w:tcPr>
            <w:tcW w:w="2494" w:type="dxa"/>
            <w:vMerge w:val="continue"/>
            <w:tcBorders>
              <w:top w:val="nil"/>
              <w:bottom w:val="single" w:color="000000" w:sz="2" w:space="0"/>
            </w:tcBorders>
            <w:vAlign w:val="top"/>
          </w:tcPr>
          <w:p w14:paraId="4575449D">
            <w:pPr>
              <w:rPr>
                <w:rFonts w:ascii="Arial"/>
                <w:sz w:val="21"/>
              </w:rPr>
            </w:pPr>
          </w:p>
        </w:tc>
        <w:tc>
          <w:tcPr>
            <w:tcW w:w="219" w:type="dxa"/>
            <w:tcBorders>
              <w:top w:val="single" w:color="000000" w:sz="2" w:space="0"/>
              <w:bottom w:val="single" w:color="000000" w:sz="2" w:space="0"/>
            </w:tcBorders>
            <w:vAlign w:val="top"/>
          </w:tcPr>
          <w:p w14:paraId="71D8843F">
            <w:pPr>
              <w:pStyle w:val="6"/>
              <w:spacing w:before="68" w:line="136" w:lineRule="exact"/>
              <w:ind w:left="57"/>
              <w:rPr>
                <w:sz w:val="18"/>
                <w:szCs w:val="18"/>
              </w:rPr>
            </w:pPr>
            <w:r>
              <w:rPr>
                <w:position w:val="-2"/>
                <w:sz w:val="18"/>
                <w:szCs w:val="18"/>
              </w:rPr>
              <w:t>A</w:t>
            </w:r>
          </w:p>
        </w:tc>
        <w:tc>
          <w:tcPr>
            <w:tcW w:w="239" w:type="dxa"/>
            <w:tcBorders>
              <w:top w:val="single" w:color="000000" w:sz="2" w:space="0"/>
              <w:bottom w:val="single" w:color="000000" w:sz="2" w:space="0"/>
            </w:tcBorders>
            <w:vAlign w:val="top"/>
          </w:tcPr>
          <w:p w14:paraId="3166D4D2">
            <w:pPr>
              <w:pStyle w:val="6"/>
              <w:spacing w:before="70" w:line="135" w:lineRule="exact"/>
              <w:ind w:left="21"/>
              <w:rPr>
                <w:sz w:val="18"/>
                <w:szCs w:val="18"/>
              </w:rPr>
            </w:pPr>
            <w:r>
              <w:rPr>
                <w:b/>
                <w:bCs/>
                <w:spacing w:val="-2"/>
                <w:position w:val="-2"/>
                <w:sz w:val="18"/>
                <w:szCs w:val="18"/>
              </w:rPr>
              <w:t>B</w:t>
            </w:r>
          </w:p>
        </w:tc>
        <w:tc>
          <w:tcPr>
            <w:tcW w:w="210" w:type="dxa"/>
            <w:tcBorders>
              <w:top w:val="single" w:color="000000" w:sz="2" w:space="0"/>
              <w:bottom w:val="single" w:color="000000" w:sz="2" w:space="0"/>
            </w:tcBorders>
            <w:vAlign w:val="top"/>
          </w:tcPr>
          <w:p w14:paraId="40B819C0">
            <w:pPr>
              <w:pStyle w:val="6"/>
              <w:spacing w:before="69" w:line="136" w:lineRule="exact"/>
              <w:ind w:left="40"/>
              <w:rPr>
                <w:sz w:val="18"/>
                <w:szCs w:val="18"/>
              </w:rPr>
            </w:pPr>
            <w:r>
              <w:rPr>
                <w:position w:val="-2"/>
                <w:sz w:val="18"/>
                <w:szCs w:val="18"/>
              </w:rPr>
              <w:t>C</w:t>
            </w:r>
          </w:p>
        </w:tc>
        <w:tc>
          <w:tcPr>
            <w:tcW w:w="234" w:type="dxa"/>
            <w:tcBorders>
              <w:top w:val="single" w:color="000000" w:sz="2" w:space="0"/>
              <w:bottom w:val="single" w:color="000000" w:sz="2" w:space="0"/>
            </w:tcBorders>
            <w:vAlign w:val="top"/>
          </w:tcPr>
          <w:p w14:paraId="562E39CA">
            <w:pPr>
              <w:pStyle w:val="6"/>
              <w:spacing w:before="70" w:line="135" w:lineRule="exact"/>
              <w:ind w:left="52"/>
              <w:rPr>
                <w:sz w:val="18"/>
                <w:szCs w:val="18"/>
              </w:rPr>
            </w:pPr>
            <w:r>
              <w:rPr>
                <w:b/>
                <w:bCs/>
                <w:spacing w:val="-2"/>
                <w:position w:val="-2"/>
                <w:sz w:val="18"/>
                <w:szCs w:val="18"/>
              </w:rPr>
              <w:t>D</w:t>
            </w:r>
          </w:p>
        </w:tc>
      </w:tr>
      <w:tr w14:paraId="013C4A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84" w:hRule="atLeast"/>
        </w:trPr>
        <w:tc>
          <w:tcPr>
            <w:tcW w:w="723" w:type="dxa"/>
            <w:tcBorders>
              <w:top w:val="single" w:color="000000" w:sz="2" w:space="0"/>
              <w:bottom w:val="single" w:color="000000" w:sz="2" w:space="0"/>
            </w:tcBorders>
            <w:vAlign w:val="top"/>
          </w:tcPr>
          <w:p w14:paraId="7755D46D">
            <w:pPr>
              <w:pStyle w:val="6"/>
              <w:spacing w:before="163" w:line="223" w:lineRule="auto"/>
              <w:ind w:left="84" w:right="75"/>
              <w:jc w:val="both"/>
              <w:rPr>
                <w:sz w:val="18"/>
                <w:szCs w:val="18"/>
              </w:rPr>
            </w:pPr>
            <w:r>
              <w:rPr>
                <w:spacing w:val="-3"/>
                <w:sz w:val="18"/>
                <w:szCs w:val="18"/>
              </w:rPr>
              <w:t>信息技</w:t>
            </w:r>
            <w:r>
              <w:rPr>
                <w:sz w:val="18"/>
                <w:szCs w:val="18"/>
              </w:rPr>
              <w:t xml:space="preserve"> </w:t>
            </w:r>
            <w:r>
              <w:rPr>
                <w:spacing w:val="4"/>
                <w:sz w:val="18"/>
                <w:szCs w:val="18"/>
              </w:rPr>
              <w:t>术与信</w:t>
            </w:r>
            <w:r>
              <w:rPr>
                <w:sz w:val="18"/>
                <w:szCs w:val="18"/>
              </w:rPr>
              <w:t xml:space="preserve"> </w:t>
            </w:r>
            <w:r>
              <w:rPr>
                <w:spacing w:val="2"/>
                <w:sz w:val="18"/>
                <w:szCs w:val="18"/>
              </w:rPr>
              <w:t>息社会</w:t>
            </w:r>
          </w:p>
        </w:tc>
        <w:tc>
          <w:tcPr>
            <w:tcW w:w="2494" w:type="dxa"/>
            <w:tcBorders>
              <w:top w:val="single" w:color="000000" w:sz="2" w:space="0"/>
              <w:bottom w:val="single" w:color="000000" w:sz="2" w:space="0"/>
            </w:tcBorders>
            <w:vAlign w:val="top"/>
          </w:tcPr>
          <w:p w14:paraId="33D12918">
            <w:pPr>
              <w:pStyle w:val="6"/>
              <w:spacing w:before="33" w:line="225" w:lineRule="auto"/>
              <w:ind w:left="12" w:right="470"/>
              <w:rPr>
                <w:sz w:val="18"/>
                <w:szCs w:val="18"/>
              </w:rPr>
            </w:pPr>
            <w:r>
              <w:rPr>
                <w:spacing w:val="1"/>
                <w:sz w:val="18"/>
                <w:szCs w:val="18"/>
              </w:rPr>
              <w:t>1.信息技术的发展与应用</w:t>
            </w:r>
            <w:r>
              <w:rPr>
                <w:spacing w:val="8"/>
                <w:sz w:val="18"/>
                <w:szCs w:val="18"/>
              </w:rPr>
              <w:t xml:space="preserve"> </w:t>
            </w:r>
            <w:r>
              <w:rPr>
                <w:spacing w:val="-1"/>
                <w:sz w:val="18"/>
                <w:szCs w:val="18"/>
              </w:rPr>
              <w:t>2.信息社会的基本特征</w:t>
            </w:r>
          </w:p>
          <w:p w14:paraId="1FA8AD42">
            <w:pPr>
              <w:pStyle w:val="6"/>
              <w:spacing w:before="1" w:line="205" w:lineRule="auto"/>
              <w:ind w:left="12" w:right="142"/>
              <w:rPr>
                <w:sz w:val="18"/>
                <w:szCs w:val="18"/>
              </w:rPr>
            </w:pPr>
            <w:r>
              <w:rPr>
                <w:spacing w:val="-1"/>
                <w:sz w:val="18"/>
                <w:szCs w:val="18"/>
              </w:rPr>
              <w:t>3.信息社会的文化、道德与法</w:t>
            </w:r>
            <w:r>
              <w:rPr>
                <w:spacing w:val="2"/>
                <w:sz w:val="18"/>
                <w:szCs w:val="18"/>
              </w:rPr>
              <w:t xml:space="preserve"> </w:t>
            </w:r>
            <w:r>
              <w:rPr>
                <w:spacing w:val="-2"/>
                <w:sz w:val="18"/>
                <w:szCs w:val="18"/>
              </w:rPr>
              <w:t>律常识</w:t>
            </w:r>
          </w:p>
        </w:tc>
        <w:tc>
          <w:tcPr>
            <w:tcW w:w="219" w:type="dxa"/>
            <w:tcBorders>
              <w:top w:val="single" w:color="000000" w:sz="2" w:space="0"/>
              <w:bottom w:val="single" w:color="000000" w:sz="2" w:space="0"/>
            </w:tcBorders>
            <w:vAlign w:val="top"/>
          </w:tcPr>
          <w:p w14:paraId="7C0B3557">
            <w:pPr>
              <w:pStyle w:val="6"/>
              <w:spacing w:before="130" w:line="182" w:lineRule="auto"/>
              <w:ind w:left="57"/>
              <w:rPr>
                <w:sz w:val="18"/>
                <w:szCs w:val="18"/>
              </w:rPr>
            </w:pPr>
            <w:r>
              <w:rPr>
                <w:sz w:val="18"/>
                <w:szCs w:val="18"/>
              </w:rPr>
              <w:t>V</w:t>
            </w:r>
          </w:p>
          <w:p w14:paraId="206CBFFC">
            <w:pPr>
              <w:spacing w:before="107" w:line="270" w:lineRule="exact"/>
            </w:pPr>
            <w:r>
              <w:rPr>
                <w:position w:val="-5"/>
              </w:rPr>
              <w:drawing>
                <wp:inline distT="0" distB="0" distL="0" distR="0">
                  <wp:extent cx="132080" cy="170815"/>
                  <wp:effectExtent l="0" t="0" r="0" b="0"/>
                  <wp:docPr id="458" name="IM 458"/>
                  <wp:cNvGraphicFramePr/>
                  <a:graphic xmlns:a="http://schemas.openxmlformats.org/drawingml/2006/main">
                    <a:graphicData uri="http://schemas.openxmlformats.org/drawingml/2006/picture">
                      <pic:pic xmlns:pic="http://schemas.openxmlformats.org/drawingml/2006/picture">
                        <pic:nvPicPr>
                          <pic:cNvPr id="458" name="IM 458"/>
                          <pic:cNvPicPr/>
                        </pic:nvPicPr>
                        <pic:blipFill>
                          <a:blip r:embed="rId393"/>
                          <a:stretch>
                            <a:fillRect/>
                          </a:stretch>
                        </pic:blipFill>
                        <pic:spPr>
                          <a:xfrm>
                            <a:off x="0" y="0"/>
                            <a:ext cx="132714" cy="171363"/>
                          </a:xfrm>
                          <a:prstGeom prst="rect">
                            <a:avLst/>
                          </a:prstGeom>
                        </pic:spPr>
                      </pic:pic>
                    </a:graphicData>
                  </a:graphic>
                </wp:inline>
              </w:drawing>
            </w:r>
          </w:p>
        </w:tc>
        <w:tc>
          <w:tcPr>
            <w:tcW w:w="239" w:type="dxa"/>
            <w:tcBorders>
              <w:top w:val="single" w:color="000000" w:sz="2" w:space="0"/>
              <w:bottom w:val="single" w:color="000000" w:sz="2" w:space="0"/>
            </w:tcBorders>
            <w:vAlign w:val="top"/>
          </w:tcPr>
          <w:p w14:paraId="47FCD2E5">
            <w:pPr>
              <w:rPr>
                <w:rFonts w:ascii="Arial"/>
                <w:sz w:val="21"/>
              </w:rPr>
            </w:pPr>
          </w:p>
        </w:tc>
        <w:tc>
          <w:tcPr>
            <w:tcW w:w="210" w:type="dxa"/>
            <w:tcBorders>
              <w:top w:val="single" w:color="000000" w:sz="2" w:space="0"/>
              <w:bottom w:val="single" w:color="000000" w:sz="2" w:space="0"/>
            </w:tcBorders>
            <w:vAlign w:val="top"/>
          </w:tcPr>
          <w:p w14:paraId="29965C25">
            <w:pPr>
              <w:rPr>
                <w:rFonts w:ascii="Arial"/>
                <w:sz w:val="21"/>
              </w:rPr>
            </w:pPr>
          </w:p>
        </w:tc>
        <w:tc>
          <w:tcPr>
            <w:tcW w:w="234" w:type="dxa"/>
            <w:tcBorders>
              <w:top w:val="single" w:color="000000" w:sz="2" w:space="0"/>
              <w:bottom w:val="single" w:color="000000" w:sz="2" w:space="0"/>
            </w:tcBorders>
            <w:vAlign w:val="top"/>
          </w:tcPr>
          <w:p w14:paraId="3044D251">
            <w:pPr>
              <w:rPr>
                <w:rFonts w:ascii="Arial"/>
                <w:sz w:val="21"/>
              </w:rPr>
            </w:pPr>
          </w:p>
        </w:tc>
      </w:tr>
      <w:tr w14:paraId="0131B0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14" w:hRule="atLeast"/>
        </w:trPr>
        <w:tc>
          <w:tcPr>
            <w:tcW w:w="723" w:type="dxa"/>
            <w:tcBorders>
              <w:top w:val="single" w:color="000000" w:sz="2" w:space="0"/>
              <w:bottom w:val="single" w:color="000000" w:sz="2" w:space="0"/>
            </w:tcBorders>
            <w:vAlign w:val="top"/>
          </w:tcPr>
          <w:p w14:paraId="01BE76DC">
            <w:pPr>
              <w:pStyle w:val="6"/>
              <w:spacing w:before="223" w:line="217" w:lineRule="auto"/>
              <w:ind w:left="84"/>
              <w:rPr>
                <w:sz w:val="18"/>
                <w:szCs w:val="18"/>
              </w:rPr>
            </w:pPr>
            <w:r>
              <w:rPr>
                <w:spacing w:val="5"/>
                <w:sz w:val="18"/>
                <w:szCs w:val="18"/>
              </w:rPr>
              <w:t>信息系</w:t>
            </w:r>
          </w:p>
          <w:p w14:paraId="75D356D1">
            <w:pPr>
              <w:pStyle w:val="6"/>
              <w:spacing w:line="220" w:lineRule="auto"/>
              <w:ind w:left="174"/>
              <w:rPr>
                <w:sz w:val="18"/>
                <w:szCs w:val="18"/>
              </w:rPr>
            </w:pPr>
            <w:r>
              <w:rPr>
                <w:spacing w:val="7"/>
                <w:sz w:val="18"/>
                <w:szCs w:val="18"/>
              </w:rPr>
              <w:t>统的</w:t>
            </w:r>
          </w:p>
          <w:p w14:paraId="6FAE4CC8">
            <w:pPr>
              <w:pStyle w:val="6"/>
              <w:spacing w:before="14" w:line="221" w:lineRule="auto"/>
              <w:ind w:left="174"/>
              <w:rPr>
                <w:sz w:val="18"/>
                <w:szCs w:val="18"/>
              </w:rPr>
            </w:pPr>
            <w:r>
              <w:rPr>
                <w:spacing w:val="-3"/>
                <w:sz w:val="18"/>
                <w:szCs w:val="18"/>
              </w:rPr>
              <w:t>组成</w:t>
            </w:r>
          </w:p>
        </w:tc>
        <w:tc>
          <w:tcPr>
            <w:tcW w:w="2494" w:type="dxa"/>
            <w:tcBorders>
              <w:top w:val="single" w:color="000000" w:sz="2" w:space="0"/>
              <w:bottom w:val="single" w:color="000000" w:sz="2" w:space="0"/>
            </w:tcBorders>
            <w:vAlign w:val="top"/>
          </w:tcPr>
          <w:p w14:paraId="0762D401">
            <w:pPr>
              <w:pStyle w:val="6"/>
              <w:spacing w:before="123" w:line="219" w:lineRule="auto"/>
              <w:ind w:left="12" w:right="1563"/>
              <w:jc w:val="both"/>
              <w:rPr>
                <w:sz w:val="18"/>
                <w:szCs w:val="18"/>
              </w:rPr>
            </w:pPr>
            <w:r>
              <w:rPr>
                <w:spacing w:val="1"/>
                <w:sz w:val="18"/>
                <w:szCs w:val="18"/>
              </w:rPr>
              <w:t xml:space="preserve">1.硬件系统 </w:t>
            </w:r>
            <w:r>
              <w:rPr>
                <w:spacing w:val="-2"/>
                <w:sz w:val="18"/>
                <w:szCs w:val="18"/>
              </w:rPr>
              <w:t>2.软件系统</w:t>
            </w:r>
            <w:r>
              <w:rPr>
                <w:spacing w:val="1"/>
                <w:sz w:val="18"/>
                <w:szCs w:val="18"/>
              </w:rPr>
              <w:t xml:space="preserve"> </w:t>
            </w:r>
            <w:r>
              <w:rPr>
                <w:spacing w:val="-2"/>
                <w:sz w:val="18"/>
                <w:szCs w:val="18"/>
              </w:rPr>
              <w:t>3.通信网络</w:t>
            </w:r>
            <w:r>
              <w:rPr>
                <w:sz w:val="18"/>
                <w:szCs w:val="18"/>
              </w:rPr>
              <w:t xml:space="preserve"> </w:t>
            </w:r>
            <w:r>
              <w:rPr>
                <w:spacing w:val="-2"/>
                <w:sz w:val="18"/>
                <w:szCs w:val="18"/>
              </w:rPr>
              <w:t>4.信息资源</w:t>
            </w:r>
          </w:p>
        </w:tc>
        <w:tc>
          <w:tcPr>
            <w:tcW w:w="219" w:type="dxa"/>
            <w:tcBorders>
              <w:top w:val="single" w:color="000000" w:sz="2" w:space="0"/>
              <w:bottom w:val="single" w:color="000000" w:sz="2" w:space="0"/>
            </w:tcBorders>
            <w:vAlign w:val="top"/>
          </w:tcPr>
          <w:p w14:paraId="374D06B0">
            <w:pPr>
              <w:rPr>
                <w:rFonts w:ascii="Arial"/>
                <w:sz w:val="21"/>
              </w:rPr>
            </w:pPr>
          </w:p>
        </w:tc>
        <w:tc>
          <w:tcPr>
            <w:tcW w:w="239" w:type="dxa"/>
            <w:tcBorders>
              <w:top w:val="single" w:color="000000" w:sz="2" w:space="0"/>
              <w:bottom w:val="single" w:color="000000" w:sz="2" w:space="0"/>
            </w:tcBorders>
            <w:vAlign w:val="top"/>
          </w:tcPr>
          <w:p w14:paraId="69FBEAC1">
            <w:pPr>
              <w:rPr>
                <w:rFonts w:ascii="Arial"/>
                <w:sz w:val="21"/>
              </w:rPr>
            </w:pPr>
          </w:p>
        </w:tc>
        <w:tc>
          <w:tcPr>
            <w:tcW w:w="210" w:type="dxa"/>
            <w:tcBorders>
              <w:top w:val="single" w:color="000000" w:sz="2" w:space="0"/>
              <w:bottom w:val="single" w:color="000000" w:sz="2" w:space="0"/>
            </w:tcBorders>
            <w:vAlign w:val="top"/>
          </w:tcPr>
          <w:p w14:paraId="46C59919">
            <w:pPr>
              <w:rPr>
                <w:rFonts w:ascii="Arial"/>
                <w:sz w:val="21"/>
              </w:rPr>
            </w:pPr>
          </w:p>
        </w:tc>
        <w:tc>
          <w:tcPr>
            <w:tcW w:w="234" w:type="dxa"/>
            <w:tcBorders>
              <w:top w:val="single" w:color="000000" w:sz="2" w:space="0"/>
              <w:bottom w:val="single" w:color="000000" w:sz="2" w:space="0"/>
            </w:tcBorders>
            <w:vAlign w:val="top"/>
          </w:tcPr>
          <w:p w14:paraId="43185DBF">
            <w:pPr>
              <w:rPr>
                <w:rFonts w:ascii="Arial"/>
                <w:sz w:val="21"/>
              </w:rPr>
            </w:pPr>
          </w:p>
        </w:tc>
      </w:tr>
      <w:tr w14:paraId="3D2CAB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64" w:hRule="atLeast"/>
        </w:trPr>
        <w:tc>
          <w:tcPr>
            <w:tcW w:w="723" w:type="dxa"/>
            <w:tcBorders>
              <w:top w:val="single" w:color="000000" w:sz="2" w:space="0"/>
              <w:bottom w:val="single" w:color="000000" w:sz="2" w:space="0"/>
            </w:tcBorders>
            <w:vAlign w:val="top"/>
          </w:tcPr>
          <w:p w14:paraId="09ED7567">
            <w:pPr>
              <w:pStyle w:val="6"/>
              <w:spacing w:before="194" w:line="219" w:lineRule="auto"/>
              <w:ind w:left="84"/>
              <w:rPr>
                <w:sz w:val="18"/>
                <w:szCs w:val="18"/>
              </w:rPr>
            </w:pPr>
            <w:r>
              <w:rPr>
                <w:spacing w:val="5"/>
                <w:sz w:val="18"/>
                <w:szCs w:val="18"/>
              </w:rPr>
              <w:t>信息系</w:t>
            </w:r>
          </w:p>
          <w:p w14:paraId="0696F60E">
            <w:pPr>
              <w:pStyle w:val="6"/>
              <w:spacing w:before="17" w:line="215" w:lineRule="auto"/>
              <w:ind w:left="174"/>
              <w:rPr>
                <w:sz w:val="18"/>
                <w:szCs w:val="18"/>
              </w:rPr>
            </w:pPr>
            <w:r>
              <w:rPr>
                <w:spacing w:val="7"/>
                <w:sz w:val="18"/>
                <w:szCs w:val="18"/>
              </w:rPr>
              <w:t>统的</w:t>
            </w:r>
          </w:p>
          <w:p w14:paraId="0004273E">
            <w:pPr>
              <w:pStyle w:val="6"/>
              <w:spacing w:line="220" w:lineRule="auto"/>
              <w:ind w:left="174"/>
              <w:rPr>
                <w:sz w:val="18"/>
                <w:szCs w:val="18"/>
              </w:rPr>
            </w:pPr>
            <w:r>
              <w:rPr>
                <w:spacing w:val="5"/>
                <w:sz w:val="18"/>
                <w:szCs w:val="18"/>
              </w:rPr>
              <w:t>结构</w:t>
            </w:r>
          </w:p>
        </w:tc>
        <w:tc>
          <w:tcPr>
            <w:tcW w:w="2494" w:type="dxa"/>
            <w:tcBorders>
              <w:top w:val="single" w:color="000000" w:sz="2" w:space="0"/>
              <w:bottom w:val="single" w:color="000000" w:sz="2" w:space="0"/>
            </w:tcBorders>
            <w:vAlign w:val="top"/>
          </w:tcPr>
          <w:p w14:paraId="11A2C71D">
            <w:pPr>
              <w:pStyle w:val="6"/>
              <w:spacing w:before="95" w:line="220" w:lineRule="auto"/>
              <w:ind w:left="12" w:right="1381"/>
              <w:jc w:val="both"/>
              <w:rPr>
                <w:sz w:val="18"/>
                <w:szCs w:val="18"/>
              </w:rPr>
            </w:pPr>
            <w:r>
              <w:rPr>
                <w:spacing w:val="1"/>
                <w:sz w:val="18"/>
                <w:szCs w:val="18"/>
              </w:rPr>
              <w:t>1.基础设施层</w:t>
            </w:r>
            <w:r>
              <w:rPr>
                <w:spacing w:val="2"/>
                <w:sz w:val="18"/>
                <w:szCs w:val="18"/>
              </w:rPr>
              <w:t xml:space="preserve"> </w:t>
            </w:r>
            <w:r>
              <w:rPr>
                <w:spacing w:val="-2"/>
                <w:sz w:val="18"/>
                <w:szCs w:val="18"/>
              </w:rPr>
              <w:t>2.资源管理层</w:t>
            </w:r>
            <w:r>
              <w:rPr>
                <w:spacing w:val="3"/>
                <w:sz w:val="18"/>
                <w:szCs w:val="18"/>
              </w:rPr>
              <w:t xml:space="preserve"> </w:t>
            </w:r>
            <w:r>
              <w:rPr>
                <w:spacing w:val="1"/>
                <w:sz w:val="18"/>
                <w:szCs w:val="18"/>
              </w:rPr>
              <w:t>3.业务逻辑层</w:t>
            </w:r>
            <w:r>
              <w:rPr>
                <w:spacing w:val="2"/>
                <w:sz w:val="18"/>
                <w:szCs w:val="18"/>
              </w:rPr>
              <w:t xml:space="preserve"> </w:t>
            </w:r>
            <w:r>
              <w:rPr>
                <w:spacing w:val="-1"/>
                <w:sz w:val="18"/>
                <w:szCs w:val="18"/>
              </w:rPr>
              <w:t>4.应用表现层</w:t>
            </w:r>
          </w:p>
        </w:tc>
        <w:tc>
          <w:tcPr>
            <w:tcW w:w="219" w:type="dxa"/>
            <w:tcBorders>
              <w:top w:val="single" w:color="000000" w:sz="2" w:space="0"/>
              <w:bottom w:val="single" w:color="000000" w:sz="2" w:space="0"/>
            </w:tcBorders>
            <w:vAlign w:val="top"/>
          </w:tcPr>
          <w:p w14:paraId="303A00D6">
            <w:pPr>
              <w:spacing w:before="135" w:line="752" w:lineRule="exact"/>
              <w:ind w:firstLine="17"/>
            </w:pPr>
            <w:r>
              <w:rPr>
                <w:position w:val="-15"/>
              </w:rPr>
              <w:drawing>
                <wp:inline distT="0" distB="0" distL="0" distR="0">
                  <wp:extent cx="100965" cy="476885"/>
                  <wp:effectExtent l="0" t="0" r="0" b="0"/>
                  <wp:docPr id="460" name="IM 460"/>
                  <wp:cNvGraphicFramePr/>
                  <a:graphic xmlns:a="http://schemas.openxmlformats.org/drawingml/2006/main">
                    <a:graphicData uri="http://schemas.openxmlformats.org/drawingml/2006/picture">
                      <pic:pic xmlns:pic="http://schemas.openxmlformats.org/drawingml/2006/picture">
                        <pic:nvPicPr>
                          <pic:cNvPr id="460" name="IM 460"/>
                          <pic:cNvPicPr/>
                        </pic:nvPicPr>
                        <pic:blipFill>
                          <a:blip r:embed="rId394"/>
                          <a:stretch>
                            <a:fillRect/>
                          </a:stretch>
                        </pic:blipFill>
                        <pic:spPr>
                          <a:xfrm>
                            <a:off x="0" y="0"/>
                            <a:ext cx="101590" cy="477397"/>
                          </a:xfrm>
                          <a:prstGeom prst="rect">
                            <a:avLst/>
                          </a:prstGeom>
                        </pic:spPr>
                      </pic:pic>
                    </a:graphicData>
                  </a:graphic>
                </wp:inline>
              </w:drawing>
            </w:r>
          </w:p>
        </w:tc>
        <w:tc>
          <w:tcPr>
            <w:tcW w:w="239" w:type="dxa"/>
            <w:tcBorders>
              <w:top w:val="single" w:color="000000" w:sz="2" w:space="0"/>
              <w:bottom w:val="single" w:color="000000" w:sz="2" w:space="0"/>
            </w:tcBorders>
            <w:vAlign w:val="top"/>
          </w:tcPr>
          <w:p w14:paraId="5AA8CA25">
            <w:pPr>
              <w:rPr>
                <w:rFonts w:ascii="Arial"/>
                <w:sz w:val="21"/>
              </w:rPr>
            </w:pPr>
          </w:p>
        </w:tc>
        <w:tc>
          <w:tcPr>
            <w:tcW w:w="210" w:type="dxa"/>
            <w:tcBorders>
              <w:top w:val="single" w:color="000000" w:sz="2" w:space="0"/>
              <w:bottom w:val="single" w:color="000000" w:sz="2" w:space="0"/>
            </w:tcBorders>
            <w:vAlign w:val="top"/>
          </w:tcPr>
          <w:p w14:paraId="414D80C5">
            <w:pPr>
              <w:rPr>
                <w:rFonts w:ascii="Arial"/>
                <w:sz w:val="21"/>
              </w:rPr>
            </w:pPr>
          </w:p>
        </w:tc>
        <w:tc>
          <w:tcPr>
            <w:tcW w:w="234" w:type="dxa"/>
            <w:tcBorders>
              <w:top w:val="single" w:color="000000" w:sz="2" w:space="0"/>
              <w:bottom w:val="single" w:color="000000" w:sz="2" w:space="0"/>
            </w:tcBorders>
            <w:vAlign w:val="top"/>
          </w:tcPr>
          <w:p w14:paraId="10A040B4">
            <w:pPr>
              <w:rPr>
                <w:rFonts w:ascii="Arial"/>
                <w:sz w:val="21"/>
              </w:rPr>
            </w:pPr>
          </w:p>
        </w:tc>
      </w:tr>
      <w:tr w14:paraId="53C4C6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33" w:hRule="atLeast"/>
        </w:trPr>
        <w:tc>
          <w:tcPr>
            <w:tcW w:w="723" w:type="dxa"/>
            <w:tcBorders>
              <w:top w:val="single" w:color="000000" w:sz="2" w:space="0"/>
              <w:bottom w:val="single" w:color="000000" w:sz="2" w:space="0"/>
            </w:tcBorders>
            <w:vAlign w:val="top"/>
          </w:tcPr>
          <w:p w14:paraId="400457FA">
            <w:pPr>
              <w:pStyle w:val="6"/>
              <w:spacing w:before="194" w:line="235" w:lineRule="auto"/>
              <w:ind w:left="14"/>
              <w:jc w:val="both"/>
              <w:rPr>
                <w:sz w:val="18"/>
                <w:szCs w:val="18"/>
              </w:rPr>
            </w:pPr>
            <w:r>
              <w:rPr>
                <w:spacing w:val="-6"/>
                <w:sz w:val="18"/>
                <w:szCs w:val="18"/>
              </w:rPr>
              <w:t>计算机的</w:t>
            </w:r>
            <w:r>
              <w:rPr>
                <w:spacing w:val="1"/>
                <w:sz w:val="18"/>
                <w:szCs w:val="18"/>
              </w:rPr>
              <w:t xml:space="preserve"> </w:t>
            </w:r>
            <w:r>
              <w:rPr>
                <w:spacing w:val="-6"/>
                <w:sz w:val="18"/>
                <w:szCs w:val="18"/>
              </w:rPr>
              <w:t>主要硬件</w:t>
            </w:r>
            <w:r>
              <w:rPr>
                <w:sz w:val="18"/>
                <w:szCs w:val="18"/>
              </w:rPr>
              <w:t xml:space="preserve"> </w:t>
            </w:r>
            <w:r>
              <w:rPr>
                <w:spacing w:val="17"/>
                <w:sz w:val="18"/>
                <w:szCs w:val="18"/>
              </w:rPr>
              <w:t>及性能</w:t>
            </w:r>
          </w:p>
          <w:p w14:paraId="5D42541C">
            <w:pPr>
              <w:pStyle w:val="6"/>
              <w:spacing w:before="4" w:line="220" w:lineRule="auto"/>
              <w:ind w:left="174"/>
              <w:rPr>
                <w:sz w:val="18"/>
                <w:szCs w:val="18"/>
              </w:rPr>
            </w:pPr>
            <w:r>
              <w:rPr>
                <w:spacing w:val="-3"/>
                <w:sz w:val="18"/>
                <w:szCs w:val="18"/>
              </w:rPr>
              <w:t>指标</w:t>
            </w:r>
          </w:p>
        </w:tc>
        <w:tc>
          <w:tcPr>
            <w:tcW w:w="2494" w:type="dxa"/>
            <w:tcBorders>
              <w:top w:val="single" w:color="000000" w:sz="2" w:space="0"/>
              <w:bottom w:val="single" w:color="000000" w:sz="2" w:space="0"/>
            </w:tcBorders>
            <w:vAlign w:val="top"/>
          </w:tcPr>
          <w:p w14:paraId="5A4A9CC1">
            <w:pPr>
              <w:pStyle w:val="6"/>
              <w:spacing w:before="172" w:line="204" w:lineRule="auto"/>
              <w:ind w:left="12" w:right="1941"/>
              <w:rPr>
                <w:sz w:val="18"/>
                <w:szCs w:val="18"/>
              </w:rPr>
            </w:pPr>
            <w:r>
              <w:rPr>
                <w:spacing w:val="-5"/>
                <w:sz w:val="18"/>
                <w:szCs w:val="18"/>
              </w:rPr>
              <w:t>1.CPU</w:t>
            </w:r>
            <w:r>
              <w:rPr>
                <w:spacing w:val="1"/>
                <w:sz w:val="18"/>
                <w:szCs w:val="18"/>
              </w:rPr>
              <w:t xml:space="preserve">  </w:t>
            </w:r>
            <w:r>
              <w:rPr>
                <w:spacing w:val="-3"/>
                <w:sz w:val="18"/>
                <w:szCs w:val="18"/>
              </w:rPr>
              <w:t>2.内存</w:t>
            </w:r>
            <w:r>
              <w:rPr>
                <w:spacing w:val="1"/>
                <w:sz w:val="18"/>
                <w:szCs w:val="18"/>
              </w:rPr>
              <w:t xml:space="preserve"> </w:t>
            </w:r>
            <w:r>
              <w:rPr>
                <w:spacing w:val="-3"/>
                <w:sz w:val="18"/>
                <w:szCs w:val="18"/>
              </w:rPr>
              <w:t>3.外存</w:t>
            </w:r>
          </w:p>
          <w:p w14:paraId="31F3D3FF">
            <w:pPr>
              <w:pStyle w:val="6"/>
              <w:spacing w:before="16" w:line="217" w:lineRule="auto"/>
              <w:ind w:left="12" w:right="1578"/>
              <w:rPr>
                <w:sz w:val="18"/>
                <w:szCs w:val="18"/>
              </w:rPr>
            </w:pPr>
            <w:r>
              <w:rPr>
                <w:spacing w:val="-2"/>
                <w:sz w:val="18"/>
                <w:szCs w:val="18"/>
              </w:rPr>
              <w:t>4.输入设备</w:t>
            </w:r>
            <w:r>
              <w:rPr>
                <w:spacing w:val="4"/>
                <w:sz w:val="18"/>
                <w:szCs w:val="18"/>
              </w:rPr>
              <w:t xml:space="preserve"> </w:t>
            </w:r>
            <w:r>
              <w:rPr>
                <w:spacing w:val="-2"/>
                <w:sz w:val="18"/>
                <w:szCs w:val="18"/>
              </w:rPr>
              <w:t>5.输出设备</w:t>
            </w:r>
          </w:p>
        </w:tc>
        <w:tc>
          <w:tcPr>
            <w:tcW w:w="219" w:type="dxa"/>
            <w:tcBorders>
              <w:top w:val="single" w:color="000000" w:sz="2" w:space="0"/>
              <w:bottom w:val="single" w:color="000000" w:sz="2" w:space="0"/>
            </w:tcBorders>
            <w:vAlign w:val="top"/>
          </w:tcPr>
          <w:p w14:paraId="55FCC5CC">
            <w:pPr>
              <w:rPr>
                <w:rFonts w:ascii="Arial"/>
                <w:sz w:val="21"/>
              </w:rPr>
            </w:pPr>
          </w:p>
        </w:tc>
        <w:tc>
          <w:tcPr>
            <w:tcW w:w="239" w:type="dxa"/>
            <w:tcBorders>
              <w:top w:val="single" w:color="000000" w:sz="2" w:space="0"/>
              <w:bottom w:val="single" w:color="000000" w:sz="2" w:space="0"/>
            </w:tcBorders>
            <w:vAlign w:val="top"/>
          </w:tcPr>
          <w:p w14:paraId="341C5065">
            <w:pPr>
              <w:spacing w:line="464" w:lineRule="auto"/>
              <w:rPr>
                <w:rFonts w:ascii="Arial"/>
                <w:sz w:val="21"/>
              </w:rPr>
            </w:pPr>
          </w:p>
          <w:p w14:paraId="270931AE">
            <w:pPr>
              <w:pStyle w:val="6"/>
              <w:spacing w:before="58" w:line="229" w:lineRule="auto"/>
              <w:ind w:left="28"/>
              <w:rPr>
                <w:sz w:val="18"/>
                <w:szCs w:val="18"/>
              </w:rPr>
            </w:pPr>
            <w:r>
              <w:rPr>
                <w:sz w:val="18"/>
                <w:szCs w:val="18"/>
              </w:rPr>
              <w:t>》</w:t>
            </w:r>
          </w:p>
        </w:tc>
        <w:tc>
          <w:tcPr>
            <w:tcW w:w="210" w:type="dxa"/>
            <w:tcBorders>
              <w:top w:val="single" w:color="000000" w:sz="2" w:space="0"/>
              <w:bottom w:val="single" w:color="000000" w:sz="2" w:space="0"/>
            </w:tcBorders>
            <w:vAlign w:val="top"/>
          </w:tcPr>
          <w:p w14:paraId="1E76E47E">
            <w:pPr>
              <w:rPr>
                <w:rFonts w:ascii="Arial"/>
                <w:sz w:val="21"/>
              </w:rPr>
            </w:pPr>
          </w:p>
        </w:tc>
        <w:tc>
          <w:tcPr>
            <w:tcW w:w="234" w:type="dxa"/>
            <w:tcBorders>
              <w:top w:val="single" w:color="000000" w:sz="2" w:space="0"/>
              <w:bottom w:val="single" w:color="000000" w:sz="2" w:space="0"/>
            </w:tcBorders>
            <w:vAlign w:val="top"/>
          </w:tcPr>
          <w:p w14:paraId="1B342ACD">
            <w:pPr>
              <w:rPr>
                <w:rFonts w:ascii="Arial"/>
                <w:sz w:val="21"/>
              </w:rPr>
            </w:pPr>
          </w:p>
        </w:tc>
      </w:tr>
      <w:tr w14:paraId="06EE3A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49" w:hRule="atLeast"/>
        </w:trPr>
        <w:tc>
          <w:tcPr>
            <w:tcW w:w="723" w:type="dxa"/>
            <w:tcBorders>
              <w:top w:val="single" w:color="000000" w:sz="2" w:space="0"/>
              <w:bottom w:val="single" w:color="000000" w:sz="2" w:space="0"/>
            </w:tcBorders>
            <w:vAlign w:val="top"/>
          </w:tcPr>
          <w:p w14:paraId="12F4658C">
            <w:pPr>
              <w:pStyle w:val="6"/>
              <w:spacing w:before="287" w:line="217" w:lineRule="auto"/>
              <w:ind w:left="84" w:right="95"/>
              <w:rPr>
                <w:sz w:val="18"/>
                <w:szCs w:val="18"/>
              </w:rPr>
            </w:pPr>
            <w:r>
              <w:rPr>
                <w:spacing w:val="-3"/>
                <w:sz w:val="18"/>
                <w:szCs w:val="18"/>
              </w:rPr>
              <w:t>信息技</w:t>
            </w:r>
            <w:r>
              <w:rPr>
                <w:sz w:val="18"/>
                <w:szCs w:val="18"/>
              </w:rPr>
              <w:t xml:space="preserve"> </w:t>
            </w:r>
            <w:r>
              <w:rPr>
                <w:spacing w:val="-3"/>
                <w:sz w:val="18"/>
                <w:szCs w:val="18"/>
              </w:rPr>
              <w:t>术设备</w:t>
            </w:r>
          </w:p>
        </w:tc>
        <w:tc>
          <w:tcPr>
            <w:tcW w:w="2494" w:type="dxa"/>
            <w:tcBorders>
              <w:top w:val="single" w:color="000000" w:sz="2" w:space="0"/>
              <w:bottom w:val="single" w:color="000000" w:sz="2" w:space="0"/>
            </w:tcBorders>
            <w:vAlign w:val="top"/>
          </w:tcPr>
          <w:p w14:paraId="2564E159">
            <w:pPr>
              <w:pStyle w:val="6"/>
              <w:spacing w:before="78" w:line="224" w:lineRule="auto"/>
              <w:ind w:left="12" w:right="1401"/>
              <w:rPr>
                <w:sz w:val="18"/>
                <w:szCs w:val="18"/>
              </w:rPr>
            </w:pPr>
            <w:r>
              <w:rPr>
                <w:spacing w:val="1"/>
                <w:sz w:val="18"/>
                <w:szCs w:val="18"/>
              </w:rPr>
              <w:t>1.移动终端</w:t>
            </w:r>
            <w:r>
              <w:rPr>
                <w:sz w:val="18"/>
                <w:szCs w:val="18"/>
              </w:rPr>
              <w:t xml:space="preserve">   </w:t>
            </w:r>
            <w:r>
              <w:rPr>
                <w:spacing w:val="-2"/>
                <w:sz w:val="18"/>
                <w:szCs w:val="18"/>
              </w:rPr>
              <w:t>2.可穿戴设备</w:t>
            </w:r>
            <w:r>
              <w:rPr>
                <w:spacing w:val="3"/>
                <w:sz w:val="18"/>
                <w:szCs w:val="18"/>
              </w:rPr>
              <w:t xml:space="preserve"> </w:t>
            </w:r>
            <w:r>
              <w:rPr>
                <w:spacing w:val="-1"/>
                <w:sz w:val="18"/>
                <w:szCs w:val="18"/>
              </w:rPr>
              <w:t>3.网络设备</w:t>
            </w:r>
          </w:p>
          <w:p w14:paraId="1E7B81EE">
            <w:pPr>
              <w:pStyle w:val="6"/>
              <w:spacing w:before="14" w:line="196" w:lineRule="auto"/>
              <w:ind w:left="12"/>
              <w:rPr>
                <w:sz w:val="18"/>
                <w:szCs w:val="18"/>
              </w:rPr>
            </w:pPr>
            <w:r>
              <w:rPr>
                <w:spacing w:val="-1"/>
                <w:sz w:val="18"/>
                <w:szCs w:val="18"/>
              </w:rPr>
              <w:t>4.外围设备</w:t>
            </w:r>
          </w:p>
        </w:tc>
        <w:tc>
          <w:tcPr>
            <w:tcW w:w="219" w:type="dxa"/>
            <w:tcBorders>
              <w:top w:val="single" w:color="000000" w:sz="2" w:space="0"/>
              <w:bottom w:val="single" w:color="000000" w:sz="2" w:space="0"/>
            </w:tcBorders>
            <w:vAlign w:val="top"/>
          </w:tcPr>
          <w:p w14:paraId="22B9A672">
            <w:pPr>
              <w:spacing w:before="98" w:line="763" w:lineRule="exact"/>
              <w:ind w:firstLine="45"/>
            </w:pPr>
            <w:r>
              <w:rPr>
                <w:position w:val="-15"/>
              </w:rPr>
              <w:drawing>
                <wp:inline distT="0" distB="0" distL="0" distR="0">
                  <wp:extent cx="85725" cy="484505"/>
                  <wp:effectExtent l="0" t="0" r="0" b="0"/>
                  <wp:docPr id="462" name="IM 462"/>
                  <wp:cNvGraphicFramePr/>
                  <a:graphic xmlns:a="http://schemas.openxmlformats.org/drawingml/2006/main">
                    <a:graphicData uri="http://schemas.openxmlformats.org/drawingml/2006/picture">
                      <pic:pic xmlns:pic="http://schemas.openxmlformats.org/drawingml/2006/picture">
                        <pic:nvPicPr>
                          <pic:cNvPr id="462" name="IM 462"/>
                          <pic:cNvPicPr/>
                        </pic:nvPicPr>
                        <pic:blipFill>
                          <a:blip r:embed="rId395"/>
                          <a:stretch>
                            <a:fillRect/>
                          </a:stretch>
                        </pic:blipFill>
                        <pic:spPr>
                          <a:xfrm>
                            <a:off x="0" y="0"/>
                            <a:ext cx="85922" cy="484904"/>
                          </a:xfrm>
                          <a:prstGeom prst="rect">
                            <a:avLst/>
                          </a:prstGeom>
                        </pic:spPr>
                      </pic:pic>
                    </a:graphicData>
                  </a:graphic>
                </wp:inline>
              </w:drawing>
            </w:r>
          </w:p>
        </w:tc>
        <w:tc>
          <w:tcPr>
            <w:tcW w:w="239" w:type="dxa"/>
            <w:tcBorders>
              <w:top w:val="single" w:color="000000" w:sz="2" w:space="0"/>
              <w:bottom w:val="single" w:color="000000" w:sz="2" w:space="0"/>
            </w:tcBorders>
            <w:vAlign w:val="top"/>
          </w:tcPr>
          <w:p w14:paraId="16D0ECD9">
            <w:pPr>
              <w:rPr>
                <w:rFonts w:ascii="Arial"/>
                <w:sz w:val="21"/>
              </w:rPr>
            </w:pPr>
          </w:p>
        </w:tc>
        <w:tc>
          <w:tcPr>
            <w:tcW w:w="210" w:type="dxa"/>
            <w:tcBorders>
              <w:top w:val="single" w:color="000000" w:sz="2" w:space="0"/>
              <w:bottom w:val="single" w:color="000000" w:sz="2" w:space="0"/>
            </w:tcBorders>
            <w:vAlign w:val="top"/>
          </w:tcPr>
          <w:p w14:paraId="5753F20A">
            <w:pPr>
              <w:rPr>
                <w:rFonts w:ascii="Arial"/>
                <w:sz w:val="21"/>
              </w:rPr>
            </w:pPr>
          </w:p>
        </w:tc>
        <w:tc>
          <w:tcPr>
            <w:tcW w:w="234" w:type="dxa"/>
            <w:tcBorders>
              <w:top w:val="single" w:color="000000" w:sz="2" w:space="0"/>
              <w:bottom w:val="single" w:color="000000" w:sz="2" w:space="0"/>
            </w:tcBorders>
            <w:vAlign w:val="top"/>
          </w:tcPr>
          <w:p w14:paraId="3421269C">
            <w:pPr>
              <w:rPr>
                <w:rFonts w:ascii="Arial"/>
                <w:sz w:val="21"/>
              </w:rPr>
            </w:pPr>
          </w:p>
        </w:tc>
      </w:tr>
    </w:tbl>
    <w:p w14:paraId="26A51361">
      <w:pPr>
        <w:pStyle w:val="2"/>
        <w:spacing w:line="14" w:lineRule="auto"/>
        <w:rPr>
          <w:sz w:val="2"/>
        </w:rPr>
      </w:pPr>
    </w:p>
    <w:p w14:paraId="655C9E3E">
      <w:pPr>
        <w:pStyle w:val="2"/>
        <w:spacing w:line="14" w:lineRule="auto"/>
        <w:rPr>
          <w:sz w:val="2"/>
        </w:rPr>
      </w:pPr>
      <w:r>
        <w:rPr>
          <w:sz w:val="2"/>
          <w:szCs w:val="2"/>
        </w:rPr>
        <w:br w:type="column"/>
      </w:r>
    </w:p>
    <w:tbl>
      <w:tblPr>
        <w:tblStyle w:val="5"/>
        <w:tblW w:w="415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33"/>
        <w:gridCol w:w="2484"/>
        <w:gridCol w:w="230"/>
        <w:gridCol w:w="229"/>
        <w:gridCol w:w="219"/>
        <w:gridCol w:w="255"/>
      </w:tblGrid>
      <w:tr w14:paraId="124AAC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0" w:hRule="atLeast"/>
        </w:trPr>
        <w:tc>
          <w:tcPr>
            <w:tcW w:w="733" w:type="dxa"/>
            <w:vMerge w:val="restart"/>
            <w:tcBorders>
              <w:top w:val="single" w:color="000000" w:sz="2" w:space="0"/>
              <w:bottom w:val="nil"/>
            </w:tcBorders>
            <w:vAlign w:val="top"/>
          </w:tcPr>
          <w:p w14:paraId="50F6EEC3">
            <w:pPr>
              <w:pStyle w:val="6"/>
              <w:spacing w:before="26" w:line="195" w:lineRule="auto"/>
              <w:ind w:left="57" w:right="2" w:hanging="40"/>
              <w:rPr>
                <w:sz w:val="20"/>
                <w:szCs w:val="20"/>
              </w:rPr>
            </w:pPr>
            <w:r>
              <w:rPr>
                <w:b/>
                <w:bCs/>
                <w:spacing w:val="-22"/>
                <w:w w:val="96"/>
                <w:sz w:val="20"/>
                <w:szCs w:val="20"/>
              </w:rPr>
              <w:t>知</w:t>
            </w:r>
            <w:r>
              <w:rPr>
                <w:b/>
                <w:bCs/>
                <w:spacing w:val="-21"/>
                <w:w w:val="96"/>
                <w:sz w:val="20"/>
                <w:szCs w:val="20"/>
              </w:rPr>
              <w:t>识与</w:t>
            </w:r>
            <w:r>
              <w:rPr>
                <w:b/>
                <w:bCs/>
                <w:spacing w:val="-12"/>
                <w:w w:val="96"/>
                <w:sz w:val="20"/>
                <w:szCs w:val="20"/>
              </w:rPr>
              <w:t>技</w:t>
            </w:r>
            <w:r>
              <w:rPr>
                <w:spacing w:val="1"/>
                <w:sz w:val="20"/>
                <w:szCs w:val="20"/>
              </w:rPr>
              <w:t xml:space="preserve"> </w:t>
            </w:r>
            <w:r>
              <w:rPr>
                <w:b/>
                <w:bCs/>
                <w:spacing w:val="1"/>
                <w:sz w:val="20"/>
                <w:szCs w:val="20"/>
              </w:rPr>
              <w:t>能要点</w:t>
            </w:r>
          </w:p>
        </w:tc>
        <w:tc>
          <w:tcPr>
            <w:tcW w:w="2484" w:type="dxa"/>
            <w:vMerge w:val="restart"/>
            <w:tcBorders>
              <w:top w:val="single" w:color="000000" w:sz="2" w:space="0"/>
              <w:bottom w:val="nil"/>
            </w:tcBorders>
            <w:vAlign w:val="top"/>
          </w:tcPr>
          <w:p w14:paraId="4CB9766B">
            <w:pPr>
              <w:pStyle w:val="6"/>
              <w:spacing w:before="135" w:line="219" w:lineRule="auto"/>
              <w:ind w:left="934"/>
              <w:rPr>
                <w:sz w:val="20"/>
                <w:szCs w:val="20"/>
              </w:rPr>
            </w:pPr>
            <w:r>
              <w:rPr>
                <w:b/>
                <w:bCs/>
                <w:spacing w:val="6"/>
                <w:sz w:val="20"/>
                <w:szCs w:val="20"/>
              </w:rPr>
              <w:t>考试条目</w:t>
            </w:r>
          </w:p>
        </w:tc>
        <w:tc>
          <w:tcPr>
            <w:tcW w:w="933" w:type="dxa"/>
            <w:gridSpan w:val="4"/>
            <w:tcBorders>
              <w:top w:val="single" w:color="000000" w:sz="2" w:space="0"/>
              <w:bottom w:val="single" w:color="000000" w:sz="2" w:space="0"/>
            </w:tcBorders>
            <w:vAlign w:val="top"/>
          </w:tcPr>
          <w:p w14:paraId="7D7903DC">
            <w:pPr>
              <w:pStyle w:val="6"/>
              <w:spacing w:before="25" w:line="189" w:lineRule="auto"/>
              <w:jc w:val="right"/>
              <w:rPr>
                <w:sz w:val="20"/>
                <w:szCs w:val="20"/>
              </w:rPr>
            </w:pPr>
            <w:r>
              <w:rPr>
                <w:b/>
                <w:bCs/>
                <w:spacing w:val="-7"/>
                <w:sz w:val="20"/>
                <w:szCs w:val="20"/>
              </w:rPr>
              <w:t>考试水平</w:t>
            </w:r>
          </w:p>
        </w:tc>
      </w:tr>
      <w:tr w14:paraId="198F03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4" w:hRule="atLeast"/>
        </w:trPr>
        <w:tc>
          <w:tcPr>
            <w:tcW w:w="733" w:type="dxa"/>
            <w:vMerge w:val="continue"/>
            <w:tcBorders>
              <w:top w:val="nil"/>
              <w:bottom w:val="single" w:color="000000" w:sz="2" w:space="0"/>
            </w:tcBorders>
            <w:vAlign w:val="top"/>
          </w:tcPr>
          <w:p w14:paraId="4D172F97">
            <w:pPr>
              <w:rPr>
                <w:rFonts w:ascii="Arial"/>
                <w:sz w:val="21"/>
              </w:rPr>
            </w:pPr>
          </w:p>
        </w:tc>
        <w:tc>
          <w:tcPr>
            <w:tcW w:w="2484" w:type="dxa"/>
            <w:vMerge w:val="continue"/>
            <w:tcBorders>
              <w:top w:val="nil"/>
              <w:bottom w:val="single" w:color="000000" w:sz="2" w:space="0"/>
            </w:tcBorders>
            <w:vAlign w:val="top"/>
          </w:tcPr>
          <w:p w14:paraId="18C2D212">
            <w:pPr>
              <w:rPr>
                <w:rFonts w:ascii="Arial"/>
                <w:sz w:val="21"/>
              </w:rPr>
            </w:pPr>
          </w:p>
        </w:tc>
        <w:tc>
          <w:tcPr>
            <w:tcW w:w="230" w:type="dxa"/>
            <w:tcBorders>
              <w:top w:val="single" w:color="000000" w:sz="2" w:space="0"/>
              <w:bottom w:val="single" w:color="000000" w:sz="2" w:space="0"/>
            </w:tcBorders>
            <w:vAlign w:val="top"/>
          </w:tcPr>
          <w:p w14:paraId="226AF223">
            <w:pPr>
              <w:pStyle w:val="6"/>
              <w:spacing w:before="73" w:line="131" w:lineRule="exact"/>
              <w:ind w:left="20"/>
              <w:rPr>
                <w:sz w:val="20"/>
                <w:szCs w:val="20"/>
              </w:rPr>
            </w:pPr>
            <w:r>
              <w:rPr>
                <w:b/>
                <w:bCs/>
                <w:spacing w:val="-3"/>
                <w:position w:val="-3"/>
                <w:sz w:val="20"/>
                <w:szCs w:val="20"/>
              </w:rPr>
              <w:t>A</w:t>
            </w:r>
          </w:p>
        </w:tc>
        <w:tc>
          <w:tcPr>
            <w:tcW w:w="229" w:type="dxa"/>
            <w:tcBorders>
              <w:top w:val="single" w:color="000000" w:sz="2" w:space="0"/>
              <w:bottom w:val="single" w:color="000000" w:sz="2" w:space="0"/>
            </w:tcBorders>
            <w:vAlign w:val="top"/>
          </w:tcPr>
          <w:p w14:paraId="31A49C5E">
            <w:pPr>
              <w:pStyle w:val="6"/>
              <w:spacing w:before="76" w:line="128" w:lineRule="exact"/>
              <w:jc w:val="right"/>
              <w:rPr>
                <w:sz w:val="20"/>
                <w:szCs w:val="20"/>
              </w:rPr>
            </w:pPr>
            <w:r>
              <w:rPr>
                <w:b/>
                <w:bCs/>
                <w:spacing w:val="-6"/>
                <w:position w:val="-3"/>
                <w:sz w:val="20"/>
                <w:szCs w:val="20"/>
              </w:rPr>
              <w:t>B</w:t>
            </w:r>
          </w:p>
        </w:tc>
        <w:tc>
          <w:tcPr>
            <w:tcW w:w="219" w:type="dxa"/>
            <w:tcBorders>
              <w:top w:val="single" w:color="000000" w:sz="2" w:space="0"/>
              <w:bottom w:val="single" w:color="000000" w:sz="2" w:space="0"/>
            </w:tcBorders>
            <w:vAlign w:val="top"/>
          </w:tcPr>
          <w:p w14:paraId="742E6656">
            <w:pPr>
              <w:pStyle w:val="6"/>
              <w:spacing w:before="74" w:line="130" w:lineRule="exact"/>
              <w:ind w:left="58"/>
              <w:rPr>
                <w:sz w:val="20"/>
                <w:szCs w:val="20"/>
              </w:rPr>
            </w:pPr>
            <w:r>
              <w:rPr>
                <w:position w:val="-3"/>
                <w:sz w:val="20"/>
                <w:szCs w:val="20"/>
              </w:rPr>
              <w:t>C</w:t>
            </w:r>
          </w:p>
        </w:tc>
        <w:tc>
          <w:tcPr>
            <w:tcW w:w="255" w:type="dxa"/>
            <w:tcBorders>
              <w:top w:val="single" w:color="000000" w:sz="2" w:space="0"/>
              <w:bottom w:val="single" w:color="000000" w:sz="2" w:space="0"/>
            </w:tcBorders>
            <w:vAlign w:val="top"/>
          </w:tcPr>
          <w:p w14:paraId="6241FDCC">
            <w:pPr>
              <w:pStyle w:val="6"/>
              <w:spacing w:before="76" w:line="128" w:lineRule="exact"/>
              <w:ind w:left="32"/>
              <w:rPr>
                <w:sz w:val="20"/>
                <w:szCs w:val="20"/>
              </w:rPr>
            </w:pPr>
            <w:r>
              <w:rPr>
                <w:b/>
                <w:bCs/>
                <w:spacing w:val="-3"/>
                <w:position w:val="-3"/>
                <w:sz w:val="20"/>
                <w:szCs w:val="20"/>
              </w:rPr>
              <w:t>D</w:t>
            </w:r>
          </w:p>
        </w:tc>
      </w:tr>
      <w:tr w14:paraId="7A44CA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4" w:hRule="atLeast"/>
        </w:trPr>
        <w:tc>
          <w:tcPr>
            <w:tcW w:w="733" w:type="dxa"/>
            <w:tcBorders>
              <w:top w:val="single" w:color="000000" w:sz="2" w:space="0"/>
              <w:bottom w:val="single" w:color="000000" w:sz="2" w:space="0"/>
            </w:tcBorders>
            <w:vAlign w:val="top"/>
          </w:tcPr>
          <w:p w14:paraId="288C7765">
            <w:pPr>
              <w:pStyle w:val="6"/>
              <w:spacing w:before="33" w:line="214" w:lineRule="auto"/>
              <w:ind w:left="84"/>
              <w:rPr>
                <w:sz w:val="18"/>
                <w:szCs w:val="18"/>
              </w:rPr>
            </w:pPr>
            <w:r>
              <w:rPr>
                <w:spacing w:val="-2"/>
                <w:sz w:val="18"/>
                <w:szCs w:val="18"/>
              </w:rPr>
              <w:t>信息处</w:t>
            </w:r>
          </w:p>
          <w:p w14:paraId="0F10A426">
            <w:pPr>
              <w:pStyle w:val="6"/>
              <w:spacing w:line="185" w:lineRule="auto"/>
              <w:ind w:left="84"/>
            </w:pPr>
            <w:r>
              <w:rPr>
                <w:spacing w:val="12"/>
              </w:rPr>
              <w:t>理基本</w:t>
            </w:r>
          </w:p>
          <w:p w14:paraId="5D7FBA9B">
            <w:pPr>
              <w:pStyle w:val="6"/>
              <w:spacing w:line="196" w:lineRule="auto"/>
              <w:ind w:left="174"/>
            </w:pPr>
            <w:r>
              <w:rPr>
                <w:spacing w:val="13"/>
              </w:rPr>
              <w:t>流程</w:t>
            </w:r>
          </w:p>
        </w:tc>
        <w:tc>
          <w:tcPr>
            <w:tcW w:w="2484" w:type="dxa"/>
            <w:tcBorders>
              <w:top w:val="single" w:color="000000" w:sz="2" w:space="0"/>
              <w:bottom w:val="single" w:color="000000" w:sz="2" w:space="0"/>
            </w:tcBorders>
            <w:vAlign w:val="top"/>
          </w:tcPr>
          <w:p w14:paraId="1B0418B5">
            <w:pPr>
              <w:pStyle w:val="6"/>
              <w:spacing w:before="202" w:line="219" w:lineRule="auto"/>
              <w:ind w:left="12"/>
              <w:rPr>
                <w:sz w:val="20"/>
                <w:szCs w:val="20"/>
              </w:rPr>
            </w:pPr>
            <w:r>
              <w:rPr>
                <w:sz w:val="20"/>
                <w:szCs w:val="20"/>
              </w:rPr>
              <w:t>1.信息处理的基本流程</w:t>
            </w:r>
          </w:p>
        </w:tc>
        <w:tc>
          <w:tcPr>
            <w:tcW w:w="230" w:type="dxa"/>
            <w:tcBorders>
              <w:top w:val="single" w:color="000000" w:sz="2" w:space="0"/>
              <w:bottom w:val="single" w:color="000000" w:sz="2" w:space="0"/>
            </w:tcBorders>
            <w:vAlign w:val="top"/>
          </w:tcPr>
          <w:p w14:paraId="473AFE48">
            <w:pPr>
              <w:rPr>
                <w:rFonts w:ascii="Arial"/>
                <w:sz w:val="21"/>
              </w:rPr>
            </w:pPr>
          </w:p>
        </w:tc>
        <w:tc>
          <w:tcPr>
            <w:tcW w:w="229" w:type="dxa"/>
            <w:tcBorders>
              <w:top w:val="single" w:color="000000" w:sz="2" w:space="0"/>
              <w:bottom w:val="single" w:color="000000" w:sz="2" w:space="0"/>
            </w:tcBorders>
            <w:vAlign w:val="top"/>
          </w:tcPr>
          <w:p w14:paraId="4E60D6CB">
            <w:pPr>
              <w:pStyle w:val="6"/>
              <w:spacing w:before="252" w:line="238" w:lineRule="auto"/>
              <w:ind w:left="18"/>
              <w:rPr>
                <w:sz w:val="12"/>
                <w:szCs w:val="12"/>
              </w:rPr>
            </w:pPr>
            <w:r>
              <w:rPr>
                <w:sz w:val="12"/>
                <w:szCs w:val="12"/>
              </w:rPr>
              <w:t>√</w:t>
            </w:r>
          </w:p>
        </w:tc>
        <w:tc>
          <w:tcPr>
            <w:tcW w:w="219" w:type="dxa"/>
            <w:tcBorders>
              <w:top w:val="single" w:color="000000" w:sz="2" w:space="0"/>
              <w:bottom w:val="single" w:color="000000" w:sz="2" w:space="0"/>
            </w:tcBorders>
            <w:vAlign w:val="top"/>
          </w:tcPr>
          <w:p w14:paraId="0350AB4B">
            <w:pPr>
              <w:rPr>
                <w:rFonts w:ascii="Arial"/>
                <w:sz w:val="21"/>
              </w:rPr>
            </w:pPr>
          </w:p>
        </w:tc>
        <w:tc>
          <w:tcPr>
            <w:tcW w:w="255" w:type="dxa"/>
            <w:tcBorders>
              <w:top w:val="single" w:color="000000" w:sz="2" w:space="0"/>
              <w:bottom w:val="single" w:color="000000" w:sz="2" w:space="0"/>
            </w:tcBorders>
            <w:vAlign w:val="top"/>
          </w:tcPr>
          <w:p w14:paraId="708EA418">
            <w:pPr>
              <w:rPr>
                <w:rFonts w:ascii="Arial"/>
                <w:sz w:val="21"/>
              </w:rPr>
            </w:pPr>
          </w:p>
        </w:tc>
      </w:tr>
      <w:tr w14:paraId="2DC803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762" w:hRule="atLeast"/>
        </w:trPr>
        <w:tc>
          <w:tcPr>
            <w:tcW w:w="733" w:type="dxa"/>
            <w:tcBorders>
              <w:top w:val="single" w:color="000000" w:sz="2" w:space="0"/>
              <w:bottom w:val="single" w:color="000000" w:sz="2" w:space="0"/>
            </w:tcBorders>
            <w:vAlign w:val="top"/>
          </w:tcPr>
          <w:p w14:paraId="380011E8">
            <w:pPr>
              <w:spacing w:line="263" w:lineRule="auto"/>
              <w:rPr>
                <w:rFonts w:ascii="Arial"/>
                <w:sz w:val="21"/>
              </w:rPr>
            </w:pPr>
          </w:p>
          <w:p w14:paraId="69CA057F">
            <w:pPr>
              <w:spacing w:line="263" w:lineRule="auto"/>
              <w:rPr>
                <w:rFonts w:ascii="Arial"/>
                <w:sz w:val="21"/>
              </w:rPr>
            </w:pPr>
          </w:p>
          <w:p w14:paraId="64906A8C">
            <w:pPr>
              <w:pStyle w:val="6"/>
              <w:spacing w:before="65" w:line="203" w:lineRule="auto"/>
              <w:ind w:left="55"/>
              <w:rPr>
                <w:sz w:val="20"/>
                <w:szCs w:val="20"/>
              </w:rPr>
            </w:pPr>
            <w:r>
              <w:rPr>
                <w:spacing w:val="5"/>
                <w:sz w:val="20"/>
                <w:szCs w:val="20"/>
              </w:rPr>
              <w:t>信息的</w:t>
            </w:r>
          </w:p>
          <w:p w14:paraId="454AFEF8">
            <w:pPr>
              <w:pStyle w:val="6"/>
              <w:spacing w:line="202" w:lineRule="auto"/>
              <w:ind w:left="55"/>
              <w:rPr>
                <w:sz w:val="20"/>
                <w:szCs w:val="20"/>
              </w:rPr>
            </w:pPr>
            <w:r>
              <w:rPr>
                <w:spacing w:val="5"/>
                <w:sz w:val="20"/>
                <w:szCs w:val="20"/>
              </w:rPr>
              <w:t>编码与</w:t>
            </w:r>
          </w:p>
          <w:p w14:paraId="3B42DB4D">
            <w:pPr>
              <w:pStyle w:val="6"/>
              <w:spacing w:line="219" w:lineRule="auto"/>
              <w:ind w:left="155"/>
              <w:rPr>
                <w:sz w:val="20"/>
                <w:szCs w:val="20"/>
              </w:rPr>
            </w:pPr>
            <w:r>
              <w:rPr>
                <w:spacing w:val="-2"/>
                <w:sz w:val="20"/>
                <w:szCs w:val="20"/>
              </w:rPr>
              <w:t>存储</w:t>
            </w:r>
          </w:p>
        </w:tc>
        <w:tc>
          <w:tcPr>
            <w:tcW w:w="2484" w:type="dxa"/>
            <w:tcBorders>
              <w:top w:val="single" w:color="000000" w:sz="2" w:space="0"/>
              <w:bottom w:val="single" w:color="000000" w:sz="2" w:space="0"/>
            </w:tcBorders>
            <w:vAlign w:val="top"/>
          </w:tcPr>
          <w:p w14:paraId="31793AE4">
            <w:pPr>
              <w:pStyle w:val="6"/>
              <w:spacing w:before="64" w:line="193" w:lineRule="auto"/>
              <w:ind w:left="12" w:right="1251"/>
              <w:rPr>
                <w:sz w:val="20"/>
                <w:szCs w:val="20"/>
              </w:rPr>
            </w:pPr>
            <w:r>
              <w:rPr>
                <w:spacing w:val="1"/>
                <w:sz w:val="20"/>
                <w:szCs w:val="20"/>
              </w:rPr>
              <w:t>1.数制及转换</w:t>
            </w:r>
            <w:r>
              <w:rPr>
                <w:sz w:val="20"/>
                <w:szCs w:val="20"/>
              </w:rPr>
              <w:t xml:space="preserve"> </w:t>
            </w:r>
            <w:r>
              <w:rPr>
                <w:spacing w:val="1"/>
                <w:sz w:val="20"/>
                <w:szCs w:val="20"/>
              </w:rPr>
              <w:t>2.信息的编码</w:t>
            </w:r>
          </w:p>
          <w:p w14:paraId="2D90400B">
            <w:pPr>
              <w:pStyle w:val="6"/>
              <w:spacing w:line="193" w:lineRule="auto"/>
              <w:ind w:left="12"/>
              <w:rPr>
                <w:sz w:val="20"/>
                <w:szCs w:val="20"/>
              </w:rPr>
            </w:pPr>
            <w:r>
              <w:rPr>
                <w:spacing w:val="-5"/>
                <w:sz w:val="20"/>
                <w:szCs w:val="20"/>
              </w:rPr>
              <w:t>①</w:t>
            </w:r>
            <w:r>
              <w:rPr>
                <w:spacing w:val="-39"/>
                <w:sz w:val="20"/>
                <w:szCs w:val="20"/>
              </w:rPr>
              <w:t xml:space="preserve"> </w:t>
            </w:r>
            <w:r>
              <w:rPr>
                <w:spacing w:val="-5"/>
                <w:sz w:val="20"/>
                <w:szCs w:val="20"/>
              </w:rPr>
              <w:t>B</w:t>
            </w:r>
            <w:r>
              <w:rPr>
                <w:spacing w:val="-40"/>
                <w:sz w:val="20"/>
                <w:szCs w:val="20"/>
              </w:rPr>
              <w:t xml:space="preserve"> </w:t>
            </w:r>
            <w:r>
              <w:rPr>
                <w:spacing w:val="-5"/>
                <w:sz w:val="20"/>
                <w:szCs w:val="20"/>
              </w:rPr>
              <w:t>C</w:t>
            </w:r>
            <w:r>
              <w:rPr>
                <w:spacing w:val="-42"/>
                <w:sz w:val="20"/>
                <w:szCs w:val="20"/>
              </w:rPr>
              <w:t xml:space="preserve"> </w:t>
            </w:r>
            <w:r>
              <w:rPr>
                <w:spacing w:val="-5"/>
                <w:sz w:val="20"/>
                <w:szCs w:val="20"/>
              </w:rPr>
              <w:t>D</w:t>
            </w:r>
            <w:r>
              <w:rPr>
                <w:spacing w:val="-38"/>
                <w:sz w:val="20"/>
                <w:szCs w:val="20"/>
              </w:rPr>
              <w:t xml:space="preserve"> </w:t>
            </w:r>
            <w:r>
              <w:rPr>
                <w:spacing w:val="-5"/>
                <w:sz w:val="20"/>
                <w:szCs w:val="20"/>
              </w:rPr>
              <w:t>码</w:t>
            </w:r>
          </w:p>
          <w:p w14:paraId="14AC4550">
            <w:pPr>
              <w:pStyle w:val="6"/>
              <w:spacing w:line="212" w:lineRule="auto"/>
              <w:ind w:left="12"/>
              <w:rPr>
                <w:sz w:val="20"/>
                <w:szCs w:val="20"/>
              </w:rPr>
            </w:pPr>
            <w:r>
              <w:rPr>
                <w:spacing w:val="-1"/>
                <w:sz w:val="20"/>
                <w:szCs w:val="20"/>
              </w:rPr>
              <w:t>②ASCII码</w:t>
            </w:r>
          </w:p>
          <w:p w14:paraId="68B8B838">
            <w:pPr>
              <w:pStyle w:val="6"/>
              <w:spacing w:line="193" w:lineRule="auto"/>
              <w:ind w:left="12"/>
              <w:rPr>
                <w:sz w:val="20"/>
                <w:szCs w:val="20"/>
              </w:rPr>
            </w:pPr>
            <w:r>
              <w:rPr>
                <w:spacing w:val="-1"/>
                <w:sz w:val="20"/>
                <w:szCs w:val="20"/>
              </w:rPr>
              <w:t>③汉字编码</w:t>
            </w:r>
          </w:p>
          <w:p w14:paraId="5B1D1CF8">
            <w:pPr>
              <w:pStyle w:val="6"/>
              <w:spacing w:line="202" w:lineRule="auto"/>
              <w:ind w:left="12"/>
              <w:rPr>
                <w:sz w:val="20"/>
                <w:szCs w:val="20"/>
              </w:rPr>
            </w:pPr>
            <w:r>
              <w:rPr>
                <w:spacing w:val="14"/>
                <w:w w:val="116"/>
                <w:sz w:val="20"/>
                <w:szCs w:val="20"/>
              </w:rPr>
              <w:t>④UNICODE码</w:t>
            </w:r>
          </w:p>
          <w:p w14:paraId="286E11F2">
            <w:pPr>
              <w:pStyle w:val="6"/>
              <w:spacing w:before="1" w:line="194" w:lineRule="auto"/>
              <w:ind w:left="12" w:right="952"/>
              <w:rPr>
                <w:sz w:val="19"/>
                <w:szCs w:val="19"/>
              </w:rPr>
            </w:pPr>
            <w:r>
              <w:rPr>
                <w:spacing w:val="10"/>
                <w:sz w:val="19"/>
                <w:szCs w:val="19"/>
              </w:rPr>
              <w:t>⑤条形码/二维码</w:t>
            </w:r>
            <w:r>
              <w:rPr>
                <w:spacing w:val="3"/>
                <w:sz w:val="19"/>
                <w:szCs w:val="19"/>
              </w:rPr>
              <w:t xml:space="preserve"> </w:t>
            </w:r>
            <w:r>
              <w:rPr>
                <w:spacing w:val="9"/>
                <w:sz w:val="19"/>
                <w:szCs w:val="19"/>
              </w:rPr>
              <w:t>3.信息的存储</w:t>
            </w:r>
          </w:p>
        </w:tc>
        <w:tc>
          <w:tcPr>
            <w:tcW w:w="230" w:type="dxa"/>
            <w:tcBorders>
              <w:top w:val="single" w:color="000000" w:sz="2" w:space="0"/>
              <w:bottom w:val="single" w:color="000000" w:sz="2" w:space="0"/>
            </w:tcBorders>
            <w:vAlign w:val="top"/>
          </w:tcPr>
          <w:p w14:paraId="27D505B4">
            <w:pPr>
              <w:rPr>
                <w:rFonts w:ascii="Arial"/>
                <w:sz w:val="21"/>
              </w:rPr>
            </w:pPr>
          </w:p>
        </w:tc>
        <w:tc>
          <w:tcPr>
            <w:tcW w:w="229" w:type="dxa"/>
            <w:tcBorders>
              <w:top w:val="single" w:color="000000" w:sz="2" w:space="0"/>
              <w:bottom w:val="single" w:color="000000" w:sz="2" w:space="0"/>
            </w:tcBorders>
            <w:vAlign w:val="top"/>
          </w:tcPr>
          <w:p w14:paraId="07E6C0F2">
            <w:pPr>
              <w:rPr>
                <w:rFonts w:ascii="Arial"/>
                <w:sz w:val="21"/>
              </w:rPr>
            </w:pPr>
          </w:p>
        </w:tc>
        <w:tc>
          <w:tcPr>
            <w:tcW w:w="219" w:type="dxa"/>
            <w:tcBorders>
              <w:top w:val="single" w:color="000000" w:sz="2" w:space="0"/>
              <w:bottom w:val="single" w:color="000000" w:sz="2" w:space="0"/>
            </w:tcBorders>
            <w:vAlign w:val="top"/>
          </w:tcPr>
          <w:p w14:paraId="4310674C">
            <w:pPr>
              <w:pStyle w:val="6"/>
              <w:spacing w:before="63" w:line="238" w:lineRule="auto"/>
              <w:ind w:left="49"/>
              <w:rPr>
                <w:sz w:val="12"/>
                <w:szCs w:val="12"/>
              </w:rPr>
            </w:pPr>
            <w:r>
              <w:rPr>
                <w:sz w:val="12"/>
                <w:szCs w:val="12"/>
              </w:rPr>
              <w:t>√</w:t>
            </w:r>
          </w:p>
        </w:tc>
        <w:tc>
          <w:tcPr>
            <w:tcW w:w="255" w:type="dxa"/>
            <w:tcBorders>
              <w:top w:val="single" w:color="000000" w:sz="2" w:space="0"/>
              <w:bottom w:val="single" w:color="000000" w:sz="2" w:space="0"/>
            </w:tcBorders>
            <w:vAlign w:val="top"/>
          </w:tcPr>
          <w:p w14:paraId="00C882EF">
            <w:pPr>
              <w:rPr>
                <w:rFonts w:ascii="Arial"/>
                <w:sz w:val="21"/>
              </w:rPr>
            </w:pPr>
          </w:p>
        </w:tc>
      </w:tr>
      <w:tr w14:paraId="0963AD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71" w:hRule="atLeast"/>
        </w:trPr>
        <w:tc>
          <w:tcPr>
            <w:tcW w:w="733" w:type="dxa"/>
            <w:tcBorders>
              <w:top w:val="single" w:color="000000" w:sz="2" w:space="0"/>
              <w:bottom w:val="single" w:color="000000" w:sz="2" w:space="0"/>
            </w:tcBorders>
            <w:vAlign w:val="top"/>
          </w:tcPr>
          <w:p w14:paraId="5C6F335F">
            <w:pPr>
              <w:pStyle w:val="6"/>
              <w:spacing w:before="246" w:line="222" w:lineRule="auto"/>
              <w:ind w:left="155" w:right="153"/>
              <w:rPr>
                <w:sz w:val="20"/>
                <w:szCs w:val="20"/>
              </w:rPr>
            </w:pPr>
            <w:r>
              <w:rPr>
                <w:spacing w:val="7"/>
                <w:sz w:val="20"/>
                <w:szCs w:val="20"/>
              </w:rPr>
              <w:t>信息</w:t>
            </w:r>
            <w:r>
              <w:rPr>
                <w:sz w:val="20"/>
                <w:szCs w:val="20"/>
              </w:rPr>
              <w:t xml:space="preserve"> </w:t>
            </w:r>
            <w:r>
              <w:rPr>
                <w:spacing w:val="4"/>
                <w:sz w:val="20"/>
                <w:szCs w:val="20"/>
              </w:rPr>
              <w:t>安全</w:t>
            </w:r>
          </w:p>
        </w:tc>
        <w:tc>
          <w:tcPr>
            <w:tcW w:w="2484" w:type="dxa"/>
            <w:tcBorders>
              <w:top w:val="single" w:color="000000" w:sz="2" w:space="0"/>
              <w:bottom w:val="single" w:color="000000" w:sz="2" w:space="0"/>
            </w:tcBorders>
            <w:vAlign w:val="top"/>
          </w:tcPr>
          <w:p w14:paraId="2B122981">
            <w:pPr>
              <w:pStyle w:val="6"/>
              <w:spacing w:before="46" w:line="194" w:lineRule="auto"/>
              <w:ind w:left="12" w:right="454"/>
              <w:rPr>
                <w:sz w:val="20"/>
                <w:szCs w:val="20"/>
              </w:rPr>
            </w:pPr>
            <w:r>
              <w:rPr>
                <w:sz w:val="20"/>
                <w:szCs w:val="20"/>
              </w:rPr>
              <w:t>1.信息安全的基本属性</w:t>
            </w:r>
            <w:r>
              <w:rPr>
                <w:spacing w:val="6"/>
                <w:sz w:val="20"/>
                <w:szCs w:val="20"/>
              </w:rPr>
              <w:t xml:space="preserve"> </w:t>
            </w:r>
            <w:r>
              <w:rPr>
                <w:spacing w:val="-1"/>
                <w:sz w:val="20"/>
                <w:szCs w:val="20"/>
              </w:rPr>
              <w:t>2.信息系统的安全风险</w:t>
            </w:r>
          </w:p>
          <w:p w14:paraId="19FF10CB">
            <w:pPr>
              <w:pStyle w:val="6"/>
              <w:spacing w:before="1" w:line="181" w:lineRule="auto"/>
              <w:ind w:left="12" w:right="73"/>
              <w:rPr>
                <w:sz w:val="20"/>
                <w:szCs w:val="20"/>
              </w:rPr>
            </w:pPr>
            <w:r>
              <w:rPr>
                <w:spacing w:val="-1"/>
                <w:sz w:val="20"/>
                <w:szCs w:val="20"/>
              </w:rPr>
              <w:t>3.常见信息系统的恶意攻击</w:t>
            </w:r>
            <w:r>
              <w:rPr>
                <w:sz w:val="20"/>
                <w:szCs w:val="20"/>
              </w:rPr>
              <w:t xml:space="preserve"> </w:t>
            </w:r>
            <w:r>
              <w:rPr>
                <w:spacing w:val="-1"/>
                <w:sz w:val="20"/>
                <w:szCs w:val="20"/>
              </w:rPr>
              <w:t>4.常用信息安全技术</w:t>
            </w:r>
          </w:p>
        </w:tc>
        <w:tc>
          <w:tcPr>
            <w:tcW w:w="230" w:type="dxa"/>
            <w:tcBorders>
              <w:top w:val="single" w:color="000000" w:sz="2" w:space="0"/>
              <w:bottom w:val="single" w:color="000000" w:sz="2" w:space="0"/>
            </w:tcBorders>
            <w:vAlign w:val="top"/>
          </w:tcPr>
          <w:p w14:paraId="735BFFDD">
            <w:pPr>
              <w:rPr>
                <w:rFonts w:ascii="Arial"/>
                <w:sz w:val="21"/>
              </w:rPr>
            </w:pPr>
          </w:p>
        </w:tc>
        <w:tc>
          <w:tcPr>
            <w:tcW w:w="229" w:type="dxa"/>
            <w:tcBorders>
              <w:top w:val="single" w:color="000000" w:sz="2" w:space="0"/>
              <w:bottom w:val="single" w:color="000000" w:sz="2" w:space="0"/>
            </w:tcBorders>
            <w:vAlign w:val="top"/>
          </w:tcPr>
          <w:p w14:paraId="2F776DCE">
            <w:pPr>
              <w:rPr>
                <w:rFonts w:ascii="Arial"/>
                <w:sz w:val="21"/>
              </w:rPr>
            </w:pPr>
          </w:p>
        </w:tc>
        <w:tc>
          <w:tcPr>
            <w:tcW w:w="219" w:type="dxa"/>
            <w:tcBorders>
              <w:top w:val="single" w:color="000000" w:sz="2" w:space="0"/>
              <w:bottom w:val="single" w:color="000000" w:sz="2" w:space="0"/>
            </w:tcBorders>
            <w:vAlign w:val="top"/>
          </w:tcPr>
          <w:p w14:paraId="3BF7907C">
            <w:pPr>
              <w:rPr>
                <w:rFonts w:ascii="Arial"/>
                <w:sz w:val="21"/>
              </w:rPr>
            </w:pPr>
          </w:p>
        </w:tc>
        <w:tc>
          <w:tcPr>
            <w:tcW w:w="255" w:type="dxa"/>
            <w:tcBorders>
              <w:top w:val="single" w:color="000000" w:sz="2" w:space="0"/>
              <w:bottom w:val="single" w:color="000000" w:sz="2" w:space="0"/>
            </w:tcBorders>
            <w:vAlign w:val="top"/>
          </w:tcPr>
          <w:p w14:paraId="23088B0D">
            <w:pPr>
              <w:rPr>
                <w:rFonts w:ascii="Arial"/>
                <w:sz w:val="21"/>
              </w:rPr>
            </w:pPr>
          </w:p>
        </w:tc>
      </w:tr>
    </w:tbl>
    <w:p w14:paraId="5D7A591D">
      <w:pPr>
        <w:spacing w:before="124" w:line="223" w:lineRule="auto"/>
        <w:ind w:left="425"/>
        <w:rPr>
          <w:rFonts w:ascii="宋体" w:hAnsi="宋体" w:eastAsia="宋体" w:cs="宋体"/>
          <w:sz w:val="17"/>
          <w:szCs w:val="17"/>
        </w:rPr>
      </w:pPr>
      <w:r>
        <w:rPr>
          <w:rFonts w:ascii="楷体" w:hAnsi="楷体" w:eastAsia="楷体" w:cs="楷体"/>
          <w:spacing w:val="4"/>
          <w:sz w:val="17"/>
          <w:szCs w:val="17"/>
        </w:rPr>
        <w:t>(二)操作系统的使用</w:t>
      </w:r>
      <w:r>
        <w:rPr>
          <w:rFonts w:ascii="楷体" w:hAnsi="楷体" w:eastAsia="楷体" w:cs="楷体"/>
          <w:spacing w:val="-32"/>
          <w:sz w:val="17"/>
          <w:szCs w:val="17"/>
        </w:rPr>
        <w:t xml:space="preserve"> </w:t>
      </w:r>
      <w:r>
        <w:rPr>
          <w:rFonts w:ascii="宋体" w:hAnsi="宋体" w:eastAsia="宋体" w:cs="宋体"/>
          <w:spacing w:val="4"/>
          <w:sz w:val="17"/>
          <w:szCs w:val="17"/>
        </w:rPr>
        <w:t>(</w:t>
      </w:r>
      <w:r>
        <w:rPr>
          <w:rFonts w:ascii="宋体" w:hAnsi="宋体" w:eastAsia="宋体" w:cs="宋体"/>
          <w:sz w:val="17"/>
          <w:szCs w:val="17"/>
        </w:rPr>
        <w:t>Windows</w:t>
      </w:r>
      <w:r>
        <w:rPr>
          <w:rFonts w:ascii="宋体" w:hAnsi="宋体" w:eastAsia="宋体" w:cs="宋体"/>
          <w:spacing w:val="39"/>
          <w:sz w:val="17"/>
          <w:szCs w:val="17"/>
        </w:rPr>
        <w:t xml:space="preserve">  </w:t>
      </w:r>
      <w:r>
        <w:rPr>
          <w:rFonts w:ascii="宋体" w:hAnsi="宋体" w:eastAsia="宋体" w:cs="宋体"/>
          <w:spacing w:val="4"/>
          <w:sz w:val="17"/>
          <w:szCs w:val="17"/>
        </w:rPr>
        <w:t>10)</w:t>
      </w:r>
    </w:p>
    <w:p w14:paraId="1E135D0B">
      <w:pPr>
        <w:spacing w:line="106" w:lineRule="exact"/>
      </w:pPr>
    </w:p>
    <w:tbl>
      <w:tblPr>
        <w:tblStyle w:val="5"/>
        <w:tblW w:w="413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23"/>
        <w:gridCol w:w="2484"/>
        <w:gridCol w:w="239"/>
        <w:gridCol w:w="220"/>
        <w:gridCol w:w="229"/>
        <w:gridCol w:w="235"/>
      </w:tblGrid>
      <w:tr w14:paraId="04D863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4" w:hRule="atLeast"/>
        </w:trPr>
        <w:tc>
          <w:tcPr>
            <w:tcW w:w="723" w:type="dxa"/>
            <w:vMerge w:val="restart"/>
            <w:tcBorders>
              <w:bottom w:val="nil"/>
            </w:tcBorders>
            <w:vAlign w:val="top"/>
          </w:tcPr>
          <w:p w14:paraId="776AEAF4">
            <w:pPr>
              <w:pStyle w:val="6"/>
              <w:spacing w:before="20" w:line="230" w:lineRule="auto"/>
              <w:ind w:left="96" w:right="25" w:hanging="79"/>
            </w:pPr>
            <w:r>
              <w:rPr>
                <w:b/>
                <w:bCs/>
                <w:spacing w:val="-5"/>
              </w:rPr>
              <w:t>知识与技</w:t>
            </w:r>
            <w:r>
              <w:rPr>
                <w:spacing w:val="1"/>
              </w:rPr>
              <w:t xml:space="preserve"> </w:t>
            </w:r>
            <w:r>
              <w:rPr>
                <w:b/>
                <w:bCs/>
                <w:spacing w:val="1"/>
              </w:rPr>
              <w:t>能要点</w:t>
            </w:r>
          </w:p>
        </w:tc>
        <w:tc>
          <w:tcPr>
            <w:tcW w:w="2484" w:type="dxa"/>
            <w:vMerge w:val="restart"/>
            <w:tcBorders>
              <w:bottom w:val="nil"/>
            </w:tcBorders>
            <w:vAlign w:val="top"/>
          </w:tcPr>
          <w:p w14:paraId="4B1B8AA5">
            <w:pPr>
              <w:pStyle w:val="6"/>
              <w:spacing w:before="139" w:line="219" w:lineRule="auto"/>
              <w:ind w:left="934"/>
            </w:pPr>
            <w:r>
              <w:rPr>
                <w:b/>
                <w:bCs/>
                <w:spacing w:val="5"/>
              </w:rPr>
              <w:t>考试条目</w:t>
            </w:r>
          </w:p>
        </w:tc>
        <w:tc>
          <w:tcPr>
            <w:tcW w:w="923" w:type="dxa"/>
            <w:gridSpan w:val="4"/>
            <w:vAlign w:val="top"/>
          </w:tcPr>
          <w:p w14:paraId="57DFE4C0">
            <w:pPr>
              <w:pStyle w:val="6"/>
              <w:spacing w:before="28" w:line="201" w:lineRule="auto"/>
              <w:ind w:left="140"/>
            </w:pPr>
            <w:r>
              <w:rPr>
                <w:b/>
                <w:bCs/>
                <w:spacing w:val="-4"/>
              </w:rPr>
              <w:t>考试水平</w:t>
            </w:r>
          </w:p>
        </w:tc>
      </w:tr>
      <w:tr w14:paraId="52F075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0" w:hRule="atLeast"/>
        </w:trPr>
        <w:tc>
          <w:tcPr>
            <w:tcW w:w="723" w:type="dxa"/>
            <w:vMerge w:val="continue"/>
            <w:tcBorders>
              <w:top w:val="nil"/>
            </w:tcBorders>
            <w:vAlign w:val="top"/>
          </w:tcPr>
          <w:p w14:paraId="6F5452E3">
            <w:pPr>
              <w:rPr>
                <w:rFonts w:ascii="Arial"/>
                <w:sz w:val="21"/>
              </w:rPr>
            </w:pPr>
          </w:p>
        </w:tc>
        <w:tc>
          <w:tcPr>
            <w:tcW w:w="2484" w:type="dxa"/>
            <w:vMerge w:val="continue"/>
            <w:tcBorders>
              <w:top w:val="nil"/>
            </w:tcBorders>
            <w:vAlign w:val="top"/>
          </w:tcPr>
          <w:p w14:paraId="189ED8BC">
            <w:pPr>
              <w:rPr>
                <w:rFonts w:ascii="Arial"/>
                <w:sz w:val="21"/>
              </w:rPr>
            </w:pPr>
          </w:p>
        </w:tc>
        <w:tc>
          <w:tcPr>
            <w:tcW w:w="239" w:type="dxa"/>
            <w:vAlign w:val="top"/>
          </w:tcPr>
          <w:p w14:paraId="240E7EF5">
            <w:pPr>
              <w:pStyle w:val="6"/>
              <w:spacing w:before="70" w:line="140" w:lineRule="exact"/>
              <w:ind w:left="30"/>
            </w:pPr>
            <w:r>
              <w:rPr>
                <w:b/>
                <w:bCs/>
                <w:spacing w:val="-2"/>
                <w:position w:val="-2"/>
              </w:rPr>
              <w:t>A</w:t>
            </w:r>
          </w:p>
        </w:tc>
        <w:tc>
          <w:tcPr>
            <w:tcW w:w="220" w:type="dxa"/>
            <w:vAlign w:val="top"/>
          </w:tcPr>
          <w:p w14:paraId="78AD5706">
            <w:pPr>
              <w:pStyle w:val="6"/>
              <w:spacing w:before="72" w:line="138" w:lineRule="exact"/>
              <w:ind w:left="31"/>
            </w:pPr>
            <w:r>
              <w:rPr>
                <w:b/>
                <w:bCs/>
                <w:spacing w:val="-2"/>
                <w:position w:val="-2"/>
              </w:rPr>
              <w:t>B</w:t>
            </w:r>
          </w:p>
        </w:tc>
        <w:tc>
          <w:tcPr>
            <w:tcW w:w="229" w:type="dxa"/>
            <w:vAlign w:val="top"/>
          </w:tcPr>
          <w:p w14:paraId="321BC786">
            <w:pPr>
              <w:pStyle w:val="6"/>
              <w:spacing w:before="71" w:line="138" w:lineRule="exact"/>
              <w:ind w:left="39"/>
            </w:pPr>
            <w:r>
              <w:rPr>
                <w:position w:val="-2"/>
              </w:rPr>
              <w:t>C</w:t>
            </w:r>
          </w:p>
        </w:tc>
        <w:tc>
          <w:tcPr>
            <w:tcW w:w="235" w:type="dxa"/>
            <w:vAlign w:val="top"/>
          </w:tcPr>
          <w:p w14:paraId="66E96517">
            <w:pPr>
              <w:pStyle w:val="6"/>
              <w:spacing w:before="72" w:line="138" w:lineRule="exact"/>
              <w:ind w:left="42"/>
            </w:pPr>
            <w:r>
              <w:rPr>
                <w:b/>
                <w:bCs/>
                <w:spacing w:val="-2"/>
                <w:position w:val="-2"/>
              </w:rPr>
              <w:t>D</w:t>
            </w:r>
          </w:p>
        </w:tc>
      </w:tr>
      <w:tr w14:paraId="66052E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79" w:hRule="atLeast"/>
        </w:trPr>
        <w:tc>
          <w:tcPr>
            <w:tcW w:w="723" w:type="dxa"/>
            <w:vAlign w:val="top"/>
          </w:tcPr>
          <w:p w14:paraId="3B898B9E">
            <w:pPr>
              <w:pStyle w:val="6"/>
              <w:spacing w:before="246" w:line="247" w:lineRule="auto"/>
              <w:ind w:left="94" w:right="92"/>
            </w:pPr>
            <w:r>
              <w:rPr>
                <w:spacing w:val="5"/>
              </w:rPr>
              <w:t>操作系</w:t>
            </w:r>
            <w:r>
              <w:t xml:space="preserve"> </w:t>
            </w:r>
            <w:r>
              <w:rPr>
                <w:spacing w:val="3"/>
              </w:rPr>
              <w:t>统简介</w:t>
            </w:r>
          </w:p>
        </w:tc>
        <w:tc>
          <w:tcPr>
            <w:tcW w:w="2484" w:type="dxa"/>
            <w:vAlign w:val="top"/>
          </w:tcPr>
          <w:p w14:paraId="57820D75">
            <w:pPr>
              <w:pStyle w:val="6"/>
              <w:spacing w:before="29" w:line="228" w:lineRule="auto"/>
              <w:ind w:left="241" w:right="856"/>
              <w:jc w:val="both"/>
            </w:pPr>
            <w:r>
              <w:t>1.操作系统的概念</w:t>
            </w:r>
            <w:r>
              <w:rPr>
                <w:spacing w:val="6"/>
              </w:rPr>
              <w:t xml:space="preserve"> </w:t>
            </w:r>
            <w:r>
              <w:rPr>
                <w:spacing w:val="1"/>
              </w:rPr>
              <w:t>2.操作系统的特点</w:t>
            </w:r>
            <w:r>
              <w:rPr>
                <w:spacing w:val="5"/>
              </w:rPr>
              <w:t xml:space="preserve"> </w:t>
            </w:r>
            <w:r>
              <w:rPr>
                <w:spacing w:val="-2"/>
              </w:rPr>
              <w:t>3.操作系统的功能</w:t>
            </w:r>
            <w:r>
              <w:rPr>
                <w:spacing w:val="6"/>
              </w:rPr>
              <w:t xml:space="preserve"> </w:t>
            </w:r>
            <w:r>
              <w:rPr>
                <w:spacing w:val="-1"/>
              </w:rPr>
              <w:t>4.操作系统的类型</w:t>
            </w:r>
          </w:p>
        </w:tc>
        <w:tc>
          <w:tcPr>
            <w:tcW w:w="239" w:type="dxa"/>
            <w:vAlign w:val="top"/>
          </w:tcPr>
          <w:p w14:paraId="0666A213">
            <w:pPr>
              <w:rPr>
                <w:rFonts w:ascii="Arial"/>
                <w:sz w:val="21"/>
              </w:rPr>
            </w:pPr>
          </w:p>
        </w:tc>
        <w:tc>
          <w:tcPr>
            <w:tcW w:w="220" w:type="dxa"/>
            <w:vAlign w:val="top"/>
          </w:tcPr>
          <w:p w14:paraId="5D8ACD41">
            <w:pPr>
              <w:rPr>
                <w:rFonts w:ascii="Arial"/>
                <w:sz w:val="21"/>
              </w:rPr>
            </w:pPr>
          </w:p>
        </w:tc>
        <w:tc>
          <w:tcPr>
            <w:tcW w:w="229" w:type="dxa"/>
            <w:vAlign w:val="top"/>
          </w:tcPr>
          <w:p w14:paraId="2111E5CE">
            <w:pPr>
              <w:rPr>
                <w:rFonts w:ascii="Arial"/>
                <w:sz w:val="21"/>
              </w:rPr>
            </w:pPr>
          </w:p>
        </w:tc>
        <w:tc>
          <w:tcPr>
            <w:tcW w:w="235" w:type="dxa"/>
            <w:vAlign w:val="top"/>
          </w:tcPr>
          <w:p w14:paraId="27DB8B26">
            <w:pPr>
              <w:rPr>
                <w:rFonts w:ascii="Arial"/>
                <w:sz w:val="21"/>
              </w:rPr>
            </w:pPr>
          </w:p>
        </w:tc>
      </w:tr>
      <w:tr w14:paraId="4A7758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17" w:hRule="atLeast"/>
        </w:trPr>
        <w:tc>
          <w:tcPr>
            <w:tcW w:w="723" w:type="dxa"/>
            <w:vAlign w:val="top"/>
          </w:tcPr>
          <w:p w14:paraId="7A3E422D">
            <w:pPr>
              <w:spacing w:line="335" w:lineRule="auto"/>
              <w:rPr>
                <w:rFonts w:ascii="Arial"/>
                <w:sz w:val="21"/>
              </w:rPr>
            </w:pPr>
          </w:p>
          <w:p w14:paraId="71E80E70">
            <w:pPr>
              <w:spacing w:line="335" w:lineRule="auto"/>
              <w:rPr>
                <w:rFonts w:ascii="Arial"/>
                <w:sz w:val="21"/>
              </w:rPr>
            </w:pPr>
          </w:p>
          <w:p w14:paraId="33F0BF89">
            <w:pPr>
              <w:pStyle w:val="6"/>
              <w:spacing w:before="55" w:line="221" w:lineRule="auto"/>
              <w:ind w:left="94"/>
            </w:pPr>
            <w:r>
              <w:rPr>
                <w:spacing w:val="6"/>
              </w:rPr>
              <w:t>图形用</w:t>
            </w:r>
          </w:p>
          <w:p w14:paraId="6773D968">
            <w:pPr>
              <w:pStyle w:val="6"/>
              <w:spacing w:before="16" w:line="220" w:lineRule="auto"/>
              <w:ind w:left="94"/>
            </w:pPr>
            <w:r>
              <w:rPr>
                <w:spacing w:val="-2"/>
              </w:rPr>
              <w:t>户界面</w:t>
            </w:r>
          </w:p>
          <w:p w14:paraId="4B88337D">
            <w:pPr>
              <w:pStyle w:val="6"/>
              <w:spacing w:before="17" w:line="219" w:lineRule="auto"/>
              <w:ind w:left="184"/>
            </w:pPr>
            <w:r>
              <w:rPr>
                <w:spacing w:val="-2"/>
              </w:rPr>
              <w:t>操作</w:t>
            </w:r>
          </w:p>
        </w:tc>
        <w:tc>
          <w:tcPr>
            <w:tcW w:w="2484" w:type="dxa"/>
            <w:vAlign w:val="top"/>
          </w:tcPr>
          <w:p w14:paraId="26C20007">
            <w:pPr>
              <w:pStyle w:val="6"/>
              <w:spacing w:before="28" w:line="236" w:lineRule="auto"/>
              <w:ind w:left="12"/>
            </w:pPr>
            <w:r>
              <w:rPr>
                <w:spacing w:val="-1"/>
              </w:rPr>
              <w:t>1.Windows10图形界面的基本元素</w:t>
            </w:r>
            <w:r>
              <w:rPr>
                <w:spacing w:val="15"/>
              </w:rPr>
              <w:t xml:space="preserve"> </w:t>
            </w:r>
            <w:r>
              <w:rPr>
                <w:spacing w:val="-1"/>
              </w:rPr>
              <w:t>2.Windows10桌面及其基本操作</w:t>
            </w:r>
          </w:p>
          <w:p w14:paraId="5A8AAC23">
            <w:pPr>
              <w:pStyle w:val="6"/>
              <w:spacing w:before="25" w:line="224" w:lineRule="auto"/>
              <w:ind w:left="22" w:right="177" w:hanging="10"/>
            </w:pPr>
            <w:r>
              <w:rPr>
                <w:spacing w:val="-1"/>
              </w:rPr>
              <w:t>3.Windows10开始菜单及其基本</w:t>
            </w:r>
            <w:r>
              <w:rPr>
                <w:spacing w:val="7"/>
              </w:rPr>
              <w:t xml:space="preserve"> </w:t>
            </w:r>
            <w:r>
              <w:rPr>
                <w:spacing w:val="-2"/>
              </w:rPr>
              <w:t>操作</w:t>
            </w:r>
          </w:p>
          <w:p w14:paraId="3779CD08">
            <w:pPr>
              <w:pStyle w:val="6"/>
              <w:spacing w:before="28" w:line="223" w:lineRule="auto"/>
              <w:ind w:left="12" w:firstLine="9"/>
            </w:pPr>
            <w:r>
              <w:rPr>
                <w:spacing w:val="-1"/>
              </w:rPr>
              <w:t>4.Windows10任务栏及其基本操作</w:t>
            </w:r>
            <w:r>
              <w:rPr>
                <w:spacing w:val="5"/>
              </w:rPr>
              <w:t xml:space="preserve"> </w:t>
            </w:r>
            <w:r>
              <w:rPr>
                <w:spacing w:val="-1"/>
              </w:rPr>
              <w:t>5.Windows10窗口及其基本操作</w:t>
            </w:r>
          </w:p>
          <w:p w14:paraId="723E8269">
            <w:pPr>
              <w:pStyle w:val="6"/>
              <w:spacing w:before="9" w:line="238" w:lineRule="auto"/>
              <w:ind w:left="12" w:right="4"/>
            </w:pPr>
            <w:r>
              <w:rPr>
                <w:spacing w:val="-1"/>
              </w:rPr>
              <w:t>6.Windows10对话框及其基本操作</w:t>
            </w:r>
            <w:r>
              <w:rPr>
                <w:spacing w:val="11"/>
              </w:rPr>
              <w:t xml:space="preserve"> </w:t>
            </w:r>
            <w:r>
              <w:rPr>
                <w:spacing w:val="-1"/>
              </w:rPr>
              <w:t>7.Windows10图标、快捷方式及</w:t>
            </w:r>
          </w:p>
          <w:p w14:paraId="1218200A">
            <w:pPr>
              <w:pStyle w:val="6"/>
              <w:spacing w:line="219" w:lineRule="auto"/>
              <w:ind w:left="12"/>
            </w:pPr>
            <w:r>
              <w:rPr>
                <w:spacing w:val="-2"/>
              </w:rPr>
              <w:t>其基本操作</w:t>
            </w:r>
          </w:p>
        </w:tc>
        <w:tc>
          <w:tcPr>
            <w:tcW w:w="239" w:type="dxa"/>
            <w:vAlign w:val="top"/>
          </w:tcPr>
          <w:p w14:paraId="7D32A966">
            <w:pPr>
              <w:rPr>
                <w:rFonts w:ascii="Arial"/>
                <w:sz w:val="21"/>
              </w:rPr>
            </w:pPr>
          </w:p>
        </w:tc>
        <w:tc>
          <w:tcPr>
            <w:tcW w:w="220" w:type="dxa"/>
            <w:vAlign w:val="top"/>
          </w:tcPr>
          <w:p w14:paraId="48DBA8FE">
            <w:pPr>
              <w:rPr>
                <w:rFonts w:ascii="Arial"/>
                <w:sz w:val="21"/>
              </w:rPr>
            </w:pPr>
          </w:p>
        </w:tc>
        <w:tc>
          <w:tcPr>
            <w:tcW w:w="229" w:type="dxa"/>
            <w:vAlign w:val="top"/>
          </w:tcPr>
          <w:p w14:paraId="39706C88">
            <w:pPr>
              <w:rPr>
                <w:rFonts w:ascii="Arial"/>
                <w:sz w:val="21"/>
              </w:rPr>
            </w:pPr>
          </w:p>
        </w:tc>
        <w:tc>
          <w:tcPr>
            <w:tcW w:w="235" w:type="dxa"/>
            <w:vAlign w:val="top"/>
          </w:tcPr>
          <w:p w14:paraId="40525640">
            <w:pPr>
              <w:rPr>
                <w:rFonts w:ascii="Arial"/>
                <w:sz w:val="21"/>
              </w:rPr>
            </w:pPr>
          </w:p>
        </w:tc>
      </w:tr>
      <w:tr w14:paraId="649BED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06" w:hRule="atLeast"/>
        </w:trPr>
        <w:tc>
          <w:tcPr>
            <w:tcW w:w="723" w:type="dxa"/>
            <w:vAlign w:val="top"/>
          </w:tcPr>
          <w:p w14:paraId="68EBC8D7">
            <w:pPr>
              <w:spacing w:line="261" w:lineRule="auto"/>
              <w:rPr>
                <w:rFonts w:ascii="Arial"/>
                <w:sz w:val="21"/>
              </w:rPr>
            </w:pPr>
          </w:p>
          <w:p w14:paraId="519179E0">
            <w:pPr>
              <w:spacing w:line="261" w:lineRule="auto"/>
              <w:rPr>
                <w:rFonts w:ascii="Arial"/>
                <w:sz w:val="21"/>
              </w:rPr>
            </w:pPr>
          </w:p>
          <w:p w14:paraId="32801E7B">
            <w:pPr>
              <w:spacing w:line="262" w:lineRule="auto"/>
              <w:rPr>
                <w:rFonts w:ascii="Arial"/>
                <w:sz w:val="21"/>
              </w:rPr>
            </w:pPr>
          </w:p>
          <w:p w14:paraId="5D98A8C6">
            <w:pPr>
              <w:spacing w:line="262" w:lineRule="auto"/>
              <w:rPr>
                <w:rFonts w:ascii="Arial"/>
                <w:sz w:val="21"/>
              </w:rPr>
            </w:pPr>
          </w:p>
          <w:p w14:paraId="20147E00">
            <w:pPr>
              <w:spacing w:line="262" w:lineRule="auto"/>
              <w:rPr>
                <w:rFonts w:ascii="Arial"/>
                <w:sz w:val="21"/>
              </w:rPr>
            </w:pPr>
          </w:p>
          <w:p w14:paraId="7E3B1765">
            <w:pPr>
              <w:pStyle w:val="6"/>
              <w:spacing w:before="55" w:line="229" w:lineRule="auto"/>
              <w:ind w:left="184" w:right="196"/>
            </w:pPr>
            <w:r>
              <w:rPr>
                <w:spacing w:val="-4"/>
              </w:rPr>
              <w:t>文件</w:t>
            </w:r>
            <w:r>
              <w:t xml:space="preserve"> </w:t>
            </w:r>
            <w:r>
              <w:rPr>
                <w:spacing w:val="-6"/>
              </w:rPr>
              <w:t>管理</w:t>
            </w:r>
          </w:p>
        </w:tc>
        <w:tc>
          <w:tcPr>
            <w:tcW w:w="2484" w:type="dxa"/>
            <w:vAlign w:val="top"/>
          </w:tcPr>
          <w:p w14:paraId="735DB88B">
            <w:pPr>
              <w:pStyle w:val="6"/>
              <w:spacing w:before="40" w:line="236" w:lineRule="auto"/>
              <w:ind w:left="12" w:right="345" w:firstLine="10"/>
              <w:jc w:val="both"/>
            </w:pPr>
            <w:r>
              <w:t>1.资源管理器及其基本操作</w:t>
            </w:r>
            <w:r>
              <w:rPr>
                <w:spacing w:val="10"/>
              </w:rPr>
              <w:t xml:space="preserve"> </w:t>
            </w:r>
            <w:r>
              <w:rPr>
                <w:spacing w:val="-1"/>
              </w:rPr>
              <w:t>2.Windows10库及其基本操作</w:t>
            </w:r>
            <w:r>
              <w:rPr>
                <w:spacing w:val="8"/>
              </w:rPr>
              <w:t xml:space="preserve"> </w:t>
            </w:r>
            <w:r>
              <w:rPr>
                <w:spacing w:val="2"/>
              </w:rPr>
              <w:t>3.剪贴板的使用</w:t>
            </w:r>
          </w:p>
          <w:p w14:paraId="2DE42B53">
            <w:pPr>
              <w:pStyle w:val="6"/>
              <w:spacing w:before="7" w:line="217" w:lineRule="auto"/>
              <w:ind w:left="251"/>
            </w:pPr>
            <w:r>
              <w:rPr>
                <w:spacing w:val="-1"/>
              </w:rPr>
              <w:t>①剪贴板的概念、功能</w:t>
            </w:r>
          </w:p>
          <w:p w14:paraId="1089ED49">
            <w:pPr>
              <w:pStyle w:val="6"/>
              <w:spacing w:before="1"/>
              <w:ind w:left="12" w:right="707" w:firstLine="229"/>
            </w:pPr>
            <w:r>
              <w:rPr>
                <w:spacing w:val="-1"/>
              </w:rPr>
              <w:t>②剪贴板的基本操作</w:t>
            </w:r>
            <w:r>
              <w:rPr>
                <w:spacing w:val="2"/>
              </w:rPr>
              <w:t xml:space="preserve"> </w:t>
            </w:r>
            <w:r>
              <w:rPr>
                <w:spacing w:val="-1"/>
              </w:rPr>
              <w:t>4.管理文件及文件夹</w:t>
            </w:r>
          </w:p>
          <w:p w14:paraId="78B611D0">
            <w:pPr>
              <w:pStyle w:val="6"/>
              <w:spacing w:before="6" w:line="217" w:lineRule="auto"/>
              <w:ind w:left="241"/>
            </w:pPr>
            <w:r>
              <w:rPr>
                <w:spacing w:val="-1"/>
              </w:rPr>
              <w:t>①文件和文件夹的概念</w:t>
            </w:r>
          </w:p>
          <w:p w14:paraId="428483E3">
            <w:pPr>
              <w:pStyle w:val="6"/>
              <w:spacing w:before="30" w:line="217" w:lineRule="auto"/>
              <w:ind w:left="241"/>
            </w:pPr>
            <w:r>
              <w:rPr>
                <w:spacing w:val="-1"/>
              </w:rPr>
              <w:t>②创建文件或文件夹</w:t>
            </w:r>
          </w:p>
          <w:p w14:paraId="43B3ABEF">
            <w:pPr>
              <w:pStyle w:val="6"/>
              <w:spacing w:before="10" w:line="217" w:lineRule="auto"/>
              <w:ind w:left="261"/>
            </w:pPr>
            <w:r>
              <w:rPr>
                <w:spacing w:val="-1"/>
              </w:rPr>
              <w:t>③移动、复制文件或文件夹</w:t>
            </w:r>
          </w:p>
          <w:p w14:paraId="742EB8EA">
            <w:pPr>
              <w:pStyle w:val="6"/>
              <w:spacing w:before="30" w:line="217" w:lineRule="auto"/>
              <w:ind w:left="251"/>
            </w:pPr>
            <w:r>
              <w:rPr>
                <w:spacing w:val="-1"/>
              </w:rPr>
              <w:t>④修改文件或文件夹的名称</w:t>
            </w:r>
          </w:p>
          <w:p w14:paraId="5BB69B30">
            <w:pPr>
              <w:pStyle w:val="6"/>
              <w:spacing w:before="11" w:line="217" w:lineRule="auto"/>
              <w:ind w:left="241"/>
            </w:pPr>
            <w:r>
              <w:rPr>
                <w:spacing w:val="-1"/>
              </w:rPr>
              <w:t>⑤删除文件或文件夹</w:t>
            </w:r>
          </w:p>
          <w:p w14:paraId="49AD872A">
            <w:pPr>
              <w:pStyle w:val="6"/>
              <w:spacing w:before="30" w:line="217" w:lineRule="auto"/>
              <w:ind w:right="6"/>
              <w:jc w:val="right"/>
            </w:pPr>
            <w:r>
              <w:rPr>
                <w:spacing w:val="-1"/>
              </w:rPr>
              <w:t>⑥恢复被删除的文件或文件夹</w:t>
            </w:r>
          </w:p>
          <w:p w14:paraId="5524AB07">
            <w:pPr>
              <w:pStyle w:val="6"/>
              <w:spacing w:before="10" w:line="217" w:lineRule="auto"/>
              <w:ind w:left="251"/>
            </w:pPr>
            <w:r>
              <w:rPr>
                <w:spacing w:val="-1"/>
              </w:rPr>
              <w:t>⑦修改文件或文件夹的属性</w:t>
            </w:r>
          </w:p>
          <w:p w14:paraId="393BDD8E">
            <w:pPr>
              <w:pStyle w:val="6"/>
              <w:spacing w:before="30" w:line="213" w:lineRule="auto"/>
              <w:ind w:left="241"/>
            </w:pPr>
            <w:r>
              <w:rPr>
                <w:spacing w:val="-1"/>
              </w:rPr>
              <w:t>⑧搜索文件或文件夹</w:t>
            </w:r>
          </w:p>
        </w:tc>
        <w:tc>
          <w:tcPr>
            <w:tcW w:w="239" w:type="dxa"/>
            <w:vAlign w:val="top"/>
          </w:tcPr>
          <w:p w14:paraId="41697E00">
            <w:pPr>
              <w:rPr>
                <w:rFonts w:ascii="Arial"/>
                <w:sz w:val="21"/>
              </w:rPr>
            </w:pPr>
          </w:p>
        </w:tc>
        <w:tc>
          <w:tcPr>
            <w:tcW w:w="220" w:type="dxa"/>
            <w:vAlign w:val="top"/>
          </w:tcPr>
          <w:p w14:paraId="20975A2B">
            <w:pPr>
              <w:rPr>
                <w:rFonts w:ascii="Arial"/>
                <w:sz w:val="21"/>
              </w:rPr>
            </w:pPr>
          </w:p>
        </w:tc>
        <w:tc>
          <w:tcPr>
            <w:tcW w:w="229" w:type="dxa"/>
            <w:vAlign w:val="top"/>
          </w:tcPr>
          <w:p w14:paraId="4E9A6256">
            <w:pPr>
              <w:rPr>
                <w:rFonts w:ascii="Arial"/>
                <w:sz w:val="21"/>
              </w:rPr>
            </w:pPr>
          </w:p>
        </w:tc>
        <w:tc>
          <w:tcPr>
            <w:tcW w:w="235" w:type="dxa"/>
            <w:vAlign w:val="top"/>
          </w:tcPr>
          <w:p w14:paraId="25AA7A10">
            <w:pPr>
              <w:rPr>
                <w:rFonts w:ascii="Arial"/>
                <w:sz w:val="21"/>
              </w:rPr>
            </w:pPr>
          </w:p>
        </w:tc>
      </w:tr>
      <w:tr w14:paraId="6EB3D2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89" w:hRule="atLeast"/>
        </w:trPr>
        <w:tc>
          <w:tcPr>
            <w:tcW w:w="723" w:type="dxa"/>
            <w:vMerge w:val="restart"/>
            <w:tcBorders>
              <w:bottom w:val="nil"/>
            </w:tcBorders>
            <w:vAlign w:val="top"/>
          </w:tcPr>
          <w:p w14:paraId="605D1FCB">
            <w:pPr>
              <w:spacing w:line="328" w:lineRule="auto"/>
              <w:rPr>
                <w:rFonts w:ascii="Arial"/>
                <w:sz w:val="21"/>
              </w:rPr>
            </w:pPr>
          </w:p>
          <w:p w14:paraId="6F2AEA19">
            <w:pPr>
              <w:spacing w:line="329" w:lineRule="auto"/>
              <w:rPr>
                <w:rFonts w:ascii="Arial"/>
                <w:sz w:val="21"/>
              </w:rPr>
            </w:pPr>
          </w:p>
          <w:p w14:paraId="06CE85E6">
            <w:pPr>
              <w:pStyle w:val="6"/>
              <w:spacing w:before="55" w:line="223" w:lineRule="auto"/>
              <w:ind w:left="184" w:right="198"/>
            </w:pPr>
            <w:r>
              <w:rPr>
                <w:spacing w:val="-6"/>
              </w:rPr>
              <w:t>系统</w:t>
            </w:r>
            <w:r>
              <w:t xml:space="preserve"> </w:t>
            </w:r>
            <w:r>
              <w:rPr>
                <w:spacing w:val="-6"/>
              </w:rPr>
              <w:t>管理</w:t>
            </w:r>
          </w:p>
        </w:tc>
        <w:tc>
          <w:tcPr>
            <w:tcW w:w="2484" w:type="dxa"/>
            <w:vAlign w:val="top"/>
          </w:tcPr>
          <w:p w14:paraId="200BF01B">
            <w:pPr>
              <w:pStyle w:val="6"/>
              <w:spacing w:before="54" w:line="231" w:lineRule="auto"/>
              <w:ind w:left="241" w:right="220" w:hanging="210"/>
            </w:pPr>
            <w:r>
              <w:t>1.控制面板及其常用基本操作</w:t>
            </w:r>
            <w:r>
              <w:rPr>
                <w:spacing w:val="10"/>
              </w:rPr>
              <w:t xml:space="preserve"> </w:t>
            </w:r>
            <w:r>
              <w:rPr>
                <w:spacing w:val="-2"/>
              </w:rPr>
              <w:t>2.系统设置</w:t>
            </w:r>
          </w:p>
          <w:p w14:paraId="473762B1">
            <w:pPr>
              <w:pStyle w:val="6"/>
              <w:spacing w:before="15" w:line="219" w:lineRule="auto"/>
              <w:ind w:left="241"/>
            </w:pPr>
            <w:r>
              <w:rPr>
                <w:spacing w:val="-2"/>
              </w:rPr>
              <w:t>3.个性化设置</w:t>
            </w:r>
          </w:p>
          <w:p w14:paraId="39559591">
            <w:pPr>
              <w:pStyle w:val="6"/>
              <w:spacing w:line="197" w:lineRule="auto"/>
              <w:ind w:left="241"/>
            </w:pPr>
            <w:r>
              <w:rPr>
                <w:spacing w:val="-1"/>
              </w:rPr>
              <w:t>4.网络和Internet设置</w:t>
            </w:r>
          </w:p>
        </w:tc>
        <w:tc>
          <w:tcPr>
            <w:tcW w:w="239" w:type="dxa"/>
            <w:vAlign w:val="top"/>
          </w:tcPr>
          <w:p w14:paraId="558A107D">
            <w:pPr>
              <w:rPr>
                <w:rFonts w:ascii="Arial"/>
                <w:sz w:val="21"/>
              </w:rPr>
            </w:pPr>
          </w:p>
        </w:tc>
        <w:tc>
          <w:tcPr>
            <w:tcW w:w="220" w:type="dxa"/>
            <w:vAlign w:val="top"/>
          </w:tcPr>
          <w:p w14:paraId="3B6FF737">
            <w:pPr>
              <w:rPr>
                <w:rFonts w:ascii="Arial"/>
                <w:sz w:val="21"/>
              </w:rPr>
            </w:pPr>
          </w:p>
        </w:tc>
        <w:tc>
          <w:tcPr>
            <w:tcW w:w="229" w:type="dxa"/>
            <w:vAlign w:val="top"/>
          </w:tcPr>
          <w:p w14:paraId="35ED0926">
            <w:pPr>
              <w:rPr>
                <w:rFonts w:ascii="Arial"/>
                <w:sz w:val="21"/>
              </w:rPr>
            </w:pPr>
          </w:p>
        </w:tc>
        <w:tc>
          <w:tcPr>
            <w:tcW w:w="235" w:type="dxa"/>
            <w:vAlign w:val="top"/>
          </w:tcPr>
          <w:p w14:paraId="0E4D1D92">
            <w:pPr>
              <w:rPr>
                <w:rFonts w:ascii="Arial"/>
                <w:sz w:val="21"/>
              </w:rPr>
            </w:pPr>
          </w:p>
        </w:tc>
      </w:tr>
      <w:tr w14:paraId="3CF229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84" w:hRule="atLeast"/>
        </w:trPr>
        <w:tc>
          <w:tcPr>
            <w:tcW w:w="723" w:type="dxa"/>
            <w:vMerge w:val="continue"/>
            <w:tcBorders>
              <w:top w:val="nil"/>
            </w:tcBorders>
            <w:vAlign w:val="top"/>
          </w:tcPr>
          <w:p w14:paraId="6DD35F48">
            <w:pPr>
              <w:rPr>
                <w:rFonts w:ascii="Arial"/>
                <w:sz w:val="21"/>
              </w:rPr>
            </w:pPr>
          </w:p>
        </w:tc>
        <w:tc>
          <w:tcPr>
            <w:tcW w:w="2484" w:type="dxa"/>
            <w:vAlign w:val="top"/>
          </w:tcPr>
          <w:p w14:paraId="1C7A8092">
            <w:pPr>
              <w:pStyle w:val="6"/>
              <w:spacing w:before="47" w:line="220" w:lineRule="auto"/>
              <w:ind w:left="241"/>
            </w:pPr>
            <w:r>
              <w:rPr>
                <w:spacing w:val="-2"/>
              </w:rPr>
              <w:t>5.程序安装与卸载</w:t>
            </w:r>
          </w:p>
          <w:p w14:paraId="35B4D0B4">
            <w:pPr>
              <w:pStyle w:val="6"/>
              <w:spacing w:before="17" w:line="239" w:lineRule="auto"/>
              <w:ind w:left="241" w:right="540"/>
            </w:pPr>
            <w:r>
              <w:rPr>
                <w:spacing w:val="-1"/>
              </w:rPr>
              <w:t>6.硬件设置和驱动安装</w:t>
            </w:r>
            <w:r>
              <w:rPr>
                <w:spacing w:val="2"/>
              </w:rPr>
              <w:t xml:space="preserve"> </w:t>
            </w:r>
            <w:r>
              <w:rPr>
                <w:spacing w:val="-2"/>
              </w:rPr>
              <w:t>7.用户帐户设置</w:t>
            </w:r>
          </w:p>
          <w:p w14:paraId="7367830B">
            <w:pPr>
              <w:pStyle w:val="6"/>
              <w:spacing w:line="180" w:lineRule="auto"/>
              <w:ind w:left="241"/>
            </w:pPr>
            <w:r>
              <w:rPr>
                <w:spacing w:val="-1"/>
              </w:rPr>
              <w:t>8.时钟、语言和区域设置</w:t>
            </w:r>
          </w:p>
        </w:tc>
        <w:tc>
          <w:tcPr>
            <w:tcW w:w="239" w:type="dxa"/>
            <w:vAlign w:val="top"/>
          </w:tcPr>
          <w:p w14:paraId="7B8268C2">
            <w:pPr>
              <w:rPr>
                <w:rFonts w:ascii="Arial"/>
                <w:sz w:val="21"/>
              </w:rPr>
            </w:pPr>
          </w:p>
        </w:tc>
        <w:tc>
          <w:tcPr>
            <w:tcW w:w="220" w:type="dxa"/>
            <w:vAlign w:val="top"/>
          </w:tcPr>
          <w:p w14:paraId="4064CA5A">
            <w:pPr>
              <w:rPr>
                <w:rFonts w:ascii="Arial"/>
                <w:sz w:val="21"/>
              </w:rPr>
            </w:pPr>
          </w:p>
        </w:tc>
        <w:tc>
          <w:tcPr>
            <w:tcW w:w="229" w:type="dxa"/>
            <w:vAlign w:val="top"/>
          </w:tcPr>
          <w:p w14:paraId="02B6D41F">
            <w:pPr>
              <w:rPr>
                <w:rFonts w:ascii="Arial"/>
                <w:sz w:val="21"/>
              </w:rPr>
            </w:pPr>
          </w:p>
        </w:tc>
        <w:tc>
          <w:tcPr>
            <w:tcW w:w="235" w:type="dxa"/>
            <w:vAlign w:val="top"/>
          </w:tcPr>
          <w:p w14:paraId="30C1AE7E">
            <w:pPr>
              <w:rPr>
                <w:rFonts w:ascii="Arial"/>
                <w:sz w:val="21"/>
              </w:rPr>
            </w:pPr>
          </w:p>
        </w:tc>
      </w:tr>
    </w:tbl>
    <w:p w14:paraId="33A9CCCB">
      <w:pPr>
        <w:pStyle w:val="2"/>
        <w:spacing w:line="104" w:lineRule="auto"/>
        <w:rPr>
          <w:sz w:val="2"/>
        </w:rPr>
      </w:pPr>
    </w:p>
    <w:p w14:paraId="0DD7702A">
      <w:pPr>
        <w:spacing w:line="104" w:lineRule="auto"/>
        <w:rPr>
          <w:sz w:val="2"/>
          <w:szCs w:val="2"/>
        </w:rPr>
        <w:sectPr>
          <w:type w:val="continuous"/>
          <w:pgSz w:w="10660" w:h="15080"/>
          <w:pgMar w:top="400" w:right="1014" w:bottom="925" w:left="819" w:header="0" w:footer="705" w:gutter="0"/>
          <w:cols w:equalWidth="0" w:num="2">
            <w:col w:w="4566" w:space="100"/>
            <w:col w:w="4161"/>
          </w:cols>
        </w:sectPr>
      </w:pPr>
    </w:p>
    <w:p w14:paraId="03392F6F">
      <w:pPr>
        <w:spacing w:before="13"/>
      </w:pPr>
      <w:r>
        <w:pict>
          <v:shape id="_x0000_s1050" o:spid="_x0000_s1050" o:spt="202" type="#_x0000_t202" style="position:absolute;left:0pt;margin-left:50.2pt;margin-top:69.7pt;height:107.05pt;width:209.55pt;mso-position-horizontal-relative:page;mso-position-vertical-relative:page;z-index:251702272;mso-width-relative:page;mso-height-relative:page;" filled="f" stroked="f" coordsize="21600,21600" o:allowincell="f">
            <v:path/>
            <v:fill on="f" focussize="0,0"/>
            <v:stroke on="f"/>
            <v:imagedata o:title=""/>
            <o:lock v:ext="edit" aspectratio="f"/>
            <v:textbox inset="0mm,0mm,0mm,0mm">
              <w:txbxContent>
                <w:p w14:paraId="2853F931">
                  <w:pPr>
                    <w:spacing w:line="20" w:lineRule="exact"/>
                  </w:pPr>
                </w:p>
                <w:tbl>
                  <w:tblPr>
                    <w:tblStyle w:val="5"/>
                    <w:tblW w:w="4140" w:type="dxa"/>
                    <w:tblInd w:w="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43"/>
                    <w:gridCol w:w="2484"/>
                    <w:gridCol w:w="220"/>
                    <w:gridCol w:w="230"/>
                    <w:gridCol w:w="229"/>
                    <w:gridCol w:w="234"/>
                  </w:tblGrid>
                  <w:tr w14:paraId="416B96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4" w:hRule="atLeast"/>
                    </w:trPr>
                    <w:tc>
                      <w:tcPr>
                        <w:tcW w:w="743" w:type="dxa"/>
                        <w:vMerge w:val="restart"/>
                        <w:tcBorders>
                          <w:bottom w:val="nil"/>
                        </w:tcBorders>
                        <w:vAlign w:val="top"/>
                      </w:tcPr>
                      <w:p w14:paraId="4E965CDB">
                        <w:pPr>
                          <w:pStyle w:val="6"/>
                          <w:spacing w:before="21" w:line="211" w:lineRule="auto"/>
                          <w:ind w:left="96" w:right="6" w:hanging="79"/>
                          <w:rPr>
                            <w:sz w:val="18"/>
                            <w:szCs w:val="18"/>
                          </w:rPr>
                        </w:pPr>
                        <w:r>
                          <w:rPr>
                            <w:b/>
                            <w:bCs/>
                            <w:spacing w:val="-5"/>
                            <w:sz w:val="18"/>
                            <w:szCs w:val="18"/>
                          </w:rPr>
                          <w:t>知识与技</w:t>
                        </w:r>
                        <w:r>
                          <w:rPr>
                            <w:sz w:val="18"/>
                            <w:szCs w:val="18"/>
                          </w:rPr>
                          <w:t xml:space="preserve"> </w:t>
                        </w:r>
                        <w:r>
                          <w:rPr>
                            <w:b/>
                            <w:bCs/>
                            <w:spacing w:val="1"/>
                            <w:sz w:val="18"/>
                            <w:szCs w:val="18"/>
                          </w:rPr>
                          <w:t>能要点</w:t>
                        </w:r>
                      </w:p>
                    </w:tc>
                    <w:tc>
                      <w:tcPr>
                        <w:tcW w:w="2484" w:type="dxa"/>
                        <w:vMerge w:val="restart"/>
                        <w:tcBorders>
                          <w:bottom w:val="nil"/>
                        </w:tcBorders>
                        <w:vAlign w:val="top"/>
                      </w:tcPr>
                      <w:p w14:paraId="4C5AF68E">
                        <w:pPr>
                          <w:pStyle w:val="6"/>
                          <w:spacing w:before="129" w:line="219" w:lineRule="auto"/>
                          <w:ind w:left="914"/>
                          <w:rPr>
                            <w:sz w:val="18"/>
                            <w:szCs w:val="18"/>
                          </w:rPr>
                        </w:pPr>
                        <w:r>
                          <w:rPr>
                            <w:b/>
                            <w:bCs/>
                            <w:spacing w:val="5"/>
                            <w:sz w:val="18"/>
                            <w:szCs w:val="18"/>
                          </w:rPr>
                          <w:t>考试条目</w:t>
                        </w:r>
                      </w:p>
                    </w:tc>
                    <w:tc>
                      <w:tcPr>
                        <w:tcW w:w="913" w:type="dxa"/>
                        <w:gridSpan w:val="4"/>
                        <w:vAlign w:val="top"/>
                      </w:tcPr>
                      <w:p w14:paraId="0A0E0E2B">
                        <w:pPr>
                          <w:pStyle w:val="6"/>
                          <w:spacing w:before="29" w:line="199" w:lineRule="auto"/>
                          <w:ind w:left="120"/>
                          <w:rPr>
                            <w:sz w:val="18"/>
                            <w:szCs w:val="18"/>
                          </w:rPr>
                        </w:pPr>
                        <w:r>
                          <w:rPr>
                            <w:b/>
                            <w:bCs/>
                            <w:spacing w:val="-4"/>
                            <w:sz w:val="18"/>
                            <w:szCs w:val="18"/>
                          </w:rPr>
                          <w:t>考试水平</w:t>
                        </w:r>
                      </w:p>
                    </w:tc>
                  </w:tr>
                  <w:tr w14:paraId="525A88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99" w:hRule="atLeast"/>
                    </w:trPr>
                    <w:tc>
                      <w:tcPr>
                        <w:tcW w:w="743" w:type="dxa"/>
                        <w:vMerge w:val="continue"/>
                        <w:tcBorders>
                          <w:top w:val="nil"/>
                        </w:tcBorders>
                        <w:vAlign w:val="top"/>
                      </w:tcPr>
                      <w:p w14:paraId="476569CC">
                        <w:pPr>
                          <w:rPr>
                            <w:rFonts w:ascii="Arial"/>
                            <w:sz w:val="21"/>
                          </w:rPr>
                        </w:pPr>
                      </w:p>
                    </w:tc>
                    <w:tc>
                      <w:tcPr>
                        <w:tcW w:w="2484" w:type="dxa"/>
                        <w:vMerge w:val="continue"/>
                        <w:tcBorders>
                          <w:top w:val="nil"/>
                        </w:tcBorders>
                        <w:vAlign w:val="top"/>
                      </w:tcPr>
                      <w:p w14:paraId="3833915D">
                        <w:pPr>
                          <w:rPr>
                            <w:rFonts w:ascii="Arial"/>
                            <w:sz w:val="21"/>
                          </w:rPr>
                        </w:pPr>
                      </w:p>
                    </w:tc>
                    <w:tc>
                      <w:tcPr>
                        <w:tcW w:w="220" w:type="dxa"/>
                        <w:vAlign w:val="top"/>
                      </w:tcPr>
                      <w:p w14:paraId="16F71601">
                        <w:pPr>
                          <w:pStyle w:val="6"/>
                          <w:spacing w:before="43" w:line="146" w:lineRule="exact"/>
                          <w:ind w:left="18"/>
                          <w:rPr>
                            <w:sz w:val="18"/>
                            <w:szCs w:val="18"/>
                          </w:rPr>
                        </w:pPr>
                        <w:r>
                          <w:rPr>
                            <w:position w:val="-2"/>
                            <w:sz w:val="18"/>
                            <w:szCs w:val="18"/>
                          </w:rPr>
                          <w:t>A</w:t>
                        </w:r>
                      </w:p>
                    </w:tc>
                    <w:tc>
                      <w:tcPr>
                        <w:tcW w:w="230" w:type="dxa"/>
                        <w:vAlign w:val="top"/>
                      </w:tcPr>
                      <w:p w14:paraId="2200F6F8">
                        <w:pPr>
                          <w:pStyle w:val="6"/>
                          <w:spacing w:before="46" w:line="143" w:lineRule="exact"/>
                          <w:jc w:val="right"/>
                          <w:rPr>
                            <w:sz w:val="18"/>
                            <w:szCs w:val="18"/>
                          </w:rPr>
                        </w:pPr>
                        <w:r>
                          <w:rPr>
                            <w:b/>
                            <w:bCs/>
                            <w:spacing w:val="-5"/>
                            <w:position w:val="-2"/>
                            <w:sz w:val="18"/>
                            <w:szCs w:val="18"/>
                          </w:rPr>
                          <w:t>B</w:t>
                        </w:r>
                      </w:p>
                    </w:tc>
                    <w:tc>
                      <w:tcPr>
                        <w:tcW w:w="229" w:type="dxa"/>
                        <w:vAlign w:val="top"/>
                      </w:tcPr>
                      <w:p w14:paraId="658DFA0E">
                        <w:pPr>
                          <w:pStyle w:val="6"/>
                          <w:spacing w:before="44" w:line="145" w:lineRule="exact"/>
                          <w:jc w:val="right"/>
                          <w:rPr>
                            <w:sz w:val="18"/>
                            <w:szCs w:val="18"/>
                          </w:rPr>
                        </w:pPr>
                        <w:r>
                          <w:rPr>
                            <w:spacing w:val="-10"/>
                            <w:position w:val="-2"/>
                            <w:sz w:val="18"/>
                            <w:szCs w:val="18"/>
                          </w:rPr>
                          <w:t>C</w:t>
                        </w:r>
                      </w:p>
                    </w:tc>
                    <w:tc>
                      <w:tcPr>
                        <w:tcW w:w="234" w:type="dxa"/>
                        <w:vAlign w:val="top"/>
                      </w:tcPr>
                      <w:p w14:paraId="793EF57A">
                        <w:pPr>
                          <w:pStyle w:val="6"/>
                          <w:spacing w:before="46" w:line="143" w:lineRule="exact"/>
                          <w:ind w:left="21"/>
                          <w:rPr>
                            <w:sz w:val="18"/>
                            <w:szCs w:val="18"/>
                          </w:rPr>
                        </w:pPr>
                        <w:r>
                          <w:rPr>
                            <w:b/>
                            <w:bCs/>
                            <w:spacing w:val="-2"/>
                            <w:position w:val="-2"/>
                            <w:sz w:val="18"/>
                            <w:szCs w:val="18"/>
                          </w:rPr>
                          <w:t>D</w:t>
                        </w:r>
                      </w:p>
                    </w:tc>
                  </w:tr>
                  <w:tr w14:paraId="1D361D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34" w:hRule="atLeast"/>
                    </w:trPr>
                    <w:tc>
                      <w:tcPr>
                        <w:tcW w:w="743" w:type="dxa"/>
                        <w:vAlign w:val="top"/>
                      </w:tcPr>
                      <w:p w14:paraId="4FA49308">
                        <w:pPr>
                          <w:pStyle w:val="6"/>
                          <w:spacing w:before="290" w:line="205" w:lineRule="auto"/>
                          <w:ind w:left="94"/>
                          <w:rPr>
                            <w:sz w:val="18"/>
                            <w:szCs w:val="18"/>
                          </w:rPr>
                        </w:pPr>
                        <w:r>
                          <w:rPr>
                            <w:spacing w:val="-3"/>
                            <w:sz w:val="18"/>
                            <w:szCs w:val="18"/>
                          </w:rPr>
                          <w:t>系统维</w:t>
                        </w:r>
                      </w:p>
                      <w:p w14:paraId="7959DD82">
                        <w:pPr>
                          <w:pStyle w:val="6"/>
                          <w:spacing w:line="220" w:lineRule="auto"/>
                          <w:ind w:left="94"/>
                          <w:rPr>
                            <w:sz w:val="18"/>
                            <w:szCs w:val="18"/>
                          </w:rPr>
                        </w:pPr>
                        <w:r>
                          <w:rPr>
                            <w:spacing w:val="-2"/>
                            <w:sz w:val="18"/>
                            <w:szCs w:val="18"/>
                          </w:rPr>
                          <w:t>护与常</w:t>
                        </w:r>
                      </w:p>
                      <w:p w14:paraId="48BC5863">
                        <w:pPr>
                          <w:pStyle w:val="6"/>
                          <w:spacing w:before="26" w:line="214" w:lineRule="auto"/>
                          <w:ind w:left="94"/>
                          <w:rPr>
                            <w:sz w:val="18"/>
                            <w:szCs w:val="18"/>
                          </w:rPr>
                        </w:pPr>
                        <w:r>
                          <w:rPr>
                            <w:spacing w:val="-2"/>
                            <w:sz w:val="18"/>
                            <w:szCs w:val="18"/>
                          </w:rPr>
                          <w:t>用工具</w:t>
                        </w:r>
                      </w:p>
                      <w:p w14:paraId="0EFD2CC2">
                        <w:pPr>
                          <w:pStyle w:val="6"/>
                          <w:spacing w:line="189" w:lineRule="auto"/>
                          <w:ind w:left="185"/>
                          <w:rPr>
                            <w:sz w:val="18"/>
                            <w:szCs w:val="18"/>
                          </w:rPr>
                        </w:pPr>
                        <w:r>
                          <w:rPr>
                            <w:spacing w:val="-3"/>
                            <w:sz w:val="18"/>
                            <w:szCs w:val="18"/>
                          </w:rPr>
                          <w:t>软件</w:t>
                        </w:r>
                      </w:p>
                    </w:tc>
                    <w:tc>
                      <w:tcPr>
                        <w:tcW w:w="2484" w:type="dxa"/>
                        <w:vAlign w:val="top"/>
                      </w:tcPr>
                      <w:p w14:paraId="21C17073">
                        <w:pPr>
                          <w:pStyle w:val="6"/>
                          <w:spacing w:before="50" w:line="215" w:lineRule="auto"/>
                          <w:ind w:left="2"/>
                          <w:rPr>
                            <w:sz w:val="18"/>
                            <w:szCs w:val="18"/>
                          </w:rPr>
                        </w:pPr>
                        <w:r>
                          <w:rPr>
                            <w:spacing w:val="2"/>
                            <w:sz w:val="18"/>
                            <w:szCs w:val="18"/>
                          </w:rPr>
                          <w:t>1.磁盘维护</w:t>
                        </w:r>
                      </w:p>
                      <w:p w14:paraId="690BDA14">
                        <w:pPr>
                          <w:pStyle w:val="6"/>
                          <w:spacing w:line="220" w:lineRule="auto"/>
                          <w:ind w:left="2"/>
                          <w:rPr>
                            <w:sz w:val="18"/>
                            <w:szCs w:val="18"/>
                          </w:rPr>
                        </w:pPr>
                        <w:r>
                          <w:rPr>
                            <w:spacing w:val="-1"/>
                            <w:sz w:val="18"/>
                            <w:szCs w:val="18"/>
                          </w:rPr>
                          <w:t>2.Windows更新</w:t>
                        </w:r>
                      </w:p>
                      <w:p w14:paraId="27C26999">
                        <w:pPr>
                          <w:pStyle w:val="6"/>
                          <w:spacing w:before="3" w:line="221" w:lineRule="auto"/>
                          <w:ind w:left="2" w:right="864"/>
                          <w:rPr>
                            <w:sz w:val="18"/>
                            <w:szCs w:val="18"/>
                          </w:rPr>
                        </w:pPr>
                        <w:r>
                          <w:rPr>
                            <w:spacing w:val="18"/>
                            <w:sz w:val="18"/>
                            <w:szCs w:val="18"/>
                          </w:rPr>
                          <w:t>3</w:t>
                        </w:r>
                        <w:r>
                          <w:rPr>
                            <w:spacing w:val="-50"/>
                            <w:sz w:val="18"/>
                            <w:szCs w:val="18"/>
                          </w:rPr>
                          <w:t xml:space="preserve"> </w:t>
                        </w:r>
                        <w:r>
                          <w:rPr>
                            <w:spacing w:val="18"/>
                            <w:sz w:val="18"/>
                            <w:szCs w:val="18"/>
                          </w:rPr>
                          <w:t>.Windows防火墙</w:t>
                        </w:r>
                        <w:r>
                          <w:rPr>
                            <w:sz w:val="18"/>
                            <w:szCs w:val="18"/>
                          </w:rPr>
                          <w:t xml:space="preserve"> </w:t>
                        </w:r>
                        <w:r>
                          <w:rPr>
                            <w:spacing w:val="-1"/>
                            <w:sz w:val="18"/>
                            <w:szCs w:val="18"/>
                          </w:rPr>
                          <w:t>4.系统保护</w:t>
                        </w:r>
                      </w:p>
                      <w:p w14:paraId="53CC266F">
                        <w:pPr>
                          <w:pStyle w:val="6"/>
                          <w:spacing w:line="219" w:lineRule="auto"/>
                          <w:ind w:left="2"/>
                          <w:rPr>
                            <w:sz w:val="18"/>
                            <w:szCs w:val="18"/>
                          </w:rPr>
                        </w:pPr>
                        <w:r>
                          <w:rPr>
                            <w:spacing w:val="-2"/>
                            <w:sz w:val="18"/>
                            <w:szCs w:val="18"/>
                          </w:rPr>
                          <w:t>5.常用工具软件</w:t>
                        </w:r>
                      </w:p>
                    </w:tc>
                    <w:tc>
                      <w:tcPr>
                        <w:tcW w:w="220" w:type="dxa"/>
                        <w:vAlign w:val="top"/>
                      </w:tcPr>
                      <w:p w14:paraId="71E0752B">
                        <w:pPr>
                          <w:rPr>
                            <w:rFonts w:ascii="Arial"/>
                            <w:sz w:val="21"/>
                          </w:rPr>
                        </w:pPr>
                      </w:p>
                    </w:tc>
                    <w:tc>
                      <w:tcPr>
                        <w:tcW w:w="230" w:type="dxa"/>
                        <w:vAlign w:val="top"/>
                      </w:tcPr>
                      <w:p w14:paraId="1A687B9C">
                        <w:pPr>
                          <w:pStyle w:val="6"/>
                          <w:spacing w:before="78" w:line="238" w:lineRule="auto"/>
                          <w:ind w:left="18"/>
                          <w:rPr>
                            <w:sz w:val="12"/>
                            <w:szCs w:val="12"/>
                          </w:rPr>
                        </w:pPr>
                        <w:r>
                          <w:rPr>
                            <w:sz w:val="12"/>
                            <w:szCs w:val="12"/>
                          </w:rPr>
                          <w:t>√</w:t>
                        </w:r>
                      </w:p>
                    </w:tc>
                    <w:tc>
                      <w:tcPr>
                        <w:tcW w:w="229" w:type="dxa"/>
                        <w:vAlign w:val="top"/>
                      </w:tcPr>
                      <w:p w14:paraId="57B4E739">
                        <w:pPr>
                          <w:rPr>
                            <w:rFonts w:ascii="Arial"/>
                            <w:sz w:val="21"/>
                          </w:rPr>
                        </w:pPr>
                      </w:p>
                    </w:tc>
                    <w:tc>
                      <w:tcPr>
                        <w:tcW w:w="234" w:type="dxa"/>
                        <w:vAlign w:val="top"/>
                      </w:tcPr>
                      <w:p w14:paraId="05140A21">
                        <w:pPr>
                          <w:rPr>
                            <w:rFonts w:ascii="Arial"/>
                            <w:sz w:val="21"/>
                          </w:rPr>
                        </w:pPr>
                      </w:p>
                    </w:tc>
                  </w:tr>
                  <w:tr w14:paraId="4297E1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3" w:hRule="atLeast"/>
                    </w:trPr>
                    <w:tc>
                      <w:tcPr>
                        <w:tcW w:w="743" w:type="dxa"/>
                        <w:vAlign w:val="top"/>
                      </w:tcPr>
                      <w:p w14:paraId="2FC6DD7E">
                        <w:pPr>
                          <w:pStyle w:val="6"/>
                          <w:spacing w:before="56" w:line="220" w:lineRule="auto"/>
                          <w:ind w:left="94"/>
                          <w:rPr>
                            <w:sz w:val="18"/>
                            <w:szCs w:val="18"/>
                          </w:rPr>
                        </w:pPr>
                        <w:r>
                          <w:rPr>
                            <w:spacing w:val="3"/>
                            <w:sz w:val="18"/>
                            <w:szCs w:val="18"/>
                          </w:rPr>
                          <w:t>中英文</w:t>
                        </w:r>
                      </w:p>
                      <w:p w14:paraId="768831EC">
                        <w:pPr>
                          <w:pStyle w:val="6"/>
                          <w:spacing w:before="14" w:line="193" w:lineRule="auto"/>
                          <w:ind w:left="185"/>
                          <w:rPr>
                            <w:sz w:val="18"/>
                            <w:szCs w:val="18"/>
                          </w:rPr>
                        </w:pPr>
                        <w:r>
                          <w:rPr>
                            <w:spacing w:val="-2"/>
                            <w:sz w:val="18"/>
                            <w:szCs w:val="18"/>
                          </w:rPr>
                          <w:t>输入</w:t>
                        </w:r>
                      </w:p>
                    </w:tc>
                    <w:tc>
                      <w:tcPr>
                        <w:tcW w:w="2484" w:type="dxa"/>
                        <w:vAlign w:val="top"/>
                      </w:tcPr>
                      <w:p w14:paraId="477878DD">
                        <w:pPr>
                          <w:pStyle w:val="6"/>
                          <w:spacing w:before="45" w:line="219" w:lineRule="auto"/>
                          <w:ind w:left="2" w:right="650"/>
                          <w:rPr>
                            <w:sz w:val="18"/>
                            <w:szCs w:val="18"/>
                          </w:rPr>
                        </w:pPr>
                        <w:r>
                          <w:rPr>
                            <w:spacing w:val="1"/>
                            <w:sz w:val="18"/>
                            <w:szCs w:val="18"/>
                          </w:rPr>
                          <w:t>1.中英文输入法的选用</w:t>
                        </w:r>
                        <w:r>
                          <w:rPr>
                            <w:spacing w:val="9"/>
                            <w:sz w:val="18"/>
                            <w:szCs w:val="18"/>
                          </w:rPr>
                          <w:t xml:space="preserve"> </w:t>
                        </w:r>
                        <w:r>
                          <w:rPr>
                            <w:spacing w:val="-1"/>
                            <w:sz w:val="18"/>
                            <w:szCs w:val="18"/>
                          </w:rPr>
                          <w:t>2.中英文输入法的设置</w:t>
                        </w:r>
                      </w:p>
                    </w:tc>
                    <w:tc>
                      <w:tcPr>
                        <w:tcW w:w="220" w:type="dxa"/>
                        <w:vAlign w:val="top"/>
                      </w:tcPr>
                      <w:p w14:paraId="3C912552">
                        <w:pPr>
                          <w:rPr>
                            <w:rFonts w:ascii="Arial"/>
                            <w:sz w:val="21"/>
                          </w:rPr>
                        </w:pPr>
                      </w:p>
                    </w:tc>
                    <w:tc>
                      <w:tcPr>
                        <w:tcW w:w="230" w:type="dxa"/>
                        <w:vAlign w:val="top"/>
                      </w:tcPr>
                      <w:p w14:paraId="0543BC88">
                        <w:pPr>
                          <w:rPr>
                            <w:rFonts w:ascii="Arial"/>
                            <w:sz w:val="21"/>
                          </w:rPr>
                        </w:pPr>
                      </w:p>
                    </w:tc>
                    <w:tc>
                      <w:tcPr>
                        <w:tcW w:w="229" w:type="dxa"/>
                        <w:vAlign w:val="top"/>
                      </w:tcPr>
                      <w:p w14:paraId="2F062F9F">
                        <w:pPr>
                          <w:pStyle w:val="6"/>
                          <w:spacing w:before="255" w:line="238" w:lineRule="auto"/>
                          <w:ind w:left="17"/>
                          <w:rPr>
                            <w:sz w:val="12"/>
                            <w:szCs w:val="12"/>
                          </w:rPr>
                        </w:pPr>
                        <w:r>
                          <w:rPr>
                            <w:sz w:val="12"/>
                            <w:szCs w:val="12"/>
                          </w:rPr>
                          <w:t>√</w:t>
                        </w:r>
                      </w:p>
                    </w:tc>
                    <w:tc>
                      <w:tcPr>
                        <w:tcW w:w="234" w:type="dxa"/>
                        <w:vAlign w:val="top"/>
                      </w:tcPr>
                      <w:p w14:paraId="284995ED">
                        <w:pPr>
                          <w:rPr>
                            <w:rFonts w:ascii="Arial"/>
                            <w:sz w:val="21"/>
                          </w:rPr>
                        </w:pPr>
                      </w:p>
                    </w:tc>
                  </w:tr>
                </w:tbl>
                <w:p w14:paraId="3E863523">
                  <w:pPr>
                    <w:pStyle w:val="2"/>
                  </w:pPr>
                </w:p>
              </w:txbxContent>
            </v:textbox>
          </v:shape>
        </w:pict>
      </w:r>
      <w:r>
        <w:pict>
          <v:shape id="_x0000_s1051" o:spid="_x0000_s1051" o:spt="202" type="#_x0000_t202" style="position:absolute;left:0pt;margin-left:71.95pt;margin-top:179.35pt;height:11.8pt;width:110.9pt;mso-position-horizontal-relative:page;mso-position-vertical-relative:page;z-index:251703296;mso-width-relative:page;mso-height-relative:page;" filled="f" stroked="f" coordsize="21600,21600" o:allowincell="f">
            <v:path/>
            <v:fill on="f" focussize="0,0"/>
            <v:stroke on="f"/>
            <v:imagedata o:title=""/>
            <o:lock v:ext="edit" aspectratio="f"/>
            <v:textbox inset="0mm,0mm,0mm,0mm">
              <w:txbxContent>
                <w:p w14:paraId="26DD6A58">
                  <w:pPr>
                    <w:spacing w:before="20" w:line="212" w:lineRule="auto"/>
                    <w:ind w:left="20"/>
                    <w:rPr>
                      <w:rFonts w:ascii="Times New Roman" w:hAnsi="Times New Roman" w:eastAsia="Times New Roman" w:cs="Times New Roman"/>
                      <w:sz w:val="17"/>
                      <w:szCs w:val="17"/>
                    </w:rPr>
                  </w:pPr>
                  <w:r>
                    <w:rPr>
                      <w:rFonts w:ascii="楷体" w:hAnsi="楷体" w:eastAsia="楷体" w:cs="楷体"/>
                      <w:spacing w:val="7"/>
                      <w:sz w:val="17"/>
                      <w:szCs w:val="17"/>
                    </w:rPr>
                    <w:t>(三)图文编辑</w:t>
                  </w:r>
                  <w:r>
                    <w:rPr>
                      <w:rFonts w:ascii="楷体" w:hAnsi="楷体" w:eastAsia="楷体" w:cs="楷体"/>
                      <w:spacing w:val="-37"/>
                      <w:sz w:val="17"/>
                      <w:szCs w:val="17"/>
                    </w:rPr>
                    <w:t xml:space="preserve"> </w:t>
                  </w:r>
                  <w:r>
                    <w:rPr>
                      <w:rFonts w:ascii="Times New Roman" w:hAnsi="Times New Roman" w:eastAsia="Times New Roman" w:cs="Times New Roman"/>
                      <w:spacing w:val="7"/>
                      <w:sz w:val="17"/>
                      <w:szCs w:val="17"/>
                    </w:rPr>
                    <w:t>(</w:t>
                  </w:r>
                  <w:r>
                    <w:rPr>
                      <w:rFonts w:ascii="Times New Roman" w:hAnsi="Times New Roman" w:eastAsia="Times New Roman" w:cs="Times New Roman"/>
                      <w:sz w:val="17"/>
                      <w:szCs w:val="17"/>
                    </w:rPr>
                    <w:t>Word</w:t>
                  </w:r>
                  <w:r>
                    <w:rPr>
                      <w:rFonts w:ascii="Times New Roman" w:hAnsi="Times New Roman" w:eastAsia="Times New Roman" w:cs="Times New Roman"/>
                      <w:spacing w:val="1"/>
                      <w:sz w:val="17"/>
                      <w:szCs w:val="17"/>
                    </w:rPr>
                    <w:t xml:space="preserve">    </w:t>
                  </w:r>
                  <w:r>
                    <w:rPr>
                      <w:rFonts w:ascii="Times New Roman" w:hAnsi="Times New Roman" w:eastAsia="Times New Roman" w:cs="Times New Roman"/>
                      <w:spacing w:val="7"/>
                      <w:sz w:val="17"/>
                      <w:szCs w:val="17"/>
                    </w:rPr>
                    <w:t>2016)</w:t>
                  </w:r>
                </w:p>
              </w:txbxContent>
            </v:textbox>
          </v:shape>
        </w:pict>
      </w:r>
    </w:p>
    <w:p w14:paraId="05B1F184">
      <w:pPr>
        <w:spacing w:before="12"/>
      </w:pPr>
    </w:p>
    <w:p w14:paraId="7A81E4F0">
      <w:pPr>
        <w:spacing w:before="12"/>
      </w:pPr>
    </w:p>
    <w:p w14:paraId="5B02EB4B">
      <w:pPr>
        <w:spacing w:before="12"/>
      </w:pPr>
    </w:p>
    <w:tbl>
      <w:tblPr>
        <w:tblStyle w:val="5"/>
        <w:tblW w:w="4130" w:type="dxa"/>
        <w:tblInd w:w="46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43"/>
        <w:gridCol w:w="2484"/>
        <w:gridCol w:w="230"/>
        <w:gridCol w:w="220"/>
        <w:gridCol w:w="229"/>
        <w:gridCol w:w="224"/>
      </w:tblGrid>
      <w:tr w14:paraId="1BBA5B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4" w:hRule="atLeast"/>
        </w:trPr>
        <w:tc>
          <w:tcPr>
            <w:tcW w:w="743" w:type="dxa"/>
            <w:vMerge w:val="restart"/>
            <w:tcBorders>
              <w:bottom w:val="nil"/>
            </w:tcBorders>
            <w:vAlign w:val="top"/>
          </w:tcPr>
          <w:p w14:paraId="0A8E1C4C">
            <w:pPr>
              <w:pStyle w:val="6"/>
              <w:spacing w:before="20" w:line="224" w:lineRule="auto"/>
              <w:ind w:left="106" w:right="35" w:hanging="79"/>
            </w:pPr>
            <w:r>
              <w:rPr>
                <w:b/>
                <w:bCs/>
                <w:spacing w:val="-5"/>
              </w:rPr>
              <w:t>知识与技</w:t>
            </w:r>
            <w:r>
              <w:rPr>
                <w:spacing w:val="1"/>
              </w:rPr>
              <w:t xml:space="preserve"> </w:t>
            </w:r>
            <w:r>
              <w:rPr>
                <w:b/>
                <w:bCs/>
                <w:spacing w:val="1"/>
              </w:rPr>
              <w:t>能要点</w:t>
            </w:r>
          </w:p>
        </w:tc>
        <w:tc>
          <w:tcPr>
            <w:tcW w:w="2484" w:type="dxa"/>
            <w:vMerge w:val="restart"/>
            <w:tcBorders>
              <w:bottom w:val="nil"/>
            </w:tcBorders>
            <w:vAlign w:val="top"/>
          </w:tcPr>
          <w:p w14:paraId="72BC9C83">
            <w:pPr>
              <w:pStyle w:val="6"/>
              <w:spacing w:before="139" w:line="219" w:lineRule="auto"/>
              <w:ind w:left="924"/>
            </w:pPr>
            <w:r>
              <w:rPr>
                <w:b/>
                <w:bCs/>
                <w:spacing w:val="5"/>
              </w:rPr>
              <w:t>考试条目</w:t>
            </w:r>
          </w:p>
        </w:tc>
        <w:tc>
          <w:tcPr>
            <w:tcW w:w="903" w:type="dxa"/>
            <w:gridSpan w:val="4"/>
            <w:vAlign w:val="top"/>
          </w:tcPr>
          <w:p w14:paraId="44438596">
            <w:pPr>
              <w:pStyle w:val="6"/>
              <w:spacing w:before="29" w:line="211" w:lineRule="auto"/>
              <w:ind w:left="120"/>
            </w:pPr>
            <w:r>
              <w:rPr>
                <w:b/>
                <w:bCs/>
                <w:spacing w:val="-4"/>
              </w:rPr>
              <w:t>考试水平</w:t>
            </w:r>
          </w:p>
        </w:tc>
      </w:tr>
      <w:tr w14:paraId="4CCB0C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99" w:hRule="atLeast"/>
        </w:trPr>
        <w:tc>
          <w:tcPr>
            <w:tcW w:w="743" w:type="dxa"/>
            <w:vMerge w:val="continue"/>
            <w:tcBorders>
              <w:top w:val="nil"/>
            </w:tcBorders>
            <w:vAlign w:val="top"/>
          </w:tcPr>
          <w:p w14:paraId="56B3B35C">
            <w:pPr>
              <w:rPr>
                <w:rFonts w:ascii="Arial"/>
                <w:sz w:val="21"/>
              </w:rPr>
            </w:pPr>
          </w:p>
        </w:tc>
        <w:tc>
          <w:tcPr>
            <w:tcW w:w="2484" w:type="dxa"/>
            <w:vMerge w:val="continue"/>
            <w:tcBorders>
              <w:top w:val="nil"/>
            </w:tcBorders>
            <w:vAlign w:val="top"/>
          </w:tcPr>
          <w:p w14:paraId="58F57AC1">
            <w:pPr>
              <w:rPr>
                <w:rFonts w:ascii="Arial"/>
                <w:sz w:val="21"/>
              </w:rPr>
            </w:pPr>
          </w:p>
        </w:tc>
        <w:tc>
          <w:tcPr>
            <w:tcW w:w="230" w:type="dxa"/>
            <w:vAlign w:val="top"/>
          </w:tcPr>
          <w:p w14:paraId="1637B225">
            <w:pPr>
              <w:pStyle w:val="6"/>
              <w:spacing w:before="60" w:line="129" w:lineRule="exact"/>
              <w:ind w:left="18"/>
            </w:pPr>
            <w:r>
              <w:rPr>
                <w:position w:val="-2"/>
              </w:rPr>
              <w:t>A</w:t>
            </w:r>
          </w:p>
        </w:tc>
        <w:tc>
          <w:tcPr>
            <w:tcW w:w="220" w:type="dxa"/>
            <w:vAlign w:val="top"/>
          </w:tcPr>
          <w:p w14:paraId="351A6EB0">
            <w:pPr>
              <w:pStyle w:val="6"/>
              <w:spacing w:before="63" w:line="126" w:lineRule="exact"/>
              <w:ind w:left="20"/>
            </w:pPr>
            <w:r>
              <w:rPr>
                <w:b/>
                <w:bCs/>
                <w:spacing w:val="-2"/>
                <w:position w:val="-2"/>
              </w:rPr>
              <w:t>B</w:t>
            </w:r>
          </w:p>
        </w:tc>
        <w:tc>
          <w:tcPr>
            <w:tcW w:w="229" w:type="dxa"/>
            <w:vAlign w:val="top"/>
          </w:tcPr>
          <w:p w14:paraId="73D63D8E">
            <w:pPr>
              <w:pStyle w:val="6"/>
              <w:spacing w:before="61" w:line="128" w:lineRule="exact"/>
              <w:ind w:left="17"/>
            </w:pPr>
            <w:r>
              <w:rPr>
                <w:position w:val="-2"/>
              </w:rPr>
              <w:t>C</w:t>
            </w:r>
          </w:p>
        </w:tc>
        <w:tc>
          <w:tcPr>
            <w:tcW w:w="224" w:type="dxa"/>
            <w:vAlign w:val="top"/>
          </w:tcPr>
          <w:p w14:paraId="1C29EC3C">
            <w:pPr>
              <w:pStyle w:val="6"/>
              <w:spacing w:before="63" w:line="126" w:lineRule="exact"/>
              <w:ind w:left="21"/>
            </w:pPr>
            <w:r>
              <w:rPr>
                <w:b/>
                <w:bCs/>
                <w:spacing w:val="-2"/>
                <w:position w:val="-2"/>
              </w:rPr>
              <w:t>D</w:t>
            </w:r>
          </w:p>
        </w:tc>
      </w:tr>
      <w:tr w14:paraId="403967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95" w:hRule="atLeast"/>
        </w:trPr>
        <w:tc>
          <w:tcPr>
            <w:tcW w:w="743" w:type="dxa"/>
            <w:vAlign w:val="top"/>
          </w:tcPr>
          <w:p w14:paraId="0083C041">
            <w:pPr>
              <w:pStyle w:val="6"/>
              <w:spacing w:before="269" w:line="221" w:lineRule="auto"/>
              <w:ind w:left="105"/>
            </w:pPr>
            <w:r>
              <w:rPr>
                <w:spacing w:val="2"/>
              </w:rPr>
              <w:t>图文表</w:t>
            </w:r>
          </w:p>
          <w:p w14:paraId="2E7E4661">
            <w:pPr>
              <w:pStyle w:val="6"/>
              <w:spacing w:before="8" w:line="223" w:lineRule="auto"/>
              <w:ind w:left="194"/>
            </w:pPr>
            <w:r>
              <w:rPr>
                <w:spacing w:val="-3"/>
              </w:rPr>
              <w:t>混合</w:t>
            </w:r>
          </w:p>
          <w:p w14:paraId="5EC1ABEC">
            <w:pPr>
              <w:pStyle w:val="6"/>
              <w:spacing w:before="1" w:line="220" w:lineRule="auto"/>
              <w:ind w:left="194"/>
            </w:pPr>
            <w:r>
              <w:rPr>
                <w:spacing w:val="-2"/>
              </w:rPr>
              <w:t>排版</w:t>
            </w:r>
          </w:p>
        </w:tc>
        <w:tc>
          <w:tcPr>
            <w:tcW w:w="2484" w:type="dxa"/>
            <w:vAlign w:val="top"/>
          </w:tcPr>
          <w:p w14:paraId="5F9AC3D5">
            <w:pPr>
              <w:pStyle w:val="6"/>
              <w:spacing w:before="29" w:line="219" w:lineRule="auto"/>
              <w:ind w:left="12"/>
            </w:pPr>
            <w:r>
              <w:t>1.插入与编辑图片、艺术字</w:t>
            </w:r>
          </w:p>
          <w:p w14:paraId="3F5F409F">
            <w:pPr>
              <w:pStyle w:val="6"/>
              <w:spacing w:before="26" w:line="236" w:lineRule="auto"/>
              <w:ind w:left="12" w:right="770"/>
              <w:jc w:val="both"/>
            </w:pPr>
            <w:r>
              <w:rPr>
                <w:spacing w:val="-1"/>
              </w:rPr>
              <w:t>2.插入与编辑形状图形</w:t>
            </w:r>
            <w:r>
              <w:rPr>
                <w:spacing w:val="1"/>
              </w:rPr>
              <w:t xml:space="preserve"> </w:t>
            </w:r>
            <w:r>
              <w:rPr>
                <w:spacing w:val="-1"/>
              </w:rPr>
              <w:t>3.插入与编辑数学公式</w:t>
            </w:r>
            <w:r>
              <w:t xml:space="preserve"> </w:t>
            </w:r>
            <w:r>
              <w:rPr>
                <w:spacing w:val="2"/>
              </w:rPr>
              <w:t>4.文本框的使用</w:t>
            </w:r>
          </w:p>
          <w:p w14:paraId="1EA89483">
            <w:pPr>
              <w:pStyle w:val="6"/>
              <w:spacing w:before="10" w:line="179" w:lineRule="auto"/>
              <w:ind w:left="12"/>
            </w:pPr>
            <w:r>
              <w:rPr>
                <w:spacing w:val="-1"/>
              </w:rPr>
              <w:t>5.图、文、表混排</w:t>
            </w:r>
          </w:p>
        </w:tc>
        <w:tc>
          <w:tcPr>
            <w:tcW w:w="230" w:type="dxa"/>
            <w:vAlign w:val="top"/>
          </w:tcPr>
          <w:p w14:paraId="375A5FB1">
            <w:pPr>
              <w:rPr>
                <w:rFonts w:ascii="Arial"/>
                <w:sz w:val="21"/>
              </w:rPr>
            </w:pPr>
          </w:p>
        </w:tc>
        <w:tc>
          <w:tcPr>
            <w:tcW w:w="220" w:type="dxa"/>
            <w:vAlign w:val="top"/>
          </w:tcPr>
          <w:p w14:paraId="42D831A9">
            <w:pPr>
              <w:rPr>
                <w:rFonts w:ascii="Arial"/>
                <w:sz w:val="21"/>
              </w:rPr>
            </w:pPr>
          </w:p>
        </w:tc>
        <w:tc>
          <w:tcPr>
            <w:tcW w:w="229" w:type="dxa"/>
            <w:vAlign w:val="top"/>
          </w:tcPr>
          <w:p w14:paraId="639B2DDC">
            <w:pPr>
              <w:rPr>
                <w:rFonts w:ascii="Arial"/>
                <w:sz w:val="21"/>
              </w:rPr>
            </w:pPr>
          </w:p>
        </w:tc>
        <w:tc>
          <w:tcPr>
            <w:tcW w:w="224" w:type="dxa"/>
            <w:vAlign w:val="top"/>
          </w:tcPr>
          <w:p w14:paraId="22476E58">
            <w:pPr>
              <w:rPr>
                <w:rFonts w:ascii="Arial"/>
                <w:sz w:val="21"/>
              </w:rPr>
            </w:pPr>
          </w:p>
        </w:tc>
      </w:tr>
      <w:tr w14:paraId="3F2960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52" w:hRule="atLeast"/>
        </w:trPr>
        <w:tc>
          <w:tcPr>
            <w:tcW w:w="743" w:type="dxa"/>
            <w:vAlign w:val="top"/>
          </w:tcPr>
          <w:p w14:paraId="38771E90">
            <w:pPr>
              <w:pStyle w:val="6"/>
              <w:spacing w:before="70"/>
              <w:ind w:left="194"/>
            </w:pPr>
            <w:r>
              <w:rPr>
                <w:spacing w:val="-1"/>
              </w:rPr>
              <w:t>Word</w:t>
            </w:r>
          </w:p>
          <w:p w14:paraId="32BFEE9E">
            <w:pPr>
              <w:pStyle w:val="6"/>
              <w:spacing w:before="25" w:line="159" w:lineRule="auto"/>
              <w:ind w:left="194"/>
            </w:pPr>
            <w:r>
              <w:rPr>
                <w:spacing w:val="-2"/>
              </w:rPr>
              <w:t>2016</w:t>
            </w:r>
          </w:p>
          <w:p w14:paraId="7E3D9B11">
            <w:pPr>
              <w:pStyle w:val="6"/>
              <w:spacing w:line="193" w:lineRule="auto"/>
              <w:ind w:left="25"/>
            </w:pPr>
            <w:r>
              <w:rPr>
                <w:spacing w:val="-3"/>
              </w:rPr>
              <w:t>高级功能</w:t>
            </w:r>
          </w:p>
        </w:tc>
        <w:tc>
          <w:tcPr>
            <w:tcW w:w="2484" w:type="dxa"/>
            <w:vAlign w:val="top"/>
          </w:tcPr>
          <w:p w14:paraId="62BFD659">
            <w:pPr>
              <w:pStyle w:val="6"/>
              <w:spacing w:before="33" w:line="219" w:lineRule="auto"/>
              <w:ind w:left="12"/>
            </w:pPr>
            <w:r>
              <w:t>1.创建文档目录、脚注、尾注</w:t>
            </w:r>
          </w:p>
          <w:p w14:paraId="76C3E5FA">
            <w:pPr>
              <w:pStyle w:val="6"/>
              <w:spacing w:before="39" w:line="217" w:lineRule="auto"/>
              <w:ind w:left="12"/>
            </w:pPr>
            <w:r>
              <w:rPr>
                <w:spacing w:val="-1"/>
              </w:rPr>
              <w:t>2.邮件合并功能</w:t>
            </w:r>
          </w:p>
          <w:p w14:paraId="067DBF9A">
            <w:pPr>
              <w:pStyle w:val="6"/>
              <w:spacing w:line="182" w:lineRule="auto"/>
              <w:ind w:left="12"/>
            </w:pPr>
            <w:r>
              <w:rPr>
                <w:spacing w:val="-2"/>
              </w:rPr>
              <w:t>3.修订和批注功能</w:t>
            </w:r>
          </w:p>
        </w:tc>
        <w:tc>
          <w:tcPr>
            <w:tcW w:w="230" w:type="dxa"/>
            <w:vAlign w:val="top"/>
          </w:tcPr>
          <w:p w14:paraId="2B1B465B">
            <w:pPr>
              <w:rPr>
                <w:rFonts w:ascii="Arial"/>
                <w:sz w:val="21"/>
              </w:rPr>
            </w:pPr>
          </w:p>
        </w:tc>
        <w:tc>
          <w:tcPr>
            <w:tcW w:w="220" w:type="dxa"/>
            <w:vAlign w:val="top"/>
          </w:tcPr>
          <w:p w14:paraId="2563525C">
            <w:pPr>
              <w:rPr>
                <w:rFonts w:ascii="Arial"/>
                <w:sz w:val="21"/>
              </w:rPr>
            </w:pPr>
          </w:p>
        </w:tc>
        <w:tc>
          <w:tcPr>
            <w:tcW w:w="229" w:type="dxa"/>
            <w:vAlign w:val="top"/>
          </w:tcPr>
          <w:p w14:paraId="61EC37F6">
            <w:pPr>
              <w:rPr>
                <w:rFonts w:ascii="Arial"/>
                <w:sz w:val="21"/>
              </w:rPr>
            </w:pPr>
          </w:p>
        </w:tc>
        <w:tc>
          <w:tcPr>
            <w:tcW w:w="224" w:type="dxa"/>
            <w:vAlign w:val="top"/>
          </w:tcPr>
          <w:p w14:paraId="6B94F600">
            <w:pPr>
              <w:rPr>
                <w:rFonts w:ascii="Arial"/>
                <w:sz w:val="21"/>
              </w:rPr>
            </w:pPr>
          </w:p>
        </w:tc>
      </w:tr>
    </w:tbl>
    <w:p w14:paraId="7D2A714A">
      <w:pPr>
        <w:spacing w:before="102" w:line="219" w:lineRule="auto"/>
        <w:ind w:left="5035"/>
        <w:rPr>
          <w:rFonts w:ascii="宋体" w:hAnsi="宋体" w:eastAsia="宋体" w:cs="宋体"/>
          <w:sz w:val="17"/>
          <w:szCs w:val="17"/>
        </w:rPr>
      </w:pPr>
      <w:r>
        <w:pict>
          <v:shape id="_x0000_s1052" o:spid="_x0000_s1052" o:spt="202" type="#_x0000_t202" style="position:absolute;left:0pt;margin-left:-1pt;margin-top:12.5pt;height:502.55pt;width:209.05pt;z-index:251701248;mso-width-relative:page;mso-height-relative:page;" filled="f" stroked="f" coordsize="21600,21600">
            <v:path/>
            <v:fill on="f" focussize="0,0"/>
            <v:stroke on="f"/>
            <v:imagedata o:title=""/>
            <o:lock v:ext="edit" aspectratio="f"/>
            <v:textbox inset="0mm,0mm,0mm,0mm">
              <w:txbxContent>
                <w:p w14:paraId="76B0A4B5">
                  <w:pPr>
                    <w:spacing w:line="20" w:lineRule="exact"/>
                  </w:pPr>
                </w:p>
                <w:tbl>
                  <w:tblPr>
                    <w:tblStyle w:val="5"/>
                    <w:tblW w:w="4130" w:type="dxa"/>
                    <w:tblInd w:w="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43"/>
                    <w:gridCol w:w="2484"/>
                    <w:gridCol w:w="219"/>
                    <w:gridCol w:w="230"/>
                    <w:gridCol w:w="230"/>
                    <w:gridCol w:w="224"/>
                  </w:tblGrid>
                  <w:tr w14:paraId="3FD6A4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5" w:hRule="atLeast"/>
                    </w:trPr>
                    <w:tc>
                      <w:tcPr>
                        <w:tcW w:w="743" w:type="dxa"/>
                        <w:vMerge w:val="restart"/>
                        <w:tcBorders>
                          <w:bottom w:val="nil"/>
                        </w:tcBorders>
                        <w:vAlign w:val="top"/>
                      </w:tcPr>
                      <w:p w14:paraId="3E9DFFFE">
                        <w:pPr>
                          <w:pStyle w:val="6"/>
                          <w:spacing w:before="21" w:line="212" w:lineRule="auto"/>
                          <w:ind w:left="97" w:right="6" w:hanging="80"/>
                          <w:rPr>
                            <w:sz w:val="18"/>
                            <w:szCs w:val="18"/>
                          </w:rPr>
                        </w:pPr>
                        <w:r>
                          <w:rPr>
                            <w:b/>
                            <w:bCs/>
                            <w:spacing w:val="-5"/>
                            <w:sz w:val="18"/>
                            <w:szCs w:val="18"/>
                          </w:rPr>
                          <w:t>知识与技</w:t>
                        </w:r>
                        <w:r>
                          <w:rPr>
                            <w:sz w:val="18"/>
                            <w:szCs w:val="18"/>
                          </w:rPr>
                          <w:t xml:space="preserve"> </w:t>
                        </w:r>
                        <w:r>
                          <w:rPr>
                            <w:b/>
                            <w:bCs/>
                            <w:spacing w:val="1"/>
                            <w:sz w:val="18"/>
                            <w:szCs w:val="18"/>
                          </w:rPr>
                          <w:t>能要点</w:t>
                        </w:r>
                      </w:p>
                    </w:tc>
                    <w:tc>
                      <w:tcPr>
                        <w:tcW w:w="2484" w:type="dxa"/>
                        <w:vMerge w:val="restart"/>
                        <w:tcBorders>
                          <w:bottom w:val="nil"/>
                        </w:tcBorders>
                        <w:vAlign w:val="top"/>
                      </w:tcPr>
                      <w:p w14:paraId="57F6325D">
                        <w:pPr>
                          <w:pStyle w:val="6"/>
                          <w:spacing w:before="129" w:line="219" w:lineRule="auto"/>
                          <w:ind w:left="914"/>
                          <w:rPr>
                            <w:sz w:val="18"/>
                            <w:szCs w:val="18"/>
                          </w:rPr>
                        </w:pPr>
                        <w:r>
                          <w:rPr>
                            <w:b/>
                            <w:bCs/>
                            <w:spacing w:val="5"/>
                            <w:sz w:val="18"/>
                            <w:szCs w:val="18"/>
                          </w:rPr>
                          <w:t>考试条目</w:t>
                        </w:r>
                      </w:p>
                    </w:tc>
                    <w:tc>
                      <w:tcPr>
                        <w:tcW w:w="903" w:type="dxa"/>
                        <w:gridSpan w:val="4"/>
                        <w:vAlign w:val="top"/>
                      </w:tcPr>
                      <w:p w14:paraId="67D677F6">
                        <w:pPr>
                          <w:pStyle w:val="6"/>
                          <w:spacing w:before="20" w:line="200" w:lineRule="auto"/>
                          <w:ind w:left="130"/>
                          <w:rPr>
                            <w:sz w:val="18"/>
                            <w:szCs w:val="18"/>
                          </w:rPr>
                        </w:pPr>
                        <w:r>
                          <w:rPr>
                            <w:b/>
                            <w:bCs/>
                            <w:spacing w:val="-4"/>
                            <w:sz w:val="18"/>
                            <w:szCs w:val="18"/>
                          </w:rPr>
                          <w:t>考试水平</w:t>
                        </w:r>
                      </w:p>
                    </w:tc>
                  </w:tr>
                  <w:tr w14:paraId="3128E4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0" w:hRule="atLeast"/>
                    </w:trPr>
                    <w:tc>
                      <w:tcPr>
                        <w:tcW w:w="743" w:type="dxa"/>
                        <w:vMerge w:val="continue"/>
                        <w:tcBorders>
                          <w:top w:val="nil"/>
                        </w:tcBorders>
                        <w:vAlign w:val="top"/>
                      </w:tcPr>
                      <w:p w14:paraId="26A89B02">
                        <w:pPr>
                          <w:rPr>
                            <w:rFonts w:ascii="Arial"/>
                            <w:sz w:val="21"/>
                          </w:rPr>
                        </w:pPr>
                      </w:p>
                    </w:tc>
                    <w:tc>
                      <w:tcPr>
                        <w:tcW w:w="2484" w:type="dxa"/>
                        <w:vMerge w:val="continue"/>
                        <w:tcBorders>
                          <w:top w:val="nil"/>
                        </w:tcBorders>
                        <w:vAlign w:val="top"/>
                      </w:tcPr>
                      <w:p w14:paraId="02853B0E">
                        <w:pPr>
                          <w:rPr>
                            <w:rFonts w:ascii="Arial"/>
                            <w:sz w:val="21"/>
                          </w:rPr>
                        </w:pPr>
                      </w:p>
                    </w:tc>
                    <w:tc>
                      <w:tcPr>
                        <w:tcW w:w="219" w:type="dxa"/>
                        <w:vAlign w:val="top"/>
                      </w:tcPr>
                      <w:p w14:paraId="4098B631">
                        <w:pPr>
                          <w:pStyle w:val="6"/>
                          <w:spacing w:before="62" w:line="138" w:lineRule="exact"/>
                          <w:ind w:left="58"/>
                          <w:rPr>
                            <w:sz w:val="18"/>
                            <w:szCs w:val="18"/>
                          </w:rPr>
                        </w:pPr>
                        <w:r>
                          <w:rPr>
                            <w:position w:val="-2"/>
                            <w:sz w:val="18"/>
                            <w:szCs w:val="18"/>
                          </w:rPr>
                          <w:t>A</w:t>
                        </w:r>
                      </w:p>
                    </w:tc>
                    <w:tc>
                      <w:tcPr>
                        <w:tcW w:w="230" w:type="dxa"/>
                        <w:vAlign w:val="top"/>
                      </w:tcPr>
                      <w:p w14:paraId="3DA81054">
                        <w:pPr>
                          <w:pStyle w:val="6"/>
                          <w:spacing w:before="65" w:line="135" w:lineRule="exact"/>
                          <w:ind w:left="21"/>
                          <w:rPr>
                            <w:sz w:val="18"/>
                            <w:szCs w:val="18"/>
                          </w:rPr>
                        </w:pPr>
                        <w:r>
                          <w:rPr>
                            <w:b/>
                            <w:bCs/>
                            <w:spacing w:val="-2"/>
                            <w:position w:val="-2"/>
                            <w:sz w:val="18"/>
                            <w:szCs w:val="18"/>
                          </w:rPr>
                          <w:t>B</w:t>
                        </w:r>
                      </w:p>
                    </w:tc>
                    <w:tc>
                      <w:tcPr>
                        <w:tcW w:w="230" w:type="dxa"/>
                        <w:vAlign w:val="top"/>
                      </w:tcPr>
                      <w:p w14:paraId="2320ECFA">
                        <w:pPr>
                          <w:pStyle w:val="6"/>
                          <w:spacing w:before="63" w:line="136" w:lineRule="exact"/>
                          <w:ind w:left="19"/>
                          <w:rPr>
                            <w:sz w:val="18"/>
                            <w:szCs w:val="18"/>
                          </w:rPr>
                        </w:pPr>
                        <w:r>
                          <w:rPr>
                            <w:position w:val="-2"/>
                            <w:sz w:val="18"/>
                            <w:szCs w:val="18"/>
                          </w:rPr>
                          <w:t>C</w:t>
                        </w:r>
                      </w:p>
                    </w:tc>
                    <w:tc>
                      <w:tcPr>
                        <w:tcW w:w="224" w:type="dxa"/>
                        <w:vAlign w:val="top"/>
                      </w:tcPr>
                      <w:p w14:paraId="7233C2C5">
                        <w:pPr>
                          <w:pStyle w:val="6"/>
                          <w:spacing w:before="65" w:line="135" w:lineRule="exact"/>
                          <w:ind w:left="51"/>
                          <w:rPr>
                            <w:sz w:val="18"/>
                            <w:szCs w:val="18"/>
                          </w:rPr>
                        </w:pPr>
                        <w:r>
                          <w:rPr>
                            <w:b/>
                            <w:bCs/>
                            <w:spacing w:val="-2"/>
                            <w:position w:val="-2"/>
                            <w:sz w:val="18"/>
                            <w:szCs w:val="18"/>
                          </w:rPr>
                          <w:t>D</w:t>
                        </w:r>
                      </w:p>
                    </w:tc>
                  </w:tr>
                  <w:tr w14:paraId="0EB102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59" w:hRule="atLeast"/>
                    </w:trPr>
                    <w:tc>
                      <w:tcPr>
                        <w:tcW w:w="743" w:type="dxa"/>
                        <w:vAlign w:val="top"/>
                      </w:tcPr>
                      <w:p w14:paraId="61C7C62D">
                        <w:pPr>
                          <w:pStyle w:val="6"/>
                          <w:spacing w:before="266" w:line="207" w:lineRule="auto"/>
                          <w:ind w:left="95"/>
                          <w:rPr>
                            <w:sz w:val="18"/>
                            <w:szCs w:val="18"/>
                          </w:rPr>
                        </w:pPr>
                        <w:r>
                          <w:rPr>
                            <w:spacing w:val="4"/>
                            <w:sz w:val="18"/>
                            <w:szCs w:val="18"/>
                          </w:rPr>
                          <w:t>图文编</w:t>
                        </w:r>
                      </w:p>
                      <w:p w14:paraId="7D1B0847">
                        <w:pPr>
                          <w:pStyle w:val="6"/>
                          <w:spacing w:line="220" w:lineRule="auto"/>
                          <w:ind w:left="95"/>
                          <w:rPr>
                            <w:sz w:val="18"/>
                            <w:szCs w:val="18"/>
                          </w:rPr>
                        </w:pPr>
                        <w:r>
                          <w:rPr>
                            <w:spacing w:val="-2"/>
                            <w:sz w:val="18"/>
                            <w:szCs w:val="18"/>
                          </w:rPr>
                          <w:t>辑基础</w:t>
                        </w:r>
                      </w:p>
                      <w:p w14:paraId="4D06E0CB">
                        <w:pPr>
                          <w:pStyle w:val="6"/>
                          <w:spacing w:before="5" w:line="221" w:lineRule="auto"/>
                          <w:ind w:left="185"/>
                          <w:rPr>
                            <w:sz w:val="18"/>
                            <w:szCs w:val="18"/>
                          </w:rPr>
                        </w:pPr>
                        <w:r>
                          <w:rPr>
                            <w:spacing w:val="5"/>
                            <w:sz w:val="18"/>
                            <w:szCs w:val="18"/>
                          </w:rPr>
                          <w:t>知识</w:t>
                        </w:r>
                      </w:p>
                    </w:tc>
                    <w:tc>
                      <w:tcPr>
                        <w:tcW w:w="2484" w:type="dxa"/>
                        <w:vAlign w:val="top"/>
                      </w:tcPr>
                      <w:p w14:paraId="1C8B51D0">
                        <w:pPr>
                          <w:pStyle w:val="6"/>
                          <w:spacing w:before="27" w:line="219" w:lineRule="auto"/>
                          <w:ind w:left="252"/>
                          <w:rPr>
                            <w:sz w:val="18"/>
                            <w:szCs w:val="18"/>
                          </w:rPr>
                        </w:pPr>
                        <w:r>
                          <w:rPr>
                            <w:sz w:val="18"/>
                            <w:szCs w:val="18"/>
                          </w:rPr>
                          <w:t>1.常用的图文编辑软件</w:t>
                        </w:r>
                      </w:p>
                      <w:p w14:paraId="794ED12F">
                        <w:pPr>
                          <w:pStyle w:val="6"/>
                          <w:spacing w:before="26" w:line="195" w:lineRule="auto"/>
                          <w:ind w:left="252"/>
                          <w:rPr>
                            <w:sz w:val="18"/>
                            <w:szCs w:val="18"/>
                          </w:rPr>
                        </w:pPr>
                        <w:r>
                          <w:rPr>
                            <w:spacing w:val="2"/>
                            <w:sz w:val="18"/>
                            <w:szCs w:val="18"/>
                          </w:rPr>
                          <w:t>2.</w:t>
                        </w:r>
                        <w:r>
                          <w:rPr>
                            <w:sz w:val="18"/>
                            <w:szCs w:val="18"/>
                          </w:rPr>
                          <w:t>Word</w:t>
                        </w:r>
                        <w:r>
                          <w:rPr>
                            <w:spacing w:val="2"/>
                            <w:sz w:val="18"/>
                            <w:szCs w:val="18"/>
                          </w:rPr>
                          <w:t>的启动与退出</w:t>
                        </w:r>
                      </w:p>
                      <w:p w14:paraId="23A86DC0">
                        <w:pPr>
                          <w:pStyle w:val="6"/>
                          <w:spacing w:line="214" w:lineRule="auto"/>
                          <w:ind w:left="12"/>
                          <w:rPr>
                            <w:sz w:val="18"/>
                            <w:szCs w:val="18"/>
                          </w:rPr>
                        </w:pPr>
                        <w:r>
                          <w:rPr>
                            <w:spacing w:val="-1"/>
                            <w:sz w:val="18"/>
                            <w:szCs w:val="18"/>
                          </w:rPr>
                          <w:t>3.Word工作窗口的组成与基</w:t>
                        </w:r>
                      </w:p>
                      <w:p w14:paraId="6C6358B2">
                        <w:pPr>
                          <w:pStyle w:val="6"/>
                          <w:spacing w:line="195" w:lineRule="auto"/>
                          <w:ind w:left="252"/>
                          <w:rPr>
                            <w:sz w:val="18"/>
                            <w:szCs w:val="18"/>
                          </w:rPr>
                        </w:pPr>
                        <w:r>
                          <w:rPr>
                            <w:spacing w:val="-2"/>
                            <w:sz w:val="18"/>
                            <w:szCs w:val="18"/>
                          </w:rPr>
                          <w:t>本操作</w:t>
                        </w:r>
                      </w:p>
                      <w:p w14:paraId="55703D97">
                        <w:pPr>
                          <w:pStyle w:val="6"/>
                          <w:spacing w:line="196" w:lineRule="auto"/>
                          <w:ind w:left="252"/>
                          <w:rPr>
                            <w:sz w:val="18"/>
                            <w:szCs w:val="18"/>
                          </w:rPr>
                        </w:pPr>
                        <w:r>
                          <w:rPr>
                            <w:spacing w:val="-1"/>
                            <w:sz w:val="18"/>
                            <w:szCs w:val="18"/>
                          </w:rPr>
                          <w:t>4.在Word中获取帮助</w:t>
                        </w:r>
                      </w:p>
                    </w:tc>
                    <w:tc>
                      <w:tcPr>
                        <w:tcW w:w="219" w:type="dxa"/>
                        <w:vAlign w:val="top"/>
                      </w:tcPr>
                      <w:p w14:paraId="2F725724">
                        <w:pPr>
                          <w:pStyle w:val="6"/>
                          <w:spacing w:before="76" w:line="238" w:lineRule="auto"/>
                          <w:ind w:left="48"/>
                          <w:rPr>
                            <w:sz w:val="12"/>
                            <w:szCs w:val="12"/>
                          </w:rPr>
                        </w:pPr>
                        <w:r>
                          <w:rPr>
                            <w:sz w:val="12"/>
                            <w:szCs w:val="12"/>
                          </w:rPr>
                          <w:t>√</w:t>
                        </w:r>
                      </w:p>
                    </w:tc>
                    <w:tc>
                      <w:tcPr>
                        <w:tcW w:w="230" w:type="dxa"/>
                        <w:vAlign w:val="top"/>
                      </w:tcPr>
                      <w:p w14:paraId="37EA126B">
                        <w:pPr>
                          <w:rPr>
                            <w:rFonts w:ascii="Arial"/>
                            <w:sz w:val="21"/>
                          </w:rPr>
                        </w:pPr>
                      </w:p>
                    </w:tc>
                    <w:tc>
                      <w:tcPr>
                        <w:tcW w:w="230" w:type="dxa"/>
                        <w:vAlign w:val="top"/>
                      </w:tcPr>
                      <w:p w14:paraId="42236900">
                        <w:pPr>
                          <w:spacing w:line="299" w:lineRule="auto"/>
                          <w:rPr>
                            <w:rFonts w:ascii="Arial"/>
                            <w:sz w:val="21"/>
                          </w:rPr>
                        </w:pPr>
                      </w:p>
                      <w:p w14:paraId="5C68318F">
                        <w:pPr>
                          <w:spacing w:before="1" w:line="301" w:lineRule="exact"/>
                          <w:ind w:firstLine="42"/>
                        </w:pPr>
                        <w:r>
                          <w:rPr>
                            <w:position w:val="-6"/>
                          </w:rPr>
                          <w:drawing>
                            <wp:inline distT="0" distB="0" distL="0" distR="0">
                              <wp:extent cx="94615" cy="191135"/>
                              <wp:effectExtent l="0" t="0" r="0" b="0"/>
                              <wp:docPr id="464" name="IM 464"/>
                              <wp:cNvGraphicFramePr/>
                              <a:graphic xmlns:a="http://schemas.openxmlformats.org/drawingml/2006/main">
                                <a:graphicData uri="http://schemas.openxmlformats.org/drawingml/2006/picture">
                                  <pic:pic xmlns:pic="http://schemas.openxmlformats.org/drawingml/2006/picture">
                                    <pic:nvPicPr>
                                      <pic:cNvPr id="464" name="IM 464"/>
                                      <pic:cNvPicPr/>
                                    </pic:nvPicPr>
                                    <pic:blipFill>
                                      <a:blip r:embed="rId396"/>
                                      <a:stretch>
                                        <a:fillRect/>
                                      </a:stretch>
                                    </pic:blipFill>
                                    <pic:spPr>
                                      <a:xfrm>
                                        <a:off x="0" y="0"/>
                                        <a:ext cx="95241" cy="191515"/>
                                      </a:xfrm>
                                      <a:prstGeom prst="rect">
                                        <a:avLst/>
                                      </a:prstGeom>
                                    </pic:spPr>
                                  </pic:pic>
                                </a:graphicData>
                              </a:graphic>
                            </wp:inline>
                          </w:drawing>
                        </w:r>
                      </w:p>
                    </w:tc>
                    <w:tc>
                      <w:tcPr>
                        <w:tcW w:w="224" w:type="dxa"/>
                        <w:vAlign w:val="top"/>
                      </w:tcPr>
                      <w:p w14:paraId="2D25B1D8">
                        <w:pPr>
                          <w:rPr>
                            <w:rFonts w:ascii="Arial"/>
                            <w:sz w:val="21"/>
                          </w:rPr>
                        </w:pPr>
                      </w:p>
                    </w:tc>
                  </w:tr>
                  <w:tr w14:paraId="4781AC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08" w:hRule="atLeast"/>
                    </w:trPr>
                    <w:tc>
                      <w:tcPr>
                        <w:tcW w:w="743" w:type="dxa"/>
                        <w:vAlign w:val="top"/>
                      </w:tcPr>
                      <w:p w14:paraId="2A2FF461">
                        <w:pPr>
                          <w:spacing w:line="357" w:lineRule="auto"/>
                          <w:rPr>
                            <w:rFonts w:ascii="Arial"/>
                            <w:sz w:val="21"/>
                          </w:rPr>
                        </w:pPr>
                      </w:p>
                      <w:p w14:paraId="4E97EF0C">
                        <w:pPr>
                          <w:spacing w:line="358" w:lineRule="auto"/>
                          <w:rPr>
                            <w:rFonts w:ascii="Arial"/>
                            <w:sz w:val="21"/>
                          </w:rPr>
                        </w:pPr>
                      </w:p>
                      <w:p w14:paraId="163D452F">
                        <w:pPr>
                          <w:pStyle w:val="6"/>
                          <w:spacing w:before="58" w:line="215" w:lineRule="auto"/>
                          <w:ind w:left="95"/>
                          <w:rPr>
                            <w:sz w:val="18"/>
                            <w:szCs w:val="18"/>
                          </w:rPr>
                        </w:pPr>
                        <w:r>
                          <w:rPr>
                            <w:spacing w:val="4"/>
                            <w:sz w:val="18"/>
                            <w:szCs w:val="18"/>
                          </w:rPr>
                          <w:t>文档的</w:t>
                        </w:r>
                      </w:p>
                      <w:p w14:paraId="5CAC7E35">
                        <w:pPr>
                          <w:pStyle w:val="6"/>
                          <w:spacing w:line="195" w:lineRule="auto"/>
                          <w:ind w:left="185"/>
                          <w:rPr>
                            <w:sz w:val="18"/>
                            <w:szCs w:val="18"/>
                          </w:rPr>
                        </w:pPr>
                        <w:r>
                          <w:rPr>
                            <w:spacing w:val="-2"/>
                            <w:sz w:val="18"/>
                            <w:szCs w:val="18"/>
                          </w:rPr>
                          <w:t>基本</w:t>
                        </w:r>
                      </w:p>
                      <w:p w14:paraId="4491E39F">
                        <w:pPr>
                          <w:pStyle w:val="6"/>
                          <w:spacing w:line="219" w:lineRule="auto"/>
                          <w:ind w:left="185"/>
                          <w:rPr>
                            <w:sz w:val="18"/>
                            <w:szCs w:val="18"/>
                          </w:rPr>
                        </w:pPr>
                        <w:r>
                          <w:rPr>
                            <w:spacing w:val="-2"/>
                            <w:sz w:val="18"/>
                            <w:szCs w:val="18"/>
                          </w:rPr>
                          <w:t>操作</w:t>
                        </w:r>
                      </w:p>
                    </w:tc>
                    <w:tc>
                      <w:tcPr>
                        <w:tcW w:w="2484" w:type="dxa"/>
                        <w:vAlign w:val="top"/>
                      </w:tcPr>
                      <w:p w14:paraId="78143841">
                        <w:pPr>
                          <w:pStyle w:val="6"/>
                          <w:spacing w:before="38" w:line="209" w:lineRule="auto"/>
                          <w:ind w:left="12" w:right="458" w:firstLine="10"/>
                          <w:rPr>
                            <w:sz w:val="18"/>
                            <w:szCs w:val="18"/>
                          </w:rPr>
                        </w:pPr>
                        <w:r>
                          <w:rPr>
                            <w:spacing w:val="1"/>
                            <w:sz w:val="18"/>
                            <w:szCs w:val="18"/>
                          </w:rPr>
                          <w:t>1.建立、保存、打开文档</w:t>
                        </w:r>
                        <w:r>
                          <w:rPr>
                            <w:sz w:val="18"/>
                            <w:szCs w:val="18"/>
                          </w:rPr>
                          <w:t xml:space="preserve"> </w:t>
                        </w:r>
                        <w:r>
                          <w:rPr>
                            <w:spacing w:val="2"/>
                            <w:sz w:val="18"/>
                            <w:szCs w:val="18"/>
                          </w:rPr>
                          <w:t>2.编辑文档</w:t>
                        </w:r>
                      </w:p>
                      <w:p w14:paraId="01ABE21C">
                        <w:pPr>
                          <w:pStyle w:val="6"/>
                          <w:spacing w:line="217" w:lineRule="auto"/>
                          <w:ind w:left="252"/>
                          <w:rPr>
                            <w:sz w:val="18"/>
                            <w:szCs w:val="18"/>
                          </w:rPr>
                        </w:pPr>
                        <w:r>
                          <w:rPr>
                            <w:spacing w:val="-2"/>
                            <w:sz w:val="18"/>
                            <w:szCs w:val="18"/>
                          </w:rPr>
                          <w:t>①选定操作</w:t>
                        </w:r>
                      </w:p>
                      <w:p w14:paraId="4DC46EF4">
                        <w:pPr>
                          <w:pStyle w:val="6"/>
                          <w:spacing w:before="8" w:line="205" w:lineRule="auto"/>
                          <w:ind w:left="252"/>
                          <w:rPr>
                            <w:sz w:val="18"/>
                            <w:szCs w:val="18"/>
                          </w:rPr>
                        </w:pPr>
                        <w:r>
                          <w:rPr>
                            <w:spacing w:val="-1"/>
                            <w:sz w:val="18"/>
                            <w:szCs w:val="18"/>
                          </w:rPr>
                          <w:t>②文本的插入和修改操作</w:t>
                        </w:r>
                      </w:p>
                      <w:p w14:paraId="77F8A85F">
                        <w:pPr>
                          <w:pStyle w:val="6"/>
                          <w:spacing w:line="217" w:lineRule="auto"/>
                          <w:ind w:left="252"/>
                          <w:rPr>
                            <w:sz w:val="18"/>
                            <w:szCs w:val="18"/>
                          </w:rPr>
                        </w:pPr>
                        <w:r>
                          <w:rPr>
                            <w:spacing w:val="-1"/>
                            <w:sz w:val="18"/>
                            <w:szCs w:val="18"/>
                          </w:rPr>
                          <w:t>③符号的插入操作</w:t>
                        </w:r>
                      </w:p>
                      <w:p w14:paraId="02AB359D">
                        <w:pPr>
                          <w:pStyle w:val="6"/>
                          <w:spacing w:before="18" w:line="205" w:lineRule="auto"/>
                          <w:ind w:left="252"/>
                          <w:rPr>
                            <w:sz w:val="18"/>
                            <w:szCs w:val="18"/>
                          </w:rPr>
                        </w:pPr>
                        <w:r>
                          <w:rPr>
                            <w:spacing w:val="-1"/>
                            <w:sz w:val="18"/>
                            <w:szCs w:val="18"/>
                          </w:rPr>
                          <w:t>④删除操作</w:t>
                        </w:r>
                      </w:p>
                      <w:p w14:paraId="5E5229EA">
                        <w:pPr>
                          <w:pStyle w:val="6"/>
                          <w:spacing w:line="215" w:lineRule="auto"/>
                          <w:ind w:left="252"/>
                          <w:rPr>
                            <w:sz w:val="18"/>
                            <w:szCs w:val="18"/>
                          </w:rPr>
                        </w:pPr>
                        <w:r>
                          <w:rPr>
                            <w:spacing w:val="-1"/>
                            <w:sz w:val="18"/>
                            <w:szCs w:val="18"/>
                          </w:rPr>
                          <w:t>⑤复制和移动操作</w:t>
                        </w:r>
                      </w:p>
                      <w:p w14:paraId="13F49AAA">
                        <w:pPr>
                          <w:pStyle w:val="6"/>
                          <w:spacing w:line="215" w:lineRule="auto"/>
                          <w:ind w:left="252"/>
                          <w:rPr>
                            <w:sz w:val="18"/>
                            <w:szCs w:val="18"/>
                          </w:rPr>
                        </w:pPr>
                        <w:r>
                          <w:rPr>
                            <w:spacing w:val="-1"/>
                            <w:sz w:val="18"/>
                            <w:szCs w:val="18"/>
                          </w:rPr>
                          <w:t>⑥查找和替换操作</w:t>
                        </w:r>
                      </w:p>
                      <w:p w14:paraId="17046989">
                        <w:pPr>
                          <w:pStyle w:val="6"/>
                          <w:spacing w:before="2" w:line="195" w:lineRule="auto"/>
                          <w:ind w:left="12" w:right="648" w:firstLine="239"/>
                          <w:rPr>
                            <w:sz w:val="18"/>
                            <w:szCs w:val="18"/>
                          </w:rPr>
                        </w:pPr>
                        <w:r>
                          <w:rPr>
                            <w:spacing w:val="-1"/>
                            <w:sz w:val="18"/>
                            <w:szCs w:val="18"/>
                          </w:rPr>
                          <w:t>⑦撤销与恢复操作</w:t>
                        </w:r>
                        <w:r>
                          <w:rPr>
                            <w:sz w:val="18"/>
                            <w:szCs w:val="18"/>
                          </w:rPr>
                          <w:t xml:space="preserve">  </w:t>
                        </w:r>
                        <w:r>
                          <w:rPr>
                            <w:spacing w:val="1"/>
                            <w:sz w:val="18"/>
                            <w:szCs w:val="18"/>
                          </w:rPr>
                          <w:t>3.打印预览与打印文档</w:t>
                        </w:r>
                      </w:p>
                    </w:tc>
                    <w:tc>
                      <w:tcPr>
                        <w:tcW w:w="219" w:type="dxa"/>
                        <w:vAlign w:val="top"/>
                      </w:tcPr>
                      <w:p w14:paraId="15A96B08">
                        <w:pPr>
                          <w:rPr>
                            <w:rFonts w:ascii="Arial"/>
                            <w:sz w:val="21"/>
                          </w:rPr>
                        </w:pPr>
                      </w:p>
                    </w:tc>
                    <w:tc>
                      <w:tcPr>
                        <w:tcW w:w="230" w:type="dxa"/>
                        <w:vAlign w:val="top"/>
                      </w:tcPr>
                      <w:p w14:paraId="6F4D3A9D">
                        <w:pPr>
                          <w:rPr>
                            <w:rFonts w:ascii="Arial"/>
                            <w:sz w:val="21"/>
                          </w:rPr>
                        </w:pPr>
                      </w:p>
                    </w:tc>
                    <w:tc>
                      <w:tcPr>
                        <w:tcW w:w="230" w:type="dxa"/>
                        <w:vAlign w:val="top"/>
                      </w:tcPr>
                      <w:p w14:paraId="107B335C">
                        <w:pPr>
                          <w:rPr>
                            <w:rFonts w:ascii="Arial"/>
                            <w:sz w:val="21"/>
                          </w:rPr>
                        </w:pPr>
                      </w:p>
                    </w:tc>
                    <w:tc>
                      <w:tcPr>
                        <w:tcW w:w="224" w:type="dxa"/>
                        <w:vAlign w:val="top"/>
                      </w:tcPr>
                      <w:p w14:paraId="61EC2F5D">
                        <w:pPr>
                          <w:rPr>
                            <w:rFonts w:ascii="Arial"/>
                            <w:sz w:val="21"/>
                          </w:rPr>
                        </w:pPr>
                      </w:p>
                    </w:tc>
                  </w:tr>
                  <w:tr w14:paraId="17AB35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95" w:hRule="atLeast"/>
                    </w:trPr>
                    <w:tc>
                      <w:tcPr>
                        <w:tcW w:w="743" w:type="dxa"/>
                        <w:vAlign w:val="top"/>
                      </w:tcPr>
                      <w:p w14:paraId="71974E05">
                        <w:pPr>
                          <w:spacing w:line="251" w:lineRule="auto"/>
                          <w:rPr>
                            <w:rFonts w:ascii="Arial"/>
                            <w:sz w:val="21"/>
                          </w:rPr>
                        </w:pPr>
                      </w:p>
                      <w:p w14:paraId="6E3CA253">
                        <w:pPr>
                          <w:spacing w:line="251" w:lineRule="auto"/>
                          <w:rPr>
                            <w:rFonts w:ascii="Arial"/>
                            <w:sz w:val="21"/>
                          </w:rPr>
                        </w:pPr>
                      </w:p>
                      <w:p w14:paraId="79CD3ED7">
                        <w:pPr>
                          <w:spacing w:line="251" w:lineRule="auto"/>
                          <w:rPr>
                            <w:rFonts w:ascii="Arial"/>
                            <w:sz w:val="21"/>
                          </w:rPr>
                        </w:pPr>
                      </w:p>
                      <w:p w14:paraId="0EE3514A">
                        <w:pPr>
                          <w:spacing w:line="251" w:lineRule="auto"/>
                          <w:rPr>
                            <w:rFonts w:ascii="Arial"/>
                            <w:sz w:val="21"/>
                          </w:rPr>
                        </w:pPr>
                      </w:p>
                      <w:p w14:paraId="1CB80034">
                        <w:pPr>
                          <w:spacing w:line="252" w:lineRule="auto"/>
                          <w:rPr>
                            <w:rFonts w:ascii="Arial"/>
                            <w:sz w:val="21"/>
                          </w:rPr>
                        </w:pPr>
                      </w:p>
                      <w:p w14:paraId="13E35C5D">
                        <w:pPr>
                          <w:spacing w:line="252" w:lineRule="auto"/>
                          <w:rPr>
                            <w:rFonts w:ascii="Arial"/>
                            <w:sz w:val="21"/>
                          </w:rPr>
                        </w:pPr>
                      </w:p>
                      <w:p w14:paraId="504BB8ED">
                        <w:pPr>
                          <w:spacing w:line="252" w:lineRule="auto"/>
                          <w:rPr>
                            <w:rFonts w:ascii="Arial"/>
                            <w:sz w:val="21"/>
                          </w:rPr>
                        </w:pPr>
                      </w:p>
                      <w:p w14:paraId="2E83853C">
                        <w:pPr>
                          <w:pStyle w:val="6"/>
                          <w:spacing w:before="59" w:line="195" w:lineRule="auto"/>
                          <w:ind w:left="95"/>
                          <w:rPr>
                            <w:sz w:val="18"/>
                            <w:szCs w:val="18"/>
                          </w:rPr>
                        </w:pPr>
                        <w:r>
                          <w:rPr>
                            <w:spacing w:val="4"/>
                            <w:sz w:val="18"/>
                            <w:szCs w:val="18"/>
                          </w:rPr>
                          <w:t>文档的</w:t>
                        </w:r>
                      </w:p>
                      <w:p w14:paraId="5FE42F52">
                        <w:pPr>
                          <w:pStyle w:val="6"/>
                          <w:spacing w:line="219" w:lineRule="auto"/>
                          <w:ind w:left="185"/>
                          <w:rPr>
                            <w:sz w:val="18"/>
                            <w:szCs w:val="18"/>
                          </w:rPr>
                        </w:pPr>
                        <w:r>
                          <w:rPr>
                            <w:spacing w:val="-2"/>
                            <w:sz w:val="18"/>
                            <w:szCs w:val="18"/>
                          </w:rPr>
                          <w:t>格式</w:t>
                        </w:r>
                      </w:p>
                      <w:p w14:paraId="5F94BD82">
                        <w:pPr>
                          <w:pStyle w:val="6"/>
                          <w:spacing w:before="17" w:line="221" w:lineRule="auto"/>
                          <w:ind w:left="185"/>
                          <w:rPr>
                            <w:sz w:val="18"/>
                            <w:szCs w:val="18"/>
                          </w:rPr>
                        </w:pPr>
                        <w:r>
                          <w:rPr>
                            <w:spacing w:val="-3"/>
                            <w:sz w:val="18"/>
                            <w:szCs w:val="18"/>
                          </w:rPr>
                          <w:t>设置</w:t>
                        </w:r>
                      </w:p>
                    </w:tc>
                    <w:tc>
                      <w:tcPr>
                        <w:tcW w:w="2484" w:type="dxa"/>
                        <w:vAlign w:val="top"/>
                      </w:tcPr>
                      <w:p w14:paraId="11619D3A">
                        <w:pPr>
                          <w:pStyle w:val="6"/>
                          <w:spacing w:before="41" w:line="215" w:lineRule="auto"/>
                          <w:ind w:left="22" w:right="21"/>
                          <w:jc w:val="both"/>
                          <w:rPr>
                            <w:sz w:val="18"/>
                            <w:szCs w:val="18"/>
                          </w:rPr>
                        </w:pPr>
                        <w:r>
                          <w:rPr>
                            <w:spacing w:val="6"/>
                            <w:sz w:val="18"/>
                            <w:szCs w:val="18"/>
                          </w:rPr>
                          <w:t>1.设置字符格式：设置字体、</w:t>
                        </w:r>
                        <w:r>
                          <w:rPr>
                            <w:spacing w:val="5"/>
                            <w:sz w:val="18"/>
                            <w:szCs w:val="18"/>
                          </w:rPr>
                          <w:t xml:space="preserve"> </w:t>
                        </w:r>
                        <w:r>
                          <w:rPr>
                            <w:spacing w:val="-1"/>
                            <w:sz w:val="18"/>
                            <w:szCs w:val="18"/>
                          </w:rPr>
                          <w:t>字形、字号、字符间距、字符</w:t>
                        </w:r>
                        <w:r>
                          <w:rPr>
                            <w:spacing w:val="2"/>
                            <w:sz w:val="18"/>
                            <w:szCs w:val="18"/>
                          </w:rPr>
                          <w:t xml:space="preserve">  </w:t>
                        </w:r>
                        <w:r>
                          <w:rPr>
                            <w:spacing w:val="-2"/>
                            <w:sz w:val="18"/>
                            <w:szCs w:val="18"/>
                          </w:rPr>
                          <w:t>边框和底纹</w:t>
                        </w:r>
                      </w:p>
                      <w:p w14:paraId="79E914A9">
                        <w:pPr>
                          <w:pStyle w:val="6"/>
                          <w:spacing w:line="213" w:lineRule="auto"/>
                          <w:ind w:left="12"/>
                          <w:rPr>
                            <w:sz w:val="18"/>
                            <w:szCs w:val="18"/>
                          </w:rPr>
                        </w:pPr>
                        <w:r>
                          <w:rPr>
                            <w:spacing w:val="-1"/>
                            <w:sz w:val="18"/>
                            <w:szCs w:val="18"/>
                          </w:rPr>
                          <w:t>2.设置段落格式</w:t>
                        </w:r>
                      </w:p>
                      <w:p w14:paraId="5EFA7392">
                        <w:pPr>
                          <w:pStyle w:val="6"/>
                          <w:spacing w:line="215" w:lineRule="auto"/>
                          <w:ind w:left="32" w:right="68" w:firstLine="219"/>
                          <w:rPr>
                            <w:sz w:val="18"/>
                            <w:szCs w:val="18"/>
                          </w:rPr>
                        </w:pPr>
                        <w:r>
                          <w:rPr>
                            <w:spacing w:val="-1"/>
                            <w:sz w:val="18"/>
                            <w:szCs w:val="18"/>
                          </w:rPr>
                          <w:t>①设置段落缩进、段落对齐</w:t>
                        </w:r>
                        <w:r>
                          <w:rPr>
                            <w:spacing w:val="4"/>
                            <w:sz w:val="18"/>
                            <w:szCs w:val="18"/>
                          </w:rPr>
                          <w:t xml:space="preserve"> </w:t>
                        </w:r>
                        <w:r>
                          <w:rPr>
                            <w:spacing w:val="-1"/>
                            <w:sz w:val="18"/>
                            <w:szCs w:val="18"/>
                          </w:rPr>
                          <w:t>方式、行间距和段落间距</w:t>
                        </w:r>
                      </w:p>
                      <w:p w14:paraId="7B3F8047">
                        <w:pPr>
                          <w:pStyle w:val="6"/>
                          <w:spacing w:line="217" w:lineRule="auto"/>
                          <w:ind w:left="252"/>
                          <w:rPr>
                            <w:sz w:val="18"/>
                            <w:szCs w:val="18"/>
                          </w:rPr>
                        </w:pPr>
                        <w:r>
                          <w:rPr>
                            <w:spacing w:val="-1"/>
                            <w:sz w:val="18"/>
                            <w:szCs w:val="18"/>
                          </w:rPr>
                          <w:t>②设置段落编号和项目符号</w:t>
                        </w:r>
                      </w:p>
                      <w:p w14:paraId="46C9579E">
                        <w:pPr>
                          <w:pStyle w:val="6"/>
                          <w:spacing w:before="8" w:line="195" w:lineRule="auto"/>
                          <w:ind w:left="252"/>
                          <w:rPr>
                            <w:sz w:val="18"/>
                            <w:szCs w:val="18"/>
                          </w:rPr>
                        </w:pPr>
                        <w:r>
                          <w:rPr>
                            <w:spacing w:val="-1"/>
                            <w:sz w:val="18"/>
                            <w:szCs w:val="18"/>
                          </w:rPr>
                          <w:t>③设置首字下沉</w:t>
                        </w:r>
                      </w:p>
                      <w:p w14:paraId="6A5113D5">
                        <w:pPr>
                          <w:pStyle w:val="6"/>
                          <w:spacing w:line="220" w:lineRule="auto"/>
                          <w:ind w:left="22" w:right="427" w:firstLine="229"/>
                          <w:rPr>
                            <w:sz w:val="18"/>
                            <w:szCs w:val="18"/>
                          </w:rPr>
                        </w:pPr>
                        <w:r>
                          <w:rPr>
                            <w:spacing w:val="-1"/>
                            <w:sz w:val="18"/>
                            <w:szCs w:val="18"/>
                          </w:rPr>
                          <w:t>④设置段落边框和底纹</w:t>
                        </w:r>
                        <w:r>
                          <w:rPr>
                            <w:spacing w:val="3"/>
                            <w:sz w:val="18"/>
                            <w:szCs w:val="18"/>
                          </w:rPr>
                          <w:t xml:space="preserve"> </w:t>
                        </w:r>
                        <w:r>
                          <w:rPr>
                            <w:spacing w:val="-2"/>
                            <w:sz w:val="18"/>
                            <w:szCs w:val="18"/>
                          </w:rPr>
                          <w:t>3.设置页面格式</w:t>
                        </w:r>
                      </w:p>
                      <w:p w14:paraId="578CCE48">
                        <w:pPr>
                          <w:pStyle w:val="6"/>
                          <w:spacing w:before="1" w:line="215" w:lineRule="auto"/>
                          <w:ind w:left="252"/>
                          <w:rPr>
                            <w:sz w:val="18"/>
                            <w:szCs w:val="18"/>
                          </w:rPr>
                        </w:pPr>
                        <w:r>
                          <w:rPr>
                            <w:spacing w:val="-1"/>
                            <w:sz w:val="18"/>
                            <w:szCs w:val="18"/>
                          </w:rPr>
                          <w:t>①视图模式与视图的切换</w:t>
                        </w:r>
                      </w:p>
                      <w:p w14:paraId="235E4539">
                        <w:pPr>
                          <w:pStyle w:val="6"/>
                          <w:spacing w:line="219" w:lineRule="auto"/>
                          <w:ind w:left="22" w:firstLine="209"/>
                          <w:rPr>
                            <w:sz w:val="18"/>
                            <w:szCs w:val="18"/>
                          </w:rPr>
                        </w:pPr>
                        <w:r>
                          <w:rPr>
                            <w:spacing w:val="6"/>
                            <w:sz w:val="18"/>
                            <w:szCs w:val="18"/>
                          </w:rPr>
                          <w:t>②设置页边距、纸张大小、</w:t>
                        </w:r>
                        <w:r>
                          <w:rPr>
                            <w:spacing w:val="9"/>
                            <w:sz w:val="18"/>
                            <w:szCs w:val="18"/>
                          </w:rPr>
                          <w:t xml:space="preserve"> </w:t>
                        </w:r>
                        <w:r>
                          <w:rPr>
                            <w:spacing w:val="-3"/>
                            <w:sz w:val="18"/>
                            <w:szCs w:val="18"/>
                          </w:rPr>
                          <w:t>版式</w:t>
                        </w:r>
                      </w:p>
                      <w:p w14:paraId="47682DC3">
                        <w:pPr>
                          <w:pStyle w:val="6"/>
                          <w:spacing w:before="5" w:line="213" w:lineRule="auto"/>
                          <w:ind w:left="12"/>
                          <w:rPr>
                            <w:sz w:val="18"/>
                            <w:szCs w:val="18"/>
                          </w:rPr>
                        </w:pPr>
                        <w:r>
                          <w:rPr>
                            <w:spacing w:val="-1"/>
                            <w:sz w:val="18"/>
                            <w:szCs w:val="18"/>
                          </w:rPr>
                          <w:t>4.其他格式设置</w:t>
                        </w:r>
                      </w:p>
                      <w:p w14:paraId="0D026757">
                        <w:pPr>
                          <w:pStyle w:val="6"/>
                          <w:spacing w:before="1" w:line="194" w:lineRule="auto"/>
                          <w:ind w:left="252"/>
                          <w:rPr>
                            <w:sz w:val="18"/>
                            <w:szCs w:val="18"/>
                          </w:rPr>
                        </w:pPr>
                        <w:r>
                          <w:rPr>
                            <w:spacing w:val="-2"/>
                            <w:sz w:val="18"/>
                            <w:szCs w:val="18"/>
                          </w:rPr>
                          <w:t>①设置分栏</w:t>
                        </w:r>
                      </w:p>
                      <w:p w14:paraId="6837B368">
                        <w:pPr>
                          <w:pStyle w:val="6"/>
                          <w:spacing w:line="217" w:lineRule="auto"/>
                          <w:ind w:left="252"/>
                          <w:rPr>
                            <w:sz w:val="18"/>
                            <w:szCs w:val="18"/>
                          </w:rPr>
                        </w:pPr>
                        <w:r>
                          <w:rPr>
                            <w:spacing w:val="1"/>
                            <w:sz w:val="18"/>
                            <w:szCs w:val="18"/>
                          </w:rPr>
                          <w:t>②分页与分节控制</w:t>
                        </w:r>
                      </w:p>
                      <w:p w14:paraId="3D08D8FD">
                        <w:pPr>
                          <w:pStyle w:val="6"/>
                          <w:spacing w:before="8" w:line="221" w:lineRule="auto"/>
                          <w:ind w:left="32" w:right="787" w:firstLine="219"/>
                          <w:rPr>
                            <w:sz w:val="18"/>
                            <w:szCs w:val="18"/>
                          </w:rPr>
                        </w:pPr>
                        <w:r>
                          <w:rPr>
                            <w:spacing w:val="-1"/>
                            <w:sz w:val="18"/>
                            <w:szCs w:val="18"/>
                          </w:rPr>
                          <w:t>③设置页眉和页脚</w:t>
                        </w:r>
                        <w:r>
                          <w:rPr>
                            <w:spacing w:val="1"/>
                            <w:sz w:val="18"/>
                            <w:szCs w:val="18"/>
                          </w:rPr>
                          <w:t xml:space="preserve"> </w:t>
                        </w:r>
                        <w:r>
                          <w:rPr>
                            <w:spacing w:val="2"/>
                            <w:sz w:val="18"/>
                            <w:szCs w:val="18"/>
                          </w:rPr>
                          <w:t>5.格式刷的使用</w:t>
                        </w:r>
                      </w:p>
                      <w:p w14:paraId="590681A3">
                        <w:pPr>
                          <w:pStyle w:val="6"/>
                          <w:spacing w:before="1" w:line="193" w:lineRule="auto"/>
                          <w:ind w:left="12" w:right="1361"/>
                        </w:pPr>
                        <w:r>
                          <w:rPr>
                            <w:spacing w:val="11"/>
                          </w:rPr>
                          <w:t>6.模板的使用</w:t>
                        </w:r>
                        <w:r>
                          <w:rPr>
                            <w:spacing w:val="2"/>
                          </w:rPr>
                          <w:t xml:space="preserve"> </w:t>
                        </w:r>
                        <w:r>
                          <w:rPr>
                            <w:spacing w:val="11"/>
                          </w:rPr>
                          <w:t>7.样式的使用</w:t>
                        </w:r>
                      </w:p>
                    </w:tc>
                    <w:tc>
                      <w:tcPr>
                        <w:tcW w:w="219" w:type="dxa"/>
                        <w:vAlign w:val="top"/>
                      </w:tcPr>
                      <w:p w14:paraId="12B8B497">
                        <w:pPr>
                          <w:rPr>
                            <w:rFonts w:ascii="Arial"/>
                            <w:sz w:val="21"/>
                          </w:rPr>
                        </w:pPr>
                      </w:p>
                    </w:tc>
                    <w:tc>
                      <w:tcPr>
                        <w:tcW w:w="230" w:type="dxa"/>
                        <w:vAlign w:val="top"/>
                      </w:tcPr>
                      <w:p w14:paraId="04C4DE2D">
                        <w:pPr>
                          <w:rPr>
                            <w:rFonts w:ascii="Arial"/>
                            <w:sz w:val="21"/>
                          </w:rPr>
                        </w:pPr>
                      </w:p>
                    </w:tc>
                    <w:tc>
                      <w:tcPr>
                        <w:tcW w:w="230" w:type="dxa"/>
                        <w:vAlign w:val="top"/>
                      </w:tcPr>
                      <w:p w14:paraId="4A982AD3">
                        <w:pPr>
                          <w:rPr>
                            <w:rFonts w:ascii="Arial"/>
                            <w:sz w:val="21"/>
                          </w:rPr>
                        </w:pPr>
                      </w:p>
                    </w:tc>
                    <w:tc>
                      <w:tcPr>
                        <w:tcW w:w="224" w:type="dxa"/>
                        <w:vAlign w:val="top"/>
                      </w:tcPr>
                      <w:p w14:paraId="2BABDEF4">
                        <w:pPr>
                          <w:rPr>
                            <w:rFonts w:ascii="Arial"/>
                            <w:sz w:val="21"/>
                          </w:rPr>
                        </w:pPr>
                      </w:p>
                    </w:tc>
                  </w:tr>
                  <w:tr w14:paraId="368517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43" w:hRule="atLeast"/>
                    </w:trPr>
                    <w:tc>
                      <w:tcPr>
                        <w:tcW w:w="743" w:type="dxa"/>
                        <w:vAlign w:val="top"/>
                      </w:tcPr>
                      <w:p w14:paraId="1A2DDA68">
                        <w:pPr>
                          <w:spacing w:line="280" w:lineRule="auto"/>
                          <w:rPr>
                            <w:rFonts w:ascii="Arial"/>
                            <w:sz w:val="21"/>
                          </w:rPr>
                        </w:pPr>
                      </w:p>
                      <w:p w14:paraId="10FC6762">
                        <w:pPr>
                          <w:spacing w:line="280" w:lineRule="auto"/>
                          <w:rPr>
                            <w:rFonts w:ascii="Arial"/>
                            <w:sz w:val="21"/>
                          </w:rPr>
                        </w:pPr>
                      </w:p>
                      <w:p w14:paraId="781CF546">
                        <w:pPr>
                          <w:spacing w:line="281" w:lineRule="auto"/>
                          <w:rPr>
                            <w:rFonts w:ascii="Arial"/>
                            <w:sz w:val="21"/>
                          </w:rPr>
                        </w:pPr>
                      </w:p>
                      <w:p w14:paraId="64668D19">
                        <w:pPr>
                          <w:pStyle w:val="6"/>
                          <w:spacing w:before="59" w:line="205" w:lineRule="auto"/>
                          <w:ind w:left="95"/>
                          <w:rPr>
                            <w:sz w:val="18"/>
                            <w:szCs w:val="18"/>
                          </w:rPr>
                        </w:pPr>
                        <w:r>
                          <w:rPr>
                            <w:spacing w:val="4"/>
                            <w:sz w:val="18"/>
                            <w:szCs w:val="18"/>
                          </w:rPr>
                          <w:t>表格的</w:t>
                        </w:r>
                      </w:p>
                      <w:p w14:paraId="5E4C54B0">
                        <w:pPr>
                          <w:pStyle w:val="6"/>
                          <w:spacing w:line="219" w:lineRule="auto"/>
                          <w:ind w:left="185"/>
                          <w:rPr>
                            <w:sz w:val="18"/>
                            <w:szCs w:val="18"/>
                          </w:rPr>
                        </w:pPr>
                        <w:r>
                          <w:rPr>
                            <w:spacing w:val="-2"/>
                            <w:sz w:val="18"/>
                            <w:szCs w:val="18"/>
                          </w:rPr>
                          <w:t>操作</w:t>
                        </w:r>
                      </w:p>
                    </w:tc>
                    <w:tc>
                      <w:tcPr>
                        <w:tcW w:w="2484" w:type="dxa"/>
                        <w:vAlign w:val="top"/>
                      </w:tcPr>
                      <w:p w14:paraId="2A48C6D5">
                        <w:pPr>
                          <w:pStyle w:val="6"/>
                          <w:spacing w:before="65" w:line="204" w:lineRule="auto"/>
                          <w:ind w:left="12" w:right="1544" w:firstLine="10"/>
                          <w:rPr>
                            <w:sz w:val="18"/>
                            <w:szCs w:val="18"/>
                          </w:rPr>
                        </w:pPr>
                        <w:r>
                          <w:rPr>
                            <w:spacing w:val="1"/>
                            <w:sz w:val="18"/>
                            <w:szCs w:val="18"/>
                          </w:rPr>
                          <w:t>1.创建表格</w:t>
                        </w:r>
                        <w:r>
                          <w:rPr>
                            <w:sz w:val="18"/>
                            <w:szCs w:val="18"/>
                          </w:rPr>
                          <w:t xml:space="preserve"> </w:t>
                        </w:r>
                        <w:r>
                          <w:rPr>
                            <w:spacing w:val="-2"/>
                            <w:sz w:val="18"/>
                            <w:szCs w:val="18"/>
                          </w:rPr>
                          <w:t>2.编辑表格</w:t>
                        </w:r>
                      </w:p>
                      <w:p w14:paraId="72AA5C70">
                        <w:pPr>
                          <w:pStyle w:val="6"/>
                          <w:spacing w:line="215" w:lineRule="auto"/>
                          <w:ind w:left="21" w:hanging="9"/>
                          <w:rPr>
                            <w:sz w:val="18"/>
                            <w:szCs w:val="18"/>
                          </w:rPr>
                        </w:pPr>
                        <w:r>
                          <w:rPr>
                            <w:spacing w:val="-5"/>
                            <w:sz w:val="18"/>
                            <w:szCs w:val="18"/>
                          </w:rPr>
                          <w:t>①单元格、行、列操作：选定、</w:t>
                        </w:r>
                        <w:r>
                          <w:rPr>
                            <w:spacing w:val="10"/>
                            <w:sz w:val="18"/>
                            <w:szCs w:val="18"/>
                          </w:rPr>
                          <w:t xml:space="preserve"> </w:t>
                        </w:r>
                        <w:r>
                          <w:rPr>
                            <w:spacing w:val="-6"/>
                            <w:sz w:val="18"/>
                            <w:szCs w:val="18"/>
                          </w:rPr>
                          <w:t>插入、删除</w:t>
                        </w:r>
                      </w:p>
                      <w:p w14:paraId="0A1A710F">
                        <w:pPr>
                          <w:pStyle w:val="6"/>
                          <w:spacing w:line="217" w:lineRule="auto"/>
                          <w:ind w:left="12"/>
                          <w:rPr>
                            <w:sz w:val="18"/>
                            <w:szCs w:val="18"/>
                          </w:rPr>
                        </w:pPr>
                        <w:r>
                          <w:rPr>
                            <w:spacing w:val="-1"/>
                            <w:sz w:val="18"/>
                            <w:szCs w:val="18"/>
                          </w:rPr>
                          <w:t>②调整行高与列宽</w:t>
                        </w:r>
                      </w:p>
                      <w:p w14:paraId="05B78DC6">
                        <w:pPr>
                          <w:pStyle w:val="6"/>
                          <w:spacing w:before="8" w:line="205" w:lineRule="auto"/>
                          <w:ind w:left="12" w:right="847"/>
                          <w:rPr>
                            <w:sz w:val="18"/>
                            <w:szCs w:val="18"/>
                          </w:rPr>
                        </w:pPr>
                        <w:r>
                          <w:rPr>
                            <w:spacing w:val="-1"/>
                            <w:sz w:val="18"/>
                            <w:szCs w:val="18"/>
                          </w:rPr>
                          <w:t>③合并与拆分单元格</w:t>
                        </w:r>
                        <w:r>
                          <w:rPr>
                            <w:spacing w:val="2"/>
                            <w:sz w:val="18"/>
                            <w:szCs w:val="18"/>
                          </w:rPr>
                          <w:t xml:space="preserve"> </w:t>
                        </w:r>
                        <w:r>
                          <w:rPr>
                            <w:spacing w:val="-2"/>
                            <w:sz w:val="18"/>
                            <w:szCs w:val="18"/>
                          </w:rPr>
                          <w:t>3.表格的格式化</w:t>
                        </w:r>
                      </w:p>
                      <w:p w14:paraId="77666B8C">
                        <w:pPr>
                          <w:pStyle w:val="6"/>
                          <w:spacing w:line="217" w:lineRule="auto"/>
                          <w:ind w:left="12"/>
                          <w:rPr>
                            <w:sz w:val="18"/>
                            <w:szCs w:val="18"/>
                          </w:rPr>
                        </w:pPr>
                        <w:r>
                          <w:rPr>
                            <w:spacing w:val="-1"/>
                            <w:sz w:val="18"/>
                            <w:szCs w:val="18"/>
                          </w:rPr>
                          <w:t>①设置表格的边框和底纹</w:t>
                        </w:r>
                      </w:p>
                      <w:p w14:paraId="520C20C7">
                        <w:pPr>
                          <w:pStyle w:val="6"/>
                          <w:spacing w:before="8" w:line="215" w:lineRule="auto"/>
                          <w:ind w:left="12"/>
                          <w:rPr>
                            <w:sz w:val="18"/>
                            <w:szCs w:val="18"/>
                          </w:rPr>
                        </w:pPr>
                        <w:r>
                          <w:rPr>
                            <w:spacing w:val="-1"/>
                            <w:sz w:val="18"/>
                            <w:szCs w:val="18"/>
                          </w:rPr>
                          <w:t>②表格样式</w:t>
                        </w:r>
                      </w:p>
                      <w:p w14:paraId="48130FD2">
                        <w:pPr>
                          <w:pStyle w:val="6"/>
                          <w:spacing w:line="205" w:lineRule="auto"/>
                          <w:ind w:left="12"/>
                          <w:rPr>
                            <w:sz w:val="18"/>
                            <w:szCs w:val="18"/>
                          </w:rPr>
                        </w:pPr>
                        <w:r>
                          <w:rPr>
                            <w:spacing w:val="-1"/>
                            <w:sz w:val="18"/>
                            <w:szCs w:val="18"/>
                          </w:rPr>
                          <w:t>③表格与文本的相互转换</w:t>
                        </w:r>
                      </w:p>
                    </w:tc>
                    <w:tc>
                      <w:tcPr>
                        <w:tcW w:w="219" w:type="dxa"/>
                        <w:vAlign w:val="top"/>
                      </w:tcPr>
                      <w:p w14:paraId="2A0A2EC3">
                        <w:pPr>
                          <w:rPr>
                            <w:rFonts w:ascii="Arial"/>
                            <w:sz w:val="21"/>
                          </w:rPr>
                        </w:pPr>
                      </w:p>
                    </w:tc>
                    <w:tc>
                      <w:tcPr>
                        <w:tcW w:w="230" w:type="dxa"/>
                        <w:vAlign w:val="top"/>
                      </w:tcPr>
                      <w:p w14:paraId="22BD91D3">
                        <w:pPr>
                          <w:rPr>
                            <w:rFonts w:ascii="Arial"/>
                            <w:sz w:val="21"/>
                          </w:rPr>
                        </w:pPr>
                      </w:p>
                    </w:tc>
                    <w:tc>
                      <w:tcPr>
                        <w:tcW w:w="230" w:type="dxa"/>
                        <w:vAlign w:val="top"/>
                      </w:tcPr>
                      <w:p w14:paraId="25224921">
                        <w:pPr>
                          <w:rPr>
                            <w:rFonts w:ascii="Arial"/>
                            <w:sz w:val="21"/>
                          </w:rPr>
                        </w:pPr>
                      </w:p>
                    </w:tc>
                    <w:tc>
                      <w:tcPr>
                        <w:tcW w:w="224" w:type="dxa"/>
                        <w:vAlign w:val="top"/>
                      </w:tcPr>
                      <w:p w14:paraId="7359E4FD">
                        <w:pPr>
                          <w:rPr>
                            <w:rFonts w:ascii="Arial"/>
                            <w:sz w:val="21"/>
                          </w:rPr>
                        </w:pPr>
                      </w:p>
                    </w:tc>
                  </w:tr>
                </w:tbl>
                <w:p w14:paraId="2201B76B">
                  <w:pPr>
                    <w:pStyle w:val="2"/>
                  </w:pPr>
                </w:p>
              </w:txbxContent>
            </v:textbox>
          </v:shape>
        </w:pict>
      </w:r>
      <w:r>
        <w:rPr>
          <w:rFonts w:ascii="宋体" w:hAnsi="宋体" w:eastAsia="宋体" w:cs="宋体"/>
          <w:spacing w:val="2"/>
          <w:sz w:val="17"/>
          <w:szCs w:val="17"/>
        </w:rPr>
        <w:t>(四)数据处理(</w:t>
      </w:r>
      <w:r>
        <w:rPr>
          <w:rFonts w:ascii="宋体" w:hAnsi="宋体" w:eastAsia="宋体" w:cs="宋体"/>
          <w:sz w:val="17"/>
          <w:szCs w:val="17"/>
        </w:rPr>
        <w:t>Excel</w:t>
      </w:r>
      <w:r>
        <w:rPr>
          <w:rFonts w:ascii="宋体" w:hAnsi="宋体" w:eastAsia="宋体" w:cs="宋体"/>
          <w:spacing w:val="2"/>
          <w:sz w:val="17"/>
          <w:szCs w:val="17"/>
        </w:rPr>
        <w:t xml:space="preserve"> 2016)</w:t>
      </w:r>
    </w:p>
    <w:p w14:paraId="36B3AC71">
      <w:pPr>
        <w:spacing w:line="46" w:lineRule="exact"/>
      </w:pPr>
    </w:p>
    <w:tbl>
      <w:tblPr>
        <w:tblStyle w:val="5"/>
        <w:tblW w:w="4120" w:type="dxa"/>
        <w:tblInd w:w="460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33"/>
        <w:gridCol w:w="2494"/>
        <w:gridCol w:w="219"/>
        <w:gridCol w:w="220"/>
        <w:gridCol w:w="230"/>
        <w:gridCol w:w="224"/>
      </w:tblGrid>
      <w:tr w14:paraId="586ADD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5" w:hRule="atLeast"/>
        </w:trPr>
        <w:tc>
          <w:tcPr>
            <w:tcW w:w="733" w:type="dxa"/>
            <w:vMerge w:val="restart"/>
            <w:tcBorders>
              <w:bottom w:val="nil"/>
            </w:tcBorders>
            <w:vAlign w:val="top"/>
          </w:tcPr>
          <w:p w14:paraId="6030C981">
            <w:pPr>
              <w:pStyle w:val="6"/>
              <w:spacing w:before="20" w:line="206" w:lineRule="auto"/>
              <w:ind w:left="77" w:right="2" w:hanging="60"/>
              <w:rPr>
                <w:sz w:val="19"/>
                <w:szCs w:val="19"/>
              </w:rPr>
            </w:pPr>
            <w:r>
              <w:rPr>
                <w:b/>
                <w:bCs/>
                <w:spacing w:val="-19"/>
                <w:sz w:val="19"/>
                <w:szCs w:val="19"/>
              </w:rPr>
              <w:t>知识与</w:t>
            </w:r>
            <w:r>
              <w:rPr>
                <w:b/>
                <w:bCs/>
                <w:spacing w:val="-11"/>
                <w:sz w:val="19"/>
                <w:szCs w:val="19"/>
              </w:rPr>
              <w:t>技</w:t>
            </w:r>
            <w:r>
              <w:rPr>
                <w:spacing w:val="1"/>
                <w:sz w:val="19"/>
                <w:szCs w:val="19"/>
              </w:rPr>
              <w:t xml:space="preserve"> </w:t>
            </w:r>
            <w:r>
              <w:rPr>
                <w:b/>
                <w:bCs/>
                <w:spacing w:val="1"/>
                <w:sz w:val="19"/>
                <w:szCs w:val="19"/>
              </w:rPr>
              <w:t>能要点</w:t>
            </w:r>
          </w:p>
        </w:tc>
        <w:tc>
          <w:tcPr>
            <w:tcW w:w="2494" w:type="dxa"/>
            <w:vMerge w:val="restart"/>
            <w:tcBorders>
              <w:bottom w:val="nil"/>
            </w:tcBorders>
            <w:vAlign w:val="top"/>
          </w:tcPr>
          <w:p w14:paraId="2A91EC59">
            <w:pPr>
              <w:pStyle w:val="6"/>
              <w:spacing w:before="130" w:line="219" w:lineRule="auto"/>
              <w:ind w:left="934"/>
              <w:rPr>
                <w:sz w:val="19"/>
                <w:szCs w:val="19"/>
              </w:rPr>
            </w:pPr>
            <w:r>
              <w:rPr>
                <w:b/>
                <w:bCs/>
                <w:spacing w:val="5"/>
                <w:sz w:val="19"/>
                <w:szCs w:val="19"/>
              </w:rPr>
              <w:t>考试条目</w:t>
            </w:r>
          </w:p>
        </w:tc>
        <w:tc>
          <w:tcPr>
            <w:tcW w:w="893" w:type="dxa"/>
            <w:gridSpan w:val="4"/>
            <w:vAlign w:val="top"/>
          </w:tcPr>
          <w:p w14:paraId="56D3043D">
            <w:pPr>
              <w:pStyle w:val="6"/>
              <w:spacing w:line="199" w:lineRule="auto"/>
              <w:jc w:val="right"/>
              <w:rPr>
                <w:sz w:val="19"/>
                <w:szCs w:val="19"/>
              </w:rPr>
            </w:pPr>
            <w:r>
              <w:rPr>
                <w:b/>
                <w:bCs/>
                <w:spacing w:val="-4"/>
                <w:sz w:val="19"/>
                <w:szCs w:val="19"/>
              </w:rPr>
              <w:t>考试水平</w:t>
            </w:r>
          </w:p>
        </w:tc>
      </w:tr>
      <w:tr w14:paraId="5DDCCE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0" w:hRule="atLeast"/>
        </w:trPr>
        <w:tc>
          <w:tcPr>
            <w:tcW w:w="733" w:type="dxa"/>
            <w:vMerge w:val="continue"/>
            <w:tcBorders>
              <w:top w:val="nil"/>
            </w:tcBorders>
            <w:vAlign w:val="top"/>
          </w:tcPr>
          <w:p w14:paraId="2C4927FD">
            <w:pPr>
              <w:rPr>
                <w:rFonts w:ascii="Arial"/>
                <w:sz w:val="21"/>
              </w:rPr>
            </w:pPr>
          </w:p>
        </w:tc>
        <w:tc>
          <w:tcPr>
            <w:tcW w:w="2494" w:type="dxa"/>
            <w:vMerge w:val="continue"/>
            <w:tcBorders>
              <w:top w:val="nil"/>
            </w:tcBorders>
            <w:vAlign w:val="top"/>
          </w:tcPr>
          <w:p w14:paraId="4ECA9A9D">
            <w:pPr>
              <w:rPr>
                <w:rFonts w:ascii="Arial"/>
                <w:sz w:val="21"/>
              </w:rPr>
            </w:pPr>
          </w:p>
        </w:tc>
        <w:tc>
          <w:tcPr>
            <w:tcW w:w="219" w:type="dxa"/>
            <w:vAlign w:val="top"/>
          </w:tcPr>
          <w:p w14:paraId="1EA9596E">
            <w:pPr>
              <w:pStyle w:val="6"/>
              <w:spacing w:before="65" w:line="155" w:lineRule="exact"/>
              <w:ind w:left="18"/>
              <w:rPr>
                <w:sz w:val="19"/>
                <w:szCs w:val="19"/>
              </w:rPr>
            </w:pPr>
            <w:r>
              <w:rPr>
                <w:position w:val="-2"/>
                <w:sz w:val="19"/>
                <w:szCs w:val="19"/>
              </w:rPr>
              <w:t>A</w:t>
            </w:r>
          </w:p>
        </w:tc>
        <w:tc>
          <w:tcPr>
            <w:tcW w:w="220" w:type="dxa"/>
            <w:vAlign w:val="top"/>
          </w:tcPr>
          <w:p w14:paraId="476E733A">
            <w:pPr>
              <w:pStyle w:val="6"/>
              <w:spacing w:before="68" w:line="151" w:lineRule="exact"/>
              <w:ind w:left="21"/>
              <w:rPr>
                <w:sz w:val="19"/>
                <w:szCs w:val="19"/>
              </w:rPr>
            </w:pPr>
            <w:r>
              <w:rPr>
                <w:b/>
                <w:bCs/>
                <w:spacing w:val="-2"/>
                <w:position w:val="-2"/>
                <w:sz w:val="19"/>
                <w:szCs w:val="19"/>
              </w:rPr>
              <w:t>B</w:t>
            </w:r>
          </w:p>
        </w:tc>
        <w:tc>
          <w:tcPr>
            <w:tcW w:w="230" w:type="dxa"/>
            <w:vAlign w:val="top"/>
          </w:tcPr>
          <w:p w14:paraId="2A82509A">
            <w:pPr>
              <w:pStyle w:val="6"/>
              <w:spacing w:before="66" w:line="153" w:lineRule="exact"/>
              <w:ind w:left="19"/>
              <w:rPr>
                <w:sz w:val="19"/>
                <w:szCs w:val="19"/>
              </w:rPr>
            </w:pPr>
            <w:r>
              <w:rPr>
                <w:position w:val="-2"/>
                <w:sz w:val="19"/>
                <w:szCs w:val="19"/>
              </w:rPr>
              <w:t>C</w:t>
            </w:r>
          </w:p>
        </w:tc>
        <w:tc>
          <w:tcPr>
            <w:tcW w:w="224" w:type="dxa"/>
            <w:vAlign w:val="top"/>
          </w:tcPr>
          <w:p w14:paraId="7F638699">
            <w:pPr>
              <w:pStyle w:val="6"/>
              <w:spacing w:before="68" w:line="151" w:lineRule="exact"/>
              <w:ind w:left="61"/>
              <w:rPr>
                <w:sz w:val="19"/>
                <w:szCs w:val="19"/>
              </w:rPr>
            </w:pPr>
            <w:r>
              <w:rPr>
                <w:b/>
                <w:bCs/>
                <w:spacing w:val="-2"/>
                <w:position w:val="-2"/>
                <w:sz w:val="19"/>
                <w:szCs w:val="19"/>
              </w:rPr>
              <w:t>D</w:t>
            </w:r>
          </w:p>
        </w:tc>
      </w:tr>
      <w:tr w14:paraId="6BD03F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748" w:hRule="atLeast"/>
        </w:trPr>
        <w:tc>
          <w:tcPr>
            <w:tcW w:w="733" w:type="dxa"/>
            <w:vAlign w:val="top"/>
          </w:tcPr>
          <w:p w14:paraId="0B4387E9">
            <w:pPr>
              <w:spacing w:line="266" w:lineRule="auto"/>
              <w:rPr>
                <w:rFonts w:ascii="Arial"/>
                <w:sz w:val="21"/>
              </w:rPr>
            </w:pPr>
          </w:p>
          <w:p w14:paraId="4AE43D98">
            <w:pPr>
              <w:spacing w:line="266" w:lineRule="auto"/>
              <w:rPr>
                <w:rFonts w:ascii="Arial"/>
                <w:sz w:val="21"/>
              </w:rPr>
            </w:pPr>
          </w:p>
          <w:p w14:paraId="0D72CDB5">
            <w:pPr>
              <w:pStyle w:val="6"/>
              <w:spacing w:before="62" w:line="217" w:lineRule="auto"/>
              <w:ind w:left="75" w:right="67"/>
              <w:jc w:val="both"/>
              <w:rPr>
                <w:sz w:val="19"/>
                <w:szCs w:val="19"/>
              </w:rPr>
            </w:pPr>
            <w:r>
              <w:rPr>
                <w:spacing w:val="-3"/>
                <w:sz w:val="19"/>
                <w:szCs w:val="19"/>
              </w:rPr>
              <w:t>数据处</w:t>
            </w:r>
            <w:r>
              <w:rPr>
                <w:sz w:val="19"/>
                <w:szCs w:val="19"/>
              </w:rPr>
              <w:t xml:space="preserve"> </w:t>
            </w:r>
            <w:r>
              <w:rPr>
                <w:spacing w:val="3"/>
                <w:sz w:val="19"/>
                <w:szCs w:val="19"/>
              </w:rPr>
              <w:t>理基础</w:t>
            </w:r>
            <w:r>
              <w:rPr>
                <w:sz w:val="19"/>
                <w:szCs w:val="19"/>
              </w:rPr>
              <w:t xml:space="preserve"> </w:t>
            </w:r>
            <w:r>
              <w:rPr>
                <w:spacing w:val="20"/>
                <w:w w:val="116"/>
                <w:sz w:val="19"/>
                <w:szCs w:val="19"/>
              </w:rPr>
              <w:t>知识</w:t>
            </w:r>
          </w:p>
        </w:tc>
        <w:tc>
          <w:tcPr>
            <w:tcW w:w="2494" w:type="dxa"/>
            <w:vAlign w:val="top"/>
          </w:tcPr>
          <w:p w14:paraId="585C58B9">
            <w:pPr>
              <w:pStyle w:val="6"/>
              <w:spacing w:before="28" w:line="209" w:lineRule="auto"/>
              <w:ind w:left="12" w:right="563"/>
              <w:rPr>
                <w:sz w:val="19"/>
                <w:szCs w:val="19"/>
              </w:rPr>
            </w:pPr>
            <w:r>
              <w:rPr>
                <w:sz w:val="19"/>
                <w:szCs w:val="19"/>
              </w:rPr>
              <w:t>1.常用的电子表格软件</w:t>
            </w:r>
            <w:r>
              <w:rPr>
                <w:spacing w:val="7"/>
                <w:sz w:val="19"/>
                <w:szCs w:val="19"/>
              </w:rPr>
              <w:t xml:space="preserve"> </w:t>
            </w:r>
            <w:r>
              <w:rPr>
                <w:spacing w:val="2"/>
                <w:sz w:val="19"/>
                <w:szCs w:val="19"/>
              </w:rPr>
              <w:t>2.</w:t>
            </w:r>
            <w:r>
              <w:rPr>
                <w:sz w:val="19"/>
                <w:szCs w:val="19"/>
              </w:rPr>
              <w:t>Excel</w:t>
            </w:r>
            <w:r>
              <w:rPr>
                <w:spacing w:val="2"/>
                <w:sz w:val="19"/>
                <w:szCs w:val="19"/>
              </w:rPr>
              <w:t>的启动与退出</w:t>
            </w:r>
          </w:p>
          <w:p w14:paraId="7D236696">
            <w:pPr>
              <w:pStyle w:val="6"/>
              <w:spacing w:before="1" w:line="215" w:lineRule="auto"/>
              <w:ind w:left="12" w:right="108"/>
              <w:rPr>
                <w:sz w:val="19"/>
                <w:szCs w:val="19"/>
              </w:rPr>
            </w:pPr>
            <w:r>
              <w:rPr>
                <w:spacing w:val="-1"/>
                <w:sz w:val="19"/>
                <w:szCs w:val="19"/>
              </w:rPr>
              <w:t>3.Excel工作窗口的组成及基</w:t>
            </w:r>
            <w:r>
              <w:rPr>
                <w:spacing w:val="3"/>
                <w:sz w:val="19"/>
                <w:szCs w:val="19"/>
              </w:rPr>
              <w:t xml:space="preserve"> </w:t>
            </w:r>
            <w:r>
              <w:rPr>
                <w:spacing w:val="4"/>
                <w:sz w:val="19"/>
                <w:szCs w:val="19"/>
              </w:rPr>
              <w:t>本操作</w:t>
            </w:r>
          </w:p>
          <w:p w14:paraId="5245EDCC">
            <w:pPr>
              <w:pStyle w:val="6"/>
              <w:spacing w:before="15" w:line="201" w:lineRule="auto"/>
              <w:ind w:left="12"/>
              <w:jc w:val="both"/>
              <w:rPr>
                <w:sz w:val="19"/>
                <w:szCs w:val="19"/>
              </w:rPr>
            </w:pPr>
            <w:r>
              <w:rPr>
                <w:spacing w:val="-6"/>
                <w:sz w:val="19"/>
                <w:szCs w:val="19"/>
              </w:rPr>
              <w:t>4.Excel的基本概念：工作簿、</w:t>
            </w:r>
            <w:r>
              <w:rPr>
                <w:spacing w:val="7"/>
                <w:sz w:val="19"/>
                <w:szCs w:val="19"/>
              </w:rPr>
              <w:t xml:space="preserve"> </w:t>
            </w:r>
            <w:r>
              <w:rPr>
                <w:spacing w:val="-14"/>
                <w:sz w:val="19"/>
                <w:szCs w:val="19"/>
              </w:rPr>
              <w:t>工作表、单元格、活动单元格、</w:t>
            </w:r>
            <w:r>
              <w:rPr>
                <w:spacing w:val="6"/>
                <w:sz w:val="19"/>
                <w:szCs w:val="19"/>
              </w:rPr>
              <w:t xml:space="preserve"> </w:t>
            </w:r>
            <w:r>
              <w:rPr>
                <w:spacing w:val="-7"/>
                <w:sz w:val="19"/>
                <w:szCs w:val="19"/>
              </w:rPr>
              <w:t>单元格区域</w:t>
            </w:r>
          </w:p>
          <w:p w14:paraId="3699E8B3">
            <w:pPr>
              <w:pStyle w:val="6"/>
              <w:spacing w:line="194" w:lineRule="auto"/>
              <w:ind w:left="12"/>
              <w:rPr>
                <w:sz w:val="19"/>
                <w:szCs w:val="19"/>
              </w:rPr>
            </w:pPr>
            <w:r>
              <w:rPr>
                <w:spacing w:val="-1"/>
                <w:sz w:val="19"/>
                <w:szCs w:val="19"/>
              </w:rPr>
              <w:t>5.在Excel中获取帮助</w:t>
            </w:r>
          </w:p>
        </w:tc>
        <w:tc>
          <w:tcPr>
            <w:tcW w:w="219" w:type="dxa"/>
            <w:vAlign w:val="top"/>
          </w:tcPr>
          <w:p w14:paraId="3A6E5843">
            <w:pPr>
              <w:pStyle w:val="6"/>
              <w:spacing w:before="66" w:line="238" w:lineRule="auto"/>
              <w:ind w:left="8"/>
              <w:rPr>
                <w:sz w:val="12"/>
                <w:szCs w:val="12"/>
              </w:rPr>
            </w:pPr>
            <w:r>
              <w:rPr>
                <w:sz w:val="12"/>
                <w:szCs w:val="12"/>
              </w:rPr>
              <w:t>√</w:t>
            </w:r>
          </w:p>
        </w:tc>
        <w:tc>
          <w:tcPr>
            <w:tcW w:w="220" w:type="dxa"/>
            <w:vAlign w:val="top"/>
          </w:tcPr>
          <w:p w14:paraId="7575107A">
            <w:pPr>
              <w:rPr>
                <w:rFonts w:ascii="Arial"/>
                <w:sz w:val="21"/>
              </w:rPr>
            </w:pPr>
          </w:p>
        </w:tc>
        <w:tc>
          <w:tcPr>
            <w:tcW w:w="230" w:type="dxa"/>
            <w:vAlign w:val="top"/>
          </w:tcPr>
          <w:p w14:paraId="1D0E54CA">
            <w:pPr>
              <w:rPr>
                <w:rFonts w:ascii="Arial"/>
                <w:sz w:val="21"/>
              </w:rPr>
            </w:pPr>
          </w:p>
        </w:tc>
        <w:tc>
          <w:tcPr>
            <w:tcW w:w="224" w:type="dxa"/>
            <w:vAlign w:val="top"/>
          </w:tcPr>
          <w:p w14:paraId="62C03221">
            <w:pPr>
              <w:rPr>
                <w:rFonts w:ascii="Arial"/>
                <w:sz w:val="21"/>
              </w:rPr>
            </w:pPr>
          </w:p>
        </w:tc>
      </w:tr>
      <w:tr w14:paraId="34AE50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58" w:hRule="atLeast"/>
        </w:trPr>
        <w:tc>
          <w:tcPr>
            <w:tcW w:w="733" w:type="dxa"/>
            <w:vAlign w:val="top"/>
          </w:tcPr>
          <w:p w14:paraId="2AF39D29">
            <w:pPr>
              <w:spacing w:line="414" w:lineRule="auto"/>
              <w:rPr>
                <w:rFonts w:ascii="Arial"/>
                <w:sz w:val="21"/>
              </w:rPr>
            </w:pPr>
          </w:p>
          <w:p w14:paraId="7ADEAECB">
            <w:pPr>
              <w:pStyle w:val="6"/>
              <w:spacing w:before="62" w:line="219" w:lineRule="auto"/>
              <w:ind w:left="164" w:right="87" w:hanging="89"/>
              <w:rPr>
                <w:sz w:val="19"/>
                <w:szCs w:val="19"/>
              </w:rPr>
            </w:pPr>
            <w:r>
              <w:rPr>
                <w:spacing w:val="-4"/>
                <w:sz w:val="19"/>
                <w:szCs w:val="19"/>
              </w:rPr>
              <w:t>工作簿</w:t>
            </w:r>
            <w:r>
              <w:rPr>
                <w:spacing w:val="1"/>
                <w:sz w:val="19"/>
                <w:szCs w:val="19"/>
              </w:rPr>
              <w:t xml:space="preserve"> </w:t>
            </w:r>
            <w:r>
              <w:rPr>
                <w:spacing w:val="-4"/>
                <w:sz w:val="19"/>
                <w:szCs w:val="19"/>
              </w:rPr>
              <w:t>基本</w:t>
            </w:r>
            <w:r>
              <w:rPr>
                <w:sz w:val="19"/>
                <w:szCs w:val="19"/>
              </w:rPr>
              <w:t xml:space="preserve">  </w:t>
            </w:r>
            <w:r>
              <w:rPr>
                <w:spacing w:val="-2"/>
                <w:sz w:val="19"/>
                <w:szCs w:val="19"/>
              </w:rPr>
              <w:t>操作</w:t>
            </w:r>
          </w:p>
        </w:tc>
        <w:tc>
          <w:tcPr>
            <w:tcW w:w="2494" w:type="dxa"/>
            <w:vAlign w:val="top"/>
          </w:tcPr>
          <w:p w14:paraId="167C60C6">
            <w:pPr>
              <w:pStyle w:val="6"/>
              <w:spacing w:before="38" w:line="212" w:lineRule="auto"/>
              <w:ind w:left="12" w:firstLine="9"/>
              <w:rPr>
                <w:sz w:val="19"/>
                <w:szCs w:val="19"/>
              </w:rPr>
            </w:pPr>
            <w:r>
              <w:rPr>
                <w:spacing w:val="-15"/>
                <w:sz w:val="19"/>
                <w:szCs w:val="19"/>
              </w:rPr>
              <w:t>1.建立、</w:t>
            </w:r>
            <w:r>
              <w:rPr>
                <w:spacing w:val="-14"/>
                <w:sz w:val="19"/>
                <w:szCs w:val="19"/>
              </w:rPr>
              <w:t>保存、打开工作簿文</w:t>
            </w:r>
            <w:r>
              <w:rPr>
                <w:spacing w:val="-9"/>
                <w:sz w:val="19"/>
                <w:szCs w:val="19"/>
              </w:rPr>
              <w:t>件</w:t>
            </w:r>
            <w:r>
              <w:rPr>
                <w:spacing w:val="10"/>
                <w:sz w:val="19"/>
                <w:szCs w:val="19"/>
              </w:rPr>
              <w:t xml:space="preserve"> </w:t>
            </w:r>
            <w:r>
              <w:rPr>
                <w:spacing w:val="-2"/>
                <w:sz w:val="19"/>
                <w:szCs w:val="19"/>
              </w:rPr>
              <w:t>2.选定单元格、单元格区域</w:t>
            </w:r>
          </w:p>
          <w:p w14:paraId="64BE89F6">
            <w:pPr>
              <w:pStyle w:val="6"/>
              <w:spacing w:before="4" w:line="192" w:lineRule="auto"/>
              <w:ind w:left="12"/>
              <w:rPr>
                <w:sz w:val="19"/>
                <w:szCs w:val="19"/>
              </w:rPr>
            </w:pPr>
            <w:r>
              <w:rPr>
                <w:spacing w:val="1"/>
                <w:sz w:val="19"/>
                <w:szCs w:val="19"/>
              </w:rPr>
              <w:t>3.输入数据</w:t>
            </w:r>
          </w:p>
          <w:p w14:paraId="744E86B5">
            <w:pPr>
              <w:pStyle w:val="6"/>
              <w:spacing w:line="220" w:lineRule="auto"/>
              <w:ind w:left="12" w:firstLine="240"/>
              <w:rPr>
                <w:sz w:val="19"/>
                <w:szCs w:val="19"/>
              </w:rPr>
            </w:pPr>
            <w:r>
              <w:rPr>
                <w:spacing w:val="-19"/>
                <w:sz w:val="19"/>
                <w:szCs w:val="19"/>
              </w:rPr>
              <w:t>①不同类型数据的输入方法：</w:t>
            </w:r>
            <w:r>
              <w:rPr>
                <w:spacing w:val="7"/>
                <w:sz w:val="19"/>
                <w:szCs w:val="19"/>
              </w:rPr>
              <w:t xml:space="preserve"> </w:t>
            </w:r>
            <w:r>
              <w:rPr>
                <w:spacing w:val="-24"/>
                <w:w w:val="96"/>
                <w:sz w:val="19"/>
                <w:szCs w:val="19"/>
              </w:rPr>
              <w:t>数值数据、文本、数据、日期和时</w:t>
            </w:r>
            <w:r>
              <w:rPr>
                <w:spacing w:val="6"/>
                <w:sz w:val="19"/>
                <w:szCs w:val="19"/>
              </w:rPr>
              <w:t xml:space="preserve">  </w:t>
            </w:r>
            <w:r>
              <w:rPr>
                <w:spacing w:val="-6"/>
                <w:sz w:val="19"/>
                <w:szCs w:val="19"/>
              </w:rPr>
              <w:t>间数据、特定格式数据</w:t>
            </w:r>
          </w:p>
          <w:p w14:paraId="4CCD0F9E">
            <w:pPr>
              <w:pStyle w:val="6"/>
              <w:spacing w:line="185" w:lineRule="auto"/>
              <w:ind w:left="262"/>
              <w:rPr>
                <w:sz w:val="19"/>
                <w:szCs w:val="19"/>
              </w:rPr>
            </w:pPr>
            <w:r>
              <w:rPr>
                <w:spacing w:val="-1"/>
                <w:sz w:val="19"/>
                <w:szCs w:val="19"/>
              </w:rPr>
              <w:t>②Excel的自动填充功能</w:t>
            </w:r>
          </w:p>
        </w:tc>
        <w:tc>
          <w:tcPr>
            <w:tcW w:w="219" w:type="dxa"/>
            <w:vAlign w:val="top"/>
          </w:tcPr>
          <w:p w14:paraId="2700D792">
            <w:pPr>
              <w:rPr>
                <w:rFonts w:ascii="Arial"/>
                <w:sz w:val="21"/>
              </w:rPr>
            </w:pPr>
          </w:p>
        </w:tc>
        <w:tc>
          <w:tcPr>
            <w:tcW w:w="220" w:type="dxa"/>
            <w:vAlign w:val="top"/>
          </w:tcPr>
          <w:p w14:paraId="2A69EE71">
            <w:pPr>
              <w:rPr>
                <w:rFonts w:ascii="Arial"/>
                <w:sz w:val="21"/>
              </w:rPr>
            </w:pPr>
          </w:p>
        </w:tc>
        <w:tc>
          <w:tcPr>
            <w:tcW w:w="230" w:type="dxa"/>
            <w:vAlign w:val="top"/>
          </w:tcPr>
          <w:p w14:paraId="134C1432">
            <w:pPr>
              <w:rPr>
                <w:rFonts w:ascii="Arial"/>
                <w:sz w:val="21"/>
              </w:rPr>
            </w:pPr>
          </w:p>
        </w:tc>
        <w:tc>
          <w:tcPr>
            <w:tcW w:w="224" w:type="dxa"/>
            <w:vAlign w:val="top"/>
          </w:tcPr>
          <w:p w14:paraId="0BB1412C">
            <w:pPr>
              <w:rPr>
                <w:rFonts w:ascii="Arial"/>
                <w:sz w:val="21"/>
              </w:rPr>
            </w:pPr>
          </w:p>
        </w:tc>
      </w:tr>
      <w:tr w14:paraId="011B1F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28" w:hRule="atLeast"/>
        </w:trPr>
        <w:tc>
          <w:tcPr>
            <w:tcW w:w="733" w:type="dxa"/>
            <w:vAlign w:val="top"/>
          </w:tcPr>
          <w:p w14:paraId="261D7188">
            <w:pPr>
              <w:spacing w:line="261" w:lineRule="auto"/>
              <w:rPr>
                <w:rFonts w:ascii="Arial"/>
                <w:sz w:val="21"/>
              </w:rPr>
            </w:pPr>
          </w:p>
          <w:p w14:paraId="010F8B12">
            <w:pPr>
              <w:spacing w:line="261" w:lineRule="auto"/>
              <w:rPr>
                <w:rFonts w:ascii="Arial"/>
                <w:sz w:val="21"/>
              </w:rPr>
            </w:pPr>
          </w:p>
          <w:p w14:paraId="5F2A17C3">
            <w:pPr>
              <w:spacing w:line="262" w:lineRule="auto"/>
              <w:rPr>
                <w:rFonts w:ascii="Arial"/>
                <w:sz w:val="21"/>
              </w:rPr>
            </w:pPr>
          </w:p>
          <w:p w14:paraId="381D0527">
            <w:pPr>
              <w:pStyle w:val="6"/>
              <w:spacing w:before="61" w:line="208" w:lineRule="auto"/>
              <w:ind w:left="164" w:right="86" w:hanging="89"/>
              <w:rPr>
                <w:sz w:val="19"/>
                <w:szCs w:val="19"/>
              </w:rPr>
            </w:pPr>
            <w:r>
              <w:rPr>
                <w:spacing w:val="-3"/>
                <w:sz w:val="19"/>
                <w:szCs w:val="19"/>
              </w:rPr>
              <w:t>编辑工</w:t>
            </w:r>
            <w:r>
              <w:rPr>
                <w:sz w:val="19"/>
                <w:szCs w:val="19"/>
              </w:rPr>
              <w:t xml:space="preserve"> </w:t>
            </w:r>
            <w:r>
              <w:rPr>
                <w:spacing w:val="-3"/>
                <w:sz w:val="19"/>
                <w:szCs w:val="19"/>
              </w:rPr>
              <w:t>作表</w:t>
            </w:r>
          </w:p>
        </w:tc>
        <w:tc>
          <w:tcPr>
            <w:tcW w:w="2494" w:type="dxa"/>
            <w:vAlign w:val="top"/>
          </w:tcPr>
          <w:p w14:paraId="1205D03A">
            <w:pPr>
              <w:pStyle w:val="6"/>
              <w:spacing w:before="41" w:line="209" w:lineRule="auto"/>
              <w:ind w:left="12"/>
              <w:rPr>
                <w:sz w:val="19"/>
                <w:szCs w:val="19"/>
              </w:rPr>
            </w:pPr>
            <w:r>
              <w:rPr>
                <w:sz w:val="19"/>
                <w:szCs w:val="19"/>
              </w:rPr>
              <w:t xml:space="preserve">1.编辑单元格数据：修改、清 </w:t>
            </w:r>
            <w:r>
              <w:rPr>
                <w:spacing w:val="1"/>
                <w:sz w:val="19"/>
                <w:szCs w:val="19"/>
              </w:rPr>
              <w:t>除、复制与移动</w:t>
            </w:r>
          </w:p>
          <w:p w14:paraId="59021A4B">
            <w:pPr>
              <w:pStyle w:val="6"/>
              <w:spacing w:line="217" w:lineRule="auto"/>
              <w:ind w:left="12"/>
              <w:rPr>
                <w:sz w:val="19"/>
                <w:szCs w:val="19"/>
              </w:rPr>
            </w:pPr>
            <w:r>
              <w:rPr>
                <w:spacing w:val="-13"/>
                <w:sz w:val="19"/>
                <w:szCs w:val="19"/>
              </w:rPr>
              <w:t>2.插入或删除单元格、行、列、</w:t>
            </w:r>
            <w:r>
              <w:rPr>
                <w:spacing w:val="5"/>
                <w:sz w:val="19"/>
                <w:szCs w:val="19"/>
              </w:rPr>
              <w:t xml:space="preserve"> </w:t>
            </w:r>
            <w:r>
              <w:rPr>
                <w:spacing w:val="-7"/>
                <w:sz w:val="19"/>
                <w:szCs w:val="19"/>
              </w:rPr>
              <w:t>工作表</w:t>
            </w:r>
          </w:p>
          <w:p w14:paraId="7ED96353">
            <w:pPr>
              <w:pStyle w:val="6"/>
              <w:spacing w:before="2" w:line="212" w:lineRule="auto"/>
              <w:ind w:left="12" w:right="177"/>
              <w:rPr>
                <w:sz w:val="19"/>
                <w:szCs w:val="19"/>
              </w:rPr>
            </w:pPr>
            <w:r>
              <w:rPr>
                <w:spacing w:val="1"/>
                <w:sz w:val="19"/>
                <w:szCs w:val="19"/>
              </w:rPr>
              <w:t>3.调整工作表的行高与列宽</w:t>
            </w:r>
            <w:r>
              <w:rPr>
                <w:sz w:val="19"/>
                <w:szCs w:val="19"/>
              </w:rPr>
              <w:t xml:space="preserve"> </w:t>
            </w:r>
            <w:r>
              <w:rPr>
                <w:spacing w:val="-1"/>
                <w:sz w:val="19"/>
                <w:szCs w:val="19"/>
              </w:rPr>
              <w:t>4.查找与替换单元格数据</w:t>
            </w:r>
          </w:p>
          <w:p w14:paraId="0AC066B9">
            <w:pPr>
              <w:pStyle w:val="6"/>
              <w:spacing w:before="4" w:line="219" w:lineRule="auto"/>
              <w:ind w:left="12"/>
              <w:rPr>
                <w:sz w:val="19"/>
                <w:szCs w:val="19"/>
              </w:rPr>
            </w:pPr>
            <w:r>
              <w:rPr>
                <w:spacing w:val="1"/>
                <w:sz w:val="19"/>
                <w:szCs w:val="19"/>
              </w:rPr>
              <w:t>5.撤销与恢复操作</w:t>
            </w:r>
          </w:p>
          <w:p w14:paraId="6B739229">
            <w:pPr>
              <w:pStyle w:val="6"/>
              <w:spacing w:before="15" w:line="194" w:lineRule="auto"/>
              <w:ind w:left="12"/>
              <w:rPr>
                <w:sz w:val="19"/>
                <w:szCs w:val="19"/>
              </w:rPr>
            </w:pPr>
            <w:r>
              <w:rPr>
                <w:spacing w:val="-2"/>
                <w:sz w:val="19"/>
                <w:szCs w:val="19"/>
              </w:rPr>
              <w:t>6.重命名工作表</w:t>
            </w:r>
          </w:p>
          <w:p w14:paraId="446AEC43">
            <w:pPr>
              <w:pStyle w:val="6"/>
              <w:spacing w:line="209" w:lineRule="auto"/>
              <w:ind w:left="12"/>
              <w:rPr>
                <w:sz w:val="19"/>
                <w:szCs w:val="19"/>
              </w:rPr>
            </w:pPr>
            <w:r>
              <w:rPr>
                <w:sz w:val="19"/>
                <w:szCs w:val="19"/>
              </w:rPr>
              <w:t>7.移动或复制工作表</w:t>
            </w:r>
          </w:p>
        </w:tc>
        <w:tc>
          <w:tcPr>
            <w:tcW w:w="219" w:type="dxa"/>
            <w:vAlign w:val="top"/>
          </w:tcPr>
          <w:p w14:paraId="007F6C90">
            <w:pPr>
              <w:rPr>
                <w:rFonts w:ascii="Arial"/>
                <w:sz w:val="21"/>
              </w:rPr>
            </w:pPr>
          </w:p>
        </w:tc>
        <w:tc>
          <w:tcPr>
            <w:tcW w:w="220" w:type="dxa"/>
            <w:vAlign w:val="top"/>
          </w:tcPr>
          <w:p w14:paraId="6604D257">
            <w:pPr>
              <w:rPr>
                <w:rFonts w:ascii="Arial"/>
                <w:sz w:val="21"/>
              </w:rPr>
            </w:pPr>
          </w:p>
        </w:tc>
        <w:tc>
          <w:tcPr>
            <w:tcW w:w="230" w:type="dxa"/>
            <w:vAlign w:val="top"/>
          </w:tcPr>
          <w:p w14:paraId="1AF57E87">
            <w:pPr>
              <w:rPr>
                <w:rFonts w:ascii="Arial"/>
                <w:sz w:val="21"/>
              </w:rPr>
            </w:pPr>
          </w:p>
        </w:tc>
        <w:tc>
          <w:tcPr>
            <w:tcW w:w="224" w:type="dxa"/>
            <w:vAlign w:val="top"/>
          </w:tcPr>
          <w:p w14:paraId="2842EAE5">
            <w:pPr>
              <w:rPr>
                <w:rFonts w:ascii="Arial"/>
                <w:sz w:val="21"/>
              </w:rPr>
            </w:pPr>
          </w:p>
        </w:tc>
      </w:tr>
      <w:tr w14:paraId="27F5A2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798" w:hRule="atLeast"/>
        </w:trPr>
        <w:tc>
          <w:tcPr>
            <w:tcW w:w="733" w:type="dxa"/>
            <w:vAlign w:val="top"/>
          </w:tcPr>
          <w:p w14:paraId="302CC96A">
            <w:pPr>
              <w:spacing w:line="429" w:lineRule="auto"/>
              <w:rPr>
                <w:rFonts w:ascii="Arial"/>
                <w:sz w:val="21"/>
              </w:rPr>
            </w:pPr>
          </w:p>
          <w:p w14:paraId="244B1A81">
            <w:pPr>
              <w:pStyle w:val="6"/>
              <w:spacing w:before="62" w:line="215" w:lineRule="auto"/>
              <w:ind w:left="75" w:right="54"/>
              <w:jc w:val="both"/>
              <w:rPr>
                <w:sz w:val="19"/>
                <w:szCs w:val="19"/>
              </w:rPr>
            </w:pPr>
            <w:r>
              <w:rPr>
                <w:spacing w:val="-4"/>
                <w:sz w:val="19"/>
                <w:szCs w:val="19"/>
              </w:rPr>
              <w:t>工作表</w:t>
            </w:r>
            <w:r>
              <w:rPr>
                <w:spacing w:val="1"/>
                <w:sz w:val="19"/>
                <w:szCs w:val="19"/>
              </w:rPr>
              <w:t xml:space="preserve"> </w:t>
            </w:r>
            <w:r>
              <w:rPr>
                <w:spacing w:val="2"/>
                <w:sz w:val="19"/>
                <w:szCs w:val="19"/>
              </w:rPr>
              <w:t>的格式</w:t>
            </w:r>
            <w:r>
              <w:rPr>
                <w:sz w:val="19"/>
                <w:szCs w:val="19"/>
              </w:rPr>
              <w:t xml:space="preserve"> </w:t>
            </w:r>
            <w:r>
              <w:rPr>
                <w:spacing w:val="-3"/>
                <w:sz w:val="19"/>
                <w:szCs w:val="19"/>
              </w:rPr>
              <w:t>化与打</w:t>
            </w:r>
            <w:r>
              <w:rPr>
                <w:sz w:val="19"/>
                <w:szCs w:val="19"/>
              </w:rPr>
              <w:t xml:space="preserve"> </w:t>
            </w:r>
            <w:r>
              <w:rPr>
                <w:spacing w:val="7"/>
                <w:sz w:val="19"/>
                <w:szCs w:val="19"/>
              </w:rPr>
              <w:t>印输出</w:t>
            </w:r>
          </w:p>
        </w:tc>
        <w:tc>
          <w:tcPr>
            <w:tcW w:w="2494" w:type="dxa"/>
            <w:vAlign w:val="top"/>
          </w:tcPr>
          <w:p w14:paraId="3EDB12A6">
            <w:pPr>
              <w:pStyle w:val="6"/>
              <w:spacing w:before="43" w:line="214" w:lineRule="auto"/>
              <w:ind w:left="12"/>
              <w:rPr>
                <w:sz w:val="19"/>
                <w:szCs w:val="19"/>
              </w:rPr>
            </w:pPr>
            <w:r>
              <w:rPr>
                <w:sz w:val="19"/>
                <w:szCs w:val="19"/>
              </w:rPr>
              <w:t xml:space="preserve">1.设置单元格的字体、填充和 </w:t>
            </w:r>
            <w:r>
              <w:rPr>
                <w:spacing w:val="-3"/>
                <w:sz w:val="19"/>
                <w:szCs w:val="19"/>
              </w:rPr>
              <w:t>数据对齐方式</w:t>
            </w:r>
          </w:p>
          <w:p w14:paraId="45454DB4">
            <w:pPr>
              <w:pStyle w:val="6"/>
              <w:spacing w:before="1" w:line="208" w:lineRule="auto"/>
              <w:ind w:left="12" w:right="393"/>
              <w:rPr>
                <w:sz w:val="19"/>
                <w:szCs w:val="19"/>
              </w:rPr>
            </w:pPr>
            <w:r>
              <w:rPr>
                <w:spacing w:val="1"/>
                <w:sz w:val="19"/>
                <w:szCs w:val="19"/>
              </w:rPr>
              <w:t>2.设置单元格的边框线</w:t>
            </w:r>
            <w:r>
              <w:rPr>
                <w:sz w:val="19"/>
                <w:szCs w:val="19"/>
              </w:rPr>
              <w:t xml:space="preserve">  </w:t>
            </w:r>
            <w:r>
              <w:rPr>
                <w:spacing w:val="-1"/>
                <w:sz w:val="19"/>
                <w:szCs w:val="19"/>
              </w:rPr>
              <w:t>3.设置单元格的数字格式</w:t>
            </w:r>
          </w:p>
          <w:p w14:paraId="5E49975A">
            <w:pPr>
              <w:pStyle w:val="6"/>
              <w:spacing w:before="1" w:line="216" w:lineRule="auto"/>
              <w:ind w:left="12" w:right="8"/>
              <w:rPr>
                <w:sz w:val="19"/>
                <w:szCs w:val="19"/>
              </w:rPr>
            </w:pPr>
            <w:r>
              <w:rPr>
                <w:spacing w:val="-4"/>
                <w:sz w:val="19"/>
                <w:szCs w:val="19"/>
              </w:rPr>
              <w:t>4.</w:t>
            </w:r>
            <w:r>
              <w:rPr>
                <w:spacing w:val="-47"/>
                <w:sz w:val="19"/>
                <w:szCs w:val="19"/>
              </w:rPr>
              <w:t xml:space="preserve"> </w:t>
            </w:r>
            <w:r>
              <w:rPr>
                <w:spacing w:val="-4"/>
                <w:sz w:val="19"/>
                <w:szCs w:val="19"/>
              </w:rPr>
              <w:t>自动套用表格样式格式和单</w:t>
            </w:r>
            <w:r>
              <w:rPr>
                <w:sz w:val="19"/>
                <w:szCs w:val="19"/>
              </w:rPr>
              <w:t xml:space="preserve"> </w:t>
            </w:r>
            <w:r>
              <w:rPr>
                <w:spacing w:val="-2"/>
                <w:sz w:val="19"/>
                <w:szCs w:val="19"/>
              </w:rPr>
              <w:t>元格样式</w:t>
            </w:r>
          </w:p>
          <w:p w14:paraId="0EDF5235">
            <w:pPr>
              <w:pStyle w:val="6"/>
              <w:spacing w:before="14" w:line="194" w:lineRule="auto"/>
              <w:ind w:left="12"/>
              <w:rPr>
                <w:sz w:val="19"/>
                <w:szCs w:val="19"/>
              </w:rPr>
            </w:pPr>
            <w:r>
              <w:rPr>
                <w:spacing w:val="-2"/>
                <w:sz w:val="19"/>
                <w:szCs w:val="19"/>
              </w:rPr>
              <w:t>5.设置条件格式</w:t>
            </w:r>
          </w:p>
          <w:p w14:paraId="5993AC96">
            <w:pPr>
              <w:pStyle w:val="6"/>
              <w:spacing w:line="208" w:lineRule="auto"/>
              <w:ind w:left="12"/>
              <w:rPr>
                <w:sz w:val="19"/>
                <w:szCs w:val="19"/>
              </w:rPr>
            </w:pPr>
            <w:r>
              <w:rPr>
                <w:spacing w:val="-1"/>
                <w:sz w:val="19"/>
                <w:szCs w:val="19"/>
              </w:rPr>
              <w:t>6.打印预览与打印工作表</w:t>
            </w:r>
          </w:p>
        </w:tc>
        <w:tc>
          <w:tcPr>
            <w:tcW w:w="219" w:type="dxa"/>
            <w:vAlign w:val="top"/>
          </w:tcPr>
          <w:p w14:paraId="2587A7A3">
            <w:pPr>
              <w:rPr>
                <w:rFonts w:ascii="Arial"/>
                <w:sz w:val="21"/>
              </w:rPr>
            </w:pPr>
          </w:p>
        </w:tc>
        <w:tc>
          <w:tcPr>
            <w:tcW w:w="220" w:type="dxa"/>
            <w:vAlign w:val="top"/>
          </w:tcPr>
          <w:p w14:paraId="1BF98675">
            <w:pPr>
              <w:rPr>
                <w:rFonts w:ascii="Arial"/>
                <w:sz w:val="21"/>
              </w:rPr>
            </w:pPr>
          </w:p>
        </w:tc>
        <w:tc>
          <w:tcPr>
            <w:tcW w:w="230" w:type="dxa"/>
            <w:vAlign w:val="top"/>
          </w:tcPr>
          <w:p w14:paraId="6CFFFD3B">
            <w:pPr>
              <w:rPr>
                <w:rFonts w:ascii="Arial"/>
                <w:sz w:val="21"/>
              </w:rPr>
            </w:pPr>
          </w:p>
        </w:tc>
        <w:tc>
          <w:tcPr>
            <w:tcW w:w="224" w:type="dxa"/>
            <w:vAlign w:val="top"/>
          </w:tcPr>
          <w:p w14:paraId="032BC76E">
            <w:pPr>
              <w:rPr>
                <w:rFonts w:ascii="Arial"/>
                <w:sz w:val="21"/>
              </w:rPr>
            </w:pPr>
          </w:p>
        </w:tc>
      </w:tr>
      <w:tr w14:paraId="54AEFC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03" w:hRule="atLeast"/>
        </w:trPr>
        <w:tc>
          <w:tcPr>
            <w:tcW w:w="733" w:type="dxa"/>
            <w:vAlign w:val="top"/>
          </w:tcPr>
          <w:p w14:paraId="57DC5481">
            <w:pPr>
              <w:spacing w:line="292" w:lineRule="auto"/>
              <w:rPr>
                <w:rFonts w:ascii="Arial"/>
                <w:sz w:val="21"/>
              </w:rPr>
            </w:pPr>
          </w:p>
          <w:p w14:paraId="6D501B41">
            <w:pPr>
              <w:spacing w:line="293" w:lineRule="auto"/>
              <w:rPr>
                <w:rFonts w:ascii="Arial"/>
                <w:sz w:val="21"/>
              </w:rPr>
            </w:pPr>
          </w:p>
          <w:p w14:paraId="0EEC0AE1">
            <w:pPr>
              <w:spacing w:line="293" w:lineRule="auto"/>
              <w:rPr>
                <w:rFonts w:ascii="Arial"/>
                <w:sz w:val="21"/>
              </w:rPr>
            </w:pPr>
          </w:p>
          <w:p w14:paraId="5B76D797">
            <w:pPr>
              <w:pStyle w:val="6"/>
              <w:spacing w:before="61" w:line="207" w:lineRule="auto"/>
              <w:ind w:left="165" w:right="166"/>
              <w:rPr>
                <w:sz w:val="19"/>
                <w:szCs w:val="19"/>
              </w:rPr>
            </w:pPr>
            <w:r>
              <w:rPr>
                <w:spacing w:val="5"/>
                <w:sz w:val="19"/>
                <w:szCs w:val="19"/>
              </w:rPr>
              <w:t>数据</w:t>
            </w:r>
            <w:r>
              <w:rPr>
                <w:sz w:val="19"/>
                <w:szCs w:val="19"/>
              </w:rPr>
              <w:t xml:space="preserve"> </w:t>
            </w:r>
            <w:r>
              <w:rPr>
                <w:spacing w:val="-2"/>
                <w:sz w:val="19"/>
                <w:szCs w:val="19"/>
              </w:rPr>
              <w:t>计算</w:t>
            </w:r>
          </w:p>
        </w:tc>
        <w:tc>
          <w:tcPr>
            <w:tcW w:w="2494" w:type="dxa"/>
            <w:vAlign w:val="top"/>
          </w:tcPr>
          <w:p w14:paraId="79973D4B">
            <w:pPr>
              <w:pStyle w:val="6"/>
              <w:spacing w:before="46" w:line="223" w:lineRule="auto"/>
              <w:ind w:left="12" w:firstLine="10"/>
              <w:rPr>
                <w:sz w:val="19"/>
                <w:szCs w:val="19"/>
              </w:rPr>
            </w:pPr>
            <w:r>
              <w:rPr>
                <w:spacing w:val="-15"/>
                <w:sz w:val="19"/>
                <w:szCs w:val="19"/>
              </w:rPr>
              <w:t>1.建立、修</w:t>
            </w:r>
            <w:r>
              <w:rPr>
                <w:spacing w:val="-14"/>
                <w:sz w:val="19"/>
                <w:szCs w:val="19"/>
              </w:rPr>
              <w:t>改、复制与移动公</w:t>
            </w:r>
            <w:r>
              <w:rPr>
                <w:spacing w:val="-8"/>
                <w:sz w:val="19"/>
                <w:szCs w:val="19"/>
              </w:rPr>
              <w:t>式</w:t>
            </w:r>
            <w:r>
              <w:rPr>
                <w:spacing w:val="10"/>
                <w:sz w:val="19"/>
                <w:szCs w:val="19"/>
              </w:rPr>
              <w:t xml:space="preserve"> </w:t>
            </w:r>
            <w:r>
              <w:rPr>
                <w:spacing w:val="1"/>
                <w:sz w:val="19"/>
                <w:szCs w:val="19"/>
              </w:rPr>
              <w:t>2.运算符与优先级别</w:t>
            </w:r>
          </w:p>
          <w:p w14:paraId="5DA7D3ED">
            <w:pPr>
              <w:pStyle w:val="6"/>
              <w:spacing w:line="205" w:lineRule="auto"/>
              <w:jc w:val="right"/>
              <w:rPr>
                <w:sz w:val="19"/>
                <w:szCs w:val="19"/>
              </w:rPr>
            </w:pPr>
            <w:r>
              <w:rPr>
                <w:sz w:val="19"/>
                <w:szCs w:val="19"/>
              </w:rPr>
              <w:t>3.单元格的引用：绝对引用、</w:t>
            </w:r>
          </w:p>
          <w:p w14:paraId="00CAFCD8">
            <w:pPr>
              <w:pStyle w:val="6"/>
              <w:spacing w:before="1" w:line="220" w:lineRule="auto"/>
              <w:ind w:left="12" w:right="738"/>
              <w:rPr>
                <w:sz w:val="19"/>
                <w:szCs w:val="19"/>
              </w:rPr>
            </w:pPr>
            <w:r>
              <w:rPr>
                <w:spacing w:val="2"/>
                <w:sz w:val="19"/>
                <w:szCs w:val="19"/>
              </w:rPr>
              <w:t>相对引用、混合引用</w:t>
            </w:r>
            <w:r>
              <w:rPr>
                <w:spacing w:val="3"/>
                <w:sz w:val="19"/>
                <w:szCs w:val="19"/>
              </w:rPr>
              <w:t xml:space="preserve"> </w:t>
            </w:r>
            <w:r>
              <w:rPr>
                <w:spacing w:val="-1"/>
                <w:sz w:val="19"/>
                <w:szCs w:val="19"/>
              </w:rPr>
              <w:t>4.函数的使用方法</w:t>
            </w:r>
          </w:p>
          <w:p w14:paraId="7A60CDA6">
            <w:pPr>
              <w:pStyle w:val="6"/>
              <w:spacing w:before="4" w:line="219" w:lineRule="auto"/>
              <w:ind w:left="12"/>
              <w:rPr>
                <w:sz w:val="19"/>
                <w:szCs w:val="19"/>
              </w:rPr>
            </w:pPr>
            <w:r>
              <w:rPr>
                <w:spacing w:val="-1"/>
                <w:sz w:val="19"/>
                <w:szCs w:val="19"/>
              </w:rPr>
              <w:t>5.常用函数：</w:t>
            </w:r>
          </w:p>
          <w:p w14:paraId="021B62E7">
            <w:pPr>
              <w:pStyle w:val="6"/>
              <w:spacing w:before="58" w:line="198" w:lineRule="auto"/>
              <w:ind w:left="12" w:right="622" w:firstLine="80"/>
              <w:rPr>
                <w:sz w:val="19"/>
                <w:szCs w:val="19"/>
              </w:rPr>
            </w:pPr>
            <w:r>
              <w:rPr>
                <w:spacing w:val="-3"/>
                <w:sz w:val="19"/>
                <w:szCs w:val="19"/>
              </w:rPr>
              <w:t>SUM、AVERAGE、MAX、</w:t>
            </w:r>
            <w:r>
              <w:rPr>
                <w:spacing w:val="11"/>
                <w:sz w:val="19"/>
                <w:szCs w:val="19"/>
              </w:rPr>
              <w:t xml:space="preserve"> </w:t>
            </w:r>
            <w:r>
              <w:rPr>
                <w:spacing w:val="-1"/>
                <w:sz w:val="19"/>
                <w:szCs w:val="19"/>
              </w:rPr>
              <w:t>MIN、COUNT、COUNTA</w:t>
            </w:r>
          </w:p>
          <w:p w14:paraId="64BFA57C">
            <w:pPr>
              <w:pStyle w:val="6"/>
              <w:spacing w:before="13" w:line="157" w:lineRule="exact"/>
              <w:ind w:left="12" w:right="525"/>
              <w:rPr>
                <w:sz w:val="19"/>
                <w:szCs w:val="19"/>
              </w:rPr>
            </w:pPr>
            <w:r>
              <w:rPr>
                <w:spacing w:val="-3"/>
                <w:position w:val="-1"/>
                <w:sz w:val="19"/>
                <w:szCs w:val="19"/>
              </w:rPr>
              <w:t>、IF、RANK、COUNTIF、</w:t>
            </w:r>
            <w:r>
              <w:rPr>
                <w:spacing w:val="1"/>
                <w:position w:val="-1"/>
                <w:sz w:val="19"/>
                <w:szCs w:val="19"/>
              </w:rPr>
              <w:t xml:space="preserve"> </w:t>
            </w:r>
            <w:r>
              <w:rPr>
                <w:spacing w:val="-2"/>
                <w:position w:val="-3"/>
                <w:sz w:val="19"/>
                <w:szCs w:val="19"/>
              </w:rPr>
              <w:t>SUMIF</w:t>
            </w:r>
          </w:p>
        </w:tc>
        <w:tc>
          <w:tcPr>
            <w:tcW w:w="219" w:type="dxa"/>
            <w:vAlign w:val="top"/>
          </w:tcPr>
          <w:p w14:paraId="3DF60DDC">
            <w:pPr>
              <w:rPr>
                <w:rFonts w:ascii="Arial"/>
                <w:sz w:val="21"/>
              </w:rPr>
            </w:pPr>
          </w:p>
        </w:tc>
        <w:tc>
          <w:tcPr>
            <w:tcW w:w="220" w:type="dxa"/>
            <w:vAlign w:val="top"/>
          </w:tcPr>
          <w:p w14:paraId="615C5C2B">
            <w:pPr>
              <w:rPr>
                <w:rFonts w:ascii="Arial"/>
                <w:sz w:val="21"/>
              </w:rPr>
            </w:pPr>
          </w:p>
        </w:tc>
        <w:tc>
          <w:tcPr>
            <w:tcW w:w="230" w:type="dxa"/>
            <w:vAlign w:val="top"/>
          </w:tcPr>
          <w:p w14:paraId="0AEBB579">
            <w:pPr>
              <w:rPr>
                <w:rFonts w:ascii="Arial"/>
                <w:sz w:val="21"/>
              </w:rPr>
            </w:pPr>
          </w:p>
        </w:tc>
        <w:tc>
          <w:tcPr>
            <w:tcW w:w="224" w:type="dxa"/>
            <w:vAlign w:val="top"/>
          </w:tcPr>
          <w:p w14:paraId="123F4318">
            <w:pPr>
              <w:rPr>
                <w:rFonts w:ascii="Arial"/>
                <w:sz w:val="21"/>
              </w:rPr>
            </w:pPr>
          </w:p>
        </w:tc>
      </w:tr>
    </w:tbl>
    <w:p w14:paraId="0A734134">
      <w:pPr>
        <w:pStyle w:val="2"/>
      </w:pPr>
    </w:p>
    <w:p w14:paraId="48DF657B">
      <w:pPr>
        <w:sectPr>
          <w:footerReference r:id="rId89" w:type="default"/>
          <w:pgSz w:w="10660" w:h="15080"/>
          <w:pgMar w:top="400" w:right="885" w:bottom="925" w:left="1014" w:header="0" w:footer="705" w:gutter="0"/>
          <w:cols w:space="720" w:num="1"/>
        </w:sectPr>
      </w:pPr>
    </w:p>
    <w:p w14:paraId="0179ABF0">
      <w:pPr>
        <w:spacing w:before="12"/>
      </w:pPr>
    </w:p>
    <w:p w14:paraId="1E1A15C4">
      <w:pPr>
        <w:spacing w:before="12"/>
      </w:pPr>
    </w:p>
    <w:p w14:paraId="7CF86747">
      <w:pPr>
        <w:spacing w:before="12"/>
      </w:pPr>
    </w:p>
    <w:p w14:paraId="7A362C52">
      <w:pPr>
        <w:spacing w:before="11"/>
      </w:pPr>
    </w:p>
    <w:p w14:paraId="58A77E73">
      <w:pPr>
        <w:sectPr>
          <w:footerReference r:id="rId90" w:type="default"/>
          <w:pgSz w:w="10660" w:h="15080"/>
          <w:pgMar w:top="400" w:right="1024" w:bottom="925" w:left="809" w:header="0" w:footer="705" w:gutter="0"/>
          <w:cols w:equalWidth="0" w:num="1">
            <w:col w:w="8826"/>
          </w:cols>
        </w:sectPr>
      </w:pPr>
    </w:p>
    <w:tbl>
      <w:tblPr>
        <w:tblStyle w:val="5"/>
        <w:tblW w:w="4130" w:type="dxa"/>
        <w:tblInd w:w="9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43"/>
        <w:gridCol w:w="2484"/>
        <w:gridCol w:w="230"/>
        <w:gridCol w:w="229"/>
        <w:gridCol w:w="220"/>
        <w:gridCol w:w="224"/>
      </w:tblGrid>
      <w:tr w14:paraId="714E7A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4" w:hRule="atLeast"/>
        </w:trPr>
        <w:tc>
          <w:tcPr>
            <w:tcW w:w="743" w:type="dxa"/>
            <w:vMerge w:val="restart"/>
            <w:tcBorders>
              <w:bottom w:val="nil"/>
            </w:tcBorders>
            <w:vAlign w:val="top"/>
          </w:tcPr>
          <w:p w14:paraId="44703F39">
            <w:pPr>
              <w:pStyle w:val="6"/>
              <w:spacing w:before="20" w:line="224" w:lineRule="auto"/>
              <w:ind w:left="107" w:right="35" w:hanging="80"/>
            </w:pPr>
            <w:r>
              <w:rPr>
                <w:b/>
                <w:bCs/>
                <w:spacing w:val="-5"/>
              </w:rPr>
              <w:t>知识与技</w:t>
            </w:r>
            <w:r>
              <w:rPr>
                <w:spacing w:val="1"/>
              </w:rPr>
              <w:t xml:space="preserve"> </w:t>
            </w:r>
            <w:r>
              <w:rPr>
                <w:b/>
                <w:bCs/>
                <w:spacing w:val="1"/>
              </w:rPr>
              <w:t>能要点</w:t>
            </w:r>
          </w:p>
        </w:tc>
        <w:tc>
          <w:tcPr>
            <w:tcW w:w="2484" w:type="dxa"/>
            <w:vMerge w:val="restart"/>
            <w:tcBorders>
              <w:bottom w:val="nil"/>
            </w:tcBorders>
            <w:vAlign w:val="top"/>
          </w:tcPr>
          <w:p w14:paraId="3AD68ECE">
            <w:pPr>
              <w:pStyle w:val="6"/>
              <w:spacing w:before="139" w:line="219" w:lineRule="auto"/>
              <w:ind w:left="924"/>
            </w:pPr>
            <w:r>
              <w:rPr>
                <w:b/>
                <w:bCs/>
                <w:spacing w:val="5"/>
              </w:rPr>
              <w:t>考试条目</w:t>
            </w:r>
          </w:p>
        </w:tc>
        <w:tc>
          <w:tcPr>
            <w:tcW w:w="903" w:type="dxa"/>
            <w:gridSpan w:val="4"/>
            <w:vAlign w:val="top"/>
          </w:tcPr>
          <w:p w14:paraId="2ADFDB82">
            <w:pPr>
              <w:pStyle w:val="6"/>
              <w:spacing w:before="29" w:line="200" w:lineRule="auto"/>
              <w:ind w:left="120"/>
            </w:pPr>
            <w:r>
              <w:rPr>
                <w:b/>
                <w:bCs/>
                <w:spacing w:val="-4"/>
              </w:rPr>
              <w:t>考试水平</w:t>
            </w:r>
          </w:p>
        </w:tc>
      </w:tr>
      <w:tr w14:paraId="2CF295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9" w:hRule="atLeast"/>
        </w:trPr>
        <w:tc>
          <w:tcPr>
            <w:tcW w:w="743" w:type="dxa"/>
            <w:vMerge w:val="continue"/>
            <w:tcBorders>
              <w:top w:val="nil"/>
            </w:tcBorders>
            <w:vAlign w:val="top"/>
          </w:tcPr>
          <w:p w14:paraId="0135B71C">
            <w:pPr>
              <w:rPr>
                <w:rFonts w:ascii="Arial"/>
                <w:sz w:val="21"/>
              </w:rPr>
            </w:pPr>
          </w:p>
        </w:tc>
        <w:tc>
          <w:tcPr>
            <w:tcW w:w="2484" w:type="dxa"/>
            <w:vMerge w:val="continue"/>
            <w:tcBorders>
              <w:top w:val="nil"/>
            </w:tcBorders>
            <w:vAlign w:val="top"/>
          </w:tcPr>
          <w:p w14:paraId="612E2DAC">
            <w:pPr>
              <w:rPr>
                <w:rFonts w:ascii="Arial"/>
                <w:sz w:val="21"/>
              </w:rPr>
            </w:pPr>
          </w:p>
        </w:tc>
        <w:tc>
          <w:tcPr>
            <w:tcW w:w="230" w:type="dxa"/>
            <w:vAlign w:val="top"/>
          </w:tcPr>
          <w:p w14:paraId="69819152">
            <w:pPr>
              <w:pStyle w:val="6"/>
              <w:spacing w:before="60" w:line="139" w:lineRule="exact"/>
              <w:ind w:left="20"/>
            </w:pPr>
            <w:r>
              <w:rPr>
                <w:b/>
                <w:bCs/>
                <w:spacing w:val="-2"/>
                <w:position w:val="-2"/>
              </w:rPr>
              <w:t>A</w:t>
            </w:r>
          </w:p>
        </w:tc>
        <w:tc>
          <w:tcPr>
            <w:tcW w:w="229" w:type="dxa"/>
            <w:vAlign w:val="top"/>
          </w:tcPr>
          <w:p w14:paraId="41E87806">
            <w:pPr>
              <w:pStyle w:val="6"/>
              <w:spacing w:before="63" w:line="136" w:lineRule="exact"/>
              <w:ind w:left="20"/>
            </w:pPr>
            <w:r>
              <w:rPr>
                <w:b/>
                <w:bCs/>
                <w:spacing w:val="-2"/>
                <w:position w:val="-2"/>
              </w:rPr>
              <w:t>B</w:t>
            </w:r>
          </w:p>
        </w:tc>
        <w:tc>
          <w:tcPr>
            <w:tcW w:w="220" w:type="dxa"/>
            <w:vAlign w:val="top"/>
          </w:tcPr>
          <w:p w14:paraId="3B3D4878">
            <w:pPr>
              <w:pStyle w:val="6"/>
              <w:spacing w:before="61" w:line="138" w:lineRule="exact"/>
              <w:ind w:left="48"/>
            </w:pPr>
            <w:r>
              <w:rPr>
                <w:position w:val="-2"/>
              </w:rPr>
              <w:t>C</w:t>
            </w:r>
          </w:p>
        </w:tc>
        <w:tc>
          <w:tcPr>
            <w:tcW w:w="224" w:type="dxa"/>
            <w:vAlign w:val="top"/>
          </w:tcPr>
          <w:p w14:paraId="5940523C">
            <w:pPr>
              <w:pStyle w:val="6"/>
              <w:spacing w:before="63" w:line="136" w:lineRule="exact"/>
              <w:ind w:left="21"/>
            </w:pPr>
            <w:r>
              <w:rPr>
                <w:b/>
                <w:bCs/>
                <w:spacing w:val="-2"/>
                <w:position w:val="-2"/>
              </w:rPr>
              <w:t>D</w:t>
            </w:r>
          </w:p>
        </w:tc>
      </w:tr>
      <w:tr w14:paraId="567A5E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96" w:hRule="atLeast"/>
        </w:trPr>
        <w:tc>
          <w:tcPr>
            <w:tcW w:w="743" w:type="dxa"/>
            <w:vAlign w:val="top"/>
          </w:tcPr>
          <w:p w14:paraId="47E4A2CC">
            <w:pPr>
              <w:spacing w:line="421" w:lineRule="auto"/>
              <w:rPr>
                <w:rFonts w:ascii="Arial"/>
                <w:sz w:val="21"/>
              </w:rPr>
            </w:pPr>
          </w:p>
          <w:p w14:paraId="1C804247">
            <w:pPr>
              <w:pStyle w:val="6"/>
              <w:spacing w:before="55" w:line="224" w:lineRule="auto"/>
              <w:ind w:left="194" w:right="206"/>
            </w:pPr>
            <w:r>
              <w:rPr>
                <w:spacing w:val="-4"/>
              </w:rPr>
              <w:t>数据</w:t>
            </w:r>
            <w:r>
              <w:t xml:space="preserve"> </w:t>
            </w:r>
            <w:r>
              <w:rPr>
                <w:spacing w:val="-5"/>
              </w:rPr>
              <w:t>分析</w:t>
            </w:r>
          </w:p>
        </w:tc>
        <w:tc>
          <w:tcPr>
            <w:tcW w:w="2484" w:type="dxa"/>
            <w:vAlign w:val="top"/>
          </w:tcPr>
          <w:p w14:paraId="5B26A87A">
            <w:pPr>
              <w:pStyle w:val="6"/>
              <w:spacing w:before="29" w:line="219" w:lineRule="auto"/>
              <w:ind w:left="1"/>
            </w:pPr>
            <w:r>
              <w:rPr>
                <w:spacing w:val="1"/>
              </w:rPr>
              <w:t>1.数据记录的排序</w:t>
            </w:r>
          </w:p>
          <w:p w14:paraId="75235E59">
            <w:pPr>
              <w:pStyle w:val="6"/>
              <w:spacing w:before="18" w:line="244" w:lineRule="auto"/>
              <w:ind w:left="1" w:right="270"/>
            </w:pPr>
            <w:r>
              <w:rPr>
                <w:spacing w:val="-1"/>
              </w:rPr>
              <w:t>2.数据的筛选：自动筛选、高</w:t>
            </w:r>
            <w:r>
              <w:rPr>
                <w:spacing w:val="4"/>
              </w:rPr>
              <w:t xml:space="preserve"> </w:t>
            </w:r>
            <w:r>
              <w:rPr>
                <w:spacing w:val="-3"/>
              </w:rPr>
              <w:t>级筛选</w:t>
            </w:r>
          </w:p>
          <w:p w14:paraId="7FA02529">
            <w:pPr>
              <w:pStyle w:val="6"/>
              <w:spacing w:line="210" w:lineRule="auto"/>
              <w:ind w:left="1" w:right="1097"/>
            </w:pPr>
            <w:r>
              <w:rPr>
                <w:spacing w:val="1"/>
              </w:rPr>
              <w:t>3.数据的分类汇总</w:t>
            </w:r>
            <w:r>
              <w:rPr>
                <w:spacing w:val="4"/>
              </w:rPr>
              <w:t xml:space="preserve"> </w:t>
            </w:r>
            <w:r>
              <w:rPr>
                <w:spacing w:val="-1"/>
              </w:rPr>
              <w:t>4.数据透视表</w:t>
            </w:r>
          </w:p>
        </w:tc>
        <w:tc>
          <w:tcPr>
            <w:tcW w:w="230" w:type="dxa"/>
            <w:vAlign w:val="top"/>
          </w:tcPr>
          <w:p w14:paraId="3BFED1E7">
            <w:pPr>
              <w:rPr>
                <w:rFonts w:ascii="Arial"/>
                <w:sz w:val="21"/>
              </w:rPr>
            </w:pPr>
          </w:p>
        </w:tc>
        <w:tc>
          <w:tcPr>
            <w:tcW w:w="229" w:type="dxa"/>
            <w:vAlign w:val="top"/>
          </w:tcPr>
          <w:p w14:paraId="3A8842D0">
            <w:pPr>
              <w:rPr>
                <w:rFonts w:ascii="Arial"/>
                <w:sz w:val="21"/>
              </w:rPr>
            </w:pPr>
          </w:p>
        </w:tc>
        <w:tc>
          <w:tcPr>
            <w:tcW w:w="220" w:type="dxa"/>
            <w:vAlign w:val="top"/>
          </w:tcPr>
          <w:p w14:paraId="75828DBB">
            <w:pPr>
              <w:rPr>
                <w:rFonts w:ascii="Arial"/>
                <w:sz w:val="21"/>
              </w:rPr>
            </w:pPr>
          </w:p>
        </w:tc>
        <w:tc>
          <w:tcPr>
            <w:tcW w:w="224" w:type="dxa"/>
            <w:vAlign w:val="top"/>
          </w:tcPr>
          <w:p w14:paraId="726133EF">
            <w:pPr>
              <w:rPr>
                <w:rFonts w:ascii="Arial"/>
                <w:sz w:val="21"/>
              </w:rPr>
            </w:pPr>
          </w:p>
        </w:tc>
      </w:tr>
      <w:tr w14:paraId="6ECCC6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30" w:hRule="atLeast"/>
        </w:trPr>
        <w:tc>
          <w:tcPr>
            <w:tcW w:w="743" w:type="dxa"/>
            <w:vAlign w:val="top"/>
          </w:tcPr>
          <w:p w14:paraId="43FFBD30">
            <w:pPr>
              <w:spacing w:line="406" w:lineRule="auto"/>
              <w:rPr>
                <w:rFonts w:ascii="Arial"/>
                <w:sz w:val="21"/>
              </w:rPr>
            </w:pPr>
          </w:p>
          <w:p w14:paraId="0BC6D882">
            <w:pPr>
              <w:pStyle w:val="6"/>
              <w:spacing w:before="55" w:line="221" w:lineRule="auto"/>
              <w:ind w:left="105"/>
            </w:pPr>
            <w:r>
              <w:rPr>
                <w:spacing w:val="4"/>
              </w:rPr>
              <w:t>图表的</w:t>
            </w:r>
          </w:p>
          <w:p w14:paraId="2958EB84">
            <w:pPr>
              <w:pStyle w:val="6"/>
              <w:spacing w:before="14" w:line="219" w:lineRule="auto"/>
              <w:ind w:left="194"/>
            </w:pPr>
            <w:r>
              <w:rPr>
                <w:spacing w:val="-2"/>
              </w:rPr>
              <w:t>基本</w:t>
            </w:r>
          </w:p>
          <w:p w14:paraId="38FAF402">
            <w:pPr>
              <w:pStyle w:val="6"/>
              <w:spacing w:before="29" w:line="219" w:lineRule="auto"/>
              <w:ind w:left="194"/>
            </w:pPr>
            <w:r>
              <w:rPr>
                <w:spacing w:val="-2"/>
              </w:rPr>
              <w:t>操作</w:t>
            </w:r>
          </w:p>
        </w:tc>
        <w:tc>
          <w:tcPr>
            <w:tcW w:w="2484" w:type="dxa"/>
            <w:vAlign w:val="top"/>
          </w:tcPr>
          <w:p w14:paraId="73932C27">
            <w:pPr>
              <w:pStyle w:val="6"/>
              <w:spacing w:before="24" w:line="228" w:lineRule="auto"/>
              <w:ind w:left="1" w:right="1614"/>
            </w:pPr>
            <w:r>
              <w:rPr>
                <w:spacing w:val="1"/>
              </w:rPr>
              <w:t>1.建立图表</w:t>
            </w:r>
            <w:r>
              <w:t xml:space="preserve"> </w:t>
            </w:r>
            <w:r>
              <w:rPr>
                <w:spacing w:val="-2"/>
              </w:rPr>
              <w:t>2.编辑图表</w:t>
            </w:r>
          </w:p>
          <w:p w14:paraId="71055BF8">
            <w:pPr>
              <w:pStyle w:val="6"/>
              <w:spacing w:before="26" w:line="226" w:lineRule="auto"/>
              <w:ind w:left="1" w:right="207" w:firstLine="230"/>
            </w:pPr>
            <w:r>
              <w:rPr>
                <w:spacing w:val="-1"/>
              </w:rPr>
              <w:t>①移动、复制、缩放或删除</w:t>
            </w:r>
            <w:r>
              <w:rPr>
                <w:spacing w:val="5"/>
              </w:rPr>
              <w:t xml:space="preserve"> </w:t>
            </w:r>
            <w:r>
              <w:rPr>
                <w:spacing w:val="4"/>
              </w:rPr>
              <w:t>图表</w:t>
            </w:r>
          </w:p>
          <w:p w14:paraId="0972E754">
            <w:pPr>
              <w:pStyle w:val="6"/>
              <w:spacing w:before="33" w:line="217" w:lineRule="auto"/>
              <w:ind w:left="252"/>
            </w:pPr>
            <w:r>
              <w:rPr>
                <w:spacing w:val="-1"/>
              </w:rPr>
              <w:t>②更改图表类型</w:t>
            </w:r>
          </w:p>
          <w:p w14:paraId="03292C8C">
            <w:pPr>
              <w:pStyle w:val="6"/>
              <w:spacing w:before="1" w:line="216" w:lineRule="auto"/>
              <w:ind w:left="1" w:right="1047" w:firstLine="240"/>
            </w:pPr>
            <w:r>
              <w:rPr>
                <w:spacing w:val="-1"/>
              </w:rPr>
              <w:t>③修改图表元素</w:t>
            </w:r>
            <w:r>
              <w:t xml:space="preserve"> </w:t>
            </w:r>
            <w:r>
              <w:rPr>
                <w:spacing w:val="-1"/>
              </w:rPr>
              <w:t>3.图表的格式化</w:t>
            </w:r>
          </w:p>
        </w:tc>
        <w:tc>
          <w:tcPr>
            <w:tcW w:w="230" w:type="dxa"/>
            <w:vAlign w:val="top"/>
          </w:tcPr>
          <w:p w14:paraId="014FD578">
            <w:pPr>
              <w:rPr>
                <w:rFonts w:ascii="Arial"/>
                <w:sz w:val="21"/>
              </w:rPr>
            </w:pPr>
          </w:p>
        </w:tc>
        <w:tc>
          <w:tcPr>
            <w:tcW w:w="229" w:type="dxa"/>
            <w:vAlign w:val="top"/>
          </w:tcPr>
          <w:p w14:paraId="735F60E1">
            <w:pPr>
              <w:rPr>
                <w:rFonts w:ascii="Arial"/>
                <w:sz w:val="21"/>
              </w:rPr>
            </w:pPr>
          </w:p>
        </w:tc>
        <w:tc>
          <w:tcPr>
            <w:tcW w:w="220" w:type="dxa"/>
            <w:vAlign w:val="top"/>
          </w:tcPr>
          <w:p w14:paraId="3F2769B3">
            <w:pPr>
              <w:spacing w:before="84" w:line="963" w:lineRule="exact"/>
              <w:ind w:firstLine="33"/>
            </w:pPr>
            <w:r>
              <w:rPr>
                <w:position w:val="-19"/>
              </w:rPr>
              <w:drawing>
                <wp:inline distT="0" distB="0" distL="0" distR="0">
                  <wp:extent cx="94615" cy="610870"/>
                  <wp:effectExtent l="0" t="0" r="0" b="0"/>
                  <wp:docPr id="466" name="IM 466"/>
                  <wp:cNvGraphicFramePr/>
                  <a:graphic xmlns:a="http://schemas.openxmlformats.org/drawingml/2006/main">
                    <a:graphicData uri="http://schemas.openxmlformats.org/drawingml/2006/picture">
                      <pic:pic xmlns:pic="http://schemas.openxmlformats.org/drawingml/2006/picture">
                        <pic:nvPicPr>
                          <pic:cNvPr id="466" name="IM 466"/>
                          <pic:cNvPicPr/>
                        </pic:nvPicPr>
                        <pic:blipFill>
                          <a:blip r:embed="rId397"/>
                          <a:stretch>
                            <a:fillRect/>
                          </a:stretch>
                        </pic:blipFill>
                        <pic:spPr>
                          <a:xfrm>
                            <a:off x="0" y="0"/>
                            <a:ext cx="94839" cy="611377"/>
                          </a:xfrm>
                          <a:prstGeom prst="rect">
                            <a:avLst/>
                          </a:prstGeom>
                        </pic:spPr>
                      </pic:pic>
                    </a:graphicData>
                  </a:graphic>
                </wp:inline>
              </w:drawing>
            </w:r>
          </w:p>
        </w:tc>
        <w:tc>
          <w:tcPr>
            <w:tcW w:w="224" w:type="dxa"/>
            <w:vAlign w:val="top"/>
          </w:tcPr>
          <w:p w14:paraId="242BCF89">
            <w:pPr>
              <w:rPr>
                <w:rFonts w:ascii="Arial"/>
                <w:sz w:val="21"/>
              </w:rPr>
            </w:pPr>
          </w:p>
        </w:tc>
      </w:tr>
    </w:tbl>
    <w:p w14:paraId="665DF71E">
      <w:pPr>
        <w:spacing w:before="147" w:line="223" w:lineRule="auto"/>
        <w:ind w:left="520"/>
        <w:rPr>
          <w:rFonts w:ascii="楷体" w:hAnsi="楷体" w:eastAsia="楷体" w:cs="楷体"/>
          <w:sz w:val="17"/>
          <w:szCs w:val="17"/>
        </w:rPr>
      </w:pPr>
      <w:r>
        <w:rPr>
          <w:rFonts w:ascii="楷体" w:hAnsi="楷体" w:eastAsia="楷体" w:cs="楷体"/>
          <w:spacing w:val="9"/>
          <w:sz w:val="17"/>
          <w:szCs w:val="17"/>
        </w:rPr>
        <w:t>(五)数字媒体技术应用</w:t>
      </w:r>
    </w:p>
    <w:p w14:paraId="70B615F6">
      <w:pPr>
        <w:spacing w:line="117" w:lineRule="exact"/>
      </w:pPr>
    </w:p>
    <w:tbl>
      <w:tblPr>
        <w:tblStyle w:val="5"/>
        <w:tblW w:w="4130" w:type="dxa"/>
        <w:tblInd w:w="9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43"/>
        <w:gridCol w:w="2484"/>
        <w:gridCol w:w="220"/>
        <w:gridCol w:w="229"/>
        <w:gridCol w:w="220"/>
        <w:gridCol w:w="234"/>
      </w:tblGrid>
      <w:tr w14:paraId="37705C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4" w:hRule="atLeast"/>
        </w:trPr>
        <w:tc>
          <w:tcPr>
            <w:tcW w:w="743" w:type="dxa"/>
            <w:vMerge w:val="restart"/>
            <w:tcBorders>
              <w:bottom w:val="nil"/>
            </w:tcBorders>
            <w:vAlign w:val="top"/>
          </w:tcPr>
          <w:p w14:paraId="2340A9BC">
            <w:pPr>
              <w:pStyle w:val="6"/>
              <w:spacing w:before="31" w:line="218" w:lineRule="auto"/>
              <w:ind w:left="107" w:right="35" w:hanging="80"/>
            </w:pPr>
            <w:r>
              <w:rPr>
                <w:b/>
                <w:bCs/>
                <w:spacing w:val="-5"/>
              </w:rPr>
              <w:t>知识与技</w:t>
            </w:r>
            <w:r>
              <w:rPr>
                <w:spacing w:val="1"/>
              </w:rPr>
              <w:t xml:space="preserve"> </w:t>
            </w:r>
            <w:r>
              <w:rPr>
                <w:b/>
                <w:bCs/>
                <w:spacing w:val="1"/>
              </w:rPr>
              <w:t>能要点</w:t>
            </w:r>
          </w:p>
        </w:tc>
        <w:tc>
          <w:tcPr>
            <w:tcW w:w="2484" w:type="dxa"/>
            <w:vMerge w:val="restart"/>
            <w:tcBorders>
              <w:bottom w:val="nil"/>
            </w:tcBorders>
            <w:vAlign w:val="top"/>
          </w:tcPr>
          <w:p w14:paraId="56C7C834">
            <w:pPr>
              <w:pStyle w:val="6"/>
              <w:spacing w:before="139" w:line="219" w:lineRule="auto"/>
              <w:ind w:left="924"/>
            </w:pPr>
            <w:r>
              <w:rPr>
                <w:b/>
                <w:bCs/>
                <w:spacing w:val="5"/>
              </w:rPr>
              <w:t>考试条目</w:t>
            </w:r>
          </w:p>
        </w:tc>
        <w:tc>
          <w:tcPr>
            <w:tcW w:w="903" w:type="dxa"/>
            <w:gridSpan w:val="4"/>
            <w:vAlign w:val="top"/>
          </w:tcPr>
          <w:p w14:paraId="65FDCDD7">
            <w:pPr>
              <w:pStyle w:val="6"/>
              <w:spacing w:before="29" w:line="211" w:lineRule="auto"/>
              <w:ind w:left="130"/>
            </w:pPr>
            <w:r>
              <w:rPr>
                <w:b/>
                <w:bCs/>
                <w:spacing w:val="-4"/>
              </w:rPr>
              <w:t>考试水平</w:t>
            </w:r>
          </w:p>
        </w:tc>
      </w:tr>
      <w:tr w14:paraId="758A83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99" w:hRule="atLeast"/>
        </w:trPr>
        <w:tc>
          <w:tcPr>
            <w:tcW w:w="743" w:type="dxa"/>
            <w:vMerge w:val="continue"/>
            <w:tcBorders>
              <w:top w:val="nil"/>
            </w:tcBorders>
            <w:vAlign w:val="top"/>
          </w:tcPr>
          <w:p w14:paraId="14E88FE7">
            <w:pPr>
              <w:rPr>
                <w:rFonts w:ascii="Arial"/>
                <w:sz w:val="21"/>
              </w:rPr>
            </w:pPr>
          </w:p>
        </w:tc>
        <w:tc>
          <w:tcPr>
            <w:tcW w:w="2484" w:type="dxa"/>
            <w:vMerge w:val="continue"/>
            <w:tcBorders>
              <w:top w:val="nil"/>
            </w:tcBorders>
            <w:vAlign w:val="top"/>
          </w:tcPr>
          <w:p w14:paraId="526D76F2">
            <w:pPr>
              <w:rPr>
                <w:rFonts w:ascii="Arial"/>
                <w:sz w:val="21"/>
              </w:rPr>
            </w:pPr>
          </w:p>
        </w:tc>
        <w:tc>
          <w:tcPr>
            <w:tcW w:w="220" w:type="dxa"/>
            <w:vAlign w:val="top"/>
          </w:tcPr>
          <w:p w14:paraId="63F8CEC6">
            <w:pPr>
              <w:pStyle w:val="6"/>
              <w:spacing w:before="60" w:line="129" w:lineRule="exact"/>
              <w:ind w:left="57"/>
            </w:pPr>
            <w:r>
              <w:rPr>
                <w:position w:val="-2"/>
              </w:rPr>
              <w:t>A</w:t>
            </w:r>
          </w:p>
        </w:tc>
        <w:tc>
          <w:tcPr>
            <w:tcW w:w="229" w:type="dxa"/>
            <w:vAlign w:val="top"/>
          </w:tcPr>
          <w:p w14:paraId="2610B19C">
            <w:pPr>
              <w:pStyle w:val="6"/>
              <w:spacing w:before="63" w:line="126" w:lineRule="exact"/>
              <w:ind w:left="70"/>
            </w:pPr>
            <w:r>
              <w:rPr>
                <w:b/>
                <w:bCs/>
                <w:spacing w:val="-2"/>
                <w:position w:val="-2"/>
              </w:rPr>
              <w:t>B</w:t>
            </w:r>
          </w:p>
        </w:tc>
        <w:tc>
          <w:tcPr>
            <w:tcW w:w="220" w:type="dxa"/>
            <w:vAlign w:val="top"/>
          </w:tcPr>
          <w:p w14:paraId="2BC98FC4">
            <w:pPr>
              <w:pStyle w:val="6"/>
              <w:spacing w:before="61" w:line="128" w:lineRule="exact"/>
              <w:ind w:left="48"/>
            </w:pPr>
            <w:r>
              <w:rPr>
                <w:position w:val="-2"/>
              </w:rPr>
              <w:t>C</w:t>
            </w:r>
          </w:p>
        </w:tc>
        <w:tc>
          <w:tcPr>
            <w:tcW w:w="234" w:type="dxa"/>
            <w:vAlign w:val="top"/>
          </w:tcPr>
          <w:p w14:paraId="2154017D">
            <w:pPr>
              <w:pStyle w:val="6"/>
              <w:spacing w:before="63" w:line="126" w:lineRule="exact"/>
              <w:ind w:left="68"/>
            </w:pPr>
            <w:r>
              <w:rPr>
                <w:position w:val="-2"/>
              </w:rPr>
              <w:t>D</w:t>
            </w:r>
          </w:p>
        </w:tc>
      </w:tr>
      <w:tr w14:paraId="664734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96" w:hRule="atLeast"/>
        </w:trPr>
        <w:tc>
          <w:tcPr>
            <w:tcW w:w="743" w:type="dxa"/>
            <w:vAlign w:val="top"/>
          </w:tcPr>
          <w:p w14:paraId="2E3189D0">
            <w:pPr>
              <w:pStyle w:val="6"/>
              <w:spacing w:before="67" w:line="219" w:lineRule="auto"/>
              <w:ind w:left="105"/>
            </w:pPr>
            <w:r>
              <w:rPr>
                <w:spacing w:val="-2"/>
              </w:rPr>
              <w:t>数字媒</w:t>
            </w:r>
          </w:p>
          <w:p w14:paraId="3CACA2CF">
            <w:pPr>
              <w:pStyle w:val="6"/>
              <w:spacing w:before="19" w:line="219" w:lineRule="auto"/>
              <w:ind w:left="105"/>
            </w:pPr>
            <w:r>
              <w:rPr>
                <w:spacing w:val="-2"/>
              </w:rPr>
              <w:t>体技术</w:t>
            </w:r>
          </w:p>
          <w:p w14:paraId="4BA7BF5F">
            <w:pPr>
              <w:pStyle w:val="6"/>
              <w:spacing w:before="13" w:line="197" w:lineRule="auto"/>
              <w:ind w:left="194"/>
            </w:pPr>
            <w:r>
              <w:rPr>
                <w:spacing w:val="-2"/>
              </w:rPr>
              <w:t>基础</w:t>
            </w:r>
          </w:p>
        </w:tc>
        <w:tc>
          <w:tcPr>
            <w:tcW w:w="2484" w:type="dxa"/>
            <w:vAlign w:val="top"/>
          </w:tcPr>
          <w:p w14:paraId="22F521DE">
            <w:pPr>
              <w:pStyle w:val="6"/>
              <w:spacing w:before="37" w:line="219" w:lineRule="auto"/>
              <w:ind w:left="11"/>
            </w:pPr>
            <w:r>
              <w:rPr>
                <w:spacing w:val="1"/>
              </w:rPr>
              <w:t>1.数字媒体技术的特点</w:t>
            </w:r>
          </w:p>
          <w:p w14:paraId="4F179975">
            <w:pPr>
              <w:pStyle w:val="6"/>
              <w:spacing w:before="38" w:line="218" w:lineRule="auto"/>
              <w:ind w:left="11" w:right="260"/>
            </w:pPr>
            <w:r>
              <w:rPr>
                <w:spacing w:val="-1"/>
              </w:rPr>
              <w:t>2.数字媒体文件的类型和格式</w:t>
            </w:r>
            <w:r>
              <w:rPr>
                <w:spacing w:val="4"/>
              </w:rPr>
              <w:t xml:space="preserve"> </w:t>
            </w:r>
            <w:r>
              <w:rPr>
                <w:spacing w:val="-1"/>
              </w:rPr>
              <w:t>3.数字媒体素材的获取</w:t>
            </w:r>
          </w:p>
        </w:tc>
        <w:tc>
          <w:tcPr>
            <w:tcW w:w="220" w:type="dxa"/>
            <w:vAlign w:val="top"/>
          </w:tcPr>
          <w:p w14:paraId="7638C864">
            <w:pPr>
              <w:pStyle w:val="6"/>
              <w:spacing w:before="86" w:line="238" w:lineRule="auto"/>
              <w:ind w:left="18"/>
            </w:pPr>
            <w:r>
              <w:t>√</w:t>
            </w:r>
          </w:p>
        </w:tc>
        <w:tc>
          <w:tcPr>
            <w:tcW w:w="229" w:type="dxa"/>
            <w:vAlign w:val="top"/>
          </w:tcPr>
          <w:p w14:paraId="54E45422">
            <w:pPr>
              <w:pStyle w:val="6"/>
              <w:spacing w:before="286" w:line="238" w:lineRule="auto"/>
              <w:ind w:left="27"/>
            </w:pPr>
            <w:r>
              <w:t>√</w:t>
            </w:r>
          </w:p>
        </w:tc>
        <w:tc>
          <w:tcPr>
            <w:tcW w:w="220" w:type="dxa"/>
            <w:vAlign w:val="top"/>
          </w:tcPr>
          <w:p w14:paraId="0809A89A">
            <w:pPr>
              <w:rPr>
                <w:rFonts w:ascii="Arial"/>
                <w:sz w:val="21"/>
              </w:rPr>
            </w:pPr>
          </w:p>
        </w:tc>
        <w:tc>
          <w:tcPr>
            <w:tcW w:w="234" w:type="dxa"/>
            <w:vAlign w:val="top"/>
          </w:tcPr>
          <w:p w14:paraId="088B2762">
            <w:pPr>
              <w:spacing w:line="428" w:lineRule="auto"/>
              <w:rPr>
                <w:rFonts w:ascii="Arial"/>
                <w:sz w:val="21"/>
              </w:rPr>
            </w:pPr>
          </w:p>
          <w:p w14:paraId="749EFED6">
            <w:pPr>
              <w:pStyle w:val="6"/>
              <w:spacing w:before="55" w:line="217" w:lineRule="auto"/>
              <w:ind w:left="29"/>
            </w:pPr>
            <w:r>
              <w:t>√</w:t>
            </w:r>
          </w:p>
        </w:tc>
      </w:tr>
      <w:tr w14:paraId="0244F2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1" w:hRule="atLeast"/>
        </w:trPr>
        <w:tc>
          <w:tcPr>
            <w:tcW w:w="743" w:type="dxa"/>
            <w:vAlign w:val="top"/>
          </w:tcPr>
          <w:p w14:paraId="60324CD8">
            <w:pPr>
              <w:pStyle w:val="6"/>
              <w:spacing w:before="82" w:line="218" w:lineRule="auto"/>
              <w:ind w:left="105"/>
            </w:pPr>
            <w:r>
              <w:rPr>
                <w:spacing w:val="-2"/>
              </w:rPr>
              <w:t>数字媒</w:t>
            </w:r>
          </w:p>
          <w:p w14:paraId="1FD91BDE">
            <w:pPr>
              <w:pStyle w:val="6"/>
              <w:spacing w:line="220" w:lineRule="auto"/>
              <w:ind w:left="105"/>
            </w:pPr>
            <w:r>
              <w:rPr>
                <w:spacing w:val="5"/>
              </w:rPr>
              <w:t>体作品</w:t>
            </w:r>
          </w:p>
          <w:p w14:paraId="72F940C6">
            <w:pPr>
              <w:pStyle w:val="6"/>
              <w:spacing w:before="17" w:line="220" w:lineRule="auto"/>
              <w:ind w:left="194"/>
            </w:pPr>
            <w:r>
              <w:rPr>
                <w:spacing w:val="-2"/>
              </w:rPr>
              <w:t>制作</w:t>
            </w:r>
          </w:p>
        </w:tc>
        <w:tc>
          <w:tcPr>
            <w:tcW w:w="2484" w:type="dxa"/>
            <w:vAlign w:val="top"/>
          </w:tcPr>
          <w:p w14:paraId="3BF4EAC4">
            <w:pPr>
              <w:pStyle w:val="6"/>
              <w:spacing w:before="193" w:line="224" w:lineRule="auto"/>
              <w:ind w:left="11" w:right="770"/>
            </w:pPr>
            <w:r>
              <w:rPr>
                <w:spacing w:val="1"/>
              </w:rPr>
              <w:t>1.图像处理基础知识</w:t>
            </w:r>
            <w:r>
              <w:t xml:space="preserve">   </w:t>
            </w:r>
            <w:r>
              <w:rPr>
                <w:spacing w:val="-1"/>
              </w:rPr>
              <w:t>2.短视频制作基础知识</w:t>
            </w:r>
          </w:p>
        </w:tc>
        <w:tc>
          <w:tcPr>
            <w:tcW w:w="220" w:type="dxa"/>
            <w:vAlign w:val="top"/>
          </w:tcPr>
          <w:p w14:paraId="632E47ED">
            <w:pPr>
              <w:rPr>
                <w:rFonts w:ascii="Arial"/>
                <w:sz w:val="21"/>
              </w:rPr>
            </w:pPr>
          </w:p>
        </w:tc>
        <w:tc>
          <w:tcPr>
            <w:tcW w:w="229" w:type="dxa"/>
            <w:vAlign w:val="top"/>
          </w:tcPr>
          <w:p w14:paraId="3FA6F855">
            <w:pPr>
              <w:rPr>
                <w:rFonts w:ascii="Arial"/>
                <w:sz w:val="21"/>
              </w:rPr>
            </w:pPr>
          </w:p>
        </w:tc>
        <w:tc>
          <w:tcPr>
            <w:tcW w:w="220" w:type="dxa"/>
            <w:vAlign w:val="top"/>
          </w:tcPr>
          <w:p w14:paraId="386F544C">
            <w:pPr>
              <w:rPr>
                <w:rFonts w:ascii="Arial"/>
                <w:sz w:val="21"/>
              </w:rPr>
            </w:pPr>
          </w:p>
        </w:tc>
        <w:tc>
          <w:tcPr>
            <w:tcW w:w="234" w:type="dxa"/>
            <w:vAlign w:val="top"/>
          </w:tcPr>
          <w:p w14:paraId="14CBC696">
            <w:pPr>
              <w:rPr>
                <w:rFonts w:ascii="Arial"/>
                <w:sz w:val="21"/>
              </w:rPr>
            </w:pPr>
          </w:p>
        </w:tc>
      </w:tr>
    </w:tbl>
    <w:p w14:paraId="0CC32073">
      <w:pPr>
        <w:spacing w:before="83" w:line="212" w:lineRule="auto"/>
        <w:ind w:left="530"/>
        <w:rPr>
          <w:rFonts w:ascii="Times New Roman" w:hAnsi="Times New Roman" w:eastAsia="Times New Roman" w:cs="Times New Roman"/>
          <w:sz w:val="17"/>
          <w:szCs w:val="17"/>
        </w:rPr>
      </w:pPr>
      <w:r>
        <w:rPr>
          <w:rFonts w:ascii="楷体" w:hAnsi="楷体" w:eastAsia="楷体" w:cs="楷体"/>
          <w:spacing w:val="7"/>
          <w:sz w:val="17"/>
          <w:szCs w:val="17"/>
        </w:rPr>
        <w:t>(六)演示文稿软件应用</w:t>
      </w:r>
      <w:r>
        <w:rPr>
          <w:rFonts w:ascii="Times New Roman" w:hAnsi="Times New Roman" w:eastAsia="Times New Roman" w:cs="Times New Roman"/>
          <w:spacing w:val="7"/>
          <w:sz w:val="17"/>
          <w:szCs w:val="17"/>
        </w:rPr>
        <w:t>(</w:t>
      </w:r>
      <w:r>
        <w:rPr>
          <w:rFonts w:ascii="Times New Roman" w:hAnsi="Times New Roman" w:eastAsia="Times New Roman" w:cs="Times New Roman"/>
          <w:sz w:val="17"/>
          <w:szCs w:val="17"/>
        </w:rPr>
        <w:t xml:space="preserve">PowerPoint    </w:t>
      </w:r>
      <w:r>
        <w:rPr>
          <w:rFonts w:ascii="Times New Roman" w:hAnsi="Times New Roman" w:eastAsia="Times New Roman" w:cs="Times New Roman"/>
          <w:spacing w:val="7"/>
          <w:sz w:val="17"/>
          <w:szCs w:val="17"/>
        </w:rPr>
        <w:t>2016)</w:t>
      </w:r>
    </w:p>
    <w:p w14:paraId="32A77FA8">
      <w:pPr>
        <w:spacing w:line="92" w:lineRule="exact"/>
      </w:pPr>
    </w:p>
    <w:tbl>
      <w:tblPr>
        <w:tblStyle w:val="5"/>
        <w:tblW w:w="4130" w:type="dxa"/>
        <w:tblInd w:w="9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33"/>
        <w:gridCol w:w="2484"/>
        <w:gridCol w:w="230"/>
        <w:gridCol w:w="229"/>
        <w:gridCol w:w="220"/>
        <w:gridCol w:w="234"/>
      </w:tblGrid>
      <w:tr w14:paraId="50286E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4" w:hRule="atLeast"/>
        </w:trPr>
        <w:tc>
          <w:tcPr>
            <w:tcW w:w="733" w:type="dxa"/>
            <w:vMerge w:val="restart"/>
            <w:tcBorders>
              <w:bottom w:val="nil"/>
            </w:tcBorders>
            <w:vAlign w:val="top"/>
          </w:tcPr>
          <w:p w14:paraId="753A0DC2">
            <w:pPr>
              <w:pStyle w:val="6"/>
              <w:spacing w:before="21" w:line="211" w:lineRule="auto"/>
              <w:ind w:left="86" w:hanging="69"/>
              <w:rPr>
                <w:sz w:val="18"/>
                <w:szCs w:val="18"/>
              </w:rPr>
            </w:pPr>
            <w:r>
              <w:rPr>
                <w:b/>
                <w:bCs/>
                <w:spacing w:val="-6"/>
                <w:sz w:val="18"/>
                <w:szCs w:val="18"/>
              </w:rPr>
              <w:t>知识与技</w:t>
            </w:r>
            <w:r>
              <w:rPr>
                <w:sz w:val="18"/>
                <w:szCs w:val="18"/>
              </w:rPr>
              <w:t xml:space="preserve"> </w:t>
            </w:r>
            <w:r>
              <w:rPr>
                <w:b/>
                <w:bCs/>
                <w:sz w:val="18"/>
                <w:szCs w:val="18"/>
              </w:rPr>
              <w:t>能要点</w:t>
            </w:r>
          </w:p>
        </w:tc>
        <w:tc>
          <w:tcPr>
            <w:tcW w:w="2484" w:type="dxa"/>
            <w:vMerge w:val="restart"/>
            <w:tcBorders>
              <w:bottom w:val="nil"/>
            </w:tcBorders>
            <w:vAlign w:val="top"/>
          </w:tcPr>
          <w:p w14:paraId="67F400B9">
            <w:pPr>
              <w:pStyle w:val="6"/>
              <w:spacing w:before="129" w:line="219" w:lineRule="auto"/>
              <w:ind w:left="924"/>
              <w:rPr>
                <w:sz w:val="18"/>
                <w:szCs w:val="18"/>
              </w:rPr>
            </w:pPr>
            <w:r>
              <w:rPr>
                <w:b/>
                <w:bCs/>
                <w:spacing w:val="5"/>
                <w:sz w:val="18"/>
                <w:szCs w:val="18"/>
              </w:rPr>
              <w:t>考试条目</w:t>
            </w:r>
          </w:p>
        </w:tc>
        <w:tc>
          <w:tcPr>
            <w:tcW w:w="913" w:type="dxa"/>
            <w:gridSpan w:val="4"/>
            <w:vAlign w:val="top"/>
          </w:tcPr>
          <w:p w14:paraId="5AF7563C">
            <w:pPr>
              <w:pStyle w:val="6"/>
              <w:spacing w:before="19" w:line="199" w:lineRule="auto"/>
              <w:ind w:left="130"/>
              <w:rPr>
                <w:sz w:val="18"/>
                <w:szCs w:val="18"/>
              </w:rPr>
            </w:pPr>
            <w:r>
              <w:rPr>
                <w:b/>
                <w:bCs/>
                <w:spacing w:val="-4"/>
                <w:sz w:val="18"/>
                <w:szCs w:val="18"/>
              </w:rPr>
              <w:t>考试水平</w:t>
            </w:r>
          </w:p>
        </w:tc>
      </w:tr>
      <w:tr w14:paraId="69DC88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9" w:hRule="atLeast"/>
        </w:trPr>
        <w:tc>
          <w:tcPr>
            <w:tcW w:w="733" w:type="dxa"/>
            <w:vMerge w:val="continue"/>
            <w:tcBorders>
              <w:top w:val="nil"/>
            </w:tcBorders>
            <w:vAlign w:val="top"/>
          </w:tcPr>
          <w:p w14:paraId="22B8477E">
            <w:pPr>
              <w:rPr>
                <w:rFonts w:ascii="Arial"/>
                <w:sz w:val="21"/>
              </w:rPr>
            </w:pPr>
          </w:p>
        </w:tc>
        <w:tc>
          <w:tcPr>
            <w:tcW w:w="2484" w:type="dxa"/>
            <w:vMerge w:val="continue"/>
            <w:tcBorders>
              <w:top w:val="nil"/>
            </w:tcBorders>
            <w:vAlign w:val="top"/>
          </w:tcPr>
          <w:p w14:paraId="0762B047">
            <w:pPr>
              <w:rPr>
                <w:rFonts w:ascii="Arial"/>
                <w:sz w:val="21"/>
              </w:rPr>
            </w:pPr>
          </w:p>
        </w:tc>
        <w:tc>
          <w:tcPr>
            <w:tcW w:w="230" w:type="dxa"/>
            <w:vAlign w:val="top"/>
          </w:tcPr>
          <w:p w14:paraId="76010525">
            <w:pPr>
              <w:pStyle w:val="6"/>
              <w:spacing w:before="63" w:line="136" w:lineRule="exact"/>
              <w:ind w:left="70"/>
              <w:rPr>
                <w:sz w:val="18"/>
                <w:szCs w:val="18"/>
              </w:rPr>
            </w:pPr>
            <w:r>
              <w:rPr>
                <w:b/>
                <w:bCs/>
                <w:spacing w:val="-2"/>
                <w:position w:val="-2"/>
                <w:sz w:val="18"/>
                <w:szCs w:val="18"/>
              </w:rPr>
              <w:t>A</w:t>
            </w:r>
          </w:p>
        </w:tc>
        <w:tc>
          <w:tcPr>
            <w:tcW w:w="229" w:type="dxa"/>
            <w:vAlign w:val="top"/>
          </w:tcPr>
          <w:p w14:paraId="08B10FCC">
            <w:pPr>
              <w:pStyle w:val="6"/>
              <w:spacing w:before="66" w:line="133" w:lineRule="exact"/>
              <w:ind w:left="20"/>
              <w:rPr>
                <w:sz w:val="18"/>
                <w:szCs w:val="18"/>
              </w:rPr>
            </w:pPr>
            <w:r>
              <w:rPr>
                <w:b/>
                <w:bCs/>
                <w:spacing w:val="-2"/>
                <w:position w:val="-2"/>
                <w:sz w:val="18"/>
                <w:szCs w:val="18"/>
              </w:rPr>
              <w:t>B</w:t>
            </w:r>
          </w:p>
        </w:tc>
        <w:tc>
          <w:tcPr>
            <w:tcW w:w="220" w:type="dxa"/>
            <w:vAlign w:val="top"/>
          </w:tcPr>
          <w:p w14:paraId="0BED6571">
            <w:pPr>
              <w:pStyle w:val="6"/>
              <w:spacing w:before="64" w:line="135" w:lineRule="exact"/>
              <w:ind w:left="58"/>
              <w:rPr>
                <w:sz w:val="18"/>
                <w:szCs w:val="18"/>
              </w:rPr>
            </w:pPr>
            <w:r>
              <w:rPr>
                <w:position w:val="-2"/>
                <w:sz w:val="18"/>
                <w:szCs w:val="18"/>
              </w:rPr>
              <w:t>C</w:t>
            </w:r>
          </w:p>
        </w:tc>
        <w:tc>
          <w:tcPr>
            <w:tcW w:w="234" w:type="dxa"/>
            <w:vAlign w:val="top"/>
          </w:tcPr>
          <w:p w14:paraId="3F418102">
            <w:pPr>
              <w:pStyle w:val="6"/>
              <w:spacing w:before="66" w:line="133" w:lineRule="exact"/>
              <w:ind w:left="51"/>
              <w:rPr>
                <w:sz w:val="18"/>
                <w:szCs w:val="18"/>
              </w:rPr>
            </w:pPr>
            <w:r>
              <w:rPr>
                <w:b/>
                <w:bCs/>
                <w:spacing w:val="-2"/>
                <w:position w:val="-2"/>
                <w:sz w:val="18"/>
                <w:szCs w:val="18"/>
              </w:rPr>
              <w:t>D</w:t>
            </w:r>
          </w:p>
        </w:tc>
      </w:tr>
      <w:tr w14:paraId="659EAE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28" w:hRule="atLeast"/>
        </w:trPr>
        <w:tc>
          <w:tcPr>
            <w:tcW w:w="733" w:type="dxa"/>
            <w:vAlign w:val="top"/>
          </w:tcPr>
          <w:p w14:paraId="12EE865A">
            <w:pPr>
              <w:pStyle w:val="6"/>
              <w:spacing w:before="190" w:line="193" w:lineRule="auto"/>
              <w:ind w:left="84"/>
              <w:rPr>
                <w:sz w:val="18"/>
                <w:szCs w:val="18"/>
              </w:rPr>
            </w:pPr>
            <w:r>
              <w:rPr>
                <w:spacing w:val="-2"/>
                <w:sz w:val="18"/>
                <w:szCs w:val="18"/>
              </w:rPr>
              <w:t>演示文</w:t>
            </w:r>
          </w:p>
          <w:p w14:paraId="082BCD3C">
            <w:pPr>
              <w:pStyle w:val="6"/>
              <w:spacing w:line="195" w:lineRule="auto"/>
              <w:ind w:left="84"/>
              <w:rPr>
                <w:sz w:val="18"/>
                <w:szCs w:val="18"/>
              </w:rPr>
            </w:pPr>
            <w:r>
              <w:rPr>
                <w:spacing w:val="-2"/>
                <w:sz w:val="18"/>
                <w:szCs w:val="18"/>
              </w:rPr>
              <w:t>稿基本</w:t>
            </w:r>
          </w:p>
          <w:p w14:paraId="16BD2203">
            <w:pPr>
              <w:pStyle w:val="6"/>
              <w:spacing w:line="219" w:lineRule="auto"/>
              <w:ind w:left="174"/>
              <w:rPr>
                <w:sz w:val="18"/>
                <w:szCs w:val="18"/>
              </w:rPr>
            </w:pPr>
            <w:r>
              <w:rPr>
                <w:spacing w:val="-2"/>
                <w:sz w:val="18"/>
                <w:szCs w:val="18"/>
              </w:rPr>
              <w:t>操作</w:t>
            </w:r>
          </w:p>
        </w:tc>
        <w:tc>
          <w:tcPr>
            <w:tcW w:w="2484" w:type="dxa"/>
            <w:vAlign w:val="top"/>
          </w:tcPr>
          <w:p w14:paraId="5CC2BE84">
            <w:pPr>
              <w:pStyle w:val="6"/>
              <w:spacing w:before="19" w:line="195" w:lineRule="auto"/>
              <w:ind w:left="11"/>
              <w:rPr>
                <w:sz w:val="18"/>
                <w:szCs w:val="18"/>
              </w:rPr>
            </w:pPr>
            <w:r>
              <w:rPr>
                <w:sz w:val="18"/>
                <w:szCs w:val="18"/>
              </w:rPr>
              <w:t>1.演示文稿的基本概念</w:t>
            </w:r>
          </w:p>
          <w:p w14:paraId="01591149">
            <w:pPr>
              <w:pStyle w:val="6"/>
              <w:spacing w:before="1" w:line="184" w:lineRule="auto"/>
              <w:ind w:left="11" w:right="131"/>
              <w:rPr>
                <w:sz w:val="18"/>
                <w:szCs w:val="18"/>
              </w:rPr>
            </w:pPr>
            <w:r>
              <w:rPr>
                <w:spacing w:val="-1"/>
                <w:sz w:val="18"/>
                <w:szCs w:val="18"/>
              </w:rPr>
              <w:t>2.演示文稿的新建、保存、打</w:t>
            </w:r>
            <w:r>
              <w:rPr>
                <w:spacing w:val="3"/>
                <w:sz w:val="18"/>
                <w:szCs w:val="18"/>
              </w:rPr>
              <w:t xml:space="preserve"> </w:t>
            </w:r>
            <w:r>
              <w:rPr>
                <w:spacing w:val="-2"/>
                <w:sz w:val="18"/>
                <w:szCs w:val="18"/>
              </w:rPr>
              <w:t>开和浏览</w:t>
            </w:r>
          </w:p>
          <w:p w14:paraId="5C4D075C">
            <w:pPr>
              <w:pStyle w:val="6"/>
              <w:spacing w:before="1" w:line="178" w:lineRule="auto"/>
              <w:ind w:left="11" w:right="109"/>
              <w:rPr>
                <w:sz w:val="18"/>
                <w:szCs w:val="18"/>
              </w:rPr>
            </w:pPr>
            <w:r>
              <w:rPr>
                <w:sz w:val="18"/>
                <w:szCs w:val="18"/>
              </w:rPr>
              <w:t>3.幻灯片的插入、复制、移动</w:t>
            </w:r>
            <w:r>
              <w:rPr>
                <w:spacing w:val="11"/>
                <w:sz w:val="18"/>
                <w:szCs w:val="18"/>
              </w:rPr>
              <w:t xml:space="preserve"> </w:t>
            </w:r>
            <w:r>
              <w:rPr>
                <w:spacing w:val="-2"/>
                <w:sz w:val="18"/>
                <w:szCs w:val="18"/>
              </w:rPr>
              <w:t>和删除</w:t>
            </w:r>
          </w:p>
        </w:tc>
        <w:tc>
          <w:tcPr>
            <w:tcW w:w="230" w:type="dxa"/>
            <w:vAlign w:val="top"/>
          </w:tcPr>
          <w:p w14:paraId="48AEEB40">
            <w:pPr>
              <w:pStyle w:val="6"/>
              <w:spacing w:before="116" w:line="182" w:lineRule="auto"/>
              <w:ind w:left="67"/>
              <w:rPr>
                <w:sz w:val="18"/>
                <w:szCs w:val="18"/>
              </w:rPr>
            </w:pPr>
            <w:r>
              <w:rPr>
                <w:sz w:val="18"/>
                <w:szCs w:val="18"/>
              </w:rPr>
              <w:t>V</w:t>
            </w:r>
          </w:p>
        </w:tc>
        <w:tc>
          <w:tcPr>
            <w:tcW w:w="229" w:type="dxa"/>
            <w:vAlign w:val="top"/>
          </w:tcPr>
          <w:p w14:paraId="5875744E">
            <w:pPr>
              <w:rPr>
                <w:rFonts w:ascii="Arial"/>
                <w:sz w:val="21"/>
              </w:rPr>
            </w:pPr>
          </w:p>
        </w:tc>
        <w:tc>
          <w:tcPr>
            <w:tcW w:w="220" w:type="dxa"/>
            <w:vAlign w:val="top"/>
          </w:tcPr>
          <w:p w14:paraId="51E07434">
            <w:pPr>
              <w:spacing w:line="268" w:lineRule="auto"/>
              <w:rPr>
                <w:rFonts w:ascii="Arial"/>
                <w:sz w:val="21"/>
              </w:rPr>
            </w:pPr>
          </w:p>
          <w:p w14:paraId="4518AD4C">
            <w:pPr>
              <w:spacing w:line="268" w:lineRule="auto"/>
              <w:rPr>
                <w:rFonts w:ascii="Arial"/>
                <w:sz w:val="21"/>
              </w:rPr>
            </w:pPr>
          </w:p>
          <w:p w14:paraId="788614F7">
            <w:pPr>
              <w:pStyle w:val="6"/>
              <w:spacing w:before="39" w:line="238" w:lineRule="auto"/>
              <w:ind w:left="48"/>
              <w:rPr>
                <w:sz w:val="12"/>
                <w:szCs w:val="12"/>
              </w:rPr>
            </w:pPr>
            <w:r>
              <w:rPr>
                <w:sz w:val="12"/>
                <w:szCs w:val="12"/>
              </w:rPr>
              <w:t>√</w:t>
            </w:r>
          </w:p>
        </w:tc>
        <w:tc>
          <w:tcPr>
            <w:tcW w:w="234" w:type="dxa"/>
            <w:vAlign w:val="top"/>
          </w:tcPr>
          <w:p w14:paraId="3F326A7C">
            <w:pPr>
              <w:rPr>
                <w:rFonts w:ascii="Arial"/>
                <w:sz w:val="21"/>
              </w:rPr>
            </w:pPr>
          </w:p>
        </w:tc>
      </w:tr>
      <w:tr w14:paraId="722C3A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38" w:hRule="atLeast"/>
        </w:trPr>
        <w:tc>
          <w:tcPr>
            <w:tcW w:w="733" w:type="dxa"/>
            <w:vAlign w:val="top"/>
          </w:tcPr>
          <w:p w14:paraId="607CB388">
            <w:pPr>
              <w:spacing w:line="243" w:lineRule="auto"/>
              <w:rPr>
                <w:rFonts w:ascii="Arial"/>
                <w:sz w:val="21"/>
              </w:rPr>
            </w:pPr>
          </w:p>
          <w:p w14:paraId="54F08475">
            <w:pPr>
              <w:pStyle w:val="6"/>
              <w:spacing w:before="58" w:line="206" w:lineRule="auto"/>
              <w:ind w:left="84" w:right="104"/>
              <w:rPr>
                <w:sz w:val="18"/>
                <w:szCs w:val="18"/>
              </w:rPr>
            </w:pPr>
            <w:r>
              <w:rPr>
                <w:spacing w:val="-3"/>
                <w:sz w:val="18"/>
                <w:szCs w:val="18"/>
              </w:rPr>
              <w:t>演示文</w:t>
            </w:r>
            <w:r>
              <w:rPr>
                <w:sz w:val="18"/>
                <w:szCs w:val="18"/>
              </w:rPr>
              <w:t xml:space="preserve"> </w:t>
            </w:r>
            <w:r>
              <w:rPr>
                <w:spacing w:val="-3"/>
                <w:sz w:val="18"/>
                <w:szCs w:val="18"/>
              </w:rPr>
              <w:t>稿修饰</w:t>
            </w:r>
          </w:p>
        </w:tc>
        <w:tc>
          <w:tcPr>
            <w:tcW w:w="2484" w:type="dxa"/>
            <w:vAlign w:val="top"/>
          </w:tcPr>
          <w:p w14:paraId="3462C492">
            <w:pPr>
              <w:pStyle w:val="6"/>
              <w:spacing w:before="41" w:line="195" w:lineRule="auto"/>
              <w:ind w:left="11" w:right="835"/>
            </w:pPr>
            <w:r>
              <w:rPr>
                <w:sz w:val="18"/>
                <w:szCs w:val="18"/>
              </w:rPr>
              <w:t>1.更换幻灯片的版式</w:t>
            </w:r>
            <w:r>
              <w:rPr>
                <w:spacing w:val="6"/>
                <w:sz w:val="18"/>
                <w:szCs w:val="18"/>
              </w:rPr>
              <w:t xml:space="preserve"> </w:t>
            </w:r>
            <w:r>
              <w:rPr>
                <w:spacing w:val="9"/>
              </w:rPr>
              <w:t>2.使用幻灯片母版</w:t>
            </w:r>
          </w:p>
          <w:p w14:paraId="70807ED5">
            <w:pPr>
              <w:pStyle w:val="6"/>
              <w:spacing w:before="1" w:line="208" w:lineRule="auto"/>
              <w:ind w:left="11" w:right="114"/>
              <w:rPr>
                <w:sz w:val="18"/>
                <w:szCs w:val="18"/>
              </w:rPr>
            </w:pPr>
            <w:r>
              <w:rPr>
                <w:spacing w:val="9"/>
              </w:rPr>
              <w:t>3.设置幻灯片主题、背景、配</w:t>
            </w:r>
            <w:r>
              <w:rPr>
                <w:spacing w:val="10"/>
              </w:rPr>
              <w:t xml:space="preserve"> </w:t>
            </w:r>
            <w:r>
              <w:rPr>
                <w:spacing w:val="-3"/>
                <w:sz w:val="18"/>
                <w:szCs w:val="18"/>
              </w:rPr>
              <w:t>色方案</w:t>
            </w:r>
          </w:p>
        </w:tc>
        <w:tc>
          <w:tcPr>
            <w:tcW w:w="230" w:type="dxa"/>
            <w:vAlign w:val="top"/>
          </w:tcPr>
          <w:p w14:paraId="172E733A">
            <w:pPr>
              <w:rPr>
                <w:rFonts w:ascii="Arial"/>
                <w:sz w:val="21"/>
              </w:rPr>
            </w:pPr>
          </w:p>
        </w:tc>
        <w:tc>
          <w:tcPr>
            <w:tcW w:w="229" w:type="dxa"/>
            <w:vAlign w:val="top"/>
          </w:tcPr>
          <w:p w14:paraId="416C6E24">
            <w:pPr>
              <w:rPr>
                <w:rFonts w:ascii="Arial"/>
                <w:sz w:val="21"/>
              </w:rPr>
            </w:pPr>
          </w:p>
        </w:tc>
        <w:tc>
          <w:tcPr>
            <w:tcW w:w="220" w:type="dxa"/>
            <w:vAlign w:val="top"/>
          </w:tcPr>
          <w:p w14:paraId="5FAC8534">
            <w:pPr>
              <w:spacing w:before="23" w:line="430" w:lineRule="exact"/>
              <w:ind w:firstLine="8"/>
            </w:pPr>
            <w:r>
              <w:rPr>
                <w:position w:val="-8"/>
              </w:rPr>
              <w:drawing>
                <wp:inline distT="0" distB="0" distL="0" distR="0">
                  <wp:extent cx="114300" cy="272415"/>
                  <wp:effectExtent l="0" t="0" r="0" b="0"/>
                  <wp:docPr id="468" name="IM 468"/>
                  <wp:cNvGraphicFramePr/>
                  <a:graphic xmlns:a="http://schemas.openxmlformats.org/drawingml/2006/main">
                    <a:graphicData uri="http://schemas.openxmlformats.org/drawingml/2006/picture">
                      <pic:pic xmlns:pic="http://schemas.openxmlformats.org/drawingml/2006/picture">
                        <pic:nvPicPr>
                          <pic:cNvPr id="468" name="IM 468"/>
                          <pic:cNvPicPr/>
                        </pic:nvPicPr>
                        <pic:blipFill>
                          <a:blip r:embed="rId398"/>
                          <a:stretch>
                            <a:fillRect/>
                          </a:stretch>
                        </pic:blipFill>
                        <pic:spPr>
                          <a:xfrm>
                            <a:off x="0" y="0"/>
                            <a:ext cx="114330" cy="273006"/>
                          </a:xfrm>
                          <a:prstGeom prst="rect">
                            <a:avLst/>
                          </a:prstGeom>
                        </pic:spPr>
                      </pic:pic>
                    </a:graphicData>
                  </a:graphic>
                </wp:inline>
              </w:drawing>
            </w:r>
          </w:p>
        </w:tc>
        <w:tc>
          <w:tcPr>
            <w:tcW w:w="234" w:type="dxa"/>
            <w:vAlign w:val="top"/>
          </w:tcPr>
          <w:p w14:paraId="7C708493">
            <w:pPr>
              <w:rPr>
                <w:rFonts w:ascii="Arial"/>
                <w:sz w:val="21"/>
              </w:rPr>
            </w:pPr>
          </w:p>
        </w:tc>
      </w:tr>
      <w:tr w14:paraId="635676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07" w:hRule="atLeast"/>
        </w:trPr>
        <w:tc>
          <w:tcPr>
            <w:tcW w:w="733" w:type="dxa"/>
            <w:vAlign w:val="top"/>
          </w:tcPr>
          <w:p w14:paraId="503A1E7D">
            <w:pPr>
              <w:spacing w:line="253" w:lineRule="auto"/>
              <w:rPr>
                <w:rFonts w:ascii="Arial"/>
                <w:sz w:val="21"/>
              </w:rPr>
            </w:pPr>
          </w:p>
          <w:p w14:paraId="11FA38EA">
            <w:pPr>
              <w:pStyle w:val="6"/>
              <w:spacing w:before="58" w:line="203" w:lineRule="auto"/>
              <w:ind w:left="84" w:right="90"/>
              <w:jc w:val="both"/>
              <w:rPr>
                <w:sz w:val="18"/>
                <w:szCs w:val="18"/>
              </w:rPr>
            </w:pPr>
            <w:r>
              <w:rPr>
                <w:spacing w:val="-3"/>
                <w:sz w:val="18"/>
                <w:szCs w:val="18"/>
              </w:rPr>
              <w:t>演示文</w:t>
            </w:r>
            <w:r>
              <w:rPr>
                <w:sz w:val="18"/>
                <w:szCs w:val="18"/>
              </w:rPr>
              <w:t xml:space="preserve"> </w:t>
            </w:r>
            <w:r>
              <w:rPr>
                <w:spacing w:val="-3"/>
                <w:sz w:val="18"/>
                <w:szCs w:val="18"/>
              </w:rPr>
              <w:t>稿对象</w:t>
            </w:r>
            <w:r>
              <w:rPr>
                <w:spacing w:val="1"/>
                <w:sz w:val="18"/>
                <w:szCs w:val="18"/>
              </w:rPr>
              <w:t xml:space="preserve"> </w:t>
            </w:r>
            <w:r>
              <w:rPr>
                <w:spacing w:val="2"/>
                <w:sz w:val="18"/>
                <w:szCs w:val="18"/>
              </w:rPr>
              <w:t>的编辑</w:t>
            </w:r>
          </w:p>
        </w:tc>
        <w:tc>
          <w:tcPr>
            <w:tcW w:w="2484" w:type="dxa"/>
            <w:vAlign w:val="top"/>
          </w:tcPr>
          <w:p w14:paraId="4BA35E1D">
            <w:pPr>
              <w:pStyle w:val="6"/>
              <w:spacing w:before="23" w:line="195" w:lineRule="auto"/>
              <w:ind w:left="11"/>
              <w:rPr>
                <w:sz w:val="18"/>
                <w:szCs w:val="18"/>
              </w:rPr>
            </w:pPr>
            <w:r>
              <w:rPr>
                <w:sz w:val="18"/>
                <w:szCs w:val="18"/>
              </w:rPr>
              <w:t>1.设置、复制文字格式</w:t>
            </w:r>
          </w:p>
          <w:p w14:paraId="1589E2CB">
            <w:pPr>
              <w:pStyle w:val="6"/>
              <w:spacing w:line="188" w:lineRule="auto"/>
              <w:ind w:left="11"/>
              <w:rPr>
                <w:sz w:val="18"/>
                <w:szCs w:val="18"/>
              </w:rPr>
            </w:pPr>
            <w:r>
              <w:rPr>
                <w:spacing w:val="-4"/>
                <w:sz w:val="18"/>
                <w:szCs w:val="18"/>
              </w:rPr>
              <w:t>2.插入艺术字、形状等内置对象</w:t>
            </w:r>
            <w:r>
              <w:rPr>
                <w:spacing w:val="1"/>
                <w:sz w:val="18"/>
                <w:szCs w:val="18"/>
              </w:rPr>
              <w:t xml:space="preserve"> </w:t>
            </w:r>
            <w:r>
              <w:rPr>
                <w:sz w:val="18"/>
                <w:szCs w:val="18"/>
              </w:rPr>
              <w:t>3.插入图片、音频、视频等外</w:t>
            </w:r>
            <w:r>
              <w:rPr>
                <w:spacing w:val="2"/>
                <w:sz w:val="18"/>
                <w:szCs w:val="18"/>
              </w:rPr>
              <w:t xml:space="preserve">  </w:t>
            </w:r>
            <w:r>
              <w:rPr>
                <w:spacing w:val="-3"/>
                <w:sz w:val="18"/>
                <w:szCs w:val="18"/>
              </w:rPr>
              <w:t>部对象</w:t>
            </w:r>
          </w:p>
          <w:p w14:paraId="21230A82">
            <w:pPr>
              <w:pStyle w:val="6"/>
              <w:spacing w:before="1" w:line="170" w:lineRule="auto"/>
              <w:ind w:left="11" w:right="668"/>
              <w:rPr>
                <w:sz w:val="18"/>
                <w:szCs w:val="18"/>
              </w:rPr>
            </w:pPr>
            <w:r>
              <w:rPr>
                <w:spacing w:val="-1"/>
                <w:sz w:val="18"/>
                <w:szCs w:val="18"/>
              </w:rPr>
              <w:t>4.建立幻灯片的超链接</w:t>
            </w:r>
            <w:r>
              <w:rPr>
                <w:spacing w:val="3"/>
                <w:sz w:val="18"/>
                <w:szCs w:val="18"/>
              </w:rPr>
              <w:t xml:space="preserve"> </w:t>
            </w:r>
            <w:r>
              <w:rPr>
                <w:spacing w:val="2"/>
                <w:sz w:val="18"/>
                <w:szCs w:val="18"/>
              </w:rPr>
              <w:t>5.动画效果的使用</w:t>
            </w:r>
          </w:p>
        </w:tc>
        <w:tc>
          <w:tcPr>
            <w:tcW w:w="230" w:type="dxa"/>
            <w:vAlign w:val="top"/>
          </w:tcPr>
          <w:p w14:paraId="41A8E927">
            <w:pPr>
              <w:rPr>
                <w:rFonts w:ascii="Arial"/>
                <w:sz w:val="21"/>
              </w:rPr>
            </w:pPr>
          </w:p>
        </w:tc>
        <w:tc>
          <w:tcPr>
            <w:tcW w:w="229" w:type="dxa"/>
            <w:vAlign w:val="top"/>
          </w:tcPr>
          <w:p w14:paraId="47F35305">
            <w:pPr>
              <w:rPr>
                <w:rFonts w:ascii="Arial"/>
                <w:sz w:val="21"/>
              </w:rPr>
            </w:pPr>
          </w:p>
        </w:tc>
        <w:tc>
          <w:tcPr>
            <w:tcW w:w="220" w:type="dxa"/>
            <w:vAlign w:val="top"/>
          </w:tcPr>
          <w:p w14:paraId="0EAA84C9">
            <w:pPr>
              <w:rPr>
                <w:rFonts w:ascii="Arial"/>
                <w:sz w:val="21"/>
              </w:rPr>
            </w:pPr>
          </w:p>
        </w:tc>
        <w:tc>
          <w:tcPr>
            <w:tcW w:w="234" w:type="dxa"/>
            <w:vAlign w:val="top"/>
          </w:tcPr>
          <w:p w14:paraId="0BE1FDFE">
            <w:pPr>
              <w:rPr>
                <w:rFonts w:ascii="Arial"/>
                <w:sz w:val="21"/>
              </w:rPr>
            </w:pPr>
          </w:p>
        </w:tc>
      </w:tr>
      <w:tr w14:paraId="1BBD5C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63" w:hRule="atLeast"/>
        </w:trPr>
        <w:tc>
          <w:tcPr>
            <w:tcW w:w="733" w:type="dxa"/>
            <w:vAlign w:val="top"/>
          </w:tcPr>
          <w:p w14:paraId="7F230220">
            <w:pPr>
              <w:pStyle w:val="6"/>
              <w:spacing w:before="78" w:line="193" w:lineRule="auto"/>
              <w:ind w:left="84"/>
              <w:rPr>
                <w:sz w:val="18"/>
                <w:szCs w:val="18"/>
              </w:rPr>
            </w:pPr>
            <w:r>
              <w:rPr>
                <w:spacing w:val="-2"/>
                <w:sz w:val="18"/>
                <w:szCs w:val="18"/>
              </w:rPr>
              <w:t>演示文</w:t>
            </w:r>
          </w:p>
          <w:p w14:paraId="59E606BA">
            <w:pPr>
              <w:pStyle w:val="6"/>
              <w:spacing w:line="195" w:lineRule="auto"/>
              <w:ind w:left="174"/>
              <w:rPr>
                <w:sz w:val="18"/>
                <w:szCs w:val="18"/>
              </w:rPr>
            </w:pPr>
            <w:r>
              <w:rPr>
                <w:spacing w:val="7"/>
                <w:sz w:val="18"/>
                <w:szCs w:val="18"/>
              </w:rPr>
              <w:t>稿的</w:t>
            </w:r>
          </w:p>
          <w:p w14:paraId="0DBAC2D4">
            <w:pPr>
              <w:pStyle w:val="6"/>
              <w:spacing w:line="201" w:lineRule="auto"/>
              <w:ind w:left="174"/>
              <w:rPr>
                <w:sz w:val="18"/>
                <w:szCs w:val="18"/>
              </w:rPr>
            </w:pPr>
            <w:r>
              <w:rPr>
                <w:spacing w:val="-2"/>
                <w:sz w:val="18"/>
                <w:szCs w:val="18"/>
              </w:rPr>
              <w:t>放映</w:t>
            </w:r>
          </w:p>
        </w:tc>
        <w:tc>
          <w:tcPr>
            <w:tcW w:w="2484" w:type="dxa"/>
            <w:vAlign w:val="top"/>
          </w:tcPr>
          <w:p w14:paraId="40896CB0">
            <w:pPr>
              <w:pStyle w:val="6"/>
              <w:spacing w:before="35" w:line="196" w:lineRule="auto"/>
              <w:ind w:left="11"/>
              <w:rPr>
                <w:sz w:val="18"/>
                <w:szCs w:val="18"/>
              </w:rPr>
            </w:pPr>
            <w:r>
              <w:rPr>
                <w:sz w:val="18"/>
                <w:szCs w:val="18"/>
              </w:rPr>
              <w:t>1.演示文稿的放映方式</w:t>
            </w:r>
          </w:p>
          <w:p w14:paraId="0D9A08E5">
            <w:pPr>
              <w:pStyle w:val="6"/>
              <w:spacing w:before="1" w:line="206" w:lineRule="auto"/>
              <w:ind w:left="11"/>
              <w:rPr>
                <w:sz w:val="18"/>
                <w:szCs w:val="18"/>
              </w:rPr>
            </w:pPr>
            <w:r>
              <w:rPr>
                <w:spacing w:val="-4"/>
                <w:sz w:val="18"/>
                <w:szCs w:val="18"/>
              </w:rPr>
              <w:t>2.幻灯片的切换效果和换片方式</w:t>
            </w:r>
            <w:r>
              <w:rPr>
                <w:spacing w:val="1"/>
                <w:sz w:val="18"/>
                <w:szCs w:val="18"/>
              </w:rPr>
              <w:t xml:space="preserve"> 3.演示文稿的打包和打印</w:t>
            </w:r>
          </w:p>
        </w:tc>
        <w:tc>
          <w:tcPr>
            <w:tcW w:w="230" w:type="dxa"/>
            <w:vAlign w:val="top"/>
          </w:tcPr>
          <w:p w14:paraId="11A71A6B">
            <w:pPr>
              <w:rPr>
                <w:rFonts w:ascii="Arial"/>
                <w:sz w:val="21"/>
              </w:rPr>
            </w:pPr>
          </w:p>
        </w:tc>
        <w:tc>
          <w:tcPr>
            <w:tcW w:w="229" w:type="dxa"/>
            <w:vAlign w:val="top"/>
          </w:tcPr>
          <w:p w14:paraId="6B81C0C5">
            <w:pPr>
              <w:rPr>
                <w:rFonts w:ascii="Arial"/>
                <w:sz w:val="21"/>
              </w:rPr>
            </w:pPr>
          </w:p>
        </w:tc>
        <w:tc>
          <w:tcPr>
            <w:tcW w:w="220" w:type="dxa"/>
            <w:vAlign w:val="top"/>
          </w:tcPr>
          <w:p w14:paraId="6AB68D25">
            <w:pPr>
              <w:rPr>
                <w:rFonts w:ascii="Arial"/>
                <w:sz w:val="21"/>
              </w:rPr>
            </w:pPr>
          </w:p>
        </w:tc>
        <w:tc>
          <w:tcPr>
            <w:tcW w:w="234" w:type="dxa"/>
            <w:vAlign w:val="top"/>
          </w:tcPr>
          <w:p w14:paraId="689ECCEA">
            <w:pPr>
              <w:rPr>
                <w:rFonts w:ascii="Arial"/>
                <w:sz w:val="21"/>
              </w:rPr>
            </w:pPr>
          </w:p>
        </w:tc>
      </w:tr>
    </w:tbl>
    <w:p w14:paraId="75A55F91">
      <w:pPr>
        <w:spacing w:before="229" w:line="221" w:lineRule="auto"/>
        <w:ind w:left="713"/>
        <w:rPr>
          <w:rFonts w:ascii="黑体" w:hAnsi="黑体" w:eastAsia="黑体" w:cs="黑体"/>
          <w:sz w:val="23"/>
          <w:szCs w:val="23"/>
        </w:rPr>
      </w:pPr>
      <w:r>
        <w:rPr>
          <w:rFonts w:ascii="黑体" w:hAnsi="黑体" w:eastAsia="黑体" w:cs="黑体"/>
          <w:b/>
          <w:bCs/>
          <w:spacing w:val="7"/>
          <w:sz w:val="23"/>
          <w:szCs w:val="23"/>
        </w:rPr>
        <w:t>第三部分城市轨道交通概论</w:t>
      </w:r>
    </w:p>
    <w:p w14:paraId="0DC4B549">
      <w:pPr>
        <w:spacing w:before="114" w:line="219" w:lineRule="auto"/>
        <w:ind w:left="1642"/>
        <w:rPr>
          <w:rFonts w:ascii="宋体" w:hAnsi="宋体" w:eastAsia="宋体" w:cs="宋体"/>
          <w:sz w:val="17"/>
          <w:szCs w:val="17"/>
        </w:rPr>
      </w:pPr>
      <w:r>
        <w:rPr>
          <w:rFonts w:ascii="宋体" w:hAnsi="宋体" w:eastAsia="宋体" w:cs="宋体"/>
          <w:b/>
          <w:bCs/>
          <w:spacing w:val="4"/>
          <w:sz w:val="17"/>
          <w:szCs w:val="17"/>
        </w:rPr>
        <w:t>第一章</w:t>
      </w:r>
      <w:r>
        <w:rPr>
          <w:rFonts w:ascii="宋体" w:hAnsi="宋体" w:eastAsia="宋体" w:cs="宋体"/>
          <w:spacing w:val="36"/>
          <w:sz w:val="17"/>
          <w:szCs w:val="17"/>
        </w:rPr>
        <w:t xml:space="preserve"> </w:t>
      </w:r>
      <w:r>
        <w:rPr>
          <w:rFonts w:ascii="宋体" w:hAnsi="宋体" w:eastAsia="宋体" w:cs="宋体"/>
          <w:b/>
          <w:bCs/>
          <w:spacing w:val="4"/>
          <w:sz w:val="17"/>
          <w:szCs w:val="17"/>
        </w:rPr>
        <w:t>概述</w:t>
      </w:r>
    </w:p>
    <w:p w14:paraId="596E00BA">
      <w:pPr>
        <w:spacing w:line="150" w:lineRule="exact"/>
      </w:pPr>
    </w:p>
    <w:tbl>
      <w:tblPr>
        <w:tblStyle w:val="5"/>
        <w:tblW w:w="4130"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33"/>
        <w:gridCol w:w="2494"/>
        <w:gridCol w:w="220"/>
        <w:gridCol w:w="230"/>
        <w:gridCol w:w="229"/>
        <w:gridCol w:w="224"/>
      </w:tblGrid>
      <w:tr w14:paraId="7BE511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3" w:hRule="atLeast"/>
        </w:trPr>
        <w:tc>
          <w:tcPr>
            <w:tcW w:w="733" w:type="dxa"/>
            <w:vMerge w:val="restart"/>
            <w:tcBorders>
              <w:bottom w:val="nil"/>
            </w:tcBorders>
            <w:vAlign w:val="top"/>
          </w:tcPr>
          <w:p w14:paraId="42DA3A6E">
            <w:pPr>
              <w:pStyle w:val="6"/>
              <w:spacing w:before="21" w:line="215" w:lineRule="auto"/>
              <w:ind w:left="86" w:hanging="69"/>
              <w:rPr>
                <w:sz w:val="18"/>
                <w:szCs w:val="18"/>
              </w:rPr>
            </w:pPr>
            <w:r>
              <w:rPr>
                <w:b/>
                <w:bCs/>
                <w:spacing w:val="-6"/>
                <w:sz w:val="18"/>
                <w:szCs w:val="18"/>
              </w:rPr>
              <w:t>知识与技</w:t>
            </w:r>
            <w:r>
              <w:rPr>
                <w:sz w:val="18"/>
                <w:szCs w:val="18"/>
              </w:rPr>
              <w:t xml:space="preserve"> </w:t>
            </w:r>
            <w:r>
              <w:rPr>
                <w:b/>
                <w:bCs/>
                <w:sz w:val="18"/>
                <w:szCs w:val="18"/>
              </w:rPr>
              <w:t>能要点</w:t>
            </w:r>
          </w:p>
        </w:tc>
        <w:tc>
          <w:tcPr>
            <w:tcW w:w="2494" w:type="dxa"/>
            <w:vMerge w:val="restart"/>
            <w:tcBorders>
              <w:bottom w:val="nil"/>
            </w:tcBorders>
            <w:vAlign w:val="top"/>
          </w:tcPr>
          <w:p w14:paraId="4BE20D1F">
            <w:pPr>
              <w:pStyle w:val="6"/>
              <w:spacing w:before="140" w:line="219" w:lineRule="auto"/>
              <w:ind w:left="934"/>
              <w:rPr>
                <w:sz w:val="18"/>
                <w:szCs w:val="18"/>
              </w:rPr>
            </w:pPr>
            <w:r>
              <w:rPr>
                <w:b/>
                <w:bCs/>
                <w:spacing w:val="5"/>
                <w:sz w:val="18"/>
                <w:szCs w:val="18"/>
              </w:rPr>
              <w:t>考试条目</w:t>
            </w:r>
          </w:p>
        </w:tc>
        <w:tc>
          <w:tcPr>
            <w:tcW w:w="903" w:type="dxa"/>
            <w:gridSpan w:val="4"/>
            <w:vAlign w:val="top"/>
          </w:tcPr>
          <w:p w14:paraId="19A63604">
            <w:pPr>
              <w:pStyle w:val="6"/>
              <w:spacing w:before="19" w:line="198" w:lineRule="auto"/>
              <w:ind w:left="120"/>
              <w:rPr>
                <w:sz w:val="18"/>
                <w:szCs w:val="18"/>
              </w:rPr>
            </w:pPr>
            <w:r>
              <w:rPr>
                <w:b/>
                <w:bCs/>
                <w:spacing w:val="-4"/>
                <w:sz w:val="18"/>
                <w:szCs w:val="18"/>
              </w:rPr>
              <w:t>考试水平</w:t>
            </w:r>
          </w:p>
        </w:tc>
      </w:tr>
      <w:tr w14:paraId="26D5B1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8" w:hRule="atLeast"/>
        </w:trPr>
        <w:tc>
          <w:tcPr>
            <w:tcW w:w="733" w:type="dxa"/>
            <w:vMerge w:val="continue"/>
            <w:tcBorders>
              <w:top w:val="nil"/>
            </w:tcBorders>
            <w:vAlign w:val="top"/>
          </w:tcPr>
          <w:p w14:paraId="3A0F1FAF">
            <w:pPr>
              <w:rPr>
                <w:rFonts w:ascii="Arial"/>
                <w:sz w:val="21"/>
              </w:rPr>
            </w:pPr>
          </w:p>
        </w:tc>
        <w:tc>
          <w:tcPr>
            <w:tcW w:w="2494" w:type="dxa"/>
            <w:vMerge w:val="continue"/>
            <w:tcBorders>
              <w:top w:val="nil"/>
            </w:tcBorders>
            <w:vAlign w:val="top"/>
          </w:tcPr>
          <w:p w14:paraId="3A0CF869">
            <w:pPr>
              <w:rPr>
                <w:rFonts w:ascii="Arial"/>
                <w:sz w:val="21"/>
              </w:rPr>
            </w:pPr>
          </w:p>
        </w:tc>
        <w:tc>
          <w:tcPr>
            <w:tcW w:w="220" w:type="dxa"/>
            <w:vAlign w:val="top"/>
          </w:tcPr>
          <w:p w14:paraId="65596A69">
            <w:pPr>
              <w:pStyle w:val="6"/>
              <w:spacing w:before="64" w:line="144" w:lineRule="exact"/>
              <w:ind w:left="40"/>
              <w:rPr>
                <w:sz w:val="18"/>
                <w:szCs w:val="18"/>
              </w:rPr>
            </w:pPr>
            <w:r>
              <w:rPr>
                <w:b/>
                <w:bCs/>
                <w:spacing w:val="-2"/>
                <w:position w:val="-2"/>
                <w:sz w:val="18"/>
                <w:szCs w:val="18"/>
              </w:rPr>
              <w:t>A</w:t>
            </w:r>
          </w:p>
        </w:tc>
        <w:tc>
          <w:tcPr>
            <w:tcW w:w="230" w:type="dxa"/>
            <w:vAlign w:val="top"/>
          </w:tcPr>
          <w:p w14:paraId="20A7E1AE">
            <w:pPr>
              <w:pStyle w:val="6"/>
              <w:spacing w:before="67" w:line="141" w:lineRule="exact"/>
              <w:ind w:left="20"/>
              <w:rPr>
                <w:sz w:val="18"/>
                <w:szCs w:val="18"/>
              </w:rPr>
            </w:pPr>
            <w:r>
              <w:rPr>
                <w:b/>
                <w:bCs/>
                <w:spacing w:val="-2"/>
                <w:position w:val="-2"/>
                <w:sz w:val="18"/>
                <w:szCs w:val="18"/>
              </w:rPr>
              <w:t>B</w:t>
            </w:r>
          </w:p>
        </w:tc>
        <w:tc>
          <w:tcPr>
            <w:tcW w:w="229" w:type="dxa"/>
            <w:vAlign w:val="top"/>
          </w:tcPr>
          <w:p w14:paraId="53937F90">
            <w:pPr>
              <w:pStyle w:val="6"/>
              <w:spacing w:before="65" w:line="143" w:lineRule="exact"/>
              <w:ind w:left="38"/>
              <w:rPr>
                <w:sz w:val="18"/>
                <w:szCs w:val="18"/>
              </w:rPr>
            </w:pPr>
            <w:r>
              <w:rPr>
                <w:position w:val="-2"/>
                <w:sz w:val="18"/>
                <w:szCs w:val="18"/>
              </w:rPr>
              <w:t>C</w:t>
            </w:r>
          </w:p>
        </w:tc>
        <w:tc>
          <w:tcPr>
            <w:tcW w:w="224" w:type="dxa"/>
            <w:vAlign w:val="top"/>
          </w:tcPr>
          <w:p w14:paraId="100EC97B">
            <w:pPr>
              <w:pStyle w:val="6"/>
              <w:spacing w:before="67" w:line="141" w:lineRule="exact"/>
              <w:ind w:left="21"/>
              <w:rPr>
                <w:sz w:val="18"/>
                <w:szCs w:val="18"/>
              </w:rPr>
            </w:pPr>
            <w:r>
              <w:rPr>
                <w:b/>
                <w:bCs/>
                <w:spacing w:val="-2"/>
                <w:position w:val="-2"/>
                <w:sz w:val="18"/>
                <w:szCs w:val="18"/>
              </w:rPr>
              <w:t>D</w:t>
            </w:r>
          </w:p>
        </w:tc>
      </w:tr>
      <w:tr w14:paraId="2C01A5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9" w:hRule="atLeast"/>
        </w:trPr>
        <w:tc>
          <w:tcPr>
            <w:tcW w:w="733" w:type="dxa"/>
            <w:vAlign w:val="top"/>
          </w:tcPr>
          <w:p w14:paraId="00ECA9C3">
            <w:pPr>
              <w:pStyle w:val="6"/>
              <w:spacing w:before="229" w:line="219" w:lineRule="auto"/>
              <w:ind w:left="177"/>
              <w:rPr>
                <w:sz w:val="18"/>
                <w:szCs w:val="18"/>
              </w:rPr>
            </w:pPr>
            <w:r>
              <w:rPr>
                <w:b/>
                <w:bCs/>
                <w:spacing w:val="-4"/>
                <w:sz w:val="18"/>
                <w:szCs w:val="18"/>
              </w:rPr>
              <w:t>概述</w:t>
            </w:r>
          </w:p>
        </w:tc>
        <w:tc>
          <w:tcPr>
            <w:tcW w:w="2494" w:type="dxa"/>
            <w:vAlign w:val="top"/>
          </w:tcPr>
          <w:p w14:paraId="6C068A95">
            <w:pPr>
              <w:pStyle w:val="6"/>
              <w:spacing w:before="129" w:line="215" w:lineRule="auto"/>
              <w:ind w:left="14"/>
              <w:rPr>
                <w:sz w:val="18"/>
                <w:szCs w:val="18"/>
              </w:rPr>
            </w:pPr>
            <w:r>
              <w:rPr>
                <w:b/>
                <w:bCs/>
                <w:spacing w:val="-1"/>
                <w:sz w:val="18"/>
                <w:szCs w:val="18"/>
              </w:rPr>
              <w:t>1.城市轨道交通的特点</w:t>
            </w:r>
          </w:p>
          <w:p w14:paraId="7F633B9A">
            <w:pPr>
              <w:pStyle w:val="6"/>
              <w:spacing w:line="219" w:lineRule="auto"/>
              <w:ind w:left="14"/>
              <w:rPr>
                <w:sz w:val="18"/>
                <w:szCs w:val="18"/>
              </w:rPr>
            </w:pPr>
            <w:r>
              <w:rPr>
                <w:b/>
                <w:bCs/>
                <w:spacing w:val="-3"/>
                <w:sz w:val="18"/>
                <w:szCs w:val="18"/>
              </w:rPr>
              <w:t>2.城市轨道交通定义和分类</w:t>
            </w:r>
          </w:p>
        </w:tc>
        <w:tc>
          <w:tcPr>
            <w:tcW w:w="220" w:type="dxa"/>
            <w:vAlign w:val="top"/>
          </w:tcPr>
          <w:p w14:paraId="25794ADE">
            <w:pPr>
              <w:rPr>
                <w:rFonts w:ascii="Arial"/>
                <w:sz w:val="21"/>
              </w:rPr>
            </w:pPr>
          </w:p>
        </w:tc>
        <w:tc>
          <w:tcPr>
            <w:tcW w:w="230" w:type="dxa"/>
            <w:vAlign w:val="top"/>
          </w:tcPr>
          <w:p w14:paraId="06134943">
            <w:pPr>
              <w:rPr>
                <w:rFonts w:ascii="Arial"/>
                <w:sz w:val="21"/>
              </w:rPr>
            </w:pPr>
            <w:r>
              <w:drawing>
                <wp:anchor distT="0" distB="0" distL="0" distR="0" simplePos="0" relativeHeight="251704320" behindDoc="0" locked="0" layoutInCell="1" allowOverlap="1">
                  <wp:simplePos x="0" y="0"/>
                  <wp:positionH relativeFrom="rightMargin">
                    <wp:posOffset>-246380</wp:posOffset>
                  </wp:positionH>
                  <wp:positionV relativeFrom="topMargin">
                    <wp:posOffset>176530</wp:posOffset>
                  </wp:positionV>
                  <wp:extent cx="216535" cy="134620"/>
                  <wp:effectExtent l="0" t="0" r="0" b="0"/>
                  <wp:wrapNone/>
                  <wp:docPr id="470" name="IM 470"/>
                  <wp:cNvGraphicFramePr/>
                  <a:graphic xmlns:a="http://schemas.openxmlformats.org/drawingml/2006/main">
                    <a:graphicData uri="http://schemas.openxmlformats.org/drawingml/2006/picture">
                      <pic:pic xmlns:pic="http://schemas.openxmlformats.org/drawingml/2006/picture">
                        <pic:nvPicPr>
                          <pic:cNvPr id="470" name="IM 470"/>
                          <pic:cNvPicPr/>
                        </pic:nvPicPr>
                        <pic:blipFill>
                          <a:blip r:embed="rId399"/>
                          <a:stretch>
                            <a:fillRect/>
                          </a:stretch>
                        </pic:blipFill>
                        <pic:spPr>
                          <a:xfrm>
                            <a:off x="0" y="0"/>
                            <a:ext cx="216797" cy="134515"/>
                          </a:xfrm>
                          <a:prstGeom prst="rect">
                            <a:avLst/>
                          </a:prstGeom>
                        </pic:spPr>
                      </pic:pic>
                    </a:graphicData>
                  </a:graphic>
                </wp:anchor>
              </w:drawing>
            </w:r>
          </w:p>
        </w:tc>
        <w:tc>
          <w:tcPr>
            <w:tcW w:w="229" w:type="dxa"/>
            <w:vAlign w:val="top"/>
          </w:tcPr>
          <w:p w14:paraId="2B0B59D9">
            <w:pPr>
              <w:rPr>
                <w:rFonts w:ascii="Arial"/>
                <w:sz w:val="21"/>
              </w:rPr>
            </w:pPr>
          </w:p>
        </w:tc>
        <w:tc>
          <w:tcPr>
            <w:tcW w:w="224" w:type="dxa"/>
            <w:vAlign w:val="top"/>
          </w:tcPr>
          <w:p w14:paraId="7CA323C3">
            <w:pPr>
              <w:rPr>
                <w:rFonts w:ascii="Arial"/>
                <w:sz w:val="21"/>
              </w:rPr>
            </w:pPr>
          </w:p>
        </w:tc>
      </w:tr>
    </w:tbl>
    <w:p w14:paraId="5BD78732">
      <w:pPr>
        <w:pStyle w:val="2"/>
      </w:pPr>
    </w:p>
    <w:p w14:paraId="518BD7BA">
      <w:pPr>
        <w:pStyle w:val="2"/>
        <w:spacing w:line="14" w:lineRule="auto"/>
        <w:rPr>
          <w:sz w:val="2"/>
        </w:rPr>
      </w:pPr>
      <w:r>
        <w:rPr>
          <w:sz w:val="2"/>
          <w:szCs w:val="2"/>
        </w:rPr>
        <w:br w:type="column"/>
      </w:r>
    </w:p>
    <w:p w14:paraId="5B099698">
      <w:pPr>
        <w:spacing w:line="217" w:lineRule="auto"/>
        <w:ind w:left="857"/>
        <w:rPr>
          <w:rFonts w:ascii="宋体" w:hAnsi="宋体" w:eastAsia="宋体" w:cs="宋体"/>
          <w:sz w:val="17"/>
          <w:szCs w:val="17"/>
        </w:rPr>
      </w:pPr>
      <w:r>
        <w:rPr>
          <w:rFonts w:ascii="宋体" w:hAnsi="宋体" w:eastAsia="宋体" w:cs="宋体"/>
          <w:b/>
          <w:bCs/>
          <w:spacing w:val="-5"/>
          <w:sz w:val="17"/>
          <w:szCs w:val="17"/>
        </w:rPr>
        <w:t>第二章</w:t>
      </w:r>
      <w:r>
        <w:rPr>
          <w:rFonts w:ascii="宋体" w:hAnsi="宋体" w:eastAsia="宋体" w:cs="宋体"/>
          <w:spacing w:val="-5"/>
          <w:sz w:val="17"/>
          <w:szCs w:val="17"/>
        </w:rPr>
        <w:t xml:space="preserve"> </w:t>
      </w:r>
      <w:r>
        <w:rPr>
          <w:rFonts w:ascii="宋体" w:hAnsi="宋体" w:eastAsia="宋体" w:cs="宋体"/>
          <w:b/>
          <w:bCs/>
          <w:spacing w:val="-5"/>
          <w:sz w:val="17"/>
          <w:szCs w:val="17"/>
        </w:rPr>
        <w:t>城市轨道交通线路与站场</w:t>
      </w:r>
    </w:p>
    <w:p w14:paraId="706CC424">
      <w:pPr>
        <w:spacing w:line="39" w:lineRule="exact"/>
      </w:pPr>
    </w:p>
    <w:tbl>
      <w:tblPr>
        <w:tblStyle w:val="5"/>
        <w:tblW w:w="413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33"/>
        <w:gridCol w:w="2484"/>
        <w:gridCol w:w="230"/>
        <w:gridCol w:w="230"/>
        <w:gridCol w:w="219"/>
        <w:gridCol w:w="234"/>
      </w:tblGrid>
      <w:tr w14:paraId="4DE88D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4" w:hRule="atLeast"/>
        </w:trPr>
        <w:tc>
          <w:tcPr>
            <w:tcW w:w="733" w:type="dxa"/>
            <w:vMerge w:val="restart"/>
            <w:tcBorders>
              <w:bottom w:val="nil"/>
            </w:tcBorders>
            <w:vAlign w:val="top"/>
          </w:tcPr>
          <w:p w14:paraId="1EAAA501">
            <w:pPr>
              <w:pStyle w:val="6"/>
              <w:spacing w:before="30" w:line="221" w:lineRule="auto"/>
              <w:ind w:left="17"/>
            </w:pPr>
            <w:r>
              <w:rPr>
                <w:b/>
                <w:bCs/>
                <w:spacing w:val="-4"/>
              </w:rPr>
              <w:t>知识与技</w:t>
            </w:r>
          </w:p>
          <w:p w14:paraId="293A935F">
            <w:pPr>
              <w:pStyle w:val="6"/>
              <w:spacing w:before="6" w:line="209" w:lineRule="auto"/>
              <w:ind w:left="107"/>
            </w:pPr>
            <w:r>
              <w:rPr>
                <w:b/>
                <w:bCs/>
                <w:spacing w:val="1"/>
              </w:rPr>
              <w:t>能要点</w:t>
            </w:r>
          </w:p>
        </w:tc>
        <w:tc>
          <w:tcPr>
            <w:tcW w:w="2484" w:type="dxa"/>
            <w:vMerge w:val="restart"/>
            <w:tcBorders>
              <w:bottom w:val="nil"/>
            </w:tcBorders>
            <w:vAlign w:val="top"/>
          </w:tcPr>
          <w:p w14:paraId="48DD9889">
            <w:pPr>
              <w:pStyle w:val="6"/>
              <w:spacing w:before="139" w:line="219" w:lineRule="auto"/>
              <w:ind w:left="934"/>
            </w:pPr>
            <w:r>
              <w:rPr>
                <w:b/>
                <w:bCs/>
                <w:spacing w:val="5"/>
              </w:rPr>
              <w:t>考试条目</w:t>
            </w:r>
          </w:p>
        </w:tc>
        <w:tc>
          <w:tcPr>
            <w:tcW w:w="913" w:type="dxa"/>
            <w:gridSpan w:val="4"/>
            <w:vAlign w:val="top"/>
          </w:tcPr>
          <w:p w14:paraId="5A5E1B4C">
            <w:pPr>
              <w:pStyle w:val="6"/>
              <w:spacing w:before="28" w:line="201" w:lineRule="auto"/>
              <w:ind w:left="130"/>
            </w:pPr>
            <w:r>
              <w:rPr>
                <w:b/>
                <w:bCs/>
                <w:spacing w:val="-4"/>
              </w:rPr>
              <w:t>考试水平</w:t>
            </w:r>
          </w:p>
        </w:tc>
      </w:tr>
      <w:tr w14:paraId="7D6319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9" w:hRule="atLeast"/>
        </w:trPr>
        <w:tc>
          <w:tcPr>
            <w:tcW w:w="733" w:type="dxa"/>
            <w:vMerge w:val="continue"/>
            <w:tcBorders>
              <w:top w:val="nil"/>
            </w:tcBorders>
            <w:vAlign w:val="top"/>
          </w:tcPr>
          <w:p w14:paraId="65CEE054">
            <w:pPr>
              <w:rPr>
                <w:rFonts w:ascii="Arial"/>
                <w:sz w:val="21"/>
              </w:rPr>
            </w:pPr>
          </w:p>
        </w:tc>
        <w:tc>
          <w:tcPr>
            <w:tcW w:w="2484" w:type="dxa"/>
            <w:vMerge w:val="continue"/>
            <w:tcBorders>
              <w:top w:val="nil"/>
            </w:tcBorders>
            <w:vAlign w:val="top"/>
          </w:tcPr>
          <w:p w14:paraId="2CCF484B">
            <w:pPr>
              <w:rPr>
                <w:rFonts w:ascii="Arial"/>
                <w:sz w:val="21"/>
              </w:rPr>
            </w:pPr>
          </w:p>
        </w:tc>
        <w:tc>
          <w:tcPr>
            <w:tcW w:w="230" w:type="dxa"/>
            <w:vAlign w:val="top"/>
          </w:tcPr>
          <w:p w14:paraId="3CD31249">
            <w:pPr>
              <w:pStyle w:val="6"/>
              <w:spacing w:before="60" w:line="139" w:lineRule="exact"/>
              <w:ind w:left="67"/>
            </w:pPr>
            <w:r>
              <w:rPr>
                <w:position w:val="-2"/>
              </w:rPr>
              <w:t>A</w:t>
            </w:r>
          </w:p>
        </w:tc>
        <w:tc>
          <w:tcPr>
            <w:tcW w:w="230" w:type="dxa"/>
            <w:vAlign w:val="top"/>
          </w:tcPr>
          <w:p w14:paraId="48174F7A">
            <w:pPr>
              <w:pStyle w:val="6"/>
              <w:spacing w:before="62" w:line="137" w:lineRule="exact"/>
              <w:ind w:left="20"/>
            </w:pPr>
            <w:r>
              <w:rPr>
                <w:b/>
                <w:bCs/>
                <w:spacing w:val="-2"/>
                <w:position w:val="-2"/>
              </w:rPr>
              <w:t>B</w:t>
            </w:r>
          </w:p>
        </w:tc>
        <w:tc>
          <w:tcPr>
            <w:tcW w:w="219" w:type="dxa"/>
            <w:vAlign w:val="top"/>
          </w:tcPr>
          <w:p w14:paraId="20BD7731">
            <w:pPr>
              <w:pStyle w:val="6"/>
              <w:spacing w:before="46" w:line="153" w:lineRule="exact"/>
              <w:ind w:left="60"/>
              <w:rPr>
                <w:sz w:val="19"/>
                <w:szCs w:val="19"/>
              </w:rPr>
            </w:pPr>
            <w:r>
              <w:rPr>
                <w:b/>
                <w:bCs/>
                <w:spacing w:val="-2"/>
                <w:position w:val="-2"/>
                <w:sz w:val="19"/>
                <w:szCs w:val="19"/>
              </w:rPr>
              <w:t>C</w:t>
            </w:r>
          </w:p>
        </w:tc>
        <w:tc>
          <w:tcPr>
            <w:tcW w:w="234" w:type="dxa"/>
            <w:vAlign w:val="top"/>
          </w:tcPr>
          <w:p w14:paraId="7ADD0DE5">
            <w:pPr>
              <w:pStyle w:val="6"/>
              <w:spacing w:before="62" w:line="137" w:lineRule="exact"/>
              <w:ind w:left="21"/>
            </w:pPr>
            <w:r>
              <w:rPr>
                <w:b/>
                <w:bCs/>
                <w:spacing w:val="-2"/>
                <w:position w:val="-2"/>
              </w:rPr>
              <w:t>D</w:t>
            </w:r>
          </w:p>
        </w:tc>
      </w:tr>
      <w:tr w14:paraId="47CA8F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38" w:hRule="atLeast"/>
        </w:trPr>
        <w:tc>
          <w:tcPr>
            <w:tcW w:w="733" w:type="dxa"/>
            <w:vAlign w:val="top"/>
          </w:tcPr>
          <w:p w14:paraId="77A5BE27">
            <w:pPr>
              <w:spacing w:line="331" w:lineRule="auto"/>
              <w:rPr>
                <w:rFonts w:ascii="Arial"/>
                <w:sz w:val="21"/>
              </w:rPr>
            </w:pPr>
          </w:p>
          <w:p w14:paraId="03FC4BBB">
            <w:pPr>
              <w:pStyle w:val="6"/>
              <w:spacing w:before="56" w:line="219" w:lineRule="auto"/>
              <w:ind w:left="184"/>
            </w:pPr>
            <w:r>
              <w:rPr>
                <w:spacing w:val="-3"/>
              </w:rPr>
              <w:t>线路</w:t>
            </w:r>
          </w:p>
        </w:tc>
        <w:tc>
          <w:tcPr>
            <w:tcW w:w="2484" w:type="dxa"/>
            <w:vAlign w:val="top"/>
          </w:tcPr>
          <w:p w14:paraId="51E49A0C">
            <w:pPr>
              <w:pStyle w:val="6"/>
              <w:spacing w:before="47" w:line="202" w:lineRule="auto"/>
              <w:ind w:left="2" w:right="932"/>
            </w:pPr>
            <w:r>
              <w:t>1.线路设计基本知识</w:t>
            </w:r>
            <w:r>
              <w:rPr>
                <w:spacing w:val="8"/>
              </w:rPr>
              <w:t xml:space="preserve"> </w:t>
            </w:r>
            <w:r>
              <w:rPr>
                <w:spacing w:val="-1"/>
              </w:rPr>
              <w:t>2.线路分类与组成</w:t>
            </w:r>
          </w:p>
          <w:p w14:paraId="25705BFC">
            <w:pPr>
              <w:pStyle w:val="6"/>
              <w:spacing w:line="194" w:lineRule="auto"/>
              <w:ind w:left="12"/>
              <w:rPr>
                <w:sz w:val="16"/>
                <w:szCs w:val="16"/>
              </w:rPr>
            </w:pPr>
            <w:r>
              <w:rPr>
                <w:spacing w:val="9"/>
                <w:sz w:val="16"/>
                <w:szCs w:val="16"/>
              </w:rPr>
              <w:t>3.施工方法</w:t>
            </w:r>
          </w:p>
          <w:p w14:paraId="1C13545E">
            <w:pPr>
              <w:pStyle w:val="6"/>
              <w:spacing w:line="196" w:lineRule="auto"/>
              <w:ind w:left="2"/>
              <w:rPr>
                <w:sz w:val="16"/>
                <w:szCs w:val="16"/>
              </w:rPr>
            </w:pPr>
            <w:r>
              <w:rPr>
                <w:spacing w:val="9"/>
                <w:sz w:val="16"/>
                <w:szCs w:val="16"/>
              </w:rPr>
              <w:t>4.车站类型和组成</w:t>
            </w:r>
          </w:p>
          <w:p w14:paraId="42892267">
            <w:pPr>
              <w:pStyle w:val="6"/>
              <w:spacing w:line="183" w:lineRule="auto"/>
              <w:ind w:left="12"/>
            </w:pPr>
            <w:r>
              <w:rPr>
                <w:spacing w:val="1"/>
              </w:rPr>
              <w:t>5.车辆基地线路与库房</w:t>
            </w:r>
          </w:p>
        </w:tc>
        <w:tc>
          <w:tcPr>
            <w:tcW w:w="230" w:type="dxa"/>
            <w:vAlign w:val="top"/>
          </w:tcPr>
          <w:p w14:paraId="461E875B">
            <w:pPr>
              <w:pStyle w:val="6"/>
              <w:spacing w:before="133" w:line="182" w:lineRule="auto"/>
              <w:ind w:left="67"/>
            </w:pPr>
            <w:r>
              <w:t>V</w:t>
            </w:r>
          </w:p>
        </w:tc>
        <w:tc>
          <w:tcPr>
            <w:tcW w:w="230" w:type="dxa"/>
            <w:vAlign w:val="top"/>
          </w:tcPr>
          <w:p w14:paraId="33E2832B">
            <w:pPr>
              <w:rPr>
                <w:rFonts w:ascii="Arial"/>
                <w:sz w:val="21"/>
              </w:rPr>
            </w:pPr>
          </w:p>
        </w:tc>
        <w:tc>
          <w:tcPr>
            <w:tcW w:w="219" w:type="dxa"/>
            <w:vAlign w:val="top"/>
          </w:tcPr>
          <w:p w14:paraId="4CE3493C">
            <w:pPr>
              <w:pStyle w:val="6"/>
              <w:spacing w:before="218" w:line="381" w:lineRule="auto"/>
              <w:ind w:left="48" w:right="75"/>
              <w:rPr>
                <w:sz w:val="12"/>
                <w:szCs w:val="12"/>
              </w:rPr>
            </w:pPr>
            <w:r>
              <w:rPr>
                <w:spacing w:val="-35"/>
                <w:sz w:val="12"/>
                <w:szCs w:val="12"/>
              </w:rPr>
              <w:t>√</w:t>
            </w:r>
            <w:r>
              <w:rPr>
                <w:sz w:val="12"/>
                <w:szCs w:val="12"/>
              </w:rPr>
              <w:t xml:space="preserve"> </w:t>
            </w:r>
            <w:r>
              <w:rPr>
                <w:spacing w:val="-35"/>
                <w:sz w:val="12"/>
                <w:szCs w:val="12"/>
              </w:rPr>
              <w:t>√</w:t>
            </w:r>
          </w:p>
        </w:tc>
        <w:tc>
          <w:tcPr>
            <w:tcW w:w="234" w:type="dxa"/>
            <w:vAlign w:val="top"/>
          </w:tcPr>
          <w:p w14:paraId="60246C8C">
            <w:pPr>
              <w:rPr>
                <w:rFonts w:ascii="Arial"/>
                <w:sz w:val="21"/>
              </w:rPr>
            </w:pPr>
          </w:p>
        </w:tc>
      </w:tr>
      <w:tr w14:paraId="309881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38" w:hRule="atLeast"/>
        </w:trPr>
        <w:tc>
          <w:tcPr>
            <w:tcW w:w="733" w:type="dxa"/>
            <w:vAlign w:val="top"/>
          </w:tcPr>
          <w:p w14:paraId="21691F77">
            <w:pPr>
              <w:spacing w:line="334" w:lineRule="auto"/>
              <w:rPr>
                <w:rFonts w:ascii="Arial"/>
                <w:sz w:val="21"/>
              </w:rPr>
            </w:pPr>
          </w:p>
          <w:p w14:paraId="6227B3C2">
            <w:pPr>
              <w:pStyle w:val="6"/>
              <w:spacing w:before="55" w:line="221" w:lineRule="auto"/>
              <w:ind w:left="184"/>
            </w:pPr>
            <w:r>
              <w:rPr>
                <w:spacing w:val="-2"/>
              </w:rPr>
              <w:t>轨道</w:t>
            </w:r>
          </w:p>
        </w:tc>
        <w:tc>
          <w:tcPr>
            <w:tcW w:w="2484" w:type="dxa"/>
            <w:vAlign w:val="top"/>
          </w:tcPr>
          <w:p w14:paraId="109B7F33">
            <w:pPr>
              <w:pStyle w:val="6"/>
              <w:spacing w:before="31" w:line="206" w:lineRule="auto"/>
              <w:ind w:left="2"/>
            </w:pPr>
            <w:r>
              <w:t>1.轨道结构和分类</w:t>
            </w:r>
          </w:p>
          <w:p w14:paraId="73D4D016">
            <w:pPr>
              <w:pStyle w:val="6"/>
              <w:spacing w:line="192" w:lineRule="auto"/>
              <w:ind w:left="2" w:right="1610"/>
              <w:jc w:val="both"/>
            </w:pPr>
            <w:r>
              <w:rPr>
                <w:spacing w:val="-2"/>
              </w:rPr>
              <w:t>2.钢轨类型</w:t>
            </w:r>
            <w:r>
              <w:rPr>
                <w:spacing w:val="2"/>
              </w:rPr>
              <w:t xml:space="preserve"> </w:t>
            </w:r>
            <w:r>
              <w:rPr>
                <w:spacing w:val="1"/>
              </w:rPr>
              <w:t>3.轨枕类型</w:t>
            </w:r>
            <w:r>
              <w:rPr>
                <w:spacing w:val="4"/>
              </w:rPr>
              <w:t xml:space="preserve"> </w:t>
            </w:r>
            <w:r>
              <w:rPr>
                <w:spacing w:val="-1"/>
              </w:rPr>
              <w:t>4.扣件组成</w:t>
            </w:r>
            <w:r>
              <w:t xml:space="preserve"> </w:t>
            </w:r>
            <w:r>
              <w:rPr>
                <w:spacing w:val="1"/>
              </w:rPr>
              <w:t>5.道床类型</w:t>
            </w:r>
          </w:p>
        </w:tc>
        <w:tc>
          <w:tcPr>
            <w:tcW w:w="230" w:type="dxa"/>
            <w:vAlign w:val="top"/>
          </w:tcPr>
          <w:p w14:paraId="2F96DEC7">
            <w:pPr>
              <w:rPr>
                <w:rFonts w:ascii="Arial"/>
                <w:sz w:val="21"/>
              </w:rPr>
            </w:pPr>
          </w:p>
        </w:tc>
        <w:tc>
          <w:tcPr>
            <w:tcW w:w="230" w:type="dxa"/>
            <w:vAlign w:val="top"/>
          </w:tcPr>
          <w:p w14:paraId="47EBFBE4">
            <w:pPr>
              <w:rPr>
                <w:rFonts w:ascii="Arial"/>
                <w:sz w:val="21"/>
              </w:rPr>
            </w:pPr>
          </w:p>
        </w:tc>
        <w:tc>
          <w:tcPr>
            <w:tcW w:w="219" w:type="dxa"/>
            <w:vAlign w:val="top"/>
          </w:tcPr>
          <w:p w14:paraId="239F431E">
            <w:pPr>
              <w:rPr>
                <w:rFonts w:ascii="Arial"/>
                <w:sz w:val="21"/>
              </w:rPr>
            </w:pPr>
          </w:p>
        </w:tc>
        <w:tc>
          <w:tcPr>
            <w:tcW w:w="234" w:type="dxa"/>
            <w:vAlign w:val="top"/>
          </w:tcPr>
          <w:p w14:paraId="44DBD5B6">
            <w:pPr>
              <w:rPr>
                <w:rFonts w:ascii="Arial"/>
                <w:sz w:val="21"/>
              </w:rPr>
            </w:pPr>
          </w:p>
        </w:tc>
      </w:tr>
      <w:tr w14:paraId="30DE25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9" w:hRule="atLeast"/>
        </w:trPr>
        <w:tc>
          <w:tcPr>
            <w:tcW w:w="733" w:type="dxa"/>
            <w:vAlign w:val="top"/>
          </w:tcPr>
          <w:p w14:paraId="52330AB4">
            <w:pPr>
              <w:pStyle w:val="6"/>
              <w:spacing w:before="203" w:line="221" w:lineRule="auto"/>
              <w:ind w:left="184"/>
            </w:pPr>
            <w:r>
              <w:rPr>
                <w:spacing w:val="-2"/>
              </w:rPr>
              <w:t>道岔</w:t>
            </w:r>
          </w:p>
        </w:tc>
        <w:tc>
          <w:tcPr>
            <w:tcW w:w="2484" w:type="dxa"/>
            <w:vAlign w:val="top"/>
          </w:tcPr>
          <w:p w14:paraId="39273982">
            <w:pPr>
              <w:pStyle w:val="6"/>
              <w:spacing w:before="43" w:line="195" w:lineRule="auto"/>
              <w:ind w:left="2" w:right="1610"/>
              <w:rPr>
                <w:sz w:val="16"/>
                <w:szCs w:val="16"/>
              </w:rPr>
            </w:pPr>
            <w:r>
              <w:rPr>
                <w:spacing w:val="1"/>
              </w:rPr>
              <w:t>1.道岔结构</w:t>
            </w:r>
            <w:r>
              <w:rPr>
                <w:spacing w:val="4"/>
              </w:rPr>
              <w:t xml:space="preserve"> </w:t>
            </w:r>
            <w:r>
              <w:rPr>
                <w:spacing w:val="10"/>
                <w:sz w:val="16"/>
                <w:szCs w:val="16"/>
              </w:rPr>
              <w:t>2.道岔类型</w:t>
            </w:r>
          </w:p>
          <w:p w14:paraId="266E4266">
            <w:pPr>
              <w:pStyle w:val="6"/>
              <w:spacing w:line="192" w:lineRule="auto"/>
              <w:ind w:left="2"/>
              <w:rPr>
                <w:sz w:val="16"/>
                <w:szCs w:val="16"/>
              </w:rPr>
            </w:pPr>
            <w:r>
              <w:rPr>
                <w:spacing w:val="9"/>
                <w:sz w:val="16"/>
                <w:szCs w:val="16"/>
              </w:rPr>
              <w:t>3.车挡及警冲标</w:t>
            </w:r>
          </w:p>
        </w:tc>
        <w:tc>
          <w:tcPr>
            <w:tcW w:w="230" w:type="dxa"/>
            <w:vAlign w:val="top"/>
          </w:tcPr>
          <w:p w14:paraId="2E3CDB2F">
            <w:pPr>
              <w:rPr>
                <w:rFonts w:ascii="Arial"/>
                <w:sz w:val="21"/>
              </w:rPr>
            </w:pPr>
          </w:p>
        </w:tc>
        <w:tc>
          <w:tcPr>
            <w:tcW w:w="230" w:type="dxa"/>
            <w:vAlign w:val="top"/>
          </w:tcPr>
          <w:p w14:paraId="6596C418">
            <w:pPr>
              <w:rPr>
                <w:rFonts w:ascii="Arial"/>
                <w:sz w:val="21"/>
              </w:rPr>
            </w:pPr>
          </w:p>
        </w:tc>
        <w:tc>
          <w:tcPr>
            <w:tcW w:w="219" w:type="dxa"/>
            <w:vAlign w:val="top"/>
          </w:tcPr>
          <w:p w14:paraId="168E3F31">
            <w:pPr>
              <w:rPr>
                <w:rFonts w:ascii="Arial"/>
                <w:sz w:val="21"/>
              </w:rPr>
            </w:pPr>
          </w:p>
        </w:tc>
        <w:tc>
          <w:tcPr>
            <w:tcW w:w="234" w:type="dxa"/>
            <w:vAlign w:val="top"/>
          </w:tcPr>
          <w:p w14:paraId="17DB2A8D">
            <w:pPr>
              <w:rPr>
                <w:rFonts w:ascii="Arial"/>
                <w:sz w:val="21"/>
              </w:rPr>
            </w:pPr>
          </w:p>
        </w:tc>
      </w:tr>
      <w:tr w14:paraId="627B13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8" w:hRule="atLeast"/>
        </w:trPr>
        <w:tc>
          <w:tcPr>
            <w:tcW w:w="733" w:type="dxa"/>
            <w:vAlign w:val="top"/>
          </w:tcPr>
          <w:p w14:paraId="2EA8F0B3">
            <w:pPr>
              <w:pStyle w:val="6"/>
              <w:spacing w:before="214" w:line="219" w:lineRule="auto"/>
              <w:ind w:left="184"/>
            </w:pPr>
            <w:r>
              <w:rPr>
                <w:spacing w:val="-2"/>
              </w:rPr>
              <w:t>车站</w:t>
            </w:r>
          </w:p>
        </w:tc>
        <w:tc>
          <w:tcPr>
            <w:tcW w:w="2484" w:type="dxa"/>
            <w:vAlign w:val="top"/>
          </w:tcPr>
          <w:p w14:paraId="32A068B8">
            <w:pPr>
              <w:pStyle w:val="6"/>
              <w:spacing w:before="44" w:line="201" w:lineRule="auto"/>
              <w:ind w:left="2" w:right="1104"/>
              <w:rPr>
                <w:sz w:val="16"/>
                <w:szCs w:val="16"/>
              </w:rPr>
            </w:pPr>
            <w:r>
              <w:t>1.车站类型及分类</w:t>
            </w:r>
            <w:r>
              <w:rPr>
                <w:spacing w:val="6"/>
              </w:rPr>
              <w:t xml:space="preserve"> </w:t>
            </w:r>
            <w:r>
              <w:rPr>
                <w:spacing w:val="9"/>
                <w:sz w:val="16"/>
                <w:szCs w:val="16"/>
              </w:rPr>
              <w:t>2.车站组成</w:t>
            </w:r>
          </w:p>
          <w:p w14:paraId="173BBD06">
            <w:pPr>
              <w:pStyle w:val="6"/>
              <w:spacing w:line="189" w:lineRule="auto"/>
              <w:ind w:left="2"/>
              <w:rPr>
                <w:sz w:val="16"/>
                <w:szCs w:val="16"/>
              </w:rPr>
            </w:pPr>
            <w:r>
              <w:rPr>
                <w:spacing w:val="9"/>
                <w:sz w:val="16"/>
                <w:szCs w:val="16"/>
              </w:rPr>
              <w:t>3.车站设计</w:t>
            </w:r>
          </w:p>
        </w:tc>
        <w:tc>
          <w:tcPr>
            <w:tcW w:w="230" w:type="dxa"/>
            <w:vAlign w:val="top"/>
          </w:tcPr>
          <w:p w14:paraId="12273543">
            <w:pPr>
              <w:rPr>
                <w:rFonts w:ascii="Arial"/>
                <w:sz w:val="21"/>
              </w:rPr>
            </w:pPr>
          </w:p>
        </w:tc>
        <w:tc>
          <w:tcPr>
            <w:tcW w:w="230" w:type="dxa"/>
            <w:vAlign w:val="top"/>
          </w:tcPr>
          <w:p w14:paraId="35E394D3">
            <w:pPr>
              <w:rPr>
                <w:rFonts w:ascii="Arial"/>
                <w:sz w:val="21"/>
              </w:rPr>
            </w:pPr>
          </w:p>
        </w:tc>
        <w:tc>
          <w:tcPr>
            <w:tcW w:w="219" w:type="dxa"/>
            <w:vAlign w:val="top"/>
          </w:tcPr>
          <w:p w14:paraId="2082684A">
            <w:pPr>
              <w:rPr>
                <w:rFonts w:ascii="Arial"/>
                <w:sz w:val="21"/>
              </w:rPr>
            </w:pPr>
          </w:p>
        </w:tc>
        <w:tc>
          <w:tcPr>
            <w:tcW w:w="234" w:type="dxa"/>
            <w:vAlign w:val="top"/>
          </w:tcPr>
          <w:p w14:paraId="3E0375BB">
            <w:pPr>
              <w:rPr>
                <w:rFonts w:ascii="Arial"/>
                <w:sz w:val="21"/>
              </w:rPr>
            </w:pPr>
          </w:p>
        </w:tc>
      </w:tr>
      <w:tr w14:paraId="4940B7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5" w:hRule="atLeast"/>
        </w:trPr>
        <w:tc>
          <w:tcPr>
            <w:tcW w:w="733" w:type="dxa"/>
            <w:vAlign w:val="top"/>
          </w:tcPr>
          <w:p w14:paraId="4E5ADE9C">
            <w:pPr>
              <w:pStyle w:val="6"/>
              <w:spacing w:before="225" w:line="213" w:lineRule="auto"/>
              <w:ind w:left="104" w:right="80" w:hanging="49"/>
            </w:pPr>
            <w:r>
              <w:rPr>
                <w:spacing w:val="-2"/>
              </w:rPr>
              <w:t>车辆段/</w:t>
            </w:r>
            <w:r>
              <w:t xml:space="preserve"> </w:t>
            </w:r>
            <w:r>
              <w:rPr>
                <w:spacing w:val="-2"/>
              </w:rPr>
              <w:t>停车场</w:t>
            </w:r>
          </w:p>
        </w:tc>
        <w:tc>
          <w:tcPr>
            <w:tcW w:w="2484" w:type="dxa"/>
            <w:vAlign w:val="top"/>
          </w:tcPr>
          <w:p w14:paraId="2E7A3F6C">
            <w:pPr>
              <w:pStyle w:val="6"/>
              <w:spacing w:before="47" w:line="195" w:lineRule="auto"/>
              <w:ind w:left="2" w:right="1443"/>
            </w:pPr>
            <w:r>
              <w:rPr>
                <w:spacing w:val="1"/>
              </w:rPr>
              <w:t>1.停车场功能</w:t>
            </w:r>
            <w:r>
              <w:t xml:space="preserve"> </w:t>
            </w:r>
            <w:r>
              <w:rPr>
                <w:spacing w:val="-2"/>
              </w:rPr>
              <w:t>2.车辆段功能</w:t>
            </w:r>
            <w:r>
              <w:rPr>
                <w:spacing w:val="4"/>
              </w:rPr>
              <w:t xml:space="preserve"> </w:t>
            </w:r>
            <w:r>
              <w:rPr>
                <w:spacing w:val="-2"/>
              </w:rPr>
              <w:t>3.主要线路</w:t>
            </w:r>
          </w:p>
          <w:p w14:paraId="2C045075">
            <w:pPr>
              <w:pStyle w:val="6"/>
              <w:spacing w:line="161" w:lineRule="auto"/>
              <w:ind w:left="2"/>
            </w:pPr>
            <w:r>
              <w:rPr>
                <w:spacing w:val="-1"/>
              </w:rPr>
              <w:t>4.主要库房</w:t>
            </w:r>
          </w:p>
        </w:tc>
        <w:tc>
          <w:tcPr>
            <w:tcW w:w="230" w:type="dxa"/>
            <w:vAlign w:val="top"/>
          </w:tcPr>
          <w:p w14:paraId="42978AE2">
            <w:pPr>
              <w:rPr>
                <w:rFonts w:ascii="Arial"/>
                <w:sz w:val="21"/>
              </w:rPr>
            </w:pPr>
          </w:p>
        </w:tc>
        <w:tc>
          <w:tcPr>
            <w:tcW w:w="230" w:type="dxa"/>
            <w:vAlign w:val="top"/>
          </w:tcPr>
          <w:p w14:paraId="77507BC5">
            <w:pPr>
              <w:rPr>
                <w:rFonts w:ascii="Arial"/>
                <w:sz w:val="21"/>
              </w:rPr>
            </w:pPr>
          </w:p>
        </w:tc>
        <w:tc>
          <w:tcPr>
            <w:tcW w:w="219" w:type="dxa"/>
            <w:vAlign w:val="top"/>
          </w:tcPr>
          <w:p w14:paraId="53718A3F">
            <w:pPr>
              <w:rPr>
                <w:rFonts w:ascii="Arial"/>
                <w:sz w:val="21"/>
              </w:rPr>
            </w:pPr>
          </w:p>
        </w:tc>
        <w:tc>
          <w:tcPr>
            <w:tcW w:w="234" w:type="dxa"/>
            <w:vAlign w:val="top"/>
          </w:tcPr>
          <w:p w14:paraId="2F203A30">
            <w:pPr>
              <w:rPr>
                <w:rFonts w:ascii="Arial"/>
                <w:sz w:val="21"/>
              </w:rPr>
            </w:pPr>
          </w:p>
        </w:tc>
      </w:tr>
    </w:tbl>
    <w:p w14:paraId="547714A3">
      <w:pPr>
        <w:spacing w:before="96" w:line="219" w:lineRule="auto"/>
        <w:ind w:left="1107"/>
        <w:rPr>
          <w:rFonts w:ascii="宋体" w:hAnsi="宋体" w:eastAsia="宋体" w:cs="宋体"/>
          <w:sz w:val="17"/>
          <w:szCs w:val="17"/>
        </w:rPr>
      </w:pPr>
      <w:r>
        <w:rPr>
          <w:rFonts w:ascii="宋体" w:hAnsi="宋体" w:eastAsia="宋体" w:cs="宋体"/>
          <w:b/>
          <w:bCs/>
          <w:spacing w:val="-3"/>
          <w:sz w:val="17"/>
          <w:szCs w:val="17"/>
        </w:rPr>
        <w:t>第三章城市轨道交通车辆</w:t>
      </w:r>
    </w:p>
    <w:p w14:paraId="4C572F5D">
      <w:pPr>
        <w:spacing w:line="40" w:lineRule="exact"/>
      </w:pPr>
    </w:p>
    <w:tbl>
      <w:tblPr>
        <w:tblStyle w:val="5"/>
        <w:tblW w:w="414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33"/>
        <w:gridCol w:w="2484"/>
        <w:gridCol w:w="230"/>
        <w:gridCol w:w="230"/>
        <w:gridCol w:w="219"/>
        <w:gridCol w:w="244"/>
      </w:tblGrid>
      <w:tr w14:paraId="638CB3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4" w:hRule="atLeast"/>
        </w:trPr>
        <w:tc>
          <w:tcPr>
            <w:tcW w:w="733" w:type="dxa"/>
            <w:vMerge w:val="restart"/>
            <w:tcBorders>
              <w:bottom w:val="nil"/>
            </w:tcBorders>
            <w:vAlign w:val="top"/>
          </w:tcPr>
          <w:p w14:paraId="1FE1ED90">
            <w:pPr>
              <w:pStyle w:val="6"/>
              <w:spacing w:before="30" w:line="221" w:lineRule="auto"/>
              <w:ind w:left="17"/>
            </w:pPr>
            <w:r>
              <w:rPr>
                <w:b/>
                <w:bCs/>
                <w:spacing w:val="-4"/>
              </w:rPr>
              <w:t>知识与技</w:t>
            </w:r>
          </w:p>
          <w:p w14:paraId="09C8822E">
            <w:pPr>
              <w:pStyle w:val="6"/>
              <w:spacing w:before="16" w:line="198" w:lineRule="auto"/>
              <w:ind w:left="107"/>
            </w:pPr>
            <w:r>
              <w:rPr>
                <w:b/>
                <w:bCs/>
                <w:spacing w:val="1"/>
              </w:rPr>
              <w:t>能要点</w:t>
            </w:r>
          </w:p>
        </w:tc>
        <w:tc>
          <w:tcPr>
            <w:tcW w:w="2484" w:type="dxa"/>
            <w:vMerge w:val="restart"/>
            <w:tcBorders>
              <w:bottom w:val="nil"/>
            </w:tcBorders>
            <w:vAlign w:val="top"/>
          </w:tcPr>
          <w:p w14:paraId="4A7D5E26">
            <w:pPr>
              <w:pStyle w:val="6"/>
              <w:spacing w:before="139" w:line="219" w:lineRule="auto"/>
              <w:ind w:left="934"/>
            </w:pPr>
            <w:r>
              <w:rPr>
                <w:b/>
                <w:bCs/>
                <w:spacing w:val="5"/>
              </w:rPr>
              <w:t>考试条目</w:t>
            </w:r>
          </w:p>
        </w:tc>
        <w:tc>
          <w:tcPr>
            <w:tcW w:w="923" w:type="dxa"/>
            <w:gridSpan w:val="4"/>
            <w:vAlign w:val="top"/>
          </w:tcPr>
          <w:p w14:paraId="7FCC27BA">
            <w:pPr>
              <w:pStyle w:val="6"/>
              <w:spacing w:before="28" w:line="201" w:lineRule="auto"/>
              <w:ind w:left="140"/>
            </w:pPr>
            <w:r>
              <w:rPr>
                <w:b/>
                <w:bCs/>
                <w:spacing w:val="-4"/>
              </w:rPr>
              <w:t>考试水平</w:t>
            </w:r>
          </w:p>
        </w:tc>
      </w:tr>
      <w:tr w14:paraId="1BBC40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9" w:hRule="atLeast"/>
        </w:trPr>
        <w:tc>
          <w:tcPr>
            <w:tcW w:w="733" w:type="dxa"/>
            <w:vMerge w:val="continue"/>
            <w:tcBorders>
              <w:top w:val="nil"/>
            </w:tcBorders>
            <w:vAlign w:val="top"/>
          </w:tcPr>
          <w:p w14:paraId="168BF2F3">
            <w:pPr>
              <w:rPr>
                <w:rFonts w:ascii="Arial"/>
                <w:sz w:val="21"/>
              </w:rPr>
            </w:pPr>
          </w:p>
        </w:tc>
        <w:tc>
          <w:tcPr>
            <w:tcW w:w="2484" w:type="dxa"/>
            <w:vMerge w:val="continue"/>
            <w:tcBorders>
              <w:top w:val="nil"/>
            </w:tcBorders>
            <w:vAlign w:val="top"/>
          </w:tcPr>
          <w:p w14:paraId="50C5DE91">
            <w:pPr>
              <w:rPr>
                <w:rFonts w:ascii="Arial"/>
                <w:sz w:val="21"/>
              </w:rPr>
            </w:pPr>
          </w:p>
        </w:tc>
        <w:tc>
          <w:tcPr>
            <w:tcW w:w="230" w:type="dxa"/>
            <w:vAlign w:val="top"/>
          </w:tcPr>
          <w:p w14:paraId="7F1E042C">
            <w:pPr>
              <w:pStyle w:val="6"/>
              <w:spacing w:before="60" w:line="139" w:lineRule="exact"/>
              <w:ind w:left="20"/>
            </w:pPr>
            <w:r>
              <w:rPr>
                <w:b/>
                <w:bCs/>
                <w:spacing w:val="-2"/>
                <w:position w:val="-2"/>
              </w:rPr>
              <w:t>A</w:t>
            </w:r>
          </w:p>
        </w:tc>
        <w:tc>
          <w:tcPr>
            <w:tcW w:w="230" w:type="dxa"/>
            <w:vAlign w:val="top"/>
          </w:tcPr>
          <w:p w14:paraId="40F1C99D">
            <w:pPr>
              <w:pStyle w:val="6"/>
              <w:spacing w:before="62" w:line="137" w:lineRule="exact"/>
              <w:ind w:left="20"/>
            </w:pPr>
            <w:r>
              <w:rPr>
                <w:b/>
                <w:bCs/>
                <w:spacing w:val="-2"/>
                <w:position w:val="-2"/>
              </w:rPr>
              <w:t>B</w:t>
            </w:r>
          </w:p>
        </w:tc>
        <w:tc>
          <w:tcPr>
            <w:tcW w:w="219" w:type="dxa"/>
            <w:vAlign w:val="top"/>
          </w:tcPr>
          <w:p w14:paraId="2E498318">
            <w:pPr>
              <w:pStyle w:val="6"/>
              <w:spacing w:before="60" w:line="139" w:lineRule="exact"/>
              <w:ind w:left="20"/>
            </w:pPr>
            <w:r>
              <w:rPr>
                <w:b/>
                <w:bCs/>
                <w:spacing w:val="-2"/>
                <w:position w:val="-2"/>
              </w:rPr>
              <w:t>C</w:t>
            </w:r>
          </w:p>
        </w:tc>
        <w:tc>
          <w:tcPr>
            <w:tcW w:w="244" w:type="dxa"/>
            <w:vAlign w:val="top"/>
          </w:tcPr>
          <w:p w14:paraId="2EAADCDC">
            <w:pPr>
              <w:pStyle w:val="6"/>
              <w:spacing w:before="62" w:line="137" w:lineRule="exact"/>
              <w:ind w:left="31"/>
            </w:pPr>
            <w:r>
              <w:rPr>
                <w:b/>
                <w:bCs/>
                <w:spacing w:val="-2"/>
                <w:position w:val="-2"/>
              </w:rPr>
              <w:t>D</w:t>
            </w:r>
          </w:p>
        </w:tc>
      </w:tr>
      <w:tr w14:paraId="63CFCD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38" w:hRule="atLeast"/>
        </w:trPr>
        <w:tc>
          <w:tcPr>
            <w:tcW w:w="733" w:type="dxa"/>
            <w:vAlign w:val="top"/>
          </w:tcPr>
          <w:p w14:paraId="4BED9248">
            <w:pPr>
              <w:pStyle w:val="6"/>
              <w:spacing w:before="39" w:line="193" w:lineRule="auto"/>
              <w:ind w:left="105" w:right="113"/>
              <w:jc w:val="both"/>
            </w:pPr>
            <w:r>
              <w:rPr>
                <w:spacing w:val="-3"/>
              </w:rPr>
              <w:t>城市轨</w:t>
            </w:r>
            <w:r>
              <w:rPr>
                <w:spacing w:val="1"/>
              </w:rPr>
              <w:t xml:space="preserve"> </w:t>
            </w:r>
            <w:r>
              <w:rPr>
                <w:spacing w:val="-2"/>
              </w:rPr>
              <w:t>道交通</w:t>
            </w:r>
            <w:r>
              <w:t xml:space="preserve"> </w:t>
            </w:r>
            <w:r>
              <w:rPr>
                <w:spacing w:val="-3"/>
              </w:rPr>
              <w:t>车辆类</w:t>
            </w:r>
            <w:r>
              <w:t xml:space="preserve"> </w:t>
            </w:r>
            <w:r>
              <w:rPr>
                <w:spacing w:val="18"/>
                <w:w w:val="117"/>
              </w:rPr>
              <w:t>型和</w:t>
            </w:r>
            <w:r>
              <w:t xml:space="preserve">  </w:t>
            </w:r>
            <w:r>
              <w:rPr>
                <w:spacing w:val="35"/>
              </w:rPr>
              <w:t>编组</w:t>
            </w:r>
          </w:p>
        </w:tc>
        <w:tc>
          <w:tcPr>
            <w:tcW w:w="2484" w:type="dxa"/>
            <w:vAlign w:val="top"/>
          </w:tcPr>
          <w:p w14:paraId="10FE830D">
            <w:pPr>
              <w:pStyle w:val="6"/>
              <w:spacing w:before="229" w:line="195" w:lineRule="auto"/>
              <w:ind w:left="12" w:right="1600"/>
            </w:pPr>
            <w:r>
              <w:rPr>
                <w:spacing w:val="1"/>
              </w:rPr>
              <w:t>1.车辆类型</w:t>
            </w:r>
            <w:r>
              <w:rPr>
                <w:spacing w:val="4"/>
              </w:rPr>
              <w:t xml:space="preserve"> </w:t>
            </w:r>
            <w:r>
              <w:rPr>
                <w:spacing w:val="-2"/>
              </w:rPr>
              <w:t>2.车辆编组</w:t>
            </w:r>
          </w:p>
          <w:p w14:paraId="1CBC189D">
            <w:pPr>
              <w:pStyle w:val="6"/>
              <w:spacing w:line="219" w:lineRule="auto"/>
              <w:ind w:left="12"/>
            </w:pPr>
            <w:r>
              <w:rPr>
                <w:spacing w:val="-1"/>
              </w:rPr>
              <w:t>3.不同轨道体系中车辆分类</w:t>
            </w:r>
          </w:p>
        </w:tc>
        <w:tc>
          <w:tcPr>
            <w:tcW w:w="230" w:type="dxa"/>
            <w:vAlign w:val="top"/>
          </w:tcPr>
          <w:p w14:paraId="6CB411DD">
            <w:pPr>
              <w:rPr>
                <w:rFonts w:ascii="Arial"/>
                <w:sz w:val="21"/>
              </w:rPr>
            </w:pPr>
          </w:p>
        </w:tc>
        <w:tc>
          <w:tcPr>
            <w:tcW w:w="230" w:type="dxa"/>
            <w:vAlign w:val="top"/>
          </w:tcPr>
          <w:p w14:paraId="5B0F4F4D">
            <w:pPr>
              <w:spacing w:line="253" w:lineRule="auto"/>
              <w:rPr>
                <w:rFonts w:ascii="Arial"/>
                <w:sz w:val="21"/>
              </w:rPr>
            </w:pPr>
          </w:p>
          <w:p w14:paraId="3AEB8265">
            <w:pPr>
              <w:spacing w:line="451" w:lineRule="exact"/>
              <w:ind w:firstLine="40"/>
            </w:pPr>
            <w:r>
              <w:rPr>
                <w:position w:val="-9"/>
              </w:rPr>
              <w:drawing>
                <wp:inline distT="0" distB="0" distL="0" distR="0">
                  <wp:extent cx="92075" cy="285750"/>
                  <wp:effectExtent l="0" t="0" r="0" b="0"/>
                  <wp:docPr id="472" name="IM 472"/>
                  <wp:cNvGraphicFramePr/>
                  <a:graphic xmlns:a="http://schemas.openxmlformats.org/drawingml/2006/main">
                    <a:graphicData uri="http://schemas.openxmlformats.org/drawingml/2006/picture">
                      <pic:pic xmlns:pic="http://schemas.openxmlformats.org/drawingml/2006/picture">
                        <pic:nvPicPr>
                          <pic:cNvPr id="472" name="IM 472"/>
                          <pic:cNvPicPr/>
                        </pic:nvPicPr>
                        <pic:blipFill>
                          <a:blip r:embed="rId400"/>
                          <a:stretch>
                            <a:fillRect/>
                          </a:stretch>
                        </pic:blipFill>
                        <pic:spPr>
                          <a:xfrm>
                            <a:off x="0" y="0"/>
                            <a:ext cx="92093" cy="286368"/>
                          </a:xfrm>
                          <a:prstGeom prst="rect">
                            <a:avLst/>
                          </a:prstGeom>
                        </pic:spPr>
                      </pic:pic>
                    </a:graphicData>
                  </a:graphic>
                </wp:inline>
              </w:drawing>
            </w:r>
          </w:p>
        </w:tc>
        <w:tc>
          <w:tcPr>
            <w:tcW w:w="219" w:type="dxa"/>
            <w:vAlign w:val="top"/>
          </w:tcPr>
          <w:p w14:paraId="34EB487A">
            <w:pPr>
              <w:rPr>
                <w:rFonts w:ascii="Arial"/>
                <w:sz w:val="21"/>
              </w:rPr>
            </w:pPr>
          </w:p>
        </w:tc>
        <w:tc>
          <w:tcPr>
            <w:tcW w:w="244" w:type="dxa"/>
            <w:vAlign w:val="top"/>
          </w:tcPr>
          <w:p w14:paraId="6BF0BBB3">
            <w:pPr>
              <w:rPr>
                <w:rFonts w:ascii="Arial"/>
                <w:sz w:val="21"/>
              </w:rPr>
            </w:pPr>
          </w:p>
        </w:tc>
      </w:tr>
      <w:tr w14:paraId="4B83DD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07" w:hRule="atLeast"/>
        </w:trPr>
        <w:tc>
          <w:tcPr>
            <w:tcW w:w="733" w:type="dxa"/>
            <w:vAlign w:val="top"/>
          </w:tcPr>
          <w:p w14:paraId="21509303">
            <w:pPr>
              <w:spacing w:line="283" w:lineRule="auto"/>
              <w:rPr>
                <w:rFonts w:ascii="Arial"/>
                <w:sz w:val="21"/>
              </w:rPr>
            </w:pPr>
          </w:p>
          <w:p w14:paraId="254EEA44">
            <w:pPr>
              <w:pStyle w:val="6"/>
              <w:spacing w:before="55" w:line="207" w:lineRule="auto"/>
              <w:ind w:left="184" w:right="203"/>
            </w:pPr>
            <w:r>
              <w:rPr>
                <w:spacing w:val="-4"/>
              </w:rPr>
              <w:t>车辆</w:t>
            </w:r>
            <w:r>
              <w:t xml:space="preserve"> </w:t>
            </w:r>
            <w:r>
              <w:rPr>
                <w:spacing w:val="-3"/>
              </w:rPr>
              <w:t>机械</w:t>
            </w:r>
          </w:p>
        </w:tc>
        <w:tc>
          <w:tcPr>
            <w:tcW w:w="2484" w:type="dxa"/>
            <w:vAlign w:val="top"/>
          </w:tcPr>
          <w:p w14:paraId="43AA279F">
            <w:pPr>
              <w:pStyle w:val="6"/>
              <w:spacing w:before="20" w:line="196" w:lineRule="auto"/>
              <w:ind w:left="12"/>
            </w:pPr>
            <w:r>
              <w:rPr>
                <w:spacing w:val="1"/>
              </w:rPr>
              <w:t>1.车体</w:t>
            </w:r>
          </w:p>
          <w:p w14:paraId="6772735C">
            <w:pPr>
              <w:pStyle w:val="6"/>
              <w:spacing w:line="220" w:lineRule="auto"/>
              <w:ind w:left="12"/>
            </w:pPr>
            <w:r>
              <w:rPr>
                <w:spacing w:val="-2"/>
              </w:rPr>
              <w:t>2.转向架</w:t>
            </w:r>
          </w:p>
          <w:p w14:paraId="52149AFF">
            <w:pPr>
              <w:pStyle w:val="6"/>
              <w:spacing w:before="7" w:line="195" w:lineRule="auto"/>
              <w:ind w:left="12"/>
            </w:pPr>
            <w:r>
              <w:rPr>
                <w:spacing w:val="-2"/>
              </w:rPr>
              <w:t>3.制动系统</w:t>
            </w:r>
          </w:p>
          <w:p w14:paraId="37ACE781">
            <w:pPr>
              <w:pStyle w:val="6"/>
              <w:spacing w:line="208" w:lineRule="auto"/>
              <w:ind w:left="12" w:right="1107"/>
            </w:pPr>
            <w:r>
              <w:rPr>
                <w:spacing w:val="-1"/>
              </w:rPr>
              <w:t>4.车钩及缓冲装置</w:t>
            </w:r>
            <w:r>
              <w:rPr>
                <w:spacing w:val="2"/>
              </w:rPr>
              <w:t xml:space="preserve"> </w:t>
            </w:r>
            <w:r>
              <w:rPr>
                <w:spacing w:val="-2"/>
              </w:rPr>
              <w:t>5.空调通风系统</w:t>
            </w:r>
          </w:p>
        </w:tc>
        <w:tc>
          <w:tcPr>
            <w:tcW w:w="230" w:type="dxa"/>
            <w:vAlign w:val="top"/>
          </w:tcPr>
          <w:p w14:paraId="6CBF325E">
            <w:pPr>
              <w:rPr>
                <w:rFonts w:ascii="Arial"/>
                <w:sz w:val="21"/>
              </w:rPr>
            </w:pPr>
          </w:p>
        </w:tc>
        <w:tc>
          <w:tcPr>
            <w:tcW w:w="230" w:type="dxa"/>
            <w:vAlign w:val="top"/>
          </w:tcPr>
          <w:p w14:paraId="13ABAFDF">
            <w:pPr>
              <w:rPr>
                <w:rFonts w:ascii="Arial"/>
                <w:sz w:val="21"/>
              </w:rPr>
            </w:pPr>
          </w:p>
        </w:tc>
        <w:tc>
          <w:tcPr>
            <w:tcW w:w="219" w:type="dxa"/>
            <w:vAlign w:val="top"/>
          </w:tcPr>
          <w:p w14:paraId="7A5CA13D">
            <w:pPr>
              <w:rPr>
                <w:rFonts w:ascii="Arial"/>
                <w:sz w:val="21"/>
              </w:rPr>
            </w:pPr>
          </w:p>
        </w:tc>
        <w:tc>
          <w:tcPr>
            <w:tcW w:w="244" w:type="dxa"/>
            <w:vAlign w:val="top"/>
          </w:tcPr>
          <w:p w14:paraId="3E1FAC8B">
            <w:pPr>
              <w:rPr>
                <w:rFonts w:ascii="Arial"/>
                <w:sz w:val="21"/>
              </w:rPr>
            </w:pPr>
          </w:p>
        </w:tc>
      </w:tr>
      <w:tr w14:paraId="6020DA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98" w:hRule="atLeast"/>
        </w:trPr>
        <w:tc>
          <w:tcPr>
            <w:tcW w:w="733" w:type="dxa"/>
            <w:vAlign w:val="top"/>
          </w:tcPr>
          <w:p w14:paraId="23157F03">
            <w:pPr>
              <w:spacing w:line="276" w:lineRule="auto"/>
              <w:rPr>
                <w:rFonts w:ascii="Arial"/>
                <w:sz w:val="21"/>
              </w:rPr>
            </w:pPr>
          </w:p>
          <w:p w14:paraId="092E5316">
            <w:pPr>
              <w:pStyle w:val="6"/>
              <w:spacing w:before="55" w:line="209" w:lineRule="auto"/>
              <w:ind w:left="184" w:right="186"/>
            </w:pPr>
            <w:r>
              <w:rPr>
                <w:spacing w:val="-4"/>
              </w:rPr>
              <w:t>车辆</w:t>
            </w:r>
            <w:r>
              <w:t xml:space="preserve"> </w:t>
            </w:r>
            <w:r>
              <w:rPr>
                <w:spacing w:val="5"/>
              </w:rPr>
              <w:t>电气</w:t>
            </w:r>
          </w:p>
        </w:tc>
        <w:tc>
          <w:tcPr>
            <w:tcW w:w="2484" w:type="dxa"/>
            <w:vAlign w:val="top"/>
          </w:tcPr>
          <w:p w14:paraId="665CF591">
            <w:pPr>
              <w:pStyle w:val="6"/>
              <w:spacing w:before="75" w:line="193" w:lineRule="auto"/>
              <w:ind w:left="12"/>
            </w:pPr>
            <w:r>
              <w:rPr>
                <w:spacing w:val="1"/>
              </w:rPr>
              <w:t>1.受流器</w:t>
            </w:r>
          </w:p>
          <w:p w14:paraId="5861549C">
            <w:pPr>
              <w:pStyle w:val="6"/>
              <w:spacing w:line="201" w:lineRule="auto"/>
              <w:ind w:left="12" w:right="770"/>
            </w:pPr>
            <w:r>
              <w:rPr>
                <w:spacing w:val="-1"/>
              </w:rPr>
              <w:t>2.牵引设备及控制电路</w:t>
            </w:r>
            <w:r>
              <w:rPr>
                <w:spacing w:val="1"/>
              </w:rPr>
              <w:t xml:space="preserve"> </w:t>
            </w:r>
            <w:r>
              <w:rPr>
                <w:spacing w:val="-2"/>
              </w:rPr>
              <w:t>3.辅助逆变器</w:t>
            </w:r>
          </w:p>
          <w:p w14:paraId="2EC6D3F8">
            <w:pPr>
              <w:pStyle w:val="6"/>
              <w:spacing w:before="1" w:line="197" w:lineRule="auto"/>
              <w:ind w:left="12" w:right="1787"/>
            </w:pPr>
            <w:r>
              <w:rPr>
                <w:spacing w:val="-2"/>
              </w:rPr>
              <w:t>4.蓄电池</w:t>
            </w:r>
            <w:r>
              <w:rPr>
                <w:spacing w:val="3"/>
              </w:rPr>
              <w:t xml:space="preserve"> </w:t>
            </w:r>
            <w:r>
              <w:rPr>
                <w:spacing w:val="-2"/>
              </w:rPr>
              <w:t>5.充电器</w:t>
            </w:r>
          </w:p>
        </w:tc>
        <w:tc>
          <w:tcPr>
            <w:tcW w:w="230" w:type="dxa"/>
            <w:vAlign w:val="top"/>
          </w:tcPr>
          <w:p w14:paraId="13B200AE">
            <w:pPr>
              <w:rPr>
                <w:rFonts w:ascii="Arial"/>
                <w:sz w:val="21"/>
              </w:rPr>
            </w:pPr>
          </w:p>
        </w:tc>
        <w:tc>
          <w:tcPr>
            <w:tcW w:w="230" w:type="dxa"/>
            <w:vAlign w:val="top"/>
          </w:tcPr>
          <w:p w14:paraId="77752D03">
            <w:pPr>
              <w:rPr>
                <w:rFonts w:ascii="Arial"/>
                <w:sz w:val="21"/>
              </w:rPr>
            </w:pPr>
          </w:p>
        </w:tc>
        <w:tc>
          <w:tcPr>
            <w:tcW w:w="219" w:type="dxa"/>
            <w:vAlign w:val="top"/>
          </w:tcPr>
          <w:p w14:paraId="6206B864">
            <w:pPr>
              <w:rPr>
                <w:rFonts w:ascii="Arial"/>
                <w:sz w:val="21"/>
              </w:rPr>
            </w:pPr>
          </w:p>
        </w:tc>
        <w:tc>
          <w:tcPr>
            <w:tcW w:w="244" w:type="dxa"/>
            <w:vAlign w:val="top"/>
          </w:tcPr>
          <w:p w14:paraId="00A60A4D">
            <w:pPr>
              <w:rPr>
                <w:rFonts w:ascii="Arial"/>
                <w:sz w:val="21"/>
              </w:rPr>
            </w:pPr>
          </w:p>
        </w:tc>
      </w:tr>
      <w:tr w14:paraId="5C9DD6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3" w:hRule="atLeast"/>
        </w:trPr>
        <w:tc>
          <w:tcPr>
            <w:tcW w:w="733" w:type="dxa"/>
            <w:vAlign w:val="top"/>
          </w:tcPr>
          <w:p w14:paraId="1ABE0DDD">
            <w:pPr>
              <w:pStyle w:val="6"/>
              <w:spacing w:before="126" w:line="207" w:lineRule="auto"/>
              <w:ind w:left="184" w:right="204"/>
            </w:pPr>
            <w:r>
              <w:rPr>
                <w:spacing w:val="-4"/>
              </w:rPr>
              <w:t>车辆</w:t>
            </w:r>
            <w:r>
              <w:t xml:space="preserve"> </w:t>
            </w:r>
            <w:r>
              <w:rPr>
                <w:spacing w:val="-4"/>
              </w:rPr>
              <w:t>检修</w:t>
            </w:r>
          </w:p>
        </w:tc>
        <w:tc>
          <w:tcPr>
            <w:tcW w:w="2484" w:type="dxa"/>
            <w:vAlign w:val="top"/>
          </w:tcPr>
          <w:p w14:paraId="7AC3CB4C">
            <w:pPr>
              <w:pStyle w:val="6"/>
              <w:spacing w:before="45" w:line="195" w:lineRule="auto"/>
              <w:ind w:left="12"/>
            </w:pPr>
            <w:r>
              <w:t>1.部件互换修</w:t>
            </w:r>
          </w:p>
          <w:p w14:paraId="5721BC7C">
            <w:pPr>
              <w:pStyle w:val="6"/>
              <w:spacing w:before="1" w:line="194" w:lineRule="auto"/>
              <w:ind w:left="12" w:right="1265"/>
              <w:rPr>
                <w:sz w:val="16"/>
                <w:szCs w:val="16"/>
              </w:rPr>
            </w:pPr>
            <w:r>
              <w:rPr>
                <w:spacing w:val="9"/>
                <w:sz w:val="16"/>
                <w:szCs w:val="16"/>
              </w:rPr>
              <w:t>2.零部件集中修</w:t>
            </w:r>
            <w:r>
              <w:rPr>
                <w:spacing w:val="3"/>
                <w:sz w:val="16"/>
                <w:szCs w:val="16"/>
              </w:rPr>
              <w:t xml:space="preserve"> </w:t>
            </w:r>
            <w:r>
              <w:rPr>
                <w:spacing w:val="9"/>
                <w:sz w:val="16"/>
                <w:szCs w:val="16"/>
              </w:rPr>
              <w:t>3.集中架、大修</w:t>
            </w:r>
          </w:p>
        </w:tc>
        <w:tc>
          <w:tcPr>
            <w:tcW w:w="230" w:type="dxa"/>
            <w:vAlign w:val="top"/>
          </w:tcPr>
          <w:p w14:paraId="2A6DBD57">
            <w:pPr>
              <w:rPr>
                <w:rFonts w:ascii="Arial"/>
                <w:sz w:val="21"/>
              </w:rPr>
            </w:pPr>
          </w:p>
        </w:tc>
        <w:tc>
          <w:tcPr>
            <w:tcW w:w="230" w:type="dxa"/>
            <w:vAlign w:val="top"/>
          </w:tcPr>
          <w:p w14:paraId="508B54F3">
            <w:pPr>
              <w:rPr>
                <w:rFonts w:ascii="Arial"/>
                <w:sz w:val="21"/>
              </w:rPr>
            </w:pPr>
          </w:p>
        </w:tc>
        <w:tc>
          <w:tcPr>
            <w:tcW w:w="219" w:type="dxa"/>
            <w:vAlign w:val="top"/>
          </w:tcPr>
          <w:p w14:paraId="28A03666">
            <w:pPr>
              <w:rPr>
                <w:rFonts w:ascii="Arial"/>
                <w:sz w:val="21"/>
              </w:rPr>
            </w:pPr>
          </w:p>
        </w:tc>
        <w:tc>
          <w:tcPr>
            <w:tcW w:w="244" w:type="dxa"/>
            <w:vAlign w:val="top"/>
          </w:tcPr>
          <w:p w14:paraId="1957E89A">
            <w:pPr>
              <w:rPr>
                <w:rFonts w:ascii="Arial"/>
                <w:sz w:val="21"/>
              </w:rPr>
            </w:pPr>
          </w:p>
        </w:tc>
      </w:tr>
    </w:tbl>
    <w:p w14:paraId="6D767F8D">
      <w:pPr>
        <w:spacing w:before="139" w:line="219" w:lineRule="auto"/>
        <w:ind w:left="1107"/>
        <w:rPr>
          <w:rFonts w:ascii="宋体" w:hAnsi="宋体" w:eastAsia="宋体" w:cs="宋体"/>
          <w:sz w:val="17"/>
          <w:szCs w:val="17"/>
        </w:rPr>
      </w:pPr>
      <w:r>
        <w:rPr>
          <w:rFonts w:ascii="宋体" w:hAnsi="宋体" w:eastAsia="宋体" w:cs="宋体"/>
          <w:b/>
          <w:bCs/>
          <w:spacing w:val="-3"/>
          <w:sz w:val="17"/>
          <w:szCs w:val="17"/>
        </w:rPr>
        <w:t>第四章</w:t>
      </w:r>
      <w:r>
        <w:rPr>
          <w:rFonts w:ascii="宋体" w:hAnsi="宋体" w:eastAsia="宋体" w:cs="宋体"/>
          <w:spacing w:val="-3"/>
          <w:sz w:val="17"/>
          <w:szCs w:val="17"/>
        </w:rPr>
        <w:t xml:space="preserve"> </w:t>
      </w:r>
      <w:r>
        <w:rPr>
          <w:rFonts w:ascii="宋体" w:hAnsi="宋体" w:eastAsia="宋体" w:cs="宋体"/>
          <w:b/>
          <w:bCs/>
          <w:spacing w:val="-3"/>
          <w:sz w:val="17"/>
          <w:szCs w:val="17"/>
        </w:rPr>
        <w:t>城市轨道交通供电</w:t>
      </w:r>
    </w:p>
    <w:p w14:paraId="55CFB063">
      <w:pPr>
        <w:spacing w:line="39" w:lineRule="exact"/>
      </w:pPr>
    </w:p>
    <w:tbl>
      <w:tblPr>
        <w:tblStyle w:val="5"/>
        <w:tblW w:w="414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03"/>
        <w:gridCol w:w="2314"/>
        <w:gridCol w:w="230"/>
        <w:gridCol w:w="230"/>
        <w:gridCol w:w="219"/>
        <w:gridCol w:w="244"/>
      </w:tblGrid>
      <w:tr w14:paraId="14B634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0" w:hRule="atLeast"/>
        </w:trPr>
        <w:tc>
          <w:tcPr>
            <w:tcW w:w="903" w:type="dxa"/>
            <w:vMerge w:val="restart"/>
            <w:tcBorders>
              <w:top w:val="single" w:color="000000" w:sz="2" w:space="0"/>
              <w:bottom w:val="nil"/>
            </w:tcBorders>
            <w:vAlign w:val="top"/>
          </w:tcPr>
          <w:p w14:paraId="2EB02A95">
            <w:pPr>
              <w:pStyle w:val="6"/>
              <w:spacing w:before="24" w:line="210" w:lineRule="auto"/>
              <w:ind w:left="276" w:right="35" w:hanging="259"/>
            </w:pPr>
            <w:r>
              <w:rPr>
                <w:b/>
                <w:bCs/>
                <w:spacing w:val="-4"/>
              </w:rPr>
              <w:t>知识与技能</w:t>
            </w:r>
            <w:r>
              <w:t xml:space="preserve"> </w:t>
            </w:r>
            <w:r>
              <w:rPr>
                <w:b/>
                <w:bCs/>
                <w:spacing w:val="-4"/>
              </w:rPr>
              <w:t>要点</w:t>
            </w:r>
          </w:p>
        </w:tc>
        <w:tc>
          <w:tcPr>
            <w:tcW w:w="2314" w:type="dxa"/>
            <w:vMerge w:val="restart"/>
            <w:tcBorders>
              <w:top w:val="single" w:color="000000" w:sz="2" w:space="0"/>
              <w:bottom w:val="nil"/>
            </w:tcBorders>
            <w:vAlign w:val="top"/>
          </w:tcPr>
          <w:p w14:paraId="66048DCB">
            <w:pPr>
              <w:pStyle w:val="6"/>
              <w:spacing w:before="144" w:line="219" w:lineRule="auto"/>
              <w:ind w:left="844"/>
            </w:pPr>
            <w:r>
              <w:rPr>
                <w:b/>
                <w:bCs/>
                <w:spacing w:val="5"/>
              </w:rPr>
              <w:t>考试条目</w:t>
            </w:r>
          </w:p>
        </w:tc>
        <w:tc>
          <w:tcPr>
            <w:tcW w:w="923" w:type="dxa"/>
            <w:gridSpan w:val="4"/>
            <w:tcBorders>
              <w:top w:val="single" w:color="000000" w:sz="2" w:space="0"/>
              <w:bottom w:val="single" w:color="000000" w:sz="2" w:space="0"/>
            </w:tcBorders>
            <w:vAlign w:val="top"/>
          </w:tcPr>
          <w:p w14:paraId="5AF1D077">
            <w:pPr>
              <w:pStyle w:val="6"/>
              <w:spacing w:before="34" w:line="212" w:lineRule="auto"/>
              <w:ind w:left="150"/>
            </w:pPr>
            <w:r>
              <w:rPr>
                <w:b/>
                <w:bCs/>
                <w:spacing w:val="-4"/>
              </w:rPr>
              <w:t>考试水平</w:t>
            </w:r>
          </w:p>
        </w:tc>
      </w:tr>
      <w:tr w14:paraId="17A0E6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4" w:hRule="atLeast"/>
        </w:trPr>
        <w:tc>
          <w:tcPr>
            <w:tcW w:w="903" w:type="dxa"/>
            <w:vMerge w:val="continue"/>
            <w:tcBorders>
              <w:top w:val="nil"/>
              <w:bottom w:val="single" w:color="000000" w:sz="2" w:space="0"/>
            </w:tcBorders>
            <w:vAlign w:val="top"/>
          </w:tcPr>
          <w:p w14:paraId="224CA40B">
            <w:pPr>
              <w:rPr>
                <w:rFonts w:ascii="Arial"/>
                <w:sz w:val="21"/>
              </w:rPr>
            </w:pPr>
          </w:p>
        </w:tc>
        <w:tc>
          <w:tcPr>
            <w:tcW w:w="2314" w:type="dxa"/>
            <w:vMerge w:val="continue"/>
            <w:tcBorders>
              <w:top w:val="nil"/>
              <w:bottom w:val="single" w:color="000000" w:sz="2" w:space="0"/>
            </w:tcBorders>
            <w:vAlign w:val="top"/>
          </w:tcPr>
          <w:p w14:paraId="563CFC80">
            <w:pPr>
              <w:rPr>
                <w:rFonts w:ascii="Arial"/>
                <w:sz w:val="21"/>
              </w:rPr>
            </w:pPr>
          </w:p>
        </w:tc>
        <w:tc>
          <w:tcPr>
            <w:tcW w:w="230" w:type="dxa"/>
            <w:tcBorders>
              <w:top w:val="single" w:color="000000" w:sz="2" w:space="0"/>
              <w:bottom w:val="single" w:color="000000" w:sz="2" w:space="0"/>
            </w:tcBorders>
            <w:vAlign w:val="top"/>
          </w:tcPr>
          <w:p w14:paraId="7134A495">
            <w:pPr>
              <w:pStyle w:val="6"/>
              <w:spacing w:before="64" w:line="129" w:lineRule="exact"/>
              <w:ind w:left="20"/>
            </w:pPr>
            <w:r>
              <w:rPr>
                <w:b/>
                <w:bCs/>
                <w:spacing w:val="-2"/>
                <w:position w:val="-2"/>
              </w:rPr>
              <w:t>A</w:t>
            </w:r>
          </w:p>
        </w:tc>
        <w:tc>
          <w:tcPr>
            <w:tcW w:w="230" w:type="dxa"/>
            <w:tcBorders>
              <w:top w:val="single" w:color="000000" w:sz="2" w:space="0"/>
              <w:bottom w:val="single" w:color="000000" w:sz="2" w:space="0"/>
            </w:tcBorders>
            <w:vAlign w:val="top"/>
          </w:tcPr>
          <w:p w14:paraId="1373799A">
            <w:pPr>
              <w:pStyle w:val="6"/>
              <w:spacing w:before="66" w:line="127" w:lineRule="exact"/>
              <w:ind w:left="40"/>
            </w:pPr>
            <w:r>
              <w:rPr>
                <w:b/>
                <w:bCs/>
                <w:spacing w:val="-2"/>
                <w:position w:val="-2"/>
              </w:rPr>
              <w:t>B</w:t>
            </w:r>
          </w:p>
        </w:tc>
        <w:tc>
          <w:tcPr>
            <w:tcW w:w="219" w:type="dxa"/>
            <w:tcBorders>
              <w:top w:val="single" w:color="000000" w:sz="2" w:space="0"/>
              <w:bottom w:val="single" w:color="000000" w:sz="2" w:space="0"/>
            </w:tcBorders>
            <w:vAlign w:val="top"/>
          </w:tcPr>
          <w:p w14:paraId="302252C9">
            <w:pPr>
              <w:pStyle w:val="6"/>
              <w:spacing w:before="64" w:line="129" w:lineRule="exact"/>
              <w:ind w:left="50"/>
            </w:pPr>
            <w:r>
              <w:rPr>
                <w:b/>
                <w:bCs/>
                <w:spacing w:val="-2"/>
                <w:position w:val="-2"/>
              </w:rPr>
              <w:t>C</w:t>
            </w:r>
          </w:p>
        </w:tc>
        <w:tc>
          <w:tcPr>
            <w:tcW w:w="244" w:type="dxa"/>
            <w:tcBorders>
              <w:top w:val="single" w:color="000000" w:sz="2" w:space="0"/>
              <w:bottom w:val="single" w:color="000000" w:sz="2" w:space="0"/>
            </w:tcBorders>
            <w:vAlign w:val="top"/>
          </w:tcPr>
          <w:p w14:paraId="769B3422">
            <w:pPr>
              <w:pStyle w:val="6"/>
              <w:spacing w:before="66" w:line="127" w:lineRule="exact"/>
              <w:ind w:left="31"/>
            </w:pPr>
            <w:r>
              <w:rPr>
                <w:b/>
                <w:bCs/>
                <w:spacing w:val="-2"/>
                <w:position w:val="-2"/>
              </w:rPr>
              <w:t>D</w:t>
            </w:r>
          </w:p>
        </w:tc>
      </w:tr>
      <w:tr w14:paraId="5087B7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83" w:hRule="atLeast"/>
        </w:trPr>
        <w:tc>
          <w:tcPr>
            <w:tcW w:w="903" w:type="dxa"/>
            <w:tcBorders>
              <w:top w:val="single" w:color="000000" w:sz="2" w:space="0"/>
              <w:bottom w:val="single" w:color="000000" w:sz="2" w:space="0"/>
            </w:tcBorders>
            <w:vAlign w:val="top"/>
          </w:tcPr>
          <w:p w14:paraId="46CD6D8D">
            <w:pPr>
              <w:pStyle w:val="6"/>
              <w:spacing w:before="261" w:line="219" w:lineRule="auto"/>
              <w:ind w:left="184"/>
            </w:pPr>
            <w:r>
              <w:rPr>
                <w:spacing w:val="-2"/>
              </w:rPr>
              <w:t>供配电</w:t>
            </w:r>
          </w:p>
          <w:p w14:paraId="6E3B59C3">
            <w:pPr>
              <w:pStyle w:val="6"/>
              <w:spacing w:before="9" w:line="219" w:lineRule="auto"/>
              <w:ind w:left="275"/>
            </w:pPr>
            <w:r>
              <w:rPr>
                <w:spacing w:val="-2"/>
              </w:rPr>
              <w:t>类型</w:t>
            </w:r>
          </w:p>
        </w:tc>
        <w:tc>
          <w:tcPr>
            <w:tcW w:w="2314" w:type="dxa"/>
            <w:tcBorders>
              <w:top w:val="single" w:color="000000" w:sz="2" w:space="0"/>
              <w:bottom w:val="single" w:color="000000" w:sz="2" w:space="0"/>
            </w:tcBorders>
            <w:vAlign w:val="top"/>
          </w:tcPr>
          <w:p w14:paraId="15BD00C3">
            <w:pPr>
              <w:pStyle w:val="6"/>
              <w:spacing w:before="41" w:line="219" w:lineRule="auto"/>
              <w:ind w:left="11"/>
            </w:pPr>
            <w:r>
              <w:t>1.供配电系统组成</w:t>
            </w:r>
          </w:p>
          <w:p w14:paraId="15A5FEC4">
            <w:pPr>
              <w:pStyle w:val="6"/>
              <w:spacing w:before="27" w:line="218" w:lineRule="auto"/>
              <w:ind w:left="11" w:right="1423"/>
              <w:jc w:val="both"/>
            </w:pPr>
            <w:r>
              <w:rPr>
                <w:spacing w:val="-2"/>
              </w:rPr>
              <w:t>2.牵引供电</w:t>
            </w:r>
            <w:r>
              <w:rPr>
                <w:spacing w:val="2"/>
              </w:rPr>
              <w:t xml:space="preserve"> </w:t>
            </w:r>
            <w:r>
              <w:rPr>
                <w:spacing w:val="3"/>
              </w:rPr>
              <w:t>3.动力照明</w:t>
            </w:r>
            <w:r>
              <w:t xml:space="preserve"> </w:t>
            </w:r>
            <w:r>
              <w:rPr>
                <w:spacing w:val="-1"/>
              </w:rPr>
              <w:t>4.供电制式</w:t>
            </w:r>
          </w:p>
        </w:tc>
        <w:tc>
          <w:tcPr>
            <w:tcW w:w="230" w:type="dxa"/>
            <w:tcBorders>
              <w:top w:val="single" w:color="000000" w:sz="2" w:space="0"/>
              <w:bottom w:val="single" w:color="000000" w:sz="2" w:space="0"/>
            </w:tcBorders>
            <w:vAlign w:val="top"/>
          </w:tcPr>
          <w:p w14:paraId="62EE025C">
            <w:pPr>
              <w:rPr>
                <w:rFonts w:ascii="Arial"/>
                <w:sz w:val="21"/>
              </w:rPr>
            </w:pPr>
          </w:p>
        </w:tc>
        <w:tc>
          <w:tcPr>
            <w:tcW w:w="230" w:type="dxa"/>
            <w:tcBorders>
              <w:top w:val="single" w:color="000000" w:sz="2" w:space="0"/>
              <w:bottom w:val="single" w:color="000000" w:sz="2" w:space="0"/>
            </w:tcBorders>
            <w:vAlign w:val="top"/>
          </w:tcPr>
          <w:p w14:paraId="111A8244">
            <w:pPr>
              <w:rPr>
                <w:rFonts w:ascii="Arial"/>
                <w:sz w:val="21"/>
              </w:rPr>
            </w:pPr>
          </w:p>
        </w:tc>
        <w:tc>
          <w:tcPr>
            <w:tcW w:w="219" w:type="dxa"/>
            <w:tcBorders>
              <w:top w:val="single" w:color="000000" w:sz="2" w:space="0"/>
              <w:bottom w:val="single" w:color="000000" w:sz="2" w:space="0"/>
            </w:tcBorders>
            <w:vAlign w:val="top"/>
          </w:tcPr>
          <w:p w14:paraId="0FA2BCF0">
            <w:pPr>
              <w:rPr>
                <w:rFonts w:ascii="Arial"/>
                <w:sz w:val="21"/>
              </w:rPr>
            </w:pPr>
          </w:p>
        </w:tc>
        <w:tc>
          <w:tcPr>
            <w:tcW w:w="244" w:type="dxa"/>
            <w:tcBorders>
              <w:top w:val="single" w:color="000000" w:sz="2" w:space="0"/>
              <w:bottom w:val="single" w:color="000000" w:sz="2" w:space="0"/>
            </w:tcBorders>
            <w:vAlign w:val="top"/>
          </w:tcPr>
          <w:p w14:paraId="3D380C19">
            <w:pPr>
              <w:rPr>
                <w:rFonts w:ascii="Arial"/>
                <w:sz w:val="21"/>
              </w:rPr>
            </w:pPr>
          </w:p>
        </w:tc>
      </w:tr>
      <w:tr w14:paraId="43E5A8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64" w:hRule="atLeast"/>
        </w:trPr>
        <w:tc>
          <w:tcPr>
            <w:tcW w:w="903" w:type="dxa"/>
            <w:tcBorders>
              <w:top w:val="single" w:color="000000" w:sz="2" w:space="0"/>
              <w:bottom w:val="single" w:color="000000" w:sz="2" w:space="0"/>
            </w:tcBorders>
            <w:vAlign w:val="top"/>
          </w:tcPr>
          <w:p w14:paraId="654A9DF9">
            <w:pPr>
              <w:pStyle w:val="6"/>
              <w:spacing w:before="254" w:line="220" w:lineRule="auto"/>
              <w:ind w:left="184"/>
            </w:pPr>
            <w:r>
              <w:rPr>
                <w:spacing w:val="-2"/>
              </w:rPr>
              <w:t>变电所</w:t>
            </w:r>
          </w:p>
        </w:tc>
        <w:tc>
          <w:tcPr>
            <w:tcW w:w="2314" w:type="dxa"/>
            <w:tcBorders>
              <w:top w:val="single" w:color="000000" w:sz="2" w:space="0"/>
              <w:bottom w:val="single" w:color="000000" w:sz="2" w:space="0"/>
            </w:tcBorders>
            <w:vAlign w:val="top"/>
          </w:tcPr>
          <w:p w14:paraId="60590D70">
            <w:pPr>
              <w:pStyle w:val="6"/>
              <w:spacing w:before="55" w:line="221" w:lineRule="auto"/>
              <w:ind w:left="11"/>
            </w:pPr>
            <w:r>
              <w:rPr>
                <w:spacing w:val="1"/>
              </w:rPr>
              <w:t>1.主要电气设备</w:t>
            </w:r>
          </w:p>
          <w:p w14:paraId="2D59D796">
            <w:pPr>
              <w:pStyle w:val="6"/>
              <w:spacing w:before="6" w:line="211" w:lineRule="auto"/>
              <w:ind w:left="11" w:right="920"/>
            </w:pPr>
            <w:r>
              <w:rPr>
                <w:spacing w:val="1"/>
              </w:rPr>
              <w:t>2.主要电气主结线 3.主要类型</w:t>
            </w:r>
          </w:p>
        </w:tc>
        <w:tc>
          <w:tcPr>
            <w:tcW w:w="230" w:type="dxa"/>
            <w:tcBorders>
              <w:top w:val="single" w:color="000000" w:sz="2" w:space="0"/>
              <w:bottom w:val="single" w:color="000000" w:sz="2" w:space="0"/>
            </w:tcBorders>
            <w:vAlign w:val="top"/>
          </w:tcPr>
          <w:p w14:paraId="5A9C41E0">
            <w:pPr>
              <w:rPr>
                <w:rFonts w:ascii="Arial"/>
                <w:sz w:val="21"/>
              </w:rPr>
            </w:pPr>
          </w:p>
        </w:tc>
        <w:tc>
          <w:tcPr>
            <w:tcW w:w="230" w:type="dxa"/>
            <w:tcBorders>
              <w:top w:val="single" w:color="000000" w:sz="2" w:space="0"/>
              <w:bottom w:val="single" w:color="000000" w:sz="2" w:space="0"/>
            </w:tcBorders>
            <w:vAlign w:val="top"/>
          </w:tcPr>
          <w:p w14:paraId="140CFA7C">
            <w:pPr>
              <w:rPr>
                <w:rFonts w:ascii="Arial"/>
                <w:sz w:val="21"/>
              </w:rPr>
            </w:pPr>
          </w:p>
        </w:tc>
        <w:tc>
          <w:tcPr>
            <w:tcW w:w="219" w:type="dxa"/>
            <w:tcBorders>
              <w:top w:val="single" w:color="000000" w:sz="2" w:space="0"/>
              <w:bottom w:val="single" w:color="000000" w:sz="2" w:space="0"/>
            </w:tcBorders>
            <w:vAlign w:val="top"/>
          </w:tcPr>
          <w:p w14:paraId="2B346DA7">
            <w:pPr>
              <w:rPr>
                <w:rFonts w:ascii="Arial"/>
                <w:sz w:val="21"/>
              </w:rPr>
            </w:pPr>
          </w:p>
        </w:tc>
        <w:tc>
          <w:tcPr>
            <w:tcW w:w="244" w:type="dxa"/>
            <w:tcBorders>
              <w:top w:val="single" w:color="000000" w:sz="2" w:space="0"/>
              <w:bottom w:val="single" w:color="000000" w:sz="2" w:space="0"/>
            </w:tcBorders>
            <w:vAlign w:val="top"/>
          </w:tcPr>
          <w:p w14:paraId="4CE3F398">
            <w:pPr>
              <w:rPr>
                <w:rFonts w:ascii="Arial"/>
                <w:sz w:val="21"/>
              </w:rPr>
            </w:pPr>
          </w:p>
        </w:tc>
      </w:tr>
      <w:tr w14:paraId="7B54FD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4" w:hRule="atLeast"/>
        </w:trPr>
        <w:tc>
          <w:tcPr>
            <w:tcW w:w="903" w:type="dxa"/>
            <w:tcBorders>
              <w:top w:val="single" w:color="000000" w:sz="2" w:space="0"/>
              <w:bottom w:val="single" w:color="000000" w:sz="2" w:space="0"/>
            </w:tcBorders>
            <w:vAlign w:val="top"/>
          </w:tcPr>
          <w:p w14:paraId="54739CD6">
            <w:pPr>
              <w:pStyle w:val="6"/>
              <w:spacing w:before="136" w:line="221" w:lineRule="auto"/>
              <w:ind w:left="184"/>
            </w:pPr>
            <w:r>
              <w:rPr>
                <w:spacing w:val="5"/>
              </w:rPr>
              <w:t>接触网</w:t>
            </w:r>
          </w:p>
        </w:tc>
        <w:tc>
          <w:tcPr>
            <w:tcW w:w="2314" w:type="dxa"/>
            <w:tcBorders>
              <w:top w:val="single" w:color="000000" w:sz="2" w:space="0"/>
              <w:bottom w:val="single" w:color="000000" w:sz="2" w:space="0"/>
            </w:tcBorders>
            <w:vAlign w:val="top"/>
          </w:tcPr>
          <w:p w14:paraId="0846EBA7">
            <w:pPr>
              <w:pStyle w:val="6"/>
              <w:spacing w:before="45" w:line="220" w:lineRule="auto"/>
              <w:ind w:left="11"/>
            </w:pPr>
            <w:r>
              <w:rPr>
                <w:spacing w:val="1"/>
              </w:rPr>
              <w:t>1.结构形式</w:t>
            </w:r>
          </w:p>
          <w:p w14:paraId="5E3E0ED9">
            <w:pPr>
              <w:pStyle w:val="6"/>
              <w:spacing w:before="6" w:line="184" w:lineRule="auto"/>
              <w:ind w:left="11"/>
            </w:pPr>
            <w:r>
              <w:rPr>
                <w:spacing w:val="-1"/>
              </w:rPr>
              <w:t>2.供电方式和电分段</w:t>
            </w:r>
          </w:p>
        </w:tc>
        <w:tc>
          <w:tcPr>
            <w:tcW w:w="230" w:type="dxa"/>
            <w:tcBorders>
              <w:top w:val="single" w:color="000000" w:sz="2" w:space="0"/>
              <w:bottom w:val="single" w:color="000000" w:sz="2" w:space="0"/>
            </w:tcBorders>
            <w:vAlign w:val="top"/>
          </w:tcPr>
          <w:p w14:paraId="3220C801">
            <w:pPr>
              <w:rPr>
                <w:rFonts w:ascii="Arial"/>
                <w:sz w:val="21"/>
              </w:rPr>
            </w:pPr>
          </w:p>
        </w:tc>
        <w:tc>
          <w:tcPr>
            <w:tcW w:w="230" w:type="dxa"/>
            <w:tcBorders>
              <w:top w:val="single" w:color="000000" w:sz="2" w:space="0"/>
              <w:bottom w:val="single" w:color="000000" w:sz="2" w:space="0"/>
            </w:tcBorders>
            <w:vAlign w:val="top"/>
          </w:tcPr>
          <w:p w14:paraId="52C59753">
            <w:pPr>
              <w:rPr>
                <w:rFonts w:ascii="Arial"/>
                <w:sz w:val="21"/>
              </w:rPr>
            </w:pPr>
          </w:p>
        </w:tc>
        <w:tc>
          <w:tcPr>
            <w:tcW w:w="219" w:type="dxa"/>
            <w:tcBorders>
              <w:top w:val="single" w:color="000000" w:sz="2" w:space="0"/>
              <w:bottom w:val="single" w:color="000000" w:sz="2" w:space="0"/>
            </w:tcBorders>
            <w:vAlign w:val="top"/>
          </w:tcPr>
          <w:p w14:paraId="2E588D29">
            <w:pPr>
              <w:rPr>
                <w:rFonts w:ascii="Arial"/>
                <w:sz w:val="21"/>
              </w:rPr>
            </w:pPr>
          </w:p>
        </w:tc>
        <w:tc>
          <w:tcPr>
            <w:tcW w:w="244" w:type="dxa"/>
            <w:tcBorders>
              <w:top w:val="single" w:color="000000" w:sz="2" w:space="0"/>
              <w:bottom w:val="single" w:color="000000" w:sz="2" w:space="0"/>
            </w:tcBorders>
            <w:vAlign w:val="top"/>
          </w:tcPr>
          <w:p w14:paraId="476909FD">
            <w:pPr>
              <w:rPr>
                <w:rFonts w:ascii="Arial"/>
                <w:sz w:val="21"/>
              </w:rPr>
            </w:pPr>
          </w:p>
        </w:tc>
      </w:tr>
      <w:tr w14:paraId="683774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8" w:hRule="atLeast"/>
        </w:trPr>
        <w:tc>
          <w:tcPr>
            <w:tcW w:w="903" w:type="dxa"/>
            <w:tcBorders>
              <w:top w:val="single" w:color="000000" w:sz="2" w:space="0"/>
              <w:bottom w:val="single" w:color="000000" w:sz="2" w:space="0"/>
            </w:tcBorders>
            <w:vAlign w:val="top"/>
          </w:tcPr>
          <w:p w14:paraId="3DFEAB0D">
            <w:pPr>
              <w:pStyle w:val="6"/>
              <w:spacing w:before="55" w:line="238" w:lineRule="auto"/>
              <w:ind w:left="144" w:right="189" w:firstLine="39"/>
              <w:jc w:val="both"/>
            </w:pPr>
            <w:r>
              <w:rPr>
                <w:spacing w:val="2"/>
              </w:rPr>
              <w:t>电力监</w:t>
            </w:r>
            <w:r>
              <w:t xml:space="preserve"> </w:t>
            </w:r>
            <w:r>
              <w:rPr>
                <w:spacing w:val="11"/>
              </w:rPr>
              <w:t>控系统</w:t>
            </w:r>
            <w:r>
              <w:t xml:space="preserve"> </w:t>
            </w:r>
            <w:r>
              <w:rPr>
                <w:spacing w:val="-6"/>
              </w:rPr>
              <w:t>(SCADA)</w:t>
            </w:r>
          </w:p>
        </w:tc>
        <w:tc>
          <w:tcPr>
            <w:tcW w:w="2314" w:type="dxa"/>
            <w:tcBorders>
              <w:top w:val="single" w:color="000000" w:sz="2" w:space="0"/>
              <w:bottom w:val="single" w:color="000000" w:sz="2" w:space="0"/>
            </w:tcBorders>
            <w:vAlign w:val="top"/>
          </w:tcPr>
          <w:p w14:paraId="1016B9CD">
            <w:pPr>
              <w:pStyle w:val="6"/>
              <w:spacing w:before="86" w:line="220" w:lineRule="auto"/>
              <w:ind w:left="11"/>
            </w:pPr>
            <w:r>
              <w:rPr>
                <w:spacing w:val="1"/>
              </w:rPr>
              <w:t>1.远动监控系统</w:t>
            </w:r>
          </w:p>
          <w:p w14:paraId="24333D06">
            <w:pPr>
              <w:pStyle w:val="6"/>
              <w:spacing w:before="5" w:line="225" w:lineRule="auto"/>
              <w:ind w:left="11" w:right="600"/>
            </w:pPr>
            <w:r>
              <w:rPr>
                <w:spacing w:val="-1"/>
              </w:rPr>
              <w:t>2.监控通道及信息传送</w:t>
            </w:r>
            <w:r>
              <w:rPr>
                <w:spacing w:val="1"/>
              </w:rPr>
              <w:t xml:space="preserve"> 3.系统结构</w:t>
            </w:r>
          </w:p>
        </w:tc>
        <w:tc>
          <w:tcPr>
            <w:tcW w:w="230" w:type="dxa"/>
            <w:tcBorders>
              <w:top w:val="single" w:color="000000" w:sz="2" w:space="0"/>
              <w:bottom w:val="single" w:color="000000" w:sz="2" w:space="0"/>
            </w:tcBorders>
            <w:vAlign w:val="top"/>
          </w:tcPr>
          <w:p w14:paraId="7B984083">
            <w:pPr>
              <w:rPr>
                <w:rFonts w:ascii="Arial"/>
                <w:sz w:val="21"/>
              </w:rPr>
            </w:pPr>
          </w:p>
        </w:tc>
        <w:tc>
          <w:tcPr>
            <w:tcW w:w="230" w:type="dxa"/>
            <w:tcBorders>
              <w:top w:val="single" w:color="000000" w:sz="2" w:space="0"/>
              <w:bottom w:val="single" w:color="000000" w:sz="2" w:space="0"/>
            </w:tcBorders>
            <w:vAlign w:val="top"/>
          </w:tcPr>
          <w:p w14:paraId="270CD23D">
            <w:pPr>
              <w:rPr>
                <w:rFonts w:ascii="Arial"/>
                <w:sz w:val="21"/>
              </w:rPr>
            </w:pPr>
          </w:p>
        </w:tc>
        <w:tc>
          <w:tcPr>
            <w:tcW w:w="219" w:type="dxa"/>
            <w:tcBorders>
              <w:top w:val="single" w:color="000000" w:sz="2" w:space="0"/>
              <w:bottom w:val="single" w:color="000000" w:sz="2" w:space="0"/>
            </w:tcBorders>
            <w:vAlign w:val="top"/>
          </w:tcPr>
          <w:p w14:paraId="4F9406CB">
            <w:pPr>
              <w:rPr>
                <w:rFonts w:ascii="Arial"/>
                <w:sz w:val="21"/>
              </w:rPr>
            </w:pPr>
          </w:p>
        </w:tc>
        <w:tc>
          <w:tcPr>
            <w:tcW w:w="244" w:type="dxa"/>
            <w:tcBorders>
              <w:top w:val="single" w:color="000000" w:sz="2" w:space="0"/>
              <w:bottom w:val="single" w:color="000000" w:sz="2" w:space="0"/>
            </w:tcBorders>
            <w:vAlign w:val="top"/>
          </w:tcPr>
          <w:p w14:paraId="679D75A4">
            <w:pPr>
              <w:rPr>
                <w:rFonts w:ascii="Arial"/>
                <w:sz w:val="21"/>
              </w:rPr>
            </w:pPr>
          </w:p>
        </w:tc>
      </w:tr>
    </w:tbl>
    <w:p w14:paraId="100D8E91">
      <w:pPr>
        <w:pStyle w:val="2"/>
        <w:spacing w:line="14" w:lineRule="auto"/>
        <w:rPr>
          <w:sz w:val="2"/>
        </w:rPr>
      </w:pPr>
    </w:p>
    <w:p w14:paraId="091E8538">
      <w:pPr>
        <w:spacing w:line="14" w:lineRule="auto"/>
        <w:rPr>
          <w:sz w:val="2"/>
          <w:szCs w:val="2"/>
        </w:rPr>
        <w:sectPr>
          <w:type w:val="continuous"/>
          <w:pgSz w:w="10660" w:h="15080"/>
          <w:pgMar w:top="400" w:right="1024" w:bottom="925" w:left="809" w:header="0" w:footer="705" w:gutter="0"/>
          <w:cols w:equalWidth="0" w:num="2">
            <w:col w:w="4576" w:space="100"/>
            <w:col w:w="4151"/>
          </w:cols>
        </w:sectPr>
      </w:pPr>
    </w:p>
    <w:p w14:paraId="56091368">
      <w:pPr>
        <w:spacing w:before="10"/>
      </w:pPr>
    </w:p>
    <w:p w14:paraId="161480DB">
      <w:pPr>
        <w:spacing w:before="9"/>
      </w:pPr>
    </w:p>
    <w:p w14:paraId="3C81DCAC">
      <w:pPr>
        <w:spacing w:before="9"/>
      </w:pPr>
    </w:p>
    <w:p w14:paraId="4C8EE50B">
      <w:pPr>
        <w:spacing w:before="9"/>
      </w:pPr>
    </w:p>
    <w:p w14:paraId="3493C139">
      <w:pPr>
        <w:sectPr>
          <w:footerReference r:id="rId91" w:type="default"/>
          <w:pgSz w:w="10660" w:h="15080"/>
          <w:pgMar w:top="400" w:right="875" w:bottom="936" w:left="1024" w:header="0" w:footer="715" w:gutter="0"/>
          <w:cols w:equalWidth="0" w:num="1">
            <w:col w:w="8760"/>
          </w:cols>
        </w:sectPr>
      </w:pPr>
    </w:p>
    <w:p w14:paraId="03C994B3">
      <w:pPr>
        <w:spacing w:line="218" w:lineRule="auto"/>
        <w:ind w:left="1107"/>
        <w:rPr>
          <w:rFonts w:ascii="宋体" w:hAnsi="宋体" w:eastAsia="宋体" w:cs="宋体"/>
          <w:sz w:val="17"/>
          <w:szCs w:val="17"/>
        </w:rPr>
      </w:pPr>
      <w:bookmarkStart w:id="49" w:name="bookmark40"/>
      <w:bookmarkEnd w:id="49"/>
      <w:r>
        <w:rPr>
          <w:rFonts w:ascii="宋体" w:hAnsi="宋体" w:eastAsia="宋体" w:cs="宋体"/>
          <w:b/>
          <w:bCs/>
          <w:spacing w:val="3"/>
          <w:sz w:val="17"/>
          <w:szCs w:val="17"/>
        </w:rPr>
        <w:t>第五章城市轨道交通信号</w:t>
      </w:r>
    </w:p>
    <w:p w14:paraId="440732E3">
      <w:pPr>
        <w:spacing w:line="109" w:lineRule="exact"/>
      </w:pPr>
    </w:p>
    <w:tbl>
      <w:tblPr>
        <w:tblStyle w:val="5"/>
        <w:tblW w:w="413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43"/>
        <w:gridCol w:w="2484"/>
        <w:gridCol w:w="230"/>
        <w:gridCol w:w="220"/>
        <w:gridCol w:w="229"/>
        <w:gridCol w:w="224"/>
      </w:tblGrid>
      <w:tr w14:paraId="2DB448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4" w:hRule="atLeast"/>
        </w:trPr>
        <w:tc>
          <w:tcPr>
            <w:tcW w:w="743" w:type="dxa"/>
            <w:vMerge w:val="restart"/>
            <w:tcBorders>
              <w:bottom w:val="nil"/>
            </w:tcBorders>
            <w:vAlign w:val="top"/>
          </w:tcPr>
          <w:p w14:paraId="7933ADEE">
            <w:pPr>
              <w:pStyle w:val="6"/>
              <w:spacing w:before="21" w:line="200" w:lineRule="auto"/>
              <w:ind w:left="77" w:right="2" w:hanging="60"/>
              <w:rPr>
                <w:sz w:val="19"/>
                <w:szCs w:val="19"/>
              </w:rPr>
            </w:pPr>
            <w:r>
              <w:rPr>
                <w:b/>
                <w:bCs/>
                <w:spacing w:val="-15"/>
                <w:sz w:val="19"/>
                <w:szCs w:val="19"/>
              </w:rPr>
              <w:t>知识与</w:t>
            </w:r>
            <w:r>
              <w:rPr>
                <w:b/>
                <w:bCs/>
                <w:spacing w:val="-11"/>
                <w:sz w:val="19"/>
                <w:szCs w:val="19"/>
              </w:rPr>
              <w:t>技</w:t>
            </w:r>
            <w:r>
              <w:rPr>
                <w:sz w:val="19"/>
                <w:szCs w:val="19"/>
              </w:rPr>
              <w:t xml:space="preserve"> </w:t>
            </w:r>
            <w:r>
              <w:rPr>
                <w:b/>
                <w:bCs/>
                <w:spacing w:val="1"/>
                <w:sz w:val="19"/>
                <w:szCs w:val="19"/>
              </w:rPr>
              <w:t>能要点</w:t>
            </w:r>
          </w:p>
        </w:tc>
        <w:tc>
          <w:tcPr>
            <w:tcW w:w="2484" w:type="dxa"/>
            <w:vMerge w:val="restart"/>
            <w:tcBorders>
              <w:bottom w:val="nil"/>
            </w:tcBorders>
            <w:vAlign w:val="top"/>
          </w:tcPr>
          <w:p w14:paraId="3CBE5F76">
            <w:pPr>
              <w:pStyle w:val="6"/>
              <w:spacing w:before="130" w:line="219" w:lineRule="auto"/>
              <w:ind w:left="924"/>
              <w:rPr>
                <w:sz w:val="19"/>
                <w:szCs w:val="19"/>
              </w:rPr>
            </w:pPr>
            <w:r>
              <w:rPr>
                <w:b/>
                <w:bCs/>
                <w:spacing w:val="5"/>
                <w:sz w:val="19"/>
                <w:szCs w:val="19"/>
              </w:rPr>
              <w:t>考试条目</w:t>
            </w:r>
          </w:p>
        </w:tc>
        <w:tc>
          <w:tcPr>
            <w:tcW w:w="903" w:type="dxa"/>
            <w:gridSpan w:val="4"/>
            <w:vAlign w:val="top"/>
          </w:tcPr>
          <w:p w14:paraId="1611D5E8">
            <w:pPr>
              <w:pStyle w:val="6"/>
              <w:spacing w:before="19" w:line="189" w:lineRule="auto"/>
              <w:ind w:right="7"/>
              <w:jc w:val="right"/>
              <w:rPr>
                <w:sz w:val="19"/>
                <w:szCs w:val="19"/>
              </w:rPr>
            </w:pPr>
            <w:r>
              <w:rPr>
                <w:b/>
                <w:bCs/>
                <w:spacing w:val="-4"/>
                <w:sz w:val="19"/>
                <w:szCs w:val="19"/>
              </w:rPr>
              <w:t>考试水平</w:t>
            </w:r>
          </w:p>
        </w:tc>
      </w:tr>
      <w:tr w14:paraId="0652C0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9" w:hRule="atLeast"/>
        </w:trPr>
        <w:tc>
          <w:tcPr>
            <w:tcW w:w="743" w:type="dxa"/>
            <w:vMerge w:val="continue"/>
            <w:tcBorders>
              <w:top w:val="nil"/>
            </w:tcBorders>
            <w:vAlign w:val="top"/>
          </w:tcPr>
          <w:p w14:paraId="6B84815F">
            <w:pPr>
              <w:rPr>
                <w:rFonts w:ascii="Arial"/>
                <w:sz w:val="21"/>
              </w:rPr>
            </w:pPr>
          </w:p>
        </w:tc>
        <w:tc>
          <w:tcPr>
            <w:tcW w:w="2484" w:type="dxa"/>
            <w:vMerge w:val="continue"/>
            <w:tcBorders>
              <w:top w:val="nil"/>
            </w:tcBorders>
            <w:vAlign w:val="top"/>
          </w:tcPr>
          <w:p w14:paraId="412B0C57">
            <w:pPr>
              <w:rPr>
                <w:rFonts w:ascii="Arial"/>
                <w:sz w:val="21"/>
              </w:rPr>
            </w:pPr>
          </w:p>
        </w:tc>
        <w:tc>
          <w:tcPr>
            <w:tcW w:w="230" w:type="dxa"/>
            <w:vAlign w:val="top"/>
          </w:tcPr>
          <w:p w14:paraId="59423FB6">
            <w:pPr>
              <w:pStyle w:val="6"/>
              <w:spacing w:before="46" w:line="153" w:lineRule="exact"/>
              <w:ind w:left="20"/>
              <w:rPr>
                <w:sz w:val="19"/>
                <w:szCs w:val="19"/>
              </w:rPr>
            </w:pPr>
            <w:r>
              <w:rPr>
                <w:b/>
                <w:bCs/>
                <w:spacing w:val="-2"/>
                <w:position w:val="-2"/>
                <w:sz w:val="19"/>
                <w:szCs w:val="19"/>
              </w:rPr>
              <w:t>A</w:t>
            </w:r>
          </w:p>
        </w:tc>
        <w:tc>
          <w:tcPr>
            <w:tcW w:w="220" w:type="dxa"/>
            <w:vAlign w:val="top"/>
          </w:tcPr>
          <w:p w14:paraId="13DB7BE8">
            <w:pPr>
              <w:pStyle w:val="6"/>
              <w:spacing w:before="49" w:line="150" w:lineRule="exact"/>
              <w:ind w:left="20"/>
              <w:rPr>
                <w:sz w:val="19"/>
                <w:szCs w:val="19"/>
              </w:rPr>
            </w:pPr>
            <w:r>
              <w:rPr>
                <w:b/>
                <w:bCs/>
                <w:spacing w:val="-2"/>
                <w:position w:val="-2"/>
                <w:sz w:val="19"/>
                <w:szCs w:val="19"/>
              </w:rPr>
              <w:t>B</w:t>
            </w:r>
          </w:p>
        </w:tc>
        <w:tc>
          <w:tcPr>
            <w:tcW w:w="229" w:type="dxa"/>
            <w:vAlign w:val="top"/>
          </w:tcPr>
          <w:p w14:paraId="28C6D898">
            <w:pPr>
              <w:pStyle w:val="6"/>
              <w:spacing w:before="47" w:line="152" w:lineRule="exact"/>
              <w:ind w:left="17"/>
              <w:rPr>
                <w:sz w:val="19"/>
                <w:szCs w:val="19"/>
              </w:rPr>
            </w:pPr>
            <w:r>
              <w:rPr>
                <w:position w:val="-2"/>
                <w:sz w:val="19"/>
                <w:szCs w:val="19"/>
              </w:rPr>
              <w:t>C</w:t>
            </w:r>
          </w:p>
        </w:tc>
        <w:tc>
          <w:tcPr>
            <w:tcW w:w="224" w:type="dxa"/>
            <w:vAlign w:val="top"/>
          </w:tcPr>
          <w:p w14:paraId="376242E4">
            <w:pPr>
              <w:pStyle w:val="6"/>
              <w:spacing w:before="49" w:line="150" w:lineRule="exact"/>
              <w:ind w:left="21"/>
              <w:rPr>
                <w:sz w:val="19"/>
                <w:szCs w:val="19"/>
              </w:rPr>
            </w:pPr>
            <w:r>
              <w:rPr>
                <w:b/>
                <w:bCs/>
                <w:spacing w:val="-2"/>
                <w:position w:val="-2"/>
                <w:sz w:val="19"/>
                <w:szCs w:val="19"/>
              </w:rPr>
              <w:t>D</w:t>
            </w:r>
          </w:p>
        </w:tc>
      </w:tr>
      <w:tr w14:paraId="2D709B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9" w:hRule="atLeast"/>
        </w:trPr>
        <w:tc>
          <w:tcPr>
            <w:tcW w:w="743" w:type="dxa"/>
            <w:vAlign w:val="top"/>
          </w:tcPr>
          <w:p w14:paraId="22ECC2EE">
            <w:pPr>
              <w:pStyle w:val="6"/>
              <w:spacing w:before="29" w:line="189" w:lineRule="auto"/>
              <w:ind w:left="175" w:right="169"/>
              <w:rPr>
                <w:sz w:val="19"/>
                <w:szCs w:val="19"/>
              </w:rPr>
            </w:pPr>
            <w:r>
              <w:rPr>
                <w:spacing w:val="-4"/>
                <w:sz w:val="19"/>
                <w:szCs w:val="19"/>
              </w:rPr>
              <w:t>信号</w:t>
            </w:r>
            <w:r>
              <w:rPr>
                <w:sz w:val="19"/>
                <w:szCs w:val="19"/>
              </w:rPr>
              <w:t xml:space="preserve"> </w:t>
            </w:r>
            <w:r>
              <w:rPr>
                <w:spacing w:val="4"/>
                <w:sz w:val="19"/>
                <w:szCs w:val="19"/>
              </w:rPr>
              <w:t>系统</w:t>
            </w:r>
          </w:p>
        </w:tc>
        <w:tc>
          <w:tcPr>
            <w:tcW w:w="2484" w:type="dxa"/>
            <w:vAlign w:val="top"/>
          </w:tcPr>
          <w:p w14:paraId="6BF60D1E">
            <w:pPr>
              <w:pStyle w:val="6"/>
              <w:spacing w:before="29" w:line="189" w:lineRule="auto"/>
              <w:ind w:left="12" w:right="1123"/>
              <w:rPr>
                <w:sz w:val="19"/>
                <w:szCs w:val="19"/>
              </w:rPr>
            </w:pPr>
            <w:r>
              <w:rPr>
                <w:spacing w:val="1"/>
                <w:sz w:val="19"/>
                <w:szCs w:val="19"/>
              </w:rPr>
              <w:t>1.信号系统概况</w:t>
            </w:r>
            <w:r>
              <w:rPr>
                <w:sz w:val="19"/>
                <w:szCs w:val="19"/>
              </w:rPr>
              <w:t xml:space="preserve"> </w:t>
            </w:r>
            <w:r>
              <w:rPr>
                <w:spacing w:val="-2"/>
                <w:sz w:val="19"/>
                <w:szCs w:val="19"/>
              </w:rPr>
              <w:t>2.信号系统组成</w:t>
            </w:r>
          </w:p>
        </w:tc>
        <w:tc>
          <w:tcPr>
            <w:tcW w:w="230" w:type="dxa"/>
            <w:vAlign w:val="top"/>
          </w:tcPr>
          <w:p w14:paraId="5E86C8A3">
            <w:pPr>
              <w:rPr>
                <w:rFonts w:ascii="Arial"/>
                <w:sz w:val="21"/>
              </w:rPr>
            </w:pPr>
          </w:p>
        </w:tc>
        <w:tc>
          <w:tcPr>
            <w:tcW w:w="220" w:type="dxa"/>
            <w:vAlign w:val="top"/>
          </w:tcPr>
          <w:p w14:paraId="7C8DEA22">
            <w:pPr>
              <w:rPr>
                <w:rFonts w:ascii="Arial"/>
                <w:sz w:val="21"/>
              </w:rPr>
            </w:pPr>
          </w:p>
        </w:tc>
        <w:tc>
          <w:tcPr>
            <w:tcW w:w="229" w:type="dxa"/>
            <w:vAlign w:val="top"/>
          </w:tcPr>
          <w:p w14:paraId="169DC328">
            <w:pPr>
              <w:rPr>
                <w:rFonts w:ascii="Arial"/>
                <w:sz w:val="21"/>
              </w:rPr>
            </w:pPr>
          </w:p>
        </w:tc>
        <w:tc>
          <w:tcPr>
            <w:tcW w:w="224" w:type="dxa"/>
            <w:vAlign w:val="top"/>
          </w:tcPr>
          <w:p w14:paraId="7B9B2381">
            <w:pPr>
              <w:rPr>
                <w:rFonts w:ascii="Arial"/>
                <w:sz w:val="21"/>
              </w:rPr>
            </w:pPr>
          </w:p>
        </w:tc>
      </w:tr>
      <w:tr w14:paraId="3F10AE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17" w:hRule="atLeast"/>
        </w:trPr>
        <w:tc>
          <w:tcPr>
            <w:tcW w:w="743" w:type="dxa"/>
            <w:vAlign w:val="top"/>
          </w:tcPr>
          <w:p w14:paraId="449E77B2">
            <w:pPr>
              <w:spacing w:line="405" w:lineRule="auto"/>
              <w:rPr>
                <w:rFonts w:ascii="Arial"/>
                <w:sz w:val="21"/>
              </w:rPr>
            </w:pPr>
          </w:p>
          <w:p w14:paraId="36302487">
            <w:pPr>
              <w:pStyle w:val="6"/>
              <w:spacing w:before="62" w:line="228" w:lineRule="auto"/>
              <w:ind w:left="75" w:right="94"/>
              <w:rPr>
                <w:sz w:val="19"/>
                <w:szCs w:val="19"/>
              </w:rPr>
            </w:pPr>
            <w:r>
              <w:rPr>
                <w:spacing w:val="-3"/>
                <w:sz w:val="19"/>
                <w:szCs w:val="19"/>
              </w:rPr>
              <w:t>信号基</w:t>
            </w:r>
            <w:r>
              <w:rPr>
                <w:sz w:val="19"/>
                <w:szCs w:val="19"/>
              </w:rPr>
              <w:t xml:space="preserve"> </w:t>
            </w:r>
            <w:r>
              <w:rPr>
                <w:spacing w:val="-3"/>
                <w:sz w:val="19"/>
                <w:szCs w:val="19"/>
              </w:rPr>
              <w:t>础设备</w:t>
            </w:r>
          </w:p>
        </w:tc>
        <w:tc>
          <w:tcPr>
            <w:tcW w:w="2484" w:type="dxa"/>
            <w:vAlign w:val="top"/>
          </w:tcPr>
          <w:p w14:paraId="5E20CA7F">
            <w:pPr>
              <w:pStyle w:val="6"/>
              <w:spacing w:before="34" w:line="224" w:lineRule="auto"/>
              <w:ind w:left="12"/>
              <w:rPr>
                <w:sz w:val="19"/>
                <w:szCs w:val="19"/>
              </w:rPr>
            </w:pPr>
            <w:r>
              <w:rPr>
                <w:spacing w:val="1"/>
                <w:sz w:val="19"/>
                <w:szCs w:val="19"/>
              </w:rPr>
              <w:t>1.继电器</w:t>
            </w:r>
          </w:p>
          <w:p w14:paraId="3E1C2B7F">
            <w:pPr>
              <w:pStyle w:val="6"/>
              <w:spacing w:before="4" w:line="194" w:lineRule="auto"/>
              <w:ind w:left="12"/>
              <w:rPr>
                <w:sz w:val="19"/>
                <w:szCs w:val="19"/>
              </w:rPr>
            </w:pPr>
            <w:r>
              <w:rPr>
                <w:spacing w:val="-2"/>
                <w:sz w:val="19"/>
                <w:szCs w:val="19"/>
              </w:rPr>
              <w:t>2.转辙机</w:t>
            </w:r>
          </w:p>
          <w:p w14:paraId="665E09BA">
            <w:pPr>
              <w:pStyle w:val="6"/>
              <w:spacing w:line="218" w:lineRule="auto"/>
              <w:ind w:left="12"/>
              <w:rPr>
                <w:sz w:val="19"/>
                <w:szCs w:val="19"/>
              </w:rPr>
            </w:pPr>
            <w:r>
              <w:rPr>
                <w:spacing w:val="-3"/>
                <w:sz w:val="19"/>
                <w:szCs w:val="19"/>
              </w:rPr>
              <w:t>3.信号机</w:t>
            </w:r>
          </w:p>
          <w:p w14:paraId="237D5627">
            <w:pPr>
              <w:pStyle w:val="6"/>
              <w:spacing w:before="15" w:line="205" w:lineRule="auto"/>
              <w:ind w:left="12" w:right="1518"/>
              <w:rPr>
                <w:sz w:val="18"/>
                <w:szCs w:val="18"/>
              </w:rPr>
            </w:pPr>
            <w:r>
              <w:rPr>
                <w:spacing w:val="-2"/>
                <w:sz w:val="19"/>
                <w:szCs w:val="19"/>
              </w:rPr>
              <w:t>4.轨道电路</w:t>
            </w:r>
            <w:r>
              <w:rPr>
                <w:spacing w:val="4"/>
                <w:sz w:val="19"/>
                <w:szCs w:val="19"/>
              </w:rPr>
              <w:t xml:space="preserve"> </w:t>
            </w:r>
            <w:r>
              <w:rPr>
                <w:spacing w:val="10"/>
                <w:sz w:val="18"/>
                <w:szCs w:val="18"/>
              </w:rPr>
              <w:t>5.计轴</w:t>
            </w:r>
          </w:p>
          <w:p w14:paraId="3DBF7EEA">
            <w:pPr>
              <w:pStyle w:val="6"/>
              <w:spacing w:before="1" w:line="190" w:lineRule="auto"/>
              <w:ind w:left="12"/>
              <w:rPr>
                <w:sz w:val="18"/>
                <w:szCs w:val="18"/>
              </w:rPr>
            </w:pPr>
            <w:r>
              <w:rPr>
                <w:spacing w:val="9"/>
                <w:sz w:val="18"/>
                <w:szCs w:val="18"/>
              </w:rPr>
              <w:t>6.应答器</w:t>
            </w:r>
          </w:p>
        </w:tc>
        <w:tc>
          <w:tcPr>
            <w:tcW w:w="230" w:type="dxa"/>
            <w:vAlign w:val="top"/>
          </w:tcPr>
          <w:p w14:paraId="1247F583">
            <w:pPr>
              <w:rPr>
                <w:rFonts w:ascii="Arial"/>
                <w:sz w:val="21"/>
              </w:rPr>
            </w:pPr>
          </w:p>
        </w:tc>
        <w:tc>
          <w:tcPr>
            <w:tcW w:w="220" w:type="dxa"/>
            <w:vAlign w:val="top"/>
          </w:tcPr>
          <w:p w14:paraId="4A73504F">
            <w:pPr>
              <w:rPr>
                <w:rFonts w:ascii="Arial"/>
                <w:sz w:val="21"/>
              </w:rPr>
            </w:pPr>
          </w:p>
        </w:tc>
        <w:tc>
          <w:tcPr>
            <w:tcW w:w="229" w:type="dxa"/>
            <w:vAlign w:val="top"/>
          </w:tcPr>
          <w:p w14:paraId="19F036AB">
            <w:pPr>
              <w:rPr>
                <w:rFonts w:ascii="Arial"/>
                <w:sz w:val="21"/>
              </w:rPr>
            </w:pPr>
          </w:p>
        </w:tc>
        <w:tc>
          <w:tcPr>
            <w:tcW w:w="224" w:type="dxa"/>
            <w:vAlign w:val="top"/>
          </w:tcPr>
          <w:p w14:paraId="1F112DCA">
            <w:pPr>
              <w:rPr>
                <w:rFonts w:ascii="Arial"/>
                <w:sz w:val="21"/>
              </w:rPr>
            </w:pPr>
          </w:p>
        </w:tc>
      </w:tr>
      <w:tr w14:paraId="410BE5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78" w:hRule="atLeast"/>
        </w:trPr>
        <w:tc>
          <w:tcPr>
            <w:tcW w:w="743" w:type="dxa"/>
            <w:vAlign w:val="top"/>
          </w:tcPr>
          <w:p w14:paraId="495D277D">
            <w:pPr>
              <w:pStyle w:val="6"/>
              <w:spacing w:before="247" w:line="221" w:lineRule="auto"/>
              <w:ind w:left="175" w:right="168"/>
              <w:rPr>
                <w:sz w:val="19"/>
                <w:szCs w:val="19"/>
              </w:rPr>
            </w:pPr>
            <w:r>
              <w:rPr>
                <w:spacing w:val="4"/>
                <w:sz w:val="19"/>
                <w:szCs w:val="19"/>
              </w:rPr>
              <w:t>闭塞</w:t>
            </w:r>
            <w:r>
              <w:rPr>
                <w:sz w:val="19"/>
                <w:szCs w:val="19"/>
              </w:rPr>
              <w:t xml:space="preserve"> </w:t>
            </w:r>
            <w:r>
              <w:rPr>
                <w:spacing w:val="4"/>
                <w:sz w:val="19"/>
                <w:szCs w:val="19"/>
              </w:rPr>
              <w:t>系统</w:t>
            </w:r>
          </w:p>
        </w:tc>
        <w:tc>
          <w:tcPr>
            <w:tcW w:w="2484" w:type="dxa"/>
            <w:vAlign w:val="top"/>
          </w:tcPr>
          <w:p w14:paraId="6FF35A4C">
            <w:pPr>
              <w:pStyle w:val="6"/>
              <w:spacing w:before="44" w:line="200" w:lineRule="auto"/>
              <w:ind w:left="12" w:right="1502"/>
              <w:jc w:val="both"/>
              <w:rPr>
                <w:sz w:val="19"/>
                <w:szCs w:val="19"/>
              </w:rPr>
            </w:pPr>
            <w:r>
              <w:rPr>
                <w:spacing w:val="1"/>
                <w:sz w:val="19"/>
                <w:szCs w:val="19"/>
              </w:rPr>
              <w:t xml:space="preserve">1.比赛概念 </w:t>
            </w:r>
            <w:r>
              <w:rPr>
                <w:spacing w:val="-2"/>
                <w:sz w:val="19"/>
                <w:szCs w:val="19"/>
              </w:rPr>
              <w:t>2.比赛形式</w:t>
            </w:r>
            <w:r>
              <w:rPr>
                <w:spacing w:val="1"/>
                <w:sz w:val="19"/>
                <w:szCs w:val="19"/>
              </w:rPr>
              <w:t xml:space="preserve"> 3.固定闭塞</w:t>
            </w:r>
            <w:r>
              <w:rPr>
                <w:spacing w:val="2"/>
                <w:sz w:val="19"/>
                <w:szCs w:val="19"/>
              </w:rPr>
              <w:t xml:space="preserve"> </w:t>
            </w:r>
            <w:r>
              <w:rPr>
                <w:spacing w:val="-2"/>
                <w:sz w:val="19"/>
                <w:szCs w:val="19"/>
              </w:rPr>
              <w:t>4.移动闭塞</w:t>
            </w:r>
          </w:p>
        </w:tc>
        <w:tc>
          <w:tcPr>
            <w:tcW w:w="230" w:type="dxa"/>
            <w:vAlign w:val="top"/>
          </w:tcPr>
          <w:p w14:paraId="49F16592">
            <w:pPr>
              <w:rPr>
                <w:rFonts w:ascii="Arial"/>
                <w:sz w:val="21"/>
              </w:rPr>
            </w:pPr>
          </w:p>
        </w:tc>
        <w:tc>
          <w:tcPr>
            <w:tcW w:w="220" w:type="dxa"/>
            <w:vAlign w:val="top"/>
          </w:tcPr>
          <w:p w14:paraId="4835E18B">
            <w:pPr>
              <w:rPr>
                <w:rFonts w:ascii="Arial"/>
                <w:sz w:val="21"/>
              </w:rPr>
            </w:pPr>
          </w:p>
        </w:tc>
        <w:tc>
          <w:tcPr>
            <w:tcW w:w="229" w:type="dxa"/>
            <w:vAlign w:val="top"/>
          </w:tcPr>
          <w:p w14:paraId="7B3DD9F4">
            <w:pPr>
              <w:spacing w:before="94" w:line="752" w:lineRule="exact"/>
              <w:ind w:firstLine="42"/>
            </w:pPr>
            <w:r>
              <w:rPr>
                <w:position w:val="-15"/>
              </w:rPr>
              <w:drawing>
                <wp:inline distT="0" distB="0" distL="0" distR="0">
                  <wp:extent cx="94615" cy="476885"/>
                  <wp:effectExtent l="0" t="0" r="0" b="0"/>
                  <wp:docPr id="474" name="IM 474"/>
                  <wp:cNvGraphicFramePr/>
                  <a:graphic xmlns:a="http://schemas.openxmlformats.org/drawingml/2006/main">
                    <a:graphicData uri="http://schemas.openxmlformats.org/drawingml/2006/picture">
                      <pic:pic xmlns:pic="http://schemas.openxmlformats.org/drawingml/2006/picture">
                        <pic:nvPicPr>
                          <pic:cNvPr id="474" name="IM 474"/>
                          <pic:cNvPicPr/>
                        </pic:nvPicPr>
                        <pic:blipFill>
                          <a:blip r:embed="rId401"/>
                          <a:stretch>
                            <a:fillRect/>
                          </a:stretch>
                        </pic:blipFill>
                        <pic:spPr>
                          <a:xfrm>
                            <a:off x="0" y="0"/>
                            <a:ext cx="94839" cy="477457"/>
                          </a:xfrm>
                          <a:prstGeom prst="rect">
                            <a:avLst/>
                          </a:prstGeom>
                        </pic:spPr>
                      </pic:pic>
                    </a:graphicData>
                  </a:graphic>
                </wp:inline>
              </w:drawing>
            </w:r>
          </w:p>
        </w:tc>
        <w:tc>
          <w:tcPr>
            <w:tcW w:w="224" w:type="dxa"/>
            <w:vAlign w:val="top"/>
          </w:tcPr>
          <w:p w14:paraId="21147512">
            <w:pPr>
              <w:rPr>
                <w:rFonts w:ascii="Arial"/>
                <w:sz w:val="21"/>
              </w:rPr>
            </w:pPr>
          </w:p>
        </w:tc>
      </w:tr>
      <w:tr w14:paraId="7270E6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68" w:hRule="atLeast"/>
        </w:trPr>
        <w:tc>
          <w:tcPr>
            <w:tcW w:w="743" w:type="dxa"/>
            <w:vAlign w:val="top"/>
          </w:tcPr>
          <w:p w14:paraId="19D05417">
            <w:pPr>
              <w:pStyle w:val="6"/>
              <w:spacing w:before="256" w:line="208" w:lineRule="auto"/>
              <w:ind w:left="175" w:right="169"/>
              <w:rPr>
                <w:sz w:val="19"/>
                <w:szCs w:val="19"/>
              </w:rPr>
            </w:pPr>
            <w:r>
              <w:rPr>
                <w:spacing w:val="-5"/>
                <w:sz w:val="19"/>
                <w:szCs w:val="19"/>
              </w:rPr>
              <w:t>联锁</w:t>
            </w:r>
            <w:r>
              <w:rPr>
                <w:sz w:val="19"/>
                <w:szCs w:val="19"/>
              </w:rPr>
              <w:t xml:space="preserve"> </w:t>
            </w:r>
            <w:r>
              <w:rPr>
                <w:spacing w:val="4"/>
                <w:sz w:val="19"/>
                <w:szCs w:val="19"/>
              </w:rPr>
              <w:t>系统</w:t>
            </w:r>
          </w:p>
        </w:tc>
        <w:tc>
          <w:tcPr>
            <w:tcW w:w="2484" w:type="dxa"/>
            <w:vAlign w:val="top"/>
          </w:tcPr>
          <w:p w14:paraId="17C2ED30">
            <w:pPr>
              <w:pStyle w:val="6"/>
              <w:spacing w:before="55" w:line="195" w:lineRule="auto"/>
              <w:ind w:left="12" w:right="1502"/>
              <w:jc w:val="both"/>
              <w:rPr>
                <w:sz w:val="19"/>
                <w:szCs w:val="19"/>
              </w:rPr>
            </w:pPr>
            <w:r>
              <w:rPr>
                <w:spacing w:val="1"/>
                <w:sz w:val="19"/>
                <w:szCs w:val="19"/>
              </w:rPr>
              <w:t xml:space="preserve">1.联锁概念 </w:t>
            </w:r>
            <w:r>
              <w:rPr>
                <w:spacing w:val="-2"/>
                <w:sz w:val="19"/>
                <w:szCs w:val="19"/>
              </w:rPr>
              <w:t>2.联锁条件</w:t>
            </w:r>
            <w:r>
              <w:rPr>
                <w:spacing w:val="1"/>
                <w:sz w:val="19"/>
                <w:szCs w:val="19"/>
              </w:rPr>
              <w:t xml:space="preserve"> 3.联锁设备 </w:t>
            </w:r>
            <w:r>
              <w:rPr>
                <w:spacing w:val="-2"/>
                <w:sz w:val="19"/>
                <w:szCs w:val="19"/>
              </w:rPr>
              <w:t>4.联锁表</w:t>
            </w:r>
          </w:p>
        </w:tc>
        <w:tc>
          <w:tcPr>
            <w:tcW w:w="230" w:type="dxa"/>
            <w:vAlign w:val="top"/>
          </w:tcPr>
          <w:p w14:paraId="2F1E7B93">
            <w:pPr>
              <w:rPr>
                <w:rFonts w:ascii="Arial"/>
                <w:sz w:val="21"/>
              </w:rPr>
            </w:pPr>
          </w:p>
        </w:tc>
        <w:tc>
          <w:tcPr>
            <w:tcW w:w="220" w:type="dxa"/>
            <w:vAlign w:val="top"/>
          </w:tcPr>
          <w:p w14:paraId="4343BD49">
            <w:pPr>
              <w:rPr>
                <w:rFonts w:ascii="Arial"/>
                <w:sz w:val="21"/>
              </w:rPr>
            </w:pPr>
          </w:p>
        </w:tc>
        <w:tc>
          <w:tcPr>
            <w:tcW w:w="229" w:type="dxa"/>
            <w:vAlign w:val="top"/>
          </w:tcPr>
          <w:p w14:paraId="1906DFFE">
            <w:pPr>
              <w:rPr>
                <w:rFonts w:ascii="Arial"/>
                <w:sz w:val="21"/>
              </w:rPr>
            </w:pPr>
          </w:p>
        </w:tc>
        <w:tc>
          <w:tcPr>
            <w:tcW w:w="224" w:type="dxa"/>
            <w:vAlign w:val="top"/>
          </w:tcPr>
          <w:p w14:paraId="252ADCAD">
            <w:pPr>
              <w:rPr>
                <w:rFonts w:ascii="Arial"/>
                <w:sz w:val="21"/>
              </w:rPr>
            </w:pPr>
          </w:p>
        </w:tc>
      </w:tr>
      <w:tr w14:paraId="487FA5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4" w:hRule="atLeast"/>
        </w:trPr>
        <w:tc>
          <w:tcPr>
            <w:tcW w:w="743" w:type="dxa"/>
            <w:vAlign w:val="top"/>
          </w:tcPr>
          <w:p w14:paraId="2DE3B66C">
            <w:pPr>
              <w:pStyle w:val="6"/>
              <w:spacing w:before="109" w:line="171" w:lineRule="auto"/>
              <w:ind w:left="175" w:right="179" w:firstLine="39"/>
            </w:pPr>
            <w:r>
              <w:rPr>
                <w:spacing w:val="-1"/>
              </w:rPr>
              <w:t>ATC</w:t>
            </w:r>
            <w:r>
              <w:t xml:space="preserve">  </w:t>
            </w:r>
            <w:r>
              <w:rPr>
                <w:spacing w:val="18"/>
              </w:rPr>
              <w:t>系统</w:t>
            </w:r>
          </w:p>
        </w:tc>
        <w:tc>
          <w:tcPr>
            <w:tcW w:w="2484" w:type="dxa"/>
            <w:vAlign w:val="top"/>
          </w:tcPr>
          <w:p w14:paraId="5B0A0762">
            <w:pPr>
              <w:pStyle w:val="6"/>
              <w:spacing w:before="59" w:line="187" w:lineRule="auto"/>
              <w:ind w:left="12" w:right="1603"/>
              <w:rPr>
                <w:sz w:val="18"/>
                <w:szCs w:val="18"/>
              </w:rPr>
            </w:pPr>
            <w:r>
              <w:rPr>
                <w:spacing w:val="12"/>
                <w:sz w:val="18"/>
                <w:szCs w:val="18"/>
              </w:rPr>
              <w:t>1.</w:t>
            </w:r>
            <w:r>
              <w:rPr>
                <w:sz w:val="18"/>
                <w:szCs w:val="18"/>
              </w:rPr>
              <w:t>ATC</w:t>
            </w:r>
            <w:r>
              <w:rPr>
                <w:spacing w:val="12"/>
                <w:sz w:val="18"/>
                <w:szCs w:val="18"/>
              </w:rPr>
              <w:t>组成</w:t>
            </w:r>
            <w:r>
              <w:rPr>
                <w:sz w:val="18"/>
                <w:szCs w:val="18"/>
              </w:rPr>
              <w:t xml:space="preserve"> </w:t>
            </w:r>
            <w:r>
              <w:rPr>
                <w:spacing w:val="-2"/>
                <w:sz w:val="18"/>
                <w:szCs w:val="18"/>
              </w:rPr>
              <w:t>2.CBTC</w:t>
            </w:r>
          </w:p>
        </w:tc>
        <w:tc>
          <w:tcPr>
            <w:tcW w:w="230" w:type="dxa"/>
            <w:vAlign w:val="top"/>
          </w:tcPr>
          <w:p w14:paraId="070A3773">
            <w:pPr>
              <w:rPr>
                <w:rFonts w:ascii="Arial"/>
                <w:sz w:val="21"/>
              </w:rPr>
            </w:pPr>
          </w:p>
        </w:tc>
        <w:tc>
          <w:tcPr>
            <w:tcW w:w="220" w:type="dxa"/>
            <w:vAlign w:val="top"/>
          </w:tcPr>
          <w:p w14:paraId="7B94187F">
            <w:pPr>
              <w:rPr>
                <w:rFonts w:ascii="Arial"/>
                <w:sz w:val="21"/>
              </w:rPr>
            </w:pPr>
          </w:p>
        </w:tc>
        <w:tc>
          <w:tcPr>
            <w:tcW w:w="229" w:type="dxa"/>
            <w:vAlign w:val="top"/>
          </w:tcPr>
          <w:p w14:paraId="78CF9540">
            <w:pPr>
              <w:rPr>
                <w:rFonts w:ascii="Arial"/>
                <w:sz w:val="21"/>
              </w:rPr>
            </w:pPr>
          </w:p>
        </w:tc>
        <w:tc>
          <w:tcPr>
            <w:tcW w:w="224" w:type="dxa"/>
            <w:vAlign w:val="top"/>
          </w:tcPr>
          <w:p w14:paraId="15E05139">
            <w:pPr>
              <w:rPr>
                <w:rFonts w:ascii="Arial"/>
                <w:sz w:val="21"/>
              </w:rPr>
            </w:pPr>
          </w:p>
        </w:tc>
      </w:tr>
    </w:tbl>
    <w:p w14:paraId="4105A52A">
      <w:pPr>
        <w:spacing w:before="98" w:line="219" w:lineRule="auto"/>
        <w:ind w:left="1127"/>
        <w:rPr>
          <w:rFonts w:ascii="宋体" w:hAnsi="宋体" w:eastAsia="宋体" w:cs="宋体"/>
          <w:sz w:val="17"/>
          <w:szCs w:val="17"/>
        </w:rPr>
      </w:pPr>
      <w:r>
        <w:rPr>
          <w:rFonts w:ascii="宋体" w:hAnsi="宋体" w:eastAsia="宋体" w:cs="宋体"/>
          <w:b/>
          <w:bCs/>
          <w:spacing w:val="1"/>
          <w:sz w:val="17"/>
          <w:szCs w:val="17"/>
        </w:rPr>
        <w:t>第六章城市轨道交通通信</w:t>
      </w:r>
    </w:p>
    <w:p w14:paraId="2421E063">
      <w:pPr>
        <w:spacing w:line="70" w:lineRule="exact"/>
      </w:pPr>
    </w:p>
    <w:tbl>
      <w:tblPr>
        <w:tblStyle w:val="5"/>
        <w:tblW w:w="4140" w:type="dxa"/>
        <w:tblInd w:w="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43"/>
        <w:gridCol w:w="2484"/>
        <w:gridCol w:w="230"/>
        <w:gridCol w:w="229"/>
        <w:gridCol w:w="230"/>
        <w:gridCol w:w="224"/>
      </w:tblGrid>
      <w:tr w14:paraId="552ADE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4" w:hRule="atLeast"/>
        </w:trPr>
        <w:tc>
          <w:tcPr>
            <w:tcW w:w="743" w:type="dxa"/>
            <w:vMerge w:val="restart"/>
            <w:tcBorders>
              <w:bottom w:val="nil"/>
            </w:tcBorders>
            <w:vAlign w:val="top"/>
          </w:tcPr>
          <w:p w14:paraId="5D0A4A98">
            <w:pPr>
              <w:pStyle w:val="6"/>
              <w:spacing w:before="11" w:line="211" w:lineRule="auto"/>
              <w:ind w:left="96" w:right="6" w:hanging="79"/>
              <w:rPr>
                <w:sz w:val="18"/>
                <w:szCs w:val="18"/>
              </w:rPr>
            </w:pPr>
            <w:r>
              <w:rPr>
                <w:b/>
                <w:bCs/>
                <w:spacing w:val="-5"/>
                <w:sz w:val="18"/>
                <w:szCs w:val="18"/>
              </w:rPr>
              <w:t>知识与技</w:t>
            </w:r>
            <w:r>
              <w:rPr>
                <w:sz w:val="18"/>
                <w:szCs w:val="18"/>
              </w:rPr>
              <w:t xml:space="preserve"> </w:t>
            </w:r>
            <w:r>
              <w:rPr>
                <w:b/>
                <w:bCs/>
                <w:spacing w:val="1"/>
                <w:sz w:val="18"/>
                <w:szCs w:val="18"/>
              </w:rPr>
              <w:t>能要点</w:t>
            </w:r>
          </w:p>
        </w:tc>
        <w:tc>
          <w:tcPr>
            <w:tcW w:w="2484" w:type="dxa"/>
            <w:vMerge w:val="restart"/>
            <w:tcBorders>
              <w:bottom w:val="nil"/>
            </w:tcBorders>
            <w:vAlign w:val="top"/>
          </w:tcPr>
          <w:p w14:paraId="00588510">
            <w:pPr>
              <w:pStyle w:val="6"/>
              <w:spacing w:before="129" w:line="219" w:lineRule="auto"/>
              <w:ind w:left="924"/>
              <w:rPr>
                <w:sz w:val="18"/>
                <w:szCs w:val="18"/>
              </w:rPr>
            </w:pPr>
            <w:r>
              <w:rPr>
                <w:b/>
                <w:bCs/>
                <w:spacing w:val="5"/>
                <w:sz w:val="18"/>
                <w:szCs w:val="18"/>
              </w:rPr>
              <w:t>考试条目</w:t>
            </w:r>
          </w:p>
        </w:tc>
        <w:tc>
          <w:tcPr>
            <w:tcW w:w="913" w:type="dxa"/>
            <w:gridSpan w:val="4"/>
            <w:vAlign w:val="top"/>
          </w:tcPr>
          <w:p w14:paraId="32D43829">
            <w:pPr>
              <w:pStyle w:val="6"/>
              <w:spacing w:before="19" w:line="199" w:lineRule="auto"/>
              <w:ind w:left="130"/>
              <w:rPr>
                <w:sz w:val="18"/>
                <w:szCs w:val="18"/>
              </w:rPr>
            </w:pPr>
            <w:r>
              <w:rPr>
                <w:b/>
                <w:bCs/>
                <w:spacing w:val="-4"/>
                <w:sz w:val="18"/>
                <w:szCs w:val="18"/>
              </w:rPr>
              <w:t>考试水平</w:t>
            </w:r>
          </w:p>
        </w:tc>
      </w:tr>
      <w:tr w14:paraId="10E80A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99" w:hRule="atLeast"/>
        </w:trPr>
        <w:tc>
          <w:tcPr>
            <w:tcW w:w="743" w:type="dxa"/>
            <w:vMerge w:val="continue"/>
            <w:tcBorders>
              <w:top w:val="nil"/>
            </w:tcBorders>
            <w:vAlign w:val="top"/>
          </w:tcPr>
          <w:p w14:paraId="225D9C73">
            <w:pPr>
              <w:rPr>
                <w:rFonts w:ascii="Arial"/>
                <w:sz w:val="21"/>
              </w:rPr>
            </w:pPr>
          </w:p>
        </w:tc>
        <w:tc>
          <w:tcPr>
            <w:tcW w:w="2484" w:type="dxa"/>
            <w:vMerge w:val="continue"/>
            <w:tcBorders>
              <w:top w:val="nil"/>
            </w:tcBorders>
            <w:vAlign w:val="top"/>
          </w:tcPr>
          <w:p w14:paraId="3632DBE9">
            <w:pPr>
              <w:rPr>
                <w:rFonts w:ascii="Arial"/>
                <w:sz w:val="21"/>
              </w:rPr>
            </w:pPr>
          </w:p>
        </w:tc>
        <w:tc>
          <w:tcPr>
            <w:tcW w:w="230" w:type="dxa"/>
            <w:vAlign w:val="top"/>
          </w:tcPr>
          <w:p w14:paraId="085DE3F2">
            <w:pPr>
              <w:pStyle w:val="6"/>
              <w:spacing w:before="43" w:line="146" w:lineRule="exact"/>
              <w:ind w:left="20"/>
              <w:rPr>
                <w:sz w:val="18"/>
                <w:szCs w:val="18"/>
              </w:rPr>
            </w:pPr>
            <w:r>
              <w:rPr>
                <w:b/>
                <w:bCs/>
                <w:spacing w:val="-2"/>
                <w:position w:val="-2"/>
                <w:sz w:val="18"/>
                <w:szCs w:val="18"/>
              </w:rPr>
              <w:t>A</w:t>
            </w:r>
          </w:p>
        </w:tc>
        <w:tc>
          <w:tcPr>
            <w:tcW w:w="229" w:type="dxa"/>
            <w:vAlign w:val="top"/>
          </w:tcPr>
          <w:p w14:paraId="7F1C2664">
            <w:pPr>
              <w:pStyle w:val="6"/>
              <w:spacing w:before="46" w:line="143" w:lineRule="exact"/>
              <w:ind w:left="20"/>
              <w:rPr>
                <w:sz w:val="18"/>
                <w:szCs w:val="18"/>
              </w:rPr>
            </w:pPr>
            <w:r>
              <w:rPr>
                <w:b/>
                <w:bCs/>
                <w:spacing w:val="-2"/>
                <w:position w:val="-2"/>
                <w:sz w:val="18"/>
                <w:szCs w:val="18"/>
              </w:rPr>
              <w:t>B</w:t>
            </w:r>
          </w:p>
        </w:tc>
        <w:tc>
          <w:tcPr>
            <w:tcW w:w="230" w:type="dxa"/>
            <w:vAlign w:val="top"/>
          </w:tcPr>
          <w:p w14:paraId="7494C012">
            <w:pPr>
              <w:pStyle w:val="6"/>
              <w:spacing w:before="44" w:line="145" w:lineRule="exact"/>
              <w:ind w:left="39"/>
              <w:rPr>
                <w:sz w:val="18"/>
                <w:szCs w:val="18"/>
              </w:rPr>
            </w:pPr>
            <w:r>
              <w:rPr>
                <w:position w:val="-2"/>
                <w:sz w:val="18"/>
                <w:szCs w:val="18"/>
              </w:rPr>
              <w:t>C</w:t>
            </w:r>
          </w:p>
        </w:tc>
        <w:tc>
          <w:tcPr>
            <w:tcW w:w="224" w:type="dxa"/>
            <w:vAlign w:val="top"/>
          </w:tcPr>
          <w:p w14:paraId="7BD3712F">
            <w:pPr>
              <w:pStyle w:val="6"/>
              <w:spacing w:before="46" w:line="143" w:lineRule="exact"/>
              <w:ind w:left="19"/>
              <w:rPr>
                <w:sz w:val="18"/>
                <w:szCs w:val="18"/>
              </w:rPr>
            </w:pPr>
            <w:r>
              <w:rPr>
                <w:position w:val="-2"/>
                <w:sz w:val="18"/>
                <w:szCs w:val="18"/>
              </w:rPr>
              <w:t>D</w:t>
            </w:r>
          </w:p>
        </w:tc>
      </w:tr>
      <w:tr w14:paraId="42929A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757" w:hRule="atLeast"/>
        </w:trPr>
        <w:tc>
          <w:tcPr>
            <w:tcW w:w="743" w:type="dxa"/>
            <w:vAlign w:val="top"/>
          </w:tcPr>
          <w:p w14:paraId="7AB3392B">
            <w:pPr>
              <w:spacing w:line="316" w:lineRule="auto"/>
              <w:rPr>
                <w:rFonts w:ascii="Arial"/>
                <w:sz w:val="21"/>
              </w:rPr>
            </w:pPr>
          </w:p>
          <w:p w14:paraId="4F7317CF">
            <w:pPr>
              <w:spacing w:line="317" w:lineRule="auto"/>
              <w:rPr>
                <w:rFonts w:ascii="Arial"/>
                <w:sz w:val="21"/>
              </w:rPr>
            </w:pPr>
          </w:p>
          <w:p w14:paraId="35888C2B">
            <w:pPr>
              <w:pStyle w:val="6"/>
              <w:spacing w:before="59" w:line="219" w:lineRule="auto"/>
              <w:ind w:left="187" w:right="192"/>
              <w:rPr>
                <w:sz w:val="18"/>
                <w:szCs w:val="18"/>
              </w:rPr>
            </w:pPr>
            <w:r>
              <w:rPr>
                <w:b/>
                <w:bCs/>
                <w:spacing w:val="-6"/>
                <w:sz w:val="18"/>
                <w:szCs w:val="18"/>
              </w:rPr>
              <w:t>通信</w:t>
            </w:r>
            <w:r>
              <w:rPr>
                <w:sz w:val="18"/>
                <w:szCs w:val="18"/>
              </w:rPr>
              <w:t xml:space="preserve"> </w:t>
            </w:r>
            <w:r>
              <w:rPr>
                <w:b/>
                <w:bCs/>
                <w:spacing w:val="-8"/>
                <w:sz w:val="18"/>
                <w:szCs w:val="18"/>
              </w:rPr>
              <w:t>系统</w:t>
            </w:r>
          </w:p>
        </w:tc>
        <w:tc>
          <w:tcPr>
            <w:tcW w:w="2484" w:type="dxa"/>
            <w:vAlign w:val="top"/>
          </w:tcPr>
          <w:p w14:paraId="356C31AD">
            <w:pPr>
              <w:pStyle w:val="6"/>
              <w:spacing w:before="25" w:line="219" w:lineRule="auto"/>
              <w:ind w:left="4"/>
              <w:rPr>
                <w:sz w:val="18"/>
                <w:szCs w:val="18"/>
              </w:rPr>
            </w:pPr>
            <w:r>
              <w:rPr>
                <w:b/>
                <w:bCs/>
                <w:spacing w:val="-2"/>
                <w:sz w:val="18"/>
                <w:szCs w:val="18"/>
              </w:rPr>
              <w:t>1.传输系统</w:t>
            </w:r>
          </w:p>
          <w:p w14:paraId="4005B27D">
            <w:pPr>
              <w:pStyle w:val="6"/>
              <w:spacing w:before="7" w:line="224" w:lineRule="auto"/>
              <w:ind w:left="4" w:right="1215"/>
              <w:rPr>
                <w:sz w:val="18"/>
                <w:szCs w:val="18"/>
              </w:rPr>
            </w:pPr>
            <w:r>
              <w:rPr>
                <w:b/>
                <w:bCs/>
                <w:spacing w:val="-4"/>
                <w:sz w:val="18"/>
                <w:szCs w:val="18"/>
              </w:rPr>
              <w:t>2.公务电话系统</w:t>
            </w:r>
            <w:r>
              <w:rPr>
                <w:spacing w:val="6"/>
                <w:sz w:val="18"/>
                <w:szCs w:val="18"/>
              </w:rPr>
              <w:t xml:space="preserve"> </w:t>
            </w:r>
            <w:r>
              <w:rPr>
                <w:b/>
                <w:bCs/>
                <w:spacing w:val="-4"/>
                <w:sz w:val="18"/>
                <w:szCs w:val="18"/>
              </w:rPr>
              <w:t>3.专用电话系统</w:t>
            </w:r>
            <w:r>
              <w:rPr>
                <w:spacing w:val="5"/>
                <w:sz w:val="18"/>
                <w:szCs w:val="18"/>
              </w:rPr>
              <w:t xml:space="preserve"> </w:t>
            </w:r>
            <w:r>
              <w:rPr>
                <w:b/>
                <w:bCs/>
                <w:spacing w:val="-3"/>
                <w:sz w:val="18"/>
                <w:szCs w:val="18"/>
              </w:rPr>
              <w:t>4.视频监控系统</w:t>
            </w:r>
            <w:r>
              <w:rPr>
                <w:spacing w:val="1"/>
                <w:sz w:val="18"/>
                <w:szCs w:val="18"/>
              </w:rPr>
              <w:t xml:space="preserve"> </w:t>
            </w:r>
            <w:r>
              <w:rPr>
                <w:b/>
                <w:bCs/>
                <w:spacing w:val="-4"/>
                <w:sz w:val="18"/>
                <w:szCs w:val="18"/>
              </w:rPr>
              <w:t>5.广播系统</w:t>
            </w:r>
          </w:p>
          <w:p w14:paraId="0827BCAA">
            <w:pPr>
              <w:pStyle w:val="6"/>
              <w:spacing w:before="26" w:line="210" w:lineRule="auto"/>
              <w:ind w:left="4" w:right="1217"/>
              <w:rPr>
                <w:sz w:val="18"/>
                <w:szCs w:val="18"/>
              </w:rPr>
            </w:pPr>
            <w:r>
              <w:rPr>
                <w:b/>
                <w:bCs/>
                <w:spacing w:val="-3"/>
                <w:sz w:val="18"/>
                <w:szCs w:val="18"/>
              </w:rPr>
              <w:t>6.无线通信系统</w:t>
            </w:r>
            <w:r>
              <w:rPr>
                <w:sz w:val="18"/>
                <w:szCs w:val="18"/>
              </w:rPr>
              <w:t xml:space="preserve"> </w:t>
            </w:r>
            <w:r>
              <w:rPr>
                <w:b/>
                <w:bCs/>
                <w:spacing w:val="-4"/>
                <w:sz w:val="18"/>
                <w:szCs w:val="18"/>
              </w:rPr>
              <w:t>7.时钟系统</w:t>
            </w:r>
          </w:p>
          <w:p w14:paraId="3F1539D4">
            <w:pPr>
              <w:pStyle w:val="6"/>
              <w:spacing w:line="195" w:lineRule="auto"/>
              <w:ind w:left="4"/>
              <w:rPr>
                <w:sz w:val="18"/>
                <w:szCs w:val="18"/>
              </w:rPr>
            </w:pPr>
            <w:r>
              <w:rPr>
                <w:b/>
                <w:bCs/>
                <w:spacing w:val="-3"/>
                <w:sz w:val="18"/>
                <w:szCs w:val="18"/>
              </w:rPr>
              <w:t>8.乘客导乘信息系统</w:t>
            </w:r>
          </w:p>
        </w:tc>
        <w:tc>
          <w:tcPr>
            <w:tcW w:w="230" w:type="dxa"/>
            <w:vAlign w:val="top"/>
          </w:tcPr>
          <w:p w14:paraId="2E53708E">
            <w:pPr>
              <w:rPr>
                <w:rFonts w:ascii="Arial"/>
                <w:sz w:val="21"/>
              </w:rPr>
            </w:pPr>
          </w:p>
        </w:tc>
        <w:tc>
          <w:tcPr>
            <w:tcW w:w="229" w:type="dxa"/>
            <w:vAlign w:val="top"/>
          </w:tcPr>
          <w:p w14:paraId="4A489472">
            <w:pPr>
              <w:rPr>
                <w:rFonts w:ascii="Arial"/>
                <w:sz w:val="21"/>
              </w:rPr>
            </w:pPr>
          </w:p>
        </w:tc>
        <w:tc>
          <w:tcPr>
            <w:tcW w:w="230" w:type="dxa"/>
            <w:vAlign w:val="top"/>
          </w:tcPr>
          <w:p w14:paraId="1C2A6EDF">
            <w:pPr>
              <w:rPr>
                <w:rFonts w:ascii="Arial"/>
                <w:sz w:val="21"/>
              </w:rPr>
            </w:pPr>
          </w:p>
        </w:tc>
        <w:tc>
          <w:tcPr>
            <w:tcW w:w="224" w:type="dxa"/>
            <w:vAlign w:val="top"/>
          </w:tcPr>
          <w:p w14:paraId="53CE36B2">
            <w:pPr>
              <w:rPr>
                <w:rFonts w:ascii="Arial"/>
                <w:sz w:val="21"/>
              </w:rPr>
            </w:pPr>
          </w:p>
        </w:tc>
      </w:tr>
    </w:tbl>
    <w:p w14:paraId="19B96F21">
      <w:pPr>
        <w:spacing w:before="149" w:line="219" w:lineRule="auto"/>
        <w:ind w:left="947"/>
        <w:rPr>
          <w:rFonts w:ascii="宋体" w:hAnsi="宋体" w:eastAsia="宋体" w:cs="宋体"/>
          <w:sz w:val="17"/>
          <w:szCs w:val="17"/>
        </w:rPr>
      </w:pPr>
      <w:r>
        <w:rPr>
          <w:rFonts w:ascii="宋体" w:hAnsi="宋体" w:eastAsia="宋体" w:cs="宋体"/>
          <w:b/>
          <w:bCs/>
          <w:spacing w:val="-6"/>
          <w:sz w:val="17"/>
          <w:szCs w:val="17"/>
        </w:rPr>
        <w:t>第七章</w:t>
      </w:r>
      <w:r>
        <w:rPr>
          <w:rFonts w:ascii="宋体" w:hAnsi="宋体" w:eastAsia="宋体" w:cs="宋体"/>
          <w:spacing w:val="-6"/>
          <w:sz w:val="17"/>
          <w:szCs w:val="17"/>
        </w:rPr>
        <w:t xml:space="preserve"> </w:t>
      </w:r>
      <w:r>
        <w:rPr>
          <w:rFonts w:ascii="宋体" w:hAnsi="宋体" w:eastAsia="宋体" w:cs="宋体"/>
          <w:b/>
          <w:bCs/>
          <w:spacing w:val="-6"/>
          <w:sz w:val="17"/>
          <w:szCs w:val="17"/>
        </w:rPr>
        <w:t>城市轨道交通机电设备</w:t>
      </w:r>
    </w:p>
    <w:p w14:paraId="07AD258D">
      <w:pPr>
        <w:spacing w:line="79" w:lineRule="exact"/>
      </w:pPr>
    </w:p>
    <w:tbl>
      <w:tblPr>
        <w:tblStyle w:val="5"/>
        <w:tblW w:w="4140" w:type="dxa"/>
        <w:tblInd w:w="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33"/>
        <w:gridCol w:w="2484"/>
        <w:gridCol w:w="230"/>
        <w:gridCol w:w="230"/>
        <w:gridCol w:w="229"/>
        <w:gridCol w:w="234"/>
      </w:tblGrid>
      <w:tr w14:paraId="1E06F3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5" w:hRule="atLeast"/>
        </w:trPr>
        <w:tc>
          <w:tcPr>
            <w:tcW w:w="733" w:type="dxa"/>
            <w:vMerge w:val="restart"/>
            <w:tcBorders>
              <w:bottom w:val="nil"/>
            </w:tcBorders>
            <w:vAlign w:val="top"/>
          </w:tcPr>
          <w:p w14:paraId="214372CE">
            <w:pPr>
              <w:pStyle w:val="6"/>
              <w:spacing w:before="31" w:line="207" w:lineRule="auto"/>
              <w:ind w:left="86" w:hanging="69"/>
              <w:rPr>
                <w:sz w:val="18"/>
                <w:szCs w:val="18"/>
              </w:rPr>
            </w:pPr>
            <w:r>
              <w:rPr>
                <w:b/>
                <w:bCs/>
                <w:spacing w:val="-6"/>
                <w:sz w:val="18"/>
                <w:szCs w:val="18"/>
              </w:rPr>
              <w:t>知识与技</w:t>
            </w:r>
            <w:r>
              <w:rPr>
                <w:sz w:val="18"/>
                <w:szCs w:val="18"/>
              </w:rPr>
              <w:t xml:space="preserve"> </w:t>
            </w:r>
            <w:r>
              <w:rPr>
                <w:b/>
                <w:bCs/>
                <w:sz w:val="18"/>
                <w:szCs w:val="18"/>
              </w:rPr>
              <w:t>能要点</w:t>
            </w:r>
          </w:p>
        </w:tc>
        <w:tc>
          <w:tcPr>
            <w:tcW w:w="2484" w:type="dxa"/>
            <w:vMerge w:val="restart"/>
            <w:tcBorders>
              <w:bottom w:val="nil"/>
            </w:tcBorders>
            <w:vAlign w:val="top"/>
          </w:tcPr>
          <w:p w14:paraId="53374B4C">
            <w:pPr>
              <w:pStyle w:val="6"/>
              <w:spacing w:before="129" w:line="219" w:lineRule="auto"/>
              <w:ind w:left="924"/>
              <w:rPr>
                <w:sz w:val="18"/>
                <w:szCs w:val="18"/>
              </w:rPr>
            </w:pPr>
            <w:r>
              <w:rPr>
                <w:b/>
                <w:bCs/>
                <w:spacing w:val="5"/>
                <w:sz w:val="18"/>
                <w:szCs w:val="18"/>
              </w:rPr>
              <w:t>考试条目</w:t>
            </w:r>
          </w:p>
        </w:tc>
        <w:tc>
          <w:tcPr>
            <w:tcW w:w="923" w:type="dxa"/>
            <w:gridSpan w:val="4"/>
            <w:vAlign w:val="top"/>
          </w:tcPr>
          <w:p w14:paraId="28A6A205">
            <w:pPr>
              <w:pStyle w:val="6"/>
              <w:spacing w:before="20" w:line="200" w:lineRule="auto"/>
              <w:ind w:left="130"/>
              <w:rPr>
                <w:sz w:val="18"/>
                <w:szCs w:val="18"/>
              </w:rPr>
            </w:pPr>
            <w:r>
              <w:rPr>
                <w:b/>
                <w:bCs/>
                <w:spacing w:val="-4"/>
                <w:sz w:val="18"/>
                <w:szCs w:val="18"/>
              </w:rPr>
              <w:t>考试水平</w:t>
            </w:r>
          </w:p>
        </w:tc>
      </w:tr>
      <w:tr w14:paraId="718FC8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0" w:hRule="atLeast"/>
        </w:trPr>
        <w:tc>
          <w:tcPr>
            <w:tcW w:w="733" w:type="dxa"/>
            <w:vMerge w:val="continue"/>
            <w:tcBorders>
              <w:top w:val="nil"/>
            </w:tcBorders>
            <w:vAlign w:val="top"/>
          </w:tcPr>
          <w:p w14:paraId="34B27372">
            <w:pPr>
              <w:rPr>
                <w:rFonts w:ascii="Arial"/>
                <w:sz w:val="21"/>
              </w:rPr>
            </w:pPr>
          </w:p>
        </w:tc>
        <w:tc>
          <w:tcPr>
            <w:tcW w:w="2484" w:type="dxa"/>
            <w:vMerge w:val="continue"/>
            <w:tcBorders>
              <w:top w:val="nil"/>
            </w:tcBorders>
            <w:vAlign w:val="top"/>
          </w:tcPr>
          <w:p w14:paraId="25C3E251">
            <w:pPr>
              <w:rPr>
                <w:rFonts w:ascii="Arial"/>
                <w:sz w:val="21"/>
              </w:rPr>
            </w:pPr>
          </w:p>
        </w:tc>
        <w:tc>
          <w:tcPr>
            <w:tcW w:w="230" w:type="dxa"/>
            <w:vAlign w:val="top"/>
          </w:tcPr>
          <w:p w14:paraId="019C93F2">
            <w:pPr>
              <w:pStyle w:val="6"/>
              <w:spacing w:before="62" w:line="138" w:lineRule="exact"/>
              <w:ind w:left="50"/>
              <w:rPr>
                <w:sz w:val="18"/>
                <w:szCs w:val="18"/>
              </w:rPr>
            </w:pPr>
            <w:r>
              <w:rPr>
                <w:b/>
                <w:bCs/>
                <w:spacing w:val="-2"/>
                <w:position w:val="-2"/>
                <w:sz w:val="18"/>
                <w:szCs w:val="18"/>
              </w:rPr>
              <w:t>A</w:t>
            </w:r>
          </w:p>
        </w:tc>
        <w:tc>
          <w:tcPr>
            <w:tcW w:w="230" w:type="dxa"/>
            <w:vAlign w:val="top"/>
          </w:tcPr>
          <w:p w14:paraId="72A69469">
            <w:pPr>
              <w:pStyle w:val="6"/>
              <w:spacing w:before="65" w:line="135" w:lineRule="exact"/>
              <w:ind w:left="20"/>
              <w:rPr>
                <w:sz w:val="18"/>
                <w:szCs w:val="18"/>
              </w:rPr>
            </w:pPr>
            <w:r>
              <w:rPr>
                <w:b/>
                <w:bCs/>
                <w:spacing w:val="-2"/>
                <w:position w:val="-2"/>
                <w:sz w:val="18"/>
                <w:szCs w:val="18"/>
              </w:rPr>
              <w:t>B</w:t>
            </w:r>
          </w:p>
        </w:tc>
        <w:tc>
          <w:tcPr>
            <w:tcW w:w="229" w:type="dxa"/>
            <w:vAlign w:val="top"/>
          </w:tcPr>
          <w:p w14:paraId="7F21A84E">
            <w:pPr>
              <w:pStyle w:val="6"/>
              <w:spacing w:before="63" w:line="136" w:lineRule="exact"/>
              <w:ind w:left="17"/>
              <w:rPr>
                <w:sz w:val="18"/>
                <w:szCs w:val="18"/>
              </w:rPr>
            </w:pPr>
            <w:r>
              <w:rPr>
                <w:position w:val="-2"/>
                <w:sz w:val="18"/>
                <w:szCs w:val="18"/>
              </w:rPr>
              <w:t>C</w:t>
            </w:r>
          </w:p>
        </w:tc>
        <w:tc>
          <w:tcPr>
            <w:tcW w:w="234" w:type="dxa"/>
            <w:vAlign w:val="top"/>
          </w:tcPr>
          <w:p w14:paraId="34D4B633">
            <w:pPr>
              <w:pStyle w:val="6"/>
              <w:spacing w:before="65" w:line="135" w:lineRule="exact"/>
              <w:ind w:left="19"/>
              <w:rPr>
                <w:sz w:val="18"/>
                <w:szCs w:val="18"/>
              </w:rPr>
            </w:pPr>
            <w:r>
              <w:rPr>
                <w:position w:val="-2"/>
                <w:sz w:val="18"/>
                <w:szCs w:val="18"/>
              </w:rPr>
              <w:t>D</w:t>
            </w:r>
          </w:p>
        </w:tc>
      </w:tr>
      <w:tr w14:paraId="745778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9" w:hRule="atLeast"/>
        </w:trPr>
        <w:tc>
          <w:tcPr>
            <w:tcW w:w="733" w:type="dxa"/>
            <w:vAlign w:val="top"/>
          </w:tcPr>
          <w:p w14:paraId="37740BEF">
            <w:pPr>
              <w:pStyle w:val="6"/>
              <w:spacing w:before="28" w:line="192" w:lineRule="auto"/>
              <w:ind w:left="125" w:hanging="110"/>
            </w:pPr>
            <w:r>
              <w:rPr>
                <w:spacing w:val="-4"/>
                <w:sz w:val="18"/>
                <w:szCs w:val="18"/>
              </w:rPr>
              <w:t>自动售检</w:t>
            </w:r>
            <w:r>
              <w:rPr>
                <w:spacing w:val="2"/>
                <w:sz w:val="18"/>
                <w:szCs w:val="18"/>
              </w:rPr>
              <w:t xml:space="preserve"> </w:t>
            </w:r>
            <w:r>
              <w:rPr>
                <w:spacing w:val="12"/>
              </w:rPr>
              <w:t>票系统</w:t>
            </w:r>
            <w:r>
              <w:t xml:space="preserve"> </w:t>
            </w:r>
            <w:r>
              <w:rPr>
                <w:spacing w:val="-5"/>
              </w:rPr>
              <w:t>(AFC)</w:t>
            </w:r>
          </w:p>
        </w:tc>
        <w:tc>
          <w:tcPr>
            <w:tcW w:w="2484" w:type="dxa"/>
            <w:vAlign w:val="top"/>
          </w:tcPr>
          <w:p w14:paraId="3B62E7D1">
            <w:pPr>
              <w:pStyle w:val="6"/>
              <w:spacing w:before="98" w:line="206" w:lineRule="auto"/>
              <w:ind w:left="12" w:right="1283"/>
              <w:rPr>
                <w:sz w:val="18"/>
                <w:szCs w:val="18"/>
              </w:rPr>
            </w:pPr>
            <w:r>
              <w:rPr>
                <w:spacing w:val="1"/>
                <w:sz w:val="18"/>
                <w:szCs w:val="18"/>
              </w:rPr>
              <w:t>1.</w:t>
            </w:r>
            <w:r>
              <w:rPr>
                <w:sz w:val="18"/>
                <w:szCs w:val="18"/>
              </w:rPr>
              <w:t>AFC</w:t>
            </w:r>
            <w:r>
              <w:rPr>
                <w:spacing w:val="1"/>
                <w:sz w:val="18"/>
                <w:szCs w:val="18"/>
              </w:rPr>
              <w:t xml:space="preserve">系统组成 </w:t>
            </w:r>
            <w:r>
              <w:rPr>
                <w:spacing w:val="-2"/>
                <w:sz w:val="18"/>
                <w:szCs w:val="18"/>
              </w:rPr>
              <w:t>2.设备简介</w:t>
            </w:r>
          </w:p>
        </w:tc>
        <w:tc>
          <w:tcPr>
            <w:tcW w:w="230" w:type="dxa"/>
            <w:vAlign w:val="top"/>
          </w:tcPr>
          <w:p w14:paraId="7B58541A">
            <w:pPr>
              <w:rPr>
                <w:rFonts w:ascii="Arial"/>
                <w:sz w:val="21"/>
              </w:rPr>
            </w:pPr>
          </w:p>
        </w:tc>
        <w:tc>
          <w:tcPr>
            <w:tcW w:w="230" w:type="dxa"/>
            <w:vAlign w:val="top"/>
          </w:tcPr>
          <w:p w14:paraId="38E6F177">
            <w:pPr>
              <w:rPr>
                <w:rFonts w:ascii="Arial"/>
                <w:sz w:val="21"/>
              </w:rPr>
            </w:pPr>
          </w:p>
        </w:tc>
        <w:tc>
          <w:tcPr>
            <w:tcW w:w="229" w:type="dxa"/>
            <w:vAlign w:val="top"/>
          </w:tcPr>
          <w:p w14:paraId="55ABC1FA">
            <w:pPr>
              <w:rPr>
                <w:rFonts w:ascii="Arial"/>
                <w:sz w:val="21"/>
              </w:rPr>
            </w:pPr>
          </w:p>
        </w:tc>
        <w:tc>
          <w:tcPr>
            <w:tcW w:w="234" w:type="dxa"/>
            <w:vAlign w:val="top"/>
          </w:tcPr>
          <w:p w14:paraId="1BE39862">
            <w:pPr>
              <w:rPr>
                <w:rFonts w:ascii="Arial"/>
                <w:sz w:val="21"/>
              </w:rPr>
            </w:pPr>
          </w:p>
        </w:tc>
      </w:tr>
      <w:tr w14:paraId="3B98CB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0" w:hRule="atLeast"/>
        </w:trPr>
        <w:tc>
          <w:tcPr>
            <w:tcW w:w="733" w:type="dxa"/>
            <w:vAlign w:val="top"/>
          </w:tcPr>
          <w:p w14:paraId="14C0ABDB">
            <w:pPr>
              <w:pStyle w:val="6"/>
              <w:spacing w:before="38" w:line="196" w:lineRule="auto"/>
              <w:ind w:left="84"/>
              <w:rPr>
                <w:sz w:val="18"/>
                <w:szCs w:val="18"/>
              </w:rPr>
            </w:pPr>
            <w:r>
              <w:rPr>
                <w:spacing w:val="3"/>
                <w:sz w:val="18"/>
                <w:szCs w:val="18"/>
              </w:rPr>
              <w:t>电扶梯</w:t>
            </w:r>
          </w:p>
          <w:p w14:paraId="6C550B60">
            <w:pPr>
              <w:pStyle w:val="6"/>
              <w:spacing w:line="195" w:lineRule="auto"/>
              <w:ind w:left="175"/>
              <w:rPr>
                <w:sz w:val="18"/>
                <w:szCs w:val="18"/>
              </w:rPr>
            </w:pPr>
            <w:r>
              <w:rPr>
                <w:spacing w:val="-3"/>
                <w:sz w:val="18"/>
                <w:szCs w:val="18"/>
              </w:rPr>
              <w:t>系统</w:t>
            </w:r>
          </w:p>
        </w:tc>
        <w:tc>
          <w:tcPr>
            <w:tcW w:w="2484" w:type="dxa"/>
            <w:vAlign w:val="top"/>
          </w:tcPr>
          <w:p w14:paraId="6E781715">
            <w:pPr>
              <w:pStyle w:val="6"/>
              <w:spacing w:before="18" w:line="206" w:lineRule="auto"/>
              <w:ind w:left="12" w:right="1552"/>
              <w:rPr>
                <w:sz w:val="18"/>
                <w:szCs w:val="18"/>
              </w:rPr>
            </w:pPr>
            <w:r>
              <w:rPr>
                <w:spacing w:val="1"/>
                <w:sz w:val="18"/>
                <w:szCs w:val="18"/>
              </w:rPr>
              <w:t>1.垂直电梯</w:t>
            </w:r>
            <w:r>
              <w:rPr>
                <w:spacing w:val="2"/>
                <w:sz w:val="18"/>
                <w:szCs w:val="18"/>
              </w:rPr>
              <w:t xml:space="preserve"> </w:t>
            </w:r>
            <w:r>
              <w:rPr>
                <w:spacing w:val="-7"/>
                <w:sz w:val="18"/>
                <w:szCs w:val="18"/>
              </w:rPr>
              <w:t>2.</w:t>
            </w:r>
            <w:r>
              <w:rPr>
                <w:spacing w:val="-50"/>
                <w:sz w:val="18"/>
                <w:szCs w:val="18"/>
              </w:rPr>
              <w:t xml:space="preserve"> </w:t>
            </w:r>
            <w:r>
              <w:rPr>
                <w:spacing w:val="-7"/>
                <w:sz w:val="18"/>
                <w:szCs w:val="18"/>
              </w:rPr>
              <w:t>自动扶梯</w:t>
            </w:r>
          </w:p>
        </w:tc>
        <w:tc>
          <w:tcPr>
            <w:tcW w:w="230" w:type="dxa"/>
            <w:vAlign w:val="top"/>
          </w:tcPr>
          <w:p w14:paraId="23DF48EE">
            <w:pPr>
              <w:rPr>
                <w:rFonts w:ascii="Arial"/>
                <w:sz w:val="21"/>
              </w:rPr>
            </w:pPr>
          </w:p>
        </w:tc>
        <w:tc>
          <w:tcPr>
            <w:tcW w:w="230" w:type="dxa"/>
            <w:vAlign w:val="top"/>
          </w:tcPr>
          <w:p w14:paraId="760A9F0E">
            <w:pPr>
              <w:rPr>
                <w:rFonts w:ascii="Arial"/>
                <w:sz w:val="21"/>
              </w:rPr>
            </w:pPr>
          </w:p>
        </w:tc>
        <w:tc>
          <w:tcPr>
            <w:tcW w:w="229" w:type="dxa"/>
            <w:vAlign w:val="top"/>
          </w:tcPr>
          <w:p w14:paraId="1520B960">
            <w:pPr>
              <w:rPr>
                <w:rFonts w:ascii="Arial"/>
                <w:sz w:val="21"/>
              </w:rPr>
            </w:pPr>
          </w:p>
        </w:tc>
        <w:tc>
          <w:tcPr>
            <w:tcW w:w="234" w:type="dxa"/>
            <w:vAlign w:val="top"/>
          </w:tcPr>
          <w:p w14:paraId="1EB6EB26">
            <w:pPr>
              <w:rPr>
                <w:rFonts w:ascii="Arial"/>
                <w:sz w:val="21"/>
              </w:rPr>
            </w:pPr>
          </w:p>
        </w:tc>
      </w:tr>
      <w:tr w14:paraId="4B7E4F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59" w:hRule="atLeast"/>
        </w:trPr>
        <w:tc>
          <w:tcPr>
            <w:tcW w:w="733" w:type="dxa"/>
            <w:vAlign w:val="top"/>
          </w:tcPr>
          <w:p w14:paraId="679E1B8C">
            <w:pPr>
              <w:pStyle w:val="6"/>
              <w:spacing w:before="160" w:line="215" w:lineRule="auto"/>
              <w:ind w:left="84"/>
              <w:rPr>
                <w:sz w:val="18"/>
                <w:szCs w:val="18"/>
              </w:rPr>
            </w:pPr>
            <w:r>
              <w:rPr>
                <w:spacing w:val="6"/>
                <w:sz w:val="18"/>
                <w:szCs w:val="18"/>
              </w:rPr>
              <w:t>站台门</w:t>
            </w:r>
          </w:p>
          <w:p w14:paraId="23698829">
            <w:pPr>
              <w:pStyle w:val="6"/>
              <w:spacing w:line="220" w:lineRule="auto"/>
              <w:ind w:left="175"/>
              <w:rPr>
                <w:sz w:val="18"/>
                <w:szCs w:val="18"/>
              </w:rPr>
            </w:pPr>
            <w:r>
              <w:rPr>
                <w:spacing w:val="-3"/>
                <w:sz w:val="18"/>
                <w:szCs w:val="18"/>
              </w:rPr>
              <w:t>系统</w:t>
            </w:r>
          </w:p>
        </w:tc>
        <w:tc>
          <w:tcPr>
            <w:tcW w:w="2484" w:type="dxa"/>
            <w:vAlign w:val="top"/>
          </w:tcPr>
          <w:p w14:paraId="092B2A1B">
            <w:pPr>
              <w:pStyle w:val="6"/>
              <w:spacing w:before="58" w:line="205" w:lineRule="auto"/>
              <w:ind w:left="12" w:right="1914"/>
              <w:rPr>
                <w:sz w:val="18"/>
                <w:szCs w:val="18"/>
              </w:rPr>
            </w:pPr>
            <w:r>
              <w:rPr>
                <w:spacing w:val="1"/>
                <w:sz w:val="18"/>
                <w:szCs w:val="18"/>
              </w:rPr>
              <w:t>1.分类</w:t>
            </w:r>
            <w:r>
              <w:rPr>
                <w:spacing w:val="2"/>
                <w:sz w:val="18"/>
                <w:szCs w:val="18"/>
              </w:rPr>
              <w:t xml:space="preserve"> </w:t>
            </w:r>
            <w:r>
              <w:rPr>
                <w:spacing w:val="-2"/>
                <w:sz w:val="18"/>
                <w:szCs w:val="18"/>
              </w:rPr>
              <w:t>2.组成</w:t>
            </w:r>
          </w:p>
          <w:p w14:paraId="1FA6AC2E">
            <w:pPr>
              <w:pStyle w:val="6"/>
              <w:spacing w:line="195" w:lineRule="auto"/>
              <w:ind w:left="12"/>
              <w:rPr>
                <w:sz w:val="18"/>
                <w:szCs w:val="18"/>
              </w:rPr>
            </w:pPr>
            <w:r>
              <w:rPr>
                <w:spacing w:val="-2"/>
                <w:sz w:val="18"/>
                <w:szCs w:val="18"/>
              </w:rPr>
              <w:t>3.工作模式</w:t>
            </w:r>
          </w:p>
        </w:tc>
        <w:tc>
          <w:tcPr>
            <w:tcW w:w="230" w:type="dxa"/>
            <w:vAlign w:val="top"/>
          </w:tcPr>
          <w:p w14:paraId="125B36C8">
            <w:pPr>
              <w:rPr>
                <w:rFonts w:ascii="Arial"/>
                <w:sz w:val="21"/>
              </w:rPr>
            </w:pPr>
          </w:p>
        </w:tc>
        <w:tc>
          <w:tcPr>
            <w:tcW w:w="230" w:type="dxa"/>
            <w:vAlign w:val="top"/>
          </w:tcPr>
          <w:p w14:paraId="3DA995DB">
            <w:pPr>
              <w:rPr>
                <w:rFonts w:ascii="Arial"/>
                <w:sz w:val="21"/>
              </w:rPr>
            </w:pPr>
          </w:p>
        </w:tc>
        <w:tc>
          <w:tcPr>
            <w:tcW w:w="229" w:type="dxa"/>
            <w:vAlign w:val="top"/>
          </w:tcPr>
          <w:p w14:paraId="4EA462A5">
            <w:pPr>
              <w:rPr>
                <w:rFonts w:ascii="Arial"/>
                <w:sz w:val="21"/>
              </w:rPr>
            </w:pPr>
          </w:p>
        </w:tc>
        <w:tc>
          <w:tcPr>
            <w:tcW w:w="234" w:type="dxa"/>
            <w:vAlign w:val="top"/>
          </w:tcPr>
          <w:p w14:paraId="6D1A2832">
            <w:pPr>
              <w:rPr>
                <w:rFonts w:ascii="Arial"/>
                <w:sz w:val="21"/>
              </w:rPr>
            </w:pPr>
          </w:p>
        </w:tc>
      </w:tr>
      <w:tr w14:paraId="73442F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9" w:hRule="atLeast"/>
        </w:trPr>
        <w:tc>
          <w:tcPr>
            <w:tcW w:w="733" w:type="dxa"/>
            <w:vAlign w:val="top"/>
          </w:tcPr>
          <w:p w14:paraId="7C899A88">
            <w:pPr>
              <w:pStyle w:val="6"/>
              <w:spacing w:before="28" w:line="192" w:lineRule="auto"/>
              <w:ind w:left="84" w:right="90"/>
              <w:jc w:val="both"/>
            </w:pPr>
            <w:r>
              <w:rPr>
                <w:spacing w:val="-3"/>
                <w:sz w:val="18"/>
                <w:szCs w:val="18"/>
              </w:rPr>
              <w:t>乘客信</w:t>
            </w:r>
            <w:r>
              <w:rPr>
                <w:sz w:val="18"/>
                <w:szCs w:val="18"/>
              </w:rPr>
              <w:t xml:space="preserve"> </w:t>
            </w:r>
            <w:r>
              <w:rPr>
                <w:spacing w:val="12"/>
              </w:rPr>
              <w:t>息系统</w:t>
            </w:r>
            <w:r>
              <w:rPr>
                <w:spacing w:val="1"/>
              </w:rPr>
              <w:t xml:space="preserve"> </w:t>
            </w:r>
            <w:r>
              <w:rPr>
                <w:spacing w:val="6"/>
              </w:rPr>
              <w:t>(</w:t>
            </w:r>
            <w:r>
              <w:t>PIS</w:t>
            </w:r>
            <w:r>
              <w:rPr>
                <w:spacing w:val="6"/>
              </w:rPr>
              <w:t>)</w:t>
            </w:r>
          </w:p>
        </w:tc>
        <w:tc>
          <w:tcPr>
            <w:tcW w:w="2484" w:type="dxa"/>
            <w:vAlign w:val="top"/>
          </w:tcPr>
          <w:p w14:paraId="533CA41B">
            <w:pPr>
              <w:pStyle w:val="6"/>
              <w:spacing w:before="130" w:line="208" w:lineRule="auto"/>
              <w:ind w:left="12" w:right="1552"/>
              <w:rPr>
                <w:sz w:val="18"/>
                <w:szCs w:val="18"/>
              </w:rPr>
            </w:pPr>
            <w:r>
              <w:rPr>
                <w:spacing w:val="1"/>
                <w:sz w:val="18"/>
                <w:szCs w:val="18"/>
              </w:rPr>
              <w:t>1.系统功能</w:t>
            </w:r>
            <w:r>
              <w:rPr>
                <w:spacing w:val="2"/>
                <w:sz w:val="18"/>
                <w:szCs w:val="18"/>
              </w:rPr>
              <w:t xml:space="preserve"> </w:t>
            </w:r>
            <w:r>
              <w:rPr>
                <w:spacing w:val="-2"/>
                <w:sz w:val="18"/>
                <w:szCs w:val="18"/>
              </w:rPr>
              <w:t>2.系统组成</w:t>
            </w:r>
          </w:p>
        </w:tc>
        <w:tc>
          <w:tcPr>
            <w:tcW w:w="230" w:type="dxa"/>
            <w:vAlign w:val="top"/>
          </w:tcPr>
          <w:p w14:paraId="625B3F28">
            <w:pPr>
              <w:rPr>
                <w:rFonts w:ascii="Arial"/>
                <w:sz w:val="21"/>
              </w:rPr>
            </w:pPr>
          </w:p>
        </w:tc>
        <w:tc>
          <w:tcPr>
            <w:tcW w:w="230" w:type="dxa"/>
            <w:vAlign w:val="top"/>
          </w:tcPr>
          <w:p w14:paraId="070B1DFA">
            <w:pPr>
              <w:rPr>
                <w:rFonts w:ascii="Arial"/>
                <w:sz w:val="21"/>
              </w:rPr>
            </w:pPr>
          </w:p>
        </w:tc>
        <w:tc>
          <w:tcPr>
            <w:tcW w:w="229" w:type="dxa"/>
            <w:vAlign w:val="top"/>
          </w:tcPr>
          <w:p w14:paraId="4182DA75">
            <w:pPr>
              <w:rPr>
                <w:rFonts w:ascii="Arial"/>
                <w:sz w:val="21"/>
              </w:rPr>
            </w:pPr>
          </w:p>
        </w:tc>
        <w:tc>
          <w:tcPr>
            <w:tcW w:w="234" w:type="dxa"/>
            <w:vAlign w:val="top"/>
          </w:tcPr>
          <w:p w14:paraId="4C257366">
            <w:pPr>
              <w:rPr>
                <w:rFonts w:ascii="Arial"/>
                <w:sz w:val="21"/>
              </w:rPr>
            </w:pPr>
          </w:p>
        </w:tc>
      </w:tr>
      <w:tr w14:paraId="1AEBAE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0" w:hRule="atLeast"/>
        </w:trPr>
        <w:tc>
          <w:tcPr>
            <w:tcW w:w="733" w:type="dxa"/>
            <w:vAlign w:val="top"/>
          </w:tcPr>
          <w:p w14:paraId="3156EE83">
            <w:pPr>
              <w:pStyle w:val="6"/>
              <w:spacing w:before="20" w:line="205" w:lineRule="auto"/>
              <w:ind w:left="84" w:right="105"/>
              <w:rPr>
                <w:sz w:val="18"/>
                <w:szCs w:val="18"/>
              </w:rPr>
            </w:pPr>
            <w:r>
              <w:rPr>
                <w:spacing w:val="-3"/>
                <w:sz w:val="18"/>
                <w:szCs w:val="18"/>
              </w:rPr>
              <w:t>环境控</w:t>
            </w:r>
            <w:r>
              <w:rPr>
                <w:sz w:val="18"/>
                <w:szCs w:val="18"/>
              </w:rPr>
              <w:t xml:space="preserve"> </w:t>
            </w:r>
            <w:r>
              <w:rPr>
                <w:spacing w:val="-3"/>
                <w:sz w:val="18"/>
                <w:szCs w:val="18"/>
              </w:rPr>
              <w:t>制系统</w:t>
            </w:r>
          </w:p>
        </w:tc>
        <w:tc>
          <w:tcPr>
            <w:tcW w:w="2484" w:type="dxa"/>
            <w:vAlign w:val="top"/>
          </w:tcPr>
          <w:p w14:paraId="26D802AF">
            <w:pPr>
              <w:pStyle w:val="6"/>
              <w:spacing w:before="41" w:line="194" w:lineRule="auto"/>
              <w:ind w:left="12" w:right="1193"/>
              <w:rPr>
                <w:sz w:val="18"/>
                <w:szCs w:val="18"/>
              </w:rPr>
            </w:pPr>
            <w:r>
              <w:rPr>
                <w:spacing w:val="1"/>
                <w:sz w:val="18"/>
                <w:szCs w:val="18"/>
              </w:rPr>
              <w:t>1.环控系统组成</w:t>
            </w:r>
            <w:r>
              <w:rPr>
                <w:sz w:val="18"/>
                <w:szCs w:val="18"/>
              </w:rPr>
              <w:t xml:space="preserve"> </w:t>
            </w:r>
            <w:r>
              <w:rPr>
                <w:spacing w:val="-2"/>
                <w:sz w:val="18"/>
                <w:szCs w:val="18"/>
              </w:rPr>
              <w:t>2.分类</w:t>
            </w:r>
          </w:p>
        </w:tc>
        <w:tc>
          <w:tcPr>
            <w:tcW w:w="230" w:type="dxa"/>
            <w:vAlign w:val="top"/>
          </w:tcPr>
          <w:p w14:paraId="778C49B2">
            <w:pPr>
              <w:rPr>
                <w:rFonts w:ascii="Arial"/>
                <w:sz w:val="21"/>
              </w:rPr>
            </w:pPr>
          </w:p>
        </w:tc>
        <w:tc>
          <w:tcPr>
            <w:tcW w:w="230" w:type="dxa"/>
            <w:vAlign w:val="top"/>
          </w:tcPr>
          <w:p w14:paraId="3C77F47E">
            <w:pPr>
              <w:rPr>
                <w:rFonts w:ascii="Arial"/>
                <w:sz w:val="21"/>
              </w:rPr>
            </w:pPr>
          </w:p>
        </w:tc>
        <w:tc>
          <w:tcPr>
            <w:tcW w:w="229" w:type="dxa"/>
            <w:vAlign w:val="top"/>
          </w:tcPr>
          <w:p w14:paraId="0D999C3A">
            <w:pPr>
              <w:rPr>
                <w:rFonts w:ascii="Arial"/>
                <w:sz w:val="21"/>
              </w:rPr>
            </w:pPr>
          </w:p>
        </w:tc>
        <w:tc>
          <w:tcPr>
            <w:tcW w:w="234" w:type="dxa"/>
            <w:vAlign w:val="top"/>
          </w:tcPr>
          <w:p w14:paraId="3B1EFDA4">
            <w:pPr>
              <w:rPr>
                <w:rFonts w:ascii="Arial"/>
                <w:sz w:val="21"/>
              </w:rPr>
            </w:pPr>
          </w:p>
        </w:tc>
      </w:tr>
      <w:tr w14:paraId="387F36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9" w:hRule="atLeast"/>
        </w:trPr>
        <w:tc>
          <w:tcPr>
            <w:tcW w:w="733" w:type="dxa"/>
            <w:vAlign w:val="top"/>
          </w:tcPr>
          <w:p w14:paraId="4042F664">
            <w:pPr>
              <w:pStyle w:val="6"/>
              <w:spacing w:before="99" w:line="219" w:lineRule="auto"/>
              <w:ind w:left="84" w:right="107"/>
              <w:jc w:val="both"/>
              <w:rPr>
                <w:sz w:val="18"/>
                <w:szCs w:val="18"/>
              </w:rPr>
            </w:pPr>
            <w:r>
              <w:rPr>
                <w:spacing w:val="-4"/>
                <w:sz w:val="18"/>
                <w:szCs w:val="18"/>
              </w:rPr>
              <w:t>消防报</w:t>
            </w:r>
            <w:r>
              <w:rPr>
                <w:sz w:val="18"/>
                <w:szCs w:val="18"/>
              </w:rPr>
              <w:t xml:space="preserve"> </w:t>
            </w:r>
            <w:r>
              <w:rPr>
                <w:spacing w:val="-4"/>
                <w:sz w:val="18"/>
                <w:szCs w:val="18"/>
              </w:rPr>
              <w:t>警系统</w:t>
            </w:r>
            <w:r>
              <w:rPr>
                <w:spacing w:val="1"/>
                <w:sz w:val="18"/>
                <w:szCs w:val="18"/>
              </w:rPr>
              <w:t xml:space="preserve"> </w:t>
            </w:r>
            <w:r>
              <w:rPr>
                <w:spacing w:val="5"/>
                <w:sz w:val="18"/>
                <w:szCs w:val="18"/>
              </w:rPr>
              <w:t>(</w:t>
            </w:r>
            <w:r>
              <w:rPr>
                <w:sz w:val="18"/>
                <w:szCs w:val="18"/>
              </w:rPr>
              <w:t>FAS</w:t>
            </w:r>
            <w:r>
              <w:rPr>
                <w:spacing w:val="5"/>
                <w:sz w:val="18"/>
                <w:szCs w:val="18"/>
              </w:rPr>
              <w:t>)</w:t>
            </w:r>
          </w:p>
        </w:tc>
        <w:tc>
          <w:tcPr>
            <w:tcW w:w="2484" w:type="dxa"/>
            <w:vAlign w:val="top"/>
          </w:tcPr>
          <w:p w14:paraId="226A0645">
            <w:pPr>
              <w:pStyle w:val="6"/>
              <w:spacing w:before="211" w:line="221" w:lineRule="auto"/>
              <w:ind w:left="12"/>
              <w:rPr>
                <w:sz w:val="18"/>
                <w:szCs w:val="18"/>
              </w:rPr>
            </w:pPr>
            <w:r>
              <w:rPr>
                <w:spacing w:val="2"/>
                <w:sz w:val="18"/>
                <w:szCs w:val="18"/>
              </w:rPr>
              <w:t>1.</w:t>
            </w:r>
            <w:r>
              <w:rPr>
                <w:sz w:val="18"/>
                <w:szCs w:val="18"/>
              </w:rPr>
              <w:t>FAS</w:t>
            </w:r>
            <w:r>
              <w:rPr>
                <w:spacing w:val="2"/>
                <w:sz w:val="18"/>
                <w:szCs w:val="18"/>
              </w:rPr>
              <w:t>组成</w:t>
            </w:r>
          </w:p>
          <w:p w14:paraId="3B5F0B23">
            <w:pPr>
              <w:pStyle w:val="6"/>
              <w:spacing w:before="4" w:line="220" w:lineRule="auto"/>
              <w:ind w:left="12"/>
              <w:rPr>
                <w:sz w:val="18"/>
                <w:szCs w:val="18"/>
              </w:rPr>
            </w:pPr>
            <w:r>
              <w:rPr>
                <w:spacing w:val="2"/>
                <w:sz w:val="18"/>
                <w:szCs w:val="18"/>
              </w:rPr>
              <w:t>2.</w:t>
            </w:r>
            <w:r>
              <w:rPr>
                <w:sz w:val="18"/>
                <w:szCs w:val="18"/>
              </w:rPr>
              <w:t>FAS</w:t>
            </w:r>
            <w:r>
              <w:rPr>
                <w:spacing w:val="2"/>
                <w:sz w:val="18"/>
                <w:szCs w:val="18"/>
              </w:rPr>
              <w:t>与</w:t>
            </w:r>
            <w:r>
              <w:rPr>
                <w:sz w:val="18"/>
                <w:szCs w:val="18"/>
              </w:rPr>
              <w:t>BAS</w:t>
            </w:r>
            <w:r>
              <w:rPr>
                <w:spacing w:val="2"/>
                <w:sz w:val="18"/>
                <w:szCs w:val="18"/>
              </w:rPr>
              <w:t>联动</w:t>
            </w:r>
          </w:p>
        </w:tc>
        <w:tc>
          <w:tcPr>
            <w:tcW w:w="230" w:type="dxa"/>
            <w:vAlign w:val="top"/>
          </w:tcPr>
          <w:p w14:paraId="2C8DDEC1">
            <w:pPr>
              <w:rPr>
                <w:rFonts w:ascii="Arial"/>
                <w:sz w:val="21"/>
              </w:rPr>
            </w:pPr>
          </w:p>
        </w:tc>
        <w:tc>
          <w:tcPr>
            <w:tcW w:w="230" w:type="dxa"/>
            <w:vAlign w:val="top"/>
          </w:tcPr>
          <w:p w14:paraId="647A1DF9">
            <w:pPr>
              <w:rPr>
                <w:rFonts w:ascii="Arial"/>
                <w:sz w:val="21"/>
              </w:rPr>
            </w:pPr>
          </w:p>
        </w:tc>
        <w:tc>
          <w:tcPr>
            <w:tcW w:w="229" w:type="dxa"/>
            <w:vAlign w:val="top"/>
          </w:tcPr>
          <w:p w14:paraId="23FD694E">
            <w:pPr>
              <w:rPr>
                <w:rFonts w:ascii="Arial"/>
                <w:sz w:val="21"/>
              </w:rPr>
            </w:pPr>
          </w:p>
        </w:tc>
        <w:tc>
          <w:tcPr>
            <w:tcW w:w="234" w:type="dxa"/>
            <w:vAlign w:val="top"/>
          </w:tcPr>
          <w:p w14:paraId="000898E1">
            <w:pPr>
              <w:rPr>
                <w:rFonts w:ascii="Arial"/>
                <w:sz w:val="21"/>
              </w:rPr>
            </w:pPr>
          </w:p>
        </w:tc>
      </w:tr>
      <w:tr w14:paraId="3691AB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54" w:hRule="atLeast"/>
        </w:trPr>
        <w:tc>
          <w:tcPr>
            <w:tcW w:w="733" w:type="dxa"/>
            <w:tcBorders>
              <w:bottom w:val="single" w:color="000000" w:sz="2" w:space="0"/>
            </w:tcBorders>
            <w:vAlign w:val="top"/>
          </w:tcPr>
          <w:p w14:paraId="3A664F67">
            <w:pPr>
              <w:pStyle w:val="6"/>
              <w:spacing w:before="41" w:line="206" w:lineRule="auto"/>
              <w:ind w:left="84" w:right="83"/>
              <w:jc w:val="both"/>
              <w:rPr>
                <w:sz w:val="18"/>
                <w:szCs w:val="18"/>
              </w:rPr>
            </w:pPr>
            <w:r>
              <w:rPr>
                <w:spacing w:val="-3"/>
                <w:sz w:val="18"/>
                <w:szCs w:val="18"/>
              </w:rPr>
              <w:t>低压配</w:t>
            </w:r>
            <w:r>
              <w:rPr>
                <w:spacing w:val="1"/>
                <w:sz w:val="18"/>
                <w:szCs w:val="18"/>
              </w:rPr>
              <w:t xml:space="preserve"> </w:t>
            </w:r>
            <w:r>
              <w:rPr>
                <w:spacing w:val="4"/>
                <w:sz w:val="18"/>
                <w:szCs w:val="18"/>
              </w:rPr>
              <w:t>电与照</w:t>
            </w:r>
            <w:r>
              <w:rPr>
                <w:spacing w:val="1"/>
                <w:sz w:val="18"/>
                <w:szCs w:val="18"/>
              </w:rPr>
              <w:t xml:space="preserve"> </w:t>
            </w:r>
            <w:r>
              <w:rPr>
                <w:spacing w:val="2"/>
                <w:sz w:val="18"/>
                <w:szCs w:val="18"/>
              </w:rPr>
              <w:t>明系统</w:t>
            </w:r>
          </w:p>
        </w:tc>
        <w:tc>
          <w:tcPr>
            <w:tcW w:w="2484" w:type="dxa"/>
            <w:tcBorders>
              <w:bottom w:val="single" w:color="000000" w:sz="2" w:space="0"/>
            </w:tcBorders>
            <w:vAlign w:val="top"/>
          </w:tcPr>
          <w:p w14:paraId="062FCD74">
            <w:pPr>
              <w:pStyle w:val="6"/>
              <w:spacing w:before="161" w:line="217" w:lineRule="auto"/>
              <w:ind w:left="12" w:right="1193"/>
              <w:rPr>
                <w:sz w:val="18"/>
                <w:szCs w:val="18"/>
              </w:rPr>
            </w:pPr>
            <w:r>
              <w:rPr>
                <w:spacing w:val="1"/>
                <w:sz w:val="18"/>
                <w:szCs w:val="18"/>
              </w:rPr>
              <w:t>1.低压配电系统</w:t>
            </w:r>
            <w:r>
              <w:rPr>
                <w:sz w:val="18"/>
                <w:szCs w:val="18"/>
              </w:rPr>
              <w:t xml:space="preserve"> </w:t>
            </w:r>
            <w:r>
              <w:rPr>
                <w:spacing w:val="-2"/>
                <w:sz w:val="18"/>
                <w:szCs w:val="18"/>
              </w:rPr>
              <w:t>2.照明系统</w:t>
            </w:r>
          </w:p>
        </w:tc>
        <w:tc>
          <w:tcPr>
            <w:tcW w:w="230" w:type="dxa"/>
            <w:tcBorders>
              <w:bottom w:val="single" w:color="000000" w:sz="2" w:space="0"/>
            </w:tcBorders>
            <w:vAlign w:val="top"/>
          </w:tcPr>
          <w:p w14:paraId="2CC9D730">
            <w:pPr>
              <w:rPr>
                <w:rFonts w:ascii="Arial"/>
                <w:sz w:val="21"/>
              </w:rPr>
            </w:pPr>
          </w:p>
        </w:tc>
        <w:tc>
          <w:tcPr>
            <w:tcW w:w="230" w:type="dxa"/>
            <w:tcBorders>
              <w:bottom w:val="single" w:color="000000" w:sz="2" w:space="0"/>
            </w:tcBorders>
            <w:vAlign w:val="top"/>
          </w:tcPr>
          <w:p w14:paraId="493BDD54">
            <w:pPr>
              <w:rPr>
                <w:rFonts w:ascii="Arial"/>
                <w:sz w:val="21"/>
              </w:rPr>
            </w:pPr>
          </w:p>
        </w:tc>
        <w:tc>
          <w:tcPr>
            <w:tcW w:w="229" w:type="dxa"/>
            <w:tcBorders>
              <w:bottom w:val="single" w:color="000000" w:sz="2" w:space="0"/>
            </w:tcBorders>
            <w:vAlign w:val="top"/>
          </w:tcPr>
          <w:p w14:paraId="4DFE4BFC">
            <w:pPr>
              <w:rPr>
                <w:rFonts w:ascii="Arial"/>
                <w:sz w:val="21"/>
              </w:rPr>
            </w:pPr>
          </w:p>
        </w:tc>
        <w:tc>
          <w:tcPr>
            <w:tcW w:w="234" w:type="dxa"/>
            <w:tcBorders>
              <w:bottom w:val="single" w:color="000000" w:sz="2" w:space="0"/>
            </w:tcBorders>
            <w:vAlign w:val="top"/>
          </w:tcPr>
          <w:p w14:paraId="5D0F88B6">
            <w:pPr>
              <w:rPr>
                <w:rFonts w:ascii="Arial"/>
                <w:sz w:val="21"/>
              </w:rPr>
            </w:pPr>
          </w:p>
        </w:tc>
      </w:tr>
    </w:tbl>
    <w:p w14:paraId="77E0DEAD">
      <w:pPr>
        <w:pStyle w:val="2"/>
        <w:spacing w:line="149" w:lineRule="exact"/>
        <w:rPr>
          <w:sz w:val="12"/>
        </w:rPr>
      </w:pPr>
    </w:p>
    <w:p w14:paraId="70335B73">
      <w:pPr>
        <w:pStyle w:val="2"/>
        <w:spacing w:line="14" w:lineRule="auto"/>
        <w:rPr>
          <w:sz w:val="2"/>
        </w:rPr>
      </w:pPr>
      <w:r>
        <w:rPr>
          <w:sz w:val="2"/>
          <w:szCs w:val="2"/>
        </w:rPr>
        <w:br w:type="column"/>
      </w:r>
    </w:p>
    <w:p w14:paraId="185CF320">
      <w:pPr>
        <w:spacing w:line="101" w:lineRule="auto"/>
        <w:rPr>
          <w:rFonts w:ascii="Arial"/>
          <w:sz w:val="2"/>
        </w:rPr>
      </w:pPr>
    </w:p>
    <w:tbl>
      <w:tblPr>
        <w:tblStyle w:val="5"/>
        <w:tblW w:w="4140" w:type="dxa"/>
        <w:tblInd w:w="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53"/>
        <w:gridCol w:w="2484"/>
        <w:gridCol w:w="220"/>
        <w:gridCol w:w="230"/>
        <w:gridCol w:w="229"/>
        <w:gridCol w:w="224"/>
      </w:tblGrid>
      <w:tr w14:paraId="00BB08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4" w:hRule="atLeast"/>
        </w:trPr>
        <w:tc>
          <w:tcPr>
            <w:tcW w:w="753" w:type="dxa"/>
            <w:vMerge w:val="restart"/>
            <w:tcBorders>
              <w:bottom w:val="nil"/>
            </w:tcBorders>
            <w:vAlign w:val="top"/>
          </w:tcPr>
          <w:p w14:paraId="3CC45EA4">
            <w:pPr>
              <w:pStyle w:val="6"/>
              <w:spacing w:before="21" w:line="200" w:lineRule="auto"/>
              <w:ind w:left="87" w:right="2" w:hanging="70"/>
              <w:rPr>
                <w:sz w:val="19"/>
                <w:szCs w:val="19"/>
              </w:rPr>
            </w:pPr>
            <w:r>
              <w:rPr>
                <w:b/>
                <w:bCs/>
                <w:spacing w:val="-13"/>
                <w:sz w:val="19"/>
                <w:szCs w:val="19"/>
              </w:rPr>
              <w:t>知</w:t>
            </w:r>
            <w:r>
              <w:rPr>
                <w:b/>
                <w:bCs/>
                <w:spacing w:val="-12"/>
                <w:sz w:val="19"/>
                <w:szCs w:val="19"/>
              </w:rPr>
              <w:t>识与</w:t>
            </w:r>
            <w:r>
              <w:rPr>
                <w:b/>
                <w:bCs/>
                <w:spacing w:val="-11"/>
                <w:sz w:val="19"/>
                <w:szCs w:val="19"/>
              </w:rPr>
              <w:t>技</w:t>
            </w:r>
            <w:r>
              <w:rPr>
                <w:spacing w:val="1"/>
                <w:sz w:val="19"/>
                <w:szCs w:val="19"/>
              </w:rPr>
              <w:t xml:space="preserve"> </w:t>
            </w:r>
            <w:r>
              <w:rPr>
                <w:b/>
                <w:bCs/>
                <w:spacing w:val="1"/>
                <w:sz w:val="19"/>
                <w:szCs w:val="19"/>
              </w:rPr>
              <w:t>能要点</w:t>
            </w:r>
          </w:p>
        </w:tc>
        <w:tc>
          <w:tcPr>
            <w:tcW w:w="2484" w:type="dxa"/>
            <w:vMerge w:val="restart"/>
            <w:tcBorders>
              <w:bottom w:val="nil"/>
            </w:tcBorders>
            <w:vAlign w:val="top"/>
          </w:tcPr>
          <w:p w14:paraId="3003ABBB">
            <w:pPr>
              <w:pStyle w:val="6"/>
              <w:spacing w:before="130" w:line="219" w:lineRule="auto"/>
              <w:ind w:left="904"/>
              <w:rPr>
                <w:sz w:val="19"/>
                <w:szCs w:val="19"/>
              </w:rPr>
            </w:pPr>
            <w:r>
              <w:rPr>
                <w:b/>
                <w:bCs/>
                <w:spacing w:val="5"/>
                <w:sz w:val="19"/>
                <w:szCs w:val="19"/>
              </w:rPr>
              <w:t>考试条目</w:t>
            </w:r>
          </w:p>
        </w:tc>
        <w:tc>
          <w:tcPr>
            <w:tcW w:w="903" w:type="dxa"/>
            <w:gridSpan w:val="4"/>
            <w:vAlign w:val="top"/>
          </w:tcPr>
          <w:p w14:paraId="66AC63A9">
            <w:pPr>
              <w:pStyle w:val="6"/>
              <w:spacing w:before="20" w:line="198" w:lineRule="auto"/>
              <w:ind w:right="17"/>
              <w:jc w:val="right"/>
              <w:rPr>
                <w:sz w:val="19"/>
                <w:szCs w:val="19"/>
              </w:rPr>
            </w:pPr>
            <w:r>
              <w:rPr>
                <w:b/>
                <w:bCs/>
                <w:spacing w:val="-4"/>
                <w:sz w:val="19"/>
                <w:szCs w:val="19"/>
              </w:rPr>
              <w:t>考试水平</w:t>
            </w:r>
          </w:p>
        </w:tc>
      </w:tr>
      <w:tr w14:paraId="5098AE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99" w:hRule="atLeast"/>
        </w:trPr>
        <w:tc>
          <w:tcPr>
            <w:tcW w:w="753" w:type="dxa"/>
            <w:vMerge w:val="continue"/>
            <w:tcBorders>
              <w:top w:val="nil"/>
            </w:tcBorders>
            <w:vAlign w:val="top"/>
          </w:tcPr>
          <w:p w14:paraId="5D59CCF0">
            <w:pPr>
              <w:rPr>
                <w:rFonts w:ascii="Arial"/>
                <w:sz w:val="21"/>
              </w:rPr>
            </w:pPr>
          </w:p>
        </w:tc>
        <w:tc>
          <w:tcPr>
            <w:tcW w:w="2484" w:type="dxa"/>
            <w:vMerge w:val="continue"/>
            <w:tcBorders>
              <w:top w:val="nil"/>
            </w:tcBorders>
            <w:vAlign w:val="top"/>
          </w:tcPr>
          <w:p w14:paraId="2A09FB0E">
            <w:pPr>
              <w:rPr>
                <w:rFonts w:ascii="Arial"/>
                <w:sz w:val="21"/>
              </w:rPr>
            </w:pPr>
          </w:p>
        </w:tc>
        <w:tc>
          <w:tcPr>
            <w:tcW w:w="220" w:type="dxa"/>
            <w:vAlign w:val="top"/>
          </w:tcPr>
          <w:p w14:paraId="3E7E50F5">
            <w:pPr>
              <w:pStyle w:val="6"/>
              <w:spacing w:before="66" w:line="123" w:lineRule="exact"/>
              <w:ind w:left="18"/>
              <w:rPr>
                <w:sz w:val="19"/>
                <w:szCs w:val="19"/>
              </w:rPr>
            </w:pPr>
            <w:r>
              <w:rPr>
                <w:position w:val="-3"/>
                <w:sz w:val="19"/>
                <w:szCs w:val="19"/>
              </w:rPr>
              <w:t>A</w:t>
            </w:r>
          </w:p>
        </w:tc>
        <w:tc>
          <w:tcPr>
            <w:tcW w:w="230" w:type="dxa"/>
            <w:vAlign w:val="top"/>
          </w:tcPr>
          <w:p w14:paraId="16183F07">
            <w:pPr>
              <w:pStyle w:val="6"/>
              <w:spacing w:before="69" w:line="120" w:lineRule="exact"/>
              <w:ind w:left="30"/>
              <w:rPr>
                <w:sz w:val="19"/>
                <w:szCs w:val="19"/>
              </w:rPr>
            </w:pPr>
            <w:r>
              <w:rPr>
                <w:b/>
                <w:bCs/>
                <w:spacing w:val="-2"/>
                <w:position w:val="-3"/>
                <w:sz w:val="19"/>
                <w:szCs w:val="19"/>
              </w:rPr>
              <w:t>B</w:t>
            </w:r>
          </w:p>
        </w:tc>
        <w:tc>
          <w:tcPr>
            <w:tcW w:w="229" w:type="dxa"/>
            <w:vAlign w:val="top"/>
          </w:tcPr>
          <w:p w14:paraId="563AD831">
            <w:pPr>
              <w:pStyle w:val="6"/>
              <w:spacing w:before="66" w:line="123" w:lineRule="exact"/>
              <w:ind w:left="40"/>
              <w:rPr>
                <w:sz w:val="19"/>
                <w:szCs w:val="19"/>
              </w:rPr>
            </w:pPr>
            <w:r>
              <w:rPr>
                <w:b/>
                <w:bCs/>
                <w:spacing w:val="-2"/>
                <w:position w:val="-3"/>
                <w:sz w:val="19"/>
                <w:szCs w:val="19"/>
              </w:rPr>
              <w:t>C</w:t>
            </w:r>
          </w:p>
        </w:tc>
        <w:tc>
          <w:tcPr>
            <w:tcW w:w="224" w:type="dxa"/>
            <w:vAlign w:val="top"/>
          </w:tcPr>
          <w:p w14:paraId="154C5687">
            <w:pPr>
              <w:pStyle w:val="6"/>
              <w:spacing w:before="69" w:line="120" w:lineRule="exact"/>
              <w:ind w:left="21"/>
              <w:rPr>
                <w:sz w:val="19"/>
                <w:szCs w:val="19"/>
              </w:rPr>
            </w:pPr>
            <w:r>
              <w:rPr>
                <w:b/>
                <w:bCs/>
                <w:spacing w:val="-2"/>
                <w:position w:val="-3"/>
                <w:sz w:val="19"/>
                <w:szCs w:val="19"/>
              </w:rPr>
              <w:t>D</w:t>
            </w:r>
          </w:p>
        </w:tc>
      </w:tr>
      <w:tr w14:paraId="7C46A1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5" w:hRule="atLeast"/>
        </w:trPr>
        <w:tc>
          <w:tcPr>
            <w:tcW w:w="753" w:type="dxa"/>
            <w:vAlign w:val="top"/>
          </w:tcPr>
          <w:p w14:paraId="0D54A629">
            <w:pPr>
              <w:pStyle w:val="6"/>
              <w:spacing w:before="71" w:line="200" w:lineRule="auto"/>
              <w:ind w:left="85" w:right="72"/>
              <w:jc w:val="both"/>
              <w:rPr>
                <w:sz w:val="19"/>
                <w:szCs w:val="19"/>
              </w:rPr>
            </w:pPr>
            <w:r>
              <w:rPr>
                <w:spacing w:val="5"/>
                <w:sz w:val="19"/>
                <w:szCs w:val="19"/>
              </w:rPr>
              <w:t>环境与</w:t>
            </w:r>
            <w:r>
              <w:rPr>
                <w:sz w:val="19"/>
                <w:szCs w:val="19"/>
              </w:rPr>
              <w:t xml:space="preserve"> </w:t>
            </w:r>
            <w:r>
              <w:rPr>
                <w:spacing w:val="-4"/>
                <w:sz w:val="19"/>
                <w:szCs w:val="19"/>
              </w:rPr>
              <w:t>设备监</w:t>
            </w:r>
            <w:r>
              <w:rPr>
                <w:sz w:val="19"/>
                <w:szCs w:val="19"/>
              </w:rPr>
              <w:t xml:space="preserve"> </w:t>
            </w:r>
            <w:r>
              <w:rPr>
                <w:spacing w:val="-3"/>
                <w:sz w:val="19"/>
                <w:szCs w:val="19"/>
              </w:rPr>
              <w:t>控系统</w:t>
            </w:r>
            <w:r>
              <w:rPr>
                <w:spacing w:val="1"/>
                <w:sz w:val="19"/>
                <w:szCs w:val="19"/>
              </w:rPr>
              <w:t xml:space="preserve"> </w:t>
            </w:r>
            <w:r>
              <w:rPr>
                <w:spacing w:val="-1"/>
                <w:sz w:val="19"/>
                <w:szCs w:val="19"/>
              </w:rPr>
              <w:t>(BAS)</w:t>
            </w:r>
          </w:p>
        </w:tc>
        <w:tc>
          <w:tcPr>
            <w:tcW w:w="2484" w:type="dxa"/>
            <w:vAlign w:val="top"/>
          </w:tcPr>
          <w:p w14:paraId="49D9CB82">
            <w:pPr>
              <w:pStyle w:val="6"/>
              <w:spacing w:before="281" w:line="221" w:lineRule="auto"/>
              <w:ind w:left="12" w:right="1603"/>
              <w:rPr>
                <w:sz w:val="19"/>
                <w:szCs w:val="19"/>
              </w:rPr>
            </w:pPr>
            <w:r>
              <w:rPr>
                <w:sz w:val="19"/>
                <w:szCs w:val="19"/>
              </w:rPr>
              <w:t>1.BAS组成</w:t>
            </w:r>
            <w:r>
              <w:rPr>
                <w:spacing w:val="2"/>
                <w:sz w:val="19"/>
                <w:szCs w:val="19"/>
              </w:rPr>
              <w:t xml:space="preserve"> </w:t>
            </w:r>
            <w:r>
              <w:rPr>
                <w:spacing w:val="-2"/>
                <w:sz w:val="19"/>
                <w:szCs w:val="19"/>
              </w:rPr>
              <w:t>2.BAS运行</w:t>
            </w:r>
          </w:p>
        </w:tc>
        <w:tc>
          <w:tcPr>
            <w:tcW w:w="220" w:type="dxa"/>
            <w:vAlign w:val="top"/>
          </w:tcPr>
          <w:p w14:paraId="264D5B66">
            <w:pPr>
              <w:rPr>
                <w:rFonts w:ascii="Arial"/>
                <w:sz w:val="21"/>
              </w:rPr>
            </w:pPr>
          </w:p>
        </w:tc>
        <w:tc>
          <w:tcPr>
            <w:tcW w:w="230" w:type="dxa"/>
            <w:vAlign w:val="top"/>
          </w:tcPr>
          <w:p w14:paraId="55ECD28B">
            <w:pPr>
              <w:spacing w:line="314" w:lineRule="auto"/>
              <w:rPr>
                <w:rFonts w:ascii="Arial"/>
                <w:sz w:val="21"/>
              </w:rPr>
            </w:pPr>
          </w:p>
          <w:p w14:paraId="27711466">
            <w:pPr>
              <w:spacing w:line="308" w:lineRule="exact"/>
              <w:ind w:firstLine="49"/>
            </w:pPr>
            <w:r>
              <w:rPr>
                <w:position w:val="-6"/>
              </w:rPr>
              <w:drawing>
                <wp:inline distT="0" distB="0" distL="0" distR="0">
                  <wp:extent cx="92075" cy="194945"/>
                  <wp:effectExtent l="0" t="0" r="0" b="0"/>
                  <wp:docPr id="476" name="IM 476"/>
                  <wp:cNvGraphicFramePr/>
                  <a:graphic xmlns:a="http://schemas.openxmlformats.org/drawingml/2006/main">
                    <a:graphicData uri="http://schemas.openxmlformats.org/drawingml/2006/picture">
                      <pic:pic xmlns:pic="http://schemas.openxmlformats.org/drawingml/2006/picture">
                        <pic:nvPicPr>
                          <pic:cNvPr id="476" name="IM 476"/>
                          <pic:cNvPicPr/>
                        </pic:nvPicPr>
                        <pic:blipFill>
                          <a:blip r:embed="rId402"/>
                          <a:stretch>
                            <a:fillRect/>
                          </a:stretch>
                        </pic:blipFill>
                        <pic:spPr>
                          <a:xfrm>
                            <a:off x="0" y="0"/>
                            <a:ext cx="92633" cy="195405"/>
                          </a:xfrm>
                          <a:prstGeom prst="rect">
                            <a:avLst/>
                          </a:prstGeom>
                        </pic:spPr>
                      </pic:pic>
                    </a:graphicData>
                  </a:graphic>
                </wp:inline>
              </w:drawing>
            </w:r>
          </w:p>
        </w:tc>
        <w:tc>
          <w:tcPr>
            <w:tcW w:w="229" w:type="dxa"/>
            <w:vAlign w:val="top"/>
          </w:tcPr>
          <w:p w14:paraId="58BC91B3">
            <w:pPr>
              <w:rPr>
                <w:rFonts w:ascii="Arial"/>
                <w:sz w:val="21"/>
              </w:rPr>
            </w:pPr>
          </w:p>
        </w:tc>
        <w:tc>
          <w:tcPr>
            <w:tcW w:w="224" w:type="dxa"/>
            <w:vAlign w:val="top"/>
          </w:tcPr>
          <w:p w14:paraId="2D9929AF">
            <w:pPr>
              <w:rPr>
                <w:rFonts w:ascii="Arial"/>
                <w:sz w:val="21"/>
              </w:rPr>
            </w:pPr>
          </w:p>
        </w:tc>
      </w:tr>
      <w:tr w14:paraId="15A02B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92" w:hRule="atLeast"/>
        </w:trPr>
        <w:tc>
          <w:tcPr>
            <w:tcW w:w="753" w:type="dxa"/>
            <w:vAlign w:val="top"/>
          </w:tcPr>
          <w:p w14:paraId="48A972DA">
            <w:pPr>
              <w:pStyle w:val="6"/>
              <w:spacing w:before="76" w:line="196" w:lineRule="auto"/>
              <w:ind w:left="85" w:right="94"/>
              <w:jc w:val="both"/>
              <w:rPr>
                <w:sz w:val="19"/>
                <w:szCs w:val="19"/>
              </w:rPr>
            </w:pPr>
            <w:r>
              <w:rPr>
                <w:spacing w:val="-4"/>
                <w:sz w:val="19"/>
                <w:szCs w:val="19"/>
              </w:rPr>
              <w:t>综合监</w:t>
            </w:r>
            <w:r>
              <w:rPr>
                <w:spacing w:val="1"/>
                <w:sz w:val="19"/>
                <w:szCs w:val="19"/>
              </w:rPr>
              <w:t xml:space="preserve"> </w:t>
            </w:r>
            <w:r>
              <w:rPr>
                <w:spacing w:val="-3"/>
                <w:sz w:val="19"/>
                <w:szCs w:val="19"/>
              </w:rPr>
              <w:t>控系统</w:t>
            </w:r>
            <w:r>
              <w:rPr>
                <w:spacing w:val="1"/>
                <w:sz w:val="19"/>
                <w:szCs w:val="19"/>
              </w:rPr>
              <w:t xml:space="preserve"> </w:t>
            </w:r>
            <w:r>
              <w:rPr>
                <w:spacing w:val="-7"/>
                <w:sz w:val="19"/>
                <w:szCs w:val="19"/>
              </w:rPr>
              <w:t>(ISCS)</w:t>
            </w:r>
          </w:p>
        </w:tc>
        <w:tc>
          <w:tcPr>
            <w:tcW w:w="2484" w:type="dxa"/>
            <w:vAlign w:val="top"/>
          </w:tcPr>
          <w:p w14:paraId="1D241E69">
            <w:pPr>
              <w:pStyle w:val="6"/>
              <w:spacing w:before="177" w:line="221" w:lineRule="auto"/>
              <w:ind w:left="12" w:right="1503"/>
              <w:rPr>
                <w:sz w:val="19"/>
                <w:szCs w:val="19"/>
              </w:rPr>
            </w:pPr>
            <w:r>
              <w:rPr>
                <w:spacing w:val="2"/>
                <w:sz w:val="19"/>
                <w:szCs w:val="19"/>
              </w:rPr>
              <w:t>1.</w:t>
            </w:r>
            <w:r>
              <w:rPr>
                <w:sz w:val="19"/>
                <w:szCs w:val="19"/>
              </w:rPr>
              <w:t>ISCS</w:t>
            </w:r>
            <w:r>
              <w:rPr>
                <w:spacing w:val="2"/>
                <w:sz w:val="19"/>
                <w:szCs w:val="19"/>
              </w:rPr>
              <w:t>组成</w:t>
            </w:r>
            <w:r>
              <w:rPr>
                <w:sz w:val="19"/>
                <w:szCs w:val="19"/>
              </w:rPr>
              <w:t xml:space="preserve"> </w:t>
            </w:r>
            <w:r>
              <w:rPr>
                <w:spacing w:val="-2"/>
                <w:sz w:val="19"/>
                <w:szCs w:val="19"/>
              </w:rPr>
              <w:t>2.ISCS运行</w:t>
            </w:r>
          </w:p>
        </w:tc>
        <w:tc>
          <w:tcPr>
            <w:tcW w:w="220" w:type="dxa"/>
            <w:vAlign w:val="top"/>
          </w:tcPr>
          <w:p w14:paraId="72A4D68B">
            <w:pPr>
              <w:rPr>
                <w:rFonts w:ascii="Arial"/>
                <w:sz w:val="21"/>
              </w:rPr>
            </w:pPr>
          </w:p>
        </w:tc>
        <w:tc>
          <w:tcPr>
            <w:tcW w:w="230" w:type="dxa"/>
            <w:vAlign w:val="top"/>
          </w:tcPr>
          <w:p w14:paraId="0840B9AC">
            <w:pPr>
              <w:rPr>
                <w:rFonts w:ascii="Arial"/>
                <w:sz w:val="21"/>
              </w:rPr>
            </w:pPr>
          </w:p>
        </w:tc>
        <w:tc>
          <w:tcPr>
            <w:tcW w:w="229" w:type="dxa"/>
            <w:vAlign w:val="top"/>
          </w:tcPr>
          <w:p w14:paraId="0AD9B80D">
            <w:pPr>
              <w:rPr>
                <w:rFonts w:ascii="Arial"/>
                <w:sz w:val="21"/>
              </w:rPr>
            </w:pPr>
          </w:p>
        </w:tc>
        <w:tc>
          <w:tcPr>
            <w:tcW w:w="224" w:type="dxa"/>
            <w:vAlign w:val="top"/>
          </w:tcPr>
          <w:p w14:paraId="01D9CA5D">
            <w:pPr>
              <w:rPr>
                <w:rFonts w:ascii="Arial"/>
                <w:sz w:val="21"/>
              </w:rPr>
            </w:pPr>
          </w:p>
        </w:tc>
      </w:tr>
    </w:tbl>
    <w:p w14:paraId="0916EA1A">
      <w:pPr>
        <w:spacing w:before="138" w:line="219" w:lineRule="auto"/>
        <w:ind w:left="1430"/>
        <w:rPr>
          <w:rFonts w:ascii="宋体" w:hAnsi="宋体" w:eastAsia="宋体" w:cs="宋体"/>
          <w:sz w:val="17"/>
          <w:szCs w:val="17"/>
        </w:rPr>
      </w:pPr>
      <w:r>
        <w:rPr>
          <w:rFonts w:ascii="宋体" w:hAnsi="宋体" w:eastAsia="宋体" w:cs="宋体"/>
          <w:b/>
          <w:bCs/>
          <w:spacing w:val="9"/>
          <w:sz w:val="17"/>
          <w:szCs w:val="17"/>
        </w:rPr>
        <w:t>第八章单轨交通</w:t>
      </w:r>
    </w:p>
    <w:p w14:paraId="5F419369">
      <w:pPr>
        <w:spacing w:line="69" w:lineRule="exact"/>
      </w:pPr>
    </w:p>
    <w:tbl>
      <w:tblPr>
        <w:tblStyle w:val="5"/>
        <w:tblW w:w="4140" w:type="dxa"/>
        <w:tblInd w:w="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03"/>
        <w:gridCol w:w="2434"/>
        <w:gridCol w:w="220"/>
        <w:gridCol w:w="230"/>
        <w:gridCol w:w="229"/>
        <w:gridCol w:w="224"/>
      </w:tblGrid>
      <w:tr w14:paraId="618ACC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4" w:hRule="atLeast"/>
        </w:trPr>
        <w:tc>
          <w:tcPr>
            <w:tcW w:w="803" w:type="dxa"/>
            <w:vMerge w:val="restart"/>
            <w:tcBorders>
              <w:bottom w:val="nil"/>
            </w:tcBorders>
            <w:vAlign w:val="top"/>
          </w:tcPr>
          <w:p w14:paraId="1A467609">
            <w:pPr>
              <w:pStyle w:val="6"/>
              <w:spacing w:before="20" w:line="219" w:lineRule="auto"/>
              <w:ind w:left="137" w:right="65" w:hanging="80"/>
            </w:pPr>
            <w:r>
              <w:rPr>
                <w:b/>
                <w:bCs/>
                <w:spacing w:val="-5"/>
              </w:rPr>
              <w:t>知识与技</w:t>
            </w:r>
            <w:r>
              <w:rPr>
                <w:spacing w:val="1"/>
              </w:rPr>
              <w:t xml:space="preserve"> </w:t>
            </w:r>
            <w:r>
              <w:rPr>
                <w:b/>
                <w:bCs/>
                <w:spacing w:val="1"/>
              </w:rPr>
              <w:t>能要点</w:t>
            </w:r>
          </w:p>
        </w:tc>
        <w:tc>
          <w:tcPr>
            <w:tcW w:w="2434" w:type="dxa"/>
            <w:vMerge w:val="restart"/>
            <w:tcBorders>
              <w:bottom w:val="nil"/>
            </w:tcBorders>
            <w:vAlign w:val="top"/>
          </w:tcPr>
          <w:p w14:paraId="37D21BF4">
            <w:pPr>
              <w:pStyle w:val="6"/>
              <w:spacing w:before="139" w:line="219" w:lineRule="auto"/>
              <w:ind w:left="894"/>
            </w:pPr>
            <w:r>
              <w:rPr>
                <w:b/>
                <w:bCs/>
                <w:spacing w:val="5"/>
              </w:rPr>
              <w:t>考试条目</w:t>
            </w:r>
          </w:p>
        </w:tc>
        <w:tc>
          <w:tcPr>
            <w:tcW w:w="903" w:type="dxa"/>
            <w:gridSpan w:val="4"/>
            <w:vAlign w:val="top"/>
          </w:tcPr>
          <w:p w14:paraId="11456010">
            <w:pPr>
              <w:pStyle w:val="6"/>
              <w:spacing w:before="29" w:line="200" w:lineRule="auto"/>
              <w:ind w:left="120"/>
            </w:pPr>
            <w:r>
              <w:rPr>
                <w:b/>
                <w:bCs/>
                <w:spacing w:val="-4"/>
              </w:rPr>
              <w:t>考试水平</w:t>
            </w:r>
          </w:p>
        </w:tc>
      </w:tr>
      <w:tr w14:paraId="497336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9" w:hRule="atLeast"/>
        </w:trPr>
        <w:tc>
          <w:tcPr>
            <w:tcW w:w="803" w:type="dxa"/>
            <w:vMerge w:val="continue"/>
            <w:tcBorders>
              <w:top w:val="nil"/>
            </w:tcBorders>
            <w:vAlign w:val="top"/>
          </w:tcPr>
          <w:p w14:paraId="4B8D3669">
            <w:pPr>
              <w:rPr>
                <w:rFonts w:ascii="Arial"/>
                <w:sz w:val="21"/>
              </w:rPr>
            </w:pPr>
          </w:p>
        </w:tc>
        <w:tc>
          <w:tcPr>
            <w:tcW w:w="2434" w:type="dxa"/>
            <w:vMerge w:val="continue"/>
            <w:tcBorders>
              <w:top w:val="nil"/>
            </w:tcBorders>
            <w:vAlign w:val="top"/>
          </w:tcPr>
          <w:p w14:paraId="19FF1227">
            <w:pPr>
              <w:rPr>
                <w:rFonts w:ascii="Arial"/>
                <w:sz w:val="21"/>
              </w:rPr>
            </w:pPr>
          </w:p>
        </w:tc>
        <w:tc>
          <w:tcPr>
            <w:tcW w:w="220" w:type="dxa"/>
            <w:vAlign w:val="top"/>
          </w:tcPr>
          <w:p w14:paraId="76CFB55E">
            <w:pPr>
              <w:pStyle w:val="6"/>
              <w:spacing w:before="60" w:line="139" w:lineRule="exact"/>
              <w:ind w:left="18"/>
            </w:pPr>
            <w:r>
              <w:rPr>
                <w:position w:val="-2"/>
              </w:rPr>
              <w:t>A</w:t>
            </w:r>
          </w:p>
        </w:tc>
        <w:tc>
          <w:tcPr>
            <w:tcW w:w="230" w:type="dxa"/>
            <w:vAlign w:val="top"/>
          </w:tcPr>
          <w:p w14:paraId="224A73A5">
            <w:pPr>
              <w:pStyle w:val="6"/>
              <w:spacing w:before="63" w:line="136" w:lineRule="exact"/>
              <w:ind w:left="20"/>
            </w:pPr>
            <w:r>
              <w:rPr>
                <w:b/>
                <w:bCs/>
                <w:spacing w:val="-2"/>
                <w:position w:val="-2"/>
              </w:rPr>
              <w:t>B</w:t>
            </w:r>
          </w:p>
        </w:tc>
        <w:tc>
          <w:tcPr>
            <w:tcW w:w="229" w:type="dxa"/>
            <w:vAlign w:val="top"/>
          </w:tcPr>
          <w:p w14:paraId="38DC29BA">
            <w:pPr>
              <w:pStyle w:val="6"/>
              <w:spacing w:before="60" w:line="139" w:lineRule="exact"/>
              <w:ind w:left="20"/>
            </w:pPr>
            <w:r>
              <w:rPr>
                <w:b/>
                <w:bCs/>
                <w:spacing w:val="-2"/>
                <w:position w:val="-2"/>
              </w:rPr>
              <w:t>C</w:t>
            </w:r>
          </w:p>
        </w:tc>
        <w:tc>
          <w:tcPr>
            <w:tcW w:w="224" w:type="dxa"/>
            <w:vAlign w:val="top"/>
          </w:tcPr>
          <w:p w14:paraId="381B30AB">
            <w:pPr>
              <w:pStyle w:val="6"/>
              <w:spacing w:before="63" w:line="136" w:lineRule="exact"/>
              <w:ind w:left="21"/>
            </w:pPr>
            <w:r>
              <w:rPr>
                <w:b/>
                <w:bCs/>
                <w:spacing w:val="-2"/>
                <w:position w:val="-2"/>
              </w:rPr>
              <w:t>D</w:t>
            </w:r>
          </w:p>
        </w:tc>
      </w:tr>
      <w:tr w14:paraId="186833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8" w:hRule="atLeast"/>
        </w:trPr>
        <w:tc>
          <w:tcPr>
            <w:tcW w:w="803" w:type="dxa"/>
            <w:vAlign w:val="top"/>
          </w:tcPr>
          <w:p w14:paraId="682D1210">
            <w:pPr>
              <w:pStyle w:val="6"/>
              <w:spacing w:before="38" w:line="206" w:lineRule="auto"/>
              <w:ind w:left="225" w:right="65" w:hanging="170"/>
            </w:pPr>
            <w:r>
              <w:rPr>
                <w:spacing w:val="-2"/>
              </w:rPr>
              <w:t>单轨交通</w:t>
            </w:r>
            <w:r>
              <w:t xml:space="preserve"> </w:t>
            </w:r>
            <w:r>
              <w:rPr>
                <w:spacing w:val="-3"/>
              </w:rPr>
              <w:t>分类</w:t>
            </w:r>
          </w:p>
        </w:tc>
        <w:tc>
          <w:tcPr>
            <w:tcW w:w="2434" w:type="dxa"/>
            <w:vAlign w:val="top"/>
          </w:tcPr>
          <w:p w14:paraId="6E65A9EA">
            <w:pPr>
              <w:pStyle w:val="6"/>
              <w:spacing w:before="38" w:line="206" w:lineRule="auto"/>
              <w:ind w:left="2" w:right="1896"/>
            </w:pPr>
            <w:r>
              <w:rPr>
                <w:spacing w:val="1"/>
              </w:rPr>
              <w:t xml:space="preserve">1.概述 </w:t>
            </w:r>
            <w:r>
              <w:rPr>
                <w:spacing w:val="3"/>
              </w:rPr>
              <w:t>2.特点</w:t>
            </w:r>
          </w:p>
        </w:tc>
        <w:tc>
          <w:tcPr>
            <w:tcW w:w="220" w:type="dxa"/>
            <w:vAlign w:val="top"/>
          </w:tcPr>
          <w:p w14:paraId="1B7CC266">
            <w:pPr>
              <w:spacing w:before="96" w:line="297" w:lineRule="exact"/>
              <w:ind w:firstLine="34"/>
            </w:pPr>
            <w:r>
              <w:rPr>
                <w:position w:val="-5"/>
              </w:rPr>
              <w:drawing>
                <wp:inline distT="0" distB="0" distL="0" distR="0">
                  <wp:extent cx="85090" cy="188595"/>
                  <wp:effectExtent l="0" t="0" r="0" b="0"/>
                  <wp:docPr id="478" name="IM 478"/>
                  <wp:cNvGraphicFramePr/>
                  <a:graphic xmlns:a="http://schemas.openxmlformats.org/drawingml/2006/main">
                    <a:graphicData uri="http://schemas.openxmlformats.org/drawingml/2006/picture">
                      <pic:pic xmlns:pic="http://schemas.openxmlformats.org/drawingml/2006/picture">
                        <pic:nvPicPr>
                          <pic:cNvPr id="478" name="IM 478"/>
                          <pic:cNvPicPr/>
                        </pic:nvPicPr>
                        <pic:blipFill>
                          <a:blip r:embed="rId403"/>
                          <a:stretch>
                            <a:fillRect/>
                          </a:stretch>
                        </pic:blipFill>
                        <pic:spPr>
                          <a:xfrm>
                            <a:off x="0" y="0"/>
                            <a:ext cx="85473" cy="188743"/>
                          </a:xfrm>
                          <a:prstGeom prst="rect">
                            <a:avLst/>
                          </a:prstGeom>
                        </pic:spPr>
                      </pic:pic>
                    </a:graphicData>
                  </a:graphic>
                </wp:inline>
              </w:drawing>
            </w:r>
          </w:p>
        </w:tc>
        <w:tc>
          <w:tcPr>
            <w:tcW w:w="230" w:type="dxa"/>
            <w:vAlign w:val="top"/>
          </w:tcPr>
          <w:p w14:paraId="59EB9CD5">
            <w:pPr>
              <w:rPr>
                <w:rFonts w:ascii="Arial"/>
                <w:sz w:val="21"/>
              </w:rPr>
            </w:pPr>
          </w:p>
        </w:tc>
        <w:tc>
          <w:tcPr>
            <w:tcW w:w="229" w:type="dxa"/>
            <w:vAlign w:val="top"/>
          </w:tcPr>
          <w:p w14:paraId="6EC73D9A">
            <w:pPr>
              <w:rPr>
                <w:rFonts w:ascii="Arial"/>
                <w:sz w:val="21"/>
              </w:rPr>
            </w:pPr>
          </w:p>
        </w:tc>
        <w:tc>
          <w:tcPr>
            <w:tcW w:w="224" w:type="dxa"/>
            <w:vAlign w:val="top"/>
          </w:tcPr>
          <w:p w14:paraId="3ECC3E65">
            <w:pPr>
              <w:rPr>
                <w:rFonts w:ascii="Arial"/>
                <w:sz w:val="21"/>
              </w:rPr>
            </w:pPr>
          </w:p>
        </w:tc>
      </w:tr>
      <w:tr w14:paraId="172D53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4" w:hRule="atLeast"/>
        </w:trPr>
        <w:tc>
          <w:tcPr>
            <w:tcW w:w="803" w:type="dxa"/>
            <w:tcBorders>
              <w:bottom w:val="nil"/>
            </w:tcBorders>
            <w:vAlign w:val="top"/>
          </w:tcPr>
          <w:p w14:paraId="4A18E0F6">
            <w:pPr>
              <w:pStyle w:val="6"/>
              <w:spacing w:before="21" w:line="209" w:lineRule="auto"/>
              <w:ind w:left="55"/>
            </w:pPr>
            <w:r>
              <w:rPr>
                <w:spacing w:val="-2"/>
              </w:rPr>
              <w:t>单轨交通</w:t>
            </w:r>
          </w:p>
        </w:tc>
        <w:tc>
          <w:tcPr>
            <w:tcW w:w="2434" w:type="dxa"/>
            <w:tcBorders>
              <w:bottom w:val="nil"/>
            </w:tcBorders>
            <w:vAlign w:val="top"/>
          </w:tcPr>
          <w:p w14:paraId="132E23E9">
            <w:pPr>
              <w:pStyle w:val="6"/>
              <w:spacing w:before="40" w:line="188" w:lineRule="auto"/>
              <w:ind w:left="2"/>
            </w:pPr>
            <w:r>
              <w:rPr>
                <w:spacing w:val="1"/>
              </w:rPr>
              <w:t>1.线路类型</w:t>
            </w:r>
          </w:p>
        </w:tc>
        <w:tc>
          <w:tcPr>
            <w:tcW w:w="220" w:type="dxa"/>
            <w:tcBorders>
              <w:bottom w:val="nil"/>
            </w:tcBorders>
            <w:vAlign w:val="top"/>
          </w:tcPr>
          <w:p w14:paraId="51BE4293">
            <w:pPr>
              <w:spacing w:line="214" w:lineRule="exact"/>
              <w:rPr>
                <w:rFonts w:ascii="Arial"/>
                <w:sz w:val="18"/>
              </w:rPr>
            </w:pPr>
          </w:p>
        </w:tc>
        <w:tc>
          <w:tcPr>
            <w:tcW w:w="230" w:type="dxa"/>
            <w:vMerge w:val="restart"/>
            <w:tcBorders>
              <w:bottom w:val="nil"/>
            </w:tcBorders>
            <w:vAlign w:val="top"/>
          </w:tcPr>
          <w:p w14:paraId="5DEBC3C6">
            <w:pPr>
              <w:spacing w:before="91" w:line="314" w:lineRule="exact"/>
              <w:ind w:firstLine="53"/>
            </w:pPr>
            <w:r>
              <w:rPr>
                <w:position w:val="-6"/>
              </w:rPr>
              <w:drawing>
                <wp:inline distT="0" distB="0" distL="0" distR="0">
                  <wp:extent cx="79375" cy="199390"/>
                  <wp:effectExtent l="0" t="0" r="0" b="0"/>
                  <wp:docPr id="480" name="IM 480"/>
                  <wp:cNvGraphicFramePr/>
                  <a:graphic xmlns:a="http://schemas.openxmlformats.org/drawingml/2006/main">
                    <a:graphicData uri="http://schemas.openxmlformats.org/drawingml/2006/picture">
                      <pic:pic xmlns:pic="http://schemas.openxmlformats.org/drawingml/2006/picture">
                        <pic:nvPicPr>
                          <pic:cNvPr id="480" name="IM 480"/>
                          <pic:cNvPicPr/>
                        </pic:nvPicPr>
                        <pic:blipFill>
                          <a:blip r:embed="rId404"/>
                          <a:stretch>
                            <a:fillRect/>
                          </a:stretch>
                        </pic:blipFill>
                        <pic:spPr>
                          <a:xfrm>
                            <a:off x="0" y="0"/>
                            <a:ext cx="79554" cy="199403"/>
                          </a:xfrm>
                          <a:prstGeom prst="rect">
                            <a:avLst/>
                          </a:prstGeom>
                        </pic:spPr>
                      </pic:pic>
                    </a:graphicData>
                  </a:graphic>
                </wp:inline>
              </w:drawing>
            </w:r>
          </w:p>
        </w:tc>
        <w:tc>
          <w:tcPr>
            <w:tcW w:w="229" w:type="dxa"/>
            <w:vMerge w:val="restart"/>
            <w:tcBorders>
              <w:bottom w:val="nil"/>
            </w:tcBorders>
            <w:vAlign w:val="top"/>
          </w:tcPr>
          <w:p w14:paraId="5F234390">
            <w:pPr>
              <w:rPr>
                <w:rFonts w:ascii="Arial"/>
                <w:sz w:val="21"/>
              </w:rPr>
            </w:pPr>
          </w:p>
        </w:tc>
        <w:tc>
          <w:tcPr>
            <w:tcW w:w="224" w:type="dxa"/>
            <w:vMerge w:val="restart"/>
            <w:tcBorders>
              <w:bottom w:val="nil"/>
            </w:tcBorders>
            <w:vAlign w:val="top"/>
          </w:tcPr>
          <w:p w14:paraId="698E1E51">
            <w:pPr>
              <w:rPr>
                <w:rFonts w:ascii="Arial"/>
                <w:sz w:val="21"/>
              </w:rPr>
            </w:pPr>
          </w:p>
        </w:tc>
      </w:tr>
      <w:tr w14:paraId="4E7A30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4" w:hRule="atLeast"/>
        </w:trPr>
        <w:tc>
          <w:tcPr>
            <w:tcW w:w="803" w:type="dxa"/>
            <w:tcBorders>
              <w:top w:val="nil"/>
            </w:tcBorders>
            <w:vAlign w:val="top"/>
          </w:tcPr>
          <w:p w14:paraId="1F4D4134">
            <w:pPr>
              <w:pStyle w:val="6"/>
              <w:spacing w:before="37" w:line="181" w:lineRule="auto"/>
              <w:ind w:left="135"/>
            </w:pPr>
            <w:r>
              <w:rPr>
                <w:spacing w:val="2"/>
              </w:rPr>
              <w:t>的线路</w:t>
            </w:r>
          </w:p>
        </w:tc>
        <w:tc>
          <w:tcPr>
            <w:tcW w:w="2434" w:type="dxa"/>
            <w:tcBorders>
              <w:top w:val="nil"/>
            </w:tcBorders>
            <w:vAlign w:val="top"/>
          </w:tcPr>
          <w:p w14:paraId="648D510A">
            <w:pPr>
              <w:pStyle w:val="6"/>
              <w:spacing w:before="27" w:line="192" w:lineRule="auto"/>
              <w:ind w:left="2"/>
            </w:pPr>
            <w:r>
              <w:rPr>
                <w:spacing w:val="2"/>
              </w:rPr>
              <w:t>2.线路特点</w:t>
            </w:r>
          </w:p>
        </w:tc>
        <w:tc>
          <w:tcPr>
            <w:tcW w:w="220" w:type="dxa"/>
            <w:tcBorders>
              <w:top w:val="nil"/>
            </w:tcBorders>
            <w:vAlign w:val="top"/>
          </w:tcPr>
          <w:p w14:paraId="13849FFF">
            <w:pPr>
              <w:spacing w:line="204" w:lineRule="exact"/>
              <w:rPr>
                <w:rFonts w:ascii="Arial"/>
                <w:sz w:val="17"/>
              </w:rPr>
            </w:pPr>
          </w:p>
        </w:tc>
        <w:tc>
          <w:tcPr>
            <w:tcW w:w="230" w:type="dxa"/>
            <w:vMerge w:val="continue"/>
            <w:tcBorders>
              <w:top w:val="nil"/>
            </w:tcBorders>
            <w:vAlign w:val="top"/>
          </w:tcPr>
          <w:p w14:paraId="3A14B581">
            <w:pPr>
              <w:rPr>
                <w:rFonts w:ascii="Arial"/>
                <w:sz w:val="21"/>
              </w:rPr>
            </w:pPr>
          </w:p>
        </w:tc>
        <w:tc>
          <w:tcPr>
            <w:tcW w:w="229" w:type="dxa"/>
            <w:vMerge w:val="continue"/>
            <w:tcBorders>
              <w:top w:val="nil"/>
            </w:tcBorders>
            <w:vAlign w:val="top"/>
          </w:tcPr>
          <w:p w14:paraId="4FF8F873">
            <w:pPr>
              <w:rPr>
                <w:rFonts w:ascii="Arial"/>
                <w:sz w:val="21"/>
              </w:rPr>
            </w:pPr>
          </w:p>
        </w:tc>
        <w:tc>
          <w:tcPr>
            <w:tcW w:w="224" w:type="dxa"/>
            <w:vMerge w:val="continue"/>
            <w:tcBorders>
              <w:top w:val="nil"/>
            </w:tcBorders>
            <w:vAlign w:val="top"/>
          </w:tcPr>
          <w:p w14:paraId="4934B739">
            <w:pPr>
              <w:rPr>
                <w:rFonts w:ascii="Arial"/>
                <w:sz w:val="21"/>
              </w:rPr>
            </w:pPr>
          </w:p>
        </w:tc>
      </w:tr>
      <w:tr w14:paraId="2F03B2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5" w:hRule="atLeast"/>
        </w:trPr>
        <w:tc>
          <w:tcPr>
            <w:tcW w:w="803" w:type="dxa"/>
            <w:tcBorders>
              <w:bottom w:val="nil"/>
            </w:tcBorders>
            <w:vAlign w:val="top"/>
          </w:tcPr>
          <w:p w14:paraId="41CE4D6A">
            <w:pPr>
              <w:pStyle w:val="6"/>
              <w:spacing w:before="53" w:line="175" w:lineRule="auto"/>
              <w:ind w:left="55"/>
            </w:pPr>
            <w:r>
              <w:rPr>
                <w:spacing w:val="-2"/>
              </w:rPr>
              <w:t>单轨交通</w:t>
            </w:r>
          </w:p>
        </w:tc>
        <w:tc>
          <w:tcPr>
            <w:tcW w:w="2434" w:type="dxa"/>
            <w:tcBorders>
              <w:bottom w:val="nil"/>
            </w:tcBorders>
            <w:vAlign w:val="top"/>
          </w:tcPr>
          <w:p w14:paraId="4B16886E">
            <w:pPr>
              <w:pStyle w:val="6"/>
              <w:spacing w:before="52" w:line="176" w:lineRule="auto"/>
              <w:ind w:left="2"/>
            </w:pPr>
            <w:r>
              <w:rPr>
                <w:spacing w:val="1"/>
              </w:rPr>
              <w:t>1.车辆类型</w:t>
            </w:r>
          </w:p>
        </w:tc>
        <w:tc>
          <w:tcPr>
            <w:tcW w:w="220" w:type="dxa"/>
            <w:tcBorders>
              <w:bottom w:val="nil"/>
            </w:tcBorders>
            <w:vAlign w:val="top"/>
          </w:tcPr>
          <w:p w14:paraId="5ECE49EA">
            <w:pPr>
              <w:spacing w:line="215" w:lineRule="exact"/>
              <w:rPr>
                <w:rFonts w:ascii="Arial"/>
                <w:sz w:val="18"/>
              </w:rPr>
            </w:pPr>
          </w:p>
        </w:tc>
        <w:tc>
          <w:tcPr>
            <w:tcW w:w="230" w:type="dxa"/>
            <w:vMerge w:val="restart"/>
            <w:tcBorders>
              <w:bottom w:val="nil"/>
            </w:tcBorders>
            <w:vAlign w:val="top"/>
          </w:tcPr>
          <w:p w14:paraId="060BE05A">
            <w:pPr>
              <w:spacing w:before="80" w:line="319" w:lineRule="exact"/>
              <w:ind w:firstLine="49"/>
            </w:pPr>
            <w:r>
              <w:rPr>
                <w:position w:val="-6"/>
              </w:rPr>
              <w:drawing>
                <wp:inline distT="0" distB="0" distL="0" distR="0">
                  <wp:extent cx="79375" cy="202565"/>
                  <wp:effectExtent l="0" t="0" r="0" b="0"/>
                  <wp:docPr id="482" name="IM 482"/>
                  <wp:cNvGraphicFramePr/>
                  <a:graphic xmlns:a="http://schemas.openxmlformats.org/drawingml/2006/main">
                    <a:graphicData uri="http://schemas.openxmlformats.org/drawingml/2006/picture">
                      <pic:pic xmlns:pic="http://schemas.openxmlformats.org/drawingml/2006/picture">
                        <pic:nvPicPr>
                          <pic:cNvPr id="482" name="IM 482"/>
                          <pic:cNvPicPr/>
                        </pic:nvPicPr>
                        <pic:blipFill>
                          <a:blip r:embed="rId405"/>
                          <a:stretch>
                            <a:fillRect/>
                          </a:stretch>
                        </pic:blipFill>
                        <pic:spPr>
                          <a:xfrm>
                            <a:off x="0" y="0"/>
                            <a:ext cx="79401" cy="202965"/>
                          </a:xfrm>
                          <a:prstGeom prst="rect">
                            <a:avLst/>
                          </a:prstGeom>
                        </pic:spPr>
                      </pic:pic>
                    </a:graphicData>
                  </a:graphic>
                </wp:inline>
              </w:drawing>
            </w:r>
          </w:p>
        </w:tc>
        <w:tc>
          <w:tcPr>
            <w:tcW w:w="229" w:type="dxa"/>
            <w:vMerge w:val="restart"/>
            <w:tcBorders>
              <w:bottom w:val="nil"/>
            </w:tcBorders>
            <w:vAlign w:val="top"/>
          </w:tcPr>
          <w:p w14:paraId="7839C49A">
            <w:pPr>
              <w:rPr>
                <w:rFonts w:ascii="Arial"/>
                <w:sz w:val="21"/>
              </w:rPr>
            </w:pPr>
          </w:p>
        </w:tc>
        <w:tc>
          <w:tcPr>
            <w:tcW w:w="224" w:type="dxa"/>
            <w:vMerge w:val="restart"/>
            <w:tcBorders>
              <w:bottom w:val="nil"/>
            </w:tcBorders>
            <w:vAlign w:val="top"/>
          </w:tcPr>
          <w:p w14:paraId="31E740B9">
            <w:pPr>
              <w:rPr>
                <w:rFonts w:ascii="Arial"/>
                <w:sz w:val="21"/>
              </w:rPr>
            </w:pPr>
          </w:p>
        </w:tc>
      </w:tr>
      <w:tr w14:paraId="17E371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4" w:hRule="atLeast"/>
        </w:trPr>
        <w:tc>
          <w:tcPr>
            <w:tcW w:w="803" w:type="dxa"/>
            <w:tcBorders>
              <w:top w:val="nil"/>
            </w:tcBorders>
            <w:vAlign w:val="top"/>
          </w:tcPr>
          <w:p w14:paraId="0CBE7BD3">
            <w:pPr>
              <w:pStyle w:val="6"/>
              <w:spacing w:before="28" w:line="191" w:lineRule="auto"/>
              <w:ind w:left="135"/>
            </w:pPr>
            <w:r>
              <w:rPr>
                <w:spacing w:val="2"/>
              </w:rPr>
              <w:t>的车辆</w:t>
            </w:r>
          </w:p>
        </w:tc>
        <w:tc>
          <w:tcPr>
            <w:tcW w:w="2434" w:type="dxa"/>
            <w:tcBorders>
              <w:top w:val="nil"/>
            </w:tcBorders>
            <w:vAlign w:val="top"/>
          </w:tcPr>
          <w:p w14:paraId="385BEA32">
            <w:pPr>
              <w:pStyle w:val="6"/>
              <w:spacing w:before="17" w:line="202" w:lineRule="auto"/>
              <w:ind w:left="2"/>
            </w:pPr>
            <w:r>
              <w:rPr>
                <w:spacing w:val="2"/>
              </w:rPr>
              <w:t>2.车辆特点</w:t>
            </w:r>
          </w:p>
        </w:tc>
        <w:tc>
          <w:tcPr>
            <w:tcW w:w="220" w:type="dxa"/>
            <w:tcBorders>
              <w:top w:val="nil"/>
            </w:tcBorders>
            <w:vAlign w:val="top"/>
          </w:tcPr>
          <w:p w14:paraId="577DE428">
            <w:pPr>
              <w:spacing w:line="204" w:lineRule="exact"/>
              <w:rPr>
                <w:rFonts w:ascii="Arial"/>
                <w:sz w:val="17"/>
              </w:rPr>
            </w:pPr>
          </w:p>
        </w:tc>
        <w:tc>
          <w:tcPr>
            <w:tcW w:w="230" w:type="dxa"/>
            <w:vMerge w:val="continue"/>
            <w:tcBorders>
              <w:top w:val="nil"/>
            </w:tcBorders>
            <w:vAlign w:val="top"/>
          </w:tcPr>
          <w:p w14:paraId="20B975D3">
            <w:pPr>
              <w:rPr>
                <w:rFonts w:ascii="Arial"/>
                <w:sz w:val="21"/>
              </w:rPr>
            </w:pPr>
          </w:p>
        </w:tc>
        <w:tc>
          <w:tcPr>
            <w:tcW w:w="229" w:type="dxa"/>
            <w:vMerge w:val="continue"/>
            <w:tcBorders>
              <w:top w:val="nil"/>
            </w:tcBorders>
            <w:vAlign w:val="top"/>
          </w:tcPr>
          <w:p w14:paraId="2F170BF4">
            <w:pPr>
              <w:rPr>
                <w:rFonts w:ascii="Arial"/>
                <w:sz w:val="21"/>
              </w:rPr>
            </w:pPr>
          </w:p>
        </w:tc>
        <w:tc>
          <w:tcPr>
            <w:tcW w:w="224" w:type="dxa"/>
            <w:vMerge w:val="continue"/>
            <w:tcBorders>
              <w:top w:val="nil"/>
            </w:tcBorders>
            <w:vAlign w:val="top"/>
          </w:tcPr>
          <w:p w14:paraId="09C44E71">
            <w:pPr>
              <w:rPr>
                <w:rFonts w:ascii="Arial"/>
                <w:sz w:val="21"/>
              </w:rPr>
            </w:pPr>
          </w:p>
        </w:tc>
      </w:tr>
      <w:tr w14:paraId="7401E8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5" w:hRule="atLeast"/>
        </w:trPr>
        <w:tc>
          <w:tcPr>
            <w:tcW w:w="803" w:type="dxa"/>
            <w:tcBorders>
              <w:bottom w:val="nil"/>
            </w:tcBorders>
            <w:vAlign w:val="top"/>
          </w:tcPr>
          <w:p w14:paraId="61A8257C">
            <w:pPr>
              <w:pStyle w:val="6"/>
              <w:spacing w:before="24" w:line="207" w:lineRule="auto"/>
              <w:ind w:left="55"/>
            </w:pPr>
            <w:r>
              <w:rPr>
                <w:spacing w:val="-2"/>
              </w:rPr>
              <w:t>单轨交通</w:t>
            </w:r>
          </w:p>
        </w:tc>
        <w:tc>
          <w:tcPr>
            <w:tcW w:w="2434" w:type="dxa"/>
            <w:tcBorders>
              <w:bottom w:val="nil"/>
            </w:tcBorders>
            <w:vAlign w:val="top"/>
          </w:tcPr>
          <w:p w14:paraId="22EDBB99">
            <w:pPr>
              <w:pStyle w:val="6"/>
              <w:spacing w:before="52" w:line="176" w:lineRule="auto"/>
              <w:ind w:left="2"/>
            </w:pPr>
            <w:r>
              <w:rPr>
                <w:spacing w:val="1"/>
              </w:rPr>
              <w:t>1.供电系统</w:t>
            </w:r>
          </w:p>
        </w:tc>
        <w:tc>
          <w:tcPr>
            <w:tcW w:w="220" w:type="dxa"/>
            <w:tcBorders>
              <w:bottom w:val="nil"/>
            </w:tcBorders>
            <w:vAlign w:val="top"/>
          </w:tcPr>
          <w:p w14:paraId="48943DF7">
            <w:pPr>
              <w:spacing w:line="215" w:lineRule="exact"/>
              <w:rPr>
                <w:rFonts w:ascii="Arial"/>
                <w:sz w:val="18"/>
              </w:rPr>
            </w:pPr>
          </w:p>
        </w:tc>
        <w:tc>
          <w:tcPr>
            <w:tcW w:w="230" w:type="dxa"/>
            <w:vMerge w:val="restart"/>
            <w:tcBorders>
              <w:bottom w:val="nil"/>
            </w:tcBorders>
            <w:vAlign w:val="top"/>
          </w:tcPr>
          <w:p w14:paraId="548DEB97">
            <w:pPr>
              <w:spacing w:before="91" w:line="299" w:lineRule="exact"/>
              <w:ind w:firstLine="54"/>
            </w:pPr>
            <w:r>
              <w:rPr>
                <w:position w:val="-5"/>
              </w:rPr>
              <w:drawing>
                <wp:inline distT="0" distB="0" distL="0" distR="0">
                  <wp:extent cx="73025" cy="189865"/>
                  <wp:effectExtent l="0" t="0" r="0" b="0"/>
                  <wp:docPr id="484" name="IM 484"/>
                  <wp:cNvGraphicFramePr/>
                  <a:graphic xmlns:a="http://schemas.openxmlformats.org/drawingml/2006/main">
                    <a:graphicData uri="http://schemas.openxmlformats.org/drawingml/2006/picture">
                      <pic:pic xmlns:pic="http://schemas.openxmlformats.org/drawingml/2006/picture">
                        <pic:nvPicPr>
                          <pic:cNvPr id="484" name="IM 484"/>
                          <pic:cNvPicPr/>
                        </pic:nvPicPr>
                        <pic:blipFill>
                          <a:blip r:embed="rId406"/>
                          <a:stretch>
                            <a:fillRect/>
                          </a:stretch>
                        </pic:blipFill>
                        <pic:spPr>
                          <a:xfrm>
                            <a:off x="0" y="0"/>
                            <a:ext cx="73038" cy="189917"/>
                          </a:xfrm>
                          <a:prstGeom prst="rect">
                            <a:avLst/>
                          </a:prstGeom>
                        </pic:spPr>
                      </pic:pic>
                    </a:graphicData>
                  </a:graphic>
                </wp:inline>
              </w:drawing>
            </w:r>
          </w:p>
        </w:tc>
        <w:tc>
          <w:tcPr>
            <w:tcW w:w="229" w:type="dxa"/>
            <w:vMerge w:val="restart"/>
            <w:tcBorders>
              <w:bottom w:val="nil"/>
            </w:tcBorders>
            <w:vAlign w:val="top"/>
          </w:tcPr>
          <w:p w14:paraId="0189C155">
            <w:pPr>
              <w:rPr>
                <w:rFonts w:ascii="Arial"/>
                <w:sz w:val="21"/>
              </w:rPr>
            </w:pPr>
          </w:p>
        </w:tc>
        <w:tc>
          <w:tcPr>
            <w:tcW w:w="224" w:type="dxa"/>
            <w:vMerge w:val="restart"/>
            <w:tcBorders>
              <w:bottom w:val="nil"/>
            </w:tcBorders>
            <w:vAlign w:val="top"/>
          </w:tcPr>
          <w:p w14:paraId="7399834D">
            <w:pPr>
              <w:rPr>
                <w:rFonts w:ascii="Arial"/>
                <w:sz w:val="21"/>
              </w:rPr>
            </w:pPr>
          </w:p>
        </w:tc>
      </w:tr>
      <w:tr w14:paraId="4A558E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4" w:hRule="atLeast"/>
        </w:trPr>
        <w:tc>
          <w:tcPr>
            <w:tcW w:w="803" w:type="dxa"/>
            <w:tcBorders>
              <w:top w:val="nil"/>
            </w:tcBorders>
            <w:vAlign w:val="top"/>
          </w:tcPr>
          <w:p w14:paraId="7B8C4508">
            <w:pPr>
              <w:pStyle w:val="6"/>
              <w:spacing w:before="18" w:line="191" w:lineRule="auto"/>
              <w:ind w:left="135"/>
            </w:pPr>
            <w:r>
              <w:rPr>
                <w:spacing w:val="3"/>
              </w:rPr>
              <w:t>的供电</w:t>
            </w:r>
          </w:p>
        </w:tc>
        <w:tc>
          <w:tcPr>
            <w:tcW w:w="2434" w:type="dxa"/>
            <w:tcBorders>
              <w:top w:val="nil"/>
            </w:tcBorders>
            <w:vAlign w:val="top"/>
          </w:tcPr>
          <w:p w14:paraId="65C4E851">
            <w:pPr>
              <w:pStyle w:val="6"/>
              <w:spacing w:before="19" w:line="190" w:lineRule="auto"/>
              <w:ind w:left="2"/>
            </w:pPr>
            <w:r>
              <w:rPr>
                <w:spacing w:val="3"/>
              </w:rPr>
              <w:t>2.特点</w:t>
            </w:r>
          </w:p>
        </w:tc>
        <w:tc>
          <w:tcPr>
            <w:tcW w:w="220" w:type="dxa"/>
            <w:tcBorders>
              <w:top w:val="nil"/>
            </w:tcBorders>
            <w:vAlign w:val="top"/>
          </w:tcPr>
          <w:p w14:paraId="126A2AB5">
            <w:pPr>
              <w:spacing w:line="194" w:lineRule="exact"/>
              <w:rPr>
                <w:rFonts w:ascii="Arial"/>
                <w:sz w:val="16"/>
              </w:rPr>
            </w:pPr>
          </w:p>
        </w:tc>
        <w:tc>
          <w:tcPr>
            <w:tcW w:w="230" w:type="dxa"/>
            <w:vMerge w:val="continue"/>
            <w:tcBorders>
              <w:top w:val="nil"/>
            </w:tcBorders>
            <w:vAlign w:val="top"/>
          </w:tcPr>
          <w:p w14:paraId="44ABD014">
            <w:pPr>
              <w:rPr>
                <w:rFonts w:ascii="Arial"/>
                <w:sz w:val="21"/>
              </w:rPr>
            </w:pPr>
          </w:p>
        </w:tc>
        <w:tc>
          <w:tcPr>
            <w:tcW w:w="229" w:type="dxa"/>
            <w:vMerge w:val="continue"/>
            <w:tcBorders>
              <w:top w:val="nil"/>
            </w:tcBorders>
            <w:vAlign w:val="top"/>
          </w:tcPr>
          <w:p w14:paraId="16B68BD3">
            <w:pPr>
              <w:rPr>
                <w:rFonts w:ascii="Arial"/>
                <w:sz w:val="21"/>
              </w:rPr>
            </w:pPr>
          </w:p>
        </w:tc>
        <w:tc>
          <w:tcPr>
            <w:tcW w:w="224" w:type="dxa"/>
            <w:vMerge w:val="continue"/>
            <w:tcBorders>
              <w:top w:val="nil"/>
            </w:tcBorders>
            <w:vAlign w:val="top"/>
          </w:tcPr>
          <w:p w14:paraId="35EB6574">
            <w:pPr>
              <w:rPr>
                <w:rFonts w:ascii="Arial"/>
                <w:sz w:val="21"/>
              </w:rPr>
            </w:pPr>
          </w:p>
        </w:tc>
      </w:tr>
      <w:tr w14:paraId="463D1A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3" w:hRule="atLeast"/>
        </w:trPr>
        <w:tc>
          <w:tcPr>
            <w:tcW w:w="803" w:type="dxa"/>
            <w:vAlign w:val="top"/>
          </w:tcPr>
          <w:p w14:paraId="0D706100">
            <w:pPr>
              <w:pStyle w:val="6"/>
              <w:spacing w:before="55" w:line="205" w:lineRule="auto"/>
              <w:ind w:left="135" w:right="65" w:hanging="80"/>
            </w:pPr>
            <w:r>
              <w:rPr>
                <w:spacing w:val="-2"/>
              </w:rPr>
              <w:t>单轨交通</w:t>
            </w:r>
            <w:r>
              <w:t xml:space="preserve"> </w:t>
            </w:r>
            <w:r>
              <w:rPr>
                <w:spacing w:val="3"/>
              </w:rPr>
              <w:t>的信号</w:t>
            </w:r>
          </w:p>
        </w:tc>
        <w:tc>
          <w:tcPr>
            <w:tcW w:w="2434" w:type="dxa"/>
            <w:vAlign w:val="top"/>
          </w:tcPr>
          <w:p w14:paraId="28BCAB6D">
            <w:pPr>
              <w:pStyle w:val="6"/>
              <w:spacing w:before="55" w:line="205" w:lineRule="auto"/>
              <w:ind w:left="2" w:right="1564"/>
            </w:pPr>
            <w:r>
              <w:rPr>
                <w:spacing w:val="1"/>
              </w:rPr>
              <w:t>1.信号系统</w:t>
            </w:r>
            <w:r>
              <w:t xml:space="preserve"> </w:t>
            </w:r>
            <w:r>
              <w:rPr>
                <w:spacing w:val="3"/>
              </w:rPr>
              <w:t>2.特点</w:t>
            </w:r>
          </w:p>
        </w:tc>
        <w:tc>
          <w:tcPr>
            <w:tcW w:w="220" w:type="dxa"/>
            <w:vAlign w:val="top"/>
          </w:tcPr>
          <w:p w14:paraId="59FDD32B">
            <w:pPr>
              <w:rPr>
                <w:rFonts w:ascii="Arial"/>
                <w:sz w:val="21"/>
              </w:rPr>
            </w:pPr>
          </w:p>
        </w:tc>
        <w:tc>
          <w:tcPr>
            <w:tcW w:w="230" w:type="dxa"/>
            <w:vAlign w:val="top"/>
          </w:tcPr>
          <w:p w14:paraId="71C73DE1">
            <w:pPr>
              <w:spacing w:line="410" w:lineRule="exact"/>
              <w:ind w:firstLine="40"/>
            </w:pPr>
            <w:r>
              <w:rPr>
                <w:position w:val="-8"/>
              </w:rPr>
              <w:drawing>
                <wp:inline distT="0" distB="0" distL="0" distR="0">
                  <wp:extent cx="95885" cy="260350"/>
                  <wp:effectExtent l="0" t="0" r="0" b="0"/>
                  <wp:docPr id="486" name="IM 486"/>
                  <wp:cNvGraphicFramePr/>
                  <a:graphic xmlns:a="http://schemas.openxmlformats.org/drawingml/2006/main">
                    <a:graphicData uri="http://schemas.openxmlformats.org/drawingml/2006/picture">
                      <pic:pic xmlns:pic="http://schemas.openxmlformats.org/drawingml/2006/picture">
                        <pic:nvPicPr>
                          <pic:cNvPr id="486" name="IM 486"/>
                          <pic:cNvPicPr/>
                        </pic:nvPicPr>
                        <pic:blipFill>
                          <a:blip r:embed="rId407"/>
                          <a:stretch>
                            <a:fillRect/>
                          </a:stretch>
                        </pic:blipFill>
                        <pic:spPr>
                          <a:xfrm>
                            <a:off x="0" y="0"/>
                            <a:ext cx="96249" cy="260588"/>
                          </a:xfrm>
                          <a:prstGeom prst="rect">
                            <a:avLst/>
                          </a:prstGeom>
                        </pic:spPr>
                      </pic:pic>
                    </a:graphicData>
                  </a:graphic>
                </wp:inline>
              </w:drawing>
            </w:r>
          </w:p>
        </w:tc>
        <w:tc>
          <w:tcPr>
            <w:tcW w:w="229" w:type="dxa"/>
            <w:vAlign w:val="top"/>
          </w:tcPr>
          <w:p w14:paraId="013F1AFC">
            <w:pPr>
              <w:rPr>
                <w:rFonts w:ascii="Arial"/>
                <w:sz w:val="21"/>
              </w:rPr>
            </w:pPr>
          </w:p>
        </w:tc>
        <w:tc>
          <w:tcPr>
            <w:tcW w:w="224" w:type="dxa"/>
            <w:vAlign w:val="top"/>
          </w:tcPr>
          <w:p w14:paraId="6BF66DA6">
            <w:pPr>
              <w:rPr>
                <w:rFonts w:ascii="Arial"/>
                <w:sz w:val="21"/>
              </w:rPr>
            </w:pPr>
          </w:p>
        </w:tc>
      </w:tr>
    </w:tbl>
    <w:p w14:paraId="060CFECB">
      <w:pPr>
        <w:spacing w:before="118" w:line="219" w:lineRule="auto"/>
        <w:ind w:left="709"/>
        <w:rPr>
          <w:rFonts w:ascii="宋体" w:hAnsi="宋体" w:eastAsia="宋体" w:cs="宋体"/>
          <w:sz w:val="17"/>
          <w:szCs w:val="17"/>
        </w:rPr>
      </w:pPr>
      <w:r>
        <w:rPr>
          <w:rFonts w:ascii="宋体" w:hAnsi="宋体" w:eastAsia="宋体" w:cs="宋体"/>
          <w:b/>
          <w:bCs/>
          <w:spacing w:val="-7"/>
          <w:sz w:val="17"/>
          <w:szCs w:val="17"/>
        </w:rPr>
        <w:t>第九章</w:t>
      </w:r>
      <w:r>
        <w:rPr>
          <w:rFonts w:ascii="宋体" w:hAnsi="宋体" w:eastAsia="宋体" w:cs="宋体"/>
          <w:spacing w:val="-7"/>
          <w:sz w:val="17"/>
          <w:szCs w:val="17"/>
        </w:rPr>
        <w:t xml:space="preserve"> </w:t>
      </w:r>
      <w:r>
        <w:rPr>
          <w:rFonts w:ascii="宋体" w:hAnsi="宋体" w:eastAsia="宋体" w:cs="宋体"/>
          <w:b/>
          <w:bCs/>
          <w:spacing w:val="-7"/>
          <w:sz w:val="17"/>
          <w:szCs w:val="17"/>
        </w:rPr>
        <w:t>城市轨道交通规划与运营管理</w:t>
      </w:r>
    </w:p>
    <w:p w14:paraId="4CFD13DD">
      <w:pPr>
        <w:spacing w:line="60" w:lineRule="exact"/>
      </w:pPr>
    </w:p>
    <w:tbl>
      <w:tblPr>
        <w:tblStyle w:val="5"/>
        <w:tblW w:w="4140" w:type="dxa"/>
        <w:tblInd w:w="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43"/>
        <w:gridCol w:w="2484"/>
        <w:gridCol w:w="220"/>
        <w:gridCol w:w="230"/>
        <w:gridCol w:w="229"/>
        <w:gridCol w:w="234"/>
      </w:tblGrid>
      <w:tr w14:paraId="370BEB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5" w:hRule="atLeast"/>
        </w:trPr>
        <w:tc>
          <w:tcPr>
            <w:tcW w:w="743" w:type="dxa"/>
            <w:vMerge w:val="restart"/>
            <w:tcBorders>
              <w:bottom w:val="nil"/>
            </w:tcBorders>
            <w:vAlign w:val="top"/>
          </w:tcPr>
          <w:p w14:paraId="68D3807A">
            <w:pPr>
              <w:pStyle w:val="6"/>
              <w:spacing w:before="31" w:line="219" w:lineRule="auto"/>
              <w:ind w:left="106" w:right="35" w:hanging="79"/>
            </w:pPr>
            <w:r>
              <w:rPr>
                <w:b/>
                <w:bCs/>
                <w:spacing w:val="-5"/>
              </w:rPr>
              <w:t>知识与技</w:t>
            </w:r>
            <w:r>
              <w:rPr>
                <w:spacing w:val="1"/>
              </w:rPr>
              <w:t xml:space="preserve"> </w:t>
            </w:r>
            <w:r>
              <w:rPr>
                <w:b/>
                <w:bCs/>
                <w:spacing w:val="1"/>
              </w:rPr>
              <w:t>能要点</w:t>
            </w:r>
          </w:p>
        </w:tc>
        <w:tc>
          <w:tcPr>
            <w:tcW w:w="2484" w:type="dxa"/>
            <w:vMerge w:val="restart"/>
            <w:tcBorders>
              <w:bottom w:val="nil"/>
            </w:tcBorders>
            <w:vAlign w:val="top"/>
          </w:tcPr>
          <w:p w14:paraId="4638BA1A">
            <w:pPr>
              <w:pStyle w:val="6"/>
              <w:spacing w:before="139" w:line="219" w:lineRule="auto"/>
              <w:ind w:left="924"/>
            </w:pPr>
            <w:r>
              <w:rPr>
                <w:b/>
                <w:bCs/>
                <w:spacing w:val="5"/>
              </w:rPr>
              <w:t>考试条目</w:t>
            </w:r>
          </w:p>
        </w:tc>
        <w:tc>
          <w:tcPr>
            <w:tcW w:w="913" w:type="dxa"/>
            <w:gridSpan w:val="4"/>
            <w:vAlign w:val="top"/>
          </w:tcPr>
          <w:p w14:paraId="2124FE39">
            <w:pPr>
              <w:pStyle w:val="6"/>
              <w:spacing w:before="29" w:line="212" w:lineRule="auto"/>
              <w:ind w:left="130"/>
            </w:pPr>
            <w:r>
              <w:rPr>
                <w:b/>
                <w:bCs/>
                <w:spacing w:val="-4"/>
              </w:rPr>
              <w:t>考试水平</w:t>
            </w:r>
          </w:p>
        </w:tc>
      </w:tr>
      <w:tr w14:paraId="715B92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0" w:hRule="atLeast"/>
        </w:trPr>
        <w:tc>
          <w:tcPr>
            <w:tcW w:w="743" w:type="dxa"/>
            <w:vMerge w:val="continue"/>
            <w:tcBorders>
              <w:top w:val="nil"/>
            </w:tcBorders>
            <w:vAlign w:val="top"/>
          </w:tcPr>
          <w:p w14:paraId="41B1CEE3">
            <w:pPr>
              <w:rPr>
                <w:rFonts w:ascii="Arial"/>
                <w:sz w:val="21"/>
              </w:rPr>
            </w:pPr>
          </w:p>
        </w:tc>
        <w:tc>
          <w:tcPr>
            <w:tcW w:w="2484" w:type="dxa"/>
            <w:vMerge w:val="continue"/>
            <w:tcBorders>
              <w:top w:val="nil"/>
            </w:tcBorders>
            <w:vAlign w:val="top"/>
          </w:tcPr>
          <w:p w14:paraId="1EF5FF77">
            <w:pPr>
              <w:rPr>
                <w:rFonts w:ascii="Arial"/>
                <w:sz w:val="21"/>
              </w:rPr>
            </w:pPr>
          </w:p>
        </w:tc>
        <w:tc>
          <w:tcPr>
            <w:tcW w:w="220" w:type="dxa"/>
            <w:vAlign w:val="top"/>
          </w:tcPr>
          <w:p w14:paraId="6C5EFD77">
            <w:pPr>
              <w:pStyle w:val="6"/>
              <w:spacing w:before="59" w:line="131" w:lineRule="exact"/>
              <w:ind w:left="18"/>
            </w:pPr>
            <w:r>
              <w:rPr>
                <w:position w:val="-2"/>
              </w:rPr>
              <w:t>A</w:t>
            </w:r>
          </w:p>
        </w:tc>
        <w:tc>
          <w:tcPr>
            <w:tcW w:w="230" w:type="dxa"/>
            <w:vAlign w:val="top"/>
          </w:tcPr>
          <w:p w14:paraId="6A7F0D70">
            <w:pPr>
              <w:pStyle w:val="6"/>
              <w:spacing w:before="62" w:line="128" w:lineRule="exact"/>
              <w:ind w:left="20"/>
            </w:pPr>
            <w:r>
              <w:rPr>
                <w:b/>
                <w:bCs/>
                <w:spacing w:val="-2"/>
                <w:position w:val="-2"/>
              </w:rPr>
              <w:t>B</w:t>
            </w:r>
          </w:p>
        </w:tc>
        <w:tc>
          <w:tcPr>
            <w:tcW w:w="229" w:type="dxa"/>
            <w:vAlign w:val="top"/>
          </w:tcPr>
          <w:p w14:paraId="190C9E5D">
            <w:pPr>
              <w:pStyle w:val="6"/>
              <w:spacing w:before="60" w:line="130" w:lineRule="exact"/>
              <w:ind w:left="17"/>
            </w:pPr>
            <w:r>
              <w:rPr>
                <w:position w:val="-2"/>
              </w:rPr>
              <w:t>C</w:t>
            </w:r>
          </w:p>
        </w:tc>
        <w:tc>
          <w:tcPr>
            <w:tcW w:w="234" w:type="dxa"/>
            <w:vAlign w:val="top"/>
          </w:tcPr>
          <w:p w14:paraId="165DEAD3">
            <w:pPr>
              <w:pStyle w:val="6"/>
              <w:spacing w:before="62" w:line="128" w:lineRule="exact"/>
              <w:ind w:left="21"/>
            </w:pPr>
            <w:r>
              <w:rPr>
                <w:b/>
                <w:bCs/>
                <w:spacing w:val="-2"/>
                <w:position w:val="-2"/>
              </w:rPr>
              <w:t>D</w:t>
            </w:r>
          </w:p>
        </w:tc>
      </w:tr>
      <w:tr w14:paraId="2C8317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38" w:hRule="atLeast"/>
        </w:trPr>
        <w:tc>
          <w:tcPr>
            <w:tcW w:w="743" w:type="dxa"/>
            <w:vAlign w:val="top"/>
          </w:tcPr>
          <w:p w14:paraId="2E2BB627">
            <w:pPr>
              <w:pStyle w:val="6"/>
              <w:spacing w:before="77" w:line="219" w:lineRule="auto"/>
              <w:ind w:left="105"/>
            </w:pPr>
            <w:r>
              <w:rPr>
                <w:spacing w:val="-2"/>
              </w:rPr>
              <w:t>城市轨</w:t>
            </w:r>
          </w:p>
          <w:p w14:paraId="34FC9DA3">
            <w:pPr>
              <w:pStyle w:val="6"/>
              <w:spacing w:before="19" w:line="221" w:lineRule="auto"/>
              <w:ind w:left="105"/>
            </w:pPr>
            <w:r>
              <w:rPr>
                <w:spacing w:val="-2"/>
              </w:rPr>
              <w:t>道交通</w:t>
            </w:r>
          </w:p>
          <w:p w14:paraId="3BA381EA">
            <w:pPr>
              <w:pStyle w:val="6"/>
              <w:spacing w:before="7" w:line="221" w:lineRule="auto"/>
              <w:ind w:left="194"/>
            </w:pPr>
            <w:r>
              <w:rPr>
                <w:spacing w:val="-2"/>
              </w:rPr>
              <w:t>规划</w:t>
            </w:r>
          </w:p>
        </w:tc>
        <w:tc>
          <w:tcPr>
            <w:tcW w:w="2484" w:type="dxa"/>
            <w:vAlign w:val="top"/>
          </w:tcPr>
          <w:p w14:paraId="1EAA22F1">
            <w:pPr>
              <w:pStyle w:val="6"/>
              <w:spacing w:before="77" w:line="232" w:lineRule="auto"/>
              <w:ind w:left="12" w:right="916"/>
              <w:jc w:val="both"/>
            </w:pPr>
            <w:r>
              <w:rPr>
                <w:spacing w:val="1"/>
              </w:rPr>
              <w:t>1.轨道交通主要类型</w:t>
            </w:r>
            <w:r>
              <w:t xml:space="preserve"> </w:t>
            </w:r>
            <w:r>
              <w:rPr>
                <w:spacing w:val="1"/>
              </w:rPr>
              <w:t>2.轨道交通规划原则</w:t>
            </w:r>
            <w:r>
              <w:rPr>
                <w:spacing w:val="4"/>
              </w:rPr>
              <w:t xml:space="preserve"> </w:t>
            </w:r>
            <w:r>
              <w:rPr>
                <w:spacing w:val="-2"/>
              </w:rPr>
              <w:t>3.轨道交通规划内容</w:t>
            </w:r>
          </w:p>
        </w:tc>
        <w:tc>
          <w:tcPr>
            <w:tcW w:w="220" w:type="dxa"/>
            <w:vAlign w:val="top"/>
          </w:tcPr>
          <w:p w14:paraId="6BFACE02">
            <w:pPr>
              <w:rPr>
                <w:rFonts w:ascii="Arial"/>
                <w:sz w:val="21"/>
              </w:rPr>
            </w:pPr>
          </w:p>
        </w:tc>
        <w:tc>
          <w:tcPr>
            <w:tcW w:w="230" w:type="dxa"/>
            <w:vAlign w:val="top"/>
          </w:tcPr>
          <w:p w14:paraId="4BF1D51C">
            <w:pPr>
              <w:rPr>
                <w:rFonts w:ascii="Arial"/>
                <w:sz w:val="21"/>
              </w:rPr>
            </w:pPr>
          </w:p>
        </w:tc>
        <w:tc>
          <w:tcPr>
            <w:tcW w:w="229" w:type="dxa"/>
            <w:vAlign w:val="top"/>
          </w:tcPr>
          <w:p w14:paraId="11A2A09F">
            <w:pPr>
              <w:rPr>
                <w:rFonts w:ascii="Arial"/>
                <w:sz w:val="21"/>
              </w:rPr>
            </w:pPr>
          </w:p>
        </w:tc>
        <w:tc>
          <w:tcPr>
            <w:tcW w:w="234" w:type="dxa"/>
            <w:vAlign w:val="top"/>
          </w:tcPr>
          <w:p w14:paraId="2FE0D2FC">
            <w:pPr>
              <w:rPr>
                <w:rFonts w:ascii="Arial"/>
                <w:sz w:val="21"/>
              </w:rPr>
            </w:pPr>
          </w:p>
        </w:tc>
      </w:tr>
      <w:tr w14:paraId="44606C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47" w:hRule="atLeast"/>
        </w:trPr>
        <w:tc>
          <w:tcPr>
            <w:tcW w:w="743" w:type="dxa"/>
            <w:vAlign w:val="top"/>
          </w:tcPr>
          <w:p w14:paraId="192ACDA4">
            <w:pPr>
              <w:pStyle w:val="6"/>
              <w:spacing w:before="159" w:line="236" w:lineRule="auto"/>
              <w:ind w:left="105" w:right="123"/>
              <w:jc w:val="right"/>
            </w:pPr>
            <w:r>
              <w:rPr>
                <w:spacing w:val="-3"/>
              </w:rPr>
              <w:t>城市轨</w:t>
            </w:r>
            <w:r>
              <w:rPr>
                <w:spacing w:val="1"/>
              </w:rPr>
              <w:t xml:space="preserve"> </w:t>
            </w:r>
            <w:r>
              <w:rPr>
                <w:spacing w:val="-2"/>
              </w:rPr>
              <w:t>道交通</w:t>
            </w:r>
            <w:r>
              <w:t xml:space="preserve"> </w:t>
            </w:r>
            <w:r>
              <w:rPr>
                <w:spacing w:val="40"/>
              </w:rPr>
              <w:t>行车</w:t>
            </w:r>
            <w:r>
              <w:t xml:space="preserve">  </w:t>
            </w:r>
            <w:r>
              <w:rPr>
                <w:spacing w:val="-3"/>
              </w:rPr>
              <w:t>组织</w:t>
            </w:r>
          </w:p>
        </w:tc>
        <w:tc>
          <w:tcPr>
            <w:tcW w:w="2484" w:type="dxa"/>
            <w:vAlign w:val="top"/>
          </w:tcPr>
          <w:p w14:paraId="04ACD794">
            <w:pPr>
              <w:pStyle w:val="6"/>
              <w:spacing w:before="49" w:line="219" w:lineRule="auto"/>
              <w:ind w:left="12"/>
            </w:pPr>
            <w:r>
              <w:rPr>
                <w:spacing w:val="2"/>
              </w:rPr>
              <w:t>1.运行特点</w:t>
            </w:r>
          </w:p>
          <w:p w14:paraId="06620CDF">
            <w:pPr>
              <w:pStyle w:val="6"/>
              <w:spacing w:before="38" w:line="218" w:lineRule="auto"/>
              <w:ind w:left="12" w:right="1427"/>
            </w:pPr>
            <w:r>
              <w:rPr>
                <w:spacing w:val="2"/>
              </w:rPr>
              <w:t>2.列车运行图</w:t>
            </w:r>
            <w:r>
              <w:t xml:space="preserve"> </w:t>
            </w:r>
            <w:r>
              <w:rPr>
                <w:spacing w:val="-2"/>
              </w:rPr>
              <w:t>3.行车调度</w:t>
            </w:r>
          </w:p>
          <w:p w14:paraId="2D6ED622">
            <w:pPr>
              <w:pStyle w:val="6"/>
              <w:spacing w:before="38" w:line="219" w:lineRule="auto"/>
              <w:ind w:left="12"/>
            </w:pPr>
            <w:r>
              <w:rPr>
                <w:spacing w:val="-1"/>
              </w:rPr>
              <w:t>4.行车组织</w:t>
            </w:r>
          </w:p>
          <w:p w14:paraId="6623FAD4">
            <w:pPr>
              <w:pStyle w:val="6"/>
              <w:spacing w:before="18" w:line="204" w:lineRule="auto"/>
              <w:ind w:left="12"/>
            </w:pPr>
            <w:r>
              <w:rPr>
                <w:spacing w:val="-2"/>
              </w:rPr>
              <w:t>5.行车信息管理</w:t>
            </w:r>
          </w:p>
        </w:tc>
        <w:tc>
          <w:tcPr>
            <w:tcW w:w="220" w:type="dxa"/>
            <w:vAlign w:val="top"/>
          </w:tcPr>
          <w:p w14:paraId="566B190C">
            <w:pPr>
              <w:rPr>
                <w:rFonts w:ascii="Arial"/>
                <w:sz w:val="21"/>
              </w:rPr>
            </w:pPr>
          </w:p>
        </w:tc>
        <w:tc>
          <w:tcPr>
            <w:tcW w:w="230" w:type="dxa"/>
            <w:vAlign w:val="top"/>
          </w:tcPr>
          <w:p w14:paraId="62AE699F">
            <w:pPr>
              <w:rPr>
                <w:rFonts w:ascii="Arial"/>
                <w:sz w:val="21"/>
              </w:rPr>
            </w:pPr>
          </w:p>
        </w:tc>
        <w:tc>
          <w:tcPr>
            <w:tcW w:w="229" w:type="dxa"/>
            <w:vAlign w:val="top"/>
          </w:tcPr>
          <w:p w14:paraId="6EFB345F">
            <w:pPr>
              <w:rPr>
                <w:rFonts w:ascii="Arial"/>
                <w:sz w:val="21"/>
              </w:rPr>
            </w:pPr>
          </w:p>
        </w:tc>
        <w:tc>
          <w:tcPr>
            <w:tcW w:w="234" w:type="dxa"/>
            <w:vAlign w:val="top"/>
          </w:tcPr>
          <w:p w14:paraId="4231B17B">
            <w:pPr>
              <w:rPr>
                <w:rFonts w:ascii="Arial"/>
                <w:sz w:val="21"/>
              </w:rPr>
            </w:pPr>
          </w:p>
        </w:tc>
      </w:tr>
      <w:tr w14:paraId="48FA27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99" w:hRule="atLeast"/>
        </w:trPr>
        <w:tc>
          <w:tcPr>
            <w:tcW w:w="743" w:type="dxa"/>
            <w:vAlign w:val="top"/>
          </w:tcPr>
          <w:p w14:paraId="0C474609">
            <w:pPr>
              <w:pStyle w:val="6"/>
              <w:spacing w:before="52" w:line="219" w:lineRule="auto"/>
              <w:ind w:left="25"/>
            </w:pPr>
            <w:r>
              <w:rPr>
                <w:spacing w:val="-2"/>
              </w:rPr>
              <w:t>城市轨道</w:t>
            </w:r>
          </w:p>
          <w:p w14:paraId="23FB3A39">
            <w:pPr>
              <w:pStyle w:val="6"/>
              <w:spacing w:before="28" w:line="220" w:lineRule="auto"/>
              <w:ind w:left="25"/>
            </w:pPr>
            <w:r>
              <w:rPr>
                <w:spacing w:val="-2"/>
              </w:rPr>
              <w:t>交通客运</w:t>
            </w:r>
          </w:p>
          <w:p w14:paraId="3E987438">
            <w:pPr>
              <w:pStyle w:val="6"/>
              <w:spacing w:before="30" w:line="188" w:lineRule="auto"/>
              <w:ind w:left="194"/>
            </w:pPr>
            <w:r>
              <w:rPr>
                <w:spacing w:val="-3"/>
              </w:rPr>
              <w:t>组织</w:t>
            </w:r>
          </w:p>
        </w:tc>
        <w:tc>
          <w:tcPr>
            <w:tcW w:w="2484" w:type="dxa"/>
            <w:vAlign w:val="top"/>
          </w:tcPr>
          <w:p w14:paraId="0B52D730">
            <w:pPr>
              <w:pStyle w:val="6"/>
              <w:spacing w:before="53" w:line="230" w:lineRule="auto"/>
              <w:ind w:left="12" w:right="1599"/>
              <w:jc w:val="both"/>
            </w:pPr>
            <w:r>
              <w:rPr>
                <w:spacing w:val="1"/>
              </w:rPr>
              <w:t xml:space="preserve">1.客流调查 </w:t>
            </w:r>
            <w:r>
              <w:rPr>
                <w:spacing w:val="2"/>
              </w:rPr>
              <w:t>2.客流计划</w:t>
            </w:r>
            <w:r>
              <w:t xml:space="preserve"> </w:t>
            </w:r>
            <w:r>
              <w:rPr>
                <w:spacing w:val="-2"/>
              </w:rPr>
              <w:t>3.客运组织</w:t>
            </w:r>
          </w:p>
        </w:tc>
        <w:tc>
          <w:tcPr>
            <w:tcW w:w="220" w:type="dxa"/>
            <w:vAlign w:val="top"/>
          </w:tcPr>
          <w:p w14:paraId="42590733">
            <w:pPr>
              <w:rPr>
                <w:rFonts w:ascii="Arial"/>
                <w:sz w:val="21"/>
              </w:rPr>
            </w:pPr>
          </w:p>
        </w:tc>
        <w:tc>
          <w:tcPr>
            <w:tcW w:w="230" w:type="dxa"/>
            <w:vAlign w:val="top"/>
          </w:tcPr>
          <w:p w14:paraId="38307140">
            <w:pPr>
              <w:rPr>
                <w:rFonts w:ascii="Arial"/>
                <w:sz w:val="21"/>
              </w:rPr>
            </w:pPr>
          </w:p>
        </w:tc>
        <w:tc>
          <w:tcPr>
            <w:tcW w:w="229" w:type="dxa"/>
            <w:vAlign w:val="top"/>
          </w:tcPr>
          <w:p w14:paraId="1C0E2514">
            <w:pPr>
              <w:rPr>
                <w:rFonts w:ascii="Arial"/>
                <w:sz w:val="21"/>
              </w:rPr>
            </w:pPr>
          </w:p>
        </w:tc>
        <w:tc>
          <w:tcPr>
            <w:tcW w:w="234" w:type="dxa"/>
            <w:vAlign w:val="top"/>
          </w:tcPr>
          <w:p w14:paraId="2E24E4DA">
            <w:pPr>
              <w:rPr>
                <w:rFonts w:ascii="Arial"/>
                <w:sz w:val="21"/>
              </w:rPr>
            </w:pPr>
          </w:p>
        </w:tc>
      </w:tr>
      <w:tr w14:paraId="60DF91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68" w:hRule="atLeast"/>
        </w:trPr>
        <w:tc>
          <w:tcPr>
            <w:tcW w:w="743" w:type="dxa"/>
            <w:vAlign w:val="top"/>
          </w:tcPr>
          <w:p w14:paraId="2E0BAEEE">
            <w:pPr>
              <w:pStyle w:val="6"/>
              <w:spacing w:before="43" w:line="221" w:lineRule="auto"/>
              <w:ind w:left="105" w:right="123"/>
              <w:jc w:val="right"/>
            </w:pPr>
            <w:r>
              <w:rPr>
                <w:spacing w:val="-3"/>
              </w:rPr>
              <w:t>城市轨</w:t>
            </w:r>
            <w:r>
              <w:rPr>
                <w:spacing w:val="1"/>
              </w:rPr>
              <w:t xml:space="preserve"> </w:t>
            </w:r>
            <w:r>
              <w:rPr>
                <w:spacing w:val="-2"/>
              </w:rPr>
              <w:t>道交通</w:t>
            </w:r>
            <w:r>
              <w:t xml:space="preserve"> </w:t>
            </w:r>
            <w:r>
              <w:rPr>
                <w:spacing w:val="40"/>
              </w:rPr>
              <w:t>票务</w:t>
            </w:r>
            <w:r>
              <w:t xml:space="preserve">  </w:t>
            </w:r>
            <w:r>
              <w:rPr>
                <w:spacing w:val="-3"/>
              </w:rPr>
              <w:t>管理</w:t>
            </w:r>
          </w:p>
        </w:tc>
        <w:tc>
          <w:tcPr>
            <w:tcW w:w="2484" w:type="dxa"/>
            <w:vAlign w:val="top"/>
          </w:tcPr>
          <w:p w14:paraId="44709E24">
            <w:pPr>
              <w:pStyle w:val="6"/>
              <w:spacing w:before="51" w:line="219" w:lineRule="auto"/>
              <w:ind w:left="12" w:right="1427"/>
              <w:jc w:val="both"/>
            </w:pPr>
            <w:r>
              <w:t>1.售检票方式</w:t>
            </w:r>
            <w:r>
              <w:rPr>
                <w:spacing w:val="5"/>
              </w:rPr>
              <w:t xml:space="preserve"> </w:t>
            </w:r>
            <w:r>
              <w:rPr>
                <w:spacing w:val="2"/>
              </w:rPr>
              <w:t>2.票价与票制</w:t>
            </w:r>
            <w:r>
              <w:t xml:space="preserve"> </w:t>
            </w:r>
            <w:r>
              <w:rPr>
                <w:spacing w:val="-2"/>
              </w:rPr>
              <w:t>3.车票及票款</w:t>
            </w:r>
            <w:r>
              <w:rPr>
                <w:spacing w:val="2"/>
              </w:rPr>
              <w:t xml:space="preserve"> </w:t>
            </w:r>
            <w:r>
              <w:rPr>
                <w:spacing w:val="-1"/>
              </w:rPr>
              <w:t>4.财务管理</w:t>
            </w:r>
          </w:p>
        </w:tc>
        <w:tc>
          <w:tcPr>
            <w:tcW w:w="220" w:type="dxa"/>
            <w:vAlign w:val="top"/>
          </w:tcPr>
          <w:p w14:paraId="6B5BB5EA">
            <w:pPr>
              <w:rPr>
                <w:rFonts w:ascii="Arial"/>
                <w:sz w:val="21"/>
              </w:rPr>
            </w:pPr>
          </w:p>
        </w:tc>
        <w:tc>
          <w:tcPr>
            <w:tcW w:w="230" w:type="dxa"/>
            <w:vAlign w:val="top"/>
          </w:tcPr>
          <w:p w14:paraId="6D32E72A">
            <w:pPr>
              <w:rPr>
                <w:rFonts w:ascii="Arial"/>
                <w:sz w:val="21"/>
              </w:rPr>
            </w:pPr>
          </w:p>
        </w:tc>
        <w:tc>
          <w:tcPr>
            <w:tcW w:w="229" w:type="dxa"/>
            <w:vAlign w:val="top"/>
          </w:tcPr>
          <w:p w14:paraId="4B2D6563">
            <w:pPr>
              <w:rPr>
                <w:rFonts w:ascii="Arial"/>
                <w:sz w:val="21"/>
              </w:rPr>
            </w:pPr>
          </w:p>
        </w:tc>
        <w:tc>
          <w:tcPr>
            <w:tcW w:w="234" w:type="dxa"/>
            <w:vAlign w:val="top"/>
          </w:tcPr>
          <w:p w14:paraId="50F08575">
            <w:pPr>
              <w:rPr>
                <w:rFonts w:ascii="Arial"/>
                <w:sz w:val="21"/>
              </w:rPr>
            </w:pPr>
          </w:p>
        </w:tc>
      </w:tr>
      <w:tr w14:paraId="47A9C7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83" w:hRule="atLeast"/>
        </w:trPr>
        <w:tc>
          <w:tcPr>
            <w:tcW w:w="743" w:type="dxa"/>
            <w:vAlign w:val="top"/>
          </w:tcPr>
          <w:p w14:paraId="01A87E7E">
            <w:pPr>
              <w:pStyle w:val="6"/>
              <w:spacing w:before="55" w:line="222" w:lineRule="auto"/>
              <w:ind w:left="105" w:right="123"/>
              <w:jc w:val="right"/>
            </w:pPr>
            <w:r>
              <w:rPr>
                <w:spacing w:val="-3"/>
              </w:rPr>
              <w:t>城市轨</w:t>
            </w:r>
            <w:r>
              <w:rPr>
                <w:spacing w:val="1"/>
              </w:rPr>
              <w:t xml:space="preserve"> </w:t>
            </w:r>
            <w:r>
              <w:rPr>
                <w:spacing w:val="-2"/>
              </w:rPr>
              <w:t>道交通</w:t>
            </w:r>
            <w:r>
              <w:t xml:space="preserve"> </w:t>
            </w:r>
            <w:r>
              <w:rPr>
                <w:spacing w:val="39"/>
              </w:rPr>
              <w:t>安全</w:t>
            </w:r>
            <w:r>
              <w:t xml:space="preserve">  </w:t>
            </w:r>
            <w:r>
              <w:rPr>
                <w:spacing w:val="-3"/>
              </w:rPr>
              <w:t>管理</w:t>
            </w:r>
          </w:p>
        </w:tc>
        <w:tc>
          <w:tcPr>
            <w:tcW w:w="2484" w:type="dxa"/>
            <w:vAlign w:val="top"/>
          </w:tcPr>
          <w:p w14:paraId="0E610DC5">
            <w:pPr>
              <w:pStyle w:val="6"/>
              <w:spacing w:before="55" w:line="216" w:lineRule="auto"/>
              <w:ind w:left="12"/>
            </w:pPr>
            <w:r>
              <w:t>1.安全系统工程</w:t>
            </w:r>
          </w:p>
          <w:p w14:paraId="14D8E74B">
            <w:pPr>
              <w:pStyle w:val="6"/>
              <w:spacing w:before="2" w:line="223" w:lineRule="auto"/>
              <w:ind w:left="12" w:right="1617"/>
              <w:jc w:val="both"/>
            </w:pPr>
            <w:r>
              <w:rPr>
                <w:spacing w:val="-2"/>
              </w:rPr>
              <w:t>2.运输事故</w:t>
            </w:r>
            <w:r>
              <w:rPr>
                <w:spacing w:val="2"/>
              </w:rPr>
              <w:t xml:space="preserve"> </w:t>
            </w:r>
            <w:r>
              <w:rPr>
                <w:spacing w:val="-2"/>
              </w:rPr>
              <w:t>3.安全对策</w:t>
            </w:r>
            <w:r>
              <w:t xml:space="preserve"> </w:t>
            </w:r>
            <w:r>
              <w:rPr>
                <w:spacing w:val="-1"/>
              </w:rPr>
              <w:t>4.应急预案</w:t>
            </w:r>
          </w:p>
        </w:tc>
        <w:tc>
          <w:tcPr>
            <w:tcW w:w="220" w:type="dxa"/>
            <w:vAlign w:val="top"/>
          </w:tcPr>
          <w:p w14:paraId="355B564E">
            <w:pPr>
              <w:rPr>
                <w:rFonts w:ascii="Arial"/>
                <w:sz w:val="21"/>
              </w:rPr>
            </w:pPr>
          </w:p>
        </w:tc>
        <w:tc>
          <w:tcPr>
            <w:tcW w:w="230" w:type="dxa"/>
            <w:vAlign w:val="top"/>
          </w:tcPr>
          <w:p w14:paraId="7E54A8FD">
            <w:pPr>
              <w:rPr>
                <w:rFonts w:ascii="Arial"/>
                <w:sz w:val="21"/>
              </w:rPr>
            </w:pPr>
          </w:p>
        </w:tc>
        <w:tc>
          <w:tcPr>
            <w:tcW w:w="229" w:type="dxa"/>
            <w:vAlign w:val="top"/>
          </w:tcPr>
          <w:p w14:paraId="22D7D268">
            <w:pPr>
              <w:rPr>
                <w:rFonts w:ascii="Arial"/>
                <w:sz w:val="21"/>
              </w:rPr>
            </w:pPr>
          </w:p>
        </w:tc>
        <w:tc>
          <w:tcPr>
            <w:tcW w:w="234" w:type="dxa"/>
            <w:vAlign w:val="top"/>
          </w:tcPr>
          <w:p w14:paraId="222AA105">
            <w:pPr>
              <w:rPr>
                <w:rFonts w:ascii="Arial"/>
                <w:sz w:val="21"/>
              </w:rPr>
            </w:pPr>
          </w:p>
        </w:tc>
      </w:tr>
    </w:tbl>
    <w:p w14:paraId="4BEF8D92">
      <w:pPr>
        <w:spacing w:before="149" w:line="221" w:lineRule="auto"/>
        <w:ind w:left="30"/>
        <w:rPr>
          <w:rFonts w:ascii="黑体" w:hAnsi="黑体" w:eastAsia="黑体" w:cs="黑体"/>
          <w:sz w:val="23"/>
          <w:szCs w:val="23"/>
        </w:rPr>
      </w:pPr>
      <w:r>
        <w:rPr>
          <w:rFonts w:ascii="黑体" w:hAnsi="黑体" w:eastAsia="黑体" w:cs="黑体"/>
          <w:b/>
          <w:bCs/>
          <w:spacing w:val="-6"/>
          <w:sz w:val="23"/>
          <w:szCs w:val="23"/>
        </w:rPr>
        <w:t>四、考试形式和试卷结构</w:t>
      </w:r>
    </w:p>
    <w:p w14:paraId="66EB6155">
      <w:pPr>
        <w:spacing w:before="107" w:line="227" w:lineRule="auto"/>
        <w:ind w:left="367"/>
        <w:rPr>
          <w:rFonts w:ascii="楷体" w:hAnsi="楷体" w:eastAsia="楷体" w:cs="楷体"/>
          <w:sz w:val="15"/>
          <w:szCs w:val="15"/>
        </w:rPr>
      </w:pPr>
      <w:r>
        <w:rPr>
          <w:rFonts w:ascii="宋体" w:hAnsi="宋体" w:eastAsia="宋体" w:cs="宋体"/>
          <w:spacing w:val="10"/>
          <w:sz w:val="15"/>
          <w:szCs w:val="15"/>
        </w:rPr>
        <w:t>1.</w:t>
      </w:r>
      <w:r>
        <w:rPr>
          <w:rFonts w:ascii="楷体" w:hAnsi="楷体" w:eastAsia="楷体" w:cs="楷体"/>
          <w:spacing w:val="10"/>
          <w:sz w:val="15"/>
          <w:szCs w:val="15"/>
        </w:rPr>
        <w:t>考试形式：</w:t>
      </w:r>
    </w:p>
    <w:p w14:paraId="7BB01C68">
      <w:pPr>
        <w:spacing w:before="96" w:line="310" w:lineRule="auto"/>
        <w:ind w:left="367" w:right="259"/>
        <w:rPr>
          <w:rFonts w:ascii="楷体" w:hAnsi="楷体" w:eastAsia="楷体" w:cs="楷体"/>
          <w:sz w:val="15"/>
          <w:szCs w:val="15"/>
        </w:rPr>
      </w:pPr>
      <w:r>
        <w:rPr>
          <w:rFonts w:ascii="宋体" w:hAnsi="宋体" w:eastAsia="宋体" w:cs="宋体"/>
          <w:spacing w:val="2"/>
          <w:sz w:val="17"/>
          <w:szCs w:val="17"/>
        </w:rPr>
        <w:t>考试采用闭卷笔答形式。考试时间为150分钟。</w:t>
      </w:r>
      <w:r>
        <w:rPr>
          <w:rFonts w:ascii="宋体" w:hAnsi="宋体" w:eastAsia="宋体" w:cs="宋体"/>
          <w:spacing w:val="5"/>
          <w:sz w:val="17"/>
          <w:szCs w:val="17"/>
        </w:rPr>
        <w:t xml:space="preserve"> </w:t>
      </w:r>
      <w:r>
        <w:rPr>
          <w:rFonts w:ascii="宋体" w:hAnsi="宋体" w:eastAsia="宋体" w:cs="宋体"/>
          <w:spacing w:val="10"/>
          <w:sz w:val="15"/>
          <w:szCs w:val="15"/>
        </w:rPr>
        <w:t>2.</w:t>
      </w:r>
      <w:r>
        <w:rPr>
          <w:rFonts w:ascii="楷体" w:hAnsi="楷体" w:eastAsia="楷体" w:cs="楷体"/>
          <w:spacing w:val="10"/>
          <w:sz w:val="15"/>
          <w:szCs w:val="15"/>
        </w:rPr>
        <w:t>试卷结构：</w:t>
      </w:r>
    </w:p>
    <w:p w14:paraId="0084FCEB">
      <w:pPr>
        <w:spacing w:before="33" w:line="219" w:lineRule="auto"/>
        <w:ind w:left="417"/>
        <w:rPr>
          <w:rFonts w:ascii="宋体" w:hAnsi="宋体" w:eastAsia="宋体" w:cs="宋体"/>
          <w:sz w:val="17"/>
          <w:szCs w:val="17"/>
        </w:rPr>
      </w:pPr>
      <w:r>
        <w:rPr>
          <w:rFonts w:ascii="宋体" w:hAnsi="宋体" w:eastAsia="宋体" w:cs="宋体"/>
          <w:spacing w:val="9"/>
          <w:sz w:val="17"/>
          <w:szCs w:val="17"/>
        </w:rPr>
        <w:t>(1)按知识内容分：</w:t>
      </w:r>
    </w:p>
    <w:p w14:paraId="67D63B83">
      <w:pPr>
        <w:spacing w:before="85" w:line="250" w:lineRule="auto"/>
        <w:ind w:right="62" w:firstLine="370"/>
        <w:rPr>
          <w:rFonts w:ascii="宋体" w:hAnsi="宋体" w:eastAsia="宋体" w:cs="宋体"/>
          <w:sz w:val="17"/>
          <w:szCs w:val="17"/>
        </w:rPr>
      </w:pPr>
      <w:r>
        <w:rPr>
          <w:rFonts w:ascii="宋体" w:hAnsi="宋体" w:eastAsia="宋体" w:cs="宋体"/>
          <w:b/>
          <w:bCs/>
          <w:spacing w:val="-3"/>
          <w:sz w:val="17"/>
          <w:szCs w:val="17"/>
        </w:rPr>
        <w:t>专业综合课考试为一张试卷，含三个科目的内容，</w:t>
      </w:r>
      <w:r>
        <w:rPr>
          <w:rFonts w:ascii="宋体" w:hAnsi="宋体" w:eastAsia="宋体" w:cs="宋体"/>
          <w:spacing w:val="15"/>
          <w:sz w:val="17"/>
          <w:szCs w:val="17"/>
        </w:rPr>
        <w:t xml:space="preserve"> </w:t>
      </w:r>
      <w:r>
        <w:rPr>
          <w:rFonts w:ascii="宋体" w:hAnsi="宋体" w:eastAsia="宋体" w:cs="宋体"/>
          <w:b/>
          <w:bCs/>
          <w:spacing w:val="2"/>
          <w:sz w:val="17"/>
          <w:szCs w:val="17"/>
        </w:rPr>
        <w:t>满分共200分。试卷中知识要点充分考虑到重点章节，</w:t>
      </w:r>
    </w:p>
    <w:p w14:paraId="26545DE4">
      <w:pPr>
        <w:spacing w:line="250" w:lineRule="auto"/>
        <w:rPr>
          <w:rFonts w:ascii="宋体" w:hAnsi="宋体" w:eastAsia="宋体" w:cs="宋体"/>
          <w:sz w:val="17"/>
          <w:szCs w:val="17"/>
        </w:rPr>
        <w:sectPr>
          <w:type w:val="continuous"/>
          <w:pgSz w:w="10660" w:h="15080"/>
          <w:pgMar w:top="400" w:right="875" w:bottom="936" w:left="1024" w:header="0" w:footer="715" w:gutter="0"/>
          <w:cols w:equalWidth="0" w:num="2">
            <w:col w:w="4498" w:space="100"/>
            <w:col w:w="4163"/>
          </w:cols>
        </w:sectPr>
      </w:pPr>
    </w:p>
    <w:p w14:paraId="115B2F87">
      <w:pPr>
        <w:spacing w:before="75"/>
      </w:pPr>
    </w:p>
    <w:p w14:paraId="5E7254A7">
      <w:pPr>
        <w:spacing w:before="74"/>
      </w:pPr>
    </w:p>
    <w:p w14:paraId="4B020329">
      <w:pPr>
        <w:spacing w:before="74"/>
      </w:pPr>
    </w:p>
    <w:p w14:paraId="2B227973">
      <w:pPr>
        <w:sectPr>
          <w:footerReference r:id="rId92" w:type="default"/>
          <w:pgSz w:w="10660" w:h="15080"/>
          <w:pgMar w:top="400" w:right="976" w:bottom="925" w:left="819" w:header="0" w:footer="705" w:gutter="0"/>
          <w:cols w:equalWidth="0" w:num="1">
            <w:col w:w="8864"/>
          </w:cols>
        </w:sectPr>
      </w:pPr>
    </w:p>
    <w:p w14:paraId="3C8FDC8E">
      <w:pPr>
        <w:spacing w:before="54" w:line="314" w:lineRule="auto"/>
        <w:ind w:left="2" w:right="454"/>
        <w:rPr>
          <w:rFonts w:ascii="宋体" w:hAnsi="宋体" w:eastAsia="宋体" w:cs="宋体"/>
          <w:sz w:val="17"/>
          <w:szCs w:val="17"/>
        </w:rPr>
      </w:pPr>
      <w:r>
        <w:rPr>
          <w:rFonts w:ascii="宋体" w:hAnsi="宋体" w:eastAsia="宋体" w:cs="宋体"/>
          <w:b/>
          <w:bCs/>
          <w:spacing w:val="7"/>
          <w:sz w:val="17"/>
          <w:szCs w:val="17"/>
        </w:rPr>
        <w:t>重要知识点的比例不少于50%,部分综合和三科综合各</w:t>
      </w:r>
      <w:r>
        <w:rPr>
          <w:rFonts w:ascii="宋体" w:hAnsi="宋体" w:eastAsia="宋体" w:cs="宋体"/>
          <w:spacing w:val="2"/>
          <w:sz w:val="17"/>
          <w:szCs w:val="17"/>
        </w:rPr>
        <w:t xml:space="preserve"> </w:t>
      </w:r>
      <w:r>
        <w:rPr>
          <w:rFonts w:ascii="宋体" w:hAnsi="宋体" w:eastAsia="宋体" w:cs="宋体"/>
          <w:b/>
          <w:bCs/>
          <w:spacing w:val="2"/>
          <w:sz w:val="17"/>
          <w:szCs w:val="17"/>
        </w:rPr>
        <w:t>占15%。各部分内容及章节所占比例如下：</w:t>
      </w:r>
    </w:p>
    <w:p w14:paraId="64D745D7">
      <w:pPr>
        <w:spacing w:line="42" w:lineRule="auto"/>
        <w:rPr>
          <w:rFonts w:ascii="Arial"/>
          <w:sz w:val="2"/>
        </w:rPr>
      </w:pPr>
    </w:p>
    <w:tbl>
      <w:tblPr>
        <w:tblStyle w:val="5"/>
        <w:tblW w:w="4140" w:type="dxa"/>
        <w:tblInd w:w="2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444"/>
        <w:gridCol w:w="3212"/>
        <w:gridCol w:w="484"/>
      </w:tblGrid>
      <w:tr w14:paraId="243E2C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5" w:hRule="atLeast"/>
        </w:trPr>
        <w:tc>
          <w:tcPr>
            <w:tcW w:w="444" w:type="dxa"/>
            <w:vAlign w:val="top"/>
          </w:tcPr>
          <w:p w14:paraId="28671C5B">
            <w:pPr>
              <w:pStyle w:val="6"/>
              <w:spacing w:before="78" w:line="219" w:lineRule="auto"/>
              <w:ind w:left="37"/>
              <w:rPr>
                <w:sz w:val="18"/>
                <w:szCs w:val="18"/>
              </w:rPr>
            </w:pPr>
            <w:r>
              <w:rPr>
                <w:b/>
                <w:bCs/>
                <w:spacing w:val="-5"/>
                <w:sz w:val="18"/>
                <w:szCs w:val="18"/>
              </w:rPr>
              <w:t>学科</w:t>
            </w:r>
          </w:p>
        </w:tc>
        <w:tc>
          <w:tcPr>
            <w:tcW w:w="3212" w:type="dxa"/>
            <w:vAlign w:val="top"/>
          </w:tcPr>
          <w:p w14:paraId="2F6076EB">
            <w:pPr>
              <w:pStyle w:val="6"/>
              <w:spacing w:before="80" w:line="221" w:lineRule="auto"/>
              <w:ind w:left="1053"/>
              <w:rPr>
                <w:sz w:val="18"/>
                <w:szCs w:val="18"/>
              </w:rPr>
            </w:pPr>
            <w:r>
              <w:rPr>
                <w:b/>
                <w:bCs/>
                <w:spacing w:val="-1"/>
                <w:sz w:val="18"/>
                <w:szCs w:val="18"/>
              </w:rPr>
              <w:t>知识与技能要点</w:t>
            </w:r>
          </w:p>
        </w:tc>
        <w:tc>
          <w:tcPr>
            <w:tcW w:w="484" w:type="dxa"/>
            <w:vAlign w:val="top"/>
          </w:tcPr>
          <w:p w14:paraId="6129F264">
            <w:pPr>
              <w:pStyle w:val="6"/>
              <w:spacing w:before="80" w:line="221" w:lineRule="auto"/>
              <w:ind w:left="91"/>
              <w:rPr>
                <w:sz w:val="18"/>
                <w:szCs w:val="18"/>
              </w:rPr>
            </w:pPr>
            <w:r>
              <w:rPr>
                <w:b/>
                <w:bCs/>
                <w:spacing w:val="-5"/>
                <w:sz w:val="18"/>
                <w:szCs w:val="18"/>
              </w:rPr>
              <w:t>小计</w:t>
            </w:r>
          </w:p>
        </w:tc>
      </w:tr>
      <w:tr w14:paraId="3CA79D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444" w:type="dxa"/>
            <w:vMerge w:val="restart"/>
            <w:tcBorders>
              <w:bottom w:val="nil"/>
            </w:tcBorders>
            <w:vAlign w:val="top"/>
          </w:tcPr>
          <w:p w14:paraId="77E3985A">
            <w:pPr>
              <w:spacing w:line="270" w:lineRule="auto"/>
              <w:rPr>
                <w:rFonts w:ascii="Arial"/>
                <w:sz w:val="21"/>
              </w:rPr>
            </w:pPr>
          </w:p>
          <w:p w14:paraId="02D5EEF4">
            <w:pPr>
              <w:spacing w:line="271" w:lineRule="auto"/>
              <w:rPr>
                <w:rFonts w:ascii="Arial"/>
                <w:sz w:val="21"/>
              </w:rPr>
            </w:pPr>
          </w:p>
          <w:p w14:paraId="69F7CFC1">
            <w:pPr>
              <w:spacing w:line="271" w:lineRule="auto"/>
              <w:rPr>
                <w:rFonts w:ascii="Arial"/>
                <w:sz w:val="21"/>
              </w:rPr>
            </w:pPr>
          </w:p>
          <w:p w14:paraId="11DDA3A5">
            <w:pPr>
              <w:spacing w:line="271" w:lineRule="auto"/>
              <w:rPr>
                <w:rFonts w:ascii="Arial"/>
                <w:sz w:val="21"/>
              </w:rPr>
            </w:pPr>
          </w:p>
          <w:p w14:paraId="7D2AB609">
            <w:pPr>
              <w:spacing w:line="271" w:lineRule="auto"/>
              <w:rPr>
                <w:rFonts w:ascii="Arial"/>
                <w:sz w:val="21"/>
              </w:rPr>
            </w:pPr>
          </w:p>
          <w:p w14:paraId="07530583">
            <w:pPr>
              <w:spacing w:line="271" w:lineRule="auto"/>
              <w:rPr>
                <w:rFonts w:ascii="Arial"/>
                <w:sz w:val="21"/>
              </w:rPr>
            </w:pPr>
          </w:p>
          <w:p w14:paraId="2773F66E">
            <w:pPr>
              <w:pStyle w:val="6"/>
              <w:spacing w:before="58" w:line="225" w:lineRule="auto"/>
              <w:ind w:left="34" w:right="29"/>
              <w:rPr>
                <w:sz w:val="18"/>
                <w:szCs w:val="18"/>
              </w:rPr>
            </w:pPr>
            <w:r>
              <w:rPr>
                <w:spacing w:val="4"/>
                <w:sz w:val="18"/>
                <w:szCs w:val="18"/>
              </w:rPr>
              <w:t>电工</w:t>
            </w:r>
            <w:r>
              <w:rPr>
                <w:sz w:val="18"/>
                <w:szCs w:val="18"/>
              </w:rPr>
              <w:t xml:space="preserve"> </w:t>
            </w:r>
            <w:r>
              <w:rPr>
                <w:spacing w:val="-2"/>
                <w:sz w:val="18"/>
                <w:szCs w:val="18"/>
              </w:rPr>
              <w:t>基础</w:t>
            </w:r>
          </w:p>
        </w:tc>
        <w:tc>
          <w:tcPr>
            <w:tcW w:w="3212" w:type="dxa"/>
            <w:vAlign w:val="top"/>
          </w:tcPr>
          <w:p w14:paraId="285BBD74">
            <w:pPr>
              <w:pStyle w:val="6"/>
              <w:spacing w:before="76" w:line="219" w:lineRule="auto"/>
              <w:ind w:left="81"/>
              <w:rPr>
                <w:sz w:val="18"/>
                <w:szCs w:val="18"/>
              </w:rPr>
            </w:pPr>
            <w:r>
              <w:rPr>
                <w:spacing w:val="-4"/>
                <w:sz w:val="18"/>
                <w:szCs w:val="18"/>
              </w:rPr>
              <w:t>第一章</w:t>
            </w:r>
            <w:r>
              <w:rPr>
                <w:spacing w:val="17"/>
                <w:sz w:val="18"/>
                <w:szCs w:val="18"/>
              </w:rPr>
              <w:t xml:space="preserve">  </w:t>
            </w:r>
            <w:r>
              <w:rPr>
                <w:spacing w:val="-4"/>
                <w:sz w:val="18"/>
                <w:szCs w:val="18"/>
              </w:rPr>
              <w:t>电路的基本概念</w:t>
            </w:r>
          </w:p>
        </w:tc>
        <w:tc>
          <w:tcPr>
            <w:tcW w:w="484" w:type="dxa"/>
            <w:vMerge w:val="restart"/>
            <w:tcBorders>
              <w:bottom w:val="nil"/>
            </w:tcBorders>
            <w:vAlign w:val="top"/>
          </w:tcPr>
          <w:p w14:paraId="61332E2B">
            <w:pPr>
              <w:spacing w:line="250" w:lineRule="auto"/>
              <w:rPr>
                <w:rFonts w:ascii="Arial"/>
                <w:sz w:val="21"/>
              </w:rPr>
            </w:pPr>
          </w:p>
          <w:p w14:paraId="1E38FE9F">
            <w:pPr>
              <w:spacing w:line="250" w:lineRule="auto"/>
              <w:rPr>
                <w:rFonts w:ascii="Arial"/>
                <w:sz w:val="21"/>
              </w:rPr>
            </w:pPr>
          </w:p>
          <w:p w14:paraId="473706E6">
            <w:pPr>
              <w:spacing w:line="250" w:lineRule="auto"/>
              <w:rPr>
                <w:rFonts w:ascii="Arial"/>
                <w:sz w:val="21"/>
              </w:rPr>
            </w:pPr>
          </w:p>
          <w:p w14:paraId="45FE27D0">
            <w:pPr>
              <w:spacing w:line="251" w:lineRule="auto"/>
              <w:rPr>
                <w:rFonts w:ascii="Arial"/>
                <w:sz w:val="21"/>
              </w:rPr>
            </w:pPr>
          </w:p>
          <w:p w14:paraId="7ACB1F9B">
            <w:pPr>
              <w:spacing w:line="251" w:lineRule="auto"/>
              <w:rPr>
                <w:rFonts w:ascii="Arial"/>
                <w:sz w:val="21"/>
              </w:rPr>
            </w:pPr>
          </w:p>
          <w:p w14:paraId="0EF1F143">
            <w:pPr>
              <w:spacing w:line="251" w:lineRule="auto"/>
              <w:rPr>
                <w:rFonts w:ascii="Arial"/>
                <w:sz w:val="21"/>
              </w:rPr>
            </w:pPr>
          </w:p>
          <w:p w14:paraId="4E1A7C03">
            <w:pPr>
              <w:spacing w:line="251" w:lineRule="auto"/>
              <w:rPr>
                <w:rFonts w:ascii="Arial"/>
                <w:sz w:val="21"/>
              </w:rPr>
            </w:pPr>
          </w:p>
          <w:p w14:paraId="149F16A3">
            <w:pPr>
              <w:pStyle w:val="6"/>
              <w:spacing w:before="59" w:line="183" w:lineRule="auto"/>
              <w:ind w:left="178"/>
              <w:rPr>
                <w:sz w:val="18"/>
                <w:szCs w:val="18"/>
              </w:rPr>
            </w:pPr>
            <w:r>
              <w:rPr>
                <w:spacing w:val="-3"/>
                <w:sz w:val="18"/>
                <w:szCs w:val="18"/>
              </w:rPr>
              <w:t>35%</w:t>
            </w:r>
          </w:p>
        </w:tc>
      </w:tr>
      <w:tr w14:paraId="28DDA3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444" w:type="dxa"/>
            <w:vMerge w:val="continue"/>
            <w:tcBorders>
              <w:top w:val="nil"/>
              <w:bottom w:val="nil"/>
            </w:tcBorders>
            <w:vAlign w:val="top"/>
          </w:tcPr>
          <w:p w14:paraId="75157798">
            <w:pPr>
              <w:rPr>
                <w:rFonts w:ascii="Arial"/>
                <w:sz w:val="21"/>
              </w:rPr>
            </w:pPr>
          </w:p>
        </w:tc>
        <w:tc>
          <w:tcPr>
            <w:tcW w:w="3212" w:type="dxa"/>
            <w:vAlign w:val="top"/>
          </w:tcPr>
          <w:p w14:paraId="164099FC">
            <w:pPr>
              <w:pStyle w:val="6"/>
              <w:spacing w:before="66" w:line="219" w:lineRule="auto"/>
              <w:ind w:left="81"/>
              <w:rPr>
                <w:sz w:val="18"/>
                <w:szCs w:val="18"/>
              </w:rPr>
            </w:pPr>
            <w:r>
              <w:rPr>
                <w:spacing w:val="-1"/>
                <w:sz w:val="18"/>
                <w:szCs w:val="18"/>
              </w:rPr>
              <w:t>第二章  简单直流电路</w:t>
            </w:r>
          </w:p>
        </w:tc>
        <w:tc>
          <w:tcPr>
            <w:tcW w:w="484" w:type="dxa"/>
            <w:vMerge w:val="continue"/>
            <w:tcBorders>
              <w:top w:val="nil"/>
              <w:bottom w:val="nil"/>
            </w:tcBorders>
            <w:vAlign w:val="top"/>
          </w:tcPr>
          <w:p w14:paraId="3BAE3A84">
            <w:pPr>
              <w:rPr>
                <w:rFonts w:ascii="Arial"/>
                <w:sz w:val="21"/>
              </w:rPr>
            </w:pPr>
          </w:p>
        </w:tc>
      </w:tr>
      <w:tr w14:paraId="127286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0" w:hRule="atLeast"/>
        </w:trPr>
        <w:tc>
          <w:tcPr>
            <w:tcW w:w="444" w:type="dxa"/>
            <w:vMerge w:val="continue"/>
            <w:tcBorders>
              <w:top w:val="nil"/>
              <w:bottom w:val="nil"/>
            </w:tcBorders>
            <w:vAlign w:val="top"/>
          </w:tcPr>
          <w:p w14:paraId="3A9BD5A8">
            <w:pPr>
              <w:rPr>
                <w:rFonts w:ascii="Arial"/>
                <w:sz w:val="21"/>
              </w:rPr>
            </w:pPr>
          </w:p>
        </w:tc>
        <w:tc>
          <w:tcPr>
            <w:tcW w:w="3212" w:type="dxa"/>
            <w:vAlign w:val="top"/>
          </w:tcPr>
          <w:p w14:paraId="33B1EF41">
            <w:pPr>
              <w:pStyle w:val="6"/>
              <w:spacing w:before="77" w:line="219" w:lineRule="auto"/>
              <w:ind w:left="81"/>
              <w:rPr>
                <w:sz w:val="18"/>
                <w:szCs w:val="18"/>
              </w:rPr>
            </w:pPr>
            <w:r>
              <w:rPr>
                <w:spacing w:val="-1"/>
                <w:sz w:val="18"/>
                <w:szCs w:val="18"/>
              </w:rPr>
              <w:t>第三章  复杂直流电路</w:t>
            </w:r>
          </w:p>
        </w:tc>
        <w:tc>
          <w:tcPr>
            <w:tcW w:w="484" w:type="dxa"/>
            <w:vMerge w:val="continue"/>
            <w:tcBorders>
              <w:top w:val="nil"/>
              <w:bottom w:val="nil"/>
            </w:tcBorders>
            <w:vAlign w:val="top"/>
          </w:tcPr>
          <w:p w14:paraId="40921808">
            <w:pPr>
              <w:rPr>
                <w:rFonts w:ascii="Arial"/>
                <w:sz w:val="21"/>
              </w:rPr>
            </w:pPr>
          </w:p>
        </w:tc>
      </w:tr>
      <w:tr w14:paraId="035BB0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444" w:type="dxa"/>
            <w:vMerge w:val="continue"/>
            <w:tcBorders>
              <w:top w:val="nil"/>
              <w:bottom w:val="nil"/>
            </w:tcBorders>
            <w:vAlign w:val="top"/>
          </w:tcPr>
          <w:p w14:paraId="37C18CCF">
            <w:pPr>
              <w:rPr>
                <w:rFonts w:ascii="Arial"/>
                <w:sz w:val="21"/>
              </w:rPr>
            </w:pPr>
          </w:p>
        </w:tc>
        <w:tc>
          <w:tcPr>
            <w:tcW w:w="3212" w:type="dxa"/>
            <w:vAlign w:val="top"/>
          </w:tcPr>
          <w:p w14:paraId="25787BFE">
            <w:pPr>
              <w:pStyle w:val="6"/>
              <w:spacing w:before="77" w:line="219" w:lineRule="auto"/>
              <w:ind w:left="81"/>
              <w:rPr>
                <w:sz w:val="18"/>
                <w:szCs w:val="18"/>
              </w:rPr>
            </w:pPr>
            <w:r>
              <w:rPr>
                <w:spacing w:val="-5"/>
                <w:sz w:val="18"/>
                <w:szCs w:val="18"/>
              </w:rPr>
              <w:t>第四章</w:t>
            </w:r>
            <w:r>
              <w:rPr>
                <w:spacing w:val="31"/>
                <w:sz w:val="18"/>
                <w:szCs w:val="18"/>
              </w:rPr>
              <w:t xml:space="preserve"> </w:t>
            </w:r>
            <w:r>
              <w:rPr>
                <w:spacing w:val="-5"/>
                <w:sz w:val="18"/>
                <w:szCs w:val="18"/>
              </w:rPr>
              <w:t>电容</w:t>
            </w:r>
          </w:p>
        </w:tc>
        <w:tc>
          <w:tcPr>
            <w:tcW w:w="484" w:type="dxa"/>
            <w:vMerge w:val="continue"/>
            <w:tcBorders>
              <w:top w:val="nil"/>
              <w:bottom w:val="nil"/>
            </w:tcBorders>
            <w:vAlign w:val="top"/>
          </w:tcPr>
          <w:p w14:paraId="6BA2D0B0">
            <w:pPr>
              <w:rPr>
                <w:rFonts w:ascii="Arial"/>
                <w:sz w:val="21"/>
              </w:rPr>
            </w:pPr>
          </w:p>
        </w:tc>
      </w:tr>
      <w:tr w14:paraId="13CA1A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444" w:type="dxa"/>
            <w:vMerge w:val="continue"/>
            <w:tcBorders>
              <w:top w:val="nil"/>
              <w:bottom w:val="nil"/>
            </w:tcBorders>
            <w:vAlign w:val="top"/>
          </w:tcPr>
          <w:p w14:paraId="6DAA9CA9">
            <w:pPr>
              <w:rPr>
                <w:rFonts w:ascii="Arial"/>
                <w:sz w:val="21"/>
              </w:rPr>
            </w:pPr>
          </w:p>
        </w:tc>
        <w:tc>
          <w:tcPr>
            <w:tcW w:w="3212" w:type="dxa"/>
            <w:vAlign w:val="top"/>
          </w:tcPr>
          <w:p w14:paraId="6F82EC94">
            <w:pPr>
              <w:pStyle w:val="6"/>
              <w:spacing w:before="67" w:line="219" w:lineRule="auto"/>
              <w:ind w:left="81"/>
              <w:rPr>
                <w:sz w:val="18"/>
                <w:szCs w:val="18"/>
              </w:rPr>
            </w:pPr>
            <w:r>
              <w:rPr>
                <w:spacing w:val="-1"/>
                <w:sz w:val="18"/>
                <w:szCs w:val="18"/>
              </w:rPr>
              <w:t>第五章 磁场和磁路</w:t>
            </w:r>
          </w:p>
        </w:tc>
        <w:tc>
          <w:tcPr>
            <w:tcW w:w="484" w:type="dxa"/>
            <w:vMerge w:val="continue"/>
            <w:tcBorders>
              <w:top w:val="nil"/>
              <w:bottom w:val="nil"/>
            </w:tcBorders>
            <w:vAlign w:val="top"/>
          </w:tcPr>
          <w:p w14:paraId="79511AE8">
            <w:pPr>
              <w:rPr>
                <w:rFonts w:ascii="Arial"/>
                <w:sz w:val="21"/>
              </w:rPr>
            </w:pPr>
          </w:p>
        </w:tc>
      </w:tr>
      <w:tr w14:paraId="65C2F1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0" w:hRule="atLeast"/>
        </w:trPr>
        <w:tc>
          <w:tcPr>
            <w:tcW w:w="444" w:type="dxa"/>
            <w:vMerge w:val="continue"/>
            <w:tcBorders>
              <w:top w:val="nil"/>
              <w:bottom w:val="nil"/>
            </w:tcBorders>
            <w:vAlign w:val="top"/>
          </w:tcPr>
          <w:p w14:paraId="4FD7235A">
            <w:pPr>
              <w:rPr>
                <w:rFonts w:ascii="Arial"/>
                <w:sz w:val="21"/>
              </w:rPr>
            </w:pPr>
          </w:p>
        </w:tc>
        <w:tc>
          <w:tcPr>
            <w:tcW w:w="3212" w:type="dxa"/>
            <w:vAlign w:val="top"/>
          </w:tcPr>
          <w:p w14:paraId="14F7A4E8">
            <w:pPr>
              <w:pStyle w:val="6"/>
              <w:spacing w:before="78" w:line="219" w:lineRule="auto"/>
              <w:ind w:left="81"/>
              <w:rPr>
                <w:sz w:val="18"/>
                <w:szCs w:val="18"/>
              </w:rPr>
            </w:pPr>
            <w:r>
              <w:rPr>
                <w:spacing w:val="-5"/>
                <w:sz w:val="18"/>
                <w:szCs w:val="18"/>
              </w:rPr>
              <w:t>第六章</w:t>
            </w:r>
            <w:r>
              <w:rPr>
                <w:spacing w:val="33"/>
                <w:w w:val="101"/>
                <w:sz w:val="18"/>
                <w:szCs w:val="18"/>
              </w:rPr>
              <w:t xml:space="preserve"> </w:t>
            </w:r>
            <w:r>
              <w:rPr>
                <w:spacing w:val="-5"/>
                <w:sz w:val="18"/>
                <w:szCs w:val="18"/>
              </w:rPr>
              <w:t>电磁感应</w:t>
            </w:r>
          </w:p>
        </w:tc>
        <w:tc>
          <w:tcPr>
            <w:tcW w:w="484" w:type="dxa"/>
            <w:vMerge w:val="continue"/>
            <w:tcBorders>
              <w:top w:val="nil"/>
              <w:bottom w:val="nil"/>
            </w:tcBorders>
            <w:vAlign w:val="top"/>
          </w:tcPr>
          <w:p w14:paraId="34B6A2B3">
            <w:pPr>
              <w:rPr>
                <w:rFonts w:ascii="Arial"/>
                <w:sz w:val="21"/>
              </w:rPr>
            </w:pPr>
          </w:p>
        </w:tc>
      </w:tr>
      <w:tr w14:paraId="36D3CC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444" w:type="dxa"/>
            <w:vMerge w:val="continue"/>
            <w:tcBorders>
              <w:top w:val="nil"/>
              <w:bottom w:val="nil"/>
            </w:tcBorders>
            <w:vAlign w:val="top"/>
          </w:tcPr>
          <w:p w14:paraId="5CC8116B">
            <w:pPr>
              <w:rPr>
                <w:rFonts w:ascii="Arial"/>
                <w:sz w:val="21"/>
              </w:rPr>
            </w:pPr>
          </w:p>
        </w:tc>
        <w:tc>
          <w:tcPr>
            <w:tcW w:w="3212" w:type="dxa"/>
            <w:vAlign w:val="top"/>
          </w:tcPr>
          <w:p w14:paraId="0E56F12A">
            <w:pPr>
              <w:pStyle w:val="6"/>
              <w:spacing w:before="78" w:line="219" w:lineRule="auto"/>
              <w:ind w:left="81"/>
              <w:rPr>
                <w:sz w:val="18"/>
                <w:szCs w:val="18"/>
              </w:rPr>
            </w:pPr>
            <w:r>
              <w:rPr>
                <w:spacing w:val="-1"/>
                <w:sz w:val="18"/>
                <w:szCs w:val="18"/>
              </w:rPr>
              <w:t>第七章  正弦交流电的基本概念</w:t>
            </w:r>
          </w:p>
        </w:tc>
        <w:tc>
          <w:tcPr>
            <w:tcW w:w="484" w:type="dxa"/>
            <w:vMerge w:val="continue"/>
            <w:tcBorders>
              <w:top w:val="nil"/>
              <w:bottom w:val="nil"/>
            </w:tcBorders>
            <w:vAlign w:val="top"/>
          </w:tcPr>
          <w:p w14:paraId="3ECA38AF">
            <w:pPr>
              <w:rPr>
                <w:rFonts w:ascii="Arial"/>
                <w:sz w:val="21"/>
              </w:rPr>
            </w:pPr>
          </w:p>
        </w:tc>
      </w:tr>
      <w:tr w14:paraId="0C13C1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9" w:hRule="atLeast"/>
        </w:trPr>
        <w:tc>
          <w:tcPr>
            <w:tcW w:w="444" w:type="dxa"/>
            <w:vMerge w:val="continue"/>
            <w:tcBorders>
              <w:top w:val="nil"/>
              <w:bottom w:val="nil"/>
            </w:tcBorders>
            <w:vAlign w:val="top"/>
          </w:tcPr>
          <w:p w14:paraId="53FBCC10">
            <w:pPr>
              <w:rPr>
                <w:rFonts w:ascii="Arial"/>
                <w:sz w:val="21"/>
              </w:rPr>
            </w:pPr>
          </w:p>
        </w:tc>
        <w:tc>
          <w:tcPr>
            <w:tcW w:w="3212" w:type="dxa"/>
            <w:vAlign w:val="top"/>
          </w:tcPr>
          <w:p w14:paraId="54379F22">
            <w:pPr>
              <w:pStyle w:val="6"/>
              <w:spacing w:before="78" w:line="219" w:lineRule="auto"/>
              <w:ind w:left="81"/>
              <w:rPr>
                <w:sz w:val="18"/>
                <w:szCs w:val="18"/>
              </w:rPr>
            </w:pPr>
            <w:r>
              <w:rPr>
                <w:spacing w:val="-1"/>
                <w:sz w:val="18"/>
                <w:szCs w:val="18"/>
              </w:rPr>
              <w:t>第八章  正弦交流电</w:t>
            </w:r>
          </w:p>
        </w:tc>
        <w:tc>
          <w:tcPr>
            <w:tcW w:w="484" w:type="dxa"/>
            <w:vMerge w:val="continue"/>
            <w:tcBorders>
              <w:top w:val="nil"/>
              <w:bottom w:val="nil"/>
            </w:tcBorders>
            <w:vAlign w:val="top"/>
          </w:tcPr>
          <w:p w14:paraId="52C91A1C">
            <w:pPr>
              <w:rPr>
                <w:rFonts w:ascii="Arial"/>
                <w:sz w:val="21"/>
              </w:rPr>
            </w:pPr>
          </w:p>
        </w:tc>
      </w:tr>
      <w:tr w14:paraId="70804A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0" w:hRule="atLeast"/>
        </w:trPr>
        <w:tc>
          <w:tcPr>
            <w:tcW w:w="444" w:type="dxa"/>
            <w:vMerge w:val="continue"/>
            <w:tcBorders>
              <w:top w:val="nil"/>
              <w:bottom w:val="nil"/>
            </w:tcBorders>
            <w:vAlign w:val="top"/>
          </w:tcPr>
          <w:p w14:paraId="72568EB7">
            <w:pPr>
              <w:rPr>
                <w:rFonts w:ascii="Arial"/>
                <w:sz w:val="21"/>
              </w:rPr>
            </w:pPr>
          </w:p>
        </w:tc>
        <w:tc>
          <w:tcPr>
            <w:tcW w:w="3212" w:type="dxa"/>
            <w:vAlign w:val="top"/>
          </w:tcPr>
          <w:p w14:paraId="4944473C">
            <w:pPr>
              <w:pStyle w:val="6"/>
              <w:spacing w:before="69" w:line="219" w:lineRule="auto"/>
              <w:ind w:left="81"/>
              <w:rPr>
                <w:sz w:val="18"/>
                <w:szCs w:val="18"/>
              </w:rPr>
            </w:pPr>
            <w:r>
              <w:rPr>
                <w:spacing w:val="-1"/>
                <w:sz w:val="18"/>
                <w:szCs w:val="18"/>
              </w:rPr>
              <w:t>第九章  三相正弦交流电</w:t>
            </w:r>
          </w:p>
        </w:tc>
        <w:tc>
          <w:tcPr>
            <w:tcW w:w="484" w:type="dxa"/>
            <w:vMerge w:val="continue"/>
            <w:tcBorders>
              <w:top w:val="nil"/>
              <w:bottom w:val="nil"/>
            </w:tcBorders>
            <w:vAlign w:val="top"/>
          </w:tcPr>
          <w:p w14:paraId="260F1227">
            <w:pPr>
              <w:rPr>
                <w:rFonts w:ascii="Arial"/>
                <w:sz w:val="21"/>
              </w:rPr>
            </w:pPr>
          </w:p>
        </w:tc>
      </w:tr>
      <w:tr w14:paraId="7D7EB0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9" w:hRule="atLeast"/>
        </w:trPr>
        <w:tc>
          <w:tcPr>
            <w:tcW w:w="444" w:type="dxa"/>
            <w:vMerge w:val="continue"/>
            <w:tcBorders>
              <w:top w:val="nil"/>
              <w:bottom w:val="nil"/>
            </w:tcBorders>
            <w:vAlign w:val="top"/>
          </w:tcPr>
          <w:p w14:paraId="1F6DCA66">
            <w:pPr>
              <w:rPr>
                <w:rFonts w:ascii="Arial"/>
                <w:sz w:val="21"/>
              </w:rPr>
            </w:pPr>
          </w:p>
        </w:tc>
        <w:tc>
          <w:tcPr>
            <w:tcW w:w="3212" w:type="dxa"/>
            <w:vAlign w:val="top"/>
          </w:tcPr>
          <w:p w14:paraId="60185210">
            <w:pPr>
              <w:pStyle w:val="6"/>
              <w:spacing w:before="79" w:line="219" w:lineRule="auto"/>
              <w:ind w:left="81"/>
              <w:rPr>
                <w:sz w:val="18"/>
                <w:szCs w:val="18"/>
              </w:rPr>
            </w:pPr>
            <w:r>
              <w:rPr>
                <w:spacing w:val="-1"/>
                <w:sz w:val="18"/>
                <w:szCs w:val="18"/>
              </w:rPr>
              <w:t>第十章 变压器和三相异步交流电</w:t>
            </w:r>
          </w:p>
        </w:tc>
        <w:tc>
          <w:tcPr>
            <w:tcW w:w="484" w:type="dxa"/>
            <w:vMerge w:val="continue"/>
            <w:tcBorders>
              <w:top w:val="nil"/>
              <w:bottom w:val="nil"/>
            </w:tcBorders>
            <w:vAlign w:val="top"/>
          </w:tcPr>
          <w:p w14:paraId="495C678E">
            <w:pPr>
              <w:rPr>
                <w:rFonts w:ascii="Arial"/>
                <w:sz w:val="21"/>
              </w:rPr>
            </w:pPr>
          </w:p>
        </w:tc>
      </w:tr>
      <w:tr w14:paraId="6163C9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444" w:type="dxa"/>
            <w:vMerge w:val="continue"/>
            <w:tcBorders>
              <w:top w:val="nil"/>
            </w:tcBorders>
            <w:vAlign w:val="top"/>
          </w:tcPr>
          <w:p w14:paraId="5AF51EFF">
            <w:pPr>
              <w:rPr>
                <w:rFonts w:ascii="Arial"/>
                <w:sz w:val="21"/>
              </w:rPr>
            </w:pPr>
          </w:p>
        </w:tc>
        <w:tc>
          <w:tcPr>
            <w:tcW w:w="3212" w:type="dxa"/>
            <w:vAlign w:val="top"/>
          </w:tcPr>
          <w:p w14:paraId="01B78E52">
            <w:pPr>
              <w:pStyle w:val="6"/>
              <w:spacing w:before="80" w:line="219" w:lineRule="auto"/>
              <w:ind w:left="81"/>
              <w:rPr>
                <w:sz w:val="18"/>
                <w:szCs w:val="18"/>
              </w:rPr>
            </w:pPr>
            <w:r>
              <w:rPr>
                <w:spacing w:val="-1"/>
                <w:sz w:val="18"/>
                <w:szCs w:val="18"/>
              </w:rPr>
              <w:t>第十一章 照明电路和安全用电</w:t>
            </w:r>
          </w:p>
        </w:tc>
        <w:tc>
          <w:tcPr>
            <w:tcW w:w="484" w:type="dxa"/>
            <w:vMerge w:val="continue"/>
            <w:tcBorders>
              <w:top w:val="nil"/>
            </w:tcBorders>
            <w:vAlign w:val="top"/>
          </w:tcPr>
          <w:p w14:paraId="6F2DE72A">
            <w:pPr>
              <w:rPr>
                <w:rFonts w:ascii="Arial"/>
                <w:sz w:val="21"/>
              </w:rPr>
            </w:pPr>
          </w:p>
        </w:tc>
      </w:tr>
      <w:tr w14:paraId="4FD896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0" w:hRule="atLeast"/>
        </w:trPr>
        <w:tc>
          <w:tcPr>
            <w:tcW w:w="444" w:type="dxa"/>
            <w:vMerge w:val="restart"/>
            <w:tcBorders>
              <w:bottom w:val="nil"/>
            </w:tcBorders>
            <w:vAlign w:val="top"/>
          </w:tcPr>
          <w:p w14:paraId="51B997A0">
            <w:pPr>
              <w:spacing w:line="255" w:lineRule="auto"/>
              <w:rPr>
                <w:rFonts w:ascii="Arial"/>
                <w:sz w:val="21"/>
              </w:rPr>
            </w:pPr>
          </w:p>
          <w:p w14:paraId="11FCF4E5">
            <w:pPr>
              <w:spacing w:line="256" w:lineRule="auto"/>
              <w:rPr>
                <w:rFonts w:ascii="Arial"/>
                <w:sz w:val="21"/>
              </w:rPr>
            </w:pPr>
          </w:p>
          <w:p w14:paraId="262FD592">
            <w:pPr>
              <w:spacing w:line="256" w:lineRule="auto"/>
              <w:rPr>
                <w:rFonts w:ascii="Arial"/>
                <w:sz w:val="21"/>
              </w:rPr>
            </w:pPr>
          </w:p>
          <w:p w14:paraId="3B49A528">
            <w:pPr>
              <w:pStyle w:val="6"/>
              <w:spacing w:before="58" w:line="228" w:lineRule="auto"/>
              <w:ind w:left="34" w:right="25"/>
              <w:rPr>
                <w:sz w:val="18"/>
                <w:szCs w:val="18"/>
              </w:rPr>
            </w:pPr>
            <w:r>
              <w:rPr>
                <w:spacing w:val="6"/>
                <w:sz w:val="18"/>
                <w:szCs w:val="18"/>
              </w:rPr>
              <w:t>信息</w:t>
            </w:r>
            <w:r>
              <w:rPr>
                <w:sz w:val="18"/>
                <w:szCs w:val="18"/>
              </w:rPr>
              <w:t xml:space="preserve"> </w:t>
            </w:r>
            <w:r>
              <w:rPr>
                <w:spacing w:val="-2"/>
                <w:sz w:val="18"/>
                <w:szCs w:val="18"/>
              </w:rPr>
              <w:t>技术</w:t>
            </w:r>
          </w:p>
        </w:tc>
        <w:tc>
          <w:tcPr>
            <w:tcW w:w="3212" w:type="dxa"/>
            <w:vAlign w:val="top"/>
          </w:tcPr>
          <w:p w14:paraId="09B0BF68">
            <w:pPr>
              <w:pStyle w:val="6"/>
              <w:spacing w:before="71" w:line="219" w:lineRule="auto"/>
              <w:ind w:left="81"/>
              <w:rPr>
                <w:sz w:val="18"/>
                <w:szCs w:val="18"/>
              </w:rPr>
            </w:pPr>
            <w:r>
              <w:rPr>
                <w:sz w:val="18"/>
                <w:szCs w:val="18"/>
              </w:rPr>
              <w:t>(一)信息技术应用基础</w:t>
            </w:r>
          </w:p>
        </w:tc>
        <w:tc>
          <w:tcPr>
            <w:tcW w:w="484" w:type="dxa"/>
            <w:vMerge w:val="restart"/>
            <w:tcBorders>
              <w:bottom w:val="nil"/>
            </w:tcBorders>
            <w:vAlign w:val="top"/>
          </w:tcPr>
          <w:p w14:paraId="523A31E6">
            <w:pPr>
              <w:spacing w:line="304" w:lineRule="auto"/>
              <w:rPr>
                <w:rFonts w:ascii="Arial"/>
                <w:sz w:val="21"/>
              </w:rPr>
            </w:pPr>
          </w:p>
          <w:p w14:paraId="5ED837E6">
            <w:pPr>
              <w:spacing w:line="304" w:lineRule="auto"/>
              <w:rPr>
                <w:rFonts w:ascii="Arial"/>
                <w:sz w:val="21"/>
              </w:rPr>
            </w:pPr>
          </w:p>
          <w:p w14:paraId="455FD1D0">
            <w:pPr>
              <w:spacing w:line="305" w:lineRule="auto"/>
              <w:rPr>
                <w:rFonts w:ascii="Arial"/>
                <w:sz w:val="21"/>
              </w:rPr>
            </w:pPr>
          </w:p>
          <w:p w14:paraId="3490730A">
            <w:pPr>
              <w:pStyle w:val="6"/>
              <w:spacing w:before="59" w:line="183" w:lineRule="auto"/>
              <w:ind w:left="178"/>
              <w:rPr>
                <w:sz w:val="18"/>
                <w:szCs w:val="18"/>
              </w:rPr>
            </w:pPr>
            <w:r>
              <w:rPr>
                <w:spacing w:val="-3"/>
                <w:sz w:val="18"/>
                <w:szCs w:val="18"/>
              </w:rPr>
              <w:t>30%</w:t>
            </w:r>
          </w:p>
        </w:tc>
      </w:tr>
      <w:tr w14:paraId="5D1A3F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9" w:hRule="atLeast"/>
        </w:trPr>
        <w:tc>
          <w:tcPr>
            <w:tcW w:w="444" w:type="dxa"/>
            <w:vMerge w:val="continue"/>
            <w:tcBorders>
              <w:top w:val="nil"/>
              <w:bottom w:val="nil"/>
            </w:tcBorders>
            <w:vAlign w:val="top"/>
          </w:tcPr>
          <w:p w14:paraId="3D705B3E">
            <w:pPr>
              <w:rPr>
                <w:rFonts w:ascii="Arial"/>
                <w:sz w:val="21"/>
              </w:rPr>
            </w:pPr>
          </w:p>
        </w:tc>
        <w:tc>
          <w:tcPr>
            <w:tcW w:w="3212" w:type="dxa"/>
            <w:vAlign w:val="top"/>
          </w:tcPr>
          <w:p w14:paraId="4A3C16C9">
            <w:pPr>
              <w:pStyle w:val="6"/>
              <w:spacing w:before="81" w:line="219" w:lineRule="auto"/>
              <w:ind w:left="81"/>
              <w:rPr>
                <w:sz w:val="18"/>
                <w:szCs w:val="18"/>
              </w:rPr>
            </w:pPr>
            <w:r>
              <w:rPr>
                <w:spacing w:val="2"/>
                <w:sz w:val="18"/>
                <w:szCs w:val="18"/>
              </w:rPr>
              <w:t>(二)操作系统的使用</w:t>
            </w:r>
          </w:p>
        </w:tc>
        <w:tc>
          <w:tcPr>
            <w:tcW w:w="484" w:type="dxa"/>
            <w:vMerge w:val="continue"/>
            <w:tcBorders>
              <w:top w:val="nil"/>
              <w:bottom w:val="nil"/>
            </w:tcBorders>
            <w:vAlign w:val="top"/>
          </w:tcPr>
          <w:p w14:paraId="522BE4DE">
            <w:pPr>
              <w:rPr>
                <w:rFonts w:ascii="Arial"/>
                <w:sz w:val="21"/>
              </w:rPr>
            </w:pPr>
          </w:p>
        </w:tc>
      </w:tr>
      <w:tr w14:paraId="25A7E8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444" w:type="dxa"/>
            <w:vMerge w:val="continue"/>
            <w:tcBorders>
              <w:top w:val="nil"/>
              <w:bottom w:val="nil"/>
            </w:tcBorders>
            <w:vAlign w:val="top"/>
          </w:tcPr>
          <w:p w14:paraId="4B922AB6">
            <w:pPr>
              <w:rPr>
                <w:rFonts w:ascii="Arial"/>
                <w:sz w:val="21"/>
              </w:rPr>
            </w:pPr>
          </w:p>
        </w:tc>
        <w:tc>
          <w:tcPr>
            <w:tcW w:w="3212" w:type="dxa"/>
            <w:vAlign w:val="top"/>
          </w:tcPr>
          <w:p w14:paraId="5993304B">
            <w:pPr>
              <w:pStyle w:val="6"/>
              <w:spacing w:before="82" w:line="219" w:lineRule="auto"/>
              <w:ind w:left="81"/>
              <w:rPr>
                <w:sz w:val="18"/>
                <w:szCs w:val="18"/>
              </w:rPr>
            </w:pPr>
            <w:r>
              <w:rPr>
                <w:spacing w:val="1"/>
                <w:sz w:val="18"/>
                <w:szCs w:val="18"/>
              </w:rPr>
              <w:t>(三)图文编辑</w:t>
            </w:r>
          </w:p>
        </w:tc>
        <w:tc>
          <w:tcPr>
            <w:tcW w:w="484" w:type="dxa"/>
            <w:vMerge w:val="continue"/>
            <w:tcBorders>
              <w:top w:val="nil"/>
              <w:bottom w:val="nil"/>
            </w:tcBorders>
            <w:vAlign w:val="top"/>
          </w:tcPr>
          <w:p w14:paraId="0377B03F">
            <w:pPr>
              <w:rPr>
                <w:rFonts w:ascii="Arial"/>
                <w:sz w:val="21"/>
              </w:rPr>
            </w:pPr>
          </w:p>
        </w:tc>
      </w:tr>
      <w:tr w14:paraId="38A8D2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0" w:hRule="atLeast"/>
        </w:trPr>
        <w:tc>
          <w:tcPr>
            <w:tcW w:w="444" w:type="dxa"/>
            <w:vMerge w:val="continue"/>
            <w:tcBorders>
              <w:top w:val="nil"/>
              <w:bottom w:val="nil"/>
            </w:tcBorders>
            <w:vAlign w:val="top"/>
          </w:tcPr>
          <w:p w14:paraId="054756F9">
            <w:pPr>
              <w:rPr>
                <w:rFonts w:ascii="Arial"/>
                <w:sz w:val="21"/>
              </w:rPr>
            </w:pPr>
          </w:p>
        </w:tc>
        <w:tc>
          <w:tcPr>
            <w:tcW w:w="3212" w:type="dxa"/>
            <w:vAlign w:val="top"/>
          </w:tcPr>
          <w:p w14:paraId="3BD984C5">
            <w:pPr>
              <w:pStyle w:val="6"/>
              <w:spacing w:before="72" w:line="219" w:lineRule="auto"/>
              <w:ind w:left="81"/>
              <w:rPr>
                <w:sz w:val="18"/>
                <w:szCs w:val="18"/>
              </w:rPr>
            </w:pPr>
            <w:r>
              <w:rPr>
                <w:sz w:val="18"/>
                <w:szCs w:val="18"/>
              </w:rPr>
              <w:t>(四)数据处理</w:t>
            </w:r>
          </w:p>
        </w:tc>
        <w:tc>
          <w:tcPr>
            <w:tcW w:w="484" w:type="dxa"/>
            <w:vMerge w:val="continue"/>
            <w:tcBorders>
              <w:top w:val="nil"/>
              <w:bottom w:val="nil"/>
            </w:tcBorders>
            <w:vAlign w:val="top"/>
          </w:tcPr>
          <w:p w14:paraId="758C6299">
            <w:pPr>
              <w:rPr>
                <w:rFonts w:ascii="Arial"/>
                <w:sz w:val="21"/>
              </w:rPr>
            </w:pPr>
          </w:p>
        </w:tc>
      </w:tr>
      <w:tr w14:paraId="17880C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9" w:hRule="atLeast"/>
        </w:trPr>
        <w:tc>
          <w:tcPr>
            <w:tcW w:w="444" w:type="dxa"/>
            <w:vMerge w:val="continue"/>
            <w:tcBorders>
              <w:top w:val="nil"/>
              <w:bottom w:val="nil"/>
            </w:tcBorders>
            <w:vAlign w:val="top"/>
          </w:tcPr>
          <w:p w14:paraId="669FEF34">
            <w:pPr>
              <w:rPr>
                <w:rFonts w:ascii="Arial"/>
                <w:sz w:val="21"/>
              </w:rPr>
            </w:pPr>
          </w:p>
        </w:tc>
        <w:tc>
          <w:tcPr>
            <w:tcW w:w="3212" w:type="dxa"/>
            <w:vAlign w:val="top"/>
          </w:tcPr>
          <w:p w14:paraId="01ABCAD2">
            <w:pPr>
              <w:pStyle w:val="6"/>
              <w:spacing w:before="81" w:line="219" w:lineRule="auto"/>
              <w:ind w:left="81"/>
              <w:rPr>
                <w:sz w:val="18"/>
                <w:szCs w:val="18"/>
              </w:rPr>
            </w:pPr>
            <w:r>
              <w:rPr>
                <w:spacing w:val="1"/>
                <w:sz w:val="18"/>
                <w:szCs w:val="18"/>
              </w:rPr>
              <w:t>(五)数字媒体技术应用</w:t>
            </w:r>
          </w:p>
        </w:tc>
        <w:tc>
          <w:tcPr>
            <w:tcW w:w="484" w:type="dxa"/>
            <w:vMerge w:val="continue"/>
            <w:tcBorders>
              <w:top w:val="nil"/>
              <w:bottom w:val="nil"/>
            </w:tcBorders>
            <w:vAlign w:val="top"/>
          </w:tcPr>
          <w:p w14:paraId="19AB95B3">
            <w:pPr>
              <w:rPr>
                <w:rFonts w:ascii="Arial"/>
                <w:sz w:val="21"/>
              </w:rPr>
            </w:pPr>
          </w:p>
        </w:tc>
      </w:tr>
      <w:tr w14:paraId="005A8F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444" w:type="dxa"/>
            <w:vMerge w:val="continue"/>
            <w:tcBorders>
              <w:top w:val="nil"/>
            </w:tcBorders>
            <w:vAlign w:val="top"/>
          </w:tcPr>
          <w:p w14:paraId="4ABD5C43">
            <w:pPr>
              <w:rPr>
                <w:rFonts w:ascii="Arial"/>
                <w:sz w:val="21"/>
              </w:rPr>
            </w:pPr>
          </w:p>
        </w:tc>
        <w:tc>
          <w:tcPr>
            <w:tcW w:w="3212" w:type="dxa"/>
            <w:vAlign w:val="top"/>
          </w:tcPr>
          <w:p w14:paraId="5B10A6B4">
            <w:pPr>
              <w:pStyle w:val="6"/>
              <w:spacing w:before="83" w:line="219" w:lineRule="auto"/>
              <w:ind w:left="81"/>
              <w:rPr>
                <w:sz w:val="18"/>
                <w:szCs w:val="18"/>
              </w:rPr>
            </w:pPr>
            <w:r>
              <w:rPr>
                <w:spacing w:val="1"/>
                <w:sz w:val="18"/>
                <w:szCs w:val="18"/>
              </w:rPr>
              <w:t>(六)演示文稿软件应用</w:t>
            </w:r>
          </w:p>
        </w:tc>
        <w:tc>
          <w:tcPr>
            <w:tcW w:w="484" w:type="dxa"/>
            <w:vMerge w:val="continue"/>
            <w:tcBorders>
              <w:top w:val="nil"/>
            </w:tcBorders>
            <w:vAlign w:val="top"/>
          </w:tcPr>
          <w:p w14:paraId="7F591376">
            <w:pPr>
              <w:rPr>
                <w:rFonts w:ascii="Arial"/>
                <w:sz w:val="21"/>
              </w:rPr>
            </w:pPr>
          </w:p>
        </w:tc>
      </w:tr>
      <w:tr w14:paraId="04E218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444" w:type="dxa"/>
            <w:vMerge w:val="restart"/>
            <w:tcBorders>
              <w:bottom w:val="nil"/>
            </w:tcBorders>
            <w:vAlign w:val="top"/>
          </w:tcPr>
          <w:p w14:paraId="5E7BEF75">
            <w:pPr>
              <w:spacing w:line="264" w:lineRule="auto"/>
              <w:rPr>
                <w:rFonts w:ascii="Arial"/>
                <w:sz w:val="21"/>
              </w:rPr>
            </w:pPr>
          </w:p>
          <w:p w14:paraId="7D1604C9">
            <w:pPr>
              <w:spacing w:line="264" w:lineRule="auto"/>
              <w:rPr>
                <w:rFonts w:ascii="Arial"/>
                <w:sz w:val="21"/>
              </w:rPr>
            </w:pPr>
          </w:p>
          <w:p w14:paraId="3CAD29E9">
            <w:pPr>
              <w:spacing w:line="265" w:lineRule="auto"/>
              <w:rPr>
                <w:rFonts w:ascii="Arial"/>
                <w:sz w:val="21"/>
              </w:rPr>
            </w:pPr>
          </w:p>
          <w:p w14:paraId="5C56F3DB">
            <w:pPr>
              <w:spacing w:line="265" w:lineRule="auto"/>
              <w:rPr>
                <w:rFonts w:ascii="Arial"/>
                <w:sz w:val="21"/>
              </w:rPr>
            </w:pPr>
          </w:p>
          <w:p w14:paraId="4490E186">
            <w:pPr>
              <w:pStyle w:val="6"/>
              <w:spacing w:before="59" w:line="224" w:lineRule="auto"/>
              <w:ind w:left="34" w:right="46"/>
              <w:jc w:val="both"/>
              <w:rPr>
                <w:sz w:val="18"/>
                <w:szCs w:val="18"/>
              </w:rPr>
            </w:pPr>
            <w:r>
              <w:rPr>
                <w:spacing w:val="-4"/>
                <w:sz w:val="18"/>
                <w:szCs w:val="18"/>
              </w:rPr>
              <w:t>城市</w:t>
            </w:r>
            <w:r>
              <w:rPr>
                <w:sz w:val="18"/>
                <w:szCs w:val="18"/>
              </w:rPr>
              <w:t xml:space="preserve"> </w:t>
            </w:r>
            <w:r>
              <w:rPr>
                <w:spacing w:val="-4"/>
                <w:sz w:val="18"/>
                <w:szCs w:val="18"/>
              </w:rPr>
              <w:t>轨道</w:t>
            </w:r>
            <w:r>
              <w:rPr>
                <w:sz w:val="18"/>
                <w:szCs w:val="18"/>
              </w:rPr>
              <w:t xml:space="preserve"> </w:t>
            </w:r>
            <w:r>
              <w:rPr>
                <w:spacing w:val="-6"/>
                <w:sz w:val="18"/>
                <w:szCs w:val="18"/>
              </w:rPr>
              <w:t>交通</w:t>
            </w:r>
            <w:r>
              <w:rPr>
                <w:sz w:val="18"/>
                <w:szCs w:val="18"/>
              </w:rPr>
              <w:t xml:space="preserve"> </w:t>
            </w:r>
            <w:r>
              <w:rPr>
                <w:spacing w:val="-4"/>
                <w:sz w:val="18"/>
                <w:szCs w:val="18"/>
              </w:rPr>
              <w:t>概论</w:t>
            </w:r>
          </w:p>
        </w:tc>
        <w:tc>
          <w:tcPr>
            <w:tcW w:w="3212" w:type="dxa"/>
            <w:vAlign w:val="top"/>
          </w:tcPr>
          <w:p w14:paraId="609DEF1D">
            <w:pPr>
              <w:pStyle w:val="6"/>
              <w:spacing w:before="72" w:line="219" w:lineRule="auto"/>
              <w:ind w:left="81"/>
              <w:rPr>
                <w:sz w:val="18"/>
                <w:szCs w:val="18"/>
              </w:rPr>
            </w:pPr>
            <w:r>
              <w:rPr>
                <w:spacing w:val="-1"/>
                <w:sz w:val="18"/>
                <w:szCs w:val="18"/>
              </w:rPr>
              <w:t>第一章城市轨道交通概述</w:t>
            </w:r>
          </w:p>
        </w:tc>
        <w:tc>
          <w:tcPr>
            <w:tcW w:w="484" w:type="dxa"/>
            <w:vMerge w:val="restart"/>
            <w:tcBorders>
              <w:bottom w:val="nil"/>
            </w:tcBorders>
            <w:vAlign w:val="top"/>
          </w:tcPr>
          <w:p w14:paraId="6BEF971F">
            <w:pPr>
              <w:spacing w:line="284" w:lineRule="auto"/>
              <w:rPr>
                <w:rFonts w:ascii="Arial"/>
                <w:sz w:val="21"/>
              </w:rPr>
            </w:pPr>
          </w:p>
          <w:p w14:paraId="54B24C11">
            <w:pPr>
              <w:spacing w:line="284" w:lineRule="auto"/>
              <w:rPr>
                <w:rFonts w:ascii="Arial"/>
                <w:sz w:val="21"/>
              </w:rPr>
            </w:pPr>
          </w:p>
          <w:p w14:paraId="43E19F64">
            <w:pPr>
              <w:spacing w:line="284" w:lineRule="auto"/>
              <w:rPr>
                <w:rFonts w:ascii="Arial"/>
                <w:sz w:val="21"/>
              </w:rPr>
            </w:pPr>
          </w:p>
          <w:p w14:paraId="7F99C7B3">
            <w:pPr>
              <w:spacing w:line="285" w:lineRule="auto"/>
              <w:rPr>
                <w:rFonts w:ascii="Arial"/>
                <w:sz w:val="21"/>
              </w:rPr>
            </w:pPr>
          </w:p>
          <w:p w14:paraId="7F037949">
            <w:pPr>
              <w:spacing w:line="285" w:lineRule="auto"/>
              <w:rPr>
                <w:rFonts w:ascii="Arial"/>
                <w:sz w:val="21"/>
              </w:rPr>
            </w:pPr>
          </w:p>
          <w:p w14:paraId="6AD4D698">
            <w:pPr>
              <w:pStyle w:val="6"/>
              <w:spacing w:before="59" w:line="183" w:lineRule="auto"/>
              <w:ind w:left="178"/>
              <w:rPr>
                <w:sz w:val="18"/>
                <w:szCs w:val="18"/>
              </w:rPr>
            </w:pPr>
            <w:r>
              <w:rPr>
                <w:spacing w:val="-3"/>
                <w:sz w:val="18"/>
                <w:szCs w:val="18"/>
              </w:rPr>
              <w:t>35%</w:t>
            </w:r>
          </w:p>
        </w:tc>
      </w:tr>
      <w:tr w14:paraId="5D388E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0" w:hRule="atLeast"/>
        </w:trPr>
        <w:tc>
          <w:tcPr>
            <w:tcW w:w="444" w:type="dxa"/>
            <w:vMerge w:val="continue"/>
            <w:tcBorders>
              <w:top w:val="nil"/>
              <w:bottom w:val="nil"/>
            </w:tcBorders>
            <w:vAlign w:val="top"/>
          </w:tcPr>
          <w:p w14:paraId="4892CE37">
            <w:pPr>
              <w:rPr>
                <w:rFonts w:ascii="Arial"/>
                <w:sz w:val="21"/>
              </w:rPr>
            </w:pPr>
          </w:p>
        </w:tc>
        <w:tc>
          <w:tcPr>
            <w:tcW w:w="3212" w:type="dxa"/>
            <w:vAlign w:val="top"/>
          </w:tcPr>
          <w:p w14:paraId="3A92EA4F">
            <w:pPr>
              <w:pStyle w:val="6"/>
              <w:spacing w:before="83" w:line="219" w:lineRule="auto"/>
              <w:ind w:left="81"/>
              <w:rPr>
                <w:sz w:val="18"/>
                <w:szCs w:val="18"/>
              </w:rPr>
            </w:pPr>
            <w:r>
              <w:rPr>
                <w:spacing w:val="-1"/>
                <w:sz w:val="18"/>
                <w:szCs w:val="18"/>
              </w:rPr>
              <w:t>第二章城市轨道交通线路与站场</w:t>
            </w:r>
          </w:p>
        </w:tc>
        <w:tc>
          <w:tcPr>
            <w:tcW w:w="484" w:type="dxa"/>
            <w:vMerge w:val="continue"/>
            <w:tcBorders>
              <w:top w:val="nil"/>
              <w:bottom w:val="nil"/>
            </w:tcBorders>
            <w:vAlign w:val="top"/>
          </w:tcPr>
          <w:p w14:paraId="33C0F99B">
            <w:pPr>
              <w:rPr>
                <w:rFonts w:ascii="Arial"/>
                <w:sz w:val="21"/>
              </w:rPr>
            </w:pPr>
          </w:p>
        </w:tc>
      </w:tr>
      <w:tr w14:paraId="605237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444" w:type="dxa"/>
            <w:vMerge w:val="continue"/>
            <w:tcBorders>
              <w:top w:val="nil"/>
              <w:bottom w:val="nil"/>
            </w:tcBorders>
            <w:vAlign w:val="top"/>
          </w:tcPr>
          <w:p w14:paraId="2C99C90A">
            <w:pPr>
              <w:rPr>
                <w:rFonts w:ascii="Arial"/>
                <w:sz w:val="21"/>
              </w:rPr>
            </w:pPr>
          </w:p>
        </w:tc>
        <w:tc>
          <w:tcPr>
            <w:tcW w:w="3212" w:type="dxa"/>
            <w:vAlign w:val="top"/>
          </w:tcPr>
          <w:p w14:paraId="4A34B971">
            <w:pPr>
              <w:pStyle w:val="6"/>
              <w:spacing w:before="83" w:line="219" w:lineRule="auto"/>
              <w:ind w:left="81"/>
              <w:rPr>
                <w:sz w:val="18"/>
                <w:szCs w:val="18"/>
              </w:rPr>
            </w:pPr>
            <w:r>
              <w:rPr>
                <w:spacing w:val="-1"/>
                <w:sz w:val="18"/>
                <w:szCs w:val="18"/>
              </w:rPr>
              <w:t>第三章城市轨道交通车辆</w:t>
            </w:r>
          </w:p>
        </w:tc>
        <w:tc>
          <w:tcPr>
            <w:tcW w:w="484" w:type="dxa"/>
            <w:vMerge w:val="continue"/>
            <w:tcBorders>
              <w:top w:val="nil"/>
              <w:bottom w:val="nil"/>
            </w:tcBorders>
            <w:vAlign w:val="top"/>
          </w:tcPr>
          <w:p w14:paraId="2D4A26DE">
            <w:pPr>
              <w:rPr>
                <w:rFonts w:ascii="Arial"/>
                <w:sz w:val="21"/>
              </w:rPr>
            </w:pPr>
          </w:p>
        </w:tc>
      </w:tr>
      <w:tr w14:paraId="6C9095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0" w:hRule="atLeast"/>
        </w:trPr>
        <w:tc>
          <w:tcPr>
            <w:tcW w:w="444" w:type="dxa"/>
            <w:vMerge w:val="continue"/>
            <w:tcBorders>
              <w:top w:val="nil"/>
              <w:bottom w:val="nil"/>
            </w:tcBorders>
            <w:vAlign w:val="top"/>
          </w:tcPr>
          <w:p w14:paraId="5AA67015">
            <w:pPr>
              <w:rPr>
                <w:rFonts w:ascii="Arial"/>
                <w:sz w:val="21"/>
              </w:rPr>
            </w:pPr>
          </w:p>
        </w:tc>
        <w:tc>
          <w:tcPr>
            <w:tcW w:w="3212" w:type="dxa"/>
            <w:vAlign w:val="top"/>
          </w:tcPr>
          <w:p w14:paraId="32041CA0">
            <w:pPr>
              <w:pStyle w:val="6"/>
              <w:spacing w:before="83" w:line="219" w:lineRule="auto"/>
              <w:ind w:left="81"/>
              <w:rPr>
                <w:sz w:val="18"/>
                <w:szCs w:val="18"/>
              </w:rPr>
            </w:pPr>
            <w:r>
              <w:rPr>
                <w:spacing w:val="-1"/>
                <w:sz w:val="18"/>
                <w:szCs w:val="18"/>
              </w:rPr>
              <w:t>第四章城市轨道交通供电</w:t>
            </w:r>
          </w:p>
        </w:tc>
        <w:tc>
          <w:tcPr>
            <w:tcW w:w="484" w:type="dxa"/>
            <w:vMerge w:val="continue"/>
            <w:tcBorders>
              <w:top w:val="nil"/>
              <w:bottom w:val="nil"/>
            </w:tcBorders>
            <w:vAlign w:val="top"/>
          </w:tcPr>
          <w:p w14:paraId="05678D56">
            <w:pPr>
              <w:rPr>
                <w:rFonts w:ascii="Arial"/>
                <w:sz w:val="21"/>
              </w:rPr>
            </w:pPr>
          </w:p>
        </w:tc>
      </w:tr>
      <w:tr w14:paraId="34CAFD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444" w:type="dxa"/>
            <w:vMerge w:val="continue"/>
            <w:tcBorders>
              <w:top w:val="nil"/>
              <w:bottom w:val="nil"/>
            </w:tcBorders>
            <w:vAlign w:val="top"/>
          </w:tcPr>
          <w:p w14:paraId="7ACB15A0">
            <w:pPr>
              <w:rPr>
                <w:rFonts w:ascii="Arial"/>
                <w:sz w:val="21"/>
              </w:rPr>
            </w:pPr>
          </w:p>
        </w:tc>
        <w:tc>
          <w:tcPr>
            <w:tcW w:w="3212" w:type="dxa"/>
            <w:vAlign w:val="top"/>
          </w:tcPr>
          <w:p w14:paraId="4B452B24">
            <w:pPr>
              <w:pStyle w:val="6"/>
              <w:spacing w:before="73" w:line="219" w:lineRule="auto"/>
              <w:ind w:left="81"/>
              <w:rPr>
                <w:sz w:val="18"/>
                <w:szCs w:val="18"/>
              </w:rPr>
            </w:pPr>
            <w:r>
              <w:rPr>
                <w:spacing w:val="-1"/>
                <w:sz w:val="18"/>
                <w:szCs w:val="18"/>
              </w:rPr>
              <w:t>第五章城市轨道交通信号</w:t>
            </w:r>
          </w:p>
        </w:tc>
        <w:tc>
          <w:tcPr>
            <w:tcW w:w="484" w:type="dxa"/>
            <w:vMerge w:val="continue"/>
            <w:tcBorders>
              <w:top w:val="nil"/>
              <w:bottom w:val="nil"/>
            </w:tcBorders>
            <w:vAlign w:val="top"/>
          </w:tcPr>
          <w:p w14:paraId="39EC2169">
            <w:pPr>
              <w:rPr>
                <w:rFonts w:ascii="Arial"/>
                <w:sz w:val="21"/>
              </w:rPr>
            </w:pPr>
          </w:p>
        </w:tc>
      </w:tr>
      <w:tr w14:paraId="2F21BD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444" w:type="dxa"/>
            <w:vMerge w:val="continue"/>
            <w:tcBorders>
              <w:top w:val="nil"/>
              <w:bottom w:val="nil"/>
            </w:tcBorders>
            <w:vAlign w:val="top"/>
          </w:tcPr>
          <w:p w14:paraId="637EB1BE">
            <w:pPr>
              <w:rPr>
                <w:rFonts w:ascii="Arial"/>
                <w:sz w:val="21"/>
              </w:rPr>
            </w:pPr>
          </w:p>
        </w:tc>
        <w:tc>
          <w:tcPr>
            <w:tcW w:w="3212" w:type="dxa"/>
            <w:vAlign w:val="top"/>
          </w:tcPr>
          <w:p w14:paraId="01779DA5">
            <w:pPr>
              <w:pStyle w:val="6"/>
              <w:spacing w:before="84" w:line="219" w:lineRule="auto"/>
              <w:ind w:left="81"/>
              <w:rPr>
                <w:sz w:val="18"/>
                <w:szCs w:val="18"/>
              </w:rPr>
            </w:pPr>
            <w:r>
              <w:rPr>
                <w:spacing w:val="-1"/>
                <w:sz w:val="18"/>
                <w:szCs w:val="18"/>
              </w:rPr>
              <w:t>第六章城市轨道交通通信</w:t>
            </w:r>
          </w:p>
        </w:tc>
        <w:tc>
          <w:tcPr>
            <w:tcW w:w="484" w:type="dxa"/>
            <w:vMerge w:val="continue"/>
            <w:tcBorders>
              <w:top w:val="nil"/>
              <w:bottom w:val="nil"/>
            </w:tcBorders>
            <w:vAlign w:val="top"/>
          </w:tcPr>
          <w:p w14:paraId="5C0B77C0">
            <w:pPr>
              <w:rPr>
                <w:rFonts w:ascii="Arial"/>
                <w:sz w:val="21"/>
              </w:rPr>
            </w:pPr>
          </w:p>
        </w:tc>
      </w:tr>
      <w:tr w14:paraId="6E34EB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0" w:hRule="atLeast"/>
        </w:trPr>
        <w:tc>
          <w:tcPr>
            <w:tcW w:w="444" w:type="dxa"/>
            <w:vMerge w:val="continue"/>
            <w:tcBorders>
              <w:top w:val="nil"/>
              <w:bottom w:val="nil"/>
            </w:tcBorders>
            <w:vAlign w:val="top"/>
          </w:tcPr>
          <w:p w14:paraId="3AA706B8">
            <w:pPr>
              <w:rPr>
                <w:rFonts w:ascii="Arial"/>
                <w:sz w:val="21"/>
              </w:rPr>
            </w:pPr>
          </w:p>
        </w:tc>
        <w:tc>
          <w:tcPr>
            <w:tcW w:w="3212" w:type="dxa"/>
            <w:vAlign w:val="top"/>
          </w:tcPr>
          <w:p w14:paraId="190ED590">
            <w:pPr>
              <w:pStyle w:val="6"/>
              <w:spacing w:before="84" w:line="219" w:lineRule="auto"/>
              <w:ind w:left="81"/>
              <w:rPr>
                <w:sz w:val="18"/>
                <w:szCs w:val="18"/>
              </w:rPr>
            </w:pPr>
            <w:r>
              <w:rPr>
                <w:spacing w:val="-1"/>
                <w:sz w:val="18"/>
                <w:szCs w:val="18"/>
              </w:rPr>
              <w:t>第七章城市轨道交通机电设备</w:t>
            </w:r>
          </w:p>
        </w:tc>
        <w:tc>
          <w:tcPr>
            <w:tcW w:w="484" w:type="dxa"/>
            <w:vMerge w:val="continue"/>
            <w:tcBorders>
              <w:top w:val="nil"/>
              <w:bottom w:val="nil"/>
            </w:tcBorders>
            <w:vAlign w:val="top"/>
          </w:tcPr>
          <w:p w14:paraId="05E1F1D1">
            <w:pPr>
              <w:rPr>
                <w:rFonts w:ascii="Arial"/>
                <w:sz w:val="21"/>
              </w:rPr>
            </w:pPr>
          </w:p>
        </w:tc>
      </w:tr>
      <w:tr w14:paraId="3F0ED1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444" w:type="dxa"/>
            <w:vMerge w:val="continue"/>
            <w:tcBorders>
              <w:top w:val="nil"/>
              <w:bottom w:val="nil"/>
            </w:tcBorders>
            <w:vAlign w:val="top"/>
          </w:tcPr>
          <w:p w14:paraId="757CC732">
            <w:pPr>
              <w:rPr>
                <w:rFonts w:ascii="Arial"/>
                <w:sz w:val="21"/>
              </w:rPr>
            </w:pPr>
          </w:p>
        </w:tc>
        <w:tc>
          <w:tcPr>
            <w:tcW w:w="3212" w:type="dxa"/>
            <w:vAlign w:val="top"/>
          </w:tcPr>
          <w:p w14:paraId="6909FDCE">
            <w:pPr>
              <w:pStyle w:val="6"/>
              <w:spacing w:before="74" w:line="219" w:lineRule="auto"/>
              <w:ind w:left="81"/>
              <w:rPr>
                <w:sz w:val="18"/>
                <w:szCs w:val="18"/>
              </w:rPr>
            </w:pPr>
            <w:r>
              <w:rPr>
                <w:spacing w:val="-1"/>
                <w:sz w:val="18"/>
                <w:szCs w:val="18"/>
              </w:rPr>
              <w:t>第八章单轨交通</w:t>
            </w:r>
          </w:p>
        </w:tc>
        <w:tc>
          <w:tcPr>
            <w:tcW w:w="484" w:type="dxa"/>
            <w:vMerge w:val="continue"/>
            <w:tcBorders>
              <w:top w:val="nil"/>
              <w:bottom w:val="nil"/>
            </w:tcBorders>
            <w:vAlign w:val="top"/>
          </w:tcPr>
          <w:p w14:paraId="7064DE8B">
            <w:pPr>
              <w:rPr>
                <w:rFonts w:ascii="Arial"/>
                <w:sz w:val="21"/>
              </w:rPr>
            </w:pPr>
          </w:p>
        </w:tc>
      </w:tr>
      <w:tr w14:paraId="1E1085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4" w:hRule="atLeast"/>
        </w:trPr>
        <w:tc>
          <w:tcPr>
            <w:tcW w:w="444" w:type="dxa"/>
            <w:vMerge w:val="continue"/>
            <w:tcBorders>
              <w:top w:val="nil"/>
            </w:tcBorders>
            <w:vAlign w:val="top"/>
          </w:tcPr>
          <w:p w14:paraId="176BBBE4">
            <w:pPr>
              <w:rPr>
                <w:rFonts w:ascii="Arial"/>
                <w:sz w:val="21"/>
              </w:rPr>
            </w:pPr>
          </w:p>
        </w:tc>
        <w:tc>
          <w:tcPr>
            <w:tcW w:w="3212" w:type="dxa"/>
            <w:vAlign w:val="top"/>
          </w:tcPr>
          <w:p w14:paraId="2D4F6E05">
            <w:pPr>
              <w:pStyle w:val="6"/>
              <w:spacing w:before="85" w:line="219" w:lineRule="auto"/>
              <w:ind w:left="81"/>
              <w:rPr>
                <w:sz w:val="18"/>
                <w:szCs w:val="18"/>
              </w:rPr>
            </w:pPr>
            <w:r>
              <w:rPr>
                <w:spacing w:val="-1"/>
                <w:sz w:val="18"/>
                <w:szCs w:val="18"/>
              </w:rPr>
              <w:t>第九章城市轨道交通规划与运营管理</w:t>
            </w:r>
          </w:p>
        </w:tc>
        <w:tc>
          <w:tcPr>
            <w:tcW w:w="484" w:type="dxa"/>
            <w:vMerge w:val="continue"/>
            <w:tcBorders>
              <w:top w:val="nil"/>
            </w:tcBorders>
            <w:vAlign w:val="top"/>
          </w:tcPr>
          <w:p w14:paraId="57C91ABE">
            <w:pPr>
              <w:rPr>
                <w:rFonts w:ascii="Arial"/>
                <w:sz w:val="21"/>
              </w:rPr>
            </w:pPr>
          </w:p>
        </w:tc>
      </w:tr>
    </w:tbl>
    <w:p w14:paraId="1F7A9E25">
      <w:pPr>
        <w:spacing w:before="242" w:line="219" w:lineRule="auto"/>
        <w:ind w:left="469"/>
        <w:rPr>
          <w:rFonts w:ascii="宋体" w:hAnsi="宋体" w:eastAsia="宋体" w:cs="宋体"/>
          <w:sz w:val="17"/>
          <w:szCs w:val="17"/>
        </w:rPr>
      </w:pPr>
      <w:r>
        <w:rPr>
          <w:rFonts w:ascii="宋体" w:hAnsi="宋体" w:eastAsia="宋体" w:cs="宋体"/>
          <w:spacing w:val="15"/>
          <w:sz w:val="17"/>
          <w:szCs w:val="17"/>
        </w:rPr>
        <w:t>(2)按考试水平分：(可上下整2%</w:t>
      </w:r>
      <w:r>
        <w:rPr>
          <w:rFonts w:ascii="宋体" w:hAnsi="宋体" w:eastAsia="宋体" w:cs="宋体"/>
          <w:spacing w:val="-50"/>
          <w:sz w:val="17"/>
          <w:szCs w:val="17"/>
        </w:rPr>
        <w:t xml:space="preserve"> </w:t>
      </w:r>
      <w:r>
        <w:rPr>
          <w:rFonts w:ascii="宋体" w:hAnsi="宋体" w:eastAsia="宋体" w:cs="宋体"/>
          <w:spacing w:val="15"/>
          <w:sz w:val="17"/>
          <w:szCs w:val="17"/>
        </w:rPr>
        <w:t>—</w:t>
      </w:r>
      <w:r>
        <w:rPr>
          <w:rFonts w:ascii="宋体" w:hAnsi="宋体" w:eastAsia="宋体" w:cs="宋体"/>
          <w:spacing w:val="-54"/>
          <w:sz w:val="17"/>
          <w:szCs w:val="17"/>
        </w:rPr>
        <w:t xml:space="preserve"> </w:t>
      </w:r>
      <w:r>
        <w:rPr>
          <w:rFonts w:ascii="宋体" w:hAnsi="宋体" w:eastAsia="宋体" w:cs="宋体"/>
          <w:spacing w:val="15"/>
          <w:sz w:val="17"/>
          <w:szCs w:val="17"/>
        </w:rPr>
        <w:t>5%)</w:t>
      </w:r>
    </w:p>
    <w:p w14:paraId="5939273A">
      <w:pPr>
        <w:spacing w:line="96" w:lineRule="exact"/>
      </w:pPr>
    </w:p>
    <w:tbl>
      <w:tblPr>
        <w:tblStyle w:val="5"/>
        <w:tblW w:w="4140" w:type="dxa"/>
        <w:tblInd w:w="3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63"/>
        <w:gridCol w:w="798"/>
        <w:gridCol w:w="788"/>
        <w:gridCol w:w="798"/>
        <w:gridCol w:w="793"/>
      </w:tblGrid>
      <w:tr w14:paraId="473EEB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9" w:hRule="atLeast"/>
        </w:trPr>
        <w:tc>
          <w:tcPr>
            <w:tcW w:w="963" w:type="dxa"/>
            <w:vAlign w:val="top"/>
          </w:tcPr>
          <w:p w14:paraId="6D24BB0E">
            <w:pPr>
              <w:pStyle w:val="6"/>
              <w:spacing w:before="89" w:line="220" w:lineRule="auto"/>
              <w:ind w:left="157"/>
              <w:rPr>
                <w:sz w:val="16"/>
                <w:szCs w:val="16"/>
              </w:rPr>
            </w:pPr>
            <w:r>
              <w:rPr>
                <w:b/>
                <w:bCs/>
                <w:spacing w:val="-1"/>
                <w:sz w:val="16"/>
                <w:szCs w:val="16"/>
              </w:rPr>
              <w:t>目标要求</w:t>
            </w:r>
          </w:p>
        </w:tc>
        <w:tc>
          <w:tcPr>
            <w:tcW w:w="798" w:type="dxa"/>
            <w:vAlign w:val="top"/>
          </w:tcPr>
          <w:p w14:paraId="43515CEB">
            <w:pPr>
              <w:pStyle w:val="6"/>
              <w:spacing w:before="132" w:line="184" w:lineRule="auto"/>
              <w:ind w:left="354"/>
              <w:rPr>
                <w:sz w:val="16"/>
                <w:szCs w:val="16"/>
              </w:rPr>
            </w:pPr>
            <w:r>
              <w:rPr>
                <w:b/>
                <w:bCs/>
                <w:spacing w:val="-2"/>
                <w:sz w:val="16"/>
                <w:szCs w:val="16"/>
              </w:rPr>
              <w:t>A</w:t>
            </w:r>
          </w:p>
        </w:tc>
        <w:tc>
          <w:tcPr>
            <w:tcW w:w="788" w:type="dxa"/>
            <w:vAlign w:val="top"/>
          </w:tcPr>
          <w:p w14:paraId="68C6E9A4">
            <w:pPr>
              <w:pStyle w:val="6"/>
              <w:spacing w:before="133" w:line="182" w:lineRule="auto"/>
              <w:ind w:left="346"/>
              <w:rPr>
                <w:sz w:val="16"/>
                <w:szCs w:val="16"/>
              </w:rPr>
            </w:pPr>
            <w:r>
              <w:rPr>
                <w:b/>
                <w:bCs/>
                <w:spacing w:val="-2"/>
                <w:sz w:val="16"/>
                <w:szCs w:val="16"/>
              </w:rPr>
              <w:t>B</w:t>
            </w:r>
          </w:p>
        </w:tc>
        <w:tc>
          <w:tcPr>
            <w:tcW w:w="798" w:type="dxa"/>
            <w:vAlign w:val="top"/>
          </w:tcPr>
          <w:p w14:paraId="40DDD005">
            <w:pPr>
              <w:pStyle w:val="6"/>
              <w:spacing w:before="131" w:line="183" w:lineRule="auto"/>
              <w:ind w:left="358"/>
              <w:rPr>
                <w:sz w:val="16"/>
                <w:szCs w:val="16"/>
              </w:rPr>
            </w:pPr>
            <w:r>
              <w:rPr>
                <w:b/>
                <w:bCs/>
                <w:spacing w:val="-2"/>
                <w:sz w:val="16"/>
                <w:szCs w:val="16"/>
              </w:rPr>
              <w:t>C</w:t>
            </w:r>
          </w:p>
        </w:tc>
        <w:tc>
          <w:tcPr>
            <w:tcW w:w="793" w:type="dxa"/>
            <w:vAlign w:val="top"/>
          </w:tcPr>
          <w:p w14:paraId="144B63EA">
            <w:pPr>
              <w:pStyle w:val="6"/>
              <w:spacing w:before="133" w:line="182" w:lineRule="auto"/>
              <w:ind w:left="350"/>
              <w:rPr>
                <w:sz w:val="16"/>
                <w:szCs w:val="16"/>
              </w:rPr>
            </w:pPr>
            <w:r>
              <w:rPr>
                <w:b/>
                <w:bCs/>
                <w:spacing w:val="-2"/>
                <w:sz w:val="16"/>
                <w:szCs w:val="16"/>
              </w:rPr>
              <w:t>D</w:t>
            </w:r>
          </w:p>
        </w:tc>
      </w:tr>
      <w:tr w14:paraId="58A873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0" w:hRule="atLeast"/>
        </w:trPr>
        <w:tc>
          <w:tcPr>
            <w:tcW w:w="963" w:type="dxa"/>
            <w:vAlign w:val="top"/>
          </w:tcPr>
          <w:p w14:paraId="052B9907">
            <w:pPr>
              <w:pStyle w:val="6"/>
              <w:spacing w:before="80" w:line="220" w:lineRule="auto"/>
              <w:ind w:left="237"/>
              <w:rPr>
                <w:sz w:val="16"/>
                <w:szCs w:val="16"/>
              </w:rPr>
            </w:pPr>
            <w:r>
              <w:rPr>
                <w:b/>
                <w:bCs/>
                <w:spacing w:val="-5"/>
                <w:sz w:val="16"/>
                <w:szCs w:val="16"/>
              </w:rPr>
              <w:t>百分比</w:t>
            </w:r>
          </w:p>
        </w:tc>
        <w:tc>
          <w:tcPr>
            <w:tcW w:w="798" w:type="dxa"/>
            <w:vAlign w:val="top"/>
          </w:tcPr>
          <w:p w14:paraId="381F65D6">
            <w:pPr>
              <w:pStyle w:val="6"/>
              <w:spacing w:before="122" w:line="183" w:lineRule="auto"/>
              <w:ind w:left="274"/>
              <w:rPr>
                <w:sz w:val="16"/>
                <w:szCs w:val="16"/>
              </w:rPr>
            </w:pPr>
            <w:r>
              <w:rPr>
                <w:b/>
                <w:bCs/>
                <w:spacing w:val="-4"/>
                <w:sz w:val="16"/>
                <w:szCs w:val="16"/>
              </w:rPr>
              <w:t>30%</w:t>
            </w:r>
          </w:p>
        </w:tc>
        <w:tc>
          <w:tcPr>
            <w:tcW w:w="788" w:type="dxa"/>
            <w:vAlign w:val="top"/>
          </w:tcPr>
          <w:p w14:paraId="403D6F55">
            <w:pPr>
              <w:pStyle w:val="6"/>
              <w:spacing w:before="122" w:line="183" w:lineRule="auto"/>
              <w:ind w:left="266"/>
              <w:rPr>
                <w:sz w:val="16"/>
                <w:szCs w:val="16"/>
              </w:rPr>
            </w:pPr>
            <w:r>
              <w:rPr>
                <w:b/>
                <w:bCs/>
                <w:spacing w:val="-4"/>
                <w:sz w:val="16"/>
                <w:szCs w:val="16"/>
              </w:rPr>
              <w:t>20%</w:t>
            </w:r>
          </w:p>
        </w:tc>
        <w:tc>
          <w:tcPr>
            <w:tcW w:w="798" w:type="dxa"/>
            <w:vAlign w:val="top"/>
          </w:tcPr>
          <w:p w14:paraId="19AC33CD">
            <w:pPr>
              <w:pStyle w:val="6"/>
              <w:spacing w:before="122" w:line="183" w:lineRule="auto"/>
              <w:ind w:left="278"/>
              <w:rPr>
                <w:sz w:val="16"/>
                <w:szCs w:val="16"/>
              </w:rPr>
            </w:pPr>
            <w:r>
              <w:rPr>
                <w:b/>
                <w:bCs/>
                <w:spacing w:val="-4"/>
                <w:sz w:val="16"/>
                <w:szCs w:val="16"/>
              </w:rPr>
              <w:t>30%</w:t>
            </w:r>
          </w:p>
        </w:tc>
        <w:tc>
          <w:tcPr>
            <w:tcW w:w="793" w:type="dxa"/>
            <w:vAlign w:val="top"/>
          </w:tcPr>
          <w:p w14:paraId="3694F86E">
            <w:pPr>
              <w:pStyle w:val="6"/>
              <w:spacing w:before="122" w:line="183" w:lineRule="auto"/>
              <w:ind w:left="270"/>
              <w:rPr>
                <w:sz w:val="16"/>
                <w:szCs w:val="16"/>
              </w:rPr>
            </w:pPr>
            <w:r>
              <w:rPr>
                <w:b/>
                <w:bCs/>
                <w:spacing w:val="-4"/>
                <w:sz w:val="16"/>
                <w:szCs w:val="16"/>
              </w:rPr>
              <w:t>20%</w:t>
            </w:r>
          </w:p>
        </w:tc>
      </w:tr>
    </w:tbl>
    <w:p w14:paraId="296424C0">
      <w:pPr>
        <w:spacing w:before="152" w:line="219" w:lineRule="auto"/>
        <w:ind w:left="460"/>
        <w:rPr>
          <w:rFonts w:ascii="宋体" w:hAnsi="宋体" w:eastAsia="宋体" w:cs="宋体"/>
          <w:sz w:val="17"/>
          <w:szCs w:val="17"/>
        </w:rPr>
      </w:pPr>
      <w:r>
        <w:rPr>
          <w:rFonts w:ascii="宋体" w:hAnsi="宋体" w:eastAsia="宋体" w:cs="宋体"/>
          <w:spacing w:val="16"/>
          <w:sz w:val="17"/>
          <w:szCs w:val="17"/>
        </w:rPr>
        <w:t>(3)按题型分：(可上下调整2%</w:t>
      </w:r>
      <w:r>
        <w:rPr>
          <w:rFonts w:ascii="宋体" w:hAnsi="宋体" w:eastAsia="宋体" w:cs="宋体"/>
          <w:spacing w:val="-47"/>
          <w:sz w:val="17"/>
          <w:szCs w:val="17"/>
        </w:rPr>
        <w:t xml:space="preserve"> </w:t>
      </w:r>
      <w:r>
        <w:rPr>
          <w:rFonts w:ascii="宋体" w:hAnsi="宋体" w:eastAsia="宋体" w:cs="宋体"/>
          <w:spacing w:val="16"/>
          <w:sz w:val="17"/>
          <w:szCs w:val="17"/>
        </w:rPr>
        <w:t>—</w:t>
      </w:r>
      <w:r>
        <w:rPr>
          <w:rFonts w:ascii="宋体" w:hAnsi="宋体" w:eastAsia="宋体" w:cs="宋体"/>
          <w:spacing w:val="-52"/>
          <w:sz w:val="17"/>
          <w:szCs w:val="17"/>
        </w:rPr>
        <w:t xml:space="preserve"> </w:t>
      </w:r>
      <w:r>
        <w:rPr>
          <w:rFonts w:ascii="宋体" w:hAnsi="宋体" w:eastAsia="宋体" w:cs="宋体"/>
          <w:spacing w:val="16"/>
          <w:sz w:val="17"/>
          <w:szCs w:val="17"/>
        </w:rPr>
        <w:t>5%)</w:t>
      </w:r>
    </w:p>
    <w:p w14:paraId="3C8C3108">
      <w:pPr>
        <w:spacing w:line="116" w:lineRule="exact"/>
      </w:pPr>
    </w:p>
    <w:tbl>
      <w:tblPr>
        <w:tblStyle w:val="5"/>
        <w:tblW w:w="4139" w:type="dxa"/>
        <w:tblInd w:w="4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93"/>
        <w:gridCol w:w="618"/>
        <w:gridCol w:w="619"/>
        <w:gridCol w:w="628"/>
        <w:gridCol w:w="628"/>
        <w:gridCol w:w="953"/>
      </w:tblGrid>
      <w:tr w14:paraId="652612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0" w:hRule="atLeast"/>
        </w:trPr>
        <w:tc>
          <w:tcPr>
            <w:tcW w:w="693" w:type="dxa"/>
            <w:vAlign w:val="top"/>
          </w:tcPr>
          <w:p w14:paraId="180ACE56">
            <w:pPr>
              <w:pStyle w:val="6"/>
              <w:spacing w:before="142" w:line="221" w:lineRule="auto"/>
              <w:ind w:left="157"/>
              <w:rPr>
                <w:sz w:val="18"/>
                <w:szCs w:val="18"/>
              </w:rPr>
            </w:pPr>
            <w:r>
              <w:rPr>
                <w:b/>
                <w:bCs/>
                <w:spacing w:val="-4"/>
                <w:sz w:val="18"/>
                <w:szCs w:val="18"/>
              </w:rPr>
              <w:t>题型</w:t>
            </w:r>
          </w:p>
        </w:tc>
        <w:tc>
          <w:tcPr>
            <w:tcW w:w="618" w:type="dxa"/>
            <w:vAlign w:val="top"/>
          </w:tcPr>
          <w:p w14:paraId="6BF2BAF1">
            <w:pPr>
              <w:pStyle w:val="6"/>
              <w:spacing w:before="140" w:line="220" w:lineRule="auto"/>
              <w:ind w:left="34"/>
              <w:rPr>
                <w:sz w:val="18"/>
                <w:szCs w:val="18"/>
              </w:rPr>
            </w:pPr>
            <w:r>
              <w:rPr>
                <w:b/>
                <w:bCs/>
                <w:spacing w:val="-4"/>
                <w:sz w:val="18"/>
                <w:szCs w:val="18"/>
              </w:rPr>
              <w:t>填空题</w:t>
            </w:r>
          </w:p>
        </w:tc>
        <w:tc>
          <w:tcPr>
            <w:tcW w:w="619" w:type="dxa"/>
            <w:vAlign w:val="top"/>
          </w:tcPr>
          <w:p w14:paraId="37D4B14F">
            <w:pPr>
              <w:pStyle w:val="6"/>
              <w:spacing w:before="140" w:line="221" w:lineRule="auto"/>
              <w:ind w:left="36"/>
              <w:rPr>
                <w:sz w:val="18"/>
                <w:szCs w:val="18"/>
              </w:rPr>
            </w:pPr>
            <w:r>
              <w:rPr>
                <w:b/>
                <w:bCs/>
                <w:spacing w:val="-4"/>
                <w:sz w:val="18"/>
                <w:szCs w:val="18"/>
              </w:rPr>
              <w:t>选择题</w:t>
            </w:r>
          </w:p>
        </w:tc>
        <w:tc>
          <w:tcPr>
            <w:tcW w:w="628" w:type="dxa"/>
            <w:vAlign w:val="top"/>
          </w:tcPr>
          <w:p w14:paraId="2F2B29D0">
            <w:pPr>
              <w:pStyle w:val="6"/>
              <w:spacing w:before="139" w:line="219" w:lineRule="auto"/>
              <w:ind w:left="67"/>
              <w:rPr>
                <w:sz w:val="18"/>
                <w:szCs w:val="18"/>
              </w:rPr>
            </w:pPr>
            <w:r>
              <w:rPr>
                <w:b/>
                <w:bCs/>
                <w:spacing w:val="-4"/>
                <w:sz w:val="18"/>
                <w:szCs w:val="18"/>
              </w:rPr>
              <w:t>判断题</w:t>
            </w:r>
          </w:p>
        </w:tc>
        <w:tc>
          <w:tcPr>
            <w:tcW w:w="628" w:type="dxa"/>
            <w:vAlign w:val="top"/>
          </w:tcPr>
          <w:p w14:paraId="3CDC15F4">
            <w:pPr>
              <w:pStyle w:val="6"/>
              <w:spacing w:before="50" w:line="195" w:lineRule="auto"/>
              <w:ind w:left="39"/>
              <w:rPr>
                <w:sz w:val="18"/>
                <w:szCs w:val="18"/>
              </w:rPr>
            </w:pPr>
            <w:r>
              <w:rPr>
                <w:b/>
                <w:bCs/>
                <w:spacing w:val="-4"/>
                <w:sz w:val="18"/>
                <w:szCs w:val="18"/>
              </w:rPr>
              <w:t>作图分</w:t>
            </w:r>
          </w:p>
          <w:p w14:paraId="28939540">
            <w:pPr>
              <w:pStyle w:val="6"/>
              <w:spacing w:line="204" w:lineRule="auto"/>
              <w:ind w:left="129"/>
              <w:rPr>
                <w:sz w:val="18"/>
                <w:szCs w:val="18"/>
              </w:rPr>
            </w:pPr>
            <w:r>
              <w:rPr>
                <w:b/>
                <w:bCs/>
                <w:spacing w:val="-5"/>
                <w:sz w:val="18"/>
                <w:szCs w:val="18"/>
              </w:rPr>
              <w:t>析题</w:t>
            </w:r>
          </w:p>
        </w:tc>
        <w:tc>
          <w:tcPr>
            <w:tcW w:w="953" w:type="dxa"/>
            <w:vAlign w:val="top"/>
          </w:tcPr>
          <w:p w14:paraId="23DD51AF">
            <w:pPr>
              <w:pStyle w:val="6"/>
              <w:spacing w:before="28" w:line="219" w:lineRule="auto"/>
              <w:ind w:left="21"/>
              <w:rPr>
                <w:sz w:val="18"/>
                <w:szCs w:val="18"/>
              </w:rPr>
            </w:pPr>
            <w:r>
              <w:rPr>
                <w:b/>
                <w:bCs/>
                <w:spacing w:val="-4"/>
                <w:sz w:val="18"/>
                <w:szCs w:val="18"/>
              </w:rPr>
              <w:t>简述或问答</w:t>
            </w:r>
          </w:p>
          <w:p w14:paraId="32AD68A2">
            <w:pPr>
              <w:pStyle w:val="6"/>
              <w:spacing w:before="7" w:line="195" w:lineRule="auto"/>
              <w:ind w:left="111"/>
              <w:rPr>
                <w:sz w:val="18"/>
                <w:szCs w:val="18"/>
              </w:rPr>
            </w:pPr>
            <w:r>
              <w:rPr>
                <w:b/>
                <w:bCs/>
                <w:spacing w:val="-4"/>
                <w:sz w:val="18"/>
                <w:szCs w:val="18"/>
              </w:rPr>
              <w:t>或计算题</w:t>
            </w:r>
          </w:p>
        </w:tc>
      </w:tr>
      <w:tr w14:paraId="043D75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0" w:hRule="atLeast"/>
        </w:trPr>
        <w:tc>
          <w:tcPr>
            <w:tcW w:w="693" w:type="dxa"/>
            <w:vAlign w:val="top"/>
          </w:tcPr>
          <w:p w14:paraId="1323D03A">
            <w:pPr>
              <w:pStyle w:val="6"/>
              <w:spacing w:before="100" w:line="220" w:lineRule="auto"/>
              <w:ind w:left="67"/>
              <w:rPr>
                <w:sz w:val="18"/>
                <w:szCs w:val="18"/>
              </w:rPr>
            </w:pPr>
            <w:r>
              <w:rPr>
                <w:b/>
                <w:bCs/>
                <w:spacing w:val="-5"/>
                <w:sz w:val="18"/>
                <w:szCs w:val="18"/>
              </w:rPr>
              <w:t>百分比</w:t>
            </w:r>
          </w:p>
        </w:tc>
        <w:tc>
          <w:tcPr>
            <w:tcW w:w="618" w:type="dxa"/>
            <w:vAlign w:val="top"/>
          </w:tcPr>
          <w:p w14:paraId="5CE1EEE0">
            <w:pPr>
              <w:pStyle w:val="6"/>
              <w:spacing w:before="147" w:line="183" w:lineRule="auto"/>
              <w:ind w:left="164"/>
              <w:rPr>
                <w:sz w:val="18"/>
                <w:szCs w:val="18"/>
              </w:rPr>
            </w:pPr>
            <w:r>
              <w:rPr>
                <w:b/>
                <w:bCs/>
                <w:spacing w:val="-5"/>
                <w:sz w:val="18"/>
                <w:szCs w:val="18"/>
              </w:rPr>
              <w:t>30%</w:t>
            </w:r>
          </w:p>
        </w:tc>
        <w:tc>
          <w:tcPr>
            <w:tcW w:w="619" w:type="dxa"/>
            <w:vAlign w:val="top"/>
          </w:tcPr>
          <w:p w14:paraId="4F68121E">
            <w:pPr>
              <w:pStyle w:val="6"/>
              <w:spacing w:before="147" w:line="183" w:lineRule="auto"/>
              <w:ind w:left="166"/>
              <w:rPr>
                <w:sz w:val="18"/>
                <w:szCs w:val="18"/>
              </w:rPr>
            </w:pPr>
            <w:r>
              <w:rPr>
                <w:b/>
                <w:bCs/>
                <w:spacing w:val="-4"/>
                <w:sz w:val="18"/>
                <w:szCs w:val="18"/>
              </w:rPr>
              <w:t>25%</w:t>
            </w:r>
          </w:p>
        </w:tc>
        <w:tc>
          <w:tcPr>
            <w:tcW w:w="628" w:type="dxa"/>
            <w:vAlign w:val="top"/>
          </w:tcPr>
          <w:p w14:paraId="4045CDCF">
            <w:pPr>
              <w:pStyle w:val="6"/>
              <w:spacing w:before="146" w:line="184" w:lineRule="auto"/>
              <w:ind w:left="167"/>
              <w:rPr>
                <w:sz w:val="18"/>
                <w:szCs w:val="18"/>
              </w:rPr>
            </w:pPr>
            <w:r>
              <w:rPr>
                <w:b/>
                <w:bCs/>
                <w:spacing w:val="-7"/>
                <w:sz w:val="18"/>
                <w:szCs w:val="18"/>
              </w:rPr>
              <w:t>10%</w:t>
            </w:r>
          </w:p>
        </w:tc>
        <w:tc>
          <w:tcPr>
            <w:tcW w:w="628" w:type="dxa"/>
            <w:vAlign w:val="top"/>
          </w:tcPr>
          <w:p w14:paraId="7A0DBCB2">
            <w:pPr>
              <w:pStyle w:val="6"/>
              <w:spacing w:before="146" w:line="184" w:lineRule="auto"/>
              <w:ind w:left="179"/>
              <w:rPr>
                <w:sz w:val="18"/>
                <w:szCs w:val="18"/>
              </w:rPr>
            </w:pPr>
            <w:r>
              <w:rPr>
                <w:b/>
                <w:bCs/>
                <w:spacing w:val="-7"/>
                <w:sz w:val="18"/>
                <w:szCs w:val="18"/>
              </w:rPr>
              <w:t>10%</w:t>
            </w:r>
          </w:p>
        </w:tc>
        <w:tc>
          <w:tcPr>
            <w:tcW w:w="953" w:type="dxa"/>
            <w:vAlign w:val="top"/>
          </w:tcPr>
          <w:p w14:paraId="240B77C2">
            <w:pPr>
              <w:pStyle w:val="6"/>
              <w:spacing w:before="147" w:line="183" w:lineRule="auto"/>
              <w:ind w:left="341"/>
              <w:rPr>
                <w:sz w:val="18"/>
                <w:szCs w:val="18"/>
              </w:rPr>
            </w:pPr>
            <w:r>
              <w:rPr>
                <w:b/>
                <w:bCs/>
                <w:spacing w:val="-4"/>
                <w:sz w:val="18"/>
                <w:szCs w:val="18"/>
              </w:rPr>
              <w:t>25%</w:t>
            </w:r>
          </w:p>
        </w:tc>
      </w:tr>
    </w:tbl>
    <w:p w14:paraId="2812800F">
      <w:pPr>
        <w:pStyle w:val="2"/>
        <w:spacing w:line="151" w:lineRule="exact"/>
        <w:rPr>
          <w:sz w:val="13"/>
        </w:rPr>
      </w:pPr>
    </w:p>
    <w:p w14:paraId="3B84100A">
      <w:pPr>
        <w:pStyle w:val="2"/>
        <w:spacing w:line="14" w:lineRule="auto"/>
        <w:rPr>
          <w:sz w:val="2"/>
        </w:rPr>
      </w:pPr>
      <w:r>
        <w:rPr>
          <w:sz w:val="2"/>
          <w:szCs w:val="2"/>
        </w:rPr>
        <w:br w:type="column"/>
      </w:r>
    </w:p>
    <w:p w14:paraId="5A3A8B5E">
      <w:pPr>
        <w:spacing w:before="78" w:line="219" w:lineRule="auto"/>
        <w:ind w:left="243"/>
        <w:rPr>
          <w:rFonts w:ascii="宋体" w:hAnsi="宋体" w:eastAsia="宋体" w:cs="宋体"/>
          <w:sz w:val="27"/>
          <w:szCs w:val="27"/>
        </w:rPr>
      </w:pPr>
      <w:r>
        <w:rPr>
          <w:rFonts w:ascii="宋体" w:hAnsi="宋体" w:eastAsia="宋体" w:cs="宋体"/>
          <w:b/>
          <w:bCs/>
          <w:spacing w:val="16"/>
          <w:sz w:val="27"/>
          <w:szCs w:val="27"/>
        </w:rPr>
        <w:t>生物与化工大类(化工技术类)</w:t>
      </w:r>
    </w:p>
    <w:p w14:paraId="653638B9">
      <w:pPr>
        <w:spacing w:before="77" w:line="221" w:lineRule="auto"/>
        <w:ind w:left="1073"/>
        <w:outlineLvl w:val="0"/>
        <w:rPr>
          <w:rFonts w:ascii="黑体" w:hAnsi="黑体" w:eastAsia="黑体" w:cs="黑体"/>
          <w:sz w:val="27"/>
          <w:szCs w:val="27"/>
        </w:rPr>
      </w:pPr>
      <w:bookmarkStart w:id="50" w:name="bookmark14"/>
      <w:bookmarkEnd w:id="50"/>
      <w:r>
        <w:rPr>
          <w:rFonts w:ascii="黑体" w:hAnsi="黑体" w:eastAsia="黑体" w:cs="黑体"/>
          <w:b/>
          <w:bCs/>
          <w:spacing w:val="1"/>
          <w:sz w:val="27"/>
          <w:szCs w:val="27"/>
        </w:rPr>
        <w:t>专业理论考试纲要</w:t>
      </w:r>
    </w:p>
    <w:p w14:paraId="290DBC17">
      <w:pPr>
        <w:pStyle w:val="2"/>
        <w:spacing w:line="259" w:lineRule="auto"/>
      </w:pPr>
    </w:p>
    <w:p w14:paraId="1327FA12">
      <w:pPr>
        <w:pStyle w:val="2"/>
        <w:spacing w:line="259" w:lineRule="auto"/>
      </w:pPr>
    </w:p>
    <w:p w14:paraId="49BDE755">
      <w:pPr>
        <w:spacing w:before="74" w:line="221" w:lineRule="auto"/>
        <w:ind w:left="3"/>
        <w:rPr>
          <w:rFonts w:ascii="黑体" w:hAnsi="黑体" w:eastAsia="黑体" w:cs="黑体"/>
          <w:sz w:val="23"/>
          <w:szCs w:val="23"/>
        </w:rPr>
      </w:pPr>
      <w:r>
        <w:rPr>
          <w:rFonts w:ascii="黑体" w:hAnsi="黑体" w:eastAsia="黑体" w:cs="黑体"/>
          <w:b/>
          <w:bCs/>
          <w:spacing w:val="-5"/>
          <w:sz w:val="23"/>
          <w:szCs w:val="23"/>
        </w:rPr>
        <w:t>一、考试范围和内容</w:t>
      </w:r>
    </w:p>
    <w:p w14:paraId="5CE040B8">
      <w:pPr>
        <w:spacing w:before="106" w:line="312" w:lineRule="auto"/>
        <w:ind w:right="10" w:firstLine="359"/>
        <w:rPr>
          <w:rFonts w:ascii="宋体" w:hAnsi="宋体" w:eastAsia="宋体" w:cs="宋体"/>
          <w:sz w:val="17"/>
          <w:szCs w:val="17"/>
        </w:rPr>
      </w:pPr>
      <w:r>
        <w:rPr>
          <w:rFonts w:ascii="宋体" w:hAnsi="宋体" w:eastAsia="宋体" w:cs="宋体"/>
          <w:spacing w:val="10"/>
          <w:sz w:val="17"/>
          <w:szCs w:val="17"/>
        </w:rPr>
        <w:t>本纲要以教育部颁布的《中等职业学校化学课程</w:t>
      </w:r>
      <w:r>
        <w:rPr>
          <w:rFonts w:ascii="宋体" w:hAnsi="宋体" w:eastAsia="宋体" w:cs="宋体"/>
          <w:spacing w:val="14"/>
          <w:sz w:val="17"/>
          <w:szCs w:val="17"/>
        </w:rPr>
        <w:t xml:space="preserve"> </w:t>
      </w:r>
      <w:r>
        <w:rPr>
          <w:rFonts w:ascii="宋体" w:hAnsi="宋体" w:eastAsia="宋体" w:cs="宋体"/>
          <w:spacing w:val="2"/>
          <w:sz w:val="17"/>
          <w:szCs w:val="17"/>
        </w:rPr>
        <w:t>标准》《中等职业学校化工技术类专业简介》为依据，</w:t>
      </w:r>
      <w:r>
        <w:rPr>
          <w:rFonts w:ascii="宋体" w:hAnsi="宋体" w:eastAsia="宋体" w:cs="宋体"/>
          <w:spacing w:val="6"/>
          <w:sz w:val="17"/>
          <w:szCs w:val="17"/>
        </w:rPr>
        <w:t xml:space="preserve"> </w:t>
      </w:r>
      <w:r>
        <w:rPr>
          <w:rFonts w:ascii="宋体" w:hAnsi="宋体" w:eastAsia="宋体" w:cs="宋体"/>
          <w:spacing w:val="3"/>
          <w:sz w:val="17"/>
          <w:szCs w:val="17"/>
        </w:rPr>
        <w:t>以高等教育出版社出版的“十四五”职业教育国家规划</w:t>
      </w:r>
      <w:r>
        <w:rPr>
          <w:rFonts w:ascii="宋体" w:hAnsi="宋体" w:eastAsia="宋体" w:cs="宋体"/>
          <w:spacing w:val="9"/>
          <w:sz w:val="17"/>
          <w:szCs w:val="17"/>
        </w:rPr>
        <w:t xml:space="preserve"> </w:t>
      </w:r>
      <w:r>
        <w:rPr>
          <w:rFonts w:ascii="宋体" w:hAnsi="宋体" w:eastAsia="宋体" w:cs="宋体"/>
          <w:spacing w:val="10"/>
          <w:sz w:val="17"/>
          <w:szCs w:val="17"/>
        </w:rPr>
        <w:t>教材《化学》(通用类)修订版，化学工业出版社出版</w:t>
      </w:r>
      <w:r>
        <w:rPr>
          <w:rFonts w:ascii="宋体" w:hAnsi="宋体" w:eastAsia="宋体" w:cs="宋体"/>
          <w:spacing w:val="5"/>
          <w:sz w:val="17"/>
          <w:szCs w:val="17"/>
        </w:rPr>
        <w:t xml:space="preserve"> </w:t>
      </w:r>
      <w:r>
        <w:rPr>
          <w:rFonts w:ascii="宋体" w:hAnsi="宋体" w:eastAsia="宋体" w:cs="宋体"/>
          <w:spacing w:val="3"/>
          <w:sz w:val="17"/>
          <w:szCs w:val="17"/>
        </w:rPr>
        <w:t>的中等职业教育“十四五”职业教育国家规划教材《无</w:t>
      </w:r>
      <w:r>
        <w:rPr>
          <w:rFonts w:ascii="宋体" w:hAnsi="宋体" w:eastAsia="宋体" w:cs="宋体"/>
          <w:spacing w:val="4"/>
          <w:sz w:val="17"/>
          <w:szCs w:val="17"/>
        </w:rPr>
        <w:t xml:space="preserve"> </w:t>
      </w:r>
      <w:r>
        <w:rPr>
          <w:rFonts w:ascii="宋体" w:hAnsi="宋体" w:eastAsia="宋体" w:cs="宋体"/>
          <w:spacing w:val="13"/>
          <w:sz w:val="17"/>
          <w:szCs w:val="17"/>
        </w:rPr>
        <w:t>机物定量分析基础(凌昌都)》(第二版),化学工业出</w:t>
      </w:r>
      <w:r>
        <w:rPr>
          <w:rFonts w:ascii="宋体" w:hAnsi="宋体" w:eastAsia="宋体" w:cs="宋体"/>
          <w:sz w:val="17"/>
          <w:szCs w:val="17"/>
        </w:rPr>
        <w:t xml:space="preserve"> </w:t>
      </w:r>
      <w:r>
        <w:rPr>
          <w:rFonts w:ascii="宋体" w:hAnsi="宋体" w:eastAsia="宋体" w:cs="宋体"/>
          <w:spacing w:val="3"/>
          <w:sz w:val="17"/>
          <w:szCs w:val="17"/>
        </w:rPr>
        <w:t>版社出版的“十三五”职业教育国家规划教材《化工单</w:t>
      </w:r>
      <w:r>
        <w:rPr>
          <w:rFonts w:ascii="宋体" w:hAnsi="宋体" w:eastAsia="宋体" w:cs="宋体"/>
          <w:spacing w:val="4"/>
          <w:sz w:val="17"/>
          <w:szCs w:val="17"/>
        </w:rPr>
        <w:t xml:space="preserve"> </w:t>
      </w:r>
      <w:r>
        <w:rPr>
          <w:rFonts w:ascii="宋体" w:hAnsi="宋体" w:eastAsia="宋体" w:cs="宋体"/>
          <w:spacing w:val="17"/>
          <w:sz w:val="17"/>
          <w:szCs w:val="17"/>
        </w:rPr>
        <w:t>元操作(冷士良主编)》(第三版)为蓝本，同时参考</w:t>
      </w:r>
      <w:r>
        <w:rPr>
          <w:rFonts w:ascii="宋体" w:hAnsi="宋体" w:eastAsia="宋体" w:cs="宋体"/>
          <w:spacing w:val="7"/>
          <w:sz w:val="17"/>
          <w:szCs w:val="17"/>
        </w:rPr>
        <w:t xml:space="preserve"> </w:t>
      </w:r>
      <w:r>
        <w:rPr>
          <w:rFonts w:ascii="宋体" w:hAnsi="宋体" w:eastAsia="宋体" w:cs="宋体"/>
          <w:spacing w:val="2"/>
          <w:sz w:val="17"/>
          <w:szCs w:val="17"/>
        </w:rPr>
        <w:t>其他中等职业教育同类教材，对部分知识点作了微调。</w:t>
      </w:r>
    </w:p>
    <w:p w14:paraId="4B411C2D">
      <w:pPr>
        <w:spacing w:before="26" w:line="308" w:lineRule="auto"/>
        <w:ind w:right="9" w:firstLine="359"/>
        <w:rPr>
          <w:rFonts w:ascii="宋体" w:hAnsi="宋体" w:eastAsia="宋体" w:cs="宋体"/>
          <w:sz w:val="17"/>
          <w:szCs w:val="17"/>
        </w:rPr>
      </w:pPr>
      <w:r>
        <w:rPr>
          <w:rFonts w:ascii="宋体" w:hAnsi="宋体" w:eastAsia="宋体" w:cs="宋体"/>
          <w:spacing w:val="2"/>
          <w:sz w:val="17"/>
          <w:szCs w:val="17"/>
        </w:rPr>
        <w:t>化工技术类专业类综合课考试，侧重考查考生对综</w:t>
      </w:r>
      <w:r>
        <w:rPr>
          <w:rFonts w:ascii="宋体" w:hAnsi="宋体" w:eastAsia="宋体" w:cs="宋体"/>
          <w:spacing w:val="12"/>
          <w:sz w:val="17"/>
          <w:szCs w:val="17"/>
        </w:rPr>
        <w:t xml:space="preserve"> </w:t>
      </w:r>
      <w:r>
        <w:rPr>
          <w:rFonts w:ascii="宋体" w:hAnsi="宋体" w:eastAsia="宋体" w:cs="宋体"/>
          <w:spacing w:val="23"/>
          <w:sz w:val="17"/>
          <w:szCs w:val="17"/>
        </w:rPr>
        <w:t>合基础知识、基本技能和实践能力的掌握程度(占</w:t>
      </w:r>
      <w:r>
        <w:rPr>
          <w:rFonts w:ascii="宋体" w:hAnsi="宋体" w:eastAsia="宋体" w:cs="宋体"/>
          <w:spacing w:val="1"/>
          <w:sz w:val="17"/>
          <w:szCs w:val="17"/>
        </w:rPr>
        <w:t xml:space="preserve"> </w:t>
      </w:r>
      <w:r>
        <w:rPr>
          <w:rFonts w:ascii="宋体" w:hAnsi="宋体" w:eastAsia="宋体" w:cs="宋体"/>
          <w:spacing w:val="13"/>
          <w:sz w:val="17"/>
          <w:szCs w:val="17"/>
        </w:rPr>
        <w:t>70%),同时注意考查考生综合运用所学知识分析、解</w:t>
      </w:r>
      <w:r>
        <w:rPr>
          <w:rFonts w:ascii="宋体" w:hAnsi="宋体" w:eastAsia="宋体" w:cs="宋体"/>
          <w:spacing w:val="5"/>
          <w:sz w:val="17"/>
          <w:szCs w:val="17"/>
        </w:rPr>
        <w:t xml:space="preserve"> </w:t>
      </w:r>
      <w:r>
        <w:rPr>
          <w:rFonts w:ascii="宋体" w:hAnsi="宋体" w:eastAsia="宋体" w:cs="宋体"/>
          <w:spacing w:val="15"/>
          <w:sz w:val="17"/>
          <w:szCs w:val="17"/>
        </w:rPr>
        <w:t>决问题的能力(占30%)。</w:t>
      </w:r>
    </w:p>
    <w:p w14:paraId="49BCE7D0">
      <w:pPr>
        <w:spacing w:before="62" w:line="221" w:lineRule="auto"/>
        <w:ind w:left="3"/>
        <w:rPr>
          <w:rFonts w:ascii="黑体" w:hAnsi="黑体" w:eastAsia="黑体" w:cs="黑体"/>
          <w:sz w:val="23"/>
          <w:szCs w:val="23"/>
        </w:rPr>
      </w:pPr>
      <w:r>
        <w:rPr>
          <w:rFonts w:ascii="黑体" w:hAnsi="黑体" w:eastAsia="黑体" w:cs="黑体"/>
          <w:b/>
          <w:bCs/>
          <w:spacing w:val="-5"/>
          <w:sz w:val="23"/>
          <w:szCs w:val="23"/>
        </w:rPr>
        <w:t>二、考试目标和水平层次</w:t>
      </w:r>
    </w:p>
    <w:p w14:paraId="41E4C079">
      <w:pPr>
        <w:spacing w:before="94" w:line="312" w:lineRule="auto"/>
        <w:ind w:right="9" w:firstLine="359"/>
        <w:jc w:val="both"/>
        <w:rPr>
          <w:rFonts w:ascii="宋体" w:hAnsi="宋体" w:eastAsia="宋体" w:cs="宋体"/>
          <w:sz w:val="17"/>
          <w:szCs w:val="17"/>
        </w:rPr>
      </w:pPr>
      <w:r>
        <w:rPr>
          <w:rFonts w:ascii="宋体" w:hAnsi="宋体" w:eastAsia="宋体" w:cs="宋体"/>
          <w:spacing w:val="10"/>
          <w:sz w:val="17"/>
          <w:szCs w:val="17"/>
        </w:rPr>
        <w:t>考试目标包括知识与技能要点、考试条目和考试</w:t>
      </w:r>
      <w:r>
        <w:rPr>
          <w:rFonts w:ascii="宋体" w:hAnsi="宋体" w:eastAsia="宋体" w:cs="宋体"/>
          <w:spacing w:val="15"/>
          <w:sz w:val="17"/>
          <w:szCs w:val="17"/>
        </w:rPr>
        <w:t xml:space="preserve"> </w:t>
      </w:r>
      <w:r>
        <w:rPr>
          <w:rFonts w:ascii="宋体" w:hAnsi="宋体" w:eastAsia="宋体" w:cs="宋体"/>
          <w:spacing w:val="3"/>
          <w:sz w:val="17"/>
          <w:szCs w:val="17"/>
        </w:rPr>
        <w:t>水平三个方面。“知识与技能要点”是本学科学生应知</w:t>
      </w:r>
      <w:r>
        <w:rPr>
          <w:rFonts w:ascii="宋体" w:hAnsi="宋体" w:eastAsia="宋体" w:cs="宋体"/>
          <w:spacing w:val="10"/>
          <w:sz w:val="17"/>
          <w:szCs w:val="17"/>
        </w:rPr>
        <w:t xml:space="preserve"> </w:t>
      </w:r>
      <w:r>
        <w:rPr>
          <w:rFonts w:ascii="宋体" w:hAnsi="宋体" w:eastAsia="宋体" w:cs="宋体"/>
          <w:spacing w:val="3"/>
          <w:sz w:val="17"/>
          <w:szCs w:val="17"/>
        </w:rPr>
        <w:t>应会的基本知识和基本技能，“考试条目”是“知识与</w:t>
      </w:r>
      <w:r>
        <w:rPr>
          <w:rFonts w:ascii="宋体" w:hAnsi="宋体" w:eastAsia="宋体" w:cs="宋体"/>
          <w:spacing w:val="10"/>
          <w:sz w:val="17"/>
          <w:szCs w:val="17"/>
        </w:rPr>
        <w:t xml:space="preserve"> </w:t>
      </w:r>
      <w:r>
        <w:rPr>
          <w:rFonts w:ascii="宋体" w:hAnsi="宋体" w:eastAsia="宋体" w:cs="宋体"/>
          <w:spacing w:val="3"/>
          <w:sz w:val="17"/>
          <w:szCs w:val="17"/>
        </w:rPr>
        <w:t>技能要点”的细化内容和具体项目，“考试水平”是具</w:t>
      </w:r>
      <w:r>
        <w:rPr>
          <w:rFonts w:ascii="宋体" w:hAnsi="宋体" w:eastAsia="宋体" w:cs="宋体"/>
          <w:spacing w:val="6"/>
          <w:sz w:val="17"/>
          <w:szCs w:val="17"/>
        </w:rPr>
        <w:t xml:space="preserve"> </w:t>
      </w:r>
      <w:r>
        <w:rPr>
          <w:rFonts w:ascii="宋体" w:hAnsi="宋体" w:eastAsia="宋体" w:cs="宋体"/>
          <w:spacing w:val="3"/>
          <w:sz w:val="17"/>
          <w:szCs w:val="17"/>
        </w:rPr>
        <w:t>体确定考查知识和技能的层次。生物与化工大类专业综</w:t>
      </w:r>
      <w:r>
        <w:rPr>
          <w:rFonts w:ascii="宋体" w:hAnsi="宋体" w:eastAsia="宋体" w:cs="宋体"/>
          <w:spacing w:val="4"/>
          <w:sz w:val="17"/>
          <w:szCs w:val="17"/>
        </w:rPr>
        <w:t xml:space="preserve"> </w:t>
      </w:r>
      <w:r>
        <w:rPr>
          <w:rFonts w:ascii="宋体" w:hAnsi="宋体" w:eastAsia="宋体" w:cs="宋体"/>
          <w:spacing w:val="12"/>
          <w:sz w:val="17"/>
          <w:szCs w:val="17"/>
        </w:rPr>
        <w:t xml:space="preserve">合课考试水平由低到高分为四个层次，即： </w:t>
      </w:r>
      <w:r>
        <w:rPr>
          <w:rFonts w:ascii="Times New Roman" w:hAnsi="Times New Roman" w:eastAsia="Times New Roman" w:cs="Times New Roman"/>
          <w:spacing w:val="12"/>
          <w:sz w:val="17"/>
          <w:szCs w:val="17"/>
        </w:rPr>
        <w:t>A</w:t>
      </w:r>
      <w:r>
        <w:rPr>
          <w:rFonts w:ascii="Times New Roman" w:hAnsi="Times New Roman" w:eastAsia="Times New Roman" w:cs="Times New Roman"/>
          <w:spacing w:val="28"/>
          <w:sz w:val="17"/>
          <w:szCs w:val="17"/>
        </w:rPr>
        <w:t xml:space="preserve"> </w:t>
      </w:r>
      <w:r>
        <w:rPr>
          <w:rFonts w:ascii="宋体" w:hAnsi="宋体" w:eastAsia="宋体" w:cs="宋体"/>
          <w:spacing w:val="12"/>
          <w:sz w:val="17"/>
          <w:szCs w:val="17"/>
        </w:rPr>
        <w:t>(</w:t>
      </w:r>
      <w:r>
        <w:rPr>
          <w:rFonts w:ascii="宋体" w:hAnsi="宋体" w:eastAsia="宋体" w:cs="宋体"/>
          <w:spacing w:val="34"/>
          <w:sz w:val="17"/>
          <w:szCs w:val="17"/>
        </w:rPr>
        <w:t xml:space="preserve"> </w:t>
      </w:r>
      <w:r>
        <w:rPr>
          <w:rFonts w:ascii="宋体" w:hAnsi="宋体" w:eastAsia="宋体" w:cs="宋体"/>
          <w:spacing w:val="12"/>
          <w:sz w:val="17"/>
          <w:szCs w:val="17"/>
        </w:rPr>
        <w:t>识</w:t>
      </w:r>
      <w:r>
        <w:rPr>
          <w:rFonts w:ascii="宋体" w:hAnsi="宋体" w:eastAsia="宋体" w:cs="宋体"/>
          <w:sz w:val="17"/>
          <w:szCs w:val="17"/>
        </w:rPr>
        <w:t xml:space="preserve"> </w:t>
      </w:r>
      <w:r>
        <w:rPr>
          <w:rFonts w:ascii="宋体" w:hAnsi="宋体" w:eastAsia="宋体" w:cs="宋体"/>
          <w:spacing w:val="-1"/>
          <w:sz w:val="17"/>
          <w:szCs w:val="17"/>
        </w:rPr>
        <w:t>记</w:t>
      </w:r>
      <w:r>
        <w:rPr>
          <w:rFonts w:ascii="宋体" w:hAnsi="宋体" w:eastAsia="宋体" w:cs="宋体"/>
          <w:spacing w:val="-6"/>
          <w:sz w:val="17"/>
          <w:szCs w:val="17"/>
        </w:rPr>
        <w:t xml:space="preserve"> </w:t>
      </w:r>
      <w:r>
        <w:rPr>
          <w:rFonts w:ascii="宋体" w:hAnsi="宋体" w:eastAsia="宋体" w:cs="宋体"/>
          <w:spacing w:val="-1"/>
          <w:sz w:val="17"/>
          <w:szCs w:val="17"/>
        </w:rPr>
        <w:t>)</w:t>
      </w:r>
      <w:r>
        <w:rPr>
          <w:rFonts w:ascii="宋体" w:hAnsi="宋体" w:eastAsia="宋体" w:cs="宋体"/>
          <w:spacing w:val="-25"/>
          <w:sz w:val="17"/>
          <w:szCs w:val="17"/>
        </w:rPr>
        <w:t xml:space="preserve"> </w:t>
      </w:r>
      <w:r>
        <w:rPr>
          <w:rFonts w:ascii="宋体" w:hAnsi="宋体" w:eastAsia="宋体" w:cs="宋体"/>
          <w:spacing w:val="-1"/>
          <w:sz w:val="17"/>
          <w:szCs w:val="17"/>
        </w:rPr>
        <w:t>、</w:t>
      </w:r>
      <w:r>
        <w:rPr>
          <w:rFonts w:ascii="Times New Roman" w:hAnsi="Times New Roman" w:eastAsia="Times New Roman" w:cs="Times New Roman"/>
          <w:spacing w:val="-1"/>
          <w:sz w:val="17"/>
          <w:szCs w:val="17"/>
        </w:rPr>
        <w:t>B</w:t>
      </w:r>
      <w:r>
        <w:rPr>
          <w:rFonts w:ascii="宋体" w:hAnsi="宋体" w:eastAsia="宋体" w:cs="宋体"/>
          <w:spacing w:val="-1"/>
          <w:sz w:val="17"/>
          <w:szCs w:val="17"/>
        </w:rPr>
        <w:t>(</w:t>
      </w:r>
      <w:r>
        <w:rPr>
          <w:rFonts w:ascii="宋体" w:hAnsi="宋体" w:eastAsia="宋体" w:cs="宋体"/>
          <w:spacing w:val="-23"/>
          <w:sz w:val="17"/>
          <w:szCs w:val="17"/>
        </w:rPr>
        <w:t xml:space="preserve"> </w:t>
      </w:r>
      <w:r>
        <w:rPr>
          <w:rFonts w:ascii="宋体" w:hAnsi="宋体" w:eastAsia="宋体" w:cs="宋体"/>
          <w:spacing w:val="-1"/>
          <w:sz w:val="17"/>
          <w:szCs w:val="17"/>
        </w:rPr>
        <w:t>理</w:t>
      </w:r>
      <w:r>
        <w:rPr>
          <w:rFonts w:ascii="宋体" w:hAnsi="宋体" w:eastAsia="宋体" w:cs="宋体"/>
          <w:spacing w:val="-25"/>
          <w:sz w:val="17"/>
          <w:szCs w:val="17"/>
        </w:rPr>
        <w:t xml:space="preserve"> </w:t>
      </w:r>
      <w:r>
        <w:rPr>
          <w:rFonts w:ascii="宋体" w:hAnsi="宋体" w:eastAsia="宋体" w:cs="宋体"/>
          <w:spacing w:val="-1"/>
          <w:sz w:val="17"/>
          <w:szCs w:val="17"/>
        </w:rPr>
        <w:t>解</w:t>
      </w:r>
      <w:r>
        <w:rPr>
          <w:rFonts w:ascii="宋体" w:hAnsi="宋体" w:eastAsia="宋体" w:cs="宋体"/>
          <w:spacing w:val="-23"/>
          <w:sz w:val="17"/>
          <w:szCs w:val="17"/>
        </w:rPr>
        <w:t xml:space="preserve"> </w:t>
      </w:r>
      <w:r>
        <w:rPr>
          <w:rFonts w:ascii="宋体" w:hAnsi="宋体" w:eastAsia="宋体" w:cs="宋体"/>
          <w:spacing w:val="-1"/>
          <w:sz w:val="17"/>
          <w:szCs w:val="17"/>
        </w:rPr>
        <w:t>)</w:t>
      </w:r>
      <w:r>
        <w:rPr>
          <w:rFonts w:ascii="宋体" w:hAnsi="宋体" w:eastAsia="宋体" w:cs="宋体"/>
          <w:spacing w:val="-31"/>
          <w:sz w:val="17"/>
          <w:szCs w:val="17"/>
        </w:rPr>
        <w:t xml:space="preserve"> </w:t>
      </w:r>
      <w:r>
        <w:rPr>
          <w:rFonts w:ascii="宋体" w:hAnsi="宋体" w:eastAsia="宋体" w:cs="宋体"/>
          <w:spacing w:val="-1"/>
          <w:sz w:val="17"/>
          <w:szCs w:val="17"/>
        </w:rPr>
        <w:t>、</w:t>
      </w:r>
      <w:r>
        <w:rPr>
          <w:rFonts w:ascii="Times New Roman" w:hAnsi="Times New Roman" w:eastAsia="Times New Roman" w:cs="Times New Roman"/>
          <w:spacing w:val="-1"/>
          <w:sz w:val="17"/>
          <w:szCs w:val="17"/>
        </w:rPr>
        <w:t>C</w:t>
      </w:r>
      <w:r>
        <w:rPr>
          <w:rFonts w:ascii="宋体" w:hAnsi="宋体" w:eastAsia="宋体" w:cs="宋体"/>
          <w:spacing w:val="-1"/>
          <w:sz w:val="17"/>
          <w:szCs w:val="17"/>
        </w:rPr>
        <w:t>(</w:t>
      </w:r>
      <w:r>
        <w:rPr>
          <w:rFonts w:ascii="宋体" w:hAnsi="宋体" w:eastAsia="宋体" w:cs="宋体"/>
          <w:spacing w:val="-17"/>
          <w:sz w:val="17"/>
          <w:szCs w:val="17"/>
        </w:rPr>
        <w:t xml:space="preserve"> </w:t>
      </w:r>
      <w:r>
        <w:rPr>
          <w:rFonts w:ascii="宋体" w:hAnsi="宋体" w:eastAsia="宋体" w:cs="宋体"/>
          <w:spacing w:val="-1"/>
          <w:sz w:val="17"/>
          <w:szCs w:val="17"/>
        </w:rPr>
        <w:t>掌</w:t>
      </w:r>
      <w:r>
        <w:rPr>
          <w:rFonts w:ascii="宋体" w:hAnsi="宋体" w:eastAsia="宋体" w:cs="宋体"/>
          <w:spacing w:val="-22"/>
          <w:sz w:val="17"/>
          <w:szCs w:val="17"/>
        </w:rPr>
        <w:t xml:space="preserve"> </w:t>
      </w:r>
      <w:r>
        <w:rPr>
          <w:rFonts w:ascii="宋体" w:hAnsi="宋体" w:eastAsia="宋体" w:cs="宋体"/>
          <w:spacing w:val="-1"/>
          <w:sz w:val="17"/>
          <w:szCs w:val="17"/>
        </w:rPr>
        <w:t>握</w:t>
      </w:r>
      <w:r>
        <w:rPr>
          <w:rFonts w:ascii="宋体" w:hAnsi="宋体" w:eastAsia="宋体" w:cs="宋体"/>
          <w:spacing w:val="-21"/>
          <w:sz w:val="17"/>
          <w:szCs w:val="17"/>
        </w:rPr>
        <w:t xml:space="preserve"> </w:t>
      </w:r>
      <w:r>
        <w:rPr>
          <w:rFonts w:ascii="宋体" w:hAnsi="宋体" w:eastAsia="宋体" w:cs="宋体"/>
          <w:spacing w:val="-1"/>
          <w:sz w:val="17"/>
          <w:szCs w:val="17"/>
        </w:rPr>
        <w:t>)</w:t>
      </w:r>
      <w:r>
        <w:rPr>
          <w:rFonts w:ascii="宋体" w:hAnsi="宋体" w:eastAsia="宋体" w:cs="宋体"/>
          <w:spacing w:val="-29"/>
          <w:sz w:val="17"/>
          <w:szCs w:val="17"/>
        </w:rPr>
        <w:t xml:space="preserve"> </w:t>
      </w:r>
      <w:r>
        <w:rPr>
          <w:rFonts w:ascii="宋体" w:hAnsi="宋体" w:eastAsia="宋体" w:cs="宋体"/>
          <w:spacing w:val="-1"/>
          <w:sz w:val="17"/>
          <w:szCs w:val="17"/>
        </w:rPr>
        <w:t>、</w:t>
      </w:r>
      <w:r>
        <w:rPr>
          <w:rFonts w:ascii="Times New Roman" w:hAnsi="Times New Roman" w:eastAsia="Times New Roman" w:cs="Times New Roman"/>
          <w:spacing w:val="-1"/>
          <w:sz w:val="17"/>
          <w:szCs w:val="17"/>
        </w:rPr>
        <w:t>D</w:t>
      </w:r>
      <w:r>
        <w:rPr>
          <w:rFonts w:ascii="Times New Roman" w:hAnsi="Times New Roman" w:eastAsia="Times New Roman" w:cs="Times New Roman"/>
          <w:spacing w:val="18"/>
          <w:sz w:val="17"/>
          <w:szCs w:val="17"/>
        </w:rPr>
        <w:t xml:space="preserve"> </w:t>
      </w:r>
      <w:r>
        <w:rPr>
          <w:rFonts w:ascii="宋体" w:hAnsi="宋体" w:eastAsia="宋体" w:cs="宋体"/>
          <w:spacing w:val="-1"/>
          <w:sz w:val="17"/>
          <w:szCs w:val="17"/>
        </w:rPr>
        <w:t>(综合运用)。其具</w:t>
      </w:r>
      <w:r>
        <w:rPr>
          <w:rFonts w:ascii="宋体" w:hAnsi="宋体" w:eastAsia="宋体" w:cs="宋体"/>
          <w:sz w:val="17"/>
          <w:szCs w:val="17"/>
        </w:rPr>
        <w:t xml:space="preserve"> </w:t>
      </w:r>
      <w:r>
        <w:rPr>
          <w:rFonts w:ascii="宋体" w:hAnsi="宋体" w:eastAsia="宋体" w:cs="宋体"/>
          <w:spacing w:val="-1"/>
          <w:sz w:val="17"/>
          <w:szCs w:val="17"/>
        </w:rPr>
        <w:t>体含义分别是：</w:t>
      </w:r>
    </w:p>
    <w:p w14:paraId="67A1B5E6">
      <w:pPr>
        <w:spacing w:before="34" w:line="309" w:lineRule="auto"/>
        <w:ind w:right="13" w:firstLine="359"/>
        <w:jc w:val="both"/>
        <w:rPr>
          <w:rFonts w:ascii="宋体" w:hAnsi="宋体" w:eastAsia="宋体" w:cs="宋体"/>
          <w:sz w:val="17"/>
          <w:szCs w:val="17"/>
        </w:rPr>
      </w:pPr>
      <w:r>
        <w:rPr>
          <w:rFonts w:ascii="Times New Roman" w:hAnsi="Times New Roman" w:eastAsia="Times New Roman" w:cs="Times New Roman"/>
          <w:spacing w:val="16"/>
          <w:sz w:val="17"/>
          <w:szCs w:val="17"/>
        </w:rPr>
        <w:t>A</w:t>
      </w:r>
      <w:r>
        <w:rPr>
          <w:rFonts w:ascii="宋体" w:hAnsi="宋体" w:eastAsia="宋体" w:cs="宋体"/>
          <w:spacing w:val="16"/>
          <w:sz w:val="17"/>
          <w:szCs w:val="17"/>
        </w:rPr>
        <w:t>(识记):对所学学科知识有初步认识，能够正</w:t>
      </w:r>
      <w:r>
        <w:rPr>
          <w:rFonts w:ascii="宋体" w:hAnsi="宋体" w:eastAsia="宋体" w:cs="宋体"/>
          <w:spacing w:val="9"/>
          <w:sz w:val="17"/>
          <w:szCs w:val="17"/>
        </w:rPr>
        <w:t xml:space="preserve"> </w:t>
      </w:r>
      <w:r>
        <w:rPr>
          <w:rFonts w:ascii="宋体" w:hAnsi="宋体" w:eastAsia="宋体" w:cs="宋体"/>
          <w:spacing w:val="3"/>
          <w:sz w:val="17"/>
          <w:szCs w:val="17"/>
        </w:rPr>
        <w:t>确复述、再现、辨认或直接使用。即在记忆水平上考核</w:t>
      </w:r>
      <w:r>
        <w:rPr>
          <w:rFonts w:ascii="宋体" w:hAnsi="宋体" w:eastAsia="宋体" w:cs="宋体"/>
          <w:spacing w:val="6"/>
          <w:sz w:val="17"/>
          <w:szCs w:val="17"/>
        </w:rPr>
        <w:t xml:space="preserve"> </w:t>
      </w:r>
      <w:r>
        <w:rPr>
          <w:rFonts w:ascii="宋体" w:hAnsi="宋体" w:eastAsia="宋体" w:cs="宋体"/>
          <w:spacing w:val="3"/>
          <w:sz w:val="17"/>
          <w:szCs w:val="17"/>
        </w:rPr>
        <w:t>学生学习结果。例如：能复述电解质的概念，辨别常见</w:t>
      </w:r>
      <w:r>
        <w:rPr>
          <w:rFonts w:ascii="宋体" w:hAnsi="宋体" w:eastAsia="宋体" w:cs="宋体"/>
          <w:spacing w:val="5"/>
          <w:sz w:val="17"/>
          <w:szCs w:val="17"/>
        </w:rPr>
        <w:t xml:space="preserve"> </w:t>
      </w:r>
      <w:r>
        <w:rPr>
          <w:rFonts w:ascii="宋体" w:hAnsi="宋体" w:eastAsia="宋体" w:cs="宋体"/>
          <w:spacing w:val="1"/>
          <w:sz w:val="17"/>
          <w:szCs w:val="17"/>
        </w:rPr>
        <w:t>的强电解质和弱电解质。</w:t>
      </w:r>
    </w:p>
    <w:p w14:paraId="613643B5">
      <w:pPr>
        <w:spacing w:before="31" w:line="310" w:lineRule="auto"/>
        <w:ind w:right="10" w:firstLine="359"/>
        <w:rPr>
          <w:rFonts w:ascii="宋体" w:hAnsi="宋体" w:eastAsia="宋体" w:cs="宋体"/>
          <w:sz w:val="17"/>
          <w:szCs w:val="17"/>
        </w:rPr>
      </w:pPr>
      <w:r>
        <w:rPr>
          <w:rFonts w:ascii="Times New Roman" w:hAnsi="Times New Roman" w:eastAsia="Times New Roman" w:cs="Times New Roman"/>
          <w:spacing w:val="16"/>
          <w:sz w:val="17"/>
          <w:szCs w:val="17"/>
        </w:rPr>
        <w:t>B</w:t>
      </w:r>
      <w:r>
        <w:rPr>
          <w:rFonts w:ascii="宋体" w:hAnsi="宋体" w:eastAsia="宋体" w:cs="宋体"/>
          <w:spacing w:val="16"/>
          <w:sz w:val="17"/>
          <w:szCs w:val="17"/>
        </w:rPr>
        <w:t>(理解):正确领会所学学科知识的含义及其适</w:t>
      </w:r>
      <w:r>
        <w:rPr>
          <w:rFonts w:ascii="宋体" w:hAnsi="宋体" w:eastAsia="宋体" w:cs="宋体"/>
          <w:spacing w:val="15"/>
          <w:sz w:val="17"/>
          <w:szCs w:val="17"/>
        </w:rPr>
        <w:t xml:space="preserve"> </w:t>
      </w:r>
      <w:r>
        <w:rPr>
          <w:rFonts w:ascii="宋体" w:hAnsi="宋体" w:eastAsia="宋体" w:cs="宋体"/>
          <w:spacing w:val="3"/>
          <w:sz w:val="17"/>
          <w:szCs w:val="17"/>
        </w:rPr>
        <w:t>用条件，能够正确判断、解释和说明有关化学中出现的</w:t>
      </w:r>
      <w:r>
        <w:rPr>
          <w:rFonts w:ascii="宋体" w:hAnsi="宋体" w:eastAsia="宋体" w:cs="宋体"/>
          <w:spacing w:val="10"/>
          <w:sz w:val="17"/>
          <w:szCs w:val="17"/>
        </w:rPr>
        <w:t xml:space="preserve"> </w:t>
      </w:r>
      <w:r>
        <w:rPr>
          <w:rFonts w:ascii="宋体" w:hAnsi="宋体" w:eastAsia="宋体" w:cs="宋体"/>
          <w:spacing w:val="2"/>
          <w:sz w:val="17"/>
          <w:szCs w:val="17"/>
        </w:rPr>
        <w:t>现象和问题，即不仅知其然，还能知其所以然。例如：</w:t>
      </w:r>
      <w:r>
        <w:rPr>
          <w:rFonts w:ascii="宋体" w:hAnsi="宋体" w:eastAsia="宋体" w:cs="宋体"/>
          <w:spacing w:val="6"/>
          <w:sz w:val="17"/>
          <w:szCs w:val="17"/>
        </w:rPr>
        <w:t xml:space="preserve"> </w:t>
      </w:r>
      <w:r>
        <w:rPr>
          <w:rFonts w:ascii="宋体" w:hAnsi="宋体" w:eastAsia="宋体" w:cs="宋体"/>
          <w:spacing w:val="3"/>
          <w:sz w:val="17"/>
          <w:szCs w:val="17"/>
        </w:rPr>
        <w:t>通过元素周期律，能够判断、解释和说明元素性质的递</w:t>
      </w:r>
      <w:r>
        <w:rPr>
          <w:rFonts w:ascii="宋体" w:hAnsi="宋体" w:eastAsia="宋体" w:cs="宋体"/>
          <w:spacing w:val="4"/>
          <w:sz w:val="17"/>
          <w:szCs w:val="17"/>
        </w:rPr>
        <w:t xml:space="preserve"> </w:t>
      </w:r>
      <w:r>
        <w:rPr>
          <w:rFonts w:ascii="宋体" w:hAnsi="宋体" w:eastAsia="宋体" w:cs="宋体"/>
          <w:spacing w:val="-1"/>
          <w:sz w:val="17"/>
          <w:szCs w:val="17"/>
        </w:rPr>
        <w:t>变规律。</w:t>
      </w:r>
    </w:p>
    <w:p w14:paraId="0FF432E9">
      <w:pPr>
        <w:spacing w:before="43" w:line="310" w:lineRule="auto"/>
        <w:ind w:right="13" w:firstLine="359"/>
        <w:rPr>
          <w:rFonts w:ascii="宋体" w:hAnsi="宋体" w:eastAsia="宋体" w:cs="宋体"/>
          <w:sz w:val="17"/>
          <w:szCs w:val="17"/>
        </w:rPr>
      </w:pPr>
      <w:r>
        <w:rPr>
          <w:rFonts w:ascii="Times New Roman" w:hAnsi="Times New Roman" w:eastAsia="Times New Roman" w:cs="Times New Roman"/>
          <w:spacing w:val="16"/>
          <w:sz w:val="17"/>
          <w:szCs w:val="17"/>
        </w:rPr>
        <w:t>C</w:t>
      </w:r>
      <w:r>
        <w:rPr>
          <w:rFonts w:ascii="宋体" w:hAnsi="宋体" w:eastAsia="宋体" w:cs="宋体"/>
          <w:spacing w:val="16"/>
          <w:sz w:val="17"/>
          <w:szCs w:val="17"/>
        </w:rPr>
        <w:t>(掌握):在理解的基础上，用所学的学科知识</w:t>
      </w:r>
      <w:r>
        <w:rPr>
          <w:rFonts w:ascii="宋体" w:hAnsi="宋体" w:eastAsia="宋体" w:cs="宋体"/>
          <w:spacing w:val="18"/>
          <w:sz w:val="17"/>
          <w:szCs w:val="17"/>
        </w:rPr>
        <w:t xml:space="preserve"> </w:t>
      </w:r>
      <w:r>
        <w:rPr>
          <w:rFonts w:ascii="宋体" w:hAnsi="宋体" w:eastAsia="宋体" w:cs="宋体"/>
          <w:spacing w:val="3"/>
          <w:sz w:val="17"/>
          <w:szCs w:val="17"/>
        </w:rPr>
        <w:t>及基本研究方法解决新情况下出现的简单问题，即考核</w:t>
      </w:r>
      <w:r>
        <w:rPr>
          <w:rFonts w:ascii="宋体" w:hAnsi="宋体" w:eastAsia="宋体" w:cs="宋体"/>
          <w:spacing w:val="7"/>
          <w:sz w:val="17"/>
          <w:szCs w:val="17"/>
        </w:rPr>
        <w:t xml:space="preserve"> </w:t>
      </w:r>
      <w:r>
        <w:rPr>
          <w:rFonts w:ascii="宋体" w:hAnsi="宋体" w:eastAsia="宋体" w:cs="宋体"/>
          <w:spacing w:val="3"/>
          <w:sz w:val="17"/>
          <w:szCs w:val="17"/>
        </w:rPr>
        <w:t>考生在新的情况下解决问题的能力。例如：在理解烃类</w:t>
      </w:r>
      <w:r>
        <w:rPr>
          <w:rFonts w:ascii="宋体" w:hAnsi="宋体" w:eastAsia="宋体" w:cs="宋体"/>
          <w:spacing w:val="4"/>
          <w:sz w:val="17"/>
          <w:szCs w:val="17"/>
        </w:rPr>
        <w:t xml:space="preserve"> </w:t>
      </w:r>
      <w:r>
        <w:rPr>
          <w:rFonts w:ascii="宋体" w:hAnsi="宋体" w:eastAsia="宋体" w:cs="宋体"/>
          <w:spacing w:val="2"/>
          <w:sz w:val="17"/>
          <w:szCs w:val="17"/>
        </w:rPr>
        <w:t>有机化合物的组成与结构的基础上，能够分析、推导、</w:t>
      </w:r>
      <w:r>
        <w:rPr>
          <w:rFonts w:ascii="宋体" w:hAnsi="宋体" w:eastAsia="宋体" w:cs="宋体"/>
          <w:spacing w:val="5"/>
          <w:sz w:val="17"/>
          <w:szCs w:val="17"/>
        </w:rPr>
        <w:t xml:space="preserve"> </w:t>
      </w:r>
      <w:r>
        <w:rPr>
          <w:rFonts w:ascii="宋体" w:hAnsi="宋体" w:eastAsia="宋体" w:cs="宋体"/>
          <w:spacing w:val="1"/>
          <w:sz w:val="17"/>
          <w:szCs w:val="17"/>
        </w:rPr>
        <w:t>归纳烃类的化学性质的异同。</w:t>
      </w:r>
    </w:p>
    <w:p w14:paraId="2A2298CA">
      <w:pPr>
        <w:spacing w:before="24" w:line="184" w:lineRule="auto"/>
        <w:jc w:val="right"/>
        <w:rPr>
          <w:rFonts w:ascii="宋体" w:hAnsi="宋体" w:eastAsia="宋体" w:cs="宋体"/>
          <w:sz w:val="17"/>
          <w:szCs w:val="17"/>
        </w:rPr>
      </w:pPr>
      <w:r>
        <w:rPr>
          <w:rFonts w:ascii="Times New Roman" w:hAnsi="Times New Roman" w:eastAsia="Times New Roman" w:cs="Times New Roman"/>
          <w:spacing w:val="17"/>
          <w:sz w:val="17"/>
          <w:szCs w:val="17"/>
        </w:rPr>
        <w:t>D</w:t>
      </w:r>
      <w:r>
        <w:rPr>
          <w:rFonts w:ascii="宋体" w:hAnsi="宋体" w:eastAsia="宋体" w:cs="宋体"/>
          <w:spacing w:val="17"/>
          <w:sz w:val="17"/>
          <w:szCs w:val="17"/>
        </w:rPr>
        <w:t>(综合运用):在理解所学知识的本质区别与内</w:t>
      </w:r>
    </w:p>
    <w:p w14:paraId="6FEF4909">
      <w:pPr>
        <w:spacing w:line="184" w:lineRule="auto"/>
        <w:rPr>
          <w:rFonts w:ascii="宋体" w:hAnsi="宋体" w:eastAsia="宋体" w:cs="宋体"/>
          <w:sz w:val="17"/>
          <w:szCs w:val="17"/>
        </w:rPr>
        <w:sectPr>
          <w:type w:val="continuous"/>
          <w:pgSz w:w="10660" w:h="15080"/>
          <w:pgMar w:top="400" w:right="976" w:bottom="925" w:left="819" w:header="0" w:footer="705" w:gutter="0"/>
          <w:cols w:equalWidth="0" w:num="2">
            <w:col w:w="4591" w:space="100"/>
            <w:col w:w="4174"/>
          </w:cols>
        </w:sectPr>
      </w:pPr>
    </w:p>
    <w:p w14:paraId="4CA941DA">
      <w:pPr>
        <w:spacing w:before="80"/>
      </w:pPr>
    </w:p>
    <w:p w14:paraId="4DDB55E2">
      <w:pPr>
        <w:spacing w:before="79"/>
      </w:pPr>
    </w:p>
    <w:p w14:paraId="6CC3436F">
      <w:pPr>
        <w:spacing w:before="79"/>
      </w:pPr>
    </w:p>
    <w:p w14:paraId="1AD836F4">
      <w:pPr>
        <w:sectPr>
          <w:footerReference r:id="rId93" w:type="default"/>
          <w:pgSz w:w="10660" w:h="15080"/>
          <w:pgMar w:top="400" w:right="875" w:bottom="925" w:left="1029" w:header="0" w:footer="705" w:gutter="0"/>
          <w:cols w:equalWidth="0" w:num="1">
            <w:col w:w="8755"/>
          </w:cols>
        </w:sectPr>
      </w:pPr>
    </w:p>
    <w:p w14:paraId="7D222299">
      <w:pPr>
        <w:spacing w:before="43" w:line="312" w:lineRule="auto"/>
        <w:ind w:right="319"/>
        <w:rPr>
          <w:rFonts w:ascii="宋体" w:hAnsi="宋体" w:eastAsia="宋体" w:cs="宋体"/>
          <w:sz w:val="17"/>
          <w:szCs w:val="17"/>
        </w:rPr>
      </w:pPr>
      <w:r>
        <w:rPr>
          <w:rFonts w:ascii="黑体" w:hAnsi="黑体" w:eastAsia="黑体" w:cs="黑体"/>
          <w:spacing w:val="2"/>
          <w:sz w:val="17"/>
          <w:szCs w:val="17"/>
        </w:rPr>
        <w:t>在联系的基础上，运用所掌握的知识进行必要的分析、</w:t>
      </w:r>
      <w:r>
        <w:rPr>
          <w:rFonts w:ascii="黑体" w:hAnsi="黑体" w:eastAsia="黑体" w:cs="黑体"/>
          <w:spacing w:val="16"/>
          <w:sz w:val="17"/>
          <w:szCs w:val="17"/>
        </w:rPr>
        <w:t xml:space="preserve"> </w:t>
      </w:r>
      <w:r>
        <w:rPr>
          <w:rFonts w:ascii="宋体" w:hAnsi="宋体" w:eastAsia="宋体" w:cs="宋体"/>
          <w:spacing w:val="3"/>
          <w:sz w:val="17"/>
          <w:szCs w:val="17"/>
        </w:rPr>
        <w:t>类推或计算，解释论证一些具体的问题，并能采用恰当</w:t>
      </w:r>
      <w:r>
        <w:rPr>
          <w:rFonts w:ascii="宋体" w:hAnsi="宋体" w:eastAsia="宋体" w:cs="宋体"/>
          <w:spacing w:val="12"/>
          <w:sz w:val="17"/>
          <w:szCs w:val="17"/>
        </w:rPr>
        <w:t xml:space="preserve"> </w:t>
      </w:r>
      <w:r>
        <w:rPr>
          <w:rFonts w:ascii="宋体" w:hAnsi="宋体" w:eastAsia="宋体" w:cs="宋体"/>
          <w:spacing w:val="2"/>
          <w:sz w:val="17"/>
          <w:szCs w:val="17"/>
        </w:rPr>
        <w:t>的试验方法验证一些生活和生产中的基本问题</w:t>
      </w:r>
      <w:r>
        <w:rPr>
          <w:rFonts w:ascii="宋体" w:hAnsi="宋体" w:eastAsia="宋体" w:cs="宋体"/>
          <w:spacing w:val="1"/>
          <w:sz w:val="17"/>
          <w:szCs w:val="17"/>
        </w:rPr>
        <w:t>。例如：</w:t>
      </w:r>
      <w:r>
        <w:rPr>
          <w:rFonts w:ascii="宋体" w:hAnsi="宋体" w:eastAsia="宋体" w:cs="宋体"/>
          <w:sz w:val="17"/>
          <w:szCs w:val="17"/>
        </w:rPr>
        <w:t xml:space="preserve"> </w:t>
      </w:r>
      <w:r>
        <w:rPr>
          <w:rFonts w:ascii="宋体" w:hAnsi="宋体" w:eastAsia="宋体" w:cs="宋体"/>
          <w:spacing w:val="3"/>
          <w:sz w:val="17"/>
          <w:szCs w:val="17"/>
        </w:rPr>
        <w:t>运用物质的特殊颜色、反应现象及特殊性质等知识，能</w:t>
      </w:r>
      <w:r>
        <w:rPr>
          <w:rFonts w:ascii="宋体" w:hAnsi="宋体" w:eastAsia="宋体" w:cs="宋体"/>
          <w:spacing w:val="5"/>
          <w:sz w:val="17"/>
          <w:szCs w:val="17"/>
        </w:rPr>
        <w:t xml:space="preserve"> </w:t>
      </w:r>
      <w:r>
        <w:rPr>
          <w:rFonts w:ascii="宋体" w:hAnsi="宋体" w:eastAsia="宋体" w:cs="宋体"/>
          <w:spacing w:val="1"/>
          <w:sz w:val="17"/>
          <w:szCs w:val="17"/>
        </w:rPr>
        <w:t>分析、设计、推导出常见的阴阳离子。</w:t>
      </w:r>
    </w:p>
    <w:p w14:paraId="16FC9E24">
      <w:pPr>
        <w:spacing w:before="190" w:line="221" w:lineRule="auto"/>
        <w:ind w:left="2"/>
        <w:rPr>
          <w:rFonts w:ascii="黑体" w:hAnsi="黑体" w:eastAsia="黑体" w:cs="黑体"/>
          <w:sz w:val="20"/>
          <w:szCs w:val="20"/>
        </w:rPr>
      </w:pPr>
      <w:r>
        <w:rPr>
          <w:rFonts w:ascii="黑体" w:hAnsi="黑体" w:eastAsia="黑体" w:cs="黑体"/>
          <w:b/>
          <w:bCs/>
          <w:spacing w:val="12"/>
          <w:sz w:val="20"/>
          <w:szCs w:val="20"/>
        </w:rPr>
        <w:t>三</w:t>
      </w:r>
      <w:r>
        <w:rPr>
          <w:rFonts w:ascii="黑体" w:hAnsi="黑体" w:eastAsia="黑体" w:cs="黑体"/>
          <w:spacing w:val="-36"/>
          <w:sz w:val="20"/>
          <w:szCs w:val="20"/>
        </w:rPr>
        <w:t xml:space="preserve"> </w:t>
      </w:r>
      <w:r>
        <w:rPr>
          <w:rFonts w:ascii="黑体" w:hAnsi="黑体" w:eastAsia="黑体" w:cs="黑体"/>
          <w:b/>
          <w:bCs/>
          <w:spacing w:val="12"/>
          <w:sz w:val="20"/>
          <w:szCs w:val="20"/>
        </w:rPr>
        <w:t>、考试目标</w:t>
      </w:r>
    </w:p>
    <w:p w14:paraId="7991D391">
      <w:pPr>
        <w:pStyle w:val="2"/>
        <w:spacing w:line="373" w:lineRule="auto"/>
      </w:pPr>
    </w:p>
    <w:p w14:paraId="5EC53AB9">
      <w:pPr>
        <w:spacing w:before="65" w:line="221" w:lineRule="auto"/>
        <w:ind w:left="1392"/>
        <w:rPr>
          <w:rFonts w:ascii="黑体" w:hAnsi="黑体" w:eastAsia="黑体" w:cs="黑体"/>
          <w:sz w:val="20"/>
          <w:szCs w:val="20"/>
        </w:rPr>
      </w:pPr>
      <w:r>
        <w:rPr>
          <w:rFonts w:ascii="黑体" w:hAnsi="黑体" w:eastAsia="黑体" w:cs="黑体"/>
          <w:b/>
          <w:bCs/>
          <w:spacing w:val="-8"/>
          <w:sz w:val="20"/>
          <w:szCs w:val="20"/>
        </w:rPr>
        <w:t>第一部分</w:t>
      </w:r>
      <w:r>
        <w:rPr>
          <w:rFonts w:ascii="黑体" w:hAnsi="黑体" w:eastAsia="黑体" w:cs="黑体"/>
          <w:spacing w:val="5"/>
          <w:sz w:val="20"/>
          <w:szCs w:val="20"/>
        </w:rPr>
        <w:t xml:space="preserve">  </w:t>
      </w:r>
      <w:r>
        <w:rPr>
          <w:rFonts w:ascii="黑体" w:hAnsi="黑体" w:eastAsia="黑体" w:cs="黑体"/>
          <w:b/>
          <w:bCs/>
          <w:spacing w:val="-8"/>
          <w:sz w:val="20"/>
          <w:szCs w:val="20"/>
        </w:rPr>
        <w:t>化学</w:t>
      </w:r>
    </w:p>
    <w:p w14:paraId="54EF5658">
      <w:pPr>
        <w:pStyle w:val="2"/>
        <w:spacing w:line="293" w:lineRule="auto"/>
      </w:pPr>
    </w:p>
    <w:p w14:paraId="29549442">
      <w:pPr>
        <w:spacing w:before="65" w:line="221" w:lineRule="auto"/>
        <w:ind w:left="982"/>
        <w:rPr>
          <w:rFonts w:ascii="黑体" w:hAnsi="黑体" w:eastAsia="黑体" w:cs="黑体"/>
          <w:sz w:val="20"/>
          <w:szCs w:val="20"/>
        </w:rPr>
      </w:pPr>
      <w:r>
        <w:rPr>
          <w:rFonts w:ascii="黑体" w:hAnsi="黑体" w:eastAsia="黑体" w:cs="黑体"/>
          <w:b/>
          <w:bCs/>
          <w:spacing w:val="-5"/>
          <w:sz w:val="20"/>
          <w:szCs w:val="20"/>
        </w:rPr>
        <w:t>一、化学基本概念和理论</w:t>
      </w:r>
    </w:p>
    <w:p w14:paraId="6FFA93B6">
      <w:pPr>
        <w:spacing w:line="92" w:lineRule="exact"/>
      </w:pPr>
    </w:p>
    <w:tbl>
      <w:tblPr>
        <w:tblStyle w:val="5"/>
        <w:tblW w:w="4109" w:type="dxa"/>
        <w:tblInd w:w="2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14"/>
        <w:gridCol w:w="220"/>
        <w:gridCol w:w="229"/>
        <w:gridCol w:w="229"/>
        <w:gridCol w:w="224"/>
      </w:tblGrid>
      <w:tr w14:paraId="124C06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4" w:hRule="atLeast"/>
        </w:trPr>
        <w:tc>
          <w:tcPr>
            <w:tcW w:w="893" w:type="dxa"/>
            <w:vMerge w:val="restart"/>
            <w:tcBorders>
              <w:bottom w:val="nil"/>
            </w:tcBorders>
            <w:vAlign w:val="top"/>
          </w:tcPr>
          <w:p w14:paraId="10AC3386">
            <w:pPr>
              <w:pStyle w:val="6"/>
              <w:spacing w:before="151" w:line="224" w:lineRule="auto"/>
              <w:ind w:left="97" w:right="112" w:firstLine="89"/>
            </w:pPr>
            <w:r>
              <w:rPr>
                <w:b/>
                <w:bCs/>
                <w:spacing w:val="-6"/>
              </w:rPr>
              <w:t>知识与</w:t>
            </w:r>
            <w:r>
              <w:t xml:space="preserve">  </w:t>
            </w:r>
            <w:r>
              <w:rPr>
                <w:b/>
                <w:bCs/>
                <w:spacing w:val="-4"/>
              </w:rPr>
              <w:t>技能要点</w:t>
            </w:r>
          </w:p>
        </w:tc>
        <w:tc>
          <w:tcPr>
            <w:tcW w:w="2314" w:type="dxa"/>
            <w:vMerge w:val="restart"/>
            <w:tcBorders>
              <w:bottom w:val="nil"/>
            </w:tcBorders>
            <w:vAlign w:val="top"/>
          </w:tcPr>
          <w:p w14:paraId="617F16F1">
            <w:pPr>
              <w:pStyle w:val="6"/>
              <w:spacing w:before="249" w:line="219" w:lineRule="auto"/>
              <w:ind w:left="834"/>
            </w:pPr>
            <w:r>
              <w:rPr>
                <w:b/>
                <w:bCs/>
                <w:spacing w:val="5"/>
              </w:rPr>
              <w:t>考试条目</w:t>
            </w:r>
          </w:p>
        </w:tc>
        <w:tc>
          <w:tcPr>
            <w:tcW w:w="902" w:type="dxa"/>
            <w:gridSpan w:val="4"/>
            <w:vAlign w:val="top"/>
          </w:tcPr>
          <w:p w14:paraId="09066A76">
            <w:pPr>
              <w:pStyle w:val="6"/>
              <w:spacing w:before="79" w:line="219" w:lineRule="auto"/>
              <w:ind w:left="130"/>
            </w:pPr>
            <w:r>
              <w:rPr>
                <w:b/>
                <w:bCs/>
                <w:spacing w:val="-4"/>
              </w:rPr>
              <w:t>考试水平</w:t>
            </w:r>
          </w:p>
        </w:tc>
      </w:tr>
      <w:tr w14:paraId="7AB225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9" w:hRule="atLeast"/>
        </w:trPr>
        <w:tc>
          <w:tcPr>
            <w:tcW w:w="893" w:type="dxa"/>
            <w:vMerge w:val="continue"/>
            <w:tcBorders>
              <w:top w:val="nil"/>
            </w:tcBorders>
            <w:vAlign w:val="top"/>
          </w:tcPr>
          <w:p w14:paraId="137849B7">
            <w:pPr>
              <w:rPr>
                <w:rFonts w:ascii="Arial"/>
                <w:sz w:val="21"/>
              </w:rPr>
            </w:pPr>
          </w:p>
        </w:tc>
        <w:tc>
          <w:tcPr>
            <w:tcW w:w="2314" w:type="dxa"/>
            <w:vMerge w:val="continue"/>
            <w:tcBorders>
              <w:top w:val="nil"/>
            </w:tcBorders>
            <w:vAlign w:val="top"/>
          </w:tcPr>
          <w:p w14:paraId="42020A1B">
            <w:pPr>
              <w:rPr>
                <w:rFonts w:ascii="Arial"/>
                <w:sz w:val="21"/>
              </w:rPr>
            </w:pPr>
          </w:p>
        </w:tc>
        <w:tc>
          <w:tcPr>
            <w:tcW w:w="220" w:type="dxa"/>
            <w:vAlign w:val="top"/>
          </w:tcPr>
          <w:p w14:paraId="36B38854">
            <w:pPr>
              <w:pStyle w:val="6"/>
              <w:spacing w:before="120" w:line="184" w:lineRule="auto"/>
              <w:ind w:left="60"/>
            </w:pPr>
            <w:r>
              <w:rPr>
                <w:b/>
                <w:bCs/>
                <w:spacing w:val="-2"/>
              </w:rPr>
              <w:t>A</w:t>
            </w:r>
          </w:p>
        </w:tc>
        <w:tc>
          <w:tcPr>
            <w:tcW w:w="229" w:type="dxa"/>
            <w:vAlign w:val="top"/>
          </w:tcPr>
          <w:p w14:paraId="457FACAC">
            <w:pPr>
              <w:pStyle w:val="6"/>
              <w:spacing w:before="122" w:line="182" w:lineRule="auto"/>
              <w:ind w:left="70"/>
            </w:pPr>
            <w:r>
              <w:rPr>
                <w:b/>
                <w:bCs/>
                <w:spacing w:val="-2"/>
              </w:rPr>
              <w:t>B</w:t>
            </w:r>
          </w:p>
        </w:tc>
        <w:tc>
          <w:tcPr>
            <w:tcW w:w="229" w:type="dxa"/>
            <w:vAlign w:val="top"/>
          </w:tcPr>
          <w:p w14:paraId="632A655F">
            <w:pPr>
              <w:pStyle w:val="6"/>
              <w:spacing w:before="121" w:line="183" w:lineRule="auto"/>
              <w:ind w:left="18"/>
            </w:pPr>
            <w:r>
              <w:t>C</w:t>
            </w:r>
          </w:p>
        </w:tc>
        <w:tc>
          <w:tcPr>
            <w:tcW w:w="224" w:type="dxa"/>
            <w:vAlign w:val="top"/>
          </w:tcPr>
          <w:p w14:paraId="78F56370">
            <w:pPr>
              <w:pStyle w:val="6"/>
              <w:spacing w:before="122" w:line="182" w:lineRule="auto"/>
              <w:ind w:left="22"/>
            </w:pPr>
            <w:r>
              <w:rPr>
                <w:b/>
                <w:bCs/>
                <w:spacing w:val="-2"/>
              </w:rPr>
              <w:t>D</w:t>
            </w:r>
          </w:p>
        </w:tc>
      </w:tr>
      <w:tr w14:paraId="70AA50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restart"/>
            <w:tcBorders>
              <w:bottom w:val="nil"/>
            </w:tcBorders>
            <w:vAlign w:val="top"/>
          </w:tcPr>
          <w:p w14:paraId="3ED04CDF">
            <w:pPr>
              <w:spacing w:line="462" w:lineRule="auto"/>
              <w:rPr>
                <w:rFonts w:ascii="Arial"/>
                <w:sz w:val="21"/>
              </w:rPr>
            </w:pPr>
          </w:p>
          <w:p w14:paraId="24CB5949">
            <w:pPr>
              <w:pStyle w:val="6"/>
              <w:spacing w:before="55" w:line="237" w:lineRule="auto"/>
              <w:ind w:left="265" w:right="266"/>
              <w:jc w:val="both"/>
            </w:pPr>
            <w:r>
              <w:rPr>
                <w:spacing w:val="-6"/>
              </w:rPr>
              <w:t>原子</w:t>
            </w:r>
            <w:r>
              <w:t xml:space="preserve"> </w:t>
            </w:r>
            <w:r>
              <w:rPr>
                <w:spacing w:val="5"/>
              </w:rPr>
              <w:t>结构</w:t>
            </w:r>
            <w:r>
              <w:t xml:space="preserve"> </w:t>
            </w:r>
            <w:r>
              <w:rPr>
                <w:spacing w:val="-4"/>
              </w:rPr>
              <w:t>和化</w:t>
            </w:r>
            <w:r>
              <w:t xml:space="preserve"> </w:t>
            </w:r>
            <w:r>
              <w:rPr>
                <w:spacing w:val="-3"/>
              </w:rPr>
              <w:t>学键</w:t>
            </w:r>
          </w:p>
        </w:tc>
        <w:tc>
          <w:tcPr>
            <w:tcW w:w="2314" w:type="dxa"/>
            <w:vAlign w:val="top"/>
          </w:tcPr>
          <w:p w14:paraId="59D284DE">
            <w:pPr>
              <w:pStyle w:val="6"/>
              <w:spacing w:before="49" w:line="217" w:lineRule="auto"/>
              <w:ind w:left="41"/>
            </w:pPr>
            <w:r>
              <w:rPr>
                <w:spacing w:val="1"/>
              </w:rPr>
              <w:t>1.原子组成</w:t>
            </w:r>
          </w:p>
        </w:tc>
        <w:tc>
          <w:tcPr>
            <w:tcW w:w="220" w:type="dxa"/>
            <w:vAlign w:val="top"/>
          </w:tcPr>
          <w:p w14:paraId="5EDB6E91">
            <w:pPr>
              <w:rPr>
                <w:rFonts w:ascii="Arial"/>
                <w:sz w:val="21"/>
              </w:rPr>
            </w:pPr>
          </w:p>
        </w:tc>
        <w:tc>
          <w:tcPr>
            <w:tcW w:w="229" w:type="dxa"/>
            <w:vAlign w:val="top"/>
          </w:tcPr>
          <w:p w14:paraId="22F03763">
            <w:pPr>
              <w:rPr>
                <w:rFonts w:ascii="Arial"/>
                <w:sz w:val="21"/>
              </w:rPr>
            </w:pPr>
          </w:p>
        </w:tc>
        <w:tc>
          <w:tcPr>
            <w:tcW w:w="229" w:type="dxa"/>
            <w:vAlign w:val="top"/>
          </w:tcPr>
          <w:p w14:paraId="6E990097">
            <w:pPr>
              <w:rPr>
                <w:rFonts w:ascii="Arial"/>
                <w:sz w:val="21"/>
              </w:rPr>
            </w:pPr>
          </w:p>
        </w:tc>
        <w:tc>
          <w:tcPr>
            <w:tcW w:w="224" w:type="dxa"/>
            <w:vAlign w:val="top"/>
          </w:tcPr>
          <w:p w14:paraId="0C3E8056">
            <w:pPr>
              <w:rPr>
                <w:rFonts w:ascii="Arial"/>
                <w:sz w:val="21"/>
              </w:rPr>
            </w:pPr>
          </w:p>
        </w:tc>
      </w:tr>
      <w:tr w14:paraId="3ABD2E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continue"/>
            <w:tcBorders>
              <w:top w:val="nil"/>
              <w:bottom w:val="nil"/>
            </w:tcBorders>
            <w:vAlign w:val="top"/>
          </w:tcPr>
          <w:p w14:paraId="1E80E6DA">
            <w:pPr>
              <w:rPr>
                <w:rFonts w:ascii="Arial"/>
                <w:sz w:val="21"/>
              </w:rPr>
            </w:pPr>
          </w:p>
        </w:tc>
        <w:tc>
          <w:tcPr>
            <w:tcW w:w="2314" w:type="dxa"/>
            <w:vAlign w:val="top"/>
          </w:tcPr>
          <w:p w14:paraId="3B7CD441">
            <w:pPr>
              <w:pStyle w:val="6"/>
              <w:spacing w:before="50" w:line="216" w:lineRule="auto"/>
              <w:ind w:left="41"/>
            </w:pPr>
            <w:r>
              <w:rPr>
                <w:spacing w:val="-1"/>
              </w:rPr>
              <w:t>2.同位素的概念</w:t>
            </w:r>
          </w:p>
        </w:tc>
        <w:tc>
          <w:tcPr>
            <w:tcW w:w="220" w:type="dxa"/>
            <w:vAlign w:val="top"/>
          </w:tcPr>
          <w:p w14:paraId="033A564C">
            <w:pPr>
              <w:rPr>
                <w:rFonts w:ascii="Arial"/>
                <w:sz w:val="21"/>
              </w:rPr>
            </w:pPr>
          </w:p>
        </w:tc>
        <w:tc>
          <w:tcPr>
            <w:tcW w:w="229" w:type="dxa"/>
            <w:vAlign w:val="top"/>
          </w:tcPr>
          <w:p w14:paraId="15C5DBAB">
            <w:pPr>
              <w:rPr>
                <w:rFonts w:ascii="Arial"/>
                <w:sz w:val="21"/>
              </w:rPr>
            </w:pPr>
          </w:p>
        </w:tc>
        <w:tc>
          <w:tcPr>
            <w:tcW w:w="229" w:type="dxa"/>
            <w:vAlign w:val="top"/>
          </w:tcPr>
          <w:p w14:paraId="63CE6BBE">
            <w:pPr>
              <w:rPr>
                <w:rFonts w:ascii="Arial"/>
                <w:sz w:val="21"/>
              </w:rPr>
            </w:pPr>
          </w:p>
        </w:tc>
        <w:tc>
          <w:tcPr>
            <w:tcW w:w="224" w:type="dxa"/>
            <w:vAlign w:val="top"/>
          </w:tcPr>
          <w:p w14:paraId="1AD7418E">
            <w:pPr>
              <w:rPr>
                <w:rFonts w:ascii="Arial"/>
                <w:sz w:val="21"/>
              </w:rPr>
            </w:pPr>
          </w:p>
        </w:tc>
      </w:tr>
      <w:tr w14:paraId="036FCC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continue"/>
            <w:tcBorders>
              <w:top w:val="nil"/>
              <w:bottom w:val="nil"/>
            </w:tcBorders>
            <w:vAlign w:val="top"/>
          </w:tcPr>
          <w:p w14:paraId="4D1C28F1">
            <w:pPr>
              <w:rPr>
                <w:rFonts w:ascii="Arial"/>
                <w:sz w:val="21"/>
              </w:rPr>
            </w:pPr>
          </w:p>
        </w:tc>
        <w:tc>
          <w:tcPr>
            <w:tcW w:w="2314" w:type="dxa"/>
            <w:vAlign w:val="top"/>
          </w:tcPr>
          <w:p w14:paraId="5A8BA727">
            <w:pPr>
              <w:pStyle w:val="6"/>
              <w:spacing w:before="50" w:line="216" w:lineRule="auto"/>
              <w:ind w:left="41"/>
            </w:pPr>
            <w:r>
              <w:rPr>
                <w:spacing w:val="-1"/>
              </w:rPr>
              <w:t>3.核外电子的排布规律</w:t>
            </w:r>
          </w:p>
        </w:tc>
        <w:tc>
          <w:tcPr>
            <w:tcW w:w="220" w:type="dxa"/>
            <w:vAlign w:val="top"/>
          </w:tcPr>
          <w:p w14:paraId="6B8966A3">
            <w:pPr>
              <w:rPr>
                <w:rFonts w:ascii="Arial"/>
                <w:sz w:val="21"/>
              </w:rPr>
            </w:pPr>
          </w:p>
        </w:tc>
        <w:tc>
          <w:tcPr>
            <w:tcW w:w="229" w:type="dxa"/>
            <w:vAlign w:val="top"/>
          </w:tcPr>
          <w:p w14:paraId="78C43DD2">
            <w:pPr>
              <w:pStyle w:val="6"/>
              <w:spacing w:before="67" w:line="197" w:lineRule="auto"/>
              <w:ind w:left="28"/>
            </w:pPr>
            <w:r>
              <w:t>√</w:t>
            </w:r>
          </w:p>
        </w:tc>
        <w:tc>
          <w:tcPr>
            <w:tcW w:w="229" w:type="dxa"/>
            <w:vAlign w:val="top"/>
          </w:tcPr>
          <w:p w14:paraId="7AF76585">
            <w:pPr>
              <w:rPr>
                <w:rFonts w:ascii="Arial"/>
                <w:sz w:val="21"/>
              </w:rPr>
            </w:pPr>
          </w:p>
        </w:tc>
        <w:tc>
          <w:tcPr>
            <w:tcW w:w="224" w:type="dxa"/>
            <w:vAlign w:val="top"/>
          </w:tcPr>
          <w:p w14:paraId="21661E1B">
            <w:pPr>
              <w:rPr>
                <w:rFonts w:ascii="Arial"/>
                <w:sz w:val="21"/>
              </w:rPr>
            </w:pPr>
          </w:p>
        </w:tc>
      </w:tr>
      <w:tr w14:paraId="6B9B31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 w:hRule="atLeast"/>
        </w:trPr>
        <w:tc>
          <w:tcPr>
            <w:tcW w:w="893" w:type="dxa"/>
            <w:vMerge w:val="continue"/>
            <w:tcBorders>
              <w:top w:val="nil"/>
              <w:bottom w:val="nil"/>
            </w:tcBorders>
            <w:vAlign w:val="top"/>
          </w:tcPr>
          <w:p w14:paraId="1FAC1229">
            <w:pPr>
              <w:rPr>
                <w:rFonts w:ascii="Arial"/>
                <w:sz w:val="21"/>
              </w:rPr>
            </w:pPr>
          </w:p>
        </w:tc>
        <w:tc>
          <w:tcPr>
            <w:tcW w:w="2314" w:type="dxa"/>
            <w:vAlign w:val="top"/>
          </w:tcPr>
          <w:p w14:paraId="5A00C4E3">
            <w:pPr>
              <w:pStyle w:val="6"/>
              <w:spacing w:before="52" w:line="215" w:lineRule="auto"/>
              <w:ind w:left="41"/>
            </w:pPr>
            <w:r>
              <w:rPr>
                <w:spacing w:val="-1"/>
              </w:rPr>
              <w:t>4.元素周期律</w:t>
            </w:r>
          </w:p>
        </w:tc>
        <w:tc>
          <w:tcPr>
            <w:tcW w:w="220" w:type="dxa"/>
            <w:vAlign w:val="top"/>
          </w:tcPr>
          <w:p w14:paraId="7B32A422">
            <w:pPr>
              <w:rPr>
                <w:rFonts w:ascii="Arial"/>
                <w:sz w:val="21"/>
              </w:rPr>
            </w:pPr>
          </w:p>
        </w:tc>
        <w:tc>
          <w:tcPr>
            <w:tcW w:w="229" w:type="dxa"/>
            <w:vAlign w:val="top"/>
          </w:tcPr>
          <w:p w14:paraId="4652C0D6">
            <w:pPr>
              <w:pStyle w:val="6"/>
              <w:spacing w:before="68" w:line="197" w:lineRule="auto"/>
              <w:ind w:left="28"/>
            </w:pPr>
            <w:r>
              <w:t>√</w:t>
            </w:r>
          </w:p>
        </w:tc>
        <w:tc>
          <w:tcPr>
            <w:tcW w:w="229" w:type="dxa"/>
            <w:vAlign w:val="top"/>
          </w:tcPr>
          <w:p w14:paraId="798BD659">
            <w:pPr>
              <w:rPr>
                <w:rFonts w:ascii="Arial"/>
                <w:sz w:val="21"/>
              </w:rPr>
            </w:pPr>
          </w:p>
        </w:tc>
        <w:tc>
          <w:tcPr>
            <w:tcW w:w="224" w:type="dxa"/>
            <w:vAlign w:val="top"/>
          </w:tcPr>
          <w:p w14:paraId="710D4C18">
            <w:pPr>
              <w:rPr>
                <w:rFonts w:ascii="Arial"/>
                <w:sz w:val="21"/>
              </w:rPr>
            </w:pPr>
          </w:p>
        </w:tc>
      </w:tr>
      <w:tr w14:paraId="365FD6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continue"/>
            <w:tcBorders>
              <w:top w:val="nil"/>
              <w:bottom w:val="nil"/>
            </w:tcBorders>
            <w:vAlign w:val="top"/>
          </w:tcPr>
          <w:p w14:paraId="1CCCBE4D">
            <w:pPr>
              <w:rPr>
                <w:rFonts w:ascii="Arial"/>
                <w:sz w:val="21"/>
              </w:rPr>
            </w:pPr>
          </w:p>
        </w:tc>
        <w:tc>
          <w:tcPr>
            <w:tcW w:w="2314" w:type="dxa"/>
            <w:vAlign w:val="top"/>
          </w:tcPr>
          <w:p w14:paraId="75442AD9">
            <w:pPr>
              <w:pStyle w:val="6"/>
              <w:spacing w:before="51" w:line="214" w:lineRule="auto"/>
              <w:ind w:left="41"/>
            </w:pPr>
            <w:r>
              <w:rPr>
                <w:spacing w:val="1"/>
              </w:rPr>
              <w:t>5.元素周期表的结构</w:t>
            </w:r>
          </w:p>
        </w:tc>
        <w:tc>
          <w:tcPr>
            <w:tcW w:w="220" w:type="dxa"/>
            <w:vAlign w:val="top"/>
          </w:tcPr>
          <w:p w14:paraId="2978539C">
            <w:pPr>
              <w:rPr>
                <w:rFonts w:ascii="Arial"/>
                <w:sz w:val="21"/>
              </w:rPr>
            </w:pPr>
          </w:p>
        </w:tc>
        <w:tc>
          <w:tcPr>
            <w:tcW w:w="229" w:type="dxa"/>
            <w:vAlign w:val="top"/>
          </w:tcPr>
          <w:p w14:paraId="142E06E0">
            <w:pPr>
              <w:rPr>
                <w:rFonts w:ascii="Arial"/>
                <w:sz w:val="21"/>
              </w:rPr>
            </w:pPr>
          </w:p>
        </w:tc>
        <w:tc>
          <w:tcPr>
            <w:tcW w:w="229" w:type="dxa"/>
            <w:vAlign w:val="top"/>
          </w:tcPr>
          <w:p w14:paraId="6684005C">
            <w:pPr>
              <w:rPr>
                <w:rFonts w:ascii="Arial"/>
                <w:sz w:val="21"/>
              </w:rPr>
            </w:pPr>
          </w:p>
        </w:tc>
        <w:tc>
          <w:tcPr>
            <w:tcW w:w="224" w:type="dxa"/>
            <w:vAlign w:val="top"/>
          </w:tcPr>
          <w:p w14:paraId="18A7E767">
            <w:pPr>
              <w:rPr>
                <w:rFonts w:ascii="Arial"/>
                <w:sz w:val="21"/>
              </w:rPr>
            </w:pPr>
          </w:p>
        </w:tc>
      </w:tr>
      <w:tr w14:paraId="6FC2B4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 w:hRule="atLeast"/>
        </w:trPr>
        <w:tc>
          <w:tcPr>
            <w:tcW w:w="893" w:type="dxa"/>
            <w:vMerge w:val="continue"/>
            <w:tcBorders>
              <w:top w:val="nil"/>
              <w:bottom w:val="nil"/>
            </w:tcBorders>
            <w:vAlign w:val="top"/>
          </w:tcPr>
          <w:p w14:paraId="51B918C5">
            <w:pPr>
              <w:rPr>
                <w:rFonts w:ascii="Arial"/>
                <w:sz w:val="21"/>
              </w:rPr>
            </w:pPr>
          </w:p>
        </w:tc>
        <w:tc>
          <w:tcPr>
            <w:tcW w:w="2314" w:type="dxa"/>
            <w:vAlign w:val="top"/>
          </w:tcPr>
          <w:p w14:paraId="39B2CADA">
            <w:pPr>
              <w:pStyle w:val="6"/>
              <w:spacing w:before="52" w:line="214" w:lineRule="auto"/>
              <w:ind w:left="41"/>
            </w:pPr>
            <w:r>
              <w:rPr>
                <w:spacing w:val="-1"/>
              </w:rPr>
              <w:t>6.元素性质的递变规律</w:t>
            </w:r>
          </w:p>
        </w:tc>
        <w:tc>
          <w:tcPr>
            <w:tcW w:w="220" w:type="dxa"/>
            <w:vAlign w:val="top"/>
          </w:tcPr>
          <w:p w14:paraId="6D8D6926">
            <w:pPr>
              <w:rPr>
                <w:rFonts w:ascii="Arial"/>
                <w:sz w:val="21"/>
              </w:rPr>
            </w:pPr>
          </w:p>
        </w:tc>
        <w:tc>
          <w:tcPr>
            <w:tcW w:w="229" w:type="dxa"/>
            <w:vAlign w:val="top"/>
          </w:tcPr>
          <w:p w14:paraId="6CC5E2CD">
            <w:pPr>
              <w:rPr>
                <w:rFonts w:ascii="Arial"/>
                <w:sz w:val="21"/>
              </w:rPr>
            </w:pPr>
          </w:p>
        </w:tc>
        <w:tc>
          <w:tcPr>
            <w:tcW w:w="229" w:type="dxa"/>
            <w:vAlign w:val="top"/>
          </w:tcPr>
          <w:p w14:paraId="6820FA90">
            <w:pPr>
              <w:rPr>
                <w:rFonts w:ascii="Arial"/>
                <w:sz w:val="21"/>
              </w:rPr>
            </w:pPr>
          </w:p>
        </w:tc>
        <w:tc>
          <w:tcPr>
            <w:tcW w:w="224" w:type="dxa"/>
            <w:vAlign w:val="top"/>
          </w:tcPr>
          <w:p w14:paraId="336F2B63">
            <w:pPr>
              <w:rPr>
                <w:rFonts w:ascii="Arial"/>
                <w:sz w:val="21"/>
              </w:rPr>
            </w:pPr>
          </w:p>
        </w:tc>
      </w:tr>
      <w:tr w14:paraId="1F7E70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continue"/>
            <w:tcBorders>
              <w:top w:val="nil"/>
            </w:tcBorders>
            <w:vAlign w:val="top"/>
          </w:tcPr>
          <w:p w14:paraId="37576547">
            <w:pPr>
              <w:rPr>
                <w:rFonts w:ascii="Arial"/>
                <w:sz w:val="21"/>
              </w:rPr>
            </w:pPr>
          </w:p>
        </w:tc>
        <w:tc>
          <w:tcPr>
            <w:tcW w:w="2314" w:type="dxa"/>
            <w:vAlign w:val="top"/>
          </w:tcPr>
          <w:p w14:paraId="72CF6875">
            <w:pPr>
              <w:pStyle w:val="6"/>
              <w:spacing w:before="53" w:line="212" w:lineRule="auto"/>
              <w:ind w:left="41"/>
            </w:pPr>
            <w:r>
              <w:rPr>
                <w:spacing w:val="-2"/>
              </w:rPr>
              <w:t>7.化学键</w:t>
            </w:r>
          </w:p>
        </w:tc>
        <w:tc>
          <w:tcPr>
            <w:tcW w:w="220" w:type="dxa"/>
            <w:vAlign w:val="top"/>
          </w:tcPr>
          <w:p w14:paraId="4FA18F32">
            <w:pPr>
              <w:rPr>
                <w:rFonts w:ascii="Arial"/>
                <w:sz w:val="21"/>
              </w:rPr>
            </w:pPr>
          </w:p>
        </w:tc>
        <w:tc>
          <w:tcPr>
            <w:tcW w:w="229" w:type="dxa"/>
            <w:vAlign w:val="top"/>
          </w:tcPr>
          <w:p w14:paraId="6FFE9D53">
            <w:pPr>
              <w:rPr>
                <w:rFonts w:ascii="Arial"/>
                <w:sz w:val="21"/>
              </w:rPr>
            </w:pPr>
          </w:p>
        </w:tc>
        <w:tc>
          <w:tcPr>
            <w:tcW w:w="229" w:type="dxa"/>
            <w:vAlign w:val="top"/>
          </w:tcPr>
          <w:p w14:paraId="3AE93FE8">
            <w:pPr>
              <w:rPr>
                <w:rFonts w:ascii="Arial"/>
                <w:sz w:val="21"/>
              </w:rPr>
            </w:pPr>
          </w:p>
        </w:tc>
        <w:tc>
          <w:tcPr>
            <w:tcW w:w="224" w:type="dxa"/>
            <w:vAlign w:val="top"/>
          </w:tcPr>
          <w:p w14:paraId="4CA24306">
            <w:pPr>
              <w:rPr>
                <w:rFonts w:ascii="Arial"/>
                <w:sz w:val="21"/>
              </w:rPr>
            </w:pPr>
          </w:p>
        </w:tc>
      </w:tr>
      <w:tr w14:paraId="06711F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restart"/>
            <w:tcBorders>
              <w:bottom w:val="nil"/>
            </w:tcBorders>
            <w:vAlign w:val="top"/>
          </w:tcPr>
          <w:p w14:paraId="5FDE59A8">
            <w:pPr>
              <w:spacing w:line="272" w:lineRule="auto"/>
              <w:rPr>
                <w:rFonts w:ascii="Arial"/>
                <w:sz w:val="21"/>
              </w:rPr>
            </w:pPr>
          </w:p>
          <w:p w14:paraId="4C8D0E3E">
            <w:pPr>
              <w:spacing w:line="273" w:lineRule="auto"/>
              <w:rPr>
                <w:rFonts w:ascii="Arial"/>
                <w:sz w:val="21"/>
              </w:rPr>
            </w:pPr>
          </w:p>
          <w:p w14:paraId="4E4C97E1">
            <w:pPr>
              <w:pStyle w:val="6"/>
              <w:spacing w:before="55" w:line="247" w:lineRule="auto"/>
              <w:ind w:left="265" w:right="283"/>
            </w:pPr>
            <w:r>
              <w:rPr>
                <w:spacing w:val="-6"/>
              </w:rPr>
              <w:t>实验</w:t>
            </w:r>
            <w:r>
              <w:t xml:space="preserve"> </w:t>
            </w:r>
            <w:r>
              <w:rPr>
                <w:spacing w:val="-3"/>
              </w:rPr>
              <w:t>操作</w:t>
            </w:r>
          </w:p>
        </w:tc>
        <w:tc>
          <w:tcPr>
            <w:tcW w:w="2314" w:type="dxa"/>
            <w:vAlign w:val="top"/>
          </w:tcPr>
          <w:p w14:paraId="4693BF44">
            <w:pPr>
              <w:pStyle w:val="6"/>
              <w:spacing w:before="53" w:line="212" w:lineRule="auto"/>
              <w:ind w:left="41"/>
            </w:pPr>
            <w:r>
              <w:rPr>
                <w:spacing w:val="1"/>
              </w:rPr>
              <w:t>1.实验室安全守则与操作规则</w:t>
            </w:r>
          </w:p>
        </w:tc>
        <w:tc>
          <w:tcPr>
            <w:tcW w:w="220" w:type="dxa"/>
            <w:vAlign w:val="top"/>
          </w:tcPr>
          <w:p w14:paraId="60ACC0FC">
            <w:pPr>
              <w:rPr>
                <w:rFonts w:ascii="Arial"/>
                <w:sz w:val="21"/>
              </w:rPr>
            </w:pPr>
          </w:p>
        </w:tc>
        <w:tc>
          <w:tcPr>
            <w:tcW w:w="229" w:type="dxa"/>
            <w:vAlign w:val="top"/>
          </w:tcPr>
          <w:p w14:paraId="78BF39FC">
            <w:pPr>
              <w:rPr>
                <w:rFonts w:ascii="Arial"/>
                <w:sz w:val="21"/>
              </w:rPr>
            </w:pPr>
          </w:p>
        </w:tc>
        <w:tc>
          <w:tcPr>
            <w:tcW w:w="229" w:type="dxa"/>
            <w:vAlign w:val="top"/>
          </w:tcPr>
          <w:p w14:paraId="6C839405">
            <w:pPr>
              <w:rPr>
                <w:rFonts w:ascii="Arial"/>
                <w:sz w:val="21"/>
              </w:rPr>
            </w:pPr>
          </w:p>
        </w:tc>
        <w:tc>
          <w:tcPr>
            <w:tcW w:w="224" w:type="dxa"/>
            <w:vAlign w:val="top"/>
          </w:tcPr>
          <w:p w14:paraId="0C6F3769">
            <w:pPr>
              <w:rPr>
                <w:rFonts w:ascii="Arial"/>
                <w:sz w:val="21"/>
              </w:rPr>
            </w:pPr>
          </w:p>
        </w:tc>
      </w:tr>
      <w:tr w14:paraId="330246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 w:hRule="atLeast"/>
        </w:trPr>
        <w:tc>
          <w:tcPr>
            <w:tcW w:w="893" w:type="dxa"/>
            <w:vMerge w:val="continue"/>
            <w:tcBorders>
              <w:top w:val="nil"/>
              <w:bottom w:val="nil"/>
            </w:tcBorders>
            <w:vAlign w:val="top"/>
          </w:tcPr>
          <w:p w14:paraId="27D44F6C">
            <w:pPr>
              <w:rPr>
                <w:rFonts w:ascii="Arial"/>
                <w:sz w:val="21"/>
              </w:rPr>
            </w:pPr>
          </w:p>
        </w:tc>
        <w:tc>
          <w:tcPr>
            <w:tcW w:w="2314" w:type="dxa"/>
            <w:vAlign w:val="top"/>
          </w:tcPr>
          <w:p w14:paraId="70696A85">
            <w:pPr>
              <w:pStyle w:val="6"/>
              <w:spacing w:before="53" w:line="213" w:lineRule="auto"/>
              <w:ind w:left="41"/>
            </w:pPr>
            <w:r>
              <w:rPr>
                <w:spacing w:val="-1"/>
              </w:rPr>
              <w:t>2.玻璃仪器的洗涤与干燥</w:t>
            </w:r>
          </w:p>
        </w:tc>
        <w:tc>
          <w:tcPr>
            <w:tcW w:w="220" w:type="dxa"/>
            <w:vAlign w:val="top"/>
          </w:tcPr>
          <w:p w14:paraId="23C9BCAD">
            <w:pPr>
              <w:rPr>
                <w:rFonts w:ascii="Arial"/>
                <w:sz w:val="21"/>
              </w:rPr>
            </w:pPr>
          </w:p>
        </w:tc>
        <w:tc>
          <w:tcPr>
            <w:tcW w:w="229" w:type="dxa"/>
            <w:vAlign w:val="top"/>
          </w:tcPr>
          <w:p w14:paraId="28175EB2">
            <w:pPr>
              <w:rPr>
                <w:rFonts w:ascii="Arial"/>
                <w:sz w:val="21"/>
              </w:rPr>
            </w:pPr>
          </w:p>
        </w:tc>
        <w:tc>
          <w:tcPr>
            <w:tcW w:w="229" w:type="dxa"/>
            <w:vAlign w:val="top"/>
          </w:tcPr>
          <w:p w14:paraId="1F7BC3CF">
            <w:pPr>
              <w:rPr>
                <w:rFonts w:ascii="Arial"/>
                <w:sz w:val="21"/>
              </w:rPr>
            </w:pPr>
          </w:p>
        </w:tc>
        <w:tc>
          <w:tcPr>
            <w:tcW w:w="224" w:type="dxa"/>
            <w:vAlign w:val="top"/>
          </w:tcPr>
          <w:p w14:paraId="25967710">
            <w:pPr>
              <w:rPr>
                <w:rFonts w:ascii="Arial"/>
                <w:sz w:val="21"/>
              </w:rPr>
            </w:pPr>
          </w:p>
        </w:tc>
      </w:tr>
      <w:tr w14:paraId="7E13A1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continue"/>
            <w:tcBorders>
              <w:top w:val="nil"/>
              <w:bottom w:val="nil"/>
            </w:tcBorders>
            <w:vAlign w:val="top"/>
          </w:tcPr>
          <w:p w14:paraId="26A50563">
            <w:pPr>
              <w:rPr>
                <w:rFonts w:ascii="Arial"/>
                <w:sz w:val="21"/>
              </w:rPr>
            </w:pPr>
          </w:p>
        </w:tc>
        <w:tc>
          <w:tcPr>
            <w:tcW w:w="2314" w:type="dxa"/>
            <w:vAlign w:val="top"/>
          </w:tcPr>
          <w:p w14:paraId="5FD01C47">
            <w:pPr>
              <w:pStyle w:val="6"/>
              <w:spacing w:before="55" w:line="210" w:lineRule="auto"/>
              <w:ind w:left="41"/>
            </w:pPr>
            <w:r>
              <w:rPr>
                <w:spacing w:val="1"/>
              </w:rPr>
              <w:t>3.物质的加热</w:t>
            </w:r>
          </w:p>
        </w:tc>
        <w:tc>
          <w:tcPr>
            <w:tcW w:w="220" w:type="dxa"/>
            <w:vAlign w:val="top"/>
          </w:tcPr>
          <w:p w14:paraId="24CDA722">
            <w:pPr>
              <w:rPr>
                <w:rFonts w:ascii="Arial"/>
                <w:sz w:val="21"/>
              </w:rPr>
            </w:pPr>
          </w:p>
        </w:tc>
        <w:tc>
          <w:tcPr>
            <w:tcW w:w="229" w:type="dxa"/>
            <w:vAlign w:val="top"/>
          </w:tcPr>
          <w:p w14:paraId="6487AC98">
            <w:pPr>
              <w:pStyle w:val="6"/>
              <w:spacing w:before="99" w:line="162" w:lineRule="auto"/>
              <w:ind w:left="67"/>
            </w:pPr>
            <w:r>
              <w:t>V</w:t>
            </w:r>
          </w:p>
        </w:tc>
        <w:tc>
          <w:tcPr>
            <w:tcW w:w="229" w:type="dxa"/>
            <w:vAlign w:val="top"/>
          </w:tcPr>
          <w:p w14:paraId="754D1B9E">
            <w:pPr>
              <w:rPr>
                <w:rFonts w:ascii="Arial"/>
                <w:sz w:val="21"/>
              </w:rPr>
            </w:pPr>
          </w:p>
        </w:tc>
        <w:tc>
          <w:tcPr>
            <w:tcW w:w="224" w:type="dxa"/>
            <w:vAlign w:val="top"/>
          </w:tcPr>
          <w:p w14:paraId="71BFCC5A">
            <w:pPr>
              <w:rPr>
                <w:rFonts w:ascii="Arial"/>
                <w:sz w:val="21"/>
              </w:rPr>
            </w:pPr>
          </w:p>
        </w:tc>
      </w:tr>
      <w:tr w14:paraId="7908A3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 w:hRule="atLeast"/>
        </w:trPr>
        <w:tc>
          <w:tcPr>
            <w:tcW w:w="893" w:type="dxa"/>
            <w:vMerge w:val="continue"/>
            <w:tcBorders>
              <w:top w:val="nil"/>
              <w:bottom w:val="nil"/>
            </w:tcBorders>
            <w:vAlign w:val="top"/>
          </w:tcPr>
          <w:p w14:paraId="0C54E518">
            <w:pPr>
              <w:rPr>
                <w:rFonts w:ascii="Arial"/>
                <w:sz w:val="21"/>
              </w:rPr>
            </w:pPr>
          </w:p>
        </w:tc>
        <w:tc>
          <w:tcPr>
            <w:tcW w:w="2314" w:type="dxa"/>
            <w:vAlign w:val="top"/>
          </w:tcPr>
          <w:p w14:paraId="4D7BD829">
            <w:pPr>
              <w:pStyle w:val="6"/>
              <w:spacing w:before="54" w:line="212" w:lineRule="auto"/>
              <w:ind w:left="41"/>
            </w:pPr>
            <w:r>
              <w:rPr>
                <w:spacing w:val="2"/>
              </w:rPr>
              <w:t>4.试剂的取用</w:t>
            </w:r>
          </w:p>
        </w:tc>
        <w:tc>
          <w:tcPr>
            <w:tcW w:w="220" w:type="dxa"/>
            <w:vAlign w:val="top"/>
          </w:tcPr>
          <w:p w14:paraId="68AF4918">
            <w:pPr>
              <w:rPr>
                <w:rFonts w:ascii="Arial"/>
                <w:sz w:val="21"/>
              </w:rPr>
            </w:pPr>
          </w:p>
        </w:tc>
        <w:tc>
          <w:tcPr>
            <w:tcW w:w="229" w:type="dxa"/>
            <w:vAlign w:val="top"/>
          </w:tcPr>
          <w:p w14:paraId="49404853">
            <w:pPr>
              <w:pStyle w:val="6"/>
              <w:spacing w:before="100" w:line="162" w:lineRule="auto"/>
              <w:ind w:left="67"/>
            </w:pPr>
            <w:r>
              <w:t>V</w:t>
            </w:r>
          </w:p>
        </w:tc>
        <w:tc>
          <w:tcPr>
            <w:tcW w:w="229" w:type="dxa"/>
            <w:vAlign w:val="top"/>
          </w:tcPr>
          <w:p w14:paraId="539A11A8">
            <w:pPr>
              <w:rPr>
                <w:rFonts w:ascii="Arial"/>
                <w:sz w:val="21"/>
              </w:rPr>
            </w:pPr>
          </w:p>
        </w:tc>
        <w:tc>
          <w:tcPr>
            <w:tcW w:w="224" w:type="dxa"/>
            <w:vAlign w:val="top"/>
          </w:tcPr>
          <w:p w14:paraId="4CCC1237">
            <w:pPr>
              <w:rPr>
                <w:rFonts w:ascii="Arial"/>
                <w:sz w:val="21"/>
              </w:rPr>
            </w:pPr>
          </w:p>
        </w:tc>
      </w:tr>
      <w:tr w14:paraId="5F89F6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continue"/>
            <w:tcBorders>
              <w:top w:val="nil"/>
              <w:bottom w:val="nil"/>
            </w:tcBorders>
            <w:vAlign w:val="top"/>
          </w:tcPr>
          <w:p w14:paraId="3F59BA4B">
            <w:pPr>
              <w:rPr>
                <w:rFonts w:ascii="Arial"/>
                <w:sz w:val="21"/>
              </w:rPr>
            </w:pPr>
          </w:p>
        </w:tc>
        <w:tc>
          <w:tcPr>
            <w:tcW w:w="2314" w:type="dxa"/>
            <w:vAlign w:val="top"/>
          </w:tcPr>
          <w:p w14:paraId="5A769CBA">
            <w:pPr>
              <w:pStyle w:val="6"/>
              <w:spacing w:before="56" w:line="209" w:lineRule="auto"/>
              <w:ind w:left="41"/>
            </w:pPr>
            <w:r>
              <w:rPr>
                <w:spacing w:val="1"/>
              </w:rPr>
              <w:t>5.沉淀与溶液的分离</w:t>
            </w:r>
          </w:p>
        </w:tc>
        <w:tc>
          <w:tcPr>
            <w:tcW w:w="220" w:type="dxa"/>
            <w:vAlign w:val="top"/>
          </w:tcPr>
          <w:p w14:paraId="264C1F45">
            <w:pPr>
              <w:rPr>
                <w:rFonts w:ascii="Arial"/>
                <w:sz w:val="21"/>
              </w:rPr>
            </w:pPr>
          </w:p>
        </w:tc>
        <w:tc>
          <w:tcPr>
            <w:tcW w:w="229" w:type="dxa"/>
            <w:vAlign w:val="top"/>
          </w:tcPr>
          <w:p w14:paraId="1A98E99E">
            <w:pPr>
              <w:pStyle w:val="6"/>
              <w:spacing w:before="73" w:line="191" w:lineRule="auto"/>
              <w:ind w:left="28"/>
            </w:pPr>
            <w:r>
              <w:t>√</w:t>
            </w:r>
          </w:p>
        </w:tc>
        <w:tc>
          <w:tcPr>
            <w:tcW w:w="229" w:type="dxa"/>
            <w:vAlign w:val="top"/>
          </w:tcPr>
          <w:p w14:paraId="4AE5A35C">
            <w:pPr>
              <w:rPr>
                <w:rFonts w:ascii="Arial"/>
                <w:sz w:val="21"/>
              </w:rPr>
            </w:pPr>
          </w:p>
        </w:tc>
        <w:tc>
          <w:tcPr>
            <w:tcW w:w="224" w:type="dxa"/>
            <w:vAlign w:val="top"/>
          </w:tcPr>
          <w:p w14:paraId="7D23666B">
            <w:pPr>
              <w:rPr>
                <w:rFonts w:ascii="Arial"/>
                <w:sz w:val="21"/>
              </w:rPr>
            </w:pPr>
          </w:p>
        </w:tc>
      </w:tr>
      <w:tr w14:paraId="4A5B1F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4" w:hRule="atLeast"/>
        </w:trPr>
        <w:tc>
          <w:tcPr>
            <w:tcW w:w="893" w:type="dxa"/>
            <w:vMerge w:val="continue"/>
            <w:tcBorders>
              <w:top w:val="nil"/>
            </w:tcBorders>
            <w:vAlign w:val="top"/>
          </w:tcPr>
          <w:p w14:paraId="3C3CF906">
            <w:pPr>
              <w:rPr>
                <w:rFonts w:ascii="Arial"/>
                <w:sz w:val="21"/>
              </w:rPr>
            </w:pPr>
          </w:p>
        </w:tc>
        <w:tc>
          <w:tcPr>
            <w:tcW w:w="2314" w:type="dxa"/>
            <w:vAlign w:val="top"/>
          </w:tcPr>
          <w:p w14:paraId="57EF7699">
            <w:pPr>
              <w:pStyle w:val="6"/>
              <w:spacing w:before="56" w:line="214" w:lineRule="auto"/>
              <w:ind w:left="41"/>
            </w:pPr>
            <w:r>
              <w:rPr>
                <w:spacing w:val="-1"/>
              </w:rPr>
              <w:t>6.常用试纸及用途</w:t>
            </w:r>
          </w:p>
        </w:tc>
        <w:tc>
          <w:tcPr>
            <w:tcW w:w="220" w:type="dxa"/>
            <w:vAlign w:val="top"/>
          </w:tcPr>
          <w:p w14:paraId="4CCA50F3">
            <w:pPr>
              <w:pStyle w:val="6"/>
              <w:spacing w:before="73" w:line="196" w:lineRule="auto"/>
              <w:ind w:left="17"/>
            </w:pPr>
            <w:r>
              <w:t>√</w:t>
            </w:r>
          </w:p>
        </w:tc>
        <w:tc>
          <w:tcPr>
            <w:tcW w:w="229" w:type="dxa"/>
            <w:vAlign w:val="top"/>
          </w:tcPr>
          <w:p w14:paraId="409DA227">
            <w:pPr>
              <w:rPr>
                <w:rFonts w:ascii="Arial"/>
                <w:sz w:val="21"/>
              </w:rPr>
            </w:pPr>
          </w:p>
        </w:tc>
        <w:tc>
          <w:tcPr>
            <w:tcW w:w="229" w:type="dxa"/>
            <w:vAlign w:val="top"/>
          </w:tcPr>
          <w:p w14:paraId="0DBB791B">
            <w:pPr>
              <w:rPr>
                <w:rFonts w:ascii="Arial"/>
                <w:sz w:val="21"/>
              </w:rPr>
            </w:pPr>
          </w:p>
        </w:tc>
        <w:tc>
          <w:tcPr>
            <w:tcW w:w="224" w:type="dxa"/>
            <w:vAlign w:val="top"/>
          </w:tcPr>
          <w:p w14:paraId="4F78C96A">
            <w:pPr>
              <w:rPr>
                <w:rFonts w:ascii="Arial"/>
                <w:sz w:val="21"/>
              </w:rPr>
            </w:pPr>
          </w:p>
        </w:tc>
      </w:tr>
    </w:tbl>
    <w:p w14:paraId="08B82CE2">
      <w:pPr>
        <w:spacing w:before="279" w:line="221" w:lineRule="auto"/>
        <w:ind w:left="1092"/>
        <w:rPr>
          <w:rFonts w:ascii="黑体" w:hAnsi="黑体" w:eastAsia="黑体" w:cs="黑体"/>
          <w:sz w:val="20"/>
          <w:szCs w:val="20"/>
        </w:rPr>
      </w:pPr>
      <w:r>
        <w:rPr>
          <w:rFonts w:ascii="黑体" w:hAnsi="黑体" w:eastAsia="黑体" w:cs="黑体"/>
          <w:b/>
          <w:bCs/>
          <w:spacing w:val="-5"/>
          <w:sz w:val="20"/>
          <w:szCs w:val="20"/>
        </w:rPr>
        <w:t>二、化学反应及其规律</w:t>
      </w:r>
    </w:p>
    <w:p w14:paraId="1A55E73E">
      <w:pPr>
        <w:spacing w:line="102" w:lineRule="exact"/>
      </w:pPr>
    </w:p>
    <w:tbl>
      <w:tblPr>
        <w:tblStyle w:val="5"/>
        <w:tblW w:w="4109" w:type="dxa"/>
        <w:tblInd w:w="2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24"/>
        <w:gridCol w:w="220"/>
        <w:gridCol w:w="229"/>
        <w:gridCol w:w="219"/>
        <w:gridCol w:w="224"/>
      </w:tblGrid>
      <w:tr w14:paraId="254CE6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4" w:hRule="atLeast"/>
        </w:trPr>
        <w:tc>
          <w:tcPr>
            <w:tcW w:w="893" w:type="dxa"/>
            <w:vMerge w:val="restart"/>
            <w:tcBorders>
              <w:bottom w:val="nil"/>
            </w:tcBorders>
            <w:vAlign w:val="top"/>
          </w:tcPr>
          <w:p w14:paraId="0F5C1428">
            <w:pPr>
              <w:pStyle w:val="6"/>
              <w:spacing w:before="141" w:line="223" w:lineRule="auto"/>
              <w:ind w:left="77" w:right="93" w:firstLine="90"/>
              <w:rPr>
                <w:sz w:val="18"/>
                <w:szCs w:val="18"/>
              </w:rPr>
            </w:pPr>
            <w:r>
              <w:rPr>
                <w:b/>
                <w:bCs/>
                <w:spacing w:val="1"/>
                <w:sz w:val="18"/>
                <w:szCs w:val="18"/>
              </w:rPr>
              <w:t>知识与</w:t>
            </w:r>
            <w:r>
              <w:rPr>
                <w:sz w:val="18"/>
                <w:szCs w:val="18"/>
              </w:rPr>
              <w:t xml:space="preserve">  </w:t>
            </w:r>
            <w:r>
              <w:rPr>
                <w:b/>
                <w:bCs/>
                <w:spacing w:val="-4"/>
                <w:sz w:val="18"/>
                <w:szCs w:val="18"/>
              </w:rPr>
              <w:t>技能要点</w:t>
            </w:r>
          </w:p>
        </w:tc>
        <w:tc>
          <w:tcPr>
            <w:tcW w:w="2324" w:type="dxa"/>
            <w:vMerge w:val="restart"/>
            <w:tcBorders>
              <w:bottom w:val="nil"/>
            </w:tcBorders>
            <w:vAlign w:val="top"/>
          </w:tcPr>
          <w:p w14:paraId="12E810CA">
            <w:pPr>
              <w:pStyle w:val="6"/>
              <w:spacing w:before="250" w:line="219" w:lineRule="auto"/>
              <w:ind w:left="844"/>
              <w:rPr>
                <w:sz w:val="18"/>
                <w:szCs w:val="18"/>
              </w:rPr>
            </w:pPr>
            <w:r>
              <w:rPr>
                <w:b/>
                <w:bCs/>
                <w:spacing w:val="5"/>
                <w:sz w:val="18"/>
                <w:szCs w:val="18"/>
              </w:rPr>
              <w:t>考试条目</w:t>
            </w:r>
          </w:p>
        </w:tc>
        <w:tc>
          <w:tcPr>
            <w:tcW w:w="892" w:type="dxa"/>
            <w:gridSpan w:val="4"/>
            <w:vAlign w:val="top"/>
          </w:tcPr>
          <w:p w14:paraId="3EEA6E57">
            <w:pPr>
              <w:pStyle w:val="6"/>
              <w:spacing w:before="80" w:line="219" w:lineRule="auto"/>
              <w:ind w:left="120"/>
              <w:rPr>
                <w:sz w:val="18"/>
                <w:szCs w:val="18"/>
              </w:rPr>
            </w:pPr>
            <w:r>
              <w:rPr>
                <w:b/>
                <w:bCs/>
                <w:spacing w:val="-4"/>
                <w:sz w:val="18"/>
                <w:szCs w:val="18"/>
              </w:rPr>
              <w:t>考试水平</w:t>
            </w:r>
          </w:p>
        </w:tc>
      </w:tr>
      <w:tr w14:paraId="0B6339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9" w:hRule="atLeast"/>
        </w:trPr>
        <w:tc>
          <w:tcPr>
            <w:tcW w:w="893" w:type="dxa"/>
            <w:vMerge w:val="continue"/>
            <w:tcBorders>
              <w:top w:val="nil"/>
            </w:tcBorders>
            <w:vAlign w:val="top"/>
          </w:tcPr>
          <w:p w14:paraId="7375E1E9">
            <w:pPr>
              <w:rPr>
                <w:rFonts w:ascii="Arial"/>
                <w:sz w:val="21"/>
              </w:rPr>
            </w:pPr>
          </w:p>
        </w:tc>
        <w:tc>
          <w:tcPr>
            <w:tcW w:w="2324" w:type="dxa"/>
            <w:vMerge w:val="continue"/>
            <w:tcBorders>
              <w:top w:val="nil"/>
            </w:tcBorders>
            <w:vAlign w:val="top"/>
          </w:tcPr>
          <w:p w14:paraId="4740142D">
            <w:pPr>
              <w:rPr>
                <w:rFonts w:ascii="Arial"/>
                <w:sz w:val="21"/>
              </w:rPr>
            </w:pPr>
          </w:p>
        </w:tc>
        <w:tc>
          <w:tcPr>
            <w:tcW w:w="220" w:type="dxa"/>
            <w:vAlign w:val="top"/>
          </w:tcPr>
          <w:p w14:paraId="1924307E">
            <w:pPr>
              <w:pStyle w:val="6"/>
              <w:spacing w:before="123" w:line="184" w:lineRule="auto"/>
              <w:ind w:left="18"/>
              <w:rPr>
                <w:sz w:val="18"/>
                <w:szCs w:val="18"/>
              </w:rPr>
            </w:pPr>
            <w:r>
              <w:rPr>
                <w:sz w:val="18"/>
                <w:szCs w:val="18"/>
              </w:rPr>
              <w:t>A</w:t>
            </w:r>
          </w:p>
        </w:tc>
        <w:tc>
          <w:tcPr>
            <w:tcW w:w="229" w:type="dxa"/>
            <w:vAlign w:val="top"/>
          </w:tcPr>
          <w:p w14:paraId="00388055">
            <w:pPr>
              <w:pStyle w:val="6"/>
              <w:spacing w:before="125" w:line="182" w:lineRule="auto"/>
              <w:ind w:left="20"/>
              <w:rPr>
                <w:sz w:val="18"/>
                <w:szCs w:val="18"/>
              </w:rPr>
            </w:pPr>
            <w:r>
              <w:rPr>
                <w:b/>
                <w:bCs/>
                <w:spacing w:val="-2"/>
                <w:sz w:val="18"/>
                <w:szCs w:val="18"/>
              </w:rPr>
              <w:t>B</w:t>
            </w:r>
          </w:p>
        </w:tc>
        <w:tc>
          <w:tcPr>
            <w:tcW w:w="219" w:type="dxa"/>
            <w:vAlign w:val="top"/>
          </w:tcPr>
          <w:p w14:paraId="57CF9739">
            <w:pPr>
              <w:pStyle w:val="6"/>
              <w:spacing w:before="124" w:line="183" w:lineRule="auto"/>
              <w:ind w:left="59"/>
              <w:rPr>
                <w:sz w:val="18"/>
                <w:szCs w:val="18"/>
              </w:rPr>
            </w:pPr>
            <w:r>
              <w:rPr>
                <w:sz w:val="18"/>
                <w:szCs w:val="18"/>
              </w:rPr>
              <w:t>C</w:t>
            </w:r>
          </w:p>
        </w:tc>
        <w:tc>
          <w:tcPr>
            <w:tcW w:w="224" w:type="dxa"/>
            <w:vAlign w:val="top"/>
          </w:tcPr>
          <w:p w14:paraId="04B55A90">
            <w:pPr>
              <w:pStyle w:val="6"/>
              <w:spacing w:before="125" w:line="182" w:lineRule="auto"/>
              <w:ind w:left="19"/>
              <w:rPr>
                <w:sz w:val="18"/>
                <w:szCs w:val="18"/>
              </w:rPr>
            </w:pPr>
            <w:r>
              <w:rPr>
                <w:sz w:val="18"/>
                <w:szCs w:val="18"/>
              </w:rPr>
              <w:t>D</w:t>
            </w:r>
          </w:p>
        </w:tc>
      </w:tr>
      <w:tr w14:paraId="21C3CA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restart"/>
            <w:tcBorders>
              <w:bottom w:val="nil"/>
            </w:tcBorders>
            <w:vAlign w:val="top"/>
          </w:tcPr>
          <w:p w14:paraId="42649DC0">
            <w:pPr>
              <w:pStyle w:val="6"/>
              <w:spacing w:before="197" w:line="236" w:lineRule="auto"/>
              <w:ind w:left="254" w:right="73" w:hanging="180"/>
              <w:rPr>
                <w:sz w:val="18"/>
                <w:szCs w:val="18"/>
              </w:rPr>
            </w:pPr>
            <w:r>
              <w:rPr>
                <w:spacing w:val="3"/>
                <w:sz w:val="18"/>
                <w:szCs w:val="18"/>
              </w:rPr>
              <w:t>氧化还原</w:t>
            </w:r>
            <w:r>
              <w:rPr>
                <w:spacing w:val="1"/>
                <w:sz w:val="18"/>
                <w:szCs w:val="18"/>
              </w:rPr>
              <w:t xml:space="preserve"> </w:t>
            </w:r>
            <w:r>
              <w:rPr>
                <w:spacing w:val="-2"/>
                <w:sz w:val="18"/>
                <w:szCs w:val="18"/>
              </w:rPr>
              <w:t>反应</w:t>
            </w:r>
          </w:p>
        </w:tc>
        <w:tc>
          <w:tcPr>
            <w:tcW w:w="2324" w:type="dxa"/>
            <w:vAlign w:val="top"/>
          </w:tcPr>
          <w:p w14:paraId="589B7E01">
            <w:pPr>
              <w:pStyle w:val="6"/>
              <w:spacing w:before="38" w:line="216" w:lineRule="auto"/>
              <w:ind w:left="62"/>
              <w:rPr>
                <w:sz w:val="18"/>
                <w:szCs w:val="18"/>
              </w:rPr>
            </w:pPr>
            <w:r>
              <w:rPr>
                <w:sz w:val="18"/>
                <w:szCs w:val="18"/>
              </w:rPr>
              <w:t>1.氧化还原反应概念</w:t>
            </w:r>
          </w:p>
        </w:tc>
        <w:tc>
          <w:tcPr>
            <w:tcW w:w="220" w:type="dxa"/>
            <w:vAlign w:val="top"/>
          </w:tcPr>
          <w:p w14:paraId="0DEB2D02">
            <w:pPr>
              <w:pStyle w:val="6"/>
              <w:spacing w:before="79" w:line="238" w:lineRule="auto"/>
              <w:ind w:left="18"/>
              <w:rPr>
                <w:sz w:val="12"/>
                <w:szCs w:val="12"/>
              </w:rPr>
            </w:pPr>
            <w:r>
              <w:rPr>
                <w:sz w:val="12"/>
                <w:szCs w:val="12"/>
              </w:rPr>
              <w:t>√</w:t>
            </w:r>
          </w:p>
        </w:tc>
        <w:tc>
          <w:tcPr>
            <w:tcW w:w="229" w:type="dxa"/>
            <w:vAlign w:val="top"/>
          </w:tcPr>
          <w:p w14:paraId="39FF2300">
            <w:pPr>
              <w:rPr>
                <w:rFonts w:ascii="Arial"/>
                <w:sz w:val="21"/>
              </w:rPr>
            </w:pPr>
          </w:p>
        </w:tc>
        <w:tc>
          <w:tcPr>
            <w:tcW w:w="219" w:type="dxa"/>
            <w:vAlign w:val="top"/>
          </w:tcPr>
          <w:p w14:paraId="71A6839A">
            <w:pPr>
              <w:rPr>
                <w:rFonts w:ascii="Arial"/>
                <w:sz w:val="21"/>
              </w:rPr>
            </w:pPr>
          </w:p>
        </w:tc>
        <w:tc>
          <w:tcPr>
            <w:tcW w:w="224" w:type="dxa"/>
            <w:vAlign w:val="top"/>
          </w:tcPr>
          <w:p w14:paraId="73D464DF">
            <w:pPr>
              <w:rPr>
                <w:rFonts w:ascii="Arial"/>
                <w:sz w:val="21"/>
              </w:rPr>
            </w:pPr>
          </w:p>
        </w:tc>
      </w:tr>
      <w:tr w14:paraId="345723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continue"/>
            <w:tcBorders>
              <w:top w:val="nil"/>
              <w:bottom w:val="nil"/>
            </w:tcBorders>
            <w:vAlign w:val="top"/>
          </w:tcPr>
          <w:p w14:paraId="012097F8">
            <w:pPr>
              <w:rPr>
                <w:rFonts w:ascii="Arial"/>
                <w:sz w:val="21"/>
              </w:rPr>
            </w:pPr>
          </w:p>
        </w:tc>
        <w:tc>
          <w:tcPr>
            <w:tcW w:w="2324" w:type="dxa"/>
            <w:vAlign w:val="top"/>
          </w:tcPr>
          <w:p w14:paraId="20057D2E">
            <w:pPr>
              <w:pStyle w:val="6"/>
              <w:spacing w:before="39" w:line="215" w:lineRule="auto"/>
              <w:ind w:left="62"/>
              <w:rPr>
                <w:sz w:val="18"/>
                <w:szCs w:val="18"/>
              </w:rPr>
            </w:pPr>
            <w:r>
              <w:rPr>
                <w:spacing w:val="-1"/>
                <w:sz w:val="18"/>
                <w:szCs w:val="18"/>
              </w:rPr>
              <w:t>2.常见氧化剂和还原剂</w:t>
            </w:r>
          </w:p>
        </w:tc>
        <w:tc>
          <w:tcPr>
            <w:tcW w:w="220" w:type="dxa"/>
            <w:vAlign w:val="top"/>
          </w:tcPr>
          <w:p w14:paraId="2850505B">
            <w:pPr>
              <w:pStyle w:val="6"/>
              <w:spacing w:before="80" w:line="238" w:lineRule="auto"/>
              <w:ind w:left="18"/>
              <w:rPr>
                <w:sz w:val="12"/>
                <w:szCs w:val="12"/>
              </w:rPr>
            </w:pPr>
            <w:r>
              <w:rPr>
                <w:sz w:val="12"/>
                <w:szCs w:val="12"/>
              </w:rPr>
              <w:t>√</w:t>
            </w:r>
          </w:p>
        </w:tc>
        <w:tc>
          <w:tcPr>
            <w:tcW w:w="229" w:type="dxa"/>
            <w:vAlign w:val="top"/>
          </w:tcPr>
          <w:p w14:paraId="3CF40ABD">
            <w:pPr>
              <w:rPr>
                <w:rFonts w:ascii="Arial"/>
                <w:sz w:val="21"/>
              </w:rPr>
            </w:pPr>
          </w:p>
        </w:tc>
        <w:tc>
          <w:tcPr>
            <w:tcW w:w="219" w:type="dxa"/>
            <w:vAlign w:val="top"/>
          </w:tcPr>
          <w:p w14:paraId="7B543804">
            <w:pPr>
              <w:rPr>
                <w:rFonts w:ascii="Arial"/>
                <w:sz w:val="21"/>
              </w:rPr>
            </w:pPr>
          </w:p>
        </w:tc>
        <w:tc>
          <w:tcPr>
            <w:tcW w:w="224" w:type="dxa"/>
            <w:vAlign w:val="top"/>
          </w:tcPr>
          <w:p w14:paraId="318E21A8">
            <w:pPr>
              <w:rPr>
                <w:rFonts w:ascii="Arial"/>
                <w:sz w:val="21"/>
              </w:rPr>
            </w:pPr>
          </w:p>
        </w:tc>
      </w:tr>
      <w:tr w14:paraId="3728F1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continue"/>
            <w:tcBorders>
              <w:top w:val="nil"/>
            </w:tcBorders>
            <w:vAlign w:val="top"/>
          </w:tcPr>
          <w:p w14:paraId="09B0200E">
            <w:pPr>
              <w:rPr>
                <w:rFonts w:ascii="Arial"/>
                <w:sz w:val="21"/>
              </w:rPr>
            </w:pPr>
          </w:p>
        </w:tc>
        <w:tc>
          <w:tcPr>
            <w:tcW w:w="2324" w:type="dxa"/>
            <w:vAlign w:val="top"/>
          </w:tcPr>
          <w:p w14:paraId="78AFA319">
            <w:pPr>
              <w:pStyle w:val="6"/>
              <w:spacing w:before="40" w:line="214" w:lineRule="auto"/>
              <w:ind w:left="62"/>
              <w:rPr>
                <w:sz w:val="18"/>
                <w:szCs w:val="18"/>
              </w:rPr>
            </w:pPr>
            <w:r>
              <w:rPr>
                <w:spacing w:val="-1"/>
                <w:sz w:val="18"/>
                <w:szCs w:val="18"/>
              </w:rPr>
              <w:t>3.氧化还原反应的表示方法</w:t>
            </w:r>
          </w:p>
        </w:tc>
        <w:tc>
          <w:tcPr>
            <w:tcW w:w="220" w:type="dxa"/>
            <w:vAlign w:val="top"/>
          </w:tcPr>
          <w:p w14:paraId="571DE956">
            <w:pPr>
              <w:rPr>
                <w:rFonts w:ascii="Arial"/>
                <w:sz w:val="21"/>
              </w:rPr>
            </w:pPr>
          </w:p>
        </w:tc>
        <w:tc>
          <w:tcPr>
            <w:tcW w:w="229" w:type="dxa"/>
            <w:vAlign w:val="top"/>
          </w:tcPr>
          <w:p w14:paraId="20AF4B64">
            <w:pPr>
              <w:rPr>
                <w:rFonts w:ascii="Arial"/>
                <w:sz w:val="21"/>
              </w:rPr>
            </w:pPr>
          </w:p>
        </w:tc>
        <w:tc>
          <w:tcPr>
            <w:tcW w:w="219" w:type="dxa"/>
            <w:vAlign w:val="top"/>
          </w:tcPr>
          <w:p w14:paraId="2A46FEA5">
            <w:pPr>
              <w:pStyle w:val="6"/>
              <w:spacing w:before="81" w:line="238" w:lineRule="auto"/>
              <w:ind w:left="49"/>
              <w:rPr>
                <w:sz w:val="12"/>
                <w:szCs w:val="12"/>
              </w:rPr>
            </w:pPr>
            <w:r>
              <w:rPr>
                <w:sz w:val="12"/>
                <w:szCs w:val="12"/>
              </w:rPr>
              <w:t>√</w:t>
            </w:r>
          </w:p>
        </w:tc>
        <w:tc>
          <w:tcPr>
            <w:tcW w:w="224" w:type="dxa"/>
            <w:vAlign w:val="top"/>
          </w:tcPr>
          <w:p w14:paraId="5D239E5F">
            <w:pPr>
              <w:rPr>
                <w:rFonts w:ascii="Arial"/>
                <w:sz w:val="21"/>
              </w:rPr>
            </w:pPr>
          </w:p>
        </w:tc>
      </w:tr>
      <w:tr w14:paraId="51E161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restart"/>
            <w:tcBorders>
              <w:bottom w:val="nil"/>
            </w:tcBorders>
            <w:vAlign w:val="top"/>
          </w:tcPr>
          <w:p w14:paraId="6F9D64D9">
            <w:pPr>
              <w:pStyle w:val="6"/>
              <w:spacing w:before="73" w:line="222" w:lineRule="auto"/>
              <w:ind w:left="254" w:right="95" w:hanging="180"/>
              <w:rPr>
                <w:sz w:val="18"/>
                <w:szCs w:val="18"/>
              </w:rPr>
            </w:pPr>
            <w:r>
              <w:rPr>
                <w:spacing w:val="-2"/>
                <w:sz w:val="18"/>
                <w:szCs w:val="18"/>
              </w:rPr>
              <w:t>化学反应</w:t>
            </w:r>
            <w:r>
              <w:rPr>
                <w:sz w:val="18"/>
                <w:szCs w:val="18"/>
              </w:rPr>
              <w:t xml:space="preserve"> </w:t>
            </w:r>
            <w:r>
              <w:rPr>
                <w:spacing w:val="-2"/>
                <w:sz w:val="18"/>
                <w:szCs w:val="18"/>
              </w:rPr>
              <w:t>速率</w:t>
            </w:r>
          </w:p>
        </w:tc>
        <w:tc>
          <w:tcPr>
            <w:tcW w:w="2324" w:type="dxa"/>
            <w:vAlign w:val="top"/>
          </w:tcPr>
          <w:p w14:paraId="04C396BB">
            <w:pPr>
              <w:pStyle w:val="6"/>
              <w:spacing w:before="42" w:line="212" w:lineRule="auto"/>
              <w:ind w:left="62"/>
              <w:rPr>
                <w:sz w:val="18"/>
                <w:szCs w:val="18"/>
              </w:rPr>
            </w:pPr>
            <w:r>
              <w:rPr>
                <w:sz w:val="18"/>
                <w:szCs w:val="18"/>
              </w:rPr>
              <w:t>1.化学反应速率的概念</w:t>
            </w:r>
          </w:p>
        </w:tc>
        <w:tc>
          <w:tcPr>
            <w:tcW w:w="220" w:type="dxa"/>
            <w:vAlign w:val="top"/>
          </w:tcPr>
          <w:p w14:paraId="197102DC">
            <w:pPr>
              <w:pStyle w:val="6"/>
              <w:spacing w:before="82" w:line="238" w:lineRule="auto"/>
              <w:ind w:left="18"/>
              <w:rPr>
                <w:sz w:val="12"/>
                <w:szCs w:val="12"/>
              </w:rPr>
            </w:pPr>
            <w:r>
              <w:rPr>
                <w:sz w:val="12"/>
                <w:szCs w:val="12"/>
              </w:rPr>
              <w:t>√</w:t>
            </w:r>
          </w:p>
        </w:tc>
        <w:tc>
          <w:tcPr>
            <w:tcW w:w="229" w:type="dxa"/>
            <w:vAlign w:val="top"/>
          </w:tcPr>
          <w:p w14:paraId="3CF299E5">
            <w:pPr>
              <w:rPr>
                <w:rFonts w:ascii="Arial"/>
                <w:sz w:val="21"/>
              </w:rPr>
            </w:pPr>
          </w:p>
        </w:tc>
        <w:tc>
          <w:tcPr>
            <w:tcW w:w="219" w:type="dxa"/>
            <w:vAlign w:val="top"/>
          </w:tcPr>
          <w:p w14:paraId="71DAE509">
            <w:pPr>
              <w:rPr>
                <w:rFonts w:ascii="Arial"/>
                <w:sz w:val="21"/>
              </w:rPr>
            </w:pPr>
          </w:p>
        </w:tc>
        <w:tc>
          <w:tcPr>
            <w:tcW w:w="224" w:type="dxa"/>
            <w:vAlign w:val="top"/>
          </w:tcPr>
          <w:p w14:paraId="1B97590F">
            <w:pPr>
              <w:rPr>
                <w:rFonts w:ascii="Arial"/>
                <w:sz w:val="21"/>
              </w:rPr>
            </w:pPr>
          </w:p>
        </w:tc>
      </w:tr>
      <w:tr w14:paraId="665A94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continue"/>
            <w:tcBorders>
              <w:top w:val="nil"/>
            </w:tcBorders>
            <w:vAlign w:val="top"/>
          </w:tcPr>
          <w:p w14:paraId="598A51C8">
            <w:pPr>
              <w:rPr>
                <w:rFonts w:ascii="Arial"/>
                <w:sz w:val="21"/>
              </w:rPr>
            </w:pPr>
          </w:p>
        </w:tc>
        <w:tc>
          <w:tcPr>
            <w:tcW w:w="2324" w:type="dxa"/>
            <w:vAlign w:val="top"/>
          </w:tcPr>
          <w:p w14:paraId="0339997E">
            <w:pPr>
              <w:pStyle w:val="6"/>
              <w:spacing w:before="43" w:line="211" w:lineRule="auto"/>
              <w:ind w:left="62"/>
              <w:rPr>
                <w:sz w:val="18"/>
                <w:szCs w:val="18"/>
              </w:rPr>
            </w:pPr>
            <w:r>
              <w:rPr>
                <w:spacing w:val="-1"/>
                <w:sz w:val="18"/>
                <w:szCs w:val="18"/>
              </w:rPr>
              <w:t>2.化学反应速率的影响因素</w:t>
            </w:r>
          </w:p>
        </w:tc>
        <w:tc>
          <w:tcPr>
            <w:tcW w:w="220" w:type="dxa"/>
            <w:vAlign w:val="top"/>
          </w:tcPr>
          <w:p w14:paraId="70C0B46F">
            <w:pPr>
              <w:rPr>
                <w:rFonts w:ascii="Arial"/>
                <w:sz w:val="21"/>
              </w:rPr>
            </w:pPr>
          </w:p>
        </w:tc>
        <w:tc>
          <w:tcPr>
            <w:tcW w:w="229" w:type="dxa"/>
            <w:vAlign w:val="top"/>
          </w:tcPr>
          <w:p w14:paraId="7A0D3772">
            <w:pPr>
              <w:rPr>
                <w:rFonts w:ascii="Arial"/>
                <w:sz w:val="21"/>
              </w:rPr>
            </w:pPr>
          </w:p>
        </w:tc>
        <w:tc>
          <w:tcPr>
            <w:tcW w:w="219" w:type="dxa"/>
            <w:vAlign w:val="top"/>
          </w:tcPr>
          <w:p w14:paraId="4F6CA934">
            <w:pPr>
              <w:pStyle w:val="6"/>
              <w:spacing w:before="91" w:line="162" w:lineRule="auto"/>
              <w:ind w:left="18"/>
              <w:rPr>
                <w:sz w:val="18"/>
                <w:szCs w:val="18"/>
              </w:rPr>
            </w:pPr>
            <w:r>
              <w:rPr>
                <w:sz w:val="18"/>
                <w:szCs w:val="18"/>
              </w:rPr>
              <w:t>V</w:t>
            </w:r>
          </w:p>
        </w:tc>
        <w:tc>
          <w:tcPr>
            <w:tcW w:w="224" w:type="dxa"/>
            <w:vAlign w:val="top"/>
          </w:tcPr>
          <w:p w14:paraId="28E22333">
            <w:pPr>
              <w:rPr>
                <w:rFonts w:ascii="Arial"/>
                <w:sz w:val="21"/>
              </w:rPr>
            </w:pPr>
          </w:p>
        </w:tc>
      </w:tr>
      <w:tr w14:paraId="4AD2AF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restart"/>
            <w:tcBorders>
              <w:bottom w:val="nil"/>
            </w:tcBorders>
            <w:vAlign w:val="top"/>
          </w:tcPr>
          <w:p w14:paraId="4FBA7289">
            <w:pPr>
              <w:spacing w:line="254" w:lineRule="auto"/>
              <w:rPr>
                <w:rFonts w:ascii="Arial"/>
                <w:sz w:val="21"/>
              </w:rPr>
            </w:pPr>
          </w:p>
          <w:p w14:paraId="1B4CFB0A">
            <w:pPr>
              <w:pStyle w:val="6"/>
              <w:spacing w:before="59" w:line="220" w:lineRule="auto"/>
              <w:ind w:left="74"/>
              <w:rPr>
                <w:sz w:val="18"/>
                <w:szCs w:val="18"/>
              </w:rPr>
            </w:pPr>
            <w:r>
              <w:rPr>
                <w:spacing w:val="-2"/>
                <w:sz w:val="18"/>
                <w:szCs w:val="18"/>
              </w:rPr>
              <w:t>化学平衡</w:t>
            </w:r>
          </w:p>
        </w:tc>
        <w:tc>
          <w:tcPr>
            <w:tcW w:w="2324" w:type="dxa"/>
            <w:vAlign w:val="top"/>
          </w:tcPr>
          <w:p w14:paraId="0726D20E">
            <w:pPr>
              <w:pStyle w:val="6"/>
              <w:spacing w:before="45" w:line="209" w:lineRule="auto"/>
              <w:ind w:left="62"/>
              <w:rPr>
                <w:sz w:val="18"/>
                <w:szCs w:val="18"/>
              </w:rPr>
            </w:pPr>
            <w:r>
              <w:rPr>
                <w:sz w:val="18"/>
                <w:szCs w:val="18"/>
              </w:rPr>
              <w:t>1.吸热反应与放热反应</w:t>
            </w:r>
          </w:p>
        </w:tc>
        <w:tc>
          <w:tcPr>
            <w:tcW w:w="220" w:type="dxa"/>
            <w:vAlign w:val="top"/>
          </w:tcPr>
          <w:p w14:paraId="65E4062B">
            <w:pPr>
              <w:pStyle w:val="6"/>
              <w:spacing w:before="84" w:line="238" w:lineRule="auto"/>
              <w:ind w:left="18"/>
              <w:rPr>
                <w:sz w:val="12"/>
                <w:szCs w:val="12"/>
              </w:rPr>
            </w:pPr>
            <w:r>
              <w:rPr>
                <w:sz w:val="12"/>
                <w:szCs w:val="12"/>
              </w:rPr>
              <w:t>√</w:t>
            </w:r>
          </w:p>
        </w:tc>
        <w:tc>
          <w:tcPr>
            <w:tcW w:w="229" w:type="dxa"/>
            <w:vAlign w:val="top"/>
          </w:tcPr>
          <w:p w14:paraId="759E25D5">
            <w:pPr>
              <w:rPr>
                <w:rFonts w:ascii="Arial"/>
                <w:sz w:val="21"/>
              </w:rPr>
            </w:pPr>
          </w:p>
        </w:tc>
        <w:tc>
          <w:tcPr>
            <w:tcW w:w="219" w:type="dxa"/>
            <w:vAlign w:val="top"/>
          </w:tcPr>
          <w:p w14:paraId="23D55CC5">
            <w:pPr>
              <w:rPr>
                <w:rFonts w:ascii="Arial"/>
                <w:sz w:val="21"/>
              </w:rPr>
            </w:pPr>
          </w:p>
        </w:tc>
        <w:tc>
          <w:tcPr>
            <w:tcW w:w="224" w:type="dxa"/>
            <w:vAlign w:val="top"/>
          </w:tcPr>
          <w:p w14:paraId="41FB627B">
            <w:pPr>
              <w:rPr>
                <w:rFonts w:ascii="Arial"/>
                <w:sz w:val="21"/>
              </w:rPr>
            </w:pPr>
          </w:p>
        </w:tc>
      </w:tr>
      <w:tr w14:paraId="503C3C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continue"/>
            <w:tcBorders>
              <w:top w:val="nil"/>
              <w:bottom w:val="nil"/>
            </w:tcBorders>
            <w:vAlign w:val="top"/>
          </w:tcPr>
          <w:p w14:paraId="27BF1043">
            <w:pPr>
              <w:rPr>
                <w:rFonts w:ascii="Arial"/>
                <w:sz w:val="21"/>
              </w:rPr>
            </w:pPr>
          </w:p>
        </w:tc>
        <w:tc>
          <w:tcPr>
            <w:tcW w:w="2324" w:type="dxa"/>
            <w:vAlign w:val="top"/>
          </w:tcPr>
          <w:p w14:paraId="58100248">
            <w:pPr>
              <w:pStyle w:val="6"/>
              <w:spacing w:before="46" w:line="208" w:lineRule="auto"/>
              <w:ind w:left="62"/>
              <w:rPr>
                <w:sz w:val="18"/>
                <w:szCs w:val="18"/>
              </w:rPr>
            </w:pPr>
            <w:r>
              <w:rPr>
                <w:spacing w:val="-1"/>
                <w:sz w:val="18"/>
                <w:szCs w:val="18"/>
              </w:rPr>
              <w:t>2.可逆反应与不可逆反应</w:t>
            </w:r>
          </w:p>
        </w:tc>
        <w:tc>
          <w:tcPr>
            <w:tcW w:w="220" w:type="dxa"/>
            <w:vAlign w:val="top"/>
          </w:tcPr>
          <w:p w14:paraId="7EFE3A83">
            <w:pPr>
              <w:pStyle w:val="6"/>
              <w:spacing w:before="84" w:line="238" w:lineRule="auto"/>
              <w:ind w:left="18"/>
              <w:rPr>
                <w:sz w:val="12"/>
                <w:szCs w:val="12"/>
              </w:rPr>
            </w:pPr>
            <w:r>
              <w:rPr>
                <w:sz w:val="12"/>
                <w:szCs w:val="12"/>
              </w:rPr>
              <w:t>√</w:t>
            </w:r>
          </w:p>
        </w:tc>
        <w:tc>
          <w:tcPr>
            <w:tcW w:w="229" w:type="dxa"/>
            <w:vAlign w:val="top"/>
          </w:tcPr>
          <w:p w14:paraId="3CDEFCD0">
            <w:pPr>
              <w:rPr>
                <w:rFonts w:ascii="Arial"/>
                <w:sz w:val="21"/>
              </w:rPr>
            </w:pPr>
          </w:p>
        </w:tc>
        <w:tc>
          <w:tcPr>
            <w:tcW w:w="219" w:type="dxa"/>
            <w:vAlign w:val="top"/>
          </w:tcPr>
          <w:p w14:paraId="09CB4021">
            <w:pPr>
              <w:rPr>
                <w:rFonts w:ascii="Arial"/>
                <w:sz w:val="21"/>
              </w:rPr>
            </w:pPr>
          </w:p>
        </w:tc>
        <w:tc>
          <w:tcPr>
            <w:tcW w:w="224" w:type="dxa"/>
            <w:vAlign w:val="top"/>
          </w:tcPr>
          <w:p w14:paraId="5035A665">
            <w:pPr>
              <w:rPr>
                <w:rFonts w:ascii="Arial"/>
                <w:sz w:val="21"/>
              </w:rPr>
            </w:pPr>
          </w:p>
        </w:tc>
      </w:tr>
      <w:tr w14:paraId="5B1467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4" w:hRule="atLeast"/>
        </w:trPr>
        <w:tc>
          <w:tcPr>
            <w:tcW w:w="893" w:type="dxa"/>
            <w:vMerge w:val="continue"/>
            <w:tcBorders>
              <w:top w:val="nil"/>
            </w:tcBorders>
            <w:vAlign w:val="top"/>
          </w:tcPr>
          <w:p w14:paraId="30C85BF7">
            <w:pPr>
              <w:rPr>
                <w:rFonts w:ascii="Arial"/>
                <w:sz w:val="21"/>
              </w:rPr>
            </w:pPr>
          </w:p>
        </w:tc>
        <w:tc>
          <w:tcPr>
            <w:tcW w:w="2324" w:type="dxa"/>
            <w:vAlign w:val="top"/>
          </w:tcPr>
          <w:p w14:paraId="4688E03C">
            <w:pPr>
              <w:pStyle w:val="6"/>
              <w:spacing w:before="46" w:line="213" w:lineRule="auto"/>
              <w:ind w:left="62"/>
              <w:rPr>
                <w:sz w:val="18"/>
                <w:szCs w:val="18"/>
              </w:rPr>
            </w:pPr>
            <w:r>
              <w:rPr>
                <w:spacing w:val="-1"/>
                <w:sz w:val="18"/>
                <w:szCs w:val="18"/>
              </w:rPr>
              <w:t>3.化学平衡及其影响因素</w:t>
            </w:r>
          </w:p>
        </w:tc>
        <w:tc>
          <w:tcPr>
            <w:tcW w:w="220" w:type="dxa"/>
            <w:vAlign w:val="top"/>
          </w:tcPr>
          <w:p w14:paraId="7A700898">
            <w:pPr>
              <w:rPr>
                <w:rFonts w:ascii="Arial"/>
                <w:sz w:val="21"/>
              </w:rPr>
            </w:pPr>
          </w:p>
        </w:tc>
        <w:tc>
          <w:tcPr>
            <w:tcW w:w="229" w:type="dxa"/>
            <w:vAlign w:val="top"/>
          </w:tcPr>
          <w:p w14:paraId="08C1C794">
            <w:pPr>
              <w:rPr>
                <w:rFonts w:ascii="Arial"/>
                <w:sz w:val="21"/>
              </w:rPr>
            </w:pPr>
          </w:p>
        </w:tc>
        <w:tc>
          <w:tcPr>
            <w:tcW w:w="219" w:type="dxa"/>
            <w:vAlign w:val="top"/>
          </w:tcPr>
          <w:p w14:paraId="06F2C18C">
            <w:pPr>
              <w:pStyle w:val="6"/>
              <w:spacing w:before="94" w:line="164" w:lineRule="auto"/>
              <w:ind w:left="59"/>
              <w:rPr>
                <w:sz w:val="18"/>
                <w:szCs w:val="18"/>
              </w:rPr>
            </w:pPr>
            <w:r>
              <w:rPr>
                <w:sz w:val="18"/>
                <w:szCs w:val="18"/>
              </w:rPr>
              <w:t>V</w:t>
            </w:r>
          </w:p>
        </w:tc>
        <w:tc>
          <w:tcPr>
            <w:tcW w:w="224" w:type="dxa"/>
            <w:vAlign w:val="top"/>
          </w:tcPr>
          <w:p w14:paraId="77450A3C">
            <w:pPr>
              <w:rPr>
                <w:rFonts w:ascii="Arial"/>
                <w:sz w:val="21"/>
              </w:rPr>
            </w:pPr>
          </w:p>
        </w:tc>
      </w:tr>
    </w:tbl>
    <w:p w14:paraId="631F7609">
      <w:pPr>
        <w:pStyle w:val="2"/>
      </w:pPr>
    </w:p>
    <w:p w14:paraId="3807456E">
      <w:pPr>
        <w:pStyle w:val="2"/>
        <w:spacing w:line="14" w:lineRule="auto"/>
        <w:rPr>
          <w:sz w:val="2"/>
        </w:rPr>
      </w:pPr>
      <w:r>
        <w:rPr>
          <w:sz w:val="2"/>
          <w:szCs w:val="2"/>
        </w:rPr>
        <w:br w:type="column"/>
      </w:r>
    </w:p>
    <w:p w14:paraId="5219028C">
      <w:pPr>
        <w:spacing w:before="39" w:line="221" w:lineRule="auto"/>
        <w:ind w:left="677"/>
        <w:rPr>
          <w:rFonts w:ascii="黑体" w:hAnsi="黑体" w:eastAsia="黑体" w:cs="黑体"/>
          <w:sz w:val="20"/>
          <w:szCs w:val="20"/>
        </w:rPr>
      </w:pPr>
      <w:r>
        <w:rPr>
          <w:rFonts w:ascii="黑体" w:hAnsi="黑体" w:eastAsia="黑体" w:cs="黑体"/>
          <w:b/>
          <w:bCs/>
          <w:spacing w:val="-4"/>
          <w:sz w:val="20"/>
          <w:szCs w:val="20"/>
        </w:rPr>
        <w:t>三、溶液与水溶液中的离子反应</w:t>
      </w:r>
    </w:p>
    <w:p w14:paraId="0D22AF56">
      <w:pPr>
        <w:spacing w:line="91" w:lineRule="exact"/>
      </w:pPr>
    </w:p>
    <w:tbl>
      <w:tblPr>
        <w:tblStyle w:val="5"/>
        <w:tblW w:w="4110" w:type="dxa"/>
        <w:tblInd w:w="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14"/>
        <w:gridCol w:w="229"/>
        <w:gridCol w:w="220"/>
        <w:gridCol w:w="230"/>
        <w:gridCol w:w="224"/>
      </w:tblGrid>
      <w:tr w14:paraId="64689A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4" w:hRule="atLeast"/>
        </w:trPr>
        <w:tc>
          <w:tcPr>
            <w:tcW w:w="893" w:type="dxa"/>
            <w:vMerge w:val="restart"/>
            <w:tcBorders>
              <w:bottom w:val="nil"/>
            </w:tcBorders>
            <w:vAlign w:val="top"/>
          </w:tcPr>
          <w:p w14:paraId="6545ACB2">
            <w:pPr>
              <w:pStyle w:val="6"/>
              <w:spacing w:before="142" w:line="229" w:lineRule="auto"/>
              <w:ind w:left="97" w:right="112" w:firstLine="90"/>
            </w:pPr>
            <w:r>
              <w:rPr>
                <w:b/>
                <w:bCs/>
                <w:spacing w:val="-6"/>
              </w:rPr>
              <w:t>知识与</w:t>
            </w:r>
            <w:r>
              <w:t xml:space="preserve">  </w:t>
            </w:r>
            <w:r>
              <w:rPr>
                <w:b/>
                <w:bCs/>
                <w:spacing w:val="-4"/>
              </w:rPr>
              <w:t>技能要点</w:t>
            </w:r>
          </w:p>
        </w:tc>
        <w:tc>
          <w:tcPr>
            <w:tcW w:w="2314" w:type="dxa"/>
            <w:vMerge w:val="restart"/>
            <w:tcBorders>
              <w:bottom w:val="nil"/>
            </w:tcBorders>
            <w:vAlign w:val="top"/>
          </w:tcPr>
          <w:p w14:paraId="23835066">
            <w:pPr>
              <w:pStyle w:val="6"/>
              <w:spacing w:before="249" w:line="219" w:lineRule="auto"/>
              <w:ind w:left="844"/>
            </w:pPr>
            <w:r>
              <w:rPr>
                <w:b/>
                <w:bCs/>
                <w:spacing w:val="5"/>
              </w:rPr>
              <w:t>考试条目</w:t>
            </w:r>
          </w:p>
        </w:tc>
        <w:tc>
          <w:tcPr>
            <w:tcW w:w="903" w:type="dxa"/>
            <w:gridSpan w:val="4"/>
            <w:vAlign w:val="top"/>
          </w:tcPr>
          <w:p w14:paraId="7DB5EE89">
            <w:pPr>
              <w:pStyle w:val="6"/>
              <w:spacing w:before="79" w:line="219" w:lineRule="auto"/>
              <w:ind w:left="140"/>
            </w:pPr>
            <w:r>
              <w:rPr>
                <w:b/>
                <w:bCs/>
                <w:spacing w:val="-4"/>
              </w:rPr>
              <w:t>考试水平</w:t>
            </w:r>
          </w:p>
        </w:tc>
      </w:tr>
      <w:tr w14:paraId="65985E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9" w:hRule="atLeast"/>
        </w:trPr>
        <w:tc>
          <w:tcPr>
            <w:tcW w:w="893" w:type="dxa"/>
            <w:vMerge w:val="continue"/>
            <w:tcBorders>
              <w:top w:val="nil"/>
            </w:tcBorders>
            <w:vAlign w:val="top"/>
          </w:tcPr>
          <w:p w14:paraId="39A87E26">
            <w:pPr>
              <w:rPr>
                <w:rFonts w:ascii="Arial"/>
                <w:sz w:val="21"/>
              </w:rPr>
            </w:pPr>
          </w:p>
        </w:tc>
        <w:tc>
          <w:tcPr>
            <w:tcW w:w="2314" w:type="dxa"/>
            <w:vMerge w:val="continue"/>
            <w:tcBorders>
              <w:top w:val="nil"/>
            </w:tcBorders>
            <w:vAlign w:val="top"/>
          </w:tcPr>
          <w:p w14:paraId="1D8EC1FF">
            <w:pPr>
              <w:rPr>
                <w:rFonts w:ascii="Arial"/>
                <w:sz w:val="21"/>
              </w:rPr>
            </w:pPr>
          </w:p>
        </w:tc>
        <w:tc>
          <w:tcPr>
            <w:tcW w:w="229" w:type="dxa"/>
            <w:vAlign w:val="top"/>
          </w:tcPr>
          <w:p w14:paraId="27842BFA">
            <w:pPr>
              <w:pStyle w:val="6"/>
              <w:spacing w:before="120" w:line="184" w:lineRule="auto"/>
              <w:ind w:left="70"/>
            </w:pPr>
            <w:r>
              <w:rPr>
                <w:b/>
                <w:bCs/>
                <w:spacing w:val="-2"/>
              </w:rPr>
              <w:t>A</w:t>
            </w:r>
          </w:p>
        </w:tc>
        <w:tc>
          <w:tcPr>
            <w:tcW w:w="220" w:type="dxa"/>
            <w:vAlign w:val="top"/>
          </w:tcPr>
          <w:p w14:paraId="2A07AA09">
            <w:pPr>
              <w:pStyle w:val="6"/>
              <w:spacing w:before="122" w:line="182" w:lineRule="auto"/>
              <w:ind w:left="61"/>
            </w:pPr>
            <w:r>
              <w:rPr>
                <w:b/>
                <w:bCs/>
                <w:spacing w:val="-2"/>
              </w:rPr>
              <w:t>B</w:t>
            </w:r>
          </w:p>
        </w:tc>
        <w:tc>
          <w:tcPr>
            <w:tcW w:w="230" w:type="dxa"/>
            <w:vAlign w:val="top"/>
          </w:tcPr>
          <w:p w14:paraId="13ABAB52">
            <w:pPr>
              <w:pStyle w:val="6"/>
              <w:spacing w:before="120" w:line="183" w:lineRule="auto"/>
              <w:ind w:left="21"/>
            </w:pPr>
            <w:r>
              <w:rPr>
                <w:b/>
                <w:bCs/>
                <w:spacing w:val="-2"/>
              </w:rPr>
              <w:t>C</w:t>
            </w:r>
          </w:p>
        </w:tc>
        <w:tc>
          <w:tcPr>
            <w:tcW w:w="224" w:type="dxa"/>
            <w:vAlign w:val="top"/>
          </w:tcPr>
          <w:p w14:paraId="4BF80635">
            <w:pPr>
              <w:pStyle w:val="6"/>
              <w:spacing w:before="122" w:line="182" w:lineRule="auto"/>
              <w:ind w:left="61"/>
            </w:pPr>
            <w:r>
              <w:rPr>
                <w:b/>
                <w:bCs/>
                <w:spacing w:val="-2"/>
              </w:rPr>
              <w:t>D</w:t>
            </w:r>
          </w:p>
        </w:tc>
      </w:tr>
      <w:tr w14:paraId="7B99AF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restart"/>
            <w:tcBorders>
              <w:bottom w:val="nil"/>
            </w:tcBorders>
            <w:vAlign w:val="top"/>
          </w:tcPr>
          <w:p w14:paraId="0A9572ED">
            <w:pPr>
              <w:pStyle w:val="6"/>
              <w:spacing w:before="98" w:line="232" w:lineRule="auto"/>
              <w:ind w:left="353" w:right="116" w:hanging="259"/>
            </w:pPr>
            <w:r>
              <w:rPr>
                <w:spacing w:val="-3"/>
              </w:rPr>
              <w:t>溶液组成</w:t>
            </w:r>
            <w:r>
              <w:rPr>
                <w:spacing w:val="2"/>
              </w:rPr>
              <w:t xml:space="preserve"> </w:t>
            </w:r>
            <w:r>
              <w:t>的</w:t>
            </w:r>
          </w:p>
          <w:p w14:paraId="2DDEDBF7">
            <w:pPr>
              <w:pStyle w:val="6"/>
              <w:spacing w:before="23" w:line="221" w:lineRule="auto"/>
              <w:ind w:left="94"/>
            </w:pPr>
            <w:r>
              <w:rPr>
                <w:spacing w:val="-2"/>
              </w:rPr>
              <w:t>表示方法</w:t>
            </w:r>
          </w:p>
        </w:tc>
        <w:tc>
          <w:tcPr>
            <w:tcW w:w="2314" w:type="dxa"/>
            <w:vAlign w:val="top"/>
          </w:tcPr>
          <w:p w14:paraId="75D77892">
            <w:pPr>
              <w:pStyle w:val="6"/>
              <w:spacing w:before="49" w:line="217" w:lineRule="auto"/>
              <w:ind w:left="52"/>
            </w:pPr>
            <w:r>
              <w:rPr>
                <w:spacing w:val="1"/>
              </w:rPr>
              <w:t>1.物质的量n</w:t>
            </w:r>
          </w:p>
        </w:tc>
        <w:tc>
          <w:tcPr>
            <w:tcW w:w="229" w:type="dxa"/>
            <w:vAlign w:val="top"/>
          </w:tcPr>
          <w:p w14:paraId="045F731A">
            <w:pPr>
              <w:rPr>
                <w:rFonts w:ascii="Arial"/>
                <w:sz w:val="21"/>
              </w:rPr>
            </w:pPr>
          </w:p>
        </w:tc>
        <w:tc>
          <w:tcPr>
            <w:tcW w:w="220" w:type="dxa"/>
            <w:vAlign w:val="top"/>
          </w:tcPr>
          <w:p w14:paraId="7F5D0094">
            <w:pPr>
              <w:rPr>
                <w:rFonts w:ascii="Arial"/>
                <w:sz w:val="21"/>
              </w:rPr>
            </w:pPr>
          </w:p>
        </w:tc>
        <w:tc>
          <w:tcPr>
            <w:tcW w:w="230" w:type="dxa"/>
            <w:vAlign w:val="top"/>
          </w:tcPr>
          <w:p w14:paraId="18D7690F">
            <w:pPr>
              <w:pStyle w:val="6"/>
              <w:spacing w:before="65" w:line="199" w:lineRule="auto"/>
              <w:ind w:left="19"/>
            </w:pPr>
            <w:r>
              <w:t>√</w:t>
            </w:r>
          </w:p>
        </w:tc>
        <w:tc>
          <w:tcPr>
            <w:tcW w:w="224" w:type="dxa"/>
            <w:vAlign w:val="top"/>
          </w:tcPr>
          <w:p w14:paraId="56E5A349">
            <w:pPr>
              <w:rPr>
                <w:rFonts w:ascii="Arial"/>
                <w:sz w:val="21"/>
              </w:rPr>
            </w:pPr>
          </w:p>
        </w:tc>
      </w:tr>
      <w:tr w14:paraId="5BD256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continue"/>
            <w:tcBorders>
              <w:top w:val="nil"/>
              <w:bottom w:val="nil"/>
            </w:tcBorders>
            <w:vAlign w:val="top"/>
          </w:tcPr>
          <w:p w14:paraId="6BD5C79B">
            <w:pPr>
              <w:rPr>
                <w:rFonts w:ascii="Arial"/>
                <w:sz w:val="21"/>
              </w:rPr>
            </w:pPr>
          </w:p>
        </w:tc>
        <w:tc>
          <w:tcPr>
            <w:tcW w:w="2314" w:type="dxa"/>
            <w:vAlign w:val="top"/>
          </w:tcPr>
          <w:p w14:paraId="75DF2154">
            <w:pPr>
              <w:pStyle w:val="6"/>
              <w:spacing w:before="50" w:line="216" w:lineRule="auto"/>
              <w:ind w:left="52"/>
            </w:pPr>
            <w:r>
              <w:rPr>
                <w:spacing w:val="14"/>
              </w:rPr>
              <w:t>2</w:t>
            </w:r>
            <w:r>
              <w:rPr>
                <w:spacing w:val="-37"/>
              </w:rPr>
              <w:t xml:space="preserve"> </w:t>
            </w:r>
            <w:r>
              <w:rPr>
                <w:spacing w:val="14"/>
              </w:rPr>
              <w:t>.</w:t>
            </w:r>
            <w:r>
              <w:rPr>
                <w:spacing w:val="-45"/>
              </w:rPr>
              <w:t xml:space="preserve"> </w:t>
            </w:r>
            <w:r>
              <w:rPr>
                <w:spacing w:val="14"/>
              </w:rPr>
              <w:t>摩尔质量M</w:t>
            </w:r>
          </w:p>
        </w:tc>
        <w:tc>
          <w:tcPr>
            <w:tcW w:w="229" w:type="dxa"/>
            <w:vAlign w:val="top"/>
          </w:tcPr>
          <w:p w14:paraId="54646224">
            <w:pPr>
              <w:rPr>
                <w:rFonts w:ascii="Arial"/>
                <w:sz w:val="21"/>
              </w:rPr>
            </w:pPr>
          </w:p>
        </w:tc>
        <w:tc>
          <w:tcPr>
            <w:tcW w:w="220" w:type="dxa"/>
            <w:vAlign w:val="top"/>
          </w:tcPr>
          <w:p w14:paraId="5B845D74">
            <w:pPr>
              <w:rPr>
                <w:rFonts w:ascii="Arial"/>
                <w:sz w:val="21"/>
              </w:rPr>
            </w:pPr>
          </w:p>
        </w:tc>
        <w:tc>
          <w:tcPr>
            <w:tcW w:w="230" w:type="dxa"/>
            <w:vAlign w:val="top"/>
          </w:tcPr>
          <w:p w14:paraId="0D10CCE1">
            <w:pPr>
              <w:pStyle w:val="6"/>
              <w:spacing w:before="66" w:line="198" w:lineRule="auto"/>
              <w:ind w:left="19"/>
            </w:pPr>
            <w:r>
              <w:t>√</w:t>
            </w:r>
          </w:p>
        </w:tc>
        <w:tc>
          <w:tcPr>
            <w:tcW w:w="224" w:type="dxa"/>
            <w:vAlign w:val="top"/>
          </w:tcPr>
          <w:p w14:paraId="02A610A6">
            <w:pPr>
              <w:rPr>
                <w:rFonts w:ascii="Arial"/>
                <w:sz w:val="21"/>
              </w:rPr>
            </w:pPr>
          </w:p>
        </w:tc>
      </w:tr>
      <w:tr w14:paraId="0C9690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continue"/>
            <w:tcBorders>
              <w:top w:val="nil"/>
            </w:tcBorders>
            <w:vAlign w:val="top"/>
          </w:tcPr>
          <w:p w14:paraId="13009FAE">
            <w:pPr>
              <w:rPr>
                <w:rFonts w:ascii="Arial"/>
                <w:sz w:val="21"/>
              </w:rPr>
            </w:pPr>
          </w:p>
        </w:tc>
        <w:tc>
          <w:tcPr>
            <w:tcW w:w="2314" w:type="dxa"/>
            <w:vAlign w:val="top"/>
          </w:tcPr>
          <w:p w14:paraId="456BA761">
            <w:pPr>
              <w:pStyle w:val="6"/>
              <w:spacing w:before="51" w:line="214" w:lineRule="auto"/>
              <w:ind w:left="52"/>
            </w:pPr>
            <w:r>
              <w:rPr>
                <w:spacing w:val="1"/>
              </w:rPr>
              <w:t>3.物质的量浓度c</w:t>
            </w:r>
          </w:p>
        </w:tc>
        <w:tc>
          <w:tcPr>
            <w:tcW w:w="229" w:type="dxa"/>
            <w:vAlign w:val="top"/>
          </w:tcPr>
          <w:p w14:paraId="04DD8587">
            <w:pPr>
              <w:rPr>
                <w:rFonts w:ascii="Arial"/>
                <w:sz w:val="21"/>
              </w:rPr>
            </w:pPr>
          </w:p>
        </w:tc>
        <w:tc>
          <w:tcPr>
            <w:tcW w:w="220" w:type="dxa"/>
            <w:vAlign w:val="top"/>
          </w:tcPr>
          <w:p w14:paraId="3F46C5F6">
            <w:pPr>
              <w:rPr>
                <w:rFonts w:ascii="Arial"/>
                <w:sz w:val="21"/>
              </w:rPr>
            </w:pPr>
          </w:p>
        </w:tc>
        <w:tc>
          <w:tcPr>
            <w:tcW w:w="230" w:type="dxa"/>
            <w:vAlign w:val="top"/>
          </w:tcPr>
          <w:p w14:paraId="6D3AE8CB">
            <w:pPr>
              <w:rPr>
                <w:rFonts w:ascii="Arial"/>
                <w:sz w:val="21"/>
              </w:rPr>
            </w:pPr>
          </w:p>
        </w:tc>
        <w:tc>
          <w:tcPr>
            <w:tcW w:w="224" w:type="dxa"/>
            <w:vAlign w:val="top"/>
          </w:tcPr>
          <w:p w14:paraId="5FE2CF02">
            <w:pPr>
              <w:pStyle w:val="6"/>
              <w:spacing w:before="96" w:line="166" w:lineRule="auto"/>
              <w:ind w:left="59"/>
            </w:pPr>
            <w:r>
              <w:t>V</w:t>
            </w:r>
          </w:p>
        </w:tc>
      </w:tr>
      <w:tr w14:paraId="54B8CC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restart"/>
            <w:tcBorders>
              <w:bottom w:val="nil"/>
            </w:tcBorders>
            <w:vAlign w:val="top"/>
          </w:tcPr>
          <w:p w14:paraId="1F6D3BFE">
            <w:pPr>
              <w:pStyle w:val="6"/>
              <w:spacing w:before="82" w:line="224" w:lineRule="auto"/>
              <w:ind w:left="94" w:right="98"/>
            </w:pPr>
            <w:r>
              <w:rPr>
                <w:spacing w:val="2"/>
              </w:rPr>
              <w:t>电解质及</w:t>
            </w:r>
            <w:r>
              <w:t xml:space="preserve"> </w:t>
            </w:r>
            <w:r>
              <w:rPr>
                <w:spacing w:val="-2"/>
              </w:rPr>
              <w:t>解离平衡</w:t>
            </w:r>
          </w:p>
        </w:tc>
        <w:tc>
          <w:tcPr>
            <w:tcW w:w="2314" w:type="dxa"/>
            <w:vAlign w:val="top"/>
          </w:tcPr>
          <w:p w14:paraId="474A09D9">
            <w:pPr>
              <w:pStyle w:val="6"/>
              <w:spacing w:before="52" w:line="213" w:lineRule="auto"/>
              <w:ind w:left="52"/>
            </w:pPr>
            <w:r>
              <w:rPr>
                <w:spacing w:val="1"/>
              </w:rPr>
              <w:t>1.强电解质和弱电解质</w:t>
            </w:r>
          </w:p>
        </w:tc>
        <w:tc>
          <w:tcPr>
            <w:tcW w:w="229" w:type="dxa"/>
            <w:vAlign w:val="top"/>
          </w:tcPr>
          <w:p w14:paraId="43F2C01C">
            <w:pPr>
              <w:pStyle w:val="6"/>
              <w:spacing w:before="69" w:line="195" w:lineRule="auto"/>
              <w:ind w:left="28"/>
            </w:pPr>
            <w:r>
              <w:t>√</w:t>
            </w:r>
          </w:p>
        </w:tc>
        <w:tc>
          <w:tcPr>
            <w:tcW w:w="220" w:type="dxa"/>
            <w:vAlign w:val="top"/>
          </w:tcPr>
          <w:p w14:paraId="147B62E6">
            <w:pPr>
              <w:rPr>
                <w:rFonts w:ascii="Arial"/>
                <w:sz w:val="21"/>
              </w:rPr>
            </w:pPr>
          </w:p>
        </w:tc>
        <w:tc>
          <w:tcPr>
            <w:tcW w:w="230" w:type="dxa"/>
            <w:vAlign w:val="top"/>
          </w:tcPr>
          <w:p w14:paraId="6757FB04">
            <w:pPr>
              <w:rPr>
                <w:rFonts w:ascii="Arial"/>
                <w:sz w:val="21"/>
              </w:rPr>
            </w:pPr>
          </w:p>
        </w:tc>
        <w:tc>
          <w:tcPr>
            <w:tcW w:w="224" w:type="dxa"/>
            <w:vAlign w:val="top"/>
          </w:tcPr>
          <w:p w14:paraId="7581D394">
            <w:pPr>
              <w:rPr>
                <w:rFonts w:ascii="Arial"/>
                <w:sz w:val="21"/>
              </w:rPr>
            </w:pPr>
          </w:p>
        </w:tc>
      </w:tr>
      <w:tr w14:paraId="68F8DC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continue"/>
            <w:tcBorders>
              <w:top w:val="nil"/>
            </w:tcBorders>
            <w:vAlign w:val="top"/>
          </w:tcPr>
          <w:p w14:paraId="039B1B35">
            <w:pPr>
              <w:rPr>
                <w:rFonts w:ascii="Arial"/>
                <w:sz w:val="21"/>
              </w:rPr>
            </w:pPr>
          </w:p>
        </w:tc>
        <w:tc>
          <w:tcPr>
            <w:tcW w:w="2314" w:type="dxa"/>
            <w:vAlign w:val="top"/>
          </w:tcPr>
          <w:p w14:paraId="480D2223">
            <w:pPr>
              <w:pStyle w:val="6"/>
              <w:spacing w:before="53" w:line="212" w:lineRule="auto"/>
              <w:ind w:left="52"/>
            </w:pPr>
            <w:r>
              <w:rPr>
                <w:spacing w:val="-1"/>
              </w:rPr>
              <w:t>2.弱电解质的解离平衡</w:t>
            </w:r>
          </w:p>
        </w:tc>
        <w:tc>
          <w:tcPr>
            <w:tcW w:w="229" w:type="dxa"/>
            <w:vAlign w:val="top"/>
          </w:tcPr>
          <w:p w14:paraId="45A4276A">
            <w:pPr>
              <w:rPr>
                <w:rFonts w:ascii="Arial"/>
                <w:sz w:val="21"/>
              </w:rPr>
            </w:pPr>
          </w:p>
        </w:tc>
        <w:tc>
          <w:tcPr>
            <w:tcW w:w="220" w:type="dxa"/>
            <w:vAlign w:val="top"/>
          </w:tcPr>
          <w:p w14:paraId="3F74768B">
            <w:pPr>
              <w:pStyle w:val="6"/>
              <w:spacing w:before="70" w:line="194" w:lineRule="auto"/>
              <w:ind w:left="19"/>
            </w:pPr>
            <w:r>
              <w:t>√</w:t>
            </w:r>
          </w:p>
        </w:tc>
        <w:tc>
          <w:tcPr>
            <w:tcW w:w="230" w:type="dxa"/>
            <w:vAlign w:val="top"/>
          </w:tcPr>
          <w:p w14:paraId="594E201B">
            <w:pPr>
              <w:rPr>
                <w:rFonts w:ascii="Arial"/>
                <w:sz w:val="21"/>
              </w:rPr>
            </w:pPr>
          </w:p>
        </w:tc>
        <w:tc>
          <w:tcPr>
            <w:tcW w:w="224" w:type="dxa"/>
            <w:vAlign w:val="top"/>
          </w:tcPr>
          <w:p w14:paraId="05C1DA82">
            <w:pPr>
              <w:rPr>
                <w:rFonts w:ascii="Arial"/>
                <w:sz w:val="21"/>
              </w:rPr>
            </w:pPr>
          </w:p>
        </w:tc>
      </w:tr>
      <w:tr w14:paraId="407216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restart"/>
            <w:tcBorders>
              <w:bottom w:val="nil"/>
            </w:tcBorders>
            <w:vAlign w:val="top"/>
          </w:tcPr>
          <w:p w14:paraId="75558BFD">
            <w:pPr>
              <w:pStyle w:val="6"/>
              <w:spacing w:before="83" w:line="230" w:lineRule="auto"/>
              <w:ind w:left="15" w:right="25"/>
            </w:pPr>
            <w:r>
              <w:rPr>
                <w:spacing w:val="-2"/>
              </w:rPr>
              <w:t>水的离子积</w:t>
            </w:r>
            <w:r>
              <w:t xml:space="preserve"> </w:t>
            </w:r>
            <w:r>
              <w:rPr>
                <w:spacing w:val="-2"/>
              </w:rPr>
              <w:t>和溶液的pH</w:t>
            </w:r>
          </w:p>
        </w:tc>
        <w:tc>
          <w:tcPr>
            <w:tcW w:w="2314" w:type="dxa"/>
            <w:vAlign w:val="top"/>
          </w:tcPr>
          <w:p w14:paraId="431DBE11">
            <w:pPr>
              <w:pStyle w:val="6"/>
              <w:spacing w:before="53" w:line="212" w:lineRule="auto"/>
              <w:ind w:left="52"/>
            </w:pPr>
            <w:r>
              <w:t>1.水的解离和水的离子积</w:t>
            </w:r>
          </w:p>
        </w:tc>
        <w:tc>
          <w:tcPr>
            <w:tcW w:w="229" w:type="dxa"/>
            <w:vAlign w:val="top"/>
          </w:tcPr>
          <w:p w14:paraId="45D395A8">
            <w:pPr>
              <w:rPr>
                <w:rFonts w:ascii="Arial"/>
                <w:sz w:val="21"/>
              </w:rPr>
            </w:pPr>
          </w:p>
        </w:tc>
        <w:tc>
          <w:tcPr>
            <w:tcW w:w="220" w:type="dxa"/>
            <w:vAlign w:val="top"/>
          </w:tcPr>
          <w:p w14:paraId="12166CD6">
            <w:pPr>
              <w:pStyle w:val="6"/>
              <w:spacing w:before="71" w:line="193" w:lineRule="auto"/>
              <w:ind w:left="19"/>
            </w:pPr>
            <w:r>
              <w:t>√</w:t>
            </w:r>
          </w:p>
        </w:tc>
        <w:tc>
          <w:tcPr>
            <w:tcW w:w="230" w:type="dxa"/>
            <w:vAlign w:val="top"/>
          </w:tcPr>
          <w:p w14:paraId="63E68F65">
            <w:pPr>
              <w:rPr>
                <w:rFonts w:ascii="Arial"/>
                <w:sz w:val="21"/>
              </w:rPr>
            </w:pPr>
          </w:p>
        </w:tc>
        <w:tc>
          <w:tcPr>
            <w:tcW w:w="224" w:type="dxa"/>
            <w:vAlign w:val="top"/>
          </w:tcPr>
          <w:p w14:paraId="29F1AB87">
            <w:pPr>
              <w:rPr>
                <w:rFonts w:ascii="Arial"/>
                <w:sz w:val="21"/>
              </w:rPr>
            </w:pPr>
          </w:p>
        </w:tc>
      </w:tr>
      <w:tr w14:paraId="706896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 w:hRule="atLeast"/>
        </w:trPr>
        <w:tc>
          <w:tcPr>
            <w:tcW w:w="893" w:type="dxa"/>
            <w:vMerge w:val="continue"/>
            <w:tcBorders>
              <w:top w:val="nil"/>
            </w:tcBorders>
            <w:vAlign w:val="top"/>
          </w:tcPr>
          <w:p w14:paraId="2BC4E17E">
            <w:pPr>
              <w:rPr>
                <w:rFonts w:ascii="Arial"/>
                <w:sz w:val="21"/>
              </w:rPr>
            </w:pPr>
          </w:p>
        </w:tc>
        <w:tc>
          <w:tcPr>
            <w:tcW w:w="2314" w:type="dxa"/>
            <w:vAlign w:val="top"/>
          </w:tcPr>
          <w:p w14:paraId="1D415E71">
            <w:pPr>
              <w:pStyle w:val="6"/>
              <w:spacing w:before="50" w:line="214" w:lineRule="auto"/>
              <w:ind w:left="52"/>
            </w:pPr>
            <w:r>
              <w:rPr>
                <w:spacing w:val="-1"/>
              </w:rPr>
              <w:t>2.溶液的酸碱性和pH</w:t>
            </w:r>
          </w:p>
        </w:tc>
        <w:tc>
          <w:tcPr>
            <w:tcW w:w="229" w:type="dxa"/>
            <w:vAlign w:val="top"/>
          </w:tcPr>
          <w:p w14:paraId="3AB16FA3">
            <w:pPr>
              <w:rPr>
                <w:rFonts w:ascii="Arial"/>
                <w:sz w:val="21"/>
              </w:rPr>
            </w:pPr>
          </w:p>
        </w:tc>
        <w:tc>
          <w:tcPr>
            <w:tcW w:w="220" w:type="dxa"/>
            <w:vAlign w:val="top"/>
          </w:tcPr>
          <w:p w14:paraId="4FE8FC61">
            <w:pPr>
              <w:rPr>
                <w:rFonts w:ascii="Arial"/>
                <w:sz w:val="21"/>
              </w:rPr>
            </w:pPr>
          </w:p>
        </w:tc>
        <w:tc>
          <w:tcPr>
            <w:tcW w:w="230" w:type="dxa"/>
            <w:vAlign w:val="top"/>
          </w:tcPr>
          <w:p w14:paraId="3C960373">
            <w:pPr>
              <w:pStyle w:val="6"/>
              <w:spacing w:before="72" w:line="193" w:lineRule="auto"/>
              <w:ind w:left="29"/>
            </w:pPr>
            <w:r>
              <w:t>√</w:t>
            </w:r>
          </w:p>
        </w:tc>
        <w:tc>
          <w:tcPr>
            <w:tcW w:w="224" w:type="dxa"/>
            <w:vAlign w:val="top"/>
          </w:tcPr>
          <w:p w14:paraId="573D9D73">
            <w:pPr>
              <w:rPr>
                <w:rFonts w:ascii="Arial"/>
                <w:sz w:val="21"/>
              </w:rPr>
            </w:pPr>
          </w:p>
        </w:tc>
      </w:tr>
      <w:tr w14:paraId="7B870B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restart"/>
            <w:tcBorders>
              <w:bottom w:val="nil"/>
            </w:tcBorders>
            <w:vAlign w:val="top"/>
          </w:tcPr>
          <w:p w14:paraId="24146A92">
            <w:pPr>
              <w:pStyle w:val="6"/>
              <w:spacing w:before="105" w:line="220" w:lineRule="auto"/>
              <w:ind w:left="94"/>
            </w:pPr>
            <w:r>
              <w:rPr>
                <w:spacing w:val="-2"/>
              </w:rPr>
              <w:t>离子反应</w:t>
            </w:r>
          </w:p>
          <w:p w14:paraId="1878B1B6">
            <w:pPr>
              <w:pStyle w:val="6"/>
              <w:spacing w:line="222" w:lineRule="auto"/>
              <w:ind w:left="354"/>
            </w:pPr>
            <w:r>
              <w:t>和</w:t>
            </w:r>
          </w:p>
          <w:p w14:paraId="5BC86BB7">
            <w:pPr>
              <w:pStyle w:val="6"/>
              <w:spacing w:before="52" w:line="219" w:lineRule="auto"/>
              <w:ind w:left="15"/>
            </w:pPr>
            <w:r>
              <w:rPr>
                <w:spacing w:val="-2"/>
              </w:rPr>
              <w:t>盐类的水解</w:t>
            </w:r>
          </w:p>
        </w:tc>
        <w:tc>
          <w:tcPr>
            <w:tcW w:w="2314" w:type="dxa"/>
            <w:vAlign w:val="top"/>
          </w:tcPr>
          <w:p w14:paraId="36B83871">
            <w:pPr>
              <w:pStyle w:val="6"/>
              <w:spacing w:before="55" w:line="210" w:lineRule="auto"/>
              <w:ind w:left="52"/>
            </w:pPr>
            <w:r>
              <w:t>1.离子反应和离子方程式</w:t>
            </w:r>
          </w:p>
        </w:tc>
        <w:tc>
          <w:tcPr>
            <w:tcW w:w="229" w:type="dxa"/>
            <w:vAlign w:val="top"/>
          </w:tcPr>
          <w:p w14:paraId="4F2D5EA6">
            <w:pPr>
              <w:rPr>
                <w:rFonts w:ascii="Arial"/>
                <w:sz w:val="21"/>
              </w:rPr>
            </w:pPr>
          </w:p>
        </w:tc>
        <w:tc>
          <w:tcPr>
            <w:tcW w:w="220" w:type="dxa"/>
            <w:vAlign w:val="top"/>
          </w:tcPr>
          <w:p w14:paraId="02325960">
            <w:pPr>
              <w:rPr>
                <w:rFonts w:ascii="Arial"/>
                <w:sz w:val="21"/>
              </w:rPr>
            </w:pPr>
          </w:p>
        </w:tc>
        <w:tc>
          <w:tcPr>
            <w:tcW w:w="230" w:type="dxa"/>
            <w:vAlign w:val="top"/>
          </w:tcPr>
          <w:p w14:paraId="2898F3DD">
            <w:pPr>
              <w:pStyle w:val="6"/>
              <w:spacing w:before="72" w:line="192" w:lineRule="auto"/>
              <w:ind w:left="29"/>
            </w:pPr>
            <w:r>
              <w:t>√</w:t>
            </w:r>
          </w:p>
        </w:tc>
        <w:tc>
          <w:tcPr>
            <w:tcW w:w="224" w:type="dxa"/>
            <w:vAlign w:val="top"/>
          </w:tcPr>
          <w:p w14:paraId="6679A2E7">
            <w:pPr>
              <w:rPr>
                <w:rFonts w:ascii="Arial"/>
                <w:sz w:val="21"/>
              </w:rPr>
            </w:pPr>
          </w:p>
        </w:tc>
      </w:tr>
      <w:tr w14:paraId="75BF18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 w:hRule="atLeast"/>
        </w:trPr>
        <w:tc>
          <w:tcPr>
            <w:tcW w:w="893" w:type="dxa"/>
            <w:vMerge w:val="continue"/>
            <w:tcBorders>
              <w:top w:val="nil"/>
              <w:bottom w:val="nil"/>
            </w:tcBorders>
            <w:vAlign w:val="top"/>
          </w:tcPr>
          <w:p w14:paraId="36A39944">
            <w:pPr>
              <w:rPr>
                <w:rFonts w:ascii="Arial"/>
                <w:sz w:val="21"/>
              </w:rPr>
            </w:pPr>
          </w:p>
        </w:tc>
        <w:tc>
          <w:tcPr>
            <w:tcW w:w="2314" w:type="dxa"/>
            <w:vAlign w:val="top"/>
          </w:tcPr>
          <w:p w14:paraId="7B23863A">
            <w:pPr>
              <w:pStyle w:val="6"/>
              <w:spacing w:before="55" w:line="211" w:lineRule="auto"/>
              <w:ind w:left="52"/>
            </w:pPr>
            <w:r>
              <w:rPr>
                <w:spacing w:val="-1"/>
              </w:rPr>
              <w:t>2.离子反应发生的条件</w:t>
            </w:r>
          </w:p>
        </w:tc>
        <w:tc>
          <w:tcPr>
            <w:tcW w:w="229" w:type="dxa"/>
            <w:vAlign w:val="top"/>
          </w:tcPr>
          <w:p w14:paraId="6F352BA2">
            <w:pPr>
              <w:rPr>
                <w:rFonts w:ascii="Arial"/>
                <w:sz w:val="21"/>
              </w:rPr>
            </w:pPr>
          </w:p>
        </w:tc>
        <w:tc>
          <w:tcPr>
            <w:tcW w:w="220" w:type="dxa"/>
            <w:vAlign w:val="top"/>
          </w:tcPr>
          <w:p w14:paraId="0CB00B1E">
            <w:pPr>
              <w:pStyle w:val="6"/>
              <w:spacing w:before="73" w:line="192" w:lineRule="auto"/>
              <w:ind w:left="19"/>
            </w:pPr>
            <w:r>
              <w:t>√</w:t>
            </w:r>
          </w:p>
        </w:tc>
        <w:tc>
          <w:tcPr>
            <w:tcW w:w="230" w:type="dxa"/>
            <w:vAlign w:val="top"/>
          </w:tcPr>
          <w:p w14:paraId="39BBFA70">
            <w:pPr>
              <w:rPr>
                <w:rFonts w:ascii="Arial"/>
                <w:sz w:val="21"/>
              </w:rPr>
            </w:pPr>
          </w:p>
        </w:tc>
        <w:tc>
          <w:tcPr>
            <w:tcW w:w="224" w:type="dxa"/>
            <w:vAlign w:val="top"/>
          </w:tcPr>
          <w:p w14:paraId="043D8884">
            <w:pPr>
              <w:rPr>
                <w:rFonts w:ascii="Arial"/>
                <w:sz w:val="21"/>
              </w:rPr>
            </w:pPr>
          </w:p>
        </w:tc>
      </w:tr>
      <w:tr w14:paraId="54BAB2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4" w:hRule="atLeast"/>
        </w:trPr>
        <w:tc>
          <w:tcPr>
            <w:tcW w:w="893" w:type="dxa"/>
            <w:vMerge w:val="continue"/>
            <w:tcBorders>
              <w:top w:val="nil"/>
            </w:tcBorders>
            <w:vAlign w:val="top"/>
          </w:tcPr>
          <w:p w14:paraId="38EC37C7">
            <w:pPr>
              <w:rPr>
                <w:rFonts w:ascii="Arial"/>
                <w:sz w:val="21"/>
              </w:rPr>
            </w:pPr>
          </w:p>
        </w:tc>
        <w:tc>
          <w:tcPr>
            <w:tcW w:w="2314" w:type="dxa"/>
            <w:vAlign w:val="top"/>
          </w:tcPr>
          <w:p w14:paraId="4276E143">
            <w:pPr>
              <w:pStyle w:val="6"/>
              <w:spacing w:before="56" w:line="215" w:lineRule="auto"/>
              <w:ind w:left="52"/>
            </w:pPr>
            <w:r>
              <w:rPr>
                <w:spacing w:val="-2"/>
              </w:rPr>
              <w:t>3.盐类的水解</w:t>
            </w:r>
          </w:p>
        </w:tc>
        <w:tc>
          <w:tcPr>
            <w:tcW w:w="229" w:type="dxa"/>
            <w:vAlign w:val="top"/>
          </w:tcPr>
          <w:p w14:paraId="7074A203">
            <w:pPr>
              <w:rPr>
                <w:rFonts w:ascii="Arial"/>
                <w:sz w:val="21"/>
              </w:rPr>
            </w:pPr>
          </w:p>
        </w:tc>
        <w:tc>
          <w:tcPr>
            <w:tcW w:w="220" w:type="dxa"/>
            <w:vAlign w:val="top"/>
          </w:tcPr>
          <w:p w14:paraId="054F86F9">
            <w:pPr>
              <w:pStyle w:val="6"/>
              <w:spacing w:before="73" w:line="196" w:lineRule="auto"/>
              <w:ind w:left="19"/>
            </w:pPr>
            <w:r>
              <w:t>√</w:t>
            </w:r>
          </w:p>
        </w:tc>
        <w:tc>
          <w:tcPr>
            <w:tcW w:w="230" w:type="dxa"/>
            <w:vAlign w:val="top"/>
          </w:tcPr>
          <w:p w14:paraId="1BB576FF">
            <w:pPr>
              <w:rPr>
                <w:rFonts w:ascii="Arial"/>
                <w:sz w:val="21"/>
              </w:rPr>
            </w:pPr>
          </w:p>
        </w:tc>
        <w:tc>
          <w:tcPr>
            <w:tcW w:w="224" w:type="dxa"/>
            <w:vAlign w:val="top"/>
          </w:tcPr>
          <w:p w14:paraId="468012A5">
            <w:pPr>
              <w:rPr>
                <w:rFonts w:ascii="Arial"/>
                <w:sz w:val="21"/>
              </w:rPr>
            </w:pPr>
          </w:p>
        </w:tc>
      </w:tr>
    </w:tbl>
    <w:p w14:paraId="1A06ECDD">
      <w:pPr>
        <w:spacing w:before="288" w:line="221" w:lineRule="auto"/>
        <w:ind w:left="987"/>
        <w:rPr>
          <w:rFonts w:ascii="黑体" w:hAnsi="黑体" w:eastAsia="黑体" w:cs="黑体"/>
          <w:sz w:val="20"/>
          <w:szCs w:val="20"/>
        </w:rPr>
      </w:pPr>
      <w:r>
        <w:rPr>
          <w:rFonts w:ascii="黑体" w:hAnsi="黑体" w:eastAsia="黑体" w:cs="黑体"/>
          <w:b/>
          <w:bCs/>
          <w:spacing w:val="-4"/>
          <w:sz w:val="20"/>
          <w:szCs w:val="20"/>
        </w:rPr>
        <w:t>四、常见无机物及其应用</w:t>
      </w:r>
    </w:p>
    <w:p w14:paraId="110800AE">
      <w:pPr>
        <w:spacing w:line="92" w:lineRule="exact"/>
      </w:pPr>
    </w:p>
    <w:tbl>
      <w:tblPr>
        <w:tblStyle w:val="5"/>
        <w:tblW w:w="411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14"/>
        <w:gridCol w:w="230"/>
        <w:gridCol w:w="229"/>
        <w:gridCol w:w="220"/>
        <w:gridCol w:w="224"/>
      </w:tblGrid>
      <w:tr w14:paraId="139022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9" w:hRule="atLeast"/>
        </w:trPr>
        <w:tc>
          <w:tcPr>
            <w:tcW w:w="893" w:type="dxa"/>
            <w:vMerge w:val="restart"/>
            <w:tcBorders>
              <w:top w:val="single" w:color="000000" w:sz="2" w:space="0"/>
              <w:bottom w:val="nil"/>
            </w:tcBorders>
            <w:vAlign w:val="top"/>
          </w:tcPr>
          <w:p w14:paraId="136D84F5">
            <w:pPr>
              <w:pStyle w:val="6"/>
              <w:spacing w:before="137" w:line="229" w:lineRule="auto"/>
              <w:ind w:left="97" w:right="112" w:firstLine="89"/>
            </w:pPr>
            <w:r>
              <w:rPr>
                <w:b/>
                <w:bCs/>
                <w:spacing w:val="-6"/>
              </w:rPr>
              <w:t>知识与</w:t>
            </w:r>
            <w:r>
              <w:t xml:space="preserve">  </w:t>
            </w:r>
            <w:r>
              <w:rPr>
                <w:b/>
                <w:bCs/>
                <w:spacing w:val="-4"/>
              </w:rPr>
              <w:t>技能要点</w:t>
            </w:r>
          </w:p>
        </w:tc>
        <w:tc>
          <w:tcPr>
            <w:tcW w:w="2314" w:type="dxa"/>
            <w:vMerge w:val="restart"/>
            <w:tcBorders>
              <w:top w:val="single" w:color="000000" w:sz="2" w:space="0"/>
              <w:bottom w:val="nil"/>
            </w:tcBorders>
            <w:vAlign w:val="top"/>
          </w:tcPr>
          <w:p w14:paraId="0DEBE228">
            <w:pPr>
              <w:pStyle w:val="6"/>
              <w:spacing w:before="254" w:line="219" w:lineRule="auto"/>
              <w:ind w:left="844"/>
            </w:pPr>
            <w:r>
              <w:rPr>
                <w:b/>
                <w:bCs/>
                <w:spacing w:val="5"/>
              </w:rPr>
              <w:t>考试条目</w:t>
            </w:r>
          </w:p>
        </w:tc>
        <w:tc>
          <w:tcPr>
            <w:tcW w:w="903" w:type="dxa"/>
            <w:gridSpan w:val="4"/>
            <w:tcBorders>
              <w:top w:val="single" w:color="000000" w:sz="2" w:space="0"/>
              <w:bottom w:val="single" w:color="000000" w:sz="2" w:space="0"/>
            </w:tcBorders>
            <w:vAlign w:val="top"/>
          </w:tcPr>
          <w:p w14:paraId="35825D1F">
            <w:pPr>
              <w:pStyle w:val="6"/>
              <w:spacing w:before="84" w:line="219" w:lineRule="auto"/>
              <w:ind w:left="140"/>
            </w:pPr>
            <w:r>
              <w:rPr>
                <w:b/>
                <w:bCs/>
                <w:spacing w:val="-4"/>
              </w:rPr>
              <w:t>考试水平</w:t>
            </w:r>
          </w:p>
        </w:tc>
      </w:tr>
      <w:tr w14:paraId="7DECEF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5" w:hRule="atLeast"/>
        </w:trPr>
        <w:tc>
          <w:tcPr>
            <w:tcW w:w="893" w:type="dxa"/>
            <w:vMerge w:val="continue"/>
            <w:tcBorders>
              <w:top w:val="nil"/>
              <w:bottom w:val="single" w:color="000000" w:sz="2" w:space="0"/>
            </w:tcBorders>
            <w:vAlign w:val="top"/>
          </w:tcPr>
          <w:p w14:paraId="209B715D">
            <w:pPr>
              <w:rPr>
                <w:rFonts w:ascii="Arial"/>
                <w:sz w:val="21"/>
              </w:rPr>
            </w:pPr>
          </w:p>
        </w:tc>
        <w:tc>
          <w:tcPr>
            <w:tcW w:w="2314" w:type="dxa"/>
            <w:vMerge w:val="continue"/>
            <w:tcBorders>
              <w:top w:val="nil"/>
              <w:bottom w:val="single" w:color="000000" w:sz="2" w:space="0"/>
            </w:tcBorders>
            <w:vAlign w:val="top"/>
          </w:tcPr>
          <w:p w14:paraId="2FEB2CA0">
            <w:pPr>
              <w:rPr>
                <w:rFonts w:ascii="Arial"/>
                <w:sz w:val="21"/>
              </w:rPr>
            </w:pPr>
          </w:p>
        </w:tc>
        <w:tc>
          <w:tcPr>
            <w:tcW w:w="230" w:type="dxa"/>
            <w:tcBorders>
              <w:top w:val="single" w:color="000000" w:sz="2" w:space="0"/>
              <w:bottom w:val="single" w:color="000000" w:sz="2" w:space="0"/>
            </w:tcBorders>
            <w:vAlign w:val="top"/>
          </w:tcPr>
          <w:p w14:paraId="5584C495">
            <w:pPr>
              <w:pStyle w:val="6"/>
              <w:spacing w:before="125" w:line="184" w:lineRule="auto"/>
              <w:ind w:left="68"/>
            </w:pPr>
            <w:r>
              <w:t>A</w:t>
            </w:r>
          </w:p>
        </w:tc>
        <w:tc>
          <w:tcPr>
            <w:tcW w:w="229" w:type="dxa"/>
            <w:tcBorders>
              <w:top w:val="single" w:color="000000" w:sz="2" w:space="0"/>
              <w:bottom w:val="single" w:color="000000" w:sz="2" w:space="0"/>
            </w:tcBorders>
            <w:vAlign w:val="top"/>
          </w:tcPr>
          <w:p w14:paraId="54329CB2">
            <w:pPr>
              <w:pStyle w:val="6"/>
              <w:spacing w:before="127" w:line="182" w:lineRule="auto"/>
              <w:ind w:left="40"/>
            </w:pPr>
            <w:r>
              <w:rPr>
                <w:b/>
                <w:bCs/>
                <w:spacing w:val="-2"/>
              </w:rPr>
              <w:t>B</w:t>
            </w:r>
          </w:p>
        </w:tc>
        <w:tc>
          <w:tcPr>
            <w:tcW w:w="220" w:type="dxa"/>
            <w:tcBorders>
              <w:top w:val="single" w:color="000000" w:sz="2" w:space="0"/>
              <w:bottom w:val="single" w:color="000000" w:sz="2" w:space="0"/>
            </w:tcBorders>
            <w:vAlign w:val="top"/>
          </w:tcPr>
          <w:p w14:paraId="49BC6FE9">
            <w:pPr>
              <w:pStyle w:val="6"/>
              <w:spacing w:before="125" w:line="183" w:lineRule="auto"/>
              <w:ind w:left="51"/>
            </w:pPr>
            <w:r>
              <w:rPr>
                <w:b/>
                <w:bCs/>
                <w:spacing w:val="-2"/>
              </w:rPr>
              <w:t>C</w:t>
            </w:r>
          </w:p>
        </w:tc>
        <w:tc>
          <w:tcPr>
            <w:tcW w:w="224" w:type="dxa"/>
            <w:tcBorders>
              <w:top w:val="single" w:color="000000" w:sz="2" w:space="0"/>
              <w:bottom w:val="single" w:color="000000" w:sz="2" w:space="0"/>
            </w:tcBorders>
            <w:vAlign w:val="top"/>
          </w:tcPr>
          <w:p w14:paraId="2532270E">
            <w:pPr>
              <w:pStyle w:val="6"/>
              <w:spacing w:before="127" w:line="182" w:lineRule="auto"/>
              <w:ind w:left="51"/>
            </w:pPr>
            <w:r>
              <w:rPr>
                <w:b/>
                <w:bCs/>
                <w:spacing w:val="-2"/>
              </w:rPr>
              <w:t>D</w:t>
            </w:r>
          </w:p>
        </w:tc>
      </w:tr>
      <w:tr w14:paraId="5E672D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4" w:hRule="atLeast"/>
        </w:trPr>
        <w:tc>
          <w:tcPr>
            <w:tcW w:w="893" w:type="dxa"/>
            <w:vMerge w:val="restart"/>
            <w:tcBorders>
              <w:top w:val="single" w:color="000000" w:sz="2" w:space="0"/>
              <w:bottom w:val="nil"/>
            </w:tcBorders>
            <w:vAlign w:val="top"/>
          </w:tcPr>
          <w:p w14:paraId="0C187696">
            <w:pPr>
              <w:spacing w:line="287" w:lineRule="auto"/>
              <w:rPr>
                <w:rFonts w:ascii="Arial"/>
                <w:sz w:val="21"/>
              </w:rPr>
            </w:pPr>
          </w:p>
          <w:p w14:paraId="2E161BAB">
            <w:pPr>
              <w:spacing w:line="288" w:lineRule="auto"/>
              <w:rPr>
                <w:rFonts w:ascii="Arial"/>
                <w:sz w:val="21"/>
              </w:rPr>
            </w:pPr>
          </w:p>
          <w:p w14:paraId="4A42EE1A">
            <w:pPr>
              <w:pStyle w:val="6"/>
              <w:spacing w:before="55" w:line="241" w:lineRule="auto"/>
              <w:ind w:left="185" w:right="173" w:firstLine="79"/>
            </w:pPr>
            <w:r>
              <w:rPr>
                <w:spacing w:val="-6"/>
              </w:rPr>
              <w:t>常见</w:t>
            </w:r>
            <w:r>
              <w:t xml:space="preserve">  </w:t>
            </w:r>
            <w:r>
              <w:rPr>
                <w:spacing w:val="4"/>
              </w:rPr>
              <w:t>非金属</w:t>
            </w:r>
            <w:r>
              <w:rPr>
                <w:spacing w:val="1"/>
              </w:rPr>
              <w:t xml:space="preserve"> </w:t>
            </w:r>
            <w:r>
              <w:rPr>
                <w:spacing w:val="15"/>
                <w:w w:val="120"/>
              </w:rPr>
              <w:t>单质</w:t>
            </w:r>
          </w:p>
        </w:tc>
        <w:tc>
          <w:tcPr>
            <w:tcW w:w="2314" w:type="dxa"/>
            <w:tcBorders>
              <w:top w:val="single" w:color="000000" w:sz="2" w:space="0"/>
              <w:bottom w:val="single" w:color="000000" w:sz="2" w:space="0"/>
            </w:tcBorders>
            <w:vAlign w:val="top"/>
          </w:tcPr>
          <w:p w14:paraId="04DC16FA">
            <w:pPr>
              <w:pStyle w:val="6"/>
              <w:spacing w:before="52" w:line="219" w:lineRule="auto"/>
              <w:ind w:left="52"/>
            </w:pPr>
            <w:r>
              <w:rPr>
                <w:spacing w:val="1"/>
              </w:rPr>
              <w:t>1.氯气的存在和物理性质</w:t>
            </w:r>
          </w:p>
        </w:tc>
        <w:tc>
          <w:tcPr>
            <w:tcW w:w="230" w:type="dxa"/>
            <w:tcBorders>
              <w:top w:val="single" w:color="000000" w:sz="2" w:space="0"/>
              <w:bottom w:val="single" w:color="000000" w:sz="2" w:space="0"/>
            </w:tcBorders>
            <w:vAlign w:val="top"/>
          </w:tcPr>
          <w:p w14:paraId="704DE90E">
            <w:pPr>
              <w:pStyle w:val="6"/>
              <w:spacing w:before="69" w:line="200" w:lineRule="auto"/>
              <w:ind w:left="28"/>
            </w:pPr>
            <w:r>
              <w:t>√</w:t>
            </w:r>
          </w:p>
        </w:tc>
        <w:tc>
          <w:tcPr>
            <w:tcW w:w="229" w:type="dxa"/>
            <w:tcBorders>
              <w:top w:val="single" w:color="000000" w:sz="2" w:space="0"/>
              <w:bottom w:val="single" w:color="000000" w:sz="2" w:space="0"/>
            </w:tcBorders>
            <w:vAlign w:val="top"/>
          </w:tcPr>
          <w:p w14:paraId="0AFAE24C">
            <w:pPr>
              <w:rPr>
                <w:rFonts w:ascii="Arial"/>
                <w:sz w:val="21"/>
              </w:rPr>
            </w:pPr>
          </w:p>
        </w:tc>
        <w:tc>
          <w:tcPr>
            <w:tcW w:w="220" w:type="dxa"/>
            <w:tcBorders>
              <w:top w:val="single" w:color="000000" w:sz="2" w:space="0"/>
              <w:bottom w:val="single" w:color="000000" w:sz="2" w:space="0"/>
            </w:tcBorders>
            <w:vAlign w:val="top"/>
          </w:tcPr>
          <w:p w14:paraId="1317A913">
            <w:pPr>
              <w:rPr>
                <w:rFonts w:ascii="Arial"/>
                <w:sz w:val="21"/>
              </w:rPr>
            </w:pPr>
          </w:p>
        </w:tc>
        <w:tc>
          <w:tcPr>
            <w:tcW w:w="224" w:type="dxa"/>
            <w:tcBorders>
              <w:top w:val="single" w:color="000000" w:sz="2" w:space="0"/>
              <w:bottom w:val="single" w:color="000000" w:sz="2" w:space="0"/>
            </w:tcBorders>
            <w:vAlign w:val="top"/>
          </w:tcPr>
          <w:p w14:paraId="238753EB">
            <w:pPr>
              <w:rPr>
                <w:rFonts w:ascii="Arial"/>
                <w:sz w:val="21"/>
              </w:rPr>
            </w:pPr>
          </w:p>
        </w:tc>
      </w:tr>
      <w:tr w14:paraId="105253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893" w:type="dxa"/>
            <w:vMerge w:val="continue"/>
            <w:tcBorders>
              <w:top w:val="nil"/>
              <w:bottom w:val="nil"/>
            </w:tcBorders>
            <w:vAlign w:val="top"/>
          </w:tcPr>
          <w:p w14:paraId="418E2D8D">
            <w:pPr>
              <w:rPr>
                <w:rFonts w:ascii="Arial"/>
                <w:sz w:val="21"/>
              </w:rPr>
            </w:pPr>
          </w:p>
        </w:tc>
        <w:tc>
          <w:tcPr>
            <w:tcW w:w="2314" w:type="dxa"/>
            <w:tcBorders>
              <w:top w:val="single" w:color="000000" w:sz="2" w:space="0"/>
              <w:bottom w:val="single" w:color="000000" w:sz="2" w:space="0"/>
            </w:tcBorders>
            <w:vAlign w:val="top"/>
          </w:tcPr>
          <w:p w14:paraId="4E8B9015">
            <w:pPr>
              <w:pStyle w:val="6"/>
              <w:spacing w:before="54" w:line="220" w:lineRule="auto"/>
              <w:ind w:left="52"/>
            </w:pPr>
            <w:r>
              <w:rPr>
                <w:spacing w:val="-1"/>
              </w:rPr>
              <w:t>2.氯气的化学性质及用途</w:t>
            </w:r>
          </w:p>
        </w:tc>
        <w:tc>
          <w:tcPr>
            <w:tcW w:w="230" w:type="dxa"/>
            <w:tcBorders>
              <w:top w:val="single" w:color="000000" w:sz="2" w:space="0"/>
              <w:bottom w:val="single" w:color="000000" w:sz="2" w:space="0"/>
            </w:tcBorders>
            <w:vAlign w:val="top"/>
          </w:tcPr>
          <w:p w14:paraId="53ABD1D4">
            <w:pPr>
              <w:rPr>
                <w:rFonts w:ascii="Arial"/>
                <w:sz w:val="21"/>
              </w:rPr>
            </w:pPr>
          </w:p>
        </w:tc>
        <w:tc>
          <w:tcPr>
            <w:tcW w:w="229" w:type="dxa"/>
            <w:tcBorders>
              <w:top w:val="single" w:color="000000" w:sz="2" w:space="0"/>
              <w:bottom w:val="single" w:color="000000" w:sz="2" w:space="0"/>
            </w:tcBorders>
            <w:vAlign w:val="top"/>
          </w:tcPr>
          <w:p w14:paraId="1DCE62EB">
            <w:pPr>
              <w:rPr>
                <w:rFonts w:ascii="Arial"/>
                <w:sz w:val="21"/>
              </w:rPr>
            </w:pPr>
          </w:p>
        </w:tc>
        <w:tc>
          <w:tcPr>
            <w:tcW w:w="220" w:type="dxa"/>
            <w:tcBorders>
              <w:top w:val="single" w:color="000000" w:sz="2" w:space="0"/>
              <w:bottom w:val="single" w:color="000000" w:sz="2" w:space="0"/>
            </w:tcBorders>
            <w:vAlign w:val="top"/>
          </w:tcPr>
          <w:p w14:paraId="689F1921">
            <w:pPr>
              <w:rPr>
                <w:rFonts w:ascii="Arial"/>
                <w:sz w:val="21"/>
              </w:rPr>
            </w:pPr>
          </w:p>
        </w:tc>
        <w:tc>
          <w:tcPr>
            <w:tcW w:w="224" w:type="dxa"/>
            <w:tcBorders>
              <w:top w:val="single" w:color="000000" w:sz="2" w:space="0"/>
              <w:bottom w:val="single" w:color="000000" w:sz="2" w:space="0"/>
            </w:tcBorders>
            <w:vAlign w:val="top"/>
          </w:tcPr>
          <w:p w14:paraId="178DEAC4">
            <w:pPr>
              <w:rPr>
                <w:rFonts w:ascii="Arial"/>
                <w:sz w:val="21"/>
              </w:rPr>
            </w:pPr>
          </w:p>
        </w:tc>
      </w:tr>
      <w:tr w14:paraId="3C2CB4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5" w:hRule="atLeast"/>
        </w:trPr>
        <w:tc>
          <w:tcPr>
            <w:tcW w:w="893" w:type="dxa"/>
            <w:vMerge w:val="continue"/>
            <w:tcBorders>
              <w:top w:val="nil"/>
              <w:bottom w:val="nil"/>
            </w:tcBorders>
            <w:vAlign w:val="top"/>
          </w:tcPr>
          <w:p w14:paraId="19F991D0">
            <w:pPr>
              <w:rPr>
                <w:rFonts w:ascii="Arial"/>
                <w:sz w:val="21"/>
              </w:rPr>
            </w:pPr>
          </w:p>
        </w:tc>
        <w:tc>
          <w:tcPr>
            <w:tcW w:w="2314" w:type="dxa"/>
            <w:tcBorders>
              <w:top w:val="single" w:color="000000" w:sz="2" w:space="0"/>
              <w:bottom w:val="single" w:color="000000" w:sz="2" w:space="0"/>
            </w:tcBorders>
            <w:vAlign w:val="top"/>
          </w:tcPr>
          <w:p w14:paraId="358248FF">
            <w:pPr>
              <w:pStyle w:val="6"/>
              <w:spacing w:before="43" w:line="219" w:lineRule="auto"/>
              <w:ind w:left="52"/>
            </w:pPr>
            <w:r>
              <w:rPr>
                <w:spacing w:val="-1"/>
              </w:rPr>
              <w:t>3.卤族元素</w:t>
            </w:r>
          </w:p>
        </w:tc>
        <w:tc>
          <w:tcPr>
            <w:tcW w:w="230" w:type="dxa"/>
            <w:tcBorders>
              <w:top w:val="single" w:color="000000" w:sz="2" w:space="0"/>
              <w:bottom w:val="single" w:color="000000" w:sz="2" w:space="0"/>
            </w:tcBorders>
            <w:vAlign w:val="top"/>
          </w:tcPr>
          <w:p w14:paraId="1B44155C">
            <w:pPr>
              <w:rPr>
                <w:rFonts w:ascii="Arial"/>
                <w:sz w:val="21"/>
              </w:rPr>
            </w:pPr>
          </w:p>
        </w:tc>
        <w:tc>
          <w:tcPr>
            <w:tcW w:w="229" w:type="dxa"/>
            <w:tcBorders>
              <w:top w:val="single" w:color="000000" w:sz="2" w:space="0"/>
              <w:bottom w:val="single" w:color="000000" w:sz="2" w:space="0"/>
            </w:tcBorders>
            <w:vAlign w:val="top"/>
          </w:tcPr>
          <w:p w14:paraId="0979A4F9">
            <w:pPr>
              <w:rPr>
                <w:rFonts w:ascii="Arial"/>
                <w:sz w:val="21"/>
              </w:rPr>
            </w:pPr>
          </w:p>
        </w:tc>
        <w:tc>
          <w:tcPr>
            <w:tcW w:w="220" w:type="dxa"/>
            <w:tcBorders>
              <w:top w:val="single" w:color="000000" w:sz="2" w:space="0"/>
              <w:bottom w:val="single" w:color="000000" w:sz="2" w:space="0"/>
            </w:tcBorders>
            <w:vAlign w:val="top"/>
          </w:tcPr>
          <w:p w14:paraId="4658780D">
            <w:pPr>
              <w:rPr>
                <w:rFonts w:ascii="Arial"/>
                <w:sz w:val="21"/>
              </w:rPr>
            </w:pPr>
          </w:p>
        </w:tc>
        <w:tc>
          <w:tcPr>
            <w:tcW w:w="224" w:type="dxa"/>
            <w:tcBorders>
              <w:top w:val="single" w:color="000000" w:sz="2" w:space="0"/>
              <w:bottom w:val="single" w:color="000000" w:sz="2" w:space="0"/>
            </w:tcBorders>
            <w:vAlign w:val="top"/>
          </w:tcPr>
          <w:p w14:paraId="55695BF0">
            <w:pPr>
              <w:rPr>
                <w:rFonts w:ascii="Arial"/>
                <w:sz w:val="21"/>
              </w:rPr>
            </w:pPr>
          </w:p>
        </w:tc>
      </w:tr>
      <w:tr w14:paraId="6CD565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5" w:hRule="atLeast"/>
        </w:trPr>
        <w:tc>
          <w:tcPr>
            <w:tcW w:w="893" w:type="dxa"/>
            <w:vMerge w:val="continue"/>
            <w:tcBorders>
              <w:top w:val="nil"/>
              <w:bottom w:val="nil"/>
            </w:tcBorders>
            <w:vAlign w:val="top"/>
          </w:tcPr>
          <w:p w14:paraId="4A1C911D">
            <w:pPr>
              <w:rPr>
                <w:rFonts w:ascii="Arial"/>
                <w:sz w:val="21"/>
              </w:rPr>
            </w:pPr>
          </w:p>
        </w:tc>
        <w:tc>
          <w:tcPr>
            <w:tcW w:w="2314" w:type="dxa"/>
            <w:tcBorders>
              <w:top w:val="single" w:color="000000" w:sz="2" w:space="0"/>
              <w:bottom w:val="single" w:color="000000" w:sz="2" w:space="0"/>
            </w:tcBorders>
            <w:vAlign w:val="top"/>
          </w:tcPr>
          <w:p w14:paraId="164CE88B">
            <w:pPr>
              <w:pStyle w:val="6"/>
              <w:spacing w:before="54" w:line="218" w:lineRule="auto"/>
              <w:ind w:left="52"/>
            </w:pPr>
            <w:r>
              <w:rPr>
                <w:spacing w:val="2"/>
              </w:rPr>
              <w:t>4.硫的物理性质</w:t>
            </w:r>
          </w:p>
        </w:tc>
        <w:tc>
          <w:tcPr>
            <w:tcW w:w="230" w:type="dxa"/>
            <w:tcBorders>
              <w:top w:val="single" w:color="000000" w:sz="2" w:space="0"/>
              <w:bottom w:val="single" w:color="000000" w:sz="2" w:space="0"/>
            </w:tcBorders>
            <w:vAlign w:val="top"/>
          </w:tcPr>
          <w:p w14:paraId="3E332571">
            <w:pPr>
              <w:rPr>
                <w:rFonts w:ascii="Arial"/>
                <w:sz w:val="21"/>
              </w:rPr>
            </w:pPr>
          </w:p>
        </w:tc>
        <w:tc>
          <w:tcPr>
            <w:tcW w:w="229" w:type="dxa"/>
            <w:tcBorders>
              <w:top w:val="single" w:color="000000" w:sz="2" w:space="0"/>
              <w:bottom w:val="single" w:color="000000" w:sz="2" w:space="0"/>
            </w:tcBorders>
            <w:vAlign w:val="top"/>
          </w:tcPr>
          <w:p w14:paraId="1FCA417E">
            <w:pPr>
              <w:rPr>
                <w:rFonts w:ascii="Arial"/>
                <w:sz w:val="21"/>
              </w:rPr>
            </w:pPr>
          </w:p>
        </w:tc>
        <w:tc>
          <w:tcPr>
            <w:tcW w:w="220" w:type="dxa"/>
            <w:tcBorders>
              <w:top w:val="single" w:color="000000" w:sz="2" w:space="0"/>
              <w:bottom w:val="single" w:color="000000" w:sz="2" w:space="0"/>
            </w:tcBorders>
            <w:vAlign w:val="top"/>
          </w:tcPr>
          <w:p w14:paraId="7BB8EF87">
            <w:pPr>
              <w:rPr>
                <w:rFonts w:ascii="Arial"/>
                <w:sz w:val="21"/>
              </w:rPr>
            </w:pPr>
          </w:p>
        </w:tc>
        <w:tc>
          <w:tcPr>
            <w:tcW w:w="224" w:type="dxa"/>
            <w:tcBorders>
              <w:top w:val="single" w:color="000000" w:sz="2" w:space="0"/>
              <w:bottom w:val="single" w:color="000000" w:sz="2" w:space="0"/>
            </w:tcBorders>
            <w:vAlign w:val="top"/>
          </w:tcPr>
          <w:p w14:paraId="605AECEE">
            <w:pPr>
              <w:rPr>
                <w:rFonts w:ascii="Arial"/>
                <w:sz w:val="21"/>
              </w:rPr>
            </w:pPr>
          </w:p>
        </w:tc>
      </w:tr>
      <w:tr w14:paraId="702877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893" w:type="dxa"/>
            <w:vMerge w:val="continue"/>
            <w:tcBorders>
              <w:top w:val="nil"/>
              <w:bottom w:val="nil"/>
            </w:tcBorders>
            <w:vAlign w:val="top"/>
          </w:tcPr>
          <w:p w14:paraId="4BB5CBD8">
            <w:pPr>
              <w:rPr>
                <w:rFonts w:ascii="Arial"/>
                <w:sz w:val="21"/>
              </w:rPr>
            </w:pPr>
          </w:p>
        </w:tc>
        <w:tc>
          <w:tcPr>
            <w:tcW w:w="2314" w:type="dxa"/>
            <w:tcBorders>
              <w:top w:val="single" w:color="000000" w:sz="2" w:space="0"/>
              <w:bottom w:val="single" w:color="000000" w:sz="2" w:space="0"/>
            </w:tcBorders>
            <w:vAlign w:val="top"/>
          </w:tcPr>
          <w:p w14:paraId="53B34062">
            <w:pPr>
              <w:pStyle w:val="6"/>
              <w:spacing w:before="54" w:line="220" w:lineRule="auto"/>
              <w:ind w:left="52"/>
            </w:pPr>
            <w:r>
              <w:rPr>
                <w:spacing w:val="2"/>
              </w:rPr>
              <w:t>5.硫的化学性质</w:t>
            </w:r>
          </w:p>
        </w:tc>
        <w:tc>
          <w:tcPr>
            <w:tcW w:w="230" w:type="dxa"/>
            <w:tcBorders>
              <w:top w:val="single" w:color="000000" w:sz="2" w:space="0"/>
              <w:bottom w:val="single" w:color="000000" w:sz="2" w:space="0"/>
            </w:tcBorders>
            <w:vAlign w:val="top"/>
          </w:tcPr>
          <w:p w14:paraId="6DC683B5">
            <w:pPr>
              <w:rPr>
                <w:rFonts w:ascii="Arial"/>
                <w:sz w:val="21"/>
              </w:rPr>
            </w:pPr>
          </w:p>
        </w:tc>
        <w:tc>
          <w:tcPr>
            <w:tcW w:w="229" w:type="dxa"/>
            <w:tcBorders>
              <w:top w:val="single" w:color="000000" w:sz="2" w:space="0"/>
              <w:bottom w:val="single" w:color="000000" w:sz="2" w:space="0"/>
            </w:tcBorders>
            <w:vAlign w:val="top"/>
          </w:tcPr>
          <w:p w14:paraId="0DF93984">
            <w:pPr>
              <w:rPr>
                <w:rFonts w:ascii="Arial"/>
                <w:sz w:val="21"/>
              </w:rPr>
            </w:pPr>
          </w:p>
        </w:tc>
        <w:tc>
          <w:tcPr>
            <w:tcW w:w="220" w:type="dxa"/>
            <w:tcBorders>
              <w:top w:val="single" w:color="000000" w:sz="2" w:space="0"/>
              <w:bottom w:val="single" w:color="000000" w:sz="2" w:space="0"/>
            </w:tcBorders>
            <w:vAlign w:val="top"/>
          </w:tcPr>
          <w:p w14:paraId="23B1F129">
            <w:pPr>
              <w:rPr>
                <w:rFonts w:ascii="Arial"/>
                <w:sz w:val="21"/>
              </w:rPr>
            </w:pPr>
          </w:p>
        </w:tc>
        <w:tc>
          <w:tcPr>
            <w:tcW w:w="224" w:type="dxa"/>
            <w:tcBorders>
              <w:top w:val="single" w:color="000000" w:sz="2" w:space="0"/>
              <w:bottom w:val="single" w:color="000000" w:sz="2" w:space="0"/>
            </w:tcBorders>
            <w:vAlign w:val="top"/>
          </w:tcPr>
          <w:p w14:paraId="3D762F61">
            <w:pPr>
              <w:rPr>
                <w:rFonts w:ascii="Arial"/>
                <w:sz w:val="21"/>
              </w:rPr>
            </w:pPr>
          </w:p>
        </w:tc>
      </w:tr>
      <w:tr w14:paraId="5A3E65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5" w:hRule="atLeast"/>
        </w:trPr>
        <w:tc>
          <w:tcPr>
            <w:tcW w:w="893" w:type="dxa"/>
            <w:vMerge w:val="continue"/>
            <w:tcBorders>
              <w:top w:val="nil"/>
              <w:bottom w:val="nil"/>
            </w:tcBorders>
            <w:vAlign w:val="top"/>
          </w:tcPr>
          <w:p w14:paraId="7011D0A1">
            <w:pPr>
              <w:rPr>
                <w:rFonts w:ascii="Arial"/>
                <w:sz w:val="21"/>
              </w:rPr>
            </w:pPr>
          </w:p>
        </w:tc>
        <w:tc>
          <w:tcPr>
            <w:tcW w:w="2314" w:type="dxa"/>
            <w:tcBorders>
              <w:top w:val="single" w:color="000000" w:sz="2" w:space="0"/>
              <w:bottom w:val="single" w:color="000000" w:sz="2" w:space="0"/>
            </w:tcBorders>
            <w:vAlign w:val="top"/>
          </w:tcPr>
          <w:p w14:paraId="238958ED">
            <w:pPr>
              <w:pStyle w:val="6"/>
              <w:spacing w:before="42" w:line="219" w:lineRule="auto"/>
              <w:ind w:left="52"/>
            </w:pPr>
            <w:r>
              <w:rPr>
                <w:spacing w:val="2"/>
              </w:rPr>
              <w:t>6.氮气的物理性质</w:t>
            </w:r>
          </w:p>
        </w:tc>
        <w:tc>
          <w:tcPr>
            <w:tcW w:w="230" w:type="dxa"/>
            <w:tcBorders>
              <w:top w:val="single" w:color="000000" w:sz="2" w:space="0"/>
              <w:bottom w:val="single" w:color="000000" w:sz="2" w:space="0"/>
            </w:tcBorders>
            <w:vAlign w:val="top"/>
          </w:tcPr>
          <w:p w14:paraId="3802C0BE">
            <w:pPr>
              <w:rPr>
                <w:rFonts w:ascii="Arial"/>
                <w:sz w:val="21"/>
              </w:rPr>
            </w:pPr>
          </w:p>
        </w:tc>
        <w:tc>
          <w:tcPr>
            <w:tcW w:w="229" w:type="dxa"/>
            <w:tcBorders>
              <w:top w:val="single" w:color="000000" w:sz="2" w:space="0"/>
              <w:bottom w:val="single" w:color="000000" w:sz="2" w:space="0"/>
            </w:tcBorders>
            <w:vAlign w:val="top"/>
          </w:tcPr>
          <w:p w14:paraId="72D013B4">
            <w:pPr>
              <w:rPr>
                <w:rFonts w:ascii="Arial"/>
                <w:sz w:val="21"/>
              </w:rPr>
            </w:pPr>
          </w:p>
        </w:tc>
        <w:tc>
          <w:tcPr>
            <w:tcW w:w="220" w:type="dxa"/>
            <w:tcBorders>
              <w:top w:val="single" w:color="000000" w:sz="2" w:space="0"/>
              <w:bottom w:val="single" w:color="000000" w:sz="2" w:space="0"/>
            </w:tcBorders>
            <w:vAlign w:val="top"/>
          </w:tcPr>
          <w:p w14:paraId="19952442">
            <w:pPr>
              <w:rPr>
                <w:rFonts w:ascii="Arial"/>
                <w:sz w:val="21"/>
              </w:rPr>
            </w:pPr>
          </w:p>
        </w:tc>
        <w:tc>
          <w:tcPr>
            <w:tcW w:w="224" w:type="dxa"/>
            <w:tcBorders>
              <w:top w:val="single" w:color="000000" w:sz="2" w:space="0"/>
              <w:bottom w:val="single" w:color="000000" w:sz="2" w:space="0"/>
            </w:tcBorders>
            <w:vAlign w:val="top"/>
          </w:tcPr>
          <w:p w14:paraId="261E58DE">
            <w:pPr>
              <w:rPr>
                <w:rFonts w:ascii="Arial"/>
                <w:sz w:val="21"/>
              </w:rPr>
            </w:pPr>
          </w:p>
        </w:tc>
      </w:tr>
      <w:tr w14:paraId="371CE9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4" w:hRule="atLeast"/>
        </w:trPr>
        <w:tc>
          <w:tcPr>
            <w:tcW w:w="893" w:type="dxa"/>
            <w:vMerge w:val="continue"/>
            <w:tcBorders>
              <w:top w:val="nil"/>
              <w:bottom w:val="single" w:color="000000" w:sz="2" w:space="0"/>
            </w:tcBorders>
            <w:vAlign w:val="top"/>
          </w:tcPr>
          <w:p w14:paraId="46500B81">
            <w:pPr>
              <w:rPr>
                <w:rFonts w:ascii="Arial"/>
                <w:sz w:val="21"/>
              </w:rPr>
            </w:pPr>
          </w:p>
        </w:tc>
        <w:tc>
          <w:tcPr>
            <w:tcW w:w="2314" w:type="dxa"/>
            <w:tcBorders>
              <w:top w:val="single" w:color="000000" w:sz="2" w:space="0"/>
              <w:bottom w:val="single" w:color="000000" w:sz="2" w:space="0"/>
            </w:tcBorders>
            <w:vAlign w:val="top"/>
          </w:tcPr>
          <w:p w14:paraId="79AA412D">
            <w:pPr>
              <w:pStyle w:val="6"/>
              <w:spacing w:before="53" w:line="218" w:lineRule="auto"/>
              <w:ind w:left="52"/>
            </w:pPr>
            <w:r>
              <w:rPr>
                <w:spacing w:val="2"/>
              </w:rPr>
              <w:t>7.氮气的化学性质</w:t>
            </w:r>
          </w:p>
        </w:tc>
        <w:tc>
          <w:tcPr>
            <w:tcW w:w="230" w:type="dxa"/>
            <w:tcBorders>
              <w:top w:val="single" w:color="000000" w:sz="2" w:space="0"/>
              <w:bottom w:val="single" w:color="000000" w:sz="2" w:space="0"/>
            </w:tcBorders>
            <w:vAlign w:val="top"/>
          </w:tcPr>
          <w:p w14:paraId="500D8585">
            <w:pPr>
              <w:rPr>
                <w:rFonts w:ascii="Arial"/>
                <w:sz w:val="21"/>
              </w:rPr>
            </w:pPr>
          </w:p>
        </w:tc>
        <w:tc>
          <w:tcPr>
            <w:tcW w:w="229" w:type="dxa"/>
            <w:tcBorders>
              <w:top w:val="single" w:color="000000" w:sz="2" w:space="0"/>
              <w:bottom w:val="single" w:color="000000" w:sz="2" w:space="0"/>
            </w:tcBorders>
            <w:vAlign w:val="top"/>
          </w:tcPr>
          <w:p w14:paraId="06C041CC">
            <w:pPr>
              <w:rPr>
                <w:rFonts w:ascii="Arial"/>
                <w:sz w:val="21"/>
              </w:rPr>
            </w:pPr>
          </w:p>
        </w:tc>
        <w:tc>
          <w:tcPr>
            <w:tcW w:w="220" w:type="dxa"/>
            <w:tcBorders>
              <w:top w:val="single" w:color="000000" w:sz="2" w:space="0"/>
              <w:bottom w:val="single" w:color="000000" w:sz="2" w:space="0"/>
            </w:tcBorders>
            <w:vAlign w:val="top"/>
          </w:tcPr>
          <w:p w14:paraId="3EBFA00E">
            <w:pPr>
              <w:rPr>
                <w:rFonts w:ascii="Arial"/>
                <w:sz w:val="21"/>
              </w:rPr>
            </w:pPr>
          </w:p>
        </w:tc>
        <w:tc>
          <w:tcPr>
            <w:tcW w:w="224" w:type="dxa"/>
            <w:tcBorders>
              <w:top w:val="single" w:color="000000" w:sz="2" w:space="0"/>
              <w:bottom w:val="single" w:color="000000" w:sz="2" w:space="0"/>
            </w:tcBorders>
            <w:vAlign w:val="top"/>
          </w:tcPr>
          <w:p w14:paraId="7C57B452">
            <w:pPr>
              <w:rPr>
                <w:rFonts w:ascii="Arial"/>
                <w:sz w:val="21"/>
              </w:rPr>
            </w:pPr>
          </w:p>
        </w:tc>
      </w:tr>
      <w:tr w14:paraId="1E8668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893" w:type="dxa"/>
            <w:vMerge w:val="restart"/>
            <w:tcBorders>
              <w:top w:val="single" w:color="000000" w:sz="2" w:space="0"/>
              <w:bottom w:val="nil"/>
            </w:tcBorders>
            <w:vAlign w:val="top"/>
          </w:tcPr>
          <w:p w14:paraId="02055FA0">
            <w:pPr>
              <w:spacing w:line="357" w:lineRule="auto"/>
              <w:rPr>
                <w:rFonts w:ascii="Arial"/>
                <w:sz w:val="21"/>
              </w:rPr>
            </w:pPr>
          </w:p>
          <w:p w14:paraId="0CC96941">
            <w:pPr>
              <w:spacing w:line="358" w:lineRule="auto"/>
              <w:rPr>
                <w:rFonts w:ascii="Arial"/>
                <w:sz w:val="21"/>
              </w:rPr>
            </w:pPr>
          </w:p>
          <w:p w14:paraId="1E2C91FA">
            <w:pPr>
              <w:pStyle w:val="6"/>
              <w:spacing w:before="56" w:line="247" w:lineRule="auto"/>
              <w:ind w:left="185" w:right="173" w:firstLine="79"/>
            </w:pPr>
            <w:r>
              <w:rPr>
                <w:spacing w:val="-6"/>
              </w:rPr>
              <w:t>常见</w:t>
            </w:r>
            <w:r>
              <w:t xml:space="preserve">  </w:t>
            </w:r>
            <w:r>
              <w:rPr>
                <w:spacing w:val="4"/>
              </w:rPr>
              <w:t>非金属</w:t>
            </w:r>
            <w:r>
              <w:rPr>
                <w:spacing w:val="1"/>
              </w:rPr>
              <w:t xml:space="preserve"> </w:t>
            </w:r>
            <w:r>
              <w:rPr>
                <w:spacing w:val="-2"/>
              </w:rPr>
              <w:t>化合物</w:t>
            </w:r>
          </w:p>
        </w:tc>
        <w:tc>
          <w:tcPr>
            <w:tcW w:w="2314" w:type="dxa"/>
            <w:tcBorders>
              <w:top w:val="single" w:color="000000" w:sz="2" w:space="0"/>
              <w:bottom w:val="single" w:color="000000" w:sz="2" w:space="0"/>
            </w:tcBorders>
            <w:vAlign w:val="top"/>
          </w:tcPr>
          <w:p w14:paraId="13ECF3AA">
            <w:pPr>
              <w:pStyle w:val="6"/>
              <w:spacing w:before="55" w:line="220" w:lineRule="auto"/>
              <w:ind w:left="52"/>
            </w:pPr>
            <w:r>
              <w:rPr>
                <w:spacing w:val="2"/>
              </w:rPr>
              <w:t>1.氯化氢的性质</w:t>
            </w:r>
          </w:p>
        </w:tc>
        <w:tc>
          <w:tcPr>
            <w:tcW w:w="230" w:type="dxa"/>
            <w:tcBorders>
              <w:top w:val="single" w:color="000000" w:sz="2" w:space="0"/>
              <w:bottom w:val="single" w:color="000000" w:sz="2" w:space="0"/>
            </w:tcBorders>
            <w:vAlign w:val="top"/>
          </w:tcPr>
          <w:p w14:paraId="70C84ED6">
            <w:pPr>
              <w:rPr>
                <w:rFonts w:ascii="Arial"/>
                <w:sz w:val="21"/>
              </w:rPr>
            </w:pPr>
          </w:p>
        </w:tc>
        <w:tc>
          <w:tcPr>
            <w:tcW w:w="229" w:type="dxa"/>
            <w:tcBorders>
              <w:top w:val="single" w:color="000000" w:sz="2" w:space="0"/>
              <w:bottom w:val="single" w:color="000000" w:sz="2" w:space="0"/>
            </w:tcBorders>
            <w:vAlign w:val="top"/>
          </w:tcPr>
          <w:p w14:paraId="03B1AF83">
            <w:pPr>
              <w:rPr>
                <w:rFonts w:ascii="Arial"/>
                <w:sz w:val="21"/>
              </w:rPr>
            </w:pPr>
          </w:p>
        </w:tc>
        <w:tc>
          <w:tcPr>
            <w:tcW w:w="220" w:type="dxa"/>
            <w:tcBorders>
              <w:top w:val="single" w:color="000000" w:sz="2" w:space="0"/>
              <w:bottom w:val="single" w:color="000000" w:sz="2" w:space="0"/>
            </w:tcBorders>
            <w:vAlign w:val="top"/>
          </w:tcPr>
          <w:p w14:paraId="510F840E">
            <w:pPr>
              <w:rPr>
                <w:rFonts w:ascii="Arial"/>
                <w:sz w:val="21"/>
              </w:rPr>
            </w:pPr>
          </w:p>
        </w:tc>
        <w:tc>
          <w:tcPr>
            <w:tcW w:w="224" w:type="dxa"/>
            <w:tcBorders>
              <w:top w:val="single" w:color="000000" w:sz="2" w:space="0"/>
              <w:bottom w:val="single" w:color="000000" w:sz="2" w:space="0"/>
            </w:tcBorders>
            <w:vAlign w:val="top"/>
          </w:tcPr>
          <w:p w14:paraId="4E2A57B4">
            <w:pPr>
              <w:rPr>
                <w:rFonts w:ascii="Arial"/>
                <w:sz w:val="21"/>
              </w:rPr>
            </w:pPr>
          </w:p>
        </w:tc>
      </w:tr>
      <w:tr w14:paraId="3518C8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5" w:hRule="atLeast"/>
        </w:trPr>
        <w:tc>
          <w:tcPr>
            <w:tcW w:w="893" w:type="dxa"/>
            <w:vMerge w:val="continue"/>
            <w:tcBorders>
              <w:top w:val="nil"/>
              <w:bottom w:val="nil"/>
            </w:tcBorders>
            <w:vAlign w:val="top"/>
          </w:tcPr>
          <w:p w14:paraId="70A00F6E">
            <w:pPr>
              <w:rPr>
                <w:rFonts w:ascii="Arial"/>
                <w:sz w:val="21"/>
              </w:rPr>
            </w:pPr>
          </w:p>
        </w:tc>
        <w:tc>
          <w:tcPr>
            <w:tcW w:w="2314" w:type="dxa"/>
            <w:tcBorders>
              <w:top w:val="single" w:color="000000" w:sz="2" w:space="0"/>
              <w:bottom w:val="single" w:color="000000" w:sz="2" w:space="0"/>
            </w:tcBorders>
            <w:vAlign w:val="top"/>
          </w:tcPr>
          <w:p w14:paraId="6594E43A">
            <w:pPr>
              <w:pStyle w:val="6"/>
              <w:spacing w:before="45" w:line="217" w:lineRule="auto"/>
              <w:ind w:left="52"/>
            </w:pPr>
            <w:r>
              <w:rPr>
                <w:spacing w:val="2"/>
              </w:rPr>
              <w:t>2.硫化氢的性质</w:t>
            </w:r>
          </w:p>
        </w:tc>
        <w:tc>
          <w:tcPr>
            <w:tcW w:w="230" w:type="dxa"/>
            <w:tcBorders>
              <w:top w:val="single" w:color="000000" w:sz="2" w:space="0"/>
              <w:bottom w:val="single" w:color="000000" w:sz="2" w:space="0"/>
            </w:tcBorders>
            <w:vAlign w:val="top"/>
          </w:tcPr>
          <w:p w14:paraId="3156F9DF">
            <w:pPr>
              <w:rPr>
                <w:rFonts w:ascii="Arial"/>
                <w:sz w:val="21"/>
              </w:rPr>
            </w:pPr>
          </w:p>
        </w:tc>
        <w:tc>
          <w:tcPr>
            <w:tcW w:w="229" w:type="dxa"/>
            <w:tcBorders>
              <w:top w:val="single" w:color="000000" w:sz="2" w:space="0"/>
              <w:bottom w:val="single" w:color="000000" w:sz="2" w:space="0"/>
            </w:tcBorders>
            <w:vAlign w:val="top"/>
          </w:tcPr>
          <w:p w14:paraId="189E470B">
            <w:pPr>
              <w:rPr>
                <w:rFonts w:ascii="Arial"/>
                <w:sz w:val="21"/>
              </w:rPr>
            </w:pPr>
          </w:p>
        </w:tc>
        <w:tc>
          <w:tcPr>
            <w:tcW w:w="220" w:type="dxa"/>
            <w:tcBorders>
              <w:top w:val="single" w:color="000000" w:sz="2" w:space="0"/>
              <w:bottom w:val="single" w:color="000000" w:sz="2" w:space="0"/>
            </w:tcBorders>
            <w:vAlign w:val="top"/>
          </w:tcPr>
          <w:p w14:paraId="11E614F7">
            <w:pPr>
              <w:rPr>
                <w:rFonts w:ascii="Arial"/>
                <w:sz w:val="21"/>
              </w:rPr>
            </w:pPr>
          </w:p>
        </w:tc>
        <w:tc>
          <w:tcPr>
            <w:tcW w:w="224" w:type="dxa"/>
            <w:tcBorders>
              <w:top w:val="single" w:color="000000" w:sz="2" w:space="0"/>
              <w:bottom w:val="single" w:color="000000" w:sz="2" w:space="0"/>
            </w:tcBorders>
            <w:vAlign w:val="top"/>
          </w:tcPr>
          <w:p w14:paraId="3D2F451D">
            <w:pPr>
              <w:rPr>
                <w:rFonts w:ascii="Arial"/>
                <w:sz w:val="21"/>
              </w:rPr>
            </w:pPr>
          </w:p>
        </w:tc>
      </w:tr>
      <w:tr w14:paraId="7B7844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4" w:hRule="atLeast"/>
        </w:trPr>
        <w:tc>
          <w:tcPr>
            <w:tcW w:w="893" w:type="dxa"/>
            <w:vMerge w:val="continue"/>
            <w:tcBorders>
              <w:top w:val="nil"/>
              <w:bottom w:val="nil"/>
            </w:tcBorders>
            <w:vAlign w:val="top"/>
          </w:tcPr>
          <w:p w14:paraId="685302DB">
            <w:pPr>
              <w:rPr>
                <w:rFonts w:ascii="Arial"/>
                <w:sz w:val="21"/>
              </w:rPr>
            </w:pPr>
          </w:p>
        </w:tc>
        <w:tc>
          <w:tcPr>
            <w:tcW w:w="2314" w:type="dxa"/>
            <w:tcBorders>
              <w:top w:val="single" w:color="000000" w:sz="2" w:space="0"/>
              <w:bottom w:val="single" w:color="000000" w:sz="2" w:space="0"/>
            </w:tcBorders>
            <w:vAlign w:val="top"/>
          </w:tcPr>
          <w:p w14:paraId="1A248144">
            <w:pPr>
              <w:pStyle w:val="6"/>
              <w:spacing w:before="55" w:line="216" w:lineRule="auto"/>
              <w:ind w:left="52"/>
            </w:pPr>
            <w:r>
              <w:rPr>
                <w:spacing w:val="1"/>
              </w:rPr>
              <w:t>3.氨气、铵盐的化学性质</w:t>
            </w:r>
          </w:p>
        </w:tc>
        <w:tc>
          <w:tcPr>
            <w:tcW w:w="230" w:type="dxa"/>
            <w:tcBorders>
              <w:top w:val="single" w:color="000000" w:sz="2" w:space="0"/>
              <w:bottom w:val="single" w:color="000000" w:sz="2" w:space="0"/>
            </w:tcBorders>
            <w:vAlign w:val="top"/>
          </w:tcPr>
          <w:p w14:paraId="032C0EA2">
            <w:pPr>
              <w:rPr>
                <w:rFonts w:ascii="Arial"/>
                <w:sz w:val="21"/>
              </w:rPr>
            </w:pPr>
          </w:p>
        </w:tc>
        <w:tc>
          <w:tcPr>
            <w:tcW w:w="229" w:type="dxa"/>
            <w:tcBorders>
              <w:top w:val="single" w:color="000000" w:sz="2" w:space="0"/>
              <w:bottom w:val="single" w:color="000000" w:sz="2" w:space="0"/>
            </w:tcBorders>
            <w:vAlign w:val="top"/>
          </w:tcPr>
          <w:p w14:paraId="1EBCC69D">
            <w:pPr>
              <w:rPr>
                <w:rFonts w:ascii="Arial"/>
                <w:sz w:val="21"/>
              </w:rPr>
            </w:pPr>
          </w:p>
        </w:tc>
        <w:tc>
          <w:tcPr>
            <w:tcW w:w="220" w:type="dxa"/>
            <w:tcBorders>
              <w:top w:val="single" w:color="000000" w:sz="2" w:space="0"/>
              <w:bottom w:val="single" w:color="000000" w:sz="2" w:space="0"/>
            </w:tcBorders>
            <w:vAlign w:val="top"/>
          </w:tcPr>
          <w:p w14:paraId="0CAC5183">
            <w:pPr>
              <w:rPr>
                <w:rFonts w:ascii="Arial"/>
                <w:sz w:val="21"/>
              </w:rPr>
            </w:pPr>
          </w:p>
        </w:tc>
        <w:tc>
          <w:tcPr>
            <w:tcW w:w="224" w:type="dxa"/>
            <w:tcBorders>
              <w:top w:val="single" w:color="000000" w:sz="2" w:space="0"/>
              <w:bottom w:val="single" w:color="000000" w:sz="2" w:space="0"/>
            </w:tcBorders>
            <w:vAlign w:val="top"/>
          </w:tcPr>
          <w:p w14:paraId="18BF7A46">
            <w:pPr>
              <w:rPr>
                <w:rFonts w:ascii="Arial"/>
                <w:sz w:val="21"/>
              </w:rPr>
            </w:pPr>
          </w:p>
        </w:tc>
      </w:tr>
      <w:tr w14:paraId="2F6581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5" w:hRule="atLeast"/>
        </w:trPr>
        <w:tc>
          <w:tcPr>
            <w:tcW w:w="893" w:type="dxa"/>
            <w:vMerge w:val="continue"/>
            <w:tcBorders>
              <w:top w:val="nil"/>
              <w:bottom w:val="nil"/>
            </w:tcBorders>
            <w:vAlign w:val="top"/>
          </w:tcPr>
          <w:p w14:paraId="501660C8">
            <w:pPr>
              <w:rPr>
                <w:rFonts w:ascii="Arial"/>
                <w:sz w:val="21"/>
              </w:rPr>
            </w:pPr>
          </w:p>
        </w:tc>
        <w:tc>
          <w:tcPr>
            <w:tcW w:w="2314" w:type="dxa"/>
            <w:tcBorders>
              <w:top w:val="single" w:color="000000" w:sz="2" w:space="0"/>
              <w:bottom w:val="single" w:color="000000" w:sz="2" w:space="0"/>
            </w:tcBorders>
            <w:vAlign w:val="top"/>
          </w:tcPr>
          <w:p w14:paraId="1443790A">
            <w:pPr>
              <w:pStyle w:val="6"/>
              <w:spacing w:before="54" w:line="218" w:lineRule="auto"/>
              <w:ind w:left="52"/>
            </w:pPr>
            <w:r>
              <w:rPr>
                <w:spacing w:val="-1"/>
              </w:rPr>
              <w:t>4.二氧化硫和三氧化硫</w:t>
            </w:r>
          </w:p>
        </w:tc>
        <w:tc>
          <w:tcPr>
            <w:tcW w:w="230" w:type="dxa"/>
            <w:tcBorders>
              <w:top w:val="single" w:color="000000" w:sz="2" w:space="0"/>
              <w:bottom w:val="single" w:color="000000" w:sz="2" w:space="0"/>
            </w:tcBorders>
            <w:vAlign w:val="top"/>
          </w:tcPr>
          <w:p w14:paraId="66DDFC7A">
            <w:pPr>
              <w:rPr>
                <w:rFonts w:ascii="Arial"/>
                <w:sz w:val="21"/>
              </w:rPr>
            </w:pPr>
          </w:p>
        </w:tc>
        <w:tc>
          <w:tcPr>
            <w:tcW w:w="229" w:type="dxa"/>
            <w:tcBorders>
              <w:top w:val="single" w:color="000000" w:sz="2" w:space="0"/>
              <w:bottom w:val="single" w:color="000000" w:sz="2" w:space="0"/>
            </w:tcBorders>
            <w:vAlign w:val="top"/>
          </w:tcPr>
          <w:p w14:paraId="294ACCE3">
            <w:pPr>
              <w:rPr>
                <w:rFonts w:ascii="Arial"/>
                <w:sz w:val="21"/>
              </w:rPr>
            </w:pPr>
          </w:p>
        </w:tc>
        <w:tc>
          <w:tcPr>
            <w:tcW w:w="220" w:type="dxa"/>
            <w:tcBorders>
              <w:top w:val="single" w:color="000000" w:sz="2" w:space="0"/>
              <w:bottom w:val="single" w:color="000000" w:sz="2" w:space="0"/>
            </w:tcBorders>
            <w:vAlign w:val="top"/>
          </w:tcPr>
          <w:p w14:paraId="6C7B523F">
            <w:pPr>
              <w:rPr>
                <w:rFonts w:ascii="Arial"/>
                <w:sz w:val="21"/>
              </w:rPr>
            </w:pPr>
          </w:p>
        </w:tc>
        <w:tc>
          <w:tcPr>
            <w:tcW w:w="224" w:type="dxa"/>
            <w:tcBorders>
              <w:top w:val="single" w:color="000000" w:sz="2" w:space="0"/>
              <w:bottom w:val="single" w:color="000000" w:sz="2" w:space="0"/>
            </w:tcBorders>
            <w:vAlign w:val="top"/>
          </w:tcPr>
          <w:p w14:paraId="3C5F7972">
            <w:pPr>
              <w:rPr>
                <w:rFonts w:ascii="Arial"/>
                <w:sz w:val="21"/>
              </w:rPr>
            </w:pPr>
          </w:p>
        </w:tc>
      </w:tr>
      <w:tr w14:paraId="51F173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5" w:hRule="atLeast"/>
        </w:trPr>
        <w:tc>
          <w:tcPr>
            <w:tcW w:w="893" w:type="dxa"/>
            <w:vMerge w:val="continue"/>
            <w:tcBorders>
              <w:top w:val="nil"/>
              <w:bottom w:val="nil"/>
            </w:tcBorders>
            <w:vAlign w:val="top"/>
          </w:tcPr>
          <w:p w14:paraId="2118AAFB">
            <w:pPr>
              <w:rPr>
                <w:rFonts w:ascii="Arial"/>
                <w:sz w:val="21"/>
              </w:rPr>
            </w:pPr>
          </w:p>
        </w:tc>
        <w:tc>
          <w:tcPr>
            <w:tcW w:w="2314" w:type="dxa"/>
            <w:tcBorders>
              <w:top w:val="single" w:color="000000" w:sz="2" w:space="0"/>
              <w:bottom w:val="single" w:color="000000" w:sz="2" w:space="0"/>
            </w:tcBorders>
            <w:vAlign w:val="top"/>
          </w:tcPr>
          <w:p w14:paraId="592AC900">
            <w:pPr>
              <w:pStyle w:val="6"/>
              <w:spacing w:before="56" w:line="216" w:lineRule="auto"/>
              <w:ind w:left="52"/>
            </w:pPr>
            <w:r>
              <w:rPr>
                <w:spacing w:val="2"/>
              </w:rPr>
              <w:t>5.硫酸的性质</w:t>
            </w:r>
          </w:p>
        </w:tc>
        <w:tc>
          <w:tcPr>
            <w:tcW w:w="230" w:type="dxa"/>
            <w:tcBorders>
              <w:top w:val="single" w:color="000000" w:sz="2" w:space="0"/>
              <w:bottom w:val="single" w:color="000000" w:sz="2" w:space="0"/>
            </w:tcBorders>
            <w:vAlign w:val="top"/>
          </w:tcPr>
          <w:p w14:paraId="519EBF9A">
            <w:pPr>
              <w:rPr>
                <w:rFonts w:ascii="Arial"/>
                <w:sz w:val="21"/>
              </w:rPr>
            </w:pPr>
          </w:p>
        </w:tc>
        <w:tc>
          <w:tcPr>
            <w:tcW w:w="229" w:type="dxa"/>
            <w:tcBorders>
              <w:top w:val="single" w:color="000000" w:sz="2" w:space="0"/>
              <w:bottom w:val="single" w:color="000000" w:sz="2" w:space="0"/>
            </w:tcBorders>
            <w:vAlign w:val="top"/>
          </w:tcPr>
          <w:p w14:paraId="304770E3">
            <w:pPr>
              <w:rPr>
                <w:rFonts w:ascii="Arial"/>
                <w:sz w:val="21"/>
              </w:rPr>
            </w:pPr>
          </w:p>
        </w:tc>
        <w:tc>
          <w:tcPr>
            <w:tcW w:w="220" w:type="dxa"/>
            <w:tcBorders>
              <w:top w:val="single" w:color="000000" w:sz="2" w:space="0"/>
              <w:bottom w:val="single" w:color="000000" w:sz="2" w:space="0"/>
            </w:tcBorders>
            <w:vAlign w:val="top"/>
          </w:tcPr>
          <w:p w14:paraId="01276089">
            <w:pPr>
              <w:rPr>
                <w:rFonts w:ascii="Arial"/>
                <w:sz w:val="21"/>
              </w:rPr>
            </w:pPr>
          </w:p>
        </w:tc>
        <w:tc>
          <w:tcPr>
            <w:tcW w:w="224" w:type="dxa"/>
            <w:tcBorders>
              <w:top w:val="single" w:color="000000" w:sz="2" w:space="0"/>
              <w:bottom w:val="single" w:color="000000" w:sz="2" w:space="0"/>
            </w:tcBorders>
            <w:vAlign w:val="top"/>
          </w:tcPr>
          <w:p w14:paraId="006B320A">
            <w:pPr>
              <w:rPr>
                <w:rFonts w:ascii="Arial"/>
                <w:sz w:val="21"/>
              </w:rPr>
            </w:pPr>
          </w:p>
        </w:tc>
      </w:tr>
      <w:tr w14:paraId="459AB0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5" w:hRule="atLeast"/>
        </w:trPr>
        <w:tc>
          <w:tcPr>
            <w:tcW w:w="893" w:type="dxa"/>
            <w:vMerge w:val="continue"/>
            <w:tcBorders>
              <w:top w:val="nil"/>
              <w:bottom w:val="nil"/>
            </w:tcBorders>
            <w:vAlign w:val="top"/>
          </w:tcPr>
          <w:p w14:paraId="4A25BDDE">
            <w:pPr>
              <w:rPr>
                <w:rFonts w:ascii="Arial"/>
                <w:sz w:val="21"/>
              </w:rPr>
            </w:pPr>
          </w:p>
        </w:tc>
        <w:tc>
          <w:tcPr>
            <w:tcW w:w="2314" w:type="dxa"/>
            <w:tcBorders>
              <w:top w:val="single" w:color="000000" w:sz="2" w:space="0"/>
              <w:bottom w:val="single" w:color="000000" w:sz="2" w:space="0"/>
            </w:tcBorders>
            <w:vAlign w:val="top"/>
          </w:tcPr>
          <w:p w14:paraId="2CF954C2">
            <w:pPr>
              <w:pStyle w:val="6"/>
              <w:spacing w:before="54" w:line="218" w:lineRule="auto"/>
              <w:ind w:left="52"/>
            </w:pPr>
            <w:r>
              <w:rPr>
                <w:spacing w:val="-1"/>
              </w:rPr>
              <w:t>6.一氧化氮和二氧化氮</w:t>
            </w:r>
          </w:p>
        </w:tc>
        <w:tc>
          <w:tcPr>
            <w:tcW w:w="230" w:type="dxa"/>
            <w:tcBorders>
              <w:top w:val="single" w:color="000000" w:sz="2" w:space="0"/>
              <w:bottom w:val="single" w:color="000000" w:sz="2" w:space="0"/>
            </w:tcBorders>
            <w:vAlign w:val="top"/>
          </w:tcPr>
          <w:p w14:paraId="58B36400">
            <w:pPr>
              <w:pStyle w:val="6"/>
              <w:spacing w:before="72" w:line="198" w:lineRule="auto"/>
              <w:ind w:left="28"/>
            </w:pPr>
            <w:r>
              <w:t>√</w:t>
            </w:r>
          </w:p>
        </w:tc>
        <w:tc>
          <w:tcPr>
            <w:tcW w:w="229" w:type="dxa"/>
            <w:tcBorders>
              <w:top w:val="single" w:color="000000" w:sz="2" w:space="0"/>
              <w:bottom w:val="single" w:color="000000" w:sz="2" w:space="0"/>
            </w:tcBorders>
            <w:vAlign w:val="top"/>
          </w:tcPr>
          <w:p w14:paraId="19C3EE22">
            <w:pPr>
              <w:rPr>
                <w:rFonts w:ascii="Arial"/>
                <w:sz w:val="21"/>
              </w:rPr>
            </w:pPr>
          </w:p>
        </w:tc>
        <w:tc>
          <w:tcPr>
            <w:tcW w:w="220" w:type="dxa"/>
            <w:tcBorders>
              <w:top w:val="single" w:color="000000" w:sz="2" w:space="0"/>
              <w:bottom w:val="single" w:color="000000" w:sz="2" w:space="0"/>
            </w:tcBorders>
            <w:vAlign w:val="top"/>
          </w:tcPr>
          <w:p w14:paraId="1A71110E">
            <w:pPr>
              <w:rPr>
                <w:rFonts w:ascii="Arial"/>
                <w:sz w:val="21"/>
              </w:rPr>
            </w:pPr>
          </w:p>
        </w:tc>
        <w:tc>
          <w:tcPr>
            <w:tcW w:w="224" w:type="dxa"/>
            <w:tcBorders>
              <w:top w:val="single" w:color="000000" w:sz="2" w:space="0"/>
              <w:bottom w:val="single" w:color="000000" w:sz="2" w:space="0"/>
            </w:tcBorders>
            <w:vAlign w:val="top"/>
          </w:tcPr>
          <w:p w14:paraId="36947948">
            <w:pPr>
              <w:rPr>
                <w:rFonts w:ascii="Arial"/>
                <w:sz w:val="21"/>
              </w:rPr>
            </w:pPr>
          </w:p>
        </w:tc>
      </w:tr>
      <w:tr w14:paraId="66D58E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5" w:hRule="atLeast"/>
        </w:trPr>
        <w:tc>
          <w:tcPr>
            <w:tcW w:w="893" w:type="dxa"/>
            <w:vMerge w:val="continue"/>
            <w:tcBorders>
              <w:top w:val="nil"/>
              <w:bottom w:val="nil"/>
            </w:tcBorders>
            <w:vAlign w:val="top"/>
          </w:tcPr>
          <w:p w14:paraId="1B4C5B60">
            <w:pPr>
              <w:rPr>
                <w:rFonts w:ascii="Arial"/>
                <w:sz w:val="21"/>
              </w:rPr>
            </w:pPr>
          </w:p>
        </w:tc>
        <w:tc>
          <w:tcPr>
            <w:tcW w:w="2314" w:type="dxa"/>
            <w:tcBorders>
              <w:top w:val="single" w:color="000000" w:sz="2" w:space="0"/>
              <w:bottom w:val="single" w:color="000000" w:sz="2" w:space="0"/>
            </w:tcBorders>
            <w:vAlign w:val="top"/>
          </w:tcPr>
          <w:p w14:paraId="115B7F1A">
            <w:pPr>
              <w:pStyle w:val="6"/>
              <w:spacing w:before="46" w:line="216" w:lineRule="auto"/>
              <w:ind w:left="52"/>
            </w:pPr>
            <w:r>
              <w:rPr>
                <w:spacing w:val="-1"/>
              </w:rPr>
              <w:t>7.硝酸的性质和用途</w:t>
            </w:r>
          </w:p>
        </w:tc>
        <w:tc>
          <w:tcPr>
            <w:tcW w:w="230" w:type="dxa"/>
            <w:tcBorders>
              <w:top w:val="single" w:color="000000" w:sz="2" w:space="0"/>
              <w:bottom w:val="single" w:color="000000" w:sz="2" w:space="0"/>
            </w:tcBorders>
            <w:vAlign w:val="top"/>
          </w:tcPr>
          <w:p w14:paraId="4DD5DD55">
            <w:pPr>
              <w:rPr>
                <w:rFonts w:ascii="Arial"/>
                <w:sz w:val="21"/>
              </w:rPr>
            </w:pPr>
          </w:p>
        </w:tc>
        <w:tc>
          <w:tcPr>
            <w:tcW w:w="229" w:type="dxa"/>
            <w:tcBorders>
              <w:top w:val="single" w:color="000000" w:sz="2" w:space="0"/>
              <w:bottom w:val="single" w:color="000000" w:sz="2" w:space="0"/>
            </w:tcBorders>
            <w:vAlign w:val="top"/>
          </w:tcPr>
          <w:p w14:paraId="186E634E">
            <w:pPr>
              <w:rPr>
                <w:rFonts w:ascii="Arial"/>
                <w:sz w:val="21"/>
              </w:rPr>
            </w:pPr>
          </w:p>
        </w:tc>
        <w:tc>
          <w:tcPr>
            <w:tcW w:w="220" w:type="dxa"/>
            <w:tcBorders>
              <w:top w:val="single" w:color="000000" w:sz="2" w:space="0"/>
              <w:bottom w:val="single" w:color="000000" w:sz="2" w:space="0"/>
            </w:tcBorders>
            <w:vAlign w:val="top"/>
          </w:tcPr>
          <w:p w14:paraId="3DA0F29F">
            <w:pPr>
              <w:rPr>
                <w:rFonts w:ascii="Arial"/>
                <w:sz w:val="21"/>
              </w:rPr>
            </w:pPr>
          </w:p>
        </w:tc>
        <w:tc>
          <w:tcPr>
            <w:tcW w:w="224" w:type="dxa"/>
            <w:tcBorders>
              <w:top w:val="single" w:color="000000" w:sz="2" w:space="0"/>
              <w:bottom w:val="single" w:color="000000" w:sz="2" w:space="0"/>
            </w:tcBorders>
            <w:vAlign w:val="top"/>
          </w:tcPr>
          <w:p w14:paraId="1870D2A3">
            <w:pPr>
              <w:rPr>
                <w:rFonts w:ascii="Arial"/>
                <w:sz w:val="21"/>
              </w:rPr>
            </w:pPr>
          </w:p>
        </w:tc>
      </w:tr>
      <w:tr w14:paraId="0DFA35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893" w:type="dxa"/>
            <w:vMerge w:val="continue"/>
            <w:tcBorders>
              <w:top w:val="nil"/>
              <w:bottom w:val="single" w:color="000000" w:sz="2" w:space="0"/>
            </w:tcBorders>
            <w:vAlign w:val="top"/>
          </w:tcPr>
          <w:p w14:paraId="57770D64">
            <w:pPr>
              <w:rPr>
                <w:rFonts w:ascii="Arial"/>
                <w:sz w:val="21"/>
              </w:rPr>
            </w:pPr>
          </w:p>
        </w:tc>
        <w:tc>
          <w:tcPr>
            <w:tcW w:w="2314" w:type="dxa"/>
            <w:tcBorders>
              <w:top w:val="single" w:color="000000" w:sz="2" w:space="0"/>
              <w:bottom w:val="single" w:color="000000" w:sz="2" w:space="0"/>
            </w:tcBorders>
            <w:vAlign w:val="top"/>
          </w:tcPr>
          <w:p w14:paraId="7B2E34EE">
            <w:pPr>
              <w:pStyle w:val="6"/>
              <w:spacing w:before="55" w:line="220" w:lineRule="auto"/>
              <w:ind w:left="52"/>
            </w:pPr>
            <w:r>
              <w:rPr>
                <w:spacing w:val="-1"/>
              </w:rPr>
              <w:t>8.大气污染与环境保护</w:t>
            </w:r>
          </w:p>
        </w:tc>
        <w:tc>
          <w:tcPr>
            <w:tcW w:w="230" w:type="dxa"/>
            <w:tcBorders>
              <w:top w:val="single" w:color="000000" w:sz="2" w:space="0"/>
              <w:bottom w:val="single" w:color="000000" w:sz="2" w:space="0"/>
            </w:tcBorders>
            <w:vAlign w:val="top"/>
          </w:tcPr>
          <w:p w14:paraId="40ABB7B8">
            <w:pPr>
              <w:pStyle w:val="6"/>
              <w:spacing w:before="100" w:line="179" w:lineRule="auto"/>
              <w:ind w:left="68"/>
            </w:pPr>
            <w:r>
              <w:t>V</w:t>
            </w:r>
          </w:p>
        </w:tc>
        <w:tc>
          <w:tcPr>
            <w:tcW w:w="229" w:type="dxa"/>
            <w:tcBorders>
              <w:top w:val="single" w:color="000000" w:sz="2" w:space="0"/>
              <w:bottom w:val="single" w:color="000000" w:sz="2" w:space="0"/>
            </w:tcBorders>
            <w:vAlign w:val="top"/>
          </w:tcPr>
          <w:p w14:paraId="1C6BB74E">
            <w:pPr>
              <w:rPr>
                <w:rFonts w:ascii="Arial"/>
                <w:sz w:val="21"/>
              </w:rPr>
            </w:pPr>
          </w:p>
        </w:tc>
        <w:tc>
          <w:tcPr>
            <w:tcW w:w="220" w:type="dxa"/>
            <w:tcBorders>
              <w:top w:val="single" w:color="000000" w:sz="2" w:space="0"/>
              <w:bottom w:val="single" w:color="000000" w:sz="2" w:space="0"/>
            </w:tcBorders>
            <w:vAlign w:val="top"/>
          </w:tcPr>
          <w:p w14:paraId="2B327D0E">
            <w:pPr>
              <w:rPr>
                <w:rFonts w:ascii="Arial"/>
                <w:sz w:val="21"/>
              </w:rPr>
            </w:pPr>
          </w:p>
        </w:tc>
        <w:tc>
          <w:tcPr>
            <w:tcW w:w="224" w:type="dxa"/>
            <w:tcBorders>
              <w:top w:val="single" w:color="000000" w:sz="2" w:space="0"/>
              <w:bottom w:val="single" w:color="000000" w:sz="2" w:space="0"/>
            </w:tcBorders>
            <w:vAlign w:val="top"/>
          </w:tcPr>
          <w:p w14:paraId="235C0BD9">
            <w:pPr>
              <w:rPr>
                <w:rFonts w:ascii="Arial"/>
                <w:sz w:val="21"/>
              </w:rPr>
            </w:pPr>
          </w:p>
        </w:tc>
      </w:tr>
      <w:tr w14:paraId="176FB9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4" w:hRule="atLeast"/>
        </w:trPr>
        <w:tc>
          <w:tcPr>
            <w:tcW w:w="893" w:type="dxa"/>
            <w:vMerge w:val="restart"/>
            <w:tcBorders>
              <w:top w:val="single" w:color="000000" w:sz="2" w:space="0"/>
              <w:bottom w:val="nil"/>
            </w:tcBorders>
            <w:vAlign w:val="top"/>
          </w:tcPr>
          <w:p w14:paraId="4F92AB38">
            <w:pPr>
              <w:spacing w:line="446" w:lineRule="auto"/>
              <w:rPr>
                <w:rFonts w:ascii="Arial"/>
                <w:sz w:val="21"/>
              </w:rPr>
            </w:pPr>
          </w:p>
          <w:p w14:paraId="1ED2EB2A">
            <w:pPr>
              <w:pStyle w:val="6"/>
              <w:spacing w:before="55" w:line="247" w:lineRule="auto"/>
              <w:ind w:left="265" w:right="258"/>
              <w:jc w:val="both"/>
            </w:pPr>
            <w:r>
              <w:rPr>
                <w:spacing w:val="-6"/>
              </w:rPr>
              <w:t>常见</w:t>
            </w:r>
            <w:r>
              <w:t xml:space="preserve"> </w:t>
            </w:r>
            <w:r>
              <w:rPr>
                <w:spacing w:val="7"/>
              </w:rPr>
              <w:t>金属</w:t>
            </w:r>
            <w:r>
              <w:t xml:space="preserve"> </w:t>
            </w:r>
            <w:r>
              <w:rPr>
                <w:spacing w:val="9"/>
              </w:rPr>
              <w:t>单质</w:t>
            </w:r>
          </w:p>
        </w:tc>
        <w:tc>
          <w:tcPr>
            <w:tcW w:w="2314" w:type="dxa"/>
            <w:tcBorders>
              <w:top w:val="single" w:color="000000" w:sz="2" w:space="0"/>
              <w:bottom w:val="single" w:color="000000" w:sz="2" w:space="0"/>
            </w:tcBorders>
            <w:vAlign w:val="top"/>
          </w:tcPr>
          <w:p w14:paraId="44E228DF">
            <w:pPr>
              <w:pStyle w:val="6"/>
              <w:spacing w:before="55" w:line="216" w:lineRule="auto"/>
              <w:ind w:left="52"/>
            </w:pPr>
            <w:r>
              <w:t>1.金属晶体及金属共性</w:t>
            </w:r>
          </w:p>
        </w:tc>
        <w:tc>
          <w:tcPr>
            <w:tcW w:w="230" w:type="dxa"/>
            <w:tcBorders>
              <w:top w:val="single" w:color="000000" w:sz="2" w:space="0"/>
              <w:bottom w:val="single" w:color="000000" w:sz="2" w:space="0"/>
            </w:tcBorders>
            <w:vAlign w:val="top"/>
          </w:tcPr>
          <w:p w14:paraId="6324AE9B">
            <w:pPr>
              <w:pStyle w:val="6"/>
              <w:spacing w:before="100" w:line="167" w:lineRule="auto"/>
              <w:ind w:left="68"/>
            </w:pPr>
            <w:r>
              <w:t>V</w:t>
            </w:r>
          </w:p>
        </w:tc>
        <w:tc>
          <w:tcPr>
            <w:tcW w:w="229" w:type="dxa"/>
            <w:tcBorders>
              <w:top w:val="single" w:color="000000" w:sz="2" w:space="0"/>
              <w:bottom w:val="single" w:color="000000" w:sz="2" w:space="0"/>
            </w:tcBorders>
            <w:vAlign w:val="top"/>
          </w:tcPr>
          <w:p w14:paraId="0A54359B">
            <w:pPr>
              <w:rPr>
                <w:rFonts w:ascii="Arial"/>
                <w:sz w:val="21"/>
              </w:rPr>
            </w:pPr>
          </w:p>
        </w:tc>
        <w:tc>
          <w:tcPr>
            <w:tcW w:w="220" w:type="dxa"/>
            <w:tcBorders>
              <w:top w:val="single" w:color="000000" w:sz="2" w:space="0"/>
              <w:bottom w:val="single" w:color="000000" w:sz="2" w:space="0"/>
            </w:tcBorders>
            <w:vAlign w:val="top"/>
          </w:tcPr>
          <w:p w14:paraId="4BAFC691">
            <w:pPr>
              <w:rPr>
                <w:rFonts w:ascii="Arial"/>
                <w:sz w:val="21"/>
              </w:rPr>
            </w:pPr>
          </w:p>
        </w:tc>
        <w:tc>
          <w:tcPr>
            <w:tcW w:w="224" w:type="dxa"/>
            <w:tcBorders>
              <w:top w:val="single" w:color="000000" w:sz="2" w:space="0"/>
              <w:bottom w:val="single" w:color="000000" w:sz="2" w:space="0"/>
            </w:tcBorders>
            <w:vAlign w:val="top"/>
          </w:tcPr>
          <w:p w14:paraId="07494E17">
            <w:pPr>
              <w:rPr>
                <w:rFonts w:ascii="Arial"/>
                <w:sz w:val="21"/>
              </w:rPr>
            </w:pPr>
          </w:p>
        </w:tc>
      </w:tr>
      <w:tr w14:paraId="21615D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5" w:hRule="atLeast"/>
        </w:trPr>
        <w:tc>
          <w:tcPr>
            <w:tcW w:w="893" w:type="dxa"/>
            <w:vMerge w:val="continue"/>
            <w:tcBorders>
              <w:top w:val="nil"/>
              <w:bottom w:val="nil"/>
            </w:tcBorders>
            <w:vAlign w:val="top"/>
          </w:tcPr>
          <w:p w14:paraId="0F4AB293">
            <w:pPr>
              <w:rPr>
                <w:rFonts w:ascii="Arial"/>
                <w:sz w:val="21"/>
              </w:rPr>
            </w:pPr>
          </w:p>
        </w:tc>
        <w:tc>
          <w:tcPr>
            <w:tcW w:w="2314" w:type="dxa"/>
            <w:tcBorders>
              <w:top w:val="single" w:color="000000" w:sz="2" w:space="0"/>
              <w:bottom w:val="single" w:color="000000" w:sz="2" w:space="0"/>
            </w:tcBorders>
            <w:vAlign w:val="top"/>
          </w:tcPr>
          <w:p w14:paraId="719F4802">
            <w:pPr>
              <w:pStyle w:val="6"/>
              <w:spacing w:before="47" w:line="215" w:lineRule="auto"/>
              <w:ind w:left="52"/>
            </w:pPr>
            <w:r>
              <w:rPr>
                <w:spacing w:val="-1"/>
              </w:rPr>
              <w:t>2.钠的物理性质和用途</w:t>
            </w:r>
          </w:p>
        </w:tc>
        <w:tc>
          <w:tcPr>
            <w:tcW w:w="230" w:type="dxa"/>
            <w:tcBorders>
              <w:top w:val="single" w:color="000000" w:sz="2" w:space="0"/>
              <w:bottom w:val="single" w:color="000000" w:sz="2" w:space="0"/>
            </w:tcBorders>
            <w:vAlign w:val="top"/>
          </w:tcPr>
          <w:p w14:paraId="310D2E86">
            <w:pPr>
              <w:pStyle w:val="6"/>
              <w:spacing w:before="91" w:line="167" w:lineRule="auto"/>
              <w:ind w:left="68"/>
            </w:pPr>
            <w:r>
              <w:t>V</w:t>
            </w:r>
          </w:p>
        </w:tc>
        <w:tc>
          <w:tcPr>
            <w:tcW w:w="229" w:type="dxa"/>
            <w:tcBorders>
              <w:top w:val="single" w:color="000000" w:sz="2" w:space="0"/>
              <w:bottom w:val="single" w:color="000000" w:sz="2" w:space="0"/>
            </w:tcBorders>
            <w:vAlign w:val="top"/>
          </w:tcPr>
          <w:p w14:paraId="4D10993C">
            <w:pPr>
              <w:rPr>
                <w:rFonts w:ascii="Arial"/>
                <w:sz w:val="21"/>
              </w:rPr>
            </w:pPr>
          </w:p>
        </w:tc>
        <w:tc>
          <w:tcPr>
            <w:tcW w:w="220" w:type="dxa"/>
            <w:tcBorders>
              <w:top w:val="single" w:color="000000" w:sz="2" w:space="0"/>
              <w:bottom w:val="single" w:color="000000" w:sz="2" w:space="0"/>
            </w:tcBorders>
            <w:vAlign w:val="top"/>
          </w:tcPr>
          <w:p w14:paraId="16783118">
            <w:pPr>
              <w:rPr>
                <w:rFonts w:ascii="Arial"/>
                <w:sz w:val="21"/>
              </w:rPr>
            </w:pPr>
          </w:p>
        </w:tc>
        <w:tc>
          <w:tcPr>
            <w:tcW w:w="224" w:type="dxa"/>
            <w:tcBorders>
              <w:top w:val="single" w:color="000000" w:sz="2" w:space="0"/>
              <w:bottom w:val="single" w:color="000000" w:sz="2" w:space="0"/>
            </w:tcBorders>
            <w:vAlign w:val="top"/>
          </w:tcPr>
          <w:p w14:paraId="21B11E6B">
            <w:pPr>
              <w:rPr>
                <w:rFonts w:ascii="Arial"/>
                <w:sz w:val="21"/>
              </w:rPr>
            </w:pPr>
          </w:p>
        </w:tc>
      </w:tr>
      <w:tr w14:paraId="30A33B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893" w:type="dxa"/>
            <w:vMerge w:val="continue"/>
            <w:tcBorders>
              <w:top w:val="nil"/>
              <w:bottom w:val="nil"/>
            </w:tcBorders>
            <w:vAlign w:val="top"/>
          </w:tcPr>
          <w:p w14:paraId="32B64BF7">
            <w:pPr>
              <w:rPr>
                <w:rFonts w:ascii="Arial"/>
                <w:sz w:val="21"/>
              </w:rPr>
            </w:pPr>
          </w:p>
        </w:tc>
        <w:tc>
          <w:tcPr>
            <w:tcW w:w="2314" w:type="dxa"/>
            <w:tcBorders>
              <w:top w:val="single" w:color="000000" w:sz="2" w:space="0"/>
              <w:bottom w:val="single" w:color="000000" w:sz="2" w:space="0"/>
            </w:tcBorders>
            <w:vAlign w:val="top"/>
          </w:tcPr>
          <w:p w14:paraId="215135A7">
            <w:pPr>
              <w:pStyle w:val="6"/>
              <w:spacing w:before="56" w:line="220" w:lineRule="auto"/>
              <w:ind w:left="52"/>
            </w:pPr>
            <w:r>
              <w:rPr>
                <w:spacing w:val="2"/>
              </w:rPr>
              <w:t>3.钠的化学性质</w:t>
            </w:r>
          </w:p>
        </w:tc>
        <w:tc>
          <w:tcPr>
            <w:tcW w:w="230" w:type="dxa"/>
            <w:tcBorders>
              <w:top w:val="single" w:color="000000" w:sz="2" w:space="0"/>
              <w:bottom w:val="single" w:color="000000" w:sz="2" w:space="0"/>
            </w:tcBorders>
            <w:vAlign w:val="top"/>
          </w:tcPr>
          <w:p w14:paraId="720FF921">
            <w:pPr>
              <w:rPr>
                <w:rFonts w:ascii="Arial"/>
                <w:sz w:val="21"/>
              </w:rPr>
            </w:pPr>
          </w:p>
        </w:tc>
        <w:tc>
          <w:tcPr>
            <w:tcW w:w="229" w:type="dxa"/>
            <w:tcBorders>
              <w:top w:val="single" w:color="000000" w:sz="2" w:space="0"/>
              <w:bottom w:val="single" w:color="000000" w:sz="2" w:space="0"/>
            </w:tcBorders>
            <w:vAlign w:val="top"/>
          </w:tcPr>
          <w:p w14:paraId="5CA6FFA0">
            <w:pPr>
              <w:rPr>
                <w:rFonts w:ascii="Arial"/>
                <w:sz w:val="21"/>
              </w:rPr>
            </w:pPr>
          </w:p>
        </w:tc>
        <w:tc>
          <w:tcPr>
            <w:tcW w:w="220" w:type="dxa"/>
            <w:tcBorders>
              <w:top w:val="single" w:color="000000" w:sz="2" w:space="0"/>
              <w:bottom w:val="single" w:color="000000" w:sz="2" w:space="0"/>
            </w:tcBorders>
            <w:vAlign w:val="top"/>
          </w:tcPr>
          <w:p w14:paraId="6BAA5086">
            <w:pPr>
              <w:rPr>
                <w:rFonts w:ascii="Arial"/>
                <w:sz w:val="21"/>
              </w:rPr>
            </w:pPr>
          </w:p>
        </w:tc>
        <w:tc>
          <w:tcPr>
            <w:tcW w:w="224" w:type="dxa"/>
            <w:tcBorders>
              <w:top w:val="single" w:color="000000" w:sz="2" w:space="0"/>
              <w:bottom w:val="single" w:color="000000" w:sz="2" w:space="0"/>
            </w:tcBorders>
            <w:vAlign w:val="top"/>
          </w:tcPr>
          <w:p w14:paraId="3428B0A3">
            <w:pPr>
              <w:rPr>
                <w:rFonts w:ascii="Arial"/>
                <w:sz w:val="21"/>
              </w:rPr>
            </w:pPr>
          </w:p>
        </w:tc>
      </w:tr>
      <w:tr w14:paraId="393984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5" w:hRule="atLeast"/>
        </w:trPr>
        <w:tc>
          <w:tcPr>
            <w:tcW w:w="893" w:type="dxa"/>
            <w:vMerge w:val="continue"/>
            <w:tcBorders>
              <w:top w:val="nil"/>
              <w:bottom w:val="nil"/>
            </w:tcBorders>
            <w:vAlign w:val="top"/>
          </w:tcPr>
          <w:p w14:paraId="357AC551">
            <w:pPr>
              <w:rPr>
                <w:rFonts w:ascii="Arial"/>
                <w:sz w:val="21"/>
              </w:rPr>
            </w:pPr>
          </w:p>
        </w:tc>
        <w:tc>
          <w:tcPr>
            <w:tcW w:w="2314" w:type="dxa"/>
            <w:tcBorders>
              <w:top w:val="single" w:color="000000" w:sz="2" w:space="0"/>
              <w:bottom w:val="single" w:color="000000" w:sz="2" w:space="0"/>
            </w:tcBorders>
            <w:vAlign w:val="top"/>
          </w:tcPr>
          <w:p w14:paraId="27C9B31D">
            <w:pPr>
              <w:pStyle w:val="6"/>
              <w:spacing w:before="56" w:line="216" w:lineRule="auto"/>
              <w:ind w:left="52"/>
            </w:pPr>
            <w:r>
              <w:rPr>
                <w:spacing w:val="-1"/>
              </w:rPr>
              <w:t>4.铝的物理性质及其用途</w:t>
            </w:r>
          </w:p>
        </w:tc>
        <w:tc>
          <w:tcPr>
            <w:tcW w:w="230" w:type="dxa"/>
            <w:tcBorders>
              <w:top w:val="single" w:color="000000" w:sz="2" w:space="0"/>
              <w:bottom w:val="single" w:color="000000" w:sz="2" w:space="0"/>
            </w:tcBorders>
            <w:vAlign w:val="top"/>
          </w:tcPr>
          <w:p w14:paraId="05399934">
            <w:pPr>
              <w:rPr>
                <w:rFonts w:ascii="Arial"/>
                <w:sz w:val="21"/>
              </w:rPr>
            </w:pPr>
          </w:p>
        </w:tc>
        <w:tc>
          <w:tcPr>
            <w:tcW w:w="229" w:type="dxa"/>
            <w:tcBorders>
              <w:top w:val="single" w:color="000000" w:sz="2" w:space="0"/>
              <w:bottom w:val="single" w:color="000000" w:sz="2" w:space="0"/>
            </w:tcBorders>
            <w:vAlign w:val="top"/>
          </w:tcPr>
          <w:p w14:paraId="41BD72D5">
            <w:pPr>
              <w:rPr>
                <w:rFonts w:ascii="Arial"/>
                <w:sz w:val="21"/>
              </w:rPr>
            </w:pPr>
          </w:p>
        </w:tc>
        <w:tc>
          <w:tcPr>
            <w:tcW w:w="220" w:type="dxa"/>
            <w:tcBorders>
              <w:top w:val="single" w:color="000000" w:sz="2" w:space="0"/>
              <w:bottom w:val="single" w:color="000000" w:sz="2" w:space="0"/>
            </w:tcBorders>
            <w:vAlign w:val="top"/>
          </w:tcPr>
          <w:p w14:paraId="3BCF9F30">
            <w:pPr>
              <w:rPr>
                <w:rFonts w:ascii="Arial"/>
                <w:sz w:val="21"/>
              </w:rPr>
            </w:pPr>
          </w:p>
        </w:tc>
        <w:tc>
          <w:tcPr>
            <w:tcW w:w="224" w:type="dxa"/>
            <w:tcBorders>
              <w:top w:val="single" w:color="000000" w:sz="2" w:space="0"/>
              <w:bottom w:val="single" w:color="000000" w:sz="2" w:space="0"/>
            </w:tcBorders>
            <w:vAlign w:val="top"/>
          </w:tcPr>
          <w:p w14:paraId="4E9C5DDD">
            <w:pPr>
              <w:rPr>
                <w:rFonts w:ascii="Arial"/>
                <w:sz w:val="21"/>
              </w:rPr>
            </w:pPr>
          </w:p>
        </w:tc>
      </w:tr>
      <w:tr w14:paraId="687F52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5" w:hRule="atLeast"/>
        </w:trPr>
        <w:tc>
          <w:tcPr>
            <w:tcW w:w="893" w:type="dxa"/>
            <w:vMerge w:val="continue"/>
            <w:tcBorders>
              <w:top w:val="nil"/>
              <w:bottom w:val="nil"/>
            </w:tcBorders>
            <w:vAlign w:val="top"/>
          </w:tcPr>
          <w:p w14:paraId="11583B2D">
            <w:pPr>
              <w:rPr>
                <w:rFonts w:ascii="Arial"/>
                <w:sz w:val="21"/>
              </w:rPr>
            </w:pPr>
          </w:p>
        </w:tc>
        <w:tc>
          <w:tcPr>
            <w:tcW w:w="2314" w:type="dxa"/>
            <w:tcBorders>
              <w:top w:val="single" w:color="000000" w:sz="2" w:space="0"/>
              <w:bottom w:val="single" w:color="000000" w:sz="2" w:space="0"/>
            </w:tcBorders>
            <w:vAlign w:val="top"/>
          </w:tcPr>
          <w:p w14:paraId="034B6A49">
            <w:pPr>
              <w:pStyle w:val="6"/>
              <w:spacing w:before="46" w:line="216" w:lineRule="auto"/>
              <w:ind w:left="52"/>
            </w:pPr>
            <w:r>
              <w:rPr>
                <w:spacing w:val="2"/>
              </w:rPr>
              <w:t>5.铝的化学性质</w:t>
            </w:r>
          </w:p>
        </w:tc>
        <w:tc>
          <w:tcPr>
            <w:tcW w:w="230" w:type="dxa"/>
            <w:tcBorders>
              <w:top w:val="single" w:color="000000" w:sz="2" w:space="0"/>
              <w:bottom w:val="single" w:color="000000" w:sz="2" w:space="0"/>
            </w:tcBorders>
            <w:vAlign w:val="top"/>
          </w:tcPr>
          <w:p w14:paraId="0E50F20B">
            <w:pPr>
              <w:rPr>
                <w:rFonts w:ascii="Arial"/>
                <w:sz w:val="21"/>
              </w:rPr>
            </w:pPr>
          </w:p>
        </w:tc>
        <w:tc>
          <w:tcPr>
            <w:tcW w:w="229" w:type="dxa"/>
            <w:tcBorders>
              <w:top w:val="single" w:color="000000" w:sz="2" w:space="0"/>
              <w:bottom w:val="single" w:color="000000" w:sz="2" w:space="0"/>
            </w:tcBorders>
            <w:vAlign w:val="top"/>
          </w:tcPr>
          <w:p w14:paraId="65FB34E5">
            <w:pPr>
              <w:rPr>
                <w:rFonts w:ascii="Arial"/>
                <w:sz w:val="21"/>
              </w:rPr>
            </w:pPr>
          </w:p>
        </w:tc>
        <w:tc>
          <w:tcPr>
            <w:tcW w:w="220" w:type="dxa"/>
            <w:tcBorders>
              <w:top w:val="single" w:color="000000" w:sz="2" w:space="0"/>
              <w:bottom w:val="single" w:color="000000" w:sz="2" w:space="0"/>
            </w:tcBorders>
            <w:vAlign w:val="top"/>
          </w:tcPr>
          <w:p w14:paraId="5D714CC3">
            <w:pPr>
              <w:rPr>
                <w:rFonts w:ascii="Arial"/>
                <w:sz w:val="21"/>
              </w:rPr>
            </w:pPr>
          </w:p>
        </w:tc>
        <w:tc>
          <w:tcPr>
            <w:tcW w:w="224" w:type="dxa"/>
            <w:tcBorders>
              <w:top w:val="single" w:color="000000" w:sz="2" w:space="0"/>
              <w:bottom w:val="single" w:color="000000" w:sz="2" w:space="0"/>
            </w:tcBorders>
            <w:vAlign w:val="top"/>
          </w:tcPr>
          <w:p w14:paraId="66B3780A">
            <w:pPr>
              <w:rPr>
                <w:rFonts w:ascii="Arial"/>
                <w:sz w:val="21"/>
              </w:rPr>
            </w:pPr>
          </w:p>
        </w:tc>
      </w:tr>
      <w:tr w14:paraId="6C9095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4" w:hRule="atLeast"/>
        </w:trPr>
        <w:tc>
          <w:tcPr>
            <w:tcW w:w="893" w:type="dxa"/>
            <w:vMerge w:val="continue"/>
            <w:tcBorders>
              <w:top w:val="nil"/>
              <w:bottom w:val="single" w:color="000000" w:sz="2" w:space="0"/>
            </w:tcBorders>
            <w:vAlign w:val="top"/>
          </w:tcPr>
          <w:p w14:paraId="1B241A32">
            <w:pPr>
              <w:rPr>
                <w:rFonts w:ascii="Arial"/>
                <w:sz w:val="21"/>
              </w:rPr>
            </w:pPr>
          </w:p>
        </w:tc>
        <w:tc>
          <w:tcPr>
            <w:tcW w:w="2314" w:type="dxa"/>
            <w:tcBorders>
              <w:top w:val="single" w:color="000000" w:sz="2" w:space="0"/>
              <w:bottom w:val="single" w:color="000000" w:sz="2" w:space="0"/>
            </w:tcBorders>
            <w:vAlign w:val="top"/>
          </w:tcPr>
          <w:p w14:paraId="78250E41">
            <w:pPr>
              <w:pStyle w:val="6"/>
              <w:spacing w:before="56" w:line="220" w:lineRule="auto"/>
              <w:ind w:left="52"/>
            </w:pPr>
            <w:r>
              <w:rPr>
                <w:spacing w:val="3"/>
              </w:rPr>
              <w:t>6.铁的性质</w:t>
            </w:r>
          </w:p>
        </w:tc>
        <w:tc>
          <w:tcPr>
            <w:tcW w:w="230" w:type="dxa"/>
            <w:tcBorders>
              <w:top w:val="single" w:color="000000" w:sz="2" w:space="0"/>
              <w:bottom w:val="single" w:color="000000" w:sz="2" w:space="0"/>
            </w:tcBorders>
            <w:vAlign w:val="top"/>
          </w:tcPr>
          <w:p w14:paraId="137DC8F4">
            <w:pPr>
              <w:rPr>
                <w:rFonts w:ascii="Arial"/>
                <w:sz w:val="21"/>
              </w:rPr>
            </w:pPr>
          </w:p>
        </w:tc>
        <w:tc>
          <w:tcPr>
            <w:tcW w:w="229" w:type="dxa"/>
            <w:tcBorders>
              <w:top w:val="single" w:color="000000" w:sz="2" w:space="0"/>
              <w:bottom w:val="single" w:color="000000" w:sz="2" w:space="0"/>
            </w:tcBorders>
            <w:vAlign w:val="top"/>
          </w:tcPr>
          <w:p w14:paraId="7BDF7B93">
            <w:pPr>
              <w:rPr>
                <w:rFonts w:ascii="Arial"/>
                <w:sz w:val="21"/>
              </w:rPr>
            </w:pPr>
          </w:p>
        </w:tc>
        <w:tc>
          <w:tcPr>
            <w:tcW w:w="220" w:type="dxa"/>
            <w:tcBorders>
              <w:top w:val="single" w:color="000000" w:sz="2" w:space="0"/>
              <w:bottom w:val="single" w:color="000000" w:sz="2" w:space="0"/>
            </w:tcBorders>
            <w:vAlign w:val="top"/>
          </w:tcPr>
          <w:p w14:paraId="5DDAB055">
            <w:pPr>
              <w:rPr>
                <w:rFonts w:ascii="Arial"/>
                <w:sz w:val="21"/>
              </w:rPr>
            </w:pPr>
          </w:p>
        </w:tc>
        <w:tc>
          <w:tcPr>
            <w:tcW w:w="224" w:type="dxa"/>
            <w:tcBorders>
              <w:top w:val="single" w:color="000000" w:sz="2" w:space="0"/>
              <w:bottom w:val="single" w:color="000000" w:sz="2" w:space="0"/>
            </w:tcBorders>
            <w:vAlign w:val="top"/>
          </w:tcPr>
          <w:p w14:paraId="0C3DD83E">
            <w:pPr>
              <w:rPr>
                <w:rFonts w:ascii="Arial"/>
                <w:sz w:val="21"/>
              </w:rPr>
            </w:pPr>
          </w:p>
        </w:tc>
      </w:tr>
      <w:tr w14:paraId="7CF521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5" w:hRule="atLeast"/>
        </w:trPr>
        <w:tc>
          <w:tcPr>
            <w:tcW w:w="893" w:type="dxa"/>
            <w:vMerge w:val="restart"/>
            <w:tcBorders>
              <w:top w:val="single" w:color="000000" w:sz="2" w:space="0"/>
              <w:bottom w:val="nil"/>
            </w:tcBorders>
            <w:vAlign w:val="top"/>
          </w:tcPr>
          <w:p w14:paraId="18B162A9">
            <w:pPr>
              <w:pStyle w:val="6"/>
              <w:spacing w:before="226" w:line="253" w:lineRule="auto"/>
              <w:ind w:left="185" w:right="195" w:firstLine="79"/>
            </w:pPr>
            <w:r>
              <w:rPr>
                <w:spacing w:val="-6"/>
              </w:rPr>
              <w:t>常见</w:t>
            </w:r>
            <w:r>
              <w:t xml:space="preserve">  </w:t>
            </w:r>
            <w:r>
              <w:rPr>
                <w:spacing w:val="15"/>
                <w:w w:val="119"/>
              </w:rPr>
              <w:t>金属</w:t>
            </w:r>
            <w:r>
              <w:t xml:space="preserve">  </w:t>
            </w:r>
            <w:r>
              <w:rPr>
                <w:spacing w:val="-3"/>
              </w:rPr>
              <w:t>化合物</w:t>
            </w:r>
          </w:p>
        </w:tc>
        <w:tc>
          <w:tcPr>
            <w:tcW w:w="2314" w:type="dxa"/>
            <w:tcBorders>
              <w:top w:val="single" w:color="000000" w:sz="2" w:space="0"/>
              <w:bottom w:val="single" w:color="000000" w:sz="2" w:space="0"/>
            </w:tcBorders>
            <w:vAlign w:val="top"/>
          </w:tcPr>
          <w:p w14:paraId="0FF0CB1A">
            <w:pPr>
              <w:pStyle w:val="6"/>
              <w:spacing w:before="57" w:line="215" w:lineRule="auto"/>
              <w:ind w:left="52"/>
            </w:pPr>
            <w:r>
              <w:t>1.碳酸钠和碳酸氢钠</w:t>
            </w:r>
          </w:p>
        </w:tc>
        <w:tc>
          <w:tcPr>
            <w:tcW w:w="230" w:type="dxa"/>
            <w:tcBorders>
              <w:top w:val="single" w:color="000000" w:sz="2" w:space="0"/>
              <w:bottom w:val="single" w:color="000000" w:sz="2" w:space="0"/>
            </w:tcBorders>
            <w:vAlign w:val="top"/>
          </w:tcPr>
          <w:p w14:paraId="0C2C8F70">
            <w:pPr>
              <w:rPr>
                <w:rFonts w:ascii="Arial"/>
                <w:sz w:val="21"/>
              </w:rPr>
            </w:pPr>
          </w:p>
        </w:tc>
        <w:tc>
          <w:tcPr>
            <w:tcW w:w="229" w:type="dxa"/>
            <w:tcBorders>
              <w:top w:val="single" w:color="000000" w:sz="2" w:space="0"/>
              <w:bottom w:val="single" w:color="000000" w:sz="2" w:space="0"/>
            </w:tcBorders>
            <w:vAlign w:val="top"/>
          </w:tcPr>
          <w:p w14:paraId="1DC21F39">
            <w:pPr>
              <w:rPr>
                <w:rFonts w:ascii="Arial"/>
                <w:sz w:val="21"/>
              </w:rPr>
            </w:pPr>
          </w:p>
        </w:tc>
        <w:tc>
          <w:tcPr>
            <w:tcW w:w="220" w:type="dxa"/>
            <w:tcBorders>
              <w:top w:val="single" w:color="000000" w:sz="2" w:space="0"/>
              <w:bottom w:val="single" w:color="000000" w:sz="2" w:space="0"/>
            </w:tcBorders>
            <w:vAlign w:val="top"/>
          </w:tcPr>
          <w:p w14:paraId="75516E0A">
            <w:pPr>
              <w:rPr>
                <w:rFonts w:ascii="Arial"/>
                <w:sz w:val="21"/>
              </w:rPr>
            </w:pPr>
          </w:p>
        </w:tc>
        <w:tc>
          <w:tcPr>
            <w:tcW w:w="224" w:type="dxa"/>
            <w:tcBorders>
              <w:top w:val="single" w:color="000000" w:sz="2" w:space="0"/>
              <w:bottom w:val="single" w:color="000000" w:sz="2" w:space="0"/>
            </w:tcBorders>
            <w:vAlign w:val="top"/>
          </w:tcPr>
          <w:p w14:paraId="14B2FC7C">
            <w:pPr>
              <w:rPr>
                <w:rFonts w:ascii="Arial"/>
                <w:sz w:val="21"/>
              </w:rPr>
            </w:pPr>
          </w:p>
        </w:tc>
      </w:tr>
      <w:tr w14:paraId="294324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5" w:hRule="atLeast"/>
        </w:trPr>
        <w:tc>
          <w:tcPr>
            <w:tcW w:w="893" w:type="dxa"/>
            <w:vMerge w:val="continue"/>
            <w:tcBorders>
              <w:top w:val="nil"/>
              <w:bottom w:val="nil"/>
            </w:tcBorders>
            <w:vAlign w:val="top"/>
          </w:tcPr>
          <w:p w14:paraId="279C48FF">
            <w:pPr>
              <w:rPr>
                <w:rFonts w:ascii="Arial"/>
                <w:sz w:val="21"/>
              </w:rPr>
            </w:pPr>
          </w:p>
        </w:tc>
        <w:tc>
          <w:tcPr>
            <w:tcW w:w="2314" w:type="dxa"/>
            <w:tcBorders>
              <w:top w:val="single" w:color="000000" w:sz="2" w:space="0"/>
              <w:bottom w:val="single" w:color="000000" w:sz="2" w:space="0"/>
            </w:tcBorders>
            <w:vAlign w:val="top"/>
          </w:tcPr>
          <w:p w14:paraId="1E68D1FE">
            <w:pPr>
              <w:pStyle w:val="6"/>
              <w:spacing w:before="46" w:line="216" w:lineRule="auto"/>
              <w:ind w:left="52"/>
            </w:pPr>
            <w:r>
              <w:rPr>
                <w:spacing w:val="-1"/>
              </w:rPr>
              <w:t>2.氧化铝和氢氧化铝</w:t>
            </w:r>
          </w:p>
        </w:tc>
        <w:tc>
          <w:tcPr>
            <w:tcW w:w="230" w:type="dxa"/>
            <w:tcBorders>
              <w:top w:val="single" w:color="000000" w:sz="2" w:space="0"/>
              <w:bottom w:val="single" w:color="000000" w:sz="2" w:space="0"/>
            </w:tcBorders>
            <w:vAlign w:val="top"/>
          </w:tcPr>
          <w:p w14:paraId="699425FD">
            <w:pPr>
              <w:rPr>
                <w:rFonts w:ascii="Arial"/>
                <w:sz w:val="21"/>
              </w:rPr>
            </w:pPr>
          </w:p>
        </w:tc>
        <w:tc>
          <w:tcPr>
            <w:tcW w:w="229" w:type="dxa"/>
            <w:tcBorders>
              <w:top w:val="single" w:color="000000" w:sz="2" w:space="0"/>
              <w:bottom w:val="single" w:color="000000" w:sz="2" w:space="0"/>
            </w:tcBorders>
            <w:vAlign w:val="top"/>
          </w:tcPr>
          <w:p w14:paraId="55D7DACF">
            <w:pPr>
              <w:rPr>
                <w:rFonts w:ascii="Arial"/>
                <w:sz w:val="21"/>
              </w:rPr>
            </w:pPr>
          </w:p>
        </w:tc>
        <w:tc>
          <w:tcPr>
            <w:tcW w:w="220" w:type="dxa"/>
            <w:tcBorders>
              <w:top w:val="single" w:color="000000" w:sz="2" w:space="0"/>
              <w:bottom w:val="single" w:color="000000" w:sz="2" w:space="0"/>
            </w:tcBorders>
            <w:vAlign w:val="top"/>
          </w:tcPr>
          <w:p w14:paraId="7BBEEFE2">
            <w:pPr>
              <w:rPr>
                <w:rFonts w:ascii="Arial"/>
                <w:sz w:val="21"/>
              </w:rPr>
            </w:pPr>
          </w:p>
        </w:tc>
        <w:tc>
          <w:tcPr>
            <w:tcW w:w="224" w:type="dxa"/>
            <w:tcBorders>
              <w:top w:val="single" w:color="000000" w:sz="2" w:space="0"/>
              <w:bottom w:val="single" w:color="000000" w:sz="2" w:space="0"/>
            </w:tcBorders>
            <w:vAlign w:val="top"/>
          </w:tcPr>
          <w:p w14:paraId="203B9D20">
            <w:pPr>
              <w:rPr>
                <w:rFonts w:ascii="Arial"/>
                <w:sz w:val="21"/>
              </w:rPr>
            </w:pPr>
          </w:p>
        </w:tc>
      </w:tr>
      <w:tr w14:paraId="14B519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5" w:hRule="atLeast"/>
        </w:trPr>
        <w:tc>
          <w:tcPr>
            <w:tcW w:w="893" w:type="dxa"/>
            <w:vMerge w:val="continue"/>
            <w:tcBorders>
              <w:top w:val="nil"/>
              <w:bottom w:val="nil"/>
            </w:tcBorders>
            <w:vAlign w:val="top"/>
          </w:tcPr>
          <w:p w14:paraId="5A95B81F">
            <w:pPr>
              <w:rPr>
                <w:rFonts w:ascii="Arial"/>
                <w:sz w:val="21"/>
              </w:rPr>
            </w:pPr>
          </w:p>
        </w:tc>
        <w:tc>
          <w:tcPr>
            <w:tcW w:w="2314" w:type="dxa"/>
            <w:tcBorders>
              <w:top w:val="single" w:color="000000" w:sz="2" w:space="0"/>
              <w:bottom w:val="single" w:color="000000" w:sz="2" w:space="0"/>
            </w:tcBorders>
            <w:vAlign w:val="top"/>
          </w:tcPr>
          <w:p w14:paraId="49D935B5">
            <w:pPr>
              <w:pStyle w:val="6"/>
              <w:spacing w:before="55" w:line="219" w:lineRule="auto"/>
              <w:ind w:left="52"/>
            </w:pPr>
            <w:r>
              <w:rPr>
                <w:spacing w:val="-1"/>
              </w:rPr>
              <w:t>3.铁的氧化物和氢氧化物</w:t>
            </w:r>
          </w:p>
        </w:tc>
        <w:tc>
          <w:tcPr>
            <w:tcW w:w="230" w:type="dxa"/>
            <w:tcBorders>
              <w:top w:val="single" w:color="000000" w:sz="2" w:space="0"/>
              <w:bottom w:val="single" w:color="000000" w:sz="2" w:space="0"/>
            </w:tcBorders>
            <w:vAlign w:val="top"/>
          </w:tcPr>
          <w:p w14:paraId="0414C853">
            <w:pPr>
              <w:rPr>
                <w:rFonts w:ascii="Arial"/>
                <w:sz w:val="21"/>
              </w:rPr>
            </w:pPr>
          </w:p>
        </w:tc>
        <w:tc>
          <w:tcPr>
            <w:tcW w:w="229" w:type="dxa"/>
            <w:tcBorders>
              <w:top w:val="single" w:color="000000" w:sz="2" w:space="0"/>
              <w:bottom w:val="single" w:color="000000" w:sz="2" w:space="0"/>
            </w:tcBorders>
            <w:vAlign w:val="top"/>
          </w:tcPr>
          <w:p w14:paraId="54ED52CF">
            <w:pPr>
              <w:rPr>
                <w:rFonts w:ascii="Arial"/>
                <w:sz w:val="21"/>
              </w:rPr>
            </w:pPr>
          </w:p>
        </w:tc>
        <w:tc>
          <w:tcPr>
            <w:tcW w:w="220" w:type="dxa"/>
            <w:tcBorders>
              <w:top w:val="single" w:color="000000" w:sz="2" w:space="0"/>
              <w:bottom w:val="single" w:color="000000" w:sz="2" w:space="0"/>
            </w:tcBorders>
            <w:vAlign w:val="top"/>
          </w:tcPr>
          <w:p w14:paraId="2F571C72">
            <w:pPr>
              <w:rPr>
                <w:rFonts w:ascii="Arial"/>
                <w:sz w:val="21"/>
              </w:rPr>
            </w:pPr>
          </w:p>
        </w:tc>
        <w:tc>
          <w:tcPr>
            <w:tcW w:w="224" w:type="dxa"/>
            <w:tcBorders>
              <w:top w:val="single" w:color="000000" w:sz="2" w:space="0"/>
              <w:bottom w:val="single" w:color="000000" w:sz="2" w:space="0"/>
            </w:tcBorders>
            <w:vAlign w:val="top"/>
          </w:tcPr>
          <w:p w14:paraId="0B2B554E">
            <w:pPr>
              <w:rPr>
                <w:rFonts w:ascii="Arial"/>
                <w:sz w:val="21"/>
              </w:rPr>
            </w:pPr>
          </w:p>
        </w:tc>
      </w:tr>
      <w:tr w14:paraId="2CA5AE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4" w:hRule="atLeast"/>
        </w:trPr>
        <w:tc>
          <w:tcPr>
            <w:tcW w:w="893" w:type="dxa"/>
            <w:vMerge w:val="continue"/>
            <w:tcBorders>
              <w:top w:val="nil"/>
              <w:bottom w:val="single" w:color="000000" w:sz="2" w:space="0"/>
            </w:tcBorders>
            <w:vAlign w:val="top"/>
          </w:tcPr>
          <w:p w14:paraId="0F674457">
            <w:pPr>
              <w:rPr>
                <w:rFonts w:ascii="Arial"/>
                <w:sz w:val="21"/>
              </w:rPr>
            </w:pPr>
          </w:p>
        </w:tc>
        <w:tc>
          <w:tcPr>
            <w:tcW w:w="2314" w:type="dxa"/>
            <w:tcBorders>
              <w:top w:val="single" w:color="000000" w:sz="2" w:space="0"/>
              <w:bottom w:val="single" w:color="000000" w:sz="2" w:space="0"/>
            </w:tcBorders>
            <w:vAlign w:val="top"/>
          </w:tcPr>
          <w:p w14:paraId="54B0EE3C">
            <w:pPr>
              <w:pStyle w:val="6"/>
              <w:spacing w:before="57" w:line="213" w:lineRule="auto"/>
              <w:ind w:left="52"/>
            </w:pPr>
            <w:r>
              <w:rPr>
                <w:spacing w:val="-1"/>
              </w:rPr>
              <w:t>4.铁盐和亚铁盐</w:t>
            </w:r>
          </w:p>
        </w:tc>
        <w:tc>
          <w:tcPr>
            <w:tcW w:w="230" w:type="dxa"/>
            <w:tcBorders>
              <w:top w:val="single" w:color="000000" w:sz="2" w:space="0"/>
              <w:bottom w:val="single" w:color="000000" w:sz="2" w:space="0"/>
            </w:tcBorders>
            <w:vAlign w:val="top"/>
          </w:tcPr>
          <w:p w14:paraId="163AA929">
            <w:pPr>
              <w:rPr>
                <w:rFonts w:ascii="Arial"/>
                <w:sz w:val="21"/>
              </w:rPr>
            </w:pPr>
          </w:p>
        </w:tc>
        <w:tc>
          <w:tcPr>
            <w:tcW w:w="229" w:type="dxa"/>
            <w:tcBorders>
              <w:top w:val="single" w:color="000000" w:sz="2" w:space="0"/>
              <w:bottom w:val="single" w:color="000000" w:sz="2" w:space="0"/>
            </w:tcBorders>
            <w:vAlign w:val="top"/>
          </w:tcPr>
          <w:p w14:paraId="436D2D86">
            <w:pPr>
              <w:rPr>
                <w:rFonts w:ascii="Arial"/>
                <w:sz w:val="21"/>
              </w:rPr>
            </w:pPr>
          </w:p>
        </w:tc>
        <w:tc>
          <w:tcPr>
            <w:tcW w:w="220" w:type="dxa"/>
            <w:tcBorders>
              <w:top w:val="single" w:color="000000" w:sz="2" w:space="0"/>
              <w:bottom w:val="single" w:color="000000" w:sz="2" w:space="0"/>
            </w:tcBorders>
            <w:vAlign w:val="top"/>
          </w:tcPr>
          <w:p w14:paraId="202AC3F0">
            <w:pPr>
              <w:rPr>
                <w:rFonts w:ascii="Arial"/>
                <w:sz w:val="21"/>
              </w:rPr>
            </w:pPr>
          </w:p>
        </w:tc>
        <w:tc>
          <w:tcPr>
            <w:tcW w:w="224" w:type="dxa"/>
            <w:tcBorders>
              <w:top w:val="single" w:color="000000" w:sz="2" w:space="0"/>
              <w:bottom w:val="single" w:color="000000" w:sz="2" w:space="0"/>
            </w:tcBorders>
            <w:vAlign w:val="top"/>
          </w:tcPr>
          <w:p w14:paraId="3B933A9D">
            <w:pPr>
              <w:rPr>
                <w:rFonts w:ascii="Arial"/>
                <w:sz w:val="21"/>
              </w:rPr>
            </w:pPr>
          </w:p>
        </w:tc>
      </w:tr>
      <w:tr w14:paraId="37A5B2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5" w:hRule="atLeast"/>
        </w:trPr>
        <w:tc>
          <w:tcPr>
            <w:tcW w:w="893" w:type="dxa"/>
            <w:vMerge w:val="restart"/>
            <w:tcBorders>
              <w:top w:val="single" w:color="000000" w:sz="2" w:space="0"/>
              <w:bottom w:val="nil"/>
            </w:tcBorders>
            <w:vAlign w:val="top"/>
          </w:tcPr>
          <w:p w14:paraId="1B845EC6">
            <w:pPr>
              <w:pStyle w:val="6"/>
              <w:spacing w:before="66" w:line="246" w:lineRule="auto"/>
              <w:ind w:left="15"/>
            </w:pPr>
            <w:r>
              <w:rPr>
                <w:spacing w:val="3"/>
              </w:rPr>
              <w:t>常见阴、阳</w:t>
            </w:r>
            <w:r>
              <w:rPr>
                <w:spacing w:val="1"/>
              </w:rPr>
              <w:t xml:space="preserve"> </w:t>
            </w:r>
            <w:r>
              <w:rPr>
                <w:spacing w:val="-2"/>
              </w:rPr>
              <w:t>离子的检验</w:t>
            </w:r>
          </w:p>
        </w:tc>
        <w:tc>
          <w:tcPr>
            <w:tcW w:w="2314" w:type="dxa"/>
            <w:tcBorders>
              <w:top w:val="single" w:color="000000" w:sz="2" w:space="0"/>
              <w:bottom w:val="single" w:color="000000" w:sz="2" w:space="0"/>
            </w:tcBorders>
            <w:vAlign w:val="top"/>
          </w:tcPr>
          <w:p w14:paraId="272DABCF">
            <w:pPr>
              <w:pStyle w:val="6"/>
              <w:spacing w:before="47" w:line="214" w:lineRule="auto"/>
              <w:ind w:left="52"/>
            </w:pPr>
            <w:r>
              <w:t>1.氯、溴、碘离子的检验</w:t>
            </w:r>
          </w:p>
        </w:tc>
        <w:tc>
          <w:tcPr>
            <w:tcW w:w="230" w:type="dxa"/>
            <w:tcBorders>
              <w:top w:val="single" w:color="000000" w:sz="2" w:space="0"/>
              <w:bottom w:val="single" w:color="000000" w:sz="2" w:space="0"/>
            </w:tcBorders>
            <w:vAlign w:val="top"/>
          </w:tcPr>
          <w:p w14:paraId="666195A4">
            <w:pPr>
              <w:rPr>
                <w:rFonts w:ascii="Arial"/>
                <w:sz w:val="21"/>
              </w:rPr>
            </w:pPr>
          </w:p>
        </w:tc>
        <w:tc>
          <w:tcPr>
            <w:tcW w:w="229" w:type="dxa"/>
            <w:tcBorders>
              <w:top w:val="single" w:color="000000" w:sz="2" w:space="0"/>
              <w:bottom w:val="single" w:color="000000" w:sz="2" w:space="0"/>
            </w:tcBorders>
            <w:vAlign w:val="top"/>
          </w:tcPr>
          <w:p w14:paraId="38EBE986">
            <w:pPr>
              <w:rPr>
                <w:rFonts w:ascii="Arial"/>
                <w:sz w:val="21"/>
              </w:rPr>
            </w:pPr>
          </w:p>
        </w:tc>
        <w:tc>
          <w:tcPr>
            <w:tcW w:w="220" w:type="dxa"/>
            <w:tcBorders>
              <w:top w:val="single" w:color="000000" w:sz="2" w:space="0"/>
              <w:bottom w:val="single" w:color="000000" w:sz="2" w:space="0"/>
            </w:tcBorders>
            <w:vAlign w:val="top"/>
          </w:tcPr>
          <w:p w14:paraId="2A6350E9">
            <w:pPr>
              <w:rPr>
                <w:rFonts w:ascii="Arial"/>
                <w:sz w:val="21"/>
              </w:rPr>
            </w:pPr>
          </w:p>
        </w:tc>
        <w:tc>
          <w:tcPr>
            <w:tcW w:w="224" w:type="dxa"/>
            <w:tcBorders>
              <w:top w:val="single" w:color="000000" w:sz="2" w:space="0"/>
              <w:bottom w:val="single" w:color="000000" w:sz="2" w:space="0"/>
            </w:tcBorders>
            <w:vAlign w:val="top"/>
          </w:tcPr>
          <w:p w14:paraId="1E6F8247">
            <w:pPr>
              <w:rPr>
                <w:rFonts w:ascii="Arial"/>
                <w:sz w:val="21"/>
              </w:rPr>
            </w:pPr>
          </w:p>
        </w:tc>
      </w:tr>
      <w:tr w14:paraId="6E3FAE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trPr>
        <w:tc>
          <w:tcPr>
            <w:tcW w:w="893" w:type="dxa"/>
            <w:vMerge w:val="continue"/>
            <w:tcBorders>
              <w:top w:val="nil"/>
              <w:bottom w:val="single" w:color="000000" w:sz="2" w:space="0"/>
            </w:tcBorders>
            <w:vAlign w:val="top"/>
          </w:tcPr>
          <w:p w14:paraId="2D6B521F">
            <w:pPr>
              <w:rPr>
                <w:rFonts w:ascii="Arial"/>
                <w:sz w:val="21"/>
              </w:rPr>
            </w:pPr>
          </w:p>
        </w:tc>
        <w:tc>
          <w:tcPr>
            <w:tcW w:w="2314" w:type="dxa"/>
            <w:tcBorders>
              <w:top w:val="single" w:color="000000" w:sz="2" w:space="0"/>
              <w:bottom w:val="single" w:color="000000" w:sz="2" w:space="0"/>
            </w:tcBorders>
            <w:vAlign w:val="top"/>
          </w:tcPr>
          <w:p w14:paraId="30BAC09B">
            <w:pPr>
              <w:pStyle w:val="6"/>
              <w:spacing w:before="57" w:line="219" w:lineRule="auto"/>
              <w:ind w:left="52"/>
            </w:pPr>
            <w:r>
              <w:rPr>
                <w:spacing w:val="-1"/>
              </w:rPr>
              <w:t>2.硫酸根离子的检验</w:t>
            </w:r>
          </w:p>
        </w:tc>
        <w:tc>
          <w:tcPr>
            <w:tcW w:w="230" w:type="dxa"/>
            <w:tcBorders>
              <w:top w:val="single" w:color="000000" w:sz="2" w:space="0"/>
              <w:bottom w:val="single" w:color="000000" w:sz="2" w:space="0"/>
            </w:tcBorders>
            <w:vAlign w:val="top"/>
          </w:tcPr>
          <w:p w14:paraId="2777F5C4">
            <w:pPr>
              <w:rPr>
                <w:rFonts w:ascii="Arial"/>
                <w:sz w:val="21"/>
              </w:rPr>
            </w:pPr>
          </w:p>
        </w:tc>
        <w:tc>
          <w:tcPr>
            <w:tcW w:w="229" w:type="dxa"/>
            <w:tcBorders>
              <w:top w:val="single" w:color="000000" w:sz="2" w:space="0"/>
              <w:bottom w:val="single" w:color="000000" w:sz="2" w:space="0"/>
            </w:tcBorders>
            <w:vAlign w:val="top"/>
          </w:tcPr>
          <w:p w14:paraId="088C6D0F">
            <w:pPr>
              <w:rPr>
                <w:rFonts w:ascii="Arial"/>
                <w:sz w:val="21"/>
              </w:rPr>
            </w:pPr>
          </w:p>
        </w:tc>
        <w:tc>
          <w:tcPr>
            <w:tcW w:w="220" w:type="dxa"/>
            <w:tcBorders>
              <w:top w:val="single" w:color="000000" w:sz="2" w:space="0"/>
              <w:bottom w:val="single" w:color="000000" w:sz="2" w:space="0"/>
            </w:tcBorders>
            <w:vAlign w:val="top"/>
          </w:tcPr>
          <w:p w14:paraId="3B95FD43">
            <w:pPr>
              <w:rPr>
                <w:rFonts w:ascii="Arial"/>
                <w:sz w:val="21"/>
              </w:rPr>
            </w:pPr>
          </w:p>
        </w:tc>
        <w:tc>
          <w:tcPr>
            <w:tcW w:w="224" w:type="dxa"/>
            <w:tcBorders>
              <w:top w:val="single" w:color="000000" w:sz="2" w:space="0"/>
              <w:bottom w:val="single" w:color="000000" w:sz="2" w:space="0"/>
            </w:tcBorders>
            <w:vAlign w:val="top"/>
          </w:tcPr>
          <w:p w14:paraId="0BA4C367">
            <w:pPr>
              <w:rPr>
                <w:rFonts w:ascii="Arial"/>
                <w:sz w:val="21"/>
              </w:rPr>
            </w:pPr>
          </w:p>
        </w:tc>
      </w:tr>
    </w:tbl>
    <w:p w14:paraId="25D19DC8">
      <w:pPr>
        <w:pStyle w:val="2"/>
        <w:spacing w:line="14" w:lineRule="auto"/>
        <w:rPr>
          <w:sz w:val="2"/>
        </w:rPr>
      </w:pPr>
    </w:p>
    <w:p w14:paraId="34FE8FA9">
      <w:pPr>
        <w:spacing w:line="14" w:lineRule="auto"/>
        <w:rPr>
          <w:sz w:val="2"/>
          <w:szCs w:val="2"/>
        </w:rPr>
        <w:sectPr>
          <w:type w:val="continuous"/>
          <w:pgSz w:w="10660" w:h="15080"/>
          <w:pgMar w:top="400" w:right="875" w:bottom="925" w:left="1029" w:header="0" w:footer="705" w:gutter="0"/>
          <w:cols w:equalWidth="0" w:num="2">
            <w:col w:w="4485" w:space="100"/>
            <w:col w:w="4170"/>
          </w:cols>
        </w:sectPr>
      </w:pPr>
    </w:p>
    <w:p w14:paraId="0E9D5146">
      <w:pPr>
        <w:spacing w:before="10"/>
      </w:pPr>
    </w:p>
    <w:p w14:paraId="1EAFD1FC">
      <w:pPr>
        <w:spacing w:before="9"/>
      </w:pPr>
    </w:p>
    <w:p w14:paraId="620EDCA8">
      <w:pPr>
        <w:spacing w:before="9"/>
      </w:pPr>
    </w:p>
    <w:p w14:paraId="6ACC742F">
      <w:pPr>
        <w:spacing w:before="9"/>
      </w:pPr>
    </w:p>
    <w:p w14:paraId="012C784B">
      <w:pPr>
        <w:sectPr>
          <w:footerReference r:id="rId94" w:type="default"/>
          <w:pgSz w:w="10660" w:h="15080"/>
          <w:pgMar w:top="400" w:right="1055" w:bottom="927" w:left="819" w:header="0" w:footer="719" w:gutter="0"/>
          <w:cols w:equalWidth="0" w:num="1">
            <w:col w:w="8786"/>
          </w:cols>
        </w:sectPr>
      </w:pPr>
    </w:p>
    <w:p w14:paraId="49572267">
      <w:pPr>
        <w:spacing w:line="21" w:lineRule="exact"/>
      </w:pPr>
    </w:p>
    <w:tbl>
      <w:tblPr>
        <w:tblStyle w:val="5"/>
        <w:tblW w:w="4109" w:type="dxa"/>
        <w:tblInd w:w="9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14"/>
        <w:gridCol w:w="229"/>
        <w:gridCol w:w="220"/>
        <w:gridCol w:w="229"/>
        <w:gridCol w:w="224"/>
      </w:tblGrid>
      <w:tr w14:paraId="5F7AD5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2" w:hRule="atLeast"/>
        </w:trPr>
        <w:tc>
          <w:tcPr>
            <w:tcW w:w="893" w:type="dxa"/>
            <w:vMerge w:val="restart"/>
            <w:tcBorders>
              <w:bottom w:val="nil"/>
            </w:tcBorders>
            <w:vAlign w:val="top"/>
          </w:tcPr>
          <w:p w14:paraId="6C2FEDF6">
            <w:pPr>
              <w:pStyle w:val="6"/>
              <w:spacing w:before="131" w:line="228" w:lineRule="auto"/>
              <w:ind w:left="77" w:right="93" w:firstLine="89"/>
              <w:rPr>
                <w:sz w:val="18"/>
                <w:szCs w:val="18"/>
              </w:rPr>
            </w:pPr>
            <w:r>
              <w:rPr>
                <w:b/>
                <w:bCs/>
                <w:spacing w:val="1"/>
                <w:sz w:val="18"/>
                <w:szCs w:val="18"/>
              </w:rPr>
              <w:t>知识与</w:t>
            </w:r>
            <w:r>
              <w:rPr>
                <w:sz w:val="18"/>
                <w:szCs w:val="18"/>
              </w:rPr>
              <w:t xml:space="preserve">  </w:t>
            </w:r>
            <w:r>
              <w:rPr>
                <w:b/>
                <w:bCs/>
                <w:spacing w:val="-4"/>
                <w:sz w:val="18"/>
                <w:szCs w:val="18"/>
              </w:rPr>
              <w:t>技能要点</w:t>
            </w:r>
          </w:p>
        </w:tc>
        <w:tc>
          <w:tcPr>
            <w:tcW w:w="2314" w:type="dxa"/>
            <w:vMerge w:val="restart"/>
            <w:tcBorders>
              <w:bottom w:val="nil"/>
            </w:tcBorders>
            <w:vAlign w:val="top"/>
          </w:tcPr>
          <w:p w14:paraId="1BC1AB4D">
            <w:pPr>
              <w:pStyle w:val="6"/>
              <w:spacing w:before="249" w:line="219" w:lineRule="auto"/>
              <w:ind w:left="844"/>
              <w:rPr>
                <w:sz w:val="18"/>
                <w:szCs w:val="18"/>
              </w:rPr>
            </w:pPr>
            <w:r>
              <w:rPr>
                <w:b/>
                <w:bCs/>
                <w:spacing w:val="5"/>
                <w:sz w:val="18"/>
                <w:szCs w:val="18"/>
              </w:rPr>
              <w:t>考试条目</w:t>
            </w:r>
          </w:p>
        </w:tc>
        <w:tc>
          <w:tcPr>
            <w:tcW w:w="902" w:type="dxa"/>
            <w:gridSpan w:val="4"/>
            <w:vAlign w:val="top"/>
          </w:tcPr>
          <w:p w14:paraId="591DDB9F">
            <w:pPr>
              <w:pStyle w:val="6"/>
              <w:spacing w:before="79" w:line="219" w:lineRule="auto"/>
              <w:ind w:left="130"/>
              <w:rPr>
                <w:sz w:val="18"/>
                <w:szCs w:val="18"/>
              </w:rPr>
            </w:pPr>
            <w:r>
              <w:rPr>
                <w:b/>
                <w:bCs/>
                <w:spacing w:val="-4"/>
                <w:sz w:val="18"/>
                <w:szCs w:val="18"/>
              </w:rPr>
              <w:t>考试水平</w:t>
            </w:r>
          </w:p>
        </w:tc>
      </w:tr>
      <w:tr w14:paraId="3482D2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8" w:hRule="atLeast"/>
        </w:trPr>
        <w:tc>
          <w:tcPr>
            <w:tcW w:w="893" w:type="dxa"/>
            <w:vMerge w:val="continue"/>
            <w:tcBorders>
              <w:top w:val="nil"/>
            </w:tcBorders>
            <w:vAlign w:val="top"/>
          </w:tcPr>
          <w:p w14:paraId="3C1B841C">
            <w:pPr>
              <w:rPr>
                <w:rFonts w:ascii="Arial"/>
                <w:sz w:val="21"/>
              </w:rPr>
            </w:pPr>
          </w:p>
        </w:tc>
        <w:tc>
          <w:tcPr>
            <w:tcW w:w="2314" w:type="dxa"/>
            <w:vMerge w:val="continue"/>
            <w:tcBorders>
              <w:top w:val="nil"/>
            </w:tcBorders>
            <w:vAlign w:val="top"/>
          </w:tcPr>
          <w:p w14:paraId="3D529D6D">
            <w:pPr>
              <w:rPr>
                <w:rFonts w:ascii="Arial"/>
                <w:sz w:val="21"/>
              </w:rPr>
            </w:pPr>
          </w:p>
        </w:tc>
        <w:tc>
          <w:tcPr>
            <w:tcW w:w="229" w:type="dxa"/>
            <w:vAlign w:val="top"/>
          </w:tcPr>
          <w:p w14:paraId="286228BD">
            <w:pPr>
              <w:pStyle w:val="6"/>
              <w:spacing w:before="125" w:line="184" w:lineRule="auto"/>
              <w:ind w:left="20"/>
              <w:rPr>
                <w:sz w:val="18"/>
                <w:szCs w:val="18"/>
              </w:rPr>
            </w:pPr>
            <w:r>
              <w:rPr>
                <w:b/>
                <w:bCs/>
                <w:spacing w:val="-2"/>
                <w:sz w:val="18"/>
                <w:szCs w:val="18"/>
              </w:rPr>
              <w:t>A</w:t>
            </w:r>
          </w:p>
        </w:tc>
        <w:tc>
          <w:tcPr>
            <w:tcW w:w="220" w:type="dxa"/>
            <w:vAlign w:val="top"/>
          </w:tcPr>
          <w:p w14:paraId="654B6267">
            <w:pPr>
              <w:pStyle w:val="6"/>
              <w:spacing w:before="127" w:line="182" w:lineRule="auto"/>
              <w:ind w:left="31"/>
              <w:rPr>
                <w:sz w:val="18"/>
                <w:szCs w:val="18"/>
              </w:rPr>
            </w:pPr>
            <w:r>
              <w:rPr>
                <w:b/>
                <w:bCs/>
                <w:spacing w:val="-2"/>
                <w:sz w:val="18"/>
                <w:szCs w:val="18"/>
              </w:rPr>
              <w:t>B</w:t>
            </w:r>
          </w:p>
        </w:tc>
        <w:tc>
          <w:tcPr>
            <w:tcW w:w="229" w:type="dxa"/>
            <w:vAlign w:val="top"/>
          </w:tcPr>
          <w:p w14:paraId="46421460">
            <w:pPr>
              <w:pStyle w:val="6"/>
              <w:spacing w:before="126" w:line="183" w:lineRule="auto"/>
              <w:ind w:left="49"/>
              <w:rPr>
                <w:sz w:val="18"/>
                <w:szCs w:val="18"/>
              </w:rPr>
            </w:pPr>
            <w:r>
              <w:rPr>
                <w:sz w:val="18"/>
                <w:szCs w:val="18"/>
              </w:rPr>
              <w:t>C</w:t>
            </w:r>
          </w:p>
        </w:tc>
        <w:tc>
          <w:tcPr>
            <w:tcW w:w="224" w:type="dxa"/>
            <w:vAlign w:val="top"/>
          </w:tcPr>
          <w:p w14:paraId="3BED4DE7">
            <w:pPr>
              <w:pStyle w:val="6"/>
              <w:spacing w:before="127" w:line="182" w:lineRule="auto"/>
              <w:ind w:left="62"/>
              <w:rPr>
                <w:sz w:val="18"/>
                <w:szCs w:val="18"/>
              </w:rPr>
            </w:pPr>
            <w:r>
              <w:rPr>
                <w:b/>
                <w:bCs/>
                <w:spacing w:val="-2"/>
                <w:sz w:val="18"/>
                <w:szCs w:val="18"/>
              </w:rPr>
              <w:t>D</w:t>
            </w:r>
          </w:p>
        </w:tc>
      </w:tr>
      <w:tr w14:paraId="3CEE66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8" w:hRule="atLeast"/>
        </w:trPr>
        <w:tc>
          <w:tcPr>
            <w:tcW w:w="893" w:type="dxa"/>
            <w:vMerge w:val="restart"/>
            <w:tcBorders>
              <w:bottom w:val="nil"/>
            </w:tcBorders>
            <w:vAlign w:val="top"/>
          </w:tcPr>
          <w:p w14:paraId="391F543C">
            <w:pPr>
              <w:pStyle w:val="6"/>
              <w:spacing w:before="202" w:line="243" w:lineRule="auto"/>
              <w:ind w:left="14"/>
              <w:rPr>
                <w:sz w:val="18"/>
                <w:szCs w:val="18"/>
              </w:rPr>
            </w:pPr>
            <w:r>
              <w:rPr>
                <w:spacing w:val="-7"/>
                <w:sz w:val="18"/>
                <w:szCs w:val="18"/>
              </w:rPr>
              <w:t>常见阴、阳</w:t>
            </w:r>
            <w:r>
              <w:rPr>
                <w:spacing w:val="2"/>
                <w:sz w:val="18"/>
                <w:szCs w:val="18"/>
              </w:rPr>
              <w:t xml:space="preserve"> </w:t>
            </w:r>
            <w:r>
              <w:rPr>
                <w:spacing w:val="-9"/>
                <w:sz w:val="18"/>
                <w:szCs w:val="18"/>
              </w:rPr>
              <w:t>离子的检验</w:t>
            </w:r>
          </w:p>
        </w:tc>
        <w:tc>
          <w:tcPr>
            <w:tcW w:w="2314" w:type="dxa"/>
            <w:vAlign w:val="top"/>
          </w:tcPr>
          <w:p w14:paraId="04CCD7D6">
            <w:pPr>
              <w:pStyle w:val="6"/>
              <w:spacing w:before="42" w:line="211" w:lineRule="auto"/>
              <w:ind w:left="31"/>
              <w:rPr>
                <w:sz w:val="18"/>
                <w:szCs w:val="18"/>
              </w:rPr>
            </w:pPr>
            <w:r>
              <w:rPr>
                <w:spacing w:val="-2"/>
                <w:sz w:val="18"/>
                <w:szCs w:val="18"/>
              </w:rPr>
              <w:t>3.铵根离子的检验</w:t>
            </w:r>
          </w:p>
        </w:tc>
        <w:tc>
          <w:tcPr>
            <w:tcW w:w="229" w:type="dxa"/>
            <w:vAlign w:val="top"/>
          </w:tcPr>
          <w:p w14:paraId="73EEC068">
            <w:pPr>
              <w:rPr>
                <w:rFonts w:ascii="Arial"/>
                <w:sz w:val="21"/>
              </w:rPr>
            </w:pPr>
          </w:p>
        </w:tc>
        <w:tc>
          <w:tcPr>
            <w:tcW w:w="220" w:type="dxa"/>
            <w:vAlign w:val="top"/>
          </w:tcPr>
          <w:p w14:paraId="04AB2C21">
            <w:pPr>
              <w:rPr>
                <w:rFonts w:ascii="Arial"/>
                <w:sz w:val="21"/>
              </w:rPr>
            </w:pPr>
          </w:p>
        </w:tc>
        <w:tc>
          <w:tcPr>
            <w:tcW w:w="229" w:type="dxa"/>
            <w:vAlign w:val="top"/>
          </w:tcPr>
          <w:p w14:paraId="50EE62CA">
            <w:pPr>
              <w:rPr>
                <w:rFonts w:ascii="Arial"/>
                <w:sz w:val="21"/>
              </w:rPr>
            </w:pPr>
          </w:p>
        </w:tc>
        <w:tc>
          <w:tcPr>
            <w:tcW w:w="224" w:type="dxa"/>
            <w:vAlign w:val="top"/>
          </w:tcPr>
          <w:p w14:paraId="0E00BCFF">
            <w:pPr>
              <w:pStyle w:val="6"/>
              <w:spacing w:before="83" w:line="234" w:lineRule="auto"/>
              <w:ind w:left="39"/>
              <w:rPr>
                <w:sz w:val="13"/>
                <w:szCs w:val="13"/>
              </w:rPr>
            </w:pPr>
            <w:r>
              <w:rPr>
                <w:sz w:val="13"/>
                <w:szCs w:val="13"/>
              </w:rPr>
              <w:t>√</w:t>
            </w:r>
          </w:p>
        </w:tc>
      </w:tr>
      <w:tr w14:paraId="2CA041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8" w:hRule="atLeast"/>
        </w:trPr>
        <w:tc>
          <w:tcPr>
            <w:tcW w:w="893" w:type="dxa"/>
            <w:vMerge w:val="continue"/>
            <w:tcBorders>
              <w:top w:val="nil"/>
              <w:bottom w:val="nil"/>
            </w:tcBorders>
            <w:vAlign w:val="top"/>
          </w:tcPr>
          <w:p w14:paraId="5A1861C6">
            <w:pPr>
              <w:rPr>
                <w:rFonts w:ascii="Arial"/>
                <w:sz w:val="21"/>
              </w:rPr>
            </w:pPr>
          </w:p>
        </w:tc>
        <w:tc>
          <w:tcPr>
            <w:tcW w:w="2314" w:type="dxa"/>
            <w:vAlign w:val="top"/>
          </w:tcPr>
          <w:p w14:paraId="2FEC76F0">
            <w:pPr>
              <w:pStyle w:val="6"/>
              <w:spacing w:before="44" w:line="209" w:lineRule="auto"/>
              <w:ind w:left="31"/>
              <w:rPr>
                <w:sz w:val="18"/>
                <w:szCs w:val="18"/>
              </w:rPr>
            </w:pPr>
            <w:r>
              <w:rPr>
                <w:spacing w:val="-1"/>
                <w:sz w:val="18"/>
                <w:szCs w:val="18"/>
              </w:rPr>
              <w:t>4.金属的焰色反应</w:t>
            </w:r>
          </w:p>
        </w:tc>
        <w:tc>
          <w:tcPr>
            <w:tcW w:w="229" w:type="dxa"/>
            <w:vAlign w:val="top"/>
          </w:tcPr>
          <w:p w14:paraId="50C75CC1">
            <w:pPr>
              <w:rPr>
                <w:rFonts w:ascii="Arial"/>
                <w:sz w:val="21"/>
              </w:rPr>
            </w:pPr>
          </w:p>
        </w:tc>
        <w:tc>
          <w:tcPr>
            <w:tcW w:w="220" w:type="dxa"/>
            <w:vAlign w:val="top"/>
          </w:tcPr>
          <w:p w14:paraId="5D953ADB">
            <w:pPr>
              <w:rPr>
                <w:rFonts w:ascii="Arial"/>
                <w:sz w:val="21"/>
              </w:rPr>
            </w:pPr>
          </w:p>
        </w:tc>
        <w:tc>
          <w:tcPr>
            <w:tcW w:w="229" w:type="dxa"/>
            <w:vAlign w:val="top"/>
          </w:tcPr>
          <w:p w14:paraId="32CB5951">
            <w:pPr>
              <w:rPr>
                <w:rFonts w:ascii="Arial"/>
                <w:sz w:val="21"/>
              </w:rPr>
            </w:pPr>
          </w:p>
        </w:tc>
        <w:tc>
          <w:tcPr>
            <w:tcW w:w="224" w:type="dxa"/>
            <w:vAlign w:val="top"/>
          </w:tcPr>
          <w:p w14:paraId="673CE142">
            <w:pPr>
              <w:pStyle w:val="6"/>
              <w:spacing w:before="85" w:line="231" w:lineRule="auto"/>
              <w:ind w:left="39"/>
              <w:rPr>
                <w:sz w:val="13"/>
                <w:szCs w:val="13"/>
              </w:rPr>
            </w:pPr>
            <w:r>
              <w:rPr>
                <w:sz w:val="13"/>
                <w:szCs w:val="13"/>
              </w:rPr>
              <w:t>√</w:t>
            </w:r>
          </w:p>
        </w:tc>
      </w:tr>
      <w:tr w14:paraId="041BA9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3" w:hRule="atLeast"/>
        </w:trPr>
        <w:tc>
          <w:tcPr>
            <w:tcW w:w="893" w:type="dxa"/>
            <w:vMerge w:val="continue"/>
            <w:tcBorders>
              <w:top w:val="nil"/>
            </w:tcBorders>
            <w:vAlign w:val="top"/>
          </w:tcPr>
          <w:p w14:paraId="0F09531B">
            <w:pPr>
              <w:rPr>
                <w:rFonts w:ascii="Arial"/>
                <w:sz w:val="21"/>
              </w:rPr>
            </w:pPr>
          </w:p>
        </w:tc>
        <w:tc>
          <w:tcPr>
            <w:tcW w:w="2314" w:type="dxa"/>
            <w:vAlign w:val="top"/>
          </w:tcPr>
          <w:p w14:paraId="6D44E523">
            <w:pPr>
              <w:pStyle w:val="6"/>
              <w:spacing w:before="46" w:line="202" w:lineRule="auto"/>
              <w:ind w:left="31"/>
              <w:rPr>
                <w:sz w:val="18"/>
                <w:szCs w:val="18"/>
              </w:rPr>
            </w:pPr>
            <w:r>
              <w:rPr>
                <w:spacing w:val="-1"/>
                <w:sz w:val="18"/>
                <w:szCs w:val="18"/>
              </w:rPr>
              <w:t>5.Fe2+、Fe3+的检验</w:t>
            </w:r>
          </w:p>
        </w:tc>
        <w:tc>
          <w:tcPr>
            <w:tcW w:w="229" w:type="dxa"/>
            <w:vAlign w:val="top"/>
          </w:tcPr>
          <w:p w14:paraId="386C3CBD">
            <w:pPr>
              <w:rPr>
                <w:rFonts w:ascii="Arial"/>
                <w:sz w:val="21"/>
              </w:rPr>
            </w:pPr>
          </w:p>
        </w:tc>
        <w:tc>
          <w:tcPr>
            <w:tcW w:w="220" w:type="dxa"/>
            <w:vAlign w:val="top"/>
          </w:tcPr>
          <w:p w14:paraId="12024AD3">
            <w:pPr>
              <w:rPr>
                <w:rFonts w:ascii="Arial"/>
                <w:sz w:val="21"/>
              </w:rPr>
            </w:pPr>
          </w:p>
        </w:tc>
        <w:tc>
          <w:tcPr>
            <w:tcW w:w="229" w:type="dxa"/>
            <w:vAlign w:val="top"/>
          </w:tcPr>
          <w:p w14:paraId="1C5070D9">
            <w:pPr>
              <w:rPr>
                <w:rFonts w:ascii="Arial"/>
                <w:sz w:val="21"/>
              </w:rPr>
            </w:pPr>
          </w:p>
        </w:tc>
        <w:tc>
          <w:tcPr>
            <w:tcW w:w="224" w:type="dxa"/>
            <w:vAlign w:val="top"/>
          </w:tcPr>
          <w:p w14:paraId="030B5D70">
            <w:pPr>
              <w:pStyle w:val="6"/>
              <w:spacing w:before="77" w:line="235" w:lineRule="auto"/>
              <w:ind w:left="39"/>
              <w:rPr>
                <w:sz w:val="13"/>
                <w:szCs w:val="13"/>
              </w:rPr>
            </w:pPr>
            <w:r>
              <w:rPr>
                <w:sz w:val="13"/>
                <w:szCs w:val="13"/>
              </w:rPr>
              <w:t>√</w:t>
            </w:r>
          </w:p>
        </w:tc>
      </w:tr>
    </w:tbl>
    <w:p w14:paraId="772EAE1F">
      <w:pPr>
        <w:pStyle w:val="2"/>
        <w:spacing w:line="242" w:lineRule="auto"/>
      </w:pPr>
    </w:p>
    <w:p w14:paraId="4BDEFA65">
      <w:pPr>
        <w:spacing w:before="65" w:line="222" w:lineRule="auto"/>
        <w:ind w:left="862"/>
        <w:rPr>
          <w:rFonts w:ascii="黑体" w:hAnsi="黑体" w:eastAsia="黑体" w:cs="黑体"/>
          <w:sz w:val="20"/>
          <w:szCs w:val="20"/>
        </w:rPr>
      </w:pPr>
      <w:r>
        <w:rPr>
          <w:rFonts w:ascii="黑体" w:hAnsi="黑体" w:eastAsia="黑体" w:cs="黑体"/>
          <w:b/>
          <w:bCs/>
          <w:spacing w:val="-3"/>
          <w:sz w:val="20"/>
          <w:szCs w:val="20"/>
        </w:rPr>
        <w:t>五、简单有机化合物及其应用</w:t>
      </w:r>
    </w:p>
    <w:p w14:paraId="6312470A">
      <w:pPr>
        <w:spacing w:line="90" w:lineRule="exact"/>
      </w:pPr>
    </w:p>
    <w:tbl>
      <w:tblPr>
        <w:tblStyle w:val="5"/>
        <w:tblW w:w="4109" w:type="dxa"/>
        <w:tblInd w:w="9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93"/>
        <w:gridCol w:w="2604"/>
        <w:gridCol w:w="229"/>
        <w:gridCol w:w="220"/>
        <w:gridCol w:w="229"/>
        <w:gridCol w:w="234"/>
      </w:tblGrid>
      <w:tr w14:paraId="44850B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4" w:hRule="atLeast"/>
        </w:trPr>
        <w:tc>
          <w:tcPr>
            <w:tcW w:w="593" w:type="dxa"/>
            <w:vMerge w:val="restart"/>
            <w:tcBorders>
              <w:bottom w:val="nil"/>
            </w:tcBorders>
            <w:vAlign w:val="top"/>
          </w:tcPr>
          <w:p w14:paraId="7653807E">
            <w:pPr>
              <w:pStyle w:val="6"/>
              <w:spacing w:before="10" w:line="234" w:lineRule="auto"/>
              <w:ind w:left="37" w:right="45" w:firstLine="79"/>
            </w:pPr>
            <w:r>
              <w:rPr>
                <w:b/>
                <w:bCs/>
                <w:spacing w:val="-7"/>
              </w:rPr>
              <w:t>知识</w:t>
            </w:r>
            <w:r>
              <w:t xml:space="preserve">  </w:t>
            </w:r>
            <w:r>
              <w:rPr>
                <w:b/>
                <w:bCs/>
                <w:spacing w:val="-6"/>
              </w:rPr>
              <w:t>与技能</w:t>
            </w:r>
            <w:r>
              <w:rPr>
                <w:spacing w:val="1"/>
              </w:rPr>
              <w:t xml:space="preserve"> </w:t>
            </w:r>
            <w:r>
              <w:rPr>
                <w:b/>
                <w:bCs/>
                <w:spacing w:val="34"/>
              </w:rPr>
              <w:t>要点</w:t>
            </w:r>
          </w:p>
        </w:tc>
        <w:tc>
          <w:tcPr>
            <w:tcW w:w="2604" w:type="dxa"/>
            <w:vMerge w:val="restart"/>
            <w:tcBorders>
              <w:bottom w:val="nil"/>
            </w:tcBorders>
            <w:vAlign w:val="top"/>
          </w:tcPr>
          <w:p w14:paraId="2C096E30">
            <w:pPr>
              <w:pStyle w:val="6"/>
              <w:spacing w:before="249" w:line="219" w:lineRule="auto"/>
              <w:ind w:left="994"/>
            </w:pPr>
            <w:r>
              <w:rPr>
                <w:b/>
                <w:bCs/>
                <w:spacing w:val="5"/>
              </w:rPr>
              <w:t>考试条目</w:t>
            </w:r>
          </w:p>
        </w:tc>
        <w:tc>
          <w:tcPr>
            <w:tcW w:w="912" w:type="dxa"/>
            <w:gridSpan w:val="4"/>
            <w:vAlign w:val="top"/>
          </w:tcPr>
          <w:p w14:paraId="05AD8E2B">
            <w:pPr>
              <w:pStyle w:val="6"/>
              <w:spacing w:before="79" w:line="219" w:lineRule="auto"/>
              <w:ind w:left="150"/>
            </w:pPr>
            <w:r>
              <w:rPr>
                <w:b/>
                <w:bCs/>
                <w:spacing w:val="-4"/>
              </w:rPr>
              <w:t>考试水平</w:t>
            </w:r>
          </w:p>
        </w:tc>
      </w:tr>
      <w:tr w14:paraId="089443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9" w:hRule="atLeast"/>
        </w:trPr>
        <w:tc>
          <w:tcPr>
            <w:tcW w:w="593" w:type="dxa"/>
            <w:vMerge w:val="continue"/>
            <w:tcBorders>
              <w:top w:val="nil"/>
            </w:tcBorders>
            <w:vAlign w:val="top"/>
          </w:tcPr>
          <w:p w14:paraId="634D43A5">
            <w:pPr>
              <w:rPr>
                <w:rFonts w:ascii="Arial"/>
                <w:sz w:val="21"/>
              </w:rPr>
            </w:pPr>
          </w:p>
        </w:tc>
        <w:tc>
          <w:tcPr>
            <w:tcW w:w="2604" w:type="dxa"/>
            <w:vMerge w:val="continue"/>
            <w:tcBorders>
              <w:top w:val="nil"/>
            </w:tcBorders>
            <w:vAlign w:val="top"/>
          </w:tcPr>
          <w:p w14:paraId="3CBD2A3B">
            <w:pPr>
              <w:rPr>
                <w:rFonts w:ascii="Arial"/>
                <w:sz w:val="21"/>
              </w:rPr>
            </w:pPr>
          </w:p>
        </w:tc>
        <w:tc>
          <w:tcPr>
            <w:tcW w:w="229" w:type="dxa"/>
            <w:vAlign w:val="top"/>
          </w:tcPr>
          <w:p w14:paraId="1DEFB2D8">
            <w:pPr>
              <w:pStyle w:val="6"/>
              <w:spacing w:before="120" w:line="184" w:lineRule="auto"/>
              <w:ind w:left="67"/>
            </w:pPr>
            <w:r>
              <w:t>A</w:t>
            </w:r>
          </w:p>
        </w:tc>
        <w:tc>
          <w:tcPr>
            <w:tcW w:w="220" w:type="dxa"/>
            <w:vAlign w:val="top"/>
          </w:tcPr>
          <w:p w14:paraId="54E8440E">
            <w:pPr>
              <w:pStyle w:val="6"/>
              <w:spacing w:before="122" w:line="182" w:lineRule="auto"/>
              <w:ind w:left="61"/>
            </w:pPr>
            <w:r>
              <w:rPr>
                <w:b/>
                <w:bCs/>
                <w:spacing w:val="-2"/>
              </w:rPr>
              <w:t>B</w:t>
            </w:r>
          </w:p>
        </w:tc>
        <w:tc>
          <w:tcPr>
            <w:tcW w:w="229" w:type="dxa"/>
            <w:vAlign w:val="top"/>
          </w:tcPr>
          <w:p w14:paraId="4355CCD4">
            <w:pPr>
              <w:pStyle w:val="6"/>
              <w:spacing w:before="120" w:line="183" w:lineRule="auto"/>
              <w:jc w:val="right"/>
            </w:pPr>
            <w:r>
              <w:rPr>
                <w:b/>
                <w:bCs/>
                <w:spacing w:val="-10"/>
              </w:rPr>
              <w:t>C</w:t>
            </w:r>
          </w:p>
        </w:tc>
        <w:tc>
          <w:tcPr>
            <w:tcW w:w="234" w:type="dxa"/>
            <w:vAlign w:val="top"/>
          </w:tcPr>
          <w:p w14:paraId="728CCC7C">
            <w:pPr>
              <w:pStyle w:val="6"/>
              <w:spacing w:before="122" w:line="182" w:lineRule="auto"/>
              <w:ind w:left="22"/>
            </w:pPr>
            <w:r>
              <w:rPr>
                <w:b/>
                <w:bCs/>
                <w:spacing w:val="-2"/>
              </w:rPr>
              <w:t>D</w:t>
            </w:r>
          </w:p>
        </w:tc>
      </w:tr>
      <w:tr w14:paraId="5F8F7C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0" w:hRule="atLeast"/>
        </w:trPr>
        <w:tc>
          <w:tcPr>
            <w:tcW w:w="593" w:type="dxa"/>
            <w:vMerge w:val="restart"/>
            <w:tcBorders>
              <w:bottom w:val="nil"/>
            </w:tcBorders>
            <w:vAlign w:val="top"/>
          </w:tcPr>
          <w:p w14:paraId="68ABC704">
            <w:pPr>
              <w:pStyle w:val="6"/>
              <w:spacing w:before="119" w:line="243" w:lineRule="auto"/>
              <w:ind w:left="34" w:right="24" w:firstLine="79"/>
            </w:pPr>
            <w:r>
              <w:rPr>
                <w:spacing w:val="-4"/>
              </w:rPr>
              <w:t>有机</w:t>
            </w:r>
            <w:r>
              <w:t xml:space="preserve">  </w:t>
            </w:r>
            <w:r>
              <w:rPr>
                <w:spacing w:val="-3"/>
              </w:rPr>
              <w:t>化合物</w:t>
            </w:r>
            <w:r>
              <w:t xml:space="preserve"> </w:t>
            </w:r>
            <w:r>
              <w:rPr>
                <w:spacing w:val="4"/>
              </w:rPr>
              <w:t>特点和</w:t>
            </w:r>
            <w:r>
              <w:t xml:space="preserve"> </w:t>
            </w:r>
            <w:r>
              <w:rPr>
                <w:spacing w:val="35"/>
              </w:rPr>
              <w:t>分类</w:t>
            </w:r>
          </w:p>
        </w:tc>
        <w:tc>
          <w:tcPr>
            <w:tcW w:w="2604" w:type="dxa"/>
            <w:vAlign w:val="top"/>
          </w:tcPr>
          <w:p w14:paraId="6E4DF994">
            <w:pPr>
              <w:pStyle w:val="6"/>
              <w:spacing w:before="37" w:line="219" w:lineRule="auto"/>
              <w:ind w:left="51"/>
            </w:pPr>
            <w:r>
              <w:rPr>
                <w:spacing w:val="1"/>
              </w:rPr>
              <w:t>1.有机化合物的概念及性质特点</w:t>
            </w:r>
          </w:p>
        </w:tc>
        <w:tc>
          <w:tcPr>
            <w:tcW w:w="229" w:type="dxa"/>
            <w:vAlign w:val="top"/>
          </w:tcPr>
          <w:p w14:paraId="2F7F7AC6">
            <w:pPr>
              <w:pStyle w:val="6"/>
              <w:spacing w:before="79" w:line="238" w:lineRule="auto"/>
              <w:ind w:left="47"/>
              <w:rPr>
                <w:sz w:val="12"/>
                <w:szCs w:val="12"/>
              </w:rPr>
            </w:pPr>
            <w:r>
              <w:rPr>
                <w:sz w:val="12"/>
                <w:szCs w:val="12"/>
              </w:rPr>
              <w:t>√</w:t>
            </w:r>
          </w:p>
        </w:tc>
        <w:tc>
          <w:tcPr>
            <w:tcW w:w="220" w:type="dxa"/>
            <w:vAlign w:val="top"/>
          </w:tcPr>
          <w:p w14:paraId="367B3332">
            <w:pPr>
              <w:spacing w:line="240" w:lineRule="exact"/>
              <w:rPr>
                <w:rFonts w:ascii="Arial"/>
                <w:sz w:val="20"/>
              </w:rPr>
            </w:pPr>
          </w:p>
        </w:tc>
        <w:tc>
          <w:tcPr>
            <w:tcW w:w="229" w:type="dxa"/>
            <w:vAlign w:val="top"/>
          </w:tcPr>
          <w:p w14:paraId="18054508">
            <w:pPr>
              <w:spacing w:line="240" w:lineRule="exact"/>
              <w:rPr>
                <w:rFonts w:ascii="Arial"/>
                <w:sz w:val="20"/>
              </w:rPr>
            </w:pPr>
          </w:p>
        </w:tc>
        <w:tc>
          <w:tcPr>
            <w:tcW w:w="234" w:type="dxa"/>
            <w:vAlign w:val="top"/>
          </w:tcPr>
          <w:p w14:paraId="2DB2056C">
            <w:pPr>
              <w:spacing w:line="240" w:lineRule="exact"/>
              <w:rPr>
                <w:rFonts w:ascii="Arial"/>
                <w:sz w:val="20"/>
              </w:rPr>
            </w:pPr>
          </w:p>
        </w:tc>
      </w:tr>
      <w:tr w14:paraId="1B0B76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trPr>
        <w:tc>
          <w:tcPr>
            <w:tcW w:w="593" w:type="dxa"/>
            <w:vMerge w:val="continue"/>
            <w:tcBorders>
              <w:top w:val="nil"/>
              <w:bottom w:val="nil"/>
            </w:tcBorders>
            <w:vAlign w:val="top"/>
          </w:tcPr>
          <w:p w14:paraId="2C61E16B">
            <w:pPr>
              <w:rPr>
                <w:rFonts w:ascii="Arial"/>
                <w:sz w:val="21"/>
              </w:rPr>
            </w:pPr>
          </w:p>
        </w:tc>
        <w:tc>
          <w:tcPr>
            <w:tcW w:w="2604" w:type="dxa"/>
            <w:vAlign w:val="top"/>
          </w:tcPr>
          <w:p w14:paraId="747E6E8C">
            <w:pPr>
              <w:pStyle w:val="6"/>
              <w:spacing w:before="48" w:line="219" w:lineRule="auto"/>
              <w:ind w:left="51"/>
            </w:pPr>
            <w:r>
              <w:rPr>
                <w:spacing w:val="1"/>
              </w:rPr>
              <w:t>2.有机化合物的结构特点</w:t>
            </w:r>
          </w:p>
        </w:tc>
        <w:tc>
          <w:tcPr>
            <w:tcW w:w="229" w:type="dxa"/>
            <w:vAlign w:val="top"/>
          </w:tcPr>
          <w:p w14:paraId="71C49AD4">
            <w:pPr>
              <w:pStyle w:val="6"/>
              <w:spacing w:before="89" w:line="238" w:lineRule="auto"/>
              <w:ind w:left="47"/>
              <w:rPr>
                <w:sz w:val="12"/>
                <w:szCs w:val="12"/>
              </w:rPr>
            </w:pPr>
            <w:r>
              <w:rPr>
                <w:sz w:val="12"/>
                <w:szCs w:val="12"/>
              </w:rPr>
              <w:t>√</w:t>
            </w:r>
          </w:p>
        </w:tc>
        <w:tc>
          <w:tcPr>
            <w:tcW w:w="220" w:type="dxa"/>
            <w:vAlign w:val="top"/>
          </w:tcPr>
          <w:p w14:paraId="4B1C1F91">
            <w:pPr>
              <w:rPr>
                <w:rFonts w:ascii="Arial"/>
                <w:sz w:val="21"/>
              </w:rPr>
            </w:pPr>
          </w:p>
        </w:tc>
        <w:tc>
          <w:tcPr>
            <w:tcW w:w="229" w:type="dxa"/>
            <w:vAlign w:val="top"/>
          </w:tcPr>
          <w:p w14:paraId="2769040B">
            <w:pPr>
              <w:rPr>
                <w:rFonts w:ascii="Arial"/>
                <w:sz w:val="21"/>
              </w:rPr>
            </w:pPr>
          </w:p>
        </w:tc>
        <w:tc>
          <w:tcPr>
            <w:tcW w:w="234" w:type="dxa"/>
            <w:vAlign w:val="top"/>
          </w:tcPr>
          <w:p w14:paraId="6B573B21">
            <w:pPr>
              <w:rPr>
                <w:rFonts w:ascii="Arial"/>
                <w:sz w:val="21"/>
              </w:rPr>
            </w:pPr>
          </w:p>
        </w:tc>
      </w:tr>
      <w:tr w14:paraId="4504C6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593" w:type="dxa"/>
            <w:vMerge w:val="continue"/>
            <w:tcBorders>
              <w:top w:val="nil"/>
              <w:bottom w:val="nil"/>
            </w:tcBorders>
            <w:vAlign w:val="top"/>
          </w:tcPr>
          <w:p w14:paraId="6756F81D">
            <w:pPr>
              <w:rPr>
                <w:rFonts w:ascii="Arial"/>
                <w:sz w:val="21"/>
              </w:rPr>
            </w:pPr>
          </w:p>
        </w:tc>
        <w:tc>
          <w:tcPr>
            <w:tcW w:w="2604" w:type="dxa"/>
            <w:vAlign w:val="top"/>
          </w:tcPr>
          <w:p w14:paraId="29687A2C">
            <w:pPr>
              <w:pStyle w:val="6"/>
              <w:spacing w:before="48" w:line="218" w:lineRule="auto"/>
              <w:ind w:left="51"/>
            </w:pPr>
            <w:r>
              <w:rPr>
                <w:spacing w:val="-2"/>
              </w:rPr>
              <w:t>3.有机化合物的分类</w:t>
            </w:r>
          </w:p>
        </w:tc>
        <w:tc>
          <w:tcPr>
            <w:tcW w:w="229" w:type="dxa"/>
            <w:vAlign w:val="top"/>
          </w:tcPr>
          <w:p w14:paraId="4710F50B">
            <w:pPr>
              <w:pStyle w:val="6"/>
              <w:spacing w:before="79" w:line="238" w:lineRule="auto"/>
              <w:ind w:left="47"/>
              <w:rPr>
                <w:sz w:val="12"/>
                <w:szCs w:val="12"/>
              </w:rPr>
            </w:pPr>
            <w:r>
              <w:rPr>
                <w:sz w:val="12"/>
                <w:szCs w:val="12"/>
              </w:rPr>
              <w:t>√</w:t>
            </w:r>
          </w:p>
        </w:tc>
        <w:tc>
          <w:tcPr>
            <w:tcW w:w="220" w:type="dxa"/>
            <w:vAlign w:val="top"/>
          </w:tcPr>
          <w:p w14:paraId="72CA7BBE">
            <w:pPr>
              <w:rPr>
                <w:rFonts w:ascii="Arial"/>
                <w:sz w:val="21"/>
              </w:rPr>
            </w:pPr>
          </w:p>
        </w:tc>
        <w:tc>
          <w:tcPr>
            <w:tcW w:w="229" w:type="dxa"/>
            <w:vAlign w:val="top"/>
          </w:tcPr>
          <w:p w14:paraId="6C05D7FE">
            <w:pPr>
              <w:rPr>
                <w:rFonts w:ascii="Arial"/>
                <w:sz w:val="21"/>
              </w:rPr>
            </w:pPr>
          </w:p>
        </w:tc>
        <w:tc>
          <w:tcPr>
            <w:tcW w:w="234" w:type="dxa"/>
            <w:vAlign w:val="top"/>
          </w:tcPr>
          <w:p w14:paraId="6F9F95D1">
            <w:pPr>
              <w:rPr>
                <w:rFonts w:ascii="Arial"/>
                <w:sz w:val="21"/>
              </w:rPr>
            </w:pPr>
          </w:p>
        </w:tc>
      </w:tr>
      <w:tr w14:paraId="590980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 w:hRule="atLeast"/>
        </w:trPr>
        <w:tc>
          <w:tcPr>
            <w:tcW w:w="593" w:type="dxa"/>
            <w:vMerge w:val="continue"/>
            <w:tcBorders>
              <w:top w:val="nil"/>
            </w:tcBorders>
            <w:vAlign w:val="top"/>
          </w:tcPr>
          <w:p w14:paraId="0E21B520">
            <w:pPr>
              <w:rPr>
                <w:rFonts w:ascii="Arial"/>
                <w:sz w:val="21"/>
              </w:rPr>
            </w:pPr>
          </w:p>
        </w:tc>
        <w:tc>
          <w:tcPr>
            <w:tcW w:w="2604" w:type="dxa"/>
            <w:vAlign w:val="top"/>
          </w:tcPr>
          <w:p w14:paraId="1953E888">
            <w:pPr>
              <w:pStyle w:val="6"/>
              <w:spacing w:before="49" w:line="218" w:lineRule="auto"/>
              <w:jc w:val="right"/>
            </w:pPr>
            <w:r>
              <w:t>4.有机化合物在生活生产中的应用</w:t>
            </w:r>
          </w:p>
        </w:tc>
        <w:tc>
          <w:tcPr>
            <w:tcW w:w="229" w:type="dxa"/>
            <w:vAlign w:val="top"/>
          </w:tcPr>
          <w:p w14:paraId="496A1ED1">
            <w:pPr>
              <w:rPr>
                <w:rFonts w:ascii="Arial"/>
                <w:sz w:val="21"/>
              </w:rPr>
            </w:pPr>
          </w:p>
        </w:tc>
        <w:tc>
          <w:tcPr>
            <w:tcW w:w="220" w:type="dxa"/>
            <w:vAlign w:val="top"/>
          </w:tcPr>
          <w:p w14:paraId="6EF5BF88">
            <w:pPr>
              <w:rPr>
                <w:rFonts w:ascii="Arial"/>
                <w:sz w:val="21"/>
              </w:rPr>
            </w:pPr>
          </w:p>
        </w:tc>
        <w:tc>
          <w:tcPr>
            <w:tcW w:w="229" w:type="dxa"/>
            <w:vAlign w:val="top"/>
          </w:tcPr>
          <w:p w14:paraId="40575D8B">
            <w:pPr>
              <w:rPr>
                <w:rFonts w:ascii="Arial"/>
                <w:sz w:val="21"/>
              </w:rPr>
            </w:pPr>
          </w:p>
        </w:tc>
        <w:tc>
          <w:tcPr>
            <w:tcW w:w="234" w:type="dxa"/>
            <w:vAlign w:val="top"/>
          </w:tcPr>
          <w:p w14:paraId="5F5B9242">
            <w:pPr>
              <w:rPr>
                <w:rFonts w:ascii="Arial"/>
                <w:sz w:val="21"/>
              </w:rPr>
            </w:pPr>
          </w:p>
        </w:tc>
      </w:tr>
      <w:tr w14:paraId="36DA1F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59" w:hRule="atLeast"/>
        </w:trPr>
        <w:tc>
          <w:tcPr>
            <w:tcW w:w="593" w:type="dxa"/>
            <w:vMerge w:val="restart"/>
            <w:tcBorders>
              <w:bottom w:val="nil"/>
            </w:tcBorders>
            <w:vAlign w:val="top"/>
          </w:tcPr>
          <w:p w14:paraId="37691DE1">
            <w:pPr>
              <w:spacing w:line="264" w:lineRule="auto"/>
              <w:rPr>
                <w:rFonts w:ascii="Arial"/>
                <w:sz w:val="21"/>
              </w:rPr>
            </w:pPr>
          </w:p>
          <w:p w14:paraId="3082CC37">
            <w:pPr>
              <w:spacing w:line="264" w:lineRule="auto"/>
              <w:rPr>
                <w:rFonts w:ascii="Arial"/>
                <w:sz w:val="21"/>
              </w:rPr>
            </w:pPr>
          </w:p>
          <w:p w14:paraId="749532A8">
            <w:pPr>
              <w:spacing w:line="265" w:lineRule="auto"/>
              <w:rPr>
                <w:rFonts w:ascii="Arial"/>
                <w:sz w:val="21"/>
              </w:rPr>
            </w:pPr>
          </w:p>
          <w:p w14:paraId="6AD35874">
            <w:pPr>
              <w:spacing w:line="265" w:lineRule="auto"/>
              <w:rPr>
                <w:rFonts w:ascii="Arial"/>
                <w:sz w:val="21"/>
              </w:rPr>
            </w:pPr>
          </w:p>
          <w:p w14:paraId="60E02E4B">
            <w:pPr>
              <w:pStyle w:val="6"/>
              <w:spacing w:before="56" w:line="220" w:lineRule="auto"/>
              <w:ind w:left="205"/>
            </w:pPr>
            <w:r>
              <w:t>烃</w:t>
            </w:r>
          </w:p>
        </w:tc>
        <w:tc>
          <w:tcPr>
            <w:tcW w:w="2604" w:type="dxa"/>
            <w:vAlign w:val="top"/>
          </w:tcPr>
          <w:p w14:paraId="750D44EC">
            <w:pPr>
              <w:pStyle w:val="6"/>
              <w:spacing w:before="50" w:line="216" w:lineRule="auto"/>
              <w:ind w:left="51"/>
            </w:pPr>
            <w:r>
              <w:t>1.烃的概念和分类</w:t>
            </w:r>
          </w:p>
        </w:tc>
        <w:tc>
          <w:tcPr>
            <w:tcW w:w="229" w:type="dxa"/>
            <w:vAlign w:val="top"/>
          </w:tcPr>
          <w:p w14:paraId="1F34C0D5">
            <w:pPr>
              <w:rPr>
                <w:rFonts w:ascii="Arial"/>
                <w:sz w:val="21"/>
              </w:rPr>
            </w:pPr>
          </w:p>
        </w:tc>
        <w:tc>
          <w:tcPr>
            <w:tcW w:w="220" w:type="dxa"/>
            <w:vAlign w:val="top"/>
          </w:tcPr>
          <w:p w14:paraId="6059C909">
            <w:pPr>
              <w:rPr>
                <w:rFonts w:ascii="Arial"/>
                <w:sz w:val="21"/>
              </w:rPr>
            </w:pPr>
          </w:p>
        </w:tc>
        <w:tc>
          <w:tcPr>
            <w:tcW w:w="229" w:type="dxa"/>
            <w:vAlign w:val="top"/>
          </w:tcPr>
          <w:p w14:paraId="7C783D8B">
            <w:pPr>
              <w:rPr>
                <w:rFonts w:ascii="Arial"/>
                <w:sz w:val="21"/>
              </w:rPr>
            </w:pPr>
          </w:p>
        </w:tc>
        <w:tc>
          <w:tcPr>
            <w:tcW w:w="234" w:type="dxa"/>
            <w:vAlign w:val="top"/>
          </w:tcPr>
          <w:p w14:paraId="02456BD8">
            <w:pPr>
              <w:rPr>
                <w:rFonts w:ascii="Arial"/>
                <w:sz w:val="21"/>
              </w:rPr>
            </w:pPr>
          </w:p>
        </w:tc>
      </w:tr>
      <w:tr w14:paraId="16A8B1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593" w:type="dxa"/>
            <w:vMerge w:val="continue"/>
            <w:tcBorders>
              <w:top w:val="nil"/>
              <w:bottom w:val="nil"/>
            </w:tcBorders>
            <w:vAlign w:val="top"/>
          </w:tcPr>
          <w:p w14:paraId="6EC0DCFD">
            <w:pPr>
              <w:rPr>
                <w:rFonts w:ascii="Arial"/>
                <w:sz w:val="21"/>
              </w:rPr>
            </w:pPr>
          </w:p>
        </w:tc>
        <w:tc>
          <w:tcPr>
            <w:tcW w:w="2604" w:type="dxa"/>
            <w:vAlign w:val="top"/>
          </w:tcPr>
          <w:p w14:paraId="26A4188E">
            <w:pPr>
              <w:pStyle w:val="6"/>
              <w:spacing w:before="51" w:line="214" w:lineRule="auto"/>
              <w:ind w:left="51"/>
            </w:pPr>
            <w:r>
              <w:rPr>
                <w:spacing w:val="1"/>
              </w:rPr>
              <w:t>2.甲烷的分子结构、性质</w:t>
            </w:r>
          </w:p>
        </w:tc>
        <w:tc>
          <w:tcPr>
            <w:tcW w:w="229" w:type="dxa"/>
            <w:vAlign w:val="top"/>
          </w:tcPr>
          <w:p w14:paraId="0D611636">
            <w:pPr>
              <w:rPr>
                <w:rFonts w:ascii="Arial"/>
                <w:sz w:val="21"/>
              </w:rPr>
            </w:pPr>
          </w:p>
        </w:tc>
        <w:tc>
          <w:tcPr>
            <w:tcW w:w="220" w:type="dxa"/>
            <w:vAlign w:val="top"/>
          </w:tcPr>
          <w:p w14:paraId="0E305F03">
            <w:pPr>
              <w:rPr>
                <w:rFonts w:ascii="Arial"/>
                <w:sz w:val="21"/>
              </w:rPr>
            </w:pPr>
          </w:p>
        </w:tc>
        <w:tc>
          <w:tcPr>
            <w:tcW w:w="229" w:type="dxa"/>
            <w:vAlign w:val="top"/>
          </w:tcPr>
          <w:p w14:paraId="626A9E86">
            <w:pPr>
              <w:rPr>
                <w:rFonts w:ascii="Arial"/>
                <w:sz w:val="21"/>
              </w:rPr>
            </w:pPr>
          </w:p>
        </w:tc>
        <w:tc>
          <w:tcPr>
            <w:tcW w:w="234" w:type="dxa"/>
            <w:vAlign w:val="top"/>
          </w:tcPr>
          <w:p w14:paraId="63C7FB1D">
            <w:pPr>
              <w:rPr>
                <w:rFonts w:ascii="Arial"/>
                <w:sz w:val="21"/>
              </w:rPr>
            </w:pPr>
          </w:p>
        </w:tc>
      </w:tr>
      <w:tr w14:paraId="053FD7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 w:hRule="atLeast"/>
        </w:trPr>
        <w:tc>
          <w:tcPr>
            <w:tcW w:w="593" w:type="dxa"/>
            <w:vMerge w:val="continue"/>
            <w:tcBorders>
              <w:top w:val="nil"/>
              <w:bottom w:val="nil"/>
            </w:tcBorders>
            <w:vAlign w:val="top"/>
          </w:tcPr>
          <w:p w14:paraId="4C714F77">
            <w:pPr>
              <w:rPr>
                <w:rFonts w:ascii="Arial"/>
                <w:sz w:val="21"/>
              </w:rPr>
            </w:pPr>
          </w:p>
        </w:tc>
        <w:tc>
          <w:tcPr>
            <w:tcW w:w="2604" w:type="dxa"/>
            <w:vAlign w:val="top"/>
          </w:tcPr>
          <w:p w14:paraId="4BC2CFB5">
            <w:pPr>
              <w:pStyle w:val="6"/>
              <w:spacing w:before="52" w:line="214" w:lineRule="auto"/>
              <w:ind w:left="51"/>
            </w:pPr>
            <w:r>
              <w:rPr>
                <w:spacing w:val="1"/>
              </w:rPr>
              <w:t>3.烷烃的结构、性质和命名</w:t>
            </w:r>
          </w:p>
        </w:tc>
        <w:tc>
          <w:tcPr>
            <w:tcW w:w="229" w:type="dxa"/>
            <w:vAlign w:val="top"/>
          </w:tcPr>
          <w:p w14:paraId="1AE83664">
            <w:pPr>
              <w:rPr>
                <w:rFonts w:ascii="Arial"/>
                <w:sz w:val="21"/>
              </w:rPr>
            </w:pPr>
          </w:p>
        </w:tc>
        <w:tc>
          <w:tcPr>
            <w:tcW w:w="220" w:type="dxa"/>
            <w:vAlign w:val="top"/>
          </w:tcPr>
          <w:p w14:paraId="4915CE75">
            <w:pPr>
              <w:spacing w:before="75" w:line="126" w:lineRule="exact"/>
              <w:ind w:firstLine="62"/>
            </w:pPr>
            <w:r>
              <w:rPr>
                <w:position w:val="-2"/>
              </w:rPr>
              <w:drawing>
                <wp:inline distT="0" distB="0" distL="0" distR="0">
                  <wp:extent cx="81915" cy="80010"/>
                  <wp:effectExtent l="0" t="0" r="0" b="0"/>
                  <wp:docPr id="488" name="IM 488"/>
                  <wp:cNvGraphicFramePr/>
                  <a:graphic xmlns:a="http://schemas.openxmlformats.org/drawingml/2006/main">
                    <a:graphicData uri="http://schemas.openxmlformats.org/drawingml/2006/picture">
                      <pic:pic xmlns:pic="http://schemas.openxmlformats.org/drawingml/2006/picture">
                        <pic:nvPicPr>
                          <pic:cNvPr id="488" name="IM 488"/>
                          <pic:cNvPicPr/>
                        </pic:nvPicPr>
                        <pic:blipFill>
                          <a:blip r:embed="rId408"/>
                          <a:stretch>
                            <a:fillRect/>
                          </a:stretch>
                        </pic:blipFill>
                        <pic:spPr>
                          <a:xfrm>
                            <a:off x="0" y="0"/>
                            <a:ext cx="82083" cy="80034"/>
                          </a:xfrm>
                          <a:prstGeom prst="rect">
                            <a:avLst/>
                          </a:prstGeom>
                        </pic:spPr>
                      </pic:pic>
                    </a:graphicData>
                  </a:graphic>
                </wp:inline>
              </w:drawing>
            </w:r>
          </w:p>
        </w:tc>
        <w:tc>
          <w:tcPr>
            <w:tcW w:w="229" w:type="dxa"/>
            <w:vAlign w:val="top"/>
          </w:tcPr>
          <w:p w14:paraId="60F33717">
            <w:pPr>
              <w:rPr>
                <w:rFonts w:ascii="Arial"/>
                <w:sz w:val="21"/>
              </w:rPr>
            </w:pPr>
          </w:p>
        </w:tc>
        <w:tc>
          <w:tcPr>
            <w:tcW w:w="234" w:type="dxa"/>
            <w:vAlign w:val="top"/>
          </w:tcPr>
          <w:p w14:paraId="0D5FCDF4">
            <w:pPr>
              <w:rPr>
                <w:rFonts w:ascii="Arial"/>
                <w:sz w:val="21"/>
              </w:rPr>
            </w:pPr>
          </w:p>
        </w:tc>
      </w:tr>
      <w:tr w14:paraId="299E2B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593" w:type="dxa"/>
            <w:vMerge w:val="continue"/>
            <w:tcBorders>
              <w:top w:val="nil"/>
              <w:bottom w:val="nil"/>
            </w:tcBorders>
            <w:vAlign w:val="top"/>
          </w:tcPr>
          <w:p w14:paraId="3C783097">
            <w:pPr>
              <w:rPr>
                <w:rFonts w:ascii="Arial"/>
                <w:sz w:val="21"/>
              </w:rPr>
            </w:pPr>
          </w:p>
        </w:tc>
        <w:tc>
          <w:tcPr>
            <w:tcW w:w="2604" w:type="dxa"/>
            <w:vAlign w:val="top"/>
          </w:tcPr>
          <w:p w14:paraId="62B97F0F">
            <w:pPr>
              <w:pStyle w:val="6"/>
              <w:spacing w:before="51" w:line="214" w:lineRule="auto"/>
              <w:ind w:left="51"/>
            </w:pPr>
            <w:r>
              <w:rPr>
                <w:spacing w:val="1"/>
              </w:rPr>
              <w:t>4.乙烯的分子结构和化学性质</w:t>
            </w:r>
          </w:p>
        </w:tc>
        <w:tc>
          <w:tcPr>
            <w:tcW w:w="229" w:type="dxa"/>
            <w:vAlign w:val="top"/>
          </w:tcPr>
          <w:p w14:paraId="4AF8B1F3">
            <w:pPr>
              <w:rPr>
                <w:rFonts w:ascii="Arial"/>
                <w:sz w:val="21"/>
              </w:rPr>
            </w:pPr>
          </w:p>
        </w:tc>
        <w:tc>
          <w:tcPr>
            <w:tcW w:w="220" w:type="dxa"/>
            <w:vAlign w:val="top"/>
          </w:tcPr>
          <w:p w14:paraId="0ABF44DF">
            <w:pPr>
              <w:rPr>
                <w:rFonts w:ascii="Arial"/>
                <w:sz w:val="21"/>
              </w:rPr>
            </w:pPr>
          </w:p>
        </w:tc>
        <w:tc>
          <w:tcPr>
            <w:tcW w:w="229" w:type="dxa"/>
            <w:vAlign w:val="top"/>
          </w:tcPr>
          <w:p w14:paraId="3502EC86">
            <w:pPr>
              <w:rPr>
                <w:rFonts w:ascii="Arial"/>
                <w:sz w:val="21"/>
              </w:rPr>
            </w:pPr>
          </w:p>
        </w:tc>
        <w:tc>
          <w:tcPr>
            <w:tcW w:w="234" w:type="dxa"/>
            <w:vAlign w:val="top"/>
          </w:tcPr>
          <w:p w14:paraId="7F238E9C">
            <w:pPr>
              <w:rPr>
                <w:rFonts w:ascii="Arial"/>
                <w:sz w:val="21"/>
              </w:rPr>
            </w:pPr>
          </w:p>
        </w:tc>
      </w:tr>
      <w:tr w14:paraId="2626B4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0" w:hRule="atLeast"/>
        </w:trPr>
        <w:tc>
          <w:tcPr>
            <w:tcW w:w="593" w:type="dxa"/>
            <w:vMerge w:val="continue"/>
            <w:tcBorders>
              <w:top w:val="nil"/>
              <w:bottom w:val="nil"/>
            </w:tcBorders>
            <w:vAlign w:val="top"/>
          </w:tcPr>
          <w:p w14:paraId="3232B5E4">
            <w:pPr>
              <w:rPr>
                <w:rFonts w:ascii="Arial"/>
                <w:sz w:val="21"/>
              </w:rPr>
            </w:pPr>
          </w:p>
        </w:tc>
        <w:tc>
          <w:tcPr>
            <w:tcW w:w="2604" w:type="dxa"/>
            <w:vAlign w:val="top"/>
          </w:tcPr>
          <w:p w14:paraId="35174DE8">
            <w:pPr>
              <w:pStyle w:val="6"/>
              <w:spacing w:before="42" w:line="214" w:lineRule="auto"/>
              <w:ind w:left="51"/>
            </w:pPr>
            <w:r>
              <w:rPr>
                <w:spacing w:val="-2"/>
              </w:rPr>
              <w:t>5.烯烃和炔烃的通式</w:t>
            </w:r>
          </w:p>
        </w:tc>
        <w:tc>
          <w:tcPr>
            <w:tcW w:w="229" w:type="dxa"/>
            <w:vAlign w:val="top"/>
          </w:tcPr>
          <w:p w14:paraId="3955B05D">
            <w:pPr>
              <w:spacing w:line="240" w:lineRule="exact"/>
              <w:rPr>
                <w:rFonts w:ascii="Arial"/>
                <w:sz w:val="20"/>
              </w:rPr>
            </w:pPr>
          </w:p>
        </w:tc>
        <w:tc>
          <w:tcPr>
            <w:tcW w:w="220" w:type="dxa"/>
            <w:vAlign w:val="top"/>
          </w:tcPr>
          <w:p w14:paraId="4510ADB1">
            <w:pPr>
              <w:spacing w:line="240" w:lineRule="exact"/>
              <w:rPr>
                <w:rFonts w:ascii="Arial"/>
                <w:sz w:val="20"/>
              </w:rPr>
            </w:pPr>
          </w:p>
        </w:tc>
        <w:tc>
          <w:tcPr>
            <w:tcW w:w="229" w:type="dxa"/>
            <w:vAlign w:val="top"/>
          </w:tcPr>
          <w:p w14:paraId="460EFB88">
            <w:pPr>
              <w:spacing w:line="240" w:lineRule="exact"/>
              <w:rPr>
                <w:rFonts w:ascii="Arial"/>
                <w:sz w:val="20"/>
              </w:rPr>
            </w:pPr>
          </w:p>
        </w:tc>
        <w:tc>
          <w:tcPr>
            <w:tcW w:w="234" w:type="dxa"/>
            <w:vAlign w:val="top"/>
          </w:tcPr>
          <w:p w14:paraId="410263A7">
            <w:pPr>
              <w:spacing w:line="240" w:lineRule="exact"/>
              <w:rPr>
                <w:rFonts w:ascii="Arial"/>
                <w:sz w:val="20"/>
              </w:rPr>
            </w:pPr>
          </w:p>
        </w:tc>
      </w:tr>
      <w:tr w14:paraId="59EFBD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 w:hRule="atLeast"/>
        </w:trPr>
        <w:tc>
          <w:tcPr>
            <w:tcW w:w="593" w:type="dxa"/>
            <w:vMerge w:val="continue"/>
            <w:tcBorders>
              <w:top w:val="nil"/>
              <w:bottom w:val="nil"/>
            </w:tcBorders>
            <w:vAlign w:val="top"/>
          </w:tcPr>
          <w:p w14:paraId="14AF2ED5">
            <w:pPr>
              <w:rPr>
                <w:rFonts w:ascii="Arial"/>
                <w:sz w:val="21"/>
              </w:rPr>
            </w:pPr>
          </w:p>
        </w:tc>
        <w:tc>
          <w:tcPr>
            <w:tcW w:w="2604" w:type="dxa"/>
            <w:vAlign w:val="top"/>
          </w:tcPr>
          <w:p w14:paraId="09F7CB8A">
            <w:pPr>
              <w:pStyle w:val="6"/>
              <w:spacing w:before="53" w:line="213" w:lineRule="auto"/>
              <w:ind w:left="51"/>
            </w:pPr>
            <w:r>
              <w:rPr>
                <w:spacing w:val="1"/>
              </w:rPr>
              <w:t>6.乙炔的分子结构和性质</w:t>
            </w:r>
          </w:p>
        </w:tc>
        <w:tc>
          <w:tcPr>
            <w:tcW w:w="229" w:type="dxa"/>
            <w:vAlign w:val="top"/>
          </w:tcPr>
          <w:p w14:paraId="338841F5">
            <w:pPr>
              <w:rPr>
                <w:rFonts w:ascii="Arial"/>
                <w:sz w:val="21"/>
              </w:rPr>
            </w:pPr>
          </w:p>
        </w:tc>
        <w:tc>
          <w:tcPr>
            <w:tcW w:w="220" w:type="dxa"/>
            <w:vAlign w:val="top"/>
          </w:tcPr>
          <w:p w14:paraId="5CA923BA">
            <w:pPr>
              <w:pStyle w:val="6"/>
              <w:spacing w:before="60" w:line="206" w:lineRule="auto"/>
              <w:ind w:left="19"/>
            </w:pPr>
            <w:r>
              <w:t>√</w:t>
            </w:r>
          </w:p>
        </w:tc>
        <w:tc>
          <w:tcPr>
            <w:tcW w:w="229" w:type="dxa"/>
            <w:vAlign w:val="top"/>
          </w:tcPr>
          <w:p w14:paraId="74CD230F">
            <w:pPr>
              <w:rPr>
                <w:rFonts w:ascii="Arial"/>
                <w:sz w:val="21"/>
              </w:rPr>
            </w:pPr>
          </w:p>
        </w:tc>
        <w:tc>
          <w:tcPr>
            <w:tcW w:w="234" w:type="dxa"/>
            <w:vAlign w:val="top"/>
          </w:tcPr>
          <w:p w14:paraId="36FC20C2">
            <w:pPr>
              <w:rPr>
                <w:rFonts w:ascii="Arial"/>
                <w:sz w:val="21"/>
              </w:rPr>
            </w:pPr>
          </w:p>
        </w:tc>
      </w:tr>
      <w:tr w14:paraId="0B638A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593" w:type="dxa"/>
            <w:vMerge w:val="continue"/>
            <w:tcBorders>
              <w:top w:val="nil"/>
              <w:bottom w:val="nil"/>
            </w:tcBorders>
            <w:vAlign w:val="top"/>
          </w:tcPr>
          <w:p w14:paraId="2046C3AC">
            <w:pPr>
              <w:rPr>
                <w:rFonts w:ascii="Arial"/>
                <w:sz w:val="21"/>
              </w:rPr>
            </w:pPr>
          </w:p>
        </w:tc>
        <w:tc>
          <w:tcPr>
            <w:tcW w:w="2604" w:type="dxa"/>
            <w:vAlign w:val="top"/>
          </w:tcPr>
          <w:p w14:paraId="78660123">
            <w:pPr>
              <w:pStyle w:val="6"/>
              <w:spacing w:before="52" w:line="213" w:lineRule="auto"/>
              <w:ind w:left="51"/>
            </w:pPr>
            <w:r>
              <w:rPr>
                <w:spacing w:val="-1"/>
              </w:rPr>
              <w:t>7.甲烷、乙烯、乙炔的用途</w:t>
            </w:r>
          </w:p>
        </w:tc>
        <w:tc>
          <w:tcPr>
            <w:tcW w:w="229" w:type="dxa"/>
            <w:vAlign w:val="top"/>
          </w:tcPr>
          <w:p w14:paraId="07FAB739">
            <w:pPr>
              <w:rPr>
                <w:rFonts w:ascii="Arial"/>
                <w:sz w:val="21"/>
              </w:rPr>
            </w:pPr>
          </w:p>
        </w:tc>
        <w:tc>
          <w:tcPr>
            <w:tcW w:w="220" w:type="dxa"/>
            <w:vAlign w:val="top"/>
          </w:tcPr>
          <w:p w14:paraId="7955FDD9">
            <w:pPr>
              <w:rPr>
                <w:rFonts w:ascii="Arial"/>
                <w:sz w:val="21"/>
              </w:rPr>
            </w:pPr>
          </w:p>
        </w:tc>
        <w:tc>
          <w:tcPr>
            <w:tcW w:w="229" w:type="dxa"/>
            <w:vAlign w:val="top"/>
          </w:tcPr>
          <w:p w14:paraId="42ADA326">
            <w:pPr>
              <w:rPr>
                <w:rFonts w:ascii="Arial"/>
                <w:sz w:val="21"/>
              </w:rPr>
            </w:pPr>
          </w:p>
        </w:tc>
        <w:tc>
          <w:tcPr>
            <w:tcW w:w="234" w:type="dxa"/>
            <w:vAlign w:val="top"/>
          </w:tcPr>
          <w:p w14:paraId="15C90324">
            <w:pPr>
              <w:rPr>
                <w:rFonts w:ascii="Arial"/>
                <w:sz w:val="21"/>
              </w:rPr>
            </w:pPr>
          </w:p>
        </w:tc>
      </w:tr>
      <w:tr w14:paraId="1DB90B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 w:hRule="atLeast"/>
        </w:trPr>
        <w:tc>
          <w:tcPr>
            <w:tcW w:w="593" w:type="dxa"/>
            <w:vMerge w:val="continue"/>
            <w:tcBorders>
              <w:top w:val="nil"/>
              <w:bottom w:val="nil"/>
            </w:tcBorders>
            <w:vAlign w:val="top"/>
          </w:tcPr>
          <w:p w14:paraId="2DDD8D2E">
            <w:pPr>
              <w:rPr>
                <w:rFonts w:ascii="Arial"/>
                <w:sz w:val="21"/>
              </w:rPr>
            </w:pPr>
          </w:p>
        </w:tc>
        <w:tc>
          <w:tcPr>
            <w:tcW w:w="2604" w:type="dxa"/>
            <w:vAlign w:val="top"/>
          </w:tcPr>
          <w:p w14:paraId="765C9563">
            <w:pPr>
              <w:pStyle w:val="6"/>
              <w:spacing w:before="52" w:line="214" w:lineRule="auto"/>
              <w:ind w:left="51"/>
            </w:pPr>
            <w:r>
              <w:rPr>
                <w:spacing w:val="-1"/>
              </w:rPr>
              <w:t>8.苯的分子结构</w:t>
            </w:r>
          </w:p>
        </w:tc>
        <w:tc>
          <w:tcPr>
            <w:tcW w:w="229" w:type="dxa"/>
            <w:vAlign w:val="top"/>
          </w:tcPr>
          <w:p w14:paraId="6AED5516">
            <w:pPr>
              <w:rPr>
                <w:rFonts w:ascii="Arial"/>
                <w:sz w:val="21"/>
              </w:rPr>
            </w:pPr>
          </w:p>
        </w:tc>
        <w:tc>
          <w:tcPr>
            <w:tcW w:w="220" w:type="dxa"/>
            <w:vAlign w:val="top"/>
          </w:tcPr>
          <w:p w14:paraId="65950683">
            <w:pPr>
              <w:rPr>
                <w:rFonts w:ascii="Arial"/>
                <w:sz w:val="21"/>
              </w:rPr>
            </w:pPr>
          </w:p>
        </w:tc>
        <w:tc>
          <w:tcPr>
            <w:tcW w:w="229" w:type="dxa"/>
            <w:vAlign w:val="top"/>
          </w:tcPr>
          <w:p w14:paraId="33101B94">
            <w:pPr>
              <w:rPr>
                <w:rFonts w:ascii="Arial"/>
                <w:sz w:val="21"/>
              </w:rPr>
            </w:pPr>
          </w:p>
        </w:tc>
        <w:tc>
          <w:tcPr>
            <w:tcW w:w="234" w:type="dxa"/>
            <w:vAlign w:val="top"/>
          </w:tcPr>
          <w:p w14:paraId="2FB9FE63">
            <w:pPr>
              <w:rPr>
                <w:rFonts w:ascii="Arial"/>
                <w:sz w:val="21"/>
              </w:rPr>
            </w:pPr>
          </w:p>
        </w:tc>
      </w:tr>
      <w:tr w14:paraId="21918E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593" w:type="dxa"/>
            <w:vMerge w:val="continue"/>
            <w:tcBorders>
              <w:top w:val="nil"/>
            </w:tcBorders>
            <w:vAlign w:val="top"/>
          </w:tcPr>
          <w:p w14:paraId="0C40D0FA">
            <w:pPr>
              <w:rPr>
                <w:rFonts w:ascii="Arial"/>
                <w:sz w:val="21"/>
              </w:rPr>
            </w:pPr>
          </w:p>
        </w:tc>
        <w:tc>
          <w:tcPr>
            <w:tcW w:w="2604" w:type="dxa"/>
            <w:vAlign w:val="top"/>
          </w:tcPr>
          <w:p w14:paraId="306F85E3">
            <w:pPr>
              <w:pStyle w:val="6"/>
              <w:spacing w:before="53" w:line="212" w:lineRule="auto"/>
              <w:ind w:left="51"/>
            </w:pPr>
            <w:r>
              <w:rPr>
                <w:spacing w:val="3"/>
              </w:rPr>
              <w:t>9.苯的性质</w:t>
            </w:r>
          </w:p>
        </w:tc>
        <w:tc>
          <w:tcPr>
            <w:tcW w:w="229" w:type="dxa"/>
            <w:vAlign w:val="top"/>
          </w:tcPr>
          <w:p w14:paraId="4E0CBFF2">
            <w:pPr>
              <w:rPr>
                <w:rFonts w:ascii="Arial"/>
                <w:sz w:val="21"/>
              </w:rPr>
            </w:pPr>
          </w:p>
        </w:tc>
        <w:tc>
          <w:tcPr>
            <w:tcW w:w="220" w:type="dxa"/>
            <w:vAlign w:val="top"/>
          </w:tcPr>
          <w:p w14:paraId="1B06A168">
            <w:pPr>
              <w:spacing w:before="67" w:line="144" w:lineRule="exact"/>
              <w:ind w:firstLine="53"/>
            </w:pPr>
            <w:r>
              <w:rPr>
                <w:position w:val="-2"/>
              </w:rPr>
              <w:drawing>
                <wp:inline distT="0" distB="0" distL="0" distR="0">
                  <wp:extent cx="93980" cy="91440"/>
                  <wp:effectExtent l="0" t="0" r="0" b="0"/>
                  <wp:docPr id="490" name="IM 490"/>
                  <wp:cNvGraphicFramePr/>
                  <a:graphic xmlns:a="http://schemas.openxmlformats.org/drawingml/2006/main">
                    <a:graphicData uri="http://schemas.openxmlformats.org/drawingml/2006/picture">
                      <pic:pic xmlns:pic="http://schemas.openxmlformats.org/drawingml/2006/picture">
                        <pic:nvPicPr>
                          <pic:cNvPr id="490" name="IM 490"/>
                          <pic:cNvPicPr/>
                        </pic:nvPicPr>
                        <pic:blipFill>
                          <a:blip r:embed="rId409"/>
                          <a:stretch>
                            <a:fillRect/>
                          </a:stretch>
                        </pic:blipFill>
                        <pic:spPr>
                          <a:xfrm>
                            <a:off x="0" y="0"/>
                            <a:ext cx="94341" cy="91468"/>
                          </a:xfrm>
                          <a:prstGeom prst="rect">
                            <a:avLst/>
                          </a:prstGeom>
                        </pic:spPr>
                      </pic:pic>
                    </a:graphicData>
                  </a:graphic>
                </wp:inline>
              </w:drawing>
            </w:r>
          </w:p>
        </w:tc>
        <w:tc>
          <w:tcPr>
            <w:tcW w:w="229" w:type="dxa"/>
            <w:vAlign w:val="top"/>
          </w:tcPr>
          <w:p w14:paraId="37575917">
            <w:pPr>
              <w:rPr>
                <w:rFonts w:ascii="Arial"/>
                <w:sz w:val="21"/>
              </w:rPr>
            </w:pPr>
          </w:p>
        </w:tc>
        <w:tc>
          <w:tcPr>
            <w:tcW w:w="234" w:type="dxa"/>
            <w:vAlign w:val="top"/>
          </w:tcPr>
          <w:p w14:paraId="6FC78B38">
            <w:pPr>
              <w:rPr>
                <w:rFonts w:ascii="Arial"/>
                <w:sz w:val="21"/>
              </w:rPr>
            </w:pPr>
          </w:p>
        </w:tc>
      </w:tr>
      <w:tr w14:paraId="2D2873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trPr>
        <w:tc>
          <w:tcPr>
            <w:tcW w:w="593" w:type="dxa"/>
            <w:vMerge w:val="restart"/>
            <w:tcBorders>
              <w:bottom w:val="nil"/>
            </w:tcBorders>
            <w:vAlign w:val="top"/>
          </w:tcPr>
          <w:p w14:paraId="747C11FC">
            <w:pPr>
              <w:spacing w:line="437" w:lineRule="auto"/>
              <w:rPr>
                <w:rFonts w:ascii="Arial"/>
                <w:sz w:val="21"/>
              </w:rPr>
            </w:pPr>
          </w:p>
          <w:p w14:paraId="05C74EC3">
            <w:pPr>
              <w:pStyle w:val="6"/>
              <w:spacing w:before="55" w:line="237" w:lineRule="auto"/>
              <w:ind w:left="34" w:right="44" w:firstLine="79"/>
            </w:pPr>
            <w:r>
              <w:rPr>
                <w:spacing w:val="6"/>
              </w:rPr>
              <w:t>烃的</w:t>
            </w:r>
            <w:r>
              <w:t xml:space="preserve">  </w:t>
            </w:r>
            <w:r>
              <w:rPr>
                <w:spacing w:val="-3"/>
              </w:rPr>
              <w:t>衍生物</w:t>
            </w:r>
          </w:p>
        </w:tc>
        <w:tc>
          <w:tcPr>
            <w:tcW w:w="2604" w:type="dxa"/>
            <w:vAlign w:val="top"/>
          </w:tcPr>
          <w:p w14:paraId="6FF4F512">
            <w:pPr>
              <w:pStyle w:val="6"/>
              <w:spacing w:before="55" w:line="219" w:lineRule="auto"/>
              <w:ind w:left="51"/>
            </w:pPr>
            <w:r>
              <w:t>1.卤代烃的结构、性质和用途</w:t>
            </w:r>
          </w:p>
        </w:tc>
        <w:tc>
          <w:tcPr>
            <w:tcW w:w="229" w:type="dxa"/>
            <w:vAlign w:val="top"/>
          </w:tcPr>
          <w:p w14:paraId="3D28A1D4">
            <w:pPr>
              <w:rPr>
                <w:rFonts w:ascii="Arial"/>
                <w:sz w:val="21"/>
              </w:rPr>
            </w:pPr>
          </w:p>
        </w:tc>
        <w:tc>
          <w:tcPr>
            <w:tcW w:w="220" w:type="dxa"/>
            <w:vAlign w:val="top"/>
          </w:tcPr>
          <w:p w14:paraId="40D08AE9">
            <w:pPr>
              <w:spacing w:before="84" w:line="116" w:lineRule="exact"/>
              <w:ind w:firstLine="46"/>
            </w:pPr>
            <w:r>
              <w:rPr>
                <w:position w:val="-2"/>
              </w:rPr>
              <w:drawing>
                <wp:inline distT="0" distB="0" distL="0" distR="0">
                  <wp:extent cx="85090" cy="73025"/>
                  <wp:effectExtent l="0" t="0" r="0" b="0"/>
                  <wp:docPr id="492" name="IM 492"/>
                  <wp:cNvGraphicFramePr/>
                  <a:graphic xmlns:a="http://schemas.openxmlformats.org/drawingml/2006/main">
                    <a:graphicData uri="http://schemas.openxmlformats.org/drawingml/2006/picture">
                      <pic:pic xmlns:pic="http://schemas.openxmlformats.org/drawingml/2006/picture">
                        <pic:nvPicPr>
                          <pic:cNvPr id="492" name="IM 492"/>
                          <pic:cNvPicPr/>
                        </pic:nvPicPr>
                        <pic:blipFill>
                          <a:blip r:embed="rId410"/>
                          <a:stretch>
                            <a:fillRect/>
                          </a:stretch>
                        </pic:blipFill>
                        <pic:spPr>
                          <a:xfrm>
                            <a:off x="0" y="0"/>
                            <a:ext cx="85472" cy="73460"/>
                          </a:xfrm>
                          <a:prstGeom prst="rect">
                            <a:avLst/>
                          </a:prstGeom>
                        </pic:spPr>
                      </pic:pic>
                    </a:graphicData>
                  </a:graphic>
                </wp:inline>
              </w:drawing>
            </w:r>
          </w:p>
        </w:tc>
        <w:tc>
          <w:tcPr>
            <w:tcW w:w="229" w:type="dxa"/>
            <w:vAlign w:val="top"/>
          </w:tcPr>
          <w:p w14:paraId="340335CF">
            <w:pPr>
              <w:rPr>
                <w:rFonts w:ascii="Arial"/>
                <w:sz w:val="21"/>
              </w:rPr>
            </w:pPr>
          </w:p>
        </w:tc>
        <w:tc>
          <w:tcPr>
            <w:tcW w:w="234" w:type="dxa"/>
            <w:vAlign w:val="top"/>
          </w:tcPr>
          <w:p w14:paraId="4F306559">
            <w:pPr>
              <w:rPr>
                <w:rFonts w:ascii="Arial"/>
                <w:sz w:val="21"/>
              </w:rPr>
            </w:pPr>
          </w:p>
        </w:tc>
      </w:tr>
      <w:tr w14:paraId="13D1BC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593" w:type="dxa"/>
            <w:vMerge w:val="continue"/>
            <w:tcBorders>
              <w:top w:val="nil"/>
              <w:bottom w:val="nil"/>
            </w:tcBorders>
            <w:vAlign w:val="top"/>
          </w:tcPr>
          <w:p w14:paraId="4094BDE0">
            <w:pPr>
              <w:rPr>
                <w:rFonts w:ascii="Arial"/>
                <w:sz w:val="21"/>
              </w:rPr>
            </w:pPr>
          </w:p>
        </w:tc>
        <w:tc>
          <w:tcPr>
            <w:tcW w:w="2604" w:type="dxa"/>
            <w:vAlign w:val="top"/>
          </w:tcPr>
          <w:p w14:paraId="5B1FD3C6">
            <w:pPr>
              <w:pStyle w:val="6"/>
              <w:spacing w:before="55" w:line="210" w:lineRule="auto"/>
              <w:ind w:left="51"/>
            </w:pPr>
            <w:r>
              <w:rPr>
                <w:spacing w:val="-1"/>
              </w:rPr>
              <w:t>2.醇的结构、性质和用途</w:t>
            </w:r>
          </w:p>
        </w:tc>
        <w:tc>
          <w:tcPr>
            <w:tcW w:w="229" w:type="dxa"/>
            <w:vAlign w:val="top"/>
          </w:tcPr>
          <w:p w14:paraId="65DA0311">
            <w:pPr>
              <w:rPr>
                <w:rFonts w:ascii="Arial"/>
                <w:sz w:val="21"/>
              </w:rPr>
            </w:pPr>
          </w:p>
        </w:tc>
        <w:tc>
          <w:tcPr>
            <w:tcW w:w="220" w:type="dxa"/>
            <w:vAlign w:val="top"/>
          </w:tcPr>
          <w:p w14:paraId="123D7196">
            <w:pPr>
              <w:rPr>
                <w:rFonts w:ascii="Arial"/>
                <w:sz w:val="21"/>
              </w:rPr>
            </w:pPr>
          </w:p>
        </w:tc>
        <w:tc>
          <w:tcPr>
            <w:tcW w:w="229" w:type="dxa"/>
            <w:vAlign w:val="top"/>
          </w:tcPr>
          <w:p w14:paraId="24044799">
            <w:pPr>
              <w:spacing w:before="104" w:line="96" w:lineRule="exact"/>
              <w:ind w:firstLine="47"/>
            </w:pPr>
            <w:r>
              <w:rPr>
                <w:position w:val="-1"/>
              </w:rPr>
              <w:drawing>
                <wp:inline distT="0" distB="0" distL="0" distR="0">
                  <wp:extent cx="64770" cy="60960"/>
                  <wp:effectExtent l="0" t="0" r="0" b="0"/>
                  <wp:docPr id="494" name="IM 494"/>
                  <wp:cNvGraphicFramePr/>
                  <a:graphic xmlns:a="http://schemas.openxmlformats.org/drawingml/2006/main">
                    <a:graphicData uri="http://schemas.openxmlformats.org/drawingml/2006/picture">
                      <pic:pic xmlns:pic="http://schemas.openxmlformats.org/drawingml/2006/picture">
                        <pic:nvPicPr>
                          <pic:cNvPr id="494" name="IM 494"/>
                          <pic:cNvPicPr/>
                        </pic:nvPicPr>
                        <pic:blipFill>
                          <a:blip r:embed="rId411"/>
                          <a:stretch>
                            <a:fillRect/>
                          </a:stretch>
                        </pic:blipFill>
                        <pic:spPr>
                          <a:xfrm>
                            <a:off x="0" y="0"/>
                            <a:ext cx="65331" cy="61064"/>
                          </a:xfrm>
                          <a:prstGeom prst="rect">
                            <a:avLst/>
                          </a:prstGeom>
                        </pic:spPr>
                      </pic:pic>
                    </a:graphicData>
                  </a:graphic>
                </wp:inline>
              </w:drawing>
            </w:r>
          </w:p>
        </w:tc>
        <w:tc>
          <w:tcPr>
            <w:tcW w:w="234" w:type="dxa"/>
            <w:vAlign w:val="top"/>
          </w:tcPr>
          <w:p w14:paraId="4C3F4372">
            <w:pPr>
              <w:rPr>
                <w:rFonts w:ascii="Arial"/>
                <w:sz w:val="21"/>
              </w:rPr>
            </w:pPr>
          </w:p>
        </w:tc>
      </w:tr>
      <w:tr w14:paraId="6BB2CA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 w:hRule="atLeast"/>
        </w:trPr>
        <w:tc>
          <w:tcPr>
            <w:tcW w:w="593" w:type="dxa"/>
            <w:vMerge w:val="continue"/>
            <w:tcBorders>
              <w:top w:val="nil"/>
              <w:bottom w:val="nil"/>
            </w:tcBorders>
            <w:vAlign w:val="top"/>
          </w:tcPr>
          <w:p w14:paraId="131B026F">
            <w:pPr>
              <w:rPr>
                <w:rFonts w:ascii="Arial"/>
                <w:sz w:val="21"/>
              </w:rPr>
            </w:pPr>
          </w:p>
        </w:tc>
        <w:tc>
          <w:tcPr>
            <w:tcW w:w="2604" w:type="dxa"/>
            <w:vAlign w:val="top"/>
          </w:tcPr>
          <w:p w14:paraId="7B921A51">
            <w:pPr>
              <w:pStyle w:val="6"/>
              <w:spacing w:before="55" w:line="211" w:lineRule="auto"/>
              <w:ind w:left="51"/>
            </w:pPr>
            <w:r>
              <w:rPr>
                <w:spacing w:val="-1"/>
              </w:rPr>
              <w:t>3.苯酚的结构、性质和用途</w:t>
            </w:r>
          </w:p>
        </w:tc>
        <w:tc>
          <w:tcPr>
            <w:tcW w:w="229" w:type="dxa"/>
            <w:vAlign w:val="top"/>
          </w:tcPr>
          <w:p w14:paraId="6B7BD109">
            <w:pPr>
              <w:rPr>
                <w:rFonts w:ascii="Arial"/>
                <w:sz w:val="21"/>
              </w:rPr>
            </w:pPr>
          </w:p>
        </w:tc>
        <w:tc>
          <w:tcPr>
            <w:tcW w:w="220" w:type="dxa"/>
            <w:vAlign w:val="top"/>
          </w:tcPr>
          <w:p w14:paraId="5BD9BA36">
            <w:pPr>
              <w:rPr>
                <w:rFonts w:ascii="Arial"/>
                <w:sz w:val="21"/>
              </w:rPr>
            </w:pPr>
          </w:p>
        </w:tc>
        <w:tc>
          <w:tcPr>
            <w:tcW w:w="229" w:type="dxa"/>
            <w:vAlign w:val="top"/>
          </w:tcPr>
          <w:p w14:paraId="62495163">
            <w:pPr>
              <w:pStyle w:val="6"/>
              <w:spacing w:before="100" w:line="162" w:lineRule="auto"/>
              <w:ind w:left="18"/>
            </w:pPr>
            <w:r>
              <w:t>V</w:t>
            </w:r>
          </w:p>
        </w:tc>
        <w:tc>
          <w:tcPr>
            <w:tcW w:w="234" w:type="dxa"/>
            <w:vAlign w:val="top"/>
          </w:tcPr>
          <w:p w14:paraId="0534E4C9">
            <w:pPr>
              <w:rPr>
                <w:rFonts w:ascii="Arial"/>
                <w:sz w:val="21"/>
              </w:rPr>
            </w:pPr>
          </w:p>
        </w:tc>
      </w:tr>
      <w:tr w14:paraId="36ADCD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9" w:hRule="atLeast"/>
        </w:trPr>
        <w:tc>
          <w:tcPr>
            <w:tcW w:w="593" w:type="dxa"/>
            <w:vMerge w:val="continue"/>
            <w:tcBorders>
              <w:top w:val="nil"/>
              <w:bottom w:val="nil"/>
            </w:tcBorders>
            <w:vAlign w:val="top"/>
          </w:tcPr>
          <w:p w14:paraId="3AC4E9BD">
            <w:pPr>
              <w:rPr>
                <w:rFonts w:ascii="Arial"/>
                <w:sz w:val="21"/>
              </w:rPr>
            </w:pPr>
          </w:p>
        </w:tc>
        <w:tc>
          <w:tcPr>
            <w:tcW w:w="2604" w:type="dxa"/>
            <w:vAlign w:val="top"/>
          </w:tcPr>
          <w:p w14:paraId="77DCF92E">
            <w:pPr>
              <w:pStyle w:val="6"/>
              <w:spacing w:before="46" w:line="209" w:lineRule="auto"/>
              <w:ind w:left="51"/>
            </w:pPr>
            <w:r>
              <w:rPr>
                <w:spacing w:val="-1"/>
              </w:rPr>
              <w:t>4.醛的结构、性质和用途</w:t>
            </w:r>
          </w:p>
        </w:tc>
        <w:tc>
          <w:tcPr>
            <w:tcW w:w="229" w:type="dxa"/>
            <w:vAlign w:val="top"/>
          </w:tcPr>
          <w:p w14:paraId="46DC310F">
            <w:pPr>
              <w:spacing w:line="239" w:lineRule="exact"/>
              <w:rPr>
                <w:rFonts w:ascii="Arial"/>
                <w:sz w:val="20"/>
              </w:rPr>
            </w:pPr>
          </w:p>
        </w:tc>
        <w:tc>
          <w:tcPr>
            <w:tcW w:w="220" w:type="dxa"/>
            <w:vAlign w:val="top"/>
          </w:tcPr>
          <w:p w14:paraId="3D73287D">
            <w:pPr>
              <w:pStyle w:val="6"/>
              <w:spacing w:before="52" w:line="202" w:lineRule="auto"/>
              <w:ind w:left="19"/>
            </w:pPr>
            <w:r>
              <w:t>√</w:t>
            </w:r>
          </w:p>
        </w:tc>
        <w:tc>
          <w:tcPr>
            <w:tcW w:w="229" w:type="dxa"/>
            <w:vAlign w:val="top"/>
          </w:tcPr>
          <w:p w14:paraId="489427E0">
            <w:pPr>
              <w:spacing w:line="239" w:lineRule="exact"/>
              <w:rPr>
                <w:rFonts w:ascii="Arial"/>
                <w:sz w:val="20"/>
              </w:rPr>
            </w:pPr>
          </w:p>
        </w:tc>
        <w:tc>
          <w:tcPr>
            <w:tcW w:w="234" w:type="dxa"/>
            <w:vAlign w:val="top"/>
          </w:tcPr>
          <w:p w14:paraId="2E2DF382">
            <w:pPr>
              <w:spacing w:line="239" w:lineRule="exact"/>
              <w:rPr>
                <w:rFonts w:ascii="Arial"/>
                <w:sz w:val="20"/>
              </w:rPr>
            </w:pPr>
          </w:p>
        </w:tc>
      </w:tr>
      <w:tr w14:paraId="091DD4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5" w:hRule="atLeast"/>
        </w:trPr>
        <w:tc>
          <w:tcPr>
            <w:tcW w:w="593" w:type="dxa"/>
            <w:vMerge w:val="continue"/>
            <w:tcBorders>
              <w:top w:val="nil"/>
            </w:tcBorders>
            <w:vAlign w:val="top"/>
          </w:tcPr>
          <w:p w14:paraId="4FB4E361">
            <w:pPr>
              <w:rPr>
                <w:rFonts w:ascii="Arial"/>
                <w:sz w:val="21"/>
              </w:rPr>
            </w:pPr>
          </w:p>
        </w:tc>
        <w:tc>
          <w:tcPr>
            <w:tcW w:w="2604" w:type="dxa"/>
            <w:vAlign w:val="top"/>
          </w:tcPr>
          <w:p w14:paraId="17C12ECB">
            <w:pPr>
              <w:pStyle w:val="6"/>
              <w:spacing w:before="57" w:line="214" w:lineRule="auto"/>
              <w:ind w:left="51"/>
            </w:pPr>
            <w:r>
              <w:rPr>
                <w:spacing w:val="-1"/>
              </w:rPr>
              <w:t>5.酸的结构、性质和用途</w:t>
            </w:r>
          </w:p>
        </w:tc>
        <w:tc>
          <w:tcPr>
            <w:tcW w:w="229" w:type="dxa"/>
            <w:vAlign w:val="top"/>
          </w:tcPr>
          <w:p w14:paraId="3CE8F5BC">
            <w:pPr>
              <w:rPr>
                <w:rFonts w:ascii="Arial"/>
                <w:sz w:val="21"/>
              </w:rPr>
            </w:pPr>
          </w:p>
        </w:tc>
        <w:tc>
          <w:tcPr>
            <w:tcW w:w="220" w:type="dxa"/>
            <w:vAlign w:val="top"/>
          </w:tcPr>
          <w:p w14:paraId="272F032E">
            <w:pPr>
              <w:pStyle w:val="6"/>
              <w:spacing w:before="87" w:line="238" w:lineRule="auto"/>
              <w:ind w:left="48"/>
              <w:rPr>
                <w:sz w:val="12"/>
                <w:szCs w:val="12"/>
              </w:rPr>
            </w:pPr>
            <w:r>
              <w:rPr>
                <w:sz w:val="12"/>
                <w:szCs w:val="12"/>
              </w:rPr>
              <w:t>√</w:t>
            </w:r>
          </w:p>
        </w:tc>
        <w:tc>
          <w:tcPr>
            <w:tcW w:w="229" w:type="dxa"/>
            <w:vAlign w:val="top"/>
          </w:tcPr>
          <w:p w14:paraId="466A21AD">
            <w:pPr>
              <w:rPr>
                <w:rFonts w:ascii="Arial"/>
                <w:sz w:val="21"/>
              </w:rPr>
            </w:pPr>
          </w:p>
        </w:tc>
        <w:tc>
          <w:tcPr>
            <w:tcW w:w="234" w:type="dxa"/>
            <w:vAlign w:val="top"/>
          </w:tcPr>
          <w:p w14:paraId="1F7FCE94">
            <w:pPr>
              <w:rPr>
                <w:rFonts w:ascii="Arial"/>
                <w:sz w:val="21"/>
              </w:rPr>
            </w:pPr>
          </w:p>
        </w:tc>
      </w:tr>
    </w:tbl>
    <w:p w14:paraId="1527E9A3">
      <w:pPr>
        <w:spacing w:before="298" w:line="221" w:lineRule="auto"/>
        <w:ind w:left="462"/>
        <w:rPr>
          <w:rFonts w:ascii="黑体" w:hAnsi="黑体" w:eastAsia="黑体" w:cs="黑体"/>
          <w:sz w:val="20"/>
          <w:szCs w:val="20"/>
        </w:rPr>
      </w:pPr>
      <w:r>
        <w:rPr>
          <w:rFonts w:ascii="黑体" w:hAnsi="黑体" w:eastAsia="黑体" w:cs="黑体"/>
          <w:b/>
          <w:bCs/>
          <w:spacing w:val="-5"/>
          <w:sz w:val="20"/>
          <w:szCs w:val="20"/>
        </w:rPr>
        <w:t>六、常见生物分子及合成高分子化合物</w:t>
      </w:r>
    </w:p>
    <w:p w14:paraId="56C79DCE">
      <w:pPr>
        <w:spacing w:line="92" w:lineRule="exact"/>
      </w:pPr>
    </w:p>
    <w:tbl>
      <w:tblPr>
        <w:tblStyle w:val="5"/>
        <w:tblW w:w="4109" w:type="dxa"/>
        <w:tblInd w:w="9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14"/>
        <w:gridCol w:w="229"/>
        <w:gridCol w:w="220"/>
        <w:gridCol w:w="229"/>
        <w:gridCol w:w="224"/>
      </w:tblGrid>
      <w:tr w14:paraId="66B470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4" w:hRule="atLeast"/>
        </w:trPr>
        <w:tc>
          <w:tcPr>
            <w:tcW w:w="893" w:type="dxa"/>
            <w:vMerge w:val="restart"/>
            <w:tcBorders>
              <w:bottom w:val="nil"/>
            </w:tcBorders>
            <w:vAlign w:val="top"/>
          </w:tcPr>
          <w:p w14:paraId="28A10EE6">
            <w:pPr>
              <w:pStyle w:val="6"/>
              <w:spacing w:before="142" w:line="229" w:lineRule="auto"/>
              <w:ind w:left="97" w:right="112" w:firstLine="89"/>
            </w:pPr>
            <w:r>
              <w:rPr>
                <w:b/>
                <w:bCs/>
                <w:spacing w:val="-6"/>
              </w:rPr>
              <w:t>知识与</w:t>
            </w:r>
            <w:r>
              <w:t xml:space="preserve">  </w:t>
            </w:r>
            <w:r>
              <w:rPr>
                <w:b/>
                <w:bCs/>
                <w:spacing w:val="-4"/>
              </w:rPr>
              <w:t>技能要点</w:t>
            </w:r>
          </w:p>
        </w:tc>
        <w:tc>
          <w:tcPr>
            <w:tcW w:w="2314" w:type="dxa"/>
            <w:vMerge w:val="restart"/>
            <w:tcBorders>
              <w:bottom w:val="nil"/>
            </w:tcBorders>
            <w:vAlign w:val="top"/>
          </w:tcPr>
          <w:p w14:paraId="5974DDAF">
            <w:pPr>
              <w:pStyle w:val="6"/>
              <w:spacing w:before="249" w:line="219" w:lineRule="auto"/>
              <w:ind w:left="844"/>
            </w:pPr>
            <w:r>
              <w:rPr>
                <w:b/>
                <w:bCs/>
                <w:spacing w:val="5"/>
              </w:rPr>
              <w:t>考试条目</w:t>
            </w:r>
          </w:p>
        </w:tc>
        <w:tc>
          <w:tcPr>
            <w:tcW w:w="902" w:type="dxa"/>
            <w:gridSpan w:val="4"/>
            <w:vAlign w:val="top"/>
          </w:tcPr>
          <w:p w14:paraId="2D0F4A6A">
            <w:pPr>
              <w:pStyle w:val="6"/>
              <w:spacing w:before="79" w:line="219" w:lineRule="auto"/>
              <w:ind w:left="140"/>
            </w:pPr>
            <w:r>
              <w:rPr>
                <w:b/>
                <w:bCs/>
                <w:spacing w:val="-4"/>
              </w:rPr>
              <w:t>考试水平</w:t>
            </w:r>
          </w:p>
        </w:tc>
      </w:tr>
      <w:tr w14:paraId="58244F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9" w:hRule="atLeast"/>
        </w:trPr>
        <w:tc>
          <w:tcPr>
            <w:tcW w:w="893" w:type="dxa"/>
            <w:vMerge w:val="continue"/>
            <w:tcBorders>
              <w:top w:val="nil"/>
            </w:tcBorders>
            <w:vAlign w:val="top"/>
          </w:tcPr>
          <w:p w14:paraId="621F1805">
            <w:pPr>
              <w:rPr>
                <w:rFonts w:ascii="Arial"/>
                <w:sz w:val="21"/>
              </w:rPr>
            </w:pPr>
          </w:p>
        </w:tc>
        <w:tc>
          <w:tcPr>
            <w:tcW w:w="2314" w:type="dxa"/>
            <w:vMerge w:val="continue"/>
            <w:tcBorders>
              <w:top w:val="nil"/>
            </w:tcBorders>
            <w:vAlign w:val="top"/>
          </w:tcPr>
          <w:p w14:paraId="679DADBC">
            <w:pPr>
              <w:rPr>
                <w:rFonts w:ascii="Arial"/>
                <w:sz w:val="21"/>
              </w:rPr>
            </w:pPr>
          </w:p>
        </w:tc>
        <w:tc>
          <w:tcPr>
            <w:tcW w:w="229" w:type="dxa"/>
            <w:vAlign w:val="top"/>
          </w:tcPr>
          <w:p w14:paraId="41317F24">
            <w:pPr>
              <w:pStyle w:val="6"/>
              <w:spacing w:before="120" w:line="184" w:lineRule="auto"/>
              <w:ind w:left="17"/>
            </w:pPr>
            <w:r>
              <w:t>A</w:t>
            </w:r>
          </w:p>
        </w:tc>
        <w:tc>
          <w:tcPr>
            <w:tcW w:w="220" w:type="dxa"/>
            <w:vAlign w:val="top"/>
          </w:tcPr>
          <w:p w14:paraId="2BF5DAF2">
            <w:pPr>
              <w:pStyle w:val="6"/>
              <w:spacing w:before="122" w:line="182" w:lineRule="auto"/>
              <w:ind w:left="21"/>
            </w:pPr>
            <w:r>
              <w:rPr>
                <w:b/>
                <w:bCs/>
                <w:spacing w:val="-2"/>
              </w:rPr>
              <w:t>B</w:t>
            </w:r>
          </w:p>
        </w:tc>
        <w:tc>
          <w:tcPr>
            <w:tcW w:w="229" w:type="dxa"/>
            <w:vAlign w:val="top"/>
          </w:tcPr>
          <w:p w14:paraId="0AC48A9D">
            <w:pPr>
              <w:pStyle w:val="6"/>
              <w:spacing w:before="121" w:line="183" w:lineRule="auto"/>
              <w:ind w:left="58"/>
            </w:pPr>
            <w:r>
              <w:t>C</w:t>
            </w:r>
          </w:p>
        </w:tc>
        <w:tc>
          <w:tcPr>
            <w:tcW w:w="224" w:type="dxa"/>
            <w:vAlign w:val="top"/>
          </w:tcPr>
          <w:p w14:paraId="2C5D80FF">
            <w:pPr>
              <w:pStyle w:val="6"/>
              <w:spacing w:before="122" w:line="182" w:lineRule="auto"/>
              <w:ind w:left="22"/>
            </w:pPr>
            <w:r>
              <w:rPr>
                <w:b/>
                <w:bCs/>
                <w:spacing w:val="-2"/>
              </w:rPr>
              <w:t>D</w:t>
            </w:r>
          </w:p>
        </w:tc>
      </w:tr>
      <w:tr w14:paraId="267C3E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restart"/>
            <w:tcBorders>
              <w:bottom w:val="nil"/>
            </w:tcBorders>
            <w:vAlign w:val="top"/>
          </w:tcPr>
          <w:p w14:paraId="6136E2A4">
            <w:pPr>
              <w:spacing w:line="391" w:lineRule="auto"/>
              <w:rPr>
                <w:rFonts w:ascii="Arial"/>
                <w:sz w:val="21"/>
              </w:rPr>
            </w:pPr>
          </w:p>
          <w:p w14:paraId="54DFC857">
            <w:pPr>
              <w:pStyle w:val="6"/>
              <w:spacing w:before="55" w:line="219" w:lineRule="auto"/>
              <w:ind w:left="264"/>
            </w:pPr>
            <w:r>
              <w:rPr>
                <w:spacing w:val="-2"/>
              </w:rPr>
              <w:t>糖类</w:t>
            </w:r>
          </w:p>
        </w:tc>
        <w:tc>
          <w:tcPr>
            <w:tcW w:w="2314" w:type="dxa"/>
            <w:vAlign w:val="top"/>
          </w:tcPr>
          <w:p w14:paraId="07C76D61">
            <w:pPr>
              <w:pStyle w:val="6"/>
              <w:spacing w:before="49" w:line="217" w:lineRule="auto"/>
              <w:ind w:left="71"/>
            </w:pPr>
            <w:r>
              <w:t>1.糖的组成、分类与功能</w:t>
            </w:r>
          </w:p>
        </w:tc>
        <w:tc>
          <w:tcPr>
            <w:tcW w:w="229" w:type="dxa"/>
            <w:vAlign w:val="top"/>
          </w:tcPr>
          <w:p w14:paraId="171C280F">
            <w:pPr>
              <w:rPr>
                <w:rFonts w:ascii="Arial"/>
                <w:sz w:val="21"/>
              </w:rPr>
            </w:pPr>
          </w:p>
        </w:tc>
        <w:tc>
          <w:tcPr>
            <w:tcW w:w="220" w:type="dxa"/>
            <w:vAlign w:val="top"/>
          </w:tcPr>
          <w:p w14:paraId="3DA04034">
            <w:pPr>
              <w:rPr>
                <w:rFonts w:ascii="Arial"/>
                <w:sz w:val="21"/>
              </w:rPr>
            </w:pPr>
          </w:p>
        </w:tc>
        <w:tc>
          <w:tcPr>
            <w:tcW w:w="229" w:type="dxa"/>
            <w:vAlign w:val="top"/>
          </w:tcPr>
          <w:p w14:paraId="6FB3C167">
            <w:pPr>
              <w:rPr>
                <w:rFonts w:ascii="Arial"/>
                <w:sz w:val="21"/>
              </w:rPr>
            </w:pPr>
          </w:p>
        </w:tc>
        <w:tc>
          <w:tcPr>
            <w:tcW w:w="224" w:type="dxa"/>
            <w:vAlign w:val="top"/>
          </w:tcPr>
          <w:p w14:paraId="51DAC537">
            <w:pPr>
              <w:rPr>
                <w:rFonts w:ascii="Arial"/>
                <w:sz w:val="21"/>
              </w:rPr>
            </w:pPr>
          </w:p>
        </w:tc>
      </w:tr>
      <w:tr w14:paraId="57261C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continue"/>
            <w:tcBorders>
              <w:top w:val="nil"/>
              <w:bottom w:val="nil"/>
            </w:tcBorders>
            <w:vAlign w:val="top"/>
          </w:tcPr>
          <w:p w14:paraId="042DCEE8">
            <w:pPr>
              <w:rPr>
                <w:rFonts w:ascii="Arial"/>
                <w:sz w:val="21"/>
              </w:rPr>
            </w:pPr>
          </w:p>
        </w:tc>
        <w:tc>
          <w:tcPr>
            <w:tcW w:w="2314" w:type="dxa"/>
            <w:vAlign w:val="top"/>
          </w:tcPr>
          <w:p w14:paraId="30CEDE3F">
            <w:pPr>
              <w:pStyle w:val="6"/>
              <w:spacing w:before="50" w:line="216" w:lineRule="auto"/>
              <w:ind w:left="71"/>
            </w:pPr>
            <w:r>
              <w:rPr>
                <w:spacing w:val="1"/>
              </w:rPr>
              <w:t>2.单糖的结构和性质</w:t>
            </w:r>
          </w:p>
        </w:tc>
        <w:tc>
          <w:tcPr>
            <w:tcW w:w="229" w:type="dxa"/>
            <w:vAlign w:val="top"/>
          </w:tcPr>
          <w:p w14:paraId="769107AD">
            <w:pPr>
              <w:rPr>
                <w:rFonts w:ascii="Arial"/>
                <w:sz w:val="21"/>
              </w:rPr>
            </w:pPr>
          </w:p>
        </w:tc>
        <w:tc>
          <w:tcPr>
            <w:tcW w:w="220" w:type="dxa"/>
            <w:vAlign w:val="top"/>
          </w:tcPr>
          <w:p w14:paraId="2FF241DF">
            <w:pPr>
              <w:rPr>
                <w:rFonts w:ascii="Arial"/>
                <w:sz w:val="21"/>
              </w:rPr>
            </w:pPr>
          </w:p>
        </w:tc>
        <w:tc>
          <w:tcPr>
            <w:tcW w:w="229" w:type="dxa"/>
            <w:vAlign w:val="top"/>
          </w:tcPr>
          <w:p w14:paraId="1D09CFAD">
            <w:pPr>
              <w:rPr>
                <w:rFonts w:ascii="Arial"/>
                <w:sz w:val="21"/>
              </w:rPr>
            </w:pPr>
          </w:p>
        </w:tc>
        <w:tc>
          <w:tcPr>
            <w:tcW w:w="224" w:type="dxa"/>
            <w:vAlign w:val="top"/>
          </w:tcPr>
          <w:p w14:paraId="2114A367">
            <w:pPr>
              <w:rPr>
                <w:rFonts w:ascii="Arial"/>
                <w:sz w:val="21"/>
              </w:rPr>
            </w:pPr>
          </w:p>
        </w:tc>
      </w:tr>
      <w:tr w14:paraId="64B5CF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continue"/>
            <w:tcBorders>
              <w:top w:val="nil"/>
              <w:bottom w:val="nil"/>
            </w:tcBorders>
            <w:vAlign w:val="top"/>
          </w:tcPr>
          <w:p w14:paraId="38CB3FD4">
            <w:pPr>
              <w:rPr>
                <w:rFonts w:ascii="Arial"/>
                <w:sz w:val="21"/>
              </w:rPr>
            </w:pPr>
          </w:p>
        </w:tc>
        <w:tc>
          <w:tcPr>
            <w:tcW w:w="2314" w:type="dxa"/>
            <w:vAlign w:val="top"/>
          </w:tcPr>
          <w:p w14:paraId="3B1033CF">
            <w:pPr>
              <w:pStyle w:val="6"/>
              <w:spacing w:before="50" w:line="216" w:lineRule="auto"/>
              <w:ind w:left="71"/>
            </w:pPr>
            <w:r>
              <w:rPr>
                <w:spacing w:val="-2"/>
              </w:rPr>
              <w:t>3.蔗糖、麦芽糖</w:t>
            </w:r>
          </w:p>
        </w:tc>
        <w:tc>
          <w:tcPr>
            <w:tcW w:w="229" w:type="dxa"/>
            <w:vAlign w:val="top"/>
          </w:tcPr>
          <w:p w14:paraId="03F8858A">
            <w:pPr>
              <w:rPr>
                <w:rFonts w:ascii="Arial"/>
                <w:sz w:val="21"/>
              </w:rPr>
            </w:pPr>
          </w:p>
        </w:tc>
        <w:tc>
          <w:tcPr>
            <w:tcW w:w="220" w:type="dxa"/>
            <w:vAlign w:val="top"/>
          </w:tcPr>
          <w:p w14:paraId="7B6435F9">
            <w:pPr>
              <w:rPr>
                <w:rFonts w:ascii="Arial"/>
                <w:sz w:val="21"/>
              </w:rPr>
            </w:pPr>
          </w:p>
        </w:tc>
        <w:tc>
          <w:tcPr>
            <w:tcW w:w="229" w:type="dxa"/>
            <w:vAlign w:val="top"/>
          </w:tcPr>
          <w:p w14:paraId="217C9AD9">
            <w:pPr>
              <w:rPr>
                <w:rFonts w:ascii="Arial"/>
                <w:sz w:val="21"/>
              </w:rPr>
            </w:pPr>
          </w:p>
        </w:tc>
        <w:tc>
          <w:tcPr>
            <w:tcW w:w="224" w:type="dxa"/>
            <w:vAlign w:val="top"/>
          </w:tcPr>
          <w:p w14:paraId="2B1A3D6B">
            <w:pPr>
              <w:rPr>
                <w:rFonts w:ascii="Arial"/>
                <w:sz w:val="21"/>
              </w:rPr>
            </w:pPr>
          </w:p>
        </w:tc>
      </w:tr>
      <w:tr w14:paraId="40F554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continue"/>
            <w:tcBorders>
              <w:top w:val="nil"/>
            </w:tcBorders>
            <w:vAlign w:val="top"/>
          </w:tcPr>
          <w:p w14:paraId="4CEFEA00">
            <w:pPr>
              <w:rPr>
                <w:rFonts w:ascii="Arial"/>
                <w:sz w:val="21"/>
              </w:rPr>
            </w:pPr>
          </w:p>
        </w:tc>
        <w:tc>
          <w:tcPr>
            <w:tcW w:w="2314" w:type="dxa"/>
            <w:vAlign w:val="top"/>
          </w:tcPr>
          <w:p w14:paraId="0CAB3A7A">
            <w:pPr>
              <w:pStyle w:val="6"/>
              <w:spacing w:before="51" w:line="214" w:lineRule="auto"/>
              <w:ind w:left="71"/>
            </w:pPr>
            <w:r>
              <w:rPr>
                <w:spacing w:val="-1"/>
              </w:rPr>
              <w:t>4.淀粉、纤维素</w:t>
            </w:r>
          </w:p>
        </w:tc>
        <w:tc>
          <w:tcPr>
            <w:tcW w:w="229" w:type="dxa"/>
            <w:vAlign w:val="top"/>
          </w:tcPr>
          <w:p w14:paraId="5CC99973">
            <w:pPr>
              <w:rPr>
                <w:rFonts w:ascii="Arial"/>
                <w:sz w:val="21"/>
              </w:rPr>
            </w:pPr>
          </w:p>
        </w:tc>
        <w:tc>
          <w:tcPr>
            <w:tcW w:w="220" w:type="dxa"/>
            <w:vAlign w:val="top"/>
          </w:tcPr>
          <w:p w14:paraId="75D732F8">
            <w:pPr>
              <w:rPr>
                <w:rFonts w:ascii="Arial"/>
                <w:sz w:val="21"/>
              </w:rPr>
            </w:pPr>
          </w:p>
        </w:tc>
        <w:tc>
          <w:tcPr>
            <w:tcW w:w="229" w:type="dxa"/>
            <w:vAlign w:val="top"/>
          </w:tcPr>
          <w:p w14:paraId="46D77812">
            <w:pPr>
              <w:rPr>
                <w:rFonts w:ascii="Arial"/>
                <w:sz w:val="21"/>
              </w:rPr>
            </w:pPr>
          </w:p>
        </w:tc>
        <w:tc>
          <w:tcPr>
            <w:tcW w:w="224" w:type="dxa"/>
            <w:vAlign w:val="top"/>
          </w:tcPr>
          <w:p w14:paraId="0D640889">
            <w:pPr>
              <w:rPr>
                <w:rFonts w:ascii="Arial"/>
                <w:sz w:val="21"/>
              </w:rPr>
            </w:pPr>
          </w:p>
        </w:tc>
      </w:tr>
      <w:tr w14:paraId="3F139E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restart"/>
            <w:tcBorders>
              <w:bottom w:val="nil"/>
            </w:tcBorders>
            <w:vAlign w:val="top"/>
          </w:tcPr>
          <w:p w14:paraId="36F1516A">
            <w:pPr>
              <w:spacing w:line="266" w:lineRule="auto"/>
              <w:rPr>
                <w:rFonts w:ascii="Arial"/>
                <w:sz w:val="21"/>
              </w:rPr>
            </w:pPr>
          </w:p>
          <w:p w14:paraId="68B11305">
            <w:pPr>
              <w:pStyle w:val="6"/>
              <w:spacing w:before="55" w:line="220" w:lineRule="auto"/>
              <w:ind w:left="184"/>
            </w:pPr>
            <w:r>
              <w:rPr>
                <w:spacing w:val="6"/>
              </w:rPr>
              <w:t>蛋白质</w:t>
            </w:r>
          </w:p>
        </w:tc>
        <w:tc>
          <w:tcPr>
            <w:tcW w:w="2314" w:type="dxa"/>
            <w:vAlign w:val="top"/>
          </w:tcPr>
          <w:p w14:paraId="027476DF">
            <w:pPr>
              <w:pStyle w:val="6"/>
              <w:spacing w:before="53" w:line="212" w:lineRule="auto"/>
              <w:ind w:left="71"/>
            </w:pPr>
            <w:r>
              <w:rPr>
                <w:spacing w:val="2"/>
              </w:rPr>
              <w:t>1.氨基酸的性质</w:t>
            </w:r>
          </w:p>
        </w:tc>
        <w:tc>
          <w:tcPr>
            <w:tcW w:w="229" w:type="dxa"/>
            <w:vAlign w:val="top"/>
          </w:tcPr>
          <w:p w14:paraId="22DBA3A3">
            <w:pPr>
              <w:rPr>
                <w:rFonts w:ascii="Arial"/>
                <w:sz w:val="21"/>
              </w:rPr>
            </w:pPr>
          </w:p>
        </w:tc>
        <w:tc>
          <w:tcPr>
            <w:tcW w:w="220" w:type="dxa"/>
            <w:vAlign w:val="top"/>
          </w:tcPr>
          <w:p w14:paraId="6F2F1C5E">
            <w:pPr>
              <w:rPr>
                <w:rFonts w:ascii="Arial"/>
                <w:sz w:val="21"/>
              </w:rPr>
            </w:pPr>
          </w:p>
        </w:tc>
        <w:tc>
          <w:tcPr>
            <w:tcW w:w="229" w:type="dxa"/>
            <w:vAlign w:val="top"/>
          </w:tcPr>
          <w:p w14:paraId="504C8F0D">
            <w:pPr>
              <w:rPr>
                <w:rFonts w:ascii="Arial"/>
                <w:sz w:val="21"/>
              </w:rPr>
            </w:pPr>
          </w:p>
        </w:tc>
        <w:tc>
          <w:tcPr>
            <w:tcW w:w="224" w:type="dxa"/>
            <w:vAlign w:val="top"/>
          </w:tcPr>
          <w:p w14:paraId="2F83B2E6">
            <w:pPr>
              <w:rPr>
                <w:rFonts w:ascii="Arial"/>
                <w:sz w:val="21"/>
              </w:rPr>
            </w:pPr>
          </w:p>
        </w:tc>
      </w:tr>
      <w:tr w14:paraId="050867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continue"/>
            <w:tcBorders>
              <w:top w:val="nil"/>
              <w:bottom w:val="nil"/>
            </w:tcBorders>
            <w:vAlign w:val="top"/>
          </w:tcPr>
          <w:p w14:paraId="31C6AD8F">
            <w:pPr>
              <w:rPr>
                <w:rFonts w:ascii="Arial"/>
                <w:sz w:val="21"/>
              </w:rPr>
            </w:pPr>
          </w:p>
        </w:tc>
        <w:tc>
          <w:tcPr>
            <w:tcW w:w="2314" w:type="dxa"/>
            <w:vAlign w:val="top"/>
          </w:tcPr>
          <w:p w14:paraId="6B1CB167">
            <w:pPr>
              <w:pStyle w:val="6"/>
              <w:spacing w:before="53" w:line="212" w:lineRule="auto"/>
              <w:ind w:left="51"/>
            </w:pPr>
            <w:r>
              <w:rPr>
                <w:spacing w:val="-1"/>
              </w:rPr>
              <w:t>2.蛋白质的元素组成和结构</w:t>
            </w:r>
          </w:p>
        </w:tc>
        <w:tc>
          <w:tcPr>
            <w:tcW w:w="229" w:type="dxa"/>
            <w:vAlign w:val="top"/>
          </w:tcPr>
          <w:p w14:paraId="32C016CD">
            <w:pPr>
              <w:rPr>
                <w:rFonts w:ascii="Arial"/>
                <w:sz w:val="21"/>
              </w:rPr>
            </w:pPr>
          </w:p>
        </w:tc>
        <w:tc>
          <w:tcPr>
            <w:tcW w:w="220" w:type="dxa"/>
            <w:vAlign w:val="top"/>
          </w:tcPr>
          <w:p w14:paraId="0D2830A8">
            <w:pPr>
              <w:rPr>
                <w:rFonts w:ascii="Arial"/>
                <w:sz w:val="21"/>
              </w:rPr>
            </w:pPr>
          </w:p>
        </w:tc>
        <w:tc>
          <w:tcPr>
            <w:tcW w:w="229" w:type="dxa"/>
            <w:vAlign w:val="top"/>
          </w:tcPr>
          <w:p w14:paraId="4873EBCD">
            <w:pPr>
              <w:rPr>
                <w:rFonts w:ascii="Arial"/>
                <w:sz w:val="21"/>
              </w:rPr>
            </w:pPr>
          </w:p>
        </w:tc>
        <w:tc>
          <w:tcPr>
            <w:tcW w:w="224" w:type="dxa"/>
            <w:vAlign w:val="top"/>
          </w:tcPr>
          <w:p w14:paraId="7ED23183">
            <w:pPr>
              <w:rPr>
                <w:rFonts w:ascii="Arial"/>
                <w:sz w:val="21"/>
              </w:rPr>
            </w:pPr>
          </w:p>
        </w:tc>
      </w:tr>
      <w:tr w14:paraId="1A4BC8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continue"/>
            <w:tcBorders>
              <w:top w:val="nil"/>
            </w:tcBorders>
            <w:vAlign w:val="top"/>
          </w:tcPr>
          <w:p w14:paraId="355633FC">
            <w:pPr>
              <w:rPr>
                <w:rFonts w:ascii="Arial"/>
                <w:sz w:val="21"/>
              </w:rPr>
            </w:pPr>
          </w:p>
        </w:tc>
        <w:tc>
          <w:tcPr>
            <w:tcW w:w="2314" w:type="dxa"/>
            <w:vAlign w:val="top"/>
          </w:tcPr>
          <w:p w14:paraId="44A9C134">
            <w:pPr>
              <w:pStyle w:val="6"/>
              <w:spacing w:before="55" w:line="210" w:lineRule="auto"/>
              <w:ind w:left="71"/>
            </w:pPr>
            <w:r>
              <w:rPr>
                <w:spacing w:val="2"/>
              </w:rPr>
              <w:t>3.蛋白质的性质</w:t>
            </w:r>
          </w:p>
        </w:tc>
        <w:tc>
          <w:tcPr>
            <w:tcW w:w="229" w:type="dxa"/>
            <w:vAlign w:val="top"/>
          </w:tcPr>
          <w:p w14:paraId="21505BE1">
            <w:pPr>
              <w:rPr>
                <w:rFonts w:ascii="Arial"/>
                <w:sz w:val="21"/>
              </w:rPr>
            </w:pPr>
          </w:p>
        </w:tc>
        <w:tc>
          <w:tcPr>
            <w:tcW w:w="220" w:type="dxa"/>
            <w:vAlign w:val="top"/>
          </w:tcPr>
          <w:p w14:paraId="612C89AA">
            <w:pPr>
              <w:rPr>
                <w:rFonts w:ascii="Arial"/>
                <w:sz w:val="21"/>
              </w:rPr>
            </w:pPr>
          </w:p>
        </w:tc>
        <w:tc>
          <w:tcPr>
            <w:tcW w:w="229" w:type="dxa"/>
            <w:vAlign w:val="top"/>
          </w:tcPr>
          <w:p w14:paraId="7450FE12">
            <w:pPr>
              <w:rPr>
                <w:rFonts w:ascii="Arial"/>
                <w:sz w:val="21"/>
              </w:rPr>
            </w:pPr>
          </w:p>
        </w:tc>
        <w:tc>
          <w:tcPr>
            <w:tcW w:w="224" w:type="dxa"/>
            <w:vAlign w:val="top"/>
          </w:tcPr>
          <w:p w14:paraId="20D518A0">
            <w:pPr>
              <w:rPr>
                <w:rFonts w:ascii="Arial"/>
                <w:sz w:val="21"/>
              </w:rPr>
            </w:pPr>
          </w:p>
        </w:tc>
      </w:tr>
      <w:tr w14:paraId="725294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9" w:hRule="atLeast"/>
        </w:trPr>
        <w:tc>
          <w:tcPr>
            <w:tcW w:w="893" w:type="dxa"/>
            <w:vMerge w:val="restart"/>
            <w:tcBorders>
              <w:bottom w:val="nil"/>
            </w:tcBorders>
            <w:vAlign w:val="top"/>
          </w:tcPr>
          <w:p w14:paraId="03D72FD7">
            <w:pPr>
              <w:pStyle w:val="6"/>
              <w:spacing w:before="106" w:line="247" w:lineRule="auto"/>
              <w:ind w:left="184" w:right="195" w:firstLine="79"/>
            </w:pPr>
            <w:r>
              <w:rPr>
                <w:spacing w:val="-4"/>
              </w:rPr>
              <w:t>合成</w:t>
            </w:r>
            <w:r>
              <w:t xml:space="preserve">  </w:t>
            </w:r>
            <w:r>
              <w:rPr>
                <w:spacing w:val="-4"/>
              </w:rPr>
              <w:t>高分子</w:t>
            </w:r>
            <w:r>
              <w:t xml:space="preserve"> </w:t>
            </w:r>
            <w:r>
              <w:rPr>
                <w:spacing w:val="-3"/>
              </w:rPr>
              <w:t>化合物</w:t>
            </w:r>
          </w:p>
        </w:tc>
        <w:tc>
          <w:tcPr>
            <w:tcW w:w="2314" w:type="dxa"/>
            <w:vAlign w:val="top"/>
          </w:tcPr>
          <w:p w14:paraId="6FF6FFD4">
            <w:pPr>
              <w:pStyle w:val="6"/>
              <w:spacing w:before="54" w:line="252" w:lineRule="auto"/>
              <w:ind w:left="71" w:right="186"/>
            </w:pPr>
            <w:r>
              <w:t>1.高分子化合物的概念、特</w:t>
            </w:r>
            <w:r>
              <w:rPr>
                <w:spacing w:val="4"/>
              </w:rPr>
              <w:t xml:space="preserve"> </w:t>
            </w:r>
            <w:r>
              <w:rPr>
                <w:spacing w:val="-2"/>
              </w:rPr>
              <w:t>征与特性</w:t>
            </w:r>
          </w:p>
        </w:tc>
        <w:tc>
          <w:tcPr>
            <w:tcW w:w="229" w:type="dxa"/>
            <w:vAlign w:val="top"/>
          </w:tcPr>
          <w:p w14:paraId="4A414033">
            <w:pPr>
              <w:rPr>
                <w:rFonts w:ascii="Arial"/>
                <w:sz w:val="21"/>
              </w:rPr>
            </w:pPr>
          </w:p>
        </w:tc>
        <w:tc>
          <w:tcPr>
            <w:tcW w:w="220" w:type="dxa"/>
            <w:vAlign w:val="top"/>
          </w:tcPr>
          <w:p w14:paraId="4C4594A2">
            <w:pPr>
              <w:rPr>
                <w:rFonts w:ascii="Arial"/>
                <w:sz w:val="21"/>
              </w:rPr>
            </w:pPr>
          </w:p>
        </w:tc>
        <w:tc>
          <w:tcPr>
            <w:tcW w:w="229" w:type="dxa"/>
            <w:vAlign w:val="top"/>
          </w:tcPr>
          <w:p w14:paraId="6DF8F845">
            <w:pPr>
              <w:rPr>
                <w:rFonts w:ascii="Arial"/>
                <w:sz w:val="21"/>
              </w:rPr>
            </w:pPr>
          </w:p>
        </w:tc>
        <w:tc>
          <w:tcPr>
            <w:tcW w:w="224" w:type="dxa"/>
            <w:vAlign w:val="top"/>
          </w:tcPr>
          <w:p w14:paraId="2990260E">
            <w:pPr>
              <w:rPr>
                <w:rFonts w:ascii="Arial"/>
                <w:sz w:val="21"/>
              </w:rPr>
            </w:pPr>
          </w:p>
        </w:tc>
      </w:tr>
      <w:tr w14:paraId="42450C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4" w:hRule="atLeast"/>
        </w:trPr>
        <w:tc>
          <w:tcPr>
            <w:tcW w:w="893" w:type="dxa"/>
            <w:vMerge w:val="continue"/>
            <w:tcBorders>
              <w:top w:val="nil"/>
            </w:tcBorders>
            <w:vAlign w:val="top"/>
          </w:tcPr>
          <w:p w14:paraId="5825A90D">
            <w:pPr>
              <w:rPr>
                <w:rFonts w:ascii="Arial"/>
                <w:sz w:val="21"/>
              </w:rPr>
            </w:pPr>
          </w:p>
        </w:tc>
        <w:tc>
          <w:tcPr>
            <w:tcW w:w="2314" w:type="dxa"/>
            <w:vAlign w:val="top"/>
          </w:tcPr>
          <w:p w14:paraId="5E269393">
            <w:pPr>
              <w:pStyle w:val="6"/>
              <w:spacing w:before="56" w:line="215" w:lineRule="auto"/>
              <w:ind w:left="71"/>
            </w:pPr>
            <w:r>
              <w:rPr>
                <w:spacing w:val="-1"/>
              </w:rPr>
              <w:t>2.三大有机合成材料</w:t>
            </w:r>
          </w:p>
        </w:tc>
        <w:tc>
          <w:tcPr>
            <w:tcW w:w="229" w:type="dxa"/>
            <w:vAlign w:val="top"/>
          </w:tcPr>
          <w:p w14:paraId="595EE3E0">
            <w:pPr>
              <w:rPr>
                <w:rFonts w:ascii="Arial"/>
                <w:sz w:val="21"/>
              </w:rPr>
            </w:pPr>
          </w:p>
        </w:tc>
        <w:tc>
          <w:tcPr>
            <w:tcW w:w="220" w:type="dxa"/>
            <w:vAlign w:val="top"/>
          </w:tcPr>
          <w:p w14:paraId="39B50B45">
            <w:pPr>
              <w:rPr>
                <w:rFonts w:ascii="Arial"/>
                <w:sz w:val="21"/>
              </w:rPr>
            </w:pPr>
          </w:p>
        </w:tc>
        <w:tc>
          <w:tcPr>
            <w:tcW w:w="229" w:type="dxa"/>
            <w:vAlign w:val="top"/>
          </w:tcPr>
          <w:p w14:paraId="2861216E">
            <w:pPr>
              <w:rPr>
                <w:rFonts w:ascii="Arial"/>
                <w:sz w:val="21"/>
              </w:rPr>
            </w:pPr>
          </w:p>
        </w:tc>
        <w:tc>
          <w:tcPr>
            <w:tcW w:w="224" w:type="dxa"/>
            <w:vAlign w:val="top"/>
          </w:tcPr>
          <w:p w14:paraId="6E39D8CE">
            <w:pPr>
              <w:rPr>
                <w:rFonts w:ascii="Arial"/>
                <w:sz w:val="21"/>
              </w:rPr>
            </w:pPr>
          </w:p>
        </w:tc>
      </w:tr>
    </w:tbl>
    <w:p w14:paraId="37CF3276">
      <w:pPr>
        <w:pStyle w:val="2"/>
      </w:pPr>
    </w:p>
    <w:p w14:paraId="08D42F89">
      <w:pPr>
        <w:pStyle w:val="2"/>
        <w:spacing w:line="14" w:lineRule="auto"/>
        <w:rPr>
          <w:sz w:val="2"/>
        </w:rPr>
      </w:pPr>
      <w:r>
        <w:rPr>
          <w:sz w:val="2"/>
          <w:szCs w:val="2"/>
        </w:rPr>
        <w:br w:type="column"/>
      </w:r>
    </w:p>
    <w:p w14:paraId="775A5E5F">
      <w:pPr>
        <w:spacing w:line="219" w:lineRule="auto"/>
        <w:ind w:left="747"/>
        <w:rPr>
          <w:rFonts w:ascii="黑体" w:hAnsi="黑体" w:eastAsia="黑体" w:cs="黑体"/>
          <w:sz w:val="20"/>
          <w:szCs w:val="20"/>
        </w:rPr>
      </w:pPr>
      <w:r>
        <w:rPr>
          <w:rFonts w:ascii="黑体" w:hAnsi="黑体" w:eastAsia="黑体" w:cs="黑体"/>
          <w:b/>
          <w:bCs/>
          <w:spacing w:val="-1"/>
          <w:sz w:val="20"/>
          <w:szCs w:val="20"/>
        </w:rPr>
        <w:t>第二部分无机物定量分析基础</w:t>
      </w:r>
    </w:p>
    <w:p w14:paraId="4E83748C">
      <w:pPr>
        <w:pStyle w:val="2"/>
        <w:spacing w:line="293" w:lineRule="auto"/>
      </w:pPr>
    </w:p>
    <w:p w14:paraId="0C6B43D0">
      <w:pPr>
        <w:spacing w:before="65" w:line="221" w:lineRule="auto"/>
        <w:ind w:left="1067"/>
        <w:rPr>
          <w:rFonts w:ascii="黑体" w:hAnsi="黑体" w:eastAsia="黑体" w:cs="黑体"/>
          <w:sz w:val="20"/>
          <w:szCs w:val="20"/>
        </w:rPr>
      </w:pPr>
      <w:r>
        <w:rPr>
          <w:rFonts w:ascii="黑体" w:hAnsi="黑体" w:eastAsia="黑体" w:cs="黑体"/>
          <w:b/>
          <w:bCs/>
          <w:spacing w:val="-4"/>
          <w:sz w:val="20"/>
          <w:szCs w:val="20"/>
        </w:rPr>
        <w:t>一、化学分析基础知识</w:t>
      </w:r>
    </w:p>
    <w:p w14:paraId="1D963A80">
      <w:pPr>
        <w:spacing w:line="82" w:lineRule="exact"/>
      </w:pPr>
    </w:p>
    <w:tbl>
      <w:tblPr>
        <w:tblStyle w:val="5"/>
        <w:tblW w:w="410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14"/>
        <w:gridCol w:w="229"/>
        <w:gridCol w:w="220"/>
        <w:gridCol w:w="229"/>
        <w:gridCol w:w="224"/>
      </w:tblGrid>
      <w:tr w14:paraId="30CF3B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4" w:hRule="atLeast"/>
        </w:trPr>
        <w:tc>
          <w:tcPr>
            <w:tcW w:w="893" w:type="dxa"/>
            <w:vMerge w:val="restart"/>
            <w:tcBorders>
              <w:bottom w:val="nil"/>
            </w:tcBorders>
            <w:vAlign w:val="top"/>
          </w:tcPr>
          <w:p w14:paraId="62088789">
            <w:pPr>
              <w:pStyle w:val="6"/>
              <w:spacing w:before="142" w:line="229" w:lineRule="auto"/>
              <w:ind w:left="97" w:right="112" w:firstLine="89"/>
            </w:pPr>
            <w:r>
              <w:rPr>
                <w:b/>
                <w:bCs/>
                <w:spacing w:val="-6"/>
              </w:rPr>
              <w:t>知识与</w:t>
            </w:r>
            <w:r>
              <w:t xml:space="preserve">  </w:t>
            </w:r>
            <w:r>
              <w:rPr>
                <w:b/>
                <w:bCs/>
                <w:spacing w:val="-4"/>
              </w:rPr>
              <w:t>技能要点</w:t>
            </w:r>
          </w:p>
        </w:tc>
        <w:tc>
          <w:tcPr>
            <w:tcW w:w="2314" w:type="dxa"/>
            <w:vMerge w:val="restart"/>
            <w:tcBorders>
              <w:bottom w:val="nil"/>
            </w:tcBorders>
            <w:vAlign w:val="top"/>
          </w:tcPr>
          <w:p w14:paraId="3C1BF93F">
            <w:pPr>
              <w:pStyle w:val="6"/>
              <w:spacing w:before="249" w:line="219" w:lineRule="auto"/>
              <w:ind w:left="834"/>
            </w:pPr>
            <w:r>
              <w:rPr>
                <w:b/>
                <w:bCs/>
                <w:spacing w:val="5"/>
              </w:rPr>
              <w:t>考试条目</w:t>
            </w:r>
          </w:p>
        </w:tc>
        <w:tc>
          <w:tcPr>
            <w:tcW w:w="902" w:type="dxa"/>
            <w:gridSpan w:val="4"/>
            <w:vAlign w:val="top"/>
          </w:tcPr>
          <w:p w14:paraId="5EFDBA02">
            <w:pPr>
              <w:pStyle w:val="6"/>
              <w:spacing w:before="79" w:line="219" w:lineRule="auto"/>
              <w:ind w:left="120"/>
            </w:pPr>
            <w:r>
              <w:rPr>
                <w:b/>
                <w:bCs/>
                <w:spacing w:val="-4"/>
              </w:rPr>
              <w:t>考试水平</w:t>
            </w:r>
          </w:p>
        </w:tc>
      </w:tr>
      <w:tr w14:paraId="559A12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9" w:hRule="atLeast"/>
        </w:trPr>
        <w:tc>
          <w:tcPr>
            <w:tcW w:w="893" w:type="dxa"/>
            <w:vMerge w:val="continue"/>
            <w:tcBorders>
              <w:top w:val="nil"/>
            </w:tcBorders>
            <w:vAlign w:val="top"/>
          </w:tcPr>
          <w:p w14:paraId="3A7CD796">
            <w:pPr>
              <w:rPr>
                <w:rFonts w:ascii="Arial"/>
                <w:sz w:val="21"/>
              </w:rPr>
            </w:pPr>
          </w:p>
        </w:tc>
        <w:tc>
          <w:tcPr>
            <w:tcW w:w="2314" w:type="dxa"/>
            <w:vMerge w:val="continue"/>
            <w:tcBorders>
              <w:top w:val="nil"/>
            </w:tcBorders>
            <w:vAlign w:val="top"/>
          </w:tcPr>
          <w:p w14:paraId="7700E43D">
            <w:pPr>
              <w:rPr>
                <w:rFonts w:ascii="Arial"/>
                <w:sz w:val="21"/>
              </w:rPr>
            </w:pPr>
          </w:p>
        </w:tc>
        <w:tc>
          <w:tcPr>
            <w:tcW w:w="229" w:type="dxa"/>
            <w:vAlign w:val="top"/>
          </w:tcPr>
          <w:p w14:paraId="4C10F0CC">
            <w:pPr>
              <w:pStyle w:val="6"/>
              <w:spacing w:before="120" w:line="184" w:lineRule="auto"/>
              <w:ind w:left="67"/>
            </w:pPr>
            <w:r>
              <w:t>A</w:t>
            </w:r>
          </w:p>
        </w:tc>
        <w:tc>
          <w:tcPr>
            <w:tcW w:w="220" w:type="dxa"/>
            <w:vAlign w:val="top"/>
          </w:tcPr>
          <w:p w14:paraId="009713E3">
            <w:pPr>
              <w:pStyle w:val="6"/>
              <w:spacing w:before="122" w:line="182" w:lineRule="auto"/>
              <w:ind w:left="61"/>
            </w:pPr>
            <w:r>
              <w:rPr>
                <w:b/>
                <w:bCs/>
                <w:spacing w:val="-2"/>
              </w:rPr>
              <w:t>B</w:t>
            </w:r>
          </w:p>
        </w:tc>
        <w:tc>
          <w:tcPr>
            <w:tcW w:w="229" w:type="dxa"/>
            <w:vAlign w:val="top"/>
          </w:tcPr>
          <w:p w14:paraId="6562CCFC">
            <w:pPr>
              <w:pStyle w:val="6"/>
              <w:spacing w:before="120" w:line="183" w:lineRule="auto"/>
              <w:ind w:left="71"/>
            </w:pPr>
            <w:r>
              <w:rPr>
                <w:b/>
                <w:bCs/>
                <w:spacing w:val="-2"/>
              </w:rPr>
              <w:t>C</w:t>
            </w:r>
          </w:p>
        </w:tc>
        <w:tc>
          <w:tcPr>
            <w:tcW w:w="224" w:type="dxa"/>
            <w:vAlign w:val="top"/>
          </w:tcPr>
          <w:p w14:paraId="27AADDAF">
            <w:pPr>
              <w:pStyle w:val="6"/>
              <w:spacing w:before="122" w:line="182" w:lineRule="auto"/>
              <w:ind w:left="22"/>
            </w:pPr>
            <w:r>
              <w:rPr>
                <w:b/>
                <w:bCs/>
                <w:spacing w:val="-2"/>
              </w:rPr>
              <w:t>D</w:t>
            </w:r>
          </w:p>
        </w:tc>
      </w:tr>
      <w:tr w14:paraId="621E9D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 w:hRule="atLeast"/>
        </w:trPr>
        <w:tc>
          <w:tcPr>
            <w:tcW w:w="893" w:type="dxa"/>
            <w:vMerge w:val="restart"/>
            <w:tcBorders>
              <w:bottom w:val="nil"/>
            </w:tcBorders>
            <w:vAlign w:val="top"/>
          </w:tcPr>
          <w:p w14:paraId="30CD1765">
            <w:pPr>
              <w:spacing w:line="391" w:lineRule="auto"/>
              <w:rPr>
                <w:rFonts w:ascii="Arial"/>
                <w:sz w:val="21"/>
              </w:rPr>
            </w:pPr>
          </w:p>
          <w:p w14:paraId="589FD553">
            <w:pPr>
              <w:pStyle w:val="6"/>
              <w:spacing w:before="56" w:line="220" w:lineRule="auto"/>
              <w:ind w:left="265"/>
            </w:pPr>
            <w:r>
              <w:rPr>
                <w:spacing w:val="-3"/>
              </w:rPr>
              <w:t>绪论</w:t>
            </w:r>
          </w:p>
        </w:tc>
        <w:tc>
          <w:tcPr>
            <w:tcW w:w="2314" w:type="dxa"/>
            <w:vAlign w:val="top"/>
          </w:tcPr>
          <w:p w14:paraId="06B71E85">
            <w:pPr>
              <w:pStyle w:val="6"/>
              <w:spacing w:before="49" w:line="218" w:lineRule="auto"/>
              <w:ind w:left="31"/>
            </w:pPr>
            <w:r>
              <w:t>1.定量分析方法</w:t>
            </w:r>
          </w:p>
        </w:tc>
        <w:tc>
          <w:tcPr>
            <w:tcW w:w="229" w:type="dxa"/>
            <w:vAlign w:val="top"/>
          </w:tcPr>
          <w:p w14:paraId="4226BEE0">
            <w:pPr>
              <w:pStyle w:val="6"/>
              <w:spacing w:before="80" w:line="238" w:lineRule="auto"/>
              <w:ind w:left="48"/>
              <w:rPr>
                <w:sz w:val="13"/>
                <w:szCs w:val="13"/>
              </w:rPr>
            </w:pPr>
            <w:r>
              <w:rPr>
                <w:sz w:val="13"/>
                <w:szCs w:val="13"/>
              </w:rPr>
              <w:t>√</w:t>
            </w:r>
          </w:p>
        </w:tc>
        <w:tc>
          <w:tcPr>
            <w:tcW w:w="220" w:type="dxa"/>
            <w:vAlign w:val="top"/>
          </w:tcPr>
          <w:p w14:paraId="5C50298F">
            <w:pPr>
              <w:rPr>
                <w:rFonts w:ascii="Arial"/>
                <w:sz w:val="21"/>
              </w:rPr>
            </w:pPr>
          </w:p>
        </w:tc>
        <w:tc>
          <w:tcPr>
            <w:tcW w:w="229" w:type="dxa"/>
            <w:vAlign w:val="top"/>
          </w:tcPr>
          <w:p w14:paraId="2A0AA364">
            <w:pPr>
              <w:rPr>
                <w:rFonts w:ascii="Arial"/>
                <w:sz w:val="21"/>
              </w:rPr>
            </w:pPr>
          </w:p>
        </w:tc>
        <w:tc>
          <w:tcPr>
            <w:tcW w:w="224" w:type="dxa"/>
            <w:vAlign w:val="top"/>
          </w:tcPr>
          <w:p w14:paraId="12752FDC">
            <w:pPr>
              <w:rPr>
                <w:rFonts w:ascii="Arial"/>
                <w:sz w:val="21"/>
              </w:rPr>
            </w:pPr>
          </w:p>
        </w:tc>
      </w:tr>
      <w:tr w14:paraId="070E6A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continue"/>
            <w:tcBorders>
              <w:top w:val="nil"/>
              <w:bottom w:val="nil"/>
            </w:tcBorders>
            <w:vAlign w:val="top"/>
          </w:tcPr>
          <w:p w14:paraId="1C95CEDD">
            <w:pPr>
              <w:rPr>
                <w:rFonts w:ascii="Arial"/>
                <w:sz w:val="21"/>
              </w:rPr>
            </w:pPr>
          </w:p>
        </w:tc>
        <w:tc>
          <w:tcPr>
            <w:tcW w:w="2314" w:type="dxa"/>
            <w:vAlign w:val="top"/>
          </w:tcPr>
          <w:p w14:paraId="0D590348">
            <w:pPr>
              <w:pStyle w:val="6"/>
              <w:spacing w:before="48" w:line="218" w:lineRule="auto"/>
              <w:ind w:left="31"/>
            </w:pPr>
            <w:r>
              <w:rPr>
                <w:spacing w:val="-1"/>
              </w:rPr>
              <w:t>2.准确度和精密度</w:t>
            </w:r>
          </w:p>
        </w:tc>
        <w:tc>
          <w:tcPr>
            <w:tcW w:w="229" w:type="dxa"/>
            <w:vAlign w:val="top"/>
          </w:tcPr>
          <w:p w14:paraId="502BB39F">
            <w:pPr>
              <w:pStyle w:val="6"/>
              <w:spacing w:before="80" w:line="238" w:lineRule="auto"/>
              <w:ind w:left="48"/>
              <w:rPr>
                <w:sz w:val="13"/>
                <w:szCs w:val="13"/>
              </w:rPr>
            </w:pPr>
            <w:r>
              <w:rPr>
                <w:sz w:val="13"/>
                <w:szCs w:val="13"/>
              </w:rPr>
              <w:t>√</w:t>
            </w:r>
          </w:p>
        </w:tc>
        <w:tc>
          <w:tcPr>
            <w:tcW w:w="220" w:type="dxa"/>
            <w:vAlign w:val="top"/>
          </w:tcPr>
          <w:p w14:paraId="31082CEC">
            <w:pPr>
              <w:rPr>
                <w:rFonts w:ascii="Arial"/>
                <w:sz w:val="21"/>
              </w:rPr>
            </w:pPr>
          </w:p>
        </w:tc>
        <w:tc>
          <w:tcPr>
            <w:tcW w:w="229" w:type="dxa"/>
            <w:vAlign w:val="top"/>
          </w:tcPr>
          <w:p w14:paraId="6F004175">
            <w:pPr>
              <w:rPr>
                <w:rFonts w:ascii="Arial"/>
                <w:sz w:val="21"/>
              </w:rPr>
            </w:pPr>
          </w:p>
        </w:tc>
        <w:tc>
          <w:tcPr>
            <w:tcW w:w="224" w:type="dxa"/>
            <w:vAlign w:val="top"/>
          </w:tcPr>
          <w:p w14:paraId="77DC9A2F">
            <w:pPr>
              <w:rPr>
                <w:rFonts w:ascii="Arial"/>
                <w:sz w:val="21"/>
              </w:rPr>
            </w:pPr>
          </w:p>
        </w:tc>
      </w:tr>
      <w:tr w14:paraId="725C4D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 w:hRule="atLeast"/>
        </w:trPr>
        <w:tc>
          <w:tcPr>
            <w:tcW w:w="893" w:type="dxa"/>
            <w:vMerge w:val="continue"/>
            <w:tcBorders>
              <w:top w:val="nil"/>
              <w:bottom w:val="nil"/>
            </w:tcBorders>
            <w:vAlign w:val="top"/>
          </w:tcPr>
          <w:p w14:paraId="2F8A35D7">
            <w:pPr>
              <w:rPr>
                <w:rFonts w:ascii="Arial"/>
                <w:sz w:val="21"/>
              </w:rPr>
            </w:pPr>
          </w:p>
        </w:tc>
        <w:tc>
          <w:tcPr>
            <w:tcW w:w="2314" w:type="dxa"/>
            <w:vAlign w:val="top"/>
          </w:tcPr>
          <w:p w14:paraId="79DA42BF">
            <w:pPr>
              <w:pStyle w:val="6"/>
              <w:spacing w:before="50" w:line="217" w:lineRule="auto"/>
              <w:ind w:left="31"/>
            </w:pPr>
            <w:r>
              <w:rPr>
                <w:spacing w:val="-1"/>
              </w:rPr>
              <w:t>3.误差的分类和来源</w:t>
            </w:r>
          </w:p>
        </w:tc>
        <w:tc>
          <w:tcPr>
            <w:tcW w:w="229" w:type="dxa"/>
            <w:vAlign w:val="top"/>
          </w:tcPr>
          <w:p w14:paraId="58FC8AF3">
            <w:pPr>
              <w:pStyle w:val="6"/>
              <w:spacing w:before="81" w:line="238" w:lineRule="auto"/>
              <w:ind w:left="48"/>
              <w:rPr>
                <w:sz w:val="13"/>
                <w:szCs w:val="13"/>
              </w:rPr>
            </w:pPr>
            <w:r>
              <w:rPr>
                <w:sz w:val="13"/>
                <w:szCs w:val="13"/>
              </w:rPr>
              <w:t>√</w:t>
            </w:r>
          </w:p>
        </w:tc>
        <w:tc>
          <w:tcPr>
            <w:tcW w:w="220" w:type="dxa"/>
            <w:vAlign w:val="top"/>
          </w:tcPr>
          <w:p w14:paraId="37C6D71C">
            <w:pPr>
              <w:rPr>
                <w:rFonts w:ascii="Arial"/>
                <w:sz w:val="21"/>
              </w:rPr>
            </w:pPr>
          </w:p>
        </w:tc>
        <w:tc>
          <w:tcPr>
            <w:tcW w:w="229" w:type="dxa"/>
            <w:vAlign w:val="top"/>
          </w:tcPr>
          <w:p w14:paraId="389CEA48">
            <w:pPr>
              <w:rPr>
                <w:rFonts w:ascii="Arial"/>
                <w:sz w:val="21"/>
              </w:rPr>
            </w:pPr>
          </w:p>
        </w:tc>
        <w:tc>
          <w:tcPr>
            <w:tcW w:w="224" w:type="dxa"/>
            <w:vAlign w:val="top"/>
          </w:tcPr>
          <w:p w14:paraId="587EDC3F">
            <w:pPr>
              <w:rPr>
                <w:rFonts w:ascii="Arial"/>
                <w:sz w:val="21"/>
              </w:rPr>
            </w:pPr>
          </w:p>
        </w:tc>
      </w:tr>
      <w:tr w14:paraId="3FB8AB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continue"/>
            <w:tcBorders>
              <w:top w:val="nil"/>
            </w:tcBorders>
            <w:vAlign w:val="top"/>
          </w:tcPr>
          <w:p w14:paraId="5D59F19C">
            <w:pPr>
              <w:rPr>
                <w:rFonts w:ascii="Arial"/>
                <w:sz w:val="21"/>
              </w:rPr>
            </w:pPr>
          </w:p>
        </w:tc>
        <w:tc>
          <w:tcPr>
            <w:tcW w:w="2314" w:type="dxa"/>
            <w:vAlign w:val="top"/>
          </w:tcPr>
          <w:p w14:paraId="2580CFB3">
            <w:pPr>
              <w:pStyle w:val="6"/>
              <w:spacing w:before="51" w:line="215" w:lineRule="auto"/>
              <w:ind w:left="31"/>
            </w:pPr>
            <w:r>
              <w:rPr>
                <w:spacing w:val="-1"/>
              </w:rPr>
              <w:t>4.减小误差的方法</w:t>
            </w:r>
          </w:p>
        </w:tc>
        <w:tc>
          <w:tcPr>
            <w:tcW w:w="229" w:type="dxa"/>
            <w:vAlign w:val="top"/>
          </w:tcPr>
          <w:p w14:paraId="0EACC452">
            <w:pPr>
              <w:rPr>
                <w:rFonts w:ascii="Arial"/>
                <w:sz w:val="21"/>
              </w:rPr>
            </w:pPr>
          </w:p>
        </w:tc>
        <w:tc>
          <w:tcPr>
            <w:tcW w:w="220" w:type="dxa"/>
            <w:vAlign w:val="top"/>
          </w:tcPr>
          <w:p w14:paraId="3A3469B0">
            <w:pPr>
              <w:pStyle w:val="6"/>
              <w:spacing w:before="81" w:line="238" w:lineRule="auto"/>
              <w:ind w:left="38"/>
              <w:rPr>
                <w:sz w:val="13"/>
                <w:szCs w:val="13"/>
              </w:rPr>
            </w:pPr>
            <w:r>
              <w:rPr>
                <w:sz w:val="13"/>
                <w:szCs w:val="13"/>
              </w:rPr>
              <w:t>√</w:t>
            </w:r>
          </w:p>
        </w:tc>
        <w:tc>
          <w:tcPr>
            <w:tcW w:w="229" w:type="dxa"/>
            <w:vAlign w:val="top"/>
          </w:tcPr>
          <w:p w14:paraId="76165A8A">
            <w:pPr>
              <w:rPr>
                <w:rFonts w:ascii="Arial"/>
                <w:sz w:val="21"/>
              </w:rPr>
            </w:pPr>
          </w:p>
        </w:tc>
        <w:tc>
          <w:tcPr>
            <w:tcW w:w="224" w:type="dxa"/>
            <w:vAlign w:val="top"/>
          </w:tcPr>
          <w:p w14:paraId="128D941A">
            <w:pPr>
              <w:rPr>
                <w:rFonts w:ascii="Arial"/>
                <w:sz w:val="21"/>
              </w:rPr>
            </w:pPr>
          </w:p>
        </w:tc>
      </w:tr>
      <w:tr w14:paraId="658C0C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restart"/>
            <w:tcBorders>
              <w:bottom w:val="nil"/>
            </w:tcBorders>
            <w:vAlign w:val="top"/>
          </w:tcPr>
          <w:p w14:paraId="44EB7F85">
            <w:pPr>
              <w:pStyle w:val="6"/>
              <w:spacing w:before="81" w:line="219" w:lineRule="auto"/>
              <w:ind w:left="94"/>
            </w:pPr>
            <w:r>
              <w:rPr>
                <w:spacing w:val="-2"/>
              </w:rPr>
              <w:t>有效数字</w:t>
            </w:r>
          </w:p>
          <w:p w14:paraId="0E279E25">
            <w:pPr>
              <w:pStyle w:val="6"/>
              <w:spacing w:before="40" w:line="222" w:lineRule="auto"/>
              <w:ind w:left="354"/>
            </w:pPr>
            <w:r>
              <w:t>及</w:t>
            </w:r>
          </w:p>
          <w:p w14:paraId="3DA0C8D5">
            <w:pPr>
              <w:pStyle w:val="6"/>
              <w:spacing w:before="12" w:line="219" w:lineRule="auto"/>
              <w:ind w:left="94"/>
            </w:pPr>
            <w:r>
              <w:rPr>
                <w:spacing w:val="3"/>
              </w:rPr>
              <w:t>运算规则</w:t>
            </w:r>
          </w:p>
        </w:tc>
        <w:tc>
          <w:tcPr>
            <w:tcW w:w="2314" w:type="dxa"/>
            <w:vAlign w:val="top"/>
          </w:tcPr>
          <w:p w14:paraId="307FE5D0">
            <w:pPr>
              <w:pStyle w:val="6"/>
              <w:spacing w:before="51" w:line="215" w:lineRule="auto"/>
              <w:ind w:left="31"/>
            </w:pPr>
            <w:r>
              <w:t>1.有效数字的概念</w:t>
            </w:r>
          </w:p>
        </w:tc>
        <w:tc>
          <w:tcPr>
            <w:tcW w:w="229" w:type="dxa"/>
            <w:vAlign w:val="top"/>
          </w:tcPr>
          <w:p w14:paraId="1D15969D">
            <w:pPr>
              <w:rPr>
                <w:rFonts w:ascii="Arial"/>
                <w:sz w:val="21"/>
              </w:rPr>
            </w:pPr>
          </w:p>
        </w:tc>
        <w:tc>
          <w:tcPr>
            <w:tcW w:w="220" w:type="dxa"/>
            <w:vAlign w:val="top"/>
          </w:tcPr>
          <w:p w14:paraId="6B478D6D">
            <w:pPr>
              <w:rPr>
                <w:rFonts w:ascii="Arial"/>
                <w:sz w:val="21"/>
              </w:rPr>
            </w:pPr>
          </w:p>
        </w:tc>
        <w:tc>
          <w:tcPr>
            <w:tcW w:w="229" w:type="dxa"/>
            <w:vAlign w:val="top"/>
          </w:tcPr>
          <w:p w14:paraId="23E632A0">
            <w:pPr>
              <w:rPr>
                <w:rFonts w:ascii="Arial"/>
                <w:sz w:val="21"/>
              </w:rPr>
            </w:pPr>
          </w:p>
        </w:tc>
        <w:tc>
          <w:tcPr>
            <w:tcW w:w="224" w:type="dxa"/>
            <w:vAlign w:val="top"/>
          </w:tcPr>
          <w:p w14:paraId="5CBA63FD">
            <w:pPr>
              <w:rPr>
                <w:rFonts w:ascii="Arial"/>
                <w:sz w:val="21"/>
              </w:rPr>
            </w:pPr>
          </w:p>
        </w:tc>
      </w:tr>
      <w:tr w14:paraId="5BD5ED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continue"/>
            <w:tcBorders>
              <w:top w:val="nil"/>
              <w:bottom w:val="nil"/>
            </w:tcBorders>
            <w:vAlign w:val="top"/>
          </w:tcPr>
          <w:p w14:paraId="42935173">
            <w:pPr>
              <w:rPr>
                <w:rFonts w:ascii="Arial"/>
                <w:sz w:val="21"/>
              </w:rPr>
            </w:pPr>
          </w:p>
        </w:tc>
        <w:tc>
          <w:tcPr>
            <w:tcW w:w="2314" w:type="dxa"/>
            <w:vAlign w:val="top"/>
          </w:tcPr>
          <w:p w14:paraId="65DC8B02">
            <w:pPr>
              <w:pStyle w:val="6"/>
              <w:spacing w:before="51" w:line="214" w:lineRule="auto"/>
              <w:ind w:left="31"/>
            </w:pPr>
            <w:r>
              <w:rPr>
                <w:spacing w:val="1"/>
              </w:rPr>
              <w:t>2.有效数字的修约规则</w:t>
            </w:r>
          </w:p>
        </w:tc>
        <w:tc>
          <w:tcPr>
            <w:tcW w:w="229" w:type="dxa"/>
            <w:vAlign w:val="top"/>
          </w:tcPr>
          <w:p w14:paraId="388D2B87">
            <w:pPr>
              <w:rPr>
                <w:rFonts w:ascii="Arial"/>
                <w:sz w:val="21"/>
              </w:rPr>
            </w:pPr>
          </w:p>
        </w:tc>
        <w:tc>
          <w:tcPr>
            <w:tcW w:w="220" w:type="dxa"/>
            <w:vAlign w:val="top"/>
          </w:tcPr>
          <w:p w14:paraId="02910478">
            <w:pPr>
              <w:rPr>
                <w:rFonts w:ascii="Arial"/>
                <w:sz w:val="21"/>
              </w:rPr>
            </w:pPr>
          </w:p>
        </w:tc>
        <w:tc>
          <w:tcPr>
            <w:tcW w:w="229" w:type="dxa"/>
            <w:vAlign w:val="top"/>
          </w:tcPr>
          <w:p w14:paraId="13AEF46B">
            <w:pPr>
              <w:rPr>
                <w:rFonts w:ascii="Arial"/>
                <w:sz w:val="21"/>
              </w:rPr>
            </w:pPr>
          </w:p>
        </w:tc>
        <w:tc>
          <w:tcPr>
            <w:tcW w:w="224" w:type="dxa"/>
            <w:vAlign w:val="top"/>
          </w:tcPr>
          <w:p w14:paraId="069B15A4">
            <w:pPr>
              <w:rPr>
                <w:rFonts w:ascii="Arial"/>
                <w:sz w:val="21"/>
              </w:rPr>
            </w:pPr>
          </w:p>
        </w:tc>
      </w:tr>
      <w:tr w14:paraId="0B8465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9" w:hRule="atLeast"/>
        </w:trPr>
        <w:tc>
          <w:tcPr>
            <w:tcW w:w="893" w:type="dxa"/>
            <w:vMerge w:val="continue"/>
            <w:tcBorders>
              <w:top w:val="nil"/>
            </w:tcBorders>
            <w:vAlign w:val="top"/>
          </w:tcPr>
          <w:p w14:paraId="622F9185">
            <w:pPr>
              <w:rPr>
                <w:rFonts w:ascii="Arial"/>
                <w:sz w:val="21"/>
              </w:rPr>
            </w:pPr>
          </w:p>
        </w:tc>
        <w:tc>
          <w:tcPr>
            <w:tcW w:w="2314" w:type="dxa"/>
            <w:vAlign w:val="top"/>
          </w:tcPr>
          <w:p w14:paraId="7D2D4802">
            <w:pPr>
              <w:pStyle w:val="6"/>
              <w:spacing w:before="42" w:line="213" w:lineRule="auto"/>
              <w:ind w:left="31"/>
            </w:pPr>
            <w:r>
              <w:rPr>
                <w:spacing w:val="1"/>
              </w:rPr>
              <w:t>3.有效数字运算规则</w:t>
            </w:r>
          </w:p>
        </w:tc>
        <w:tc>
          <w:tcPr>
            <w:tcW w:w="229" w:type="dxa"/>
            <w:vAlign w:val="top"/>
          </w:tcPr>
          <w:p w14:paraId="5C5B6211">
            <w:pPr>
              <w:spacing w:line="239" w:lineRule="exact"/>
              <w:rPr>
                <w:rFonts w:ascii="Arial"/>
                <w:sz w:val="20"/>
              </w:rPr>
            </w:pPr>
          </w:p>
        </w:tc>
        <w:tc>
          <w:tcPr>
            <w:tcW w:w="220" w:type="dxa"/>
            <w:vAlign w:val="top"/>
          </w:tcPr>
          <w:p w14:paraId="1F640F33">
            <w:pPr>
              <w:spacing w:line="239" w:lineRule="exact"/>
              <w:rPr>
                <w:rFonts w:ascii="Arial"/>
                <w:sz w:val="20"/>
              </w:rPr>
            </w:pPr>
          </w:p>
        </w:tc>
        <w:tc>
          <w:tcPr>
            <w:tcW w:w="229" w:type="dxa"/>
            <w:vAlign w:val="top"/>
          </w:tcPr>
          <w:p w14:paraId="66F5218E">
            <w:pPr>
              <w:spacing w:line="239" w:lineRule="exact"/>
              <w:rPr>
                <w:rFonts w:ascii="Arial"/>
                <w:sz w:val="20"/>
              </w:rPr>
            </w:pPr>
          </w:p>
        </w:tc>
        <w:tc>
          <w:tcPr>
            <w:tcW w:w="224" w:type="dxa"/>
            <w:vAlign w:val="top"/>
          </w:tcPr>
          <w:p w14:paraId="49EB3DD0">
            <w:pPr>
              <w:spacing w:line="239" w:lineRule="exact"/>
              <w:rPr>
                <w:rFonts w:ascii="Arial"/>
                <w:sz w:val="20"/>
              </w:rPr>
            </w:pPr>
          </w:p>
        </w:tc>
      </w:tr>
      <w:tr w14:paraId="66F775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 w:hRule="atLeast"/>
        </w:trPr>
        <w:tc>
          <w:tcPr>
            <w:tcW w:w="893" w:type="dxa"/>
            <w:vMerge w:val="restart"/>
            <w:tcBorders>
              <w:bottom w:val="nil"/>
            </w:tcBorders>
            <w:vAlign w:val="top"/>
          </w:tcPr>
          <w:p w14:paraId="7AC10282">
            <w:pPr>
              <w:spacing w:line="277" w:lineRule="auto"/>
              <w:rPr>
                <w:rFonts w:ascii="Arial"/>
                <w:sz w:val="21"/>
              </w:rPr>
            </w:pPr>
          </w:p>
          <w:p w14:paraId="774A545E">
            <w:pPr>
              <w:pStyle w:val="6"/>
              <w:spacing w:before="55" w:line="250" w:lineRule="auto"/>
              <w:ind w:left="94" w:right="114"/>
            </w:pPr>
            <w:r>
              <w:rPr>
                <w:spacing w:val="-2"/>
              </w:rPr>
              <w:t>滴定分析</w:t>
            </w:r>
            <w:r>
              <w:t xml:space="preserve"> </w:t>
            </w:r>
            <w:r>
              <w:rPr>
                <w:spacing w:val="-2"/>
              </w:rPr>
              <w:t>基础知识</w:t>
            </w:r>
          </w:p>
        </w:tc>
        <w:tc>
          <w:tcPr>
            <w:tcW w:w="2314" w:type="dxa"/>
            <w:vAlign w:val="top"/>
          </w:tcPr>
          <w:p w14:paraId="583620F3">
            <w:pPr>
              <w:pStyle w:val="6"/>
              <w:spacing w:before="52" w:line="214" w:lineRule="auto"/>
              <w:ind w:left="31"/>
            </w:pPr>
            <w:r>
              <w:t>1.滴定分析基本术语</w:t>
            </w:r>
          </w:p>
        </w:tc>
        <w:tc>
          <w:tcPr>
            <w:tcW w:w="229" w:type="dxa"/>
            <w:vAlign w:val="top"/>
          </w:tcPr>
          <w:p w14:paraId="7606D7D1">
            <w:pPr>
              <w:rPr>
                <w:rFonts w:ascii="Arial"/>
                <w:sz w:val="21"/>
              </w:rPr>
            </w:pPr>
          </w:p>
        </w:tc>
        <w:tc>
          <w:tcPr>
            <w:tcW w:w="220" w:type="dxa"/>
            <w:vAlign w:val="top"/>
          </w:tcPr>
          <w:p w14:paraId="2AC44875">
            <w:pPr>
              <w:rPr>
                <w:rFonts w:ascii="Arial"/>
                <w:sz w:val="21"/>
              </w:rPr>
            </w:pPr>
          </w:p>
        </w:tc>
        <w:tc>
          <w:tcPr>
            <w:tcW w:w="229" w:type="dxa"/>
            <w:vAlign w:val="top"/>
          </w:tcPr>
          <w:p w14:paraId="6AB808E6">
            <w:pPr>
              <w:rPr>
                <w:rFonts w:ascii="Arial"/>
                <w:sz w:val="21"/>
              </w:rPr>
            </w:pPr>
          </w:p>
        </w:tc>
        <w:tc>
          <w:tcPr>
            <w:tcW w:w="224" w:type="dxa"/>
            <w:vAlign w:val="top"/>
          </w:tcPr>
          <w:p w14:paraId="2510D077">
            <w:pPr>
              <w:rPr>
                <w:rFonts w:ascii="Arial"/>
                <w:sz w:val="21"/>
              </w:rPr>
            </w:pPr>
          </w:p>
        </w:tc>
      </w:tr>
      <w:tr w14:paraId="2D17A6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continue"/>
            <w:tcBorders>
              <w:top w:val="nil"/>
              <w:bottom w:val="nil"/>
            </w:tcBorders>
            <w:vAlign w:val="top"/>
          </w:tcPr>
          <w:p w14:paraId="7920C4C5">
            <w:pPr>
              <w:rPr>
                <w:rFonts w:ascii="Arial"/>
                <w:sz w:val="21"/>
              </w:rPr>
            </w:pPr>
          </w:p>
        </w:tc>
        <w:tc>
          <w:tcPr>
            <w:tcW w:w="2314" w:type="dxa"/>
            <w:vAlign w:val="top"/>
          </w:tcPr>
          <w:p w14:paraId="07AF6B1F">
            <w:pPr>
              <w:pStyle w:val="6"/>
              <w:spacing w:before="53" w:line="212" w:lineRule="auto"/>
              <w:ind w:left="31"/>
            </w:pPr>
            <w:r>
              <w:rPr>
                <w:spacing w:val="-1"/>
              </w:rPr>
              <w:t>2.滴定分析法分类</w:t>
            </w:r>
          </w:p>
        </w:tc>
        <w:tc>
          <w:tcPr>
            <w:tcW w:w="229" w:type="dxa"/>
            <w:vAlign w:val="top"/>
          </w:tcPr>
          <w:p w14:paraId="692B06F1">
            <w:pPr>
              <w:rPr>
                <w:rFonts w:ascii="Arial"/>
                <w:sz w:val="21"/>
              </w:rPr>
            </w:pPr>
          </w:p>
        </w:tc>
        <w:tc>
          <w:tcPr>
            <w:tcW w:w="220" w:type="dxa"/>
            <w:vAlign w:val="top"/>
          </w:tcPr>
          <w:p w14:paraId="1CC357A6">
            <w:pPr>
              <w:rPr>
                <w:rFonts w:ascii="Arial"/>
                <w:sz w:val="21"/>
              </w:rPr>
            </w:pPr>
          </w:p>
        </w:tc>
        <w:tc>
          <w:tcPr>
            <w:tcW w:w="229" w:type="dxa"/>
            <w:vAlign w:val="top"/>
          </w:tcPr>
          <w:p w14:paraId="5623B6EB">
            <w:pPr>
              <w:rPr>
                <w:rFonts w:ascii="Arial"/>
                <w:sz w:val="21"/>
              </w:rPr>
            </w:pPr>
          </w:p>
        </w:tc>
        <w:tc>
          <w:tcPr>
            <w:tcW w:w="224" w:type="dxa"/>
            <w:vAlign w:val="top"/>
          </w:tcPr>
          <w:p w14:paraId="4F77F3F5">
            <w:pPr>
              <w:rPr>
                <w:rFonts w:ascii="Arial"/>
                <w:sz w:val="21"/>
              </w:rPr>
            </w:pPr>
          </w:p>
        </w:tc>
      </w:tr>
      <w:tr w14:paraId="6A1355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continue"/>
            <w:tcBorders>
              <w:top w:val="nil"/>
              <w:bottom w:val="nil"/>
            </w:tcBorders>
            <w:vAlign w:val="top"/>
          </w:tcPr>
          <w:p w14:paraId="3895E8C7">
            <w:pPr>
              <w:rPr>
                <w:rFonts w:ascii="Arial"/>
                <w:sz w:val="21"/>
              </w:rPr>
            </w:pPr>
          </w:p>
        </w:tc>
        <w:tc>
          <w:tcPr>
            <w:tcW w:w="2314" w:type="dxa"/>
            <w:vAlign w:val="top"/>
          </w:tcPr>
          <w:p w14:paraId="4C69A346">
            <w:pPr>
              <w:pStyle w:val="6"/>
              <w:spacing w:before="55" w:line="210" w:lineRule="auto"/>
              <w:ind w:left="31"/>
            </w:pPr>
            <w:r>
              <w:rPr>
                <w:spacing w:val="-2"/>
              </w:rPr>
              <w:t>3.滴定方式</w:t>
            </w:r>
          </w:p>
        </w:tc>
        <w:tc>
          <w:tcPr>
            <w:tcW w:w="229" w:type="dxa"/>
            <w:vAlign w:val="top"/>
          </w:tcPr>
          <w:p w14:paraId="714DDC83">
            <w:pPr>
              <w:rPr>
                <w:rFonts w:ascii="Arial"/>
                <w:sz w:val="21"/>
              </w:rPr>
            </w:pPr>
          </w:p>
        </w:tc>
        <w:tc>
          <w:tcPr>
            <w:tcW w:w="220" w:type="dxa"/>
            <w:vAlign w:val="top"/>
          </w:tcPr>
          <w:p w14:paraId="7DEDED78">
            <w:pPr>
              <w:rPr>
                <w:rFonts w:ascii="Arial"/>
                <w:sz w:val="21"/>
              </w:rPr>
            </w:pPr>
          </w:p>
        </w:tc>
        <w:tc>
          <w:tcPr>
            <w:tcW w:w="229" w:type="dxa"/>
            <w:vAlign w:val="top"/>
          </w:tcPr>
          <w:p w14:paraId="1F59F157">
            <w:pPr>
              <w:rPr>
                <w:rFonts w:ascii="Arial"/>
                <w:sz w:val="21"/>
              </w:rPr>
            </w:pPr>
          </w:p>
        </w:tc>
        <w:tc>
          <w:tcPr>
            <w:tcW w:w="224" w:type="dxa"/>
            <w:vAlign w:val="top"/>
          </w:tcPr>
          <w:p w14:paraId="403AD663">
            <w:pPr>
              <w:rPr>
                <w:rFonts w:ascii="Arial"/>
                <w:sz w:val="21"/>
              </w:rPr>
            </w:pPr>
          </w:p>
        </w:tc>
      </w:tr>
      <w:tr w14:paraId="755E53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4" w:hRule="atLeast"/>
        </w:trPr>
        <w:tc>
          <w:tcPr>
            <w:tcW w:w="893" w:type="dxa"/>
            <w:vMerge w:val="continue"/>
            <w:tcBorders>
              <w:top w:val="nil"/>
            </w:tcBorders>
            <w:vAlign w:val="top"/>
          </w:tcPr>
          <w:p w14:paraId="4A559667">
            <w:pPr>
              <w:rPr>
                <w:rFonts w:ascii="Arial"/>
                <w:sz w:val="21"/>
              </w:rPr>
            </w:pPr>
          </w:p>
        </w:tc>
        <w:tc>
          <w:tcPr>
            <w:tcW w:w="2314" w:type="dxa"/>
            <w:vAlign w:val="top"/>
          </w:tcPr>
          <w:p w14:paraId="756A2EB7">
            <w:pPr>
              <w:pStyle w:val="6"/>
              <w:spacing w:before="56" w:line="215" w:lineRule="auto"/>
              <w:ind w:left="31"/>
            </w:pPr>
            <w:r>
              <w:rPr>
                <w:spacing w:val="-1"/>
              </w:rPr>
              <w:t>4.标准溶液的配制和标定</w:t>
            </w:r>
          </w:p>
        </w:tc>
        <w:tc>
          <w:tcPr>
            <w:tcW w:w="229" w:type="dxa"/>
            <w:vAlign w:val="top"/>
          </w:tcPr>
          <w:p w14:paraId="1066E32D">
            <w:pPr>
              <w:rPr>
                <w:rFonts w:ascii="Arial"/>
                <w:sz w:val="21"/>
              </w:rPr>
            </w:pPr>
          </w:p>
        </w:tc>
        <w:tc>
          <w:tcPr>
            <w:tcW w:w="220" w:type="dxa"/>
            <w:vAlign w:val="top"/>
          </w:tcPr>
          <w:p w14:paraId="5C3D9EF9">
            <w:pPr>
              <w:rPr>
                <w:rFonts w:ascii="Arial"/>
                <w:sz w:val="21"/>
              </w:rPr>
            </w:pPr>
          </w:p>
        </w:tc>
        <w:tc>
          <w:tcPr>
            <w:tcW w:w="229" w:type="dxa"/>
            <w:vAlign w:val="top"/>
          </w:tcPr>
          <w:p w14:paraId="10E475ED">
            <w:pPr>
              <w:pStyle w:val="6"/>
              <w:spacing w:before="85" w:line="238" w:lineRule="auto"/>
              <w:ind w:left="49"/>
              <w:rPr>
                <w:sz w:val="12"/>
                <w:szCs w:val="12"/>
              </w:rPr>
            </w:pPr>
            <w:r>
              <w:rPr>
                <w:sz w:val="12"/>
                <w:szCs w:val="12"/>
              </w:rPr>
              <w:t>√</w:t>
            </w:r>
          </w:p>
        </w:tc>
        <w:tc>
          <w:tcPr>
            <w:tcW w:w="224" w:type="dxa"/>
            <w:vAlign w:val="top"/>
          </w:tcPr>
          <w:p w14:paraId="5461C5CC">
            <w:pPr>
              <w:rPr>
                <w:rFonts w:ascii="Arial"/>
                <w:sz w:val="21"/>
              </w:rPr>
            </w:pPr>
          </w:p>
        </w:tc>
      </w:tr>
    </w:tbl>
    <w:p w14:paraId="4E74ECDA">
      <w:pPr>
        <w:spacing w:before="298" w:line="221" w:lineRule="auto"/>
        <w:ind w:left="1367"/>
        <w:rPr>
          <w:rFonts w:ascii="黑体" w:hAnsi="黑体" w:eastAsia="黑体" w:cs="黑体"/>
          <w:sz w:val="20"/>
          <w:szCs w:val="20"/>
        </w:rPr>
      </w:pPr>
      <w:r>
        <w:rPr>
          <w:rFonts w:ascii="黑体" w:hAnsi="黑体" w:eastAsia="黑体" w:cs="黑体"/>
          <w:b/>
          <w:bCs/>
          <w:spacing w:val="-3"/>
          <w:sz w:val="20"/>
          <w:szCs w:val="20"/>
        </w:rPr>
        <w:t>二、酸碱滴定法</w:t>
      </w:r>
    </w:p>
    <w:p w14:paraId="37ADB79A">
      <w:pPr>
        <w:spacing w:line="92" w:lineRule="exact"/>
      </w:pPr>
    </w:p>
    <w:tbl>
      <w:tblPr>
        <w:tblStyle w:val="5"/>
        <w:tblW w:w="410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14"/>
        <w:gridCol w:w="229"/>
        <w:gridCol w:w="220"/>
        <w:gridCol w:w="229"/>
        <w:gridCol w:w="224"/>
      </w:tblGrid>
      <w:tr w14:paraId="4AE353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4" w:hRule="atLeast"/>
        </w:trPr>
        <w:tc>
          <w:tcPr>
            <w:tcW w:w="893" w:type="dxa"/>
            <w:vMerge w:val="restart"/>
            <w:tcBorders>
              <w:bottom w:val="nil"/>
            </w:tcBorders>
            <w:vAlign w:val="top"/>
          </w:tcPr>
          <w:p w14:paraId="79A84DE3">
            <w:pPr>
              <w:pStyle w:val="6"/>
              <w:spacing w:before="132" w:line="229" w:lineRule="auto"/>
              <w:ind w:left="97" w:right="112" w:firstLine="89"/>
            </w:pPr>
            <w:r>
              <w:rPr>
                <w:b/>
                <w:bCs/>
                <w:spacing w:val="-6"/>
              </w:rPr>
              <w:t>知识与</w:t>
            </w:r>
            <w:r>
              <w:t xml:space="preserve">  </w:t>
            </w:r>
            <w:r>
              <w:rPr>
                <w:b/>
                <w:bCs/>
                <w:spacing w:val="-4"/>
              </w:rPr>
              <w:t>技能要点</w:t>
            </w:r>
          </w:p>
        </w:tc>
        <w:tc>
          <w:tcPr>
            <w:tcW w:w="2314" w:type="dxa"/>
            <w:vMerge w:val="restart"/>
            <w:tcBorders>
              <w:bottom w:val="nil"/>
            </w:tcBorders>
            <w:vAlign w:val="top"/>
          </w:tcPr>
          <w:p w14:paraId="371C0BAB">
            <w:pPr>
              <w:pStyle w:val="6"/>
              <w:spacing w:before="249" w:line="219" w:lineRule="auto"/>
              <w:ind w:left="834"/>
            </w:pPr>
            <w:r>
              <w:rPr>
                <w:b/>
                <w:bCs/>
                <w:spacing w:val="5"/>
              </w:rPr>
              <w:t>考试条目</w:t>
            </w:r>
          </w:p>
        </w:tc>
        <w:tc>
          <w:tcPr>
            <w:tcW w:w="902" w:type="dxa"/>
            <w:gridSpan w:val="4"/>
            <w:vAlign w:val="top"/>
          </w:tcPr>
          <w:p w14:paraId="2845AF44">
            <w:pPr>
              <w:pStyle w:val="6"/>
              <w:spacing w:before="79" w:line="219" w:lineRule="auto"/>
              <w:ind w:left="120"/>
            </w:pPr>
            <w:r>
              <w:rPr>
                <w:b/>
                <w:bCs/>
                <w:spacing w:val="-4"/>
              </w:rPr>
              <w:t>考试水平</w:t>
            </w:r>
          </w:p>
        </w:tc>
      </w:tr>
      <w:tr w14:paraId="062E3A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9" w:hRule="atLeast"/>
        </w:trPr>
        <w:tc>
          <w:tcPr>
            <w:tcW w:w="893" w:type="dxa"/>
            <w:vMerge w:val="continue"/>
            <w:tcBorders>
              <w:top w:val="nil"/>
            </w:tcBorders>
            <w:vAlign w:val="top"/>
          </w:tcPr>
          <w:p w14:paraId="1F817BBB">
            <w:pPr>
              <w:rPr>
                <w:rFonts w:ascii="Arial"/>
                <w:sz w:val="21"/>
              </w:rPr>
            </w:pPr>
          </w:p>
        </w:tc>
        <w:tc>
          <w:tcPr>
            <w:tcW w:w="2314" w:type="dxa"/>
            <w:vMerge w:val="continue"/>
            <w:tcBorders>
              <w:top w:val="nil"/>
            </w:tcBorders>
            <w:vAlign w:val="top"/>
          </w:tcPr>
          <w:p w14:paraId="3E88AADF">
            <w:pPr>
              <w:rPr>
                <w:rFonts w:ascii="Arial"/>
                <w:sz w:val="21"/>
              </w:rPr>
            </w:pPr>
          </w:p>
        </w:tc>
        <w:tc>
          <w:tcPr>
            <w:tcW w:w="229" w:type="dxa"/>
            <w:vAlign w:val="top"/>
          </w:tcPr>
          <w:p w14:paraId="6D951CAB">
            <w:pPr>
              <w:pStyle w:val="6"/>
              <w:spacing w:before="120" w:line="184" w:lineRule="auto"/>
              <w:ind w:left="67"/>
            </w:pPr>
            <w:r>
              <w:t>A</w:t>
            </w:r>
          </w:p>
        </w:tc>
        <w:tc>
          <w:tcPr>
            <w:tcW w:w="220" w:type="dxa"/>
            <w:vAlign w:val="top"/>
          </w:tcPr>
          <w:p w14:paraId="1C87F5A9">
            <w:pPr>
              <w:pStyle w:val="6"/>
              <w:spacing w:before="122" w:line="182" w:lineRule="auto"/>
              <w:ind w:left="61"/>
            </w:pPr>
            <w:r>
              <w:rPr>
                <w:b/>
                <w:bCs/>
                <w:spacing w:val="-2"/>
              </w:rPr>
              <w:t>B</w:t>
            </w:r>
          </w:p>
        </w:tc>
        <w:tc>
          <w:tcPr>
            <w:tcW w:w="229" w:type="dxa"/>
            <w:vAlign w:val="top"/>
          </w:tcPr>
          <w:p w14:paraId="51C226FC">
            <w:pPr>
              <w:pStyle w:val="6"/>
              <w:spacing w:before="116" w:line="183" w:lineRule="auto"/>
              <w:ind w:left="61"/>
              <w:rPr>
                <w:sz w:val="19"/>
                <w:szCs w:val="19"/>
              </w:rPr>
            </w:pPr>
            <w:r>
              <w:rPr>
                <w:b/>
                <w:bCs/>
                <w:spacing w:val="-2"/>
                <w:sz w:val="19"/>
                <w:szCs w:val="19"/>
              </w:rPr>
              <w:t>C</w:t>
            </w:r>
          </w:p>
        </w:tc>
        <w:tc>
          <w:tcPr>
            <w:tcW w:w="224" w:type="dxa"/>
            <w:vAlign w:val="top"/>
          </w:tcPr>
          <w:p w14:paraId="6104397E">
            <w:pPr>
              <w:pStyle w:val="6"/>
              <w:spacing w:before="122" w:line="182" w:lineRule="auto"/>
              <w:ind w:left="22"/>
            </w:pPr>
            <w:r>
              <w:rPr>
                <w:b/>
                <w:bCs/>
                <w:spacing w:val="-2"/>
              </w:rPr>
              <w:t>D</w:t>
            </w:r>
          </w:p>
        </w:tc>
      </w:tr>
      <w:tr w14:paraId="111649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restart"/>
            <w:tcBorders>
              <w:bottom w:val="nil"/>
            </w:tcBorders>
            <w:vAlign w:val="top"/>
          </w:tcPr>
          <w:p w14:paraId="20061DFF">
            <w:pPr>
              <w:pStyle w:val="6"/>
              <w:spacing w:before="90"/>
              <w:ind w:left="184" w:right="196" w:firstLine="80"/>
            </w:pPr>
            <w:r>
              <w:rPr>
                <w:spacing w:val="-4"/>
              </w:rPr>
              <w:t>酸碱</w:t>
            </w:r>
            <w:r>
              <w:t xml:space="preserve">  </w:t>
            </w:r>
            <w:r>
              <w:rPr>
                <w:spacing w:val="-3"/>
              </w:rPr>
              <w:t>滴定法</w:t>
            </w:r>
            <w:r>
              <w:t xml:space="preserve"> </w:t>
            </w:r>
            <w:r>
              <w:rPr>
                <w:spacing w:val="36"/>
              </w:rPr>
              <w:t>概述</w:t>
            </w:r>
          </w:p>
        </w:tc>
        <w:tc>
          <w:tcPr>
            <w:tcW w:w="2314" w:type="dxa"/>
            <w:vAlign w:val="top"/>
          </w:tcPr>
          <w:p w14:paraId="0343EC62">
            <w:pPr>
              <w:pStyle w:val="6"/>
              <w:spacing w:before="49" w:line="217" w:lineRule="auto"/>
              <w:ind w:left="31"/>
            </w:pPr>
            <w:r>
              <w:t>1.酸碱浓度的概念</w:t>
            </w:r>
          </w:p>
        </w:tc>
        <w:tc>
          <w:tcPr>
            <w:tcW w:w="229" w:type="dxa"/>
            <w:vAlign w:val="top"/>
          </w:tcPr>
          <w:p w14:paraId="2CF8EA79">
            <w:pPr>
              <w:pStyle w:val="6"/>
              <w:spacing w:before="80" w:line="238" w:lineRule="auto"/>
              <w:ind w:left="48"/>
              <w:rPr>
                <w:sz w:val="13"/>
                <w:szCs w:val="13"/>
              </w:rPr>
            </w:pPr>
            <w:r>
              <w:rPr>
                <w:sz w:val="13"/>
                <w:szCs w:val="13"/>
              </w:rPr>
              <w:t>√</w:t>
            </w:r>
          </w:p>
        </w:tc>
        <w:tc>
          <w:tcPr>
            <w:tcW w:w="220" w:type="dxa"/>
            <w:vAlign w:val="top"/>
          </w:tcPr>
          <w:p w14:paraId="063EF204">
            <w:pPr>
              <w:rPr>
                <w:rFonts w:ascii="Arial"/>
                <w:sz w:val="21"/>
              </w:rPr>
            </w:pPr>
          </w:p>
        </w:tc>
        <w:tc>
          <w:tcPr>
            <w:tcW w:w="229" w:type="dxa"/>
            <w:vAlign w:val="top"/>
          </w:tcPr>
          <w:p w14:paraId="43CD7923">
            <w:pPr>
              <w:rPr>
                <w:rFonts w:ascii="Arial"/>
                <w:sz w:val="21"/>
              </w:rPr>
            </w:pPr>
          </w:p>
        </w:tc>
        <w:tc>
          <w:tcPr>
            <w:tcW w:w="224" w:type="dxa"/>
            <w:vAlign w:val="top"/>
          </w:tcPr>
          <w:p w14:paraId="5CFA12C2">
            <w:pPr>
              <w:rPr>
                <w:rFonts w:ascii="Arial"/>
                <w:sz w:val="21"/>
              </w:rPr>
            </w:pPr>
          </w:p>
        </w:tc>
      </w:tr>
      <w:tr w14:paraId="2D5D7F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continue"/>
            <w:tcBorders>
              <w:top w:val="nil"/>
              <w:bottom w:val="nil"/>
            </w:tcBorders>
            <w:vAlign w:val="top"/>
          </w:tcPr>
          <w:p w14:paraId="24DBC506">
            <w:pPr>
              <w:rPr>
                <w:rFonts w:ascii="Arial"/>
                <w:sz w:val="21"/>
              </w:rPr>
            </w:pPr>
          </w:p>
        </w:tc>
        <w:tc>
          <w:tcPr>
            <w:tcW w:w="2314" w:type="dxa"/>
            <w:vAlign w:val="top"/>
          </w:tcPr>
          <w:p w14:paraId="1A1F69FE">
            <w:pPr>
              <w:pStyle w:val="6"/>
              <w:spacing w:before="45" w:line="214" w:lineRule="auto"/>
              <w:ind w:left="31"/>
            </w:pPr>
            <w:r>
              <w:rPr>
                <w:spacing w:val="-1"/>
              </w:rPr>
              <w:t>2.pH的简单计算</w:t>
            </w:r>
          </w:p>
        </w:tc>
        <w:tc>
          <w:tcPr>
            <w:tcW w:w="229" w:type="dxa"/>
            <w:vAlign w:val="top"/>
          </w:tcPr>
          <w:p w14:paraId="24EAB1E8">
            <w:pPr>
              <w:rPr>
                <w:rFonts w:ascii="Arial"/>
                <w:sz w:val="21"/>
              </w:rPr>
            </w:pPr>
          </w:p>
        </w:tc>
        <w:tc>
          <w:tcPr>
            <w:tcW w:w="220" w:type="dxa"/>
            <w:vAlign w:val="top"/>
          </w:tcPr>
          <w:p w14:paraId="1E246917">
            <w:pPr>
              <w:rPr>
                <w:rFonts w:ascii="Arial"/>
                <w:sz w:val="21"/>
              </w:rPr>
            </w:pPr>
          </w:p>
        </w:tc>
        <w:tc>
          <w:tcPr>
            <w:tcW w:w="229" w:type="dxa"/>
            <w:vAlign w:val="top"/>
          </w:tcPr>
          <w:p w14:paraId="3C8F956A">
            <w:pPr>
              <w:pStyle w:val="6"/>
              <w:spacing w:before="81" w:line="238" w:lineRule="auto"/>
              <w:ind w:left="49"/>
              <w:rPr>
                <w:sz w:val="13"/>
                <w:szCs w:val="13"/>
              </w:rPr>
            </w:pPr>
            <w:r>
              <w:rPr>
                <w:sz w:val="13"/>
                <w:szCs w:val="13"/>
              </w:rPr>
              <w:t>√</w:t>
            </w:r>
          </w:p>
        </w:tc>
        <w:tc>
          <w:tcPr>
            <w:tcW w:w="224" w:type="dxa"/>
            <w:vAlign w:val="top"/>
          </w:tcPr>
          <w:p w14:paraId="7BC2B49A">
            <w:pPr>
              <w:rPr>
                <w:rFonts w:ascii="Arial"/>
                <w:sz w:val="21"/>
              </w:rPr>
            </w:pPr>
          </w:p>
        </w:tc>
      </w:tr>
      <w:tr w14:paraId="052990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 w:hRule="atLeast"/>
        </w:trPr>
        <w:tc>
          <w:tcPr>
            <w:tcW w:w="893" w:type="dxa"/>
            <w:vMerge w:val="continue"/>
            <w:tcBorders>
              <w:top w:val="nil"/>
            </w:tcBorders>
            <w:vAlign w:val="top"/>
          </w:tcPr>
          <w:p w14:paraId="2C2D5FF3">
            <w:pPr>
              <w:rPr>
                <w:rFonts w:ascii="Arial"/>
                <w:sz w:val="21"/>
              </w:rPr>
            </w:pPr>
          </w:p>
        </w:tc>
        <w:tc>
          <w:tcPr>
            <w:tcW w:w="2314" w:type="dxa"/>
            <w:vAlign w:val="top"/>
          </w:tcPr>
          <w:p w14:paraId="5FE6E0C3">
            <w:pPr>
              <w:pStyle w:val="6"/>
              <w:spacing w:before="51" w:line="216" w:lineRule="auto"/>
              <w:ind w:left="31"/>
            </w:pPr>
            <w:r>
              <w:rPr>
                <w:spacing w:val="-2"/>
              </w:rPr>
              <w:t>3.酸碱缓冲溶液</w:t>
            </w:r>
          </w:p>
        </w:tc>
        <w:tc>
          <w:tcPr>
            <w:tcW w:w="229" w:type="dxa"/>
            <w:vAlign w:val="top"/>
          </w:tcPr>
          <w:p w14:paraId="5025EA02">
            <w:pPr>
              <w:pStyle w:val="6"/>
              <w:spacing w:before="82" w:line="238" w:lineRule="auto"/>
              <w:ind w:left="48"/>
              <w:rPr>
                <w:sz w:val="13"/>
                <w:szCs w:val="13"/>
              </w:rPr>
            </w:pPr>
            <w:r>
              <w:rPr>
                <w:sz w:val="13"/>
                <w:szCs w:val="13"/>
              </w:rPr>
              <w:t>√</w:t>
            </w:r>
          </w:p>
        </w:tc>
        <w:tc>
          <w:tcPr>
            <w:tcW w:w="220" w:type="dxa"/>
            <w:vAlign w:val="top"/>
          </w:tcPr>
          <w:p w14:paraId="457979EF">
            <w:pPr>
              <w:rPr>
                <w:rFonts w:ascii="Arial"/>
                <w:sz w:val="21"/>
              </w:rPr>
            </w:pPr>
          </w:p>
        </w:tc>
        <w:tc>
          <w:tcPr>
            <w:tcW w:w="229" w:type="dxa"/>
            <w:vAlign w:val="top"/>
          </w:tcPr>
          <w:p w14:paraId="7779C14E">
            <w:pPr>
              <w:rPr>
                <w:rFonts w:ascii="Arial"/>
                <w:sz w:val="21"/>
              </w:rPr>
            </w:pPr>
          </w:p>
        </w:tc>
        <w:tc>
          <w:tcPr>
            <w:tcW w:w="224" w:type="dxa"/>
            <w:vAlign w:val="top"/>
          </w:tcPr>
          <w:p w14:paraId="639EF5BA">
            <w:pPr>
              <w:rPr>
                <w:rFonts w:ascii="Arial"/>
                <w:sz w:val="21"/>
              </w:rPr>
            </w:pPr>
          </w:p>
        </w:tc>
      </w:tr>
      <w:tr w14:paraId="50CAFA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restart"/>
            <w:tcBorders>
              <w:bottom w:val="nil"/>
            </w:tcBorders>
            <w:vAlign w:val="top"/>
          </w:tcPr>
          <w:p w14:paraId="3BA37E61">
            <w:pPr>
              <w:pStyle w:val="6"/>
              <w:spacing w:before="212" w:line="234" w:lineRule="auto"/>
              <w:ind w:left="184" w:right="196" w:firstLine="80"/>
            </w:pPr>
            <w:r>
              <w:rPr>
                <w:spacing w:val="-4"/>
              </w:rPr>
              <w:t>酸碱</w:t>
            </w:r>
            <w:r>
              <w:t xml:space="preserve">  </w:t>
            </w:r>
            <w:r>
              <w:rPr>
                <w:spacing w:val="-3"/>
              </w:rPr>
              <w:t>指示剂</w:t>
            </w:r>
          </w:p>
        </w:tc>
        <w:tc>
          <w:tcPr>
            <w:tcW w:w="2314" w:type="dxa"/>
            <w:vAlign w:val="top"/>
          </w:tcPr>
          <w:p w14:paraId="455F76E7">
            <w:pPr>
              <w:pStyle w:val="6"/>
              <w:spacing w:before="50" w:line="216" w:lineRule="auto"/>
              <w:ind w:left="31"/>
            </w:pPr>
            <w:r>
              <w:t>1.指示剂的作用原理</w:t>
            </w:r>
          </w:p>
        </w:tc>
        <w:tc>
          <w:tcPr>
            <w:tcW w:w="229" w:type="dxa"/>
            <w:vAlign w:val="top"/>
          </w:tcPr>
          <w:p w14:paraId="6EC5E80B">
            <w:pPr>
              <w:rPr>
                <w:rFonts w:ascii="Arial"/>
                <w:sz w:val="21"/>
              </w:rPr>
            </w:pPr>
          </w:p>
        </w:tc>
        <w:tc>
          <w:tcPr>
            <w:tcW w:w="220" w:type="dxa"/>
            <w:vAlign w:val="top"/>
          </w:tcPr>
          <w:p w14:paraId="742B2332">
            <w:pPr>
              <w:pStyle w:val="6"/>
              <w:spacing w:before="96" w:line="166" w:lineRule="auto"/>
              <w:ind w:left="19"/>
            </w:pPr>
            <w:r>
              <w:t>V</w:t>
            </w:r>
          </w:p>
        </w:tc>
        <w:tc>
          <w:tcPr>
            <w:tcW w:w="229" w:type="dxa"/>
            <w:vAlign w:val="top"/>
          </w:tcPr>
          <w:p w14:paraId="4ED39150">
            <w:pPr>
              <w:rPr>
                <w:rFonts w:ascii="Arial"/>
                <w:sz w:val="21"/>
              </w:rPr>
            </w:pPr>
          </w:p>
        </w:tc>
        <w:tc>
          <w:tcPr>
            <w:tcW w:w="224" w:type="dxa"/>
            <w:vAlign w:val="top"/>
          </w:tcPr>
          <w:p w14:paraId="3F0D3F68">
            <w:pPr>
              <w:rPr>
                <w:rFonts w:ascii="Arial"/>
                <w:sz w:val="21"/>
              </w:rPr>
            </w:pPr>
          </w:p>
        </w:tc>
      </w:tr>
      <w:tr w14:paraId="0AE80A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continue"/>
            <w:tcBorders>
              <w:top w:val="nil"/>
              <w:bottom w:val="nil"/>
            </w:tcBorders>
            <w:vAlign w:val="top"/>
          </w:tcPr>
          <w:p w14:paraId="22B34461">
            <w:pPr>
              <w:rPr>
                <w:rFonts w:ascii="Arial"/>
                <w:sz w:val="21"/>
              </w:rPr>
            </w:pPr>
          </w:p>
        </w:tc>
        <w:tc>
          <w:tcPr>
            <w:tcW w:w="2314" w:type="dxa"/>
            <w:vAlign w:val="top"/>
          </w:tcPr>
          <w:p w14:paraId="6C050D54">
            <w:pPr>
              <w:pStyle w:val="6"/>
              <w:spacing w:before="51" w:line="215" w:lineRule="auto"/>
              <w:ind w:left="31"/>
            </w:pPr>
            <w:r>
              <w:rPr>
                <w:spacing w:val="1"/>
              </w:rPr>
              <w:t>2.指示剂的变色范围</w:t>
            </w:r>
          </w:p>
        </w:tc>
        <w:tc>
          <w:tcPr>
            <w:tcW w:w="229" w:type="dxa"/>
            <w:vAlign w:val="top"/>
          </w:tcPr>
          <w:p w14:paraId="4FD98F95">
            <w:pPr>
              <w:rPr>
                <w:rFonts w:ascii="Arial"/>
                <w:sz w:val="21"/>
              </w:rPr>
            </w:pPr>
          </w:p>
        </w:tc>
        <w:tc>
          <w:tcPr>
            <w:tcW w:w="220" w:type="dxa"/>
            <w:vAlign w:val="top"/>
          </w:tcPr>
          <w:p w14:paraId="66917DB0">
            <w:pPr>
              <w:pStyle w:val="6"/>
              <w:spacing w:before="97" w:line="165" w:lineRule="auto"/>
              <w:ind w:left="58"/>
            </w:pPr>
            <w:r>
              <w:t>V</w:t>
            </w:r>
          </w:p>
        </w:tc>
        <w:tc>
          <w:tcPr>
            <w:tcW w:w="229" w:type="dxa"/>
            <w:vAlign w:val="top"/>
          </w:tcPr>
          <w:p w14:paraId="0B46453C">
            <w:pPr>
              <w:rPr>
                <w:rFonts w:ascii="Arial"/>
                <w:sz w:val="21"/>
              </w:rPr>
            </w:pPr>
          </w:p>
        </w:tc>
        <w:tc>
          <w:tcPr>
            <w:tcW w:w="224" w:type="dxa"/>
            <w:vAlign w:val="top"/>
          </w:tcPr>
          <w:p w14:paraId="7ED1C0A4">
            <w:pPr>
              <w:rPr>
                <w:rFonts w:ascii="Arial"/>
                <w:sz w:val="21"/>
              </w:rPr>
            </w:pPr>
          </w:p>
        </w:tc>
      </w:tr>
      <w:tr w14:paraId="4A12D3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 w:hRule="atLeast"/>
        </w:trPr>
        <w:tc>
          <w:tcPr>
            <w:tcW w:w="893" w:type="dxa"/>
            <w:vMerge w:val="continue"/>
            <w:tcBorders>
              <w:top w:val="nil"/>
            </w:tcBorders>
            <w:vAlign w:val="top"/>
          </w:tcPr>
          <w:p w14:paraId="5D6BDDE8">
            <w:pPr>
              <w:rPr>
                <w:rFonts w:ascii="Arial"/>
                <w:sz w:val="21"/>
              </w:rPr>
            </w:pPr>
          </w:p>
        </w:tc>
        <w:tc>
          <w:tcPr>
            <w:tcW w:w="2314" w:type="dxa"/>
            <w:vAlign w:val="top"/>
          </w:tcPr>
          <w:p w14:paraId="28F7F68D">
            <w:pPr>
              <w:pStyle w:val="6"/>
              <w:spacing w:before="52" w:line="215" w:lineRule="auto"/>
              <w:ind w:left="21"/>
            </w:pPr>
            <w:r>
              <w:rPr>
                <w:spacing w:val="-1"/>
              </w:rPr>
              <w:t>3.影响指示剂变色范围的因素</w:t>
            </w:r>
          </w:p>
        </w:tc>
        <w:tc>
          <w:tcPr>
            <w:tcW w:w="229" w:type="dxa"/>
            <w:vAlign w:val="top"/>
          </w:tcPr>
          <w:p w14:paraId="2BA777DD">
            <w:pPr>
              <w:rPr>
                <w:rFonts w:ascii="Arial"/>
                <w:sz w:val="21"/>
              </w:rPr>
            </w:pPr>
          </w:p>
        </w:tc>
        <w:tc>
          <w:tcPr>
            <w:tcW w:w="220" w:type="dxa"/>
            <w:vAlign w:val="top"/>
          </w:tcPr>
          <w:p w14:paraId="2B2FA680">
            <w:pPr>
              <w:pStyle w:val="6"/>
              <w:spacing w:before="98" w:line="165" w:lineRule="auto"/>
              <w:ind w:left="19"/>
            </w:pPr>
            <w:r>
              <w:t>V</w:t>
            </w:r>
          </w:p>
        </w:tc>
        <w:tc>
          <w:tcPr>
            <w:tcW w:w="229" w:type="dxa"/>
            <w:vAlign w:val="top"/>
          </w:tcPr>
          <w:p w14:paraId="49BB6850">
            <w:pPr>
              <w:rPr>
                <w:rFonts w:ascii="Arial"/>
                <w:sz w:val="21"/>
              </w:rPr>
            </w:pPr>
          </w:p>
        </w:tc>
        <w:tc>
          <w:tcPr>
            <w:tcW w:w="224" w:type="dxa"/>
            <w:vAlign w:val="top"/>
          </w:tcPr>
          <w:p w14:paraId="0E4C2B23">
            <w:pPr>
              <w:rPr>
                <w:rFonts w:ascii="Arial"/>
                <w:sz w:val="21"/>
              </w:rPr>
            </w:pPr>
          </w:p>
        </w:tc>
      </w:tr>
      <w:tr w14:paraId="5605C6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9" w:hRule="atLeast"/>
        </w:trPr>
        <w:tc>
          <w:tcPr>
            <w:tcW w:w="893" w:type="dxa"/>
            <w:vMerge w:val="restart"/>
            <w:tcBorders>
              <w:bottom w:val="nil"/>
            </w:tcBorders>
            <w:vAlign w:val="top"/>
          </w:tcPr>
          <w:p w14:paraId="68A3E8DD">
            <w:pPr>
              <w:pStyle w:val="6"/>
              <w:spacing w:before="63" w:line="219" w:lineRule="auto"/>
              <w:ind w:left="94"/>
            </w:pPr>
            <w:r>
              <w:rPr>
                <w:spacing w:val="-2"/>
              </w:rPr>
              <w:t>滴定条件</w:t>
            </w:r>
          </w:p>
          <w:p w14:paraId="0A930C5E">
            <w:pPr>
              <w:pStyle w:val="6"/>
              <w:spacing w:before="48" w:line="211" w:lineRule="auto"/>
              <w:ind w:left="184"/>
            </w:pPr>
            <w:r>
              <w:rPr>
                <w:spacing w:val="2"/>
              </w:rPr>
              <w:t>的选择</w:t>
            </w:r>
          </w:p>
        </w:tc>
        <w:tc>
          <w:tcPr>
            <w:tcW w:w="2314" w:type="dxa"/>
            <w:vAlign w:val="top"/>
          </w:tcPr>
          <w:p w14:paraId="0E810EB1">
            <w:pPr>
              <w:pStyle w:val="6"/>
              <w:spacing w:before="43" w:line="212" w:lineRule="auto"/>
              <w:ind w:left="31"/>
            </w:pPr>
            <w:r>
              <w:rPr>
                <w:spacing w:val="1"/>
              </w:rPr>
              <w:t>1.一元酸碱的滴定</w:t>
            </w:r>
          </w:p>
        </w:tc>
        <w:tc>
          <w:tcPr>
            <w:tcW w:w="229" w:type="dxa"/>
            <w:vAlign w:val="top"/>
          </w:tcPr>
          <w:p w14:paraId="1AA52A69">
            <w:pPr>
              <w:spacing w:line="239" w:lineRule="exact"/>
              <w:rPr>
                <w:rFonts w:ascii="Arial"/>
                <w:sz w:val="20"/>
              </w:rPr>
            </w:pPr>
          </w:p>
        </w:tc>
        <w:tc>
          <w:tcPr>
            <w:tcW w:w="220" w:type="dxa"/>
            <w:vAlign w:val="top"/>
          </w:tcPr>
          <w:p w14:paraId="54A21014">
            <w:pPr>
              <w:pStyle w:val="6"/>
              <w:spacing w:before="59" w:line="195" w:lineRule="auto"/>
              <w:ind w:left="19"/>
            </w:pPr>
            <w:r>
              <w:t>√</w:t>
            </w:r>
          </w:p>
        </w:tc>
        <w:tc>
          <w:tcPr>
            <w:tcW w:w="229" w:type="dxa"/>
            <w:vAlign w:val="top"/>
          </w:tcPr>
          <w:p w14:paraId="5C690F14">
            <w:pPr>
              <w:spacing w:line="239" w:lineRule="exact"/>
              <w:rPr>
                <w:rFonts w:ascii="Arial"/>
                <w:sz w:val="20"/>
              </w:rPr>
            </w:pPr>
          </w:p>
        </w:tc>
        <w:tc>
          <w:tcPr>
            <w:tcW w:w="224" w:type="dxa"/>
            <w:vAlign w:val="top"/>
          </w:tcPr>
          <w:p w14:paraId="12630291">
            <w:pPr>
              <w:spacing w:line="239" w:lineRule="exact"/>
              <w:rPr>
                <w:rFonts w:ascii="Arial"/>
                <w:sz w:val="20"/>
              </w:rPr>
            </w:pPr>
          </w:p>
        </w:tc>
      </w:tr>
      <w:tr w14:paraId="170E95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continue"/>
            <w:tcBorders>
              <w:top w:val="nil"/>
            </w:tcBorders>
            <w:vAlign w:val="top"/>
          </w:tcPr>
          <w:p w14:paraId="14C051D3">
            <w:pPr>
              <w:rPr>
                <w:rFonts w:ascii="Arial"/>
                <w:sz w:val="21"/>
              </w:rPr>
            </w:pPr>
          </w:p>
        </w:tc>
        <w:tc>
          <w:tcPr>
            <w:tcW w:w="2314" w:type="dxa"/>
            <w:vAlign w:val="top"/>
          </w:tcPr>
          <w:p w14:paraId="5685AB09">
            <w:pPr>
              <w:pStyle w:val="6"/>
              <w:spacing w:before="53" w:line="212" w:lineRule="auto"/>
              <w:ind w:left="31"/>
            </w:pPr>
            <w:r>
              <w:rPr>
                <w:spacing w:val="-1"/>
              </w:rPr>
              <w:t>2.酸碱滴定可行性的判断</w:t>
            </w:r>
          </w:p>
        </w:tc>
        <w:tc>
          <w:tcPr>
            <w:tcW w:w="229" w:type="dxa"/>
            <w:vAlign w:val="top"/>
          </w:tcPr>
          <w:p w14:paraId="25FCDB6D">
            <w:pPr>
              <w:rPr>
                <w:rFonts w:ascii="Arial"/>
                <w:sz w:val="21"/>
              </w:rPr>
            </w:pPr>
          </w:p>
        </w:tc>
        <w:tc>
          <w:tcPr>
            <w:tcW w:w="220" w:type="dxa"/>
            <w:vAlign w:val="top"/>
          </w:tcPr>
          <w:p w14:paraId="2D5A0C06">
            <w:pPr>
              <w:rPr>
                <w:rFonts w:ascii="Arial"/>
                <w:sz w:val="21"/>
              </w:rPr>
            </w:pPr>
          </w:p>
        </w:tc>
        <w:tc>
          <w:tcPr>
            <w:tcW w:w="229" w:type="dxa"/>
            <w:vAlign w:val="top"/>
          </w:tcPr>
          <w:p w14:paraId="0C54C322">
            <w:pPr>
              <w:pStyle w:val="6"/>
              <w:spacing w:before="84" w:line="233" w:lineRule="auto"/>
              <w:ind w:left="49"/>
              <w:rPr>
                <w:sz w:val="13"/>
                <w:szCs w:val="13"/>
              </w:rPr>
            </w:pPr>
            <w:r>
              <w:rPr>
                <w:sz w:val="13"/>
                <w:szCs w:val="13"/>
              </w:rPr>
              <w:t>√</w:t>
            </w:r>
          </w:p>
        </w:tc>
        <w:tc>
          <w:tcPr>
            <w:tcW w:w="224" w:type="dxa"/>
            <w:vAlign w:val="top"/>
          </w:tcPr>
          <w:p w14:paraId="020619C1">
            <w:pPr>
              <w:rPr>
                <w:rFonts w:ascii="Arial"/>
                <w:sz w:val="21"/>
              </w:rPr>
            </w:pPr>
          </w:p>
        </w:tc>
      </w:tr>
      <w:tr w14:paraId="761BEB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9" w:hRule="atLeast"/>
        </w:trPr>
        <w:tc>
          <w:tcPr>
            <w:tcW w:w="893" w:type="dxa"/>
            <w:vMerge w:val="restart"/>
            <w:tcBorders>
              <w:bottom w:val="nil"/>
            </w:tcBorders>
            <w:vAlign w:val="top"/>
          </w:tcPr>
          <w:p w14:paraId="66AABC3E">
            <w:pPr>
              <w:pStyle w:val="6"/>
              <w:spacing w:before="95" w:line="220" w:lineRule="auto"/>
              <w:ind w:left="94"/>
            </w:pPr>
            <w:r>
              <w:rPr>
                <w:spacing w:val="-2"/>
              </w:rPr>
              <w:t>酸碱标准</w:t>
            </w:r>
          </w:p>
          <w:p w14:paraId="6B60379E">
            <w:pPr>
              <w:pStyle w:val="6"/>
              <w:spacing w:before="47" w:line="217" w:lineRule="auto"/>
              <w:ind w:left="184"/>
            </w:pPr>
            <w:r>
              <w:rPr>
                <w:spacing w:val="4"/>
              </w:rPr>
              <w:t>溶液的</w:t>
            </w:r>
          </w:p>
          <w:p w14:paraId="2C9CCC45">
            <w:pPr>
              <w:pStyle w:val="6"/>
              <w:spacing w:line="220" w:lineRule="auto"/>
              <w:ind w:left="265"/>
            </w:pPr>
            <w:r>
              <w:rPr>
                <w:spacing w:val="-2"/>
              </w:rPr>
              <w:t>制备</w:t>
            </w:r>
          </w:p>
        </w:tc>
        <w:tc>
          <w:tcPr>
            <w:tcW w:w="2314" w:type="dxa"/>
            <w:vAlign w:val="top"/>
          </w:tcPr>
          <w:p w14:paraId="20DDB28D">
            <w:pPr>
              <w:pStyle w:val="6"/>
              <w:spacing w:before="64" w:line="247" w:lineRule="auto"/>
              <w:ind w:left="31" w:right="37" w:firstLine="10"/>
            </w:pPr>
            <w:r>
              <w:rPr>
                <w:spacing w:val="1"/>
              </w:rPr>
              <w:t>1.氢氧化钠标准溶液的配制和</w:t>
            </w:r>
            <w:r>
              <w:t xml:space="preserve"> </w:t>
            </w:r>
            <w:r>
              <w:rPr>
                <w:spacing w:val="-2"/>
              </w:rPr>
              <w:t>标定</w:t>
            </w:r>
          </w:p>
        </w:tc>
        <w:tc>
          <w:tcPr>
            <w:tcW w:w="229" w:type="dxa"/>
            <w:vAlign w:val="top"/>
          </w:tcPr>
          <w:p w14:paraId="4308A64A">
            <w:pPr>
              <w:rPr>
                <w:rFonts w:ascii="Arial"/>
                <w:sz w:val="21"/>
              </w:rPr>
            </w:pPr>
          </w:p>
        </w:tc>
        <w:tc>
          <w:tcPr>
            <w:tcW w:w="220" w:type="dxa"/>
            <w:vAlign w:val="top"/>
          </w:tcPr>
          <w:p w14:paraId="09C25616">
            <w:pPr>
              <w:rPr>
                <w:rFonts w:ascii="Arial"/>
                <w:sz w:val="21"/>
              </w:rPr>
            </w:pPr>
          </w:p>
        </w:tc>
        <w:tc>
          <w:tcPr>
            <w:tcW w:w="229" w:type="dxa"/>
            <w:vAlign w:val="top"/>
          </w:tcPr>
          <w:p w14:paraId="542BCE28">
            <w:pPr>
              <w:pStyle w:val="6"/>
              <w:spacing w:before="65" w:line="182" w:lineRule="auto"/>
              <w:ind w:left="59"/>
              <w:rPr>
                <w:sz w:val="19"/>
                <w:szCs w:val="19"/>
              </w:rPr>
            </w:pPr>
            <w:r>
              <w:rPr>
                <w:sz w:val="19"/>
                <w:szCs w:val="19"/>
              </w:rPr>
              <w:t>V</w:t>
            </w:r>
          </w:p>
        </w:tc>
        <w:tc>
          <w:tcPr>
            <w:tcW w:w="224" w:type="dxa"/>
            <w:vAlign w:val="top"/>
          </w:tcPr>
          <w:p w14:paraId="56ADCC79">
            <w:pPr>
              <w:rPr>
                <w:rFonts w:ascii="Arial"/>
                <w:sz w:val="21"/>
              </w:rPr>
            </w:pPr>
          </w:p>
        </w:tc>
      </w:tr>
      <w:tr w14:paraId="20A7EA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4" w:hRule="atLeast"/>
        </w:trPr>
        <w:tc>
          <w:tcPr>
            <w:tcW w:w="893" w:type="dxa"/>
            <w:vMerge w:val="continue"/>
            <w:tcBorders>
              <w:top w:val="nil"/>
            </w:tcBorders>
            <w:vAlign w:val="top"/>
          </w:tcPr>
          <w:p w14:paraId="6C63E233">
            <w:pPr>
              <w:rPr>
                <w:rFonts w:ascii="Arial"/>
                <w:sz w:val="21"/>
              </w:rPr>
            </w:pPr>
          </w:p>
        </w:tc>
        <w:tc>
          <w:tcPr>
            <w:tcW w:w="2314" w:type="dxa"/>
            <w:vAlign w:val="top"/>
          </w:tcPr>
          <w:p w14:paraId="688305E6">
            <w:pPr>
              <w:pStyle w:val="6"/>
              <w:spacing w:before="56" w:line="215" w:lineRule="auto"/>
              <w:ind w:left="21"/>
            </w:pPr>
            <w:r>
              <w:rPr>
                <w:spacing w:val="-1"/>
              </w:rPr>
              <w:t>2.盐酸标准溶液的配制和标定</w:t>
            </w:r>
          </w:p>
        </w:tc>
        <w:tc>
          <w:tcPr>
            <w:tcW w:w="229" w:type="dxa"/>
            <w:vAlign w:val="top"/>
          </w:tcPr>
          <w:p w14:paraId="4BD57B5C">
            <w:pPr>
              <w:rPr>
                <w:rFonts w:ascii="Arial"/>
                <w:sz w:val="21"/>
              </w:rPr>
            </w:pPr>
          </w:p>
        </w:tc>
        <w:tc>
          <w:tcPr>
            <w:tcW w:w="220" w:type="dxa"/>
            <w:vAlign w:val="top"/>
          </w:tcPr>
          <w:p w14:paraId="6C3DF4FD">
            <w:pPr>
              <w:rPr>
                <w:rFonts w:ascii="Arial"/>
                <w:sz w:val="21"/>
              </w:rPr>
            </w:pPr>
          </w:p>
        </w:tc>
        <w:tc>
          <w:tcPr>
            <w:tcW w:w="229" w:type="dxa"/>
            <w:vAlign w:val="top"/>
          </w:tcPr>
          <w:p w14:paraId="4BCCC07C">
            <w:pPr>
              <w:pStyle w:val="6"/>
              <w:spacing w:before="87" w:line="237" w:lineRule="auto"/>
              <w:ind w:left="49"/>
              <w:rPr>
                <w:sz w:val="13"/>
                <w:szCs w:val="13"/>
              </w:rPr>
            </w:pPr>
            <w:r>
              <w:rPr>
                <w:sz w:val="13"/>
                <w:szCs w:val="13"/>
              </w:rPr>
              <w:t>√</w:t>
            </w:r>
          </w:p>
        </w:tc>
        <w:tc>
          <w:tcPr>
            <w:tcW w:w="224" w:type="dxa"/>
            <w:vAlign w:val="top"/>
          </w:tcPr>
          <w:p w14:paraId="4B26564B">
            <w:pPr>
              <w:rPr>
                <w:rFonts w:ascii="Arial"/>
                <w:sz w:val="21"/>
              </w:rPr>
            </w:pPr>
          </w:p>
        </w:tc>
      </w:tr>
    </w:tbl>
    <w:p w14:paraId="41EF4886">
      <w:pPr>
        <w:pStyle w:val="2"/>
        <w:spacing w:line="242" w:lineRule="auto"/>
      </w:pPr>
    </w:p>
    <w:p w14:paraId="06F7A32A">
      <w:pPr>
        <w:spacing w:before="66" w:line="222" w:lineRule="auto"/>
        <w:ind w:left="1367"/>
        <w:rPr>
          <w:rFonts w:ascii="黑体" w:hAnsi="黑体" w:eastAsia="黑体" w:cs="黑体"/>
          <w:sz w:val="20"/>
          <w:szCs w:val="20"/>
        </w:rPr>
      </w:pPr>
      <w:r>
        <w:rPr>
          <w:rFonts w:ascii="黑体" w:hAnsi="黑体" w:eastAsia="黑体" w:cs="黑体"/>
          <w:b/>
          <w:bCs/>
          <w:spacing w:val="-5"/>
          <w:sz w:val="20"/>
          <w:szCs w:val="20"/>
        </w:rPr>
        <w:t>三、配位滴定法</w:t>
      </w:r>
    </w:p>
    <w:p w14:paraId="54603583">
      <w:pPr>
        <w:spacing w:line="80" w:lineRule="exact"/>
      </w:pPr>
    </w:p>
    <w:tbl>
      <w:tblPr>
        <w:tblStyle w:val="5"/>
        <w:tblW w:w="410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14"/>
        <w:gridCol w:w="229"/>
        <w:gridCol w:w="220"/>
        <w:gridCol w:w="229"/>
        <w:gridCol w:w="224"/>
      </w:tblGrid>
      <w:tr w14:paraId="4E8853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9" w:hRule="atLeast"/>
        </w:trPr>
        <w:tc>
          <w:tcPr>
            <w:tcW w:w="893" w:type="dxa"/>
            <w:vMerge w:val="restart"/>
            <w:tcBorders>
              <w:top w:val="single" w:color="000000" w:sz="2" w:space="0"/>
              <w:bottom w:val="nil"/>
            </w:tcBorders>
            <w:vAlign w:val="top"/>
          </w:tcPr>
          <w:p w14:paraId="531A9281">
            <w:pPr>
              <w:pStyle w:val="6"/>
              <w:spacing w:before="156" w:line="224" w:lineRule="auto"/>
              <w:ind w:left="97" w:right="112" w:firstLine="89"/>
            </w:pPr>
            <w:r>
              <w:rPr>
                <w:b/>
                <w:bCs/>
                <w:spacing w:val="-6"/>
              </w:rPr>
              <w:t>知识与</w:t>
            </w:r>
            <w:r>
              <w:t xml:space="preserve">  </w:t>
            </w:r>
            <w:r>
              <w:rPr>
                <w:b/>
                <w:bCs/>
                <w:spacing w:val="-4"/>
              </w:rPr>
              <w:t>技能要点</w:t>
            </w:r>
          </w:p>
        </w:tc>
        <w:tc>
          <w:tcPr>
            <w:tcW w:w="2314" w:type="dxa"/>
            <w:vMerge w:val="restart"/>
            <w:tcBorders>
              <w:top w:val="single" w:color="000000" w:sz="2" w:space="0"/>
              <w:bottom w:val="nil"/>
            </w:tcBorders>
            <w:vAlign w:val="top"/>
          </w:tcPr>
          <w:p w14:paraId="66075A79">
            <w:pPr>
              <w:pStyle w:val="6"/>
              <w:spacing w:before="254" w:line="219" w:lineRule="auto"/>
              <w:ind w:left="834"/>
            </w:pPr>
            <w:r>
              <w:rPr>
                <w:b/>
                <w:bCs/>
                <w:spacing w:val="5"/>
              </w:rPr>
              <w:t>考试条目</w:t>
            </w:r>
          </w:p>
        </w:tc>
        <w:tc>
          <w:tcPr>
            <w:tcW w:w="902" w:type="dxa"/>
            <w:gridSpan w:val="4"/>
            <w:tcBorders>
              <w:top w:val="single" w:color="000000" w:sz="2" w:space="0"/>
              <w:bottom w:val="single" w:color="000000" w:sz="2" w:space="0"/>
            </w:tcBorders>
            <w:vAlign w:val="top"/>
          </w:tcPr>
          <w:p w14:paraId="1CB488D4">
            <w:pPr>
              <w:pStyle w:val="6"/>
              <w:spacing w:before="84" w:line="219" w:lineRule="auto"/>
              <w:ind w:left="120"/>
            </w:pPr>
            <w:r>
              <w:rPr>
                <w:b/>
                <w:bCs/>
                <w:spacing w:val="-4"/>
              </w:rPr>
              <w:t>考试水平</w:t>
            </w:r>
          </w:p>
        </w:tc>
      </w:tr>
      <w:tr w14:paraId="2C69CF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4" w:hRule="atLeast"/>
        </w:trPr>
        <w:tc>
          <w:tcPr>
            <w:tcW w:w="893" w:type="dxa"/>
            <w:vMerge w:val="continue"/>
            <w:tcBorders>
              <w:top w:val="nil"/>
              <w:bottom w:val="single" w:color="000000" w:sz="2" w:space="0"/>
            </w:tcBorders>
            <w:vAlign w:val="top"/>
          </w:tcPr>
          <w:p w14:paraId="17BA2B6B">
            <w:pPr>
              <w:rPr>
                <w:rFonts w:ascii="Arial"/>
                <w:sz w:val="21"/>
              </w:rPr>
            </w:pPr>
          </w:p>
        </w:tc>
        <w:tc>
          <w:tcPr>
            <w:tcW w:w="2314" w:type="dxa"/>
            <w:vMerge w:val="continue"/>
            <w:tcBorders>
              <w:top w:val="nil"/>
              <w:bottom w:val="single" w:color="000000" w:sz="2" w:space="0"/>
            </w:tcBorders>
            <w:vAlign w:val="top"/>
          </w:tcPr>
          <w:p w14:paraId="18150EB3">
            <w:pPr>
              <w:rPr>
                <w:rFonts w:ascii="Arial"/>
                <w:sz w:val="21"/>
              </w:rPr>
            </w:pPr>
          </w:p>
        </w:tc>
        <w:tc>
          <w:tcPr>
            <w:tcW w:w="229" w:type="dxa"/>
            <w:tcBorders>
              <w:top w:val="single" w:color="000000" w:sz="2" w:space="0"/>
              <w:bottom w:val="single" w:color="000000" w:sz="2" w:space="0"/>
            </w:tcBorders>
            <w:vAlign w:val="top"/>
          </w:tcPr>
          <w:p w14:paraId="0EC33F3E">
            <w:pPr>
              <w:pStyle w:val="6"/>
              <w:spacing w:before="125" w:line="184" w:lineRule="auto"/>
              <w:ind w:left="67"/>
            </w:pPr>
            <w:r>
              <w:t>A</w:t>
            </w:r>
          </w:p>
        </w:tc>
        <w:tc>
          <w:tcPr>
            <w:tcW w:w="220" w:type="dxa"/>
            <w:tcBorders>
              <w:top w:val="single" w:color="000000" w:sz="2" w:space="0"/>
              <w:bottom w:val="single" w:color="000000" w:sz="2" w:space="0"/>
            </w:tcBorders>
            <w:vAlign w:val="top"/>
          </w:tcPr>
          <w:p w14:paraId="2577583E">
            <w:pPr>
              <w:pStyle w:val="6"/>
              <w:spacing w:before="127" w:line="182" w:lineRule="auto"/>
              <w:ind w:left="21"/>
            </w:pPr>
            <w:r>
              <w:rPr>
                <w:b/>
                <w:bCs/>
                <w:spacing w:val="-2"/>
              </w:rPr>
              <w:t>B</w:t>
            </w:r>
          </w:p>
        </w:tc>
        <w:tc>
          <w:tcPr>
            <w:tcW w:w="229" w:type="dxa"/>
            <w:tcBorders>
              <w:top w:val="single" w:color="000000" w:sz="2" w:space="0"/>
              <w:bottom w:val="single" w:color="000000" w:sz="2" w:space="0"/>
            </w:tcBorders>
            <w:vAlign w:val="top"/>
          </w:tcPr>
          <w:p w14:paraId="667F3D15">
            <w:pPr>
              <w:pStyle w:val="6"/>
              <w:spacing w:before="125" w:line="183" w:lineRule="auto"/>
              <w:ind w:left="51"/>
            </w:pPr>
            <w:r>
              <w:rPr>
                <w:b/>
                <w:bCs/>
                <w:spacing w:val="-2"/>
              </w:rPr>
              <w:t>C</w:t>
            </w:r>
          </w:p>
        </w:tc>
        <w:tc>
          <w:tcPr>
            <w:tcW w:w="224" w:type="dxa"/>
            <w:tcBorders>
              <w:top w:val="single" w:color="000000" w:sz="2" w:space="0"/>
              <w:bottom w:val="single" w:color="000000" w:sz="2" w:space="0"/>
            </w:tcBorders>
            <w:vAlign w:val="top"/>
          </w:tcPr>
          <w:p w14:paraId="22A573AA">
            <w:pPr>
              <w:pStyle w:val="6"/>
              <w:spacing w:before="127" w:line="182" w:lineRule="auto"/>
              <w:ind w:left="52"/>
            </w:pPr>
            <w:r>
              <w:rPr>
                <w:b/>
                <w:bCs/>
                <w:spacing w:val="-2"/>
              </w:rPr>
              <w:t>D</w:t>
            </w:r>
          </w:p>
        </w:tc>
      </w:tr>
      <w:tr w14:paraId="4D2A2F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5" w:hRule="atLeast"/>
        </w:trPr>
        <w:tc>
          <w:tcPr>
            <w:tcW w:w="893" w:type="dxa"/>
            <w:vMerge w:val="restart"/>
            <w:tcBorders>
              <w:top w:val="single" w:color="000000" w:sz="2" w:space="0"/>
              <w:bottom w:val="nil"/>
            </w:tcBorders>
            <w:vAlign w:val="top"/>
          </w:tcPr>
          <w:p w14:paraId="61815175">
            <w:pPr>
              <w:pStyle w:val="6"/>
              <w:spacing w:before="94" w:line="233" w:lineRule="auto"/>
              <w:ind w:left="184" w:right="20" w:hanging="169"/>
            </w:pPr>
            <w:r>
              <w:rPr>
                <w:spacing w:val="21"/>
              </w:rPr>
              <w:t>EDT</w:t>
            </w:r>
            <w:r>
              <w:rPr>
                <w:spacing w:val="-45"/>
              </w:rPr>
              <w:t xml:space="preserve"> </w:t>
            </w:r>
            <w:r>
              <w:rPr>
                <w:spacing w:val="21"/>
              </w:rPr>
              <w:t>A及其</w:t>
            </w:r>
            <w:r>
              <w:t xml:space="preserve"> </w:t>
            </w:r>
            <w:r>
              <w:rPr>
                <w:spacing w:val="-2"/>
              </w:rPr>
              <w:t>配合物</w:t>
            </w:r>
          </w:p>
        </w:tc>
        <w:tc>
          <w:tcPr>
            <w:tcW w:w="2314" w:type="dxa"/>
            <w:tcBorders>
              <w:top w:val="single" w:color="000000" w:sz="2" w:space="0"/>
              <w:bottom w:val="single" w:color="000000" w:sz="2" w:space="0"/>
            </w:tcBorders>
            <w:vAlign w:val="top"/>
          </w:tcPr>
          <w:p w14:paraId="46BE7DF1">
            <w:pPr>
              <w:pStyle w:val="6"/>
              <w:spacing w:before="54" w:line="218" w:lineRule="auto"/>
              <w:ind w:left="31"/>
            </w:pPr>
            <w:r>
              <w:rPr>
                <w:spacing w:val="3"/>
              </w:rPr>
              <w:t>1.</w:t>
            </w:r>
            <w:r>
              <w:t>EDTA</w:t>
            </w:r>
            <w:r>
              <w:rPr>
                <w:spacing w:val="3"/>
              </w:rPr>
              <w:t>的性质</w:t>
            </w:r>
          </w:p>
        </w:tc>
        <w:tc>
          <w:tcPr>
            <w:tcW w:w="229" w:type="dxa"/>
            <w:tcBorders>
              <w:top w:val="single" w:color="000000" w:sz="2" w:space="0"/>
              <w:bottom w:val="single" w:color="000000" w:sz="2" w:space="0"/>
            </w:tcBorders>
            <w:vAlign w:val="top"/>
          </w:tcPr>
          <w:p w14:paraId="12DBE14F">
            <w:pPr>
              <w:pStyle w:val="6"/>
              <w:spacing w:before="83" w:line="238" w:lineRule="auto"/>
              <w:ind w:left="48"/>
              <w:rPr>
                <w:sz w:val="12"/>
                <w:szCs w:val="12"/>
              </w:rPr>
            </w:pPr>
            <w:r>
              <w:rPr>
                <w:sz w:val="12"/>
                <w:szCs w:val="12"/>
              </w:rPr>
              <w:t>√</w:t>
            </w:r>
          </w:p>
        </w:tc>
        <w:tc>
          <w:tcPr>
            <w:tcW w:w="220" w:type="dxa"/>
            <w:tcBorders>
              <w:top w:val="single" w:color="000000" w:sz="2" w:space="0"/>
              <w:bottom w:val="single" w:color="000000" w:sz="2" w:space="0"/>
            </w:tcBorders>
            <w:vAlign w:val="top"/>
          </w:tcPr>
          <w:p w14:paraId="29216854">
            <w:pPr>
              <w:rPr>
                <w:rFonts w:ascii="Arial"/>
                <w:sz w:val="21"/>
              </w:rPr>
            </w:pPr>
          </w:p>
        </w:tc>
        <w:tc>
          <w:tcPr>
            <w:tcW w:w="229" w:type="dxa"/>
            <w:tcBorders>
              <w:top w:val="single" w:color="000000" w:sz="2" w:space="0"/>
              <w:bottom w:val="single" w:color="000000" w:sz="2" w:space="0"/>
            </w:tcBorders>
            <w:vAlign w:val="top"/>
          </w:tcPr>
          <w:p w14:paraId="6651E9A4">
            <w:pPr>
              <w:rPr>
                <w:rFonts w:ascii="Arial"/>
                <w:sz w:val="21"/>
              </w:rPr>
            </w:pPr>
          </w:p>
        </w:tc>
        <w:tc>
          <w:tcPr>
            <w:tcW w:w="224" w:type="dxa"/>
            <w:tcBorders>
              <w:top w:val="single" w:color="000000" w:sz="2" w:space="0"/>
              <w:bottom w:val="single" w:color="000000" w:sz="2" w:space="0"/>
            </w:tcBorders>
            <w:vAlign w:val="top"/>
          </w:tcPr>
          <w:p w14:paraId="59D0AB5A">
            <w:pPr>
              <w:rPr>
                <w:rFonts w:ascii="Arial"/>
                <w:sz w:val="21"/>
              </w:rPr>
            </w:pPr>
          </w:p>
        </w:tc>
      </w:tr>
      <w:tr w14:paraId="53A6AD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4" w:hRule="atLeast"/>
        </w:trPr>
        <w:tc>
          <w:tcPr>
            <w:tcW w:w="893" w:type="dxa"/>
            <w:vMerge w:val="continue"/>
            <w:tcBorders>
              <w:top w:val="nil"/>
              <w:bottom w:val="single" w:color="000000" w:sz="2" w:space="0"/>
            </w:tcBorders>
            <w:vAlign w:val="top"/>
          </w:tcPr>
          <w:p w14:paraId="3BD63768">
            <w:pPr>
              <w:rPr>
                <w:rFonts w:ascii="Arial"/>
                <w:sz w:val="21"/>
              </w:rPr>
            </w:pPr>
          </w:p>
        </w:tc>
        <w:tc>
          <w:tcPr>
            <w:tcW w:w="2314" w:type="dxa"/>
            <w:tcBorders>
              <w:top w:val="single" w:color="000000" w:sz="2" w:space="0"/>
              <w:bottom w:val="single" w:color="000000" w:sz="2" w:space="0"/>
            </w:tcBorders>
            <w:vAlign w:val="top"/>
          </w:tcPr>
          <w:p w14:paraId="5C4A43C6">
            <w:pPr>
              <w:pStyle w:val="6"/>
              <w:spacing w:before="54" w:line="217" w:lineRule="auto"/>
              <w:jc w:val="right"/>
            </w:pPr>
            <w:r>
              <w:rPr>
                <w:spacing w:val="-7"/>
              </w:rPr>
              <w:t>2.EDTA与金属离子形成的配合物</w:t>
            </w:r>
          </w:p>
        </w:tc>
        <w:tc>
          <w:tcPr>
            <w:tcW w:w="229" w:type="dxa"/>
            <w:tcBorders>
              <w:top w:val="single" w:color="000000" w:sz="2" w:space="0"/>
              <w:bottom w:val="single" w:color="000000" w:sz="2" w:space="0"/>
            </w:tcBorders>
            <w:vAlign w:val="top"/>
          </w:tcPr>
          <w:p w14:paraId="643F9186">
            <w:pPr>
              <w:pStyle w:val="6"/>
              <w:spacing w:before="70" w:line="199" w:lineRule="auto"/>
              <w:ind w:left="28"/>
            </w:pPr>
            <w:r>
              <w:t>√</w:t>
            </w:r>
          </w:p>
        </w:tc>
        <w:tc>
          <w:tcPr>
            <w:tcW w:w="220" w:type="dxa"/>
            <w:tcBorders>
              <w:top w:val="single" w:color="000000" w:sz="2" w:space="0"/>
              <w:bottom w:val="single" w:color="000000" w:sz="2" w:space="0"/>
            </w:tcBorders>
            <w:vAlign w:val="top"/>
          </w:tcPr>
          <w:p w14:paraId="79289FD6">
            <w:pPr>
              <w:rPr>
                <w:rFonts w:ascii="Arial"/>
                <w:sz w:val="21"/>
              </w:rPr>
            </w:pPr>
          </w:p>
        </w:tc>
        <w:tc>
          <w:tcPr>
            <w:tcW w:w="229" w:type="dxa"/>
            <w:tcBorders>
              <w:top w:val="single" w:color="000000" w:sz="2" w:space="0"/>
              <w:bottom w:val="single" w:color="000000" w:sz="2" w:space="0"/>
            </w:tcBorders>
            <w:vAlign w:val="top"/>
          </w:tcPr>
          <w:p w14:paraId="02EFC914">
            <w:pPr>
              <w:rPr>
                <w:rFonts w:ascii="Arial"/>
                <w:sz w:val="21"/>
              </w:rPr>
            </w:pPr>
          </w:p>
        </w:tc>
        <w:tc>
          <w:tcPr>
            <w:tcW w:w="224" w:type="dxa"/>
            <w:tcBorders>
              <w:top w:val="single" w:color="000000" w:sz="2" w:space="0"/>
              <w:bottom w:val="single" w:color="000000" w:sz="2" w:space="0"/>
            </w:tcBorders>
            <w:vAlign w:val="top"/>
          </w:tcPr>
          <w:p w14:paraId="46DEDF7C">
            <w:pPr>
              <w:rPr>
                <w:rFonts w:ascii="Arial"/>
                <w:sz w:val="21"/>
              </w:rPr>
            </w:pPr>
          </w:p>
        </w:tc>
      </w:tr>
      <w:tr w14:paraId="3A44A6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4" w:hRule="atLeast"/>
        </w:trPr>
        <w:tc>
          <w:tcPr>
            <w:tcW w:w="893" w:type="dxa"/>
            <w:vMerge w:val="restart"/>
            <w:tcBorders>
              <w:top w:val="single" w:color="000000" w:sz="2" w:space="0"/>
              <w:bottom w:val="nil"/>
            </w:tcBorders>
            <w:vAlign w:val="top"/>
          </w:tcPr>
          <w:p w14:paraId="4CBB7806">
            <w:pPr>
              <w:pStyle w:val="6"/>
              <w:spacing w:before="225" w:line="218" w:lineRule="auto"/>
              <w:ind w:left="94" w:right="114"/>
            </w:pPr>
            <w:r>
              <w:rPr>
                <w:spacing w:val="-2"/>
              </w:rPr>
              <w:t>配合物的</w:t>
            </w:r>
            <w:r>
              <w:t xml:space="preserve"> </w:t>
            </w:r>
            <w:r>
              <w:rPr>
                <w:spacing w:val="-2"/>
              </w:rPr>
              <w:t>离解平衡</w:t>
            </w:r>
          </w:p>
        </w:tc>
        <w:tc>
          <w:tcPr>
            <w:tcW w:w="2314" w:type="dxa"/>
            <w:tcBorders>
              <w:top w:val="single" w:color="000000" w:sz="2" w:space="0"/>
              <w:bottom w:val="single" w:color="000000" w:sz="2" w:space="0"/>
            </w:tcBorders>
            <w:vAlign w:val="top"/>
          </w:tcPr>
          <w:p w14:paraId="76A317A1">
            <w:pPr>
              <w:pStyle w:val="6"/>
              <w:spacing w:before="54" w:line="217" w:lineRule="auto"/>
              <w:ind w:left="31"/>
            </w:pPr>
            <w:r>
              <w:t>1.配合物的稳定常数</w:t>
            </w:r>
          </w:p>
        </w:tc>
        <w:tc>
          <w:tcPr>
            <w:tcW w:w="229" w:type="dxa"/>
            <w:tcBorders>
              <w:top w:val="single" w:color="000000" w:sz="2" w:space="0"/>
              <w:bottom w:val="single" w:color="000000" w:sz="2" w:space="0"/>
            </w:tcBorders>
            <w:vAlign w:val="top"/>
          </w:tcPr>
          <w:p w14:paraId="1D20D159">
            <w:pPr>
              <w:rPr>
                <w:rFonts w:ascii="Arial"/>
                <w:sz w:val="21"/>
              </w:rPr>
            </w:pPr>
          </w:p>
        </w:tc>
        <w:tc>
          <w:tcPr>
            <w:tcW w:w="220" w:type="dxa"/>
            <w:tcBorders>
              <w:top w:val="single" w:color="000000" w:sz="2" w:space="0"/>
              <w:bottom w:val="single" w:color="000000" w:sz="2" w:space="0"/>
            </w:tcBorders>
            <w:vAlign w:val="top"/>
          </w:tcPr>
          <w:p w14:paraId="66863394">
            <w:pPr>
              <w:pStyle w:val="6"/>
              <w:spacing w:before="71" w:line="198" w:lineRule="auto"/>
              <w:ind w:left="19"/>
            </w:pPr>
            <w:r>
              <w:t>√</w:t>
            </w:r>
          </w:p>
        </w:tc>
        <w:tc>
          <w:tcPr>
            <w:tcW w:w="229" w:type="dxa"/>
            <w:tcBorders>
              <w:top w:val="single" w:color="000000" w:sz="2" w:space="0"/>
              <w:bottom w:val="single" w:color="000000" w:sz="2" w:space="0"/>
            </w:tcBorders>
            <w:vAlign w:val="top"/>
          </w:tcPr>
          <w:p w14:paraId="0E4EA257">
            <w:pPr>
              <w:rPr>
                <w:rFonts w:ascii="Arial"/>
                <w:sz w:val="21"/>
              </w:rPr>
            </w:pPr>
          </w:p>
        </w:tc>
        <w:tc>
          <w:tcPr>
            <w:tcW w:w="224" w:type="dxa"/>
            <w:tcBorders>
              <w:top w:val="single" w:color="000000" w:sz="2" w:space="0"/>
              <w:bottom w:val="single" w:color="000000" w:sz="2" w:space="0"/>
            </w:tcBorders>
            <w:vAlign w:val="top"/>
          </w:tcPr>
          <w:p w14:paraId="3C116777">
            <w:pPr>
              <w:rPr>
                <w:rFonts w:ascii="Arial"/>
                <w:sz w:val="21"/>
              </w:rPr>
            </w:pPr>
          </w:p>
        </w:tc>
      </w:tr>
      <w:tr w14:paraId="78928B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5" w:hRule="atLeast"/>
        </w:trPr>
        <w:tc>
          <w:tcPr>
            <w:tcW w:w="893" w:type="dxa"/>
            <w:vMerge w:val="continue"/>
            <w:tcBorders>
              <w:top w:val="nil"/>
              <w:bottom w:val="nil"/>
            </w:tcBorders>
            <w:vAlign w:val="top"/>
          </w:tcPr>
          <w:p w14:paraId="3C61F3A6">
            <w:pPr>
              <w:rPr>
                <w:rFonts w:ascii="Arial"/>
                <w:sz w:val="21"/>
              </w:rPr>
            </w:pPr>
          </w:p>
        </w:tc>
        <w:tc>
          <w:tcPr>
            <w:tcW w:w="2314" w:type="dxa"/>
            <w:tcBorders>
              <w:top w:val="single" w:color="000000" w:sz="2" w:space="0"/>
              <w:bottom w:val="single" w:color="000000" w:sz="2" w:space="0"/>
            </w:tcBorders>
            <w:vAlign w:val="top"/>
          </w:tcPr>
          <w:p w14:paraId="6C2FCC16">
            <w:pPr>
              <w:pStyle w:val="6"/>
              <w:spacing w:before="55" w:line="217" w:lineRule="auto"/>
              <w:ind w:left="31"/>
            </w:pPr>
            <w:r>
              <w:rPr>
                <w:spacing w:val="-1"/>
              </w:rPr>
              <w:t>2.影响配位平衡的主要因素</w:t>
            </w:r>
          </w:p>
        </w:tc>
        <w:tc>
          <w:tcPr>
            <w:tcW w:w="229" w:type="dxa"/>
            <w:tcBorders>
              <w:top w:val="single" w:color="000000" w:sz="2" w:space="0"/>
              <w:bottom w:val="single" w:color="000000" w:sz="2" w:space="0"/>
            </w:tcBorders>
            <w:vAlign w:val="top"/>
          </w:tcPr>
          <w:p w14:paraId="6D997753">
            <w:pPr>
              <w:rPr>
                <w:rFonts w:ascii="Arial"/>
                <w:sz w:val="21"/>
              </w:rPr>
            </w:pPr>
          </w:p>
        </w:tc>
        <w:tc>
          <w:tcPr>
            <w:tcW w:w="220" w:type="dxa"/>
            <w:tcBorders>
              <w:top w:val="single" w:color="000000" w:sz="2" w:space="0"/>
              <w:bottom w:val="single" w:color="000000" w:sz="2" w:space="0"/>
            </w:tcBorders>
            <w:vAlign w:val="top"/>
          </w:tcPr>
          <w:p w14:paraId="248F7EB1">
            <w:pPr>
              <w:pStyle w:val="6"/>
              <w:spacing w:before="100" w:line="168" w:lineRule="auto"/>
              <w:ind w:left="19"/>
            </w:pPr>
            <w:r>
              <w:t>V</w:t>
            </w:r>
          </w:p>
        </w:tc>
        <w:tc>
          <w:tcPr>
            <w:tcW w:w="229" w:type="dxa"/>
            <w:tcBorders>
              <w:top w:val="single" w:color="000000" w:sz="2" w:space="0"/>
              <w:bottom w:val="single" w:color="000000" w:sz="2" w:space="0"/>
            </w:tcBorders>
            <w:vAlign w:val="top"/>
          </w:tcPr>
          <w:p w14:paraId="3A6AED7C">
            <w:pPr>
              <w:rPr>
                <w:rFonts w:ascii="Arial"/>
                <w:sz w:val="21"/>
              </w:rPr>
            </w:pPr>
          </w:p>
        </w:tc>
        <w:tc>
          <w:tcPr>
            <w:tcW w:w="224" w:type="dxa"/>
            <w:tcBorders>
              <w:top w:val="single" w:color="000000" w:sz="2" w:space="0"/>
              <w:bottom w:val="single" w:color="000000" w:sz="2" w:space="0"/>
            </w:tcBorders>
            <w:vAlign w:val="top"/>
          </w:tcPr>
          <w:p w14:paraId="09D9FECD">
            <w:pPr>
              <w:rPr>
                <w:rFonts w:ascii="Arial"/>
                <w:sz w:val="21"/>
              </w:rPr>
            </w:pPr>
          </w:p>
        </w:tc>
      </w:tr>
      <w:tr w14:paraId="151E63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4" w:hRule="atLeast"/>
        </w:trPr>
        <w:tc>
          <w:tcPr>
            <w:tcW w:w="893" w:type="dxa"/>
            <w:vMerge w:val="continue"/>
            <w:tcBorders>
              <w:top w:val="nil"/>
              <w:bottom w:val="single" w:color="000000" w:sz="2" w:space="0"/>
            </w:tcBorders>
            <w:vAlign w:val="top"/>
          </w:tcPr>
          <w:p w14:paraId="3B0E145C">
            <w:pPr>
              <w:rPr>
                <w:rFonts w:ascii="Arial"/>
                <w:sz w:val="21"/>
              </w:rPr>
            </w:pPr>
          </w:p>
        </w:tc>
        <w:tc>
          <w:tcPr>
            <w:tcW w:w="2314" w:type="dxa"/>
            <w:tcBorders>
              <w:top w:val="single" w:color="000000" w:sz="2" w:space="0"/>
              <w:bottom w:val="single" w:color="000000" w:sz="2" w:space="0"/>
            </w:tcBorders>
            <w:vAlign w:val="top"/>
          </w:tcPr>
          <w:p w14:paraId="5F47F1C2">
            <w:pPr>
              <w:pStyle w:val="6"/>
              <w:spacing w:before="55" w:line="216" w:lineRule="auto"/>
              <w:ind w:left="31"/>
            </w:pPr>
            <w:r>
              <w:rPr>
                <w:spacing w:val="-2"/>
              </w:rPr>
              <w:t>3.条件稳定常数</w:t>
            </w:r>
          </w:p>
        </w:tc>
        <w:tc>
          <w:tcPr>
            <w:tcW w:w="229" w:type="dxa"/>
            <w:tcBorders>
              <w:top w:val="single" w:color="000000" w:sz="2" w:space="0"/>
              <w:bottom w:val="single" w:color="000000" w:sz="2" w:space="0"/>
            </w:tcBorders>
            <w:vAlign w:val="top"/>
          </w:tcPr>
          <w:p w14:paraId="32C67F7A">
            <w:pPr>
              <w:rPr>
                <w:rFonts w:ascii="Arial"/>
                <w:sz w:val="21"/>
              </w:rPr>
            </w:pPr>
          </w:p>
        </w:tc>
        <w:tc>
          <w:tcPr>
            <w:tcW w:w="220" w:type="dxa"/>
            <w:tcBorders>
              <w:top w:val="single" w:color="000000" w:sz="2" w:space="0"/>
              <w:bottom w:val="single" w:color="000000" w:sz="2" w:space="0"/>
            </w:tcBorders>
            <w:vAlign w:val="top"/>
          </w:tcPr>
          <w:p w14:paraId="612C28CF">
            <w:pPr>
              <w:pStyle w:val="6"/>
              <w:spacing w:before="100" w:line="167" w:lineRule="auto"/>
              <w:ind w:left="19"/>
            </w:pPr>
            <w:r>
              <w:t>V</w:t>
            </w:r>
          </w:p>
        </w:tc>
        <w:tc>
          <w:tcPr>
            <w:tcW w:w="229" w:type="dxa"/>
            <w:tcBorders>
              <w:top w:val="single" w:color="000000" w:sz="2" w:space="0"/>
              <w:bottom w:val="single" w:color="000000" w:sz="2" w:space="0"/>
            </w:tcBorders>
            <w:vAlign w:val="top"/>
          </w:tcPr>
          <w:p w14:paraId="61BD42FD">
            <w:pPr>
              <w:rPr>
                <w:rFonts w:ascii="Arial"/>
                <w:sz w:val="21"/>
              </w:rPr>
            </w:pPr>
          </w:p>
        </w:tc>
        <w:tc>
          <w:tcPr>
            <w:tcW w:w="224" w:type="dxa"/>
            <w:tcBorders>
              <w:top w:val="single" w:color="000000" w:sz="2" w:space="0"/>
              <w:bottom w:val="single" w:color="000000" w:sz="2" w:space="0"/>
            </w:tcBorders>
            <w:vAlign w:val="top"/>
          </w:tcPr>
          <w:p w14:paraId="5EF24C0B">
            <w:pPr>
              <w:rPr>
                <w:rFonts w:ascii="Arial"/>
                <w:sz w:val="21"/>
              </w:rPr>
            </w:pPr>
          </w:p>
        </w:tc>
      </w:tr>
      <w:tr w14:paraId="4C1B29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5" w:hRule="atLeast"/>
        </w:trPr>
        <w:tc>
          <w:tcPr>
            <w:tcW w:w="893" w:type="dxa"/>
            <w:vMerge w:val="restart"/>
            <w:tcBorders>
              <w:top w:val="single" w:color="000000" w:sz="2" w:space="0"/>
              <w:bottom w:val="nil"/>
            </w:tcBorders>
            <w:vAlign w:val="top"/>
          </w:tcPr>
          <w:p w14:paraId="4A3CADA7">
            <w:pPr>
              <w:pStyle w:val="6"/>
              <w:spacing w:before="225" w:line="223" w:lineRule="auto"/>
              <w:ind w:left="94" w:right="24" w:hanging="79"/>
            </w:pPr>
            <w:r>
              <w:rPr>
                <w:spacing w:val="-2"/>
              </w:rPr>
              <w:t>配位滴定的</w:t>
            </w:r>
            <w:r>
              <w:rPr>
                <w:spacing w:val="2"/>
              </w:rPr>
              <w:t xml:space="preserve"> </w:t>
            </w:r>
            <w:r>
              <w:rPr>
                <w:spacing w:val="-2"/>
              </w:rPr>
              <w:t>基本原理</w:t>
            </w:r>
          </w:p>
        </w:tc>
        <w:tc>
          <w:tcPr>
            <w:tcW w:w="2314" w:type="dxa"/>
            <w:tcBorders>
              <w:top w:val="single" w:color="000000" w:sz="2" w:space="0"/>
              <w:bottom w:val="single" w:color="000000" w:sz="2" w:space="0"/>
            </w:tcBorders>
            <w:vAlign w:val="top"/>
          </w:tcPr>
          <w:p w14:paraId="6F9E8FCE">
            <w:pPr>
              <w:pStyle w:val="6"/>
              <w:spacing w:before="56" w:line="216" w:lineRule="auto"/>
              <w:ind w:left="31"/>
            </w:pPr>
            <w:r>
              <w:rPr>
                <w:spacing w:val="1"/>
              </w:rPr>
              <w:t>1.配位滴定曲线</w:t>
            </w:r>
          </w:p>
        </w:tc>
        <w:tc>
          <w:tcPr>
            <w:tcW w:w="229" w:type="dxa"/>
            <w:tcBorders>
              <w:top w:val="single" w:color="000000" w:sz="2" w:space="0"/>
              <w:bottom w:val="single" w:color="000000" w:sz="2" w:space="0"/>
            </w:tcBorders>
            <w:vAlign w:val="top"/>
          </w:tcPr>
          <w:p w14:paraId="6FFAA2CB">
            <w:pPr>
              <w:rPr>
                <w:rFonts w:ascii="Arial"/>
                <w:sz w:val="21"/>
              </w:rPr>
            </w:pPr>
          </w:p>
        </w:tc>
        <w:tc>
          <w:tcPr>
            <w:tcW w:w="220" w:type="dxa"/>
            <w:tcBorders>
              <w:top w:val="single" w:color="000000" w:sz="2" w:space="0"/>
              <w:bottom w:val="single" w:color="000000" w:sz="2" w:space="0"/>
            </w:tcBorders>
            <w:vAlign w:val="top"/>
          </w:tcPr>
          <w:p w14:paraId="7B6630B3">
            <w:pPr>
              <w:pStyle w:val="6"/>
              <w:spacing w:before="101" w:line="167" w:lineRule="auto"/>
              <w:ind w:left="19"/>
            </w:pPr>
            <w:r>
              <w:t>V</w:t>
            </w:r>
          </w:p>
        </w:tc>
        <w:tc>
          <w:tcPr>
            <w:tcW w:w="229" w:type="dxa"/>
            <w:tcBorders>
              <w:top w:val="single" w:color="000000" w:sz="2" w:space="0"/>
              <w:bottom w:val="single" w:color="000000" w:sz="2" w:space="0"/>
            </w:tcBorders>
            <w:vAlign w:val="top"/>
          </w:tcPr>
          <w:p w14:paraId="6763FED8">
            <w:pPr>
              <w:rPr>
                <w:rFonts w:ascii="Arial"/>
                <w:sz w:val="21"/>
              </w:rPr>
            </w:pPr>
          </w:p>
        </w:tc>
        <w:tc>
          <w:tcPr>
            <w:tcW w:w="224" w:type="dxa"/>
            <w:tcBorders>
              <w:top w:val="single" w:color="000000" w:sz="2" w:space="0"/>
              <w:bottom w:val="single" w:color="000000" w:sz="2" w:space="0"/>
            </w:tcBorders>
            <w:vAlign w:val="top"/>
          </w:tcPr>
          <w:p w14:paraId="19B39CE2">
            <w:pPr>
              <w:rPr>
                <w:rFonts w:ascii="Arial"/>
                <w:sz w:val="21"/>
              </w:rPr>
            </w:pPr>
          </w:p>
        </w:tc>
      </w:tr>
      <w:tr w14:paraId="0CBAE4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4" w:hRule="atLeast"/>
        </w:trPr>
        <w:tc>
          <w:tcPr>
            <w:tcW w:w="893" w:type="dxa"/>
            <w:vMerge w:val="continue"/>
            <w:tcBorders>
              <w:top w:val="nil"/>
              <w:bottom w:val="nil"/>
            </w:tcBorders>
            <w:vAlign w:val="top"/>
          </w:tcPr>
          <w:p w14:paraId="06C15051">
            <w:pPr>
              <w:rPr>
                <w:rFonts w:ascii="Arial"/>
                <w:sz w:val="21"/>
              </w:rPr>
            </w:pPr>
          </w:p>
        </w:tc>
        <w:tc>
          <w:tcPr>
            <w:tcW w:w="2314" w:type="dxa"/>
            <w:tcBorders>
              <w:top w:val="single" w:color="000000" w:sz="2" w:space="0"/>
              <w:bottom w:val="single" w:color="000000" w:sz="2" w:space="0"/>
            </w:tcBorders>
            <w:vAlign w:val="top"/>
          </w:tcPr>
          <w:p w14:paraId="66D36739">
            <w:pPr>
              <w:pStyle w:val="6"/>
              <w:spacing w:before="56" w:line="215" w:lineRule="auto"/>
              <w:jc w:val="right"/>
            </w:pPr>
            <w:r>
              <w:rPr>
                <w:spacing w:val="-7"/>
              </w:rPr>
              <w:t>2.影响滴定突跃范围大小的因素</w:t>
            </w:r>
          </w:p>
        </w:tc>
        <w:tc>
          <w:tcPr>
            <w:tcW w:w="229" w:type="dxa"/>
            <w:tcBorders>
              <w:top w:val="single" w:color="000000" w:sz="2" w:space="0"/>
              <w:bottom w:val="single" w:color="000000" w:sz="2" w:space="0"/>
            </w:tcBorders>
            <w:vAlign w:val="top"/>
          </w:tcPr>
          <w:p w14:paraId="06E376B7">
            <w:pPr>
              <w:rPr>
                <w:rFonts w:ascii="Arial"/>
                <w:sz w:val="21"/>
              </w:rPr>
            </w:pPr>
          </w:p>
        </w:tc>
        <w:tc>
          <w:tcPr>
            <w:tcW w:w="220" w:type="dxa"/>
            <w:tcBorders>
              <w:top w:val="single" w:color="000000" w:sz="2" w:space="0"/>
              <w:bottom w:val="single" w:color="000000" w:sz="2" w:space="0"/>
            </w:tcBorders>
            <w:vAlign w:val="top"/>
          </w:tcPr>
          <w:p w14:paraId="59B0688A">
            <w:pPr>
              <w:pStyle w:val="6"/>
              <w:spacing w:before="101" w:line="166" w:lineRule="auto"/>
              <w:ind w:left="19"/>
            </w:pPr>
            <w:r>
              <w:t>V</w:t>
            </w:r>
          </w:p>
        </w:tc>
        <w:tc>
          <w:tcPr>
            <w:tcW w:w="229" w:type="dxa"/>
            <w:tcBorders>
              <w:top w:val="single" w:color="000000" w:sz="2" w:space="0"/>
              <w:bottom w:val="single" w:color="000000" w:sz="2" w:space="0"/>
            </w:tcBorders>
            <w:vAlign w:val="top"/>
          </w:tcPr>
          <w:p w14:paraId="6214A4B0">
            <w:pPr>
              <w:rPr>
                <w:rFonts w:ascii="Arial"/>
                <w:sz w:val="21"/>
              </w:rPr>
            </w:pPr>
          </w:p>
        </w:tc>
        <w:tc>
          <w:tcPr>
            <w:tcW w:w="224" w:type="dxa"/>
            <w:tcBorders>
              <w:top w:val="single" w:color="000000" w:sz="2" w:space="0"/>
              <w:bottom w:val="single" w:color="000000" w:sz="2" w:space="0"/>
            </w:tcBorders>
            <w:vAlign w:val="top"/>
          </w:tcPr>
          <w:p w14:paraId="4C67CC81">
            <w:pPr>
              <w:rPr>
                <w:rFonts w:ascii="Arial"/>
                <w:sz w:val="21"/>
              </w:rPr>
            </w:pPr>
          </w:p>
        </w:tc>
      </w:tr>
      <w:tr w14:paraId="5940D7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893" w:type="dxa"/>
            <w:vMerge w:val="continue"/>
            <w:tcBorders>
              <w:top w:val="nil"/>
              <w:bottom w:val="single" w:color="000000" w:sz="2" w:space="0"/>
            </w:tcBorders>
            <w:vAlign w:val="top"/>
          </w:tcPr>
          <w:p w14:paraId="57864A20">
            <w:pPr>
              <w:rPr>
                <w:rFonts w:ascii="Arial"/>
                <w:sz w:val="21"/>
              </w:rPr>
            </w:pPr>
          </w:p>
        </w:tc>
        <w:tc>
          <w:tcPr>
            <w:tcW w:w="2314" w:type="dxa"/>
            <w:tcBorders>
              <w:top w:val="single" w:color="000000" w:sz="2" w:space="0"/>
              <w:bottom w:val="single" w:color="000000" w:sz="2" w:space="0"/>
            </w:tcBorders>
            <w:vAlign w:val="top"/>
          </w:tcPr>
          <w:p w14:paraId="06BA1E6B">
            <w:pPr>
              <w:pStyle w:val="6"/>
              <w:spacing w:before="56" w:line="219" w:lineRule="auto"/>
              <w:jc w:val="right"/>
            </w:pPr>
            <w:r>
              <w:rPr>
                <w:spacing w:val="-10"/>
              </w:rPr>
              <w:t>3</w:t>
            </w:r>
            <w:r>
              <w:rPr>
                <w:spacing w:val="-9"/>
              </w:rPr>
              <w:t>.单一金属离子准确滴定的条</w:t>
            </w:r>
            <w:r>
              <w:rPr>
                <w:spacing w:val="-8"/>
              </w:rPr>
              <w:t>件</w:t>
            </w:r>
          </w:p>
        </w:tc>
        <w:tc>
          <w:tcPr>
            <w:tcW w:w="229" w:type="dxa"/>
            <w:tcBorders>
              <w:top w:val="single" w:color="000000" w:sz="2" w:space="0"/>
              <w:bottom w:val="single" w:color="000000" w:sz="2" w:space="0"/>
            </w:tcBorders>
            <w:vAlign w:val="top"/>
          </w:tcPr>
          <w:p w14:paraId="15577D06">
            <w:pPr>
              <w:rPr>
                <w:rFonts w:ascii="Arial"/>
                <w:sz w:val="21"/>
              </w:rPr>
            </w:pPr>
          </w:p>
        </w:tc>
        <w:tc>
          <w:tcPr>
            <w:tcW w:w="220" w:type="dxa"/>
            <w:tcBorders>
              <w:top w:val="single" w:color="000000" w:sz="2" w:space="0"/>
              <w:bottom w:val="single" w:color="000000" w:sz="2" w:space="0"/>
            </w:tcBorders>
            <w:vAlign w:val="top"/>
          </w:tcPr>
          <w:p w14:paraId="20EDFBFE">
            <w:pPr>
              <w:pStyle w:val="6"/>
              <w:spacing w:before="73" w:line="201" w:lineRule="auto"/>
              <w:ind w:left="19"/>
            </w:pPr>
            <w:r>
              <w:t>√</w:t>
            </w:r>
          </w:p>
        </w:tc>
        <w:tc>
          <w:tcPr>
            <w:tcW w:w="229" w:type="dxa"/>
            <w:tcBorders>
              <w:top w:val="single" w:color="000000" w:sz="2" w:space="0"/>
              <w:bottom w:val="single" w:color="000000" w:sz="2" w:space="0"/>
            </w:tcBorders>
            <w:vAlign w:val="top"/>
          </w:tcPr>
          <w:p w14:paraId="653506AC">
            <w:pPr>
              <w:rPr>
                <w:rFonts w:ascii="Arial"/>
                <w:sz w:val="21"/>
              </w:rPr>
            </w:pPr>
          </w:p>
        </w:tc>
        <w:tc>
          <w:tcPr>
            <w:tcW w:w="224" w:type="dxa"/>
            <w:tcBorders>
              <w:top w:val="single" w:color="000000" w:sz="2" w:space="0"/>
              <w:bottom w:val="single" w:color="000000" w:sz="2" w:space="0"/>
            </w:tcBorders>
            <w:vAlign w:val="top"/>
          </w:tcPr>
          <w:p w14:paraId="5974168D">
            <w:pPr>
              <w:rPr>
                <w:rFonts w:ascii="Arial"/>
                <w:sz w:val="21"/>
              </w:rPr>
            </w:pPr>
          </w:p>
        </w:tc>
      </w:tr>
    </w:tbl>
    <w:p w14:paraId="79A8897B">
      <w:pPr>
        <w:pStyle w:val="2"/>
        <w:spacing w:line="14" w:lineRule="auto"/>
        <w:rPr>
          <w:sz w:val="2"/>
        </w:rPr>
      </w:pPr>
    </w:p>
    <w:p w14:paraId="75562FC5">
      <w:pPr>
        <w:spacing w:line="14" w:lineRule="auto"/>
        <w:rPr>
          <w:sz w:val="2"/>
          <w:szCs w:val="2"/>
        </w:rPr>
        <w:sectPr>
          <w:type w:val="continuous"/>
          <w:pgSz w:w="10660" w:h="15080"/>
          <w:pgMar w:top="400" w:right="1055" w:bottom="927" w:left="819" w:header="0" w:footer="719" w:gutter="0"/>
          <w:cols w:equalWidth="0" w:num="2">
            <w:col w:w="4566" w:space="100"/>
            <w:col w:w="4120"/>
          </w:cols>
        </w:sectPr>
      </w:pPr>
    </w:p>
    <w:p w14:paraId="650E47E3">
      <w:pPr>
        <w:spacing w:before="13"/>
      </w:pPr>
      <w:r>
        <w:pict>
          <v:shape id="_x0000_s1053" o:spid="_x0000_s1053" o:spt="202" type="#_x0000_t202" style="position:absolute;left:0pt;margin-left:279.7pt;margin-top:69.7pt;height:90.55pt;width:208.05pt;mso-position-horizontal-relative:page;mso-position-vertical-relative:page;z-index:251705344;mso-width-relative:page;mso-height-relative:page;" filled="f" stroked="f" coordsize="21600,21600" o:allowincell="f">
            <v:path/>
            <v:fill on="f" focussize="0,0"/>
            <v:stroke on="f"/>
            <v:imagedata o:title=""/>
            <o:lock v:ext="edit" aspectratio="f"/>
            <v:textbox inset="0mm,0mm,0mm,0mm">
              <w:txbxContent>
                <w:p w14:paraId="6C7CD63A">
                  <w:pPr>
                    <w:spacing w:line="20" w:lineRule="exact"/>
                  </w:pPr>
                </w:p>
                <w:tbl>
                  <w:tblPr>
                    <w:tblStyle w:val="5"/>
                    <w:tblW w:w="4110" w:type="dxa"/>
                    <w:tblInd w:w="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24"/>
                    <w:gridCol w:w="220"/>
                    <w:gridCol w:w="229"/>
                    <w:gridCol w:w="230"/>
                    <w:gridCol w:w="214"/>
                  </w:tblGrid>
                  <w:tr w14:paraId="31E378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3" w:hRule="atLeast"/>
                    </w:trPr>
                    <w:tc>
                      <w:tcPr>
                        <w:tcW w:w="893" w:type="dxa"/>
                        <w:vMerge w:val="restart"/>
                        <w:tcBorders>
                          <w:bottom w:val="nil"/>
                        </w:tcBorders>
                        <w:vAlign w:val="top"/>
                      </w:tcPr>
                      <w:p w14:paraId="09870D29">
                        <w:pPr>
                          <w:pStyle w:val="6"/>
                          <w:spacing w:before="132" w:line="229" w:lineRule="auto"/>
                          <w:ind w:left="97" w:right="112" w:firstLine="89"/>
                        </w:pPr>
                        <w:r>
                          <w:rPr>
                            <w:b/>
                            <w:bCs/>
                            <w:spacing w:val="-6"/>
                          </w:rPr>
                          <w:t>知识与</w:t>
                        </w:r>
                        <w:r>
                          <w:t xml:space="preserve">  </w:t>
                        </w:r>
                        <w:r>
                          <w:rPr>
                            <w:b/>
                            <w:bCs/>
                            <w:spacing w:val="-4"/>
                          </w:rPr>
                          <w:t>技能要点</w:t>
                        </w:r>
                      </w:p>
                    </w:tc>
                    <w:tc>
                      <w:tcPr>
                        <w:tcW w:w="2324" w:type="dxa"/>
                        <w:vMerge w:val="restart"/>
                        <w:tcBorders>
                          <w:bottom w:val="nil"/>
                        </w:tcBorders>
                        <w:vAlign w:val="top"/>
                      </w:tcPr>
                      <w:p w14:paraId="22BBD636">
                        <w:pPr>
                          <w:pStyle w:val="6"/>
                          <w:spacing w:before="249" w:line="219" w:lineRule="auto"/>
                          <w:ind w:left="834"/>
                        </w:pPr>
                        <w:r>
                          <w:rPr>
                            <w:b/>
                            <w:bCs/>
                            <w:spacing w:val="5"/>
                          </w:rPr>
                          <w:t>考试条目</w:t>
                        </w:r>
                      </w:p>
                    </w:tc>
                    <w:tc>
                      <w:tcPr>
                        <w:tcW w:w="893" w:type="dxa"/>
                        <w:gridSpan w:val="4"/>
                        <w:vAlign w:val="top"/>
                      </w:tcPr>
                      <w:p w14:paraId="555AD320">
                        <w:pPr>
                          <w:pStyle w:val="6"/>
                          <w:spacing w:before="79" w:line="219" w:lineRule="auto"/>
                          <w:ind w:left="120"/>
                        </w:pPr>
                        <w:r>
                          <w:rPr>
                            <w:b/>
                            <w:bCs/>
                            <w:spacing w:val="-4"/>
                          </w:rPr>
                          <w:t>考试水平</w:t>
                        </w:r>
                      </w:p>
                    </w:tc>
                  </w:tr>
                  <w:tr w14:paraId="0071B9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8" w:hRule="atLeast"/>
                    </w:trPr>
                    <w:tc>
                      <w:tcPr>
                        <w:tcW w:w="893" w:type="dxa"/>
                        <w:vMerge w:val="continue"/>
                        <w:tcBorders>
                          <w:top w:val="nil"/>
                        </w:tcBorders>
                        <w:vAlign w:val="top"/>
                      </w:tcPr>
                      <w:p w14:paraId="1F2C9FD0">
                        <w:pPr>
                          <w:rPr>
                            <w:rFonts w:ascii="Arial"/>
                            <w:sz w:val="21"/>
                          </w:rPr>
                        </w:pPr>
                      </w:p>
                    </w:tc>
                    <w:tc>
                      <w:tcPr>
                        <w:tcW w:w="2324" w:type="dxa"/>
                        <w:vMerge w:val="continue"/>
                        <w:tcBorders>
                          <w:top w:val="nil"/>
                        </w:tcBorders>
                        <w:vAlign w:val="top"/>
                      </w:tcPr>
                      <w:p w14:paraId="27E7C00F">
                        <w:pPr>
                          <w:rPr>
                            <w:rFonts w:ascii="Arial"/>
                            <w:sz w:val="21"/>
                          </w:rPr>
                        </w:pPr>
                      </w:p>
                    </w:tc>
                    <w:tc>
                      <w:tcPr>
                        <w:tcW w:w="220" w:type="dxa"/>
                        <w:vAlign w:val="top"/>
                      </w:tcPr>
                      <w:p w14:paraId="7136CDB6">
                        <w:pPr>
                          <w:pStyle w:val="6"/>
                          <w:spacing w:before="121" w:line="184" w:lineRule="auto"/>
                          <w:ind w:left="58"/>
                        </w:pPr>
                        <w:r>
                          <w:t>A</w:t>
                        </w:r>
                      </w:p>
                    </w:tc>
                    <w:tc>
                      <w:tcPr>
                        <w:tcW w:w="229" w:type="dxa"/>
                        <w:vAlign w:val="top"/>
                      </w:tcPr>
                      <w:p w14:paraId="7B8166E0">
                        <w:pPr>
                          <w:pStyle w:val="6"/>
                          <w:spacing w:before="123" w:line="182" w:lineRule="auto"/>
                          <w:ind w:left="20"/>
                        </w:pPr>
                        <w:r>
                          <w:rPr>
                            <w:b/>
                            <w:bCs/>
                            <w:spacing w:val="-2"/>
                          </w:rPr>
                          <w:t>B</w:t>
                        </w:r>
                      </w:p>
                    </w:tc>
                    <w:tc>
                      <w:tcPr>
                        <w:tcW w:w="230" w:type="dxa"/>
                        <w:vAlign w:val="top"/>
                      </w:tcPr>
                      <w:p w14:paraId="5C0A6869">
                        <w:pPr>
                          <w:pStyle w:val="6"/>
                          <w:spacing w:before="121" w:line="183" w:lineRule="auto"/>
                          <w:jc w:val="right"/>
                        </w:pPr>
                        <w:r>
                          <w:rPr>
                            <w:b/>
                            <w:bCs/>
                            <w:spacing w:val="-9"/>
                          </w:rPr>
                          <w:t>C</w:t>
                        </w:r>
                      </w:p>
                    </w:tc>
                    <w:tc>
                      <w:tcPr>
                        <w:tcW w:w="214" w:type="dxa"/>
                        <w:vAlign w:val="top"/>
                      </w:tcPr>
                      <w:p w14:paraId="56920817">
                        <w:pPr>
                          <w:pStyle w:val="6"/>
                          <w:spacing w:before="123" w:line="182" w:lineRule="auto"/>
                          <w:ind w:left="21"/>
                        </w:pPr>
                        <w:r>
                          <w:rPr>
                            <w:b/>
                            <w:bCs/>
                            <w:spacing w:val="-2"/>
                          </w:rPr>
                          <w:t>D</w:t>
                        </w:r>
                      </w:p>
                    </w:tc>
                  </w:tr>
                  <w:tr w14:paraId="544BC1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8" w:hRule="atLeast"/>
                    </w:trPr>
                    <w:tc>
                      <w:tcPr>
                        <w:tcW w:w="893" w:type="dxa"/>
                        <w:vMerge w:val="restart"/>
                        <w:tcBorders>
                          <w:bottom w:val="nil"/>
                        </w:tcBorders>
                        <w:vAlign w:val="top"/>
                      </w:tcPr>
                      <w:p w14:paraId="3CDE46EB">
                        <w:pPr>
                          <w:spacing w:line="272" w:lineRule="auto"/>
                          <w:rPr>
                            <w:rFonts w:ascii="Arial"/>
                            <w:sz w:val="21"/>
                          </w:rPr>
                        </w:pPr>
                      </w:p>
                      <w:p w14:paraId="2493A990">
                        <w:pPr>
                          <w:pStyle w:val="6"/>
                          <w:spacing w:before="56" w:line="247" w:lineRule="auto"/>
                          <w:ind w:left="264" w:right="115" w:hanging="169"/>
                        </w:pPr>
                        <w:r>
                          <w:rPr>
                            <w:spacing w:val="-2"/>
                          </w:rPr>
                          <w:t>流体输送</w:t>
                        </w:r>
                        <w:r>
                          <w:t xml:space="preserve"> </w:t>
                        </w:r>
                        <w:r>
                          <w:rPr>
                            <w:spacing w:val="-2"/>
                          </w:rPr>
                          <w:t>机械</w:t>
                        </w:r>
                      </w:p>
                    </w:tc>
                    <w:tc>
                      <w:tcPr>
                        <w:tcW w:w="2324" w:type="dxa"/>
                        <w:vAlign w:val="top"/>
                      </w:tcPr>
                      <w:p w14:paraId="7A161091">
                        <w:pPr>
                          <w:pStyle w:val="6"/>
                          <w:spacing w:before="50" w:line="214" w:lineRule="auto"/>
                          <w:ind w:left="52"/>
                        </w:pPr>
                        <w:r>
                          <w:rPr>
                            <w:spacing w:val="1"/>
                          </w:rPr>
                          <w:t>1.离心泵</w:t>
                        </w:r>
                      </w:p>
                    </w:tc>
                    <w:tc>
                      <w:tcPr>
                        <w:tcW w:w="220" w:type="dxa"/>
                        <w:vAlign w:val="top"/>
                      </w:tcPr>
                      <w:p w14:paraId="3C1D74F6">
                        <w:pPr>
                          <w:rPr>
                            <w:rFonts w:ascii="Arial"/>
                            <w:sz w:val="21"/>
                          </w:rPr>
                        </w:pPr>
                      </w:p>
                    </w:tc>
                    <w:tc>
                      <w:tcPr>
                        <w:tcW w:w="229" w:type="dxa"/>
                        <w:vAlign w:val="top"/>
                      </w:tcPr>
                      <w:p w14:paraId="59C1030F">
                        <w:pPr>
                          <w:rPr>
                            <w:rFonts w:ascii="Arial"/>
                            <w:sz w:val="21"/>
                          </w:rPr>
                        </w:pPr>
                      </w:p>
                    </w:tc>
                    <w:tc>
                      <w:tcPr>
                        <w:tcW w:w="230" w:type="dxa"/>
                        <w:vAlign w:val="top"/>
                      </w:tcPr>
                      <w:p w14:paraId="36759969">
                        <w:pPr>
                          <w:rPr>
                            <w:rFonts w:ascii="Arial"/>
                            <w:sz w:val="21"/>
                          </w:rPr>
                        </w:pPr>
                      </w:p>
                    </w:tc>
                    <w:tc>
                      <w:tcPr>
                        <w:tcW w:w="214" w:type="dxa"/>
                        <w:vAlign w:val="top"/>
                      </w:tcPr>
                      <w:p w14:paraId="4408B1A3">
                        <w:pPr>
                          <w:rPr>
                            <w:rFonts w:ascii="Arial"/>
                            <w:sz w:val="21"/>
                          </w:rPr>
                        </w:pPr>
                      </w:p>
                    </w:tc>
                  </w:tr>
                  <w:tr w14:paraId="71096F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continue"/>
                        <w:tcBorders>
                          <w:top w:val="nil"/>
                          <w:bottom w:val="nil"/>
                        </w:tcBorders>
                        <w:vAlign w:val="top"/>
                      </w:tcPr>
                      <w:p w14:paraId="5113057B">
                        <w:pPr>
                          <w:rPr>
                            <w:rFonts w:ascii="Arial"/>
                            <w:sz w:val="21"/>
                          </w:rPr>
                        </w:pPr>
                      </w:p>
                    </w:tc>
                    <w:tc>
                      <w:tcPr>
                        <w:tcW w:w="2324" w:type="dxa"/>
                        <w:vAlign w:val="top"/>
                      </w:tcPr>
                      <w:p w14:paraId="7D159E29">
                        <w:pPr>
                          <w:pStyle w:val="6"/>
                          <w:spacing w:before="52" w:line="213" w:lineRule="auto"/>
                          <w:ind w:left="52"/>
                        </w:pPr>
                        <w:r>
                          <w:rPr>
                            <w:spacing w:val="-2"/>
                          </w:rPr>
                          <w:t>2.其他类型泵</w:t>
                        </w:r>
                      </w:p>
                    </w:tc>
                    <w:tc>
                      <w:tcPr>
                        <w:tcW w:w="220" w:type="dxa"/>
                        <w:vAlign w:val="top"/>
                      </w:tcPr>
                      <w:p w14:paraId="5AD14B8B">
                        <w:pPr>
                          <w:pStyle w:val="6"/>
                          <w:spacing w:before="83" w:line="238" w:lineRule="auto"/>
                          <w:ind w:left="48"/>
                          <w:rPr>
                            <w:sz w:val="12"/>
                            <w:szCs w:val="12"/>
                          </w:rPr>
                        </w:pPr>
                        <w:r>
                          <w:rPr>
                            <w:sz w:val="12"/>
                            <w:szCs w:val="12"/>
                          </w:rPr>
                          <w:t>√</w:t>
                        </w:r>
                      </w:p>
                    </w:tc>
                    <w:tc>
                      <w:tcPr>
                        <w:tcW w:w="229" w:type="dxa"/>
                        <w:vAlign w:val="top"/>
                      </w:tcPr>
                      <w:p w14:paraId="252B14E7">
                        <w:pPr>
                          <w:rPr>
                            <w:rFonts w:ascii="Arial"/>
                            <w:sz w:val="21"/>
                          </w:rPr>
                        </w:pPr>
                      </w:p>
                    </w:tc>
                    <w:tc>
                      <w:tcPr>
                        <w:tcW w:w="230" w:type="dxa"/>
                        <w:vAlign w:val="top"/>
                      </w:tcPr>
                      <w:p w14:paraId="3951D6CE">
                        <w:pPr>
                          <w:rPr>
                            <w:rFonts w:ascii="Arial"/>
                            <w:sz w:val="21"/>
                          </w:rPr>
                        </w:pPr>
                      </w:p>
                    </w:tc>
                    <w:tc>
                      <w:tcPr>
                        <w:tcW w:w="214" w:type="dxa"/>
                        <w:vAlign w:val="top"/>
                      </w:tcPr>
                      <w:p w14:paraId="15E4683D">
                        <w:pPr>
                          <w:rPr>
                            <w:rFonts w:ascii="Arial"/>
                            <w:sz w:val="21"/>
                          </w:rPr>
                        </w:pPr>
                      </w:p>
                    </w:tc>
                  </w:tr>
                  <w:tr w14:paraId="2E5A6F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8" w:hRule="atLeast"/>
                    </w:trPr>
                    <w:tc>
                      <w:tcPr>
                        <w:tcW w:w="893" w:type="dxa"/>
                        <w:vMerge w:val="continue"/>
                        <w:tcBorders>
                          <w:top w:val="nil"/>
                          <w:bottom w:val="nil"/>
                        </w:tcBorders>
                        <w:vAlign w:val="top"/>
                      </w:tcPr>
                      <w:p w14:paraId="525D2E22">
                        <w:pPr>
                          <w:rPr>
                            <w:rFonts w:ascii="Arial"/>
                            <w:sz w:val="21"/>
                          </w:rPr>
                        </w:pPr>
                      </w:p>
                    </w:tc>
                    <w:tc>
                      <w:tcPr>
                        <w:tcW w:w="2324" w:type="dxa"/>
                        <w:vAlign w:val="top"/>
                      </w:tcPr>
                      <w:p w14:paraId="6926F38F">
                        <w:pPr>
                          <w:pStyle w:val="6"/>
                          <w:spacing w:before="53" w:line="211" w:lineRule="auto"/>
                          <w:ind w:left="52"/>
                        </w:pPr>
                        <w:r>
                          <w:rPr>
                            <w:spacing w:val="-2"/>
                          </w:rPr>
                          <w:t>3.往复式压缩机</w:t>
                        </w:r>
                      </w:p>
                    </w:tc>
                    <w:tc>
                      <w:tcPr>
                        <w:tcW w:w="220" w:type="dxa"/>
                        <w:vAlign w:val="top"/>
                      </w:tcPr>
                      <w:p w14:paraId="7D85EF31">
                        <w:pPr>
                          <w:rPr>
                            <w:rFonts w:ascii="Arial"/>
                            <w:sz w:val="21"/>
                          </w:rPr>
                        </w:pPr>
                      </w:p>
                    </w:tc>
                    <w:tc>
                      <w:tcPr>
                        <w:tcW w:w="229" w:type="dxa"/>
                        <w:vAlign w:val="top"/>
                      </w:tcPr>
                      <w:p w14:paraId="1879C2D1">
                        <w:pPr>
                          <w:rPr>
                            <w:rFonts w:ascii="Arial"/>
                            <w:sz w:val="21"/>
                          </w:rPr>
                        </w:pPr>
                      </w:p>
                    </w:tc>
                    <w:tc>
                      <w:tcPr>
                        <w:tcW w:w="230" w:type="dxa"/>
                        <w:vAlign w:val="top"/>
                      </w:tcPr>
                      <w:p w14:paraId="6C63BE4E">
                        <w:pPr>
                          <w:pStyle w:val="6"/>
                          <w:spacing w:before="84" w:line="238" w:lineRule="auto"/>
                          <w:ind w:left="19"/>
                          <w:rPr>
                            <w:sz w:val="12"/>
                            <w:szCs w:val="12"/>
                          </w:rPr>
                        </w:pPr>
                        <w:r>
                          <w:rPr>
                            <w:sz w:val="12"/>
                            <w:szCs w:val="12"/>
                          </w:rPr>
                          <w:t>√</w:t>
                        </w:r>
                      </w:p>
                    </w:tc>
                    <w:tc>
                      <w:tcPr>
                        <w:tcW w:w="214" w:type="dxa"/>
                        <w:vAlign w:val="top"/>
                      </w:tcPr>
                      <w:p w14:paraId="34B03E8E">
                        <w:pPr>
                          <w:rPr>
                            <w:rFonts w:ascii="Arial"/>
                            <w:sz w:val="21"/>
                          </w:rPr>
                        </w:pPr>
                      </w:p>
                    </w:tc>
                  </w:tr>
                  <w:tr w14:paraId="05EB25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4" w:hRule="atLeast"/>
                    </w:trPr>
                    <w:tc>
                      <w:tcPr>
                        <w:tcW w:w="893" w:type="dxa"/>
                        <w:vMerge w:val="continue"/>
                        <w:tcBorders>
                          <w:top w:val="nil"/>
                        </w:tcBorders>
                        <w:vAlign w:val="top"/>
                      </w:tcPr>
                      <w:p w14:paraId="1F9ECDE2">
                        <w:pPr>
                          <w:rPr>
                            <w:rFonts w:ascii="Arial"/>
                            <w:sz w:val="21"/>
                          </w:rPr>
                        </w:pPr>
                      </w:p>
                    </w:tc>
                    <w:tc>
                      <w:tcPr>
                        <w:tcW w:w="2324" w:type="dxa"/>
                        <w:vAlign w:val="top"/>
                      </w:tcPr>
                      <w:p w14:paraId="5C54E314">
                        <w:pPr>
                          <w:pStyle w:val="6"/>
                          <w:spacing w:before="55" w:line="216" w:lineRule="auto"/>
                          <w:ind w:left="52"/>
                        </w:pPr>
                        <w:r>
                          <w:rPr>
                            <w:spacing w:val="-1"/>
                          </w:rPr>
                          <w:t>4.离心压缩机</w:t>
                        </w:r>
                      </w:p>
                    </w:tc>
                    <w:tc>
                      <w:tcPr>
                        <w:tcW w:w="220" w:type="dxa"/>
                        <w:vAlign w:val="top"/>
                      </w:tcPr>
                      <w:p w14:paraId="7EB8EC26">
                        <w:pPr>
                          <w:pStyle w:val="6"/>
                          <w:spacing w:before="86" w:line="238" w:lineRule="auto"/>
                          <w:ind w:left="48"/>
                          <w:rPr>
                            <w:sz w:val="12"/>
                            <w:szCs w:val="12"/>
                          </w:rPr>
                        </w:pPr>
                        <w:r>
                          <w:rPr>
                            <w:sz w:val="12"/>
                            <w:szCs w:val="12"/>
                          </w:rPr>
                          <w:t>√</w:t>
                        </w:r>
                      </w:p>
                    </w:tc>
                    <w:tc>
                      <w:tcPr>
                        <w:tcW w:w="229" w:type="dxa"/>
                        <w:vAlign w:val="top"/>
                      </w:tcPr>
                      <w:p w14:paraId="65EDB244">
                        <w:pPr>
                          <w:rPr>
                            <w:rFonts w:ascii="Arial"/>
                            <w:sz w:val="21"/>
                          </w:rPr>
                        </w:pPr>
                      </w:p>
                    </w:tc>
                    <w:tc>
                      <w:tcPr>
                        <w:tcW w:w="230" w:type="dxa"/>
                        <w:vAlign w:val="top"/>
                      </w:tcPr>
                      <w:p w14:paraId="3B805778">
                        <w:pPr>
                          <w:rPr>
                            <w:rFonts w:ascii="Arial"/>
                            <w:sz w:val="21"/>
                          </w:rPr>
                        </w:pPr>
                      </w:p>
                    </w:tc>
                    <w:tc>
                      <w:tcPr>
                        <w:tcW w:w="214" w:type="dxa"/>
                        <w:vAlign w:val="top"/>
                      </w:tcPr>
                      <w:p w14:paraId="5D7D269F">
                        <w:pPr>
                          <w:rPr>
                            <w:rFonts w:ascii="Arial"/>
                            <w:sz w:val="21"/>
                          </w:rPr>
                        </w:pPr>
                      </w:p>
                    </w:tc>
                  </w:tr>
                </w:tbl>
                <w:p w14:paraId="044DA333">
                  <w:pPr>
                    <w:pStyle w:val="2"/>
                  </w:pPr>
                </w:p>
              </w:txbxContent>
            </v:textbox>
          </v:shape>
        </w:pict>
      </w:r>
    </w:p>
    <w:p w14:paraId="0552E160">
      <w:pPr>
        <w:spacing w:before="12"/>
      </w:pPr>
    </w:p>
    <w:p w14:paraId="78E0B664">
      <w:pPr>
        <w:spacing w:before="12"/>
      </w:pPr>
    </w:p>
    <w:p w14:paraId="3A660D8A">
      <w:pPr>
        <w:spacing w:before="12"/>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24"/>
        <w:gridCol w:w="220"/>
        <w:gridCol w:w="229"/>
        <w:gridCol w:w="229"/>
        <w:gridCol w:w="224"/>
      </w:tblGrid>
      <w:tr w14:paraId="208035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3" w:hRule="atLeast"/>
        </w:trPr>
        <w:tc>
          <w:tcPr>
            <w:tcW w:w="893" w:type="dxa"/>
            <w:vMerge w:val="restart"/>
            <w:tcBorders>
              <w:bottom w:val="nil"/>
            </w:tcBorders>
            <w:vAlign w:val="top"/>
          </w:tcPr>
          <w:p w14:paraId="503B01FF">
            <w:pPr>
              <w:pStyle w:val="6"/>
              <w:spacing w:before="142" w:line="229" w:lineRule="auto"/>
              <w:ind w:left="97" w:right="112" w:firstLine="89"/>
            </w:pPr>
            <w:r>
              <w:rPr>
                <w:b/>
                <w:bCs/>
                <w:spacing w:val="-6"/>
              </w:rPr>
              <w:t>知识与</w:t>
            </w:r>
            <w:r>
              <w:t xml:space="preserve">  </w:t>
            </w:r>
            <w:r>
              <w:rPr>
                <w:b/>
                <w:bCs/>
                <w:spacing w:val="-4"/>
              </w:rPr>
              <w:t>技能要点</w:t>
            </w:r>
          </w:p>
        </w:tc>
        <w:tc>
          <w:tcPr>
            <w:tcW w:w="2324" w:type="dxa"/>
            <w:vMerge w:val="restart"/>
            <w:tcBorders>
              <w:bottom w:val="nil"/>
            </w:tcBorders>
            <w:vAlign w:val="top"/>
          </w:tcPr>
          <w:p w14:paraId="5FD475D0">
            <w:pPr>
              <w:pStyle w:val="6"/>
              <w:spacing w:before="249" w:line="219" w:lineRule="auto"/>
              <w:ind w:left="844"/>
            </w:pPr>
            <w:r>
              <w:rPr>
                <w:b/>
                <w:bCs/>
                <w:spacing w:val="5"/>
              </w:rPr>
              <w:t>考试条目</w:t>
            </w:r>
          </w:p>
        </w:tc>
        <w:tc>
          <w:tcPr>
            <w:tcW w:w="902" w:type="dxa"/>
            <w:gridSpan w:val="4"/>
            <w:vAlign w:val="top"/>
          </w:tcPr>
          <w:p w14:paraId="0056A961">
            <w:pPr>
              <w:pStyle w:val="6"/>
              <w:spacing w:before="79" w:line="219" w:lineRule="auto"/>
              <w:ind w:left="120"/>
            </w:pPr>
            <w:r>
              <w:rPr>
                <w:b/>
                <w:bCs/>
                <w:spacing w:val="-4"/>
              </w:rPr>
              <w:t>考试水平</w:t>
            </w:r>
          </w:p>
        </w:tc>
      </w:tr>
      <w:tr w14:paraId="05D03A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8" w:hRule="atLeast"/>
        </w:trPr>
        <w:tc>
          <w:tcPr>
            <w:tcW w:w="893" w:type="dxa"/>
            <w:vMerge w:val="continue"/>
            <w:tcBorders>
              <w:top w:val="nil"/>
            </w:tcBorders>
            <w:vAlign w:val="top"/>
          </w:tcPr>
          <w:p w14:paraId="27DAA1CA">
            <w:pPr>
              <w:rPr>
                <w:rFonts w:ascii="Arial"/>
                <w:sz w:val="21"/>
              </w:rPr>
            </w:pPr>
          </w:p>
        </w:tc>
        <w:tc>
          <w:tcPr>
            <w:tcW w:w="2324" w:type="dxa"/>
            <w:vMerge w:val="continue"/>
            <w:tcBorders>
              <w:top w:val="nil"/>
            </w:tcBorders>
            <w:vAlign w:val="top"/>
          </w:tcPr>
          <w:p w14:paraId="76E410C6">
            <w:pPr>
              <w:rPr>
                <w:rFonts w:ascii="Arial"/>
                <w:sz w:val="21"/>
              </w:rPr>
            </w:pPr>
          </w:p>
        </w:tc>
        <w:tc>
          <w:tcPr>
            <w:tcW w:w="220" w:type="dxa"/>
            <w:vAlign w:val="top"/>
          </w:tcPr>
          <w:p w14:paraId="47AEE9AF">
            <w:pPr>
              <w:pStyle w:val="6"/>
              <w:spacing w:before="121" w:line="184" w:lineRule="auto"/>
              <w:ind w:left="57"/>
            </w:pPr>
            <w:r>
              <w:t>A</w:t>
            </w:r>
          </w:p>
        </w:tc>
        <w:tc>
          <w:tcPr>
            <w:tcW w:w="229" w:type="dxa"/>
            <w:vAlign w:val="top"/>
          </w:tcPr>
          <w:p w14:paraId="62BF3688">
            <w:pPr>
              <w:pStyle w:val="6"/>
              <w:spacing w:before="123" w:line="182" w:lineRule="auto"/>
              <w:ind w:left="20"/>
            </w:pPr>
            <w:r>
              <w:rPr>
                <w:b/>
                <w:bCs/>
                <w:spacing w:val="-2"/>
              </w:rPr>
              <w:t>B</w:t>
            </w:r>
          </w:p>
        </w:tc>
        <w:tc>
          <w:tcPr>
            <w:tcW w:w="229" w:type="dxa"/>
            <w:vAlign w:val="top"/>
          </w:tcPr>
          <w:p w14:paraId="7648902D">
            <w:pPr>
              <w:pStyle w:val="6"/>
              <w:spacing w:before="122" w:line="183" w:lineRule="auto"/>
              <w:ind w:left="69"/>
            </w:pPr>
            <w:r>
              <w:t>C</w:t>
            </w:r>
          </w:p>
        </w:tc>
        <w:tc>
          <w:tcPr>
            <w:tcW w:w="224" w:type="dxa"/>
            <w:vAlign w:val="top"/>
          </w:tcPr>
          <w:p w14:paraId="75E19B5B">
            <w:pPr>
              <w:pStyle w:val="6"/>
              <w:spacing w:before="123" w:line="182" w:lineRule="auto"/>
              <w:ind w:left="22"/>
            </w:pPr>
            <w:r>
              <w:rPr>
                <w:b/>
                <w:bCs/>
                <w:spacing w:val="-2"/>
              </w:rPr>
              <w:t>D</w:t>
            </w:r>
          </w:p>
        </w:tc>
      </w:tr>
      <w:tr w14:paraId="17185E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8" w:hRule="atLeast"/>
        </w:trPr>
        <w:tc>
          <w:tcPr>
            <w:tcW w:w="893" w:type="dxa"/>
            <w:vMerge w:val="restart"/>
            <w:tcBorders>
              <w:bottom w:val="nil"/>
            </w:tcBorders>
            <w:vAlign w:val="top"/>
          </w:tcPr>
          <w:p w14:paraId="49498B00">
            <w:pPr>
              <w:pStyle w:val="6"/>
              <w:spacing w:before="81" w:line="220" w:lineRule="auto"/>
              <w:ind w:left="94"/>
            </w:pPr>
            <w:r>
              <w:rPr>
                <w:spacing w:val="-2"/>
              </w:rPr>
              <w:t>金属离子</w:t>
            </w:r>
          </w:p>
          <w:p w14:paraId="4B939B35">
            <w:pPr>
              <w:pStyle w:val="6"/>
              <w:spacing w:before="35" w:line="214" w:lineRule="auto"/>
              <w:ind w:left="184"/>
            </w:pPr>
            <w:r>
              <w:rPr>
                <w:spacing w:val="-2"/>
              </w:rPr>
              <w:t>指示剂</w:t>
            </w:r>
          </w:p>
        </w:tc>
        <w:tc>
          <w:tcPr>
            <w:tcW w:w="2324" w:type="dxa"/>
            <w:vAlign w:val="top"/>
          </w:tcPr>
          <w:p w14:paraId="13E5442C">
            <w:pPr>
              <w:pStyle w:val="6"/>
              <w:spacing w:before="50" w:line="215" w:lineRule="auto"/>
              <w:ind w:left="62"/>
            </w:pPr>
            <w:r>
              <w:t>1.金属指示剂的变色原理</w:t>
            </w:r>
          </w:p>
        </w:tc>
        <w:tc>
          <w:tcPr>
            <w:tcW w:w="220" w:type="dxa"/>
            <w:vAlign w:val="top"/>
          </w:tcPr>
          <w:p w14:paraId="3186F1D7">
            <w:pPr>
              <w:rPr>
                <w:rFonts w:ascii="Arial"/>
                <w:sz w:val="21"/>
              </w:rPr>
            </w:pPr>
          </w:p>
        </w:tc>
        <w:tc>
          <w:tcPr>
            <w:tcW w:w="229" w:type="dxa"/>
            <w:vAlign w:val="top"/>
          </w:tcPr>
          <w:p w14:paraId="34855A4F">
            <w:pPr>
              <w:pStyle w:val="6"/>
              <w:spacing w:before="81" w:line="238" w:lineRule="auto"/>
              <w:ind w:left="18"/>
              <w:rPr>
                <w:sz w:val="12"/>
                <w:szCs w:val="12"/>
              </w:rPr>
            </w:pPr>
            <w:r>
              <w:rPr>
                <w:sz w:val="12"/>
                <w:szCs w:val="12"/>
              </w:rPr>
              <w:t>√</w:t>
            </w:r>
          </w:p>
        </w:tc>
        <w:tc>
          <w:tcPr>
            <w:tcW w:w="229" w:type="dxa"/>
            <w:vAlign w:val="top"/>
          </w:tcPr>
          <w:p w14:paraId="5CE898D0">
            <w:pPr>
              <w:rPr>
                <w:rFonts w:ascii="Arial"/>
                <w:sz w:val="21"/>
              </w:rPr>
            </w:pPr>
          </w:p>
        </w:tc>
        <w:tc>
          <w:tcPr>
            <w:tcW w:w="224" w:type="dxa"/>
            <w:vAlign w:val="top"/>
          </w:tcPr>
          <w:p w14:paraId="362D85BB">
            <w:pPr>
              <w:rPr>
                <w:rFonts w:ascii="Arial"/>
                <w:sz w:val="21"/>
              </w:rPr>
            </w:pPr>
          </w:p>
        </w:tc>
      </w:tr>
      <w:tr w14:paraId="61F93A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continue"/>
            <w:tcBorders>
              <w:top w:val="nil"/>
            </w:tcBorders>
            <w:vAlign w:val="top"/>
          </w:tcPr>
          <w:p w14:paraId="6BBEF602">
            <w:pPr>
              <w:rPr>
                <w:rFonts w:ascii="Arial"/>
                <w:sz w:val="21"/>
              </w:rPr>
            </w:pPr>
          </w:p>
        </w:tc>
        <w:tc>
          <w:tcPr>
            <w:tcW w:w="2324" w:type="dxa"/>
            <w:vAlign w:val="top"/>
          </w:tcPr>
          <w:p w14:paraId="165EBE21">
            <w:pPr>
              <w:pStyle w:val="6"/>
              <w:spacing w:before="51" w:line="214" w:lineRule="auto"/>
              <w:ind w:left="62"/>
            </w:pPr>
            <w:r>
              <w:rPr>
                <w:spacing w:val="-1"/>
              </w:rPr>
              <w:t>2.金属指示剂应具备的条件</w:t>
            </w:r>
          </w:p>
        </w:tc>
        <w:tc>
          <w:tcPr>
            <w:tcW w:w="220" w:type="dxa"/>
            <w:vAlign w:val="top"/>
          </w:tcPr>
          <w:p w14:paraId="11275421">
            <w:pPr>
              <w:pStyle w:val="6"/>
              <w:spacing w:before="83" w:line="238" w:lineRule="auto"/>
              <w:ind w:left="48"/>
              <w:rPr>
                <w:sz w:val="12"/>
                <w:szCs w:val="12"/>
              </w:rPr>
            </w:pPr>
            <w:r>
              <w:rPr>
                <w:sz w:val="12"/>
                <w:szCs w:val="12"/>
              </w:rPr>
              <w:t>√</w:t>
            </w:r>
          </w:p>
        </w:tc>
        <w:tc>
          <w:tcPr>
            <w:tcW w:w="229" w:type="dxa"/>
            <w:vAlign w:val="top"/>
          </w:tcPr>
          <w:p w14:paraId="016FF899">
            <w:pPr>
              <w:rPr>
                <w:rFonts w:ascii="Arial"/>
                <w:sz w:val="21"/>
              </w:rPr>
            </w:pPr>
          </w:p>
        </w:tc>
        <w:tc>
          <w:tcPr>
            <w:tcW w:w="229" w:type="dxa"/>
            <w:vAlign w:val="top"/>
          </w:tcPr>
          <w:p w14:paraId="62B99720">
            <w:pPr>
              <w:rPr>
                <w:rFonts w:ascii="Arial"/>
                <w:sz w:val="21"/>
              </w:rPr>
            </w:pPr>
          </w:p>
        </w:tc>
        <w:tc>
          <w:tcPr>
            <w:tcW w:w="224" w:type="dxa"/>
            <w:vAlign w:val="top"/>
          </w:tcPr>
          <w:p w14:paraId="427D4BEB">
            <w:pPr>
              <w:rPr>
                <w:rFonts w:ascii="Arial"/>
                <w:sz w:val="21"/>
              </w:rPr>
            </w:pPr>
          </w:p>
        </w:tc>
      </w:tr>
      <w:tr w14:paraId="5796C9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8" w:hRule="atLeast"/>
        </w:trPr>
        <w:tc>
          <w:tcPr>
            <w:tcW w:w="893" w:type="dxa"/>
            <w:vMerge w:val="restart"/>
            <w:tcBorders>
              <w:bottom w:val="nil"/>
            </w:tcBorders>
            <w:vAlign w:val="top"/>
          </w:tcPr>
          <w:p w14:paraId="7195C2DD">
            <w:pPr>
              <w:pStyle w:val="6"/>
              <w:spacing w:before="94" w:line="224" w:lineRule="auto"/>
              <w:ind w:left="15" w:right="26" w:firstLine="79"/>
            </w:pPr>
            <w:r>
              <w:rPr>
                <w:spacing w:val="-1"/>
              </w:rPr>
              <w:t>EDTA标准</w:t>
            </w:r>
            <w:r>
              <w:t xml:space="preserve">  </w:t>
            </w:r>
            <w:r>
              <w:rPr>
                <w:spacing w:val="-2"/>
              </w:rPr>
              <w:t>溶液的制备</w:t>
            </w:r>
          </w:p>
        </w:tc>
        <w:tc>
          <w:tcPr>
            <w:tcW w:w="2324" w:type="dxa"/>
            <w:vAlign w:val="top"/>
          </w:tcPr>
          <w:p w14:paraId="18FE018B">
            <w:pPr>
              <w:pStyle w:val="6"/>
              <w:spacing w:before="54" w:line="210" w:lineRule="auto"/>
              <w:ind w:left="62"/>
            </w:pPr>
            <w:r>
              <w:rPr>
                <w:spacing w:val="1"/>
              </w:rPr>
              <w:t>1.</w:t>
            </w:r>
            <w:r>
              <w:t>EDTA</w:t>
            </w:r>
            <w:r>
              <w:rPr>
                <w:spacing w:val="1"/>
              </w:rPr>
              <w:t>标准溶液的配制</w:t>
            </w:r>
          </w:p>
        </w:tc>
        <w:tc>
          <w:tcPr>
            <w:tcW w:w="220" w:type="dxa"/>
            <w:vAlign w:val="top"/>
          </w:tcPr>
          <w:p w14:paraId="5D68E6BB">
            <w:pPr>
              <w:rPr>
                <w:rFonts w:ascii="Arial"/>
                <w:sz w:val="21"/>
              </w:rPr>
            </w:pPr>
          </w:p>
        </w:tc>
        <w:tc>
          <w:tcPr>
            <w:tcW w:w="229" w:type="dxa"/>
            <w:vAlign w:val="top"/>
          </w:tcPr>
          <w:p w14:paraId="34FD5899">
            <w:pPr>
              <w:rPr>
                <w:rFonts w:ascii="Arial"/>
                <w:sz w:val="21"/>
              </w:rPr>
            </w:pPr>
          </w:p>
        </w:tc>
        <w:tc>
          <w:tcPr>
            <w:tcW w:w="229" w:type="dxa"/>
            <w:vAlign w:val="top"/>
          </w:tcPr>
          <w:p w14:paraId="2F698E4E">
            <w:pPr>
              <w:pStyle w:val="6"/>
              <w:spacing w:before="84" w:line="238" w:lineRule="auto"/>
              <w:ind w:left="18"/>
              <w:rPr>
                <w:sz w:val="12"/>
                <w:szCs w:val="12"/>
              </w:rPr>
            </w:pPr>
            <w:r>
              <w:rPr>
                <w:sz w:val="12"/>
                <w:szCs w:val="12"/>
              </w:rPr>
              <w:t>√</w:t>
            </w:r>
          </w:p>
        </w:tc>
        <w:tc>
          <w:tcPr>
            <w:tcW w:w="224" w:type="dxa"/>
            <w:vAlign w:val="top"/>
          </w:tcPr>
          <w:p w14:paraId="45C23674">
            <w:pPr>
              <w:rPr>
                <w:rFonts w:ascii="Arial"/>
                <w:sz w:val="21"/>
              </w:rPr>
            </w:pPr>
          </w:p>
        </w:tc>
      </w:tr>
      <w:tr w14:paraId="4B0922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4" w:hRule="atLeast"/>
        </w:trPr>
        <w:tc>
          <w:tcPr>
            <w:tcW w:w="893" w:type="dxa"/>
            <w:vMerge w:val="continue"/>
            <w:tcBorders>
              <w:top w:val="nil"/>
            </w:tcBorders>
            <w:vAlign w:val="top"/>
          </w:tcPr>
          <w:p w14:paraId="1B921F27">
            <w:pPr>
              <w:rPr>
                <w:rFonts w:ascii="Arial"/>
                <w:sz w:val="21"/>
              </w:rPr>
            </w:pPr>
          </w:p>
        </w:tc>
        <w:tc>
          <w:tcPr>
            <w:tcW w:w="2324" w:type="dxa"/>
            <w:vAlign w:val="top"/>
          </w:tcPr>
          <w:p w14:paraId="4DA9A6DF">
            <w:pPr>
              <w:pStyle w:val="6"/>
              <w:spacing w:before="56" w:line="214" w:lineRule="auto"/>
              <w:ind w:left="62"/>
            </w:pPr>
            <w:r>
              <w:rPr>
                <w:spacing w:val="-1"/>
              </w:rPr>
              <w:t>2.EDTA标准溶液的标定</w:t>
            </w:r>
          </w:p>
        </w:tc>
        <w:tc>
          <w:tcPr>
            <w:tcW w:w="220" w:type="dxa"/>
            <w:vAlign w:val="top"/>
          </w:tcPr>
          <w:p w14:paraId="6E12B260">
            <w:pPr>
              <w:rPr>
                <w:rFonts w:ascii="Arial"/>
                <w:sz w:val="21"/>
              </w:rPr>
            </w:pPr>
          </w:p>
        </w:tc>
        <w:tc>
          <w:tcPr>
            <w:tcW w:w="229" w:type="dxa"/>
            <w:vAlign w:val="top"/>
          </w:tcPr>
          <w:p w14:paraId="51B8820B">
            <w:pPr>
              <w:rPr>
                <w:rFonts w:ascii="Arial"/>
                <w:sz w:val="21"/>
              </w:rPr>
            </w:pPr>
          </w:p>
        </w:tc>
        <w:tc>
          <w:tcPr>
            <w:tcW w:w="229" w:type="dxa"/>
            <w:vAlign w:val="top"/>
          </w:tcPr>
          <w:p w14:paraId="0A65D8D6">
            <w:pPr>
              <w:pStyle w:val="6"/>
              <w:spacing w:before="101" w:line="166" w:lineRule="auto"/>
              <w:ind w:left="69"/>
            </w:pPr>
            <w:r>
              <w:t>V</w:t>
            </w:r>
          </w:p>
        </w:tc>
        <w:tc>
          <w:tcPr>
            <w:tcW w:w="224" w:type="dxa"/>
            <w:vAlign w:val="top"/>
          </w:tcPr>
          <w:p w14:paraId="684112EA">
            <w:pPr>
              <w:rPr>
                <w:rFonts w:ascii="Arial"/>
                <w:sz w:val="21"/>
              </w:rPr>
            </w:pPr>
          </w:p>
        </w:tc>
      </w:tr>
    </w:tbl>
    <w:p w14:paraId="4CE6BAF8">
      <w:pPr>
        <w:pStyle w:val="2"/>
      </w:pPr>
    </w:p>
    <w:p w14:paraId="5EAB2904">
      <w:pPr>
        <w:spacing w:line="77" w:lineRule="auto"/>
        <w:rPr>
          <w:rFonts w:ascii="Arial"/>
          <w:sz w:val="2"/>
        </w:rPr>
      </w:pPr>
    </w:p>
    <w:p w14:paraId="3264EAC7">
      <w:pPr>
        <w:spacing w:line="77" w:lineRule="auto"/>
        <w:rPr>
          <w:rFonts w:ascii="Arial" w:hAnsi="Arial" w:eastAsia="Arial" w:cs="Arial"/>
          <w:sz w:val="2"/>
          <w:szCs w:val="2"/>
        </w:rPr>
        <w:sectPr>
          <w:footerReference r:id="rId95" w:type="default"/>
          <w:pgSz w:w="10660" w:h="15080"/>
          <w:pgMar w:top="400" w:right="875" w:bottom="936" w:left="1034" w:header="0" w:footer="715" w:gutter="0"/>
          <w:cols w:equalWidth="0" w:num="1">
            <w:col w:w="8750"/>
          </w:cols>
        </w:sectPr>
      </w:pPr>
    </w:p>
    <w:p w14:paraId="1895DB87">
      <w:pPr>
        <w:spacing w:before="49" w:line="220" w:lineRule="auto"/>
        <w:ind w:left="1177"/>
        <w:rPr>
          <w:rFonts w:ascii="黑体" w:hAnsi="黑体" w:eastAsia="黑体" w:cs="黑体"/>
          <w:sz w:val="20"/>
          <w:szCs w:val="20"/>
        </w:rPr>
      </w:pPr>
      <w:r>
        <w:rPr>
          <w:rFonts w:ascii="黑体" w:hAnsi="黑体" w:eastAsia="黑体" w:cs="黑体"/>
          <w:b/>
          <w:bCs/>
          <w:spacing w:val="-5"/>
          <w:sz w:val="20"/>
          <w:szCs w:val="20"/>
        </w:rPr>
        <w:t>四、氧化还原滴定法</w:t>
      </w:r>
    </w:p>
    <w:p w14:paraId="264D9EF6">
      <w:pPr>
        <w:spacing w:line="83" w:lineRule="exact"/>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14"/>
        <w:gridCol w:w="229"/>
        <w:gridCol w:w="230"/>
        <w:gridCol w:w="229"/>
        <w:gridCol w:w="224"/>
      </w:tblGrid>
      <w:tr w14:paraId="30F0A5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3" w:hRule="atLeast"/>
        </w:trPr>
        <w:tc>
          <w:tcPr>
            <w:tcW w:w="893" w:type="dxa"/>
            <w:vMerge w:val="restart"/>
            <w:tcBorders>
              <w:bottom w:val="nil"/>
            </w:tcBorders>
            <w:vAlign w:val="top"/>
          </w:tcPr>
          <w:p w14:paraId="51DB53BF">
            <w:pPr>
              <w:pStyle w:val="6"/>
              <w:spacing w:before="142" w:line="229" w:lineRule="auto"/>
              <w:ind w:left="97" w:right="112" w:firstLine="89"/>
            </w:pPr>
            <w:r>
              <w:rPr>
                <w:b/>
                <w:bCs/>
                <w:spacing w:val="-6"/>
              </w:rPr>
              <w:t>知识与</w:t>
            </w:r>
            <w:r>
              <w:t xml:space="preserve">  </w:t>
            </w:r>
            <w:r>
              <w:rPr>
                <w:b/>
                <w:bCs/>
                <w:spacing w:val="-4"/>
              </w:rPr>
              <w:t>技能要点</w:t>
            </w:r>
          </w:p>
        </w:tc>
        <w:tc>
          <w:tcPr>
            <w:tcW w:w="2314" w:type="dxa"/>
            <w:vMerge w:val="restart"/>
            <w:tcBorders>
              <w:bottom w:val="nil"/>
            </w:tcBorders>
            <w:vAlign w:val="top"/>
          </w:tcPr>
          <w:p w14:paraId="33632C0C">
            <w:pPr>
              <w:pStyle w:val="6"/>
              <w:spacing w:before="249" w:line="219" w:lineRule="auto"/>
              <w:ind w:left="834"/>
            </w:pPr>
            <w:r>
              <w:rPr>
                <w:b/>
                <w:bCs/>
                <w:spacing w:val="5"/>
              </w:rPr>
              <w:t>考试条目</w:t>
            </w:r>
          </w:p>
        </w:tc>
        <w:tc>
          <w:tcPr>
            <w:tcW w:w="912" w:type="dxa"/>
            <w:gridSpan w:val="4"/>
            <w:vAlign w:val="top"/>
          </w:tcPr>
          <w:p w14:paraId="79D04043">
            <w:pPr>
              <w:pStyle w:val="6"/>
              <w:spacing w:before="79" w:line="219" w:lineRule="auto"/>
              <w:ind w:left="130"/>
            </w:pPr>
            <w:r>
              <w:rPr>
                <w:b/>
                <w:bCs/>
                <w:spacing w:val="-4"/>
              </w:rPr>
              <w:t>考试水平</w:t>
            </w:r>
          </w:p>
        </w:tc>
      </w:tr>
      <w:tr w14:paraId="7C464C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9" w:hRule="atLeast"/>
        </w:trPr>
        <w:tc>
          <w:tcPr>
            <w:tcW w:w="893" w:type="dxa"/>
            <w:vMerge w:val="continue"/>
            <w:tcBorders>
              <w:top w:val="nil"/>
            </w:tcBorders>
            <w:vAlign w:val="top"/>
          </w:tcPr>
          <w:p w14:paraId="2182BECF">
            <w:pPr>
              <w:rPr>
                <w:rFonts w:ascii="Arial"/>
                <w:sz w:val="21"/>
              </w:rPr>
            </w:pPr>
          </w:p>
        </w:tc>
        <w:tc>
          <w:tcPr>
            <w:tcW w:w="2314" w:type="dxa"/>
            <w:vMerge w:val="continue"/>
            <w:tcBorders>
              <w:top w:val="nil"/>
            </w:tcBorders>
            <w:vAlign w:val="top"/>
          </w:tcPr>
          <w:p w14:paraId="407E722B">
            <w:pPr>
              <w:rPr>
                <w:rFonts w:ascii="Arial"/>
                <w:sz w:val="21"/>
              </w:rPr>
            </w:pPr>
          </w:p>
        </w:tc>
        <w:tc>
          <w:tcPr>
            <w:tcW w:w="229" w:type="dxa"/>
            <w:vAlign w:val="top"/>
          </w:tcPr>
          <w:p w14:paraId="4707906C">
            <w:pPr>
              <w:pStyle w:val="6"/>
              <w:spacing w:before="121" w:line="184" w:lineRule="auto"/>
              <w:ind w:left="67"/>
            </w:pPr>
            <w:r>
              <w:t>A</w:t>
            </w:r>
          </w:p>
        </w:tc>
        <w:tc>
          <w:tcPr>
            <w:tcW w:w="230" w:type="dxa"/>
            <w:vAlign w:val="top"/>
          </w:tcPr>
          <w:p w14:paraId="67DF1754">
            <w:pPr>
              <w:pStyle w:val="6"/>
              <w:spacing w:before="123" w:line="182" w:lineRule="auto"/>
              <w:ind w:left="71"/>
            </w:pPr>
            <w:r>
              <w:rPr>
                <w:b/>
                <w:bCs/>
                <w:spacing w:val="-2"/>
              </w:rPr>
              <w:t>B</w:t>
            </w:r>
          </w:p>
        </w:tc>
        <w:tc>
          <w:tcPr>
            <w:tcW w:w="229" w:type="dxa"/>
            <w:vAlign w:val="top"/>
          </w:tcPr>
          <w:p w14:paraId="085A592B">
            <w:pPr>
              <w:pStyle w:val="6"/>
              <w:spacing w:before="122" w:line="183" w:lineRule="auto"/>
              <w:ind w:left="9"/>
            </w:pPr>
            <w:r>
              <w:t>C</w:t>
            </w:r>
          </w:p>
        </w:tc>
        <w:tc>
          <w:tcPr>
            <w:tcW w:w="224" w:type="dxa"/>
            <w:vAlign w:val="top"/>
          </w:tcPr>
          <w:p w14:paraId="79474EBB">
            <w:pPr>
              <w:pStyle w:val="6"/>
              <w:spacing w:before="123" w:line="182" w:lineRule="auto"/>
              <w:ind w:left="22"/>
            </w:pPr>
            <w:r>
              <w:rPr>
                <w:b/>
                <w:bCs/>
                <w:spacing w:val="-2"/>
              </w:rPr>
              <w:t>D</w:t>
            </w:r>
          </w:p>
        </w:tc>
      </w:tr>
      <w:tr w14:paraId="00DBF9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restart"/>
            <w:tcBorders>
              <w:bottom w:val="nil"/>
            </w:tcBorders>
            <w:vAlign w:val="top"/>
          </w:tcPr>
          <w:p w14:paraId="67C50183">
            <w:pPr>
              <w:pStyle w:val="6"/>
              <w:spacing w:before="59" w:line="249" w:lineRule="auto"/>
              <w:ind w:left="264" w:right="94" w:hanging="170"/>
            </w:pPr>
            <w:r>
              <w:rPr>
                <w:spacing w:val="3"/>
              </w:rPr>
              <w:t>氧化还原</w:t>
            </w:r>
            <w:r>
              <w:t xml:space="preserve"> </w:t>
            </w:r>
            <w:r>
              <w:rPr>
                <w:spacing w:val="-2"/>
              </w:rPr>
              <w:t>平衡</w:t>
            </w:r>
          </w:p>
        </w:tc>
        <w:tc>
          <w:tcPr>
            <w:tcW w:w="2314" w:type="dxa"/>
            <w:vAlign w:val="top"/>
          </w:tcPr>
          <w:p w14:paraId="5B2E9C3A">
            <w:pPr>
              <w:pStyle w:val="6"/>
              <w:spacing w:before="49" w:line="217" w:lineRule="auto"/>
              <w:ind w:left="81"/>
            </w:pPr>
            <w:r>
              <w:t>1.氧化还原电对</w:t>
            </w:r>
          </w:p>
        </w:tc>
        <w:tc>
          <w:tcPr>
            <w:tcW w:w="229" w:type="dxa"/>
            <w:vAlign w:val="top"/>
          </w:tcPr>
          <w:p w14:paraId="5F301D93">
            <w:pPr>
              <w:pStyle w:val="6"/>
              <w:spacing w:before="81" w:line="238" w:lineRule="auto"/>
              <w:ind w:left="48"/>
              <w:rPr>
                <w:sz w:val="13"/>
                <w:szCs w:val="13"/>
              </w:rPr>
            </w:pPr>
            <w:r>
              <w:rPr>
                <w:sz w:val="13"/>
                <w:szCs w:val="13"/>
              </w:rPr>
              <w:t>√</w:t>
            </w:r>
          </w:p>
        </w:tc>
        <w:tc>
          <w:tcPr>
            <w:tcW w:w="230" w:type="dxa"/>
            <w:vAlign w:val="top"/>
          </w:tcPr>
          <w:p w14:paraId="21D3697D">
            <w:pPr>
              <w:rPr>
                <w:rFonts w:ascii="Arial"/>
                <w:sz w:val="21"/>
              </w:rPr>
            </w:pPr>
          </w:p>
        </w:tc>
        <w:tc>
          <w:tcPr>
            <w:tcW w:w="229" w:type="dxa"/>
            <w:vAlign w:val="top"/>
          </w:tcPr>
          <w:p w14:paraId="32C65410">
            <w:pPr>
              <w:rPr>
                <w:rFonts w:ascii="Arial"/>
                <w:sz w:val="21"/>
              </w:rPr>
            </w:pPr>
          </w:p>
        </w:tc>
        <w:tc>
          <w:tcPr>
            <w:tcW w:w="224" w:type="dxa"/>
            <w:vAlign w:val="top"/>
          </w:tcPr>
          <w:p w14:paraId="45B47878">
            <w:pPr>
              <w:rPr>
                <w:rFonts w:ascii="Arial"/>
                <w:sz w:val="21"/>
              </w:rPr>
            </w:pPr>
          </w:p>
        </w:tc>
      </w:tr>
      <w:tr w14:paraId="65186F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continue"/>
            <w:tcBorders>
              <w:top w:val="nil"/>
            </w:tcBorders>
            <w:vAlign w:val="top"/>
          </w:tcPr>
          <w:p w14:paraId="2EB152E1">
            <w:pPr>
              <w:rPr>
                <w:rFonts w:ascii="Arial"/>
                <w:sz w:val="21"/>
              </w:rPr>
            </w:pPr>
          </w:p>
        </w:tc>
        <w:tc>
          <w:tcPr>
            <w:tcW w:w="2314" w:type="dxa"/>
            <w:vAlign w:val="top"/>
          </w:tcPr>
          <w:p w14:paraId="17085F6A">
            <w:pPr>
              <w:pStyle w:val="6"/>
              <w:spacing w:before="51" w:line="214" w:lineRule="auto"/>
              <w:ind w:left="81"/>
            </w:pPr>
            <w:r>
              <w:rPr>
                <w:spacing w:val="-1"/>
              </w:rPr>
              <w:t>2.电极电位</w:t>
            </w:r>
          </w:p>
        </w:tc>
        <w:tc>
          <w:tcPr>
            <w:tcW w:w="229" w:type="dxa"/>
            <w:vAlign w:val="top"/>
          </w:tcPr>
          <w:p w14:paraId="1B10667E">
            <w:pPr>
              <w:pStyle w:val="6"/>
              <w:spacing w:before="67" w:line="197" w:lineRule="auto"/>
              <w:ind w:left="28"/>
            </w:pPr>
            <w:r>
              <w:t>√</w:t>
            </w:r>
          </w:p>
        </w:tc>
        <w:tc>
          <w:tcPr>
            <w:tcW w:w="230" w:type="dxa"/>
            <w:vAlign w:val="top"/>
          </w:tcPr>
          <w:p w14:paraId="35C3EF4A">
            <w:pPr>
              <w:rPr>
                <w:rFonts w:ascii="Arial"/>
                <w:sz w:val="21"/>
              </w:rPr>
            </w:pPr>
          </w:p>
        </w:tc>
        <w:tc>
          <w:tcPr>
            <w:tcW w:w="229" w:type="dxa"/>
            <w:vAlign w:val="top"/>
          </w:tcPr>
          <w:p w14:paraId="5CB001DE">
            <w:pPr>
              <w:rPr>
                <w:rFonts w:ascii="Arial"/>
                <w:sz w:val="21"/>
              </w:rPr>
            </w:pPr>
          </w:p>
        </w:tc>
        <w:tc>
          <w:tcPr>
            <w:tcW w:w="224" w:type="dxa"/>
            <w:vAlign w:val="top"/>
          </w:tcPr>
          <w:p w14:paraId="7A0F5DEC">
            <w:pPr>
              <w:rPr>
                <w:rFonts w:ascii="Arial"/>
                <w:sz w:val="21"/>
              </w:rPr>
            </w:pPr>
          </w:p>
        </w:tc>
      </w:tr>
      <w:tr w14:paraId="648C72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restart"/>
            <w:tcBorders>
              <w:bottom w:val="nil"/>
            </w:tcBorders>
            <w:vAlign w:val="top"/>
          </w:tcPr>
          <w:p w14:paraId="18B31218">
            <w:pPr>
              <w:pStyle w:val="6"/>
              <w:spacing w:before="20" w:line="180" w:lineRule="auto"/>
              <w:ind w:left="94" w:right="94"/>
              <w:jc w:val="right"/>
            </w:pPr>
            <w:r>
              <w:rPr>
                <w:spacing w:val="3"/>
              </w:rPr>
              <w:t>氧化还原</w:t>
            </w:r>
            <w:r>
              <w:t xml:space="preserve"> </w:t>
            </w:r>
            <w:r>
              <w:rPr>
                <w:spacing w:val="34"/>
              </w:rPr>
              <w:t>滴定的</w:t>
            </w:r>
            <w:r>
              <w:t xml:space="preserve">  </w:t>
            </w:r>
            <w:r>
              <w:rPr>
                <w:spacing w:val="-2"/>
              </w:rPr>
              <w:t>基本原理</w:t>
            </w:r>
          </w:p>
        </w:tc>
        <w:tc>
          <w:tcPr>
            <w:tcW w:w="2314" w:type="dxa"/>
            <w:vAlign w:val="top"/>
          </w:tcPr>
          <w:p w14:paraId="46B27C99">
            <w:pPr>
              <w:pStyle w:val="6"/>
              <w:spacing w:before="52" w:line="213" w:lineRule="auto"/>
              <w:ind w:left="81"/>
            </w:pPr>
            <w:r>
              <w:rPr>
                <w:spacing w:val="1"/>
              </w:rPr>
              <w:t>1.滴定曲线</w:t>
            </w:r>
          </w:p>
        </w:tc>
        <w:tc>
          <w:tcPr>
            <w:tcW w:w="229" w:type="dxa"/>
            <w:vAlign w:val="top"/>
          </w:tcPr>
          <w:p w14:paraId="0D4D81BA">
            <w:pPr>
              <w:rPr>
                <w:rFonts w:ascii="Arial"/>
                <w:sz w:val="21"/>
              </w:rPr>
            </w:pPr>
          </w:p>
        </w:tc>
        <w:tc>
          <w:tcPr>
            <w:tcW w:w="230" w:type="dxa"/>
            <w:vAlign w:val="top"/>
          </w:tcPr>
          <w:p w14:paraId="0B4C68A9">
            <w:pPr>
              <w:pStyle w:val="6"/>
              <w:spacing w:before="83" w:line="235" w:lineRule="auto"/>
              <w:ind w:left="48"/>
              <w:rPr>
                <w:sz w:val="13"/>
                <w:szCs w:val="13"/>
              </w:rPr>
            </w:pPr>
            <w:r>
              <w:rPr>
                <w:sz w:val="13"/>
                <w:szCs w:val="13"/>
              </w:rPr>
              <w:t>√</w:t>
            </w:r>
          </w:p>
        </w:tc>
        <w:tc>
          <w:tcPr>
            <w:tcW w:w="229" w:type="dxa"/>
            <w:vAlign w:val="top"/>
          </w:tcPr>
          <w:p w14:paraId="30836CC0">
            <w:pPr>
              <w:rPr>
                <w:rFonts w:ascii="Arial"/>
                <w:sz w:val="21"/>
              </w:rPr>
            </w:pPr>
          </w:p>
        </w:tc>
        <w:tc>
          <w:tcPr>
            <w:tcW w:w="224" w:type="dxa"/>
            <w:vAlign w:val="top"/>
          </w:tcPr>
          <w:p w14:paraId="48D62659">
            <w:pPr>
              <w:rPr>
                <w:rFonts w:ascii="Arial"/>
                <w:sz w:val="21"/>
              </w:rPr>
            </w:pPr>
          </w:p>
        </w:tc>
      </w:tr>
      <w:tr w14:paraId="5537BC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continue"/>
            <w:tcBorders>
              <w:top w:val="nil"/>
            </w:tcBorders>
            <w:vAlign w:val="top"/>
          </w:tcPr>
          <w:p w14:paraId="5FA09536">
            <w:pPr>
              <w:rPr>
                <w:rFonts w:ascii="Arial"/>
                <w:sz w:val="21"/>
              </w:rPr>
            </w:pPr>
          </w:p>
        </w:tc>
        <w:tc>
          <w:tcPr>
            <w:tcW w:w="2314" w:type="dxa"/>
            <w:vAlign w:val="top"/>
          </w:tcPr>
          <w:p w14:paraId="55F34325">
            <w:pPr>
              <w:pStyle w:val="6"/>
              <w:spacing w:before="51" w:line="214" w:lineRule="auto"/>
              <w:ind w:left="81"/>
            </w:pPr>
            <w:r>
              <w:rPr>
                <w:spacing w:val="-1"/>
              </w:rPr>
              <w:t>2.氧化还原滴定终点的确定</w:t>
            </w:r>
          </w:p>
        </w:tc>
        <w:tc>
          <w:tcPr>
            <w:tcW w:w="229" w:type="dxa"/>
            <w:vAlign w:val="top"/>
          </w:tcPr>
          <w:p w14:paraId="7EF62F26">
            <w:pPr>
              <w:rPr>
                <w:rFonts w:ascii="Arial"/>
                <w:sz w:val="21"/>
              </w:rPr>
            </w:pPr>
          </w:p>
        </w:tc>
        <w:tc>
          <w:tcPr>
            <w:tcW w:w="230" w:type="dxa"/>
            <w:vAlign w:val="top"/>
          </w:tcPr>
          <w:p w14:paraId="1971EBDE">
            <w:pPr>
              <w:pStyle w:val="6"/>
              <w:spacing w:before="84" w:line="234" w:lineRule="auto"/>
              <w:ind w:left="48"/>
              <w:rPr>
                <w:sz w:val="13"/>
                <w:szCs w:val="13"/>
              </w:rPr>
            </w:pPr>
            <w:r>
              <w:rPr>
                <w:sz w:val="13"/>
                <w:szCs w:val="13"/>
              </w:rPr>
              <w:t>√</w:t>
            </w:r>
          </w:p>
        </w:tc>
        <w:tc>
          <w:tcPr>
            <w:tcW w:w="229" w:type="dxa"/>
            <w:vAlign w:val="top"/>
          </w:tcPr>
          <w:p w14:paraId="5486B600">
            <w:pPr>
              <w:rPr>
                <w:rFonts w:ascii="Arial"/>
                <w:sz w:val="21"/>
              </w:rPr>
            </w:pPr>
          </w:p>
        </w:tc>
        <w:tc>
          <w:tcPr>
            <w:tcW w:w="224" w:type="dxa"/>
            <w:vAlign w:val="top"/>
          </w:tcPr>
          <w:p w14:paraId="38FF6E32">
            <w:pPr>
              <w:rPr>
                <w:rFonts w:ascii="Arial"/>
                <w:sz w:val="21"/>
              </w:rPr>
            </w:pPr>
          </w:p>
        </w:tc>
      </w:tr>
      <w:tr w14:paraId="2D6C1D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restart"/>
            <w:tcBorders>
              <w:bottom w:val="nil"/>
            </w:tcBorders>
            <w:vAlign w:val="top"/>
          </w:tcPr>
          <w:p w14:paraId="1769B6C1">
            <w:pPr>
              <w:pStyle w:val="6"/>
              <w:spacing w:before="104" w:line="220" w:lineRule="auto"/>
              <w:ind w:left="265"/>
            </w:pPr>
            <w:r>
              <w:rPr>
                <w:spacing w:val="10"/>
              </w:rPr>
              <w:t>常用</w:t>
            </w:r>
          </w:p>
          <w:p w14:paraId="0EC8F0E5">
            <w:pPr>
              <w:pStyle w:val="6"/>
              <w:spacing w:before="15" w:line="219" w:lineRule="auto"/>
              <w:ind w:left="94"/>
            </w:pPr>
            <w:r>
              <w:rPr>
                <w:spacing w:val="3"/>
              </w:rPr>
              <w:t>氧化还原</w:t>
            </w:r>
          </w:p>
          <w:p w14:paraId="192489D2">
            <w:pPr>
              <w:pStyle w:val="6"/>
              <w:spacing w:before="49" w:line="220" w:lineRule="auto"/>
              <w:ind w:left="184"/>
            </w:pPr>
            <w:r>
              <w:rPr>
                <w:spacing w:val="-2"/>
              </w:rPr>
              <w:t>滴定法</w:t>
            </w:r>
          </w:p>
        </w:tc>
        <w:tc>
          <w:tcPr>
            <w:tcW w:w="2314" w:type="dxa"/>
            <w:vAlign w:val="top"/>
          </w:tcPr>
          <w:p w14:paraId="58DC96D7">
            <w:pPr>
              <w:pStyle w:val="6"/>
              <w:spacing w:before="53" w:line="212" w:lineRule="auto"/>
              <w:ind w:left="81"/>
            </w:pPr>
            <w:r>
              <w:t>1.高锰酸钾法</w:t>
            </w:r>
          </w:p>
        </w:tc>
        <w:tc>
          <w:tcPr>
            <w:tcW w:w="229" w:type="dxa"/>
            <w:vAlign w:val="top"/>
          </w:tcPr>
          <w:p w14:paraId="54A1B7B8">
            <w:pPr>
              <w:rPr>
                <w:rFonts w:ascii="Arial"/>
                <w:sz w:val="21"/>
              </w:rPr>
            </w:pPr>
          </w:p>
        </w:tc>
        <w:tc>
          <w:tcPr>
            <w:tcW w:w="230" w:type="dxa"/>
            <w:vAlign w:val="top"/>
          </w:tcPr>
          <w:p w14:paraId="065FEFA1">
            <w:pPr>
              <w:rPr>
                <w:rFonts w:ascii="Arial"/>
                <w:sz w:val="21"/>
              </w:rPr>
            </w:pPr>
          </w:p>
        </w:tc>
        <w:tc>
          <w:tcPr>
            <w:tcW w:w="229" w:type="dxa"/>
            <w:vAlign w:val="top"/>
          </w:tcPr>
          <w:p w14:paraId="63790014">
            <w:pPr>
              <w:pStyle w:val="6"/>
              <w:spacing w:before="83" w:line="238" w:lineRule="auto"/>
              <w:ind w:left="9"/>
              <w:rPr>
                <w:sz w:val="12"/>
                <w:szCs w:val="12"/>
              </w:rPr>
            </w:pPr>
            <w:r>
              <w:rPr>
                <w:sz w:val="12"/>
                <w:szCs w:val="12"/>
              </w:rPr>
              <w:t>√</w:t>
            </w:r>
          </w:p>
        </w:tc>
        <w:tc>
          <w:tcPr>
            <w:tcW w:w="224" w:type="dxa"/>
            <w:vAlign w:val="top"/>
          </w:tcPr>
          <w:p w14:paraId="19F952E3">
            <w:pPr>
              <w:rPr>
                <w:rFonts w:ascii="Arial"/>
                <w:sz w:val="21"/>
              </w:rPr>
            </w:pPr>
          </w:p>
        </w:tc>
      </w:tr>
      <w:tr w14:paraId="01EA3B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continue"/>
            <w:tcBorders>
              <w:top w:val="nil"/>
              <w:bottom w:val="nil"/>
            </w:tcBorders>
            <w:vAlign w:val="top"/>
          </w:tcPr>
          <w:p w14:paraId="1F60AA27">
            <w:pPr>
              <w:rPr>
                <w:rFonts w:ascii="Arial"/>
                <w:sz w:val="21"/>
              </w:rPr>
            </w:pPr>
          </w:p>
        </w:tc>
        <w:tc>
          <w:tcPr>
            <w:tcW w:w="2314" w:type="dxa"/>
            <w:vAlign w:val="top"/>
          </w:tcPr>
          <w:p w14:paraId="09436134">
            <w:pPr>
              <w:pStyle w:val="6"/>
              <w:spacing w:before="55" w:line="210" w:lineRule="auto"/>
              <w:ind w:left="81"/>
            </w:pPr>
            <w:r>
              <w:rPr>
                <w:spacing w:val="-2"/>
              </w:rPr>
              <w:t>2.重铬酸钾法</w:t>
            </w:r>
          </w:p>
        </w:tc>
        <w:tc>
          <w:tcPr>
            <w:tcW w:w="229" w:type="dxa"/>
            <w:vAlign w:val="top"/>
          </w:tcPr>
          <w:p w14:paraId="7AEAB523">
            <w:pPr>
              <w:rPr>
                <w:rFonts w:ascii="Arial"/>
                <w:sz w:val="21"/>
              </w:rPr>
            </w:pPr>
          </w:p>
        </w:tc>
        <w:tc>
          <w:tcPr>
            <w:tcW w:w="230" w:type="dxa"/>
            <w:vAlign w:val="top"/>
          </w:tcPr>
          <w:p w14:paraId="1F849D18">
            <w:pPr>
              <w:pStyle w:val="6"/>
              <w:spacing w:before="86" w:line="231" w:lineRule="auto"/>
              <w:ind w:left="48"/>
              <w:rPr>
                <w:sz w:val="13"/>
                <w:szCs w:val="13"/>
              </w:rPr>
            </w:pPr>
            <w:r>
              <w:rPr>
                <w:sz w:val="13"/>
                <w:szCs w:val="13"/>
              </w:rPr>
              <w:t>√</w:t>
            </w:r>
          </w:p>
        </w:tc>
        <w:tc>
          <w:tcPr>
            <w:tcW w:w="229" w:type="dxa"/>
            <w:vAlign w:val="top"/>
          </w:tcPr>
          <w:p w14:paraId="0F2191C6">
            <w:pPr>
              <w:rPr>
                <w:rFonts w:ascii="Arial"/>
                <w:sz w:val="21"/>
              </w:rPr>
            </w:pPr>
          </w:p>
        </w:tc>
        <w:tc>
          <w:tcPr>
            <w:tcW w:w="224" w:type="dxa"/>
            <w:vAlign w:val="top"/>
          </w:tcPr>
          <w:p w14:paraId="28C10465">
            <w:pPr>
              <w:rPr>
                <w:rFonts w:ascii="Arial"/>
                <w:sz w:val="21"/>
              </w:rPr>
            </w:pPr>
          </w:p>
        </w:tc>
      </w:tr>
      <w:tr w14:paraId="15EE2A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4" w:hRule="atLeast"/>
        </w:trPr>
        <w:tc>
          <w:tcPr>
            <w:tcW w:w="893" w:type="dxa"/>
            <w:vMerge w:val="continue"/>
            <w:tcBorders>
              <w:top w:val="nil"/>
            </w:tcBorders>
            <w:vAlign w:val="top"/>
          </w:tcPr>
          <w:p w14:paraId="7ECFB225">
            <w:pPr>
              <w:rPr>
                <w:rFonts w:ascii="Arial"/>
                <w:sz w:val="21"/>
              </w:rPr>
            </w:pPr>
          </w:p>
        </w:tc>
        <w:tc>
          <w:tcPr>
            <w:tcW w:w="2314" w:type="dxa"/>
            <w:vAlign w:val="top"/>
          </w:tcPr>
          <w:p w14:paraId="5F8BBC1C">
            <w:pPr>
              <w:pStyle w:val="6"/>
              <w:spacing w:before="56" w:line="214" w:lineRule="auto"/>
              <w:ind w:left="81"/>
            </w:pPr>
            <w:r>
              <w:rPr>
                <w:spacing w:val="-3"/>
              </w:rPr>
              <w:t>3.碘量法</w:t>
            </w:r>
          </w:p>
        </w:tc>
        <w:tc>
          <w:tcPr>
            <w:tcW w:w="229" w:type="dxa"/>
            <w:vAlign w:val="top"/>
          </w:tcPr>
          <w:p w14:paraId="3732E831">
            <w:pPr>
              <w:rPr>
                <w:rFonts w:ascii="Arial"/>
                <w:sz w:val="21"/>
              </w:rPr>
            </w:pPr>
          </w:p>
        </w:tc>
        <w:tc>
          <w:tcPr>
            <w:tcW w:w="230" w:type="dxa"/>
            <w:vAlign w:val="top"/>
          </w:tcPr>
          <w:p w14:paraId="7E0624D3">
            <w:pPr>
              <w:pStyle w:val="6"/>
              <w:spacing w:before="87" w:line="237" w:lineRule="auto"/>
              <w:ind w:left="48"/>
              <w:rPr>
                <w:sz w:val="13"/>
                <w:szCs w:val="13"/>
              </w:rPr>
            </w:pPr>
            <w:r>
              <w:rPr>
                <w:sz w:val="13"/>
                <w:szCs w:val="13"/>
              </w:rPr>
              <w:t>√</w:t>
            </w:r>
          </w:p>
        </w:tc>
        <w:tc>
          <w:tcPr>
            <w:tcW w:w="229" w:type="dxa"/>
            <w:vAlign w:val="top"/>
          </w:tcPr>
          <w:p w14:paraId="26E307BF">
            <w:pPr>
              <w:rPr>
                <w:rFonts w:ascii="Arial"/>
                <w:sz w:val="21"/>
              </w:rPr>
            </w:pPr>
          </w:p>
        </w:tc>
        <w:tc>
          <w:tcPr>
            <w:tcW w:w="224" w:type="dxa"/>
            <w:vAlign w:val="top"/>
          </w:tcPr>
          <w:p w14:paraId="16D49E20">
            <w:pPr>
              <w:rPr>
                <w:rFonts w:ascii="Arial"/>
                <w:sz w:val="21"/>
              </w:rPr>
            </w:pPr>
          </w:p>
        </w:tc>
      </w:tr>
    </w:tbl>
    <w:p w14:paraId="732860D9">
      <w:pPr>
        <w:spacing w:before="279" w:line="222" w:lineRule="auto"/>
        <w:ind w:left="1377"/>
        <w:rPr>
          <w:rFonts w:ascii="黑体" w:hAnsi="黑体" w:eastAsia="黑体" w:cs="黑体"/>
          <w:sz w:val="20"/>
          <w:szCs w:val="20"/>
        </w:rPr>
      </w:pPr>
      <w:r>
        <w:rPr>
          <w:rFonts w:ascii="黑体" w:hAnsi="黑体" w:eastAsia="黑体" w:cs="黑体"/>
          <w:b/>
          <w:bCs/>
          <w:spacing w:val="-6"/>
          <w:sz w:val="20"/>
          <w:szCs w:val="20"/>
        </w:rPr>
        <w:t>五、沉淀滴定法</w:t>
      </w:r>
    </w:p>
    <w:p w14:paraId="1388A303">
      <w:pPr>
        <w:spacing w:line="100" w:lineRule="exact"/>
      </w:pPr>
    </w:p>
    <w:tbl>
      <w:tblPr>
        <w:tblStyle w:val="5"/>
        <w:tblW w:w="410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24"/>
        <w:gridCol w:w="220"/>
        <w:gridCol w:w="229"/>
        <w:gridCol w:w="229"/>
        <w:gridCol w:w="214"/>
      </w:tblGrid>
      <w:tr w14:paraId="0A4666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3" w:hRule="atLeast"/>
        </w:trPr>
        <w:tc>
          <w:tcPr>
            <w:tcW w:w="893" w:type="dxa"/>
            <w:vMerge w:val="restart"/>
            <w:tcBorders>
              <w:bottom w:val="nil"/>
            </w:tcBorders>
            <w:vAlign w:val="top"/>
          </w:tcPr>
          <w:p w14:paraId="5B3DC9F8">
            <w:pPr>
              <w:pStyle w:val="6"/>
              <w:spacing w:before="132" w:line="229" w:lineRule="auto"/>
              <w:ind w:left="97" w:right="112" w:firstLine="89"/>
            </w:pPr>
            <w:r>
              <w:rPr>
                <w:b/>
                <w:bCs/>
                <w:spacing w:val="-6"/>
              </w:rPr>
              <w:t>知识与</w:t>
            </w:r>
            <w:r>
              <w:t xml:space="preserve">  </w:t>
            </w:r>
            <w:r>
              <w:rPr>
                <w:b/>
                <w:bCs/>
                <w:spacing w:val="-4"/>
              </w:rPr>
              <w:t>技能要点</w:t>
            </w:r>
          </w:p>
        </w:tc>
        <w:tc>
          <w:tcPr>
            <w:tcW w:w="2324" w:type="dxa"/>
            <w:vMerge w:val="restart"/>
            <w:tcBorders>
              <w:bottom w:val="nil"/>
            </w:tcBorders>
            <w:vAlign w:val="top"/>
          </w:tcPr>
          <w:p w14:paraId="136C22E2">
            <w:pPr>
              <w:pStyle w:val="6"/>
              <w:spacing w:before="249" w:line="219" w:lineRule="auto"/>
              <w:ind w:left="844"/>
            </w:pPr>
            <w:r>
              <w:rPr>
                <w:b/>
                <w:bCs/>
                <w:spacing w:val="5"/>
              </w:rPr>
              <w:t>考试条目</w:t>
            </w:r>
          </w:p>
        </w:tc>
        <w:tc>
          <w:tcPr>
            <w:tcW w:w="892" w:type="dxa"/>
            <w:gridSpan w:val="4"/>
            <w:vAlign w:val="top"/>
          </w:tcPr>
          <w:p w14:paraId="63C8F444">
            <w:pPr>
              <w:pStyle w:val="6"/>
              <w:spacing w:before="79" w:line="219" w:lineRule="auto"/>
              <w:ind w:left="120"/>
            </w:pPr>
            <w:r>
              <w:rPr>
                <w:b/>
                <w:bCs/>
                <w:spacing w:val="-4"/>
              </w:rPr>
              <w:t>考试水平</w:t>
            </w:r>
          </w:p>
        </w:tc>
      </w:tr>
      <w:tr w14:paraId="674059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9" w:hRule="atLeast"/>
        </w:trPr>
        <w:tc>
          <w:tcPr>
            <w:tcW w:w="893" w:type="dxa"/>
            <w:vMerge w:val="continue"/>
            <w:tcBorders>
              <w:top w:val="nil"/>
            </w:tcBorders>
            <w:vAlign w:val="top"/>
          </w:tcPr>
          <w:p w14:paraId="12FF435B">
            <w:pPr>
              <w:rPr>
                <w:rFonts w:ascii="Arial"/>
                <w:sz w:val="21"/>
              </w:rPr>
            </w:pPr>
          </w:p>
        </w:tc>
        <w:tc>
          <w:tcPr>
            <w:tcW w:w="2324" w:type="dxa"/>
            <w:vMerge w:val="continue"/>
            <w:tcBorders>
              <w:top w:val="nil"/>
            </w:tcBorders>
            <w:vAlign w:val="top"/>
          </w:tcPr>
          <w:p w14:paraId="3B730414">
            <w:pPr>
              <w:rPr>
                <w:rFonts w:ascii="Arial"/>
                <w:sz w:val="21"/>
              </w:rPr>
            </w:pPr>
          </w:p>
        </w:tc>
        <w:tc>
          <w:tcPr>
            <w:tcW w:w="220" w:type="dxa"/>
            <w:vAlign w:val="top"/>
          </w:tcPr>
          <w:p w14:paraId="225A8661">
            <w:pPr>
              <w:pStyle w:val="6"/>
              <w:spacing w:before="121" w:line="184" w:lineRule="auto"/>
              <w:ind w:left="57"/>
            </w:pPr>
            <w:r>
              <w:t>A</w:t>
            </w:r>
          </w:p>
        </w:tc>
        <w:tc>
          <w:tcPr>
            <w:tcW w:w="229" w:type="dxa"/>
            <w:vAlign w:val="top"/>
          </w:tcPr>
          <w:p w14:paraId="6BA1F66E">
            <w:pPr>
              <w:pStyle w:val="6"/>
              <w:spacing w:before="123" w:line="182" w:lineRule="auto"/>
              <w:ind w:left="70"/>
            </w:pPr>
            <w:r>
              <w:rPr>
                <w:b/>
                <w:bCs/>
                <w:spacing w:val="-2"/>
              </w:rPr>
              <w:t>B</w:t>
            </w:r>
          </w:p>
        </w:tc>
        <w:tc>
          <w:tcPr>
            <w:tcW w:w="229" w:type="dxa"/>
            <w:vAlign w:val="top"/>
          </w:tcPr>
          <w:p w14:paraId="6D2263AF">
            <w:pPr>
              <w:pStyle w:val="6"/>
              <w:spacing w:before="122" w:line="183" w:lineRule="auto"/>
              <w:ind w:left="38"/>
            </w:pPr>
            <w:r>
              <w:t>C</w:t>
            </w:r>
          </w:p>
        </w:tc>
        <w:tc>
          <w:tcPr>
            <w:tcW w:w="214" w:type="dxa"/>
            <w:vAlign w:val="top"/>
          </w:tcPr>
          <w:p w14:paraId="16AB8EA8">
            <w:pPr>
              <w:pStyle w:val="6"/>
              <w:spacing w:before="123" w:line="182" w:lineRule="auto"/>
              <w:ind w:left="22"/>
            </w:pPr>
            <w:r>
              <w:rPr>
                <w:b/>
                <w:bCs/>
                <w:spacing w:val="-2"/>
              </w:rPr>
              <w:t>D</w:t>
            </w:r>
          </w:p>
        </w:tc>
      </w:tr>
      <w:tr w14:paraId="711B81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restart"/>
            <w:tcBorders>
              <w:bottom w:val="nil"/>
            </w:tcBorders>
            <w:vAlign w:val="top"/>
          </w:tcPr>
          <w:p w14:paraId="7908013D">
            <w:pPr>
              <w:pStyle w:val="6"/>
              <w:spacing w:before="180" w:line="219" w:lineRule="auto"/>
              <w:ind w:left="265"/>
            </w:pPr>
            <w:r>
              <w:rPr>
                <w:spacing w:val="-2"/>
              </w:rPr>
              <w:t>概述</w:t>
            </w:r>
          </w:p>
        </w:tc>
        <w:tc>
          <w:tcPr>
            <w:tcW w:w="2324" w:type="dxa"/>
            <w:vAlign w:val="top"/>
          </w:tcPr>
          <w:p w14:paraId="179B71E9">
            <w:pPr>
              <w:pStyle w:val="6"/>
              <w:spacing w:before="51" w:line="215" w:lineRule="auto"/>
              <w:jc w:val="right"/>
            </w:pPr>
            <w:r>
              <w:rPr>
                <w:spacing w:val="-11"/>
              </w:rPr>
              <w:t>1.</w:t>
            </w:r>
            <w:r>
              <w:rPr>
                <w:spacing w:val="-10"/>
              </w:rPr>
              <w:t>沉淀滴定法对沉淀反应的要</w:t>
            </w:r>
            <w:r>
              <w:rPr>
                <w:spacing w:val="-8"/>
              </w:rPr>
              <w:t>求</w:t>
            </w:r>
          </w:p>
        </w:tc>
        <w:tc>
          <w:tcPr>
            <w:tcW w:w="220" w:type="dxa"/>
            <w:vAlign w:val="top"/>
          </w:tcPr>
          <w:p w14:paraId="7DF85CFF">
            <w:pPr>
              <w:pStyle w:val="6"/>
              <w:spacing w:before="80" w:line="238" w:lineRule="auto"/>
              <w:ind w:left="48"/>
              <w:rPr>
                <w:sz w:val="12"/>
                <w:szCs w:val="12"/>
              </w:rPr>
            </w:pPr>
            <w:r>
              <w:rPr>
                <w:sz w:val="12"/>
                <w:szCs w:val="12"/>
              </w:rPr>
              <w:t>√</w:t>
            </w:r>
          </w:p>
        </w:tc>
        <w:tc>
          <w:tcPr>
            <w:tcW w:w="229" w:type="dxa"/>
            <w:vAlign w:val="top"/>
          </w:tcPr>
          <w:p w14:paraId="6D3BBBD6">
            <w:pPr>
              <w:rPr>
                <w:rFonts w:ascii="Arial"/>
                <w:sz w:val="21"/>
              </w:rPr>
            </w:pPr>
          </w:p>
        </w:tc>
        <w:tc>
          <w:tcPr>
            <w:tcW w:w="229" w:type="dxa"/>
            <w:vAlign w:val="top"/>
          </w:tcPr>
          <w:p w14:paraId="7961D1D3">
            <w:pPr>
              <w:rPr>
                <w:rFonts w:ascii="Arial"/>
                <w:sz w:val="21"/>
              </w:rPr>
            </w:pPr>
          </w:p>
        </w:tc>
        <w:tc>
          <w:tcPr>
            <w:tcW w:w="214" w:type="dxa"/>
            <w:vAlign w:val="top"/>
          </w:tcPr>
          <w:p w14:paraId="6C921706">
            <w:pPr>
              <w:rPr>
                <w:rFonts w:ascii="Arial"/>
                <w:sz w:val="21"/>
              </w:rPr>
            </w:pPr>
          </w:p>
        </w:tc>
      </w:tr>
      <w:tr w14:paraId="15A327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continue"/>
            <w:tcBorders>
              <w:top w:val="nil"/>
            </w:tcBorders>
            <w:vAlign w:val="top"/>
          </w:tcPr>
          <w:p w14:paraId="742FAC10">
            <w:pPr>
              <w:rPr>
                <w:rFonts w:ascii="Arial"/>
                <w:sz w:val="21"/>
              </w:rPr>
            </w:pPr>
          </w:p>
        </w:tc>
        <w:tc>
          <w:tcPr>
            <w:tcW w:w="2324" w:type="dxa"/>
            <w:vAlign w:val="top"/>
          </w:tcPr>
          <w:p w14:paraId="02AFFE83">
            <w:pPr>
              <w:pStyle w:val="6"/>
              <w:spacing w:before="51" w:line="215" w:lineRule="auto"/>
              <w:ind w:left="62"/>
            </w:pPr>
            <w:r>
              <w:rPr>
                <w:spacing w:val="-1"/>
              </w:rPr>
              <w:t>2.银量法的概念</w:t>
            </w:r>
          </w:p>
        </w:tc>
        <w:tc>
          <w:tcPr>
            <w:tcW w:w="220" w:type="dxa"/>
            <w:vAlign w:val="top"/>
          </w:tcPr>
          <w:p w14:paraId="29207B0B">
            <w:pPr>
              <w:pStyle w:val="6"/>
              <w:spacing w:before="81" w:line="238" w:lineRule="auto"/>
              <w:ind w:left="48"/>
              <w:rPr>
                <w:sz w:val="12"/>
                <w:szCs w:val="12"/>
              </w:rPr>
            </w:pPr>
            <w:r>
              <w:rPr>
                <w:sz w:val="12"/>
                <w:szCs w:val="12"/>
              </w:rPr>
              <w:t>√</w:t>
            </w:r>
          </w:p>
        </w:tc>
        <w:tc>
          <w:tcPr>
            <w:tcW w:w="229" w:type="dxa"/>
            <w:vAlign w:val="top"/>
          </w:tcPr>
          <w:p w14:paraId="186C92EC">
            <w:pPr>
              <w:rPr>
                <w:rFonts w:ascii="Arial"/>
                <w:sz w:val="21"/>
              </w:rPr>
            </w:pPr>
          </w:p>
        </w:tc>
        <w:tc>
          <w:tcPr>
            <w:tcW w:w="229" w:type="dxa"/>
            <w:vAlign w:val="top"/>
          </w:tcPr>
          <w:p w14:paraId="466EF761">
            <w:pPr>
              <w:rPr>
                <w:rFonts w:ascii="Arial"/>
                <w:sz w:val="21"/>
              </w:rPr>
            </w:pPr>
          </w:p>
        </w:tc>
        <w:tc>
          <w:tcPr>
            <w:tcW w:w="214" w:type="dxa"/>
            <w:vAlign w:val="top"/>
          </w:tcPr>
          <w:p w14:paraId="69E82B39">
            <w:pPr>
              <w:rPr>
                <w:rFonts w:ascii="Arial"/>
                <w:sz w:val="21"/>
              </w:rPr>
            </w:pPr>
          </w:p>
        </w:tc>
      </w:tr>
      <w:tr w14:paraId="3FF770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restart"/>
            <w:tcBorders>
              <w:bottom w:val="nil"/>
            </w:tcBorders>
            <w:vAlign w:val="top"/>
          </w:tcPr>
          <w:p w14:paraId="6CC7FB10">
            <w:pPr>
              <w:spacing w:line="268" w:lineRule="auto"/>
              <w:rPr>
                <w:rFonts w:ascii="Arial"/>
                <w:sz w:val="21"/>
              </w:rPr>
            </w:pPr>
          </w:p>
          <w:p w14:paraId="27C768F9">
            <w:pPr>
              <w:pStyle w:val="6"/>
              <w:spacing w:before="55" w:line="223" w:lineRule="auto"/>
              <w:ind w:left="184"/>
            </w:pPr>
            <w:r>
              <w:rPr>
                <w:spacing w:val="-2"/>
              </w:rPr>
              <w:t>银量法</w:t>
            </w:r>
          </w:p>
        </w:tc>
        <w:tc>
          <w:tcPr>
            <w:tcW w:w="2324" w:type="dxa"/>
            <w:vAlign w:val="top"/>
          </w:tcPr>
          <w:p w14:paraId="5809135F">
            <w:pPr>
              <w:pStyle w:val="6"/>
              <w:spacing w:before="51" w:line="214" w:lineRule="auto"/>
              <w:ind w:left="62"/>
            </w:pPr>
            <w:r>
              <w:rPr>
                <w:spacing w:val="1"/>
              </w:rPr>
              <w:t>1.莫尔法</w:t>
            </w:r>
          </w:p>
        </w:tc>
        <w:tc>
          <w:tcPr>
            <w:tcW w:w="220" w:type="dxa"/>
            <w:vAlign w:val="top"/>
          </w:tcPr>
          <w:p w14:paraId="6197C470">
            <w:pPr>
              <w:rPr>
                <w:rFonts w:ascii="Arial"/>
                <w:sz w:val="21"/>
              </w:rPr>
            </w:pPr>
          </w:p>
        </w:tc>
        <w:tc>
          <w:tcPr>
            <w:tcW w:w="229" w:type="dxa"/>
            <w:vAlign w:val="top"/>
          </w:tcPr>
          <w:p w14:paraId="696ADC4B">
            <w:pPr>
              <w:pStyle w:val="6"/>
              <w:spacing w:before="82" w:line="238" w:lineRule="auto"/>
              <w:ind w:left="47"/>
              <w:rPr>
                <w:sz w:val="12"/>
                <w:szCs w:val="12"/>
              </w:rPr>
            </w:pPr>
            <w:r>
              <w:rPr>
                <w:sz w:val="12"/>
                <w:szCs w:val="12"/>
              </w:rPr>
              <w:t>√</w:t>
            </w:r>
          </w:p>
        </w:tc>
        <w:tc>
          <w:tcPr>
            <w:tcW w:w="229" w:type="dxa"/>
            <w:vAlign w:val="top"/>
          </w:tcPr>
          <w:p w14:paraId="09AFD685">
            <w:pPr>
              <w:rPr>
                <w:rFonts w:ascii="Arial"/>
                <w:sz w:val="21"/>
              </w:rPr>
            </w:pPr>
          </w:p>
        </w:tc>
        <w:tc>
          <w:tcPr>
            <w:tcW w:w="214" w:type="dxa"/>
            <w:vAlign w:val="top"/>
          </w:tcPr>
          <w:p w14:paraId="684E434B">
            <w:pPr>
              <w:rPr>
                <w:rFonts w:ascii="Arial"/>
                <w:sz w:val="21"/>
              </w:rPr>
            </w:pPr>
          </w:p>
        </w:tc>
      </w:tr>
      <w:tr w14:paraId="4038DA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continue"/>
            <w:tcBorders>
              <w:top w:val="nil"/>
              <w:bottom w:val="nil"/>
            </w:tcBorders>
            <w:vAlign w:val="top"/>
          </w:tcPr>
          <w:p w14:paraId="01E57AE0">
            <w:pPr>
              <w:rPr>
                <w:rFonts w:ascii="Arial"/>
                <w:sz w:val="21"/>
              </w:rPr>
            </w:pPr>
          </w:p>
        </w:tc>
        <w:tc>
          <w:tcPr>
            <w:tcW w:w="2324" w:type="dxa"/>
            <w:vAlign w:val="top"/>
          </w:tcPr>
          <w:p w14:paraId="2861A03F">
            <w:pPr>
              <w:pStyle w:val="6"/>
              <w:spacing w:before="52" w:line="213" w:lineRule="auto"/>
              <w:ind w:left="62"/>
            </w:pPr>
            <w:r>
              <w:rPr>
                <w:spacing w:val="-2"/>
              </w:rPr>
              <w:t>2.佛尔哈德法</w:t>
            </w:r>
          </w:p>
        </w:tc>
        <w:tc>
          <w:tcPr>
            <w:tcW w:w="220" w:type="dxa"/>
            <w:vAlign w:val="top"/>
          </w:tcPr>
          <w:p w14:paraId="2255548E">
            <w:pPr>
              <w:pStyle w:val="6"/>
              <w:spacing w:before="83" w:line="238" w:lineRule="auto"/>
              <w:ind w:left="48"/>
              <w:rPr>
                <w:sz w:val="12"/>
                <w:szCs w:val="12"/>
              </w:rPr>
            </w:pPr>
            <w:r>
              <w:rPr>
                <w:sz w:val="12"/>
                <w:szCs w:val="12"/>
              </w:rPr>
              <w:t>√</w:t>
            </w:r>
          </w:p>
        </w:tc>
        <w:tc>
          <w:tcPr>
            <w:tcW w:w="229" w:type="dxa"/>
            <w:vAlign w:val="top"/>
          </w:tcPr>
          <w:p w14:paraId="1F55CF2D">
            <w:pPr>
              <w:rPr>
                <w:rFonts w:ascii="Arial"/>
                <w:sz w:val="21"/>
              </w:rPr>
            </w:pPr>
          </w:p>
        </w:tc>
        <w:tc>
          <w:tcPr>
            <w:tcW w:w="229" w:type="dxa"/>
            <w:vAlign w:val="top"/>
          </w:tcPr>
          <w:p w14:paraId="5EF248EE">
            <w:pPr>
              <w:rPr>
                <w:rFonts w:ascii="Arial"/>
                <w:sz w:val="21"/>
              </w:rPr>
            </w:pPr>
          </w:p>
        </w:tc>
        <w:tc>
          <w:tcPr>
            <w:tcW w:w="214" w:type="dxa"/>
            <w:vAlign w:val="top"/>
          </w:tcPr>
          <w:p w14:paraId="51B1AAD7">
            <w:pPr>
              <w:rPr>
                <w:rFonts w:ascii="Arial"/>
                <w:sz w:val="21"/>
              </w:rPr>
            </w:pPr>
          </w:p>
        </w:tc>
      </w:tr>
      <w:tr w14:paraId="7ADF75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continue"/>
            <w:tcBorders>
              <w:top w:val="nil"/>
            </w:tcBorders>
            <w:vAlign w:val="top"/>
          </w:tcPr>
          <w:p w14:paraId="19921E95">
            <w:pPr>
              <w:rPr>
                <w:rFonts w:ascii="Arial"/>
                <w:sz w:val="21"/>
              </w:rPr>
            </w:pPr>
          </w:p>
        </w:tc>
        <w:tc>
          <w:tcPr>
            <w:tcW w:w="2324" w:type="dxa"/>
            <w:vAlign w:val="top"/>
          </w:tcPr>
          <w:p w14:paraId="2B387CCE">
            <w:pPr>
              <w:pStyle w:val="6"/>
              <w:spacing w:before="55" w:line="210" w:lineRule="auto"/>
              <w:ind w:left="62"/>
            </w:pPr>
            <w:r>
              <w:rPr>
                <w:spacing w:val="-2"/>
              </w:rPr>
              <w:t>3.法扬司法</w:t>
            </w:r>
          </w:p>
        </w:tc>
        <w:tc>
          <w:tcPr>
            <w:tcW w:w="220" w:type="dxa"/>
            <w:vAlign w:val="top"/>
          </w:tcPr>
          <w:p w14:paraId="701B1ABC">
            <w:pPr>
              <w:rPr>
                <w:rFonts w:ascii="Arial"/>
                <w:sz w:val="21"/>
              </w:rPr>
            </w:pPr>
          </w:p>
        </w:tc>
        <w:tc>
          <w:tcPr>
            <w:tcW w:w="229" w:type="dxa"/>
            <w:vAlign w:val="top"/>
          </w:tcPr>
          <w:p w14:paraId="589E0F2A">
            <w:pPr>
              <w:rPr>
                <w:rFonts w:ascii="Arial"/>
                <w:sz w:val="21"/>
              </w:rPr>
            </w:pPr>
          </w:p>
        </w:tc>
        <w:tc>
          <w:tcPr>
            <w:tcW w:w="229" w:type="dxa"/>
            <w:vAlign w:val="top"/>
          </w:tcPr>
          <w:p w14:paraId="705C2C68">
            <w:pPr>
              <w:rPr>
                <w:rFonts w:ascii="Arial"/>
                <w:sz w:val="21"/>
              </w:rPr>
            </w:pPr>
          </w:p>
        </w:tc>
        <w:tc>
          <w:tcPr>
            <w:tcW w:w="214" w:type="dxa"/>
            <w:vAlign w:val="top"/>
          </w:tcPr>
          <w:p w14:paraId="1B7A6009">
            <w:pPr>
              <w:rPr>
                <w:rFonts w:ascii="Arial"/>
                <w:sz w:val="21"/>
              </w:rPr>
            </w:pPr>
          </w:p>
        </w:tc>
      </w:tr>
      <w:tr w14:paraId="1856CE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restart"/>
            <w:tcBorders>
              <w:bottom w:val="nil"/>
            </w:tcBorders>
            <w:vAlign w:val="top"/>
          </w:tcPr>
          <w:p w14:paraId="21093930">
            <w:pPr>
              <w:pStyle w:val="6"/>
              <w:spacing w:before="15" w:line="195" w:lineRule="auto"/>
              <w:ind w:left="15"/>
            </w:pPr>
            <w:r>
              <w:rPr>
                <w:spacing w:val="-2"/>
              </w:rPr>
              <w:t>沉淀滴定法</w:t>
            </w:r>
          </w:p>
          <w:p w14:paraId="700DAAB6">
            <w:pPr>
              <w:pStyle w:val="6"/>
              <w:spacing w:line="195" w:lineRule="auto"/>
              <w:ind w:left="15"/>
            </w:pPr>
            <w:r>
              <w:rPr>
                <w:spacing w:val="2"/>
              </w:rPr>
              <w:t>标准溶液的</w:t>
            </w:r>
          </w:p>
          <w:p w14:paraId="264F3393">
            <w:pPr>
              <w:pStyle w:val="6"/>
              <w:spacing w:line="162" w:lineRule="auto"/>
              <w:ind w:left="265"/>
            </w:pPr>
            <w:r>
              <w:rPr>
                <w:spacing w:val="-2"/>
              </w:rPr>
              <w:t>制备</w:t>
            </w:r>
          </w:p>
        </w:tc>
        <w:tc>
          <w:tcPr>
            <w:tcW w:w="2324" w:type="dxa"/>
            <w:vAlign w:val="top"/>
          </w:tcPr>
          <w:p w14:paraId="719326F6">
            <w:pPr>
              <w:pStyle w:val="6"/>
              <w:spacing w:before="55" w:line="210" w:lineRule="auto"/>
              <w:ind w:left="62"/>
            </w:pPr>
            <w:r>
              <w:rPr>
                <w:spacing w:val="1"/>
              </w:rPr>
              <w:t>1.硝酸银标准溶液的配制</w:t>
            </w:r>
          </w:p>
        </w:tc>
        <w:tc>
          <w:tcPr>
            <w:tcW w:w="220" w:type="dxa"/>
            <w:vAlign w:val="top"/>
          </w:tcPr>
          <w:p w14:paraId="434B49A7">
            <w:pPr>
              <w:rPr>
                <w:rFonts w:ascii="Arial"/>
                <w:sz w:val="21"/>
              </w:rPr>
            </w:pPr>
          </w:p>
        </w:tc>
        <w:tc>
          <w:tcPr>
            <w:tcW w:w="229" w:type="dxa"/>
            <w:vAlign w:val="top"/>
          </w:tcPr>
          <w:p w14:paraId="43E0B010">
            <w:pPr>
              <w:rPr>
                <w:rFonts w:ascii="Arial"/>
                <w:sz w:val="21"/>
              </w:rPr>
            </w:pPr>
          </w:p>
        </w:tc>
        <w:tc>
          <w:tcPr>
            <w:tcW w:w="229" w:type="dxa"/>
            <w:vAlign w:val="top"/>
          </w:tcPr>
          <w:p w14:paraId="2958AE8C">
            <w:pPr>
              <w:rPr>
                <w:rFonts w:ascii="Arial"/>
                <w:sz w:val="21"/>
              </w:rPr>
            </w:pPr>
          </w:p>
        </w:tc>
        <w:tc>
          <w:tcPr>
            <w:tcW w:w="214" w:type="dxa"/>
            <w:vAlign w:val="top"/>
          </w:tcPr>
          <w:p w14:paraId="5BC4A0D1">
            <w:pPr>
              <w:rPr>
                <w:rFonts w:ascii="Arial"/>
                <w:sz w:val="21"/>
              </w:rPr>
            </w:pPr>
          </w:p>
        </w:tc>
      </w:tr>
      <w:tr w14:paraId="4936AE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6" w:hRule="atLeast"/>
        </w:trPr>
        <w:tc>
          <w:tcPr>
            <w:tcW w:w="893" w:type="dxa"/>
            <w:vMerge w:val="continue"/>
            <w:tcBorders>
              <w:top w:val="nil"/>
            </w:tcBorders>
            <w:vAlign w:val="top"/>
          </w:tcPr>
          <w:p w14:paraId="7AC5F865">
            <w:pPr>
              <w:rPr>
                <w:rFonts w:ascii="Arial"/>
                <w:sz w:val="21"/>
              </w:rPr>
            </w:pPr>
          </w:p>
        </w:tc>
        <w:tc>
          <w:tcPr>
            <w:tcW w:w="2324" w:type="dxa"/>
            <w:vAlign w:val="top"/>
          </w:tcPr>
          <w:p w14:paraId="307E2BE1">
            <w:pPr>
              <w:pStyle w:val="6"/>
              <w:spacing w:before="56" w:line="217" w:lineRule="auto"/>
              <w:ind w:left="62"/>
            </w:pPr>
            <w:r>
              <w:rPr>
                <w:spacing w:val="-1"/>
              </w:rPr>
              <w:t>2.硝酸银标准溶液的标定</w:t>
            </w:r>
          </w:p>
        </w:tc>
        <w:tc>
          <w:tcPr>
            <w:tcW w:w="220" w:type="dxa"/>
            <w:vAlign w:val="top"/>
          </w:tcPr>
          <w:p w14:paraId="5785A166">
            <w:pPr>
              <w:rPr>
                <w:rFonts w:ascii="Arial"/>
                <w:sz w:val="21"/>
              </w:rPr>
            </w:pPr>
          </w:p>
        </w:tc>
        <w:tc>
          <w:tcPr>
            <w:tcW w:w="229" w:type="dxa"/>
            <w:vAlign w:val="top"/>
          </w:tcPr>
          <w:p w14:paraId="47BE75DB">
            <w:pPr>
              <w:rPr>
                <w:rFonts w:ascii="Arial"/>
                <w:sz w:val="21"/>
              </w:rPr>
            </w:pPr>
          </w:p>
        </w:tc>
        <w:tc>
          <w:tcPr>
            <w:tcW w:w="229" w:type="dxa"/>
            <w:vAlign w:val="top"/>
          </w:tcPr>
          <w:p w14:paraId="08468887">
            <w:pPr>
              <w:rPr>
                <w:rFonts w:ascii="Arial"/>
                <w:sz w:val="21"/>
              </w:rPr>
            </w:pPr>
          </w:p>
        </w:tc>
        <w:tc>
          <w:tcPr>
            <w:tcW w:w="214" w:type="dxa"/>
            <w:vAlign w:val="top"/>
          </w:tcPr>
          <w:p w14:paraId="3D4D8D88">
            <w:pPr>
              <w:rPr>
                <w:rFonts w:ascii="Arial"/>
                <w:sz w:val="21"/>
              </w:rPr>
            </w:pPr>
          </w:p>
        </w:tc>
      </w:tr>
    </w:tbl>
    <w:p w14:paraId="12547613">
      <w:pPr>
        <w:pStyle w:val="2"/>
        <w:spacing w:line="254" w:lineRule="auto"/>
      </w:pPr>
    </w:p>
    <w:p w14:paraId="2170EE2F">
      <w:pPr>
        <w:pStyle w:val="2"/>
        <w:spacing w:line="254" w:lineRule="auto"/>
      </w:pPr>
    </w:p>
    <w:p w14:paraId="27775C34">
      <w:pPr>
        <w:spacing w:before="65" w:line="222" w:lineRule="auto"/>
        <w:ind w:left="1047"/>
        <w:rPr>
          <w:rFonts w:ascii="黑体" w:hAnsi="黑体" w:eastAsia="黑体" w:cs="黑体"/>
          <w:sz w:val="20"/>
          <w:szCs w:val="20"/>
        </w:rPr>
      </w:pPr>
      <w:r>
        <w:rPr>
          <w:rFonts w:ascii="黑体" w:hAnsi="黑体" w:eastAsia="黑体" w:cs="黑体"/>
          <w:b/>
          <w:bCs/>
          <w:spacing w:val="5"/>
          <w:sz w:val="20"/>
          <w:szCs w:val="20"/>
        </w:rPr>
        <w:t>第三部分化工单元操作</w:t>
      </w:r>
    </w:p>
    <w:p w14:paraId="788748CB">
      <w:pPr>
        <w:pStyle w:val="2"/>
        <w:spacing w:line="292" w:lineRule="auto"/>
      </w:pPr>
    </w:p>
    <w:p w14:paraId="232EBF08">
      <w:pPr>
        <w:spacing w:before="65" w:line="221" w:lineRule="auto"/>
        <w:ind w:left="1477"/>
        <w:rPr>
          <w:rFonts w:ascii="黑体" w:hAnsi="黑体" w:eastAsia="黑体" w:cs="黑体"/>
          <w:sz w:val="20"/>
          <w:szCs w:val="20"/>
        </w:rPr>
      </w:pPr>
      <w:r>
        <w:rPr>
          <w:rFonts w:ascii="黑体" w:hAnsi="黑体" w:eastAsia="黑体" w:cs="黑体"/>
          <w:b/>
          <w:bCs/>
          <w:spacing w:val="-7"/>
          <w:sz w:val="20"/>
          <w:szCs w:val="20"/>
        </w:rPr>
        <w:t>一、流体输送</w:t>
      </w:r>
    </w:p>
    <w:p w14:paraId="4E19C8E4">
      <w:pPr>
        <w:spacing w:line="81" w:lineRule="exact"/>
      </w:pPr>
    </w:p>
    <w:tbl>
      <w:tblPr>
        <w:tblStyle w:val="5"/>
        <w:tblW w:w="41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24"/>
        <w:gridCol w:w="219"/>
        <w:gridCol w:w="229"/>
        <w:gridCol w:w="220"/>
        <w:gridCol w:w="234"/>
      </w:tblGrid>
      <w:tr w14:paraId="249788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9" w:hRule="atLeast"/>
        </w:trPr>
        <w:tc>
          <w:tcPr>
            <w:tcW w:w="893" w:type="dxa"/>
            <w:vMerge w:val="restart"/>
            <w:tcBorders>
              <w:top w:val="single" w:color="000000" w:sz="2" w:space="0"/>
              <w:bottom w:val="nil"/>
            </w:tcBorders>
            <w:vAlign w:val="top"/>
          </w:tcPr>
          <w:p w14:paraId="3DC92BD1">
            <w:pPr>
              <w:pStyle w:val="6"/>
              <w:spacing w:before="136" w:line="229" w:lineRule="auto"/>
              <w:ind w:left="97" w:right="112" w:firstLine="89"/>
            </w:pPr>
            <w:r>
              <w:rPr>
                <w:b/>
                <w:bCs/>
                <w:spacing w:val="-6"/>
              </w:rPr>
              <w:t>知识与</w:t>
            </w:r>
            <w:r>
              <w:t xml:space="preserve">  </w:t>
            </w:r>
            <w:r>
              <w:rPr>
                <w:b/>
                <w:bCs/>
                <w:spacing w:val="-4"/>
              </w:rPr>
              <w:t>技能要点</w:t>
            </w:r>
          </w:p>
        </w:tc>
        <w:tc>
          <w:tcPr>
            <w:tcW w:w="2324" w:type="dxa"/>
            <w:vMerge w:val="restart"/>
            <w:tcBorders>
              <w:top w:val="single" w:color="000000" w:sz="2" w:space="0"/>
              <w:bottom w:val="nil"/>
            </w:tcBorders>
            <w:vAlign w:val="top"/>
          </w:tcPr>
          <w:p w14:paraId="7E5C8990">
            <w:pPr>
              <w:pStyle w:val="6"/>
              <w:spacing w:before="254" w:line="219" w:lineRule="auto"/>
              <w:ind w:left="844"/>
            </w:pPr>
            <w:r>
              <w:rPr>
                <w:b/>
                <w:bCs/>
                <w:spacing w:val="5"/>
              </w:rPr>
              <w:t>考试条目</w:t>
            </w:r>
          </w:p>
        </w:tc>
        <w:tc>
          <w:tcPr>
            <w:tcW w:w="902" w:type="dxa"/>
            <w:gridSpan w:val="4"/>
            <w:tcBorders>
              <w:top w:val="single" w:color="000000" w:sz="2" w:space="0"/>
              <w:bottom w:val="single" w:color="000000" w:sz="2" w:space="0"/>
            </w:tcBorders>
            <w:vAlign w:val="top"/>
          </w:tcPr>
          <w:p w14:paraId="0F458CCE">
            <w:pPr>
              <w:pStyle w:val="6"/>
              <w:spacing w:before="84" w:line="219" w:lineRule="auto"/>
              <w:ind w:left="120"/>
            </w:pPr>
            <w:r>
              <w:rPr>
                <w:b/>
                <w:bCs/>
                <w:spacing w:val="-4"/>
              </w:rPr>
              <w:t>考试水平</w:t>
            </w:r>
          </w:p>
        </w:tc>
      </w:tr>
      <w:tr w14:paraId="1E91FC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4" w:hRule="atLeast"/>
        </w:trPr>
        <w:tc>
          <w:tcPr>
            <w:tcW w:w="893" w:type="dxa"/>
            <w:vMerge w:val="continue"/>
            <w:tcBorders>
              <w:top w:val="nil"/>
              <w:bottom w:val="single" w:color="000000" w:sz="2" w:space="0"/>
            </w:tcBorders>
            <w:vAlign w:val="top"/>
          </w:tcPr>
          <w:p w14:paraId="59F46B3D">
            <w:pPr>
              <w:rPr>
                <w:rFonts w:ascii="Arial"/>
                <w:sz w:val="21"/>
              </w:rPr>
            </w:pPr>
          </w:p>
        </w:tc>
        <w:tc>
          <w:tcPr>
            <w:tcW w:w="2324" w:type="dxa"/>
            <w:vMerge w:val="continue"/>
            <w:tcBorders>
              <w:top w:val="nil"/>
              <w:bottom w:val="single" w:color="000000" w:sz="2" w:space="0"/>
            </w:tcBorders>
            <w:vAlign w:val="top"/>
          </w:tcPr>
          <w:p w14:paraId="5A753D0D">
            <w:pPr>
              <w:rPr>
                <w:rFonts w:ascii="Arial"/>
                <w:sz w:val="21"/>
              </w:rPr>
            </w:pPr>
          </w:p>
        </w:tc>
        <w:tc>
          <w:tcPr>
            <w:tcW w:w="219" w:type="dxa"/>
            <w:tcBorders>
              <w:top w:val="single" w:color="000000" w:sz="2" w:space="0"/>
              <w:bottom w:val="single" w:color="000000" w:sz="2" w:space="0"/>
            </w:tcBorders>
            <w:vAlign w:val="top"/>
          </w:tcPr>
          <w:p w14:paraId="4F5D1A09">
            <w:pPr>
              <w:pStyle w:val="6"/>
              <w:spacing w:before="125" w:line="184" w:lineRule="auto"/>
              <w:ind w:left="57"/>
            </w:pPr>
            <w:r>
              <w:t>A</w:t>
            </w:r>
          </w:p>
        </w:tc>
        <w:tc>
          <w:tcPr>
            <w:tcW w:w="229" w:type="dxa"/>
            <w:tcBorders>
              <w:top w:val="single" w:color="000000" w:sz="2" w:space="0"/>
              <w:bottom w:val="single" w:color="000000" w:sz="2" w:space="0"/>
            </w:tcBorders>
            <w:vAlign w:val="top"/>
          </w:tcPr>
          <w:p w14:paraId="6263063F">
            <w:pPr>
              <w:pStyle w:val="6"/>
              <w:spacing w:before="127" w:line="182" w:lineRule="auto"/>
              <w:ind w:left="21"/>
            </w:pPr>
            <w:r>
              <w:rPr>
                <w:b/>
                <w:bCs/>
                <w:spacing w:val="-2"/>
              </w:rPr>
              <w:t>B</w:t>
            </w:r>
          </w:p>
        </w:tc>
        <w:tc>
          <w:tcPr>
            <w:tcW w:w="220" w:type="dxa"/>
            <w:tcBorders>
              <w:top w:val="single" w:color="000000" w:sz="2" w:space="0"/>
              <w:bottom w:val="single" w:color="000000" w:sz="2" w:space="0"/>
            </w:tcBorders>
            <w:vAlign w:val="top"/>
          </w:tcPr>
          <w:p w14:paraId="4746E95C">
            <w:pPr>
              <w:pStyle w:val="6"/>
              <w:spacing w:before="126" w:line="183" w:lineRule="auto"/>
              <w:ind w:left="19"/>
            </w:pPr>
            <w:r>
              <w:t>C</w:t>
            </w:r>
          </w:p>
        </w:tc>
        <w:tc>
          <w:tcPr>
            <w:tcW w:w="234" w:type="dxa"/>
            <w:tcBorders>
              <w:top w:val="single" w:color="000000" w:sz="2" w:space="0"/>
              <w:bottom w:val="single" w:color="000000" w:sz="2" w:space="0"/>
            </w:tcBorders>
            <w:vAlign w:val="top"/>
          </w:tcPr>
          <w:p w14:paraId="3552BAA0">
            <w:pPr>
              <w:pStyle w:val="6"/>
              <w:spacing w:before="127" w:line="182" w:lineRule="auto"/>
              <w:ind w:left="22"/>
            </w:pPr>
            <w:r>
              <w:rPr>
                <w:b/>
                <w:bCs/>
                <w:spacing w:val="-2"/>
              </w:rPr>
              <w:t>D</w:t>
            </w:r>
          </w:p>
        </w:tc>
      </w:tr>
      <w:tr w14:paraId="27F905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5" w:hRule="atLeast"/>
        </w:trPr>
        <w:tc>
          <w:tcPr>
            <w:tcW w:w="893" w:type="dxa"/>
            <w:vMerge w:val="restart"/>
            <w:tcBorders>
              <w:top w:val="single" w:color="000000" w:sz="2" w:space="0"/>
              <w:bottom w:val="nil"/>
            </w:tcBorders>
            <w:vAlign w:val="top"/>
          </w:tcPr>
          <w:p w14:paraId="7473EEEC">
            <w:pPr>
              <w:pStyle w:val="6"/>
              <w:spacing w:before="84" w:line="229" w:lineRule="auto"/>
              <w:ind w:left="94" w:right="88" w:firstLine="89"/>
            </w:pPr>
            <w:r>
              <w:rPr>
                <w:spacing w:val="4"/>
              </w:rPr>
              <w:t>流体的</w:t>
            </w:r>
            <w:r>
              <w:t xml:space="preserve">  </w:t>
            </w:r>
            <w:r>
              <w:rPr>
                <w:spacing w:val="4"/>
              </w:rPr>
              <w:t>物理性质</w:t>
            </w:r>
          </w:p>
        </w:tc>
        <w:tc>
          <w:tcPr>
            <w:tcW w:w="2324" w:type="dxa"/>
            <w:tcBorders>
              <w:top w:val="single" w:color="000000" w:sz="2" w:space="0"/>
              <w:bottom w:val="single" w:color="000000" w:sz="2" w:space="0"/>
            </w:tcBorders>
            <w:vAlign w:val="top"/>
          </w:tcPr>
          <w:p w14:paraId="4557BE26">
            <w:pPr>
              <w:pStyle w:val="6"/>
              <w:spacing w:before="54" w:line="218" w:lineRule="auto"/>
              <w:ind w:left="52"/>
            </w:pPr>
            <w:r>
              <w:rPr>
                <w:spacing w:val="1"/>
              </w:rPr>
              <w:t>1.密度与相对密度</w:t>
            </w:r>
          </w:p>
        </w:tc>
        <w:tc>
          <w:tcPr>
            <w:tcW w:w="219" w:type="dxa"/>
            <w:tcBorders>
              <w:top w:val="single" w:color="000000" w:sz="2" w:space="0"/>
              <w:bottom w:val="single" w:color="000000" w:sz="2" w:space="0"/>
            </w:tcBorders>
            <w:vAlign w:val="top"/>
          </w:tcPr>
          <w:p w14:paraId="099DFFE6">
            <w:pPr>
              <w:pStyle w:val="6"/>
              <w:spacing w:before="85" w:line="238" w:lineRule="auto"/>
              <w:ind w:left="38"/>
              <w:rPr>
                <w:sz w:val="13"/>
                <w:szCs w:val="13"/>
              </w:rPr>
            </w:pPr>
            <w:r>
              <w:rPr>
                <w:sz w:val="13"/>
                <w:szCs w:val="13"/>
              </w:rPr>
              <w:t>√</w:t>
            </w:r>
          </w:p>
        </w:tc>
        <w:tc>
          <w:tcPr>
            <w:tcW w:w="229" w:type="dxa"/>
            <w:tcBorders>
              <w:top w:val="single" w:color="000000" w:sz="2" w:space="0"/>
              <w:bottom w:val="single" w:color="000000" w:sz="2" w:space="0"/>
            </w:tcBorders>
            <w:vAlign w:val="top"/>
          </w:tcPr>
          <w:p w14:paraId="2A1AF290">
            <w:pPr>
              <w:rPr>
                <w:rFonts w:ascii="Arial"/>
                <w:sz w:val="21"/>
              </w:rPr>
            </w:pPr>
          </w:p>
        </w:tc>
        <w:tc>
          <w:tcPr>
            <w:tcW w:w="220" w:type="dxa"/>
            <w:tcBorders>
              <w:top w:val="single" w:color="000000" w:sz="2" w:space="0"/>
              <w:bottom w:val="single" w:color="000000" w:sz="2" w:space="0"/>
            </w:tcBorders>
            <w:vAlign w:val="top"/>
          </w:tcPr>
          <w:p w14:paraId="11EB64C1">
            <w:pPr>
              <w:rPr>
                <w:rFonts w:ascii="Arial"/>
                <w:sz w:val="21"/>
              </w:rPr>
            </w:pPr>
          </w:p>
        </w:tc>
        <w:tc>
          <w:tcPr>
            <w:tcW w:w="234" w:type="dxa"/>
            <w:tcBorders>
              <w:top w:val="single" w:color="000000" w:sz="2" w:space="0"/>
              <w:bottom w:val="single" w:color="000000" w:sz="2" w:space="0"/>
            </w:tcBorders>
            <w:vAlign w:val="top"/>
          </w:tcPr>
          <w:p w14:paraId="21CBA9EA">
            <w:pPr>
              <w:rPr>
                <w:rFonts w:ascii="Arial"/>
                <w:sz w:val="21"/>
              </w:rPr>
            </w:pPr>
          </w:p>
        </w:tc>
      </w:tr>
      <w:tr w14:paraId="136D6E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4" w:hRule="atLeast"/>
        </w:trPr>
        <w:tc>
          <w:tcPr>
            <w:tcW w:w="893" w:type="dxa"/>
            <w:vMerge w:val="continue"/>
            <w:tcBorders>
              <w:top w:val="nil"/>
              <w:bottom w:val="single" w:color="000000" w:sz="2" w:space="0"/>
            </w:tcBorders>
            <w:vAlign w:val="top"/>
          </w:tcPr>
          <w:p w14:paraId="72A7633B">
            <w:pPr>
              <w:rPr>
                <w:rFonts w:ascii="Arial"/>
                <w:sz w:val="21"/>
              </w:rPr>
            </w:pPr>
          </w:p>
        </w:tc>
        <w:tc>
          <w:tcPr>
            <w:tcW w:w="2324" w:type="dxa"/>
            <w:tcBorders>
              <w:top w:val="single" w:color="000000" w:sz="2" w:space="0"/>
              <w:bottom w:val="single" w:color="000000" w:sz="2" w:space="0"/>
            </w:tcBorders>
            <w:vAlign w:val="top"/>
          </w:tcPr>
          <w:p w14:paraId="65846DE2">
            <w:pPr>
              <w:pStyle w:val="6"/>
              <w:spacing w:before="53" w:line="218" w:lineRule="auto"/>
              <w:ind w:left="52"/>
            </w:pPr>
            <w:r>
              <w:rPr>
                <w:spacing w:val="3"/>
              </w:rPr>
              <w:t>2.压力</w:t>
            </w:r>
          </w:p>
        </w:tc>
        <w:tc>
          <w:tcPr>
            <w:tcW w:w="219" w:type="dxa"/>
            <w:tcBorders>
              <w:top w:val="single" w:color="000000" w:sz="2" w:space="0"/>
              <w:bottom w:val="single" w:color="000000" w:sz="2" w:space="0"/>
            </w:tcBorders>
            <w:vAlign w:val="top"/>
          </w:tcPr>
          <w:p w14:paraId="1076836F">
            <w:pPr>
              <w:rPr>
                <w:rFonts w:ascii="Arial"/>
                <w:sz w:val="21"/>
              </w:rPr>
            </w:pPr>
          </w:p>
        </w:tc>
        <w:tc>
          <w:tcPr>
            <w:tcW w:w="229" w:type="dxa"/>
            <w:tcBorders>
              <w:top w:val="single" w:color="000000" w:sz="2" w:space="0"/>
              <w:bottom w:val="single" w:color="000000" w:sz="2" w:space="0"/>
            </w:tcBorders>
            <w:vAlign w:val="top"/>
          </w:tcPr>
          <w:p w14:paraId="51863AA3">
            <w:pPr>
              <w:rPr>
                <w:rFonts w:ascii="Arial"/>
                <w:sz w:val="21"/>
              </w:rPr>
            </w:pPr>
          </w:p>
        </w:tc>
        <w:tc>
          <w:tcPr>
            <w:tcW w:w="220" w:type="dxa"/>
            <w:tcBorders>
              <w:top w:val="single" w:color="000000" w:sz="2" w:space="0"/>
              <w:bottom w:val="single" w:color="000000" w:sz="2" w:space="0"/>
            </w:tcBorders>
            <w:vAlign w:val="top"/>
          </w:tcPr>
          <w:p w14:paraId="0DCF240A">
            <w:pPr>
              <w:rPr>
                <w:rFonts w:ascii="Arial"/>
                <w:sz w:val="21"/>
              </w:rPr>
            </w:pPr>
          </w:p>
        </w:tc>
        <w:tc>
          <w:tcPr>
            <w:tcW w:w="234" w:type="dxa"/>
            <w:tcBorders>
              <w:top w:val="single" w:color="000000" w:sz="2" w:space="0"/>
              <w:bottom w:val="single" w:color="000000" w:sz="2" w:space="0"/>
            </w:tcBorders>
            <w:vAlign w:val="top"/>
          </w:tcPr>
          <w:p w14:paraId="295E8FA0">
            <w:pPr>
              <w:rPr>
                <w:rFonts w:ascii="Arial"/>
                <w:sz w:val="21"/>
              </w:rPr>
            </w:pPr>
          </w:p>
        </w:tc>
      </w:tr>
      <w:tr w14:paraId="0B6888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5" w:hRule="atLeast"/>
        </w:trPr>
        <w:tc>
          <w:tcPr>
            <w:tcW w:w="893" w:type="dxa"/>
            <w:vMerge w:val="restart"/>
            <w:tcBorders>
              <w:top w:val="single" w:color="000000" w:sz="2" w:space="0"/>
              <w:bottom w:val="nil"/>
            </w:tcBorders>
            <w:vAlign w:val="top"/>
          </w:tcPr>
          <w:p w14:paraId="254992D2">
            <w:pPr>
              <w:pStyle w:val="6"/>
              <w:spacing w:before="214" w:line="228" w:lineRule="auto"/>
              <w:ind w:left="94" w:right="114"/>
            </w:pPr>
            <w:r>
              <w:rPr>
                <w:spacing w:val="-2"/>
              </w:rPr>
              <w:t>流体流动</w:t>
            </w:r>
            <w:r>
              <w:t xml:space="preserve"> </w:t>
            </w:r>
            <w:r>
              <w:rPr>
                <w:spacing w:val="-2"/>
              </w:rPr>
              <w:t>基本知识</w:t>
            </w:r>
          </w:p>
        </w:tc>
        <w:tc>
          <w:tcPr>
            <w:tcW w:w="2324" w:type="dxa"/>
            <w:tcBorders>
              <w:top w:val="single" w:color="000000" w:sz="2" w:space="0"/>
              <w:bottom w:val="single" w:color="000000" w:sz="2" w:space="0"/>
            </w:tcBorders>
            <w:vAlign w:val="top"/>
          </w:tcPr>
          <w:p w14:paraId="18310B76">
            <w:pPr>
              <w:pStyle w:val="6"/>
              <w:spacing w:before="55" w:line="217" w:lineRule="auto"/>
              <w:ind w:left="52"/>
            </w:pPr>
            <w:r>
              <w:t>1.流量方程式</w:t>
            </w:r>
          </w:p>
        </w:tc>
        <w:tc>
          <w:tcPr>
            <w:tcW w:w="219" w:type="dxa"/>
            <w:tcBorders>
              <w:top w:val="single" w:color="000000" w:sz="2" w:space="0"/>
              <w:bottom w:val="single" w:color="000000" w:sz="2" w:space="0"/>
            </w:tcBorders>
            <w:vAlign w:val="top"/>
          </w:tcPr>
          <w:p w14:paraId="17E226A7">
            <w:pPr>
              <w:rPr>
                <w:rFonts w:ascii="Arial"/>
                <w:sz w:val="21"/>
              </w:rPr>
            </w:pPr>
          </w:p>
        </w:tc>
        <w:tc>
          <w:tcPr>
            <w:tcW w:w="229" w:type="dxa"/>
            <w:tcBorders>
              <w:top w:val="single" w:color="000000" w:sz="2" w:space="0"/>
              <w:bottom w:val="single" w:color="000000" w:sz="2" w:space="0"/>
            </w:tcBorders>
            <w:vAlign w:val="top"/>
          </w:tcPr>
          <w:p w14:paraId="69A28B75">
            <w:pPr>
              <w:rPr>
                <w:rFonts w:ascii="Arial"/>
                <w:sz w:val="21"/>
              </w:rPr>
            </w:pPr>
          </w:p>
        </w:tc>
        <w:tc>
          <w:tcPr>
            <w:tcW w:w="220" w:type="dxa"/>
            <w:tcBorders>
              <w:top w:val="single" w:color="000000" w:sz="2" w:space="0"/>
              <w:bottom w:val="single" w:color="000000" w:sz="2" w:space="0"/>
            </w:tcBorders>
            <w:vAlign w:val="top"/>
          </w:tcPr>
          <w:p w14:paraId="4CD1F94C">
            <w:pPr>
              <w:rPr>
                <w:rFonts w:ascii="Arial"/>
                <w:sz w:val="21"/>
              </w:rPr>
            </w:pPr>
          </w:p>
        </w:tc>
        <w:tc>
          <w:tcPr>
            <w:tcW w:w="234" w:type="dxa"/>
            <w:tcBorders>
              <w:top w:val="single" w:color="000000" w:sz="2" w:space="0"/>
              <w:bottom w:val="single" w:color="000000" w:sz="2" w:space="0"/>
            </w:tcBorders>
            <w:vAlign w:val="top"/>
          </w:tcPr>
          <w:p w14:paraId="7BE22ED0">
            <w:pPr>
              <w:rPr>
                <w:rFonts w:ascii="Arial"/>
                <w:sz w:val="21"/>
              </w:rPr>
            </w:pPr>
          </w:p>
        </w:tc>
      </w:tr>
      <w:tr w14:paraId="16E670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4" w:hRule="atLeast"/>
        </w:trPr>
        <w:tc>
          <w:tcPr>
            <w:tcW w:w="893" w:type="dxa"/>
            <w:vMerge w:val="continue"/>
            <w:tcBorders>
              <w:top w:val="nil"/>
              <w:bottom w:val="nil"/>
            </w:tcBorders>
            <w:vAlign w:val="top"/>
          </w:tcPr>
          <w:p w14:paraId="76E21D3E">
            <w:pPr>
              <w:rPr>
                <w:rFonts w:ascii="Arial"/>
                <w:sz w:val="21"/>
              </w:rPr>
            </w:pPr>
          </w:p>
        </w:tc>
        <w:tc>
          <w:tcPr>
            <w:tcW w:w="2324" w:type="dxa"/>
            <w:tcBorders>
              <w:top w:val="single" w:color="000000" w:sz="2" w:space="0"/>
              <w:bottom w:val="single" w:color="000000" w:sz="2" w:space="0"/>
            </w:tcBorders>
            <w:vAlign w:val="top"/>
          </w:tcPr>
          <w:p w14:paraId="564A6A6B">
            <w:pPr>
              <w:pStyle w:val="6"/>
              <w:spacing w:before="55" w:line="216" w:lineRule="auto"/>
              <w:ind w:left="52"/>
            </w:pPr>
            <w:r>
              <w:rPr>
                <w:spacing w:val="-2"/>
              </w:rPr>
              <w:t>2.连续性方程</w:t>
            </w:r>
          </w:p>
        </w:tc>
        <w:tc>
          <w:tcPr>
            <w:tcW w:w="219" w:type="dxa"/>
            <w:tcBorders>
              <w:top w:val="single" w:color="000000" w:sz="2" w:space="0"/>
              <w:bottom w:val="single" w:color="000000" w:sz="2" w:space="0"/>
            </w:tcBorders>
            <w:vAlign w:val="top"/>
          </w:tcPr>
          <w:p w14:paraId="43216755">
            <w:pPr>
              <w:rPr>
                <w:rFonts w:ascii="Arial"/>
                <w:sz w:val="21"/>
              </w:rPr>
            </w:pPr>
          </w:p>
        </w:tc>
        <w:tc>
          <w:tcPr>
            <w:tcW w:w="229" w:type="dxa"/>
            <w:tcBorders>
              <w:top w:val="single" w:color="000000" w:sz="2" w:space="0"/>
              <w:bottom w:val="single" w:color="000000" w:sz="2" w:space="0"/>
            </w:tcBorders>
            <w:vAlign w:val="top"/>
          </w:tcPr>
          <w:p w14:paraId="4B096DAD">
            <w:pPr>
              <w:rPr>
                <w:rFonts w:ascii="Arial"/>
                <w:sz w:val="21"/>
              </w:rPr>
            </w:pPr>
          </w:p>
        </w:tc>
        <w:tc>
          <w:tcPr>
            <w:tcW w:w="220" w:type="dxa"/>
            <w:tcBorders>
              <w:top w:val="single" w:color="000000" w:sz="2" w:space="0"/>
              <w:bottom w:val="single" w:color="000000" w:sz="2" w:space="0"/>
            </w:tcBorders>
            <w:vAlign w:val="top"/>
          </w:tcPr>
          <w:p w14:paraId="4868EC1D">
            <w:pPr>
              <w:rPr>
                <w:rFonts w:ascii="Arial"/>
                <w:sz w:val="21"/>
              </w:rPr>
            </w:pPr>
          </w:p>
        </w:tc>
        <w:tc>
          <w:tcPr>
            <w:tcW w:w="234" w:type="dxa"/>
            <w:tcBorders>
              <w:top w:val="single" w:color="000000" w:sz="2" w:space="0"/>
              <w:bottom w:val="single" w:color="000000" w:sz="2" w:space="0"/>
            </w:tcBorders>
            <w:vAlign w:val="top"/>
          </w:tcPr>
          <w:p w14:paraId="3E7B27A7">
            <w:pPr>
              <w:rPr>
                <w:rFonts w:ascii="Arial"/>
                <w:sz w:val="21"/>
              </w:rPr>
            </w:pPr>
          </w:p>
        </w:tc>
      </w:tr>
      <w:tr w14:paraId="038544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4" w:hRule="atLeast"/>
        </w:trPr>
        <w:tc>
          <w:tcPr>
            <w:tcW w:w="893" w:type="dxa"/>
            <w:vMerge w:val="continue"/>
            <w:tcBorders>
              <w:top w:val="nil"/>
              <w:bottom w:val="single" w:color="000000" w:sz="2" w:space="0"/>
            </w:tcBorders>
            <w:vAlign w:val="top"/>
          </w:tcPr>
          <w:p w14:paraId="4F55FB6E">
            <w:pPr>
              <w:rPr>
                <w:rFonts w:ascii="Arial"/>
                <w:sz w:val="21"/>
              </w:rPr>
            </w:pPr>
          </w:p>
        </w:tc>
        <w:tc>
          <w:tcPr>
            <w:tcW w:w="2324" w:type="dxa"/>
            <w:tcBorders>
              <w:top w:val="single" w:color="000000" w:sz="2" w:space="0"/>
              <w:bottom w:val="single" w:color="000000" w:sz="2" w:space="0"/>
            </w:tcBorders>
            <w:vAlign w:val="top"/>
          </w:tcPr>
          <w:p w14:paraId="51DC76E0">
            <w:pPr>
              <w:pStyle w:val="6"/>
              <w:spacing w:before="54" w:line="217" w:lineRule="auto"/>
              <w:ind w:left="52"/>
            </w:pPr>
            <w:r>
              <w:rPr>
                <w:spacing w:val="-2"/>
              </w:rPr>
              <w:t>3.伯努利方程</w:t>
            </w:r>
          </w:p>
        </w:tc>
        <w:tc>
          <w:tcPr>
            <w:tcW w:w="219" w:type="dxa"/>
            <w:tcBorders>
              <w:top w:val="single" w:color="000000" w:sz="2" w:space="0"/>
              <w:bottom w:val="single" w:color="000000" w:sz="2" w:space="0"/>
            </w:tcBorders>
            <w:vAlign w:val="top"/>
          </w:tcPr>
          <w:p w14:paraId="3EF4C4E7">
            <w:pPr>
              <w:rPr>
                <w:rFonts w:ascii="Arial"/>
                <w:sz w:val="21"/>
              </w:rPr>
            </w:pPr>
          </w:p>
        </w:tc>
        <w:tc>
          <w:tcPr>
            <w:tcW w:w="229" w:type="dxa"/>
            <w:tcBorders>
              <w:top w:val="single" w:color="000000" w:sz="2" w:space="0"/>
              <w:bottom w:val="single" w:color="000000" w:sz="2" w:space="0"/>
            </w:tcBorders>
            <w:vAlign w:val="top"/>
          </w:tcPr>
          <w:p w14:paraId="4513E230">
            <w:pPr>
              <w:rPr>
                <w:rFonts w:ascii="Arial"/>
                <w:sz w:val="21"/>
              </w:rPr>
            </w:pPr>
          </w:p>
        </w:tc>
        <w:tc>
          <w:tcPr>
            <w:tcW w:w="220" w:type="dxa"/>
            <w:tcBorders>
              <w:top w:val="single" w:color="000000" w:sz="2" w:space="0"/>
              <w:bottom w:val="single" w:color="000000" w:sz="2" w:space="0"/>
            </w:tcBorders>
            <w:vAlign w:val="top"/>
          </w:tcPr>
          <w:p w14:paraId="3F9689E6">
            <w:pPr>
              <w:rPr>
                <w:rFonts w:ascii="Arial"/>
                <w:sz w:val="21"/>
              </w:rPr>
            </w:pPr>
          </w:p>
        </w:tc>
        <w:tc>
          <w:tcPr>
            <w:tcW w:w="234" w:type="dxa"/>
            <w:tcBorders>
              <w:top w:val="single" w:color="000000" w:sz="2" w:space="0"/>
              <w:bottom w:val="single" w:color="000000" w:sz="2" w:space="0"/>
            </w:tcBorders>
            <w:vAlign w:val="top"/>
          </w:tcPr>
          <w:p w14:paraId="3141058B">
            <w:pPr>
              <w:rPr>
                <w:rFonts w:ascii="Arial"/>
                <w:sz w:val="21"/>
              </w:rPr>
            </w:pPr>
          </w:p>
        </w:tc>
      </w:tr>
      <w:tr w14:paraId="10B80F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4" w:hRule="atLeast"/>
        </w:trPr>
        <w:tc>
          <w:tcPr>
            <w:tcW w:w="893" w:type="dxa"/>
            <w:vMerge w:val="restart"/>
            <w:tcBorders>
              <w:top w:val="single" w:color="000000" w:sz="2" w:space="0"/>
              <w:bottom w:val="nil"/>
            </w:tcBorders>
            <w:vAlign w:val="top"/>
          </w:tcPr>
          <w:p w14:paraId="08570677">
            <w:pPr>
              <w:spacing w:line="268" w:lineRule="auto"/>
              <w:rPr>
                <w:rFonts w:ascii="Arial"/>
                <w:sz w:val="21"/>
              </w:rPr>
            </w:pPr>
          </w:p>
          <w:p w14:paraId="1C13D633">
            <w:pPr>
              <w:pStyle w:val="6"/>
              <w:spacing w:before="56" w:line="219" w:lineRule="auto"/>
              <w:ind w:left="94"/>
            </w:pPr>
            <w:r>
              <w:rPr>
                <w:spacing w:val="-2"/>
              </w:rPr>
              <w:t>化工管路</w:t>
            </w:r>
          </w:p>
        </w:tc>
        <w:tc>
          <w:tcPr>
            <w:tcW w:w="2324" w:type="dxa"/>
            <w:tcBorders>
              <w:top w:val="single" w:color="000000" w:sz="2" w:space="0"/>
              <w:bottom w:val="single" w:color="000000" w:sz="2" w:space="0"/>
            </w:tcBorders>
            <w:vAlign w:val="top"/>
          </w:tcPr>
          <w:p w14:paraId="40AB3181">
            <w:pPr>
              <w:pStyle w:val="6"/>
              <w:spacing w:before="65" w:line="249" w:lineRule="auto"/>
              <w:ind w:left="52" w:right="208"/>
            </w:pPr>
            <w:r>
              <w:rPr>
                <w:spacing w:val="1"/>
              </w:rPr>
              <w:t>1.化工管路的构成、标识与</w:t>
            </w:r>
            <w:r>
              <w:t xml:space="preserve"> </w:t>
            </w:r>
            <w:r>
              <w:rPr>
                <w:spacing w:val="-2"/>
              </w:rPr>
              <w:t>标准化</w:t>
            </w:r>
          </w:p>
        </w:tc>
        <w:tc>
          <w:tcPr>
            <w:tcW w:w="219" w:type="dxa"/>
            <w:tcBorders>
              <w:top w:val="single" w:color="000000" w:sz="2" w:space="0"/>
              <w:bottom w:val="single" w:color="000000" w:sz="2" w:space="0"/>
            </w:tcBorders>
            <w:vAlign w:val="top"/>
          </w:tcPr>
          <w:p w14:paraId="3D294796">
            <w:pPr>
              <w:rPr>
                <w:rFonts w:ascii="Arial"/>
                <w:sz w:val="21"/>
              </w:rPr>
            </w:pPr>
          </w:p>
        </w:tc>
        <w:tc>
          <w:tcPr>
            <w:tcW w:w="229" w:type="dxa"/>
            <w:tcBorders>
              <w:top w:val="single" w:color="000000" w:sz="2" w:space="0"/>
              <w:bottom w:val="single" w:color="000000" w:sz="2" w:space="0"/>
            </w:tcBorders>
            <w:vAlign w:val="top"/>
          </w:tcPr>
          <w:p w14:paraId="3DCAFA92">
            <w:pPr>
              <w:rPr>
                <w:rFonts w:ascii="Arial"/>
                <w:sz w:val="21"/>
              </w:rPr>
            </w:pPr>
          </w:p>
        </w:tc>
        <w:tc>
          <w:tcPr>
            <w:tcW w:w="220" w:type="dxa"/>
            <w:tcBorders>
              <w:top w:val="single" w:color="000000" w:sz="2" w:space="0"/>
              <w:bottom w:val="single" w:color="000000" w:sz="2" w:space="0"/>
            </w:tcBorders>
            <w:vAlign w:val="top"/>
          </w:tcPr>
          <w:p w14:paraId="25EA5E00">
            <w:pPr>
              <w:rPr>
                <w:rFonts w:ascii="Arial"/>
                <w:sz w:val="21"/>
              </w:rPr>
            </w:pPr>
          </w:p>
        </w:tc>
        <w:tc>
          <w:tcPr>
            <w:tcW w:w="234" w:type="dxa"/>
            <w:tcBorders>
              <w:top w:val="single" w:color="000000" w:sz="2" w:space="0"/>
              <w:bottom w:val="single" w:color="000000" w:sz="2" w:space="0"/>
            </w:tcBorders>
            <w:vAlign w:val="top"/>
          </w:tcPr>
          <w:p w14:paraId="4071FC39">
            <w:pPr>
              <w:rPr>
                <w:rFonts w:ascii="Arial"/>
                <w:sz w:val="21"/>
              </w:rPr>
            </w:pPr>
          </w:p>
        </w:tc>
      </w:tr>
      <w:tr w14:paraId="19BA92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893" w:type="dxa"/>
            <w:vMerge w:val="continue"/>
            <w:tcBorders>
              <w:top w:val="nil"/>
              <w:bottom w:val="single" w:color="000000" w:sz="2" w:space="0"/>
            </w:tcBorders>
            <w:vAlign w:val="top"/>
          </w:tcPr>
          <w:p w14:paraId="7C338156">
            <w:pPr>
              <w:rPr>
                <w:rFonts w:ascii="Arial"/>
                <w:sz w:val="21"/>
              </w:rPr>
            </w:pPr>
          </w:p>
        </w:tc>
        <w:tc>
          <w:tcPr>
            <w:tcW w:w="2324" w:type="dxa"/>
            <w:tcBorders>
              <w:top w:val="single" w:color="000000" w:sz="2" w:space="0"/>
              <w:bottom w:val="single" w:color="000000" w:sz="2" w:space="0"/>
            </w:tcBorders>
            <w:vAlign w:val="top"/>
          </w:tcPr>
          <w:p w14:paraId="65E0F5AD">
            <w:pPr>
              <w:pStyle w:val="6"/>
              <w:spacing w:before="55" w:line="219" w:lineRule="auto"/>
              <w:ind w:left="52"/>
            </w:pPr>
            <w:r>
              <w:rPr>
                <w:spacing w:val="-1"/>
              </w:rPr>
              <w:t>2.化工管路的布置与安装</w:t>
            </w:r>
          </w:p>
        </w:tc>
        <w:tc>
          <w:tcPr>
            <w:tcW w:w="219" w:type="dxa"/>
            <w:tcBorders>
              <w:top w:val="single" w:color="000000" w:sz="2" w:space="0"/>
              <w:bottom w:val="single" w:color="000000" w:sz="2" w:space="0"/>
            </w:tcBorders>
            <w:vAlign w:val="top"/>
          </w:tcPr>
          <w:p w14:paraId="5E321A14">
            <w:pPr>
              <w:rPr>
                <w:rFonts w:ascii="Arial"/>
                <w:sz w:val="21"/>
              </w:rPr>
            </w:pPr>
          </w:p>
        </w:tc>
        <w:tc>
          <w:tcPr>
            <w:tcW w:w="229" w:type="dxa"/>
            <w:tcBorders>
              <w:top w:val="single" w:color="000000" w:sz="2" w:space="0"/>
              <w:bottom w:val="single" w:color="000000" w:sz="2" w:space="0"/>
            </w:tcBorders>
            <w:vAlign w:val="top"/>
          </w:tcPr>
          <w:p w14:paraId="47C8F6FB">
            <w:pPr>
              <w:rPr>
                <w:rFonts w:ascii="Arial"/>
                <w:sz w:val="21"/>
              </w:rPr>
            </w:pPr>
          </w:p>
        </w:tc>
        <w:tc>
          <w:tcPr>
            <w:tcW w:w="220" w:type="dxa"/>
            <w:tcBorders>
              <w:top w:val="single" w:color="000000" w:sz="2" w:space="0"/>
              <w:bottom w:val="single" w:color="000000" w:sz="2" w:space="0"/>
            </w:tcBorders>
            <w:vAlign w:val="top"/>
          </w:tcPr>
          <w:p w14:paraId="388E1D3D">
            <w:pPr>
              <w:rPr>
                <w:rFonts w:ascii="Arial"/>
                <w:sz w:val="21"/>
              </w:rPr>
            </w:pPr>
          </w:p>
        </w:tc>
        <w:tc>
          <w:tcPr>
            <w:tcW w:w="234" w:type="dxa"/>
            <w:tcBorders>
              <w:top w:val="single" w:color="000000" w:sz="2" w:space="0"/>
              <w:bottom w:val="single" w:color="000000" w:sz="2" w:space="0"/>
            </w:tcBorders>
            <w:vAlign w:val="top"/>
          </w:tcPr>
          <w:p w14:paraId="5CE76BC3">
            <w:pPr>
              <w:rPr>
                <w:rFonts w:ascii="Arial"/>
                <w:sz w:val="21"/>
              </w:rPr>
            </w:pPr>
          </w:p>
        </w:tc>
      </w:tr>
    </w:tbl>
    <w:p w14:paraId="10D62435">
      <w:pPr>
        <w:pStyle w:val="2"/>
        <w:spacing w:line="14" w:lineRule="auto"/>
        <w:rPr>
          <w:sz w:val="2"/>
        </w:rPr>
      </w:pPr>
    </w:p>
    <w:p w14:paraId="29A76B61">
      <w:pPr>
        <w:pStyle w:val="2"/>
        <w:spacing w:line="14" w:lineRule="auto"/>
        <w:rPr>
          <w:sz w:val="2"/>
        </w:rPr>
      </w:pPr>
      <w:r>
        <w:rPr>
          <w:sz w:val="2"/>
          <w:szCs w:val="2"/>
        </w:rPr>
        <w:br w:type="column"/>
      </w:r>
    </w:p>
    <w:p w14:paraId="37B8C60A">
      <w:pPr>
        <w:spacing w:before="38" w:line="222" w:lineRule="auto"/>
        <w:ind w:left="1657"/>
        <w:rPr>
          <w:rFonts w:ascii="黑体" w:hAnsi="黑体" w:eastAsia="黑体" w:cs="黑体"/>
          <w:sz w:val="20"/>
          <w:szCs w:val="20"/>
        </w:rPr>
      </w:pPr>
      <w:r>
        <w:rPr>
          <w:rFonts w:ascii="黑体" w:hAnsi="黑体" w:eastAsia="黑体" w:cs="黑体"/>
          <w:b/>
          <w:bCs/>
          <w:spacing w:val="-6"/>
          <w:sz w:val="20"/>
          <w:szCs w:val="20"/>
        </w:rPr>
        <w:t>二、传热</w:t>
      </w:r>
    </w:p>
    <w:p w14:paraId="63C7D1B8">
      <w:pPr>
        <w:spacing w:line="90" w:lineRule="exact"/>
      </w:pPr>
    </w:p>
    <w:tbl>
      <w:tblPr>
        <w:tblStyle w:val="5"/>
        <w:tblW w:w="411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14"/>
        <w:gridCol w:w="220"/>
        <w:gridCol w:w="229"/>
        <w:gridCol w:w="230"/>
        <w:gridCol w:w="224"/>
      </w:tblGrid>
      <w:tr w14:paraId="51F552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4" w:hRule="atLeast"/>
        </w:trPr>
        <w:tc>
          <w:tcPr>
            <w:tcW w:w="893" w:type="dxa"/>
            <w:vMerge w:val="restart"/>
            <w:tcBorders>
              <w:bottom w:val="nil"/>
            </w:tcBorders>
            <w:vAlign w:val="top"/>
          </w:tcPr>
          <w:p w14:paraId="7A4E4054">
            <w:pPr>
              <w:pStyle w:val="6"/>
              <w:spacing w:before="142" w:line="229" w:lineRule="auto"/>
              <w:ind w:left="97" w:right="112" w:firstLine="89"/>
            </w:pPr>
            <w:r>
              <w:rPr>
                <w:b/>
                <w:bCs/>
                <w:spacing w:val="-6"/>
              </w:rPr>
              <w:t>知识与</w:t>
            </w:r>
            <w:r>
              <w:t xml:space="preserve">  </w:t>
            </w:r>
            <w:r>
              <w:rPr>
                <w:b/>
                <w:bCs/>
                <w:spacing w:val="-4"/>
              </w:rPr>
              <w:t>技能要点</w:t>
            </w:r>
          </w:p>
        </w:tc>
        <w:tc>
          <w:tcPr>
            <w:tcW w:w="2314" w:type="dxa"/>
            <w:vMerge w:val="restart"/>
            <w:tcBorders>
              <w:bottom w:val="nil"/>
            </w:tcBorders>
            <w:vAlign w:val="top"/>
          </w:tcPr>
          <w:p w14:paraId="798D7AED">
            <w:pPr>
              <w:pStyle w:val="6"/>
              <w:spacing w:before="249" w:line="219" w:lineRule="auto"/>
              <w:ind w:left="834"/>
            </w:pPr>
            <w:r>
              <w:rPr>
                <w:b/>
                <w:bCs/>
                <w:spacing w:val="5"/>
              </w:rPr>
              <w:t>考试条目</w:t>
            </w:r>
          </w:p>
        </w:tc>
        <w:tc>
          <w:tcPr>
            <w:tcW w:w="903" w:type="dxa"/>
            <w:gridSpan w:val="4"/>
            <w:vAlign w:val="top"/>
          </w:tcPr>
          <w:p w14:paraId="7F72F8DD">
            <w:pPr>
              <w:pStyle w:val="6"/>
              <w:spacing w:before="79" w:line="219" w:lineRule="auto"/>
              <w:ind w:left="150"/>
            </w:pPr>
            <w:r>
              <w:rPr>
                <w:b/>
                <w:bCs/>
                <w:spacing w:val="-4"/>
              </w:rPr>
              <w:t>考试水平</w:t>
            </w:r>
          </w:p>
        </w:tc>
      </w:tr>
      <w:tr w14:paraId="516DF2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9" w:hRule="atLeast"/>
        </w:trPr>
        <w:tc>
          <w:tcPr>
            <w:tcW w:w="893" w:type="dxa"/>
            <w:vMerge w:val="continue"/>
            <w:tcBorders>
              <w:top w:val="nil"/>
            </w:tcBorders>
            <w:vAlign w:val="top"/>
          </w:tcPr>
          <w:p w14:paraId="60BB9715">
            <w:pPr>
              <w:rPr>
                <w:rFonts w:ascii="Arial"/>
                <w:sz w:val="21"/>
              </w:rPr>
            </w:pPr>
          </w:p>
        </w:tc>
        <w:tc>
          <w:tcPr>
            <w:tcW w:w="2314" w:type="dxa"/>
            <w:vMerge w:val="continue"/>
            <w:tcBorders>
              <w:top w:val="nil"/>
            </w:tcBorders>
            <w:vAlign w:val="top"/>
          </w:tcPr>
          <w:p w14:paraId="734D4181">
            <w:pPr>
              <w:rPr>
                <w:rFonts w:ascii="Arial"/>
                <w:sz w:val="21"/>
              </w:rPr>
            </w:pPr>
          </w:p>
        </w:tc>
        <w:tc>
          <w:tcPr>
            <w:tcW w:w="220" w:type="dxa"/>
            <w:vAlign w:val="top"/>
          </w:tcPr>
          <w:p w14:paraId="3420DB39">
            <w:pPr>
              <w:pStyle w:val="6"/>
              <w:spacing w:before="120" w:line="184" w:lineRule="auto"/>
              <w:ind w:left="58"/>
            </w:pPr>
            <w:r>
              <w:t>A</w:t>
            </w:r>
          </w:p>
        </w:tc>
        <w:tc>
          <w:tcPr>
            <w:tcW w:w="229" w:type="dxa"/>
            <w:vAlign w:val="top"/>
          </w:tcPr>
          <w:p w14:paraId="547653C8">
            <w:pPr>
              <w:pStyle w:val="6"/>
              <w:spacing w:before="122" w:line="182" w:lineRule="auto"/>
              <w:ind w:left="70"/>
            </w:pPr>
            <w:r>
              <w:rPr>
                <w:b/>
                <w:bCs/>
                <w:spacing w:val="-2"/>
              </w:rPr>
              <w:t>B</w:t>
            </w:r>
          </w:p>
        </w:tc>
        <w:tc>
          <w:tcPr>
            <w:tcW w:w="230" w:type="dxa"/>
            <w:vAlign w:val="top"/>
          </w:tcPr>
          <w:p w14:paraId="465F1E57">
            <w:pPr>
              <w:pStyle w:val="6"/>
              <w:spacing w:before="120" w:line="183" w:lineRule="auto"/>
              <w:ind w:left="71"/>
            </w:pPr>
            <w:r>
              <w:rPr>
                <w:b/>
                <w:bCs/>
                <w:spacing w:val="-2"/>
              </w:rPr>
              <w:t>C</w:t>
            </w:r>
          </w:p>
        </w:tc>
        <w:tc>
          <w:tcPr>
            <w:tcW w:w="224" w:type="dxa"/>
            <w:vAlign w:val="top"/>
          </w:tcPr>
          <w:p w14:paraId="740711C7">
            <w:pPr>
              <w:pStyle w:val="6"/>
              <w:spacing w:before="122" w:line="182" w:lineRule="auto"/>
              <w:ind w:left="21"/>
            </w:pPr>
            <w:r>
              <w:rPr>
                <w:b/>
                <w:bCs/>
                <w:spacing w:val="-2"/>
              </w:rPr>
              <w:t>D</w:t>
            </w:r>
          </w:p>
        </w:tc>
      </w:tr>
      <w:tr w14:paraId="416543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restart"/>
            <w:tcBorders>
              <w:bottom w:val="nil"/>
            </w:tcBorders>
            <w:vAlign w:val="top"/>
          </w:tcPr>
          <w:p w14:paraId="2277EC86">
            <w:pPr>
              <w:pStyle w:val="6"/>
              <w:spacing w:before="179" w:line="219" w:lineRule="auto"/>
              <w:ind w:left="265"/>
            </w:pPr>
            <w:r>
              <w:rPr>
                <w:spacing w:val="-2"/>
              </w:rPr>
              <w:t>概述</w:t>
            </w:r>
          </w:p>
        </w:tc>
        <w:tc>
          <w:tcPr>
            <w:tcW w:w="2314" w:type="dxa"/>
            <w:vAlign w:val="top"/>
          </w:tcPr>
          <w:p w14:paraId="7B5CAC14">
            <w:pPr>
              <w:pStyle w:val="6"/>
              <w:spacing w:before="48" w:line="218" w:lineRule="auto"/>
              <w:ind w:left="22"/>
            </w:pPr>
            <w:r>
              <w:t>1.稳态传热与非稳态传热</w:t>
            </w:r>
          </w:p>
        </w:tc>
        <w:tc>
          <w:tcPr>
            <w:tcW w:w="220" w:type="dxa"/>
            <w:vAlign w:val="top"/>
          </w:tcPr>
          <w:p w14:paraId="07ED80D6">
            <w:pPr>
              <w:pStyle w:val="6"/>
              <w:spacing w:before="78" w:line="238" w:lineRule="auto"/>
              <w:ind w:left="48"/>
              <w:rPr>
                <w:sz w:val="12"/>
                <w:szCs w:val="12"/>
              </w:rPr>
            </w:pPr>
            <w:r>
              <w:rPr>
                <w:sz w:val="12"/>
                <w:szCs w:val="12"/>
              </w:rPr>
              <w:t>√</w:t>
            </w:r>
          </w:p>
        </w:tc>
        <w:tc>
          <w:tcPr>
            <w:tcW w:w="229" w:type="dxa"/>
            <w:vAlign w:val="top"/>
          </w:tcPr>
          <w:p w14:paraId="1A92B80E">
            <w:pPr>
              <w:rPr>
                <w:rFonts w:ascii="Arial"/>
                <w:sz w:val="21"/>
              </w:rPr>
            </w:pPr>
          </w:p>
        </w:tc>
        <w:tc>
          <w:tcPr>
            <w:tcW w:w="230" w:type="dxa"/>
            <w:vAlign w:val="top"/>
          </w:tcPr>
          <w:p w14:paraId="1FBE1FE8">
            <w:pPr>
              <w:rPr>
                <w:rFonts w:ascii="Arial"/>
                <w:sz w:val="21"/>
              </w:rPr>
            </w:pPr>
          </w:p>
        </w:tc>
        <w:tc>
          <w:tcPr>
            <w:tcW w:w="224" w:type="dxa"/>
            <w:vAlign w:val="top"/>
          </w:tcPr>
          <w:p w14:paraId="0ED4B012">
            <w:pPr>
              <w:rPr>
                <w:rFonts w:ascii="Arial"/>
                <w:sz w:val="21"/>
              </w:rPr>
            </w:pPr>
          </w:p>
        </w:tc>
      </w:tr>
      <w:tr w14:paraId="7DE683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continue"/>
            <w:tcBorders>
              <w:top w:val="nil"/>
            </w:tcBorders>
            <w:vAlign w:val="top"/>
          </w:tcPr>
          <w:p w14:paraId="7138E4A9">
            <w:pPr>
              <w:rPr>
                <w:rFonts w:ascii="Arial"/>
                <w:sz w:val="21"/>
              </w:rPr>
            </w:pPr>
          </w:p>
        </w:tc>
        <w:tc>
          <w:tcPr>
            <w:tcW w:w="2314" w:type="dxa"/>
            <w:vAlign w:val="top"/>
          </w:tcPr>
          <w:p w14:paraId="2C0B90ED">
            <w:pPr>
              <w:pStyle w:val="6"/>
              <w:spacing w:before="50" w:line="216" w:lineRule="auto"/>
              <w:ind w:left="22"/>
            </w:pPr>
            <w:r>
              <w:rPr>
                <w:spacing w:val="-1"/>
              </w:rPr>
              <w:t>2.工业换热方法</w:t>
            </w:r>
          </w:p>
        </w:tc>
        <w:tc>
          <w:tcPr>
            <w:tcW w:w="220" w:type="dxa"/>
            <w:vAlign w:val="top"/>
          </w:tcPr>
          <w:p w14:paraId="1345B1D8">
            <w:pPr>
              <w:pStyle w:val="6"/>
              <w:spacing w:before="80" w:line="238" w:lineRule="auto"/>
              <w:ind w:left="48"/>
              <w:rPr>
                <w:sz w:val="12"/>
                <w:szCs w:val="12"/>
              </w:rPr>
            </w:pPr>
            <w:r>
              <w:rPr>
                <w:sz w:val="12"/>
                <w:szCs w:val="12"/>
              </w:rPr>
              <w:t>√</w:t>
            </w:r>
          </w:p>
        </w:tc>
        <w:tc>
          <w:tcPr>
            <w:tcW w:w="229" w:type="dxa"/>
            <w:vAlign w:val="top"/>
          </w:tcPr>
          <w:p w14:paraId="5DDF4C78">
            <w:pPr>
              <w:rPr>
                <w:rFonts w:ascii="Arial"/>
                <w:sz w:val="21"/>
              </w:rPr>
            </w:pPr>
          </w:p>
        </w:tc>
        <w:tc>
          <w:tcPr>
            <w:tcW w:w="230" w:type="dxa"/>
            <w:vAlign w:val="top"/>
          </w:tcPr>
          <w:p w14:paraId="12679C46">
            <w:pPr>
              <w:rPr>
                <w:rFonts w:ascii="Arial"/>
                <w:sz w:val="21"/>
              </w:rPr>
            </w:pPr>
          </w:p>
        </w:tc>
        <w:tc>
          <w:tcPr>
            <w:tcW w:w="224" w:type="dxa"/>
            <w:vAlign w:val="top"/>
          </w:tcPr>
          <w:p w14:paraId="35769648">
            <w:pPr>
              <w:rPr>
                <w:rFonts w:ascii="Arial"/>
                <w:sz w:val="21"/>
              </w:rPr>
            </w:pPr>
          </w:p>
        </w:tc>
      </w:tr>
      <w:tr w14:paraId="1A5F73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 w:hRule="atLeast"/>
        </w:trPr>
        <w:tc>
          <w:tcPr>
            <w:tcW w:w="893" w:type="dxa"/>
            <w:vMerge w:val="restart"/>
            <w:tcBorders>
              <w:bottom w:val="nil"/>
            </w:tcBorders>
            <w:vAlign w:val="top"/>
          </w:tcPr>
          <w:p w14:paraId="4A0007CF">
            <w:pPr>
              <w:pStyle w:val="6"/>
              <w:spacing w:before="80" w:line="223" w:lineRule="auto"/>
              <w:ind w:left="95" w:right="114" w:firstLine="89"/>
            </w:pPr>
            <w:r>
              <w:rPr>
                <w:spacing w:val="-2"/>
              </w:rPr>
              <w:t>传热的</w:t>
            </w:r>
            <w:r>
              <w:t xml:space="preserve">  </w:t>
            </w:r>
            <w:r>
              <w:rPr>
                <w:spacing w:val="-2"/>
              </w:rPr>
              <w:t>基本方式</w:t>
            </w:r>
          </w:p>
        </w:tc>
        <w:tc>
          <w:tcPr>
            <w:tcW w:w="2314" w:type="dxa"/>
            <w:vAlign w:val="top"/>
          </w:tcPr>
          <w:p w14:paraId="25207EC1">
            <w:pPr>
              <w:pStyle w:val="6"/>
              <w:spacing w:before="50" w:line="217" w:lineRule="auto"/>
              <w:ind w:left="22"/>
            </w:pPr>
            <w:r>
              <w:rPr>
                <w:spacing w:val="1"/>
              </w:rPr>
              <w:t>1.传导传热</w:t>
            </w:r>
          </w:p>
        </w:tc>
        <w:tc>
          <w:tcPr>
            <w:tcW w:w="220" w:type="dxa"/>
            <w:vAlign w:val="top"/>
          </w:tcPr>
          <w:p w14:paraId="598E49DD">
            <w:pPr>
              <w:rPr>
                <w:rFonts w:ascii="Arial"/>
                <w:sz w:val="21"/>
              </w:rPr>
            </w:pPr>
          </w:p>
        </w:tc>
        <w:tc>
          <w:tcPr>
            <w:tcW w:w="229" w:type="dxa"/>
            <w:vAlign w:val="top"/>
          </w:tcPr>
          <w:p w14:paraId="0A0B75EF">
            <w:pPr>
              <w:pStyle w:val="6"/>
              <w:spacing w:before="67" w:line="198" w:lineRule="auto"/>
              <w:ind w:left="28"/>
            </w:pPr>
            <w:r>
              <w:t>√</w:t>
            </w:r>
          </w:p>
        </w:tc>
        <w:tc>
          <w:tcPr>
            <w:tcW w:w="230" w:type="dxa"/>
            <w:vAlign w:val="top"/>
          </w:tcPr>
          <w:p w14:paraId="62AB164D">
            <w:pPr>
              <w:rPr>
                <w:rFonts w:ascii="Arial"/>
                <w:sz w:val="21"/>
              </w:rPr>
            </w:pPr>
          </w:p>
        </w:tc>
        <w:tc>
          <w:tcPr>
            <w:tcW w:w="224" w:type="dxa"/>
            <w:vAlign w:val="top"/>
          </w:tcPr>
          <w:p w14:paraId="46A20CCE">
            <w:pPr>
              <w:rPr>
                <w:rFonts w:ascii="Arial"/>
                <w:sz w:val="21"/>
              </w:rPr>
            </w:pPr>
          </w:p>
        </w:tc>
      </w:tr>
      <w:tr w14:paraId="3A03FA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continue"/>
            <w:tcBorders>
              <w:top w:val="nil"/>
            </w:tcBorders>
            <w:vAlign w:val="top"/>
          </w:tcPr>
          <w:p w14:paraId="60316C42">
            <w:pPr>
              <w:rPr>
                <w:rFonts w:ascii="Arial"/>
                <w:sz w:val="21"/>
              </w:rPr>
            </w:pPr>
          </w:p>
        </w:tc>
        <w:tc>
          <w:tcPr>
            <w:tcW w:w="2314" w:type="dxa"/>
            <w:vAlign w:val="top"/>
          </w:tcPr>
          <w:p w14:paraId="486EB6C6">
            <w:pPr>
              <w:pStyle w:val="6"/>
              <w:spacing w:before="50" w:line="216" w:lineRule="auto"/>
              <w:ind w:left="22"/>
            </w:pPr>
            <w:r>
              <w:rPr>
                <w:spacing w:val="-2"/>
              </w:rPr>
              <w:t>2.对流传热</w:t>
            </w:r>
          </w:p>
        </w:tc>
        <w:tc>
          <w:tcPr>
            <w:tcW w:w="220" w:type="dxa"/>
            <w:vAlign w:val="top"/>
          </w:tcPr>
          <w:p w14:paraId="7A21B016">
            <w:pPr>
              <w:rPr>
                <w:rFonts w:ascii="Arial"/>
                <w:sz w:val="21"/>
              </w:rPr>
            </w:pPr>
          </w:p>
        </w:tc>
        <w:tc>
          <w:tcPr>
            <w:tcW w:w="229" w:type="dxa"/>
            <w:vAlign w:val="top"/>
          </w:tcPr>
          <w:p w14:paraId="6A3EE540">
            <w:pPr>
              <w:pStyle w:val="6"/>
              <w:spacing w:before="96" w:line="166" w:lineRule="auto"/>
              <w:ind w:left="67"/>
            </w:pPr>
            <w:r>
              <w:t>V</w:t>
            </w:r>
          </w:p>
        </w:tc>
        <w:tc>
          <w:tcPr>
            <w:tcW w:w="230" w:type="dxa"/>
            <w:vAlign w:val="top"/>
          </w:tcPr>
          <w:p w14:paraId="70CDB7D2">
            <w:pPr>
              <w:rPr>
                <w:rFonts w:ascii="Arial"/>
                <w:sz w:val="21"/>
              </w:rPr>
            </w:pPr>
          </w:p>
        </w:tc>
        <w:tc>
          <w:tcPr>
            <w:tcW w:w="224" w:type="dxa"/>
            <w:vAlign w:val="top"/>
          </w:tcPr>
          <w:p w14:paraId="0D60B49F">
            <w:pPr>
              <w:rPr>
                <w:rFonts w:ascii="Arial"/>
                <w:sz w:val="21"/>
              </w:rPr>
            </w:pPr>
          </w:p>
        </w:tc>
      </w:tr>
      <w:tr w14:paraId="1DBF49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 w:hRule="atLeast"/>
        </w:trPr>
        <w:tc>
          <w:tcPr>
            <w:tcW w:w="893" w:type="dxa"/>
            <w:vMerge w:val="restart"/>
            <w:tcBorders>
              <w:bottom w:val="nil"/>
            </w:tcBorders>
            <w:vAlign w:val="top"/>
          </w:tcPr>
          <w:p w14:paraId="2E512613">
            <w:pPr>
              <w:spacing w:line="330" w:lineRule="auto"/>
              <w:rPr>
                <w:rFonts w:ascii="Arial"/>
                <w:sz w:val="21"/>
              </w:rPr>
            </w:pPr>
          </w:p>
          <w:p w14:paraId="28A6B17B">
            <w:pPr>
              <w:spacing w:line="331" w:lineRule="auto"/>
              <w:rPr>
                <w:rFonts w:ascii="Arial"/>
                <w:sz w:val="21"/>
              </w:rPr>
            </w:pPr>
          </w:p>
          <w:p w14:paraId="312B4DAF">
            <w:pPr>
              <w:pStyle w:val="6"/>
              <w:spacing w:before="55" w:line="219" w:lineRule="auto"/>
              <w:ind w:left="95"/>
            </w:pPr>
            <w:r>
              <w:rPr>
                <w:spacing w:val="2"/>
              </w:rPr>
              <w:t>间壁传热</w:t>
            </w:r>
          </w:p>
        </w:tc>
        <w:tc>
          <w:tcPr>
            <w:tcW w:w="2314" w:type="dxa"/>
            <w:vAlign w:val="top"/>
          </w:tcPr>
          <w:p w14:paraId="4342A48D">
            <w:pPr>
              <w:pStyle w:val="6"/>
              <w:spacing w:before="51" w:line="216" w:lineRule="auto"/>
              <w:ind w:left="22"/>
            </w:pPr>
            <w:r>
              <w:rPr>
                <w:spacing w:val="1"/>
              </w:rPr>
              <w:t>1.总传热速率方程及其应用</w:t>
            </w:r>
          </w:p>
        </w:tc>
        <w:tc>
          <w:tcPr>
            <w:tcW w:w="220" w:type="dxa"/>
            <w:vAlign w:val="top"/>
          </w:tcPr>
          <w:p w14:paraId="6B3454C1">
            <w:pPr>
              <w:rPr>
                <w:rFonts w:ascii="Arial"/>
                <w:sz w:val="21"/>
              </w:rPr>
            </w:pPr>
          </w:p>
        </w:tc>
        <w:tc>
          <w:tcPr>
            <w:tcW w:w="229" w:type="dxa"/>
            <w:vAlign w:val="top"/>
          </w:tcPr>
          <w:p w14:paraId="15866289">
            <w:pPr>
              <w:pStyle w:val="6"/>
              <w:spacing w:before="97" w:line="166" w:lineRule="auto"/>
              <w:ind w:left="67"/>
            </w:pPr>
            <w:r>
              <w:t>V</w:t>
            </w:r>
          </w:p>
        </w:tc>
        <w:tc>
          <w:tcPr>
            <w:tcW w:w="230" w:type="dxa"/>
            <w:vAlign w:val="top"/>
          </w:tcPr>
          <w:p w14:paraId="6081046B">
            <w:pPr>
              <w:rPr>
                <w:rFonts w:ascii="Arial"/>
                <w:sz w:val="21"/>
              </w:rPr>
            </w:pPr>
          </w:p>
        </w:tc>
        <w:tc>
          <w:tcPr>
            <w:tcW w:w="224" w:type="dxa"/>
            <w:vAlign w:val="top"/>
          </w:tcPr>
          <w:p w14:paraId="11EA3103">
            <w:pPr>
              <w:rPr>
                <w:rFonts w:ascii="Arial"/>
                <w:sz w:val="21"/>
              </w:rPr>
            </w:pPr>
          </w:p>
        </w:tc>
      </w:tr>
      <w:tr w14:paraId="4567E0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continue"/>
            <w:tcBorders>
              <w:top w:val="nil"/>
              <w:bottom w:val="nil"/>
            </w:tcBorders>
            <w:vAlign w:val="top"/>
          </w:tcPr>
          <w:p w14:paraId="4CCE8E1D">
            <w:pPr>
              <w:rPr>
                <w:rFonts w:ascii="Arial"/>
                <w:sz w:val="21"/>
              </w:rPr>
            </w:pPr>
          </w:p>
        </w:tc>
        <w:tc>
          <w:tcPr>
            <w:tcW w:w="2314" w:type="dxa"/>
            <w:vAlign w:val="top"/>
          </w:tcPr>
          <w:p w14:paraId="28CBAF47">
            <w:pPr>
              <w:pStyle w:val="6"/>
              <w:spacing w:before="51" w:line="214" w:lineRule="auto"/>
              <w:ind w:left="22"/>
            </w:pPr>
            <w:r>
              <w:rPr>
                <w:spacing w:val="-2"/>
              </w:rPr>
              <w:t>2.热量衡算</w:t>
            </w:r>
          </w:p>
        </w:tc>
        <w:tc>
          <w:tcPr>
            <w:tcW w:w="220" w:type="dxa"/>
            <w:vAlign w:val="top"/>
          </w:tcPr>
          <w:p w14:paraId="1CB5F22E">
            <w:pPr>
              <w:rPr>
                <w:rFonts w:ascii="Arial"/>
                <w:sz w:val="21"/>
              </w:rPr>
            </w:pPr>
          </w:p>
        </w:tc>
        <w:tc>
          <w:tcPr>
            <w:tcW w:w="229" w:type="dxa"/>
            <w:vAlign w:val="top"/>
          </w:tcPr>
          <w:p w14:paraId="58A8FFF2">
            <w:pPr>
              <w:pStyle w:val="6"/>
              <w:spacing w:before="97" w:line="165" w:lineRule="auto"/>
              <w:ind w:left="67"/>
            </w:pPr>
            <w:r>
              <w:t>V</w:t>
            </w:r>
          </w:p>
        </w:tc>
        <w:tc>
          <w:tcPr>
            <w:tcW w:w="230" w:type="dxa"/>
            <w:vAlign w:val="top"/>
          </w:tcPr>
          <w:p w14:paraId="4A61CB9A">
            <w:pPr>
              <w:rPr>
                <w:rFonts w:ascii="Arial"/>
                <w:sz w:val="21"/>
              </w:rPr>
            </w:pPr>
          </w:p>
        </w:tc>
        <w:tc>
          <w:tcPr>
            <w:tcW w:w="224" w:type="dxa"/>
            <w:vAlign w:val="top"/>
          </w:tcPr>
          <w:p w14:paraId="6C1C7CC7">
            <w:pPr>
              <w:rPr>
                <w:rFonts w:ascii="Arial"/>
                <w:sz w:val="21"/>
              </w:rPr>
            </w:pPr>
          </w:p>
        </w:tc>
      </w:tr>
      <w:tr w14:paraId="7E831D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continue"/>
            <w:tcBorders>
              <w:top w:val="nil"/>
              <w:bottom w:val="nil"/>
            </w:tcBorders>
            <w:vAlign w:val="top"/>
          </w:tcPr>
          <w:p w14:paraId="6543AB3A">
            <w:pPr>
              <w:rPr>
                <w:rFonts w:ascii="Arial"/>
                <w:sz w:val="21"/>
              </w:rPr>
            </w:pPr>
          </w:p>
        </w:tc>
        <w:tc>
          <w:tcPr>
            <w:tcW w:w="2314" w:type="dxa"/>
            <w:vAlign w:val="top"/>
          </w:tcPr>
          <w:p w14:paraId="5ED7CB58">
            <w:pPr>
              <w:pStyle w:val="6"/>
              <w:spacing w:before="51" w:line="214" w:lineRule="auto"/>
              <w:ind w:left="22"/>
            </w:pPr>
            <w:r>
              <w:rPr>
                <w:spacing w:val="-2"/>
              </w:rPr>
              <w:t>3.传热推动力的计算</w:t>
            </w:r>
          </w:p>
        </w:tc>
        <w:tc>
          <w:tcPr>
            <w:tcW w:w="220" w:type="dxa"/>
            <w:vAlign w:val="top"/>
          </w:tcPr>
          <w:p w14:paraId="506CB12E">
            <w:pPr>
              <w:rPr>
                <w:rFonts w:ascii="Arial"/>
                <w:sz w:val="21"/>
              </w:rPr>
            </w:pPr>
          </w:p>
        </w:tc>
        <w:tc>
          <w:tcPr>
            <w:tcW w:w="229" w:type="dxa"/>
            <w:vAlign w:val="top"/>
          </w:tcPr>
          <w:p w14:paraId="674F7D96">
            <w:pPr>
              <w:pStyle w:val="6"/>
              <w:spacing w:before="97" w:line="164" w:lineRule="auto"/>
              <w:ind w:left="67"/>
            </w:pPr>
            <w:r>
              <w:t>V</w:t>
            </w:r>
          </w:p>
        </w:tc>
        <w:tc>
          <w:tcPr>
            <w:tcW w:w="230" w:type="dxa"/>
            <w:vAlign w:val="top"/>
          </w:tcPr>
          <w:p w14:paraId="1348B357">
            <w:pPr>
              <w:rPr>
                <w:rFonts w:ascii="Arial"/>
                <w:sz w:val="21"/>
              </w:rPr>
            </w:pPr>
          </w:p>
        </w:tc>
        <w:tc>
          <w:tcPr>
            <w:tcW w:w="224" w:type="dxa"/>
            <w:vAlign w:val="top"/>
          </w:tcPr>
          <w:p w14:paraId="78D78241">
            <w:pPr>
              <w:rPr>
                <w:rFonts w:ascii="Arial"/>
                <w:sz w:val="21"/>
              </w:rPr>
            </w:pPr>
          </w:p>
        </w:tc>
      </w:tr>
      <w:tr w14:paraId="4B5C97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continue"/>
            <w:tcBorders>
              <w:top w:val="nil"/>
              <w:bottom w:val="nil"/>
            </w:tcBorders>
            <w:vAlign w:val="top"/>
          </w:tcPr>
          <w:p w14:paraId="7DB0B91F">
            <w:pPr>
              <w:rPr>
                <w:rFonts w:ascii="Arial"/>
                <w:sz w:val="21"/>
              </w:rPr>
            </w:pPr>
          </w:p>
        </w:tc>
        <w:tc>
          <w:tcPr>
            <w:tcW w:w="2314" w:type="dxa"/>
            <w:vAlign w:val="top"/>
          </w:tcPr>
          <w:p w14:paraId="1D0C32F3">
            <w:pPr>
              <w:pStyle w:val="6"/>
              <w:spacing w:before="53" w:line="212" w:lineRule="auto"/>
              <w:ind w:left="22"/>
            </w:pPr>
            <w:r>
              <w:rPr>
                <w:spacing w:val="-1"/>
              </w:rPr>
              <w:t>4.传热系数的获取方法</w:t>
            </w:r>
          </w:p>
        </w:tc>
        <w:tc>
          <w:tcPr>
            <w:tcW w:w="220" w:type="dxa"/>
            <w:vAlign w:val="top"/>
          </w:tcPr>
          <w:p w14:paraId="41B3FB3D">
            <w:pPr>
              <w:rPr>
                <w:rFonts w:ascii="Arial"/>
                <w:sz w:val="21"/>
              </w:rPr>
            </w:pPr>
          </w:p>
        </w:tc>
        <w:tc>
          <w:tcPr>
            <w:tcW w:w="229" w:type="dxa"/>
            <w:vAlign w:val="top"/>
          </w:tcPr>
          <w:p w14:paraId="70349B12">
            <w:pPr>
              <w:rPr>
                <w:rFonts w:ascii="Arial"/>
                <w:sz w:val="21"/>
              </w:rPr>
            </w:pPr>
          </w:p>
        </w:tc>
        <w:tc>
          <w:tcPr>
            <w:tcW w:w="230" w:type="dxa"/>
            <w:vAlign w:val="top"/>
          </w:tcPr>
          <w:p w14:paraId="26CC7365">
            <w:pPr>
              <w:pStyle w:val="6"/>
              <w:spacing w:before="84" w:line="238" w:lineRule="auto"/>
              <w:ind w:left="48"/>
              <w:rPr>
                <w:sz w:val="12"/>
                <w:szCs w:val="12"/>
              </w:rPr>
            </w:pPr>
            <w:r>
              <w:rPr>
                <w:sz w:val="12"/>
                <w:szCs w:val="12"/>
              </w:rPr>
              <w:t>√</w:t>
            </w:r>
          </w:p>
        </w:tc>
        <w:tc>
          <w:tcPr>
            <w:tcW w:w="224" w:type="dxa"/>
            <w:vAlign w:val="top"/>
          </w:tcPr>
          <w:p w14:paraId="05D4DDCC">
            <w:pPr>
              <w:rPr>
                <w:rFonts w:ascii="Arial"/>
                <w:sz w:val="21"/>
              </w:rPr>
            </w:pPr>
          </w:p>
        </w:tc>
      </w:tr>
      <w:tr w14:paraId="4FE141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 w:hRule="atLeast"/>
        </w:trPr>
        <w:tc>
          <w:tcPr>
            <w:tcW w:w="893" w:type="dxa"/>
            <w:vMerge w:val="continue"/>
            <w:tcBorders>
              <w:top w:val="nil"/>
              <w:bottom w:val="nil"/>
            </w:tcBorders>
            <w:vAlign w:val="top"/>
          </w:tcPr>
          <w:p w14:paraId="351D92E3">
            <w:pPr>
              <w:rPr>
                <w:rFonts w:ascii="Arial"/>
                <w:sz w:val="21"/>
              </w:rPr>
            </w:pPr>
          </w:p>
        </w:tc>
        <w:tc>
          <w:tcPr>
            <w:tcW w:w="2314" w:type="dxa"/>
            <w:vAlign w:val="top"/>
          </w:tcPr>
          <w:p w14:paraId="70E1E35D">
            <w:pPr>
              <w:pStyle w:val="6"/>
              <w:spacing w:before="53" w:line="213" w:lineRule="auto"/>
              <w:ind w:left="22"/>
            </w:pPr>
            <w:r>
              <w:t>5.强化传热与削弱传热</w:t>
            </w:r>
          </w:p>
        </w:tc>
        <w:tc>
          <w:tcPr>
            <w:tcW w:w="220" w:type="dxa"/>
            <w:vAlign w:val="top"/>
          </w:tcPr>
          <w:p w14:paraId="1FD8DBFE">
            <w:pPr>
              <w:pStyle w:val="6"/>
              <w:spacing w:before="84" w:line="238" w:lineRule="auto"/>
              <w:ind w:left="48"/>
              <w:rPr>
                <w:sz w:val="12"/>
                <w:szCs w:val="12"/>
              </w:rPr>
            </w:pPr>
            <w:r>
              <w:rPr>
                <w:sz w:val="12"/>
                <w:szCs w:val="12"/>
              </w:rPr>
              <w:t>√</w:t>
            </w:r>
          </w:p>
        </w:tc>
        <w:tc>
          <w:tcPr>
            <w:tcW w:w="229" w:type="dxa"/>
            <w:vAlign w:val="top"/>
          </w:tcPr>
          <w:p w14:paraId="59B5542F">
            <w:pPr>
              <w:rPr>
                <w:rFonts w:ascii="Arial"/>
                <w:sz w:val="21"/>
              </w:rPr>
            </w:pPr>
          </w:p>
        </w:tc>
        <w:tc>
          <w:tcPr>
            <w:tcW w:w="230" w:type="dxa"/>
            <w:vAlign w:val="top"/>
          </w:tcPr>
          <w:p w14:paraId="4ED24837">
            <w:pPr>
              <w:rPr>
                <w:rFonts w:ascii="Arial"/>
                <w:sz w:val="21"/>
              </w:rPr>
            </w:pPr>
          </w:p>
        </w:tc>
        <w:tc>
          <w:tcPr>
            <w:tcW w:w="224" w:type="dxa"/>
            <w:vAlign w:val="top"/>
          </w:tcPr>
          <w:p w14:paraId="4A7BD316">
            <w:pPr>
              <w:rPr>
                <w:rFonts w:ascii="Arial"/>
                <w:sz w:val="21"/>
              </w:rPr>
            </w:pPr>
          </w:p>
        </w:tc>
      </w:tr>
      <w:tr w14:paraId="4B633F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continue"/>
            <w:tcBorders>
              <w:top w:val="nil"/>
            </w:tcBorders>
            <w:vAlign w:val="top"/>
          </w:tcPr>
          <w:p w14:paraId="619161FA">
            <w:pPr>
              <w:rPr>
                <w:rFonts w:ascii="Arial"/>
                <w:sz w:val="21"/>
              </w:rPr>
            </w:pPr>
          </w:p>
        </w:tc>
        <w:tc>
          <w:tcPr>
            <w:tcW w:w="2314" w:type="dxa"/>
            <w:vAlign w:val="top"/>
          </w:tcPr>
          <w:p w14:paraId="5D777246">
            <w:pPr>
              <w:pStyle w:val="6"/>
              <w:spacing w:before="56" w:line="209" w:lineRule="auto"/>
              <w:ind w:left="22"/>
            </w:pPr>
            <w:r>
              <w:rPr>
                <w:spacing w:val="-1"/>
              </w:rPr>
              <w:t>6.工业加热与冷却方法</w:t>
            </w:r>
          </w:p>
        </w:tc>
        <w:tc>
          <w:tcPr>
            <w:tcW w:w="220" w:type="dxa"/>
            <w:vAlign w:val="top"/>
          </w:tcPr>
          <w:p w14:paraId="3D80C493">
            <w:pPr>
              <w:pStyle w:val="6"/>
              <w:spacing w:before="85" w:line="238" w:lineRule="auto"/>
              <w:ind w:left="48"/>
              <w:rPr>
                <w:sz w:val="12"/>
                <w:szCs w:val="12"/>
              </w:rPr>
            </w:pPr>
            <w:r>
              <w:rPr>
                <w:sz w:val="12"/>
                <w:szCs w:val="12"/>
              </w:rPr>
              <w:t>√</w:t>
            </w:r>
          </w:p>
        </w:tc>
        <w:tc>
          <w:tcPr>
            <w:tcW w:w="229" w:type="dxa"/>
            <w:vAlign w:val="top"/>
          </w:tcPr>
          <w:p w14:paraId="13B1D140">
            <w:pPr>
              <w:rPr>
                <w:rFonts w:ascii="Arial"/>
                <w:sz w:val="21"/>
              </w:rPr>
            </w:pPr>
          </w:p>
        </w:tc>
        <w:tc>
          <w:tcPr>
            <w:tcW w:w="230" w:type="dxa"/>
            <w:vAlign w:val="top"/>
          </w:tcPr>
          <w:p w14:paraId="12146EC5">
            <w:pPr>
              <w:rPr>
                <w:rFonts w:ascii="Arial"/>
                <w:sz w:val="21"/>
              </w:rPr>
            </w:pPr>
          </w:p>
        </w:tc>
        <w:tc>
          <w:tcPr>
            <w:tcW w:w="224" w:type="dxa"/>
            <w:vAlign w:val="top"/>
          </w:tcPr>
          <w:p w14:paraId="06A869D5">
            <w:pPr>
              <w:rPr>
                <w:rFonts w:ascii="Arial"/>
                <w:sz w:val="21"/>
              </w:rPr>
            </w:pPr>
          </w:p>
        </w:tc>
      </w:tr>
      <w:tr w14:paraId="46C9C3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restart"/>
            <w:tcBorders>
              <w:bottom w:val="nil"/>
            </w:tcBorders>
            <w:vAlign w:val="top"/>
          </w:tcPr>
          <w:p w14:paraId="295161C3">
            <w:pPr>
              <w:spacing w:line="269" w:lineRule="auto"/>
              <w:rPr>
                <w:rFonts w:ascii="Arial"/>
                <w:sz w:val="21"/>
              </w:rPr>
            </w:pPr>
          </w:p>
          <w:p w14:paraId="08BF607A">
            <w:pPr>
              <w:pStyle w:val="6"/>
              <w:spacing w:before="55" w:line="220" w:lineRule="auto"/>
              <w:ind w:left="185"/>
            </w:pPr>
            <w:r>
              <w:rPr>
                <w:spacing w:val="-2"/>
              </w:rPr>
              <w:t>换热器</w:t>
            </w:r>
          </w:p>
        </w:tc>
        <w:tc>
          <w:tcPr>
            <w:tcW w:w="2314" w:type="dxa"/>
            <w:vAlign w:val="top"/>
          </w:tcPr>
          <w:p w14:paraId="7CC0A9DF">
            <w:pPr>
              <w:pStyle w:val="6"/>
              <w:spacing w:before="55" w:line="210" w:lineRule="auto"/>
              <w:ind w:left="22"/>
            </w:pPr>
            <w:r>
              <w:t>1.换热器的分类</w:t>
            </w:r>
          </w:p>
        </w:tc>
        <w:tc>
          <w:tcPr>
            <w:tcW w:w="220" w:type="dxa"/>
            <w:vAlign w:val="top"/>
          </w:tcPr>
          <w:p w14:paraId="1C67455C">
            <w:pPr>
              <w:pStyle w:val="6"/>
              <w:spacing w:before="86" w:line="238" w:lineRule="auto"/>
              <w:ind w:left="18"/>
              <w:rPr>
                <w:sz w:val="12"/>
                <w:szCs w:val="12"/>
              </w:rPr>
            </w:pPr>
            <w:r>
              <w:rPr>
                <w:sz w:val="12"/>
                <w:szCs w:val="12"/>
              </w:rPr>
              <w:t>√</w:t>
            </w:r>
          </w:p>
        </w:tc>
        <w:tc>
          <w:tcPr>
            <w:tcW w:w="229" w:type="dxa"/>
            <w:vAlign w:val="top"/>
          </w:tcPr>
          <w:p w14:paraId="6333B043">
            <w:pPr>
              <w:rPr>
                <w:rFonts w:ascii="Arial"/>
                <w:sz w:val="21"/>
              </w:rPr>
            </w:pPr>
          </w:p>
        </w:tc>
        <w:tc>
          <w:tcPr>
            <w:tcW w:w="230" w:type="dxa"/>
            <w:vAlign w:val="top"/>
          </w:tcPr>
          <w:p w14:paraId="21DF861F">
            <w:pPr>
              <w:rPr>
                <w:rFonts w:ascii="Arial"/>
                <w:sz w:val="21"/>
              </w:rPr>
            </w:pPr>
          </w:p>
        </w:tc>
        <w:tc>
          <w:tcPr>
            <w:tcW w:w="224" w:type="dxa"/>
            <w:vAlign w:val="top"/>
          </w:tcPr>
          <w:p w14:paraId="731D07A0">
            <w:pPr>
              <w:rPr>
                <w:rFonts w:ascii="Arial"/>
                <w:sz w:val="21"/>
              </w:rPr>
            </w:pPr>
          </w:p>
        </w:tc>
      </w:tr>
      <w:tr w14:paraId="3E312A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 w:hRule="atLeast"/>
        </w:trPr>
        <w:tc>
          <w:tcPr>
            <w:tcW w:w="893" w:type="dxa"/>
            <w:vMerge w:val="continue"/>
            <w:tcBorders>
              <w:top w:val="nil"/>
              <w:bottom w:val="nil"/>
            </w:tcBorders>
            <w:vAlign w:val="top"/>
          </w:tcPr>
          <w:p w14:paraId="43B6960E">
            <w:pPr>
              <w:rPr>
                <w:rFonts w:ascii="Arial"/>
                <w:sz w:val="21"/>
              </w:rPr>
            </w:pPr>
          </w:p>
        </w:tc>
        <w:tc>
          <w:tcPr>
            <w:tcW w:w="2314" w:type="dxa"/>
            <w:vAlign w:val="top"/>
          </w:tcPr>
          <w:p w14:paraId="17AD62EE">
            <w:pPr>
              <w:pStyle w:val="6"/>
              <w:spacing w:before="56" w:line="210" w:lineRule="auto"/>
              <w:ind w:left="22"/>
            </w:pPr>
            <w:r>
              <w:rPr>
                <w:spacing w:val="1"/>
              </w:rPr>
              <w:t>2.换热器的结构与性能特点</w:t>
            </w:r>
          </w:p>
        </w:tc>
        <w:tc>
          <w:tcPr>
            <w:tcW w:w="220" w:type="dxa"/>
            <w:vAlign w:val="top"/>
          </w:tcPr>
          <w:p w14:paraId="05479EB6">
            <w:pPr>
              <w:rPr>
                <w:rFonts w:ascii="Arial"/>
                <w:sz w:val="21"/>
              </w:rPr>
            </w:pPr>
          </w:p>
        </w:tc>
        <w:tc>
          <w:tcPr>
            <w:tcW w:w="229" w:type="dxa"/>
            <w:vAlign w:val="top"/>
          </w:tcPr>
          <w:p w14:paraId="24A5337C">
            <w:pPr>
              <w:spacing w:before="82" w:line="130" w:lineRule="exact"/>
              <w:ind w:firstLine="42"/>
            </w:pPr>
            <w:r>
              <w:rPr>
                <w:position w:val="-2"/>
              </w:rPr>
              <w:drawing>
                <wp:inline distT="0" distB="0" distL="0" distR="0">
                  <wp:extent cx="93980" cy="81915"/>
                  <wp:effectExtent l="0" t="0" r="0" b="0"/>
                  <wp:docPr id="496" name="IM 496"/>
                  <wp:cNvGraphicFramePr/>
                  <a:graphic xmlns:a="http://schemas.openxmlformats.org/drawingml/2006/main">
                    <a:graphicData uri="http://schemas.openxmlformats.org/drawingml/2006/picture">
                      <pic:pic xmlns:pic="http://schemas.openxmlformats.org/drawingml/2006/picture">
                        <pic:nvPicPr>
                          <pic:cNvPr id="496" name="IM 496"/>
                          <pic:cNvPicPr/>
                        </pic:nvPicPr>
                        <pic:blipFill>
                          <a:blip r:embed="rId412"/>
                          <a:stretch>
                            <a:fillRect/>
                          </a:stretch>
                        </pic:blipFill>
                        <pic:spPr>
                          <a:xfrm>
                            <a:off x="0" y="0"/>
                            <a:ext cx="94341" cy="82543"/>
                          </a:xfrm>
                          <a:prstGeom prst="rect">
                            <a:avLst/>
                          </a:prstGeom>
                        </pic:spPr>
                      </pic:pic>
                    </a:graphicData>
                  </a:graphic>
                </wp:inline>
              </w:drawing>
            </w:r>
          </w:p>
        </w:tc>
        <w:tc>
          <w:tcPr>
            <w:tcW w:w="230" w:type="dxa"/>
            <w:vAlign w:val="top"/>
          </w:tcPr>
          <w:p w14:paraId="574D8835">
            <w:pPr>
              <w:rPr>
                <w:rFonts w:ascii="Arial"/>
                <w:sz w:val="21"/>
              </w:rPr>
            </w:pPr>
          </w:p>
        </w:tc>
        <w:tc>
          <w:tcPr>
            <w:tcW w:w="224" w:type="dxa"/>
            <w:vAlign w:val="top"/>
          </w:tcPr>
          <w:p w14:paraId="73DF6F04">
            <w:pPr>
              <w:rPr>
                <w:rFonts w:ascii="Arial"/>
                <w:sz w:val="21"/>
              </w:rPr>
            </w:pPr>
          </w:p>
        </w:tc>
      </w:tr>
      <w:tr w14:paraId="7407E1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4" w:hRule="atLeast"/>
        </w:trPr>
        <w:tc>
          <w:tcPr>
            <w:tcW w:w="893" w:type="dxa"/>
            <w:vMerge w:val="continue"/>
            <w:tcBorders>
              <w:top w:val="nil"/>
            </w:tcBorders>
            <w:vAlign w:val="top"/>
          </w:tcPr>
          <w:p w14:paraId="03D337EC">
            <w:pPr>
              <w:rPr>
                <w:rFonts w:ascii="Arial"/>
                <w:sz w:val="21"/>
              </w:rPr>
            </w:pPr>
          </w:p>
        </w:tc>
        <w:tc>
          <w:tcPr>
            <w:tcW w:w="2314" w:type="dxa"/>
            <w:vAlign w:val="top"/>
          </w:tcPr>
          <w:p w14:paraId="15BB1AC9">
            <w:pPr>
              <w:pStyle w:val="6"/>
              <w:spacing w:before="56" w:line="214" w:lineRule="auto"/>
              <w:ind w:left="22"/>
            </w:pPr>
            <w:r>
              <w:rPr>
                <w:spacing w:val="1"/>
              </w:rPr>
              <w:t>3.列管换热器的选型原则</w:t>
            </w:r>
          </w:p>
        </w:tc>
        <w:tc>
          <w:tcPr>
            <w:tcW w:w="220" w:type="dxa"/>
            <w:vAlign w:val="top"/>
          </w:tcPr>
          <w:p w14:paraId="3D421226">
            <w:pPr>
              <w:rPr>
                <w:rFonts w:ascii="Arial"/>
                <w:sz w:val="21"/>
              </w:rPr>
            </w:pPr>
          </w:p>
        </w:tc>
        <w:tc>
          <w:tcPr>
            <w:tcW w:w="229" w:type="dxa"/>
            <w:vAlign w:val="top"/>
          </w:tcPr>
          <w:p w14:paraId="7F5F3D32">
            <w:pPr>
              <w:rPr>
                <w:rFonts w:ascii="Arial"/>
                <w:sz w:val="21"/>
              </w:rPr>
            </w:pPr>
          </w:p>
        </w:tc>
        <w:tc>
          <w:tcPr>
            <w:tcW w:w="230" w:type="dxa"/>
            <w:vAlign w:val="top"/>
          </w:tcPr>
          <w:p w14:paraId="646F34DB">
            <w:pPr>
              <w:pStyle w:val="6"/>
              <w:spacing w:before="102" w:line="165" w:lineRule="auto"/>
              <w:ind w:left="69"/>
            </w:pPr>
            <w:r>
              <w:t>V</w:t>
            </w:r>
          </w:p>
        </w:tc>
        <w:tc>
          <w:tcPr>
            <w:tcW w:w="224" w:type="dxa"/>
            <w:vAlign w:val="top"/>
          </w:tcPr>
          <w:p w14:paraId="302A43D4">
            <w:pPr>
              <w:rPr>
                <w:rFonts w:ascii="Arial"/>
                <w:sz w:val="21"/>
              </w:rPr>
            </w:pPr>
          </w:p>
        </w:tc>
      </w:tr>
    </w:tbl>
    <w:p w14:paraId="73285A7D">
      <w:pPr>
        <w:spacing w:before="279" w:line="222" w:lineRule="auto"/>
        <w:ind w:left="1467"/>
        <w:rPr>
          <w:rFonts w:ascii="黑体" w:hAnsi="黑体" w:eastAsia="黑体" w:cs="黑体"/>
          <w:sz w:val="20"/>
          <w:szCs w:val="20"/>
        </w:rPr>
      </w:pPr>
      <w:r>
        <w:rPr>
          <w:rFonts w:ascii="黑体" w:hAnsi="黑体" w:eastAsia="黑体" w:cs="黑体"/>
          <w:b/>
          <w:bCs/>
          <w:spacing w:val="-5"/>
          <w:sz w:val="20"/>
          <w:szCs w:val="20"/>
        </w:rPr>
        <w:t>三、液体蒸馏</w:t>
      </w:r>
    </w:p>
    <w:p w14:paraId="58F42A7E">
      <w:pPr>
        <w:spacing w:line="90" w:lineRule="exact"/>
      </w:pPr>
    </w:p>
    <w:tbl>
      <w:tblPr>
        <w:tblStyle w:val="5"/>
        <w:tblW w:w="412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14"/>
        <w:gridCol w:w="220"/>
        <w:gridCol w:w="229"/>
        <w:gridCol w:w="230"/>
        <w:gridCol w:w="234"/>
      </w:tblGrid>
      <w:tr w14:paraId="5CE2DD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4" w:hRule="atLeast"/>
        </w:trPr>
        <w:tc>
          <w:tcPr>
            <w:tcW w:w="893" w:type="dxa"/>
            <w:vMerge w:val="restart"/>
            <w:tcBorders>
              <w:bottom w:val="nil"/>
            </w:tcBorders>
            <w:vAlign w:val="top"/>
          </w:tcPr>
          <w:p w14:paraId="1B189249">
            <w:pPr>
              <w:pStyle w:val="6"/>
              <w:spacing w:before="132" w:line="229" w:lineRule="auto"/>
              <w:ind w:left="97" w:right="112" w:firstLine="89"/>
            </w:pPr>
            <w:r>
              <w:rPr>
                <w:b/>
                <w:bCs/>
                <w:spacing w:val="-6"/>
              </w:rPr>
              <w:t>知识与</w:t>
            </w:r>
            <w:r>
              <w:t xml:space="preserve">  </w:t>
            </w:r>
            <w:r>
              <w:rPr>
                <w:b/>
                <w:bCs/>
                <w:spacing w:val="-4"/>
              </w:rPr>
              <w:t>技能要点</w:t>
            </w:r>
          </w:p>
        </w:tc>
        <w:tc>
          <w:tcPr>
            <w:tcW w:w="2314" w:type="dxa"/>
            <w:vMerge w:val="restart"/>
            <w:tcBorders>
              <w:bottom w:val="nil"/>
            </w:tcBorders>
            <w:vAlign w:val="top"/>
          </w:tcPr>
          <w:p w14:paraId="51C013C9">
            <w:pPr>
              <w:pStyle w:val="6"/>
              <w:spacing w:before="249" w:line="219" w:lineRule="auto"/>
              <w:ind w:left="834"/>
            </w:pPr>
            <w:r>
              <w:rPr>
                <w:b/>
                <w:bCs/>
                <w:spacing w:val="5"/>
              </w:rPr>
              <w:t>考试条目</w:t>
            </w:r>
          </w:p>
        </w:tc>
        <w:tc>
          <w:tcPr>
            <w:tcW w:w="913" w:type="dxa"/>
            <w:gridSpan w:val="4"/>
            <w:vAlign w:val="top"/>
          </w:tcPr>
          <w:p w14:paraId="679CE596">
            <w:pPr>
              <w:pStyle w:val="6"/>
              <w:spacing w:before="79" w:line="219" w:lineRule="auto"/>
              <w:ind w:left="150"/>
            </w:pPr>
            <w:r>
              <w:rPr>
                <w:b/>
                <w:bCs/>
                <w:spacing w:val="-4"/>
              </w:rPr>
              <w:t>考试水平</w:t>
            </w:r>
          </w:p>
        </w:tc>
      </w:tr>
      <w:tr w14:paraId="46F38C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9" w:hRule="atLeast"/>
        </w:trPr>
        <w:tc>
          <w:tcPr>
            <w:tcW w:w="893" w:type="dxa"/>
            <w:vMerge w:val="continue"/>
            <w:tcBorders>
              <w:top w:val="nil"/>
            </w:tcBorders>
            <w:vAlign w:val="top"/>
          </w:tcPr>
          <w:p w14:paraId="56D0B4FF">
            <w:pPr>
              <w:rPr>
                <w:rFonts w:ascii="Arial"/>
                <w:sz w:val="21"/>
              </w:rPr>
            </w:pPr>
          </w:p>
        </w:tc>
        <w:tc>
          <w:tcPr>
            <w:tcW w:w="2314" w:type="dxa"/>
            <w:vMerge w:val="continue"/>
            <w:tcBorders>
              <w:top w:val="nil"/>
            </w:tcBorders>
            <w:vAlign w:val="top"/>
          </w:tcPr>
          <w:p w14:paraId="57605D59">
            <w:pPr>
              <w:rPr>
                <w:rFonts w:ascii="Arial"/>
                <w:sz w:val="21"/>
              </w:rPr>
            </w:pPr>
          </w:p>
        </w:tc>
        <w:tc>
          <w:tcPr>
            <w:tcW w:w="220" w:type="dxa"/>
            <w:vAlign w:val="top"/>
          </w:tcPr>
          <w:p w14:paraId="0A5E6B1E">
            <w:pPr>
              <w:pStyle w:val="6"/>
              <w:spacing w:before="120" w:line="184" w:lineRule="auto"/>
              <w:ind w:left="58"/>
            </w:pPr>
            <w:r>
              <w:t>A</w:t>
            </w:r>
          </w:p>
        </w:tc>
        <w:tc>
          <w:tcPr>
            <w:tcW w:w="229" w:type="dxa"/>
            <w:vAlign w:val="top"/>
          </w:tcPr>
          <w:p w14:paraId="08AC0611">
            <w:pPr>
              <w:pStyle w:val="6"/>
              <w:spacing w:before="122" w:line="182" w:lineRule="auto"/>
              <w:ind w:left="10"/>
            </w:pPr>
            <w:r>
              <w:rPr>
                <w:b/>
                <w:bCs/>
                <w:spacing w:val="-2"/>
              </w:rPr>
              <w:t>B</w:t>
            </w:r>
          </w:p>
        </w:tc>
        <w:tc>
          <w:tcPr>
            <w:tcW w:w="230" w:type="dxa"/>
            <w:vAlign w:val="top"/>
          </w:tcPr>
          <w:p w14:paraId="45C5BD3B">
            <w:pPr>
              <w:pStyle w:val="6"/>
              <w:spacing w:before="116" w:line="183" w:lineRule="auto"/>
              <w:ind w:left="61"/>
              <w:rPr>
                <w:sz w:val="19"/>
                <w:szCs w:val="19"/>
              </w:rPr>
            </w:pPr>
            <w:r>
              <w:rPr>
                <w:b/>
                <w:bCs/>
                <w:spacing w:val="-2"/>
                <w:sz w:val="19"/>
                <w:szCs w:val="19"/>
              </w:rPr>
              <w:t>C</w:t>
            </w:r>
          </w:p>
        </w:tc>
        <w:tc>
          <w:tcPr>
            <w:tcW w:w="234" w:type="dxa"/>
            <w:vAlign w:val="top"/>
          </w:tcPr>
          <w:p w14:paraId="4FFD4094">
            <w:pPr>
              <w:pStyle w:val="6"/>
              <w:spacing w:before="122" w:line="182" w:lineRule="auto"/>
              <w:ind w:left="51"/>
            </w:pPr>
            <w:r>
              <w:rPr>
                <w:b/>
                <w:bCs/>
                <w:spacing w:val="-2"/>
              </w:rPr>
              <w:t>D</w:t>
            </w:r>
          </w:p>
        </w:tc>
      </w:tr>
      <w:tr w14:paraId="7EA761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893" w:type="dxa"/>
            <w:vMerge w:val="restart"/>
            <w:tcBorders>
              <w:bottom w:val="nil"/>
            </w:tcBorders>
            <w:vAlign w:val="top"/>
          </w:tcPr>
          <w:p w14:paraId="5EB15A82">
            <w:pPr>
              <w:pStyle w:val="6"/>
              <w:spacing w:before="179" w:line="219" w:lineRule="auto"/>
              <w:ind w:left="265"/>
            </w:pPr>
            <w:r>
              <w:rPr>
                <w:spacing w:val="-2"/>
              </w:rPr>
              <w:t>概述</w:t>
            </w:r>
          </w:p>
        </w:tc>
        <w:tc>
          <w:tcPr>
            <w:tcW w:w="2314" w:type="dxa"/>
            <w:vAlign w:val="top"/>
          </w:tcPr>
          <w:p w14:paraId="484EA772">
            <w:pPr>
              <w:pStyle w:val="6"/>
              <w:spacing w:before="49" w:line="219" w:lineRule="auto"/>
              <w:ind w:left="62"/>
            </w:pPr>
            <w:r>
              <w:rPr>
                <w:spacing w:val="1"/>
              </w:rPr>
              <w:t>1.蒸馏在化工生产中的应用</w:t>
            </w:r>
          </w:p>
        </w:tc>
        <w:tc>
          <w:tcPr>
            <w:tcW w:w="220" w:type="dxa"/>
            <w:vAlign w:val="top"/>
          </w:tcPr>
          <w:p w14:paraId="091C41AB">
            <w:pPr>
              <w:pStyle w:val="6"/>
              <w:spacing w:before="80" w:line="238" w:lineRule="auto"/>
              <w:ind w:left="38"/>
              <w:rPr>
                <w:sz w:val="13"/>
                <w:szCs w:val="13"/>
              </w:rPr>
            </w:pPr>
            <w:r>
              <w:rPr>
                <w:sz w:val="13"/>
                <w:szCs w:val="13"/>
              </w:rPr>
              <w:t>√</w:t>
            </w:r>
          </w:p>
        </w:tc>
        <w:tc>
          <w:tcPr>
            <w:tcW w:w="229" w:type="dxa"/>
            <w:vAlign w:val="top"/>
          </w:tcPr>
          <w:p w14:paraId="0CA93EA3">
            <w:pPr>
              <w:rPr>
                <w:rFonts w:ascii="Arial"/>
                <w:sz w:val="21"/>
              </w:rPr>
            </w:pPr>
          </w:p>
        </w:tc>
        <w:tc>
          <w:tcPr>
            <w:tcW w:w="230" w:type="dxa"/>
            <w:vAlign w:val="top"/>
          </w:tcPr>
          <w:p w14:paraId="080DAA10">
            <w:pPr>
              <w:rPr>
                <w:rFonts w:ascii="Arial"/>
                <w:sz w:val="21"/>
              </w:rPr>
            </w:pPr>
          </w:p>
        </w:tc>
        <w:tc>
          <w:tcPr>
            <w:tcW w:w="234" w:type="dxa"/>
            <w:vAlign w:val="top"/>
          </w:tcPr>
          <w:p w14:paraId="2DD239A6">
            <w:pPr>
              <w:rPr>
                <w:rFonts w:ascii="Arial"/>
                <w:sz w:val="21"/>
              </w:rPr>
            </w:pPr>
          </w:p>
        </w:tc>
      </w:tr>
      <w:tr w14:paraId="43C2A4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9" w:hRule="atLeast"/>
        </w:trPr>
        <w:tc>
          <w:tcPr>
            <w:tcW w:w="893" w:type="dxa"/>
            <w:vMerge w:val="continue"/>
            <w:tcBorders>
              <w:top w:val="nil"/>
            </w:tcBorders>
            <w:vAlign w:val="top"/>
          </w:tcPr>
          <w:p w14:paraId="314AB0AE">
            <w:pPr>
              <w:rPr>
                <w:rFonts w:ascii="Arial"/>
                <w:sz w:val="21"/>
              </w:rPr>
            </w:pPr>
          </w:p>
        </w:tc>
        <w:tc>
          <w:tcPr>
            <w:tcW w:w="2314" w:type="dxa"/>
            <w:vAlign w:val="top"/>
          </w:tcPr>
          <w:p w14:paraId="236EA512">
            <w:pPr>
              <w:pStyle w:val="6"/>
              <w:spacing w:before="39" w:line="217" w:lineRule="auto"/>
              <w:ind w:left="62"/>
            </w:pPr>
            <w:r>
              <w:rPr>
                <w:spacing w:val="-1"/>
              </w:rPr>
              <w:t>2.精馏原理和流程</w:t>
            </w:r>
          </w:p>
        </w:tc>
        <w:tc>
          <w:tcPr>
            <w:tcW w:w="220" w:type="dxa"/>
            <w:vAlign w:val="top"/>
          </w:tcPr>
          <w:p w14:paraId="6901FE1D">
            <w:pPr>
              <w:spacing w:line="239" w:lineRule="exact"/>
              <w:rPr>
                <w:rFonts w:ascii="Arial"/>
                <w:sz w:val="20"/>
              </w:rPr>
            </w:pPr>
          </w:p>
        </w:tc>
        <w:tc>
          <w:tcPr>
            <w:tcW w:w="229" w:type="dxa"/>
            <w:vAlign w:val="top"/>
          </w:tcPr>
          <w:p w14:paraId="4D483C38">
            <w:pPr>
              <w:spacing w:line="239" w:lineRule="exact"/>
              <w:rPr>
                <w:rFonts w:ascii="Arial"/>
                <w:sz w:val="20"/>
              </w:rPr>
            </w:pPr>
          </w:p>
        </w:tc>
        <w:tc>
          <w:tcPr>
            <w:tcW w:w="230" w:type="dxa"/>
            <w:vAlign w:val="top"/>
          </w:tcPr>
          <w:p w14:paraId="7ABFA740">
            <w:pPr>
              <w:pStyle w:val="6"/>
              <w:spacing w:before="71" w:line="238" w:lineRule="auto"/>
              <w:ind w:left="49"/>
              <w:rPr>
                <w:sz w:val="13"/>
                <w:szCs w:val="13"/>
              </w:rPr>
            </w:pPr>
            <w:r>
              <w:rPr>
                <w:sz w:val="13"/>
                <w:szCs w:val="13"/>
              </w:rPr>
              <w:t>√</w:t>
            </w:r>
          </w:p>
        </w:tc>
        <w:tc>
          <w:tcPr>
            <w:tcW w:w="234" w:type="dxa"/>
            <w:vAlign w:val="top"/>
          </w:tcPr>
          <w:p w14:paraId="4D902B1C">
            <w:pPr>
              <w:spacing w:line="239" w:lineRule="exact"/>
              <w:rPr>
                <w:rFonts w:ascii="Arial"/>
                <w:sz w:val="20"/>
              </w:rPr>
            </w:pPr>
          </w:p>
        </w:tc>
      </w:tr>
      <w:tr w14:paraId="7EC715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restart"/>
            <w:tcBorders>
              <w:bottom w:val="nil"/>
            </w:tcBorders>
            <w:vAlign w:val="top"/>
          </w:tcPr>
          <w:p w14:paraId="4C9A8E5D">
            <w:pPr>
              <w:pStyle w:val="6"/>
              <w:spacing w:before="211" w:line="229" w:lineRule="auto"/>
              <w:ind w:left="95" w:right="114" w:firstLine="89"/>
            </w:pPr>
            <w:r>
              <w:rPr>
                <w:spacing w:val="-3"/>
              </w:rPr>
              <w:t>精馏的</w:t>
            </w:r>
            <w:r>
              <w:t xml:space="preserve">  </w:t>
            </w:r>
            <w:r>
              <w:rPr>
                <w:spacing w:val="-2"/>
              </w:rPr>
              <w:t>物料衡算</w:t>
            </w:r>
          </w:p>
        </w:tc>
        <w:tc>
          <w:tcPr>
            <w:tcW w:w="2314" w:type="dxa"/>
            <w:vAlign w:val="top"/>
          </w:tcPr>
          <w:p w14:paraId="359D1E34">
            <w:pPr>
              <w:pStyle w:val="6"/>
              <w:spacing w:before="51" w:line="215" w:lineRule="auto"/>
              <w:ind w:left="62"/>
            </w:pPr>
            <w:r>
              <w:t>1.全塔物料衡算</w:t>
            </w:r>
          </w:p>
        </w:tc>
        <w:tc>
          <w:tcPr>
            <w:tcW w:w="220" w:type="dxa"/>
            <w:vAlign w:val="top"/>
          </w:tcPr>
          <w:p w14:paraId="49CC7110">
            <w:pPr>
              <w:rPr>
                <w:rFonts w:ascii="Arial"/>
                <w:sz w:val="21"/>
              </w:rPr>
            </w:pPr>
          </w:p>
        </w:tc>
        <w:tc>
          <w:tcPr>
            <w:tcW w:w="229" w:type="dxa"/>
            <w:vAlign w:val="top"/>
          </w:tcPr>
          <w:p w14:paraId="63C9FF86">
            <w:pPr>
              <w:spacing w:before="90" w:line="116" w:lineRule="exact"/>
              <w:ind w:firstLine="54"/>
            </w:pPr>
            <w:r>
              <w:rPr>
                <w:position w:val="-2"/>
              </w:rPr>
              <w:drawing>
                <wp:inline distT="0" distB="0" distL="0" distR="0">
                  <wp:extent cx="73025" cy="73025"/>
                  <wp:effectExtent l="0" t="0" r="0" b="0"/>
                  <wp:docPr id="498" name="IM 498"/>
                  <wp:cNvGraphicFramePr/>
                  <a:graphic xmlns:a="http://schemas.openxmlformats.org/drawingml/2006/main">
                    <a:graphicData uri="http://schemas.openxmlformats.org/drawingml/2006/picture">
                      <pic:pic xmlns:pic="http://schemas.openxmlformats.org/drawingml/2006/picture">
                        <pic:nvPicPr>
                          <pic:cNvPr id="498" name="IM 498"/>
                          <pic:cNvPicPr/>
                        </pic:nvPicPr>
                        <pic:blipFill>
                          <a:blip r:embed="rId413"/>
                          <a:stretch>
                            <a:fillRect/>
                          </a:stretch>
                        </pic:blipFill>
                        <pic:spPr>
                          <a:xfrm>
                            <a:off x="0" y="0"/>
                            <a:ext cx="73262" cy="73460"/>
                          </a:xfrm>
                          <a:prstGeom prst="rect">
                            <a:avLst/>
                          </a:prstGeom>
                        </pic:spPr>
                      </pic:pic>
                    </a:graphicData>
                  </a:graphic>
                </wp:inline>
              </w:drawing>
            </w:r>
          </w:p>
        </w:tc>
        <w:tc>
          <w:tcPr>
            <w:tcW w:w="230" w:type="dxa"/>
            <w:vAlign w:val="top"/>
          </w:tcPr>
          <w:p w14:paraId="6335E547">
            <w:pPr>
              <w:rPr>
                <w:rFonts w:ascii="Arial"/>
                <w:sz w:val="21"/>
              </w:rPr>
            </w:pPr>
          </w:p>
        </w:tc>
        <w:tc>
          <w:tcPr>
            <w:tcW w:w="234" w:type="dxa"/>
            <w:vAlign w:val="top"/>
          </w:tcPr>
          <w:p w14:paraId="7371AD10">
            <w:pPr>
              <w:rPr>
                <w:rFonts w:ascii="Arial"/>
                <w:sz w:val="21"/>
              </w:rPr>
            </w:pPr>
          </w:p>
        </w:tc>
      </w:tr>
      <w:tr w14:paraId="5BA8F4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 w:hRule="atLeast"/>
        </w:trPr>
        <w:tc>
          <w:tcPr>
            <w:tcW w:w="893" w:type="dxa"/>
            <w:vMerge w:val="continue"/>
            <w:tcBorders>
              <w:top w:val="nil"/>
              <w:bottom w:val="nil"/>
            </w:tcBorders>
            <w:vAlign w:val="top"/>
          </w:tcPr>
          <w:p w14:paraId="3EFD4C60">
            <w:pPr>
              <w:rPr>
                <w:rFonts w:ascii="Arial"/>
                <w:sz w:val="21"/>
              </w:rPr>
            </w:pPr>
          </w:p>
        </w:tc>
        <w:tc>
          <w:tcPr>
            <w:tcW w:w="2314" w:type="dxa"/>
            <w:vAlign w:val="top"/>
          </w:tcPr>
          <w:p w14:paraId="45E85397">
            <w:pPr>
              <w:pStyle w:val="6"/>
              <w:spacing w:before="51" w:line="216" w:lineRule="auto"/>
              <w:ind w:left="62"/>
            </w:pPr>
            <w:r>
              <w:rPr>
                <w:spacing w:val="-1"/>
              </w:rPr>
              <w:t>2.精馏段物料衡算</w:t>
            </w:r>
          </w:p>
        </w:tc>
        <w:tc>
          <w:tcPr>
            <w:tcW w:w="220" w:type="dxa"/>
            <w:vAlign w:val="top"/>
          </w:tcPr>
          <w:p w14:paraId="789F6CEA">
            <w:pPr>
              <w:rPr>
                <w:rFonts w:ascii="Arial"/>
                <w:sz w:val="21"/>
              </w:rPr>
            </w:pPr>
          </w:p>
        </w:tc>
        <w:tc>
          <w:tcPr>
            <w:tcW w:w="229" w:type="dxa"/>
            <w:vAlign w:val="top"/>
          </w:tcPr>
          <w:p w14:paraId="46442F26">
            <w:pPr>
              <w:rPr>
                <w:rFonts w:ascii="Arial"/>
                <w:sz w:val="21"/>
              </w:rPr>
            </w:pPr>
          </w:p>
        </w:tc>
        <w:tc>
          <w:tcPr>
            <w:tcW w:w="230" w:type="dxa"/>
            <w:vAlign w:val="top"/>
          </w:tcPr>
          <w:p w14:paraId="383A8E6D">
            <w:pPr>
              <w:pStyle w:val="6"/>
              <w:spacing w:before="83" w:line="237" w:lineRule="auto"/>
              <w:ind w:left="49"/>
              <w:rPr>
                <w:sz w:val="13"/>
                <w:szCs w:val="13"/>
              </w:rPr>
            </w:pPr>
            <w:r>
              <w:rPr>
                <w:sz w:val="13"/>
                <w:szCs w:val="13"/>
              </w:rPr>
              <w:t>√</w:t>
            </w:r>
          </w:p>
        </w:tc>
        <w:tc>
          <w:tcPr>
            <w:tcW w:w="234" w:type="dxa"/>
            <w:vAlign w:val="top"/>
          </w:tcPr>
          <w:p w14:paraId="6A21FEA7">
            <w:pPr>
              <w:rPr>
                <w:rFonts w:ascii="Arial"/>
                <w:sz w:val="21"/>
              </w:rPr>
            </w:pPr>
          </w:p>
        </w:tc>
      </w:tr>
      <w:tr w14:paraId="3FC155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continue"/>
            <w:tcBorders>
              <w:top w:val="nil"/>
            </w:tcBorders>
            <w:vAlign w:val="top"/>
          </w:tcPr>
          <w:p w14:paraId="0374060C">
            <w:pPr>
              <w:rPr>
                <w:rFonts w:ascii="Arial"/>
                <w:sz w:val="21"/>
              </w:rPr>
            </w:pPr>
          </w:p>
        </w:tc>
        <w:tc>
          <w:tcPr>
            <w:tcW w:w="2314" w:type="dxa"/>
            <w:vAlign w:val="top"/>
          </w:tcPr>
          <w:p w14:paraId="5004A2F6">
            <w:pPr>
              <w:pStyle w:val="6"/>
              <w:spacing w:before="51" w:line="214" w:lineRule="auto"/>
              <w:ind w:left="62"/>
            </w:pPr>
            <w:r>
              <w:rPr>
                <w:spacing w:val="-2"/>
              </w:rPr>
              <w:t>3.提馏段物料衡算</w:t>
            </w:r>
          </w:p>
        </w:tc>
        <w:tc>
          <w:tcPr>
            <w:tcW w:w="220" w:type="dxa"/>
            <w:vAlign w:val="top"/>
          </w:tcPr>
          <w:p w14:paraId="210F4C11">
            <w:pPr>
              <w:rPr>
                <w:rFonts w:ascii="Arial"/>
                <w:sz w:val="21"/>
              </w:rPr>
            </w:pPr>
          </w:p>
        </w:tc>
        <w:tc>
          <w:tcPr>
            <w:tcW w:w="229" w:type="dxa"/>
            <w:vAlign w:val="top"/>
          </w:tcPr>
          <w:p w14:paraId="3B032C6E">
            <w:pPr>
              <w:rPr>
                <w:rFonts w:ascii="Arial"/>
                <w:sz w:val="21"/>
              </w:rPr>
            </w:pPr>
          </w:p>
        </w:tc>
        <w:tc>
          <w:tcPr>
            <w:tcW w:w="230" w:type="dxa"/>
            <w:vAlign w:val="top"/>
          </w:tcPr>
          <w:p w14:paraId="0B59ED0A">
            <w:pPr>
              <w:pStyle w:val="6"/>
              <w:spacing w:before="83" w:line="235" w:lineRule="auto"/>
              <w:ind w:left="49"/>
              <w:rPr>
                <w:sz w:val="13"/>
                <w:szCs w:val="13"/>
              </w:rPr>
            </w:pPr>
            <w:r>
              <w:rPr>
                <w:sz w:val="13"/>
                <w:szCs w:val="13"/>
              </w:rPr>
              <w:t>√</w:t>
            </w:r>
          </w:p>
        </w:tc>
        <w:tc>
          <w:tcPr>
            <w:tcW w:w="234" w:type="dxa"/>
            <w:vAlign w:val="top"/>
          </w:tcPr>
          <w:p w14:paraId="7452AC35">
            <w:pPr>
              <w:rPr>
                <w:rFonts w:ascii="Arial"/>
                <w:sz w:val="21"/>
              </w:rPr>
            </w:pPr>
          </w:p>
        </w:tc>
      </w:tr>
      <w:tr w14:paraId="1BD086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 w:hRule="atLeast"/>
        </w:trPr>
        <w:tc>
          <w:tcPr>
            <w:tcW w:w="893" w:type="dxa"/>
            <w:vMerge w:val="restart"/>
            <w:tcBorders>
              <w:bottom w:val="nil"/>
            </w:tcBorders>
            <w:vAlign w:val="top"/>
          </w:tcPr>
          <w:p w14:paraId="777844EF">
            <w:pPr>
              <w:pStyle w:val="6"/>
              <w:spacing w:before="91" w:line="232" w:lineRule="auto"/>
              <w:ind w:left="185" w:right="176"/>
            </w:pPr>
            <w:r>
              <w:rPr>
                <w:spacing w:val="-3"/>
              </w:rPr>
              <w:t>塔板数</w:t>
            </w:r>
            <w:r>
              <w:rPr>
                <w:spacing w:val="1"/>
              </w:rPr>
              <w:t xml:space="preserve"> </w:t>
            </w:r>
            <w:r>
              <w:rPr>
                <w:spacing w:val="3"/>
              </w:rPr>
              <w:t>的确定</w:t>
            </w:r>
          </w:p>
        </w:tc>
        <w:tc>
          <w:tcPr>
            <w:tcW w:w="2314" w:type="dxa"/>
            <w:vAlign w:val="top"/>
          </w:tcPr>
          <w:p w14:paraId="7F983C48">
            <w:pPr>
              <w:pStyle w:val="6"/>
              <w:spacing w:before="52" w:line="215" w:lineRule="auto"/>
              <w:ind w:left="62"/>
            </w:pPr>
            <w:r>
              <w:t>1.实际塔板数与板效率</w:t>
            </w:r>
          </w:p>
        </w:tc>
        <w:tc>
          <w:tcPr>
            <w:tcW w:w="220" w:type="dxa"/>
            <w:vAlign w:val="top"/>
          </w:tcPr>
          <w:p w14:paraId="7D8820A0">
            <w:pPr>
              <w:rPr>
                <w:rFonts w:ascii="Arial"/>
                <w:sz w:val="21"/>
              </w:rPr>
            </w:pPr>
          </w:p>
        </w:tc>
        <w:tc>
          <w:tcPr>
            <w:tcW w:w="229" w:type="dxa"/>
            <w:vAlign w:val="top"/>
          </w:tcPr>
          <w:p w14:paraId="49F95935">
            <w:pPr>
              <w:rPr>
                <w:rFonts w:ascii="Arial"/>
                <w:sz w:val="21"/>
              </w:rPr>
            </w:pPr>
          </w:p>
        </w:tc>
        <w:tc>
          <w:tcPr>
            <w:tcW w:w="230" w:type="dxa"/>
            <w:vAlign w:val="top"/>
          </w:tcPr>
          <w:p w14:paraId="10EF7F55">
            <w:pPr>
              <w:rPr>
                <w:rFonts w:ascii="Arial"/>
                <w:sz w:val="21"/>
              </w:rPr>
            </w:pPr>
          </w:p>
        </w:tc>
        <w:tc>
          <w:tcPr>
            <w:tcW w:w="234" w:type="dxa"/>
            <w:vAlign w:val="top"/>
          </w:tcPr>
          <w:p w14:paraId="73BD358F">
            <w:pPr>
              <w:rPr>
                <w:rFonts w:ascii="Arial"/>
                <w:sz w:val="21"/>
              </w:rPr>
            </w:pPr>
          </w:p>
        </w:tc>
      </w:tr>
      <w:tr w14:paraId="16B5F6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continue"/>
            <w:tcBorders>
              <w:top w:val="nil"/>
            </w:tcBorders>
            <w:vAlign w:val="top"/>
          </w:tcPr>
          <w:p w14:paraId="236BC213">
            <w:pPr>
              <w:rPr>
                <w:rFonts w:ascii="Arial"/>
                <w:sz w:val="21"/>
              </w:rPr>
            </w:pPr>
          </w:p>
        </w:tc>
        <w:tc>
          <w:tcPr>
            <w:tcW w:w="2314" w:type="dxa"/>
            <w:vAlign w:val="top"/>
          </w:tcPr>
          <w:p w14:paraId="1B726377">
            <w:pPr>
              <w:pStyle w:val="6"/>
              <w:spacing w:before="51" w:line="214" w:lineRule="auto"/>
              <w:ind w:left="62"/>
            </w:pPr>
            <w:r>
              <w:rPr>
                <w:spacing w:val="-1"/>
              </w:rPr>
              <w:t>2.理论塔板数的确定方法</w:t>
            </w:r>
          </w:p>
        </w:tc>
        <w:tc>
          <w:tcPr>
            <w:tcW w:w="220" w:type="dxa"/>
            <w:vAlign w:val="top"/>
          </w:tcPr>
          <w:p w14:paraId="60DD96CF">
            <w:pPr>
              <w:rPr>
                <w:rFonts w:ascii="Arial"/>
                <w:sz w:val="21"/>
              </w:rPr>
            </w:pPr>
          </w:p>
        </w:tc>
        <w:tc>
          <w:tcPr>
            <w:tcW w:w="229" w:type="dxa"/>
            <w:vAlign w:val="top"/>
          </w:tcPr>
          <w:p w14:paraId="56AE7C26">
            <w:pPr>
              <w:rPr>
                <w:rFonts w:ascii="Arial"/>
                <w:sz w:val="21"/>
              </w:rPr>
            </w:pPr>
          </w:p>
        </w:tc>
        <w:tc>
          <w:tcPr>
            <w:tcW w:w="230" w:type="dxa"/>
            <w:vAlign w:val="top"/>
          </w:tcPr>
          <w:p w14:paraId="725EA7B9">
            <w:pPr>
              <w:rPr>
                <w:rFonts w:ascii="Arial"/>
                <w:sz w:val="21"/>
              </w:rPr>
            </w:pPr>
          </w:p>
        </w:tc>
        <w:tc>
          <w:tcPr>
            <w:tcW w:w="234" w:type="dxa"/>
            <w:vAlign w:val="top"/>
          </w:tcPr>
          <w:p w14:paraId="3DEF98B2">
            <w:pPr>
              <w:rPr>
                <w:rFonts w:ascii="Arial"/>
                <w:sz w:val="21"/>
              </w:rPr>
            </w:pPr>
          </w:p>
        </w:tc>
      </w:tr>
      <w:tr w14:paraId="20D3CE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restart"/>
            <w:tcBorders>
              <w:bottom w:val="nil"/>
            </w:tcBorders>
            <w:vAlign w:val="top"/>
          </w:tcPr>
          <w:p w14:paraId="6676010A">
            <w:pPr>
              <w:pStyle w:val="6"/>
              <w:spacing w:before="223" w:line="224" w:lineRule="auto"/>
              <w:ind w:left="95" w:right="4" w:hanging="80"/>
            </w:pPr>
            <w:r>
              <w:rPr>
                <w:spacing w:val="2"/>
              </w:rPr>
              <w:t xml:space="preserve">连续精馏的 </w:t>
            </w:r>
            <w:r>
              <w:rPr>
                <w:spacing w:val="-2"/>
              </w:rPr>
              <w:t>操作分析</w:t>
            </w:r>
          </w:p>
        </w:tc>
        <w:tc>
          <w:tcPr>
            <w:tcW w:w="2314" w:type="dxa"/>
            <w:vAlign w:val="top"/>
          </w:tcPr>
          <w:p w14:paraId="3CDF9B53">
            <w:pPr>
              <w:pStyle w:val="6"/>
              <w:spacing w:before="52" w:line="213" w:lineRule="auto"/>
              <w:ind w:left="62"/>
            </w:pPr>
            <w:r>
              <w:rPr>
                <w:spacing w:val="1"/>
              </w:rPr>
              <w:t>1.进料状况对精馏操作的影响</w:t>
            </w:r>
          </w:p>
        </w:tc>
        <w:tc>
          <w:tcPr>
            <w:tcW w:w="220" w:type="dxa"/>
            <w:vAlign w:val="top"/>
          </w:tcPr>
          <w:p w14:paraId="35F51B38">
            <w:pPr>
              <w:rPr>
                <w:rFonts w:ascii="Arial"/>
                <w:sz w:val="21"/>
              </w:rPr>
            </w:pPr>
          </w:p>
        </w:tc>
        <w:tc>
          <w:tcPr>
            <w:tcW w:w="229" w:type="dxa"/>
            <w:vAlign w:val="top"/>
          </w:tcPr>
          <w:p w14:paraId="1B62FCD9">
            <w:pPr>
              <w:rPr>
                <w:rFonts w:ascii="Arial"/>
                <w:sz w:val="21"/>
              </w:rPr>
            </w:pPr>
          </w:p>
        </w:tc>
        <w:tc>
          <w:tcPr>
            <w:tcW w:w="230" w:type="dxa"/>
            <w:vAlign w:val="top"/>
          </w:tcPr>
          <w:p w14:paraId="06747CA8">
            <w:pPr>
              <w:pStyle w:val="6"/>
              <w:spacing w:before="85" w:line="232" w:lineRule="auto"/>
              <w:ind w:left="49"/>
              <w:rPr>
                <w:sz w:val="13"/>
                <w:szCs w:val="13"/>
              </w:rPr>
            </w:pPr>
            <w:r>
              <w:rPr>
                <w:sz w:val="13"/>
                <w:szCs w:val="13"/>
              </w:rPr>
              <w:t>√</w:t>
            </w:r>
          </w:p>
        </w:tc>
        <w:tc>
          <w:tcPr>
            <w:tcW w:w="234" w:type="dxa"/>
            <w:vAlign w:val="top"/>
          </w:tcPr>
          <w:p w14:paraId="47B928B2">
            <w:pPr>
              <w:rPr>
                <w:rFonts w:ascii="Arial"/>
                <w:sz w:val="21"/>
              </w:rPr>
            </w:pPr>
          </w:p>
        </w:tc>
      </w:tr>
      <w:tr w14:paraId="66526F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continue"/>
            <w:tcBorders>
              <w:top w:val="nil"/>
              <w:bottom w:val="nil"/>
            </w:tcBorders>
            <w:vAlign w:val="top"/>
          </w:tcPr>
          <w:p w14:paraId="02B25807">
            <w:pPr>
              <w:rPr>
                <w:rFonts w:ascii="Arial"/>
                <w:sz w:val="21"/>
              </w:rPr>
            </w:pPr>
          </w:p>
        </w:tc>
        <w:tc>
          <w:tcPr>
            <w:tcW w:w="2314" w:type="dxa"/>
            <w:vAlign w:val="top"/>
          </w:tcPr>
          <w:p w14:paraId="531AD8F7">
            <w:pPr>
              <w:pStyle w:val="6"/>
              <w:spacing w:before="56" w:line="209" w:lineRule="auto"/>
              <w:ind w:left="62"/>
            </w:pPr>
            <w:r>
              <w:rPr>
                <w:spacing w:val="1"/>
              </w:rPr>
              <w:t>2.回流比的影响</w:t>
            </w:r>
          </w:p>
        </w:tc>
        <w:tc>
          <w:tcPr>
            <w:tcW w:w="220" w:type="dxa"/>
            <w:vAlign w:val="top"/>
          </w:tcPr>
          <w:p w14:paraId="1A16DE08">
            <w:pPr>
              <w:rPr>
                <w:rFonts w:ascii="Arial"/>
                <w:sz w:val="21"/>
              </w:rPr>
            </w:pPr>
          </w:p>
        </w:tc>
        <w:tc>
          <w:tcPr>
            <w:tcW w:w="229" w:type="dxa"/>
            <w:vAlign w:val="top"/>
          </w:tcPr>
          <w:p w14:paraId="60AE4A6F">
            <w:pPr>
              <w:rPr>
                <w:rFonts w:ascii="Arial"/>
                <w:sz w:val="21"/>
              </w:rPr>
            </w:pPr>
          </w:p>
        </w:tc>
        <w:tc>
          <w:tcPr>
            <w:tcW w:w="230" w:type="dxa"/>
            <w:vAlign w:val="top"/>
          </w:tcPr>
          <w:p w14:paraId="6B3A540E">
            <w:pPr>
              <w:pStyle w:val="6"/>
              <w:spacing w:before="86" w:line="231" w:lineRule="auto"/>
              <w:ind w:left="19"/>
              <w:rPr>
                <w:sz w:val="13"/>
                <w:szCs w:val="13"/>
              </w:rPr>
            </w:pPr>
            <w:r>
              <w:rPr>
                <w:sz w:val="13"/>
                <w:szCs w:val="13"/>
              </w:rPr>
              <w:t>√</w:t>
            </w:r>
          </w:p>
        </w:tc>
        <w:tc>
          <w:tcPr>
            <w:tcW w:w="234" w:type="dxa"/>
            <w:vAlign w:val="top"/>
          </w:tcPr>
          <w:p w14:paraId="026535D4">
            <w:pPr>
              <w:rPr>
                <w:rFonts w:ascii="Arial"/>
                <w:sz w:val="21"/>
              </w:rPr>
            </w:pPr>
          </w:p>
        </w:tc>
      </w:tr>
      <w:tr w14:paraId="67148B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 w:hRule="atLeast"/>
        </w:trPr>
        <w:tc>
          <w:tcPr>
            <w:tcW w:w="893" w:type="dxa"/>
            <w:vMerge w:val="continue"/>
            <w:tcBorders>
              <w:top w:val="nil"/>
            </w:tcBorders>
            <w:vAlign w:val="top"/>
          </w:tcPr>
          <w:p w14:paraId="610AF307">
            <w:pPr>
              <w:rPr>
                <w:rFonts w:ascii="Arial"/>
                <w:sz w:val="21"/>
              </w:rPr>
            </w:pPr>
          </w:p>
        </w:tc>
        <w:tc>
          <w:tcPr>
            <w:tcW w:w="2314" w:type="dxa"/>
            <w:vAlign w:val="top"/>
          </w:tcPr>
          <w:p w14:paraId="5DCF5F46">
            <w:pPr>
              <w:pStyle w:val="6"/>
              <w:spacing w:before="55" w:line="211" w:lineRule="auto"/>
              <w:ind w:left="62"/>
            </w:pPr>
            <w:r>
              <w:t>3.操作温度和操作压力的影响</w:t>
            </w:r>
          </w:p>
        </w:tc>
        <w:tc>
          <w:tcPr>
            <w:tcW w:w="220" w:type="dxa"/>
            <w:vAlign w:val="top"/>
          </w:tcPr>
          <w:p w14:paraId="783F44E8">
            <w:pPr>
              <w:pStyle w:val="6"/>
              <w:spacing w:before="87" w:line="231" w:lineRule="auto"/>
              <w:ind w:left="38"/>
              <w:rPr>
                <w:sz w:val="13"/>
                <w:szCs w:val="13"/>
              </w:rPr>
            </w:pPr>
            <w:r>
              <w:rPr>
                <w:sz w:val="13"/>
                <w:szCs w:val="13"/>
              </w:rPr>
              <w:t>√</w:t>
            </w:r>
          </w:p>
        </w:tc>
        <w:tc>
          <w:tcPr>
            <w:tcW w:w="229" w:type="dxa"/>
            <w:vAlign w:val="top"/>
          </w:tcPr>
          <w:p w14:paraId="3254F778">
            <w:pPr>
              <w:rPr>
                <w:rFonts w:ascii="Arial"/>
                <w:sz w:val="21"/>
              </w:rPr>
            </w:pPr>
          </w:p>
        </w:tc>
        <w:tc>
          <w:tcPr>
            <w:tcW w:w="230" w:type="dxa"/>
            <w:vAlign w:val="top"/>
          </w:tcPr>
          <w:p w14:paraId="6C6034E9">
            <w:pPr>
              <w:rPr>
                <w:rFonts w:ascii="Arial"/>
                <w:sz w:val="21"/>
              </w:rPr>
            </w:pPr>
          </w:p>
        </w:tc>
        <w:tc>
          <w:tcPr>
            <w:tcW w:w="234" w:type="dxa"/>
            <w:vAlign w:val="top"/>
          </w:tcPr>
          <w:p w14:paraId="6614CF19">
            <w:pPr>
              <w:rPr>
                <w:rFonts w:ascii="Arial"/>
                <w:sz w:val="21"/>
              </w:rPr>
            </w:pPr>
          </w:p>
        </w:tc>
      </w:tr>
      <w:tr w14:paraId="12E047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restart"/>
            <w:tcBorders>
              <w:bottom w:val="nil"/>
            </w:tcBorders>
            <w:vAlign w:val="top"/>
          </w:tcPr>
          <w:p w14:paraId="4CA2930C">
            <w:pPr>
              <w:pStyle w:val="6"/>
              <w:spacing w:before="184" w:line="219" w:lineRule="auto"/>
              <w:ind w:left="95"/>
            </w:pPr>
            <w:r>
              <w:rPr>
                <w:spacing w:val="-2"/>
              </w:rPr>
              <w:t>精馏设备</w:t>
            </w:r>
          </w:p>
        </w:tc>
        <w:tc>
          <w:tcPr>
            <w:tcW w:w="2314" w:type="dxa"/>
            <w:vAlign w:val="top"/>
          </w:tcPr>
          <w:p w14:paraId="59C0F912">
            <w:pPr>
              <w:pStyle w:val="6"/>
              <w:spacing w:before="55" w:line="210" w:lineRule="auto"/>
              <w:ind w:left="62"/>
            </w:pPr>
            <w:r>
              <w:rPr>
                <w:spacing w:val="1"/>
              </w:rPr>
              <w:t>1.板式塔</w:t>
            </w:r>
          </w:p>
        </w:tc>
        <w:tc>
          <w:tcPr>
            <w:tcW w:w="220" w:type="dxa"/>
            <w:vAlign w:val="top"/>
          </w:tcPr>
          <w:p w14:paraId="78807542">
            <w:pPr>
              <w:rPr>
                <w:rFonts w:ascii="Arial"/>
                <w:sz w:val="21"/>
              </w:rPr>
            </w:pPr>
          </w:p>
        </w:tc>
        <w:tc>
          <w:tcPr>
            <w:tcW w:w="229" w:type="dxa"/>
            <w:vAlign w:val="top"/>
          </w:tcPr>
          <w:p w14:paraId="01592C31">
            <w:pPr>
              <w:pStyle w:val="6"/>
              <w:spacing w:before="100" w:line="161" w:lineRule="auto"/>
              <w:ind w:left="8"/>
            </w:pPr>
            <w:r>
              <w:t>V</w:t>
            </w:r>
          </w:p>
        </w:tc>
        <w:tc>
          <w:tcPr>
            <w:tcW w:w="230" w:type="dxa"/>
            <w:vAlign w:val="top"/>
          </w:tcPr>
          <w:p w14:paraId="3BE52EC1">
            <w:pPr>
              <w:rPr>
                <w:rFonts w:ascii="Arial"/>
                <w:sz w:val="21"/>
              </w:rPr>
            </w:pPr>
          </w:p>
        </w:tc>
        <w:tc>
          <w:tcPr>
            <w:tcW w:w="234" w:type="dxa"/>
            <w:vAlign w:val="top"/>
          </w:tcPr>
          <w:p w14:paraId="11D382A7">
            <w:pPr>
              <w:rPr>
                <w:rFonts w:ascii="Arial"/>
                <w:sz w:val="21"/>
              </w:rPr>
            </w:pPr>
          </w:p>
        </w:tc>
      </w:tr>
      <w:tr w14:paraId="653E58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4" w:hRule="atLeast"/>
        </w:trPr>
        <w:tc>
          <w:tcPr>
            <w:tcW w:w="893" w:type="dxa"/>
            <w:vMerge w:val="continue"/>
            <w:tcBorders>
              <w:top w:val="nil"/>
            </w:tcBorders>
            <w:vAlign w:val="top"/>
          </w:tcPr>
          <w:p w14:paraId="30A0E876">
            <w:pPr>
              <w:rPr>
                <w:rFonts w:ascii="Arial"/>
                <w:sz w:val="21"/>
              </w:rPr>
            </w:pPr>
          </w:p>
        </w:tc>
        <w:tc>
          <w:tcPr>
            <w:tcW w:w="2314" w:type="dxa"/>
            <w:vAlign w:val="top"/>
          </w:tcPr>
          <w:p w14:paraId="3A0E1995">
            <w:pPr>
              <w:pStyle w:val="6"/>
              <w:spacing w:before="57" w:line="213" w:lineRule="auto"/>
              <w:ind w:left="62"/>
            </w:pPr>
            <w:r>
              <w:rPr>
                <w:spacing w:val="-2"/>
              </w:rPr>
              <w:t>2.辅助设备</w:t>
            </w:r>
          </w:p>
        </w:tc>
        <w:tc>
          <w:tcPr>
            <w:tcW w:w="220" w:type="dxa"/>
            <w:vAlign w:val="top"/>
          </w:tcPr>
          <w:p w14:paraId="6D42D25A">
            <w:pPr>
              <w:pStyle w:val="6"/>
              <w:spacing w:before="88" w:line="235" w:lineRule="auto"/>
              <w:ind w:left="38"/>
              <w:rPr>
                <w:sz w:val="13"/>
                <w:szCs w:val="13"/>
              </w:rPr>
            </w:pPr>
            <w:r>
              <w:rPr>
                <w:sz w:val="13"/>
                <w:szCs w:val="13"/>
              </w:rPr>
              <w:t>√</w:t>
            </w:r>
          </w:p>
        </w:tc>
        <w:tc>
          <w:tcPr>
            <w:tcW w:w="229" w:type="dxa"/>
            <w:vAlign w:val="top"/>
          </w:tcPr>
          <w:p w14:paraId="60F16743">
            <w:pPr>
              <w:rPr>
                <w:rFonts w:ascii="Arial"/>
                <w:sz w:val="21"/>
              </w:rPr>
            </w:pPr>
          </w:p>
        </w:tc>
        <w:tc>
          <w:tcPr>
            <w:tcW w:w="230" w:type="dxa"/>
            <w:vAlign w:val="top"/>
          </w:tcPr>
          <w:p w14:paraId="7B17E4E2">
            <w:pPr>
              <w:rPr>
                <w:rFonts w:ascii="Arial"/>
                <w:sz w:val="21"/>
              </w:rPr>
            </w:pPr>
          </w:p>
        </w:tc>
        <w:tc>
          <w:tcPr>
            <w:tcW w:w="234" w:type="dxa"/>
            <w:vAlign w:val="top"/>
          </w:tcPr>
          <w:p w14:paraId="3185E72F">
            <w:pPr>
              <w:rPr>
                <w:rFonts w:ascii="Arial"/>
                <w:sz w:val="21"/>
              </w:rPr>
            </w:pPr>
          </w:p>
        </w:tc>
      </w:tr>
    </w:tbl>
    <w:p w14:paraId="3D786003">
      <w:pPr>
        <w:pStyle w:val="2"/>
      </w:pPr>
    </w:p>
    <w:p w14:paraId="35363DB6">
      <w:pPr>
        <w:sectPr>
          <w:type w:val="continuous"/>
          <w:pgSz w:w="10660" w:h="15080"/>
          <w:pgMar w:top="400" w:right="875" w:bottom="936" w:left="1034" w:header="0" w:footer="715" w:gutter="0"/>
          <w:cols w:equalWidth="0" w:num="2">
            <w:col w:w="4480" w:space="100"/>
            <w:col w:w="4170"/>
          </w:cols>
        </w:sectPr>
      </w:pPr>
    </w:p>
    <w:p w14:paraId="5339D86D">
      <w:pPr>
        <w:spacing w:before="5"/>
      </w:pPr>
    </w:p>
    <w:p w14:paraId="4E419456">
      <w:pPr>
        <w:spacing w:before="5"/>
      </w:pPr>
    </w:p>
    <w:p w14:paraId="08449D9C">
      <w:pPr>
        <w:spacing w:before="5"/>
      </w:pPr>
    </w:p>
    <w:p w14:paraId="7409A86A">
      <w:pPr>
        <w:spacing w:before="4"/>
      </w:pPr>
    </w:p>
    <w:p w14:paraId="0070C298">
      <w:pPr>
        <w:sectPr>
          <w:footerReference r:id="rId96" w:type="default"/>
          <w:pgSz w:w="10660" w:h="15080"/>
          <w:pgMar w:top="400" w:right="1033" w:bottom="936" w:left="819" w:header="0" w:footer="715" w:gutter="0"/>
          <w:cols w:equalWidth="0" w:num="1">
            <w:col w:w="8807"/>
          </w:cols>
        </w:sectPr>
      </w:pPr>
    </w:p>
    <w:p w14:paraId="6B44B63A">
      <w:pPr>
        <w:spacing w:line="221" w:lineRule="auto"/>
        <w:ind w:left="1573"/>
        <w:rPr>
          <w:rFonts w:ascii="黑体" w:hAnsi="黑体" w:eastAsia="黑体" w:cs="黑体"/>
          <w:sz w:val="22"/>
          <w:szCs w:val="22"/>
        </w:rPr>
      </w:pPr>
      <w:r>
        <w:rPr>
          <w:rFonts w:ascii="黑体" w:hAnsi="黑体" w:eastAsia="黑体" w:cs="黑体"/>
          <w:b/>
          <w:bCs/>
          <w:spacing w:val="-28"/>
          <w:sz w:val="22"/>
          <w:szCs w:val="22"/>
        </w:rPr>
        <w:t>四、气体吸收</w:t>
      </w:r>
    </w:p>
    <w:p w14:paraId="21CA065C">
      <w:pPr>
        <w:spacing w:line="85" w:lineRule="exact"/>
      </w:pPr>
    </w:p>
    <w:tbl>
      <w:tblPr>
        <w:tblStyle w:val="5"/>
        <w:tblW w:w="4119"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2324"/>
        <w:gridCol w:w="220"/>
        <w:gridCol w:w="229"/>
        <w:gridCol w:w="219"/>
        <w:gridCol w:w="234"/>
      </w:tblGrid>
      <w:tr w14:paraId="0FC405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4" w:hRule="atLeast"/>
        </w:trPr>
        <w:tc>
          <w:tcPr>
            <w:tcW w:w="893" w:type="dxa"/>
            <w:vMerge w:val="restart"/>
            <w:tcBorders>
              <w:bottom w:val="nil"/>
            </w:tcBorders>
            <w:vAlign w:val="top"/>
          </w:tcPr>
          <w:p w14:paraId="370968DA">
            <w:pPr>
              <w:pStyle w:val="6"/>
              <w:spacing w:before="132" w:line="236" w:lineRule="auto"/>
              <w:ind w:left="97" w:right="112" w:firstLine="89"/>
            </w:pPr>
            <w:r>
              <w:rPr>
                <w:b/>
                <w:bCs/>
                <w:spacing w:val="-6"/>
              </w:rPr>
              <w:t>知识与</w:t>
            </w:r>
            <w:r>
              <w:t xml:space="preserve">  </w:t>
            </w:r>
            <w:r>
              <w:rPr>
                <w:b/>
                <w:bCs/>
                <w:spacing w:val="-4"/>
              </w:rPr>
              <w:t>技能要点</w:t>
            </w:r>
          </w:p>
        </w:tc>
        <w:tc>
          <w:tcPr>
            <w:tcW w:w="2324" w:type="dxa"/>
            <w:vMerge w:val="restart"/>
            <w:tcBorders>
              <w:bottom w:val="nil"/>
            </w:tcBorders>
            <w:vAlign w:val="top"/>
          </w:tcPr>
          <w:p w14:paraId="14F48C97">
            <w:pPr>
              <w:pStyle w:val="6"/>
              <w:spacing w:before="249" w:line="219" w:lineRule="auto"/>
              <w:ind w:left="834"/>
            </w:pPr>
            <w:r>
              <w:rPr>
                <w:b/>
                <w:bCs/>
                <w:spacing w:val="5"/>
              </w:rPr>
              <w:t>考试条目</w:t>
            </w:r>
          </w:p>
        </w:tc>
        <w:tc>
          <w:tcPr>
            <w:tcW w:w="902" w:type="dxa"/>
            <w:gridSpan w:val="4"/>
            <w:vAlign w:val="top"/>
          </w:tcPr>
          <w:p w14:paraId="3C1C4E85">
            <w:pPr>
              <w:pStyle w:val="6"/>
              <w:spacing w:before="79" w:line="219" w:lineRule="auto"/>
              <w:ind w:left="140"/>
            </w:pPr>
            <w:r>
              <w:rPr>
                <w:b/>
                <w:bCs/>
                <w:spacing w:val="-4"/>
              </w:rPr>
              <w:t>考试水平</w:t>
            </w:r>
          </w:p>
        </w:tc>
      </w:tr>
      <w:tr w14:paraId="7B4DE7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9" w:hRule="atLeast"/>
        </w:trPr>
        <w:tc>
          <w:tcPr>
            <w:tcW w:w="893" w:type="dxa"/>
            <w:vMerge w:val="continue"/>
            <w:tcBorders>
              <w:top w:val="nil"/>
            </w:tcBorders>
            <w:vAlign w:val="top"/>
          </w:tcPr>
          <w:p w14:paraId="09172E9D">
            <w:pPr>
              <w:rPr>
                <w:rFonts w:ascii="Arial"/>
                <w:sz w:val="21"/>
              </w:rPr>
            </w:pPr>
          </w:p>
        </w:tc>
        <w:tc>
          <w:tcPr>
            <w:tcW w:w="2324" w:type="dxa"/>
            <w:vMerge w:val="continue"/>
            <w:tcBorders>
              <w:top w:val="nil"/>
            </w:tcBorders>
            <w:vAlign w:val="top"/>
          </w:tcPr>
          <w:p w14:paraId="72529CCE">
            <w:pPr>
              <w:rPr>
                <w:rFonts w:ascii="Arial"/>
                <w:sz w:val="21"/>
              </w:rPr>
            </w:pPr>
          </w:p>
        </w:tc>
        <w:tc>
          <w:tcPr>
            <w:tcW w:w="220" w:type="dxa"/>
            <w:vAlign w:val="top"/>
          </w:tcPr>
          <w:p w14:paraId="411864A1">
            <w:pPr>
              <w:pStyle w:val="6"/>
              <w:spacing w:before="130" w:line="184" w:lineRule="auto"/>
              <w:ind w:left="60"/>
            </w:pPr>
            <w:r>
              <w:rPr>
                <w:b/>
                <w:bCs/>
                <w:spacing w:val="-2"/>
              </w:rPr>
              <w:t>A</w:t>
            </w:r>
          </w:p>
        </w:tc>
        <w:tc>
          <w:tcPr>
            <w:tcW w:w="229" w:type="dxa"/>
            <w:vAlign w:val="top"/>
          </w:tcPr>
          <w:p w14:paraId="0B0F5310">
            <w:pPr>
              <w:pStyle w:val="6"/>
              <w:spacing w:before="132" w:line="182" w:lineRule="auto"/>
              <w:ind w:left="70"/>
            </w:pPr>
            <w:r>
              <w:rPr>
                <w:b/>
                <w:bCs/>
                <w:spacing w:val="-2"/>
              </w:rPr>
              <w:t>B</w:t>
            </w:r>
          </w:p>
        </w:tc>
        <w:tc>
          <w:tcPr>
            <w:tcW w:w="219" w:type="dxa"/>
            <w:vAlign w:val="top"/>
          </w:tcPr>
          <w:p w14:paraId="3F3B2496">
            <w:pPr>
              <w:pStyle w:val="6"/>
              <w:spacing w:before="131" w:line="183" w:lineRule="auto"/>
              <w:ind w:left="49"/>
            </w:pPr>
            <w:r>
              <w:t>C</w:t>
            </w:r>
          </w:p>
        </w:tc>
        <w:tc>
          <w:tcPr>
            <w:tcW w:w="234" w:type="dxa"/>
            <w:vAlign w:val="top"/>
          </w:tcPr>
          <w:p w14:paraId="61F78C33">
            <w:pPr>
              <w:pStyle w:val="6"/>
              <w:spacing w:before="132" w:line="182" w:lineRule="auto"/>
              <w:ind w:left="22"/>
            </w:pPr>
            <w:r>
              <w:rPr>
                <w:b/>
                <w:bCs/>
                <w:spacing w:val="-2"/>
              </w:rPr>
              <w:t>D</w:t>
            </w:r>
          </w:p>
        </w:tc>
      </w:tr>
      <w:tr w14:paraId="4502F9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restart"/>
            <w:tcBorders>
              <w:bottom w:val="nil"/>
            </w:tcBorders>
            <w:vAlign w:val="top"/>
          </w:tcPr>
          <w:p w14:paraId="141884E1">
            <w:pPr>
              <w:pStyle w:val="6"/>
              <w:spacing w:before="179" w:line="219" w:lineRule="auto"/>
              <w:ind w:left="265"/>
            </w:pPr>
            <w:r>
              <w:rPr>
                <w:spacing w:val="-2"/>
              </w:rPr>
              <w:t>概述</w:t>
            </w:r>
          </w:p>
        </w:tc>
        <w:tc>
          <w:tcPr>
            <w:tcW w:w="2324" w:type="dxa"/>
            <w:vAlign w:val="top"/>
          </w:tcPr>
          <w:p w14:paraId="3787BA75">
            <w:pPr>
              <w:pStyle w:val="6"/>
              <w:spacing w:before="49" w:line="217" w:lineRule="auto"/>
              <w:ind w:left="61"/>
            </w:pPr>
            <w:r>
              <w:t>1.气体吸收的分类</w:t>
            </w:r>
          </w:p>
        </w:tc>
        <w:tc>
          <w:tcPr>
            <w:tcW w:w="220" w:type="dxa"/>
            <w:vAlign w:val="top"/>
          </w:tcPr>
          <w:p w14:paraId="4BD485E6">
            <w:pPr>
              <w:pStyle w:val="6"/>
              <w:spacing w:before="65" w:line="199" w:lineRule="auto"/>
              <w:ind w:left="18"/>
            </w:pPr>
            <w:r>
              <w:t>√</w:t>
            </w:r>
          </w:p>
        </w:tc>
        <w:tc>
          <w:tcPr>
            <w:tcW w:w="229" w:type="dxa"/>
            <w:vAlign w:val="top"/>
          </w:tcPr>
          <w:p w14:paraId="65B39D46">
            <w:pPr>
              <w:rPr>
                <w:rFonts w:ascii="Arial"/>
                <w:sz w:val="21"/>
              </w:rPr>
            </w:pPr>
          </w:p>
        </w:tc>
        <w:tc>
          <w:tcPr>
            <w:tcW w:w="219" w:type="dxa"/>
            <w:vAlign w:val="top"/>
          </w:tcPr>
          <w:p w14:paraId="34D8AFA9">
            <w:pPr>
              <w:rPr>
                <w:rFonts w:ascii="Arial"/>
                <w:sz w:val="21"/>
              </w:rPr>
            </w:pPr>
          </w:p>
        </w:tc>
        <w:tc>
          <w:tcPr>
            <w:tcW w:w="234" w:type="dxa"/>
            <w:vAlign w:val="top"/>
          </w:tcPr>
          <w:p w14:paraId="3CE150BA">
            <w:pPr>
              <w:rPr>
                <w:rFonts w:ascii="Arial"/>
                <w:sz w:val="21"/>
              </w:rPr>
            </w:pPr>
          </w:p>
        </w:tc>
      </w:tr>
      <w:tr w14:paraId="3E9E11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0" w:hRule="atLeast"/>
        </w:trPr>
        <w:tc>
          <w:tcPr>
            <w:tcW w:w="893" w:type="dxa"/>
            <w:vMerge w:val="continue"/>
            <w:tcBorders>
              <w:top w:val="nil"/>
            </w:tcBorders>
            <w:vAlign w:val="top"/>
          </w:tcPr>
          <w:p w14:paraId="03EF6530">
            <w:pPr>
              <w:rPr>
                <w:rFonts w:ascii="Arial"/>
                <w:sz w:val="21"/>
              </w:rPr>
            </w:pPr>
          </w:p>
        </w:tc>
        <w:tc>
          <w:tcPr>
            <w:tcW w:w="2324" w:type="dxa"/>
            <w:vAlign w:val="top"/>
          </w:tcPr>
          <w:p w14:paraId="7DE630FE">
            <w:pPr>
              <w:pStyle w:val="6"/>
              <w:spacing w:before="39" w:line="218" w:lineRule="auto"/>
              <w:ind w:left="61"/>
            </w:pPr>
            <w:r>
              <w:rPr>
                <w:spacing w:val="-1"/>
              </w:rPr>
              <w:t>2.吸收剂的选择</w:t>
            </w:r>
          </w:p>
        </w:tc>
        <w:tc>
          <w:tcPr>
            <w:tcW w:w="220" w:type="dxa"/>
            <w:vAlign w:val="top"/>
          </w:tcPr>
          <w:p w14:paraId="0FB69D20">
            <w:pPr>
              <w:spacing w:line="240" w:lineRule="exact"/>
              <w:rPr>
                <w:rFonts w:ascii="Arial"/>
                <w:sz w:val="20"/>
              </w:rPr>
            </w:pPr>
          </w:p>
        </w:tc>
        <w:tc>
          <w:tcPr>
            <w:tcW w:w="229" w:type="dxa"/>
            <w:vAlign w:val="top"/>
          </w:tcPr>
          <w:p w14:paraId="4AEA8984">
            <w:pPr>
              <w:pStyle w:val="6"/>
              <w:spacing w:before="56" w:line="199" w:lineRule="auto"/>
              <w:ind w:left="27"/>
            </w:pPr>
            <w:r>
              <w:t>√</w:t>
            </w:r>
          </w:p>
        </w:tc>
        <w:tc>
          <w:tcPr>
            <w:tcW w:w="219" w:type="dxa"/>
            <w:vAlign w:val="top"/>
          </w:tcPr>
          <w:p w14:paraId="7B1FDE58">
            <w:pPr>
              <w:spacing w:line="240" w:lineRule="exact"/>
              <w:rPr>
                <w:rFonts w:ascii="Arial"/>
                <w:sz w:val="20"/>
              </w:rPr>
            </w:pPr>
          </w:p>
        </w:tc>
        <w:tc>
          <w:tcPr>
            <w:tcW w:w="234" w:type="dxa"/>
            <w:vAlign w:val="top"/>
          </w:tcPr>
          <w:p w14:paraId="4F83E514">
            <w:pPr>
              <w:spacing w:line="240" w:lineRule="exact"/>
              <w:rPr>
                <w:rFonts w:ascii="Arial"/>
                <w:sz w:val="20"/>
              </w:rPr>
            </w:pPr>
          </w:p>
        </w:tc>
      </w:tr>
      <w:tr w14:paraId="1ED34D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 w:hRule="atLeast"/>
        </w:trPr>
        <w:tc>
          <w:tcPr>
            <w:tcW w:w="893" w:type="dxa"/>
            <w:vMerge w:val="restart"/>
            <w:tcBorders>
              <w:bottom w:val="nil"/>
            </w:tcBorders>
            <w:vAlign w:val="top"/>
          </w:tcPr>
          <w:p w14:paraId="189A3FE0">
            <w:pPr>
              <w:pStyle w:val="6"/>
              <w:spacing w:before="90" w:line="220" w:lineRule="auto"/>
              <w:ind w:left="94"/>
            </w:pPr>
            <w:r>
              <w:rPr>
                <w:spacing w:val="3"/>
              </w:rPr>
              <w:t>从溶解相</w:t>
            </w:r>
          </w:p>
          <w:p w14:paraId="2AA2681C">
            <w:pPr>
              <w:pStyle w:val="6"/>
              <w:spacing w:before="37" w:line="219" w:lineRule="auto"/>
              <w:ind w:left="184"/>
            </w:pPr>
            <w:r>
              <w:rPr>
                <w:spacing w:val="-2"/>
              </w:rPr>
              <w:t>平衡看</w:t>
            </w:r>
          </w:p>
          <w:p w14:paraId="2041DCFB">
            <w:pPr>
              <w:pStyle w:val="6"/>
              <w:spacing w:before="18" w:line="219" w:lineRule="auto"/>
              <w:ind w:left="94"/>
            </w:pPr>
            <w:r>
              <w:rPr>
                <w:spacing w:val="2"/>
              </w:rPr>
              <w:t>吸收操作</w:t>
            </w:r>
          </w:p>
        </w:tc>
        <w:tc>
          <w:tcPr>
            <w:tcW w:w="2324" w:type="dxa"/>
            <w:vAlign w:val="top"/>
          </w:tcPr>
          <w:p w14:paraId="2151617E">
            <w:pPr>
              <w:pStyle w:val="6"/>
              <w:spacing w:before="50" w:line="217" w:lineRule="auto"/>
              <w:ind w:left="61"/>
            </w:pPr>
            <w:r>
              <w:rPr>
                <w:spacing w:val="1"/>
              </w:rPr>
              <w:t>1.气液相平衡关系</w:t>
            </w:r>
          </w:p>
        </w:tc>
        <w:tc>
          <w:tcPr>
            <w:tcW w:w="220" w:type="dxa"/>
            <w:vAlign w:val="top"/>
          </w:tcPr>
          <w:p w14:paraId="2A3323D5">
            <w:pPr>
              <w:pStyle w:val="6"/>
              <w:spacing w:before="95" w:line="168" w:lineRule="auto"/>
              <w:ind w:left="57"/>
            </w:pPr>
            <w:r>
              <w:t>V</w:t>
            </w:r>
          </w:p>
        </w:tc>
        <w:tc>
          <w:tcPr>
            <w:tcW w:w="229" w:type="dxa"/>
            <w:vAlign w:val="top"/>
          </w:tcPr>
          <w:p w14:paraId="39A3898C">
            <w:pPr>
              <w:rPr>
                <w:rFonts w:ascii="Arial"/>
                <w:sz w:val="21"/>
              </w:rPr>
            </w:pPr>
          </w:p>
        </w:tc>
        <w:tc>
          <w:tcPr>
            <w:tcW w:w="219" w:type="dxa"/>
            <w:vAlign w:val="top"/>
          </w:tcPr>
          <w:p w14:paraId="706A41B2">
            <w:pPr>
              <w:rPr>
                <w:rFonts w:ascii="Arial"/>
                <w:sz w:val="21"/>
              </w:rPr>
            </w:pPr>
          </w:p>
        </w:tc>
        <w:tc>
          <w:tcPr>
            <w:tcW w:w="234" w:type="dxa"/>
            <w:vAlign w:val="top"/>
          </w:tcPr>
          <w:p w14:paraId="53537C83">
            <w:pPr>
              <w:rPr>
                <w:rFonts w:ascii="Arial"/>
                <w:sz w:val="21"/>
              </w:rPr>
            </w:pPr>
          </w:p>
        </w:tc>
      </w:tr>
      <w:tr w14:paraId="2CD3D6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9" w:hRule="atLeast"/>
        </w:trPr>
        <w:tc>
          <w:tcPr>
            <w:tcW w:w="893" w:type="dxa"/>
            <w:vMerge w:val="continue"/>
            <w:tcBorders>
              <w:top w:val="nil"/>
            </w:tcBorders>
            <w:vAlign w:val="top"/>
          </w:tcPr>
          <w:p w14:paraId="2D065834">
            <w:pPr>
              <w:rPr>
                <w:rFonts w:ascii="Arial"/>
                <w:sz w:val="21"/>
              </w:rPr>
            </w:pPr>
          </w:p>
        </w:tc>
        <w:tc>
          <w:tcPr>
            <w:tcW w:w="2324" w:type="dxa"/>
            <w:vAlign w:val="top"/>
          </w:tcPr>
          <w:p w14:paraId="03E4C011">
            <w:pPr>
              <w:pStyle w:val="6"/>
              <w:spacing w:before="80" w:line="238" w:lineRule="auto"/>
              <w:ind w:left="61" w:right="40" w:firstLine="10"/>
            </w:pPr>
            <w:r>
              <w:rPr>
                <w:spacing w:val="-1"/>
              </w:rPr>
              <w:t>2.气液相平衡关系对吸收操作</w:t>
            </w:r>
            <w:r>
              <w:rPr>
                <w:spacing w:val="4"/>
              </w:rPr>
              <w:t xml:space="preserve"> </w:t>
            </w:r>
            <w:r>
              <w:rPr>
                <w:spacing w:val="2"/>
              </w:rPr>
              <w:t>的意义</w:t>
            </w:r>
          </w:p>
        </w:tc>
        <w:tc>
          <w:tcPr>
            <w:tcW w:w="220" w:type="dxa"/>
            <w:vAlign w:val="top"/>
          </w:tcPr>
          <w:p w14:paraId="0DC453EC">
            <w:pPr>
              <w:rPr>
                <w:rFonts w:ascii="Arial"/>
                <w:sz w:val="21"/>
              </w:rPr>
            </w:pPr>
          </w:p>
        </w:tc>
        <w:tc>
          <w:tcPr>
            <w:tcW w:w="229" w:type="dxa"/>
            <w:vAlign w:val="top"/>
          </w:tcPr>
          <w:p w14:paraId="35E52B8A">
            <w:pPr>
              <w:pStyle w:val="6"/>
              <w:spacing w:before="197" w:line="238" w:lineRule="auto"/>
              <w:ind w:left="27"/>
            </w:pPr>
            <w:r>
              <w:t>√</w:t>
            </w:r>
          </w:p>
        </w:tc>
        <w:tc>
          <w:tcPr>
            <w:tcW w:w="219" w:type="dxa"/>
            <w:vAlign w:val="top"/>
          </w:tcPr>
          <w:p w14:paraId="3F1F85DB">
            <w:pPr>
              <w:rPr>
                <w:rFonts w:ascii="Arial"/>
                <w:sz w:val="21"/>
              </w:rPr>
            </w:pPr>
          </w:p>
        </w:tc>
        <w:tc>
          <w:tcPr>
            <w:tcW w:w="234" w:type="dxa"/>
            <w:vAlign w:val="top"/>
          </w:tcPr>
          <w:p w14:paraId="3DEBDDFE">
            <w:pPr>
              <w:rPr>
                <w:rFonts w:ascii="Arial"/>
                <w:sz w:val="21"/>
              </w:rPr>
            </w:pPr>
          </w:p>
        </w:tc>
      </w:tr>
      <w:tr w14:paraId="49F0D0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restart"/>
            <w:tcBorders>
              <w:bottom w:val="nil"/>
            </w:tcBorders>
            <w:vAlign w:val="top"/>
          </w:tcPr>
          <w:p w14:paraId="72F12805">
            <w:pPr>
              <w:spacing w:line="393" w:lineRule="auto"/>
              <w:rPr>
                <w:rFonts w:ascii="Arial"/>
                <w:sz w:val="21"/>
              </w:rPr>
            </w:pPr>
          </w:p>
          <w:p w14:paraId="62697B00">
            <w:pPr>
              <w:pStyle w:val="6"/>
              <w:spacing w:before="55" w:line="219" w:lineRule="auto"/>
              <w:ind w:left="94"/>
            </w:pPr>
            <w:r>
              <w:rPr>
                <w:spacing w:val="1"/>
              </w:rPr>
              <w:t>吸收速率</w:t>
            </w:r>
          </w:p>
        </w:tc>
        <w:tc>
          <w:tcPr>
            <w:tcW w:w="2324" w:type="dxa"/>
            <w:vAlign w:val="top"/>
          </w:tcPr>
          <w:p w14:paraId="06769662">
            <w:pPr>
              <w:pStyle w:val="6"/>
              <w:spacing w:before="50" w:line="216" w:lineRule="auto"/>
              <w:ind w:left="61"/>
            </w:pPr>
            <w:r>
              <w:t>1.传质基本方式</w:t>
            </w:r>
          </w:p>
        </w:tc>
        <w:tc>
          <w:tcPr>
            <w:tcW w:w="220" w:type="dxa"/>
            <w:vAlign w:val="top"/>
          </w:tcPr>
          <w:p w14:paraId="237FAF8D">
            <w:pPr>
              <w:pStyle w:val="6"/>
              <w:spacing w:before="58" w:line="207" w:lineRule="auto"/>
              <w:ind w:left="18"/>
            </w:pPr>
            <w:r>
              <w:t>√</w:t>
            </w:r>
          </w:p>
        </w:tc>
        <w:tc>
          <w:tcPr>
            <w:tcW w:w="229" w:type="dxa"/>
            <w:vAlign w:val="top"/>
          </w:tcPr>
          <w:p w14:paraId="250AB23B">
            <w:pPr>
              <w:rPr>
                <w:rFonts w:ascii="Arial"/>
                <w:sz w:val="21"/>
              </w:rPr>
            </w:pPr>
          </w:p>
        </w:tc>
        <w:tc>
          <w:tcPr>
            <w:tcW w:w="219" w:type="dxa"/>
            <w:vAlign w:val="top"/>
          </w:tcPr>
          <w:p w14:paraId="2B76CD0C">
            <w:pPr>
              <w:rPr>
                <w:rFonts w:ascii="Arial"/>
                <w:sz w:val="21"/>
              </w:rPr>
            </w:pPr>
          </w:p>
        </w:tc>
        <w:tc>
          <w:tcPr>
            <w:tcW w:w="234" w:type="dxa"/>
            <w:vAlign w:val="top"/>
          </w:tcPr>
          <w:p w14:paraId="7B2F2836">
            <w:pPr>
              <w:rPr>
                <w:rFonts w:ascii="Arial"/>
                <w:sz w:val="21"/>
              </w:rPr>
            </w:pPr>
          </w:p>
        </w:tc>
      </w:tr>
      <w:tr w14:paraId="687B61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 w:hRule="atLeast"/>
        </w:trPr>
        <w:tc>
          <w:tcPr>
            <w:tcW w:w="893" w:type="dxa"/>
            <w:vMerge w:val="continue"/>
            <w:tcBorders>
              <w:top w:val="nil"/>
              <w:bottom w:val="nil"/>
            </w:tcBorders>
            <w:vAlign w:val="top"/>
          </w:tcPr>
          <w:p w14:paraId="4CAB8A2C">
            <w:pPr>
              <w:rPr>
                <w:rFonts w:ascii="Arial"/>
                <w:sz w:val="21"/>
              </w:rPr>
            </w:pPr>
          </w:p>
        </w:tc>
        <w:tc>
          <w:tcPr>
            <w:tcW w:w="2324" w:type="dxa"/>
            <w:vAlign w:val="top"/>
          </w:tcPr>
          <w:p w14:paraId="033A5431">
            <w:pPr>
              <w:pStyle w:val="6"/>
              <w:spacing w:before="52" w:line="214" w:lineRule="auto"/>
              <w:ind w:left="61"/>
            </w:pPr>
            <w:r>
              <w:rPr>
                <w:spacing w:val="-2"/>
              </w:rPr>
              <w:t>2.双膜理论</w:t>
            </w:r>
          </w:p>
        </w:tc>
        <w:tc>
          <w:tcPr>
            <w:tcW w:w="220" w:type="dxa"/>
            <w:vAlign w:val="top"/>
          </w:tcPr>
          <w:p w14:paraId="166D7114">
            <w:pPr>
              <w:rPr>
                <w:rFonts w:ascii="Arial"/>
                <w:sz w:val="21"/>
              </w:rPr>
            </w:pPr>
          </w:p>
        </w:tc>
        <w:tc>
          <w:tcPr>
            <w:tcW w:w="229" w:type="dxa"/>
            <w:vAlign w:val="top"/>
          </w:tcPr>
          <w:p w14:paraId="57DE43F3">
            <w:pPr>
              <w:rPr>
                <w:rFonts w:ascii="Arial"/>
                <w:sz w:val="21"/>
              </w:rPr>
            </w:pPr>
          </w:p>
        </w:tc>
        <w:tc>
          <w:tcPr>
            <w:tcW w:w="219" w:type="dxa"/>
            <w:vAlign w:val="top"/>
          </w:tcPr>
          <w:p w14:paraId="28CAF802">
            <w:pPr>
              <w:rPr>
                <w:rFonts w:ascii="Arial"/>
                <w:sz w:val="21"/>
              </w:rPr>
            </w:pPr>
          </w:p>
        </w:tc>
        <w:tc>
          <w:tcPr>
            <w:tcW w:w="234" w:type="dxa"/>
            <w:vAlign w:val="top"/>
          </w:tcPr>
          <w:p w14:paraId="590456E9">
            <w:pPr>
              <w:rPr>
                <w:rFonts w:ascii="Arial"/>
                <w:sz w:val="21"/>
              </w:rPr>
            </w:pPr>
          </w:p>
        </w:tc>
      </w:tr>
      <w:tr w14:paraId="7FFD42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continue"/>
            <w:tcBorders>
              <w:top w:val="nil"/>
              <w:bottom w:val="nil"/>
            </w:tcBorders>
            <w:vAlign w:val="top"/>
          </w:tcPr>
          <w:p w14:paraId="13B2DF0B">
            <w:pPr>
              <w:rPr>
                <w:rFonts w:ascii="Arial"/>
                <w:sz w:val="21"/>
              </w:rPr>
            </w:pPr>
          </w:p>
        </w:tc>
        <w:tc>
          <w:tcPr>
            <w:tcW w:w="2324" w:type="dxa"/>
            <w:vAlign w:val="top"/>
          </w:tcPr>
          <w:p w14:paraId="717BF5B8">
            <w:pPr>
              <w:pStyle w:val="6"/>
              <w:spacing w:before="51" w:line="214" w:lineRule="auto"/>
              <w:ind w:left="61"/>
            </w:pPr>
            <w:r>
              <w:rPr>
                <w:spacing w:val="-2"/>
              </w:rPr>
              <w:t>3.吸收速率</w:t>
            </w:r>
          </w:p>
        </w:tc>
        <w:tc>
          <w:tcPr>
            <w:tcW w:w="220" w:type="dxa"/>
            <w:vAlign w:val="top"/>
          </w:tcPr>
          <w:p w14:paraId="679D4BA7">
            <w:pPr>
              <w:rPr>
                <w:rFonts w:ascii="Arial"/>
                <w:sz w:val="21"/>
              </w:rPr>
            </w:pPr>
          </w:p>
        </w:tc>
        <w:tc>
          <w:tcPr>
            <w:tcW w:w="229" w:type="dxa"/>
            <w:vAlign w:val="top"/>
          </w:tcPr>
          <w:p w14:paraId="3C19535F">
            <w:pPr>
              <w:pStyle w:val="6"/>
              <w:spacing w:before="68" w:line="196" w:lineRule="auto"/>
              <w:ind w:left="27"/>
            </w:pPr>
            <w:r>
              <w:t>√</w:t>
            </w:r>
          </w:p>
        </w:tc>
        <w:tc>
          <w:tcPr>
            <w:tcW w:w="219" w:type="dxa"/>
            <w:vAlign w:val="top"/>
          </w:tcPr>
          <w:p w14:paraId="5B74BEDC">
            <w:pPr>
              <w:rPr>
                <w:rFonts w:ascii="Arial"/>
                <w:sz w:val="21"/>
              </w:rPr>
            </w:pPr>
          </w:p>
        </w:tc>
        <w:tc>
          <w:tcPr>
            <w:tcW w:w="234" w:type="dxa"/>
            <w:vAlign w:val="top"/>
          </w:tcPr>
          <w:p w14:paraId="7E64F089">
            <w:pPr>
              <w:rPr>
                <w:rFonts w:ascii="Arial"/>
                <w:sz w:val="21"/>
              </w:rPr>
            </w:pPr>
          </w:p>
        </w:tc>
      </w:tr>
      <w:tr w14:paraId="5E532E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continue"/>
            <w:tcBorders>
              <w:top w:val="nil"/>
            </w:tcBorders>
            <w:vAlign w:val="top"/>
          </w:tcPr>
          <w:p w14:paraId="6C132250">
            <w:pPr>
              <w:rPr>
                <w:rFonts w:ascii="Arial"/>
                <w:sz w:val="21"/>
              </w:rPr>
            </w:pPr>
          </w:p>
        </w:tc>
        <w:tc>
          <w:tcPr>
            <w:tcW w:w="2324" w:type="dxa"/>
            <w:vAlign w:val="top"/>
          </w:tcPr>
          <w:p w14:paraId="014BD4F4">
            <w:pPr>
              <w:pStyle w:val="6"/>
              <w:spacing w:before="52" w:line="213" w:lineRule="auto"/>
              <w:ind w:left="61"/>
            </w:pPr>
            <w:r>
              <w:rPr>
                <w:spacing w:val="-1"/>
              </w:rPr>
              <w:t>4.影响吸收速率的因素</w:t>
            </w:r>
          </w:p>
        </w:tc>
        <w:tc>
          <w:tcPr>
            <w:tcW w:w="220" w:type="dxa"/>
            <w:vAlign w:val="top"/>
          </w:tcPr>
          <w:p w14:paraId="4D552AE6">
            <w:pPr>
              <w:rPr>
                <w:rFonts w:ascii="Arial"/>
                <w:sz w:val="21"/>
              </w:rPr>
            </w:pPr>
          </w:p>
        </w:tc>
        <w:tc>
          <w:tcPr>
            <w:tcW w:w="229" w:type="dxa"/>
            <w:vAlign w:val="top"/>
          </w:tcPr>
          <w:p w14:paraId="19C1AFAE">
            <w:pPr>
              <w:pStyle w:val="6"/>
              <w:spacing w:before="70" w:line="194" w:lineRule="auto"/>
              <w:ind w:left="27"/>
            </w:pPr>
            <w:r>
              <w:t>√</w:t>
            </w:r>
          </w:p>
        </w:tc>
        <w:tc>
          <w:tcPr>
            <w:tcW w:w="219" w:type="dxa"/>
            <w:vAlign w:val="top"/>
          </w:tcPr>
          <w:p w14:paraId="1911F408">
            <w:pPr>
              <w:rPr>
                <w:rFonts w:ascii="Arial"/>
                <w:sz w:val="21"/>
              </w:rPr>
            </w:pPr>
          </w:p>
        </w:tc>
        <w:tc>
          <w:tcPr>
            <w:tcW w:w="234" w:type="dxa"/>
            <w:vAlign w:val="top"/>
          </w:tcPr>
          <w:p w14:paraId="7DD4CDF7">
            <w:pPr>
              <w:rPr>
                <w:rFonts w:ascii="Arial"/>
                <w:sz w:val="21"/>
              </w:rPr>
            </w:pPr>
          </w:p>
        </w:tc>
      </w:tr>
      <w:tr w14:paraId="1251F7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trPr>
        <w:tc>
          <w:tcPr>
            <w:tcW w:w="893" w:type="dxa"/>
            <w:vMerge w:val="restart"/>
            <w:tcBorders>
              <w:bottom w:val="nil"/>
            </w:tcBorders>
            <w:vAlign w:val="top"/>
          </w:tcPr>
          <w:p w14:paraId="0ED1694B">
            <w:pPr>
              <w:pStyle w:val="6"/>
              <w:spacing w:before="224" w:line="218" w:lineRule="auto"/>
              <w:ind w:left="94" w:right="114" w:firstLine="89"/>
            </w:pPr>
            <w:r>
              <w:rPr>
                <w:spacing w:val="4"/>
              </w:rPr>
              <w:t>吸收的</w:t>
            </w:r>
            <w:r>
              <w:t xml:space="preserve"> </w:t>
            </w:r>
            <w:r>
              <w:rPr>
                <w:spacing w:val="-2"/>
              </w:rPr>
              <w:t>物料衡算</w:t>
            </w:r>
          </w:p>
        </w:tc>
        <w:tc>
          <w:tcPr>
            <w:tcW w:w="2324" w:type="dxa"/>
            <w:vAlign w:val="top"/>
          </w:tcPr>
          <w:p w14:paraId="1CADA94F">
            <w:pPr>
              <w:pStyle w:val="6"/>
              <w:spacing w:before="54" w:line="219" w:lineRule="auto"/>
              <w:ind w:left="61"/>
            </w:pPr>
            <w:r>
              <w:rPr>
                <w:spacing w:val="1"/>
              </w:rPr>
              <w:t>1.全塔物料衡算</w:t>
            </w:r>
          </w:p>
        </w:tc>
        <w:tc>
          <w:tcPr>
            <w:tcW w:w="220" w:type="dxa"/>
            <w:vAlign w:val="top"/>
          </w:tcPr>
          <w:p w14:paraId="7ABC5826">
            <w:pPr>
              <w:rPr>
                <w:rFonts w:ascii="Arial"/>
                <w:sz w:val="21"/>
              </w:rPr>
            </w:pPr>
          </w:p>
        </w:tc>
        <w:tc>
          <w:tcPr>
            <w:tcW w:w="229" w:type="dxa"/>
            <w:vAlign w:val="top"/>
          </w:tcPr>
          <w:p w14:paraId="19A656BA">
            <w:pPr>
              <w:spacing w:before="80" w:line="131" w:lineRule="exact"/>
              <w:ind w:firstLine="42"/>
            </w:pPr>
            <w:r>
              <w:rPr>
                <w:position w:val="-2"/>
              </w:rPr>
              <w:drawing>
                <wp:inline distT="0" distB="0" distL="0" distR="0">
                  <wp:extent cx="93980" cy="82550"/>
                  <wp:effectExtent l="0" t="0" r="0" b="0"/>
                  <wp:docPr id="500" name="IM 500"/>
                  <wp:cNvGraphicFramePr/>
                  <a:graphic xmlns:a="http://schemas.openxmlformats.org/drawingml/2006/main">
                    <a:graphicData uri="http://schemas.openxmlformats.org/drawingml/2006/picture">
                      <pic:pic xmlns:pic="http://schemas.openxmlformats.org/drawingml/2006/picture">
                        <pic:nvPicPr>
                          <pic:cNvPr id="500" name="IM 500"/>
                          <pic:cNvPicPr/>
                        </pic:nvPicPr>
                        <pic:blipFill>
                          <a:blip r:embed="rId414"/>
                          <a:stretch>
                            <a:fillRect/>
                          </a:stretch>
                        </pic:blipFill>
                        <pic:spPr>
                          <a:xfrm>
                            <a:off x="0" y="0"/>
                            <a:ext cx="94341" cy="82984"/>
                          </a:xfrm>
                          <a:prstGeom prst="rect">
                            <a:avLst/>
                          </a:prstGeom>
                        </pic:spPr>
                      </pic:pic>
                    </a:graphicData>
                  </a:graphic>
                </wp:inline>
              </w:drawing>
            </w:r>
          </w:p>
        </w:tc>
        <w:tc>
          <w:tcPr>
            <w:tcW w:w="219" w:type="dxa"/>
            <w:vAlign w:val="top"/>
          </w:tcPr>
          <w:p w14:paraId="03DBCDB0">
            <w:pPr>
              <w:rPr>
                <w:rFonts w:ascii="Arial"/>
                <w:sz w:val="21"/>
              </w:rPr>
            </w:pPr>
          </w:p>
        </w:tc>
        <w:tc>
          <w:tcPr>
            <w:tcW w:w="234" w:type="dxa"/>
            <w:vAlign w:val="top"/>
          </w:tcPr>
          <w:p w14:paraId="15B88A0B">
            <w:pPr>
              <w:rPr>
                <w:rFonts w:ascii="Arial"/>
                <w:sz w:val="21"/>
              </w:rPr>
            </w:pPr>
          </w:p>
        </w:tc>
      </w:tr>
      <w:tr w14:paraId="3731D6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 w:hRule="atLeast"/>
        </w:trPr>
        <w:tc>
          <w:tcPr>
            <w:tcW w:w="893" w:type="dxa"/>
            <w:vMerge w:val="continue"/>
            <w:tcBorders>
              <w:top w:val="nil"/>
              <w:bottom w:val="nil"/>
            </w:tcBorders>
            <w:vAlign w:val="top"/>
          </w:tcPr>
          <w:p w14:paraId="55C41D94">
            <w:pPr>
              <w:rPr>
                <w:rFonts w:ascii="Arial"/>
                <w:sz w:val="21"/>
              </w:rPr>
            </w:pPr>
          </w:p>
        </w:tc>
        <w:tc>
          <w:tcPr>
            <w:tcW w:w="2324" w:type="dxa"/>
            <w:vAlign w:val="top"/>
          </w:tcPr>
          <w:p w14:paraId="75E6C820">
            <w:pPr>
              <w:pStyle w:val="6"/>
              <w:spacing w:before="53" w:line="213" w:lineRule="auto"/>
              <w:ind w:left="61"/>
            </w:pPr>
            <w:r>
              <w:rPr>
                <w:spacing w:val="1"/>
              </w:rPr>
              <w:t>2.吸收操作线</w:t>
            </w:r>
          </w:p>
        </w:tc>
        <w:tc>
          <w:tcPr>
            <w:tcW w:w="220" w:type="dxa"/>
            <w:vAlign w:val="top"/>
          </w:tcPr>
          <w:p w14:paraId="4559BCDC">
            <w:pPr>
              <w:rPr>
                <w:rFonts w:ascii="Arial"/>
                <w:sz w:val="21"/>
              </w:rPr>
            </w:pPr>
          </w:p>
        </w:tc>
        <w:tc>
          <w:tcPr>
            <w:tcW w:w="229" w:type="dxa"/>
            <w:vAlign w:val="top"/>
          </w:tcPr>
          <w:p w14:paraId="2683CA99">
            <w:pPr>
              <w:rPr>
                <w:rFonts w:ascii="Arial"/>
                <w:sz w:val="21"/>
              </w:rPr>
            </w:pPr>
          </w:p>
        </w:tc>
        <w:tc>
          <w:tcPr>
            <w:tcW w:w="219" w:type="dxa"/>
            <w:vAlign w:val="top"/>
          </w:tcPr>
          <w:p w14:paraId="2F7F591F">
            <w:pPr>
              <w:rPr>
                <w:rFonts w:ascii="Arial"/>
                <w:sz w:val="21"/>
              </w:rPr>
            </w:pPr>
          </w:p>
        </w:tc>
        <w:tc>
          <w:tcPr>
            <w:tcW w:w="234" w:type="dxa"/>
            <w:vAlign w:val="top"/>
          </w:tcPr>
          <w:p w14:paraId="69350F41">
            <w:pPr>
              <w:rPr>
                <w:rFonts w:ascii="Arial"/>
                <w:sz w:val="21"/>
              </w:rPr>
            </w:pPr>
          </w:p>
        </w:tc>
      </w:tr>
      <w:tr w14:paraId="4D88C2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0" w:hRule="atLeast"/>
        </w:trPr>
        <w:tc>
          <w:tcPr>
            <w:tcW w:w="893" w:type="dxa"/>
            <w:vMerge w:val="continue"/>
            <w:tcBorders>
              <w:top w:val="nil"/>
            </w:tcBorders>
            <w:vAlign w:val="top"/>
          </w:tcPr>
          <w:p w14:paraId="785915BC">
            <w:pPr>
              <w:rPr>
                <w:rFonts w:ascii="Arial"/>
                <w:sz w:val="21"/>
              </w:rPr>
            </w:pPr>
          </w:p>
        </w:tc>
        <w:tc>
          <w:tcPr>
            <w:tcW w:w="2324" w:type="dxa"/>
            <w:vAlign w:val="top"/>
          </w:tcPr>
          <w:p w14:paraId="0C7F70B5">
            <w:pPr>
              <w:pStyle w:val="6"/>
              <w:spacing w:before="42" w:line="214" w:lineRule="auto"/>
              <w:ind w:left="61"/>
            </w:pPr>
            <w:r>
              <w:rPr>
                <w:spacing w:val="-2"/>
              </w:rPr>
              <w:t>3.吸收剂用量</w:t>
            </w:r>
          </w:p>
        </w:tc>
        <w:tc>
          <w:tcPr>
            <w:tcW w:w="220" w:type="dxa"/>
            <w:vAlign w:val="top"/>
          </w:tcPr>
          <w:p w14:paraId="0E2A5D02">
            <w:pPr>
              <w:spacing w:line="240" w:lineRule="exact"/>
              <w:rPr>
                <w:rFonts w:ascii="Arial"/>
                <w:sz w:val="20"/>
              </w:rPr>
            </w:pPr>
          </w:p>
        </w:tc>
        <w:tc>
          <w:tcPr>
            <w:tcW w:w="229" w:type="dxa"/>
            <w:vAlign w:val="top"/>
          </w:tcPr>
          <w:p w14:paraId="0E2FA49D">
            <w:pPr>
              <w:spacing w:line="240" w:lineRule="exact"/>
              <w:rPr>
                <w:rFonts w:ascii="Arial"/>
                <w:sz w:val="20"/>
              </w:rPr>
            </w:pPr>
          </w:p>
        </w:tc>
        <w:tc>
          <w:tcPr>
            <w:tcW w:w="219" w:type="dxa"/>
            <w:vAlign w:val="top"/>
          </w:tcPr>
          <w:p w14:paraId="65920007">
            <w:pPr>
              <w:spacing w:line="240" w:lineRule="exact"/>
              <w:rPr>
                <w:rFonts w:ascii="Arial"/>
                <w:sz w:val="20"/>
              </w:rPr>
            </w:pPr>
          </w:p>
        </w:tc>
        <w:tc>
          <w:tcPr>
            <w:tcW w:w="234" w:type="dxa"/>
            <w:vAlign w:val="top"/>
          </w:tcPr>
          <w:p w14:paraId="3061AD88">
            <w:pPr>
              <w:spacing w:line="240" w:lineRule="exact"/>
              <w:rPr>
                <w:rFonts w:ascii="Arial"/>
                <w:sz w:val="20"/>
              </w:rPr>
            </w:pPr>
          </w:p>
        </w:tc>
      </w:tr>
      <w:tr w14:paraId="689990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restart"/>
            <w:tcBorders>
              <w:bottom w:val="nil"/>
            </w:tcBorders>
            <w:vAlign w:val="top"/>
          </w:tcPr>
          <w:p w14:paraId="37534C07">
            <w:pPr>
              <w:pStyle w:val="6"/>
              <w:spacing w:before="64" w:line="247" w:lineRule="auto"/>
              <w:ind w:left="184" w:right="26" w:hanging="170"/>
            </w:pPr>
            <w:r>
              <w:rPr>
                <w:spacing w:val="-2"/>
              </w:rPr>
              <w:t>填料层高度</w:t>
            </w:r>
            <w:r>
              <w:rPr>
                <w:spacing w:val="1"/>
              </w:rPr>
              <w:t xml:space="preserve"> </w:t>
            </w:r>
            <w:r>
              <w:rPr>
                <w:spacing w:val="3"/>
              </w:rPr>
              <w:t>的确定</w:t>
            </w:r>
          </w:p>
        </w:tc>
        <w:tc>
          <w:tcPr>
            <w:tcW w:w="2324" w:type="dxa"/>
            <w:vAlign w:val="top"/>
          </w:tcPr>
          <w:p w14:paraId="25244DE5">
            <w:pPr>
              <w:pStyle w:val="6"/>
              <w:spacing w:before="53" w:line="212" w:lineRule="auto"/>
              <w:ind w:left="61"/>
            </w:pPr>
            <w:r>
              <w:t>1.填料层高度的确定方法</w:t>
            </w:r>
          </w:p>
        </w:tc>
        <w:tc>
          <w:tcPr>
            <w:tcW w:w="220" w:type="dxa"/>
            <w:vAlign w:val="top"/>
          </w:tcPr>
          <w:p w14:paraId="21580185">
            <w:pPr>
              <w:pStyle w:val="6"/>
              <w:spacing w:before="98" w:line="163" w:lineRule="auto"/>
              <w:ind w:left="18"/>
            </w:pPr>
            <w:r>
              <w:t>V</w:t>
            </w:r>
          </w:p>
        </w:tc>
        <w:tc>
          <w:tcPr>
            <w:tcW w:w="229" w:type="dxa"/>
            <w:vAlign w:val="top"/>
          </w:tcPr>
          <w:p w14:paraId="3A1BEA75">
            <w:pPr>
              <w:rPr>
                <w:rFonts w:ascii="Arial"/>
                <w:sz w:val="21"/>
              </w:rPr>
            </w:pPr>
          </w:p>
        </w:tc>
        <w:tc>
          <w:tcPr>
            <w:tcW w:w="219" w:type="dxa"/>
            <w:vAlign w:val="top"/>
          </w:tcPr>
          <w:p w14:paraId="3BE29771">
            <w:pPr>
              <w:rPr>
                <w:rFonts w:ascii="Arial"/>
                <w:sz w:val="21"/>
              </w:rPr>
            </w:pPr>
          </w:p>
        </w:tc>
        <w:tc>
          <w:tcPr>
            <w:tcW w:w="234" w:type="dxa"/>
            <w:vAlign w:val="top"/>
          </w:tcPr>
          <w:p w14:paraId="29355C1E">
            <w:pPr>
              <w:rPr>
                <w:rFonts w:ascii="Arial"/>
                <w:sz w:val="21"/>
              </w:rPr>
            </w:pPr>
          </w:p>
        </w:tc>
      </w:tr>
      <w:tr w14:paraId="1BB17B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 w:hRule="atLeast"/>
        </w:trPr>
        <w:tc>
          <w:tcPr>
            <w:tcW w:w="893" w:type="dxa"/>
            <w:vMerge w:val="continue"/>
            <w:tcBorders>
              <w:top w:val="nil"/>
            </w:tcBorders>
            <w:vAlign w:val="top"/>
          </w:tcPr>
          <w:p w14:paraId="7DCA22D5">
            <w:pPr>
              <w:rPr>
                <w:rFonts w:ascii="Arial"/>
                <w:sz w:val="21"/>
              </w:rPr>
            </w:pPr>
          </w:p>
        </w:tc>
        <w:tc>
          <w:tcPr>
            <w:tcW w:w="2324" w:type="dxa"/>
            <w:vAlign w:val="top"/>
          </w:tcPr>
          <w:p w14:paraId="43B0E203">
            <w:pPr>
              <w:pStyle w:val="6"/>
              <w:spacing w:before="54" w:line="212" w:lineRule="auto"/>
              <w:ind w:left="61"/>
            </w:pPr>
            <w:r>
              <w:rPr>
                <w:spacing w:val="1"/>
              </w:rPr>
              <w:t>2.填料层高度的确定原则</w:t>
            </w:r>
          </w:p>
        </w:tc>
        <w:tc>
          <w:tcPr>
            <w:tcW w:w="220" w:type="dxa"/>
            <w:vAlign w:val="top"/>
          </w:tcPr>
          <w:p w14:paraId="220DC02E">
            <w:pPr>
              <w:pStyle w:val="6"/>
              <w:spacing w:before="99" w:line="163" w:lineRule="auto"/>
              <w:ind w:left="18"/>
            </w:pPr>
            <w:r>
              <w:t>V</w:t>
            </w:r>
          </w:p>
        </w:tc>
        <w:tc>
          <w:tcPr>
            <w:tcW w:w="229" w:type="dxa"/>
            <w:vAlign w:val="top"/>
          </w:tcPr>
          <w:p w14:paraId="0954E7DE">
            <w:pPr>
              <w:rPr>
                <w:rFonts w:ascii="Arial"/>
                <w:sz w:val="21"/>
              </w:rPr>
            </w:pPr>
          </w:p>
        </w:tc>
        <w:tc>
          <w:tcPr>
            <w:tcW w:w="219" w:type="dxa"/>
            <w:vAlign w:val="top"/>
          </w:tcPr>
          <w:p w14:paraId="700D180A">
            <w:pPr>
              <w:rPr>
                <w:rFonts w:ascii="Arial"/>
                <w:sz w:val="21"/>
              </w:rPr>
            </w:pPr>
          </w:p>
        </w:tc>
        <w:tc>
          <w:tcPr>
            <w:tcW w:w="234" w:type="dxa"/>
            <w:vAlign w:val="top"/>
          </w:tcPr>
          <w:p w14:paraId="4905B0A5">
            <w:pPr>
              <w:rPr>
                <w:rFonts w:ascii="Arial"/>
                <w:sz w:val="21"/>
              </w:rPr>
            </w:pPr>
          </w:p>
        </w:tc>
      </w:tr>
      <w:tr w14:paraId="44B8F1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restart"/>
            <w:tcBorders>
              <w:bottom w:val="nil"/>
            </w:tcBorders>
            <w:vAlign w:val="top"/>
          </w:tcPr>
          <w:p w14:paraId="7B0DA28C">
            <w:pPr>
              <w:spacing w:line="268" w:lineRule="auto"/>
              <w:rPr>
                <w:rFonts w:ascii="Arial"/>
                <w:sz w:val="21"/>
              </w:rPr>
            </w:pPr>
          </w:p>
          <w:p w14:paraId="1A706E49">
            <w:pPr>
              <w:pStyle w:val="6"/>
              <w:spacing w:before="55" w:line="219" w:lineRule="auto"/>
              <w:ind w:left="94"/>
            </w:pPr>
            <w:r>
              <w:rPr>
                <w:spacing w:val="1"/>
              </w:rPr>
              <w:t>吸收设备</w:t>
            </w:r>
          </w:p>
        </w:tc>
        <w:tc>
          <w:tcPr>
            <w:tcW w:w="2324" w:type="dxa"/>
            <w:vAlign w:val="top"/>
          </w:tcPr>
          <w:p w14:paraId="387DD3E7">
            <w:pPr>
              <w:pStyle w:val="6"/>
              <w:spacing w:before="54" w:line="211" w:lineRule="auto"/>
              <w:ind w:left="61"/>
            </w:pPr>
            <w:r>
              <w:rPr>
                <w:spacing w:val="1"/>
              </w:rPr>
              <w:t>1.填料吸收塔</w:t>
            </w:r>
          </w:p>
        </w:tc>
        <w:tc>
          <w:tcPr>
            <w:tcW w:w="220" w:type="dxa"/>
            <w:vAlign w:val="top"/>
          </w:tcPr>
          <w:p w14:paraId="186838B9">
            <w:pPr>
              <w:rPr>
                <w:rFonts w:ascii="Arial"/>
                <w:sz w:val="21"/>
              </w:rPr>
            </w:pPr>
          </w:p>
        </w:tc>
        <w:tc>
          <w:tcPr>
            <w:tcW w:w="229" w:type="dxa"/>
            <w:vAlign w:val="top"/>
          </w:tcPr>
          <w:p w14:paraId="4198E5F4">
            <w:pPr>
              <w:rPr>
                <w:rFonts w:ascii="Arial"/>
                <w:sz w:val="21"/>
              </w:rPr>
            </w:pPr>
          </w:p>
        </w:tc>
        <w:tc>
          <w:tcPr>
            <w:tcW w:w="219" w:type="dxa"/>
            <w:vAlign w:val="top"/>
          </w:tcPr>
          <w:p w14:paraId="1084A654">
            <w:pPr>
              <w:rPr>
                <w:rFonts w:ascii="Arial"/>
                <w:sz w:val="21"/>
              </w:rPr>
            </w:pPr>
          </w:p>
        </w:tc>
        <w:tc>
          <w:tcPr>
            <w:tcW w:w="234" w:type="dxa"/>
            <w:vAlign w:val="top"/>
          </w:tcPr>
          <w:p w14:paraId="6FAE720A">
            <w:pPr>
              <w:rPr>
                <w:rFonts w:ascii="Arial"/>
                <w:sz w:val="21"/>
              </w:rPr>
            </w:pPr>
          </w:p>
        </w:tc>
      </w:tr>
      <w:tr w14:paraId="40C39A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 w:hRule="atLeast"/>
        </w:trPr>
        <w:tc>
          <w:tcPr>
            <w:tcW w:w="893" w:type="dxa"/>
            <w:vMerge w:val="continue"/>
            <w:tcBorders>
              <w:top w:val="nil"/>
              <w:bottom w:val="nil"/>
            </w:tcBorders>
            <w:vAlign w:val="top"/>
          </w:tcPr>
          <w:p w14:paraId="591CB2CA">
            <w:pPr>
              <w:rPr>
                <w:rFonts w:ascii="Arial"/>
                <w:sz w:val="21"/>
              </w:rPr>
            </w:pPr>
          </w:p>
        </w:tc>
        <w:tc>
          <w:tcPr>
            <w:tcW w:w="2324" w:type="dxa"/>
            <w:vAlign w:val="top"/>
          </w:tcPr>
          <w:p w14:paraId="0638B228">
            <w:pPr>
              <w:pStyle w:val="6"/>
              <w:spacing w:before="56" w:line="210" w:lineRule="auto"/>
              <w:ind w:left="61"/>
            </w:pPr>
            <w:r>
              <w:rPr>
                <w:spacing w:val="-2"/>
              </w:rPr>
              <w:t>2.填料</w:t>
            </w:r>
          </w:p>
        </w:tc>
        <w:tc>
          <w:tcPr>
            <w:tcW w:w="220" w:type="dxa"/>
            <w:vAlign w:val="top"/>
          </w:tcPr>
          <w:p w14:paraId="6A0EE093">
            <w:pPr>
              <w:rPr>
                <w:rFonts w:ascii="Arial"/>
                <w:sz w:val="21"/>
              </w:rPr>
            </w:pPr>
          </w:p>
        </w:tc>
        <w:tc>
          <w:tcPr>
            <w:tcW w:w="229" w:type="dxa"/>
            <w:vAlign w:val="top"/>
          </w:tcPr>
          <w:p w14:paraId="4AFBD0A8">
            <w:pPr>
              <w:rPr>
                <w:rFonts w:ascii="Arial"/>
                <w:sz w:val="21"/>
              </w:rPr>
            </w:pPr>
          </w:p>
        </w:tc>
        <w:tc>
          <w:tcPr>
            <w:tcW w:w="219" w:type="dxa"/>
            <w:vAlign w:val="top"/>
          </w:tcPr>
          <w:p w14:paraId="46A4C453">
            <w:pPr>
              <w:rPr>
                <w:rFonts w:ascii="Arial"/>
                <w:sz w:val="21"/>
              </w:rPr>
            </w:pPr>
          </w:p>
        </w:tc>
        <w:tc>
          <w:tcPr>
            <w:tcW w:w="234" w:type="dxa"/>
            <w:vAlign w:val="top"/>
          </w:tcPr>
          <w:p w14:paraId="5F2C0BE5">
            <w:pPr>
              <w:rPr>
                <w:rFonts w:ascii="Arial"/>
                <w:sz w:val="21"/>
              </w:rPr>
            </w:pPr>
          </w:p>
        </w:tc>
      </w:tr>
      <w:tr w14:paraId="3686A0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4" w:hRule="atLeast"/>
        </w:trPr>
        <w:tc>
          <w:tcPr>
            <w:tcW w:w="893" w:type="dxa"/>
            <w:vMerge w:val="continue"/>
            <w:tcBorders>
              <w:top w:val="nil"/>
            </w:tcBorders>
            <w:vAlign w:val="top"/>
          </w:tcPr>
          <w:p w14:paraId="2285F28E">
            <w:pPr>
              <w:rPr>
                <w:rFonts w:ascii="Arial"/>
                <w:sz w:val="21"/>
              </w:rPr>
            </w:pPr>
          </w:p>
        </w:tc>
        <w:tc>
          <w:tcPr>
            <w:tcW w:w="2324" w:type="dxa"/>
            <w:vAlign w:val="top"/>
          </w:tcPr>
          <w:p w14:paraId="1B9DAC9A">
            <w:pPr>
              <w:pStyle w:val="6"/>
              <w:spacing w:before="56" w:line="214" w:lineRule="auto"/>
              <w:ind w:left="61"/>
            </w:pPr>
            <w:r>
              <w:rPr>
                <w:spacing w:val="-2"/>
              </w:rPr>
              <w:t>3.辅助设备</w:t>
            </w:r>
          </w:p>
        </w:tc>
        <w:tc>
          <w:tcPr>
            <w:tcW w:w="220" w:type="dxa"/>
            <w:vAlign w:val="top"/>
          </w:tcPr>
          <w:p w14:paraId="18FDC9BE">
            <w:pPr>
              <w:pStyle w:val="6"/>
              <w:spacing w:before="73" w:line="196" w:lineRule="auto"/>
              <w:ind w:left="18"/>
            </w:pPr>
            <w:r>
              <w:t>√</w:t>
            </w:r>
          </w:p>
        </w:tc>
        <w:tc>
          <w:tcPr>
            <w:tcW w:w="229" w:type="dxa"/>
            <w:vAlign w:val="top"/>
          </w:tcPr>
          <w:p w14:paraId="2A65BD5B">
            <w:pPr>
              <w:rPr>
                <w:rFonts w:ascii="Arial"/>
                <w:sz w:val="21"/>
              </w:rPr>
            </w:pPr>
          </w:p>
        </w:tc>
        <w:tc>
          <w:tcPr>
            <w:tcW w:w="219" w:type="dxa"/>
            <w:vAlign w:val="top"/>
          </w:tcPr>
          <w:p w14:paraId="0C3F6B95">
            <w:pPr>
              <w:rPr>
                <w:rFonts w:ascii="Arial"/>
                <w:sz w:val="21"/>
              </w:rPr>
            </w:pPr>
          </w:p>
        </w:tc>
        <w:tc>
          <w:tcPr>
            <w:tcW w:w="234" w:type="dxa"/>
            <w:vAlign w:val="top"/>
          </w:tcPr>
          <w:p w14:paraId="66FD63FE">
            <w:pPr>
              <w:rPr>
                <w:rFonts w:ascii="Arial"/>
                <w:sz w:val="21"/>
              </w:rPr>
            </w:pPr>
          </w:p>
        </w:tc>
      </w:tr>
    </w:tbl>
    <w:p w14:paraId="46473434">
      <w:pPr>
        <w:pStyle w:val="2"/>
        <w:spacing w:line="295" w:lineRule="auto"/>
      </w:pPr>
    </w:p>
    <w:p w14:paraId="3F259452">
      <w:pPr>
        <w:spacing w:before="72" w:line="221" w:lineRule="auto"/>
        <w:ind w:left="3"/>
        <w:rPr>
          <w:rFonts w:ascii="黑体" w:hAnsi="黑体" w:eastAsia="黑体" w:cs="黑体"/>
          <w:sz w:val="22"/>
          <w:szCs w:val="22"/>
        </w:rPr>
      </w:pPr>
      <w:r>
        <w:rPr>
          <w:rFonts w:ascii="黑体" w:hAnsi="黑体" w:eastAsia="黑体" w:cs="黑体"/>
          <w:b/>
          <w:bCs/>
          <w:spacing w:val="2"/>
          <w:sz w:val="22"/>
          <w:szCs w:val="22"/>
        </w:rPr>
        <w:t>四、考试形式试卷结构</w:t>
      </w:r>
    </w:p>
    <w:p w14:paraId="6C247CB1">
      <w:pPr>
        <w:spacing w:before="99" w:line="219" w:lineRule="auto"/>
        <w:ind w:left="420"/>
        <w:rPr>
          <w:rFonts w:ascii="宋体" w:hAnsi="宋体" w:eastAsia="宋体" w:cs="宋体"/>
          <w:sz w:val="17"/>
          <w:szCs w:val="17"/>
        </w:rPr>
      </w:pPr>
      <w:r>
        <w:rPr>
          <w:rFonts w:ascii="宋体" w:hAnsi="宋体" w:eastAsia="宋体" w:cs="宋体"/>
          <w:spacing w:val="-3"/>
          <w:sz w:val="17"/>
          <w:szCs w:val="17"/>
        </w:rPr>
        <w:t>1. 考试形式：</w:t>
      </w:r>
    </w:p>
    <w:p w14:paraId="682D5249">
      <w:pPr>
        <w:spacing w:before="87" w:line="219" w:lineRule="auto"/>
        <w:ind w:left="480"/>
        <w:rPr>
          <w:rFonts w:ascii="宋体" w:hAnsi="宋体" w:eastAsia="宋体" w:cs="宋体"/>
          <w:sz w:val="17"/>
          <w:szCs w:val="17"/>
        </w:rPr>
      </w:pPr>
      <w:r>
        <w:rPr>
          <w:rFonts w:ascii="宋体" w:hAnsi="宋体" w:eastAsia="宋体" w:cs="宋体"/>
          <w:spacing w:val="8"/>
          <w:sz w:val="17"/>
          <w:szCs w:val="17"/>
        </w:rPr>
        <w:t>(1)采用闭卷笔答形式：</w:t>
      </w:r>
    </w:p>
    <w:p w14:paraId="39B04FF1">
      <w:pPr>
        <w:spacing w:before="90" w:line="219" w:lineRule="auto"/>
        <w:ind w:left="480"/>
        <w:rPr>
          <w:rFonts w:ascii="宋体" w:hAnsi="宋体" w:eastAsia="宋体" w:cs="宋体"/>
          <w:sz w:val="17"/>
          <w:szCs w:val="17"/>
        </w:rPr>
      </w:pPr>
      <w:r>
        <w:rPr>
          <w:rFonts w:ascii="宋体" w:hAnsi="宋体" w:eastAsia="宋体" w:cs="宋体"/>
          <w:spacing w:val="5"/>
          <w:sz w:val="17"/>
          <w:szCs w:val="17"/>
        </w:rPr>
        <w:t>(2)全卷满分200分，时间150分钟。</w:t>
      </w:r>
    </w:p>
    <w:p w14:paraId="45E043A5">
      <w:pPr>
        <w:spacing w:before="88" w:line="220" w:lineRule="auto"/>
        <w:ind w:left="420"/>
        <w:rPr>
          <w:rFonts w:ascii="宋体" w:hAnsi="宋体" w:eastAsia="宋体" w:cs="宋体"/>
          <w:sz w:val="17"/>
          <w:szCs w:val="17"/>
        </w:rPr>
      </w:pPr>
      <w:r>
        <w:rPr>
          <w:rFonts w:ascii="宋体" w:hAnsi="宋体" w:eastAsia="宋体" w:cs="宋体"/>
          <w:spacing w:val="-3"/>
          <w:sz w:val="17"/>
          <w:szCs w:val="17"/>
        </w:rPr>
        <w:t>2. 试卷结构：</w:t>
      </w:r>
    </w:p>
    <w:p w14:paraId="5C88FC82">
      <w:pPr>
        <w:spacing w:before="79" w:line="310" w:lineRule="auto"/>
        <w:ind w:right="325" w:firstLine="420"/>
        <w:rPr>
          <w:rFonts w:ascii="宋体" w:hAnsi="宋体" w:eastAsia="宋体" w:cs="宋体"/>
          <w:sz w:val="17"/>
          <w:szCs w:val="17"/>
        </w:rPr>
      </w:pPr>
      <w:r>
        <w:rPr>
          <w:rFonts w:ascii="宋体" w:hAnsi="宋体" w:eastAsia="宋体" w:cs="宋体"/>
          <w:spacing w:val="10"/>
          <w:sz w:val="17"/>
          <w:szCs w:val="17"/>
        </w:rPr>
        <w:t>化工技术类综合课考试为一份试卷，《化学》、</w:t>
      </w:r>
      <w:r>
        <w:rPr>
          <w:rFonts w:ascii="宋体" w:hAnsi="宋体" w:eastAsia="宋体" w:cs="宋体"/>
          <w:spacing w:val="3"/>
          <w:sz w:val="17"/>
          <w:szCs w:val="17"/>
        </w:rPr>
        <w:t xml:space="preserve"> </w:t>
      </w:r>
      <w:r>
        <w:rPr>
          <w:rFonts w:ascii="宋体" w:hAnsi="宋体" w:eastAsia="宋体" w:cs="宋体"/>
          <w:spacing w:val="5"/>
          <w:sz w:val="17"/>
          <w:szCs w:val="17"/>
        </w:rPr>
        <w:t>《无机物定量分析基础》、《化工单元操作》为化工技</w:t>
      </w:r>
      <w:r>
        <w:rPr>
          <w:rFonts w:ascii="宋体" w:hAnsi="宋体" w:eastAsia="宋体" w:cs="宋体"/>
          <w:spacing w:val="18"/>
          <w:sz w:val="17"/>
          <w:szCs w:val="17"/>
        </w:rPr>
        <w:t xml:space="preserve"> </w:t>
      </w:r>
      <w:r>
        <w:rPr>
          <w:rFonts w:ascii="宋体" w:hAnsi="宋体" w:eastAsia="宋体" w:cs="宋体"/>
          <w:spacing w:val="10"/>
          <w:sz w:val="17"/>
          <w:szCs w:val="17"/>
        </w:rPr>
        <w:t>术类考生必考科目。入选的试题主要按题型和难度排</w:t>
      </w:r>
      <w:r>
        <w:rPr>
          <w:rFonts w:ascii="宋体" w:hAnsi="宋体" w:eastAsia="宋体" w:cs="宋体"/>
          <w:spacing w:val="2"/>
          <w:sz w:val="17"/>
          <w:szCs w:val="17"/>
        </w:rPr>
        <w:t xml:space="preserve">  </w:t>
      </w:r>
      <w:r>
        <w:rPr>
          <w:rFonts w:ascii="宋体" w:hAnsi="宋体" w:eastAsia="宋体" w:cs="宋体"/>
          <w:spacing w:val="3"/>
          <w:sz w:val="17"/>
          <w:szCs w:val="17"/>
        </w:rPr>
        <w:t>列，选择题在前，非选择题在后；同一学科、同一</w:t>
      </w:r>
      <w:r>
        <w:rPr>
          <w:rFonts w:ascii="宋体" w:hAnsi="宋体" w:eastAsia="宋体" w:cs="宋体"/>
          <w:spacing w:val="2"/>
          <w:sz w:val="17"/>
          <w:szCs w:val="17"/>
        </w:rPr>
        <w:t>题型</w:t>
      </w:r>
      <w:r>
        <w:rPr>
          <w:rFonts w:ascii="宋体" w:hAnsi="宋体" w:eastAsia="宋体" w:cs="宋体"/>
          <w:sz w:val="17"/>
          <w:szCs w:val="17"/>
        </w:rPr>
        <w:t xml:space="preserve">  </w:t>
      </w:r>
      <w:r>
        <w:rPr>
          <w:rFonts w:ascii="宋体" w:hAnsi="宋体" w:eastAsia="宋体" w:cs="宋体"/>
          <w:spacing w:val="2"/>
          <w:sz w:val="17"/>
          <w:szCs w:val="17"/>
        </w:rPr>
        <w:t>的试题相对集中，同一学科不同试题尽量按由易到难排</w:t>
      </w:r>
      <w:r>
        <w:rPr>
          <w:rFonts w:ascii="宋体" w:hAnsi="宋体" w:eastAsia="宋体" w:cs="宋体"/>
          <w:spacing w:val="8"/>
          <w:sz w:val="17"/>
          <w:szCs w:val="17"/>
        </w:rPr>
        <w:t xml:space="preserve">  </w:t>
      </w:r>
      <w:r>
        <w:rPr>
          <w:rFonts w:ascii="宋体" w:hAnsi="宋体" w:eastAsia="宋体" w:cs="宋体"/>
          <w:spacing w:val="1"/>
          <w:sz w:val="17"/>
          <w:szCs w:val="17"/>
        </w:rPr>
        <w:t>序。跨学科综合题在试卷中注明。</w:t>
      </w:r>
    </w:p>
    <w:p w14:paraId="6C698302">
      <w:pPr>
        <w:spacing w:before="46" w:line="219" w:lineRule="auto"/>
        <w:ind w:left="480"/>
        <w:rPr>
          <w:rFonts w:ascii="宋体" w:hAnsi="宋体" w:eastAsia="宋体" w:cs="宋体"/>
          <w:sz w:val="17"/>
          <w:szCs w:val="17"/>
        </w:rPr>
      </w:pPr>
      <w:r>
        <w:rPr>
          <w:rFonts w:ascii="宋体" w:hAnsi="宋体" w:eastAsia="宋体" w:cs="宋体"/>
          <w:spacing w:val="11"/>
          <w:sz w:val="17"/>
          <w:szCs w:val="17"/>
        </w:rPr>
        <w:t>(1)按知识点分：</w:t>
      </w:r>
    </w:p>
    <w:p w14:paraId="126ACF22">
      <w:pPr>
        <w:spacing w:line="136" w:lineRule="exact"/>
      </w:pPr>
    </w:p>
    <w:tbl>
      <w:tblPr>
        <w:tblStyle w:val="5"/>
        <w:tblW w:w="4140" w:type="dxa"/>
        <w:tblInd w:w="7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3247"/>
      </w:tblGrid>
      <w:tr w14:paraId="5E96D4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9" w:hRule="atLeast"/>
        </w:trPr>
        <w:tc>
          <w:tcPr>
            <w:tcW w:w="893" w:type="dxa"/>
            <w:tcBorders>
              <w:top w:val="single" w:color="000000" w:sz="2" w:space="0"/>
              <w:bottom w:val="single" w:color="000000" w:sz="2" w:space="0"/>
            </w:tcBorders>
            <w:vAlign w:val="top"/>
          </w:tcPr>
          <w:p w14:paraId="30AF4D85">
            <w:pPr>
              <w:pStyle w:val="6"/>
              <w:spacing w:before="123" w:line="219" w:lineRule="auto"/>
              <w:ind w:left="267"/>
            </w:pPr>
            <w:r>
              <w:rPr>
                <w:b/>
                <w:bCs/>
                <w:spacing w:val="-5"/>
              </w:rPr>
              <w:t>学科</w:t>
            </w:r>
          </w:p>
        </w:tc>
        <w:tc>
          <w:tcPr>
            <w:tcW w:w="3247" w:type="dxa"/>
            <w:tcBorders>
              <w:top w:val="single" w:color="000000" w:sz="2" w:space="0"/>
              <w:bottom w:val="single" w:color="000000" w:sz="2" w:space="0"/>
            </w:tcBorders>
            <w:vAlign w:val="top"/>
          </w:tcPr>
          <w:p w14:paraId="07E115D7">
            <w:pPr>
              <w:pStyle w:val="6"/>
              <w:spacing w:before="126" w:line="221" w:lineRule="auto"/>
              <w:ind w:left="864"/>
            </w:pPr>
            <w:r>
              <w:rPr>
                <w:b/>
                <w:bCs/>
                <w:spacing w:val="1"/>
              </w:rPr>
              <w:t>知识点</w:t>
            </w:r>
          </w:p>
        </w:tc>
      </w:tr>
      <w:tr w14:paraId="7A57EA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4" w:hRule="atLeast"/>
        </w:trPr>
        <w:tc>
          <w:tcPr>
            <w:tcW w:w="893" w:type="dxa"/>
            <w:vMerge w:val="restart"/>
            <w:tcBorders>
              <w:top w:val="single" w:color="000000" w:sz="2" w:space="0"/>
              <w:bottom w:val="nil"/>
            </w:tcBorders>
            <w:vAlign w:val="top"/>
          </w:tcPr>
          <w:p w14:paraId="4AAFFA62">
            <w:pPr>
              <w:spacing w:line="277" w:lineRule="auto"/>
              <w:rPr>
                <w:rFonts w:ascii="Arial"/>
                <w:sz w:val="21"/>
              </w:rPr>
            </w:pPr>
          </w:p>
          <w:p w14:paraId="02AE636D">
            <w:pPr>
              <w:spacing w:line="277" w:lineRule="auto"/>
              <w:rPr>
                <w:rFonts w:ascii="Arial"/>
                <w:sz w:val="21"/>
              </w:rPr>
            </w:pPr>
          </w:p>
          <w:p w14:paraId="047FB596">
            <w:pPr>
              <w:pStyle w:val="6"/>
              <w:spacing w:before="55" w:line="221" w:lineRule="auto"/>
              <w:ind w:left="265"/>
            </w:pPr>
            <w:r>
              <w:rPr>
                <w:spacing w:val="-2"/>
              </w:rPr>
              <w:t>化学</w:t>
            </w:r>
          </w:p>
          <w:p w14:paraId="2C9F138F">
            <w:pPr>
              <w:pStyle w:val="6"/>
              <w:spacing w:before="15" w:line="220" w:lineRule="auto"/>
              <w:ind w:left="134"/>
            </w:pPr>
            <w:r>
              <w:rPr>
                <w:spacing w:val="7"/>
              </w:rPr>
              <w:t>(100分)</w:t>
            </w:r>
          </w:p>
        </w:tc>
        <w:tc>
          <w:tcPr>
            <w:tcW w:w="3247" w:type="dxa"/>
            <w:tcBorders>
              <w:top w:val="single" w:color="000000" w:sz="2" w:space="0"/>
              <w:bottom w:val="single" w:color="000000" w:sz="2" w:space="0"/>
            </w:tcBorders>
            <w:vAlign w:val="top"/>
          </w:tcPr>
          <w:p w14:paraId="2EB3C7A7">
            <w:pPr>
              <w:pStyle w:val="6"/>
              <w:spacing w:before="51" w:line="219" w:lineRule="auto"/>
              <w:ind w:left="62"/>
            </w:pPr>
            <w:r>
              <w:rPr>
                <w:spacing w:val="-1"/>
              </w:rPr>
              <w:t>化学的基本概念及理论</w:t>
            </w:r>
          </w:p>
        </w:tc>
      </w:tr>
      <w:tr w14:paraId="4F26B1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5" w:hRule="atLeast"/>
        </w:trPr>
        <w:tc>
          <w:tcPr>
            <w:tcW w:w="893" w:type="dxa"/>
            <w:vMerge w:val="continue"/>
            <w:tcBorders>
              <w:top w:val="nil"/>
              <w:bottom w:val="nil"/>
            </w:tcBorders>
            <w:vAlign w:val="top"/>
          </w:tcPr>
          <w:p w14:paraId="6253D6BB">
            <w:pPr>
              <w:rPr>
                <w:rFonts w:ascii="Arial"/>
                <w:sz w:val="21"/>
              </w:rPr>
            </w:pPr>
          </w:p>
        </w:tc>
        <w:tc>
          <w:tcPr>
            <w:tcW w:w="3247" w:type="dxa"/>
            <w:tcBorders>
              <w:top w:val="single" w:color="000000" w:sz="2" w:space="0"/>
              <w:bottom w:val="single" w:color="000000" w:sz="2" w:space="0"/>
            </w:tcBorders>
            <w:vAlign w:val="top"/>
          </w:tcPr>
          <w:p w14:paraId="58738B24">
            <w:pPr>
              <w:pStyle w:val="6"/>
              <w:spacing w:before="53" w:line="219" w:lineRule="auto"/>
              <w:ind w:left="62"/>
            </w:pPr>
            <w:r>
              <w:rPr>
                <w:spacing w:val="-1"/>
              </w:rPr>
              <w:t>化学反应及其规律</w:t>
            </w:r>
          </w:p>
        </w:tc>
      </w:tr>
      <w:tr w14:paraId="5F16D6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4" w:hRule="atLeast"/>
        </w:trPr>
        <w:tc>
          <w:tcPr>
            <w:tcW w:w="893" w:type="dxa"/>
            <w:vMerge w:val="continue"/>
            <w:tcBorders>
              <w:top w:val="nil"/>
              <w:bottom w:val="nil"/>
            </w:tcBorders>
            <w:vAlign w:val="top"/>
          </w:tcPr>
          <w:p w14:paraId="3D796B70">
            <w:pPr>
              <w:rPr>
                <w:rFonts w:ascii="Arial"/>
                <w:sz w:val="21"/>
              </w:rPr>
            </w:pPr>
          </w:p>
        </w:tc>
        <w:tc>
          <w:tcPr>
            <w:tcW w:w="3247" w:type="dxa"/>
            <w:tcBorders>
              <w:top w:val="single" w:color="000000" w:sz="2" w:space="0"/>
              <w:bottom w:val="single" w:color="000000" w:sz="2" w:space="0"/>
            </w:tcBorders>
            <w:vAlign w:val="top"/>
          </w:tcPr>
          <w:p w14:paraId="4F3DA43E">
            <w:pPr>
              <w:pStyle w:val="6"/>
              <w:spacing w:before="53" w:line="218" w:lineRule="auto"/>
              <w:ind w:left="62"/>
            </w:pPr>
            <w:r>
              <w:rPr>
                <w:spacing w:val="-1"/>
              </w:rPr>
              <w:t>溶液与水溶液中的离子反应</w:t>
            </w:r>
          </w:p>
        </w:tc>
      </w:tr>
      <w:tr w14:paraId="746AAD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5" w:hRule="atLeast"/>
        </w:trPr>
        <w:tc>
          <w:tcPr>
            <w:tcW w:w="893" w:type="dxa"/>
            <w:vMerge w:val="continue"/>
            <w:tcBorders>
              <w:top w:val="nil"/>
              <w:bottom w:val="nil"/>
            </w:tcBorders>
            <w:vAlign w:val="top"/>
          </w:tcPr>
          <w:p w14:paraId="163BA023">
            <w:pPr>
              <w:rPr>
                <w:rFonts w:ascii="Arial"/>
                <w:sz w:val="21"/>
              </w:rPr>
            </w:pPr>
          </w:p>
        </w:tc>
        <w:tc>
          <w:tcPr>
            <w:tcW w:w="3247" w:type="dxa"/>
            <w:tcBorders>
              <w:top w:val="single" w:color="000000" w:sz="2" w:space="0"/>
              <w:bottom w:val="single" w:color="000000" w:sz="2" w:space="0"/>
            </w:tcBorders>
            <w:vAlign w:val="top"/>
          </w:tcPr>
          <w:p w14:paraId="33CDEC6F">
            <w:pPr>
              <w:pStyle w:val="6"/>
              <w:spacing w:before="53" w:line="219" w:lineRule="auto"/>
              <w:ind w:left="62"/>
            </w:pPr>
            <w:r>
              <w:rPr>
                <w:spacing w:val="2"/>
              </w:rPr>
              <w:t>常见无机物及其应用</w:t>
            </w:r>
          </w:p>
        </w:tc>
      </w:tr>
      <w:tr w14:paraId="24A9ED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4" w:hRule="atLeast"/>
        </w:trPr>
        <w:tc>
          <w:tcPr>
            <w:tcW w:w="893" w:type="dxa"/>
            <w:vMerge w:val="continue"/>
            <w:tcBorders>
              <w:top w:val="nil"/>
              <w:bottom w:val="nil"/>
            </w:tcBorders>
            <w:vAlign w:val="top"/>
          </w:tcPr>
          <w:p w14:paraId="067F76E2">
            <w:pPr>
              <w:rPr>
                <w:rFonts w:ascii="Arial"/>
                <w:sz w:val="21"/>
              </w:rPr>
            </w:pPr>
          </w:p>
        </w:tc>
        <w:tc>
          <w:tcPr>
            <w:tcW w:w="3247" w:type="dxa"/>
            <w:tcBorders>
              <w:top w:val="single" w:color="000000" w:sz="2" w:space="0"/>
              <w:bottom w:val="single" w:color="000000" w:sz="2" w:space="0"/>
            </w:tcBorders>
            <w:vAlign w:val="top"/>
          </w:tcPr>
          <w:p w14:paraId="25F72DB2">
            <w:pPr>
              <w:pStyle w:val="6"/>
              <w:spacing w:before="43" w:line="218" w:lineRule="auto"/>
              <w:ind w:left="62"/>
            </w:pPr>
            <w:r>
              <w:rPr>
                <w:spacing w:val="1"/>
              </w:rPr>
              <w:t>简单有机化合物及其应用</w:t>
            </w:r>
          </w:p>
        </w:tc>
      </w:tr>
      <w:tr w14:paraId="21B1F0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4" w:hRule="atLeast"/>
        </w:trPr>
        <w:tc>
          <w:tcPr>
            <w:tcW w:w="893" w:type="dxa"/>
            <w:vMerge w:val="continue"/>
            <w:tcBorders>
              <w:top w:val="nil"/>
              <w:bottom w:val="single" w:color="000000" w:sz="2" w:space="0"/>
            </w:tcBorders>
            <w:vAlign w:val="top"/>
          </w:tcPr>
          <w:p w14:paraId="19A38DB2">
            <w:pPr>
              <w:rPr>
                <w:rFonts w:ascii="Arial"/>
                <w:sz w:val="21"/>
              </w:rPr>
            </w:pPr>
          </w:p>
        </w:tc>
        <w:tc>
          <w:tcPr>
            <w:tcW w:w="3247" w:type="dxa"/>
            <w:tcBorders>
              <w:top w:val="single" w:color="000000" w:sz="2" w:space="0"/>
              <w:bottom w:val="single" w:color="000000" w:sz="2" w:space="0"/>
            </w:tcBorders>
            <w:vAlign w:val="top"/>
          </w:tcPr>
          <w:p w14:paraId="7E878BF8">
            <w:pPr>
              <w:pStyle w:val="6"/>
              <w:spacing w:before="55" w:line="216" w:lineRule="auto"/>
              <w:ind w:left="62"/>
            </w:pPr>
            <w:r>
              <w:rPr>
                <w:spacing w:val="-1"/>
              </w:rPr>
              <w:t>常见生物分子及合成高分子化合物</w:t>
            </w:r>
          </w:p>
        </w:tc>
      </w:tr>
      <w:tr w14:paraId="57F38A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5" w:hRule="atLeast"/>
        </w:trPr>
        <w:tc>
          <w:tcPr>
            <w:tcW w:w="893" w:type="dxa"/>
            <w:vMerge w:val="restart"/>
            <w:tcBorders>
              <w:top w:val="single" w:color="000000" w:sz="2" w:space="0"/>
              <w:bottom w:val="nil"/>
            </w:tcBorders>
            <w:vAlign w:val="top"/>
          </w:tcPr>
          <w:p w14:paraId="1D618714">
            <w:pPr>
              <w:pStyle w:val="6"/>
              <w:spacing w:before="104" w:line="219" w:lineRule="auto"/>
              <w:ind w:left="15"/>
            </w:pPr>
            <w:r>
              <w:rPr>
                <w:spacing w:val="-2"/>
              </w:rPr>
              <w:t>无机物定量</w:t>
            </w:r>
          </w:p>
          <w:p w14:paraId="751A124F">
            <w:pPr>
              <w:pStyle w:val="6"/>
              <w:spacing w:before="9" w:line="220" w:lineRule="auto"/>
              <w:ind w:left="94"/>
            </w:pPr>
            <w:r>
              <w:rPr>
                <w:spacing w:val="-2"/>
              </w:rPr>
              <w:t>分析基础</w:t>
            </w:r>
          </w:p>
          <w:p w14:paraId="66BBFB6B">
            <w:pPr>
              <w:pStyle w:val="6"/>
              <w:spacing w:before="37" w:line="220" w:lineRule="auto"/>
              <w:ind w:left="184"/>
            </w:pPr>
            <w:r>
              <w:rPr>
                <w:spacing w:val="7"/>
              </w:rPr>
              <w:t>(60分)</w:t>
            </w:r>
          </w:p>
        </w:tc>
        <w:tc>
          <w:tcPr>
            <w:tcW w:w="3247" w:type="dxa"/>
            <w:tcBorders>
              <w:top w:val="single" w:color="000000" w:sz="2" w:space="0"/>
              <w:bottom w:val="single" w:color="000000" w:sz="2" w:space="0"/>
            </w:tcBorders>
            <w:vAlign w:val="top"/>
          </w:tcPr>
          <w:p w14:paraId="4BD69A08">
            <w:pPr>
              <w:pStyle w:val="6"/>
              <w:spacing w:before="56" w:line="216" w:lineRule="auto"/>
              <w:ind w:left="62"/>
            </w:pPr>
            <w:r>
              <w:rPr>
                <w:spacing w:val="-1"/>
              </w:rPr>
              <w:t>化学分析基础知识</w:t>
            </w:r>
          </w:p>
        </w:tc>
      </w:tr>
      <w:tr w14:paraId="29E82C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4" w:hRule="atLeast"/>
        </w:trPr>
        <w:tc>
          <w:tcPr>
            <w:tcW w:w="893" w:type="dxa"/>
            <w:vMerge w:val="continue"/>
            <w:tcBorders>
              <w:top w:val="nil"/>
              <w:bottom w:val="nil"/>
            </w:tcBorders>
            <w:vAlign w:val="top"/>
          </w:tcPr>
          <w:p w14:paraId="1889179D">
            <w:pPr>
              <w:rPr>
                <w:rFonts w:ascii="Arial"/>
                <w:sz w:val="21"/>
              </w:rPr>
            </w:pPr>
          </w:p>
        </w:tc>
        <w:tc>
          <w:tcPr>
            <w:tcW w:w="3247" w:type="dxa"/>
            <w:tcBorders>
              <w:top w:val="single" w:color="000000" w:sz="2" w:space="0"/>
              <w:bottom w:val="single" w:color="000000" w:sz="2" w:space="0"/>
            </w:tcBorders>
            <w:vAlign w:val="top"/>
          </w:tcPr>
          <w:p w14:paraId="5BC26CB0">
            <w:pPr>
              <w:pStyle w:val="6"/>
              <w:spacing w:before="56" w:line="215" w:lineRule="auto"/>
              <w:ind w:left="62"/>
            </w:pPr>
            <w:r>
              <w:rPr>
                <w:spacing w:val="-2"/>
              </w:rPr>
              <w:t>酸碱滴定法</w:t>
            </w:r>
          </w:p>
        </w:tc>
      </w:tr>
      <w:tr w14:paraId="1AFF29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893" w:type="dxa"/>
            <w:vMerge w:val="continue"/>
            <w:tcBorders>
              <w:top w:val="nil"/>
              <w:bottom w:val="single" w:color="000000" w:sz="2" w:space="0"/>
            </w:tcBorders>
            <w:vAlign w:val="top"/>
          </w:tcPr>
          <w:p w14:paraId="5E2715EF">
            <w:pPr>
              <w:rPr>
                <w:rFonts w:ascii="Arial"/>
                <w:sz w:val="21"/>
              </w:rPr>
            </w:pPr>
          </w:p>
        </w:tc>
        <w:tc>
          <w:tcPr>
            <w:tcW w:w="3247" w:type="dxa"/>
            <w:tcBorders>
              <w:top w:val="single" w:color="000000" w:sz="2" w:space="0"/>
              <w:bottom w:val="single" w:color="000000" w:sz="2" w:space="0"/>
            </w:tcBorders>
            <w:vAlign w:val="top"/>
          </w:tcPr>
          <w:p w14:paraId="3B4ABB1B">
            <w:pPr>
              <w:pStyle w:val="6"/>
              <w:spacing w:before="57" w:line="219" w:lineRule="auto"/>
              <w:ind w:left="62"/>
            </w:pPr>
            <w:r>
              <w:rPr>
                <w:spacing w:val="-2"/>
              </w:rPr>
              <w:t>配位滴定法</w:t>
            </w:r>
          </w:p>
        </w:tc>
      </w:tr>
    </w:tbl>
    <w:p w14:paraId="5EDD9679">
      <w:pPr>
        <w:pStyle w:val="2"/>
        <w:spacing w:line="14" w:lineRule="auto"/>
        <w:rPr>
          <w:sz w:val="2"/>
        </w:rPr>
      </w:pPr>
    </w:p>
    <w:p w14:paraId="56EFA6B8">
      <w:pPr>
        <w:pStyle w:val="2"/>
        <w:spacing w:line="14" w:lineRule="auto"/>
        <w:rPr>
          <w:sz w:val="2"/>
        </w:rPr>
      </w:pPr>
      <w:r>
        <w:rPr>
          <w:sz w:val="2"/>
          <w:szCs w:val="2"/>
        </w:rPr>
        <w:br w:type="column"/>
      </w:r>
    </w:p>
    <w:p w14:paraId="53972B39">
      <w:pPr>
        <w:spacing w:line="28" w:lineRule="exact"/>
      </w:pPr>
    </w:p>
    <w:tbl>
      <w:tblPr>
        <w:tblStyle w:val="5"/>
        <w:tblW w:w="414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3"/>
        <w:gridCol w:w="3247"/>
      </w:tblGrid>
      <w:tr w14:paraId="0FE14E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3" w:hRule="atLeast"/>
        </w:trPr>
        <w:tc>
          <w:tcPr>
            <w:tcW w:w="893" w:type="dxa"/>
            <w:vAlign w:val="top"/>
          </w:tcPr>
          <w:p w14:paraId="6EC73078">
            <w:pPr>
              <w:pStyle w:val="6"/>
              <w:spacing w:before="118" w:line="219" w:lineRule="auto"/>
              <w:ind w:left="267"/>
            </w:pPr>
            <w:r>
              <w:rPr>
                <w:b/>
                <w:bCs/>
                <w:spacing w:val="-5"/>
              </w:rPr>
              <w:t>学科</w:t>
            </w:r>
          </w:p>
        </w:tc>
        <w:tc>
          <w:tcPr>
            <w:tcW w:w="3247" w:type="dxa"/>
            <w:vAlign w:val="top"/>
          </w:tcPr>
          <w:p w14:paraId="57C3054A">
            <w:pPr>
              <w:pStyle w:val="6"/>
              <w:spacing w:before="122" w:line="221" w:lineRule="auto"/>
              <w:ind w:left="864"/>
            </w:pPr>
            <w:r>
              <w:rPr>
                <w:b/>
                <w:bCs/>
                <w:spacing w:val="1"/>
              </w:rPr>
              <w:t>知识点</w:t>
            </w:r>
          </w:p>
        </w:tc>
      </w:tr>
      <w:tr w14:paraId="493F93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restart"/>
            <w:tcBorders>
              <w:bottom w:val="nil"/>
            </w:tcBorders>
            <w:vAlign w:val="top"/>
          </w:tcPr>
          <w:p w14:paraId="2F813D97">
            <w:pPr>
              <w:rPr>
                <w:rFonts w:ascii="Arial"/>
                <w:sz w:val="21"/>
              </w:rPr>
            </w:pPr>
          </w:p>
        </w:tc>
        <w:tc>
          <w:tcPr>
            <w:tcW w:w="3247" w:type="dxa"/>
            <w:vAlign w:val="top"/>
          </w:tcPr>
          <w:p w14:paraId="73FE1F8F">
            <w:pPr>
              <w:pStyle w:val="6"/>
              <w:spacing w:before="48" w:line="218" w:lineRule="auto"/>
              <w:ind w:left="32"/>
            </w:pPr>
            <w:r>
              <w:rPr>
                <w:spacing w:val="-1"/>
              </w:rPr>
              <w:t>氧化还原滴定法</w:t>
            </w:r>
          </w:p>
        </w:tc>
      </w:tr>
      <w:tr w14:paraId="6B1721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continue"/>
            <w:tcBorders>
              <w:top w:val="nil"/>
            </w:tcBorders>
            <w:vAlign w:val="top"/>
          </w:tcPr>
          <w:p w14:paraId="6EAC47B5">
            <w:pPr>
              <w:rPr>
                <w:rFonts w:ascii="Arial"/>
                <w:sz w:val="21"/>
              </w:rPr>
            </w:pPr>
          </w:p>
        </w:tc>
        <w:tc>
          <w:tcPr>
            <w:tcW w:w="3247" w:type="dxa"/>
            <w:vAlign w:val="top"/>
          </w:tcPr>
          <w:p w14:paraId="470C8108">
            <w:pPr>
              <w:pStyle w:val="6"/>
              <w:spacing w:before="51" w:line="215" w:lineRule="auto"/>
              <w:ind w:left="32"/>
            </w:pPr>
            <w:r>
              <w:rPr>
                <w:spacing w:val="-2"/>
              </w:rPr>
              <w:t>沉淀滴定法</w:t>
            </w:r>
          </w:p>
        </w:tc>
      </w:tr>
      <w:tr w14:paraId="005F20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restart"/>
            <w:tcBorders>
              <w:bottom w:val="nil"/>
            </w:tcBorders>
            <w:vAlign w:val="top"/>
          </w:tcPr>
          <w:p w14:paraId="006055D2">
            <w:pPr>
              <w:pStyle w:val="6"/>
              <w:spacing w:before="211" w:line="220" w:lineRule="auto"/>
              <w:ind w:left="94"/>
            </w:pPr>
            <w:r>
              <w:rPr>
                <w:spacing w:val="-2"/>
              </w:rPr>
              <w:t>化工单元</w:t>
            </w:r>
          </w:p>
          <w:p w14:paraId="5BD0861F">
            <w:pPr>
              <w:pStyle w:val="6"/>
              <w:spacing w:before="47" w:line="219" w:lineRule="auto"/>
              <w:ind w:left="265"/>
            </w:pPr>
            <w:r>
              <w:rPr>
                <w:spacing w:val="-2"/>
              </w:rPr>
              <w:t>操作</w:t>
            </w:r>
          </w:p>
          <w:p w14:paraId="39EE096D">
            <w:pPr>
              <w:pStyle w:val="6"/>
              <w:spacing w:before="28" w:line="220" w:lineRule="auto"/>
              <w:ind w:left="185"/>
            </w:pPr>
            <w:r>
              <w:rPr>
                <w:spacing w:val="7"/>
              </w:rPr>
              <w:t>(40分)</w:t>
            </w:r>
          </w:p>
        </w:tc>
        <w:tc>
          <w:tcPr>
            <w:tcW w:w="3247" w:type="dxa"/>
            <w:vAlign w:val="top"/>
          </w:tcPr>
          <w:p w14:paraId="67CC4933">
            <w:pPr>
              <w:pStyle w:val="6"/>
              <w:spacing w:before="51" w:line="215" w:lineRule="auto"/>
              <w:ind w:left="32"/>
            </w:pPr>
            <w:r>
              <w:rPr>
                <w:spacing w:val="-2"/>
              </w:rPr>
              <w:t>流体输送</w:t>
            </w:r>
          </w:p>
        </w:tc>
      </w:tr>
      <w:tr w14:paraId="68267B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8" w:hRule="atLeast"/>
        </w:trPr>
        <w:tc>
          <w:tcPr>
            <w:tcW w:w="893" w:type="dxa"/>
            <w:vMerge w:val="continue"/>
            <w:tcBorders>
              <w:top w:val="nil"/>
              <w:bottom w:val="nil"/>
            </w:tcBorders>
            <w:vAlign w:val="top"/>
          </w:tcPr>
          <w:p w14:paraId="60ACF00E">
            <w:pPr>
              <w:rPr>
                <w:rFonts w:ascii="Arial"/>
                <w:sz w:val="21"/>
              </w:rPr>
            </w:pPr>
          </w:p>
        </w:tc>
        <w:tc>
          <w:tcPr>
            <w:tcW w:w="3247" w:type="dxa"/>
            <w:vAlign w:val="top"/>
          </w:tcPr>
          <w:p w14:paraId="48C1DE0D">
            <w:pPr>
              <w:pStyle w:val="6"/>
              <w:spacing w:before="51" w:line="213" w:lineRule="auto"/>
              <w:ind w:left="32"/>
            </w:pPr>
            <w:r>
              <w:rPr>
                <w:spacing w:val="-2"/>
              </w:rPr>
              <w:t>传热</w:t>
            </w:r>
          </w:p>
        </w:tc>
      </w:tr>
      <w:tr w14:paraId="7DA548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893" w:type="dxa"/>
            <w:vMerge w:val="continue"/>
            <w:tcBorders>
              <w:top w:val="nil"/>
              <w:bottom w:val="nil"/>
            </w:tcBorders>
            <w:vAlign w:val="top"/>
          </w:tcPr>
          <w:p w14:paraId="215044CE">
            <w:pPr>
              <w:rPr>
                <w:rFonts w:ascii="Arial"/>
                <w:sz w:val="21"/>
              </w:rPr>
            </w:pPr>
          </w:p>
        </w:tc>
        <w:tc>
          <w:tcPr>
            <w:tcW w:w="3247" w:type="dxa"/>
            <w:vAlign w:val="top"/>
          </w:tcPr>
          <w:p w14:paraId="463E5EE6">
            <w:pPr>
              <w:pStyle w:val="6"/>
              <w:spacing w:before="54" w:line="211" w:lineRule="auto"/>
              <w:ind w:left="32"/>
            </w:pPr>
            <w:r>
              <w:rPr>
                <w:spacing w:val="-2"/>
              </w:rPr>
              <w:t>液体蒸馏</w:t>
            </w:r>
          </w:p>
        </w:tc>
      </w:tr>
      <w:tr w14:paraId="291A3C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3" w:hRule="atLeast"/>
        </w:trPr>
        <w:tc>
          <w:tcPr>
            <w:tcW w:w="893" w:type="dxa"/>
            <w:vMerge w:val="continue"/>
            <w:tcBorders>
              <w:top w:val="nil"/>
            </w:tcBorders>
            <w:vAlign w:val="top"/>
          </w:tcPr>
          <w:p w14:paraId="2D12E080">
            <w:pPr>
              <w:rPr>
                <w:rFonts w:ascii="Arial"/>
                <w:sz w:val="21"/>
              </w:rPr>
            </w:pPr>
          </w:p>
        </w:tc>
        <w:tc>
          <w:tcPr>
            <w:tcW w:w="3247" w:type="dxa"/>
            <w:vAlign w:val="top"/>
          </w:tcPr>
          <w:p w14:paraId="766277AB">
            <w:pPr>
              <w:pStyle w:val="6"/>
              <w:spacing w:before="55" w:line="215" w:lineRule="auto"/>
              <w:ind w:left="32"/>
            </w:pPr>
            <w:r>
              <w:rPr>
                <w:spacing w:val="-2"/>
              </w:rPr>
              <w:t>气体吸收</w:t>
            </w:r>
          </w:p>
        </w:tc>
      </w:tr>
    </w:tbl>
    <w:p w14:paraId="070E5369">
      <w:pPr>
        <w:spacing w:before="222" w:line="219" w:lineRule="auto"/>
        <w:ind w:left="425"/>
        <w:rPr>
          <w:rFonts w:ascii="宋体" w:hAnsi="宋体" w:eastAsia="宋体" w:cs="宋体"/>
          <w:sz w:val="17"/>
          <w:szCs w:val="17"/>
        </w:rPr>
      </w:pPr>
      <w:r>
        <w:rPr>
          <w:rFonts w:ascii="宋体" w:hAnsi="宋体" w:eastAsia="宋体" w:cs="宋体"/>
          <w:spacing w:val="9"/>
          <w:sz w:val="17"/>
          <w:szCs w:val="17"/>
        </w:rPr>
        <w:t>(2)按考试水平分：</w:t>
      </w:r>
    </w:p>
    <w:p w14:paraId="67057374">
      <w:pPr>
        <w:spacing w:line="136" w:lineRule="exact"/>
      </w:pPr>
    </w:p>
    <w:tbl>
      <w:tblPr>
        <w:tblStyle w:val="5"/>
        <w:tblW w:w="4131" w:type="dxa"/>
        <w:tblInd w:w="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83"/>
        <w:gridCol w:w="788"/>
        <w:gridCol w:w="788"/>
        <w:gridCol w:w="788"/>
        <w:gridCol w:w="984"/>
      </w:tblGrid>
      <w:tr w14:paraId="6BA302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0" w:hRule="atLeast"/>
        </w:trPr>
        <w:tc>
          <w:tcPr>
            <w:tcW w:w="783" w:type="dxa"/>
            <w:vAlign w:val="top"/>
          </w:tcPr>
          <w:p w14:paraId="5CD168C8">
            <w:pPr>
              <w:pStyle w:val="6"/>
              <w:spacing w:before="100" w:line="220" w:lineRule="auto"/>
              <w:jc w:val="right"/>
              <w:rPr>
                <w:sz w:val="19"/>
                <w:szCs w:val="19"/>
              </w:rPr>
            </w:pPr>
            <w:r>
              <w:rPr>
                <w:b/>
                <w:bCs/>
                <w:spacing w:val="-4"/>
                <w:sz w:val="19"/>
                <w:szCs w:val="19"/>
              </w:rPr>
              <w:t>目标要求</w:t>
            </w:r>
          </w:p>
        </w:tc>
        <w:tc>
          <w:tcPr>
            <w:tcW w:w="788" w:type="dxa"/>
            <w:vAlign w:val="top"/>
          </w:tcPr>
          <w:p w14:paraId="491F92D0">
            <w:pPr>
              <w:pStyle w:val="6"/>
              <w:spacing w:before="103" w:line="222" w:lineRule="auto"/>
              <w:ind w:left="54"/>
              <w:rPr>
                <w:sz w:val="19"/>
                <w:szCs w:val="19"/>
              </w:rPr>
            </w:pPr>
            <w:r>
              <w:rPr>
                <w:b/>
                <w:bCs/>
                <w:spacing w:val="4"/>
                <w:sz w:val="19"/>
                <w:szCs w:val="19"/>
              </w:rPr>
              <w:t>识记(A)</w:t>
            </w:r>
          </w:p>
        </w:tc>
        <w:tc>
          <w:tcPr>
            <w:tcW w:w="788" w:type="dxa"/>
            <w:vAlign w:val="top"/>
          </w:tcPr>
          <w:p w14:paraId="2358C397">
            <w:pPr>
              <w:pStyle w:val="6"/>
              <w:spacing w:before="100" w:line="220" w:lineRule="auto"/>
              <w:ind w:left="56"/>
              <w:rPr>
                <w:sz w:val="19"/>
                <w:szCs w:val="19"/>
              </w:rPr>
            </w:pPr>
            <w:r>
              <w:rPr>
                <w:b/>
                <w:bCs/>
                <w:spacing w:val="4"/>
                <w:sz w:val="19"/>
                <w:szCs w:val="19"/>
              </w:rPr>
              <w:t>理解(B)</w:t>
            </w:r>
          </w:p>
        </w:tc>
        <w:tc>
          <w:tcPr>
            <w:tcW w:w="788" w:type="dxa"/>
            <w:vAlign w:val="top"/>
          </w:tcPr>
          <w:p w14:paraId="106BE513">
            <w:pPr>
              <w:pStyle w:val="6"/>
              <w:spacing w:before="100" w:line="219" w:lineRule="auto"/>
              <w:ind w:left="58"/>
              <w:rPr>
                <w:sz w:val="19"/>
                <w:szCs w:val="19"/>
              </w:rPr>
            </w:pPr>
            <w:r>
              <w:rPr>
                <w:b/>
                <w:bCs/>
                <w:spacing w:val="4"/>
                <w:sz w:val="19"/>
                <w:szCs w:val="19"/>
              </w:rPr>
              <w:t>掌握(C)</w:t>
            </w:r>
          </w:p>
        </w:tc>
        <w:tc>
          <w:tcPr>
            <w:tcW w:w="984" w:type="dxa"/>
            <w:vAlign w:val="top"/>
          </w:tcPr>
          <w:p w14:paraId="3FB0A312">
            <w:pPr>
              <w:pStyle w:val="6"/>
              <w:spacing w:before="100" w:line="220" w:lineRule="auto"/>
              <w:jc w:val="right"/>
              <w:rPr>
                <w:sz w:val="19"/>
                <w:szCs w:val="19"/>
              </w:rPr>
            </w:pPr>
            <w:r>
              <w:rPr>
                <w:b/>
                <w:bCs/>
                <w:spacing w:val="-16"/>
                <w:sz w:val="19"/>
                <w:szCs w:val="19"/>
              </w:rPr>
              <w:t>综合运用(D)</w:t>
            </w:r>
          </w:p>
        </w:tc>
      </w:tr>
      <w:tr w14:paraId="13EE1E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9" w:hRule="atLeast"/>
        </w:trPr>
        <w:tc>
          <w:tcPr>
            <w:tcW w:w="783" w:type="dxa"/>
            <w:vAlign w:val="top"/>
          </w:tcPr>
          <w:p w14:paraId="3991ADDB">
            <w:pPr>
              <w:pStyle w:val="6"/>
              <w:spacing w:before="100" w:line="220" w:lineRule="auto"/>
              <w:ind w:left="97"/>
              <w:rPr>
                <w:sz w:val="19"/>
                <w:szCs w:val="19"/>
              </w:rPr>
            </w:pPr>
            <w:r>
              <w:rPr>
                <w:b/>
                <w:bCs/>
                <w:sz w:val="19"/>
                <w:szCs w:val="19"/>
              </w:rPr>
              <w:t>百分比</w:t>
            </w:r>
          </w:p>
        </w:tc>
        <w:tc>
          <w:tcPr>
            <w:tcW w:w="788" w:type="dxa"/>
            <w:vAlign w:val="top"/>
          </w:tcPr>
          <w:p w14:paraId="75D910BD">
            <w:pPr>
              <w:pStyle w:val="6"/>
              <w:spacing w:before="151" w:line="183" w:lineRule="auto"/>
              <w:ind w:left="241"/>
              <w:rPr>
                <w:sz w:val="19"/>
                <w:szCs w:val="19"/>
              </w:rPr>
            </w:pPr>
            <w:r>
              <w:rPr>
                <w:spacing w:val="-3"/>
                <w:sz w:val="19"/>
                <w:szCs w:val="19"/>
              </w:rPr>
              <w:t>20%</w:t>
            </w:r>
          </w:p>
        </w:tc>
        <w:tc>
          <w:tcPr>
            <w:tcW w:w="788" w:type="dxa"/>
            <w:vAlign w:val="top"/>
          </w:tcPr>
          <w:p w14:paraId="7FB2FFE5">
            <w:pPr>
              <w:pStyle w:val="6"/>
              <w:spacing w:before="151" w:line="183" w:lineRule="auto"/>
              <w:ind w:left="243"/>
              <w:rPr>
                <w:sz w:val="19"/>
                <w:szCs w:val="19"/>
              </w:rPr>
            </w:pPr>
            <w:r>
              <w:rPr>
                <w:spacing w:val="-3"/>
                <w:sz w:val="19"/>
                <w:szCs w:val="19"/>
              </w:rPr>
              <w:t>30%</w:t>
            </w:r>
          </w:p>
        </w:tc>
        <w:tc>
          <w:tcPr>
            <w:tcW w:w="788" w:type="dxa"/>
            <w:vAlign w:val="top"/>
          </w:tcPr>
          <w:p w14:paraId="64FCE6B2">
            <w:pPr>
              <w:pStyle w:val="6"/>
              <w:spacing w:before="150" w:line="183" w:lineRule="auto"/>
              <w:ind w:left="248"/>
              <w:rPr>
                <w:sz w:val="19"/>
                <w:szCs w:val="19"/>
              </w:rPr>
            </w:pPr>
            <w:r>
              <w:rPr>
                <w:b/>
                <w:bCs/>
                <w:spacing w:val="-5"/>
                <w:sz w:val="19"/>
                <w:szCs w:val="19"/>
              </w:rPr>
              <w:t>30%</w:t>
            </w:r>
          </w:p>
        </w:tc>
        <w:tc>
          <w:tcPr>
            <w:tcW w:w="984" w:type="dxa"/>
            <w:vAlign w:val="top"/>
          </w:tcPr>
          <w:p w14:paraId="2B55B89D">
            <w:pPr>
              <w:pStyle w:val="6"/>
              <w:spacing w:before="150" w:line="183" w:lineRule="auto"/>
              <w:ind w:left="330"/>
              <w:rPr>
                <w:sz w:val="19"/>
                <w:szCs w:val="19"/>
              </w:rPr>
            </w:pPr>
            <w:r>
              <w:rPr>
                <w:b/>
                <w:bCs/>
                <w:spacing w:val="-5"/>
                <w:sz w:val="19"/>
                <w:szCs w:val="19"/>
              </w:rPr>
              <w:t>20%</w:t>
            </w:r>
          </w:p>
        </w:tc>
      </w:tr>
    </w:tbl>
    <w:p w14:paraId="507EE179">
      <w:pPr>
        <w:spacing w:before="222" w:line="219" w:lineRule="auto"/>
        <w:ind w:left="425"/>
        <w:rPr>
          <w:rFonts w:ascii="宋体" w:hAnsi="宋体" w:eastAsia="宋体" w:cs="宋体"/>
          <w:sz w:val="17"/>
          <w:szCs w:val="17"/>
        </w:rPr>
      </w:pPr>
      <w:r>
        <w:rPr>
          <w:rFonts w:ascii="宋体" w:hAnsi="宋体" w:eastAsia="宋体" w:cs="宋体"/>
          <w:spacing w:val="7"/>
          <w:sz w:val="17"/>
          <w:szCs w:val="17"/>
        </w:rPr>
        <w:t>(3)按试题的难易程度分：</w:t>
      </w:r>
    </w:p>
    <w:p w14:paraId="6BB94E39">
      <w:pPr>
        <w:spacing w:line="146" w:lineRule="exact"/>
      </w:pPr>
    </w:p>
    <w:tbl>
      <w:tblPr>
        <w:tblStyle w:val="5"/>
        <w:tblW w:w="4109" w:type="dxa"/>
        <w:tblInd w:w="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83"/>
        <w:gridCol w:w="1107"/>
        <w:gridCol w:w="1107"/>
        <w:gridCol w:w="1112"/>
      </w:tblGrid>
      <w:tr w14:paraId="5585BD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0" w:hRule="atLeast"/>
        </w:trPr>
        <w:tc>
          <w:tcPr>
            <w:tcW w:w="783" w:type="dxa"/>
            <w:vAlign w:val="top"/>
          </w:tcPr>
          <w:p w14:paraId="28212B15">
            <w:pPr>
              <w:pStyle w:val="6"/>
              <w:spacing w:before="110" w:line="220" w:lineRule="auto"/>
              <w:ind w:left="67"/>
            </w:pPr>
            <w:r>
              <w:rPr>
                <w:b/>
                <w:bCs/>
                <w:spacing w:val="-3"/>
              </w:rPr>
              <w:t>难易程度</w:t>
            </w:r>
          </w:p>
        </w:tc>
        <w:tc>
          <w:tcPr>
            <w:tcW w:w="1107" w:type="dxa"/>
            <w:vAlign w:val="top"/>
          </w:tcPr>
          <w:p w14:paraId="56A85292">
            <w:pPr>
              <w:pStyle w:val="6"/>
              <w:spacing w:before="111" w:line="221" w:lineRule="auto"/>
              <w:ind w:left="294"/>
            </w:pPr>
            <w:r>
              <w:rPr>
                <w:b/>
                <w:bCs/>
                <w:spacing w:val="-4"/>
              </w:rPr>
              <w:t>基础题</w:t>
            </w:r>
          </w:p>
        </w:tc>
        <w:tc>
          <w:tcPr>
            <w:tcW w:w="1107" w:type="dxa"/>
            <w:vAlign w:val="top"/>
          </w:tcPr>
          <w:p w14:paraId="6FAC25FE">
            <w:pPr>
              <w:pStyle w:val="6"/>
              <w:spacing w:before="109" w:line="219" w:lineRule="auto"/>
              <w:ind w:left="127"/>
            </w:pPr>
            <w:r>
              <w:rPr>
                <w:b/>
                <w:bCs/>
                <w:spacing w:val="-2"/>
              </w:rPr>
              <w:t>中等难度题</w:t>
            </w:r>
          </w:p>
        </w:tc>
        <w:tc>
          <w:tcPr>
            <w:tcW w:w="1112" w:type="dxa"/>
            <w:vAlign w:val="top"/>
          </w:tcPr>
          <w:p w14:paraId="3FCBAC37">
            <w:pPr>
              <w:pStyle w:val="6"/>
              <w:spacing w:before="110" w:line="221" w:lineRule="auto"/>
              <w:ind w:left="380"/>
            </w:pPr>
            <w:r>
              <w:rPr>
                <w:b/>
                <w:bCs/>
                <w:spacing w:val="-4"/>
              </w:rPr>
              <w:t>难题</w:t>
            </w:r>
          </w:p>
        </w:tc>
      </w:tr>
      <w:tr w14:paraId="539A02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0" w:hRule="atLeast"/>
        </w:trPr>
        <w:tc>
          <w:tcPr>
            <w:tcW w:w="783" w:type="dxa"/>
            <w:vAlign w:val="top"/>
          </w:tcPr>
          <w:p w14:paraId="0105029A">
            <w:pPr>
              <w:pStyle w:val="6"/>
              <w:spacing w:before="110" w:line="220" w:lineRule="auto"/>
              <w:ind w:left="137"/>
            </w:pPr>
            <w:r>
              <w:rPr>
                <w:b/>
                <w:bCs/>
                <w:spacing w:val="-5"/>
              </w:rPr>
              <w:t>百分比</w:t>
            </w:r>
          </w:p>
        </w:tc>
        <w:tc>
          <w:tcPr>
            <w:tcW w:w="1107" w:type="dxa"/>
            <w:vAlign w:val="top"/>
          </w:tcPr>
          <w:p w14:paraId="538CF7DD">
            <w:pPr>
              <w:pStyle w:val="6"/>
              <w:spacing w:before="154" w:line="183" w:lineRule="auto"/>
              <w:ind w:left="414"/>
            </w:pPr>
            <w:r>
              <w:rPr>
                <w:b/>
                <w:bCs/>
                <w:spacing w:val="-5"/>
              </w:rPr>
              <w:t>50%</w:t>
            </w:r>
          </w:p>
        </w:tc>
        <w:tc>
          <w:tcPr>
            <w:tcW w:w="1107" w:type="dxa"/>
            <w:vAlign w:val="top"/>
          </w:tcPr>
          <w:p w14:paraId="7ECC02DA">
            <w:pPr>
              <w:pStyle w:val="6"/>
              <w:spacing w:before="154" w:line="183" w:lineRule="auto"/>
              <w:ind w:left="417"/>
            </w:pPr>
            <w:r>
              <w:rPr>
                <w:b/>
                <w:bCs/>
                <w:spacing w:val="-4"/>
              </w:rPr>
              <w:t>40%</w:t>
            </w:r>
          </w:p>
        </w:tc>
        <w:tc>
          <w:tcPr>
            <w:tcW w:w="1112" w:type="dxa"/>
            <w:vAlign w:val="top"/>
          </w:tcPr>
          <w:p w14:paraId="5B653AD5">
            <w:pPr>
              <w:pStyle w:val="6"/>
              <w:spacing w:before="153" w:line="184" w:lineRule="auto"/>
              <w:ind w:left="420"/>
            </w:pPr>
            <w:r>
              <w:rPr>
                <w:b/>
                <w:bCs/>
                <w:spacing w:val="-7"/>
              </w:rPr>
              <w:t>10%</w:t>
            </w:r>
          </w:p>
        </w:tc>
      </w:tr>
    </w:tbl>
    <w:p w14:paraId="0E416276">
      <w:pPr>
        <w:spacing w:before="212" w:line="219" w:lineRule="auto"/>
        <w:ind w:left="425"/>
        <w:rPr>
          <w:rFonts w:ascii="宋体" w:hAnsi="宋体" w:eastAsia="宋体" w:cs="宋体"/>
          <w:sz w:val="17"/>
          <w:szCs w:val="17"/>
        </w:rPr>
      </w:pPr>
      <w:r>
        <w:rPr>
          <w:rFonts w:ascii="宋体" w:hAnsi="宋体" w:eastAsia="宋体" w:cs="宋体"/>
          <w:spacing w:val="10"/>
          <w:sz w:val="17"/>
          <w:szCs w:val="17"/>
        </w:rPr>
        <w:t>(4)按题型分：</w:t>
      </w:r>
    </w:p>
    <w:p w14:paraId="1F99AC60">
      <w:pPr>
        <w:spacing w:before="108" w:line="219" w:lineRule="auto"/>
        <w:ind w:left="345"/>
        <w:rPr>
          <w:rFonts w:ascii="宋体" w:hAnsi="宋体" w:eastAsia="宋体" w:cs="宋体"/>
          <w:sz w:val="17"/>
          <w:szCs w:val="17"/>
        </w:rPr>
      </w:pPr>
      <w:r>
        <w:rPr>
          <w:rFonts w:ascii="宋体" w:hAnsi="宋体" w:eastAsia="宋体" w:cs="宋体"/>
          <w:spacing w:val="4"/>
          <w:sz w:val="17"/>
          <w:szCs w:val="17"/>
        </w:rPr>
        <w:t>第一部分：《化学》</w:t>
      </w:r>
    </w:p>
    <w:p w14:paraId="43A01172">
      <w:pPr>
        <w:spacing w:line="136" w:lineRule="exact"/>
      </w:pPr>
    </w:p>
    <w:tbl>
      <w:tblPr>
        <w:tblStyle w:val="5"/>
        <w:tblW w:w="4109" w:type="dxa"/>
        <w:tblInd w:w="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24"/>
        <w:gridCol w:w="598"/>
        <w:gridCol w:w="529"/>
        <w:gridCol w:w="728"/>
        <w:gridCol w:w="539"/>
        <w:gridCol w:w="588"/>
        <w:gridCol w:w="603"/>
      </w:tblGrid>
      <w:tr w14:paraId="22F4E8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0" w:hRule="atLeast"/>
        </w:trPr>
        <w:tc>
          <w:tcPr>
            <w:tcW w:w="524" w:type="dxa"/>
            <w:vAlign w:val="top"/>
          </w:tcPr>
          <w:p w14:paraId="33F5AFC1">
            <w:pPr>
              <w:pStyle w:val="6"/>
              <w:spacing w:before="111" w:line="221" w:lineRule="auto"/>
              <w:ind w:left="97"/>
              <w:rPr>
                <w:sz w:val="16"/>
                <w:szCs w:val="16"/>
              </w:rPr>
            </w:pPr>
            <w:r>
              <w:rPr>
                <w:b/>
                <w:bCs/>
                <w:spacing w:val="-4"/>
                <w:sz w:val="16"/>
                <w:szCs w:val="16"/>
              </w:rPr>
              <w:t>题型</w:t>
            </w:r>
          </w:p>
        </w:tc>
        <w:tc>
          <w:tcPr>
            <w:tcW w:w="598" w:type="dxa"/>
            <w:vAlign w:val="top"/>
          </w:tcPr>
          <w:p w14:paraId="1C31F8E2">
            <w:pPr>
              <w:pStyle w:val="6"/>
              <w:spacing w:before="30" w:line="196" w:lineRule="auto"/>
              <w:ind w:left="53" w:right="60" w:firstLine="79"/>
              <w:rPr>
                <w:sz w:val="16"/>
                <w:szCs w:val="16"/>
              </w:rPr>
            </w:pPr>
            <w:r>
              <w:rPr>
                <w:b/>
                <w:bCs/>
                <w:spacing w:val="-6"/>
                <w:sz w:val="16"/>
                <w:szCs w:val="16"/>
              </w:rPr>
              <w:t>单项</w:t>
            </w:r>
            <w:r>
              <w:rPr>
                <w:sz w:val="16"/>
                <w:szCs w:val="16"/>
              </w:rPr>
              <w:t xml:space="preserve">  </w:t>
            </w:r>
            <w:r>
              <w:rPr>
                <w:b/>
                <w:bCs/>
                <w:spacing w:val="-4"/>
                <w:sz w:val="16"/>
                <w:szCs w:val="16"/>
              </w:rPr>
              <w:t>选择题</w:t>
            </w:r>
          </w:p>
        </w:tc>
        <w:tc>
          <w:tcPr>
            <w:tcW w:w="529" w:type="dxa"/>
            <w:vAlign w:val="top"/>
          </w:tcPr>
          <w:p w14:paraId="0CC3FD41">
            <w:pPr>
              <w:pStyle w:val="6"/>
              <w:spacing w:before="109" w:line="220" w:lineRule="auto"/>
              <w:ind w:left="15"/>
              <w:rPr>
                <w:sz w:val="16"/>
                <w:szCs w:val="16"/>
              </w:rPr>
            </w:pPr>
            <w:r>
              <w:rPr>
                <w:b/>
                <w:bCs/>
                <w:spacing w:val="-4"/>
                <w:sz w:val="16"/>
                <w:szCs w:val="16"/>
              </w:rPr>
              <w:t>填空题</w:t>
            </w:r>
          </w:p>
        </w:tc>
        <w:tc>
          <w:tcPr>
            <w:tcW w:w="728" w:type="dxa"/>
            <w:vAlign w:val="top"/>
          </w:tcPr>
          <w:p w14:paraId="7FE4C735">
            <w:pPr>
              <w:pStyle w:val="6"/>
              <w:spacing w:before="9" w:line="208" w:lineRule="auto"/>
              <w:ind w:left="36" w:right="48"/>
              <w:rPr>
                <w:sz w:val="16"/>
                <w:szCs w:val="16"/>
              </w:rPr>
            </w:pPr>
            <w:r>
              <w:rPr>
                <w:b/>
                <w:bCs/>
                <w:spacing w:val="-4"/>
                <w:sz w:val="16"/>
                <w:szCs w:val="16"/>
              </w:rPr>
              <w:t>化学方程</w:t>
            </w:r>
            <w:r>
              <w:rPr>
                <w:spacing w:val="1"/>
                <w:sz w:val="16"/>
                <w:szCs w:val="16"/>
              </w:rPr>
              <w:t xml:space="preserve"> </w:t>
            </w:r>
            <w:r>
              <w:rPr>
                <w:b/>
                <w:bCs/>
                <w:spacing w:val="-4"/>
                <w:sz w:val="16"/>
                <w:szCs w:val="16"/>
              </w:rPr>
              <w:t>式的书写</w:t>
            </w:r>
          </w:p>
        </w:tc>
        <w:tc>
          <w:tcPr>
            <w:tcW w:w="539" w:type="dxa"/>
            <w:vAlign w:val="top"/>
          </w:tcPr>
          <w:p w14:paraId="5C78E22B">
            <w:pPr>
              <w:pStyle w:val="6"/>
              <w:spacing w:before="108" w:line="219" w:lineRule="auto"/>
              <w:ind w:left="28"/>
              <w:rPr>
                <w:sz w:val="16"/>
                <w:szCs w:val="16"/>
              </w:rPr>
            </w:pPr>
            <w:r>
              <w:rPr>
                <w:b/>
                <w:bCs/>
                <w:spacing w:val="-4"/>
                <w:sz w:val="16"/>
                <w:szCs w:val="16"/>
              </w:rPr>
              <w:t>简答题</w:t>
            </w:r>
          </w:p>
        </w:tc>
        <w:tc>
          <w:tcPr>
            <w:tcW w:w="588" w:type="dxa"/>
            <w:vAlign w:val="top"/>
          </w:tcPr>
          <w:p w14:paraId="6B58E3C7">
            <w:pPr>
              <w:pStyle w:val="6"/>
              <w:spacing w:before="30" w:line="196" w:lineRule="auto"/>
              <w:ind w:left="49" w:right="54" w:firstLine="80"/>
              <w:rPr>
                <w:sz w:val="16"/>
                <w:szCs w:val="16"/>
              </w:rPr>
            </w:pPr>
            <w:r>
              <w:rPr>
                <w:b/>
                <w:bCs/>
                <w:spacing w:val="-7"/>
                <w:sz w:val="16"/>
                <w:szCs w:val="16"/>
              </w:rPr>
              <w:t>实践</w:t>
            </w:r>
            <w:r>
              <w:rPr>
                <w:sz w:val="16"/>
                <w:szCs w:val="16"/>
              </w:rPr>
              <w:t xml:space="preserve">  </w:t>
            </w:r>
            <w:r>
              <w:rPr>
                <w:b/>
                <w:bCs/>
                <w:spacing w:val="-4"/>
                <w:sz w:val="16"/>
                <w:szCs w:val="16"/>
              </w:rPr>
              <w:t>探究题</w:t>
            </w:r>
          </w:p>
        </w:tc>
        <w:tc>
          <w:tcPr>
            <w:tcW w:w="603" w:type="dxa"/>
            <w:vAlign w:val="top"/>
          </w:tcPr>
          <w:p w14:paraId="12177791">
            <w:pPr>
              <w:pStyle w:val="6"/>
              <w:spacing w:before="109" w:line="219" w:lineRule="auto"/>
              <w:ind w:right="5"/>
              <w:jc w:val="right"/>
              <w:rPr>
                <w:sz w:val="16"/>
                <w:szCs w:val="16"/>
              </w:rPr>
            </w:pPr>
            <w:r>
              <w:rPr>
                <w:b/>
                <w:bCs/>
                <w:spacing w:val="-4"/>
                <w:sz w:val="16"/>
                <w:szCs w:val="16"/>
              </w:rPr>
              <w:t>计算题</w:t>
            </w:r>
          </w:p>
        </w:tc>
      </w:tr>
      <w:tr w14:paraId="3B6B9F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9" w:hRule="atLeast"/>
        </w:trPr>
        <w:tc>
          <w:tcPr>
            <w:tcW w:w="524" w:type="dxa"/>
            <w:vAlign w:val="top"/>
          </w:tcPr>
          <w:p w14:paraId="0DB347FB">
            <w:pPr>
              <w:pStyle w:val="6"/>
              <w:spacing w:before="109" w:line="220" w:lineRule="auto"/>
              <w:ind w:left="17"/>
              <w:rPr>
                <w:sz w:val="16"/>
                <w:szCs w:val="16"/>
              </w:rPr>
            </w:pPr>
            <w:r>
              <w:rPr>
                <w:b/>
                <w:bCs/>
                <w:spacing w:val="-5"/>
                <w:sz w:val="16"/>
                <w:szCs w:val="16"/>
              </w:rPr>
              <w:t>百分比</w:t>
            </w:r>
          </w:p>
        </w:tc>
        <w:tc>
          <w:tcPr>
            <w:tcW w:w="598" w:type="dxa"/>
            <w:vAlign w:val="top"/>
          </w:tcPr>
          <w:p w14:paraId="49FD5DEE">
            <w:pPr>
              <w:pStyle w:val="6"/>
              <w:spacing w:before="151" w:line="183" w:lineRule="auto"/>
              <w:ind w:left="173"/>
              <w:rPr>
                <w:sz w:val="16"/>
                <w:szCs w:val="16"/>
              </w:rPr>
            </w:pPr>
            <w:r>
              <w:rPr>
                <w:b/>
                <w:bCs/>
                <w:spacing w:val="-4"/>
                <w:sz w:val="16"/>
                <w:szCs w:val="16"/>
              </w:rPr>
              <w:t>32%</w:t>
            </w:r>
          </w:p>
        </w:tc>
        <w:tc>
          <w:tcPr>
            <w:tcW w:w="529" w:type="dxa"/>
            <w:vAlign w:val="top"/>
          </w:tcPr>
          <w:p w14:paraId="197D6F35">
            <w:pPr>
              <w:pStyle w:val="6"/>
              <w:spacing w:before="151" w:line="183" w:lineRule="auto"/>
              <w:ind w:left="135"/>
              <w:rPr>
                <w:sz w:val="16"/>
                <w:szCs w:val="16"/>
              </w:rPr>
            </w:pPr>
            <w:r>
              <w:rPr>
                <w:b/>
                <w:bCs/>
                <w:spacing w:val="-4"/>
                <w:sz w:val="16"/>
                <w:szCs w:val="16"/>
              </w:rPr>
              <w:t>20%</w:t>
            </w:r>
          </w:p>
        </w:tc>
        <w:tc>
          <w:tcPr>
            <w:tcW w:w="728" w:type="dxa"/>
            <w:vAlign w:val="top"/>
          </w:tcPr>
          <w:p w14:paraId="36D92EA9">
            <w:pPr>
              <w:pStyle w:val="6"/>
              <w:spacing w:before="151" w:line="184" w:lineRule="auto"/>
              <w:ind w:left="236"/>
              <w:rPr>
                <w:sz w:val="16"/>
                <w:szCs w:val="16"/>
              </w:rPr>
            </w:pPr>
            <w:r>
              <w:rPr>
                <w:b/>
                <w:bCs/>
                <w:spacing w:val="-6"/>
                <w:sz w:val="16"/>
                <w:szCs w:val="16"/>
              </w:rPr>
              <w:t>10%</w:t>
            </w:r>
          </w:p>
        </w:tc>
        <w:tc>
          <w:tcPr>
            <w:tcW w:w="539" w:type="dxa"/>
            <w:vAlign w:val="top"/>
          </w:tcPr>
          <w:p w14:paraId="0F254215">
            <w:pPr>
              <w:pStyle w:val="6"/>
              <w:spacing w:before="151" w:line="184" w:lineRule="auto"/>
              <w:ind w:left="148"/>
              <w:rPr>
                <w:sz w:val="16"/>
                <w:szCs w:val="16"/>
              </w:rPr>
            </w:pPr>
            <w:r>
              <w:rPr>
                <w:b/>
                <w:bCs/>
                <w:spacing w:val="-6"/>
                <w:sz w:val="16"/>
                <w:szCs w:val="16"/>
              </w:rPr>
              <w:t>16%</w:t>
            </w:r>
          </w:p>
        </w:tc>
        <w:tc>
          <w:tcPr>
            <w:tcW w:w="588" w:type="dxa"/>
            <w:vAlign w:val="top"/>
          </w:tcPr>
          <w:p w14:paraId="60CBDC5C">
            <w:pPr>
              <w:pStyle w:val="6"/>
              <w:spacing w:before="151" w:line="184" w:lineRule="auto"/>
              <w:ind w:left="169"/>
              <w:rPr>
                <w:sz w:val="16"/>
                <w:szCs w:val="16"/>
              </w:rPr>
            </w:pPr>
            <w:r>
              <w:rPr>
                <w:b/>
                <w:bCs/>
                <w:spacing w:val="-6"/>
                <w:sz w:val="16"/>
                <w:szCs w:val="16"/>
              </w:rPr>
              <w:t>10%</w:t>
            </w:r>
          </w:p>
        </w:tc>
        <w:tc>
          <w:tcPr>
            <w:tcW w:w="603" w:type="dxa"/>
            <w:vAlign w:val="top"/>
          </w:tcPr>
          <w:p w14:paraId="05AF25F4">
            <w:pPr>
              <w:pStyle w:val="6"/>
              <w:spacing w:before="151" w:line="184" w:lineRule="auto"/>
              <w:ind w:left="161"/>
              <w:rPr>
                <w:sz w:val="16"/>
                <w:szCs w:val="16"/>
              </w:rPr>
            </w:pPr>
            <w:r>
              <w:rPr>
                <w:b/>
                <w:bCs/>
                <w:spacing w:val="-6"/>
                <w:sz w:val="16"/>
                <w:szCs w:val="16"/>
              </w:rPr>
              <w:t>12%</w:t>
            </w:r>
          </w:p>
        </w:tc>
      </w:tr>
    </w:tbl>
    <w:p w14:paraId="20859A20">
      <w:pPr>
        <w:spacing w:before="221" w:line="219" w:lineRule="auto"/>
        <w:ind w:left="345"/>
        <w:rPr>
          <w:rFonts w:ascii="宋体" w:hAnsi="宋体" w:eastAsia="宋体" w:cs="宋体"/>
          <w:sz w:val="17"/>
          <w:szCs w:val="17"/>
        </w:rPr>
      </w:pPr>
      <w:r>
        <w:rPr>
          <w:rFonts w:ascii="宋体" w:hAnsi="宋体" w:eastAsia="宋体" w:cs="宋体"/>
          <w:spacing w:val="3"/>
          <w:sz w:val="17"/>
          <w:szCs w:val="17"/>
        </w:rPr>
        <w:t>第二部分：《无机物定量分析基础》</w:t>
      </w:r>
    </w:p>
    <w:p w14:paraId="3F9D7068">
      <w:pPr>
        <w:spacing w:line="147" w:lineRule="exact"/>
      </w:pPr>
    </w:p>
    <w:tbl>
      <w:tblPr>
        <w:tblStyle w:val="5"/>
        <w:tblW w:w="4119" w:type="dxa"/>
        <w:tblInd w:w="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23"/>
        <w:gridCol w:w="898"/>
        <w:gridCol w:w="898"/>
        <w:gridCol w:w="897"/>
        <w:gridCol w:w="903"/>
      </w:tblGrid>
      <w:tr w14:paraId="5C18D2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9" w:hRule="atLeast"/>
        </w:trPr>
        <w:tc>
          <w:tcPr>
            <w:tcW w:w="523" w:type="dxa"/>
            <w:vAlign w:val="top"/>
          </w:tcPr>
          <w:p w14:paraId="0C1B6EDF">
            <w:pPr>
              <w:pStyle w:val="6"/>
              <w:spacing w:before="111" w:line="221" w:lineRule="auto"/>
              <w:ind w:left="97"/>
              <w:rPr>
                <w:sz w:val="16"/>
                <w:szCs w:val="16"/>
              </w:rPr>
            </w:pPr>
            <w:r>
              <w:rPr>
                <w:b/>
                <w:bCs/>
                <w:spacing w:val="-4"/>
                <w:sz w:val="16"/>
                <w:szCs w:val="16"/>
              </w:rPr>
              <w:t>题型</w:t>
            </w:r>
          </w:p>
        </w:tc>
        <w:tc>
          <w:tcPr>
            <w:tcW w:w="898" w:type="dxa"/>
            <w:vAlign w:val="top"/>
          </w:tcPr>
          <w:p w14:paraId="0D827A78">
            <w:pPr>
              <w:pStyle w:val="6"/>
              <w:spacing w:before="109" w:line="220" w:lineRule="auto"/>
              <w:ind w:left="44"/>
              <w:rPr>
                <w:sz w:val="16"/>
                <w:szCs w:val="16"/>
              </w:rPr>
            </w:pPr>
            <w:r>
              <w:rPr>
                <w:b/>
                <w:bCs/>
                <w:spacing w:val="-3"/>
                <w:sz w:val="16"/>
                <w:szCs w:val="16"/>
              </w:rPr>
              <w:t>单项选择题</w:t>
            </w:r>
          </w:p>
        </w:tc>
        <w:tc>
          <w:tcPr>
            <w:tcW w:w="898" w:type="dxa"/>
            <w:vAlign w:val="top"/>
          </w:tcPr>
          <w:p w14:paraId="68BC3C38">
            <w:pPr>
              <w:pStyle w:val="6"/>
              <w:spacing w:before="109" w:line="220" w:lineRule="auto"/>
              <w:ind w:left="206"/>
              <w:rPr>
                <w:sz w:val="16"/>
                <w:szCs w:val="16"/>
              </w:rPr>
            </w:pPr>
            <w:r>
              <w:rPr>
                <w:b/>
                <w:bCs/>
                <w:spacing w:val="-4"/>
                <w:sz w:val="16"/>
                <w:szCs w:val="16"/>
              </w:rPr>
              <w:t>填空题</w:t>
            </w:r>
          </w:p>
        </w:tc>
        <w:tc>
          <w:tcPr>
            <w:tcW w:w="897" w:type="dxa"/>
            <w:vAlign w:val="top"/>
          </w:tcPr>
          <w:p w14:paraId="2A02959B">
            <w:pPr>
              <w:pStyle w:val="6"/>
              <w:spacing w:before="109" w:line="219" w:lineRule="auto"/>
              <w:ind w:left="208"/>
              <w:rPr>
                <w:sz w:val="16"/>
                <w:szCs w:val="16"/>
              </w:rPr>
            </w:pPr>
            <w:r>
              <w:rPr>
                <w:b/>
                <w:bCs/>
                <w:spacing w:val="-4"/>
                <w:sz w:val="16"/>
                <w:szCs w:val="16"/>
              </w:rPr>
              <w:t>判断题</w:t>
            </w:r>
          </w:p>
        </w:tc>
        <w:tc>
          <w:tcPr>
            <w:tcW w:w="903" w:type="dxa"/>
            <w:vAlign w:val="top"/>
          </w:tcPr>
          <w:p w14:paraId="66D196EE">
            <w:pPr>
              <w:pStyle w:val="6"/>
              <w:spacing w:before="108" w:line="219" w:lineRule="auto"/>
              <w:ind w:left="211"/>
              <w:rPr>
                <w:sz w:val="16"/>
                <w:szCs w:val="16"/>
              </w:rPr>
            </w:pPr>
            <w:r>
              <w:rPr>
                <w:b/>
                <w:bCs/>
                <w:spacing w:val="-4"/>
                <w:sz w:val="16"/>
                <w:szCs w:val="16"/>
              </w:rPr>
              <w:t>简答题</w:t>
            </w:r>
          </w:p>
        </w:tc>
      </w:tr>
      <w:tr w14:paraId="15C39D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0" w:hRule="atLeast"/>
        </w:trPr>
        <w:tc>
          <w:tcPr>
            <w:tcW w:w="523" w:type="dxa"/>
            <w:vAlign w:val="top"/>
          </w:tcPr>
          <w:p w14:paraId="109D076B">
            <w:pPr>
              <w:pStyle w:val="6"/>
              <w:spacing w:before="110" w:line="220" w:lineRule="auto"/>
              <w:ind w:left="17"/>
              <w:rPr>
                <w:sz w:val="16"/>
                <w:szCs w:val="16"/>
              </w:rPr>
            </w:pPr>
            <w:r>
              <w:rPr>
                <w:b/>
                <w:bCs/>
                <w:spacing w:val="-5"/>
                <w:sz w:val="16"/>
                <w:szCs w:val="16"/>
              </w:rPr>
              <w:t>百分比</w:t>
            </w:r>
          </w:p>
        </w:tc>
        <w:tc>
          <w:tcPr>
            <w:tcW w:w="898" w:type="dxa"/>
            <w:vAlign w:val="top"/>
          </w:tcPr>
          <w:p w14:paraId="46820C0A">
            <w:pPr>
              <w:pStyle w:val="6"/>
              <w:spacing w:before="152" w:line="183" w:lineRule="auto"/>
              <w:ind w:left="324"/>
              <w:rPr>
                <w:sz w:val="16"/>
                <w:szCs w:val="16"/>
              </w:rPr>
            </w:pPr>
            <w:r>
              <w:rPr>
                <w:b/>
                <w:bCs/>
                <w:spacing w:val="-3"/>
                <w:sz w:val="16"/>
                <w:szCs w:val="16"/>
              </w:rPr>
              <w:t>40%</w:t>
            </w:r>
          </w:p>
        </w:tc>
        <w:tc>
          <w:tcPr>
            <w:tcW w:w="898" w:type="dxa"/>
            <w:vAlign w:val="top"/>
          </w:tcPr>
          <w:p w14:paraId="36DD3794">
            <w:pPr>
              <w:pStyle w:val="6"/>
              <w:spacing w:before="152" w:line="183" w:lineRule="auto"/>
              <w:ind w:left="326"/>
              <w:rPr>
                <w:sz w:val="16"/>
                <w:szCs w:val="16"/>
              </w:rPr>
            </w:pPr>
            <w:r>
              <w:rPr>
                <w:b/>
                <w:bCs/>
                <w:spacing w:val="-4"/>
                <w:sz w:val="16"/>
                <w:szCs w:val="16"/>
              </w:rPr>
              <w:t>20%</w:t>
            </w:r>
          </w:p>
        </w:tc>
        <w:tc>
          <w:tcPr>
            <w:tcW w:w="897" w:type="dxa"/>
            <w:vAlign w:val="top"/>
          </w:tcPr>
          <w:p w14:paraId="3B68A5A3">
            <w:pPr>
              <w:pStyle w:val="6"/>
              <w:spacing w:before="152" w:line="183" w:lineRule="auto"/>
              <w:ind w:left="328"/>
              <w:rPr>
                <w:sz w:val="16"/>
                <w:szCs w:val="16"/>
              </w:rPr>
            </w:pPr>
            <w:r>
              <w:rPr>
                <w:b/>
                <w:bCs/>
                <w:spacing w:val="-4"/>
                <w:sz w:val="16"/>
                <w:szCs w:val="16"/>
              </w:rPr>
              <w:t>20%</w:t>
            </w:r>
          </w:p>
        </w:tc>
        <w:tc>
          <w:tcPr>
            <w:tcW w:w="903" w:type="dxa"/>
            <w:vAlign w:val="top"/>
          </w:tcPr>
          <w:p w14:paraId="4764296F">
            <w:pPr>
              <w:pStyle w:val="6"/>
              <w:spacing w:before="152" w:line="183" w:lineRule="auto"/>
              <w:ind w:left="331"/>
              <w:rPr>
                <w:sz w:val="16"/>
                <w:szCs w:val="16"/>
              </w:rPr>
            </w:pPr>
            <w:r>
              <w:rPr>
                <w:b/>
                <w:bCs/>
                <w:spacing w:val="-4"/>
                <w:sz w:val="16"/>
                <w:szCs w:val="16"/>
              </w:rPr>
              <w:t>20%</w:t>
            </w:r>
          </w:p>
        </w:tc>
      </w:tr>
    </w:tbl>
    <w:p w14:paraId="40FE3034">
      <w:pPr>
        <w:spacing w:before="222" w:line="219" w:lineRule="auto"/>
        <w:ind w:left="345"/>
        <w:rPr>
          <w:rFonts w:ascii="宋体" w:hAnsi="宋体" w:eastAsia="宋体" w:cs="宋体"/>
          <w:sz w:val="17"/>
          <w:szCs w:val="17"/>
        </w:rPr>
      </w:pPr>
      <w:r>
        <w:rPr>
          <w:rFonts w:ascii="宋体" w:hAnsi="宋体" w:eastAsia="宋体" w:cs="宋体"/>
          <w:spacing w:val="3"/>
          <w:sz w:val="17"/>
          <w:szCs w:val="17"/>
        </w:rPr>
        <w:t>第三部分：《化工单元操作》</w:t>
      </w:r>
    </w:p>
    <w:p w14:paraId="419334BF">
      <w:pPr>
        <w:spacing w:line="146" w:lineRule="exact"/>
      </w:pPr>
    </w:p>
    <w:tbl>
      <w:tblPr>
        <w:tblStyle w:val="5"/>
        <w:tblW w:w="4109" w:type="dxa"/>
        <w:tblInd w:w="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23"/>
        <w:gridCol w:w="898"/>
        <w:gridCol w:w="898"/>
        <w:gridCol w:w="897"/>
        <w:gridCol w:w="893"/>
      </w:tblGrid>
      <w:tr w14:paraId="4AFB6C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0" w:hRule="atLeast"/>
        </w:trPr>
        <w:tc>
          <w:tcPr>
            <w:tcW w:w="523" w:type="dxa"/>
            <w:vAlign w:val="top"/>
          </w:tcPr>
          <w:p w14:paraId="040FE121">
            <w:pPr>
              <w:pStyle w:val="6"/>
              <w:spacing w:before="111" w:line="221" w:lineRule="auto"/>
              <w:ind w:left="97"/>
              <w:rPr>
                <w:sz w:val="16"/>
                <w:szCs w:val="16"/>
              </w:rPr>
            </w:pPr>
            <w:r>
              <w:rPr>
                <w:b/>
                <w:bCs/>
                <w:spacing w:val="-4"/>
                <w:sz w:val="16"/>
                <w:szCs w:val="16"/>
              </w:rPr>
              <w:t>题型</w:t>
            </w:r>
          </w:p>
        </w:tc>
        <w:tc>
          <w:tcPr>
            <w:tcW w:w="898" w:type="dxa"/>
            <w:vAlign w:val="top"/>
          </w:tcPr>
          <w:p w14:paraId="048941ED">
            <w:pPr>
              <w:pStyle w:val="6"/>
              <w:spacing w:before="109" w:line="220" w:lineRule="auto"/>
              <w:ind w:left="44"/>
              <w:rPr>
                <w:sz w:val="16"/>
                <w:szCs w:val="16"/>
              </w:rPr>
            </w:pPr>
            <w:r>
              <w:rPr>
                <w:b/>
                <w:bCs/>
                <w:spacing w:val="-3"/>
                <w:sz w:val="16"/>
                <w:szCs w:val="16"/>
              </w:rPr>
              <w:t>单项选择题</w:t>
            </w:r>
          </w:p>
        </w:tc>
        <w:tc>
          <w:tcPr>
            <w:tcW w:w="898" w:type="dxa"/>
            <w:vAlign w:val="top"/>
          </w:tcPr>
          <w:p w14:paraId="5B4C12FE">
            <w:pPr>
              <w:pStyle w:val="6"/>
              <w:spacing w:before="109" w:line="220" w:lineRule="auto"/>
              <w:ind w:left="206"/>
              <w:rPr>
                <w:sz w:val="16"/>
                <w:szCs w:val="16"/>
              </w:rPr>
            </w:pPr>
            <w:r>
              <w:rPr>
                <w:b/>
                <w:bCs/>
                <w:spacing w:val="-4"/>
                <w:sz w:val="16"/>
                <w:szCs w:val="16"/>
              </w:rPr>
              <w:t>填空题</w:t>
            </w:r>
          </w:p>
        </w:tc>
        <w:tc>
          <w:tcPr>
            <w:tcW w:w="897" w:type="dxa"/>
            <w:vAlign w:val="top"/>
          </w:tcPr>
          <w:p w14:paraId="06A61690">
            <w:pPr>
              <w:pStyle w:val="6"/>
              <w:spacing w:before="109" w:line="219" w:lineRule="auto"/>
              <w:ind w:left="208"/>
              <w:rPr>
                <w:sz w:val="16"/>
                <w:szCs w:val="16"/>
              </w:rPr>
            </w:pPr>
            <w:r>
              <w:rPr>
                <w:b/>
                <w:bCs/>
                <w:spacing w:val="-4"/>
                <w:sz w:val="16"/>
                <w:szCs w:val="16"/>
              </w:rPr>
              <w:t>判断题</w:t>
            </w:r>
          </w:p>
        </w:tc>
        <w:tc>
          <w:tcPr>
            <w:tcW w:w="893" w:type="dxa"/>
            <w:vAlign w:val="top"/>
          </w:tcPr>
          <w:p w14:paraId="722859B9">
            <w:pPr>
              <w:pStyle w:val="6"/>
              <w:spacing w:before="108" w:line="219" w:lineRule="auto"/>
              <w:ind w:left="201"/>
              <w:rPr>
                <w:sz w:val="16"/>
                <w:szCs w:val="16"/>
              </w:rPr>
            </w:pPr>
            <w:r>
              <w:rPr>
                <w:b/>
                <w:bCs/>
                <w:spacing w:val="-4"/>
                <w:sz w:val="16"/>
                <w:szCs w:val="16"/>
              </w:rPr>
              <w:t>简答题</w:t>
            </w:r>
          </w:p>
        </w:tc>
      </w:tr>
      <w:tr w14:paraId="1EF595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0" w:hRule="atLeast"/>
        </w:trPr>
        <w:tc>
          <w:tcPr>
            <w:tcW w:w="523" w:type="dxa"/>
            <w:vAlign w:val="top"/>
          </w:tcPr>
          <w:p w14:paraId="5CDA30A2">
            <w:pPr>
              <w:pStyle w:val="6"/>
              <w:spacing w:before="109" w:line="220" w:lineRule="auto"/>
              <w:ind w:left="17"/>
              <w:rPr>
                <w:sz w:val="16"/>
                <w:szCs w:val="16"/>
              </w:rPr>
            </w:pPr>
            <w:r>
              <w:rPr>
                <w:b/>
                <w:bCs/>
                <w:spacing w:val="-5"/>
                <w:sz w:val="16"/>
                <w:szCs w:val="16"/>
              </w:rPr>
              <w:t>百分比</w:t>
            </w:r>
          </w:p>
        </w:tc>
        <w:tc>
          <w:tcPr>
            <w:tcW w:w="898" w:type="dxa"/>
            <w:vAlign w:val="top"/>
          </w:tcPr>
          <w:p w14:paraId="27DF8345">
            <w:pPr>
              <w:pStyle w:val="6"/>
              <w:spacing w:before="151" w:line="183" w:lineRule="auto"/>
              <w:ind w:left="324"/>
              <w:rPr>
                <w:sz w:val="16"/>
                <w:szCs w:val="16"/>
              </w:rPr>
            </w:pPr>
            <w:r>
              <w:rPr>
                <w:b/>
                <w:bCs/>
                <w:spacing w:val="-3"/>
                <w:sz w:val="16"/>
                <w:szCs w:val="16"/>
              </w:rPr>
              <w:t>40%</w:t>
            </w:r>
          </w:p>
        </w:tc>
        <w:tc>
          <w:tcPr>
            <w:tcW w:w="898" w:type="dxa"/>
            <w:vAlign w:val="top"/>
          </w:tcPr>
          <w:p w14:paraId="1EF475A9">
            <w:pPr>
              <w:pStyle w:val="6"/>
              <w:spacing w:before="151" w:line="183" w:lineRule="auto"/>
              <w:ind w:left="326"/>
              <w:rPr>
                <w:sz w:val="16"/>
                <w:szCs w:val="16"/>
              </w:rPr>
            </w:pPr>
            <w:r>
              <w:rPr>
                <w:b/>
                <w:bCs/>
                <w:spacing w:val="-4"/>
                <w:sz w:val="16"/>
                <w:szCs w:val="16"/>
              </w:rPr>
              <w:t>20%</w:t>
            </w:r>
          </w:p>
        </w:tc>
        <w:tc>
          <w:tcPr>
            <w:tcW w:w="897" w:type="dxa"/>
            <w:vAlign w:val="top"/>
          </w:tcPr>
          <w:p w14:paraId="10C467C3">
            <w:pPr>
              <w:pStyle w:val="6"/>
              <w:spacing w:before="151" w:line="183" w:lineRule="auto"/>
              <w:ind w:left="328"/>
              <w:rPr>
                <w:sz w:val="16"/>
                <w:szCs w:val="16"/>
              </w:rPr>
            </w:pPr>
            <w:r>
              <w:rPr>
                <w:b/>
                <w:bCs/>
                <w:spacing w:val="-4"/>
                <w:sz w:val="16"/>
                <w:szCs w:val="16"/>
              </w:rPr>
              <w:t>20%</w:t>
            </w:r>
          </w:p>
        </w:tc>
        <w:tc>
          <w:tcPr>
            <w:tcW w:w="893" w:type="dxa"/>
            <w:vAlign w:val="top"/>
          </w:tcPr>
          <w:p w14:paraId="20147247">
            <w:pPr>
              <w:pStyle w:val="6"/>
              <w:spacing w:before="151" w:line="183" w:lineRule="auto"/>
              <w:ind w:left="321"/>
              <w:rPr>
                <w:sz w:val="16"/>
                <w:szCs w:val="16"/>
              </w:rPr>
            </w:pPr>
            <w:r>
              <w:rPr>
                <w:b/>
                <w:bCs/>
                <w:spacing w:val="-4"/>
                <w:sz w:val="16"/>
                <w:szCs w:val="16"/>
              </w:rPr>
              <w:t>20%</w:t>
            </w:r>
          </w:p>
        </w:tc>
      </w:tr>
    </w:tbl>
    <w:p w14:paraId="72718845">
      <w:pPr>
        <w:spacing w:before="203" w:line="323" w:lineRule="auto"/>
        <w:ind w:left="5" w:right="18" w:firstLine="340"/>
        <w:rPr>
          <w:rFonts w:ascii="宋体" w:hAnsi="宋体" w:eastAsia="宋体" w:cs="宋体"/>
          <w:sz w:val="17"/>
          <w:szCs w:val="17"/>
        </w:rPr>
      </w:pPr>
      <w:r>
        <w:rPr>
          <w:rFonts w:ascii="宋体" w:hAnsi="宋体" w:eastAsia="宋体" w:cs="宋体"/>
          <w:spacing w:val="13"/>
          <w:sz w:val="17"/>
          <w:szCs w:val="17"/>
        </w:rPr>
        <w:t>注：试卷题型、考试水平可在2%-5%范围上下浮</w:t>
      </w:r>
      <w:r>
        <w:rPr>
          <w:rFonts w:ascii="宋体" w:hAnsi="宋体" w:eastAsia="宋体" w:cs="宋体"/>
          <w:spacing w:val="12"/>
          <w:sz w:val="17"/>
          <w:szCs w:val="17"/>
        </w:rPr>
        <w:t xml:space="preserve"> </w:t>
      </w:r>
      <w:r>
        <w:rPr>
          <w:rFonts w:ascii="宋体" w:hAnsi="宋体" w:eastAsia="宋体" w:cs="宋体"/>
          <w:spacing w:val="1"/>
          <w:sz w:val="17"/>
          <w:szCs w:val="17"/>
        </w:rPr>
        <w:t>动，题型的先后顺序可自行安排。</w:t>
      </w:r>
    </w:p>
    <w:p w14:paraId="7A8AE22F">
      <w:pPr>
        <w:spacing w:line="323" w:lineRule="auto"/>
        <w:rPr>
          <w:rFonts w:ascii="宋体" w:hAnsi="宋体" w:eastAsia="宋体" w:cs="宋体"/>
          <w:sz w:val="17"/>
          <w:szCs w:val="17"/>
        </w:rPr>
        <w:sectPr>
          <w:type w:val="continuous"/>
          <w:pgSz w:w="10660" w:h="15080"/>
          <w:pgMar w:top="400" w:right="1033" w:bottom="936" w:left="819" w:header="0" w:footer="715" w:gutter="0"/>
          <w:cols w:equalWidth="0" w:num="2">
            <w:col w:w="4545" w:space="100"/>
            <w:col w:w="4162"/>
          </w:cols>
        </w:sectPr>
      </w:pPr>
    </w:p>
    <w:p w14:paraId="1BFC1DED">
      <w:pPr>
        <w:spacing w:before="55"/>
      </w:pPr>
    </w:p>
    <w:p w14:paraId="11109043">
      <w:pPr>
        <w:spacing w:before="55"/>
      </w:pPr>
    </w:p>
    <w:p w14:paraId="0E3261B7">
      <w:pPr>
        <w:spacing w:before="55"/>
      </w:pPr>
    </w:p>
    <w:p w14:paraId="53A237FA">
      <w:pPr>
        <w:spacing w:before="55"/>
      </w:pPr>
    </w:p>
    <w:p w14:paraId="31D5815B">
      <w:pPr>
        <w:sectPr>
          <w:footerReference r:id="rId97" w:type="default"/>
          <w:pgSz w:w="10660" w:h="15080"/>
          <w:pgMar w:top="400" w:right="875" w:bottom="936" w:left="1010" w:header="0" w:footer="715" w:gutter="0"/>
          <w:cols w:equalWidth="0" w:num="1">
            <w:col w:w="8775"/>
          </w:cols>
        </w:sectPr>
      </w:pPr>
    </w:p>
    <w:p w14:paraId="1BF8072E">
      <w:pPr>
        <w:spacing w:before="220" w:line="219" w:lineRule="auto"/>
        <w:ind w:left="163"/>
        <w:outlineLvl w:val="0"/>
        <w:rPr>
          <w:rFonts w:ascii="宋体" w:hAnsi="宋体" w:eastAsia="宋体" w:cs="宋体"/>
          <w:sz w:val="28"/>
          <w:szCs w:val="28"/>
        </w:rPr>
      </w:pPr>
      <w:bookmarkStart w:id="51" w:name="bookmark16"/>
      <w:bookmarkEnd w:id="51"/>
      <w:r>
        <w:rPr>
          <w:rFonts w:ascii="宋体" w:hAnsi="宋体" w:eastAsia="宋体" w:cs="宋体"/>
          <w:b/>
          <w:bCs/>
          <w:spacing w:val="-8"/>
          <w:sz w:val="28"/>
          <w:szCs w:val="28"/>
        </w:rPr>
        <w:t>农林牧渔大类专业技能测试纲要</w:t>
      </w:r>
    </w:p>
    <w:p w14:paraId="0B1B1747">
      <w:pPr>
        <w:pStyle w:val="2"/>
        <w:spacing w:line="390" w:lineRule="auto"/>
      </w:pPr>
    </w:p>
    <w:p w14:paraId="6D50AE46">
      <w:pPr>
        <w:spacing w:before="72" w:line="222" w:lineRule="auto"/>
        <w:ind w:left="1633"/>
        <w:rPr>
          <w:rFonts w:ascii="黑体" w:hAnsi="黑体" w:eastAsia="黑体" w:cs="黑体"/>
          <w:sz w:val="22"/>
          <w:szCs w:val="22"/>
        </w:rPr>
      </w:pPr>
      <w:r>
        <w:rPr>
          <w:rFonts w:ascii="黑体" w:hAnsi="黑体" w:eastAsia="黑体" w:cs="黑体"/>
          <w:b/>
          <w:bCs/>
          <w:spacing w:val="5"/>
          <w:sz w:val="22"/>
          <w:szCs w:val="22"/>
        </w:rPr>
        <w:t>第一部分</w:t>
      </w:r>
    </w:p>
    <w:p w14:paraId="0442D1D8">
      <w:pPr>
        <w:pStyle w:val="2"/>
      </w:pPr>
    </w:p>
    <w:p w14:paraId="2B0DAB86">
      <w:pPr>
        <w:spacing w:before="55" w:line="245" w:lineRule="auto"/>
        <w:ind w:right="361" w:firstLine="429"/>
        <w:jc w:val="both"/>
        <w:rPr>
          <w:rFonts w:ascii="宋体" w:hAnsi="宋体" w:eastAsia="宋体" w:cs="宋体"/>
          <w:sz w:val="17"/>
          <w:szCs w:val="17"/>
        </w:rPr>
      </w:pPr>
      <w:r>
        <w:rPr>
          <w:rFonts w:ascii="宋体" w:hAnsi="宋体" w:eastAsia="宋体" w:cs="宋体"/>
          <w:spacing w:val="15"/>
          <w:sz w:val="17"/>
          <w:szCs w:val="17"/>
        </w:rPr>
        <w:t>本技能测试考试纲要是以《职业教育专业简介</w:t>
      </w:r>
      <w:r>
        <w:rPr>
          <w:rFonts w:ascii="宋体" w:hAnsi="宋体" w:eastAsia="宋体" w:cs="宋体"/>
          <w:sz w:val="17"/>
          <w:szCs w:val="17"/>
        </w:rPr>
        <w:t xml:space="preserve"> </w:t>
      </w:r>
      <w:r>
        <w:rPr>
          <w:rFonts w:ascii="宋体" w:hAnsi="宋体" w:eastAsia="宋体" w:cs="宋体"/>
          <w:spacing w:val="24"/>
          <w:sz w:val="17"/>
          <w:szCs w:val="17"/>
        </w:rPr>
        <w:t>2022年修订》和国家相关职业技能考试规范为依</w:t>
      </w:r>
      <w:r>
        <w:rPr>
          <w:rFonts w:ascii="宋体" w:hAnsi="宋体" w:eastAsia="宋体" w:cs="宋体"/>
          <w:spacing w:val="6"/>
          <w:sz w:val="17"/>
          <w:szCs w:val="17"/>
        </w:rPr>
        <w:t xml:space="preserve"> </w:t>
      </w:r>
      <w:r>
        <w:rPr>
          <w:rFonts w:ascii="宋体" w:hAnsi="宋体" w:eastAsia="宋体" w:cs="宋体"/>
          <w:spacing w:val="17"/>
          <w:sz w:val="17"/>
          <w:szCs w:val="17"/>
        </w:rPr>
        <w:t>据，结合学生进入高等院校继续学习所必须具备的</w:t>
      </w:r>
      <w:r>
        <w:rPr>
          <w:rFonts w:ascii="宋体" w:hAnsi="宋体" w:eastAsia="宋体" w:cs="宋体"/>
          <w:spacing w:val="18"/>
          <w:sz w:val="17"/>
          <w:szCs w:val="17"/>
        </w:rPr>
        <w:t xml:space="preserve"> </w:t>
      </w:r>
      <w:r>
        <w:rPr>
          <w:rFonts w:ascii="宋体" w:hAnsi="宋体" w:eastAsia="宋体" w:cs="宋体"/>
          <w:spacing w:val="17"/>
          <w:sz w:val="17"/>
          <w:szCs w:val="17"/>
        </w:rPr>
        <w:t>专业基础技能和安徽省中等职业学校专业教学指导</w:t>
      </w:r>
      <w:r>
        <w:rPr>
          <w:rFonts w:ascii="宋体" w:hAnsi="宋体" w:eastAsia="宋体" w:cs="宋体"/>
          <w:spacing w:val="16"/>
          <w:sz w:val="17"/>
          <w:szCs w:val="17"/>
        </w:rPr>
        <w:t xml:space="preserve"> </w:t>
      </w:r>
      <w:r>
        <w:rPr>
          <w:rFonts w:ascii="宋体" w:hAnsi="宋体" w:eastAsia="宋体" w:cs="宋体"/>
          <w:spacing w:val="13"/>
          <w:sz w:val="17"/>
          <w:szCs w:val="17"/>
        </w:rPr>
        <w:t>方案实施制定。</w:t>
      </w:r>
    </w:p>
    <w:p w14:paraId="3910C14F">
      <w:pPr>
        <w:spacing w:before="44" w:line="308" w:lineRule="auto"/>
        <w:ind w:right="289" w:firstLine="370"/>
        <w:jc w:val="both"/>
        <w:rPr>
          <w:rFonts w:ascii="宋体" w:hAnsi="宋体" w:eastAsia="宋体" w:cs="宋体"/>
          <w:sz w:val="17"/>
          <w:szCs w:val="17"/>
        </w:rPr>
      </w:pPr>
      <w:r>
        <w:rPr>
          <w:rFonts w:ascii="宋体" w:hAnsi="宋体" w:eastAsia="宋体" w:cs="宋体"/>
          <w:spacing w:val="7"/>
          <w:sz w:val="17"/>
          <w:szCs w:val="17"/>
        </w:rPr>
        <w:t>测试共5项，其中第1项为必测内容，第2、3、4、</w:t>
      </w:r>
      <w:r>
        <w:rPr>
          <w:rFonts w:ascii="宋体" w:hAnsi="宋体" w:eastAsia="宋体" w:cs="宋体"/>
          <w:spacing w:val="11"/>
          <w:sz w:val="17"/>
          <w:szCs w:val="17"/>
        </w:rPr>
        <w:t xml:space="preserve"> </w:t>
      </w:r>
      <w:r>
        <w:rPr>
          <w:rFonts w:ascii="宋体" w:hAnsi="宋体" w:eastAsia="宋体" w:cs="宋体"/>
          <w:spacing w:val="5"/>
          <w:sz w:val="17"/>
          <w:szCs w:val="17"/>
        </w:rPr>
        <w:t xml:space="preserve">5项为选测项，学生可在其中随机抽选一项测试，也可  </w:t>
      </w:r>
      <w:r>
        <w:rPr>
          <w:rFonts w:ascii="宋体" w:hAnsi="宋体" w:eastAsia="宋体" w:cs="宋体"/>
          <w:spacing w:val="1"/>
          <w:sz w:val="17"/>
          <w:szCs w:val="17"/>
        </w:rPr>
        <w:t>由考点根据实际情况自行确定。测试分值满分为250分，</w:t>
      </w:r>
      <w:r>
        <w:rPr>
          <w:rFonts w:ascii="宋体" w:hAnsi="宋体" w:eastAsia="宋体" w:cs="宋体"/>
          <w:spacing w:val="12"/>
          <w:sz w:val="17"/>
          <w:szCs w:val="17"/>
        </w:rPr>
        <w:t xml:space="preserve"> </w:t>
      </w:r>
      <w:r>
        <w:rPr>
          <w:rFonts w:ascii="宋体" w:hAnsi="宋体" w:eastAsia="宋体" w:cs="宋体"/>
          <w:spacing w:val="5"/>
          <w:sz w:val="17"/>
          <w:szCs w:val="17"/>
        </w:rPr>
        <w:t>其中必测项为150分，选测项分值均为100分。</w:t>
      </w:r>
    </w:p>
    <w:p w14:paraId="4BF22417">
      <w:pPr>
        <w:pStyle w:val="2"/>
        <w:spacing w:line="249" w:lineRule="auto"/>
      </w:pPr>
    </w:p>
    <w:p w14:paraId="330D66C6">
      <w:pPr>
        <w:spacing w:before="71" w:line="222" w:lineRule="auto"/>
        <w:ind w:left="143"/>
        <w:rPr>
          <w:rFonts w:ascii="黑体" w:hAnsi="黑体" w:eastAsia="黑体" w:cs="黑体"/>
          <w:sz w:val="22"/>
          <w:szCs w:val="22"/>
        </w:rPr>
      </w:pPr>
      <w:r>
        <w:rPr>
          <w:rFonts w:ascii="黑体" w:hAnsi="黑体" w:eastAsia="黑体" w:cs="黑体"/>
          <w:b/>
          <w:bCs/>
          <w:spacing w:val="6"/>
          <w:sz w:val="22"/>
          <w:szCs w:val="22"/>
        </w:rPr>
        <w:t>项目一临时装片的制作和显微镜的使用</w:t>
      </w:r>
    </w:p>
    <w:p w14:paraId="1DC825BB">
      <w:pPr>
        <w:pStyle w:val="2"/>
        <w:spacing w:line="311" w:lineRule="auto"/>
      </w:pPr>
    </w:p>
    <w:p w14:paraId="5D175441">
      <w:pPr>
        <w:spacing w:before="72" w:line="221" w:lineRule="auto"/>
        <w:ind w:left="3"/>
        <w:rPr>
          <w:rFonts w:ascii="黑体" w:hAnsi="黑体" w:eastAsia="黑体" w:cs="黑体"/>
          <w:sz w:val="22"/>
          <w:szCs w:val="22"/>
        </w:rPr>
      </w:pPr>
      <w:r>
        <w:rPr>
          <w:rFonts w:ascii="黑体" w:hAnsi="黑体" w:eastAsia="黑体" w:cs="黑体"/>
          <w:b/>
          <w:bCs/>
          <w:spacing w:val="4"/>
          <w:sz w:val="22"/>
          <w:szCs w:val="22"/>
        </w:rPr>
        <w:t>一、测试用具或材料</w:t>
      </w:r>
    </w:p>
    <w:p w14:paraId="31E2F878">
      <w:pPr>
        <w:spacing w:before="87" w:line="307" w:lineRule="auto"/>
        <w:ind w:right="290" w:firstLine="370"/>
        <w:jc w:val="both"/>
        <w:rPr>
          <w:rFonts w:ascii="宋体" w:hAnsi="宋体" w:eastAsia="宋体" w:cs="宋体"/>
          <w:sz w:val="17"/>
          <w:szCs w:val="17"/>
        </w:rPr>
      </w:pPr>
      <w:r>
        <w:rPr>
          <w:rFonts w:ascii="宋体" w:hAnsi="宋体" w:eastAsia="宋体" w:cs="宋体"/>
          <w:spacing w:val="12"/>
          <w:sz w:val="17"/>
          <w:szCs w:val="17"/>
        </w:rPr>
        <w:t>光学显微镜(双目或单目、电光源),洋葱，载玻</w:t>
      </w:r>
      <w:r>
        <w:rPr>
          <w:rFonts w:ascii="宋体" w:hAnsi="宋体" w:eastAsia="宋体" w:cs="宋体"/>
          <w:spacing w:val="3"/>
          <w:sz w:val="17"/>
          <w:szCs w:val="17"/>
        </w:rPr>
        <w:t xml:space="preserve">  </w:t>
      </w:r>
      <w:r>
        <w:rPr>
          <w:rFonts w:ascii="宋体" w:hAnsi="宋体" w:eastAsia="宋体" w:cs="宋体"/>
          <w:spacing w:val="-9"/>
          <w:sz w:val="17"/>
          <w:szCs w:val="17"/>
        </w:rPr>
        <w:t>片，盖玻片，擦镜纸，吸水纸，剪刀，刀片，镊子，滴管，</w:t>
      </w:r>
      <w:r>
        <w:rPr>
          <w:rFonts w:ascii="宋体" w:hAnsi="宋体" w:eastAsia="宋体" w:cs="宋体"/>
          <w:spacing w:val="17"/>
          <w:sz w:val="17"/>
          <w:szCs w:val="17"/>
        </w:rPr>
        <w:t xml:space="preserve"> </w:t>
      </w:r>
      <w:r>
        <w:rPr>
          <w:rFonts w:ascii="宋体" w:hAnsi="宋体" w:eastAsia="宋体" w:cs="宋体"/>
          <w:spacing w:val="-4"/>
          <w:sz w:val="17"/>
          <w:szCs w:val="17"/>
        </w:rPr>
        <w:t>培养皿，小烧杯。</w:t>
      </w:r>
    </w:p>
    <w:p w14:paraId="2218F62B">
      <w:pPr>
        <w:spacing w:before="34" w:line="222" w:lineRule="auto"/>
        <w:ind w:left="3"/>
        <w:rPr>
          <w:rFonts w:ascii="黑体" w:hAnsi="黑体" w:eastAsia="黑体" w:cs="黑体"/>
          <w:sz w:val="22"/>
          <w:szCs w:val="22"/>
        </w:rPr>
      </w:pPr>
      <w:r>
        <w:rPr>
          <w:rFonts w:ascii="黑体" w:hAnsi="黑体" w:eastAsia="黑体" w:cs="黑体"/>
          <w:b/>
          <w:bCs/>
          <w:spacing w:val="3"/>
          <w:sz w:val="22"/>
          <w:szCs w:val="22"/>
        </w:rPr>
        <w:t>二、技能要求</w:t>
      </w:r>
    </w:p>
    <w:p w14:paraId="2AB39B8F">
      <w:pPr>
        <w:spacing w:before="97" w:line="219" w:lineRule="auto"/>
        <w:ind w:left="370"/>
        <w:rPr>
          <w:rFonts w:ascii="宋体" w:hAnsi="宋体" w:eastAsia="宋体" w:cs="宋体"/>
          <w:sz w:val="17"/>
          <w:szCs w:val="17"/>
        </w:rPr>
      </w:pPr>
      <w:r>
        <w:rPr>
          <w:rFonts w:ascii="宋体" w:hAnsi="宋体" w:eastAsia="宋体" w:cs="宋体"/>
          <w:spacing w:val="-5"/>
          <w:sz w:val="17"/>
          <w:szCs w:val="17"/>
        </w:rPr>
        <w:t>1、熟练制作临时装片。</w:t>
      </w:r>
    </w:p>
    <w:p w14:paraId="6AE503D4">
      <w:pPr>
        <w:spacing w:before="88" w:line="219" w:lineRule="auto"/>
        <w:ind w:left="370"/>
        <w:rPr>
          <w:rFonts w:ascii="宋体" w:hAnsi="宋体" w:eastAsia="宋体" w:cs="宋体"/>
          <w:sz w:val="17"/>
          <w:szCs w:val="17"/>
        </w:rPr>
      </w:pPr>
      <w:r>
        <w:rPr>
          <w:rFonts w:ascii="宋体" w:hAnsi="宋体" w:eastAsia="宋体" w:cs="宋体"/>
          <w:spacing w:val="-1"/>
          <w:sz w:val="17"/>
          <w:szCs w:val="17"/>
        </w:rPr>
        <w:t>2、正确使用光学显微镜。</w:t>
      </w:r>
    </w:p>
    <w:p w14:paraId="30DB9DF0">
      <w:pPr>
        <w:spacing w:before="85" w:line="221" w:lineRule="auto"/>
        <w:ind w:left="3"/>
        <w:rPr>
          <w:rFonts w:ascii="黑体" w:hAnsi="黑体" w:eastAsia="黑体" w:cs="黑体"/>
          <w:sz w:val="22"/>
          <w:szCs w:val="22"/>
        </w:rPr>
      </w:pPr>
      <w:r>
        <w:rPr>
          <w:rFonts w:ascii="黑体" w:hAnsi="黑体" w:eastAsia="黑体" w:cs="黑体"/>
          <w:b/>
          <w:bCs/>
          <w:spacing w:val="5"/>
          <w:sz w:val="22"/>
          <w:szCs w:val="22"/>
        </w:rPr>
        <w:t>三、分值与测试时间</w:t>
      </w:r>
    </w:p>
    <w:p w14:paraId="2FA4AB5E">
      <w:pPr>
        <w:spacing w:before="90" w:line="219" w:lineRule="auto"/>
        <w:ind w:left="370"/>
        <w:rPr>
          <w:rFonts w:ascii="宋体" w:hAnsi="宋体" w:eastAsia="宋体" w:cs="宋体"/>
          <w:sz w:val="17"/>
          <w:szCs w:val="17"/>
        </w:rPr>
      </w:pPr>
      <w:r>
        <w:rPr>
          <w:rFonts w:ascii="宋体" w:hAnsi="宋体" w:eastAsia="宋体" w:cs="宋体"/>
          <w:spacing w:val="8"/>
          <w:sz w:val="17"/>
          <w:szCs w:val="17"/>
        </w:rPr>
        <w:t>分值为150分；测试时间为30分钟。</w:t>
      </w:r>
    </w:p>
    <w:p w14:paraId="48D0E136">
      <w:pPr>
        <w:spacing w:before="95" w:line="221" w:lineRule="auto"/>
        <w:ind w:left="3"/>
        <w:rPr>
          <w:rFonts w:ascii="黑体" w:hAnsi="黑体" w:eastAsia="黑体" w:cs="黑体"/>
          <w:sz w:val="22"/>
          <w:szCs w:val="22"/>
        </w:rPr>
      </w:pPr>
      <w:r>
        <w:rPr>
          <w:rFonts w:ascii="黑体" w:hAnsi="黑体" w:eastAsia="黑体" w:cs="黑体"/>
          <w:b/>
          <w:bCs/>
          <w:spacing w:val="2"/>
          <w:sz w:val="22"/>
          <w:szCs w:val="22"/>
        </w:rPr>
        <w:t>四、操作步骤</w:t>
      </w:r>
    </w:p>
    <w:p w14:paraId="75FE9BC7">
      <w:pPr>
        <w:spacing w:before="100" w:line="219" w:lineRule="auto"/>
        <w:ind w:left="370"/>
        <w:rPr>
          <w:rFonts w:ascii="宋体" w:hAnsi="宋体" w:eastAsia="宋体" w:cs="宋体"/>
          <w:sz w:val="17"/>
          <w:szCs w:val="17"/>
        </w:rPr>
      </w:pPr>
      <w:r>
        <w:rPr>
          <w:rFonts w:ascii="宋体" w:hAnsi="宋体" w:eastAsia="宋体" w:cs="宋体"/>
          <w:sz w:val="17"/>
          <w:szCs w:val="17"/>
        </w:rPr>
        <w:t>1、洋葱表皮细胞临时装片制作</w:t>
      </w:r>
    </w:p>
    <w:p w14:paraId="636793FB">
      <w:pPr>
        <w:spacing w:before="80" w:line="310" w:lineRule="auto"/>
        <w:ind w:right="290" w:firstLine="370"/>
        <w:rPr>
          <w:rFonts w:ascii="宋体" w:hAnsi="宋体" w:eastAsia="宋体" w:cs="宋体"/>
          <w:sz w:val="17"/>
          <w:szCs w:val="17"/>
        </w:rPr>
      </w:pPr>
      <w:r>
        <w:rPr>
          <w:rFonts w:ascii="宋体" w:hAnsi="宋体" w:eastAsia="宋体" w:cs="宋体"/>
          <w:spacing w:val="1"/>
          <w:sz w:val="17"/>
          <w:szCs w:val="17"/>
        </w:rPr>
        <w:t>取出洁净载玻片，在载玻片的中央加一滴清水，用</w:t>
      </w:r>
      <w:r>
        <w:rPr>
          <w:rFonts w:ascii="宋体" w:hAnsi="宋体" w:eastAsia="宋体" w:cs="宋体"/>
          <w:spacing w:val="7"/>
          <w:sz w:val="17"/>
          <w:szCs w:val="17"/>
        </w:rPr>
        <w:t xml:space="preserve"> </w:t>
      </w:r>
      <w:r>
        <w:rPr>
          <w:rFonts w:ascii="宋体" w:hAnsi="宋体" w:eastAsia="宋体" w:cs="宋体"/>
          <w:spacing w:val="5"/>
          <w:sz w:val="17"/>
          <w:szCs w:val="17"/>
        </w:rPr>
        <w:t>镊子撕取洋葱内表皮(如撕取的表皮较大可用剪刀剪去</w:t>
      </w:r>
      <w:r>
        <w:rPr>
          <w:rFonts w:ascii="宋体" w:hAnsi="宋体" w:eastAsia="宋体" w:cs="宋体"/>
          <w:spacing w:val="7"/>
          <w:sz w:val="17"/>
          <w:szCs w:val="17"/>
        </w:rPr>
        <w:t xml:space="preserve">  </w:t>
      </w:r>
      <w:r>
        <w:rPr>
          <w:rFonts w:ascii="宋体" w:hAnsi="宋体" w:eastAsia="宋体" w:cs="宋体"/>
          <w:spacing w:val="5"/>
          <w:sz w:val="17"/>
          <w:szCs w:val="17"/>
        </w:rPr>
        <w:t>多余部分)或用刀片在洋葱内表皮划一边长0.5</w:t>
      </w:r>
      <w:r>
        <w:rPr>
          <w:rFonts w:ascii="Times New Roman" w:hAnsi="Times New Roman" w:eastAsia="Times New Roman" w:cs="Times New Roman"/>
          <w:sz w:val="17"/>
          <w:szCs w:val="17"/>
        </w:rPr>
        <w:t>cm</w:t>
      </w:r>
      <w:r>
        <w:rPr>
          <w:rFonts w:ascii="Times New Roman" w:hAnsi="Times New Roman" w:eastAsia="Times New Roman" w:cs="Times New Roman"/>
          <w:spacing w:val="5"/>
          <w:sz w:val="17"/>
          <w:szCs w:val="17"/>
        </w:rPr>
        <w:t xml:space="preserve"> </w:t>
      </w:r>
      <w:r>
        <w:rPr>
          <w:rFonts w:ascii="宋体" w:hAnsi="宋体" w:eastAsia="宋体" w:cs="宋体"/>
          <w:spacing w:val="5"/>
          <w:sz w:val="17"/>
          <w:szCs w:val="17"/>
        </w:rPr>
        <w:t>左右</w:t>
      </w:r>
      <w:r>
        <w:rPr>
          <w:rFonts w:ascii="宋体" w:hAnsi="宋体" w:eastAsia="宋体" w:cs="宋体"/>
          <w:spacing w:val="6"/>
          <w:sz w:val="17"/>
          <w:szCs w:val="17"/>
        </w:rPr>
        <w:t xml:space="preserve">  </w:t>
      </w:r>
      <w:r>
        <w:rPr>
          <w:rFonts w:ascii="宋体" w:hAnsi="宋体" w:eastAsia="宋体" w:cs="宋体"/>
          <w:spacing w:val="2"/>
          <w:sz w:val="17"/>
          <w:szCs w:val="17"/>
        </w:rPr>
        <w:t>方块，撕下表皮，将内表皮置于载玻片的清水中，并使</w:t>
      </w:r>
      <w:r>
        <w:rPr>
          <w:rFonts w:ascii="宋体" w:hAnsi="宋体" w:eastAsia="宋体" w:cs="宋体"/>
          <w:sz w:val="17"/>
          <w:szCs w:val="17"/>
        </w:rPr>
        <w:t xml:space="preserve">  </w:t>
      </w:r>
      <w:r>
        <w:rPr>
          <w:rFonts w:ascii="宋体" w:hAnsi="宋体" w:eastAsia="宋体" w:cs="宋体"/>
          <w:spacing w:val="-2"/>
          <w:sz w:val="17"/>
          <w:szCs w:val="17"/>
        </w:rPr>
        <w:t>之铺开；用镊子取盖玻片，使另一侧边缘首先接触水滴，</w:t>
      </w:r>
      <w:r>
        <w:rPr>
          <w:rFonts w:ascii="宋体" w:hAnsi="宋体" w:eastAsia="宋体" w:cs="宋体"/>
          <w:spacing w:val="3"/>
          <w:sz w:val="17"/>
          <w:szCs w:val="17"/>
        </w:rPr>
        <w:t xml:space="preserve"> </w:t>
      </w:r>
      <w:r>
        <w:rPr>
          <w:rFonts w:ascii="宋体" w:hAnsi="宋体" w:eastAsia="宋体" w:cs="宋体"/>
          <w:spacing w:val="-1"/>
          <w:sz w:val="17"/>
          <w:szCs w:val="17"/>
        </w:rPr>
        <w:t>慢慢倾斜并盖在样本上，避免出现气泡。</w:t>
      </w:r>
    </w:p>
    <w:p w14:paraId="6EF8CF1A">
      <w:pPr>
        <w:spacing w:before="36" w:line="219" w:lineRule="auto"/>
        <w:ind w:left="370"/>
        <w:rPr>
          <w:rFonts w:ascii="宋体" w:hAnsi="宋体" w:eastAsia="宋体" w:cs="宋体"/>
          <w:sz w:val="17"/>
          <w:szCs w:val="17"/>
        </w:rPr>
      </w:pPr>
      <w:r>
        <w:rPr>
          <w:rFonts w:ascii="宋体" w:hAnsi="宋体" w:eastAsia="宋体" w:cs="宋体"/>
          <w:sz w:val="17"/>
          <w:szCs w:val="17"/>
        </w:rPr>
        <w:t>2、显微镜使用方法</w:t>
      </w:r>
    </w:p>
    <w:p w14:paraId="34D4599A">
      <w:pPr>
        <w:spacing w:before="98" w:line="263" w:lineRule="auto"/>
        <w:ind w:right="290" w:firstLine="429"/>
        <w:rPr>
          <w:rFonts w:ascii="宋体" w:hAnsi="宋体" w:eastAsia="宋体" w:cs="宋体"/>
          <w:sz w:val="17"/>
          <w:szCs w:val="17"/>
        </w:rPr>
      </w:pPr>
      <w:r>
        <w:rPr>
          <w:rFonts w:ascii="宋体" w:hAnsi="宋体" w:eastAsia="宋体" w:cs="宋体"/>
          <w:spacing w:val="-2"/>
          <w:sz w:val="17"/>
          <w:szCs w:val="17"/>
        </w:rPr>
        <w:t>(1)放置：将显微镜摆放在正确的位置，便</w:t>
      </w:r>
      <w:r>
        <w:rPr>
          <w:rFonts w:ascii="宋体" w:hAnsi="宋体" w:eastAsia="宋体" w:cs="宋体"/>
          <w:spacing w:val="-3"/>
          <w:sz w:val="17"/>
          <w:szCs w:val="17"/>
        </w:rPr>
        <w:t>于观察，</w:t>
      </w:r>
      <w:r>
        <w:rPr>
          <w:rFonts w:ascii="宋体" w:hAnsi="宋体" w:eastAsia="宋体" w:cs="宋体"/>
          <w:sz w:val="17"/>
          <w:szCs w:val="17"/>
        </w:rPr>
        <w:t xml:space="preserve"> </w:t>
      </w:r>
      <w:r>
        <w:rPr>
          <w:rFonts w:ascii="宋体" w:hAnsi="宋体" w:eastAsia="宋体" w:cs="宋体"/>
          <w:spacing w:val="-2"/>
          <w:sz w:val="17"/>
          <w:szCs w:val="17"/>
        </w:rPr>
        <w:t>绘图。</w:t>
      </w:r>
    </w:p>
    <w:p w14:paraId="5D6C52B1">
      <w:pPr>
        <w:spacing w:before="94" w:line="257" w:lineRule="auto"/>
        <w:ind w:right="367" w:firstLine="429"/>
        <w:rPr>
          <w:rFonts w:ascii="宋体" w:hAnsi="宋体" w:eastAsia="宋体" w:cs="宋体"/>
          <w:sz w:val="17"/>
          <w:szCs w:val="17"/>
        </w:rPr>
      </w:pPr>
      <w:r>
        <w:rPr>
          <w:rFonts w:ascii="宋体" w:hAnsi="宋体" w:eastAsia="宋体" w:cs="宋体"/>
          <w:spacing w:val="9"/>
          <w:sz w:val="17"/>
          <w:szCs w:val="17"/>
        </w:rPr>
        <w:t>(2)装片：将做好的装片放到载物台上，使样本</w:t>
      </w:r>
      <w:r>
        <w:rPr>
          <w:rFonts w:ascii="宋体" w:hAnsi="宋体" w:eastAsia="宋体" w:cs="宋体"/>
          <w:spacing w:val="13"/>
          <w:sz w:val="17"/>
          <w:szCs w:val="17"/>
        </w:rPr>
        <w:t xml:space="preserve"> </w:t>
      </w:r>
      <w:r>
        <w:rPr>
          <w:rFonts w:ascii="宋体" w:hAnsi="宋体" w:eastAsia="宋体" w:cs="宋体"/>
          <w:spacing w:val="-3"/>
          <w:sz w:val="17"/>
          <w:szCs w:val="17"/>
        </w:rPr>
        <w:t>位于显微镜通光孔中央。</w:t>
      </w:r>
    </w:p>
    <w:p w14:paraId="194BBADB">
      <w:pPr>
        <w:spacing w:before="89" w:line="274" w:lineRule="auto"/>
        <w:ind w:right="347" w:firstLine="429"/>
        <w:rPr>
          <w:rFonts w:ascii="宋体" w:hAnsi="宋体" w:eastAsia="宋体" w:cs="宋体"/>
          <w:sz w:val="17"/>
          <w:szCs w:val="17"/>
        </w:rPr>
      </w:pPr>
      <w:r>
        <w:rPr>
          <w:rFonts w:ascii="宋体" w:hAnsi="宋体" w:eastAsia="宋体" w:cs="宋体"/>
          <w:spacing w:val="9"/>
          <w:sz w:val="17"/>
          <w:szCs w:val="17"/>
        </w:rPr>
        <w:t>(3)低倍：转动转换器，换上低倍镜后，上下缓</w:t>
      </w:r>
      <w:r>
        <w:rPr>
          <w:rFonts w:ascii="宋体" w:hAnsi="宋体" w:eastAsia="宋体" w:cs="宋体"/>
          <w:spacing w:val="12"/>
          <w:sz w:val="17"/>
          <w:szCs w:val="17"/>
        </w:rPr>
        <w:t xml:space="preserve"> </w:t>
      </w:r>
      <w:r>
        <w:rPr>
          <w:rFonts w:ascii="宋体" w:hAnsi="宋体" w:eastAsia="宋体" w:cs="宋体"/>
          <w:spacing w:val="2"/>
          <w:sz w:val="17"/>
          <w:szCs w:val="17"/>
        </w:rPr>
        <w:t>慢转动粗准焦螺旋，使载物台缓缓上升或下降，直至看</w:t>
      </w:r>
      <w:r>
        <w:rPr>
          <w:rFonts w:ascii="宋体" w:hAnsi="宋体" w:eastAsia="宋体" w:cs="宋体"/>
          <w:spacing w:val="18"/>
          <w:sz w:val="17"/>
          <w:szCs w:val="17"/>
        </w:rPr>
        <w:t xml:space="preserve"> </w:t>
      </w:r>
      <w:r>
        <w:rPr>
          <w:rFonts w:ascii="宋体" w:hAnsi="宋体" w:eastAsia="宋体" w:cs="宋体"/>
          <w:spacing w:val="-2"/>
          <w:sz w:val="17"/>
          <w:szCs w:val="17"/>
        </w:rPr>
        <w:t>到物像：期间</w:t>
      </w:r>
      <w:r>
        <w:rPr>
          <w:rFonts w:ascii="宋体" w:hAnsi="宋体" w:eastAsia="宋体" w:cs="宋体"/>
          <w:spacing w:val="-2"/>
          <w:sz w:val="17"/>
          <w:szCs w:val="17"/>
          <w:u w:val="single" w:color="auto"/>
        </w:rPr>
        <w:t>应避</w:t>
      </w:r>
      <w:r>
        <w:rPr>
          <w:rFonts w:ascii="宋体" w:hAnsi="宋体" w:eastAsia="宋体" w:cs="宋体"/>
          <w:spacing w:val="-2"/>
          <w:sz w:val="17"/>
          <w:szCs w:val="17"/>
        </w:rPr>
        <w:t>免物镜压碎临时装片。</w:t>
      </w:r>
    </w:p>
    <w:p w14:paraId="28CC4F76">
      <w:pPr>
        <w:pStyle w:val="2"/>
        <w:spacing w:line="14" w:lineRule="auto"/>
        <w:rPr>
          <w:sz w:val="2"/>
        </w:rPr>
      </w:pPr>
      <w:r>
        <w:rPr>
          <w:sz w:val="2"/>
          <w:szCs w:val="2"/>
        </w:rPr>
        <w:br w:type="column"/>
      </w:r>
    </w:p>
    <w:p w14:paraId="073F7195">
      <w:pPr>
        <w:spacing w:before="1" w:line="282" w:lineRule="auto"/>
        <w:ind w:left="5" w:right="37" w:firstLine="429"/>
        <w:rPr>
          <w:rFonts w:ascii="宋体" w:hAnsi="宋体" w:eastAsia="宋体" w:cs="宋体"/>
          <w:sz w:val="17"/>
          <w:szCs w:val="17"/>
        </w:rPr>
      </w:pPr>
      <w:r>
        <w:rPr>
          <w:rFonts w:ascii="宋体" w:hAnsi="宋体" w:eastAsia="宋体" w:cs="宋体"/>
          <w:spacing w:val="10"/>
          <w:sz w:val="17"/>
          <w:szCs w:val="17"/>
        </w:rPr>
        <w:t>(4)高倍：将所要观察的物像移到视野中央，转</w:t>
      </w:r>
      <w:r>
        <w:rPr>
          <w:rFonts w:ascii="宋体" w:hAnsi="宋体" w:eastAsia="宋体" w:cs="宋体"/>
          <w:spacing w:val="1"/>
          <w:sz w:val="17"/>
          <w:szCs w:val="17"/>
        </w:rPr>
        <w:t xml:space="preserve"> 动转换器，换上高倍镜，此时若不太清晰，可以调节细</w:t>
      </w:r>
      <w:r>
        <w:rPr>
          <w:rFonts w:ascii="宋体" w:hAnsi="宋体" w:eastAsia="宋体" w:cs="宋体"/>
          <w:spacing w:val="15"/>
          <w:sz w:val="17"/>
          <w:szCs w:val="17"/>
        </w:rPr>
        <w:t xml:space="preserve"> </w:t>
      </w:r>
      <w:r>
        <w:rPr>
          <w:rFonts w:ascii="宋体" w:hAnsi="宋体" w:eastAsia="宋体" w:cs="宋体"/>
          <w:spacing w:val="-3"/>
          <w:sz w:val="17"/>
          <w:szCs w:val="17"/>
        </w:rPr>
        <w:t>准焦螺旋，使物像达到最清晰。</w:t>
      </w:r>
    </w:p>
    <w:p w14:paraId="7DE09EE6">
      <w:pPr>
        <w:spacing w:before="88" w:line="267" w:lineRule="auto"/>
        <w:ind w:left="5" w:right="31" w:firstLine="429"/>
        <w:rPr>
          <w:rFonts w:ascii="宋体" w:hAnsi="宋体" w:eastAsia="宋体" w:cs="宋体"/>
          <w:sz w:val="17"/>
          <w:szCs w:val="17"/>
        </w:rPr>
      </w:pPr>
      <w:r>
        <w:rPr>
          <w:rFonts w:ascii="宋体" w:hAnsi="宋体" w:eastAsia="宋体" w:cs="宋体"/>
          <w:spacing w:val="10"/>
          <w:sz w:val="17"/>
          <w:szCs w:val="17"/>
        </w:rPr>
        <w:t>(5)绘图：在绘图纸上绘制高倍镜视野中所见的</w:t>
      </w:r>
      <w:r>
        <w:rPr>
          <w:rFonts w:ascii="宋体" w:hAnsi="宋体" w:eastAsia="宋体" w:cs="宋体"/>
          <w:spacing w:val="7"/>
          <w:sz w:val="17"/>
          <w:szCs w:val="17"/>
        </w:rPr>
        <w:t xml:space="preserve"> </w:t>
      </w:r>
      <w:r>
        <w:rPr>
          <w:rFonts w:ascii="宋体" w:hAnsi="宋体" w:eastAsia="宋体" w:cs="宋体"/>
          <w:spacing w:val="-1"/>
          <w:sz w:val="17"/>
          <w:szCs w:val="17"/>
        </w:rPr>
        <w:t>结构图，要真实美观，并标注出细胞壁和细胞核。</w:t>
      </w:r>
    </w:p>
    <w:p w14:paraId="4DB2587A">
      <w:pPr>
        <w:spacing w:before="88" w:line="219" w:lineRule="auto"/>
        <w:ind w:left="375"/>
        <w:rPr>
          <w:rFonts w:ascii="宋体" w:hAnsi="宋体" w:eastAsia="宋体" w:cs="宋体"/>
          <w:sz w:val="17"/>
          <w:szCs w:val="17"/>
        </w:rPr>
      </w:pPr>
      <w:r>
        <w:rPr>
          <w:rFonts w:ascii="宋体" w:hAnsi="宋体" w:eastAsia="宋体" w:cs="宋体"/>
          <w:sz w:val="17"/>
          <w:szCs w:val="17"/>
        </w:rPr>
        <w:t>3、整理仪器和实验台</w:t>
      </w:r>
    </w:p>
    <w:p w14:paraId="0D8A19AD">
      <w:pPr>
        <w:spacing w:before="88" w:line="219" w:lineRule="auto"/>
        <w:ind w:left="434"/>
        <w:rPr>
          <w:rFonts w:ascii="宋体" w:hAnsi="宋体" w:eastAsia="宋体" w:cs="宋体"/>
          <w:sz w:val="17"/>
          <w:szCs w:val="17"/>
        </w:rPr>
      </w:pPr>
      <w:r>
        <w:rPr>
          <w:rFonts w:ascii="宋体" w:hAnsi="宋体" w:eastAsia="宋体" w:cs="宋体"/>
          <w:spacing w:val="5"/>
          <w:sz w:val="17"/>
          <w:szCs w:val="17"/>
        </w:rPr>
        <w:t>(1)降低载物台、取下载玻片。</w:t>
      </w:r>
    </w:p>
    <w:p w14:paraId="2855A69E">
      <w:pPr>
        <w:spacing w:before="98" w:line="219" w:lineRule="auto"/>
        <w:ind w:left="434"/>
        <w:rPr>
          <w:rFonts w:ascii="宋体" w:hAnsi="宋体" w:eastAsia="宋体" w:cs="宋体"/>
          <w:sz w:val="17"/>
          <w:szCs w:val="17"/>
        </w:rPr>
      </w:pPr>
      <w:r>
        <w:rPr>
          <w:rFonts w:ascii="宋体" w:hAnsi="宋体" w:eastAsia="宋体" w:cs="宋体"/>
          <w:spacing w:val="5"/>
          <w:sz w:val="17"/>
          <w:szCs w:val="17"/>
        </w:rPr>
        <w:t>(2)旋转物镜转换器、擦拭镜头。</w:t>
      </w:r>
    </w:p>
    <w:p w14:paraId="4B83D013">
      <w:pPr>
        <w:spacing w:before="89" w:line="219" w:lineRule="auto"/>
        <w:ind w:left="434"/>
        <w:rPr>
          <w:rFonts w:ascii="宋体" w:hAnsi="宋体" w:eastAsia="宋体" w:cs="宋体"/>
          <w:sz w:val="17"/>
          <w:szCs w:val="17"/>
        </w:rPr>
      </w:pPr>
      <w:r>
        <w:rPr>
          <w:rFonts w:ascii="宋体" w:hAnsi="宋体" w:eastAsia="宋体" w:cs="宋体"/>
          <w:spacing w:val="6"/>
          <w:sz w:val="17"/>
          <w:szCs w:val="17"/>
        </w:rPr>
        <w:t>(3)擦净载物台。</w:t>
      </w:r>
    </w:p>
    <w:p w14:paraId="1C51B601">
      <w:pPr>
        <w:spacing w:before="78" w:line="220" w:lineRule="auto"/>
        <w:ind w:left="434"/>
        <w:rPr>
          <w:rFonts w:ascii="宋体" w:hAnsi="宋体" w:eastAsia="宋体" w:cs="宋体"/>
          <w:sz w:val="17"/>
          <w:szCs w:val="17"/>
        </w:rPr>
      </w:pPr>
      <w:r>
        <w:rPr>
          <w:rFonts w:ascii="宋体" w:hAnsi="宋体" w:eastAsia="宋体" w:cs="宋体"/>
          <w:spacing w:val="9"/>
          <w:sz w:val="17"/>
          <w:szCs w:val="17"/>
        </w:rPr>
        <w:t>(4)清洁实验台。</w:t>
      </w:r>
    </w:p>
    <w:p w14:paraId="3EAC0306">
      <w:pPr>
        <w:spacing w:before="217" w:line="220" w:lineRule="auto"/>
        <w:ind w:left="28"/>
        <w:rPr>
          <w:rFonts w:ascii="宋体" w:hAnsi="宋体" w:eastAsia="宋体" w:cs="宋体"/>
          <w:sz w:val="22"/>
          <w:szCs w:val="22"/>
        </w:rPr>
      </w:pPr>
      <w:r>
        <w:rPr>
          <w:rFonts w:ascii="宋体" w:hAnsi="宋体" w:eastAsia="宋体" w:cs="宋体"/>
          <w:b/>
          <w:bCs/>
          <w:spacing w:val="-4"/>
          <w:sz w:val="22"/>
          <w:szCs w:val="22"/>
        </w:rPr>
        <w:t>五、评分标准</w:t>
      </w:r>
    </w:p>
    <w:p w14:paraId="4AEB7D3D">
      <w:pPr>
        <w:spacing w:line="68" w:lineRule="auto"/>
        <w:rPr>
          <w:rFonts w:ascii="Arial"/>
          <w:sz w:val="2"/>
        </w:rPr>
      </w:pPr>
    </w:p>
    <w:tbl>
      <w:tblPr>
        <w:tblStyle w:val="5"/>
        <w:tblW w:w="4133"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84"/>
        <w:gridCol w:w="1007"/>
        <w:gridCol w:w="339"/>
        <w:gridCol w:w="2203"/>
      </w:tblGrid>
      <w:tr w14:paraId="65CFCE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40" w:hRule="atLeast"/>
        </w:trPr>
        <w:tc>
          <w:tcPr>
            <w:tcW w:w="584" w:type="dxa"/>
            <w:tcBorders>
              <w:top w:val="single" w:color="000000" w:sz="2" w:space="0"/>
              <w:bottom w:val="single" w:color="000000" w:sz="2" w:space="0"/>
            </w:tcBorders>
            <w:vAlign w:val="top"/>
          </w:tcPr>
          <w:p w14:paraId="49E28E4C">
            <w:pPr>
              <w:pStyle w:val="6"/>
              <w:spacing w:before="106" w:line="231" w:lineRule="auto"/>
              <w:ind w:left="117" w:right="123"/>
            </w:pPr>
            <w:r>
              <w:rPr>
                <w:b/>
                <w:bCs/>
                <w:spacing w:val="-6"/>
              </w:rPr>
              <w:t>测试</w:t>
            </w:r>
            <w:r>
              <w:t xml:space="preserve"> </w:t>
            </w:r>
            <w:r>
              <w:rPr>
                <w:b/>
                <w:bCs/>
                <w:spacing w:val="-6"/>
              </w:rPr>
              <w:t>要点</w:t>
            </w:r>
          </w:p>
        </w:tc>
        <w:tc>
          <w:tcPr>
            <w:tcW w:w="1007" w:type="dxa"/>
            <w:tcBorders>
              <w:top w:val="single" w:color="000000" w:sz="2" w:space="0"/>
              <w:bottom w:val="single" w:color="000000" w:sz="2" w:space="0"/>
            </w:tcBorders>
            <w:vAlign w:val="top"/>
          </w:tcPr>
          <w:p w14:paraId="1EA16ADE">
            <w:pPr>
              <w:pStyle w:val="6"/>
              <w:spacing w:before="234" w:line="219" w:lineRule="auto"/>
              <w:ind w:left="153"/>
            </w:pPr>
            <w:r>
              <w:rPr>
                <w:b/>
                <w:bCs/>
                <w:spacing w:val="-4"/>
              </w:rPr>
              <w:t>测试内容</w:t>
            </w:r>
          </w:p>
        </w:tc>
        <w:tc>
          <w:tcPr>
            <w:tcW w:w="339" w:type="dxa"/>
            <w:tcBorders>
              <w:top w:val="single" w:color="000000" w:sz="2" w:space="0"/>
              <w:bottom w:val="single" w:color="000000" w:sz="2" w:space="0"/>
            </w:tcBorders>
            <w:textDirection w:val="tbRlV"/>
            <w:vAlign w:val="top"/>
          </w:tcPr>
          <w:p w14:paraId="4FCF25B2">
            <w:pPr>
              <w:pStyle w:val="6"/>
              <w:spacing w:before="91" w:line="201" w:lineRule="auto"/>
              <w:ind w:left="137"/>
            </w:pPr>
            <w:r>
              <w:rPr>
                <w:b/>
                <w:bCs/>
                <w:spacing w:val="-2"/>
              </w:rPr>
              <w:t>分值</w:t>
            </w:r>
          </w:p>
        </w:tc>
        <w:tc>
          <w:tcPr>
            <w:tcW w:w="2203" w:type="dxa"/>
            <w:tcBorders>
              <w:top w:val="single" w:color="000000" w:sz="2" w:space="0"/>
              <w:bottom w:val="single" w:color="000000" w:sz="2" w:space="0"/>
            </w:tcBorders>
            <w:vAlign w:val="top"/>
          </w:tcPr>
          <w:p w14:paraId="2CDB1787">
            <w:pPr>
              <w:pStyle w:val="6"/>
              <w:spacing w:before="235" w:line="220" w:lineRule="auto"/>
              <w:ind w:left="797"/>
            </w:pPr>
            <w:r>
              <w:rPr>
                <w:b/>
                <w:bCs/>
                <w:spacing w:val="-3"/>
              </w:rPr>
              <w:t>评分标准</w:t>
            </w:r>
          </w:p>
        </w:tc>
      </w:tr>
      <w:tr w14:paraId="597150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14" w:hRule="atLeast"/>
        </w:trPr>
        <w:tc>
          <w:tcPr>
            <w:tcW w:w="584" w:type="dxa"/>
            <w:vMerge w:val="restart"/>
            <w:tcBorders>
              <w:top w:val="single" w:color="000000" w:sz="2" w:space="0"/>
              <w:bottom w:val="nil"/>
            </w:tcBorders>
            <w:vAlign w:val="top"/>
          </w:tcPr>
          <w:p w14:paraId="3C7FD1E2">
            <w:pPr>
              <w:spacing w:line="256" w:lineRule="auto"/>
              <w:rPr>
                <w:rFonts w:ascii="Arial"/>
                <w:sz w:val="21"/>
              </w:rPr>
            </w:pPr>
          </w:p>
          <w:p w14:paraId="5AC0BC81">
            <w:pPr>
              <w:spacing w:line="256" w:lineRule="auto"/>
              <w:rPr>
                <w:rFonts w:ascii="Arial"/>
                <w:sz w:val="21"/>
              </w:rPr>
            </w:pPr>
          </w:p>
          <w:p w14:paraId="5CA24DD4">
            <w:pPr>
              <w:spacing w:line="256" w:lineRule="auto"/>
              <w:rPr>
                <w:rFonts w:ascii="Arial"/>
                <w:sz w:val="21"/>
              </w:rPr>
            </w:pPr>
          </w:p>
          <w:p w14:paraId="026D95FF">
            <w:pPr>
              <w:spacing w:line="256" w:lineRule="auto"/>
              <w:rPr>
                <w:rFonts w:ascii="Arial"/>
                <w:sz w:val="21"/>
              </w:rPr>
            </w:pPr>
          </w:p>
          <w:p w14:paraId="2B07EF07">
            <w:pPr>
              <w:spacing w:line="256" w:lineRule="auto"/>
              <w:rPr>
                <w:rFonts w:ascii="Arial"/>
                <w:sz w:val="21"/>
              </w:rPr>
            </w:pPr>
          </w:p>
          <w:p w14:paraId="4113F659">
            <w:pPr>
              <w:spacing w:line="256" w:lineRule="auto"/>
              <w:rPr>
                <w:rFonts w:ascii="Arial"/>
                <w:sz w:val="21"/>
              </w:rPr>
            </w:pPr>
          </w:p>
          <w:p w14:paraId="5632392E">
            <w:pPr>
              <w:spacing w:line="257" w:lineRule="auto"/>
              <w:rPr>
                <w:rFonts w:ascii="Arial"/>
                <w:sz w:val="21"/>
              </w:rPr>
            </w:pPr>
          </w:p>
          <w:p w14:paraId="0BD23799">
            <w:pPr>
              <w:pStyle w:val="6"/>
              <w:spacing w:before="56" w:line="232" w:lineRule="auto"/>
              <w:ind w:left="114" w:right="104"/>
              <w:jc w:val="both"/>
            </w:pPr>
            <w:r>
              <w:rPr>
                <w:spacing w:val="5"/>
              </w:rPr>
              <w:t>临时</w:t>
            </w:r>
            <w:r>
              <w:t xml:space="preserve"> </w:t>
            </w:r>
            <w:r>
              <w:rPr>
                <w:spacing w:val="-4"/>
              </w:rPr>
              <w:t>装片</w:t>
            </w:r>
            <w:r>
              <w:t xml:space="preserve"> </w:t>
            </w:r>
            <w:r>
              <w:rPr>
                <w:spacing w:val="7"/>
              </w:rPr>
              <w:t>的制</w:t>
            </w:r>
            <w:r>
              <w:t xml:space="preserve"> </w:t>
            </w:r>
            <w:r>
              <w:rPr>
                <w:spacing w:val="28"/>
                <w:w w:val="126"/>
              </w:rPr>
              <w:t>作</w:t>
            </w:r>
          </w:p>
        </w:tc>
        <w:tc>
          <w:tcPr>
            <w:tcW w:w="1007" w:type="dxa"/>
            <w:tcBorders>
              <w:top w:val="single" w:color="000000" w:sz="2" w:space="0"/>
              <w:bottom w:val="single" w:color="000000" w:sz="2" w:space="0"/>
            </w:tcBorders>
            <w:vAlign w:val="top"/>
          </w:tcPr>
          <w:p w14:paraId="0ECBF6A0">
            <w:pPr>
              <w:pStyle w:val="6"/>
              <w:spacing w:before="192" w:line="220" w:lineRule="auto"/>
              <w:ind w:left="110"/>
            </w:pPr>
            <w:r>
              <w:rPr>
                <w:spacing w:val="-1"/>
              </w:rPr>
              <w:t>取载玻片，</w:t>
            </w:r>
          </w:p>
          <w:p w14:paraId="33AD43F4">
            <w:pPr>
              <w:pStyle w:val="6"/>
              <w:spacing w:before="37" w:line="221" w:lineRule="auto"/>
              <w:ind w:left="320"/>
            </w:pPr>
            <w:r>
              <w:rPr>
                <w:spacing w:val="-2"/>
              </w:rPr>
              <w:t>在其</w:t>
            </w:r>
          </w:p>
          <w:p w14:paraId="1C36BBA2">
            <w:pPr>
              <w:pStyle w:val="6"/>
              <w:spacing w:before="5" w:line="220" w:lineRule="auto"/>
              <w:ind w:left="70"/>
            </w:pPr>
            <w:r>
              <w:rPr>
                <w:spacing w:val="1"/>
              </w:rPr>
              <w:t>中央加一滴</w:t>
            </w:r>
          </w:p>
          <w:p w14:paraId="57D70162">
            <w:pPr>
              <w:pStyle w:val="6"/>
              <w:spacing w:before="17" w:line="219" w:lineRule="auto"/>
              <w:ind w:left="320"/>
            </w:pPr>
            <w:r>
              <w:rPr>
                <w:spacing w:val="-2"/>
              </w:rPr>
              <w:t>清水</w:t>
            </w:r>
          </w:p>
        </w:tc>
        <w:tc>
          <w:tcPr>
            <w:tcW w:w="339" w:type="dxa"/>
            <w:tcBorders>
              <w:top w:val="single" w:color="000000" w:sz="2" w:space="0"/>
              <w:bottom w:val="single" w:color="000000" w:sz="2" w:space="0"/>
            </w:tcBorders>
            <w:vAlign w:val="top"/>
          </w:tcPr>
          <w:p w14:paraId="1ECCDF86">
            <w:pPr>
              <w:spacing w:line="322" w:lineRule="auto"/>
              <w:rPr>
                <w:rFonts w:ascii="Arial"/>
                <w:sz w:val="21"/>
              </w:rPr>
            </w:pPr>
          </w:p>
          <w:p w14:paraId="26408236">
            <w:pPr>
              <w:spacing w:line="323" w:lineRule="auto"/>
              <w:rPr>
                <w:rFonts w:ascii="Arial"/>
                <w:sz w:val="21"/>
              </w:rPr>
            </w:pPr>
          </w:p>
          <w:p w14:paraId="196D7554">
            <w:pPr>
              <w:pStyle w:val="6"/>
              <w:spacing w:before="55" w:line="184" w:lineRule="auto"/>
              <w:ind w:left="73"/>
            </w:pPr>
            <w:r>
              <w:rPr>
                <w:spacing w:val="-5"/>
              </w:rPr>
              <w:t>10</w:t>
            </w:r>
          </w:p>
        </w:tc>
        <w:tc>
          <w:tcPr>
            <w:tcW w:w="2203" w:type="dxa"/>
            <w:tcBorders>
              <w:top w:val="single" w:color="000000" w:sz="2" w:space="0"/>
              <w:bottom w:val="single" w:color="000000" w:sz="2" w:space="0"/>
            </w:tcBorders>
            <w:vAlign w:val="top"/>
          </w:tcPr>
          <w:p w14:paraId="04BA6F2E">
            <w:pPr>
              <w:pStyle w:val="6"/>
              <w:spacing w:before="100" w:line="229" w:lineRule="auto"/>
              <w:ind w:left="14" w:firstLine="9"/>
            </w:pPr>
            <w:r>
              <w:rPr>
                <w:spacing w:val="-8"/>
              </w:rPr>
              <w:t>胶头滴管使用正确，水滴在中</w:t>
            </w:r>
            <w:r>
              <w:rPr>
                <w:spacing w:val="3"/>
              </w:rPr>
              <w:t xml:space="preserve"> </w:t>
            </w:r>
            <w:r>
              <w:rPr>
                <w:spacing w:val="-4"/>
              </w:rPr>
              <w:t>央，得10分；使用不正确或</w:t>
            </w:r>
            <w:r>
              <w:rPr>
                <w:spacing w:val="2"/>
              </w:rPr>
              <w:t xml:space="preserve">   </w:t>
            </w:r>
            <w:r>
              <w:rPr>
                <w:spacing w:val="-8"/>
              </w:rPr>
              <w:t>水滴偏离、过大等，扣2-6分，</w:t>
            </w:r>
          </w:p>
          <w:p w14:paraId="21F0DFE1">
            <w:pPr>
              <w:pStyle w:val="6"/>
              <w:spacing w:before="29" w:line="229" w:lineRule="auto"/>
              <w:ind w:left="24" w:right="1323" w:hanging="10"/>
            </w:pPr>
            <w:r>
              <w:rPr>
                <w:spacing w:val="-2"/>
              </w:rPr>
              <w:t>损坏载玻</w:t>
            </w:r>
            <w:r>
              <w:t xml:space="preserve">   </w:t>
            </w:r>
            <w:r>
              <w:rPr>
                <w:spacing w:val="-1"/>
              </w:rPr>
              <w:t>片扣10分。</w:t>
            </w:r>
          </w:p>
        </w:tc>
      </w:tr>
      <w:tr w14:paraId="4CC5CB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84" w:hRule="atLeast"/>
        </w:trPr>
        <w:tc>
          <w:tcPr>
            <w:tcW w:w="584" w:type="dxa"/>
            <w:vMerge w:val="continue"/>
            <w:tcBorders>
              <w:top w:val="nil"/>
              <w:bottom w:val="nil"/>
            </w:tcBorders>
            <w:vAlign w:val="top"/>
          </w:tcPr>
          <w:p w14:paraId="2D77661E">
            <w:pPr>
              <w:rPr>
                <w:rFonts w:ascii="Arial"/>
                <w:sz w:val="21"/>
              </w:rPr>
            </w:pPr>
          </w:p>
        </w:tc>
        <w:tc>
          <w:tcPr>
            <w:tcW w:w="1007" w:type="dxa"/>
            <w:tcBorders>
              <w:top w:val="single" w:color="000000" w:sz="2" w:space="0"/>
              <w:bottom w:val="single" w:color="000000" w:sz="2" w:space="0"/>
            </w:tcBorders>
            <w:vAlign w:val="top"/>
          </w:tcPr>
          <w:p w14:paraId="6FCF1DCE">
            <w:pPr>
              <w:pStyle w:val="6"/>
              <w:spacing w:before="243" w:line="248" w:lineRule="auto"/>
              <w:ind w:left="319" w:right="52" w:hanging="249"/>
            </w:pPr>
            <w:r>
              <w:rPr>
                <w:spacing w:val="4"/>
              </w:rPr>
              <w:t>撕取洋葱内</w:t>
            </w:r>
            <w:r>
              <w:rPr>
                <w:spacing w:val="2"/>
              </w:rPr>
              <w:t xml:space="preserve"> </w:t>
            </w:r>
            <w:r>
              <w:rPr>
                <w:spacing w:val="-2"/>
              </w:rPr>
              <w:t>表皮</w:t>
            </w:r>
          </w:p>
        </w:tc>
        <w:tc>
          <w:tcPr>
            <w:tcW w:w="339" w:type="dxa"/>
            <w:tcBorders>
              <w:top w:val="single" w:color="000000" w:sz="2" w:space="0"/>
              <w:bottom w:val="single" w:color="000000" w:sz="2" w:space="0"/>
            </w:tcBorders>
            <w:vAlign w:val="top"/>
          </w:tcPr>
          <w:p w14:paraId="513D04AD">
            <w:pPr>
              <w:spacing w:line="348" w:lineRule="auto"/>
              <w:rPr>
                <w:rFonts w:ascii="Arial"/>
                <w:sz w:val="21"/>
              </w:rPr>
            </w:pPr>
          </w:p>
          <w:p w14:paraId="65C6A4B4">
            <w:pPr>
              <w:pStyle w:val="6"/>
              <w:spacing w:before="55" w:line="184" w:lineRule="auto"/>
              <w:ind w:left="73"/>
            </w:pPr>
            <w:r>
              <w:rPr>
                <w:spacing w:val="-5"/>
              </w:rPr>
              <w:t>10</w:t>
            </w:r>
          </w:p>
        </w:tc>
        <w:tc>
          <w:tcPr>
            <w:tcW w:w="2203" w:type="dxa"/>
            <w:tcBorders>
              <w:top w:val="single" w:color="000000" w:sz="2" w:space="0"/>
              <w:bottom w:val="single" w:color="000000" w:sz="2" w:space="0"/>
            </w:tcBorders>
            <w:vAlign w:val="top"/>
          </w:tcPr>
          <w:p w14:paraId="08965785">
            <w:pPr>
              <w:pStyle w:val="6"/>
              <w:spacing w:before="33" w:line="236" w:lineRule="auto"/>
              <w:ind w:left="14" w:right="1" w:firstLine="10"/>
            </w:pPr>
            <w:r>
              <w:rPr>
                <w:spacing w:val="-4"/>
              </w:rPr>
              <w:t>使用镊子分离，内表皮大小适</w:t>
            </w:r>
            <w:r>
              <w:rPr>
                <w:spacing w:val="7"/>
              </w:rPr>
              <w:t xml:space="preserve"> </w:t>
            </w:r>
            <w:r>
              <w:t>中，得10分；用手</w:t>
            </w:r>
          </w:p>
          <w:p w14:paraId="2BC57BCF">
            <w:pPr>
              <w:pStyle w:val="6"/>
              <w:spacing w:before="4" w:line="218" w:lineRule="auto"/>
              <w:ind w:left="14" w:right="143"/>
            </w:pPr>
            <w:r>
              <w:rPr>
                <w:spacing w:val="-1"/>
              </w:rPr>
              <w:t>撕或内表皮过大、过小等，</w:t>
            </w:r>
            <w:r>
              <w:rPr>
                <w:spacing w:val="6"/>
              </w:rPr>
              <w:t xml:space="preserve"> </w:t>
            </w:r>
            <w:r>
              <w:t>扣2-5分。</w:t>
            </w:r>
          </w:p>
        </w:tc>
      </w:tr>
      <w:tr w14:paraId="5BFF15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84" w:hRule="atLeast"/>
        </w:trPr>
        <w:tc>
          <w:tcPr>
            <w:tcW w:w="584" w:type="dxa"/>
            <w:vMerge w:val="continue"/>
            <w:tcBorders>
              <w:top w:val="nil"/>
              <w:bottom w:val="nil"/>
            </w:tcBorders>
            <w:vAlign w:val="top"/>
          </w:tcPr>
          <w:p w14:paraId="6697E0F2">
            <w:pPr>
              <w:rPr>
                <w:rFonts w:ascii="Arial"/>
                <w:sz w:val="21"/>
              </w:rPr>
            </w:pPr>
          </w:p>
        </w:tc>
        <w:tc>
          <w:tcPr>
            <w:tcW w:w="1007" w:type="dxa"/>
            <w:tcBorders>
              <w:top w:val="single" w:color="000000" w:sz="2" w:space="0"/>
              <w:bottom w:val="single" w:color="000000" w:sz="2" w:space="0"/>
            </w:tcBorders>
            <w:vAlign w:val="top"/>
          </w:tcPr>
          <w:p w14:paraId="71EC6A15">
            <w:pPr>
              <w:pStyle w:val="6"/>
              <w:spacing w:before="153" w:line="219" w:lineRule="auto"/>
              <w:ind w:left="70"/>
            </w:pPr>
            <w:r>
              <w:rPr>
                <w:spacing w:val="2"/>
              </w:rPr>
              <w:t>内表皮置于</w:t>
            </w:r>
          </w:p>
          <w:p w14:paraId="368A1CD1">
            <w:pPr>
              <w:pStyle w:val="6"/>
              <w:spacing w:before="19" w:line="216" w:lineRule="auto"/>
              <w:ind w:left="320"/>
            </w:pPr>
            <w:r>
              <w:rPr>
                <w:spacing w:val="-2"/>
              </w:rPr>
              <w:t>载玻</w:t>
            </w:r>
          </w:p>
          <w:p w14:paraId="74EAF9E2">
            <w:pPr>
              <w:pStyle w:val="6"/>
              <w:spacing w:line="219" w:lineRule="auto"/>
              <w:ind w:left="70"/>
            </w:pPr>
            <w:r>
              <w:rPr>
                <w:spacing w:val="3"/>
              </w:rPr>
              <w:t>片的清水中</w:t>
            </w:r>
          </w:p>
        </w:tc>
        <w:tc>
          <w:tcPr>
            <w:tcW w:w="339" w:type="dxa"/>
            <w:tcBorders>
              <w:top w:val="single" w:color="000000" w:sz="2" w:space="0"/>
              <w:bottom w:val="single" w:color="000000" w:sz="2" w:space="0"/>
            </w:tcBorders>
            <w:vAlign w:val="top"/>
          </w:tcPr>
          <w:p w14:paraId="07C76A56">
            <w:pPr>
              <w:spacing w:line="349" w:lineRule="auto"/>
              <w:rPr>
                <w:rFonts w:ascii="Arial"/>
                <w:sz w:val="21"/>
              </w:rPr>
            </w:pPr>
          </w:p>
          <w:p w14:paraId="761F6E49">
            <w:pPr>
              <w:pStyle w:val="6"/>
              <w:spacing w:before="55" w:line="184" w:lineRule="auto"/>
              <w:ind w:left="73"/>
            </w:pPr>
            <w:r>
              <w:rPr>
                <w:spacing w:val="-5"/>
              </w:rPr>
              <w:t>10</w:t>
            </w:r>
          </w:p>
        </w:tc>
        <w:tc>
          <w:tcPr>
            <w:tcW w:w="2203" w:type="dxa"/>
            <w:tcBorders>
              <w:top w:val="single" w:color="000000" w:sz="2" w:space="0"/>
              <w:bottom w:val="single" w:color="000000" w:sz="2" w:space="0"/>
            </w:tcBorders>
            <w:vAlign w:val="top"/>
          </w:tcPr>
          <w:p w14:paraId="4ECCEE75">
            <w:pPr>
              <w:pStyle w:val="6"/>
              <w:spacing w:before="33" w:line="230" w:lineRule="auto"/>
              <w:ind w:left="14" w:right="315"/>
            </w:pPr>
            <w:r>
              <w:rPr>
                <w:spacing w:val="-1"/>
              </w:rPr>
              <w:t>使用镊子将洋葱鳞片叶表</w:t>
            </w:r>
            <w:r>
              <w:rPr>
                <w:spacing w:val="2"/>
              </w:rPr>
              <w:t xml:space="preserve"> </w:t>
            </w:r>
            <w:r>
              <w:rPr>
                <w:spacing w:val="1"/>
              </w:rPr>
              <w:t>皮平整地铺展在载玻片</w:t>
            </w:r>
          </w:p>
          <w:p w14:paraId="230C87B6">
            <w:pPr>
              <w:pStyle w:val="6"/>
              <w:spacing w:before="26" w:line="212" w:lineRule="auto"/>
              <w:ind w:left="14" w:firstLine="10"/>
            </w:pPr>
            <w:r>
              <w:rPr>
                <w:spacing w:val="-3"/>
              </w:rPr>
              <w:t>上，得10分；用手铺开或不够</w:t>
            </w:r>
            <w:r>
              <w:t xml:space="preserve"> 平展，扣3-5分。</w:t>
            </w:r>
          </w:p>
        </w:tc>
      </w:tr>
      <w:tr w14:paraId="2B64B1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04" w:hRule="atLeast"/>
        </w:trPr>
        <w:tc>
          <w:tcPr>
            <w:tcW w:w="584" w:type="dxa"/>
            <w:vMerge w:val="continue"/>
            <w:tcBorders>
              <w:top w:val="nil"/>
              <w:bottom w:val="single" w:color="000000" w:sz="2" w:space="0"/>
            </w:tcBorders>
            <w:vAlign w:val="top"/>
          </w:tcPr>
          <w:p w14:paraId="5267A77C">
            <w:pPr>
              <w:rPr>
                <w:rFonts w:ascii="Arial"/>
                <w:sz w:val="21"/>
              </w:rPr>
            </w:pPr>
          </w:p>
        </w:tc>
        <w:tc>
          <w:tcPr>
            <w:tcW w:w="1007" w:type="dxa"/>
            <w:tcBorders>
              <w:top w:val="single" w:color="000000" w:sz="2" w:space="0"/>
              <w:bottom w:val="single" w:color="000000" w:sz="2" w:space="0"/>
            </w:tcBorders>
            <w:vAlign w:val="top"/>
          </w:tcPr>
          <w:p w14:paraId="7F4E7991">
            <w:pPr>
              <w:spacing w:line="258" w:lineRule="auto"/>
              <w:rPr>
                <w:rFonts w:ascii="Arial"/>
                <w:sz w:val="21"/>
              </w:rPr>
            </w:pPr>
          </w:p>
          <w:p w14:paraId="1C4BC23A">
            <w:pPr>
              <w:spacing w:line="258" w:lineRule="auto"/>
              <w:rPr>
                <w:rFonts w:ascii="Arial"/>
                <w:sz w:val="21"/>
              </w:rPr>
            </w:pPr>
          </w:p>
          <w:p w14:paraId="071F0732">
            <w:pPr>
              <w:pStyle w:val="6"/>
              <w:spacing w:before="55" w:line="220" w:lineRule="auto"/>
              <w:ind w:left="70"/>
            </w:pPr>
            <w:r>
              <w:rPr>
                <w:spacing w:val="-2"/>
              </w:rPr>
              <w:t>加盖盖玻片</w:t>
            </w:r>
          </w:p>
        </w:tc>
        <w:tc>
          <w:tcPr>
            <w:tcW w:w="339" w:type="dxa"/>
            <w:tcBorders>
              <w:top w:val="single" w:color="000000" w:sz="2" w:space="0"/>
              <w:bottom w:val="single" w:color="000000" w:sz="2" w:space="0"/>
            </w:tcBorders>
            <w:vAlign w:val="top"/>
          </w:tcPr>
          <w:p w14:paraId="4DE27D25">
            <w:pPr>
              <w:spacing w:line="343" w:lineRule="auto"/>
              <w:rPr>
                <w:rFonts w:ascii="Arial"/>
                <w:sz w:val="21"/>
              </w:rPr>
            </w:pPr>
          </w:p>
          <w:p w14:paraId="2A10B77E">
            <w:pPr>
              <w:spacing w:line="344" w:lineRule="auto"/>
              <w:rPr>
                <w:rFonts w:ascii="Arial"/>
                <w:sz w:val="21"/>
              </w:rPr>
            </w:pPr>
          </w:p>
          <w:p w14:paraId="61EC71AA">
            <w:pPr>
              <w:pStyle w:val="6"/>
              <w:spacing w:before="55" w:line="184" w:lineRule="auto"/>
              <w:ind w:left="73"/>
            </w:pPr>
            <w:r>
              <w:rPr>
                <w:spacing w:val="-5"/>
              </w:rPr>
              <w:t>15</w:t>
            </w:r>
          </w:p>
        </w:tc>
        <w:tc>
          <w:tcPr>
            <w:tcW w:w="2203" w:type="dxa"/>
            <w:tcBorders>
              <w:top w:val="single" w:color="000000" w:sz="2" w:space="0"/>
              <w:bottom w:val="single" w:color="000000" w:sz="2" w:space="0"/>
            </w:tcBorders>
            <w:vAlign w:val="top"/>
          </w:tcPr>
          <w:p w14:paraId="639CED5D">
            <w:pPr>
              <w:pStyle w:val="6"/>
              <w:spacing w:before="34" w:line="237" w:lineRule="auto"/>
              <w:ind w:left="14" w:firstLine="9"/>
              <w:jc w:val="both"/>
            </w:pPr>
            <w:r>
              <w:rPr>
                <w:spacing w:val="-9"/>
              </w:rPr>
              <w:t>用镊子取盖玻片，使一侧边缘</w:t>
            </w:r>
            <w:r>
              <w:t xml:space="preserve">  </w:t>
            </w:r>
            <w:r>
              <w:rPr>
                <w:spacing w:val="-9"/>
              </w:rPr>
              <w:t>首先接触水滴，慢慢倾斜并盖</w:t>
            </w:r>
            <w:r>
              <w:rPr>
                <w:spacing w:val="4"/>
              </w:rPr>
              <w:t xml:space="preserve">  </w:t>
            </w:r>
            <w:r>
              <w:rPr>
                <w:spacing w:val="-14"/>
              </w:rPr>
              <w:t>在样本上，没有气泡，得15分；</w:t>
            </w:r>
            <w:r>
              <w:rPr>
                <w:spacing w:val="7"/>
              </w:rPr>
              <w:t xml:space="preserve"> </w:t>
            </w:r>
            <w:r>
              <w:rPr>
                <w:spacing w:val="-6"/>
              </w:rPr>
              <w:t>损坏盖</w:t>
            </w:r>
          </w:p>
          <w:p w14:paraId="68AC32DD">
            <w:pPr>
              <w:pStyle w:val="6"/>
              <w:spacing w:before="7" w:line="206" w:lineRule="auto"/>
              <w:ind w:left="34" w:right="147" w:hanging="20"/>
            </w:pPr>
            <w:r>
              <w:rPr>
                <w:spacing w:val="-1"/>
              </w:rPr>
              <w:t>玻片扣5分，操作不正确扣5</w:t>
            </w:r>
            <w:r>
              <w:rPr>
                <w:spacing w:val="2"/>
              </w:rPr>
              <w:t xml:space="preserve"> </w:t>
            </w:r>
            <w:r>
              <w:rPr>
                <w:spacing w:val="-1"/>
              </w:rPr>
              <w:t>分，有气泡扣5分。</w:t>
            </w:r>
          </w:p>
        </w:tc>
      </w:tr>
      <w:tr w14:paraId="668DE5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84" w:hRule="atLeast"/>
        </w:trPr>
        <w:tc>
          <w:tcPr>
            <w:tcW w:w="584" w:type="dxa"/>
            <w:vMerge w:val="restart"/>
            <w:tcBorders>
              <w:top w:val="single" w:color="000000" w:sz="2" w:space="0"/>
              <w:bottom w:val="nil"/>
            </w:tcBorders>
            <w:vAlign w:val="top"/>
          </w:tcPr>
          <w:p w14:paraId="37AFE7E6">
            <w:pPr>
              <w:spacing w:line="259" w:lineRule="auto"/>
              <w:rPr>
                <w:rFonts w:ascii="Arial"/>
                <w:sz w:val="21"/>
              </w:rPr>
            </w:pPr>
          </w:p>
          <w:p w14:paraId="01FF3C6F">
            <w:pPr>
              <w:spacing w:line="259" w:lineRule="auto"/>
              <w:rPr>
                <w:rFonts w:ascii="Arial"/>
                <w:sz w:val="21"/>
              </w:rPr>
            </w:pPr>
          </w:p>
          <w:p w14:paraId="7F3D5101">
            <w:pPr>
              <w:spacing w:line="260" w:lineRule="auto"/>
              <w:rPr>
                <w:rFonts w:ascii="Arial"/>
                <w:sz w:val="21"/>
              </w:rPr>
            </w:pPr>
          </w:p>
          <w:p w14:paraId="2167CB88">
            <w:pPr>
              <w:spacing w:line="260" w:lineRule="auto"/>
              <w:rPr>
                <w:rFonts w:ascii="Arial"/>
                <w:sz w:val="21"/>
              </w:rPr>
            </w:pPr>
          </w:p>
          <w:p w14:paraId="5AFE1E1D">
            <w:pPr>
              <w:spacing w:line="260" w:lineRule="auto"/>
              <w:rPr>
                <w:rFonts w:ascii="Arial"/>
                <w:sz w:val="21"/>
              </w:rPr>
            </w:pPr>
          </w:p>
          <w:p w14:paraId="5DB12451">
            <w:pPr>
              <w:spacing w:line="260" w:lineRule="auto"/>
              <w:rPr>
                <w:rFonts w:ascii="Arial"/>
                <w:sz w:val="21"/>
              </w:rPr>
            </w:pPr>
          </w:p>
          <w:p w14:paraId="532439D2">
            <w:pPr>
              <w:pStyle w:val="6"/>
              <w:spacing w:before="55" w:line="227" w:lineRule="auto"/>
              <w:ind w:left="114" w:right="98"/>
              <w:jc w:val="both"/>
            </w:pPr>
            <w:r>
              <w:rPr>
                <w:spacing w:val="-6"/>
              </w:rPr>
              <w:t>显微</w:t>
            </w:r>
            <w:r>
              <w:t xml:space="preserve"> </w:t>
            </w:r>
            <w:r>
              <w:rPr>
                <w:spacing w:val="6"/>
              </w:rPr>
              <w:t>镜的</w:t>
            </w:r>
            <w:r>
              <w:t xml:space="preserve"> </w:t>
            </w:r>
            <w:r>
              <w:rPr>
                <w:spacing w:val="10"/>
              </w:rPr>
              <w:t>使用</w:t>
            </w:r>
            <w:r>
              <w:t xml:space="preserve"> </w:t>
            </w:r>
            <w:r>
              <w:rPr>
                <w:spacing w:val="-2"/>
              </w:rPr>
              <w:t>方法</w:t>
            </w:r>
          </w:p>
        </w:tc>
        <w:tc>
          <w:tcPr>
            <w:tcW w:w="1007" w:type="dxa"/>
            <w:tcBorders>
              <w:top w:val="single" w:color="000000" w:sz="2" w:space="0"/>
              <w:bottom w:val="single" w:color="000000" w:sz="2" w:space="0"/>
            </w:tcBorders>
            <w:vAlign w:val="top"/>
          </w:tcPr>
          <w:p w14:paraId="1EA62D32">
            <w:pPr>
              <w:spacing w:line="294" w:lineRule="auto"/>
              <w:rPr>
                <w:rFonts w:ascii="Arial"/>
                <w:sz w:val="21"/>
              </w:rPr>
            </w:pPr>
          </w:p>
          <w:p w14:paraId="00E7382E">
            <w:pPr>
              <w:spacing w:line="295" w:lineRule="auto"/>
              <w:rPr>
                <w:rFonts w:ascii="Arial"/>
                <w:sz w:val="21"/>
              </w:rPr>
            </w:pPr>
          </w:p>
          <w:p w14:paraId="783849C4">
            <w:pPr>
              <w:spacing w:line="295" w:lineRule="auto"/>
              <w:rPr>
                <w:rFonts w:ascii="Arial"/>
                <w:sz w:val="21"/>
              </w:rPr>
            </w:pPr>
          </w:p>
          <w:p w14:paraId="4F42D5E9">
            <w:pPr>
              <w:pStyle w:val="6"/>
              <w:spacing w:before="55" w:line="219" w:lineRule="auto"/>
              <w:ind w:left="70"/>
            </w:pPr>
            <w:r>
              <w:rPr>
                <w:spacing w:val="-2"/>
              </w:rPr>
              <w:t>调试显微镜</w:t>
            </w:r>
          </w:p>
        </w:tc>
        <w:tc>
          <w:tcPr>
            <w:tcW w:w="339" w:type="dxa"/>
            <w:tcBorders>
              <w:top w:val="single" w:color="000000" w:sz="2" w:space="0"/>
              <w:bottom w:val="single" w:color="000000" w:sz="2" w:space="0"/>
            </w:tcBorders>
            <w:vAlign w:val="top"/>
          </w:tcPr>
          <w:p w14:paraId="73EC3B38">
            <w:pPr>
              <w:spacing w:line="315" w:lineRule="auto"/>
              <w:rPr>
                <w:rFonts w:ascii="Arial"/>
                <w:sz w:val="21"/>
              </w:rPr>
            </w:pPr>
          </w:p>
          <w:p w14:paraId="2CEB8EF2">
            <w:pPr>
              <w:spacing w:line="315" w:lineRule="auto"/>
              <w:rPr>
                <w:rFonts w:ascii="Arial"/>
                <w:sz w:val="21"/>
              </w:rPr>
            </w:pPr>
          </w:p>
          <w:p w14:paraId="23622C48">
            <w:pPr>
              <w:spacing w:line="316" w:lineRule="auto"/>
              <w:rPr>
                <w:rFonts w:ascii="Arial"/>
                <w:sz w:val="21"/>
              </w:rPr>
            </w:pPr>
          </w:p>
          <w:p w14:paraId="007B035E">
            <w:pPr>
              <w:pStyle w:val="6"/>
              <w:spacing w:before="56" w:line="184" w:lineRule="auto"/>
              <w:ind w:left="73"/>
            </w:pPr>
            <w:r>
              <w:rPr>
                <w:spacing w:val="-5"/>
              </w:rPr>
              <w:t>18</w:t>
            </w:r>
          </w:p>
        </w:tc>
        <w:tc>
          <w:tcPr>
            <w:tcW w:w="2203" w:type="dxa"/>
            <w:tcBorders>
              <w:top w:val="single" w:color="000000" w:sz="2" w:space="0"/>
              <w:bottom w:val="single" w:color="000000" w:sz="2" w:space="0"/>
            </w:tcBorders>
            <w:vAlign w:val="top"/>
          </w:tcPr>
          <w:p w14:paraId="059B4182">
            <w:pPr>
              <w:pStyle w:val="6"/>
              <w:spacing w:before="65" w:line="236" w:lineRule="auto"/>
              <w:ind w:left="14" w:right="143"/>
            </w:pPr>
            <w:r>
              <w:rPr>
                <w:spacing w:val="-1"/>
              </w:rPr>
              <w:t>扭转物镜转换器，使低倍物</w:t>
            </w:r>
            <w:r>
              <w:rPr>
                <w:spacing w:val="3"/>
              </w:rPr>
              <w:t xml:space="preserve"> </w:t>
            </w:r>
            <w:r>
              <w:rPr>
                <w:spacing w:val="-1"/>
              </w:rPr>
              <w:t>镜对准载物台上的通光孔，</w:t>
            </w:r>
          </w:p>
          <w:p w14:paraId="2CBB37A2">
            <w:pPr>
              <w:pStyle w:val="6"/>
              <w:spacing w:before="5" w:line="232" w:lineRule="auto"/>
              <w:ind w:left="14"/>
            </w:pPr>
            <w:r>
              <w:rPr>
                <w:spacing w:val="-5"/>
              </w:rPr>
              <w:t>调整光圈至合适刻度，然后对</w:t>
            </w:r>
            <w:r>
              <w:rPr>
                <w:spacing w:val="4"/>
              </w:rPr>
              <w:t xml:space="preserve"> </w:t>
            </w:r>
            <w:r>
              <w:rPr>
                <w:spacing w:val="-3"/>
              </w:rPr>
              <w:t>准目镜观察，根据光线强弱，</w:t>
            </w:r>
            <w:r>
              <w:rPr>
                <w:spacing w:val="6"/>
              </w:rPr>
              <w:t xml:space="preserve"> </w:t>
            </w:r>
            <w:r>
              <w:rPr>
                <w:spacing w:val="-3"/>
              </w:rPr>
              <w:t>调节光亮度。操作正确得18</w:t>
            </w:r>
            <w:r>
              <w:rPr>
                <w:spacing w:val="1"/>
              </w:rPr>
              <w:t xml:space="preserve">   </w:t>
            </w:r>
            <w:r>
              <w:rPr>
                <w:spacing w:val="-3"/>
              </w:rPr>
              <w:t>分，不正确扣4-8分，此项没</w:t>
            </w:r>
            <w:r>
              <w:rPr>
                <w:spacing w:val="3"/>
              </w:rPr>
              <w:t xml:space="preserve">  </w:t>
            </w:r>
            <w:r>
              <w:rPr>
                <w:spacing w:val="-2"/>
              </w:rPr>
              <w:t>做扣18分。</w:t>
            </w:r>
          </w:p>
        </w:tc>
      </w:tr>
      <w:tr w14:paraId="657318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04" w:hRule="atLeast"/>
        </w:trPr>
        <w:tc>
          <w:tcPr>
            <w:tcW w:w="584" w:type="dxa"/>
            <w:vMerge w:val="continue"/>
            <w:tcBorders>
              <w:top w:val="nil"/>
              <w:bottom w:val="nil"/>
            </w:tcBorders>
            <w:vAlign w:val="top"/>
          </w:tcPr>
          <w:p w14:paraId="49B66655">
            <w:pPr>
              <w:rPr>
                <w:rFonts w:ascii="Arial"/>
                <w:sz w:val="21"/>
              </w:rPr>
            </w:pPr>
          </w:p>
        </w:tc>
        <w:tc>
          <w:tcPr>
            <w:tcW w:w="1007" w:type="dxa"/>
            <w:tcBorders>
              <w:top w:val="single" w:color="000000" w:sz="2" w:space="0"/>
              <w:bottom w:val="single" w:color="000000" w:sz="2" w:space="0"/>
            </w:tcBorders>
            <w:vAlign w:val="top"/>
          </w:tcPr>
          <w:p w14:paraId="3280B7A3">
            <w:pPr>
              <w:spacing w:line="269" w:lineRule="auto"/>
              <w:rPr>
                <w:rFonts w:ascii="Arial"/>
                <w:sz w:val="21"/>
              </w:rPr>
            </w:pPr>
          </w:p>
          <w:p w14:paraId="03C4356B">
            <w:pPr>
              <w:pStyle w:val="6"/>
              <w:spacing w:before="55" w:line="220" w:lineRule="auto"/>
              <w:ind w:left="320"/>
            </w:pPr>
            <w:r>
              <w:rPr>
                <w:spacing w:val="-2"/>
              </w:rPr>
              <w:t>装片</w:t>
            </w:r>
          </w:p>
        </w:tc>
        <w:tc>
          <w:tcPr>
            <w:tcW w:w="339" w:type="dxa"/>
            <w:tcBorders>
              <w:top w:val="single" w:color="000000" w:sz="2" w:space="0"/>
              <w:bottom w:val="single" w:color="000000" w:sz="2" w:space="0"/>
            </w:tcBorders>
            <w:vAlign w:val="top"/>
          </w:tcPr>
          <w:p w14:paraId="04F8928C">
            <w:pPr>
              <w:spacing w:line="313" w:lineRule="auto"/>
              <w:rPr>
                <w:rFonts w:ascii="Arial"/>
                <w:sz w:val="21"/>
              </w:rPr>
            </w:pPr>
          </w:p>
          <w:p w14:paraId="1394B145">
            <w:pPr>
              <w:pStyle w:val="6"/>
              <w:spacing w:before="55" w:line="182" w:lineRule="auto"/>
              <w:ind w:left="113"/>
            </w:pPr>
            <w:r>
              <w:t>5</w:t>
            </w:r>
          </w:p>
        </w:tc>
        <w:tc>
          <w:tcPr>
            <w:tcW w:w="2203" w:type="dxa"/>
            <w:tcBorders>
              <w:top w:val="single" w:color="000000" w:sz="2" w:space="0"/>
              <w:bottom w:val="single" w:color="000000" w:sz="2" w:space="0"/>
            </w:tcBorders>
            <w:vAlign w:val="top"/>
          </w:tcPr>
          <w:p w14:paraId="5114E8DE">
            <w:pPr>
              <w:pStyle w:val="6"/>
              <w:spacing w:before="126" w:line="220" w:lineRule="auto"/>
              <w:ind w:left="24"/>
            </w:pPr>
            <w:r>
              <w:rPr>
                <w:spacing w:val="-1"/>
              </w:rPr>
              <w:t>放置装片，移动载物台，</w:t>
            </w:r>
          </w:p>
          <w:p w14:paraId="5E0B70E5">
            <w:pPr>
              <w:pStyle w:val="6"/>
              <w:spacing w:before="5" w:line="219" w:lineRule="auto"/>
              <w:ind w:left="24"/>
            </w:pPr>
            <w:r>
              <w:rPr>
                <w:spacing w:val="-1"/>
              </w:rPr>
              <w:t>标本部分对准通光孔中央。</w:t>
            </w:r>
          </w:p>
          <w:p w14:paraId="77700270">
            <w:pPr>
              <w:pStyle w:val="6"/>
              <w:spacing w:before="19" w:line="219" w:lineRule="auto"/>
              <w:jc w:val="right"/>
            </w:pPr>
            <w:r>
              <w:rPr>
                <w:spacing w:val="-3"/>
              </w:rPr>
              <w:t>正确得5分；不正确扣2-4分。</w:t>
            </w:r>
          </w:p>
        </w:tc>
      </w:tr>
      <w:tr w14:paraId="26C55A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09" w:hRule="atLeast"/>
        </w:trPr>
        <w:tc>
          <w:tcPr>
            <w:tcW w:w="584" w:type="dxa"/>
            <w:vMerge w:val="continue"/>
            <w:tcBorders>
              <w:top w:val="nil"/>
              <w:bottom w:val="single" w:color="000000" w:sz="2" w:space="0"/>
            </w:tcBorders>
            <w:vAlign w:val="top"/>
          </w:tcPr>
          <w:p w14:paraId="085D1248">
            <w:pPr>
              <w:rPr>
                <w:rFonts w:ascii="Arial"/>
                <w:sz w:val="21"/>
              </w:rPr>
            </w:pPr>
          </w:p>
        </w:tc>
        <w:tc>
          <w:tcPr>
            <w:tcW w:w="1007" w:type="dxa"/>
            <w:tcBorders>
              <w:top w:val="single" w:color="000000" w:sz="2" w:space="0"/>
              <w:bottom w:val="single" w:color="000000" w:sz="2" w:space="0"/>
            </w:tcBorders>
            <w:vAlign w:val="top"/>
          </w:tcPr>
          <w:p w14:paraId="630FEB85">
            <w:pPr>
              <w:spacing w:line="301" w:lineRule="auto"/>
              <w:rPr>
                <w:rFonts w:ascii="Arial"/>
                <w:sz w:val="21"/>
              </w:rPr>
            </w:pPr>
          </w:p>
          <w:p w14:paraId="05DDCE81">
            <w:pPr>
              <w:spacing w:line="302" w:lineRule="auto"/>
              <w:rPr>
                <w:rFonts w:ascii="Arial"/>
                <w:sz w:val="21"/>
              </w:rPr>
            </w:pPr>
          </w:p>
          <w:p w14:paraId="092775B6">
            <w:pPr>
              <w:spacing w:line="302" w:lineRule="auto"/>
              <w:rPr>
                <w:rFonts w:ascii="Arial"/>
                <w:sz w:val="21"/>
              </w:rPr>
            </w:pPr>
          </w:p>
          <w:p w14:paraId="1ED87DD9">
            <w:pPr>
              <w:pStyle w:val="6"/>
              <w:spacing w:before="56" w:line="219" w:lineRule="auto"/>
              <w:ind w:left="70"/>
            </w:pPr>
            <w:r>
              <w:rPr>
                <w:spacing w:val="-1"/>
              </w:rPr>
              <w:t>低倍镜观察</w:t>
            </w:r>
          </w:p>
        </w:tc>
        <w:tc>
          <w:tcPr>
            <w:tcW w:w="339" w:type="dxa"/>
            <w:tcBorders>
              <w:top w:val="single" w:color="000000" w:sz="2" w:space="0"/>
              <w:bottom w:val="single" w:color="000000" w:sz="2" w:space="0"/>
            </w:tcBorders>
            <w:vAlign w:val="top"/>
          </w:tcPr>
          <w:p w14:paraId="37B12586">
            <w:pPr>
              <w:spacing w:line="319" w:lineRule="auto"/>
              <w:rPr>
                <w:rFonts w:ascii="Arial"/>
                <w:sz w:val="21"/>
              </w:rPr>
            </w:pPr>
          </w:p>
          <w:p w14:paraId="72E46C72">
            <w:pPr>
              <w:spacing w:line="320" w:lineRule="auto"/>
              <w:rPr>
                <w:rFonts w:ascii="Arial"/>
                <w:sz w:val="21"/>
              </w:rPr>
            </w:pPr>
          </w:p>
          <w:p w14:paraId="2B55772C">
            <w:pPr>
              <w:spacing w:line="320" w:lineRule="auto"/>
              <w:rPr>
                <w:rFonts w:ascii="Arial"/>
                <w:sz w:val="21"/>
              </w:rPr>
            </w:pPr>
          </w:p>
          <w:p w14:paraId="41DB6A92">
            <w:pPr>
              <w:pStyle w:val="6"/>
              <w:spacing w:before="55" w:line="183" w:lineRule="auto"/>
              <w:ind w:left="73"/>
            </w:pPr>
            <w:r>
              <w:rPr>
                <w:spacing w:val="-3"/>
              </w:rPr>
              <w:t>20</w:t>
            </w:r>
          </w:p>
        </w:tc>
        <w:tc>
          <w:tcPr>
            <w:tcW w:w="2203" w:type="dxa"/>
            <w:tcBorders>
              <w:top w:val="single" w:color="000000" w:sz="2" w:space="0"/>
              <w:bottom w:val="single" w:color="000000" w:sz="2" w:space="0"/>
            </w:tcBorders>
            <w:vAlign w:val="top"/>
          </w:tcPr>
          <w:p w14:paraId="316024FE">
            <w:pPr>
              <w:pStyle w:val="6"/>
              <w:spacing w:before="64" w:line="238" w:lineRule="auto"/>
              <w:ind w:left="14"/>
            </w:pPr>
            <w:r>
              <w:rPr>
                <w:spacing w:val="-3"/>
              </w:rPr>
              <w:t>转动转换器，换上低倍镜后，</w:t>
            </w:r>
            <w:r>
              <w:rPr>
                <w:spacing w:val="6"/>
              </w:rPr>
              <w:t xml:space="preserve"> </w:t>
            </w:r>
            <w:r>
              <w:rPr>
                <w:spacing w:val="-5"/>
              </w:rPr>
              <w:t>上下缓慢转动粗准焦螺旋，使</w:t>
            </w:r>
            <w:r>
              <w:rPr>
                <w:spacing w:val="5"/>
              </w:rPr>
              <w:t xml:space="preserve"> </w:t>
            </w:r>
            <w:r>
              <w:rPr>
                <w:spacing w:val="-5"/>
              </w:rPr>
              <w:t>载物台缓缓上升或下降，直至</w:t>
            </w:r>
            <w:r>
              <w:rPr>
                <w:spacing w:val="5"/>
              </w:rPr>
              <w:t xml:space="preserve"> </w:t>
            </w:r>
            <w:r>
              <w:rPr>
                <w:spacing w:val="-3"/>
              </w:rPr>
              <w:t>看到物像。完全正确得20分，</w:t>
            </w:r>
            <w:r>
              <w:rPr>
                <w:spacing w:val="9"/>
              </w:rPr>
              <w:t xml:space="preserve"> </w:t>
            </w:r>
            <w:r>
              <w:rPr>
                <w:spacing w:val="-3"/>
              </w:rPr>
              <w:t>基本正确得15分；操作不正</w:t>
            </w:r>
            <w:r>
              <w:rPr>
                <w:spacing w:val="2"/>
              </w:rPr>
              <w:t xml:space="preserve">   </w:t>
            </w:r>
            <w:r>
              <w:rPr>
                <w:spacing w:val="4"/>
              </w:rPr>
              <w:t>确但能看到物像，得10分；</w:t>
            </w:r>
            <w:r>
              <w:rPr>
                <w:spacing w:val="3"/>
              </w:rPr>
              <w:t xml:space="preserve">  </w:t>
            </w:r>
            <w:r>
              <w:rPr>
                <w:spacing w:val="-2"/>
              </w:rPr>
              <w:t>压碎装片者，得0分。</w:t>
            </w:r>
          </w:p>
        </w:tc>
      </w:tr>
    </w:tbl>
    <w:p w14:paraId="22E0F5DB">
      <w:pPr>
        <w:pStyle w:val="2"/>
        <w:spacing w:line="14" w:lineRule="auto"/>
        <w:rPr>
          <w:sz w:val="2"/>
        </w:rPr>
      </w:pPr>
    </w:p>
    <w:p w14:paraId="4FB778C7">
      <w:pPr>
        <w:spacing w:line="14" w:lineRule="auto"/>
        <w:rPr>
          <w:sz w:val="2"/>
          <w:szCs w:val="2"/>
        </w:rPr>
        <w:sectPr>
          <w:type w:val="continuous"/>
          <w:pgSz w:w="10660" w:h="15080"/>
          <w:pgMar w:top="400" w:right="875" w:bottom="936" w:left="1010" w:header="0" w:footer="715" w:gutter="0"/>
          <w:cols w:equalWidth="0" w:num="2">
            <w:col w:w="4496" w:space="100"/>
            <w:col w:w="4180"/>
          </w:cols>
        </w:sectPr>
      </w:pPr>
    </w:p>
    <w:p w14:paraId="7EF30636">
      <w:pPr>
        <w:spacing w:before="13"/>
      </w:pPr>
    </w:p>
    <w:p w14:paraId="3A61233D">
      <w:pPr>
        <w:spacing w:before="12"/>
      </w:pPr>
    </w:p>
    <w:p w14:paraId="1CA87F9E">
      <w:pPr>
        <w:spacing w:before="12"/>
      </w:pPr>
    </w:p>
    <w:p w14:paraId="0F4C913B">
      <w:pPr>
        <w:spacing w:before="12"/>
      </w:pPr>
    </w:p>
    <w:p w14:paraId="1C8CD9E8">
      <w:pPr>
        <w:sectPr>
          <w:footerReference r:id="rId98" w:type="default"/>
          <w:pgSz w:w="10660" w:h="15080"/>
          <w:pgMar w:top="400" w:right="975" w:bottom="925" w:left="819" w:header="0" w:footer="705" w:gutter="0"/>
          <w:cols w:equalWidth="0" w:num="1">
            <w:col w:w="8865"/>
          </w:cols>
        </w:sectPr>
      </w:pPr>
    </w:p>
    <w:tbl>
      <w:tblPr>
        <w:tblStyle w:val="5"/>
        <w:tblW w:w="4128"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64"/>
        <w:gridCol w:w="1007"/>
        <w:gridCol w:w="339"/>
        <w:gridCol w:w="2218"/>
      </w:tblGrid>
      <w:tr w14:paraId="3388C8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4" w:hRule="atLeast"/>
        </w:trPr>
        <w:tc>
          <w:tcPr>
            <w:tcW w:w="564" w:type="dxa"/>
            <w:vAlign w:val="top"/>
          </w:tcPr>
          <w:p w14:paraId="20B5C67B">
            <w:pPr>
              <w:pStyle w:val="6"/>
              <w:spacing w:before="111" w:line="231" w:lineRule="auto"/>
              <w:ind w:left="107" w:right="113"/>
            </w:pPr>
            <w:r>
              <w:rPr>
                <w:b/>
                <w:bCs/>
                <w:spacing w:val="-6"/>
              </w:rPr>
              <w:t>测试</w:t>
            </w:r>
            <w:r>
              <w:t xml:space="preserve"> </w:t>
            </w:r>
            <w:r>
              <w:rPr>
                <w:b/>
                <w:bCs/>
                <w:spacing w:val="-6"/>
              </w:rPr>
              <w:t>要点</w:t>
            </w:r>
          </w:p>
        </w:tc>
        <w:tc>
          <w:tcPr>
            <w:tcW w:w="1007" w:type="dxa"/>
            <w:vAlign w:val="top"/>
          </w:tcPr>
          <w:p w14:paraId="28177358">
            <w:pPr>
              <w:pStyle w:val="6"/>
              <w:spacing w:before="229" w:line="219" w:lineRule="auto"/>
              <w:ind w:left="153"/>
            </w:pPr>
            <w:r>
              <w:rPr>
                <w:b/>
                <w:bCs/>
                <w:spacing w:val="-4"/>
              </w:rPr>
              <w:t>测试内容</w:t>
            </w:r>
          </w:p>
        </w:tc>
        <w:tc>
          <w:tcPr>
            <w:tcW w:w="339" w:type="dxa"/>
            <w:textDirection w:val="tbRlV"/>
            <w:vAlign w:val="top"/>
          </w:tcPr>
          <w:p w14:paraId="7DB12C15">
            <w:pPr>
              <w:pStyle w:val="6"/>
              <w:spacing w:before="91" w:line="201" w:lineRule="auto"/>
              <w:ind w:left="122"/>
            </w:pPr>
            <w:r>
              <w:rPr>
                <w:b/>
                <w:bCs/>
                <w:spacing w:val="-2"/>
              </w:rPr>
              <w:t>分值</w:t>
            </w:r>
          </w:p>
        </w:tc>
        <w:tc>
          <w:tcPr>
            <w:tcW w:w="2218" w:type="dxa"/>
            <w:vAlign w:val="top"/>
          </w:tcPr>
          <w:p w14:paraId="3E3ED3F2">
            <w:pPr>
              <w:pStyle w:val="6"/>
              <w:spacing w:before="230" w:line="220" w:lineRule="auto"/>
              <w:ind w:left="757"/>
            </w:pPr>
            <w:r>
              <w:rPr>
                <w:b/>
                <w:bCs/>
                <w:spacing w:val="-3"/>
              </w:rPr>
              <w:t>评分标准</w:t>
            </w:r>
          </w:p>
        </w:tc>
      </w:tr>
      <w:tr w14:paraId="09FB37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98" w:hRule="atLeast"/>
        </w:trPr>
        <w:tc>
          <w:tcPr>
            <w:tcW w:w="564" w:type="dxa"/>
            <w:vAlign w:val="top"/>
          </w:tcPr>
          <w:p w14:paraId="70BDF354">
            <w:pPr>
              <w:spacing w:line="250" w:lineRule="auto"/>
              <w:rPr>
                <w:rFonts w:ascii="Arial"/>
                <w:sz w:val="21"/>
              </w:rPr>
            </w:pPr>
          </w:p>
          <w:p w14:paraId="5BDD8C88">
            <w:pPr>
              <w:pStyle w:val="6"/>
              <w:spacing w:before="55" w:line="235" w:lineRule="auto"/>
              <w:ind w:left="105" w:right="88"/>
              <w:jc w:val="both"/>
            </w:pPr>
            <w:r>
              <w:rPr>
                <w:spacing w:val="-6"/>
              </w:rPr>
              <w:t>显微</w:t>
            </w:r>
            <w:r>
              <w:t xml:space="preserve"> </w:t>
            </w:r>
            <w:r>
              <w:rPr>
                <w:spacing w:val="6"/>
              </w:rPr>
              <w:t>镜的</w:t>
            </w:r>
            <w:r>
              <w:t xml:space="preserve"> </w:t>
            </w:r>
            <w:r>
              <w:rPr>
                <w:spacing w:val="10"/>
              </w:rPr>
              <w:t>使用</w:t>
            </w:r>
            <w:r>
              <w:t xml:space="preserve"> </w:t>
            </w:r>
            <w:r>
              <w:rPr>
                <w:spacing w:val="-2"/>
              </w:rPr>
              <w:t>方法</w:t>
            </w:r>
          </w:p>
        </w:tc>
        <w:tc>
          <w:tcPr>
            <w:tcW w:w="1007" w:type="dxa"/>
            <w:vAlign w:val="top"/>
          </w:tcPr>
          <w:p w14:paraId="30A0BFD1">
            <w:pPr>
              <w:spacing w:line="256" w:lineRule="auto"/>
              <w:rPr>
                <w:rFonts w:ascii="Arial"/>
                <w:sz w:val="21"/>
              </w:rPr>
            </w:pPr>
          </w:p>
          <w:p w14:paraId="6AC73114">
            <w:pPr>
              <w:spacing w:line="256" w:lineRule="auto"/>
              <w:rPr>
                <w:rFonts w:ascii="Arial"/>
                <w:sz w:val="21"/>
              </w:rPr>
            </w:pPr>
          </w:p>
          <w:p w14:paraId="1A6E7F82">
            <w:pPr>
              <w:spacing w:line="256" w:lineRule="auto"/>
              <w:rPr>
                <w:rFonts w:ascii="Arial"/>
                <w:sz w:val="21"/>
              </w:rPr>
            </w:pPr>
          </w:p>
          <w:p w14:paraId="7CF7E443">
            <w:pPr>
              <w:pStyle w:val="6"/>
              <w:spacing w:before="55" w:line="219" w:lineRule="auto"/>
              <w:ind w:left="71"/>
            </w:pPr>
            <w:r>
              <w:rPr>
                <w:spacing w:val="-2"/>
              </w:rPr>
              <w:t>高倍镜观察</w:t>
            </w:r>
          </w:p>
        </w:tc>
        <w:tc>
          <w:tcPr>
            <w:tcW w:w="339" w:type="dxa"/>
            <w:vAlign w:val="top"/>
          </w:tcPr>
          <w:p w14:paraId="26718A7D">
            <w:pPr>
              <w:spacing w:line="283" w:lineRule="auto"/>
              <w:rPr>
                <w:rFonts w:ascii="Arial"/>
                <w:sz w:val="21"/>
              </w:rPr>
            </w:pPr>
          </w:p>
          <w:p w14:paraId="0F99CB68">
            <w:pPr>
              <w:spacing w:line="283" w:lineRule="auto"/>
              <w:rPr>
                <w:rFonts w:ascii="Arial"/>
                <w:sz w:val="21"/>
              </w:rPr>
            </w:pPr>
          </w:p>
          <w:p w14:paraId="6C1114EA">
            <w:pPr>
              <w:spacing w:line="284" w:lineRule="auto"/>
              <w:rPr>
                <w:rFonts w:ascii="Arial"/>
                <w:sz w:val="21"/>
              </w:rPr>
            </w:pPr>
          </w:p>
          <w:p w14:paraId="774463B6">
            <w:pPr>
              <w:pStyle w:val="6"/>
              <w:spacing w:before="55" w:line="184" w:lineRule="auto"/>
              <w:ind w:left="93"/>
            </w:pPr>
            <w:r>
              <w:rPr>
                <w:spacing w:val="-5"/>
              </w:rPr>
              <w:t>15</w:t>
            </w:r>
          </w:p>
        </w:tc>
        <w:tc>
          <w:tcPr>
            <w:tcW w:w="2218" w:type="dxa"/>
            <w:vAlign w:val="top"/>
          </w:tcPr>
          <w:p w14:paraId="214731FF">
            <w:pPr>
              <w:pStyle w:val="6"/>
              <w:spacing w:before="89" w:line="235" w:lineRule="auto"/>
              <w:ind w:left="14" w:firstLine="19"/>
            </w:pPr>
            <w:r>
              <w:rPr>
                <w:spacing w:val="-3"/>
              </w:rPr>
              <w:t>将观察的物像移到视野中央，</w:t>
            </w:r>
            <w:r>
              <w:rPr>
                <w:spacing w:val="1"/>
              </w:rPr>
              <w:t xml:space="preserve"> </w:t>
            </w:r>
            <w:r>
              <w:rPr>
                <w:spacing w:val="-6"/>
              </w:rPr>
              <w:t>转动转换器，换上高倍镜，调</w:t>
            </w:r>
            <w:r>
              <w:t xml:space="preserve"> </w:t>
            </w:r>
            <w:r>
              <w:rPr>
                <w:spacing w:val="-6"/>
              </w:rPr>
              <w:t>节细准焦螺旋，使物像达到最</w:t>
            </w:r>
            <w:r>
              <w:t xml:space="preserve"> </w:t>
            </w:r>
            <w:r>
              <w:rPr>
                <w:spacing w:val="-2"/>
              </w:rPr>
              <w:t>清晰。完全正确得15分；基</w:t>
            </w:r>
            <w:r>
              <w:rPr>
                <w:spacing w:val="3"/>
              </w:rPr>
              <w:t xml:space="preserve">   </w:t>
            </w:r>
            <w:r>
              <w:rPr>
                <w:spacing w:val="-12"/>
              </w:rPr>
              <w:t>本正确得8-10分；压碎装片者，</w:t>
            </w:r>
            <w:r>
              <w:rPr>
                <w:spacing w:val="4"/>
              </w:rPr>
              <w:t xml:space="preserve"> </w:t>
            </w:r>
            <w:r>
              <w:t>得0分。</w:t>
            </w:r>
          </w:p>
        </w:tc>
      </w:tr>
      <w:tr w14:paraId="2B5F7F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968" w:hRule="atLeast"/>
        </w:trPr>
        <w:tc>
          <w:tcPr>
            <w:tcW w:w="564" w:type="dxa"/>
            <w:vAlign w:val="top"/>
          </w:tcPr>
          <w:p w14:paraId="6DC6B0A4">
            <w:pPr>
              <w:rPr>
                <w:rFonts w:ascii="Arial"/>
                <w:sz w:val="21"/>
              </w:rPr>
            </w:pPr>
          </w:p>
        </w:tc>
        <w:tc>
          <w:tcPr>
            <w:tcW w:w="1007" w:type="dxa"/>
            <w:vAlign w:val="top"/>
          </w:tcPr>
          <w:p w14:paraId="54494C12">
            <w:pPr>
              <w:spacing w:line="294" w:lineRule="auto"/>
              <w:rPr>
                <w:rFonts w:ascii="Arial"/>
                <w:sz w:val="21"/>
              </w:rPr>
            </w:pPr>
          </w:p>
          <w:p w14:paraId="3F11EC4A">
            <w:pPr>
              <w:spacing w:line="294" w:lineRule="auto"/>
              <w:rPr>
                <w:rFonts w:ascii="Arial"/>
                <w:sz w:val="21"/>
              </w:rPr>
            </w:pPr>
          </w:p>
          <w:p w14:paraId="4ECC0E65">
            <w:pPr>
              <w:spacing w:line="295" w:lineRule="auto"/>
              <w:rPr>
                <w:rFonts w:ascii="Arial"/>
                <w:sz w:val="21"/>
              </w:rPr>
            </w:pPr>
          </w:p>
          <w:p w14:paraId="55D117D2">
            <w:pPr>
              <w:spacing w:line="295" w:lineRule="auto"/>
              <w:rPr>
                <w:rFonts w:ascii="Arial"/>
                <w:sz w:val="21"/>
              </w:rPr>
            </w:pPr>
          </w:p>
          <w:p w14:paraId="33BC933B">
            <w:pPr>
              <w:pStyle w:val="6"/>
              <w:spacing w:before="55" w:line="221" w:lineRule="auto"/>
              <w:ind w:left="321"/>
            </w:pPr>
            <w:r>
              <w:rPr>
                <w:spacing w:val="7"/>
              </w:rPr>
              <w:t>绘图</w:t>
            </w:r>
          </w:p>
        </w:tc>
        <w:tc>
          <w:tcPr>
            <w:tcW w:w="339" w:type="dxa"/>
            <w:vAlign w:val="top"/>
          </w:tcPr>
          <w:p w14:paraId="4CAD3733">
            <w:pPr>
              <w:spacing w:line="248" w:lineRule="auto"/>
              <w:rPr>
                <w:rFonts w:ascii="Arial"/>
                <w:sz w:val="21"/>
              </w:rPr>
            </w:pPr>
          </w:p>
          <w:p w14:paraId="435E73C5">
            <w:pPr>
              <w:spacing w:line="248" w:lineRule="auto"/>
              <w:rPr>
                <w:rFonts w:ascii="Arial"/>
                <w:sz w:val="21"/>
              </w:rPr>
            </w:pPr>
          </w:p>
          <w:p w14:paraId="09CDE7B2">
            <w:pPr>
              <w:spacing w:line="248" w:lineRule="auto"/>
              <w:rPr>
                <w:rFonts w:ascii="Arial"/>
                <w:sz w:val="21"/>
              </w:rPr>
            </w:pPr>
          </w:p>
          <w:p w14:paraId="450308AA">
            <w:pPr>
              <w:spacing w:line="248" w:lineRule="auto"/>
              <w:rPr>
                <w:rFonts w:ascii="Arial"/>
                <w:sz w:val="21"/>
              </w:rPr>
            </w:pPr>
          </w:p>
          <w:p w14:paraId="78C3F8FA">
            <w:pPr>
              <w:spacing w:line="248" w:lineRule="auto"/>
              <w:rPr>
                <w:rFonts w:ascii="Arial"/>
                <w:sz w:val="21"/>
              </w:rPr>
            </w:pPr>
          </w:p>
          <w:p w14:paraId="6F893D50">
            <w:pPr>
              <w:pStyle w:val="6"/>
              <w:spacing w:before="56" w:line="183" w:lineRule="auto"/>
              <w:ind w:left="73"/>
            </w:pPr>
            <w:r>
              <w:rPr>
                <w:spacing w:val="-3"/>
              </w:rPr>
              <w:t>22</w:t>
            </w:r>
          </w:p>
        </w:tc>
        <w:tc>
          <w:tcPr>
            <w:tcW w:w="2218" w:type="dxa"/>
            <w:vAlign w:val="top"/>
          </w:tcPr>
          <w:p w14:paraId="69151B5A">
            <w:pPr>
              <w:pStyle w:val="6"/>
              <w:spacing w:before="43" w:line="231" w:lineRule="auto"/>
              <w:ind w:left="14" w:firstLine="59"/>
            </w:pPr>
            <w:r>
              <w:rPr>
                <w:spacing w:val="-2"/>
              </w:rPr>
              <w:t>绘制高倍镜视野中所见的结</w:t>
            </w:r>
            <w:r>
              <w:rPr>
                <w:spacing w:val="2"/>
              </w:rPr>
              <w:t xml:space="preserve">  </w:t>
            </w:r>
            <w:r>
              <w:rPr>
                <w:spacing w:val="5"/>
              </w:rPr>
              <w:t xml:space="preserve">构图，真实、美观，标注出  </w:t>
            </w:r>
            <w:r>
              <w:rPr>
                <w:spacing w:val="10"/>
              </w:rPr>
              <w:t>细胞壁和细胞核，得22分；</w:t>
            </w:r>
            <w:r>
              <w:rPr>
                <w:spacing w:val="4"/>
              </w:rPr>
              <w:t xml:space="preserve"> </w:t>
            </w:r>
            <w:r>
              <w:rPr>
                <w:spacing w:val="3"/>
              </w:rPr>
              <w:t>真实但未标注出细胞壁和细</w:t>
            </w:r>
            <w:r>
              <w:rPr>
                <w:spacing w:val="2"/>
              </w:rPr>
              <w:t xml:space="preserve">  </w:t>
            </w:r>
            <w:r>
              <w:rPr>
                <w:spacing w:val="3"/>
              </w:rPr>
              <w:t>胞核得15分；有偏差但标注</w:t>
            </w:r>
            <w:r>
              <w:rPr>
                <w:spacing w:val="1"/>
              </w:rPr>
              <w:t xml:space="preserve">  </w:t>
            </w:r>
            <w:r>
              <w:rPr>
                <w:spacing w:val="10"/>
              </w:rPr>
              <w:t>出细胞壁和细胞核得12分；</w:t>
            </w:r>
            <w:r>
              <w:rPr>
                <w:spacing w:val="4"/>
              </w:rPr>
              <w:t xml:space="preserve"> </w:t>
            </w:r>
            <w:r>
              <w:rPr>
                <w:spacing w:val="-2"/>
              </w:rPr>
              <w:t>有偏差且未标注出细胞壁和细</w:t>
            </w:r>
            <w:r>
              <w:rPr>
                <w:spacing w:val="8"/>
              </w:rPr>
              <w:t xml:space="preserve"> </w:t>
            </w:r>
            <w:r>
              <w:t>胞核得8分，完全不是所见结</w:t>
            </w:r>
            <w:r>
              <w:rPr>
                <w:spacing w:val="2"/>
              </w:rPr>
              <w:t xml:space="preserve"> 构图，得0分。</w:t>
            </w:r>
          </w:p>
        </w:tc>
      </w:tr>
      <w:tr w14:paraId="570A4B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58" w:hRule="atLeast"/>
        </w:trPr>
        <w:tc>
          <w:tcPr>
            <w:tcW w:w="564" w:type="dxa"/>
            <w:vMerge w:val="restart"/>
            <w:tcBorders>
              <w:bottom w:val="nil"/>
            </w:tcBorders>
            <w:vAlign w:val="top"/>
          </w:tcPr>
          <w:p w14:paraId="0C36FA5B">
            <w:pPr>
              <w:spacing w:line="247" w:lineRule="auto"/>
              <w:rPr>
                <w:rFonts w:ascii="Arial"/>
                <w:sz w:val="21"/>
              </w:rPr>
            </w:pPr>
          </w:p>
          <w:p w14:paraId="1167F988">
            <w:pPr>
              <w:spacing w:line="247" w:lineRule="auto"/>
              <w:rPr>
                <w:rFonts w:ascii="Arial"/>
                <w:sz w:val="21"/>
              </w:rPr>
            </w:pPr>
          </w:p>
          <w:p w14:paraId="3C5BE652">
            <w:pPr>
              <w:spacing w:line="247" w:lineRule="auto"/>
              <w:rPr>
                <w:rFonts w:ascii="Arial"/>
                <w:sz w:val="21"/>
              </w:rPr>
            </w:pPr>
          </w:p>
          <w:p w14:paraId="45840B62">
            <w:pPr>
              <w:spacing w:line="247" w:lineRule="auto"/>
              <w:rPr>
                <w:rFonts w:ascii="Arial"/>
                <w:sz w:val="21"/>
              </w:rPr>
            </w:pPr>
          </w:p>
          <w:p w14:paraId="0E9488F6">
            <w:pPr>
              <w:spacing w:line="248" w:lineRule="auto"/>
              <w:rPr>
                <w:rFonts w:ascii="Arial"/>
                <w:sz w:val="21"/>
              </w:rPr>
            </w:pPr>
          </w:p>
          <w:p w14:paraId="528EFDB8">
            <w:pPr>
              <w:pStyle w:val="6"/>
              <w:spacing w:before="56" w:line="233" w:lineRule="auto"/>
              <w:ind w:left="105" w:right="90"/>
              <w:jc w:val="both"/>
            </w:pPr>
            <w:r>
              <w:rPr>
                <w:spacing w:val="-4"/>
              </w:rPr>
              <w:t>整理</w:t>
            </w:r>
            <w:r>
              <w:t xml:space="preserve"> </w:t>
            </w:r>
            <w:r>
              <w:rPr>
                <w:spacing w:val="-4"/>
              </w:rPr>
              <w:t>仪器</w:t>
            </w:r>
            <w:r>
              <w:t xml:space="preserve"> </w:t>
            </w:r>
            <w:r>
              <w:rPr>
                <w:spacing w:val="-4"/>
              </w:rPr>
              <w:t>和实</w:t>
            </w:r>
            <w:r>
              <w:t xml:space="preserve"> </w:t>
            </w:r>
            <w:r>
              <w:rPr>
                <w:spacing w:val="9"/>
              </w:rPr>
              <w:t>验台</w:t>
            </w:r>
          </w:p>
        </w:tc>
        <w:tc>
          <w:tcPr>
            <w:tcW w:w="1007" w:type="dxa"/>
            <w:vAlign w:val="top"/>
          </w:tcPr>
          <w:p w14:paraId="53D64138">
            <w:pPr>
              <w:spacing w:line="393" w:lineRule="auto"/>
              <w:rPr>
                <w:rFonts w:ascii="Arial"/>
                <w:sz w:val="21"/>
              </w:rPr>
            </w:pPr>
          </w:p>
          <w:p w14:paraId="17C16DA9">
            <w:pPr>
              <w:pStyle w:val="6"/>
              <w:spacing w:before="55" w:line="238" w:lineRule="auto"/>
              <w:ind w:left="67" w:hanging="47"/>
            </w:pPr>
            <w:r>
              <w:rPr>
                <w:spacing w:val="-8"/>
              </w:rPr>
              <w:t>降低载物台，</w:t>
            </w:r>
            <w:r>
              <w:rPr>
                <w:spacing w:val="3"/>
              </w:rPr>
              <w:t xml:space="preserve"> </w:t>
            </w:r>
            <w:r>
              <w:rPr>
                <w:spacing w:val="-5"/>
              </w:rPr>
              <w:t>取下载玻片</w:t>
            </w:r>
          </w:p>
        </w:tc>
        <w:tc>
          <w:tcPr>
            <w:tcW w:w="339" w:type="dxa"/>
            <w:vAlign w:val="top"/>
          </w:tcPr>
          <w:p w14:paraId="1469FEF9">
            <w:pPr>
              <w:spacing w:line="333" w:lineRule="auto"/>
              <w:rPr>
                <w:rFonts w:ascii="Arial"/>
                <w:sz w:val="21"/>
              </w:rPr>
            </w:pPr>
          </w:p>
          <w:p w14:paraId="0FA2D1FD">
            <w:pPr>
              <w:spacing w:line="334" w:lineRule="auto"/>
              <w:rPr>
                <w:rFonts w:ascii="Arial"/>
                <w:sz w:val="21"/>
              </w:rPr>
            </w:pPr>
          </w:p>
          <w:p w14:paraId="1A7B5E6E">
            <w:pPr>
              <w:pStyle w:val="6"/>
              <w:spacing w:before="55" w:line="182" w:lineRule="auto"/>
              <w:ind w:left="113"/>
            </w:pPr>
            <w:r>
              <w:t>5</w:t>
            </w:r>
          </w:p>
        </w:tc>
        <w:tc>
          <w:tcPr>
            <w:tcW w:w="2218" w:type="dxa"/>
            <w:vAlign w:val="top"/>
          </w:tcPr>
          <w:p w14:paraId="689E39D7">
            <w:pPr>
              <w:pStyle w:val="6"/>
              <w:spacing w:before="120" w:line="237" w:lineRule="auto"/>
              <w:ind w:left="14" w:firstLine="99"/>
            </w:pPr>
            <w:r>
              <w:rPr>
                <w:spacing w:val="-1"/>
              </w:rPr>
              <w:t>降低载物台，取下载玻片，</w:t>
            </w:r>
            <w:r>
              <w:rPr>
                <w:spacing w:val="6"/>
              </w:rPr>
              <w:t xml:space="preserve"> </w:t>
            </w:r>
            <w:r>
              <w:rPr>
                <w:spacing w:val="-2"/>
              </w:rPr>
              <w:t>转动物镜转换器至低倍镜，擦</w:t>
            </w:r>
            <w:r>
              <w:rPr>
                <w:spacing w:val="7"/>
              </w:rPr>
              <w:t xml:space="preserve"> </w:t>
            </w:r>
            <w:r>
              <w:rPr>
                <w:spacing w:val="-2"/>
              </w:rPr>
              <w:t>试镜头，关闭显微镜电源。完</w:t>
            </w:r>
            <w:r>
              <w:rPr>
                <w:spacing w:val="8"/>
              </w:rPr>
              <w:t xml:space="preserve"> </w:t>
            </w:r>
            <w:r>
              <w:rPr>
                <w:spacing w:val="13"/>
              </w:rPr>
              <w:t>全正确得5分；</w:t>
            </w:r>
          </w:p>
          <w:p w14:paraId="51926F4B">
            <w:pPr>
              <w:pStyle w:val="6"/>
              <w:spacing w:before="8" w:line="219" w:lineRule="auto"/>
              <w:ind w:left="34"/>
            </w:pPr>
            <w:r>
              <w:t>少一个步骤扣1分。</w:t>
            </w:r>
          </w:p>
        </w:tc>
      </w:tr>
      <w:tr w14:paraId="77B034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9" w:hRule="atLeast"/>
        </w:trPr>
        <w:tc>
          <w:tcPr>
            <w:tcW w:w="564" w:type="dxa"/>
            <w:vMerge w:val="continue"/>
            <w:tcBorders>
              <w:top w:val="nil"/>
              <w:bottom w:val="nil"/>
            </w:tcBorders>
            <w:vAlign w:val="top"/>
          </w:tcPr>
          <w:p w14:paraId="7617C94F">
            <w:pPr>
              <w:rPr>
                <w:rFonts w:ascii="Arial"/>
                <w:sz w:val="21"/>
              </w:rPr>
            </w:pPr>
          </w:p>
        </w:tc>
        <w:tc>
          <w:tcPr>
            <w:tcW w:w="1007" w:type="dxa"/>
            <w:vAlign w:val="top"/>
          </w:tcPr>
          <w:p w14:paraId="74701693">
            <w:pPr>
              <w:pStyle w:val="6"/>
              <w:spacing w:before="214" w:line="219" w:lineRule="auto"/>
              <w:ind w:left="71"/>
            </w:pPr>
            <w:r>
              <w:rPr>
                <w:spacing w:val="3"/>
              </w:rPr>
              <w:t>擦净载物台</w:t>
            </w:r>
          </w:p>
        </w:tc>
        <w:tc>
          <w:tcPr>
            <w:tcW w:w="339" w:type="dxa"/>
            <w:vAlign w:val="top"/>
          </w:tcPr>
          <w:p w14:paraId="09009A4A">
            <w:pPr>
              <w:pStyle w:val="6"/>
              <w:spacing w:before="258" w:line="182" w:lineRule="auto"/>
              <w:ind w:left="113"/>
            </w:pPr>
            <w:r>
              <w:t>5</w:t>
            </w:r>
          </w:p>
        </w:tc>
        <w:tc>
          <w:tcPr>
            <w:tcW w:w="2218" w:type="dxa"/>
            <w:vAlign w:val="top"/>
          </w:tcPr>
          <w:p w14:paraId="5E4EAEEB">
            <w:pPr>
              <w:pStyle w:val="6"/>
              <w:spacing w:before="113" w:line="238" w:lineRule="auto"/>
              <w:ind w:left="34" w:right="47" w:firstLine="80"/>
            </w:pPr>
            <w:r>
              <w:rPr>
                <w:spacing w:val="7"/>
              </w:rPr>
              <w:t>擦净载物台，正确得5分；</w:t>
            </w:r>
            <w:r>
              <w:rPr>
                <w:spacing w:val="5"/>
              </w:rPr>
              <w:t xml:space="preserve"> </w:t>
            </w:r>
            <w:r>
              <w:t>有错误者扣2-3分。</w:t>
            </w:r>
          </w:p>
        </w:tc>
      </w:tr>
      <w:tr w14:paraId="3675B8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39" w:hRule="atLeast"/>
        </w:trPr>
        <w:tc>
          <w:tcPr>
            <w:tcW w:w="564" w:type="dxa"/>
            <w:vMerge w:val="continue"/>
            <w:tcBorders>
              <w:top w:val="nil"/>
            </w:tcBorders>
            <w:vAlign w:val="top"/>
          </w:tcPr>
          <w:p w14:paraId="40104170">
            <w:pPr>
              <w:rPr>
                <w:rFonts w:ascii="Arial"/>
                <w:sz w:val="21"/>
              </w:rPr>
            </w:pPr>
          </w:p>
        </w:tc>
        <w:tc>
          <w:tcPr>
            <w:tcW w:w="1007" w:type="dxa"/>
            <w:vAlign w:val="top"/>
          </w:tcPr>
          <w:p w14:paraId="4A8447E1">
            <w:pPr>
              <w:spacing w:line="288" w:lineRule="auto"/>
              <w:rPr>
                <w:rFonts w:ascii="Arial"/>
                <w:sz w:val="21"/>
              </w:rPr>
            </w:pPr>
          </w:p>
          <w:p w14:paraId="483DF383">
            <w:pPr>
              <w:pStyle w:val="6"/>
              <w:spacing w:before="55" w:line="220" w:lineRule="auto"/>
              <w:ind w:left="71"/>
            </w:pPr>
            <w:r>
              <w:rPr>
                <w:spacing w:val="3"/>
              </w:rPr>
              <w:t>清洁实验台</w:t>
            </w:r>
          </w:p>
        </w:tc>
        <w:tc>
          <w:tcPr>
            <w:tcW w:w="339" w:type="dxa"/>
            <w:vAlign w:val="top"/>
          </w:tcPr>
          <w:p w14:paraId="4FAB893B">
            <w:pPr>
              <w:spacing w:line="332" w:lineRule="auto"/>
              <w:rPr>
                <w:rFonts w:ascii="Arial"/>
                <w:sz w:val="21"/>
              </w:rPr>
            </w:pPr>
          </w:p>
          <w:p w14:paraId="575F55C7">
            <w:pPr>
              <w:pStyle w:val="6"/>
              <w:spacing w:before="55" w:line="182" w:lineRule="auto"/>
              <w:ind w:left="113"/>
            </w:pPr>
            <w:r>
              <w:t>5</w:t>
            </w:r>
          </w:p>
        </w:tc>
        <w:tc>
          <w:tcPr>
            <w:tcW w:w="2218" w:type="dxa"/>
            <w:vAlign w:val="top"/>
          </w:tcPr>
          <w:p w14:paraId="0853BB71">
            <w:pPr>
              <w:pStyle w:val="6"/>
              <w:spacing w:before="144" w:line="241" w:lineRule="auto"/>
              <w:ind w:left="34"/>
              <w:jc w:val="both"/>
            </w:pPr>
            <w:r>
              <w:rPr>
                <w:spacing w:val="-3"/>
              </w:rPr>
              <w:t>整理实验器材，清洁实验台。</w:t>
            </w:r>
            <w:r>
              <w:rPr>
                <w:spacing w:val="1"/>
              </w:rPr>
              <w:t xml:space="preserve"> </w:t>
            </w:r>
            <w:r>
              <w:rPr>
                <w:spacing w:val="-4"/>
              </w:rPr>
              <w:t>正确得5分；整理不干净，清</w:t>
            </w:r>
            <w:r>
              <w:rPr>
                <w:spacing w:val="5"/>
              </w:rPr>
              <w:t xml:space="preserve">  </w:t>
            </w:r>
            <w:r>
              <w:rPr>
                <w:spacing w:val="-2"/>
              </w:rPr>
              <w:t>洁不彻底者扣2-3分。</w:t>
            </w:r>
          </w:p>
        </w:tc>
      </w:tr>
      <w:tr w14:paraId="48122D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19" w:hRule="atLeast"/>
        </w:trPr>
        <w:tc>
          <w:tcPr>
            <w:tcW w:w="564" w:type="dxa"/>
            <w:vAlign w:val="top"/>
          </w:tcPr>
          <w:p w14:paraId="2E7DACE5">
            <w:pPr>
              <w:pStyle w:val="6"/>
              <w:spacing w:before="235" w:line="230" w:lineRule="auto"/>
              <w:ind w:left="105" w:right="114"/>
            </w:pPr>
            <w:r>
              <w:rPr>
                <w:spacing w:val="-3"/>
              </w:rPr>
              <w:t>操作</w:t>
            </w:r>
            <w:r>
              <w:t xml:space="preserve"> </w:t>
            </w:r>
            <w:r>
              <w:rPr>
                <w:spacing w:val="-3"/>
              </w:rPr>
              <w:t>速度</w:t>
            </w:r>
          </w:p>
        </w:tc>
        <w:tc>
          <w:tcPr>
            <w:tcW w:w="1007" w:type="dxa"/>
            <w:vAlign w:val="top"/>
          </w:tcPr>
          <w:p w14:paraId="340097A5">
            <w:pPr>
              <w:pStyle w:val="6"/>
              <w:spacing w:before="246" w:line="224" w:lineRule="auto"/>
              <w:ind w:left="320" w:right="171" w:hanging="170"/>
            </w:pPr>
            <w:r>
              <w:rPr>
                <w:spacing w:val="-2"/>
              </w:rPr>
              <w:t>操作熟练</w:t>
            </w:r>
            <w:r>
              <w:rPr>
                <w:spacing w:val="1"/>
              </w:rPr>
              <w:t xml:space="preserve"> </w:t>
            </w:r>
            <w:r>
              <w:rPr>
                <w:spacing w:val="-2"/>
              </w:rPr>
              <w:t>程度</w:t>
            </w:r>
          </w:p>
        </w:tc>
        <w:tc>
          <w:tcPr>
            <w:tcW w:w="339" w:type="dxa"/>
            <w:vAlign w:val="top"/>
          </w:tcPr>
          <w:p w14:paraId="3366EE5C">
            <w:pPr>
              <w:spacing w:line="321" w:lineRule="auto"/>
              <w:rPr>
                <w:rFonts w:ascii="Arial"/>
                <w:sz w:val="21"/>
              </w:rPr>
            </w:pPr>
          </w:p>
          <w:p w14:paraId="663595D1">
            <w:pPr>
              <w:pStyle w:val="6"/>
              <w:spacing w:before="56" w:line="184" w:lineRule="auto"/>
              <w:ind w:left="73"/>
            </w:pPr>
            <w:r>
              <w:rPr>
                <w:spacing w:val="-5"/>
              </w:rPr>
              <w:t>10</w:t>
            </w:r>
          </w:p>
        </w:tc>
        <w:tc>
          <w:tcPr>
            <w:tcW w:w="2218" w:type="dxa"/>
            <w:vAlign w:val="top"/>
          </w:tcPr>
          <w:p w14:paraId="3D193C79">
            <w:pPr>
              <w:pStyle w:val="6"/>
              <w:spacing w:before="125" w:line="236" w:lineRule="auto"/>
              <w:ind w:left="34" w:right="78" w:firstLine="40"/>
              <w:jc w:val="both"/>
            </w:pPr>
            <w:r>
              <w:rPr>
                <w:spacing w:val="-1"/>
              </w:rPr>
              <w:t>在20分钟内完成得10分，每</w:t>
            </w:r>
            <w:r>
              <w:rPr>
                <w:spacing w:val="7"/>
              </w:rPr>
              <w:t xml:space="preserve"> </w:t>
            </w:r>
            <w:r>
              <w:rPr>
                <w:spacing w:val="4"/>
              </w:rPr>
              <w:t>延长1分钟，扣1分，直到扣</w:t>
            </w:r>
            <w:r>
              <w:rPr>
                <w:spacing w:val="1"/>
              </w:rPr>
              <w:t xml:space="preserve"> </w:t>
            </w:r>
            <w:r>
              <w:rPr>
                <w:spacing w:val="-1"/>
              </w:rPr>
              <w:t>完10分为止。</w:t>
            </w:r>
          </w:p>
        </w:tc>
      </w:tr>
      <w:tr w14:paraId="347F04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1571" w:type="dxa"/>
            <w:gridSpan w:val="2"/>
            <w:vAlign w:val="top"/>
          </w:tcPr>
          <w:p w14:paraId="3B3A52A7">
            <w:pPr>
              <w:pStyle w:val="6"/>
              <w:spacing w:before="137" w:line="220" w:lineRule="auto"/>
              <w:ind w:left="625"/>
            </w:pPr>
            <w:r>
              <w:rPr>
                <w:spacing w:val="-3"/>
              </w:rPr>
              <w:t>总分</w:t>
            </w:r>
          </w:p>
        </w:tc>
        <w:tc>
          <w:tcPr>
            <w:tcW w:w="339" w:type="dxa"/>
            <w:vAlign w:val="top"/>
          </w:tcPr>
          <w:p w14:paraId="6FA7B7A6">
            <w:pPr>
              <w:pStyle w:val="6"/>
              <w:spacing w:before="180" w:line="184" w:lineRule="auto"/>
              <w:ind w:left="33"/>
            </w:pPr>
            <w:r>
              <w:rPr>
                <w:spacing w:val="-5"/>
              </w:rPr>
              <w:t>150</w:t>
            </w:r>
          </w:p>
        </w:tc>
        <w:tc>
          <w:tcPr>
            <w:tcW w:w="2218" w:type="dxa"/>
            <w:vAlign w:val="top"/>
          </w:tcPr>
          <w:p w14:paraId="31B3CC33">
            <w:pPr>
              <w:rPr>
                <w:rFonts w:ascii="Arial"/>
                <w:sz w:val="21"/>
              </w:rPr>
            </w:pPr>
          </w:p>
        </w:tc>
      </w:tr>
    </w:tbl>
    <w:p w14:paraId="0C4E91A4">
      <w:pPr>
        <w:pStyle w:val="2"/>
        <w:spacing w:line="282" w:lineRule="auto"/>
      </w:pPr>
    </w:p>
    <w:p w14:paraId="59146DBE">
      <w:pPr>
        <w:spacing w:before="75" w:line="221" w:lineRule="auto"/>
        <w:ind w:left="313"/>
        <w:rPr>
          <w:rFonts w:ascii="黑体" w:hAnsi="黑体" w:eastAsia="黑体" w:cs="黑体"/>
          <w:sz w:val="23"/>
          <w:szCs w:val="23"/>
        </w:rPr>
      </w:pPr>
      <w:r>
        <w:rPr>
          <w:rFonts w:ascii="黑体" w:hAnsi="黑体" w:eastAsia="黑体" w:cs="黑体"/>
          <w:b/>
          <w:bCs/>
          <w:spacing w:val="-5"/>
          <w:sz w:val="23"/>
          <w:szCs w:val="23"/>
        </w:rPr>
        <w:t>项目二配制一定物质的量浓度的溶液</w:t>
      </w:r>
    </w:p>
    <w:p w14:paraId="58FB22BA">
      <w:pPr>
        <w:spacing w:before="304" w:line="221" w:lineRule="auto"/>
        <w:ind w:left="83"/>
        <w:rPr>
          <w:rFonts w:ascii="黑体" w:hAnsi="黑体" w:eastAsia="黑体" w:cs="黑体"/>
          <w:sz w:val="23"/>
          <w:szCs w:val="23"/>
        </w:rPr>
      </w:pPr>
      <w:r>
        <w:rPr>
          <w:rFonts w:ascii="黑体" w:hAnsi="黑体" w:eastAsia="黑体" w:cs="黑体"/>
          <w:b/>
          <w:bCs/>
          <w:spacing w:val="-6"/>
          <w:sz w:val="23"/>
          <w:szCs w:val="23"/>
        </w:rPr>
        <w:t>一、测试用具或材料</w:t>
      </w:r>
    </w:p>
    <w:p w14:paraId="38CE35D2">
      <w:pPr>
        <w:spacing w:before="94" w:line="270" w:lineRule="auto"/>
        <w:ind w:left="80" w:right="317" w:firstLine="349"/>
        <w:rPr>
          <w:rFonts w:ascii="Times New Roman" w:hAnsi="Times New Roman" w:eastAsia="Times New Roman" w:cs="Times New Roman"/>
          <w:sz w:val="17"/>
          <w:szCs w:val="17"/>
        </w:rPr>
      </w:pPr>
      <w:r>
        <w:rPr>
          <w:rFonts w:ascii="宋体" w:hAnsi="宋体" w:eastAsia="宋体" w:cs="宋体"/>
          <w:sz w:val="17"/>
          <w:szCs w:val="17"/>
        </w:rPr>
        <w:t>电子天平，称量纸，烧杯(100</w:t>
      </w:r>
      <w:r>
        <w:rPr>
          <w:rFonts w:ascii="Times New Roman" w:hAnsi="Times New Roman" w:eastAsia="Times New Roman" w:cs="Times New Roman"/>
          <w:sz w:val="17"/>
          <w:szCs w:val="17"/>
        </w:rPr>
        <w:t>mL</w:t>
      </w:r>
      <w:r>
        <w:rPr>
          <w:rFonts w:ascii="宋体" w:hAnsi="宋体" w:eastAsia="宋体" w:cs="宋体"/>
          <w:sz w:val="17"/>
          <w:szCs w:val="17"/>
        </w:rPr>
        <w:t>和250</w:t>
      </w:r>
      <w:r>
        <w:rPr>
          <w:rFonts w:ascii="Times New Roman" w:hAnsi="Times New Roman" w:eastAsia="Times New Roman" w:cs="Times New Roman"/>
          <w:sz w:val="17"/>
          <w:szCs w:val="17"/>
        </w:rPr>
        <w:t>mL</w:t>
      </w:r>
      <w:r>
        <w:rPr>
          <w:rFonts w:ascii="宋体" w:hAnsi="宋体" w:eastAsia="宋体" w:cs="宋体"/>
          <w:sz w:val="17"/>
          <w:szCs w:val="17"/>
        </w:rPr>
        <w:t>各一个),</w:t>
      </w:r>
      <w:r>
        <w:rPr>
          <w:rFonts w:ascii="宋体" w:hAnsi="宋体" w:eastAsia="宋体" w:cs="宋体"/>
          <w:spacing w:val="4"/>
          <w:sz w:val="17"/>
          <w:szCs w:val="17"/>
        </w:rPr>
        <w:t xml:space="preserve"> </w:t>
      </w:r>
      <w:r>
        <w:rPr>
          <w:rFonts w:ascii="宋体" w:hAnsi="宋体" w:eastAsia="宋体" w:cs="宋体"/>
          <w:spacing w:val="3"/>
          <w:sz w:val="17"/>
          <w:szCs w:val="17"/>
        </w:rPr>
        <w:t>玻璃棒，药匙，胶头滴管，容量瓶(250</w:t>
      </w:r>
      <w:r>
        <w:rPr>
          <w:rFonts w:ascii="Times New Roman" w:hAnsi="Times New Roman" w:eastAsia="Times New Roman" w:cs="Times New Roman"/>
          <w:sz w:val="17"/>
          <w:szCs w:val="17"/>
        </w:rPr>
        <w:t>mL</w:t>
      </w:r>
      <w:r>
        <w:rPr>
          <w:rFonts w:ascii="Times New Roman" w:hAnsi="Times New Roman" w:eastAsia="Times New Roman" w:cs="Times New Roman"/>
          <w:spacing w:val="3"/>
          <w:sz w:val="17"/>
          <w:szCs w:val="17"/>
        </w:rPr>
        <w:t>);</w:t>
      </w:r>
    </w:p>
    <w:p w14:paraId="2BA3C420">
      <w:pPr>
        <w:spacing w:before="75" w:line="212" w:lineRule="auto"/>
        <w:ind w:left="430"/>
        <w:rPr>
          <w:rFonts w:ascii="宋体" w:hAnsi="宋体" w:eastAsia="宋体" w:cs="宋体"/>
          <w:sz w:val="17"/>
          <w:szCs w:val="17"/>
        </w:rPr>
      </w:pPr>
      <w:r>
        <w:rPr>
          <w:rFonts w:ascii="宋体" w:hAnsi="宋体" w:eastAsia="宋体" w:cs="宋体"/>
          <w:spacing w:val="-3"/>
          <w:sz w:val="17"/>
          <w:szCs w:val="17"/>
        </w:rPr>
        <w:t>固体</w:t>
      </w:r>
      <w:r>
        <w:rPr>
          <w:rFonts w:ascii="宋体" w:hAnsi="宋体" w:eastAsia="宋体" w:cs="宋体"/>
          <w:spacing w:val="-36"/>
          <w:sz w:val="17"/>
          <w:szCs w:val="17"/>
        </w:rPr>
        <w:t xml:space="preserve"> </w:t>
      </w:r>
      <w:r>
        <w:rPr>
          <w:rFonts w:ascii="Times New Roman" w:hAnsi="Times New Roman" w:eastAsia="Times New Roman" w:cs="Times New Roman"/>
          <w:spacing w:val="-3"/>
          <w:sz w:val="17"/>
          <w:szCs w:val="17"/>
        </w:rPr>
        <w:t>NaCl,</w:t>
      </w:r>
      <w:r>
        <w:rPr>
          <w:rFonts w:ascii="Times New Roman" w:hAnsi="Times New Roman" w:eastAsia="Times New Roman" w:cs="Times New Roman"/>
          <w:spacing w:val="11"/>
          <w:w w:val="101"/>
          <w:sz w:val="17"/>
          <w:szCs w:val="17"/>
        </w:rPr>
        <w:t xml:space="preserve">  </w:t>
      </w:r>
      <w:r>
        <w:rPr>
          <w:rFonts w:ascii="宋体" w:hAnsi="宋体" w:eastAsia="宋体" w:cs="宋体"/>
          <w:spacing w:val="-3"/>
          <w:sz w:val="17"/>
          <w:szCs w:val="17"/>
        </w:rPr>
        <w:t>蒸馏水。</w:t>
      </w:r>
    </w:p>
    <w:p w14:paraId="7A226F82">
      <w:pPr>
        <w:spacing w:before="95" w:line="222" w:lineRule="auto"/>
        <w:ind w:left="83"/>
        <w:rPr>
          <w:rFonts w:ascii="黑体" w:hAnsi="黑体" w:eastAsia="黑体" w:cs="黑体"/>
          <w:sz w:val="23"/>
          <w:szCs w:val="23"/>
        </w:rPr>
      </w:pPr>
      <w:r>
        <w:rPr>
          <w:rFonts w:ascii="黑体" w:hAnsi="黑体" w:eastAsia="黑体" w:cs="黑体"/>
          <w:b/>
          <w:bCs/>
          <w:spacing w:val="-9"/>
          <w:sz w:val="23"/>
          <w:szCs w:val="23"/>
        </w:rPr>
        <w:t>二、技能要求</w:t>
      </w:r>
    </w:p>
    <w:p w14:paraId="159FAB7D">
      <w:pPr>
        <w:spacing w:before="94" w:line="219" w:lineRule="auto"/>
        <w:ind w:left="430"/>
        <w:rPr>
          <w:rFonts w:ascii="宋体" w:hAnsi="宋体" w:eastAsia="宋体" w:cs="宋体"/>
          <w:sz w:val="17"/>
          <w:szCs w:val="17"/>
        </w:rPr>
      </w:pPr>
      <w:r>
        <w:rPr>
          <w:rFonts w:ascii="宋体" w:hAnsi="宋体" w:eastAsia="宋体" w:cs="宋体"/>
          <w:spacing w:val="-2"/>
          <w:sz w:val="17"/>
          <w:szCs w:val="17"/>
        </w:rPr>
        <w:t>1、正确使用电子天平。</w:t>
      </w:r>
    </w:p>
    <w:p w14:paraId="209816B0">
      <w:pPr>
        <w:spacing w:before="88" w:line="220" w:lineRule="auto"/>
        <w:ind w:left="430"/>
        <w:rPr>
          <w:rFonts w:ascii="宋体" w:hAnsi="宋体" w:eastAsia="宋体" w:cs="宋体"/>
          <w:sz w:val="17"/>
          <w:szCs w:val="17"/>
        </w:rPr>
      </w:pPr>
      <w:r>
        <w:rPr>
          <w:rFonts w:ascii="宋体" w:hAnsi="宋体" w:eastAsia="宋体" w:cs="宋体"/>
          <w:spacing w:val="-1"/>
          <w:sz w:val="17"/>
          <w:szCs w:val="17"/>
        </w:rPr>
        <w:t>2、熟练配制一定浓度的溶液。</w:t>
      </w:r>
    </w:p>
    <w:p w14:paraId="171A7E6D">
      <w:pPr>
        <w:spacing w:before="74" w:line="221" w:lineRule="auto"/>
        <w:ind w:left="83"/>
        <w:rPr>
          <w:rFonts w:ascii="黑体" w:hAnsi="黑体" w:eastAsia="黑体" w:cs="黑体"/>
          <w:sz w:val="23"/>
          <w:szCs w:val="23"/>
        </w:rPr>
      </w:pPr>
      <w:r>
        <w:rPr>
          <w:rFonts w:ascii="黑体" w:hAnsi="黑体" w:eastAsia="黑体" w:cs="黑体"/>
          <w:b/>
          <w:bCs/>
          <w:spacing w:val="-8"/>
          <w:sz w:val="23"/>
          <w:szCs w:val="23"/>
        </w:rPr>
        <w:t>三、分值与测试时间</w:t>
      </w:r>
    </w:p>
    <w:p w14:paraId="15DA4A6F">
      <w:pPr>
        <w:spacing w:before="88" w:line="219" w:lineRule="auto"/>
        <w:ind w:left="430"/>
        <w:rPr>
          <w:rFonts w:ascii="宋体" w:hAnsi="宋体" w:eastAsia="宋体" w:cs="宋体"/>
          <w:sz w:val="17"/>
          <w:szCs w:val="17"/>
        </w:rPr>
      </w:pPr>
      <w:r>
        <w:rPr>
          <w:rFonts w:ascii="宋体" w:hAnsi="宋体" w:eastAsia="宋体" w:cs="宋体"/>
          <w:spacing w:val="7"/>
          <w:sz w:val="17"/>
          <w:szCs w:val="17"/>
        </w:rPr>
        <w:t>分值为100分；测试时间为30分钟。</w:t>
      </w:r>
    </w:p>
    <w:p w14:paraId="4A0DA10F">
      <w:pPr>
        <w:spacing w:before="85" w:line="221" w:lineRule="auto"/>
        <w:ind w:left="83"/>
        <w:rPr>
          <w:rFonts w:ascii="黑体" w:hAnsi="黑体" w:eastAsia="黑体" w:cs="黑体"/>
          <w:sz w:val="23"/>
          <w:szCs w:val="23"/>
        </w:rPr>
      </w:pPr>
      <w:r>
        <w:rPr>
          <w:rFonts w:ascii="黑体" w:hAnsi="黑体" w:eastAsia="黑体" w:cs="黑体"/>
          <w:b/>
          <w:bCs/>
          <w:spacing w:val="-11"/>
          <w:sz w:val="23"/>
          <w:szCs w:val="23"/>
        </w:rPr>
        <w:t>四、操作步骤</w:t>
      </w:r>
    </w:p>
    <w:p w14:paraId="3B5A84FB">
      <w:pPr>
        <w:spacing w:before="98" w:line="219" w:lineRule="auto"/>
        <w:ind w:left="430"/>
        <w:rPr>
          <w:rFonts w:ascii="宋体" w:hAnsi="宋体" w:eastAsia="宋体" w:cs="宋体"/>
          <w:sz w:val="17"/>
          <w:szCs w:val="17"/>
        </w:rPr>
      </w:pPr>
      <w:r>
        <w:rPr>
          <w:rFonts w:ascii="宋体" w:hAnsi="宋体" w:eastAsia="宋体" w:cs="宋体"/>
          <w:spacing w:val="5"/>
          <w:sz w:val="17"/>
          <w:szCs w:val="17"/>
        </w:rPr>
        <w:t>1、计算溶质的质量：计算出配制一定浓度的溶液</w:t>
      </w:r>
    </w:p>
    <w:p w14:paraId="1A1C26BD">
      <w:pPr>
        <w:pStyle w:val="2"/>
        <w:spacing w:line="14" w:lineRule="auto"/>
        <w:rPr>
          <w:sz w:val="2"/>
        </w:rPr>
      </w:pPr>
      <w:r>
        <w:rPr>
          <w:sz w:val="2"/>
          <w:szCs w:val="2"/>
        </w:rPr>
        <w:br w:type="column"/>
      </w:r>
    </w:p>
    <w:p w14:paraId="064C361C">
      <w:pPr>
        <w:spacing w:before="1" w:line="220" w:lineRule="auto"/>
        <w:rPr>
          <w:rFonts w:ascii="宋体" w:hAnsi="宋体" w:eastAsia="宋体" w:cs="宋体"/>
          <w:sz w:val="17"/>
          <w:szCs w:val="17"/>
        </w:rPr>
      </w:pPr>
      <w:r>
        <w:rPr>
          <w:rFonts w:ascii="宋体" w:hAnsi="宋体" w:eastAsia="宋体" w:cs="宋体"/>
          <w:spacing w:val="5"/>
          <w:sz w:val="17"/>
          <w:szCs w:val="17"/>
        </w:rPr>
        <w:t>所需固体</w:t>
      </w:r>
      <w:r>
        <w:rPr>
          <w:rFonts w:ascii="Times New Roman" w:hAnsi="Times New Roman" w:eastAsia="Times New Roman" w:cs="Times New Roman"/>
          <w:sz w:val="17"/>
          <w:szCs w:val="17"/>
        </w:rPr>
        <w:t>NaCl</w:t>
      </w:r>
      <w:r>
        <w:rPr>
          <w:rFonts w:ascii="宋体" w:hAnsi="宋体" w:eastAsia="宋体" w:cs="宋体"/>
          <w:spacing w:val="5"/>
          <w:sz w:val="17"/>
          <w:szCs w:val="17"/>
        </w:rPr>
        <w:t>的质量。</w:t>
      </w:r>
    </w:p>
    <w:p w14:paraId="7D7A0642">
      <w:pPr>
        <w:spacing w:before="55" w:line="278" w:lineRule="auto"/>
        <w:ind w:right="91" w:firstLine="379"/>
        <w:rPr>
          <w:rFonts w:ascii="宋体" w:hAnsi="宋体" w:eastAsia="宋体" w:cs="宋体"/>
          <w:sz w:val="17"/>
          <w:szCs w:val="17"/>
        </w:rPr>
      </w:pPr>
      <w:bookmarkStart w:id="52" w:name="bookmark41"/>
      <w:bookmarkEnd w:id="52"/>
      <w:r>
        <w:rPr>
          <w:rFonts w:ascii="Times New Roman" w:hAnsi="Times New Roman" w:eastAsia="Times New Roman" w:cs="Times New Roman"/>
          <w:spacing w:val="3"/>
          <w:sz w:val="17"/>
          <w:szCs w:val="17"/>
        </w:rPr>
        <w:t>2</w:t>
      </w:r>
      <w:r>
        <w:rPr>
          <w:rFonts w:ascii="Times New Roman" w:hAnsi="Times New Roman" w:eastAsia="Times New Roman" w:cs="Times New Roman"/>
          <w:spacing w:val="-14"/>
          <w:sz w:val="17"/>
          <w:szCs w:val="17"/>
        </w:rPr>
        <w:t xml:space="preserve"> </w:t>
      </w:r>
      <w:r>
        <w:rPr>
          <w:rFonts w:ascii="宋体" w:hAnsi="宋体" w:eastAsia="宋体" w:cs="宋体"/>
          <w:spacing w:val="3"/>
          <w:sz w:val="17"/>
          <w:szCs w:val="17"/>
        </w:rPr>
        <w:t>、称量：用电子天平准确称取固体</w:t>
      </w:r>
      <w:r>
        <w:rPr>
          <w:rFonts w:ascii="Times New Roman" w:hAnsi="Times New Roman" w:eastAsia="Times New Roman" w:cs="Times New Roman"/>
          <w:sz w:val="17"/>
          <w:szCs w:val="17"/>
        </w:rPr>
        <w:t>NaCl</w:t>
      </w:r>
      <w:r>
        <w:rPr>
          <w:rFonts w:ascii="Times New Roman" w:hAnsi="Times New Roman" w:eastAsia="Times New Roman" w:cs="Times New Roman"/>
          <w:spacing w:val="3"/>
          <w:sz w:val="17"/>
          <w:szCs w:val="17"/>
        </w:rPr>
        <w:t>,</w:t>
      </w:r>
      <w:r>
        <w:rPr>
          <w:rFonts w:ascii="Times New Roman" w:hAnsi="Times New Roman" w:eastAsia="Times New Roman" w:cs="Times New Roman"/>
          <w:spacing w:val="16"/>
          <w:sz w:val="17"/>
          <w:szCs w:val="17"/>
        </w:rPr>
        <w:t xml:space="preserve">  </w:t>
      </w:r>
      <w:r>
        <w:rPr>
          <w:rFonts w:ascii="宋体" w:hAnsi="宋体" w:eastAsia="宋体" w:cs="宋体"/>
          <w:spacing w:val="3"/>
          <w:sz w:val="17"/>
          <w:szCs w:val="17"/>
        </w:rPr>
        <w:t>注意天</w:t>
      </w:r>
      <w:r>
        <w:rPr>
          <w:rFonts w:ascii="宋体" w:hAnsi="宋体" w:eastAsia="宋体" w:cs="宋体"/>
          <w:sz w:val="17"/>
          <w:szCs w:val="17"/>
        </w:rPr>
        <w:t xml:space="preserve"> </w:t>
      </w:r>
      <w:r>
        <w:rPr>
          <w:rFonts w:ascii="宋体" w:hAnsi="宋体" w:eastAsia="宋体" w:cs="宋体"/>
          <w:spacing w:val="-4"/>
          <w:sz w:val="17"/>
          <w:szCs w:val="17"/>
        </w:rPr>
        <w:t>平的精确程度。</w:t>
      </w:r>
    </w:p>
    <w:p w14:paraId="25E3EA94">
      <w:pPr>
        <w:spacing w:before="79" w:line="278" w:lineRule="auto"/>
        <w:ind w:right="77" w:firstLine="379"/>
        <w:rPr>
          <w:rFonts w:ascii="宋体" w:hAnsi="宋体" w:eastAsia="宋体" w:cs="宋体"/>
          <w:sz w:val="17"/>
          <w:szCs w:val="17"/>
        </w:rPr>
      </w:pPr>
      <w:r>
        <w:rPr>
          <w:rFonts w:ascii="宋体" w:hAnsi="宋体" w:eastAsia="宋体" w:cs="宋体"/>
          <w:spacing w:val="3"/>
          <w:sz w:val="17"/>
          <w:szCs w:val="17"/>
        </w:rPr>
        <w:t>3、溶解：将称取的固体</w:t>
      </w:r>
      <w:r>
        <w:rPr>
          <w:rFonts w:ascii="宋体" w:hAnsi="宋体" w:eastAsia="宋体" w:cs="宋体"/>
          <w:sz w:val="17"/>
          <w:szCs w:val="17"/>
        </w:rPr>
        <w:t>NaCl</w:t>
      </w:r>
      <w:r>
        <w:rPr>
          <w:rFonts w:ascii="宋体" w:hAnsi="宋体" w:eastAsia="宋体" w:cs="宋体"/>
          <w:spacing w:val="-34"/>
          <w:sz w:val="17"/>
          <w:szCs w:val="17"/>
        </w:rPr>
        <w:t xml:space="preserve"> </w:t>
      </w:r>
      <w:r>
        <w:rPr>
          <w:rFonts w:ascii="宋体" w:hAnsi="宋体" w:eastAsia="宋体" w:cs="宋体"/>
          <w:spacing w:val="3"/>
          <w:sz w:val="17"/>
          <w:szCs w:val="17"/>
        </w:rPr>
        <w:t>放入烧杯中，用蒸馏</w:t>
      </w:r>
      <w:r>
        <w:rPr>
          <w:rFonts w:ascii="宋体" w:hAnsi="宋体" w:eastAsia="宋体" w:cs="宋体"/>
          <w:sz w:val="17"/>
          <w:szCs w:val="17"/>
        </w:rPr>
        <w:t xml:space="preserve"> </w:t>
      </w:r>
      <w:r>
        <w:rPr>
          <w:rFonts w:ascii="宋体" w:hAnsi="宋体" w:eastAsia="宋体" w:cs="宋体"/>
          <w:spacing w:val="-7"/>
          <w:sz w:val="17"/>
          <w:szCs w:val="17"/>
        </w:rPr>
        <w:t>水溶解。</w:t>
      </w:r>
    </w:p>
    <w:p w14:paraId="51FA5340">
      <w:pPr>
        <w:spacing w:before="87" w:line="219" w:lineRule="auto"/>
        <w:ind w:left="379"/>
        <w:rPr>
          <w:rFonts w:ascii="宋体" w:hAnsi="宋体" w:eastAsia="宋体" w:cs="宋体"/>
          <w:sz w:val="17"/>
          <w:szCs w:val="17"/>
        </w:rPr>
      </w:pPr>
      <w:r>
        <w:rPr>
          <w:rFonts w:ascii="宋体" w:hAnsi="宋体" w:eastAsia="宋体" w:cs="宋体"/>
          <w:spacing w:val="-2"/>
          <w:sz w:val="17"/>
          <w:szCs w:val="17"/>
        </w:rPr>
        <w:t>4、移液：将烧杯中液体转移到容量瓶中。</w:t>
      </w:r>
    </w:p>
    <w:p w14:paraId="30883301">
      <w:pPr>
        <w:spacing w:before="89" w:line="278" w:lineRule="auto"/>
        <w:ind w:right="77" w:firstLine="379"/>
        <w:rPr>
          <w:rFonts w:ascii="宋体" w:hAnsi="宋体" w:eastAsia="宋体" w:cs="宋体"/>
          <w:sz w:val="17"/>
          <w:szCs w:val="17"/>
        </w:rPr>
      </w:pPr>
      <w:r>
        <w:rPr>
          <w:rFonts w:ascii="宋体" w:hAnsi="宋体" w:eastAsia="宋体" w:cs="宋体"/>
          <w:spacing w:val="8"/>
          <w:sz w:val="17"/>
          <w:szCs w:val="17"/>
        </w:rPr>
        <w:t>5、洗涤：用蒸馏水洗涤烧杯2~3次，并将洗液全</w:t>
      </w:r>
      <w:r>
        <w:rPr>
          <w:rFonts w:ascii="宋体" w:hAnsi="宋体" w:eastAsia="宋体" w:cs="宋体"/>
          <w:spacing w:val="12"/>
          <w:sz w:val="17"/>
          <w:szCs w:val="17"/>
        </w:rPr>
        <w:t xml:space="preserve"> </w:t>
      </w:r>
      <w:r>
        <w:rPr>
          <w:rFonts w:ascii="宋体" w:hAnsi="宋体" w:eastAsia="宋体" w:cs="宋体"/>
          <w:spacing w:val="8"/>
          <w:sz w:val="17"/>
          <w:szCs w:val="17"/>
        </w:rPr>
        <w:t>部转移到容量瓶中。轻轻摇动容量瓶，使溶液混合均</w:t>
      </w:r>
      <w:r>
        <w:rPr>
          <w:rFonts w:ascii="宋体" w:hAnsi="宋体" w:eastAsia="宋体" w:cs="宋体"/>
          <w:spacing w:val="16"/>
          <w:sz w:val="17"/>
          <w:szCs w:val="17"/>
        </w:rPr>
        <w:t xml:space="preserve"> </w:t>
      </w:r>
      <w:r>
        <w:rPr>
          <w:rFonts w:ascii="宋体" w:hAnsi="宋体" w:eastAsia="宋体" w:cs="宋体"/>
          <w:spacing w:val="-6"/>
          <w:sz w:val="17"/>
          <w:szCs w:val="17"/>
        </w:rPr>
        <w:t>匀</w:t>
      </w:r>
      <w:r>
        <w:rPr>
          <w:rFonts w:ascii="宋体" w:hAnsi="宋体" w:eastAsia="宋体" w:cs="宋体"/>
          <w:spacing w:val="-45"/>
          <w:sz w:val="17"/>
          <w:szCs w:val="17"/>
        </w:rPr>
        <w:t xml:space="preserve"> </w:t>
      </w:r>
      <w:r>
        <w:rPr>
          <w:rFonts w:ascii="宋体" w:hAnsi="宋体" w:eastAsia="宋体" w:cs="宋体"/>
          <w:spacing w:val="-6"/>
          <w:sz w:val="17"/>
          <w:szCs w:val="17"/>
        </w:rPr>
        <w:t>。</w:t>
      </w:r>
    </w:p>
    <w:p w14:paraId="657AAA7E">
      <w:pPr>
        <w:spacing w:before="100" w:line="262" w:lineRule="auto"/>
        <w:ind w:firstLine="379"/>
        <w:rPr>
          <w:rFonts w:ascii="宋体" w:hAnsi="宋体" w:eastAsia="宋体" w:cs="宋体"/>
          <w:sz w:val="17"/>
          <w:szCs w:val="17"/>
        </w:rPr>
      </w:pPr>
      <w:r>
        <w:rPr>
          <w:rFonts w:ascii="Times New Roman" w:hAnsi="Times New Roman" w:eastAsia="Times New Roman" w:cs="Times New Roman"/>
          <w:spacing w:val="1"/>
          <w:sz w:val="17"/>
          <w:szCs w:val="17"/>
        </w:rPr>
        <w:t>6</w:t>
      </w:r>
      <w:r>
        <w:rPr>
          <w:rFonts w:ascii="宋体" w:hAnsi="宋体" w:eastAsia="宋体" w:cs="宋体"/>
          <w:spacing w:val="1"/>
          <w:sz w:val="17"/>
          <w:szCs w:val="17"/>
        </w:rPr>
        <w:t>、定容：向容量瓶中加水至刻度线1</w:t>
      </w:r>
      <w:r>
        <w:rPr>
          <w:rFonts w:ascii="Times New Roman" w:hAnsi="Times New Roman" w:eastAsia="Times New Roman" w:cs="Times New Roman"/>
          <w:sz w:val="17"/>
          <w:szCs w:val="17"/>
        </w:rPr>
        <w:t>cm</w:t>
      </w:r>
      <w:r>
        <w:rPr>
          <w:rFonts w:ascii="Times New Roman" w:hAnsi="Times New Roman" w:eastAsia="Times New Roman" w:cs="Times New Roman"/>
          <w:spacing w:val="1"/>
          <w:sz w:val="17"/>
          <w:szCs w:val="17"/>
        </w:rPr>
        <w:t>~2</w:t>
      </w:r>
      <w:r>
        <w:rPr>
          <w:rFonts w:ascii="Times New Roman" w:hAnsi="Times New Roman" w:eastAsia="Times New Roman" w:cs="Times New Roman"/>
          <w:sz w:val="17"/>
          <w:szCs w:val="17"/>
        </w:rPr>
        <w:t>cm</w:t>
      </w:r>
      <w:r>
        <w:rPr>
          <w:rFonts w:ascii="宋体" w:hAnsi="宋体" w:eastAsia="宋体" w:cs="宋体"/>
          <w:spacing w:val="1"/>
          <w:sz w:val="17"/>
          <w:szCs w:val="17"/>
        </w:rPr>
        <w:t>处时，</w:t>
      </w:r>
      <w:r>
        <w:rPr>
          <w:rFonts w:ascii="宋体" w:hAnsi="宋体" w:eastAsia="宋体" w:cs="宋体"/>
          <w:sz w:val="17"/>
          <w:szCs w:val="17"/>
        </w:rPr>
        <w:t xml:space="preserve"> </w:t>
      </w:r>
      <w:r>
        <w:rPr>
          <w:rFonts w:ascii="宋体" w:hAnsi="宋体" w:eastAsia="宋体" w:cs="宋体"/>
          <w:spacing w:val="-3"/>
          <w:sz w:val="17"/>
          <w:szCs w:val="17"/>
        </w:rPr>
        <w:t>再改用胶头滴管至刻度线处。</w:t>
      </w:r>
    </w:p>
    <w:p w14:paraId="77E18268">
      <w:pPr>
        <w:spacing w:before="98" w:line="283" w:lineRule="auto"/>
        <w:ind w:right="77" w:firstLine="379"/>
        <w:rPr>
          <w:rFonts w:ascii="宋体" w:hAnsi="宋体" w:eastAsia="宋体" w:cs="宋体"/>
          <w:sz w:val="17"/>
          <w:szCs w:val="17"/>
        </w:rPr>
      </w:pPr>
      <w:r>
        <w:rPr>
          <w:rFonts w:ascii="宋体" w:hAnsi="宋体" w:eastAsia="宋体" w:cs="宋体"/>
          <w:spacing w:val="5"/>
          <w:sz w:val="17"/>
          <w:szCs w:val="17"/>
        </w:rPr>
        <w:t>7、摇匀：把定容好的容量瓶瓶塞塞紧，用一只手</w:t>
      </w:r>
      <w:r>
        <w:rPr>
          <w:rFonts w:ascii="宋体" w:hAnsi="宋体" w:eastAsia="宋体" w:cs="宋体"/>
          <w:spacing w:val="1"/>
          <w:sz w:val="17"/>
          <w:szCs w:val="17"/>
        </w:rPr>
        <w:t xml:space="preserve"> 的食指顶住瓶塞，另一只手托住瓶底，反复颠倒摇匀。</w:t>
      </w:r>
      <w:r>
        <w:rPr>
          <w:rFonts w:ascii="宋体" w:hAnsi="宋体" w:eastAsia="宋体" w:cs="宋体"/>
          <w:spacing w:val="9"/>
          <w:sz w:val="17"/>
          <w:szCs w:val="17"/>
        </w:rPr>
        <w:t xml:space="preserve"> </w:t>
      </w:r>
      <w:r>
        <w:rPr>
          <w:rFonts w:ascii="宋体" w:hAnsi="宋体" w:eastAsia="宋体" w:cs="宋体"/>
          <w:spacing w:val="-1"/>
          <w:sz w:val="17"/>
          <w:szCs w:val="17"/>
        </w:rPr>
        <w:t>这时如果液面低于刻度线，不要再加水。</w:t>
      </w:r>
    </w:p>
    <w:p w14:paraId="044F16F1">
      <w:pPr>
        <w:spacing w:before="68" w:line="273" w:lineRule="auto"/>
        <w:ind w:right="119" w:firstLine="379"/>
        <w:rPr>
          <w:rFonts w:ascii="宋体" w:hAnsi="宋体" w:eastAsia="宋体" w:cs="宋体"/>
          <w:sz w:val="17"/>
          <w:szCs w:val="17"/>
        </w:rPr>
      </w:pPr>
      <w:r>
        <w:rPr>
          <w:rFonts w:ascii="宋体" w:hAnsi="宋体" w:eastAsia="宋体" w:cs="宋体"/>
          <w:spacing w:val="-5"/>
          <w:sz w:val="17"/>
          <w:szCs w:val="17"/>
        </w:rPr>
        <w:t>8、装瓶：将容量瓶中的液体倒入指定的试剂瓶中，</w:t>
      </w:r>
      <w:r>
        <w:rPr>
          <w:rFonts w:ascii="宋体" w:hAnsi="宋体" w:eastAsia="宋体" w:cs="宋体"/>
          <w:spacing w:val="14"/>
          <w:sz w:val="17"/>
          <w:szCs w:val="17"/>
        </w:rPr>
        <w:t xml:space="preserve"> </w:t>
      </w:r>
      <w:r>
        <w:rPr>
          <w:rFonts w:ascii="宋体" w:hAnsi="宋体" w:eastAsia="宋体" w:cs="宋体"/>
          <w:spacing w:val="-5"/>
          <w:sz w:val="17"/>
          <w:szCs w:val="17"/>
        </w:rPr>
        <w:t>并贴好标签。</w:t>
      </w:r>
    </w:p>
    <w:p w14:paraId="1EA70366">
      <w:pPr>
        <w:pStyle w:val="2"/>
        <w:spacing w:line="334" w:lineRule="auto"/>
      </w:pPr>
    </w:p>
    <w:p w14:paraId="57F3BC7D">
      <w:pPr>
        <w:spacing w:before="71" w:line="217" w:lineRule="auto"/>
        <w:ind w:left="43"/>
        <w:rPr>
          <w:rFonts w:ascii="宋体" w:hAnsi="宋体" w:eastAsia="宋体" w:cs="宋体"/>
          <w:sz w:val="22"/>
          <w:szCs w:val="22"/>
        </w:rPr>
      </w:pPr>
      <w:r>
        <w:rPr>
          <w:rFonts w:ascii="宋体" w:hAnsi="宋体" w:eastAsia="宋体" w:cs="宋体"/>
          <w:b/>
          <w:bCs/>
          <w:spacing w:val="-4"/>
          <w:sz w:val="22"/>
          <w:szCs w:val="22"/>
        </w:rPr>
        <w:t>五、评分标准</w:t>
      </w:r>
    </w:p>
    <w:tbl>
      <w:tblPr>
        <w:tblStyle w:val="5"/>
        <w:tblW w:w="4119" w:type="dxa"/>
        <w:tblInd w:w="1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63"/>
        <w:gridCol w:w="1017"/>
        <w:gridCol w:w="339"/>
        <w:gridCol w:w="2200"/>
      </w:tblGrid>
      <w:tr w14:paraId="2C5F67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9" w:hRule="atLeast"/>
        </w:trPr>
        <w:tc>
          <w:tcPr>
            <w:tcW w:w="563" w:type="dxa"/>
            <w:tcBorders>
              <w:top w:val="single" w:color="000000" w:sz="2" w:space="0"/>
              <w:bottom w:val="single" w:color="000000" w:sz="2" w:space="0"/>
            </w:tcBorders>
            <w:vAlign w:val="top"/>
          </w:tcPr>
          <w:p w14:paraId="0C98DF38">
            <w:pPr>
              <w:pStyle w:val="6"/>
              <w:spacing w:before="116" w:line="231" w:lineRule="auto"/>
              <w:ind w:left="107" w:right="112"/>
            </w:pPr>
            <w:r>
              <w:rPr>
                <w:b/>
                <w:bCs/>
                <w:spacing w:val="-6"/>
              </w:rPr>
              <w:t>测试</w:t>
            </w:r>
            <w:r>
              <w:t xml:space="preserve"> </w:t>
            </w:r>
            <w:r>
              <w:rPr>
                <w:b/>
                <w:bCs/>
                <w:spacing w:val="-6"/>
              </w:rPr>
              <w:t>要点</w:t>
            </w:r>
          </w:p>
        </w:tc>
        <w:tc>
          <w:tcPr>
            <w:tcW w:w="1017" w:type="dxa"/>
            <w:tcBorders>
              <w:top w:val="single" w:color="000000" w:sz="2" w:space="0"/>
              <w:bottom w:val="single" w:color="000000" w:sz="2" w:space="0"/>
            </w:tcBorders>
            <w:vAlign w:val="top"/>
          </w:tcPr>
          <w:p w14:paraId="1833B0CD">
            <w:pPr>
              <w:pStyle w:val="6"/>
              <w:spacing w:before="234" w:line="219" w:lineRule="auto"/>
              <w:ind w:left="164"/>
            </w:pPr>
            <w:r>
              <w:rPr>
                <w:b/>
                <w:bCs/>
                <w:spacing w:val="-4"/>
              </w:rPr>
              <w:t>测试内容</w:t>
            </w:r>
          </w:p>
        </w:tc>
        <w:tc>
          <w:tcPr>
            <w:tcW w:w="339" w:type="dxa"/>
            <w:tcBorders>
              <w:top w:val="single" w:color="000000" w:sz="2" w:space="0"/>
              <w:bottom w:val="single" w:color="000000" w:sz="2" w:space="0"/>
            </w:tcBorders>
            <w:textDirection w:val="tbRlV"/>
            <w:vAlign w:val="top"/>
          </w:tcPr>
          <w:p w14:paraId="3165A6C0">
            <w:pPr>
              <w:pStyle w:val="6"/>
              <w:spacing w:before="90" w:line="201" w:lineRule="auto"/>
              <w:ind w:left="127"/>
            </w:pPr>
            <w:r>
              <w:rPr>
                <w:b/>
                <w:bCs/>
                <w:spacing w:val="-2"/>
              </w:rPr>
              <w:t>分值</w:t>
            </w:r>
          </w:p>
        </w:tc>
        <w:tc>
          <w:tcPr>
            <w:tcW w:w="2200" w:type="dxa"/>
            <w:tcBorders>
              <w:top w:val="single" w:color="000000" w:sz="2" w:space="0"/>
              <w:bottom w:val="single" w:color="000000" w:sz="2" w:space="0"/>
            </w:tcBorders>
            <w:vAlign w:val="top"/>
          </w:tcPr>
          <w:p w14:paraId="2C3B4C70">
            <w:pPr>
              <w:pStyle w:val="6"/>
              <w:spacing w:before="234" w:line="220" w:lineRule="auto"/>
              <w:ind w:left="778"/>
            </w:pPr>
            <w:r>
              <w:rPr>
                <w:b/>
                <w:bCs/>
                <w:spacing w:val="-3"/>
              </w:rPr>
              <w:t>评分标准</w:t>
            </w:r>
          </w:p>
        </w:tc>
      </w:tr>
      <w:tr w14:paraId="678B87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74" w:hRule="atLeast"/>
        </w:trPr>
        <w:tc>
          <w:tcPr>
            <w:tcW w:w="563" w:type="dxa"/>
            <w:vMerge w:val="restart"/>
            <w:tcBorders>
              <w:top w:val="single" w:color="000000" w:sz="2" w:space="0"/>
              <w:bottom w:val="nil"/>
            </w:tcBorders>
            <w:vAlign w:val="top"/>
          </w:tcPr>
          <w:p w14:paraId="5269C361">
            <w:pPr>
              <w:spacing w:line="285" w:lineRule="auto"/>
              <w:rPr>
                <w:rFonts w:ascii="Arial"/>
                <w:sz w:val="21"/>
              </w:rPr>
            </w:pPr>
          </w:p>
          <w:p w14:paraId="14106241">
            <w:pPr>
              <w:spacing w:line="285" w:lineRule="auto"/>
              <w:rPr>
                <w:rFonts w:ascii="Arial"/>
                <w:sz w:val="21"/>
              </w:rPr>
            </w:pPr>
          </w:p>
          <w:p w14:paraId="5C4B39D1">
            <w:pPr>
              <w:spacing w:line="285" w:lineRule="auto"/>
              <w:rPr>
                <w:rFonts w:ascii="Arial"/>
                <w:sz w:val="21"/>
              </w:rPr>
            </w:pPr>
          </w:p>
          <w:p w14:paraId="22ECAEB3">
            <w:pPr>
              <w:spacing w:line="285" w:lineRule="auto"/>
              <w:rPr>
                <w:rFonts w:ascii="Arial"/>
                <w:sz w:val="21"/>
              </w:rPr>
            </w:pPr>
          </w:p>
          <w:p w14:paraId="66140A96">
            <w:pPr>
              <w:pStyle w:val="6"/>
              <w:spacing w:before="55" w:line="225" w:lineRule="auto"/>
              <w:ind w:left="105" w:right="115"/>
            </w:pPr>
            <w:r>
              <w:rPr>
                <w:spacing w:val="-6"/>
              </w:rPr>
              <w:t>实验</w:t>
            </w:r>
            <w:r>
              <w:t xml:space="preserve"> </w:t>
            </w:r>
            <w:r>
              <w:rPr>
                <w:spacing w:val="-4"/>
              </w:rPr>
              <w:t>准备</w:t>
            </w:r>
          </w:p>
        </w:tc>
        <w:tc>
          <w:tcPr>
            <w:tcW w:w="1017" w:type="dxa"/>
            <w:tcBorders>
              <w:top w:val="single" w:color="000000" w:sz="2" w:space="0"/>
              <w:bottom w:val="single" w:color="000000" w:sz="2" w:space="0"/>
            </w:tcBorders>
            <w:vAlign w:val="top"/>
          </w:tcPr>
          <w:p w14:paraId="12797AD8">
            <w:pPr>
              <w:pStyle w:val="6"/>
              <w:spacing w:before="52" w:line="219" w:lineRule="auto"/>
              <w:ind w:left="331" w:right="96" w:hanging="259"/>
            </w:pPr>
            <w:r>
              <w:rPr>
                <w:spacing w:val="-3"/>
              </w:rPr>
              <w:t>写出配制溶</w:t>
            </w:r>
            <w:r>
              <w:rPr>
                <w:spacing w:val="2"/>
              </w:rPr>
              <w:t xml:space="preserve"> </w:t>
            </w:r>
            <w:r>
              <w:rPr>
                <w:spacing w:val="-2"/>
              </w:rPr>
              <w:t>液所</w:t>
            </w:r>
          </w:p>
          <w:p w14:paraId="44B9A562">
            <w:pPr>
              <w:pStyle w:val="6"/>
              <w:spacing w:before="6" w:line="218" w:lineRule="auto"/>
              <w:ind w:left="331" w:right="77" w:hanging="259"/>
            </w:pPr>
            <w:r>
              <w:rPr>
                <w:spacing w:val="1"/>
              </w:rPr>
              <w:t xml:space="preserve">需用的仪器 </w:t>
            </w:r>
            <w:r>
              <w:rPr>
                <w:spacing w:val="-3"/>
              </w:rPr>
              <w:t>名称</w:t>
            </w:r>
          </w:p>
        </w:tc>
        <w:tc>
          <w:tcPr>
            <w:tcW w:w="339" w:type="dxa"/>
            <w:tcBorders>
              <w:top w:val="single" w:color="000000" w:sz="2" w:space="0"/>
              <w:bottom w:val="single" w:color="000000" w:sz="2" w:space="0"/>
            </w:tcBorders>
            <w:vAlign w:val="top"/>
          </w:tcPr>
          <w:p w14:paraId="166CE6E1">
            <w:pPr>
              <w:spacing w:line="338" w:lineRule="auto"/>
              <w:rPr>
                <w:rFonts w:ascii="Arial"/>
                <w:sz w:val="21"/>
              </w:rPr>
            </w:pPr>
          </w:p>
          <w:p w14:paraId="6C8039D9">
            <w:pPr>
              <w:pStyle w:val="6"/>
              <w:spacing w:before="55" w:line="184" w:lineRule="auto"/>
              <w:ind w:left="74"/>
            </w:pPr>
            <w:r>
              <w:rPr>
                <w:spacing w:val="-5"/>
              </w:rPr>
              <w:t>12</w:t>
            </w:r>
          </w:p>
        </w:tc>
        <w:tc>
          <w:tcPr>
            <w:tcW w:w="2200" w:type="dxa"/>
            <w:tcBorders>
              <w:top w:val="single" w:color="000000" w:sz="2" w:space="0"/>
              <w:bottom w:val="single" w:color="000000" w:sz="2" w:space="0"/>
            </w:tcBorders>
            <w:vAlign w:val="top"/>
          </w:tcPr>
          <w:p w14:paraId="4CF3F5E8">
            <w:pPr>
              <w:pStyle w:val="6"/>
              <w:spacing w:before="253" w:line="247" w:lineRule="auto"/>
              <w:ind w:left="26" w:right="224" w:hanging="10"/>
            </w:pPr>
            <w:r>
              <w:rPr>
                <w:spacing w:val="-1"/>
              </w:rPr>
              <w:t>共6种仪器，写出一种仪器</w:t>
            </w:r>
            <w:r>
              <w:rPr>
                <w:spacing w:val="5"/>
              </w:rPr>
              <w:t xml:space="preserve"> </w:t>
            </w:r>
            <w:r>
              <w:rPr>
                <w:spacing w:val="-1"/>
              </w:rPr>
              <w:t>名称得2分。</w:t>
            </w:r>
          </w:p>
        </w:tc>
      </w:tr>
      <w:tr w14:paraId="757F50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14" w:hRule="atLeast"/>
        </w:trPr>
        <w:tc>
          <w:tcPr>
            <w:tcW w:w="563" w:type="dxa"/>
            <w:vMerge w:val="continue"/>
            <w:tcBorders>
              <w:top w:val="nil"/>
              <w:bottom w:val="single" w:color="000000" w:sz="2" w:space="0"/>
            </w:tcBorders>
            <w:vAlign w:val="top"/>
          </w:tcPr>
          <w:p w14:paraId="652D0D5B">
            <w:pPr>
              <w:rPr>
                <w:rFonts w:ascii="Arial"/>
                <w:sz w:val="21"/>
              </w:rPr>
            </w:pPr>
          </w:p>
        </w:tc>
        <w:tc>
          <w:tcPr>
            <w:tcW w:w="1017" w:type="dxa"/>
            <w:tcBorders>
              <w:top w:val="single" w:color="000000" w:sz="2" w:space="0"/>
              <w:bottom w:val="single" w:color="000000" w:sz="2" w:space="0"/>
            </w:tcBorders>
            <w:vAlign w:val="top"/>
          </w:tcPr>
          <w:p w14:paraId="5333BBCB">
            <w:pPr>
              <w:spacing w:line="292" w:lineRule="auto"/>
              <w:rPr>
                <w:rFonts w:ascii="Arial"/>
                <w:sz w:val="21"/>
              </w:rPr>
            </w:pPr>
          </w:p>
          <w:p w14:paraId="7D0C880B">
            <w:pPr>
              <w:spacing w:line="292" w:lineRule="auto"/>
              <w:rPr>
                <w:rFonts w:ascii="Arial"/>
                <w:sz w:val="21"/>
              </w:rPr>
            </w:pPr>
          </w:p>
          <w:p w14:paraId="169AF4D8">
            <w:pPr>
              <w:pStyle w:val="6"/>
              <w:spacing w:before="55" w:line="219" w:lineRule="auto"/>
              <w:ind w:left="332"/>
            </w:pPr>
            <w:r>
              <w:rPr>
                <w:spacing w:val="-2"/>
              </w:rPr>
              <w:t>计算</w:t>
            </w:r>
          </w:p>
        </w:tc>
        <w:tc>
          <w:tcPr>
            <w:tcW w:w="339" w:type="dxa"/>
            <w:tcBorders>
              <w:top w:val="single" w:color="000000" w:sz="2" w:space="0"/>
              <w:bottom w:val="single" w:color="000000" w:sz="2" w:space="0"/>
            </w:tcBorders>
            <w:vAlign w:val="top"/>
          </w:tcPr>
          <w:p w14:paraId="363FE564">
            <w:pPr>
              <w:spacing w:line="253" w:lineRule="auto"/>
              <w:rPr>
                <w:rFonts w:ascii="Arial"/>
                <w:sz w:val="21"/>
              </w:rPr>
            </w:pPr>
          </w:p>
          <w:p w14:paraId="19A640A4">
            <w:pPr>
              <w:spacing w:line="254" w:lineRule="auto"/>
              <w:rPr>
                <w:rFonts w:ascii="Arial"/>
                <w:sz w:val="21"/>
              </w:rPr>
            </w:pPr>
          </w:p>
          <w:p w14:paraId="33FFA574">
            <w:pPr>
              <w:pStyle w:val="6"/>
              <w:spacing w:before="56" w:line="184" w:lineRule="auto"/>
              <w:ind w:left="74"/>
            </w:pPr>
            <w:r>
              <w:rPr>
                <w:spacing w:val="-5"/>
              </w:rPr>
              <w:t>12</w:t>
            </w:r>
          </w:p>
        </w:tc>
        <w:tc>
          <w:tcPr>
            <w:tcW w:w="2200" w:type="dxa"/>
            <w:tcBorders>
              <w:top w:val="single" w:color="000000" w:sz="2" w:space="0"/>
              <w:bottom w:val="single" w:color="000000" w:sz="2" w:space="0"/>
            </w:tcBorders>
            <w:vAlign w:val="top"/>
          </w:tcPr>
          <w:p w14:paraId="4AF17A95">
            <w:pPr>
              <w:pStyle w:val="6"/>
              <w:spacing w:before="224" w:line="231" w:lineRule="auto"/>
              <w:ind w:left="16" w:firstLine="9"/>
            </w:pPr>
            <w:r>
              <w:rPr>
                <w:spacing w:val="-6"/>
              </w:rPr>
              <w:t>计算步骤和结果都正确得12</w:t>
            </w:r>
            <w:r>
              <w:rPr>
                <w:spacing w:val="1"/>
              </w:rPr>
              <w:t xml:space="preserve">   </w:t>
            </w:r>
            <w:r>
              <w:rPr>
                <w:spacing w:val="-6"/>
              </w:rPr>
              <w:t>分，步骤正确但结果错误得8</w:t>
            </w:r>
            <w:r>
              <w:rPr>
                <w:spacing w:val="3"/>
              </w:rPr>
              <w:t xml:space="preserve">  </w:t>
            </w:r>
            <w:r>
              <w:rPr>
                <w:spacing w:val="-9"/>
              </w:rPr>
              <w:t>分，无步骤但结果正确扣4分，</w:t>
            </w:r>
            <w:r>
              <w:rPr>
                <w:spacing w:val="3"/>
              </w:rPr>
              <w:t xml:space="preserve"> </w:t>
            </w:r>
            <w:r>
              <w:rPr>
                <w:spacing w:val="-4"/>
              </w:rPr>
              <w:t>步骤和结果都错得0分。</w:t>
            </w:r>
          </w:p>
        </w:tc>
      </w:tr>
      <w:tr w14:paraId="54A08C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34" w:hRule="atLeast"/>
        </w:trPr>
        <w:tc>
          <w:tcPr>
            <w:tcW w:w="563" w:type="dxa"/>
            <w:vMerge w:val="restart"/>
            <w:tcBorders>
              <w:top w:val="single" w:color="000000" w:sz="2" w:space="0"/>
              <w:bottom w:val="nil"/>
            </w:tcBorders>
            <w:vAlign w:val="top"/>
          </w:tcPr>
          <w:p w14:paraId="7907B907">
            <w:pPr>
              <w:spacing w:line="252" w:lineRule="auto"/>
              <w:rPr>
                <w:rFonts w:ascii="Arial"/>
                <w:sz w:val="21"/>
              </w:rPr>
            </w:pPr>
          </w:p>
          <w:p w14:paraId="3C09D673">
            <w:pPr>
              <w:spacing w:line="252" w:lineRule="auto"/>
              <w:rPr>
                <w:rFonts w:ascii="Arial"/>
                <w:sz w:val="21"/>
              </w:rPr>
            </w:pPr>
          </w:p>
          <w:p w14:paraId="7A0AC658">
            <w:pPr>
              <w:spacing w:line="252" w:lineRule="auto"/>
              <w:rPr>
                <w:rFonts w:ascii="Arial"/>
                <w:sz w:val="21"/>
              </w:rPr>
            </w:pPr>
          </w:p>
          <w:p w14:paraId="35362BA0">
            <w:pPr>
              <w:spacing w:line="252" w:lineRule="auto"/>
              <w:rPr>
                <w:rFonts w:ascii="Arial"/>
                <w:sz w:val="21"/>
              </w:rPr>
            </w:pPr>
          </w:p>
          <w:p w14:paraId="6FFDC102">
            <w:pPr>
              <w:spacing w:line="252" w:lineRule="auto"/>
              <w:rPr>
                <w:rFonts w:ascii="Arial"/>
                <w:sz w:val="21"/>
              </w:rPr>
            </w:pPr>
          </w:p>
          <w:p w14:paraId="4B33DEA0">
            <w:pPr>
              <w:spacing w:line="252" w:lineRule="auto"/>
              <w:rPr>
                <w:rFonts w:ascii="Arial"/>
                <w:sz w:val="21"/>
              </w:rPr>
            </w:pPr>
          </w:p>
          <w:p w14:paraId="63B6516C">
            <w:pPr>
              <w:spacing w:line="252" w:lineRule="auto"/>
              <w:rPr>
                <w:rFonts w:ascii="Arial"/>
                <w:sz w:val="21"/>
              </w:rPr>
            </w:pPr>
          </w:p>
          <w:p w14:paraId="4D6E8EE1">
            <w:pPr>
              <w:spacing w:line="252" w:lineRule="auto"/>
              <w:rPr>
                <w:rFonts w:ascii="Arial"/>
                <w:sz w:val="21"/>
              </w:rPr>
            </w:pPr>
          </w:p>
          <w:p w14:paraId="5720C208">
            <w:pPr>
              <w:pStyle w:val="6"/>
              <w:spacing w:before="55" w:line="225" w:lineRule="auto"/>
              <w:ind w:left="105" w:right="115"/>
            </w:pPr>
            <w:r>
              <w:rPr>
                <w:spacing w:val="-6"/>
              </w:rPr>
              <w:t>实验</w:t>
            </w:r>
            <w:r>
              <w:t xml:space="preserve"> </w:t>
            </w:r>
            <w:r>
              <w:rPr>
                <w:spacing w:val="-4"/>
              </w:rPr>
              <w:t>准备</w:t>
            </w:r>
          </w:p>
        </w:tc>
        <w:tc>
          <w:tcPr>
            <w:tcW w:w="1017" w:type="dxa"/>
            <w:tcBorders>
              <w:top w:val="single" w:color="000000" w:sz="2" w:space="0"/>
              <w:bottom w:val="single" w:color="000000" w:sz="2" w:space="0"/>
            </w:tcBorders>
            <w:vAlign w:val="top"/>
          </w:tcPr>
          <w:p w14:paraId="057378A1">
            <w:pPr>
              <w:spacing w:line="303" w:lineRule="auto"/>
              <w:rPr>
                <w:rFonts w:ascii="Arial"/>
                <w:sz w:val="21"/>
              </w:rPr>
            </w:pPr>
          </w:p>
          <w:p w14:paraId="2B28A43B">
            <w:pPr>
              <w:spacing w:line="304" w:lineRule="auto"/>
              <w:rPr>
                <w:rFonts w:ascii="Arial"/>
                <w:sz w:val="21"/>
              </w:rPr>
            </w:pPr>
          </w:p>
          <w:p w14:paraId="5ADEEBE0">
            <w:pPr>
              <w:pStyle w:val="6"/>
              <w:spacing w:before="55" w:line="221" w:lineRule="auto"/>
              <w:ind w:left="332"/>
            </w:pPr>
            <w:r>
              <w:rPr>
                <w:spacing w:val="-2"/>
              </w:rPr>
              <w:t>称量</w:t>
            </w:r>
          </w:p>
        </w:tc>
        <w:tc>
          <w:tcPr>
            <w:tcW w:w="339" w:type="dxa"/>
            <w:tcBorders>
              <w:top w:val="single" w:color="000000" w:sz="2" w:space="0"/>
              <w:bottom w:val="single" w:color="000000" w:sz="2" w:space="0"/>
            </w:tcBorders>
            <w:vAlign w:val="top"/>
          </w:tcPr>
          <w:p w14:paraId="6D33DF31">
            <w:pPr>
              <w:spacing w:line="259" w:lineRule="auto"/>
              <w:rPr>
                <w:rFonts w:ascii="Arial"/>
                <w:sz w:val="21"/>
              </w:rPr>
            </w:pPr>
          </w:p>
          <w:p w14:paraId="3C652FCE">
            <w:pPr>
              <w:spacing w:line="259" w:lineRule="auto"/>
              <w:rPr>
                <w:rFonts w:ascii="Arial"/>
                <w:sz w:val="21"/>
              </w:rPr>
            </w:pPr>
          </w:p>
          <w:p w14:paraId="23542E6C">
            <w:pPr>
              <w:pStyle w:val="6"/>
              <w:spacing w:before="56" w:line="184" w:lineRule="auto"/>
              <w:ind w:left="74"/>
            </w:pPr>
            <w:r>
              <w:rPr>
                <w:spacing w:val="-5"/>
              </w:rPr>
              <w:t>10</w:t>
            </w:r>
          </w:p>
        </w:tc>
        <w:tc>
          <w:tcPr>
            <w:tcW w:w="2200" w:type="dxa"/>
            <w:tcBorders>
              <w:top w:val="single" w:color="000000" w:sz="2" w:space="0"/>
              <w:bottom w:val="single" w:color="000000" w:sz="2" w:space="0"/>
            </w:tcBorders>
            <w:vAlign w:val="top"/>
          </w:tcPr>
          <w:p w14:paraId="20DC18E4">
            <w:pPr>
              <w:pStyle w:val="6"/>
              <w:spacing w:before="246" w:line="228" w:lineRule="auto"/>
              <w:ind w:left="16" w:firstLine="9"/>
            </w:pPr>
            <w:r>
              <w:rPr>
                <w:spacing w:val="-4"/>
              </w:rPr>
              <w:t>在电子天平上放一张称量纸，</w:t>
            </w:r>
            <w:r>
              <w:rPr>
                <w:spacing w:val="5"/>
              </w:rPr>
              <w:t xml:space="preserve"> </w:t>
            </w:r>
            <w:r>
              <w:rPr>
                <w:spacing w:val="-4"/>
              </w:rPr>
              <w:t>准确称取所需NaCl。完全正</w:t>
            </w:r>
            <w:r>
              <w:rPr>
                <w:spacing w:val="3"/>
              </w:rPr>
              <w:t xml:space="preserve">   </w:t>
            </w:r>
            <w:r>
              <w:rPr>
                <w:spacing w:val="-2"/>
              </w:rPr>
              <w:t>确得10分，不全正确酌情扣</w:t>
            </w:r>
            <w:r>
              <w:t xml:space="preserve">   </w:t>
            </w:r>
            <w:r>
              <w:rPr>
                <w:spacing w:val="-3"/>
              </w:rPr>
              <w:t>4-6分，完全错误得0分。</w:t>
            </w:r>
          </w:p>
        </w:tc>
      </w:tr>
      <w:tr w14:paraId="508BA6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34" w:hRule="atLeast"/>
        </w:trPr>
        <w:tc>
          <w:tcPr>
            <w:tcW w:w="563" w:type="dxa"/>
            <w:vMerge w:val="continue"/>
            <w:tcBorders>
              <w:top w:val="nil"/>
              <w:bottom w:val="nil"/>
            </w:tcBorders>
            <w:vAlign w:val="top"/>
          </w:tcPr>
          <w:p w14:paraId="1B59EF1F">
            <w:pPr>
              <w:rPr>
                <w:rFonts w:ascii="Arial"/>
                <w:sz w:val="21"/>
              </w:rPr>
            </w:pPr>
          </w:p>
        </w:tc>
        <w:tc>
          <w:tcPr>
            <w:tcW w:w="1017" w:type="dxa"/>
            <w:tcBorders>
              <w:top w:val="single" w:color="000000" w:sz="2" w:space="0"/>
              <w:bottom w:val="single" w:color="000000" w:sz="2" w:space="0"/>
            </w:tcBorders>
            <w:vAlign w:val="top"/>
          </w:tcPr>
          <w:p w14:paraId="6F001253">
            <w:pPr>
              <w:spacing w:line="298" w:lineRule="auto"/>
              <w:rPr>
                <w:rFonts w:ascii="Arial"/>
                <w:sz w:val="21"/>
              </w:rPr>
            </w:pPr>
          </w:p>
          <w:p w14:paraId="189EBE65">
            <w:pPr>
              <w:spacing w:line="298" w:lineRule="auto"/>
              <w:rPr>
                <w:rFonts w:ascii="Arial"/>
                <w:sz w:val="21"/>
              </w:rPr>
            </w:pPr>
          </w:p>
          <w:p w14:paraId="1E6D96AA">
            <w:pPr>
              <w:pStyle w:val="6"/>
              <w:spacing w:before="55" w:line="220" w:lineRule="auto"/>
              <w:ind w:left="332"/>
            </w:pPr>
            <w:r>
              <w:rPr>
                <w:spacing w:val="-3"/>
              </w:rPr>
              <w:t>溶解</w:t>
            </w:r>
          </w:p>
        </w:tc>
        <w:tc>
          <w:tcPr>
            <w:tcW w:w="339" w:type="dxa"/>
            <w:tcBorders>
              <w:top w:val="single" w:color="000000" w:sz="2" w:space="0"/>
              <w:bottom w:val="single" w:color="000000" w:sz="2" w:space="0"/>
            </w:tcBorders>
            <w:vAlign w:val="top"/>
          </w:tcPr>
          <w:p w14:paraId="0098D908">
            <w:pPr>
              <w:spacing w:line="260" w:lineRule="auto"/>
              <w:rPr>
                <w:rFonts w:ascii="Arial"/>
                <w:sz w:val="21"/>
              </w:rPr>
            </w:pPr>
          </w:p>
          <w:p w14:paraId="2E6DD91D">
            <w:pPr>
              <w:spacing w:line="260" w:lineRule="auto"/>
              <w:rPr>
                <w:rFonts w:ascii="Arial"/>
                <w:sz w:val="21"/>
              </w:rPr>
            </w:pPr>
          </w:p>
          <w:p w14:paraId="618D2BAA">
            <w:pPr>
              <w:pStyle w:val="6"/>
              <w:spacing w:before="55" w:line="183" w:lineRule="auto"/>
              <w:ind w:left="115"/>
            </w:pPr>
            <w:r>
              <w:t>6</w:t>
            </w:r>
          </w:p>
        </w:tc>
        <w:tc>
          <w:tcPr>
            <w:tcW w:w="2200" w:type="dxa"/>
            <w:tcBorders>
              <w:top w:val="single" w:color="000000" w:sz="2" w:space="0"/>
              <w:bottom w:val="single" w:color="000000" w:sz="2" w:space="0"/>
            </w:tcBorders>
            <w:vAlign w:val="top"/>
          </w:tcPr>
          <w:p w14:paraId="1F818F15">
            <w:pPr>
              <w:pStyle w:val="6"/>
              <w:spacing w:before="124" w:line="235" w:lineRule="auto"/>
              <w:ind w:left="16" w:right="93" w:firstLine="10"/>
            </w:pPr>
            <w:r>
              <w:rPr>
                <w:spacing w:val="-1"/>
              </w:rPr>
              <w:t>用少量蒸馏水溶解，溶解时</w:t>
            </w:r>
            <w:r>
              <w:rPr>
                <w:spacing w:val="3"/>
              </w:rPr>
              <w:t xml:space="preserve"> 玻璃棒不要碰到烧杯壁发出 </w:t>
            </w:r>
            <w:r>
              <w:t>响声。完全正确得6分，不</w:t>
            </w:r>
            <w:r>
              <w:rPr>
                <w:spacing w:val="1"/>
              </w:rPr>
              <w:t xml:space="preserve">  </w:t>
            </w:r>
            <w:r>
              <w:rPr>
                <w:spacing w:val="-1"/>
              </w:rPr>
              <w:t>全正确酌情扣2-3分，完全</w:t>
            </w:r>
            <w:r>
              <w:rPr>
                <w:spacing w:val="2"/>
              </w:rPr>
              <w:t xml:space="preserve">  </w:t>
            </w:r>
            <w:r>
              <w:rPr>
                <w:spacing w:val="1"/>
              </w:rPr>
              <w:t>错误得0分。</w:t>
            </w:r>
          </w:p>
        </w:tc>
      </w:tr>
      <w:tr w14:paraId="0C3C6B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14" w:hRule="atLeast"/>
        </w:trPr>
        <w:tc>
          <w:tcPr>
            <w:tcW w:w="563" w:type="dxa"/>
            <w:vMerge w:val="continue"/>
            <w:tcBorders>
              <w:top w:val="nil"/>
              <w:bottom w:val="nil"/>
            </w:tcBorders>
            <w:vAlign w:val="top"/>
          </w:tcPr>
          <w:p w14:paraId="3B93DCA7">
            <w:pPr>
              <w:rPr>
                <w:rFonts w:ascii="Arial"/>
                <w:sz w:val="21"/>
              </w:rPr>
            </w:pPr>
          </w:p>
        </w:tc>
        <w:tc>
          <w:tcPr>
            <w:tcW w:w="1017" w:type="dxa"/>
            <w:tcBorders>
              <w:top w:val="single" w:color="000000" w:sz="2" w:space="0"/>
              <w:bottom w:val="single" w:color="000000" w:sz="2" w:space="0"/>
            </w:tcBorders>
            <w:vAlign w:val="top"/>
          </w:tcPr>
          <w:p w14:paraId="2C02A1A7">
            <w:pPr>
              <w:spacing w:line="293" w:lineRule="auto"/>
              <w:rPr>
                <w:rFonts w:ascii="Arial"/>
                <w:sz w:val="21"/>
              </w:rPr>
            </w:pPr>
          </w:p>
          <w:p w14:paraId="569886CD">
            <w:pPr>
              <w:spacing w:line="294" w:lineRule="auto"/>
              <w:rPr>
                <w:rFonts w:ascii="Arial"/>
                <w:sz w:val="21"/>
              </w:rPr>
            </w:pPr>
          </w:p>
          <w:p w14:paraId="726DA95A">
            <w:pPr>
              <w:pStyle w:val="6"/>
              <w:spacing w:before="55" w:line="220" w:lineRule="auto"/>
              <w:ind w:left="332"/>
            </w:pPr>
            <w:r>
              <w:rPr>
                <w:spacing w:val="-2"/>
              </w:rPr>
              <w:t>移液</w:t>
            </w:r>
          </w:p>
        </w:tc>
        <w:tc>
          <w:tcPr>
            <w:tcW w:w="339" w:type="dxa"/>
            <w:tcBorders>
              <w:top w:val="single" w:color="000000" w:sz="2" w:space="0"/>
              <w:bottom w:val="single" w:color="000000" w:sz="2" w:space="0"/>
            </w:tcBorders>
            <w:vAlign w:val="top"/>
          </w:tcPr>
          <w:p w14:paraId="39BE7741">
            <w:pPr>
              <w:spacing w:line="255" w:lineRule="auto"/>
              <w:rPr>
                <w:rFonts w:ascii="Arial"/>
                <w:sz w:val="21"/>
              </w:rPr>
            </w:pPr>
          </w:p>
          <w:p w14:paraId="72ED6407">
            <w:pPr>
              <w:spacing w:line="255" w:lineRule="auto"/>
              <w:rPr>
                <w:rFonts w:ascii="Arial"/>
                <w:sz w:val="21"/>
              </w:rPr>
            </w:pPr>
          </w:p>
          <w:p w14:paraId="1CC03CD6">
            <w:pPr>
              <w:pStyle w:val="6"/>
              <w:spacing w:before="55" w:line="184" w:lineRule="auto"/>
              <w:ind w:left="84"/>
            </w:pPr>
            <w:r>
              <w:rPr>
                <w:spacing w:val="-5"/>
              </w:rPr>
              <w:t>10</w:t>
            </w:r>
          </w:p>
        </w:tc>
        <w:tc>
          <w:tcPr>
            <w:tcW w:w="2200" w:type="dxa"/>
            <w:tcBorders>
              <w:top w:val="single" w:color="000000" w:sz="2" w:space="0"/>
              <w:bottom w:val="single" w:color="000000" w:sz="2" w:space="0"/>
            </w:tcBorders>
            <w:vAlign w:val="top"/>
          </w:tcPr>
          <w:p w14:paraId="2944FED1">
            <w:pPr>
              <w:pStyle w:val="6"/>
              <w:spacing w:before="96" w:line="237" w:lineRule="auto"/>
              <w:ind w:left="16" w:firstLine="19"/>
            </w:pPr>
            <w:r>
              <w:rPr>
                <w:spacing w:val="-7"/>
              </w:rPr>
              <w:t>移液时用玻璃棒引流，且其</w:t>
            </w:r>
            <w:r>
              <w:rPr>
                <w:spacing w:val="2"/>
              </w:rPr>
              <w:t xml:space="preserve">   </w:t>
            </w:r>
            <w:r>
              <w:rPr>
                <w:spacing w:val="-4"/>
              </w:rPr>
              <w:t>下端应靠在容量瓶内壁的刻</w:t>
            </w:r>
            <w:r>
              <w:rPr>
                <w:spacing w:val="3"/>
              </w:rPr>
              <w:t xml:space="preserve">   </w:t>
            </w:r>
            <w:r>
              <w:rPr>
                <w:spacing w:val="-5"/>
              </w:rPr>
              <w:t>度线以下部位。完全正确得</w:t>
            </w:r>
            <w:r>
              <w:rPr>
                <w:spacing w:val="1"/>
              </w:rPr>
              <w:t xml:space="preserve">   </w:t>
            </w:r>
            <w:r>
              <w:rPr>
                <w:spacing w:val="-8"/>
              </w:rPr>
              <w:t>10分，不全正确酌情扣3-5分，</w:t>
            </w:r>
            <w:r>
              <w:rPr>
                <w:spacing w:val="5"/>
              </w:rPr>
              <w:t xml:space="preserve"> </w:t>
            </w:r>
            <w:r>
              <w:rPr>
                <w:spacing w:val="-5"/>
              </w:rPr>
              <w:t>溶液洒泼在容量瓶外得0分。</w:t>
            </w:r>
          </w:p>
        </w:tc>
      </w:tr>
      <w:tr w14:paraId="5F6179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19" w:hRule="atLeast"/>
        </w:trPr>
        <w:tc>
          <w:tcPr>
            <w:tcW w:w="563" w:type="dxa"/>
            <w:vMerge w:val="continue"/>
            <w:tcBorders>
              <w:top w:val="nil"/>
              <w:bottom w:val="single" w:color="000000" w:sz="2" w:space="0"/>
            </w:tcBorders>
            <w:vAlign w:val="top"/>
          </w:tcPr>
          <w:p w14:paraId="5CE1CBF9">
            <w:pPr>
              <w:rPr>
                <w:rFonts w:ascii="Arial"/>
                <w:sz w:val="21"/>
              </w:rPr>
            </w:pPr>
          </w:p>
        </w:tc>
        <w:tc>
          <w:tcPr>
            <w:tcW w:w="1017" w:type="dxa"/>
            <w:tcBorders>
              <w:top w:val="single" w:color="000000" w:sz="2" w:space="0"/>
              <w:bottom w:val="single" w:color="000000" w:sz="2" w:space="0"/>
            </w:tcBorders>
            <w:vAlign w:val="top"/>
          </w:tcPr>
          <w:p w14:paraId="22DC1B8D">
            <w:pPr>
              <w:spacing w:line="270" w:lineRule="auto"/>
              <w:rPr>
                <w:rFonts w:ascii="Arial"/>
                <w:sz w:val="21"/>
              </w:rPr>
            </w:pPr>
          </w:p>
          <w:p w14:paraId="5794E123">
            <w:pPr>
              <w:pStyle w:val="6"/>
              <w:spacing w:before="55" w:line="220" w:lineRule="auto"/>
              <w:ind w:left="332"/>
            </w:pPr>
            <w:r>
              <w:rPr>
                <w:spacing w:val="-2"/>
              </w:rPr>
              <w:t>洗涤</w:t>
            </w:r>
          </w:p>
        </w:tc>
        <w:tc>
          <w:tcPr>
            <w:tcW w:w="339" w:type="dxa"/>
            <w:tcBorders>
              <w:top w:val="single" w:color="000000" w:sz="2" w:space="0"/>
              <w:bottom w:val="single" w:color="000000" w:sz="2" w:space="0"/>
            </w:tcBorders>
            <w:vAlign w:val="top"/>
          </w:tcPr>
          <w:p w14:paraId="5BFC8C07">
            <w:pPr>
              <w:spacing w:line="312" w:lineRule="auto"/>
              <w:rPr>
                <w:rFonts w:ascii="Arial"/>
                <w:sz w:val="21"/>
              </w:rPr>
            </w:pPr>
          </w:p>
          <w:p w14:paraId="06DBDAD6">
            <w:pPr>
              <w:pStyle w:val="6"/>
              <w:spacing w:before="55" w:line="184" w:lineRule="auto"/>
              <w:ind w:left="74"/>
            </w:pPr>
            <w:r>
              <w:rPr>
                <w:spacing w:val="-5"/>
              </w:rPr>
              <w:t>10</w:t>
            </w:r>
          </w:p>
        </w:tc>
        <w:tc>
          <w:tcPr>
            <w:tcW w:w="2200" w:type="dxa"/>
            <w:tcBorders>
              <w:top w:val="single" w:color="000000" w:sz="2" w:space="0"/>
              <w:bottom w:val="single" w:color="000000" w:sz="2" w:space="0"/>
            </w:tcBorders>
            <w:vAlign w:val="top"/>
          </w:tcPr>
          <w:p w14:paraId="47C9386D">
            <w:pPr>
              <w:pStyle w:val="6"/>
              <w:spacing w:before="126" w:line="230" w:lineRule="auto"/>
              <w:ind w:left="36" w:right="139" w:hanging="20"/>
            </w:pPr>
            <w:r>
              <w:rPr>
                <w:spacing w:val="-1"/>
              </w:rPr>
              <w:t>操作完全正确得10分，不全</w:t>
            </w:r>
            <w:r>
              <w:rPr>
                <w:spacing w:val="6"/>
              </w:rPr>
              <w:t xml:space="preserve"> </w:t>
            </w:r>
            <w:r>
              <w:rPr>
                <w:spacing w:val="-1"/>
              </w:rPr>
              <w:t>正确酌情扣3-5分，洗液</w:t>
            </w:r>
          </w:p>
          <w:p w14:paraId="23C1FBD8">
            <w:pPr>
              <w:pStyle w:val="6"/>
              <w:spacing w:before="16" w:line="219" w:lineRule="auto"/>
              <w:ind w:left="16"/>
            </w:pPr>
            <w:r>
              <w:rPr>
                <w:spacing w:val="-1"/>
              </w:rPr>
              <w:t>洒泼在容量瓶外得0分。</w:t>
            </w:r>
          </w:p>
        </w:tc>
      </w:tr>
    </w:tbl>
    <w:p w14:paraId="0EE476E1">
      <w:pPr>
        <w:pStyle w:val="2"/>
        <w:spacing w:line="14" w:lineRule="auto"/>
        <w:rPr>
          <w:sz w:val="2"/>
        </w:rPr>
      </w:pPr>
    </w:p>
    <w:p w14:paraId="5F42567E">
      <w:pPr>
        <w:spacing w:line="14" w:lineRule="auto"/>
        <w:rPr>
          <w:sz w:val="2"/>
          <w:szCs w:val="2"/>
        </w:rPr>
        <w:sectPr>
          <w:type w:val="continuous"/>
          <w:pgSz w:w="10660" w:h="15080"/>
          <w:pgMar w:top="400" w:right="975" w:bottom="925" w:left="819" w:header="0" w:footer="705" w:gutter="0"/>
          <w:cols w:equalWidth="0" w:num="2">
            <w:col w:w="4541" w:space="100"/>
            <w:col w:w="4225"/>
          </w:cols>
        </w:sectPr>
      </w:pPr>
    </w:p>
    <w:p w14:paraId="1C26C768">
      <w:pPr>
        <w:spacing w:before="10"/>
      </w:pPr>
    </w:p>
    <w:p w14:paraId="28D1B899">
      <w:pPr>
        <w:spacing w:before="10"/>
      </w:pPr>
    </w:p>
    <w:p w14:paraId="726F32A6">
      <w:pPr>
        <w:spacing w:before="10"/>
      </w:pPr>
    </w:p>
    <w:p w14:paraId="5B549C9A">
      <w:pPr>
        <w:spacing w:before="9"/>
      </w:pPr>
    </w:p>
    <w:p w14:paraId="716CC2CE">
      <w:pPr>
        <w:sectPr>
          <w:footerReference r:id="rId99" w:type="default"/>
          <w:pgSz w:w="10660" w:h="15080"/>
          <w:pgMar w:top="400" w:right="844" w:bottom="925" w:left="1024" w:header="0" w:footer="705" w:gutter="0"/>
          <w:cols w:equalWidth="0" w:num="1">
            <w:col w:w="8791"/>
          </w:cols>
        </w:sectPr>
      </w:pPr>
    </w:p>
    <w:tbl>
      <w:tblPr>
        <w:tblStyle w:val="5"/>
        <w:tblW w:w="413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64"/>
        <w:gridCol w:w="1017"/>
        <w:gridCol w:w="349"/>
        <w:gridCol w:w="2200"/>
      </w:tblGrid>
      <w:tr w14:paraId="104EE7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4" w:hRule="atLeast"/>
        </w:trPr>
        <w:tc>
          <w:tcPr>
            <w:tcW w:w="564" w:type="dxa"/>
            <w:vAlign w:val="top"/>
          </w:tcPr>
          <w:p w14:paraId="62F59011">
            <w:pPr>
              <w:pStyle w:val="6"/>
              <w:spacing w:before="101" w:line="239" w:lineRule="auto"/>
              <w:ind w:left="107" w:right="113"/>
            </w:pPr>
            <w:r>
              <w:rPr>
                <w:b/>
                <w:bCs/>
                <w:spacing w:val="-6"/>
              </w:rPr>
              <w:t>测试</w:t>
            </w:r>
            <w:r>
              <w:t xml:space="preserve"> </w:t>
            </w:r>
            <w:r>
              <w:rPr>
                <w:b/>
                <w:bCs/>
                <w:spacing w:val="-6"/>
              </w:rPr>
              <w:t>要点</w:t>
            </w:r>
          </w:p>
        </w:tc>
        <w:tc>
          <w:tcPr>
            <w:tcW w:w="1017" w:type="dxa"/>
            <w:vAlign w:val="top"/>
          </w:tcPr>
          <w:p w14:paraId="6F2C215E">
            <w:pPr>
              <w:pStyle w:val="6"/>
              <w:spacing w:before="229" w:line="219" w:lineRule="auto"/>
              <w:ind w:left="163"/>
            </w:pPr>
            <w:r>
              <w:rPr>
                <w:b/>
                <w:bCs/>
                <w:spacing w:val="-4"/>
              </w:rPr>
              <w:t>测试内容</w:t>
            </w:r>
          </w:p>
        </w:tc>
        <w:tc>
          <w:tcPr>
            <w:tcW w:w="349" w:type="dxa"/>
            <w:textDirection w:val="tbRlV"/>
            <w:vAlign w:val="top"/>
          </w:tcPr>
          <w:p w14:paraId="71810AB6">
            <w:pPr>
              <w:pStyle w:val="6"/>
              <w:spacing w:before="91" w:line="201" w:lineRule="auto"/>
              <w:ind w:left="122"/>
            </w:pPr>
            <w:r>
              <w:rPr>
                <w:b/>
                <w:bCs/>
                <w:spacing w:val="-2"/>
              </w:rPr>
              <w:t>分值</w:t>
            </w:r>
          </w:p>
        </w:tc>
        <w:tc>
          <w:tcPr>
            <w:tcW w:w="2200" w:type="dxa"/>
            <w:vAlign w:val="top"/>
          </w:tcPr>
          <w:p w14:paraId="31FF6307">
            <w:pPr>
              <w:pStyle w:val="6"/>
              <w:spacing w:before="230" w:line="220" w:lineRule="auto"/>
              <w:ind w:left="777"/>
            </w:pPr>
            <w:r>
              <w:rPr>
                <w:b/>
                <w:bCs/>
                <w:spacing w:val="-3"/>
              </w:rPr>
              <w:t>评分标准</w:t>
            </w:r>
          </w:p>
        </w:tc>
      </w:tr>
      <w:tr w14:paraId="09659F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18" w:hRule="atLeast"/>
        </w:trPr>
        <w:tc>
          <w:tcPr>
            <w:tcW w:w="564" w:type="dxa"/>
            <w:vMerge w:val="restart"/>
            <w:tcBorders>
              <w:bottom w:val="nil"/>
            </w:tcBorders>
            <w:vAlign w:val="top"/>
          </w:tcPr>
          <w:p w14:paraId="33028586">
            <w:pPr>
              <w:spacing w:line="265" w:lineRule="auto"/>
              <w:rPr>
                <w:rFonts w:ascii="Arial"/>
                <w:sz w:val="21"/>
              </w:rPr>
            </w:pPr>
          </w:p>
          <w:p w14:paraId="3782C22A">
            <w:pPr>
              <w:spacing w:line="265" w:lineRule="auto"/>
              <w:rPr>
                <w:rFonts w:ascii="Arial"/>
                <w:sz w:val="21"/>
              </w:rPr>
            </w:pPr>
          </w:p>
          <w:p w14:paraId="017EDC05">
            <w:pPr>
              <w:spacing w:line="265" w:lineRule="auto"/>
              <w:rPr>
                <w:rFonts w:ascii="Arial"/>
                <w:sz w:val="21"/>
              </w:rPr>
            </w:pPr>
          </w:p>
          <w:p w14:paraId="76D17724">
            <w:pPr>
              <w:spacing w:line="266" w:lineRule="auto"/>
              <w:rPr>
                <w:rFonts w:ascii="Arial"/>
                <w:sz w:val="21"/>
              </w:rPr>
            </w:pPr>
          </w:p>
          <w:p w14:paraId="0247AB07">
            <w:pPr>
              <w:spacing w:line="266" w:lineRule="auto"/>
              <w:rPr>
                <w:rFonts w:ascii="Arial"/>
                <w:sz w:val="21"/>
              </w:rPr>
            </w:pPr>
          </w:p>
          <w:p w14:paraId="7A045E85">
            <w:pPr>
              <w:spacing w:line="266" w:lineRule="auto"/>
              <w:rPr>
                <w:rFonts w:ascii="Arial"/>
                <w:sz w:val="21"/>
              </w:rPr>
            </w:pPr>
          </w:p>
          <w:p w14:paraId="09E949BE">
            <w:pPr>
              <w:pStyle w:val="6"/>
              <w:spacing w:before="56" w:line="230" w:lineRule="auto"/>
              <w:ind w:left="105" w:right="116"/>
            </w:pPr>
            <w:r>
              <w:rPr>
                <w:spacing w:val="-6"/>
              </w:rPr>
              <w:t>实验</w:t>
            </w:r>
            <w:r>
              <w:t xml:space="preserve"> </w:t>
            </w:r>
            <w:r>
              <w:rPr>
                <w:spacing w:val="-4"/>
              </w:rPr>
              <w:t>准备</w:t>
            </w:r>
          </w:p>
        </w:tc>
        <w:tc>
          <w:tcPr>
            <w:tcW w:w="1017" w:type="dxa"/>
            <w:vAlign w:val="top"/>
          </w:tcPr>
          <w:p w14:paraId="1E9C775F">
            <w:pPr>
              <w:spacing w:line="289" w:lineRule="auto"/>
              <w:rPr>
                <w:rFonts w:ascii="Arial"/>
                <w:sz w:val="21"/>
              </w:rPr>
            </w:pPr>
          </w:p>
          <w:p w14:paraId="29D66246">
            <w:pPr>
              <w:spacing w:line="290" w:lineRule="auto"/>
              <w:rPr>
                <w:rFonts w:ascii="Arial"/>
                <w:sz w:val="21"/>
              </w:rPr>
            </w:pPr>
          </w:p>
          <w:p w14:paraId="45E194DD">
            <w:pPr>
              <w:pStyle w:val="6"/>
              <w:spacing w:before="55" w:line="220" w:lineRule="auto"/>
              <w:ind w:left="331"/>
            </w:pPr>
            <w:r>
              <w:rPr>
                <w:spacing w:val="-3"/>
              </w:rPr>
              <w:t>定容</w:t>
            </w:r>
          </w:p>
        </w:tc>
        <w:tc>
          <w:tcPr>
            <w:tcW w:w="349" w:type="dxa"/>
            <w:vAlign w:val="top"/>
          </w:tcPr>
          <w:p w14:paraId="5D728D9F">
            <w:pPr>
              <w:spacing w:line="256" w:lineRule="auto"/>
              <w:rPr>
                <w:rFonts w:ascii="Arial"/>
                <w:sz w:val="21"/>
              </w:rPr>
            </w:pPr>
          </w:p>
          <w:p w14:paraId="2BB9C731">
            <w:pPr>
              <w:spacing w:line="256" w:lineRule="auto"/>
              <w:rPr>
                <w:rFonts w:ascii="Arial"/>
                <w:sz w:val="21"/>
              </w:rPr>
            </w:pPr>
          </w:p>
          <w:p w14:paraId="28E56C9C">
            <w:pPr>
              <w:pStyle w:val="6"/>
              <w:spacing w:before="55" w:line="184" w:lineRule="auto"/>
              <w:ind w:left="83"/>
            </w:pPr>
            <w:r>
              <w:rPr>
                <w:spacing w:val="-5"/>
              </w:rPr>
              <w:t>10</w:t>
            </w:r>
          </w:p>
        </w:tc>
        <w:tc>
          <w:tcPr>
            <w:tcW w:w="2200" w:type="dxa"/>
            <w:vAlign w:val="top"/>
          </w:tcPr>
          <w:p w14:paraId="04544F39">
            <w:pPr>
              <w:pStyle w:val="6"/>
              <w:spacing w:before="226" w:line="229" w:lineRule="auto"/>
              <w:ind w:left="15" w:firstLine="9"/>
              <w:jc w:val="both"/>
            </w:pPr>
            <w:r>
              <w:rPr>
                <w:spacing w:val="-2"/>
              </w:rPr>
              <w:t>定容时要平视刻度线，视线</w:t>
            </w:r>
            <w:r>
              <w:rPr>
                <w:spacing w:val="3"/>
              </w:rPr>
              <w:t xml:space="preserve">  </w:t>
            </w:r>
            <w:r>
              <w:rPr>
                <w:spacing w:val="-3"/>
              </w:rPr>
              <w:t>与溶液凹面最低处相切。完</w:t>
            </w:r>
            <w:r>
              <w:rPr>
                <w:spacing w:val="2"/>
              </w:rPr>
              <w:t xml:space="preserve">   </w:t>
            </w:r>
            <w:r>
              <w:rPr>
                <w:spacing w:val="-2"/>
              </w:rPr>
              <w:t>全正确得10分，不全正确酌</w:t>
            </w:r>
            <w:r>
              <w:t xml:space="preserve">   </w:t>
            </w:r>
            <w:r>
              <w:rPr>
                <w:spacing w:val="-3"/>
              </w:rPr>
              <w:t>情扣3-5分，完全错误得0分。</w:t>
            </w:r>
          </w:p>
        </w:tc>
      </w:tr>
      <w:tr w14:paraId="09B7A9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27" w:hRule="atLeast"/>
        </w:trPr>
        <w:tc>
          <w:tcPr>
            <w:tcW w:w="564" w:type="dxa"/>
            <w:vMerge w:val="continue"/>
            <w:tcBorders>
              <w:top w:val="nil"/>
              <w:bottom w:val="nil"/>
            </w:tcBorders>
            <w:vAlign w:val="top"/>
          </w:tcPr>
          <w:p w14:paraId="75C234D2">
            <w:pPr>
              <w:rPr>
                <w:rFonts w:ascii="Arial"/>
                <w:sz w:val="21"/>
              </w:rPr>
            </w:pPr>
          </w:p>
        </w:tc>
        <w:tc>
          <w:tcPr>
            <w:tcW w:w="1017" w:type="dxa"/>
            <w:vAlign w:val="top"/>
          </w:tcPr>
          <w:p w14:paraId="4B885651">
            <w:pPr>
              <w:spacing w:line="300" w:lineRule="auto"/>
              <w:rPr>
                <w:rFonts w:ascii="Arial"/>
                <w:sz w:val="21"/>
              </w:rPr>
            </w:pPr>
          </w:p>
          <w:p w14:paraId="5B96758B">
            <w:pPr>
              <w:spacing w:line="300" w:lineRule="auto"/>
              <w:rPr>
                <w:rFonts w:ascii="Arial"/>
                <w:sz w:val="21"/>
              </w:rPr>
            </w:pPr>
          </w:p>
          <w:p w14:paraId="303E9B67">
            <w:pPr>
              <w:spacing w:line="301" w:lineRule="auto"/>
              <w:rPr>
                <w:rFonts w:ascii="Arial"/>
                <w:sz w:val="21"/>
              </w:rPr>
            </w:pPr>
          </w:p>
          <w:p w14:paraId="05C2BC28">
            <w:pPr>
              <w:pStyle w:val="6"/>
              <w:spacing w:before="56" w:line="222" w:lineRule="auto"/>
              <w:ind w:left="331"/>
            </w:pPr>
            <w:r>
              <w:rPr>
                <w:spacing w:val="8"/>
              </w:rPr>
              <w:t>摇匀</w:t>
            </w:r>
          </w:p>
        </w:tc>
        <w:tc>
          <w:tcPr>
            <w:tcW w:w="349" w:type="dxa"/>
            <w:vAlign w:val="top"/>
          </w:tcPr>
          <w:p w14:paraId="1558F934">
            <w:pPr>
              <w:spacing w:line="357" w:lineRule="auto"/>
              <w:rPr>
                <w:rFonts w:ascii="Arial"/>
                <w:sz w:val="21"/>
              </w:rPr>
            </w:pPr>
          </w:p>
          <w:p w14:paraId="35F1B911">
            <w:pPr>
              <w:spacing w:line="358" w:lineRule="auto"/>
              <w:rPr>
                <w:rFonts w:ascii="Arial"/>
                <w:sz w:val="21"/>
              </w:rPr>
            </w:pPr>
          </w:p>
          <w:p w14:paraId="56EABE71">
            <w:pPr>
              <w:pStyle w:val="6"/>
              <w:spacing w:before="55" w:line="182" w:lineRule="auto"/>
              <w:ind w:left="124"/>
            </w:pPr>
            <w:r>
              <w:t>7</w:t>
            </w:r>
          </w:p>
        </w:tc>
        <w:tc>
          <w:tcPr>
            <w:tcW w:w="2200" w:type="dxa"/>
            <w:vAlign w:val="top"/>
          </w:tcPr>
          <w:p w14:paraId="794F4792">
            <w:pPr>
              <w:pStyle w:val="6"/>
              <w:spacing w:before="189" w:line="239" w:lineRule="auto"/>
              <w:ind w:left="34" w:hanging="19"/>
            </w:pPr>
            <w:r>
              <w:rPr>
                <w:spacing w:val="-3"/>
              </w:rPr>
              <w:t>把定容好的容量瓶瓶塞塞紧，</w:t>
            </w:r>
            <w:r>
              <w:rPr>
                <w:spacing w:val="2"/>
              </w:rPr>
              <w:t xml:space="preserve"> </w:t>
            </w:r>
            <w:r>
              <w:rPr>
                <w:spacing w:val="-3"/>
              </w:rPr>
              <w:t>用一只手的食指顶住瓶塞，</w:t>
            </w:r>
          </w:p>
          <w:p w14:paraId="6F28D8D5">
            <w:pPr>
              <w:pStyle w:val="6"/>
              <w:spacing w:before="2" w:line="239" w:lineRule="auto"/>
              <w:ind w:left="15" w:firstLine="9"/>
            </w:pPr>
            <w:r>
              <w:rPr>
                <w:spacing w:val="-4"/>
              </w:rPr>
              <w:t>另一只手托住瓶底，反复颠倒</w:t>
            </w:r>
            <w:r>
              <w:rPr>
                <w:spacing w:val="4"/>
              </w:rPr>
              <w:t xml:space="preserve"> </w:t>
            </w:r>
            <w:r>
              <w:rPr>
                <w:spacing w:val="-3"/>
              </w:rPr>
              <w:t>摇匀，不能再加水。完全正确</w:t>
            </w:r>
            <w:r>
              <w:rPr>
                <w:spacing w:val="2"/>
              </w:rPr>
              <w:t xml:space="preserve"> </w:t>
            </w:r>
            <w:r>
              <w:rPr>
                <w:spacing w:val="-2"/>
              </w:rPr>
              <w:t>得7分，不全正确酌情扣2-3</w:t>
            </w:r>
            <w:r>
              <w:rPr>
                <w:spacing w:val="6"/>
              </w:rPr>
              <w:t xml:space="preserve">  </w:t>
            </w:r>
            <w:r>
              <w:rPr>
                <w:spacing w:val="1"/>
              </w:rPr>
              <w:t>分，摇匀后再加水得0分。</w:t>
            </w:r>
          </w:p>
        </w:tc>
      </w:tr>
      <w:tr w14:paraId="6B1DA0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19" w:hRule="atLeast"/>
        </w:trPr>
        <w:tc>
          <w:tcPr>
            <w:tcW w:w="564" w:type="dxa"/>
            <w:vMerge w:val="continue"/>
            <w:tcBorders>
              <w:top w:val="nil"/>
            </w:tcBorders>
            <w:vAlign w:val="top"/>
          </w:tcPr>
          <w:p w14:paraId="2854F24C">
            <w:pPr>
              <w:rPr>
                <w:rFonts w:ascii="Arial"/>
                <w:sz w:val="21"/>
              </w:rPr>
            </w:pPr>
          </w:p>
        </w:tc>
        <w:tc>
          <w:tcPr>
            <w:tcW w:w="1017" w:type="dxa"/>
            <w:vAlign w:val="top"/>
          </w:tcPr>
          <w:p w14:paraId="282BEDDD">
            <w:pPr>
              <w:spacing w:line="276" w:lineRule="auto"/>
              <w:rPr>
                <w:rFonts w:ascii="Arial"/>
                <w:sz w:val="21"/>
              </w:rPr>
            </w:pPr>
          </w:p>
          <w:p w14:paraId="2DE42CB0">
            <w:pPr>
              <w:pStyle w:val="6"/>
              <w:spacing w:before="55" w:line="220" w:lineRule="auto"/>
              <w:ind w:left="331"/>
            </w:pPr>
            <w:r>
              <w:rPr>
                <w:spacing w:val="-2"/>
              </w:rPr>
              <w:t>装瓶</w:t>
            </w:r>
          </w:p>
        </w:tc>
        <w:tc>
          <w:tcPr>
            <w:tcW w:w="349" w:type="dxa"/>
            <w:vAlign w:val="top"/>
          </w:tcPr>
          <w:p w14:paraId="2C414FFE">
            <w:pPr>
              <w:spacing w:line="319" w:lineRule="auto"/>
              <w:rPr>
                <w:rFonts w:ascii="Arial"/>
                <w:sz w:val="21"/>
              </w:rPr>
            </w:pPr>
          </w:p>
          <w:p w14:paraId="27BF2DCF">
            <w:pPr>
              <w:pStyle w:val="6"/>
              <w:spacing w:before="55" w:line="183" w:lineRule="auto"/>
              <w:ind w:left="124"/>
            </w:pPr>
            <w:r>
              <w:t>8</w:t>
            </w:r>
          </w:p>
        </w:tc>
        <w:tc>
          <w:tcPr>
            <w:tcW w:w="2200" w:type="dxa"/>
            <w:vAlign w:val="top"/>
          </w:tcPr>
          <w:p w14:paraId="1C57B1C6">
            <w:pPr>
              <w:pStyle w:val="6"/>
              <w:spacing w:before="112" w:line="233" w:lineRule="auto"/>
              <w:ind w:left="15" w:right="144" w:firstLine="10"/>
              <w:jc w:val="both"/>
            </w:pPr>
            <w:r>
              <w:rPr>
                <w:spacing w:val="-1"/>
              </w:rPr>
              <w:t>完全正确得8分，有液体洒</w:t>
            </w:r>
            <w:r>
              <w:rPr>
                <w:spacing w:val="1"/>
              </w:rPr>
              <w:t xml:space="preserve">  </w:t>
            </w:r>
            <w:r>
              <w:rPr>
                <w:spacing w:val="-1"/>
              </w:rPr>
              <w:t>泼出来扣4分，忘贴标签扣2</w:t>
            </w:r>
            <w:r>
              <w:rPr>
                <w:spacing w:val="2"/>
              </w:rPr>
              <w:t xml:space="preserve"> </w:t>
            </w:r>
            <w:r>
              <w:rPr>
                <w:spacing w:val="-2"/>
              </w:rPr>
              <w:t>分。</w:t>
            </w:r>
          </w:p>
        </w:tc>
      </w:tr>
      <w:tr w14:paraId="5B9FA9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68" w:hRule="atLeast"/>
        </w:trPr>
        <w:tc>
          <w:tcPr>
            <w:tcW w:w="564" w:type="dxa"/>
            <w:vAlign w:val="top"/>
          </w:tcPr>
          <w:p w14:paraId="501E958E">
            <w:pPr>
              <w:pStyle w:val="6"/>
              <w:spacing w:before="51" w:line="219" w:lineRule="auto"/>
              <w:ind w:left="105" w:right="90"/>
              <w:jc w:val="both"/>
            </w:pPr>
            <w:r>
              <w:rPr>
                <w:spacing w:val="-4"/>
              </w:rPr>
              <w:t>整理</w:t>
            </w:r>
            <w:r>
              <w:t xml:space="preserve"> </w:t>
            </w:r>
            <w:r>
              <w:rPr>
                <w:spacing w:val="-4"/>
              </w:rPr>
              <w:t>仪器</w:t>
            </w:r>
            <w:r>
              <w:t xml:space="preserve"> </w:t>
            </w:r>
            <w:r>
              <w:rPr>
                <w:spacing w:val="-4"/>
              </w:rPr>
              <w:t>和实</w:t>
            </w:r>
            <w:r>
              <w:t xml:space="preserve"> </w:t>
            </w:r>
            <w:r>
              <w:rPr>
                <w:spacing w:val="9"/>
              </w:rPr>
              <w:t>验台</w:t>
            </w:r>
          </w:p>
        </w:tc>
        <w:tc>
          <w:tcPr>
            <w:tcW w:w="1017" w:type="dxa"/>
            <w:vAlign w:val="top"/>
          </w:tcPr>
          <w:p w14:paraId="697E99EF">
            <w:pPr>
              <w:spacing w:line="297" w:lineRule="auto"/>
              <w:rPr>
                <w:rFonts w:ascii="Arial"/>
                <w:sz w:val="21"/>
              </w:rPr>
            </w:pPr>
          </w:p>
          <w:p w14:paraId="15BABCA3">
            <w:pPr>
              <w:pStyle w:val="6"/>
              <w:spacing w:before="55" w:line="220" w:lineRule="auto"/>
              <w:ind w:left="71"/>
            </w:pPr>
            <w:r>
              <w:rPr>
                <w:spacing w:val="3"/>
              </w:rPr>
              <w:t>清洁实验台</w:t>
            </w:r>
          </w:p>
        </w:tc>
        <w:tc>
          <w:tcPr>
            <w:tcW w:w="349" w:type="dxa"/>
            <w:vAlign w:val="top"/>
          </w:tcPr>
          <w:p w14:paraId="6668100E">
            <w:pPr>
              <w:spacing w:line="341" w:lineRule="auto"/>
              <w:rPr>
                <w:rFonts w:ascii="Arial"/>
                <w:sz w:val="21"/>
              </w:rPr>
            </w:pPr>
          </w:p>
          <w:p w14:paraId="512A86BA">
            <w:pPr>
              <w:pStyle w:val="6"/>
              <w:spacing w:before="55" w:line="182" w:lineRule="auto"/>
              <w:ind w:left="124"/>
            </w:pPr>
            <w:r>
              <w:t>5</w:t>
            </w:r>
          </w:p>
        </w:tc>
        <w:tc>
          <w:tcPr>
            <w:tcW w:w="2200" w:type="dxa"/>
            <w:vAlign w:val="top"/>
          </w:tcPr>
          <w:p w14:paraId="7D32D7FF">
            <w:pPr>
              <w:pStyle w:val="6"/>
              <w:spacing w:before="142" w:line="233" w:lineRule="auto"/>
              <w:ind w:left="15" w:firstLine="19"/>
              <w:jc w:val="both"/>
            </w:pPr>
            <w:r>
              <w:rPr>
                <w:spacing w:val="-5"/>
              </w:rPr>
              <w:t>整理实验器材，清洁实验台。</w:t>
            </w:r>
            <w:r>
              <w:rPr>
                <w:spacing w:val="9"/>
              </w:rPr>
              <w:t xml:space="preserve"> </w:t>
            </w:r>
            <w:r>
              <w:rPr>
                <w:spacing w:val="-4"/>
              </w:rPr>
              <w:t>正确得5分；整理不干净，清</w:t>
            </w:r>
            <w:r>
              <w:rPr>
                <w:spacing w:val="1"/>
              </w:rPr>
              <w:t xml:space="preserve">  </w:t>
            </w:r>
            <w:r>
              <w:rPr>
                <w:spacing w:val="-3"/>
              </w:rPr>
              <w:t>洁不彻底者酌情扣1-2分。</w:t>
            </w:r>
          </w:p>
        </w:tc>
      </w:tr>
      <w:tr w14:paraId="74255E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09" w:hRule="atLeast"/>
        </w:trPr>
        <w:tc>
          <w:tcPr>
            <w:tcW w:w="564" w:type="dxa"/>
            <w:vAlign w:val="top"/>
          </w:tcPr>
          <w:p w14:paraId="36117AF3">
            <w:pPr>
              <w:pStyle w:val="6"/>
              <w:spacing w:before="225" w:line="230" w:lineRule="auto"/>
              <w:ind w:left="105" w:right="114"/>
            </w:pPr>
            <w:r>
              <w:rPr>
                <w:spacing w:val="-3"/>
              </w:rPr>
              <w:t>操作</w:t>
            </w:r>
            <w:r>
              <w:t xml:space="preserve"> </w:t>
            </w:r>
            <w:r>
              <w:rPr>
                <w:spacing w:val="-3"/>
              </w:rPr>
              <w:t>速度</w:t>
            </w:r>
          </w:p>
        </w:tc>
        <w:tc>
          <w:tcPr>
            <w:tcW w:w="1017" w:type="dxa"/>
            <w:vAlign w:val="top"/>
          </w:tcPr>
          <w:p w14:paraId="6185E1C9">
            <w:pPr>
              <w:pStyle w:val="6"/>
              <w:spacing w:before="235" w:line="219" w:lineRule="auto"/>
              <w:ind w:left="411" w:right="91" w:hanging="340"/>
            </w:pPr>
            <w:r>
              <w:rPr>
                <w:spacing w:val="-2"/>
              </w:rPr>
              <w:t>操作熟练程</w:t>
            </w:r>
            <w:r>
              <w:rPr>
                <w:spacing w:val="3"/>
              </w:rPr>
              <w:t xml:space="preserve"> </w:t>
            </w:r>
            <w:r>
              <w:t>度</w:t>
            </w:r>
          </w:p>
        </w:tc>
        <w:tc>
          <w:tcPr>
            <w:tcW w:w="349" w:type="dxa"/>
            <w:vAlign w:val="top"/>
          </w:tcPr>
          <w:p w14:paraId="41A14CAA">
            <w:pPr>
              <w:spacing w:line="311" w:lineRule="auto"/>
              <w:rPr>
                <w:rFonts w:ascii="Arial"/>
                <w:sz w:val="21"/>
              </w:rPr>
            </w:pPr>
          </w:p>
          <w:p w14:paraId="52DDD083">
            <w:pPr>
              <w:pStyle w:val="6"/>
              <w:spacing w:before="56" w:line="184" w:lineRule="auto"/>
              <w:ind w:left="83"/>
            </w:pPr>
            <w:r>
              <w:rPr>
                <w:spacing w:val="-5"/>
              </w:rPr>
              <w:t>10</w:t>
            </w:r>
          </w:p>
        </w:tc>
        <w:tc>
          <w:tcPr>
            <w:tcW w:w="2200" w:type="dxa"/>
            <w:vAlign w:val="top"/>
          </w:tcPr>
          <w:p w14:paraId="463D4B76">
            <w:pPr>
              <w:pStyle w:val="6"/>
              <w:spacing w:before="124" w:line="234" w:lineRule="auto"/>
              <w:ind w:left="25" w:right="309" w:hanging="10"/>
            </w:pPr>
            <w:r>
              <w:rPr>
                <w:spacing w:val="-1"/>
              </w:rPr>
              <w:t>在20分钟内完成得10分，</w:t>
            </w:r>
            <w:r>
              <w:rPr>
                <w:spacing w:val="7"/>
              </w:rPr>
              <w:t xml:space="preserve"> </w:t>
            </w:r>
            <w:r>
              <w:rPr>
                <w:spacing w:val="-1"/>
              </w:rPr>
              <w:t>每延长1分钟，扣1分，</w:t>
            </w:r>
          </w:p>
          <w:p w14:paraId="55F17CD4">
            <w:pPr>
              <w:pStyle w:val="6"/>
              <w:spacing w:line="219" w:lineRule="auto"/>
              <w:ind w:left="15"/>
            </w:pPr>
            <w:r>
              <w:rPr>
                <w:spacing w:val="-1"/>
              </w:rPr>
              <w:t>直到扣完10分为止。</w:t>
            </w:r>
          </w:p>
        </w:tc>
      </w:tr>
      <w:tr w14:paraId="554E0B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trPr>
        <w:tc>
          <w:tcPr>
            <w:tcW w:w="564" w:type="dxa"/>
            <w:vAlign w:val="top"/>
          </w:tcPr>
          <w:p w14:paraId="12770CA4">
            <w:pPr>
              <w:pStyle w:val="6"/>
              <w:spacing w:before="147" w:line="220" w:lineRule="auto"/>
              <w:ind w:left="105"/>
            </w:pPr>
            <w:r>
              <w:rPr>
                <w:spacing w:val="-3"/>
              </w:rPr>
              <w:t>总分</w:t>
            </w:r>
          </w:p>
        </w:tc>
        <w:tc>
          <w:tcPr>
            <w:tcW w:w="1017" w:type="dxa"/>
            <w:vAlign w:val="top"/>
          </w:tcPr>
          <w:p w14:paraId="36535A63">
            <w:pPr>
              <w:rPr>
                <w:rFonts w:ascii="Arial"/>
                <w:sz w:val="21"/>
              </w:rPr>
            </w:pPr>
          </w:p>
        </w:tc>
        <w:tc>
          <w:tcPr>
            <w:tcW w:w="349" w:type="dxa"/>
            <w:vAlign w:val="top"/>
          </w:tcPr>
          <w:p w14:paraId="4846B9E4">
            <w:pPr>
              <w:pStyle w:val="6"/>
              <w:spacing w:before="190" w:line="184" w:lineRule="auto"/>
              <w:ind w:left="33"/>
            </w:pPr>
            <w:r>
              <w:rPr>
                <w:spacing w:val="-5"/>
              </w:rPr>
              <w:t>100</w:t>
            </w:r>
          </w:p>
        </w:tc>
        <w:tc>
          <w:tcPr>
            <w:tcW w:w="2200" w:type="dxa"/>
            <w:vAlign w:val="top"/>
          </w:tcPr>
          <w:p w14:paraId="79CBA595">
            <w:pPr>
              <w:rPr>
                <w:rFonts w:ascii="Arial"/>
                <w:sz w:val="21"/>
              </w:rPr>
            </w:pPr>
          </w:p>
        </w:tc>
      </w:tr>
    </w:tbl>
    <w:p w14:paraId="0CD3CB01">
      <w:pPr>
        <w:pStyle w:val="2"/>
        <w:spacing w:line="273" w:lineRule="auto"/>
      </w:pPr>
    </w:p>
    <w:p w14:paraId="10D4A9FD">
      <w:pPr>
        <w:spacing w:before="74" w:line="222" w:lineRule="auto"/>
        <w:ind w:left="1168"/>
        <w:rPr>
          <w:rFonts w:ascii="黑体" w:hAnsi="黑体" w:eastAsia="黑体" w:cs="黑体"/>
          <w:sz w:val="23"/>
          <w:szCs w:val="23"/>
        </w:rPr>
      </w:pPr>
      <w:r>
        <w:rPr>
          <w:rFonts w:ascii="黑体" w:hAnsi="黑体" w:eastAsia="黑体" w:cs="黑体"/>
          <w:b/>
          <w:bCs/>
          <w:spacing w:val="-5"/>
          <w:sz w:val="23"/>
          <w:szCs w:val="23"/>
        </w:rPr>
        <w:t>项目三</w:t>
      </w:r>
      <w:r>
        <w:rPr>
          <w:rFonts w:ascii="黑体" w:hAnsi="黑体" w:eastAsia="黑体" w:cs="黑体"/>
          <w:spacing w:val="105"/>
          <w:sz w:val="23"/>
          <w:szCs w:val="23"/>
        </w:rPr>
        <w:t xml:space="preserve"> </w:t>
      </w:r>
      <w:r>
        <w:rPr>
          <w:rFonts w:ascii="黑体" w:hAnsi="黑体" w:eastAsia="黑体" w:cs="黑体"/>
          <w:b/>
          <w:bCs/>
          <w:spacing w:val="-5"/>
          <w:sz w:val="23"/>
          <w:szCs w:val="23"/>
        </w:rPr>
        <w:t>识别昆虫</w:t>
      </w:r>
    </w:p>
    <w:p w14:paraId="08216352">
      <w:pPr>
        <w:pStyle w:val="2"/>
        <w:spacing w:line="286" w:lineRule="auto"/>
      </w:pPr>
    </w:p>
    <w:p w14:paraId="2826D070">
      <w:pPr>
        <w:spacing w:before="75" w:line="219" w:lineRule="auto"/>
        <w:ind w:left="8"/>
        <w:rPr>
          <w:rFonts w:ascii="宋体" w:hAnsi="宋体" w:eastAsia="宋体" w:cs="宋体"/>
          <w:sz w:val="23"/>
          <w:szCs w:val="23"/>
        </w:rPr>
      </w:pPr>
      <w:r>
        <w:rPr>
          <w:rFonts w:ascii="宋体" w:hAnsi="宋体" w:eastAsia="宋体" w:cs="宋体"/>
          <w:b/>
          <w:bCs/>
          <w:spacing w:val="-6"/>
          <w:sz w:val="23"/>
          <w:szCs w:val="23"/>
        </w:rPr>
        <w:t>一、测试用具或材料</w:t>
      </w:r>
    </w:p>
    <w:p w14:paraId="019F5BA4">
      <w:pPr>
        <w:spacing w:before="100" w:line="310" w:lineRule="auto"/>
        <w:ind w:left="4" w:right="284" w:firstLine="359"/>
        <w:jc w:val="both"/>
        <w:rPr>
          <w:rFonts w:ascii="宋体" w:hAnsi="宋体" w:eastAsia="宋体" w:cs="宋体"/>
          <w:sz w:val="17"/>
          <w:szCs w:val="17"/>
        </w:rPr>
      </w:pPr>
      <w:r>
        <w:rPr>
          <w:rFonts w:ascii="宋体" w:hAnsi="宋体" w:eastAsia="宋体" w:cs="宋体"/>
          <w:spacing w:val="-17"/>
          <w:sz w:val="17"/>
          <w:szCs w:val="17"/>
        </w:rPr>
        <w:t>蚜虫、盲蝽象、粘虫、稻飞虱、稻叶蝉、玉米螟、天牛、</w:t>
      </w:r>
      <w:r>
        <w:rPr>
          <w:rFonts w:ascii="宋体" w:hAnsi="宋体" w:eastAsia="宋体" w:cs="宋体"/>
          <w:spacing w:val="9"/>
          <w:sz w:val="17"/>
          <w:szCs w:val="17"/>
        </w:rPr>
        <w:t xml:space="preserve"> </w:t>
      </w:r>
      <w:r>
        <w:rPr>
          <w:rFonts w:ascii="宋体" w:hAnsi="宋体" w:eastAsia="宋体" w:cs="宋体"/>
          <w:spacing w:val="-2"/>
          <w:sz w:val="17"/>
          <w:szCs w:val="17"/>
        </w:rPr>
        <w:t>稻纵卷叶螟、稻苞虫、蝼蛄、地老虎、金龟</w:t>
      </w:r>
      <w:r>
        <w:rPr>
          <w:rFonts w:ascii="宋体" w:hAnsi="宋体" w:eastAsia="宋体" w:cs="宋体"/>
          <w:spacing w:val="-3"/>
          <w:sz w:val="17"/>
          <w:szCs w:val="17"/>
        </w:rPr>
        <w:t>子、金针虫、</w:t>
      </w:r>
      <w:r>
        <w:rPr>
          <w:rFonts w:ascii="宋体" w:hAnsi="宋体" w:eastAsia="宋体" w:cs="宋体"/>
          <w:sz w:val="17"/>
          <w:szCs w:val="17"/>
        </w:rPr>
        <w:t xml:space="preserve"> </w:t>
      </w:r>
      <w:r>
        <w:rPr>
          <w:rFonts w:ascii="宋体" w:hAnsi="宋体" w:eastAsia="宋体" w:cs="宋体"/>
          <w:spacing w:val="1"/>
          <w:sz w:val="17"/>
          <w:szCs w:val="17"/>
        </w:rPr>
        <w:t>棉红铃虫、菜粉蝶、大豆食心虫、蓟马、红蜘蛛、潜叶</w:t>
      </w:r>
      <w:r>
        <w:rPr>
          <w:rFonts w:ascii="宋体" w:hAnsi="宋体" w:eastAsia="宋体" w:cs="宋体"/>
          <w:spacing w:val="6"/>
          <w:sz w:val="17"/>
          <w:szCs w:val="17"/>
        </w:rPr>
        <w:t xml:space="preserve">  </w:t>
      </w:r>
      <w:r>
        <w:rPr>
          <w:rFonts w:ascii="宋体" w:hAnsi="宋体" w:eastAsia="宋体" w:cs="宋体"/>
          <w:spacing w:val="-2"/>
          <w:sz w:val="17"/>
          <w:szCs w:val="17"/>
        </w:rPr>
        <w:t>蝇、水稻三化螟、七星瓢虫、草蛉；蝗虫、</w:t>
      </w:r>
      <w:r>
        <w:rPr>
          <w:rFonts w:ascii="宋体" w:hAnsi="宋体" w:eastAsia="宋体" w:cs="宋体"/>
          <w:spacing w:val="-3"/>
          <w:sz w:val="17"/>
          <w:szCs w:val="17"/>
        </w:rPr>
        <w:t>桃小食心虫、</w:t>
      </w:r>
      <w:r>
        <w:rPr>
          <w:rFonts w:ascii="宋体" w:hAnsi="宋体" w:eastAsia="宋体" w:cs="宋体"/>
          <w:sz w:val="17"/>
          <w:szCs w:val="17"/>
        </w:rPr>
        <w:t xml:space="preserve"> </w:t>
      </w:r>
      <w:r>
        <w:rPr>
          <w:rFonts w:ascii="宋体" w:hAnsi="宋体" w:eastAsia="宋体" w:cs="宋体"/>
          <w:spacing w:val="1"/>
          <w:sz w:val="17"/>
          <w:szCs w:val="17"/>
        </w:rPr>
        <w:t>蚧壳虫、梨木虱、潜叶蛾、茶尺蠖、美国白蛾、松毛虫</w:t>
      </w:r>
      <w:r>
        <w:rPr>
          <w:rFonts w:ascii="宋体" w:hAnsi="宋体" w:eastAsia="宋体" w:cs="宋体"/>
          <w:spacing w:val="7"/>
          <w:sz w:val="17"/>
          <w:szCs w:val="17"/>
        </w:rPr>
        <w:t xml:space="preserve">  </w:t>
      </w:r>
      <w:r>
        <w:rPr>
          <w:rFonts w:ascii="宋体" w:hAnsi="宋体" w:eastAsia="宋体" w:cs="宋体"/>
          <w:spacing w:val="5"/>
          <w:sz w:val="17"/>
          <w:szCs w:val="17"/>
        </w:rPr>
        <w:t>等30种昆虫标本或图片。</w:t>
      </w:r>
    </w:p>
    <w:p w14:paraId="27AAF572">
      <w:pPr>
        <w:spacing w:before="16" w:line="221" w:lineRule="auto"/>
        <w:ind w:left="8"/>
        <w:rPr>
          <w:rFonts w:ascii="宋体" w:hAnsi="宋体" w:eastAsia="宋体" w:cs="宋体"/>
          <w:sz w:val="23"/>
          <w:szCs w:val="23"/>
        </w:rPr>
      </w:pPr>
      <w:r>
        <w:rPr>
          <w:rFonts w:ascii="宋体" w:hAnsi="宋体" w:eastAsia="宋体" w:cs="宋体"/>
          <w:b/>
          <w:bCs/>
          <w:spacing w:val="-7"/>
          <w:sz w:val="23"/>
          <w:szCs w:val="23"/>
        </w:rPr>
        <w:t>二、技能要求</w:t>
      </w:r>
    </w:p>
    <w:p w14:paraId="598ECB4A">
      <w:pPr>
        <w:spacing w:before="95" w:line="291" w:lineRule="auto"/>
        <w:ind w:left="4" w:right="361" w:firstLine="359"/>
        <w:rPr>
          <w:rFonts w:ascii="宋体" w:hAnsi="宋体" w:eastAsia="宋体" w:cs="宋体"/>
          <w:sz w:val="17"/>
          <w:szCs w:val="17"/>
        </w:rPr>
      </w:pPr>
      <w:r>
        <w:rPr>
          <w:rFonts w:ascii="宋体" w:hAnsi="宋体" w:eastAsia="宋体" w:cs="宋体"/>
          <w:sz w:val="17"/>
          <w:szCs w:val="17"/>
        </w:rPr>
        <w:t>根据所提供的昆虫标本或图片，能正确识别出常见</w:t>
      </w:r>
      <w:r>
        <w:rPr>
          <w:rFonts w:ascii="宋体" w:hAnsi="宋体" w:eastAsia="宋体" w:cs="宋体"/>
          <w:spacing w:val="17"/>
          <w:sz w:val="17"/>
          <w:szCs w:val="17"/>
        </w:rPr>
        <w:t xml:space="preserve"> </w:t>
      </w:r>
      <w:r>
        <w:rPr>
          <w:rFonts w:ascii="宋体" w:hAnsi="宋体" w:eastAsia="宋体" w:cs="宋体"/>
          <w:spacing w:val="-3"/>
          <w:sz w:val="17"/>
          <w:szCs w:val="17"/>
        </w:rPr>
        <w:t>农业害虫或林业害虫。</w:t>
      </w:r>
    </w:p>
    <w:p w14:paraId="601022FC">
      <w:pPr>
        <w:spacing w:before="43" w:line="219" w:lineRule="auto"/>
        <w:ind w:left="8"/>
        <w:rPr>
          <w:rFonts w:ascii="宋体" w:hAnsi="宋体" w:eastAsia="宋体" w:cs="宋体"/>
          <w:sz w:val="23"/>
          <w:szCs w:val="23"/>
        </w:rPr>
      </w:pPr>
      <w:r>
        <w:rPr>
          <w:rFonts w:ascii="宋体" w:hAnsi="宋体" w:eastAsia="宋体" w:cs="宋体"/>
          <w:b/>
          <w:bCs/>
          <w:spacing w:val="-4"/>
          <w:sz w:val="23"/>
          <w:szCs w:val="23"/>
        </w:rPr>
        <w:t>三、分值与测试时间</w:t>
      </w:r>
    </w:p>
    <w:p w14:paraId="337D2294">
      <w:pPr>
        <w:spacing w:before="88" w:line="219" w:lineRule="auto"/>
        <w:ind w:left="364"/>
        <w:rPr>
          <w:rFonts w:ascii="宋体" w:hAnsi="宋体" w:eastAsia="宋体" w:cs="宋体"/>
          <w:sz w:val="17"/>
          <w:szCs w:val="17"/>
        </w:rPr>
      </w:pPr>
      <w:r>
        <w:rPr>
          <w:rFonts w:ascii="宋体" w:hAnsi="宋体" w:eastAsia="宋体" w:cs="宋体"/>
          <w:spacing w:val="8"/>
          <w:sz w:val="17"/>
          <w:szCs w:val="17"/>
        </w:rPr>
        <w:t>分值为100分；测试时间为30分钟。</w:t>
      </w:r>
    </w:p>
    <w:p w14:paraId="7C89C5F7">
      <w:pPr>
        <w:spacing w:before="78" w:line="219" w:lineRule="auto"/>
        <w:ind w:left="8"/>
        <w:rPr>
          <w:rFonts w:ascii="宋体" w:hAnsi="宋体" w:eastAsia="宋体" w:cs="宋体"/>
          <w:sz w:val="23"/>
          <w:szCs w:val="23"/>
        </w:rPr>
      </w:pPr>
      <w:r>
        <w:rPr>
          <w:rFonts w:ascii="宋体" w:hAnsi="宋体" w:eastAsia="宋体" w:cs="宋体"/>
          <w:b/>
          <w:bCs/>
          <w:spacing w:val="-11"/>
          <w:sz w:val="23"/>
          <w:szCs w:val="23"/>
        </w:rPr>
        <w:t>四、操作步骤</w:t>
      </w:r>
    </w:p>
    <w:p w14:paraId="762AB0EE">
      <w:pPr>
        <w:spacing w:before="96" w:line="219" w:lineRule="auto"/>
        <w:ind w:left="364"/>
        <w:rPr>
          <w:rFonts w:ascii="宋体" w:hAnsi="宋体" w:eastAsia="宋体" w:cs="宋体"/>
          <w:sz w:val="17"/>
          <w:szCs w:val="17"/>
        </w:rPr>
      </w:pPr>
      <w:r>
        <w:rPr>
          <w:rFonts w:ascii="宋体" w:hAnsi="宋体" w:eastAsia="宋体" w:cs="宋体"/>
          <w:sz w:val="17"/>
          <w:szCs w:val="17"/>
        </w:rPr>
        <w:t>1、将供考试识别的30种昆虫标本或图片依次编号。</w:t>
      </w:r>
    </w:p>
    <w:p w14:paraId="69952FB9">
      <w:pPr>
        <w:spacing w:before="89" w:line="267" w:lineRule="auto"/>
        <w:ind w:left="4" w:right="355" w:firstLine="359"/>
        <w:rPr>
          <w:rFonts w:ascii="宋体" w:hAnsi="宋体" w:eastAsia="宋体" w:cs="宋体"/>
          <w:sz w:val="17"/>
          <w:szCs w:val="17"/>
        </w:rPr>
      </w:pPr>
      <w:r>
        <w:rPr>
          <w:rFonts w:ascii="宋体" w:hAnsi="宋体" w:eastAsia="宋体" w:cs="宋体"/>
          <w:spacing w:val="4"/>
          <w:sz w:val="17"/>
          <w:szCs w:val="17"/>
        </w:rPr>
        <w:t>2、从已编号的昆虫标本或图片中随机抽取20种组</w:t>
      </w:r>
      <w:r>
        <w:rPr>
          <w:rFonts w:ascii="宋体" w:hAnsi="宋体" w:eastAsia="宋体" w:cs="宋体"/>
          <w:spacing w:val="8"/>
          <w:sz w:val="17"/>
          <w:szCs w:val="17"/>
        </w:rPr>
        <w:t xml:space="preserve"> </w:t>
      </w:r>
      <w:r>
        <w:rPr>
          <w:rFonts w:ascii="宋体" w:hAnsi="宋体" w:eastAsia="宋体" w:cs="宋体"/>
          <w:spacing w:val="2"/>
          <w:sz w:val="17"/>
          <w:szCs w:val="17"/>
        </w:rPr>
        <w:t>成一组考试题，抽取时要考虑到不同类别昆</w:t>
      </w:r>
      <w:r>
        <w:rPr>
          <w:rFonts w:ascii="宋体" w:hAnsi="宋体" w:eastAsia="宋体" w:cs="宋体"/>
          <w:spacing w:val="1"/>
          <w:sz w:val="17"/>
          <w:szCs w:val="17"/>
        </w:rPr>
        <w:t>虫标本或图</w:t>
      </w:r>
    </w:p>
    <w:p w14:paraId="70C31AEA">
      <w:pPr>
        <w:pStyle w:val="2"/>
        <w:spacing w:line="14" w:lineRule="auto"/>
        <w:rPr>
          <w:sz w:val="2"/>
        </w:rPr>
      </w:pPr>
      <w:r>
        <w:rPr>
          <w:sz w:val="2"/>
          <w:szCs w:val="2"/>
        </w:rPr>
        <w:br w:type="column"/>
      </w:r>
    </w:p>
    <w:p w14:paraId="19D541B3">
      <w:pPr>
        <w:spacing w:before="1" w:line="220" w:lineRule="auto"/>
        <w:rPr>
          <w:rFonts w:ascii="宋体" w:hAnsi="宋体" w:eastAsia="宋体" w:cs="宋体"/>
          <w:sz w:val="17"/>
          <w:szCs w:val="17"/>
        </w:rPr>
      </w:pPr>
      <w:r>
        <w:rPr>
          <w:rFonts w:ascii="宋体" w:hAnsi="宋体" w:eastAsia="宋体" w:cs="宋体"/>
          <w:spacing w:val="-1"/>
          <w:sz w:val="17"/>
          <w:szCs w:val="17"/>
        </w:rPr>
        <w:t>片的搭配。</w:t>
      </w:r>
    </w:p>
    <w:p w14:paraId="64D7EDD4">
      <w:pPr>
        <w:spacing w:before="86" w:line="305" w:lineRule="auto"/>
        <w:ind w:right="74" w:firstLine="359"/>
        <w:rPr>
          <w:rFonts w:ascii="宋体" w:hAnsi="宋体" w:eastAsia="宋体" w:cs="宋体"/>
          <w:sz w:val="17"/>
          <w:szCs w:val="17"/>
        </w:rPr>
      </w:pPr>
      <w:r>
        <w:rPr>
          <w:rFonts w:ascii="宋体" w:hAnsi="宋体" w:eastAsia="宋体" w:cs="宋体"/>
          <w:spacing w:val="13"/>
          <w:sz w:val="17"/>
          <w:szCs w:val="17"/>
        </w:rPr>
        <w:t>3、考生写出每组考试题中与编号相对应的昆虫</w:t>
      </w:r>
      <w:r>
        <w:rPr>
          <w:rFonts w:ascii="宋体" w:hAnsi="宋体" w:eastAsia="宋体" w:cs="宋体"/>
          <w:spacing w:val="11"/>
          <w:sz w:val="17"/>
          <w:szCs w:val="17"/>
        </w:rPr>
        <w:t xml:space="preserve"> </w:t>
      </w:r>
      <w:r>
        <w:rPr>
          <w:rFonts w:ascii="宋体" w:hAnsi="宋体" w:eastAsia="宋体" w:cs="宋体"/>
          <w:spacing w:val="1"/>
          <w:sz w:val="17"/>
          <w:szCs w:val="17"/>
        </w:rPr>
        <w:t>名称。</w:t>
      </w:r>
    </w:p>
    <w:p w14:paraId="1308D1C6">
      <w:pPr>
        <w:spacing w:before="18" w:line="220" w:lineRule="auto"/>
        <w:ind w:left="3"/>
        <w:rPr>
          <w:rFonts w:ascii="宋体" w:hAnsi="宋体" w:eastAsia="宋体" w:cs="宋体"/>
          <w:sz w:val="23"/>
          <w:szCs w:val="23"/>
        </w:rPr>
      </w:pPr>
      <w:r>
        <w:rPr>
          <w:rFonts w:ascii="宋体" w:hAnsi="宋体" w:eastAsia="宋体" w:cs="宋体"/>
          <w:b/>
          <w:bCs/>
          <w:spacing w:val="-9"/>
          <w:sz w:val="23"/>
          <w:szCs w:val="23"/>
        </w:rPr>
        <w:t>五、评分标准</w:t>
      </w:r>
    </w:p>
    <w:p w14:paraId="3B12E3B0">
      <w:pPr>
        <w:spacing w:before="85" w:line="314" w:lineRule="auto"/>
        <w:ind w:right="72" w:firstLine="359"/>
        <w:rPr>
          <w:rFonts w:ascii="宋体" w:hAnsi="宋体" w:eastAsia="宋体" w:cs="宋体"/>
          <w:sz w:val="17"/>
          <w:szCs w:val="17"/>
        </w:rPr>
      </w:pPr>
      <w:r>
        <w:rPr>
          <w:rFonts w:ascii="宋体" w:hAnsi="宋体" w:eastAsia="宋体" w:cs="宋体"/>
          <w:spacing w:val="16"/>
          <w:sz w:val="17"/>
          <w:szCs w:val="17"/>
        </w:rPr>
        <w:t>写对昆虫名称等于20种的得100分；每写错1种</w:t>
      </w:r>
      <w:r>
        <w:rPr>
          <w:rFonts w:ascii="宋体" w:hAnsi="宋体" w:eastAsia="宋体" w:cs="宋体"/>
          <w:spacing w:val="3"/>
          <w:sz w:val="17"/>
          <w:szCs w:val="17"/>
        </w:rPr>
        <w:t xml:space="preserve"> </w:t>
      </w:r>
      <w:r>
        <w:rPr>
          <w:rFonts w:ascii="宋体" w:hAnsi="宋体" w:eastAsia="宋体" w:cs="宋体"/>
          <w:spacing w:val="14"/>
          <w:sz w:val="17"/>
          <w:szCs w:val="17"/>
        </w:rPr>
        <w:t>扣5分，直至0分为止。</w:t>
      </w:r>
    </w:p>
    <w:p w14:paraId="7FB3B191">
      <w:pPr>
        <w:spacing w:before="289" w:line="221" w:lineRule="auto"/>
        <w:ind w:left="943"/>
        <w:rPr>
          <w:rFonts w:ascii="黑体" w:hAnsi="黑体" w:eastAsia="黑体" w:cs="黑体"/>
          <w:sz w:val="23"/>
          <w:szCs w:val="23"/>
        </w:rPr>
      </w:pPr>
      <w:r>
        <w:rPr>
          <w:rFonts w:ascii="黑体" w:hAnsi="黑体" w:eastAsia="黑体" w:cs="黑体"/>
          <w:b/>
          <w:bCs/>
          <w:spacing w:val="-5"/>
          <w:sz w:val="23"/>
          <w:szCs w:val="23"/>
        </w:rPr>
        <w:t>项目四</w:t>
      </w:r>
      <w:r>
        <w:rPr>
          <w:rFonts w:ascii="黑体" w:hAnsi="黑体" w:eastAsia="黑体" w:cs="黑体"/>
          <w:spacing w:val="99"/>
          <w:sz w:val="23"/>
          <w:szCs w:val="23"/>
        </w:rPr>
        <w:t xml:space="preserve"> </w:t>
      </w:r>
      <w:r>
        <w:rPr>
          <w:rFonts w:ascii="黑体" w:hAnsi="黑体" w:eastAsia="黑体" w:cs="黑体"/>
          <w:b/>
          <w:bCs/>
          <w:spacing w:val="-5"/>
          <w:sz w:val="23"/>
          <w:szCs w:val="23"/>
        </w:rPr>
        <w:t>识别病害症状</w:t>
      </w:r>
    </w:p>
    <w:p w14:paraId="51BBFEEA">
      <w:pPr>
        <w:spacing w:before="305" w:line="219" w:lineRule="auto"/>
        <w:ind w:left="3"/>
        <w:rPr>
          <w:rFonts w:ascii="宋体" w:hAnsi="宋体" w:eastAsia="宋体" w:cs="宋体"/>
          <w:sz w:val="23"/>
          <w:szCs w:val="23"/>
        </w:rPr>
      </w:pPr>
      <w:r>
        <w:rPr>
          <w:rFonts w:ascii="宋体" w:hAnsi="宋体" w:eastAsia="宋体" w:cs="宋体"/>
          <w:b/>
          <w:bCs/>
          <w:spacing w:val="-5"/>
          <w:sz w:val="23"/>
          <w:szCs w:val="23"/>
        </w:rPr>
        <w:t>一、测试用具或材料</w:t>
      </w:r>
    </w:p>
    <w:p w14:paraId="2A5117A4">
      <w:pPr>
        <w:spacing w:before="98" w:line="219" w:lineRule="auto"/>
        <w:ind w:left="359"/>
        <w:rPr>
          <w:rFonts w:ascii="宋体" w:hAnsi="宋体" w:eastAsia="宋体" w:cs="宋体"/>
          <w:sz w:val="17"/>
          <w:szCs w:val="17"/>
        </w:rPr>
      </w:pPr>
      <w:r>
        <w:rPr>
          <w:rFonts w:ascii="宋体" w:hAnsi="宋体" w:eastAsia="宋体" w:cs="宋体"/>
          <w:spacing w:val="13"/>
          <w:sz w:val="17"/>
          <w:szCs w:val="17"/>
        </w:rPr>
        <w:t>主要作物病害标本或图片(共25种):</w:t>
      </w:r>
    </w:p>
    <w:p w14:paraId="64886ABE">
      <w:pPr>
        <w:spacing w:before="80" w:line="267" w:lineRule="auto"/>
        <w:ind w:right="63" w:firstLine="359"/>
        <w:rPr>
          <w:rFonts w:ascii="宋体" w:hAnsi="宋体" w:eastAsia="宋体" w:cs="宋体"/>
          <w:sz w:val="17"/>
          <w:szCs w:val="17"/>
        </w:rPr>
      </w:pPr>
      <w:r>
        <w:rPr>
          <w:rFonts w:ascii="宋体" w:hAnsi="宋体" w:eastAsia="宋体" w:cs="宋体"/>
          <w:spacing w:val="5"/>
          <w:sz w:val="17"/>
          <w:szCs w:val="17"/>
        </w:rPr>
        <w:t>1、水稻：稻瘟病、纹枯病、稻曲病、恶苗病、白</w:t>
      </w:r>
      <w:r>
        <w:rPr>
          <w:rFonts w:ascii="宋体" w:hAnsi="宋体" w:eastAsia="宋体" w:cs="宋体"/>
          <w:spacing w:val="15"/>
          <w:sz w:val="17"/>
          <w:szCs w:val="17"/>
        </w:rPr>
        <w:t xml:space="preserve"> </w:t>
      </w:r>
      <w:r>
        <w:rPr>
          <w:rFonts w:ascii="宋体" w:hAnsi="宋体" w:eastAsia="宋体" w:cs="宋体"/>
          <w:spacing w:val="-1"/>
          <w:sz w:val="17"/>
          <w:szCs w:val="17"/>
        </w:rPr>
        <w:t>叶枯病、细菌性条斑病、立枯病、条纹叶枯病。</w:t>
      </w:r>
    </w:p>
    <w:p w14:paraId="2294A3B7">
      <w:pPr>
        <w:spacing w:before="87" w:line="273" w:lineRule="auto"/>
        <w:ind w:firstLine="359"/>
        <w:rPr>
          <w:rFonts w:ascii="宋体" w:hAnsi="宋体" w:eastAsia="宋体" w:cs="宋体"/>
          <w:sz w:val="17"/>
          <w:szCs w:val="17"/>
        </w:rPr>
      </w:pPr>
      <w:r>
        <w:rPr>
          <w:rFonts w:ascii="宋体" w:hAnsi="宋体" w:eastAsia="宋体" w:cs="宋体"/>
          <w:spacing w:val="-13"/>
          <w:sz w:val="17"/>
          <w:szCs w:val="17"/>
        </w:rPr>
        <w:t>2、小麦：白粉病、条锈病、叶锈病、秆锈病、纹枯病、</w:t>
      </w:r>
      <w:r>
        <w:rPr>
          <w:rFonts w:ascii="宋体" w:hAnsi="宋体" w:eastAsia="宋体" w:cs="宋体"/>
          <w:spacing w:val="4"/>
          <w:sz w:val="17"/>
          <w:szCs w:val="17"/>
        </w:rPr>
        <w:t xml:space="preserve"> </w:t>
      </w:r>
      <w:r>
        <w:rPr>
          <w:rFonts w:ascii="宋体" w:hAnsi="宋体" w:eastAsia="宋体" w:cs="宋体"/>
          <w:spacing w:val="-1"/>
          <w:sz w:val="17"/>
          <w:szCs w:val="17"/>
        </w:rPr>
        <w:t>赤霉病、全蚀病、黑穗病。</w:t>
      </w:r>
    </w:p>
    <w:p w14:paraId="1740F704">
      <w:pPr>
        <w:spacing w:before="77" w:line="219" w:lineRule="auto"/>
        <w:ind w:left="359"/>
        <w:rPr>
          <w:rFonts w:ascii="宋体" w:hAnsi="宋体" w:eastAsia="宋体" w:cs="宋体"/>
          <w:sz w:val="17"/>
          <w:szCs w:val="17"/>
        </w:rPr>
      </w:pPr>
      <w:r>
        <w:rPr>
          <w:rFonts w:ascii="宋体" w:hAnsi="宋体" w:eastAsia="宋体" w:cs="宋体"/>
          <w:spacing w:val="-1"/>
          <w:sz w:val="17"/>
          <w:szCs w:val="17"/>
        </w:rPr>
        <w:t>3、玉米：大斑病、小斑病、丝黑穗病、粗缩病。</w:t>
      </w:r>
    </w:p>
    <w:p w14:paraId="0EA100FD">
      <w:pPr>
        <w:spacing w:before="100" w:line="219" w:lineRule="auto"/>
        <w:ind w:left="359"/>
        <w:rPr>
          <w:rFonts w:ascii="宋体" w:hAnsi="宋体" w:eastAsia="宋体" w:cs="宋体"/>
          <w:sz w:val="17"/>
          <w:szCs w:val="17"/>
        </w:rPr>
      </w:pPr>
      <w:r>
        <w:rPr>
          <w:rFonts w:ascii="宋体" w:hAnsi="宋体" w:eastAsia="宋体" w:cs="宋体"/>
          <w:sz w:val="17"/>
          <w:szCs w:val="17"/>
        </w:rPr>
        <w:t>4、棉花枯萎病、棉花黄萎病。</w:t>
      </w:r>
    </w:p>
    <w:p w14:paraId="657C4A02">
      <w:pPr>
        <w:spacing w:before="88" w:line="219" w:lineRule="auto"/>
        <w:ind w:left="359"/>
        <w:rPr>
          <w:rFonts w:ascii="宋体" w:hAnsi="宋体" w:eastAsia="宋体" w:cs="宋体"/>
          <w:sz w:val="17"/>
          <w:szCs w:val="17"/>
        </w:rPr>
      </w:pPr>
      <w:r>
        <w:rPr>
          <w:rFonts w:ascii="宋体" w:hAnsi="宋体" w:eastAsia="宋体" w:cs="宋体"/>
          <w:sz w:val="17"/>
          <w:szCs w:val="17"/>
        </w:rPr>
        <w:t>5、白菜软腐病、白菜霜霉病、油菜菌核病。</w:t>
      </w:r>
    </w:p>
    <w:p w14:paraId="03E06B53">
      <w:pPr>
        <w:spacing w:before="79" w:line="221" w:lineRule="auto"/>
        <w:ind w:left="3"/>
        <w:rPr>
          <w:rFonts w:ascii="宋体" w:hAnsi="宋体" w:eastAsia="宋体" w:cs="宋体"/>
          <w:sz w:val="23"/>
          <w:szCs w:val="23"/>
        </w:rPr>
      </w:pPr>
      <w:r>
        <w:rPr>
          <w:rFonts w:ascii="宋体" w:hAnsi="宋体" w:eastAsia="宋体" w:cs="宋体"/>
          <w:b/>
          <w:bCs/>
          <w:spacing w:val="-7"/>
          <w:sz w:val="23"/>
          <w:szCs w:val="23"/>
        </w:rPr>
        <w:t>二、技能要求</w:t>
      </w:r>
    </w:p>
    <w:p w14:paraId="461B34A8">
      <w:pPr>
        <w:spacing w:before="93" w:line="219" w:lineRule="auto"/>
        <w:jc w:val="right"/>
        <w:rPr>
          <w:rFonts w:ascii="宋体" w:hAnsi="宋体" w:eastAsia="宋体" w:cs="宋体"/>
          <w:sz w:val="17"/>
          <w:szCs w:val="17"/>
        </w:rPr>
      </w:pPr>
      <w:r>
        <w:rPr>
          <w:rFonts w:ascii="宋体" w:hAnsi="宋体" w:eastAsia="宋体" w:cs="宋体"/>
          <w:spacing w:val="-3"/>
          <w:sz w:val="17"/>
          <w:szCs w:val="17"/>
        </w:rPr>
        <w:t>根据所提供病害标本或图片，正确识别出病害名称。</w:t>
      </w:r>
    </w:p>
    <w:p w14:paraId="742B6125">
      <w:pPr>
        <w:spacing w:before="79" w:line="219" w:lineRule="auto"/>
        <w:ind w:left="3"/>
        <w:rPr>
          <w:rFonts w:ascii="宋体" w:hAnsi="宋体" w:eastAsia="宋体" w:cs="宋体"/>
          <w:sz w:val="23"/>
          <w:szCs w:val="23"/>
        </w:rPr>
      </w:pPr>
      <w:r>
        <w:rPr>
          <w:rFonts w:ascii="宋体" w:hAnsi="宋体" w:eastAsia="宋体" w:cs="宋体"/>
          <w:b/>
          <w:bCs/>
          <w:spacing w:val="-8"/>
          <w:sz w:val="23"/>
          <w:szCs w:val="23"/>
        </w:rPr>
        <w:t>三、分值与测试时间</w:t>
      </w:r>
    </w:p>
    <w:p w14:paraId="028AB641">
      <w:pPr>
        <w:spacing w:before="98" w:line="219" w:lineRule="auto"/>
        <w:ind w:left="359"/>
        <w:rPr>
          <w:rFonts w:ascii="宋体" w:hAnsi="宋体" w:eastAsia="宋体" w:cs="宋体"/>
          <w:sz w:val="17"/>
          <w:szCs w:val="17"/>
        </w:rPr>
      </w:pPr>
      <w:r>
        <w:rPr>
          <w:rFonts w:ascii="宋体" w:hAnsi="宋体" w:eastAsia="宋体" w:cs="宋体"/>
          <w:spacing w:val="8"/>
          <w:sz w:val="17"/>
          <w:szCs w:val="17"/>
        </w:rPr>
        <w:t>分值为100分；测试时间为30分钟。</w:t>
      </w:r>
    </w:p>
    <w:p w14:paraId="7007FE66">
      <w:pPr>
        <w:spacing w:before="77" w:line="219" w:lineRule="auto"/>
        <w:ind w:left="3"/>
        <w:rPr>
          <w:rFonts w:ascii="宋体" w:hAnsi="宋体" w:eastAsia="宋体" w:cs="宋体"/>
          <w:sz w:val="23"/>
          <w:szCs w:val="23"/>
        </w:rPr>
      </w:pPr>
      <w:r>
        <w:rPr>
          <w:rFonts w:ascii="宋体" w:hAnsi="宋体" w:eastAsia="宋体" w:cs="宋体"/>
          <w:b/>
          <w:bCs/>
          <w:spacing w:val="-11"/>
          <w:sz w:val="23"/>
          <w:szCs w:val="23"/>
        </w:rPr>
        <w:t>四、操作步骤</w:t>
      </w:r>
    </w:p>
    <w:p w14:paraId="3F491A8E">
      <w:pPr>
        <w:spacing w:before="97" w:line="219" w:lineRule="auto"/>
        <w:jc w:val="right"/>
        <w:rPr>
          <w:rFonts w:ascii="宋体" w:hAnsi="宋体" w:eastAsia="宋体" w:cs="宋体"/>
          <w:sz w:val="17"/>
          <w:szCs w:val="17"/>
        </w:rPr>
      </w:pPr>
      <w:r>
        <w:rPr>
          <w:rFonts w:ascii="宋体" w:hAnsi="宋体" w:eastAsia="宋体" w:cs="宋体"/>
          <w:spacing w:val="1"/>
          <w:sz w:val="17"/>
          <w:szCs w:val="17"/>
        </w:rPr>
        <w:t>1、将供考试识别的25种病害标本或图片</w:t>
      </w:r>
      <w:r>
        <w:rPr>
          <w:rFonts w:ascii="宋体" w:hAnsi="宋体" w:eastAsia="宋体" w:cs="宋体"/>
          <w:sz w:val="17"/>
          <w:szCs w:val="17"/>
        </w:rPr>
        <w:t>依次编号。</w:t>
      </w:r>
    </w:p>
    <w:p w14:paraId="2B3B97DE">
      <w:pPr>
        <w:spacing w:before="100" w:line="276" w:lineRule="auto"/>
        <w:ind w:right="57" w:firstLine="359"/>
        <w:rPr>
          <w:rFonts w:ascii="宋体" w:hAnsi="宋体" w:eastAsia="宋体" w:cs="宋体"/>
          <w:sz w:val="17"/>
          <w:szCs w:val="17"/>
        </w:rPr>
      </w:pPr>
      <w:r>
        <w:rPr>
          <w:rFonts w:ascii="宋体" w:hAnsi="宋体" w:eastAsia="宋体" w:cs="宋体"/>
          <w:spacing w:val="13"/>
          <w:sz w:val="17"/>
          <w:szCs w:val="17"/>
        </w:rPr>
        <w:t>2、从已编号的病害标本或图片中随机抽取20种</w:t>
      </w:r>
      <w:r>
        <w:rPr>
          <w:rFonts w:ascii="宋体" w:hAnsi="宋体" w:eastAsia="宋体" w:cs="宋体"/>
          <w:sz w:val="17"/>
          <w:szCs w:val="17"/>
        </w:rPr>
        <w:t xml:space="preserve"> </w:t>
      </w:r>
      <w:r>
        <w:rPr>
          <w:rFonts w:ascii="宋体" w:hAnsi="宋体" w:eastAsia="宋体" w:cs="宋体"/>
          <w:spacing w:val="10"/>
          <w:sz w:val="17"/>
          <w:szCs w:val="17"/>
        </w:rPr>
        <w:t>组成一组考试题，抽取时要考虑到不同作物病害种类</w:t>
      </w:r>
      <w:r>
        <w:rPr>
          <w:rFonts w:ascii="宋体" w:hAnsi="宋体" w:eastAsia="宋体" w:cs="宋体"/>
          <w:spacing w:val="6"/>
          <w:sz w:val="17"/>
          <w:szCs w:val="17"/>
        </w:rPr>
        <w:t xml:space="preserve"> </w:t>
      </w:r>
      <w:r>
        <w:rPr>
          <w:rFonts w:ascii="宋体" w:hAnsi="宋体" w:eastAsia="宋体" w:cs="宋体"/>
          <w:spacing w:val="3"/>
          <w:sz w:val="17"/>
          <w:szCs w:val="17"/>
        </w:rPr>
        <w:t>的搭配。</w:t>
      </w:r>
    </w:p>
    <w:p w14:paraId="7521C8FA">
      <w:pPr>
        <w:spacing w:before="87" w:line="269" w:lineRule="auto"/>
        <w:ind w:right="74" w:firstLine="359"/>
        <w:rPr>
          <w:rFonts w:ascii="宋体" w:hAnsi="宋体" w:eastAsia="宋体" w:cs="宋体"/>
          <w:sz w:val="17"/>
          <w:szCs w:val="17"/>
        </w:rPr>
      </w:pPr>
      <w:r>
        <w:rPr>
          <w:rFonts w:ascii="宋体" w:hAnsi="宋体" w:eastAsia="宋体" w:cs="宋体"/>
          <w:spacing w:val="13"/>
          <w:sz w:val="17"/>
          <w:szCs w:val="17"/>
        </w:rPr>
        <w:t>3、考生写出每组考试题中与编号相对应的病害</w:t>
      </w:r>
      <w:r>
        <w:rPr>
          <w:rFonts w:ascii="宋体" w:hAnsi="宋体" w:eastAsia="宋体" w:cs="宋体"/>
          <w:spacing w:val="12"/>
          <w:sz w:val="17"/>
          <w:szCs w:val="17"/>
        </w:rPr>
        <w:t xml:space="preserve"> </w:t>
      </w:r>
      <w:r>
        <w:rPr>
          <w:rFonts w:ascii="宋体" w:hAnsi="宋体" w:eastAsia="宋体" w:cs="宋体"/>
          <w:spacing w:val="11"/>
          <w:sz w:val="17"/>
          <w:szCs w:val="17"/>
        </w:rPr>
        <w:t>名称。</w:t>
      </w:r>
    </w:p>
    <w:p w14:paraId="087950BE">
      <w:pPr>
        <w:spacing w:before="84" w:line="220" w:lineRule="auto"/>
        <w:ind w:left="3"/>
        <w:rPr>
          <w:rFonts w:ascii="宋体" w:hAnsi="宋体" w:eastAsia="宋体" w:cs="宋体"/>
          <w:sz w:val="23"/>
          <w:szCs w:val="23"/>
        </w:rPr>
      </w:pPr>
      <w:r>
        <w:rPr>
          <w:rFonts w:ascii="宋体" w:hAnsi="宋体" w:eastAsia="宋体" w:cs="宋体"/>
          <w:b/>
          <w:bCs/>
          <w:spacing w:val="-7"/>
          <w:sz w:val="23"/>
          <w:szCs w:val="23"/>
        </w:rPr>
        <w:t>五、评分标准</w:t>
      </w:r>
    </w:p>
    <w:p w14:paraId="45CAF91E">
      <w:pPr>
        <w:spacing w:before="85" w:line="314" w:lineRule="auto"/>
        <w:ind w:right="72" w:firstLine="359"/>
        <w:rPr>
          <w:rFonts w:ascii="宋体" w:hAnsi="宋体" w:eastAsia="宋体" w:cs="宋体"/>
          <w:sz w:val="17"/>
          <w:szCs w:val="17"/>
        </w:rPr>
      </w:pPr>
      <w:r>
        <w:rPr>
          <w:rFonts w:ascii="宋体" w:hAnsi="宋体" w:eastAsia="宋体" w:cs="宋体"/>
          <w:spacing w:val="16"/>
          <w:sz w:val="17"/>
          <w:szCs w:val="17"/>
        </w:rPr>
        <w:t>写对病害名称等于20种的得100分；每写错1种</w:t>
      </w:r>
      <w:r>
        <w:rPr>
          <w:rFonts w:ascii="宋体" w:hAnsi="宋体" w:eastAsia="宋体" w:cs="宋体"/>
          <w:spacing w:val="3"/>
          <w:sz w:val="17"/>
          <w:szCs w:val="17"/>
        </w:rPr>
        <w:t xml:space="preserve"> </w:t>
      </w:r>
      <w:r>
        <w:rPr>
          <w:rFonts w:ascii="宋体" w:hAnsi="宋体" w:eastAsia="宋体" w:cs="宋体"/>
          <w:spacing w:val="14"/>
          <w:sz w:val="17"/>
          <w:szCs w:val="17"/>
        </w:rPr>
        <w:t>扣5分，直至0分为止。</w:t>
      </w:r>
    </w:p>
    <w:p w14:paraId="20B33A00">
      <w:pPr>
        <w:spacing w:before="292" w:line="219" w:lineRule="auto"/>
        <w:ind w:left="603"/>
        <w:rPr>
          <w:rFonts w:ascii="宋体" w:hAnsi="宋体" w:eastAsia="宋体" w:cs="宋体"/>
          <w:sz w:val="23"/>
          <w:szCs w:val="23"/>
        </w:rPr>
      </w:pPr>
      <w:r>
        <w:rPr>
          <w:rFonts w:ascii="宋体" w:hAnsi="宋体" w:eastAsia="宋体" w:cs="宋体"/>
          <w:b/>
          <w:bCs/>
          <w:spacing w:val="-4"/>
          <w:sz w:val="23"/>
          <w:szCs w:val="23"/>
        </w:rPr>
        <w:t>项目</w:t>
      </w:r>
      <w:r>
        <w:rPr>
          <w:rFonts w:ascii="宋体" w:hAnsi="宋体" w:eastAsia="宋体" w:cs="宋体"/>
          <w:spacing w:val="-4"/>
          <w:sz w:val="23"/>
          <w:szCs w:val="23"/>
        </w:rPr>
        <w:t xml:space="preserve">  </w:t>
      </w:r>
      <w:r>
        <w:rPr>
          <w:rFonts w:ascii="宋体" w:hAnsi="宋体" w:eastAsia="宋体" w:cs="宋体"/>
          <w:b/>
          <w:bCs/>
          <w:spacing w:val="-4"/>
          <w:sz w:val="23"/>
          <w:szCs w:val="23"/>
        </w:rPr>
        <w:t>五快速测定种子生命力</w:t>
      </w:r>
    </w:p>
    <w:p w14:paraId="25B054B3">
      <w:pPr>
        <w:spacing w:before="306" w:line="219" w:lineRule="auto"/>
        <w:ind w:left="3"/>
        <w:rPr>
          <w:rFonts w:ascii="宋体" w:hAnsi="宋体" w:eastAsia="宋体" w:cs="宋体"/>
          <w:sz w:val="23"/>
          <w:szCs w:val="23"/>
        </w:rPr>
      </w:pPr>
      <w:r>
        <w:rPr>
          <w:rFonts w:ascii="宋体" w:hAnsi="宋体" w:eastAsia="宋体" w:cs="宋体"/>
          <w:b/>
          <w:bCs/>
          <w:spacing w:val="-6"/>
          <w:sz w:val="23"/>
          <w:szCs w:val="23"/>
        </w:rPr>
        <w:t>一、测试用具或材料</w:t>
      </w:r>
    </w:p>
    <w:p w14:paraId="2B386016">
      <w:pPr>
        <w:spacing w:before="89" w:line="312" w:lineRule="auto"/>
        <w:ind w:right="81" w:firstLine="359"/>
        <w:rPr>
          <w:rFonts w:ascii="宋体" w:hAnsi="宋体" w:eastAsia="宋体" w:cs="宋体"/>
          <w:sz w:val="17"/>
          <w:szCs w:val="17"/>
        </w:rPr>
      </w:pPr>
      <w:r>
        <w:rPr>
          <w:rFonts w:ascii="宋体" w:hAnsi="宋体" w:eastAsia="宋体" w:cs="宋体"/>
          <w:spacing w:val="8"/>
          <w:sz w:val="17"/>
          <w:szCs w:val="17"/>
        </w:rPr>
        <w:t>培养皿，刀片，烧杯，镊子，放大镜，滤纸，5%</w:t>
      </w:r>
      <w:r>
        <w:rPr>
          <w:rFonts w:ascii="宋体" w:hAnsi="宋体" w:eastAsia="宋体" w:cs="宋体"/>
          <w:spacing w:val="16"/>
          <w:sz w:val="17"/>
          <w:szCs w:val="17"/>
        </w:rPr>
        <w:t xml:space="preserve"> </w:t>
      </w:r>
      <w:r>
        <w:rPr>
          <w:rFonts w:ascii="宋体" w:hAnsi="宋体" w:eastAsia="宋体" w:cs="宋体"/>
          <w:spacing w:val="-1"/>
          <w:sz w:val="17"/>
          <w:szCs w:val="17"/>
        </w:rPr>
        <w:t>红墨水溶液，已浸泡的小麦种子。</w:t>
      </w:r>
    </w:p>
    <w:p w14:paraId="10FF1C7A">
      <w:pPr>
        <w:spacing w:before="6" w:line="221" w:lineRule="auto"/>
        <w:ind w:left="3"/>
        <w:rPr>
          <w:rFonts w:ascii="宋体" w:hAnsi="宋体" w:eastAsia="宋体" w:cs="宋体"/>
          <w:sz w:val="23"/>
          <w:szCs w:val="23"/>
        </w:rPr>
      </w:pPr>
      <w:r>
        <w:rPr>
          <w:rFonts w:ascii="宋体" w:hAnsi="宋体" w:eastAsia="宋体" w:cs="宋体"/>
          <w:b/>
          <w:bCs/>
          <w:spacing w:val="-6"/>
          <w:sz w:val="23"/>
          <w:szCs w:val="23"/>
        </w:rPr>
        <w:t>二、技能要求</w:t>
      </w:r>
    </w:p>
    <w:p w14:paraId="43C2A3DC">
      <w:pPr>
        <w:spacing w:before="85" w:line="219" w:lineRule="auto"/>
        <w:ind w:left="359"/>
        <w:rPr>
          <w:rFonts w:ascii="宋体" w:hAnsi="宋体" w:eastAsia="宋体" w:cs="宋体"/>
          <w:sz w:val="17"/>
          <w:szCs w:val="17"/>
        </w:rPr>
      </w:pPr>
      <w:r>
        <w:rPr>
          <w:rFonts w:ascii="宋体" w:hAnsi="宋体" w:eastAsia="宋体" w:cs="宋体"/>
          <w:spacing w:val="-2"/>
          <w:sz w:val="17"/>
          <w:szCs w:val="17"/>
        </w:rPr>
        <w:t>1、熟练掌握快速测定种子生命力的方法。</w:t>
      </w:r>
    </w:p>
    <w:p w14:paraId="62281E45">
      <w:pPr>
        <w:spacing w:before="98" w:line="184" w:lineRule="auto"/>
        <w:ind w:left="359"/>
        <w:rPr>
          <w:rFonts w:ascii="宋体" w:hAnsi="宋体" w:eastAsia="宋体" w:cs="宋体"/>
          <w:sz w:val="17"/>
          <w:szCs w:val="17"/>
        </w:rPr>
      </w:pPr>
      <w:r>
        <w:rPr>
          <w:rFonts w:ascii="宋体" w:hAnsi="宋体" w:eastAsia="宋体" w:cs="宋体"/>
          <w:sz w:val="17"/>
          <w:szCs w:val="17"/>
        </w:rPr>
        <w:t>2、能准确鉴别有无生命力的种子。</w:t>
      </w:r>
    </w:p>
    <w:p w14:paraId="403EF76D">
      <w:pPr>
        <w:spacing w:line="184" w:lineRule="auto"/>
        <w:rPr>
          <w:rFonts w:ascii="宋体" w:hAnsi="宋体" w:eastAsia="宋体" w:cs="宋体"/>
          <w:sz w:val="17"/>
          <w:szCs w:val="17"/>
        </w:rPr>
        <w:sectPr>
          <w:type w:val="continuous"/>
          <w:pgSz w:w="10660" w:h="15080"/>
          <w:pgMar w:top="400" w:right="844" w:bottom="925" w:left="1024" w:header="0" w:footer="705" w:gutter="0"/>
          <w:cols w:equalWidth="0" w:num="2">
            <w:col w:w="4486" w:space="100"/>
            <w:col w:w="4206"/>
          </w:cols>
        </w:sectPr>
      </w:pPr>
    </w:p>
    <w:p w14:paraId="7DEFCDEC">
      <w:pPr>
        <w:spacing w:before="10"/>
      </w:pPr>
    </w:p>
    <w:p w14:paraId="4A3BC25A">
      <w:pPr>
        <w:spacing w:before="10"/>
      </w:pPr>
    </w:p>
    <w:p w14:paraId="34509C33">
      <w:pPr>
        <w:spacing w:before="9"/>
      </w:pPr>
    </w:p>
    <w:p w14:paraId="2F214A08">
      <w:pPr>
        <w:spacing w:before="9"/>
      </w:pPr>
    </w:p>
    <w:p w14:paraId="415AB7B4">
      <w:pPr>
        <w:sectPr>
          <w:footerReference r:id="rId100" w:type="default"/>
          <w:pgSz w:w="10660" w:h="15080"/>
          <w:pgMar w:top="400" w:right="984" w:bottom="936" w:left="819" w:header="0" w:footer="715" w:gutter="0"/>
          <w:cols w:equalWidth="0" w:num="1">
            <w:col w:w="8856"/>
          </w:cols>
        </w:sectPr>
      </w:pPr>
    </w:p>
    <w:p w14:paraId="347CBABC">
      <w:pPr>
        <w:spacing w:before="1" w:line="220" w:lineRule="auto"/>
        <w:ind w:left="53"/>
        <w:rPr>
          <w:rFonts w:ascii="黑体" w:hAnsi="黑体" w:eastAsia="黑体" w:cs="黑体"/>
          <w:sz w:val="23"/>
          <w:szCs w:val="23"/>
        </w:rPr>
      </w:pPr>
      <w:r>
        <w:rPr>
          <w:rFonts w:ascii="黑体" w:hAnsi="黑体" w:eastAsia="黑体" w:cs="黑体"/>
          <w:b/>
          <w:bCs/>
          <w:spacing w:val="-6"/>
          <w:sz w:val="23"/>
          <w:szCs w:val="23"/>
        </w:rPr>
        <w:t>三、分值与测试时间</w:t>
      </w:r>
    </w:p>
    <w:p w14:paraId="32E55423">
      <w:pPr>
        <w:spacing w:before="97" w:line="219" w:lineRule="auto"/>
        <w:ind w:left="430"/>
        <w:rPr>
          <w:rFonts w:ascii="宋体" w:hAnsi="宋体" w:eastAsia="宋体" w:cs="宋体"/>
          <w:sz w:val="17"/>
          <w:szCs w:val="17"/>
        </w:rPr>
      </w:pPr>
      <w:r>
        <w:rPr>
          <w:rFonts w:ascii="宋体" w:hAnsi="宋体" w:eastAsia="宋体" w:cs="宋体"/>
          <w:spacing w:val="7"/>
          <w:sz w:val="17"/>
          <w:szCs w:val="17"/>
        </w:rPr>
        <w:t>分值为100分；测试时间为50分钟。</w:t>
      </w:r>
    </w:p>
    <w:p w14:paraId="165B638D">
      <w:pPr>
        <w:spacing w:before="75" w:line="221" w:lineRule="auto"/>
        <w:ind w:left="53"/>
        <w:rPr>
          <w:rFonts w:ascii="黑体" w:hAnsi="黑体" w:eastAsia="黑体" w:cs="黑体"/>
          <w:sz w:val="23"/>
          <w:szCs w:val="23"/>
        </w:rPr>
      </w:pPr>
      <w:r>
        <w:rPr>
          <w:rFonts w:ascii="黑体" w:hAnsi="黑体" w:eastAsia="黑体" w:cs="黑体"/>
          <w:b/>
          <w:bCs/>
          <w:spacing w:val="-11"/>
          <w:sz w:val="23"/>
          <w:szCs w:val="23"/>
        </w:rPr>
        <w:t>四、操作步骤</w:t>
      </w:r>
    </w:p>
    <w:p w14:paraId="3DBCC0F5">
      <w:pPr>
        <w:spacing w:before="78" w:line="278" w:lineRule="auto"/>
        <w:ind w:left="49" w:right="358" w:firstLine="380"/>
        <w:rPr>
          <w:rFonts w:ascii="宋体" w:hAnsi="宋体" w:eastAsia="宋体" w:cs="宋体"/>
          <w:sz w:val="17"/>
          <w:szCs w:val="17"/>
        </w:rPr>
      </w:pPr>
      <w:r>
        <w:rPr>
          <w:rFonts w:ascii="宋体" w:hAnsi="宋体" w:eastAsia="宋体" w:cs="宋体"/>
          <w:spacing w:val="4"/>
          <w:sz w:val="17"/>
          <w:szCs w:val="17"/>
        </w:rPr>
        <w:t>1、取已吸胀种子50粒，用刀片沿种子胚的中心线</w:t>
      </w:r>
      <w:r>
        <w:rPr>
          <w:rFonts w:ascii="宋体" w:hAnsi="宋体" w:eastAsia="宋体" w:cs="宋体"/>
          <w:spacing w:val="13"/>
          <w:sz w:val="17"/>
          <w:szCs w:val="17"/>
        </w:rPr>
        <w:t xml:space="preserve"> </w:t>
      </w:r>
      <w:r>
        <w:rPr>
          <w:rFonts w:ascii="宋体" w:hAnsi="宋体" w:eastAsia="宋体" w:cs="宋体"/>
          <w:spacing w:val="-1"/>
          <w:sz w:val="17"/>
          <w:szCs w:val="17"/>
        </w:rPr>
        <w:t>纵切为两半，取其中一半实验。</w:t>
      </w:r>
    </w:p>
    <w:p w14:paraId="6DA85564">
      <w:pPr>
        <w:spacing w:before="86" w:line="262" w:lineRule="auto"/>
        <w:ind w:left="49" w:right="361" w:firstLine="380"/>
        <w:rPr>
          <w:rFonts w:ascii="宋体" w:hAnsi="宋体" w:eastAsia="宋体" w:cs="宋体"/>
          <w:sz w:val="17"/>
          <w:szCs w:val="17"/>
        </w:rPr>
      </w:pPr>
      <w:r>
        <w:rPr>
          <w:rFonts w:ascii="宋体" w:hAnsi="宋体" w:eastAsia="宋体" w:cs="宋体"/>
          <w:spacing w:val="12"/>
          <w:sz w:val="17"/>
          <w:szCs w:val="17"/>
        </w:rPr>
        <w:t>2、将切好的种子置于培养皿中，加入5%的红墨</w:t>
      </w:r>
      <w:r>
        <w:rPr>
          <w:rFonts w:ascii="宋体" w:hAnsi="宋体" w:eastAsia="宋体" w:cs="宋体"/>
          <w:spacing w:val="8"/>
          <w:sz w:val="17"/>
          <w:szCs w:val="17"/>
        </w:rPr>
        <w:t xml:space="preserve"> </w:t>
      </w:r>
      <w:r>
        <w:rPr>
          <w:rFonts w:ascii="宋体" w:hAnsi="宋体" w:eastAsia="宋体" w:cs="宋体"/>
          <w:spacing w:val="4"/>
          <w:sz w:val="17"/>
          <w:szCs w:val="17"/>
        </w:rPr>
        <w:t>水将种子淹没，染色15</w:t>
      </w:r>
      <w:r>
        <w:rPr>
          <w:rFonts w:ascii="Times New Roman" w:hAnsi="Times New Roman" w:eastAsia="Times New Roman" w:cs="Times New Roman"/>
          <w:sz w:val="17"/>
          <w:szCs w:val="17"/>
        </w:rPr>
        <w:t>min</w:t>
      </w:r>
      <w:r>
        <w:rPr>
          <w:rFonts w:ascii="宋体" w:hAnsi="宋体" w:eastAsia="宋体" w:cs="宋体"/>
          <w:spacing w:val="4"/>
          <w:sz w:val="17"/>
          <w:szCs w:val="17"/>
        </w:rPr>
        <w:t>。</w:t>
      </w:r>
    </w:p>
    <w:p w14:paraId="3DC938F3">
      <w:pPr>
        <w:spacing w:before="98" w:line="219" w:lineRule="auto"/>
        <w:ind w:left="430"/>
        <w:rPr>
          <w:rFonts w:ascii="宋体" w:hAnsi="宋体" w:eastAsia="宋体" w:cs="宋体"/>
          <w:sz w:val="17"/>
          <w:szCs w:val="17"/>
        </w:rPr>
      </w:pPr>
      <w:r>
        <w:rPr>
          <w:rFonts w:ascii="宋体" w:hAnsi="宋体" w:eastAsia="宋体" w:cs="宋体"/>
          <w:spacing w:val="-7"/>
          <w:sz w:val="17"/>
          <w:szCs w:val="17"/>
        </w:rPr>
        <w:t>3、染色结束后，用水冲洗种子直至冲洗液无色为止。</w:t>
      </w:r>
    </w:p>
    <w:p w14:paraId="2D47989B">
      <w:pPr>
        <w:spacing w:before="69" w:line="306" w:lineRule="auto"/>
        <w:ind w:left="49" w:right="342" w:firstLine="380"/>
        <w:rPr>
          <w:rFonts w:ascii="宋体" w:hAnsi="宋体" w:eastAsia="宋体" w:cs="宋体"/>
          <w:sz w:val="14"/>
          <w:szCs w:val="14"/>
        </w:rPr>
      </w:pPr>
      <w:r>
        <w:rPr>
          <w:rFonts w:ascii="宋体" w:hAnsi="宋体" w:eastAsia="宋体" w:cs="宋体"/>
          <w:spacing w:val="5"/>
          <w:sz w:val="17"/>
          <w:szCs w:val="17"/>
        </w:rPr>
        <w:t>4、检查种子状况。可借助放大镜观察。胚不着色</w:t>
      </w:r>
      <w:r>
        <w:rPr>
          <w:rFonts w:ascii="宋体" w:hAnsi="宋体" w:eastAsia="宋体" w:cs="宋体"/>
          <w:spacing w:val="11"/>
          <w:sz w:val="17"/>
          <w:szCs w:val="17"/>
        </w:rPr>
        <w:t xml:space="preserve"> </w:t>
      </w:r>
      <w:r>
        <w:rPr>
          <w:rFonts w:ascii="宋体" w:hAnsi="宋体" w:eastAsia="宋体" w:cs="宋体"/>
          <w:spacing w:val="2"/>
          <w:sz w:val="17"/>
          <w:szCs w:val="17"/>
        </w:rPr>
        <w:t>或着色很浅的为活种子；胚与胚乳着色程度相同的为死</w:t>
      </w:r>
      <w:r>
        <w:rPr>
          <w:rFonts w:ascii="宋体" w:hAnsi="宋体" w:eastAsia="宋体" w:cs="宋体"/>
          <w:spacing w:val="7"/>
          <w:sz w:val="17"/>
          <w:szCs w:val="17"/>
        </w:rPr>
        <w:t xml:space="preserve"> </w:t>
      </w:r>
      <w:r>
        <w:rPr>
          <w:rFonts w:ascii="宋体" w:hAnsi="宋体" w:eastAsia="宋体" w:cs="宋体"/>
          <w:spacing w:val="-4"/>
          <w:sz w:val="14"/>
          <w:szCs w:val="14"/>
        </w:rPr>
        <w:t>种</w:t>
      </w:r>
      <w:r>
        <w:rPr>
          <w:rFonts w:ascii="宋体" w:hAnsi="宋体" w:eastAsia="宋体" w:cs="宋体"/>
          <w:spacing w:val="-17"/>
          <w:sz w:val="14"/>
          <w:szCs w:val="14"/>
        </w:rPr>
        <w:t xml:space="preserve"> </w:t>
      </w:r>
      <w:r>
        <w:rPr>
          <w:rFonts w:ascii="宋体" w:hAnsi="宋体" w:eastAsia="宋体" w:cs="宋体"/>
          <w:spacing w:val="-4"/>
          <w:sz w:val="14"/>
          <w:szCs w:val="14"/>
        </w:rPr>
        <w:t>子</w:t>
      </w:r>
      <w:r>
        <w:rPr>
          <w:rFonts w:ascii="宋体" w:hAnsi="宋体" w:eastAsia="宋体" w:cs="宋体"/>
          <w:spacing w:val="-22"/>
          <w:sz w:val="14"/>
          <w:szCs w:val="14"/>
        </w:rPr>
        <w:t xml:space="preserve"> </w:t>
      </w:r>
      <w:r>
        <w:rPr>
          <w:rFonts w:ascii="宋体" w:hAnsi="宋体" w:eastAsia="宋体" w:cs="宋体"/>
          <w:spacing w:val="-4"/>
          <w:sz w:val="14"/>
          <w:szCs w:val="14"/>
        </w:rPr>
        <w:t>。</w:t>
      </w:r>
    </w:p>
    <w:p w14:paraId="23B7F8B8">
      <w:pPr>
        <w:spacing w:before="94" w:line="219" w:lineRule="auto"/>
        <w:ind w:left="430"/>
        <w:rPr>
          <w:rFonts w:ascii="宋体" w:hAnsi="宋体" w:eastAsia="宋体" w:cs="宋体"/>
          <w:sz w:val="17"/>
          <w:szCs w:val="17"/>
        </w:rPr>
      </w:pPr>
      <w:r>
        <w:rPr>
          <w:rFonts w:ascii="宋体" w:hAnsi="宋体" w:eastAsia="宋体" w:cs="宋体"/>
          <w:spacing w:val="-2"/>
          <w:sz w:val="17"/>
          <w:szCs w:val="17"/>
        </w:rPr>
        <w:t>6、计算：统计活种子数，计算活种子的百分率。</w:t>
      </w:r>
    </w:p>
    <w:p w14:paraId="7C82DE84">
      <w:pPr>
        <w:spacing w:before="48" w:line="312" w:lineRule="auto"/>
        <w:ind w:left="49" w:right="388" w:firstLine="380"/>
        <w:rPr>
          <w:rFonts w:ascii="Times New Roman" w:hAnsi="Times New Roman" w:eastAsia="Times New Roman" w:cs="Times New Roman"/>
          <w:sz w:val="17"/>
          <w:szCs w:val="17"/>
        </w:rPr>
      </w:pPr>
      <w:r>
        <w:rPr>
          <w:rFonts w:ascii="宋体" w:hAnsi="宋体" w:eastAsia="宋体" w:cs="宋体"/>
          <w:spacing w:val="5"/>
          <w:sz w:val="19"/>
          <w:szCs w:val="19"/>
        </w:rPr>
        <w:t>活种子百分率=(有活力种子数/供试种子数)</w:t>
      </w:r>
      <w:r>
        <w:rPr>
          <w:rFonts w:ascii="宋体" w:hAnsi="宋体" w:eastAsia="宋体" w:cs="宋体"/>
          <w:spacing w:val="15"/>
          <w:sz w:val="19"/>
          <w:szCs w:val="19"/>
        </w:rPr>
        <w:t xml:space="preserve"> </w:t>
      </w:r>
      <w:r>
        <w:rPr>
          <w:rFonts w:ascii="Times New Roman" w:hAnsi="Times New Roman" w:eastAsia="Times New Roman" w:cs="Times New Roman"/>
          <w:spacing w:val="-2"/>
          <w:sz w:val="17"/>
          <w:szCs w:val="17"/>
        </w:rPr>
        <w:t>×100%</w:t>
      </w:r>
    </w:p>
    <w:p w14:paraId="54749AD6">
      <w:pPr>
        <w:spacing w:before="45" w:line="220" w:lineRule="auto"/>
        <w:ind w:left="440"/>
        <w:rPr>
          <w:rFonts w:ascii="宋体" w:hAnsi="宋体" w:eastAsia="宋体" w:cs="宋体"/>
          <w:sz w:val="17"/>
          <w:szCs w:val="17"/>
        </w:rPr>
      </w:pPr>
      <w:r>
        <w:rPr>
          <w:rFonts w:ascii="宋体" w:hAnsi="宋体" w:eastAsia="宋体" w:cs="宋体"/>
          <w:spacing w:val="2"/>
          <w:sz w:val="17"/>
          <w:szCs w:val="17"/>
        </w:rPr>
        <w:t>7、填写记录表：(如下表)</w:t>
      </w:r>
    </w:p>
    <w:p w14:paraId="1EFFE0A5">
      <w:pPr>
        <w:spacing w:line="15" w:lineRule="exact"/>
      </w:pPr>
    </w:p>
    <w:tbl>
      <w:tblPr>
        <w:tblStyle w:val="5"/>
        <w:tblW w:w="4119"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13"/>
        <w:gridCol w:w="848"/>
        <w:gridCol w:w="848"/>
        <w:gridCol w:w="857"/>
        <w:gridCol w:w="853"/>
      </w:tblGrid>
      <w:tr w14:paraId="705205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2" w:hRule="atLeast"/>
        </w:trPr>
        <w:tc>
          <w:tcPr>
            <w:tcW w:w="4119" w:type="dxa"/>
            <w:gridSpan w:val="5"/>
            <w:vAlign w:val="top"/>
          </w:tcPr>
          <w:p w14:paraId="43F6BF2F">
            <w:pPr>
              <w:pStyle w:val="6"/>
              <w:spacing w:before="72" w:line="219" w:lineRule="auto"/>
              <w:ind w:left="1255"/>
            </w:pPr>
            <w:r>
              <w:rPr>
                <w:spacing w:val="-1"/>
              </w:rPr>
              <w:t>测定种子活力记录表</w:t>
            </w:r>
          </w:p>
        </w:tc>
      </w:tr>
      <w:tr w14:paraId="1E80C8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6" w:hRule="atLeast"/>
        </w:trPr>
        <w:tc>
          <w:tcPr>
            <w:tcW w:w="713" w:type="dxa"/>
            <w:vAlign w:val="top"/>
          </w:tcPr>
          <w:p w14:paraId="5E5BAFAB">
            <w:pPr>
              <w:pStyle w:val="6"/>
              <w:spacing w:before="140" w:line="221" w:lineRule="auto"/>
              <w:ind w:left="174"/>
            </w:pPr>
            <w:r>
              <w:rPr>
                <w:spacing w:val="-2"/>
              </w:rPr>
              <w:t>方法</w:t>
            </w:r>
          </w:p>
        </w:tc>
        <w:tc>
          <w:tcPr>
            <w:tcW w:w="848" w:type="dxa"/>
            <w:vAlign w:val="top"/>
          </w:tcPr>
          <w:p w14:paraId="0C2824FC">
            <w:pPr>
              <w:pStyle w:val="6"/>
              <w:spacing w:before="39" w:line="210" w:lineRule="auto"/>
              <w:ind w:left="331" w:right="92" w:hanging="259"/>
            </w:pPr>
            <w:r>
              <w:rPr>
                <w:spacing w:val="-2"/>
              </w:rPr>
              <w:t>供试种子</w:t>
            </w:r>
            <w:r>
              <w:t xml:space="preserve"> 数</w:t>
            </w:r>
          </w:p>
        </w:tc>
        <w:tc>
          <w:tcPr>
            <w:tcW w:w="848" w:type="dxa"/>
            <w:vAlign w:val="top"/>
          </w:tcPr>
          <w:p w14:paraId="3949A0DD">
            <w:pPr>
              <w:pStyle w:val="6"/>
              <w:spacing w:before="18" w:line="221" w:lineRule="auto"/>
              <w:ind w:left="243" w:right="91" w:hanging="170"/>
            </w:pPr>
            <w:r>
              <w:rPr>
                <w:spacing w:val="-2"/>
              </w:rPr>
              <w:t>有活力种</w:t>
            </w:r>
            <w:r>
              <w:t xml:space="preserve"> </w:t>
            </w:r>
            <w:r>
              <w:rPr>
                <w:spacing w:val="-2"/>
              </w:rPr>
              <w:t>子数</w:t>
            </w:r>
          </w:p>
        </w:tc>
        <w:tc>
          <w:tcPr>
            <w:tcW w:w="857" w:type="dxa"/>
            <w:vAlign w:val="top"/>
          </w:tcPr>
          <w:p w14:paraId="12653CD4">
            <w:pPr>
              <w:pStyle w:val="6"/>
              <w:spacing w:before="39" w:line="210" w:lineRule="auto"/>
              <w:ind w:left="255" w:right="68" w:hanging="170"/>
            </w:pPr>
            <w:r>
              <w:rPr>
                <w:spacing w:val="3"/>
              </w:rPr>
              <w:t>无活力种</w:t>
            </w:r>
            <w:r>
              <w:t xml:space="preserve"> </w:t>
            </w:r>
            <w:r>
              <w:rPr>
                <w:spacing w:val="-2"/>
              </w:rPr>
              <w:t>子数</w:t>
            </w:r>
          </w:p>
        </w:tc>
        <w:tc>
          <w:tcPr>
            <w:tcW w:w="853" w:type="dxa"/>
            <w:vAlign w:val="top"/>
          </w:tcPr>
          <w:p w14:paraId="7BADF8ED">
            <w:pPr>
              <w:pStyle w:val="6"/>
              <w:spacing w:before="50" w:line="204" w:lineRule="auto"/>
              <w:ind w:left="248" w:right="72" w:hanging="169"/>
            </w:pPr>
            <w:r>
              <w:rPr>
                <w:spacing w:val="2"/>
              </w:rPr>
              <w:t xml:space="preserve">活种子百 </w:t>
            </w:r>
            <w:r>
              <w:rPr>
                <w:spacing w:val="-3"/>
              </w:rPr>
              <w:t>分率</w:t>
            </w:r>
          </w:p>
        </w:tc>
      </w:tr>
      <w:tr w14:paraId="35DB49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2" w:hRule="atLeast"/>
        </w:trPr>
        <w:tc>
          <w:tcPr>
            <w:tcW w:w="713" w:type="dxa"/>
            <w:vAlign w:val="top"/>
          </w:tcPr>
          <w:p w14:paraId="138EFC6C">
            <w:pPr>
              <w:pStyle w:val="6"/>
              <w:spacing w:before="44" w:line="205" w:lineRule="auto"/>
              <w:ind w:left="94" w:right="107"/>
            </w:pPr>
            <w:r>
              <w:rPr>
                <w:spacing w:val="-4"/>
              </w:rPr>
              <w:t>红墨水</w:t>
            </w:r>
            <w:r>
              <w:t xml:space="preserve"> </w:t>
            </w:r>
            <w:r>
              <w:rPr>
                <w:spacing w:val="-4"/>
              </w:rPr>
              <w:t>染色法</w:t>
            </w:r>
          </w:p>
        </w:tc>
        <w:tc>
          <w:tcPr>
            <w:tcW w:w="848" w:type="dxa"/>
            <w:vAlign w:val="top"/>
          </w:tcPr>
          <w:p w14:paraId="1ACFD418">
            <w:pPr>
              <w:rPr>
                <w:rFonts w:ascii="Arial"/>
                <w:sz w:val="21"/>
              </w:rPr>
            </w:pPr>
          </w:p>
        </w:tc>
        <w:tc>
          <w:tcPr>
            <w:tcW w:w="848" w:type="dxa"/>
            <w:vAlign w:val="top"/>
          </w:tcPr>
          <w:p w14:paraId="7DAF85F1">
            <w:pPr>
              <w:rPr>
                <w:rFonts w:ascii="Arial"/>
                <w:sz w:val="21"/>
              </w:rPr>
            </w:pPr>
          </w:p>
        </w:tc>
        <w:tc>
          <w:tcPr>
            <w:tcW w:w="857" w:type="dxa"/>
            <w:vAlign w:val="top"/>
          </w:tcPr>
          <w:p w14:paraId="315BA799">
            <w:pPr>
              <w:rPr>
                <w:rFonts w:ascii="Arial"/>
                <w:sz w:val="21"/>
              </w:rPr>
            </w:pPr>
          </w:p>
        </w:tc>
        <w:tc>
          <w:tcPr>
            <w:tcW w:w="853" w:type="dxa"/>
            <w:vAlign w:val="top"/>
          </w:tcPr>
          <w:p w14:paraId="5BE34F60">
            <w:pPr>
              <w:rPr>
                <w:rFonts w:ascii="Arial"/>
                <w:sz w:val="21"/>
              </w:rPr>
            </w:pPr>
          </w:p>
        </w:tc>
      </w:tr>
    </w:tbl>
    <w:p w14:paraId="1F52E09A">
      <w:pPr>
        <w:spacing w:before="51" w:line="325" w:lineRule="auto"/>
        <w:ind w:left="49" w:right="356" w:firstLine="380"/>
        <w:rPr>
          <w:rFonts w:ascii="宋体" w:hAnsi="宋体" w:eastAsia="宋体" w:cs="宋体"/>
          <w:sz w:val="17"/>
          <w:szCs w:val="17"/>
        </w:rPr>
      </w:pPr>
      <w:r>
        <w:rPr>
          <w:rFonts w:ascii="宋体" w:hAnsi="宋体" w:eastAsia="宋体" w:cs="宋体"/>
          <w:spacing w:val="5"/>
          <w:sz w:val="17"/>
          <w:szCs w:val="17"/>
        </w:rPr>
        <w:t>8、实验结束后，将实验器材放到指定位置</w:t>
      </w:r>
      <w:r>
        <w:rPr>
          <w:rFonts w:ascii="宋体" w:hAnsi="宋体" w:eastAsia="宋体" w:cs="宋体"/>
          <w:spacing w:val="4"/>
          <w:sz w:val="17"/>
          <w:szCs w:val="17"/>
        </w:rPr>
        <w:t>，打扫</w:t>
      </w:r>
      <w:r>
        <w:rPr>
          <w:rFonts w:ascii="宋体" w:hAnsi="宋体" w:eastAsia="宋体" w:cs="宋体"/>
          <w:sz w:val="17"/>
          <w:szCs w:val="17"/>
        </w:rPr>
        <w:t xml:space="preserve"> </w:t>
      </w:r>
      <w:r>
        <w:rPr>
          <w:rFonts w:ascii="宋体" w:hAnsi="宋体" w:eastAsia="宋体" w:cs="宋体"/>
          <w:spacing w:val="-4"/>
          <w:sz w:val="17"/>
          <w:szCs w:val="17"/>
        </w:rPr>
        <w:t>实验台和周围卫生。</w:t>
      </w:r>
    </w:p>
    <w:p w14:paraId="27D20A23">
      <w:pPr>
        <w:spacing w:before="12" w:line="220" w:lineRule="auto"/>
        <w:ind w:left="93"/>
        <w:rPr>
          <w:rFonts w:ascii="宋体" w:hAnsi="宋体" w:eastAsia="宋体" w:cs="宋体"/>
          <w:sz w:val="22"/>
          <w:szCs w:val="22"/>
        </w:rPr>
      </w:pPr>
      <w:r>
        <w:rPr>
          <w:rFonts w:ascii="宋体" w:hAnsi="宋体" w:eastAsia="宋体" w:cs="宋体"/>
          <w:b/>
          <w:bCs/>
          <w:spacing w:val="-4"/>
          <w:sz w:val="22"/>
          <w:szCs w:val="22"/>
        </w:rPr>
        <w:t>五、评分标准</w:t>
      </w:r>
    </w:p>
    <w:p w14:paraId="28B68014">
      <w:pPr>
        <w:spacing w:line="73" w:lineRule="auto"/>
        <w:rPr>
          <w:rFonts w:ascii="Arial"/>
          <w:sz w:val="2"/>
        </w:rPr>
      </w:pPr>
    </w:p>
    <w:tbl>
      <w:tblPr>
        <w:tblStyle w:val="5"/>
        <w:tblW w:w="4137"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424"/>
        <w:gridCol w:w="818"/>
        <w:gridCol w:w="339"/>
        <w:gridCol w:w="2556"/>
      </w:tblGrid>
      <w:tr w14:paraId="0F528B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0" w:hRule="atLeast"/>
        </w:trPr>
        <w:tc>
          <w:tcPr>
            <w:tcW w:w="424" w:type="dxa"/>
            <w:tcBorders>
              <w:top w:val="single" w:color="000000" w:sz="2" w:space="0"/>
              <w:bottom w:val="single" w:color="000000" w:sz="2" w:space="0"/>
            </w:tcBorders>
            <w:shd w:val="clear" w:color="auto" w:fill="231F20"/>
            <w:vAlign w:val="top"/>
          </w:tcPr>
          <w:p w14:paraId="12C1D2F9">
            <w:pPr>
              <w:pStyle w:val="6"/>
              <w:spacing w:before="66" w:line="250" w:lineRule="auto"/>
              <w:ind w:left="37" w:right="43"/>
            </w:pPr>
            <w:r>
              <w:rPr>
                <w:b/>
                <w:bCs/>
                <w:color w:val="FFFFFF"/>
                <w:spacing w:val="-6"/>
              </w:rPr>
              <w:t>测试</w:t>
            </w:r>
            <w:r>
              <w:rPr>
                <w:color w:val="FFFFFF"/>
              </w:rPr>
              <w:t xml:space="preserve"> </w:t>
            </w:r>
            <w:r>
              <w:rPr>
                <w:b/>
                <w:bCs/>
                <w:color w:val="FFFFFF"/>
                <w:spacing w:val="-6"/>
              </w:rPr>
              <w:t>要点</w:t>
            </w:r>
          </w:p>
        </w:tc>
        <w:tc>
          <w:tcPr>
            <w:tcW w:w="818" w:type="dxa"/>
            <w:tcBorders>
              <w:top w:val="single" w:color="000000" w:sz="2" w:space="0"/>
              <w:bottom w:val="single" w:color="000000" w:sz="2" w:space="0"/>
            </w:tcBorders>
            <w:vAlign w:val="top"/>
          </w:tcPr>
          <w:p w14:paraId="4C37865D">
            <w:pPr>
              <w:pStyle w:val="6"/>
              <w:spacing w:before="194" w:line="219" w:lineRule="auto"/>
              <w:ind w:left="63"/>
            </w:pPr>
            <w:r>
              <w:rPr>
                <w:b/>
                <w:bCs/>
                <w:spacing w:val="-4"/>
              </w:rPr>
              <w:t>测试内容</w:t>
            </w:r>
          </w:p>
        </w:tc>
        <w:tc>
          <w:tcPr>
            <w:tcW w:w="339" w:type="dxa"/>
            <w:tcBorders>
              <w:top w:val="single" w:color="000000" w:sz="2" w:space="0"/>
              <w:bottom w:val="single" w:color="000000" w:sz="2" w:space="0"/>
            </w:tcBorders>
            <w:textDirection w:val="tbRlV"/>
            <w:vAlign w:val="top"/>
          </w:tcPr>
          <w:p w14:paraId="1EECF6F1">
            <w:pPr>
              <w:pStyle w:val="6"/>
              <w:spacing w:before="92" w:line="201" w:lineRule="auto"/>
              <w:ind w:left="97"/>
            </w:pPr>
            <w:r>
              <w:rPr>
                <w:b/>
                <w:bCs/>
                <w:spacing w:val="-2"/>
              </w:rPr>
              <w:t>分值</w:t>
            </w:r>
          </w:p>
        </w:tc>
        <w:tc>
          <w:tcPr>
            <w:tcW w:w="2556" w:type="dxa"/>
            <w:tcBorders>
              <w:top w:val="single" w:color="000000" w:sz="2" w:space="0"/>
              <w:bottom w:val="single" w:color="000000" w:sz="2" w:space="0"/>
            </w:tcBorders>
            <w:vAlign w:val="top"/>
          </w:tcPr>
          <w:p w14:paraId="020866FE">
            <w:pPr>
              <w:pStyle w:val="6"/>
              <w:spacing w:before="194" w:line="220" w:lineRule="auto"/>
              <w:ind w:left="926"/>
            </w:pPr>
            <w:r>
              <w:rPr>
                <w:b/>
                <w:bCs/>
                <w:spacing w:val="-3"/>
              </w:rPr>
              <w:t>评分标准</w:t>
            </w:r>
          </w:p>
        </w:tc>
      </w:tr>
      <w:tr w14:paraId="2C3BC7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24" w:hRule="atLeast"/>
        </w:trPr>
        <w:tc>
          <w:tcPr>
            <w:tcW w:w="424" w:type="dxa"/>
            <w:vMerge w:val="restart"/>
            <w:tcBorders>
              <w:top w:val="single" w:color="000000" w:sz="2" w:space="0"/>
              <w:bottom w:val="nil"/>
            </w:tcBorders>
            <w:vAlign w:val="top"/>
          </w:tcPr>
          <w:p w14:paraId="1AB84960">
            <w:pPr>
              <w:spacing w:line="259" w:lineRule="auto"/>
              <w:rPr>
                <w:rFonts w:ascii="Arial"/>
                <w:sz w:val="21"/>
              </w:rPr>
            </w:pPr>
          </w:p>
          <w:p w14:paraId="09E8706C">
            <w:pPr>
              <w:spacing w:line="259" w:lineRule="auto"/>
              <w:rPr>
                <w:rFonts w:ascii="Arial"/>
                <w:sz w:val="21"/>
              </w:rPr>
            </w:pPr>
          </w:p>
          <w:p w14:paraId="380C3E9D">
            <w:pPr>
              <w:spacing w:line="260" w:lineRule="auto"/>
              <w:rPr>
                <w:rFonts w:ascii="Arial"/>
                <w:sz w:val="21"/>
              </w:rPr>
            </w:pPr>
          </w:p>
          <w:p w14:paraId="14D2271F">
            <w:pPr>
              <w:spacing w:line="260" w:lineRule="auto"/>
              <w:rPr>
                <w:rFonts w:ascii="Arial"/>
                <w:sz w:val="21"/>
              </w:rPr>
            </w:pPr>
          </w:p>
          <w:p w14:paraId="2C351BD6">
            <w:pPr>
              <w:spacing w:line="260" w:lineRule="auto"/>
              <w:rPr>
                <w:rFonts w:ascii="Arial"/>
                <w:sz w:val="21"/>
              </w:rPr>
            </w:pPr>
          </w:p>
          <w:p w14:paraId="03C54B1D">
            <w:pPr>
              <w:spacing w:line="260" w:lineRule="auto"/>
              <w:rPr>
                <w:rFonts w:ascii="Arial"/>
                <w:sz w:val="21"/>
              </w:rPr>
            </w:pPr>
          </w:p>
          <w:p w14:paraId="67CF7EF9">
            <w:pPr>
              <w:pStyle w:val="6"/>
              <w:spacing w:before="55" w:line="228" w:lineRule="auto"/>
              <w:ind w:left="34" w:right="45"/>
              <w:jc w:val="both"/>
            </w:pPr>
            <w:r>
              <w:rPr>
                <w:spacing w:val="-4"/>
              </w:rPr>
              <w:t>测定</w:t>
            </w:r>
            <w:r>
              <w:t xml:space="preserve"> </w:t>
            </w:r>
            <w:r>
              <w:rPr>
                <w:spacing w:val="-4"/>
              </w:rPr>
              <w:t>种子</w:t>
            </w:r>
            <w:r>
              <w:t xml:space="preserve"> </w:t>
            </w:r>
            <w:r>
              <w:rPr>
                <w:spacing w:val="-4"/>
              </w:rPr>
              <w:t>生命</w:t>
            </w:r>
            <w:r>
              <w:t xml:space="preserve"> </w:t>
            </w:r>
            <w:r>
              <w:rPr>
                <w:spacing w:val="28"/>
                <w:w w:val="125"/>
              </w:rPr>
              <w:t>力</w:t>
            </w:r>
          </w:p>
        </w:tc>
        <w:tc>
          <w:tcPr>
            <w:tcW w:w="818" w:type="dxa"/>
            <w:tcBorders>
              <w:top w:val="single" w:color="000000" w:sz="2" w:space="0"/>
              <w:bottom w:val="single" w:color="000000" w:sz="2" w:space="0"/>
            </w:tcBorders>
            <w:vAlign w:val="top"/>
          </w:tcPr>
          <w:p w14:paraId="3565DF21">
            <w:pPr>
              <w:spacing w:line="434" w:lineRule="auto"/>
              <w:rPr>
                <w:rFonts w:ascii="Arial"/>
                <w:sz w:val="21"/>
              </w:rPr>
            </w:pPr>
          </w:p>
          <w:p w14:paraId="1C43DA96">
            <w:pPr>
              <w:pStyle w:val="6"/>
              <w:spacing w:before="55" w:line="220" w:lineRule="auto"/>
              <w:ind w:left="60"/>
            </w:pPr>
            <w:r>
              <w:rPr>
                <w:spacing w:val="-2"/>
              </w:rPr>
              <w:t>分切种子</w:t>
            </w:r>
          </w:p>
        </w:tc>
        <w:tc>
          <w:tcPr>
            <w:tcW w:w="339" w:type="dxa"/>
            <w:tcBorders>
              <w:top w:val="single" w:color="000000" w:sz="2" w:space="0"/>
              <w:bottom w:val="single" w:color="000000" w:sz="2" w:space="0"/>
            </w:tcBorders>
            <w:vAlign w:val="top"/>
          </w:tcPr>
          <w:p w14:paraId="7A0889C8">
            <w:pPr>
              <w:spacing w:line="253" w:lineRule="auto"/>
              <w:rPr>
                <w:rFonts w:ascii="Arial"/>
                <w:sz w:val="21"/>
              </w:rPr>
            </w:pPr>
          </w:p>
          <w:p w14:paraId="54617EF5">
            <w:pPr>
              <w:spacing w:line="253" w:lineRule="auto"/>
              <w:rPr>
                <w:rFonts w:ascii="Arial"/>
                <w:sz w:val="21"/>
              </w:rPr>
            </w:pPr>
          </w:p>
          <w:p w14:paraId="2EB6159A">
            <w:pPr>
              <w:pStyle w:val="6"/>
              <w:spacing w:before="55" w:line="184" w:lineRule="auto"/>
              <w:ind w:left="73"/>
            </w:pPr>
            <w:r>
              <w:rPr>
                <w:spacing w:val="-5"/>
              </w:rPr>
              <w:t>17</w:t>
            </w:r>
          </w:p>
        </w:tc>
        <w:tc>
          <w:tcPr>
            <w:tcW w:w="2556" w:type="dxa"/>
            <w:tcBorders>
              <w:top w:val="single" w:color="000000" w:sz="2" w:space="0"/>
              <w:bottom w:val="single" w:color="000000" w:sz="2" w:space="0"/>
            </w:tcBorders>
            <w:vAlign w:val="top"/>
          </w:tcPr>
          <w:p w14:paraId="4420D990">
            <w:pPr>
              <w:pStyle w:val="6"/>
              <w:spacing w:before="70" w:line="229" w:lineRule="auto"/>
              <w:ind w:left="13"/>
              <w:jc w:val="both"/>
            </w:pPr>
            <w:r>
              <w:rPr>
                <w:spacing w:val="-2"/>
              </w:rPr>
              <w:t>切位正确，切口平滑，操作规范、</w:t>
            </w:r>
            <w:r>
              <w:rPr>
                <w:spacing w:val="11"/>
              </w:rPr>
              <w:t xml:space="preserve"> </w:t>
            </w:r>
            <w:r>
              <w:rPr>
                <w:spacing w:val="-1"/>
              </w:rPr>
              <w:t>熟练。完全正确得17分；切位不</w:t>
            </w:r>
            <w:r>
              <w:rPr>
                <w:spacing w:val="1"/>
              </w:rPr>
              <w:t xml:space="preserve">   </w:t>
            </w:r>
            <w:r>
              <w:rPr>
                <w:spacing w:val="-3"/>
              </w:rPr>
              <w:t>正确或切坏一粒种子扣1分，17分</w:t>
            </w:r>
            <w:r>
              <w:rPr>
                <w:spacing w:val="4"/>
              </w:rPr>
              <w:t xml:space="preserve">  </w:t>
            </w:r>
            <w:r>
              <w:rPr>
                <w:spacing w:val="-4"/>
              </w:rPr>
              <w:t>扣完为止。</w:t>
            </w:r>
          </w:p>
        </w:tc>
      </w:tr>
      <w:tr w14:paraId="42B7CE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74" w:hRule="atLeast"/>
        </w:trPr>
        <w:tc>
          <w:tcPr>
            <w:tcW w:w="424" w:type="dxa"/>
            <w:vMerge w:val="continue"/>
            <w:tcBorders>
              <w:top w:val="nil"/>
              <w:bottom w:val="nil"/>
            </w:tcBorders>
            <w:vAlign w:val="top"/>
          </w:tcPr>
          <w:p w14:paraId="24A35662">
            <w:pPr>
              <w:rPr>
                <w:rFonts w:ascii="Arial"/>
                <w:sz w:val="21"/>
              </w:rPr>
            </w:pPr>
          </w:p>
        </w:tc>
        <w:tc>
          <w:tcPr>
            <w:tcW w:w="818" w:type="dxa"/>
            <w:tcBorders>
              <w:top w:val="single" w:color="000000" w:sz="2" w:space="0"/>
              <w:bottom w:val="single" w:color="000000" w:sz="2" w:space="0"/>
            </w:tcBorders>
            <w:vAlign w:val="top"/>
          </w:tcPr>
          <w:p w14:paraId="7A4E1A58">
            <w:pPr>
              <w:pStyle w:val="6"/>
              <w:spacing w:before="253" w:line="220" w:lineRule="auto"/>
              <w:ind w:left="60"/>
            </w:pPr>
            <w:r>
              <w:rPr>
                <w:spacing w:val="-2"/>
              </w:rPr>
              <w:t>种子染色</w:t>
            </w:r>
          </w:p>
        </w:tc>
        <w:tc>
          <w:tcPr>
            <w:tcW w:w="339" w:type="dxa"/>
            <w:tcBorders>
              <w:top w:val="single" w:color="000000" w:sz="2" w:space="0"/>
              <w:bottom w:val="single" w:color="000000" w:sz="2" w:space="0"/>
            </w:tcBorders>
            <w:vAlign w:val="top"/>
          </w:tcPr>
          <w:p w14:paraId="649DD576">
            <w:pPr>
              <w:pStyle w:val="6"/>
              <w:spacing w:before="295" w:line="184" w:lineRule="auto"/>
              <w:ind w:left="73"/>
            </w:pPr>
            <w:r>
              <w:rPr>
                <w:spacing w:val="-5"/>
              </w:rPr>
              <w:t>10</w:t>
            </w:r>
          </w:p>
        </w:tc>
        <w:tc>
          <w:tcPr>
            <w:tcW w:w="2556" w:type="dxa"/>
            <w:tcBorders>
              <w:top w:val="single" w:color="000000" w:sz="2" w:space="0"/>
              <w:bottom w:val="single" w:color="000000" w:sz="2" w:space="0"/>
            </w:tcBorders>
            <w:vAlign w:val="top"/>
          </w:tcPr>
          <w:p w14:paraId="71E682D1">
            <w:pPr>
              <w:pStyle w:val="6"/>
              <w:spacing w:before="42" w:line="225" w:lineRule="auto"/>
              <w:ind w:left="13"/>
              <w:jc w:val="both"/>
            </w:pPr>
            <w:r>
              <w:rPr>
                <w:spacing w:val="-7"/>
              </w:rPr>
              <w:t>红墨水加入适量，操作规范。完全</w:t>
            </w:r>
            <w:r>
              <w:rPr>
                <w:spacing w:val="2"/>
              </w:rPr>
              <w:t xml:space="preserve">  </w:t>
            </w:r>
            <w:r>
              <w:rPr>
                <w:spacing w:val="-5"/>
              </w:rPr>
              <w:t>正确得10分；红墨水加入过多过少</w:t>
            </w:r>
            <w:r>
              <w:rPr>
                <w:spacing w:val="1"/>
              </w:rPr>
              <w:t xml:space="preserve"> </w:t>
            </w:r>
            <w:r>
              <w:rPr>
                <w:spacing w:val="-6"/>
              </w:rPr>
              <w:t>扣4分；染色时间不足15min扣2分。</w:t>
            </w:r>
          </w:p>
        </w:tc>
      </w:tr>
      <w:tr w14:paraId="3BA1DD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44" w:hRule="atLeast"/>
        </w:trPr>
        <w:tc>
          <w:tcPr>
            <w:tcW w:w="424" w:type="dxa"/>
            <w:vMerge w:val="continue"/>
            <w:tcBorders>
              <w:top w:val="nil"/>
              <w:bottom w:val="nil"/>
            </w:tcBorders>
            <w:vAlign w:val="top"/>
          </w:tcPr>
          <w:p w14:paraId="5A83DB4D">
            <w:pPr>
              <w:rPr>
                <w:rFonts w:ascii="Arial"/>
                <w:sz w:val="21"/>
              </w:rPr>
            </w:pPr>
          </w:p>
        </w:tc>
        <w:tc>
          <w:tcPr>
            <w:tcW w:w="818" w:type="dxa"/>
            <w:tcBorders>
              <w:top w:val="single" w:color="000000" w:sz="2" w:space="0"/>
              <w:bottom w:val="single" w:color="000000" w:sz="2" w:space="0"/>
            </w:tcBorders>
            <w:vAlign w:val="top"/>
          </w:tcPr>
          <w:p w14:paraId="2FDAFAE8">
            <w:pPr>
              <w:pStyle w:val="6"/>
              <w:spacing w:before="243" w:line="219" w:lineRule="auto"/>
              <w:ind w:left="60"/>
            </w:pPr>
            <w:r>
              <w:rPr>
                <w:spacing w:val="-2"/>
              </w:rPr>
              <w:t>漂洗种子</w:t>
            </w:r>
          </w:p>
        </w:tc>
        <w:tc>
          <w:tcPr>
            <w:tcW w:w="339" w:type="dxa"/>
            <w:tcBorders>
              <w:top w:val="single" w:color="000000" w:sz="2" w:space="0"/>
              <w:bottom w:val="single" w:color="000000" w:sz="2" w:space="0"/>
            </w:tcBorders>
            <w:vAlign w:val="top"/>
          </w:tcPr>
          <w:p w14:paraId="01851871">
            <w:pPr>
              <w:pStyle w:val="6"/>
              <w:spacing w:before="286" w:line="184" w:lineRule="auto"/>
              <w:ind w:left="73"/>
            </w:pPr>
            <w:r>
              <w:rPr>
                <w:spacing w:val="-5"/>
              </w:rPr>
              <w:t>10</w:t>
            </w:r>
          </w:p>
        </w:tc>
        <w:tc>
          <w:tcPr>
            <w:tcW w:w="2556" w:type="dxa"/>
            <w:tcBorders>
              <w:top w:val="single" w:color="000000" w:sz="2" w:space="0"/>
              <w:bottom w:val="single" w:color="000000" w:sz="2" w:space="0"/>
            </w:tcBorders>
            <w:vAlign w:val="top"/>
          </w:tcPr>
          <w:p w14:paraId="0BA121FF">
            <w:pPr>
              <w:pStyle w:val="6"/>
              <w:spacing w:before="34" w:line="217" w:lineRule="auto"/>
              <w:ind w:left="13" w:right="14"/>
            </w:pPr>
            <w:r>
              <w:rPr>
                <w:spacing w:val="-3"/>
              </w:rPr>
              <w:t>漂洗操作规范，不掉落种子。完全</w:t>
            </w:r>
            <w:r>
              <w:rPr>
                <w:spacing w:val="11"/>
              </w:rPr>
              <w:t xml:space="preserve"> </w:t>
            </w:r>
            <w:r>
              <w:rPr>
                <w:spacing w:val="3"/>
              </w:rPr>
              <w:t>正确得10分；操作不规范或掉落</w:t>
            </w:r>
            <w:r>
              <w:rPr>
                <w:spacing w:val="1"/>
              </w:rPr>
              <w:t xml:space="preserve">  </w:t>
            </w:r>
            <w:r>
              <w:t>种子者酌情扣2-4分。</w:t>
            </w:r>
          </w:p>
        </w:tc>
      </w:tr>
      <w:tr w14:paraId="624DF5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74" w:hRule="atLeast"/>
        </w:trPr>
        <w:tc>
          <w:tcPr>
            <w:tcW w:w="424" w:type="dxa"/>
            <w:vMerge w:val="continue"/>
            <w:tcBorders>
              <w:top w:val="nil"/>
              <w:bottom w:val="single" w:color="000000" w:sz="2" w:space="0"/>
            </w:tcBorders>
            <w:vAlign w:val="top"/>
          </w:tcPr>
          <w:p w14:paraId="535A14B1">
            <w:pPr>
              <w:rPr>
                <w:rFonts w:ascii="Arial"/>
                <w:sz w:val="21"/>
              </w:rPr>
            </w:pPr>
          </w:p>
        </w:tc>
        <w:tc>
          <w:tcPr>
            <w:tcW w:w="818" w:type="dxa"/>
            <w:tcBorders>
              <w:top w:val="single" w:color="000000" w:sz="2" w:space="0"/>
              <w:bottom w:val="single" w:color="000000" w:sz="2" w:space="0"/>
            </w:tcBorders>
            <w:vAlign w:val="top"/>
          </w:tcPr>
          <w:p w14:paraId="1E349B4D">
            <w:pPr>
              <w:pStyle w:val="6"/>
              <w:spacing w:before="174" w:line="220" w:lineRule="auto"/>
              <w:ind w:left="140"/>
            </w:pPr>
            <w:r>
              <w:rPr>
                <w:spacing w:val="-2"/>
              </w:rPr>
              <w:t>鉴别活</w:t>
            </w:r>
          </w:p>
          <w:p w14:paraId="5680760D">
            <w:pPr>
              <w:pStyle w:val="6"/>
              <w:spacing w:before="7" w:line="220" w:lineRule="auto"/>
              <w:ind w:left="230"/>
            </w:pPr>
            <w:r>
              <w:rPr>
                <w:spacing w:val="-2"/>
              </w:rPr>
              <w:t>种子</w:t>
            </w:r>
          </w:p>
        </w:tc>
        <w:tc>
          <w:tcPr>
            <w:tcW w:w="339" w:type="dxa"/>
            <w:tcBorders>
              <w:top w:val="single" w:color="000000" w:sz="2" w:space="0"/>
              <w:bottom w:val="single" w:color="000000" w:sz="2" w:space="0"/>
            </w:tcBorders>
            <w:vAlign w:val="top"/>
          </w:tcPr>
          <w:p w14:paraId="6C874117">
            <w:pPr>
              <w:rPr>
                <w:rFonts w:ascii="Arial"/>
                <w:sz w:val="21"/>
              </w:rPr>
            </w:pPr>
          </w:p>
          <w:p w14:paraId="1E6B30B1">
            <w:pPr>
              <w:pStyle w:val="6"/>
              <w:spacing w:before="55" w:line="184" w:lineRule="auto"/>
              <w:ind w:left="73"/>
            </w:pPr>
            <w:r>
              <w:rPr>
                <w:spacing w:val="-5"/>
              </w:rPr>
              <w:t>17</w:t>
            </w:r>
          </w:p>
        </w:tc>
        <w:tc>
          <w:tcPr>
            <w:tcW w:w="2556" w:type="dxa"/>
            <w:tcBorders>
              <w:top w:val="single" w:color="000000" w:sz="2" w:space="0"/>
              <w:bottom w:val="single" w:color="000000" w:sz="2" w:space="0"/>
            </w:tcBorders>
            <w:vAlign w:val="top"/>
          </w:tcPr>
          <w:p w14:paraId="17393FAF">
            <w:pPr>
              <w:pStyle w:val="6"/>
              <w:spacing w:before="45" w:line="224" w:lineRule="auto"/>
              <w:ind w:left="23" w:right="7" w:hanging="10"/>
              <w:jc w:val="both"/>
            </w:pPr>
            <w:r>
              <w:rPr>
                <w:spacing w:val="-3"/>
              </w:rPr>
              <w:t>鉴别正确，操作规范。完全正确得</w:t>
            </w:r>
            <w:r>
              <w:rPr>
                <w:spacing w:val="10"/>
              </w:rPr>
              <w:t xml:space="preserve"> </w:t>
            </w:r>
            <w:r>
              <w:rPr>
                <w:spacing w:val="3"/>
              </w:rPr>
              <w:t>17分；错误判断一粒种子扣1分，</w:t>
            </w:r>
            <w:r>
              <w:t xml:space="preserve"> </w:t>
            </w:r>
            <w:r>
              <w:rPr>
                <w:spacing w:val="-1"/>
              </w:rPr>
              <w:t>17分扣完为止。</w:t>
            </w:r>
          </w:p>
        </w:tc>
      </w:tr>
      <w:tr w14:paraId="5B70F0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84" w:hRule="atLeast"/>
        </w:trPr>
        <w:tc>
          <w:tcPr>
            <w:tcW w:w="424" w:type="dxa"/>
            <w:vMerge w:val="restart"/>
            <w:tcBorders>
              <w:top w:val="single" w:color="000000" w:sz="2" w:space="0"/>
              <w:bottom w:val="nil"/>
            </w:tcBorders>
            <w:vAlign w:val="top"/>
          </w:tcPr>
          <w:p w14:paraId="778AB6B7">
            <w:pPr>
              <w:spacing w:line="268" w:lineRule="auto"/>
              <w:rPr>
                <w:rFonts w:ascii="Arial"/>
                <w:sz w:val="21"/>
              </w:rPr>
            </w:pPr>
          </w:p>
          <w:p w14:paraId="7F0D600C">
            <w:pPr>
              <w:spacing w:line="269" w:lineRule="auto"/>
              <w:rPr>
                <w:rFonts w:ascii="Arial"/>
                <w:sz w:val="21"/>
              </w:rPr>
            </w:pPr>
          </w:p>
          <w:p w14:paraId="1F241AEB">
            <w:pPr>
              <w:pStyle w:val="6"/>
              <w:spacing w:before="55" w:line="231" w:lineRule="auto"/>
              <w:ind w:left="34" w:right="26"/>
              <w:jc w:val="both"/>
            </w:pPr>
            <w:r>
              <w:rPr>
                <w:spacing w:val="6"/>
              </w:rPr>
              <w:t>填写</w:t>
            </w:r>
            <w:r>
              <w:t xml:space="preserve"> </w:t>
            </w:r>
            <w:r>
              <w:rPr>
                <w:spacing w:val="-3"/>
              </w:rPr>
              <w:t>记录</w:t>
            </w:r>
            <w:r>
              <w:t xml:space="preserve"> </w:t>
            </w:r>
            <w:r>
              <w:rPr>
                <w:spacing w:val="-3"/>
              </w:rPr>
              <w:t>表并</w:t>
            </w:r>
            <w:r>
              <w:t xml:space="preserve"> </w:t>
            </w:r>
            <w:r>
              <w:rPr>
                <w:spacing w:val="-2"/>
              </w:rPr>
              <w:t>计算</w:t>
            </w:r>
          </w:p>
        </w:tc>
        <w:tc>
          <w:tcPr>
            <w:tcW w:w="818" w:type="dxa"/>
            <w:tcBorders>
              <w:top w:val="single" w:color="000000" w:sz="2" w:space="0"/>
              <w:bottom w:val="single" w:color="000000" w:sz="2" w:space="0"/>
            </w:tcBorders>
            <w:vAlign w:val="top"/>
          </w:tcPr>
          <w:p w14:paraId="22243F7E">
            <w:pPr>
              <w:spacing w:line="417" w:lineRule="auto"/>
              <w:rPr>
                <w:rFonts w:ascii="Arial"/>
                <w:sz w:val="21"/>
              </w:rPr>
            </w:pPr>
          </w:p>
          <w:p w14:paraId="69CA3E23">
            <w:pPr>
              <w:pStyle w:val="6"/>
              <w:spacing w:before="55" w:line="219" w:lineRule="auto"/>
              <w:ind w:left="230"/>
            </w:pPr>
            <w:r>
              <w:rPr>
                <w:spacing w:val="-2"/>
              </w:rPr>
              <w:t>计算</w:t>
            </w:r>
          </w:p>
        </w:tc>
        <w:tc>
          <w:tcPr>
            <w:tcW w:w="339" w:type="dxa"/>
            <w:tcBorders>
              <w:top w:val="single" w:color="000000" w:sz="2" w:space="0"/>
              <w:bottom w:val="single" w:color="000000" w:sz="2" w:space="0"/>
            </w:tcBorders>
            <w:vAlign w:val="top"/>
          </w:tcPr>
          <w:p w14:paraId="343706C0">
            <w:pPr>
              <w:spacing w:line="479" w:lineRule="auto"/>
              <w:rPr>
                <w:rFonts w:ascii="Arial"/>
                <w:sz w:val="21"/>
              </w:rPr>
            </w:pPr>
          </w:p>
          <w:p w14:paraId="06B454C8">
            <w:pPr>
              <w:pStyle w:val="6"/>
              <w:spacing w:before="55" w:line="184" w:lineRule="auto"/>
              <w:ind w:left="73"/>
            </w:pPr>
            <w:r>
              <w:rPr>
                <w:spacing w:val="-5"/>
              </w:rPr>
              <w:t>16</w:t>
            </w:r>
          </w:p>
        </w:tc>
        <w:tc>
          <w:tcPr>
            <w:tcW w:w="2556" w:type="dxa"/>
            <w:tcBorders>
              <w:top w:val="single" w:color="000000" w:sz="2" w:space="0"/>
              <w:bottom w:val="single" w:color="000000" w:sz="2" w:space="0"/>
            </w:tcBorders>
            <w:vAlign w:val="top"/>
          </w:tcPr>
          <w:p w14:paraId="4B08303F">
            <w:pPr>
              <w:pStyle w:val="6"/>
              <w:spacing w:before="35" w:line="236" w:lineRule="auto"/>
              <w:ind w:left="13" w:firstLine="59"/>
            </w:pPr>
            <w:r>
              <w:rPr>
                <w:spacing w:val="-2"/>
              </w:rPr>
              <w:t>按实际鉴别结果进行统计，并能</w:t>
            </w:r>
            <w:r>
              <w:rPr>
                <w:spacing w:val="5"/>
              </w:rPr>
              <w:t xml:space="preserve">  </w:t>
            </w:r>
            <w:r>
              <w:rPr>
                <w:spacing w:val="-2"/>
              </w:rPr>
              <w:t>正确计算出活种子百分数。完全正</w:t>
            </w:r>
          </w:p>
          <w:p w14:paraId="19F991CE">
            <w:pPr>
              <w:pStyle w:val="6"/>
              <w:spacing w:before="3" w:line="217" w:lineRule="auto"/>
              <w:ind w:left="34" w:right="143" w:firstLine="79"/>
            </w:pPr>
            <w:r>
              <w:rPr>
                <w:spacing w:val="-1"/>
              </w:rPr>
              <w:t>确得16分；统计错误扣8分；计</w:t>
            </w:r>
            <w:r>
              <w:rPr>
                <w:spacing w:val="7"/>
              </w:rPr>
              <w:t xml:space="preserve"> </w:t>
            </w:r>
            <w:r>
              <w:rPr>
                <w:spacing w:val="-1"/>
              </w:rPr>
              <w:t>算错误扣8分。</w:t>
            </w:r>
          </w:p>
        </w:tc>
      </w:tr>
      <w:tr w14:paraId="143C53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54" w:hRule="atLeast"/>
        </w:trPr>
        <w:tc>
          <w:tcPr>
            <w:tcW w:w="424" w:type="dxa"/>
            <w:vMerge w:val="continue"/>
            <w:tcBorders>
              <w:top w:val="nil"/>
              <w:bottom w:val="single" w:color="000000" w:sz="2" w:space="0"/>
            </w:tcBorders>
            <w:vAlign w:val="top"/>
          </w:tcPr>
          <w:p w14:paraId="3785BED3">
            <w:pPr>
              <w:rPr>
                <w:rFonts w:ascii="Arial"/>
                <w:sz w:val="21"/>
              </w:rPr>
            </w:pPr>
          </w:p>
        </w:tc>
        <w:tc>
          <w:tcPr>
            <w:tcW w:w="818" w:type="dxa"/>
            <w:tcBorders>
              <w:top w:val="single" w:color="000000" w:sz="2" w:space="0"/>
              <w:bottom w:val="single" w:color="000000" w:sz="2" w:space="0"/>
            </w:tcBorders>
            <w:vAlign w:val="top"/>
          </w:tcPr>
          <w:p w14:paraId="2B335D97">
            <w:pPr>
              <w:pStyle w:val="6"/>
              <w:spacing w:before="156" w:line="220" w:lineRule="auto"/>
              <w:ind w:left="140"/>
            </w:pPr>
            <w:r>
              <w:rPr>
                <w:spacing w:val="-2"/>
              </w:rPr>
              <w:t>填写记</w:t>
            </w:r>
          </w:p>
          <w:p w14:paraId="65415016">
            <w:pPr>
              <w:pStyle w:val="6"/>
              <w:spacing w:before="7" w:line="221" w:lineRule="auto"/>
              <w:ind w:left="230"/>
            </w:pPr>
            <w:r>
              <w:rPr>
                <w:spacing w:val="-2"/>
              </w:rPr>
              <w:t>录表</w:t>
            </w:r>
          </w:p>
        </w:tc>
        <w:tc>
          <w:tcPr>
            <w:tcW w:w="339" w:type="dxa"/>
            <w:tcBorders>
              <w:top w:val="single" w:color="000000" w:sz="2" w:space="0"/>
              <w:bottom w:val="single" w:color="000000" w:sz="2" w:space="0"/>
            </w:tcBorders>
            <w:vAlign w:val="top"/>
          </w:tcPr>
          <w:p w14:paraId="2279AA77">
            <w:pPr>
              <w:pStyle w:val="6"/>
              <w:spacing w:before="288" w:line="184" w:lineRule="auto"/>
              <w:ind w:left="73"/>
            </w:pPr>
            <w:r>
              <w:rPr>
                <w:spacing w:val="-5"/>
              </w:rPr>
              <w:t>10</w:t>
            </w:r>
          </w:p>
        </w:tc>
        <w:tc>
          <w:tcPr>
            <w:tcW w:w="2556" w:type="dxa"/>
            <w:tcBorders>
              <w:top w:val="single" w:color="000000" w:sz="2" w:space="0"/>
              <w:bottom w:val="single" w:color="000000" w:sz="2" w:space="0"/>
            </w:tcBorders>
            <w:vAlign w:val="top"/>
          </w:tcPr>
          <w:p w14:paraId="01D86ADB">
            <w:pPr>
              <w:pStyle w:val="6"/>
              <w:spacing w:before="36" w:line="220" w:lineRule="auto"/>
              <w:ind w:left="13" w:right="190" w:firstLine="139"/>
            </w:pPr>
            <w:r>
              <w:rPr>
                <w:spacing w:val="-1"/>
              </w:rPr>
              <w:t>按实际鉴别出的种子数正确填</w:t>
            </w:r>
            <w:r>
              <w:rPr>
                <w:spacing w:val="4"/>
              </w:rPr>
              <w:t xml:space="preserve"> </w:t>
            </w:r>
            <w:r>
              <w:rPr>
                <w:spacing w:val="6"/>
              </w:rPr>
              <w:t>写记录表。完全正确得10分；</w:t>
            </w:r>
            <w:r>
              <w:t xml:space="preserve"> 填写与实际不符扣3-5分。</w:t>
            </w:r>
          </w:p>
        </w:tc>
      </w:tr>
      <w:tr w14:paraId="2BEAEF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89" w:hRule="atLeast"/>
        </w:trPr>
        <w:tc>
          <w:tcPr>
            <w:tcW w:w="424" w:type="dxa"/>
            <w:tcBorders>
              <w:top w:val="single" w:color="000000" w:sz="2" w:space="0"/>
              <w:bottom w:val="single" w:color="000000" w:sz="2" w:space="0"/>
            </w:tcBorders>
            <w:vAlign w:val="top"/>
          </w:tcPr>
          <w:p w14:paraId="42D6C8C0">
            <w:pPr>
              <w:pStyle w:val="6"/>
              <w:spacing w:before="53" w:line="224" w:lineRule="auto"/>
              <w:ind w:left="34" w:right="20"/>
              <w:jc w:val="both"/>
            </w:pPr>
            <w:r>
              <w:rPr>
                <w:spacing w:val="-4"/>
              </w:rPr>
              <w:t>整理</w:t>
            </w:r>
            <w:r>
              <w:t xml:space="preserve"> </w:t>
            </w:r>
            <w:r>
              <w:rPr>
                <w:spacing w:val="-4"/>
              </w:rPr>
              <w:t>仪器</w:t>
            </w:r>
            <w:r>
              <w:t xml:space="preserve"> </w:t>
            </w:r>
            <w:r>
              <w:rPr>
                <w:spacing w:val="-4"/>
              </w:rPr>
              <w:t>和实</w:t>
            </w:r>
            <w:r>
              <w:t xml:space="preserve"> </w:t>
            </w:r>
            <w:r>
              <w:rPr>
                <w:spacing w:val="9"/>
              </w:rPr>
              <w:t>验台</w:t>
            </w:r>
          </w:p>
        </w:tc>
        <w:tc>
          <w:tcPr>
            <w:tcW w:w="818" w:type="dxa"/>
            <w:tcBorders>
              <w:top w:val="single" w:color="000000" w:sz="2" w:space="0"/>
              <w:bottom w:val="single" w:color="000000" w:sz="2" w:space="0"/>
            </w:tcBorders>
            <w:vAlign w:val="top"/>
          </w:tcPr>
          <w:p w14:paraId="23CF1E8D">
            <w:pPr>
              <w:pStyle w:val="6"/>
              <w:spacing w:before="257" w:line="220" w:lineRule="auto"/>
              <w:ind w:left="140"/>
            </w:pPr>
            <w:r>
              <w:rPr>
                <w:spacing w:val="-2"/>
              </w:rPr>
              <w:t>清洁实</w:t>
            </w:r>
          </w:p>
          <w:p w14:paraId="6AF7A1CA">
            <w:pPr>
              <w:pStyle w:val="6"/>
              <w:spacing w:before="39" w:line="221" w:lineRule="auto"/>
              <w:ind w:left="230"/>
            </w:pPr>
            <w:r>
              <w:rPr>
                <w:spacing w:val="9"/>
              </w:rPr>
              <w:t>验台</w:t>
            </w:r>
          </w:p>
        </w:tc>
        <w:tc>
          <w:tcPr>
            <w:tcW w:w="339" w:type="dxa"/>
            <w:tcBorders>
              <w:top w:val="single" w:color="000000" w:sz="2" w:space="0"/>
              <w:bottom w:val="single" w:color="000000" w:sz="2" w:space="0"/>
            </w:tcBorders>
            <w:vAlign w:val="top"/>
          </w:tcPr>
          <w:p w14:paraId="41E0431A">
            <w:pPr>
              <w:spacing w:line="353" w:lineRule="auto"/>
              <w:rPr>
                <w:rFonts w:ascii="Arial"/>
                <w:sz w:val="21"/>
              </w:rPr>
            </w:pPr>
          </w:p>
          <w:p w14:paraId="3786B7B1">
            <w:pPr>
              <w:pStyle w:val="6"/>
              <w:spacing w:before="55" w:line="183" w:lineRule="auto"/>
              <w:ind w:left="113"/>
            </w:pPr>
            <w:r>
              <w:t>8</w:t>
            </w:r>
          </w:p>
        </w:tc>
        <w:tc>
          <w:tcPr>
            <w:tcW w:w="2556" w:type="dxa"/>
            <w:tcBorders>
              <w:top w:val="single" w:color="000000" w:sz="2" w:space="0"/>
              <w:bottom w:val="single" w:color="000000" w:sz="2" w:space="0"/>
            </w:tcBorders>
            <w:vAlign w:val="top"/>
          </w:tcPr>
          <w:p w14:paraId="06E83C9A">
            <w:pPr>
              <w:pStyle w:val="6"/>
              <w:spacing w:before="146" w:line="247" w:lineRule="auto"/>
              <w:ind w:left="22" w:hanging="9"/>
              <w:jc w:val="both"/>
            </w:pPr>
            <w:r>
              <w:rPr>
                <w:spacing w:val="-2"/>
              </w:rPr>
              <w:t>整理实验器材，清洁实验台。正确</w:t>
            </w:r>
            <w:r>
              <w:rPr>
                <w:spacing w:val="11"/>
              </w:rPr>
              <w:t xml:space="preserve"> </w:t>
            </w:r>
            <w:r>
              <w:t>得8分；整理不干净，清洁不彻底</w:t>
            </w:r>
            <w:r>
              <w:rPr>
                <w:spacing w:val="3"/>
              </w:rPr>
              <w:t xml:space="preserve"> </w:t>
            </w:r>
            <w:r>
              <w:t>者酌情扣2-3分。</w:t>
            </w:r>
          </w:p>
        </w:tc>
      </w:tr>
    </w:tbl>
    <w:p w14:paraId="64921044">
      <w:pPr>
        <w:pStyle w:val="2"/>
        <w:spacing w:line="14" w:lineRule="auto"/>
        <w:rPr>
          <w:sz w:val="2"/>
        </w:rPr>
      </w:pPr>
    </w:p>
    <w:p w14:paraId="59A7A553">
      <w:pPr>
        <w:pStyle w:val="2"/>
        <w:spacing w:line="14" w:lineRule="auto"/>
        <w:rPr>
          <w:sz w:val="2"/>
        </w:rPr>
      </w:pPr>
      <w:r>
        <w:rPr>
          <w:sz w:val="2"/>
          <w:szCs w:val="2"/>
        </w:rPr>
        <w:br w:type="column"/>
      </w:r>
    </w:p>
    <w:p w14:paraId="7BCD2149">
      <w:pPr>
        <w:spacing w:line="96" w:lineRule="auto"/>
        <w:rPr>
          <w:rFonts w:ascii="Arial"/>
          <w:sz w:val="2"/>
        </w:rPr>
      </w:pPr>
    </w:p>
    <w:tbl>
      <w:tblPr>
        <w:tblStyle w:val="5"/>
        <w:tblW w:w="4130" w:type="dxa"/>
        <w:tblInd w:w="2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424"/>
        <w:gridCol w:w="818"/>
        <w:gridCol w:w="339"/>
        <w:gridCol w:w="2549"/>
      </w:tblGrid>
      <w:tr w14:paraId="411DA6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1" w:hRule="atLeast"/>
        </w:trPr>
        <w:tc>
          <w:tcPr>
            <w:tcW w:w="424" w:type="dxa"/>
            <w:shd w:val="clear" w:color="auto" w:fill="231F20"/>
            <w:vAlign w:val="top"/>
          </w:tcPr>
          <w:p w14:paraId="4902D327">
            <w:pPr>
              <w:pStyle w:val="6"/>
              <w:spacing w:before="79" w:line="221" w:lineRule="auto"/>
              <w:ind w:left="37" w:right="43"/>
            </w:pPr>
            <w:r>
              <w:rPr>
                <w:b/>
                <w:bCs/>
                <w:color w:val="FFFFFF"/>
                <w:spacing w:val="-6"/>
              </w:rPr>
              <w:t>测试</w:t>
            </w:r>
            <w:r>
              <w:rPr>
                <w:color w:val="FFFFFF"/>
              </w:rPr>
              <w:t xml:space="preserve"> </w:t>
            </w:r>
            <w:r>
              <w:rPr>
                <w:b/>
                <w:bCs/>
                <w:color w:val="FFFFFF"/>
                <w:spacing w:val="-6"/>
              </w:rPr>
              <w:t>要点</w:t>
            </w:r>
          </w:p>
        </w:tc>
        <w:tc>
          <w:tcPr>
            <w:tcW w:w="818" w:type="dxa"/>
            <w:vAlign w:val="top"/>
          </w:tcPr>
          <w:p w14:paraId="713D1B47">
            <w:pPr>
              <w:pStyle w:val="6"/>
              <w:spacing w:before="199" w:line="219" w:lineRule="auto"/>
              <w:ind w:left="63"/>
            </w:pPr>
            <w:r>
              <w:rPr>
                <w:b/>
                <w:bCs/>
                <w:spacing w:val="-4"/>
              </w:rPr>
              <w:t>测试内容</w:t>
            </w:r>
          </w:p>
        </w:tc>
        <w:tc>
          <w:tcPr>
            <w:tcW w:w="339" w:type="dxa"/>
            <w:textDirection w:val="tbRlV"/>
            <w:vAlign w:val="top"/>
          </w:tcPr>
          <w:p w14:paraId="4EF35103">
            <w:pPr>
              <w:pStyle w:val="6"/>
              <w:spacing w:before="92" w:line="201" w:lineRule="auto"/>
              <w:ind w:left="92"/>
            </w:pPr>
            <w:r>
              <w:rPr>
                <w:b/>
                <w:bCs/>
                <w:spacing w:val="-2"/>
              </w:rPr>
              <w:t>分值</w:t>
            </w:r>
          </w:p>
        </w:tc>
        <w:tc>
          <w:tcPr>
            <w:tcW w:w="2549" w:type="dxa"/>
            <w:vAlign w:val="top"/>
          </w:tcPr>
          <w:p w14:paraId="2E5047E2">
            <w:pPr>
              <w:pStyle w:val="6"/>
              <w:spacing w:before="200" w:line="220" w:lineRule="auto"/>
              <w:ind w:left="926"/>
            </w:pPr>
            <w:r>
              <w:rPr>
                <w:b/>
                <w:bCs/>
                <w:spacing w:val="-3"/>
              </w:rPr>
              <w:t>评分标准</w:t>
            </w:r>
          </w:p>
        </w:tc>
      </w:tr>
      <w:tr w14:paraId="6F0780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36" w:hRule="atLeast"/>
        </w:trPr>
        <w:tc>
          <w:tcPr>
            <w:tcW w:w="424" w:type="dxa"/>
            <w:vAlign w:val="top"/>
          </w:tcPr>
          <w:p w14:paraId="42832292">
            <w:pPr>
              <w:pStyle w:val="6"/>
              <w:spacing w:before="130" w:line="230" w:lineRule="auto"/>
              <w:ind w:left="34" w:right="44"/>
            </w:pPr>
            <w:r>
              <w:rPr>
                <w:spacing w:val="-3"/>
              </w:rPr>
              <w:t>操作</w:t>
            </w:r>
            <w:r>
              <w:t xml:space="preserve"> </w:t>
            </w:r>
            <w:r>
              <w:rPr>
                <w:spacing w:val="-3"/>
              </w:rPr>
              <w:t>速度</w:t>
            </w:r>
          </w:p>
        </w:tc>
        <w:tc>
          <w:tcPr>
            <w:tcW w:w="818" w:type="dxa"/>
            <w:vAlign w:val="top"/>
          </w:tcPr>
          <w:p w14:paraId="40138938">
            <w:pPr>
              <w:pStyle w:val="6"/>
              <w:spacing w:before="131" w:line="248" w:lineRule="auto"/>
              <w:ind w:left="230" w:right="72" w:hanging="169"/>
            </w:pPr>
            <w:r>
              <w:rPr>
                <w:spacing w:val="-2"/>
              </w:rPr>
              <w:t>操作熟练</w:t>
            </w:r>
            <w:r>
              <w:rPr>
                <w:spacing w:val="1"/>
              </w:rPr>
              <w:t xml:space="preserve"> </w:t>
            </w:r>
            <w:r>
              <w:rPr>
                <w:spacing w:val="-2"/>
              </w:rPr>
              <w:t>程度</w:t>
            </w:r>
          </w:p>
        </w:tc>
        <w:tc>
          <w:tcPr>
            <w:tcW w:w="339" w:type="dxa"/>
            <w:vAlign w:val="top"/>
          </w:tcPr>
          <w:p w14:paraId="55CD5EC1">
            <w:pPr>
              <w:pStyle w:val="6"/>
              <w:spacing w:before="283" w:line="184" w:lineRule="auto"/>
              <w:ind w:left="73"/>
            </w:pPr>
            <w:r>
              <w:rPr>
                <w:spacing w:val="-5"/>
              </w:rPr>
              <w:t>12</w:t>
            </w:r>
          </w:p>
        </w:tc>
        <w:tc>
          <w:tcPr>
            <w:tcW w:w="2549" w:type="dxa"/>
            <w:vAlign w:val="top"/>
          </w:tcPr>
          <w:p w14:paraId="50FAB7A0">
            <w:pPr>
              <w:pStyle w:val="6"/>
              <w:spacing w:before="141" w:line="247" w:lineRule="auto"/>
              <w:ind w:left="13" w:firstLine="58"/>
            </w:pPr>
            <w:r>
              <w:rPr>
                <w:spacing w:val="-5"/>
              </w:rPr>
              <w:t>在30分钟内完成得12分，每延长</w:t>
            </w:r>
            <w:r>
              <w:t xml:space="preserve">   </w:t>
            </w:r>
            <w:r>
              <w:rPr>
                <w:spacing w:val="-11"/>
              </w:rPr>
              <w:t>1分钟，扣1分，直到扣完12分为止。</w:t>
            </w:r>
          </w:p>
        </w:tc>
      </w:tr>
      <w:tr w14:paraId="4BAE8C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3" w:hRule="atLeast"/>
        </w:trPr>
        <w:tc>
          <w:tcPr>
            <w:tcW w:w="1242" w:type="dxa"/>
            <w:gridSpan w:val="2"/>
            <w:vAlign w:val="top"/>
          </w:tcPr>
          <w:p w14:paraId="094BEEE8">
            <w:pPr>
              <w:pStyle w:val="6"/>
              <w:spacing w:before="85" w:line="220" w:lineRule="auto"/>
              <w:ind w:left="435"/>
            </w:pPr>
            <w:r>
              <w:rPr>
                <w:spacing w:val="-3"/>
              </w:rPr>
              <w:t>总分</w:t>
            </w:r>
          </w:p>
        </w:tc>
        <w:tc>
          <w:tcPr>
            <w:tcW w:w="339" w:type="dxa"/>
            <w:vAlign w:val="top"/>
          </w:tcPr>
          <w:p w14:paraId="277ACA67">
            <w:pPr>
              <w:pStyle w:val="6"/>
              <w:spacing w:before="127" w:line="184" w:lineRule="auto"/>
              <w:ind w:left="32"/>
            </w:pPr>
            <w:r>
              <w:rPr>
                <w:spacing w:val="-5"/>
              </w:rPr>
              <w:t>100</w:t>
            </w:r>
          </w:p>
        </w:tc>
        <w:tc>
          <w:tcPr>
            <w:tcW w:w="2549" w:type="dxa"/>
            <w:vAlign w:val="top"/>
          </w:tcPr>
          <w:p w14:paraId="50ADB177">
            <w:pPr>
              <w:rPr>
                <w:rFonts w:ascii="Arial"/>
                <w:sz w:val="21"/>
              </w:rPr>
            </w:pPr>
          </w:p>
        </w:tc>
      </w:tr>
    </w:tbl>
    <w:p w14:paraId="7CEE9523">
      <w:pPr>
        <w:pStyle w:val="2"/>
        <w:spacing w:line="264" w:lineRule="auto"/>
      </w:pPr>
    </w:p>
    <w:p w14:paraId="6EF6070B">
      <w:pPr>
        <w:spacing w:before="75" w:line="219" w:lineRule="auto"/>
        <w:ind w:left="1633"/>
        <w:rPr>
          <w:rFonts w:ascii="宋体" w:hAnsi="宋体" w:eastAsia="宋体" w:cs="宋体"/>
          <w:sz w:val="23"/>
          <w:szCs w:val="23"/>
        </w:rPr>
      </w:pPr>
      <w:r>
        <w:rPr>
          <w:rFonts w:ascii="宋体" w:hAnsi="宋体" w:eastAsia="宋体" w:cs="宋体"/>
          <w:b/>
          <w:bCs/>
          <w:spacing w:val="-5"/>
          <w:sz w:val="23"/>
          <w:szCs w:val="23"/>
        </w:rPr>
        <w:t>第二部分</w:t>
      </w:r>
    </w:p>
    <w:p w14:paraId="6807D138">
      <w:pPr>
        <w:pStyle w:val="2"/>
      </w:pPr>
    </w:p>
    <w:p w14:paraId="419103BC">
      <w:pPr>
        <w:spacing w:before="55" w:line="310" w:lineRule="auto"/>
        <w:ind w:right="74" w:firstLine="359"/>
        <w:jc w:val="both"/>
        <w:rPr>
          <w:rFonts w:ascii="宋体" w:hAnsi="宋体" w:eastAsia="宋体" w:cs="宋体"/>
          <w:sz w:val="17"/>
          <w:szCs w:val="17"/>
        </w:rPr>
      </w:pPr>
      <w:r>
        <w:rPr>
          <w:rFonts w:ascii="宋体" w:hAnsi="宋体" w:eastAsia="宋体" w:cs="宋体"/>
          <w:spacing w:val="-1"/>
          <w:sz w:val="17"/>
          <w:szCs w:val="17"/>
        </w:rPr>
        <w:t>本技能测试纲要是以《教育部中等职业学校农林牧</w:t>
      </w:r>
      <w:r>
        <w:rPr>
          <w:rFonts w:ascii="宋体" w:hAnsi="宋体" w:eastAsia="宋体" w:cs="宋体"/>
          <w:spacing w:val="13"/>
          <w:sz w:val="17"/>
          <w:szCs w:val="17"/>
        </w:rPr>
        <w:t xml:space="preserve"> </w:t>
      </w:r>
      <w:r>
        <w:rPr>
          <w:rFonts w:ascii="宋体" w:hAnsi="宋体" w:eastAsia="宋体" w:cs="宋体"/>
          <w:spacing w:val="9"/>
          <w:sz w:val="17"/>
          <w:szCs w:val="17"/>
        </w:rPr>
        <w:t>渔类专业教学标准(试行)》以及国家相关职业技能考</w:t>
      </w:r>
      <w:r>
        <w:rPr>
          <w:rFonts w:ascii="宋体" w:hAnsi="宋体" w:eastAsia="宋体" w:cs="宋体"/>
          <w:sz w:val="17"/>
          <w:szCs w:val="17"/>
        </w:rPr>
        <w:t xml:space="preserve"> </w:t>
      </w:r>
      <w:r>
        <w:rPr>
          <w:rFonts w:ascii="宋体" w:hAnsi="宋体" w:eastAsia="宋体" w:cs="宋体"/>
          <w:spacing w:val="2"/>
          <w:sz w:val="17"/>
          <w:szCs w:val="17"/>
        </w:rPr>
        <w:t>试规范为依据，结合学生进入高等院校继续学习所必须</w:t>
      </w:r>
      <w:r>
        <w:rPr>
          <w:rFonts w:ascii="宋体" w:hAnsi="宋体" w:eastAsia="宋体" w:cs="宋体"/>
          <w:sz w:val="17"/>
          <w:szCs w:val="17"/>
        </w:rPr>
        <w:t xml:space="preserve"> </w:t>
      </w:r>
      <w:r>
        <w:rPr>
          <w:rFonts w:ascii="宋体" w:hAnsi="宋体" w:eastAsia="宋体" w:cs="宋体"/>
          <w:spacing w:val="2"/>
          <w:sz w:val="17"/>
          <w:szCs w:val="17"/>
        </w:rPr>
        <w:t xml:space="preserve">具备的专业基础技能和安徽省中等职业学校专业教学指 </w:t>
      </w:r>
      <w:r>
        <w:rPr>
          <w:rFonts w:ascii="宋体" w:hAnsi="宋体" w:eastAsia="宋体" w:cs="宋体"/>
          <w:spacing w:val="-2"/>
          <w:sz w:val="17"/>
          <w:szCs w:val="17"/>
        </w:rPr>
        <w:t>导方案实施制定。</w:t>
      </w:r>
    </w:p>
    <w:p w14:paraId="08943772">
      <w:pPr>
        <w:spacing w:before="44" w:line="297" w:lineRule="auto"/>
        <w:ind w:firstLine="359"/>
        <w:jc w:val="both"/>
        <w:rPr>
          <w:rFonts w:ascii="宋体" w:hAnsi="宋体" w:eastAsia="宋体" w:cs="宋体"/>
          <w:sz w:val="17"/>
          <w:szCs w:val="17"/>
        </w:rPr>
      </w:pPr>
      <w:r>
        <w:rPr>
          <w:rFonts w:ascii="宋体" w:hAnsi="宋体" w:eastAsia="宋体" w:cs="宋体"/>
          <w:spacing w:val="8"/>
          <w:sz w:val="17"/>
          <w:szCs w:val="17"/>
        </w:rPr>
        <w:t>测试共5项，其中第1项为必测内容，第2、3</w:t>
      </w:r>
      <w:r>
        <w:rPr>
          <w:rFonts w:ascii="宋体" w:hAnsi="宋体" w:eastAsia="宋体" w:cs="宋体"/>
          <w:spacing w:val="7"/>
          <w:sz w:val="17"/>
          <w:szCs w:val="17"/>
        </w:rPr>
        <w:t>、4、</w:t>
      </w:r>
      <w:r>
        <w:rPr>
          <w:rFonts w:ascii="宋体" w:hAnsi="宋体" w:eastAsia="宋体" w:cs="宋体"/>
          <w:sz w:val="17"/>
          <w:szCs w:val="17"/>
        </w:rPr>
        <w:t xml:space="preserve"> </w:t>
      </w:r>
      <w:r>
        <w:rPr>
          <w:rFonts w:ascii="宋体" w:hAnsi="宋体" w:eastAsia="宋体" w:cs="宋体"/>
          <w:spacing w:val="5"/>
          <w:sz w:val="17"/>
          <w:szCs w:val="17"/>
        </w:rPr>
        <w:t xml:space="preserve">5项为选测项，学生可在其中随机抽选一项测试，也可  </w:t>
      </w:r>
      <w:r>
        <w:rPr>
          <w:rFonts w:ascii="宋体" w:hAnsi="宋体" w:eastAsia="宋体" w:cs="宋体"/>
          <w:spacing w:val="1"/>
          <w:sz w:val="17"/>
          <w:szCs w:val="17"/>
        </w:rPr>
        <w:t>由考点根据实际情况自行确定。测试分值满分为250分，</w:t>
      </w:r>
      <w:r>
        <w:rPr>
          <w:rFonts w:ascii="宋体" w:hAnsi="宋体" w:eastAsia="宋体" w:cs="宋体"/>
          <w:spacing w:val="12"/>
          <w:sz w:val="17"/>
          <w:szCs w:val="17"/>
        </w:rPr>
        <w:t xml:space="preserve"> </w:t>
      </w:r>
      <w:r>
        <w:rPr>
          <w:rFonts w:ascii="宋体" w:hAnsi="宋体" w:eastAsia="宋体" w:cs="宋体"/>
          <w:spacing w:val="6"/>
          <w:sz w:val="17"/>
          <w:szCs w:val="17"/>
        </w:rPr>
        <w:t>其中必测项为150分，选测项分值均为100分。</w:t>
      </w:r>
    </w:p>
    <w:p w14:paraId="4BCD5EAD">
      <w:pPr>
        <w:pStyle w:val="2"/>
        <w:spacing w:line="266" w:lineRule="auto"/>
      </w:pPr>
    </w:p>
    <w:p w14:paraId="6DDD5339">
      <w:pPr>
        <w:spacing w:before="75" w:line="222" w:lineRule="auto"/>
        <w:ind w:left="953"/>
        <w:rPr>
          <w:rFonts w:ascii="黑体" w:hAnsi="黑体" w:eastAsia="黑体" w:cs="黑体"/>
          <w:sz w:val="23"/>
          <w:szCs w:val="23"/>
        </w:rPr>
      </w:pPr>
      <w:r>
        <w:rPr>
          <w:rFonts w:ascii="黑体" w:hAnsi="黑体" w:eastAsia="黑体" w:cs="黑体"/>
          <w:b/>
          <w:bCs/>
          <w:spacing w:val="-5"/>
          <w:sz w:val="23"/>
          <w:szCs w:val="23"/>
        </w:rPr>
        <w:t>项目一</w:t>
      </w:r>
      <w:r>
        <w:rPr>
          <w:rFonts w:ascii="黑体" w:hAnsi="黑体" w:eastAsia="黑体" w:cs="黑体"/>
          <w:spacing w:val="109"/>
          <w:sz w:val="23"/>
          <w:szCs w:val="23"/>
        </w:rPr>
        <w:t xml:space="preserve"> </w:t>
      </w:r>
      <w:r>
        <w:rPr>
          <w:rFonts w:ascii="黑体" w:hAnsi="黑体" w:eastAsia="黑体" w:cs="黑体"/>
          <w:b/>
          <w:bCs/>
          <w:spacing w:val="-5"/>
          <w:sz w:val="23"/>
          <w:szCs w:val="23"/>
        </w:rPr>
        <w:t>血涂片的制作</w:t>
      </w:r>
    </w:p>
    <w:p w14:paraId="68EEB58E">
      <w:pPr>
        <w:spacing w:before="303" w:line="221" w:lineRule="auto"/>
        <w:ind w:left="3"/>
        <w:rPr>
          <w:rFonts w:ascii="黑体" w:hAnsi="黑体" w:eastAsia="黑体" w:cs="黑体"/>
          <w:sz w:val="23"/>
          <w:szCs w:val="23"/>
        </w:rPr>
      </w:pPr>
      <w:r>
        <w:rPr>
          <w:rFonts w:ascii="黑体" w:hAnsi="黑体" w:eastAsia="黑体" w:cs="黑体"/>
          <w:b/>
          <w:bCs/>
          <w:spacing w:val="-8"/>
          <w:sz w:val="23"/>
          <w:szCs w:val="23"/>
        </w:rPr>
        <w:t>一、分值与测试时间</w:t>
      </w:r>
    </w:p>
    <w:p w14:paraId="123F67D1">
      <w:pPr>
        <w:spacing w:before="97" w:line="219" w:lineRule="auto"/>
        <w:ind w:left="359"/>
        <w:rPr>
          <w:rFonts w:ascii="宋体" w:hAnsi="宋体" w:eastAsia="宋体" w:cs="宋体"/>
          <w:sz w:val="17"/>
          <w:szCs w:val="17"/>
        </w:rPr>
      </w:pPr>
      <w:r>
        <w:rPr>
          <w:rFonts w:ascii="宋体" w:hAnsi="宋体" w:eastAsia="宋体" w:cs="宋体"/>
          <w:spacing w:val="8"/>
          <w:sz w:val="17"/>
          <w:szCs w:val="17"/>
        </w:rPr>
        <w:t>分值为150分；测试时间为40分钟。</w:t>
      </w:r>
    </w:p>
    <w:p w14:paraId="63B3A060">
      <w:pPr>
        <w:spacing w:before="78" w:line="222" w:lineRule="auto"/>
        <w:ind w:left="3"/>
        <w:rPr>
          <w:rFonts w:ascii="黑体" w:hAnsi="黑体" w:eastAsia="黑体" w:cs="黑体"/>
          <w:sz w:val="23"/>
          <w:szCs w:val="23"/>
        </w:rPr>
      </w:pPr>
      <w:r>
        <w:rPr>
          <w:rFonts w:ascii="黑体" w:hAnsi="黑体" w:eastAsia="黑体" w:cs="黑体"/>
          <w:b/>
          <w:bCs/>
          <w:spacing w:val="-9"/>
          <w:sz w:val="23"/>
          <w:szCs w:val="23"/>
        </w:rPr>
        <w:t>二、技能要求</w:t>
      </w:r>
    </w:p>
    <w:p w14:paraId="28F60A07">
      <w:pPr>
        <w:spacing w:before="94" w:line="219" w:lineRule="auto"/>
        <w:ind w:left="359"/>
        <w:rPr>
          <w:rFonts w:ascii="宋体" w:hAnsi="宋体" w:eastAsia="宋体" w:cs="宋体"/>
          <w:sz w:val="17"/>
          <w:szCs w:val="17"/>
        </w:rPr>
      </w:pPr>
      <w:r>
        <w:rPr>
          <w:rFonts w:ascii="宋体" w:hAnsi="宋体" w:eastAsia="宋体" w:cs="宋体"/>
          <w:spacing w:val="-2"/>
          <w:sz w:val="17"/>
          <w:szCs w:val="17"/>
        </w:rPr>
        <w:t>规范制作血涂片，显微镜下细胞结构清晰。</w:t>
      </w:r>
    </w:p>
    <w:p w14:paraId="39ABF526">
      <w:pPr>
        <w:spacing w:before="76" w:line="222" w:lineRule="auto"/>
        <w:ind w:left="3"/>
        <w:rPr>
          <w:rFonts w:ascii="黑体" w:hAnsi="黑体" w:eastAsia="黑体" w:cs="黑体"/>
          <w:sz w:val="23"/>
          <w:szCs w:val="23"/>
        </w:rPr>
      </w:pPr>
      <w:r>
        <w:rPr>
          <w:rFonts w:ascii="黑体" w:hAnsi="黑体" w:eastAsia="黑体" w:cs="黑体"/>
          <w:b/>
          <w:bCs/>
          <w:spacing w:val="-5"/>
          <w:sz w:val="23"/>
          <w:szCs w:val="23"/>
        </w:rPr>
        <w:t>三、仪器和材料</w:t>
      </w:r>
    </w:p>
    <w:p w14:paraId="4E560807">
      <w:pPr>
        <w:spacing w:before="94" w:line="306" w:lineRule="auto"/>
        <w:ind w:firstLine="359"/>
        <w:jc w:val="both"/>
        <w:rPr>
          <w:rFonts w:ascii="宋体" w:hAnsi="宋体" w:eastAsia="宋体" w:cs="宋体"/>
          <w:sz w:val="17"/>
          <w:szCs w:val="17"/>
        </w:rPr>
      </w:pPr>
      <w:r>
        <w:rPr>
          <w:rFonts w:ascii="宋体" w:hAnsi="宋体" w:eastAsia="宋体" w:cs="宋体"/>
          <w:spacing w:val="-3"/>
          <w:sz w:val="17"/>
          <w:szCs w:val="17"/>
        </w:rPr>
        <w:t>显微镜，家鸡血液，载玻片，洗耳球，玻璃铅笔(蜡</w:t>
      </w:r>
      <w:r>
        <w:rPr>
          <w:rFonts w:ascii="宋体" w:hAnsi="宋体" w:eastAsia="宋体" w:cs="宋体"/>
          <w:spacing w:val="4"/>
          <w:sz w:val="17"/>
          <w:szCs w:val="17"/>
        </w:rPr>
        <w:t xml:space="preserve">  </w:t>
      </w:r>
      <w:r>
        <w:rPr>
          <w:rFonts w:ascii="宋体" w:hAnsi="宋体" w:eastAsia="宋体" w:cs="宋体"/>
          <w:spacing w:val="5"/>
          <w:sz w:val="17"/>
          <w:szCs w:val="17"/>
        </w:rPr>
        <w:t>笔),吸水纸，小烧杯，蒸馏水，洗瓶，滴管，染色缸，</w:t>
      </w:r>
      <w:r>
        <w:rPr>
          <w:rFonts w:ascii="宋体" w:hAnsi="宋体" w:eastAsia="宋体" w:cs="宋体"/>
          <w:sz w:val="17"/>
          <w:szCs w:val="17"/>
        </w:rPr>
        <w:t xml:space="preserve"> </w:t>
      </w:r>
      <w:r>
        <w:rPr>
          <w:rFonts w:ascii="宋体" w:hAnsi="宋体" w:eastAsia="宋体" w:cs="宋体"/>
          <w:spacing w:val="-2"/>
          <w:sz w:val="17"/>
          <w:szCs w:val="17"/>
        </w:rPr>
        <w:t>瑞氏染色液，香柏油，二甲苯，擦镜纸。</w:t>
      </w:r>
    </w:p>
    <w:p w14:paraId="15BB0E79">
      <w:pPr>
        <w:spacing w:before="13" w:line="221" w:lineRule="auto"/>
        <w:ind w:left="3"/>
        <w:rPr>
          <w:rFonts w:ascii="黑体" w:hAnsi="黑体" w:eastAsia="黑体" w:cs="黑体"/>
          <w:sz w:val="23"/>
          <w:szCs w:val="23"/>
        </w:rPr>
      </w:pPr>
      <w:r>
        <w:rPr>
          <w:rFonts w:ascii="黑体" w:hAnsi="黑体" w:eastAsia="黑体" w:cs="黑体"/>
          <w:b/>
          <w:bCs/>
          <w:spacing w:val="-8"/>
          <w:sz w:val="23"/>
          <w:szCs w:val="23"/>
        </w:rPr>
        <w:t>四、步骤及方法</w:t>
      </w:r>
    </w:p>
    <w:p w14:paraId="45939AEA">
      <w:pPr>
        <w:spacing w:before="89" w:line="220" w:lineRule="auto"/>
        <w:ind w:left="359"/>
        <w:rPr>
          <w:rFonts w:ascii="宋体" w:hAnsi="宋体" w:eastAsia="宋体" w:cs="宋体"/>
          <w:sz w:val="17"/>
          <w:szCs w:val="17"/>
        </w:rPr>
      </w:pPr>
      <w:r>
        <w:rPr>
          <w:rFonts w:ascii="宋体" w:hAnsi="宋体" w:eastAsia="宋体" w:cs="宋体"/>
          <w:spacing w:val="-3"/>
          <w:sz w:val="17"/>
          <w:szCs w:val="17"/>
        </w:rPr>
        <w:t>1、载玻片准备</w:t>
      </w:r>
    </w:p>
    <w:p w14:paraId="415F7AFC">
      <w:pPr>
        <w:spacing w:before="95" w:line="219" w:lineRule="auto"/>
        <w:ind w:left="359"/>
        <w:rPr>
          <w:rFonts w:ascii="宋体" w:hAnsi="宋体" w:eastAsia="宋体" w:cs="宋体"/>
          <w:sz w:val="17"/>
          <w:szCs w:val="17"/>
        </w:rPr>
      </w:pPr>
      <w:r>
        <w:rPr>
          <w:rFonts w:ascii="宋体" w:hAnsi="宋体" w:eastAsia="宋体" w:cs="宋体"/>
          <w:spacing w:val="-3"/>
          <w:sz w:val="17"/>
          <w:szCs w:val="17"/>
        </w:rPr>
        <w:t>用擦镜纸把载玻片擦拭干净。</w:t>
      </w:r>
    </w:p>
    <w:p w14:paraId="1C7005C8">
      <w:pPr>
        <w:spacing w:before="80" w:line="220" w:lineRule="auto"/>
        <w:ind w:left="359"/>
        <w:rPr>
          <w:rFonts w:ascii="宋体" w:hAnsi="宋体" w:eastAsia="宋体" w:cs="宋体"/>
          <w:sz w:val="17"/>
          <w:szCs w:val="17"/>
        </w:rPr>
      </w:pPr>
      <w:r>
        <w:rPr>
          <w:rFonts w:ascii="宋体" w:hAnsi="宋体" w:eastAsia="宋体" w:cs="宋体"/>
          <w:spacing w:val="2"/>
          <w:sz w:val="17"/>
          <w:szCs w:val="17"/>
        </w:rPr>
        <w:t>2、制作血涂片</w:t>
      </w:r>
    </w:p>
    <w:p w14:paraId="6A7DEE8F">
      <w:pPr>
        <w:spacing w:before="98" w:line="311" w:lineRule="auto"/>
        <w:ind w:right="64" w:firstLine="359"/>
        <w:rPr>
          <w:rFonts w:ascii="宋体" w:hAnsi="宋体" w:eastAsia="宋体" w:cs="宋体"/>
          <w:sz w:val="17"/>
          <w:szCs w:val="17"/>
        </w:rPr>
      </w:pPr>
      <w:r>
        <w:rPr>
          <w:rFonts w:ascii="宋体" w:hAnsi="宋体" w:eastAsia="宋体" w:cs="宋体"/>
          <w:spacing w:val="1"/>
          <w:sz w:val="17"/>
          <w:szCs w:val="17"/>
        </w:rPr>
        <w:t>取一张玻片为载片，另一张玻片为推片。一手拇指</w:t>
      </w:r>
      <w:r>
        <w:rPr>
          <w:rFonts w:ascii="宋体" w:hAnsi="宋体" w:eastAsia="宋体" w:cs="宋体"/>
          <w:spacing w:val="8"/>
          <w:sz w:val="17"/>
          <w:szCs w:val="17"/>
        </w:rPr>
        <w:t xml:space="preserve"> </w:t>
      </w:r>
      <w:r>
        <w:rPr>
          <w:rFonts w:ascii="宋体" w:hAnsi="宋体" w:eastAsia="宋体" w:cs="宋体"/>
          <w:spacing w:val="2"/>
          <w:sz w:val="17"/>
          <w:szCs w:val="17"/>
        </w:rPr>
        <w:t>和中指挟持载片两端，另一手持推片前三分之一处，用</w:t>
      </w:r>
      <w:r>
        <w:rPr>
          <w:rFonts w:ascii="宋体" w:hAnsi="宋体" w:eastAsia="宋体" w:cs="宋体"/>
          <w:spacing w:val="11"/>
          <w:sz w:val="17"/>
          <w:szCs w:val="17"/>
        </w:rPr>
        <w:t xml:space="preserve"> </w:t>
      </w:r>
      <w:r>
        <w:rPr>
          <w:rFonts w:ascii="宋体" w:hAnsi="宋体" w:eastAsia="宋体" w:cs="宋体"/>
          <w:spacing w:val="2"/>
          <w:sz w:val="17"/>
          <w:szCs w:val="17"/>
        </w:rPr>
        <w:t>推片一角蘸取被检血液少许置于载片右端三分之一</w:t>
      </w:r>
      <w:r>
        <w:rPr>
          <w:rFonts w:ascii="宋体" w:hAnsi="宋体" w:eastAsia="宋体" w:cs="宋体"/>
          <w:spacing w:val="1"/>
          <w:sz w:val="17"/>
          <w:szCs w:val="17"/>
        </w:rPr>
        <w:t>处，</w:t>
      </w:r>
      <w:r>
        <w:rPr>
          <w:rFonts w:ascii="宋体" w:hAnsi="宋体" w:eastAsia="宋体" w:cs="宋体"/>
          <w:sz w:val="17"/>
          <w:szCs w:val="17"/>
        </w:rPr>
        <w:t xml:space="preserve"> </w:t>
      </w:r>
      <w:r>
        <w:rPr>
          <w:rFonts w:ascii="宋体" w:hAnsi="宋体" w:eastAsia="宋体" w:cs="宋体"/>
          <w:spacing w:val="2"/>
          <w:sz w:val="17"/>
          <w:szCs w:val="17"/>
        </w:rPr>
        <w:t>推片置于血滴前方，并轻轻向后移动推片，使之与血滴</w:t>
      </w:r>
      <w:r>
        <w:rPr>
          <w:rFonts w:ascii="宋体" w:hAnsi="宋体" w:eastAsia="宋体" w:cs="宋体"/>
          <w:sz w:val="17"/>
          <w:szCs w:val="17"/>
        </w:rPr>
        <w:t xml:space="preserve"> </w:t>
      </w:r>
      <w:r>
        <w:rPr>
          <w:rFonts w:ascii="宋体" w:hAnsi="宋体" w:eastAsia="宋体" w:cs="宋体"/>
          <w:spacing w:val="2"/>
          <w:sz w:val="17"/>
          <w:szCs w:val="17"/>
        </w:rPr>
        <w:t>接触，待血液扩散后，再以30—40°角向</w:t>
      </w:r>
      <w:r>
        <w:rPr>
          <w:rFonts w:ascii="宋体" w:hAnsi="宋体" w:eastAsia="宋体" w:cs="宋体"/>
          <w:spacing w:val="1"/>
          <w:sz w:val="17"/>
          <w:szCs w:val="17"/>
        </w:rPr>
        <w:t>前匀速用力推</w:t>
      </w:r>
      <w:r>
        <w:rPr>
          <w:rFonts w:ascii="宋体" w:hAnsi="宋体" w:eastAsia="宋体" w:cs="宋体"/>
          <w:sz w:val="17"/>
          <w:szCs w:val="17"/>
        </w:rPr>
        <w:t xml:space="preserve"> </w:t>
      </w:r>
      <w:r>
        <w:rPr>
          <w:rFonts w:ascii="宋体" w:hAnsi="宋体" w:eastAsia="宋体" w:cs="宋体"/>
          <w:spacing w:val="2"/>
          <w:sz w:val="17"/>
          <w:szCs w:val="17"/>
        </w:rPr>
        <w:t>进涂抹，形成均匀血膜即可，涂片必须一次性完成</w:t>
      </w:r>
      <w:r>
        <w:rPr>
          <w:rFonts w:ascii="宋体" w:hAnsi="宋体" w:eastAsia="宋体" w:cs="宋体"/>
          <w:spacing w:val="1"/>
          <w:sz w:val="17"/>
          <w:szCs w:val="17"/>
        </w:rPr>
        <w:t>，禁</w:t>
      </w:r>
      <w:r>
        <w:rPr>
          <w:rFonts w:ascii="宋体" w:hAnsi="宋体" w:eastAsia="宋体" w:cs="宋体"/>
          <w:sz w:val="17"/>
          <w:szCs w:val="17"/>
        </w:rPr>
        <w:t xml:space="preserve"> </w:t>
      </w:r>
      <w:r>
        <w:rPr>
          <w:rFonts w:ascii="宋体" w:hAnsi="宋体" w:eastAsia="宋体" w:cs="宋体"/>
          <w:spacing w:val="-4"/>
          <w:sz w:val="17"/>
          <w:szCs w:val="17"/>
        </w:rPr>
        <w:t>止来回反复涂片。</w:t>
      </w:r>
    </w:p>
    <w:p w14:paraId="29042F05">
      <w:pPr>
        <w:spacing w:before="13" w:line="219" w:lineRule="auto"/>
        <w:ind w:left="359"/>
        <w:rPr>
          <w:rFonts w:ascii="宋体" w:hAnsi="宋体" w:eastAsia="宋体" w:cs="宋体"/>
          <w:sz w:val="17"/>
          <w:szCs w:val="17"/>
        </w:rPr>
      </w:pPr>
      <w:r>
        <w:rPr>
          <w:rFonts w:ascii="宋体" w:hAnsi="宋体" w:eastAsia="宋体" w:cs="宋体"/>
          <w:sz w:val="17"/>
          <w:szCs w:val="17"/>
        </w:rPr>
        <w:t>3、干燥</w:t>
      </w:r>
    </w:p>
    <w:p w14:paraId="57431F7E">
      <w:pPr>
        <w:spacing w:before="100" w:line="254" w:lineRule="auto"/>
        <w:ind w:right="109" w:firstLine="359"/>
        <w:rPr>
          <w:rFonts w:ascii="宋体" w:hAnsi="宋体" w:eastAsia="宋体" w:cs="宋体"/>
          <w:sz w:val="17"/>
          <w:szCs w:val="17"/>
        </w:rPr>
      </w:pPr>
      <w:r>
        <w:rPr>
          <w:rFonts w:ascii="宋体" w:hAnsi="宋体" w:eastAsia="宋体" w:cs="宋体"/>
          <w:spacing w:val="-1"/>
          <w:sz w:val="17"/>
          <w:szCs w:val="17"/>
        </w:rPr>
        <w:t>血涂片制作后放在玻片架上或反复摇动自然晾干，</w:t>
      </w:r>
      <w:r>
        <w:rPr>
          <w:rFonts w:ascii="宋体" w:hAnsi="宋体" w:eastAsia="宋体" w:cs="宋体"/>
          <w:spacing w:val="16"/>
          <w:sz w:val="17"/>
          <w:szCs w:val="17"/>
        </w:rPr>
        <w:t xml:space="preserve"> </w:t>
      </w:r>
      <w:r>
        <w:rPr>
          <w:rFonts w:ascii="宋体" w:hAnsi="宋体" w:eastAsia="宋体" w:cs="宋体"/>
          <w:spacing w:val="-3"/>
          <w:sz w:val="17"/>
          <w:szCs w:val="17"/>
        </w:rPr>
        <w:t>之后放入标本盒内以备用。</w:t>
      </w:r>
    </w:p>
    <w:p w14:paraId="38ED0135">
      <w:pPr>
        <w:spacing w:line="254" w:lineRule="auto"/>
        <w:rPr>
          <w:rFonts w:ascii="宋体" w:hAnsi="宋体" w:eastAsia="宋体" w:cs="宋体"/>
          <w:sz w:val="17"/>
          <w:szCs w:val="17"/>
        </w:rPr>
        <w:sectPr>
          <w:type w:val="continuous"/>
          <w:pgSz w:w="10660" w:h="15080"/>
          <w:pgMar w:top="400" w:right="984" w:bottom="936" w:left="819" w:header="0" w:footer="715" w:gutter="0"/>
          <w:cols w:equalWidth="0" w:num="2">
            <w:col w:w="4550" w:space="100"/>
            <w:col w:w="4206"/>
          </w:cols>
        </w:sectPr>
      </w:pPr>
    </w:p>
    <w:p w14:paraId="1BCD2471">
      <w:pPr>
        <w:spacing w:before="11"/>
      </w:pPr>
    </w:p>
    <w:p w14:paraId="55DA77E3">
      <w:pPr>
        <w:spacing w:before="10"/>
      </w:pPr>
    </w:p>
    <w:p w14:paraId="5F1EFE50">
      <w:pPr>
        <w:spacing w:before="10"/>
      </w:pPr>
    </w:p>
    <w:p w14:paraId="2D0E56C6">
      <w:pPr>
        <w:spacing w:before="10"/>
      </w:pPr>
    </w:p>
    <w:p w14:paraId="14D3E0A1">
      <w:pPr>
        <w:sectPr>
          <w:footerReference r:id="rId101" w:type="default"/>
          <w:pgSz w:w="10660" w:h="15080"/>
          <w:pgMar w:top="400" w:right="854" w:bottom="925" w:left="1019" w:header="0" w:footer="705" w:gutter="0"/>
          <w:cols w:equalWidth="0" w:num="1">
            <w:col w:w="8786"/>
          </w:cols>
        </w:sectPr>
      </w:pPr>
    </w:p>
    <w:p w14:paraId="1F293967">
      <w:pPr>
        <w:spacing w:line="220" w:lineRule="auto"/>
        <w:ind w:left="360"/>
        <w:rPr>
          <w:rFonts w:ascii="宋体" w:hAnsi="宋体" w:eastAsia="宋体" w:cs="宋体"/>
          <w:sz w:val="17"/>
          <w:szCs w:val="17"/>
        </w:rPr>
      </w:pPr>
      <w:r>
        <w:rPr>
          <w:rFonts w:ascii="宋体" w:hAnsi="宋体" w:eastAsia="宋体" w:cs="宋体"/>
          <w:spacing w:val="3"/>
          <w:sz w:val="17"/>
          <w:szCs w:val="17"/>
        </w:rPr>
        <w:t>4、染色</w:t>
      </w:r>
    </w:p>
    <w:p w14:paraId="2F83855D">
      <w:pPr>
        <w:spacing w:before="98" w:line="310" w:lineRule="auto"/>
        <w:ind w:right="339" w:firstLine="360"/>
        <w:rPr>
          <w:rFonts w:ascii="宋体" w:hAnsi="宋体" w:eastAsia="宋体" w:cs="宋体"/>
          <w:sz w:val="17"/>
          <w:szCs w:val="17"/>
        </w:rPr>
      </w:pPr>
      <w:r>
        <w:rPr>
          <w:rFonts w:ascii="宋体" w:hAnsi="宋体" w:eastAsia="宋体" w:cs="宋体"/>
          <w:spacing w:val="8"/>
          <w:sz w:val="17"/>
          <w:szCs w:val="17"/>
        </w:rPr>
        <w:t>用玻璃铅笔(或蜡笔)在血涂片的血膜两端划</w:t>
      </w:r>
      <w:r>
        <w:rPr>
          <w:rFonts w:ascii="宋体" w:hAnsi="宋体" w:eastAsia="宋体" w:cs="宋体"/>
          <w:spacing w:val="7"/>
          <w:sz w:val="17"/>
          <w:szCs w:val="17"/>
        </w:rPr>
        <w:t>线，</w:t>
      </w:r>
      <w:r>
        <w:rPr>
          <w:rFonts w:ascii="宋体" w:hAnsi="宋体" w:eastAsia="宋体" w:cs="宋体"/>
          <w:sz w:val="17"/>
          <w:szCs w:val="17"/>
        </w:rPr>
        <w:t xml:space="preserve"> </w:t>
      </w:r>
      <w:r>
        <w:rPr>
          <w:rFonts w:ascii="宋体" w:hAnsi="宋体" w:eastAsia="宋体" w:cs="宋体"/>
          <w:spacing w:val="1"/>
          <w:sz w:val="17"/>
          <w:szCs w:val="17"/>
        </w:rPr>
        <w:t>用瑞氏染色法进行染色。即：在血涂片上滴加瑞氏染色</w:t>
      </w:r>
      <w:r>
        <w:rPr>
          <w:rFonts w:ascii="宋体" w:hAnsi="宋体" w:eastAsia="宋体" w:cs="宋体"/>
          <w:spacing w:val="12"/>
          <w:sz w:val="17"/>
          <w:szCs w:val="17"/>
        </w:rPr>
        <w:t xml:space="preserve"> </w:t>
      </w:r>
      <w:r>
        <w:rPr>
          <w:rFonts w:ascii="宋体" w:hAnsi="宋体" w:eastAsia="宋体" w:cs="宋体"/>
          <w:spacing w:val="5"/>
          <w:sz w:val="17"/>
          <w:szCs w:val="17"/>
        </w:rPr>
        <w:t>液，使染色液完全覆盖血膜，染色2分钟后用滴管滴加</w:t>
      </w:r>
      <w:r>
        <w:rPr>
          <w:rFonts w:ascii="宋体" w:hAnsi="宋体" w:eastAsia="宋体" w:cs="宋体"/>
          <w:spacing w:val="7"/>
          <w:sz w:val="17"/>
          <w:szCs w:val="17"/>
        </w:rPr>
        <w:t xml:space="preserve"> </w:t>
      </w:r>
      <w:r>
        <w:rPr>
          <w:rFonts w:ascii="宋体" w:hAnsi="宋体" w:eastAsia="宋体" w:cs="宋体"/>
          <w:spacing w:val="2"/>
          <w:sz w:val="17"/>
          <w:szCs w:val="17"/>
        </w:rPr>
        <w:t>等量蒸馏水，洗耳球轻轻吹吸，使染液和蒸馏水混合均</w:t>
      </w:r>
      <w:r>
        <w:rPr>
          <w:rFonts w:ascii="宋体" w:hAnsi="宋体" w:eastAsia="宋体" w:cs="宋体"/>
          <w:spacing w:val="12"/>
          <w:sz w:val="17"/>
          <w:szCs w:val="17"/>
        </w:rPr>
        <w:t xml:space="preserve"> </w:t>
      </w:r>
      <w:r>
        <w:rPr>
          <w:rFonts w:ascii="宋体" w:hAnsi="宋体" w:eastAsia="宋体" w:cs="宋体"/>
          <w:spacing w:val="6"/>
          <w:sz w:val="17"/>
          <w:szCs w:val="17"/>
        </w:rPr>
        <w:t>匀，静置染色至8分钟，洗瓶冲洗干净，吸水纸除</w:t>
      </w:r>
      <w:r>
        <w:rPr>
          <w:rFonts w:ascii="宋体" w:hAnsi="宋体" w:eastAsia="宋体" w:cs="宋体"/>
          <w:spacing w:val="5"/>
          <w:sz w:val="17"/>
          <w:szCs w:val="17"/>
        </w:rPr>
        <w:t>去残</w:t>
      </w:r>
      <w:r>
        <w:rPr>
          <w:rFonts w:ascii="宋体" w:hAnsi="宋体" w:eastAsia="宋体" w:cs="宋体"/>
          <w:sz w:val="17"/>
          <w:szCs w:val="17"/>
        </w:rPr>
        <w:t xml:space="preserve"> </w:t>
      </w:r>
      <w:r>
        <w:rPr>
          <w:rFonts w:ascii="宋体" w:hAnsi="宋体" w:eastAsia="宋体" w:cs="宋体"/>
          <w:spacing w:val="-2"/>
          <w:sz w:val="17"/>
          <w:szCs w:val="17"/>
        </w:rPr>
        <w:t>留水滴，干燥后镜检。</w:t>
      </w:r>
    </w:p>
    <w:p w14:paraId="353EFB56">
      <w:pPr>
        <w:spacing w:before="26" w:line="219" w:lineRule="auto"/>
        <w:ind w:left="360"/>
        <w:rPr>
          <w:rFonts w:ascii="宋体" w:hAnsi="宋体" w:eastAsia="宋体" w:cs="宋体"/>
          <w:sz w:val="17"/>
          <w:szCs w:val="17"/>
        </w:rPr>
      </w:pPr>
      <w:r>
        <w:rPr>
          <w:rFonts w:ascii="宋体" w:hAnsi="宋体" w:eastAsia="宋体" w:cs="宋体"/>
          <w:spacing w:val="3"/>
          <w:sz w:val="17"/>
          <w:szCs w:val="17"/>
        </w:rPr>
        <w:t>5、镜检</w:t>
      </w:r>
    </w:p>
    <w:p w14:paraId="07A6E82B">
      <w:pPr>
        <w:spacing w:before="69" w:line="308" w:lineRule="auto"/>
        <w:ind w:right="285" w:firstLine="360"/>
        <w:rPr>
          <w:rFonts w:ascii="宋体" w:hAnsi="宋体" w:eastAsia="宋体" w:cs="宋体"/>
          <w:sz w:val="17"/>
          <w:szCs w:val="17"/>
        </w:rPr>
      </w:pPr>
      <w:r>
        <w:rPr>
          <w:rFonts w:ascii="宋体" w:hAnsi="宋体" w:eastAsia="宋体" w:cs="宋体"/>
          <w:spacing w:val="-4"/>
          <w:sz w:val="17"/>
          <w:szCs w:val="17"/>
        </w:rPr>
        <w:t>按照先低倍后高倍的原则，先在低倍镜下找到视野，</w:t>
      </w:r>
      <w:r>
        <w:rPr>
          <w:rFonts w:ascii="宋体" w:hAnsi="宋体" w:eastAsia="宋体" w:cs="宋体"/>
          <w:spacing w:val="15"/>
          <w:sz w:val="17"/>
          <w:szCs w:val="17"/>
        </w:rPr>
        <w:t xml:space="preserve"> </w:t>
      </w:r>
      <w:r>
        <w:rPr>
          <w:rFonts w:ascii="宋体" w:hAnsi="宋体" w:eastAsia="宋体" w:cs="宋体"/>
          <w:spacing w:val="1"/>
          <w:sz w:val="17"/>
          <w:szCs w:val="17"/>
        </w:rPr>
        <w:t>然后逐次转换至高倍、油镜，并用油镜观察，视野下可</w:t>
      </w:r>
      <w:r>
        <w:rPr>
          <w:rFonts w:ascii="宋体" w:hAnsi="宋体" w:eastAsia="宋体" w:cs="宋体"/>
          <w:spacing w:val="6"/>
          <w:sz w:val="17"/>
          <w:szCs w:val="17"/>
        </w:rPr>
        <w:t xml:space="preserve">  </w:t>
      </w:r>
      <w:r>
        <w:rPr>
          <w:rFonts w:ascii="宋体" w:hAnsi="宋体" w:eastAsia="宋体" w:cs="宋体"/>
          <w:spacing w:val="1"/>
          <w:sz w:val="17"/>
          <w:szCs w:val="17"/>
        </w:rPr>
        <w:t>见血细胞涂片均匀，细胞无破损，无染料颗粒沉积，染</w:t>
      </w:r>
      <w:r>
        <w:rPr>
          <w:rFonts w:ascii="宋体" w:hAnsi="宋体" w:eastAsia="宋体" w:cs="宋体"/>
          <w:spacing w:val="6"/>
          <w:sz w:val="17"/>
          <w:szCs w:val="17"/>
        </w:rPr>
        <w:t xml:space="preserve">  </w:t>
      </w:r>
      <w:r>
        <w:rPr>
          <w:rFonts w:ascii="宋体" w:hAnsi="宋体" w:eastAsia="宋体" w:cs="宋体"/>
          <w:spacing w:val="-3"/>
          <w:sz w:val="17"/>
          <w:szCs w:val="17"/>
        </w:rPr>
        <w:t>色效果较好，结构清晰。</w:t>
      </w:r>
    </w:p>
    <w:p w14:paraId="2F6ED2FC">
      <w:pPr>
        <w:spacing w:before="34" w:line="219" w:lineRule="auto"/>
        <w:ind w:left="360"/>
        <w:rPr>
          <w:rFonts w:ascii="宋体" w:hAnsi="宋体" w:eastAsia="宋体" w:cs="宋体"/>
          <w:sz w:val="17"/>
          <w:szCs w:val="17"/>
        </w:rPr>
      </w:pPr>
      <w:r>
        <w:rPr>
          <w:rFonts w:ascii="宋体" w:hAnsi="宋体" w:eastAsia="宋体" w:cs="宋体"/>
          <w:spacing w:val="-3"/>
          <w:sz w:val="17"/>
          <w:szCs w:val="17"/>
        </w:rPr>
        <w:t>6、油镜镜头清理</w:t>
      </w:r>
    </w:p>
    <w:p w14:paraId="45287D8E">
      <w:pPr>
        <w:spacing w:before="77" w:line="323" w:lineRule="auto"/>
        <w:ind w:right="284" w:firstLine="360"/>
        <w:rPr>
          <w:rFonts w:ascii="宋体" w:hAnsi="宋体" w:eastAsia="宋体" w:cs="宋体"/>
          <w:sz w:val="17"/>
          <w:szCs w:val="17"/>
        </w:rPr>
      </w:pPr>
      <w:r>
        <w:rPr>
          <w:rFonts w:ascii="宋体" w:hAnsi="宋体" w:eastAsia="宋体" w:cs="宋体"/>
          <w:sz w:val="17"/>
          <w:szCs w:val="17"/>
        </w:rPr>
        <w:t>观察结束后，使用滴管滴1-2滴二甲苯于擦镜纸上，</w:t>
      </w:r>
      <w:r>
        <w:rPr>
          <w:rFonts w:ascii="宋体" w:hAnsi="宋体" w:eastAsia="宋体" w:cs="宋体"/>
          <w:spacing w:val="9"/>
          <w:sz w:val="17"/>
          <w:szCs w:val="17"/>
        </w:rPr>
        <w:t xml:space="preserve"> </w:t>
      </w:r>
      <w:r>
        <w:rPr>
          <w:rFonts w:ascii="宋体" w:hAnsi="宋体" w:eastAsia="宋体" w:cs="宋体"/>
          <w:spacing w:val="-2"/>
          <w:sz w:val="17"/>
          <w:szCs w:val="17"/>
        </w:rPr>
        <w:t>将油镜镜头上的香柏油清理干净，整理好显</w:t>
      </w:r>
      <w:r>
        <w:rPr>
          <w:rFonts w:ascii="宋体" w:hAnsi="宋体" w:eastAsia="宋体" w:cs="宋体"/>
          <w:spacing w:val="-3"/>
          <w:sz w:val="17"/>
          <w:szCs w:val="17"/>
        </w:rPr>
        <w:t>微镜后离开。</w:t>
      </w:r>
    </w:p>
    <w:p w14:paraId="23C3EFCE">
      <w:pPr>
        <w:spacing w:before="5" w:line="220" w:lineRule="auto"/>
        <w:ind w:left="23"/>
        <w:rPr>
          <w:rFonts w:ascii="宋体" w:hAnsi="宋体" w:eastAsia="宋体" w:cs="宋体"/>
          <w:sz w:val="22"/>
          <w:szCs w:val="22"/>
        </w:rPr>
      </w:pPr>
      <w:r>
        <w:rPr>
          <w:rFonts w:ascii="宋体" w:hAnsi="宋体" w:eastAsia="宋体" w:cs="宋体"/>
          <w:b/>
          <w:bCs/>
          <w:spacing w:val="-4"/>
          <w:sz w:val="22"/>
          <w:szCs w:val="22"/>
        </w:rPr>
        <w:t>五、评分标准</w:t>
      </w:r>
    </w:p>
    <w:p w14:paraId="37E889A4">
      <w:pPr>
        <w:spacing w:line="72" w:lineRule="auto"/>
        <w:rPr>
          <w:rFonts w:ascii="Arial"/>
          <w:sz w:val="2"/>
        </w:rPr>
      </w:pPr>
    </w:p>
    <w:tbl>
      <w:tblPr>
        <w:tblStyle w:val="5"/>
        <w:tblW w:w="4137" w:type="dxa"/>
        <w:tblInd w:w="2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424"/>
        <w:gridCol w:w="818"/>
        <w:gridCol w:w="339"/>
        <w:gridCol w:w="2556"/>
      </w:tblGrid>
      <w:tr w14:paraId="1D3B57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9" w:hRule="atLeast"/>
        </w:trPr>
        <w:tc>
          <w:tcPr>
            <w:tcW w:w="424" w:type="dxa"/>
            <w:tcBorders>
              <w:top w:val="single" w:color="000000" w:sz="2" w:space="0"/>
              <w:bottom w:val="single" w:color="000000" w:sz="2" w:space="0"/>
            </w:tcBorders>
            <w:textDirection w:val="tbRlV"/>
            <w:vAlign w:val="top"/>
          </w:tcPr>
          <w:p w14:paraId="35475147">
            <w:pPr>
              <w:pStyle w:val="6"/>
              <w:spacing w:before="139" w:line="199" w:lineRule="auto"/>
              <w:ind w:left="98"/>
            </w:pPr>
            <w:r>
              <w:rPr>
                <w:b/>
                <w:bCs/>
                <w:spacing w:val="-2"/>
              </w:rPr>
              <w:t>序号</w:t>
            </w:r>
          </w:p>
        </w:tc>
        <w:tc>
          <w:tcPr>
            <w:tcW w:w="818" w:type="dxa"/>
            <w:tcBorders>
              <w:top w:val="single" w:color="000000" w:sz="2" w:space="0"/>
              <w:bottom w:val="single" w:color="000000" w:sz="2" w:space="0"/>
            </w:tcBorders>
            <w:vAlign w:val="top"/>
          </w:tcPr>
          <w:p w14:paraId="718B1FC3">
            <w:pPr>
              <w:pStyle w:val="6"/>
              <w:spacing w:before="86" w:line="231" w:lineRule="auto"/>
              <w:ind w:left="233" w:right="241"/>
            </w:pPr>
            <w:r>
              <w:rPr>
                <w:b/>
                <w:bCs/>
                <w:spacing w:val="-6"/>
              </w:rPr>
              <w:t>测试</w:t>
            </w:r>
            <w:r>
              <w:t xml:space="preserve"> </w:t>
            </w:r>
            <w:r>
              <w:rPr>
                <w:b/>
                <w:bCs/>
                <w:spacing w:val="-6"/>
              </w:rPr>
              <w:t>要点</w:t>
            </w:r>
          </w:p>
        </w:tc>
        <w:tc>
          <w:tcPr>
            <w:tcW w:w="339" w:type="dxa"/>
            <w:tcBorders>
              <w:top w:val="single" w:color="000000" w:sz="2" w:space="0"/>
              <w:bottom w:val="single" w:color="000000" w:sz="2" w:space="0"/>
            </w:tcBorders>
            <w:textDirection w:val="tbRlV"/>
            <w:vAlign w:val="top"/>
          </w:tcPr>
          <w:p w14:paraId="712A7568">
            <w:pPr>
              <w:pStyle w:val="6"/>
              <w:spacing w:before="92" w:line="201" w:lineRule="auto"/>
              <w:ind w:left="47"/>
            </w:pPr>
            <w:r>
              <w:rPr>
                <w:b/>
                <w:bCs/>
                <w:spacing w:val="-2"/>
              </w:rPr>
              <w:t>分</w:t>
            </w:r>
            <w:r>
              <w:rPr>
                <w:spacing w:val="28"/>
              </w:rPr>
              <w:t xml:space="preserve"> </w:t>
            </w:r>
            <w:r>
              <w:rPr>
                <w:b/>
                <w:bCs/>
                <w:spacing w:val="-2"/>
              </w:rPr>
              <w:t>值</w:t>
            </w:r>
          </w:p>
        </w:tc>
        <w:tc>
          <w:tcPr>
            <w:tcW w:w="2556" w:type="dxa"/>
            <w:tcBorders>
              <w:top w:val="single" w:color="000000" w:sz="2" w:space="0"/>
              <w:bottom w:val="single" w:color="000000" w:sz="2" w:space="0"/>
            </w:tcBorders>
            <w:vAlign w:val="top"/>
          </w:tcPr>
          <w:p w14:paraId="1C6E705D">
            <w:pPr>
              <w:pStyle w:val="6"/>
              <w:spacing w:before="205" w:line="220" w:lineRule="auto"/>
              <w:ind w:left="926"/>
            </w:pPr>
            <w:r>
              <w:rPr>
                <w:b/>
                <w:bCs/>
                <w:spacing w:val="-3"/>
              </w:rPr>
              <w:t>评分标准</w:t>
            </w:r>
          </w:p>
        </w:tc>
      </w:tr>
      <w:tr w14:paraId="120D09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44" w:hRule="atLeast"/>
        </w:trPr>
        <w:tc>
          <w:tcPr>
            <w:tcW w:w="424" w:type="dxa"/>
            <w:tcBorders>
              <w:top w:val="single" w:color="000000" w:sz="2" w:space="0"/>
              <w:bottom w:val="single" w:color="000000" w:sz="2" w:space="0"/>
            </w:tcBorders>
            <w:vAlign w:val="top"/>
          </w:tcPr>
          <w:p w14:paraId="3B7911A9">
            <w:pPr>
              <w:spacing w:line="328" w:lineRule="auto"/>
              <w:rPr>
                <w:rFonts w:ascii="Arial"/>
                <w:sz w:val="21"/>
              </w:rPr>
            </w:pPr>
          </w:p>
          <w:p w14:paraId="30B834F6">
            <w:pPr>
              <w:pStyle w:val="6"/>
              <w:spacing w:before="55" w:line="184" w:lineRule="auto"/>
              <w:ind w:left="155"/>
            </w:pPr>
            <w:r>
              <w:t>1</w:t>
            </w:r>
          </w:p>
        </w:tc>
        <w:tc>
          <w:tcPr>
            <w:tcW w:w="818" w:type="dxa"/>
            <w:tcBorders>
              <w:top w:val="single" w:color="000000" w:sz="2" w:space="0"/>
              <w:bottom w:val="single" w:color="000000" w:sz="2" w:space="0"/>
            </w:tcBorders>
            <w:vAlign w:val="top"/>
          </w:tcPr>
          <w:p w14:paraId="0567CA3A">
            <w:pPr>
              <w:pStyle w:val="6"/>
              <w:spacing w:before="244" w:line="229" w:lineRule="auto"/>
              <w:ind w:left="230" w:right="244"/>
            </w:pPr>
            <w:r>
              <w:rPr>
                <w:spacing w:val="-4"/>
              </w:rPr>
              <w:t>载玻</w:t>
            </w:r>
            <w:r>
              <w:t xml:space="preserve"> </w:t>
            </w:r>
            <w:r>
              <w:rPr>
                <w:spacing w:val="-6"/>
              </w:rPr>
              <w:t>片准</w:t>
            </w:r>
          </w:p>
        </w:tc>
        <w:tc>
          <w:tcPr>
            <w:tcW w:w="339" w:type="dxa"/>
            <w:tcBorders>
              <w:top w:val="single" w:color="000000" w:sz="2" w:space="0"/>
              <w:bottom w:val="single" w:color="000000" w:sz="2" w:space="0"/>
            </w:tcBorders>
            <w:vAlign w:val="top"/>
          </w:tcPr>
          <w:p w14:paraId="327A8061">
            <w:pPr>
              <w:spacing w:line="329" w:lineRule="auto"/>
              <w:rPr>
                <w:rFonts w:ascii="Arial"/>
                <w:sz w:val="21"/>
              </w:rPr>
            </w:pPr>
          </w:p>
          <w:p w14:paraId="632C30E3">
            <w:pPr>
              <w:pStyle w:val="6"/>
              <w:spacing w:before="55" w:line="183" w:lineRule="auto"/>
              <w:ind w:left="73"/>
            </w:pPr>
            <w:r>
              <w:rPr>
                <w:spacing w:val="-3"/>
              </w:rPr>
              <w:t>20</w:t>
            </w:r>
          </w:p>
        </w:tc>
        <w:tc>
          <w:tcPr>
            <w:tcW w:w="2556" w:type="dxa"/>
            <w:tcBorders>
              <w:top w:val="single" w:color="000000" w:sz="2" w:space="0"/>
              <w:bottom w:val="single" w:color="000000" w:sz="2" w:space="0"/>
            </w:tcBorders>
            <w:vAlign w:val="top"/>
          </w:tcPr>
          <w:p w14:paraId="07A79D54">
            <w:pPr>
              <w:pStyle w:val="6"/>
              <w:spacing w:before="122" w:line="236" w:lineRule="auto"/>
              <w:ind w:left="33" w:right="97" w:firstLine="39"/>
              <w:jc w:val="both"/>
            </w:pPr>
            <w:r>
              <w:rPr>
                <w:spacing w:val="-1"/>
              </w:rPr>
              <w:t>操作准确、规范，得20分；操作</w:t>
            </w:r>
            <w:r>
              <w:rPr>
                <w:spacing w:val="8"/>
              </w:rPr>
              <w:t xml:space="preserve"> </w:t>
            </w:r>
            <w:r>
              <w:rPr>
                <w:spacing w:val="5"/>
              </w:rPr>
              <w:t>基本准确、规范，扣5分；载玻</w:t>
            </w:r>
            <w:r>
              <w:rPr>
                <w:spacing w:val="2"/>
              </w:rPr>
              <w:t xml:space="preserve"> </w:t>
            </w:r>
            <w:r>
              <w:rPr>
                <w:spacing w:val="-1"/>
              </w:rPr>
              <w:t>片准备操作不充分，扣12分。</w:t>
            </w:r>
          </w:p>
        </w:tc>
      </w:tr>
      <w:tr w14:paraId="08A910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94" w:hRule="atLeast"/>
        </w:trPr>
        <w:tc>
          <w:tcPr>
            <w:tcW w:w="424" w:type="dxa"/>
            <w:tcBorders>
              <w:top w:val="single" w:color="000000" w:sz="2" w:space="0"/>
              <w:bottom w:val="single" w:color="000000" w:sz="2" w:space="0"/>
            </w:tcBorders>
            <w:vAlign w:val="top"/>
          </w:tcPr>
          <w:p w14:paraId="7CE9BB8E">
            <w:pPr>
              <w:spacing w:line="348" w:lineRule="auto"/>
              <w:rPr>
                <w:rFonts w:ascii="Arial"/>
                <w:sz w:val="21"/>
              </w:rPr>
            </w:pPr>
          </w:p>
          <w:p w14:paraId="00B72B8B">
            <w:pPr>
              <w:spacing w:line="349" w:lineRule="auto"/>
              <w:rPr>
                <w:rFonts w:ascii="Arial"/>
                <w:sz w:val="21"/>
              </w:rPr>
            </w:pPr>
          </w:p>
          <w:p w14:paraId="7446BCB7">
            <w:pPr>
              <w:pStyle w:val="6"/>
              <w:spacing w:before="56" w:line="183" w:lineRule="auto"/>
              <w:ind w:left="155"/>
            </w:pPr>
            <w:r>
              <w:t>2</w:t>
            </w:r>
          </w:p>
        </w:tc>
        <w:tc>
          <w:tcPr>
            <w:tcW w:w="818" w:type="dxa"/>
            <w:tcBorders>
              <w:top w:val="single" w:color="000000" w:sz="2" w:space="0"/>
              <w:bottom w:val="single" w:color="000000" w:sz="2" w:space="0"/>
            </w:tcBorders>
            <w:vAlign w:val="top"/>
          </w:tcPr>
          <w:p w14:paraId="30CFDCE7">
            <w:pPr>
              <w:spacing w:line="446" w:lineRule="auto"/>
              <w:rPr>
                <w:rFonts w:ascii="Arial"/>
                <w:sz w:val="21"/>
              </w:rPr>
            </w:pPr>
          </w:p>
          <w:p w14:paraId="787B910D">
            <w:pPr>
              <w:pStyle w:val="6"/>
              <w:spacing w:before="55" w:line="229" w:lineRule="auto"/>
              <w:ind w:left="230" w:right="244"/>
              <w:jc w:val="both"/>
            </w:pPr>
            <w:r>
              <w:rPr>
                <w:spacing w:val="-4"/>
              </w:rPr>
              <w:t>制作</w:t>
            </w:r>
            <w:r>
              <w:t xml:space="preserve"> </w:t>
            </w:r>
            <w:r>
              <w:rPr>
                <w:spacing w:val="-4"/>
              </w:rPr>
              <w:t>血涂</w:t>
            </w:r>
            <w:r>
              <w:t xml:space="preserve"> </w:t>
            </w:r>
            <w:r>
              <w:rPr>
                <w:spacing w:val="26"/>
                <w:w w:val="125"/>
              </w:rPr>
              <w:t>片</w:t>
            </w:r>
          </w:p>
        </w:tc>
        <w:tc>
          <w:tcPr>
            <w:tcW w:w="339" w:type="dxa"/>
            <w:tcBorders>
              <w:top w:val="single" w:color="000000" w:sz="2" w:space="0"/>
              <w:bottom w:val="single" w:color="000000" w:sz="2" w:space="0"/>
            </w:tcBorders>
            <w:vAlign w:val="top"/>
          </w:tcPr>
          <w:p w14:paraId="2A5ECB1D">
            <w:pPr>
              <w:spacing w:line="348" w:lineRule="auto"/>
              <w:rPr>
                <w:rFonts w:ascii="Arial"/>
                <w:sz w:val="21"/>
              </w:rPr>
            </w:pPr>
          </w:p>
          <w:p w14:paraId="050F8C88">
            <w:pPr>
              <w:spacing w:line="349" w:lineRule="auto"/>
              <w:rPr>
                <w:rFonts w:ascii="Arial"/>
                <w:sz w:val="21"/>
              </w:rPr>
            </w:pPr>
          </w:p>
          <w:p w14:paraId="24C07F34">
            <w:pPr>
              <w:pStyle w:val="6"/>
              <w:spacing w:before="56" w:line="183" w:lineRule="auto"/>
              <w:ind w:left="52"/>
            </w:pPr>
            <w:r>
              <w:rPr>
                <w:spacing w:val="-2"/>
              </w:rPr>
              <w:t>40</w:t>
            </w:r>
          </w:p>
        </w:tc>
        <w:tc>
          <w:tcPr>
            <w:tcW w:w="2556" w:type="dxa"/>
            <w:tcBorders>
              <w:top w:val="single" w:color="000000" w:sz="2" w:space="0"/>
              <w:bottom w:val="single" w:color="000000" w:sz="2" w:space="0"/>
            </w:tcBorders>
            <w:vAlign w:val="top"/>
          </w:tcPr>
          <w:p w14:paraId="49C92D75">
            <w:pPr>
              <w:pStyle w:val="6"/>
              <w:spacing w:before="75" w:line="234" w:lineRule="auto"/>
              <w:ind w:left="13" w:firstLine="9"/>
            </w:pPr>
            <w:r>
              <w:rPr>
                <w:spacing w:val="-2"/>
              </w:rPr>
              <w:t>操作步骤准确、规范，动作熟练，</w:t>
            </w:r>
            <w:r>
              <w:rPr>
                <w:spacing w:val="1"/>
              </w:rPr>
              <w:t xml:space="preserve"> </w:t>
            </w:r>
            <w:r>
              <w:rPr>
                <w:spacing w:val="-7"/>
              </w:rPr>
              <w:t>血涂片薄而匀，无来回重复涂片现</w:t>
            </w:r>
            <w:r>
              <w:rPr>
                <w:spacing w:val="4"/>
              </w:rPr>
              <w:t xml:space="preserve">  </w:t>
            </w:r>
            <w:r>
              <w:t>象，得40分；操作基本准确，动</w:t>
            </w:r>
            <w:r>
              <w:rPr>
                <w:spacing w:val="5"/>
              </w:rPr>
              <w:t xml:space="preserve">  </w:t>
            </w:r>
            <w:r>
              <w:rPr>
                <w:spacing w:val="-7"/>
              </w:rPr>
              <w:t>作不很熟练，血涂片厚薄不均或呈</w:t>
            </w:r>
            <w:r>
              <w:rPr>
                <w:spacing w:val="5"/>
              </w:rPr>
              <w:t xml:space="preserve">  </w:t>
            </w:r>
            <w:r>
              <w:rPr>
                <w:spacing w:val="-5"/>
              </w:rPr>
              <w:t>波纹状，血涂片基本符合要求，扣</w:t>
            </w:r>
            <w:r>
              <w:rPr>
                <w:spacing w:val="4"/>
              </w:rPr>
              <w:t xml:space="preserve"> </w:t>
            </w:r>
            <w:r>
              <w:rPr>
                <w:spacing w:val="-6"/>
              </w:rPr>
              <w:t>10分；动作生疏，操作步骤有严重</w:t>
            </w:r>
            <w:r>
              <w:rPr>
                <w:spacing w:val="14"/>
              </w:rPr>
              <w:t xml:space="preserve"> </w:t>
            </w:r>
            <w:r>
              <w:rPr>
                <w:spacing w:val="-12"/>
              </w:rPr>
              <w:t>失误，血涂片不符合要求，扣28分。</w:t>
            </w:r>
          </w:p>
        </w:tc>
      </w:tr>
      <w:tr w14:paraId="6A9B21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74" w:hRule="atLeast"/>
        </w:trPr>
        <w:tc>
          <w:tcPr>
            <w:tcW w:w="424" w:type="dxa"/>
            <w:tcBorders>
              <w:top w:val="single" w:color="000000" w:sz="2" w:space="0"/>
              <w:bottom w:val="single" w:color="000000" w:sz="2" w:space="0"/>
            </w:tcBorders>
            <w:vAlign w:val="top"/>
          </w:tcPr>
          <w:p w14:paraId="320EF62A">
            <w:pPr>
              <w:spacing w:line="390" w:lineRule="auto"/>
              <w:rPr>
                <w:rFonts w:ascii="Arial"/>
                <w:sz w:val="21"/>
              </w:rPr>
            </w:pPr>
          </w:p>
          <w:p w14:paraId="79D71232">
            <w:pPr>
              <w:pStyle w:val="6"/>
              <w:spacing w:before="55" w:line="183" w:lineRule="auto"/>
              <w:ind w:left="155"/>
            </w:pPr>
            <w:r>
              <w:t>3</w:t>
            </w:r>
          </w:p>
        </w:tc>
        <w:tc>
          <w:tcPr>
            <w:tcW w:w="818" w:type="dxa"/>
            <w:tcBorders>
              <w:top w:val="single" w:color="000000" w:sz="2" w:space="0"/>
              <w:bottom w:val="single" w:color="000000" w:sz="2" w:space="0"/>
            </w:tcBorders>
            <w:vAlign w:val="top"/>
          </w:tcPr>
          <w:p w14:paraId="7BAE2DAF">
            <w:pPr>
              <w:spacing w:line="345" w:lineRule="auto"/>
              <w:rPr>
                <w:rFonts w:ascii="Arial"/>
                <w:sz w:val="21"/>
              </w:rPr>
            </w:pPr>
          </w:p>
          <w:p w14:paraId="27768E2F">
            <w:pPr>
              <w:pStyle w:val="6"/>
              <w:spacing w:before="56" w:line="219" w:lineRule="auto"/>
              <w:ind w:left="230"/>
            </w:pPr>
            <w:r>
              <w:rPr>
                <w:spacing w:val="-2"/>
              </w:rPr>
              <w:t>干燥</w:t>
            </w:r>
          </w:p>
        </w:tc>
        <w:tc>
          <w:tcPr>
            <w:tcW w:w="339" w:type="dxa"/>
            <w:tcBorders>
              <w:top w:val="single" w:color="000000" w:sz="2" w:space="0"/>
              <w:bottom w:val="single" w:color="000000" w:sz="2" w:space="0"/>
            </w:tcBorders>
            <w:vAlign w:val="top"/>
          </w:tcPr>
          <w:p w14:paraId="5A19B541">
            <w:pPr>
              <w:spacing w:line="390" w:lineRule="auto"/>
              <w:rPr>
                <w:rFonts w:ascii="Arial"/>
                <w:sz w:val="21"/>
              </w:rPr>
            </w:pPr>
          </w:p>
          <w:p w14:paraId="5ADE5CC2">
            <w:pPr>
              <w:pStyle w:val="6"/>
              <w:spacing w:before="55" w:line="183" w:lineRule="auto"/>
              <w:ind w:left="73"/>
            </w:pPr>
            <w:r>
              <w:rPr>
                <w:spacing w:val="-3"/>
              </w:rPr>
              <w:t>20</w:t>
            </w:r>
          </w:p>
        </w:tc>
        <w:tc>
          <w:tcPr>
            <w:tcW w:w="2556" w:type="dxa"/>
            <w:tcBorders>
              <w:top w:val="single" w:color="000000" w:sz="2" w:space="0"/>
              <w:bottom w:val="single" w:color="000000" w:sz="2" w:space="0"/>
            </w:tcBorders>
            <w:vAlign w:val="top"/>
          </w:tcPr>
          <w:p w14:paraId="66F3F0A9">
            <w:pPr>
              <w:pStyle w:val="6"/>
              <w:spacing w:before="94" w:line="219" w:lineRule="auto"/>
              <w:ind w:left="194"/>
            </w:pPr>
            <w:r>
              <w:t>操作准确、规范，动作熟练，</w:t>
            </w:r>
          </w:p>
          <w:p w14:paraId="47933E56">
            <w:pPr>
              <w:pStyle w:val="6"/>
              <w:spacing w:before="6" w:line="233" w:lineRule="auto"/>
              <w:ind w:left="23" w:right="43" w:firstLine="130"/>
            </w:pPr>
            <w:r>
              <w:rPr>
                <w:spacing w:val="-1"/>
              </w:rPr>
              <w:t>得20分；操作基本准确，动作</w:t>
            </w:r>
            <w:r>
              <w:rPr>
                <w:spacing w:val="2"/>
              </w:rPr>
              <w:t xml:space="preserve">  </w:t>
            </w:r>
            <w:r>
              <w:t>不很熟练，扣5分；动作生疏，操</w:t>
            </w:r>
            <w:r>
              <w:rPr>
                <w:spacing w:val="12"/>
              </w:rPr>
              <w:t xml:space="preserve"> </w:t>
            </w:r>
            <w:r>
              <w:rPr>
                <w:spacing w:val="-1"/>
              </w:rPr>
              <w:t>作步骤有严重失误，扣12分。</w:t>
            </w:r>
          </w:p>
        </w:tc>
      </w:tr>
      <w:tr w14:paraId="619F20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744" w:hRule="atLeast"/>
        </w:trPr>
        <w:tc>
          <w:tcPr>
            <w:tcW w:w="424" w:type="dxa"/>
            <w:tcBorders>
              <w:top w:val="single" w:color="000000" w:sz="2" w:space="0"/>
              <w:bottom w:val="single" w:color="000000" w:sz="2" w:space="0"/>
            </w:tcBorders>
            <w:vAlign w:val="top"/>
          </w:tcPr>
          <w:p w14:paraId="489F4844">
            <w:pPr>
              <w:spacing w:line="259" w:lineRule="auto"/>
              <w:rPr>
                <w:rFonts w:ascii="Arial"/>
                <w:sz w:val="21"/>
              </w:rPr>
            </w:pPr>
          </w:p>
          <w:p w14:paraId="269263F5">
            <w:pPr>
              <w:spacing w:line="259" w:lineRule="auto"/>
              <w:rPr>
                <w:rFonts w:ascii="Arial"/>
                <w:sz w:val="21"/>
              </w:rPr>
            </w:pPr>
          </w:p>
          <w:p w14:paraId="29998747">
            <w:pPr>
              <w:spacing w:line="260" w:lineRule="auto"/>
              <w:rPr>
                <w:rFonts w:ascii="Arial"/>
                <w:sz w:val="21"/>
              </w:rPr>
            </w:pPr>
          </w:p>
          <w:p w14:paraId="0B475FDE">
            <w:pPr>
              <w:pStyle w:val="6"/>
              <w:spacing w:before="56" w:line="183" w:lineRule="auto"/>
              <w:ind w:left="155"/>
            </w:pPr>
            <w:r>
              <w:t>4</w:t>
            </w:r>
          </w:p>
        </w:tc>
        <w:tc>
          <w:tcPr>
            <w:tcW w:w="818" w:type="dxa"/>
            <w:tcBorders>
              <w:top w:val="single" w:color="000000" w:sz="2" w:space="0"/>
              <w:bottom w:val="single" w:color="000000" w:sz="2" w:space="0"/>
            </w:tcBorders>
            <w:vAlign w:val="top"/>
          </w:tcPr>
          <w:p w14:paraId="7DAB30CD">
            <w:pPr>
              <w:spacing w:line="245" w:lineRule="auto"/>
              <w:rPr>
                <w:rFonts w:ascii="Arial"/>
                <w:sz w:val="21"/>
              </w:rPr>
            </w:pPr>
          </w:p>
          <w:p w14:paraId="5E1D9821">
            <w:pPr>
              <w:spacing w:line="245" w:lineRule="auto"/>
              <w:rPr>
                <w:rFonts w:ascii="Arial"/>
                <w:sz w:val="21"/>
              </w:rPr>
            </w:pPr>
          </w:p>
          <w:p w14:paraId="24525AC2">
            <w:pPr>
              <w:spacing w:line="245" w:lineRule="auto"/>
              <w:rPr>
                <w:rFonts w:ascii="Arial"/>
                <w:sz w:val="21"/>
              </w:rPr>
            </w:pPr>
          </w:p>
          <w:p w14:paraId="063FCCE2">
            <w:pPr>
              <w:pStyle w:val="6"/>
              <w:spacing w:before="56" w:line="220" w:lineRule="auto"/>
              <w:ind w:left="230"/>
            </w:pPr>
            <w:r>
              <w:rPr>
                <w:spacing w:val="-3"/>
              </w:rPr>
              <w:t>染色</w:t>
            </w:r>
          </w:p>
        </w:tc>
        <w:tc>
          <w:tcPr>
            <w:tcW w:w="339" w:type="dxa"/>
            <w:tcBorders>
              <w:top w:val="single" w:color="000000" w:sz="2" w:space="0"/>
              <w:bottom w:val="single" w:color="000000" w:sz="2" w:space="0"/>
            </w:tcBorders>
            <w:vAlign w:val="top"/>
          </w:tcPr>
          <w:p w14:paraId="3EED28F6">
            <w:pPr>
              <w:spacing w:line="259" w:lineRule="auto"/>
              <w:rPr>
                <w:rFonts w:ascii="Arial"/>
                <w:sz w:val="21"/>
              </w:rPr>
            </w:pPr>
          </w:p>
          <w:p w14:paraId="61A8C54A">
            <w:pPr>
              <w:spacing w:line="259" w:lineRule="auto"/>
              <w:rPr>
                <w:rFonts w:ascii="Arial"/>
                <w:sz w:val="21"/>
              </w:rPr>
            </w:pPr>
          </w:p>
          <w:p w14:paraId="34CCE3CF">
            <w:pPr>
              <w:spacing w:line="260" w:lineRule="auto"/>
              <w:rPr>
                <w:rFonts w:ascii="Arial"/>
                <w:sz w:val="21"/>
              </w:rPr>
            </w:pPr>
          </w:p>
          <w:p w14:paraId="4F6BCDB1">
            <w:pPr>
              <w:pStyle w:val="6"/>
              <w:spacing w:before="56" w:line="183" w:lineRule="auto"/>
              <w:ind w:left="73"/>
            </w:pPr>
            <w:r>
              <w:rPr>
                <w:spacing w:val="-3"/>
              </w:rPr>
              <w:t>30</w:t>
            </w:r>
          </w:p>
        </w:tc>
        <w:tc>
          <w:tcPr>
            <w:tcW w:w="2556" w:type="dxa"/>
            <w:tcBorders>
              <w:top w:val="single" w:color="000000" w:sz="2" w:space="0"/>
              <w:bottom w:val="single" w:color="000000" w:sz="2" w:space="0"/>
            </w:tcBorders>
            <w:vAlign w:val="top"/>
          </w:tcPr>
          <w:p w14:paraId="3149B4FB">
            <w:pPr>
              <w:pStyle w:val="6"/>
              <w:spacing w:before="35" w:line="244" w:lineRule="auto"/>
              <w:ind w:left="23" w:right="97" w:firstLine="49"/>
            </w:pPr>
            <w:r>
              <w:rPr>
                <w:spacing w:val="-1"/>
              </w:rPr>
              <w:t>操作准确、规范，动作熟练。载</w:t>
            </w:r>
            <w:r>
              <w:rPr>
                <w:spacing w:val="7"/>
              </w:rPr>
              <w:t xml:space="preserve"> </w:t>
            </w:r>
            <w:r>
              <w:rPr>
                <w:spacing w:val="-1"/>
              </w:rPr>
              <w:t>玻片除玻璃铅笔划线内血膜处，</w:t>
            </w:r>
          </w:p>
          <w:p w14:paraId="517B6C82">
            <w:pPr>
              <w:pStyle w:val="6"/>
              <w:spacing w:line="226" w:lineRule="auto"/>
              <w:ind w:left="13" w:firstLine="59"/>
            </w:pPr>
            <w:r>
              <w:rPr>
                <w:spacing w:val="-3"/>
              </w:rPr>
              <w:t>其他部位无染液，得30分；操作</w:t>
            </w:r>
            <w:r>
              <w:rPr>
                <w:spacing w:val="3"/>
              </w:rPr>
              <w:t xml:space="preserve">  </w:t>
            </w:r>
            <w:r>
              <w:rPr>
                <w:spacing w:val="-5"/>
              </w:rPr>
              <w:t>基本准确，动作不很熟练，少量染</w:t>
            </w:r>
            <w:r>
              <w:rPr>
                <w:spacing w:val="8"/>
              </w:rPr>
              <w:t xml:space="preserve"> </w:t>
            </w:r>
            <w:r>
              <w:rPr>
                <w:spacing w:val="-2"/>
              </w:rPr>
              <w:t>液侧漏到玻璃铅笔划线血膜以外，</w:t>
            </w:r>
            <w:r>
              <w:rPr>
                <w:spacing w:val="11"/>
              </w:rPr>
              <w:t xml:space="preserve"> </w:t>
            </w:r>
            <w:r>
              <w:rPr>
                <w:spacing w:val="1"/>
              </w:rPr>
              <w:t xml:space="preserve">扣10分；动作生疏，操作步骤有  </w:t>
            </w:r>
            <w:r>
              <w:rPr>
                <w:spacing w:val="-5"/>
              </w:rPr>
              <w:t>严重失误，大量染液侧漏至整个玻</w:t>
            </w:r>
            <w:r>
              <w:rPr>
                <w:spacing w:val="8"/>
              </w:rPr>
              <w:t xml:space="preserve"> </w:t>
            </w:r>
            <w:r>
              <w:rPr>
                <w:spacing w:val="3"/>
              </w:rPr>
              <w:t>片，扣22分。</w:t>
            </w:r>
          </w:p>
        </w:tc>
      </w:tr>
      <w:tr w14:paraId="348AC1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98" w:hRule="atLeast"/>
        </w:trPr>
        <w:tc>
          <w:tcPr>
            <w:tcW w:w="424" w:type="dxa"/>
            <w:tcBorders>
              <w:top w:val="single" w:color="000000" w:sz="2" w:space="0"/>
              <w:bottom w:val="single" w:color="000000" w:sz="2" w:space="0"/>
            </w:tcBorders>
            <w:vAlign w:val="top"/>
          </w:tcPr>
          <w:p w14:paraId="2C972C17">
            <w:pPr>
              <w:spacing w:line="316" w:lineRule="auto"/>
              <w:rPr>
                <w:rFonts w:ascii="Arial"/>
                <w:sz w:val="21"/>
              </w:rPr>
            </w:pPr>
          </w:p>
          <w:p w14:paraId="2CDA32F0">
            <w:pPr>
              <w:spacing w:line="316" w:lineRule="auto"/>
              <w:rPr>
                <w:rFonts w:ascii="Arial"/>
                <w:sz w:val="21"/>
              </w:rPr>
            </w:pPr>
          </w:p>
          <w:p w14:paraId="0E9AD1AC">
            <w:pPr>
              <w:spacing w:line="317" w:lineRule="auto"/>
              <w:rPr>
                <w:rFonts w:ascii="Arial"/>
                <w:sz w:val="21"/>
              </w:rPr>
            </w:pPr>
          </w:p>
          <w:p w14:paraId="1133AD9B">
            <w:pPr>
              <w:pStyle w:val="6"/>
              <w:spacing w:before="55" w:line="182" w:lineRule="auto"/>
              <w:ind w:left="155"/>
            </w:pPr>
            <w:r>
              <w:t>5</w:t>
            </w:r>
          </w:p>
        </w:tc>
        <w:tc>
          <w:tcPr>
            <w:tcW w:w="818" w:type="dxa"/>
            <w:tcBorders>
              <w:top w:val="single" w:color="000000" w:sz="2" w:space="0"/>
              <w:bottom w:val="single" w:color="000000" w:sz="2" w:space="0"/>
            </w:tcBorders>
            <w:vAlign w:val="top"/>
          </w:tcPr>
          <w:p w14:paraId="572227A8">
            <w:pPr>
              <w:spacing w:line="301" w:lineRule="auto"/>
              <w:rPr>
                <w:rFonts w:ascii="Arial"/>
                <w:sz w:val="21"/>
              </w:rPr>
            </w:pPr>
          </w:p>
          <w:p w14:paraId="01B97620">
            <w:pPr>
              <w:spacing w:line="302" w:lineRule="auto"/>
              <w:rPr>
                <w:rFonts w:ascii="Arial"/>
                <w:sz w:val="21"/>
              </w:rPr>
            </w:pPr>
          </w:p>
          <w:p w14:paraId="1C860A7D">
            <w:pPr>
              <w:spacing w:line="302" w:lineRule="auto"/>
              <w:rPr>
                <w:rFonts w:ascii="Arial"/>
                <w:sz w:val="21"/>
              </w:rPr>
            </w:pPr>
          </w:p>
          <w:p w14:paraId="36842B24">
            <w:pPr>
              <w:pStyle w:val="6"/>
              <w:spacing w:before="55" w:line="219" w:lineRule="auto"/>
              <w:ind w:left="230"/>
            </w:pPr>
            <w:r>
              <w:rPr>
                <w:spacing w:val="-2"/>
              </w:rPr>
              <w:t>镜检</w:t>
            </w:r>
          </w:p>
        </w:tc>
        <w:tc>
          <w:tcPr>
            <w:tcW w:w="339" w:type="dxa"/>
            <w:tcBorders>
              <w:top w:val="single" w:color="000000" w:sz="2" w:space="0"/>
              <w:bottom w:val="single" w:color="000000" w:sz="2" w:space="0"/>
            </w:tcBorders>
            <w:vAlign w:val="top"/>
          </w:tcPr>
          <w:p w14:paraId="743A2AF4">
            <w:pPr>
              <w:spacing w:line="316" w:lineRule="auto"/>
              <w:rPr>
                <w:rFonts w:ascii="Arial"/>
                <w:sz w:val="21"/>
              </w:rPr>
            </w:pPr>
          </w:p>
          <w:p w14:paraId="5A753337">
            <w:pPr>
              <w:spacing w:line="316" w:lineRule="auto"/>
              <w:rPr>
                <w:rFonts w:ascii="Arial"/>
                <w:sz w:val="21"/>
              </w:rPr>
            </w:pPr>
          </w:p>
          <w:p w14:paraId="4FA7A972">
            <w:pPr>
              <w:spacing w:line="316" w:lineRule="auto"/>
              <w:rPr>
                <w:rFonts w:ascii="Arial"/>
                <w:sz w:val="21"/>
              </w:rPr>
            </w:pPr>
          </w:p>
          <w:p w14:paraId="3BBFED8C">
            <w:pPr>
              <w:pStyle w:val="6"/>
              <w:spacing w:before="55" w:line="183" w:lineRule="auto"/>
              <w:ind w:left="73"/>
            </w:pPr>
            <w:r>
              <w:rPr>
                <w:spacing w:val="-3"/>
              </w:rPr>
              <w:t>30</w:t>
            </w:r>
          </w:p>
        </w:tc>
        <w:tc>
          <w:tcPr>
            <w:tcW w:w="2556" w:type="dxa"/>
            <w:tcBorders>
              <w:top w:val="single" w:color="000000" w:sz="2" w:space="0"/>
              <w:bottom w:val="single" w:color="000000" w:sz="2" w:space="0"/>
            </w:tcBorders>
            <w:vAlign w:val="top"/>
          </w:tcPr>
          <w:p w14:paraId="6DFA0FB3">
            <w:pPr>
              <w:pStyle w:val="6"/>
              <w:spacing w:before="108" w:line="236" w:lineRule="auto"/>
              <w:ind w:left="13"/>
            </w:pPr>
            <w:r>
              <w:rPr>
                <w:spacing w:val="-7"/>
              </w:rPr>
              <w:t>操作准确、规范，动作熟练，镜下</w:t>
            </w:r>
            <w:r>
              <w:rPr>
                <w:spacing w:val="6"/>
              </w:rPr>
              <w:t xml:space="preserve">  </w:t>
            </w:r>
            <w:r>
              <w:rPr>
                <w:spacing w:val="-12"/>
              </w:rPr>
              <w:t>细胞均匀，染色效果好，结构清晰，</w:t>
            </w:r>
            <w:r>
              <w:rPr>
                <w:spacing w:val="3"/>
              </w:rPr>
              <w:t xml:space="preserve"> </w:t>
            </w:r>
            <w:r>
              <w:rPr>
                <w:spacing w:val="-1"/>
              </w:rPr>
              <w:t>无染料颗粒沉着，得30分；操作</w:t>
            </w:r>
            <w:r>
              <w:rPr>
                <w:spacing w:val="2"/>
              </w:rPr>
              <w:t xml:space="preserve">   </w:t>
            </w:r>
            <w:r>
              <w:rPr>
                <w:spacing w:val="-7"/>
              </w:rPr>
              <w:t>基本准确，动作不很熟练，镜下细</w:t>
            </w:r>
            <w:r>
              <w:rPr>
                <w:spacing w:val="6"/>
              </w:rPr>
              <w:t xml:space="preserve">  </w:t>
            </w:r>
            <w:r>
              <w:rPr>
                <w:spacing w:val="-12"/>
              </w:rPr>
              <w:t>胞不均匀，染色浅，结构不够清晰，</w:t>
            </w:r>
            <w:r>
              <w:rPr>
                <w:spacing w:val="3"/>
              </w:rPr>
              <w:t xml:space="preserve"> </w:t>
            </w:r>
            <w:r>
              <w:rPr>
                <w:spacing w:val="-6"/>
              </w:rPr>
              <w:t>少量染料颗粒沉着，扣10分；动作</w:t>
            </w:r>
            <w:r>
              <w:rPr>
                <w:spacing w:val="2"/>
              </w:rPr>
              <w:t xml:space="preserve">  </w:t>
            </w:r>
            <w:r>
              <w:rPr>
                <w:spacing w:val="-7"/>
              </w:rPr>
              <w:t>生疏，操作步骤有严重失误，镜下</w:t>
            </w:r>
            <w:r>
              <w:rPr>
                <w:spacing w:val="6"/>
              </w:rPr>
              <w:t xml:space="preserve">  </w:t>
            </w:r>
            <w:r>
              <w:rPr>
                <w:spacing w:val="-5"/>
              </w:rPr>
              <w:t>细胞破损，结构模糊或无细胞，</w:t>
            </w:r>
          </w:p>
          <w:p w14:paraId="79F1E713">
            <w:pPr>
              <w:pStyle w:val="6"/>
              <w:spacing w:before="18" w:line="219" w:lineRule="auto"/>
              <w:ind w:left="13"/>
            </w:pPr>
            <w:r>
              <w:rPr>
                <w:spacing w:val="-1"/>
              </w:rPr>
              <w:t>染料颗粒大面积沉着，扣22分。</w:t>
            </w:r>
          </w:p>
        </w:tc>
      </w:tr>
    </w:tbl>
    <w:p w14:paraId="3BCD96C5">
      <w:pPr>
        <w:pStyle w:val="2"/>
        <w:spacing w:line="14" w:lineRule="auto"/>
        <w:rPr>
          <w:sz w:val="2"/>
        </w:rPr>
      </w:pPr>
    </w:p>
    <w:p w14:paraId="3F75E7C9">
      <w:pPr>
        <w:pStyle w:val="2"/>
        <w:spacing w:line="14" w:lineRule="auto"/>
        <w:rPr>
          <w:sz w:val="2"/>
        </w:rPr>
      </w:pPr>
      <w:r>
        <w:rPr>
          <w:sz w:val="2"/>
          <w:szCs w:val="2"/>
        </w:rPr>
        <w:br w:type="column"/>
      </w:r>
    </w:p>
    <w:p w14:paraId="3DA5E818">
      <w:pPr>
        <w:spacing w:line="63" w:lineRule="auto"/>
        <w:rPr>
          <w:rFonts w:ascii="Arial"/>
          <w:sz w:val="2"/>
        </w:rPr>
      </w:pPr>
    </w:p>
    <w:tbl>
      <w:tblPr>
        <w:tblStyle w:val="5"/>
        <w:tblW w:w="4146" w:type="dxa"/>
        <w:tblInd w:w="2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424"/>
        <w:gridCol w:w="828"/>
        <w:gridCol w:w="339"/>
        <w:gridCol w:w="2555"/>
      </w:tblGrid>
      <w:tr w14:paraId="28F6FA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3" w:hRule="atLeast"/>
        </w:trPr>
        <w:tc>
          <w:tcPr>
            <w:tcW w:w="424" w:type="dxa"/>
            <w:textDirection w:val="tbRlV"/>
            <w:vAlign w:val="top"/>
          </w:tcPr>
          <w:p w14:paraId="6C027DD8">
            <w:pPr>
              <w:pStyle w:val="6"/>
              <w:spacing w:before="139" w:line="199" w:lineRule="auto"/>
              <w:ind w:left="103"/>
            </w:pPr>
            <w:r>
              <w:rPr>
                <w:b/>
                <w:bCs/>
                <w:spacing w:val="-2"/>
              </w:rPr>
              <w:t>序号</w:t>
            </w:r>
          </w:p>
        </w:tc>
        <w:tc>
          <w:tcPr>
            <w:tcW w:w="828" w:type="dxa"/>
            <w:vAlign w:val="top"/>
          </w:tcPr>
          <w:p w14:paraId="11B2102A">
            <w:pPr>
              <w:pStyle w:val="6"/>
              <w:spacing w:before="91" w:line="220" w:lineRule="auto"/>
              <w:ind w:left="233" w:right="251"/>
            </w:pPr>
            <w:r>
              <w:rPr>
                <w:b/>
                <w:bCs/>
                <w:spacing w:val="-6"/>
              </w:rPr>
              <w:t>测试</w:t>
            </w:r>
            <w:r>
              <w:t xml:space="preserve"> </w:t>
            </w:r>
            <w:r>
              <w:rPr>
                <w:b/>
                <w:bCs/>
                <w:spacing w:val="-6"/>
              </w:rPr>
              <w:t>要点</w:t>
            </w:r>
          </w:p>
        </w:tc>
        <w:tc>
          <w:tcPr>
            <w:tcW w:w="339" w:type="dxa"/>
            <w:textDirection w:val="tbRlV"/>
            <w:vAlign w:val="top"/>
          </w:tcPr>
          <w:p w14:paraId="18892E3F">
            <w:pPr>
              <w:pStyle w:val="6"/>
              <w:spacing w:before="92" w:line="201" w:lineRule="auto"/>
              <w:ind w:left="52"/>
            </w:pPr>
            <w:r>
              <w:rPr>
                <w:b/>
                <w:bCs/>
                <w:spacing w:val="-2"/>
              </w:rPr>
              <w:t>分</w:t>
            </w:r>
            <w:r>
              <w:rPr>
                <w:spacing w:val="28"/>
              </w:rPr>
              <w:t xml:space="preserve"> </w:t>
            </w:r>
            <w:r>
              <w:rPr>
                <w:b/>
                <w:bCs/>
                <w:spacing w:val="-2"/>
              </w:rPr>
              <w:t>值</w:t>
            </w:r>
          </w:p>
        </w:tc>
        <w:tc>
          <w:tcPr>
            <w:tcW w:w="2555" w:type="dxa"/>
            <w:vAlign w:val="top"/>
          </w:tcPr>
          <w:p w14:paraId="5A706FB4">
            <w:pPr>
              <w:pStyle w:val="6"/>
              <w:spacing w:before="200" w:line="220" w:lineRule="auto"/>
              <w:ind w:left="926"/>
            </w:pPr>
            <w:r>
              <w:rPr>
                <w:b/>
                <w:bCs/>
                <w:spacing w:val="-3"/>
              </w:rPr>
              <w:t>评分标准</w:t>
            </w:r>
          </w:p>
        </w:tc>
      </w:tr>
      <w:tr w14:paraId="38ECFF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703" w:hRule="atLeast"/>
        </w:trPr>
        <w:tc>
          <w:tcPr>
            <w:tcW w:w="424" w:type="dxa"/>
            <w:vAlign w:val="top"/>
          </w:tcPr>
          <w:p w14:paraId="660AE56E">
            <w:pPr>
              <w:spacing w:line="251" w:lineRule="auto"/>
              <w:rPr>
                <w:rFonts w:ascii="Arial"/>
                <w:sz w:val="21"/>
              </w:rPr>
            </w:pPr>
          </w:p>
          <w:p w14:paraId="4B320619">
            <w:pPr>
              <w:spacing w:line="251" w:lineRule="auto"/>
              <w:rPr>
                <w:rFonts w:ascii="Arial"/>
                <w:sz w:val="21"/>
              </w:rPr>
            </w:pPr>
          </w:p>
          <w:p w14:paraId="71369511">
            <w:pPr>
              <w:spacing w:line="251" w:lineRule="auto"/>
              <w:rPr>
                <w:rFonts w:ascii="Arial"/>
                <w:sz w:val="21"/>
              </w:rPr>
            </w:pPr>
          </w:p>
          <w:p w14:paraId="648AC12E">
            <w:pPr>
              <w:pStyle w:val="6"/>
              <w:spacing w:before="55" w:line="183" w:lineRule="auto"/>
              <w:ind w:left="155"/>
            </w:pPr>
            <w:r>
              <w:t>6</w:t>
            </w:r>
          </w:p>
        </w:tc>
        <w:tc>
          <w:tcPr>
            <w:tcW w:w="828" w:type="dxa"/>
            <w:vAlign w:val="top"/>
          </w:tcPr>
          <w:p w14:paraId="2E8B597A">
            <w:pPr>
              <w:spacing w:line="304" w:lineRule="auto"/>
              <w:rPr>
                <w:rFonts w:ascii="Arial"/>
                <w:sz w:val="21"/>
              </w:rPr>
            </w:pPr>
          </w:p>
          <w:p w14:paraId="0894565C">
            <w:pPr>
              <w:spacing w:line="305" w:lineRule="auto"/>
              <w:rPr>
                <w:rFonts w:ascii="Arial"/>
                <w:sz w:val="21"/>
              </w:rPr>
            </w:pPr>
          </w:p>
          <w:p w14:paraId="3383AD8E">
            <w:pPr>
              <w:pStyle w:val="6"/>
              <w:spacing w:before="55" w:line="230" w:lineRule="auto"/>
              <w:ind w:left="231" w:right="253"/>
            </w:pPr>
            <w:r>
              <w:rPr>
                <w:spacing w:val="-4"/>
              </w:rPr>
              <w:t>镜头</w:t>
            </w:r>
            <w:r>
              <w:t xml:space="preserve"> </w:t>
            </w:r>
            <w:r>
              <w:rPr>
                <w:spacing w:val="-4"/>
              </w:rPr>
              <w:t>清理</w:t>
            </w:r>
          </w:p>
        </w:tc>
        <w:tc>
          <w:tcPr>
            <w:tcW w:w="339" w:type="dxa"/>
            <w:vAlign w:val="top"/>
          </w:tcPr>
          <w:p w14:paraId="0EAB44D1">
            <w:pPr>
              <w:spacing w:line="250" w:lineRule="auto"/>
              <w:rPr>
                <w:rFonts w:ascii="Arial"/>
                <w:sz w:val="21"/>
              </w:rPr>
            </w:pPr>
          </w:p>
          <w:p w14:paraId="39C38C38">
            <w:pPr>
              <w:spacing w:line="251" w:lineRule="auto"/>
              <w:rPr>
                <w:rFonts w:ascii="Arial"/>
                <w:sz w:val="21"/>
              </w:rPr>
            </w:pPr>
          </w:p>
          <w:p w14:paraId="5611A3CE">
            <w:pPr>
              <w:spacing w:line="251" w:lineRule="auto"/>
              <w:rPr>
                <w:rFonts w:ascii="Arial"/>
                <w:sz w:val="21"/>
              </w:rPr>
            </w:pPr>
          </w:p>
          <w:p w14:paraId="133960F7">
            <w:pPr>
              <w:pStyle w:val="6"/>
              <w:spacing w:before="55" w:line="184" w:lineRule="auto"/>
              <w:ind w:left="73"/>
            </w:pPr>
            <w:r>
              <w:rPr>
                <w:spacing w:val="-5"/>
              </w:rPr>
              <w:t>10</w:t>
            </w:r>
          </w:p>
        </w:tc>
        <w:tc>
          <w:tcPr>
            <w:tcW w:w="2555" w:type="dxa"/>
            <w:vAlign w:val="top"/>
          </w:tcPr>
          <w:p w14:paraId="3F25A7C0">
            <w:pPr>
              <w:pStyle w:val="6"/>
              <w:spacing w:before="229" w:line="219" w:lineRule="auto"/>
              <w:ind w:left="114"/>
            </w:pPr>
            <w:r>
              <w:rPr>
                <w:spacing w:val="-1"/>
              </w:rPr>
              <w:t>观察结束后，使用滴管滴1-2滴</w:t>
            </w:r>
          </w:p>
          <w:p w14:paraId="0CD07FB2">
            <w:pPr>
              <w:pStyle w:val="6"/>
              <w:spacing w:before="18" w:line="235" w:lineRule="auto"/>
              <w:ind w:left="13"/>
            </w:pPr>
            <w:r>
              <w:rPr>
                <w:spacing w:val="-5"/>
              </w:rPr>
              <w:t>二甲苯于擦镜纸上，将油镜镜头上</w:t>
            </w:r>
            <w:r>
              <w:rPr>
                <w:spacing w:val="7"/>
              </w:rPr>
              <w:t xml:space="preserve"> </w:t>
            </w:r>
            <w:r>
              <w:rPr>
                <w:spacing w:val="-4"/>
              </w:rPr>
              <w:t>的香柏油清理干净，整理好显微镜</w:t>
            </w:r>
            <w:r>
              <w:rPr>
                <w:spacing w:val="4"/>
              </w:rPr>
              <w:t xml:space="preserve"> </w:t>
            </w:r>
            <w:r>
              <w:rPr>
                <w:spacing w:val="-3"/>
              </w:rPr>
              <w:t>后离开，得10分；观察结束后，油</w:t>
            </w:r>
            <w:r>
              <w:rPr>
                <w:spacing w:val="5"/>
              </w:rPr>
              <w:t xml:space="preserve"> </w:t>
            </w:r>
            <w:r>
              <w:rPr>
                <w:spacing w:val="-1"/>
              </w:rPr>
              <w:t>镜镜头清理不当，扣5分；镜检结</w:t>
            </w:r>
            <w:r>
              <w:rPr>
                <w:spacing w:val="3"/>
              </w:rPr>
              <w:t xml:space="preserve">  </w:t>
            </w:r>
            <w:r>
              <w:rPr>
                <w:spacing w:val="-2"/>
              </w:rPr>
              <w:t>束后没有清理油镜镜头，扣10分。</w:t>
            </w:r>
          </w:p>
        </w:tc>
      </w:tr>
      <w:tr w14:paraId="2515FD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4" w:hRule="atLeast"/>
        </w:trPr>
        <w:tc>
          <w:tcPr>
            <w:tcW w:w="424" w:type="dxa"/>
            <w:vAlign w:val="top"/>
          </w:tcPr>
          <w:p w14:paraId="52D1DB12">
            <w:pPr>
              <w:pStyle w:val="6"/>
              <w:spacing w:before="116" w:line="220" w:lineRule="auto"/>
              <w:ind w:left="34"/>
            </w:pPr>
            <w:r>
              <w:rPr>
                <w:spacing w:val="-3"/>
              </w:rPr>
              <w:t>总分</w:t>
            </w:r>
          </w:p>
        </w:tc>
        <w:tc>
          <w:tcPr>
            <w:tcW w:w="828" w:type="dxa"/>
            <w:vAlign w:val="top"/>
          </w:tcPr>
          <w:p w14:paraId="4DD05159">
            <w:pPr>
              <w:rPr>
                <w:rFonts w:ascii="Arial"/>
                <w:sz w:val="21"/>
              </w:rPr>
            </w:pPr>
          </w:p>
        </w:tc>
        <w:tc>
          <w:tcPr>
            <w:tcW w:w="339" w:type="dxa"/>
            <w:vAlign w:val="top"/>
          </w:tcPr>
          <w:p w14:paraId="7C9744AB">
            <w:pPr>
              <w:pStyle w:val="6"/>
              <w:spacing w:before="158" w:line="184" w:lineRule="auto"/>
              <w:ind w:left="33"/>
            </w:pPr>
            <w:r>
              <w:rPr>
                <w:spacing w:val="-5"/>
              </w:rPr>
              <w:t>150</w:t>
            </w:r>
          </w:p>
        </w:tc>
        <w:tc>
          <w:tcPr>
            <w:tcW w:w="2555" w:type="dxa"/>
            <w:vAlign w:val="top"/>
          </w:tcPr>
          <w:p w14:paraId="20876AEC">
            <w:pPr>
              <w:rPr>
                <w:rFonts w:ascii="Arial"/>
                <w:sz w:val="21"/>
              </w:rPr>
            </w:pPr>
          </w:p>
        </w:tc>
      </w:tr>
    </w:tbl>
    <w:p w14:paraId="1103C341">
      <w:pPr>
        <w:pStyle w:val="2"/>
        <w:spacing w:line="263" w:lineRule="auto"/>
      </w:pPr>
    </w:p>
    <w:p w14:paraId="066D3120">
      <w:pPr>
        <w:spacing w:before="74" w:line="222" w:lineRule="auto"/>
        <w:ind w:left="833"/>
        <w:rPr>
          <w:rFonts w:ascii="黑体" w:hAnsi="黑体" w:eastAsia="黑体" w:cs="黑体"/>
          <w:sz w:val="23"/>
          <w:szCs w:val="23"/>
        </w:rPr>
      </w:pPr>
      <w:r>
        <w:rPr>
          <w:rFonts w:ascii="黑体" w:hAnsi="黑体" w:eastAsia="黑体" w:cs="黑体"/>
          <w:b/>
          <w:bCs/>
          <w:spacing w:val="-4"/>
          <w:sz w:val="23"/>
          <w:szCs w:val="23"/>
        </w:rPr>
        <w:t>项目二</w:t>
      </w:r>
      <w:r>
        <w:rPr>
          <w:rFonts w:ascii="黑体" w:hAnsi="黑体" w:eastAsia="黑体" w:cs="黑体"/>
          <w:spacing w:val="93"/>
          <w:sz w:val="23"/>
          <w:szCs w:val="23"/>
        </w:rPr>
        <w:t xml:space="preserve"> </w:t>
      </w:r>
      <w:r>
        <w:rPr>
          <w:rFonts w:ascii="黑体" w:hAnsi="黑体" w:eastAsia="黑体" w:cs="黑体"/>
          <w:b/>
          <w:bCs/>
          <w:spacing w:val="-4"/>
          <w:sz w:val="23"/>
          <w:szCs w:val="23"/>
        </w:rPr>
        <w:t>饲料原料的识别</w:t>
      </w:r>
    </w:p>
    <w:p w14:paraId="4BA9D75E">
      <w:pPr>
        <w:spacing w:before="292" w:line="221" w:lineRule="auto"/>
        <w:ind w:left="3"/>
        <w:rPr>
          <w:rFonts w:ascii="黑体" w:hAnsi="黑体" w:eastAsia="黑体" w:cs="黑体"/>
          <w:sz w:val="23"/>
          <w:szCs w:val="23"/>
        </w:rPr>
      </w:pPr>
      <w:r>
        <w:rPr>
          <w:rFonts w:ascii="黑体" w:hAnsi="黑体" w:eastAsia="黑体" w:cs="黑体"/>
          <w:b/>
          <w:bCs/>
          <w:spacing w:val="-3"/>
          <w:sz w:val="23"/>
          <w:szCs w:val="23"/>
        </w:rPr>
        <w:t>一、分值与测试时间</w:t>
      </w:r>
    </w:p>
    <w:p w14:paraId="75247323">
      <w:pPr>
        <w:spacing w:before="88" w:line="219" w:lineRule="auto"/>
        <w:ind w:left="380"/>
        <w:rPr>
          <w:rFonts w:ascii="宋体" w:hAnsi="宋体" w:eastAsia="宋体" w:cs="宋体"/>
          <w:sz w:val="17"/>
          <w:szCs w:val="17"/>
        </w:rPr>
      </w:pPr>
      <w:r>
        <w:rPr>
          <w:rFonts w:ascii="宋体" w:hAnsi="宋体" w:eastAsia="宋体" w:cs="宋体"/>
          <w:spacing w:val="7"/>
          <w:sz w:val="17"/>
          <w:szCs w:val="17"/>
        </w:rPr>
        <w:t>分值为100分；测试时间为30分钟。</w:t>
      </w:r>
    </w:p>
    <w:p w14:paraId="7382A91D">
      <w:pPr>
        <w:spacing w:before="97" w:line="222" w:lineRule="auto"/>
        <w:ind w:left="3"/>
        <w:rPr>
          <w:rFonts w:ascii="黑体" w:hAnsi="黑体" w:eastAsia="黑体" w:cs="黑体"/>
          <w:sz w:val="23"/>
          <w:szCs w:val="23"/>
        </w:rPr>
      </w:pPr>
      <w:r>
        <w:rPr>
          <w:rFonts w:ascii="黑体" w:hAnsi="黑体" w:eastAsia="黑体" w:cs="黑体"/>
          <w:b/>
          <w:bCs/>
          <w:spacing w:val="-4"/>
          <w:sz w:val="23"/>
          <w:szCs w:val="23"/>
        </w:rPr>
        <w:t>二、技能要求</w:t>
      </w:r>
    </w:p>
    <w:p w14:paraId="66D37187">
      <w:pPr>
        <w:spacing w:before="84" w:line="291" w:lineRule="auto"/>
        <w:ind w:right="58" w:firstLine="380"/>
        <w:rPr>
          <w:rFonts w:ascii="宋体" w:hAnsi="宋体" w:eastAsia="宋体" w:cs="宋体"/>
          <w:sz w:val="17"/>
          <w:szCs w:val="17"/>
        </w:rPr>
      </w:pPr>
      <w:r>
        <w:rPr>
          <w:rFonts w:ascii="宋体" w:hAnsi="宋体" w:eastAsia="宋体" w:cs="宋体"/>
          <w:spacing w:val="1"/>
          <w:sz w:val="17"/>
          <w:szCs w:val="17"/>
        </w:rPr>
        <w:t>根据所提供的饲料原料样品，识别出饲料原料，并</w:t>
      </w:r>
      <w:r>
        <w:rPr>
          <w:rFonts w:ascii="宋体" w:hAnsi="宋体" w:eastAsia="宋体" w:cs="宋体"/>
          <w:spacing w:val="4"/>
          <w:sz w:val="17"/>
          <w:szCs w:val="17"/>
        </w:rPr>
        <w:t xml:space="preserve"> </w:t>
      </w:r>
      <w:r>
        <w:rPr>
          <w:rFonts w:ascii="宋体" w:hAnsi="宋体" w:eastAsia="宋体" w:cs="宋体"/>
          <w:spacing w:val="-1"/>
          <w:sz w:val="17"/>
          <w:szCs w:val="17"/>
        </w:rPr>
        <w:t>写出饲料名称且按国际饲料分类法写出其饲料类别。</w:t>
      </w:r>
    </w:p>
    <w:p w14:paraId="7846E712">
      <w:pPr>
        <w:spacing w:before="34" w:line="222" w:lineRule="auto"/>
        <w:ind w:left="3"/>
        <w:rPr>
          <w:rFonts w:ascii="黑体" w:hAnsi="黑体" w:eastAsia="黑体" w:cs="黑体"/>
          <w:sz w:val="23"/>
          <w:szCs w:val="23"/>
        </w:rPr>
      </w:pPr>
      <w:r>
        <w:rPr>
          <w:rFonts w:ascii="黑体" w:hAnsi="黑体" w:eastAsia="黑体" w:cs="黑体"/>
          <w:b/>
          <w:bCs/>
          <w:spacing w:val="-5"/>
          <w:sz w:val="23"/>
          <w:szCs w:val="23"/>
        </w:rPr>
        <w:t>三、材料</w:t>
      </w:r>
    </w:p>
    <w:p w14:paraId="743B13D0">
      <w:pPr>
        <w:spacing w:before="83" w:line="272" w:lineRule="auto"/>
        <w:ind w:firstLine="380"/>
        <w:rPr>
          <w:rFonts w:ascii="宋体" w:hAnsi="宋体" w:eastAsia="宋体" w:cs="宋体"/>
          <w:sz w:val="17"/>
          <w:szCs w:val="17"/>
        </w:rPr>
      </w:pPr>
      <w:r>
        <w:rPr>
          <w:rFonts w:ascii="宋体" w:hAnsi="宋体" w:eastAsia="宋体" w:cs="宋体"/>
          <w:spacing w:val="-7"/>
          <w:sz w:val="17"/>
          <w:szCs w:val="17"/>
        </w:rPr>
        <w:t>1、能量饲料样品：玉米、小麦、水稻、大麦</w:t>
      </w:r>
      <w:r>
        <w:rPr>
          <w:rFonts w:ascii="宋体" w:hAnsi="宋体" w:eastAsia="宋体" w:cs="宋体"/>
          <w:spacing w:val="-8"/>
          <w:sz w:val="17"/>
          <w:szCs w:val="17"/>
        </w:rPr>
        <w:t>、高粱、</w:t>
      </w:r>
      <w:r>
        <w:rPr>
          <w:rFonts w:ascii="宋体" w:hAnsi="宋体" w:eastAsia="宋体" w:cs="宋体"/>
          <w:sz w:val="17"/>
          <w:szCs w:val="17"/>
        </w:rPr>
        <w:t xml:space="preserve"> </w:t>
      </w:r>
      <w:r>
        <w:rPr>
          <w:rFonts w:ascii="宋体" w:hAnsi="宋体" w:eastAsia="宋体" w:cs="宋体"/>
          <w:spacing w:val="-8"/>
          <w:sz w:val="17"/>
          <w:szCs w:val="17"/>
        </w:rPr>
        <w:t>麦麸、米糠、葡萄糖、蔗糖、甜菜渣(干颗粒状)、乳清粉。</w:t>
      </w:r>
    </w:p>
    <w:p w14:paraId="78317296">
      <w:pPr>
        <w:spacing w:before="70" w:line="290" w:lineRule="auto"/>
        <w:ind w:firstLine="380"/>
        <w:rPr>
          <w:rFonts w:ascii="宋体" w:hAnsi="宋体" w:eastAsia="宋体" w:cs="宋体"/>
          <w:sz w:val="17"/>
          <w:szCs w:val="17"/>
        </w:rPr>
      </w:pPr>
      <w:r>
        <w:rPr>
          <w:rFonts w:ascii="宋体" w:hAnsi="宋体" w:eastAsia="宋体" w:cs="宋体"/>
          <w:spacing w:val="-14"/>
          <w:sz w:val="17"/>
          <w:szCs w:val="17"/>
        </w:rPr>
        <w:t>2、蛋白质饲料样品：膨化大豆、豆粕、菜籽粕、棉粕、</w:t>
      </w:r>
      <w:r>
        <w:rPr>
          <w:rFonts w:ascii="宋体" w:hAnsi="宋体" w:eastAsia="宋体" w:cs="宋体"/>
          <w:spacing w:val="8"/>
          <w:sz w:val="17"/>
          <w:szCs w:val="17"/>
        </w:rPr>
        <w:t xml:space="preserve"> </w:t>
      </w:r>
      <w:r>
        <w:rPr>
          <w:rFonts w:ascii="宋体" w:hAnsi="宋体" w:eastAsia="宋体" w:cs="宋体"/>
          <w:spacing w:val="1"/>
          <w:sz w:val="17"/>
          <w:szCs w:val="17"/>
        </w:rPr>
        <w:t>鱼粉、尿素、花生(仁)粕、</w:t>
      </w:r>
      <w:r>
        <w:rPr>
          <w:rFonts w:ascii="宋体" w:hAnsi="宋体" w:eastAsia="宋体" w:cs="宋体"/>
          <w:spacing w:val="-13"/>
          <w:sz w:val="17"/>
          <w:szCs w:val="17"/>
        </w:rPr>
        <w:t xml:space="preserve"> </w:t>
      </w:r>
      <w:r>
        <w:rPr>
          <w:rFonts w:ascii="Times New Roman" w:hAnsi="Times New Roman" w:eastAsia="Times New Roman" w:cs="Times New Roman"/>
          <w:sz w:val="17"/>
          <w:szCs w:val="17"/>
        </w:rPr>
        <w:t>DDGS</w:t>
      </w:r>
      <w:r>
        <w:rPr>
          <w:rFonts w:ascii="宋体" w:hAnsi="宋体" w:eastAsia="宋体" w:cs="宋体"/>
          <w:spacing w:val="1"/>
          <w:sz w:val="17"/>
          <w:szCs w:val="17"/>
        </w:rPr>
        <w:t>、玉米蛋白粉、全脂</w:t>
      </w:r>
      <w:r>
        <w:rPr>
          <w:rFonts w:ascii="宋体" w:hAnsi="宋体" w:eastAsia="宋体" w:cs="宋体"/>
          <w:sz w:val="17"/>
          <w:szCs w:val="17"/>
        </w:rPr>
        <w:t xml:space="preserve">  </w:t>
      </w:r>
      <w:r>
        <w:rPr>
          <w:rFonts w:ascii="宋体" w:hAnsi="宋体" w:eastAsia="宋体" w:cs="宋体"/>
          <w:spacing w:val="-2"/>
          <w:sz w:val="17"/>
          <w:szCs w:val="17"/>
        </w:rPr>
        <w:t>奶粉、水解羽毛粉、肉粉、赖氨酸、蛋氨酸。</w:t>
      </w:r>
    </w:p>
    <w:p w14:paraId="2DE55559">
      <w:pPr>
        <w:spacing w:before="67" w:line="278" w:lineRule="auto"/>
        <w:ind w:right="100" w:firstLine="380"/>
        <w:rPr>
          <w:rFonts w:ascii="宋体" w:hAnsi="宋体" w:eastAsia="宋体" w:cs="宋体"/>
          <w:sz w:val="17"/>
          <w:szCs w:val="17"/>
        </w:rPr>
      </w:pPr>
      <w:r>
        <w:rPr>
          <w:rFonts w:ascii="宋体" w:hAnsi="宋体" w:eastAsia="宋体" w:cs="宋体"/>
          <w:spacing w:val="3"/>
          <w:sz w:val="17"/>
          <w:szCs w:val="17"/>
        </w:rPr>
        <w:t>3、粗饲料样品：麦秸、稻草、紫花苜蓿(干草)、</w:t>
      </w:r>
      <w:r>
        <w:rPr>
          <w:rFonts w:ascii="宋体" w:hAnsi="宋体" w:eastAsia="宋体" w:cs="宋体"/>
          <w:sz w:val="17"/>
          <w:szCs w:val="17"/>
        </w:rPr>
        <w:t xml:space="preserve"> </w:t>
      </w:r>
      <w:r>
        <w:rPr>
          <w:rFonts w:ascii="宋体" w:hAnsi="宋体" w:eastAsia="宋体" w:cs="宋体"/>
          <w:spacing w:val="8"/>
          <w:sz w:val="17"/>
          <w:szCs w:val="17"/>
        </w:rPr>
        <w:t>稻壳、豆秸、花生秧、羊草(干草)。</w:t>
      </w:r>
    </w:p>
    <w:p w14:paraId="27CFA3AC">
      <w:pPr>
        <w:spacing w:before="89" w:line="262" w:lineRule="auto"/>
        <w:ind w:right="57" w:firstLine="380"/>
        <w:rPr>
          <w:rFonts w:ascii="宋体" w:hAnsi="宋体" w:eastAsia="宋体" w:cs="宋体"/>
          <w:sz w:val="17"/>
          <w:szCs w:val="17"/>
        </w:rPr>
      </w:pPr>
      <w:r>
        <w:rPr>
          <w:rFonts w:ascii="宋体" w:hAnsi="宋体" w:eastAsia="宋体" w:cs="宋体"/>
          <w:spacing w:val="5"/>
          <w:sz w:val="17"/>
          <w:szCs w:val="17"/>
        </w:rPr>
        <w:t>4、矿物质饲料样品：石粉、食盐、小苏打、五水</w:t>
      </w:r>
      <w:r>
        <w:rPr>
          <w:rFonts w:ascii="宋体" w:hAnsi="宋体" w:eastAsia="宋体" w:cs="宋体"/>
          <w:spacing w:val="2"/>
          <w:sz w:val="17"/>
          <w:szCs w:val="17"/>
        </w:rPr>
        <w:t xml:space="preserve"> </w:t>
      </w:r>
      <w:r>
        <w:rPr>
          <w:rFonts w:ascii="宋体" w:hAnsi="宋体" w:eastAsia="宋体" w:cs="宋体"/>
          <w:spacing w:val="9"/>
          <w:sz w:val="17"/>
          <w:szCs w:val="17"/>
        </w:rPr>
        <w:t>硫酸铜(饲料级)、</w:t>
      </w:r>
      <w:r>
        <w:rPr>
          <w:rFonts w:ascii="宋体" w:hAnsi="宋体" w:eastAsia="宋体" w:cs="宋体"/>
          <w:spacing w:val="52"/>
          <w:sz w:val="17"/>
          <w:szCs w:val="17"/>
        </w:rPr>
        <w:t xml:space="preserve"> </w:t>
      </w:r>
      <w:r>
        <w:rPr>
          <w:rFonts w:ascii="宋体" w:hAnsi="宋体" w:eastAsia="宋体" w:cs="宋体"/>
          <w:spacing w:val="9"/>
          <w:sz w:val="17"/>
          <w:szCs w:val="17"/>
        </w:rPr>
        <w:t>一水硫酸亚铁(饲料级</w:t>
      </w:r>
      <w:r>
        <w:rPr>
          <w:rFonts w:ascii="宋体" w:hAnsi="宋体" w:eastAsia="宋体" w:cs="宋体"/>
          <w:spacing w:val="8"/>
          <w:sz w:val="17"/>
          <w:szCs w:val="17"/>
        </w:rPr>
        <w:t>)。</w:t>
      </w:r>
    </w:p>
    <w:p w14:paraId="694506AE">
      <w:pPr>
        <w:spacing w:before="97" w:line="219" w:lineRule="auto"/>
        <w:ind w:left="380"/>
        <w:rPr>
          <w:rFonts w:ascii="宋体" w:hAnsi="宋体" w:eastAsia="宋体" w:cs="宋体"/>
          <w:sz w:val="17"/>
          <w:szCs w:val="17"/>
        </w:rPr>
      </w:pPr>
      <w:r>
        <w:rPr>
          <w:rFonts w:ascii="宋体" w:hAnsi="宋体" w:eastAsia="宋体" w:cs="宋体"/>
          <w:spacing w:val="-3"/>
          <w:sz w:val="17"/>
          <w:szCs w:val="17"/>
        </w:rPr>
        <w:t>5、饲料添加剂样品：柠檬酸、谷氨酸钠、大蒜素。</w:t>
      </w:r>
    </w:p>
    <w:p w14:paraId="25314834">
      <w:pPr>
        <w:spacing w:before="87" w:line="221" w:lineRule="auto"/>
        <w:ind w:left="3"/>
        <w:rPr>
          <w:rFonts w:ascii="黑体" w:hAnsi="黑体" w:eastAsia="黑体" w:cs="黑体"/>
          <w:sz w:val="23"/>
          <w:szCs w:val="23"/>
        </w:rPr>
      </w:pPr>
      <w:r>
        <w:rPr>
          <w:rFonts w:ascii="黑体" w:hAnsi="黑体" w:eastAsia="黑体" w:cs="黑体"/>
          <w:b/>
          <w:bCs/>
          <w:spacing w:val="-11"/>
          <w:sz w:val="23"/>
          <w:szCs w:val="23"/>
        </w:rPr>
        <w:t>四、步骤及方法</w:t>
      </w:r>
    </w:p>
    <w:p w14:paraId="3FC26BF8">
      <w:pPr>
        <w:spacing w:before="68" w:line="308" w:lineRule="auto"/>
        <w:ind w:firstLine="380"/>
        <w:rPr>
          <w:rFonts w:ascii="宋体" w:hAnsi="宋体" w:eastAsia="宋体" w:cs="宋体"/>
          <w:sz w:val="17"/>
          <w:szCs w:val="17"/>
        </w:rPr>
      </w:pPr>
      <w:r>
        <w:rPr>
          <w:rFonts w:ascii="宋体" w:hAnsi="宋体" w:eastAsia="宋体" w:cs="宋体"/>
          <w:spacing w:val="4"/>
          <w:sz w:val="17"/>
          <w:szCs w:val="17"/>
        </w:rPr>
        <w:t>1、从按国际饲料分类法分类的不同类别的40种饲</w:t>
      </w:r>
      <w:r>
        <w:rPr>
          <w:rFonts w:ascii="宋体" w:hAnsi="宋体" w:eastAsia="宋体" w:cs="宋体"/>
          <w:spacing w:val="1"/>
          <w:sz w:val="17"/>
          <w:szCs w:val="17"/>
        </w:rPr>
        <w:t xml:space="preserve">  </w:t>
      </w:r>
      <w:r>
        <w:rPr>
          <w:rFonts w:ascii="宋体" w:hAnsi="宋体" w:eastAsia="宋体" w:cs="宋体"/>
          <w:spacing w:val="8"/>
          <w:sz w:val="17"/>
          <w:szCs w:val="17"/>
        </w:rPr>
        <w:t>料原料样品中随机抽取20种不同的原料构成若干组，</w:t>
      </w:r>
      <w:r>
        <w:rPr>
          <w:rFonts w:ascii="宋体" w:hAnsi="宋体" w:eastAsia="宋体" w:cs="宋体"/>
          <w:spacing w:val="1"/>
          <w:sz w:val="17"/>
          <w:szCs w:val="17"/>
        </w:rPr>
        <w:t xml:space="preserve">  </w:t>
      </w:r>
      <w:r>
        <w:rPr>
          <w:rFonts w:ascii="宋体" w:hAnsi="宋体" w:eastAsia="宋体" w:cs="宋体"/>
          <w:spacing w:val="-2"/>
          <w:sz w:val="17"/>
          <w:szCs w:val="17"/>
        </w:rPr>
        <w:t>每组饲料原料种类相同，但每种原料在各组中编号不同，</w:t>
      </w:r>
      <w:r>
        <w:rPr>
          <w:rFonts w:ascii="宋体" w:hAnsi="宋体" w:eastAsia="宋体" w:cs="宋体"/>
          <w:spacing w:val="4"/>
          <w:sz w:val="17"/>
          <w:szCs w:val="17"/>
        </w:rPr>
        <w:t xml:space="preserve"> </w:t>
      </w:r>
      <w:r>
        <w:rPr>
          <w:rFonts w:ascii="宋体" w:hAnsi="宋体" w:eastAsia="宋体" w:cs="宋体"/>
          <w:spacing w:val="2"/>
          <w:sz w:val="17"/>
          <w:szCs w:val="17"/>
        </w:rPr>
        <w:t>各组中的饲料原料样品用1—20编号。例如：</w:t>
      </w:r>
    </w:p>
    <w:p w14:paraId="2413FDD7">
      <w:pPr>
        <w:spacing w:before="45" w:line="297" w:lineRule="auto"/>
        <w:ind w:firstLine="380"/>
        <w:rPr>
          <w:rFonts w:ascii="宋体" w:hAnsi="宋体" w:eastAsia="宋体" w:cs="宋体"/>
          <w:sz w:val="17"/>
          <w:szCs w:val="17"/>
        </w:rPr>
      </w:pPr>
      <w:r>
        <w:rPr>
          <w:rFonts w:ascii="宋体" w:hAnsi="宋体" w:eastAsia="宋体" w:cs="宋体"/>
          <w:spacing w:val="1"/>
          <w:sz w:val="17"/>
          <w:szCs w:val="17"/>
        </w:rPr>
        <w:t>第一组：水稻、鱼粉、羊草、玉米、膨化大豆、菜</w:t>
      </w:r>
      <w:r>
        <w:rPr>
          <w:rFonts w:ascii="宋体" w:hAnsi="宋体" w:eastAsia="宋体" w:cs="宋体"/>
          <w:spacing w:val="4"/>
          <w:sz w:val="17"/>
          <w:szCs w:val="17"/>
        </w:rPr>
        <w:t xml:space="preserve"> </w:t>
      </w:r>
      <w:r>
        <w:rPr>
          <w:rFonts w:ascii="宋体" w:hAnsi="宋体" w:eastAsia="宋体" w:cs="宋体"/>
          <w:spacing w:val="-9"/>
          <w:sz w:val="17"/>
          <w:szCs w:val="17"/>
        </w:rPr>
        <w:t>籽粕、麦麸、麦秸、花生秧、稻草、石粉、食盐、小苏打、</w:t>
      </w:r>
      <w:r>
        <w:rPr>
          <w:rFonts w:ascii="宋体" w:hAnsi="宋体" w:eastAsia="宋体" w:cs="宋体"/>
          <w:spacing w:val="17"/>
          <w:sz w:val="17"/>
          <w:szCs w:val="17"/>
        </w:rPr>
        <w:t xml:space="preserve"> </w:t>
      </w:r>
      <w:r>
        <w:rPr>
          <w:rFonts w:ascii="宋体" w:hAnsi="宋体" w:eastAsia="宋体" w:cs="宋体"/>
          <w:spacing w:val="-9"/>
          <w:sz w:val="17"/>
          <w:szCs w:val="17"/>
        </w:rPr>
        <w:t>五水硫酸铜、尿素、柠檬酸、谷氨酸钠、蛋氨酸、葡萄糖、</w:t>
      </w:r>
      <w:r>
        <w:rPr>
          <w:rFonts w:ascii="宋体" w:hAnsi="宋体" w:eastAsia="宋体" w:cs="宋体"/>
          <w:spacing w:val="18"/>
          <w:sz w:val="17"/>
          <w:szCs w:val="17"/>
        </w:rPr>
        <w:t xml:space="preserve"> </w:t>
      </w:r>
      <w:r>
        <w:rPr>
          <w:rFonts w:ascii="宋体" w:hAnsi="宋体" w:eastAsia="宋体" w:cs="宋体"/>
          <w:spacing w:val="11"/>
          <w:sz w:val="17"/>
          <w:szCs w:val="17"/>
        </w:rPr>
        <w:t>蔗糖(依次为1</w:t>
      </w:r>
      <w:r>
        <w:rPr>
          <w:rFonts w:ascii="宋体" w:hAnsi="宋体" w:eastAsia="宋体" w:cs="宋体"/>
          <w:spacing w:val="-49"/>
          <w:sz w:val="17"/>
          <w:szCs w:val="17"/>
        </w:rPr>
        <w:t xml:space="preserve"> </w:t>
      </w:r>
      <w:r>
        <w:rPr>
          <w:rFonts w:ascii="宋体" w:hAnsi="宋体" w:eastAsia="宋体" w:cs="宋体"/>
          <w:spacing w:val="11"/>
          <w:sz w:val="17"/>
          <w:szCs w:val="17"/>
        </w:rPr>
        <w:t>—</w:t>
      </w:r>
      <w:r>
        <w:rPr>
          <w:rFonts w:ascii="宋体" w:hAnsi="宋体" w:eastAsia="宋体" w:cs="宋体"/>
          <w:spacing w:val="-57"/>
          <w:sz w:val="17"/>
          <w:szCs w:val="17"/>
        </w:rPr>
        <w:t xml:space="preserve"> </w:t>
      </w:r>
      <w:r>
        <w:rPr>
          <w:rFonts w:ascii="宋体" w:hAnsi="宋体" w:eastAsia="宋体" w:cs="宋体"/>
          <w:spacing w:val="11"/>
          <w:sz w:val="17"/>
          <w:szCs w:val="17"/>
        </w:rPr>
        <w:t>20编号)。</w:t>
      </w:r>
    </w:p>
    <w:p w14:paraId="5693C484">
      <w:pPr>
        <w:spacing w:before="55" w:line="308" w:lineRule="auto"/>
        <w:ind w:firstLine="380"/>
        <w:rPr>
          <w:rFonts w:ascii="宋体" w:hAnsi="宋体" w:eastAsia="宋体" w:cs="宋体"/>
          <w:sz w:val="17"/>
          <w:szCs w:val="17"/>
        </w:rPr>
      </w:pPr>
      <w:r>
        <w:rPr>
          <w:rFonts w:ascii="宋体" w:hAnsi="宋体" w:eastAsia="宋体" w:cs="宋体"/>
          <w:spacing w:val="-1"/>
          <w:sz w:val="17"/>
          <w:szCs w:val="17"/>
        </w:rPr>
        <w:t>第二组：尿素、柠檬酸、谷氨酸钠、蛋氨酸、葡萄</w:t>
      </w:r>
      <w:r>
        <w:rPr>
          <w:rFonts w:ascii="宋体" w:hAnsi="宋体" w:eastAsia="宋体" w:cs="宋体"/>
          <w:spacing w:val="7"/>
          <w:sz w:val="17"/>
          <w:szCs w:val="17"/>
        </w:rPr>
        <w:t xml:space="preserve">  </w:t>
      </w:r>
      <w:r>
        <w:rPr>
          <w:rFonts w:ascii="宋体" w:hAnsi="宋体" w:eastAsia="宋体" w:cs="宋体"/>
          <w:spacing w:val="-9"/>
          <w:sz w:val="17"/>
          <w:szCs w:val="17"/>
        </w:rPr>
        <w:t>糖、蔗糖、水稻、鱼粉、羊草、玉米、膨化大豆、菜籽粕、</w:t>
      </w:r>
      <w:r>
        <w:rPr>
          <w:rFonts w:ascii="宋体" w:hAnsi="宋体" w:eastAsia="宋体" w:cs="宋体"/>
          <w:spacing w:val="17"/>
          <w:sz w:val="17"/>
          <w:szCs w:val="17"/>
        </w:rPr>
        <w:t xml:space="preserve"> </w:t>
      </w:r>
      <w:r>
        <w:rPr>
          <w:rFonts w:ascii="宋体" w:hAnsi="宋体" w:eastAsia="宋体" w:cs="宋体"/>
          <w:spacing w:val="-9"/>
          <w:sz w:val="17"/>
          <w:szCs w:val="17"/>
        </w:rPr>
        <w:t>食盐、小苏打、五水硫酸铜、麦麸、麦秸、花生秧、稻草、</w:t>
      </w:r>
      <w:r>
        <w:rPr>
          <w:rFonts w:ascii="宋体" w:hAnsi="宋体" w:eastAsia="宋体" w:cs="宋体"/>
          <w:spacing w:val="17"/>
          <w:sz w:val="17"/>
          <w:szCs w:val="17"/>
        </w:rPr>
        <w:t xml:space="preserve"> </w:t>
      </w:r>
      <w:r>
        <w:rPr>
          <w:rFonts w:ascii="宋体" w:hAnsi="宋体" w:eastAsia="宋体" w:cs="宋体"/>
          <w:spacing w:val="13"/>
          <w:sz w:val="17"/>
          <w:szCs w:val="17"/>
        </w:rPr>
        <w:t>石粉(依次为1</w:t>
      </w:r>
      <w:r>
        <w:rPr>
          <w:rFonts w:ascii="宋体" w:hAnsi="宋体" w:eastAsia="宋体" w:cs="宋体"/>
          <w:spacing w:val="-58"/>
          <w:sz w:val="17"/>
          <w:szCs w:val="17"/>
        </w:rPr>
        <w:t xml:space="preserve"> </w:t>
      </w:r>
      <w:r>
        <w:rPr>
          <w:rFonts w:ascii="宋体" w:hAnsi="宋体" w:eastAsia="宋体" w:cs="宋体"/>
          <w:spacing w:val="13"/>
          <w:sz w:val="17"/>
          <w:szCs w:val="17"/>
        </w:rPr>
        <w:t>—</w:t>
      </w:r>
      <w:r>
        <w:rPr>
          <w:rFonts w:ascii="宋体" w:hAnsi="宋体" w:eastAsia="宋体" w:cs="宋体"/>
          <w:spacing w:val="-56"/>
          <w:sz w:val="17"/>
          <w:szCs w:val="17"/>
        </w:rPr>
        <w:t xml:space="preserve"> </w:t>
      </w:r>
      <w:r>
        <w:rPr>
          <w:rFonts w:ascii="宋体" w:hAnsi="宋体" w:eastAsia="宋体" w:cs="宋体"/>
          <w:spacing w:val="13"/>
          <w:sz w:val="17"/>
          <w:szCs w:val="17"/>
        </w:rPr>
        <w:t>20编号)。</w:t>
      </w:r>
    </w:p>
    <w:p w14:paraId="31D1868F">
      <w:pPr>
        <w:spacing w:before="26" w:line="194" w:lineRule="auto"/>
        <w:ind w:left="380"/>
        <w:rPr>
          <w:rFonts w:ascii="宋体" w:hAnsi="宋体" w:eastAsia="宋体" w:cs="宋体"/>
          <w:sz w:val="17"/>
          <w:szCs w:val="17"/>
        </w:rPr>
      </w:pPr>
      <w:r>
        <w:rPr>
          <w:rFonts w:ascii="宋体" w:hAnsi="宋体" w:eastAsia="宋体" w:cs="宋体"/>
          <w:spacing w:val="11"/>
          <w:sz w:val="17"/>
          <w:szCs w:val="17"/>
        </w:rPr>
        <w:t>备注：上面2组饲料原料种类及编号仅为举例，</w:t>
      </w:r>
    </w:p>
    <w:p w14:paraId="09336B2D">
      <w:pPr>
        <w:spacing w:line="194" w:lineRule="auto"/>
        <w:rPr>
          <w:rFonts w:ascii="宋体" w:hAnsi="宋体" w:eastAsia="宋体" w:cs="宋体"/>
          <w:sz w:val="17"/>
          <w:szCs w:val="17"/>
        </w:rPr>
        <w:sectPr>
          <w:type w:val="continuous"/>
          <w:pgSz w:w="10660" w:h="15080"/>
          <w:pgMar w:top="400" w:right="854" w:bottom="925" w:left="1019" w:header="0" w:footer="705" w:gutter="0"/>
          <w:cols w:equalWidth="0" w:num="2">
            <w:col w:w="4481" w:space="100"/>
            <w:col w:w="4206"/>
          </w:cols>
        </w:sectPr>
      </w:pPr>
    </w:p>
    <w:p w14:paraId="445ECF2D">
      <w:pPr>
        <w:spacing w:before="4"/>
      </w:pPr>
    </w:p>
    <w:p w14:paraId="292EB90C">
      <w:pPr>
        <w:spacing w:before="4"/>
      </w:pPr>
    </w:p>
    <w:p w14:paraId="0877BC68">
      <w:pPr>
        <w:spacing w:before="4"/>
      </w:pPr>
    </w:p>
    <w:p w14:paraId="0B9CAC7A">
      <w:pPr>
        <w:spacing w:before="4"/>
      </w:pPr>
    </w:p>
    <w:p w14:paraId="137C4EB3">
      <w:pPr>
        <w:sectPr>
          <w:footerReference r:id="rId102" w:type="default"/>
          <w:pgSz w:w="10660" w:h="15080"/>
          <w:pgMar w:top="400" w:right="999" w:bottom="917" w:left="819" w:header="0" w:footer="709" w:gutter="0"/>
          <w:cols w:equalWidth="0" w:num="1">
            <w:col w:w="8841"/>
          </w:cols>
        </w:sectPr>
      </w:pPr>
    </w:p>
    <w:p w14:paraId="00AAF095">
      <w:pPr>
        <w:spacing w:before="53" w:line="311" w:lineRule="auto"/>
        <w:ind w:left="49" w:right="381"/>
        <w:rPr>
          <w:rFonts w:ascii="宋体" w:hAnsi="宋体" w:eastAsia="宋体" w:cs="宋体"/>
          <w:sz w:val="16"/>
          <w:szCs w:val="16"/>
        </w:rPr>
      </w:pPr>
      <w:r>
        <w:rPr>
          <w:rFonts w:ascii="宋体" w:hAnsi="宋体" w:eastAsia="宋体" w:cs="宋体"/>
          <w:spacing w:val="18"/>
          <w:sz w:val="16"/>
          <w:szCs w:val="16"/>
        </w:rPr>
        <w:t>实际考试中20种饲料原料的选择及编号由各考点自行</w:t>
      </w:r>
      <w:r>
        <w:rPr>
          <w:rFonts w:ascii="宋体" w:hAnsi="宋体" w:eastAsia="宋体" w:cs="宋体"/>
          <w:spacing w:val="5"/>
          <w:sz w:val="16"/>
          <w:szCs w:val="16"/>
        </w:rPr>
        <w:t xml:space="preserve"> </w:t>
      </w:r>
      <w:r>
        <w:rPr>
          <w:rFonts w:ascii="宋体" w:hAnsi="宋体" w:eastAsia="宋体" w:cs="宋体"/>
          <w:spacing w:val="6"/>
          <w:sz w:val="16"/>
          <w:szCs w:val="16"/>
        </w:rPr>
        <w:t>确定。</w:t>
      </w:r>
    </w:p>
    <w:p w14:paraId="666C68C9">
      <w:pPr>
        <w:spacing w:before="20" w:line="283" w:lineRule="auto"/>
        <w:ind w:left="49" w:right="364" w:firstLine="380"/>
        <w:rPr>
          <w:rFonts w:ascii="宋体" w:hAnsi="宋体" w:eastAsia="宋体" w:cs="宋体"/>
          <w:sz w:val="16"/>
          <w:szCs w:val="16"/>
        </w:rPr>
      </w:pPr>
      <w:r>
        <w:rPr>
          <w:rFonts w:ascii="宋体" w:hAnsi="宋体" w:eastAsia="宋体" w:cs="宋体"/>
          <w:spacing w:val="18"/>
          <w:sz w:val="16"/>
          <w:szCs w:val="16"/>
        </w:rPr>
        <w:t>2、抽取考题：每名考生在考点随机抽取1组</w:t>
      </w:r>
      <w:r>
        <w:rPr>
          <w:rFonts w:ascii="宋体" w:hAnsi="宋体" w:eastAsia="宋体" w:cs="宋体"/>
          <w:spacing w:val="17"/>
          <w:sz w:val="16"/>
          <w:szCs w:val="16"/>
        </w:rPr>
        <w:t>饲料</w:t>
      </w:r>
      <w:r>
        <w:rPr>
          <w:rFonts w:ascii="宋体" w:hAnsi="宋体" w:eastAsia="宋体" w:cs="宋体"/>
          <w:sz w:val="16"/>
          <w:szCs w:val="16"/>
        </w:rPr>
        <w:t xml:space="preserve"> </w:t>
      </w:r>
      <w:r>
        <w:rPr>
          <w:rFonts w:ascii="宋体" w:hAnsi="宋体" w:eastAsia="宋体" w:cs="宋体"/>
          <w:spacing w:val="7"/>
          <w:sz w:val="16"/>
          <w:szCs w:val="16"/>
        </w:rPr>
        <w:t>原料样品作为技能测试题。</w:t>
      </w:r>
    </w:p>
    <w:p w14:paraId="7861F5B1">
      <w:pPr>
        <w:spacing w:before="108" w:line="289" w:lineRule="auto"/>
        <w:ind w:left="49" w:right="290" w:firstLine="380"/>
        <w:rPr>
          <w:rFonts w:ascii="宋体" w:hAnsi="宋体" w:eastAsia="宋体" w:cs="宋体"/>
          <w:sz w:val="16"/>
          <w:szCs w:val="16"/>
        </w:rPr>
      </w:pPr>
      <w:r>
        <w:rPr>
          <w:rFonts w:ascii="宋体" w:hAnsi="宋体" w:eastAsia="宋体" w:cs="宋体"/>
          <w:spacing w:val="3"/>
          <w:sz w:val="16"/>
          <w:szCs w:val="16"/>
        </w:rPr>
        <w:t>3、完成答题：考生根据抽取的题目，然后通</w:t>
      </w:r>
      <w:r>
        <w:rPr>
          <w:rFonts w:ascii="宋体" w:hAnsi="宋体" w:eastAsia="宋体" w:cs="宋体"/>
          <w:spacing w:val="2"/>
          <w:sz w:val="16"/>
          <w:szCs w:val="16"/>
        </w:rPr>
        <w:t>过眼看、</w:t>
      </w:r>
      <w:r>
        <w:rPr>
          <w:rFonts w:ascii="宋体" w:hAnsi="宋体" w:eastAsia="宋体" w:cs="宋体"/>
          <w:sz w:val="16"/>
          <w:szCs w:val="16"/>
        </w:rPr>
        <w:t xml:space="preserve"> </w:t>
      </w:r>
      <w:r>
        <w:rPr>
          <w:rFonts w:ascii="宋体" w:hAnsi="宋体" w:eastAsia="宋体" w:cs="宋体"/>
          <w:spacing w:val="10"/>
          <w:sz w:val="16"/>
          <w:szCs w:val="16"/>
        </w:rPr>
        <w:t>手摸、鼻闻、嘴尝等方法对饲料原料进行识别，并在答</w:t>
      </w:r>
      <w:r>
        <w:rPr>
          <w:rFonts w:ascii="宋体" w:hAnsi="宋体" w:eastAsia="宋体" w:cs="宋体"/>
          <w:spacing w:val="7"/>
          <w:sz w:val="16"/>
          <w:szCs w:val="16"/>
        </w:rPr>
        <w:t xml:space="preserve">  </w:t>
      </w:r>
      <w:r>
        <w:rPr>
          <w:rFonts w:ascii="宋体" w:hAnsi="宋体" w:eastAsia="宋体" w:cs="宋体"/>
          <w:spacing w:val="8"/>
          <w:sz w:val="16"/>
          <w:szCs w:val="16"/>
        </w:rPr>
        <w:t>题纸上写出与编号对应的饲料名称和类别。</w:t>
      </w:r>
    </w:p>
    <w:p w14:paraId="71844078">
      <w:pPr>
        <w:spacing w:before="120" w:line="217" w:lineRule="auto"/>
        <w:ind w:left="93"/>
        <w:rPr>
          <w:rFonts w:ascii="宋体" w:hAnsi="宋体" w:eastAsia="宋体" w:cs="宋体"/>
          <w:sz w:val="22"/>
          <w:szCs w:val="22"/>
        </w:rPr>
      </w:pPr>
      <w:r>
        <w:rPr>
          <w:rFonts w:ascii="宋体" w:hAnsi="宋体" w:eastAsia="宋体" w:cs="宋体"/>
          <w:b/>
          <w:bCs/>
          <w:spacing w:val="-4"/>
          <w:sz w:val="22"/>
          <w:szCs w:val="22"/>
        </w:rPr>
        <w:t>五、评分标准</w:t>
      </w:r>
    </w:p>
    <w:tbl>
      <w:tblPr>
        <w:tblStyle w:val="5"/>
        <w:tblW w:w="4130"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444"/>
        <w:gridCol w:w="509"/>
        <w:gridCol w:w="3177"/>
      </w:tblGrid>
      <w:tr w14:paraId="437DF6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42" w:hRule="atLeast"/>
        </w:trPr>
        <w:tc>
          <w:tcPr>
            <w:tcW w:w="444" w:type="dxa"/>
            <w:shd w:val="clear" w:color="auto" w:fill="231F20"/>
            <w:vAlign w:val="top"/>
          </w:tcPr>
          <w:p w14:paraId="645BD692">
            <w:pPr>
              <w:pStyle w:val="6"/>
              <w:spacing w:before="69" w:line="221" w:lineRule="auto"/>
              <w:ind w:left="47" w:right="52"/>
            </w:pPr>
            <w:r>
              <w:rPr>
                <w:b/>
                <w:bCs/>
                <w:color w:val="FFFFFF"/>
                <w:spacing w:val="-5"/>
              </w:rPr>
              <w:t>评分</w:t>
            </w:r>
            <w:r>
              <w:rPr>
                <w:color w:val="FFFFFF"/>
              </w:rPr>
              <w:t xml:space="preserve"> </w:t>
            </w:r>
            <w:r>
              <w:rPr>
                <w:b/>
                <w:bCs/>
                <w:color w:val="FFFFFF"/>
                <w:spacing w:val="-6"/>
              </w:rPr>
              <w:t>要点</w:t>
            </w:r>
          </w:p>
        </w:tc>
        <w:tc>
          <w:tcPr>
            <w:tcW w:w="509" w:type="dxa"/>
            <w:vAlign w:val="top"/>
          </w:tcPr>
          <w:p w14:paraId="3D2F71D6">
            <w:pPr>
              <w:pStyle w:val="6"/>
              <w:spacing w:before="189" w:line="219" w:lineRule="auto"/>
              <w:ind w:left="73"/>
            </w:pPr>
            <w:r>
              <w:rPr>
                <w:b/>
                <w:bCs/>
                <w:spacing w:val="-4"/>
              </w:rPr>
              <w:t>分值</w:t>
            </w:r>
          </w:p>
        </w:tc>
        <w:tc>
          <w:tcPr>
            <w:tcW w:w="3177" w:type="dxa"/>
            <w:vAlign w:val="top"/>
          </w:tcPr>
          <w:p w14:paraId="1127AA26">
            <w:pPr>
              <w:pStyle w:val="6"/>
              <w:spacing w:before="190" w:line="220" w:lineRule="auto"/>
              <w:ind w:left="1274"/>
            </w:pPr>
            <w:r>
              <w:rPr>
                <w:b/>
                <w:bCs/>
                <w:spacing w:val="-3"/>
              </w:rPr>
              <w:t>评分标准</w:t>
            </w:r>
          </w:p>
        </w:tc>
      </w:tr>
      <w:tr w14:paraId="5B3FE7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06" w:hRule="atLeast"/>
        </w:trPr>
        <w:tc>
          <w:tcPr>
            <w:tcW w:w="444" w:type="dxa"/>
            <w:vMerge w:val="restart"/>
            <w:tcBorders>
              <w:bottom w:val="nil"/>
            </w:tcBorders>
            <w:vAlign w:val="top"/>
          </w:tcPr>
          <w:p w14:paraId="49FA9DE9">
            <w:pPr>
              <w:pStyle w:val="6"/>
              <w:spacing w:before="178" w:line="238" w:lineRule="auto"/>
              <w:ind w:left="44" w:right="35"/>
              <w:jc w:val="both"/>
            </w:pPr>
            <w:r>
              <w:rPr>
                <w:spacing w:val="6"/>
              </w:rPr>
              <w:t>识别</w:t>
            </w:r>
            <w:r>
              <w:t xml:space="preserve"> </w:t>
            </w:r>
            <w:r>
              <w:rPr>
                <w:spacing w:val="4"/>
              </w:rPr>
              <w:t>20种</w:t>
            </w:r>
            <w:r>
              <w:t xml:space="preserve"> </w:t>
            </w:r>
            <w:r>
              <w:rPr>
                <w:spacing w:val="-3"/>
              </w:rPr>
              <w:t>饲料</w:t>
            </w:r>
            <w:r>
              <w:t xml:space="preserve"> </w:t>
            </w:r>
            <w:r>
              <w:rPr>
                <w:spacing w:val="-5"/>
              </w:rPr>
              <w:t>名称</w:t>
            </w:r>
            <w:r>
              <w:t xml:space="preserve"> </w:t>
            </w:r>
            <w:r>
              <w:rPr>
                <w:spacing w:val="-4"/>
              </w:rPr>
              <w:t>和类</w:t>
            </w:r>
            <w:r>
              <w:t xml:space="preserve"> </w:t>
            </w:r>
            <w:r>
              <w:rPr>
                <w:spacing w:val="28"/>
                <w:w w:val="125"/>
              </w:rPr>
              <w:t>别</w:t>
            </w:r>
          </w:p>
        </w:tc>
        <w:tc>
          <w:tcPr>
            <w:tcW w:w="509" w:type="dxa"/>
            <w:vAlign w:val="top"/>
          </w:tcPr>
          <w:p w14:paraId="08102799">
            <w:pPr>
              <w:spacing w:line="445" w:lineRule="auto"/>
              <w:rPr>
                <w:rFonts w:ascii="Arial"/>
                <w:sz w:val="21"/>
              </w:rPr>
            </w:pPr>
          </w:p>
          <w:p w14:paraId="04BE8E55">
            <w:pPr>
              <w:pStyle w:val="6"/>
              <w:spacing w:before="56" w:line="183" w:lineRule="auto"/>
              <w:ind w:left="160"/>
            </w:pPr>
            <w:r>
              <w:rPr>
                <w:spacing w:val="-3"/>
              </w:rPr>
              <w:t>50</w:t>
            </w:r>
          </w:p>
        </w:tc>
        <w:tc>
          <w:tcPr>
            <w:tcW w:w="3177" w:type="dxa"/>
            <w:vAlign w:val="top"/>
          </w:tcPr>
          <w:p w14:paraId="24D84271">
            <w:pPr>
              <w:pStyle w:val="6"/>
              <w:spacing w:before="120" w:line="219" w:lineRule="auto"/>
              <w:ind w:left="11"/>
            </w:pPr>
            <w:r>
              <w:rPr>
                <w:spacing w:val="4"/>
              </w:rPr>
              <w:t>2.5分/个；识别名称正确，每个得满分；</w:t>
            </w:r>
          </w:p>
          <w:p w14:paraId="11CD0DD7">
            <w:pPr>
              <w:pStyle w:val="6"/>
              <w:spacing w:before="9" w:line="223" w:lineRule="auto"/>
              <w:ind w:left="11" w:right="1611"/>
            </w:pPr>
            <w:r>
              <w:rPr>
                <w:spacing w:val="1"/>
              </w:rPr>
              <w:t>识别错误或出现错别</w:t>
            </w:r>
            <w:r>
              <w:rPr>
                <w:spacing w:val="3"/>
              </w:rPr>
              <w:t xml:space="preserve"> </w:t>
            </w:r>
            <w:r>
              <w:rPr>
                <w:spacing w:val="-1"/>
              </w:rPr>
              <w:t>字不得分。</w:t>
            </w:r>
          </w:p>
        </w:tc>
      </w:tr>
      <w:tr w14:paraId="76BFA5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11" w:hRule="atLeast"/>
        </w:trPr>
        <w:tc>
          <w:tcPr>
            <w:tcW w:w="444" w:type="dxa"/>
            <w:vMerge w:val="continue"/>
            <w:tcBorders>
              <w:top w:val="nil"/>
            </w:tcBorders>
            <w:vAlign w:val="top"/>
          </w:tcPr>
          <w:p w14:paraId="3BE4A259">
            <w:pPr>
              <w:rPr>
                <w:rFonts w:ascii="Arial"/>
                <w:sz w:val="21"/>
              </w:rPr>
            </w:pPr>
          </w:p>
        </w:tc>
        <w:tc>
          <w:tcPr>
            <w:tcW w:w="509" w:type="dxa"/>
            <w:vAlign w:val="top"/>
          </w:tcPr>
          <w:p w14:paraId="0C83ED1E">
            <w:pPr>
              <w:spacing w:line="449" w:lineRule="auto"/>
              <w:rPr>
                <w:rFonts w:ascii="Arial"/>
                <w:sz w:val="21"/>
              </w:rPr>
            </w:pPr>
          </w:p>
          <w:p w14:paraId="7A1F22D5">
            <w:pPr>
              <w:pStyle w:val="6"/>
              <w:spacing w:before="56" w:line="183" w:lineRule="auto"/>
              <w:ind w:left="160"/>
            </w:pPr>
            <w:r>
              <w:rPr>
                <w:spacing w:val="-3"/>
              </w:rPr>
              <w:t>50</w:t>
            </w:r>
          </w:p>
        </w:tc>
        <w:tc>
          <w:tcPr>
            <w:tcW w:w="3177" w:type="dxa"/>
            <w:vAlign w:val="top"/>
          </w:tcPr>
          <w:p w14:paraId="0CC92C9C">
            <w:pPr>
              <w:pStyle w:val="6"/>
              <w:spacing w:before="124" w:line="219" w:lineRule="auto"/>
              <w:ind w:left="11"/>
            </w:pPr>
            <w:r>
              <w:rPr>
                <w:spacing w:val="4"/>
              </w:rPr>
              <w:t>2.5分/个；识别类别正确，每个得满分；</w:t>
            </w:r>
          </w:p>
          <w:p w14:paraId="512B3134">
            <w:pPr>
              <w:pStyle w:val="6"/>
              <w:spacing w:before="9" w:line="223" w:lineRule="auto"/>
              <w:ind w:left="11" w:right="1611"/>
            </w:pPr>
            <w:r>
              <w:rPr>
                <w:spacing w:val="1"/>
              </w:rPr>
              <w:t>识别错误或出现错别</w:t>
            </w:r>
            <w:r>
              <w:rPr>
                <w:spacing w:val="3"/>
              </w:rPr>
              <w:t xml:space="preserve"> </w:t>
            </w:r>
            <w:r>
              <w:rPr>
                <w:spacing w:val="-1"/>
              </w:rPr>
              <w:t>字不得分。</w:t>
            </w:r>
          </w:p>
        </w:tc>
      </w:tr>
    </w:tbl>
    <w:p w14:paraId="170C58A2">
      <w:pPr>
        <w:pStyle w:val="2"/>
        <w:spacing w:line="263" w:lineRule="auto"/>
      </w:pPr>
    </w:p>
    <w:p w14:paraId="74111378">
      <w:pPr>
        <w:spacing w:before="75" w:line="222" w:lineRule="auto"/>
        <w:ind w:left="643"/>
        <w:rPr>
          <w:rFonts w:ascii="黑体" w:hAnsi="黑体" w:eastAsia="黑体" w:cs="黑体"/>
          <w:sz w:val="23"/>
          <w:szCs w:val="23"/>
        </w:rPr>
      </w:pPr>
      <w:r>
        <w:rPr>
          <w:rFonts w:ascii="黑体" w:hAnsi="黑体" w:eastAsia="黑体" w:cs="黑体"/>
          <w:b/>
          <w:bCs/>
          <w:spacing w:val="-4"/>
          <w:sz w:val="23"/>
          <w:szCs w:val="23"/>
        </w:rPr>
        <w:t>项目三</w:t>
      </w:r>
      <w:r>
        <w:rPr>
          <w:rFonts w:ascii="黑体" w:hAnsi="黑体" w:eastAsia="黑体" w:cs="黑体"/>
          <w:spacing w:val="-4"/>
          <w:sz w:val="23"/>
          <w:szCs w:val="23"/>
        </w:rPr>
        <w:t xml:space="preserve">  </w:t>
      </w:r>
      <w:r>
        <w:rPr>
          <w:rFonts w:ascii="黑体" w:hAnsi="黑体" w:eastAsia="黑体" w:cs="黑体"/>
          <w:b/>
          <w:bCs/>
          <w:spacing w:val="-4"/>
          <w:sz w:val="23"/>
          <w:szCs w:val="23"/>
        </w:rPr>
        <w:t>消毒剂的选择与配制</w:t>
      </w:r>
    </w:p>
    <w:p w14:paraId="15E3C3F4">
      <w:pPr>
        <w:spacing w:before="313" w:line="221" w:lineRule="auto"/>
        <w:ind w:left="53"/>
        <w:rPr>
          <w:rFonts w:ascii="黑体" w:hAnsi="黑体" w:eastAsia="黑体" w:cs="黑体"/>
          <w:sz w:val="23"/>
          <w:szCs w:val="23"/>
        </w:rPr>
      </w:pPr>
      <w:r>
        <w:rPr>
          <w:rFonts w:ascii="黑体" w:hAnsi="黑体" w:eastAsia="黑体" w:cs="黑体"/>
          <w:b/>
          <w:bCs/>
          <w:spacing w:val="-7"/>
          <w:sz w:val="23"/>
          <w:szCs w:val="23"/>
        </w:rPr>
        <w:t>一、分值与测试时间</w:t>
      </w:r>
    </w:p>
    <w:p w14:paraId="3163B635">
      <w:pPr>
        <w:spacing w:before="107" w:line="219" w:lineRule="auto"/>
        <w:ind w:left="430"/>
        <w:rPr>
          <w:rFonts w:ascii="宋体" w:hAnsi="宋体" w:eastAsia="宋体" w:cs="宋体"/>
          <w:sz w:val="16"/>
          <w:szCs w:val="16"/>
        </w:rPr>
      </w:pPr>
      <w:r>
        <w:rPr>
          <w:rFonts w:ascii="宋体" w:hAnsi="宋体" w:eastAsia="宋体" w:cs="宋体"/>
          <w:spacing w:val="16"/>
          <w:sz w:val="16"/>
          <w:szCs w:val="16"/>
        </w:rPr>
        <w:t>分值为100分；测试时间为30分钟。</w:t>
      </w:r>
    </w:p>
    <w:p w14:paraId="6DD05D79">
      <w:pPr>
        <w:spacing w:before="80" w:line="222" w:lineRule="auto"/>
        <w:ind w:left="53"/>
        <w:rPr>
          <w:rFonts w:ascii="黑体" w:hAnsi="黑体" w:eastAsia="黑体" w:cs="黑体"/>
          <w:sz w:val="23"/>
          <w:szCs w:val="23"/>
        </w:rPr>
      </w:pPr>
      <w:r>
        <w:rPr>
          <w:rFonts w:ascii="黑体" w:hAnsi="黑体" w:eastAsia="黑体" w:cs="黑体"/>
          <w:b/>
          <w:bCs/>
          <w:spacing w:val="-7"/>
          <w:sz w:val="23"/>
          <w:szCs w:val="23"/>
        </w:rPr>
        <w:t>二、技能要求</w:t>
      </w:r>
    </w:p>
    <w:p w14:paraId="064A1197">
      <w:pPr>
        <w:spacing w:before="93" w:line="322" w:lineRule="auto"/>
        <w:ind w:left="49" w:right="290" w:firstLine="380"/>
        <w:rPr>
          <w:rFonts w:ascii="宋体" w:hAnsi="宋体" w:eastAsia="宋体" w:cs="宋体"/>
          <w:sz w:val="16"/>
          <w:szCs w:val="16"/>
        </w:rPr>
      </w:pPr>
      <w:r>
        <w:rPr>
          <w:rFonts w:ascii="宋体" w:hAnsi="宋体" w:eastAsia="宋体" w:cs="宋体"/>
          <w:spacing w:val="6"/>
          <w:sz w:val="16"/>
          <w:szCs w:val="16"/>
        </w:rPr>
        <w:t>根据所提供的消毒剂，计算、称量药品或量取原液，</w:t>
      </w:r>
      <w:r>
        <w:rPr>
          <w:rFonts w:ascii="宋体" w:hAnsi="宋体" w:eastAsia="宋体" w:cs="宋体"/>
          <w:spacing w:val="10"/>
          <w:sz w:val="16"/>
          <w:szCs w:val="16"/>
        </w:rPr>
        <w:t xml:space="preserve"> </w:t>
      </w:r>
      <w:r>
        <w:rPr>
          <w:rFonts w:ascii="宋体" w:hAnsi="宋体" w:eastAsia="宋体" w:cs="宋体"/>
          <w:spacing w:val="8"/>
          <w:sz w:val="16"/>
          <w:szCs w:val="16"/>
        </w:rPr>
        <w:t>并进行配制。</w:t>
      </w:r>
    </w:p>
    <w:p w14:paraId="7C7A6C46">
      <w:pPr>
        <w:spacing w:before="11" w:line="222" w:lineRule="auto"/>
        <w:ind w:left="53"/>
        <w:rPr>
          <w:rFonts w:ascii="黑体" w:hAnsi="黑体" w:eastAsia="黑体" w:cs="黑体"/>
          <w:sz w:val="23"/>
          <w:szCs w:val="23"/>
        </w:rPr>
      </w:pPr>
      <w:r>
        <w:rPr>
          <w:rFonts w:ascii="黑体" w:hAnsi="黑体" w:eastAsia="黑体" w:cs="黑体"/>
          <w:b/>
          <w:bCs/>
          <w:spacing w:val="-8"/>
          <w:sz w:val="23"/>
          <w:szCs w:val="23"/>
        </w:rPr>
        <w:t>三、仪器与材料</w:t>
      </w:r>
    </w:p>
    <w:p w14:paraId="309D76A6">
      <w:pPr>
        <w:spacing w:before="94" w:line="328" w:lineRule="auto"/>
        <w:ind w:left="49" w:right="310" w:firstLine="380"/>
        <w:rPr>
          <w:rFonts w:ascii="宋体" w:hAnsi="宋体" w:eastAsia="宋体" w:cs="宋体"/>
          <w:sz w:val="16"/>
          <w:szCs w:val="16"/>
        </w:rPr>
      </w:pPr>
      <w:r>
        <w:rPr>
          <w:rFonts w:ascii="宋体" w:hAnsi="宋体" w:eastAsia="宋体" w:cs="宋体"/>
          <w:spacing w:val="10"/>
          <w:sz w:val="16"/>
          <w:szCs w:val="16"/>
        </w:rPr>
        <w:t>量筒、电子天平、盆、量桶或量杯、缸、塑料桶、</w:t>
      </w:r>
      <w:r>
        <w:rPr>
          <w:rFonts w:ascii="宋体" w:hAnsi="宋体" w:eastAsia="宋体" w:cs="宋体"/>
          <w:sz w:val="16"/>
          <w:szCs w:val="16"/>
        </w:rPr>
        <w:t xml:space="preserve">  </w:t>
      </w:r>
      <w:r>
        <w:rPr>
          <w:rFonts w:ascii="宋体" w:hAnsi="宋体" w:eastAsia="宋体" w:cs="宋体"/>
          <w:spacing w:val="12"/>
          <w:sz w:val="16"/>
          <w:szCs w:val="16"/>
        </w:rPr>
        <w:t>搅拌棒、橡皮手套、电炉等。待选消毒药品为粗制氢氧</w:t>
      </w:r>
      <w:r>
        <w:rPr>
          <w:rFonts w:ascii="宋体" w:hAnsi="宋体" w:eastAsia="宋体" w:cs="宋体"/>
          <w:spacing w:val="8"/>
          <w:sz w:val="16"/>
          <w:szCs w:val="16"/>
        </w:rPr>
        <w:t xml:space="preserve"> </w:t>
      </w:r>
      <w:r>
        <w:rPr>
          <w:rFonts w:ascii="宋体" w:hAnsi="宋体" w:eastAsia="宋体" w:cs="宋体"/>
          <w:spacing w:val="1"/>
          <w:sz w:val="16"/>
          <w:szCs w:val="16"/>
        </w:rPr>
        <w:t>化钠、甲醛、新洁尔灭、高锰酸钾、酒精；工作服，口罩，</w:t>
      </w:r>
      <w:r>
        <w:rPr>
          <w:rFonts w:ascii="宋体" w:hAnsi="宋体" w:eastAsia="宋体" w:cs="宋体"/>
          <w:spacing w:val="2"/>
          <w:sz w:val="16"/>
          <w:szCs w:val="16"/>
        </w:rPr>
        <w:t xml:space="preserve"> </w:t>
      </w:r>
      <w:r>
        <w:rPr>
          <w:rFonts w:ascii="宋体" w:hAnsi="宋体" w:eastAsia="宋体" w:cs="宋体"/>
          <w:spacing w:val="7"/>
          <w:sz w:val="16"/>
          <w:szCs w:val="16"/>
        </w:rPr>
        <w:t>毛巾，肥皂，自来水等。</w:t>
      </w:r>
    </w:p>
    <w:p w14:paraId="1DE3CDA6">
      <w:pPr>
        <w:spacing w:before="12" w:line="221" w:lineRule="auto"/>
        <w:ind w:left="53"/>
        <w:rPr>
          <w:rFonts w:ascii="黑体" w:hAnsi="黑体" w:eastAsia="黑体" w:cs="黑体"/>
          <w:sz w:val="23"/>
          <w:szCs w:val="23"/>
        </w:rPr>
      </w:pPr>
      <w:r>
        <w:rPr>
          <w:rFonts w:ascii="黑体" w:hAnsi="黑体" w:eastAsia="黑体" w:cs="黑体"/>
          <w:b/>
          <w:bCs/>
          <w:spacing w:val="-8"/>
          <w:sz w:val="23"/>
          <w:szCs w:val="23"/>
        </w:rPr>
        <w:t>四、步骤及方法</w:t>
      </w:r>
    </w:p>
    <w:p w14:paraId="46299A14">
      <w:pPr>
        <w:spacing w:before="96" w:line="219" w:lineRule="auto"/>
        <w:ind w:left="430"/>
        <w:rPr>
          <w:rFonts w:ascii="宋体" w:hAnsi="宋体" w:eastAsia="宋体" w:cs="宋体"/>
          <w:sz w:val="16"/>
          <w:szCs w:val="16"/>
        </w:rPr>
      </w:pPr>
      <w:r>
        <w:rPr>
          <w:rFonts w:ascii="宋体" w:hAnsi="宋体" w:eastAsia="宋体" w:cs="宋体"/>
          <w:spacing w:val="7"/>
          <w:sz w:val="16"/>
          <w:szCs w:val="16"/>
        </w:rPr>
        <w:t>1、消毒剂的选择</w:t>
      </w:r>
    </w:p>
    <w:p w14:paraId="5C31370B">
      <w:pPr>
        <w:spacing w:before="100" w:line="328" w:lineRule="auto"/>
        <w:ind w:left="49" w:right="362" w:firstLine="380"/>
        <w:rPr>
          <w:rFonts w:ascii="宋体" w:hAnsi="宋体" w:eastAsia="宋体" w:cs="宋体"/>
          <w:sz w:val="16"/>
          <w:szCs w:val="16"/>
        </w:rPr>
      </w:pPr>
      <w:r>
        <w:rPr>
          <w:rFonts w:ascii="宋体" w:hAnsi="宋体" w:eastAsia="宋体" w:cs="宋体"/>
          <w:spacing w:val="18"/>
          <w:sz w:val="16"/>
          <w:szCs w:val="16"/>
        </w:rPr>
        <w:t>从甲醛、2%烧碱溶液、新洁尔灭、高锰酸钾、酒</w:t>
      </w:r>
      <w:r>
        <w:rPr>
          <w:rFonts w:ascii="宋体" w:hAnsi="宋体" w:eastAsia="宋体" w:cs="宋体"/>
          <w:sz w:val="16"/>
          <w:szCs w:val="16"/>
        </w:rPr>
        <w:t xml:space="preserve"> </w:t>
      </w:r>
      <w:r>
        <w:rPr>
          <w:rFonts w:ascii="宋体" w:hAnsi="宋体" w:eastAsia="宋体" w:cs="宋体"/>
          <w:spacing w:val="15"/>
          <w:sz w:val="16"/>
          <w:szCs w:val="16"/>
        </w:rPr>
        <w:t>精5种消毒剂中选出适合养殖场畜舍地面消毒</w:t>
      </w:r>
      <w:r>
        <w:rPr>
          <w:rFonts w:ascii="宋体" w:hAnsi="宋体" w:eastAsia="宋体" w:cs="宋体"/>
          <w:spacing w:val="14"/>
          <w:sz w:val="16"/>
          <w:szCs w:val="16"/>
        </w:rPr>
        <w:t>、动物皮</w:t>
      </w:r>
      <w:r>
        <w:rPr>
          <w:rFonts w:ascii="宋体" w:hAnsi="宋体" w:eastAsia="宋体" w:cs="宋体"/>
          <w:sz w:val="16"/>
          <w:szCs w:val="16"/>
        </w:rPr>
        <w:t xml:space="preserve"> </w:t>
      </w:r>
      <w:r>
        <w:rPr>
          <w:rFonts w:ascii="宋体" w:hAnsi="宋体" w:eastAsia="宋体" w:cs="宋体"/>
          <w:spacing w:val="12"/>
          <w:sz w:val="16"/>
          <w:szCs w:val="16"/>
        </w:rPr>
        <w:t>肤消毒、畜舍空气消毒、养殖器具消毒的最常用、最适</w:t>
      </w:r>
      <w:r>
        <w:rPr>
          <w:rFonts w:ascii="宋体" w:hAnsi="宋体" w:eastAsia="宋体" w:cs="宋体"/>
          <w:spacing w:val="7"/>
          <w:sz w:val="16"/>
          <w:szCs w:val="16"/>
        </w:rPr>
        <w:t xml:space="preserve"> </w:t>
      </w:r>
      <w:r>
        <w:rPr>
          <w:rFonts w:ascii="宋体" w:hAnsi="宋体" w:eastAsia="宋体" w:cs="宋体"/>
          <w:spacing w:val="27"/>
          <w:sz w:val="16"/>
          <w:szCs w:val="16"/>
        </w:rPr>
        <w:t>宜(最佳)消毒剂。</w:t>
      </w:r>
    </w:p>
    <w:p w14:paraId="55385F1F">
      <w:pPr>
        <w:spacing w:before="23" w:line="219" w:lineRule="auto"/>
        <w:ind w:left="430"/>
        <w:rPr>
          <w:rFonts w:ascii="宋体" w:hAnsi="宋体" w:eastAsia="宋体" w:cs="宋体"/>
          <w:sz w:val="16"/>
          <w:szCs w:val="16"/>
        </w:rPr>
      </w:pPr>
      <w:r>
        <w:rPr>
          <w:rFonts w:ascii="宋体" w:hAnsi="宋体" w:eastAsia="宋体" w:cs="宋体"/>
          <w:spacing w:val="7"/>
          <w:sz w:val="16"/>
          <w:szCs w:val="16"/>
        </w:rPr>
        <w:t>2、消毒剂的配制</w:t>
      </w:r>
    </w:p>
    <w:p w14:paraId="4836290F">
      <w:pPr>
        <w:spacing w:before="100" w:line="219" w:lineRule="auto"/>
        <w:ind w:left="490"/>
        <w:rPr>
          <w:rFonts w:ascii="宋体" w:hAnsi="宋体" w:eastAsia="宋体" w:cs="宋体"/>
          <w:sz w:val="16"/>
          <w:szCs w:val="16"/>
        </w:rPr>
      </w:pPr>
      <w:r>
        <w:rPr>
          <w:rFonts w:ascii="宋体" w:hAnsi="宋体" w:eastAsia="宋体" w:cs="宋体"/>
          <w:spacing w:val="15"/>
          <w:sz w:val="16"/>
          <w:szCs w:val="16"/>
        </w:rPr>
        <w:t>(1)液体消毒剂的配制：</w:t>
      </w:r>
    </w:p>
    <w:p w14:paraId="0BFDB93F">
      <w:pPr>
        <w:spacing w:before="101" w:line="332" w:lineRule="auto"/>
        <w:ind w:left="49" w:right="362" w:firstLine="380"/>
        <w:rPr>
          <w:rFonts w:ascii="宋体" w:hAnsi="宋体" w:eastAsia="宋体" w:cs="宋体"/>
          <w:sz w:val="16"/>
          <w:szCs w:val="16"/>
        </w:rPr>
      </w:pPr>
      <w:r>
        <w:rPr>
          <w:rFonts w:ascii="宋体" w:hAnsi="宋体" w:eastAsia="宋体" w:cs="宋体"/>
          <w:spacing w:val="16"/>
          <w:sz w:val="16"/>
          <w:szCs w:val="16"/>
        </w:rPr>
        <w:t>用95%酒精配制75%酒精100</w:t>
      </w:r>
      <w:r>
        <w:rPr>
          <w:rFonts w:ascii="Times New Roman" w:hAnsi="Times New Roman" w:eastAsia="Times New Roman" w:cs="Times New Roman"/>
          <w:sz w:val="16"/>
          <w:szCs w:val="16"/>
        </w:rPr>
        <w:t>mL</w:t>
      </w:r>
      <w:r>
        <w:rPr>
          <w:rFonts w:ascii="宋体" w:hAnsi="宋体" w:eastAsia="宋体" w:cs="宋体"/>
          <w:spacing w:val="16"/>
          <w:sz w:val="16"/>
          <w:szCs w:val="16"/>
        </w:rPr>
        <w:t>。先</w:t>
      </w:r>
      <w:r>
        <w:rPr>
          <w:rFonts w:ascii="宋体" w:hAnsi="宋体" w:eastAsia="宋体" w:cs="宋体"/>
          <w:spacing w:val="-35"/>
          <w:sz w:val="16"/>
          <w:szCs w:val="16"/>
        </w:rPr>
        <w:t xml:space="preserve"> </w:t>
      </w:r>
      <w:r>
        <w:rPr>
          <w:rFonts w:ascii="宋体" w:hAnsi="宋体" w:eastAsia="宋体" w:cs="宋体"/>
          <w:spacing w:val="16"/>
          <w:sz w:val="16"/>
          <w:szCs w:val="16"/>
        </w:rPr>
        <w:t>计</w:t>
      </w:r>
      <w:r>
        <w:rPr>
          <w:rFonts w:ascii="宋体" w:hAnsi="宋体" w:eastAsia="宋体" w:cs="宋体"/>
          <w:spacing w:val="-34"/>
          <w:sz w:val="16"/>
          <w:szCs w:val="16"/>
        </w:rPr>
        <w:t xml:space="preserve"> </w:t>
      </w:r>
      <w:r>
        <w:rPr>
          <w:rFonts w:ascii="宋体" w:hAnsi="宋体" w:eastAsia="宋体" w:cs="宋体"/>
          <w:spacing w:val="16"/>
          <w:sz w:val="16"/>
          <w:szCs w:val="16"/>
        </w:rPr>
        <w:t>算</w:t>
      </w:r>
      <w:r>
        <w:rPr>
          <w:rFonts w:ascii="宋体" w:hAnsi="宋体" w:eastAsia="宋体" w:cs="宋体"/>
          <w:spacing w:val="-35"/>
          <w:sz w:val="16"/>
          <w:szCs w:val="16"/>
        </w:rPr>
        <w:t xml:space="preserve"> </w:t>
      </w:r>
      <w:r>
        <w:rPr>
          <w:rFonts w:ascii="宋体" w:hAnsi="宋体" w:eastAsia="宋体" w:cs="宋体"/>
          <w:spacing w:val="16"/>
          <w:sz w:val="16"/>
          <w:szCs w:val="16"/>
        </w:rPr>
        <w:t>9</w:t>
      </w:r>
      <w:r>
        <w:rPr>
          <w:rFonts w:ascii="宋体" w:hAnsi="宋体" w:eastAsia="宋体" w:cs="宋体"/>
          <w:spacing w:val="-33"/>
          <w:sz w:val="16"/>
          <w:szCs w:val="16"/>
        </w:rPr>
        <w:t xml:space="preserve"> </w:t>
      </w:r>
      <w:r>
        <w:rPr>
          <w:rFonts w:ascii="宋体" w:hAnsi="宋体" w:eastAsia="宋体" w:cs="宋体"/>
          <w:spacing w:val="16"/>
          <w:sz w:val="16"/>
          <w:szCs w:val="16"/>
        </w:rPr>
        <w:t>5</w:t>
      </w:r>
      <w:r>
        <w:rPr>
          <w:rFonts w:ascii="宋体" w:hAnsi="宋体" w:eastAsia="宋体" w:cs="宋体"/>
          <w:spacing w:val="-40"/>
          <w:sz w:val="16"/>
          <w:szCs w:val="16"/>
        </w:rPr>
        <w:t xml:space="preserve"> </w:t>
      </w:r>
      <w:r>
        <w:rPr>
          <w:rFonts w:ascii="宋体" w:hAnsi="宋体" w:eastAsia="宋体" w:cs="宋体"/>
          <w:spacing w:val="16"/>
          <w:sz w:val="16"/>
          <w:szCs w:val="16"/>
        </w:rPr>
        <w:t>%</w:t>
      </w:r>
      <w:r>
        <w:rPr>
          <w:rFonts w:ascii="宋体" w:hAnsi="宋体" w:eastAsia="宋体" w:cs="宋体"/>
          <w:spacing w:val="-33"/>
          <w:sz w:val="16"/>
          <w:szCs w:val="16"/>
        </w:rPr>
        <w:t xml:space="preserve"> </w:t>
      </w:r>
      <w:r>
        <w:rPr>
          <w:rFonts w:ascii="宋体" w:hAnsi="宋体" w:eastAsia="宋体" w:cs="宋体"/>
          <w:spacing w:val="16"/>
          <w:sz w:val="16"/>
          <w:szCs w:val="16"/>
        </w:rPr>
        <w:t>酒</w:t>
      </w:r>
      <w:r>
        <w:rPr>
          <w:rFonts w:ascii="宋体" w:hAnsi="宋体" w:eastAsia="宋体" w:cs="宋体"/>
          <w:sz w:val="16"/>
          <w:szCs w:val="16"/>
        </w:rPr>
        <w:t xml:space="preserve"> </w:t>
      </w:r>
      <w:r>
        <w:rPr>
          <w:rFonts w:ascii="宋体" w:hAnsi="宋体" w:eastAsia="宋体" w:cs="宋体"/>
          <w:spacing w:val="8"/>
          <w:sz w:val="16"/>
          <w:szCs w:val="16"/>
        </w:rPr>
        <w:t>精的用量及加水量，然后进行配制。</w:t>
      </w:r>
    </w:p>
    <w:p w14:paraId="1ED05D0B">
      <w:pPr>
        <w:spacing w:before="4" w:line="323" w:lineRule="auto"/>
        <w:ind w:left="49" w:right="350" w:firstLine="469"/>
        <w:rPr>
          <w:rFonts w:ascii="宋体" w:hAnsi="宋体" w:eastAsia="宋体" w:cs="宋体"/>
          <w:sz w:val="16"/>
          <w:szCs w:val="16"/>
        </w:rPr>
      </w:pPr>
      <w:r>
        <w:rPr>
          <w:rFonts w:ascii="宋体" w:hAnsi="宋体" w:eastAsia="宋体" w:cs="宋体"/>
          <w:spacing w:val="18"/>
          <w:sz w:val="16"/>
          <w:szCs w:val="16"/>
        </w:rPr>
        <w:t>(2)固体消毒液的配制：忽略固体的体积，采用</w:t>
      </w:r>
      <w:r>
        <w:rPr>
          <w:rFonts w:ascii="宋体" w:hAnsi="宋体" w:eastAsia="宋体" w:cs="宋体"/>
          <w:spacing w:val="2"/>
          <w:sz w:val="16"/>
          <w:szCs w:val="16"/>
        </w:rPr>
        <w:t xml:space="preserve"> </w:t>
      </w:r>
      <w:r>
        <w:rPr>
          <w:rFonts w:ascii="宋体" w:hAnsi="宋体" w:eastAsia="宋体" w:cs="宋体"/>
          <w:spacing w:val="6"/>
          <w:sz w:val="16"/>
          <w:szCs w:val="16"/>
        </w:rPr>
        <w:t>粗配。</w:t>
      </w:r>
    </w:p>
    <w:p w14:paraId="69E6F274">
      <w:pPr>
        <w:spacing w:before="21" w:line="265" w:lineRule="auto"/>
        <w:ind w:left="49" w:right="357" w:firstLine="380"/>
        <w:rPr>
          <w:rFonts w:ascii="宋体" w:hAnsi="宋体" w:eastAsia="宋体" w:cs="宋体"/>
          <w:sz w:val="16"/>
          <w:szCs w:val="16"/>
        </w:rPr>
      </w:pPr>
      <w:r>
        <w:rPr>
          <w:rFonts w:ascii="宋体" w:hAnsi="宋体" w:eastAsia="宋体" w:cs="宋体"/>
          <w:spacing w:val="16"/>
          <w:sz w:val="16"/>
          <w:szCs w:val="16"/>
        </w:rPr>
        <w:t>配制0</w:t>
      </w:r>
      <w:r>
        <w:rPr>
          <w:rFonts w:ascii="宋体" w:hAnsi="宋体" w:eastAsia="宋体" w:cs="宋体"/>
          <w:spacing w:val="-40"/>
          <w:sz w:val="16"/>
          <w:szCs w:val="16"/>
        </w:rPr>
        <w:t xml:space="preserve"> </w:t>
      </w:r>
      <w:r>
        <w:rPr>
          <w:rFonts w:ascii="宋体" w:hAnsi="宋体" w:eastAsia="宋体" w:cs="宋体"/>
          <w:spacing w:val="16"/>
          <w:sz w:val="16"/>
          <w:szCs w:val="16"/>
        </w:rPr>
        <w:t>.</w:t>
      </w:r>
      <w:r>
        <w:rPr>
          <w:rFonts w:ascii="宋体" w:hAnsi="宋体" w:eastAsia="宋体" w:cs="宋体"/>
          <w:spacing w:val="-38"/>
          <w:sz w:val="16"/>
          <w:szCs w:val="16"/>
        </w:rPr>
        <w:t xml:space="preserve"> </w:t>
      </w:r>
      <w:r>
        <w:rPr>
          <w:rFonts w:ascii="宋体" w:hAnsi="宋体" w:eastAsia="宋体" w:cs="宋体"/>
          <w:spacing w:val="16"/>
          <w:sz w:val="16"/>
          <w:szCs w:val="16"/>
        </w:rPr>
        <w:t>1%的高锰酸钾200</w:t>
      </w:r>
      <w:r>
        <w:rPr>
          <w:rFonts w:ascii="Times New Roman" w:hAnsi="Times New Roman" w:eastAsia="Times New Roman" w:cs="Times New Roman"/>
          <w:sz w:val="16"/>
          <w:szCs w:val="16"/>
        </w:rPr>
        <w:t>ml</w:t>
      </w:r>
      <w:r>
        <w:rPr>
          <w:rFonts w:ascii="Times New Roman" w:hAnsi="Times New Roman" w:eastAsia="Times New Roman" w:cs="Times New Roman"/>
          <w:spacing w:val="-18"/>
          <w:sz w:val="16"/>
          <w:szCs w:val="16"/>
        </w:rPr>
        <w:t xml:space="preserve"> </w:t>
      </w:r>
      <w:r>
        <w:rPr>
          <w:rFonts w:ascii="宋体" w:hAnsi="宋体" w:eastAsia="宋体" w:cs="宋体"/>
          <w:spacing w:val="16"/>
          <w:sz w:val="16"/>
          <w:szCs w:val="16"/>
        </w:rPr>
        <w:t>。先计算高锰酸钾的</w:t>
      </w:r>
      <w:r>
        <w:rPr>
          <w:rFonts w:ascii="宋体" w:hAnsi="宋体" w:eastAsia="宋体" w:cs="宋体"/>
          <w:sz w:val="16"/>
          <w:szCs w:val="16"/>
        </w:rPr>
        <w:t xml:space="preserve"> </w:t>
      </w:r>
      <w:r>
        <w:rPr>
          <w:rFonts w:ascii="宋体" w:hAnsi="宋体" w:eastAsia="宋体" w:cs="宋体"/>
          <w:spacing w:val="9"/>
          <w:sz w:val="16"/>
          <w:szCs w:val="16"/>
        </w:rPr>
        <w:t>用量及加水量，然后进行配制。</w:t>
      </w:r>
    </w:p>
    <w:p w14:paraId="35D71D04">
      <w:pPr>
        <w:pStyle w:val="2"/>
        <w:spacing w:line="14" w:lineRule="auto"/>
        <w:rPr>
          <w:sz w:val="2"/>
        </w:rPr>
      </w:pPr>
      <w:r>
        <w:rPr>
          <w:sz w:val="2"/>
          <w:szCs w:val="2"/>
        </w:rPr>
        <w:br w:type="column"/>
      </w:r>
    </w:p>
    <w:p w14:paraId="20CD6ACC">
      <w:pPr>
        <w:spacing w:before="42" w:line="220" w:lineRule="auto"/>
        <w:ind w:left="23"/>
        <w:rPr>
          <w:rFonts w:ascii="宋体" w:hAnsi="宋体" w:eastAsia="宋体" w:cs="宋体"/>
          <w:sz w:val="22"/>
          <w:szCs w:val="22"/>
        </w:rPr>
      </w:pPr>
      <w:r>
        <w:rPr>
          <w:rFonts w:ascii="宋体" w:hAnsi="宋体" w:eastAsia="宋体" w:cs="宋体"/>
          <w:b/>
          <w:bCs/>
          <w:spacing w:val="-4"/>
          <w:sz w:val="22"/>
          <w:szCs w:val="22"/>
        </w:rPr>
        <w:t>五、评分标准</w:t>
      </w:r>
    </w:p>
    <w:p w14:paraId="061E8C38">
      <w:pPr>
        <w:spacing w:line="65" w:lineRule="auto"/>
        <w:rPr>
          <w:rFonts w:ascii="Arial"/>
          <w:sz w:val="2"/>
        </w:rPr>
      </w:pPr>
    </w:p>
    <w:tbl>
      <w:tblPr>
        <w:tblStyle w:val="5"/>
        <w:tblW w:w="4153" w:type="dxa"/>
        <w:tblInd w:w="2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354"/>
        <w:gridCol w:w="579"/>
        <w:gridCol w:w="588"/>
        <w:gridCol w:w="429"/>
        <w:gridCol w:w="2203"/>
      </w:tblGrid>
      <w:tr w14:paraId="38F8F1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4" w:hRule="atLeast"/>
        </w:trPr>
        <w:tc>
          <w:tcPr>
            <w:tcW w:w="354" w:type="dxa"/>
            <w:vAlign w:val="top"/>
          </w:tcPr>
          <w:p w14:paraId="7AB6A112">
            <w:pPr>
              <w:pStyle w:val="6"/>
              <w:spacing w:before="12" w:line="200" w:lineRule="auto"/>
              <w:ind w:left="77" w:right="82"/>
              <w:rPr>
                <w:sz w:val="19"/>
                <w:szCs w:val="19"/>
              </w:rPr>
            </w:pPr>
            <w:r>
              <w:rPr>
                <w:b/>
                <w:bCs/>
                <w:spacing w:val="-9"/>
                <w:sz w:val="19"/>
                <w:szCs w:val="19"/>
              </w:rPr>
              <w:t>序</w:t>
            </w:r>
            <w:r>
              <w:rPr>
                <w:sz w:val="19"/>
                <w:szCs w:val="19"/>
              </w:rPr>
              <w:t xml:space="preserve"> </w:t>
            </w:r>
            <w:r>
              <w:rPr>
                <w:b/>
                <w:bCs/>
                <w:spacing w:val="-14"/>
                <w:sz w:val="19"/>
                <w:szCs w:val="19"/>
              </w:rPr>
              <w:t>号</w:t>
            </w:r>
          </w:p>
        </w:tc>
        <w:tc>
          <w:tcPr>
            <w:tcW w:w="579" w:type="dxa"/>
            <w:vAlign w:val="top"/>
          </w:tcPr>
          <w:p w14:paraId="2ADD3FEF">
            <w:pPr>
              <w:pStyle w:val="6"/>
              <w:spacing w:before="30" w:line="191" w:lineRule="auto"/>
              <w:ind w:left="181" w:hanging="168"/>
              <w:rPr>
                <w:sz w:val="19"/>
                <w:szCs w:val="19"/>
              </w:rPr>
            </w:pPr>
            <w:r>
              <w:rPr>
                <w:b/>
                <w:bCs/>
                <w:spacing w:val="-7"/>
                <w:sz w:val="19"/>
                <w:szCs w:val="19"/>
              </w:rPr>
              <w:t>测试内</w:t>
            </w:r>
            <w:r>
              <w:rPr>
                <w:sz w:val="19"/>
                <w:szCs w:val="19"/>
              </w:rPr>
              <w:t xml:space="preserve"> </w:t>
            </w:r>
            <w:r>
              <w:rPr>
                <w:b/>
                <w:bCs/>
                <w:spacing w:val="-2"/>
                <w:sz w:val="19"/>
                <w:szCs w:val="19"/>
              </w:rPr>
              <w:t>容</w:t>
            </w:r>
          </w:p>
        </w:tc>
        <w:tc>
          <w:tcPr>
            <w:tcW w:w="588" w:type="dxa"/>
            <w:vAlign w:val="top"/>
          </w:tcPr>
          <w:p w14:paraId="4F140282">
            <w:pPr>
              <w:pStyle w:val="6"/>
              <w:spacing w:before="20" w:line="196" w:lineRule="auto"/>
              <w:ind w:left="94" w:right="111"/>
              <w:rPr>
                <w:sz w:val="19"/>
                <w:szCs w:val="19"/>
              </w:rPr>
            </w:pPr>
            <w:r>
              <w:rPr>
                <w:b/>
                <w:bCs/>
                <w:spacing w:val="-7"/>
                <w:sz w:val="19"/>
                <w:szCs w:val="19"/>
              </w:rPr>
              <w:t>测试</w:t>
            </w:r>
            <w:r>
              <w:rPr>
                <w:sz w:val="19"/>
                <w:szCs w:val="19"/>
              </w:rPr>
              <w:t xml:space="preserve"> </w:t>
            </w:r>
            <w:r>
              <w:rPr>
                <w:b/>
                <w:bCs/>
                <w:spacing w:val="-7"/>
                <w:sz w:val="19"/>
                <w:szCs w:val="19"/>
              </w:rPr>
              <w:t>要点</w:t>
            </w:r>
          </w:p>
        </w:tc>
        <w:tc>
          <w:tcPr>
            <w:tcW w:w="429" w:type="dxa"/>
            <w:vAlign w:val="top"/>
          </w:tcPr>
          <w:p w14:paraId="63BF0EF0">
            <w:pPr>
              <w:pStyle w:val="6"/>
              <w:spacing w:before="120" w:line="219" w:lineRule="auto"/>
              <w:ind w:left="16"/>
              <w:rPr>
                <w:sz w:val="19"/>
                <w:szCs w:val="19"/>
              </w:rPr>
            </w:pPr>
            <w:r>
              <w:rPr>
                <w:b/>
                <w:bCs/>
                <w:spacing w:val="-5"/>
                <w:sz w:val="19"/>
                <w:szCs w:val="19"/>
              </w:rPr>
              <w:t>分值</w:t>
            </w:r>
          </w:p>
        </w:tc>
        <w:tc>
          <w:tcPr>
            <w:tcW w:w="2203" w:type="dxa"/>
            <w:vAlign w:val="top"/>
          </w:tcPr>
          <w:p w14:paraId="482BF285">
            <w:pPr>
              <w:pStyle w:val="6"/>
              <w:spacing w:before="120" w:line="220" w:lineRule="auto"/>
              <w:ind w:left="747"/>
              <w:rPr>
                <w:sz w:val="19"/>
                <w:szCs w:val="19"/>
              </w:rPr>
            </w:pPr>
            <w:r>
              <w:rPr>
                <w:b/>
                <w:bCs/>
                <w:spacing w:val="-4"/>
                <w:sz w:val="19"/>
                <w:szCs w:val="19"/>
              </w:rPr>
              <w:t>评分标准</w:t>
            </w:r>
          </w:p>
        </w:tc>
      </w:tr>
      <w:tr w14:paraId="70913A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07" w:hRule="atLeast"/>
        </w:trPr>
        <w:tc>
          <w:tcPr>
            <w:tcW w:w="354" w:type="dxa"/>
            <w:vAlign w:val="top"/>
          </w:tcPr>
          <w:p w14:paraId="68725E59">
            <w:pPr>
              <w:spacing w:line="271" w:lineRule="auto"/>
              <w:rPr>
                <w:rFonts w:ascii="Arial"/>
                <w:sz w:val="21"/>
              </w:rPr>
            </w:pPr>
          </w:p>
          <w:p w14:paraId="6ED49BBA">
            <w:pPr>
              <w:spacing w:line="271" w:lineRule="auto"/>
              <w:rPr>
                <w:rFonts w:ascii="Arial"/>
                <w:sz w:val="21"/>
              </w:rPr>
            </w:pPr>
          </w:p>
          <w:p w14:paraId="785826F4">
            <w:pPr>
              <w:spacing w:line="271" w:lineRule="auto"/>
              <w:rPr>
                <w:rFonts w:ascii="Arial"/>
                <w:sz w:val="21"/>
              </w:rPr>
            </w:pPr>
          </w:p>
          <w:p w14:paraId="6DFAA440">
            <w:pPr>
              <w:spacing w:line="271" w:lineRule="auto"/>
              <w:rPr>
                <w:rFonts w:ascii="Arial"/>
                <w:sz w:val="21"/>
              </w:rPr>
            </w:pPr>
          </w:p>
          <w:p w14:paraId="50499A1D">
            <w:pPr>
              <w:spacing w:line="272" w:lineRule="auto"/>
              <w:rPr>
                <w:rFonts w:ascii="Arial"/>
                <w:sz w:val="21"/>
              </w:rPr>
            </w:pPr>
          </w:p>
          <w:p w14:paraId="07B8C5B2">
            <w:pPr>
              <w:pStyle w:val="6"/>
              <w:spacing w:before="62" w:line="184" w:lineRule="auto"/>
              <w:ind w:left="115"/>
              <w:rPr>
                <w:sz w:val="19"/>
                <w:szCs w:val="19"/>
              </w:rPr>
            </w:pPr>
            <w:r>
              <w:rPr>
                <w:sz w:val="19"/>
                <w:szCs w:val="19"/>
              </w:rPr>
              <w:t>1</w:t>
            </w:r>
          </w:p>
        </w:tc>
        <w:tc>
          <w:tcPr>
            <w:tcW w:w="579" w:type="dxa"/>
            <w:vAlign w:val="top"/>
          </w:tcPr>
          <w:p w14:paraId="3CE85D18">
            <w:pPr>
              <w:spacing w:line="242" w:lineRule="auto"/>
              <w:rPr>
                <w:rFonts w:ascii="Arial"/>
                <w:sz w:val="21"/>
              </w:rPr>
            </w:pPr>
          </w:p>
          <w:p w14:paraId="26233CBD">
            <w:pPr>
              <w:spacing w:line="242" w:lineRule="auto"/>
              <w:rPr>
                <w:rFonts w:ascii="Arial"/>
                <w:sz w:val="21"/>
              </w:rPr>
            </w:pPr>
          </w:p>
          <w:p w14:paraId="36ED26FA">
            <w:pPr>
              <w:spacing w:line="242" w:lineRule="auto"/>
              <w:rPr>
                <w:rFonts w:ascii="Arial"/>
                <w:sz w:val="21"/>
              </w:rPr>
            </w:pPr>
          </w:p>
          <w:p w14:paraId="083361CA">
            <w:pPr>
              <w:spacing w:line="243" w:lineRule="auto"/>
              <w:rPr>
                <w:rFonts w:ascii="Arial"/>
                <w:sz w:val="21"/>
              </w:rPr>
            </w:pPr>
          </w:p>
          <w:p w14:paraId="0BF7F191">
            <w:pPr>
              <w:pStyle w:val="6"/>
              <w:spacing w:before="62" w:line="217" w:lineRule="auto"/>
              <w:ind w:left="90" w:right="83"/>
              <w:jc w:val="both"/>
              <w:rPr>
                <w:sz w:val="19"/>
                <w:szCs w:val="19"/>
              </w:rPr>
            </w:pPr>
            <w:r>
              <w:rPr>
                <w:spacing w:val="5"/>
                <w:sz w:val="19"/>
                <w:szCs w:val="19"/>
              </w:rPr>
              <w:t>消毒</w:t>
            </w:r>
            <w:r>
              <w:rPr>
                <w:sz w:val="19"/>
                <w:szCs w:val="19"/>
              </w:rPr>
              <w:t xml:space="preserve"> </w:t>
            </w:r>
            <w:r>
              <w:rPr>
                <w:spacing w:val="7"/>
                <w:sz w:val="19"/>
                <w:szCs w:val="19"/>
              </w:rPr>
              <w:t>剂的</w:t>
            </w:r>
            <w:r>
              <w:rPr>
                <w:sz w:val="19"/>
                <w:szCs w:val="19"/>
              </w:rPr>
              <w:t xml:space="preserve"> </w:t>
            </w:r>
            <w:r>
              <w:rPr>
                <w:spacing w:val="-2"/>
                <w:sz w:val="19"/>
                <w:szCs w:val="19"/>
              </w:rPr>
              <w:t>选择</w:t>
            </w:r>
          </w:p>
        </w:tc>
        <w:tc>
          <w:tcPr>
            <w:tcW w:w="588" w:type="dxa"/>
            <w:vAlign w:val="top"/>
          </w:tcPr>
          <w:p w14:paraId="68F3F10B">
            <w:pPr>
              <w:spacing w:line="321" w:lineRule="auto"/>
              <w:rPr>
                <w:rFonts w:ascii="Arial"/>
                <w:sz w:val="21"/>
              </w:rPr>
            </w:pPr>
          </w:p>
          <w:p w14:paraId="0728DE5B">
            <w:pPr>
              <w:spacing w:line="322" w:lineRule="auto"/>
              <w:rPr>
                <w:rFonts w:ascii="Arial"/>
                <w:sz w:val="21"/>
              </w:rPr>
            </w:pPr>
          </w:p>
          <w:p w14:paraId="5CF3BFDD">
            <w:pPr>
              <w:pStyle w:val="6"/>
              <w:spacing w:before="62" w:line="207" w:lineRule="auto"/>
              <w:ind w:left="12"/>
              <w:jc w:val="both"/>
              <w:rPr>
                <w:sz w:val="19"/>
                <w:szCs w:val="19"/>
              </w:rPr>
            </w:pPr>
            <w:r>
              <w:rPr>
                <w:spacing w:val="-2"/>
                <w:sz w:val="19"/>
                <w:szCs w:val="19"/>
              </w:rPr>
              <w:t>能根据</w:t>
            </w:r>
            <w:r>
              <w:rPr>
                <w:sz w:val="19"/>
                <w:szCs w:val="19"/>
              </w:rPr>
              <w:t xml:space="preserve"> </w:t>
            </w:r>
            <w:r>
              <w:rPr>
                <w:spacing w:val="-8"/>
                <w:sz w:val="19"/>
                <w:szCs w:val="19"/>
              </w:rPr>
              <w:t>情况正</w:t>
            </w:r>
            <w:r>
              <w:rPr>
                <w:sz w:val="19"/>
                <w:szCs w:val="19"/>
              </w:rPr>
              <w:t xml:space="preserve"> </w:t>
            </w:r>
            <w:r>
              <w:rPr>
                <w:spacing w:val="30"/>
                <w:sz w:val="19"/>
                <w:szCs w:val="19"/>
              </w:rPr>
              <w:t>确选</w:t>
            </w:r>
          </w:p>
          <w:p w14:paraId="363DE3BA">
            <w:pPr>
              <w:pStyle w:val="6"/>
              <w:spacing w:before="1" w:line="215" w:lineRule="auto"/>
              <w:ind w:left="191" w:right="4" w:hanging="179"/>
              <w:jc w:val="both"/>
              <w:rPr>
                <w:sz w:val="19"/>
                <w:szCs w:val="19"/>
              </w:rPr>
            </w:pPr>
            <w:r>
              <w:rPr>
                <w:spacing w:val="-3"/>
                <w:sz w:val="19"/>
                <w:szCs w:val="19"/>
              </w:rPr>
              <w:t>择消毒</w:t>
            </w:r>
            <w:r>
              <w:rPr>
                <w:sz w:val="19"/>
                <w:szCs w:val="19"/>
              </w:rPr>
              <w:t xml:space="preserve"> 剂</w:t>
            </w:r>
          </w:p>
        </w:tc>
        <w:tc>
          <w:tcPr>
            <w:tcW w:w="429" w:type="dxa"/>
            <w:vAlign w:val="top"/>
          </w:tcPr>
          <w:p w14:paraId="4CE2DCA6">
            <w:pPr>
              <w:spacing w:line="271" w:lineRule="auto"/>
              <w:rPr>
                <w:rFonts w:ascii="Arial"/>
                <w:sz w:val="21"/>
              </w:rPr>
            </w:pPr>
          </w:p>
          <w:p w14:paraId="1A63B64B">
            <w:pPr>
              <w:spacing w:line="271" w:lineRule="auto"/>
              <w:rPr>
                <w:rFonts w:ascii="Arial"/>
                <w:sz w:val="21"/>
              </w:rPr>
            </w:pPr>
          </w:p>
          <w:p w14:paraId="7C1308AB">
            <w:pPr>
              <w:spacing w:line="271" w:lineRule="auto"/>
              <w:rPr>
                <w:rFonts w:ascii="Arial"/>
                <w:sz w:val="21"/>
              </w:rPr>
            </w:pPr>
          </w:p>
          <w:p w14:paraId="6EB05F20">
            <w:pPr>
              <w:spacing w:line="272" w:lineRule="auto"/>
              <w:rPr>
                <w:rFonts w:ascii="Arial"/>
                <w:sz w:val="21"/>
              </w:rPr>
            </w:pPr>
          </w:p>
          <w:p w14:paraId="6BA7F047">
            <w:pPr>
              <w:spacing w:line="272" w:lineRule="auto"/>
              <w:rPr>
                <w:rFonts w:ascii="Arial"/>
                <w:sz w:val="21"/>
              </w:rPr>
            </w:pPr>
          </w:p>
          <w:p w14:paraId="40A2CB18">
            <w:pPr>
              <w:pStyle w:val="6"/>
              <w:spacing w:before="62" w:line="183" w:lineRule="auto"/>
              <w:ind w:left="114"/>
              <w:rPr>
                <w:sz w:val="19"/>
                <w:szCs w:val="19"/>
              </w:rPr>
            </w:pPr>
            <w:r>
              <w:rPr>
                <w:spacing w:val="-3"/>
                <w:sz w:val="19"/>
                <w:szCs w:val="19"/>
              </w:rPr>
              <w:t>30</w:t>
            </w:r>
          </w:p>
        </w:tc>
        <w:tc>
          <w:tcPr>
            <w:tcW w:w="2203" w:type="dxa"/>
            <w:vAlign w:val="top"/>
          </w:tcPr>
          <w:p w14:paraId="6C225729">
            <w:pPr>
              <w:pStyle w:val="6"/>
              <w:spacing w:before="27" w:line="214" w:lineRule="auto"/>
              <w:ind w:left="14"/>
              <w:rPr>
                <w:sz w:val="19"/>
                <w:szCs w:val="19"/>
              </w:rPr>
            </w:pPr>
            <w:r>
              <w:rPr>
                <w:spacing w:val="-8"/>
                <w:sz w:val="19"/>
                <w:szCs w:val="19"/>
              </w:rPr>
              <w:t>从5种(甲醛、2%烧碱溶液、</w:t>
            </w:r>
            <w:r>
              <w:rPr>
                <w:spacing w:val="9"/>
                <w:sz w:val="19"/>
                <w:szCs w:val="19"/>
              </w:rPr>
              <w:t xml:space="preserve"> </w:t>
            </w:r>
            <w:r>
              <w:rPr>
                <w:spacing w:val="-20"/>
                <w:sz w:val="19"/>
                <w:szCs w:val="19"/>
              </w:rPr>
              <w:t>新洁尔灭、高锰酸钾、酒精)</w:t>
            </w:r>
            <w:r>
              <w:rPr>
                <w:spacing w:val="9"/>
                <w:sz w:val="19"/>
                <w:szCs w:val="19"/>
              </w:rPr>
              <w:t xml:space="preserve"> </w:t>
            </w:r>
            <w:r>
              <w:rPr>
                <w:spacing w:val="-5"/>
                <w:sz w:val="19"/>
                <w:szCs w:val="19"/>
              </w:rPr>
              <w:t>中选出适合某指定用途的</w:t>
            </w:r>
            <w:r>
              <w:rPr>
                <w:spacing w:val="3"/>
                <w:sz w:val="19"/>
                <w:szCs w:val="19"/>
              </w:rPr>
              <w:t xml:space="preserve">  </w:t>
            </w:r>
            <w:r>
              <w:rPr>
                <w:spacing w:val="-2"/>
                <w:sz w:val="19"/>
                <w:szCs w:val="19"/>
              </w:rPr>
              <w:t>最常用、最适宜(最佳)</w:t>
            </w:r>
          </w:p>
          <w:p w14:paraId="073E7C40">
            <w:pPr>
              <w:pStyle w:val="6"/>
              <w:spacing w:before="3" w:line="213" w:lineRule="auto"/>
              <w:ind w:left="14"/>
              <w:rPr>
                <w:sz w:val="19"/>
                <w:szCs w:val="19"/>
              </w:rPr>
            </w:pPr>
            <w:r>
              <w:rPr>
                <w:spacing w:val="-7"/>
                <w:sz w:val="19"/>
                <w:szCs w:val="19"/>
              </w:rPr>
              <w:t>消毒剂，指定四种用途(养</w:t>
            </w:r>
            <w:r>
              <w:rPr>
                <w:sz w:val="19"/>
                <w:szCs w:val="19"/>
              </w:rPr>
              <w:t xml:space="preserve">  </w:t>
            </w:r>
            <w:r>
              <w:rPr>
                <w:spacing w:val="-7"/>
                <w:sz w:val="19"/>
                <w:szCs w:val="19"/>
              </w:rPr>
              <w:t>殖场畜舍地面消毒、动物</w:t>
            </w:r>
            <w:r>
              <w:rPr>
                <w:spacing w:val="4"/>
                <w:sz w:val="19"/>
                <w:szCs w:val="19"/>
              </w:rPr>
              <w:t xml:space="preserve">  </w:t>
            </w:r>
            <w:r>
              <w:rPr>
                <w:spacing w:val="-9"/>
                <w:sz w:val="19"/>
                <w:szCs w:val="19"/>
              </w:rPr>
              <w:t>皮肤消毒、畜舍空气消毒、</w:t>
            </w:r>
            <w:r>
              <w:rPr>
                <w:spacing w:val="5"/>
                <w:sz w:val="19"/>
                <w:szCs w:val="19"/>
              </w:rPr>
              <w:t xml:space="preserve"> </w:t>
            </w:r>
            <w:r>
              <w:rPr>
                <w:spacing w:val="-6"/>
                <w:sz w:val="19"/>
                <w:szCs w:val="19"/>
              </w:rPr>
              <w:t>养殖器具消毒),消毒剂</w:t>
            </w:r>
          </w:p>
          <w:p w14:paraId="1B94F8FC">
            <w:pPr>
              <w:pStyle w:val="6"/>
              <w:spacing w:line="198" w:lineRule="auto"/>
              <w:ind w:left="14" w:right="16" w:firstLine="10"/>
              <w:rPr>
                <w:sz w:val="19"/>
                <w:szCs w:val="19"/>
              </w:rPr>
            </w:pPr>
            <w:r>
              <w:rPr>
                <w:spacing w:val="-3"/>
                <w:sz w:val="19"/>
                <w:szCs w:val="19"/>
              </w:rPr>
              <w:t>选择不正确者每一项扣7.5</w:t>
            </w:r>
            <w:r>
              <w:rPr>
                <w:spacing w:val="4"/>
                <w:sz w:val="19"/>
                <w:szCs w:val="19"/>
              </w:rPr>
              <w:t xml:space="preserve"> </w:t>
            </w:r>
            <w:r>
              <w:rPr>
                <w:spacing w:val="-2"/>
                <w:sz w:val="19"/>
                <w:szCs w:val="19"/>
              </w:rPr>
              <w:t>分。</w:t>
            </w:r>
          </w:p>
        </w:tc>
      </w:tr>
      <w:tr w14:paraId="17F133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79" w:hRule="atLeast"/>
        </w:trPr>
        <w:tc>
          <w:tcPr>
            <w:tcW w:w="354" w:type="dxa"/>
            <w:vAlign w:val="top"/>
          </w:tcPr>
          <w:p w14:paraId="50A9EC14">
            <w:pPr>
              <w:spacing w:line="336" w:lineRule="auto"/>
              <w:rPr>
                <w:rFonts w:ascii="Arial"/>
                <w:sz w:val="21"/>
              </w:rPr>
            </w:pPr>
          </w:p>
          <w:p w14:paraId="66A3CD42">
            <w:pPr>
              <w:pStyle w:val="6"/>
              <w:spacing w:before="62" w:line="183" w:lineRule="auto"/>
              <w:ind w:left="115"/>
              <w:rPr>
                <w:sz w:val="19"/>
                <w:szCs w:val="19"/>
              </w:rPr>
            </w:pPr>
            <w:r>
              <w:rPr>
                <w:sz w:val="19"/>
                <w:szCs w:val="19"/>
              </w:rPr>
              <w:t>2</w:t>
            </w:r>
          </w:p>
        </w:tc>
        <w:tc>
          <w:tcPr>
            <w:tcW w:w="579" w:type="dxa"/>
            <w:vAlign w:val="top"/>
          </w:tcPr>
          <w:p w14:paraId="312FEFD0">
            <w:pPr>
              <w:pStyle w:val="6"/>
              <w:spacing w:before="162" w:line="210" w:lineRule="auto"/>
              <w:ind w:left="90" w:right="87"/>
              <w:jc w:val="both"/>
              <w:rPr>
                <w:sz w:val="19"/>
                <w:szCs w:val="19"/>
              </w:rPr>
            </w:pPr>
            <w:r>
              <w:rPr>
                <w:spacing w:val="5"/>
                <w:sz w:val="19"/>
                <w:szCs w:val="19"/>
              </w:rPr>
              <w:t>工具</w:t>
            </w:r>
            <w:r>
              <w:rPr>
                <w:sz w:val="19"/>
                <w:szCs w:val="19"/>
              </w:rPr>
              <w:t xml:space="preserve"> </w:t>
            </w:r>
            <w:r>
              <w:rPr>
                <w:spacing w:val="4"/>
                <w:sz w:val="19"/>
                <w:szCs w:val="19"/>
              </w:rPr>
              <w:t>的准</w:t>
            </w:r>
            <w:r>
              <w:rPr>
                <w:sz w:val="19"/>
                <w:szCs w:val="19"/>
              </w:rPr>
              <w:t xml:space="preserve"> </w:t>
            </w:r>
            <w:r>
              <w:rPr>
                <w:spacing w:val="32"/>
                <w:w w:val="125"/>
                <w:sz w:val="19"/>
                <w:szCs w:val="19"/>
              </w:rPr>
              <w:t>备</w:t>
            </w:r>
          </w:p>
        </w:tc>
        <w:tc>
          <w:tcPr>
            <w:tcW w:w="588" w:type="dxa"/>
            <w:vAlign w:val="top"/>
          </w:tcPr>
          <w:p w14:paraId="4303B3F4">
            <w:pPr>
              <w:pStyle w:val="6"/>
              <w:spacing w:before="162" w:line="213" w:lineRule="auto"/>
              <w:ind w:left="90" w:hanging="78"/>
              <w:rPr>
                <w:sz w:val="19"/>
                <w:szCs w:val="19"/>
              </w:rPr>
            </w:pPr>
            <w:r>
              <w:rPr>
                <w:spacing w:val="-2"/>
                <w:sz w:val="19"/>
                <w:szCs w:val="19"/>
              </w:rPr>
              <w:t>能熟练</w:t>
            </w:r>
            <w:r>
              <w:rPr>
                <w:sz w:val="19"/>
                <w:szCs w:val="19"/>
              </w:rPr>
              <w:t xml:space="preserve"> </w:t>
            </w:r>
            <w:r>
              <w:rPr>
                <w:spacing w:val="-9"/>
                <w:sz w:val="19"/>
                <w:szCs w:val="19"/>
              </w:rPr>
              <w:t>准备</w:t>
            </w:r>
            <w:r>
              <w:rPr>
                <w:sz w:val="19"/>
                <w:szCs w:val="19"/>
              </w:rPr>
              <w:t xml:space="preserve">  </w:t>
            </w:r>
            <w:r>
              <w:rPr>
                <w:spacing w:val="-5"/>
                <w:sz w:val="19"/>
                <w:szCs w:val="19"/>
              </w:rPr>
              <w:t>用具</w:t>
            </w:r>
          </w:p>
        </w:tc>
        <w:tc>
          <w:tcPr>
            <w:tcW w:w="429" w:type="dxa"/>
            <w:vAlign w:val="top"/>
          </w:tcPr>
          <w:p w14:paraId="56E574C1">
            <w:pPr>
              <w:spacing w:line="335" w:lineRule="auto"/>
              <w:rPr>
                <w:rFonts w:ascii="Arial"/>
                <w:sz w:val="21"/>
              </w:rPr>
            </w:pPr>
          </w:p>
          <w:p w14:paraId="78086FB9">
            <w:pPr>
              <w:pStyle w:val="6"/>
              <w:spacing w:before="62" w:line="184" w:lineRule="auto"/>
              <w:ind w:left="114"/>
              <w:rPr>
                <w:sz w:val="19"/>
                <w:szCs w:val="19"/>
              </w:rPr>
            </w:pPr>
            <w:r>
              <w:rPr>
                <w:spacing w:val="-6"/>
                <w:sz w:val="19"/>
                <w:szCs w:val="19"/>
              </w:rPr>
              <w:t>15</w:t>
            </w:r>
          </w:p>
        </w:tc>
        <w:tc>
          <w:tcPr>
            <w:tcW w:w="2203" w:type="dxa"/>
            <w:vAlign w:val="top"/>
          </w:tcPr>
          <w:p w14:paraId="0BB716CB">
            <w:pPr>
              <w:pStyle w:val="6"/>
              <w:spacing w:before="41" w:line="201" w:lineRule="auto"/>
              <w:ind w:left="14" w:right="19"/>
              <w:jc w:val="both"/>
              <w:rPr>
                <w:sz w:val="19"/>
                <w:szCs w:val="19"/>
              </w:rPr>
            </w:pPr>
            <w:r>
              <w:rPr>
                <w:spacing w:val="-1"/>
                <w:sz w:val="19"/>
                <w:szCs w:val="19"/>
              </w:rPr>
              <w:t>准备好相应的工具及相关</w:t>
            </w:r>
            <w:r>
              <w:rPr>
                <w:sz w:val="19"/>
                <w:szCs w:val="19"/>
              </w:rPr>
              <w:t xml:space="preserve">  </w:t>
            </w:r>
            <w:r>
              <w:rPr>
                <w:spacing w:val="-11"/>
                <w:sz w:val="19"/>
                <w:szCs w:val="19"/>
              </w:rPr>
              <w:t>材料，用具和材料准备齐全</w:t>
            </w:r>
            <w:r>
              <w:rPr>
                <w:spacing w:val="9"/>
                <w:sz w:val="19"/>
                <w:szCs w:val="19"/>
              </w:rPr>
              <w:t xml:space="preserve"> </w:t>
            </w:r>
            <w:r>
              <w:rPr>
                <w:spacing w:val="1"/>
                <w:sz w:val="19"/>
                <w:szCs w:val="19"/>
              </w:rPr>
              <w:t>者，得15分；不全或缺项</w:t>
            </w:r>
            <w:r>
              <w:rPr>
                <w:spacing w:val="8"/>
                <w:sz w:val="19"/>
                <w:szCs w:val="19"/>
              </w:rPr>
              <w:t xml:space="preserve"> </w:t>
            </w:r>
            <w:r>
              <w:rPr>
                <w:spacing w:val="-1"/>
                <w:sz w:val="19"/>
                <w:szCs w:val="19"/>
              </w:rPr>
              <w:t>者酌情扣分。</w:t>
            </w:r>
          </w:p>
        </w:tc>
      </w:tr>
      <w:tr w14:paraId="7C354B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738" w:hRule="atLeast"/>
        </w:trPr>
        <w:tc>
          <w:tcPr>
            <w:tcW w:w="354" w:type="dxa"/>
            <w:vAlign w:val="top"/>
          </w:tcPr>
          <w:p w14:paraId="03BFFFA6">
            <w:pPr>
              <w:spacing w:line="248" w:lineRule="auto"/>
              <w:rPr>
                <w:rFonts w:ascii="Arial"/>
                <w:sz w:val="21"/>
              </w:rPr>
            </w:pPr>
          </w:p>
          <w:p w14:paraId="7ABC33CA">
            <w:pPr>
              <w:spacing w:line="248" w:lineRule="auto"/>
              <w:rPr>
                <w:rFonts w:ascii="Arial"/>
                <w:sz w:val="21"/>
              </w:rPr>
            </w:pPr>
          </w:p>
          <w:p w14:paraId="6AA8D436">
            <w:pPr>
              <w:spacing w:line="249" w:lineRule="auto"/>
              <w:rPr>
                <w:rFonts w:ascii="Arial"/>
                <w:sz w:val="21"/>
              </w:rPr>
            </w:pPr>
          </w:p>
          <w:p w14:paraId="413DFE01">
            <w:pPr>
              <w:spacing w:line="249" w:lineRule="auto"/>
              <w:rPr>
                <w:rFonts w:ascii="Arial"/>
                <w:sz w:val="21"/>
              </w:rPr>
            </w:pPr>
          </w:p>
          <w:p w14:paraId="1EDD551A">
            <w:pPr>
              <w:pStyle w:val="6"/>
              <w:spacing w:before="61" w:line="183" w:lineRule="auto"/>
              <w:ind w:left="115"/>
              <w:rPr>
                <w:sz w:val="19"/>
                <w:szCs w:val="19"/>
              </w:rPr>
            </w:pPr>
            <w:r>
              <w:rPr>
                <w:sz w:val="19"/>
                <w:szCs w:val="19"/>
              </w:rPr>
              <w:t>3</w:t>
            </w:r>
          </w:p>
        </w:tc>
        <w:tc>
          <w:tcPr>
            <w:tcW w:w="579" w:type="dxa"/>
            <w:vAlign w:val="top"/>
          </w:tcPr>
          <w:p w14:paraId="4785CFFE">
            <w:pPr>
              <w:spacing w:line="313" w:lineRule="auto"/>
              <w:rPr>
                <w:rFonts w:ascii="Arial"/>
                <w:sz w:val="21"/>
              </w:rPr>
            </w:pPr>
          </w:p>
          <w:p w14:paraId="5E19ED52">
            <w:pPr>
              <w:spacing w:line="314" w:lineRule="auto"/>
              <w:rPr>
                <w:rFonts w:ascii="Arial"/>
                <w:sz w:val="21"/>
              </w:rPr>
            </w:pPr>
          </w:p>
          <w:p w14:paraId="0CBB7734">
            <w:pPr>
              <w:pStyle w:val="6"/>
              <w:spacing w:before="62" w:line="216" w:lineRule="auto"/>
              <w:ind w:left="90" w:right="81"/>
              <w:jc w:val="both"/>
              <w:rPr>
                <w:sz w:val="19"/>
                <w:szCs w:val="19"/>
              </w:rPr>
            </w:pPr>
            <w:r>
              <w:rPr>
                <w:spacing w:val="5"/>
                <w:sz w:val="19"/>
                <w:szCs w:val="19"/>
              </w:rPr>
              <w:t>消毒</w:t>
            </w:r>
            <w:r>
              <w:rPr>
                <w:sz w:val="19"/>
                <w:szCs w:val="19"/>
              </w:rPr>
              <w:t xml:space="preserve"> </w:t>
            </w:r>
            <w:r>
              <w:rPr>
                <w:spacing w:val="7"/>
                <w:sz w:val="19"/>
                <w:szCs w:val="19"/>
              </w:rPr>
              <w:t>液的</w:t>
            </w:r>
            <w:r>
              <w:rPr>
                <w:sz w:val="19"/>
                <w:szCs w:val="19"/>
              </w:rPr>
              <w:t xml:space="preserve"> </w:t>
            </w:r>
            <w:r>
              <w:rPr>
                <w:spacing w:val="8"/>
                <w:sz w:val="19"/>
                <w:szCs w:val="19"/>
              </w:rPr>
              <w:t>配制</w:t>
            </w:r>
          </w:p>
        </w:tc>
        <w:tc>
          <w:tcPr>
            <w:tcW w:w="588" w:type="dxa"/>
            <w:vAlign w:val="top"/>
          </w:tcPr>
          <w:p w14:paraId="2B71E278">
            <w:pPr>
              <w:spacing w:line="314" w:lineRule="auto"/>
              <w:rPr>
                <w:rFonts w:ascii="Arial"/>
                <w:sz w:val="21"/>
              </w:rPr>
            </w:pPr>
          </w:p>
          <w:p w14:paraId="60FFF0D6">
            <w:pPr>
              <w:spacing w:line="314" w:lineRule="auto"/>
              <w:rPr>
                <w:rFonts w:ascii="Arial"/>
                <w:sz w:val="21"/>
              </w:rPr>
            </w:pPr>
          </w:p>
          <w:p w14:paraId="2EA6719E">
            <w:pPr>
              <w:pStyle w:val="6"/>
              <w:spacing w:before="62" w:line="215" w:lineRule="auto"/>
              <w:ind w:left="12"/>
              <w:jc w:val="both"/>
              <w:rPr>
                <w:sz w:val="19"/>
                <w:szCs w:val="19"/>
              </w:rPr>
            </w:pPr>
            <w:r>
              <w:rPr>
                <w:spacing w:val="-3"/>
                <w:sz w:val="19"/>
                <w:szCs w:val="19"/>
              </w:rPr>
              <w:t>能正确</w:t>
            </w:r>
            <w:r>
              <w:rPr>
                <w:sz w:val="19"/>
                <w:szCs w:val="19"/>
              </w:rPr>
              <w:t xml:space="preserve"> </w:t>
            </w:r>
            <w:r>
              <w:rPr>
                <w:spacing w:val="-2"/>
                <w:sz w:val="19"/>
                <w:szCs w:val="19"/>
              </w:rPr>
              <w:t>配制消</w:t>
            </w:r>
            <w:r>
              <w:rPr>
                <w:sz w:val="19"/>
                <w:szCs w:val="19"/>
              </w:rPr>
              <w:t xml:space="preserve"> </w:t>
            </w:r>
            <w:r>
              <w:rPr>
                <w:spacing w:val="26"/>
                <w:sz w:val="19"/>
                <w:szCs w:val="19"/>
              </w:rPr>
              <w:t>毒液</w:t>
            </w:r>
          </w:p>
        </w:tc>
        <w:tc>
          <w:tcPr>
            <w:tcW w:w="429" w:type="dxa"/>
            <w:vAlign w:val="top"/>
          </w:tcPr>
          <w:p w14:paraId="66B0D14A">
            <w:pPr>
              <w:spacing w:line="255" w:lineRule="auto"/>
              <w:rPr>
                <w:rFonts w:ascii="Arial"/>
                <w:sz w:val="21"/>
              </w:rPr>
            </w:pPr>
          </w:p>
          <w:p w14:paraId="1AD23ED1">
            <w:pPr>
              <w:spacing w:line="256" w:lineRule="auto"/>
              <w:rPr>
                <w:rFonts w:ascii="Arial"/>
                <w:sz w:val="21"/>
              </w:rPr>
            </w:pPr>
          </w:p>
          <w:p w14:paraId="75279C72">
            <w:pPr>
              <w:spacing w:line="256" w:lineRule="auto"/>
              <w:rPr>
                <w:rFonts w:ascii="Arial"/>
                <w:sz w:val="21"/>
              </w:rPr>
            </w:pPr>
          </w:p>
          <w:p w14:paraId="0AF844C9">
            <w:pPr>
              <w:spacing w:line="256" w:lineRule="auto"/>
              <w:rPr>
                <w:rFonts w:ascii="Arial"/>
                <w:sz w:val="21"/>
              </w:rPr>
            </w:pPr>
          </w:p>
          <w:p w14:paraId="19A0A3A4">
            <w:pPr>
              <w:pStyle w:val="6"/>
              <w:spacing w:before="62" w:line="183" w:lineRule="auto"/>
              <w:ind w:left="114"/>
              <w:rPr>
                <w:sz w:val="19"/>
                <w:szCs w:val="19"/>
              </w:rPr>
            </w:pPr>
            <w:r>
              <w:rPr>
                <w:spacing w:val="-2"/>
                <w:sz w:val="19"/>
                <w:szCs w:val="19"/>
              </w:rPr>
              <w:t>40</w:t>
            </w:r>
          </w:p>
        </w:tc>
        <w:tc>
          <w:tcPr>
            <w:tcW w:w="2203" w:type="dxa"/>
            <w:vAlign w:val="top"/>
          </w:tcPr>
          <w:p w14:paraId="61D9D483">
            <w:pPr>
              <w:pStyle w:val="6"/>
              <w:spacing w:before="31" w:line="215" w:lineRule="auto"/>
              <w:ind w:left="14" w:right="2" w:firstLine="20"/>
              <w:rPr>
                <w:sz w:val="19"/>
                <w:szCs w:val="19"/>
              </w:rPr>
            </w:pPr>
            <w:r>
              <w:rPr>
                <w:spacing w:val="1"/>
                <w:sz w:val="19"/>
                <w:szCs w:val="19"/>
              </w:rPr>
              <w:t>用所提供的消毒药品或消</w:t>
            </w:r>
            <w:r>
              <w:rPr>
                <w:spacing w:val="6"/>
                <w:sz w:val="19"/>
                <w:szCs w:val="19"/>
              </w:rPr>
              <w:t xml:space="preserve"> </w:t>
            </w:r>
            <w:r>
              <w:rPr>
                <w:spacing w:val="1"/>
                <w:sz w:val="19"/>
                <w:szCs w:val="19"/>
              </w:rPr>
              <w:t>毒原液制备一定浓度的消</w:t>
            </w:r>
            <w:r>
              <w:rPr>
                <w:spacing w:val="6"/>
                <w:sz w:val="19"/>
                <w:szCs w:val="19"/>
              </w:rPr>
              <w:t xml:space="preserve"> </w:t>
            </w:r>
            <w:r>
              <w:rPr>
                <w:spacing w:val="35"/>
                <w:sz w:val="19"/>
                <w:szCs w:val="19"/>
              </w:rPr>
              <w:t>毒液(0</w:t>
            </w:r>
            <w:r>
              <w:rPr>
                <w:spacing w:val="-39"/>
                <w:sz w:val="19"/>
                <w:szCs w:val="19"/>
              </w:rPr>
              <w:t xml:space="preserve"> </w:t>
            </w:r>
            <w:r>
              <w:rPr>
                <w:spacing w:val="35"/>
                <w:sz w:val="19"/>
                <w:szCs w:val="19"/>
              </w:rPr>
              <w:t>.</w:t>
            </w:r>
            <w:r>
              <w:rPr>
                <w:spacing w:val="-37"/>
                <w:sz w:val="19"/>
                <w:szCs w:val="19"/>
              </w:rPr>
              <w:t xml:space="preserve"> </w:t>
            </w:r>
            <w:r>
              <w:rPr>
                <w:spacing w:val="35"/>
                <w:sz w:val="19"/>
                <w:szCs w:val="19"/>
              </w:rPr>
              <w:t>1%的</w:t>
            </w:r>
            <w:r>
              <w:rPr>
                <w:sz w:val="19"/>
                <w:szCs w:val="19"/>
              </w:rPr>
              <w:t>KMnO</w:t>
            </w:r>
            <w:r>
              <w:rPr>
                <w:spacing w:val="35"/>
                <w:sz w:val="19"/>
                <w:szCs w:val="19"/>
              </w:rPr>
              <w:t>4和</w:t>
            </w:r>
            <w:r>
              <w:rPr>
                <w:sz w:val="19"/>
                <w:szCs w:val="19"/>
              </w:rPr>
              <w:t xml:space="preserve"> </w:t>
            </w:r>
            <w:r>
              <w:rPr>
                <w:spacing w:val="-1"/>
                <w:sz w:val="19"/>
                <w:szCs w:val="19"/>
              </w:rPr>
              <w:t>75%酒精)。计算不正确，</w:t>
            </w:r>
          </w:p>
          <w:p w14:paraId="0E801CDC">
            <w:pPr>
              <w:pStyle w:val="6"/>
              <w:spacing w:before="15" w:line="204" w:lineRule="auto"/>
              <w:ind w:left="14" w:right="85"/>
            </w:pPr>
            <w:r>
              <w:rPr>
                <w:spacing w:val="-1"/>
                <w:sz w:val="19"/>
                <w:szCs w:val="19"/>
              </w:rPr>
              <w:t>称量药品或量取原液不准</w:t>
            </w:r>
            <w:r>
              <w:rPr>
                <w:spacing w:val="3"/>
                <w:sz w:val="19"/>
                <w:szCs w:val="19"/>
              </w:rPr>
              <w:t xml:space="preserve"> </w:t>
            </w:r>
            <w:r>
              <w:rPr>
                <w:sz w:val="19"/>
                <w:szCs w:val="19"/>
              </w:rPr>
              <w:t>确，扣25分；未根据要求</w:t>
            </w:r>
            <w:r>
              <w:rPr>
                <w:spacing w:val="1"/>
                <w:sz w:val="19"/>
                <w:szCs w:val="19"/>
              </w:rPr>
              <w:t xml:space="preserve"> </w:t>
            </w:r>
            <w:r>
              <w:rPr>
                <w:spacing w:val="17"/>
              </w:rPr>
              <w:t>配制指定容量及浓度消毒</w:t>
            </w:r>
            <w:r>
              <w:rPr>
                <w:spacing w:val="1"/>
              </w:rPr>
              <w:t xml:space="preserve"> </w:t>
            </w:r>
            <w:r>
              <w:rPr>
                <w:spacing w:val="12"/>
              </w:rPr>
              <w:t>液，扣15分。</w:t>
            </w:r>
          </w:p>
        </w:tc>
      </w:tr>
      <w:tr w14:paraId="3C4EFB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08" w:hRule="atLeast"/>
        </w:trPr>
        <w:tc>
          <w:tcPr>
            <w:tcW w:w="354" w:type="dxa"/>
            <w:vAlign w:val="top"/>
          </w:tcPr>
          <w:p w14:paraId="245B3805">
            <w:pPr>
              <w:spacing w:line="449" w:lineRule="auto"/>
              <w:rPr>
                <w:rFonts w:ascii="Arial"/>
                <w:sz w:val="21"/>
              </w:rPr>
            </w:pPr>
          </w:p>
          <w:p w14:paraId="2DB52882">
            <w:pPr>
              <w:pStyle w:val="6"/>
              <w:spacing w:before="62" w:line="183" w:lineRule="auto"/>
              <w:ind w:left="115"/>
              <w:rPr>
                <w:sz w:val="19"/>
                <w:szCs w:val="19"/>
              </w:rPr>
            </w:pPr>
            <w:r>
              <w:rPr>
                <w:sz w:val="19"/>
                <w:szCs w:val="19"/>
              </w:rPr>
              <w:t>4</w:t>
            </w:r>
          </w:p>
        </w:tc>
        <w:tc>
          <w:tcPr>
            <w:tcW w:w="579" w:type="dxa"/>
            <w:vAlign w:val="top"/>
          </w:tcPr>
          <w:p w14:paraId="6FC061AF">
            <w:pPr>
              <w:pStyle w:val="6"/>
              <w:spacing w:before="285" w:line="209" w:lineRule="auto"/>
              <w:ind w:left="11" w:firstLine="69"/>
              <w:rPr>
                <w:sz w:val="19"/>
                <w:szCs w:val="19"/>
              </w:rPr>
            </w:pPr>
            <w:r>
              <w:rPr>
                <w:spacing w:val="-17"/>
                <w:w w:val="93"/>
                <w:sz w:val="19"/>
                <w:szCs w:val="19"/>
              </w:rPr>
              <w:t>用具</w:t>
            </w:r>
            <w:r>
              <w:rPr>
                <w:sz w:val="19"/>
                <w:szCs w:val="19"/>
              </w:rPr>
              <w:t xml:space="preserve">  </w:t>
            </w:r>
            <w:r>
              <w:rPr>
                <w:spacing w:val="-19"/>
                <w:sz w:val="19"/>
                <w:szCs w:val="19"/>
              </w:rPr>
              <w:t>清洗</w:t>
            </w:r>
            <w:r>
              <w:rPr>
                <w:spacing w:val="-51"/>
                <w:sz w:val="19"/>
                <w:szCs w:val="19"/>
              </w:rPr>
              <w:t xml:space="preserve"> </w:t>
            </w:r>
            <w:r>
              <w:rPr>
                <w:spacing w:val="-19"/>
                <w:sz w:val="19"/>
                <w:szCs w:val="19"/>
              </w:rPr>
              <w:t>、</w:t>
            </w:r>
            <w:r>
              <w:rPr>
                <w:sz w:val="19"/>
                <w:szCs w:val="19"/>
              </w:rPr>
              <w:t xml:space="preserve"> </w:t>
            </w:r>
            <w:r>
              <w:rPr>
                <w:spacing w:val="12"/>
                <w:sz w:val="19"/>
                <w:szCs w:val="19"/>
              </w:rPr>
              <w:t>归位</w:t>
            </w:r>
          </w:p>
        </w:tc>
        <w:tc>
          <w:tcPr>
            <w:tcW w:w="588" w:type="dxa"/>
            <w:vAlign w:val="top"/>
          </w:tcPr>
          <w:p w14:paraId="6C366DE1">
            <w:pPr>
              <w:pStyle w:val="6"/>
              <w:spacing w:before="165" w:line="210" w:lineRule="auto"/>
              <w:ind w:left="88" w:hanging="76"/>
              <w:rPr>
                <w:sz w:val="19"/>
                <w:szCs w:val="19"/>
              </w:rPr>
            </w:pPr>
            <w:r>
              <w:rPr>
                <w:spacing w:val="-2"/>
                <w:sz w:val="19"/>
                <w:szCs w:val="19"/>
              </w:rPr>
              <w:t>能将用</w:t>
            </w:r>
            <w:r>
              <w:rPr>
                <w:sz w:val="19"/>
                <w:szCs w:val="19"/>
              </w:rPr>
              <w:t xml:space="preserve"> </w:t>
            </w:r>
            <w:r>
              <w:rPr>
                <w:spacing w:val="-5"/>
                <w:sz w:val="19"/>
                <w:szCs w:val="19"/>
              </w:rPr>
              <w:t>具清</w:t>
            </w:r>
            <w:r>
              <w:rPr>
                <w:sz w:val="19"/>
                <w:szCs w:val="19"/>
              </w:rPr>
              <w:t xml:space="preserve">  </w:t>
            </w:r>
            <w:r>
              <w:rPr>
                <w:spacing w:val="-17"/>
                <w:sz w:val="19"/>
                <w:szCs w:val="19"/>
              </w:rPr>
              <w:t>洗</w:t>
            </w:r>
            <w:r>
              <w:rPr>
                <w:spacing w:val="48"/>
                <w:sz w:val="19"/>
                <w:szCs w:val="19"/>
              </w:rPr>
              <w:t xml:space="preserve"> </w:t>
            </w:r>
            <w:r>
              <w:rPr>
                <w:spacing w:val="-17"/>
                <w:sz w:val="19"/>
                <w:szCs w:val="19"/>
              </w:rPr>
              <w:t>、</w:t>
            </w:r>
            <w:r>
              <w:rPr>
                <w:sz w:val="19"/>
                <w:szCs w:val="19"/>
              </w:rPr>
              <w:t xml:space="preserve"> </w:t>
            </w:r>
            <w:r>
              <w:rPr>
                <w:spacing w:val="-3"/>
                <w:sz w:val="19"/>
                <w:szCs w:val="19"/>
              </w:rPr>
              <w:t>归位</w:t>
            </w:r>
          </w:p>
        </w:tc>
        <w:tc>
          <w:tcPr>
            <w:tcW w:w="429" w:type="dxa"/>
            <w:vAlign w:val="top"/>
          </w:tcPr>
          <w:p w14:paraId="0D2A113E">
            <w:pPr>
              <w:spacing w:line="448" w:lineRule="auto"/>
              <w:rPr>
                <w:rFonts w:ascii="Arial"/>
                <w:sz w:val="21"/>
              </w:rPr>
            </w:pPr>
          </w:p>
          <w:p w14:paraId="1E715DE9">
            <w:pPr>
              <w:pStyle w:val="6"/>
              <w:spacing w:before="62" w:line="184" w:lineRule="auto"/>
              <w:ind w:left="114"/>
              <w:rPr>
                <w:sz w:val="19"/>
                <w:szCs w:val="19"/>
              </w:rPr>
            </w:pPr>
            <w:r>
              <w:rPr>
                <w:spacing w:val="-6"/>
                <w:sz w:val="19"/>
                <w:szCs w:val="19"/>
              </w:rPr>
              <w:t>15</w:t>
            </w:r>
          </w:p>
        </w:tc>
        <w:tc>
          <w:tcPr>
            <w:tcW w:w="2203" w:type="dxa"/>
            <w:vAlign w:val="top"/>
          </w:tcPr>
          <w:p w14:paraId="0F5F66C1">
            <w:pPr>
              <w:pStyle w:val="6"/>
              <w:spacing w:before="53" w:line="211" w:lineRule="auto"/>
              <w:ind w:left="14" w:right="94"/>
              <w:jc w:val="both"/>
              <w:rPr>
                <w:sz w:val="19"/>
                <w:szCs w:val="19"/>
              </w:rPr>
            </w:pPr>
            <w:r>
              <w:rPr>
                <w:spacing w:val="-1"/>
                <w:sz w:val="19"/>
                <w:szCs w:val="19"/>
              </w:rPr>
              <w:t>任务完成后，材料清洗不</w:t>
            </w:r>
            <w:r>
              <w:rPr>
                <w:spacing w:val="3"/>
                <w:sz w:val="19"/>
                <w:szCs w:val="19"/>
              </w:rPr>
              <w:t xml:space="preserve"> </w:t>
            </w:r>
            <w:r>
              <w:rPr>
                <w:sz w:val="19"/>
                <w:szCs w:val="19"/>
              </w:rPr>
              <w:t>干净，扣5分；用具归位</w:t>
            </w:r>
            <w:r>
              <w:rPr>
                <w:spacing w:val="1"/>
                <w:sz w:val="19"/>
                <w:szCs w:val="19"/>
              </w:rPr>
              <w:t xml:space="preserve">  </w:t>
            </w:r>
            <w:r>
              <w:rPr>
                <w:sz w:val="19"/>
                <w:szCs w:val="19"/>
              </w:rPr>
              <w:t>不</w:t>
            </w:r>
          </w:p>
          <w:p w14:paraId="48ED1665">
            <w:pPr>
              <w:pStyle w:val="6"/>
              <w:spacing w:line="191" w:lineRule="auto"/>
              <w:ind w:left="14" w:right="191"/>
              <w:rPr>
                <w:sz w:val="19"/>
                <w:szCs w:val="19"/>
              </w:rPr>
            </w:pPr>
            <w:r>
              <w:rPr>
                <w:spacing w:val="-1"/>
                <w:sz w:val="19"/>
                <w:szCs w:val="19"/>
              </w:rPr>
              <w:t>整齐，扣5分；操作台清</w:t>
            </w:r>
            <w:r>
              <w:rPr>
                <w:spacing w:val="1"/>
                <w:sz w:val="19"/>
                <w:szCs w:val="19"/>
              </w:rPr>
              <w:t xml:space="preserve"> </w:t>
            </w:r>
            <w:r>
              <w:rPr>
                <w:sz w:val="19"/>
                <w:szCs w:val="19"/>
              </w:rPr>
              <w:t>理不干净，扣5分。</w:t>
            </w:r>
          </w:p>
        </w:tc>
      </w:tr>
      <w:tr w14:paraId="60296C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4" w:hRule="atLeast"/>
        </w:trPr>
        <w:tc>
          <w:tcPr>
            <w:tcW w:w="354" w:type="dxa"/>
            <w:textDirection w:val="tbRlV"/>
            <w:vAlign w:val="top"/>
          </w:tcPr>
          <w:p w14:paraId="670AC38A">
            <w:pPr>
              <w:pStyle w:val="6"/>
              <w:spacing w:before="86" w:line="202" w:lineRule="auto"/>
              <w:ind w:left="19"/>
              <w:rPr>
                <w:sz w:val="19"/>
                <w:szCs w:val="19"/>
              </w:rPr>
            </w:pPr>
            <w:r>
              <w:rPr>
                <w:sz w:val="19"/>
                <w:szCs w:val="19"/>
              </w:rPr>
              <w:t>合计</w:t>
            </w:r>
          </w:p>
        </w:tc>
        <w:tc>
          <w:tcPr>
            <w:tcW w:w="579" w:type="dxa"/>
            <w:vAlign w:val="top"/>
          </w:tcPr>
          <w:p w14:paraId="402F9616">
            <w:pPr>
              <w:rPr>
                <w:rFonts w:ascii="Arial"/>
                <w:sz w:val="21"/>
              </w:rPr>
            </w:pPr>
          </w:p>
        </w:tc>
        <w:tc>
          <w:tcPr>
            <w:tcW w:w="588" w:type="dxa"/>
            <w:vAlign w:val="top"/>
          </w:tcPr>
          <w:p w14:paraId="5E27B17D">
            <w:pPr>
              <w:rPr>
                <w:rFonts w:ascii="Arial"/>
                <w:sz w:val="21"/>
              </w:rPr>
            </w:pPr>
          </w:p>
        </w:tc>
        <w:tc>
          <w:tcPr>
            <w:tcW w:w="429" w:type="dxa"/>
            <w:vAlign w:val="top"/>
          </w:tcPr>
          <w:p w14:paraId="4BED74CC">
            <w:pPr>
              <w:pStyle w:val="6"/>
              <w:spacing w:before="174" w:line="184" w:lineRule="auto"/>
              <w:ind w:left="64"/>
              <w:rPr>
                <w:sz w:val="19"/>
                <w:szCs w:val="19"/>
              </w:rPr>
            </w:pPr>
            <w:r>
              <w:rPr>
                <w:spacing w:val="-5"/>
                <w:sz w:val="19"/>
                <w:szCs w:val="19"/>
              </w:rPr>
              <w:t>100</w:t>
            </w:r>
          </w:p>
        </w:tc>
        <w:tc>
          <w:tcPr>
            <w:tcW w:w="2203" w:type="dxa"/>
            <w:vAlign w:val="top"/>
          </w:tcPr>
          <w:p w14:paraId="53D82808">
            <w:pPr>
              <w:rPr>
                <w:rFonts w:ascii="Arial"/>
                <w:sz w:val="21"/>
              </w:rPr>
            </w:pPr>
          </w:p>
        </w:tc>
      </w:tr>
    </w:tbl>
    <w:p w14:paraId="677D68DC">
      <w:pPr>
        <w:pStyle w:val="2"/>
        <w:spacing w:line="273" w:lineRule="auto"/>
      </w:pPr>
    </w:p>
    <w:p w14:paraId="7AFF27D1">
      <w:pPr>
        <w:spacing w:before="74" w:line="222" w:lineRule="auto"/>
        <w:ind w:left="243"/>
        <w:rPr>
          <w:rFonts w:ascii="黑体" w:hAnsi="黑体" w:eastAsia="黑体" w:cs="黑体"/>
          <w:sz w:val="23"/>
          <w:szCs w:val="23"/>
        </w:rPr>
      </w:pPr>
      <w:r>
        <w:rPr>
          <w:rFonts w:ascii="黑体" w:hAnsi="黑体" w:eastAsia="黑体" w:cs="黑体"/>
          <w:b/>
          <w:bCs/>
          <w:spacing w:val="-4"/>
          <w:sz w:val="23"/>
          <w:szCs w:val="23"/>
        </w:rPr>
        <w:t>项目四</w:t>
      </w:r>
      <w:r>
        <w:rPr>
          <w:rFonts w:ascii="黑体" w:hAnsi="黑体" w:eastAsia="黑体" w:cs="黑体"/>
          <w:spacing w:val="-4"/>
          <w:sz w:val="23"/>
          <w:szCs w:val="23"/>
        </w:rPr>
        <w:t xml:space="preserve">  </w:t>
      </w:r>
      <w:r>
        <w:rPr>
          <w:rFonts w:ascii="黑体" w:hAnsi="黑体" w:eastAsia="黑体" w:cs="黑体"/>
          <w:b/>
          <w:bCs/>
          <w:spacing w:val="-4"/>
          <w:sz w:val="23"/>
          <w:szCs w:val="23"/>
        </w:rPr>
        <w:t>牛前、后肢骨骼和关节识别</w:t>
      </w:r>
    </w:p>
    <w:p w14:paraId="5F0475A3">
      <w:pPr>
        <w:spacing w:before="303" w:line="221" w:lineRule="auto"/>
        <w:ind w:left="3"/>
        <w:rPr>
          <w:rFonts w:ascii="黑体" w:hAnsi="黑体" w:eastAsia="黑体" w:cs="黑体"/>
          <w:sz w:val="23"/>
          <w:szCs w:val="23"/>
        </w:rPr>
      </w:pPr>
      <w:r>
        <w:rPr>
          <w:rFonts w:ascii="黑体" w:hAnsi="黑体" w:eastAsia="黑体" w:cs="黑体"/>
          <w:b/>
          <w:bCs/>
          <w:spacing w:val="-7"/>
          <w:sz w:val="23"/>
          <w:szCs w:val="23"/>
        </w:rPr>
        <w:t>一、分值与测试时间</w:t>
      </w:r>
    </w:p>
    <w:p w14:paraId="024D7FBB">
      <w:pPr>
        <w:spacing w:before="97" w:line="219" w:lineRule="auto"/>
        <w:ind w:left="359"/>
        <w:rPr>
          <w:rFonts w:ascii="宋体" w:hAnsi="宋体" w:eastAsia="宋体" w:cs="宋体"/>
          <w:sz w:val="16"/>
          <w:szCs w:val="16"/>
        </w:rPr>
      </w:pPr>
      <w:r>
        <w:rPr>
          <w:rFonts w:ascii="宋体" w:hAnsi="宋体" w:eastAsia="宋体" w:cs="宋体"/>
          <w:spacing w:val="16"/>
          <w:sz w:val="16"/>
          <w:szCs w:val="16"/>
        </w:rPr>
        <w:t>分值为100分；测试时间为30分钟。</w:t>
      </w:r>
    </w:p>
    <w:p w14:paraId="16751885">
      <w:pPr>
        <w:spacing w:before="90" w:line="222" w:lineRule="auto"/>
        <w:ind w:left="3"/>
        <w:rPr>
          <w:rFonts w:ascii="黑体" w:hAnsi="黑体" w:eastAsia="黑体" w:cs="黑体"/>
          <w:sz w:val="23"/>
          <w:szCs w:val="23"/>
        </w:rPr>
      </w:pPr>
      <w:r>
        <w:rPr>
          <w:rFonts w:ascii="黑体" w:hAnsi="黑体" w:eastAsia="黑体" w:cs="黑体"/>
          <w:b/>
          <w:bCs/>
          <w:spacing w:val="-7"/>
          <w:sz w:val="23"/>
          <w:szCs w:val="23"/>
        </w:rPr>
        <w:t>二、技能要求</w:t>
      </w:r>
    </w:p>
    <w:p w14:paraId="6DD76674">
      <w:pPr>
        <w:spacing w:before="93" w:line="328" w:lineRule="auto"/>
        <w:ind w:right="73" w:firstLine="359"/>
        <w:rPr>
          <w:rFonts w:ascii="宋体" w:hAnsi="宋体" w:eastAsia="宋体" w:cs="宋体"/>
          <w:sz w:val="16"/>
          <w:szCs w:val="16"/>
        </w:rPr>
      </w:pPr>
      <w:r>
        <w:rPr>
          <w:rFonts w:ascii="宋体" w:hAnsi="宋体" w:eastAsia="宋体" w:cs="宋体"/>
          <w:spacing w:val="10"/>
          <w:sz w:val="16"/>
          <w:szCs w:val="16"/>
        </w:rPr>
        <w:t>根据所提供的牛前、后肢完整的骨骼标本或解剖挂</w:t>
      </w:r>
      <w:r>
        <w:rPr>
          <w:rFonts w:ascii="宋体" w:hAnsi="宋体" w:eastAsia="宋体" w:cs="宋体"/>
          <w:spacing w:val="15"/>
          <w:sz w:val="16"/>
          <w:szCs w:val="16"/>
        </w:rPr>
        <w:t xml:space="preserve"> </w:t>
      </w:r>
      <w:r>
        <w:rPr>
          <w:rFonts w:ascii="宋体" w:hAnsi="宋体" w:eastAsia="宋体" w:cs="宋体"/>
          <w:spacing w:val="8"/>
          <w:sz w:val="16"/>
          <w:szCs w:val="16"/>
        </w:rPr>
        <w:t>图，正确识别各骨骼与关节，同时识别骨的类型。</w:t>
      </w:r>
    </w:p>
    <w:p w14:paraId="4D6227FD">
      <w:pPr>
        <w:spacing w:before="1" w:line="221" w:lineRule="auto"/>
        <w:ind w:left="3"/>
        <w:rPr>
          <w:rFonts w:ascii="黑体" w:hAnsi="黑体" w:eastAsia="黑体" w:cs="黑体"/>
          <w:sz w:val="23"/>
          <w:szCs w:val="23"/>
        </w:rPr>
      </w:pPr>
      <w:r>
        <w:rPr>
          <w:rFonts w:ascii="黑体" w:hAnsi="黑体" w:eastAsia="黑体" w:cs="黑体"/>
          <w:b/>
          <w:bCs/>
          <w:spacing w:val="-7"/>
          <w:sz w:val="23"/>
          <w:szCs w:val="23"/>
        </w:rPr>
        <w:t>三、仪器与材料</w:t>
      </w:r>
    </w:p>
    <w:p w14:paraId="1C5821F7">
      <w:pPr>
        <w:spacing w:before="95" w:line="321" w:lineRule="auto"/>
        <w:ind w:right="73" w:firstLine="359"/>
        <w:rPr>
          <w:rFonts w:ascii="宋体" w:hAnsi="宋体" w:eastAsia="宋体" w:cs="宋体"/>
          <w:sz w:val="16"/>
          <w:szCs w:val="16"/>
        </w:rPr>
      </w:pPr>
      <w:r>
        <w:rPr>
          <w:rFonts w:ascii="宋体" w:hAnsi="宋体" w:eastAsia="宋体" w:cs="宋体"/>
          <w:spacing w:val="14"/>
          <w:sz w:val="16"/>
          <w:szCs w:val="16"/>
        </w:rPr>
        <w:t>1、牛前、后肢完整的骨骼标本或解剖挂图，且标</w:t>
      </w:r>
      <w:r>
        <w:rPr>
          <w:rFonts w:ascii="宋体" w:hAnsi="宋体" w:eastAsia="宋体" w:cs="宋体"/>
          <w:spacing w:val="7"/>
          <w:sz w:val="16"/>
          <w:szCs w:val="16"/>
        </w:rPr>
        <w:t xml:space="preserve"> </w:t>
      </w:r>
      <w:r>
        <w:rPr>
          <w:rFonts w:ascii="宋体" w:hAnsi="宋体" w:eastAsia="宋体" w:cs="宋体"/>
          <w:spacing w:val="26"/>
          <w:sz w:val="16"/>
          <w:szCs w:val="16"/>
        </w:rPr>
        <w:t>本或挂图中要含有以下骨骼(16个)和关节(9个):</w:t>
      </w:r>
    </w:p>
    <w:p w14:paraId="1DCD1171">
      <w:pPr>
        <w:spacing w:before="33" w:line="219" w:lineRule="auto"/>
        <w:jc w:val="right"/>
        <w:rPr>
          <w:rFonts w:ascii="宋体" w:hAnsi="宋体" w:eastAsia="宋体" w:cs="宋体"/>
          <w:sz w:val="16"/>
          <w:szCs w:val="16"/>
        </w:rPr>
      </w:pPr>
      <w:r>
        <w:rPr>
          <w:rFonts w:ascii="宋体" w:hAnsi="宋体" w:eastAsia="宋体" w:cs="宋体"/>
          <w:spacing w:val="-7"/>
          <w:sz w:val="16"/>
          <w:szCs w:val="16"/>
        </w:rPr>
        <w:t>前肢骨骼：肩胛骨、肱骨、前臂骨、腕骨、掌骨、指骨。</w:t>
      </w:r>
    </w:p>
    <w:p w14:paraId="38E07CFB">
      <w:pPr>
        <w:spacing w:before="91" w:line="333" w:lineRule="auto"/>
        <w:ind w:right="52" w:firstLine="359"/>
        <w:rPr>
          <w:rFonts w:ascii="宋体" w:hAnsi="宋体" w:eastAsia="宋体" w:cs="宋体"/>
          <w:sz w:val="16"/>
          <w:szCs w:val="16"/>
        </w:rPr>
      </w:pPr>
      <w:r>
        <w:rPr>
          <w:rFonts w:ascii="宋体" w:hAnsi="宋体" w:eastAsia="宋体" w:cs="宋体"/>
          <w:spacing w:val="19"/>
          <w:sz w:val="16"/>
          <w:szCs w:val="16"/>
        </w:rPr>
        <w:t>后肢骨骼：髋骨(骼骨、坐骨、耻骨)、股骨</w:t>
      </w:r>
      <w:r>
        <w:rPr>
          <w:rFonts w:ascii="宋体" w:hAnsi="宋体" w:eastAsia="宋体" w:cs="宋体"/>
          <w:spacing w:val="18"/>
          <w:sz w:val="16"/>
          <w:szCs w:val="16"/>
        </w:rPr>
        <w:t>、膝</w:t>
      </w:r>
      <w:r>
        <w:rPr>
          <w:rFonts w:ascii="宋体" w:hAnsi="宋体" w:eastAsia="宋体" w:cs="宋体"/>
          <w:sz w:val="16"/>
          <w:szCs w:val="16"/>
        </w:rPr>
        <w:t xml:space="preserve"> </w:t>
      </w:r>
      <w:r>
        <w:rPr>
          <w:rFonts w:ascii="宋体" w:hAnsi="宋体" w:eastAsia="宋体" w:cs="宋体"/>
          <w:spacing w:val="8"/>
          <w:sz w:val="16"/>
          <w:szCs w:val="16"/>
        </w:rPr>
        <w:t>盖骨、小腿骨、跗骨、跖骨、趾骨。</w:t>
      </w:r>
    </w:p>
    <w:p w14:paraId="2517BFB0">
      <w:pPr>
        <w:spacing w:before="4" w:line="220" w:lineRule="auto"/>
        <w:ind w:left="359"/>
        <w:rPr>
          <w:rFonts w:ascii="宋体" w:hAnsi="宋体" w:eastAsia="宋体" w:cs="宋体"/>
          <w:sz w:val="16"/>
          <w:szCs w:val="16"/>
        </w:rPr>
      </w:pPr>
      <w:r>
        <w:rPr>
          <w:rFonts w:ascii="宋体" w:hAnsi="宋体" w:eastAsia="宋体" w:cs="宋体"/>
          <w:spacing w:val="9"/>
          <w:sz w:val="16"/>
          <w:szCs w:val="16"/>
        </w:rPr>
        <w:t>前肢关节：肩关节、肘关节、腕关节、指关节。</w:t>
      </w:r>
    </w:p>
    <w:p w14:paraId="6A9C2426">
      <w:pPr>
        <w:spacing w:before="99" w:line="334" w:lineRule="auto"/>
        <w:ind w:right="69" w:firstLine="359"/>
        <w:rPr>
          <w:rFonts w:ascii="宋体" w:hAnsi="宋体" w:eastAsia="宋体" w:cs="宋体"/>
          <w:sz w:val="16"/>
          <w:szCs w:val="16"/>
        </w:rPr>
      </w:pPr>
      <w:r>
        <w:rPr>
          <w:rFonts w:ascii="宋体" w:hAnsi="宋体" w:eastAsia="宋体" w:cs="宋体"/>
          <w:spacing w:val="11"/>
          <w:sz w:val="16"/>
          <w:szCs w:val="16"/>
        </w:rPr>
        <w:t>后肢关节：荐骼关节、髋关节、膝关节、跗</w:t>
      </w:r>
      <w:r>
        <w:rPr>
          <w:rFonts w:ascii="宋体" w:hAnsi="宋体" w:eastAsia="宋体" w:cs="宋体"/>
          <w:spacing w:val="10"/>
          <w:sz w:val="16"/>
          <w:szCs w:val="16"/>
        </w:rPr>
        <w:t>关节、</w:t>
      </w:r>
      <w:r>
        <w:rPr>
          <w:rFonts w:ascii="宋体" w:hAnsi="宋体" w:eastAsia="宋体" w:cs="宋体"/>
          <w:sz w:val="16"/>
          <w:szCs w:val="16"/>
        </w:rPr>
        <w:t xml:space="preserve"> </w:t>
      </w:r>
      <w:r>
        <w:rPr>
          <w:rFonts w:ascii="宋体" w:hAnsi="宋体" w:eastAsia="宋体" w:cs="宋体"/>
          <w:spacing w:val="10"/>
          <w:sz w:val="16"/>
          <w:szCs w:val="16"/>
        </w:rPr>
        <w:t>趾关节。</w:t>
      </w:r>
    </w:p>
    <w:p w14:paraId="03F5C8FA">
      <w:pPr>
        <w:spacing w:line="218" w:lineRule="auto"/>
        <w:ind w:left="359"/>
        <w:rPr>
          <w:rFonts w:ascii="宋体" w:hAnsi="宋体" w:eastAsia="宋体" w:cs="宋体"/>
          <w:sz w:val="16"/>
          <w:szCs w:val="16"/>
        </w:rPr>
      </w:pPr>
      <w:r>
        <w:rPr>
          <w:rFonts w:ascii="宋体" w:hAnsi="宋体" w:eastAsia="宋体" w:cs="宋体"/>
          <w:spacing w:val="9"/>
          <w:sz w:val="16"/>
          <w:szCs w:val="16"/>
        </w:rPr>
        <w:t>2、标本或挂图中的骨骼与关节要预先进行编号。</w:t>
      </w:r>
    </w:p>
    <w:p w14:paraId="2A622308">
      <w:pPr>
        <w:spacing w:line="218" w:lineRule="auto"/>
        <w:rPr>
          <w:rFonts w:ascii="宋体" w:hAnsi="宋体" w:eastAsia="宋体" w:cs="宋体"/>
          <w:sz w:val="16"/>
          <w:szCs w:val="16"/>
        </w:rPr>
        <w:sectPr>
          <w:type w:val="continuous"/>
          <w:pgSz w:w="10660" w:h="15080"/>
          <w:pgMar w:top="400" w:right="999" w:bottom="917" w:left="819" w:header="0" w:footer="709" w:gutter="0"/>
          <w:cols w:equalWidth="0" w:num="2">
            <w:col w:w="4550" w:space="100"/>
            <w:col w:w="4191"/>
          </w:cols>
        </w:sectPr>
      </w:pPr>
    </w:p>
    <w:p w14:paraId="42D48079">
      <w:pPr>
        <w:spacing w:before="10"/>
      </w:pPr>
    </w:p>
    <w:p w14:paraId="5C967A1B">
      <w:pPr>
        <w:spacing w:before="10"/>
      </w:pPr>
    </w:p>
    <w:p w14:paraId="02E018A0">
      <w:pPr>
        <w:spacing w:before="9"/>
      </w:pPr>
    </w:p>
    <w:p w14:paraId="73A6A46C">
      <w:pPr>
        <w:spacing w:before="9"/>
      </w:pPr>
    </w:p>
    <w:p w14:paraId="25386F9C">
      <w:pPr>
        <w:sectPr>
          <w:footerReference r:id="rId103" w:type="default"/>
          <w:pgSz w:w="10660" w:h="15080"/>
          <w:pgMar w:top="400" w:right="844" w:bottom="925" w:left="1019" w:header="0" w:footer="705" w:gutter="0"/>
          <w:cols w:equalWidth="0" w:num="1">
            <w:col w:w="8796"/>
          </w:cols>
        </w:sectPr>
      </w:pPr>
    </w:p>
    <w:p w14:paraId="226E32E4">
      <w:pPr>
        <w:spacing w:before="1" w:line="220" w:lineRule="auto"/>
        <w:ind w:left="3"/>
        <w:rPr>
          <w:rFonts w:ascii="黑体" w:hAnsi="黑体" w:eastAsia="黑体" w:cs="黑体"/>
          <w:sz w:val="23"/>
          <w:szCs w:val="23"/>
        </w:rPr>
      </w:pPr>
      <w:r>
        <w:rPr>
          <w:rFonts w:ascii="黑体" w:hAnsi="黑体" w:eastAsia="黑体" w:cs="黑体"/>
          <w:b/>
          <w:bCs/>
          <w:spacing w:val="-8"/>
          <w:sz w:val="23"/>
          <w:szCs w:val="23"/>
        </w:rPr>
        <w:t>四、步骤及方法</w:t>
      </w:r>
    </w:p>
    <w:p w14:paraId="3EFB82A1">
      <w:pPr>
        <w:spacing w:before="87" w:line="302" w:lineRule="auto"/>
        <w:ind w:right="374" w:firstLine="350"/>
        <w:rPr>
          <w:rFonts w:ascii="宋体" w:hAnsi="宋体" w:eastAsia="宋体" w:cs="宋体"/>
          <w:sz w:val="17"/>
          <w:szCs w:val="17"/>
        </w:rPr>
      </w:pPr>
      <w:r>
        <w:rPr>
          <w:rFonts w:ascii="宋体" w:hAnsi="宋体" w:eastAsia="宋体" w:cs="宋体"/>
          <w:spacing w:val="4"/>
          <w:sz w:val="17"/>
          <w:szCs w:val="17"/>
        </w:rPr>
        <w:t>1、将标本或挂图中25个骨骼与关节，随机抽取15</w:t>
      </w:r>
      <w:r>
        <w:rPr>
          <w:rFonts w:ascii="宋体" w:hAnsi="宋体" w:eastAsia="宋体" w:cs="宋体"/>
          <w:spacing w:val="18"/>
          <w:sz w:val="17"/>
          <w:szCs w:val="17"/>
        </w:rPr>
        <w:t xml:space="preserve"> </w:t>
      </w:r>
      <w:r>
        <w:rPr>
          <w:rFonts w:ascii="宋体" w:hAnsi="宋体" w:eastAsia="宋体" w:cs="宋体"/>
          <w:spacing w:val="4"/>
          <w:sz w:val="17"/>
          <w:szCs w:val="17"/>
        </w:rPr>
        <w:t>个组成一组，其中每组含10块骨骼和5个关节。例如：</w:t>
      </w:r>
    </w:p>
    <w:p w14:paraId="5877B40C">
      <w:pPr>
        <w:spacing w:before="23" w:line="307" w:lineRule="auto"/>
        <w:ind w:right="299" w:firstLine="350"/>
        <w:rPr>
          <w:rFonts w:ascii="宋体" w:hAnsi="宋体" w:eastAsia="宋体" w:cs="宋体"/>
          <w:sz w:val="17"/>
          <w:szCs w:val="17"/>
        </w:rPr>
      </w:pPr>
      <w:r>
        <w:rPr>
          <w:rFonts w:ascii="宋体" w:hAnsi="宋体" w:eastAsia="宋体" w:cs="宋体"/>
          <w:spacing w:val="-10"/>
          <w:sz w:val="17"/>
          <w:szCs w:val="17"/>
        </w:rPr>
        <w:t>第一组：肩胛骨、前臂骨、跖骨、股骨、髋骨、掌骨、</w:t>
      </w:r>
      <w:r>
        <w:rPr>
          <w:rFonts w:ascii="宋体" w:hAnsi="宋体" w:eastAsia="宋体" w:cs="宋体"/>
          <w:spacing w:val="3"/>
          <w:sz w:val="17"/>
          <w:szCs w:val="17"/>
        </w:rPr>
        <w:t xml:space="preserve"> </w:t>
      </w:r>
      <w:r>
        <w:rPr>
          <w:rFonts w:ascii="宋体" w:hAnsi="宋体" w:eastAsia="宋体" w:cs="宋体"/>
          <w:spacing w:val="-2"/>
          <w:sz w:val="17"/>
          <w:szCs w:val="17"/>
        </w:rPr>
        <w:t>骼骨、膝盖骨、指骨、跗骨、肘关节、膝关</w:t>
      </w:r>
      <w:r>
        <w:rPr>
          <w:rFonts w:ascii="宋体" w:hAnsi="宋体" w:eastAsia="宋体" w:cs="宋体"/>
          <w:spacing w:val="-3"/>
          <w:sz w:val="17"/>
          <w:szCs w:val="17"/>
        </w:rPr>
        <w:t>节、指关节、</w:t>
      </w:r>
      <w:r>
        <w:rPr>
          <w:rFonts w:ascii="宋体" w:hAnsi="宋体" w:eastAsia="宋体" w:cs="宋体"/>
          <w:sz w:val="17"/>
          <w:szCs w:val="17"/>
        </w:rPr>
        <w:t xml:space="preserve"> </w:t>
      </w:r>
      <w:r>
        <w:rPr>
          <w:rFonts w:ascii="宋体" w:hAnsi="宋体" w:eastAsia="宋体" w:cs="宋体"/>
          <w:spacing w:val="-4"/>
          <w:sz w:val="17"/>
          <w:szCs w:val="17"/>
        </w:rPr>
        <w:t>髋关节、腕关节。</w:t>
      </w:r>
    </w:p>
    <w:p w14:paraId="1B71D9D4">
      <w:pPr>
        <w:spacing w:before="21" w:line="307" w:lineRule="auto"/>
        <w:ind w:right="299" w:firstLine="350"/>
        <w:jc w:val="both"/>
        <w:rPr>
          <w:rFonts w:ascii="宋体" w:hAnsi="宋体" w:eastAsia="宋体" w:cs="宋体"/>
          <w:sz w:val="17"/>
          <w:szCs w:val="17"/>
        </w:rPr>
      </w:pPr>
      <w:r>
        <w:rPr>
          <w:rFonts w:ascii="宋体" w:hAnsi="宋体" w:eastAsia="宋体" w:cs="宋体"/>
          <w:spacing w:val="-10"/>
          <w:sz w:val="17"/>
          <w:szCs w:val="17"/>
        </w:rPr>
        <w:t>第二组：小腿骨、膝盖骨、股骨、髋骨、肱骨、腕骨、</w:t>
      </w:r>
      <w:r>
        <w:rPr>
          <w:rFonts w:ascii="宋体" w:hAnsi="宋体" w:eastAsia="宋体" w:cs="宋体"/>
          <w:spacing w:val="4"/>
          <w:sz w:val="17"/>
          <w:szCs w:val="17"/>
        </w:rPr>
        <w:t xml:space="preserve"> </w:t>
      </w:r>
      <w:r>
        <w:rPr>
          <w:rFonts w:ascii="宋体" w:hAnsi="宋体" w:eastAsia="宋体" w:cs="宋体"/>
          <w:spacing w:val="-9"/>
          <w:sz w:val="17"/>
          <w:szCs w:val="17"/>
        </w:rPr>
        <w:t>前臂骨、坐骨、掌骨、趾骨、肩关节、腕关节、荐骼关节、</w:t>
      </w:r>
      <w:r>
        <w:rPr>
          <w:rFonts w:ascii="宋体" w:hAnsi="宋体" w:eastAsia="宋体" w:cs="宋体"/>
          <w:spacing w:val="8"/>
          <w:sz w:val="17"/>
          <w:szCs w:val="17"/>
        </w:rPr>
        <w:t xml:space="preserve"> </w:t>
      </w:r>
      <w:r>
        <w:rPr>
          <w:rFonts w:ascii="宋体" w:hAnsi="宋体" w:eastAsia="宋体" w:cs="宋体"/>
          <w:spacing w:val="-4"/>
          <w:sz w:val="17"/>
          <w:szCs w:val="17"/>
        </w:rPr>
        <w:t>髋关节、跗关节。</w:t>
      </w:r>
    </w:p>
    <w:p w14:paraId="4E294770">
      <w:pPr>
        <w:spacing w:before="22" w:line="302" w:lineRule="auto"/>
        <w:ind w:right="375" w:firstLine="350"/>
        <w:rPr>
          <w:rFonts w:ascii="宋体" w:hAnsi="宋体" w:eastAsia="宋体" w:cs="宋体"/>
          <w:sz w:val="17"/>
          <w:szCs w:val="17"/>
        </w:rPr>
      </w:pPr>
      <w:r>
        <w:rPr>
          <w:rFonts w:ascii="宋体" w:hAnsi="宋体" w:eastAsia="宋体" w:cs="宋体"/>
          <w:spacing w:val="12"/>
          <w:sz w:val="17"/>
          <w:szCs w:val="17"/>
        </w:rPr>
        <w:t>备注：上面二组只是举例，具体的15个(10块骨</w:t>
      </w:r>
      <w:r>
        <w:rPr>
          <w:rFonts w:ascii="宋体" w:hAnsi="宋体" w:eastAsia="宋体" w:cs="宋体"/>
          <w:spacing w:val="7"/>
          <w:sz w:val="17"/>
          <w:szCs w:val="17"/>
        </w:rPr>
        <w:t xml:space="preserve"> 和5个关节)抽考项目，由考点自行确定。</w:t>
      </w:r>
    </w:p>
    <w:p w14:paraId="7CA1E8CA">
      <w:pPr>
        <w:spacing w:before="23" w:line="269" w:lineRule="auto"/>
        <w:ind w:right="376" w:firstLine="350"/>
        <w:rPr>
          <w:rFonts w:ascii="宋体" w:hAnsi="宋体" w:eastAsia="宋体" w:cs="宋体"/>
          <w:sz w:val="17"/>
          <w:szCs w:val="17"/>
        </w:rPr>
      </w:pPr>
      <w:r>
        <w:rPr>
          <w:rFonts w:ascii="宋体" w:hAnsi="宋体" w:eastAsia="宋体" w:cs="宋体"/>
          <w:spacing w:val="9"/>
          <w:sz w:val="17"/>
          <w:szCs w:val="17"/>
        </w:rPr>
        <w:t>2、抽取考题：每名考生在考点随机抽取1组作为</w:t>
      </w:r>
      <w:r>
        <w:rPr>
          <w:rFonts w:ascii="宋体" w:hAnsi="宋体" w:eastAsia="宋体" w:cs="宋体"/>
          <w:sz w:val="17"/>
          <w:szCs w:val="17"/>
        </w:rPr>
        <w:t xml:space="preserve"> </w:t>
      </w:r>
      <w:r>
        <w:rPr>
          <w:rFonts w:ascii="宋体" w:hAnsi="宋体" w:eastAsia="宋体" w:cs="宋体"/>
          <w:spacing w:val="-1"/>
          <w:sz w:val="17"/>
          <w:szCs w:val="17"/>
        </w:rPr>
        <w:t>技能测试题。</w:t>
      </w:r>
    </w:p>
    <w:p w14:paraId="50D327DC">
      <w:pPr>
        <w:spacing w:before="85" w:line="296" w:lineRule="auto"/>
        <w:ind w:right="333" w:firstLine="350"/>
        <w:rPr>
          <w:rFonts w:ascii="宋体" w:hAnsi="宋体" w:eastAsia="宋体" w:cs="宋体"/>
          <w:sz w:val="17"/>
          <w:szCs w:val="17"/>
        </w:rPr>
      </w:pPr>
      <w:r>
        <w:rPr>
          <w:rFonts w:ascii="宋体" w:hAnsi="宋体" w:eastAsia="宋体" w:cs="宋体"/>
          <w:spacing w:val="5"/>
          <w:sz w:val="17"/>
          <w:szCs w:val="17"/>
        </w:rPr>
        <w:t>3、完成答题：考生根据抽取的题目，对照标本或</w:t>
      </w:r>
      <w:r>
        <w:rPr>
          <w:rFonts w:ascii="宋体" w:hAnsi="宋体" w:eastAsia="宋体" w:cs="宋体"/>
          <w:spacing w:val="2"/>
          <w:sz w:val="17"/>
          <w:szCs w:val="17"/>
        </w:rPr>
        <w:t xml:space="preserve"> </w:t>
      </w:r>
      <w:r>
        <w:rPr>
          <w:rFonts w:ascii="宋体" w:hAnsi="宋体" w:eastAsia="宋体" w:cs="宋体"/>
          <w:spacing w:val="1"/>
          <w:sz w:val="17"/>
          <w:szCs w:val="17"/>
        </w:rPr>
        <w:t>挂图中的骨骼与关节的编号进行答题，即把考题中的骨</w:t>
      </w:r>
      <w:r>
        <w:rPr>
          <w:rFonts w:ascii="宋体" w:hAnsi="宋体" w:eastAsia="宋体" w:cs="宋体"/>
          <w:spacing w:val="14"/>
          <w:sz w:val="17"/>
          <w:szCs w:val="17"/>
        </w:rPr>
        <w:t xml:space="preserve"> </w:t>
      </w:r>
      <w:r>
        <w:rPr>
          <w:rFonts w:ascii="宋体" w:hAnsi="宋体" w:eastAsia="宋体" w:cs="宋体"/>
          <w:spacing w:val="-4"/>
          <w:sz w:val="17"/>
          <w:szCs w:val="17"/>
        </w:rPr>
        <w:t>骼、关节与标本或挂图中编号相对应。例如：股骨——5,</w:t>
      </w:r>
      <w:r>
        <w:rPr>
          <w:rFonts w:ascii="宋体" w:hAnsi="宋体" w:eastAsia="宋体" w:cs="宋体"/>
          <w:spacing w:val="14"/>
          <w:sz w:val="17"/>
          <w:szCs w:val="17"/>
        </w:rPr>
        <w:t xml:space="preserve"> </w:t>
      </w:r>
      <w:r>
        <w:rPr>
          <w:rFonts w:ascii="宋体" w:hAnsi="宋体" w:eastAsia="宋体" w:cs="宋体"/>
          <w:spacing w:val="5"/>
          <w:sz w:val="17"/>
          <w:szCs w:val="17"/>
        </w:rPr>
        <w:t>腕关节——6等。同时要写出需识别的10块骨的类型。</w:t>
      </w:r>
      <w:r>
        <w:rPr>
          <w:rFonts w:ascii="宋体" w:hAnsi="宋体" w:eastAsia="宋体" w:cs="宋体"/>
          <w:spacing w:val="4"/>
          <w:sz w:val="17"/>
          <w:szCs w:val="17"/>
        </w:rPr>
        <w:t xml:space="preserve"> </w:t>
      </w:r>
      <w:r>
        <w:rPr>
          <w:rFonts w:ascii="宋体" w:hAnsi="宋体" w:eastAsia="宋体" w:cs="宋体"/>
          <w:spacing w:val="-3"/>
          <w:sz w:val="17"/>
          <w:szCs w:val="17"/>
        </w:rPr>
        <w:t>如：肩胛骨——扁骨。</w:t>
      </w:r>
    </w:p>
    <w:p w14:paraId="194F042A">
      <w:pPr>
        <w:spacing w:before="85" w:line="222" w:lineRule="auto"/>
        <w:ind w:left="3"/>
        <w:rPr>
          <w:rFonts w:ascii="黑体" w:hAnsi="黑体" w:eastAsia="黑体" w:cs="黑体"/>
          <w:sz w:val="23"/>
          <w:szCs w:val="23"/>
        </w:rPr>
      </w:pPr>
      <w:r>
        <w:rPr>
          <w:rFonts w:ascii="黑体" w:hAnsi="黑体" w:eastAsia="黑体" w:cs="黑体"/>
          <w:b/>
          <w:bCs/>
          <w:spacing w:val="-9"/>
          <w:sz w:val="23"/>
          <w:szCs w:val="23"/>
        </w:rPr>
        <w:t>五、评分标准</w:t>
      </w:r>
    </w:p>
    <w:p w14:paraId="6BB71615">
      <w:pPr>
        <w:spacing w:line="14" w:lineRule="exact"/>
      </w:pPr>
    </w:p>
    <w:tbl>
      <w:tblPr>
        <w:tblStyle w:val="5"/>
        <w:tblW w:w="4109" w:type="dxa"/>
        <w:tblInd w:w="2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83"/>
        <w:gridCol w:w="1815"/>
        <w:gridCol w:w="798"/>
        <w:gridCol w:w="713"/>
      </w:tblGrid>
      <w:tr w14:paraId="56F663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2" w:hRule="atLeast"/>
        </w:trPr>
        <w:tc>
          <w:tcPr>
            <w:tcW w:w="783" w:type="dxa"/>
            <w:vAlign w:val="top"/>
          </w:tcPr>
          <w:p w14:paraId="61CBAF88">
            <w:pPr>
              <w:pStyle w:val="6"/>
              <w:spacing w:before="130" w:line="220" w:lineRule="auto"/>
              <w:ind w:left="27"/>
              <w:rPr>
                <w:sz w:val="18"/>
                <w:szCs w:val="18"/>
              </w:rPr>
            </w:pPr>
            <w:r>
              <w:rPr>
                <w:b/>
                <w:bCs/>
                <w:spacing w:val="-4"/>
                <w:sz w:val="18"/>
                <w:szCs w:val="18"/>
              </w:rPr>
              <w:t>评分要点</w:t>
            </w:r>
          </w:p>
        </w:tc>
        <w:tc>
          <w:tcPr>
            <w:tcW w:w="1815" w:type="dxa"/>
            <w:vAlign w:val="top"/>
          </w:tcPr>
          <w:p w14:paraId="56A5A0B3">
            <w:pPr>
              <w:pStyle w:val="6"/>
              <w:spacing w:before="128" w:line="219" w:lineRule="auto"/>
              <w:ind w:left="564"/>
              <w:rPr>
                <w:sz w:val="18"/>
                <w:szCs w:val="18"/>
              </w:rPr>
            </w:pPr>
            <w:r>
              <w:rPr>
                <w:b/>
                <w:bCs/>
                <w:spacing w:val="-4"/>
                <w:sz w:val="18"/>
                <w:szCs w:val="18"/>
              </w:rPr>
              <w:t>评分依据</w:t>
            </w:r>
          </w:p>
        </w:tc>
        <w:tc>
          <w:tcPr>
            <w:tcW w:w="798" w:type="dxa"/>
            <w:vAlign w:val="top"/>
          </w:tcPr>
          <w:p w14:paraId="6186CFAD">
            <w:pPr>
              <w:pStyle w:val="6"/>
              <w:spacing w:before="129" w:line="219" w:lineRule="auto"/>
              <w:ind w:left="219"/>
              <w:rPr>
                <w:sz w:val="18"/>
                <w:szCs w:val="18"/>
              </w:rPr>
            </w:pPr>
            <w:r>
              <w:rPr>
                <w:b/>
                <w:bCs/>
                <w:spacing w:val="-5"/>
                <w:sz w:val="18"/>
                <w:szCs w:val="18"/>
              </w:rPr>
              <w:t>分值</w:t>
            </w:r>
          </w:p>
        </w:tc>
        <w:tc>
          <w:tcPr>
            <w:tcW w:w="713" w:type="dxa"/>
            <w:vAlign w:val="top"/>
          </w:tcPr>
          <w:p w14:paraId="2E4DE1D2">
            <w:pPr>
              <w:pStyle w:val="6"/>
              <w:spacing w:before="129" w:line="219" w:lineRule="auto"/>
              <w:ind w:left="201"/>
              <w:rPr>
                <w:sz w:val="18"/>
                <w:szCs w:val="18"/>
              </w:rPr>
            </w:pPr>
            <w:r>
              <w:rPr>
                <w:b/>
                <w:bCs/>
                <w:spacing w:val="-4"/>
                <w:sz w:val="18"/>
                <w:szCs w:val="18"/>
              </w:rPr>
              <w:t>得分</w:t>
            </w:r>
          </w:p>
        </w:tc>
      </w:tr>
      <w:tr w14:paraId="02B752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76" w:hRule="atLeast"/>
        </w:trPr>
        <w:tc>
          <w:tcPr>
            <w:tcW w:w="783" w:type="dxa"/>
            <w:vAlign w:val="top"/>
          </w:tcPr>
          <w:p w14:paraId="7AF8063C">
            <w:pPr>
              <w:pStyle w:val="6"/>
              <w:spacing w:before="30" w:line="220" w:lineRule="auto"/>
              <w:ind w:left="25"/>
              <w:rPr>
                <w:sz w:val="18"/>
                <w:szCs w:val="18"/>
              </w:rPr>
            </w:pPr>
            <w:r>
              <w:rPr>
                <w:spacing w:val="-2"/>
                <w:sz w:val="18"/>
                <w:szCs w:val="18"/>
              </w:rPr>
              <w:t>识别10块</w:t>
            </w:r>
          </w:p>
          <w:p w14:paraId="7406C302">
            <w:pPr>
              <w:pStyle w:val="6"/>
              <w:spacing w:before="5" w:line="219" w:lineRule="auto"/>
              <w:ind w:left="65"/>
              <w:rPr>
                <w:sz w:val="18"/>
                <w:szCs w:val="18"/>
              </w:rPr>
            </w:pPr>
            <w:r>
              <w:rPr>
                <w:spacing w:val="-2"/>
                <w:sz w:val="18"/>
                <w:szCs w:val="18"/>
              </w:rPr>
              <w:t>骨骼和5</w:t>
            </w:r>
          </w:p>
          <w:p w14:paraId="6487849C">
            <w:pPr>
              <w:pStyle w:val="6"/>
              <w:spacing w:before="15" w:line="191" w:lineRule="auto"/>
              <w:ind w:left="115"/>
              <w:rPr>
                <w:sz w:val="18"/>
                <w:szCs w:val="18"/>
              </w:rPr>
            </w:pPr>
            <w:r>
              <w:rPr>
                <w:spacing w:val="-2"/>
                <w:sz w:val="18"/>
                <w:szCs w:val="18"/>
              </w:rPr>
              <w:t>个关节</w:t>
            </w:r>
          </w:p>
        </w:tc>
        <w:tc>
          <w:tcPr>
            <w:tcW w:w="1815" w:type="dxa"/>
            <w:vAlign w:val="top"/>
          </w:tcPr>
          <w:p w14:paraId="189775AC">
            <w:pPr>
              <w:pStyle w:val="6"/>
              <w:spacing w:before="30" w:line="219" w:lineRule="auto"/>
              <w:ind w:left="12"/>
              <w:rPr>
                <w:sz w:val="18"/>
                <w:szCs w:val="18"/>
              </w:rPr>
            </w:pPr>
            <w:r>
              <w:rPr>
                <w:spacing w:val="-1"/>
                <w:sz w:val="18"/>
                <w:szCs w:val="18"/>
              </w:rPr>
              <w:t>4分/个，识别正确，</w:t>
            </w:r>
          </w:p>
          <w:p w14:paraId="031F43F0">
            <w:pPr>
              <w:pStyle w:val="6"/>
              <w:spacing w:before="16" w:line="208" w:lineRule="auto"/>
              <w:ind w:left="12" w:right="89"/>
              <w:rPr>
                <w:sz w:val="18"/>
                <w:szCs w:val="18"/>
              </w:rPr>
            </w:pPr>
            <w:r>
              <w:rPr>
                <w:spacing w:val="-1"/>
                <w:sz w:val="18"/>
                <w:szCs w:val="18"/>
              </w:rPr>
              <w:t>每个得4分，识别错误</w:t>
            </w:r>
            <w:r>
              <w:rPr>
                <w:spacing w:val="1"/>
                <w:sz w:val="18"/>
                <w:szCs w:val="18"/>
              </w:rPr>
              <w:t xml:space="preserve"> </w:t>
            </w:r>
            <w:r>
              <w:rPr>
                <w:sz w:val="18"/>
                <w:szCs w:val="18"/>
              </w:rPr>
              <w:t>不得分。</w:t>
            </w:r>
          </w:p>
        </w:tc>
        <w:tc>
          <w:tcPr>
            <w:tcW w:w="798" w:type="dxa"/>
            <w:vAlign w:val="top"/>
          </w:tcPr>
          <w:p w14:paraId="3BBDBBB5">
            <w:pPr>
              <w:pStyle w:val="6"/>
              <w:spacing w:before="296" w:line="183" w:lineRule="auto"/>
              <w:ind w:left="306"/>
              <w:rPr>
                <w:sz w:val="18"/>
                <w:szCs w:val="18"/>
              </w:rPr>
            </w:pPr>
            <w:r>
              <w:rPr>
                <w:spacing w:val="-3"/>
                <w:sz w:val="18"/>
                <w:szCs w:val="18"/>
              </w:rPr>
              <w:t>60</w:t>
            </w:r>
          </w:p>
        </w:tc>
        <w:tc>
          <w:tcPr>
            <w:tcW w:w="713" w:type="dxa"/>
            <w:vAlign w:val="top"/>
          </w:tcPr>
          <w:p w14:paraId="2FB46E30">
            <w:pPr>
              <w:rPr>
                <w:rFonts w:ascii="Arial"/>
                <w:sz w:val="21"/>
              </w:rPr>
            </w:pPr>
          </w:p>
        </w:tc>
      </w:tr>
      <w:tr w14:paraId="5D8463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1" w:hRule="atLeast"/>
        </w:trPr>
        <w:tc>
          <w:tcPr>
            <w:tcW w:w="783" w:type="dxa"/>
            <w:vAlign w:val="top"/>
          </w:tcPr>
          <w:p w14:paraId="2935191E">
            <w:pPr>
              <w:pStyle w:val="6"/>
              <w:spacing w:before="54" w:line="220" w:lineRule="auto"/>
              <w:ind w:left="25"/>
              <w:rPr>
                <w:sz w:val="18"/>
                <w:szCs w:val="18"/>
              </w:rPr>
            </w:pPr>
            <w:r>
              <w:rPr>
                <w:spacing w:val="-2"/>
                <w:sz w:val="18"/>
                <w:szCs w:val="18"/>
              </w:rPr>
              <w:t>识别10块</w:t>
            </w:r>
          </w:p>
          <w:p w14:paraId="04C68BFB">
            <w:pPr>
              <w:pStyle w:val="6"/>
              <w:spacing w:before="14" w:line="215" w:lineRule="auto"/>
              <w:ind w:left="115"/>
              <w:rPr>
                <w:sz w:val="18"/>
                <w:szCs w:val="18"/>
              </w:rPr>
            </w:pPr>
            <w:r>
              <w:rPr>
                <w:spacing w:val="4"/>
                <w:sz w:val="18"/>
                <w:szCs w:val="18"/>
              </w:rPr>
              <w:t>骨骼的</w:t>
            </w:r>
          </w:p>
          <w:p w14:paraId="723245E6">
            <w:pPr>
              <w:pStyle w:val="6"/>
              <w:spacing w:line="181" w:lineRule="auto"/>
              <w:ind w:left="205"/>
              <w:rPr>
                <w:sz w:val="18"/>
                <w:szCs w:val="18"/>
              </w:rPr>
            </w:pPr>
            <w:r>
              <w:rPr>
                <w:spacing w:val="-2"/>
                <w:sz w:val="18"/>
                <w:szCs w:val="18"/>
              </w:rPr>
              <w:t>类型</w:t>
            </w:r>
          </w:p>
        </w:tc>
        <w:tc>
          <w:tcPr>
            <w:tcW w:w="1815" w:type="dxa"/>
            <w:vAlign w:val="top"/>
          </w:tcPr>
          <w:p w14:paraId="7FE1852D">
            <w:pPr>
              <w:pStyle w:val="6"/>
              <w:spacing w:before="54" w:line="219" w:lineRule="auto"/>
              <w:ind w:left="12"/>
              <w:rPr>
                <w:sz w:val="18"/>
                <w:szCs w:val="18"/>
              </w:rPr>
            </w:pPr>
            <w:r>
              <w:rPr>
                <w:spacing w:val="-1"/>
                <w:sz w:val="18"/>
                <w:szCs w:val="18"/>
              </w:rPr>
              <w:t>4分/个，识别正确，</w:t>
            </w:r>
          </w:p>
          <w:p w14:paraId="54C7B8BB">
            <w:pPr>
              <w:pStyle w:val="6"/>
              <w:spacing w:before="7" w:line="203" w:lineRule="auto"/>
              <w:ind w:left="12" w:right="89"/>
              <w:rPr>
                <w:sz w:val="18"/>
                <w:szCs w:val="18"/>
              </w:rPr>
            </w:pPr>
            <w:r>
              <w:rPr>
                <w:spacing w:val="-1"/>
                <w:sz w:val="18"/>
                <w:szCs w:val="18"/>
              </w:rPr>
              <w:t>每个得4分，识别错误</w:t>
            </w:r>
            <w:r>
              <w:rPr>
                <w:spacing w:val="1"/>
                <w:sz w:val="18"/>
                <w:szCs w:val="18"/>
              </w:rPr>
              <w:t xml:space="preserve"> </w:t>
            </w:r>
            <w:r>
              <w:rPr>
                <w:sz w:val="18"/>
                <w:szCs w:val="18"/>
              </w:rPr>
              <w:t>不得分。</w:t>
            </w:r>
          </w:p>
        </w:tc>
        <w:tc>
          <w:tcPr>
            <w:tcW w:w="798" w:type="dxa"/>
            <w:vAlign w:val="top"/>
          </w:tcPr>
          <w:p w14:paraId="31615557">
            <w:pPr>
              <w:rPr>
                <w:rFonts w:ascii="Arial"/>
                <w:sz w:val="21"/>
              </w:rPr>
            </w:pPr>
          </w:p>
          <w:p w14:paraId="09C131AE">
            <w:pPr>
              <w:pStyle w:val="6"/>
              <w:spacing w:before="59" w:line="183" w:lineRule="auto"/>
              <w:ind w:left="306"/>
              <w:rPr>
                <w:sz w:val="18"/>
                <w:szCs w:val="18"/>
              </w:rPr>
            </w:pPr>
            <w:r>
              <w:rPr>
                <w:spacing w:val="-2"/>
                <w:sz w:val="18"/>
                <w:szCs w:val="18"/>
              </w:rPr>
              <w:t>40</w:t>
            </w:r>
          </w:p>
        </w:tc>
        <w:tc>
          <w:tcPr>
            <w:tcW w:w="713" w:type="dxa"/>
            <w:vAlign w:val="top"/>
          </w:tcPr>
          <w:p w14:paraId="504B22AB">
            <w:pPr>
              <w:rPr>
                <w:rFonts w:ascii="Arial"/>
                <w:sz w:val="21"/>
              </w:rPr>
            </w:pPr>
          </w:p>
        </w:tc>
      </w:tr>
    </w:tbl>
    <w:p w14:paraId="29897318">
      <w:pPr>
        <w:pStyle w:val="2"/>
        <w:spacing w:line="262" w:lineRule="auto"/>
      </w:pPr>
    </w:p>
    <w:p w14:paraId="1E3127EB">
      <w:pPr>
        <w:spacing w:before="75" w:line="220" w:lineRule="auto"/>
        <w:ind w:left="353"/>
        <w:rPr>
          <w:rFonts w:ascii="黑体" w:hAnsi="黑体" w:eastAsia="黑体" w:cs="黑体"/>
          <w:sz w:val="23"/>
          <w:szCs w:val="23"/>
        </w:rPr>
      </w:pPr>
      <w:r>
        <w:rPr>
          <w:rFonts w:ascii="黑体" w:hAnsi="黑体" w:eastAsia="黑体" w:cs="黑体"/>
          <w:b/>
          <w:bCs/>
          <w:spacing w:val="-4"/>
          <w:sz w:val="23"/>
          <w:szCs w:val="23"/>
        </w:rPr>
        <w:t>项目五</w:t>
      </w:r>
      <w:r>
        <w:rPr>
          <w:rFonts w:ascii="黑体" w:hAnsi="黑体" w:eastAsia="黑体" w:cs="黑体"/>
          <w:spacing w:val="108"/>
          <w:sz w:val="23"/>
          <w:szCs w:val="23"/>
        </w:rPr>
        <w:t xml:space="preserve"> </w:t>
      </w:r>
      <w:r>
        <w:rPr>
          <w:rFonts w:ascii="黑体" w:hAnsi="黑体" w:eastAsia="黑体" w:cs="黑体"/>
          <w:b/>
          <w:bCs/>
          <w:spacing w:val="-4"/>
          <w:sz w:val="23"/>
          <w:szCs w:val="23"/>
        </w:rPr>
        <w:t>鸡的解剖与内脏器官识别</w:t>
      </w:r>
    </w:p>
    <w:p w14:paraId="3770034C">
      <w:pPr>
        <w:pStyle w:val="2"/>
      </w:pPr>
    </w:p>
    <w:p w14:paraId="7B2A8DD1">
      <w:pPr>
        <w:spacing w:before="75" w:line="221" w:lineRule="auto"/>
        <w:ind w:left="3"/>
        <w:rPr>
          <w:rFonts w:ascii="黑体" w:hAnsi="黑体" w:eastAsia="黑体" w:cs="黑体"/>
          <w:sz w:val="23"/>
          <w:szCs w:val="23"/>
        </w:rPr>
      </w:pPr>
      <w:r>
        <w:rPr>
          <w:rFonts w:ascii="黑体" w:hAnsi="黑体" w:eastAsia="黑体" w:cs="黑体"/>
          <w:b/>
          <w:bCs/>
          <w:spacing w:val="-7"/>
          <w:sz w:val="23"/>
          <w:szCs w:val="23"/>
        </w:rPr>
        <w:t>一、分值与测试时间</w:t>
      </w:r>
    </w:p>
    <w:p w14:paraId="45ED8B76">
      <w:pPr>
        <w:spacing w:before="88" w:line="219" w:lineRule="auto"/>
        <w:ind w:left="350"/>
        <w:rPr>
          <w:rFonts w:ascii="宋体" w:hAnsi="宋体" w:eastAsia="宋体" w:cs="宋体"/>
          <w:sz w:val="17"/>
          <w:szCs w:val="17"/>
        </w:rPr>
      </w:pPr>
      <w:r>
        <w:rPr>
          <w:rFonts w:ascii="宋体" w:hAnsi="宋体" w:eastAsia="宋体" w:cs="宋体"/>
          <w:spacing w:val="8"/>
          <w:sz w:val="17"/>
          <w:szCs w:val="17"/>
        </w:rPr>
        <w:t>分值为100分；测试时间为60分钟。</w:t>
      </w:r>
    </w:p>
    <w:p w14:paraId="6C05849D">
      <w:pPr>
        <w:spacing w:before="87" w:line="222" w:lineRule="auto"/>
        <w:ind w:left="3"/>
        <w:rPr>
          <w:rFonts w:ascii="黑体" w:hAnsi="黑体" w:eastAsia="黑体" w:cs="黑体"/>
          <w:sz w:val="23"/>
          <w:szCs w:val="23"/>
        </w:rPr>
      </w:pPr>
      <w:r>
        <w:rPr>
          <w:rFonts w:ascii="黑体" w:hAnsi="黑体" w:eastAsia="黑体" w:cs="黑体"/>
          <w:b/>
          <w:bCs/>
          <w:spacing w:val="-7"/>
          <w:sz w:val="23"/>
          <w:szCs w:val="23"/>
        </w:rPr>
        <w:t>二、技能要求</w:t>
      </w:r>
    </w:p>
    <w:p w14:paraId="1D5873AE">
      <w:pPr>
        <w:spacing w:before="83" w:line="219" w:lineRule="auto"/>
        <w:ind w:left="350"/>
        <w:rPr>
          <w:rFonts w:ascii="宋体" w:hAnsi="宋体" w:eastAsia="宋体" w:cs="宋体"/>
          <w:sz w:val="17"/>
          <w:szCs w:val="17"/>
        </w:rPr>
      </w:pPr>
      <w:r>
        <w:rPr>
          <w:rFonts w:ascii="宋体" w:hAnsi="宋体" w:eastAsia="宋体" w:cs="宋体"/>
          <w:spacing w:val="-1"/>
          <w:sz w:val="17"/>
          <w:szCs w:val="17"/>
        </w:rPr>
        <w:t>1、能按要求剖开鸡体，暴露有关脏器</w:t>
      </w:r>
    </w:p>
    <w:p w14:paraId="1C7AACA6">
      <w:pPr>
        <w:spacing w:before="90" w:line="219" w:lineRule="auto"/>
        <w:ind w:left="350"/>
        <w:rPr>
          <w:rFonts w:ascii="宋体" w:hAnsi="宋体" w:eastAsia="宋体" w:cs="宋体"/>
          <w:sz w:val="17"/>
          <w:szCs w:val="17"/>
        </w:rPr>
      </w:pPr>
      <w:r>
        <w:rPr>
          <w:rFonts w:ascii="宋体" w:hAnsi="宋体" w:eastAsia="宋体" w:cs="宋体"/>
          <w:spacing w:val="-1"/>
          <w:sz w:val="17"/>
          <w:szCs w:val="17"/>
        </w:rPr>
        <w:t>2、能识别鸡的主要内脏器官的形态、位置</w:t>
      </w:r>
    </w:p>
    <w:p w14:paraId="5D61CD14">
      <w:pPr>
        <w:spacing w:before="87" w:line="222" w:lineRule="auto"/>
        <w:ind w:left="3"/>
        <w:rPr>
          <w:rFonts w:ascii="黑体" w:hAnsi="黑体" w:eastAsia="黑体" w:cs="黑体"/>
          <w:sz w:val="23"/>
          <w:szCs w:val="23"/>
        </w:rPr>
      </w:pPr>
      <w:r>
        <w:rPr>
          <w:rFonts w:ascii="黑体" w:hAnsi="黑体" w:eastAsia="黑体" w:cs="黑体"/>
          <w:b/>
          <w:bCs/>
          <w:spacing w:val="-7"/>
          <w:sz w:val="23"/>
          <w:szCs w:val="23"/>
        </w:rPr>
        <w:t>三、器械与材料</w:t>
      </w:r>
    </w:p>
    <w:p w14:paraId="30713CB6">
      <w:pPr>
        <w:spacing w:before="73" w:line="306" w:lineRule="auto"/>
        <w:ind w:right="299" w:firstLine="350"/>
        <w:jc w:val="both"/>
        <w:rPr>
          <w:rFonts w:ascii="宋体" w:hAnsi="宋体" w:eastAsia="宋体" w:cs="宋体"/>
          <w:sz w:val="17"/>
          <w:szCs w:val="17"/>
        </w:rPr>
      </w:pPr>
      <w:r>
        <w:rPr>
          <w:rFonts w:ascii="宋体" w:hAnsi="宋体" w:eastAsia="宋体" w:cs="宋体"/>
          <w:spacing w:val="-1"/>
          <w:sz w:val="17"/>
          <w:szCs w:val="17"/>
        </w:rPr>
        <w:t>成年活鸡，操作台、隔离衣、解剖剪、手术剪、手</w:t>
      </w:r>
      <w:r>
        <w:rPr>
          <w:rFonts w:ascii="宋体" w:hAnsi="宋体" w:eastAsia="宋体" w:cs="宋体"/>
          <w:spacing w:val="6"/>
          <w:sz w:val="17"/>
          <w:szCs w:val="17"/>
        </w:rPr>
        <w:t xml:space="preserve">  </w:t>
      </w:r>
      <w:r>
        <w:rPr>
          <w:rFonts w:ascii="宋体" w:hAnsi="宋体" w:eastAsia="宋体" w:cs="宋体"/>
          <w:spacing w:val="-9"/>
          <w:sz w:val="17"/>
          <w:szCs w:val="17"/>
        </w:rPr>
        <w:t>术镊、搪瓷托盘、消毒盆、污物桶，消毒液、一次性手套、</w:t>
      </w:r>
      <w:r>
        <w:rPr>
          <w:rFonts w:ascii="宋体" w:hAnsi="宋体" w:eastAsia="宋体" w:cs="宋体"/>
          <w:spacing w:val="8"/>
          <w:sz w:val="17"/>
          <w:szCs w:val="17"/>
        </w:rPr>
        <w:t xml:space="preserve"> </w:t>
      </w:r>
      <w:r>
        <w:rPr>
          <w:rFonts w:ascii="宋体" w:hAnsi="宋体" w:eastAsia="宋体" w:cs="宋体"/>
          <w:spacing w:val="-3"/>
          <w:sz w:val="17"/>
          <w:szCs w:val="17"/>
        </w:rPr>
        <w:t>一次性口罩、肥皂、毛巾。</w:t>
      </w:r>
    </w:p>
    <w:p w14:paraId="40F88BAF">
      <w:pPr>
        <w:spacing w:before="23" w:line="221" w:lineRule="auto"/>
        <w:ind w:left="3"/>
        <w:rPr>
          <w:rFonts w:ascii="黑体" w:hAnsi="黑体" w:eastAsia="黑体" w:cs="黑体"/>
          <w:sz w:val="23"/>
          <w:szCs w:val="23"/>
        </w:rPr>
      </w:pPr>
      <w:r>
        <w:rPr>
          <w:rFonts w:ascii="黑体" w:hAnsi="黑体" w:eastAsia="黑体" w:cs="黑体"/>
          <w:b/>
          <w:bCs/>
          <w:spacing w:val="-8"/>
          <w:sz w:val="23"/>
          <w:szCs w:val="23"/>
        </w:rPr>
        <w:t>四、步骤及方法</w:t>
      </w:r>
    </w:p>
    <w:p w14:paraId="7AC89C87">
      <w:pPr>
        <w:spacing w:before="98" w:line="219" w:lineRule="auto"/>
        <w:ind w:left="350"/>
        <w:rPr>
          <w:rFonts w:ascii="宋体" w:hAnsi="宋体" w:eastAsia="宋体" w:cs="宋体"/>
          <w:sz w:val="17"/>
          <w:szCs w:val="17"/>
        </w:rPr>
      </w:pPr>
      <w:r>
        <w:rPr>
          <w:rFonts w:ascii="宋体" w:hAnsi="宋体" w:eastAsia="宋体" w:cs="宋体"/>
          <w:spacing w:val="-3"/>
          <w:sz w:val="17"/>
          <w:szCs w:val="17"/>
        </w:rPr>
        <w:t>1、准备工作：检查清点实操物品是否齐全。</w:t>
      </w:r>
    </w:p>
    <w:p w14:paraId="1EA45669">
      <w:pPr>
        <w:spacing w:before="97" w:line="257" w:lineRule="auto"/>
        <w:ind w:right="378" w:firstLine="350"/>
        <w:rPr>
          <w:rFonts w:ascii="宋体" w:hAnsi="宋体" w:eastAsia="宋体" w:cs="宋体"/>
          <w:sz w:val="17"/>
          <w:szCs w:val="17"/>
        </w:rPr>
      </w:pPr>
      <w:r>
        <w:rPr>
          <w:rFonts w:ascii="宋体" w:hAnsi="宋体" w:eastAsia="宋体" w:cs="宋体"/>
          <w:spacing w:val="5"/>
          <w:sz w:val="17"/>
          <w:szCs w:val="17"/>
        </w:rPr>
        <w:t>2、鸡的致死：选择静脉放血或寰枕关节脱臼等方</w:t>
      </w:r>
      <w:r>
        <w:rPr>
          <w:rFonts w:ascii="宋体" w:hAnsi="宋体" w:eastAsia="宋体" w:cs="宋体"/>
          <w:sz w:val="17"/>
          <w:szCs w:val="17"/>
        </w:rPr>
        <w:t xml:space="preserve"> </w:t>
      </w:r>
      <w:r>
        <w:rPr>
          <w:rFonts w:ascii="宋体" w:hAnsi="宋体" w:eastAsia="宋体" w:cs="宋体"/>
          <w:spacing w:val="-5"/>
          <w:sz w:val="17"/>
          <w:szCs w:val="17"/>
        </w:rPr>
        <w:t>式将鸡致死。</w:t>
      </w:r>
    </w:p>
    <w:p w14:paraId="6A65CA30">
      <w:pPr>
        <w:spacing w:before="98" w:line="184" w:lineRule="auto"/>
        <w:ind w:left="350"/>
        <w:rPr>
          <w:rFonts w:ascii="宋体" w:hAnsi="宋体" w:eastAsia="宋体" w:cs="宋体"/>
          <w:sz w:val="17"/>
          <w:szCs w:val="17"/>
        </w:rPr>
      </w:pPr>
      <w:r>
        <w:rPr>
          <w:rFonts w:ascii="宋体" w:hAnsi="宋体" w:eastAsia="宋体" w:cs="宋体"/>
          <w:spacing w:val="-6"/>
          <w:sz w:val="17"/>
          <w:szCs w:val="17"/>
        </w:rPr>
        <w:t>3、浸湿羽毛：用消毒液浸湿鸡的颈、胸、腹部</w:t>
      </w:r>
      <w:r>
        <w:rPr>
          <w:rFonts w:ascii="宋体" w:hAnsi="宋体" w:eastAsia="宋体" w:cs="宋体"/>
          <w:spacing w:val="-7"/>
          <w:sz w:val="17"/>
          <w:szCs w:val="17"/>
        </w:rPr>
        <w:t>羽毛。</w:t>
      </w:r>
    </w:p>
    <w:p w14:paraId="53CD1B59">
      <w:pPr>
        <w:pStyle w:val="2"/>
        <w:spacing w:line="14" w:lineRule="auto"/>
        <w:rPr>
          <w:sz w:val="2"/>
        </w:rPr>
      </w:pPr>
      <w:r>
        <w:rPr>
          <w:sz w:val="2"/>
          <w:szCs w:val="2"/>
        </w:rPr>
        <w:br w:type="column"/>
      </w:r>
    </w:p>
    <w:p w14:paraId="6776A995">
      <w:pPr>
        <w:spacing w:before="21" w:line="257" w:lineRule="auto"/>
        <w:ind w:left="4" w:right="73" w:firstLine="360"/>
        <w:rPr>
          <w:rFonts w:ascii="宋体" w:hAnsi="宋体" w:eastAsia="宋体" w:cs="宋体"/>
          <w:sz w:val="17"/>
          <w:szCs w:val="17"/>
        </w:rPr>
      </w:pPr>
      <w:r>
        <w:rPr>
          <w:rFonts w:ascii="宋体" w:hAnsi="宋体" w:eastAsia="宋体" w:cs="宋体"/>
          <w:spacing w:val="4"/>
          <w:sz w:val="17"/>
          <w:szCs w:val="17"/>
        </w:rPr>
        <w:t>4、固定尸体：将髋关节脱臼，使鸡的尸体平稳仰</w:t>
      </w:r>
      <w:r>
        <w:rPr>
          <w:rFonts w:ascii="宋体" w:hAnsi="宋体" w:eastAsia="宋体" w:cs="宋体"/>
          <w:spacing w:val="17"/>
          <w:sz w:val="17"/>
          <w:szCs w:val="17"/>
        </w:rPr>
        <w:t xml:space="preserve"> </w:t>
      </w:r>
      <w:r>
        <w:rPr>
          <w:rFonts w:ascii="宋体" w:hAnsi="宋体" w:eastAsia="宋体" w:cs="宋体"/>
          <w:spacing w:val="-5"/>
          <w:sz w:val="17"/>
          <w:szCs w:val="17"/>
        </w:rPr>
        <w:t>卧在解剖台上。</w:t>
      </w:r>
    </w:p>
    <w:p w14:paraId="4E484716">
      <w:pPr>
        <w:spacing w:before="86" w:line="279" w:lineRule="auto"/>
        <w:ind w:left="5" w:right="71" w:firstLine="360"/>
        <w:rPr>
          <w:rFonts w:ascii="宋体" w:hAnsi="宋体" w:eastAsia="宋体" w:cs="宋体"/>
          <w:sz w:val="17"/>
          <w:szCs w:val="17"/>
        </w:rPr>
      </w:pPr>
      <w:r>
        <w:rPr>
          <w:rFonts w:ascii="宋体" w:hAnsi="宋体" w:eastAsia="宋体" w:cs="宋体"/>
          <w:spacing w:val="4"/>
          <w:sz w:val="17"/>
          <w:szCs w:val="17"/>
        </w:rPr>
        <w:t>5、剪开皮肤：由喙的腹侧沿颈部、胸部、腹部到</w:t>
      </w:r>
      <w:r>
        <w:rPr>
          <w:rFonts w:ascii="宋体" w:hAnsi="宋体" w:eastAsia="宋体" w:cs="宋体"/>
          <w:spacing w:val="17"/>
          <w:sz w:val="17"/>
          <w:szCs w:val="17"/>
        </w:rPr>
        <w:t xml:space="preserve"> </w:t>
      </w:r>
      <w:r>
        <w:rPr>
          <w:rFonts w:ascii="宋体" w:hAnsi="宋体" w:eastAsia="宋体" w:cs="宋体"/>
          <w:spacing w:val="2"/>
          <w:sz w:val="17"/>
          <w:szCs w:val="17"/>
        </w:rPr>
        <w:t>泄殖腔剪开皮肤，并向两侧剥离到两翼、后</w:t>
      </w:r>
      <w:r>
        <w:rPr>
          <w:rFonts w:ascii="宋体" w:hAnsi="宋体" w:eastAsia="宋体" w:cs="宋体"/>
          <w:spacing w:val="1"/>
          <w:sz w:val="17"/>
          <w:szCs w:val="17"/>
        </w:rPr>
        <w:t>肢与躯干相</w:t>
      </w:r>
      <w:r>
        <w:rPr>
          <w:rFonts w:ascii="宋体" w:hAnsi="宋体" w:eastAsia="宋体" w:cs="宋体"/>
          <w:sz w:val="17"/>
          <w:szCs w:val="17"/>
        </w:rPr>
        <w:t xml:space="preserve"> </w:t>
      </w:r>
      <w:r>
        <w:rPr>
          <w:rFonts w:ascii="宋体" w:hAnsi="宋体" w:eastAsia="宋体" w:cs="宋体"/>
          <w:spacing w:val="-8"/>
          <w:sz w:val="17"/>
          <w:szCs w:val="17"/>
        </w:rPr>
        <w:t>连处。</w:t>
      </w:r>
    </w:p>
    <w:p w14:paraId="3B48DCFB">
      <w:pPr>
        <w:spacing w:before="100" w:line="219" w:lineRule="auto"/>
        <w:ind w:left="365"/>
        <w:rPr>
          <w:rFonts w:ascii="宋体" w:hAnsi="宋体" w:eastAsia="宋体" w:cs="宋体"/>
          <w:sz w:val="17"/>
          <w:szCs w:val="17"/>
        </w:rPr>
      </w:pPr>
      <w:r>
        <w:rPr>
          <w:rFonts w:ascii="宋体" w:hAnsi="宋体" w:eastAsia="宋体" w:cs="宋体"/>
          <w:spacing w:val="-1"/>
          <w:sz w:val="17"/>
          <w:szCs w:val="17"/>
        </w:rPr>
        <w:t>6、剪开腹壁：在胸骨与泄殖腔之间剪开腹壁。</w:t>
      </w:r>
    </w:p>
    <w:p w14:paraId="23F87611">
      <w:pPr>
        <w:spacing w:before="87" w:line="272" w:lineRule="auto"/>
        <w:ind w:left="5" w:firstLine="360"/>
        <w:rPr>
          <w:rFonts w:ascii="宋体" w:hAnsi="宋体" w:eastAsia="宋体" w:cs="宋体"/>
          <w:sz w:val="17"/>
          <w:szCs w:val="17"/>
        </w:rPr>
      </w:pPr>
      <w:r>
        <w:rPr>
          <w:rFonts w:ascii="宋体" w:hAnsi="宋体" w:eastAsia="宋体" w:cs="宋体"/>
          <w:spacing w:val="-7"/>
          <w:sz w:val="17"/>
          <w:szCs w:val="17"/>
        </w:rPr>
        <w:t>7、暴露口咽：在头部剪开一侧口咽，到食管的前端，</w:t>
      </w:r>
      <w:r>
        <w:rPr>
          <w:rFonts w:ascii="宋体" w:hAnsi="宋体" w:eastAsia="宋体" w:cs="宋体"/>
          <w:spacing w:val="6"/>
          <w:sz w:val="17"/>
          <w:szCs w:val="17"/>
        </w:rPr>
        <w:t xml:space="preserve"> </w:t>
      </w:r>
      <w:r>
        <w:rPr>
          <w:rFonts w:ascii="宋体" w:hAnsi="宋体" w:eastAsia="宋体" w:cs="宋体"/>
          <w:spacing w:val="-3"/>
          <w:sz w:val="17"/>
          <w:szCs w:val="17"/>
        </w:rPr>
        <w:t>暴露出口咽，观察气囊。</w:t>
      </w:r>
    </w:p>
    <w:p w14:paraId="5984B58F">
      <w:pPr>
        <w:spacing w:before="79" w:line="283" w:lineRule="auto"/>
        <w:ind w:left="5" w:firstLine="360"/>
        <w:rPr>
          <w:rFonts w:ascii="宋体" w:hAnsi="宋体" w:eastAsia="宋体" w:cs="宋体"/>
          <w:sz w:val="17"/>
          <w:szCs w:val="17"/>
        </w:rPr>
      </w:pPr>
      <w:r>
        <w:rPr>
          <w:rFonts w:ascii="宋体" w:hAnsi="宋体" w:eastAsia="宋体" w:cs="宋体"/>
          <w:spacing w:val="-7"/>
          <w:sz w:val="17"/>
          <w:szCs w:val="17"/>
        </w:rPr>
        <w:t>8、观察内脏：剪除胸骨，展现胸腹腔，观察心、肺、</w:t>
      </w:r>
      <w:r>
        <w:rPr>
          <w:rFonts w:ascii="宋体" w:hAnsi="宋体" w:eastAsia="宋体" w:cs="宋体"/>
          <w:spacing w:val="6"/>
          <w:sz w:val="17"/>
          <w:szCs w:val="17"/>
        </w:rPr>
        <w:t xml:space="preserve"> </w:t>
      </w:r>
      <w:r>
        <w:rPr>
          <w:rFonts w:ascii="宋体" w:hAnsi="宋体" w:eastAsia="宋体" w:cs="宋体"/>
          <w:spacing w:val="-9"/>
          <w:sz w:val="17"/>
          <w:szCs w:val="17"/>
        </w:rPr>
        <w:t>肝、胰、腺胃、肌胃、脾、十二指肠、空肠、回肠、盲肠、</w:t>
      </w:r>
      <w:r>
        <w:rPr>
          <w:rFonts w:ascii="宋体" w:hAnsi="宋体" w:eastAsia="宋体" w:cs="宋体"/>
          <w:spacing w:val="8"/>
          <w:sz w:val="17"/>
          <w:szCs w:val="17"/>
        </w:rPr>
        <w:t xml:space="preserve"> </w:t>
      </w:r>
      <w:r>
        <w:rPr>
          <w:rFonts w:ascii="宋体" w:hAnsi="宋体" w:eastAsia="宋体" w:cs="宋体"/>
          <w:spacing w:val="-3"/>
          <w:sz w:val="17"/>
          <w:szCs w:val="17"/>
        </w:rPr>
        <w:t>肾、腔上囊等内脏器官的形态、位置。</w:t>
      </w:r>
    </w:p>
    <w:p w14:paraId="337D85BC">
      <w:pPr>
        <w:spacing w:before="107" w:line="220" w:lineRule="auto"/>
        <w:ind w:left="28"/>
        <w:rPr>
          <w:rFonts w:ascii="宋体" w:hAnsi="宋体" w:eastAsia="宋体" w:cs="宋体"/>
          <w:sz w:val="22"/>
          <w:szCs w:val="22"/>
        </w:rPr>
      </w:pPr>
      <w:r>
        <w:rPr>
          <w:rFonts w:ascii="宋体" w:hAnsi="宋体" w:eastAsia="宋体" w:cs="宋体"/>
          <w:b/>
          <w:bCs/>
          <w:spacing w:val="-4"/>
          <w:sz w:val="22"/>
          <w:szCs w:val="22"/>
        </w:rPr>
        <w:t>五、评分标准</w:t>
      </w:r>
    </w:p>
    <w:p w14:paraId="08A734F1">
      <w:pPr>
        <w:spacing w:line="74" w:lineRule="auto"/>
        <w:rPr>
          <w:rFonts w:ascii="Arial"/>
          <w:sz w:val="2"/>
        </w:rPr>
      </w:pPr>
    </w:p>
    <w:tbl>
      <w:tblPr>
        <w:tblStyle w:val="5"/>
        <w:tblW w:w="412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394"/>
        <w:gridCol w:w="519"/>
        <w:gridCol w:w="2095"/>
        <w:gridCol w:w="539"/>
        <w:gridCol w:w="573"/>
      </w:tblGrid>
      <w:tr w14:paraId="105575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5" w:hRule="atLeast"/>
        </w:trPr>
        <w:tc>
          <w:tcPr>
            <w:tcW w:w="394" w:type="dxa"/>
            <w:textDirection w:val="tbRlV"/>
            <w:vAlign w:val="top"/>
          </w:tcPr>
          <w:p w14:paraId="193C3524">
            <w:pPr>
              <w:pStyle w:val="6"/>
              <w:spacing w:before="119" w:line="199" w:lineRule="auto"/>
              <w:ind w:left="93"/>
            </w:pPr>
            <w:r>
              <w:rPr>
                <w:b/>
                <w:bCs/>
                <w:spacing w:val="-2"/>
              </w:rPr>
              <w:t>序号</w:t>
            </w:r>
          </w:p>
        </w:tc>
        <w:tc>
          <w:tcPr>
            <w:tcW w:w="519" w:type="dxa"/>
            <w:vAlign w:val="top"/>
          </w:tcPr>
          <w:p w14:paraId="7CA517DB">
            <w:pPr>
              <w:pStyle w:val="6"/>
              <w:spacing w:before="81" w:line="228" w:lineRule="auto"/>
              <w:ind w:left="83" w:right="81"/>
            </w:pPr>
            <w:r>
              <w:rPr>
                <w:b/>
                <w:bCs/>
                <w:spacing w:val="-6"/>
              </w:rPr>
              <w:t>测试</w:t>
            </w:r>
            <w:r>
              <w:t xml:space="preserve"> </w:t>
            </w:r>
            <w:r>
              <w:rPr>
                <w:b/>
                <w:bCs/>
              </w:rPr>
              <w:t>内容</w:t>
            </w:r>
          </w:p>
        </w:tc>
        <w:tc>
          <w:tcPr>
            <w:tcW w:w="2095" w:type="dxa"/>
            <w:vAlign w:val="top"/>
          </w:tcPr>
          <w:p w14:paraId="6F10B92B">
            <w:pPr>
              <w:pStyle w:val="6"/>
              <w:spacing w:before="190" w:line="220" w:lineRule="auto"/>
              <w:ind w:left="724"/>
            </w:pPr>
            <w:r>
              <w:rPr>
                <w:b/>
                <w:bCs/>
                <w:spacing w:val="-3"/>
              </w:rPr>
              <w:t>评分标准</w:t>
            </w:r>
          </w:p>
        </w:tc>
        <w:tc>
          <w:tcPr>
            <w:tcW w:w="539" w:type="dxa"/>
            <w:vAlign w:val="top"/>
          </w:tcPr>
          <w:p w14:paraId="6E042F93">
            <w:pPr>
              <w:pStyle w:val="6"/>
              <w:spacing w:before="189" w:line="219" w:lineRule="auto"/>
              <w:ind w:left="99"/>
            </w:pPr>
            <w:r>
              <w:rPr>
                <w:b/>
                <w:bCs/>
                <w:spacing w:val="-4"/>
              </w:rPr>
              <w:t>分值</w:t>
            </w:r>
          </w:p>
        </w:tc>
        <w:tc>
          <w:tcPr>
            <w:tcW w:w="573" w:type="dxa"/>
            <w:vAlign w:val="top"/>
          </w:tcPr>
          <w:p w14:paraId="09CB8CAA">
            <w:pPr>
              <w:pStyle w:val="6"/>
              <w:spacing w:before="189" w:line="219" w:lineRule="auto"/>
              <w:ind w:left="120"/>
            </w:pPr>
            <w:r>
              <w:rPr>
                <w:b/>
                <w:bCs/>
                <w:spacing w:val="-4"/>
              </w:rPr>
              <w:t>得分</w:t>
            </w:r>
          </w:p>
        </w:tc>
      </w:tr>
      <w:tr w14:paraId="48686F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9" w:hRule="atLeast"/>
        </w:trPr>
        <w:tc>
          <w:tcPr>
            <w:tcW w:w="394" w:type="dxa"/>
            <w:vAlign w:val="top"/>
          </w:tcPr>
          <w:p w14:paraId="645EC06A">
            <w:pPr>
              <w:pStyle w:val="6"/>
              <w:spacing w:before="199" w:line="184" w:lineRule="auto"/>
              <w:ind w:left="145"/>
            </w:pPr>
            <w:r>
              <w:t>1</w:t>
            </w:r>
          </w:p>
        </w:tc>
        <w:tc>
          <w:tcPr>
            <w:tcW w:w="519" w:type="dxa"/>
            <w:vAlign w:val="top"/>
          </w:tcPr>
          <w:p w14:paraId="6CA6165B">
            <w:pPr>
              <w:pStyle w:val="6"/>
              <w:spacing w:before="59" w:line="228" w:lineRule="auto"/>
              <w:ind w:left="81" w:right="93"/>
            </w:pPr>
            <w:r>
              <w:rPr>
                <w:spacing w:val="-3"/>
              </w:rPr>
              <w:t>鸡的</w:t>
            </w:r>
            <w:r>
              <w:t xml:space="preserve"> </w:t>
            </w:r>
            <w:r>
              <w:rPr>
                <w:spacing w:val="-4"/>
              </w:rPr>
              <w:t>致死</w:t>
            </w:r>
          </w:p>
        </w:tc>
        <w:tc>
          <w:tcPr>
            <w:tcW w:w="2095" w:type="dxa"/>
            <w:vAlign w:val="top"/>
          </w:tcPr>
          <w:p w14:paraId="1E235AEB">
            <w:pPr>
              <w:pStyle w:val="6"/>
              <w:spacing w:before="66" w:line="219" w:lineRule="auto"/>
              <w:ind w:left="12" w:right="28" w:firstLine="9"/>
            </w:pPr>
            <w:r>
              <w:rPr>
                <w:spacing w:val="-1"/>
              </w:rPr>
              <w:t>将鸡致死方法正确得10分，</w:t>
            </w:r>
            <w:r>
              <w:rPr>
                <w:spacing w:val="6"/>
              </w:rPr>
              <w:t xml:space="preserve"> </w:t>
            </w:r>
            <w:r>
              <w:rPr>
                <w:spacing w:val="-1"/>
              </w:rPr>
              <w:t>有误酌情扣分。</w:t>
            </w:r>
          </w:p>
        </w:tc>
        <w:tc>
          <w:tcPr>
            <w:tcW w:w="539" w:type="dxa"/>
            <w:vAlign w:val="top"/>
          </w:tcPr>
          <w:p w14:paraId="0E91BB08">
            <w:pPr>
              <w:pStyle w:val="6"/>
              <w:spacing w:before="199" w:line="184" w:lineRule="auto"/>
              <w:ind w:left="177"/>
            </w:pPr>
            <w:r>
              <w:rPr>
                <w:spacing w:val="-5"/>
              </w:rPr>
              <w:t>10</w:t>
            </w:r>
          </w:p>
        </w:tc>
        <w:tc>
          <w:tcPr>
            <w:tcW w:w="573" w:type="dxa"/>
            <w:vAlign w:val="top"/>
          </w:tcPr>
          <w:p w14:paraId="65640C3B">
            <w:pPr>
              <w:rPr>
                <w:rFonts w:ascii="Arial"/>
                <w:sz w:val="21"/>
              </w:rPr>
            </w:pPr>
          </w:p>
        </w:tc>
      </w:tr>
      <w:tr w14:paraId="2DE089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9" w:hRule="atLeast"/>
        </w:trPr>
        <w:tc>
          <w:tcPr>
            <w:tcW w:w="394" w:type="dxa"/>
            <w:vAlign w:val="top"/>
          </w:tcPr>
          <w:p w14:paraId="63417CEC">
            <w:pPr>
              <w:pStyle w:val="6"/>
              <w:spacing w:before="211" w:line="183" w:lineRule="auto"/>
              <w:ind w:left="145"/>
            </w:pPr>
            <w:r>
              <w:t>2</w:t>
            </w:r>
          </w:p>
        </w:tc>
        <w:tc>
          <w:tcPr>
            <w:tcW w:w="519" w:type="dxa"/>
            <w:vAlign w:val="top"/>
          </w:tcPr>
          <w:p w14:paraId="20CFFAE7">
            <w:pPr>
              <w:pStyle w:val="6"/>
              <w:spacing w:before="78" w:line="223" w:lineRule="auto"/>
              <w:ind w:left="81" w:right="94"/>
            </w:pPr>
            <w:r>
              <w:rPr>
                <w:spacing w:val="-4"/>
              </w:rPr>
              <w:t>浸湿</w:t>
            </w:r>
            <w:r>
              <w:t xml:space="preserve"> </w:t>
            </w:r>
            <w:r>
              <w:rPr>
                <w:spacing w:val="-4"/>
              </w:rPr>
              <w:t>羽毛</w:t>
            </w:r>
          </w:p>
        </w:tc>
        <w:tc>
          <w:tcPr>
            <w:tcW w:w="2095" w:type="dxa"/>
            <w:vAlign w:val="top"/>
          </w:tcPr>
          <w:p w14:paraId="0CE1D881">
            <w:pPr>
              <w:pStyle w:val="6"/>
              <w:spacing w:before="78" w:line="223" w:lineRule="auto"/>
              <w:ind w:left="12" w:right="38"/>
            </w:pPr>
            <w:r>
              <w:rPr>
                <w:spacing w:val="-1"/>
              </w:rPr>
              <w:t>解剖前对鸡羽毛处理正确得</w:t>
            </w:r>
            <w:r>
              <w:rPr>
                <w:spacing w:val="5"/>
              </w:rPr>
              <w:t xml:space="preserve"> </w:t>
            </w:r>
            <w:r>
              <w:rPr>
                <w:spacing w:val="-1"/>
              </w:rPr>
              <w:t>5分，否则酌情扣分。</w:t>
            </w:r>
          </w:p>
        </w:tc>
        <w:tc>
          <w:tcPr>
            <w:tcW w:w="539" w:type="dxa"/>
            <w:vAlign w:val="top"/>
          </w:tcPr>
          <w:p w14:paraId="5664D011">
            <w:pPr>
              <w:pStyle w:val="6"/>
              <w:spacing w:before="212" w:line="182" w:lineRule="auto"/>
              <w:ind w:left="217"/>
            </w:pPr>
            <w:r>
              <w:t>5</w:t>
            </w:r>
          </w:p>
        </w:tc>
        <w:tc>
          <w:tcPr>
            <w:tcW w:w="573" w:type="dxa"/>
            <w:vAlign w:val="top"/>
          </w:tcPr>
          <w:p w14:paraId="4D43160F">
            <w:pPr>
              <w:rPr>
                <w:rFonts w:ascii="Arial"/>
                <w:sz w:val="21"/>
              </w:rPr>
            </w:pPr>
          </w:p>
        </w:tc>
      </w:tr>
      <w:tr w14:paraId="27EE04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9" w:hRule="atLeast"/>
        </w:trPr>
        <w:tc>
          <w:tcPr>
            <w:tcW w:w="394" w:type="dxa"/>
            <w:vAlign w:val="top"/>
          </w:tcPr>
          <w:p w14:paraId="45E373AA">
            <w:pPr>
              <w:pStyle w:val="6"/>
              <w:spacing w:before="212" w:line="183" w:lineRule="auto"/>
              <w:ind w:left="145"/>
            </w:pPr>
            <w:r>
              <w:t>3</w:t>
            </w:r>
          </w:p>
        </w:tc>
        <w:tc>
          <w:tcPr>
            <w:tcW w:w="519" w:type="dxa"/>
            <w:vAlign w:val="top"/>
          </w:tcPr>
          <w:p w14:paraId="4DF1B890">
            <w:pPr>
              <w:pStyle w:val="6"/>
              <w:spacing w:before="79" w:line="225" w:lineRule="auto"/>
              <w:ind w:left="81" w:right="76"/>
            </w:pPr>
            <w:r>
              <w:rPr>
                <w:spacing w:val="5"/>
              </w:rPr>
              <w:t>固定</w:t>
            </w:r>
            <w:r>
              <w:t xml:space="preserve"> </w:t>
            </w:r>
            <w:r>
              <w:rPr>
                <w:spacing w:val="-3"/>
              </w:rPr>
              <w:t>尸体</w:t>
            </w:r>
          </w:p>
        </w:tc>
        <w:tc>
          <w:tcPr>
            <w:tcW w:w="2095" w:type="dxa"/>
            <w:vAlign w:val="top"/>
          </w:tcPr>
          <w:p w14:paraId="358C18B5">
            <w:pPr>
              <w:pStyle w:val="6"/>
              <w:spacing w:before="68" w:line="230" w:lineRule="auto"/>
              <w:ind w:left="12" w:right="124"/>
            </w:pPr>
            <w:r>
              <w:rPr>
                <w:spacing w:val="-1"/>
              </w:rPr>
              <w:t>摆放方式正确者得5分，有</w:t>
            </w:r>
            <w:r>
              <w:rPr>
                <w:spacing w:val="4"/>
              </w:rPr>
              <w:t xml:space="preserve"> </w:t>
            </w:r>
            <w:r>
              <w:rPr>
                <w:spacing w:val="-1"/>
              </w:rPr>
              <w:t>误酌情扣分。</w:t>
            </w:r>
          </w:p>
        </w:tc>
        <w:tc>
          <w:tcPr>
            <w:tcW w:w="539" w:type="dxa"/>
            <w:vAlign w:val="top"/>
          </w:tcPr>
          <w:p w14:paraId="24CF594B">
            <w:pPr>
              <w:pStyle w:val="6"/>
              <w:spacing w:before="213" w:line="182" w:lineRule="auto"/>
              <w:ind w:left="217"/>
            </w:pPr>
            <w:r>
              <w:t>5</w:t>
            </w:r>
          </w:p>
        </w:tc>
        <w:tc>
          <w:tcPr>
            <w:tcW w:w="573" w:type="dxa"/>
            <w:vAlign w:val="top"/>
          </w:tcPr>
          <w:p w14:paraId="552B826B">
            <w:pPr>
              <w:rPr>
                <w:rFonts w:ascii="Arial"/>
                <w:sz w:val="21"/>
              </w:rPr>
            </w:pPr>
          </w:p>
        </w:tc>
      </w:tr>
      <w:tr w14:paraId="1C5C0E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19" w:hRule="atLeast"/>
        </w:trPr>
        <w:tc>
          <w:tcPr>
            <w:tcW w:w="394" w:type="dxa"/>
            <w:vAlign w:val="top"/>
          </w:tcPr>
          <w:p w14:paraId="23BAE372">
            <w:pPr>
              <w:spacing w:line="267" w:lineRule="auto"/>
              <w:rPr>
                <w:rFonts w:ascii="Arial"/>
                <w:sz w:val="21"/>
              </w:rPr>
            </w:pPr>
          </w:p>
          <w:p w14:paraId="536B1CCF">
            <w:pPr>
              <w:pStyle w:val="6"/>
              <w:spacing w:before="55" w:line="183" w:lineRule="auto"/>
              <w:ind w:left="145"/>
            </w:pPr>
            <w:r>
              <w:t>4</w:t>
            </w:r>
          </w:p>
        </w:tc>
        <w:tc>
          <w:tcPr>
            <w:tcW w:w="519" w:type="dxa"/>
            <w:vAlign w:val="top"/>
          </w:tcPr>
          <w:p w14:paraId="3FD89F5B">
            <w:pPr>
              <w:pStyle w:val="6"/>
              <w:spacing w:before="180" w:line="224" w:lineRule="auto"/>
              <w:ind w:left="81" w:right="95"/>
            </w:pPr>
            <w:r>
              <w:rPr>
                <w:spacing w:val="-4"/>
              </w:rPr>
              <w:t>剪开</w:t>
            </w:r>
            <w:r>
              <w:t xml:space="preserve"> </w:t>
            </w:r>
            <w:r>
              <w:rPr>
                <w:spacing w:val="-5"/>
              </w:rPr>
              <w:t>皮肤</w:t>
            </w:r>
          </w:p>
        </w:tc>
        <w:tc>
          <w:tcPr>
            <w:tcW w:w="2095" w:type="dxa"/>
            <w:vAlign w:val="top"/>
          </w:tcPr>
          <w:p w14:paraId="38D30BAD">
            <w:pPr>
              <w:pStyle w:val="6"/>
              <w:spacing w:before="80" w:line="219" w:lineRule="auto"/>
              <w:ind w:left="42"/>
            </w:pPr>
            <w:r>
              <w:t>皮肤切开方法正确得5分，</w:t>
            </w:r>
          </w:p>
          <w:p w14:paraId="47A7C434">
            <w:pPr>
              <w:pStyle w:val="6"/>
              <w:spacing w:before="9" w:line="227" w:lineRule="auto"/>
              <w:ind w:left="42"/>
            </w:pPr>
            <w:r>
              <w:rPr>
                <w:spacing w:val="-8"/>
              </w:rPr>
              <w:t>否则酌情扣分；正确剥离皮</w:t>
            </w:r>
            <w:r>
              <w:rPr>
                <w:spacing w:val="2"/>
              </w:rPr>
              <w:t xml:space="preserve">  </w:t>
            </w:r>
            <w:r>
              <w:rPr>
                <w:spacing w:val="-19"/>
              </w:rPr>
              <w:t>肤者得5分，不正确酌情扣分。</w:t>
            </w:r>
          </w:p>
        </w:tc>
        <w:tc>
          <w:tcPr>
            <w:tcW w:w="539" w:type="dxa"/>
            <w:vAlign w:val="top"/>
          </w:tcPr>
          <w:p w14:paraId="5E52069F">
            <w:pPr>
              <w:spacing w:line="266" w:lineRule="auto"/>
              <w:rPr>
                <w:rFonts w:ascii="Arial"/>
                <w:sz w:val="21"/>
              </w:rPr>
            </w:pPr>
          </w:p>
          <w:p w14:paraId="0CEDEEDB">
            <w:pPr>
              <w:pStyle w:val="6"/>
              <w:spacing w:before="55" w:line="184" w:lineRule="auto"/>
              <w:ind w:left="177"/>
            </w:pPr>
            <w:r>
              <w:rPr>
                <w:spacing w:val="-5"/>
              </w:rPr>
              <w:t>10</w:t>
            </w:r>
          </w:p>
        </w:tc>
        <w:tc>
          <w:tcPr>
            <w:tcW w:w="573" w:type="dxa"/>
            <w:vAlign w:val="top"/>
          </w:tcPr>
          <w:p w14:paraId="6ABF800F">
            <w:pPr>
              <w:rPr>
                <w:rFonts w:ascii="Arial"/>
                <w:sz w:val="21"/>
              </w:rPr>
            </w:pPr>
          </w:p>
        </w:tc>
      </w:tr>
      <w:tr w14:paraId="0E430E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19" w:hRule="atLeast"/>
        </w:trPr>
        <w:tc>
          <w:tcPr>
            <w:tcW w:w="394" w:type="dxa"/>
            <w:vAlign w:val="top"/>
          </w:tcPr>
          <w:p w14:paraId="276FFC19">
            <w:pPr>
              <w:spacing w:line="348" w:lineRule="auto"/>
              <w:rPr>
                <w:rFonts w:ascii="Arial"/>
                <w:sz w:val="21"/>
              </w:rPr>
            </w:pPr>
          </w:p>
          <w:p w14:paraId="64154A9A">
            <w:pPr>
              <w:spacing w:line="348" w:lineRule="auto"/>
              <w:rPr>
                <w:rFonts w:ascii="Arial"/>
                <w:sz w:val="21"/>
              </w:rPr>
            </w:pPr>
          </w:p>
          <w:p w14:paraId="60FA6672">
            <w:pPr>
              <w:pStyle w:val="6"/>
              <w:spacing w:before="55" w:line="182" w:lineRule="auto"/>
              <w:ind w:left="145"/>
            </w:pPr>
            <w:r>
              <w:t>5</w:t>
            </w:r>
          </w:p>
        </w:tc>
        <w:tc>
          <w:tcPr>
            <w:tcW w:w="519" w:type="dxa"/>
            <w:vAlign w:val="top"/>
          </w:tcPr>
          <w:p w14:paraId="6CF8C6F0">
            <w:pPr>
              <w:spacing w:line="265" w:lineRule="auto"/>
              <w:rPr>
                <w:rFonts w:ascii="Arial"/>
                <w:sz w:val="21"/>
              </w:rPr>
            </w:pPr>
          </w:p>
          <w:p w14:paraId="0080545B">
            <w:pPr>
              <w:spacing w:line="266" w:lineRule="auto"/>
              <w:rPr>
                <w:rFonts w:ascii="Arial"/>
                <w:sz w:val="21"/>
              </w:rPr>
            </w:pPr>
          </w:p>
          <w:p w14:paraId="3F797B27">
            <w:pPr>
              <w:pStyle w:val="6"/>
              <w:spacing w:before="56" w:line="224" w:lineRule="auto"/>
              <w:ind w:left="81" w:right="94"/>
            </w:pPr>
            <w:r>
              <w:rPr>
                <w:spacing w:val="-4"/>
              </w:rPr>
              <w:t>剪开</w:t>
            </w:r>
            <w:r>
              <w:t xml:space="preserve"> </w:t>
            </w:r>
            <w:r>
              <w:rPr>
                <w:spacing w:val="-4"/>
              </w:rPr>
              <w:t>腹壁</w:t>
            </w:r>
          </w:p>
        </w:tc>
        <w:tc>
          <w:tcPr>
            <w:tcW w:w="2095" w:type="dxa"/>
            <w:vAlign w:val="top"/>
          </w:tcPr>
          <w:p w14:paraId="4707D872">
            <w:pPr>
              <w:pStyle w:val="6"/>
              <w:spacing w:before="60" w:line="228" w:lineRule="auto"/>
              <w:ind w:left="12" w:right="307" w:firstLine="69"/>
            </w:pPr>
            <w:r>
              <w:rPr>
                <w:spacing w:val="-1"/>
              </w:rPr>
              <w:t>(1)正确切开腹壁5分，</w:t>
            </w:r>
            <w:r>
              <w:rPr>
                <w:spacing w:val="6"/>
              </w:rPr>
              <w:t xml:space="preserve"> </w:t>
            </w:r>
            <w:r>
              <w:rPr>
                <w:spacing w:val="-1"/>
              </w:rPr>
              <w:t>不正确酌情扣分。</w:t>
            </w:r>
          </w:p>
          <w:p w14:paraId="3A91308F">
            <w:pPr>
              <w:pStyle w:val="6"/>
              <w:spacing w:line="219" w:lineRule="auto"/>
              <w:ind w:left="92"/>
            </w:pPr>
            <w:r>
              <w:t>(2)由腹壁切口正确切开</w:t>
            </w:r>
          </w:p>
          <w:p w14:paraId="2BB9623D">
            <w:pPr>
              <w:pStyle w:val="6"/>
              <w:spacing w:before="8" w:line="228" w:lineRule="auto"/>
              <w:ind w:left="80" w:hanging="68"/>
            </w:pPr>
            <w:r>
              <w:rPr>
                <w:spacing w:val="-5"/>
              </w:rPr>
              <w:t>腹腔得5分，反之酌情扣分。</w:t>
            </w:r>
            <w:r>
              <w:rPr>
                <w:spacing w:val="11"/>
              </w:rPr>
              <w:t xml:space="preserve"> </w:t>
            </w:r>
            <w:r>
              <w:rPr>
                <w:spacing w:val="-3"/>
              </w:rPr>
              <w:t>(3)暴露内脏器官方法正</w:t>
            </w:r>
          </w:p>
          <w:p w14:paraId="5A366A76">
            <w:pPr>
              <w:pStyle w:val="6"/>
              <w:spacing w:line="215" w:lineRule="auto"/>
              <w:jc w:val="right"/>
            </w:pPr>
            <w:r>
              <w:rPr>
                <w:spacing w:val="-6"/>
              </w:rPr>
              <w:t>确得5分，不正确酌情扣分。</w:t>
            </w:r>
          </w:p>
        </w:tc>
        <w:tc>
          <w:tcPr>
            <w:tcW w:w="539" w:type="dxa"/>
            <w:vAlign w:val="top"/>
          </w:tcPr>
          <w:p w14:paraId="67ED1F09">
            <w:pPr>
              <w:spacing w:line="342" w:lineRule="auto"/>
              <w:rPr>
                <w:rFonts w:ascii="Arial"/>
                <w:sz w:val="21"/>
              </w:rPr>
            </w:pPr>
          </w:p>
          <w:p w14:paraId="5C9B1DAF">
            <w:pPr>
              <w:spacing w:line="342" w:lineRule="auto"/>
              <w:rPr>
                <w:rFonts w:ascii="Arial"/>
                <w:sz w:val="21"/>
              </w:rPr>
            </w:pPr>
          </w:p>
          <w:p w14:paraId="730D7F24">
            <w:pPr>
              <w:pStyle w:val="6"/>
              <w:spacing w:before="55" w:line="184" w:lineRule="auto"/>
              <w:ind w:left="177"/>
            </w:pPr>
            <w:r>
              <w:rPr>
                <w:spacing w:val="-5"/>
              </w:rPr>
              <w:t>15</w:t>
            </w:r>
          </w:p>
        </w:tc>
        <w:tc>
          <w:tcPr>
            <w:tcW w:w="573" w:type="dxa"/>
            <w:vAlign w:val="top"/>
          </w:tcPr>
          <w:p w14:paraId="1F9D9CC8">
            <w:pPr>
              <w:rPr>
                <w:rFonts w:ascii="Arial"/>
                <w:sz w:val="21"/>
              </w:rPr>
            </w:pPr>
          </w:p>
        </w:tc>
      </w:tr>
      <w:tr w14:paraId="285370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69" w:hRule="atLeast"/>
        </w:trPr>
        <w:tc>
          <w:tcPr>
            <w:tcW w:w="394" w:type="dxa"/>
            <w:vAlign w:val="top"/>
          </w:tcPr>
          <w:p w14:paraId="4BE5B43F">
            <w:pPr>
              <w:spacing w:line="438" w:lineRule="auto"/>
              <w:rPr>
                <w:rFonts w:ascii="Arial"/>
                <w:sz w:val="21"/>
              </w:rPr>
            </w:pPr>
          </w:p>
          <w:p w14:paraId="3505E0C7">
            <w:pPr>
              <w:pStyle w:val="6"/>
              <w:spacing w:before="56" w:line="182" w:lineRule="auto"/>
              <w:ind w:left="145"/>
            </w:pPr>
            <w:r>
              <w:t>7</w:t>
            </w:r>
          </w:p>
        </w:tc>
        <w:tc>
          <w:tcPr>
            <w:tcW w:w="519" w:type="dxa"/>
            <w:vAlign w:val="top"/>
          </w:tcPr>
          <w:p w14:paraId="5F3BD47C">
            <w:pPr>
              <w:spacing w:line="285" w:lineRule="auto"/>
              <w:rPr>
                <w:rFonts w:ascii="Arial"/>
                <w:sz w:val="21"/>
              </w:rPr>
            </w:pPr>
          </w:p>
          <w:p w14:paraId="4D39970F">
            <w:pPr>
              <w:pStyle w:val="6"/>
              <w:spacing w:before="55" w:line="229" w:lineRule="auto"/>
              <w:ind w:left="81" w:right="94"/>
            </w:pPr>
            <w:r>
              <w:rPr>
                <w:spacing w:val="-4"/>
              </w:rPr>
              <w:t>观察</w:t>
            </w:r>
            <w:r>
              <w:t xml:space="preserve"> </w:t>
            </w:r>
            <w:r>
              <w:rPr>
                <w:spacing w:val="-4"/>
              </w:rPr>
              <w:t>气囊</w:t>
            </w:r>
          </w:p>
        </w:tc>
        <w:tc>
          <w:tcPr>
            <w:tcW w:w="2095" w:type="dxa"/>
            <w:vAlign w:val="top"/>
          </w:tcPr>
          <w:p w14:paraId="5FC5D708">
            <w:pPr>
              <w:pStyle w:val="6"/>
              <w:spacing w:before="50" w:line="222" w:lineRule="auto"/>
              <w:ind w:left="32" w:firstLine="49"/>
            </w:pPr>
            <w:r>
              <w:t>(1)观察气囊方法正确得5</w:t>
            </w:r>
            <w:r>
              <w:rPr>
                <w:spacing w:val="4"/>
              </w:rPr>
              <w:t xml:space="preserve">  </w:t>
            </w:r>
            <w:r>
              <w:rPr>
                <w:spacing w:val="1"/>
              </w:rPr>
              <w:t>分，观察方法不正确酌情扣</w:t>
            </w:r>
            <w:r>
              <w:t xml:space="preserve"> </w:t>
            </w:r>
            <w:r>
              <w:rPr>
                <w:spacing w:val="-1"/>
              </w:rPr>
              <w:t>分。(2)观察完气囊剪除</w:t>
            </w:r>
          </w:p>
          <w:p w14:paraId="108C97F0">
            <w:pPr>
              <w:pStyle w:val="6"/>
              <w:spacing w:before="17" w:line="205" w:lineRule="auto"/>
              <w:ind w:left="12" w:right="123"/>
            </w:pPr>
            <w:r>
              <w:rPr>
                <w:spacing w:val="-1"/>
              </w:rPr>
              <w:t>胸骨得5分，不剪除胸骨酌</w:t>
            </w:r>
            <w:r>
              <w:rPr>
                <w:spacing w:val="5"/>
              </w:rPr>
              <w:t xml:space="preserve"> </w:t>
            </w:r>
            <w:r>
              <w:rPr>
                <w:spacing w:val="-1"/>
              </w:rPr>
              <w:t>情扣分。</w:t>
            </w:r>
          </w:p>
        </w:tc>
        <w:tc>
          <w:tcPr>
            <w:tcW w:w="539" w:type="dxa"/>
            <w:vAlign w:val="top"/>
          </w:tcPr>
          <w:p w14:paraId="68DB7A94">
            <w:pPr>
              <w:spacing w:line="436" w:lineRule="auto"/>
              <w:rPr>
                <w:rFonts w:ascii="Arial"/>
                <w:sz w:val="21"/>
              </w:rPr>
            </w:pPr>
          </w:p>
          <w:p w14:paraId="03681C4C">
            <w:pPr>
              <w:pStyle w:val="6"/>
              <w:spacing w:before="56" w:line="184" w:lineRule="auto"/>
              <w:ind w:left="177"/>
            </w:pPr>
            <w:r>
              <w:rPr>
                <w:spacing w:val="-5"/>
              </w:rPr>
              <w:t>10</w:t>
            </w:r>
          </w:p>
        </w:tc>
        <w:tc>
          <w:tcPr>
            <w:tcW w:w="573" w:type="dxa"/>
            <w:vAlign w:val="top"/>
          </w:tcPr>
          <w:p w14:paraId="6F7A01C6">
            <w:pPr>
              <w:rPr>
                <w:rFonts w:ascii="Arial"/>
                <w:sz w:val="21"/>
              </w:rPr>
            </w:pPr>
          </w:p>
        </w:tc>
      </w:tr>
      <w:tr w14:paraId="372719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87" w:hRule="atLeast"/>
        </w:trPr>
        <w:tc>
          <w:tcPr>
            <w:tcW w:w="394" w:type="dxa"/>
            <w:tcBorders>
              <w:bottom w:val="single" w:color="000000" w:sz="2" w:space="0"/>
            </w:tcBorders>
            <w:vAlign w:val="top"/>
          </w:tcPr>
          <w:p w14:paraId="1BF8BC29">
            <w:pPr>
              <w:spacing w:line="243" w:lineRule="auto"/>
              <w:rPr>
                <w:rFonts w:ascii="Arial"/>
                <w:sz w:val="21"/>
              </w:rPr>
            </w:pPr>
          </w:p>
          <w:p w14:paraId="52ACD7A6">
            <w:pPr>
              <w:spacing w:line="243" w:lineRule="auto"/>
              <w:rPr>
                <w:rFonts w:ascii="Arial"/>
                <w:sz w:val="21"/>
              </w:rPr>
            </w:pPr>
          </w:p>
          <w:p w14:paraId="5DA39D28">
            <w:pPr>
              <w:spacing w:line="244" w:lineRule="auto"/>
              <w:rPr>
                <w:rFonts w:ascii="Arial"/>
                <w:sz w:val="21"/>
              </w:rPr>
            </w:pPr>
          </w:p>
          <w:p w14:paraId="1EC739B6">
            <w:pPr>
              <w:spacing w:line="244" w:lineRule="auto"/>
              <w:rPr>
                <w:rFonts w:ascii="Arial"/>
                <w:sz w:val="21"/>
              </w:rPr>
            </w:pPr>
          </w:p>
          <w:p w14:paraId="503E330E">
            <w:pPr>
              <w:spacing w:line="244" w:lineRule="auto"/>
              <w:rPr>
                <w:rFonts w:ascii="Arial"/>
                <w:sz w:val="21"/>
              </w:rPr>
            </w:pPr>
          </w:p>
          <w:p w14:paraId="40AD8C5C">
            <w:pPr>
              <w:spacing w:line="244" w:lineRule="auto"/>
              <w:rPr>
                <w:rFonts w:ascii="Arial"/>
                <w:sz w:val="21"/>
              </w:rPr>
            </w:pPr>
          </w:p>
          <w:p w14:paraId="0ACD1ED9">
            <w:pPr>
              <w:pStyle w:val="6"/>
              <w:spacing w:before="55" w:line="183" w:lineRule="auto"/>
              <w:ind w:left="145"/>
            </w:pPr>
            <w:r>
              <w:t>8</w:t>
            </w:r>
          </w:p>
        </w:tc>
        <w:tc>
          <w:tcPr>
            <w:tcW w:w="519" w:type="dxa"/>
            <w:tcBorders>
              <w:bottom w:val="single" w:color="000000" w:sz="2" w:space="0"/>
            </w:tcBorders>
            <w:vAlign w:val="top"/>
          </w:tcPr>
          <w:p w14:paraId="2CD9CBC9">
            <w:pPr>
              <w:spacing w:line="288" w:lineRule="auto"/>
              <w:rPr>
                <w:rFonts w:ascii="Arial"/>
                <w:sz w:val="21"/>
              </w:rPr>
            </w:pPr>
          </w:p>
          <w:p w14:paraId="63B504A9">
            <w:pPr>
              <w:spacing w:line="288" w:lineRule="auto"/>
              <w:rPr>
                <w:rFonts w:ascii="Arial"/>
                <w:sz w:val="21"/>
              </w:rPr>
            </w:pPr>
          </w:p>
          <w:p w14:paraId="74C8B9C3">
            <w:pPr>
              <w:spacing w:line="288" w:lineRule="auto"/>
              <w:rPr>
                <w:rFonts w:ascii="Arial"/>
                <w:sz w:val="21"/>
              </w:rPr>
            </w:pPr>
          </w:p>
          <w:p w14:paraId="447EC6F5">
            <w:pPr>
              <w:pStyle w:val="6"/>
              <w:spacing w:before="55" w:line="229" w:lineRule="auto"/>
              <w:ind w:left="81" w:right="73"/>
              <w:jc w:val="both"/>
            </w:pPr>
            <w:r>
              <w:rPr>
                <w:spacing w:val="6"/>
              </w:rPr>
              <w:t>识别</w:t>
            </w:r>
            <w:r>
              <w:t xml:space="preserve"> </w:t>
            </w:r>
            <w:r>
              <w:rPr>
                <w:spacing w:val="3"/>
              </w:rPr>
              <w:t>内脏</w:t>
            </w:r>
            <w:r>
              <w:t xml:space="preserve"> </w:t>
            </w:r>
            <w:r>
              <w:rPr>
                <w:spacing w:val="-2"/>
              </w:rPr>
              <w:t>器官</w:t>
            </w:r>
          </w:p>
        </w:tc>
        <w:tc>
          <w:tcPr>
            <w:tcW w:w="2095" w:type="dxa"/>
            <w:tcBorders>
              <w:bottom w:val="single" w:color="000000" w:sz="2" w:space="0"/>
            </w:tcBorders>
            <w:vAlign w:val="top"/>
          </w:tcPr>
          <w:p w14:paraId="52C4C38A">
            <w:pPr>
              <w:pStyle w:val="6"/>
              <w:spacing w:before="83" w:line="220" w:lineRule="auto"/>
              <w:ind w:left="92"/>
            </w:pPr>
            <w:r>
              <w:t>(1)正确识别消化器官和</w:t>
            </w:r>
          </w:p>
          <w:p w14:paraId="51A585F6">
            <w:pPr>
              <w:pStyle w:val="6"/>
              <w:spacing w:before="16" w:line="207" w:lineRule="auto"/>
              <w:ind w:left="12"/>
            </w:pPr>
            <w:r>
              <w:t>心脏、脾脏得15分，找不</w:t>
            </w:r>
          </w:p>
          <w:p w14:paraId="4AA3A9AD">
            <w:pPr>
              <w:pStyle w:val="6"/>
              <w:spacing w:line="220" w:lineRule="auto"/>
              <w:jc w:val="right"/>
            </w:pPr>
            <w:r>
              <w:rPr>
                <w:spacing w:val="-11"/>
              </w:rPr>
              <w:t>到或找错相关器官酌情扣分。</w:t>
            </w:r>
          </w:p>
          <w:p w14:paraId="4803852A">
            <w:pPr>
              <w:pStyle w:val="6"/>
              <w:spacing w:before="16" w:line="230" w:lineRule="auto"/>
              <w:ind w:left="12" w:right="206" w:firstLine="79"/>
            </w:pPr>
            <w:r>
              <w:t xml:space="preserve">(2)正确识别呼吸器官得 </w:t>
            </w:r>
            <w:r>
              <w:rPr>
                <w:spacing w:val="-1"/>
              </w:rPr>
              <w:t>5分，否则酌情扣分。</w:t>
            </w:r>
          </w:p>
          <w:p w14:paraId="29CB314B">
            <w:pPr>
              <w:pStyle w:val="6"/>
              <w:spacing w:before="6" w:line="223" w:lineRule="auto"/>
              <w:ind w:left="12" w:right="206" w:firstLine="79"/>
            </w:pPr>
            <w:r>
              <w:t xml:space="preserve">(3)正确识别泌尿器官得 </w:t>
            </w:r>
            <w:r>
              <w:rPr>
                <w:spacing w:val="-1"/>
              </w:rPr>
              <w:t>5分，不正确酌情扣分。</w:t>
            </w:r>
          </w:p>
          <w:p w14:paraId="2417D162">
            <w:pPr>
              <w:pStyle w:val="6"/>
              <w:spacing w:line="228" w:lineRule="auto"/>
              <w:ind w:left="12" w:right="206" w:firstLine="79"/>
            </w:pPr>
            <w:r>
              <w:t xml:space="preserve">(4)正确识别生殖器官得 </w:t>
            </w:r>
            <w:r>
              <w:rPr>
                <w:spacing w:val="-1"/>
              </w:rPr>
              <w:t>5分，否则酌情扣分。</w:t>
            </w:r>
          </w:p>
          <w:p w14:paraId="56F6D053">
            <w:pPr>
              <w:pStyle w:val="6"/>
              <w:spacing w:line="219" w:lineRule="auto"/>
              <w:ind w:left="32" w:right="98" w:firstLine="60"/>
            </w:pPr>
            <w:r>
              <w:t>(5)正确识别胸腺和法氏</w:t>
            </w:r>
            <w:r>
              <w:rPr>
                <w:spacing w:val="2"/>
              </w:rPr>
              <w:t xml:space="preserve">  </w:t>
            </w:r>
            <w:r>
              <w:rPr>
                <w:spacing w:val="-1"/>
              </w:rPr>
              <w:t>囊得5分，否则酌情扣分。</w:t>
            </w:r>
          </w:p>
        </w:tc>
        <w:tc>
          <w:tcPr>
            <w:tcW w:w="539" w:type="dxa"/>
            <w:tcBorders>
              <w:bottom w:val="single" w:color="000000" w:sz="2" w:space="0"/>
            </w:tcBorders>
            <w:vAlign w:val="top"/>
          </w:tcPr>
          <w:p w14:paraId="3C630E0F">
            <w:pPr>
              <w:spacing w:line="242" w:lineRule="auto"/>
              <w:rPr>
                <w:rFonts w:ascii="Arial"/>
                <w:sz w:val="21"/>
              </w:rPr>
            </w:pPr>
          </w:p>
          <w:p w14:paraId="3F24AC8F">
            <w:pPr>
              <w:spacing w:line="242" w:lineRule="auto"/>
              <w:rPr>
                <w:rFonts w:ascii="Arial"/>
                <w:sz w:val="21"/>
              </w:rPr>
            </w:pPr>
          </w:p>
          <w:p w14:paraId="57BEAC87">
            <w:pPr>
              <w:spacing w:line="242" w:lineRule="auto"/>
              <w:rPr>
                <w:rFonts w:ascii="Arial"/>
                <w:sz w:val="21"/>
              </w:rPr>
            </w:pPr>
          </w:p>
          <w:p w14:paraId="0DB8F902">
            <w:pPr>
              <w:spacing w:line="242" w:lineRule="auto"/>
              <w:rPr>
                <w:rFonts w:ascii="Arial"/>
                <w:sz w:val="21"/>
              </w:rPr>
            </w:pPr>
          </w:p>
          <w:p w14:paraId="41684C5D">
            <w:pPr>
              <w:spacing w:line="242" w:lineRule="auto"/>
              <w:rPr>
                <w:rFonts w:ascii="Arial"/>
                <w:sz w:val="21"/>
              </w:rPr>
            </w:pPr>
          </w:p>
          <w:p w14:paraId="609C24DF">
            <w:pPr>
              <w:spacing w:line="242" w:lineRule="auto"/>
              <w:rPr>
                <w:rFonts w:ascii="Arial"/>
                <w:sz w:val="21"/>
              </w:rPr>
            </w:pPr>
          </w:p>
          <w:p w14:paraId="09C38328">
            <w:pPr>
              <w:pStyle w:val="6"/>
              <w:spacing w:before="55" w:line="183" w:lineRule="auto"/>
              <w:ind w:left="177"/>
            </w:pPr>
            <w:r>
              <w:rPr>
                <w:spacing w:val="-3"/>
              </w:rPr>
              <w:t>35</w:t>
            </w:r>
          </w:p>
        </w:tc>
        <w:tc>
          <w:tcPr>
            <w:tcW w:w="573" w:type="dxa"/>
            <w:tcBorders>
              <w:bottom w:val="single" w:color="000000" w:sz="2" w:space="0"/>
            </w:tcBorders>
            <w:vAlign w:val="top"/>
          </w:tcPr>
          <w:p w14:paraId="73A361D5">
            <w:pPr>
              <w:rPr>
                <w:rFonts w:ascii="Arial"/>
                <w:sz w:val="21"/>
              </w:rPr>
            </w:pPr>
          </w:p>
        </w:tc>
      </w:tr>
      <w:tr w14:paraId="187085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64" w:hRule="atLeast"/>
        </w:trPr>
        <w:tc>
          <w:tcPr>
            <w:tcW w:w="394" w:type="dxa"/>
            <w:tcBorders>
              <w:top w:val="single" w:color="000000" w:sz="2" w:space="0"/>
            </w:tcBorders>
            <w:vAlign w:val="top"/>
          </w:tcPr>
          <w:p w14:paraId="2812C30F">
            <w:pPr>
              <w:spacing w:line="397" w:lineRule="auto"/>
              <w:rPr>
                <w:rFonts w:ascii="Arial"/>
                <w:sz w:val="21"/>
              </w:rPr>
            </w:pPr>
          </w:p>
          <w:p w14:paraId="347BD140">
            <w:pPr>
              <w:pStyle w:val="6"/>
              <w:spacing w:before="55" w:line="183" w:lineRule="auto"/>
              <w:ind w:left="145"/>
            </w:pPr>
            <w:r>
              <w:t>9</w:t>
            </w:r>
          </w:p>
        </w:tc>
        <w:tc>
          <w:tcPr>
            <w:tcW w:w="519" w:type="dxa"/>
            <w:tcBorders>
              <w:top w:val="single" w:color="000000" w:sz="2" w:space="0"/>
            </w:tcBorders>
            <w:vAlign w:val="top"/>
          </w:tcPr>
          <w:p w14:paraId="18637EDC">
            <w:pPr>
              <w:spacing w:line="244" w:lineRule="auto"/>
              <w:rPr>
                <w:rFonts w:ascii="Arial"/>
                <w:sz w:val="21"/>
              </w:rPr>
            </w:pPr>
          </w:p>
          <w:p w14:paraId="139AC6B7">
            <w:pPr>
              <w:pStyle w:val="6"/>
              <w:spacing w:before="55" w:line="254" w:lineRule="auto"/>
              <w:ind w:left="81" w:right="75"/>
            </w:pPr>
            <w:r>
              <w:rPr>
                <w:spacing w:val="6"/>
              </w:rPr>
              <w:t>术后</w:t>
            </w:r>
            <w:r>
              <w:t xml:space="preserve"> </w:t>
            </w:r>
            <w:r>
              <w:rPr>
                <w:spacing w:val="-3"/>
              </w:rPr>
              <w:t>处理</w:t>
            </w:r>
          </w:p>
        </w:tc>
        <w:tc>
          <w:tcPr>
            <w:tcW w:w="2095" w:type="dxa"/>
            <w:tcBorders>
              <w:top w:val="single" w:color="000000" w:sz="2" w:space="0"/>
            </w:tcBorders>
            <w:vAlign w:val="top"/>
          </w:tcPr>
          <w:p w14:paraId="69CCAD00">
            <w:pPr>
              <w:pStyle w:val="6"/>
              <w:spacing w:before="100" w:line="218" w:lineRule="auto"/>
              <w:ind w:left="32"/>
            </w:pPr>
            <w:r>
              <w:t>正确处理解剖完的得5分，</w:t>
            </w:r>
          </w:p>
          <w:p w14:paraId="0ABCA4B8">
            <w:pPr>
              <w:pStyle w:val="6"/>
              <w:spacing w:before="1" w:line="232" w:lineRule="auto"/>
              <w:ind w:left="12" w:right="4" w:firstLine="19"/>
            </w:pPr>
            <w:r>
              <w:t>否则酌情扣分；正确处理有</w:t>
            </w:r>
            <w:r>
              <w:rPr>
                <w:spacing w:val="7"/>
              </w:rPr>
              <w:t xml:space="preserve"> </w:t>
            </w:r>
            <w:r>
              <w:t>关器械用品得5分，否则酌</w:t>
            </w:r>
            <w:r>
              <w:rPr>
                <w:spacing w:val="4"/>
              </w:rPr>
              <w:t xml:space="preserve">  </w:t>
            </w:r>
            <w:r>
              <w:rPr>
                <w:spacing w:val="-1"/>
              </w:rPr>
              <w:t>情扣分。</w:t>
            </w:r>
          </w:p>
        </w:tc>
        <w:tc>
          <w:tcPr>
            <w:tcW w:w="539" w:type="dxa"/>
            <w:tcBorders>
              <w:top w:val="single" w:color="000000" w:sz="2" w:space="0"/>
            </w:tcBorders>
            <w:vAlign w:val="top"/>
          </w:tcPr>
          <w:p w14:paraId="2A3FE8EF">
            <w:pPr>
              <w:spacing w:line="396" w:lineRule="auto"/>
              <w:rPr>
                <w:rFonts w:ascii="Arial"/>
                <w:sz w:val="21"/>
              </w:rPr>
            </w:pPr>
          </w:p>
          <w:p w14:paraId="4B822358">
            <w:pPr>
              <w:pStyle w:val="6"/>
              <w:spacing w:before="55" w:line="184" w:lineRule="auto"/>
              <w:ind w:left="177"/>
            </w:pPr>
            <w:r>
              <w:rPr>
                <w:spacing w:val="-5"/>
              </w:rPr>
              <w:t>10</w:t>
            </w:r>
          </w:p>
        </w:tc>
        <w:tc>
          <w:tcPr>
            <w:tcW w:w="573" w:type="dxa"/>
            <w:tcBorders>
              <w:top w:val="single" w:color="000000" w:sz="2" w:space="0"/>
            </w:tcBorders>
            <w:vAlign w:val="top"/>
          </w:tcPr>
          <w:p w14:paraId="7F8DD1D6">
            <w:pPr>
              <w:rPr>
                <w:rFonts w:ascii="Arial"/>
                <w:sz w:val="21"/>
              </w:rPr>
            </w:pPr>
          </w:p>
        </w:tc>
      </w:tr>
      <w:tr w14:paraId="33A64E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394" w:type="dxa"/>
            <w:textDirection w:val="tbRlV"/>
            <w:vAlign w:val="top"/>
          </w:tcPr>
          <w:p w14:paraId="72A1DAA4">
            <w:pPr>
              <w:pStyle w:val="6"/>
              <w:spacing w:before="115" w:line="202" w:lineRule="auto"/>
              <w:ind w:left="1"/>
            </w:pPr>
            <w:r>
              <w:t>合</w:t>
            </w:r>
            <w:r>
              <w:rPr>
                <w:spacing w:val="-12"/>
              </w:rPr>
              <w:t xml:space="preserve"> </w:t>
            </w:r>
            <w:r>
              <w:t>计</w:t>
            </w:r>
          </w:p>
        </w:tc>
        <w:tc>
          <w:tcPr>
            <w:tcW w:w="519" w:type="dxa"/>
            <w:vAlign w:val="top"/>
          </w:tcPr>
          <w:p w14:paraId="06BA4403">
            <w:pPr>
              <w:rPr>
                <w:rFonts w:ascii="Arial"/>
                <w:sz w:val="21"/>
              </w:rPr>
            </w:pPr>
          </w:p>
        </w:tc>
        <w:tc>
          <w:tcPr>
            <w:tcW w:w="2095" w:type="dxa"/>
            <w:vAlign w:val="top"/>
          </w:tcPr>
          <w:p w14:paraId="1604EEF2">
            <w:pPr>
              <w:rPr>
                <w:rFonts w:ascii="Arial"/>
                <w:sz w:val="21"/>
              </w:rPr>
            </w:pPr>
          </w:p>
        </w:tc>
        <w:tc>
          <w:tcPr>
            <w:tcW w:w="539" w:type="dxa"/>
            <w:vAlign w:val="top"/>
          </w:tcPr>
          <w:p w14:paraId="341C61D9">
            <w:pPr>
              <w:pStyle w:val="6"/>
              <w:spacing w:before="180" w:line="184" w:lineRule="auto"/>
              <w:ind w:left="137"/>
            </w:pPr>
            <w:r>
              <w:rPr>
                <w:spacing w:val="-5"/>
              </w:rPr>
              <w:t>100</w:t>
            </w:r>
          </w:p>
        </w:tc>
        <w:tc>
          <w:tcPr>
            <w:tcW w:w="573" w:type="dxa"/>
            <w:vAlign w:val="top"/>
          </w:tcPr>
          <w:p w14:paraId="37CA222B">
            <w:pPr>
              <w:rPr>
                <w:rFonts w:ascii="Arial"/>
                <w:sz w:val="21"/>
              </w:rPr>
            </w:pPr>
          </w:p>
        </w:tc>
      </w:tr>
    </w:tbl>
    <w:p w14:paraId="19355EA6">
      <w:pPr>
        <w:pStyle w:val="2"/>
        <w:spacing w:line="51" w:lineRule="exact"/>
        <w:rPr>
          <w:sz w:val="4"/>
        </w:rPr>
      </w:pPr>
    </w:p>
    <w:p w14:paraId="3C0B4124">
      <w:pPr>
        <w:spacing w:line="51" w:lineRule="exact"/>
        <w:rPr>
          <w:sz w:val="4"/>
          <w:szCs w:val="4"/>
        </w:rPr>
        <w:sectPr>
          <w:type w:val="continuous"/>
          <w:pgSz w:w="10660" w:h="15080"/>
          <w:pgMar w:top="400" w:right="844" w:bottom="925" w:left="1019" w:header="0" w:footer="705" w:gutter="0"/>
          <w:cols w:equalWidth="0" w:num="2">
            <w:col w:w="4496" w:space="100"/>
            <w:col w:w="4201"/>
          </w:cols>
        </w:sectPr>
      </w:pPr>
    </w:p>
    <w:p w14:paraId="55BE0FD8">
      <w:pPr>
        <w:pStyle w:val="2"/>
        <w:spacing w:line="272" w:lineRule="auto"/>
      </w:pPr>
    </w:p>
    <w:p w14:paraId="4D138673">
      <w:pPr>
        <w:pStyle w:val="2"/>
        <w:spacing w:line="272" w:lineRule="auto"/>
      </w:pPr>
    </w:p>
    <w:p w14:paraId="6FCC4313">
      <w:pPr>
        <w:pStyle w:val="2"/>
        <w:spacing w:line="272" w:lineRule="auto"/>
      </w:pPr>
    </w:p>
    <w:p w14:paraId="33A2BCCB">
      <w:pPr>
        <w:pStyle w:val="2"/>
        <w:spacing w:line="273" w:lineRule="auto"/>
      </w:pPr>
    </w:p>
    <w:p w14:paraId="307F2ABD">
      <w:pPr>
        <w:pStyle w:val="2"/>
        <w:spacing w:line="273" w:lineRule="auto"/>
      </w:pPr>
    </w:p>
    <w:p w14:paraId="1C395C92">
      <w:pPr>
        <w:spacing w:before="75" w:line="228" w:lineRule="auto"/>
        <w:ind w:left="443"/>
        <w:rPr>
          <w:rFonts w:ascii="宋体" w:hAnsi="宋体" w:eastAsia="宋体" w:cs="宋体"/>
          <w:sz w:val="23"/>
          <w:szCs w:val="23"/>
        </w:rPr>
      </w:pPr>
      <w:bookmarkStart w:id="53" w:name="bookmark42"/>
      <w:bookmarkEnd w:id="53"/>
      <w:r>
        <w:rPr>
          <w:rFonts w:ascii="宋体" w:hAnsi="宋体" w:eastAsia="宋体" w:cs="宋体"/>
          <w:b/>
          <w:bCs/>
          <w:spacing w:val="2"/>
          <w:sz w:val="23"/>
          <w:szCs w:val="23"/>
        </w:rPr>
        <w:t>装备制造大类专业技能测试纲要</w:t>
      </w:r>
      <w:r>
        <w:rPr>
          <w:rFonts w:ascii="宋体" w:hAnsi="宋体" w:eastAsia="宋体" w:cs="宋体"/>
          <w:spacing w:val="2"/>
          <w:sz w:val="23"/>
          <w:szCs w:val="23"/>
        </w:rPr>
        <w:t xml:space="preserve">      </w:t>
      </w:r>
      <w:r>
        <w:rPr>
          <w:rFonts w:ascii="宋体" w:hAnsi="宋体" w:eastAsia="宋体" w:cs="宋体"/>
          <w:b/>
          <w:bCs/>
          <w:spacing w:val="2"/>
          <w:sz w:val="23"/>
          <w:szCs w:val="23"/>
        </w:rPr>
        <w:t>三、测试项目</w:t>
      </w:r>
    </w:p>
    <w:p w14:paraId="1875DF91">
      <w:pPr>
        <w:spacing w:line="179" w:lineRule="exact"/>
      </w:pPr>
    </w:p>
    <w:p w14:paraId="3ACF16FD">
      <w:pPr>
        <w:spacing w:line="179" w:lineRule="exact"/>
        <w:sectPr>
          <w:footerReference r:id="rId104" w:type="default"/>
          <w:pgSz w:w="10660" w:h="15080"/>
          <w:pgMar w:top="400" w:right="925" w:bottom="925" w:left="759" w:header="0" w:footer="705" w:gutter="0"/>
          <w:cols w:equalWidth="0" w:num="1">
            <w:col w:w="8976"/>
          </w:cols>
        </w:sectPr>
      </w:pPr>
    </w:p>
    <w:p w14:paraId="607E6033">
      <w:pPr>
        <w:spacing w:before="275" w:line="310" w:lineRule="auto"/>
        <w:ind w:right="154" w:firstLine="400"/>
        <w:jc w:val="both"/>
        <w:rPr>
          <w:rFonts w:ascii="宋体" w:hAnsi="宋体" w:eastAsia="宋体" w:cs="宋体"/>
          <w:sz w:val="17"/>
          <w:szCs w:val="17"/>
        </w:rPr>
      </w:pPr>
      <w:r>
        <w:rPr>
          <w:rFonts w:ascii="宋体" w:hAnsi="宋体" w:eastAsia="宋体" w:cs="宋体"/>
          <w:sz w:val="17"/>
          <w:szCs w:val="17"/>
        </w:rPr>
        <w:t>本测试考核纲要是依据教育部中等职业学校各类专</w:t>
      </w:r>
      <w:r>
        <w:rPr>
          <w:rFonts w:ascii="宋体" w:hAnsi="宋体" w:eastAsia="宋体" w:cs="宋体"/>
          <w:spacing w:val="18"/>
          <w:sz w:val="17"/>
          <w:szCs w:val="17"/>
        </w:rPr>
        <w:t xml:space="preserve"> </w:t>
      </w:r>
      <w:r>
        <w:rPr>
          <w:rFonts w:ascii="宋体" w:hAnsi="宋体" w:eastAsia="宋体" w:cs="宋体"/>
          <w:spacing w:val="4"/>
          <w:sz w:val="17"/>
          <w:szCs w:val="17"/>
        </w:rPr>
        <w:t>业教学标准(试行)或中等职业学校专业教学指导方案，</w:t>
      </w:r>
      <w:r>
        <w:rPr>
          <w:rFonts w:ascii="宋体" w:hAnsi="宋体" w:eastAsia="宋体" w:cs="宋体"/>
          <w:spacing w:val="14"/>
          <w:sz w:val="17"/>
          <w:szCs w:val="17"/>
        </w:rPr>
        <w:t xml:space="preserve"> </w:t>
      </w:r>
      <w:r>
        <w:rPr>
          <w:rFonts w:ascii="宋体" w:hAnsi="宋体" w:eastAsia="宋体" w:cs="宋体"/>
          <w:spacing w:val="2"/>
          <w:sz w:val="17"/>
          <w:szCs w:val="17"/>
        </w:rPr>
        <w:t>以及进入高等院校继续学习所具备的专业基础技能。按</w:t>
      </w:r>
      <w:r>
        <w:rPr>
          <w:rFonts w:ascii="宋体" w:hAnsi="宋体" w:eastAsia="宋体" w:cs="宋体"/>
          <w:spacing w:val="10"/>
          <w:sz w:val="17"/>
          <w:szCs w:val="17"/>
        </w:rPr>
        <w:t xml:space="preserve"> </w:t>
      </w:r>
      <w:r>
        <w:rPr>
          <w:rFonts w:ascii="宋体" w:hAnsi="宋体" w:eastAsia="宋体" w:cs="宋体"/>
          <w:spacing w:val="2"/>
          <w:sz w:val="17"/>
          <w:szCs w:val="17"/>
        </w:rPr>
        <w:t>照国家初级工、中级工技术等级标准，要求考生运用所</w:t>
      </w:r>
      <w:r>
        <w:rPr>
          <w:rFonts w:ascii="宋体" w:hAnsi="宋体" w:eastAsia="宋体" w:cs="宋体"/>
          <w:spacing w:val="7"/>
          <w:sz w:val="17"/>
          <w:szCs w:val="17"/>
        </w:rPr>
        <w:t xml:space="preserve"> </w:t>
      </w:r>
      <w:r>
        <w:rPr>
          <w:rFonts w:ascii="宋体" w:hAnsi="宋体" w:eastAsia="宋体" w:cs="宋体"/>
          <w:spacing w:val="-3"/>
          <w:sz w:val="17"/>
          <w:szCs w:val="17"/>
        </w:rPr>
        <w:t>学的专业基础技能完成测试。</w:t>
      </w:r>
    </w:p>
    <w:p w14:paraId="741C8323">
      <w:pPr>
        <w:spacing w:before="55" w:line="295" w:lineRule="auto"/>
        <w:ind w:right="102" w:firstLine="360"/>
        <w:jc w:val="both"/>
        <w:rPr>
          <w:rFonts w:ascii="宋体" w:hAnsi="宋体" w:eastAsia="宋体" w:cs="宋体"/>
          <w:sz w:val="17"/>
          <w:szCs w:val="17"/>
        </w:rPr>
      </w:pPr>
      <w:r>
        <w:rPr>
          <w:rFonts w:ascii="宋体" w:hAnsi="宋体" w:eastAsia="宋体" w:cs="宋体"/>
          <w:spacing w:val="13"/>
          <w:sz w:val="17"/>
          <w:szCs w:val="17"/>
        </w:rPr>
        <w:t>装备制造大类专业技能测试共10个项目，招生单</w:t>
      </w:r>
      <w:r>
        <w:rPr>
          <w:rFonts w:ascii="宋体" w:hAnsi="宋体" w:eastAsia="宋体" w:cs="宋体"/>
          <w:spacing w:val="10"/>
          <w:sz w:val="17"/>
          <w:szCs w:val="17"/>
        </w:rPr>
        <w:t xml:space="preserve"> </w:t>
      </w:r>
      <w:r>
        <w:rPr>
          <w:rFonts w:ascii="宋体" w:hAnsi="宋体" w:eastAsia="宋体" w:cs="宋体"/>
          <w:spacing w:val="22"/>
          <w:sz w:val="17"/>
          <w:szCs w:val="17"/>
        </w:rPr>
        <w:t>位可选择其中一个项目组织测试。测试时间为90分</w:t>
      </w:r>
      <w:r>
        <w:rPr>
          <w:rFonts w:ascii="宋体" w:hAnsi="宋体" w:eastAsia="宋体" w:cs="宋体"/>
          <w:sz w:val="17"/>
          <w:szCs w:val="17"/>
        </w:rPr>
        <w:t xml:space="preserve"> </w:t>
      </w:r>
      <w:r>
        <w:rPr>
          <w:rFonts w:ascii="宋体" w:hAnsi="宋体" w:eastAsia="宋体" w:cs="宋体"/>
          <w:spacing w:val="10"/>
          <w:sz w:val="17"/>
          <w:szCs w:val="17"/>
        </w:rPr>
        <w:t>钟，测试分值为250分。</w:t>
      </w:r>
    </w:p>
    <w:p w14:paraId="378B09ED">
      <w:pPr>
        <w:spacing w:before="243" w:line="219" w:lineRule="auto"/>
        <w:ind w:left="3"/>
        <w:rPr>
          <w:rFonts w:ascii="宋体" w:hAnsi="宋体" w:eastAsia="宋体" w:cs="宋体"/>
          <w:sz w:val="23"/>
          <w:szCs w:val="23"/>
        </w:rPr>
      </w:pPr>
      <w:r>
        <w:rPr>
          <w:rFonts w:ascii="宋体" w:hAnsi="宋体" w:eastAsia="宋体" w:cs="宋体"/>
          <w:b/>
          <w:bCs/>
          <w:spacing w:val="-4"/>
          <w:sz w:val="23"/>
          <w:szCs w:val="23"/>
        </w:rPr>
        <w:t>一、专业类别</w:t>
      </w:r>
    </w:p>
    <w:p w14:paraId="3135ECE8">
      <w:pPr>
        <w:spacing w:before="209" w:line="220" w:lineRule="auto"/>
        <w:ind w:left="360"/>
        <w:rPr>
          <w:rFonts w:ascii="宋体" w:hAnsi="宋体" w:eastAsia="宋体" w:cs="宋体"/>
          <w:sz w:val="17"/>
          <w:szCs w:val="17"/>
        </w:rPr>
      </w:pPr>
      <w:r>
        <w:rPr>
          <w:rFonts w:ascii="宋体" w:hAnsi="宋体" w:eastAsia="宋体" w:cs="宋体"/>
          <w:spacing w:val="13"/>
          <w:sz w:val="17"/>
          <w:szCs w:val="17"/>
        </w:rPr>
        <w:t>涵盖专业</w:t>
      </w:r>
    </w:p>
    <w:p w14:paraId="6889094D">
      <w:pPr>
        <w:spacing w:before="75" w:line="219" w:lineRule="auto"/>
        <w:rPr>
          <w:rFonts w:ascii="宋体" w:hAnsi="宋体" w:eastAsia="宋体" w:cs="宋体"/>
          <w:sz w:val="17"/>
          <w:szCs w:val="17"/>
        </w:rPr>
      </w:pPr>
      <w:r>
        <w:rPr>
          <w:rFonts w:ascii="宋体" w:hAnsi="宋体" w:eastAsia="宋体" w:cs="宋体"/>
          <w:spacing w:val="12"/>
          <w:sz w:val="17"/>
          <w:szCs w:val="17"/>
        </w:rPr>
        <w:t>1、机械加工专业群</w:t>
      </w:r>
    </w:p>
    <w:p w14:paraId="7BBC895D">
      <w:pPr>
        <w:spacing w:before="99" w:line="219" w:lineRule="auto"/>
        <w:rPr>
          <w:rFonts w:ascii="宋体" w:hAnsi="宋体" w:eastAsia="宋体" w:cs="宋体"/>
          <w:sz w:val="17"/>
          <w:szCs w:val="17"/>
        </w:rPr>
      </w:pPr>
      <w:r>
        <w:rPr>
          <w:rFonts w:ascii="宋体" w:hAnsi="宋体" w:eastAsia="宋体" w:cs="宋体"/>
          <w:spacing w:val="14"/>
          <w:sz w:val="17"/>
          <w:szCs w:val="17"/>
        </w:rPr>
        <w:t>660102机械加工技术</w:t>
      </w:r>
    </w:p>
    <w:p w14:paraId="6A92E808">
      <w:pPr>
        <w:spacing w:before="79" w:line="219" w:lineRule="auto"/>
        <w:rPr>
          <w:rFonts w:ascii="宋体" w:hAnsi="宋体" w:eastAsia="宋体" w:cs="宋体"/>
          <w:sz w:val="17"/>
          <w:szCs w:val="17"/>
        </w:rPr>
      </w:pPr>
      <w:r>
        <w:rPr>
          <w:rFonts w:ascii="宋体" w:hAnsi="宋体" w:eastAsia="宋体" w:cs="宋体"/>
          <w:spacing w:val="15"/>
          <w:sz w:val="17"/>
          <w:szCs w:val="17"/>
        </w:rPr>
        <w:t>660104金属热加工等专业</w:t>
      </w:r>
    </w:p>
    <w:p w14:paraId="354F2A54">
      <w:pPr>
        <w:spacing w:before="89" w:line="219" w:lineRule="auto"/>
        <w:rPr>
          <w:rFonts w:ascii="宋体" w:hAnsi="宋体" w:eastAsia="宋体" w:cs="宋体"/>
          <w:sz w:val="17"/>
          <w:szCs w:val="17"/>
        </w:rPr>
      </w:pPr>
      <w:r>
        <w:rPr>
          <w:rFonts w:ascii="宋体" w:hAnsi="宋体" w:eastAsia="宋体" w:cs="宋体"/>
          <w:spacing w:val="12"/>
          <w:sz w:val="17"/>
          <w:szCs w:val="17"/>
        </w:rPr>
        <w:t>2、电工电子专业群</w:t>
      </w:r>
    </w:p>
    <w:p w14:paraId="47DD16A3">
      <w:pPr>
        <w:spacing w:before="87" w:line="219" w:lineRule="auto"/>
        <w:rPr>
          <w:rFonts w:ascii="宋体" w:hAnsi="宋体" w:eastAsia="宋体" w:cs="宋体"/>
          <w:sz w:val="17"/>
          <w:szCs w:val="17"/>
        </w:rPr>
      </w:pPr>
      <w:r>
        <w:rPr>
          <w:rFonts w:ascii="宋体" w:hAnsi="宋体" w:eastAsia="宋体" w:cs="宋体"/>
          <w:spacing w:val="14"/>
          <w:sz w:val="17"/>
          <w:szCs w:val="17"/>
        </w:rPr>
        <w:t>660301机电技术应用</w:t>
      </w:r>
    </w:p>
    <w:p w14:paraId="66047B4A">
      <w:pPr>
        <w:spacing w:before="89" w:line="219" w:lineRule="auto"/>
        <w:rPr>
          <w:rFonts w:ascii="宋体" w:hAnsi="宋体" w:eastAsia="宋体" w:cs="宋体"/>
          <w:sz w:val="17"/>
          <w:szCs w:val="17"/>
        </w:rPr>
      </w:pPr>
      <w:r>
        <w:rPr>
          <w:rFonts w:ascii="宋体" w:hAnsi="宋体" w:eastAsia="宋体" w:cs="宋体"/>
          <w:spacing w:val="15"/>
          <w:sz w:val="17"/>
          <w:szCs w:val="17"/>
        </w:rPr>
        <w:t>660302电气设备运行与控制等专业</w:t>
      </w:r>
    </w:p>
    <w:p w14:paraId="21C06426">
      <w:pPr>
        <w:pStyle w:val="2"/>
        <w:spacing w:line="251" w:lineRule="auto"/>
      </w:pPr>
    </w:p>
    <w:p w14:paraId="45BF559E">
      <w:pPr>
        <w:spacing w:before="75" w:line="219" w:lineRule="auto"/>
        <w:ind w:left="3"/>
        <w:rPr>
          <w:rFonts w:ascii="宋体" w:hAnsi="宋体" w:eastAsia="宋体" w:cs="宋体"/>
          <w:sz w:val="23"/>
          <w:szCs w:val="23"/>
        </w:rPr>
      </w:pPr>
      <w:r>
        <w:rPr>
          <w:rFonts w:ascii="宋体" w:hAnsi="宋体" w:eastAsia="宋体" w:cs="宋体"/>
          <w:b/>
          <w:bCs/>
          <w:spacing w:val="-7"/>
          <w:sz w:val="23"/>
          <w:szCs w:val="23"/>
        </w:rPr>
        <w:t>二、考核内容</w:t>
      </w:r>
    </w:p>
    <w:p w14:paraId="6A4C3A03">
      <w:pPr>
        <w:spacing w:before="97" w:line="219" w:lineRule="auto"/>
        <w:ind w:left="469"/>
        <w:rPr>
          <w:rFonts w:ascii="宋体" w:hAnsi="宋体" w:eastAsia="宋体" w:cs="宋体"/>
          <w:sz w:val="18"/>
          <w:szCs w:val="18"/>
        </w:rPr>
      </w:pPr>
      <w:r>
        <w:rPr>
          <w:rFonts w:ascii="宋体" w:hAnsi="宋体" w:eastAsia="宋体" w:cs="宋体"/>
          <w:sz w:val="18"/>
          <w:szCs w:val="18"/>
        </w:rPr>
        <w:t>(一)机械加工专业群</w:t>
      </w:r>
    </w:p>
    <w:p w14:paraId="41A9D81E">
      <w:pPr>
        <w:spacing w:line="63" w:lineRule="auto"/>
        <w:rPr>
          <w:rFonts w:ascii="Arial"/>
          <w:sz w:val="2"/>
        </w:rPr>
      </w:pPr>
    </w:p>
    <w:tbl>
      <w:tblPr>
        <w:tblStyle w:val="5"/>
        <w:tblW w:w="4109" w:type="dxa"/>
        <w:tblInd w:w="4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73"/>
        <w:gridCol w:w="1516"/>
        <w:gridCol w:w="1097"/>
        <w:gridCol w:w="823"/>
      </w:tblGrid>
      <w:tr w14:paraId="52C3A7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4" w:hRule="atLeast"/>
        </w:trPr>
        <w:tc>
          <w:tcPr>
            <w:tcW w:w="673" w:type="dxa"/>
            <w:vAlign w:val="top"/>
          </w:tcPr>
          <w:p w14:paraId="46C9F159">
            <w:pPr>
              <w:pStyle w:val="6"/>
              <w:spacing w:before="70" w:line="220" w:lineRule="auto"/>
              <w:ind w:left="147"/>
              <w:rPr>
                <w:sz w:val="18"/>
                <w:szCs w:val="18"/>
              </w:rPr>
            </w:pPr>
            <w:r>
              <w:rPr>
                <w:b/>
                <w:bCs/>
                <w:spacing w:val="12"/>
                <w:sz w:val="18"/>
                <w:szCs w:val="18"/>
              </w:rPr>
              <w:t>项目</w:t>
            </w:r>
          </w:p>
        </w:tc>
        <w:tc>
          <w:tcPr>
            <w:tcW w:w="1516" w:type="dxa"/>
            <w:vAlign w:val="top"/>
          </w:tcPr>
          <w:p w14:paraId="570541BA">
            <w:pPr>
              <w:pStyle w:val="6"/>
              <w:spacing w:before="70" w:line="220" w:lineRule="auto"/>
              <w:ind w:left="394"/>
              <w:rPr>
                <w:sz w:val="18"/>
                <w:szCs w:val="18"/>
              </w:rPr>
            </w:pPr>
            <w:r>
              <w:rPr>
                <w:b/>
                <w:bCs/>
                <w:spacing w:val="-4"/>
                <w:sz w:val="18"/>
                <w:szCs w:val="18"/>
              </w:rPr>
              <w:t>项目名称</w:t>
            </w:r>
          </w:p>
        </w:tc>
        <w:tc>
          <w:tcPr>
            <w:tcW w:w="1097" w:type="dxa"/>
            <w:vAlign w:val="top"/>
          </w:tcPr>
          <w:p w14:paraId="72F15944">
            <w:pPr>
              <w:pStyle w:val="6"/>
              <w:spacing w:before="69" w:line="219" w:lineRule="auto"/>
              <w:ind w:left="188"/>
              <w:rPr>
                <w:sz w:val="18"/>
                <w:szCs w:val="18"/>
              </w:rPr>
            </w:pPr>
            <w:r>
              <w:rPr>
                <w:b/>
                <w:bCs/>
                <w:spacing w:val="-4"/>
                <w:sz w:val="18"/>
                <w:szCs w:val="18"/>
              </w:rPr>
              <w:t>考试时间</w:t>
            </w:r>
          </w:p>
        </w:tc>
        <w:tc>
          <w:tcPr>
            <w:tcW w:w="823" w:type="dxa"/>
            <w:vAlign w:val="top"/>
          </w:tcPr>
          <w:p w14:paraId="54FDD873">
            <w:pPr>
              <w:pStyle w:val="6"/>
              <w:spacing w:before="69" w:line="219" w:lineRule="auto"/>
              <w:ind w:left="231"/>
              <w:rPr>
                <w:sz w:val="18"/>
                <w:szCs w:val="18"/>
              </w:rPr>
            </w:pPr>
            <w:r>
              <w:rPr>
                <w:b/>
                <w:bCs/>
                <w:spacing w:val="-5"/>
                <w:sz w:val="18"/>
                <w:szCs w:val="18"/>
              </w:rPr>
              <w:t>分值</w:t>
            </w:r>
          </w:p>
        </w:tc>
      </w:tr>
      <w:tr w14:paraId="174EAC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673" w:type="dxa"/>
            <w:vAlign w:val="top"/>
          </w:tcPr>
          <w:p w14:paraId="1D7A8471">
            <w:pPr>
              <w:pStyle w:val="6"/>
              <w:spacing w:before="58" w:line="220" w:lineRule="auto"/>
              <w:ind w:left="55"/>
              <w:rPr>
                <w:sz w:val="18"/>
                <w:szCs w:val="18"/>
              </w:rPr>
            </w:pPr>
            <w:r>
              <w:rPr>
                <w:sz w:val="18"/>
                <w:szCs w:val="18"/>
              </w:rPr>
              <w:t>项目一</w:t>
            </w:r>
          </w:p>
        </w:tc>
        <w:tc>
          <w:tcPr>
            <w:tcW w:w="1516" w:type="dxa"/>
            <w:vAlign w:val="top"/>
          </w:tcPr>
          <w:p w14:paraId="34EC9EB3">
            <w:pPr>
              <w:pStyle w:val="6"/>
              <w:spacing w:before="58" w:line="219" w:lineRule="auto"/>
              <w:ind w:left="212"/>
              <w:rPr>
                <w:sz w:val="18"/>
                <w:szCs w:val="18"/>
              </w:rPr>
            </w:pPr>
            <w:r>
              <w:rPr>
                <w:spacing w:val="-1"/>
                <w:sz w:val="18"/>
                <w:szCs w:val="18"/>
              </w:rPr>
              <w:t>钳工技能考核</w:t>
            </w:r>
          </w:p>
        </w:tc>
        <w:tc>
          <w:tcPr>
            <w:tcW w:w="1097" w:type="dxa"/>
            <w:vAlign w:val="top"/>
          </w:tcPr>
          <w:p w14:paraId="2C9E731C">
            <w:pPr>
              <w:pStyle w:val="6"/>
              <w:spacing w:before="58" w:line="220" w:lineRule="auto"/>
              <w:ind w:left="275"/>
              <w:rPr>
                <w:sz w:val="18"/>
                <w:szCs w:val="18"/>
              </w:rPr>
            </w:pPr>
            <w:r>
              <w:rPr>
                <w:spacing w:val="3"/>
                <w:sz w:val="18"/>
                <w:szCs w:val="18"/>
              </w:rPr>
              <w:t>90分钟</w:t>
            </w:r>
          </w:p>
        </w:tc>
        <w:tc>
          <w:tcPr>
            <w:tcW w:w="823" w:type="dxa"/>
            <w:vAlign w:val="top"/>
          </w:tcPr>
          <w:p w14:paraId="19256EAD">
            <w:pPr>
              <w:pStyle w:val="6"/>
              <w:spacing w:before="58" w:line="220" w:lineRule="auto"/>
              <w:ind w:left="178"/>
              <w:rPr>
                <w:sz w:val="18"/>
                <w:szCs w:val="18"/>
              </w:rPr>
            </w:pPr>
            <w:r>
              <w:rPr>
                <w:spacing w:val="-2"/>
                <w:sz w:val="18"/>
                <w:szCs w:val="18"/>
              </w:rPr>
              <w:t>250分</w:t>
            </w:r>
          </w:p>
        </w:tc>
      </w:tr>
      <w:tr w14:paraId="6A25F4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673" w:type="dxa"/>
            <w:vAlign w:val="top"/>
          </w:tcPr>
          <w:p w14:paraId="41534573">
            <w:pPr>
              <w:pStyle w:val="6"/>
              <w:spacing w:before="59" w:line="220" w:lineRule="auto"/>
              <w:ind w:left="55"/>
              <w:rPr>
                <w:sz w:val="18"/>
                <w:szCs w:val="18"/>
              </w:rPr>
            </w:pPr>
            <w:r>
              <w:rPr>
                <w:spacing w:val="-3"/>
                <w:sz w:val="18"/>
                <w:szCs w:val="18"/>
              </w:rPr>
              <w:t>项目二</w:t>
            </w:r>
          </w:p>
        </w:tc>
        <w:tc>
          <w:tcPr>
            <w:tcW w:w="1516" w:type="dxa"/>
            <w:vAlign w:val="top"/>
          </w:tcPr>
          <w:p w14:paraId="6E667742">
            <w:pPr>
              <w:pStyle w:val="6"/>
              <w:spacing w:before="59" w:line="219" w:lineRule="auto"/>
              <w:ind w:left="212"/>
              <w:rPr>
                <w:sz w:val="18"/>
                <w:szCs w:val="18"/>
              </w:rPr>
            </w:pPr>
            <w:r>
              <w:rPr>
                <w:spacing w:val="-2"/>
                <w:sz w:val="18"/>
                <w:szCs w:val="18"/>
              </w:rPr>
              <w:t>车工技能考核</w:t>
            </w:r>
          </w:p>
        </w:tc>
        <w:tc>
          <w:tcPr>
            <w:tcW w:w="1097" w:type="dxa"/>
            <w:vAlign w:val="top"/>
          </w:tcPr>
          <w:p w14:paraId="070C105A">
            <w:pPr>
              <w:pStyle w:val="6"/>
              <w:spacing w:before="59" w:line="220" w:lineRule="auto"/>
              <w:ind w:left="275"/>
              <w:rPr>
                <w:sz w:val="18"/>
                <w:szCs w:val="18"/>
              </w:rPr>
            </w:pPr>
            <w:r>
              <w:rPr>
                <w:spacing w:val="3"/>
                <w:sz w:val="18"/>
                <w:szCs w:val="18"/>
              </w:rPr>
              <w:t>90分钟</w:t>
            </w:r>
          </w:p>
        </w:tc>
        <w:tc>
          <w:tcPr>
            <w:tcW w:w="823" w:type="dxa"/>
            <w:vAlign w:val="top"/>
          </w:tcPr>
          <w:p w14:paraId="4CACE2C7">
            <w:pPr>
              <w:pStyle w:val="6"/>
              <w:spacing w:before="59" w:line="220" w:lineRule="auto"/>
              <w:ind w:left="178"/>
              <w:rPr>
                <w:sz w:val="18"/>
                <w:szCs w:val="18"/>
              </w:rPr>
            </w:pPr>
            <w:r>
              <w:rPr>
                <w:spacing w:val="-2"/>
                <w:sz w:val="18"/>
                <w:szCs w:val="18"/>
              </w:rPr>
              <w:t>250分</w:t>
            </w:r>
          </w:p>
        </w:tc>
      </w:tr>
      <w:tr w14:paraId="4A6FE9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673" w:type="dxa"/>
            <w:vAlign w:val="top"/>
          </w:tcPr>
          <w:p w14:paraId="3FE94E3A">
            <w:pPr>
              <w:pStyle w:val="6"/>
              <w:spacing w:before="60" w:line="220" w:lineRule="auto"/>
              <w:ind w:left="55"/>
              <w:rPr>
                <w:sz w:val="18"/>
                <w:szCs w:val="18"/>
              </w:rPr>
            </w:pPr>
            <w:r>
              <w:rPr>
                <w:spacing w:val="-3"/>
                <w:sz w:val="18"/>
                <w:szCs w:val="18"/>
              </w:rPr>
              <w:t>项目三</w:t>
            </w:r>
          </w:p>
        </w:tc>
        <w:tc>
          <w:tcPr>
            <w:tcW w:w="1516" w:type="dxa"/>
            <w:vAlign w:val="top"/>
          </w:tcPr>
          <w:p w14:paraId="544E63B1">
            <w:pPr>
              <w:pStyle w:val="6"/>
              <w:spacing w:before="60" w:line="219" w:lineRule="auto"/>
              <w:ind w:left="31"/>
              <w:rPr>
                <w:sz w:val="18"/>
                <w:szCs w:val="18"/>
              </w:rPr>
            </w:pPr>
            <w:r>
              <w:rPr>
                <w:spacing w:val="-1"/>
                <w:sz w:val="18"/>
                <w:szCs w:val="18"/>
              </w:rPr>
              <w:t>数控车技能考试核</w:t>
            </w:r>
          </w:p>
        </w:tc>
        <w:tc>
          <w:tcPr>
            <w:tcW w:w="1097" w:type="dxa"/>
            <w:vAlign w:val="top"/>
          </w:tcPr>
          <w:p w14:paraId="006C9934">
            <w:pPr>
              <w:pStyle w:val="6"/>
              <w:spacing w:before="60" w:line="220" w:lineRule="auto"/>
              <w:ind w:left="275"/>
              <w:rPr>
                <w:sz w:val="18"/>
                <w:szCs w:val="18"/>
              </w:rPr>
            </w:pPr>
            <w:r>
              <w:rPr>
                <w:spacing w:val="3"/>
                <w:sz w:val="18"/>
                <w:szCs w:val="18"/>
              </w:rPr>
              <w:t>90分钟</w:t>
            </w:r>
          </w:p>
        </w:tc>
        <w:tc>
          <w:tcPr>
            <w:tcW w:w="823" w:type="dxa"/>
            <w:vAlign w:val="top"/>
          </w:tcPr>
          <w:p w14:paraId="05817416">
            <w:pPr>
              <w:pStyle w:val="6"/>
              <w:spacing w:before="60" w:line="220" w:lineRule="auto"/>
              <w:ind w:left="178"/>
              <w:rPr>
                <w:sz w:val="18"/>
                <w:szCs w:val="18"/>
              </w:rPr>
            </w:pPr>
            <w:r>
              <w:rPr>
                <w:spacing w:val="-2"/>
                <w:sz w:val="18"/>
                <w:szCs w:val="18"/>
              </w:rPr>
              <w:t>250分</w:t>
            </w:r>
          </w:p>
        </w:tc>
      </w:tr>
      <w:tr w14:paraId="4B5657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57" w:hRule="atLeast"/>
        </w:trPr>
        <w:tc>
          <w:tcPr>
            <w:tcW w:w="673" w:type="dxa"/>
            <w:vAlign w:val="top"/>
          </w:tcPr>
          <w:p w14:paraId="63E83AA5">
            <w:pPr>
              <w:pStyle w:val="6"/>
              <w:spacing w:before="241" w:line="220" w:lineRule="auto"/>
              <w:ind w:left="55"/>
              <w:rPr>
                <w:sz w:val="18"/>
                <w:szCs w:val="18"/>
              </w:rPr>
            </w:pPr>
            <w:r>
              <w:rPr>
                <w:spacing w:val="6"/>
                <w:sz w:val="18"/>
                <w:szCs w:val="18"/>
              </w:rPr>
              <w:t>项目四</w:t>
            </w:r>
          </w:p>
        </w:tc>
        <w:tc>
          <w:tcPr>
            <w:tcW w:w="1516" w:type="dxa"/>
            <w:vAlign w:val="top"/>
          </w:tcPr>
          <w:p w14:paraId="6741546A">
            <w:pPr>
              <w:pStyle w:val="6"/>
              <w:spacing w:before="51" w:line="215" w:lineRule="auto"/>
              <w:ind w:left="212"/>
              <w:rPr>
                <w:sz w:val="18"/>
                <w:szCs w:val="18"/>
              </w:rPr>
            </w:pPr>
            <w:r>
              <w:rPr>
                <w:spacing w:val="2"/>
                <w:sz w:val="18"/>
                <w:szCs w:val="18"/>
              </w:rPr>
              <w:t>零部件测绘与</w:t>
            </w:r>
          </w:p>
          <w:p w14:paraId="2235077B">
            <w:pPr>
              <w:pStyle w:val="6"/>
              <w:spacing w:line="206" w:lineRule="auto"/>
              <w:ind w:left="162"/>
              <w:rPr>
                <w:sz w:val="18"/>
                <w:szCs w:val="18"/>
              </w:rPr>
            </w:pPr>
            <w:r>
              <w:rPr>
                <w:spacing w:val="-1"/>
                <w:sz w:val="18"/>
                <w:szCs w:val="18"/>
              </w:rPr>
              <w:t>CAD制图技术技</w:t>
            </w:r>
          </w:p>
          <w:p w14:paraId="39DB48C3">
            <w:pPr>
              <w:pStyle w:val="6"/>
              <w:spacing w:line="189" w:lineRule="auto"/>
              <w:ind w:left="481"/>
              <w:rPr>
                <w:sz w:val="18"/>
                <w:szCs w:val="18"/>
              </w:rPr>
            </w:pPr>
            <w:r>
              <w:rPr>
                <w:spacing w:val="2"/>
                <w:sz w:val="18"/>
                <w:szCs w:val="18"/>
              </w:rPr>
              <w:t>能测试</w:t>
            </w:r>
          </w:p>
        </w:tc>
        <w:tc>
          <w:tcPr>
            <w:tcW w:w="1097" w:type="dxa"/>
            <w:vAlign w:val="top"/>
          </w:tcPr>
          <w:p w14:paraId="4AFA3621">
            <w:pPr>
              <w:pStyle w:val="6"/>
              <w:spacing w:before="241" w:line="220" w:lineRule="auto"/>
              <w:ind w:left="275"/>
              <w:rPr>
                <w:sz w:val="18"/>
                <w:szCs w:val="18"/>
              </w:rPr>
            </w:pPr>
            <w:r>
              <w:rPr>
                <w:spacing w:val="3"/>
                <w:sz w:val="18"/>
                <w:szCs w:val="18"/>
              </w:rPr>
              <w:t>90分钟</w:t>
            </w:r>
          </w:p>
        </w:tc>
        <w:tc>
          <w:tcPr>
            <w:tcW w:w="823" w:type="dxa"/>
            <w:vAlign w:val="top"/>
          </w:tcPr>
          <w:p w14:paraId="5C394DFC">
            <w:pPr>
              <w:pStyle w:val="6"/>
              <w:spacing w:before="241" w:line="220" w:lineRule="auto"/>
              <w:ind w:left="178"/>
              <w:rPr>
                <w:sz w:val="18"/>
                <w:szCs w:val="18"/>
              </w:rPr>
            </w:pPr>
            <w:r>
              <w:rPr>
                <w:spacing w:val="-2"/>
                <w:sz w:val="18"/>
                <w:szCs w:val="18"/>
              </w:rPr>
              <w:t>250分</w:t>
            </w:r>
          </w:p>
        </w:tc>
      </w:tr>
      <w:tr w14:paraId="36A197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673" w:type="dxa"/>
            <w:vAlign w:val="top"/>
          </w:tcPr>
          <w:p w14:paraId="0DDCB821">
            <w:pPr>
              <w:pStyle w:val="6"/>
              <w:spacing w:before="64" w:line="220" w:lineRule="auto"/>
              <w:ind w:left="55"/>
              <w:rPr>
                <w:sz w:val="18"/>
                <w:szCs w:val="18"/>
              </w:rPr>
            </w:pPr>
            <w:r>
              <w:rPr>
                <w:spacing w:val="-3"/>
                <w:sz w:val="18"/>
                <w:szCs w:val="18"/>
              </w:rPr>
              <w:t>项目五</w:t>
            </w:r>
          </w:p>
        </w:tc>
        <w:tc>
          <w:tcPr>
            <w:tcW w:w="1516" w:type="dxa"/>
            <w:vAlign w:val="top"/>
          </w:tcPr>
          <w:p w14:paraId="51D7A97E">
            <w:pPr>
              <w:pStyle w:val="6"/>
              <w:spacing w:before="64" w:line="219" w:lineRule="auto"/>
              <w:ind w:left="31"/>
              <w:rPr>
                <w:sz w:val="18"/>
                <w:szCs w:val="18"/>
              </w:rPr>
            </w:pPr>
            <w:r>
              <w:rPr>
                <w:spacing w:val="-1"/>
                <w:sz w:val="18"/>
                <w:szCs w:val="18"/>
              </w:rPr>
              <w:t>数控铣工技能考核</w:t>
            </w:r>
          </w:p>
        </w:tc>
        <w:tc>
          <w:tcPr>
            <w:tcW w:w="1097" w:type="dxa"/>
            <w:vAlign w:val="top"/>
          </w:tcPr>
          <w:p w14:paraId="6D3AB8F6">
            <w:pPr>
              <w:pStyle w:val="6"/>
              <w:spacing w:before="64" w:line="220" w:lineRule="auto"/>
              <w:ind w:left="275"/>
              <w:rPr>
                <w:sz w:val="18"/>
                <w:szCs w:val="18"/>
              </w:rPr>
            </w:pPr>
            <w:r>
              <w:rPr>
                <w:spacing w:val="3"/>
                <w:sz w:val="18"/>
                <w:szCs w:val="18"/>
              </w:rPr>
              <w:t>90分钟</w:t>
            </w:r>
          </w:p>
        </w:tc>
        <w:tc>
          <w:tcPr>
            <w:tcW w:w="823" w:type="dxa"/>
            <w:vAlign w:val="top"/>
          </w:tcPr>
          <w:p w14:paraId="7DAA8AAD">
            <w:pPr>
              <w:pStyle w:val="6"/>
              <w:spacing w:before="64" w:line="220" w:lineRule="auto"/>
              <w:ind w:left="178"/>
              <w:rPr>
                <w:sz w:val="18"/>
                <w:szCs w:val="18"/>
              </w:rPr>
            </w:pPr>
            <w:r>
              <w:rPr>
                <w:spacing w:val="-2"/>
                <w:sz w:val="18"/>
                <w:szCs w:val="18"/>
              </w:rPr>
              <w:t>250分</w:t>
            </w:r>
          </w:p>
        </w:tc>
      </w:tr>
      <w:tr w14:paraId="72CC2C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673" w:type="dxa"/>
            <w:vAlign w:val="top"/>
          </w:tcPr>
          <w:p w14:paraId="2E51E214">
            <w:pPr>
              <w:pStyle w:val="6"/>
              <w:spacing w:before="65" w:line="220" w:lineRule="auto"/>
              <w:ind w:left="55"/>
              <w:rPr>
                <w:sz w:val="18"/>
                <w:szCs w:val="18"/>
              </w:rPr>
            </w:pPr>
            <w:r>
              <w:rPr>
                <w:spacing w:val="-3"/>
                <w:sz w:val="18"/>
                <w:szCs w:val="18"/>
              </w:rPr>
              <w:t>项目六</w:t>
            </w:r>
          </w:p>
        </w:tc>
        <w:tc>
          <w:tcPr>
            <w:tcW w:w="1516" w:type="dxa"/>
            <w:vAlign w:val="top"/>
          </w:tcPr>
          <w:p w14:paraId="54B08D4D">
            <w:pPr>
              <w:pStyle w:val="6"/>
              <w:spacing w:before="65" w:line="219" w:lineRule="auto"/>
              <w:ind w:left="31"/>
              <w:rPr>
                <w:sz w:val="18"/>
                <w:szCs w:val="18"/>
              </w:rPr>
            </w:pPr>
            <w:r>
              <w:rPr>
                <w:spacing w:val="-1"/>
                <w:sz w:val="18"/>
                <w:szCs w:val="18"/>
              </w:rPr>
              <w:t>汽车维修技能考核</w:t>
            </w:r>
          </w:p>
        </w:tc>
        <w:tc>
          <w:tcPr>
            <w:tcW w:w="1097" w:type="dxa"/>
            <w:vAlign w:val="top"/>
          </w:tcPr>
          <w:p w14:paraId="0019786E">
            <w:pPr>
              <w:pStyle w:val="6"/>
              <w:spacing w:before="65" w:line="220" w:lineRule="auto"/>
              <w:ind w:left="275"/>
              <w:rPr>
                <w:sz w:val="18"/>
                <w:szCs w:val="18"/>
              </w:rPr>
            </w:pPr>
            <w:r>
              <w:rPr>
                <w:spacing w:val="3"/>
                <w:sz w:val="18"/>
                <w:szCs w:val="18"/>
              </w:rPr>
              <w:t>90分钟</w:t>
            </w:r>
          </w:p>
        </w:tc>
        <w:tc>
          <w:tcPr>
            <w:tcW w:w="823" w:type="dxa"/>
            <w:vAlign w:val="top"/>
          </w:tcPr>
          <w:p w14:paraId="4F50BC3F">
            <w:pPr>
              <w:pStyle w:val="6"/>
              <w:spacing w:before="65" w:line="220" w:lineRule="auto"/>
              <w:ind w:left="178"/>
              <w:rPr>
                <w:sz w:val="18"/>
                <w:szCs w:val="18"/>
              </w:rPr>
            </w:pPr>
            <w:r>
              <w:rPr>
                <w:spacing w:val="-2"/>
                <w:sz w:val="18"/>
                <w:szCs w:val="18"/>
              </w:rPr>
              <w:t>250分</w:t>
            </w:r>
          </w:p>
        </w:tc>
      </w:tr>
      <w:tr w14:paraId="075DB3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3" w:hRule="atLeast"/>
        </w:trPr>
        <w:tc>
          <w:tcPr>
            <w:tcW w:w="673" w:type="dxa"/>
            <w:vAlign w:val="top"/>
          </w:tcPr>
          <w:p w14:paraId="1FAA9E9A">
            <w:pPr>
              <w:pStyle w:val="6"/>
              <w:spacing w:before="136" w:line="220" w:lineRule="auto"/>
              <w:ind w:left="55"/>
              <w:rPr>
                <w:sz w:val="18"/>
                <w:szCs w:val="18"/>
              </w:rPr>
            </w:pPr>
            <w:r>
              <w:rPr>
                <w:spacing w:val="-3"/>
                <w:sz w:val="18"/>
                <w:szCs w:val="18"/>
              </w:rPr>
              <w:t>项目七</w:t>
            </w:r>
          </w:p>
        </w:tc>
        <w:tc>
          <w:tcPr>
            <w:tcW w:w="1516" w:type="dxa"/>
            <w:vAlign w:val="top"/>
          </w:tcPr>
          <w:p w14:paraId="744B60F7">
            <w:pPr>
              <w:pStyle w:val="6"/>
              <w:spacing w:before="46" w:line="198" w:lineRule="auto"/>
              <w:ind w:left="211" w:right="41" w:hanging="180"/>
              <w:rPr>
                <w:sz w:val="18"/>
                <w:szCs w:val="18"/>
              </w:rPr>
            </w:pPr>
            <w:r>
              <w:rPr>
                <w:spacing w:val="-1"/>
                <w:sz w:val="18"/>
                <w:szCs w:val="18"/>
              </w:rPr>
              <w:t>汽车维修设备和仪</w:t>
            </w:r>
            <w:r>
              <w:rPr>
                <w:sz w:val="18"/>
                <w:szCs w:val="18"/>
              </w:rPr>
              <w:t xml:space="preserve"> </w:t>
            </w:r>
            <w:r>
              <w:rPr>
                <w:spacing w:val="-1"/>
                <w:sz w:val="18"/>
                <w:szCs w:val="18"/>
              </w:rPr>
              <w:t>器的使用考核</w:t>
            </w:r>
          </w:p>
        </w:tc>
        <w:tc>
          <w:tcPr>
            <w:tcW w:w="1097" w:type="dxa"/>
            <w:vAlign w:val="top"/>
          </w:tcPr>
          <w:p w14:paraId="6DFCD61A">
            <w:pPr>
              <w:pStyle w:val="6"/>
              <w:spacing w:before="136" w:line="220" w:lineRule="auto"/>
              <w:ind w:left="275"/>
              <w:rPr>
                <w:sz w:val="18"/>
                <w:szCs w:val="18"/>
              </w:rPr>
            </w:pPr>
            <w:r>
              <w:rPr>
                <w:spacing w:val="3"/>
                <w:sz w:val="18"/>
                <w:szCs w:val="18"/>
              </w:rPr>
              <w:t>90分钟</w:t>
            </w:r>
          </w:p>
        </w:tc>
        <w:tc>
          <w:tcPr>
            <w:tcW w:w="823" w:type="dxa"/>
            <w:vAlign w:val="top"/>
          </w:tcPr>
          <w:p w14:paraId="3FA43B00">
            <w:pPr>
              <w:pStyle w:val="6"/>
              <w:spacing w:before="136" w:line="220" w:lineRule="auto"/>
              <w:ind w:left="178"/>
              <w:rPr>
                <w:sz w:val="18"/>
                <w:szCs w:val="18"/>
              </w:rPr>
            </w:pPr>
            <w:r>
              <w:rPr>
                <w:spacing w:val="-2"/>
                <w:sz w:val="18"/>
                <w:szCs w:val="18"/>
              </w:rPr>
              <w:t>250分</w:t>
            </w:r>
          </w:p>
        </w:tc>
      </w:tr>
    </w:tbl>
    <w:p w14:paraId="2B38BEE9">
      <w:pPr>
        <w:spacing w:before="62" w:line="219" w:lineRule="auto"/>
        <w:ind w:left="100"/>
        <w:rPr>
          <w:rFonts w:ascii="宋体" w:hAnsi="宋体" w:eastAsia="宋体" w:cs="宋体"/>
          <w:sz w:val="18"/>
          <w:szCs w:val="18"/>
        </w:rPr>
      </w:pPr>
      <w:r>
        <w:rPr>
          <w:rFonts w:ascii="宋体" w:hAnsi="宋体" w:eastAsia="宋体" w:cs="宋体"/>
          <w:sz w:val="18"/>
          <w:szCs w:val="18"/>
        </w:rPr>
        <w:t>(二)电工电子专业群</w:t>
      </w:r>
    </w:p>
    <w:p w14:paraId="4381A158">
      <w:pPr>
        <w:spacing w:line="46" w:lineRule="auto"/>
        <w:rPr>
          <w:rFonts w:ascii="Arial"/>
          <w:sz w:val="2"/>
        </w:rPr>
      </w:pPr>
    </w:p>
    <w:tbl>
      <w:tblPr>
        <w:tblStyle w:val="5"/>
        <w:tblW w:w="4119" w:type="dxa"/>
        <w:tblInd w:w="4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93"/>
        <w:gridCol w:w="1466"/>
        <w:gridCol w:w="1127"/>
        <w:gridCol w:w="833"/>
      </w:tblGrid>
      <w:tr w14:paraId="68AAF0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693" w:type="dxa"/>
            <w:tcBorders>
              <w:top w:val="single" w:color="000000" w:sz="2" w:space="0"/>
              <w:bottom w:val="single" w:color="000000" w:sz="2" w:space="0"/>
            </w:tcBorders>
            <w:vAlign w:val="top"/>
          </w:tcPr>
          <w:p w14:paraId="1878F64F">
            <w:pPr>
              <w:pStyle w:val="6"/>
              <w:spacing w:before="75" w:line="220" w:lineRule="auto"/>
              <w:ind w:left="157"/>
              <w:rPr>
                <w:sz w:val="18"/>
                <w:szCs w:val="18"/>
              </w:rPr>
            </w:pPr>
            <w:r>
              <w:rPr>
                <w:b/>
                <w:bCs/>
                <w:spacing w:val="12"/>
                <w:sz w:val="18"/>
                <w:szCs w:val="18"/>
              </w:rPr>
              <w:t>项目</w:t>
            </w:r>
          </w:p>
        </w:tc>
        <w:tc>
          <w:tcPr>
            <w:tcW w:w="1466" w:type="dxa"/>
            <w:tcBorders>
              <w:top w:val="single" w:color="000000" w:sz="2" w:space="0"/>
              <w:bottom w:val="single" w:color="000000" w:sz="2" w:space="0"/>
            </w:tcBorders>
            <w:vAlign w:val="top"/>
          </w:tcPr>
          <w:p w14:paraId="5DF1A41F">
            <w:pPr>
              <w:pStyle w:val="6"/>
              <w:spacing w:before="75" w:line="220" w:lineRule="auto"/>
              <w:ind w:left="364"/>
              <w:rPr>
                <w:sz w:val="18"/>
                <w:szCs w:val="18"/>
              </w:rPr>
            </w:pPr>
            <w:r>
              <w:rPr>
                <w:b/>
                <w:bCs/>
                <w:spacing w:val="-4"/>
                <w:sz w:val="18"/>
                <w:szCs w:val="18"/>
              </w:rPr>
              <w:t>项目名称</w:t>
            </w:r>
          </w:p>
        </w:tc>
        <w:tc>
          <w:tcPr>
            <w:tcW w:w="1127" w:type="dxa"/>
            <w:tcBorders>
              <w:top w:val="single" w:color="000000" w:sz="2" w:space="0"/>
              <w:bottom w:val="single" w:color="000000" w:sz="2" w:space="0"/>
            </w:tcBorders>
            <w:vAlign w:val="top"/>
          </w:tcPr>
          <w:p w14:paraId="4E5D664B">
            <w:pPr>
              <w:pStyle w:val="6"/>
              <w:spacing w:before="74" w:line="219" w:lineRule="auto"/>
              <w:ind w:left="198"/>
              <w:rPr>
                <w:sz w:val="18"/>
                <w:szCs w:val="18"/>
              </w:rPr>
            </w:pPr>
            <w:r>
              <w:rPr>
                <w:b/>
                <w:bCs/>
                <w:spacing w:val="-4"/>
                <w:sz w:val="18"/>
                <w:szCs w:val="18"/>
              </w:rPr>
              <w:t>考试时间</w:t>
            </w:r>
          </w:p>
        </w:tc>
        <w:tc>
          <w:tcPr>
            <w:tcW w:w="833" w:type="dxa"/>
            <w:tcBorders>
              <w:top w:val="single" w:color="000000" w:sz="2" w:space="0"/>
              <w:bottom w:val="single" w:color="000000" w:sz="2" w:space="0"/>
            </w:tcBorders>
            <w:vAlign w:val="top"/>
          </w:tcPr>
          <w:p w14:paraId="1D1E8AFF">
            <w:pPr>
              <w:pStyle w:val="6"/>
              <w:spacing w:before="74" w:line="219" w:lineRule="auto"/>
              <w:ind w:left="231"/>
              <w:rPr>
                <w:sz w:val="18"/>
                <w:szCs w:val="18"/>
              </w:rPr>
            </w:pPr>
            <w:r>
              <w:rPr>
                <w:b/>
                <w:bCs/>
                <w:spacing w:val="-5"/>
                <w:sz w:val="18"/>
                <w:szCs w:val="18"/>
              </w:rPr>
              <w:t>分值</w:t>
            </w:r>
          </w:p>
        </w:tc>
      </w:tr>
      <w:tr w14:paraId="04D5F2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3" w:hRule="atLeast"/>
        </w:trPr>
        <w:tc>
          <w:tcPr>
            <w:tcW w:w="693" w:type="dxa"/>
            <w:tcBorders>
              <w:top w:val="single" w:color="000000" w:sz="2" w:space="0"/>
              <w:bottom w:val="single" w:color="000000" w:sz="2" w:space="0"/>
            </w:tcBorders>
            <w:vAlign w:val="top"/>
          </w:tcPr>
          <w:p w14:paraId="7D6D3023">
            <w:pPr>
              <w:pStyle w:val="6"/>
              <w:spacing w:before="133" w:line="220" w:lineRule="auto"/>
              <w:ind w:left="64"/>
              <w:rPr>
                <w:sz w:val="18"/>
                <w:szCs w:val="18"/>
              </w:rPr>
            </w:pPr>
            <w:r>
              <w:rPr>
                <w:spacing w:val="-3"/>
                <w:sz w:val="18"/>
                <w:szCs w:val="18"/>
              </w:rPr>
              <w:t>项目八</w:t>
            </w:r>
          </w:p>
        </w:tc>
        <w:tc>
          <w:tcPr>
            <w:tcW w:w="1466" w:type="dxa"/>
            <w:tcBorders>
              <w:top w:val="single" w:color="000000" w:sz="2" w:space="0"/>
              <w:bottom w:val="single" w:color="000000" w:sz="2" w:space="0"/>
            </w:tcBorders>
            <w:vAlign w:val="top"/>
          </w:tcPr>
          <w:p w14:paraId="453B0639">
            <w:pPr>
              <w:pStyle w:val="6"/>
              <w:spacing w:before="52" w:line="195" w:lineRule="auto"/>
              <w:ind w:left="541" w:right="90" w:hanging="449"/>
              <w:rPr>
                <w:sz w:val="18"/>
                <w:szCs w:val="18"/>
              </w:rPr>
            </w:pPr>
            <w:r>
              <w:rPr>
                <w:spacing w:val="1"/>
                <w:sz w:val="18"/>
                <w:szCs w:val="18"/>
              </w:rPr>
              <w:t>双控照明电路的</w:t>
            </w:r>
            <w:r>
              <w:rPr>
                <w:spacing w:val="5"/>
                <w:sz w:val="18"/>
                <w:szCs w:val="18"/>
              </w:rPr>
              <w:t xml:space="preserve"> </w:t>
            </w:r>
            <w:r>
              <w:rPr>
                <w:spacing w:val="-3"/>
                <w:sz w:val="18"/>
                <w:szCs w:val="18"/>
              </w:rPr>
              <w:t>安装</w:t>
            </w:r>
          </w:p>
        </w:tc>
        <w:tc>
          <w:tcPr>
            <w:tcW w:w="1127" w:type="dxa"/>
            <w:tcBorders>
              <w:top w:val="single" w:color="000000" w:sz="2" w:space="0"/>
              <w:bottom w:val="single" w:color="000000" w:sz="2" w:space="0"/>
            </w:tcBorders>
            <w:vAlign w:val="top"/>
          </w:tcPr>
          <w:p w14:paraId="67188B33">
            <w:pPr>
              <w:pStyle w:val="6"/>
              <w:spacing w:before="133" w:line="220" w:lineRule="auto"/>
              <w:ind w:left="285"/>
              <w:rPr>
                <w:sz w:val="18"/>
                <w:szCs w:val="18"/>
              </w:rPr>
            </w:pPr>
            <w:r>
              <w:rPr>
                <w:spacing w:val="3"/>
                <w:sz w:val="18"/>
                <w:szCs w:val="18"/>
              </w:rPr>
              <w:t>90分钟</w:t>
            </w:r>
          </w:p>
        </w:tc>
        <w:tc>
          <w:tcPr>
            <w:tcW w:w="833" w:type="dxa"/>
            <w:tcBorders>
              <w:top w:val="single" w:color="000000" w:sz="2" w:space="0"/>
              <w:bottom w:val="single" w:color="000000" w:sz="2" w:space="0"/>
            </w:tcBorders>
            <w:vAlign w:val="top"/>
          </w:tcPr>
          <w:p w14:paraId="583B9D1F">
            <w:pPr>
              <w:pStyle w:val="6"/>
              <w:spacing w:before="133" w:line="220" w:lineRule="auto"/>
              <w:ind w:left="188"/>
              <w:rPr>
                <w:sz w:val="18"/>
                <w:szCs w:val="18"/>
              </w:rPr>
            </w:pPr>
            <w:r>
              <w:rPr>
                <w:spacing w:val="-2"/>
                <w:sz w:val="18"/>
                <w:szCs w:val="18"/>
              </w:rPr>
              <w:t>250分</w:t>
            </w:r>
          </w:p>
        </w:tc>
      </w:tr>
      <w:tr w14:paraId="0438AD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3" w:hRule="atLeast"/>
        </w:trPr>
        <w:tc>
          <w:tcPr>
            <w:tcW w:w="693" w:type="dxa"/>
            <w:tcBorders>
              <w:top w:val="single" w:color="000000" w:sz="2" w:space="0"/>
              <w:bottom w:val="single" w:color="000000" w:sz="2" w:space="0"/>
            </w:tcBorders>
            <w:vAlign w:val="top"/>
          </w:tcPr>
          <w:p w14:paraId="70E82C4A">
            <w:pPr>
              <w:pStyle w:val="6"/>
              <w:spacing w:before="135" w:line="220" w:lineRule="auto"/>
              <w:ind w:left="64"/>
              <w:rPr>
                <w:sz w:val="18"/>
                <w:szCs w:val="18"/>
              </w:rPr>
            </w:pPr>
            <w:r>
              <w:rPr>
                <w:spacing w:val="-3"/>
                <w:sz w:val="18"/>
                <w:szCs w:val="18"/>
              </w:rPr>
              <w:t>项目九</w:t>
            </w:r>
          </w:p>
        </w:tc>
        <w:tc>
          <w:tcPr>
            <w:tcW w:w="1466" w:type="dxa"/>
            <w:tcBorders>
              <w:top w:val="single" w:color="000000" w:sz="2" w:space="0"/>
              <w:bottom w:val="single" w:color="000000" w:sz="2" w:space="0"/>
            </w:tcBorders>
            <w:vAlign w:val="top"/>
          </w:tcPr>
          <w:p w14:paraId="512419C5">
            <w:pPr>
              <w:pStyle w:val="6"/>
              <w:spacing w:before="44" w:line="194" w:lineRule="auto"/>
              <w:ind w:left="361" w:right="110" w:hanging="269"/>
              <w:rPr>
                <w:sz w:val="18"/>
                <w:szCs w:val="18"/>
              </w:rPr>
            </w:pPr>
            <w:r>
              <w:rPr>
                <w:spacing w:val="-1"/>
                <w:sz w:val="18"/>
                <w:szCs w:val="18"/>
              </w:rPr>
              <w:t>低压电器控制电</w:t>
            </w:r>
            <w:r>
              <w:rPr>
                <w:sz w:val="18"/>
                <w:szCs w:val="18"/>
              </w:rPr>
              <w:t xml:space="preserve"> </w:t>
            </w:r>
            <w:r>
              <w:rPr>
                <w:spacing w:val="-2"/>
                <w:sz w:val="18"/>
                <w:szCs w:val="18"/>
              </w:rPr>
              <w:t>路的安装</w:t>
            </w:r>
          </w:p>
        </w:tc>
        <w:tc>
          <w:tcPr>
            <w:tcW w:w="1127" w:type="dxa"/>
            <w:tcBorders>
              <w:top w:val="single" w:color="000000" w:sz="2" w:space="0"/>
              <w:bottom w:val="single" w:color="000000" w:sz="2" w:space="0"/>
            </w:tcBorders>
            <w:vAlign w:val="top"/>
          </w:tcPr>
          <w:p w14:paraId="10FD25B7">
            <w:pPr>
              <w:pStyle w:val="6"/>
              <w:spacing w:before="135" w:line="220" w:lineRule="auto"/>
              <w:ind w:left="285"/>
              <w:rPr>
                <w:sz w:val="18"/>
                <w:szCs w:val="18"/>
              </w:rPr>
            </w:pPr>
            <w:r>
              <w:rPr>
                <w:spacing w:val="3"/>
                <w:sz w:val="18"/>
                <w:szCs w:val="18"/>
              </w:rPr>
              <w:t>90分钟</w:t>
            </w:r>
          </w:p>
        </w:tc>
        <w:tc>
          <w:tcPr>
            <w:tcW w:w="833" w:type="dxa"/>
            <w:tcBorders>
              <w:top w:val="single" w:color="000000" w:sz="2" w:space="0"/>
              <w:bottom w:val="single" w:color="000000" w:sz="2" w:space="0"/>
            </w:tcBorders>
            <w:vAlign w:val="top"/>
          </w:tcPr>
          <w:p w14:paraId="049ADF40">
            <w:pPr>
              <w:pStyle w:val="6"/>
              <w:spacing w:before="135" w:line="220" w:lineRule="auto"/>
              <w:ind w:left="188"/>
              <w:rPr>
                <w:sz w:val="18"/>
                <w:szCs w:val="18"/>
              </w:rPr>
            </w:pPr>
            <w:r>
              <w:rPr>
                <w:spacing w:val="-2"/>
                <w:sz w:val="18"/>
                <w:szCs w:val="18"/>
              </w:rPr>
              <w:t>250分</w:t>
            </w:r>
          </w:p>
        </w:tc>
      </w:tr>
      <w:tr w14:paraId="453DA2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8" w:hRule="atLeast"/>
        </w:trPr>
        <w:tc>
          <w:tcPr>
            <w:tcW w:w="693" w:type="dxa"/>
            <w:tcBorders>
              <w:top w:val="single" w:color="000000" w:sz="2" w:space="0"/>
              <w:bottom w:val="single" w:color="000000" w:sz="2" w:space="0"/>
            </w:tcBorders>
            <w:vAlign w:val="top"/>
          </w:tcPr>
          <w:p w14:paraId="2151C188">
            <w:pPr>
              <w:pStyle w:val="6"/>
              <w:spacing w:before="136" w:line="220" w:lineRule="auto"/>
              <w:ind w:left="64"/>
              <w:rPr>
                <w:sz w:val="18"/>
                <w:szCs w:val="18"/>
              </w:rPr>
            </w:pPr>
            <w:r>
              <w:rPr>
                <w:spacing w:val="-3"/>
                <w:sz w:val="18"/>
                <w:szCs w:val="18"/>
              </w:rPr>
              <w:t>项目十</w:t>
            </w:r>
          </w:p>
        </w:tc>
        <w:tc>
          <w:tcPr>
            <w:tcW w:w="1466" w:type="dxa"/>
            <w:tcBorders>
              <w:top w:val="single" w:color="000000" w:sz="2" w:space="0"/>
              <w:bottom w:val="single" w:color="000000" w:sz="2" w:space="0"/>
            </w:tcBorders>
            <w:vAlign w:val="top"/>
          </w:tcPr>
          <w:p w14:paraId="685B5E13">
            <w:pPr>
              <w:pStyle w:val="6"/>
              <w:spacing w:before="45" w:line="196" w:lineRule="auto"/>
              <w:ind w:left="541" w:right="89" w:hanging="449"/>
              <w:rPr>
                <w:sz w:val="18"/>
                <w:szCs w:val="18"/>
              </w:rPr>
            </w:pPr>
            <w:r>
              <w:rPr>
                <w:spacing w:val="2"/>
                <w:sz w:val="18"/>
                <w:szCs w:val="18"/>
              </w:rPr>
              <w:t>电子产品组装与</w:t>
            </w:r>
            <w:r>
              <w:rPr>
                <w:sz w:val="18"/>
                <w:szCs w:val="18"/>
              </w:rPr>
              <w:t xml:space="preserve"> </w:t>
            </w:r>
            <w:r>
              <w:rPr>
                <w:spacing w:val="-3"/>
                <w:sz w:val="18"/>
                <w:szCs w:val="18"/>
              </w:rPr>
              <w:t>调试</w:t>
            </w:r>
          </w:p>
        </w:tc>
        <w:tc>
          <w:tcPr>
            <w:tcW w:w="1127" w:type="dxa"/>
            <w:tcBorders>
              <w:top w:val="single" w:color="000000" w:sz="2" w:space="0"/>
              <w:bottom w:val="single" w:color="000000" w:sz="2" w:space="0"/>
            </w:tcBorders>
            <w:vAlign w:val="top"/>
          </w:tcPr>
          <w:p w14:paraId="350F2FAD">
            <w:pPr>
              <w:pStyle w:val="6"/>
              <w:spacing w:before="136" w:line="220" w:lineRule="auto"/>
              <w:ind w:left="285"/>
              <w:rPr>
                <w:sz w:val="18"/>
                <w:szCs w:val="18"/>
              </w:rPr>
            </w:pPr>
            <w:r>
              <w:rPr>
                <w:spacing w:val="3"/>
                <w:sz w:val="18"/>
                <w:szCs w:val="18"/>
              </w:rPr>
              <w:t>90分钟</w:t>
            </w:r>
          </w:p>
        </w:tc>
        <w:tc>
          <w:tcPr>
            <w:tcW w:w="833" w:type="dxa"/>
            <w:tcBorders>
              <w:top w:val="single" w:color="000000" w:sz="2" w:space="0"/>
              <w:bottom w:val="single" w:color="000000" w:sz="2" w:space="0"/>
            </w:tcBorders>
            <w:vAlign w:val="top"/>
          </w:tcPr>
          <w:p w14:paraId="7D030BA5">
            <w:pPr>
              <w:pStyle w:val="6"/>
              <w:spacing w:before="136" w:line="220" w:lineRule="auto"/>
              <w:ind w:left="188"/>
              <w:rPr>
                <w:sz w:val="18"/>
                <w:szCs w:val="18"/>
              </w:rPr>
            </w:pPr>
            <w:r>
              <w:rPr>
                <w:spacing w:val="-2"/>
                <w:sz w:val="18"/>
                <w:szCs w:val="18"/>
              </w:rPr>
              <w:t>250分</w:t>
            </w:r>
          </w:p>
        </w:tc>
      </w:tr>
    </w:tbl>
    <w:p w14:paraId="1E59035B">
      <w:pPr>
        <w:pStyle w:val="2"/>
        <w:spacing w:line="14" w:lineRule="auto"/>
        <w:rPr>
          <w:sz w:val="2"/>
        </w:rPr>
      </w:pPr>
    </w:p>
    <w:p w14:paraId="7DB1C43C">
      <w:pPr>
        <w:pStyle w:val="2"/>
        <w:spacing w:line="14" w:lineRule="auto"/>
        <w:rPr>
          <w:sz w:val="2"/>
        </w:rPr>
      </w:pPr>
      <w:r>
        <w:rPr>
          <w:sz w:val="2"/>
          <w:szCs w:val="2"/>
        </w:rPr>
        <w:br w:type="column"/>
      </w:r>
    </w:p>
    <w:p w14:paraId="27CF860F">
      <w:pPr>
        <w:spacing w:before="32" w:line="222" w:lineRule="auto"/>
        <w:ind w:left="1092"/>
        <w:rPr>
          <w:rFonts w:ascii="黑体" w:hAnsi="黑体" w:eastAsia="黑体" w:cs="黑体"/>
          <w:sz w:val="17"/>
          <w:szCs w:val="17"/>
        </w:rPr>
      </w:pPr>
      <w:r>
        <w:rPr>
          <w:rFonts w:ascii="黑体" w:hAnsi="黑体" w:eastAsia="黑体" w:cs="黑体"/>
          <w:b/>
          <w:bCs/>
          <w:spacing w:val="20"/>
          <w:sz w:val="17"/>
          <w:szCs w:val="17"/>
        </w:rPr>
        <w:t>项目</w:t>
      </w:r>
      <w:r>
        <w:rPr>
          <w:rFonts w:ascii="黑体" w:hAnsi="黑体" w:eastAsia="黑体" w:cs="黑体"/>
          <w:spacing w:val="-46"/>
          <w:sz w:val="17"/>
          <w:szCs w:val="17"/>
        </w:rPr>
        <w:t xml:space="preserve"> </w:t>
      </w:r>
      <w:r>
        <w:rPr>
          <w:rFonts w:ascii="黑体" w:hAnsi="黑体" w:eastAsia="黑体" w:cs="黑体"/>
          <w:b/>
          <w:bCs/>
          <w:spacing w:val="20"/>
          <w:sz w:val="17"/>
          <w:szCs w:val="17"/>
        </w:rPr>
        <w:t>一</w:t>
      </w:r>
      <w:r>
        <w:rPr>
          <w:rFonts w:ascii="黑体" w:hAnsi="黑体" w:eastAsia="黑体" w:cs="黑体"/>
          <w:spacing w:val="22"/>
          <w:w w:val="101"/>
          <w:sz w:val="17"/>
          <w:szCs w:val="17"/>
        </w:rPr>
        <w:t xml:space="preserve">  </w:t>
      </w:r>
      <w:r>
        <w:rPr>
          <w:rFonts w:ascii="黑体" w:hAnsi="黑体" w:eastAsia="黑体" w:cs="黑体"/>
          <w:b/>
          <w:bCs/>
          <w:spacing w:val="20"/>
          <w:sz w:val="17"/>
          <w:szCs w:val="17"/>
        </w:rPr>
        <w:t>钳工技能考核</w:t>
      </w:r>
    </w:p>
    <w:p w14:paraId="4326DD5E">
      <w:pPr>
        <w:pStyle w:val="2"/>
        <w:spacing w:line="282" w:lineRule="auto"/>
      </w:pPr>
    </w:p>
    <w:p w14:paraId="47498E6D">
      <w:pPr>
        <w:spacing w:before="56" w:line="221" w:lineRule="auto"/>
        <w:ind w:left="374"/>
        <w:rPr>
          <w:rFonts w:ascii="宋体" w:hAnsi="宋体" w:eastAsia="宋体" w:cs="宋体"/>
          <w:sz w:val="17"/>
          <w:szCs w:val="17"/>
        </w:rPr>
      </w:pPr>
      <w:r>
        <w:rPr>
          <w:rFonts w:ascii="宋体" w:hAnsi="宋体" w:eastAsia="宋体" w:cs="宋体"/>
          <w:spacing w:val="3"/>
          <w:sz w:val="17"/>
          <w:szCs w:val="17"/>
        </w:rPr>
        <w:t>【测试用具】</w:t>
      </w:r>
    </w:p>
    <w:p w14:paraId="2023F9E5">
      <w:pPr>
        <w:spacing w:before="95" w:line="301" w:lineRule="auto"/>
        <w:ind w:right="411" w:firstLine="380"/>
        <w:rPr>
          <w:rFonts w:ascii="宋体" w:hAnsi="宋体" w:eastAsia="宋体" w:cs="宋体"/>
          <w:sz w:val="17"/>
          <w:szCs w:val="17"/>
        </w:rPr>
      </w:pPr>
      <w:r>
        <w:rPr>
          <w:rFonts w:ascii="宋体" w:hAnsi="宋体" w:eastAsia="宋体" w:cs="宋体"/>
          <w:spacing w:val="-1"/>
          <w:sz w:val="17"/>
          <w:szCs w:val="17"/>
        </w:rPr>
        <w:t>手锯、锉刀、划针、台钻、游标卡尺、千分尺、万</w:t>
      </w:r>
      <w:r>
        <w:rPr>
          <w:rFonts w:ascii="宋体" w:hAnsi="宋体" w:eastAsia="宋体" w:cs="宋体"/>
          <w:spacing w:val="14"/>
          <w:sz w:val="17"/>
          <w:szCs w:val="17"/>
        </w:rPr>
        <w:t xml:space="preserve"> </w:t>
      </w:r>
      <w:r>
        <w:rPr>
          <w:rFonts w:ascii="宋体" w:hAnsi="宋体" w:eastAsia="宋体" w:cs="宋体"/>
          <w:sz w:val="17"/>
          <w:szCs w:val="17"/>
        </w:rPr>
        <w:t>能角度尺、刀口尺、角尺、百分表、塞尺、量块等</w:t>
      </w:r>
    </w:p>
    <w:p w14:paraId="3B366DF8">
      <w:pPr>
        <w:spacing w:before="16" w:line="219" w:lineRule="auto"/>
        <w:ind w:left="374"/>
        <w:rPr>
          <w:rFonts w:ascii="宋体" w:hAnsi="宋体" w:eastAsia="宋体" w:cs="宋体"/>
          <w:sz w:val="17"/>
          <w:szCs w:val="17"/>
        </w:rPr>
      </w:pPr>
      <w:r>
        <w:rPr>
          <w:rFonts w:ascii="宋体" w:hAnsi="宋体" w:eastAsia="宋体" w:cs="宋体"/>
          <w:spacing w:val="3"/>
          <w:sz w:val="17"/>
          <w:szCs w:val="17"/>
        </w:rPr>
        <w:t>【测试内容】</w:t>
      </w:r>
    </w:p>
    <w:p w14:paraId="540A45D9">
      <w:pPr>
        <w:spacing w:before="98" w:line="317" w:lineRule="auto"/>
        <w:ind w:left="380" w:right="320"/>
        <w:jc w:val="both"/>
        <w:rPr>
          <w:rFonts w:ascii="宋体" w:hAnsi="宋体" w:eastAsia="宋体" w:cs="宋体"/>
          <w:sz w:val="17"/>
          <w:szCs w:val="17"/>
        </w:rPr>
      </w:pPr>
      <w:r>
        <w:rPr>
          <w:rFonts w:ascii="宋体" w:hAnsi="宋体" w:eastAsia="宋体" w:cs="宋体"/>
          <w:spacing w:val="-4"/>
          <w:sz w:val="17"/>
          <w:szCs w:val="17"/>
        </w:rPr>
        <w:t>1.分析图样，制定零件的加工工艺，填写工艺卡片。</w:t>
      </w:r>
      <w:r>
        <w:rPr>
          <w:rFonts w:ascii="宋体" w:hAnsi="宋体" w:eastAsia="宋体" w:cs="宋体"/>
          <w:spacing w:val="9"/>
          <w:sz w:val="17"/>
          <w:szCs w:val="17"/>
        </w:rPr>
        <w:t xml:space="preserve"> </w:t>
      </w:r>
      <w:r>
        <w:rPr>
          <w:rFonts w:ascii="宋体" w:hAnsi="宋体" w:eastAsia="宋体" w:cs="宋体"/>
          <w:spacing w:val="7"/>
          <w:sz w:val="17"/>
          <w:szCs w:val="17"/>
        </w:rPr>
        <w:t>2.</w:t>
      </w:r>
      <w:r>
        <w:rPr>
          <w:rFonts w:ascii="宋体" w:hAnsi="宋体" w:eastAsia="宋体" w:cs="宋体"/>
          <w:spacing w:val="-26"/>
          <w:sz w:val="17"/>
          <w:szCs w:val="17"/>
        </w:rPr>
        <w:t xml:space="preserve"> </w:t>
      </w:r>
      <w:r>
        <w:rPr>
          <w:rFonts w:ascii="宋体" w:hAnsi="宋体" w:eastAsia="宋体" w:cs="宋体"/>
          <w:spacing w:val="7"/>
          <w:sz w:val="17"/>
          <w:szCs w:val="17"/>
        </w:rPr>
        <w:t>要求考生运用钳工手段，加工工件达到零件图</w:t>
      </w:r>
      <w:r>
        <w:rPr>
          <w:rFonts w:ascii="宋体" w:hAnsi="宋体" w:eastAsia="宋体" w:cs="宋体"/>
          <w:sz w:val="17"/>
          <w:szCs w:val="17"/>
        </w:rPr>
        <w:t xml:space="preserve"> </w:t>
      </w:r>
      <w:r>
        <w:rPr>
          <w:rFonts w:ascii="宋体" w:hAnsi="宋体" w:eastAsia="宋体" w:cs="宋体"/>
          <w:spacing w:val="-5"/>
          <w:sz w:val="17"/>
          <w:szCs w:val="17"/>
        </w:rPr>
        <w:t>纸技术要求。</w:t>
      </w:r>
    </w:p>
    <w:p w14:paraId="770C4EB3">
      <w:pPr>
        <w:spacing w:before="5" w:line="221" w:lineRule="auto"/>
        <w:ind w:left="744"/>
        <w:rPr>
          <w:rFonts w:ascii="宋体" w:hAnsi="宋体" w:eastAsia="宋体" w:cs="宋体"/>
          <w:sz w:val="17"/>
          <w:szCs w:val="17"/>
        </w:rPr>
      </w:pPr>
      <w:r>
        <w:rPr>
          <w:rFonts w:ascii="宋体" w:hAnsi="宋体" w:eastAsia="宋体" w:cs="宋体"/>
          <w:spacing w:val="3"/>
          <w:sz w:val="17"/>
          <w:szCs w:val="17"/>
        </w:rPr>
        <w:t>【测试方法】</w:t>
      </w:r>
    </w:p>
    <w:p w14:paraId="36CA88C1">
      <w:pPr>
        <w:spacing w:before="96" w:line="219" w:lineRule="auto"/>
        <w:ind w:left="740"/>
        <w:rPr>
          <w:rFonts w:ascii="宋体" w:hAnsi="宋体" w:eastAsia="宋体" w:cs="宋体"/>
          <w:sz w:val="17"/>
          <w:szCs w:val="17"/>
        </w:rPr>
      </w:pPr>
      <w:r>
        <w:rPr>
          <w:rFonts w:ascii="宋体" w:hAnsi="宋体" w:eastAsia="宋体" w:cs="宋体"/>
          <w:spacing w:val="-4"/>
          <w:sz w:val="17"/>
          <w:szCs w:val="17"/>
        </w:rPr>
        <w:t>1.</w:t>
      </w:r>
      <w:r>
        <w:rPr>
          <w:rFonts w:ascii="宋体" w:hAnsi="宋体" w:eastAsia="宋体" w:cs="宋体"/>
          <w:spacing w:val="-36"/>
          <w:sz w:val="17"/>
          <w:szCs w:val="17"/>
        </w:rPr>
        <w:t xml:space="preserve"> </w:t>
      </w:r>
      <w:r>
        <w:rPr>
          <w:rFonts w:ascii="宋体" w:hAnsi="宋体" w:eastAsia="宋体" w:cs="宋体"/>
          <w:spacing w:val="-4"/>
          <w:sz w:val="17"/>
          <w:szCs w:val="17"/>
        </w:rPr>
        <w:t>操作基础</w:t>
      </w:r>
    </w:p>
    <w:p w14:paraId="1B12D287">
      <w:pPr>
        <w:spacing w:before="75" w:line="274" w:lineRule="auto"/>
        <w:ind w:left="380" w:right="14" w:firstLine="359"/>
        <w:rPr>
          <w:rFonts w:ascii="宋体" w:hAnsi="宋体" w:eastAsia="宋体" w:cs="宋体"/>
          <w:sz w:val="17"/>
          <w:szCs w:val="17"/>
        </w:rPr>
      </w:pPr>
      <w:r>
        <w:rPr>
          <w:rFonts w:ascii="宋体" w:hAnsi="宋体" w:eastAsia="宋体" w:cs="宋体"/>
          <w:spacing w:val="1"/>
          <w:sz w:val="17"/>
          <w:szCs w:val="17"/>
        </w:rPr>
        <w:t>①加工零件图纸的识图：读懂一些简单或中等难度</w:t>
      </w:r>
      <w:r>
        <w:rPr>
          <w:rFonts w:ascii="宋体" w:hAnsi="宋体" w:eastAsia="宋体" w:cs="宋体"/>
          <w:spacing w:val="7"/>
          <w:sz w:val="17"/>
          <w:szCs w:val="17"/>
        </w:rPr>
        <w:t xml:space="preserve"> </w:t>
      </w:r>
      <w:r>
        <w:rPr>
          <w:rFonts w:ascii="宋体" w:hAnsi="宋体" w:eastAsia="宋体" w:cs="宋体"/>
          <w:spacing w:val="-9"/>
          <w:sz w:val="17"/>
          <w:szCs w:val="17"/>
        </w:rPr>
        <w:t>零件图；</w:t>
      </w:r>
    </w:p>
    <w:p w14:paraId="7A666A5B">
      <w:pPr>
        <w:spacing w:before="87" w:line="217" w:lineRule="auto"/>
        <w:jc w:val="right"/>
        <w:rPr>
          <w:rFonts w:ascii="宋体" w:hAnsi="宋体" w:eastAsia="宋体" w:cs="宋体"/>
          <w:sz w:val="17"/>
          <w:szCs w:val="17"/>
        </w:rPr>
      </w:pPr>
      <w:r>
        <w:rPr>
          <w:rFonts w:ascii="宋体" w:hAnsi="宋体" w:eastAsia="宋体" w:cs="宋体"/>
          <w:spacing w:val="-6"/>
          <w:sz w:val="17"/>
          <w:szCs w:val="17"/>
        </w:rPr>
        <w:t>②根据零件图纸合理制定钳工工艺，填写工艺卡片；</w:t>
      </w:r>
    </w:p>
    <w:p w14:paraId="5B47BD53">
      <w:pPr>
        <w:spacing w:before="80" w:line="217" w:lineRule="auto"/>
        <w:ind w:left="740"/>
        <w:rPr>
          <w:rFonts w:ascii="宋体" w:hAnsi="宋体" w:eastAsia="宋体" w:cs="宋体"/>
          <w:sz w:val="17"/>
          <w:szCs w:val="17"/>
        </w:rPr>
      </w:pPr>
      <w:r>
        <w:rPr>
          <w:rFonts w:ascii="宋体" w:hAnsi="宋体" w:eastAsia="宋体" w:cs="宋体"/>
          <w:spacing w:val="-3"/>
          <w:sz w:val="17"/>
          <w:szCs w:val="17"/>
        </w:rPr>
        <w:t>③工件的正确划线及加工工艺步骤确定；</w:t>
      </w:r>
    </w:p>
    <w:p w14:paraId="6E40EFF1">
      <w:pPr>
        <w:spacing w:before="89" w:line="270" w:lineRule="auto"/>
        <w:ind w:left="380" w:right="11" w:firstLine="359"/>
        <w:rPr>
          <w:rFonts w:ascii="宋体" w:hAnsi="宋体" w:eastAsia="宋体" w:cs="宋体"/>
          <w:sz w:val="17"/>
          <w:szCs w:val="17"/>
        </w:rPr>
      </w:pPr>
      <w:r>
        <w:rPr>
          <w:rFonts w:ascii="宋体" w:hAnsi="宋体" w:eastAsia="宋体" w:cs="宋体"/>
          <w:spacing w:val="1"/>
          <w:sz w:val="17"/>
          <w:szCs w:val="17"/>
        </w:rPr>
        <w:t>④常用工具的正确选择和操作：正确选择和操作加</w:t>
      </w:r>
      <w:r>
        <w:rPr>
          <w:rFonts w:ascii="宋体" w:hAnsi="宋体" w:eastAsia="宋体" w:cs="宋体"/>
          <w:spacing w:val="10"/>
          <w:sz w:val="17"/>
          <w:szCs w:val="17"/>
        </w:rPr>
        <w:t xml:space="preserve"> </w:t>
      </w:r>
      <w:r>
        <w:rPr>
          <w:rFonts w:ascii="宋体" w:hAnsi="宋体" w:eastAsia="宋体" w:cs="宋体"/>
          <w:spacing w:val="-5"/>
          <w:sz w:val="17"/>
          <w:szCs w:val="17"/>
        </w:rPr>
        <w:t>工工具、量具。</w:t>
      </w:r>
    </w:p>
    <w:p w14:paraId="1AFDED0E">
      <w:pPr>
        <w:spacing w:before="96" w:line="265" w:lineRule="auto"/>
        <w:ind w:left="740" w:right="2060"/>
        <w:rPr>
          <w:rFonts w:ascii="宋体" w:hAnsi="宋体" w:eastAsia="宋体" w:cs="宋体"/>
          <w:sz w:val="17"/>
          <w:szCs w:val="17"/>
        </w:rPr>
      </w:pPr>
      <w:r>
        <w:rPr>
          <w:rFonts w:ascii="宋体" w:hAnsi="宋体" w:eastAsia="宋体" w:cs="宋体"/>
          <w:spacing w:val="-2"/>
          <w:sz w:val="17"/>
          <w:szCs w:val="17"/>
        </w:rPr>
        <w:t>2.</w:t>
      </w:r>
      <w:r>
        <w:rPr>
          <w:rFonts w:ascii="宋体" w:hAnsi="宋体" w:eastAsia="宋体" w:cs="宋体"/>
          <w:spacing w:val="-40"/>
          <w:sz w:val="17"/>
          <w:szCs w:val="17"/>
        </w:rPr>
        <w:t xml:space="preserve"> </w:t>
      </w:r>
      <w:r>
        <w:rPr>
          <w:rFonts w:ascii="宋体" w:hAnsi="宋体" w:eastAsia="宋体" w:cs="宋体"/>
          <w:spacing w:val="-2"/>
          <w:sz w:val="17"/>
          <w:szCs w:val="17"/>
        </w:rPr>
        <w:t>操作技能要素及要求</w:t>
      </w:r>
      <w:r>
        <w:rPr>
          <w:rFonts w:ascii="宋体" w:hAnsi="宋体" w:eastAsia="宋体" w:cs="宋体"/>
          <w:sz w:val="17"/>
          <w:szCs w:val="17"/>
        </w:rPr>
        <w:t xml:space="preserve"> </w:t>
      </w:r>
      <w:r>
        <w:rPr>
          <w:rFonts w:ascii="宋体" w:hAnsi="宋体" w:eastAsia="宋体" w:cs="宋体"/>
          <w:spacing w:val="-9"/>
          <w:sz w:val="17"/>
          <w:szCs w:val="17"/>
        </w:rPr>
        <w:t>①划线；</w:t>
      </w:r>
    </w:p>
    <w:p w14:paraId="5F8C03A6">
      <w:pPr>
        <w:spacing w:before="90" w:line="217" w:lineRule="auto"/>
        <w:ind w:left="740"/>
        <w:rPr>
          <w:rFonts w:ascii="宋体" w:hAnsi="宋体" w:eastAsia="宋体" w:cs="宋体"/>
          <w:sz w:val="17"/>
          <w:szCs w:val="17"/>
        </w:rPr>
      </w:pPr>
      <w:r>
        <w:rPr>
          <w:rFonts w:ascii="宋体" w:hAnsi="宋体" w:eastAsia="宋体" w:cs="宋体"/>
          <w:spacing w:val="-6"/>
          <w:sz w:val="17"/>
          <w:szCs w:val="17"/>
        </w:rPr>
        <w:t>②零件加工；</w:t>
      </w:r>
    </w:p>
    <w:p w14:paraId="4003FCF1">
      <w:pPr>
        <w:spacing w:before="100" w:line="217" w:lineRule="auto"/>
        <w:ind w:left="740"/>
        <w:rPr>
          <w:rFonts w:ascii="宋体" w:hAnsi="宋体" w:eastAsia="宋体" w:cs="宋体"/>
          <w:sz w:val="17"/>
          <w:szCs w:val="17"/>
        </w:rPr>
      </w:pPr>
      <w:r>
        <w:rPr>
          <w:rFonts w:ascii="宋体" w:hAnsi="宋体" w:eastAsia="宋体" w:cs="宋体"/>
          <w:spacing w:val="-4"/>
          <w:sz w:val="17"/>
          <w:szCs w:val="17"/>
        </w:rPr>
        <w:t>③零件精度测量。</w:t>
      </w:r>
    </w:p>
    <w:p w14:paraId="358B1FFC">
      <w:pPr>
        <w:spacing w:before="81" w:line="269" w:lineRule="auto"/>
        <w:ind w:left="744" w:right="2055" w:hanging="4"/>
        <w:rPr>
          <w:rFonts w:ascii="宋体" w:hAnsi="宋体" w:eastAsia="宋体" w:cs="宋体"/>
          <w:sz w:val="17"/>
          <w:szCs w:val="17"/>
        </w:rPr>
      </w:pPr>
      <w:r>
        <w:rPr>
          <w:rFonts w:ascii="宋体" w:hAnsi="宋体" w:eastAsia="宋体" w:cs="宋体"/>
          <w:spacing w:val="-2"/>
          <w:sz w:val="17"/>
          <w:szCs w:val="17"/>
        </w:rPr>
        <w:t>3.</w:t>
      </w:r>
      <w:r>
        <w:rPr>
          <w:rFonts w:ascii="宋体" w:hAnsi="宋体" w:eastAsia="宋体" w:cs="宋体"/>
          <w:spacing w:val="-35"/>
          <w:sz w:val="17"/>
          <w:szCs w:val="17"/>
        </w:rPr>
        <w:t xml:space="preserve"> </w:t>
      </w:r>
      <w:r>
        <w:rPr>
          <w:rFonts w:ascii="宋体" w:hAnsi="宋体" w:eastAsia="宋体" w:cs="宋体"/>
          <w:spacing w:val="-2"/>
          <w:sz w:val="17"/>
          <w:szCs w:val="17"/>
        </w:rPr>
        <w:t>安全文明生产及其它</w:t>
      </w:r>
      <w:r>
        <w:rPr>
          <w:rFonts w:ascii="宋体" w:hAnsi="宋体" w:eastAsia="宋体" w:cs="宋体"/>
          <w:sz w:val="17"/>
          <w:szCs w:val="17"/>
        </w:rPr>
        <w:t xml:space="preserve"> </w:t>
      </w:r>
      <w:r>
        <w:rPr>
          <w:rFonts w:ascii="宋体" w:hAnsi="宋体" w:eastAsia="宋体" w:cs="宋体"/>
          <w:spacing w:val="3"/>
          <w:sz w:val="17"/>
          <w:szCs w:val="17"/>
        </w:rPr>
        <w:t>【测试要求】</w:t>
      </w:r>
    </w:p>
    <w:p w14:paraId="114AC768">
      <w:pPr>
        <w:spacing w:before="86" w:line="267" w:lineRule="auto"/>
        <w:ind w:left="380" w:right="15" w:firstLine="359"/>
        <w:rPr>
          <w:rFonts w:ascii="宋体" w:hAnsi="宋体" w:eastAsia="宋体" w:cs="宋体"/>
          <w:sz w:val="17"/>
          <w:szCs w:val="17"/>
        </w:rPr>
      </w:pPr>
      <w:r>
        <w:rPr>
          <w:rFonts w:ascii="宋体" w:hAnsi="宋体" w:eastAsia="宋体" w:cs="宋体"/>
          <w:spacing w:val="7"/>
          <w:sz w:val="17"/>
          <w:szCs w:val="17"/>
        </w:rPr>
        <w:t>1.</w:t>
      </w:r>
      <w:r>
        <w:rPr>
          <w:rFonts w:ascii="宋体" w:hAnsi="宋体" w:eastAsia="宋体" w:cs="宋体"/>
          <w:spacing w:val="-41"/>
          <w:sz w:val="17"/>
          <w:szCs w:val="17"/>
        </w:rPr>
        <w:t xml:space="preserve"> </w:t>
      </w:r>
      <w:r>
        <w:rPr>
          <w:rFonts w:ascii="宋体" w:hAnsi="宋体" w:eastAsia="宋体" w:cs="宋体"/>
          <w:spacing w:val="7"/>
          <w:sz w:val="17"/>
          <w:szCs w:val="17"/>
        </w:rPr>
        <w:t>根据加工零件图纸，合理选择加工工艺、钳工</w:t>
      </w:r>
      <w:r>
        <w:rPr>
          <w:rFonts w:ascii="宋体" w:hAnsi="宋体" w:eastAsia="宋体" w:cs="宋体"/>
          <w:sz w:val="17"/>
          <w:szCs w:val="17"/>
        </w:rPr>
        <w:t xml:space="preserve"> </w:t>
      </w:r>
      <w:r>
        <w:rPr>
          <w:rFonts w:ascii="宋体" w:hAnsi="宋体" w:eastAsia="宋体" w:cs="宋体"/>
          <w:spacing w:val="-3"/>
          <w:sz w:val="17"/>
          <w:szCs w:val="17"/>
        </w:rPr>
        <w:t>工具、量具，使用工具、量具完成零件加工；</w:t>
      </w:r>
    </w:p>
    <w:p w14:paraId="7666A10A">
      <w:pPr>
        <w:spacing w:before="77" w:line="287" w:lineRule="auto"/>
        <w:ind w:left="380" w:right="14" w:firstLine="359"/>
        <w:rPr>
          <w:rFonts w:ascii="Times New Roman" w:hAnsi="Times New Roman" w:eastAsia="Times New Roman" w:cs="Times New Roman"/>
          <w:sz w:val="17"/>
          <w:szCs w:val="17"/>
        </w:rPr>
      </w:pPr>
      <w:r>
        <w:rPr>
          <w:rFonts w:ascii="宋体" w:hAnsi="宋体" w:eastAsia="宋体" w:cs="宋体"/>
          <w:spacing w:val="24"/>
          <w:sz w:val="17"/>
          <w:szCs w:val="17"/>
        </w:rPr>
        <w:t>2.</w:t>
      </w:r>
      <w:r>
        <w:rPr>
          <w:rFonts w:ascii="宋体" w:hAnsi="宋体" w:eastAsia="宋体" w:cs="宋体"/>
          <w:spacing w:val="-26"/>
          <w:sz w:val="17"/>
          <w:szCs w:val="17"/>
        </w:rPr>
        <w:t xml:space="preserve"> </w:t>
      </w:r>
      <w:r>
        <w:rPr>
          <w:rFonts w:ascii="宋体" w:hAnsi="宋体" w:eastAsia="宋体" w:cs="宋体"/>
          <w:spacing w:val="24"/>
          <w:sz w:val="17"/>
          <w:szCs w:val="17"/>
        </w:rPr>
        <w:t>能锉削平面，锉削零件的尺寸精度不低于</w:t>
      </w:r>
      <w:r>
        <w:rPr>
          <w:rFonts w:ascii="宋体" w:hAnsi="宋体" w:eastAsia="宋体" w:cs="宋体"/>
          <w:sz w:val="17"/>
          <w:szCs w:val="17"/>
        </w:rPr>
        <w:t xml:space="preserve"> IT</w:t>
      </w:r>
      <w:r>
        <w:rPr>
          <w:rFonts w:ascii="宋体" w:hAnsi="宋体" w:eastAsia="宋体" w:cs="宋体"/>
          <w:spacing w:val="24"/>
          <w:sz w:val="17"/>
          <w:szCs w:val="17"/>
        </w:rPr>
        <w:t>10, 几何精度不低于10级，表面粗糙度不低于</w:t>
      </w:r>
      <w:r>
        <w:rPr>
          <w:rFonts w:ascii="宋体" w:hAnsi="宋体" w:eastAsia="宋体" w:cs="宋体"/>
          <w:spacing w:val="7"/>
          <w:sz w:val="17"/>
          <w:szCs w:val="17"/>
        </w:rPr>
        <w:t xml:space="preserve"> </w:t>
      </w:r>
      <w:r>
        <w:rPr>
          <w:rFonts w:ascii="Times New Roman" w:hAnsi="Times New Roman" w:eastAsia="Times New Roman" w:cs="Times New Roman"/>
          <w:spacing w:val="-1"/>
          <w:sz w:val="17"/>
          <w:szCs w:val="17"/>
        </w:rPr>
        <w:t>Ra3.2;</w:t>
      </w:r>
    </w:p>
    <w:p w14:paraId="36E72029">
      <w:pPr>
        <w:spacing w:before="118" w:line="252" w:lineRule="auto"/>
        <w:ind w:left="380" w:right="16" w:firstLine="359"/>
        <w:rPr>
          <w:rFonts w:ascii="宋体" w:hAnsi="宋体" w:eastAsia="宋体" w:cs="宋体"/>
          <w:sz w:val="17"/>
          <w:szCs w:val="17"/>
        </w:rPr>
      </w:pPr>
      <w:r>
        <w:rPr>
          <w:rFonts w:ascii="宋体" w:hAnsi="宋体" w:eastAsia="宋体" w:cs="宋体"/>
          <w:spacing w:val="6"/>
          <w:sz w:val="17"/>
          <w:szCs w:val="17"/>
        </w:rPr>
        <w:t>3.</w:t>
      </w:r>
      <w:r>
        <w:rPr>
          <w:rFonts w:ascii="宋体" w:hAnsi="宋体" w:eastAsia="宋体" w:cs="宋体"/>
          <w:spacing w:val="-20"/>
          <w:sz w:val="17"/>
          <w:szCs w:val="17"/>
        </w:rPr>
        <w:t xml:space="preserve"> </w:t>
      </w:r>
      <w:r>
        <w:rPr>
          <w:rFonts w:ascii="宋体" w:hAnsi="宋体" w:eastAsia="宋体" w:cs="宋体"/>
          <w:spacing w:val="6"/>
          <w:sz w:val="17"/>
          <w:szCs w:val="17"/>
        </w:rPr>
        <w:t>能合理选用钻削用量进行钻孔，钻孔的尺寸精</w:t>
      </w:r>
      <w:r>
        <w:rPr>
          <w:rFonts w:ascii="宋体" w:hAnsi="宋体" w:eastAsia="宋体" w:cs="宋体"/>
          <w:sz w:val="17"/>
          <w:szCs w:val="17"/>
        </w:rPr>
        <w:t xml:space="preserve"> </w:t>
      </w:r>
      <w:r>
        <w:rPr>
          <w:rFonts w:ascii="宋体" w:hAnsi="宋体" w:eastAsia="宋体" w:cs="宋体"/>
          <w:spacing w:val="6"/>
          <w:sz w:val="17"/>
          <w:szCs w:val="17"/>
        </w:rPr>
        <w:t>度不低于</w:t>
      </w:r>
      <w:r>
        <w:rPr>
          <w:rFonts w:ascii="宋体" w:hAnsi="宋体" w:eastAsia="宋体" w:cs="宋体"/>
          <w:spacing w:val="-24"/>
          <w:sz w:val="17"/>
          <w:szCs w:val="17"/>
        </w:rPr>
        <w:t xml:space="preserve"> </w:t>
      </w:r>
      <w:r>
        <w:rPr>
          <w:rFonts w:ascii="Times New Roman" w:hAnsi="Times New Roman" w:eastAsia="Times New Roman" w:cs="Times New Roman"/>
          <w:sz w:val="17"/>
          <w:szCs w:val="17"/>
        </w:rPr>
        <w:t>IT</w:t>
      </w:r>
      <w:r>
        <w:rPr>
          <w:rFonts w:ascii="Times New Roman" w:hAnsi="Times New Roman" w:eastAsia="Times New Roman" w:cs="Times New Roman"/>
          <w:spacing w:val="6"/>
          <w:sz w:val="17"/>
          <w:szCs w:val="17"/>
        </w:rPr>
        <w:t>12,</w:t>
      </w:r>
      <w:r>
        <w:rPr>
          <w:rFonts w:ascii="Times New Roman" w:hAnsi="Times New Roman" w:eastAsia="Times New Roman" w:cs="Times New Roman"/>
          <w:spacing w:val="29"/>
          <w:w w:val="101"/>
          <w:sz w:val="17"/>
          <w:szCs w:val="17"/>
        </w:rPr>
        <w:t xml:space="preserve"> </w:t>
      </w:r>
      <w:r>
        <w:rPr>
          <w:rFonts w:ascii="宋体" w:hAnsi="宋体" w:eastAsia="宋体" w:cs="宋体"/>
          <w:spacing w:val="6"/>
          <w:sz w:val="17"/>
          <w:szCs w:val="17"/>
        </w:rPr>
        <w:t>几何精度不低于12级。</w:t>
      </w:r>
    </w:p>
    <w:p w14:paraId="7AC2E982">
      <w:pPr>
        <w:spacing w:before="117" w:line="220" w:lineRule="auto"/>
        <w:ind w:left="744"/>
        <w:rPr>
          <w:rFonts w:ascii="宋体" w:hAnsi="宋体" w:eastAsia="宋体" w:cs="宋体"/>
          <w:sz w:val="17"/>
          <w:szCs w:val="17"/>
        </w:rPr>
      </w:pPr>
      <w:r>
        <w:rPr>
          <w:rFonts w:ascii="宋体" w:hAnsi="宋体" w:eastAsia="宋体" w:cs="宋体"/>
          <w:spacing w:val="3"/>
          <w:sz w:val="17"/>
          <w:szCs w:val="17"/>
        </w:rPr>
        <w:t>【测试赋分】</w:t>
      </w:r>
    </w:p>
    <w:p w14:paraId="04805840">
      <w:pPr>
        <w:spacing w:before="66" w:line="279" w:lineRule="auto"/>
        <w:ind w:left="380" w:right="50" w:firstLine="359"/>
        <w:rPr>
          <w:rFonts w:ascii="宋体" w:hAnsi="宋体" w:eastAsia="宋体" w:cs="宋体"/>
          <w:sz w:val="17"/>
          <w:szCs w:val="17"/>
        </w:rPr>
      </w:pPr>
      <w:r>
        <w:rPr>
          <w:rFonts w:ascii="宋体" w:hAnsi="宋体" w:eastAsia="宋体" w:cs="宋体"/>
          <w:spacing w:val="5"/>
          <w:sz w:val="17"/>
          <w:szCs w:val="17"/>
        </w:rPr>
        <w:t>1.</w:t>
      </w:r>
      <w:r>
        <w:rPr>
          <w:rFonts w:ascii="宋体" w:hAnsi="宋体" w:eastAsia="宋体" w:cs="宋体"/>
          <w:spacing w:val="-32"/>
          <w:sz w:val="17"/>
          <w:szCs w:val="17"/>
        </w:rPr>
        <w:t xml:space="preserve"> </w:t>
      </w:r>
      <w:r>
        <w:rPr>
          <w:rFonts w:ascii="宋体" w:hAnsi="宋体" w:eastAsia="宋体" w:cs="宋体"/>
          <w:spacing w:val="5"/>
          <w:sz w:val="17"/>
          <w:szCs w:val="17"/>
        </w:rPr>
        <w:t>按所给的工艺卡片合理填写工序内容，夹具，</w:t>
      </w:r>
      <w:r>
        <w:rPr>
          <w:rFonts w:ascii="宋体" w:hAnsi="宋体" w:eastAsia="宋体" w:cs="宋体"/>
          <w:sz w:val="17"/>
          <w:szCs w:val="17"/>
        </w:rPr>
        <w:t xml:space="preserve"> </w:t>
      </w:r>
      <w:r>
        <w:rPr>
          <w:rFonts w:ascii="宋体" w:hAnsi="宋体" w:eastAsia="宋体" w:cs="宋体"/>
          <w:spacing w:val="10"/>
          <w:sz w:val="17"/>
          <w:szCs w:val="17"/>
        </w:rPr>
        <w:t>工具，量具25分</w:t>
      </w:r>
    </w:p>
    <w:p w14:paraId="386C2E23">
      <w:pPr>
        <w:spacing w:before="76" w:line="219" w:lineRule="auto"/>
        <w:ind w:left="740"/>
        <w:rPr>
          <w:rFonts w:ascii="宋体" w:hAnsi="宋体" w:eastAsia="宋体" w:cs="宋体"/>
          <w:sz w:val="17"/>
          <w:szCs w:val="17"/>
        </w:rPr>
      </w:pPr>
      <w:r>
        <w:rPr>
          <w:rFonts w:ascii="宋体" w:hAnsi="宋体" w:eastAsia="宋体" w:cs="宋体"/>
          <w:spacing w:val="8"/>
          <w:sz w:val="17"/>
          <w:szCs w:val="17"/>
        </w:rPr>
        <w:t>2.</w:t>
      </w:r>
      <w:r>
        <w:rPr>
          <w:rFonts w:ascii="宋体" w:hAnsi="宋体" w:eastAsia="宋体" w:cs="宋体"/>
          <w:spacing w:val="-37"/>
          <w:sz w:val="17"/>
          <w:szCs w:val="17"/>
        </w:rPr>
        <w:t xml:space="preserve"> </w:t>
      </w:r>
      <w:r>
        <w:rPr>
          <w:rFonts w:ascii="宋体" w:hAnsi="宋体" w:eastAsia="宋体" w:cs="宋体"/>
          <w:spacing w:val="8"/>
          <w:sz w:val="17"/>
          <w:szCs w:val="17"/>
        </w:rPr>
        <w:t>基本操作规范30分</w:t>
      </w:r>
    </w:p>
    <w:p w14:paraId="3152D178">
      <w:pPr>
        <w:spacing w:before="88" w:line="219" w:lineRule="auto"/>
        <w:ind w:left="740"/>
        <w:rPr>
          <w:rFonts w:ascii="宋体" w:hAnsi="宋体" w:eastAsia="宋体" w:cs="宋体"/>
          <w:sz w:val="17"/>
          <w:szCs w:val="17"/>
        </w:rPr>
      </w:pPr>
      <w:r>
        <w:rPr>
          <w:rFonts w:ascii="宋体" w:hAnsi="宋体" w:eastAsia="宋体" w:cs="宋体"/>
          <w:spacing w:val="7"/>
          <w:sz w:val="17"/>
          <w:szCs w:val="17"/>
        </w:rPr>
        <w:t>3.</w:t>
      </w:r>
      <w:r>
        <w:rPr>
          <w:rFonts w:ascii="宋体" w:hAnsi="宋体" w:eastAsia="宋体" w:cs="宋体"/>
          <w:spacing w:val="-26"/>
          <w:sz w:val="17"/>
          <w:szCs w:val="17"/>
        </w:rPr>
        <w:t xml:space="preserve"> </w:t>
      </w:r>
      <w:r>
        <w:rPr>
          <w:rFonts w:ascii="宋体" w:hAnsi="宋体" w:eastAsia="宋体" w:cs="宋体"/>
          <w:spacing w:val="7"/>
          <w:sz w:val="17"/>
          <w:szCs w:val="17"/>
        </w:rPr>
        <w:t>零件形位精度40分</w:t>
      </w:r>
    </w:p>
    <w:p w14:paraId="2979B959">
      <w:pPr>
        <w:spacing w:before="89" w:line="219" w:lineRule="auto"/>
        <w:ind w:left="740"/>
        <w:rPr>
          <w:rFonts w:ascii="宋体" w:hAnsi="宋体" w:eastAsia="宋体" w:cs="宋体"/>
          <w:sz w:val="17"/>
          <w:szCs w:val="17"/>
        </w:rPr>
      </w:pPr>
      <w:r>
        <w:rPr>
          <w:rFonts w:ascii="宋体" w:hAnsi="宋体" w:eastAsia="宋体" w:cs="宋体"/>
          <w:spacing w:val="5"/>
          <w:sz w:val="17"/>
          <w:szCs w:val="17"/>
        </w:rPr>
        <w:t>4.</w:t>
      </w:r>
      <w:r>
        <w:rPr>
          <w:rFonts w:ascii="宋体" w:hAnsi="宋体" w:eastAsia="宋体" w:cs="宋体"/>
          <w:spacing w:val="-39"/>
          <w:sz w:val="17"/>
          <w:szCs w:val="17"/>
        </w:rPr>
        <w:t xml:space="preserve"> </w:t>
      </w:r>
      <w:r>
        <w:rPr>
          <w:rFonts w:ascii="宋体" w:hAnsi="宋体" w:eastAsia="宋体" w:cs="宋体"/>
          <w:spacing w:val="5"/>
          <w:sz w:val="17"/>
          <w:szCs w:val="17"/>
        </w:rPr>
        <w:t>加工零件的尺寸精度100分</w:t>
      </w:r>
    </w:p>
    <w:p w14:paraId="33023862">
      <w:pPr>
        <w:spacing w:before="99" w:line="219" w:lineRule="auto"/>
        <w:ind w:left="740"/>
        <w:rPr>
          <w:rFonts w:ascii="宋体" w:hAnsi="宋体" w:eastAsia="宋体" w:cs="宋体"/>
          <w:sz w:val="17"/>
          <w:szCs w:val="17"/>
        </w:rPr>
      </w:pPr>
      <w:r>
        <w:rPr>
          <w:rFonts w:ascii="宋体" w:hAnsi="宋体" w:eastAsia="宋体" w:cs="宋体"/>
          <w:spacing w:val="5"/>
          <w:sz w:val="17"/>
          <w:szCs w:val="17"/>
        </w:rPr>
        <w:t>5.</w:t>
      </w:r>
      <w:r>
        <w:rPr>
          <w:rFonts w:ascii="宋体" w:hAnsi="宋体" w:eastAsia="宋体" w:cs="宋体"/>
          <w:spacing w:val="-34"/>
          <w:sz w:val="17"/>
          <w:szCs w:val="17"/>
        </w:rPr>
        <w:t xml:space="preserve"> </w:t>
      </w:r>
      <w:r>
        <w:rPr>
          <w:rFonts w:ascii="宋体" w:hAnsi="宋体" w:eastAsia="宋体" w:cs="宋体"/>
          <w:spacing w:val="5"/>
          <w:sz w:val="17"/>
          <w:szCs w:val="17"/>
        </w:rPr>
        <w:t>加工零件的表面粗糙度30分</w:t>
      </w:r>
    </w:p>
    <w:p w14:paraId="5CBED8D2">
      <w:pPr>
        <w:spacing w:before="88" w:line="219" w:lineRule="auto"/>
        <w:ind w:left="740"/>
        <w:rPr>
          <w:rFonts w:ascii="宋体" w:hAnsi="宋体" w:eastAsia="宋体" w:cs="宋体"/>
          <w:sz w:val="17"/>
          <w:szCs w:val="17"/>
        </w:rPr>
      </w:pPr>
      <w:r>
        <w:rPr>
          <w:rFonts w:ascii="宋体" w:hAnsi="宋体" w:eastAsia="宋体" w:cs="宋体"/>
          <w:spacing w:val="4"/>
          <w:sz w:val="17"/>
          <w:szCs w:val="17"/>
        </w:rPr>
        <w:t>6.</w:t>
      </w:r>
      <w:r>
        <w:rPr>
          <w:rFonts w:ascii="宋体" w:hAnsi="宋体" w:eastAsia="宋体" w:cs="宋体"/>
          <w:spacing w:val="-19"/>
          <w:sz w:val="17"/>
          <w:szCs w:val="17"/>
        </w:rPr>
        <w:t xml:space="preserve"> </w:t>
      </w:r>
      <w:r>
        <w:rPr>
          <w:rFonts w:ascii="宋体" w:hAnsi="宋体" w:eastAsia="宋体" w:cs="宋体"/>
          <w:spacing w:val="4"/>
          <w:sz w:val="17"/>
          <w:szCs w:val="17"/>
        </w:rPr>
        <w:t>根据职业素养评分要求，现场给分25分</w:t>
      </w:r>
    </w:p>
    <w:p w14:paraId="16C12302">
      <w:pPr>
        <w:spacing w:line="219" w:lineRule="auto"/>
        <w:rPr>
          <w:rFonts w:ascii="宋体" w:hAnsi="宋体" w:eastAsia="宋体" w:cs="宋体"/>
          <w:sz w:val="17"/>
          <w:szCs w:val="17"/>
        </w:rPr>
        <w:sectPr>
          <w:type w:val="continuous"/>
          <w:pgSz w:w="10660" w:h="15080"/>
          <w:pgMar w:top="400" w:right="925" w:bottom="925" w:left="759" w:header="0" w:footer="705" w:gutter="0"/>
          <w:cols w:equalWidth="0" w:num="2">
            <w:col w:w="4351" w:space="100"/>
            <w:col w:w="4525"/>
          </w:cols>
        </w:sectPr>
      </w:pPr>
    </w:p>
    <w:p w14:paraId="21AB434D">
      <w:pPr>
        <w:spacing w:before="30"/>
      </w:pPr>
    </w:p>
    <w:p w14:paraId="36861FBD">
      <w:pPr>
        <w:spacing w:before="30"/>
      </w:pPr>
    </w:p>
    <w:p w14:paraId="4D6ABB29">
      <w:pPr>
        <w:spacing w:before="30"/>
      </w:pPr>
    </w:p>
    <w:p w14:paraId="1FECF923">
      <w:pPr>
        <w:sectPr>
          <w:footerReference r:id="rId105" w:type="default"/>
          <w:pgSz w:w="10660" w:h="15080"/>
          <w:pgMar w:top="400" w:right="840" w:bottom="927" w:left="1019" w:header="0" w:footer="719" w:gutter="0"/>
          <w:cols w:equalWidth="0" w:num="1">
            <w:col w:w="8801"/>
          </w:cols>
        </w:sectPr>
      </w:pPr>
    </w:p>
    <w:p w14:paraId="13782904">
      <w:pPr>
        <w:spacing w:before="40" w:line="219" w:lineRule="auto"/>
        <w:ind w:left="1082"/>
        <w:rPr>
          <w:rFonts w:ascii="宋体" w:hAnsi="宋体" w:eastAsia="宋体" w:cs="宋体"/>
          <w:sz w:val="20"/>
          <w:szCs w:val="20"/>
        </w:rPr>
      </w:pPr>
      <w:r>
        <w:rPr>
          <w:rFonts w:ascii="宋体" w:hAnsi="宋体" w:eastAsia="宋体" w:cs="宋体"/>
          <w:b/>
          <w:bCs/>
          <w:spacing w:val="-3"/>
          <w:sz w:val="20"/>
          <w:szCs w:val="20"/>
        </w:rPr>
        <w:t>项目二</w:t>
      </w:r>
      <w:r>
        <w:rPr>
          <w:rFonts w:ascii="宋体" w:hAnsi="宋体" w:eastAsia="宋体" w:cs="宋体"/>
          <w:spacing w:val="-3"/>
          <w:sz w:val="20"/>
          <w:szCs w:val="20"/>
        </w:rPr>
        <w:t xml:space="preserve">  </w:t>
      </w:r>
      <w:r>
        <w:rPr>
          <w:rFonts w:ascii="宋体" w:hAnsi="宋体" w:eastAsia="宋体" w:cs="宋体"/>
          <w:b/>
          <w:bCs/>
          <w:spacing w:val="-3"/>
          <w:sz w:val="20"/>
          <w:szCs w:val="20"/>
        </w:rPr>
        <w:t>车工技能考核</w:t>
      </w:r>
    </w:p>
    <w:p w14:paraId="04271145">
      <w:pPr>
        <w:pStyle w:val="2"/>
        <w:spacing w:line="300" w:lineRule="auto"/>
      </w:pPr>
    </w:p>
    <w:p w14:paraId="08974377">
      <w:pPr>
        <w:spacing w:before="53" w:line="221" w:lineRule="auto"/>
        <w:ind w:left="350"/>
        <w:rPr>
          <w:rFonts w:ascii="宋体" w:hAnsi="宋体" w:eastAsia="宋体" w:cs="宋体"/>
          <w:sz w:val="16"/>
          <w:szCs w:val="16"/>
        </w:rPr>
      </w:pPr>
      <w:r>
        <w:rPr>
          <w:rFonts w:ascii="宋体" w:hAnsi="宋体" w:eastAsia="宋体" w:cs="宋体"/>
          <w:spacing w:val="13"/>
          <w:sz w:val="16"/>
          <w:szCs w:val="16"/>
        </w:rPr>
        <w:t>【测试用具】</w:t>
      </w:r>
    </w:p>
    <w:p w14:paraId="6E85952F">
      <w:pPr>
        <w:spacing w:before="79" w:line="212" w:lineRule="auto"/>
        <w:ind w:left="350"/>
        <w:rPr>
          <w:rFonts w:ascii="宋体" w:hAnsi="宋体" w:eastAsia="宋体" w:cs="宋体"/>
          <w:sz w:val="16"/>
          <w:szCs w:val="16"/>
        </w:rPr>
      </w:pPr>
      <w:r>
        <w:rPr>
          <w:rFonts w:ascii="宋体" w:hAnsi="宋体" w:eastAsia="宋体" w:cs="宋体"/>
          <w:spacing w:val="6"/>
          <w:sz w:val="16"/>
          <w:szCs w:val="16"/>
        </w:rPr>
        <w:t>车床</w:t>
      </w:r>
      <w:r>
        <w:rPr>
          <w:rFonts w:ascii="宋体" w:hAnsi="宋体" w:eastAsia="宋体" w:cs="宋体"/>
          <w:spacing w:val="-34"/>
          <w:sz w:val="16"/>
          <w:szCs w:val="16"/>
        </w:rPr>
        <w:t xml:space="preserve"> </w:t>
      </w:r>
      <w:r>
        <w:rPr>
          <w:rFonts w:ascii="Times New Roman" w:hAnsi="Times New Roman" w:eastAsia="Times New Roman" w:cs="Times New Roman"/>
          <w:spacing w:val="6"/>
          <w:sz w:val="16"/>
          <w:szCs w:val="16"/>
        </w:rPr>
        <w:t>(</w:t>
      </w:r>
      <w:r>
        <w:rPr>
          <w:rFonts w:ascii="Times New Roman" w:hAnsi="Times New Roman" w:eastAsia="Times New Roman" w:cs="Times New Roman"/>
          <w:sz w:val="16"/>
          <w:szCs w:val="16"/>
        </w:rPr>
        <w:t>CA</w:t>
      </w:r>
      <w:r>
        <w:rPr>
          <w:rFonts w:ascii="Times New Roman" w:hAnsi="Times New Roman" w:eastAsia="Times New Roman" w:cs="Times New Roman"/>
          <w:spacing w:val="6"/>
          <w:sz w:val="16"/>
          <w:szCs w:val="16"/>
        </w:rPr>
        <w:t>6140)</w:t>
      </w:r>
      <w:r>
        <w:rPr>
          <w:rFonts w:ascii="Times New Roman" w:hAnsi="Times New Roman" w:eastAsia="Times New Roman" w:cs="Times New Roman"/>
          <w:spacing w:val="-23"/>
          <w:sz w:val="16"/>
          <w:szCs w:val="16"/>
        </w:rPr>
        <w:t xml:space="preserve"> </w:t>
      </w:r>
      <w:r>
        <w:rPr>
          <w:rFonts w:ascii="宋体" w:hAnsi="宋体" w:eastAsia="宋体" w:cs="宋体"/>
          <w:spacing w:val="6"/>
          <w:sz w:val="16"/>
          <w:szCs w:val="16"/>
        </w:rPr>
        <w:t>、</w:t>
      </w:r>
      <w:r>
        <w:rPr>
          <w:rFonts w:ascii="宋体" w:hAnsi="宋体" w:eastAsia="宋体" w:cs="宋体"/>
          <w:spacing w:val="68"/>
          <w:sz w:val="16"/>
          <w:szCs w:val="16"/>
        </w:rPr>
        <w:t xml:space="preserve"> </w:t>
      </w:r>
      <w:r>
        <w:rPr>
          <w:rFonts w:ascii="宋体" w:hAnsi="宋体" w:eastAsia="宋体" w:cs="宋体"/>
          <w:spacing w:val="6"/>
          <w:sz w:val="16"/>
          <w:szCs w:val="16"/>
        </w:rPr>
        <w:t>车刀、毛坯、工具、量具等</w:t>
      </w:r>
    </w:p>
    <w:p w14:paraId="78C86ED5">
      <w:pPr>
        <w:spacing w:before="124" w:line="219" w:lineRule="auto"/>
        <w:ind w:left="350"/>
        <w:rPr>
          <w:rFonts w:ascii="宋体" w:hAnsi="宋体" w:eastAsia="宋体" w:cs="宋体"/>
          <w:sz w:val="16"/>
          <w:szCs w:val="16"/>
        </w:rPr>
      </w:pPr>
      <w:r>
        <w:rPr>
          <w:rFonts w:ascii="宋体" w:hAnsi="宋体" w:eastAsia="宋体" w:cs="宋体"/>
          <w:spacing w:val="13"/>
          <w:sz w:val="16"/>
          <w:szCs w:val="16"/>
        </w:rPr>
        <w:t>【测试内容】</w:t>
      </w:r>
    </w:p>
    <w:p w14:paraId="25824341">
      <w:pPr>
        <w:spacing w:before="120" w:line="219" w:lineRule="auto"/>
        <w:ind w:left="350"/>
        <w:rPr>
          <w:rFonts w:ascii="宋体" w:hAnsi="宋体" w:eastAsia="宋体" w:cs="宋体"/>
          <w:sz w:val="16"/>
          <w:szCs w:val="16"/>
        </w:rPr>
      </w:pPr>
      <w:r>
        <w:rPr>
          <w:rFonts w:ascii="宋体" w:hAnsi="宋体" w:eastAsia="宋体" w:cs="宋体"/>
          <w:spacing w:val="-2"/>
          <w:sz w:val="16"/>
          <w:szCs w:val="16"/>
        </w:rPr>
        <w:t>根据加工零件图纸，合理选择加工工艺、刀具、量具、</w:t>
      </w:r>
    </w:p>
    <w:p w14:paraId="0D55DFE0">
      <w:pPr>
        <w:spacing w:before="90" w:line="312" w:lineRule="auto"/>
        <w:ind w:left="350" w:right="581" w:hanging="350"/>
        <w:rPr>
          <w:rFonts w:ascii="宋体" w:hAnsi="宋体" w:eastAsia="宋体" w:cs="宋体"/>
          <w:sz w:val="16"/>
          <w:szCs w:val="16"/>
        </w:rPr>
      </w:pPr>
      <w:r>
        <w:rPr>
          <w:rFonts w:ascii="宋体" w:hAnsi="宋体" w:eastAsia="宋体" w:cs="宋体"/>
          <w:spacing w:val="10"/>
          <w:sz w:val="16"/>
          <w:szCs w:val="16"/>
        </w:rPr>
        <w:t>夹具、切削用量、装夹工件，操作车床完成零</w:t>
      </w:r>
      <w:r>
        <w:rPr>
          <w:rFonts w:ascii="宋体" w:hAnsi="宋体" w:eastAsia="宋体" w:cs="宋体"/>
          <w:spacing w:val="9"/>
          <w:sz w:val="16"/>
          <w:szCs w:val="16"/>
        </w:rPr>
        <w:t>件加工</w:t>
      </w:r>
      <w:r>
        <w:rPr>
          <w:rFonts w:ascii="宋体" w:hAnsi="宋体" w:eastAsia="宋体" w:cs="宋体"/>
          <w:sz w:val="16"/>
          <w:szCs w:val="16"/>
        </w:rPr>
        <w:t xml:space="preserve"> </w:t>
      </w:r>
      <w:r>
        <w:rPr>
          <w:rFonts w:ascii="宋体" w:hAnsi="宋体" w:eastAsia="宋体" w:cs="宋体"/>
          <w:spacing w:val="13"/>
          <w:sz w:val="16"/>
          <w:szCs w:val="16"/>
        </w:rPr>
        <w:t>【测试方法】</w:t>
      </w:r>
    </w:p>
    <w:p w14:paraId="331B43A2">
      <w:pPr>
        <w:spacing w:before="29" w:line="219" w:lineRule="auto"/>
        <w:ind w:left="350"/>
        <w:rPr>
          <w:rFonts w:ascii="宋体" w:hAnsi="宋体" w:eastAsia="宋体" w:cs="宋体"/>
          <w:sz w:val="16"/>
          <w:szCs w:val="16"/>
        </w:rPr>
      </w:pPr>
      <w:r>
        <w:rPr>
          <w:rFonts w:ascii="宋体" w:hAnsi="宋体" w:eastAsia="宋体" w:cs="宋体"/>
          <w:spacing w:val="5"/>
          <w:sz w:val="16"/>
          <w:szCs w:val="16"/>
        </w:rPr>
        <w:t>1.</w:t>
      </w:r>
      <w:r>
        <w:rPr>
          <w:rFonts w:ascii="宋体" w:hAnsi="宋体" w:eastAsia="宋体" w:cs="宋体"/>
          <w:spacing w:val="-32"/>
          <w:sz w:val="16"/>
          <w:szCs w:val="16"/>
        </w:rPr>
        <w:t xml:space="preserve"> </w:t>
      </w:r>
      <w:r>
        <w:rPr>
          <w:rFonts w:ascii="宋体" w:hAnsi="宋体" w:eastAsia="宋体" w:cs="宋体"/>
          <w:spacing w:val="5"/>
          <w:sz w:val="16"/>
          <w:szCs w:val="16"/>
        </w:rPr>
        <w:t>操作基础</w:t>
      </w:r>
    </w:p>
    <w:p w14:paraId="56FC9E21">
      <w:pPr>
        <w:spacing w:before="98" w:line="217" w:lineRule="auto"/>
        <w:ind w:left="350"/>
        <w:rPr>
          <w:rFonts w:ascii="宋体" w:hAnsi="宋体" w:eastAsia="宋体" w:cs="宋体"/>
          <w:sz w:val="16"/>
          <w:szCs w:val="16"/>
        </w:rPr>
      </w:pPr>
      <w:r>
        <w:rPr>
          <w:rFonts w:ascii="宋体" w:hAnsi="宋体" w:eastAsia="宋体" w:cs="宋体"/>
          <w:spacing w:val="5"/>
          <w:sz w:val="16"/>
          <w:szCs w:val="16"/>
        </w:rPr>
        <w:t>①加工零件图纸的识图；</w:t>
      </w:r>
    </w:p>
    <w:p w14:paraId="20848C8F">
      <w:pPr>
        <w:spacing w:before="112" w:line="279" w:lineRule="auto"/>
        <w:ind w:right="374" w:firstLine="350"/>
        <w:rPr>
          <w:rFonts w:ascii="宋体" w:hAnsi="宋体" w:eastAsia="宋体" w:cs="宋体"/>
          <w:sz w:val="16"/>
          <w:szCs w:val="16"/>
        </w:rPr>
      </w:pPr>
      <w:r>
        <w:rPr>
          <w:rFonts w:ascii="宋体" w:hAnsi="宋体" w:eastAsia="宋体" w:cs="宋体"/>
          <w:spacing w:val="11"/>
          <w:sz w:val="16"/>
          <w:szCs w:val="16"/>
        </w:rPr>
        <w:t>②合理制定加工工艺过程，正确选择加工工具、刀</w:t>
      </w:r>
      <w:r>
        <w:rPr>
          <w:rFonts w:ascii="宋体" w:hAnsi="宋体" w:eastAsia="宋体" w:cs="宋体"/>
          <w:spacing w:val="2"/>
          <w:sz w:val="16"/>
          <w:szCs w:val="16"/>
        </w:rPr>
        <w:t xml:space="preserve"> </w:t>
      </w:r>
      <w:r>
        <w:rPr>
          <w:rFonts w:ascii="宋体" w:hAnsi="宋体" w:eastAsia="宋体" w:cs="宋体"/>
          <w:spacing w:val="6"/>
          <w:sz w:val="16"/>
          <w:szCs w:val="16"/>
        </w:rPr>
        <w:t>具、量具、夹具、切削用量；</w:t>
      </w:r>
    </w:p>
    <w:p w14:paraId="71A35A5C">
      <w:pPr>
        <w:spacing w:before="67" w:line="217" w:lineRule="auto"/>
        <w:ind w:left="350"/>
        <w:rPr>
          <w:rFonts w:ascii="宋体" w:hAnsi="宋体" w:eastAsia="宋体" w:cs="宋体"/>
          <w:sz w:val="16"/>
          <w:szCs w:val="16"/>
        </w:rPr>
      </w:pPr>
      <w:r>
        <w:rPr>
          <w:rFonts w:ascii="宋体" w:hAnsi="宋体" w:eastAsia="宋体" w:cs="宋体"/>
          <w:spacing w:val="5"/>
          <w:sz w:val="16"/>
          <w:szCs w:val="16"/>
        </w:rPr>
        <w:t>③</w:t>
      </w:r>
      <w:r>
        <w:rPr>
          <w:rFonts w:ascii="宋体" w:hAnsi="宋体" w:eastAsia="宋体" w:cs="宋体"/>
          <w:spacing w:val="-41"/>
          <w:sz w:val="16"/>
          <w:szCs w:val="16"/>
        </w:rPr>
        <w:t xml:space="preserve"> </w:t>
      </w:r>
      <w:r>
        <w:rPr>
          <w:rFonts w:ascii="宋体" w:hAnsi="宋体" w:eastAsia="宋体" w:cs="宋体"/>
          <w:spacing w:val="5"/>
          <w:sz w:val="16"/>
          <w:szCs w:val="16"/>
        </w:rPr>
        <w:t>熟悉车削刀具几何角度；</w:t>
      </w:r>
    </w:p>
    <w:p w14:paraId="511B69E5">
      <w:pPr>
        <w:spacing w:before="102" w:line="217" w:lineRule="auto"/>
        <w:ind w:left="350"/>
        <w:rPr>
          <w:rFonts w:ascii="宋体" w:hAnsi="宋体" w:eastAsia="宋体" w:cs="宋体"/>
          <w:sz w:val="16"/>
          <w:szCs w:val="16"/>
        </w:rPr>
      </w:pPr>
      <w:r>
        <w:rPr>
          <w:rFonts w:ascii="宋体" w:hAnsi="宋体" w:eastAsia="宋体" w:cs="宋体"/>
          <w:spacing w:val="6"/>
          <w:sz w:val="16"/>
          <w:szCs w:val="16"/>
        </w:rPr>
        <w:t>④工件的正确装夹、找正；</w:t>
      </w:r>
    </w:p>
    <w:p w14:paraId="723938DA">
      <w:pPr>
        <w:spacing w:before="101" w:line="217" w:lineRule="auto"/>
        <w:ind w:left="350"/>
        <w:rPr>
          <w:rFonts w:ascii="宋体" w:hAnsi="宋体" w:eastAsia="宋体" w:cs="宋体"/>
          <w:sz w:val="16"/>
          <w:szCs w:val="16"/>
        </w:rPr>
      </w:pPr>
      <w:r>
        <w:rPr>
          <w:rFonts w:ascii="宋体" w:hAnsi="宋体" w:eastAsia="宋体" w:cs="宋体"/>
          <w:spacing w:val="6"/>
          <w:sz w:val="16"/>
          <w:szCs w:val="16"/>
        </w:rPr>
        <w:t>⑤常用刀具的正确安装与夹紧；</w:t>
      </w:r>
    </w:p>
    <w:p w14:paraId="3FAC01FC">
      <w:pPr>
        <w:spacing w:before="102" w:line="217" w:lineRule="auto"/>
        <w:ind w:left="350"/>
        <w:rPr>
          <w:rFonts w:ascii="宋体" w:hAnsi="宋体" w:eastAsia="宋体" w:cs="宋体"/>
          <w:sz w:val="16"/>
          <w:szCs w:val="16"/>
        </w:rPr>
      </w:pPr>
      <w:r>
        <w:rPr>
          <w:rFonts w:ascii="宋体" w:hAnsi="宋体" w:eastAsia="宋体" w:cs="宋体"/>
          <w:spacing w:val="6"/>
          <w:sz w:val="16"/>
          <w:szCs w:val="16"/>
        </w:rPr>
        <w:t>⑥能正确操作机床。</w:t>
      </w:r>
    </w:p>
    <w:p w14:paraId="1AFB334F">
      <w:pPr>
        <w:spacing w:before="104" w:line="219" w:lineRule="auto"/>
        <w:ind w:left="350"/>
        <w:rPr>
          <w:rFonts w:ascii="宋体" w:hAnsi="宋体" w:eastAsia="宋体" w:cs="宋体"/>
          <w:sz w:val="16"/>
          <w:szCs w:val="16"/>
        </w:rPr>
      </w:pPr>
      <w:r>
        <w:rPr>
          <w:rFonts w:ascii="宋体" w:hAnsi="宋体" w:eastAsia="宋体" w:cs="宋体"/>
          <w:spacing w:val="9"/>
          <w:sz w:val="16"/>
          <w:szCs w:val="16"/>
        </w:rPr>
        <w:t>2.</w:t>
      </w:r>
      <w:r>
        <w:rPr>
          <w:rFonts w:ascii="宋体" w:hAnsi="宋体" w:eastAsia="宋体" w:cs="宋体"/>
          <w:spacing w:val="-32"/>
          <w:sz w:val="16"/>
          <w:szCs w:val="16"/>
        </w:rPr>
        <w:t xml:space="preserve"> </w:t>
      </w:r>
      <w:r>
        <w:rPr>
          <w:rFonts w:ascii="宋体" w:hAnsi="宋体" w:eastAsia="宋体" w:cs="宋体"/>
          <w:spacing w:val="9"/>
          <w:sz w:val="16"/>
          <w:szCs w:val="16"/>
        </w:rPr>
        <w:t>操作技能要素及要求</w:t>
      </w:r>
    </w:p>
    <w:p w14:paraId="74F8B290">
      <w:pPr>
        <w:spacing w:before="99" w:line="217" w:lineRule="auto"/>
        <w:ind w:left="350"/>
        <w:rPr>
          <w:rFonts w:ascii="宋体" w:hAnsi="宋体" w:eastAsia="宋体" w:cs="宋体"/>
          <w:sz w:val="16"/>
          <w:szCs w:val="16"/>
        </w:rPr>
      </w:pPr>
      <w:r>
        <w:rPr>
          <w:rFonts w:ascii="宋体" w:hAnsi="宋体" w:eastAsia="宋体" w:cs="宋体"/>
          <w:spacing w:val="7"/>
          <w:sz w:val="16"/>
          <w:szCs w:val="16"/>
        </w:rPr>
        <w:t>①车削外圆、端面、台阶轴、内孔；</w:t>
      </w:r>
    </w:p>
    <w:p w14:paraId="6F299F3E">
      <w:pPr>
        <w:spacing w:before="112" w:line="217" w:lineRule="auto"/>
        <w:ind w:left="350"/>
        <w:rPr>
          <w:rFonts w:ascii="宋体" w:hAnsi="宋体" w:eastAsia="宋体" w:cs="宋体"/>
          <w:sz w:val="16"/>
          <w:szCs w:val="16"/>
        </w:rPr>
      </w:pPr>
      <w:r>
        <w:rPr>
          <w:rFonts w:ascii="宋体" w:hAnsi="宋体" w:eastAsia="宋体" w:cs="宋体"/>
          <w:spacing w:val="2"/>
          <w:sz w:val="16"/>
          <w:szCs w:val="16"/>
        </w:rPr>
        <w:t>②切槽、切断；</w:t>
      </w:r>
    </w:p>
    <w:p w14:paraId="06108F2C">
      <w:pPr>
        <w:spacing w:before="101" w:line="217" w:lineRule="auto"/>
        <w:ind w:left="350"/>
        <w:rPr>
          <w:rFonts w:ascii="宋体" w:hAnsi="宋体" w:eastAsia="宋体" w:cs="宋体"/>
          <w:sz w:val="16"/>
          <w:szCs w:val="16"/>
        </w:rPr>
      </w:pPr>
      <w:r>
        <w:rPr>
          <w:rFonts w:ascii="宋体" w:hAnsi="宋体" w:eastAsia="宋体" w:cs="宋体"/>
          <w:spacing w:val="2"/>
          <w:sz w:val="16"/>
          <w:szCs w:val="16"/>
        </w:rPr>
        <w:t>③车削圆锥面；</w:t>
      </w:r>
    </w:p>
    <w:p w14:paraId="009E3E7A">
      <w:pPr>
        <w:spacing w:before="92" w:line="217" w:lineRule="auto"/>
        <w:ind w:left="350"/>
        <w:rPr>
          <w:rFonts w:ascii="宋体" w:hAnsi="宋体" w:eastAsia="宋体" w:cs="宋体"/>
          <w:sz w:val="16"/>
          <w:szCs w:val="16"/>
        </w:rPr>
      </w:pPr>
      <w:r>
        <w:rPr>
          <w:rFonts w:ascii="宋体" w:hAnsi="宋体" w:eastAsia="宋体" w:cs="宋体"/>
          <w:spacing w:val="21"/>
          <w:sz w:val="16"/>
          <w:szCs w:val="16"/>
        </w:rPr>
        <w:t>④螺纹(单线)加工；</w:t>
      </w:r>
    </w:p>
    <w:p w14:paraId="26B0891B">
      <w:pPr>
        <w:spacing w:before="102" w:line="217" w:lineRule="auto"/>
        <w:ind w:left="350"/>
        <w:rPr>
          <w:rFonts w:ascii="宋体" w:hAnsi="宋体" w:eastAsia="宋体" w:cs="宋体"/>
          <w:sz w:val="16"/>
          <w:szCs w:val="16"/>
        </w:rPr>
      </w:pPr>
      <w:r>
        <w:rPr>
          <w:rFonts w:ascii="宋体" w:hAnsi="宋体" w:eastAsia="宋体" w:cs="宋体"/>
          <w:spacing w:val="8"/>
          <w:sz w:val="16"/>
          <w:szCs w:val="16"/>
        </w:rPr>
        <w:t>⑤综合零件加工和精度测量。</w:t>
      </w:r>
    </w:p>
    <w:p w14:paraId="38B7684D">
      <w:pPr>
        <w:spacing w:before="103" w:line="273" w:lineRule="auto"/>
        <w:ind w:left="350" w:right="2388"/>
        <w:rPr>
          <w:rFonts w:ascii="宋体" w:hAnsi="宋体" w:eastAsia="宋体" w:cs="宋体"/>
          <w:sz w:val="16"/>
          <w:szCs w:val="16"/>
        </w:rPr>
      </w:pPr>
      <w:r>
        <w:rPr>
          <w:rFonts w:ascii="宋体" w:hAnsi="宋体" w:eastAsia="宋体" w:cs="宋体"/>
          <w:spacing w:val="8"/>
          <w:sz w:val="16"/>
          <w:szCs w:val="16"/>
        </w:rPr>
        <w:t>3.</w:t>
      </w:r>
      <w:r>
        <w:rPr>
          <w:rFonts w:ascii="宋体" w:hAnsi="宋体" w:eastAsia="宋体" w:cs="宋体"/>
          <w:spacing w:val="-18"/>
          <w:sz w:val="16"/>
          <w:szCs w:val="16"/>
        </w:rPr>
        <w:t xml:space="preserve"> </w:t>
      </w:r>
      <w:r>
        <w:rPr>
          <w:rFonts w:ascii="宋体" w:hAnsi="宋体" w:eastAsia="宋体" w:cs="宋体"/>
          <w:spacing w:val="8"/>
          <w:sz w:val="16"/>
          <w:szCs w:val="16"/>
        </w:rPr>
        <w:t>安全文明生产及其它</w:t>
      </w:r>
      <w:r>
        <w:rPr>
          <w:rFonts w:ascii="宋体" w:hAnsi="宋体" w:eastAsia="宋体" w:cs="宋体"/>
          <w:sz w:val="16"/>
          <w:szCs w:val="16"/>
        </w:rPr>
        <w:t xml:space="preserve"> </w:t>
      </w:r>
      <w:r>
        <w:rPr>
          <w:rFonts w:ascii="宋体" w:hAnsi="宋体" w:eastAsia="宋体" w:cs="宋体"/>
          <w:spacing w:val="13"/>
          <w:sz w:val="16"/>
          <w:szCs w:val="16"/>
        </w:rPr>
        <w:t>【测试要求】</w:t>
      </w:r>
    </w:p>
    <w:p w14:paraId="147AED27">
      <w:pPr>
        <w:spacing w:before="107" w:line="272" w:lineRule="auto"/>
        <w:ind w:right="381" w:firstLine="350"/>
        <w:rPr>
          <w:rFonts w:ascii="宋体" w:hAnsi="宋体" w:eastAsia="宋体" w:cs="宋体"/>
          <w:sz w:val="16"/>
          <w:szCs w:val="16"/>
        </w:rPr>
      </w:pPr>
      <w:r>
        <w:rPr>
          <w:rFonts w:ascii="宋体" w:hAnsi="宋体" w:eastAsia="宋体" w:cs="宋体"/>
          <w:spacing w:val="16"/>
          <w:sz w:val="16"/>
          <w:szCs w:val="16"/>
        </w:rPr>
        <w:t>1.</w:t>
      </w:r>
      <w:r>
        <w:rPr>
          <w:rFonts w:ascii="宋体" w:hAnsi="宋体" w:eastAsia="宋体" w:cs="宋体"/>
          <w:spacing w:val="-32"/>
          <w:sz w:val="16"/>
          <w:szCs w:val="16"/>
        </w:rPr>
        <w:t xml:space="preserve"> </w:t>
      </w:r>
      <w:r>
        <w:rPr>
          <w:rFonts w:ascii="宋体" w:hAnsi="宋体" w:eastAsia="宋体" w:cs="宋体"/>
          <w:spacing w:val="16"/>
          <w:sz w:val="16"/>
          <w:szCs w:val="16"/>
        </w:rPr>
        <w:t>根据图样分析加工工艺，制定零件的车</w:t>
      </w:r>
      <w:r>
        <w:rPr>
          <w:rFonts w:ascii="宋体" w:hAnsi="宋体" w:eastAsia="宋体" w:cs="宋体"/>
          <w:spacing w:val="15"/>
          <w:sz w:val="16"/>
          <w:szCs w:val="16"/>
        </w:rPr>
        <w:t>削加工</w:t>
      </w:r>
      <w:r>
        <w:rPr>
          <w:rFonts w:ascii="宋体" w:hAnsi="宋体" w:eastAsia="宋体" w:cs="宋体"/>
          <w:sz w:val="16"/>
          <w:szCs w:val="16"/>
        </w:rPr>
        <w:t xml:space="preserve"> </w:t>
      </w:r>
      <w:r>
        <w:rPr>
          <w:rFonts w:ascii="宋体" w:hAnsi="宋体" w:eastAsia="宋体" w:cs="宋体"/>
          <w:spacing w:val="6"/>
          <w:sz w:val="16"/>
          <w:szCs w:val="16"/>
        </w:rPr>
        <w:t>顺序，填写加工工艺卡片；</w:t>
      </w:r>
    </w:p>
    <w:p w14:paraId="11FCCCC0">
      <w:pPr>
        <w:spacing w:before="109" w:line="277" w:lineRule="auto"/>
        <w:ind w:right="383" w:firstLine="350"/>
        <w:rPr>
          <w:rFonts w:ascii="宋体" w:hAnsi="宋体" w:eastAsia="宋体" w:cs="宋体"/>
          <w:sz w:val="16"/>
          <w:szCs w:val="16"/>
        </w:rPr>
      </w:pPr>
      <w:r>
        <w:rPr>
          <w:rFonts w:ascii="宋体" w:hAnsi="宋体" w:eastAsia="宋体" w:cs="宋体"/>
          <w:spacing w:val="15"/>
          <w:sz w:val="16"/>
          <w:szCs w:val="16"/>
        </w:rPr>
        <w:t>2.</w:t>
      </w:r>
      <w:r>
        <w:rPr>
          <w:rFonts w:ascii="宋体" w:hAnsi="宋体" w:eastAsia="宋体" w:cs="宋体"/>
          <w:spacing w:val="-15"/>
          <w:sz w:val="16"/>
          <w:szCs w:val="16"/>
        </w:rPr>
        <w:t xml:space="preserve"> </w:t>
      </w:r>
      <w:r>
        <w:rPr>
          <w:rFonts w:ascii="宋体" w:hAnsi="宋体" w:eastAsia="宋体" w:cs="宋体"/>
          <w:spacing w:val="15"/>
          <w:sz w:val="16"/>
          <w:szCs w:val="16"/>
        </w:rPr>
        <w:t>要求考生运用机械加工工艺手段，加工工件达</w:t>
      </w:r>
      <w:r>
        <w:rPr>
          <w:rFonts w:ascii="宋体" w:hAnsi="宋体" w:eastAsia="宋体" w:cs="宋体"/>
          <w:sz w:val="16"/>
          <w:szCs w:val="16"/>
        </w:rPr>
        <w:t xml:space="preserve"> </w:t>
      </w:r>
      <w:r>
        <w:rPr>
          <w:rFonts w:ascii="宋体" w:hAnsi="宋体" w:eastAsia="宋体" w:cs="宋体"/>
          <w:spacing w:val="7"/>
          <w:sz w:val="16"/>
          <w:szCs w:val="16"/>
        </w:rPr>
        <w:t>到零件图纸技术要求；</w:t>
      </w:r>
    </w:p>
    <w:p w14:paraId="08BFEE7B">
      <w:pPr>
        <w:spacing w:before="110" w:line="292" w:lineRule="auto"/>
        <w:ind w:right="290" w:firstLine="350"/>
        <w:rPr>
          <w:rFonts w:ascii="宋体" w:hAnsi="宋体" w:eastAsia="宋体" w:cs="宋体"/>
          <w:sz w:val="16"/>
          <w:szCs w:val="16"/>
        </w:rPr>
      </w:pPr>
      <w:r>
        <w:rPr>
          <w:rFonts w:ascii="宋体" w:hAnsi="宋体" w:eastAsia="宋体" w:cs="宋体"/>
          <w:spacing w:val="24"/>
          <w:sz w:val="16"/>
          <w:szCs w:val="16"/>
        </w:rPr>
        <w:t>3.</w:t>
      </w:r>
      <w:r>
        <w:rPr>
          <w:rFonts w:ascii="宋体" w:hAnsi="宋体" w:eastAsia="宋体" w:cs="宋体"/>
          <w:spacing w:val="-29"/>
          <w:sz w:val="16"/>
          <w:szCs w:val="16"/>
        </w:rPr>
        <w:t xml:space="preserve"> </w:t>
      </w:r>
      <w:r>
        <w:rPr>
          <w:rFonts w:ascii="宋体" w:hAnsi="宋体" w:eastAsia="宋体" w:cs="宋体"/>
          <w:spacing w:val="24"/>
          <w:sz w:val="16"/>
          <w:szCs w:val="16"/>
        </w:rPr>
        <w:t>熟练操作车床车削轴套类零件，公差等级达</w:t>
      </w:r>
      <w:r>
        <w:rPr>
          <w:rFonts w:ascii="宋体" w:hAnsi="宋体" w:eastAsia="宋体" w:cs="宋体"/>
          <w:sz w:val="16"/>
          <w:szCs w:val="16"/>
        </w:rPr>
        <w:t xml:space="preserve">  </w:t>
      </w:r>
      <w:r>
        <w:rPr>
          <w:rFonts w:ascii="Times New Roman" w:hAnsi="Times New Roman" w:eastAsia="Times New Roman" w:cs="Times New Roman"/>
          <w:sz w:val="16"/>
          <w:szCs w:val="16"/>
        </w:rPr>
        <w:t>IT</w:t>
      </w:r>
      <w:r>
        <w:rPr>
          <w:rFonts w:ascii="Times New Roman" w:hAnsi="Times New Roman" w:eastAsia="Times New Roman" w:cs="Times New Roman"/>
          <w:spacing w:val="6"/>
          <w:sz w:val="16"/>
          <w:szCs w:val="16"/>
        </w:rPr>
        <w:t>7~</w:t>
      </w:r>
      <w:r>
        <w:rPr>
          <w:rFonts w:ascii="Times New Roman" w:hAnsi="Times New Roman" w:eastAsia="Times New Roman" w:cs="Times New Roman"/>
          <w:sz w:val="16"/>
          <w:szCs w:val="16"/>
        </w:rPr>
        <w:t>IT</w:t>
      </w:r>
      <w:r>
        <w:rPr>
          <w:rFonts w:ascii="Times New Roman" w:hAnsi="Times New Roman" w:eastAsia="Times New Roman" w:cs="Times New Roman"/>
          <w:spacing w:val="6"/>
          <w:sz w:val="16"/>
          <w:szCs w:val="16"/>
        </w:rPr>
        <w:t xml:space="preserve">8,   </w:t>
      </w:r>
      <w:r>
        <w:rPr>
          <w:rFonts w:ascii="宋体" w:hAnsi="宋体" w:eastAsia="宋体" w:cs="宋体"/>
          <w:spacing w:val="6"/>
          <w:sz w:val="16"/>
          <w:szCs w:val="16"/>
        </w:rPr>
        <w:t>表面粗糙度不低于</w:t>
      </w:r>
      <w:r>
        <w:rPr>
          <w:rFonts w:ascii="Times New Roman" w:hAnsi="Times New Roman" w:eastAsia="Times New Roman" w:cs="Times New Roman"/>
          <w:sz w:val="16"/>
          <w:szCs w:val="16"/>
        </w:rPr>
        <w:t>Ra</w:t>
      </w:r>
      <w:r>
        <w:rPr>
          <w:rFonts w:ascii="Times New Roman" w:hAnsi="Times New Roman" w:eastAsia="Times New Roman" w:cs="Times New Roman"/>
          <w:spacing w:val="6"/>
          <w:sz w:val="16"/>
          <w:szCs w:val="16"/>
        </w:rPr>
        <w:t>3.2</w:t>
      </w:r>
      <w:r>
        <w:rPr>
          <w:rFonts w:ascii="Times New Roman" w:hAnsi="Times New Roman" w:eastAsia="Times New Roman" w:cs="Times New Roman"/>
          <w:spacing w:val="-18"/>
          <w:sz w:val="16"/>
          <w:szCs w:val="16"/>
        </w:rPr>
        <w:t xml:space="preserve"> </w:t>
      </w:r>
      <w:r>
        <w:rPr>
          <w:rFonts w:ascii="宋体" w:hAnsi="宋体" w:eastAsia="宋体" w:cs="宋体"/>
          <w:spacing w:val="6"/>
          <w:sz w:val="16"/>
          <w:szCs w:val="16"/>
        </w:rPr>
        <w:t>。</w:t>
      </w:r>
      <w:r>
        <w:rPr>
          <w:rFonts w:ascii="宋体" w:hAnsi="宋体" w:eastAsia="宋体" w:cs="宋体"/>
          <w:spacing w:val="-35"/>
          <w:sz w:val="16"/>
          <w:szCs w:val="16"/>
        </w:rPr>
        <w:t xml:space="preserve"> </w:t>
      </w:r>
      <w:r>
        <w:rPr>
          <w:rFonts w:ascii="宋体" w:hAnsi="宋体" w:eastAsia="宋体" w:cs="宋体"/>
          <w:spacing w:val="6"/>
          <w:sz w:val="16"/>
          <w:szCs w:val="16"/>
        </w:rPr>
        <w:t>能车削外圆、</w:t>
      </w:r>
      <w:r>
        <w:rPr>
          <w:rFonts w:ascii="宋体" w:hAnsi="宋体" w:eastAsia="宋体" w:cs="宋体"/>
          <w:spacing w:val="5"/>
          <w:sz w:val="16"/>
          <w:szCs w:val="16"/>
        </w:rPr>
        <w:t>内孔、</w:t>
      </w:r>
      <w:r>
        <w:rPr>
          <w:rFonts w:ascii="宋体" w:hAnsi="宋体" w:eastAsia="宋体" w:cs="宋体"/>
          <w:sz w:val="16"/>
          <w:szCs w:val="16"/>
        </w:rPr>
        <w:t xml:space="preserve"> </w:t>
      </w:r>
      <w:r>
        <w:rPr>
          <w:rFonts w:ascii="宋体" w:hAnsi="宋体" w:eastAsia="宋体" w:cs="宋体"/>
          <w:spacing w:val="8"/>
          <w:sz w:val="16"/>
          <w:szCs w:val="16"/>
        </w:rPr>
        <w:t>阶台、普通三角螺纹、矩形沟槽。</w:t>
      </w:r>
    </w:p>
    <w:p w14:paraId="52CE3A32">
      <w:pPr>
        <w:spacing w:before="92" w:line="220" w:lineRule="auto"/>
        <w:ind w:left="350"/>
        <w:rPr>
          <w:rFonts w:ascii="宋体" w:hAnsi="宋体" w:eastAsia="宋体" w:cs="宋体"/>
          <w:sz w:val="16"/>
          <w:szCs w:val="16"/>
        </w:rPr>
      </w:pPr>
      <w:r>
        <w:rPr>
          <w:rFonts w:ascii="宋体" w:hAnsi="宋体" w:eastAsia="宋体" w:cs="宋体"/>
          <w:spacing w:val="13"/>
          <w:sz w:val="16"/>
          <w:szCs w:val="16"/>
        </w:rPr>
        <w:t>【测试赋分】</w:t>
      </w:r>
    </w:p>
    <w:p w14:paraId="63732E85">
      <w:pPr>
        <w:spacing w:before="118" w:line="266" w:lineRule="auto"/>
        <w:ind w:right="420" w:firstLine="350"/>
        <w:rPr>
          <w:rFonts w:ascii="宋体" w:hAnsi="宋体" w:eastAsia="宋体" w:cs="宋体"/>
          <w:sz w:val="16"/>
          <w:szCs w:val="16"/>
        </w:rPr>
      </w:pPr>
      <w:r>
        <w:rPr>
          <w:rFonts w:ascii="宋体" w:hAnsi="宋体" w:eastAsia="宋体" w:cs="宋体"/>
          <w:spacing w:val="14"/>
          <w:sz w:val="16"/>
          <w:szCs w:val="16"/>
        </w:rPr>
        <w:t>1.</w:t>
      </w:r>
      <w:r>
        <w:rPr>
          <w:rFonts w:ascii="宋体" w:hAnsi="宋体" w:eastAsia="宋体" w:cs="宋体"/>
          <w:spacing w:val="-30"/>
          <w:sz w:val="16"/>
          <w:szCs w:val="16"/>
        </w:rPr>
        <w:t xml:space="preserve"> </w:t>
      </w:r>
      <w:r>
        <w:rPr>
          <w:rFonts w:ascii="宋体" w:hAnsi="宋体" w:eastAsia="宋体" w:cs="宋体"/>
          <w:spacing w:val="14"/>
          <w:sz w:val="16"/>
          <w:szCs w:val="16"/>
        </w:rPr>
        <w:t>按所给的工艺卡片合理填写工序内容，夹具，</w:t>
      </w:r>
      <w:r>
        <w:rPr>
          <w:rFonts w:ascii="宋体" w:hAnsi="宋体" w:eastAsia="宋体" w:cs="宋体"/>
          <w:sz w:val="16"/>
          <w:szCs w:val="16"/>
        </w:rPr>
        <w:t xml:space="preserve"> </w:t>
      </w:r>
      <w:r>
        <w:rPr>
          <w:rFonts w:ascii="宋体" w:hAnsi="宋体" w:eastAsia="宋体" w:cs="宋体"/>
          <w:spacing w:val="18"/>
          <w:sz w:val="16"/>
          <w:szCs w:val="16"/>
        </w:rPr>
        <w:t>工具，量具25分</w:t>
      </w:r>
    </w:p>
    <w:p w14:paraId="21F8DBD7">
      <w:pPr>
        <w:spacing w:before="108" w:line="219" w:lineRule="auto"/>
        <w:ind w:left="350"/>
        <w:rPr>
          <w:rFonts w:ascii="宋体" w:hAnsi="宋体" w:eastAsia="宋体" w:cs="宋体"/>
          <w:sz w:val="16"/>
          <w:szCs w:val="16"/>
        </w:rPr>
      </w:pPr>
      <w:r>
        <w:rPr>
          <w:rFonts w:ascii="宋体" w:hAnsi="宋体" w:eastAsia="宋体" w:cs="宋体"/>
          <w:spacing w:val="13"/>
          <w:sz w:val="16"/>
          <w:szCs w:val="16"/>
        </w:rPr>
        <w:t>2.</w:t>
      </w:r>
      <w:r>
        <w:rPr>
          <w:rFonts w:ascii="宋体" w:hAnsi="宋体" w:eastAsia="宋体" w:cs="宋体"/>
          <w:spacing w:val="-8"/>
          <w:sz w:val="16"/>
          <w:szCs w:val="16"/>
        </w:rPr>
        <w:t xml:space="preserve"> </w:t>
      </w:r>
      <w:r>
        <w:rPr>
          <w:rFonts w:ascii="宋体" w:hAnsi="宋体" w:eastAsia="宋体" w:cs="宋体"/>
          <w:spacing w:val="13"/>
          <w:sz w:val="16"/>
          <w:szCs w:val="16"/>
        </w:rPr>
        <w:t>基本操作规范30分</w:t>
      </w:r>
    </w:p>
    <w:p w14:paraId="6B3C969E">
      <w:pPr>
        <w:spacing w:before="111" w:line="219" w:lineRule="auto"/>
        <w:ind w:left="350"/>
        <w:rPr>
          <w:rFonts w:ascii="宋体" w:hAnsi="宋体" w:eastAsia="宋体" w:cs="宋体"/>
          <w:sz w:val="16"/>
          <w:szCs w:val="16"/>
        </w:rPr>
      </w:pPr>
      <w:r>
        <w:rPr>
          <w:rFonts w:ascii="宋体" w:hAnsi="宋体" w:eastAsia="宋体" w:cs="宋体"/>
          <w:spacing w:val="15"/>
          <w:sz w:val="16"/>
          <w:szCs w:val="16"/>
        </w:rPr>
        <w:t>3.</w:t>
      </w:r>
      <w:r>
        <w:rPr>
          <w:rFonts w:ascii="宋体" w:hAnsi="宋体" w:eastAsia="宋体" w:cs="宋体"/>
          <w:spacing w:val="-30"/>
          <w:sz w:val="16"/>
          <w:szCs w:val="16"/>
        </w:rPr>
        <w:t xml:space="preserve"> </w:t>
      </w:r>
      <w:r>
        <w:rPr>
          <w:rFonts w:ascii="宋体" w:hAnsi="宋体" w:eastAsia="宋体" w:cs="宋体"/>
          <w:spacing w:val="15"/>
          <w:sz w:val="16"/>
          <w:szCs w:val="16"/>
        </w:rPr>
        <w:t>零件形位精度40分</w:t>
      </w:r>
    </w:p>
    <w:p w14:paraId="3522C1F7">
      <w:pPr>
        <w:spacing w:before="90" w:line="219" w:lineRule="auto"/>
        <w:ind w:left="350"/>
        <w:rPr>
          <w:rFonts w:ascii="宋体" w:hAnsi="宋体" w:eastAsia="宋体" w:cs="宋体"/>
          <w:sz w:val="16"/>
          <w:szCs w:val="16"/>
        </w:rPr>
      </w:pPr>
      <w:r>
        <w:rPr>
          <w:rFonts w:ascii="宋体" w:hAnsi="宋体" w:eastAsia="宋体" w:cs="宋体"/>
          <w:spacing w:val="14"/>
          <w:sz w:val="16"/>
          <w:szCs w:val="16"/>
        </w:rPr>
        <w:t>4.</w:t>
      </w:r>
      <w:r>
        <w:rPr>
          <w:rFonts w:ascii="宋体" w:hAnsi="宋体" w:eastAsia="宋体" w:cs="宋体"/>
          <w:spacing w:val="-35"/>
          <w:sz w:val="16"/>
          <w:szCs w:val="16"/>
        </w:rPr>
        <w:t xml:space="preserve"> </w:t>
      </w:r>
      <w:r>
        <w:rPr>
          <w:rFonts w:ascii="宋体" w:hAnsi="宋体" w:eastAsia="宋体" w:cs="宋体"/>
          <w:spacing w:val="14"/>
          <w:sz w:val="16"/>
          <w:szCs w:val="16"/>
        </w:rPr>
        <w:t>加工零件的尺寸精度100分</w:t>
      </w:r>
    </w:p>
    <w:p w14:paraId="181BC680">
      <w:pPr>
        <w:spacing w:before="101" w:line="219" w:lineRule="auto"/>
        <w:ind w:left="350"/>
        <w:rPr>
          <w:rFonts w:ascii="宋体" w:hAnsi="宋体" w:eastAsia="宋体" w:cs="宋体"/>
          <w:sz w:val="16"/>
          <w:szCs w:val="16"/>
        </w:rPr>
      </w:pPr>
      <w:r>
        <w:rPr>
          <w:rFonts w:ascii="宋体" w:hAnsi="宋体" w:eastAsia="宋体" w:cs="宋体"/>
          <w:spacing w:val="13"/>
          <w:sz w:val="16"/>
          <w:szCs w:val="16"/>
        </w:rPr>
        <w:t>5.</w:t>
      </w:r>
      <w:r>
        <w:rPr>
          <w:rFonts w:ascii="宋体" w:hAnsi="宋体" w:eastAsia="宋体" w:cs="宋体"/>
          <w:spacing w:val="-10"/>
          <w:sz w:val="16"/>
          <w:szCs w:val="16"/>
        </w:rPr>
        <w:t xml:space="preserve"> </w:t>
      </w:r>
      <w:r>
        <w:rPr>
          <w:rFonts w:ascii="宋体" w:hAnsi="宋体" w:eastAsia="宋体" w:cs="宋体"/>
          <w:spacing w:val="13"/>
          <w:sz w:val="16"/>
          <w:szCs w:val="16"/>
        </w:rPr>
        <w:t>加工零件的表面粗糙度30分</w:t>
      </w:r>
    </w:p>
    <w:p w14:paraId="60E67D41">
      <w:pPr>
        <w:spacing w:before="90" w:line="219" w:lineRule="auto"/>
        <w:ind w:left="350"/>
        <w:rPr>
          <w:rFonts w:ascii="宋体" w:hAnsi="宋体" w:eastAsia="宋体" w:cs="宋体"/>
          <w:sz w:val="16"/>
          <w:szCs w:val="16"/>
        </w:rPr>
      </w:pPr>
      <w:r>
        <w:rPr>
          <w:rFonts w:ascii="宋体" w:hAnsi="宋体" w:eastAsia="宋体" w:cs="宋体"/>
          <w:spacing w:val="12"/>
          <w:sz w:val="16"/>
          <w:szCs w:val="16"/>
        </w:rPr>
        <w:t>6.</w:t>
      </w:r>
      <w:r>
        <w:rPr>
          <w:rFonts w:ascii="宋体" w:hAnsi="宋体" w:eastAsia="宋体" w:cs="宋体"/>
          <w:spacing w:val="-25"/>
          <w:sz w:val="16"/>
          <w:szCs w:val="16"/>
        </w:rPr>
        <w:t xml:space="preserve"> </w:t>
      </w:r>
      <w:r>
        <w:rPr>
          <w:rFonts w:ascii="宋体" w:hAnsi="宋体" w:eastAsia="宋体" w:cs="宋体"/>
          <w:spacing w:val="12"/>
          <w:sz w:val="16"/>
          <w:szCs w:val="16"/>
        </w:rPr>
        <w:t>根据职业素养评分要求，现场给分25分</w:t>
      </w:r>
    </w:p>
    <w:p w14:paraId="75A24FDC">
      <w:pPr>
        <w:pStyle w:val="2"/>
        <w:spacing w:line="14" w:lineRule="auto"/>
        <w:rPr>
          <w:sz w:val="2"/>
        </w:rPr>
      </w:pPr>
      <w:r>
        <w:rPr>
          <w:sz w:val="2"/>
          <w:szCs w:val="2"/>
        </w:rPr>
        <w:br w:type="column"/>
      </w:r>
    </w:p>
    <w:p w14:paraId="12E0A38C">
      <w:pPr>
        <w:spacing w:before="77" w:line="219" w:lineRule="auto"/>
        <w:ind w:left="982"/>
        <w:rPr>
          <w:rFonts w:ascii="宋体" w:hAnsi="宋体" w:eastAsia="宋体" w:cs="宋体"/>
          <w:sz w:val="16"/>
          <w:szCs w:val="16"/>
        </w:rPr>
      </w:pPr>
      <w:r>
        <w:rPr>
          <w:rFonts w:ascii="宋体" w:hAnsi="宋体" w:eastAsia="宋体" w:cs="宋体"/>
          <w:b/>
          <w:bCs/>
          <w:spacing w:val="-10"/>
          <w:sz w:val="16"/>
          <w:szCs w:val="16"/>
        </w:rPr>
        <w:t>项</w:t>
      </w:r>
      <w:r>
        <w:rPr>
          <w:rFonts w:ascii="宋体" w:hAnsi="宋体" w:eastAsia="宋体" w:cs="宋体"/>
          <w:spacing w:val="-10"/>
          <w:sz w:val="16"/>
          <w:szCs w:val="16"/>
        </w:rPr>
        <w:t xml:space="preserve"> </w:t>
      </w:r>
      <w:r>
        <w:rPr>
          <w:rFonts w:ascii="宋体" w:hAnsi="宋体" w:eastAsia="宋体" w:cs="宋体"/>
          <w:b/>
          <w:bCs/>
          <w:spacing w:val="-10"/>
          <w:sz w:val="16"/>
          <w:szCs w:val="16"/>
        </w:rPr>
        <w:t>目</w:t>
      </w:r>
      <w:r>
        <w:rPr>
          <w:rFonts w:ascii="宋体" w:hAnsi="宋体" w:eastAsia="宋体" w:cs="宋体"/>
          <w:spacing w:val="-15"/>
          <w:sz w:val="16"/>
          <w:szCs w:val="16"/>
        </w:rPr>
        <w:t xml:space="preserve"> </w:t>
      </w:r>
      <w:r>
        <w:rPr>
          <w:rFonts w:ascii="宋体" w:hAnsi="宋体" w:eastAsia="宋体" w:cs="宋体"/>
          <w:b/>
          <w:bCs/>
          <w:spacing w:val="-10"/>
          <w:sz w:val="16"/>
          <w:szCs w:val="16"/>
        </w:rPr>
        <w:t>三</w:t>
      </w:r>
      <w:r>
        <w:rPr>
          <w:rFonts w:ascii="宋体" w:hAnsi="宋体" w:eastAsia="宋体" w:cs="宋体"/>
          <w:spacing w:val="-10"/>
          <w:sz w:val="16"/>
          <w:szCs w:val="16"/>
        </w:rPr>
        <w:t xml:space="preserve">   </w:t>
      </w:r>
      <w:r>
        <w:rPr>
          <w:rFonts w:ascii="宋体" w:hAnsi="宋体" w:eastAsia="宋体" w:cs="宋体"/>
          <w:b/>
          <w:bCs/>
          <w:spacing w:val="-10"/>
          <w:sz w:val="16"/>
          <w:szCs w:val="16"/>
        </w:rPr>
        <w:t>数</w:t>
      </w:r>
      <w:r>
        <w:rPr>
          <w:rFonts w:ascii="宋体" w:hAnsi="宋体" w:eastAsia="宋体" w:cs="宋体"/>
          <w:spacing w:val="-25"/>
          <w:sz w:val="16"/>
          <w:szCs w:val="16"/>
        </w:rPr>
        <w:t xml:space="preserve"> </w:t>
      </w:r>
      <w:r>
        <w:rPr>
          <w:rFonts w:ascii="宋体" w:hAnsi="宋体" w:eastAsia="宋体" w:cs="宋体"/>
          <w:b/>
          <w:bCs/>
          <w:spacing w:val="-10"/>
          <w:sz w:val="16"/>
          <w:szCs w:val="16"/>
        </w:rPr>
        <w:t>控</w:t>
      </w:r>
      <w:r>
        <w:rPr>
          <w:rFonts w:ascii="宋体" w:hAnsi="宋体" w:eastAsia="宋体" w:cs="宋体"/>
          <w:spacing w:val="-24"/>
          <w:sz w:val="16"/>
          <w:szCs w:val="16"/>
        </w:rPr>
        <w:t xml:space="preserve"> </w:t>
      </w:r>
      <w:r>
        <w:rPr>
          <w:rFonts w:ascii="宋体" w:hAnsi="宋体" w:eastAsia="宋体" w:cs="宋体"/>
          <w:b/>
          <w:bCs/>
          <w:spacing w:val="-10"/>
          <w:sz w:val="16"/>
          <w:szCs w:val="16"/>
        </w:rPr>
        <w:t>车</w:t>
      </w:r>
      <w:r>
        <w:rPr>
          <w:rFonts w:ascii="宋体" w:hAnsi="宋体" w:eastAsia="宋体" w:cs="宋体"/>
          <w:spacing w:val="-24"/>
          <w:sz w:val="16"/>
          <w:szCs w:val="16"/>
        </w:rPr>
        <w:t xml:space="preserve"> </w:t>
      </w:r>
      <w:r>
        <w:rPr>
          <w:rFonts w:ascii="宋体" w:hAnsi="宋体" w:eastAsia="宋体" w:cs="宋体"/>
          <w:b/>
          <w:bCs/>
          <w:spacing w:val="-10"/>
          <w:sz w:val="16"/>
          <w:szCs w:val="16"/>
        </w:rPr>
        <w:t>技</w:t>
      </w:r>
      <w:r>
        <w:rPr>
          <w:rFonts w:ascii="宋体" w:hAnsi="宋体" w:eastAsia="宋体" w:cs="宋体"/>
          <w:spacing w:val="-19"/>
          <w:sz w:val="16"/>
          <w:szCs w:val="16"/>
        </w:rPr>
        <w:t xml:space="preserve"> </w:t>
      </w:r>
      <w:r>
        <w:rPr>
          <w:rFonts w:ascii="宋体" w:hAnsi="宋体" w:eastAsia="宋体" w:cs="宋体"/>
          <w:b/>
          <w:bCs/>
          <w:spacing w:val="-10"/>
          <w:sz w:val="16"/>
          <w:szCs w:val="16"/>
        </w:rPr>
        <w:t>能</w:t>
      </w:r>
      <w:r>
        <w:rPr>
          <w:rFonts w:ascii="宋体" w:hAnsi="宋体" w:eastAsia="宋体" w:cs="宋体"/>
          <w:spacing w:val="-25"/>
          <w:sz w:val="16"/>
          <w:szCs w:val="16"/>
        </w:rPr>
        <w:t xml:space="preserve"> </w:t>
      </w:r>
      <w:r>
        <w:rPr>
          <w:rFonts w:ascii="宋体" w:hAnsi="宋体" w:eastAsia="宋体" w:cs="宋体"/>
          <w:b/>
          <w:bCs/>
          <w:spacing w:val="-10"/>
          <w:sz w:val="16"/>
          <w:szCs w:val="16"/>
        </w:rPr>
        <w:t>考</w:t>
      </w:r>
      <w:r>
        <w:rPr>
          <w:rFonts w:ascii="宋体" w:hAnsi="宋体" w:eastAsia="宋体" w:cs="宋体"/>
          <w:spacing w:val="-23"/>
          <w:sz w:val="16"/>
          <w:szCs w:val="16"/>
        </w:rPr>
        <w:t xml:space="preserve"> </w:t>
      </w:r>
      <w:r>
        <w:rPr>
          <w:rFonts w:ascii="宋体" w:hAnsi="宋体" w:eastAsia="宋体" w:cs="宋体"/>
          <w:b/>
          <w:bCs/>
          <w:spacing w:val="-10"/>
          <w:sz w:val="16"/>
          <w:szCs w:val="16"/>
        </w:rPr>
        <w:t>核</w:t>
      </w:r>
    </w:p>
    <w:p w14:paraId="466B5E90">
      <w:pPr>
        <w:pStyle w:val="2"/>
        <w:spacing w:line="309" w:lineRule="auto"/>
      </w:pPr>
    </w:p>
    <w:p w14:paraId="4C18F336">
      <w:pPr>
        <w:spacing w:before="52" w:line="221" w:lineRule="auto"/>
        <w:ind w:left="349"/>
        <w:rPr>
          <w:rFonts w:ascii="宋体" w:hAnsi="宋体" w:eastAsia="宋体" w:cs="宋体"/>
          <w:sz w:val="16"/>
          <w:szCs w:val="16"/>
        </w:rPr>
      </w:pPr>
      <w:r>
        <w:rPr>
          <w:rFonts w:ascii="宋体" w:hAnsi="宋体" w:eastAsia="宋体" w:cs="宋体"/>
          <w:spacing w:val="13"/>
          <w:sz w:val="16"/>
          <w:szCs w:val="16"/>
        </w:rPr>
        <w:t>【测试用具】</w:t>
      </w:r>
    </w:p>
    <w:p w14:paraId="5F55CA79">
      <w:pPr>
        <w:spacing w:before="89" w:line="320" w:lineRule="auto"/>
        <w:ind w:left="349" w:right="102" w:firstLine="20"/>
        <w:rPr>
          <w:rFonts w:ascii="宋体" w:hAnsi="宋体" w:eastAsia="宋体" w:cs="宋体"/>
          <w:sz w:val="16"/>
          <w:szCs w:val="16"/>
        </w:rPr>
      </w:pPr>
      <w:r>
        <w:rPr>
          <w:rFonts w:ascii="宋体" w:hAnsi="宋体" w:eastAsia="宋体" w:cs="宋体"/>
          <w:spacing w:val="-1"/>
          <w:sz w:val="16"/>
          <w:szCs w:val="16"/>
        </w:rPr>
        <w:t>毛坯、刀具、工具、量具、数控车床</w:t>
      </w:r>
      <w:r>
        <w:rPr>
          <w:rFonts w:ascii="宋体" w:hAnsi="宋体" w:eastAsia="宋体" w:cs="宋体"/>
          <w:spacing w:val="-34"/>
          <w:sz w:val="16"/>
          <w:szCs w:val="16"/>
        </w:rPr>
        <w:t xml:space="preserve"> </w:t>
      </w:r>
      <w:r>
        <w:rPr>
          <w:rFonts w:ascii="Times New Roman" w:hAnsi="Times New Roman" w:eastAsia="Times New Roman" w:cs="Times New Roman"/>
          <w:spacing w:val="-1"/>
          <w:sz w:val="16"/>
          <w:szCs w:val="16"/>
        </w:rPr>
        <w:t>(FANUC</w:t>
      </w:r>
      <w:r>
        <w:rPr>
          <w:rFonts w:ascii="宋体" w:hAnsi="宋体" w:eastAsia="宋体" w:cs="宋体"/>
          <w:spacing w:val="-1"/>
          <w:sz w:val="16"/>
          <w:szCs w:val="16"/>
        </w:rPr>
        <w:t>系统)等</w:t>
      </w:r>
      <w:r>
        <w:rPr>
          <w:rFonts w:ascii="宋体" w:hAnsi="宋体" w:eastAsia="宋体" w:cs="宋体"/>
          <w:sz w:val="16"/>
          <w:szCs w:val="16"/>
        </w:rPr>
        <w:t xml:space="preserve"> </w:t>
      </w:r>
      <w:r>
        <w:rPr>
          <w:rFonts w:ascii="宋体" w:hAnsi="宋体" w:eastAsia="宋体" w:cs="宋体"/>
          <w:spacing w:val="13"/>
          <w:sz w:val="16"/>
          <w:szCs w:val="16"/>
        </w:rPr>
        <w:t>【测试内容】</w:t>
      </w:r>
    </w:p>
    <w:p w14:paraId="14BF1BC7">
      <w:pPr>
        <w:spacing w:before="54" w:line="314" w:lineRule="auto"/>
        <w:ind w:right="67" w:firstLine="370"/>
        <w:jc w:val="both"/>
        <w:rPr>
          <w:rFonts w:ascii="宋体" w:hAnsi="宋体" w:eastAsia="宋体" w:cs="宋体"/>
          <w:sz w:val="16"/>
          <w:szCs w:val="16"/>
        </w:rPr>
      </w:pPr>
      <w:r>
        <w:rPr>
          <w:rFonts w:ascii="宋体" w:hAnsi="宋体" w:eastAsia="宋体" w:cs="宋体"/>
          <w:spacing w:val="11"/>
          <w:sz w:val="16"/>
          <w:szCs w:val="16"/>
        </w:rPr>
        <w:t>根据加工零件图纸，合理选择加工工艺过程、正确</w:t>
      </w:r>
      <w:r>
        <w:rPr>
          <w:rFonts w:ascii="宋体" w:hAnsi="宋体" w:eastAsia="宋体" w:cs="宋体"/>
          <w:spacing w:val="9"/>
          <w:sz w:val="16"/>
          <w:szCs w:val="16"/>
        </w:rPr>
        <w:t xml:space="preserve"> </w:t>
      </w:r>
      <w:r>
        <w:rPr>
          <w:rFonts w:ascii="宋体" w:hAnsi="宋体" w:eastAsia="宋体" w:cs="宋体"/>
          <w:spacing w:val="12"/>
          <w:sz w:val="16"/>
          <w:szCs w:val="16"/>
        </w:rPr>
        <w:t>选择刀具、量具、夹具、切削用量、装夹工件，使用数</w:t>
      </w:r>
      <w:r>
        <w:rPr>
          <w:rFonts w:ascii="宋体" w:hAnsi="宋体" w:eastAsia="宋体" w:cs="宋体"/>
          <w:spacing w:val="8"/>
          <w:sz w:val="16"/>
          <w:szCs w:val="16"/>
        </w:rPr>
        <w:t xml:space="preserve"> </w:t>
      </w:r>
      <w:r>
        <w:rPr>
          <w:rFonts w:ascii="宋体" w:hAnsi="宋体" w:eastAsia="宋体" w:cs="宋体"/>
          <w:spacing w:val="7"/>
          <w:sz w:val="16"/>
          <w:szCs w:val="16"/>
        </w:rPr>
        <w:t>控车床完成零件加工。</w:t>
      </w:r>
    </w:p>
    <w:p w14:paraId="6E114047">
      <w:pPr>
        <w:spacing w:before="34" w:line="221" w:lineRule="auto"/>
        <w:ind w:left="349"/>
        <w:rPr>
          <w:rFonts w:ascii="宋体" w:hAnsi="宋体" w:eastAsia="宋体" w:cs="宋体"/>
          <w:sz w:val="16"/>
          <w:szCs w:val="16"/>
        </w:rPr>
      </w:pPr>
      <w:r>
        <w:rPr>
          <w:rFonts w:ascii="宋体" w:hAnsi="宋体" w:eastAsia="宋体" w:cs="宋体"/>
          <w:spacing w:val="13"/>
          <w:sz w:val="16"/>
          <w:szCs w:val="16"/>
        </w:rPr>
        <w:t>【测试方法】</w:t>
      </w:r>
    </w:p>
    <w:p w14:paraId="39DD6F62">
      <w:pPr>
        <w:spacing w:before="98" w:line="221" w:lineRule="auto"/>
        <w:ind w:left="370"/>
        <w:rPr>
          <w:rFonts w:ascii="宋体" w:hAnsi="宋体" w:eastAsia="宋体" w:cs="宋体"/>
          <w:sz w:val="16"/>
          <w:szCs w:val="16"/>
        </w:rPr>
      </w:pPr>
      <w:r>
        <w:rPr>
          <w:rFonts w:ascii="宋体" w:hAnsi="宋体" w:eastAsia="宋体" w:cs="宋体"/>
          <w:spacing w:val="8"/>
          <w:sz w:val="16"/>
          <w:szCs w:val="16"/>
        </w:rPr>
        <w:t>1.</w:t>
      </w:r>
      <w:r>
        <w:rPr>
          <w:rFonts w:ascii="宋体" w:hAnsi="宋体" w:eastAsia="宋体" w:cs="宋体"/>
          <w:spacing w:val="-32"/>
          <w:sz w:val="16"/>
          <w:szCs w:val="16"/>
        </w:rPr>
        <w:t xml:space="preserve"> </w:t>
      </w:r>
      <w:r>
        <w:rPr>
          <w:rFonts w:ascii="宋体" w:hAnsi="宋体" w:eastAsia="宋体" w:cs="宋体"/>
          <w:spacing w:val="8"/>
          <w:sz w:val="16"/>
          <w:szCs w:val="16"/>
        </w:rPr>
        <w:t>加工准备</w:t>
      </w:r>
    </w:p>
    <w:p w14:paraId="49B84A00">
      <w:pPr>
        <w:spacing w:before="96" w:line="217" w:lineRule="auto"/>
        <w:ind w:left="370"/>
        <w:rPr>
          <w:rFonts w:ascii="宋体" w:hAnsi="宋体" w:eastAsia="宋体" w:cs="宋体"/>
          <w:sz w:val="16"/>
          <w:szCs w:val="16"/>
        </w:rPr>
      </w:pPr>
      <w:r>
        <w:rPr>
          <w:rFonts w:ascii="宋体" w:hAnsi="宋体" w:eastAsia="宋体" w:cs="宋体"/>
          <w:spacing w:val="4"/>
          <w:sz w:val="16"/>
          <w:szCs w:val="16"/>
        </w:rPr>
        <w:t>①读图与绘图；</w:t>
      </w:r>
    </w:p>
    <w:p w14:paraId="27A87F82">
      <w:pPr>
        <w:spacing w:before="112" w:line="217" w:lineRule="auto"/>
        <w:ind w:left="370"/>
        <w:rPr>
          <w:rFonts w:ascii="宋体" w:hAnsi="宋体" w:eastAsia="宋体" w:cs="宋体"/>
          <w:sz w:val="16"/>
          <w:szCs w:val="16"/>
        </w:rPr>
      </w:pPr>
      <w:r>
        <w:rPr>
          <w:rFonts w:ascii="宋体" w:hAnsi="宋体" w:eastAsia="宋体" w:cs="宋体"/>
          <w:spacing w:val="3"/>
          <w:sz w:val="16"/>
          <w:szCs w:val="16"/>
        </w:rPr>
        <w:t>②制定加工工艺；</w:t>
      </w:r>
    </w:p>
    <w:p w14:paraId="3DF8DA84">
      <w:pPr>
        <w:spacing w:before="92" w:line="217" w:lineRule="auto"/>
        <w:ind w:left="370"/>
        <w:rPr>
          <w:rFonts w:ascii="宋体" w:hAnsi="宋体" w:eastAsia="宋体" w:cs="宋体"/>
          <w:sz w:val="16"/>
          <w:szCs w:val="16"/>
        </w:rPr>
      </w:pPr>
      <w:r>
        <w:rPr>
          <w:rFonts w:ascii="宋体" w:hAnsi="宋体" w:eastAsia="宋体" w:cs="宋体"/>
          <w:spacing w:val="5"/>
          <w:sz w:val="16"/>
          <w:szCs w:val="16"/>
        </w:rPr>
        <w:t>③零件定位与装夹；</w:t>
      </w:r>
    </w:p>
    <w:p w14:paraId="0928558E">
      <w:pPr>
        <w:spacing w:before="102" w:line="217" w:lineRule="auto"/>
        <w:ind w:left="370"/>
        <w:rPr>
          <w:rFonts w:ascii="宋体" w:hAnsi="宋体" w:eastAsia="宋体" w:cs="宋体"/>
          <w:sz w:val="16"/>
          <w:szCs w:val="16"/>
        </w:rPr>
      </w:pPr>
      <w:r>
        <w:rPr>
          <w:rFonts w:ascii="宋体" w:hAnsi="宋体" w:eastAsia="宋体" w:cs="宋体"/>
          <w:spacing w:val="6"/>
          <w:sz w:val="16"/>
          <w:szCs w:val="16"/>
        </w:rPr>
        <w:t>④刀具准备。</w:t>
      </w:r>
    </w:p>
    <w:p w14:paraId="09FB5056">
      <w:pPr>
        <w:spacing w:before="104" w:line="219" w:lineRule="auto"/>
        <w:ind w:left="370"/>
        <w:rPr>
          <w:rFonts w:ascii="宋体" w:hAnsi="宋体" w:eastAsia="宋体" w:cs="宋体"/>
          <w:sz w:val="16"/>
          <w:szCs w:val="16"/>
        </w:rPr>
      </w:pPr>
      <w:r>
        <w:rPr>
          <w:rFonts w:ascii="宋体" w:hAnsi="宋体" w:eastAsia="宋体" w:cs="宋体"/>
          <w:spacing w:val="5"/>
          <w:sz w:val="16"/>
          <w:szCs w:val="16"/>
        </w:rPr>
        <w:t>2.</w:t>
      </w:r>
      <w:r>
        <w:rPr>
          <w:rFonts w:ascii="宋体" w:hAnsi="宋体" w:eastAsia="宋体" w:cs="宋体"/>
          <w:spacing w:val="-27"/>
          <w:sz w:val="16"/>
          <w:szCs w:val="16"/>
        </w:rPr>
        <w:t xml:space="preserve"> </w:t>
      </w:r>
      <w:r>
        <w:rPr>
          <w:rFonts w:ascii="宋体" w:hAnsi="宋体" w:eastAsia="宋体" w:cs="宋体"/>
          <w:spacing w:val="5"/>
          <w:sz w:val="16"/>
          <w:szCs w:val="16"/>
        </w:rPr>
        <w:t>数控编程手工编程。</w:t>
      </w:r>
    </w:p>
    <w:p w14:paraId="6EAB8949">
      <w:pPr>
        <w:spacing w:before="100" w:line="219" w:lineRule="auto"/>
        <w:ind w:left="370"/>
        <w:rPr>
          <w:rFonts w:ascii="宋体" w:hAnsi="宋体" w:eastAsia="宋体" w:cs="宋体"/>
          <w:sz w:val="16"/>
          <w:szCs w:val="16"/>
        </w:rPr>
      </w:pPr>
      <w:r>
        <w:rPr>
          <w:rFonts w:ascii="宋体" w:hAnsi="宋体" w:eastAsia="宋体" w:cs="宋体"/>
          <w:spacing w:val="7"/>
          <w:sz w:val="16"/>
          <w:szCs w:val="16"/>
        </w:rPr>
        <w:t>3.</w:t>
      </w:r>
      <w:r>
        <w:rPr>
          <w:rFonts w:ascii="宋体" w:hAnsi="宋体" w:eastAsia="宋体" w:cs="宋体"/>
          <w:spacing w:val="-37"/>
          <w:sz w:val="16"/>
          <w:szCs w:val="16"/>
        </w:rPr>
        <w:t xml:space="preserve"> </w:t>
      </w:r>
      <w:r>
        <w:rPr>
          <w:rFonts w:ascii="宋体" w:hAnsi="宋体" w:eastAsia="宋体" w:cs="宋体"/>
          <w:spacing w:val="7"/>
          <w:sz w:val="16"/>
          <w:szCs w:val="16"/>
        </w:rPr>
        <w:t>数控车床操作</w:t>
      </w:r>
    </w:p>
    <w:p w14:paraId="2F0EAC5C">
      <w:pPr>
        <w:spacing w:before="108" w:line="217" w:lineRule="auto"/>
        <w:ind w:left="370"/>
        <w:rPr>
          <w:rFonts w:ascii="宋体" w:hAnsi="宋体" w:eastAsia="宋体" w:cs="宋体"/>
          <w:sz w:val="16"/>
          <w:szCs w:val="16"/>
        </w:rPr>
      </w:pPr>
      <w:r>
        <w:rPr>
          <w:rFonts w:ascii="宋体" w:hAnsi="宋体" w:eastAsia="宋体" w:cs="宋体"/>
          <w:spacing w:val="1"/>
          <w:sz w:val="16"/>
          <w:szCs w:val="16"/>
        </w:rPr>
        <w:t>①操作面板；</w:t>
      </w:r>
    </w:p>
    <w:p w14:paraId="2EC0E65B">
      <w:pPr>
        <w:spacing w:before="112" w:line="276" w:lineRule="auto"/>
        <w:ind w:left="370" w:right="2349"/>
        <w:rPr>
          <w:rFonts w:ascii="宋体" w:hAnsi="宋体" w:eastAsia="宋体" w:cs="宋体"/>
          <w:sz w:val="16"/>
          <w:szCs w:val="16"/>
        </w:rPr>
      </w:pPr>
      <w:r>
        <w:rPr>
          <w:rFonts w:ascii="宋体" w:hAnsi="宋体" w:eastAsia="宋体" w:cs="宋体"/>
          <w:spacing w:val="5"/>
          <w:sz w:val="16"/>
          <w:szCs w:val="16"/>
        </w:rPr>
        <w:t>②程序编辑与输入；</w:t>
      </w:r>
      <w:r>
        <w:rPr>
          <w:rFonts w:ascii="宋体" w:hAnsi="宋体" w:eastAsia="宋体" w:cs="宋体"/>
          <w:spacing w:val="4"/>
          <w:sz w:val="16"/>
          <w:szCs w:val="16"/>
        </w:rPr>
        <w:t xml:space="preserve"> </w:t>
      </w:r>
      <w:r>
        <w:rPr>
          <w:rFonts w:ascii="宋体" w:hAnsi="宋体" w:eastAsia="宋体" w:cs="宋体"/>
          <w:spacing w:val="-1"/>
          <w:sz w:val="16"/>
          <w:szCs w:val="16"/>
        </w:rPr>
        <w:t>③对刀；</w:t>
      </w:r>
    </w:p>
    <w:p w14:paraId="5A5A2E41">
      <w:pPr>
        <w:spacing w:before="102" w:line="217" w:lineRule="auto"/>
        <w:ind w:left="370"/>
        <w:rPr>
          <w:rFonts w:ascii="宋体" w:hAnsi="宋体" w:eastAsia="宋体" w:cs="宋体"/>
          <w:sz w:val="16"/>
          <w:szCs w:val="16"/>
        </w:rPr>
      </w:pPr>
      <w:r>
        <w:rPr>
          <w:rFonts w:ascii="宋体" w:hAnsi="宋体" w:eastAsia="宋体" w:cs="宋体"/>
          <w:spacing w:val="7"/>
          <w:sz w:val="16"/>
          <w:szCs w:val="16"/>
        </w:rPr>
        <w:t>④程序校验与运行。</w:t>
      </w:r>
    </w:p>
    <w:p w14:paraId="72AFC04F">
      <w:pPr>
        <w:spacing w:before="84" w:line="219" w:lineRule="auto"/>
        <w:ind w:left="370"/>
        <w:rPr>
          <w:rFonts w:ascii="宋体" w:hAnsi="宋体" w:eastAsia="宋体" w:cs="宋体"/>
          <w:sz w:val="16"/>
          <w:szCs w:val="16"/>
        </w:rPr>
      </w:pPr>
      <w:r>
        <w:rPr>
          <w:rFonts w:ascii="宋体" w:hAnsi="宋体" w:eastAsia="宋体" w:cs="宋体"/>
          <w:spacing w:val="10"/>
          <w:sz w:val="16"/>
          <w:szCs w:val="16"/>
        </w:rPr>
        <w:t>4.</w:t>
      </w:r>
      <w:r>
        <w:rPr>
          <w:rFonts w:ascii="宋体" w:hAnsi="宋体" w:eastAsia="宋体" w:cs="宋体"/>
          <w:spacing w:val="-43"/>
          <w:sz w:val="16"/>
          <w:szCs w:val="16"/>
        </w:rPr>
        <w:t xml:space="preserve"> </w:t>
      </w:r>
      <w:r>
        <w:rPr>
          <w:rFonts w:ascii="宋体" w:hAnsi="宋体" w:eastAsia="宋体" w:cs="宋体"/>
          <w:spacing w:val="10"/>
          <w:sz w:val="16"/>
          <w:szCs w:val="16"/>
        </w:rPr>
        <w:t>零件加工</w:t>
      </w:r>
    </w:p>
    <w:p w14:paraId="6EC5BF22">
      <w:pPr>
        <w:spacing w:before="108" w:line="217" w:lineRule="auto"/>
        <w:ind w:left="370"/>
        <w:rPr>
          <w:rFonts w:ascii="宋体" w:hAnsi="宋体" w:eastAsia="宋体" w:cs="宋体"/>
          <w:sz w:val="16"/>
          <w:szCs w:val="16"/>
        </w:rPr>
      </w:pPr>
      <w:r>
        <w:rPr>
          <w:rFonts w:ascii="宋体" w:hAnsi="宋体" w:eastAsia="宋体" w:cs="宋体"/>
          <w:spacing w:val="1"/>
          <w:sz w:val="16"/>
          <w:szCs w:val="16"/>
        </w:rPr>
        <w:t>①轮廓加工；</w:t>
      </w:r>
    </w:p>
    <w:p w14:paraId="756F0FC0">
      <w:pPr>
        <w:spacing w:before="112" w:line="217" w:lineRule="auto"/>
        <w:ind w:left="370"/>
        <w:rPr>
          <w:rFonts w:ascii="宋体" w:hAnsi="宋体" w:eastAsia="宋体" w:cs="宋体"/>
          <w:sz w:val="16"/>
          <w:szCs w:val="16"/>
        </w:rPr>
      </w:pPr>
      <w:r>
        <w:rPr>
          <w:rFonts w:ascii="宋体" w:hAnsi="宋体" w:eastAsia="宋体" w:cs="宋体"/>
          <w:spacing w:val="1"/>
          <w:sz w:val="16"/>
          <w:szCs w:val="16"/>
        </w:rPr>
        <w:t>②螺纹加工；</w:t>
      </w:r>
    </w:p>
    <w:p w14:paraId="2C6D7336">
      <w:pPr>
        <w:spacing w:before="102" w:line="217" w:lineRule="auto"/>
        <w:ind w:left="370"/>
        <w:rPr>
          <w:rFonts w:ascii="宋体" w:hAnsi="宋体" w:eastAsia="宋体" w:cs="宋体"/>
          <w:sz w:val="16"/>
          <w:szCs w:val="16"/>
        </w:rPr>
      </w:pPr>
      <w:r>
        <w:rPr>
          <w:rFonts w:ascii="宋体" w:hAnsi="宋体" w:eastAsia="宋体" w:cs="宋体"/>
          <w:spacing w:val="1"/>
          <w:sz w:val="16"/>
          <w:szCs w:val="16"/>
        </w:rPr>
        <w:t>③槽类加工；</w:t>
      </w:r>
    </w:p>
    <w:p w14:paraId="4AF22298">
      <w:pPr>
        <w:spacing w:before="102" w:line="217" w:lineRule="auto"/>
        <w:ind w:left="370"/>
        <w:rPr>
          <w:rFonts w:ascii="宋体" w:hAnsi="宋体" w:eastAsia="宋体" w:cs="宋体"/>
          <w:sz w:val="16"/>
          <w:szCs w:val="16"/>
        </w:rPr>
      </w:pPr>
      <w:r>
        <w:rPr>
          <w:rFonts w:ascii="宋体" w:hAnsi="宋体" w:eastAsia="宋体" w:cs="宋体"/>
          <w:spacing w:val="2"/>
          <w:sz w:val="16"/>
          <w:szCs w:val="16"/>
        </w:rPr>
        <w:t>④孔加工；</w:t>
      </w:r>
    </w:p>
    <w:p w14:paraId="140FCCCF">
      <w:pPr>
        <w:spacing w:before="102" w:line="217" w:lineRule="auto"/>
        <w:ind w:left="370"/>
        <w:rPr>
          <w:rFonts w:ascii="宋体" w:hAnsi="宋体" w:eastAsia="宋体" w:cs="宋体"/>
          <w:sz w:val="16"/>
          <w:szCs w:val="16"/>
        </w:rPr>
      </w:pPr>
      <w:r>
        <w:rPr>
          <w:rFonts w:ascii="宋体" w:hAnsi="宋体" w:eastAsia="宋体" w:cs="宋体"/>
          <w:spacing w:val="3"/>
          <w:sz w:val="16"/>
          <w:szCs w:val="16"/>
        </w:rPr>
        <w:t>⑤零件精度检验。</w:t>
      </w:r>
    </w:p>
    <w:p w14:paraId="51F16DB4">
      <w:pPr>
        <w:spacing w:before="93" w:line="273" w:lineRule="auto"/>
        <w:ind w:left="349" w:right="2098" w:firstLine="20"/>
        <w:rPr>
          <w:rFonts w:ascii="宋体" w:hAnsi="宋体" w:eastAsia="宋体" w:cs="宋体"/>
          <w:sz w:val="16"/>
          <w:szCs w:val="16"/>
        </w:rPr>
      </w:pPr>
      <w:r>
        <w:rPr>
          <w:rFonts w:ascii="宋体" w:hAnsi="宋体" w:eastAsia="宋体" w:cs="宋体"/>
          <w:spacing w:val="7"/>
          <w:sz w:val="16"/>
          <w:szCs w:val="16"/>
        </w:rPr>
        <w:t>5.</w:t>
      </w:r>
      <w:r>
        <w:rPr>
          <w:rFonts w:ascii="宋体" w:hAnsi="宋体" w:eastAsia="宋体" w:cs="宋体"/>
          <w:spacing w:val="-17"/>
          <w:sz w:val="16"/>
          <w:szCs w:val="16"/>
        </w:rPr>
        <w:t xml:space="preserve"> </w:t>
      </w:r>
      <w:r>
        <w:rPr>
          <w:rFonts w:ascii="宋体" w:hAnsi="宋体" w:eastAsia="宋体" w:cs="宋体"/>
          <w:spacing w:val="7"/>
          <w:sz w:val="16"/>
          <w:szCs w:val="16"/>
        </w:rPr>
        <w:t>安全文明生产及其它</w:t>
      </w:r>
      <w:r>
        <w:rPr>
          <w:rFonts w:ascii="宋体" w:hAnsi="宋体" w:eastAsia="宋体" w:cs="宋体"/>
          <w:sz w:val="16"/>
          <w:szCs w:val="16"/>
        </w:rPr>
        <w:t xml:space="preserve"> </w:t>
      </w:r>
      <w:r>
        <w:rPr>
          <w:rFonts w:ascii="宋体" w:hAnsi="宋体" w:eastAsia="宋体" w:cs="宋体"/>
          <w:spacing w:val="13"/>
          <w:sz w:val="16"/>
          <w:szCs w:val="16"/>
        </w:rPr>
        <w:t>【测试要求】</w:t>
      </w:r>
    </w:p>
    <w:p w14:paraId="64C539C1">
      <w:pPr>
        <w:spacing w:before="117" w:line="266" w:lineRule="auto"/>
        <w:ind w:right="119" w:firstLine="370"/>
        <w:rPr>
          <w:rFonts w:ascii="宋体" w:hAnsi="宋体" w:eastAsia="宋体" w:cs="宋体"/>
          <w:sz w:val="16"/>
          <w:szCs w:val="16"/>
        </w:rPr>
      </w:pPr>
      <w:r>
        <w:rPr>
          <w:rFonts w:ascii="宋体" w:hAnsi="宋体" w:eastAsia="宋体" w:cs="宋体"/>
          <w:spacing w:val="14"/>
          <w:sz w:val="16"/>
          <w:szCs w:val="16"/>
        </w:rPr>
        <w:t>1.</w:t>
      </w:r>
      <w:r>
        <w:rPr>
          <w:rFonts w:ascii="宋体" w:hAnsi="宋体" w:eastAsia="宋体" w:cs="宋体"/>
          <w:spacing w:val="-29"/>
          <w:sz w:val="16"/>
          <w:szCs w:val="16"/>
        </w:rPr>
        <w:t xml:space="preserve"> </w:t>
      </w:r>
      <w:r>
        <w:rPr>
          <w:rFonts w:ascii="宋体" w:hAnsi="宋体" w:eastAsia="宋体" w:cs="宋体"/>
          <w:spacing w:val="14"/>
          <w:sz w:val="16"/>
          <w:szCs w:val="16"/>
        </w:rPr>
        <w:t>根据图样分析加工工艺，编写零件加工程序，</w:t>
      </w:r>
      <w:r>
        <w:rPr>
          <w:rFonts w:ascii="宋体" w:hAnsi="宋体" w:eastAsia="宋体" w:cs="宋体"/>
          <w:sz w:val="16"/>
          <w:szCs w:val="16"/>
        </w:rPr>
        <w:t xml:space="preserve"> </w:t>
      </w:r>
      <w:r>
        <w:rPr>
          <w:rFonts w:ascii="宋体" w:hAnsi="宋体" w:eastAsia="宋体" w:cs="宋体"/>
          <w:spacing w:val="5"/>
          <w:sz w:val="16"/>
          <w:szCs w:val="16"/>
        </w:rPr>
        <w:t>填写加工工艺卡片；</w:t>
      </w:r>
    </w:p>
    <w:p w14:paraId="0ACC5B28">
      <w:pPr>
        <w:spacing w:before="120" w:line="265" w:lineRule="auto"/>
        <w:ind w:right="73" w:firstLine="370"/>
        <w:rPr>
          <w:rFonts w:ascii="宋体" w:hAnsi="宋体" w:eastAsia="宋体" w:cs="宋体"/>
          <w:sz w:val="16"/>
          <w:szCs w:val="16"/>
        </w:rPr>
      </w:pPr>
      <w:r>
        <w:rPr>
          <w:rFonts w:ascii="宋体" w:hAnsi="宋体" w:eastAsia="宋体" w:cs="宋体"/>
          <w:spacing w:val="15"/>
          <w:sz w:val="16"/>
          <w:szCs w:val="16"/>
        </w:rPr>
        <w:t>2.</w:t>
      </w:r>
      <w:r>
        <w:rPr>
          <w:rFonts w:ascii="宋体" w:hAnsi="宋体" w:eastAsia="宋体" w:cs="宋体"/>
          <w:spacing w:val="-5"/>
          <w:sz w:val="16"/>
          <w:szCs w:val="16"/>
        </w:rPr>
        <w:t xml:space="preserve"> </w:t>
      </w:r>
      <w:r>
        <w:rPr>
          <w:rFonts w:ascii="宋体" w:hAnsi="宋体" w:eastAsia="宋体" w:cs="宋体"/>
          <w:spacing w:val="15"/>
          <w:sz w:val="16"/>
          <w:szCs w:val="16"/>
        </w:rPr>
        <w:t>要求考生运用数控加工手段，加工工件达到零</w:t>
      </w:r>
      <w:r>
        <w:rPr>
          <w:rFonts w:ascii="宋体" w:hAnsi="宋体" w:eastAsia="宋体" w:cs="宋体"/>
          <w:sz w:val="16"/>
          <w:szCs w:val="16"/>
        </w:rPr>
        <w:t xml:space="preserve"> </w:t>
      </w:r>
      <w:r>
        <w:rPr>
          <w:rFonts w:ascii="宋体" w:hAnsi="宋体" w:eastAsia="宋体" w:cs="宋体"/>
          <w:spacing w:val="3"/>
          <w:sz w:val="16"/>
          <w:szCs w:val="16"/>
        </w:rPr>
        <w:t>件图纸技术要求；</w:t>
      </w:r>
    </w:p>
    <w:p w14:paraId="11658ADF">
      <w:pPr>
        <w:spacing w:before="109" w:line="292" w:lineRule="auto"/>
        <w:ind w:firstLine="370"/>
        <w:rPr>
          <w:rFonts w:ascii="宋体" w:hAnsi="宋体" w:eastAsia="宋体" w:cs="宋体"/>
          <w:sz w:val="16"/>
          <w:szCs w:val="16"/>
        </w:rPr>
      </w:pPr>
      <w:r>
        <w:rPr>
          <w:rFonts w:ascii="宋体" w:hAnsi="宋体" w:eastAsia="宋体" w:cs="宋体"/>
          <w:spacing w:val="16"/>
          <w:sz w:val="16"/>
          <w:szCs w:val="16"/>
        </w:rPr>
        <w:t>3.</w:t>
      </w:r>
      <w:r>
        <w:rPr>
          <w:rFonts w:ascii="宋体" w:hAnsi="宋体" w:eastAsia="宋体" w:cs="宋体"/>
          <w:spacing w:val="-21"/>
          <w:sz w:val="16"/>
          <w:szCs w:val="16"/>
        </w:rPr>
        <w:t xml:space="preserve"> </w:t>
      </w:r>
      <w:r>
        <w:rPr>
          <w:rFonts w:ascii="宋体" w:hAnsi="宋体" w:eastAsia="宋体" w:cs="宋体"/>
          <w:spacing w:val="16"/>
          <w:sz w:val="16"/>
          <w:szCs w:val="16"/>
        </w:rPr>
        <w:t>熟练操作数控车床车削轴套类零件，公</w:t>
      </w:r>
      <w:r>
        <w:rPr>
          <w:rFonts w:ascii="宋体" w:hAnsi="宋体" w:eastAsia="宋体" w:cs="宋体"/>
          <w:spacing w:val="15"/>
          <w:sz w:val="16"/>
          <w:szCs w:val="16"/>
        </w:rPr>
        <w:t>差等级</w:t>
      </w:r>
      <w:r>
        <w:rPr>
          <w:rFonts w:ascii="宋体" w:hAnsi="宋体" w:eastAsia="宋体" w:cs="宋体"/>
          <w:sz w:val="16"/>
          <w:szCs w:val="16"/>
        </w:rPr>
        <w:t xml:space="preserve">  </w:t>
      </w:r>
      <w:r>
        <w:rPr>
          <w:rFonts w:ascii="宋体" w:hAnsi="宋体" w:eastAsia="宋体" w:cs="宋体"/>
          <w:spacing w:val="5"/>
          <w:sz w:val="16"/>
          <w:szCs w:val="16"/>
        </w:rPr>
        <w:t>达</w:t>
      </w:r>
      <w:r>
        <w:rPr>
          <w:rFonts w:ascii="宋体" w:hAnsi="宋体" w:eastAsia="宋体" w:cs="宋体"/>
          <w:spacing w:val="-34"/>
          <w:sz w:val="16"/>
          <w:szCs w:val="16"/>
        </w:rPr>
        <w:t xml:space="preserve"> </w:t>
      </w:r>
      <w:r>
        <w:rPr>
          <w:rFonts w:ascii="Times New Roman" w:hAnsi="Times New Roman" w:eastAsia="Times New Roman" w:cs="Times New Roman"/>
          <w:sz w:val="16"/>
          <w:szCs w:val="16"/>
        </w:rPr>
        <w:t>IT</w:t>
      </w:r>
      <w:r>
        <w:rPr>
          <w:rFonts w:ascii="Times New Roman" w:hAnsi="Times New Roman" w:eastAsia="Times New Roman" w:cs="Times New Roman"/>
          <w:spacing w:val="5"/>
          <w:sz w:val="16"/>
          <w:szCs w:val="16"/>
        </w:rPr>
        <w:t>7</w:t>
      </w:r>
      <w:r>
        <w:rPr>
          <w:rFonts w:ascii="宋体" w:hAnsi="宋体" w:eastAsia="宋体" w:cs="宋体"/>
          <w:spacing w:val="5"/>
          <w:sz w:val="16"/>
          <w:szCs w:val="16"/>
        </w:rPr>
        <w:t>～</w:t>
      </w:r>
      <w:r>
        <w:rPr>
          <w:rFonts w:ascii="Times New Roman" w:hAnsi="Times New Roman" w:eastAsia="Times New Roman" w:cs="Times New Roman"/>
          <w:sz w:val="16"/>
          <w:szCs w:val="16"/>
        </w:rPr>
        <w:t>IT</w:t>
      </w:r>
      <w:r>
        <w:rPr>
          <w:rFonts w:ascii="Times New Roman" w:hAnsi="Times New Roman" w:eastAsia="Times New Roman" w:cs="Times New Roman"/>
          <w:spacing w:val="5"/>
          <w:sz w:val="16"/>
          <w:szCs w:val="16"/>
        </w:rPr>
        <w:t xml:space="preserve">8,     </w:t>
      </w:r>
      <w:r>
        <w:rPr>
          <w:rFonts w:ascii="宋体" w:hAnsi="宋体" w:eastAsia="宋体" w:cs="宋体"/>
          <w:spacing w:val="5"/>
          <w:sz w:val="16"/>
          <w:szCs w:val="16"/>
        </w:rPr>
        <w:t>表面粗糙度不低于</w:t>
      </w:r>
      <w:r>
        <w:rPr>
          <w:rFonts w:ascii="Times New Roman" w:hAnsi="Times New Roman" w:eastAsia="Times New Roman" w:cs="Times New Roman"/>
          <w:sz w:val="16"/>
          <w:szCs w:val="16"/>
        </w:rPr>
        <w:t>Ra</w:t>
      </w:r>
      <w:r>
        <w:rPr>
          <w:rFonts w:ascii="Times New Roman" w:hAnsi="Times New Roman" w:eastAsia="Times New Roman" w:cs="Times New Roman"/>
          <w:spacing w:val="5"/>
          <w:sz w:val="16"/>
          <w:szCs w:val="16"/>
        </w:rPr>
        <w:t>3.2</w:t>
      </w:r>
      <w:r>
        <w:rPr>
          <w:rFonts w:ascii="Times New Roman" w:hAnsi="Times New Roman" w:eastAsia="Times New Roman" w:cs="Times New Roman"/>
          <w:spacing w:val="-18"/>
          <w:sz w:val="16"/>
          <w:szCs w:val="16"/>
        </w:rPr>
        <w:t xml:space="preserve"> </w:t>
      </w:r>
      <w:r>
        <w:rPr>
          <w:rFonts w:ascii="宋体" w:hAnsi="宋体" w:eastAsia="宋体" w:cs="宋体"/>
          <w:spacing w:val="5"/>
          <w:sz w:val="16"/>
          <w:szCs w:val="16"/>
        </w:rPr>
        <w:t>。</w:t>
      </w:r>
      <w:r>
        <w:rPr>
          <w:rFonts w:ascii="宋体" w:hAnsi="宋体" w:eastAsia="宋体" w:cs="宋体"/>
          <w:spacing w:val="-44"/>
          <w:sz w:val="16"/>
          <w:szCs w:val="16"/>
        </w:rPr>
        <w:t xml:space="preserve"> </w:t>
      </w:r>
      <w:r>
        <w:rPr>
          <w:rFonts w:ascii="宋体" w:hAnsi="宋体" w:eastAsia="宋体" w:cs="宋体"/>
          <w:spacing w:val="5"/>
          <w:sz w:val="16"/>
          <w:szCs w:val="16"/>
        </w:rPr>
        <w:t>能车削圆柱面、</w:t>
      </w:r>
      <w:r>
        <w:rPr>
          <w:rFonts w:ascii="宋体" w:hAnsi="宋体" w:eastAsia="宋体" w:cs="宋体"/>
          <w:sz w:val="16"/>
          <w:szCs w:val="16"/>
        </w:rPr>
        <w:t xml:space="preserve"> </w:t>
      </w:r>
      <w:r>
        <w:rPr>
          <w:rFonts w:ascii="宋体" w:hAnsi="宋体" w:eastAsia="宋体" w:cs="宋体"/>
          <w:spacing w:val="8"/>
          <w:sz w:val="16"/>
          <w:szCs w:val="16"/>
        </w:rPr>
        <w:t>弧面、内孔、普通三角螺纹及矩形沟槽。</w:t>
      </w:r>
    </w:p>
    <w:p w14:paraId="1DE7B3B8">
      <w:pPr>
        <w:spacing w:before="102" w:line="220" w:lineRule="auto"/>
        <w:ind w:left="349"/>
        <w:rPr>
          <w:rFonts w:ascii="宋体" w:hAnsi="宋体" w:eastAsia="宋体" w:cs="宋体"/>
          <w:sz w:val="16"/>
          <w:szCs w:val="16"/>
        </w:rPr>
      </w:pPr>
      <w:r>
        <w:rPr>
          <w:rFonts w:ascii="宋体" w:hAnsi="宋体" w:eastAsia="宋体" w:cs="宋体"/>
          <w:spacing w:val="10"/>
          <w:sz w:val="16"/>
          <w:szCs w:val="16"/>
        </w:rPr>
        <w:t>【测试赋分】</w:t>
      </w:r>
    </w:p>
    <w:p w14:paraId="755DC397">
      <w:pPr>
        <w:spacing w:before="119" w:line="266" w:lineRule="auto"/>
        <w:ind w:right="99" w:firstLine="370"/>
        <w:rPr>
          <w:rFonts w:ascii="宋体" w:hAnsi="宋体" w:eastAsia="宋体" w:cs="宋体"/>
          <w:sz w:val="16"/>
          <w:szCs w:val="16"/>
        </w:rPr>
      </w:pPr>
      <w:r>
        <w:rPr>
          <w:rFonts w:ascii="宋体" w:hAnsi="宋体" w:eastAsia="宋体" w:cs="宋体"/>
          <w:spacing w:val="14"/>
          <w:sz w:val="16"/>
          <w:szCs w:val="16"/>
        </w:rPr>
        <w:t>1.</w:t>
      </w:r>
      <w:r>
        <w:rPr>
          <w:rFonts w:ascii="宋体" w:hAnsi="宋体" w:eastAsia="宋体" w:cs="宋体"/>
          <w:spacing w:val="-9"/>
          <w:sz w:val="16"/>
          <w:szCs w:val="16"/>
        </w:rPr>
        <w:t xml:space="preserve"> </w:t>
      </w:r>
      <w:r>
        <w:rPr>
          <w:rFonts w:ascii="宋体" w:hAnsi="宋体" w:eastAsia="宋体" w:cs="宋体"/>
          <w:spacing w:val="14"/>
          <w:sz w:val="16"/>
          <w:szCs w:val="16"/>
        </w:rPr>
        <w:t>按所给的工艺卡片合理填写工序内容、夹具、</w:t>
      </w:r>
      <w:r>
        <w:rPr>
          <w:rFonts w:ascii="宋体" w:hAnsi="宋体" w:eastAsia="宋体" w:cs="宋体"/>
          <w:sz w:val="16"/>
          <w:szCs w:val="16"/>
        </w:rPr>
        <w:t xml:space="preserve"> </w:t>
      </w:r>
      <w:r>
        <w:rPr>
          <w:rFonts w:ascii="宋体" w:hAnsi="宋体" w:eastAsia="宋体" w:cs="宋体"/>
          <w:spacing w:val="18"/>
          <w:sz w:val="16"/>
          <w:szCs w:val="16"/>
        </w:rPr>
        <w:t>工具、量具25分</w:t>
      </w:r>
    </w:p>
    <w:p w14:paraId="5A204359">
      <w:pPr>
        <w:spacing w:before="108" w:line="219" w:lineRule="auto"/>
        <w:ind w:left="370"/>
        <w:rPr>
          <w:rFonts w:ascii="宋体" w:hAnsi="宋体" w:eastAsia="宋体" w:cs="宋体"/>
          <w:sz w:val="16"/>
          <w:szCs w:val="16"/>
        </w:rPr>
      </w:pPr>
      <w:r>
        <w:rPr>
          <w:rFonts w:ascii="宋体" w:hAnsi="宋体" w:eastAsia="宋体" w:cs="宋体"/>
          <w:spacing w:val="16"/>
          <w:sz w:val="16"/>
          <w:szCs w:val="16"/>
        </w:rPr>
        <w:t>2.</w:t>
      </w:r>
      <w:r>
        <w:rPr>
          <w:rFonts w:ascii="宋体" w:hAnsi="宋体" w:eastAsia="宋体" w:cs="宋体"/>
          <w:spacing w:val="-31"/>
          <w:sz w:val="16"/>
          <w:szCs w:val="16"/>
        </w:rPr>
        <w:t xml:space="preserve"> </w:t>
      </w:r>
      <w:r>
        <w:rPr>
          <w:rFonts w:ascii="宋体" w:hAnsi="宋体" w:eastAsia="宋体" w:cs="宋体"/>
          <w:spacing w:val="16"/>
          <w:sz w:val="16"/>
          <w:szCs w:val="16"/>
        </w:rPr>
        <w:t>基本操作规范30分</w:t>
      </w:r>
    </w:p>
    <w:p w14:paraId="2D896EBE">
      <w:pPr>
        <w:spacing w:before="90" w:line="219" w:lineRule="auto"/>
        <w:ind w:left="370"/>
        <w:rPr>
          <w:rFonts w:ascii="宋体" w:hAnsi="宋体" w:eastAsia="宋体" w:cs="宋体"/>
          <w:sz w:val="16"/>
          <w:szCs w:val="16"/>
        </w:rPr>
      </w:pPr>
      <w:r>
        <w:rPr>
          <w:rFonts w:ascii="宋体" w:hAnsi="宋体" w:eastAsia="宋体" w:cs="宋体"/>
          <w:spacing w:val="14"/>
          <w:sz w:val="16"/>
          <w:szCs w:val="16"/>
        </w:rPr>
        <w:t>3.</w:t>
      </w:r>
      <w:r>
        <w:rPr>
          <w:rFonts w:ascii="宋体" w:hAnsi="宋体" w:eastAsia="宋体" w:cs="宋体"/>
          <w:spacing w:val="-39"/>
          <w:sz w:val="16"/>
          <w:szCs w:val="16"/>
        </w:rPr>
        <w:t xml:space="preserve"> </w:t>
      </w:r>
      <w:r>
        <w:rPr>
          <w:rFonts w:ascii="宋体" w:hAnsi="宋体" w:eastAsia="宋体" w:cs="宋体"/>
          <w:spacing w:val="14"/>
          <w:sz w:val="16"/>
          <w:szCs w:val="16"/>
        </w:rPr>
        <w:t>零件形位精度40分</w:t>
      </w:r>
    </w:p>
    <w:p w14:paraId="55385A52">
      <w:pPr>
        <w:spacing w:before="110" w:line="219" w:lineRule="auto"/>
        <w:ind w:left="370"/>
        <w:rPr>
          <w:rFonts w:ascii="宋体" w:hAnsi="宋体" w:eastAsia="宋体" w:cs="宋体"/>
          <w:sz w:val="16"/>
          <w:szCs w:val="16"/>
        </w:rPr>
      </w:pPr>
      <w:r>
        <w:rPr>
          <w:rFonts w:ascii="宋体" w:hAnsi="宋体" w:eastAsia="宋体" w:cs="宋体"/>
          <w:spacing w:val="14"/>
          <w:sz w:val="16"/>
          <w:szCs w:val="16"/>
        </w:rPr>
        <w:t>4.</w:t>
      </w:r>
      <w:r>
        <w:rPr>
          <w:rFonts w:ascii="宋体" w:hAnsi="宋体" w:eastAsia="宋体" w:cs="宋体"/>
          <w:spacing w:val="-35"/>
          <w:sz w:val="16"/>
          <w:szCs w:val="16"/>
        </w:rPr>
        <w:t xml:space="preserve"> </w:t>
      </w:r>
      <w:r>
        <w:rPr>
          <w:rFonts w:ascii="宋体" w:hAnsi="宋体" w:eastAsia="宋体" w:cs="宋体"/>
          <w:spacing w:val="14"/>
          <w:sz w:val="16"/>
          <w:szCs w:val="16"/>
        </w:rPr>
        <w:t>加工零件的尺寸精度100分</w:t>
      </w:r>
    </w:p>
    <w:p w14:paraId="4B48E049">
      <w:pPr>
        <w:spacing w:before="102" w:line="219" w:lineRule="auto"/>
        <w:ind w:left="370"/>
        <w:rPr>
          <w:rFonts w:ascii="宋体" w:hAnsi="宋体" w:eastAsia="宋体" w:cs="宋体"/>
          <w:sz w:val="16"/>
          <w:szCs w:val="16"/>
        </w:rPr>
      </w:pPr>
      <w:r>
        <w:rPr>
          <w:rFonts w:ascii="宋体" w:hAnsi="宋体" w:eastAsia="宋体" w:cs="宋体"/>
          <w:spacing w:val="13"/>
          <w:sz w:val="16"/>
          <w:szCs w:val="16"/>
        </w:rPr>
        <w:t>5.</w:t>
      </w:r>
      <w:r>
        <w:rPr>
          <w:rFonts w:ascii="宋体" w:hAnsi="宋体" w:eastAsia="宋体" w:cs="宋体"/>
          <w:spacing w:val="-20"/>
          <w:sz w:val="16"/>
          <w:szCs w:val="16"/>
        </w:rPr>
        <w:t xml:space="preserve"> </w:t>
      </w:r>
      <w:r>
        <w:rPr>
          <w:rFonts w:ascii="宋体" w:hAnsi="宋体" w:eastAsia="宋体" w:cs="宋体"/>
          <w:spacing w:val="13"/>
          <w:sz w:val="16"/>
          <w:szCs w:val="16"/>
        </w:rPr>
        <w:t>加工零件的表面粗糙度30分</w:t>
      </w:r>
    </w:p>
    <w:p w14:paraId="568DB4A6">
      <w:pPr>
        <w:spacing w:before="90" w:line="184" w:lineRule="auto"/>
        <w:ind w:left="370"/>
        <w:rPr>
          <w:rFonts w:ascii="宋体" w:hAnsi="宋体" w:eastAsia="宋体" w:cs="宋体"/>
          <w:sz w:val="16"/>
          <w:szCs w:val="16"/>
        </w:rPr>
      </w:pPr>
      <w:r>
        <w:rPr>
          <w:rFonts w:ascii="宋体" w:hAnsi="宋体" w:eastAsia="宋体" w:cs="宋体"/>
          <w:spacing w:val="12"/>
          <w:sz w:val="16"/>
          <w:szCs w:val="16"/>
        </w:rPr>
        <w:t>6.</w:t>
      </w:r>
      <w:r>
        <w:rPr>
          <w:rFonts w:ascii="宋体" w:hAnsi="宋体" w:eastAsia="宋体" w:cs="宋体"/>
          <w:spacing w:val="-5"/>
          <w:sz w:val="16"/>
          <w:szCs w:val="16"/>
        </w:rPr>
        <w:t xml:space="preserve"> </w:t>
      </w:r>
      <w:r>
        <w:rPr>
          <w:rFonts w:ascii="宋体" w:hAnsi="宋体" w:eastAsia="宋体" w:cs="宋体"/>
          <w:spacing w:val="12"/>
          <w:sz w:val="16"/>
          <w:szCs w:val="16"/>
        </w:rPr>
        <w:t>根据职业素养评分要求，现场给分25分</w:t>
      </w:r>
    </w:p>
    <w:p w14:paraId="67855BD4">
      <w:pPr>
        <w:spacing w:line="184" w:lineRule="auto"/>
        <w:rPr>
          <w:rFonts w:ascii="宋体" w:hAnsi="宋体" w:eastAsia="宋体" w:cs="宋体"/>
          <w:sz w:val="16"/>
          <w:szCs w:val="16"/>
        </w:rPr>
        <w:sectPr>
          <w:type w:val="continuous"/>
          <w:pgSz w:w="10660" w:h="15080"/>
          <w:pgMar w:top="400" w:right="840" w:bottom="927" w:left="1019" w:header="0" w:footer="719" w:gutter="0"/>
          <w:cols w:equalWidth="0" w:num="2">
            <w:col w:w="4491" w:space="100"/>
            <w:col w:w="4210"/>
          </w:cols>
        </w:sectPr>
      </w:pPr>
    </w:p>
    <w:p w14:paraId="51C85950">
      <w:pPr>
        <w:spacing w:before="5"/>
      </w:pPr>
    </w:p>
    <w:p w14:paraId="6A014D82">
      <w:pPr>
        <w:spacing w:before="5"/>
      </w:pPr>
    </w:p>
    <w:p w14:paraId="2D2FAB05">
      <w:pPr>
        <w:spacing w:before="5"/>
      </w:pPr>
    </w:p>
    <w:p w14:paraId="52C41A20">
      <w:pPr>
        <w:spacing w:before="4"/>
      </w:pPr>
    </w:p>
    <w:p w14:paraId="3090DF71">
      <w:pPr>
        <w:sectPr>
          <w:footerReference r:id="rId106" w:type="default"/>
          <w:pgSz w:w="10660" w:h="15080"/>
          <w:pgMar w:top="400" w:right="990" w:bottom="917" w:left="819" w:header="0" w:footer="709" w:gutter="0"/>
          <w:cols w:equalWidth="0" w:num="1">
            <w:col w:w="8851"/>
          </w:cols>
        </w:sectPr>
      </w:pPr>
    </w:p>
    <w:p w14:paraId="283C601E">
      <w:pPr>
        <w:spacing w:before="59" w:line="219" w:lineRule="auto"/>
        <w:ind w:left="2"/>
        <w:rPr>
          <w:rFonts w:ascii="宋体" w:hAnsi="宋体" w:eastAsia="宋体" w:cs="宋体"/>
          <w:sz w:val="16"/>
          <w:szCs w:val="16"/>
        </w:rPr>
      </w:pPr>
      <w:r>
        <w:rPr>
          <w:rFonts w:ascii="宋体" w:hAnsi="宋体" w:eastAsia="宋体" w:cs="宋体"/>
          <w:b/>
          <w:bCs/>
          <w:spacing w:val="-8"/>
          <w:sz w:val="16"/>
          <w:szCs w:val="16"/>
        </w:rPr>
        <w:t>项</w:t>
      </w:r>
      <w:r>
        <w:rPr>
          <w:rFonts w:ascii="宋体" w:hAnsi="宋体" w:eastAsia="宋体" w:cs="宋体"/>
          <w:spacing w:val="-8"/>
          <w:sz w:val="16"/>
          <w:szCs w:val="16"/>
        </w:rPr>
        <w:t xml:space="preserve"> </w:t>
      </w:r>
      <w:r>
        <w:rPr>
          <w:rFonts w:ascii="宋体" w:hAnsi="宋体" w:eastAsia="宋体" w:cs="宋体"/>
          <w:b/>
          <w:bCs/>
          <w:spacing w:val="-8"/>
          <w:sz w:val="16"/>
          <w:szCs w:val="16"/>
        </w:rPr>
        <w:t>目</w:t>
      </w:r>
      <w:r>
        <w:rPr>
          <w:rFonts w:ascii="宋体" w:hAnsi="宋体" w:eastAsia="宋体" w:cs="宋体"/>
          <w:spacing w:val="-4"/>
          <w:sz w:val="16"/>
          <w:szCs w:val="16"/>
        </w:rPr>
        <w:t xml:space="preserve"> </w:t>
      </w:r>
      <w:r>
        <w:rPr>
          <w:rFonts w:ascii="宋体" w:hAnsi="宋体" w:eastAsia="宋体" w:cs="宋体"/>
          <w:b/>
          <w:bCs/>
          <w:spacing w:val="-8"/>
          <w:sz w:val="16"/>
          <w:szCs w:val="16"/>
        </w:rPr>
        <w:t>四</w:t>
      </w:r>
      <w:r>
        <w:rPr>
          <w:rFonts w:ascii="宋体" w:hAnsi="宋体" w:eastAsia="宋体" w:cs="宋体"/>
          <w:spacing w:val="-8"/>
          <w:sz w:val="16"/>
          <w:szCs w:val="16"/>
        </w:rPr>
        <w:t xml:space="preserve">   </w:t>
      </w:r>
      <w:r>
        <w:rPr>
          <w:rFonts w:ascii="宋体" w:hAnsi="宋体" w:eastAsia="宋体" w:cs="宋体"/>
          <w:b/>
          <w:bCs/>
          <w:spacing w:val="-8"/>
          <w:sz w:val="16"/>
          <w:szCs w:val="16"/>
        </w:rPr>
        <w:t>零</w:t>
      </w:r>
      <w:r>
        <w:rPr>
          <w:rFonts w:ascii="宋体" w:hAnsi="宋体" w:eastAsia="宋体" w:cs="宋体"/>
          <w:spacing w:val="-21"/>
          <w:sz w:val="16"/>
          <w:szCs w:val="16"/>
        </w:rPr>
        <w:t xml:space="preserve"> </w:t>
      </w:r>
      <w:r>
        <w:rPr>
          <w:rFonts w:ascii="宋体" w:hAnsi="宋体" w:eastAsia="宋体" w:cs="宋体"/>
          <w:b/>
          <w:bCs/>
          <w:spacing w:val="-8"/>
          <w:sz w:val="16"/>
          <w:szCs w:val="16"/>
        </w:rPr>
        <w:t>部</w:t>
      </w:r>
      <w:r>
        <w:rPr>
          <w:rFonts w:ascii="宋体" w:hAnsi="宋体" w:eastAsia="宋体" w:cs="宋体"/>
          <w:spacing w:val="-23"/>
          <w:sz w:val="16"/>
          <w:szCs w:val="16"/>
        </w:rPr>
        <w:t xml:space="preserve"> </w:t>
      </w:r>
      <w:r>
        <w:rPr>
          <w:rFonts w:ascii="宋体" w:hAnsi="宋体" w:eastAsia="宋体" w:cs="宋体"/>
          <w:b/>
          <w:bCs/>
          <w:spacing w:val="-8"/>
          <w:sz w:val="16"/>
          <w:szCs w:val="16"/>
        </w:rPr>
        <w:t>件</w:t>
      </w:r>
      <w:r>
        <w:rPr>
          <w:rFonts w:ascii="宋体" w:hAnsi="宋体" w:eastAsia="宋体" w:cs="宋体"/>
          <w:spacing w:val="-22"/>
          <w:sz w:val="16"/>
          <w:szCs w:val="16"/>
        </w:rPr>
        <w:t xml:space="preserve"> </w:t>
      </w:r>
      <w:r>
        <w:rPr>
          <w:rFonts w:ascii="宋体" w:hAnsi="宋体" w:eastAsia="宋体" w:cs="宋体"/>
          <w:b/>
          <w:bCs/>
          <w:spacing w:val="-8"/>
          <w:sz w:val="16"/>
          <w:szCs w:val="16"/>
        </w:rPr>
        <w:t>测</w:t>
      </w:r>
      <w:r>
        <w:rPr>
          <w:rFonts w:ascii="宋体" w:hAnsi="宋体" w:eastAsia="宋体" w:cs="宋体"/>
          <w:spacing w:val="-21"/>
          <w:sz w:val="16"/>
          <w:szCs w:val="16"/>
        </w:rPr>
        <w:t xml:space="preserve"> </w:t>
      </w:r>
      <w:r>
        <w:rPr>
          <w:rFonts w:ascii="宋体" w:hAnsi="宋体" w:eastAsia="宋体" w:cs="宋体"/>
          <w:b/>
          <w:bCs/>
          <w:spacing w:val="-8"/>
          <w:sz w:val="16"/>
          <w:szCs w:val="16"/>
        </w:rPr>
        <w:t>绘</w:t>
      </w:r>
      <w:r>
        <w:rPr>
          <w:rFonts w:ascii="宋体" w:hAnsi="宋体" w:eastAsia="宋体" w:cs="宋体"/>
          <w:spacing w:val="-19"/>
          <w:sz w:val="16"/>
          <w:szCs w:val="16"/>
        </w:rPr>
        <w:t xml:space="preserve"> </w:t>
      </w:r>
      <w:r>
        <w:rPr>
          <w:rFonts w:ascii="宋体" w:hAnsi="宋体" w:eastAsia="宋体" w:cs="宋体"/>
          <w:b/>
          <w:bCs/>
          <w:spacing w:val="-8"/>
          <w:sz w:val="16"/>
          <w:szCs w:val="16"/>
        </w:rPr>
        <w:t>与CAD</w:t>
      </w:r>
      <w:r>
        <w:rPr>
          <w:rFonts w:ascii="宋体" w:hAnsi="宋体" w:eastAsia="宋体" w:cs="宋体"/>
          <w:spacing w:val="-8"/>
          <w:sz w:val="16"/>
          <w:szCs w:val="16"/>
        </w:rPr>
        <w:t xml:space="preserve">   </w:t>
      </w:r>
      <w:r>
        <w:rPr>
          <w:rFonts w:ascii="宋体" w:hAnsi="宋体" w:eastAsia="宋体" w:cs="宋体"/>
          <w:b/>
          <w:bCs/>
          <w:spacing w:val="-8"/>
          <w:sz w:val="16"/>
          <w:szCs w:val="16"/>
        </w:rPr>
        <w:t>制</w:t>
      </w:r>
      <w:r>
        <w:rPr>
          <w:rFonts w:ascii="宋体" w:hAnsi="宋体" w:eastAsia="宋体" w:cs="宋体"/>
          <w:spacing w:val="-8"/>
          <w:sz w:val="16"/>
          <w:szCs w:val="16"/>
        </w:rPr>
        <w:t xml:space="preserve"> </w:t>
      </w:r>
      <w:r>
        <w:rPr>
          <w:rFonts w:ascii="宋体" w:hAnsi="宋体" w:eastAsia="宋体" w:cs="宋体"/>
          <w:b/>
          <w:bCs/>
          <w:spacing w:val="-8"/>
          <w:sz w:val="16"/>
          <w:szCs w:val="16"/>
        </w:rPr>
        <w:t>图</w:t>
      </w:r>
      <w:r>
        <w:rPr>
          <w:rFonts w:ascii="宋体" w:hAnsi="宋体" w:eastAsia="宋体" w:cs="宋体"/>
          <w:spacing w:val="-25"/>
          <w:sz w:val="16"/>
          <w:szCs w:val="16"/>
        </w:rPr>
        <w:t xml:space="preserve"> </w:t>
      </w:r>
      <w:r>
        <w:rPr>
          <w:rFonts w:ascii="宋体" w:hAnsi="宋体" w:eastAsia="宋体" w:cs="宋体"/>
          <w:b/>
          <w:bCs/>
          <w:spacing w:val="-8"/>
          <w:sz w:val="16"/>
          <w:szCs w:val="16"/>
        </w:rPr>
        <w:t>技</w:t>
      </w:r>
      <w:r>
        <w:rPr>
          <w:rFonts w:ascii="宋体" w:hAnsi="宋体" w:eastAsia="宋体" w:cs="宋体"/>
          <w:spacing w:val="-24"/>
          <w:sz w:val="16"/>
          <w:szCs w:val="16"/>
        </w:rPr>
        <w:t xml:space="preserve"> </w:t>
      </w:r>
      <w:r>
        <w:rPr>
          <w:rFonts w:ascii="宋体" w:hAnsi="宋体" w:eastAsia="宋体" w:cs="宋体"/>
          <w:b/>
          <w:bCs/>
          <w:spacing w:val="-8"/>
          <w:sz w:val="16"/>
          <w:szCs w:val="16"/>
        </w:rPr>
        <w:t>术</w:t>
      </w:r>
      <w:r>
        <w:rPr>
          <w:rFonts w:ascii="宋体" w:hAnsi="宋体" w:eastAsia="宋体" w:cs="宋体"/>
          <w:spacing w:val="-25"/>
          <w:sz w:val="16"/>
          <w:szCs w:val="16"/>
        </w:rPr>
        <w:t xml:space="preserve"> </w:t>
      </w:r>
      <w:r>
        <w:rPr>
          <w:rFonts w:ascii="宋体" w:hAnsi="宋体" w:eastAsia="宋体" w:cs="宋体"/>
          <w:b/>
          <w:bCs/>
          <w:spacing w:val="-8"/>
          <w:sz w:val="16"/>
          <w:szCs w:val="16"/>
        </w:rPr>
        <w:t>技</w:t>
      </w:r>
      <w:r>
        <w:rPr>
          <w:rFonts w:ascii="宋体" w:hAnsi="宋体" w:eastAsia="宋体" w:cs="宋体"/>
          <w:spacing w:val="-19"/>
          <w:sz w:val="16"/>
          <w:szCs w:val="16"/>
        </w:rPr>
        <w:t xml:space="preserve"> </w:t>
      </w:r>
      <w:r>
        <w:rPr>
          <w:rFonts w:ascii="宋体" w:hAnsi="宋体" w:eastAsia="宋体" w:cs="宋体"/>
          <w:b/>
          <w:bCs/>
          <w:spacing w:val="-8"/>
          <w:sz w:val="16"/>
          <w:szCs w:val="16"/>
        </w:rPr>
        <w:t>能</w:t>
      </w:r>
      <w:r>
        <w:rPr>
          <w:rFonts w:ascii="宋体" w:hAnsi="宋体" w:eastAsia="宋体" w:cs="宋体"/>
          <w:spacing w:val="-25"/>
          <w:sz w:val="16"/>
          <w:szCs w:val="16"/>
        </w:rPr>
        <w:t xml:space="preserve"> </w:t>
      </w:r>
      <w:r>
        <w:rPr>
          <w:rFonts w:ascii="宋体" w:hAnsi="宋体" w:eastAsia="宋体" w:cs="宋体"/>
          <w:b/>
          <w:bCs/>
          <w:spacing w:val="-8"/>
          <w:sz w:val="16"/>
          <w:szCs w:val="16"/>
        </w:rPr>
        <w:t>测</w:t>
      </w:r>
      <w:r>
        <w:rPr>
          <w:rFonts w:ascii="宋体" w:hAnsi="宋体" w:eastAsia="宋体" w:cs="宋体"/>
          <w:spacing w:val="-25"/>
          <w:sz w:val="16"/>
          <w:szCs w:val="16"/>
        </w:rPr>
        <w:t xml:space="preserve"> </w:t>
      </w:r>
      <w:r>
        <w:rPr>
          <w:rFonts w:ascii="宋体" w:hAnsi="宋体" w:eastAsia="宋体" w:cs="宋体"/>
          <w:b/>
          <w:bCs/>
          <w:spacing w:val="-8"/>
          <w:sz w:val="16"/>
          <w:szCs w:val="16"/>
        </w:rPr>
        <w:t>试</w:t>
      </w:r>
    </w:p>
    <w:p w14:paraId="0F04B599">
      <w:pPr>
        <w:pStyle w:val="2"/>
        <w:spacing w:line="299" w:lineRule="auto"/>
      </w:pPr>
    </w:p>
    <w:p w14:paraId="4B048E1A">
      <w:pPr>
        <w:spacing w:before="52" w:line="221" w:lineRule="auto"/>
        <w:ind w:left="340"/>
        <w:rPr>
          <w:rFonts w:ascii="宋体" w:hAnsi="宋体" w:eastAsia="宋体" w:cs="宋体"/>
          <w:sz w:val="16"/>
          <w:szCs w:val="16"/>
        </w:rPr>
      </w:pPr>
      <w:r>
        <w:rPr>
          <w:rFonts w:ascii="宋体" w:hAnsi="宋体" w:eastAsia="宋体" w:cs="宋体"/>
          <w:spacing w:val="13"/>
          <w:sz w:val="16"/>
          <w:szCs w:val="16"/>
        </w:rPr>
        <w:t>【测试用具】</w:t>
      </w:r>
    </w:p>
    <w:p w14:paraId="4D35A46F">
      <w:pPr>
        <w:spacing w:before="96" w:line="219" w:lineRule="auto"/>
        <w:ind w:left="420"/>
        <w:rPr>
          <w:rFonts w:ascii="宋体" w:hAnsi="宋体" w:eastAsia="宋体" w:cs="宋体"/>
          <w:sz w:val="16"/>
          <w:szCs w:val="16"/>
        </w:rPr>
      </w:pPr>
      <w:r>
        <w:rPr>
          <w:rFonts w:ascii="宋体" w:hAnsi="宋体" w:eastAsia="宋体" w:cs="宋体"/>
          <w:spacing w:val="8"/>
          <w:sz w:val="16"/>
          <w:szCs w:val="16"/>
        </w:rPr>
        <w:t>1.</w:t>
      </w:r>
      <w:r>
        <w:rPr>
          <w:rFonts w:ascii="宋体" w:hAnsi="宋体" w:eastAsia="宋体" w:cs="宋体"/>
          <w:spacing w:val="-35"/>
          <w:sz w:val="16"/>
          <w:szCs w:val="16"/>
        </w:rPr>
        <w:t xml:space="preserve"> </w:t>
      </w:r>
      <w:r>
        <w:rPr>
          <w:rFonts w:ascii="宋体" w:hAnsi="宋体" w:eastAsia="宋体" w:cs="宋体"/>
          <w:spacing w:val="8"/>
          <w:sz w:val="16"/>
          <w:szCs w:val="16"/>
        </w:rPr>
        <w:t>实物零件或虚拟实物零件部分</w:t>
      </w:r>
    </w:p>
    <w:p w14:paraId="5D29D41F">
      <w:pPr>
        <w:spacing w:before="111" w:line="310" w:lineRule="auto"/>
        <w:ind w:left="420" w:right="1422"/>
        <w:rPr>
          <w:rFonts w:ascii="宋体" w:hAnsi="宋体" w:eastAsia="宋体" w:cs="宋体"/>
          <w:sz w:val="16"/>
          <w:szCs w:val="16"/>
        </w:rPr>
      </w:pPr>
      <w:r>
        <w:rPr>
          <w:rFonts w:ascii="宋体" w:hAnsi="宋体" w:eastAsia="宋体" w:cs="宋体"/>
          <w:spacing w:val="9"/>
          <w:sz w:val="16"/>
          <w:szCs w:val="16"/>
        </w:rPr>
        <w:t>常用的工量具，如游标卡尺、铅笔等</w:t>
      </w:r>
      <w:r>
        <w:rPr>
          <w:rFonts w:ascii="宋体" w:hAnsi="宋体" w:eastAsia="宋体" w:cs="宋体"/>
          <w:spacing w:val="2"/>
          <w:sz w:val="16"/>
          <w:szCs w:val="16"/>
        </w:rPr>
        <w:t xml:space="preserve"> 2.</w:t>
      </w:r>
      <w:r>
        <w:rPr>
          <w:rFonts w:ascii="宋体" w:hAnsi="宋体" w:eastAsia="宋体" w:cs="宋体"/>
          <w:sz w:val="16"/>
          <w:szCs w:val="16"/>
        </w:rPr>
        <w:t>CAD</w:t>
      </w:r>
      <w:r>
        <w:rPr>
          <w:rFonts w:ascii="宋体" w:hAnsi="宋体" w:eastAsia="宋体" w:cs="宋体"/>
          <w:spacing w:val="2"/>
          <w:sz w:val="16"/>
          <w:szCs w:val="16"/>
        </w:rPr>
        <w:t xml:space="preserve"> 软件操作</w:t>
      </w:r>
    </w:p>
    <w:p w14:paraId="6ECAA221">
      <w:pPr>
        <w:spacing w:before="20" w:line="217" w:lineRule="auto"/>
        <w:ind w:left="420"/>
        <w:rPr>
          <w:rFonts w:ascii="宋体" w:hAnsi="宋体" w:eastAsia="宋体" w:cs="宋体"/>
          <w:sz w:val="16"/>
          <w:szCs w:val="16"/>
        </w:rPr>
      </w:pPr>
      <w:r>
        <w:rPr>
          <w:rFonts w:ascii="宋体" w:hAnsi="宋体" w:eastAsia="宋体" w:cs="宋体"/>
          <w:spacing w:val="7"/>
          <w:sz w:val="16"/>
          <w:szCs w:val="16"/>
        </w:rPr>
        <w:t>①</w:t>
      </w:r>
      <w:r>
        <w:rPr>
          <w:rFonts w:ascii="宋体" w:hAnsi="宋体" w:eastAsia="宋体" w:cs="宋体"/>
          <w:spacing w:val="-45"/>
          <w:sz w:val="16"/>
          <w:szCs w:val="16"/>
        </w:rPr>
        <w:t xml:space="preserve"> </w:t>
      </w:r>
      <w:r>
        <w:rPr>
          <w:rFonts w:ascii="宋体" w:hAnsi="宋体" w:eastAsia="宋体" w:cs="宋体"/>
          <w:spacing w:val="7"/>
          <w:sz w:val="16"/>
          <w:szCs w:val="16"/>
        </w:rPr>
        <w:t>计算机：考场提供统一配置的考试机和备用机。</w:t>
      </w:r>
    </w:p>
    <w:p w14:paraId="29AE83C7">
      <w:pPr>
        <w:spacing w:before="110" w:line="296" w:lineRule="auto"/>
        <w:ind w:right="395" w:firstLine="420"/>
        <w:rPr>
          <w:rFonts w:ascii="宋体" w:hAnsi="宋体" w:eastAsia="宋体" w:cs="宋体"/>
          <w:sz w:val="16"/>
          <w:szCs w:val="16"/>
        </w:rPr>
      </w:pPr>
      <w:r>
        <w:rPr>
          <w:rFonts w:ascii="宋体" w:hAnsi="宋体" w:eastAsia="宋体" w:cs="宋体"/>
          <w:spacing w:val="15"/>
          <w:sz w:val="16"/>
          <w:szCs w:val="16"/>
        </w:rPr>
        <w:t>②基本配置：基本配置：处理器I3≥3.0G,</w:t>
      </w:r>
      <w:r>
        <w:rPr>
          <w:rFonts w:ascii="宋体" w:hAnsi="宋体" w:eastAsia="宋体" w:cs="宋体"/>
          <w:spacing w:val="9"/>
          <w:sz w:val="16"/>
          <w:szCs w:val="16"/>
        </w:rPr>
        <w:t xml:space="preserve">   </w:t>
      </w:r>
      <w:r>
        <w:rPr>
          <w:rFonts w:ascii="宋体" w:hAnsi="宋体" w:eastAsia="宋体" w:cs="宋体"/>
          <w:spacing w:val="15"/>
          <w:sz w:val="16"/>
          <w:szCs w:val="16"/>
        </w:rPr>
        <w:t>内</w:t>
      </w:r>
      <w:r>
        <w:rPr>
          <w:rFonts w:ascii="宋体" w:hAnsi="宋体" w:eastAsia="宋体" w:cs="宋体"/>
          <w:spacing w:val="1"/>
          <w:sz w:val="16"/>
          <w:szCs w:val="16"/>
        </w:rPr>
        <w:t xml:space="preserve"> </w:t>
      </w:r>
      <w:r>
        <w:rPr>
          <w:rFonts w:ascii="宋体" w:hAnsi="宋体" w:eastAsia="宋体" w:cs="宋体"/>
          <w:spacing w:val="16"/>
          <w:sz w:val="16"/>
          <w:szCs w:val="16"/>
        </w:rPr>
        <w:t>存≥4</w:t>
      </w:r>
      <w:r>
        <w:rPr>
          <w:rFonts w:ascii="Times New Roman" w:hAnsi="Times New Roman" w:eastAsia="Times New Roman" w:cs="Times New Roman"/>
          <w:spacing w:val="16"/>
          <w:sz w:val="16"/>
          <w:szCs w:val="16"/>
        </w:rPr>
        <w:t xml:space="preserve">G,  </w:t>
      </w:r>
      <w:r>
        <w:rPr>
          <w:rFonts w:ascii="宋体" w:hAnsi="宋体" w:eastAsia="宋体" w:cs="宋体"/>
          <w:spacing w:val="16"/>
          <w:sz w:val="16"/>
          <w:szCs w:val="16"/>
        </w:rPr>
        <w:t>硬盘≥100</w:t>
      </w:r>
      <w:r>
        <w:rPr>
          <w:rFonts w:ascii="Times New Roman" w:hAnsi="Times New Roman" w:eastAsia="Times New Roman" w:cs="Times New Roman"/>
          <w:spacing w:val="16"/>
          <w:sz w:val="16"/>
          <w:szCs w:val="16"/>
        </w:rPr>
        <w:t xml:space="preserve">G,  </w:t>
      </w:r>
      <w:r>
        <w:rPr>
          <w:rFonts w:ascii="宋体" w:hAnsi="宋体" w:eastAsia="宋体" w:cs="宋体"/>
          <w:spacing w:val="16"/>
          <w:sz w:val="16"/>
          <w:szCs w:val="16"/>
        </w:rPr>
        <w:t>独立显卡(显存≥1</w:t>
      </w:r>
      <w:r>
        <w:rPr>
          <w:rFonts w:ascii="Times New Roman" w:hAnsi="Times New Roman" w:eastAsia="Times New Roman" w:cs="Times New Roman"/>
          <w:spacing w:val="16"/>
          <w:sz w:val="16"/>
          <w:szCs w:val="16"/>
        </w:rPr>
        <w:t xml:space="preserve">G,  </w:t>
      </w:r>
      <w:r>
        <w:rPr>
          <w:rFonts w:ascii="宋体" w:hAnsi="宋体" w:eastAsia="宋体" w:cs="宋体"/>
          <w:spacing w:val="16"/>
          <w:sz w:val="16"/>
          <w:szCs w:val="16"/>
        </w:rPr>
        <w:t>且支持</w:t>
      </w:r>
      <w:r>
        <w:rPr>
          <w:rFonts w:ascii="宋体" w:hAnsi="宋体" w:eastAsia="宋体" w:cs="宋体"/>
          <w:sz w:val="16"/>
          <w:szCs w:val="16"/>
        </w:rPr>
        <w:t xml:space="preserve"> </w:t>
      </w:r>
      <w:r>
        <w:rPr>
          <w:rFonts w:ascii="Times New Roman" w:hAnsi="Times New Roman" w:eastAsia="Times New Roman" w:cs="Times New Roman"/>
          <w:sz w:val="16"/>
          <w:szCs w:val="16"/>
        </w:rPr>
        <w:t>OpenGL</w:t>
      </w:r>
      <w:r>
        <w:rPr>
          <w:rFonts w:ascii="Times New Roman" w:hAnsi="Times New Roman" w:eastAsia="Times New Roman" w:cs="Times New Roman"/>
          <w:spacing w:val="16"/>
          <w:sz w:val="16"/>
          <w:szCs w:val="16"/>
        </w:rPr>
        <w:t>3.0</w:t>
      </w:r>
      <w:r>
        <w:rPr>
          <w:rFonts w:ascii="Times New Roman" w:hAnsi="Times New Roman" w:eastAsia="Times New Roman" w:cs="Times New Roman"/>
          <w:spacing w:val="37"/>
          <w:sz w:val="16"/>
          <w:szCs w:val="16"/>
        </w:rPr>
        <w:t xml:space="preserve"> </w:t>
      </w:r>
      <w:r>
        <w:rPr>
          <w:rFonts w:ascii="宋体" w:hAnsi="宋体" w:eastAsia="宋体" w:cs="宋体"/>
          <w:spacing w:val="16"/>
          <w:sz w:val="16"/>
          <w:szCs w:val="16"/>
        </w:rPr>
        <w:t>以上),17寸及以上显示器。</w:t>
      </w:r>
    </w:p>
    <w:p w14:paraId="1C9D2AFE">
      <w:pPr>
        <w:spacing w:before="113" w:line="277" w:lineRule="auto"/>
        <w:ind w:right="359" w:firstLine="420"/>
        <w:rPr>
          <w:rFonts w:ascii="宋体" w:hAnsi="宋体" w:eastAsia="宋体" w:cs="宋体"/>
          <w:sz w:val="16"/>
          <w:szCs w:val="16"/>
        </w:rPr>
      </w:pPr>
      <w:r>
        <w:rPr>
          <w:rFonts w:ascii="宋体" w:hAnsi="宋体" w:eastAsia="宋体" w:cs="宋体"/>
          <w:sz w:val="16"/>
          <w:szCs w:val="16"/>
        </w:rPr>
        <w:t>③安装Windows7 操作系统：搜狗拼音、五笔输入法；</w:t>
      </w:r>
      <w:r>
        <w:rPr>
          <w:rFonts w:ascii="宋体" w:hAnsi="宋体" w:eastAsia="宋体" w:cs="宋体"/>
          <w:spacing w:val="9"/>
          <w:sz w:val="16"/>
          <w:szCs w:val="16"/>
        </w:rPr>
        <w:t xml:space="preserve"> </w:t>
      </w:r>
      <w:r>
        <w:rPr>
          <w:rFonts w:ascii="宋体" w:hAnsi="宋体" w:eastAsia="宋体" w:cs="宋体"/>
          <w:sz w:val="16"/>
          <w:szCs w:val="16"/>
        </w:rPr>
        <w:t>Office</w:t>
      </w:r>
      <w:r>
        <w:rPr>
          <w:rFonts w:ascii="宋体" w:hAnsi="宋体" w:eastAsia="宋体" w:cs="宋体"/>
          <w:spacing w:val="2"/>
          <w:sz w:val="16"/>
          <w:szCs w:val="16"/>
        </w:rPr>
        <w:t>2007</w:t>
      </w:r>
      <w:r>
        <w:rPr>
          <w:rFonts w:ascii="宋体" w:hAnsi="宋体" w:eastAsia="宋体" w:cs="宋体"/>
          <w:spacing w:val="33"/>
          <w:sz w:val="16"/>
          <w:szCs w:val="16"/>
        </w:rPr>
        <w:t xml:space="preserve"> </w:t>
      </w:r>
      <w:r>
        <w:rPr>
          <w:rFonts w:ascii="宋体" w:hAnsi="宋体" w:eastAsia="宋体" w:cs="宋体"/>
          <w:spacing w:val="2"/>
          <w:sz w:val="16"/>
          <w:szCs w:val="16"/>
        </w:rPr>
        <w:t>或以上版本；</w:t>
      </w:r>
      <w:r>
        <w:rPr>
          <w:rFonts w:ascii="宋体" w:hAnsi="宋体" w:eastAsia="宋体" w:cs="宋体"/>
          <w:spacing w:val="-30"/>
          <w:sz w:val="16"/>
          <w:szCs w:val="16"/>
        </w:rPr>
        <w:t xml:space="preserve"> </w:t>
      </w:r>
      <w:r>
        <w:rPr>
          <w:rFonts w:ascii="宋体" w:hAnsi="宋体" w:eastAsia="宋体" w:cs="宋体"/>
          <w:sz w:val="16"/>
          <w:szCs w:val="16"/>
        </w:rPr>
        <w:t>AdobeReader</w:t>
      </w:r>
      <w:r>
        <w:rPr>
          <w:rFonts w:ascii="宋体" w:hAnsi="宋体" w:eastAsia="宋体" w:cs="宋体"/>
          <w:spacing w:val="2"/>
          <w:sz w:val="16"/>
          <w:szCs w:val="16"/>
        </w:rPr>
        <w:t>9</w:t>
      </w:r>
      <w:r>
        <w:rPr>
          <w:rFonts w:ascii="宋体" w:hAnsi="宋体" w:eastAsia="宋体" w:cs="宋体"/>
          <w:spacing w:val="31"/>
          <w:w w:val="101"/>
          <w:sz w:val="16"/>
          <w:szCs w:val="16"/>
        </w:rPr>
        <w:t xml:space="preserve"> </w:t>
      </w:r>
      <w:r>
        <w:rPr>
          <w:rFonts w:ascii="宋体" w:hAnsi="宋体" w:eastAsia="宋体" w:cs="宋体"/>
          <w:spacing w:val="2"/>
          <w:sz w:val="16"/>
          <w:szCs w:val="16"/>
        </w:rPr>
        <w:t>或以上版本。</w:t>
      </w:r>
    </w:p>
    <w:p w14:paraId="57DF6F2D">
      <w:pPr>
        <w:spacing w:before="89" w:line="278" w:lineRule="auto"/>
        <w:ind w:left="340" w:right="1939" w:firstLine="80"/>
        <w:rPr>
          <w:rFonts w:ascii="宋体" w:hAnsi="宋体" w:eastAsia="宋体" w:cs="宋体"/>
          <w:sz w:val="16"/>
          <w:szCs w:val="16"/>
        </w:rPr>
      </w:pPr>
      <w:r>
        <w:rPr>
          <w:rFonts w:ascii="宋体" w:hAnsi="宋体" w:eastAsia="宋体" w:cs="宋体"/>
          <w:spacing w:val="8"/>
          <w:sz w:val="16"/>
          <w:szCs w:val="16"/>
        </w:rPr>
        <w:t>④绘图软件：二维绘图软件。</w:t>
      </w:r>
      <w:r>
        <w:rPr>
          <w:rFonts w:ascii="宋体" w:hAnsi="宋体" w:eastAsia="宋体" w:cs="宋体"/>
          <w:spacing w:val="5"/>
          <w:sz w:val="16"/>
          <w:szCs w:val="16"/>
        </w:rPr>
        <w:t xml:space="preserve"> </w:t>
      </w:r>
      <w:r>
        <w:rPr>
          <w:rFonts w:ascii="宋体" w:hAnsi="宋体" w:eastAsia="宋体" w:cs="宋体"/>
          <w:spacing w:val="13"/>
          <w:sz w:val="16"/>
          <w:szCs w:val="16"/>
        </w:rPr>
        <w:t>【测试内容】</w:t>
      </w:r>
    </w:p>
    <w:p w14:paraId="0ED34D3D">
      <w:pPr>
        <w:spacing w:before="110" w:line="337" w:lineRule="auto"/>
        <w:ind w:right="320" w:firstLine="420"/>
        <w:jc w:val="both"/>
        <w:rPr>
          <w:rFonts w:ascii="宋体" w:hAnsi="宋体" w:eastAsia="宋体" w:cs="宋体"/>
          <w:sz w:val="16"/>
          <w:szCs w:val="16"/>
        </w:rPr>
      </w:pPr>
      <w:r>
        <w:rPr>
          <w:rFonts w:ascii="宋体" w:hAnsi="宋体" w:eastAsia="宋体" w:cs="宋体"/>
          <w:spacing w:val="5"/>
          <w:sz w:val="16"/>
          <w:szCs w:val="16"/>
        </w:rPr>
        <w:t>主要考核选手作品图形的完整性，尺寸标注的正确、</w:t>
      </w:r>
      <w:r>
        <w:rPr>
          <w:rFonts w:ascii="宋体" w:hAnsi="宋体" w:eastAsia="宋体" w:cs="宋体"/>
          <w:spacing w:val="13"/>
          <w:sz w:val="16"/>
          <w:szCs w:val="16"/>
        </w:rPr>
        <w:t xml:space="preserve"> </w:t>
      </w:r>
      <w:r>
        <w:rPr>
          <w:rFonts w:ascii="宋体" w:hAnsi="宋体" w:eastAsia="宋体" w:cs="宋体"/>
          <w:spacing w:val="1"/>
          <w:sz w:val="16"/>
          <w:szCs w:val="16"/>
        </w:rPr>
        <w:t>完整、清晰、合理等，图面信息的完整性、布局的合理性，</w:t>
      </w:r>
      <w:r>
        <w:rPr>
          <w:rFonts w:ascii="宋体" w:hAnsi="宋体" w:eastAsia="宋体" w:cs="宋体"/>
          <w:spacing w:val="3"/>
          <w:sz w:val="16"/>
          <w:szCs w:val="16"/>
        </w:rPr>
        <w:t xml:space="preserve"> </w:t>
      </w:r>
      <w:r>
        <w:rPr>
          <w:rFonts w:ascii="宋体" w:hAnsi="宋体" w:eastAsia="宋体" w:cs="宋体"/>
          <w:spacing w:val="7"/>
          <w:sz w:val="16"/>
          <w:szCs w:val="16"/>
        </w:rPr>
        <w:t>与国标的相符度以及虚拟打印等。</w:t>
      </w:r>
    </w:p>
    <w:p w14:paraId="13738512">
      <w:pPr>
        <w:spacing w:before="5" w:line="221" w:lineRule="auto"/>
        <w:ind w:left="340"/>
        <w:rPr>
          <w:rFonts w:ascii="宋体" w:hAnsi="宋体" w:eastAsia="宋体" w:cs="宋体"/>
          <w:sz w:val="16"/>
          <w:szCs w:val="16"/>
        </w:rPr>
      </w:pPr>
      <w:r>
        <w:rPr>
          <w:rFonts w:ascii="宋体" w:hAnsi="宋体" w:eastAsia="宋体" w:cs="宋体"/>
          <w:spacing w:val="13"/>
          <w:sz w:val="16"/>
          <w:szCs w:val="16"/>
        </w:rPr>
        <w:t>【测试方法】</w:t>
      </w:r>
    </w:p>
    <w:p w14:paraId="625FD235">
      <w:pPr>
        <w:spacing w:before="98" w:line="219" w:lineRule="auto"/>
        <w:ind w:left="420"/>
        <w:rPr>
          <w:rFonts w:ascii="宋体" w:hAnsi="宋体" w:eastAsia="宋体" w:cs="宋体"/>
          <w:sz w:val="16"/>
          <w:szCs w:val="16"/>
        </w:rPr>
      </w:pPr>
      <w:r>
        <w:rPr>
          <w:rFonts w:ascii="宋体" w:hAnsi="宋体" w:eastAsia="宋体" w:cs="宋体"/>
          <w:spacing w:val="11"/>
          <w:sz w:val="16"/>
          <w:szCs w:val="16"/>
        </w:rPr>
        <w:t>在90分钟内完成以下任务：</w:t>
      </w:r>
    </w:p>
    <w:p w14:paraId="23842D8A">
      <w:pPr>
        <w:spacing w:before="88" w:line="326" w:lineRule="auto"/>
        <w:ind w:right="374" w:firstLine="420"/>
        <w:rPr>
          <w:rFonts w:ascii="宋体" w:hAnsi="宋体" w:eastAsia="宋体" w:cs="宋体"/>
          <w:sz w:val="16"/>
          <w:szCs w:val="16"/>
        </w:rPr>
      </w:pPr>
      <w:r>
        <w:rPr>
          <w:rFonts w:ascii="宋体" w:hAnsi="宋体" w:eastAsia="宋体" w:cs="宋体"/>
          <w:spacing w:val="13"/>
          <w:sz w:val="16"/>
          <w:szCs w:val="16"/>
        </w:rPr>
        <w:t>任务一：实物零件测绘2-4张图纸。学生根据提供</w:t>
      </w:r>
      <w:r>
        <w:rPr>
          <w:rFonts w:ascii="宋体" w:hAnsi="宋体" w:eastAsia="宋体" w:cs="宋体"/>
          <w:spacing w:val="15"/>
          <w:sz w:val="16"/>
          <w:szCs w:val="16"/>
        </w:rPr>
        <w:t xml:space="preserve"> </w:t>
      </w:r>
      <w:r>
        <w:rPr>
          <w:rFonts w:ascii="宋体" w:hAnsi="宋体" w:eastAsia="宋体" w:cs="宋体"/>
          <w:spacing w:val="12"/>
          <w:sz w:val="16"/>
          <w:szCs w:val="16"/>
        </w:rPr>
        <w:t>的实物零件，使用常用手工量具，完成零件的尺寸测量</w:t>
      </w:r>
      <w:r>
        <w:rPr>
          <w:rFonts w:ascii="宋体" w:hAnsi="宋体" w:eastAsia="宋体" w:cs="宋体"/>
          <w:spacing w:val="7"/>
          <w:sz w:val="16"/>
          <w:szCs w:val="16"/>
        </w:rPr>
        <w:t xml:space="preserve"> </w:t>
      </w:r>
      <w:r>
        <w:rPr>
          <w:rFonts w:ascii="宋体" w:hAnsi="宋体" w:eastAsia="宋体" w:cs="宋体"/>
          <w:spacing w:val="8"/>
          <w:sz w:val="16"/>
          <w:szCs w:val="16"/>
        </w:rPr>
        <w:t>并尺规绘图。</w:t>
      </w:r>
    </w:p>
    <w:p w14:paraId="4256ED21">
      <w:pPr>
        <w:spacing w:before="23" w:line="326" w:lineRule="auto"/>
        <w:ind w:right="374" w:firstLine="420"/>
        <w:jc w:val="both"/>
        <w:rPr>
          <w:rFonts w:ascii="宋体" w:hAnsi="宋体" w:eastAsia="宋体" w:cs="宋体"/>
          <w:sz w:val="16"/>
          <w:szCs w:val="16"/>
        </w:rPr>
      </w:pPr>
      <w:r>
        <w:rPr>
          <w:rFonts w:ascii="宋体" w:hAnsi="宋体" w:eastAsia="宋体" w:cs="宋体"/>
          <w:spacing w:val="10"/>
          <w:sz w:val="16"/>
          <w:szCs w:val="16"/>
        </w:rPr>
        <w:t>任务二：零件二维工程图绘制。学生运用考场提供</w:t>
      </w:r>
      <w:r>
        <w:rPr>
          <w:rFonts w:ascii="宋体" w:hAnsi="宋体" w:eastAsia="宋体" w:cs="宋体"/>
          <w:spacing w:val="14"/>
          <w:sz w:val="16"/>
          <w:szCs w:val="16"/>
        </w:rPr>
        <w:t xml:space="preserve"> </w:t>
      </w:r>
      <w:r>
        <w:rPr>
          <w:rFonts w:ascii="宋体" w:hAnsi="宋体" w:eastAsia="宋体" w:cs="宋体"/>
          <w:spacing w:val="11"/>
          <w:sz w:val="16"/>
          <w:szCs w:val="16"/>
        </w:rPr>
        <w:t>的二维机械</w:t>
      </w:r>
      <w:r>
        <w:rPr>
          <w:rFonts w:ascii="Times New Roman" w:hAnsi="Times New Roman" w:eastAsia="Times New Roman" w:cs="Times New Roman"/>
          <w:sz w:val="16"/>
          <w:szCs w:val="16"/>
        </w:rPr>
        <w:t>CAD</w:t>
      </w:r>
      <w:r>
        <w:rPr>
          <w:rFonts w:ascii="宋体" w:hAnsi="宋体" w:eastAsia="宋体" w:cs="宋体"/>
          <w:spacing w:val="11"/>
          <w:sz w:val="16"/>
          <w:szCs w:val="16"/>
        </w:rPr>
        <w:t>软件，根据尺规绘图，绘制出完整的零</w:t>
      </w:r>
      <w:r>
        <w:rPr>
          <w:rFonts w:ascii="宋体" w:hAnsi="宋体" w:eastAsia="宋体" w:cs="宋体"/>
          <w:spacing w:val="16"/>
          <w:sz w:val="16"/>
          <w:szCs w:val="16"/>
        </w:rPr>
        <w:t xml:space="preserve"> </w:t>
      </w:r>
      <w:r>
        <w:rPr>
          <w:rFonts w:ascii="宋体" w:hAnsi="宋体" w:eastAsia="宋体" w:cs="宋体"/>
          <w:spacing w:val="7"/>
          <w:sz w:val="16"/>
          <w:szCs w:val="16"/>
        </w:rPr>
        <w:t>件二维工程图。</w:t>
      </w:r>
    </w:p>
    <w:p w14:paraId="1EF92795">
      <w:pPr>
        <w:spacing w:before="34" w:line="219" w:lineRule="auto"/>
        <w:ind w:left="420"/>
        <w:rPr>
          <w:rFonts w:ascii="宋体" w:hAnsi="宋体" w:eastAsia="宋体" w:cs="宋体"/>
          <w:sz w:val="16"/>
          <w:szCs w:val="16"/>
        </w:rPr>
      </w:pPr>
      <w:r>
        <w:rPr>
          <w:rFonts w:ascii="宋体" w:hAnsi="宋体" w:eastAsia="宋体" w:cs="宋体"/>
          <w:spacing w:val="7"/>
          <w:sz w:val="16"/>
          <w:szCs w:val="16"/>
        </w:rPr>
        <w:t>任务三：二维装配图绘制。</w:t>
      </w:r>
    </w:p>
    <w:p w14:paraId="79820BB7">
      <w:pPr>
        <w:spacing w:before="108" w:line="313" w:lineRule="auto"/>
        <w:ind w:left="340" w:right="760" w:firstLine="80"/>
        <w:rPr>
          <w:rFonts w:ascii="宋体" w:hAnsi="宋体" w:eastAsia="宋体" w:cs="宋体"/>
          <w:sz w:val="16"/>
          <w:szCs w:val="16"/>
        </w:rPr>
      </w:pPr>
      <w:r>
        <w:rPr>
          <w:rFonts w:ascii="宋体" w:hAnsi="宋体" w:eastAsia="宋体" w:cs="宋体"/>
          <w:spacing w:val="8"/>
          <w:sz w:val="16"/>
          <w:szCs w:val="16"/>
        </w:rPr>
        <w:t xml:space="preserve">任务四：图纸输出。所有图纸虚拟打印输出。 </w:t>
      </w:r>
      <w:r>
        <w:rPr>
          <w:rFonts w:ascii="宋体" w:hAnsi="宋体" w:eastAsia="宋体" w:cs="宋体"/>
          <w:spacing w:val="13"/>
          <w:sz w:val="16"/>
          <w:szCs w:val="16"/>
        </w:rPr>
        <w:t>【测试要求】</w:t>
      </w:r>
    </w:p>
    <w:p w14:paraId="126A31B0">
      <w:pPr>
        <w:spacing w:before="18" w:line="284" w:lineRule="auto"/>
        <w:ind w:right="367" w:firstLine="420"/>
        <w:rPr>
          <w:rFonts w:ascii="宋体" w:hAnsi="宋体" w:eastAsia="宋体" w:cs="宋体"/>
          <w:sz w:val="16"/>
          <w:szCs w:val="16"/>
        </w:rPr>
      </w:pPr>
      <w:r>
        <w:rPr>
          <w:rFonts w:ascii="宋体" w:hAnsi="宋体" w:eastAsia="宋体" w:cs="宋体"/>
          <w:spacing w:val="15"/>
          <w:sz w:val="16"/>
          <w:szCs w:val="16"/>
        </w:rPr>
        <w:t>1.</w:t>
      </w:r>
      <w:r>
        <w:rPr>
          <w:rFonts w:ascii="宋体" w:hAnsi="宋体" w:eastAsia="宋体" w:cs="宋体"/>
          <w:spacing w:val="-9"/>
          <w:sz w:val="16"/>
          <w:szCs w:val="16"/>
        </w:rPr>
        <w:t xml:space="preserve"> </w:t>
      </w:r>
      <w:r>
        <w:rPr>
          <w:rFonts w:ascii="宋体" w:hAnsi="宋体" w:eastAsia="宋体" w:cs="宋体"/>
          <w:spacing w:val="15"/>
          <w:sz w:val="16"/>
          <w:szCs w:val="16"/>
        </w:rPr>
        <w:t>绘制的零件图应具有合理的几何精度，良好的</w:t>
      </w:r>
      <w:r>
        <w:rPr>
          <w:rFonts w:ascii="宋体" w:hAnsi="宋体" w:eastAsia="宋体" w:cs="宋体"/>
          <w:sz w:val="16"/>
          <w:szCs w:val="16"/>
        </w:rPr>
        <w:t xml:space="preserve"> </w:t>
      </w:r>
      <w:r>
        <w:rPr>
          <w:rFonts w:ascii="宋体" w:hAnsi="宋体" w:eastAsia="宋体" w:cs="宋体"/>
          <w:spacing w:val="8"/>
          <w:sz w:val="16"/>
          <w:szCs w:val="16"/>
        </w:rPr>
        <w:t>工艺性，正确的基准。</w:t>
      </w:r>
    </w:p>
    <w:p w14:paraId="01040952">
      <w:pPr>
        <w:spacing w:before="87" w:line="283" w:lineRule="auto"/>
        <w:ind w:right="390" w:firstLine="420"/>
        <w:rPr>
          <w:rFonts w:ascii="宋体" w:hAnsi="宋体" w:eastAsia="宋体" w:cs="宋体"/>
          <w:sz w:val="16"/>
          <w:szCs w:val="16"/>
        </w:rPr>
      </w:pPr>
      <w:r>
        <w:rPr>
          <w:rFonts w:ascii="宋体" w:hAnsi="宋体" w:eastAsia="宋体" w:cs="宋体"/>
          <w:spacing w:val="7"/>
          <w:sz w:val="16"/>
          <w:szCs w:val="16"/>
        </w:rPr>
        <w:t>2.</w:t>
      </w:r>
      <w:r>
        <w:rPr>
          <w:rFonts w:ascii="宋体" w:hAnsi="宋体" w:eastAsia="宋体" w:cs="宋体"/>
          <w:spacing w:val="-23"/>
          <w:sz w:val="16"/>
          <w:szCs w:val="16"/>
        </w:rPr>
        <w:t xml:space="preserve"> </w:t>
      </w:r>
      <w:r>
        <w:rPr>
          <w:rFonts w:ascii="宋体" w:hAnsi="宋体" w:eastAsia="宋体" w:cs="宋体"/>
          <w:spacing w:val="7"/>
          <w:sz w:val="16"/>
          <w:szCs w:val="16"/>
        </w:rPr>
        <w:t>绘制的零件图要求有图幅、标题栏、标注样式、</w:t>
      </w:r>
      <w:r>
        <w:rPr>
          <w:rFonts w:ascii="宋体" w:hAnsi="宋体" w:eastAsia="宋体" w:cs="宋体"/>
          <w:sz w:val="16"/>
          <w:szCs w:val="16"/>
        </w:rPr>
        <w:t xml:space="preserve"> </w:t>
      </w:r>
      <w:r>
        <w:rPr>
          <w:rFonts w:ascii="宋体" w:hAnsi="宋体" w:eastAsia="宋体" w:cs="宋体"/>
          <w:spacing w:val="8"/>
          <w:sz w:val="16"/>
          <w:szCs w:val="16"/>
        </w:rPr>
        <w:t>技术要求等符合机械制图国家标准。</w:t>
      </w:r>
    </w:p>
    <w:p w14:paraId="5B29EA59">
      <w:pPr>
        <w:spacing w:before="91" w:line="288" w:lineRule="auto"/>
        <w:ind w:right="366" w:firstLine="420"/>
        <w:rPr>
          <w:rFonts w:ascii="宋体" w:hAnsi="宋体" w:eastAsia="宋体" w:cs="宋体"/>
          <w:sz w:val="16"/>
          <w:szCs w:val="16"/>
        </w:rPr>
      </w:pPr>
      <w:r>
        <w:rPr>
          <w:rFonts w:ascii="宋体" w:hAnsi="宋体" w:eastAsia="宋体" w:cs="宋体"/>
          <w:spacing w:val="16"/>
          <w:sz w:val="16"/>
          <w:szCs w:val="16"/>
        </w:rPr>
        <w:t>3.</w:t>
      </w:r>
      <w:r>
        <w:rPr>
          <w:rFonts w:ascii="宋体" w:hAnsi="宋体" w:eastAsia="宋体" w:cs="宋体"/>
          <w:spacing w:val="-30"/>
          <w:sz w:val="16"/>
          <w:szCs w:val="16"/>
        </w:rPr>
        <w:t xml:space="preserve"> </w:t>
      </w:r>
      <w:r>
        <w:rPr>
          <w:rFonts w:ascii="宋体" w:hAnsi="宋体" w:eastAsia="宋体" w:cs="宋体"/>
          <w:spacing w:val="16"/>
          <w:sz w:val="16"/>
          <w:szCs w:val="16"/>
        </w:rPr>
        <w:t>根据提供的装配关系绘制二维装配图，要求图</w:t>
      </w:r>
      <w:r>
        <w:rPr>
          <w:rFonts w:ascii="宋体" w:hAnsi="宋体" w:eastAsia="宋体" w:cs="宋体"/>
          <w:sz w:val="16"/>
          <w:szCs w:val="16"/>
        </w:rPr>
        <w:t xml:space="preserve"> </w:t>
      </w:r>
      <w:r>
        <w:rPr>
          <w:rFonts w:ascii="宋体" w:hAnsi="宋体" w:eastAsia="宋体" w:cs="宋体"/>
          <w:spacing w:val="8"/>
          <w:sz w:val="16"/>
          <w:szCs w:val="16"/>
        </w:rPr>
        <w:t>面信息完整、布局合理，符合机械制图国家标准。</w:t>
      </w:r>
    </w:p>
    <w:p w14:paraId="6C3E3959">
      <w:pPr>
        <w:spacing w:before="81" w:line="219" w:lineRule="auto"/>
        <w:ind w:left="420"/>
        <w:rPr>
          <w:rFonts w:ascii="宋体" w:hAnsi="宋体" w:eastAsia="宋体" w:cs="宋体"/>
          <w:sz w:val="16"/>
          <w:szCs w:val="16"/>
        </w:rPr>
      </w:pPr>
      <w:r>
        <w:rPr>
          <w:rFonts w:ascii="宋体" w:hAnsi="宋体" w:eastAsia="宋体" w:cs="宋体"/>
          <w:spacing w:val="7"/>
          <w:sz w:val="16"/>
          <w:szCs w:val="16"/>
        </w:rPr>
        <w:t>4.</w:t>
      </w:r>
      <w:r>
        <w:rPr>
          <w:rFonts w:ascii="宋体" w:hAnsi="宋体" w:eastAsia="宋体" w:cs="宋体"/>
          <w:spacing w:val="-34"/>
          <w:sz w:val="16"/>
          <w:szCs w:val="16"/>
        </w:rPr>
        <w:t xml:space="preserve"> </w:t>
      </w:r>
      <w:r>
        <w:rPr>
          <w:rFonts w:ascii="宋体" w:hAnsi="宋体" w:eastAsia="宋体" w:cs="宋体"/>
          <w:spacing w:val="7"/>
          <w:sz w:val="16"/>
          <w:szCs w:val="16"/>
        </w:rPr>
        <w:t>技术规范</w:t>
      </w:r>
    </w:p>
    <w:p w14:paraId="4E92D01E">
      <w:pPr>
        <w:spacing w:before="109" w:line="217" w:lineRule="auto"/>
        <w:ind w:left="420"/>
        <w:rPr>
          <w:rFonts w:ascii="宋体" w:hAnsi="宋体" w:eastAsia="宋体" w:cs="宋体"/>
          <w:sz w:val="16"/>
          <w:szCs w:val="16"/>
        </w:rPr>
      </w:pPr>
      <w:r>
        <w:rPr>
          <w:rFonts w:ascii="宋体" w:hAnsi="宋体" w:eastAsia="宋体" w:cs="宋体"/>
          <w:spacing w:val="3"/>
          <w:sz w:val="16"/>
          <w:szCs w:val="16"/>
        </w:rPr>
        <w:t>① 《机械制图员》国家职业标准。</w:t>
      </w:r>
    </w:p>
    <w:p w14:paraId="380EC48D">
      <w:pPr>
        <w:spacing w:before="112" w:line="217" w:lineRule="auto"/>
        <w:ind w:left="420"/>
        <w:rPr>
          <w:rFonts w:ascii="宋体" w:hAnsi="宋体" w:eastAsia="宋体" w:cs="宋体"/>
          <w:sz w:val="16"/>
          <w:szCs w:val="16"/>
        </w:rPr>
      </w:pPr>
      <w:r>
        <w:rPr>
          <w:rFonts w:ascii="宋体" w:hAnsi="宋体" w:eastAsia="宋体" w:cs="宋体"/>
          <w:spacing w:val="-1"/>
          <w:sz w:val="16"/>
          <w:szCs w:val="16"/>
        </w:rPr>
        <w:t>②</w:t>
      </w:r>
      <w:r>
        <w:rPr>
          <w:rFonts w:ascii="宋体" w:hAnsi="宋体" w:eastAsia="宋体" w:cs="宋体"/>
          <w:spacing w:val="-25"/>
          <w:sz w:val="16"/>
          <w:szCs w:val="16"/>
        </w:rPr>
        <w:t xml:space="preserve"> </w:t>
      </w:r>
      <w:r>
        <w:rPr>
          <w:rFonts w:ascii="宋体" w:hAnsi="宋体" w:eastAsia="宋体" w:cs="宋体"/>
          <w:spacing w:val="-1"/>
          <w:sz w:val="16"/>
          <w:szCs w:val="16"/>
        </w:rPr>
        <w:t>《机械制图图样画法视图》 GB/T4458.1</w:t>
      </w:r>
      <w:r>
        <w:rPr>
          <w:rFonts w:ascii="宋体" w:hAnsi="宋体" w:eastAsia="宋体" w:cs="宋体"/>
          <w:spacing w:val="-2"/>
          <w:sz w:val="16"/>
          <w:szCs w:val="16"/>
        </w:rPr>
        <w:t>-2002。</w:t>
      </w:r>
    </w:p>
    <w:p w14:paraId="62E37E67">
      <w:pPr>
        <w:spacing w:before="91" w:line="217" w:lineRule="auto"/>
        <w:ind w:left="420"/>
        <w:rPr>
          <w:rFonts w:ascii="宋体" w:hAnsi="宋体" w:eastAsia="宋体" w:cs="宋体"/>
          <w:sz w:val="16"/>
          <w:szCs w:val="16"/>
        </w:rPr>
      </w:pPr>
      <w:r>
        <w:rPr>
          <w:rFonts w:ascii="宋体" w:hAnsi="宋体" w:eastAsia="宋体" w:cs="宋体"/>
          <w:spacing w:val="-10"/>
          <w:sz w:val="16"/>
          <w:szCs w:val="16"/>
        </w:rPr>
        <w:t>③《</w:t>
      </w:r>
      <w:r>
        <w:rPr>
          <w:rFonts w:ascii="宋体" w:hAnsi="宋体" w:eastAsia="宋体" w:cs="宋体"/>
          <w:spacing w:val="-11"/>
          <w:sz w:val="16"/>
          <w:szCs w:val="16"/>
        </w:rPr>
        <w:t xml:space="preserve"> </w:t>
      </w:r>
      <w:r>
        <w:rPr>
          <w:rFonts w:ascii="宋体" w:hAnsi="宋体" w:eastAsia="宋体" w:cs="宋体"/>
          <w:spacing w:val="-10"/>
          <w:sz w:val="16"/>
          <w:szCs w:val="16"/>
        </w:rPr>
        <w:t>机</w:t>
      </w:r>
      <w:r>
        <w:rPr>
          <w:rFonts w:ascii="宋体" w:hAnsi="宋体" w:eastAsia="宋体" w:cs="宋体"/>
          <w:spacing w:val="-35"/>
          <w:sz w:val="16"/>
          <w:szCs w:val="16"/>
        </w:rPr>
        <w:t xml:space="preserve"> </w:t>
      </w:r>
      <w:r>
        <w:rPr>
          <w:rFonts w:ascii="宋体" w:hAnsi="宋体" w:eastAsia="宋体" w:cs="宋体"/>
          <w:spacing w:val="-10"/>
          <w:sz w:val="16"/>
          <w:szCs w:val="16"/>
        </w:rPr>
        <w:t>械</w:t>
      </w:r>
      <w:r>
        <w:rPr>
          <w:rFonts w:ascii="宋体" w:hAnsi="宋体" w:eastAsia="宋体" w:cs="宋体"/>
          <w:spacing w:val="-33"/>
          <w:sz w:val="16"/>
          <w:szCs w:val="16"/>
        </w:rPr>
        <w:t xml:space="preserve"> </w:t>
      </w:r>
      <w:r>
        <w:rPr>
          <w:rFonts w:ascii="宋体" w:hAnsi="宋体" w:eastAsia="宋体" w:cs="宋体"/>
          <w:spacing w:val="-10"/>
          <w:sz w:val="16"/>
          <w:szCs w:val="16"/>
        </w:rPr>
        <w:t>制</w:t>
      </w:r>
      <w:r>
        <w:rPr>
          <w:rFonts w:ascii="宋体" w:hAnsi="宋体" w:eastAsia="宋体" w:cs="宋体"/>
          <w:spacing w:val="-19"/>
          <w:sz w:val="16"/>
          <w:szCs w:val="16"/>
        </w:rPr>
        <w:t xml:space="preserve"> </w:t>
      </w:r>
      <w:r>
        <w:rPr>
          <w:rFonts w:ascii="宋体" w:hAnsi="宋体" w:eastAsia="宋体" w:cs="宋体"/>
          <w:spacing w:val="-10"/>
          <w:sz w:val="16"/>
          <w:szCs w:val="16"/>
        </w:rPr>
        <w:t>图</w:t>
      </w:r>
      <w:r>
        <w:rPr>
          <w:rFonts w:ascii="宋体" w:hAnsi="宋体" w:eastAsia="宋体" w:cs="宋体"/>
          <w:spacing w:val="-18"/>
          <w:sz w:val="16"/>
          <w:szCs w:val="16"/>
        </w:rPr>
        <w:t xml:space="preserve"> </w:t>
      </w:r>
      <w:r>
        <w:rPr>
          <w:rFonts w:ascii="宋体" w:hAnsi="宋体" w:eastAsia="宋体" w:cs="宋体"/>
          <w:spacing w:val="-10"/>
          <w:sz w:val="16"/>
          <w:szCs w:val="16"/>
        </w:rPr>
        <w:t>图</w:t>
      </w:r>
      <w:r>
        <w:rPr>
          <w:rFonts w:ascii="宋体" w:hAnsi="宋体" w:eastAsia="宋体" w:cs="宋体"/>
          <w:spacing w:val="-35"/>
          <w:sz w:val="16"/>
          <w:szCs w:val="16"/>
        </w:rPr>
        <w:t xml:space="preserve"> </w:t>
      </w:r>
      <w:r>
        <w:rPr>
          <w:rFonts w:ascii="宋体" w:hAnsi="宋体" w:eastAsia="宋体" w:cs="宋体"/>
          <w:spacing w:val="-10"/>
          <w:sz w:val="16"/>
          <w:szCs w:val="16"/>
        </w:rPr>
        <w:t>样</w:t>
      </w:r>
      <w:r>
        <w:rPr>
          <w:rFonts w:ascii="宋体" w:hAnsi="宋体" w:eastAsia="宋体" w:cs="宋体"/>
          <w:spacing w:val="-29"/>
          <w:sz w:val="16"/>
          <w:szCs w:val="16"/>
        </w:rPr>
        <w:t xml:space="preserve"> </w:t>
      </w:r>
      <w:r>
        <w:rPr>
          <w:rFonts w:ascii="宋体" w:hAnsi="宋体" w:eastAsia="宋体" w:cs="宋体"/>
          <w:spacing w:val="-10"/>
          <w:sz w:val="16"/>
          <w:szCs w:val="16"/>
        </w:rPr>
        <w:t>画</w:t>
      </w:r>
      <w:r>
        <w:rPr>
          <w:rFonts w:ascii="宋体" w:hAnsi="宋体" w:eastAsia="宋体" w:cs="宋体"/>
          <w:spacing w:val="-34"/>
          <w:sz w:val="16"/>
          <w:szCs w:val="16"/>
        </w:rPr>
        <w:t xml:space="preserve"> </w:t>
      </w:r>
      <w:r>
        <w:rPr>
          <w:rFonts w:ascii="宋体" w:hAnsi="宋体" w:eastAsia="宋体" w:cs="宋体"/>
          <w:spacing w:val="-10"/>
          <w:sz w:val="16"/>
          <w:szCs w:val="16"/>
        </w:rPr>
        <w:t>法</w:t>
      </w:r>
      <w:r>
        <w:rPr>
          <w:rFonts w:ascii="宋体" w:hAnsi="宋体" w:eastAsia="宋体" w:cs="宋体"/>
          <w:spacing w:val="-33"/>
          <w:sz w:val="16"/>
          <w:szCs w:val="16"/>
        </w:rPr>
        <w:t xml:space="preserve"> </w:t>
      </w:r>
      <w:r>
        <w:rPr>
          <w:rFonts w:ascii="宋体" w:hAnsi="宋体" w:eastAsia="宋体" w:cs="宋体"/>
          <w:spacing w:val="-10"/>
          <w:sz w:val="16"/>
          <w:szCs w:val="16"/>
        </w:rPr>
        <w:t>剖</w:t>
      </w:r>
      <w:r>
        <w:rPr>
          <w:rFonts w:ascii="宋体" w:hAnsi="宋体" w:eastAsia="宋体" w:cs="宋体"/>
          <w:spacing w:val="-35"/>
          <w:sz w:val="16"/>
          <w:szCs w:val="16"/>
        </w:rPr>
        <w:t xml:space="preserve"> </w:t>
      </w:r>
      <w:r>
        <w:rPr>
          <w:rFonts w:ascii="宋体" w:hAnsi="宋体" w:eastAsia="宋体" w:cs="宋体"/>
          <w:spacing w:val="-10"/>
          <w:sz w:val="16"/>
          <w:szCs w:val="16"/>
        </w:rPr>
        <w:t>视</w:t>
      </w:r>
      <w:r>
        <w:rPr>
          <w:rFonts w:ascii="宋体" w:hAnsi="宋体" w:eastAsia="宋体" w:cs="宋体"/>
          <w:spacing w:val="-18"/>
          <w:sz w:val="16"/>
          <w:szCs w:val="16"/>
        </w:rPr>
        <w:t xml:space="preserve"> </w:t>
      </w:r>
      <w:r>
        <w:rPr>
          <w:rFonts w:ascii="宋体" w:hAnsi="宋体" w:eastAsia="宋体" w:cs="宋体"/>
          <w:spacing w:val="-10"/>
          <w:sz w:val="16"/>
          <w:szCs w:val="16"/>
        </w:rPr>
        <w:t>图</w:t>
      </w:r>
      <w:r>
        <w:rPr>
          <w:rFonts w:ascii="宋体" w:hAnsi="宋体" w:eastAsia="宋体" w:cs="宋体"/>
          <w:spacing w:val="-34"/>
          <w:sz w:val="16"/>
          <w:szCs w:val="16"/>
        </w:rPr>
        <w:t xml:space="preserve"> </w:t>
      </w:r>
      <w:r>
        <w:rPr>
          <w:rFonts w:ascii="宋体" w:hAnsi="宋体" w:eastAsia="宋体" w:cs="宋体"/>
          <w:spacing w:val="-10"/>
          <w:sz w:val="16"/>
          <w:szCs w:val="16"/>
        </w:rPr>
        <w:t>和</w:t>
      </w:r>
      <w:r>
        <w:rPr>
          <w:rFonts w:ascii="宋体" w:hAnsi="宋体" w:eastAsia="宋体" w:cs="宋体"/>
          <w:spacing w:val="-28"/>
          <w:sz w:val="16"/>
          <w:szCs w:val="16"/>
        </w:rPr>
        <w:t xml:space="preserve"> </w:t>
      </w:r>
      <w:r>
        <w:rPr>
          <w:rFonts w:ascii="宋体" w:hAnsi="宋体" w:eastAsia="宋体" w:cs="宋体"/>
          <w:spacing w:val="-10"/>
          <w:sz w:val="16"/>
          <w:szCs w:val="16"/>
        </w:rPr>
        <w:t>断</w:t>
      </w:r>
      <w:r>
        <w:rPr>
          <w:rFonts w:ascii="宋体" w:hAnsi="宋体" w:eastAsia="宋体" w:cs="宋体"/>
          <w:spacing w:val="-34"/>
          <w:sz w:val="16"/>
          <w:szCs w:val="16"/>
        </w:rPr>
        <w:t xml:space="preserve"> </w:t>
      </w:r>
      <w:r>
        <w:rPr>
          <w:rFonts w:ascii="宋体" w:hAnsi="宋体" w:eastAsia="宋体" w:cs="宋体"/>
          <w:spacing w:val="-10"/>
          <w:sz w:val="16"/>
          <w:szCs w:val="16"/>
        </w:rPr>
        <w:t>面</w:t>
      </w:r>
      <w:r>
        <w:rPr>
          <w:rFonts w:ascii="宋体" w:hAnsi="宋体" w:eastAsia="宋体" w:cs="宋体"/>
          <w:spacing w:val="-18"/>
          <w:sz w:val="16"/>
          <w:szCs w:val="16"/>
        </w:rPr>
        <w:t xml:space="preserve"> </w:t>
      </w:r>
      <w:r>
        <w:rPr>
          <w:rFonts w:ascii="宋体" w:hAnsi="宋体" w:eastAsia="宋体" w:cs="宋体"/>
          <w:spacing w:val="-10"/>
          <w:sz w:val="16"/>
          <w:szCs w:val="16"/>
        </w:rPr>
        <w:t>图</w:t>
      </w:r>
      <w:r>
        <w:rPr>
          <w:rFonts w:ascii="宋体" w:hAnsi="宋体" w:eastAsia="宋体" w:cs="宋体"/>
          <w:spacing w:val="-40"/>
          <w:sz w:val="16"/>
          <w:szCs w:val="16"/>
        </w:rPr>
        <w:t xml:space="preserve"> </w:t>
      </w:r>
      <w:r>
        <w:rPr>
          <w:rFonts w:ascii="宋体" w:hAnsi="宋体" w:eastAsia="宋体" w:cs="宋体"/>
          <w:spacing w:val="-10"/>
          <w:sz w:val="16"/>
          <w:szCs w:val="16"/>
        </w:rPr>
        <w:t>》GB/</w:t>
      </w:r>
    </w:p>
    <w:p w14:paraId="0495259D">
      <w:pPr>
        <w:spacing w:before="136" w:line="180" w:lineRule="auto"/>
        <w:rPr>
          <w:rFonts w:ascii="宋体" w:hAnsi="宋体" w:eastAsia="宋体" w:cs="宋体"/>
          <w:sz w:val="16"/>
          <w:szCs w:val="16"/>
        </w:rPr>
      </w:pPr>
      <w:r>
        <w:rPr>
          <w:rFonts w:ascii="Times New Roman" w:hAnsi="Times New Roman" w:eastAsia="Times New Roman" w:cs="Times New Roman"/>
          <w:spacing w:val="-1"/>
          <w:sz w:val="16"/>
          <w:szCs w:val="16"/>
        </w:rPr>
        <w:t>T4458.6-2002</w:t>
      </w:r>
      <w:r>
        <w:rPr>
          <w:rFonts w:ascii="宋体" w:hAnsi="宋体" w:eastAsia="宋体" w:cs="宋体"/>
          <w:spacing w:val="-1"/>
          <w:sz w:val="16"/>
          <w:szCs w:val="16"/>
        </w:rPr>
        <w:t>。</w:t>
      </w:r>
    </w:p>
    <w:p w14:paraId="0F70085D">
      <w:pPr>
        <w:spacing w:before="100" w:line="217" w:lineRule="auto"/>
        <w:ind w:left="420"/>
        <w:rPr>
          <w:rFonts w:ascii="宋体" w:hAnsi="宋体" w:eastAsia="宋体" w:cs="宋体"/>
          <w:sz w:val="16"/>
          <w:szCs w:val="16"/>
        </w:rPr>
      </w:pPr>
      <w:r>
        <w:rPr>
          <w:rFonts w:ascii="宋体" w:hAnsi="宋体" w:eastAsia="宋体" w:cs="宋体"/>
          <w:spacing w:val="-1"/>
          <w:sz w:val="16"/>
          <w:szCs w:val="16"/>
        </w:rPr>
        <w:t>④</w:t>
      </w:r>
      <w:r>
        <w:rPr>
          <w:rFonts w:ascii="宋体" w:hAnsi="宋体" w:eastAsia="宋体" w:cs="宋体"/>
          <w:spacing w:val="-45"/>
          <w:sz w:val="16"/>
          <w:szCs w:val="16"/>
        </w:rPr>
        <w:t xml:space="preserve"> </w:t>
      </w:r>
      <w:r>
        <w:rPr>
          <w:rFonts w:ascii="宋体" w:hAnsi="宋体" w:eastAsia="宋体" w:cs="宋体"/>
          <w:spacing w:val="-1"/>
          <w:sz w:val="16"/>
          <w:szCs w:val="16"/>
        </w:rPr>
        <w:t>《机械制图尺寸注法》 GB/T4458</w:t>
      </w:r>
      <w:r>
        <w:rPr>
          <w:rFonts w:ascii="宋体" w:hAnsi="宋体" w:eastAsia="宋体" w:cs="宋体"/>
          <w:spacing w:val="-2"/>
          <w:sz w:val="16"/>
          <w:szCs w:val="16"/>
        </w:rPr>
        <w:t>.4-2003。</w:t>
      </w:r>
    </w:p>
    <w:p w14:paraId="527B6AF5">
      <w:pPr>
        <w:spacing w:before="93" w:line="266" w:lineRule="auto"/>
        <w:ind w:right="458" w:firstLine="420"/>
        <w:rPr>
          <w:rFonts w:ascii="宋体" w:hAnsi="宋体" w:eastAsia="宋体" w:cs="宋体"/>
          <w:sz w:val="16"/>
          <w:szCs w:val="16"/>
        </w:rPr>
      </w:pPr>
      <w:r>
        <w:rPr>
          <w:rFonts w:ascii="宋体" w:hAnsi="宋体" w:eastAsia="宋体" w:cs="宋体"/>
          <w:spacing w:val="4"/>
          <w:sz w:val="16"/>
          <w:szCs w:val="16"/>
        </w:rPr>
        <w:t>⑤ 《机械制图尺寸公差与配合注法》</w:t>
      </w:r>
      <w:r>
        <w:rPr>
          <w:rFonts w:ascii="宋体" w:hAnsi="宋体" w:eastAsia="宋体" w:cs="宋体"/>
          <w:spacing w:val="-12"/>
          <w:sz w:val="16"/>
          <w:szCs w:val="16"/>
        </w:rPr>
        <w:t xml:space="preserve"> </w:t>
      </w:r>
      <w:r>
        <w:rPr>
          <w:rFonts w:ascii="Times New Roman" w:hAnsi="Times New Roman" w:eastAsia="Times New Roman" w:cs="Times New Roman"/>
          <w:sz w:val="16"/>
          <w:szCs w:val="16"/>
        </w:rPr>
        <w:t>GB</w:t>
      </w:r>
      <w:r>
        <w:rPr>
          <w:rFonts w:ascii="Times New Roman" w:hAnsi="Times New Roman" w:eastAsia="Times New Roman" w:cs="Times New Roman"/>
          <w:spacing w:val="4"/>
          <w:sz w:val="16"/>
          <w:szCs w:val="16"/>
        </w:rPr>
        <w:t>/T4458.5-</w:t>
      </w:r>
      <w:r>
        <w:rPr>
          <w:rFonts w:ascii="Times New Roman" w:hAnsi="Times New Roman" w:eastAsia="Times New Roman" w:cs="Times New Roman"/>
          <w:sz w:val="16"/>
          <w:szCs w:val="16"/>
        </w:rPr>
        <w:t xml:space="preserve"> </w:t>
      </w:r>
      <w:r>
        <w:rPr>
          <w:rFonts w:ascii="宋体" w:hAnsi="宋体" w:eastAsia="宋体" w:cs="宋体"/>
          <w:spacing w:val="11"/>
          <w:sz w:val="16"/>
          <w:szCs w:val="16"/>
        </w:rPr>
        <w:t>2003等。</w:t>
      </w:r>
    </w:p>
    <w:p w14:paraId="5FAF13C3">
      <w:pPr>
        <w:pStyle w:val="2"/>
        <w:spacing w:line="14" w:lineRule="auto"/>
        <w:rPr>
          <w:sz w:val="2"/>
        </w:rPr>
      </w:pPr>
      <w:r>
        <w:rPr>
          <w:sz w:val="2"/>
          <w:szCs w:val="2"/>
        </w:rPr>
        <w:br w:type="column"/>
      </w:r>
    </w:p>
    <w:p w14:paraId="30A2054B">
      <w:pPr>
        <w:spacing w:before="30" w:line="220" w:lineRule="auto"/>
        <w:ind w:left="350"/>
        <w:rPr>
          <w:rFonts w:ascii="宋体" w:hAnsi="宋体" w:eastAsia="宋体" w:cs="宋体"/>
          <w:sz w:val="16"/>
          <w:szCs w:val="16"/>
        </w:rPr>
      </w:pPr>
      <w:r>
        <w:rPr>
          <w:rFonts w:ascii="宋体" w:hAnsi="宋体" w:eastAsia="宋体" w:cs="宋体"/>
          <w:spacing w:val="15"/>
          <w:sz w:val="16"/>
          <w:szCs w:val="16"/>
        </w:rPr>
        <w:t>【测试赋分】</w:t>
      </w:r>
    </w:p>
    <w:p w14:paraId="31D1B524">
      <w:pPr>
        <w:spacing w:before="98" w:line="297" w:lineRule="auto"/>
        <w:ind w:firstLine="380"/>
        <w:rPr>
          <w:rFonts w:ascii="宋体" w:hAnsi="宋体" w:eastAsia="宋体" w:cs="宋体"/>
          <w:sz w:val="17"/>
          <w:szCs w:val="17"/>
        </w:rPr>
      </w:pPr>
      <w:r>
        <w:rPr>
          <w:rFonts w:ascii="宋体" w:hAnsi="宋体" w:eastAsia="宋体" w:cs="宋体"/>
          <w:spacing w:val="6"/>
          <w:sz w:val="16"/>
          <w:szCs w:val="16"/>
        </w:rPr>
        <w:t>主要评判图形的完整性，尺寸的正确、完整、清晰、</w:t>
      </w:r>
      <w:r>
        <w:rPr>
          <w:rFonts w:ascii="宋体" w:hAnsi="宋体" w:eastAsia="宋体" w:cs="宋体"/>
          <w:spacing w:val="1"/>
          <w:sz w:val="16"/>
          <w:szCs w:val="16"/>
        </w:rPr>
        <w:t xml:space="preserve"> </w:t>
      </w:r>
      <w:r>
        <w:rPr>
          <w:rFonts w:ascii="宋体" w:hAnsi="宋体" w:eastAsia="宋体" w:cs="宋体"/>
          <w:spacing w:val="12"/>
          <w:sz w:val="16"/>
          <w:szCs w:val="16"/>
        </w:rPr>
        <w:t>合理等，图面信息的完整性、布局的合理性，与国标的</w:t>
      </w:r>
      <w:r>
        <w:rPr>
          <w:rFonts w:ascii="宋体" w:hAnsi="宋体" w:eastAsia="宋体" w:cs="宋体"/>
          <w:spacing w:val="1"/>
          <w:sz w:val="16"/>
          <w:szCs w:val="16"/>
        </w:rPr>
        <w:t xml:space="preserve">  </w:t>
      </w:r>
      <w:r>
        <w:rPr>
          <w:rFonts w:ascii="宋体" w:hAnsi="宋体" w:eastAsia="宋体" w:cs="宋体"/>
          <w:sz w:val="17"/>
          <w:szCs w:val="17"/>
        </w:rPr>
        <w:t>相符度以及虚拟打印等。</w:t>
      </w:r>
    </w:p>
    <w:tbl>
      <w:tblPr>
        <w:tblStyle w:val="5"/>
        <w:tblW w:w="4119" w:type="dxa"/>
        <w:tblInd w:w="2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42"/>
        <w:gridCol w:w="3277"/>
      </w:tblGrid>
      <w:tr w14:paraId="5C3884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4" w:hRule="atLeast"/>
        </w:trPr>
        <w:tc>
          <w:tcPr>
            <w:tcW w:w="842" w:type="dxa"/>
            <w:vAlign w:val="top"/>
          </w:tcPr>
          <w:p w14:paraId="13536D07">
            <w:pPr>
              <w:pStyle w:val="6"/>
              <w:spacing w:before="49" w:line="219" w:lineRule="auto"/>
              <w:ind w:left="57"/>
              <w:rPr>
                <w:sz w:val="18"/>
                <w:szCs w:val="18"/>
              </w:rPr>
            </w:pPr>
            <w:bookmarkStart w:id="54" w:name="bookmark43"/>
            <w:bookmarkEnd w:id="54"/>
            <w:r>
              <w:rPr>
                <w:b/>
                <w:bCs/>
                <w:spacing w:val="-4"/>
                <w:sz w:val="18"/>
                <w:szCs w:val="18"/>
              </w:rPr>
              <w:t>评分内容</w:t>
            </w:r>
          </w:p>
        </w:tc>
        <w:tc>
          <w:tcPr>
            <w:tcW w:w="3277" w:type="dxa"/>
            <w:vAlign w:val="top"/>
          </w:tcPr>
          <w:p w14:paraId="73F66339">
            <w:pPr>
              <w:pStyle w:val="6"/>
              <w:spacing w:before="49" w:line="219" w:lineRule="auto"/>
              <w:ind w:left="1305"/>
              <w:rPr>
                <w:sz w:val="18"/>
                <w:szCs w:val="18"/>
              </w:rPr>
            </w:pPr>
            <w:r>
              <w:rPr>
                <w:b/>
                <w:bCs/>
                <w:spacing w:val="-4"/>
                <w:sz w:val="18"/>
                <w:szCs w:val="18"/>
              </w:rPr>
              <w:t>评分明细</w:t>
            </w:r>
          </w:p>
        </w:tc>
      </w:tr>
      <w:tr w14:paraId="5ACAF0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9" w:hRule="atLeast"/>
        </w:trPr>
        <w:tc>
          <w:tcPr>
            <w:tcW w:w="842" w:type="dxa"/>
            <w:vMerge w:val="restart"/>
            <w:tcBorders>
              <w:bottom w:val="nil"/>
            </w:tcBorders>
            <w:vAlign w:val="top"/>
          </w:tcPr>
          <w:p w14:paraId="7B9EEC57">
            <w:pPr>
              <w:pStyle w:val="6"/>
              <w:spacing w:before="88" w:line="229" w:lineRule="auto"/>
              <w:ind w:left="234" w:right="64" w:hanging="179"/>
              <w:rPr>
                <w:sz w:val="18"/>
                <w:szCs w:val="18"/>
              </w:rPr>
            </w:pPr>
            <w:r>
              <w:rPr>
                <w:spacing w:val="-2"/>
                <w:sz w:val="18"/>
                <w:szCs w:val="18"/>
              </w:rPr>
              <w:t>零件尺寸</w:t>
            </w:r>
            <w:r>
              <w:rPr>
                <w:sz w:val="18"/>
                <w:szCs w:val="18"/>
              </w:rPr>
              <w:t xml:space="preserve"> </w:t>
            </w:r>
            <w:r>
              <w:rPr>
                <w:spacing w:val="-2"/>
                <w:sz w:val="18"/>
                <w:szCs w:val="18"/>
              </w:rPr>
              <w:t>测绘</w:t>
            </w:r>
          </w:p>
        </w:tc>
        <w:tc>
          <w:tcPr>
            <w:tcW w:w="3277" w:type="dxa"/>
            <w:vAlign w:val="top"/>
          </w:tcPr>
          <w:p w14:paraId="4A33A259">
            <w:pPr>
              <w:pStyle w:val="6"/>
              <w:spacing w:before="58" w:line="206" w:lineRule="auto"/>
              <w:ind w:left="12"/>
              <w:rPr>
                <w:sz w:val="18"/>
                <w:szCs w:val="18"/>
              </w:rPr>
            </w:pPr>
            <w:r>
              <w:rPr>
                <w:spacing w:val="2"/>
                <w:sz w:val="18"/>
                <w:szCs w:val="18"/>
              </w:rPr>
              <w:t>零件实测尺寸准确性</w:t>
            </w:r>
            <w:r>
              <w:rPr>
                <w:spacing w:val="22"/>
                <w:sz w:val="18"/>
                <w:szCs w:val="18"/>
              </w:rPr>
              <w:t xml:space="preserve">    </w:t>
            </w:r>
            <w:r>
              <w:rPr>
                <w:spacing w:val="2"/>
                <w:position w:val="-1"/>
                <w:sz w:val="18"/>
                <w:szCs w:val="18"/>
              </w:rPr>
              <w:t>(30分)</w:t>
            </w:r>
          </w:p>
        </w:tc>
      </w:tr>
      <w:tr w14:paraId="206ED9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842" w:type="dxa"/>
            <w:vMerge w:val="continue"/>
            <w:tcBorders>
              <w:top w:val="nil"/>
            </w:tcBorders>
            <w:vAlign w:val="top"/>
          </w:tcPr>
          <w:p w14:paraId="78217733">
            <w:pPr>
              <w:rPr>
                <w:rFonts w:ascii="Arial"/>
                <w:sz w:val="21"/>
              </w:rPr>
            </w:pPr>
          </w:p>
        </w:tc>
        <w:tc>
          <w:tcPr>
            <w:tcW w:w="3277" w:type="dxa"/>
            <w:vAlign w:val="top"/>
          </w:tcPr>
          <w:p w14:paraId="57B7B28E">
            <w:pPr>
              <w:pStyle w:val="6"/>
              <w:spacing w:before="39" w:line="220" w:lineRule="auto"/>
              <w:ind w:left="12"/>
              <w:rPr>
                <w:sz w:val="18"/>
                <w:szCs w:val="18"/>
              </w:rPr>
            </w:pPr>
            <w:r>
              <w:rPr>
                <w:spacing w:val="2"/>
                <w:sz w:val="18"/>
                <w:szCs w:val="18"/>
              </w:rPr>
              <w:t>零件实测特征完整性</w:t>
            </w:r>
            <w:r>
              <w:rPr>
                <w:spacing w:val="22"/>
                <w:sz w:val="18"/>
                <w:szCs w:val="18"/>
              </w:rPr>
              <w:t xml:space="preserve">    </w:t>
            </w:r>
            <w:r>
              <w:rPr>
                <w:spacing w:val="2"/>
                <w:sz w:val="18"/>
                <w:szCs w:val="18"/>
              </w:rPr>
              <w:t>(35分)</w:t>
            </w:r>
          </w:p>
        </w:tc>
      </w:tr>
      <w:tr w14:paraId="0F1711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842" w:type="dxa"/>
            <w:vMerge w:val="restart"/>
            <w:tcBorders>
              <w:bottom w:val="nil"/>
            </w:tcBorders>
            <w:vAlign w:val="top"/>
          </w:tcPr>
          <w:p w14:paraId="0EA7427B">
            <w:pPr>
              <w:pStyle w:val="6"/>
              <w:spacing w:before="120" w:line="219" w:lineRule="auto"/>
              <w:ind w:left="55"/>
              <w:rPr>
                <w:sz w:val="18"/>
                <w:szCs w:val="18"/>
              </w:rPr>
            </w:pPr>
            <w:r>
              <w:rPr>
                <w:spacing w:val="-2"/>
                <w:sz w:val="18"/>
                <w:szCs w:val="18"/>
              </w:rPr>
              <w:t>零件二维</w:t>
            </w:r>
          </w:p>
          <w:p w14:paraId="569C6DA2">
            <w:pPr>
              <w:pStyle w:val="6"/>
              <w:spacing w:before="26" w:line="205" w:lineRule="auto"/>
              <w:ind w:left="144"/>
              <w:rPr>
                <w:sz w:val="18"/>
                <w:szCs w:val="18"/>
              </w:rPr>
            </w:pPr>
            <w:r>
              <w:rPr>
                <w:spacing w:val="5"/>
                <w:sz w:val="18"/>
                <w:szCs w:val="18"/>
              </w:rPr>
              <w:t>工程图</w:t>
            </w:r>
          </w:p>
          <w:p w14:paraId="035A7FC1">
            <w:pPr>
              <w:pStyle w:val="6"/>
              <w:spacing w:line="220" w:lineRule="auto"/>
              <w:ind w:left="234"/>
              <w:rPr>
                <w:sz w:val="18"/>
                <w:szCs w:val="18"/>
              </w:rPr>
            </w:pPr>
            <w:r>
              <w:rPr>
                <w:spacing w:val="7"/>
                <w:sz w:val="18"/>
                <w:szCs w:val="18"/>
              </w:rPr>
              <w:t>绘制</w:t>
            </w:r>
          </w:p>
        </w:tc>
        <w:tc>
          <w:tcPr>
            <w:tcW w:w="3277" w:type="dxa"/>
            <w:vAlign w:val="top"/>
          </w:tcPr>
          <w:p w14:paraId="1998C144">
            <w:pPr>
              <w:pStyle w:val="6"/>
              <w:spacing w:before="69" w:line="194" w:lineRule="auto"/>
              <w:ind w:left="12"/>
              <w:rPr>
                <w:sz w:val="18"/>
                <w:szCs w:val="18"/>
              </w:rPr>
            </w:pPr>
            <w:r>
              <w:rPr>
                <w:spacing w:val="2"/>
                <w:sz w:val="18"/>
                <w:szCs w:val="18"/>
              </w:rPr>
              <w:t>视图表达、线型、图层等     (25分)</w:t>
            </w:r>
          </w:p>
        </w:tc>
      </w:tr>
      <w:tr w14:paraId="037233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9" w:hRule="atLeast"/>
        </w:trPr>
        <w:tc>
          <w:tcPr>
            <w:tcW w:w="842" w:type="dxa"/>
            <w:vMerge w:val="continue"/>
            <w:tcBorders>
              <w:top w:val="nil"/>
              <w:bottom w:val="nil"/>
            </w:tcBorders>
            <w:vAlign w:val="top"/>
          </w:tcPr>
          <w:p w14:paraId="678BC0C5">
            <w:pPr>
              <w:rPr>
                <w:rFonts w:ascii="Arial"/>
                <w:sz w:val="21"/>
              </w:rPr>
            </w:pPr>
          </w:p>
        </w:tc>
        <w:tc>
          <w:tcPr>
            <w:tcW w:w="3277" w:type="dxa"/>
            <w:vAlign w:val="top"/>
          </w:tcPr>
          <w:p w14:paraId="15A456A7">
            <w:pPr>
              <w:pStyle w:val="6"/>
              <w:spacing w:before="61" w:line="203" w:lineRule="auto"/>
              <w:ind w:left="12"/>
              <w:rPr>
                <w:sz w:val="18"/>
                <w:szCs w:val="18"/>
              </w:rPr>
            </w:pPr>
            <w:r>
              <w:rPr>
                <w:spacing w:val="2"/>
                <w:sz w:val="18"/>
                <w:szCs w:val="18"/>
              </w:rPr>
              <w:t xml:space="preserve">标注、文字、符号等     </w:t>
            </w:r>
            <w:r>
              <w:rPr>
                <w:spacing w:val="2"/>
                <w:position w:val="-1"/>
                <w:sz w:val="18"/>
                <w:szCs w:val="18"/>
              </w:rPr>
              <w:t>(25分)</w:t>
            </w:r>
          </w:p>
        </w:tc>
      </w:tr>
      <w:tr w14:paraId="7AB8DE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842" w:type="dxa"/>
            <w:vMerge w:val="continue"/>
            <w:tcBorders>
              <w:top w:val="nil"/>
            </w:tcBorders>
            <w:vAlign w:val="top"/>
          </w:tcPr>
          <w:p w14:paraId="115A03BE">
            <w:pPr>
              <w:rPr>
                <w:rFonts w:ascii="Arial"/>
                <w:sz w:val="21"/>
              </w:rPr>
            </w:pPr>
          </w:p>
        </w:tc>
        <w:tc>
          <w:tcPr>
            <w:tcW w:w="3277" w:type="dxa"/>
            <w:vAlign w:val="top"/>
          </w:tcPr>
          <w:p w14:paraId="7D1F4241">
            <w:pPr>
              <w:pStyle w:val="6"/>
              <w:spacing w:before="61" w:line="203" w:lineRule="auto"/>
              <w:ind w:left="12"/>
              <w:rPr>
                <w:sz w:val="18"/>
                <w:szCs w:val="18"/>
              </w:rPr>
            </w:pPr>
            <w:r>
              <w:rPr>
                <w:spacing w:val="3"/>
                <w:sz w:val="18"/>
                <w:szCs w:val="18"/>
              </w:rPr>
              <w:t>图幅、标题栏、技术要求等    (25分)</w:t>
            </w:r>
          </w:p>
        </w:tc>
      </w:tr>
      <w:tr w14:paraId="7FF56C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trPr>
        <w:tc>
          <w:tcPr>
            <w:tcW w:w="842" w:type="dxa"/>
            <w:vMerge w:val="restart"/>
            <w:tcBorders>
              <w:bottom w:val="nil"/>
            </w:tcBorders>
            <w:vAlign w:val="top"/>
          </w:tcPr>
          <w:p w14:paraId="512C7C19">
            <w:pPr>
              <w:pStyle w:val="6"/>
              <w:spacing w:before="234" w:line="233" w:lineRule="auto"/>
              <w:ind w:left="55" w:right="41"/>
              <w:rPr>
                <w:sz w:val="18"/>
                <w:szCs w:val="18"/>
              </w:rPr>
            </w:pPr>
            <w:r>
              <w:rPr>
                <w:spacing w:val="-3"/>
                <w:sz w:val="18"/>
                <w:szCs w:val="18"/>
              </w:rPr>
              <w:t>二维总装</w:t>
            </w:r>
            <w:r>
              <w:rPr>
                <w:spacing w:val="1"/>
                <w:sz w:val="18"/>
                <w:szCs w:val="18"/>
              </w:rPr>
              <w:t xml:space="preserve"> </w:t>
            </w:r>
            <w:r>
              <w:rPr>
                <w:spacing w:val="3"/>
                <w:sz w:val="18"/>
                <w:szCs w:val="18"/>
              </w:rPr>
              <w:t>配图绘制</w:t>
            </w:r>
          </w:p>
        </w:tc>
        <w:tc>
          <w:tcPr>
            <w:tcW w:w="3277" w:type="dxa"/>
            <w:vAlign w:val="top"/>
          </w:tcPr>
          <w:p w14:paraId="7D40573D">
            <w:pPr>
              <w:pStyle w:val="6"/>
              <w:spacing w:before="63" w:line="202" w:lineRule="auto"/>
              <w:ind w:left="12"/>
              <w:rPr>
                <w:sz w:val="18"/>
                <w:szCs w:val="18"/>
              </w:rPr>
            </w:pPr>
            <w:r>
              <w:rPr>
                <w:spacing w:val="1"/>
                <w:sz w:val="18"/>
                <w:szCs w:val="18"/>
              </w:rPr>
              <w:t>视图表达、线型、图层等     (25分)</w:t>
            </w:r>
          </w:p>
        </w:tc>
      </w:tr>
      <w:tr w14:paraId="4A7580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9" w:hRule="atLeast"/>
        </w:trPr>
        <w:tc>
          <w:tcPr>
            <w:tcW w:w="842" w:type="dxa"/>
            <w:vMerge w:val="continue"/>
            <w:tcBorders>
              <w:top w:val="nil"/>
              <w:bottom w:val="nil"/>
            </w:tcBorders>
            <w:vAlign w:val="top"/>
          </w:tcPr>
          <w:p w14:paraId="7CC09A45">
            <w:pPr>
              <w:rPr>
                <w:rFonts w:ascii="Arial"/>
                <w:sz w:val="21"/>
              </w:rPr>
            </w:pPr>
          </w:p>
        </w:tc>
        <w:tc>
          <w:tcPr>
            <w:tcW w:w="3277" w:type="dxa"/>
            <w:vAlign w:val="top"/>
          </w:tcPr>
          <w:p w14:paraId="2E9401D4">
            <w:pPr>
              <w:pStyle w:val="6"/>
              <w:spacing w:before="63" w:line="201" w:lineRule="auto"/>
              <w:ind w:left="12"/>
              <w:rPr>
                <w:sz w:val="18"/>
                <w:szCs w:val="18"/>
              </w:rPr>
            </w:pPr>
            <w:r>
              <w:rPr>
                <w:sz w:val="18"/>
                <w:szCs w:val="18"/>
              </w:rPr>
              <w:t>装配尺寸、装配要求、符号等</w:t>
            </w:r>
            <w:r>
              <w:rPr>
                <w:spacing w:val="12"/>
                <w:sz w:val="18"/>
                <w:szCs w:val="18"/>
              </w:rPr>
              <w:t xml:space="preserve">   </w:t>
            </w:r>
            <w:r>
              <w:rPr>
                <w:position w:val="-1"/>
                <w:sz w:val="18"/>
                <w:szCs w:val="18"/>
              </w:rPr>
              <w:t>(25分</w:t>
            </w:r>
          </w:p>
        </w:tc>
      </w:tr>
      <w:tr w14:paraId="6C1915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842" w:type="dxa"/>
            <w:vMerge w:val="continue"/>
            <w:tcBorders>
              <w:top w:val="nil"/>
            </w:tcBorders>
            <w:vAlign w:val="top"/>
          </w:tcPr>
          <w:p w14:paraId="183405F3">
            <w:pPr>
              <w:rPr>
                <w:rFonts w:ascii="Arial"/>
                <w:sz w:val="21"/>
              </w:rPr>
            </w:pPr>
          </w:p>
        </w:tc>
        <w:tc>
          <w:tcPr>
            <w:tcW w:w="3277" w:type="dxa"/>
            <w:vAlign w:val="top"/>
          </w:tcPr>
          <w:p w14:paraId="1702FB8D">
            <w:pPr>
              <w:pStyle w:val="6"/>
              <w:spacing w:before="63" w:line="201" w:lineRule="auto"/>
              <w:ind w:left="12"/>
              <w:rPr>
                <w:sz w:val="18"/>
                <w:szCs w:val="18"/>
              </w:rPr>
            </w:pPr>
            <w:r>
              <w:rPr>
                <w:sz w:val="18"/>
                <w:szCs w:val="18"/>
              </w:rPr>
              <w:t>图幅、标题栏、明细表、序号等</w:t>
            </w:r>
            <w:r>
              <w:rPr>
                <w:spacing w:val="46"/>
                <w:sz w:val="18"/>
                <w:szCs w:val="18"/>
              </w:rPr>
              <w:t xml:space="preserve"> </w:t>
            </w:r>
            <w:r>
              <w:rPr>
                <w:sz w:val="18"/>
                <w:szCs w:val="18"/>
              </w:rPr>
              <w:t>(25分</w:t>
            </w:r>
          </w:p>
        </w:tc>
      </w:tr>
      <w:tr w14:paraId="3055BD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842" w:type="dxa"/>
            <w:vAlign w:val="top"/>
          </w:tcPr>
          <w:p w14:paraId="733BFD9A">
            <w:pPr>
              <w:pStyle w:val="6"/>
              <w:spacing w:before="55" w:line="209" w:lineRule="auto"/>
              <w:ind w:left="55"/>
              <w:rPr>
                <w:sz w:val="18"/>
                <w:szCs w:val="18"/>
              </w:rPr>
            </w:pPr>
            <w:r>
              <w:rPr>
                <w:spacing w:val="5"/>
                <w:sz w:val="18"/>
                <w:szCs w:val="18"/>
              </w:rPr>
              <w:t>图纸输出</w:t>
            </w:r>
          </w:p>
        </w:tc>
        <w:tc>
          <w:tcPr>
            <w:tcW w:w="3277" w:type="dxa"/>
            <w:vAlign w:val="top"/>
          </w:tcPr>
          <w:p w14:paraId="5C3319E5">
            <w:pPr>
              <w:pStyle w:val="6"/>
              <w:spacing w:before="64" w:line="199" w:lineRule="auto"/>
              <w:ind w:left="12"/>
              <w:rPr>
                <w:sz w:val="18"/>
                <w:szCs w:val="18"/>
              </w:rPr>
            </w:pPr>
            <w:r>
              <w:rPr>
                <w:spacing w:val="4"/>
                <w:sz w:val="18"/>
                <w:szCs w:val="18"/>
              </w:rPr>
              <w:t>所有图纸虚拟打印输出</w:t>
            </w:r>
            <w:r>
              <w:rPr>
                <w:spacing w:val="17"/>
                <w:sz w:val="18"/>
                <w:szCs w:val="18"/>
              </w:rPr>
              <w:t xml:space="preserve">    </w:t>
            </w:r>
            <w:r>
              <w:rPr>
                <w:spacing w:val="4"/>
                <w:sz w:val="18"/>
                <w:szCs w:val="18"/>
              </w:rPr>
              <w:t>(10分)</w:t>
            </w:r>
          </w:p>
        </w:tc>
      </w:tr>
      <w:tr w14:paraId="72FC19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4" w:hRule="atLeast"/>
        </w:trPr>
        <w:tc>
          <w:tcPr>
            <w:tcW w:w="842" w:type="dxa"/>
            <w:vAlign w:val="top"/>
          </w:tcPr>
          <w:p w14:paraId="531C4C0D">
            <w:pPr>
              <w:pStyle w:val="6"/>
              <w:spacing w:before="56" w:line="213" w:lineRule="auto"/>
              <w:ind w:left="55"/>
              <w:rPr>
                <w:sz w:val="18"/>
                <w:szCs w:val="18"/>
              </w:rPr>
            </w:pPr>
            <w:r>
              <w:rPr>
                <w:spacing w:val="-2"/>
                <w:sz w:val="18"/>
                <w:szCs w:val="18"/>
              </w:rPr>
              <w:t>职业素养</w:t>
            </w:r>
          </w:p>
        </w:tc>
        <w:tc>
          <w:tcPr>
            <w:tcW w:w="3277" w:type="dxa"/>
            <w:vAlign w:val="top"/>
          </w:tcPr>
          <w:p w14:paraId="6D27766F">
            <w:pPr>
              <w:pStyle w:val="6"/>
              <w:spacing w:before="56" w:line="213" w:lineRule="auto"/>
              <w:ind w:left="12"/>
              <w:rPr>
                <w:sz w:val="18"/>
                <w:szCs w:val="18"/>
              </w:rPr>
            </w:pPr>
            <w:r>
              <w:rPr>
                <w:spacing w:val="-1"/>
                <w:sz w:val="18"/>
                <w:szCs w:val="18"/>
              </w:rPr>
              <w:t>操作规范、文明使用工量具及设备(25分</w:t>
            </w:r>
          </w:p>
        </w:tc>
      </w:tr>
    </w:tbl>
    <w:p w14:paraId="2D95F39D">
      <w:pPr>
        <w:pStyle w:val="2"/>
      </w:pPr>
    </w:p>
    <w:p w14:paraId="3F832A8E">
      <w:pPr>
        <w:sectPr>
          <w:type w:val="continuous"/>
          <w:pgSz w:w="10660" w:h="15080"/>
          <w:pgMar w:top="400" w:right="990" w:bottom="917" w:left="819" w:header="0" w:footer="709" w:gutter="0"/>
          <w:cols w:equalWidth="0" w:num="2">
            <w:col w:w="4550" w:space="100"/>
            <w:col w:w="4201"/>
          </w:cols>
        </w:sectPr>
      </w:pPr>
    </w:p>
    <w:p w14:paraId="7801FC76">
      <w:pPr>
        <w:spacing w:before="75"/>
      </w:pPr>
    </w:p>
    <w:p w14:paraId="3ED79A60">
      <w:pPr>
        <w:spacing w:before="75"/>
      </w:pPr>
    </w:p>
    <w:p w14:paraId="6711AB9F">
      <w:pPr>
        <w:spacing w:before="74"/>
      </w:pPr>
    </w:p>
    <w:p w14:paraId="060FE788">
      <w:pPr>
        <w:sectPr>
          <w:footerReference r:id="rId107" w:type="default"/>
          <w:pgSz w:w="10660" w:h="15080"/>
          <w:pgMar w:top="400" w:right="850" w:bottom="917" w:left="1010" w:header="0" w:footer="709" w:gutter="0"/>
          <w:cols w:equalWidth="0" w:num="1">
            <w:col w:w="8800"/>
          </w:cols>
        </w:sectPr>
      </w:pPr>
    </w:p>
    <w:p w14:paraId="3150CFD6">
      <w:pPr>
        <w:spacing w:before="66" w:line="219" w:lineRule="auto"/>
        <w:ind w:left="892"/>
        <w:rPr>
          <w:rFonts w:ascii="宋体" w:hAnsi="宋体" w:eastAsia="宋体" w:cs="宋体"/>
          <w:sz w:val="20"/>
          <w:szCs w:val="20"/>
        </w:rPr>
      </w:pPr>
      <w:r>
        <w:rPr>
          <w:rFonts w:ascii="宋体" w:hAnsi="宋体" w:eastAsia="宋体" w:cs="宋体"/>
          <w:b/>
          <w:bCs/>
          <w:spacing w:val="-4"/>
          <w:sz w:val="20"/>
          <w:szCs w:val="20"/>
        </w:rPr>
        <w:t>项目五</w:t>
      </w:r>
      <w:r>
        <w:rPr>
          <w:rFonts w:ascii="宋体" w:hAnsi="宋体" w:eastAsia="宋体" w:cs="宋体"/>
          <w:spacing w:val="91"/>
          <w:sz w:val="20"/>
          <w:szCs w:val="20"/>
        </w:rPr>
        <w:t xml:space="preserve"> </w:t>
      </w:r>
      <w:r>
        <w:rPr>
          <w:rFonts w:ascii="宋体" w:hAnsi="宋体" w:eastAsia="宋体" w:cs="宋体"/>
          <w:b/>
          <w:bCs/>
          <w:spacing w:val="-4"/>
          <w:sz w:val="20"/>
          <w:szCs w:val="20"/>
        </w:rPr>
        <w:t>数控铣工技能考核</w:t>
      </w:r>
    </w:p>
    <w:p w14:paraId="3A94B7C6">
      <w:pPr>
        <w:pStyle w:val="2"/>
        <w:spacing w:line="300" w:lineRule="auto"/>
      </w:pPr>
    </w:p>
    <w:p w14:paraId="73D039CC">
      <w:pPr>
        <w:spacing w:before="53" w:line="221" w:lineRule="auto"/>
        <w:ind w:left="290"/>
        <w:rPr>
          <w:rFonts w:ascii="宋体" w:hAnsi="宋体" w:eastAsia="宋体" w:cs="宋体"/>
          <w:sz w:val="16"/>
          <w:szCs w:val="16"/>
        </w:rPr>
      </w:pPr>
      <w:r>
        <w:rPr>
          <w:rFonts w:ascii="宋体" w:hAnsi="宋体" w:eastAsia="宋体" w:cs="宋体"/>
          <w:spacing w:val="15"/>
          <w:sz w:val="16"/>
          <w:szCs w:val="16"/>
        </w:rPr>
        <w:t>【测试用具】</w:t>
      </w:r>
    </w:p>
    <w:p w14:paraId="4FEF6EC0">
      <w:pPr>
        <w:spacing w:before="69" w:line="342" w:lineRule="auto"/>
        <w:ind w:right="380" w:firstLine="370"/>
        <w:rPr>
          <w:rFonts w:ascii="宋体" w:hAnsi="宋体" w:eastAsia="宋体" w:cs="宋体"/>
          <w:sz w:val="16"/>
          <w:szCs w:val="16"/>
        </w:rPr>
      </w:pPr>
      <w:r>
        <w:rPr>
          <w:rFonts w:ascii="宋体" w:hAnsi="宋体" w:eastAsia="宋体" w:cs="宋体"/>
          <w:spacing w:val="12"/>
          <w:sz w:val="16"/>
          <w:szCs w:val="16"/>
        </w:rPr>
        <w:t>刀具、量具、夹具、数控铣床</w:t>
      </w:r>
      <w:r>
        <w:rPr>
          <w:rFonts w:ascii="Times New Roman" w:hAnsi="Times New Roman" w:eastAsia="Times New Roman" w:cs="Times New Roman"/>
          <w:spacing w:val="12"/>
          <w:sz w:val="16"/>
          <w:szCs w:val="16"/>
        </w:rPr>
        <w:t>(</w:t>
      </w:r>
      <w:r>
        <w:rPr>
          <w:rFonts w:ascii="Times New Roman" w:hAnsi="Times New Roman" w:eastAsia="Times New Roman" w:cs="Times New Roman"/>
          <w:sz w:val="16"/>
          <w:szCs w:val="16"/>
        </w:rPr>
        <w:t>FANUC</w:t>
      </w:r>
      <w:r>
        <w:rPr>
          <w:rFonts w:ascii="Times New Roman" w:hAnsi="Times New Roman" w:eastAsia="Times New Roman" w:cs="Times New Roman"/>
          <w:spacing w:val="18"/>
          <w:w w:val="102"/>
          <w:sz w:val="16"/>
          <w:szCs w:val="16"/>
        </w:rPr>
        <w:t xml:space="preserve">  </w:t>
      </w:r>
      <w:r>
        <w:rPr>
          <w:rFonts w:ascii="宋体" w:hAnsi="宋体" w:eastAsia="宋体" w:cs="宋体"/>
          <w:spacing w:val="12"/>
          <w:sz w:val="16"/>
          <w:szCs w:val="16"/>
        </w:rPr>
        <w:t>系</w:t>
      </w:r>
      <w:r>
        <w:rPr>
          <w:rFonts w:ascii="宋体" w:hAnsi="宋体" w:eastAsia="宋体" w:cs="宋体"/>
          <w:spacing w:val="-16"/>
          <w:sz w:val="16"/>
          <w:szCs w:val="16"/>
        </w:rPr>
        <w:t xml:space="preserve"> </w:t>
      </w:r>
      <w:r>
        <w:rPr>
          <w:rFonts w:ascii="宋体" w:hAnsi="宋体" w:eastAsia="宋体" w:cs="宋体"/>
          <w:spacing w:val="12"/>
          <w:sz w:val="16"/>
          <w:szCs w:val="16"/>
        </w:rPr>
        <w:t>统</w:t>
      </w:r>
      <w:r>
        <w:rPr>
          <w:rFonts w:ascii="宋体" w:hAnsi="宋体" w:eastAsia="宋体" w:cs="宋体"/>
          <w:spacing w:val="-19"/>
          <w:sz w:val="16"/>
          <w:szCs w:val="16"/>
        </w:rPr>
        <w:t xml:space="preserve"> </w:t>
      </w:r>
      <w:r>
        <w:rPr>
          <w:rFonts w:ascii="宋体" w:hAnsi="宋体" w:eastAsia="宋体" w:cs="宋体"/>
          <w:spacing w:val="12"/>
          <w:sz w:val="16"/>
          <w:szCs w:val="16"/>
        </w:rPr>
        <w:t>)</w:t>
      </w:r>
      <w:r>
        <w:rPr>
          <w:rFonts w:ascii="宋体" w:hAnsi="宋体" w:eastAsia="宋体" w:cs="宋体"/>
          <w:spacing w:val="-26"/>
          <w:sz w:val="16"/>
          <w:szCs w:val="16"/>
        </w:rPr>
        <w:t xml:space="preserve"> </w:t>
      </w:r>
      <w:r>
        <w:rPr>
          <w:rFonts w:ascii="宋体" w:hAnsi="宋体" w:eastAsia="宋体" w:cs="宋体"/>
          <w:spacing w:val="12"/>
          <w:sz w:val="16"/>
          <w:szCs w:val="16"/>
        </w:rPr>
        <w:t>、</w:t>
      </w:r>
      <w:r>
        <w:rPr>
          <w:rFonts w:ascii="宋体" w:hAnsi="宋体" w:eastAsia="宋体" w:cs="宋体"/>
          <w:sz w:val="16"/>
          <w:szCs w:val="16"/>
        </w:rPr>
        <w:t xml:space="preserve"> </w:t>
      </w:r>
      <w:r>
        <w:rPr>
          <w:rFonts w:ascii="宋体" w:hAnsi="宋体" w:eastAsia="宋体" w:cs="宋体"/>
          <w:spacing w:val="15"/>
          <w:sz w:val="16"/>
          <w:szCs w:val="16"/>
        </w:rPr>
        <w:t>毛坯等</w:t>
      </w:r>
    </w:p>
    <w:p w14:paraId="44EE59E7">
      <w:pPr>
        <w:spacing w:before="5" w:line="219" w:lineRule="auto"/>
        <w:ind w:left="290"/>
        <w:rPr>
          <w:rFonts w:ascii="宋体" w:hAnsi="宋体" w:eastAsia="宋体" w:cs="宋体"/>
          <w:sz w:val="16"/>
          <w:szCs w:val="16"/>
        </w:rPr>
      </w:pPr>
      <w:r>
        <w:rPr>
          <w:rFonts w:ascii="宋体" w:hAnsi="宋体" w:eastAsia="宋体" w:cs="宋体"/>
          <w:spacing w:val="15"/>
          <w:sz w:val="16"/>
          <w:szCs w:val="16"/>
        </w:rPr>
        <w:t>【测试内容】</w:t>
      </w:r>
    </w:p>
    <w:p w14:paraId="1AC46800">
      <w:pPr>
        <w:spacing w:before="99" w:line="326" w:lineRule="auto"/>
        <w:ind w:right="362" w:firstLine="370"/>
        <w:rPr>
          <w:rFonts w:ascii="宋体" w:hAnsi="宋体" w:eastAsia="宋体" w:cs="宋体"/>
          <w:sz w:val="16"/>
          <w:szCs w:val="16"/>
        </w:rPr>
      </w:pPr>
      <w:r>
        <w:rPr>
          <w:rFonts w:ascii="宋体" w:hAnsi="宋体" w:eastAsia="宋体" w:cs="宋体"/>
          <w:spacing w:val="11"/>
          <w:sz w:val="16"/>
          <w:szCs w:val="16"/>
        </w:rPr>
        <w:t>根据加工零件图纸，合理选择加工工艺、刀具、量</w:t>
      </w:r>
      <w:r>
        <w:rPr>
          <w:rFonts w:ascii="宋体" w:hAnsi="宋体" w:eastAsia="宋体" w:cs="宋体"/>
          <w:spacing w:val="3"/>
          <w:sz w:val="16"/>
          <w:szCs w:val="16"/>
        </w:rPr>
        <w:t xml:space="preserve"> </w:t>
      </w:r>
      <w:r>
        <w:rPr>
          <w:rFonts w:ascii="宋体" w:hAnsi="宋体" w:eastAsia="宋体" w:cs="宋体"/>
          <w:spacing w:val="12"/>
          <w:sz w:val="16"/>
          <w:szCs w:val="16"/>
        </w:rPr>
        <w:t>具、夹具、装夹工件，使用工具、量具，操作数控铣床</w:t>
      </w:r>
      <w:r>
        <w:rPr>
          <w:rFonts w:ascii="宋体" w:hAnsi="宋体" w:eastAsia="宋体" w:cs="宋体"/>
          <w:spacing w:val="8"/>
          <w:sz w:val="16"/>
          <w:szCs w:val="16"/>
        </w:rPr>
        <w:t xml:space="preserve"> </w:t>
      </w:r>
      <w:r>
        <w:rPr>
          <w:rFonts w:ascii="宋体" w:hAnsi="宋体" w:eastAsia="宋体" w:cs="宋体"/>
          <w:spacing w:val="11"/>
          <w:sz w:val="16"/>
          <w:szCs w:val="16"/>
        </w:rPr>
        <w:t>完成零件加工</w:t>
      </w:r>
    </w:p>
    <w:p w14:paraId="5DA8C26F">
      <w:pPr>
        <w:spacing w:before="34" w:line="221" w:lineRule="auto"/>
        <w:ind w:left="290"/>
        <w:rPr>
          <w:rFonts w:ascii="宋体" w:hAnsi="宋体" w:eastAsia="宋体" w:cs="宋体"/>
          <w:sz w:val="16"/>
          <w:szCs w:val="16"/>
        </w:rPr>
      </w:pPr>
      <w:r>
        <w:rPr>
          <w:rFonts w:ascii="宋体" w:hAnsi="宋体" w:eastAsia="宋体" w:cs="宋体"/>
          <w:spacing w:val="15"/>
          <w:sz w:val="16"/>
          <w:szCs w:val="16"/>
        </w:rPr>
        <w:t>【测试方法】</w:t>
      </w:r>
    </w:p>
    <w:p w14:paraId="373DD970">
      <w:pPr>
        <w:spacing w:before="98" w:line="221" w:lineRule="auto"/>
        <w:ind w:left="370"/>
        <w:rPr>
          <w:rFonts w:ascii="宋体" w:hAnsi="宋体" w:eastAsia="宋体" w:cs="宋体"/>
          <w:sz w:val="16"/>
          <w:szCs w:val="16"/>
        </w:rPr>
      </w:pPr>
      <w:r>
        <w:rPr>
          <w:rFonts w:ascii="宋体" w:hAnsi="宋体" w:eastAsia="宋体" w:cs="宋体"/>
          <w:spacing w:val="6"/>
          <w:sz w:val="16"/>
          <w:szCs w:val="16"/>
        </w:rPr>
        <w:t>1.加工准备</w:t>
      </w:r>
    </w:p>
    <w:p w14:paraId="1E501B09">
      <w:pPr>
        <w:spacing w:before="86" w:line="217" w:lineRule="auto"/>
        <w:ind w:left="370"/>
        <w:rPr>
          <w:rFonts w:ascii="宋体" w:hAnsi="宋体" w:eastAsia="宋体" w:cs="宋体"/>
          <w:sz w:val="16"/>
          <w:szCs w:val="16"/>
        </w:rPr>
      </w:pPr>
      <w:r>
        <w:rPr>
          <w:rFonts w:ascii="宋体" w:hAnsi="宋体" w:eastAsia="宋体" w:cs="宋体"/>
          <w:spacing w:val="7"/>
          <w:sz w:val="16"/>
          <w:szCs w:val="16"/>
        </w:rPr>
        <w:t>①读图与绘图；</w:t>
      </w:r>
    </w:p>
    <w:p w14:paraId="6CFBDFAA">
      <w:pPr>
        <w:spacing w:before="102" w:line="217" w:lineRule="auto"/>
        <w:ind w:left="370"/>
        <w:rPr>
          <w:rFonts w:ascii="宋体" w:hAnsi="宋体" w:eastAsia="宋体" w:cs="宋体"/>
          <w:sz w:val="16"/>
          <w:szCs w:val="16"/>
        </w:rPr>
      </w:pPr>
      <w:r>
        <w:rPr>
          <w:rFonts w:ascii="宋体" w:hAnsi="宋体" w:eastAsia="宋体" w:cs="宋体"/>
          <w:spacing w:val="7"/>
          <w:sz w:val="16"/>
          <w:szCs w:val="16"/>
        </w:rPr>
        <w:t>②制定加工工艺；</w:t>
      </w:r>
    </w:p>
    <w:p w14:paraId="2CD6F3FD">
      <w:pPr>
        <w:spacing w:before="112" w:line="217" w:lineRule="auto"/>
        <w:ind w:left="370"/>
        <w:rPr>
          <w:rFonts w:ascii="宋体" w:hAnsi="宋体" w:eastAsia="宋体" w:cs="宋体"/>
          <w:sz w:val="16"/>
          <w:szCs w:val="16"/>
        </w:rPr>
      </w:pPr>
      <w:r>
        <w:rPr>
          <w:rFonts w:ascii="宋体" w:hAnsi="宋体" w:eastAsia="宋体" w:cs="宋体"/>
          <w:spacing w:val="6"/>
          <w:sz w:val="16"/>
          <w:szCs w:val="16"/>
        </w:rPr>
        <w:t>③零件定位与装夹；</w:t>
      </w:r>
    </w:p>
    <w:p w14:paraId="720A1C2A">
      <w:pPr>
        <w:spacing w:before="92" w:line="217" w:lineRule="auto"/>
        <w:ind w:left="370"/>
        <w:rPr>
          <w:rFonts w:ascii="宋体" w:hAnsi="宋体" w:eastAsia="宋体" w:cs="宋体"/>
          <w:sz w:val="16"/>
          <w:szCs w:val="16"/>
        </w:rPr>
      </w:pPr>
      <w:r>
        <w:rPr>
          <w:rFonts w:ascii="宋体" w:hAnsi="宋体" w:eastAsia="宋体" w:cs="宋体"/>
          <w:spacing w:val="6"/>
          <w:sz w:val="16"/>
          <w:szCs w:val="16"/>
        </w:rPr>
        <w:t>④刀具准备。</w:t>
      </w:r>
    </w:p>
    <w:p w14:paraId="6779B500">
      <w:pPr>
        <w:spacing w:before="104" w:line="321" w:lineRule="auto"/>
        <w:ind w:right="361" w:firstLine="370"/>
        <w:rPr>
          <w:rFonts w:ascii="宋体" w:hAnsi="宋体" w:eastAsia="宋体" w:cs="宋体"/>
          <w:sz w:val="16"/>
          <w:szCs w:val="16"/>
        </w:rPr>
      </w:pPr>
      <w:r>
        <w:rPr>
          <w:rFonts w:ascii="宋体" w:hAnsi="宋体" w:eastAsia="宋体" w:cs="宋体"/>
          <w:spacing w:val="10"/>
          <w:sz w:val="16"/>
          <w:szCs w:val="16"/>
        </w:rPr>
        <w:t>2.数控编程手工编程能编制由直线、圆弧组成的二</w:t>
      </w:r>
      <w:r>
        <w:rPr>
          <w:rFonts w:ascii="宋体" w:hAnsi="宋体" w:eastAsia="宋体" w:cs="宋体"/>
          <w:spacing w:val="17"/>
          <w:sz w:val="16"/>
          <w:szCs w:val="16"/>
        </w:rPr>
        <w:t xml:space="preserve"> </w:t>
      </w:r>
      <w:r>
        <w:rPr>
          <w:rFonts w:ascii="宋体" w:hAnsi="宋体" w:eastAsia="宋体" w:cs="宋体"/>
          <w:spacing w:val="7"/>
          <w:sz w:val="16"/>
          <w:szCs w:val="16"/>
        </w:rPr>
        <w:t>维轮廓数控加工程序。</w:t>
      </w:r>
    </w:p>
    <w:p w14:paraId="14C424A1">
      <w:pPr>
        <w:spacing w:before="23" w:line="219" w:lineRule="auto"/>
        <w:ind w:left="370"/>
        <w:rPr>
          <w:rFonts w:ascii="宋体" w:hAnsi="宋体" w:eastAsia="宋体" w:cs="宋体"/>
          <w:sz w:val="16"/>
          <w:szCs w:val="16"/>
        </w:rPr>
      </w:pPr>
      <w:r>
        <w:rPr>
          <w:rFonts w:ascii="宋体" w:hAnsi="宋体" w:eastAsia="宋体" w:cs="宋体"/>
          <w:spacing w:val="7"/>
          <w:sz w:val="16"/>
          <w:szCs w:val="16"/>
        </w:rPr>
        <w:t>3.数控铣床操作</w:t>
      </w:r>
    </w:p>
    <w:p w14:paraId="505C8A93">
      <w:pPr>
        <w:spacing w:before="99" w:line="217" w:lineRule="auto"/>
        <w:ind w:left="370"/>
        <w:rPr>
          <w:rFonts w:ascii="宋体" w:hAnsi="宋体" w:eastAsia="宋体" w:cs="宋体"/>
          <w:sz w:val="16"/>
          <w:szCs w:val="16"/>
        </w:rPr>
      </w:pPr>
      <w:r>
        <w:rPr>
          <w:rFonts w:ascii="宋体" w:hAnsi="宋体" w:eastAsia="宋体" w:cs="宋体"/>
          <w:spacing w:val="6"/>
          <w:sz w:val="16"/>
          <w:szCs w:val="16"/>
        </w:rPr>
        <w:t>①操作面板；</w:t>
      </w:r>
    </w:p>
    <w:p w14:paraId="33B22EEF">
      <w:pPr>
        <w:spacing w:before="101" w:line="276" w:lineRule="auto"/>
        <w:ind w:left="370" w:right="2630"/>
        <w:rPr>
          <w:rFonts w:ascii="宋体" w:hAnsi="宋体" w:eastAsia="宋体" w:cs="宋体"/>
          <w:sz w:val="16"/>
          <w:szCs w:val="16"/>
        </w:rPr>
      </w:pPr>
      <w:r>
        <w:rPr>
          <w:rFonts w:ascii="宋体" w:hAnsi="宋体" w:eastAsia="宋体" w:cs="宋体"/>
          <w:spacing w:val="6"/>
          <w:sz w:val="16"/>
          <w:szCs w:val="16"/>
        </w:rPr>
        <w:t>②程序输入与编辑；</w:t>
      </w:r>
      <w:r>
        <w:rPr>
          <w:rFonts w:ascii="宋体" w:hAnsi="宋体" w:eastAsia="宋体" w:cs="宋体"/>
          <w:spacing w:val="4"/>
          <w:sz w:val="16"/>
          <w:szCs w:val="16"/>
        </w:rPr>
        <w:t xml:space="preserve"> </w:t>
      </w:r>
      <w:r>
        <w:rPr>
          <w:rFonts w:ascii="宋体" w:hAnsi="宋体" w:eastAsia="宋体" w:cs="宋体"/>
          <w:spacing w:val="-17"/>
          <w:sz w:val="16"/>
          <w:szCs w:val="16"/>
        </w:rPr>
        <w:t>③对 刀</w:t>
      </w:r>
      <w:r>
        <w:rPr>
          <w:rFonts w:ascii="宋体" w:hAnsi="宋体" w:eastAsia="宋体" w:cs="宋体"/>
          <w:spacing w:val="-19"/>
          <w:sz w:val="16"/>
          <w:szCs w:val="16"/>
        </w:rPr>
        <w:t xml:space="preserve"> </w:t>
      </w:r>
      <w:r>
        <w:rPr>
          <w:rFonts w:ascii="宋体" w:hAnsi="宋体" w:eastAsia="宋体" w:cs="宋体"/>
          <w:spacing w:val="-17"/>
          <w:sz w:val="16"/>
          <w:szCs w:val="16"/>
        </w:rPr>
        <w:t>；</w:t>
      </w:r>
    </w:p>
    <w:p w14:paraId="3FA50E21">
      <w:pPr>
        <w:spacing w:before="102" w:line="217" w:lineRule="auto"/>
        <w:ind w:left="370"/>
        <w:rPr>
          <w:rFonts w:ascii="宋体" w:hAnsi="宋体" w:eastAsia="宋体" w:cs="宋体"/>
          <w:sz w:val="16"/>
          <w:szCs w:val="16"/>
        </w:rPr>
      </w:pPr>
      <w:r>
        <w:rPr>
          <w:rFonts w:ascii="宋体" w:hAnsi="宋体" w:eastAsia="宋体" w:cs="宋体"/>
          <w:spacing w:val="6"/>
          <w:sz w:val="16"/>
          <w:szCs w:val="16"/>
        </w:rPr>
        <w:t>④程序校验与运行；</w:t>
      </w:r>
    </w:p>
    <w:p w14:paraId="5A29AE9C">
      <w:pPr>
        <w:spacing w:before="101" w:line="284" w:lineRule="auto"/>
        <w:ind w:left="370" w:right="3130"/>
        <w:rPr>
          <w:rFonts w:ascii="宋体" w:hAnsi="宋体" w:eastAsia="宋体" w:cs="宋体"/>
          <w:sz w:val="16"/>
          <w:szCs w:val="16"/>
        </w:rPr>
      </w:pPr>
      <w:r>
        <w:rPr>
          <w:rFonts w:ascii="宋体" w:hAnsi="宋体" w:eastAsia="宋体" w:cs="宋体"/>
          <w:spacing w:val="6"/>
          <w:sz w:val="16"/>
          <w:szCs w:val="16"/>
        </w:rPr>
        <w:t>⑤参数设置。</w:t>
      </w:r>
      <w:r>
        <w:rPr>
          <w:rFonts w:ascii="宋体" w:hAnsi="宋体" w:eastAsia="宋体" w:cs="宋体"/>
          <w:spacing w:val="2"/>
          <w:sz w:val="16"/>
          <w:szCs w:val="16"/>
        </w:rPr>
        <w:t xml:space="preserve"> </w:t>
      </w:r>
      <w:r>
        <w:rPr>
          <w:rFonts w:ascii="宋体" w:hAnsi="宋体" w:eastAsia="宋体" w:cs="宋体"/>
          <w:spacing w:val="9"/>
          <w:sz w:val="16"/>
          <w:szCs w:val="16"/>
        </w:rPr>
        <w:t>4.零件加工</w:t>
      </w:r>
    </w:p>
    <w:p w14:paraId="4F75B00C">
      <w:pPr>
        <w:spacing w:before="89" w:line="217" w:lineRule="auto"/>
        <w:ind w:left="370"/>
        <w:rPr>
          <w:rFonts w:ascii="宋体" w:hAnsi="宋体" w:eastAsia="宋体" w:cs="宋体"/>
          <w:sz w:val="16"/>
          <w:szCs w:val="16"/>
        </w:rPr>
      </w:pPr>
      <w:r>
        <w:rPr>
          <w:rFonts w:ascii="宋体" w:hAnsi="宋体" w:eastAsia="宋体" w:cs="宋体"/>
          <w:spacing w:val="6"/>
          <w:sz w:val="16"/>
          <w:szCs w:val="16"/>
        </w:rPr>
        <w:t>①平面加工；</w:t>
      </w:r>
    </w:p>
    <w:p w14:paraId="66087944">
      <w:pPr>
        <w:spacing w:before="102" w:line="217" w:lineRule="auto"/>
        <w:ind w:left="370"/>
        <w:rPr>
          <w:rFonts w:ascii="宋体" w:hAnsi="宋体" w:eastAsia="宋体" w:cs="宋体"/>
          <w:sz w:val="16"/>
          <w:szCs w:val="16"/>
        </w:rPr>
      </w:pPr>
      <w:r>
        <w:rPr>
          <w:rFonts w:ascii="宋体" w:hAnsi="宋体" w:eastAsia="宋体" w:cs="宋体"/>
          <w:spacing w:val="6"/>
          <w:sz w:val="16"/>
          <w:szCs w:val="16"/>
        </w:rPr>
        <w:t>②轮廓加工；</w:t>
      </w:r>
    </w:p>
    <w:p w14:paraId="2AC91B62">
      <w:pPr>
        <w:spacing w:before="102" w:line="217" w:lineRule="auto"/>
        <w:ind w:left="370"/>
        <w:rPr>
          <w:rFonts w:ascii="宋体" w:hAnsi="宋体" w:eastAsia="宋体" w:cs="宋体"/>
          <w:sz w:val="16"/>
          <w:szCs w:val="16"/>
        </w:rPr>
      </w:pPr>
      <w:r>
        <w:rPr>
          <w:rFonts w:ascii="宋体" w:hAnsi="宋体" w:eastAsia="宋体" w:cs="宋体"/>
          <w:spacing w:val="6"/>
          <w:sz w:val="16"/>
          <w:szCs w:val="16"/>
        </w:rPr>
        <w:t>③曲面加工；</w:t>
      </w:r>
    </w:p>
    <w:p w14:paraId="2F279082">
      <w:pPr>
        <w:spacing w:before="101" w:line="217" w:lineRule="auto"/>
        <w:ind w:left="370"/>
        <w:rPr>
          <w:rFonts w:ascii="宋体" w:hAnsi="宋体" w:eastAsia="宋体" w:cs="宋体"/>
          <w:sz w:val="16"/>
          <w:szCs w:val="16"/>
        </w:rPr>
      </w:pPr>
      <w:r>
        <w:rPr>
          <w:rFonts w:ascii="宋体" w:hAnsi="宋体" w:eastAsia="宋体" w:cs="宋体"/>
          <w:spacing w:val="6"/>
          <w:sz w:val="16"/>
          <w:szCs w:val="16"/>
        </w:rPr>
        <w:t>④孔类加工；</w:t>
      </w:r>
    </w:p>
    <w:p w14:paraId="2445BECB">
      <w:pPr>
        <w:spacing w:before="102" w:line="217" w:lineRule="auto"/>
        <w:ind w:left="370"/>
        <w:rPr>
          <w:rFonts w:ascii="宋体" w:hAnsi="宋体" w:eastAsia="宋体" w:cs="宋体"/>
          <w:sz w:val="16"/>
          <w:szCs w:val="16"/>
        </w:rPr>
      </w:pPr>
      <w:r>
        <w:rPr>
          <w:rFonts w:ascii="宋体" w:hAnsi="宋体" w:eastAsia="宋体" w:cs="宋体"/>
          <w:spacing w:val="7"/>
          <w:sz w:val="16"/>
          <w:szCs w:val="16"/>
        </w:rPr>
        <w:t>⑤零件精度检验。</w:t>
      </w:r>
    </w:p>
    <w:p w14:paraId="038E89F2">
      <w:pPr>
        <w:spacing w:before="103" w:line="324" w:lineRule="auto"/>
        <w:ind w:left="290" w:right="2418" w:firstLine="80"/>
        <w:rPr>
          <w:rFonts w:ascii="宋体" w:hAnsi="宋体" w:eastAsia="宋体" w:cs="宋体"/>
          <w:sz w:val="16"/>
          <w:szCs w:val="16"/>
        </w:rPr>
      </w:pPr>
      <w:r>
        <w:rPr>
          <w:rFonts w:ascii="宋体" w:hAnsi="宋体" w:eastAsia="宋体" w:cs="宋体"/>
          <w:spacing w:val="10"/>
          <w:sz w:val="16"/>
          <w:szCs w:val="16"/>
        </w:rPr>
        <w:t>5.安全文明生产及其它</w:t>
      </w:r>
      <w:r>
        <w:rPr>
          <w:rFonts w:ascii="宋体" w:hAnsi="宋体" w:eastAsia="宋体" w:cs="宋体"/>
          <w:sz w:val="16"/>
          <w:szCs w:val="16"/>
        </w:rPr>
        <w:t xml:space="preserve"> </w:t>
      </w:r>
      <w:r>
        <w:rPr>
          <w:rFonts w:ascii="宋体" w:hAnsi="宋体" w:eastAsia="宋体" w:cs="宋体"/>
          <w:spacing w:val="15"/>
          <w:sz w:val="16"/>
          <w:szCs w:val="16"/>
        </w:rPr>
        <w:t>【测试要求】</w:t>
      </w:r>
    </w:p>
    <w:p w14:paraId="401D3C13">
      <w:pPr>
        <w:spacing w:before="20" w:line="322" w:lineRule="auto"/>
        <w:ind w:right="362" w:firstLine="370"/>
        <w:rPr>
          <w:rFonts w:ascii="宋体" w:hAnsi="宋体" w:eastAsia="宋体" w:cs="宋体"/>
          <w:sz w:val="16"/>
          <w:szCs w:val="16"/>
        </w:rPr>
      </w:pPr>
      <w:r>
        <w:rPr>
          <w:rFonts w:ascii="宋体" w:hAnsi="宋体" w:eastAsia="宋体" w:cs="宋体"/>
          <w:spacing w:val="10"/>
          <w:sz w:val="16"/>
          <w:szCs w:val="16"/>
        </w:rPr>
        <w:t>1.根据图样分析加工工艺，编写零件加工程序，填</w:t>
      </w:r>
      <w:r>
        <w:rPr>
          <w:rFonts w:ascii="宋体" w:hAnsi="宋体" w:eastAsia="宋体" w:cs="宋体"/>
          <w:spacing w:val="16"/>
          <w:sz w:val="16"/>
          <w:szCs w:val="16"/>
        </w:rPr>
        <w:t xml:space="preserve"> </w:t>
      </w:r>
      <w:r>
        <w:rPr>
          <w:rFonts w:ascii="宋体" w:hAnsi="宋体" w:eastAsia="宋体" w:cs="宋体"/>
          <w:spacing w:val="7"/>
          <w:sz w:val="16"/>
          <w:szCs w:val="16"/>
        </w:rPr>
        <w:t>写加工工艺卡片；</w:t>
      </w:r>
    </w:p>
    <w:p w14:paraId="1CADD1D8">
      <w:pPr>
        <w:spacing w:before="22" w:line="321" w:lineRule="auto"/>
        <w:ind w:right="362" w:firstLine="370"/>
        <w:rPr>
          <w:rFonts w:ascii="宋体" w:hAnsi="宋体" w:eastAsia="宋体" w:cs="宋体"/>
          <w:sz w:val="16"/>
          <w:szCs w:val="16"/>
        </w:rPr>
      </w:pPr>
      <w:r>
        <w:rPr>
          <w:rFonts w:ascii="宋体" w:hAnsi="宋体" w:eastAsia="宋体" w:cs="宋体"/>
          <w:spacing w:val="10"/>
          <w:sz w:val="16"/>
          <w:szCs w:val="16"/>
        </w:rPr>
        <w:t>2.要求考生运用数控加工手段，加工工件达到零件</w:t>
      </w:r>
      <w:r>
        <w:rPr>
          <w:rFonts w:ascii="宋体" w:hAnsi="宋体" w:eastAsia="宋体" w:cs="宋体"/>
          <w:spacing w:val="16"/>
          <w:sz w:val="16"/>
          <w:szCs w:val="16"/>
        </w:rPr>
        <w:t xml:space="preserve"> </w:t>
      </w:r>
      <w:r>
        <w:rPr>
          <w:rFonts w:ascii="宋体" w:hAnsi="宋体" w:eastAsia="宋体" w:cs="宋体"/>
          <w:spacing w:val="5"/>
          <w:sz w:val="16"/>
          <w:szCs w:val="16"/>
        </w:rPr>
        <w:t>图纸技术要求；</w:t>
      </w:r>
    </w:p>
    <w:p w14:paraId="44D6DB14">
      <w:pPr>
        <w:spacing w:before="23" w:line="315" w:lineRule="auto"/>
        <w:ind w:right="360" w:firstLine="370"/>
        <w:jc w:val="both"/>
        <w:rPr>
          <w:rFonts w:ascii="宋体" w:hAnsi="宋体" w:eastAsia="宋体" w:cs="宋体"/>
          <w:sz w:val="16"/>
          <w:szCs w:val="16"/>
        </w:rPr>
      </w:pPr>
      <w:r>
        <w:rPr>
          <w:rFonts w:ascii="宋体" w:hAnsi="宋体" w:eastAsia="宋体" w:cs="宋体"/>
          <w:spacing w:val="18"/>
          <w:sz w:val="16"/>
          <w:szCs w:val="16"/>
        </w:rPr>
        <w:t>3.熟练操作数控铣床铣削平面、轮廓、曲面、孔</w:t>
      </w:r>
      <w:r>
        <w:rPr>
          <w:rFonts w:ascii="宋体" w:hAnsi="宋体" w:eastAsia="宋体" w:cs="宋体"/>
          <w:spacing w:val="10"/>
          <w:sz w:val="16"/>
          <w:szCs w:val="16"/>
        </w:rPr>
        <w:t xml:space="preserve"> </w:t>
      </w:r>
      <w:r>
        <w:rPr>
          <w:rFonts w:ascii="宋体" w:hAnsi="宋体" w:eastAsia="宋体" w:cs="宋体"/>
          <w:spacing w:val="23"/>
          <w:sz w:val="16"/>
          <w:szCs w:val="16"/>
        </w:rPr>
        <w:t>类零件，公差等级达</w:t>
      </w:r>
      <w:r>
        <w:rPr>
          <w:rFonts w:ascii="Times New Roman" w:hAnsi="Times New Roman" w:eastAsia="Times New Roman" w:cs="Times New Roman"/>
          <w:sz w:val="16"/>
          <w:szCs w:val="16"/>
        </w:rPr>
        <w:t>IT</w:t>
      </w:r>
      <w:r>
        <w:rPr>
          <w:rFonts w:ascii="Times New Roman" w:hAnsi="Times New Roman" w:eastAsia="Times New Roman" w:cs="Times New Roman"/>
          <w:spacing w:val="23"/>
          <w:sz w:val="16"/>
          <w:szCs w:val="16"/>
        </w:rPr>
        <w:t>7</w:t>
      </w:r>
      <w:r>
        <w:rPr>
          <w:rFonts w:ascii="宋体" w:hAnsi="宋体" w:eastAsia="宋体" w:cs="宋体"/>
          <w:spacing w:val="23"/>
          <w:sz w:val="16"/>
          <w:szCs w:val="16"/>
        </w:rPr>
        <w:t>～</w:t>
      </w:r>
      <w:r>
        <w:rPr>
          <w:rFonts w:ascii="Times New Roman" w:hAnsi="Times New Roman" w:eastAsia="Times New Roman" w:cs="Times New Roman"/>
          <w:sz w:val="16"/>
          <w:szCs w:val="16"/>
        </w:rPr>
        <w:t>IT</w:t>
      </w:r>
      <w:r>
        <w:rPr>
          <w:rFonts w:ascii="Times New Roman" w:hAnsi="Times New Roman" w:eastAsia="Times New Roman" w:cs="Times New Roman"/>
          <w:spacing w:val="23"/>
          <w:sz w:val="16"/>
          <w:szCs w:val="16"/>
        </w:rPr>
        <w:t>8,</w:t>
      </w:r>
      <w:r>
        <w:rPr>
          <w:rFonts w:ascii="Times New Roman" w:hAnsi="Times New Roman" w:eastAsia="Times New Roman" w:cs="Times New Roman"/>
          <w:spacing w:val="5"/>
          <w:sz w:val="16"/>
          <w:szCs w:val="16"/>
        </w:rPr>
        <w:t xml:space="preserve">      </w:t>
      </w:r>
      <w:r>
        <w:rPr>
          <w:rFonts w:ascii="宋体" w:hAnsi="宋体" w:eastAsia="宋体" w:cs="宋体"/>
          <w:spacing w:val="23"/>
          <w:sz w:val="16"/>
          <w:szCs w:val="16"/>
        </w:rPr>
        <w:t>表面粗糙度不低于</w:t>
      </w:r>
      <w:r>
        <w:rPr>
          <w:rFonts w:ascii="宋体" w:hAnsi="宋体" w:eastAsia="宋体" w:cs="宋体"/>
          <w:spacing w:val="3"/>
          <w:sz w:val="16"/>
          <w:szCs w:val="16"/>
        </w:rPr>
        <w:t xml:space="preserve"> </w:t>
      </w:r>
      <w:r>
        <w:rPr>
          <w:rFonts w:ascii="Times New Roman" w:hAnsi="Times New Roman" w:eastAsia="Times New Roman" w:cs="Times New Roman"/>
          <w:spacing w:val="-1"/>
          <w:sz w:val="16"/>
          <w:szCs w:val="16"/>
        </w:rPr>
        <w:t>Ra3.2</w:t>
      </w:r>
      <w:r>
        <w:rPr>
          <w:rFonts w:ascii="宋体" w:hAnsi="宋体" w:eastAsia="宋体" w:cs="宋体"/>
          <w:spacing w:val="-1"/>
          <w:sz w:val="16"/>
          <w:szCs w:val="16"/>
        </w:rPr>
        <w:t>。</w:t>
      </w:r>
    </w:p>
    <w:p w14:paraId="38031A17">
      <w:pPr>
        <w:spacing w:before="62" w:line="310" w:lineRule="auto"/>
        <w:ind w:left="290" w:right="903" w:firstLine="79"/>
        <w:rPr>
          <w:rFonts w:ascii="宋体" w:hAnsi="宋体" w:eastAsia="宋体" w:cs="宋体"/>
          <w:sz w:val="16"/>
          <w:szCs w:val="16"/>
        </w:rPr>
      </w:pPr>
      <w:r>
        <w:rPr>
          <w:rFonts w:ascii="宋体" w:hAnsi="宋体" w:eastAsia="宋体" w:cs="宋体"/>
          <w:spacing w:val="9"/>
          <w:sz w:val="16"/>
          <w:szCs w:val="16"/>
        </w:rPr>
        <w:t>4.能铣削平面、曲面、轮廓、阶台，钻铣孔</w:t>
      </w:r>
      <w:r>
        <w:rPr>
          <w:rFonts w:ascii="宋体" w:hAnsi="宋体" w:eastAsia="宋体" w:cs="宋体"/>
          <w:spacing w:val="5"/>
          <w:sz w:val="16"/>
          <w:szCs w:val="16"/>
        </w:rPr>
        <w:t xml:space="preserve"> </w:t>
      </w:r>
      <w:r>
        <w:rPr>
          <w:rFonts w:ascii="宋体" w:hAnsi="宋体" w:eastAsia="宋体" w:cs="宋体"/>
          <w:spacing w:val="15"/>
          <w:sz w:val="16"/>
          <w:szCs w:val="16"/>
        </w:rPr>
        <w:t>【测试赋分】</w:t>
      </w:r>
    </w:p>
    <w:p w14:paraId="04E38769">
      <w:pPr>
        <w:spacing w:before="42" w:line="322" w:lineRule="auto"/>
        <w:ind w:right="320" w:firstLine="370"/>
        <w:rPr>
          <w:rFonts w:ascii="宋体" w:hAnsi="宋体" w:eastAsia="宋体" w:cs="宋体"/>
          <w:sz w:val="16"/>
          <w:szCs w:val="16"/>
        </w:rPr>
      </w:pPr>
      <w:r>
        <w:rPr>
          <w:rFonts w:ascii="宋体" w:hAnsi="宋体" w:eastAsia="宋体" w:cs="宋体"/>
          <w:spacing w:val="5"/>
          <w:sz w:val="16"/>
          <w:szCs w:val="16"/>
        </w:rPr>
        <w:t>1.按所给的工艺卡合理填写工序内容，夹具，工具，</w:t>
      </w:r>
      <w:r>
        <w:rPr>
          <w:rFonts w:ascii="宋体" w:hAnsi="宋体" w:eastAsia="宋体" w:cs="宋体"/>
          <w:spacing w:val="8"/>
          <w:sz w:val="16"/>
          <w:szCs w:val="16"/>
        </w:rPr>
        <w:t xml:space="preserve"> </w:t>
      </w:r>
      <w:r>
        <w:rPr>
          <w:rFonts w:ascii="宋体" w:hAnsi="宋体" w:eastAsia="宋体" w:cs="宋体"/>
          <w:spacing w:val="2"/>
          <w:sz w:val="16"/>
          <w:szCs w:val="16"/>
        </w:rPr>
        <w:t>量具</w:t>
      </w:r>
      <w:r>
        <w:rPr>
          <w:rFonts w:ascii="宋体" w:hAnsi="宋体" w:eastAsia="宋体" w:cs="宋体"/>
          <w:sz w:val="16"/>
          <w:szCs w:val="16"/>
        </w:rPr>
        <w:t xml:space="preserve">                                    </w:t>
      </w:r>
      <w:r>
        <w:rPr>
          <w:rFonts w:ascii="宋体" w:hAnsi="宋体" w:eastAsia="宋体" w:cs="宋体"/>
          <w:spacing w:val="2"/>
          <w:sz w:val="16"/>
          <w:szCs w:val="16"/>
        </w:rPr>
        <w:t>2</w:t>
      </w:r>
      <w:r>
        <w:rPr>
          <w:rFonts w:ascii="宋体" w:hAnsi="宋体" w:eastAsia="宋体" w:cs="宋体"/>
          <w:spacing w:val="-12"/>
          <w:sz w:val="16"/>
          <w:szCs w:val="16"/>
        </w:rPr>
        <w:t xml:space="preserve"> </w:t>
      </w:r>
      <w:r>
        <w:rPr>
          <w:rFonts w:ascii="宋体" w:hAnsi="宋体" w:eastAsia="宋体" w:cs="宋体"/>
          <w:spacing w:val="2"/>
          <w:sz w:val="16"/>
          <w:szCs w:val="16"/>
        </w:rPr>
        <w:t>5</w:t>
      </w:r>
      <w:r>
        <w:rPr>
          <w:rFonts w:ascii="宋体" w:hAnsi="宋体" w:eastAsia="宋体" w:cs="宋体"/>
          <w:spacing w:val="-24"/>
          <w:sz w:val="16"/>
          <w:szCs w:val="16"/>
        </w:rPr>
        <w:t xml:space="preserve"> </w:t>
      </w:r>
      <w:r>
        <w:rPr>
          <w:rFonts w:ascii="宋体" w:hAnsi="宋体" w:eastAsia="宋体" w:cs="宋体"/>
          <w:spacing w:val="2"/>
          <w:sz w:val="16"/>
          <w:szCs w:val="16"/>
        </w:rPr>
        <w:t>分</w:t>
      </w:r>
    </w:p>
    <w:p w14:paraId="48AC2AB2">
      <w:pPr>
        <w:spacing w:before="11" w:line="185" w:lineRule="auto"/>
        <w:ind w:left="370"/>
        <w:rPr>
          <w:rFonts w:ascii="宋体" w:hAnsi="宋体" w:eastAsia="宋体" w:cs="宋体"/>
          <w:sz w:val="16"/>
          <w:szCs w:val="16"/>
        </w:rPr>
      </w:pPr>
      <w:r>
        <w:rPr>
          <w:rFonts w:ascii="宋体" w:hAnsi="宋体" w:eastAsia="宋体" w:cs="宋体"/>
          <w:spacing w:val="12"/>
          <w:sz w:val="16"/>
          <w:szCs w:val="16"/>
        </w:rPr>
        <w:t>2.基本操作规范</w:t>
      </w:r>
      <w:r>
        <w:rPr>
          <w:rFonts w:ascii="宋体" w:hAnsi="宋体" w:eastAsia="宋体" w:cs="宋体"/>
          <w:spacing w:val="1"/>
          <w:sz w:val="16"/>
          <w:szCs w:val="16"/>
        </w:rPr>
        <w:t xml:space="preserve">                     </w:t>
      </w:r>
      <w:r>
        <w:rPr>
          <w:rFonts w:ascii="宋体" w:hAnsi="宋体" w:eastAsia="宋体" w:cs="宋体"/>
          <w:spacing w:val="12"/>
          <w:sz w:val="16"/>
          <w:szCs w:val="16"/>
        </w:rPr>
        <w:t>30分</w:t>
      </w:r>
    </w:p>
    <w:p w14:paraId="2BA21679">
      <w:pPr>
        <w:pStyle w:val="2"/>
        <w:spacing w:line="14" w:lineRule="auto"/>
        <w:rPr>
          <w:sz w:val="2"/>
        </w:rPr>
      </w:pPr>
      <w:r>
        <w:rPr>
          <w:sz w:val="2"/>
          <w:szCs w:val="2"/>
        </w:rPr>
        <w:br w:type="column"/>
      </w:r>
    </w:p>
    <w:p w14:paraId="4FDEDC44">
      <w:pPr>
        <w:spacing w:before="38" w:line="220" w:lineRule="auto"/>
        <w:ind w:left="359"/>
        <w:rPr>
          <w:rFonts w:ascii="宋体" w:hAnsi="宋体" w:eastAsia="宋体" w:cs="宋体"/>
          <w:sz w:val="20"/>
          <w:szCs w:val="20"/>
        </w:rPr>
      </w:pPr>
      <w:r>
        <w:rPr>
          <w:rFonts w:ascii="宋体" w:hAnsi="宋体" w:eastAsia="宋体" w:cs="宋体"/>
          <w:spacing w:val="4"/>
          <w:sz w:val="16"/>
          <w:szCs w:val="16"/>
        </w:rPr>
        <w:t>3.零件形位精度</w:t>
      </w:r>
      <w:r>
        <w:rPr>
          <w:rFonts w:ascii="宋体" w:hAnsi="宋体" w:eastAsia="宋体" w:cs="宋体"/>
          <w:spacing w:val="1"/>
          <w:sz w:val="16"/>
          <w:szCs w:val="16"/>
        </w:rPr>
        <w:t xml:space="preserve">                     </w:t>
      </w:r>
      <w:r>
        <w:rPr>
          <w:rFonts w:ascii="宋体" w:hAnsi="宋体" w:eastAsia="宋体" w:cs="宋体"/>
          <w:spacing w:val="4"/>
          <w:sz w:val="20"/>
          <w:szCs w:val="20"/>
        </w:rPr>
        <w:t>40分</w:t>
      </w:r>
    </w:p>
    <w:p w14:paraId="29661029">
      <w:pPr>
        <w:spacing w:before="88" w:line="219" w:lineRule="auto"/>
        <w:ind w:left="359"/>
        <w:rPr>
          <w:rFonts w:ascii="宋体" w:hAnsi="宋体" w:eastAsia="宋体" w:cs="宋体"/>
          <w:sz w:val="16"/>
          <w:szCs w:val="16"/>
        </w:rPr>
      </w:pPr>
      <w:r>
        <w:rPr>
          <w:rFonts w:ascii="宋体" w:hAnsi="宋体" w:eastAsia="宋体" w:cs="宋体"/>
          <w:spacing w:val="12"/>
          <w:sz w:val="16"/>
          <w:szCs w:val="16"/>
        </w:rPr>
        <w:t>4.加工零件的尺寸精度</w:t>
      </w:r>
      <w:r>
        <w:rPr>
          <w:rFonts w:ascii="宋体" w:hAnsi="宋体" w:eastAsia="宋体" w:cs="宋体"/>
          <w:spacing w:val="3"/>
          <w:sz w:val="16"/>
          <w:szCs w:val="16"/>
        </w:rPr>
        <w:t xml:space="preserve">              </w:t>
      </w:r>
      <w:r>
        <w:rPr>
          <w:rFonts w:ascii="宋体" w:hAnsi="宋体" w:eastAsia="宋体" w:cs="宋体"/>
          <w:spacing w:val="12"/>
          <w:sz w:val="16"/>
          <w:szCs w:val="16"/>
        </w:rPr>
        <w:t>100分</w:t>
      </w:r>
    </w:p>
    <w:p w14:paraId="287C633E">
      <w:pPr>
        <w:spacing w:before="63" w:line="220" w:lineRule="auto"/>
        <w:ind w:left="359"/>
        <w:rPr>
          <w:rFonts w:ascii="宋体" w:hAnsi="宋体" w:eastAsia="宋体" w:cs="宋体"/>
          <w:sz w:val="20"/>
          <w:szCs w:val="20"/>
        </w:rPr>
      </w:pPr>
      <w:r>
        <w:rPr>
          <w:rFonts w:ascii="宋体" w:hAnsi="宋体" w:eastAsia="宋体" w:cs="宋体"/>
          <w:spacing w:val="7"/>
          <w:sz w:val="16"/>
          <w:szCs w:val="16"/>
        </w:rPr>
        <w:t>5.加工零件的表面粗糙度</w:t>
      </w:r>
      <w:r>
        <w:rPr>
          <w:rFonts w:ascii="宋体" w:hAnsi="宋体" w:eastAsia="宋体" w:cs="宋体"/>
          <w:spacing w:val="5"/>
          <w:sz w:val="16"/>
          <w:szCs w:val="16"/>
        </w:rPr>
        <w:t xml:space="preserve">            </w:t>
      </w:r>
      <w:r>
        <w:rPr>
          <w:rFonts w:ascii="宋体" w:hAnsi="宋体" w:eastAsia="宋体" w:cs="宋体"/>
          <w:spacing w:val="7"/>
          <w:sz w:val="20"/>
          <w:szCs w:val="20"/>
        </w:rPr>
        <w:t>30分</w:t>
      </w:r>
    </w:p>
    <w:p w14:paraId="03258A63">
      <w:pPr>
        <w:spacing w:before="89" w:line="219" w:lineRule="auto"/>
        <w:ind w:left="359"/>
        <w:rPr>
          <w:rFonts w:ascii="宋体" w:hAnsi="宋体" w:eastAsia="宋体" w:cs="宋体"/>
          <w:sz w:val="16"/>
          <w:szCs w:val="16"/>
        </w:rPr>
      </w:pPr>
      <w:r>
        <w:rPr>
          <w:rFonts w:ascii="宋体" w:hAnsi="宋体" w:eastAsia="宋体" w:cs="宋体"/>
          <w:spacing w:val="5"/>
          <w:sz w:val="16"/>
          <w:szCs w:val="16"/>
        </w:rPr>
        <w:t>6.根据职业素养评分要求，现场给分</w:t>
      </w:r>
      <w:r>
        <w:rPr>
          <w:rFonts w:ascii="宋体" w:hAnsi="宋体" w:eastAsia="宋体" w:cs="宋体"/>
          <w:spacing w:val="21"/>
          <w:w w:val="101"/>
          <w:sz w:val="16"/>
          <w:szCs w:val="16"/>
        </w:rPr>
        <w:t xml:space="preserve">   </w:t>
      </w:r>
      <w:r>
        <w:rPr>
          <w:rFonts w:ascii="宋体" w:hAnsi="宋体" w:eastAsia="宋体" w:cs="宋体"/>
          <w:spacing w:val="5"/>
          <w:sz w:val="16"/>
          <w:szCs w:val="16"/>
        </w:rPr>
        <w:t>25分</w:t>
      </w:r>
    </w:p>
    <w:p w14:paraId="3BF4C64E">
      <w:pPr>
        <w:pStyle w:val="2"/>
        <w:spacing w:line="312" w:lineRule="auto"/>
      </w:pPr>
    </w:p>
    <w:p w14:paraId="69592E83">
      <w:pPr>
        <w:spacing w:before="65" w:line="219" w:lineRule="auto"/>
        <w:ind w:left="892"/>
        <w:rPr>
          <w:rFonts w:ascii="宋体" w:hAnsi="宋体" w:eastAsia="宋体" w:cs="宋体"/>
          <w:sz w:val="20"/>
          <w:szCs w:val="20"/>
        </w:rPr>
      </w:pPr>
      <w:r>
        <w:rPr>
          <w:rFonts w:ascii="宋体" w:hAnsi="宋体" w:eastAsia="宋体" w:cs="宋体"/>
          <w:b/>
          <w:bCs/>
          <w:spacing w:val="-2"/>
          <w:sz w:val="20"/>
          <w:szCs w:val="20"/>
        </w:rPr>
        <w:t>项目六</w:t>
      </w:r>
      <w:r>
        <w:rPr>
          <w:rFonts w:ascii="宋体" w:hAnsi="宋体" w:eastAsia="宋体" w:cs="宋体"/>
          <w:spacing w:val="93"/>
          <w:sz w:val="20"/>
          <w:szCs w:val="20"/>
        </w:rPr>
        <w:t xml:space="preserve"> </w:t>
      </w:r>
      <w:r>
        <w:rPr>
          <w:rFonts w:ascii="宋体" w:hAnsi="宋体" w:eastAsia="宋体" w:cs="宋体"/>
          <w:b/>
          <w:bCs/>
          <w:spacing w:val="-2"/>
          <w:sz w:val="20"/>
          <w:szCs w:val="20"/>
        </w:rPr>
        <w:t>汽车维修技能考核</w:t>
      </w:r>
    </w:p>
    <w:p w14:paraId="4638ADFD">
      <w:pPr>
        <w:pStyle w:val="2"/>
        <w:spacing w:line="290" w:lineRule="auto"/>
      </w:pPr>
    </w:p>
    <w:p w14:paraId="44789352">
      <w:pPr>
        <w:spacing w:before="53" w:line="221" w:lineRule="auto"/>
        <w:ind w:left="359"/>
        <w:rPr>
          <w:rFonts w:ascii="宋体" w:hAnsi="宋体" w:eastAsia="宋体" w:cs="宋体"/>
          <w:sz w:val="16"/>
          <w:szCs w:val="16"/>
        </w:rPr>
      </w:pPr>
      <w:r>
        <w:rPr>
          <w:rFonts w:ascii="宋体" w:hAnsi="宋体" w:eastAsia="宋体" w:cs="宋体"/>
          <w:spacing w:val="16"/>
          <w:sz w:val="16"/>
          <w:szCs w:val="16"/>
        </w:rPr>
        <w:t>【测试用具】</w:t>
      </w:r>
    </w:p>
    <w:p w14:paraId="50241377">
      <w:pPr>
        <w:spacing w:before="116" w:line="317" w:lineRule="auto"/>
        <w:ind w:firstLine="359"/>
        <w:jc w:val="both"/>
        <w:rPr>
          <w:rFonts w:ascii="宋体" w:hAnsi="宋体" w:eastAsia="宋体" w:cs="宋体"/>
          <w:sz w:val="16"/>
          <w:szCs w:val="16"/>
        </w:rPr>
      </w:pPr>
      <w:r>
        <w:rPr>
          <w:rFonts w:ascii="宋体" w:hAnsi="宋体" w:eastAsia="宋体" w:cs="宋体"/>
          <w:spacing w:val="11"/>
          <w:sz w:val="16"/>
          <w:szCs w:val="16"/>
        </w:rPr>
        <w:t>量缸表、游标卡尺、千分尺、塞尺、百分表、百分</w:t>
      </w:r>
      <w:r>
        <w:rPr>
          <w:rFonts w:ascii="宋体" w:hAnsi="宋体" w:eastAsia="宋体" w:cs="宋体"/>
          <w:spacing w:val="2"/>
          <w:sz w:val="16"/>
          <w:szCs w:val="16"/>
        </w:rPr>
        <w:t xml:space="preserve">  </w:t>
      </w:r>
      <w:r>
        <w:rPr>
          <w:rFonts w:ascii="宋体" w:hAnsi="宋体" w:eastAsia="宋体" w:cs="宋体"/>
          <w:spacing w:val="13"/>
          <w:sz w:val="16"/>
          <w:szCs w:val="16"/>
        </w:rPr>
        <w:t>表座架、</w:t>
      </w:r>
      <w:r>
        <w:rPr>
          <w:rFonts w:ascii="Times New Roman" w:hAnsi="Times New Roman" w:eastAsia="Times New Roman" w:cs="Times New Roman"/>
          <w:spacing w:val="13"/>
          <w:sz w:val="16"/>
          <w:szCs w:val="16"/>
        </w:rPr>
        <w:t>V</w:t>
      </w:r>
      <w:r>
        <w:rPr>
          <w:rFonts w:ascii="Times New Roman" w:hAnsi="Times New Roman" w:eastAsia="Times New Roman" w:cs="Times New Roman"/>
          <w:spacing w:val="18"/>
          <w:sz w:val="16"/>
          <w:szCs w:val="16"/>
        </w:rPr>
        <w:t xml:space="preserve"> </w:t>
      </w:r>
      <w:r>
        <w:rPr>
          <w:rFonts w:ascii="宋体" w:hAnsi="宋体" w:eastAsia="宋体" w:cs="宋体"/>
          <w:spacing w:val="13"/>
          <w:sz w:val="16"/>
          <w:szCs w:val="16"/>
        </w:rPr>
        <w:t>型块等(曲柄连杆机构和缸体拆装与测量)、</w:t>
      </w:r>
      <w:r>
        <w:rPr>
          <w:rFonts w:ascii="宋体" w:hAnsi="宋体" w:eastAsia="宋体" w:cs="宋体"/>
          <w:sz w:val="16"/>
          <w:szCs w:val="16"/>
        </w:rPr>
        <w:t xml:space="preserve"> </w:t>
      </w:r>
      <w:r>
        <w:rPr>
          <w:rFonts w:ascii="宋体" w:hAnsi="宋体" w:eastAsia="宋体" w:cs="宋体"/>
          <w:spacing w:val="14"/>
          <w:sz w:val="16"/>
          <w:szCs w:val="16"/>
        </w:rPr>
        <w:t>举升机、专用工具(机油滤清器扳手、内饰板撬件等)、</w:t>
      </w:r>
      <w:r>
        <w:rPr>
          <w:rFonts w:ascii="宋体" w:hAnsi="宋体" w:eastAsia="宋体" w:cs="宋体"/>
          <w:spacing w:val="8"/>
          <w:sz w:val="16"/>
          <w:szCs w:val="16"/>
        </w:rPr>
        <w:t xml:space="preserve"> </w:t>
      </w:r>
      <w:r>
        <w:rPr>
          <w:rFonts w:ascii="宋体" w:hAnsi="宋体" w:eastAsia="宋体" w:cs="宋体"/>
          <w:spacing w:val="6"/>
          <w:sz w:val="16"/>
          <w:szCs w:val="16"/>
        </w:rPr>
        <w:t>温度计、压力表等。</w:t>
      </w:r>
    </w:p>
    <w:p w14:paraId="5A9F2BCB">
      <w:pPr>
        <w:spacing w:before="43" w:line="219" w:lineRule="auto"/>
        <w:ind w:left="359"/>
        <w:rPr>
          <w:rFonts w:ascii="宋体" w:hAnsi="宋体" w:eastAsia="宋体" w:cs="宋体"/>
          <w:sz w:val="16"/>
          <w:szCs w:val="16"/>
        </w:rPr>
      </w:pPr>
      <w:r>
        <w:rPr>
          <w:rFonts w:ascii="宋体" w:hAnsi="宋体" w:eastAsia="宋体" w:cs="宋体"/>
          <w:spacing w:val="16"/>
          <w:sz w:val="16"/>
          <w:szCs w:val="16"/>
        </w:rPr>
        <w:t>【测试内容】</w:t>
      </w:r>
    </w:p>
    <w:p w14:paraId="3DD90B49">
      <w:pPr>
        <w:spacing w:before="98" w:line="334" w:lineRule="auto"/>
        <w:ind w:right="70" w:firstLine="359"/>
        <w:rPr>
          <w:rFonts w:ascii="宋体" w:hAnsi="宋体" w:eastAsia="宋体" w:cs="宋体"/>
          <w:sz w:val="16"/>
          <w:szCs w:val="16"/>
        </w:rPr>
      </w:pPr>
      <w:r>
        <w:rPr>
          <w:rFonts w:ascii="宋体" w:hAnsi="宋体" w:eastAsia="宋体" w:cs="宋体"/>
          <w:spacing w:val="11"/>
          <w:sz w:val="16"/>
          <w:szCs w:val="16"/>
        </w:rPr>
        <w:t>机械零部件测量；汽车总成、部件及组件拆装；专</w:t>
      </w:r>
      <w:r>
        <w:rPr>
          <w:rFonts w:ascii="宋体" w:hAnsi="宋体" w:eastAsia="宋体" w:cs="宋体"/>
          <w:spacing w:val="5"/>
          <w:sz w:val="16"/>
          <w:szCs w:val="16"/>
        </w:rPr>
        <w:t xml:space="preserve"> </w:t>
      </w:r>
      <w:r>
        <w:rPr>
          <w:rFonts w:ascii="宋体" w:hAnsi="宋体" w:eastAsia="宋体" w:cs="宋体"/>
          <w:spacing w:val="8"/>
          <w:sz w:val="16"/>
          <w:szCs w:val="16"/>
        </w:rPr>
        <w:t>业设备和仪器的使用；汽车维护等。</w:t>
      </w:r>
    </w:p>
    <w:p w14:paraId="3D733EA4">
      <w:pPr>
        <w:spacing w:before="4" w:line="221" w:lineRule="auto"/>
        <w:ind w:left="359"/>
        <w:rPr>
          <w:rFonts w:ascii="宋体" w:hAnsi="宋体" w:eastAsia="宋体" w:cs="宋体"/>
          <w:sz w:val="16"/>
          <w:szCs w:val="16"/>
        </w:rPr>
      </w:pPr>
      <w:r>
        <w:rPr>
          <w:rFonts w:ascii="宋体" w:hAnsi="宋体" w:eastAsia="宋体" w:cs="宋体"/>
          <w:spacing w:val="16"/>
          <w:sz w:val="16"/>
          <w:szCs w:val="16"/>
        </w:rPr>
        <w:t>【测试方法】</w:t>
      </w:r>
    </w:p>
    <w:p w14:paraId="12760556">
      <w:pPr>
        <w:spacing w:before="96" w:line="219" w:lineRule="auto"/>
        <w:ind w:left="359"/>
        <w:rPr>
          <w:rFonts w:ascii="宋体" w:hAnsi="宋体" w:eastAsia="宋体" w:cs="宋体"/>
          <w:sz w:val="16"/>
          <w:szCs w:val="16"/>
        </w:rPr>
      </w:pPr>
      <w:r>
        <w:rPr>
          <w:rFonts w:ascii="宋体" w:hAnsi="宋体" w:eastAsia="宋体" w:cs="宋体"/>
          <w:spacing w:val="7"/>
          <w:sz w:val="16"/>
          <w:szCs w:val="16"/>
        </w:rPr>
        <w:t>1.机械零部件测量</w:t>
      </w:r>
    </w:p>
    <w:p w14:paraId="63928001">
      <w:pPr>
        <w:spacing w:before="110" w:line="217" w:lineRule="auto"/>
        <w:ind w:left="359"/>
        <w:rPr>
          <w:rFonts w:ascii="宋体" w:hAnsi="宋体" w:eastAsia="宋体" w:cs="宋体"/>
          <w:sz w:val="16"/>
          <w:szCs w:val="16"/>
        </w:rPr>
      </w:pPr>
      <w:r>
        <w:rPr>
          <w:rFonts w:ascii="宋体" w:hAnsi="宋体" w:eastAsia="宋体" w:cs="宋体"/>
          <w:spacing w:val="8"/>
          <w:sz w:val="16"/>
          <w:szCs w:val="16"/>
        </w:rPr>
        <w:t>①合理选择和规范使用工具、仪器、仪表、量具；</w:t>
      </w:r>
    </w:p>
    <w:p w14:paraId="07989072">
      <w:pPr>
        <w:spacing w:before="102" w:line="217" w:lineRule="auto"/>
        <w:ind w:left="359"/>
        <w:rPr>
          <w:rFonts w:ascii="宋体" w:hAnsi="宋体" w:eastAsia="宋体" w:cs="宋体"/>
          <w:sz w:val="16"/>
          <w:szCs w:val="16"/>
        </w:rPr>
      </w:pPr>
      <w:r>
        <w:rPr>
          <w:rFonts w:ascii="宋体" w:hAnsi="宋体" w:eastAsia="宋体" w:cs="宋体"/>
          <w:spacing w:val="7"/>
          <w:sz w:val="16"/>
          <w:szCs w:val="16"/>
        </w:rPr>
        <w:t>②作业项目齐全；作业流程合理；</w:t>
      </w:r>
    </w:p>
    <w:p w14:paraId="681F40D6">
      <w:pPr>
        <w:spacing w:before="92" w:line="217" w:lineRule="auto"/>
        <w:ind w:left="359"/>
        <w:rPr>
          <w:rFonts w:ascii="宋体" w:hAnsi="宋体" w:eastAsia="宋体" w:cs="宋体"/>
          <w:sz w:val="16"/>
          <w:szCs w:val="16"/>
        </w:rPr>
      </w:pPr>
      <w:r>
        <w:rPr>
          <w:rFonts w:ascii="宋体" w:hAnsi="宋体" w:eastAsia="宋体" w:cs="宋体"/>
          <w:spacing w:val="8"/>
          <w:sz w:val="16"/>
          <w:szCs w:val="16"/>
        </w:rPr>
        <w:t>③量具的使用、读数方法、读数结果正确；</w:t>
      </w:r>
    </w:p>
    <w:p w14:paraId="48997EC4">
      <w:pPr>
        <w:spacing w:before="112" w:line="217" w:lineRule="auto"/>
        <w:ind w:left="359"/>
        <w:rPr>
          <w:rFonts w:ascii="宋体" w:hAnsi="宋体" w:eastAsia="宋体" w:cs="宋体"/>
          <w:sz w:val="16"/>
          <w:szCs w:val="16"/>
        </w:rPr>
      </w:pPr>
      <w:r>
        <w:rPr>
          <w:rFonts w:ascii="宋体" w:hAnsi="宋体" w:eastAsia="宋体" w:cs="宋体"/>
          <w:spacing w:val="6"/>
          <w:sz w:val="16"/>
          <w:szCs w:val="16"/>
        </w:rPr>
        <w:t>④量缸表能正确组装；</w:t>
      </w:r>
    </w:p>
    <w:p w14:paraId="733A6C60">
      <w:pPr>
        <w:spacing w:before="101" w:line="217" w:lineRule="auto"/>
        <w:ind w:left="359"/>
        <w:rPr>
          <w:rFonts w:ascii="宋体" w:hAnsi="宋体" w:eastAsia="宋体" w:cs="宋体"/>
          <w:sz w:val="16"/>
          <w:szCs w:val="16"/>
        </w:rPr>
      </w:pPr>
      <w:r>
        <w:rPr>
          <w:rFonts w:ascii="宋体" w:hAnsi="宋体" w:eastAsia="宋体" w:cs="宋体"/>
          <w:spacing w:val="8"/>
          <w:sz w:val="16"/>
          <w:szCs w:val="16"/>
        </w:rPr>
        <w:t>⑤根据要求测量机械零部件相应的数据；</w:t>
      </w:r>
    </w:p>
    <w:p w14:paraId="567334AD">
      <w:pPr>
        <w:spacing w:before="92" w:line="217" w:lineRule="auto"/>
        <w:ind w:left="359"/>
        <w:rPr>
          <w:rFonts w:ascii="宋体" w:hAnsi="宋体" w:eastAsia="宋体" w:cs="宋体"/>
          <w:sz w:val="16"/>
          <w:szCs w:val="16"/>
        </w:rPr>
      </w:pPr>
      <w:r>
        <w:rPr>
          <w:rFonts w:ascii="宋体" w:hAnsi="宋体" w:eastAsia="宋体" w:cs="宋体"/>
          <w:spacing w:val="7"/>
          <w:sz w:val="16"/>
          <w:szCs w:val="16"/>
        </w:rPr>
        <w:t>⑥相应数据的计算方法及结果正确；</w:t>
      </w:r>
    </w:p>
    <w:p w14:paraId="1512404F">
      <w:pPr>
        <w:spacing w:before="104" w:line="219" w:lineRule="auto"/>
        <w:ind w:left="359"/>
        <w:rPr>
          <w:rFonts w:ascii="宋体" w:hAnsi="宋体" w:eastAsia="宋体" w:cs="宋体"/>
          <w:sz w:val="16"/>
          <w:szCs w:val="16"/>
        </w:rPr>
      </w:pPr>
      <w:r>
        <w:rPr>
          <w:rFonts w:ascii="宋体" w:hAnsi="宋体" w:eastAsia="宋体" w:cs="宋体"/>
          <w:spacing w:val="9"/>
          <w:sz w:val="16"/>
          <w:szCs w:val="16"/>
        </w:rPr>
        <w:t>2.汽车总成、部件及组件拆装作业要求</w:t>
      </w:r>
    </w:p>
    <w:p w14:paraId="548B77CE">
      <w:pPr>
        <w:spacing w:before="108" w:line="217" w:lineRule="auto"/>
        <w:ind w:left="359"/>
        <w:rPr>
          <w:rFonts w:ascii="宋体" w:hAnsi="宋体" w:eastAsia="宋体" w:cs="宋体"/>
          <w:sz w:val="16"/>
          <w:szCs w:val="16"/>
        </w:rPr>
      </w:pPr>
      <w:r>
        <w:rPr>
          <w:rFonts w:ascii="宋体" w:hAnsi="宋体" w:eastAsia="宋体" w:cs="宋体"/>
          <w:spacing w:val="8"/>
          <w:sz w:val="16"/>
          <w:szCs w:val="16"/>
        </w:rPr>
        <w:t>①合理选择和规范使用工具、仪器、仪表、量具；</w:t>
      </w:r>
    </w:p>
    <w:p w14:paraId="3280CB8F">
      <w:pPr>
        <w:spacing w:before="92" w:line="217" w:lineRule="auto"/>
        <w:ind w:left="359"/>
        <w:rPr>
          <w:rFonts w:ascii="宋体" w:hAnsi="宋体" w:eastAsia="宋体" w:cs="宋体"/>
          <w:sz w:val="16"/>
          <w:szCs w:val="16"/>
        </w:rPr>
      </w:pPr>
      <w:r>
        <w:rPr>
          <w:rFonts w:ascii="宋体" w:hAnsi="宋体" w:eastAsia="宋体" w:cs="宋体"/>
          <w:spacing w:val="4"/>
          <w:sz w:val="16"/>
          <w:szCs w:val="16"/>
        </w:rPr>
        <w:t>②作业项目齐全；</w:t>
      </w:r>
    </w:p>
    <w:p w14:paraId="2B95B546">
      <w:pPr>
        <w:spacing w:before="112" w:line="217" w:lineRule="auto"/>
        <w:ind w:left="359"/>
        <w:rPr>
          <w:rFonts w:ascii="宋体" w:hAnsi="宋体" w:eastAsia="宋体" w:cs="宋体"/>
          <w:sz w:val="16"/>
          <w:szCs w:val="16"/>
        </w:rPr>
      </w:pPr>
      <w:r>
        <w:rPr>
          <w:rFonts w:ascii="宋体" w:hAnsi="宋体" w:eastAsia="宋体" w:cs="宋体"/>
          <w:spacing w:val="4"/>
          <w:sz w:val="16"/>
          <w:szCs w:val="16"/>
        </w:rPr>
        <w:t>③作业流程合理；</w:t>
      </w:r>
    </w:p>
    <w:p w14:paraId="0359A1B2">
      <w:pPr>
        <w:spacing w:before="102" w:line="272" w:lineRule="auto"/>
        <w:ind w:right="69" w:firstLine="359"/>
        <w:rPr>
          <w:rFonts w:ascii="宋体" w:hAnsi="宋体" w:eastAsia="宋体" w:cs="宋体"/>
          <w:sz w:val="16"/>
          <w:szCs w:val="16"/>
        </w:rPr>
      </w:pPr>
      <w:r>
        <w:rPr>
          <w:rFonts w:ascii="宋体" w:hAnsi="宋体" w:eastAsia="宋体" w:cs="宋体"/>
          <w:spacing w:val="18"/>
          <w:sz w:val="16"/>
          <w:szCs w:val="16"/>
        </w:rPr>
        <w:t>④根据要求检修并测量相应数据(多余需删除)汽</w:t>
      </w:r>
      <w:r>
        <w:rPr>
          <w:rFonts w:ascii="宋体" w:hAnsi="宋体" w:eastAsia="宋体" w:cs="宋体"/>
          <w:spacing w:val="13"/>
          <w:sz w:val="16"/>
          <w:szCs w:val="16"/>
        </w:rPr>
        <w:t xml:space="preserve"> </w:t>
      </w:r>
      <w:r>
        <w:rPr>
          <w:rFonts w:ascii="宋体" w:hAnsi="宋体" w:eastAsia="宋体" w:cs="宋体"/>
          <w:spacing w:val="7"/>
          <w:sz w:val="16"/>
          <w:szCs w:val="16"/>
        </w:rPr>
        <w:t>车总成、部件及组件相应的数据；</w:t>
      </w:r>
    </w:p>
    <w:p w14:paraId="5128FC6D">
      <w:pPr>
        <w:spacing w:before="99" w:line="217" w:lineRule="auto"/>
        <w:ind w:left="359"/>
        <w:rPr>
          <w:rFonts w:ascii="宋体" w:hAnsi="宋体" w:eastAsia="宋体" w:cs="宋体"/>
          <w:sz w:val="16"/>
          <w:szCs w:val="16"/>
        </w:rPr>
      </w:pPr>
      <w:r>
        <w:rPr>
          <w:rFonts w:ascii="宋体" w:hAnsi="宋体" w:eastAsia="宋体" w:cs="宋体"/>
          <w:spacing w:val="7"/>
          <w:sz w:val="16"/>
          <w:szCs w:val="16"/>
        </w:rPr>
        <w:t>⑤能根据检测数据进行分析；</w:t>
      </w:r>
    </w:p>
    <w:p w14:paraId="193C71E2">
      <w:pPr>
        <w:spacing w:before="112" w:line="217" w:lineRule="auto"/>
        <w:ind w:left="359"/>
        <w:rPr>
          <w:rFonts w:ascii="宋体" w:hAnsi="宋体" w:eastAsia="宋体" w:cs="宋体"/>
          <w:sz w:val="16"/>
          <w:szCs w:val="16"/>
        </w:rPr>
      </w:pPr>
      <w:r>
        <w:rPr>
          <w:rFonts w:ascii="宋体" w:hAnsi="宋体" w:eastAsia="宋体" w:cs="宋体"/>
          <w:spacing w:val="7"/>
          <w:sz w:val="16"/>
          <w:szCs w:val="16"/>
        </w:rPr>
        <w:t>⑥安全与文明作业。</w:t>
      </w:r>
    </w:p>
    <w:p w14:paraId="21A2D6E6">
      <w:pPr>
        <w:spacing w:before="104" w:line="219" w:lineRule="auto"/>
        <w:ind w:left="359"/>
        <w:rPr>
          <w:rFonts w:ascii="宋体" w:hAnsi="宋体" w:eastAsia="宋体" w:cs="宋体"/>
          <w:sz w:val="16"/>
          <w:szCs w:val="16"/>
        </w:rPr>
      </w:pPr>
      <w:r>
        <w:rPr>
          <w:rFonts w:ascii="宋体" w:hAnsi="宋体" w:eastAsia="宋体" w:cs="宋体"/>
          <w:spacing w:val="8"/>
          <w:sz w:val="16"/>
          <w:szCs w:val="16"/>
        </w:rPr>
        <w:t>3.汽车维护作业内容要求</w:t>
      </w:r>
    </w:p>
    <w:p w14:paraId="39C5F8F2">
      <w:pPr>
        <w:spacing w:before="88" w:line="217" w:lineRule="auto"/>
        <w:ind w:left="359"/>
        <w:rPr>
          <w:rFonts w:ascii="宋体" w:hAnsi="宋体" w:eastAsia="宋体" w:cs="宋体"/>
          <w:sz w:val="16"/>
          <w:szCs w:val="16"/>
        </w:rPr>
      </w:pPr>
      <w:r>
        <w:rPr>
          <w:rFonts w:ascii="宋体" w:hAnsi="宋体" w:eastAsia="宋体" w:cs="宋体"/>
          <w:spacing w:val="7"/>
          <w:sz w:val="16"/>
          <w:szCs w:val="16"/>
        </w:rPr>
        <w:t>①正确使用工具、量具、设备；</w:t>
      </w:r>
    </w:p>
    <w:p w14:paraId="59845053">
      <w:pPr>
        <w:spacing w:before="112" w:line="217" w:lineRule="auto"/>
        <w:ind w:left="359"/>
        <w:rPr>
          <w:rFonts w:ascii="宋体" w:hAnsi="宋体" w:eastAsia="宋体" w:cs="宋体"/>
          <w:sz w:val="16"/>
          <w:szCs w:val="16"/>
        </w:rPr>
      </w:pPr>
      <w:r>
        <w:rPr>
          <w:rFonts w:ascii="宋体" w:hAnsi="宋体" w:eastAsia="宋体" w:cs="宋体"/>
          <w:spacing w:val="4"/>
          <w:sz w:val="16"/>
          <w:szCs w:val="16"/>
        </w:rPr>
        <w:t>②作业项目齐全；</w:t>
      </w:r>
    </w:p>
    <w:p w14:paraId="3939EA2A">
      <w:pPr>
        <w:spacing w:before="102" w:line="217" w:lineRule="auto"/>
        <w:ind w:left="359"/>
        <w:rPr>
          <w:rFonts w:ascii="宋体" w:hAnsi="宋体" w:eastAsia="宋体" w:cs="宋体"/>
          <w:sz w:val="16"/>
          <w:szCs w:val="16"/>
        </w:rPr>
      </w:pPr>
      <w:r>
        <w:rPr>
          <w:rFonts w:ascii="宋体" w:hAnsi="宋体" w:eastAsia="宋体" w:cs="宋体"/>
          <w:spacing w:val="4"/>
          <w:sz w:val="16"/>
          <w:szCs w:val="16"/>
        </w:rPr>
        <w:t>③作业流程合理；</w:t>
      </w:r>
    </w:p>
    <w:p w14:paraId="40D583BF">
      <w:pPr>
        <w:spacing w:before="92" w:line="285" w:lineRule="auto"/>
        <w:ind w:right="72" w:firstLine="359"/>
        <w:rPr>
          <w:rFonts w:ascii="宋体" w:hAnsi="宋体" w:eastAsia="宋体" w:cs="宋体"/>
          <w:sz w:val="16"/>
          <w:szCs w:val="16"/>
        </w:rPr>
      </w:pPr>
      <w:r>
        <w:rPr>
          <w:rFonts w:ascii="宋体" w:hAnsi="宋体" w:eastAsia="宋体" w:cs="宋体"/>
          <w:spacing w:val="19"/>
          <w:sz w:val="16"/>
          <w:szCs w:val="16"/>
        </w:rPr>
        <w:t>④对维护的部件进行检测，并判断是否符合技术</w:t>
      </w:r>
      <w:r>
        <w:rPr>
          <w:rFonts w:ascii="宋体" w:hAnsi="宋体" w:eastAsia="宋体" w:cs="宋体"/>
          <w:spacing w:val="7"/>
          <w:sz w:val="16"/>
          <w:szCs w:val="16"/>
        </w:rPr>
        <w:t xml:space="preserve"> </w:t>
      </w:r>
      <w:r>
        <w:rPr>
          <w:rFonts w:ascii="宋体" w:hAnsi="宋体" w:eastAsia="宋体" w:cs="宋体"/>
          <w:spacing w:val="3"/>
          <w:sz w:val="16"/>
          <w:szCs w:val="16"/>
        </w:rPr>
        <w:t>要求；</w:t>
      </w:r>
    </w:p>
    <w:p w14:paraId="4F60AF91">
      <w:pPr>
        <w:spacing w:before="95" w:line="278" w:lineRule="auto"/>
        <w:ind w:left="359" w:right="1659"/>
        <w:rPr>
          <w:rFonts w:ascii="宋体" w:hAnsi="宋体" w:eastAsia="宋体" w:cs="宋体"/>
          <w:sz w:val="16"/>
          <w:szCs w:val="16"/>
        </w:rPr>
      </w:pPr>
      <w:r>
        <w:rPr>
          <w:rFonts w:ascii="宋体" w:hAnsi="宋体" w:eastAsia="宋体" w:cs="宋体"/>
          <w:spacing w:val="7"/>
          <w:sz w:val="16"/>
          <w:szCs w:val="16"/>
        </w:rPr>
        <w:t xml:space="preserve">⑤能根据检查数据进行分析； </w:t>
      </w:r>
      <w:r>
        <w:rPr>
          <w:rFonts w:ascii="宋体" w:hAnsi="宋体" w:eastAsia="宋体" w:cs="宋体"/>
          <w:spacing w:val="10"/>
          <w:sz w:val="16"/>
          <w:szCs w:val="16"/>
        </w:rPr>
        <w:t>4.安全文明生产及其它</w:t>
      </w:r>
    </w:p>
    <w:p w14:paraId="726E5070">
      <w:pPr>
        <w:spacing w:before="92" w:line="221" w:lineRule="auto"/>
        <w:ind w:left="359"/>
        <w:rPr>
          <w:rFonts w:ascii="宋体" w:hAnsi="宋体" w:eastAsia="宋体" w:cs="宋体"/>
          <w:sz w:val="16"/>
          <w:szCs w:val="16"/>
        </w:rPr>
      </w:pPr>
      <w:r>
        <w:rPr>
          <w:rFonts w:ascii="宋体" w:hAnsi="宋体" w:eastAsia="宋体" w:cs="宋体"/>
          <w:spacing w:val="16"/>
          <w:sz w:val="16"/>
          <w:szCs w:val="16"/>
        </w:rPr>
        <w:t>【测试要求】</w:t>
      </w:r>
    </w:p>
    <w:p w14:paraId="614560C2">
      <w:pPr>
        <w:spacing w:before="96" w:line="334" w:lineRule="auto"/>
        <w:ind w:right="72" w:firstLine="359"/>
        <w:rPr>
          <w:rFonts w:ascii="宋体" w:hAnsi="宋体" w:eastAsia="宋体" w:cs="宋体"/>
          <w:sz w:val="16"/>
          <w:szCs w:val="16"/>
        </w:rPr>
      </w:pPr>
      <w:r>
        <w:rPr>
          <w:rFonts w:ascii="宋体" w:hAnsi="宋体" w:eastAsia="宋体" w:cs="宋体"/>
          <w:spacing w:val="10"/>
          <w:sz w:val="16"/>
          <w:szCs w:val="16"/>
        </w:rPr>
        <w:t>1.机械零部件测量，合理选择和规范使用工具、仪</w:t>
      </w:r>
      <w:r>
        <w:rPr>
          <w:rFonts w:ascii="宋体" w:hAnsi="宋体" w:eastAsia="宋体" w:cs="宋体"/>
          <w:spacing w:val="16"/>
          <w:sz w:val="16"/>
          <w:szCs w:val="16"/>
        </w:rPr>
        <w:t xml:space="preserve"> </w:t>
      </w:r>
      <w:r>
        <w:rPr>
          <w:rFonts w:ascii="宋体" w:hAnsi="宋体" w:eastAsia="宋体" w:cs="宋体"/>
          <w:spacing w:val="5"/>
          <w:sz w:val="16"/>
          <w:szCs w:val="16"/>
        </w:rPr>
        <w:t>器、仪表、量具；</w:t>
      </w:r>
    </w:p>
    <w:p w14:paraId="5E80F5FE">
      <w:pPr>
        <w:spacing w:before="2" w:line="184" w:lineRule="auto"/>
        <w:ind w:left="359"/>
        <w:rPr>
          <w:rFonts w:ascii="宋体" w:hAnsi="宋体" w:eastAsia="宋体" w:cs="宋体"/>
          <w:sz w:val="16"/>
          <w:szCs w:val="16"/>
        </w:rPr>
      </w:pPr>
      <w:r>
        <w:rPr>
          <w:rFonts w:ascii="宋体" w:hAnsi="宋体" w:eastAsia="宋体" w:cs="宋体"/>
          <w:spacing w:val="10"/>
          <w:sz w:val="16"/>
          <w:szCs w:val="16"/>
        </w:rPr>
        <w:t>2.汽车总成、部件及组件拆装作业，要求合理选择</w:t>
      </w:r>
    </w:p>
    <w:p w14:paraId="79F800FF">
      <w:pPr>
        <w:spacing w:line="184" w:lineRule="auto"/>
        <w:rPr>
          <w:rFonts w:ascii="宋体" w:hAnsi="宋体" w:eastAsia="宋体" w:cs="宋体"/>
          <w:sz w:val="16"/>
          <w:szCs w:val="16"/>
        </w:rPr>
        <w:sectPr>
          <w:type w:val="continuous"/>
          <w:pgSz w:w="10660" w:h="15080"/>
          <w:pgMar w:top="400" w:right="850" w:bottom="917" w:left="1010" w:header="0" w:footer="709" w:gutter="0"/>
          <w:cols w:equalWidth="0" w:num="2">
            <w:col w:w="4501" w:space="100"/>
            <w:col w:w="4200"/>
          </w:cols>
        </w:sectPr>
      </w:pPr>
    </w:p>
    <w:p w14:paraId="5F606115">
      <w:pPr>
        <w:spacing w:before="10"/>
      </w:pPr>
    </w:p>
    <w:p w14:paraId="03847101">
      <w:pPr>
        <w:spacing w:before="10"/>
      </w:pPr>
    </w:p>
    <w:p w14:paraId="22D1759F">
      <w:pPr>
        <w:spacing w:before="9"/>
      </w:pPr>
    </w:p>
    <w:p w14:paraId="25661766">
      <w:pPr>
        <w:spacing w:before="9"/>
      </w:pPr>
    </w:p>
    <w:p w14:paraId="4D887277">
      <w:pPr>
        <w:sectPr>
          <w:footerReference r:id="rId108" w:type="default"/>
          <w:pgSz w:w="10660" w:h="15080"/>
          <w:pgMar w:top="400" w:right="975" w:bottom="936" w:left="819" w:header="0" w:footer="715" w:gutter="0"/>
          <w:cols w:equalWidth="0" w:num="1">
            <w:col w:w="8866"/>
          </w:cols>
        </w:sectPr>
      </w:pPr>
    </w:p>
    <w:p w14:paraId="493DC7B3">
      <w:pPr>
        <w:spacing w:before="12" w:line="219" w:lineRule="auto"/>
        <w:ind w:left="70"/>
        <w:rPr>
          <w:rFonts w:ascii="宋体" w:hAnsi="宋体" w:eastAsia="宋体" w:cs="宋体"/>
          <w:sz w:val="17"/>
          <w:szCs w:val="17"/>
        </w:rPr>
      </w:pPr>
      <w:r>
        <w:rPr>
          <w:rFonts w:ascii="宋体" w:hAnsi="宋体" w:eastAsia="宋体" w:cs="宋体"/>
          <w:spacing w:val="-3"/>
          <w:sz w:val="17"/>
          <w:szCs w:val="17"/>
        </w:rPr>
        <w:t>和规范使用工具、仪器、仪表、量具；</w:t>
      </w:r>
    </w:p>
    <w:p w14:paraId="1AE2D6E9">
      <w:pPr>
        <w:spacing w:before="77" w:line="302" w:lineRule="auto"/>
        <w:ind w:left="70" w:right="360" w:firstLine="359"/>
        <w:rPr>
          <w:rFonts w:ascii="宋体" w:hAnsi="宋体" w:eastAsia="宋体" w:cs="宋体"/>
          <w:sz w:val="17"/>
          <w:szCs w:val="17"/>
        </w:rPr>
      </w:pPr>
      <w:r>
        <w:rPr>
          <w:rFonts w:ascii="宋体" w:hAnsi="宋体" w:eastAsia="宋体" w:cs="宋体"/>
          <w:sz w:val="17"/>
          <w:szCs w:val="17"/>
        </w:rPr>
        <w:t>3.根据要求检修并测量相应数据汽车总成、部件及</w:t>
      </w:r>
      <w:r>
        <w:rPr>
          <w:rFonts w:ascii="宋体" w:hAnsi="宋体" w:eastAsia="宋体" w:cs="宋体"/>
          <w:spacing w:val="18"/>
          <w:sz w:val="17"/>
          <w:szCs w:val="17"/>
        </w:rPr>
        <w:t xml:space="preserve"> </w:t>
      </w:r>
      <w:r>
        <w:rPr>
          <w:rFonts w:ascii="宋体" w:hAnsi="宋体" w:eastAsia="宋体" w:cs="宋体"/>
          <w:spacing w:val="-3"/>
          <w:sz w:val="17"/>
          <w:szCs w:val="17"/>
        </w:rPr>
        <w:t>组件相应的数据；</w:t>
      </w:r>
    </w:p>
    <w:p w14:paraId="5DDB7A01">
      <w:pPr>
        <w:spacing w:before="34" w:line="292" w:lineRule="auto"/>
        <w:ind w:left="415" w:right="1924" w:firstLine="14"/>
        <w:rPr>
          <w:rFonts w:ascii="宋体" w:hAnsi="宋体" w:eastAsia="宋体" w:cs="宋体"/>
          <w:sz w:val="17"/>
          <w:szCs w:val="17"/>
        </w:rPr>
      </w:pPr>
      <w:r>
        <w:rPr>
          <w:rFonts w:ascii="宋体" w:hAnsi="宋体" w:eastAsia="宋体" w:cs="宋体"/>
          <w:spacing w:val="-2"/>
          <w:sz w:val="17"/>
          <w:szCs w:val="17"/>
        </w:rPr>
        <w:t>4.能根据检查数据进行分析。</w:t>
      </w:r>
      <w:r>
        <w:rPr>
          <w:rFonts w:ascii="宋体" w:hAnsi="宋体" w:eastAsia="宋体" w:cs="宋体"/>
          <w:spacing w:val="11"/>
          <w:sz w:val="17"/>
          <w:szCs w:val="17"/>
        </w:rPr>
        <w:t xml:space="preserve"> </w:t>
      </w:r>
      <w:r>
        <w:rPr>
          <w:rFonts w:ascii="宋体" w:hAnsi="宋体" w:eastAsia="宋体" w:cs="宋体"/>
          <w:spacing w:val="8"/>
          <w:sz w:val="17"/>
          <w:szCs w:val="17"/>
        </w:rPr>
        <w:t>【测试赋分】</w:t>
      </w:r>
    </w:p>
    <w:p w14:paraId="3F69995C">
      <w:pPr>
        <w:spacing w:before="42" w:line="312" w:lineRule="auto"/>
        <w:ind w:left="430" w:right="492"/>
        <w:jc w:val="both"/>
        <w:rPr>
          <w:rFonts w:ascii="宋体" w:hAnsi="宋体" w:eastAsia="宋体" w:cs="宋体"/>
          <w:sz w:val="17"/>
          <w:szCs w:val="17"/>
        </w:rPr>
      </w:pPr>
      <w:r>
        <w:rPr>
          <w:rFonts w:ascii="宋体" w:hAnsi="宋体" w:eastAsia="宋体" w:cs="宋体"/>
          <w:spacing w:val="2"/>
          <w:sz w:val="17"/>
          <w:szCs w:val="17"/>
        </w:rPr>
        <w:t>1.工量具、仪器、仪表、使用的规范性</w:t>
      </w:r>
      <w:r>
        <w:rPr>
          <w:rFonts w:ascii="宋体" w:hAnsi="宋体" w:eastAsia="宋体" w:cs="宋体"/>
          <w:spacing w:val="26"/>
          <w:sz w:val="17"/>
          <w:szCs w:val="17"/>
        </w:rPr>
        <w:t xml:space="preserve">   </w:t>
      </w:r>
      <w:r>
        <w:rPr>
          <w:rFonts w:ascii="宋体" w:hAnsi="宋体" w:eastAsia="宋体" w:cs="宋体"/>
          <w:spacing w:val="2"/>
          <w:sz w:val="17"/>
          <w:szCs w:val="17"/>
        </w:rPr>
        <w:t>25分</w:t>
      </w:r>
      <w:r>
        <w:rPr>
          <w:rFonts w:ascii="宋体" w:hAnsi="宋体" w:eastAsia="宋体" w:cs="宋体"/>
          <w:spacing w:val="1"/>
          <w:sz w:val="17"/>
          <w:szCs w:val="17"/>
        </w:rPr>
        <w:t xml:space="preserve"> </w:t>
      </w:r>
      <w:r>
        <w:rPr>
          <w:rFonts w:ascii="宋体" w:hAnsi="宋体" w:eastAsia="宋体" w:cs="宋体"/>
          <w:spacing w:val="3"/>
          <w:sz w:val="17"/>
          <w:szCs w:val="17"/>
        </w:rPr>
        <w:t>2.测量方法                           25分</w:t>
      </w:r>
      <w:r>
        <w:rPr>
          <w:rFonts w:ascii="宋体" w:hAnsi="宋体" w:eastAsia="宋体" w:cs="宋体"/>
          <w:spacing w:val="13"/>
          <w:sz w:val="17"/>
          <w:szCs w:val="17"/>
        </w:rPr>
        <w:t xml:space="preserve"> </w:t>
      </w:r>
      <w:r>
        <w:rPr>
          <w:rFonts w:ascii="宋体" w:hAnsi="宋体" w:eastAsia="宋体" w:cs="宋体"/>
          <w:spacing w:val="4"/>
          <w:sz w:val="17"/>
          <w:szCs w:val="17"/>
        </w:rPr>
        <w:t xml:space="preserve">3.测量结果的分析             </w:t>
      </w:r>
      <w:r>
        <w:rPr>
          <w:rFonts w:ascii="宋体" w:hAnsi="宋体" w:eastAsia="宋体" w:cs="宋体"/>
          <w:spacing w:val="3"/>
          <w:sz w:val="17"/>
          <w:szCs w:val="17"/>
        </w:rPr>
        <w:t xml:space="preserve">        50分</w:t>
      </w:r>
      <w:r>
        <w:rPr>
          <w:rFonts w:ascii="宋体" w:hAnsi="宋体" w:eastAsia="宋体" w:cs="宋体"/>
          <w:sz w:val="17"/>
          <w:szCs w:val="17"/>
        </w:rPr>
        <w:t xml:space="preserve"> </w:t>
      </w:r>
      <w:r>
        <w:rPr>
          <w:rFonts w:ascii="宋体" w:hAnsi="宋体" w:eastAsia="宋体" w:cs="宋体"/>
          <w:spacing w:val="2"/>
          <w:sz w:val="17"/>
          <w:szCs w:val="17"/>
        </w:rPr>
        <w:t>4.机械零部件检验结论</w:t>
      </w:r>
      <w:r>
        <w:rPr>
          <w:rFonts w:ascii="宋体" w:hAnsi="宋体" w:eastAsia="宋体" w:cs="宋体"/>
          <w:spacing w:val="5"/>
          <w:sz w:val="17"/>
          <w:szCs w:val="17"/>
        </w:rPr>
        <w:t xml:space="preserve">                 </w:t>
      </w:r>
      <w:r>
        <w:rPr>
          <w:rFonts w:ascii="宋体" w:hAnsi="宋体" w:eastAsia="宋体" w:cs="宋体"/>
          <w:spacing w:val="2"/>
          <w:sz w:val="17"/>
          <w:szCs w:val="17"/>
        </w:rPr>
        <w:t>20分</w:t>
      </w:r>
      <w:r>
        <w:rPr>
          <w:rFonts w:ascii="宋体" w:hAnsi="宋体" w:eastAsia="宋体" w:cs="宋体"/>
          <w:spacing w:val="8"/>
          <w:sz w:val="17"/>
          <w:szCs w:val="17"/>
        </w:rPr>
        <w:t xml:space="preserve"> </w:t>
      </w:r>
      <w:r>
        <w:rPr>
          <w:rFonts w:ascii="宋体" w:hAnsi="宋体" w:eastAsia="宋体" w:cs="宋体"/>
          <w:spacing w:val="3"/>
          <w:sz w:val="17"/>
          <w:szCs w:val="17"/>
        </w:rPr>
        <w:t>5.资料查阅能力                       10分</w:t>
      </w:r>
      <w:r>
        <w:rPr>
          <w:rFonts w:ascii="宋体" w:hAnsi="宋体" w:eastAsia="宋体" w:cs="宋体"/>
          <w:spacing w:val="19"/>
          <w:sz w:val="17"/>
          <w:szCs w:val="17"/>
        </w:rPr>
        <w:t xml:space="preserve"> </w:t>
      </w:r>
      <w:r>
        <w:rPr>
          <w:rFonts w:ascii="宋体" w:hAnsi="宋体" w:eastAsia="宋体" w:cs="宋体"/>
          <w:spacing w:val="10"/>
          <w:sz w:val="17"/>
          <w:szCs w:val="17"/>
        </w:rPr>
        <w:t>6.调整方法(包括零部件正确拆装)</w:t>
      </w:r>
      <w:r>
        <w:rPr>
          <w:rFonts w:ascii="宋体" w:hAnsi="宋体" w:eastAsia="宋体" w:cs="宋体"/>
          <w:spacing w:val="4"/>
          <w:sz w:val="17"/>
          <w:szCs w:val="17"/>
        </w:rPr>
        <w:t xml:space="preserve">      </w:t>
      </w:r>
      <w:r>
        <w:rPr>
          <w:rFonts w:ascii="宋体" w:hAnsi="宋体" w:eastAsia="宋体" w:cs="宋体"/>
          <w:spacing w:val="10"/>
          <w:sz w:val="17"/>
          <w:szCs w:val="17"/>
        </w:rPr>
        <w:t>40分</w:t>
      </w:r>
      <w:r>
        <w:rPr>
          <w:rFonts w:ascii="宋体" w:hAnsi="宋体" w:eastAsia="宋体" w:cs="宋体"/>
          <w:spacing w:val="2"/>
          <w:sz w:val="17"/>
          <w:szCs w:val="17"/>
        </w:rPr>
        <w:t xml:space="preserve"> 7.汽车维护方法(含相关零部件的拆装方法)30分</w:t>
      </w:r>
      <w:r>
        <w:rPr>
          <w:rFonts w:ascii="宋体" w:hAnsi="宋体" w:eastAsia="宋体" w:cs="宋体"/>
          <w:spacing w:val="8"/>
          <w:sz w:val="17"/>
          <w:szCs w:val="17"/>
        </w:rPr>
        <w:t xml:space="preserve"> </w:t>
      </w:r>
      <w:r>
        <w:rPr>
          <w:rFonts w:ascii="宋体" w:hAnsi="宋体" w:eastAsia="宋体" w:cs="宋体"/>
          <w:spacing w:val="4"/>
          <w:sz w:val="17"/>
          <w:szCs w:val="17"/>
        </w:rPr>
        <w:t xml:space="preserve">8.汽车维护结论           </w:t>
      </w:r>
      <w:r>
        <w:rPr>
          <w:rFonts w:ascii="宋体" w:hAnsi="宋体" w:eastAsia="宋体" w:cs="宋体"/>
          <w:spacing w:val="3"/>
          <w:sz w:val="17"/>
          <w:szCs w:val="17"/>
        </w:rPr>
        <w:t xml:space="preserve">            25分</w:t>
      </w:r>
      <w:r>
        <w:rPr>
          <w:rFonts w:ascii="宋体" w:hAnsi="宋体" w:eastAsia="宋体" w:cs="宋体"/>
          <w:sz w:val="17"/>
          <w:szCs w:val="17"/>
        </w:rPr>
        <w:t xml:space="preserve"> </w:t>
      </w:r>
      <w:r>
        <w:rPr>
          <w:rFonts w:ascii="宋体" w:hAnsi="宋体" w:eastAsia="宋体" w:cs="宋体"/>
          <w:spacing w:val="3"/>
          <w:sz w:val="17"/>
          <w:szCs w:val="17"/>
        </w:rPr>
        <w:t>9.根据职业素养评分要求，现场给分</w:t>
      </w:r>
      <w:r>
        <w:rPr>
          <w:rFonts w:ascii="宋体" w:hAnsi="宋体" w:eastAsia="宋体" w:cs="宋体"/>
          <w:spacing w:val="12"/>
          <w:sz w:val="17"/>
          <w:szCs w:val="17"/>
        </w:rPr>
        <w:t xml:space="preserve">     </w:t>
      </w:r>
      <w:r>
        <w:rPr>
          <w:rFonts w:ascii="宋体" w:hAnsi="宋体" w:eastAsia="宋体" w:cs="宋体"/>
          <w:spacing w:val="3"/>
          <w:sz w:val="17"/>
          <w:szCs w:val="17"/>
        </w:rPr>
        <w:t>25分</w:t>
      </w:r>
    </w:p>
    <w:p w14:paraId="0D30052F">
      <w:pPr>
        <w:pStyle w:val="2"/>
        <w:spacing w:line="285" w:lineRule="auto"/>
      </w:pPr>
    </w:p>
    <w:p w14:paraId="68F82916">
      <w:pPr>
        <w:spacing w:before="55" w:line="219" w:lineRule="auto"/>
        <w:ind w:left="352"/>
        <w:rPr>
          <w:rFonts w:ascii="宋体" w:hAnsi="宋体" w:eastAsia="宋体" w:cs="宋体"/>
          <w:sz w:val="17"/>
          <w:szCs w:val="17"/>
        </w:rPr>
      </w:pPr>
      <w:r>
        <w:rPr>
          <w:rFonts w:ascii="宋体" w:hAnsi="宋体" w:eastAsia="宋体" w:cs="宋体"/>
          <w:b/>
          <w:bCs/>
          <w:spacing w:val="25"/>
          <w:sz w:val="17"/>
          <w:szCs w:val="17"/>
        </w:rPr>
        <w:t>项目七</w:t>
      </w:r>
      <w:r>
        <w:rPr>
          <w:rFonts w:ascii="宋体" w:hAnsi="宋体" w:eastAsia="宋体" w:cs="宋体"/>
          <w:spacing w:val="25"/>
          <w:sz w:val="17"/>
          <w:szCs w:val="17"/>
        </w:rPr>
        <w:t xml:space="preserve">  </w:t>
      </w:r>
      <w:r>
        <w:rPr>
          <w:rFonts w:ascii="宋体" w:hAnsi="宋体" w:eastAsia="宋体" w:cs="宋体"/>
          <w:b/>
          <w:bCs/>
          <w:spacing w:val="25"/>
          <w:sz w:val="17"/>
          <w:szCs w:val="17"/>
        </w:rPr>
        <w:t>汽车维修设备和仪器的使用测试</w:t>
      </w:r>
    </w:p>
    <w:p w14:paraId="2DC6B32E">
      <w:pPr>
        <w:pStyle w:val="2"/>
        <w:spacing w:line="284" w:lineRule="auto"/>
      </w:pPr>
    </w:p>
    <w:p w14:paraId="5A99172B">
      <w:pPr>
        <w:spacing w:before="56" w:line="221" w:lineRule="auto"/>
        <w:ind w:left="415"/>
        <w:rPr>
          <w:rFonts w:ascii="宋体" w:hAnsi="宋体" w:eastAsia="宋体" w:cs="宋体"/>
          <w:sz w:val="17"/>
          <w:szCs w:val="17"/>
        </w:rPr>
      </w:pPr>
      <w:r>
        <w:rPr>
          <w:rFonts w:ascii="宋体" w:hAnsi="宋体" w:eastAsia="宋体" w:cs="宋体"/>
          <w:spacing w:val="8"/>
          <w:sz w:val="17"/>
          <w:szCs w:val="17"/>
        </w:rPr>
        <w:t>【测试用具】</w:t>
      </w:r>
    </w:p>
    <w:p w14:paraId="235E8697">
      <w:pPr>
        <w:spacing w:before="87" w:line="308" w:lineRule="auto"/>
        <w:ind w:left="70" w:right="284" w:firstLine="359"/>
        <w:rPr>
          <w:rFonts w:ascii="宋体" w:hAnsi="宋体" w:eastAsia="宋体" w:cs="宋体"/>
          <w:sz w:val="17"/>
          <w:szCs w:val="17"/>
        </w:rPr>
      </w:pPr>
      <w:r>
        <w:rPr>
          <w:rFonts w:ascii="宋体" w:hAnsi="宋体" w:eastAsia="宋体" w:cs="宋体"/>
          <w:sz w:val="17"/>
          <w:szCs w:val="17"/>
        </w:rPr>
        <w:t>量缸表、游标卡尺、千分尺、塞尺、百分表、百分</w:t>
      </w:r>
      <w:r>
        <w:rPr>
          <w:rFonts w:ascii="宋体" w:hAnsi="宋体" w:eastAsia="宋体" w:cs="宋体"/>
          <w:spacing w:val="8"/>
          <w:sz w:val="17"/>
          <w:szCs w:val="17"/>
        </w:rPr>
        <w:t xml:space="preserve">  </w:t>
      </w:r>
      <w:r>
        <w:rPr>
          <w:rFonts w:ascii="宋体" w:hAnsi="宋体" w:eastAsia="宋体" w:cs="宋体"/>
          <w:spacing w:val="4"/>
          <w:sz w:val="17"/>
          <w:szCs w:val="17"/>
        </w:rPr>
        <w:t>表座架、</w:t>
      </w:r>
      <w:r>
        <w:rPr>
          <w:rFonts w:ascii="Times New Roman" w:hAnsi="Times New Roman" w:eastAsia="Times New Roman" w:cs="Times New Roman"/>
          <w:spacing w:val="4"/>
          <w:sz w:val="17"/>
          <w:szCs w:val="17"/>
        </w:rPr>
        <w:t xml:space="preserve">V </w:t>
      </w:r>
      <w:r>
        <w:rPr>
          <w:rFonts w:ascii="宋体" w:hAnsi="宋体" w:eastAsia="宋体" w:cs="宋体"/>
          <w:spacing w:val="4"/>
          <w:sz w:val="17"/>
          <w:szCs w:val="17"/>
        </w:rPr>
        <w:t>型块等(曲柄连杆机构和缸体拆装与测量)、</w:t>
      </w:r>
      <w:r>
        <w:rPr>
          <w:rFonts w:ascii="宋体" w:hAnsi="宋体" w:eastAsia="宋体" w:cs="宋体"/>
          <w:spacing w:val="14"/>
          <w:sz w:val="17"/>
          <w:szCs w:val="17"/>
        </w:rPr>
        <w:t xml:space="preserve"> </w:t>
      </w:r>
      <w:r>
        <w:rPr>
          <w:rFonts w:ascii="宋体" w:hAnsi="宋体" w:eastAsia="宋体" w:cs="宋体"/>
          <w:spacing w:val="4"/>
          <w:sz w:val="17"/>
          <w:szCs w:val="17"/>
        </w:rPr>
        <w:t>举升机、专用工具(机油滤清器扳手、内饰板撬件等)、</w:t>
      </w:r>
      <w:r>
        <w:rPr>
          <w:rFonts w:ascii="宋体" w:hAnsi="宋体" w:eastAsia="宋体" w:cs="宋体"/>
          <w:spacing w:val="14"/>
          <w:sz w:val="17"/>
          <w:szCs w:val="17"/>
        </w:rPr>
        <w:t xml:space="preserve"> </w:t>
      </w:r>
      <w:r>
        <w:rPr>
          <w:rFonts w:ascii="宋体" w:hAnsi="宋体" w:eastAsia="宋体" w:cs="宋体"/>
          <w:spacing w:val="-4"/>
          <w:sz w:val="17"/>
          <w:szCs w:val="17"/>
        </w:rPr>
        <w:t>温度计、压力表等。</w:t>
      </w:r>
    </w:p>
    <w:p w14:paraId="03B3098C">
      <w:pPr>
        <w:spacing w:before="24" w:line="219" w:lineRule="auto"/>
        <w:ind w:left="415"/>
        <w:rPr>
          <w:rFonts w:ascii="宋体" w:hAnsi="宋体" w:eastAsia="宋体" w:cs="宋体"/>
          <w:sz w:val="17"/>
          <w:szCs w:val="17"/>
        </w:rPr>
      </w:pPr>
      <w:r>
        <w:rPr>
          <w:rFonts w:ascii="宋体" w:hAnsi="宋体" w:eastAsia="宋体" w:cs="宋体"/>
          <w:spacing w:val="8"/>
          <w:sz w:val="17"/>
          <w:szCs w:val="17"/>
        </w:rPr>
        <w:t>【测试内容】</w:t>
      </w:r>
    </w:p>
    <w:p w14:paraId="69ECBDB0">
      <w:pPr>
        <w:spacing w:before="88" w:line="313" w:lineRule="auto"/>
        <w:ind w:left="70" w:right="360" w:firstLine="359"/>
        <w:rPr>
          <w:rFonts w:ascii="宋体" w:hAnsi="宋体" w:eastAsia="宋体" w:cs="宋体"/>
          <w:sz w:val="17"/>
          <w:szCs w:val="17"/>
        </w:rPr>
      </w:pPr>
      <w:r>
        <w:rPr>
          <w:rFonts w:ascii="宋体" w:hAnsi="宋体" w:eastAsia="宋体" w:cs="宋体"/>
          <w:sz w:val="17"/>
          <w:szCs w:val="17"/>
        </w:rPr>
        <w:t>机械零部件测量；汽车总成、部件及组件拆装；专</w:t>
      </w:r>
      <w:r>
        <w:rPr>
          <w:rFonts w:ascii="宋体" w:hAnsi="宋体" w:eastAsia="宋体" w:cs="宋体"/>
          <w:spacing w:val="18"/>
          <w:sz w:val="17"/>
          <w:szCs w:val="17"/>
        </w:rPr>
        <w:t xml:space="preserve"> </w:t>
      </w:r>
      <w:r>
        <w:rPr>
          <w:rFonts w:ascii="宋体" w:hAnsi="宋体" w:eastAsia="宋体" w:cs="宋体"/>
          <w:spacing w:val="-2"/>
          <w:sz w:val="17"/>
          <w:szCs w:val="17"/>
        </w:rPr>
        <w:t>业设备和仪器的使用；汽车维护等。</w:t>
      </w:r>
    </w:p>
    <w:p w14:paraId="6C464483">
      <w:pPr>
        <w:spacing w:before="5" w:line="221" w:lineRule="auto"/>
        <w:ind w:left="415"/>
        <w:rPr>
          <w:rFonts w:ascii="宋体" w:hAnsi="宋体" w:eastAsia="宋体" w:cs="宋体"/>
          <w:sz w:val="17"/>
          <w:szCs w:val="17"/>
        </w:rPr>
      </w:pPr>
      <w:r>
        <w:rPr>
          <w:rFonts w:ascii="宋体" w:hAnsi="宋体" w:eastAsia="宋体" w:cs="宋体"/>
          <w:spacing w:val="8"/>
          <w:sz w:val="17"/>
          <w:szCs w:val="17"/>
        </w:rPr>
        <w:t>【测试方法】</w:t>
      </w:r>
    </w:p>
    <w:p w14:paraId="098DBB26">
      <w:pPr>
        <w:spacing w:before="84" w:line="219" w:lineRule="auto"/>
        <w:ind w:left="430"/>
        <w:rPr>
          <w:rFonts w:ascii="宋体" w:hAnsi="宋体" w:eastAsia="宋体" w:cs="宋体"/>
          <w:sz w:val="17"/>
          <w:szCs w:val="17"/>
        </w:rPr>
      </w:pPr>
      <w:r>
        <w:rPr>
          <w:rFonts w:ascii="宋体" w:hAnsi="宋体" w:eastAsia="宋体" w:cs="宋体"/>
          <w:spacing w:val="-3"/>
          <w:sz w:val="17"/>
          <w:szCs w:val="17"/>
        </w:rPr>
        <w:t>1.机械零部件测量</w:t>
      </w:r>
    </w:p>
    <w:p w14:paraId="5E1E97D0">
      <w:pPr>
        <w:spacing w:before="98" w:line="217" w:lineRule="auto"/>
        <w:ind w:left="430"/>
        <w:rPr>
          <w:rFonts w:ascii="宋体" w:hAnsi="宋体" w:eastAsia="宋体" w:cs="宋体"/>
          <w:sz w:val="17"/>
          <w:szCs w:val="17"/>
        </w:rPr>
      </w:pPr>
      <w:r>
        <w:rPr>
          <w:rFonts w:ascii="宋体" w:hAnsi="宋体" w:eastAsia="宋体" w:cs="宋体"/>
          <w:spacing w:val="-2"/>
          <w:sz w:val="17"/>
          <w:szCs w:val="17"/>
        </w:rPr>
        <w:t>①合理选择和规范使用工具、仪器、仪表、量具；</w:t>
      </w:r>
    </w:p>
    <w:p w14:paraId="3E6AC8D6">
      <w:pPr>
        <w:spacing w:before="90" w:line="217" w:lineRule="auto"/>
        <w:ind w:left="430"/>
        <w:rPr>
          <w:rFonts w:ascii="宋体" w:hAnsi="宋体" w:eastAsia="宋体" w:cs="宋体"/>
          <w:sz w:val="17"/>
          <w:szCs w:val="17"/>
        </w:rPr>
      </w:pPr>
      <w:r>
        <w:rPr>
          <w:rFonts w:ascii="宋体" w:hAnsi="宋体" w:eastAsia="宋体" w:cs="宋体"/>
          <w:spacing w:val="-2"/>
          <w:sz w:val="17"/>
          <w:szCs w:val="17"/>
        </w:rPr>
        <w:t>②作业项目齐全；作业流程合理；</w:t>
      </w:r>
    </w:p>
    <w:p w14:paraId="427CAB07">
      <w:pPr>
        <w:spacing w:before="80" w:line="217" w:lineRule="auto"/>
        <w:ind w:left="430"/>
        <w:rPr>
          <w:rFonts w:ascii="宋体" w:hAnsi="宋体" w:eastAsia="宋体" w:cs="宋体"/>
          <w:sz w:val="17"/>
          <w:szCs w:val="17"/>
        </w:rPr>
      </w:pPr>
      <w:r>
        <w:rPr>
          <w:rFonts w:ascii="宋体" w:hAnsi="宋体" w:eastAsia="宋体" w:cs="宋体"/>
          <w:spacing w:val="-2"/>
          <w:sz w:val="17"/>
          <w:szCs w:val="17"/>
        </w:rPr>
        <w:t>③量具的使用、读数方法、读数结果正确；</w:t>
      </w:r>
    </w:p>
    <w:p w14:paraId="2E2600A1">
      <w:pPr>
        <w:spacing w:before="101" w:line="217" w:lineRule="auto"/>
        <w:ind w:left="430"/>
        <w:rPr>
          <w:rFonts w:ascii="宋体" w:hAnsi="宋体" w:eastAsia="宋体" w:cs="宋体"/>
          <w:sz w:val="17"/>
          <w:szCs w:val="17"/>
        </w:rPr>
      </w:pPr>
      <w:r>
        <w:rPr>
          <w:rFonts w:ascii="宋体" w:hAnsi="宋体" w:eastAsia="宋体" w:cs="宋体"/>
          <w:spacing w:val="-2"/>
          <w:sz w:val="17"/>
          <w:szCs w:val="17"/>
        </w:rPr>
        <w:t>④量缸表能正确组装；</w:t>
      </w:r>
    </w:p>
    <w:p w14:paraId="407E5F98">
      <w:pPr>
        <w:spacing w:before="90" w:line="217" w:lineRule="auto"/>
        <w:ind w:left="430"/>
        <w:rPr>
          <w:rFonts w:ascii="宋体" w:hAnsi="宋体" w:eastAsia="宋体" w:cs="宋体"/>
          <w:sz w:val="17"/>
          <w:szCs w:val="17"/>
        </w:rPr>
      </w:pPr>
      <w:r>
        <w:rPr>
          <w:rFonts w:ascii="宋体" w:hAnsi="宋体" w:eastAsia="宋体" w:cs="宋体"/>
          <w:spacing w:val="-1"/>
          <w:sz w:val="17"/>
          <w:szCs w:val="17"/>
        </w:rPr>
        <w:t>⑤根据要求测量机械零部件相应的数据；</w:t>
      </w:r>
    </w:p>
    <w:p w14:paraId="4250E16A">
      <w:pPr>
        <w:spacing w:before="90" w:line="217" w:lineRule="auto"/>
        <w:ind w:left="430"/>
        <w:rPr>
          <w:rFonts w:ascii="宋体" w:hAnsi="宋体" w:eastAsia="宋体" w:cs="宋体"/>
          <w:sz w:val="17"/>
          <w:szCs w:val="17"/>
        </w:rPr>
      </w:pPr>
      <w:r>
        <w:rPr>
          <w:rFonts w:ascii="宋体" w:hAnsi="宋体" w:eastAsia="宋体" w:cs="宋体"/>
          <w:spacing w:val="-3"/>
          <w:sz w:val="17"/>
          <w:szCs w:val="17"/>
        </w:rPr>
        <w:t>⑥相应数据的计算方法及结果正确。</w:t>
      </w:r>
    </w:p>
    <w:p w14:paraId="60ACCDA9">
      <w:pPr>
        <w:spacing w:before="82" w:line="219" w:lineRule="auto"/>
        <w:ind w:left="430"/>
        <w:rPr>
          <w:rFonts w:ascii="宋体" w:hAnsi="宋体" w:eastAsia="宋体" w:cs="宋体"/>
          <w:sz w:val="17"/>
          <w:szCs w:val="17"/>
        </w:rPr>
      </w:pPr>
      <w:r>
        <w:rPr>
          <w:rFonts w:ascii="宋体" w:hAnsi="宋体" w:eastAsia="宋体" w:cs="宋体"/>
          <w:spacing w:val="-1"/>
          <w:sz w:val="17"/>
          <w:szCs w:val="17"/>
        </w:rPr>
        <w:t>2.汽车总成、部件及组件拆装作业要求</w:t>
      </w:r>
    </w:p>
    <w:p w14:paraId="187CCE10">
      <w:pPr>
        <w:spacing w:before="96" w:line="217" w:lineRule="auto"/>
        <w:ind w:left="430"/>
        <w:rPr>
          <w:rFonts w:ascii="宋体" w:hAnsi="宋体" w:eastAsia="宋体" w:cs="宋体"/>
          <w:sz w:val="17"/>
          <w:szCs w:val="17"/>
        </w:rPr>
      </w:pPr>
      <w:r>
        <w:rPr>
          <w:rFonts w:ascii="宋体" w:hAnsi="宋体" w:eastAsia="宋体" w:cs="宋体"/>
          <w:spacing w:val="-1"/>
          <w:sz w:val="17"/>
          <w:szCs w:val="17"/>
        </w:rPr>
        <w:t>①合理选择和规范使用工具、仪器、仪表、量具；</w:t>
      </w:r>
    </w:p>
    <w:p w14:paraId="43379BDD">
      <w:pPr>
        <w:spacing w:before="81" w:line="217" w:lineRule="auto"/>
        <w:ind w:left="430"/>
        <w:rPr>
          <w:rFonts w:ascii="宋体" w:hAnsi="宋体" w:eastAsia="宋体" w:cs="宋体"/>
          <w:sz w:val="17"/>
          <w:szCs w:val="17"/>
        </w:rPr>
      </w:pPr>
      <w:r>
        <w:rPr>
          <w:rFonts w:ascii="宋体" w:hAnsi="宋体" w:eastAsia="宋体" w:cs="宋体"/>
          <w:spacing w:val="-2"/>
          <w:sz w:val="17"/>
          <w:szCs w:val="17"/>
        </w:rPr>
        <w:t>②作业项目齐全；</w:t>
      </w:r>
    </w:p>
    <w:p w14:paraId="4281066B">
      <w:pPr>
        <w:spacing w:before="100" w:line="217" w:lineRule="auto"/>
        <w:ind w:left="430"/>
        <w:rPr>
          <w:rFonts w:ascii="宋体" w:hAnsi="宋体" w:eastAsia="宋体" w:cs="宋体"/>
          <w:sz w:val="17"/>
          <w:szCs w:val="17"/>
        </w:rPr>
      </w:pPr>
      <w:r>
        <w:rPr>
          <w:rFonts w:ascii="宋体" w:hAnsi="宋体" w:eastAsia="宋体" w:cs="宋体"/>
          <w:spacing w:val="-5"/>
          <w:sz w:val="17"/>
          <w:szCs w:val="17"/>
        </w:rPr>
        <w:t>③作业流程合理；</w:t>
      </w:r>
    </w:p>
    <w:p w14:paraId="5394E2A2">
      <w:pPr>
        <w:spacing w:before="89" w:line="263" w:lineRule="auto"/>
        <w:ind w:left="70" w:right="376" w:firstLine="359"/>
        <w:rPr>
          <w:rFonts w:ascii="宋体" w:hAnsi="宋体" w:eastAsia="宋体" w:cs="宋体"/>
          <w:sz w:val="17"/>
          <w:szCs w:val="17"/>
        </w:rPr>
      </w:pPr>
      <w:r>
        <w:rPr>
          <w:rFonts w:ascii="宋体" w:hAnsi="宋体" w:eastAsia="宋体" w:cs="宋体"/>
          <w:sz w:val="17"/>
          <w:szCs w:val="17"/>
        </w:rPr>
        <w:t>④根据要求检修并测量相应数据汽车总成、部件及</w:t>
      </w:r>
      <w:r>
        <w:rPr>
          <w:rFonts w:ascii="宋体" w:hAnsi="宋体" w:eastAsia="宋体" w:cs="宋体"/>
          <w:spacing w:val="2"/>
          <w:sz w:val="17"/>
          <w:szCs w:val="17"/>
        </w:rPr>
        <w:t xml:space="preserve"> </w:t>
      </w:r>
      <w:r>
        <w:rPr>
          <w:rFonts w:ascii="宋体" w:hAnsi="宋体" w:eastAsia="宋体" w:cs="宋体"/>
          <w:spacing w:val="-3"/>
          <w:sz w:val="17"/>
          <w:szCs w:val="17"/>
        </w:rPr>
        <w:t>组件相应的数据；</w:t>
      </w:r>
    </w:p>
    <w:p w14:paraId="1A78A6E1">
      <w:pPr>
        <w:spacing w:before="87" w:line="217" w:lineRule="auto"/>
        <w:ind w:left="430"/>
        <w:rPr>
          <w:rFonts w:ascii="宋体" w:hAnsi="宋体" w:eastAsia="宋体" w:cs="宋体"/>
          <w:sz w:val="17"/>
          <w:szCs w:val="17"/>
        </w:rPr>
      </w:pPr>
      <w:r>
        <w:rPr>
          <w:rFonts w:ascii="宋体" w:hAnsi="宋体" w:eastAsia="宋体" w:cs="宋体"/>
          <w:spacing w:val="-2"/>
          <w:sz w:val="17"/>
          <w:szCs w:val="17"/>
        </w:rPr>
        <w:t>⑤能根据检测数据进行分析；</w:t>
      </w:r>
    </w:p>
    <w:p w14:paraId="716D7A09">
      <w:pPr>
        <w:spacing w:before="100" w:line="217" w:lineRule="auto"/>
        <w:ind w:left="430"/>
        <w:rPr>
          <w:rFonts w:ascii="宋体" w:hAnsi="宋体" w:eastAsia="宋体" w:cs="宋体"/>
          <w:sz w:val="17"/>
          <w:szCs w:val="17"/>
        </w:rPr>
      </w:pPr>
      <w:r>
        <w:rPr>
          <w:rFonts w:ascii="宋体" w:hAnsi="宋体" w:eastAsia="宋体" w:cs="宋体"/>
          <w:spacing w:val="-3"/>
          <w:sz w:val="17"/>
          <w:szCs w:val="17"/>
        </w:rPr>
        <w:t>⑥安全与文明作业。</w:t>
      </w:r>
    </w:p>
    <w:p w14:paraId="4E1BBE30">
      <w:pPr>
        <w:spacing w:before="92" w:line="219" w:lineRule="auto"/>
        <w:ind w:left="430"/>
        <w:rPr>
          <w:rFonts w:ascii="宋体" w:hAnsi="宋体" w:eastAsia="宋体" w:cs="宋体"/>
          <w:sz w:val="17"/>
          <w:szCs w:val="17"/>
        </w:rPr>
      </w:pPr>
      <w:r>
        <w:rPr>
          <w:rFonts w:ascii="宋体" w:hAnsi="宋体" w:eastAsia="宋体" w:cs="宋体"/>
          <w:sz w:val="17"/>
          <w:szCs w:val="17"/>
        </w:rPr>
        <w:t>3.专业设备和仪器的使用作业要求</w:t>
      </w:r>
    </w:p>
    <w:p w14:paraId="0162DCFC">
      <w:pPr>
        <w:spacing w:before="76" w:line="186" w:lineRule="auto"/>
        <w:ind w:left="430"/>
        <w:rPr>
          <w:rFonts w:ascii="宋体" w:hAnsi="宋体" w:eastAsia="宋体" w:cs="宋体"/>
          <w:sz w:val="17"/>
          <w:szCs w:val="17"/>
        </w:rPr>
      </w:pPr>
      <w:r>
        <w:rPr>
          <w:rFonts w:ascii="宋体" w:hAnsi="宋体" w:eastAsia="宋体" w:cs="宋体"/>
          <w:spacing w:val="-2"/>
          <w:sz w:val="17"/>
          <w:szCs w:val="17"/>
        </w:rPr>
        <w:t>①正确连接并规范使用仪器；</w:t>
      </w:r>
    </w:p>
    <w:p w14:paraId="5D43C96C">
      <w:pPr>
        <w:pStyle w:val="2"/>
        <w:spacing w:line="14" w:lineRule="auto"/>
        <w:rPr>
          <w:sz w:val="2"/>
        </w:rPr>
      </w:pPr>
      <w:r>
        <w:rPr>
          <w:sz w:val="2"/>
          <w:szCs w:val="2"/>
        </w:rPr>
        <w:br w:type="column"/>
      </w:r>
    </w:p>
    <w:p w14:paraId="273F0790">
      <w:pPr>
        <w:spacing w:line="215" w:lineRule="auto"/>
        <w:ind w:left="370"/>
        <w:rPr>
          <w:rFonts w:ascii="宋体" w:hAnsi="宋体" w:eastAsia="宋体" w:cs="宋体"/>
          <w:sz w:val="17"/>
          <w:szCs w:val="17"/>
        </w:rPr>
      </w:pPr>
      <w:r>
        <w:rPr>
          <w:rFonts w:ascii="宋体" w:hAnsi="宋体" w:eastAsia="宋体" w:cs="宋体"/>
          <w:spacing w:val="-4"/>
          <w:sz w:val="17"/>
          <w:szCs w:val="17"/>
        </w:rPr>
        <w:t>②作业项目齐全；</w:t>
      </w:r>
    </w:p>
    <w:p w14:paraId="44990D62">
      <w:pPr>
        <w:spacing w:before="100" w:line="217" w:lineRule="auto"/>
        <w:ind w:left="370"/>
        <w:rPr>
          <w:rFonts w:ascii="宋体" w:hAnsi="宋体" w:eastAsia="宋体" w:cs="宋体"/>
          <w:sz w:val="17"/>
          <w:szCs w:val="17"/>
        </w:rPr>
      </w:pPr>
      <w:r>
        <w:rPr>
          <w:rFonts w:ascii="宋体" w:hAnsi="宋体" w:eastAsia="宋体" w:cs="宋体"/>
          <w:spacing w:val="-6"/>
          <w:sz w:val="17"/>
          <w:szCs w:val="17"/>
        </w:rPr>
        <w:t>③作业流程合理；</w:t>
      </w:r>
    </w:p>
    <w:p w14:paraId="7043E5F0">
      <w:pPr>
        <w:spacing w:before="80" w:line="217" w:lineRule="auto"/>
        <w:ind w:left="370"/>
        <w:rPr>
          <w:rFonts w:ascii="宋体" w:hAnsi="宋体" w:eastAsia="宋体" w:cs="宋体"/>
          <w:sz w:val="17"/>
          <w:szCs w:val="17"/>
        </w:rPr>
      </w:pPr>
      <w:r>
        <w:rPr>
          <w:rFonts w:ascii="宋体" w:hAnsi="宋体" w:eastAsia="宋体" w:cs="宋体"/>
          <w:spacing w:val="-3"/>
          <w:sz w:val="17"/>
          <w:szCs w:val="17"/>
        </w:rPr>
        <w:t>④</w:t>
      </w:r>
      <w:r>
        <w:rPr>
          <w:rFonts w:ascii="宋体" w:hAnsi="宋体" w:eastAsia="宋体" w:cs="宋体"/>
          <w:spacing w:val="-57"/>
          <w:sz w:val="17"/>
          <w:szCs w:val="17"/>
        </w:rPr>
        <w:t xml:space="preserve"> </w:t>
      </w:r>
      <w:r>
        <w:rPr>
          <w:rFonts w:ascii="宋体" w:hAnsi="宋体" w:eastAsia="宋体" w:cs="宋体"/>
          <w:spacing w:val="-3"/>
          <w:sz w:val="17"/>
          <w:szCs w:val="17"/>
        </w:rPr>
        <w:t>能正确检测并读取和记录数据或代码；</w:t>
      </w:r>
    </w:p>
    <w:p w14:paraId="0EDC63C5">
      <w:pPr>
        <w:spacing w:before="100" w:line="217" w:lineRule="auto"/>
        <w:ind w:left="370"/>
        <w:rPr>
          <w:rFonts w:ascii="宋体" w:hAnsi="宋体" w:eastAsia="宋体" w:cs="宋体"/>
          <w:sz w:val="17"/>
          <w:szCs w:val="17"/>
        </w:rPr>
      </w:pPr>
      <w:r>
        <w:rPr>
          <w:rFonts w:ascii="宋体" w:hAnsi="宋体" w:eastAsia="宋体" w:cs="宋体"/>
          <w:spacing w:val="-2"/>
          <w:sz w:val="17"/>
          <w:szCs w:val="17"/>
        </w:rPr>
        <w:t>⑤能正确填写检验单；</w:t>
      </w:r>
    </w:p>
    <w:p w14:paraId="41949CF9">
      <w:pPr>
        <w:spacing w:before="89" w:line="263" w:lineRule="auto"/>
        <w:ind w:right="71" w:firstLine="370"/>
        <w:rPr>
          <w:rFonts w:ascii="宋体" w:hAnsi="宋体" w:eastAsia="宋体" w:cs="宋体"/>
          <w:sz w:val="17"/>
          <w:szCs w:val="17"/>
        </w:rPr>
      </w:pPr>
      <w:r>
        <w:rPr>
          <w:rFonts w:ascii="宋体" w:hAnsi="宋体" w:eastAsia="宋体" w:cs="宋体"/>
          <w:spacing w:val="5"/>
          <w:sz w:val="17"/>
          <w:szCs w:val="17"/>
        </w:rPr>
        <w:t>⑥)能对数据和代码进行分析原因并予以简单的调</w:t>
      </w:r>
      <w:r>
        <w:rPr>
          <w:rFonts w:ascii="宋体" w:hAnsi="宋体" w:eastAsia="宋体" w:cs="宋体"/>
          <w:spacing w:val="7"/>
          <w:sz w:val="17"/>
          <w:szCs w:val="17"/>
        </w:rPr>
        <w:t xml:space="preserve"> </w:t>
      </w:r>
      <w:r>
        <w:rPr>
          <w:rFonts w:ascii="宋体" w:hAnsi="宋体" w:eastAsia="宋体" w:cs="宋体"/>
          <w:spacing w:val="-1"/>
          <w:sz w:val="17"/>
          <w:szCs w:val="17"/>
        </w:rPr>
        <w:t>整和排除。</w:t>
      </w:r>
    </w:p>
    <w:p w14:paraId="0857AB43">
      <w:pPr>
        <w:spacing w:before="88" w:line="304" w:lineRule="auto"/>
        <w:ind w:left="285" w:right="2150" w:firstLine="85"/>
        <w:rPr>
          <w:rFonts w:ascii="宋体" w:hAnsi="宋体" w:eastAsia="宋体" w:cs="宋体"/>
          <w:sz w:val="17"/>
          <w:szCs w:val="17"/>
        </w:rPr>
      </w:pPr>
      <w:r>
        <w:rPr>
          <w:rFonts w:ascii="宋体" w:hAnsi="宋体" w:eastAsia="宋体" w:cs="宋体"/>
          <w:spacing w:val="-1"/>
          <w:sz w:val="17"/>
          <w:szCs w:val="17"/>
        </w:rPr>
        <w:t>4.安全文明生产及其它</w:t>
      </w:r>
      <w:r>
        <w:rPr>
          <w:rFonts w:ascii="宋体" w:hAnsi="宋体" w:eastAsia="宋体" w:cs="宋体"/>
          <w:spacing w:val="4"/>
          <w:sz w:val="17"/>
          <w:szCs w:val="17"/>
        </w:rPr>
        <w:t xml:space="preserve"> </w:t>
      </w:r>
      <w:r>
        <w:rPr>
          <w:rFonts w:ascii="宋体" w:hAnsi="宋体" w:eastAsia="宋体" w:cs="宋体"/>
          <w:spacing w:val="8"/>
          <w:sz w:val="17"/>
          <w:szCs w:val="17"/>
        </w:rPr>
        <w:t>【测试要求】</w:t>
      </w:r>
    </w:p>
    <w:p w14:paraId="388D64C6">
      <w:pPr>
        <w:spacing w:before="20" w:line="302" w:lineRule="auto"/>
        <w:ind w:right="29" w:firstLine="370"/>
        <w:rPr>
          <w:rFonts w:ascii="宋体" w:hAnsi="宋体" w:eastAsia="宋体" w:cs="宋体"/>
          <w:sz w:val="17"/>
          <w:szCs w:val="17"/>
        </w:rPr>
      </w:pPr>
      <w:r>
        <w:rPr>
          <w:rFonts w:ascii="宋体" w:hAnsi="宋体" w:eastAsia="宋体" w:cs="宋体"/>
          <w:spacing w:val="-4"/>
          <w:sz w:val="17"/>
          <w:szCs w:val="17"/>
        </w:rPr>
        <w:t>1.机械零部件测量合理选择和规范使用工具、仪器、</w:t>
      </w:r>
      <w:r>
        <w:rPr>
          <w:rFonts w:ascii="宋体" w:hAnsi="宋体" w:eastAsia="宋体" w:cs="宋体"/>
          <w:sz w:val="17"/>
          <w:szCs w:val="17"/>
        </w:rPr>
        <w:t xml:space="preserve"> </w:t>
      </w:r>
      <w:r>
        <w:rPr>
          <w:rFonts w:ascii="宋体" w:hAnsi="宋体" w:eastAsia="宋体" w:cs="宋体"/>
          <w:spacing w:val="-3"/>
          <w:sz w:val="17"/>
          <w:szCs w:val="17"/>
        </w:rPr>
        <w:t>仪表、量具；</w:t>
      </w:r>
    </w:p>
    <w:p w14:paraId="2597D842">
      <w:pPr>
        <w:spacing w:before="25" w:line="312" w:lineRule="auto"/>
        <w:ind w:right="77" w:firstLine="370"/>
        <w:rPr>
          <w:rFonts w:ascii="宋体" w:hAnsi="宋体" w:eastAsia="宋体" w:cs="宋体"/>
          <w:sz w:val="17"/>
          <w:szCs w:val="17"/>
        </w:rPr>
      </w:pPr>
      <w:r>
        <w:rPr>
          <w:rFonts w:ascii="宋体" w:hAnsi="宋体" w:eastAsia="宋体" w:cs="宋体"/>
          <w:spacing w:val="1"/>
          <w:sz w:val="17"/>
          <w:szCs w:val="17"/>
        </w:rPr>
        <w:t>2.汽车总成、部件及组件拆装作业，要求合理选择</w:t>
      </w:r>
      <w:r>
        <w:rPr>
          <w:rFonts w:ascii="宋体" w:hAnsi="宋体" w:eastAsia="宋体" w:cs="宋体"/>
          <w:spacing w:val="3"/>
          <w:sz w:val="17"/>
          <w:szCs w:val="17"/>
        </w:rPr>
        <w:t xml:space="preserve"> </w:t>
      </w:r>
      <w:r>
        <w:rPr>
          <w:rFonts w:ascii="宋体" w:hAnsi="宋体" w:eastAsia="宋体" w:cs="宋体"/>
          <w:spacing w:val="-3"/>
          <w:sz w:val="17"/>
          <w:szCs w:val="17"/>
        </w:rPr>
        <w:t>和规范使用工具、仪器、仪表、量具；</w:t>
      </w:r>
    </w:p>
    <w:p w14:paraId="0553B551">
      <w:pPr>
        <w:spacing w:before="5" w:line="312" w:lineRule="auto"/>
        <w:ind w:right="105" w:firstLine="370"/>
        <w:rPr>
          <w:rFonts w:ascii="宋体" w:hAnsi="宋体" w:eastAsia="宋体" w:cs="宋体"/>
          <w:sz w:val="17"/>
          <w:szCs w:val="17"/>
        </w:rPr>
      </w:pPr>
      <w:r>
        <w:rPr>
          <w:rFonts w:ascii="宋体" w:hAnsi="宋体" w:eastAsia="宋体" w:cs="宋体"/>
          <w:sz w:val="17"/>
          <w:szCs w:val="17"/>
        </w:rPr>
        <w:t>3.根据要求检修并测量相应数据汽车总成、部</w:t>
      </w:r>
      <w:r>
        <w:rPr>
          <w:rFonts w:ascii="宋体" w:hAnsi="宋体" w:eastAsia="宋体" w:cs="宋体"/>
          <w:spacing w:val="-1"/>
          <w:sz w:val="17"/>
          <w:szCs w:val="17"/>
        </w:rPr>
        <w:t>件及</w:t>
      </w:r>
      <w:r>
        <w:rPr>
          <w:rFonts w:ascii="宋体" w:hAnsi="宋体" w:eastAsia="宋体" w:cs="宋体"/>
          <w:sz w:val="17"/>
          <w:szCs w:val="17"/>
        </w:rPr>
        <w:t xml:space="preserve"> </w:t>
      </w:r>
      <w:r>
        <w:rPr>
          <w:rFonts w:ascii="宋体" w:hAnsi="宋体" w:eastAsia="宋体" w:cs="宋体"/>
          <w:spacing w:val="-3"/>
          <w:sz w:val="17"/>
          <w:szCs w:val="17"/>
        </w:rPr>
        <w:t>组件相应的数据；</w:t>
      </w:r>
    </w:p>
    <w:p w14:paraId="2683CD40">
      <w:pPr>
        <w:spacing w:before="5" w:line="313" w:lineRule="auto"/>
        <w:ind w:right="76" w:firstLine="370"/>
        <w:rPr>
          <w:rFonts w:ascii="宋体" w:hAnsi="宋体" w:eastAsia="宋体" w:cs="宋体"/>
          <w:sz w:val="17"/>
          <w:szCs w:val="17"/>
        </w:rPr>
      </w:pPr>
      <w:r>
        <w:rPr>
          <w:rFonts w:ascii="宋体" w:hAnsi="宋体" w:eastAsia="宋体" w:cs="宋体"/>
          <w:spacing w:val="1"/>
          <w:sz w:val="17"/>
          <w:szCs w:val="17"/>
        </w:rPr>
        <w:t>4.能对数据和代码进行分析原因并予以简单的调整</w:t>
      </w:r>
      <w:r>
        <w:rPr>
          <w:rFonts w:ascii="宋体" w:hAnsi="宋体" w:eastAsia="宋体" w:cs="宋体"/>
          <w:spacing w:val="4"/>
          <w:sz w:val="17"/>
          <w:szCs w:val="17"/>
        </w:rPr>
        <w:t xml:space="preserve"> </w:t>
      </w:r>
      <w:r>
        <w:rPr>
          <w:rFonts w:ascii="宋体" w:hAnsi="宋体" w:eastAsia="宋体" w:cs="宋体"/>
          <w:spacing w:val="-6"/>
          <w:sz w:val="17"/>
          <w:szCs w:val="17"/>
        </w:rPr>
        <w:t>和排除。</w:t>
      </w:r>
    </w:p>
    <w:p w14:paraId="2596CAE9">
      <w:pPr>
        <w:spacing w:before="14" w:line="220" w:lineRule="auto"/>
        <w:ind w:left="285"/>
        <w:rPr>
          <w:rFonts w:ascii="宋体" w:hAnsi="宋体" w:eastAsia="宋体" w:cs="宋体"/>
          <w:sz w:val="17"/>
          <w:szCs w:val="17"/>
        </w:rPr>
      </w:pPr>
      <w:r>
        <w:rPr>
          <w:rFonts w:ascii="宋体" w:hAnsi="宋体" w:eastAsia="宋体" w:cs="宋体"/>
          <w:spacing w:val="8"/>
          <w:sz w:val="17"/>
          <w:szCs w:val="17"/>
        </w:rPr>
        <w:t>【测试赋分】</w:t>
      </w:r>
    </w:p>
    <w:p w14:paraId="00F338D2">
      <w:pPr>
        <w:spacing w:before="84" w:line="311" w:lineRule="auto"/>
        <w:ind w:left="370" w:right="227"/>
        <w:rPr>
          <w:rFonts w:ascii="宋体" w:hAnsi="宋体" w:eastAsia="宋体" w:cs="宋体"/>
          <w:sz w:val="17"/>
          <w:szCs w:val="17"/>
        </w:rPr>
      </w:pPr>
      <w:r>
        <w:rPr>
          <w:rFonts w:ascii="宋体" w:hAnsi="宋体" w:eastAsia="宋体" w:cs="宋体"/>
          <w:spacing w:val="2"/>
          <w:sz w:val="17"/>
          <w:szCs w:val="17"/>
        </w:rPr>
        <w:t>1.工量具、仪器、仪表、使用的规范性</w:t>
      </w:r>
      <w:r>
        <w:rPr>
          <w:rFonts w:ascii="宋体" w:hAnsi="宋体" w:eastAsia="宋体" w:cs="宋体"/>
          <w:spacing w:val="29"/>
          <w:sz w:val="17"/>
          <w:szCs w:val="17"/>
        </w:rPr>
        <w:t xml:space="preserve">   </w:t>
      </w:r>
      <w:r>
        <w:rPr>
          <w:rFonts w:ascii="宋体" w:hAnsi="宋体" w:eastAsia="宋体" w:cs="宋体"/>
          <w:spacing w:val="2"/>
          <w:sz w:val="17"/>
          <w:szCs w:val="17"/>
        </w:rPr>
        <w:t xml:space="preserve">25分 </w:t>
      </w:r>
      <w:r>
        <w:rPr>
          <w:rFonts w:ascii="宋体" w:hAnsi="宋体" w:eastAsia="宋体" w:cs="宋体"/>
          <w:spacing w:val="5"/>
          <w:sz w:val="17"/>
          <w:szCs w:val="17"/>
        </w:rPr>
        <w:t>2.测量方法</w:t>
      </w:r>
      <w:r>
        <w:rPr>
          <w:rFonts w:ascii="宋体" w:hAnsi="宋体" w:eastAsia="宋体" w:cs="宋体"/>
          <w:spacing w:val="3"/>
          <w:sz w:val="17"/>
          <w:szCs w:val="17"/>
        </w:rPr>
        <w:t xml:space="preserve">                           </w:t>
      </w:r>
      <w:r>
        <w:rPr>
          <w:rFonts w:ascii="宋体" w:hAnsi="宋体" w:eastAsia="宋体" w:cs="宋体"/>
          <w:spacing w:val="5"/>
          <w:sz w:val="17"/>
          <w:szCs w:val="17"/>
        </w:rPr>
        <w:t xml:space="preserve">25分 </w:t>
      </w:r>
      <w:r>
        <w:rPr>
          <w:rFonts w:ascii="宋体" w:hAnsi="宋体" w:eastAsia="宋体" w:cs="宋体"/>
          <w:spacing w:val="4"/>
          <w:sz w:val="17"/>
          <w:szCs w:val="17"/>
        </w:rPr>
        <w:t>3.测量结果的分析                     50分</w:t>
      </w:r>
      <w:r>
        <w:rPr>
          <w:rFonts w:ascii="宋体" w:hAnsi="宋体" w:eastAsia="宋体" w:cs="宋体"/>
          <w:sz w:val="17"/>
          <w:szCs w:val="17"/>
        </w:rPr>
        <w:t xml:space="preserve"> </w:t>
      </w:r>
      <w:r>
        <w:rPr>
          <w:rFonts w:ascii="宋体" w:hAnsi="宋体" w:eastAsia="宋体" w:cs="宋体"/>
          <w:spacing w:val="3"/>
          <w:sz w:val="17"/>
          <w:szCs w:val="17"/>
        </w:rPr>
        <w:t>4.机械零部件检验结论</w:t>
      </w:r>
      <w:r>
        <w:rPr>
          <w:rFonts w:ascii="宋体" w:hAnsi="宋体" w:eastAsia="宋体" w:cs="宋体"/>
          <w:spacing w:val="5"/>
          <w:sz w:val="17"/>
          <w:szCs w:val="17"/>
        </w:rPr>
        <w:t xml:space="preserve">                 </w:t>
      </w:r>
      <w:r>
        <w:rPr>
          <w:rFonts w:ascii="宋体" w:hAnsi="宋体" w:eastAsia="宋体" w:cs="宋体"/>
          <w:spacing w:val="3"/>
          <w:sz w:val="17"/>
          <w:szCs w:val="17"/>
        </w:rPr>
        <w:t>20分</w:t>
      </w:r>
      <w:r>
        <w:rPr>
          <w:rFonts w:ascii="宋体" w:hAnsi="宋体" w:eastAsia="宋体" w:cs="宋体"/>
          <w:spacing w:val="4"/>
          <w:sz w:val="17"/>
          <w:szCs w:val="17"/>
        </w:rPr>
        <w:t xml:space="preserve"> </w:t>
      </w:r>
      <w:r>
        <w:rPr>
          <w:rFonts w:ascii="宋体" w:hAnsi="宋体" w:eastAsia="宋体" w:cs="宋体"/>
          <w:spacing w:val="3"/>
          <w:sz w:val="17"/>
          <w:szCs w:val="17"/>
        </w:rPr>
        <w:t>5.资料查阅能力</w:t>
      </w:r>
      <w:r>
        <w:rPr>
          <w:rFonts w:ascii="宋体" w:hAnsi="宋体" w:eastAsia="宋体" w:cs="宋体"/>
          <w:sz w:val="17"/>
          <w:szCs w:val="17"/>
        </w:rPr>
        <w:t xml:space="preserve">                        </w:t>
      </w:r>
      <w:r>
        <w:rPr>
          <w:rFonts w:ascii="宋体" w:hAnsi="宋体" w:eastAsia="宋体" w:cs="宋体"/>
          <w:spacing w:val="3"/>
          <w:sz w:val="17"/>
          <w:szCs w:val="17"/>
        </w:rPr>
        <w:t>10分</w:t>
      </w:r>
      <w:r>
        <w:rPr>
          <w:rFonts w:ascii="宋体" w:hAnsi="宋体" w:eastAsia="宋体" w:cs="宋体"/>
          <w:spacing w:val="13"/>
          <w:sz w:val="17"/>
          <w:szCs w:val="17"/>
        </w:rPr>
        <w:t xml:space="preserve"> </w:t>
      </w:r>
      <w:r>
        <w:rPr>
          <w:rFonts w:ascii="宋体" w:hAnsi="宋体" w:eastAsia="宋体" w:cs="宋体"/>
          <w:spacing w:val="8"/>
          <w:sz w:val="17"/>
          <w:szCs w:val="17"/>
        </w:rPr>
        <w:t xml:space="preserve">6.调整方法(包括零部件正确拆装)      40分 </w:t>
      </w:r>
      <w:r>
        <w:rPr>
          <w:rFonts w:ascii="宋体" w:hAnsi="宋体" w:eastAsia="宋体" w:cs="宋体"/>
          <w:spacing w:val="-4"/>
          <w:sz w:val="17"/>
          <w:szCs w:val="17"/>
        </w:rPr>
        <w:t>7.汽车维护方法(含相关零部件的拆装方法)</w:t>
      </w:r>
      <w:r>
        <w:rPr>
          <w:rFonts w:ascii="宋体" w:hAnsi="宋体" w:eastAsia="宋体" w:cs="宋体"/>
          <w:spacing w:val="60"/>
          <w:sz w:val="17"/>
          <w:szCs w:val="17"/>
        </w:rPr>
        <w:t xml:space="preserve"> </w:t>
      </w:r>
      <w:r>
        <w:rPr>
          <w:rFonts w:ascii="宋体" w:hAnsi="宋体" w:eastAsia="宋体" w:cs="宋体"/>
          <w:spacing w:val="-5"/>
          <w:sz w:val="17"/>
          <w:szCs w:val="17"/>
        </w:rPr>
        <w:t>30分</w:t>
      </w:r>
      <w:r>
        <w:rPr>
          <w:rFonts w:ascii="宋体" w:hAnsi="宋体" w:eastAsia="宋体" w:cs="宋体"/>
          <w:sz w:val="17"/>
          <w:szCs w:val="17"/>
        </w:rPr>
        <w:t xml:space="preserve"> </w:t>
      </w:r>
      <w:r>
        <w:rPr>
          <w:rFonts w:ascii="宋体" w:hAnsi="宋体" w:eastAsia="宋体" w:cs="宋体"/>
          <w:spacing w:val="3"/>
          <w:sz w:val="17"/>
          <w:szCs w:val="17"/>
        </w:rPr>
        <w:t>8.汽车维护结论</w:t>
      </w:r>
      <w:r>
        <w:rPr>
          <w:rFonts w:ascii="宋体" w:hAnsi="宋体" w:eastAsia="宋体" w:cs="宋体"/>
          <w:sz w:val="17"/>
          <w:szCs w:val="17"/>
        </w:rPr>
        <w:t xml:space="preserve">                        </w:t>
      </w:r>
      <w:r>
        <w:rPr>
          <w:rFonts w:ascii="宋体" w:hAnsi="宋体" w:eastAsia="宋体" w:cs="宋体"/>
          <w:spacing w:val="3"/>
          <w:sz w:val="17"/>
          <w:szCs w:val="17"/>
        </w:rPr>
        <w:t>25分</w:t>
      </w:r>
      <w:r>
        <w:rPr>
          <w:rFonts w:ascii="宋体" w:hAnsi="宋体" w:eastAsia="宋体" w:cs="宋体"/>
          <w:spacing w:val="13"/>
          <w:sz w:val="17"/>
          <w:szCs w:val="17"/>
        </w:rPr>
        <w:t xml:space="preserve"> </w:t>
      </w:r>
      <w:r>
        <w:rPr>
          <w:rFonts w:ascii="宋体" w:hAnsi="宋体" w:eastAsia="宋体" w:cs="宋体"/>
          <w:spacing w:val="2"/>
          <w:sz w:val="17"/>
          <w:szCs w:val="17"/>
        </w:rPr>
        <w:t>9.根据职业素养评分要求，现场给分</w:t>
      </w:r>
      <w:r>
        <w:rPr>
          <w:rFonts w:ascii="宋体" w:hAnsi="宋体" w:eastAsia="宋体" w:cs="宋体"/>
          <w:spacing w:val="1"/>
          <w:sz w:val="17"/>
          <w:szCs w:val="17"/>
        </w:rPr>
        <w:t xml:space="preserve">      </w:t>
      </w:r>
      <w:r>
        <w:rPr>
          <w:rFonts w:ascii="宋体" w:hAnsi="宋体" w:eastAsia="宋体" w:cs="宋体"/>
          <w:spacing w:val="2"/>
          <w:sz w:val="17"/>
          <w:szCs w:val="17"/>
        </w:rPr>
        <w:t>25分</w:t>
      </w:r>
    </w:p>
    <w:p w14:paraId="4F2E89C5">
      <w:pPr>
        <w:pStyle w:val="2"/>
        <w:spacing w:line="296" w:lineRule="auto"/>
      </w:pPr>
    </w:p>
    <w:p w14:paraId="715990B3">
      <w:pPr>
        <w:spacing w:before="55" w:line="219" w:lineRule="auto"/>
        <w:ind w:left="882"/>
        <w:rPr>
          <w:rFonts w:ascii="宋体" w:hAnsi="宋体" w:eastAsia="宋体" w:cs="宋体"/>
          <w:sz w:val="17"/>
          <w:szCs w:val="17"/>
        </w:rPr>
      </w:pPr>
      <w:r>
        <w:rPr>
          <w:rFonts w:ascii="宋体" w:hAnsi="宋体" w:eastAsia="宋体" w:cs="宋体"/>
          <w:b/>
          <w:bCs/>
          <w:spacing w:val="-13"/>
          <w:sz w:val="17"/>
          <w:szCs w:val="17"/>
        </w:rPr>
        <w:t>项</w:t>
      </w:r>
      <w:r>
        <w:rPr>
          <w:rFonts w:ascii="宋体" w:hAnsi="宋体" w:eastAsia="宋体" w:cs="宋体"/>
          <w:spacing w:val="-13"/>
          <w:sz w:val="17"/>
          <w:szCs w:val="17"/>
        </w:rPr>
        <w:t xml:space="preserve"> </w:t>
      </w:r>
      <w:r>
        <w:rPr>
          <w:rFonts w:ascii="宋体" w:hAnsi="宋体" w:eastAsia="宋体" w:cs="宋体"/>
          <w:b/>
          <w:bCs/>
          <w:spacing w:val="-13"/>
          <w:sz w:val="17"/>
          <w:szCs w:val="17"/>
        </w:rPr>
        <w:t>目</w:t>
      </w:r>
      <w:r>
        <w:rPr>
          <w:rFonts w:ascii="宋体" w:hAnsi="宋体" w:eastAsia="宋体" w:cs="宋体"/>
          <w:spacing w:val="-35"/>
          <w:sz w:val="17"/>
          <w:szCs w:val="17"/>
        </w:rPr>
        <w:t xml:space="preserve"> </w:t>
      </w:r>
      <w:r>
        <w:rPr>
          <w:rFonts w:ascii="宋体" w:hAnsi="宋体" w:eastAsia="宋体" w:cs="宋体"/>
          <w:b/>
          <w:bCs/>
          <w:spacing w:val="-13"/>
          <w:sz w:val="17"/>
          <w:szCs w:val="17"/>
        </w:rPr>
        <w:t>八</w:t>
      </w:r>
      <w:r>
        <w:rPr>
          <w:rFonts w:ascii="宋体" w:hAnsi="宋体" w:eastAsia="宋体" w:cs="宋体"/>
          <w:spacing w:val="-13"/>
          <w:sz w:val="17"/>
          <w:szCs w:val="17"/>
        </w:rPr>
        <w:t xml:space="preserve">  </w:t>
      </w:r>
      <w:r>
        <w:rPr>
          <w:rFonts w:ascii="宋体" w:hAnsi="宋体" w:eastAsia="宋体" w:cs="宋体"/>
          <w:b/>
          <w:bCs/>
          <w:spacing w:val="-13"/>
          <w:sz w:val="17"/>
          <w:szCs w:val="17"/>
        </w:rPr>
        <w:t>双</w:t>
      </w:r>
      <w:r>
        <w:rPr>
          <w:rFonts w:ascii="宋体" w:hAnsi="宋体" w:eastAsia="宋体" w:cs="宋体"/>
          <w:spacing w:val="-39"/>
          <w:sz w:val="17"/>
          <w:szCs w:val="17"/>
        </w:rPr>
        <w:t xml:space="preserve"> </w:t>
      </w:r>
      <w:r>
        <w:rPr>
          <w:rFonts w:ascii="宋体" w:hAnsi="宋体" w:eastAsia="宋体" w:cs="宋体"/>
          <w:b/>
          <w:bCs/>
          <w:spacing w:val="-13"/>
          <w:sz w:val="17"/>
          <w:szCs w:val="17"/>
        </w:rPr>
        <w:t>控</w:t>
      </w:r>
      <w:r>
        <w:rPr>
          <w:rFonts w:ascii="宋体" w:hAnsi="宋体" w:eastAsia="宋体" w:cs="宋体"/>
          <w:spacing w:val="-34"/>
          <w:sz w:val="17"/>
          <w:szCs w:val="17"/>
        </w:rPr>
        <w:t xml:space="preserve"> </w:t>
      </w:r>
      <w:r>
        <w:rPr>
          <w:rFonts w:ascii="宋体" w:hAnsi="宋体" w:eastAsia="宋体" w:cs="宋体"/>
          <w:b/>
          <w:bCs/>
          <w:spacing w:val="-13"/>
          <w:sz w:val="17"/>
          <w:szCs w:val="17"/>
        </w:rPr>
        <w:t>照</w:t>
      </w:r>
      <w:r>
        <w:rPr>
          <w:rFonts w:ascii="宋体" w:hAnsi="宋体" w:eastAsia="宋体" w:cs="宋体"/>
          <w:spacing w:val="-22"/>
          <w:sz w:val="17"/>
          <w:szCs w:val="17"/>
        </w:rPr>
        <w:t xml:space="preserve"> </w:t>
      </w:r>
      <w:r>
        <w:rPr>
          <w:rFonts w:ascii="宋体" w:hAnsi="宋体" w:eastAsia="宋体" w:cs="宋体"/>
          <w:b/>
          <w:bCs/>
          <w:spacing w:val="-13"/>
          <w:sz w:val="17"/>
          <w:szCs w:val="17"/>
        </w:rPr>
        <w:t>明</w:t>
      </w:r>
      <w:r>
        <w:rPr>
          <w:rFonts w:ascii="宋体" w:hAnsi="宋体" w:eastAsia="宋体" w:cs="宋体"/>
          <w:spacing w:val="-13"/>
          <w:sz w:val="17"/>
          <w:szCs w:val="17"/>
        </w:rPr>
        <w:t xml:space="preserve"> </w:t>
      </w:r>
      <w:r>
        <w:rPr>
          <w:rFonts w:ascii="宋体" w:hAnsi="宋体" w:eastAsia="宋体" w:cs="宋体"/>
          <w:b/>
          <w:bCs/>
          <w:spacing w:val="-13"/>
          <w:sz w:val="17"/>
          <w:szCs w:val="17"/>
        </w:rPr>
        <w:t>电</w:t>
      </w:r>
      <w:r>
        <w:rPr>
          <w:rFonts w:ascii="宋体" w:hAnsi="宋体" w:eastAsia="宋体" w:cs="宋体"/>
          <w:spacing w:val="-37"/>
          <w:sz w:val="17"/>
          <w:szCs w:val="17"/>
        </w:rPr>
        <w:t xml:space="preserve"> </w:t>
      </w:r>
      <w:r>
        <w:rPr>
          <w:rFonts w:ascii="宋体" w:hAnsi="宋体" w:eastAsia="宋体" w:cs="宋体"/>
          <w:b/>
          <w:bCs/>
          <w:spacing w:val="-13"/>
          <w:sz w:val="17"/>
          <w:szCs w:val="17"/>
        </w:rPr>
        <w:t>路</w:t>
      </w:r>
      <w:r>
        <w:rPr>
          <w:rFonts w:ascii="宋体" w:hAnsi="宋体" w:eastAsia="宋体" w:cs="宋体"/>
          <w:spacing w:val="-36"/>
          <w:sz w:val="17"/>
          <w:szCs w:val="17"/>
        </w:rPr>
        <w:t xml:space="preserve"> </w:t>
      </w:r>
      <w:r>
        <w:rPr>
          <w:rFonts w:ascii="宋体" w:hAnsi="宋体" w:eastAsia="宋体" w:cs="宋体"/>
          <w:b/>
          <w:bCs/>
          <w:spacing w:val="-13"/>
          <w:sz w:val="17"/>
          <w:szCs w:val="17"/>
        </w:rPr>
        <w:t>安</w:t>
      </w:r>
      <w:r>
        <w:rPr>
          <w:rFonts w:ascii="宋体" w:hAnsi="宋体" w:eastAsia="宋体" w:cs="宋体"/>
          <w:spacing w:val="-38"/>
          <w:sz w:val="17"/>
          <w:szCs w:val="17"/>
        </w:rPr>
        <w:t xml:space="preserve"> </w:t>
      </w:r>
      <w:r>
        <w:rPr>
          <w:rFonts w:ascii="宋体" w:hAnsi="宋体" w:eastAsia="宋体" w:cs="宋体"/>
          <w:b/>
          <w:bCs/>
          <w:spacing w:val="-13"/>
          <w:sz w:val="17"/>
          <w:szCs w:val="17"/>
        </w:rPr>
        <w:t>装</w:t>
      </w:r>
    </w:p>
    <w:p w14:paraId="57B1EE38">
      <w:pPr>
        <w:pStyle w:val="2"/>
        <w:spacing w:line="294" w:lineRule="auto"/>
      </w:pPr>
    </w:p>
    <w:p w14:paraId="47DA2424">
      <w:pPr>
        <w:spacing w:before="56" w:line="221" w:lineRule="auto"/>
        <w:ind w:left="285"/>
        <w:rPr>
          <w:rFonts w:ascii="宋体" w:hAnsi="宋体" w:eastAsia="宋体" w:cs="宋体"/>
          <w:sz w:val="17"/>
          <w:szCs w:val="17"/>
        </w:rPr>
      </w:pPr>
      <w:r>
        <w:rPr>
          <w:rFonts w:ascii="宋体" w:hAnsi="宋体" w:eastAsia="宋体" w:cs="宋体"/>
          <w:spacing w:val="8"/>
          <w:sz w:val="17"/>
          <w:szCs w:val="17"/>
        </w:rPr>
        <w:t>【测试用具】</w:t>
      </w:r>
    </w:p>
    <w:p w14:paraId="28328134">
      <w:pPr>
        <w:spacing w:before="75" w:line="302" w:lineRule="auto"/>
        <w:ind w:right="72" w:firstLine="370"/>
        <w:rPr>
          <w:rFonts w:ascii="宋体" w:hAnsi="宋体" w:eastAsia="宋体" w:cs="宋体"/>
          <w:sz w:val="17"/>
          <w:szCs w:val="17"/>
        </w:rPr>
      </w:pPr>
      <w:r>
        <w:rPr>
          <w:rFonts w:ascii="宋体" w:hAnsi="宋体" w:eastAsia="宋体" w:cs="宋体"/>
          <w:spacing w:val="1"/>
          <w:sz w:val="17"/>
          <w:szCs w:val="17"/>
        </w:rPr>
        <w:t>工具：测电笔、螺钉旋具、尖嘴钳、斜口钳、剥线</w:t>
      </w:r>
      <w:r>
        <w:rPr>
          <w:rFonts w:ascii="宋体" w:hAnsi="宋体" w:eastAsia="宋体" w:cs="宋体"/>
          <w:spacing w:val="9"/>
          <w:sz w:val="17"/>
          <w:szCs w:val="17"/>
        </w:rPr>
        <w:t xml:space="preserve"> </w:t>
      </w:r>
      <w:r>
        <w:rPr>
          <w:rFonts w:ascii="宋体" w:hAnsi="宋体" w:eastAsia="宋体" w:cs="宋体"/>
          <w:spacing w:val="-1"/>
          <w:sz w:val="17"/>
          <w:szCs w:val="17"/>
        </w:rPr>
        <w:t>钳、万用表等。</w:t>
      </w:r>
    </w:p>
    <w:p w14:paraId="5BC15A30">
      <w:pPr>
        <w:spacing w:before="24" w:line="313" w:lineRule="auto"/>
        <w:ind w:firstLine="370"/>
        <w:rPr>
          <w:rFonts w:ascii="宋体" w:hAnsi="宋体" w:eastAsia="宋体" w:cs="宋体"/>
          <w:sz w:val="17"/>
          <w:szCs w:val="17"/>
        </w:rPr>
      </w:pPr>
      <w:r>
        <w:rPr>
          <w:rFonts w:ascii="宋体" w:hAnsi="宋体" w:eastAsia="宋体" w:cs="宋体"/>
          <w:spacing w:val="-3"/>
          <w:sz w:val="17"/>
          <w:szCs w:val="17"/>
        </w:rPr>
        <w:t>器材：电气技术技能及工艺实训装置一台、网孔板、</w:t>
      </w:r>
      <w:r>
        <w:rPr>
          <w:rFonts w:ascii="宋体" w:hAnsi="宋体" w:eastAsia="宋体" w:cs="宋体"/>
          <w:spacing w:val="2"/>
          <w:sz w:val="17"/>
          <w:szCs w:val="17"/>
        </w:rPr>
        <w:t xml:space="preserve"> </w:t>
      </w:r>
      <w:r>
        <w:rPr>
          <w:rFonts w:ascii="宋体" w:hAnsi="宋体" w:eastAsia="宋体" w:cs="宋体"/>
          <w:spacing w:val="-1"/>
          <w:sz w:val="17"/>
          <w:szCs w:val="17"/>
        </w:rPr>
        <w:t>双控开关一组、灯座、灯泡、接线端子、导轨。</w:t>
      </w:r>
    </w:p>
    <w:p w14:paraId="7D015814">
      <w:pPr>
        <w:spacing w:before="5" w:line="306" w:lineRule="auto"/>
        <w:ind w:right="106" w:firstLine="370"/>
        <w:rPr>
          <w:rFonts w:ascii="宋体" w:hAnsi="宋体" w:eastAsia="宋体" w:cs="宋体"/>
          <w:sz w:val="17"/>
          <w:szCs w:val="17"/>
        </w:rPr>
      </w:pPr>
      <w:r>
        <w:rPr>
          <w:rFonts w:ascii="宋体" w:hAnsi="宋体" w:eastAsia="宋体" w:cs="宋体"/>
          <w:spacing w:val="-1"/>
          <w:sz w:val="17"/>
          <w:szCs w:val="17"/>
        </w:rPr>
        <w:t>导线：采用2.5</w:t>
      </w:r>
      <w:r>
        <w:rPr>
          <w:rFonts w:ascii="Times New Roman" w:hAnsi="Times New Roman" w:eastAsia="Times New Roman" w:cs="Times New Roman"/>
          <w:spacing w:val="-1"/>
          <w:sz w:val="17"/>
          <w:szCs w:val="17"/>
        </w:rPr>
        <w:t>mm2</w:t>
      </w:r>
      <w:r>
        <w:rPr>
          <w:rFonts w:ascii="宋体" w:hAnsi="宋体" w:eastAsia="宋体" w:cs="宋体"/>
          <w:spacing w:val="-1"/>
          <w:sz w:val="17"/>
          <w:szCs w:val="17"/>
        </w:rPr>
        <w:t>单股铝芯线或1.5</w:t>
      </w:r>
      <w:r>
        <w:rPr>
          <w:rFonts w:ascii="Times New Roman" w:hAnsi="Times New Roman" w:eastAsia="Times New Roman" w:cs="Times New Roman"/>
          <w:spacing w:val="-1"/>
          <w:sz w:val="17"/>
          <w:szCs w:val="17"/>
        </w:rPr>
        <w:t>mm2</w:t>
      </w:r>
      <w:r>
        <w:rPr>
          <w:rFonts w:ascii="宋体" w:hAnsi="宋体" w:eastAsia="宋体" w:cs="宋体"/>
          <w:spacing w:val="-1"/>
          <w:sz w:val="17"/>
          <w:szCs w:val="17"/>
        </w:rPr>
        <w:t>铜芯线；</w:t>
      </w:r>
      <w:r>
        <w:rPr>
          <w:rFonts w:ascii="宋体" w:hAnsi="宋体" w:eastAsia="宋体" w:cs="宋体"/>
          <w:spacing w:val="2"/>
          <w:sz w:val="17"/>
          <w:szCs w:val="17"/>
        </w:rPr>
        <w:t xml:space="preserve"> </w:t>
      </w:r>
      <w:r>
        <w:rPr>
          <w:rFonts w:ascii="宋体" w:hAnsi="宋体" w:eastAsia="宋体" w:cs="宋体"/>
          <w:spacing w:val="4"/>
          <w:sz w:val="17"/>
          <w:szCs w:val="17"/>
        </w:rPr>
        <w:t>按钮线采用1</w:t>
      </w:r>
      <w:r>
        <w:rPr>
          <w:rFonts w:ascii="Times New Roman" w:hAnsi="Times New Roman" w:eastAsia="Times New Roman" w:cs="Times New Roman"/>
          <w:sz w:val="17"/>
          <w:szCs w:val="17"/>
        </w:rPr>
        <w:t>mm</w:t>
      </w:r>
      <w:r>
        <w:rPr>
          <w:rFonts w:ascii="Times New Roman" w:hAnsi="Times New Roman" w:eastAsia="Times New Roman" w:cs="Times New Roman"/>
          <w:spacing w:val="4"/>
          <w:sz w:val="17"/>
          <w:szCs w:val="17"/>
        </w:rPr>
        <w:t>2</w:t>
      </w:r>
      <w:r>
        <w:rPr>
          <w:rFonts w:ascii="宋体" w:hAnsi="宋体" w:eastAsia="宋体" w:cs="宋体"/>
          <w:spacing w:val="4"/>
          <w:sz w:val="17"/>
          <w:szCs w:val="17"/>
        </w:rPr>
        <w:t>多股铜芯软线，简单线路可不用编码</w:t>
      </w:r>
      <w:r>
        <w:rPr>
          <w:rFonts w:ascii="宋体" w:hAnsi="宋体" w:eastAsia="宋体" w:cs="宋体"/>
          <w:spacing w:val="11"/>
          <w:sz w:val="17"/>
          <w:szCs w:val="17"/>
        </w:rPr>
        <w:t xml:space="preserve"> </w:t>
      </w:r>
      <w:r>
        <w:rPr>
          <w:rFonts w:ascii="宋体" w:hAnsi="宋体" w:eastAsia="宋体" w:cs="宋体"/>
          <w:spacing w:val="1"/>
          <w:sz w:val="17"/>
          <w:szCs w:val="17"/>
        </w:rPr>
        <w:t>套管。</w:t>
      </w:r>
    </w:p>
    <w:p w14:paraId="36DAAA81">
      <w:pPr>
        <w:spacing w:before="24" w:line="219" w:lineRule="auto"/>
        <w:ind w:left="285"/>
        <w:rPr>
          <w:rFonts w:ascii="宋体" w:hAnsi="宋体" w:eastAsia="宋体" w:cs="宋体"/>
          <w:sz w:val="17"/>
          <w:szCs w:val="17"/>
        </w:rPr>
      </w:pPr>
      <w:r>
        <w:rPr>
          <w:rFonts w:ascii="宋体" w:hAnsi="宋体" w:eastAsia="宋体" w:cs="宋体"/>
          <w:spacing w:val="8"/>
          <w:sz w:val="17"/>
          <w:szCs w:val="17"/>
        </w:rPr>
        <w:t>【测试内容】</w:t>
      </w:r>
    </w:p>
    <w:p w14:paraId="305094AE">
      <w:pPr>
        <w:spacing w:before="98" w:line="291" w:lineRule="auto"/>
        <w:ind w:left="370" w:right="1319"/>
        <w:rPr>
          <w:rFonts w:ascii="宋体" w:hAnsi="宋体" w:eastAsia="宋体" w:cs="宋体"/>
          <w:sz w:val="17"/>
          <w:szCs w:val="17"/>
        </w:rPr>
      </w:pPr>
      <w:r>
        <w:rPr>
          <w:rFonts w:ascii="宋体" w:hAnsi="宋体" w:eastAsia="宋体" w:cs="宋体"/>
          <w:spacing w:val="-2"/>
          <w:sz w:val="17"/>
          <w:szCs w:val="17"/>
        </w:rPr>
        <w:t>1.识读单相双控照明电路原理图；</w:t>
      </w:r>
      <w:r>
        <w:rPr>
          <w:rFonts w:ascii="宋体" w:hAnsi="宋体" w:eastAsia="宋体" w:cs="宋体"/>
          <w:spacing w:val="6"/>
          <w:sz w:val="17"/>
          <w:szCs w:val="17"/>
        </w:rPr>
        <w:t xml:space="preserve"> </w:t>
      </w:r>
      <w:r>
        <w:rPr>
          <w:rFonts w:ascii="宋体" w:hAnsi="宋体" w:eastAsia="宋体" w:cs="宋体"/>
          <w:spacing w:val="-3"/>
          <w:sz w:val="17"/>
          <w:szCs w:val="17"/>
        </w:rPr>
        <w:t>2.并按图完成安装；</w:t>
      </w:r>
    </w:p>
    <w:p w14:paraId="6B7DACAA">
      <w:pPr>
        <w:spacing w:before="34" w:line="304" w:lineRule="auto"/>
        <w:ind w:left="285" w:right="2319" w:firstLine="85"/>
        <w:rPr>
          <w:rFonts w:ascii="宋体" w:hAnsi="宋体" w:eastAsia="宋体" w:cs="宋体"/>
          <w:sz w:val="17"/>
          <w:szCs w:val="17"/>
        </w:rPr>
      </w:pPr>
      <w:r>
        <w:rPr>
          <w:rFonts w:ascii="宋体" w:hAnsi="宋体" w:eastAsia="宋体" w:cs="宋体"/>
          <w:spacing w:val="-1"/>
          <w:sz w:val="17"/>
          <w:szCs w:val="17"/>
        </w:rPr>
        <w:t>3.能合理布置器件。</w:t>
      </w:r>
      <w:r>
        <w:rPr>
          <w:rFonts w:ascii="宋体" w:hAnsi="宋体" w:eastAsia="宋体" w:cs="宋体"/>
          <w:spacing w:val="4"/>
          <w:sz w:val="17"/>
          <w:szCs w:val="17"/>
        </w:rPr>
        <w:t xml:space="preserve"> </w:t>
      </w:r>
      <w:r>
        <w:rPr>
          <w:rFonts w:ascii="宋体" w:hAnsi="宋体" w:eastAsia="宋体" w:cs="宋体"/>
          <w:spacing w:val="8"/>
          <w:sz w:val="17"/>
          <w:szCs w:val="17"/>
        </w:rPr>
        <w:t>【测试方法】</w:t>
      </w:r>
    </w:p>
    <w:p w14:paraId="4EF7C27D">
      <w:pPr>
        <w:spacing w:before="21" w:line="184" w:lineRule="auto"/>
        <w:jc w:val="right"/>
        <w:rPr>
          <w:rFonts w:ascii="宋体" w:hAnsi="宋体" w:eastAsia="宋体" w:cs="宋体"/>
          <w:sz w:val="17"/>
          <w:szCs w:val="17"/>
        </w:rPr>
      </w:pPr>
      <w:r>
        <w:rPr>
          <w:rFonts w:ascii="宋体" w:hAnsi="宋体" w:eastAsia="宋体" w:cs="宋体"/>
          <w:sz w:val="17"/>
          <w:szCs w:val="17"/>
        </w:rPr>
        <w:t>1.电器元件的技术数据(如型号、规格、额定电压、</w:t>
      </w:r>
    </w:p>
    <w:p w14:paraId="4B50E921">
      <w:pPr>
        <w:spacing w:line="184" w:lineRule="auto"/>
        <w:rPr>
          <w:rFonts w:ascii="宋体" w:hAnsi="宋体" w:eastAsia="宋体" w:cs="宋体"/>
          <w:sz w:val="17"/>
          <w:szCs w:val="17"/>
        </w:rPr>
        <w:sectPr>
          <w:type w:val="continuous"/>
          <w:pgSz w:w="10660" w:h="15080"/>
          <w:pgMar w:top="400" w:right="975" w:bottom="936" w:left="819" w:header="0" w:footer="715" w:gutter="0"/>
          <w:cols w:equalWidth="0" w:num="2">
            <w:col w:w="4550" w:space="100"/>
            <w:col w:w="4216"/>
          </w:cols>
        </w:sectPr>
      </w:pPr>
    </w:p>
    <w:p w14:paraId="4E5BDFB0">
      <w:pPr>
        <w:spacing w:before="5"/>
      </w:pPr>
    </w:p>
    <w:p w14:paraId="3FA030FD">
      <w:pPr>
        <w:spacing w:before="5"/>
      </w:pPr>
    </w:p>
    <w:p w14:paraId="79CA6280">
      <w:pPr>
        <w:spacing w:before="4"/>
      </w:pPr>
    </w:p>
    <w:p w14:paraId="7AF7A7B0">
      <w:pPr>
        <w:spacing w:before="4"/>
      </w:pPr>
    </w:p>
    <w:p w14:paraId="4CEC104D">
      <w:pPr>
        <w:sectPr>
          <w:footerReference r:id="rId109" w:type="default"/>
          <w:pgSz w:w="10660" w:h="15080"/>
          <w:pgMar w:top="400" w:right="849" w:bottom="917" w:left="1010" w:header="0" w:footer="709" w:gutter="0"/>
          <w:cols w:equalWidth="0" w:num="1">
            <w:col w:w="8801"/>
          </w:cols>
        </w:sectPr>
      </w:pPr>
    </w:p>
    <w:p w14:paraId="34FB7DDD">
      <w:pPr>
        <w:spacing w:before="33" w:line="320" w:lineRule="auto"/>
        <w:ind w:right="380"/>
        <w:rPr>
          <w:rFonts w:ascii="宋体" w:hAnsi="宋体" w:eastAsia="宋体" w:cs="宋体"/>
          <w:sz w:val="16"/>
          <w:szCs w:val="16"/>
        </w:rPr>
      </w:pPr>
      <w:r>
        <w:rPr>
          <w:rFonts w:ascii="宋体" w:hAnsi="宋体" w:eastAsia="宋体" w:cs="宋体"/>
          <w:spacing w:val="15"/>
          <w:sz w:val="16"/>
          <w:szCs w:val="16"/>
        </w:rPr>
        <w:t>额定电流等)应完整并符合要求，外观无损伤，备</w:t>
      </w:r>
      <w:r>
        <w:rPr>
          <w:rFonts w:ascii="宋体" w:hAnsi="宋体" w:eastAsia="宋体" w:cs="宋体"/>
          <w:spacing w:val="14"/>
          <w:sz w:val="16"/>
          <w:szCs w:val="16"/>
        </w:rPr>
        <w:t>件、</w:t>
      </w:r>
      <w:r>
        <w:rPr>
          <w:rFonts w:ascii="宋体" w:hAnsi="宋体" w:eastAsia="宋体" w:cs="宋体"/>
          <w:sz w:val="16"/>
          <w:szCs w:val="16"/>
        </w:rPr>
        <w:t xml:space="preserve"> </w:t>
      </w:r>
      <w:r>
        <w:rPr>
          <w:rFonts w:ascii="宋体" w:hAnsi="宋体" w:eastAsia="宋体" w:cs="宋体"/>
          <w:spacing w:val="5"/>
          <w:sz w:val="16"/>
          <w:szCs w:val="16"/>
        </w:rPr>
        <w:t>附件齐全完好；</w:t>
      </w:r>
    </w:p>
    <w:p w14:paraId="7964929E">
      <w:pPr>
        <w:spacing w:before="25" w:line="326" w:lineRule="auto"/>
        <w:ind w:right="364" w:firstLine="370"/>
        <w:rPr>
          <w:rFonts w:ascii="宋体" w:hAnsi="宋体" w:eastAsia="宋体" w:cs="宋体"/>
          <w:sz w:val="16"/>
          <w:szCs w:val="16"/>
        </w:rPr>
      </w:pPr>
      <w:r>
        <w:rPr>
          <w:rFonts w:ascii="宋体" w:hAnsi="宋体" w:eastAsia="宋体" w:cs="宋体"/>
          <w:spacing w:val="17"/>
          <w:sz w:val="16"/>
          <w:szCs w:val="16"/>
        </w:rPr>
        <w:t>2.各元件的安装位置应整齐、匀称，间距合理，</w:t>
      </w:r>
      <w:r>
        <w:rPr>
          <w:rFonts w:ascii="宋体" w:hAnsi="宋体" w:eastAsia="宋体" w:cs="宋体"/>
          <w:spacing w:val="14"/>
          <w:sz w:val="16"/>
          <w:szCs w:val="16"/>
        </w:rPr>
        <w:t xml:space="preserve"> </w:t>
      </w:r>
      <w:r>
        <w:rPr>
          <w:rFonts w:ascii="宋体" w:hAnsi="宋体" w:eastAsia="宋体" w:cs="宋体"/>
          <w:spacing w:val="19"/>
          <w:sz w:val="16"/>
          <w:szCs w:val="16"/>
        </w:rPr>
        <w:t>便于元件的更换。紧固各元件时要用力均匀，紧固程</w:t>
      </w:r>
      <w:r>
        <w:rPr>
          <w:rFonts w:ascii="宋体" w:hAnsi="宋体" w:eastAsia="宋体" w:cs="宋体"/>
          <w:spacing w:val="17"/>
          <w:sz w:val="16"/>
          <w:szCs w:val="16"/>
        </w:rPr>
        <w:t xml:space="preserve"> </w:t>
      </w:r>
      <w:r>
        <w:rPr>
          <w:rFonts w:ascii="宋体" w:hAnsi="宋体" w:eastAsia="宋体" w:cs="宋体"/>
          <w:spacing w:val="5"/>
          <w:sz w:val="16"/>
          <w:szCs w:val="16"/>
        </w:rPr>
        <w:t>度适当；</w:t>
      </w:r>
    </w:p>
    <w:p w14:paraId="2FFE317B">
      <w:pPr>
        <w:spacing w:before="21" w:line="321" w:lineRule="auto"/>
        <w:ind w:right="363" w:firstLine="370"/>
        <w:rPr>
          <w:rFonts w:ascii="宋体" w:hAnsi="宋体" w:eastAsia="宋体" w:cs="宋体"/>
          <w:sz w:val="16"/>
          <w:szCs w:val="16"/>
        </w:rPr>
      </w:pPr>
      <w:r>
        <w:rPr>
          <w:rFonts w:ascii="宋体" w:hAnsi="宋体" w:eastAsia="宋体" w:cs="宋体"/>
          <w:spacing w:val="10"/>
          <w:sz w:val="16"/>
          <w:szCs w:val="16"/>
        </w:rPr>
        <w:t>3.布线通道尽可能少，同路并行导线按主、控电路</w:t>
      </w:r>
      <w:r>
        <w:rPr>
          <w:rFonts w:ascii="宋体" w:hAnsi="宋体" w:eastAsia="宋体" w:cs="宋体"/>
          <w:spacing w:val="15"/>
          <w:sz w:val="16"/>
          <w:szCs w:val="16"/>
        </w:rPr>
        <w:t xml:space="preserve"> </w:t>
      </w:r>
      <w:r>
        <w:rPr>
          <w:rFonts w:ascii="宋体" w:hAnsi="宋体" w:eastAsia="宋体" w:cs="宋体"/>
          <w:spacing w:val="8"/>
          <w:sz w:val="16"/>
          <w:szCs w:val="16"/>
        </w:rPr>
        <w:t>分类集中，单层密排，紧贴安装面布线；</w:t>
      </w:r>
    </w:p>
    <w:p w14:paraId="552AA931">
      <w:pPr>
        <w:spacing w:before="23" w:line="326" w:lineRule="auto"/>
        <w:ind w:right="362" w:firstLine="370"/>
        <w:rPr>
          <w:rFonts w:ascii="宋体" w:hAnsi="宋体" w:eastAsia="宋体" w:cs="宋体"/>
          <w:sz w:val="16"/>
          <w:szCs w:val="16"/>
        </w:rPr>
      </w:pPr>
      <w:r>
        <w:rPr>
          <w:rFonts w:ascii="宋体" w:hAnsi="宋体" w:eastAsia="宋体" w:cs="宋体"/>
          <w:spacing w:val="10"/>
          <w:sz w:val="16"/>
          <w:szCs w:val="16"/>
        </w:rPr>
        <w:t>4.同一平面的导线应高低一致或前后一致，不能交</w:t>
      </w:r>
      <w:r>
        <w:rPr>
          <w:rFonts w:ascii="宋体" w:hAnsi="宋体" w:eastAsia="宋体" w:cs="宋体"/>
          <w:spacing w:val="15"/>
          <w:sz w:val="16"/>
          <w:szCs w:val="16"/>
        </w:rPr>
        <w:t xml:space="preserve"> </w:t>
      </w:r>
      <w:r>
        <w:rPr>
          <w:rFonts w:ascii="宋体" w:hAnsi="宋体" w:eastAsia="宋体" w:cs="宋体"/>
          <w:spacing w:val="12"/>
          <w:sz w:val="16"/>
          <w:szCs w:val="16"/>
        </w:rPr>
        <w:t>叉。非交叉不可时，该根导线应在接线端子引出时，就</w:t>
      </w:r>
      <w:r>
        <w:rPr>
          <w:rFonts w:ascii="宋体" w:hAnsi="宋体" w:eastAsia="宋体" w:cs="宋体"/>
          <w:spacing w:val="8"/>
          <w:sz w:val="16"/>
          <w:szCs w:val="16"/>
        </w:rPr>
        <w:t xml:space="preserve"> </w:t>
      </w:r>
      <w:r>
        <w:rPr>
          <w:rFonts w:ascii="宋体" w:hAnsi="宋体" w:eastAsia="宋体" w:cs="宋体"/>
          <w:spacing w:val="7"/>
          <w:sz w:val="16"/>
          <w:szCs w:val="16"/>
        </w:rPr>
        <w:t>水平架空跨越，但必须走线合理；</w:t>
      </w:r>
    </w:p>
    <w:p w14:paraId="090E7DD9">
      <w:pPr>
        <w:spacing w:before="32" w:line="321" w:lineRule="auto"/>
        <w:ind w:left="370" w:right="350"/>
        <w:rPr>
          <w:rFonts w:ascii="宋体" w:hAnsi="宋体" w:eastAsia="宋体" w:cs="宋体"/>
          <w:sz w:val="16"/>
          <w:szCs w:val="16"/>
        </w:rPr>
      </w:pPr>
      <w:r>
        <w:rPr>
          <w:rFonts w:ascii="宋体" w:hAnsi="宋体" w:eastAsia="宋体" w:cs="宋体"/>
          <w:spacing w:val="4"/>
          <w:sz w:val="16"/>
          <w:szCs w:val="16"/>
        </w:rPr>
        <w:t>5.布线应横平竖直，分布均匀。变换走向时应垂直；</w:t>
      </w:r>
      <w:r>
        <w:rPr>
          <w:rFonts w:ascii="宋体" w:hAnsi="宋体" w:eastAsia="宋体" w:cs="宋体"/>
          <w:spacing w:val="2"/>
          <w:sz w:val="16"/>
          <w:szCs w:val="16"/>
        </w:rPr>
        <w:t xml:space="preserve"> </w:t>
      </w:r>
      <w:r>
        <w:rPr>
          <w:rFonts w:ascii="宋体" w:hAnsi="宋体" w:eastAsia="宋体" w:cs="宋体"/>
          <w:spacing w:val="8"/>
          <w:sz w:val="16"/>
          <w:szCs w:val="16"/>
        </w:rPr>
        <w:t>6.布线时严禁损伤线芯和导线绝缘；</w:t>
      </w:r>
    </w:p>
    <w:p w14:paraId="0E73AB2E">
      <w:pPr>
        <w:spacing w:before="13" w:line="333" w:lineRule="auto"/>
        <w:ind w:right="364" w:firstLine="370"/>
        <w:rPr>
          <w:rFonts w:ascii="宋体" w:hAnsi="宋体" w:eastAsia="宋体" w:cs="宋体"/>
          <w:sz w:val="16"/>
          <w:szCs w:val="16"/>
        </w:rPr>
      </w:pPr>
      <w:r>
        <w:rPr>
          <w:rFonts w:ascii="宋体" w:hAnsi="宋体" w:eastAsia="宋体" w:cs="宋体"/>
          <w:spacing w:val="10"/>
          <w:sz w:val="16"/>
          <w:szCs w:val="16"/>
        </w:rPr>
        <w:t>7.一元件、同一回路的不同接点的导线间距离应保</w:t>
      </w:r>
      <w:r>
        <w:rPr>
          <w:rFonts w:ascii="宋体" w:hAnsi="宋体" w:eastAsia="宋体" w:cs="宋体"/>
          <w:spacing w:val="14"/>
          <w:sz w:val="16"/>
          <w:szCs w:val="16"/>
        </w:rPr>
        <w:t xml:space="preserve"> </w:t>
      </w:r>
      <w:r>
        <w:rPr>
          <w:rFonts w:ascii="宋体" w:hAnsi="宋体" w:eastAsia="宋体" w:cs="宋体"/>
          <w:spacing w:val="7"/>
          <w:sz w:val="16"/>
          <w:szCs w:val="16"/>
        </w:rPr>
        <w:t>持一致；</w:t>
      </w:r>
    </w:p>
    <w:p w14:paraId="6536D5B3">
      <w:pPr>
        <w:spacing w:before="3" w:line="332" w:lineRule="auto"/>
        <w:ind w:right="350" w:firstLine="370"/>
        <w:rPr>
          <w:rFonts w:ascii="宋体" w:hAnsi="宋体" w:eastAsia="宋体" w:cs="宋体"/>
          <w:sz w:val="16"/>
          <w:szCs w:val="16"/>
        </w:rPr>
      </w:pPr>
      <w:r>
        <w:rPr>
          <w:rFonts w:ascii="宋体" w:hAnsi="宋体" w:eastAsia="宋体" w:cs="宋体"/>
          <w:spacing w:val="10"/>
          <w:sz w:val="16"/>
          <w:szCs w:val="16"/>
        </w:rPr>
        <w:t>8.一个电器元件接线端子上的连接导线不得多于两</w:t>
      </w:r>
      <w:r>
        <w:rPr>
          <w:rFonts w:ascii="宋体" w:hAnsi="宋体" w:eastAsia="宋体" w:cs="宋体"/>
          <w:spacing w:val="16"/>
          <w:sz w:val="16"/>
          <w:szCs w:val="16"/>
        </w:rPr>
        <w:t xml:space="preserve"> </w:t>
      </w:r>
      <w:r>
        <w:rPr>
          <w:rFonts w:ascii="宋体" w:hAnsi="宋体" w:eastAsia="宋体" w:cs="宋体"/>
          <w:spacing w:val="6"/>
          <w:sz w:val="16"/>
          <w:szCs w:val="16"/>
        </w:rPr>
        <w:t>根，每节接线端子板上的连接导线一般只允许连接一</w:t>
      </w:r>
      <w:r>
        <w:rPr>
          <w:rFonts w:ascii="宋体" w:hAnsi="宋体" w:eastAsia="宋体" w:cs="宋体"/>
          <w:spacing w:val="5"/>
          <w:sz w:val="16"/>
          <w:szCs w:val="16"/>
        </w:rPr>
        <w:t>根；</w:t>
      </w:r>
    </w:p>
    <w:p w14:paraId="20D1E5A3">
      <w:pPr>
        <w:spacing w:before="4" w:line="219" w:lineRule="auto"/>
        <w:ind w:left="370"/>
        <w:rPr>
          <w:rFonts w:ascii="宋体" w:hAnsi="宋体" w:eastAsia="宋体" w:cs="宋体"/>
          <w:sz w:val="16"/>
          <w:szCs w:val="16"/>
        </w:rPr>
      </w:pPr>
      <w:r>
        <w:rPr>
          <w:rFonts w:ascii="宋体" w:hAnsi="宋体" w:eastAsia="宋体" w:cs="宋体"/>
          <w:spacing w:val="7"/>
          <w:sz w:val="16"/>
          <w:szCs w:val="16"/>
        </w:rPr>
        <w:t>9.根据电路图检查控制板布线的正确性；</w:t>
      </w:r>
    </w:p>
    <w:p w14:paraId="7E26DCAD">
      <w:pPr>
        <w:spacing w:before="101" w:line="326" w:lineRule="auto"/>
        <w:ind w:right="355" w:firstLine="370"/>
        <w:rPr>
          <w:rFonts w:ascii="宋体" w:hAnsi="宋体" w:eastAsia="宋体" w:cs="宋体"/>
          <w:sz w:val="16"/>
          <w:szCs w:val="16"/>
        </w:rPr>
      </w:pPr>
      <w:r>
        <w:rPr>
          <w:rFonts w:ascii="宋体" w:hAnsi="宋体" w:eastAsia="宋体" w:cs="宋体"/>
          <w:spacing w:val="14"/>
          <w:sz w:val="16"/>
          <w:szCs w:val="16"/>
        </w:rPr>
        <w:t>10.安装完毕的控制线路板，必须经过认真检查以</w:t>
      </w:r>
      <w:r>
        <w:rPr>
          <w:rFonts w:ascii="宋体" w:hAnsi="宋体" w:eastAsia="宋体" w:cs="宋体"/>
          <w:spacing w:val="11"/>
          <w:sz w:val="16"/>
          <w:szCs w:val="16"/>
        </w:rPr>
        <w:t xml:space="preserve"> </w:t>
      </w:r>
      <w:r>
        <w:rPr>
          <w:rFonts w:ascii="宋体" w:hAnsi="宋体" w:eastAsia="宋体" w:cs="宋体"/>
          <w:spacing w:val="12"/>
          <w:sz w:val="16"/>
          <w:szCs w:val="16"/>
        </w:rPr>
        <w:t>后才允许通电，以防止错接、漏接造成不能正常运转或</w:t>
      </w:r>
      <w:r>
        <w:rPr>
          <w:rFonts w:ascii="宋体" w:hAnsi="宋体" w:eastAsia="宋体" w:cs="宋体"/>
          <w:spacing w:val="8"/>
          <w:sz w:val="16"/>
          <w:szCs w:val="16"/>
        </w:rPr>
        <w:t xml:space="preserve"> </w:t>
      </w:r>
      <w:r>
        <w:rPr>
          <w:rFonts w:ascii="宋体" w:hAnsi="宋体" w:eastAsia="宋体" w:cs="宋体"/>
          <w:spacing w:val="5"/>
          <w:sz w:val="16"/>
          <w:szCs w:val="16"/>
        </w:rPr>
        <w:t>短路事故；</w:t>
      </w:r>
    </w:p>
    <w:p w14:paraId="451BF018">
      <w:pPr>
        <w:spacing w:before="43" w:line="314" w:lineRule="auto"/>
        <w:ind w:right="363" w:firstLine="370"/>
        <w:rPr>
          <w:rFonts w:ascii="宋体" w:hAnsi="宋体" w:eastAsia="宋体" w:cs="宋体"/>
          <w:sz w:val="16"/>
          <w:szCs w:val="16"/>
        </w:rPr>
      </w:pPr>
      <w:r>
        <w:rPr>
          <w:rFonts w:ascii="宋体" w:hAnsi="宋体" w:eastAsia="宋体" w:cs="宋体"/>
          <w:spacing w:val="14"/>
          <w:sz w:val="16"/>
          <w:szCs w:val="16"/>
        </w:rPr>
        <w:t>11.按电路图或接线图从电源端开始，逐段核对接</w:t>
      </w:r>
      <w:r>
        <w:rPr>
          <w:rFonts w:ascii="宋体" w:hAnsi="宋体" w:eastAsia="宋体" w:cs="宋体"/>
          <w:spacing w:val="3"/>
          <w:sz w:val="16"/>
          <w:szCs w:val="16"/>
        </w:rPr>
        <w:t xml:space="preserve"> </w:t>
      </w:r>
      <w:r>
        <w:rPr>
          <w:rFonts w:ascii="宋体" w:hAnsi="宋体" w:eastAsia="宋体" w:cs="宋体"/>
          <w:spacing w:val="11"/>
          <w:sz w:val="16"/>
          <w:szCs w:val="16"/>
        </w:rPr>
        <w:t>线及接线端子处线号是否正确，有无漏接、错接之处，</w:t>
      </w:r>
      <w:r>
        <w:rPr>
          <w:rFonts w:ascii="宋体" w:hAnsi="宋体" w:eastAsia="宋体" w:cs="宋体"/>
          <w:spacing w:val="14"/>
          <w:sz w:val="16"/>
          <w:szCs w:val="16"/>
        </w:rPr>
        <w:t xml:space="preserve"> </w:t>
      </w:r>
      <w:r>
        <w:rPr>
          <w:rFonts w:ascii="宋体" w:hAnsi="宋体" w:eastAsia="宋体" w:cs="宋体"/>
          <w:spacing w:val="8"/>
          <w:sz w:val="16"/>
          <w:szCs w:val="16"/>
        </w:rPr>
        <w:t>检查导线接点是否符合要求，压接是否牢固；</w:t>
      </w:r>
    </w:p>
    <w:p w14:paraId="422C445F">
      <w:pPr>
        <w:spacing w:before="43" w:line="312" w:lineRule="auto"/>
        <w:ind w:left="290" w:right="2210" w:firstLine="80"/>
        <w:rPr>
          <w:rFonts w:ascii="宋体" w:hAnsi="宋体" w:eastAsia="宋体" w:cs="宋体"/>
          <w:sz w:val="16"/>
          <w:szCs w:val="16"/>
        </w:rPr>
      </w:pPr>
      <w:r>
        <w:rPr>
          <w:rFonts w:ascii="宋体" w:hAnsi="宋体" w:eastAsia="宋体" w:cs="宋体"/>
          <w:spacing w:val="6"/>
          <w:sz w:val="16"/>
          <w:szCs w:val="16"/>
        </w:rPr>
        <w:t>12.安全文明生产及其它。</w:t>
      </w:r>
      <w:r>
        <w:rPr>
          <w:rFonts w:ascii="宋体" w:hAnsi="宋体" w:eastAsia="宋体" w:cs="宋体"/>
          <w:sz w:val="16"/>
          <w:szCs w:val="16"/>
        </w:rPr>
        <w:t xml:space="preserve"> </w:t>
      </w:r>
      <w:r>
        <w:rPr>
          <w:rFonts w:ascii="宋体" w:hAnsi="宋体" w:eastAsia="宋体" w:cs="宋体"/>
          <w:spacing w:val="16"/>
          <w:sz w:val="16"/>
          <w:szCs w:val="16"/>
        </w:rPr>
        <w:t>【测试要求】</w:t>
      </w:r>
    </w:p>
    <w:p w14:paraId="6A236ED8">
      <w:pPr>
        <w:spacing w:before="30" w:line="321" w:lineRule="auto"/>
        <w:ind w:right="363" w:firstLine="370"/>
        <w:rPr>
          <w:rFonts w:ascii="宋体" w:hAnsi="宋体" w:eastAsia="宋体" w:cs="宋体"/>
          <w:sz w:val="16"/>
          <w:szCs w:val="16"/>
        </w:rPr>
      </w:pPr>
      <w:r>
        <w:rPr>
          <w:rFonts w:ascii="宋体" w:hAnsi="宋体" w:eastAsia="宋体" w:cs="宋体"/>
          <w:spacing w:val="10"/>
          <w:sz w:val="16"/>
          <w:szCs w:val="16"/>
        </w:rPr>
        <w:t>1.识读双控电路的原理图，明确线路所用电器元件</w:t>
      </w:r>
      <w:r>
        <w:rPr>
          <w:rFonts w:ascii="宋体" w:hAnsi="宋体" w:eastAsia="宋体" w:cs="宋体"/>
          <w:spacing w:val="15"/>
          <w:sz w:val="16"/>
          <w:szCs w:val="16"/>
        </w:rPr>
        <w:t xml:space="preserve"> </w:t>
      </w:r>
      <w:r>
        <w:rPr>
          <w:rFonts w:ascii="宋体" w:hAnsi="宋体" w:eastAsia="宋体" w:cs="宋体"/>
          <w:spacing w:val="8"/>
          <w:sz w:val="16"/>
          <w:szCs w:val="16"/>
        </w:rPr>
        <w:t>及作用，熟悉线路的工作原理。</w:t>
      </w:r>
    </w:p>
    <w:p w14:paraId="5DBD02DF">
      <w:pPr>
        <w:spacing w:before="23" w:line="321" w:lineRule="auto"/>
        <w:ind w:right="361" w:firstLine="370"/>
        <w:rPr>
          <w:rFonts w:ascii="宋体" w:hAnsi="宋体" w:eastAsia="宋体" w:cs="宋体"/>
          <w:sz w:val="16"/>
          <w:szCs w:val="16"/>
        </w:rPr>
      </w:pPr>
      <w:r>
        <w:rPr>
          <w:rFonts w:ascii="宋体" w:hAnsi="宋体" w:eastAsia="宋体" w:cs="宋体"/>
          <w:spacing w:val="18"/>
          <w:sz w:val="16"/>
          <w:szCs w:val="16"/>
        </w:rPr>
        <w:t>2.按要求配齐所用电器元件，安装调试，并进行</w:t>
      </w:r>
      <w:r>
        <w:rPr>
          <w:rFonts w:ascii="宋体" w:hAnsi="宋体" w:eastAsia="宋体" w:cs="宋体"/>
          <w:spacing w:val="11"/>
          <w:sz w:val="16"/>
          <w:szCs w:val="16"/>
        </w:rPr>
        <w:t xml:space="preserve"> </w:t>
      </w:r>
      <w:r>
        <w:rPr>
          <w:rFonts w:ascii="宋体" w:hAnsi="宋体" w:eastAsia="宋体" w:cs="宋体"/>
          <w:spacing w:val="6"/>
          <w:sz w:val="16"/>
          <w:szCs w:val="16"/>
        </w:rPr>
        <w:t>检验。</w:t>
      </w:r>
    </w:p>
    <w:p w14:paraId="643A2A03">
      <w:pPr>
        <w:spacing w:before="24" w:line="220" w:lineRule="auto"/>
        <w:ind w:left="290"/>
        <w:rPr>
          <w:rFonts w:ascii="宋体" w:hAnsi="宋体" w:eastAsia="宋体" w:cs="宋体"/>
          <w:sz w:val="16"/>
          <w:szCs w:val="16"/>
        </w:rPr>
      </w:pPr>
      <w:r>
        <w:rPr>
          <w:rFonts w:ascii="宋体" w:hAnsi="宋体" w:eastAsia="宋体" w:cs="宋体"/>
          <w:spacing w:val="16"/>
          <w:sz w:val="16"/>
          <w:szCs w:val="16"/>
        </w:rPr>
        <w:t>【测试赋分】</w:t>
      </w:r>
    </w:p>
    <w:p w14:paraId="74919267">
      <w:pPr>
        <w:spacing w:before="109" w:line="220" w:lineRule="auto"/>
        <w:ind w:left="370"/>
        <w:rPr>
          <w:rFonts w:ascii="宋体" w:hAnsi="宋体" w:eastAsia="宋体" w:cs="宋体"/>
          <w:sz w:val="16"/>
          <w:szCs w:val="16"/>
        </w:rPr>
      </w:pPr>
      <w:r>
        <w:rPr>
          <w:rFonts w:ascii="宋体" w:hAnsi="宋体" w:eastAsia="宋体" w:cs="宋体"/>
          <w:spacing w:val="2"/>
          <w:sz w:val="16"/>
          <w:szCs w:val="16"/>
        </w:rPr>
        <w:t>1.识别器件                             3</w:t>
      </w:r>
      <w:r>
        <w:rPr>
          <w:rFonts w:ascii="宋体" w:hAnsi="宋体" w:eastAsia="宋体" w:cs="宋体"/>
          <w:spacing w:val="-29"/>
          <w:sz w:val="16"/>
          <w:szCs w:val="16"/>
        </w:rPr>
        <w:t xml:space="preserve"> </w:t>
      </w:r>
      <w:r>
        <w:rPr>
          <w:rFonts w:ascii="宋体" w:hAnsi="宋体" w:eastAsia="宋体" w:cs="宋体"/>
          <w:spacing w:val="2"/>
          <w:sz w:val="16"/>
          <w:szCs w:val="16"/>
        </w:rPr>
        <w:t>0</w:t>
      </w:r>
      <w:r>
        <w:rPr>
          <w:rFonts w:ascii="宋体" w:hAnsi="宋体" w:eastAsia="宋体" w:cs="宋体"/>
          <w:spacing w:val="-33"/>
          <w:sz w:val="16"/>
          <w:szCs w:val="16"/>
        </w:rPr>
        <w:t xml:space="preserve"> </w:t>
      </w:r>
      <w:r>
        <w:rPr>
          <w:rFonts w:ascii="宋体" w:hAnsi="宋体" w:eastAsia="宋体" w:cs="宋体"/>
          <w:spacing w:val="2"/>
          <w:sz w:val="16"/>
          <w:szCs w:val="16"/>
        </w:rPr>
        <w:t>分</w:t>
      </w:r>
    </w:p>
    <w:p w14:paraId="2388AD76">
      <w:pPr>
        <w:spacing w:before="89" w:line="232" w:lineRule="auto"/>
        <w:ind w:left="370"/>
        <w:rPr>
          <w:rFonts w:ascii="宋体" w:hAnsi="宋体" w:eastAsia="宋体" w:cs="宋体"/>
          <w:sz w:val="16"/>
          <w:szCs w:val="16"/>
        </w:rPr>
      </w:pPr>
      <w:r>
        <w:rPr>
          <w:rFonts w:ascii="宋体" w:hAnsi="宋体" w:eastAsia="宋体" w:cs="宋体"/>
          <w:spacing w:val="4"/>
          <w:sz w:val="16"/>
          <w:szCs w:val="16"/>
        </w:rPr>
        <w:t>2.安装电路</w:t>
      </w:r>
      <w:r>
        <w:rPr>
          <w:rFonts w:ascii="宋体" w:hAnsi="宋体" w:eastAsia="宋体" w:cs="宋体"/>
          <w:spacing w:val="1"/>
          <w:sz w:val="16"/>
          <w:szCs w:val="16"/>
        </w:rPr>
        <w:t xml:space="preserve">                             </w:t>
      </w:r>
      <w:r>
        <w:rPr>
          <w:rFonts w:ascii="宋体" w:hAnsi="宋体" w:eastAsia="宋体" w:cs="宋体"/>
          <w:spacing w:val="4"/>
          <w:sz w:val="16"/>
          <w:szCs w:val="16"/>
        </w:rPr>
        <w:t>6</w:t>
      </w:r>
      <w:r>
        <w:rPr>
          <w:rFonts w:ascii="宋体" w:hAnsi="宋体" w:eastAsia="宋体" w:cs="宋体"/>
          <w:spacing w:val="-17"/>
          <w:sz w:val="16"/>
          <w:szCs w:val="16"/>
        </w:rPr>
        <w:t xml:space="preserve"> </w:t>
      </w:r>
      <w:r>
        <w:rPr>
          <w:rFonts w:ascii="宋体" w:hAnsi="宋体" w:eastAsia="宋体" w:cs="宋体"/>
          <w:spacing w:val="4"/>
          <w:sz w:val="16"/>
          <w:szCs w:val="16"/>
        </w:rPr>
        <w:t>0</w:t>
      </w:r>
      <w:r>
        <w:rPr>
          <w:rFonts w:ascii="宋体" w:hAnsi="宋体" w:eastAsia="宋体" w:cs="宋体"/>
          <w:spacing w:val="-34"/>
          <w:sz w:val="16"/>
          <w:szCs w:val="16"/>
        </w:rPr>
        <w:t xml:space="preserve"> </w:t>
      </w:r>
      <w:r>
        <w:rPr>
          <w:rFonts w:ascii="宋体" w:hAnsi="宋体" w:eastAsia="宋体" w:cs="宋体"/>
          <w:spacing w:val="4"/>
          <w:sz w:val="16"/>
          <w:szCs w:val="16"/>
        </w:rPr>
        <w:t>分</w:t>
      </w:r>
    </w:p>
    <w:p w14:paraId="58ED3916">
      <w:pPr>
        <w:spacing w:before="89" w:line="229" w:lineRule="auto"/>
        <w:ind w:left="370"/>
        <w:rPr>
          <w:rFonts w:ascii="宋体" w:hAnsi="宋体" w:eastAsia="宋体" w:cs="宋体"/>
          <w:sz w:val="16"/>
          <w:szCs w:val="16"/>
        </w:rPr>
      </w:pPr>
      <w:r>
        <w:rPr>
          <w:rFonts w:ascii="宋体" w:hAnsi="宋体" w:eastAsia="宋体" w:cs="宋体"/>
          <w:spacing w:val="-3"/>
          <w:sz w:val="16"/>
          <w:szCs w:val="16"/>
        </w:rPr>
        <w:t>3.布</w:t>
      </w:r>
      <w:r>
        <w:rPr>
          <w:rFonts w:ascii="宋体" w:hAnsi="宋体" w:eastAsia="宋体" w:cs="宋体"/>
          <w:spacing w:val="-32"/>
          <w:sz w:val="16"/>
          <w:szCs w:val="16"/>
        </w:rPr>
        <w:t xml:space="preserve"> </w:t>
      </w:r>
      <w:r>
        <w:rPr>
          <w:rFonts w:ascii="宋体" w:hAnsi="宋体" w:eastAsia="宋体" w:cs="宋体"/>
          <w:spacing w:val="-3"/>
          <w:sz w:val="16"/>
          <w:szCs w:val="16"/>
        </w:rPr>
        <w:t>线                                   3</w:t>
      </w:r>
      <w:r>
        <w:rPr>
          <w:rFonts w:ascii="宋体" w:hAnsi="宋体" w:eastAsia="宋体" w:cs="宋体"/>
          <w:spacing w:val="-25"/>
          <w:sz w:val="16"/>
          <w:szCs w:val="16"/>
        </w:rPr>
        <w:t xml:space="preserve"> </w:t>
      </w:r>
      <w:r>
        <w:rPr>
          <w:rFonts w:ascii="宋体" w:hAnsi="宋体" w:eastAsia="宋体" w:cs="宋体"/>
          <w:spacing w:val="-3"/>
          <w:sz w:val="16"/>
          <w:szCs w:val="16"/>
        </w:rPr>
        <w:t>0</w:t>
      </w:r>
      <w:r>
        <w:rPr>
          <w:rFonts w:ascii="宋体" w:hAnsi="宋体" w:eastAsia="宋体" w:cs="宋体"/>
          <w:spacing w:val="-24"/>
          <w:sz w:val="16"/>
          <w:szCs w:val="16"/>
        </w:rPr>
        <w:t xml:space="preserve"> </w:t>
      </w:r>
      <w:r>
        <w:rPr>
          <w:rFonts w:ascii="宋体" w:hAnsi="宋体" w:eastAsia="宋体" w:cs="宋体"/>
          <w:spacing w:val="-3"/>
          <w:sz w:val="16"/>
          <w:szCs w:val="16"/>
        </w:rPr>
        <w:t>分</w:t>
      </w:r>
    </w:p>
    <w:p w14:paraId="416ECB74">
      <w:pPr>
        <w:spacing w:before="102" w:line="221" w:lineRule="auto"/>
        <w:ind w:left="370"/>
        <w:rPr>
          <w:rFonts w:ascii="宋体" w:hAnsi="宋体" w:eastAsia="宋体" w:cs="宋体"/>
          <w:sz w:val="16"/>
          <w:szCs w:val="16"/>
        </w:rPr>
      </w:pPr>
      <w:r>
        <w:rPr>
          <w:rFonts w:ascii="宋体" w:hAnsi="宋体" w:eastAsia="宋体" w:cs="宋体"/>
          <w:spacing w:val="4"/>
          <w:sz w:val="16"/>
          <w:szCs w:val="16"/>
        </w:rPr>
        <w:t>4.通电测试</w:t>
      </w:r>
      <w:r>
        <w:rPr>
          <w:rFonts w:ascii="宋体" w:hAnsi="宋体" w:eastAsia="宋体" w:cs="宋体"/>
          <w:spacing w:val="1"/>
          <w:sz w:val="16"/>
          <w:szCs w:val="16"/>
        </w:rPr>
        <w:t xml:space="preserve">                             </w:t>
      </w:r>
      <w:r>
        <w:rPr>
          <w:rFonts w:ascii="宋体" w:hAnsi="宋体" w:eastAsia="宋体" w:cs="宋体"/>
          <w:spacing w:val="4"/>
          <w:sz w:val="16"/>
          <w:szCs w:val="16"/>
        </w:rPr>
        <w:t>7</w:t>
      </w:r>
      <w:r>
        <w:rPr>
          <w:rFonts w:ascii="宋体" w:hAnsi="宋体" w:eastAsia="宋体" w:cs="宋体"/>
          <w:spacing w:val="-18"/>
          <w:sz w:val="16"/>
          <w:szCs w:val="16"/>
        </w:rPr>
        <w:t xml:space="preserve"> </w:t>
      </w:r>
      <w:r>
        <w:rPr>
          <w:rFonts w:ascii="宋体" w:hAnsi="宋体" w:eastAsia="宋体" w:cs="宋体"/>
          <w:spacing w:val="4"/>
          <w:sz w:val="16"/>
          <w:szCs w:val="16"/>
        </w:rPr>
        <w:t>0</w:t>
      </w:r>
      <w:r>
        <w:rPr>
          <w:rFonts w:ascii="宋体" w:hAnsi="宋体" w:eastAsia="宋体" w:cs="宋体"/>
          <w:spacing w:val="-33"/>
          <w:sz w:val="16"/>
          <w:szCs w:val="16"/>
        </w:rPr>
        <w:t xml:space="preserve"> </w:t>
      </w:r>
      <w:r>
        <w:rPr>
          <w:rFonts w:ascii="宋体" w:hAnsi="宋体" w:eastAsia="宋体" w:cs="宋体"/>
          <w:spacing w:val="4"/>
          <w:sz w:val="16"/>
          <w:szCs w:val="16"/>
        </w:rPr>
        <w:t>分</w:t>
      </w:r>
    </w:p>
    <w:p w14:paraId="46F9D8A0">
      <w:pPr>
        <w:spacing w:before="88" w:line="232" w:lineRule="auto"/>
        <w:ind w:left="370"/>
        <w:rPr>
          <w:rFonts w:ascii="宋体" w:hAnsi="宋体" w:eastAsia="宋体" w:cs="宋体"/>
          <w:sz w:val="16"/>
          <w:szCs w:val="16"/>
        </w:rPr>
      </w:pPr>
      <w:r>
        <w:rPr>
          <w:rFonts w:ascii="宋体" w:hAnsi="宋体" w:eastAsia="宋体" w:cs="宋体"/>
          <w:spacing w:val="9"/>
          <w:sz w:val="16"/>
          <w:szCs w:val="16"/>
        </w:rPr>
        <w:t>5.时间无超时</w:t>
      </w:r>
      <w:r>
        <w:rPr>
          <w:rFonts w:ascii="宋体" w:hAnsi="宋体" w:eastAsia="宋体" w:cs="宋体"/>
          <w:spacing w:val="2"/>
          <w:sz w:val="16"/>
          <w:szCs w:val="16"/>
        </w:rPr>
        <w:t xml:space="preserve">                           </w:t>
      </w:r>
      <w:r>
        <w:rPr>
          <w:rFonts w:ascii="宋体" w:hAnsi="宋体" w:eastAsia="宋体" w:cs="宋体"/>
          <w:spacing w:val="9"/>
          <w:sz w:val="16"/>
          <w:szCs w:val="16"/>
        </w:rPr>
        <w:t>15分</w:t>
      </w:r>
    </w:p>
    <w:p w14:paraId="3D0378AE">
      <w:pPr>
        <w:spacing w:before="88" w:line="232" w:lineRule="auto"/>
        <w:ind w:left="370"/>
        <w:rPr>
          <w:rFonts w:ascii="宋体" w:hAnsi="宋体" w:eastAsia="宋体" w:cs="宋体"/>
          <w:sz w:val="16"/>
          <w:szCs w:val="16"/>
        </w:rPr>
      </w:pPr>
      <w:r>
        <w:rPr>
          <w:rFonts w:ascii="宋体" w:hAnsi="宋体" w:eastAsia="宋体" w:cs="宋体"/>
          <w:spacing w:val="4"/>
          <w:sz w:val="16"/>
          <w:szCs w:val="16"/>
        </w:rPr>
        <w:t>6.仪表使用                            2</w:t>
      </w:r>
      <w:r>
        <w:rPr>
          <w:rFonts w:ascii="宋体" w:hAnsi="宋体" w:eastAsia="宋体" w:cs="宋体"/>
          <w:spacing w:val="-20"/>
          <w:sz w:val="16"/>
          <w:szCs w:val="16"/>
        </w:rPr>
        <w:t xml:space="preserve"> </w:t>
      </w:r>
      <w:r>
        <w:rPr>
          <w:rFonts w:ascii="宋体" w:hAnsi="宋体" w:eastAsia="宋体" w:cs="宋体"/>
          <w:spacing w:val="4"/>
          <w:sz w:val="16"/>
          <w:szCs w:val="16"/>
        </w:rPr>
        <w:t>0</w:t>
      </w:r>
      <w:r>
        <w:rPr>
          <w:rFonts w:ascii="宋体" w:hAnsi="宋体" w:eastAsia="宋体" w:cs="宋体"/>
          <w:spacing w:val="-34"/>
          <w:sz w:val="16"/>
          <w:szCs w:val="16"/>
        </w:rPr>
        <w:t xml:space="preserve"> </w:t>
      </w:r>
      <w:r>
        <w:rPr>
          <w:rFonts w:ascii="宋体" w:hAnsi="宋体" w:eastAsia="宋体" w:cs="宋体"/>
          <w:spacing w:val="4"/>
          <w:sz w:val="16"/>
          <w:szCs w:val="16"/>
        </w:rPr>
        <w:t>分</w:t>
      </w:r>
    </w:p>
    <w:p w14:paraId="276EC2BC">
      <w:pPr>
        <w:spacing w:before="90" w:line="220" w:lineRule="auto"/>
        <w:ind w:left="370"/>
        <w:rPr>
          <w:rFonts w:ascii="宋体" w:hAnsi="宋体" w:eastAsia="宋体" w:cs="宋体"/>
          <w:sz w:val="16"/>
          <w:szCs w:val="16"/>
        </w:rPr>
      </w:pPr>
      <w:r>
        <w:rPr>
          <w:rFonts w:ascii="宋体" w:hAnsi="宋体" w:eastAsia="宋体" w:cs="宋体"/>
          <w:spacing w:val="7"/>
          <w:sz w:val="16"/>
          <w:szCs w:val="16"/>
        </w:rPr>
        <w:t>7.根据职业素养评分要求，现场给分</w:t>
      </w:r>
      <w:r>
        <w:rPr>
          <w:rFonts w:ascii="宋体" w:hAnsi="宋体" w:eastAsia="宋体" w:cs="宋体"/>
          <w:spacing w:val="3"/>
          <w:sz w:val="16"/>
          <w:szCs w:val="16"/>
        </w:rPr>
        <w:t xml:space="preserve">      </w:t>
      </w:r>
      <w:r>
        <w:rPr>
          <w:rFonts w:ascii="宋体" w:hAnsi="宋体" w:eastAsia="宋体" w:cs="宋体"/>
          <w:spacing w:val="7"/>
          <w:sz w:val="16"/>
          <w:szCs w:val="16"/>
        </w:rPr>
        <w:t>2</w:t>
      </w:r>
      <w:r>
        <w:rPr>
          <w:rFonts w:ascii="宋体" w:hAnsi="宋体" w:eastAsia="宋体" w:cs="宋体"/>
          <w:spacing w:val="-30"/>
          <w:sz w:val="16"/>
          <w:szCs w:val="16"/>
        </w:rPr>
        <w:t xml:space="preserve"> </w:t>
      </w:r>
      <w:r>
        <w:rPr>
          <w:rFonts w:ascii="宋体" w:hAnsi="宋体" w:eastAsia="宋体" w:cs="宋体"/>
          <w:spacing w:val="7"/>
          <w:sz w:val="16"/>
          <w:szCs w:val="16"/>
        </w:rPr>
        <w:t>5</w:t>
      </w:r>
      <w:r>
        <w:rPr>
          <w:rFonts w:ascii="宋体" w:hAnsi="宋体" w:eastAsia="宋体" w:cs="宋体"/>
          <w:spacing w:val="-34"/>
          <w:sz w:val="16"/>
          <w:szCs w:val="16"/>
        </w:rPr>
        <w:t xml:space="preserve"> </w:t>
      </w:r>
      <w:r>
        <w:rPr>
          <w:rFonts w:ascii="宋体" w:hAnsi="宋体" w:eastAsia="宋体" w:cs="宋体"/>
          <w:spacing w:val="7"/>
          <w:sz w:val="16"/>
          <w:szCs w:val="16"/>
        </w:rPr>
        <w:t>分</w:t>
      </w:r>
    </w:p>
    <w:p w14:paraId="4E933B27">
      <w:pPr>
        <w:pStyle w:val="2"/>
        <w:spacing w:line="308" w:lineRule="auto"/>
      </w:pPr>
    </w:p>
    <w:p w14:paraId="104E4416">
      <w:pPr>
        <w:spacing w:before="68" w:line="219" w:lineRule="auto"/>
        <w:ind w:left="692"/>
        <w:rPr>
          <w:rFonts w:ascii="宋体" w:hAnsi="宋体" w:eastAsia="宋体" w:cs="宋体"/>
          <w:sz w:val="21"/>
          <w:szCs w:val="21"/>
        </w:rPr>
      </w:pPr>
      <w:r>
        <w:rPr>
          <w:rFonts w:ascii="宋体" w:hAnsi="宋体" w:eastAsia="宋体" w:cs="宋体"/>
          <w:b/>
          <w:bCs/>
          <w:spacing w:val="-6"/>
          <w:sz w:val="21"/>
          <w:szCs w:val="21"/>
        </w:rPr>
        <w:t>项目九</w:t>
      </w:r>
      <w:r>
        <w:rPr>
          <w:rFonts w:ascii="宋体" w:hAnsi="宋体" w:eastAsia="宋体" w:cs="宋体"/>
          <w:spacing w:val="-6"/>
          <w:sz w:val="21"/>
          <w:szCs w:val="21"/>
        </w:rPr>
        <w:t xml:space="preserve"> </w:t>
      </w:r>
      <w:r>
        <w:rPr>
          <w:rFonts w:ascii="宋体" w:hAnsi="宋体" w:eastAsia="宋体" w:cs="宋体"/>
          <w:b/>
          <w:bCs/>
          <w:spacing w:val="-6"/>
          <w:sz w:val="21"/>
          <w:szCs w:val="21"/>
        </w:rPr>
        <w:t>低压电器控制路的安装</w:t>
      </w:r>
    </w:p>
    <w:p w14:paraId="18F1F4A7">
      <w:pPr>
        <w:pStyle w:val="2"/>
        <w:spacing w:line="288" w:lineRule="auto"/>
      </w:pPr>
    </w:p>
    <w:p w14:paraId="32EE8E77">
      <w:pPr>
        <w:spacing w:before="53" w:line="221" w:lineRule="auto"/>
        <w:ind w:left="290"/>
        <w:rPr>
          <w:rFonts w:ascii="宋体" w:hAnsi="宋体" w:eastAsia="宋体" w:cs="宋体"/>
          <w:sz w:val="16"/>
          <w:szCs w:val="16"/>
        </w:rPr>
      </w:pPr>
      <w:r>
        <w:rPr>
          <w:rFonts w:ascii="宋体" w:hAnsi="宋体" w:eastAsia="宋体" w:cs="宋体"/>
          <w:spacing w:val="16"/>
          <w:sz w:val="16"/>
          <w:szCs w:val="16"/>
        </w:rPr>
        <w:t>【测试用具】</w:t>
      </w:r>
    </w:p>
    <w:p w14:paraId="17D99B77">
      <w:pPr>
        <w:spacing w:before="97" w:line="260" w:lineRule="auto"/>
        <w:ind w:right="358" w:firstLine="370"/>
        <w:rPr>
          <w:rFonts w:ascii="宋体" w:hAnsi="宋体" w:eastAsia="宋体" w:cs="宋体"/>
          <w:sz w:val="16"/>
          <w:szCs w:val="16"/>
        </w:rPr>
      </w:pPr>
      <w:r>
        <w:rPr>
          <w:rFonts w:ascii="宋体" w:hAnsi="宋体" w:eastAsia="宋体" w:cs="宋体"/>
          <w:spacing w:val="11"/>
          <w:sz w:val="16"/>
          <w:szCs w:val="16"/>
        </w:rPr>
        <w:t>工具：测电笔、螺钉旋具、尖嘴钳、斜口钳、剥线</w:t>
      </w:r>
      <w:r>
        <w:rPr>
          <w:rFonts w:ascii="宋体" w:hAnsi="宋体" w:eastAsia="宋体" w:cs="宋体"/>
          <w:spacing w:val="8"/>
          <w:sz w:val="16"/>
          <w:szCs w:val="16"/>
        </w:rPr>
        <w:t xml:space="preserve"> </w:t>
      </w:r>
      <w:r>
        <w:rPr>
          <w:rFonts w:ascii="宋体" w:hAnsi="宋体" w:eastAsia="宋体" w:cs="宋体"/>
          <w:spacing w:val="9"/>
          <w:sz w:val="16"/>
          <w:szCs w:val="16"/>
        </w:rPr>
        <w:t>钳、电工刀、万用表等。</w:t>
      </w:r>
    </w:p>
    <w:p w14:paraId="5B7C241C">
      <w:pPr>
        <w:pStyle w:val="2"/>
        <w:spacing w:line="14" w:lineRule="auto"/>
        <w:rPr>
          <w:sz w:val="2"/>
        </w:rPr>
      </w:pPr>
      <w:r>
        <w:rPr>
          <w:sz w:val="2"/>
          <w:szCs w:val="2"/>
        </w:rPr>
        <w:br w:type="column"/>
      </w:r>
    </w:p>
    <w:p w14:paraId="50433626">
      <w:pPr>
        <w:spacing w:before="29" w:line="330" w:lineRule="auto"/>
        <w:ind w:firstLine="359"/>
        <w:jc w:val="both"/>
        <w:rPr>
          <w:rFonts w:ascii="宋体" w:hAnsi="宋体" w:eastAsia="宋体" w:cs="宋体"/>
          <w:sz w:val="16"/>
          <w:szCs w:val="16"/>
        </w:rPr>
      </w:pPr>
      <w:r>
        <w:rPr>
          <w:rFonts w:ascii="宋体" w:hAnsi="宋体" w:eastAsia="宋体" w:cs="宋体"/>
          <w:spacing w:val="7"/>
          <w:sz w:val="16"/>
          <w:szCs w:val="16"/>
        </w:rPr>
        <w:t>器材：电气技术技能及工艺实训装置一台、网孔</w:t>
      </w:r>
      <w:r>
        <w:rPr>
          <w:rFonts w:ascii="宋体" w:hAnsi="宋体" w:eastAsia="宋体" w:cs="宋体"/>
          <w:spacing w:val="6"/>
          <w:sz w:val="16"/>
          <w:szCs w:val="16"/>
        </w:rPr>
        <w:t>板、</w:t>
      </w:r>
      <w:r>
        <w:rPr>
          <w:rFonts w:ascii="宋体" w:hAnsi="宋体" w:eastAsia="宋体" w:cs="宋体"/>
          <w:sz w:val="16"/>
          <w:szCs w:val="16"/>
        </w:rPr>
        <w:t xml:space="preserve"> </w:t>
      </w:r>
      <w:r>
        <w:rPr>
          <w:rFonts w:ascii="宋体" w:hAnsi="宋体" w:eastAsia="宋体" w:cs="宋体"/>
          <w:spacing w:val="13"/>
          <w:sz w:val="16"/>
          <w:szCs w:val="16"/>
        </w:rPr>
        <w:t>接线端子、导轨、交流接触器、熔断器、按钮</w:t>
      </w:r>
      <w:r>
        <w:rPr>
          <w:rFonts w:ascii="宋体" w:hAnsi="宋体" w:eastAsia="宋体" w:cs="宋体"/>
          <w:spacing w:val="12"/>
          <w:sz w:val="16"/>
          <w:szCs w:val="16"/>
        </w:rPr>
        <w:t>开关、热</w:t>
      </w:r>
      <w:r>
        <w:rPr>
          <w:rFonts w:ascii="宋体" w:hAnsi="宋体" w:eastAsia="宋体" w:cs="宋体"/>
          <w:sz w:val="16"/>
          <w:szCs w:val="16"/>
        </w:rPr>
        <w:t xml:space="preserve"> </w:t>
      </w:r>
      <w:r>
        <w:rPr>
          <w:rFonts w:ascii="宋体" w:hAnsi="宋体" w:eastAsia="宋体" w:cs="宋体"/>
          <w:spacing w:val="2"/>
          <w:sz w:val="16"/>
          <w:szCs w:val="16"/>
        </w:rPr>
        <w:t>继电器。</w:t>
      </w:r>
    </w:p>
    <w:p w14:paraId="56607173">
      <w:pPr>
        <w:spacing w:before="21" w:line="327" w:lineRule="auto"/>
        <w:ind w:right="60" w:firstLine="359"/>
        <w:jc w:val="both"/>
        <w:rPr>
          <w:rFonts w:ascii="宋体" w:hAnsi="宋体" w:eastAsia="宋体" w:cs="宋体"/>
          <w:sz w:val="16"/>
          <w:szCs w:val="16"/>
        </w:rPr>
      </w:pPr>
      <w:r>
        <w:rPr>
          <w:rFonts w:ascii="宋体" w:hAnsi="宋体" w:eastAsia="宋体" w:cs="宋体"/>
          <w:spacing w:val="21"/>
          <w:sz w:val="16"/>
          <w:szCs w:val="16"/>
        </w:rPr>
        <w:t>导线：主电路采用2.5</w:t>
      </w:r>
      <w:r>
        <w:rPr>
          <w:rFonts w:ascii="Times New Roman" w:hAnsi="Times New Roman" w:eastAsia="Times New Roman" w:cs="Times New Roman"/>
          <w:sz w:val="16"/>
          <w:szCs w:val="16"/>
        </w:rPr>
        <w:t>mm</w:t>
      </w:r>
      <w:r>
        <w:rPr>
          <w:rFonts w:ascii="Times New Roman" w:hAnsi="Times New Roman" w:eastAsia="Times New Roman" w:cs="Times New Roman"/>
          <w:spacing w:val="21"/>
          <w:sz w:val="16"/>
          <w:szCs w:val="16"/>
        </w:rPr>
        <w:t>2</w:t>
      </w:r>
      <w:r>
        <w:rPr>
          <w:rFonts w:ascii="Times New Roman" w:hAnsi="Times New Roman" w:eastAsia="Times New Roman" w:cs="Times New Roman"/>
          <w:spacing w:val="-2"/>
          <w:sz w:val="16"/>
          <w:szCs w:val="16"/>
        </w:rPr>
        <w:t xml:space="preserve"> </w:t>
      </w:r>
      <w:r>
        <w:rPr>
          <w:rFonts w:ascii="宋体" w:hAnsi="宋体" w:eastAsia="宋体" w:cs="宋体"/>
          <w:spacing w:val="21"/>
          <w:sz w:val="16"/>
          <w:szCs w:val="16"/>
        </w:rPr>
        <w:t>单股铝芯线，控制电</w:t>
      </w:r>
      <w:r>
        <w:rPr>
          <w:rFonts w:ascii="宋体" w:hAnsi="宋体" w:eastAsia="宋体" w:cs="宋体"/>
          <w:sz w:val="16"/>
          <w:szCs w:val="16"/>
        </w:rPr>
        <w:t xml:space="preserve"> </w:t>
      </w:r>
      <w:r>
        <w:rPr>
          <w:rFonts w:ascii="宋体" w:hAnsi="宋体" w:eastAsia="宋体" w:cs="宋体"/>
          <w:spacing w:val="11"/>
          <w:sz w:val="16"/>
          <w:szCs w:val="16"/>
        </w:rPr>
        <w:t>路采用1.5</w:t>
      </w:r>
      <w:r>
        <w:rPr>
          <w:rFonts w:ascii="Times New Roman" w:hAnsi="Times New Roman" w:eastAsia="Times New Roman" w:cs="Times New Roman"/>
          <w:sz w:val="16"/>
          <w:szCs w:val="16"/>
        </w:rPr>
        <w:t>mm</w:t>
      </w:r>
      <w:r>
        <w:rPr>
          <w:rFonts w:ascii="Times New Roman" w:hAnsi="Times New Roman" w:eastAsia="Times New Roman" w:cs="Times New Roman"/>
          <w:spacing w:val="11"/>
          <w:sz w:val="16"/>
          <w:szCs w:val="16"/>
        </w:rPr>
        <w:t xml:space="preserve">2 </w:t>
      </w:r>
      <w:r>
        <w:rPr>
          <w:rFonts w:ascii="宋体" w:hAnsi="宋体" w:eastAsia="宋体" w:cs="宋体"/>
          <w:spacing w:val="11"/>
          <w:sz w:val="16"/>
          <w:szCs w:val="16"/>
        </w:rPr>
        <w:t>或 1</w:t>
      </w:r>
      <w:r>
        <w:rPr>
          <w:rFonts w:ascii="Times New Roman" w:hAnsi="Times New Roman" w:eastAsia="Times New Roman" w:cs="Times New Roman"/>
          <w:sz w:val="16"/>
          <w:szCs w:val="16"/>
        </w:rPr>
        <w:t>mm</w:t>
      </w:r>
      <w:r>
        <w:rPr>
          <w:rFonts w:ascii="Times New Roman" w:hAnsi="Times New Roman" w:eastAsia="Times New Roman" w:cs="Times New Roman"/>
          <w:spacing w:val="11"/>
          <w:sz w:val="16"/>
          <w:szCs w:val="16"/>
        </w:rPr>
        <w:t xml:space="preserve">2 </w:t>
      </w:r>
      <w:r>
        <w:rPr>
          <w:rFonts w:ascii="宋体" w:hAnsi="宋体" w:eastAsia="宋体" w:cs="宋体"/>
          <w:spacing w:val="11"/>
          <w:sz w:val="16"/>
          <w:szCs w:val="16"/>
        </w:rPr>
        <w:t>铝芯线或铜芯线</w:t>
      </w:r>
      <w:r>
        <w:rPr>
          <w:rFonts w:ascii="宋体" w:hAnsi="宋体" w:eastAsia="宋体" w:cs="宋体"/>
          <w:spacing w:val="10"/>
          <w:sz w:val="16"/>
          <w:szCs w:val="16"/>
        </w:rPr>
        <w:t>，按钮线采用</w:t>
      </w:r>
      <w:r>
        <w:rPr>
          <w:rFonts w:ascii="宋体" w:hAnsi="宋体" w:eastAsia="宋体" w:cs="宋体"/>
          <w:sz w:val="16"/>
          <w:szCs w:val="16"/>
        </w:rPr>
        <w:t xml:space="preserve"> </w:t>
      </w:r>
      <w:r>
        <w:rPr>
          <w:rFonts w:ascii="宋体" w:hAnsi="宋体" w:eastAsia="宋体" w:cs="宋体"/>
          <w:spacing w:val="4"/>
          <w:sz w:val="16"/>
          <w:szCs w:val="16"/>
        </w:rPr>
        <w:t>1</w:t>
      </w:r>
      <w:r>
        <w:rPr>
          <w:rFonts w:ascii="宋体" w:hAnsi="宋体" w:eastAsia="宋体" w:cs="宋体"/>
          <w:sz w:val="16"/>
          <w:szCs w:val="16"/>
        </w:rPr>
        <w:t>mm</w:t>
      </w:r>
      <w:r>
        <w:rPr>
          <w:rFonts w:ascii="宋体" w:hAnsi="宋体" w:eastAsia="宋体" w:cs="宋体"/>
          <w:spacing w:val="4"/>
          <w:sz w:val="16"/>
          <w:szCs w:val="16"/>
        </w:rPr>
        <w:t>2</w:t>
      </w:r>
      <w:r>
        <w:rPr>
          <w:rFonts w:ascii="宋体" w:hAnsi="宋体" w:eastAsia="宋体" w:cs="宋体"/>
          <w:spacing w:val="62"/>
          <w:w w:val="101"/>
          <w:sz w:val="16"/>
          <w:szCs w:val="16"/>
        </w:rPr>
        <w:t xml:space="preserve"> </w:t>
      </w:r>
      <w:r>
        <w:rPr>
          <w:rFonts w:ascii="宋体" w:hAnsi="宋体" w:eastAsia="宋体" w:cs="宋体"/>
          <w:spacing w:val="4"/>
          <w:sz w:val="16"/>
          <w:szCs w:val="16"/>
        </w:rPr>
        <w:t>多股铜芯软线。</w:t>
      </w:r>
    </w:p>
    <w:p w14:paraId="0DD80C31">
      <w:pPr>
        <w:spacing w:before="21" w:line="219" w:lineRule="auto"/>
        <w:ind w:left="359"/>
        <w:rPr>
          <w:rFonts w:ascii="宋体" w:hAnsi="宋体" w:eastAsia="宋体" w:cs="宋体"/>
          <w:sz w:val="16"/>
          <w:szCs w:val="16"/>
        </w:rPr>
      </w:pPr>
      <w:r>
        <w:rPr>
          <w:rFonts w:ascii="宋体" w:hAnsi="宋体" w:eastAsia="宋体" w:cs="宋体"/>
          <w:spacing w:val="15"/>
          <w:sz w:val="16"/>
          <w:szCs w:val="16"/>
        </w:rPr>
        <w:t>【测试内容】</w:t>
      </w:r>
    </w:p>
    <w:p w14:paraId="5B07C443">
      <w:pPr>
        <w:spacing w:before="100" w:line="321" w:lineRule="auto"/>
        <w:ind w:left="359" w:right="840"/>
        <w:rPr>
          <w:rFonts w:ascii="宋体" w:hAnsi="宋体" w:eastAsia="宋体" w:cs="宋体"/>
          <w:sz w:val="16"/>
          <w:szCs w:val="16"/>
        </w:rPr>
      </w:pPr>
      <w:r>
        <w:rPr>
          <w:rFonts w:ascii="宋体" w:hAnsi="宋体" w:eastAsia="宋体" w:cs="宋体"/>
          <w:spacing w:val="6"/>
          <w:sz w:val="16"/>
          <w:szCs w:val="16"/>
        </w:rPr>
        <w:t>1.识读低压电器控制电路的安装原理图；</w:t>
      </w:r>
      <w:r>
        <w:rPr>
          <w:rFonts w:ascii="宋体" w:hAnsi="宋体" w:eastAsia="宋体" w:cs="宋体"/>
          <w:spacing w:val="4"/>
          <w:sz w:val="16"/>
          <w:szCs w:val="16"/>
        </w:rPr>
        <w:t xml:space="preserve"> </w:t>
      </w:r>
      <w:r>
        <w:rPr>
          <w:rFonts w:ascii="宋体" w:hAnsi="宋体" w:eastAsia="宋体" w:cs="宋体"/>
          <w:spacing w:val="6"/>
          <w:sz w:val="16"/>
          <w:szCs w:val="16"/>
        </w:rPr>
        <w:t>2.并按图完成安装；</w:t>
      </w:r>
    </w:p>
    <w:p w14:paraId="6E0ED33A">
      <w:pPr>
        <w:spacing w:before="12" w:line="219" w:lineRule="auto"/>
        <w:ind w:left="359"/>
        <w:rPr>
          <w:rFonts w:ascii="宋体" w:hAnsi="宋体" w:eastAsia="宋体" w:cs="宋体"/>
          <w:sz w:val="16"/>
          <w:szCs w:val="16"/>
        </w:rPr>
      </w:pPr>
      <w:r>
        <w:rPr>
          <w:rFonts w:ascii="宋体" w:hAnsi="宋体" w:eastAsia="宋体" w:cs="宋体"/>
          <w:spacing w:val="6"/>
          <w:sz w:val="16"/>
          <w:szCs w:val="16"/>
        </w:rPr>
        <w:t>3.能合理布置器件。</w:t>
      </w:r>
    </w:p>
    <w:p w14:paraId="14F4DD5F">
      <w:pPr>
        <w:spacing w:before="103" w:line="221" w:lineRule="auto"/>
        <w:ind w:left="359"/>
        <w:rPr>
          <w:rFonts w:ascii="宋体" w:hAnsi="宋体" w:eastAsia="宋体" w:cs="宋体"/>
          <w:sz w:val="16"/>
          <w:szCs w:val="16"/>
        </w:rPr>
      </w:pPr>
      <w:r>
        <w:rPr>
          <w:rFonts w:ascii="宋体" w:hAnsi="宋体" w:eastAsia="宋体" w:cs="宋体"/>
          <w:spacing w:val="15"/>
          <w:sz w:val="16"/>
          <w:szCs w:val="16"/>
        </w:rPr>
        <w:t>【测试方法】</w:t>
      </w:r>
    </w:p>
    <w:p w14:paraId="7169CACE">
      <w:pPr>
        <w:spacing w:before="97" w:line="325" w:lineRule="auto"/>
        <w:ind w:right="20" w:firstLine="359"/>
        <w:jc w:val="both"/>
        <w:rPr>
          <w:rFonts w:ascii="宋体" w:hAnsi="宋体" w:eastAsia="宋体" w:cs="宋体"/>
          <w:sz w:val="16"/>
          <w:szCs w:val="16"/>
        </w:rPr>
      </w:pPr>
      <w:r>
        <w:rPr>
          <w:rFonts w:ascii="宋体" w:hAnsi="宋体" w:eastAsia="宋体" w:cs="宋体"/>
          <w:spacing w:val="9"/>
          <w:sz w:val="16"/>
          <w:szCs w:val="16"/>
        </w:rPr>
        <w:t>1.电器元件的技术数据(如型号、规格、额定电压、</w:t>
      </w:r>
      <w:r>
        <w:rPr>
          <w:rFonts w:ascii="宋体" w:hAnsi="宋体" w:eastAsia="宋体" w:cs="宋体"/>
          <w:spacing w:val="2"/>
          <w:sz w:val="16"/>
          <w:szCs w:val="16"/>
        </w:rPr>
        <w:t xml:space="preserve"> </w:t>
      </w:r>
      <w:r>
        <w:rPr>
          <w:rFonts w:ascii="宋体" w:hAnsi="宋体" w:eastAsia="宋体" w:cs="宋体"/>
          <w:spacing w:val="14"/>
          <w:sz w:val="16"/>
          <w:szCs w:val="16"/>
        </w:rPr>
        <w:t>额定电流等)应完整并符合要求，外观无损伤，备件、</w:t>
      </w:r>
      <w:r>
        <w:rPr>
          <w:rFonts w:ascii="宋体" w:hAnsi="宋体" w:eastAsia="宋体" w:cs="宋体"/>
          <w:spacing w:val="6"/>
          <w:sz w:val="16"/>
          <w:szCs w:val="16"/>
        </w:rPr>
        <w:t xml:space="preserve">  </w:t>
      </w:r>
      <w:r>
        <w:rPr>
          <w:rFonts w:ascii="宋体" w:hAnsi="宋体" w:eastAsia="宋体" w:cs="宋体"/>
          <w:spacing w:val="5"/>
          <w:sz w:val="16"/>
          <w:szCs w:val="16"/>
        </w:rPr>
        <w:t>附件齐全完好；</w:t>
      </w:r>
    </w:p>
    <w:p w14:paraId="0395D04B">
      <w:pPr>
        <w:spacing w:before="26" w:line="326" w:lineRule="auto"/>
        <w:ind w:right="74" w:firstLine="359"/>
        <w:rPr>
          <w:rFonts w:ascii="宋体" w:hAnsi="宋体" w:eastAsia="宋体" w:cs="宋体"/>
          <w:sz w:val="16"/>
          <w:szCs w:val="16"/>
        </w:rPr>
      </w:pPr>
      <w:r>
        <w:rPr>
          <w:rFonts w:ascii="宋体" w:hAnsi="宋体" w:eastAsia="宋体" w:cs="宋体"/>
          <w:spacing w:val="17"/>
          <w:sz w:val="16"/>
          <w:szCs w:val="16"/>
        </w:rPr>
        <w:t>2.各元件的安装位置应整齐、匀称，间距合理，</w:t>
      </w:r>
      <w:r>
        <w:rPr>
          <w:rFonts w:ascii="宋体" w:hAnsi="宋体" w:eastAsia="宋体" w:cs="宋体"/>
          <w:spacing w:val="15"/>
          <w:sz w:val="16"/>
          <w:szCs w:val="16"/>
        </w:rPr>
        <w:t xml:space="preserve"> </w:t>
      </w:r>
      <w:r>
        <w:rPr>
          <w:rFonts w:ascii="宋体" w:hAnsi="宋体" w:eastAsia="宋体" w:cs="宋体"/>
          <w:spacing w:val="19"/>
          <w:sz w:val="16"/>
          <w:szCs w:val="16"/>
        </w:rPr>
        <w:t>便于元件的更换。紧固各元件时要用力均匀，紧固程</w:t>
      </w:r>
      <w:r>
        <w:rPr>
          <w:rFonts w:ascii="宋体" w:hAnsi="宋体" w:eastAsia="宋体" w:cs="宋体"/>
          <w:spacing w:val="7"/>
          <w:sz w:val="16"/>
          <w:szCs w:val="16"/>
        </w:rPr>
        <w:t xml:space="preserve"> 度适当；</w:t>
      </w:r>
    </w:p>
    <w:p w14:paraId="3C74EDA3">
      <w:pPr>
        <w:spacing w:before="42" w:line="309" w:lineRule="auto"/>
        <w:ind w:right="74" w:firstLine="359"/>
        <w:rPr>
          <w:rFonts w:ascii="宋体" w:hAnsi="宋体" w:eastAsia="宋体" w:cs="宋体"/>
          <w:sz w:val="16"/>
          <w:szCs w:val="16"/>
        </w:rPr>
      </w:pPr>
      <w:r>
        <w:rPr>
          <w:rFonts w:ascii="宋体" w:hAnsi="宋体" w:eastAsia="宋体" w:cs="宋体"/>
          <w:spacing w:val="10"/>
          <w:sz w:val="16"/>
          <w:szCs w:val="16"/>
        </w:rPr>
        <w:t>3.布线通道尽可能少，同路并行导线按主、控电路</w:t>
      </w:r>
      <w:r>
        <w:rPr>
          <w:rFonts w:ascii="宋体" w:hAnsi="宋体" w:eastAsia="宋体" w:cs="宋体"/>
          <w:spacing w:val="15"/>
          <w:sz w:val="16"/>
          <w:szCs w:val="16"/>
        </w:rPr>
        <w:t xml:space="preserve"> </w:t>
      </w:r>
      <w:r>
        <w:rPr>
          <w:rFonts w:ascii="宋体" w:hAnsi="宋体" w:eastAsia="宋体" w:cs="宋体"/>
          <w:spacing w:val="8"/>
          <w:sz w:val="16"/>
          <w:szCs w:val="16"/>
        </w:rPr>
        <w:t>分类集中，单层密排，紧贴安装面布线；</w:t>
      </w:r>
    </w:p>
    <w:p w14:paraId="6F03B602">
      <w:pPr>
        <w:spacing w:before="23" w:line="326" w:lineRule="auto"/>
        <w:ind w:right="52" w:firstLine="359"/>
        <w:rPr>
          <w:rFonts w:ascii="宋体" w:hAnsi="宋体" w:eastAsia="宋体" w:cs="宋体"/>
          <w:sz w:val="16"/>
          <w:szCs w:val="16"/>
        </w:rPr>
      </w:pPr>
      <w:r>
        <w:rPr>
          <w:rFonts w:ascii="宋体" w:hAnsi="宋体" w:eastAsia="宋体" w:cs="宋体"/>
          <w:spacing w:val="11"/>
          <w:sz w:val="16"/>
          <w:szCs w:val="16"/>
        </w:rPr>
        <w:t>4.同一平面的导线应高低一致或前后一致，不能交</w:t>
      </w:r>
      <w:r>
        <w:rPr>
          <w:rFonts w:ascii="宋体" w:hAnsi="宋体" w:eastAsia="宋体" w:cs="宋体"/>
          <w:spacing w:val="12"/>
          <w:sz w:val="16"/>
          <w:szCs w:val="16"/>
        </w:rPr>
        <w:t xml:space="preserve"> 叉。非交叉不可时，该根导线应在接线端子引出时，就</w:t>
      </w:r>
      <w:r>
        <w:rPr>
          <w:rFonts w:ascii="宋体" w:hAnsi="宋体" w:eastAsia="宋体" w:cs="宋体"/>
          <w:spacing w:val="18"/>
          <w:sz w:val="16"/>
          <w:szCs w:val="16"/>
        </w:rPr>
        <w:t xml:space="preserve"> </w:t>
      </w:r>
      <w:r>
        <w:rPr>
          <w:rFonts w:ascii="宋体" w:hAnsi="宋体" w:eastAsia="宋体" w:cs="宋体"/>
          <w:spacing w:val="7"/>
          <w:sz w:val="16"/>
          <w:szCs w:val="16"/>
        </w:rPr>
        <w:t>水平架空跨越，但必须走线合理；</w:t>
      </w:r>
    </w:p>
    <w:p w14:paraId="241506FE">
      <w:pPr>
        <w:spacing w:before="23" w:line="332" w:lineRule="auto"/>
        <w:ind w:right="20" w:firstLine="359"/>
        <w:rPr>
          <w:rFonts w:ascii="宋体" w:hAnsi="宋体" w:eastAsia="宋体" w:cs="宋体"/>
          <w:sz w:val="16"/>
          <w:szCs w:val="16"/>
        </w:rPr>
      </w:pPr>
      <w:r>
        <w:rPr>
          <w:rFonts w:ascii="宋体" w:hAnsi="宋体" w:eastAsia="宋体" w:cs="宋体"/>
          <w:spacing w:val="5"/>
          <w:sz w:val="16"/>
          <w:szCs w:val="16"/>
        </w:rPr>
        <w:t>5.布线应横平竖直，分布均匀。变换走向时应垂直。</w:t>
      </w:r>
      <w:r>
        <w:rPr>
          <w:rFonts w:ascii="宋体" w:hAnsi="宋体" w:eastAsia="宋体" w:cs="宋体"/>
          <w:spacing w:val="18"/>
          <w:sz w:val="16"/>
          <w:szCs w:val="16"/>
        </w:rPr>
        <w:t xml:space="preserve"> </w:t>
      </w:r>
      <w:r>
        <w:rPr>
          <w:rFonts w:ascii="宋体" w:hAnsi="宋体" w:eastAsia="宋体" w:cs="宋体"/>
          <w:spacing w:val="7"/>
          <w:sz w:val="16"/>
          <w:szCs w:val="16"/>
        </w:rPr>
        <w:t>布线时严禁损伤线芯和导线绝缘；</w:t>
      </w:r>
    </w:p>
    <w:p w14:paraId="106F9E26">
      <w:pPr>
        <w:spacing w:before="5" w:line="321" w:lineRule="auto"/>
        <w:ind w:right="73" w:firstLine="359"/>
        <w:rPr>
          <w:rFonts w:ascii="宋体" w:hAnsi="宋体" w:eastAsia="宋体" w:cs="宋体"/>
          <w:sz w:val="16"/>
          <w:szCs w:val="16"/>
        </w:rPr>
      </w:pPr>
      <w:r>
        <w:rPr>
          <w:rFonts w:ascii="宋体" w:hAnsi="宋体" w:eastAsia="宋体" w:cs="宋体"/>
          <w:spacing w:val="10"/>
          <w:sz w:val="16"/>
          <w:szCs w:val="16"/>
        </w:rPr>
        <w:t>6.同一元件、同一回路的不同接点的导线间距离应</w:t>
      </w:r>
      <w:r>
        <w:rPr>
          <w:rFonts w:ascii="宋体" w:hAnsi="宋体" w:eastAsia="宋体" w:cs="宋体"/>
          <w:spacing w:val="15"/>
          <w:sz w:val="16"/>
          <w:szCs w:val="16"/>
        </w:rPr>
        <w:t xml:space="preserve"> </w:t>
      </w:r>
      <w:r>
        <w:rPr>
          <w:rFonts w:ascii="宋体" w:hAnsi="宋体" w:eastAsia="宋体" w:cs="宋体"/>
          <w:spacing w:val="4"/>
          <w:sz w:val="16"/>
          <w:szCs w:val="16"/>
        </w:rPr>
        <w:t>保持一致；</w:t>
      </w:r>
    </w:p>
    <w:p w14:paraId="7CDDA86D">
      <w:pPr>
        <w:spacing w:before="23" w:line="332" w:lineRule="auto"/>
        <w:ind w:right="50" w:firstLine="359"/>
        <w:rPr>
          <w:rFonts w:ascii="宋体" w:hAnsi="宋体" w:eastAsia="宋体" w:cs="宋体"/>
          <w:sz w:val="16"/>
          <w:szCs w:val="16"/>
        </w:rPr>
      </w:pPr>
      <w:r>
        <w:rPr>
          <w:rFonts w:ascii="宋体" w:hAnsi="宋体" w:eastAsia="宋体" w:cs="宋体"/>
          <w:spacing w:val="10"/>
          <w:sz w:val="16"/>
          <w:szCs w:val="16"/>
        </w:rPr>
        <w:t>7.一个电器元件接线端子上的连接导线不得多于两</w:t>
      </w:r>
      <w:r>
        <w:rPr>
          <w:rFonts w:ascii="宋体" w:hAnsi="宋体" w:eastAsia="宋体" w:cs="宋体"/>
          <w:spacing w:val="16"/>
          <w:sz w:val="16"/>
          <w:szCs w:val="16"/>
        </w:rPr>
        <w:t xml:space="preserve"> </w:t>
      </w:r>
      <w:r>
        <w:rPr>
          <w:rFonts w:ascii="宋体" w:hAnsi="宋体" w:eastAsia="宋体" w:cs="宋体"/>
          <w:spacing w:val="6"/>
          <w:sz w:val="16"/>
          <w:szCs w:val="16"/>
        </w:rPr>
        <w:t>根，每节接线端子板上的连接导线一般只允许连接一</w:t>
      </w:r>
      <w:r>
        <w:rPr>
          <w:rFonts w:ascii="宋体" w:hAnsi="宋体" w:eastAsia="宋体" w:cs="宋体"/>
          <w:spacing w:val="5"/>
          <w:sz w:val="16"/>
          <w:szCs w:val="16"/>
        </w:rPr>
        <w:t>根；</w:t>
      </w:r>
    </w:p>
    <w:p w14:paraId="05186DB0">
      <w:pPr>
        <w:spacing w:before="4" w:line="219" w:lineRule="auto"/>
        <w:ind w:left="359"/>
        <w:rPr>
          <w:rFonts w:ascii="宋体" w:hAnsi="宋体" w:eastAsia="宋体" w:cs="宋体"/>
          <w:sz w:val="16"/>
          <w:szCs w:val="16"/>
        </w:rPr>
      </w:pPr>
      <w:r>
        <w:rPr>
          <w:rFonts w:ascii="宋体" w:hAnsi="宋体" w:eastAsia="宋体" w:cs="宋体"/>
          <w:spacing w:val="8"/>
          <w:sz w:val="16"/>
          <w:szCs w:val="16"/>
        </w:rPr>
        <w:t>8.根据电路图检查控制板布线的正确性；</w:t>
      </w:r>
    </w:p>
    <w:p w14:paraId="1E185E3F">
      <w:pPr>
        <w:spacing w:before="101" w:line="326" w:lineRule="auto"/>
        <w:ind w:right="68" w:firstLine="359"/>
        <w:rPr>
          <w:rFonts w:ascii="宋体" w:hAnsi="宋体" w:eastAsia="宋体" w:cs="宋体"/>
          <w:sz w:val="16"/>
          <w:szCs w:val="16"/>
        </w:rPr>
      </w:pPr>
      <w:r>
        <w:rPr>
          <w:rFonts w:ascii="宋体" w:hAnsi="宋体" w:eastAsia="宋体" w:cs="宋体"/>
          <w:spacing w:val="11"/>
          <w:sz w:val="16"/>
          <w:szCs w:val="16"/>
        </w:rPr>
        <w:t>9.安装完毕的控制线路板，必须经过认真检</w:t>
      </w:r>
      <w:r>
        <w:rPr>
          <w:rFonts w:ascii="宋体" w:hAnsi="宋体" w:eastAsia="宋体" w:cs="宋体"/>
          <w:spacing w:val="10"/>
          <w:sz w:val="16"/>
          <w:szCs w:val="16"/>
        </w:rPr>
        <w:t>查以后</w:t>
      </w:r>
      <w:r>
        <w:rPr>
          <w:rFonts w:ascii="宋体" w:hAnsi="宋体" w:eastAsia="宋体" w:cs="宋体"/>
          <w:sz w:val="16"/>
          <w:szCs w:val="16"/>
        </w:rPr>
        <w:t xml:space="preserve"> </w:t>
      </w:r>
      <w:r>
        <w:rPr>
          <w:rFonts w:ascii="宋体" w:hAnsi="宋体" w:eastAsia="宋体" w:cs="宋体"/>
          <w:spacing w:val="12"/>
          <w:sz w:val="16"/>
          <w:szCs w:val="16"/>
        </w:rPr>
        <w:t>才允许通电，以防止错接、漏接造成不能正常运</w:t>
      </w:r>
      <w:r>
        <w:rPr>
          <w:rFonts w:ascii="宋体" w:hAnsi="宋体" w:eastAsia="宋体" w:cs="宋体"/>
          <w:spacing w:val="11"/>
          <w:sz w:val="16"/>
          <w:szCs w:val="16"/>
        </w:rPr>
        <w:t>转或短</w:t>
      </w:r>
      <w:r>
        <w:rPr>
          <w:rFonts w:ascii="宋体" w:hAnsi="宋体" w:eastAsia="宋体" w:cs="宋体"/>
          <w:sz w:val="16"/>
          <w:szCs w:val="16"/>
        </w:rPr>
        <w:t xml:space="preserve"> </w:t>
      </w:r>
      <w:r>
        <w:rPr>
          <w:rFonts w:ascii="宋体" w:hAnsi="宋体" w:eastAsia="宋体" w:cs="宋体"/>
          <w:spacing w:val="2"/>
          <w:sz w:val="16"/>
          <w:szCs w:val="16"/>
        </w:rPr>
        <w:t>路事故；</w:t>
      </w:r>
    </w:p>
    <w:p w14:paraId="20BA3E00">
      <w:pPr>
        <w:spacing w:before="22" w:line="326" w:lineRule="auto"/>
        <w:ind w:right="73" w:firstLine="359"/>
        <w:rPr>
          <w:rFonts w:ascii="宋体" w:hAnsi="宋体" w:eastAsia="宋体" w:cs="宋体"/>
          <w:sz w:val="16"/>
          <w:szCs w:val="16"/>
        </w:rPr>
      </w:pPr>
      <w:r>
        <w:rPr>
          <w:rFonts w:ascii="宋体" w:hAnsi="宋体" w:eastAsia="宋体" w:cs="宋体"/>
          <w:spacing w:val="14"/>
          <w:sz w:val="16"/>
          <w:szCs w:val="16"/>
        </w:rPr>
        <w:t>10.按电路图或接线图从电源端开始，逐段核对接</w:t>
      </w:r>
      <w:r>
        <w:rPr>
          <w:rFonts w:ascii="宋体" w:hAnsi="宋体" w:eastAsia="宋体" w:cs="宋体"/>
          <w:spacing w:val="3"/>
          <w:sz w:val="16"/>
          <w:szCs w:val="16"/>
        </w:rPr>
        <w:t xml:space="preserve"> </w:t>
      </w:r>
      <w:r>
        <w:rPr>
          <w:rFonts w:ascii="宋体" w:hAnsi="宋体" w:eastAsia="宋体" w:cs="宋体"/>
          <w:spacing w:val="11"/>
          <w:sz w:val="16"/>
          <w:szCs w:val="16"/>
        </w:rPr>
        <w:t>线及接线端子处线号是否正确，有无漏接、错接之处。</w:t>
      </w:r>
      <w:r>
        <w:rPr>
          <w:rFonts w:ascii="宋体" w:hAnsi="宋体" w:eastAsia="宋体" w:cs="宋体"/>
          <w:spacing w:val="4"/>
          <w:sz w:val="16"/>
          <w:szCs w:val="16"/>
        </w:rPr>
        <w:t xml:space="preserve"> </w:t>
      </w:r>
      <w:r>
        <w:rPr>
          <w:rFonts w:ascii="宋体" w:hAnsi="宋体" w:eastAsia="宋体" w:cs="宋体"/>
          <w:spacing w:val="7"/>
          <w:sz w:val="16"/>
          <w:szCs w:val="16"/>
        </w:rPr>
        <w:t>检查导线接点是否符合要求，压接是否牢固；</w:t>
      </w:r>
    </w:p>
    <w:p w14:paraId="6221F721">
      <w:pPr>
        <w:spacing w:before="33" w:line="219" w:lineRule="auto"/>
        <w:ind w:left="359"/>
        <w:rPr>
          <w:rFonts w:ascii="宋体" w:hAnsi="宋体" w:eastAsia="宋体" w:cs="宋体"/>
          <w:sz w:val="16"/>
          <w:szCs w:val="16"/>
        </w:rPr>
      </w:pPr>
      <w:r>
        <w:rPr>
          <w:rFonts w:ascii="宋体" w:hAnsi="宋体" w:eastAsia="宋体" w:cs="宋体"/>
          <w:spacing w:val="6"/>
          <w:sz w:val="16"/>
          <w:szCs w:val="16"/>
        </w:rPr>
        <w:t>11.安全文明生产及其它。</w:t>
      </w:r>
    </w:p>
    <w:p w14:paraId="1E55FA70">
      <w:pPr>
        <w:spacing w:before="101" w:line="221" w:lineRule="auto"/>
        <w:ind w:left="359"/>
        <w:rPr>
          <w:rFonts w:ascii="宋体" w:hAnsi="宋体" w:eastAsia="宋体" w:cs="宋体"/>
          <w:sz w:val="16"/>
          <w:szCs w:val="16"/>
        </w:rPr>
      </w:pPr>
      <w:r>
        <w:rPr>
          <w:rFonts w:ascii="宋体" w:hAnsi="宋体" w:eastAsia="宋体" w:cs="宋体"/>
          <w:spacing w:val="15"/>
          <w:sz w:val="16"/>
          <w:szCs w:val="16"/>
        </w:rPr>
        <w:t>【测试要求】</w:t>
      </w:r>
    </w:p>
    <w:p w14:paraId="78F60D3D">
      <w:pPr>
        <w:spacing w:before="87" w:line="333" w:lineRule="auto"/>
        <w:ind w:right="68" w:firstLine="359"/>
        <w:rPr>
          <w:rFonts w:ascii="宋体" w:hAnsi="宋体" w:eastAsia="宋体" w:cs="宋体"/>
          <w:sz w:val="16"/>
          <w:szCs w:val="16"/>
        </w:rPr>
      </w:pPr>
      <w:r>
        <w:rPr>
          <w:rFonts w:ascii="宋体" w:hAnsi="宋体" w:eastAsia="宋体" w:cs="宋体"/>
          <w:spacing w:val="11"/>
          <w:sz w:val="16"/>
          <w:szCs w:val="16"/>
        </w:rPr>
        <w:t>1.识读接触器自锁正转控制电路的原理图，</w:t>
      </w:r>
      <w:r>
        <w:rPr>
          <w:rFonts w:ascii="宋体" w:hAnsi="宋体" w:eastAsia="宋体" w:cs="宋体"/>
          <w:spacing w:val="10"/>
          <w:sz w:val="16"/>
          <w:szCs w:val="16"/>
        </w:rPr>
        <w:t>明确线</w:t>
      </w:r>
      <w:r>
        <w:rPr>
          <w:rFonts w:ascii="宋体" w:hAnsi="宋体" w:eastAsia="宋体" w:cs="宋体"/>
          <w:sz w:val="16"/>
          <w:szCs w:val="16"/>
        </w:rPr>
        <w:t xml:space="preserve"> </w:t>
      </w:r>
      <w:r>
        <w:rPr>
          <w:rFonts w:ascii="宋体" w:hAnsi="宋体" w:eastAsia="宋体" w:cs="宋体"/>
          <w:spacing w:val="8"/>
          <w:sz w:val="16"/>
          <w:szCs w:val="16"/>
        </w:rPr>
        <w:t>路所用电器元件及作用，熟悉线路的工作原理；</w:t>
      </w:r>
    </w:p>
    <w:p w14:paraId="6A24C324">
      <w:pPr>
        <w:spacing w:before="4" w:line="321" w:lineRule="auto"/>
        <w:ind w:right="71" w:firstLine="359"/>
        <w:rPr>
          <w:rFonts w:ascii="宋体" w:hAnsi="宋体" w:eastAsia="宋体" w:cs="宋体"/>
          <w:sz w:val="16"/>
          <w:szCs w:val="16"/>
        </w:rPr>
      </w:pPr>
      <w:r>
        <w:rPr>
          <w:rFonts w:ascii="宋体" w:hAnsi="宋体" w:eastAsia="宋体" w:cs="宋体"/>
          <w:spacing w:val="18"/>
          <w:sz w:val="16"/>
          <w:szCs w:val="16"/>
        </w:rPr>
        <w:t>2.按要求配齐所用电器元件，安装调试，并进行</w:t>
      </w:r>
      <w:r>
        <w:rPr>
          <w:rFonts w:ascii="宋体" w:hAnsi="宋体" w:eastAsia="宋体" w:cs="宋体"/>
          <w:spacing w:val="11"/>
          <w:sz w:val="16"/>
          <w:szCs w:val="16"/>
        </w:rPr>
        <w:t xml:space="preserve"> </w:t>
      </w:r>
      <w:r>
        <w:rPr>
          <w:rFonts w:ascii="宋体" w:hAnsi="宋体" w:eastAsia="宋体" w:cs="宋体"/>
          <w:spacing w:val="9"/>
          <w:sz w:val="16"/>
          <w:szCs w:val="16"/>
        </w:rPr>
        <w:t>检验。</w:t>
      </w:r>
    </w:p>
    <w:p w14:paraId="443FE09C">
      <w:pPr>
        <w:spacing w:before="23" w:line="220" w:lineRule="auto"/>
        <w:ind w:left="359"/>
        <w:rPr>
          <w:rFonts w:ascii="宋体" w:hAnsi="宋体" w:eastAsia="宋体" w:cs="宋体"/>
          <w:sz w:val="16"/>
          <w:szCs w:val="16"/>
        </w:rPr>
      </w:pPr>
      <w:r>
        <w:rPr>
          <w:rFonts w:ascii="宋体" w:hAnsi="宋体" w:eastAsia="宋体" w:cs="宋体"/>
          <w:spacing w:val="15"/>
          <w:sz w:val="16"/>
          <w:szCs w:val="16"/>
        </w:rPr>
        <w:t>【测试赋分】</w:t>
      </w:r>
    </w:p>
    <w:p w14:paraId="6893EC87">
      <w:pPr>
        <w:spacing w:before="99" w:line="185" w:lineRule="auto"/>
        <w:ind w:left="359"/>
        <w:rPr>
          <w:rFonts w:ascii="宋体" w:hAnsi="宋体" w:eastAsia="宋体" w:cs="宋体"/>
          <w:sz w:val="16"/>
          <w:szCs w:val="16"/>
        </w:rPr>
      </w:pPr>
      <w:r>
        <w:rPr>
          <w:rFonts w:ascii="宋体" w:hAnsi="宋体" w:eastAsia="宋体" w:cs="宋体"/>
          <w:spacing w:val="4"/>
          <w:sz w:val="16"/>
          <w:szCs w:val="16"/>
        </w:rPr>
        <w:t>1.识别器件</w:t>
      </w:r>
      <w:r>
        <w:rPr>
          <w:rFonts w:ascii="宋体" w:hAnsi="宋体" w:eastAsia="宋体" w:cs="宋体"/>
          <w:spacing w:val="2"/>
          <w:sz w:val="16"/>
          <w:szCs w:val="16"/>
        </w:rPr>
        <w:t xml:space="preserve">                             </w:t>
      </w:r>
      <w:r>
        <w:rPr>
          <w:rFonts w:ascii="宋体" w:hAnsi="宋体" w:eastAsia="宋体" w:cs="宋体"/>
          <w:spacing w:val="4"/>
          <w:sz w:val="16"/>
          <w:szCs w:val="16"/>
        </w:rPr>
        <w:t>3</w:t>
      </w:r>
      <w:r>
        <w:rPr>
          <w:rFonts w:ascii="宋体" w:hAnsi="宋体" w:eastAsia="宋体" w:cs="宋体"/>
          <w:spacing w:val="-22"/>
          <w:sz w:val="16"/>
          <w:szCs w:val="16"/>
        </w:rPr>
        <w:t xml:space="preserve"> </w:t>
      </w:r>
      <w:r>
        <w:rPr>
          <w:rFonts w:ascii="宋体" w:hAnsi="宋体" w:eastAsia="宋体" w:cs="宋体"/>
          <w:spacing w:val="4"/>
          <w:sz w:val="16"/>
          <w:szCs w:val="16"/>
        </w:rPr>
        <w:t>0</w:t>
      </w:r>
      <w:r>
        <w:rPr>
          <w:rFonts w:ascii="宋体" w:hAnsi="宋体" w:eastAsia="宋体" w:cs="宋体"/>
          <w:spacing w:val="-28"/>
          <w:sz w:val="16"/>
          <w:szCs w:val="16"/>
        </w:rPr>
        <w:t xml:space="preserve"> </w:t>
      </w:r>
      <w:r>
        <w:rPr>
          <w:rFonts w:ascii="宋体" w:hAnsi="宋体" w:eastAsia="宋体" w:cs="宋体"/>
          <w:spacing w:val="4"/>
          <w:sz w:val="16"/>
          <w:szCs w:val="16"/>
        </w:rPr>
        <w:t>分</w:t>
      </w:r>
    </w:p>
    <w:p w14:paraId="054E5540">
      <w:pPr>
        <w:spacing w:line="185" w:lineRule="auto"/>
        <w:rPr>
          <w:rFonts w:ascii="宋体" w:hAnsi="宋体" w:eastAsia="宋体" w:cs="宋体"/>
          <w:sz w:val="16"/>
          <w:szCs w:val="16"/>
        </w:rPr>
        <w:sectPr>
          <w:type w:val="continuous"/>
          <w:pgSz w:w="10660" w:h="15080"/>
          <w:pgMar w:top="400" w:right="849" w:bottom="917" w:left="1010" w:header="0" w:footer="709" w:gutter="0"/>
          <w:cols w:equalWidth="0" w:num="2">
            <w:col w:w="4501" w:space="100"/>
            <w:col w:w="4201"/>
          </w:cols>
        </w:sectPr>
      </w:pPr>
    </w:p>
    <w:p w14:paraId="50D20CF8">
      <w:pPr>
        <w:spacing w:before="6"/>
      </w:pPr>
    </w:p>
    <w:p w14:paraId="49511338">
      <w:pPr>
        <w:spacing w:before="6"/>
      </w:pPr>
    </w:p>
    <w:p w14:paraId="289A0641">
      <w:pPr>
        <w:spacing w:before="5"/>
      </w:pPr>
    </w:p>
    <w:p w14:paraId="28C30548">
      <w:pPr>
        <w:spacing w:before="5"/>
      </w:pPr>
    </w:p>
    <w:p w14:paraId="2364D59A">
      <w:pPr>
        <w:sectPr>
          <w:footerReference r:id="rId110" w:type="default"/>
          <w:pgSz w:w="10660" w:h="15080"/>
          <w:pgMar w:top="400" w:right="955" w:bottom="898" w:left="809" w:header="0" w:footer="745" w:gutter="0"/>
          <w:cols w:equalWidth="0" w:num="1">
            <w:col w:w="8896"/>
          </w:cols>
        </w:sectPr>
      </w:pPr>
    </w:p>
    <w:tbl>
      <w:tblPr>
        <w:tblStyle w:val="5"/>
        <w:tblW w:w="3620" w:type="dxa"/>
        <w:tblInd w:w="420" w:type="dxa"/>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Layout w:type="fixed"/>
        <w:tblCellMar>
          <w:top w:w="0" w:type="dxa"/>
          <w:left w:w="0" w:type="dxa"/>
          <w:bottom w:w="0" w:type="dxa"/>
          <w:right w:w="0" w:type="dxa"/>
        </w:tblCellMar>
      </w:tblPr>
      <w:tblGrid>
        <w:gridCol w:w="2966"/>
        <w:gridCol w:w="654"/>
      </w:tblGrid>
      <w:tr w14:paraId="71A0BE27">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1648" w:hRule="atLeast"/>
        </w:trPr>
        <w:tc>
          <w:tcPr>
            <w:tcW w:w="2966" w:type="dxa"/>
            <w:vAlign w:val="top"/>
          </w:tcPr>
          <w:p w14:paraId="503F0D72">
            <w:pPr>
              <w:pStyle w:val="6"/>
              <w:spacing w:before="17" w:line="312" w:lineRule="auto"/>
              <w:ind w:right="2126"/>
            </w:pPr>
            <w:r>
              <w:rPr>
                <w:spacing w:val="-2"/>
              </w:rPr>
              <w:t>2.安装电路</w:t>
            </w:r>
            <w:r>
              <w:t xml:space="preserve"> </w:t>
            </w:r>
            <w:r>
              <w:rPr>
                <w:spacing w:val="-2"/>
              </w:rPr>
              <w:t>3.布线</w:t>
            </w:r>
          </w:p>
          <w:p w14:paraId="025DF2C2">
            <w:pPr>
              <w:pStyle w:val="6"/>
              <w:spacing w:before="8" w:line="305" w:lineRule="auto"/>
              <w:ind w:right="1955"/>
            </w:pPr>
            <w:r>
              <w:rPr>
                <w:spacing w:val="4"/>
              </w:rPr>
              <w:t>4.通电测试</w:t>
            </w:r>
            <w:r>
              <w:t xml:space="preserve">  </w:t>
            </w:r>
            <w:r>
              <w:rPr>
                <w:spacing w:val="-2"/>
              </w:rPr>
              <w:t>5.时间无超时</w:t>
            </w:r>
            <w:r>
              <w:rPr>
                <w:spacing w:val="3"/>
              </w:rPr>
              <w:t xml:space="preserve"> </w:t>
            </w:r>
            <w:r>
              <w:rPr>
                <w:spacing w:val="1"/>
              </w:rPr>
              <w:t>6.仪表使用</w:t>
            </w:r>
          </w:p>
          <w:p w14:paraId="2B1D63BA">
            <w:pPr>
              <w:pStyle w:val="6"/>
              <w:spacing w:before="34" w:line="174" w:lineRule="auto"/>
            </w:pPr>
            <w:r>
              <w:rPr>
                <w:spacing w:val="-1"/>
              </w:rPr>
              <w:t>7.根据职业素养评分要求，现场给分</w:t>
            </w:r>
          </w:p>
        </w:tc>
        <w:tc>
          <w:tcPr>
            <w:tcW w:w="654" w:type="dxa"/>
            <w:vAlign w:val="top"/>
          </w:tcPr>
          <w:p w14:paraId="1F071490">
            <w:pPr>
              <w:pStyle w:val="6"/>
              <w:spacing w:line="288" w:lineRule="auto"/>
              <w:ind w:left="264"/>
              <w:jc w:val="both"/>
            </w:pPr>
            <w:r>
              <w:rPr>
                <w:spacing w:val="-4"/>
                <w:sz w:val="20"/>
                <w:szCs w:val="20"/>
              </w:rPr>
              <w:t>60分</w:t>
            </w:r>
            <w:r>
              <w:rPr>
                <w:sz w:val="20"/>
                <w:szCs w:val="20"/>
              </w:rPr>
              <w:t xml:space="preserve"> </w:t>
            </w:r>
            <w:r>
              <w:rPr>
                <w:spacing w:val="12"/>
              </w:rPr>
              <w:t>30分</w:t>
            </w:r>
            <w:r>
              <w:t xml:space="preserve"> </w:t>
            </w:r>
            <w:r>
              <w:rPr>
                <w:spacing w:val="12"/>
              </w:rPr>
              <w:t>70分</w:t>
            </w:r>
            <w:r>
              <w:t xml:space="preserve"> </w:t>
            </w:r>
            <w:r>
              <w:rPr>
                <w:spacing w:val="12"/>
              </w:rPr>
              <w:t>15分</w:t>
            </w:r>
            <w:r>
              <w:t xml:space="preserve"> </w:t>
            </w:r>
            <w:r>
              <w:rPr>
                <w:spacing w:val="12"/>
              </w:rPr>
              <w:t>20分</w:t>
            </w:r>
            <w:r>
              <w:t xml:space="preserve"> </w:t>
            </w:r>
            <w:r>
              <w:rPr>
                <w:spacing w:val="12"/>
              </w:rPr>
              <w:t>25分</w:t>
            </w:r>
          </w:p>
        </w:tc>
      </w:tr>
    </w:tbl>
    <w:p w14:paraId="4AF52F33">
      <w:pPr>
        <w:pStyle w:val="2"/>
        <w:spacing w:line="341" w:lineRule="auto"/>
      </w:pPr>
    </w:p>
    <w:p w14:paraId="5AC52254">
      <w:pPr>
        <w:spacing w:before="65" w:line="219" w:lineRule="auto"/>
        <w:ind w:left="852"/>
        <w:rPr>
          <w:rFonts w:ascii="宋体" w:hAnsi="宋体" w:eastAsia="宋体" w:cs="宋体"/>
          <w:sz w:val="20"/>
          <w:szCs w:val="20"/>
        </w:rPr>
      </w:pPr>
      <w:r>
        <w:rPr>
          <w:rFonts w:ascii="宋体" w:hAnsi="宋体" w:eastAsia="宋体" w:cs="宋体"/>
          <w:b/>
          <w:bCs/>
          <w:spacing w:val="-3"/>
          <w:sz w:val="20"/>
          <w:szCs w:val="20"/>
        </w:rPr>
        <w:t>项目十</w:t>
      </w:r>
      <w:r>
        <w:rPr>
          <w:rFonts w:ascii="宋体" w:hAnsi="宋体" w:eastAsia="宋体" w:cs="宋体"/>
          <w:spacing w:val="-3"/>
          <w:sz w:val="20"/>
          <w:szCs w:val="20"/>
        </w:rPr>
        <w:t xml:space="preserve">  </w:t>
      </w:r>
      <w:r>
        <w:rPr>
          <w:rFonts w:ascii="宋体" w:hAnsi="宋体" w:eastAsia="宋体" w:cs="宋体"/>
          <w:b/>
          <w:bCs/>
          <w:spacing w:val="-3"/>
          <w:sz w:val="20"/>
          <w:szCs w:val="20"/>
        </w:rPr>
        <w:t>电子产品组装与调试</w:t>
      </w:r>
    </w:p>
    <w:p w14:paraId="3C7CABEA">
      <w:pPr>
        <w:pStyle w:val="2"/>
        <w:spacing w:line="278" w:lineRule="auto"/>
      </w:pPr>
    </w:p>
    <w:p w14:paraId="044F38E3">
      <w:pPr>
        <w:spacing w:before="55" w:line="221" w:lineRule="auto"/>
        <w:ind w:left="415"/>
        <w:rPr>
          <w:rFonts w:ascii="宋体" w:hAnsi="宋体" w:eastAsia="宋体" w:cs="宋体"/>
          <w:sz w:val="17"/>
          <w:szCs w:val="17"/>
        </w:rPr>
      </w:pPr>
      <w:r>
        <w:rPr>
          <w:rFonts w:ascii="宋体" w:hAnsi="宋体" w:eastAsia="宋体" w:cs="宋体"/>
          <w:spacing w:val="6"/>
          <w:sz w:val="17"/>
          <w:szCs w:val="17"/>
        </w:rPr>
        <w:t>【测试用具】</w:t>
      </w:r>
    </w:p>
    <w:p w14:paraId="6A49AE65">
      <w:pPr>
        <w:spacing w:before="95" w:line="219" w:lineRule="auto"/>
        <w:ind w:left="420"/>
        <w:rPr>
          <w:rFonts w:ascii="宋体" w:hAnsi="宋体" w:eastAsia="宋体" w:cs="宋体"/>
          <w:sz w:val="17"/>
          <w:szCs w:val="17"/>
        </w:rPr>
      </w:pPr>
      <w:r>
        <w:rPr>
          <w:rFonts w:ascii="宋体" w:hAnsi="宋体" w:eastAsia="宋体" w:cs="宋体"/>
          <w:spacing w:val="-1"/>
          <w:sz w:val="17"/>
          <w:szCs w:val="17"/>
        </w:rPr>
        <w:t>工具：电烙铁、烙铁架、数字万用表</w:t>
      </w:r>
    </w:p>
    <w:p w14:paraId="4C141706">
      <w:pPr>
        <w:spacing w:before="98" w:line="280" w:lineRule="auto"/>
        <w:ind w:left="60" w:right="385" w:firstLine="359"/>
        <w:rPr>
          <w:rFonts w:ascii="宋体" w:hAnsi="宋体" w:eastAsia="宋体" w:cs="宋体"/>
          <w:sz w:val="17"/>
          <w:szCs w:val="17"/>
        </w:rPr>
      </w:pPr>
      <w:r>
        <w:rPr>
          <w:rFonts w:ascii="宋体" w:hAnsi="宋体" w:eastAsia="宋体" w:cs="宋体"/>
          <w:spacing w:val="-2"/>
          <w:sz w:val="17"/>
          <w:szCs w:val="17"/>
        </w:rPr>
        <w:t>耗材：焊锡丝、松香、导线、9V电池、1.5V</w:t>
      </w:r>
      <w:r>
        <w:rPr>
          <w:rFonts w:ascii="宋体" w:hAnsi="宋体" w:eastAsia="宋体" w:cs="宋体"/>
          <w:spacing w:val="-31"/>
          <w:sz w:val="17"/>
          <w:szCs w:val="17"/>
        </w:rPr>
        <w:t xml:space="preserve"> </w:t>
      </w:r>
      <w:r>
        <w:rPr>
          <w:rFonts w:ascii="宋体" w:hAnsi="宋体" w:eastAsia="宋体" w:cs="宋体"/>
          <w:spacing w:val="-2"/>
          <w:sz w:val="17"/>
          <w:szCs w:val="17"/>
        </w:rPr>
        <w:t>电池、</w:t>
      </w:r>
      <w:r>
        <w:rPr>
          <w:rFonts w:ascii="宋体" w:hAnsi="宋体" w:eastAsia="宋体" w:cs="宋体"/>
          <w:sz w:val="17"/>
          <w:szCs w:val="17"/>
        </w:rPr>
        <w:t xml:space="preserve"> </w:t>
      </w:r>
      <w:r>
        <w:rPr>
          <w:rFonts w:ascii="Times New Roman" w:hAnsi="Times New Roman" w:eastAsia="Times New Roman" w:cs="Times New Roman"/>
          <w:sz w:val="17"/>
          <w:szCs w:val="17"/>
        </w:rPr>
        <w:t>MF47</w:t>
      </w:r>
      <w:r>
        <w:rPr>
          <w:rFonts w:ascii="宋体" w:hAnsi="宋体" w:eastAsia="宋体" w:cs="宋体"/>
          <w:sz w:val="17"/>
          <w:szCs w:val="17"/>
        </w:rPr>
        <w:t>型万用表套件</w:t>
      </w:r>
    </w:p>
    <w:p w14:paraId="28C7745E">
      <w:pPr>
        <w:spacing w:before="54" w:line="219" w:lineRule="auto"/>
        <w:ind w:left="415"/>
        <w:rPr>
          <w:rFonts w:ascii="宋体" w:hAnsi="宋体" w:eastAsia="宋体" w:cs="宋体"/>
          <w:sz w:val="17"/>
          <w:szCs w:val="17"/>
        </w:rPr>
      </w:pPr>
      <w:r>
        <w:rPr>
          <w:rFonts w:ascii="宋体" w:hAnsi="宋体" w:eastAsia="宋体" w:cs="宋体"/>
          <w:spacing w:val="6"/>
          <w:sz w:val="17"/>
          <w:szCs w:val="17"/>
        </w:rPr>
        <w:t>【测试内容】</w:t>
      </w:r>
    </w:p>
    <w:p w14:paraId="4FCE08D6">
      <w:pPr>
        <w:spacing w:before="88" w:line="291" w:lineRule="auto"/>
        <w:ind w:left="420" w:right="1955"/>
        <w:rPr>
          <w:rFonts w:ascii="宋体" w:hAnsi="宋体" w:eastAsia="宋体" w:cs="宋体"/>
          <w:sz w:val="17"/>
          <w:szCs w:val="17"/>
        </w:rPr>
      </w:pPr>
      <w:r>
        <w:rPr>
          <w:rFonts w:ascii="宋体" w:hAnsi="宋体" w:eastAsia="宋体" w:cs="宋体"/>
          <w:spacing w:val="-3"/>
          <w:sz w:val="17"/>
          <w:szCs w:val="17"/>
        </w:rPr>
        <w:t>1.读懂电子产品组装原理图；</w:t>
      </w:r>
      <w:r>
        <w:rPr>
          <w:rFonts w:ascii="宋体" w:hAnsi="宋体" w:eastAsia="宋体" w:cs="宋体"/>
          <w:spacing w:val="6"/>
          <w:sz w:val="17"/>
          <w:szCs w:val="17"/>
        </w:rPr>
        <w:t xml:space="preserve"> </w:t>
      </w:r>
      <w:r>
        <w:rPr>
          <w:rFonts w:ascii="宋体" w:hAnsi="宋体" w:eastAsia="宋体" w:cs="宋体"/>
          <w:spacing w:val="-3"/>
          <w:sz w:val="17"/>
          <w:szCs w:val="17"/>
        </w:rPr>
        <w:t>2.并按图完成安装；</w:t>
      </w:r>
    </w:p>
    <w:p w14:paraId="645BE3DD">
      <w:pPr>
        <w:spacing w:before="45" w:line="293" w:lineRule="auto"/>
        <w:ind w:left="415" w:right="2804" w:firstLine="4"/>
        <w:rPr>
          <w:rFonts w:ascii="宋体" w:hAnsi="宋体" w:eastAsia="宋体" w:cs="宋体"/>
          <w:sz w:val="17"/>
          <w:szCs w:val="17"/>
        </w:rPr>
      </w:pPr>
      <w:r>
        <w:rPr>
          <w:rFonts w:ascii="宋体" w:hAnsi="宋体" w:eastAsia="宋体" w:cs="宋体"/>
          <w:spacing w:val="-4"/>
          <w:sz w:val="17"/>
          <w:szCs w:val="17"/>
        </w:rPr>
        <w:t>3.合理布置器件。</w:t>
      </w:r>
      <w:r>
        <w:rPr>
          <w:rFonts w:ascii="宋体" w:hAnsi="宋体" w:eastAsia="宋体" w:cs="宋体"/>
          <w:sz w:val="17"/>
          <w:szCs w:val="17"/>
        </w:rPr>
        <w:t xml:space="preserve"> </w:t>
      </w:r>
      <w:r>
        <w:rPr>
          <w:rFonts w:ascii="宋体" w:hAnsi="宋体" w:eastAsia="宋体" w:cs="宋体"/>
          <w:spacing w:val="6"/>
          <w:sz w:val="17"/>
          <w:szCs w:val="17"/>
        </w:rPr>
        <w:t>【测试方法】</w:t>
      </w:r>
    </w:p>
    <w:p w14:paraId="5EB50A9C">
      <w:pPr>
        <w:spacing w:before="29" w:line="302" w:lineRule="auto"/>
        <w:ind w:left="60" w:right="382" w:firstLine="359"/>
        <w:rPr>
          <w:rFonts w:ascii="宋体" w:hAnsi="宋体" w:eastAsia="宋体" w:cs="宋体"/>
          <w:sz w:val="17"/>
          <w:szCs w:val="17"/>
        </w:rPr>
      </w:pPr>
      <w:r>
        <w:rPr>
          <w:rFonts w:ascii="宋体" w:hAnsi="宋体" w:eastAsia="宋体" w:cs="宋体"/>
          <w:sz w:val="17"/>
          <w:szCs w:val="17"/>
        </w:rPr>
        <w:t>1.能正确识别元器件，并能正确地使用万用表对元</w:t>
      </w:r>
      <w:r>
        <w:rPr>
          <w:rFonts w:ascii="宋体" w:hAnsi="宋体" w:eastAsia="宋体" w:cs="宋体"/>
          <w:spacing w:val="6"/>
          <w:sz w:val="17"/>
          <w:szCs w:val="17"/>
        </w:rPr>
        <w:t xml:space="preserve"> </w:t>
      </w:r>
      <w:r>
        <w:rPr>
          <w:rFonts w:ascii="宋体" w:hAnsi="宋体" w:eastAsia="宋体" w:cs="宋体"/>
          <w:spacing w:val="-1"/>
          <w:sz w:val="17"/>
          <w:szCs w:val="17"/>
        </w:rPr>
        <w:t>器件进行检测，选出所需的元器件；</w:t>
      </w:r>
    </w:p>
    <w:p w14:paraId="6DA2886F">
      <w:pPr>
        <w:spacing w:before="34" w:line="219" w:lineRule="auto"/>
        <w:ind w:left="420"/>
        <w:rPr>
          <w:rFonts w:ascii="宋体" w:hAnsi="宋体" w:eastAsia="宋体" w:cs="宋体"/>
          <w:sz w:val="17"/>
          <w:szCs w:val="17"/>
        </w:rPr>
      </w:pPr>
      <w:r>
        <w:rPr>
          <w:rFonts w:ascii="宋体" w:hAnsi="宋体" w:eastAsia="宋体" w:cs="宋体"/>
          <w:spacing w:val="-3"/>
          <w:sz w:val="17"/>
          <w:szCs w:val="17"/>
        </w:rPr>
        <w:t>2.有基本的识图能力；</w:t>
      </w:r>
    </w:p>
    <w:p w14:paraId="0FAE07CA">
      <w:pPr>
        <w:spacing w:before="78" w:line="313" w:lineRule="auto"/>
        <w:ind w:left="60" w:right="268" w:firstLine="359"/>
        <w:rPr>
          <w:rFonts w:ascii="宋体" w:hAnsi="宋体" w:eastAsia="宋体" w:cs="宋体"/>
          <w:sz w:val="17"/>
          <w:szCs w:val="17"/>
        </w:rPr>
      </w:pPr>
      <w:r>
        <w:rPr>
          <w:rFonts w:ascii="宋体" w:hAnsi="宋体" w:eastAsia="宋体" w:cs="宋体"/>
          <w:spacing w:val="-2"/>
          <w:sz w:val="17"/>
          <w:szCs w:val="17"/>
        </w:rPr>
        <w:t>3.能对元器件引脚尺寸进行加工成形，对导线长度、</w:t>
      </w:r>
      <w:r>
        <w:rPr>
          <w:rFonts w:ascii="宋体" w:hAnsi="宋体" w:eastAsia="宋体" w:cs="宋体"/>
          <w:sz w:val="17"/>
          <w:szCs w:val="17"/>
        </w:rPr>
        <w:t xml:space="preserve"> </w:t>
      </w:r>
      <w:r>
        <w:rPr>
          <w:rFonts w:ascii="宋体" w:hAnsi="宋体" w:eastAsia="宋体" w:cs="宋体"/>
          <w:spacing w:val="-1"/>
          <w:sz w:val="17"/>
          <w:szCs w:val="17"/>
        </w:rPr>
        <w:t>剥线头的长度进行处理，符合工艺要求；</w:t>
      </w:r>
    </w:p>
    <w:p w14:paraId="1685A186">
      <w:pPr>
        <w:spacing w:before="4" w:line="313" w:lineRule="auto"/>
        <w:ind w:left="60" w:right="362" w:firstLine="359"/>
        <w:rPr>
          <w:rFonts w:ascii="宋体" w:hAnsi="宋体" w:eastAsia="宋体" w:cs="宋体"/>
          <w:sz w:val="17"/>
          <w:szCs w:val="17"/>
        </w:rPr>
      </w:pPr>
      <w:r>
        <w:rPr>
          <w:rFonts w:ascii="宋体" w:hAnsi="宋体" w:eastAsia="宋体" w:cs="宋体"/>
          <w:spacing w:val="1"/>
          <w:sz w:val="17"/>
          <w:szCs w:val="17"/>
        </w:rPr>
        <w:t>4.能正确使用电烙铁的在印制电路板上安装焊接元</w:t>
      </w:r>
      <w:r>
        <w:rPr>
          <w:rFonts w:ascii="宋体" w:hAnsi="宋体" w:eastAsia="宋体" w:cs="宋体"/>
          <w:spacing w:val="3"/>
          <w:sz w:val="17"/>
          <w:szCs w:val="17"/>
        </w:rPr>
        <w:t xml:space="preserve"> </w:t>
      </w:r>
      <w:r>
        <w:rPr>
          <w:rFonts w:ascii="宋体" w:hAnsi="宋体" w:eastAsia="宋体" w:cs="宋体"/>
          <w:spacing w:val="-2"/>
          <w:sz w:val="17"/>
          <w:szCs w:val="17"/>
        </w:rPr>
        <w:t>器件，焊点符合工艺要求；</w:t>
      </w:r>
    </w:p>
    <w:p w14:paraId="5CF1BF3E">
      <w:pPr>
        <w:spacing w:before="14" w:line="291" w:lineRule="auto"/>
        <w:ind w:left="420" w:right="755"/>
        <w:rPr>
          <w:rFonts w:ascii="宋体" w:hAnsi="宋体" w:eastAsia="宋体" w:cs="宋体"/>
          <w:sz w:val="17"/>
          <w:szCs w:val="17"/>
        </w:rPr>
      </w:pPr>
      <w:r>
        <w:rPr>
          <w:rFonts w:ascii="宋体" w:hAnsi="宋体" w:eastAsia="宋体" w:cs="宋体"/>
          <w:spacing w:val="-2"/>
          <w:sz w:val="17"/>
          <w:szCs w:val="17"/>
        </w:rPr>
        <w:t>5.能使用仪器、仪表对电路进行调试和测量；</w:t>
      </w:r>
      <w:r>
        <w:rPr>
          <w:rFonts w:ascii="宋体" w:hAnsi="宋体" w:eastAsia="宋体" w:cs="宋体"/>
          <w:spacing w:val="16"/>
          <w:sz w:val="17"/>
          <w:szCs w:val="17"/>
        </w:rPr>
        <w:t xml:space="preserve"> </w:t>
      </w:r>
      <w:r>
        <w:rPr>
          <w:rFonts w:ascii="宋体" w:hAnsi="宋体" w:eastAsia="宋体" w:cs="宋体"/>
          <w:spacing w:val="-3"/>
          <w:sz w:val="17"/>
          <w:szCs w:val="17"/>
        </w:rPr>
        <w:t>6.掌握安全用电常识；</w:t>
      </w:r>
    </w:p>
    <w:p w14:paraId="479E04EC">
      <w:pPr>
        <w:spacing w:before="43" w:line="291" w:lineRule="auto"/>
        <w:ind w:left="420" w:right="2105"/>
        <w:rPr>
          <w:rFonts w:ascii="宋体" w:hAnsi="宋体" w:eastAsia="宋体" w:cs="宋体"/>
          <w:sz w:val="17"/>
          <w:szCs w:val="17"/>
        </w:rPr>
      </w:pPr>
      <w:r>
        <w:rPr>
          <w:rFonts w:ascii="宋体" w:hAnsi="宋体" w:eastAsia="宋体" w:cs="宋体"/>
          <w:spacing w:val="-2"/>
          <w:sz w:val="17"/>
          <w:szCs w:val="17"/>
        </w:rPr>
        <w:t>7.在规定时间内装配完成；</w:t>
      </w:r>
      <w:r>
        <w:rPr>
          <w:rFonts w:ascii="宋体" w:hAnsi="宋体" w:eastAsia="宋体" w:cs="宋体"/>
          <w:spacing w:val="10"/>
          <w:sz w:val="17"/>
          <w:szCs w:val="17"/>
        </w:rPr>
        <w:t xml:space="preserve"> </w:t>
      </w:r>
      <w:r>
        <w:rPr>
          <w:rFonts w:ascii="宋体" w:hAnsi="宋体" w:eastAsia="宋体" w:cs="宋体"/>
          <w:spacing w:val="-1"/>
          <w:sz w:val="17"/>
          <w:szCs w:val="17"/>
        </w:rPr>
        <w:t>8.安全文明生产及其它。</w:t>
      </w:r>
    </w:p>
    <w:p w14:paraId="7FBBF04D">
      <w:pPr>
        <w:spacing w:before="46" w:line="221" w:lineRule="auto"/>
        <w:ind w:left="415"/>
        <w:rPr>
          <w:rFonts w:ascii="宋体" w:hAnsi="宋体" w:eastAsia="宋体" w:cs="宋体"/>
          <w:sz w:val="17"/>
          <w:szCs w:val="17"/>
        </w:rPr>
      </w:pPr>
      <w:r>
        <w:rPr>
          <w:rFonts w:ascii="宋体" w:hAnsi="宋体" w:eastAsia="宋体" w:cs="宋体"/>
          <w:spacing w:val="6"/>
          <w:sz w:val="17"/>
          <w:szCs w:val="17"/>
        </w:rPr>
        <w:t>【测试要求】</w:t>
      </w:r>
    </w:p>
    <w:p w14:paraId="35799C2A">
      <w:pPr>
        <w:spacing w:before="85" w:line="302" w:lineRule="auto"/>
        <w:ind w:left="420" w:right="1285"/>
        <w:rPr>
          <w:rFonts w:ascii="宋体" w:hAnsi="宋体" w:eastAsia="宋体" w:cs="宋体"/>
          <w:sz w:val="17"/>
          <w:szCs w:val="17"/>
        </w:rPr>
      </w:pPr>
      <w:r>
        <w:rPr>
          <w:rFonts w:ascii="宋体" w:hAnsi="宋体" w:eastAsia="宋体" w:cs="宋体"/>
          <w:spacing w:val="-3"/>
          <w:sz w:val="17"/>
          <w:szCs w:val="17"/>
        </w:rPr>
        <w:t>1.读懂原理图、装配图、并识别器件；</w:t>
      </w:r>
      <w:r>
        <w:rPr>
          <w:rFonts w:ascii="宋体" w:hAnsi="宋体" w:eastAsia="宋体" w:cs="宋体"/>
          <w:spacing w:val="7"/>
          <w:sz w:val="17"/>
          <w:szCs w:val="17"/>
        </w:rPr>
        <w:t xml:space="preserve"> </w:t>
      </w:r>
      <w:r>
        <w:rPr>
          <w:rFonts w:ascii="宋体" w:hAnsi="宋体" w:eastAsia="宋体" w:cs="宋体"/>
          <w:spacing w:val="-1"/>
          <w:sz w:val="17"/>
          <w:szCs w:val="17"/>
        </w:rPr>
        <w:t>2.按照装配图施工装配、调试。</w:t>
      </w:r>
    </w:p>
    <w:p w14:paraId="6C731936">
      <w:pPr>
        <w:spacing w:before="25" w:line="220" w:lineRule="auto"/>
        <w:ind w:left="415"/>
        <w:rPr>
          <w:rFonts w:ascii="宋体" w:hAnsi="宋体" w:eastAsia="宋体" w:cs="宋体"/>
          <w:sz w:val="17"/>
          <w:szCs w:val="17"/>
        </w:rPr>
      </w:pPr>
      <w:r>
        <w:rPr>
          <w:rFonts w:ascii="宋体" w:hAnsi="宋体" w:eastAsia="宋体" w:cs="宋体"/>
          <w:spacing w:val="6"/>
          <w:sz w:val="17"/>
          <w:szCs w:val="17"/>
        </w:rPr>
        <w:t>【测试赋分】</w:t>
      </w:r>
    </w:p>
    <w:p w14:paraId="423B6D73">
      <w:pPr>
        <w:spacing w:before="77" w:line="231" w:lineRule="auto"/>
        <w:ind w:left="420"/>
        <w:rPr>
          <w:rFonts w:ascii="宋体" w:hAnsi="宋体" w:eastAsia="宋体" w:cs="宋体"/>
          <w:sz w:val="17"/>
          <w:szCs w:val="17"/>
        </w:rPr>
      </w:pPr>
      <w:r>
        <w:rPr>
          <w:rFonts w:ascii="宋体" w:hAnsi="宋体" w:eastAsia="宋体" w:cs="宋体"/>
          <w:spacing w:val="2"/>
          <w:sz w:val="17"/>
          <w:szCs w:val="17"/>
        </w:rPr>
        <w:t>1.识别器件</w:t>
      </w:r>
      <w:r>
        <w:rPr>
          <w:rFonts w:ascii="宋体" w:hAnsi="宋体" w:eastAsia="宋体" w:cs="宋体"/>
          <w:sz w:val="17"/>
          <w:szCs w:val="17"/>
        </w:rPr>
        <w:t xml:space="preserve">                            </w:t>
      </w:r>
      <w:r>
        <w:rPr>
          <w:rFonts w:ascii="宋体" w:hAnsi="宋体" w:eastAsia="宋体" w:cs="宋体"/>
          <w:spacing w:val="2"/>
          <w:sz w:val="17"/>
          <w:szCs w:val="17"/>
        </w:rPr>
        <w:t>30分</w:t>
      </w:r>
    </w:p>
    <w:p w14:paraId="78F5E92F">
      <w:pPr>
        <w:spacing w:before="77" w:line="231" w:lineRule="auto"/>
        <w:ind w:left="420"/>
        <w:rPr>
          <w:rFonts w:ascii="宋体" w:hAnsi="宋体" w:eastAsia="宋体" w:cs="宋体"/>
          <w:sz w:val="17"/>
          <w:szCs w:val="17"/>
        </w:rPr>
      </w:pPr>
      <w:r>
        <w:rPr>
          <w:rFonts w:ascii="宋体" w:hAnsi="宋体" w:eastAsia="宋体" w:cs="宋体"/>
          <w:spacing w:val="3"/>
          <w:sz w:val="17"/>
          <w:szCs w:val="17"/>
        </w:rPr>
        <w:t>2.安装电路</w:t>
      </w:r>
      <w:r>
        <w:rPr>
          <w:rFonts w:ascii="宋体" w:hAnsi="宋体" w:eastAsia="宋体" w:cs="宋体"/>
          <w:sz w:val="17"/>
          <w:szCs w:val="17"/>
        </w:rPr>
        <w:t xml:space="preserve">                            </w:t>
      </w:r>
      <w:r>
        <w:rPr>
          <w:rFonts w:ascii="宋体" w:hAnsi="宋体" w:eastAsia="宋体" w:cs="宋体"/>
          <w:spacing w:val="3"/>
          <w:sz w:val="17"/>
          <w:szCs w:val="17"/>
        </w:rPr>
        <w:t>60分</w:t>
      </w:r>
    </w:p>
    <w:p w14:paraId="3B0F7E5B">
      <w:pPr>
        <w:spacing w:before="87" w:line="220" w:lineRule="auto"/>
        <w:ind w:left="420"/>
        <w:rPr>
          <w:rFonts w:ascii="宋体" w:hAnsi="宋体" w:eastAsia="宋体" w:cs="宋体"/>
          <w:sz w:val="17"/>
          <w:szCs w:val="17"/>
        </w:rPr>
      </w:pPr>
      <w:r>
        <w:rPr>
          <w:rFonts w:ascii="宋体" w:hAnsi="宋体" w:eastAsia="宋体" w:cs="宋体"/>
          <w:spacing w:val="4"/>
          <w:sz w:val="17"/>
          <w:szCs w:val="17"/>
        </w:rPr>
        <w:t>3.布线</w:t>
      </w:r>
      <w:r>
        <w:rPr>
          <w:rFonts w:ascii="宋体" w:hAnsi="宋体" w:eastAsia="宋体" w:cs="宋体"/>
          <w:sz w:val="17"/>
          <w:szCs w:val="17"/>
        </w:rPr>
        <w:t xml:space="preserve">                                </w:t>
      </w:r>
      <w:r>
        <w:rPr>
          <w:rFonts w:ascii="宋体" w:hAnsi="宋体" w:eastAsia="宋体" w:cs="宋体"/>
          <w:spacing w:val="4"/>
          <w:sz w:val="17"/>
          <w:szCs w:val="17"/>
        </w:rPr>
        <w:t>30分</w:t>
      </w:r>
    </w:p>
    <w:p w14:paraId="02087AC6">
      <w:pPr>
        <w:spacing w:before="78" w:line="221" w:lineRule="auto"/>
        <w:ind w:left="420"/>
        <w:rPr>
          <w:rFonts w:ascii="宋体" w:hAnsi="宋体" w:eastAsia="宋体" w:cs="宋体"/>
          <w:sz w:val="17"/>
          <w:szCs w:val="17"/>
        </w:rPr>
      </w:pPr>
      <w:r>
        <w:rPr>
          <w:rFonts w:ascii="宋体" w:hAnsi="宋体" w:eastAsia="宋体" w:cs="宋体"/>
          <w:spacing w:val="6"/>
          <w:sz w:val="17"/>
          <w:szCs w:val="17"/>
        </w:rPr>
        <w:t xml:space="preserve">4.通电测试                         </w:t>
      </w:r>
      <w:r>
        <w:rPr>
          <w:rFonts w:ascii="宋体" w:hAnsi="宋体" w:eastAsia="宋体" w:cs="宋体"/>
          <w:spacing w:val="5"/>
          <w:sz w:val="17"/>
          <w:szCs w:val="17"/>
        </w:rPr>
        <w:t xml:space="preserve"> 70分</w:t>
      </w:r>
    </w:p>
    <w:p w14:paraId="364F863B">
      <w:pPr>
        <w:spacing w:before="87" w:line="231" w:lineRule="auto"/>
        <w:ind w:left="420"/>
        <w:rPr>
          <w:rFonts w:ascii="宋体" w:hAnsi="宋体" w:eastAsia="宋体" w:cs="宋体"/>
          <w:sz w:val="17"/>
          <w:szCs w:val="17"/>
        </w:rPr>
      </w:pPr>
      <w:r>
        <w:rPr>
          <w:rFonts w:ascii="宋体" w:hAnsi="宋体" w:eastAsia="宋体" w:cs="宋体"/>
          <w:spacing w:val="2"/>
          <w:sz w:val="17"/>
          <w:szCs w:val="17"/>
        </w:rPr>
        <w:t>5.时间无超时</w:t>
      </w:r>
      <w:r>
        <w:rPr>
          <w:rFonts w:ascii="宋体" w:hAnsi="宋体" w:eastAsia="宋体" w:cs="宋体"/>
          <w:sz w:val="17"/>
          <w:szCs w:val="17"/>
        </w:rPr>
        <w:t xml:space="preserve">                          </w:t>
      </w:r>
      <w:r>
        <w:rPr>
          <w:rFonts w:ascii="宋体" w:hAnsi="宋体" w:eastAsia="宋体" w:cs="宋体"/>
          <w:spacing w:val="2"/>
          <w:sz w:val="17"/>
          <w:szCs w:val="17"/>
        </w:rPr>
        <w:t>15分</w:t>
      </w:r>
    </w:p>
    <w:p w14:paraId="421B20AE">
      <w:pPr>
        <w:spacing w:before="76" w:line="231" w:lineRule="auto"/>
        <w:ind w:left="420"/>
        <w:rPr>
          <w:rFonts w:ascii="宋体" w:hAnsi="宋体" w:eastAsia="宋体" w:cs="宋体"/>
          <w:sz w:val="17"/>
          <w:szCs w:val="17"/>
        </w:rPr>
      </w:pPr>
      <w:r>
        <w:rPr>
          <w:rFonts w:ascii="宋体" w:hAnsi="宋体" w:eastAsia="宋体" w:cs="宋体"/>
          <w:spacing w:val="3"/>
          <w:sz w:val="17"/>
          <w:szCs w:val="17"/>
        </w:rPr>
        <w:t>6.仪表使用</w:t>
      </w:r>
      <w:r>
        <w:rPr>
          <w:rFonts w:ascii="宋体" w:hAnsi="宋体" w:eastAsia="宋体" w:cs="宋体"/>
          <w:sz w:val="17"/>
          <w:szCs w:val="17"/>
        </w:rPr>
        <w:t xml:space="preserve">                            </w:t>
      </w:r>
      <w:r>
        <w:rPr>
          <w:rFonts w:ascii="宋体" w:hAnsi="宋体" w:eastAsia="宋体" w:cs="宋体"/>
          <w:spacing w:val="3"/>
          <w:sz w:val="17"/>
          <w:szCs w:val="17"/>
        </w:rPr>
        <w:t>20分</w:t>
      </w:r>
    </w:p>
    <w:p w14:paraId="5AE22DD7">
      <w:pPr>
        <w:spacing w:before="78" w:line="231" w:lineRule="auto"/>
        <w:ind w:left="420"/>
        <w:rPr>
          <w:rFonts w:ascii="宋体" w:hAnsi="宋体" w:eastAsia="宋体" w:cs="宋体"/>
          <w:sz w:val="17"/>
          <w:szCs w:val="17"/>
        </w:rPr>
      </w:pPr>
      <w:r>
        <w:rPr>
          <w:rFonts w:ascii="宋体" w:hAnsi="宋体" w:eastAsia="宋体" w:cs="宋体"/>
          <w:spacing w:val="3"/>
          <w:sz w:val="17"/>
          <w:szCs w:val="17"/>
        </w:rPr>
        <w:t>7.根据职业素养评分要求，现场给分</w:t>
      </w:r>
      <w:r>
        <w:rPr>
          <w:rFonts w:ascii="宋体" w:hAnsi="宋体" w:eastAsia="宋体" w:cs="宋体"/>
          <w:spacing w:val="1"/>
          <w:sz w:val="17"/>
          <w:szCs w:val="17"/>
        </w:rPr>
        <w:t xml:space="preserve">      </w:t>
      </w:r>
      <w:r>
        <w:rPr>
          <w:rFonts w:ascii="宋体" w:hAnsi="宋体" w:eastAsia="宋体" w:cs="宋体"/>
          <w:spacing w:val="3"/>
          <w:sz w:val="17"/>
          <w:szCs w:val="17"/>
        </w:rPr>
        <w:t>25分</w:t>
      </w:r>
    </w:p>
    <w:p w14:paraId="49C1EAE9">
      <w:pPr>
        <w:spacing w:before="74" w:line="221" w:lineRule="auto"/>
        <w:ind w:left="63"/>
        <w:rPr>
          <w:rFonts w:ascii="黑体" w:hAnsi="黑体" w:eastAsia="黑体" w:cs="黑体"/>
          <w:sz w:val="23"/>
          <w:szCs w:val="23"/>
        </w:rPr>
      </w:pPr>
      <w:r>
        <w:rPr>
          <w:rFonts w:ascii="黑体" w:hAnsi="黑体" w:eastAsia="黑体" w:cs="黑体"/>
          <w:b/>
          <w:bCs/>
          <w:spacing w:val="-7"/>
          <w:sz w:val="23"/>
          <w:szCs w:val="23"/>
        </w:rPr>
        <w:t>四、操作规范及职业素养要求</w:t>
      </w:r>
    </w:p>
    <w:p w14:paraId="28EE5BDA">
      <w:pPr>
        <w:spacing w:before="98" w:line="219" w:lineRule="auto"/>
        <w:ind w:left="420"/>
        <w:rPr>
          <w:rFonts w:ascii="宋体" w:hAnsi="宋体" w:eastAsia="宋体" w:cs="宋体"/>
          <w:sz w:val="17"/>
          <w:szCs w:val="17"/>
        </w:rPr>
      </w:pPr>
      <w:r>
        <w:rPr>
          <w:rFonts w:ascii="宋体" w:hAnsi="宋体" w:eastAsia="宋体" w:cs="宋体"/>
          <w:spacing w:val="-3"/>
          <w:sz w:val="17"/>
          <w:szCs w:val="17"/>
        </w:rPr>
        <w:t>1.着装整洁，保持工作环境清洁有序，文明作业；</w:t>
      </w:r>
    </w:p>
    <w:p w14:paraId="24C7CADE">
      <w:pPr>
        <w:spacing w:before="79" w:line="219" w:lineRule="auto"/>
        <w:ind w:left="420"/>
        <w:rPr>
          <w:rFonts w:ascii="宋体" w:hAnsi="宋体" w:eastAsia="宋体" w:cs="宋体"/>
          <w:sz w:val="17"/>
          <w:szCs w:val="17"/>
        </w:rPr>
      </w:pPr>
      <w:r>
        <w:rPr>
          <w:rFonts w:ascii="宋体" w:hAnsi="宋体" w:eastAsia="宋体" w:cs="宋体"/>
          <w:spacing w:val="9"/>
          <w:sz w:val="17"/>
          <w:szCs w:val="17"/>
        </w:rPr>
        <w:t>2.严格执行作业流程和安全操作规程，爱护</w:t>
      </w:r>
      <w:r>
        <w:rPr>
          <w:rFonts w:ascii="宋体" w:hAnsi="宋体" w:eastAsia="宋体" w:cs="宋体"/>
          <w:spacing w:val="8"/>
          <w:sz w:val="17"/>
          <w:szCs w:val="17"/>
        </w:rPr>
        <w:t>仪器</w:t>
      </w:r>
    </w:p>
    <w:p w14:paraId="660146A1">
      <w:pPr>
        <w:pStyle w:val="2"/>
        <w:spacing w:line="14" w:lineRule="auto"/>
        <w:rPr>
          <w:sz w:val="2"/>
        </w:rPr>
      </w:pPr>
      <w:r>
        <w:rPr>
          <w:sz w:val="2"/>
          <w:szCs w:val="2"/>
        </w:rPr>
        <w:br w:type="column"/>
      </w:r>
    </w:p>
    <w:p w14:paraId="5DFB2908">
      <w:pPr>
        <w:spacing w:before="27" w:line="221" w:lineRule="auto"/>
        <w:rPr>
          <w:rFonts w:ascii="宋体" w:hAnsi="宋体" w:eastAsia="宋体" w:cs="宋体"/>
          <w:sz w:val="17"/>
          <w:szCs w:val="17"/>
        </w:rPr>
      </w:pPr>
      <w:r>
        <w:rPr>
          <w:rFonts w:ascii="宋体" w:hAnsi="宋体" w:eastAsia="宋体" w:cs="宋体"/>
          <w:spacing w:val="-6"/>
          <w:sz w:val="17"/>
          <w:szCs w:val="17"/>
        </w:rPr>
        <w:t>设备；</w:t>
      </w:r>
    </w:p>
    <w:p w14:paraId="1108512A">
      <w:pPr>
        <w:spacing w:before="85" w:line="219" w:lineRule="auto"/>
        <w:ind w:left="359"/>
        <w:rPr>
          <w:rFonts w:ascii="宋体" w:hAnsi="宋体" w:eastAsia="宋体" w:cs="宋体"/>
          <w:sz w:val="17"/>
          <w:szCs w:val="17"/>
        </w:rPr>
      </w:pPr>
      <w:r>
        <w:rPr>
          <w:rFonts w:ascii="宋体" w:hAnsi="宋体" w:eastAsia="宋体" w:cs="宋体"/>
          <w:spacing w:val="-2"/>
          <w:sz w:val="17"/>
          <w:szCs w:val="17"/>
        </w:rPr>
        <w:t>3.具有认真严谨、耐心细致的工作态度。</w:t>
      </w:r>
    </w:p>
    <w:p w14:paraId="285B189A">
      <w:pPr>
        <w:pStyle w:val="2"/>
        <w:spacing w:line="395" w:lineRule="auto"/>
      </w:pPr>
    </w:p>
    <w:p w14:paraId="32BB005A">
      <w:pPr>
        <w:spacing w:before="88" w:line="221" w:lineRule="auto"/>
        <w:ind w:left="163"/>
        <w:outlineLvl w:val="0"/>
        <w:rPr>
          <w:rFonts w:ascii="黑体" w:hAnsi="黑体" w:eastAsia="黑体" w:cs="黑体"/>
          <w:sz w:val="27"/>
          <w:szCs w:val="27"/>
        </w:rPr>
      </w:pPr>
      <w:bookmarkStart w:id="55" w:name="bookmark18"/>
      <w:bookmarkEnd w:id="55"/>
      <w:r>
        <w:rPr>
          <w:rFonts w:ascii="黑体" w:hAnsi="黑体" w:eastAsia="黑体" w:cs="黑体"/>
          <w:b/>
          <w:bCs/>
          <w:spacing w:val="3"/>
          <w:sz w:val="27"/>
          <w:szCs w:val="27"/>
        </w:rPr>
        <w:t>财经商贸大类专业技能测试纲要</w:t>
      </w:r>
    </w:p>
    <w:p w14:paraId="3CE7014E">
      <w:pPr>
        <w:pStyle w:val="2"/>
        <w:spacing w:line="399" w:lineRule="auto"/>
      </w:pPr>
    </w:p>
    <w:p w14:paraId="7AB3134D">
      <w:pPr>
        <w:spacing w:before="57" w:line="311" w:lineRule="auto"/>
        <w:ind w:firstLine="359"/>
        <w:jc w:val="both"/>
        <w:rPr>
          <w:rFonts w:ascii="宋体" w:hAnsi="宋体" w:eastAsia="宋体" w:cs="宋体"/>
          <w:sz w:val="17"/>
          <w:szCs w:val="17"/>
        </w:rPr>
      </w:pPr>
      <w:r>
        <w:rPr>
          <w:rFonts w:ascii="宋体" w:hAnsi="宋体" w:eastAsia="宋体" w:cs="宋体"/>
          <w:spacing w:val="1"/>
          <w:sz w:val="17"/>
          <w:szCs w:val="17"/>
        </w:rPr>
        <w:t xml:space="preserve">本测试纲要是依据《教育部中等职业学校各类专业  </w:t>
      </w:r>
      <w:r>
        <w:rPr>
          <w:rFonts w:ascii="宋体" w:hAnsi="宋体" w:eastAsia="宋体" w:cs="宋体"/>
          <w:spacing w:val="9"/>
          <w:sz w:val="17"/>
          <w:szCs w:val="17"/>
        </w:rPr>
        <w:t>教学标准(试行)》、《教育部中等职业学校重点建设</w:t>
      </w:r>
      <w:r>
        <w:rPr>
          <w:rFonts w:ascii="宋体" w:hAnsi="宋体" w:eastAsia="宋体" w:cs="宋体"/>
          <w:sz w:val="17"/>
          <w:szCs w:val="17"/>
        </w:rPr>
        <w:t xml:space="preserve">  </w:t>
      </w:r>
      <w:r>
        <w:rPr>
          <w:rFonts w:ascii="宋体" w:hAnsi="宋体" w:eastAsia="宋体" w:cs="宋体"/>
          <w:spacing w:val="6"/>
          <w:sz w:val="17"/>
          <w:szCs w:val="17"/>
        </w:rPr>
        <w:t>专业教学指导方案》、《职业教育专业目录(2021年)》</w:t>
      </w:r>
      <w:r>
        <w:rPr>
          <w:rFonts w:ascii="宋体" w:hAnsi="宋体" w:eastAsia="宋体" w:cs="宋体"/>
          <w:spacing w:val="1"/>
          <w:sz w:val="17"/>
          <w:szCs w:val="17"/>
        </w:rPr>
        <w:t xml:space="preserve"> </w:t>
      </w:r>
      <w:r>
        <w:rPr>
          <w:rFonts w:ascii="宋体" w:hAnsi="宋体" w:eastAsia="宋体" w:cs="宋体"/>
          <w:spacing w:val="12"/>
          <w:sz w:val="17"/>
          <w:szCs w:val="17"/>
        </w:rPr>
        <w:t>和《职业教育专业简介(2022年修订)》,同时结合中</w:t>
      </w:r>
      <w:r>
        <w:rPr>
          <w:rFonts w:ascii="宋体" w:hAnsi="宋体" w:eastAsia="宋体" w:cs="宋体"/>
          <w:sz w:val="17"/>
          <w:szCs w:val="17"/>
        </w:rPr>
        <w:t xml:space="preserve">  </w:t>
      </w:r>
      <w:r>
        <w:rPr>
          <w:rFonts w:ascii="宋体" w:hAnsi="宋体" w:eastAsia="宋体" w:cs="宋体"/>
          <w:spacing w:val="2"/>
          <w:sz w:val="17"/>
          <w:szCs w:val="17"/>
        </w:rPr>
        <w:t>职毕业生进入高等院校继续学习所应具备的专业基</w:t>
      </w:r>
      <w:r>
        <w:rPr>
          <w:rFonts w:ascii="宋体" w:hAnsi="宋体" w:eastAsia="宋体" w:cs="宋体"/>
          <w:spacing w:val="1"/>
          <w:sz w:val="17"/>
          <w:szCs w:val="17"/>
        </w:rPr>
        <w:t>础技</w:t>
      </w:r>
      <w:r>
        <w:rPr>
          <w:rFonts w:ascii="宋体" w:hAnsi="宋体" w:eastAsia="宋体" w:cs="宋体"/>
          <w:sz w:val="17"/>
          <w:szCs w:val="17"/>
        </w:rPr>
        <w:t xml:space="preserve">  </w:t>
      </w:r>
      <w:r>
        <w:rPr>
          <w:rFonts w:ascii="宋体" w:hAnsi="宋体" w:eastAsia="宋体" w:cs="宋体"/>
          <w:spacing w:val="-1"/>
          <w:sz w:val="17"/>
          <w:szCs w:val="17"/>
        </w:rPr>
        <w:t>能要求而制定。</w:t>
      </w:r>
    </w:p>
    <w:p w14:paraId="0D3E6AE9">
      <w:pPr>
        <w:spacing w:before="23" w:line="306" w:lineRule="auto"/>
        <w:ind w:right="114" w:firstLine="359"/>
        <w:jc w:val="both"/>
        <w:rPr>
          <w:rFonts w:ascii="宋体" w:hAnsi="宋体" w:eastAsia="宋体" w:cs="宋体"/>
          <w:sz w:val="17"/>
          <w:szCs w:val="17"/>
        </w:rPr>
      </w:pPr>
      <w:r>
        <w:rPr>
          <w:rFonts w:ascii="宋体" w:hAnsi="宋体" w:eastAsia="宋体" w:cs="宋体"/>
          <w:spacing w:val="5"/>
          <w:sz w:val="17"/>
          <w:szCs w:val="17"/>
        </w:rPr>
        <w:t>财经商贸类专业技能测试共7个项目，其中必考项</w:t>
      </w:r>
      <w:r>
        <w:rPr>
          <w:rFonts w:ascii="宋体" w:hAnsi="宋体" w:eastAsia="宋体" w:cs="宋体"/>
          <w:spacing w:val="4"/>
          <w:sz w:val="17"/>
          <w:szCs w:val="17"/>
        </w:rPr>
        <w:t xml:space="preserve"> </w:t>
      </w:r>
      <w:r>
        <w:rPr>
          <w:rFonts w:ascii="宋体" w:hAnsi="宋体" w:eastAsia="宋体" w:cs="宋体"/>
          <w:spacing w:val="12"/>
          <w:sz w:val="17"/>
          <w:szCs w:val="17"/>
        </w:rPr>
        <w:t>目1个，分值150分；选考项目6个，招生单位可以选</w:t>
      </w:r>
      <w:r>
        <w:rPr>
          <w:rFonts w:ascii="宋体" w:hAnsi="宋体" w:eastAsia="宋体" w:cs="宋体"/>
          <w:sz w:val="17"/>
          <w:szCs w:val="17"/>
        </w:rPr>
        <w:t xml:space="preserve"> </w:t>
      </w:r>
      <w:r>
        <w:rPr>
          <w:rFonts w:ascii="宋体" w:hAnsi="宋体" w:eastAsia="宋体" w:cs="宋体"/>
          <w:spacing w:val="4"/>
          <w:sz w:val="17"/>
          <w:szCs w:val="17"/>
        </w:rPr>
        <w:t>择其中一项组织测试，分值100分。</w:t>
      </w:r>
    </w:p>
    <w:p w14:paraId="082CB5F6">
      <w:pPr>
        <w:spacing w:before="21" w:line="221" w:lineRule="auto"/>
        <w:ind w:left="3"/>
        <w:rPr>
          <w:rFonts w:ascii="黑体" w:hAnsi="黑体" w:eastAsia="黑体" w:cs="黑体"/>
          <w:sz w:val="23"/>
          <w:szCs w:val="23"/>
        </w:rPr>
      </w:pPr>
      <w:r>
        <w:rPr>
          <w:rFonts w:ascii="黑体" w:hAnsi="黑体" w:eastAsia="黑体" w:cs="黑体"/>
          <w:b/>
          <w:bCs/>
          <w:spacing w:val="-6"/>
          <w:sz w:val="23"/>
          <w:szCs w:val="23"/>
        </w:rPr>
        <w:t>一、专业类别</w:t>
      </w:r>
    </w:p>
    <w:p w14:paraId="5D81468E">
      <w:pPr>
        <w:spacing w:before="89" w:line="312" w:lineRule="auto"/>
        <w:ind w:right="39" w:firstLine="359"/>
        <w:jc w:val="both"/>
        <w:rPr>
          <w:rFonts w:ascii="宋体" w:hAnsi="宋体" w:eastAsia="宋体" w:cs="宋体"/>
          <w:sz w:val="17"/>
          <w:szCs w:val="17"/>
        </w:rPr>
      </w:pPr>
      <w:r>
        <w:rPr>
          <w:rFonts w:ascii="宋体" w:hAnsi="宋体" w:eastAsia="宋体" w:cs="宋体"/>
          <w:spacing w:val="-3"/>
          <w:sz w:val="17"/>
          <w:szCs w:val="17"/>
        </w:rPr>
        <w:t>本大类包含财经商贸大类(73)会计事务、统计事务、</w:t>
      </w:r>
      <w:r>
        <w:rPr>
          <w:rFonts w:ascii="宋体" w:hAnsi="宋体" w:eastAsia="宋体" w:cs="宋体"/>
          <w:spacing w:val="9"/>
          <w:sz w:val="17"/>
          <w:szCs w:val="17"/>
        </w:rPr>
        <w:t xml:space="preserve"> </w:t>
      </w:r>
      <w:r>
        <w:rPr>
          <w:rFonts w:ascii="宋体" w:hAnsi="宋体" w:eastAsia="宋体" w:cs="宋体"/>
          <w:spacing w:val="-2"/>
          <w:sz w:val="17"/>
          <w:szCs w:val="17"/>
        </w:rPr>
        <w:t>市场营销、电子商务和金融事务、纳税事务等18个专业，</w:t>
      </w:r>
      <w:r>
        <w:rPr>
          <w:rFonts w:ascii="宋体" w:hAnsi="宋体" w:eastAsia="宋体" w:cs="宋体"/>
          <w:spacing w:val="5"/>
          <w:sz w:val="17"/>
          <w:szCs w:val="17"/>
        </w:rPr>
        <w:t xml:space="preserve"> </w:t>
      </w:r>
      <w:r>
        <w:rPr>
          <w:rFonts w:ascii="宋体" w:hAnsi="宋体" w:eastAsia="宋体" w:cs="宋体"/>
          <w:spacing w:val="8"/>
          <w:sz w:val="17"/>
          <w:szCs w:val="17"/>
        </w:rPr>
        <w:t xml:space="preserve">以及农林牧渔大类(61)的农资营销与服务专业、土木  </w:t>
      </w:r>
      <w:r>
        <w:rPr>
          <w:rFonts w:ascii="宋体" w:hAnsi="宋体" w:eastAsia="宋体" w:cs="宋体"/>
          <w:spacing w:val="10"/>
          <w:sz w:val="17"/>
          <w:szCs w:val="17"/>
        </w:rPr>
        <w:t>建筑大类(64)的房地产营销专业、交通运输大</w:t>
      </w:r>
      <w:r>
        <w:rPr>
          <w:rFonts w:ascii="宋体" w:hAnsi="宋体" w:eastAsia="宋体" w:cs="宋体"/>
          <w:spacing w:val="9"/>
          <w:sz w:val="17"/>
          <w:szCs w:val="17"/>
        </w:rPr>
        <w:t>类(70)</w:t>
      </w:r>
      <w:r>
        <w:rPr>
          <w:rFonts w:ascii="宋体" w:hAnsi="宋体" w:eastAsia="宋体" w:cs="宋体"/>
          <w:sz w:val="17"/>
          <w:szCs w:val="17"/>
        </w:rPr>
        <w:t xml:space="preserve"> </w:t>
      </w:r>
      <w:r>
        <w:rPr>
          <w:rFonts w:ascii="宋体" w:hAnsi="宋体" w:eastAsia="宋体" w:cs="宋体"/>
          <w:spacing w:val="-1"/>
          <w:sz w:val="17"/>
          <w:szCs w:val="17"/>
        </w:rPr>
        <w:t>的汽车服务与营销专业。</w:t>
      </w:r>
    </w:p>
    <w:p w14:paraId="0CFDBC6F">
      <w:pPr>
        <w:spacing w:before="13" w:line="219" w:lineRule="auto"/>
        <w:ind w:left="359"/>
        <w:rPr>
          <w:rFonts w:ascii="宋体" w:hAnsi="宋体" w:eastAsia="宋体" w:cs="宋体"/>
          <w:sz w:val="17"/>
          <w:szCs w:val="17"/>
        </w:rPr>
      </w:pPr>
      <w:r>
        <w:rPr>
          <w:rFonts w:ascii="宋体" w:hAnsi="宋体" w:eastAsia="宋体" w:cs="宋体"/>
          <w:spacing w:val="-3"/>
          <w:sz w:val="17"/>
          <w:szCs w:val="17"/>
        </w:rPr>
        <w:t>分为两大专业群：</w:t>
      </w:r>
    </w:p>
    <w:p w14:paraId="7F004DDA">
      <w:pPr>
        <w:spacing w:before="87" w:line="219" w:lineRule="auto"/>
        <w:ind w:left="359"/>
        <w:rPr>
          <w:rFonts w:ascii="宋体" w:hAnsi="宋体" w:eastAsia="宋体" w:cs="宋体"/>
          <w:sz w:val="17"/>
          <w:szCs w:val="17"/>
        </w:rPr>
      </w:pPr>
      <w:r>
        <w:rPr>
          <w:rFonts w:ascii="宋体" w:hAnsi="宋体" w:eastAsia="宋体" w:cs="宋体"/>
          <w:spacing w:val="-4"/>
          <w:sz w:val="17"/>
          <w:szCs w:val="17"/>
        </w:rPr>
        <w:t>1、财会金融专业群：</w:t>
      </w:r>
    </w:p>
    <w:p w14:paraId="3D6D6328">
      <w:pPr>
        <w:spacing w:before="88" w:line="313" w:lineRule="auto"/>
        <w:ind w:right="139" w:firstLine="359"/>
        <w:rPr>
          <w:rFonts w:ascii="宋体" w:hAnsi="宋体" w:eastAsia="宋体" w:cs="宋体"/>
          <w:sz w:val="17"/>
          <w:szCs w:val="17"/>
        </w:rPr>
      </w:pPr>
      <w:r>
        <w:rPr>
          <w:rFonts w:ascii="宋体" w:hAnsi="宋体" w:eastAsia="宋体" w:cs="宋体"/>
          <w:spacing w:val="6"/>
          <w:sz w:val="17"/>
          <w:szCs w:val="17"/>
        </w:rPr>
        <w:t>涵盖专业：730301会计事务、730401统计事务、</w:t>
      </w:r>
      <w:r>
        <w:rPr>
          <w:rFonts w:ascii="宋体" w:hAnsi="宋体" w:eastAsia="宋体" w:cs="宋体"/>
          <w:spacing w:val="11"/>
          <w:sz w:val="17"/>
          <w:szCs w:val="17"/>
        </w:rPr>
        <w:t xml:space="preserve"> </w:t>
      </w:r>
      <w:r>
        <w:rPr>
          <w:rFonts w:ascii="宋体" w:hAnsi="宋体" w:eastAsia="宋体" w:cs="宋体"/>
          <w:spacing w:val="2"/>
          <w:sz w:val="17"/>
          <w:szCs w:val="17"/>
        </w:rPr>
        <w:t>730201金融事务等相关专业。</w:t>
      </w:r>
    </w:p>
    <w:p w14:paraId="512CE749">
      <w:pPr>
        <w:spacing w:before="5" w:line="219" w:lineRule="auto"/>
        <w:ind w:left="359"/>
        <w:rPr>
          <w:rFonts w:ascii="宋体" w:hAnsi="宋体" w:eastAsia="宋体" w:cs="宋体"/>
          <w:sz w:val="17"/>
          <w:szCs w:val="17"/>
        </w:rPr>
      </w:pPr>
      <w:r>
        <w:rPr>
          <w:rFonts w:ascii="宋体" w:hAnsi="宋体" w:eastAsia="宋体" w:cs="宋体"/>
          <w:spacing w:val="-1"/>
          <w:sz w:val="17"/>
          <w:szCs w:val="17"/>
        </w:rPr>
        <w:t>2、经营管理专业群：</w:t>
      </w:r>
    </w:p>
    <w:p w14:paraId="7402B42B">
      <w:pPr>
        <w:spacing w:before="89" w:line="308" w:lineRule="auto"/>
        <w:ind w:right="96" w:firstLine="359"/>
        <w:rPr>
          <w:rFonts w:ascii="宋体" w:hAnsi="宋体" w:eastAsia="宋体" w:cs="宋体"/>
          <w:sz w:val="17"/>
          <w:szCs w:val="17"/>
        </w:rPr>
      </w:pPr>
      <w:r>
        <w:rPr>
          <w:rFonts w:ascii="宋体" w:hAnsi="宋体" w:eastAsia="宋体" w:cs="宋体"/>
          <w:spacing w:val="6"/>
          <w:sz w:val="17"/>
          <w:szCs w:val="17"/>
        </w:rPr>
        <w:t>涵盖专业：730602市场营销、730701电子商务、</w:t>
      </w:r>
      <w:r>
        <w:rPr>
          <w:rFonts w:ascii="宋体" w:hAnsi="宋体" w:eastAsia="宋体" w:cs="宋体"/>
          <w:spacing w:val="11"/>
          <w:sz w:val="17"/>
          <w:szCs w:val="17"/>
        </w:rPr>
        <w:t xml:space="preserve"> </w:t>
      </w:r>
      <w:r>
        <w:rPr>
          <w:rFonts w:ascii="宋体" w:hAnsi="宋体" w:eastAsia="宋体" w:cs="宋体"/>
          <w:spacing w:val="7"/>
          <w:sz w:val="17"/>
          <w:szCs w:val="17"/>
        </w:rPr>
        <w:t>730501国际商务、730601连锁经营与管理、730801物</w:t>
      </w:r>
      <w:r>
        <w:rPr>
          <w:rFonts w:ascii="宋体" w:hAnsi="宋体" w:eastAsia="宋体" w:cs="宋体"/>
          <w:spacing w:val="13"/>
          <w:sz w:val="17"/>
          <w:szCs w:val="17"/>
        </w:rPr>
        <w:t xml:space="preserve"> </w:t>
      </w:r>
      <w:r>
        <w:rPr>
          <w:rFonts w:ascii="宋体" w:hAnsi="宋体" w:eastAsia="宋体" w:cs="宋体"/>
          <w:spacing w:val="7"/>
          <w:sz w:val="17"/>
          <w:szCs w:val="17"/>
        </w:rPr>
        <w:t>流服务与管理、640701房地产营销、610119农资营销</w:t>
      </w:r>
      <w:r>
        <w:rPr>
          <w:rFonts w:ascii="宋体" w:hAnsi="宋体" w:eastAsia="宋体" w:cs="宋体"/>
          <w:spacing w:val="18"/>
          <w:sz w:val="17"/>
          <w:szCs w:val="17"/>
        </w:rPr>
        <w:t xml:space="preserve"> </w:t>
      </w:r>
      <w:r>
        <w:rPr>
          <w:rFonts w:ascii="宋体" w:hAnsi="宋体" w:eastAsia="宋体" w:cs="宋体"/>
          <w:sz w:val="17"/>
          <w:szCs w:val="17"/>
        </w:rPr>
        <w:t>与服务专业、700205汽车服务与营销等相关专业。</w:t>
      </w:r>
    </w:p>
    <w:p w14:paraId="1A131E40">
      <w:pPr>
        <w:spacing w:before="22" w:line="221" w:lineRule="auto"/>
        <w:ind w:left="3"/>
        <w:rPr>
          <w:rFonts w:ascii="黑体" w:hAnsi="黑体" w:eastAsia="黑体" w:cs="黑体"/>
          <w:sz w:val="23"/>
          <w:szCs w:val="23"/>
        </w:rPr>
      </w:pPr>
      <w:r>
        <w:rPr>
          <w:rFonts w:ascii="黑体" w:hAnsi="黑体" w:eastAsia="黑体" w:cs="黑体"/>
          <w:b/>
          <w:bCs/>
          <w:spacing w:val="-4"/>
          <w:sz w:val="23"/>
          <w:szCs w:val="23"/>
        </w:rPr>
        <w:t>二、测试要求</w:t>
      </w:r>
    </w:p>
    <w:p w14:paraId="35075015">
      <w:pPr>
        <w:spacing w:before="84" w:line="312" w:lineRule="auto"/>
        <w:ind w:right="26" w:firstLine="359"/>
        <w:rPr>
          <w:rFonts w:ascii="宋体" w:hAnsi="宋体" w:eastAsia="宋体" w:cs="宋体"/>
          <w:sz w:val="17"/>
          <w:szCs w:val="17"/>
        </w:rPr>
      </w:pPr>
      <w:r>
        <w:rPr>
          <w:rFonts w:ascii="宋体" w:hAnsi="宋体" w:eastAsia="宋体" w:cs="宋体"/>
          <w:spacing w:val="5"/>
          <w:sz w:val="17"/>
          <w:szCs w:val="17"/>
        </w:rPr>
        <w:t>本技能测试纲要所针对的对象是中职学校(包括普</w:t>
      </w:r>
      <w:r>
        <w:rPr>
          <w:rFonts w:ascii="宋体" w:hAnsi="宋体" w:eastAsia="宋体" w:cs="宋体"/>
          <w:sz w:val="17"/>
          <w:szCs w:val="17"/>
        </w:rPr>
        <w:t xml:space="preserve">  </w:t>
      </w:r>
      <w:r>
        <w:rPr>
          <w:rFonts w:ascii="宋体" w:hAnsi="宋体" w:eastAsia="宋体" w:cs="宋体"/>
          <w:spacing w:val="6"/>
          <w:sz w:val="17"/>
          <w:szCs w:val="17"/>
        </w:rPr>
        <w:t>通中专、职业高中、成人中专、中等技工学校)财经商</w:t>
      </w:r>
      <w:r>
        <w:rPr>
          <w:rFonts w:ascii="宋体" w:hAnsi="宋体" w:eastAsia="宋体" w:cs="宋体"/>
          <w:spacing w:val="5"/>
          <w:sz w:val="17"/>
          <w:szCs w:val="17"/>
        </w:rPr>
        <w:t xml:space="preserve">  贸大类各专业的应历届毕业生(具有中等职业学校学生</w:t>
      </w:r>
      <w:r>
        <w:rPr>
          <w:rFonts w:ascii="宋体" w:hAnsi="宋体" w:eastAsia="宋体" w:cs="宋体"/>
          <w:spacing w:val="6"/>
          <w:sz w:val="17"/>
          <w:szCs w:val="17"/>
        </w:rPr>
        <w:t xml:space="preserve">  </w:t>
      </w:r>
      <w:r>
        <w:rPr>
          <w:rFonts w:ascii="宋体" w:hAnsi="宋体" w:eastAsia="宋体" w:cs="宋体"/>
          <w:spacing w:val="9"/>
          <w:sz w:val="17"/>
          <w:szCs w:val="17"/>
        </w:rPr>
        <w:t>学籍或学历，不含普通高中举办的综合班),包括具有</w:t>
      </w:r>
      <w:r>
        <w:rPr>
          <w:rFonts w:ascii="宋体" w:hAnsi="宋体" w:eastAsia="宋体" w:cs="宋体"/>
          <w:sz w:val="17"/>
          <w:szCs w:val="17"/>
        </w:rPr>
        <w:t xml:space="preserve">  </w:t>
      </w:r>
      <w:r>
        <w:rPr>
          <w:rFonts w:ascii="宋体" w:hAnsi="宋体" w:eastAsia="宋体" w:cs="宋体"/>
          <w:spacing w:val="2"/>
          <w:sz w:val="17"/>
          <w:szCs w:val="17"/>
        </w:rPr>
        <w:t>中职学历的农民工、退役士兵、企事业单位</w:t>
      </w:r>
      <w:r>
        <w:rPr>
          <w:rFonts w:ascii="宋体" w:hAnsi="宋体" w:eastAsia="宋体" w:cs="宋体"/>
          <w:spacing w:val="1"/>
          <w:sz w:val="17"/>
          <w:szCs w:val="17"/>
        </w:rPr>
        <w:t>在职职工、</w:t>
      </w:r>
      <w:r>
        <w:rPr>
          <w:rFonts w:ascii="宋体" w:hAnsi="宋体" w:eastAsia="宋体" w:cs="宋体"/>
          <w:sz w:val="17"/>
          <w:szCs w:val="17"/>
        </w:rPr>
        <w:t xml:space="preserve">  </w:t>
      </w:r>
      <w:r>
        <w:rPr>
          <w:rFonts w:ascii="宋体" w:hAnsi="宋体" w:eastAsia="宋体" w:cs="宋体"/>
          <w:spacing w:val="-2"/>
          <w:sz w:val="17"/>
          <w:szCs w:val="17"/>
        </w:rPr>
        <w:t>失业人员等，培养的目标也是旨在应用型技术技能人才。</w:t>
      </w:r>
      <w:r>
        <w:rPr>
          <w:rFonts w:ascii="宋体" w:hAnsi="宋体" w:eastAsia="宋体" w:cs="宋体"/>
          <w:spacing w:val="17"/>
          <w:sz w:val="17"/>
          <w:szCs w:val="17"/>
        </w:rPr>
        <w:t xml:space="preserve"> </w:t>
      </w:r>
      <w:r>
        <w:rPr>
          <w:rFonts w:ascii="宋体" w:hAnsi="宋体" w:eastAsia="宋体" w:cs="宋体"/>
          <w:spacing w:val="3"/>
          <w:sz w:val="17"/>
          <w:szCs w:val="17"/>
        </w:rPr>
        <w:t>测试纲要突出应用型、典型性和实用性，与</w:t>
      </w:r>
      <w:r>
        <w:rPr>
          <w:rFonts w:ascii="宋体" w:hAnsi="宋体" w:eastAsia="宋体" w:cs="宋体"/>
          <w:spacing w:val="2"/>
          <w:sz w:val="17"/>
          <w:szCs w:val="17"/>
        </w:rPr>
        <w:t>财经商贸大</w:t>
      </w:r>
      <w:r>
        <w:rPr>
          <w:rFonts w:ascii="宋体" w:hAnsi="宋体" w:eastAsia="宋体" w:cs="宋体"/>
          <w:sz w:val="17"/>
          <w:szCs w:val="17"/>
        </w:rPr>
        <w:t xml:space="preserve">  </w:t>
      </w:r>
      <w:r>
        <w:rPr>
          <w:rFonts w:ascii="宋体" w:hAnsi="宋体" w:eastAsia="宋体" w:cs="宋体"/>
          <w:spacing w:val="-2"/>
          <w:sz w:val="17"/>
          <w:szCs w:val="17"/>
        </w:rPr>
        <w:t>类专业的实践相结合，考察学生对专业理论运用的能力。</w:t>
      </w:r>
    </w:p>
    <w:p w14:paraId="57EC4CA1">
      <w:pPr>
        <w:spacing w:before="26" w:line="282" w:lineRule="auto"/>
        <w:ind w:right="104" w:firstLine="359"/>
        <w:rPr>
          <w:rFonts w:ascii="宋体" w:hAnsi="宋体" w:eastAsia="宋体" w:cs="宋体"/>
          <w:sz w:val="17"/>
          <w:szCs w:val="17"/>
        </w:rPr>
      </w:pPr>
      <w:r>
        <w:rPr>
          <w:rFonts w:ascii="宋体" w:hAnsi="宋体" w:eastAsia="宋体" w:cs="宋体"/>
          <w:spacing w:val="4"/>
          <w:sz w:val="17"/>
          <w:szCs w:val="17"/>
        </w:rPr>
        <w:t>本测试安排两项内容，采取必考项+选考项方式，</w:t>
      </w:r>
      <w:r>
        <w:rPr>
          <w:rFonts w:ascii="宋体" w:hAnsi="宋体" w:eastAsia="宋体" w:cs="宋体"/>
          <w:spacing w:val="1"/>
          <w:sz w:val="17"/>
          <w:szCs w:val="17"/>
        </w:rPr>
        <w:t xml:space="preserve"> </w:t>
      </w:r>
      <w:r>
        <w:rPr>
          <w:rFonts w:ascii="宋体" w:hAnsi="宋体" w:eastAsia="宋体" w:cs="宋体"/>
          <w:spacing w:val="6"/>
          <w:sz w:val="17"/>
          <w:szCs w:val="17"/>
        </w:rPr>
        <w:t>其中必考项为项目一，满分150分；选考</w:t>
      </w:r>
      <w:r>
        <w:rPr>
          <w:rFonts w:ascii="宋体" w:hAnsi="宋体" w:eastAsia="宋体" w:cs="宋体"/>
          <w:spacing w:val="5"/>
          <w:sz w:val="17"/>
          <w:szCs w:val="17"/>
        </w:rPr>
        <w:t>项根据不同的</w:t>
      </w:r>
      <w:r>
        <w:rPr>
          <w:rFonts w:ascii="宋体" w:hAnsi="宋体" w:eastAsia="宋体" w:cs="宋体"/>
          <w:sz w:val="17"/>
          <w:szCs w:val="17"/>
        </w:rPr>
        <w:t xml:space="preserve"> </w:t>
      </w:r>
      <w:r>
        <w:rPr>
          <w:rFonts w:ascii="宋体" w:hAnsi="宋体" w:eastAsia="宋体" w:cs="宋体"/>
          <w:spacing w:val="2"/>
          <w:sz w:val="17"/>
          <w:szCs w:val="17"/>
        </w:rPr>
        <w:t>专业群由招生高等院校结合各校实际情况从相应的</w:t>
      </w:r>
      <w:r>
        <w:rPr>
          <w:rFonts w:ascii="宋体" w:hAnsi="宋体" w:eastAsia="宋体" w:cs="宋体"/>
          <w:spacing w:val="1"/>
          <w:sz w:val="17"/>
          <w:szCs w:val="17"/>
        </w:rPr>
        <w:t>几个</w:t>
      </w:r>
      <w:r>
        <w:rPr>
          <w:rFonts w:ascii="宋体" w:hAnsi="宋体" w:eastAsia="宋体" w:cs="宋体"/>
          <w:sz w:val="17"/>
          <w:szCs w:val="17"/>
        </w:rPr>
        <w:t xml:space="preserve"> </w:t>
      </w:r>
      <w:r>
        <w:rPr>
          <w:rFonts w:ascii="宋体" w:hAnsi="宋体" w:eastAsia="宋体" w:cs="宋体"/>
          <w:spacing w:val="-1"/>
          <w:sz w:val="17"/>
          <w:szCs w:val="17"/>
        </w:rPr>
        <w:t>项目中任选一个项目要求考生完成测试。</w:t>
      </w:r>
    </w:p>
    <w:p w14:paraId="069DC188">
      <w:pPr>
        <w:spacing w:line="282" w:lineRule="auto"/>
        <w:rPr>
          <w:rFonts w:ascii="宋体" w:hAnsi="宋体" w:eastAsia="宋体" w:cs="宋体"/>
          <w:sz w:val="17"/>
          <w:szCs w:val="17"/>
        </w:rPr>
        <w:sectPr>
          <w:type w:val="continuous"/>
          <w:pgSz w:w="10660" w:h="15080"/>
          <w:pgMar w:top="400" w:right="955" w:bottom="898" w:left="809" w:header="0" w:footer="745" w:gutter="0"/>
          <w:cols w:equalWidth="0" w:num="2">
            <w:col w:w="4551" w:space="100"/>
            <w:col w:w="4245"/>
          </w:cols>
        </w:sectPr>
      </w:pPr>
    </w:p>
    <w:p w14:paraId="0B0E6C1B">
      <w:pPr>
        <w:spacing w:before="1"/>
      </w:pPr>
    </w:p>
    <w:p w14:paraId="2B7B6BE7">
      <w:pPr>
        <w:spacing w:before="1"/>
      </w:pPr>
    </w:p>
    <w:p w14:paraId="0341AABF">
      <w:pPr>
        <w:spacing w:before="1"/>
      </w:pPr>
    </w:p>
    <w:p w14:paraId="374B7A78">
      <w:pPr>
        <w:spacing w:before="1"/>
      </w:pPr>
    </w:p>
    <w:p w14:paraId="56033A6E">
      <w:pPr>
        <w:sectPr>
          <w:footerReference r:id="rId111" w:type="default"/>
          <w:pgSz w:w="10660" w:h="15080"/>
          <w:pgMar w:top="400" w:right="867" w:bottom="898" w:left="1019" w:header="0" w:footer="745" w:gutter="0"/>
          <w:cols w:equalWidth="0" w:num="1">
            <w:col w:w="8773"/>
          </w:cols>
        </w:sectPr>
      </w:pPr>
    </w:p>
    <w:p w14:paraId="51733F59">
      <w:pPr>
        <w:spacing w:before="45" w:line="219" w:lineRule="auto"/>
        <w:ind w:left="440"/>
        <w:rPr>
          <w:rFonts w:ascii="宋体" w:hAnsi="宋体" w:eastAsia="宋体" w:cs="宋体"/>
          <w:sz w:val="17"/>
          <w:szCs w:val="17"/>
        </w:rPr>
      </w:pPr>
      <w:r>
        <w:rPr>
          <w:rFonts w:ascii="宋体" w:hAnsi="宋体" w:eastAsia="宋体" w:cs="宋体"/>
          <w:spacing w:val="6"/>
          <w:sz w:val="17"/>
          <w:szCs w:val="17"/>
        </w:rPr>
        <w:t>(一)财会金融专业群测试要求</w:t>
      </w:r>
    </w:p>
    <w:p w14:paraId="5A3A652A">
      <w:pPr>
        <w:spacing w:before="75" w:line="306" w:lineRule="auto"/>
        <w:ind w:right="352" w:firstLine="390"/>
        <w:rPr>
          <w:rFonts w:ascii="宋体" w:hAnsi="宋体" w:eastAsia="宋体" w:cs="宋体"/>
          <w:sz w:val="17"/>
          <w:szCs w:val="17"/>
        </w:rPr>
      </w:pPr>
      <w:r>
        <w:rPr>
          <w:rFonts w:ascii="宋体" w:hAnsi="宋体" w:eastAsia="宋体" w:cs="宋体"/>
          <w:spacing w:val="11"/>
          <w:sz w:val="17"/>
          <w:szCs w:val="17"/>
        </w:rPr>
        <w:t>1.必考项：项目一(会计凭证的填制与审核),满</w:t>
      </w:r>
      <w:r>
        <w:rPr>
          <w:rFonts w:ascii="宋体" w:hAnsi="宋体" w:eastAsia="宋体" w:cs="宋体"/>
          <w:spacing w:val="8"/>
          <w:sz w:val="17"/>
          <w:szCs w:val="17"/>
        </w:rPr>
        <w:t xml:space="preserve"> </w:t>
      </w:r>
      <w:r>
        <w:rPr>
          <w:rFonts w:ascii="宋体" w:hAnsi="宋体" w:eastAsia="宋体" w:cs="宋体"/>
          <w:spacing w:val="11"/>
          <w:sz w:val="17"/>
          <w:szCs w:val="17"/>
        </w:rPr>
        <w:t>分150分；</w:t>
      </w:r>
    </w:p>
    <w:p w14:paraId="08EF293D">
      <w:pPr>
        <w:spacing w:before="19" w:line="304" w:lineRule="auto"/>
        <w:ind w:right="274" w:firstLine="380"/>
        <w:jc w:val="both"/>
        <w:rPr>
          <w:rFonts w:ascii="宋体" w:hAnsi="宋体" w:eastAsia="宋体" w:cs="宋体"/>
          <w:sz w:val="17"/>
          <w:szCs w:val="17"/>
        </w:rPr>
      </w:pPr>
      <w:r>
        <w:rPr>
          <w:rFonts w:ascii="宋体" w:hAnsi="宋体" w:eastAsia="宋体" w:cs="宋体"/>
          <w:spacing w:val="4"/>
          <w:sz w:val="17"/>
          <w:szCs w:val="17"/>
        </w:rPr>
        <w:t>2.选考项：从项目二(账簿的开设、登记和结账</w:t>
      </w:r>
      <w:r>
        <w:rPr>
          <w:rFonts w:ascii="宋体" w:hAnsi="宋体" w:eastAsia="宋体" w:cs="宋体"/>
          <w:spacing w:val="3"/>
          <w:sz w:val="17"/>
          <w:szCs w:val="17"/>
        </w:rPr>
        <w:t>)、</w:t>
      </w:r>
      <w:r>
        <w:rPr>
          <w:rFonts w:ascii="宋体" w:hAnsi="宋体" w:eastAsia="宋体" w:cs="宋体"/>
          <w:sz w:val="17"/>
          <w:szCs w:val="17"/>
        </w:rPr>
        <w:t xml:space="preserve"> </w:t>
      </w:r>
      <w:r>
        <w:rPr>
          <w:rFonts w:ascii="宋体" w:hAnsi="宋体" w:eastAsia="宋体" w:cs="宋体"/>
          <w:spacing w:val="13"/>
          <w:sz w:val="17"/>
          <w:szCs w:val="17"/>
        </w:rPr>
        <w:t>项目三(资产负债表、利润表的编制)、项目四(会计</w:t>
      </w:r>
      <w:r>
        <w:rPr>
          <w:rFonts w:ascii="宋体" w:hAnsi="宋体" w:eastAsia="宋体" w:cs="宋体"/>
          <w:sz w:val="17"/>
          <w:szCs w:val="17"/>
        </w:rPr>
        <w:t xml:space="preserve">  </w:t>
      </w:r>
      <w:r>
        <w:rPr>
          <w:rFonts w:ascii="宋体" w:hAnsi="宋体" w:eastAsia="宋体" w:cs="宋体"/>
          <w:spacing w:val="7"/>
          <w:sz w:val="17"/>
          <w:szCs w:val="17"/>
        </w:rPr>
        <w:t>电算化软件操作),三个项目中任选一项，满分100分。</w:t>
      </w:r>
    </w:p>
    <w:p w14:paraId="06CC17BE">
      <w:pPr>
        <w:spacing w:before="31" w:line="184" w:lineRule="auto"/>
        <w:ind w:left="440"/>
        <w:rPr>
          <w:rFonts w:ascii="宋体" w:hAnsi="宋体" w:eastAsia="宋体" w:cs="宋体"/>
          <w:sz w:val="17"/>
          <w:szCs w:val="17"/>
        </w:rPr>
      </w:pPr>
      <w:r>
        <w:rPr>
          <w:rFonts w:ascii="宋体" w:hAnsi="宋体" w:eastAsia="宋体" w:cs="宋体"/>
          <w:spacing w:val="6"/>
          <w:sz w:val="17"/>
          <w:szCs w:val="17"/>
        </w:rPr>
        <w:t>(二)经营管理专业群测试要求</w:t>
      </w:r>
    </w:p>
    <w:p w14:paraId="6AACBF0A">
      <w:pPr>
        <w:pStyle w:val="2"/>
        <w:spacing w:line="14" w:lineRule="auto"/>
        <w:rPr>
          <w:sz w:val="2"/>
        </w:rPr>
      </w:pPr>
      <w:r>
        <w:rPr>
          <w:sz w:val="2"/>
          <w:szCs w:val="2"/>
        </w:rPr>
        <w:br w:type="column"/>
      </w:r>
    </w:p>
    <w:p w14:paraId="40A8F6C8">
      <w:pPr>
        <w:spacing w:before="31" w:line="306" w:lineRule="auto"/>
        <w:ind w:right="44" w:firstLine="379"/>
        <w:rPr>
          <w:rFonts w:ascii="宋体" w:hAnsi="宋体" w:eastAsia="宋体" w:cs="宋体"/>
          <w:sz w:val="17"/>
          <w:szCs w:val="17"/>
        </w:rPr>
      </w:pPr>
      <w:r>
        <w:rPr>
          <w:rFonts w:ascii="宋体" w:hAnsi="宋体" w:eastAsia="宋体" w:cs="宋体"/>
          <w:spacing w:val="12"/>
          <w:sz w:val="17"/>
          <w:szCs w:val="17"/>
        </w:rPr>
        <w:t>1.必考项：项目一(会计凭证的填制与审</w:t>
      </w:r>
      <w:r>
        <w:rPr>
          <w:rFonts w:ascii="宋体" w:hAnsi="宋体" w:eastAsia="宋体" w:cs="宋体"/>
          <w:spacing w:val="11"/>
          <w:sz w:val="17"/>
          <w:szCs w:val="17"/>
        </w:rPr>
        <w:t>核),满</w:t>
      </w:r>
      <w:r>
        <w:rPr>
          <w:rFonts w:ascii="宋体" w:hAnsi="宋体" w:eastAsia="宋体" w:cs="宋体"/>
          <w:sz w:val="17"/>
          <w:szCs w:val="17"/>
        </w:rPr>
        <w:t xml:space="preserve"> </w:t>
      </w:r>
      <w:r>
        <w:rPr>
          <w:rFonts w:ascii="宋体" w:hAnsi="宋体" w:eastAsia="宋体" w:cs="宋体"/>
          <w:spacing w:val="11"/>
          <w:sz w:val="17"/>
          <w:szCs w:val="17"/>
        </w:rPr>
        <w:t>分150分；</w:t>
      </w:r>
    </w:p>
    <w:p w14:paraId="51FFAE21">
      <w:pPr>
        <w:spacing w:before="20" w:line="306" w:lineRule="auto"/>
        <w:ind w:firstLine="379"/>
        <w:jc w:val="both"/>
        <w:rPr>
          <w:rFonts w:ascii="宋体" w:hAnsi="宋体" w:eastAsia="宋体" w:cs="宋体"/>
          <w:sz w:val="17"/>
          <w:szCs w:val="17"/>
        </w:rPr>
      </w:pPr>
      <w:r>
        <w:rPr>
          <w:rFonts w:ascii="宋体" w:hAnsi="宋体" w:eastAsia="宋体" w:cs="宋体"/>
          <w:spacing w:val="9"/>
          <w:sz w:val="17"/>
          <w:szCs w:val="17"/>
        </w:rPr>
        <w:t>2.选考项：从项目五(营销策划方案设计)、项目</w:t>
      </w:r>
      <w:r>
        <w:rPr>
          <w:rFonts w:ascii="宋体" w:hAnsi="宋体" w:eastAsia="宋体" w:cs="宋体"/>
          <w:spacing w:val="4"/>
          <w:sz w:val="17"/>
          <w:szCs w:val="17"/>
        </w:rPr>
        <w:t xml:space="preserve"> </w:t>
      </w:r>
      <w:r>
        <w:rPr>
          <w:rFonts w:ascii="宋体" w:hAnsi="宋体" w:eastAsia="宋体" w:cs="宋体"/>
          <w:spacing w:val="14"/>
          <w:sz w:val="17"/>
          <w:szCs w:val="17"/>
        </w:rPr>
        <w:t>六(物流单证的填写)、项目七(电子商务广告设计),</w:t>
      </w:r>
      <w:r>
        <w:rPr>
          <w:rFonts w:ascii="宋体" w:hAnsi="宋体" w:eastAsia="宋体" w:cs="宋体"/>
          <w:spacing w:val="6"/>
          <w:sz w:val="17"/>
          <w:szCs w:val="17"/>
        </w:rPr>
        <w:t xml:space="preserve"> </w:t>
      </w:r>
      <w:r>
        <w:rPr>
          <w:rFonts w:ascii="宋体" w:hAnsi="宋体" w:eastAsia="宋体" w:cs="宋体"/>
          <w:spacing w:val="2"/>
          <w:sz w:val="17"/>
          <w:szCs w:val="17"/>
        </w:rPr>
        <w:t>三个项目中任选一项，满分100分。</w:t>
      </w:r>
    </w:p>
    <w:p w14:paraId="4AD8EA7C">
      <w:pPr>
        <w:spacing w:before="24" w:line="219" w:lineRule="auto"/>
        <w:ind w:left="3"/>
        <w:rPr>
          <w:rFonts w:ascii="宋体" w:hAnsi="宋体" w:eastAsia="宋体" w:cs="宋体"/>
          <w:sz w:val="23"/>
          <w:szCs w:val="23"/>
        </w:rPr>
      </w:pPr>
      <w:r>
        <w:rPr>
          <w:rFonts w:ascii="宋体" w:hAnsi="宋体" w:eastAsia="宋体" w:cs="宋体"/>
          <w:b/>
          <w:bCs/>
          <w:spacing w:val="-3"/>
          <w:sz w:val="23"/>
          <w:szCs w:val="23"/>
        </w:rPr>
        <w:t>三、财经商贸类专业技能测试项目</w:t>
      </w:r>
    </w:p>
    <w:p w14:paraId="169A8A78">
      <w:pPr>
        <w:spacing w:line="219" w:lineRule="auto"/>
        <w:rPr>
          <w:rFonts w:ascii="宋体" w:hAnsi="宋体" w:eastAsia="宋体" w:cs="宋体"/>
          <w:sz w:val="23"/>
          <w:szCs w:val="23"/>
        </w:rPr>
        <w:sectPr>
          <w:type w:val="continuous"/>
          <w:pgSz w:w="10660" w:h="15080"/>
          <w:pgMar w:top="400" w:right="867" w:bottom="898" w:left="1019" w:header="0" w:footer="745" w:gutter="0"/>
          <w:cols w:equalWidth="0" w:num="2">
            <w:col w:w="4491" w:space="100"/>
            <w:col w:w="4183"/>
          </w:cols>
        </w:sectPr>
      </w:pPr>
    </w:p>
    <w:p w14:paraId="1181BB39">
      <w:pPr>
        <w:spacing w:line="218" w:lineRule="exact"/>
      </w:pPr>
    </w:p>
    <w:tbl>
      <w:tblPr>
        <w:tblStyle w:val="5"/>
        <w:tblW w:w="8710" w:type="dxa"/>
        <w:tblInd w:w="1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94"/>
        <w:gridCol w:w="1159"/>
        <w:gridCol w:w="989"/>
        <w:gridCol w:w="1188"/>
        <w:gridCol w:w="1948"/>
        <w:gridCol w:w="2632"/>
      </w:tblGrid>
      <w:tr w14:paraId="226D2E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0" w:hRule="atLeast"/>
        </w:trPr>
        <w:tc>
          <w:tcPr>
            <w:tcW w:w="794" w:type="dxa"/>
            <w:tcBorders>
              <w:top w:val="single" w:color="000000" w:sz="2" w:space="0"/>
              <w:bottom w:val="single" w:color="000000" w:sz="2" w:space="0"/>
            </w:tcBorders>
            <w:vAlign w:val="top"/>
          </w:tcPr>
          <w:p w14:paraId="166F96B7">
            <w:pPr>
              <w:pStyle w:val="6"/>
              <w:spacing w:before="95" w:line="220" w:lineRule="auto"/>
              <w:ind w:left="27"/>
              <w:rPr>
                <w:sz w:val="18"/>
                <w:szCs w:val="18"/>
              </w:rPr>
            </w:pPr>
            <w:r>
              <w:rPr>
                <w:b/>
                <w:bCs/>
                <w:spacing w:val="5"/>
                <w:sz w:val="18"/>
                <w:szCs w:val="18"/>
              </w:rPr>
              <w:t>测试项目</w:t>
            </w:r>
          </w:p>
        </w:tc>
        <w:tc>
          <w:tcPr>
            <w:tcW w:w="1159" w:type="dxa"/>
            <w:tcBorders>
              <w:top w:val="single" w:color="000000" w:sz="2" w:space="0"/>
              <w:bottom w:val="single" w:color="000000" w:sz="2" w:space="0"/>
            </w:tcBorders>
            <w:vAlign w:val="top"/>
          </w:tcPr>
          <w:p w14:paraId="2AE41207">
            <w:pPr>
              <w:pStyle w:val="6"/>
              <w:spacing w:before="95" w:line="221" w:lineRule="auto"/>
              <w:ind w:left="253"/>
              <w:rPr>
                <w:sz w:val="18"/>
                <w:szCs w:val="18"/>
              </w:rPr>
            </w:pPr>
            <w:r>
              <w:rPr>
                <w:b/>
                <w:bCs/>
                <w:spacing w:val="-4"/>
                <w:sz w:val="18"/>
                <w:szCs w:val="18"/>
              </w:rPr>
              <w:t>测试用具</w:t>
            </w:r>
          </w:p>
        </w:tc>
        <w:tc>
          <w:tcPr>
            <w:tcW w:w="989" w:type="dxa"/>
            <w:tcBorders>
              <w:top w:val="single" w:color="000000" w:sz="2" w:space="0"/>
              <w:bottom w:val="single" w:color="000000" w:sz="2" w:space="0"/>
            </w:tcBorders>
            <w:vAlign w:val="top"/>
          </w:tcPr>
          <w:p w14:paraId="5EBF42BF">
            <w:pPr>
              <w:pStyle w:val="6"/>
              <w:spacing w:before="94" w:line="219" w:lineRule="auto"/>
              <w:ind w:left="124"/>
              <w:rPr>
                <w:sz w:val="18"/>
                <w:szCs w:val="18"/>
              </w:rPr>
            </w:pPr>
            <w:r>
              <w:rPr>
                <w:b/>
                <w:bCs/>
                <w:spacing w:val="-4"/>
                <w:sz w:val="18"/>
                <w:szCs w:val="18"/>
              </w:rPr>
              <w:t>测试内容</w:t>
            </w:r>
          </w:p>
        </w:tc>
        <w:tc>
          <w:tcPr>
            <w:tcW w:w="1188" w:type="dxa"/>
            <w:tcBorders>
              <w:top w:val="single" w:color="000000" w:sz="2" w:space="0"/>
              <w:bottom w:val="single" w:color="000000" w:sz="2" w:space="0"/>
            </w:tcBorders>
            <w:vAlign w:val="top"/>
          </w:tcPr>
          <w:p w14:paraId="0083AC6A">
            <w:pPr>
              <w:pStyle w:val="6"/>
              <w:spacing w:before="95" w:line="221" w:lineRule="auto"/>
              <w:ind w:left="225"/>
              <w:rPr>
                <w:sz w:val="18"/>
                <w:szCs w:val="18"/>
              </w:rPr>
            </w:pPr>
            <w:r>
              <w:rPr>
                <w:b/>
                <w:bCs/>
                <w:spacing w:val="-4"/>
                <w:sz w:val="18"/>
                <w:szCs w:val="18"/>
              </w:rPr>
              <w:t>测试方法</w:t>
            </w:r>
          </w:p>
        </w:tc>
        <w:tc>
          <w:tcPr>
            <w:tcW w:w="1948" w:type="dxa"/>
            <w:tcBorders>
              <w:top w:val="single" w:color="000000" w:sz="2" w:space="0"/>
              <w:bottom w:val="single" w:color="000000" w:sz="2" w:space="0"/>
            </w:tcBorders>
            <w:vAlign w:val="top"/>
          </w:tcPr>
          <w:p w14:paraId="587B76A2">
            <w:pPr>
              <w:pStyle w:val="6"/>
              <w:spacing w:before="95" w:line="221" w:lineRule="auto"/>
              <w:ind w:left="607"/>
              <w:rPr>
                <w:sz w:val="18"/>
                <w:szCs w:val="18"/>
              </w:rPr>
            </w:pPr>
            <w:r>
              <w:rPr>
                <w:b/>
                <w:bCs/>
                <w:spacing w:val="-4"/>
                <w:sz w:val="18"/>
                <w:szCs w:val="18"/>
              </w:rPr>
              <w:t>测试要求</w:t>
            </w:r>
          </w:p>
        </w:tc>
        <w:tc>
          <w:tcPr>
            <w:tcW w:w="2632" w:type="dxa"/>
            <w:tcBorders>
              <w:top w:val="single" w:color="000000" w:sz="2" w:space="0"/>
              <w:bottom w:val="single" w:color="000000" w:sz="2" w:space="0"/>
            </w:tcBorders>
            <w:vAlign w:val="top"/>
          </w:tcPr>
          <w:p w14:paraId="73C43F01">
            <w:pPr>
              <w:pStyle w:val="6"/>
              <w:spacing w:before="94" w:line="219" w:lineRule="auto"/>
              <w:ind w:left="979"/>
              <w:rPr>
                <w:sz w:val="18"/>
                <w:szCs w:val="18"/>
              </w:rPr>
            </w:pPr>
            <w:r>
              <w:rPr>
                <w:b/>
                <w:bCs/>
                <w:spacing w:val="-4"/>
                <w:sz w:val="18"/>
                <w:szCs w:val="18"/>
              </w:rPr>
              <w:t>赋分参考</w:t>
            </w:r>
          </w:p>
        </w:tc>
      </w:tr>
      <w:tr w14:paraId="25D450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54" w:hRule="atLeast"/>
        </w:trPr>
        <w:tc>
          <w:tcPr>
            <w:tcW w:w="794" w:type="dxa"/>
            <w:tcBorders>
              <w:top w:val="single" w:color="000000" w:sz="2" w:space="0"/>
              <w:bottom w:val="single" w:color="000000" w:sz="2" w:space="0"/>
            </w:tcBorders>
            <w:vAlign w:val="top"/>
          </w:tcPr>
          <w:p w14:paraId="16406F93">
            <w:pPr>
              <w:pStyle w:val="6"/>
              <w:spacing w:before="273" w:line="224" w:lineRule="auto"/>
              <w:ind w:left="15" w:firstLine="59"/>
              <w:jc w:val="both"/>
              <w:rPr>
                <w:sz w:val="18"/>
                <w:szCs w:val="18"/>
              </w:rPr>
            </w:pPr>
            <w:r>
              <w:rPr>
                <w:spacing w:val="-3"/>
                <w:sz w:val="18"/>
                <w:szCs w:val="18"/>
              </w:rPr>
              <w:t>项目一：</w:t>
            </w:r>
            <w:r>
              <w:rPr>
                <w:sz w:val="18"/>
                <w:szCs w:val="18"/>
              </w:rPr>
              <w:t xml:space="preserve"> </w:t>
            </w:r>
            <w:r>
              <w:rPr>
                <w:spacing w:val="-2"/>
                <w:sz w:val="18"/>
                <w:szCs w:val="18"/>
              </w:rPr>
              <w:t>会计凭证</w:t>
            </w:r>
            <w:r>
              <w:rPr>
                <w:sz w:val="18"/>
                <w:szCs w:val="18"/>
              </w:rPr>
              <w:t xml:space="preserve"> </w:t>
            </w:r>
            <w:r>
              <w:rPr>
                <w:spacing w:val="3"/>
                <w:sz w:val="18"/>
                <w:szCs w:val="18"/>
              </w:rPr>
              <w:t>的填制与</w:t>
            </w:r>
            <w:r>
              <w:rPr>
                <w:spacing w:val="1"/>
                <w:sz w:val="18"/>
                <w:szCs w:val="18"/>
              </w:rPr>
              <w:t xml:space="preserve"> </w:t>
            </w:r>
            <w:r>
              <w:rPr>
                <w:spacing w:val="2"/>
                <w:sz w:val="18"/>
                <w:szCs w:val="18"/>
              </w:rPr>
              <w:t>审核</w:t>
            </w:r>
          </w:p>
        </w:tc>
        <w:tc>
          <w:tcPr>
            <w:tcW w:w="1159" w:type="dxa"/>
            <w:tcBorders>
              <w:top w:val="single" w:color="000000" w:sz="2" w:space="0"/>
              <w:bottom w:val="single" w:color="000000" w:sz="2" w:space="0"/>
            </w:tcBorders>
            <w:vAlign w:val="top"/>
          </w:tcPr>
          <w:p w14:paraId="7647A25C">
            <w:pPr>
              <w:spacing w:line="419" w:lineRule="auto"/>
              <w:rPr>
                <w:rFonts w:ascii="Arial"/>
                <w:sz w:val="21"/>
              </w:rPr>
            </w:pPr>
          </w:p>
          <w:p w14:paraId="27A95B69">
            <w:pPr>
              <w:pStyle w:val="6"/>
              <w:spacing w:before="59" w:line="238" w:lineRule="auto"/>
              <w:ind w:left="11" w:right="58"/>
              <w:jc w:val="both"/>
              <w:rPr>
                <w:sz w:val="18"/>
                <w:szCs w:val="18"/>
              </w:rPr>
            </w:pPr>
            <w:r>
              <w:rPr>
                <w:spacing w:val="-2"/>
                <w:sz w:val="18"/>
                <w:szCs w:val="18"/>
              </w:rPr>
              <w:t>使用模拟原始</w:t>
            </w:r>
            <w:r>
              <w:rPr>
                <w:spacing w:val="3"/>
                <w:sz w:val="18"/>
                <w:szCs w:val="18"/>
              </w:rPr>
              <w:t xml:space="preserve"> </w:t>
            </w:r>
            <w:r>
              <w:rPr>
                <w:spacing w:val="-1"/>
                <w:sz w:val="18"/>
                <w:szCs w:val="18"/>
              </w:rPr>
              <w:t>凭证，记账凭</w:t>
            </w:r>
            <w:r>
              <w:rPr>
                <w:spacing w:val="4"/>
                <w:sz w:val="18"/>
                <w:szCs w:val="18"/>
              </w:rPr>
              <w:t xml:space="preserve"> </w:t>
            </w:r>
            <w:r>
              <w:rPr>
                <w:sz w:val="18"/>
                <w:szCs w:val="18"/>
              </w:rPr>
              <w:t>证。</w:t>
            </w:r>
          </w:p>
        </w:tc>
        <w:tc>
          <w:tcPr>
            <w:tcW w:w="989" w:type="dxa"/>
            <w:tcBorders>
              <w:top w:val="single" w:color="000000" w:sz="2" w:space="0"/>
              <w:bottom w:val="single" w:color="000000" w:sz="2" w:space="0"/>
            </w:tcBorders>
            <w:vAlign w:val="top"/>
          </w:tcPr>
          <w:p w14:paraId="627C37AA">
            <w:pPr>
              <w:pStyle w:val="6"/>
              <w:spacing w:before="270" w:line="223" w:lineRule="auto"/>
              <w:ind w:left="12" w:right="11" w:firstLine="19"/>
              <w:jc w:val="both"/>
              <w:rPr>
                <w:sz w:val="18"/>
                <w:szCs w:val="18"/>
              </w:rPr>
            </w:pPr>
            <w:r>
              <w:rPr>
                <w:spacing w:val="2"/>
                <w:sz w:val="18"/>
                <w:szCs w:val="18"/>
              </w:rPr>
              <w:t>原始凭证的</w:t>
            </w:r>
            <w:r>
              <w:rPr>
                <w:spacing w:val="3"/>
                <w:sz w:val="18"/>
                <w:szCs w:val="18"/>
              </w:rPr>
              <w:t xml:space="preserve"> </w:t>
            </w:r>
            <w:r>
              <w:rPr>
                <w:spacing w:val="-9"/>
                <w:sz w:val="18"/>
                <w:szCs w:val="18"/>
              </w:rPr>
              <w:t>填 制</w:t>
            </w:r>
            <w:r>
              <w:rPr>
                <w:spacing w:val="1"/>
                <w:sz w:val="18"/>
                <w:szCs w:val="18"/>
              </w:rPr>
              <w:t xml:space="preserve"> </w:t>
            </w:r>
            <w:r>
              <w:rPr>
                <w:spacing w:val="-9"/>
                <w:sz w:val="18"/>
                <w:szCs w:val="18"/>
              </w:rPr>
              <w:t>和</w:t>
            </w:r>
            <w:r>
              <w:rPr>
                <w:spacing w:val="8"/>
                <w:sz w:val="18"/>
                <w:szCs w:val="18"/>
              </w:rPr>
              <w:t xml:space="preserve"> </w:t>
            </w:r>
            <w:r>
              <w:rPr>
                <w:spacing w:val="-9"/>
                <w:sz w:val="18"/>
                <w:szCs w:val="18"/>
              </w:rPr>
              <w:t>审</w:t>
            </w:r>
            <w:r>
              <w:rPr>
                <w:sz w:val="18"/>
                <w:szCs w:val="18"/>
              </w:rPr>
              <w:t xml:space="preserve"> </w:t>
            </w:r>
            <w:r>
              <w:rPr>
                <w:spacing w:val="2"/>
                <w:sz w:val="18"/>
                <w:szCs w:val="18"/>
              </w:rPr>
              <w:t>核、记账凭</w:t>
            </w:r>
            <w:r>
              <w:rPr>
                <w:sz w:val="18"/>
                <w:szCs w:val="18"/>
              </w:rPr>
              <w:t xml:space="preserve"> </w:t>
            </w:r>
            <w:r>
              <w:rPr>
                <w:spacing w:val="6"/>
                <w:sz w:val="18"/>
                <w:szCs w:val="18"/>
              </w:rPr>
              <w:t>证的填制与</w:t>
            </w:r>
            <w:r>
              <w:rPr>
                <w:spacing w:val="3"/>
                <w:sz w:val="18"/>
                <w:szCs w:val="18"/>
              </w:rPr>
              <w:t xml:space="preserve"> </w:t>
            </w:r>
            <w:r>
              <w:rPr>
                <w:spacing w:val="-1"/>
                <w:sz w:val="18"/>
                <w:szCs w:val="18"/>
              </w:rPr>
              <w:t>审核。</w:t>
            </w:r>
          </w:p>
        </w:tc>
        <w:tc>
          <w:tcPr>
            <w:tcW w:w="1188" w:type="dxa"/>
            <w:tcBorders>
              <w:top w:val="single" w:color="000000" w:sz="2" w:space="0"/>
              <w:bottom w:val="single" w:color="000000" w:sz="2" w:space="0"/>
            </w:tcBorders>
            <w:vAlign w:val="top"/>
          </w:tcPr>
          <w:p w14:paraId="41B5FD2F">
            <w:pPr>
              <w:pStyle w:val="6"/>
              <w:spacing w:before="273" w:line="224" w:lineRule="auto"/>
              <w:ind w:left="33" w:right="39" w:firstLine="10"/>
              <w:jc w:val="both"/>
              <w:rPr>
                <w:sz w:val="18"/>
                <w:szCs w:val="18"/>
              </w:rPr>
            </w:pPr>
            <w:r>
              <w:rPr>
                <w:spacing w:val="2"/>
                <w:sz w:val="18"/>
                <w:szCs w:val="18"/>
              </w:rPr>
              <w:t>笔试。完成原</w:t>
            </w:r>
            <w:r>
              <w:rPr>
                <w:spacing w:val="1"/>
                <w:sz w:val="18"/>
                <w:szCs w:val="18"/>
              </w:rPr>
              <w:t xml:space="preserve"> </w:t>
            </w:r>
            <w:r>
              <w:rPr>
                <w:sz w:val="18"/>
                <w:szCs w:val="18"/>
              </w:rPr>
              <w:t>始凭证、记账</w:t>
            </w:r>
            <w:r>
              <w:rPr>
                <w:spacing w:val="1"/>
                <w:sz w:val="18"/>
                <w:szCs w:val="18"/>
              </w:rPr>
              <w:t xml:space="preserve"> </w:t>
            </w:r>
            <w:r>
              <w:rPr>
                <w:spacing w:val="4"/>
                <w:sz w:val="18"/>
                <w:szCs w:val="18"/>
              </w:rPr>
              <w:t>凭证填制与审</w:t>
            </w:r>
            <w:r>
              <w:rPr>
                <w:sz w:val="18"/>
                <w:szCs w:val="18"/>
              </w:rPr>
              <w:t xml:space="preserve"> 核。</w:t>
            </w:r>
          </w:p>
        </w:tc>
        <w:tc>
          <w:tcPr>
            <w:tcW w:w="1948" w:type="dxa"/>
            <w:tcBorders>
              <w:top w:val="single" w:color="000000" w:sz="2" w:space="0"/>
              <w:bottom w:val="single" w:color="000000" w:sz="2" w:space="0"/>
            </w:tcBorders>
            <w:vAlign w:val="top"/>
          </w:tcPr>
          <w:p w14:paraId="005F0308">
            <w:pPr>
              <w:pStyle w:val="6"/>
              <w:spacing w:before="151" w:line="219" w:lineRule="auto"/>
              <w:ind w:left="65"/>
              <w:rPr>
                <w:sz w:val="18"/>
                <w:szCs w:val="18"/>
              </w:rPr>
            </w:pPr>
            <w:r>
              <w:rPr>
                <w:sz w:val="18"/>
                <w:szCs w:val="18"/>
              </w:rPr>
              <w:t>资料模拟制造企业一个</w:t>
            </w:r>
          </w:p>
          <w:p w14:paraId="6D48B6C9">
            <w:pPr>
              <w:pStyle w:val="6"/>
              <w:spacing w:before="7" w:line="219" w:lineRule="auto"/>
              <w:jc w:val="right"/>
              <w:rPr>
                <w:sz w:val="18"/>
                <w:szCs w:val="18"/>
              </w:rPr>
            </w:pPr>
            <w:r>
              <w:rPr>
                <w:spacing w:val="-6"/>
                <w:sz w:val="18"/>
                <w:szCs w:val="18"/>
              </w:rPr>
              <w:t>月的经济业务，执行《小</w:t>
            </w:r>
          </w:p>
          <w:p w14:paraId="5205B693">
            <w:pPr>
              <w:pStyle w:val="6"/>
              <w:spacing w:before="5" w:line="219" w:lineRule="auto"/>
              <w:ind w:left="115"/>
              <w:rPr>
                <w:sz w:val="18"/>
                <w:szCs w:val="18"/>
              </w:rPr>
            </w:pPr>
            <w:r>
              <w:rPr>
                <w:spacing w:val="1"/>
                <w:sz w:val="18"/>
                <w:szCs w:val="18"/>
              </w:rPr>
              <w:t>企业会计准则》(2011</w:t>
            </w:r>
          </w:p>
          <w:p w14:paraId="3CB59506">
            <w:pPr>
              <w:pStyle w:val="6"/>
              <w:spacing w:before="7" w:line="219" w:lineRule="auto"/>
              <w:ind w:left="115"/>
              <w:rPr>
                <w:sz w:val="18"/>
                <w:szCs w:val="18"/>
              </w:rPr>
            </w:pPr>
            <w:r>
              <w:rPr>
                <w:spacing w:val="-1"/>
                <w:sz w:val="18"/>
                <w:szCs w:val="18"/>
              </w:rPr>
              <w:t>年)和现行税法，完成</w:t>
            </w:r>
          </w:p>
          <w:p w14:paraId="0A1338F3">
            <w:pPr>
              <w:pStyle w:val="6"/>
              <w:spacing w:before="5" w:line="223" w:lineRule="auto"/>
              <w:ind w:left="15" w:right="82" w:firstLine="49"/>
              <w:rPr>
                <w:sz w:val="18"/>
                <w:szCs w:val="18"/>
              </w:rPr>
            </w:pPr>
            <w:r>
              <w:rPr>
                <w:spacing w:val="-1"/>
                <w:sz w:val="18"/>
                <w:szCs w:val="18"/>
              </w:rPr>
              <w:t>20笔左右经济业务的会</w:t>
            </w:r>
            <w:r>
              <w:rPr>
                <w:sz w:val="18"/>
                <w:szCs w:val="18"/>
              </w:rPr>
              <w:t xml:space="preserve"> 计核算。</w:t>
            </w:r>
          </w:p>
        </w:tc>
        <w:tc>
          <w:tcPr>
            <w:tcW w:w="2632" w:type="dxa"/>
            <w:tcBorders>
              <w:top w:val="single" w:color="000000" w:sz="2" w:space="0"/>
              <w:bottom w:val="single" w:color="000000" w:sz="2" w:space="0"/>
            </w:tcBorders>
            <w:vAlign w:val="top"/>
          </w:tcPr>
          <w:p w14:paraId="1CD829D6">
            <w:pPr>
              <w:spacing w:line="312" w:lineRule="auto"/>
              <w:rPr>
                <w:rFonts w:ascii="Arial"/>
                <w:sz w:val="21"/>
              </w:rPr>
            </w:pPr>
          </w:p>
          <w:p w14:paraId="1CEB2596">
            <w:pPr>
              <w:pStyle w:val="6"/>
              <w:spacing w:before="58" w:line="219" w:lineRule="auto"/>
              <w:ind w:left="17"/>
              <w:rPr>
                <w:sz w:val="18"/>
                <w:szCs w:val="18"/>
              </w:rPr>
            </w:pPr>
            <w:r>
              <w:rPr>
                <w:spacing w:val="-2"/>
                <w:sz w:val="18"/>
                <w:szCs w:val="18"/>
              </w:rPr>
              <w:t>限时90分钟，满分</w:t>
            </w:r>
            <w:r>
              <w:rPr>
                <w:spacing w:val="18"/>
                <w:sz w:val="18"/>
                <w:szCs w:val="18"/>
              </w:rPr>
              <w:t xml:space="preserve">  </w:t>
            </w:r>
            <w:r>
              <w:rPr>
                <w:spacing w:val="-2"/>
                <w:sz w:val="18"/>
                <w:szCs w:val="18"/>
              </w:rPr>
              <w:t>150分。</w:t>
            </w:r>
          </w:p>
          <w:p w14:paraId="7DCB9734">
            <w:pPr>
              <w:pStyle w:val="6"/>
              <w:spacing w:before="6" w:line="222" w:lineRule="auto"/>
              <w:ind w:left="17"/>
              <w:rPr>
                <w:sz w:val="18"/>
                <w:szCs w:val="18"/>
              </w:rPr>
            </w:pPr>
            <w:r>
              <w:rPr>
                <w:spacing w:val="5"/>
                <w:sz w:val="18"/>
                <w:szCs w:val="18"/>
              </w:rPr>
              <w:t>1.原始凭证的填制与完善40分；</w:t>
            </w:r>
            <w:r>
              <w:rPr>
                <w:spacing w:val="3"/>
                <w:sz w:val="18"/>
                <w:szCs w:val="18"/>
              </w:rPr>
              <w:t xml:space="preserve"> 2.记账凭证的填制</w:t>
            </w:r>
            <w:r>
              <w:rPr>
                <w:spacing w:val="17"/>
                <w:sz w:val="18"/>
                <w:szCs w:val="18"/>
              </w:rPr>
              <w:t xml:space="preserve">   </w:t>
            </w:r>
            <w:r>
              <w:rPr>
                <w:spacing w:val="3"/>
                <w:sz w:val="18"/>
                <w:szCs w:val="18"/>
              </w:rPr>
              <w:t>90分；</w:t>
            </w:r>
          </w:p>
          <w:p w14:paraId="7F22B526">
            <w:pPr>
              <w:pStyle w:val="6"/>
              <w:spacing w:before="6" w:line="219" w:lineRule="auto"/>
              <w:ind w:left="17"/>
              <w:rPr>
                <w:sz w:val="18"/>
                <w:szCs w:val="18"/>
              </w:rPr>
            </w:pPr>
            <w:r>
              <w:rPr>
                <w:spacing w:val="-1"/>
                <w:sz w:val="18"/>
                <w:szCs w:val="18"/>
              </w:rPr>
              <w:t>3.记账凭证的审核</w:t>
            </w:r>
            <w:r>
              <w:rPr>
                <w:spacing w:val="7"/>
                <w:sz w:val="18"/>
                <w:szCs w:val="18"/>
              </w:rPr>
              <w:t xml:space="preserve">   </w:t>
            </w:r>
            <w:r>
              <w:rPr>
                <w:spacing w:val="-1"/>
                <w:sz w:val="18"/>
                <w:szCs w:val="18"/>
              </w:rPr>
              <w:t>20分。</w:t>
            </w:r>
          </w:p>
        </w:tc>
      </w:tr>
      <w:tr w14:paraId="7E1E88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73" w:hRule="atLeast"/>
        </w:trPr>
        <w:tc>
          <w:tcPr>
            <w:tcW w:w="794" w:type="dxa"/>
            <w:tcBorders>
              <w:top w:val="single" w:color="000000" w:sz="2" w:space="0"/>
              <w:bottom w:val="single" w:color="000000" w:sz="2" w:space="0"/>
            </w:tcBorders>
            <w:vAlign w:val="top"/>
          </w:tcPr>
          <w:p w14:paraId="49EB1080">
            <w:pPr>
              <w:spacing w:line="320" w:lineRule="auto"/>
              <w:rPr>
                <w:rFonts w:ascii="Arial"/>
                <w:sz w:val="21"/>
              </w:rPr>
            </w:pPr>
          </w:p>
          <w:p w14:paraId="67F563F2">
            <w:pPr>
              <w:spacing w:line="320" w:lineRule="auto"/>
              <w:rPr>
                <w:rFonts w:ascii="Arial"/>
                <w:sz w:val="21"/>
              </w:rPr>
            </w:pPr>
          </w:p>
          <w:p w14:paraId="637A76EB">
            <w:pPr>
              <w:pStyle w:val="6"/>
              <w:spacing w:before="59" w:line="217" w:lineRule="auto"/>
              <w:ind w:left="25" w:firstLine="49"/>
              <w:jc w:val="both"/>
              <w:rPr>
                <w:sz w:val="18"/>
                <w:szCs w:val="18"/>
              </w:rPr>
            </w:pPr>
            <w:r>
              <w:rPr>
                <w:spacing w:val="-3"/>
                <w:sz w:val="18"/>
                <w:szCs w:val="18"/>
              </w:rPr>
              <w:t>项目二：</w:t>
            </w:r>
            <w:r>
              <w:rPr>
                <w:sz w:val="18"/>
                <w:szCs w:val="18"/>
              </w:rPr>
              <w:t xml:space="preserve"> </w:t>
            </w:r>
            <w:r>
              <w:rPr>
                <w:spacing w:val="-6"/>
                <w:sz w:val="18"/>
                <w:szCs w:val="18"/>
              </w:rPr>
              <w:t>账簿的开</w:t>
            </w:r>
            <w:r>
              <w:rPr>
                <w:spacing w:val="2"/>
                <w:sz w:val="18"/>
                <w:szCs w:val="18"/>
              </w:rPr>
              <w:t xml:space="preserve"> </w:t>
            </w:r>
            <w:r>
              <w:rPr>
                <w:spacing w:val="-6"/>
                <w:sz w:val="18"/>
                <w:szCs w:val="18"/>
              </w:rPr>
              <w:t>设、登记</w:t>
            </w:r>
            <w:r>
              <w:rPr>
                <w:spacing w:val="2"/>
                <w:sz w:val="18"/>
                <w:szCs w:val="18"/>
              </w:rPr>
              <w:t xml:space="preserve"> </w:t>
            </w:r>
            <w:r>
              <w:rPr>
                <w:spacing w:val="9"/>
                <w:sz w:val="18"/>
                <w:szCs w:val="18"/>
              </w:rPr>
              <w:t>和结账。</w:t>
            </w:r>
          </w:p>
        </w:tc>
        <w:tc>
          <w:tcPr>
            <w:tcW w:w="1159" w:type="dxa"/>
            <w:tcBorders>
              <w:top w:val="single" w:color="000000" w:sz="2" w:space="0"/>
              <w:bottom w:val="single" w:color="000000" w:sz="2" w:space="0"/>
            </w:tcBorders>
            <w:vAlign w:val="top"/>
          </w:tcPr>
          <w:p w14:paraId="78ACCF01">
            <w:pPr>
              <w:spacing w:line="260" w:lineRule="auto"/>
              <w:rPr>
                <w:rFonts w:ascii="Arial"/>
                <w:sz w:val="21"/>
              </w:rPr>
            </w:pPr>
          </w:p>
          <w:p w14:paraId="6BB297A5">
            <w:pPr>
              <w:spacing w:line="260" w:lineRule="auto"/>
              <w:rPr>
                <w:rFonts w:ascii="Arial"/>
                <w:sz w:val="21"/>
              </w:rPr>
            </w:pPr>
          </w:p>
          <w:p w14:paraId="7DEDBA8E">
            <w:pPr>
              <w:pStyle w:val="6"/>
              <w:spacing w:before="59" w:line="217" w:lineRule="auto"/>
              <w:ind w:left="11" w:right="65"/>
              <w:rPr>
                <w:sz w:val="18"/>
                <w:szCs w:val="18"/>
              </w:rPr>
            </w:pPr>
            <w:r>
              <w:rPr>
                <w:spacing w:val="-2"/>
                <w:sz w:val="18"/>
                <w:szCs w:val="18"/>
              </w:rPr>
              <w:t>使用模拟记账</w:t>
            </w:r>
            <w:r>
              <w:rPr>
                <w:spacing w:val="3"/>
                <w:sz w:val="18"/>
                <w:szCs w:val="18"/>
              </w:rPr>
              <w:t xml:space="preserve"> </w:t>
            </w:r>
            <w:r>
              <w:rPr>
                <w:spacing w:val="-2"/>
                <w:sz w:val="18"/>
                <w:szCs w:val="18"/>
              </w:rPr>
              <w:t>凭证(或：会</w:t>
            </w:r>
          </w:p>
          <w:p w14:paraId="71FF1891">
            <w:pPr>
              <w:pStyle w:val="6"/>
              <w:spacing w:before="15" w:line="224" w:lineRule="auto"/>
              <w:ind w:left="11" w:firstLine="9"/>
              <w:rPr>
                <w:sz w:val="18"/>
                <w:szCs w:val="18"/>
              </w:rPr>
            </w:pPr>
            <w:r>
              <w:rPr>
                <w:spacing w:val="-10"/>
                <w:sz w:val="18"/>
                <w:szCs w:val="18"/>
              </w:rPr>
              <w:t>计</w:t>
            </w:r>
            <w:r>
              <w:rPr>
                <w:spacing w:val="-33"/>
                <w:sz w:val="18"/>
                <w:szCs w:val="18"/>
              </w:rPr>
              <w:t xml:space="preserve"> </w:t>
            </w:r>
            <w:r>
              <w:rPr>
                <w:spacing w:val="-10"/>
                <w:sz w:val="18"/>
                <w:szCs w:val="18"/>
              </w:rPr>
              <w:t>分</w:t>
            </w:r>
            <w:r>
              <w:rPr>
                <w:spacing w:val="-34"/>
                <w:sz w:val="18"/>
                <w:szCs w:val="18"/>
              </w:rPr>
              <w:t xml:space="preserve"> </w:t>
            </w:r>
            <w:r>
              <w:rPr>
                <w:spacing w:val="-10"/>
                <w:sz w:val="18"/>
                <w:szCs w:val="18"/>
              </w:rPr>
              <w:t>录</w:t>
            </w:r>
            <w:r>
              <w:rPr>
                <w:spacing w:val="-34"/>
                <w:sz w:val="18"/>
                <w:szCs w:val="18"/>
              </w:rPr>
              <w:t xml:space="preserve"> </w:t>
            </w:r>
            <w:r>
              <w:rPr>
                <w:spacing w:val="-10"/>
                <w:sz w:val="18"/>
                <w:szCs w:val="18"/>
              </w:rPr>
              <w:t>)</w:t>
            </w:r>
            <w:r>
              <w:rPr>
                <w:spacing w:val="-32"/>
                <w:sz w:val="18"/>
                <w:szCs w:val="18"/>
              </w:rPr>
              <w:t xml:space="preserve"> </w:t>
            </w:r>
            <w:r>
              <w:rPr>
                <w:spacing w:val="-10"/>
                <w:sz w:val="18"/>
                <w:szCs w:val="18"/>
              </w:rPr>
              <w:t>,</w:t>
            </w:r>
            <w:r>
              <w:rPr>
                <w:spacing w:val="-31"/>
                <w:sz w:val="18"/>
                <w:szCs w:val="18"/>
              </w:rPr>
              <w:t xml:space="preserve"> </w:t>
            </w:r>
            <w:r>
              <w:rPr>
                <w:spacing w:val="-10"/>
                <w:sz w:val="18"/>
                <w:szCs w:val="18"/>
              </w:rPr>
              <w:t>总</w:t>
            </w:r>
            <w:r>
              <w:rPr>
                <w:sz w:val="18"/>
                <w:szCs w:val="18"/>
              </w:rPr>
              <w:t xml:space="preserve"> </w:t>
            </w:r>
            <w:r>
              <w:rPr>
                <w:spacing w:val="-2"/>
                <w:sz w:val="18"/>
                <w:szCs w:val="18"/>
              </w:rPr>
              <w:t>账，日记账，</w:t>
            </w:r>
            <w:r>
              <w:rPr>
                <w:spacing w:val="4"/>
                <w:sz w:val="18"/>
                <w:szCs w:val="18"/>
              </w:rPr>
              <w:t xml:space="preserve"> </w:t>
            </w:r>
            <w:r>
              <w:rPr>
                <w:spacing w:val="-1"/>
                <w:sz w:val="18"/>
                <w:szCs w:val="18"/>
              </w:rPr>
              <w:t>明细账。</w:t>
            </w:r>
          </w:p>
        </w:tc>
        <w:tc>
          <w:tcPr>
            <w:tcW w:w="989" w:type="dxa"/>
            <w:tcBorders>
              <w:top w:val="single" w:color="000000" w:sz="2" w:space="0"/>
              <w:bottom w:val="single" w:color="000000" w:sz="2" w:space="0"/>
            </w:tcBorders>
            <w:vAlign w:val="top"/>
          </w:tcPr>
          <w:p w14:paraId="231518F7">
            <w:pPr>
              <w:spacing w:line="409" w:lineRule="auto"/>
              <w:rPr>
                <w:rFonts w:ascii="Arial"/>
                <w:sz w:val="21"/>
              </w:rPr>
            </w:pPr>
          </w:p>
          <w:p w14:paraId="1F0E1D8C">
            <w:pPr>
              <w:pStyle w:val="6"/>
              <w:spacing w:before="59" w:line="222" w:lineRule="auto"/>
              <w:ind w:left="12" w:firstLine="19"/>
              <w:jc w:val="both"/>
              <w:rPr>
                <w:sz w:val="18"/>
                <w:szCs w:val="18"/>
              </w:rPr>
            </w:pPr>
            <w:r>
              <w:rPr>
                <w:spacing w:val="9"/>
                <w:sz w:val="18"/>
                <w:szCs w:val="18"/>
              </w:rPr>
              <w:t>开设账簿；</w:t>
            </w:r>
            <w:r>
              <w:rPr>
                <w:spacing w:val="1"/>
                <w:sz w:val="18"/>
                <w:szCs w:val="18"/>
              </w:rPr>
              <w:t xml:space="preserve"> </w:t>
            </w:r>
            <w:r>
              <w:rPr>
                <w:spacing w:val="-18"/>
                <w:sz w:val="18"/>
                <w:szCs w:val="18"/>
              </w:rPr>
              <w:t>总 账</w:t>
            </w:r>
            <w:r>
              <w:rPr>
                <w:spacing w:val="10"/>
                <w:sz w:val="18"/>
                <w:szCs w:val="18"/>
              </w:rPr>
              <w:t xml:space="preserve"> </w:t>
            </w:r>
            <w:r>
              <w:rPr>
                <w:spacing w:val="-18"/>
                <w:sz w:val="18"/>
                <w:szCs w:val="18"/>
              </w:rPr>
              <w:t>的</w:t>
            </w:r>
            <w:r>
              <w:rPr>
                <w:spacing w:val="-3"/>
                <w:sz w:val="18"/>
                <w:szCs w:val="18"/>
              </w:rPr>
              <w:t xml:space="preserve"> </w:t>
            </w:r>
            <w:r>
              <w:rPr>
                <w:spacing w:val="-18"/>
                <w:sz w:val="18"/>
                <w:szCs w:val="18"/>
              </w:rPr>
              <w:t>登</w:t>
            </w:r>
            <w:r>
              <w:rPr>
                <w:sz w:val="18"/>
                <w:szCs w:val="18"/>
              </w:rPr>
              <w:t xml:space="preserve"> </w:t>
            </w:r>
            <w:r>
              <w:rPr>
                <w:spacing w:val="-6"/>
                <w:sz w:val="18"/>
                <w:szCs w:val="18"/>
              </w:rPr>
              <w:t>记；日记账</w:t>
            </w:r>
            <w:r>
              <w:rPr>
                <w:spacing w:val="1"/>
                <w:sz w:val="18"/>
                <w:szCs w:val="18"/>
              </w:rPr>
              <w:t xml:space="preserve">  </w:t>
            </w:r>
            <w:r>
              <w:rPr>
                <w:spacing w:val="-1"/>
                <w:sz w:val="18"/>
                <w:szCs w:val="18"/>
              </w:rPr>
              <w:t>的登记；明</w:t>
            </w:r>
            <w:r>
              <w:rPr>
                <w:spacing w:val="3"/>
                <w:sz w:val="18"/>
                <w:szCs w:val="18"/>
              </w:rPr>
              <w:t xml:space="preserve"> </w:t>
            </w:r>
            <w:r>
              <w:rPr>
                <w:spacing w:val="-17"/>
                <w:sz w:val="18"/>
                <w:szCs w:val="18"/>
              </w:rPr>
              <w:t>细 账</w:t>
            </w:r>
            <w:r>
              <w:rPr>
                <w:spacing w:val="6"/>
                <w:sz w:val="18"/>
                <w:szCs w:val="18"/>
              </w:rPr>
              <w:t xml:space="preserve"> </w:t>
            </w:r>
            <w:r>
              <w:rPr>
                <w:spacing w:val="-17"/>
                <w:sz w:val="18"/>
                <w:szCs w:val="18"/>
              </w:rPr>
              <w:t>的</w:t>
            </w:r>
            <w:r>
              <w:rPr>
                <w:spacing w:val="-4"/>
                <w:sz w:val="18"/>
                <w:szCs w:val="18"/>
              </w:rPr>
              <w:t xml:space="preserve"> </w:t>
            </w:r>
            <w:r>
              <w:rPr>
                <w:spacing w:val="-17"/>
                <w:sz w:val="18"/>
                <w:szCs w:val="18"/>
              </w:rPr>
              <w:t>登</w:t>
            </w:r>
            <w:r>
              <w:rPr>
                <w:sz w:val="18"/>
                <w:szCs w:val="18"/>
              </w:rPr>
              <w:t xml:space="preserve"> </w:t>
            </w:r>
            <w:r>
              <w:rPr>
                <w:spacing w:val="6"/>
                <w:sz w:val="18"/>
                <w:szCs w:val="18"/>
              </w:rPr>
              <w:t>记；结账。</w:t>
            </w:r>
          </w:p>
        </w:tc>
        <w:tc>
          <w:tcPr>
            <w:tcW w:w="1188" w:type="dxa"/>
            <w:tcBorders>
              <w:top w:val="single" w:color="000000" w:sz="2" w:space="0"/>
              <w:bottom w:val="single" w:color="000000" w:sz="2" w:space="0"/>
            </w:tcBorders>
            <w:vAlign w:val="top"/>
          </w:tcPr>
          <w:p w14:paraId="3AECA45F">
            <w:pPr>
              <w:spacing w:line="305" w:lineRule="auto"/>
              <w:rPr>
                <w:rFonts w:ascii="Arial"/>
                <w:sz w:val="21"/>
              </w:rPr>
            </w:pPr>
          </w:p>
          <w:p w14:paraId="23211068">
            <w:pPr>
              <w:spacing w:line="306" w:lineRule="auto"/>
              <w:rPr>
                <w:rFonts w:ascii="Arial"/>
                <w:sz w:val="21"/>
              </w:rPr>
            </w:pPr>
          </w:p>
          <w:p w14:paraId="5C88F6D2">
            <w:pPr>
              <w:pStyle w:val="6"/>
              <w:spacing w:before="58" w:line="231" w:lineRule="auto"/>
              <w:ind w:left="43" w:right="61"/>
              <w:jc w:val="both"/>
              <w:rPr>
                <w:sz w:val="18"/>
                <w:szCs w:val="18"/>
              </w:rPr>
            </w:pPr>
            <w:r>
              <w:rPr>
                <w:spacing w:val="-2"/>
                <w:sz w:val="18"/>
                <w:szCs w:val="18"/>
              </w:rPr>
              <w:t>笔试。完成账</w:t>
            </w:r>
            <w:r>
              <w:rPr>
                <w:spacing w:val="1"/>
                <w:sz w:val="18"/>
                <w:szCs w:val="18"/>
              </w:rPr>
              <w:t xml:space="preserve"> </w:t>
            </w:r>
            <w:r>
              <w:rPr>
                <w:spacing w:val="-2"/>
                <w:sz w:val="18"/>
                <w:szCs w:val="18"/>
              </w:rPr>
              <w:t>簿的开设、登</w:t>
            </w:r>
            <w:r>
              <w:rPr>
                <w:spacing w:val="3"/>
                <w:sz w:val="18"/>
                <w:szCs w:val="18"/>
              </w:rPr>
              <w:t xml:space="preserve"> </w:t>
            </w:r>
            <w:r>
              <w:rPr>
                <w:sz w:val="18"/>
                <w:szCs w:val="18"/>
              </w:rPr>
              <w:t>记与结账。</w:t>
            </w:r>
          </w:p>
        </w:tc>
        <w:tc>
          <w:tcPr>
            <w:tcW w:w="1948" w:type="dxa"/>
            <w:tcBorders>
              <w:top w:val="single" w:color="000000" w:sz="2" w:space="0"/>
              <w:bottom w:val="single" w:color="000000" w:sz="2" w:space="0"/>
            </w:tcBorders>
            <w:vAlign w:val="top"/>
          </w:tcPr>
          <w:p w14:paraId="0B1E2E88">
            <w:pPr>
              <w:pStyle w:val="6"/>
              <w:spacing w:before="252" w:line="216" w:lineRule="auto"/>
              <w:jc w:val="right"/>
              <w:rPr>
                <w:sz w:val="18"/>
                <w:szCs w:val="18"/>
              </w:rPr>
            </w:pPr>
            <w:r>
              <w:rPr>
                <w:spacing w:val="-6"/>
                <w:sz w:val="18"/>
                <w:szCs w:val="18"/>
              </w:rPr>
              <w:t>资料模拟制造企业一个月</w:t>
            </w:r>
          </w:p>
          <w:p w14:paraId="0944F8F3">
            <w:pPr>
              <w:pStyle w:val="6"/>
              <w:spacing w:line="215" w:lineRule="auto"/>
              <w:jc w:val="right"/>
              <w:rPr>
                <w:sz w:val="18"/>
                <w:szCs w:val="18"/>
              </w:rPr>
            </w:pPr>
            <w:r>
              <w:rPr>
                <w:spacing w:val="-6"/>
                <w:sz w:val="18"/>
                <w:szCs w:val="18"/>
              </w:rPr>
              <w:t>的经济业务，给出有关账</w:t>
            </w:r>
          </w:p>
          <w:p w14:paraId="19445D25">
            <w:pPr>
              <w:pStyle w:val="6"/>
              <w:spacing w:line="219" w:lineRule="auto"/>
              <w:ind w:left="65"/>
              <w:rPr>
                <w:sz w:val="18"/>
                <w:szCs w:val="18"/>
              </w:rPr>
            </w:pPr>
            <w:r>
              <w:rPr>
                <w:spacing w:val="1"/>
                <w:sz w:val="18"/>
                <w:szCs w:val="18"/>
              </w:rPr>
              <w:t>户的期初余额及20笔左</w:t>
            </w:r>
          </w:p>
          <w:p w14:paraId="0CAE1750">
            <w:pPr>
              <w:pStyle w:val="6"/>
              <w:spacing w:before="15" w:line="219" w:lineRule="auto"/>
              <w:ind w:left="115"/>
              <w:rPr>
                <w:sz w:val="18"/>
                <w:szCs w:val="18"/>
              </w:rPr>
            </w:pPr>
            <w:r>
              <w:rPr>
                <w:spacing w:val="-1"/>
                <w:sz w:val="18"/>
                <w:szCs w:val="18"/>
              </w:rPr>
              <w:t>右的记账凭证(会计分</w:t>
            </w:r>
          </w:p>
          <w:p w14:paraId="75BD1382">
            <w:pPr>
              <w:pStyle w:val="6"/>
              <w:spacing w:before="15" w:line="216" w:lineRule="auto"/>
              <w:ind w:left="65"/>
              <w:rPr>
                <w:sz w:val="18"/>
                <w:szCs w:val="18"/>
              </w:rPr>
            </w:pPr>
            <w:r>
              <w:rPr>
                <w:spacing w:val="-1"/>
                <w:sz w:val="18"/>
                <w:szCs w:val="18"/>
              </w:rPr>
              <w:t>录),执行《小企业会计</w:t>
            </w:r>
          </w:p>
          <w:p w14:paraId="3F207DFB">
            <w:pPr>
              <w:pStyle w:val="6"/>
              <w:spacing w:before="2" w:line="219" w:lineRule="auto"/>
              <w:ind w:left="44"/>
              <w:rPr>
                <w:sz w:val="18"/>
                <w:szCs w:val="18"/>
              </w:rPr>
            </w:pPr>
            <w:r>
              <w:rPr>
                <w:spacing w:val="-1"/>
                <w:sz w:val="18"/>
                <w:szCs w:val="18"/>
              </w:rPr>
              <w:t>准则》(2011年)和现</w:t>
            </w:r>
          </w:p>
          <w:p w14:paraId="60D21F2F">
            <w:pPr>
              <w:pStyle w:val="6"/>
              <w:spacing w:before="16" w:line="223" w:lineRule="auto"/>
              <w:ind w:left="15" w:firstLine="9"/>
              <w:rPr>
                <w:sz w:val="18"/>
                <w:szCs w:val="18"/>
              </w:rPr>
            </w:pPr>
            <w:r>
              <w:rPr>
                <w:spacing w:val="-21"/>
                <w:sz w:val="18"/>
                <w:szCs w:val="18"/>
              </w:rPr>
              <w:t>行税法，完成账簿的开设、</w:t>
            </w:r>
            <w:r>
              <w:rPr>
                <w:spacing w:val="4"/>
                <w:sz w:val="18"/>
                <w:szCs w:val="18"/>
              </w:rPr>
              <w:t xml:space="preserve"> </w:t>
            </w:r>
            <w:r>
              <w:rPr>
                <w:spacing w:val="-7"/>
                <w:sz w:val="18"/>
                <w:szCs w:val="18"/>
              </w:rPr>
              <w:t>登记与结账工作。</w:t>
            </w:r>
          </w:p>
        </w:tc>
        <w:tc>
          <w:tcPr>
            <w:tcW w:w="2632" w:type="dxa"/>
            <w:tcBorders>
              <w:top w:val="single" w:color="000000" w:sz="2" w:space="0"/>
              <w:bottom w:val="single" w:color="000000" w:sz="2" w:space="0"/>
            </w:tcBorders>
            <w:vAlign w:val="top"/>
          </w:tcPr>
          <w:p w14:paraId="7C6B5107">
            <w:pPr>
              <w:pStyle w:val="6"/>
              <w:spacing w:before="253" w:line="215" w:lineRule="auto"/>
              <w:ind w:left="17"/>
              <w:rPr>
                <w:sz w:val="18"/>
                <w:szCs w:val="18"/>
              </w:rPr>
            </w:pPr>
            <w:r>
              <w:rPr>
                <w:spacing w:val="-2"/>
                <w:sz w:val="18"/>
                <w:szCs w:val="18"/>
              </w:rPr>
              <w:t>限时60分钟，满分</w:t>
            </w:r>
            <w:r>
              <w:rPr>
                <w:spacing w:val="18"/>
                <w:sz w:val="18"/>
                <w:szCs w:val="18"/>
              </w:rPr>
              <w:t xml:space="preserve">  </w:t>
            </w:r>
            <w:r>
              <w:rPr>
                <w:spacing w:val="-2"/>
                <w:sz w:val="18"/>
                <w:szCs w:val="18"/>
              </w:rPr>
              <w:t>100分。</w:t>
            </w:r>
          </w:p>
          <w:p w14:paraId="7EE197B4">
            <w:pPr>
              <w:pStyle w:val="6"/>
              <w:spacing w:line="216" w:lineRule="auto"/>
              <w:jc w:val="right"/>
              <w:rPr>
                <w:sz w:val="18"/>
                <w:szCs w:val="18"/>
              </w:rPr>
            </w:pPr>
            <w:r>
              <w:rPr>
                <w:spacing w:val="2"/>
                <w:sz w:val="18"/>
                <w:szCs w:val="18"/>
              </w:rPr>
              <w:t>1.设账并登记期初余额</w:t>
            </w:r>
            <w:r>
              <w:rPr>
                <w:spacing w:val="26"/>
                <w:w w:val="101"/>
                <w:sz w:val="18"/>
                <w:szCs w:val="18"/>
              </w:rPr>
              <w:t xml:space="preserve">  </w:t>
            </w:r>
            <w:r>
              <w:rPr>
                <w:spacing w:val="2"/>
                <w:sz w:val="18"/>
                <w:szCs w:val="18"/>
              </w:rPr>
              <w:t>10分；</w:t>
            </w:r>
          </w:p>
          <w:p w14:paraId="6B0FFE12">
            <w:pPr>
              <w:pStyle w:val="6"/>
              <w:spacing w:line="220" w:lineRule="auto"/>
              <w:ind w:left="17"/>
              <w:rPr>
                <w:sz w:val="18"/>
                <w:szCs w:val="18"/>
              </w:rPr>
            </w:pPr>
            <w:r>
              <w:rPr>
                <w:spacing w:val="8"/>
                <w:sz w:val="18"/>
                <w:szCs w:val="18"/>
              </w:rPr>
              <w:t>2.总账的登记10分；</w:t>
            </w:r>
          </w:p>
          <w:p w14:paraId="07E3E821">
            <w:pPr>
              <w:pStyle w:val="6"/>
              <w:spacing w:before="15" w:line="220" w:lineRule="auto"/>
              <w:ind w:left="17"/>
              <w:rPr>
                <w:sz w:val="18"/>
                <w:szCs w:val="18"/>
              </w:rPr>
            </w:pPr>
            <w:r>
              <w:rPr>
                <w:spacing w:val="-1"/>
                <w:sz w:val="18"/>
                <w:szCs w:val="18"/>
              </w:rPr>
              <w:t>3.</w:t>
            </w:r>
            <w:r>
              <w:rPr>
                <w:spacing w:val="-33"/>
                <w:sz w:val="18"/>
                <w:szCs w:val="18"/>
              </w:rPr>
              <w:t xml:space="preserve"> </w:t>
            </w:r>
            <w:r>
              <w:rPr>
                <w:spacing w:val="-1"/>
                <w:sz w:val="18"/>
                <w:szCs w:val="18"/>
              </w:rPr>
              <w:t>日记账的登记</w:t>
            </w:r>
            <w:r>
              <w:rPr>
                <w:spacing w:val="26"/>
                <w:w w:val="101"/>
                <w:sz w:val="18"/>
                <w:szCs w:val="18"/>
              </w:rPr>
              <w:t xml:space="preserve">  </w:t>
            </w:r>
            <w:r>
              <w:rPr>
                <w:spacing w:val="-1"/>
                <w:sz w:val="18"/>
                <w:szCs w:val="18"/>
              </w:rPr>
              <w:t>10分；</w:t>
            </w:r>
          </w:p>
          <w:p w14:paraId="73C9DC23">
            <w:pPr>
              <w:pStyle w:val="6"/>
              <w:spacing w:before="14" w:line="219" w:lineRule="auto"/>
              <w:ind w:left="17" w:right="340"/>
              <w:rPr>
                <w:sz w:val="18"/>
                <w:szCs w:val="18"/>
              </w:rPr>
            </w:pPr>
            <w:r>
              <w:rPr>
                <w:spacing w:val="-1"/>
                <w:sz w:val="18"/>
                <w:szCs w:val="18"/>
              </w:rPr>
              <w:t>4.明细账(三栏式10分、数量</w:t>
            </w:r>
            <w:r>
              <w:rPr>
                <w:spacing w:val="7"/>
                <w:sz w:val="18"/>
                <w:szCs w:val="18"/>
              </w:rPr>
              <w:t xml:space="preserve"> </w:t>
            </w:r>
            <w:r>
              <w:rPr>
                <w:sz w:val="18"/>
                <w:szCs w:val="18"/>
              </w:rPr>
              <w:t>金额式20分、多栏式20分)的</w:t>
            </w:r>
            <w:r>
              <w:rPr>
                <w:spacing w:val="12"/>
                <w:sz w:val="18"/>
                <w:szCs w:val="18"/>
              </w:rPr>
              <w:t xml:space="preserve"> </w:t>
            </w:r>
            <w:r>
              <w:rPr>
                <w:spacing w:val="3"/>
                <w:sz w:val="18"/>
                <w:szCs w:val="18"/>
              </w:rPr>
              <w:t>登记</w:t>
            </w:r>
            <w:r>
              <w:rPr>
                <w:spacing w:val="35"/>
                <w:sz w:val="18"/>
                <w:szCs w:val="18"/>
              </w:rPr>
              <w:t xml:space="preserve">  </w:t>
            </w:r>
            <w:r>
              <w:rPr>
                <w:spacing w:val="3"/>
                <w:sz w:val="18"/>
                <w:szCs w:val="18"/>
              </w:rPr>
              <w:t>50分；</w:t>
            </w:r>
          </w:p>
          <w:p w14:paraId="008ED4F4">
            <w:pPr>
              <w:pStyle w:val="6"/>
              <w:spacing w:line="220" w:lineRule="auto"/>
              <w:ind w:left="17"/>
              <w:rPr>
                <w:sz w:val="18"/>
                <w:szCs w:val="18"/>
              </w:rPr>
            </w:pPr>
            <w:r>
              <w:rPr>
                <w:spacing w:val="-2"/>
                <w:sz w:val="18"/>
                <w:szCs w:val="18"/>
              </w:rPr>
              <w:t>5.结账</w:t>
            </w:r>
            <w:r>
              <w:rPr>
                <w:spacing w:val="7"/>
                <w:sz w:val="18"/>
                <w:szCs w:val="18"/>
              </w:rPr>
              <w:t xml:space="preserve">   </w:t>
            </w:r>
            <w:r>
              <w:rPr>
                <w:spacing w:val="-2"/>
                <w:sz w:val="18"/>
                <w:szCs w:val="18"/>
              </w:rPr>
              <w:t>20分。</w:t>
            </w:r>
          </w:p>
        </w:tc>
      </w:tr>
      <w:tr w14:paraId="250C2C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64" w:hRule="atLeast"/>
        </w:trPr>
        <w:tc>
          <w:tcPr>
            <w:tcW w:w="794" w:type="dxa"/>
            <w:tcBorders>
              <w:top w:val="single" w:color="000000" w:sz="2" w:space="0"/>
              <w:bottom w:val="single" w:color="000000" w:sz="2" w:space="0"/>
            </w:tcBorders>
            <w:vAlign w:val="top"/>
          </w:tcPr>
          <w:p w14:paraId="3B39A1FC">
            <w:pPr>
              <w:spacing w:line="251" w:lineRule="auto"/>
              <w:rPr>
                <w:rFonts w:ascii="Arial"/>
                <w:sz w:val="21"/>
              </w:rPr>
            </w:pPr>
          </w:p>
          <w:p w14:paraId="640690E1">
            <w:pPr>
              <w:spacing w:line="252" w:lineRule="auto"/>
              <w:rPr>
                <w:rFonts w:ascii="Arial"/>
                <w:sz w:val="21"/>
              </w:rPr>
            </w:pPr>
          </w:p>
          <w:p w14:paraId="21C66BE8">
            <w:pPr>
              <w:pStyle w:val="6"/>
              <w:spacing w:before="58" w:line="224" w:lineRule="auto"/>
              <w:ind w:left="25" w:right="23" w:hanging="10"/>
              <w:rPr>
                <w:sz w:val="18"/>
                <w:szCs w:val="18"/>
              </w:rPr>
            </w:pPr>
            <w:r>
              <w:rPr>
                <w:sz w:val="18"/>
                <w:szCs w:val="18"/>
              </w:rPr>
              <w:t xml:space="preserve">项目三： </w:t>
            </w:r>
            <w:r>
              <w:rPr>
                <w:spacing w:val="2"/>
                <w:sz w:val="18"/>
                <w:szCs w:val="18"/>
              </w:rPr>
              <w:t>资产负债</w:t>
            </w:r>
            <w:r>
              <w:rPr>
                <w:sz w:val="18"/>
                <w:szCs w:val="18"/>
              </w:rPr>
              <w:t xml:space="preserve"> </w:t>
            </w:r>
            <w:r>
              <w:rPr>
                <w:spacing w:val="3"/>
                <w:sz w:val="18"/>
                <w:szCs w:val="18"/>
              </w:rPr>
              <w:t>表、利润</w:t>
            </w:r>
            <w:r>
              <w:rPr>
                <w:spacing w:val="1"/>
                <w:sz w:val="18"/>
                <w:szCs w:val="18"/>
              </w:rPr>
              <w:t xml:space="preserve"> </w:t>
            </w:r>
            <w:r>
              <w:rPr>
                <w:spacing w:val="3"/>
                <w:sz w:val="18"/>
                <w:szCs w:val="18"/>
              </w:rPr>
              <w:t>表的编制</w:t>
            </w:r>
          </w:p>
        </w:tc>
        <w:tc>
          <w:tcPr>
            <w:tcW w:w="1159" w:type="dxa"/>
            <w:tcBorders>
              <w:top w:val="single" w:color="000000" w:sz="2" w:space="0"/>
              <w:bottom w:val="single" w:color="000000" w:sz="2" w:space="0"/>
            </w:tcBorders>
            <w:vAlign w:val="top"/>
          </w:tcPr>
          <w:p w14:paraId="67A7B6D5">
            <w:pPr>
              <w:spacing w:line="316" w:lineRule="auto"/>
              <w:rPr>
                <w:rFonts w:ascii="Arial"/>
                <w:sz w:val="21"/>
              </w:rPr>
            </w:pPr>
          </w:p>
          <w:p w14:paraId="1E55563D">
            <w:pPr>
              <w:spacing w:line="317" w:lineRule="auto"/>
              <w:rPr>
                <w:rFonts w:ascii="Arial"/>
                <w:sz w:val="21"/>
              </w:rPr>
            </w:pPr>
          </w:p>
          <w:p w14:paraId="20089DC5">
            <w:pPr>
              <w:pStyle w:val="6"/>
              <w:spacing w:before="58" w:line="219" w:lineRule="auto"/>
              <w:ind w:left="11" w:right="12" w:firstLine="10"/>
              <w:jc w:val="both"/>
              <w:rPr>
                <w:sz w:val="18"/>
                <w:szCs w:val="18"/>
              </w:rPr>
            </w:pPr>
            <w:r>
              <w:rPr>
                <w:spacing w:val="-2"/>
                <w:sz w:val="18"/>
                <w:szCs w:val="18"/>
              </w:rPr>
              <w:t>使用模拟或正</w:t>
            </w:r>
            <w:r>
              <w:rPr>
                <w:spacing w:val="3"/>
                <w:sz w:val="18"/>
                <w:szCs w:val="18"/>
              </w:rPr>
              <w:t xml:space="preserve"> </w:t>
            </w:r>
            <w:r>
              <w:rPr>
                <w:spacing w:val="7"/>
                <w:sz w:val="18"/>
                <w:szCs w:val="18"/>
              </w:rPr>
              <w:t>式的科目汇总</w:t>
            </w:r>
            <w:r>
              <w:rPr>
                <w:spacing w:val="2"/>
                <w:sz w:val="18"/>
                <w:szCs w:val="18"/>
              </w:rPr>
              <w:t xml:space="preserve"> </w:t>
            </w:r>
            <w:r>
              <w:rPr>
                <w:spacing w:val="-2"/>
                <w:sz w:val="18"/>
                <w:szCs w:val="18"/>
              </w:rPr>
              <w:t>表、资产负债</w:t>
            </w:r>
            <w:r>
              <w:rPr>
                <w:spacing w:val="4"/>
                <w:sz w:val="18"/>
                <w:szCs w:val="18"/>
              </w:rPr>
              <w:t xml:space="preserve"> </w:t>
            </w:r>
            <w:r>
              <w:rPr>
                <w:sz w:val="18"/>
                <w:szCs w:val="18"/>
              </w:rPr>
              <w:t>表、利润表。</w:t>
            </w:r>
          </w:p>
        </w:tc>
        <w:tc>
          <w:tcPr>
            <w:tcW w:w="989" w:type="dxa"/>
            <w:tcBorders>
              <w:top w:val="single" w:color="000000" w:sz="2" w:space="0"/>
              <w:bottom w:val="single" w:color="000000" w:sz="2" w:space="0"/>
            </w:tcBorders>
            <w:vAlign w:val="top"/>
          </w:tcPr>
          <w:p w14:paraId="078DE87F">
            <w:pPr>
              <w:spacing w:line="250" w:lineRule="auto"/>
              <w:rPr>
                <w:rFonts w:ascii="Arial"/>
                <w:sz w:val="21"/>
              </w:rPr>
            </w:pPr>
          </w:p>
          <w:p w14:paraId="67EBA9FE">
            <w:pPr>
              <w:spacing w:line="251" w:lineRule="auto"/>
              <w:rPr>
                <w:rFonts w:ascii="Arial"/>
                <w:sz w:val="21"/>
              </w:rPr>
            </w:pPr>
          </w:p>
          <w:p w14:paraId="444DBC61">
            <w:pPr>
              <w:pStyle w:val="6"/>
              <w:spacing w:before="58" w:line="225" w:lineRule="auto"/>
              <w:ind w:left="12" w:right="33" w:firstLine="19"/>
              <w:jc w:val="both"/>
              <w:rPr>
                <w:sz w:val="18"/>
                <w:szCs w:val="18"/>
              </w:rPr>
            </w:pPr>
            <w:r>
              <w:rPr>
                <w:spacing w:val="-2"/>
                <w:sz w:val="18"/>
                <w:szCs w:val="18"/>
              </w:rPr>
              <w:t>科目汇总表</w:t>
            </w:r>
            <w:r>
              <w:rPr>
                <w:spacing w:val="1"/>
                <w:sz w:val="18"/>
                <w:szCs w:val="18"/>
              </w:rPr>
              <w:t xml:space="preserve"> </w:t>
            </w:r>
            <w:r>
              <w:rPr>
                <w:spacing w:val="6"/>
                <w:sz w:val="18"/>
                <w:szCs w:val="18"/>
              </w:rPr>
              <w:t>的编制、资</w:t>
            </w:r>
            <w:r>
              <w:rPr>
                <w:spacing w:val="2"/>
                <w:sz w:val="18"/>
                <w:szCs w:val="18"/>
              </w:rPr>
              <w:t xml:space="preserve"> 产负债表及</w:t>
            </w:r>
            <w:r>
              <w:rPr>
                <w:spacing w:val="1"/>
                <w:sz w:val="18"/>
                <w:szCs w:val="18"/>
              </w:rPr>
              <w:t xml:space="preserve"> </w:t>
            </w:r>
            <w:r>
              <w:rPr>
                <w:spacing w:val="6"/>
                <w:sz w:val="18"/>
                <w:szCs w:val="18"/>
              </w:rPr>
              <w:t>利润表的编</w:t>
            </w:r>
            <w:r>
              <w:rPr>
                <w:spacing w:val="2"/>
                <w:sz w:val="18"/>
                <w:szCs w:val="18"/>
              </w:rPr>
              <w:t xml:space="preserve"> </w:t>
            </w:r>
            <w:r>
              <w:rPr>
                <w:spacing w:val="-1"/>
                <w:sz w:val="18"/>
                <w:szCs w:val="18"/>
              </w:rPr>
              <w:t>制。</w:t>
            </w:r>
          </w:p>
        </w:tc>
        <w:tc>
          <w:tcPr>
            <w:tcW w:w="1188" w:type="dxa"/>
            <w:tcBorders>
              <w:top w:val="single" w:color="000000" w:sz="2" w:space="0"/>
              <w:bottom w:val="single" w:color="000000" w:sz="2" w:space="0"/>
            </w:tcBorders>
            <w:vAlign w:val="top"/>
          </w:tcPr>
          <w:p w14:paraId="6AA8EDC0">
            <w:pPr>
              <w:spacing w:line="251" w:lineRule="auto"/>
              <w:rPr>
                <w:rFonts w:ascii="Arial"/>
                <w:sz w:val="21"/>
              </w:rPr>
            </w:pPr>
          </w:p>
          <w:p w14:paraId="0BDA4733">
            <w:pPr>
              <w:spacing w:line="252" w:lineRule="auto"/>
              <w:rPr>
                <w:rFonts w:ascii="Arial"/>
                <w:sz w:val="21"/>
              </w:rPr>
            </w:pPr>
          </w:p>
          <w:p w14:paraId="58FA2ED7">
            <w:pPr>
              <w:pStyle w:val="6"/>
              <w:spacing w:before="59" w:line="229" w:lineRule="auto"/>
              <w:ind w:left="43" w:right="4"/>
              <w:jc w:val="both"/>
              <w:rPr>
                <w:sz w:val="18"/>
                <w:szCs w:val="18"/>
              </w:rPr>
            </w:pPr>
            <w:r>
              <w:rPr>
                <w:spacing w:val="-2"/>
                <w:sz w:val="18"/>
                <w:szCs w:val="18"/>
              </w:rPr>
              <w:t>笔试。完成科</w:t>
            </w:r>
            <w:r>
              <w:rPr>
                <w:spacing w:val="1"/>
                <w:sz w:val="18"/>
                <w:szCs w:val="18"/>
              </w:rPr>
              <w:t xml:space="preserve"> </w:t>
            </w:r>
            <w:r>
              <w:rPr>
                <w:spacing w:val="2"/>
                <w:sz w:val="18"/>
                <w:szCs w:val="18"/>
              </w:rPr>
              <w:t>目汇总表、资</w:t>
            </w:r>
            <w:r>
              <w:rPr>
                <w:sz w:val="18"/>
                <w:szCs w:val="18"/>
              </w:rPr>
              <w:t xml:space="preserve"> </w:t>
            </w:r>
            <w:r>
              <w:rPr>
                <w:spacing w:val="2"/>
                <w:sz w:val="18"/>
                <w:szCs w:val="18"/>
              </w:rPr>
              <w:t>产负债表及利</w:t>
            </w:r>
            <w:r>
              <w:rPr>
                <w:sz w:val="18"/>
                <w:szCs w:val="18"/>
              </w:rPr>
              <w:t xml:space="preserve"> </w:t>
            </w:r>
            <w:r>
              <w:rPr>
                <w:spacing w:val="8"/>
                <w:sz w:val="18"/>
                <w:szCs w:val="18"/>
              </w:rPr>
              <w:t>润表的编制。</w:t>
            </w:r>
          </w:p>
        </w:tc>
        <w:tc>
          <w:tcPr>
            <w:tcW w:w="1948" w:type="dxa"/>
            <w:tcBorders>
              <w:top w:val="single" w:color="000000" w:sz="2" w:space="0"/>
              <w:bottom w:val="single" w:color="000000" w:sz="2" w:space="0"/>
            </w:tcBorders>
            <w:vAlign w:val="top"/>
          </w:tcPr>
          <w:p w14:paraId="199AA681">
            <w:pPr>
              <w:pStyle w:val="6"/>
              <w:spacing w:before="243" w:line="223" w:lineRule="auto"/>
              <w:ind w:right="2" w:firstLine="134"/>
              <w:rPr>
                <w:sz w:val="18"/>
                <w:szCs w:val="18"/>
              </w:rPr>
            </w:pPr>
            <w:r>
              <w:rPr>
                <w:spacing w:val="-6"/>
                <w:sz w:val="18"/>
                <w:szCs w:val="18"/>
              </w:rPr>
              <w:t>资料模拟制造企业一个</w:t>
            </w:r>
            <w:r>
              <w:rPr>
                <w:sz w:val="18"/>
                <w:szCs w:val="18"/>
              </w:rPr>
              <w:t xml:space="preserve"> </w:t>
            </w:r>
            <w:r>
              <w:rPr>
                <w:spacing w:val="5"/>
                <w:sz w:val="18"/>
                <w:szCs w:val="18"/>
              </w:rPr>
              <w:t>月的经济业务，给出各</w:t>
            </w:r>
            <w:r>
              <w:rPr>
                <w:spacing w:val="2"/>
                <w:sz w:val="18"/>
                <w:szCs w:val="18"/>
              </w:rPr>
              <w:t xml:space="preserve">  </w:t>
            </w:r>
            <w:r>
              <w:rPr>
                <w:spacing w:val="5"/>
                <w:sz w:val="18"/>
                <w:szCs w:val="18"/>
              </w:rPr>
              <w:t>账户的期初余额及20笔</w:t>
            </w:r>
            <w:r>
              <w:rPr>
                <w:spacing w:val="1"/>
                <w:sz w:val="18"/>
                <w:szCs w:val="18"/>
              </w:rPr>
              <w:t xml:space="preserve">  </w:t>
            </w:r>
            <w:r>
              <w:rPr>
                <w:spacing w:val="5"/>
                <w:sz w:val="18"/>
                <w:szCs w:val="18"/>
              </w:rPr>
              <w:t>左右的记账凭证，执行</w:t>
            </w:r>
            <w:r>
              <w:rPr>
                <w:spacing w:val="4"/>
                <w:sz w:val="18"/>
                <w:szCs w:val="18"/>
              </w:rPr>
              <w:t xml:space="preserve">  </w:t>
            </w:r>
            <w:r>
              <w:rPr>
                <w:spacing w:val="-10"/>
                <w:sz w:val="18"/>
                <w:szCs w:val="18"/>
              </w:rPr>
              <w:t>《小企业会计准则》(2011</w:t>
            </w:r>
            <w:r>
              <w:rPr>
                <w:spacing w:val="4"/>
                <w:sz w:val="18"/>
                <w:szCs w:val="18"/>
              </w:rPr>
              <w:t xml:space="preserve"> </w:t>
            </w:r>
            <w:r>
              <w:rPr>
                <w:spacing w:val="1"/>
                <w:sz w:val="18"/>
                <w:szCs w:val="18"/>
              </w:rPr>
              <w:t>年)和现行税法，完成</w:t>
            </w:r>
          </w:p>
          <w:p w14:paraId="6B8CB0CB">
            <w:pPr>
              <w:pStyle w:val="6"/>
              <w:spacing w:before="5" w:line="228" w:lineRule="auto"/>
              <w:ind w:left="15" w:right="79" w:firstLine="49"/>
              <w:rPr>
                <w:sz w:val="18"/>
                <w:szCs w:val="18"/>
              </w:rPr>
            </w:pPr>
            <w:r>
              <w:rPr>
                <w:spacing w:val="-1"/>
                <w:sz w:val="18"/>
                <w:szCs w:val="18"/>
              </w:rPr>
              <w:t>科目汇总表、资产负债</w:t>
            </w:r>
            <w:r>
              <w:rPr>
                <w:spacing w:val="1"/>
                <w:sz w:val="18"/>
                <w:szCs w:val="18"/>
              </w:rPr>
              <w:t xml:space="preserve"> </w:t>
            </w:r>
            <w:r>
              <w:rPr>
                <w:sz w:val="18"/>
                <w:szCs w:val="18"/>
              </w:rPr>
              <w:t>表及利润表的编制。</w:t>
            </w:r>
          </w:p>
        </w:tc>
        <w:tc>
          <w:tcPr>
            <w:tcW w:w="2632" w:type="dxa"/>
            <w:tcBorders>
              <w:top w:val="single" w:color="000000" w:sz="2" w:space="0"/>
              <w:bottom w:val="single" w:color="000000" w:sz="2" w:space="0"/>
            </w:tcBorders>
            <w:vAlign w:val="top"/>
          </w:tcPr>
          <w:p w14:paraId="3AF2BC9A">
            <w:pPr>
              <w:spacing w:line="261" w:lineRule="auto"/>
              <w:rPr>
                <w:rFonts w:ascii="Arial"/>
                <w:sz w:val="21"/>
              </w:rPr>
            </w:pPr>
          </w:p>
          <w:p w14:paraId="1623EE30">
            <w:pPr>
              <w:spacing w:line="262" w:lineRule="auto"/>
              <w:rPr>
                <w:rFonts w:ascii="Arial"/>
                <w:sz w:val="21"/>
              </w:rPr>
            </w:pPr>
          </w:p>
          <w:p w14:paraId="5095A2F8">
            <w:pPr>
              <w:pStyle w:val="6"/>
              <w:spacing w:before="58" w:line="219" w:lineRule="auto"/>
              <w:ind w:left="17"/>
              <w:rPr>
                <w:sz w:val="18"/>
                <w:szCs w:val="18"/>
              </w:rPr>
            </w:pPr>
            <w:r>
              <w:rPr>
                <w:spacing w:val="-2"/>
                <w:sz w:val="18"/>
                <w:szCs w:val="18"/>
              </w:rPr>
              <w:t>限时60分钟，满分</w:t>
            </w:r>
            <w:r>
              <w:rPr>
                <w:spacing w:val="18"/>
                <w:sz w:val="18"/>
                <w:szCs w:val="18"/>
              </w:rPr>
              <w:t xml:space="preserve">  </w:t>
            </w:r>
            <w:r>
              <w:rPr>
                <w:spacing w:val="-2"/>
                <w:sz w:val="18"/>
                <w:szCs w:val="18"/>
              </w:rPr>
              <w:t>100分。</w:t>
            </w:r>
          </w:p>
          <w:p w14:paraId="16BE4917">
            <w:pPr>
              <w:pStyle w:val="6"/>
              <w:spacing w:before="5" w:line="224" w:lineRule="auto"/>
              <w:ind w:left="17"/>
              <w:rPr>
                <w:sz w:val="18"/>
                <w:szCs w:val="18"/>
              </w:rPr>
            </w:pPr>
            <w:r>
              <w:rPr>
                <w:spacing w:val="2"/>
                <w:sz w:val="18"/>
                <w:szCs w:val="18"/>
              </w:rPr>
              <w:t>1.科目汇总表的编制</w:t>
            </w:r>
            <w:r>
              <w:rPr>
                <w:spacing w:val="11"/>
                <w:sz w:val="18"/>
                <w:szCs w:val="18"/>
              </w:rPr>
              <w:t xml:space="preserve">    </w:t>
            </w:r>
            <w:r>
              <w:rPr>
                <w:spacing w:val="2"/>
                <w:sz w:val="18"/>
                <w:szCs w:val="18"/>
              </w:rPr>
              <w:t xml:space="preserve">40分； </w:t>
            </w:r>
            <w:r>
              <w:rPr>
                <w:spacing w:val="-7"/>
                <w:sz w:val="18"/>
                <w:szCs w:val="18"/>
              </w:rPr>
              <w:t>2.资产负债表的编制</w:t>
            </w:r>
            <w:r>
              <w:rPr>
                <w:spacing w:val="6"/>
                <w:sz w:val="18"/>
                <w:szCs w:val="18"/>
              </w:rPr>
              <w:t xml:space="preserve">    </w:t>
            </w:r>
            <w:r>
              <w:rPr>
                <w:spacing w:val="-7"/>
                <w:position w:val="-1"/>
                <w:sz w:val="18"/>
                <w:szCs w:val="18"/>
              </w:rPr>
              <w:t>3</w:t>
            </w:r>
            <w:r>
              <w:rPr>
                <w:spacing w:val="-35"/>
                <w:position w:val="-1"/>
                <w:sz w:val="18"/>
                <w:szCs w:val="18"/>
              </w:rPr>
              <w:t xml:space="preserve"> </w:t>
            </w:r>
            <w:r>
              <w:rPr>
                <w:spacing w:val="-7"/>
                <w:position w:val="-1"/>
                <w:sz w:val="18"/>
                <w:szCs w:val="18"/>
              </w:rPr>
              <w:t>0</w:t>
            </w:r>
            <w:r>
              <w:rPr>
                <w:spacing w:val="-34"/>
                <w:position w:val="-1"/>
                <w:sz w:val="18"/>
                <w:szCs w:val="18"/>
              </w:rPr>
              <w:t xml:space="preserve"> </w:t>
            </w:r>
            <w:r>
              <w:rPr>
                <w:spacing w:val="-7"/>
                <w:position w:val="-1"/>
                <w:sz w:val="18"/>
                <w:szCs w:val="18"/>
              </w:rPr>
              <w:t>分</w:t>
            </w:r>
            <w:r>
              <w:rPr>
                <w:spacing w:val="-44"/>
                <w:position w:val="-1"/>
                <w:sz w:val="18"/>
                <w:szCs w:val="18"/>
              </w:rPr>
              <w:t xml:space="preserve"> </w:t>
            </w:r>
            <w:r>
              <w:rPr>
                <w:spacing w:val="-7"/>
                <w:position w:val="-1"/>
                <w:sz w:val="18"/>
                <w:szCs w:val="18"/>
              </w:rPr>
              <w:t>；</w:t>
            </w:r>
            <w:r>
              <w:rPr>
                <w:position w:val="-1"/>
                <w:sz w:val="18"/>
                <w:szCs w:val="18"/>
              </w:rPr>
              <w:t xml:space="preserve"> </w:t>
            </w:r>
            <w:r>
              <w:rPr>
                <w:spacing w:val="-1"/>
                <w:sz w:val="18"/>
                <w:szCs w:val="18"/>
              </w:rPr>
              <w:t>3.利润表的编制        30分。</w:t>
            </w:r>
          </w:p>
        </w:tc>
      </w:tr>
      <w:tr w14:paraId="69D974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37" w:hRule="atLeast"/>
        </w:trPr>
        <w:tc>
          <w:tcPr>
            <w:tcW w:w="794" w:type="dxa"/>
            <w:tcBorders>
              <w:top w:val="single" w:color="000000" w:sz="2" w:space="0"/>
              <w:bottom w:val="single" w:color="000000" w:sz="2" w:space="0"/>
            </w:tcBorders>
            <w:vAlign w:val="top"/>
          </w:tcPr>
          <w:p w14:paraId="2D7D1E03">
            <w:pPr>
              <w:spacing w:line="251" w:lineRule="auto"/>
              <w:rPr>
                <w:rFonts w:ascii="Arial"/>
                <w:sz w:val="21"/>
              </w:rPr>
            </w:pPr>
          </w:p>
          <w:p w14:paraId="459019C1">
            <w:pPr>
              <w:spacing w:line="251" w:lineRule="auto"/>
              <w:rPr>
                <w:rFonts w:ascii="Arial"/>
                <w:sz w:val="21"/>
              </w:rPr>
            </w:pPr>
          </w:p>
          <w:p w14:paraId="4395C0AD">
            <w:pPr>
              <w:spacing w:line="251" w:lineRule="auto"/>
              <w:rPr>
                <w:rFonts w:ascii="Arial"/>
                <w:sz w:val="21"/>
              </w:rPr>
            </w:pPr>
          </w:p>
          <w:p w14:paraId="64028B54">
            <w:pPr>
              <w:spacing w:line="251" w:lineRule="auto"/>
              <w:rPr>
                <w:rFonts w:ascii="Arial"/>
                <w:sz w:val="21"/>
              </w:rPr>
            </w:pPr>
          </w:p>
          <w:p w14:paraId="1DC664B3">
            <w:pPr>
              <w:spacing w:line="251" w:lineRule="auto"/>
              <w:rPr>
                <w:rFonts w:ascii="Arial"/>
                <w:sz w:val="21"/>
              </w:rPr>
            </w:pPr>
          </w:p>
          <w:p w14:paraId="26BD9903">
            <w:pPr>
              <w:spacing w:line="251" w:lineRule="auto"/>
              <w:rPr>
                <w:rFonts w:ascii="Arial"/>
                <w:sz w:val="21"/>
              </w:rPr>
            </w:pPr>
          </w:p>
          <w:p w14:paraId="66B901FA">
            <w:pPr>
              <w:pStyle w:val="6"/>
              <w:spacing w:before="59" w:line="222" w:lineRule="auto"/>
              <w:ind w:left="15" w:right="45"/>
              <w:rPr>
                <w:sz w:val="18"/>
                <w:szCs w:val="18"/>
              </w:rPr>
            </w:pPr>
            <w:r>
              <w:rPr>
                <w:sz w:val="18"/>
                <w:szCs w:val="18"/>
              </w:rPr>
              <w:t>项目四： 会计电算</w:t>
            </w:r>
            <w:r>
              <w:rPr>
                <w:spacing w:val="2"/>
                <w:sz w:val="18"/>
                <w:szCs w:val="18"/>
              </w:rPr>
              <w:t xml:space="preserve"> </w:t>
            </w:r>
            <w:r>
              <w:rPr>
                <w:sz w:val="18"/>
                <w:szCs w:val="18"/>
              </w:rPr>
              <w:t>化软件操</w:t>
            </w:r>
            <w:r>
              <w:rPr>
                <w:spacing w:val="1"/>
                <w:sz w:val="18"/>
                <w:szCs w:val="18"/>
              </w:rPr>
              <w:t xml:space="preserve"> </w:t>
            </w:r>
            <w:r>
              <w:rPr>
                <w:sz w:val="18"/>
                <w:szCs w:val="18"/>
              </w:rPr>
              <w:t>作</w:t>
            </w:r>
          </w:p>
        </w:tc>
        <w:tc>
          <w:tcPr>
            <w:tcW w:w="1159" w:type="dxa"/>
            <w:tcBorders>
              <w:top w:val="single" w:color="000000" w:sz="2" w:space="0"/>
              <w:bottom w:val="single" w:color="000000" w:sz="2" w:space="0"/>
            </w:tcBorders>
            <w:vAlign w:val="top"/>
          </w:tcPr>
          <w:p w14:paraId="7632668E">
            <w:pPr>
              <w:spacing w:line="271" w:lineRule="auto"/>
              <w:rPr>
                <w:rFonts w:ascii="Arial"/>
                <w:sz w:val="21"/>
              </w:rPr>
            </w:pPr>
          </w:p>
          <w:p w14:paraId="0861F0DC">
            <w:pPr>
              <w:spacing w:line="271" w:lineRule="auto"/>
              <w:rPr>
                <w:rFonts w:ascii="Arial"/>
                <w:sz w:val="21"/>
              </w:rPr>
            </w:pPr>
          </w:p>
          <w:p w14:paraId="14FE441F">
            <w:pPr>
              <w:spacing w:line="271" w:lineRule="auto"/>
              <w:rPr>
                <w:rFonts w:ascii="Arial"/>
                <w:sz w:val="21"/>
              </w:rPr>
            </w:pPr>
          </w:p>
          <w:p w14:paraId="30DACF31">
            <w:pPr>
              <w:spacing w:line="271" w:lineRule="auto"/>
              <w:rPr>
                <w:rFonts w:ascii="Arial"/>
                <w:sz w:val="21"/>
              </w:rPr>
            </w:pPr>
          </w:p>
          <w:p w14:paraId="7A0E5859">
            <w:pPr>
              <w:spacing w:line="271" w:lineRule="auto"/>
              <w:rPr>
                <w:rFonts w:ascii="Arial"/>
                <w:sz w:val="21"/>
              </w:rPr>
            </w:pPr>
          </w:p>
          <w:p w14:paraId="6443694A">
            <w:pPr>
              <w:spacing w:line="271" w:lineRule="auto"/>
              <w:rPr>
                <w:rFonts w:ascii="Arial"/>
                <w:sz w:val="21"/>
              </w:rPr>
            </w:pPr>
          </w:p>
          <w:p w14:paraId="276E34AC">
            <w:pPr>
              <w:pStyle w:val="6"/>
              <w:spacing w:before="59" w:line="221" w:lineRule="auto"/>
              <w:ind w:left="11" w:right="26" w:firstLine="10"/>
              <w:jc w:val="both"/>
              <w:rPr>
                <w:sz w:val="18"/>
                <w:szCs w:val="18"/>
              </w:rPr>
            </w:pPr>
            <w:r>
              <w:rPr>
                <w:spacing w:val="-2"/>
                <w:sz w:val="18"/>
                <w:szCs w:val="18"/>
              </w:rPr>
              <w:t>使用相应的财</w:t>
            </w:r>
            <w:r>
              <w:rPr>
                <w:spacing w:val="3"/>
                <w:sz w:val="18"/>
                <w:szCs w:val="18"/>
              </w:rPr>
              <w:t xml:space="preserve"> </w:t>
            </w:r>
            <w:r>
              <w:rPr>
                <w:spacing w:val="5"/>
                <w:sz w:val="18"/>
                <w:szCs w:val="18"/>
              </w:rPr>
              <w:t>务软件，启用</w:t>
            </w:r>
            <w:r>
              <w:rPr>
                <w:sz w:val="18"/>
                <w:szCs w:val="18"/>
              </w:rPr>
              <w:t xml:space="preserve"> </w:t>
            </w:r>
            <w:r>
              <w:rPr>
                <w:spacing w:val="-1"/>
                <w:sz w:val="18"/>
                <w:szCs w:val="18"/>
              </w:rPr>
              <w:t>总账系统。</w:t>
            </w:r>
          </w:p>
        </w:tc>
        <w:tc>
          <w:tcPr>
            <w:tcW w:w="989" w:type="dxa"/>
            <w:tcBorders>
              <w:top w:val="single" w:color="000000" w:sz="2" w:space="0"/>
              <w:bottom w:val="single" w:color="000000" w:sz="2" w:space="0"/>
            </w:tcBorders>
            <w:vAlign w:val="top"/>
          </w:tcPr>
          <w:p w14:paraId="69C502F4">
            <w:pPr>
              <w:spacing w:line="425" w:lineRule="auto"/>
              <w:rPr>
                <w:rFonts w:ascii="Arial"/>
                <w:sz w:val="21"/>
              </w:rPr>
            </w:pPr>
          </w:p>
          <w:p w14:paraId="5805DBAA">
            <w:pPr>
              <w:pStyle w:val="6"/>
              <w:spacing w:before="59" w:line="225" w:lineRule="auto"/>
              <w:ind w:left="12" w:firstLine="18"/>
              <w:jc w:val="both"/>
              <w:rPr>
                <w:sz w:val="18"/>
                <w:szCs w:val="18"/>
              </w:rPr>
            </w:pPr>
            <w:r>
              <w:rPr>
                <w:spacing w:val="-11"/>
                <w:sz w:val="18"/>
                <w:szCs w:val="18"/>
              </w:rPr>
              <w:t>完成账套的</w:t>
            </w:r>
            <w:r>
              <w:rPr>
                <w:sz w:val="18"/>
                <w:szCs w:val="18"/>
              </w:rPr>
              <w:t xml:space="preserve">  </w:t>
            </w:r>
            <w:r>
              <w:rPr>
                <w:spacing w:val="8"/>
                <w:sz w:val="18"/>
                <w:szCs w:val="18"/>
              </w:rPr>
              <w:t>初始设置、</w:t>
            </w:r>
            <w:r>
              <w:rPr>
                <w:sz w:val="18"/>
                <w:szCs w:val="18"/>
              </w:rPr>
              <w:t xml:space="preserve"> </w:t>
            </w:r>
            <w:r>
              <w:rPr>
                <w:spacing w:val="-11"/>
                <w:sz w:val="18"/>
                <w:szCs w:val="18"/>
              </w:rPr>
              <w:t>在总账系统</w:t>
            </w:r>
            <w:r>
              <w:rPr>
                <w:sz w:val="18"/>
                <w:szCs w:val="18"/>
              </w:rPr>
              <w:t xml:space="preserve">  </w:t>
            </w:r>
            <w:r>
              <w:rPr>
                <w:spacing w:val="-9"/>
                <w:sz w:val="18"/>
                <w:szCs w:val="18"/>
              </w:rPr>
              <w:t>中填制或完</w:t>
            </w:r>
            <w:r>
              <w:rPr>
                <w:spacing w:val="1"/>
                <w:sz w:val="18"/>
                <w:szCs w:val="18"/>
              </w:rPr>
              <w:t xml:space="preserve">  </w:t>
            </w:r>
            <w:r>
              <w:rPr>
                <w:spacing w:val="-19"/>
                <w:sz w:val="18"/>
                <w:szCs w:val="18"/>
              </w:rPr>
              <w:t>善会计凭证、</w:t>
            </w:r>
            <w:r>
              <w:rPr>
                <w:sz w:val="18"/>
                <w:szCs w:val="18"/>
              </w:rPr>
              <w:t xml:space="preserve"> </w:t>
            </w:r>
            <w:r>
              <w:rPr>
                <w:spacing w:val="-8"/>
                <w:sz w:val="18"/>
                <w:szCs w:val="18"/>
              </w:rPr>
              <w:t>并完成审核</w:t>
            </w:r>
            <w:r>
              <w:rPr>
                <w:sz w:val="18"/>
                <w:szCs w:val="18"/>
              </w:rPr>
              <w:t xml:space="preserve">  </w:t>
            </w:r>
            <w:r>
              <w:rPr>
                <w:spacing w:val="-19"/>
                <w:sz w:val="18"/>
                <w:szCs w:val="18"/>
              </w:rPr>
              <w:t>凭证、记账、</w:t>
            </w:r>
            <w:r>
              <w:rPr>
                <w:sz w:val="18"/>
                <w:szCs w:val="18"/>
              </w:rPr>
              <w:t xml:space="preserve"> </w:t>
            </w:r>
            <w:r>
              <w:rPr>
                <w:spacing w:val="-19"/>
                <w:w w:val="93"/>
                <w:sz w:val="18"/>
                <w:szCs w:val="18"/>
              </w:rPr>
              <w:t>对账、结账等</w:t>
            </w:r>
            <w:r>
              <w:rPr>
                <w:spacing w:val="1"/>
                <w:sz w:val="18"/>
                <w:szCs w:val="18"/>
              </w:rPr>
              <w:t xml:space="preserve">  </w:t>
            </w:r>
            <w:r>
              <w:rPr>
                <w:spacing w:val="-17"/>
                <w:w w:val="92"/>
                <w:sz w:val="18"/>
                <w:szCs w:val="18"/>
              </w:rPr>
              <w:t>程序、期末编</w:t>
            </w:r>
            <w:r>
              <w:rPr>
                <w:spacing w:val="6"/>
                <w:sz w:val="18"/>
                <w:szCs w:val="18"/>
              </w:rPr>
              <w:t xml:space="preserve"> </w:t>
            </w:r>
            <w:r>
              <w:rPr>
                <w:spacing w:val="-12"/>
                <w:sz w:val="18"/>
                <w:szCs w:val="18"/>
              </w:rPr>
              <w:t>制资产负债</w:t>
            </w:r>
            <w:r>
              <w:rPr>
                <w:spacing w:val="1"/>
                <w:sz w:val="18"/>
                <w:szCs w:val="18"/>
              </w:rPr>
              <w:t xml:space="preserve">  </w:t>
            </w:r>
            <w:r>
              <w:rPr>
                <w:spacing w:val="-19"/>
                <w:sz w:val="18"/>
                <w:szCs w:val="18"/>
              </w:rPr>
              <w:t>表和利润表，</w:t>
            </w:r>
            <w:r>
              <w:rPr>
                <w:sz w:val="18"/>
                <w:szCs w:val="18"/>
              </w:rPr>
              <w:t xml:space="preserve"> </w:t>
            </w:r>
            <w:r>
              <w:rPr>
                <w:spacing w:val="-9"/>
                <w:sz w:val="18"/>
                <w:szCs w:val="18"/>
              </w:rPr>
              <w:t>并将其按要</w:t>
            </w:r>
            <w:r>
              <w:rPr>
                <w:spacing w:val="1"/>
                <w:sz w:val="18"/>
                <w:szCs w:val="18"/>
              </w:rPr>
              <w:t xml:space="preserve">  </w:t>
            </w:r>
            <w:r>
              <w:rPr>
                <w:spacing w:val="-9"/>
                <w:sz w:val="18"/>
                <w:szCs w:val="18"/>
              </w:rPr>
              <w:t>求保存。</w:t>
            </w:r>
          </w:p>
        </w:tc>
        <w:tc>
          <w:tcPr>
            <w:tcW w:w="1188" w:type="dxa"/>
            <w:tcBorders>
              <w:top w:val="single" w:color="000000" w:sz="2" w:space="0"/>
              <w:bottom w:val="single" w:color="000000" w:sz="2" w:space="0"/>
            </w:tcBorders>
            <w:vAlign w:val="top"/>
          </w:tcPr>
          <w:p w14:paraId="1C61DEFF">
            <w:pPr>
              <w:spacing w:line="270" w:lineRule="auto"/>
              <w:rPr>
                <w:rFonts w:ascii="Arial"/>
                <w:sz w:val="21"/>
              </w:rPr>
            </w:pPr>
          </w:p>
          <w:p w14:paraId="79B09429">
            <w:pPr>
              <w:spacing w:line="270" w:lineRule="auto"/>
              <w:rPr>
                <w:rFonts w:ascii="Arial"/>
                <w:sz w:val="21"/>
              </w:rPr>
            </w:pPr>
          </w:p>
          <w:p w14:paraId="074EC7C1">
            <w:pPr>
              <w:spacing w:line="271" w:lineRule="auto"/>
              <w:rPr>
                <w:rFonts w:ascii="Arial"/>
                <w:sz w:val="21"/>
              </w:rPr>
            </w:pPr>
          </w:p>
          <w:p w14:paraId="51798B0D">
            <w:pPr>
              <w:spacing w:line="271" w:lineRule="auto"/>
              <w:rPr>
                <w:rFonts w:ascii="Arial"/>
                <w:sz w:val="21"/>
              </w:rPr>
            </w:pPr>
          </w:p>
          <w:p w14:paraId="6FF7E964">
            <w:pPr>
              <w:spacing w:line="271" w:lineRule="auto"/>
              <w:rPr>
                <w:rFonts w:ascii="Arial"/>
                <w:sz w:val="21"/>
              </w:rPr>
            </w:pPr>
          </w:p>
          <w:p w14:paraId="1F1F5C33">
            <w:pPr>
              <w:spacing w:line="271" w:lineRule="auto"/>
              <w:rPr>
                <w:rFonts w:ascii="Arial"/>
                <w:sz w:val="21"/>
              </w:rPr>
            </w:pPr>
          </w:p>
          <w:p w14:paraId="0E4545A9">
            <w:pPr>
              <w:pStyle w:val="6"/>
              <w:spacing w:before="59" w:line="228" w:lineRule="auto"/>
              <w:ind w:left="13" w:right="61" w:firstLine="29"/>
              <w:jc w:val="both"/>
              <w:rPr>
                <w:sz w:val="18"/>
                <w:szCs w:val="18"/>
              </w:rPr>
            </w:pPr>
            <w:r>
              <w:rPr>
                <w:spacing w:val="-2"/>
                <w:sz w:val="18"/>
                <w:szCs w:val="18"/>
              </w:rPr>
              <w:t>机试。完成会</w:t>
            </w:r>
            <w:r>
              <w:rPr>
                <w:spacing w:val="4"/>
                <w:sz w:val="18"/>
                <w:szCs w:val="18"/>
              </w:rPr>
              <w:t xml:space="preserve"> </w:t>
            </w:r>
            <w:r>
              <w:rPr>
                <w:spacing w:val="3"/>
                <w:sz w:val="18"/>
                <w:szCs w:val="18"/>
              </w:rPr>
              <w:t xml:space="preserve">计电算化操作 </w:t>
            </w:r>
            <w:r>
              <w:rPr>
                <w:spacing w:val="-1"/>
                <w:sz w:val="18"/>
                <w:szCs w:val="18"/>
              </w:rPr>
              <w:t>流程。</w:t>
            </w:r>
          </w:p>
        </w:tc>
        <w:tc>
          <w:tcPr>
            <w:tcW w:w="1948" w:type="dxa"/>
            <w:tcBorders>
              <w:top w:val="single" w:color="000000" w:sz="2" w:space="0"/>
              <w:bottom w:val="single" w:color="000000" w:sz="2" w:space="0"/>
            </w:tcBorders>
            <w:vAlign w:val="top"/>
          </w:tcPr>
          <w:p w14:paraId="5E3BAF7B">
            <w:pPr>
              <w:pStyle w:val="6"/>
              <w:spacing w:before="164" w:line="216" w:lineRule="auto"/>
              <w:ind w:left="65"/>
              <w:rPr>
                <w:sz w:val="18"/>
                <w:szCs w:val="18"/>
              </w:rPr>
            </w:pPr>
            <w:r>
              <w:rPr>
                <w:spacing w:val="1"/>
                <w:sz w:val="18"/>
                <w:szCs w:val="18"/>
              </w:rPr>
              <w:t>资料模拟制造业企业一</w:t>
            </w:r>
          </w:p>
          <w:p w14:paraId="4924D71B">
            <w:pPr>
              <w:pStyle w:val="6"/>
              <w:spacing w:before="2" w:line="194" w:lineRule="auto"/>
              <w:ind w:left="25" w:right="81" w:firstLine="89"/>
              <w:rPr>
                <w:sz w:val="18"/>
                <w:szCs w:val="18"/>
              </w:rPr>
            </w:pPr>
            <w:r>
              <w:rPr>
                <w:spacing w:val="-1"/>
                <w:sz w:val="18"/>
                <w:szCs w:val="18"/>
              </w:rPr>
              <w:t>个月的10-15笔经济业</w:t>
            </w:r>
            <w:r>
              <w:rPr>
                <w:spacing w:val="3"/>
                <w:sz w:val="18"/>
                <w:szCs w:val="18"/>
              </w:rPr>
              <w:t xml:space="preserve"> 务，执行《小企业会计</w:t>
            </w:r>
            <w:r>
              <w:rPr>
                <w:sz w:val="18"/>
                <w:szCs w:val="18"/>
              </w:rPr>
              <w:t xml:space="preserve"> </w:t>
            </w:r>
            <w:r>
              <w:rPr>
                <w:spacing w:val="-1"/>
                <w:sz w:val="18"/>
                <w:szCs w:val="18"/>
              </w:rPr>
              <w:t>准则》(2011年)和现</w:t>
            </w:r>
          </w:p>
          <w:p w14:paraId="5093B1CC">
            <w:pPr>
              <w:pStyle w:val="6"/>
              <w:spacing w:before="1" w:line="184" w:lineRule="auto"/>
              <w:ind w:left="65" w:right="65"/>
              <w:rPr>
                <w:sz w:val="18"/>
                <w:szCs w:val="18"/>
              </w:rPr>
            </w:pPr>
            <w:r>
              <w:rPr>
                <w:spacing w:val="-1"/>
                <w:sz w:val="18"/>
                <w:szCs w:val="18"/>
              </w:rPr>
              <w:t>行税法，运用记账凭证</w:t>
            </w:r>
            <w:r>
              <w:rPr>
                <w:sz w:val="18"/>
                <w:szCs w:val="18"/>
              </w:rPr>
              <w:t xml:space="preserve"> </w:t>
            </w:r>
            <w:r>
              <w:rPr>
                <w:spacing w:val="-1"/>
                <w:sz w:val="18"/>
                <w:szCs w:val="18"/>
              </w:rPr>
              <w:t>核算形式，选手根据题</w:t>
            </w:r>
            <w:r>
              <w:rPr>
                <w:sz w:val="18"/>
                <w:szCs w:val="18"/>
              </w:rPr>
              <w:t xml:space="preserve"> 目要求完成相关业务处</w:t>
            </w:r>
          </w:p>
          <w:p w14:paraId="0186C4F3">
            <w:pPr>
              <w:pStyle w:val="6"/>
              <w:spacing w:before="1" w:line="189" w:lineRule="auto"/>
              <w:ind w:left="25" w:right="22" w:firstLine="89"/>
            </w:pPr>
            <w:r>
              <w:rPr>
                <w:spacing w:val="-1"/>
                <w:sz w:val="18"/>
                <w:szCs w:val="18"/>
              </w:rPr>
              <w:t>理。主要为以下内容：</w:t>
            </w:r>
            <w:r>
              <w:rPr>
                <w:spacing w:val="8"/>
                <w:sz w:val="18"/>
                <w:szCs w:val="18"/>
              </w:rPr>
              <w:t xml:space="preserve"> </w:t>
            </w:r>
            <w:r>
              <w:rPr>
                <w:spacing w:val="9"/>
              </w:rPr>
              <w:t>建账或完善账套资料。</w:t>
            </w:r>
          </w:p>
          <w:p w14:paraId="337610AA">
            <w:pPr>
              <w:pStyle w:val="6"/>
              <w:spacing w:line="195" w:lineRule="auto"/>
              <w:ind w:left="25"/>
            </w:pPr>
            <w:r>
              <w:rPr>
                <w:spacing w:val="3"/>
              </w:rPr>
              <w:t>增加操作员及权限设置。</w:t>
            </w:r>
            <w:r>
              <w:rPr>
                <w:spacing w:val="8"/>
              </w:rPr>
              <w:t xml:space="preserve"> </w:t>
            </w:r>
            <w:r>
              <w:rPr>
                <w:spacing w:val="4"/>
              </w:rPr>
              <w:t>设置基础档案。</w:t>
            </w:r>
          </w:p>
          <w:p w14:paraId="105B1CFF">
            <w:pPr>
              <w:pStyle w:val="6"/>
              <w:spacing w:line="185" w:lineRule="auto"/>
              <w:ind w:left="15" w:right="65" w:firstLine="49"/>
              <w:rPr>
                <w:sz w:val="18"/>
                <w:szCs w:val="18"/>
              </w:rPr>
            </w:pPr>
            <w:r>
              <w:rPr>
                <w:spacing w:val="10"/>
              </w:rPr>
              <w:t>进行科目设置及其他基</w:t>
            </w:r>
            <w:r>
              <w:rPr>
                <w:spacing w:val="6"/>
              </w:rPr>
              <w:t xml:space="preserve"> </w:t>
            </w:r>
            <w:r>
              <w:rPr>
                <w:spacing w:val="-1"/>
                <w:sz w:val="18"/>
                <w:szCs w:val="18"/>
              </w:rPr>
              <w:t>础财务信息设置。</w:t>
            </w:r>
          </w:p>
          <w:p w14:paraId="2867B5C8">
            <w:pPr>
              <w:pStyle w:val="6"/>
              <w:spacing w:line="191" w:lineRule="auto"/>
              <w:ind w:left="15"/>
              <w:jc w:val="both"/>
              <w:rPr>
                <w:sz w:val="18"/>
                <w:szCs w:val="18"/>
              </w:rPr>
            </w:pPr>
            <w:r>
              <w:rPr>
                <w:spacing w:val="-13"/>
                <w:sz w:val="18"/>
                <w:szCs w:val="18"/>
              </w:rPr>
              <w:t>设置总账系统参数并录入</w:t>
            </w:r>
            <w:r>
              <w:rPr>
                <w:spacing w:val="3"/>
                <w:sz w:val="18"/>
                <w:szCs w:val="18"/>
              </w:rPr>
              <w:t xml:space="preserve">  </w:t>
            </w:r>
            <w:r>
              <w:rPr>
                <w:spacing w:val="-10"/>
              </w:rPr>
              <w:t>期初余额、进行试算平衡。</w:t>
            </w:r>
            <w:r>
              <w:rPr>
                <w:spacing w:val="1"/>
              </w:rPr>
              <w:t xml:space="preserve"> </w:t>
            </w:r>
            <w:r>
              <w:rPr>
                <w:spacing w:val="8"/>
              </w:rPr>
              <w:t>在总账系统中填制、审</w:t>
            </w:r>
            <w:r>
              <w:rPr>
                <w:spacing w:val="1"/>
              </w:rPr>
              <w:t xml:space="preserve">  </w:t>
            </w:r>
            <w:r>
              <w:rPr>
                <w:spacing w:val="-6"/>
                <w:sz w:val="18"/>
                <w:szCs w:val="18"/>
              </w:rPr>
              <w:t>核凭证、进行出纳签字、</w:t>
            </w:r>
            <w:r>
              <w:rPr>
                <w:spacing w:val="7"/>
                <w:sz w:val="18"/>
                <w:szCs w:val="18"/>
              </w:rPr>
              <w:t xml:space="preserve"> </w:t>
            </w:r>
            <w:r>
              <w:rPr>
                <w:spacing w:val="-6"/>
                <w:sz w:val="18"/>
                <w:szCs w:val="18"/>
              </w:rPr>
              <w:t>执行记账。</w:t>
            </w:r>
          </w:p>
          <w:p w14:paraId="47D694AE">
            <w:pPr>
              <w:pStyle w:val="6"/>
              <w:spacing w:before="2" w:line="206" w:lineRule="auto"/>
              <w:ind w:left="15"/>
              <w:rPr>
                <w:sz w:val="18"/>
                <w:szCs w:val="18"/>
              </w:rPr>
            </w:pPr>
            <w:r>
              <w:rPr>
                <w:spacing w:val="-20"/>
                <w:sz w:val="18"/>
                <w:szCs w:val="18"/>
              </w:rPr>
              <w:t>进行总账系统的期末处理。</w:t>
            </w:r>
            <w:r>
              <w:rPr>
                <w:spacing w:val="1"/>
                <w:sz w:val="18"/>
                <w:szCs w:val="18"/>
              </w:rPr>
              <w:t xml:space="preserve"> </w:t>
            </w:r>
            <w:r>
              <w:rPr>
                <w:spacing w:val="-7"/>
                <w:sz w:val="18"/>
                <w:szCs w:val="18"/>
              </w:rPr>
              <w:t>编制财务报表并保存。</w:t>
            </w:r>
          </w:p>
        </w:tc>
        <w:tc>
          <w:tcPr>
            <w:tcW w:w="2632" w:type="dxa"/>
            <w:tcBorders>
              <w:top w:val="single" w:color="000000" w:sz="2" w:space="0"/>
              <w:bottom w:val="single" w:color="000000" w:sz="2" w:space="0"/>
            </w:tcBorders>
            <w:vAlign w:val="top"/>
          </w:tcPr>
          <w:p w14:paraId="666D92A6">
            <w:pPr>
              <w:spacing w:line="292" w:lineRule="auto"/>
              <w:rPr>
                <w:rFonts w:ascii="Arial"/>
                <w:sz w:val="21"/>
              </w:rPr>
            </w:pPr>
          </w:p>
          <w:p w14:paraId="398F41B5">
            <w:pPr>
              <w:spacing w:line="292" w:lineRule="auto"/>
              <w:rPr>
                <w:rFonts w:ascii="Arial"/>
                <w:sz w:val="21"/>
              </w:rPr>
            </w:pPr>
          </w:p>
          <w:p w14:paraId="42F5D03E">
            <w:pPr>
              <w:spacing w:line="293" w:lineRule="auto"/>
              <w:rPr>
                <w:rFonts w:ascii="Arial"/>
                <w:sz w:val="21"/>
              </w:rPr>
            </w:pPr>
          </w:p>
          <w:p w14:paraId="223B2347">
            <w:pPr>
              <w:spacing w:line="293" w:lineRule="auto"/>
              <w:rPr>
                <w:rFonts w:ascii="Arial"/>
                <w:sz w:val="21"/>
              </w:rPr>
            </w:pPr>
          </w:p>
          <w:p w14:paraId="7ADDA0C6">
            <w:pPr>
              <w:pStyle w:val="6"/>
              <w:spacing w:before="58" w:line="220" w:lineRule="auto"/>
              <w:ind w:left="17"/>
              <w:rPr>
                <w:sz w:val="18"/>
                <w:szCs w:val="18"/>
              </w:rPr>
            </w:pPr>
            <w:r>
              <w:rPr>
                <w:sz w:val="18"/>
                <w:szCs w:val="18"/>
              </w:rPr>
              <w:t>限时60分钟，100分。</w:t>
            </w:r>
          </w:p>
          <w:p w14:paraId="4662CCBE">
            <w:pPr>
              <w:pStyle w:val="6"/>
              <w:spacing w:before="25" w:line="204" w:lineRule="auto"/>
              <w:ind w:left="17"/>
              <w:rPr>
                <w:sz w:val="18"/>
                <w:szCs w:val="18"/>
              </w:rPr>
            </w:pPr>
            <w:r>
              <w:rPr>
                <w:spacing w:val="-3"/>
                <w:sz w:val="18"/>
                <w:szCs w:val="18"/>
              </w:rPr>
              <w:t>1.初始设置</w:t>
            </w:r>
            <w:r>
              <w:rPr>
                <w:spacing w:val="3"/>
                <w:sz w:val="18"/>
                <w:szCs w:val="18"/>
              </w:rPr>
              <w:t xml:space="preserve">      </w:t>
            </w:r>
            <w:r>
              <w:rPr>
                <w:spacing w:val="-3"/>
                <w:sz w:val="18"/>
                <w:szCs w:val="18"/>
              </w:rPr>
              <w:t>2</w:t>
            </w:r>
            <w:r>
              <w:rPr>
                <w:spacing w:val="-31"/>
                <w:sz w:val="18"/>
                <w:szCs w:val="18"/>
              </w:rPr>
              <w:t xml:space="preserve"> </w:t>
            </w:r>
            <w:r>
              <w:rPr>
                <w:spacing w:val="-3"/>
                <w:sz w:val="18"/>
                <w:szCs w:val="18"/>
              </w:rPr>
              <w:t>0</w:t>
            </w:r>
            <w:r>
              <w:rPr>
                <w:spacing w:val="-34"/>
                <w:sz w:val="18"/>
                <w:szCs w:val="18"/>
              </w:rPr>
              <w:t xml:space="preserve"> </w:t>
            </w:r>
            <w:r>
              <w:rPr>
                <w:spacing w:val="-3"/>
                <w:sz w:val="18"/>
                <w:szCs w:val="18"/>
              </w:rPr>
              <w:t>分</w:t>
            </w:r>
            <w:r>
              <w:rPr>
                <w:spacing w:val="-42"/>
                <w:sz w:val="18"/>
                <w:szCs w:val="18"/>
              </w:rPr>
              <w:t xml:space="preserve"> </w:t>
            </w:r>
            <w:r>
              <w:rPr>
                <w:spacing w:val="-3"/>
                <w:sz w:val="18"/>
                <w:szCs w:val="18"/>
              </w:rPr>
              <w:t>；</w:t>
            </w:r>
          </w:p>
          <w:p w14:paraId="42C207B3">
            <w:pPr>
              <w:pStyle w:val="6"/>
              <w:spacing w:before="1" w:line="220" w:lineRule="auto"/>
              <w:ind w:left="17" w:right="184"/>
              <w:rPr>
                <w:sz w:val="18"/>
                <w:szCs w:val="18"/>
              </w:rPr>
            </w:pPr>
            <w:r>
              <w:rPr>
                <w:spacing w:val="-1"/>
                <w:sz w:val="18"/>
                <w:szCs w:val="18"/>
              </w:rPr>
              <w:t>2.会计凭证填制(总账系统模块</w:t>
            </w:r>
            <w:r>
              <w:rPr>
                <w:spacing w:val="4"/>
                <w:sz w:val="18"/>
                <w:szCs w:val="18"/>
              </w:rPr>
              <w:t xml:space="preserve"> </w:t>
            </w:r>
            <w:r>
              <w:rPr>
                <w:spacing w:val="1"/>
                <w:position w:val="1"/>
                <w:sz w:val="18"/>
                <w:szCs w:val="18"/>
              </w:rPr>
              <w:t>中进行)</w:t>
            </w:r>
            <w:r>
              <w:rPr>
                <w:spacing w:val="6"/>
                <w:position w:val="1"/>
                <w:sz w:val="18"/>
                <w:szCs w:val="18"/>
              </w:rPr>
              <w:t xml:space="preserve">        </w:t>
            </w:r>
            <w:r>
              <w:rPr>
                <w:spacing w:val="1"/>
                <w:position w:val="-1"/>
                <w:sz w:val="18"/>
                <w:szCs w:val="18"/>
              </w:rPr>
              <w:t>6</w:t>
            </w:r>
            <w:r>
              <w:rPr>
                <w:spacing w:val="-28"/>
                <w:position w:val="-1"/>
                <w:sz w:val="18"/>
                <w:szCs w:val="18"/>
              </w:rPr>
              <w:t xml:space="preserve"> </w:t>
            </w:r>
            <w:r>
              <w:rPr>
                <w:spacing w:val="1"/>
                <w:position w:val="-1"/>
                <w:sz w:val="18"/>
                <w:szCs w:val="18"/>
              </w:rPr>
              <w:t>0</w:t>
            </w:r>
            <w:r>
              <w:rPr>
                <w:spacing w:val="-34"/>
                <w:position w:val="-1"/>
                <w:sz w:val="18"/>
                <w:szCs w:val="18"/>
              </w:rPr>
              <w:t xml:space="preserve"> </w:t>
            </w:r>
            <w:r>
              <w:rPr>
                <w:spacing w:val="1"/>
                <w:position w:val="-1"/>
                <w:sz w:val="18"/>
                <w:szCs w:val="18"/>
              </w:rPr>
              <w:t>分</w:t>
            </w:r>
            <w:r>
              <w:rPr>
                <w:spacing w:val="-43"/>
                <w:position w:val="-1"/>
                <w:sz w:val="18"/>
                <w:szCs w:val="18"/>
              </w:rPr>
              <w:t xml:space="preserve"> </w:t>
            </w:r>
            <w:r>
              <w:rPr>
                <w:spacing w:val="1"/>
                <w:position w:val="-1"/>
                <w:sz w:val="18"/>
                <w:szCs w:val="18"/>
              </w:rPr>
              <w:t>；</w:t>
            </w:r>
          </w:p>
          <w:p w14:paraId="151B59F4">
            <w:pPr>
              <w:pStyle w:val="6"/>
              <w:spacing w:line="215" w:lineRule="auto"/>
              <w:ind w:left="17"/>
              <w:rPr>
                <w:sz w:val="18"/>
                <w:szCs w:val="18"/>
              </w:rPr>
            </w:pPr>
            <w:r>
              <w:rPr>
                <w:spacing w:val="5"/>
                <w:sz w:val="18"/>
                <w:szCs w:val="18"/>
              </w:rPr>
              <w:t>3.凭证审核、出纳签字、记账、</w:t>
            </w:r>
            <w:r>
              <w:rPr>
                <w:spacing w:val="8"/>
                <w:sz w:val="18"/>
                <w:szCs w:val="18"/>
              </w:rPr>
              <w:t xml:space="preserve"> </w:t>
            </w:r>
            <w:r>
              <w:rPr>
                <w:spacing w:val="-6"/>
                <w:sz w:val="18"/>
                <w:szCs w:val="18"/>
              </w:rPr>
              <w:t>对账并结账</w:t>
            </w:r>
            <w:r>
              <w:rPr>
                <w:spacing w:val="1"/>
                <w:sz w:val="18"/>
                <w:szCs w:val="18"/>
              </w:rPr>
              <w:t xml:space="preserve">      </w:t>
            </w:r>
            <w:r>
              <w:rPr>
                <w:spacing w:val="-6"/>
                <w:sz w:val="18"/>
                <w:szCs w:val="18"/>
              </w:rPr>
              <w:t>1</w:t>
            </w:r>
            <w:r>
              <w:rPr>
                <w:spacing w:val="-26"/>
                <w:sz w:val="18"/>
                <w:szCs w:val="18"/>
              </w:rPr>
              <w:t xml:space="preserve"> </w:t>
            </w:r>
            <w:r>
              <w:rPr>
                <w:spacing w:val="-6"/>
                <w:sz w:val="18"/>
                <w:szCs w:val="18"/>
              </w:rPr>
              <w:t>0</w:t>
            </w:r>
            <w:r>
              <w:rPr>
                <w:spacing w:val="-30"/>
                <w:sz w:val="18"/>
                <w:szCs w:val="18"/>
              </w:rPr>
              <w:t xml:space="preserve"> </w:t>
            </w:r>
            <w:r>
              <w:rPr>
                <w:spacing w:val="-6"/>
                <w:sz w:val="18"/>
                <w:szCs w:val="18"/>
              </w:rPr>
              <w:t>分</w:t>
            </w:r>
            <w:r>
              <w:rPr>
                <w:spacing w:val="-39"/>
                <w:sz w:val="18"/>
                <w:szCs w:val="18"/>
              </w:rPr>
              <w:t xml:space="preserve"> </w:t>
            </w:r>
            <w:r>
              <w:rPr>
                <w:spacing w:val="-6"/>
                <w:sz w:val="18"/>
                <w:szCs w:val="18"/>
              </w:rPr>
              <w:t>；</w:t>
            </w:r>
          </w:p>
          <w:p w14:paraId="037E1D90">
            <w:pPr>
              <w:pStyle w:val="6"/>
              <w:spacing w:before="1" w:line="218" w:lineRule="auto"/>
              <w:jc w:val="right"/>
              <w:rPr>
                <w:sz w:val="18"/>
                <w:szCs w:val="18"/>
              </w:rPr>
            </w:pPr>
            <w:r>
              <w:rPr>
                <w:spacing w:val="-7"/>
                <w:sz w:val="18"/>
                <w:szCs w:val="18"/>
              </w:rPr>
              <w:t>4.编制资产负债表和利润表10分。</w:t>
            </w:r>
          </w:p>
        </w:tc>
      </w:tr>
    </w:tbl>
    <w:p w14:paraId="6E5C1E76">
      <w:pPr>
        <w:pStyle w:val="2"/>
        <w:spacing w:line="14" w:lineRule="auto"/>
        <w:rPr>
          <w:sz w:val="2"/>
        </w:rPr>
      </w:pPr>
    </w:p>
    <w:p w14:paraId="7CCCA1C1">
      <w:pPr>
        <w:spacing w:line="14" w:lineRule="auto"/>
        <w:rPr>
          <w:sz w:val="2"/>
          <w:szCs w:val="2"/>
        </w:rPr>
        <w:sectPr>
          <w:type w:val="continuous"/>
          <w:pgSz w:w="10660" w:h="15080"/>
          <w:pgMar w:top="400" w:right="867" w:bottom="898" w:left="1019" w:header="0" w:footer="745" w:gutter="0"/>
          <w:cols w:equalWidth="0" w:num="1">
            <w:col w:w="8773"/>
          </w:cols>
        </w:sectPr>
      </w:pPr>
    </w:p>
    <w:p w14:paraId="60D61E79">
      <w:pPr>
        <w:spacing w:before="13"/>
      </w:pPr>
    </w:p>
    <w:p w14:paraId="7C08F193">
      <w:pPr>
        <w:spacing w:before="12"/>
      </w:pPr>
    </w:p>
    <w:p w14:paraId="26274F57">
      <w:pPr>
        <w:spacing w:before="12"/>
      </w:pPr>
    </w:p>
    <w:p w14:paraId="338626B8">
      <w:pPr>
        <w:spacing w:before="12"/>
      </w:pPr>
    </w:p>
    <w:tbl>
      <w:tblPr>
        <w:tblStyle w:val="5"/>
        <w:tblW w:w="8709"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94"/>
        <w:gridCol w:w="1158"/>
        <w:gridCol w:w="1009"/>
        <w:gridCol w:w="1178"/>
        <w:gridCol w:w="1928"/>
        <w:gridCol w:w="2642"/>
      </w:tblGrid>
      <w:tr w14:paraId="2094F6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5" w:hRule="atLeast"/>
        </w:trPr>
        <w:tc>
          <w:tcPr>
            <w:tcW w:w="794" w:type="dxa"/>
            <w:vAlign w:val="top"/>
          </w:tcPr>
          <w:p w14:paraId="3A61D1CF">
            <w:pPr>
              <w:pStyle w:val="6"/>
              <w:spacing w:before="90" w:line="220" w:lineRule="auto"/>
              <w:ind w:left="17"/>
              <w:rPr>
                <w:sz w:val="18"/>
                <w:szCs w:val="18"/>
              </w:rPr>
            </w:pPr>
            <w:r>
              <w:rPr>
                <w:b/>
                <w:bCs/>
                <w:spacing w:val="5"/>
                <w:sz w:val="18"/>
                <w:szCs w:val="18"/>
              </w:rPr>
              <w:t>测试项目</w:t>
            </w:r>
          </w:p>
        </w:tc>
        <w:tc>
          <w:tcPr>
            <w:tcW w:w="1158" w:type="dxa"/>
            <w:vAlign w:val="top"/>
          </w:tcPr>
          <w:p w14:paraId="191EF717">
            <w:pPr>
              <w:pStyle w:val="6"/>
              <w:spacing w:before="90" w:line="221" w:lineRule="auto"/>
              <w:ind w:left="253"/>
              <w:rPr>
                <w:sz w:val="18"/>
                <w:szCs w:val="18"/>
              </w:rPr>
            </w:pPr>
            <w:r>
              <w:rPr>
                <w:b/>
                <w:bCs/>
                <w:spacing w:val="-4"/>
                <w:sz w:val="18"/>
                <w:szCs w:val="18"/>
              </w:rPr>
              <w:t>测试用具</w:t>
            </w:r>
          </w:p>
        </w:tc>
        <w:tc>
          <w:tcPr>
            <w:tcW w:w="1009" w:type="dxa"/>
            <w:vAlign w:val="top"/>
          </w:tcPr>
          <w:p w14:paraId="521AD46F">
            <w:pPr>
              <w:pStyle w:val="6"/>
              <w:spacing w:before="90" w:line="219" w:lineRule="auto"/>
              <w:ind w:left="135"/>
              <w:rPr>
                <w:sz w:val="18"/>
                <w:szCs w:val="18"/>
              </w:rPr>
            </w:pPr>
            <w:r>
              <w:rPr>
                <w:b/>
                <w:bCs/>
                <w:spacing w:val="-4"/>
                <w:sz w:val="18"/>
                <w:szCs w:val="18"/>
              </w:rPr>
              <w:t>测试内容</w:t>
            </w:r>
          </w:p>
        </w:tc>
        <w:tc>
          <w:tcPr>
            <w:tcW w:w="1178" w:type="dxa"/>
            <w:vAlign w:val="top"/>
          </w:tcPr>
          <w:p w14:paraId="31E32AF1">
            <w:pPr>
              <w:pStyle w:val="6"/>
              <w:spacing w:before="90" w:line="221" w:lineRule="auto"/>
              <w:ind w:left="226"/>
              <w:rPr>
                <w:sz w:val="18"/>
                <w:szCs w:val="18"/>
              </w:rPr>
            </w:pPr>
            <w:r>
              <w:rPr>
                <w:b/>
                <w:bCs/>
                <w:spacing w:val="-4"/>
                <w:sz w:val="18"/>
                <w:szCs w:val="18"/>
              </w:rPr>
              <w:t>测试方法</w:t>
            </w:r>
          </w:p>
        </w:tc>
        <w:tc>
          <w:tcPr>
            <w:tcW w:w="1928" w:type="dxa"/>
            <w:vAlign w:val="top"/>
          </w:tcPr>
          <w:p w14:paraId="07745E26">
            <w:pPr>
              <w:pStyle w:val="6"/>
              <w:spacing w:before="90" w:line="221" w:lineRule="auto"/>
              <w:ind w:left="628"/>
              <w:rPr>
                <w:sz w:val="18"/>
                <w:szCs w:val="18"/>
              </w:rPr>
            </w:pPr>
            <w:r>
              <w:rPr>
                <w:b/>
                <w:bCs/>
                <w:spacing w:val="-4"/>
                <w:sz w:val="18"/>
                <w:szCs w:val="18"/>
              </w:rPr>
              <w:t>测试要求</w:t>
            </w:r>
          </w:p>
        </w:tc>
        <w:tc>
          <w:tcPr>
            <w:tcW w:w="2642" w:type="dxa"/>
            <w:vAlign w:val="top"/>
          </w:tcPr>
          <w:p w14:paraId="3AE132C0">
            <w:pPr>
              <w:pStyle w:val="6"/>
              <w:spacing w:before="90" w:line="219" w:lineRule="auto"/>
              <w:ind w:left="990"/>
              <w:rPr>
                <w:sz w:val="18"/>
                <w:szCs w:val="18"/>
              </w:rPr>
            </w:pPr>
            <w:r>
              <w:rPr>
                <w:b/>
                <w:bCs/>
                <w:spacing w:val="-4"/>
                <w:sz w:val="18"/>
                <w:szCs w:val="18"/>
              </w:rPr>
              <w:t>赋分参考</w:t>
            </w:r>
          </w:p>
        </w:tc>
      </w:tr>
      <w:tr w14:paraId="225C0D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87" w:hRule="atLeast"/>
        </w:trPr>
        <w:tc>
          <w:tcPr>
            <w:tcW w:w="794" w:type="dxa"/>
            <w:vAlign w:val="top"/>
          </w:tcPr>
          <w:p w14:paraId="2DE8FB3B">
            <w:pPr>
              <w:spacing w:line="261" w:lineRule="auto"/>
              <w:rPr>
                <w:rFonts w:ascii="Arial"/>
                <w:sz w:val="21"/>
              </w:rPr>
            </w:pPr>
          </w:p>
          <w:p w14:paraId="03D2DBFE">
            <w:pPr>
              <w:spacing w:line="261" w:lineRule="auto"/>
              <w:rPr>
                <w:rFonts w:ascii="Arial"/>
                <w:sz w:val="21"/>
              </w:rPr>
            </w:pPr>
          </w:p>
          <w:p w14:paraId="3A30336D">
            <w:pPr>
              <w:spacing w:line="262" w:lineRule="auto"/>
              <w:rPr>
                <w:rFonts w:ascii="Arial"/>
                <w:sz w:val="21"/>
              </w:rPr>
            </w:pPr>
          </w:p>
          <w:p w14:paraId="14C727DA">
            <w:pPr>
              <w:pStyle w:val="6"/>
              <w:spacing w:before="58" w:line="224" w:lineRule="auto"/>
              <w:ind w:left="15" w:right="35"/>
              <w:rPr>
                <w:sz w:val="18"/>
                <w:szCs w:val="18"/>
              </w:rPr>
            </w:pPr>
            <w:r>
              <w:rPr>
                <w:sz w:val="18"/>
                <w:szCs w:val="18"/>
              </w:rPr>
              <w:t xml:space="preserve">项目五： </w:t>
            </w:r>
            <w:r>
              <w:rPr>
                <w:spacing w:val="3"/>
                <w:sz w:val="18"/>
                <w:szCs w:val="18"/>
              </w:rPr>
              <w:t>营销策划</w:t>
            </w:r>
            <w:r>
              <w:rPr>
                <w:sz w:val="18"/>
                <w:szCs w:val="18"/>
              </w:rPr>
              <w:t xml:space="preserve"> 方案设计</w:t>
            </w:r>
          </w:p>
        </w:tc>
        <w:tc>
          <w:tcPr>
            <w:tcW w:w="1158" w:type="dxa"/>
            <w:vAlign w:val="top"/>
          </w:tcPr>
          <w:p w14:paraId="0D327A6B">
            <w:pPr>
              <w:spacing w:line="347" w:lineRule="auto"/>
              <w:rPr>
                <w:rFonts w:ascii="Arial"/>
                <w:sz w:val="21"/>
              </w:rPr>
            </w:pPr>
          </w:p>
          <w:p w14:paraId="043974A4">
            <w:pPr>
              <w:spacing w:line="348" w:lineRule="auto"/>
              <w:rPr>
                <w:rFonts w:ascii="Arial"/>
                <w:sz w:val="21"/>
              </w:rPr>
            </w:pPr>
          </w:p>
          <w:p w14:paraId="571741FD">
            <w:pPr>
              <w:pStyle w:val="6"/>
              <w:spacing w:before="59" w:line="219" w:lineRule="auto"/>
              <w:ind w:left="10"/>
              <w:jc w:val="both"/>
              <w:rPr>
                <w:sz w:val="18"/>
                <w:szCs w:val="18"/>
              </w:rPr>
            </w:pPr>
            <w:r>
              <w:rPr>
                <w:spacing w:val="-15"/>
                <w:w w:val="97"/>
                <w:sz w:val="18"/>
                <w:szCs w:val="18"/>
              </w:rPr>
              <w:t>拟需要</w:t>
            </w:r>
            <w:r>
              <w:rPr>
                <w:spacing w:val="-14"/>
                <w:w w:val="97"/>
                <w:sz w:val="18"/>
                <w:szCs w:val="18"/>
              </w:rPr>
              <w:t>进行某</w:t>
            </w:r>
            <w:r>
              <w:rPr>
                <w:spacing w:val="-11"/>
                <w:w w:val="97"/>
                <w:sz w:val="18"/>
                <w:szCs w:val="18"/>
              </w:rPr>
              <w:t>方</w:t>
            </w:r>
            <w:r>
              <w:rPr>
                <w:spacing w:val="8"/>
                <w:sz w:val="18"/>
                <w:szCs w:val="18"/>
              </w:rPr>
              <w:t xml:space="preserve"> </w:t>
            </w:r>
            <w:r>
              <w:rPr>
                <w:spacing w:val="-20"/>
                <w:sz w:val="18"/>
                <w:szCs w:val="18"/>
              </w:rPr>
              <w:t>面</w:t>
            </w:r>
            <w:r>
              <w:rPr>
                <w:spacing w:val="-19"/>
                <w:sz w:val="18"/>
                <w:szCs w:val="18"/>
              </w:rPr>
              <w:t>策划的特定</w:t>
            </w:r>
            <w:r>
              <w:rPr>
                <w:spacing w:val="-11"/>
                <w:sz w:val="18"/>
                <w:szCs w:val="18"/>
              </w:rPr>
              <w:t>公</w:t>
            </w:r>
            <w:r>
              <w:rPr>
                <w:spacing w:val="2"/>
                <w:sz w:val="18"/>
                <w:szCs w:val="18"/>
              </w:rPr>
              <w:t xml:space="preserve"> </w:t>
            </w:r>
            <w:r>
              <w:rPr>
                <w:spacing w:val="-20"/>
                <w:sz w:val="18"/>
                <w:szCs w:val="18"/>
              </w:rPr>
              <w:t>司</w:t>
            </w:r>
            <w:r>
              <w:rPr>
                <w:spacing w:val="-19"/>
                <w:sz w:val="18"/>
                <w:szCs w:val="18"/>
              </w:rPr>
              <w:t>或项目的背</w:t>
            </w:r>
            <w:r>
              <w:rPr>
                <w:spacing w:val="-11"/>
                <w:sz w:val="18"/>
                <w:szCs w:val="18"/>
              </w:rPr>
              <w:t>景</w:t>
            </w:r>
            <w:r>
              <w:rPr>
                <w:sz w:val="18"/>
                <w:szCs w:val="18"/>
              </w:rPr>
              <w:t xml:space="preserve"> </w:t>
            </w:r>
            <w:r>
              <w:rPr>
                <w:spacing w:val="-1"/>
                <w:sz w:val="18"/>
                <w:szCs w:val="18"/>
              </w:rPr>
              <w:t>资料准备。</w:t>
            </w:r>
          </w:p>
        </w:tc>
        <w:tc>
          <w:tcPr>
            <w:tcW w:w="1009" w:type="dxa"/>
            <w:vAlign w:val="top"/>
          </w:tcPr>
          <w:p w14:paraId="1F869683">
            <w:pPr>
              <w:spacing w:line="338" w:lineRule="auto"/>
              <w:rPr>
                <w:rFonts w:ascii="Arial"/>
                <w:sz w:val="21"/>
              </w:rPr>
            </w:pPr>
          </w:p>
          <w:p w14:paraId="40272C77">
            <w:pPr>
              <w:spacing w:line="338" w:lineRule="auto"/>
              <w:rPr>
                <w:rFonts w:ascii="Arial"/>
                <w:sz w:val="21"/>
              </w:rPr>
            </w:pPr>
          </w:p>
          <w:p w14:paraId="1CA2F9C0">
            <w:pPr>
              <w:pStyle w:val="6"/>
              <w:spacing w:before="58" w:line="224" w:lineRule="auto"/>
              <w:ind w:left="12" w:firstLine="27"/>
              <w:jc w:val="both"/>
              <w:rPr>
                <w:sz w:val="18"/>
                <w:szCs w:val="18"/>
              </w:rPr>
            </w:pPr>
            <w:r>
              <w:rPr>
                <w:spacing w:val="-12"/>
                <w:w w:val="97"/>
                <w:sz w:val="18"/>
                <w:szCs w:val="18"/>
              </w:rPr>
              <w:t>针对某个节</w:t>
            </w:r>
            <w:r>
              <w:rPr>
                <w:sz w:val="18"/>
                <w:szCs w:val="18"/>
              </w:rPr>
              <w:t xml:space="preserve">  </w:t>
            </w:r>
            <w:r>
              <w:rPr>
                <w:spacing w:val="-30"/>
                <w:sz w:val="18"/>
                <w:szCs w:val="18"/>
              </w:rPr>
              <w:t>日、商品、商</w:t>
            </w:r>
            <w:r>
              <w:rPr>
                <w:spacing w:val="2"/>
                <w:sz w:val="18"/>
                <w:szCs w:val="18"/>
              </w:rPr>
              <w:t xml:space="preserve">  </w:t>
            </w:r>
            <w:r>
              <w:rPr>
                <w:spacing w:val="-12"/>
                <w:sz w:val="18"/>
                <w:szCs w:val="18"/>
              </w:rPr>
              <w:t>家的促销整</w:t>
            </w:r>
            <w:r>
              <w:rPr>
                <w:sz w:val="18"/>
                <w:szCs w:val="18"/>
              </w:rPr>
              <w:t xml:space="preserve">  </w:t>
            </w:r>
            <w:r>
              <w:rPr>
                <w:spacing w:val="-16"/>
                <w:sz w:val="18"/>
                <w:szCs w:val="18"/>
              </w:rPr>
              <w:t>体方案设计。</w:t>
            </w:r>
          </w:p>
        </w:tc>
        <w:tc>
          <w:tcPr>
            <w:tcW w:w="1178" w:type="dxa"/>
            <w:vAlign w:val="top"/>
          </w:tcPr>
          <w:p w14:paraId="1BD72D04">
            <w:pPr>
              <w:spacing w:line="453" w:lineRule="auto"/>
              <w:rPr>
                <w:rFonts w:ascii="Arial"/>
                <w:sz w:val="21"/>
              </w:rPr>
            </w:pPr>
          </w:p>
          <w:p w14:paraId="5BDDBEB3">
            <w:pPr>
              <w:pStyle w:val="6"/>
              <w:spacing w:before="58" w:line="227" w:lineRule="auto"/>
              <w:ind w:left="14" w:right="29" w:firstLine="29"/>
              <w:jc w:val="both"/>
              <w:rPr>
                <w:sz w:val="18"/>
                <w:szCs w:val="18"/>
              </w:rPr>
            </w:pPr>
            <w:r>
              <w:rPr>
                <w:spacing w:val="-2"/>
                <w:sz w:val="18"/>
                <w:szCs w:val="18"/>
              </w:rPr>
              <w:t>笔试。让被考</w:t>
            </w:r>
            <w:r>
              <w:rPr>
                <w:spacing w:val="1"/>
                <w:sz w:val="18"/>
                <w:szCs w:val="18"/>
              </w:rPr>
              <w:t xml:space="preserve"> </w:t>
            </w:r>
            <w:r>
              <w:rPr>
                <w:spacing w:val="3"/>
                <w:sz w:val="18"/>
                <w:szCs w:val="18"/>
              </w:rPr>
              <w:t>核对象以一个</w:t>
            </w:r>
            <w:r>
              <w:rPr>
                <w:spacing w:val="1"/>
                <w:sz w:val="18"/>
                <w:szCs w:val="18"/>
              </w:rPr>
              <w:t xml:space="preserve"> </w:t>
            </w:r>
            <w:r>
              <w:rPr>
                <w:spacing w:val="3"/>
                <w:sz w:val="18"/>
                <w:szCs w:val="18"/>
              </w:rPr>
              <w:t>策划者的角色</w:t>
            </w:r>
            <w:r>
              <w:rPr>
                <w:spacing w:val="2"/>
                <w:sz w:val="18"/>
                <w:szCs w:val="18"/>
              </w:rPr>
              <w:t xml:space="preserve"> </w:t>
            </w:r>
            <w:r>
              <w:rPr>
                <w:spacing w:val="7"/>
                <w:sz w:val="18"/>
                <w:szCs w:val="18"/>
              </w:rPr>
              <w:t>来对需求方的</w:t>
            </w:r>
            <w:r>
              <w:rPr>
                <w:spacing w:val="1"/>
                <w:sz w:val="18"/>
                <w:szCs w:val="18"/>
              </w:rPr>
              <w:t xml:space="preserve"> </w:t>
            </w:r>
            <w:r>
              <w:rPr>
                <w:spacing w:val="3"/>
                <w:sz w:val="18"/>
                <w:szCs w:val="18"/>
              </w:rPr>
              <w:t xml:space="preserve">特定问题进行 </w:t>
            </w:r>
            <w:r>
              <w:rPr>
                <w:spacing w:val="-1"/>
                <w:sz w:val="18"/>
                <w:szCs w:val="18"/>
              </w:rPr>
              <w:t>策划。</w:t>
            </w:r>
          </w:p>
        </w:tc>
        <w:tc>
          <w:tcPr>
            <w:tcW w:w="1928" w:type="dxa"/>
            <w:vAlign w:val="top"/>
          </w:tcPr>
          <w:p w14:paraId="7EAF196A">
            <w:pPr>
              <w:pStyle w:val="6"/>
              <w:spacing w:before="88" w:line="221" w:lineRule="auto"/>
              <w:ind w:left="15"/>
              <w:rPr>
                <w:sz w:val="18"/>
                <w:szCs w:val="18"/>
              </w:rPr>
            </w:pPr>
            <w:r>
              <w:rPr>
                <w:sz w:val="18"/>
                <w:szCs w:val="18"/>
              </w:rPr>
              <w:t>1.主题设计。</w:t>
            </w:r>
          </w:p>
          <w:p w14:paraId="09F47E64">
            <w:pPr>
              <w:pStyle w:val="6"/>
              <w:spacing w:before="3" w:line="222" w:lineRule="auto"/>
              <w:ind w:left="15" w:right="85"/>
              <w:rPr>
                <w:sz w:val="18"/>
                <w:szCs w:val="18"/>
              </w:rPr>
            </w:pPr>
            <w:r>
              <w:rPr>
                <w:spacing w:val="1"/>
                <w:sz w:val="18"/>
                <w:szCs w:val="18"/>
              </w:rPr>
              <w:t>2.促销内容和执行细则</w:t>
            </w:r>
            <w:r>
              <w:rPr>
                <w:spacing w:val="4"/>
                <w:sz w:val="18"/>
                <w:szCs w:val="18"/>
              </w:rPr>
              <w:t xml:space="preserve"> </w:t>
            </w:r>
            <w:r>
              <w:rPr>
                <w:spacing w:val="-1"/>
                <w:sz w:val="18"/>
                <w:szCs w:val="18"/>
              </w:rPr>
              <w:t>设计(什么时间，由谁</w:t>
            </w:r>
            <w:r>
              <w:rPr>
                <w:sz w:val="18"/>
                <w:szCs w:val="18"/>
              </w:rPr>
              <w:t xml:space="preserve">  来做，做什么)。</w:t>
            </w:r>
          </w:p>
          <w:p w14:paraId="070E56DF">
            <w:pPr>
              <w:pStyle w:val="6"/>
              <w:spacing w:line="231" w:lineRule="auto"/>
              <w:ind w:left="15" w:right="461"/>
              <w:rPr>
                <w:sz w:val="18"/>
                <w:szCs w:val="18"/>
              </w:rPr>
            </w:pPr>
            <w:r>
              <w:rPr>
                <w:sz w:val="18"/>
                <w:szCs w:val="18"/>
              </w:rPr>
              <w:t>3.方案经费预算。 4.活动预期效果。</w:t>
            </w:r>
          </w:p>
          <w:p w14:paraId="7E2B33B6">
            <w:pPr>
              <w:pStyle w:val="6"/>
              <w:spacing w:line="220" w:lineRule="auto"/>
              <w:ind w:left="15"/>
              <w:rPr>
                <w:sz w:val="18"/>
                <w:szCs w:val="18"/>
              </w:rPr>
            </w:pPr>
            <w:r>
              <w:rPr>
                <w:spacing w:val="1"/>
                <w:sz w:val="18"/>
                <w:szCs w:val="18"/>
              </w:rPr>
              <w:t>5.卖点突出，能激发消</w:t>
            </w:r>
          </w:p>
          <w:p w14:paraId="40D9E58E">
            <w:pPr>
              <w:pStyle w:val="6"/>
              <w:spacing w:before="25" w:line="204" w:lineRule="auto"/>
              <w:ind w:left="15"/>
              <w:rPr>
                <w:sz w:val="18"/>
                <w:szCs w:val="18"/>
              </w:rPr>
            </w:pPr>
            <w:r>
              <w:rPr>
                <w:sz w:val="18"/>
                <w:szCs w:val="18"/>
              </w:rPr>
              <w:t>费者购买欲望。</w:t>
            </w:r>
          </w:p>
          <w:p w14:paraId="0776453B">
            <w:pPr>
              <w:pStyle w:val="6"/>
              <w:spacing w:line="218" w:lineRule="auto"/>
              <w:ind w:left="15" w:right="200"/>
              <w:rPr>
                <w:sz w:val="18"/>
                <w:szCs w:val="18"/>
              </w:rPr>
            </w:pPr>
            <w:r>
              <w:rPr>
                <w:spacing w:val="-1"/>
                <w:sz w:val="18"/>
                <w:szCs w:val="18"/>
              </w:rPr>
              <w:t>6.其他(执行控制、安</w:t>
            </w:r>
            <w:r>
              <w:rPr>
                <w:spacing w:val="1"/>
                <w:sz w:val="18"/>
                <w:szCs w:val="18"/>
              </w:rPr>
              <w:t xml:space="preserve"> </w:t>
            </w:r>
            <w:r>
              <w:rPr>
                <w:sz w:val="18"/>
                <w:szCs w:val="18"/>
              </w:rPr>
              <w:t>全保证)。</w:t>
            </w:r>
          </w:p>
        </w:tc>
        <w:tc>
          <w:tcPr>
            <w:tcW w:w="2642" w:type="dxa"/>
            <w:vAlign w:val="top"/>
          </w:tcPr>
          <w:p w14:paraId="3D6583FB">
            <w:pPr>
              <w:spacing w:line="356" w:lineRule="auto"/>
              <w:rPr>
                <w:rFonts w:ascii="Arial"/>
                <w:sz w:val="21"/>
              </w:rPr>
            </w:pPr>
          </w:p>
          <w:p w14:paraId="6ECEF5E4">
            <w:pPr>
              <w:pStyle w:val="6"/>
              <w:spacing w:before="59" w:line="215" w:lineRule="auto"/>
              <w:ind w:left="17"/>
              <w:rPr>
                <w:sz w:val="18"/>
                <w:szCs w:val="18"/>
              </w:rPr>
            </w:pPr>
            <w:r>
              <w:rPr>
                <w:sz w:val="18"/>
                <w:szCs w:val="18"/>
              </w:rPr>
              <w:t>限时90分钟，满分100分。</w:t>
            </w:r>
          </w:p>
          <w:p w14:paraId="2ABBAA2D">
            <w:pPr>
              <w:pStyle w:val="6"/>
              <w:spacing w:line="219" w:lineRule="auto"/>
              <w:ind w:left="17"/>
              <w:rPr>
                <w:sz w:val="18"/>
                <w:szCs w:val="18"/>
              </w:rPr>
            </w:pPr>
            <w:r>
              <w:rPr>
                <w:spacing w:val="2"/>
                <w:sz w:val="18"/>
                <w:szCs w:val="18"/>
              </w:rPr>
              <w:t>1.策划方案的完整性(45分);</w:t>
            </w:r>
          </w:p>
          <w:p w14:paraId="2D42947F">
            <w:pPr>
              <w:pStyle w:val="6"/>
              <w:spacing w:before="26" w:line="223" w:lineRule="auto"/>
              <w:ind w:left="17" w:right="273" w:firstLine="10"/>
              <w:rPr>
                <w:sz w:val="18"/>
                <w:szCs w:val="18"/>
              </w:rPr>
            </w:pPr>
            <w:r>
              <w:rPr>
                <w:spacing w:val="-1"/>
                <w:sz w:val="18"/>
                <w:szCs w:val="18"/>
              </w:rPr>
              <w:t>2.策划方案的可行性与针对性</w:t>
            </w:r>
            <w:r>
              <w:rPr>
                <w:spacing w:val="3"/>
                <w:sz w:val="18"/>
                <w:szCs w:val="18"/>
              </w:rPr>
              <w:t xml:space="preserve"> </w:t>
            </w:r>
            <w:r>
              <w:rPr>
                <w:spacing w:val="-12"/>
                <w:sz w:val="18"/>
                <w:szCs w:val="18"/>
              </w:rPr>
              <w:t>(</w:t>
            </w:r>
            <w:r>
              <w:rPr>
                <w:spacing w:val="-27"/>
                <w:sz w:val="18"/>
                <w:szCs w:val="18"/>
              </w:rPr>
              <w:t xml:space="preserve"> </w:t>
            </w:r>
            <w:r>
              <w:rPr>
                <w:spacing w:val="-12"/>
                <w:sz w:val="18"/>
                <w:szCs w:val="18"/>
              </w:rPr>
              <w:t>2</w:t>
            </w:r>
            <w:r>
              <w:rPr>
                <w:spacing w:val="-32"/>
                <w:sz w:val="18"/>
                <w:szCs w:val="18"/>
              </w:rPr>
              <w:t xml:space="preserve"> </w:t>
            </w:r>
            <w:r>
              <w:rPr>
                <w:spacing w:val="-12"/>
                <w:sz w:val="18"/>
                <w:szCs w:val="18"/>
              </w:rPr>
              <w:t>0</w:t>
            </w:r>
            <w:r>
              <w:rPr>
                <w:spacing w:val="-32"/>
                <w:sz w:val="18"/>
                <w:szCs w:val="18"/>
              </w:rPr>
              <w:t xml:space="preserve"> </w:t>
            </w:r>
            <w:r>
              <w:rPr>
                <w:spacing w:val="-12"/>
                <w:sz w:val="18"/>
                <w:szCs w:val="18"/>
              </w:rPr>
              <w:t>分</w:t>
            </w:r>
            <w:r>
              <w:rPr>
                <w:spacing w:val="-33"/>
                <w:sz w:val="18"/>
                <w:szCs w:val="18"/>
              </w:rPr>
              <w:t xml:space="preserve"> </w:t>
            </w:r>
            <w:r>
              <w:rPr>
                <w:spacing w:val="-12"/>
                <w:sz w:val="18"/>
                <w:szCs w:val="18"/>
              </w:rPr>
              <w:t>) ;</w:t>
            </w:r>
          </w:p>
          <w:p w14:paraId="21F31F65">
            <w:pPr>
              <w:pStyle w:val="6"/>
              <w:spacing w:before="6" w:line="220" w:lineRule="auto"/>
              <w:ind w:left="17" w:right="326"/>
              <w:jc w:val="both"/>
              <w:rPr>
                <w:sz w:val="18"/>
                <w:szCs w:val="18"/>
              </w:rPr>
            </w:pPr>
            <w:r>
              <w:rPr>
                <w:spacing w:val="2"/>
                <w:sz w:val="18"/>
                <w:szCs w:val="18"/>
              </w:rPr>
              <w:t>3.策划方案创意创新(20分);</w:t>
            </w:r>
            <w:r>
              <w:rPr>
                <w:spacing w:val="4"/>
                <w:sz w:val="18"/>
                <w:szCs w:val="18"/>
              </w:rPr>
              <w:t xml:space="preserve"> </w:t>
            </w:r>
            <w:r>
              <w:rPr>
                <w:sz w:val="18"/>
                <w:szCs w:val="18"/>
              </w:rPr>
              <w:t>4.完成时间与表达的清晰(15</w:t>
            </w:r>
            <w:r>
              <w:rPr>
                <w:spacing w:val="2"/>
                <w:sz w:val="18"/>
                <w:szCs w:val="18"/>
              </w:rPr>
              <w:t xml:space="preserve"> </w:t>
            </w:r>
            <w:r>
              <w:rPr>
                <w:spacing w:val="-5"/>
                <w:sz w:val="18"/>
                <w:szCs w:val="18"/>
              </w:rPr>
              <w:t>分</w:t>
            </w:r>
            <w:r>
              <w:rPr>
                <w:spacing w:val="5"/>
                <w:sz w:val="18"/>
                <w:szCs w:val="18"/>
              </w:rPr>
              <w:t xml:space="preserve"> </w:t>
            </w:r>
            <w:r>
              <w:rPr>
                <w:spacing w:val="-5"/>
                <w:sz w:val="18"/>
                <w:szCs w:val="18"/>
              </w:rPr>
              <w:t>) 。</w:t>
            </w:r>
          </w:p>
        </w:tc>
      </w:tr>
      <w:tr w14:paraId="02D331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68" w:hRule="atLeast"/>
        </w:trPr>
        <w:tc>
          <w:tcPr>
            <w:tcW w:w="794" w:type="dxa"/>
            <w:vAlign w:val="top"/>
          </w:tcPr>
          <w:p w14:paraId="59AE6EB3">
            <w:pPr>
              <w:spacing w:line="250" w:lineRule="auto"/>
              <w:rPr>
                <w:rFonts w:ascii="Arial"/>
                <w:sz w:val="21"/>
              </w:rPr>
            </w:pPr>
          </w:p>
          <w:p w14:paraId="287D6621">
            <w:pPr>
              <w:pStyle w:val="6"/>
              <w:spacing w:before="58" w:line="224" w:lineRule="auto"/>
              <w:ind w:left="15" w:right="46"/>
              <w:rPr>
                <w:sz w:val="18"/>
                <w:szCs w:val="18"/>
              </w:rPr>
            </w:pPr>
            <w:r>
              <w:rPr>
                <w:sz w:val="18"/>
                <w:szCs w:val="18"/>
              </w:rPr>
              <w:t>项目六： 物流单证</w:t>
            </w:r>
            <w:r>
              <w:rPr>
                <w:spacing w:val="1"/>
                <w:sz w:val="18"/>
                <w:szCs w:val="18"/>
              </w:rPr>
              <w:t xml:space="preserve"> </w:t>
            </w:r>
            <w:r>
              <w:rPr>
                <w:spacing w:val="4"/>
                <w:sz w:val="18"/>
                <w:szCs w:val="18"/>
              </w:rPr>
              <w:t>的填写</w:t>
            </w:r>
          </w:p>
        </w:tc>
        <w:tc>
          <w:tcPr>
            <w:tcW w:w="1158" w:type="dxa"/>
            <w:vAlign w:val="top"/>
          </w:tcPr>
          <w:p w14:paraId="7BE5387D">
            <w:pPr>
              <w:spacing w:line="358" w:lineRule="auto"/>
              <w:rPr>
                <w:rFonts w:ascii="Arial"/>
                <w:sz w:val="21"/>
              </w:rPr>
            </w:pPr>
          </w:p>
          <w:p w14:paraId="3437A338">
            <w:pPr>
              <w:pStyle w:val="6"/>
              <w:spacing w:before="58" w:line="229" w:lineRule="auto"/>
              <w:ind w:left="20" w:right="4" w:firstLine="49"/>
              <w:rPr>
                <w:sz w:val="18"/>
                <w:szCs w:val="18"/>
              </w:rPr>
            </w:pPr>
            <w:r>
              <w:rPr>
                <w:spacing w:val="-2"/>
                <w:sz w:val="18"/>
                <w:szCs w:val="18"/>
              </w:rPr>
              <w:t>使用模拟物流</w:t>
            </w:r>
            <w:r>
              <w:rPr>
                <w:spacing w:val="3"/>
                <w:sz w:val="18"/>
                <w:szCs w:val="18"/>
              </w:rPr>
              <w:t xml:space="preserve"> </w:t>
            </w:r>
            <w:r>
              <w:rPr>
                <w:sz w:val="18"/>
                <w:szCs w:val="18"/>
              </w:rPr>
              <w:t>单证。</w:t>
            </w:r>
          </w:p>
        </w:tc>
        <w:tc>
          <w:tcPr>
            <w:tcW w:w="1009" w:type="dxa"/>
            <w:vAlign w:val="top"/>
          </w:tcPr>
          <w:p w14:paraId="2A222FA8">
            <w:pPr>
              <w:pStyle w:val="6"/>
              <w:spacing w:before="191" w:line="219" w:lineRule="auto"/>
              <w:ind w:left="21" w:hanging="9"/>
              <w:jc w:val="both"/>
              <w:rPr>
                <w:sz w:val="18"/>
                <w:szCs w:val="18"/>
              </w:rPr>
            </w:pPr>
            <w:r>
              <w:rPr>
                <w:spacing w:val="-16"/>
                <w:sz w:val="18"/>
                <w:szCs w:val="18"/>
              </w:rPr>
              <w:t>规范、完整、</w:t>
            </w:r>
            <w:r>
              <w:rPr>
                <w:spacing w:val="1"/>
                <w:sz w:val="18"/>
                <w:szCs w:val="18"/>
              </w:rPr>
              <w:t xml:space="preserve"> </w:t>
            </w:r>
            <w:r>
              <w:rPr>
                <w:spacing w:val="-13"/>
                <w:sz w:val="18"/>
                <w:szCs w:val="18"/>
              </w:rPr>
              <w:t>准确进行各</w:t>
            </w:r>
            <w:r>
              <w:rPr>
                <w:spacing w:val="1"/>
                <w:sz w:val="18"/>
                <w:szCs w:val="18"/>
              </w:rPr>
              <w:t xml:space="preserve">  </w:t>
            </w:r>
            <w:r>
              <w:rPr>
                <w:spacing w:val="-12"/>
                <w:sz w:val="18"/>
                <w:szCs w:val="18"/>
              </w:rPr>
              <w:t>种物流单证</w:t>
            </w:r>
            <w:r>
              <w:rPr>
                <w:sz w:val="18"/>
                <w:szCs w:val="18"/>
              </w:rPr>
              <w:t xml:space="preserve">  </w:t>
            </w:r>
            <w:r>
              <w:rPr>
                <w:spacing w:val="-10"/>
                <w:sz w:val="18"/>
                <w:szCs w:val="18"/>
              </w:rPr>
              <w:t>的填制。</w:t>
            </w:r>
          </w:p>
        </w:tc>
        <w:tc>
          <w:tcPr>
            <w:tcW w:w="1178" w:type="dxa"/>
            <w:vAlign w:val="top"/>
          </w:tcPr>
          <w:p w14:paraId="073CDE41">
            <w:pPr>
              <w:pStyle w:val="6"/>
              <w:spacing w:before="70" w:line="223" w:lineRule="auto"/>
              <w:ind w:left="14"/>
              <w:jc w:val="both"/>
              <w:rPr>
                <w:sz w:val="18"/>
                <w:szCs w:val="18"/>
              </w:rPr>
            </w:pPr>
            <w:r>
              <w:rPr>
                <w:spacing w:val="-17"/>
                <w:sz w:val="18"/>
                <w:szCs w:val="18"/>
              </w:rPr>
              <w:t>笔</w:t>
            </w:r>
            <w:r>
              <w:rPr>
                <w:spacing w:val="-16"/>
                <w:sz w:val="18"/>
                <w:szCs w:val="18"/>
              </w:rPr>
              <w:t>试。以给定</w:t>
            </w:r>
            <w:r>
              <w:rPr>
                <w:spacing w:val="-15"/>
                <w:sz w:val="18"/>
                <w:szCs w:val="18"/>
              </w:rPr>
              <w:t>的</w:t>
            </w:r>
            <w:r>
              <w:rPr>
                <w:spacing w:val="4"/>
                <w:sz w:val="18"/>
                <w:szCs w:val="18"/>
              </w:rPr>
              <w:t xml:space="preserve"> </w:t>
            </w:r>
            <w:r>
              <w:rPr>
                <w:spacing w:val="-16"/>
                <w:w w:val="99"/>
                <w:sz w:val="18"/>
                <w:szCs w:val="18"/>
              </w:rPr>
              <w:t>物</w:t>
            </w:r>
            <w:r>
              <w:rPr>
                <w:spacing w:val="-15"/>
                <w:w w:val="99"/>
                <w:sz w:val="18"/>
                <w:szCs w:val="18"/>
              </w:rPr>
              <w:t>流综合案例</w:t>
            </w:r>
            <w:r>
              <w:rPr>
                <w:spacing w:val="-14"/>
                <w:w w:val="99"/>
                <w:sz w:val="18"/>
                <w:szCs w:val="18"/>
              </w:rPr>
              <w:t>为</w:t>
            </w:r>
            <w:r>
              <w:rPr>
                <w:spacing w:val="6"/>
                <w:sz w:val="18"/>
                <w:szCs w:val="18"/>
              </w:rPr>
              <w:t xml:space="preserve"> </w:t>
            </w:r>
            <w:r>
              <w:rPr>
                <w:spacing w:val="-17"/>
                <w:sz w:val="18"/>
                <w:szCs w:val="18"/>
              </w:rPr>
              <w:t>背景</w:t>
            </w:r>
            <w:r>
              <w:rPr>
                <w:spacing w:val="-16"/>
                <w:sz w:val="18"/>
                <w:szCs w:val="18"/>
              </w:rPr>
              <w:t>，贯穿国</w:t>
            </w:r>
            <w:r>
              <w:rPr>
                <w:spacing w:val="-14"/>
                <w:sz w:val="18"/>
                <w:szCs w:val="18"/>
              </w:rPr>
              <w:t>际</w:t>
            </w:r>
            <w:r>
              <w:rPr>
                <w:sz w:val="18"/>
                <w:szCs w:val="18"/>
              </w:rPr>
              <w:t xml:space="preserve"> </w:t>
            </w:r>
            <w:r>
              <w:rPr>
                <w:spacing w:val="-18"/>
                <w:sz w:val="18"/>
                <w:szCs w:val="18"/>
              </w:rPr>
              <w:t>物流、</w:t>
            </w:r>
            <w:r>
              <w:rPr>
                <w:spacing w:val="-17"/>
                <w:sz w:val="18"/>
                <w:szCs w:val="18"/>
              </w:rPr>
              <w:t>仓储、</w:t>
            </w:r>
            <w:r>
              <w:rPr>
                <w:spacing w:val="-14"/>
                <w:sz w:val="18"/>
                <w:szCs w:val="18"/>
              </w:rPr>
              <w:t>运</w:t>
            </w:r>
            <w:r>
              <w:rPr>
                <w:spacing w:val="5"/>
                <w:sz w:val="18"/>
                <w:szCs w:val="18"/>
              </w:rPr>
              <w:t xml:space="preserve"> </w:t>
            </w:r>
            <w:r>
              <w:rPr>
                <w:spacing w:val="-2"/>
                <w:sz w:val="18"/>
                <w:szCs w:val="18"/>
              </w:rPr>
              <w:t>输等业务。</w:t>
            </w:r>
          </w:p>
        </w:tc>
        <w:tc>
          <w:tcPr>
            <w:tcW w:w="1928" w:type="dxa"/>
            <w:vAlign w:val="top"/>
          </w:tcPr>
          <w:p w14:paraId="6FE1BB3D">
            <w:pPr>
              <w:pStyle w:val="6"/>
              <w:spacing w:before="70" w:line="223" w:lineRule="auto"/>
              <w:ind w:left="15" w:right="109"/>
              <w:rPr>
                <w:sz w:val="18"/>
                <w:szCs w:val="18"/>
              </w:rPr>
            </w:pPr>
            <w:r>
              <w:rPr>
                <w:spacing w:val="-1"/>
                <w:sz w:val="18"/>
                <w:szCs w:val="18"/>
              </w:rPr>
              <w:t>根据案例中的业务，完</w:t>
            </w:r>
            <w:r>
              <w:rPr>
                <w:spacing w:val="1"/>
                <w:sz w:val="18"/>
                <w:szCs w:val="18"/>
              </w:rPr>
              <w:t xml:space="preserve"> </w:t>
            </w:r>
            <w:r>
              <w:rPr>
                <w:sz w:val="18"/>
                <w:szCs w:val="18"/>
              </w:rPr>
              <w:t>成以下单证的填写：</w:t>
            </w:r>
          </w:p>
          <w:p w14:paraId="7BCE4D52">
            <w:pPr>
              <w:pStyle w:val="6"/>
              <w:spacing w:before="5" w:line="220" w:lineRule="auto"/>
              <w:ind w:left="15"/>
              <w:rPr>
                <w:sz w:val="18"/>
                <w:szCs w:val="18"/>
              </w:rPr>
            </w:pPr>
            <w:r>
              <w:rPr>
                <w:sz w:val="18"/>
                <w:szCs w:val="18"/>
              </w:rPr>
              <w:t>1.物流仓储单证。</w:t>
            </w:r>
          </w:p>
          <w:p w14:paraId="035B096B">
            <w:pPr>
              <w:pStyle w:val="6"/>
              <w:spacing w:before="5" w:line="219" w:lineRule="auto"/>
              <w:ind w:left="15" w:right="461"/>
              <w:rPr>
                <w:sz w:val="18"/>
                <w:szCs w:val="18"/>
              </w:rPr>
            </w:pPr>
            <w:r>
              <w:rPr>
                <w:sz w:val="18"/>
                <w:szCs w:val="18"/>
              </w:rPr>
              <w:t>2.物流运输单证。 3.国际物流单证。</w:t>
            </w:r>
          </w:p>
        </w:tc>
        <w:tc>
          <w:tcPr>
            <w:tcW w:w="2642" w:type="dxa"/>
            <w:vAlign w:val="top"/>
          </w:tcPr>
          <w:p w14:paraId="6887AE73">
            <w:pPr>
              <w:pStyle w:val="6"/>
              <w:spacing w:before="199" w:line="222" w:lineRule="auto"/>
              <w:ind w:left="17" w:right="544"/>
              <w:jc w:val="both"/>
              <w:rPr>
                <w:sz w:val="18"/>
                <w:szCs w:val="18"/>
              </w:rPr>
            </w:pPr>
            <w:r>
              <w:rPr>
                <w:sz w:val="18"/>
                <w:szCs w:val="18"/>
              </w:rPr>
              <w:t xml:space="preserve">限时90分钟，满分100分。 </w:t>
            </w:r>
            <w:r>
              <w:rPr>
                <w:spacing w:val="2"/>
                <w:sz w:val="18"/>
                <w:szCs w:val="18"/>
              </w:rPr>
              <w:t>1.物流仓储单证(40分);</w:t>
            </w:r>
            <w:r>
              <w:rPr>
                <w:spacing w:val="4"/>
                <w:sz w:val="18"/>
                <w:szCs w:val="18"/>
              </w:rPr>
              <w:t xml:space="preserve">  </w:t>
            </w:r>
            <w:r>
              <w:rPr>
                <w:spacing w:val="2"/>
                <w:sz w:val="18"/>
                <w:szCs w:val="18"/>
              </w:rPr>
              <w:t>2.物流运输单证(40分);</w:t>
            </w:r>
            <w:r>
              <w:rPr>
                <w:spacing w:val="4"/>
                <w:sz w:val="18"/>
                <w:szCs w:val="18"/>
              </w:rPr>
              <w:t xml:space="preserve">  </w:t>
            </w:r>
            <w:r>
              <w:rPr>
                <w:sz w:val="18"/>
                <w:szCs w:val="18"/>
              </w:rPr>
              <w:t>3.国际物流单证(20分)。</w:t>
            </w:r>
          </w:p>
        </w:tc>
      </w:tr>
      <w:tr w14:paraId="6A71F0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10" w:hRule="atLeast"/>
        </w:trPr>
        <w:tc>
          <w:tcPr>
            <w:tcW w:w="794" w:type="dxa"/>
            <w:vAlign w:val="top"/>
          </w:tcPr>
          <w:p w14:paraId="29E54125">
            <w:pPr>
              <w:spacing w:line="266" w:lineRule="auto"/>
              <w:rPr>
                <w:rFonts w:ascii="Arial"/>
                <w:sz w:val="21"/>
              </w:rPr>
            </w:pPr>
          </w:p>
          <w:p w14:paraId="21E69515">
            <w:pPr>
              <w:spacing w:line="267" w:lineRule="auto"/>
              <w:rPr>
                <w:rFonts w:ascii="Arial"/>
                <w:sz w:val="21"/>
              </w:rPr>
            </w:pPr>
          </w:p>
          <w:p w14:paraId="77E4B2BE">
            <w:pPr>
              <w:spacing w:line="267" w:lineRule="auto"/>
              <w:rPr>
                <w:rFonts w:ascii="Arial"/>
                <w:sz w:val="21"/>
              </w:rPr>
            </w:pPr>
          </w:p>
          <w:p w14:paraId="1A3F4F14">
            <w:pPr>
              <w:spacing w:line="267" w:lineRule="auto"/>
              <w:rPr>
                <w:rFonts w:ascii="Arial"/>
                <w:sz w:val="21"/>
              </w:rPr>
            </w:pPr>
          </w:p>
          <w:p w14:paraId="0C84B826">
            <w:pPr>
              <w:pStyle w:val="6"/>
              <w:spacing w:before="58" w:line="226" w:lineRule="auto"/>
              <w:ind w:left="15" w:right="10"/>
              <w:rPr>
                <w:sz w:val="18"/>
                <w:szCs w:val="18"/>
              </w:rPr>
            </w:pPr>
            <w:r>
              <w:rPr>
                <w:sz w:val="18"/>
                <w:szCs w:val="18"/>
              </w:rPr>
              <w:t xml:space="preserve">项目七： </w:t>
            </w:r>
            <w:r>
              <w:rPr>
                <w:spacing w:val="9"/>
                <w:sz w:val="18"/>
                <w:szCs w:val="18"/>
              </w:rPr>
              <w:t>电子商务</w:t>
            </w:r>
            <w:r>
              <w:rPr>
                <w:spacing w:val="1"/>
                <w:sz w:val="18"/>
                <w:szCs w:val="18"/>
              </w:rPr>
              <w:t xml:space="preserve"> </w:t>
            </w:r>
            <w:r>
              <w:rPr>
                <w:spacing w:val="-2"/>
                <w:sz w:val="18"/>
                <w:szCs w:val="18"/>
              </w:rPr>
              <w:t>广告设计</w:t>
            </w:r>
          </w:p>
        </w:tc>
        <w:tc>
          <w:tcPr>
            <w:tcW w:w="1158" w:type="dxa"/>
            <w:vAlign w:val="top"/>
          </w:tcPr>
          <w:p w14:paraId="610D8012">
            <w:pPr>
              <w:spacing w:line="266" w:lineRule="auto"/>
              <w:rPr>
                <w:rFonts w:ascii="Arial"/>
                <w:sz w:val="21"/>
              </w:rPr>
            </w:pPr>
          </w:p>
          <w:p w14:paraId="35E15734">
            <w:pPr>
              <w:spacing w:line="266" w:lineRule="auto"/>
              <w:rPr>
                <w:rFonts w:ascii="Arial"/>
                <w:sz w:val="21"/>
              </w:rPr>
            </w:pPr>
          </w:p>
          <w:p w14:paraId="4F8EE750">
            <w:pPr>
              <w:spacing w:line="266" w:lineRule="auto"/>
              <w:rPr>
                <w:rFonts w:ascii="Arial"/>
                <w:sz w:val="21"/>
              </w:rPr>
            </w:pPr>
          </w:p>
          <w:p w14:paraId="43568F92">
            <w:pPr>
              <w:spacing w:line="267" w:lineRule="auto"/>
              <w:rPr>
                <w:rFonts w:ascii="Arial"/>
                <w:sz w:val="21"/>
              </w:rPr>
            </w:pPr>
          </w:p>
          <w:p w14:paraId="20EB0BCB">
            <w:pPr>
              <w:pStyle w:val="6"/>
              <w:spacing w:before="59" w:line="228" w:lineRule="auto"/>
              <w:ind w:left="19" w:hanging="9"/>
              <w:jc w:val="both"/>
              <w:rPr>
                <w:sz w:val="18"/>
                <w:szCs w:val="18"/>
              </w:rPr>
            </w:pPr>
            <w:r>
              <w:rPr>
                <w:spacing w:val="-12"/>
                <w:sz w:val="18"/>
                <w:szCs w:val="18"/>
              </w:rPr>
              <w:t>在</w:t>
            </w:r>
            <w:r>
              <w:rPr>
                <w:spacing w:val="-17"/>
                <w:sz w:val="18"/>
                <w:szCs w:val="18"/>
              </w:rPr>
              <w:t xml:space="preserve"> </w:t>
            </w:r>
            <w:r>
              <w:rPr>
                <w:spacing w:val="-12"/>
                <w:sz w:val="18"/>
                <w:szCs w:val="18"/>
              </w:rPr>
              <w:t>机</w:t>
            </w:r>
            <w:r>
              <w:rPr>
                <w:spacing w:val="-20"/>
                <w:sz w:val="18"/>
                <w:szCs w:val="18"/>
              </w:rPr>
              <w:t xml:space="preserve"> </w:t>
            </w:r>
            <w:r>
              <w:rPr>
                <w:spacing w:val="-12"/>
                <w:sz w:val="18"/>
                <w:szCs w:val="18"/>
              </w:rPr>
              <w:t>房</w:t>
            </w:r>
            <w:r>
              <w:rPr>
                <w:spacing w:val="-11"/>
                <w:sz w:val="18"/>
                <w:szCs w:val="18"/>
              </w:rPr>
              <w:t xml:space="preserve"> 中</w:t>
            </w:r>
            <w:r>
              <w:rPr>
                <w:spacing w:val="-21"/>
                <w:sz w:val="18"/>
                <w:szCs w:val="18"/>
              </w:rPr>
              <w:t xml:space="preserve"> </w:t>
            </w:r>
            <w:r>
              <w:rPr>
                <w:spacing w:val="-8"/>
                <w:sz w:val="18"/>
                <w:szCs w:val="18"/>
              </w:rPr>
              <w:t>进</w:t>
            </w:r>
            <w:r>
              <w:rPr>
                <w:sz w:val="18"/>
                <w:szCs w:val="18"/>
              </w:rPr>
              <w:t xml:space="preserve"> </w:t>
            </w:r>
            <w:r>
              <w:rPr>
                <w:spacing w:val="-3"/>
                <w:sz w:val="18"/>
                <w:szCs w:val="18"/>
              </w:rPr>
              <w:t>行，</w:t>
            </w:r>
            <w:r>
              <w:rPr>
                <w:spacing w:val="22"/>
                <w:sz w:val="18"/>
                <w:szCs w:val="18"/>
              </w:rPr>
              <w:t xml:space="preserve">  </w:t>
            </w:r>
            <w:r>
              <w:rPr>
                <w:spacing w:val="-3"/>
                <w:sz w:val="18"/>
                <w:szCs w:val="18"/>
              </w:rPr>
              <w:t>机房要</w:t>
            </w:r>
            <w:r>
              <w:rPr>
                <w:sz w:val="18"/>
                <w:szCs w:val="18"/>
              </w:rPr>
              <w:t xml:space="preserve"> </w:t>
            </w:r>
            <w:r>
              <w:rPr>
                <w:spacing w:val="-13"/>
                <w:sz w:val="18"/>
                <w:szCs w:val="18"/>
              </w:rPr>
              <w:t>求</w:t>
            </w:r>
            <w:r>
              <w:rPr>
                <w:spacing w:val="11"/>
                <w:sz w:val="18"/>
                <w:szCs w:val="18"/>
              </w:rPr>
              <w:t xml:space="preserve">  </w:t>
            </w:r>
            <w:r>
              <w:rPr>
                <w:spacing w:val="-13"/>
                <w:sz w:val="18"/>
                <w:szCs w:val="18"/>
              </w:rPr>
              <w:t>已</w:t>
            </w:r>
            <w:r>
              <w:rPr>
                <w:spacing w:val="3"/>
                <w:sz w:val="18"/>
                <w:szCs w:val="18"/>
              </w:rPr>
              <w:t xml:space="preserve">  </w:t>
            </w:r>
            <w:r>
              <w:rPr>
                <w:spacing w:val="-13"/>
                <w:sz w:val="18"/>
                <w:szCs w:val="18"/>
              </w:rPr>
              <w:t>安</w:t>
            </w:r>
            <w:r>
              <w:rPr>
                <w:spacing w:val="-40"/>
                <w:sz w:val="18"/>
                <w:szCs w:val="18"/>
              </w:rPr>
              <w:t xml:space="preserve"> </w:t>
            </w:r>
            <w:r>
              <w:rPr>
                <w:spacing w:val="-13"/>
                <w:sz w:val="18"/>
                <w:szCs w:val="18"/>
              </w:rPr>
              <w:t>装</w:t>
            </w:r>
          </w:p>
          <w:p w14:paraId="500F84CF">
            <w:pPr>
              <w:pStyle w:val="6"/>
              <w:spacing w:before="9" w:line="220" w:lineRule="auto"/>
              <w:ind w:left="10" w:right="1" w:firstLine="150"/>
              <w:rPr>
                <w:sz w:val="18"/>
                <w:szCs w:val="18"/>
              </w:rPr>
            </w:pPr>
            <w:r>
              <w:rPr>
                <w:spacing w:val="-1"/>
                <w:sz w:val="18"/>
                <w:szCs w:val="18"/>
              </w:rPr>
              <w:t>PhotoshopCS</w:t>
            </w:r>
            <w:r>
              <w:rPr>
                <w:spacing w:val="5"/>
                <w:sz w:val="18"/>
                <w:szCs w:val="18"/>
              </w:rPr>
              <w:t xml:space="preserve"> </w:t>
            </w:r>
            <w:r>
              <w:rPr>
                <w:sz w:val="18"/>
                <w:szCs w:val="18"/>
              </w:rPr>
              <w:t>并能上网。</w:t>
            </w:r>
          </w:p>
        </w:tc>
        <w:tc>
          <w:tcPr>
            <w:tcW w:w="1009" w:type="dxa"/>
            <w:vAlign w:val="top"/>
          </w:tcPr>
          <w:p w14:paraId="5DA0B340">
            <w:pPr>
              <w:spacing w:line="296" w:lineRule="auto"/>
              <w:rPr>
                <w:rFonts w:ascii="Arial"/>
                <w:sz w:val="21"/>
              </w:rPr>
            </w:pPr>
          </w:p>
          <w:p w14:paraId="0D03271F">
            <w:pPr>
              <w:spacing w:line="296" w:lineRule="auto"/>
              <w:rPr>
                <w:rFonts w:ascii="Arial"/>
                <w:sz w:val="21"/>
              </w:rPr>
            </w:pPr>
          </w:p>
          <w:p w14:paraId="3E3144B9">
            <w:pPr>
              <w:spacing w:line="296" w:lineRule="auto"/>
              <w:rPr>
                <w:rFonts w:ascii="Arial"/>
                <w:sz w:val="21"/>
              </w:rPr>
            </w:pPr>
          </w:p>
          <w:p w14:paraId="3C7820B4">
            <w:pPr>
              <w:spacing w:line="297" w:lineRule="auto"/>
              <w:rPr>
                <w:rFonts w:ascii="Arial"/>
                <w:sz w:val="21"/>
              </w:rPr>
            </w:pPr>
          </w:p>
          <w:p w14:paraId="34546C3D">
            <w:pPr>
              <w:pStyle w:val="6"/>
              <w:spacing w:before="58" w:line="224" w:lineRule="auto"/>
              <w:ind w:left="12" w:right="34" w:firstLine="30"/>
              <w:jc w:val="both"/>
              <w:rPr>
                <w:sz w:val="18"/>
                <w:szCs w:val="18"/>
              </w:rPr>
            </w:pPr>
            <w:r>
              <w:rPr>
                <w:spacing w:val="4"/>
                <w:sz w:val="18"/>
                <w:szCs w:val="18"/>
              </w:rPr>
              <w:t>机试。利用</w:t>
            </w:r>
            <w:r>
              <w:rPr>
                <w:sz w:val="18"/>
                <w:szCs w:val="18"/>
              </w:rPr>
              <w:t xml:space="preserve"> </w:t>
            </w:r>
            <w:r>
              <w:rPr>
                <w:spacing w:val="3"/>
                <w:sz w:val="18"/>
                <w:szCs w:val="18"/>
              </w:rPr>
              <w:t xml:space="preserve">商务网站进 </w:t>
            </w:r>
            <w:r>
              <w:rPr>
                <w:spacing w:val="8"/>
                <w:sz w:val="18"/>
                <w:szCs w:val="18"/>
              </w:rPr>
              <w:t>行广告制作</w:t>
            </w:r>
            <w:r>
              <w:rPr>
                <w:sz w:val="18"/>
                <w:szCs w:val="18"/>
              </w:rPr>
              <w:t xml:space="preserve"> 及发布。</w:t>
            </w:r>
          </w:p>
        </w:tc>
        <w:tc>
          <w:tcPr>
            <w:tcW w:w="1178" w:type="dxa"/>
            <w:vAlign w:val="top"/>
          </w:tcPr>
          <w:p w14:paraId="2B24AC74">
            <w:pPr>
              <w:pStyle w:val="6"/>
              <w:spacing w:before="65" w:line="223" w:lineRule="auto"/>
              <w:ind w:left="14" w:firstLine="29"/>
              <w:jc w:val="both"/>
              <w:rPr>
                <w:sz w:val="18"/>
                <w:szCs w:val="18"/>
              </w:rPr>
            </w:pPr>
            <w:r>
              <w:rPr>
                <w:spacing w:val="-3"/>
                <w:sz w:val="18"/>
                <w:szCs w:val="18"/>
              </w:rPr>
              <w:t>考试题分两部</w:t>
            </w:r>
            <w:r>
              <w:rPr>
                <w:spacing w:val="2"/>
                <w:sz w:val="18"/>
                <w:szCs w:val="18"/>
              </w:rPr>
              <w:t xml:space="preserve"> 分，第一部分</w:t>
            </w:r>
            <w:r>
              <w:rPr>
                <w:sz w:val="18"/>
                <w:szCs w:val="18"/>
              </w:rPr>
              <w:t xml:space="preserve"> </w:t>
            </w:r>
            <w:r>
              <w:rPr>
                <w:spacing w:val="-17"/>
                <w:sz w:val="18"/>
                <w:szCs w:val="18"/>
              </w:rPr>
              <w:t>为基础</w:t>
            </w:r>
            <w:r>
              <w:rPr>
                <w:spacing w:val="-16"/>
                <w:sz w:val="18"/>
                <w:szCs w:val="18"/>
              </w:rPr>
              <w:t>题，考</w:t>
            </w:r>
            <w:r>
              <w:rPr>
                <w:spacing w:val="-13"/>
                <w:sz w:val="18"/>
                <w:szCs w:val="18"/>
              </w:rPr>
              <w:t>核</w:t>
            </w:r>
            <w:r>
              <w:rPr>
                <w:spacing w:val="2"/>
                <w:sz w:val="18"/>
                <w:szCs w:val="18"/>
              </w:rPr>
              <w:t xml:space="preserve"> </w:t>
            </w:r>
            <w:r>
              <w:rPr>
                <w:spacing w:val="1"/>
                <w:sz w:val="18"/>
                <w:szCs w:val="18"/>
              </w:rPr>
              <w:t>学生的基础技</w:t>
            </w:r>
            <w:r>
              <w:rPr>
                <w:spacing w:val="4"/>
                <w:sz w:val="18"/>
                <w:szCs w:val="18"/>
              </w:rPr>
              <w:t xml:space="preserve"> </w:t>
            </w:r>
            <w:r>
              <w:rPr>
                <w:spacing w:val="5"/>
                <w:sz w:val="18"/>
                <w:szCs w:val="18"/>
              </w:rPr>
              <w:t>能，要求学生</w:t>
            </w:r>
            <w:r>
              <w:rPr>
                <w:sz w:val="18"/>
                <w:szCs w:val="18"/>
              </w:rPr>
              <w:t xml:space="preserve"> </w:t>
            </w:r>
            <w:r>
              <w:rPr>
                <w:spacing w:val="-2"/>
                <w:sz w:val="18"/>
                <w:szCs w:val="18"/>
              </w:rPr>
              <w:t>利用Photoshop</w:t>
            </w:r>
            <w:r>
              <w:rPr>
                <w:spacing w:val="4"/>
                <w:sz w:val="18"/>
                <w:szCs w:val="18"/>
              </w:rPr>
              <w:t xml:space="preserve"> </w:t>
            </w:r>
            <w:r>
              <w:rPr>
                <w:spacing w:val="6"/>
                <w:sz w:val="18"/>
                <w:szCs w:val="18"/>
              </w:rPr>
              <w:t>软件对给定的</w:t>
            </w:r>
            <w:r>
              <w:rPr>
                <w:sz w:val="18"/>
                <w:szCs w:val="18"/>
              </w:rPr>
              <w:t xml:space="preserve"> </w:t>
            </w:r>
            <w:r>
              <w:rPr>
                <w:spacing w:val="5"/>
                <w:sz w:val="18"/>
                <w:szCs w:val="18"/>
              </w:rPr>
              <w:t>图像文件进行</w:t>
            </w:r>
            <w:r>
              <w:rPr>
                <w:sz w:val="18"/>
                <w:szCs w:val="18"/>
              </w:rPr>
              <w:t xml:space="preserve"> </w:t>
            </w:r>
            <w:r>
              <w:rPr>
                <w:spacing w:val="2"/>
                <w:sz w:val="18"/>
                <w:szCs w:val="18"/>
              </w:rPr>
              <w:t>文字录入、设</w:t>
            </w:r>
            <w:r>
              <w:rPr>
                <w:sz w:val="18"/>
                <w:szCs w:val="18"/>
              </w:rPr>
              <w:t xml:space="preserve"> </w:t>
            </w:r>
            <w:r>
              <w:rPr>
                <w:spacing w:val="2"/>
                <w:sz w:val="18"/>
                <w:szCs w:val="18"/>
              </w:rPr>
              <w:t>置以及图片格</w:t>
            </w:r>
            <w:r>
              <w:rPr>
                <w:spacing w:val="3"/>
                <w:sz w:val="18"/>
                <w:szCs w:val="18"/>
              </w:rPr>
              <w:t xml:space="preserve"> </w:t>
            </w:r>
            <w:r>
              <w:rPr>
                <w:spacing w:val="-1"/>
                <w:sz w:val="18"/>
                <w:szCs w:val="18"/>
              </w:rPr>
              <w:t>式制作。</w:t>
            </w:r>
          </w:p>
          <w:p w14:paraId="7A296FC1">
            <w:pPr>
              <w:pStyle w:val="6"/>
              <w:spacing w:before="23" w:line="210" w:lineRule="auto"/>
              <w:ind w:left="14" w:right="30" w:firstLine="29"/>
              <w:jc w:val="both"/>
              <w:rPr>
                <w:sz w:val="18"/>
                <w:szCs w:val="18"/>
              </w:rPr>
            </w:pPr>
            <w:r>
              <w:rPr>
                <w:spacing w:val="2"/>
                <w:sz w:val="18"/>
                <w:szCs w:val="18"/>
              </w:rPr>
              <w:t>第二部分为创</w:t>
            </w:r>
            <w:r>
              <w:rPr>
                <w:sz w:val="18"/>
                <w:szCs w:val="18"/>
              </w:rPr>
              <w:t xml:space="preserve"> </w:t>
            </w:r>
            <w:r>
              <w:rPr>
                <w:spacing w:val="3"/>
                <w:sz w:val="18"/>
                <w:szCs w:val="18"/>
              </w:rPr>
              <w:t xml:space="preserve">作技能，考核 </w:t>
            </w:r>
            <w:r>
              <w:rPr>
                <w:spacing w:val="7"/>
                <w:sz w:val="18"/>
                <w:szCs w:val="18"/>
              </w:rPr>
              <w:t>学生的广告创</w:t>
            </w:r>
            <w:r>
              <w:rPr>
                <w:sz w:val="18"/>
                <w:szCs w:val="18"/>
              </w:rPr>
              <w:t xml:space="preserve"> </w:t>
            </w:r>
            <w:r>
              <w:rPr>
                <w:spacing w:val="-1"/>
                <w:sz w:val="18"/>
                <w:szCs w:val="18"/>
              </w:rPr>
              <w:t>作和发布。</w:t>
            </w:r>
          </w:p>
        </w:tc>
        <w:tc>
          <w:tcPr>
            <w:tcW w:w="1928" w:type="dxa"/>
            <w:vAlign w:val="top"/>
          </w:tcPr>
          <w:p w14:paraId="4F03E8FC">
            <w:pPr>
              <w:spacing w:line="270" w:lineRule="auto"/>
              <w:rPr>
                <w:rFonts w:ascii="Arial"/>
                <w:sz w:val="21"/>
              </w:rPr>
            </w:pPr>
          </w:p>
          <w:p w14:paraId="68A43BD4">
            <w:pPr>
              <w:spacing w:line="271" w:lineRule="auto"/>
              <w:rPr>
                <w:rFonts w:ascii="Arial"/>
                <w:sz w:val="21"/>
              </w:rPr>
            </w:pPr>
          </w:p>
          <w:p w14:paraId="5C5851E3">
            <w:pPr>
              <w:pStyle w:val="6"/>
              <w:spacing w:before="58" w:line="217" w:lineRule="auto"/>
              <w:ind w:left="15" w:right="93"/>
              <w:rPr>
                <w:sz w:val="18"/>
                <w:szCs w:val="18"/>
              </w:rPr>
            </w:pPr>
            <w:r>
              <w:rPr>
                <w:sz w:val="18"/>
                <w:szCs w:val="18"/>
              </w:rPr>
              <w:t>1.基础技能操作：熟练</w:t>
            </w:r>
            <w:r>
              <w:rPr>
                <w:spacing w:val="7"/>
                <w:sz w:val="18"/>
                <w:szCs w:val="18"/>
              </w:rPr>
              <w:t xml:space="preserve"> </w:t>
            </w:r>
            <w:r>
              <w:rPr>
                <w:spacing w:val="1"/>
                <w:sz w:val="18"/>
                <w:szCs w:val="18"/>
              </w:rPr>
              <w:t>利用图形制作软件如</w:t>
            </w:r>
          </w:p>
          <w:p w14:paraId="6F11D194">
            <w:pPr>
              <w:pStyle w:val="6"/>
              <w:spacing w:before="13" w:line="226" w:lineRule="auto"/>
              <w:ind w:left="15"/>
              <w:rPr>
                <w:sz w:val="18"/>
                <w:szCs w:val="18"/>
              </w:rPr>
            </w:pPr>
            <w:r>
              <w:rPr>
                <w:spacing w:val="-6"/>
                <w:sz w:val="18"/>
                <w:szCs w:val="18"/>
              </w:rPr>
              <w:t>Photoshop对给定的文字</w:t>
            </w:r>
            <w:r>
              <w:rPr>
                <w:sz w:val="18"/>
                <w:szCs w:val="18"/>
              </w:rPr>
              <w:t xml:space="preserve">  </w:t>
            </w:r>
            <w:r>
              <w:rPr>
                <w:spacing w:val="-8"/>
                <w:sz w:val="18"/>
                <w:szCs w:val="18"/>
              </w:rPr>
              <w:t>或图片进行制作并保存；</w:t>
            </w:r>
            <w:r>
              <w:rPr>
                <w:spacing w:val="9"/>
                <w:sz w:val="18"/>
                <w:szCs w:val="18"/>
              </w:rPr>
              <w:t xml:space="preserve"> </w:t>
            </w:r>
            <w:r>
              <w:rPr>
                <w:spacing w:val="-4"/>
                <w:sz w:val="18"/>
                <w:szCs w:val="18"/>
              </w:rPr>
              <w:t>2.创作技能操作：(1)</w:t>
            </w:r>
            <w:r>
              <w:rPr>
                <w:spacing w:val="3"/>
                <w:sz w:val="18"/>
                <w:szCs w:val="18"/>
              </w:rPr>
              <w:t xml:space="preserve">   </w:t>
            </w:r>
            <w:r>
              <w:rPr>
                <w:spacing w:val="-15"/>
                <w:sz w:val="18"/>
                <w:szCs w:val="18"/>
              </w:rPr>
              <w:t>利用给定的素材构思合适</w:t>
            </w:r>
            <w:r>
              <w:rPr>
                <w:spacing w:val="3"/>
                <w:sz w:val="18"/>
                <w:szCs w:val="18"/>
              </w:rPr>
              <w:t xml:space="preserve">  </w:t>
            </w:r>
            <w:r>
              <w:rPr>
                <w:spacing w:val="-8"/>
                <w:sz w:val="18"/>
                <w:szCs w:val="18"/>
              </w:rPr>
              <w:t>的广告包括色调、主题、</w:t>
            </w:r>
            <w:r>
              <w:rPr>
                <w:spacing w:val="9"/>
                <w:sz w:val="18"/>
                <w:szCs w:val="18"/>
              </w:rPr>
              <w:t xml:space="preserve"> </w:t>
            </w:r>
            <w:r>
              <w:rPr>
                <w:spacing w:val="-8"/>
                <w:sz w:val="18"/>
                <w:szCs w:val="18"/>
              </w:rPr>
              <w:t>广告词，并按要求导出；</w:t>
            </w:r>
            <w:r>
              <w:rPr>
                <w:spacing w:val="9"/>
                <w:sz w:val="18"/>
                <w:szCs w:val="18"/>
              </w:rPr>
              <w:t xml:space="preserve"> </w:t>
            </w:r>
            <w:r>
              <w:rPr>
                <w:spacing w:val="-6"/>
                <w:sz w:val="18"/>
                <w:szCs w:val="18"/>
              </w:rPr>
              <w:t>(2)将完成的广告发布</w:t>
            </w:r>
          </w:p>
          <w:p w14:paraId="6E963F25">
            <w:pPr>
              <w:pStyle w:val="6"/>
              <w:spacing w:line="219" w:lineRule="auto"/>
              <w:ind w:left="15"/>
              <w:rPr>
                <w:sz w:val="18"/>
                <w:szCs w:val="18"/>
              </w:rPr>
            </w:pPr>
            <w:r>
              <w:rPr>
                <w:sz w:val="18"/>
                <w:szCs w:val="18"/>
              </w:rPr>
              <w:t>到指定的商务网络中。</w:t>
            </w:r>
          </w:p>
        </w:tc>
        <w:tc>
          <w:tcPr>
            <w:tcW w:w="2642" w:type="dxa"/>
            <w:vAlign w:val="top"/>
          </w:tcPr>
          <w:p w14:paraId="164608D4">
            <w:pPr>
              <w:spacing w:line="259" w:lineRule="auto"/>
              <w:rPr>
                <w:rFonts w:ascii="Arial"/>
                <w:sz w:val="21"/>
              </w:rPr>
            </w:pPr>
          </w:p>
          <w:p w14:paraId="16F8E5F6">
            <w:pPr>
              <w:spacing w:line="260" w:lineRule="auto"/>
              <w:rPr>
                <w:rFonts w:ascii="Arial"/>
                <w:sz w:val="21"/>
              </w:rPr>
            </w:pPr>
          </w:p>
          <w:p w14:paraId="72E747C5">
            <w:pPr>
              <w:spacing w:line="260" w:lineRule="auto"/>
              <w:rPr>
                <w:rFonts w:ascii="Arial"/>
                <w:sz w:val="21"/>
              </w:rPr>
            </w:pPr>
          </w:p>
          <w:p w14:paraId="23BD7A59">
            <w:pPr>
              <w:pStyle w:val="6"/>
              <w:spacing w:before="58" w:line="202" w:lineRule="auto"/>
              <w:ind w:left="17"/>
              <w:rPr>
                <w:sz w:val="18"/>
                <w:szCs w:val="18"/>
              </w:rPr>
            </w:pPr>
            <w:r>
              <w:rPr>
                <w:sz w:val="18"/>
                <w:szCs w:val="18"/>
              </w:rPr>
              <w:t>限时90分钟，满分100分。</w:t>
            </w:r>
          </w:p>
          <w:p w14:paraId="499B6323">
            <w:pPr>
              <w:pStyle w:val="6"/>
              <w:spacing w:line="216" w:lineRule="auto"/>
              <w:ind w:left="48"/>
              <w:rPr>
                <w:sz w:val="18"/>
                <w:szCs w:val="18"/>
              </w:rPr>
            </w:pPr>
            <w:r>
              <w:rPr>
                <w:sz w:val="18"/>
                <w:szCs w:val="18"/>
              </w:rPr>
              <w:t>1.基础技能(30分),包括文字</w:t>
            </w:r>
          </w:p>
          <w:p w14:paraId="31BC2280">
            <w:pPr>
              <w:pStyle w:val="6"/>
              <w:spacing w:before="31" w:line="205" w:lineRule="auto"/>
              <w:ind w:left="27"/>
              <w:rPr>
                <w:sz w:val="18"/>
                <w:szCs w:val="18"/>
              </w:rPr>
            </w:pPr>
            <w:r>
              <w:rPr>
                <w:spacing w:val="-1"/>
                <w:sz w:val="18"/>
                <w:szCs w:val="18"/>
              </w:rPr>
              <w:t>录入及设置10分、图片格式及</w:t>
            </w:r>
          </w:p>
          <w:p w14:paraId="2BFEBA0F">
            <w:pPr>
              <w:pStyle w:val="6"/>
              <w:spacing w:line="219" w:lineRule="auto"/>
              <w:jc w:val="right"/>
              <w:rPr>
                <w:sz w:val="18"/>
                <w:szCs w:val="18"/>
              </w:rPr>
            </w:pPr>
            <w:r>
              <w:rPr>
                <w:sz w:val="18"/>
                <w:szCs w:val="18"/>
              </w:rPr>
              <w:t>设置15分、作品导出及保存5分；</w:t>
            </w:r>
          </w:p>
          <w:p w14:paraId="3EA37DB5">
            <w:pPr>
              <w:pStyle w:val="6"/>
              <w:spacing w:before="23" w:line="208" w:lineRule="auto"/>
              <w:ind w:left="17"/>
              <w:rPr>
                <w:sz w:val="18"/>
                <w:szCs w:val="18"/>
              </w:rPr>
            </w:pPr>
            <w:r>
              <w:rPr>
                <w:spacing w:val="-1"/>
                <w:sz w:val="18"/>
                <w:szCs w:val="18"/>
              </w:rPr>
              <w:t>2.创作技能(70分),包括主题</w:t>
            </w:r>
          </w:p>
          <w:p w14:paraId="33346985">
            <w:pPr>
              <w:pStyle w:val="6"/>
              <w:spacing w:line="219" w:lineRule="auto"/>
              <w:ind w:left="27"/>
              <w:rPr>
                <w:sz w:val="18"/>
                <w:szCs w:val="18"/>
              </w:rPr>
            </w:pPr>
            <w:r>
              <w:rPr>
                <w:spacing w:val="-1"/>
                <w:sz w:val="18"/>
                <w:szCs w:val="18"/>
              </w:rPr>
              <w:t>设计10分、文字与整体协调10</w:t>
            </w:r>
          </w:p>
          <w:p w14:paraId="61C9B0F0">
            <w:pPr>
              <w:pStyle w:val="6"/>
              <w:spacing w:before="18" w:line="222" w:lineRule="auto"/>
              <w:ind w:left="17" w:firstLine="9"/>
              <w:rPr>
                <w:sz w:val="18"/>
                <w:szCs w:val="18"/>
              </w:rPr>
            </w:pPr>
            <w:r>
              <w:rPr>
                <w:spacing w:val="5"/>
                <w:sz w:val="18"/>
                <w:szCs w:val="18"/>
              </w:rPr>
              <w:t>分、颜色搭配与整体协调40分、</w:t>
            </w:r>
            <w:r>
              <w:rPr>
                <w:spacing w:val="8"/>
                <w:sz w:val="18"/>
                <w:szCs w:val="18"/>
              </w:rPr>
              <w:t xml:space="preserve"> </w:t>
            </w:r>
            <w:r>
              <w:rPr>
                <w:spacing w:val="-1"/>
                <w:sz w:val="18"/>
                <w:szCs w:val="18"/>
              </w:rPr>
              <w:t>命名导出保存10分。</w:t>
            </w:r>
          </w:p>
        </w:tc>
      </w:tr>
    </w:tbl>
    <w:p w14:paraId="4AD08593">
      <w:pPr>
        <w:pStyle w:val="2"/>
        <w:spacing w:line="115" w:lineRule="exact"/>
        <w:rPr>
          <w:sz w:val="10"/>
        </w:rPr>
      </w:pPr>
    </w:p>
    <w:p w14:paraId="62D143F2">
      <w:pPr>
        <w:spacing w:line="115" w:lineRule="exact"/>
        <w:rPr>
          <w:sz w:val="10"/>
          <w:szCs w:val="10"/>
        </w:rPr>
        <w:sectPr>
          <w:footerReference r:id="rId112" w:type="default"/>
          <w:pgSz w:w="10660" w:h="15080"/>
          <w:pgMar w:top="400" w:right="1055" w:bottom="898" w:left="809" w:header="0" w:footer="745" w:gutter="0"/>
          <w:cols w:equalWidth="0" w:num="1">
            <w:col w:w="8796"/>
          </w:cols>
        </w:sectPr>
      </w:pPr>
    </w:p>
    <w:p w14:paraId="341B1346">
      <w:pPr>
        <w:spacing w:before="46" w:line="220" w:lineRule="auto"/>
        <w:ind w:left="63"/>
        <w:rPr>
          <w:rFonts w:ascii="宋体" w:hAnsi="宋体" w:eastAsia="宋体" w:cs="宋体"/>
          <w:sz w:val="23"/>
          <w:szCs w:val="23"/>
        </w:rPr>
      </w:pPr>
      <w:r>
        <w:rPr>
          <w:rFonts w:ascii="宋体" w:hAnsi="宋体" w:eastAsia="宋体" w:cs="宋体"/>
          <w:b/>
          <w:bCs/>
          <w:spacing w:val="-9"/>
          <w:sz w:val="23"/>
          <w:szCs w:val="23"/>
        </w:rPr>
        <w:t>四、其他相关要求</w:t>
      </w:r>
    </w:p>
    <w:p w14:paraId="21F7DF74">
      <w:pPr>
        <w:spacing w:before="86" w:line="308" w:lineRule="auto"/>
        <w:ind w:left="60" w:right="368" w:firstLine="380"/>
        <w:jc w:val="both"/>
        <w:rPr>
          <w:rFonts w:ascii="宋体" w:hAnsi="宋体" w:eastAsia="宋体" w:cs="宋体"/>
          <w:sz w:val="17"/>
          <w:szCs w:val="17"/>
        </w:rPr>
      </w:pPr>
      <w:r>
        <w:rPr>
          <w:rFonts w:ascii="宋体" w:hAnsi="宋体" w:eastAsia="宋体" w:cs="宋体"/>
          <w:sz w:val="17"/>
          <w:szCs w:val="17"/>
        </w:rPr>
        <w:t>1.会计事务专业符合会计工作的基本素质要求，做</w:t>
      </w:r>
      <w:r>
        <w:rPr>
          <w:rFonts w:ascii="宋体" w:hAnsi="宋体" w:eastAsia="宋体" w:cs="宋体"/>
          <w:spacing w:val="7"/>
          <w:sz w:val="17"/>
          <w:szCs w:val="17"/>
        </w:rPr>
        <w:t xml:space="preserve"> </w:t>
      </w:r>
      <w:r>
        <w:rPr>
          <w:rFonts w:ascii="宋体" w:hAnsi="宋体" w:eastAsia="宋体" w:cs="宋体"/>
          <w:spacing w:val="2"/>
          <w:sz w:val="17"/>
          <w:szCs w:val="17"/>
        </w:rPr>
        <w:t>到认真、细致、耐心、守纪、客观、整洁。能事</w:t>
      </w:r>
      <w:r>
        <w:rPr>
          <w:rFonts w:ascii="宋体" w:hAnsi="宋体" w:eastAsia="宋体" w:cs="宋体"/>
          <w:spacing w:val="1"/>
          <w:sz w:val="17"/>
          <w:szCs w:val="17"/>
        </w:rPr>
        <w:t>前做好</w:t>
      </w:r>
      <w:r>
        <w:rPr>
          <w:rFonts w:ascii="宋体" w:hAnsi="宋体" w:eastAsia="宋体" w:cs="宋体"/>
          <w:sz w:val="17"/>
          <w:szCs w:val="17"/>
        </w:rPr>
        <w:t xml:space="preserve"> </w:t>
      </w:r>
      <w:r>
        <w:rPr>
          <w:rFonts w:ascii="宋体" w:hAnsi="宋体" w:eastAsia="宋体" w:cs="宋体"/>
          <w:spacing w:val="2"/>
          <w:sz w:val="17"/>
          <w:szCs w:val="17"/>
        </w:rPr>
        <w:t xml:space="preserve">准备工作，能按要求进行凭证的填制、整理，保持工作 </w:t>
      </w:r>
      <w:r>
        <w:rPr>
          <w:rFonts w:ascii="宋体" w:hAnsi="宋体" w:eastAsia="宋体" w:cs="宋体"/>
          <w:spacing w:val="-3"/>
          <w:sz w:val="17"/>
          <w:szCs w:val="17"/>
        </w:rPr>
        <w:t>台面清洁，及时清扫废弃杂物等。</w:t>
      </w:r>
    </w:p>
    <w:p w14:paraId="1838583C">
      <w:pPr>
        <w:spacing w:before="23" w:line="302" w:lineRule="auto"/>
        <w:ind w:left="60" w:right="374" w:firstLine="380"/>
        <w:rPr>
          <w:rFonts w:ascii="宋体" w:hAnsi="宋体" w:eastAsia="宋体" w:cs="宋体"/>
          <w:sz w:val="17"/>
          <w:szCs w:val="17"/>
        </w:rPr>
      </w:pPr>
      <w:r>
        <w:rPr>
          <w:rFonts w:ascii="宋体" w:hAnsi="宋体" w:eastAsia="宋体" w:cs="宋体"/>
          <w:sz w:val="17"/>
          <w:szCs w:val="17"/>
        </w:rPr>
        <w:t>2.营销管理类专业人员具备良好的人际沟通能力，</w:t>
      </w:r>
      <w:r>
        <w:rPr>
          <w:rFonts w:ascii="宋体" w:hAnsi="宋体" w:eastAsia="宋体" w:cs="宋体"/>
          <w:spacing w:val="4"/>
          <w:sz w:val="17"/>
          <w:szCs w:val="17"/>
        </w:rPr>
        <w:t xml:space="preserve"> </w:t>
      </w:r>
      <w:r>
        <w:rPr>
          <w:rFonts w:ascii="宋体" w:hAnsi="宋体" w:eastAsia="宋体" w:cs="宋体"/>
          <w:spacing w:val="-4"/>
          <w:sz w:val="17"/>
          <w:szCs w:val="17"/>
        </w:rPr>
        <w:t>注意仪容仪表。</w:t>
      </w:r>
    </w:p>
    <w:p w14:paraId="61673BD6">
      <w:pPr>
        <w:spacing w:before="25" w:line="301" w:lineRule="auto"/>
        <w:ind w:left="60" w:right="354" w:firstLine="380"/>
        <w:rPr>
          <w:rFonts w:ascii="宋体" w:hAnsi="宋体" w:eastAsia="宋体" w:cs="宋体"/>
          <w:sz w:val="17"/>
          <w:szCs w:val="17"/>
        </w:rPr>
      </w:pPr>
      <w:r>
        <w:rPr>
          <w:rFonts w:ascii="宋体" w:hAnsi="宋体" w:eastAsia="宋体" w:cs="宋体"/>
          <w:spacing w:val="1"/>
          <w:sz w:val="17"/>
          <w:szCs w:val="17"/>
        </w:rPr>
        <w:t xml:space="preserve">3.财会金融类的会计基本技能测试，会计电算化所 </w:t>
      </w:r>
      <w:r>
        <w:rPr>
          <w:rFonts w:ascii="宋体" w:hAnsi="宋体" w:eastAsia="宋体" w:cs="宋体"/>
          <w:spacing w:val="-2"/>
          <w:sz w:val="17"/>
          <w:szCs w:val="17"/>
        </w:rPr>
        <w:t>使用测试软件由省考试院会同招生院校共同确定。</w:t>
      </w:r>
    </w:p>
    <w:p w14:paraId="7EF8FF3F">
      <w:pPr>
        <w:spacing w:before="206" w:line="219" w:lineRule="auto"/>
        <w:ind w:left="243"/>
        <w:rPr>
          <w:rFonts w:ascii="宋体" w:hAnsi="宋体" w:eastAsia="宋体" w:cs="宋体"/>
          <w:sz w:val="27"/>
          <w:szCs w:val="27"/>
        </w:rPr>
      </w:pPr>
      <w:r>
        <w:rPr>
          <w:rFonts w:ascii="宋体" w:hAnsi="宋体" w:eastAsia="宋体" w:cs="宋体"/>
          <w:b/>
          <w:bCs/>
          <w:spacing w:val="16"/>
          <w:sz w:val="27"/>
          <w:szCs w:val="27"/>
        </w:rPr>
        <w:t>电子与信息大类(电子信息类)</w:t>
      </w:r>
    </w:p>
    <w:p w14:paraId="6FBCEB77">
      <w:pPr>
        <w:spacing w:before="80" w:line="220" w:lineRule="auto"/>
        <w:ind w:left="1063"/>
        <w:outlineLvl w:val="0"/>
        <w:rPr>
          <w:rFonts w:ascii="宋体" w:hAnsi="宋体" w:eastAsia="宋体" w:cs="宋体"/>
          <w:sz w:val="27"/>
          <w:szCs w:val="27"/>
        </w:rPr>
      </w:pPr>
      <w:bookmarkStart w:id="56" w:name="bookmark19"/>
      <w:bookmarkEnd w:id="56"/>
      <w:r>
        <w:rPr>
          <w:rFonts w:ascii="宋体" w:hAnsi="宋体" w:eastAsia="宋体" w:cs="宋体"/>
          <w:b/>
          <w:bCs/>
          <w:spacing w:val="1"/>
          <w:sz w:val="27"/>
          <w:szCs w:val="27"/>
        </w:rPr>
        <w:t>专业技能测试纲要</w:t>
      </w:r>
    </w:p>
    <w:p w14:paraId="035B3F68">
      <w:pPr>
        <w:spacing w:before="286" w:line="289" w:lineRule="auto"/>
        <w:ind w:left="60" w:right="294" w:firstLine="380"/>
        <w:jc w:val="both"/>
        <w:rPr>
          <w:rFonts w:ascii="宋体" w:hAnsi="宋体" w:eastAsia="宋体" w:cs="宋体"/>
          <w:sz w:val="17"/>
          <w:szCs w:val="17"/>
        </w:rPr>
      </w:pPr>
      <w:r>
        <w:rPr>
          <w:rFonts w:ascii="宋体" w:hAnsi="宋体" w:eastAsia="宋体" w:cs="宋体"/>
          <w:spacing w:val="-1"/>
          <w:sz w:val="17"/>
          <w:szCs w:val="17"/>
        </w:rPr>
        <w:t>本测试考核纲要是依据教育部中等职业学校各类专</w:t>
      </w:r>
      <w:r>
        <w:rPr>
          <w:rFonts w:ascii="宋体" w:hAnsi="宋体" w:eastAsia="宋体" w:cs="宋体"/>
          <w:spacing w:val="6"/>
          <w:sz w:val="17"/>
          <w:szCs w:val="17"/>
        </w:rPr>
        <w:t xml:space="preserve">  </w:t>
      </w:r>
      <w:r>
        <w:rPr>
          <w:rFonts w:ascii="宋体" w:hAnsi="宋体" w:eastAsia="宋体" w:cs="宋体"/>
          <w:spacing w:val="5"/>
          <w:sz w:val="17"/>
          <w:szCs w:val="17"/>
        </w:rPr>
        <w:t>业教学标准(试行)或中等职业学校专业教学指导方案，</w:t>
      </w:r>
      <w:r>
        <w:rPr>
          <w:rFonts w:ascii="宋体" w:hAnsi="宋体" w:eastAsia="宋体" w:cs="宋体"/>
          <w:sz w:val="17"/>
          <w:szCs w:val="17"/>
        </w:rPr>
        <w:t xml:space="preserve"> </w:t>
      </w:r>
      <w:r>
        <w:rPr>
          <w:rFonts w:ascii="宋体" w:hAnsi="宋体" w:eastAsia="宋体" w:cs="宋体"/>
          <w:spacing w:val="2"/>
          <w:sz w:val="17"/>
          <w:szCs w:val="17"/>
        </w:rPr>
        <w:t>以及进入高等院校继续学习所具备的专业基础技能。按</w:t>
      </w:r>
      <w:r>
        <w:rPr>
          <w:rFonts w:ascii="宋体" w:hAnsi="宋体" w:eastAsia="宋体" w:cs="宋体"/>
          <w:sz w:val="17"/>
          <w:szCs w:val="17"/>
        </w:rPr>
        <w:t xml:space="preserve">  </w:t>
      </w:r>
      <w:r>
        <w:rPr>
          <w:rFonts w:ascii="宋体" w:hAnsi="宋体" w:eastAsia="宋体" w:cs="宋体"/>
          <w:spacing w:val="2"/>
          <w:sz w:val="17"/>
          <w:szCs w:val="17"/>
        </w:rPr>
        <w:t>照国家初级工、中级工技术等级标准，要求考生</w:t>
      </w:r>
      <w:r>
        <w:rPr>
          <w:rFonts w:ascii="宋体" w:hAnsi="宋体" w:eastAsia="宋体" w:cs="宋体"/>
          <w:spacing w:val="1"/>
          <w:sz w:val="17"/>
          <w:szCs w:val="17"/>
        </w:rPr>
        <w:t>运用所</w:t>
      </w:r>
      <w:r>
        <w:rPr>
          <w:rFonts w:ascii="宋体" w:hAnsi="宋体" w:eastAsia="宋体" w:cs="宋体"/>
          <w:sz w:val="17"/>
          <w:szCs w:val="17"/>
        </w:rPr>
        <w:t xml:space="preserve">  </w:t>
      </w:r>
      <w:r>
        <w:rPr>
          <w:rFonts w:ascii="宋体" w:hAnsi="宋体" w:eastAsia="宋体" w:cs="宋体"/>
          <w:spacing w:val="-1"/>
          <w:sz w:val="17"/>
          <w:szCs w:val="17"/>
        </w:rPr>
        <w:t>学的专业基础技能完成测试。</w:t>
      </w:r>
    </w:p>
    <w:p w14:paraId="4E5297AC">
      <w:pPr>
        <w:pStyle w:val="2"/>
        <w:spacing w:line="14" w:lineRule="auto"/>
        <w:rPr>
          <w:sz w:val="2"/>
        </w:rPr>
      </w:pPr>
      <w:r>
        <w:rPr>
          <w:sz w:val="2"/>
          <w:szCs w:val="2"/>
        </w:rPr>
        <w:br w:type="column"/>
      </w:r>
    </w:p>
    <w:p w14:paraId="26509E8F">
      <w:pPr>
        <w:spacing w:before="92" w:line="309" w:lineRule="auto"/>
        <w:ind w:right="7" w:firstLine="359"/>
        <w:rPr>
          <w:rFonts w:ascii="宋体" w:hAnsi="宋体" w:eastAsia="宋体" w:cs="宋体"/>
          <w:sz w:val="17"/>
          <w:szCs w:val="17"/>
        </w:rPr>
      </w:pPr>
      <w:r>
        <w:rPr>
          <w:rFonts w:ascii="宋体" w:hAnsi="宋体" w:eastAsia="宋体" w:cs="宋体"/>
          <w:spacing w:val="1"/>
          <w:sz w:val="17"/>
          <w:szCs w:val="17"/>
        </w:rPr>
        <w:t>测试要求：掌握电工操作技能和电子装配技能；会</w:t>
      </w:r>
      <w:r>
        <w:rPr>
          <w:rFonts w:ascii="宋体" w:hAnsi="宋体" w:eastAsia="宋体" w:cs="宋体"/>
          <w:spacing w:val="4"/>
          <w:sz w:val="17"/>
          <w:szCs w:val="17"/>
        </w:rPr>
        <w:t xml:space="preserve"> </w:t>
      </w:r>
      <w:r>
        <w:rPr>
          <w:rFonts w:ascii="宋体" w:hAnsi="宋体" w:eastAsia="宋体" w:cs="宋体"/>
          <w:spacing w:val="2"/>
          <w:sz w:val="17"/>
          <w:szCs w:val="17"/>
        </w:rPr>
        <w:t>使用常用电工电子工具、仪器、仪表；能阅读电</w:t>
      </w:r>
      <w:r>
        <w:rPr>
          <w:rFonts w:ascii="宋体" w:hAnsi="宋体" w:eastAsia="宋体" w:cs="宋体"/>
          <w:spacing w:val="1"/>
          <w:sz w:val="17"/>
          <w:szCs w:val="17"/>
        </w:rPr>
        <w:t>子整机</w:t>
      </w:r>
      <w:r>
        <w:rPr>
          <w:rFonts w:ascii="宋体" w:hAnsi="宋体" w:eastAsia="宋体" w:cs="宋体"/>
          <w:sz w:val="17"/>
          <w:szCs w:val="17"/>
        </w:rPr>
        <w:t xml:space="preserve"> </w:t>
      </w:r>
      <w:r>
        <w:rPr>
          <w:rFonts w:ascii="宋体" w:hAnsi="宋体" w:eastAsia="宋体" w:cs="宋体"/>
          <w:spacing w:val="1"/>
          <w:sz w:val="17"/>
          <w:szCs w:val="17"/>
        </w:rPr>
        <w:t>原理图、印制电路板图、装配结构图和各种工艺文件；</w:t>
      </w:r>
      <w:r>
        <w:rPr>
          <w:rFonts w:ascii="宋体" w:hAnsi="宋体" w:eastAsia="宋体" w:cs="宋体"/>
          <w:spacing w:val="10"/>
          <w:sz w:val="17"/>
          <w:szCs w:val="17"/>
        </w:rPr>
        <w:t xml:space="preserve"> </w:t>
      </w:r>
      <w:r>
        <w:rPr>
          <w:rFonts w:ascii="宋体" w:hAnsi="宋体" w:eastAsia="宋体" w:cs="宋体"/>
          <w:spacing w:val="-3"/>
          <w:sz w:val="17"/>
          <w:szCs w:val="17"/>
        </w:rPr>
        <w:t>具有一定的电路故障检修能力。</w:t>
      </w:r>
    </w:p>
    <w:p w14:paraId="288C1964">
      <w:pPr>
        <w:spacing w:before="23" w:line="307" w:lineRule="auto"/>
        <w:ind w:firstLine="359"/>
        <w:rPr>
          <w:rFonts w:ascii="宋体" w:hAnsi="宋体" w:eastAsia="宋体" w:cs="宋体"/>
          <w:sz w:val="17"/>
          <w:szCs w:val="17"/>
        </w:rPr>
      </w:pPr>
      <w:r>
        <w:rPr>
          <w:rFonts w:ascii="宋体" w:hAnsi="宋体" w:eastAsia="宋体" w:cs="宋体"/>
          <w:spacing w:val="9"/>
          <w:sz w:val="17"/>
          <w:szCs w:val="17"/>
        </w:rPr>
        <w:t>电子类专业技能测试共10个项目，项目难度与测</w:t>
      </w:r>
      <w:r>
        <w:rPr>
          <w:rFonts w:ascii="宋体" w:hAnsi="宋体" w:eastAsia="宋体" w:cs="宋体"/>
          <w:spacing w:val="5"/>
          <w:sz w:val="17"/>
          <w:szCs w:val="17"/>
        </w:rPr>
        <w:t xml:space="preserve"> </w:t>
      </w:r>
      <w:r>
        <w:rPr>
          <w:rFonts w:ascii="宋体" w:hAnsi="宋体" w:eastAsia="宋体" w:cs="宋体"/>
          <w:spacing w:val="2"/>
          <w:sz w:val="17"/>
          <w:szCs w:val="17"/>
        </w:rPr>
        <w:t>试时间相匹配。招生单位任选其中一项进行测试</w:t>
      </w:r>
      <w:r>
        <w:rPr>
          <w:rFonts w:ascii="宋体" w:hAnsi="宋体" w:eastAsia="宋体" w:cs="宋体"/>
          <w:spacing w:val="1"/>
          <w:sz w:val="17"/>
          <w:szCs w:val="17"/>
        </w:rPr>
        <w:t>。分值</w:t>
      </w:r>
      <w:r>
        <w:rPr>
          <w:rFonts w:ascii="宋体" w:hAnsi="宋体" w:eastAsia="宋体" w:cs="宋体"/>
          <w:sz w:val="17"/>
          <w:szCs w:val="17"/>
        </w:rPr>
        <w:t xml:space="preserve"> </w:t>
      </w:r>
      <w:r>
        <w:rPr>
          <w:rFonts w:ascii="宋体" w:hAnsi="宋体" w:eastAsia="宋体" w:cs="宋体"/>
          <w:spacing w:val="6"/>
          <w:sz w:val="17"/>
          <w:szCs w:val="17"/>
        </w:rPr>
        <w:t>250分。</w:t>
      </w:r>
    </w:p>
    <w:p w14:paraId="46F7BBCA">
      <w:pPr>
        <w:spacing w:before="312" w:line="219" w:lineRule="auto"/>
        <w:ind w:left="953"/>
        <w:rPr>
          <w:rFonts w:ascii="宋体" w:hAnsi="宋体" w:eastAsia="宋体" w:cs="宋体"/>
          <w:sz w:val="23"/>
          <w:szCs w:val="23"/>
        </w:rPr>
      </w:pPr>
      <w:r>
        <w:rPr>
          <w:rFonts w:ascii="宋体" w:hAnsi="宋体" w:eastAsia="宋体" w:cs="宋体"/>
          <w:b/>
          <w:bCs/>
          <w:spacing w:val="-5"/>
          <w:sz w:val="23"/>
          <w:szCs w:val="23"/>
        </w:rPr>
        <w:t>项目一</w:t>
      </w:r>
      <w:r>
        <w:rPr>
          <w:rFonts w:ascii="宋体" w:hAnsi="宋体" w:eastAsia="宋体" w:cs="宋体"/>
          <w:spacing w:val="99"/>
          <w:sz w:val="23"/>
          <w:szCs w:val="23"/>
        </w:rPr>
        <w:t xml:space="preserve"> </w:t>
      </w:r>
      <w:r>
        <w:rPr>
          <w:rFonts w:ascii="宋体" w:hAnsi="宋体" w:eastAsia="宋体" w:cs="宋体"/>
          <w:b/>
          <w:bCs/>
          <w:spacing w:val="-5"/>
          <w:sz w:val="23"/>
          <w:szCs w:val="23"/>
        </w:rPr>
        <w:t>基尔霍夫定律</w:t>
      </w:r>
    </w:p>
    <w:p w14:paraId="5D940C62">
      <w:pPr>
        <w:pStyle w:val="2"/>
        <w:spacing w:line="261" w:lineRule="auto"/>
      </w:pPr>
    </w:p>
    <w:p w14:paraId="0EC4079C">
      <w:pPr>
        <w:spacing w:before="56" w:line="221" w:lineRule="auto"/>
        <w:ind w:left="355"/>
        <w:rPr>
          <w:rFonts w:ascii="宋体" w:hAnsi="宋体" w:eastAsia="宋体" w:cs="宋体"/>
          <w:sz w:val="17"/>
          <w:szCs w:val="17"/>
        </w:rPr>
      </w:pPr>
      <w:r>
        <w:rPr>
          <w:rFonts w:ascii="宋体" w:hAnsi="宋体" w:eastAsia="宋体" w:cs="宋体"/>
          <w:spacing w:val="6"/>
          <w:sz w:val="17"/>
          <w:szCs w:val="17"/>
        </w:rPr>
        <w:t>【测试用具】</w:t>
      </w:r>
    </w:p>
    <w:p w14:paraId="26DB2776">
      <w:pPr>
        <w:spacing w:before="84" w:line="219" w:lineRule="auto"/>
        <w:ind w:left="359"/>
        <w:rPr>
          <w:rFonts w:ascii="宋体" w:hAnsi="宋体" w:eastAsia="宋体" w:cs="宋体"/>
          <w:sz w:val="17"/>
          <w:szCs w:val="17"/>
        </w:rPr>
      </w:pPr>
      <w:r>
        <w:rPr>
          <w:rFonts w:ascii="宋体" w:hAnsi="宋体" w:eastAsia="宋体" w:cs="宋体"/>
          <w:spacing w:val="6"/>
          <w:sz w:val="17"/>
          <w:szCs w:val="17"/>
        </w:rPr>
        <w:t>1、集成电路实验板1块</w:t>
      </w:r>
    </w:p>
    <w:p w14:paraId="45CA74AD">
      <w:pPr>
        <w:spacing w:before="80" w:line="220" w:lineRule="auto"/>
        <w:ind w:left="359"/>
        <w:rPr>
          <w:rFonts w:ascii="宋体" w:hAnsi="宋体" w:eastAsia="宋体" w:cs="宋体"/>
          <w:sz w:val="17"/>
          <w:szCs w:val="17"/>
        </w:rPr>
      </w:pPr>
      <w:r>
        <w:rPr>
          <w:rFonts w:ascii="宋体" w:hAnsi="宋体" w:eastAsia="宋体" w:cs="宋体"/>
          <w:spacing w:val="16"/>
          <w:sz w:val="17"/>
          <w:szCs w:val="17"/>
        </w:rPr>
        <w:t>2、万用表1只</w:t>
      </w:r>
    </w:p>
    <w:p w14:paraId="01B89592">
      <w:pPr>
        <w:spacing w:before="88" w:line="221" w:lineRule="auto"/>
        <w:ind w:left="359"/>
        <w:rPr>
          <w:rFonts w:ascii="宋体" w:hAnsi="宋体" w:eastAsia="宋体" w:cs="宋体"/>
          <w:sz w:val="17"/>
          <w:szCs w:val="17"/>
        </w:rPr>
      </w:pPr>
      <w:r>
        <w:rPr>
          <w:rFonts w:ascii="宋体" w:hAnsi="宋体" w:eastAsia="宋体" w:cs="宋体"/>
          <w:spacing w:val="11"/>
          <w:sz w:val="17"/>
          <w:szCs w:val="17"/>
        </w:rPr>
        <w:t>3、直流毫安表3只</w:t>
      </w:r>
    </w:p>
    <w:p w14:paraId="3822D162">
      <w:pPr>
        <w:spacing w:before="94" w:line="262" w:lineRule="auto"/>
        <w:ind w:left="355" w:right="1806" w:firstLine="4"/>
        <w:rPr>
          <w:rFonts w:ascii="宋体" w:hAnsi="宋体" w:eastAsia="宋体" w:cs="宋体"/>
          <w:sz w:val="17"/>
          <w:szCs w:val="17"/>
        </w:rPr>
      </w:pPr>
      <w:r>
        <w:rPr>
          <w:rFonts w:ascii="宋体" w:hAnsi="宋体" w:eastAsia="宋体" w:cs="宋体"/>
          <w:spacing w:val="8"/>
          <w:sz w:val="17"/>
          <w:szCs w:val="17"/>
        </w:rPr>
        <w:t>4、双路直流稳压电源1台</w:t>
      </w:r>
      <w:r>
        <w:rPr>
          <w:rFonts w:ascii="宋体" w:hAnsi="宋体" w:eastAsia="宋体" w:cs="宋体"/>
          <w:spacing w:val="1"/>
          <w:sz w:val="17"/>
          <w:szCs w:val="17"/>
        </w:rPr>
        <w:t xml:space="preserve"> </w:t>
      </w:r>
      <w:r>
        <w:rPr>
          <w:rFonts w:ascii="宋体" w:hAnsi="宋体" w:eastAsia="宋体" w:cs="宋体"/>
          <w:spacing w:val="6"/>
          <w:sz w:val="17"/>
          <w:szCs w:val="17"/>
        </w:rPr>
        <w:t>【测试内容】</w:t>
      </w:r>
    </w:p>
    <w:p w14:paraId="6129C08A">
      <w:pPr>
        <w:spacing w:before="89" w:line="219" w:lineRule="auto"/>
        <w:ind w:left="359"/>
        <w:rPr>
          <w:rFonts w:ascii="宋体" w:hAnsi="宋体" w:eastAsia="宋体" w:cs="宋体"/>
          <w:sz w:val="17"/>
          <w:szCs w:val="17"/>
        </w:rPr>
      </w:pPr>
      <w:r>
        <w:rPr>
          <w:rFonts w:ascii="宋体" w:hAnsi="宋体" w:eastAsia="宋体" w:cs="宋体"/>
          <w:spacing w:val="-2"/>
          <w:sz w:val="17"/>
          <w:szCs w:val="17"/>
        </w:rPr>
        <w:t>1、基尔霍夫电流定律。</w:t>
      </w:r>
    </w:p>
    <w:p w14:paraId="6B6779B9">
      <w:pPr>
        <w:spacing w:before="98" w:line="219" w:lineRule="auto"/>
        <w:ind w:left="359"/>
        <w:rPr>
          <w:rFonts w:ascii="宋体" w:hAnsi="宋体" w:eastAsia="宋体" w:cs="宋体"/>
          <w:sz w:val="17"/>
          <w:szCs w:val="17"/>
        </w:rPr>
      </w:pPr>
      <w:r>
        <w:rPr>
          <w:rFonts w:ascii="宋体" w:hAnsi="宋体" w:eastAsia="宋体" w:cs="宋体"/>
          <w:sz w:val="17"/>
          <w:szCs w:val="17"/>
        </w:rPr>
        <w:t>2、基尔霍夫电压定律。</w:t>
      </w:r>
    </w:p>
    <w:p w14:paraId="3CBCC4C1">
      <w:pPr>
        <w:spacing w:line="219" w:lineRule="auto"/>
        <w:rPr>
          <w:rFonts w:ascii="宋体" w:hAnsi="宋体" w:eastAsia="宋体" w:cs="宋体"/>
          <w:sz w:val="17"/>
          <w:szCs w:val="17"/>
        </w:rPr>
        <w:sectPr>
          <w:type w:val="continuous"/>
          <w:pgSz w:w="10660" w:h="15080"/>
          <w:pgMar w:top="400" w:right="1055" w:bottom="898" w:left="809" w:header="0" w:footer="745" w:gutter="0"/>
          <w:cols w:equalWidth="0" w:num="2">
            <w:col w:w="4561" w:space="100"/>
            <w:col w:w="4136"/>
          </w:cols>
        </w:sectPr>
      </w:pPr>
    </w:p>
    <w:p w14:paraId="3AE9177E">
      <w:pPr>
        <w:spacing w:before="11"/>
      </w:pPr>
    </w:p>
    <w:p w14:paraId="67B2EED1">
      <w:pPr>
        <w:spacing w:before="11"/>
      </w:pPr>
    </w:p>
    <w:p w14:paraId="16B9445F">
      <w:pPr>
        <w:spacing w:before="10"/>
      </w:pPr>
    </w:p>
    <w:p w14:paraId="731ADD93">
      <w:pPr>
        <w:spacing w:before="10"/>
      </w:pPr>
    </w:p>
    <w:p w14:paraId="0F091FD0">
      <w:pPr>
        <w:sectPr>
          <w:footerReference r:id="rId113" w:type="default"/>
          <w:pgSz w:w="10660" w:h="15080"/>
          <w:pgMar w:top="400" w:right="901" w:bottom="898" w:left="1019" w:header="0" w:footer="745" w:gutter="0"/>
          <w:cols w:equalWidth="0" w:num="1">
            <w:col w:w="8739"/>
          </w:cols>
        </w:sectPr>
      </w:pPr>
    </w:p>
    <w:p w14:paraId="68B8BDDF">
      <w:pPr>
        <w:spacing w:line="220" w:lineRule="auto"/>
        <w:ind w:left="275"/>
        <w:rPr>
          <w:rFonts w:ascii="宋体" w:hAnsi="宋体" w:eastAsia="宋体" w:cs="宋体"/>
          <w:sz w:val="17"/>
          <w:szCs w:val="17"/>
        </w:rPr>
      </w:pPr>
      <w:r>
        <w:rPr>
          <w:rFonts w:ascii="宋体" w:hAnsi="宋体" w:eastAsia="宋体" w:cs="宋体"/>
          <w:spacing w:val="8"/>
          <w:sz w:val="17"/>
          <w:szCs w:val="17"/>
        </w:rPr>
        <w:t>【测试方法】</w:t>
      </w:r>
    </w:p>
    <w:p w14:paraId="5C4BDCAB">
      <w:pPr>
        <w:spacing w:before="85" w:line="268" w:lineRule="auto"/>
        <w:ind w:right="373" w:firstLine="360"/>
        <w:rPr>
          <w:rFonts w:ascii="宋体" w:hAnsi="宋体" w:eastAsia="宋体" w:cs="宋体"/>
          <w:sz w:val="17"/>
          <w:szCs w:val="17"/>
        </w:rPr>
      </w:pPr>
      <w:r>
        <w:rPr>
          <w:rFonts w:ascii="宋体" w:hAnsi="宋体" w:eastAsia="宋体" w:cs="宋体"/>
          <w:spacing w:val="5"/>
          <w:sz w:val="17"/>
          <w:szCs w:val="17"/>
        </w:rPr>
        <w:t>1、使用直流毫安表测量集成电路实验板上各支路</w:t>
      </w:r>
      <w:r>
        <w:rPr>
          <w:rFonts w:ascii="宋体" w:hAnsi="宋体" w:eastAsia="宋体" w:cs="宋体"/>
          <w:sz w:val="17"/>
          <w:szCs w:val="17"/>
        </w:rPr>
        <w:t xml:space="preserve"> </w:t>
      </w:r>
      <w:r>
        <w:rPr>
          <w:rFonts w:ascii="宋体" w:hAnsi="宋体" w:eastAsia="宋体" w:cs="宋体"/>
          <w:spacing w:val="-3"/>
          <w:sz w:val="17"/>
          <w:szCs w:val="17"/>
        </w:rPr>
        <w:t>电流大小。</w:t>
      </w:r>
    </w:p>
    <w:p w14:paraId="74573E84">
      <w:pPr>
        <w:spacing w:before="86" w:line="267" w:lineRule="auto"/>
        <w:ind w:right="366" w:firstLine="360"/>
        <w:rPr>
          <w:rFonts w:ascii="宋体" w:hAnsi="宋体" w:eastAsia="宋体" w:cs="宋体"/>
          <w:sz w:val="17"/>
          <w:szCs w:val="17"/>
        </w:rPr>
      </w:pPr>
      <w:r>
        <w:rPr>
          <w:rFonts w:ascii="宋体" w:hAnsi="宋体" w:eastAsia="宋体" w:cs="宋体"/>
          <w:spacing w:val="5"/>
          <w:sz w:val="17"/>
          <w:szCs w:val="17"/>
        </w:rPr>
        <w:t>2、使用万用表的电压档测量集成电路实验板上的</w:t>
      </w:r>
      <w:r>
        <w:rPr>
          <w:rFonts w:ascii="宋体" w:hAnsi="宋体" w:eastAsia="宋体" w:cs="宋体"/>
          <w:spacing w:val="7"/>
          <w:sz w:val="17"/>
          <w:szCs w:val="17"/>
        </w:rPr>
        <w:t xml:space="preserve"> </w:t>
      </w:r>
      <w:r>
        <w:rPr>
          <w:rFonts w:ascii="宋体" w:hAnsi="宋体" w:eastAsia="宋体" w:cs="宋体"/>
          <w:spacing w:val="-6"/>
          <w:sz w:val="17"/>
          <w:szCs w:val="17"/>
        </w:rPr>
        <w:t>各电压值。</w:t>
      </w:r>
    </w:p>
    <w:p w14:paraId="34097EDB">
      <w:pPr>
        <w:spacing w:before="99" w:line="221" w:lineRule="auto"/>
        <w:ind w:left="275"/>
        <w:rPr>
          <w:rFonts w:ascii="宋体" w:hAnsi="宋体" w:eastAsia="宋体" w:cs="宋体"/>
          <w:sz w:val="17"/>
          <w:szCs w:val="17"/>
        </w:rPr>
      </w:pPr>
      <w:r>
        <w:rPr>
          <w:rFonts w:ascii="宋体" w:hAnsi="宋体" w:eastAsia="宋体" w:cs="宋体"/>
          <w:spacing w:val="8"/>
          <w:sz w:val="17"/>
          <w:szCs w:val="17"/>
        </w:rPr>
        <w:t>【测试要求】</w:t>
      </w:r>
    </w:p>
    <w:p w14:paraId="068B6684">
      <w:pPr>
        <w:spacing w:before="76" w:line="220" w:lineRule="auto"/>
        <w:ind w:left="360"/>
        <w:rPr>
          <w:rFonts w:ascii="宋体" w:hAnsi="宋体" w:eastAsia="宋体" w:cs="宋体"/>
          <w:sz w:val="17"/>
          <w:szCs w:val="17"/>
        </w:rPr>
      </w:pPr>
      <w:r>
        <w:rPr>
          <w:rFonts w:ascii="宋体" w:hAnsi="宋体" w:eastAsia="宋体" w:cs="宋体"/>
          <w:spacing w:val="4"/>
          <w:sz w:val="17"/>
          <w:szCs w:val="17"/>
        </w:rPr>
        <w:t>1、测试时间80分钟。</w:t>
      </w:r>
    </w:p>
    <w:p w14:paraId="2EC046E7">
      <w:pPr>
        <w:spacing w:before="97" w:line="219" w:lineRule="auto"/>
        <w:ind w:left="360"/>
        <w:rPr>
          <w:rFonts w:ascii="宋体" w:hAnsi="宋体" w:eastAsia="宋体" w:cs="宋体"/>
          <w:sz w:val="17"/>
          <w:szCs w:val="17"/>
        </w:rPr>
      </w:pPr>
      <w:r>
        <w:rPr>
          <w:rFonts w:ascii="宋体" w:hAnsi="宋体" w:eastAsia="宋体" w:cs="宋体"/>
          <w:spacing w:val="-3"/>
          <w:sz w:val="17"/>
          <w:szCs w:val="17"/>
        </w:rPr>
        <w:t>2、正确连接电路。</w:t>
      </w:r>
    </w:p>
    <w:p w14:paraId="0824F9DA">
      <w:pPr>
        <w:spacing w:before="78" w:line="267" w:lineRule="auto"/>
        <w:ind w:right="369" w:firstLine="360"/>
        <w:rPr>
          <w:rFonts w:ascii="宋体" w:hAnsi="宋体" w:eastAsia="宋体" w:cs="宋体"/>
          <w:sz w:val="17"/>
          <w:szCs w:val="17"/>
        </w:rPr>
      </w:pPr>
      <w:r>
        <w:rPr>
          <w:rFonts w:ascii="宋体" w:hAnsi="宋体" w:eastAsia="宋体" w:cs="宋体"/>
          <w:spacing w:val="5"/>
          <w:sz w:val="17"/>
          <w:szCs w:val="17"/>
        </w:rPr>
        <w:t>3、正确使用直流毫安表测量各支路电流及使用万</w:t>
      </w:r>
      <w:r>
        <w:rPr>
          <w:rFonts w:ascii="宋体" w:hAnsi="宋体" w:eastAsia="宋体" w:cs="宋体"/>
          <w:spacing w:val="4"/>
          <w:sz w:val="17"/>
          <w:szCs w:val="17"/>
        </w:rPr>
        <w:t xml:space="preserve"> </w:t>
      </w:r>
      <w:r>
        <w:rPr>
          <w:rFonts w:ascii="宋体" w:hAnsi="宋体" w:eastAsia="宋体" w:cs="宋体"/>
          <w:spacing w:val="-3"/>
          <w:sz w:val="17"/>
          <w:szCs w:val="17"/>
        </w:rPr>
        <w:t>用表电压档测量各段电压值。</w:t>
      </w:r>
    </w:p>
    <w:p w14:paraId="62254151">
      <w:pPr>
        <w:spacing w:before="97" w:line="262" w:lineRule="auto"/>
        <w:ind w:left="275" w:right="1845" w:firstLine="85"/>
        <w:rPr>
          <w:rFonts w:ascii="宋体" w:hAnsi="宋体" w:eastAsia="宋体" w:cs="宋体"/>
          <w:sz w:val="17"/>
          <w:szCs w:val="17"/>
        </w:rPr>
      </w:pPr>
      <w:r>
        <w:rPr>
          <w:rFonts w:ascii="宋体" w:hAnsi="宋体" w:eastAsia="宋体" w:cs="宋体"/>
          <w:spacing w:val="-1"/>
          <w:sz w:val="17"/>
          <w:szCs w:val="17"/>
        </w:rPr>
        <w:t>4、会检查试验数据的合理性。</w:t>
      </w:r>
      <w:r>
        <w:rPr>
          <w:rFonts w:ascii="宋体" w:hAnsi="宋体" w:eastAsia="宋体" w:cs="宋体"/>
          <w:spacing w:val="12"/>
          <w:sz w:val="17"/>
          <w:szCs w:val="17"/>
        </w:rPr>
        <w:t xml:space="preserve"> </w:t>
      </w:r>
      <w:r>
        <w:rPr>
          <w:rFonts w:ascii="宋体" w:hAnsi="宋体" w:eastAsia="宋体" w:cs="宋体"/>
          <w:spacing w:val="8"/>
          <w:sz w:val="17"/>
          <w:szCs w:val="17"/>
        </w:rPr>
        <w:t>【赋分参考】</w:t>
      </w:r>
    </w:p>
    <w:p w14:paraId="5F59C216">
      <w:pPr>
        <w:spacing w:before="89" w:line="219" w:lineRule="auto"/>
        <w:ind w:left="360"/>
        <w:rPr>
          <w:rFonts w:ascii="宋体" w:hAnsi="宋体" w:eastAsia="宋体" w:cs="宋体"/>
          <w:sz w:val="17"/>
          <w:szCs w:val="17"/>
        </w:rPr>
      </w:pPr>
      <w:r>
        <w:rPr>
          <w:rFonts w:ascii="宋体" w:hAnsi="宋体" w:eastAsia="宋体" w:cs="宋体"/>
          <w:spacing w:val="11"/>
          <w:sz w:val="17"/>
          <w:szCs w:val="17"/>
        </w:rPr>
        <w:t>1、元器件成型及装配(20分)。</w:t>
      </w:r>
    </w:p>
    <w:p w14:paraId="3398D754">
      <w:pPr>
        <w:spacing w:before="98" w:line="219" w:lineRule="auto"/>
        <w:ind w:left="360"/>
        <w:rPr>
          <w:rFonts w:ascii="宋体" w:hAnsi="宋体" w:eastAsia="宋体" w:cs="宋体"/>
          <w:sz w:val="17"/>
          <w:szCs w:val="17"/>
        </w:rPr>
      </w:pPr>
      <w:r>
        <w:rPr>
          <w:rFonts w:ascii="宋体" w:hAnsi="宋体" w:eastAsia="宋体" w:cs="宋体"/>
          <w:sz w:val="17"/>
          <w:szCs w:val="17"/>
        </w:rPr>
        <w:t>2、技能测试电路的调试与检测</w:t>
      </w:r>
    </w:p>
    <w:p w14:paraId="30F1EBC8">
      <w:pPr>
        <w:spacing w:before="78" w:line="268" w:lineRule="auto"/>
        <w:ind w:right="431" w:firstLine="360"/>
        <w:rPr>
          <w:rFonts w:ascii="宋体" w:hAnsi="宋体" w:eastAsia="宋体" w:cs="宋体"/>
          <w:sz w:val="17"/>
          <w:szCs w:val="17"/>
        </w:rPr>
      </w:pPr>
      <w:r>
        <w:rPr>
          <w:rFonts w:ascii="宋体" w:hAnsi="宋体" w:eastAsia="宋体" w:cs="宋体"/>
          <w:spacing w:val="-1"/>
          <w:sz w:val="17"/>
          <w:szCs w:val="17"/>
        </w:rPr>
        <w:t>(1)基尔霍夫电流定律。测量</w:t>
      </w:r>
      <w:r>
        <w:rPr>
          <w:rFonts w:ascii="Times New Roman" w:hAnsi="Times New Roman" w:eastAsia="Times New Roman" w:cs="Times New Roman"/>
          <w:spacing w:val="-1"/>
          <w:sz w:val="17"/>
          <w:szCs w:val="17"/>
        </w:rPr>
        <w:t>I1</w:t>
      </w:r>
      <w:r>
        <w:rPr>
          <w:rFonts w:ascii="宋体" w:hAnsi="宋体" w:eastAsia="宋体" w:cs="宋体"/>
          <w:spacing w:val="-1"/>
          <w:sz w:val="17"/>
          <w:szCs w:val="17"/>
        </w:rPr>
        <w:t>、</w:t>
      </w:r>
      <w:r>
        <w:rPr>
          <w:rFonts w:ascii="Times New Roman" w:hAnsi="Times New Roman" w:eastAsia="Times New Roman" w:cs="Times New Roman"/>
          <w:spacing w:val="-1"/>
          <w:sz w:val="17"/>
          <w:szCs w:val="17"/>
        </w:rPr>
        <w:t>I2</w:t>
      </w:r>
      <w:r>
        <w:rPr>
          <w:rFonts w:ascii="宋体" w:hAnsi="宋体" w:eastAsia="宋体" w:cs="宋体"/>
          <w:spacing w:val="-1"/>
          <w:sz w:val="17"/>
          <w:szCs w:val="17"/>
        </w:rPr>
        <w:t>、</w:t>
      </w:r>
      <w:r>
        <w:rPr>
          <w:rFonts w:ascii="Times New Roman" w:hAnsi="Times New Roman" w:eastAsia="Times New Roman" w:cs="Times New Roman"/>
          <w:spacing w:val="-1"/>
          <w:sz w:val="17"/>
          <w:szCs w:val="17"/>
        </w:rPr>
        <w:t>I3</w:t>
      </w:r>
      <w:r>
        <w:rPr>
          <w:rFonts w:ascii="宋体" w:hAnsi="宋体" w:eastAsia="宋体" w:cs="宋体"/>
          <w:spacing w:val="-1"/>
          <w:sz w:val="17"/>
          <w:szCs w:val="17"/>
        </w:rPr>
        <w:t>的数值</w:t>
      </w:r>
      <w:r>
        <w:rPr>
          <w:rFonts w:ascii="宋体" w:hAnsi="宋体" w:eastAsia="宋体" w:cs="宋体"/>
          <w:spacing w:val="-2"/>
          <w:sz w:val="17"/>
          <w:szCs w:val="17"/>
        </w:rPr>
        <w:t>(100</w:t>
      </w:r>
      <w:r>
        <w:rPr>
          <w:rFonts w:ascii="宋体" w:hAnsi="宋体" w:eastAsia="宋体" w:cs="宋体"/>
          <w:sz w:val="17"/>
          <w:szCs w:val="17"/>
        </w:rPr>
        <w:t xml:space="preserve"> </w:t>
      </w:r>
      <w:r>
        <w:rPr>
          <w:rFonts w:ascii="宋体" w:hAnsi="宋体" w:eastAsia="宋体" w:cs="宋体"/>
          <w:spacing w:val="-6"/>
          <w:sz w:val="17"/>
          <w:szCs w:val="17"/>
        </w:rPr>
        <w:t>分</w:t>
      </w:r>
      <w:r>
        <w:rPr>
          <w:rFonts w:ascii="宋体" w:hAnsi="宋体" w:eastAsia="宋体" w:cs="宋体"/>
          <w:spacing w:val="-25"/>
          <w:sz w:val="17"/>
          <w:szCs w:val="17"/>
        </w:rPr>
        <w:t xml:space="preserve"> </w:t>
      </w:r>
      <w:r>
        <w:rPr>
          <w:rFonts w:ascii="宋体" w:hAnsi="宋体" w:eastAsia="宋体" w:cs="宋体"/>
          <w:spacing w:val="-6"/>
          <w:sz w:val="17"/>
          <w:szCs w:val="17"/>
        </w:rPr>
        <w:t>)</w:t>
      </w:r>
      <w:r>
        <w:rPr>
          <w:rFonts w:ascii="宋体" w:hAnsi="宋体" w:eastAsia="宋体" w:cs="宋体"/>
          <w:spacing w:val="-34"/>
          <w:sz w:val="17"/>
          <w:szCs w:val="17"/>
        </w:rPr>
        <w:t xml:space="preserve"> </w:t>
      </w:r>
      <w:r>
        <w:rPr>
          <w:rFonts w:ascii="宋体" w:hAnsi="宋体" w:eastAsia="宋体" w:cs="宋体"/>
          <w:spacing w:val="-6"/>
          <w:sz w:val="17"/>
          <w:szCs w:val="17"/>
        </w:rPr>
        <w:t>。</w:t>
      </w:r>
    </w:p>
    <w:p w14:paraId="658B26EA">
      <w:pPr>
        <w:spacing w:before="87" w:line="219" w:lineRule="auto"/>
        <w:ind w:left="360"/>
        <w:rPr>
          <w:rFonts w:ascii="宋体" w:hAnsi="宋体" w:eastAsia="宋体" w:cs="宋体"/>
          <w:sz w:val="17"/>
          <w:szCs w:val="17"/>
        </w:rPr>
      </w:pPr>
      <w:r>
        <w:rPr>
          <w:rFonts w:ascii="宋体" w:hAnsi="宋体" w:eastAsia="宋体" w:cs="宋体"/>
          <w:spacing w:val="12"/>
          <w:sz w:val="17"/>
          <w:szCs w:val="17"/>
        </w:rPr>
        <w:t>(2)基尔霍夫电压定律。测量各电压(10</w:t>
      </w:r>
      <w:r>
        <w:rPr>
          <w:rFonts w:ascii="宋体" w:hAnsi="宋体" w:eastAsia="宋体" w:cs="宋体"/>
          <w:spacing w:val="11"/>
          <w:sz w:val="17"/>
          <w:szCs w:val="17"/>
        </w:rPr>
        <w:t>0分)。</w:t>
      </w:r>
    </w:p>
    <w:p w14:paraId="0B7584B5">
      <w:pPr>
        <w:spacing w:before="99" w:line="220" w:lineRule="auto"/>
        <w:ind w:left="360"/>
        <w:rPr>
          <w:rFonts w:ascii="宋体" w:hAnsi="宋体" w:eastAsia="宋体" w:cs="宋体"/>
          <w:sz w:val="17"/>
          <w:szCs w:val="17"/>
        </w:rPr>
      </w:pPr>
      <w:r>
        <w:rPr>
          <w:rFonts w:ascii="宋体" w:hAnsi="宋体" w:eastAsia="宋体" w:cs="宋体"/>
          <w:spacing w:val="15"/>
          <w:sz w:val="17"/>
          <w:szCs w:val="17"/>
        </w:rPr>
        <w:t>3、安全清洁(30分)。</w:t>
      </w:r>
    </w:p>
    <w:p w14:paraId="20295B55">
      <w:pPr>
        <w:pStyle w:val="2"/>
        <w:spacing w:line="290" w:lineRule="auto"/>
      </w:pPr>
    </w:p>
    <w:p w14:paraId="18C8E860">
      <w:pPr>
        <w:spacing w:before="75" w:line="220" w:lineRule="auto"/>
        <w:ind w:left="1053"/>
        <w:rPr>
          <w:rFonts w:ascii="宋体" w:hAnsi="宋体" w:eastAsia="宋体" w:cs="宋体"/>
          <w:sz w:val="23"/>
          <w:szCs w:val="23"/>
        </w:rPr>
      </w:pPr>
      <w:r>
        <w:rPr>
          <w:rFonts w:ascii="宋体" w:hAnsi="宋体" w:eastAsia="宋体" w:cs="宋体"/>
          <w:b/>
          <w:bCs/>
          <w:spacing w:val="-9"/>
          <w:sz w:val="23"/>
          <w:szCs w:val="23"/>
        </w:rPr>
        <w:t>项目二</w:t>
      </w:r>
      <w:r>
        <w:rPr>
          <w:rFonts w:ascii="宋体" w:hAnsi="宋体" w:eastAsia="宋体" w:cs="宋体"/>
          <w:spacing w:val="10"/>
          <w:sz w:val="23"/>
          <w:szCs w:val="23"/>
        </w:rPr>
        <w:t xml:space="preserve">  </w:t>
      </w:r>
      <w:r>
        <w:rPr>
          <w:rFonts w:ascii="宋体" w:hAnsi="宋体" w:eastAsia="宋体" w:cs="宋体"/>
          <w:b/>
          <w:bCs/>
          <w:spacing w:val="-9"/>
          <w:sz w:val="23"/>
          <w:szCs w:val="23"/>
        </w:rPr>
        <w:t>戴维南定理</w:t>
      </w:r>
    </w:p>
    <w:p w14:paraId="0C1D5951">
      <w:pPr>
        <w:pStyle w:val="2"/>
        <w:spacing w:line="250" w:lineRule="auto"/>
      </w:pPr>
    </w:p>
    <w:p w14:paraId="76708C35">
      <w:pPr>
        <w:spacing w:before="55" w:line="221" w:lineRule="auto"/>
        <w:ind w:left="275"/>
        <w:rPr>
          <w:rFonts w:ascii="宋体" w:hAnsi="宋体" w:eastAsia="宋体" w:cs="宋体"/>
          <w:sz w:val="17"/>
          <w:szCs w:val="17"/>
        </w:rPr>
      </w:pPr>
      <w:r>
        <w:rPr>
          <w:rFonts w:ascii="宋体" w:hAnsi="宋体" w:eastAsia="宋体" w:cs="宋体"/>
          <w:spacing w:val="8"/>
          <w:sz w:val="17"/>
          <w:szCs w:val="17"/>
        </w:rPr>
        <w:t>【测试用具】</w:t>
      </w:r>
    </w:p>
    <w:p w14:paraId="57D5FDF8">
      <w:pPr>
        <w:spacing w:before="85" w:line="219" w:lineRule="auto"/>
        <w:ind w:left="360"/>
        <w:rPr>
          <w:rFonts w:ascii="宋体" w:hAnsi="宋体" w:eastAsia="宋体" w:cs="宋体"/>
          <w:sz w:val="17"/>
          <w:szCs w:val="17"/>
        </w:rPr>
      </w:pPr>
      <w:r>
        <w:rPr>
          <w:rFonts w:ascii="宋体" w:hAnsi="宋体" w:eastAsia="宋体" w:cs="宋体"/>
          <w:spacing w:val="6"/>
          <w:sz w:val="17"/>
          <w:szCs w:val="17"/>
        </w:rPr>
        <w:t>1、集成电路实验板1块</w:t>
      </w:r>
    </w:p>
    <w:p w14:paraId="2C66CBB8">
      <w:pPr>
        <w:spacing w:before="90" w:line="220" w:lineRule="auto"/>
        <w:ind w:left="360"/>
        <w:rPr>
          <w:rFonts w:ascii="宋体" w:hAnsi="宋体" w:eastAsia="宋体" w:cs="宋体"/>
          <w:sz w:val="17"/>
          <w:szCs w:val="17"/>
        </w:rPr>
      </w:pPr>
      <w:r>
        <w:rPr>
          <w:rFonts w:ascii="宋体" w:hAnsi="宋体" w:eastAsia="宋体" w:cs="宋体"/>
          <w:spacing w:val="12"/>
          <w:sz w:val="17"/>
          <w:szCs w:val="17"/>
        </w:rPr>
        <w:t>2、万用表2只</w:t>
      </w:r>
    </w:p>
    <w:p w14:paraId="38449AF5">
      <w:pPr>
        <w:spacing w:before="87" w:line="220" w:lineRule="auto"/>
        <w:ind w:left="360"/>
        <w:rPr>
          <w:rFonts w:ascii="宋体" w:hAnsi="宋体" w:eastAsia="宋体" w:cs="宋体"/>
          <w:sz w:val="17"/>
          <w:szCs w:val="17"/>
        </w:rPr>
      </w:pPr>
      <w:r>
        <w:rPr>
          <w:rFonts w:ascii="宋体" w:hAnsi="宋体" w:eastAsia="宋体" w:cs="宋体"/>
          <w:spacing w:val="12"/>
          <w:sz w:val="17"/>
          <w:szCs w:val="17"/>
        </w:rPr>
        <w:t>3、电阻箱1只</w:t>
      </w:r>
    </w:p>
    <w:p w14:paraId="045BE9CF">
      <w:pPr>
        <w:spacing w:before="86" w:line="273" w:lineRule="auto"/>
        <w:ind w:left="275" w:right="2171" w:firstLine="85"/>
        <w:rPr>
          <w:rFonts w:ascii="宋体" w:hAnsi="宋体" w:eastAsia="宋体" w:cs="宋体"/>
          <w:sz w:val="17"/>
          <w:szCs w:val="17"/>
        </w:rPr>
      </w:pPr>
      <w:r>
        <w:rPr>
          <w:rFonts w:ascii="宋体" w:hAnsi="宋体" w:eastAsia="宋体" w:cs="宋体"/>
          <w:spacing w:val="8"/>
          <w:sz w:val="17"/>
          <w:szCs w:val="17"/>
        </w:rPr>
        <w:t>4、双路直流稳压电源1台</w:t>
      </w:r>
      <w:r>
        <w:rPr>
          <w:rFonts w:ascii="宋体" w:hAnsi="宋体" w:eastAsia="宋体" w:cs="宋体"/>
          <w:spacing w:val="1"/>
          <w:sz w:val="17"/>
          <w:szCs w:val="17"/>
        </w:rPr>
        <w:t xml:space="preserve"> </w:t>
      </w:r>
      <w:r>
        <w:rPr>
          <w:rFonts w:ascii="宋体" w:hAnsi="宋体" w:eastAsia="宋体" w:cs="宋体"/>
          <w:spacing w:val="8"/>
          <w:sz w:val="17"/>
          <w:szCs w:val="17"/>
        </w:rPr>
        <w:t>【测试内容】</w:t>
      </w:r>
    </w:p>
    <w:p w14:paraId="6F7F5149">
      <w:pPr>
        <w:spacing w:before="88" w:line="219" w:lineRule="auto"/>
        <w:ind w:left="360"/>
        <w:rPr>
          <w:rFonts w:ascii="宋体" w:hAnsi="宋体" w:eastAsia="宋体" w:cs="宋体"/>
          <w:sz w:val="17"/>
          <w:szCs w:val="17"/>
        </w:rPr>
      </w:pPr>
      <w:r>
        <w:rPr>
          <w:rFonts w:ascii="宋体" w:hAnsi="宋体" w:eastAsia="宋体" w:cs="宋体"/>
          <w:spacing w:val="-2"/>
          <w:sz w:val="17"/>
          <w:szCs w:val="17"/>
        </w:rPr>
        <w:t>1、测量电路开路电压及短路电流。</w:t>
      </w:r>
    </w:p>
    <w:p w14:paraId="472644AF">
      <w:pPr>
        <w:spacing w:before="88" w:line="263" w:lineRule="auto"/>
        <w:ind w:left="275" w:right="864" w:firstLine="85"/>
        <w:rPr>
          <w:rFonts w:ascii="宋体" w:hAnsi="宋体" w:eastAsia="宋体" w:cs="宋体"/>
          <w:sz w:val="17"/>
          <w:szCs w:val="17"/>
        </w:rPr>
      </w:pPr>
      <w:r>
        <w:rPr>
          <w:rFonts w:ascii="宋体" w:hAnsi="宋体" w:eastAsia="宋体" w:cs="宋体"/>
          <w:spacing w:val="-2"/>
          <w:sz w:val="17"/>
          <w:szCs w:val="17"/>
        </w:rPr>
        <w:t>2、验证含源二端网络输出最大功率的条件。</w:t>
      </w:r>
      <w:r>
        <w:rPr>
          <w:rFonts w:ascii="宋体" w:hAnsi="宋体" w:eastAsia="宋体" w:cs="宋体"/>
          <w:sz w:val="17"/>
          <w:szCs w:val="17"/>
        </w:rPr>
        <w:t xml:space="preserve"> </w:t>
      </w:r>
      <w:r>
        <w:rPr>
          <w:rFonts w:ascii="宋体" w:hAnsi="宋体" w:eastAsia="宋体" w:cs="宋体"/>
          <w:spacing w:val="8"/>
          <w:sz w:val="17"/>
          <w:szCs w:val="17"/>
        </w:rPr>
        <w:t>【测试方法】</w:t>
      </w:r>
    </w:p>
    <w:p w14:paraId="3AC019A3">
      <w:pPr>
        <w:spacing w:before="85" w:line="273" w:lineRule="auto"/>
        <w:ind w:right="359" w:firstLine="360"/>
        <w:rPr>
          <w:rFonts w:ascii="宋体" w:hAnsi="宋体" w:eastAsia="宋体" w:cs="宋体"/>
          <w:sz w:val="17"/>
          <w:szCs w:val="17"/>
        </w:rPr>
      </w:pPr>
      <w:r>
        <w:rPr>
          <w:rFonts w:ascii="宋体" w:hAnsi="宋体" w:eastAsia="宋体" w:cs="宋体"/>
          <w:spacing w:val="5"/>
          <w:sz w:val="17"/>
          <w:szCs w:val="17"/>
        </w:rPr>
        <w:t>1、使用万用表电压档测量电路开路电压及用万用</w:t>
      </w:r>
      <w:r>
        <w:rPr>
          <w:rFonts w:ascii="宋体" w:hAnsi="宋体" w:eastAsia="宋体" w:cs="宋体"/>
          <w:spacing w:val="14"/>
          <w:sz w:val="17"/>
          <w:szCs w:val="17"/>
        </w:rPr>
        <w:t xml:space="preserve"> </w:t>
      </w:r>
      <w:r>
        <w:rPr>
          <w:rFonts w:ascii="宋体" w:hAnsi="宋体" w:eastAsia="宋体" w:cs="宋体"/>
          <w:spacing w:val="-3"/>
          <w:sz w:val="17"/>
          <w:szCs w:val="17"/>
        </w:rPr>
        <w:t>表电流档测量电路短路电流。</w:t>
      </w:r>
    </w:p>
    <w:p w14:paraId="49B361BD">
      <w:pPr>
        <w:spacing w:before="77" w:line="273" w:lineRule="auto"/>
        <w:ind w:right="441" w:firstLine="360"/>
        <w:rPr>
          <w:rFonts w:ascii="宋体" w:hAnsi="宋体" w:eastAsia="宋体" w:cs="宋体"/>
          <w:sz w:val="17"/>
          <w:szCs w:val="17"/>
        </w:rPr>
      </w:pPr>
      <w:r>
        <w:rPr>
          <w:rFonts w:ascii="宋体" w:hAnsi="宋体" w:eastAsia="宋体" w:cs="宋体"/>
          <w:spacing w:val="2"/>
          <w:sz w:val="17"/>
          <w:szCs w:val="17"/>
        </w:rPr>
        <w:t>2、使用导线代替电源，用万用表电阻档测</w:t>
      </w:r>
      <w:r>
        <w:rPr>
          <w:rFonts w:ascii="宋体" w:hAnsi="宋体" w:eastAsia="宋体" w:cs="宋体"/>
          <w:spacing w:val="1"/>
          <w:sz w:val="17"/>
          <w:szCs w:val="17"/>
        </w:rPr>
        <w:t>量A、B</w:t>
      </w:r>
      <w:r>
        <w:rPr>
          <w:rFonts w:ascii="宋体" w:hAnsi="宋体" w:eastAsia="宋体" w:cs="宋体"/>
          <w:sz w:val="17"/>
          <w:szCs w:val="17"/>
        </w:rPr>
        <w:t xml:space="preserve"> </w:t>
      </w:r>
      <w:r>
        <w:rPr>
          <w:rFonts w:ascii="宋体" w:hAnsi="宋体" w:eastAsia="宋体" w:cs="宋体"/>
          <w:spacing w:val="-4"/>
          <w:sz w:val="17"/>
          <w:szCs w:val="17"/>
        </w:rPr>
        <w:t>两端的等效电阻。</w:t>
      </w:r>
    </w:p>
    <w:p w14:paraId="12AAB7AD">
      <w:pPr>
        <w:spacing w:before="78" w:line="283" w:lineRule="auto"/>
        <w:ind w:right="385" w:firstLine="360"/>
        <w:rPr>
          <w:rFonts w:ascii="宋体" w:hAnsi="宋体" w:eastAsia="宋体" w:cs="宋体"/>
          <w:sz w:val="17"/>
          <w:szCs w:val="17"/>
        </w:rPr>
      </w:pPr>
      <w:r>
        <w:rPr>
          <w:rFonts w:ascii="宋体" w:hAnsi="宋体" w:eastAsia="宋体" w:cs="宋体"/>
          <w:spacing w:val="4"/>
          <w:sz w:val="17"/>
          <w:szCs w:val="17"/>
        </w:rPr>
        <w:t>3、将电阻箱作为负载电阻</w:t>
      </w:r>
      <w:r>
        <w:rPr>
          <w:rFonts w:ascii="宋体" w:hAnsi="宋体" w:eastAsia="宋体" w:cs="宋体"/>
          <w:sz w:val="17"/>
          <w:szCs w:val="17"/>
        </w:rPr>
        <w:t>RL</w:t>
      </w:r>
      <w:r>
        <w:rPr>
          <w:rFonts w:ascii="宋体" w:hAnsi="宋体" w:eastAsia="宋体" w:cs="宋体"/>
          <w:spacing w:val="4"/>
          <w:sz w:val="17"/>
          <w:szCs w:val="17"/>
        </w:rPr>
        <w:t xml:space="preserve"> 接在电路的A、B 两 </w:t>
      </w:r>
      <w:r>
        <w:rPr>
          <w:rFonts w:ascii="宋体" w:hAnsi="宋体" w:eastAsia="宋体" w:cs="宋体"/>
          <w:spacing w:val="11"/>
          <w:sz w:val="17"/>
          <w:szCs w:val="17"/>
        </w:rPr>
        <w:t>点之间。改变电阻</w:t>
      </w:r>
      <w:r>
        <w:rPr>
          <w:rFonts w:ascii="Times New Roman" w:hAnsi="Times New Roman" w:eastAsia="Times New Roman" w:cs="Times New Roman"/>
          <w:sz w:val="17"/>
          <w:szCs w:val="17"/>
        </w:rPr>
        <w:t>RL</w:t>
      </w:r>
      <w:r>
        <w:rPr>
          <w:rFonts w:ascii="Times New Roman" w:hAnsi="Times New Roman" w:eastAsia="Times New Roman" w:cs="Times New Roman"/>
          <w:spacing w:val="11"/>
          <w:sz w:val="17"/>
          <w:szCs w:val="17"/>
        </w:rPr>
        <w:t xml:space="preserve"> </w:t>
      </w:r>
      <w:r>
        <w:rPr>
          <w:rFonts w:ascii="宋体" w:hAnsi="宋体" w:eastAsia="宋体" w:cs="宋体"/>
          <w:spacing w:val="11"/>
          <w:sz w:val="17"/>
          <w:szCs w:val="17"/>
        </w:rPr>
        <w:t>的大小，使用万用电表测量</w:t>
      </w:r>
      <w:r>
        <w:rPr>
          <w:rFonts w:ascii="Times New Roman" w:hAnsi="Times New Roman" w:eastAsia="Times New Roman" w:cs="Times New Roman"/>
          <w:sz w:val="17"/>
          <w:szCs w:val="17"/>
        </w:rPr>
        <w:t>RL</w:t>
      </w:r>
      <w:r>
        <w:rPr>
          <w:rFonts w:ascii="Times New Roman" w:hAnsi="Times New Roman" w:eastAsia="Times New Roman" w:cs="Times New Roman"/>
          <w:spacing w:val="5"/>
          <w:sz w:val="17"/>
          <w:szCs w:val="17"/>
        </w:rPr>
        <w:t xml:space="preserve"> </w:t>
      </w:r>
      <w:r>
        <w:rPr>
          <w:rFonts w:ascii="宋体" w:hAnsi="宋体" w:eastAsia="宋体" w:cs="宋体"/>
          <w:spacing w:val="1"/>
          <w:sz w:val="17"/>
          <w:szCs w:val="17"/>
        </w:rPr>
        <w:t>中电流和</w:t>
      </w:r>
      <w:r>
        <w:rPr>
          <w:rFonts w:ascii="Times New Roman" w:hAnsi="Times New Roman" w:eastAsia="Times New Roman" w:cs="Times New Roman"/>
          <w:sz w:val="17"/>
          <w:szCs w:val="17"/>
        </w:rPr>
        <w:t>RL</w:t>
      </w:r>
      <w:r>
        <w:rPr>
          <w:rFonts w:ascii="Times New Roman" w:hAnsi="Times New Roman" w:eastAsia="Times New Roman" w:cs="Times New Roman"/>
          <w:spacing w:val="1"/>
          <w:sz w:val="17"/>
          <w:szCs w:val="17"/>
        </w:rPr>
        <w:t xml:space="preserve"> </w:t>
      </w:r>
      <w:r>
        <w:rPr>
          <w:rFonts w:ascii="宋体" w:hAnsi="宋体" w:eastAsia="宋体" w:cs="宋体"/>
          <w:spacing w:val="1"/>
          <w:sz w:val="17"/>
          <w:szCs w:val="17"/>
        </w:rPr>
        <w:t>两端的电压。</w:t>
      </w:r>
    </w:p>
    <w:p w14:paraId="1C4E94F8">
      <w:pPr>
        <w:spacing w:before="90" w:line="221" w:lineRule="auto"/>
        <w:ind w:left="275"/>
        <w:rPr>
          <w:rFonts w:ascii="宋体" w:hAnsi="宋体" w:eastAsia="宋体" w:cs="宋体"/>
          <w:sz w:val="17"/>
          <w:szCs w:val="17"/>
        </w:rPr>
      </w:pPr>
      <w:r>
        <w:rPr>
          <w:rFonts w:ascii="宋体" w:hAnsi="宋体" w:eastAsia="宋体" w:cs="宋体"/>
          <w:spacing w:val="8"/>
          <w:sz w:val="17"/>
          <w:szCs w:val="17"/>
        </w:rPr>
        <w:t>【测试要求】</w:t>
      </w:r>
    </w:p>
    <w:p w14:paraId="7BB67D84">
      <w:pPr>
        <w:spacing w:before="96" w:line="220" w:lineRule="auto"/>
        <w:ind w:left="360"/>
        <w:rPr>
          <w:rFonts w:ascii="宋体" w:hAnsi="宋体" w:eastAsia="宋体" w:cs="宋体"/>
          <w:sz w:val="17"/>
          <w:szCs w:val="17"/>
        </w:rPr>
      </w:pPr>
      <w:r>
        <w:rPr>
          <w:rFonts w:ascii="宋体" w:hAnsi="宋体" w:eastAsia="宋体" w:cs="宋体"/>
          <w:spacing w:val="4"/>
          <w:sz w:val="17"/>
          <w:szCs w:val="17"/>
        </w:rPr>
        <w:t>1、测试时间80分钟。</w:t>
      </w:r>
    </w:p>
    <w:p w14:paraId="1F8416CE">
      <w:pPr>
        <w:spacing w:before="77" w:line="219" w:lineRule="auto"/>
        <w:ind w:left="360"/>
        <w:rPr>
          <w:rFonts w:ascii="宋体" w:hAnsi="宋体" w:eastAsia="宋体" w:cs="宋体"/>
          <w:sz w:val="17"/>
          <w:szCs w:val="17"/>
        </w:rPr>
      </w:pPr>
      <w:r>
        <w:rPr>
          <w:rFonts w:ascii="宋体" w:hAnsi="宋体" w:eastAsia="宋体" w:cs="宋体"/>
          <w:spacing w:val="-3"/>
          <w:sz w:val="17"/>
          <w:szCs w:val="17"/>
        </w:rPr>
        <w:t>2、正确连接电路。</w:t>
      </w:r>
    </w:p>
    <w:p w14:paraId="4D5CDB44">
      <w:pPr>
        <w:spacing w:before="87" w:line="273" w:lineRule="auto"/>
        <w:ind w:right="372" w:firstLine="360"/>
        <w:rPr>
          <w:rFonts w:ascii="宋体" w:hAnsi="宋体" w:eastAsia="宋体" w:cs="宋体"/>
          <w:sz w:val="17"/>
          <w:szCs w:val="17"/>
        </w:rPr>
      </w:pPr>
      <w:r>
        <w:rPr>
          <w:rFonts w:ascii="宋体" w:hAnsi="宋体" w:eastAsia="宋体" w:cs="宋体"/>
          <w:spacing w:val="5"/>
          <w:sz w:val="17"/>
          <w:szCs w:val="17"/>
        </w:rPr>
        <w:t>3、正确使用万用表各档位测量电路开路电压及短</w:t>
      </w:r>
      <w:r>
        <w:rPr>
          <w:rFonts w:ascii="宋体" w:hAnsi="宋体" w:eastAsia="宋体" w:cs="宋体"/>
          <w:spacing w:val="1"/>
          <w:sz w:val="17"/>
          <w:szCs w:val="17"/>
        </w:rPr>
        <w:t xml:space="preserve"> </w:t>
      </w:r>
      <w:r>
        <w:rPr>
          <w:rFonts w:ascii="宋体" w:hAnsi="宋体" w:eastAsia="宋体" w:cs="宋体"/>
          <w:spacing w:val="-7"/>
          <w:sz w:val="17"/>
          <w:szCs w:val="17"/>
        </w:rPr>
        <w:t>路电流。</w:t>
      </w:r>
    </w:p>
    <w:p w14:paraId="720155B8">
      <w:pPr>
        <w:spacing w:before="78" w:line="185" w:lineRule="auto"/>
        <w:ind w:left="360"/>
        <w:rPr>
          <w:rFonts w:ascii="宋体" w:hAnsi="宋体" w:eastAsia="宋体" w:cs="宋体"/>
          <w:sz w:val="17"/>
          <w:szCs w:val="17"/>
        </w:rPr>
      </w:pPr>
      <w:r>
        <w:rPr>
          <w:rFonts w:ascii="宋体" w:hAnsi="宋体" w:eastAsia="宋体" w:cs="宋体"/>
          <w:spacing w:val="2"/>
          <w:sz w:val="17"/>
          <w:szCs w:val="17"/>
        </w:rPr>
        <w:t>4、正确测量A、B 两端的等效电阻。</w:t>
      </w:r>
    </w:p>
    <w:p w14:paraId="34B975A8">
      <w:pPr>
        <w:pStyle w:val="2"/>
        <w:spacing w:line="14" w:lineRule="auto"/>
        <w:rPr>
          <w:sz w:val="2"/>
        </w:rPr>
      </w:pPr>
      <w:r>
        <w:rPr>
          <w:sz w:val="2"/>
          <w:szCs w:val="2"/>
        </w:rPr>
        <w:br w:type="column"/>
      </w:r>
    </w:p>
    <w:p w14:paraId="7CE127B2">
      <w:pPr>
        <w:spacing w:before="7" w:line="219" w:lineRule="auto"/>
        <w:ind w:left="360"/>
        <w:rPr>
          <w:rFonts w:ascii="宋体" w:hAnsi="宋体" w:eastAsia="宋体" w:cs="宋体"/>
          <w:sz w:val="17"/>
          <w:szCs w:val="17"/>
        </w:rPr>
      </w:pPr>
      <w:r>
        <w:rPr>
          <w:rFonts w:ascii="宋体" w:hAnsi="宋体" w:eastAsia="宋体" w:cs="宋体"/>
          <w:spacing w:val="-2"/>
          <w:sz w:val="17"/>
          <w:szCs w:val="17"/>
        </w:rPr>
        <w:t>5、正确使用电阻箱。</w:t>
      </w:r>
    </w:p>
    <w:p w14:paraId="37583664">
      <w:pPr>
        <w:spacing w:before="98" w:line="265" w:lineRule="auto"/>
        <w:ind w:right="15" w:firstLine="360"/>
        <w:rPr>
          <w:rFonts w:ascii="宋体" w:hAnsi="宋体" w:eastAsia="宋体" w:cs="宋体"/>
          <w:sz w:val="17"/>
          <w:szCs w:val="17"/>
        </w:rPr>
      </w:pPr>
      <w:r>
        <w:rPr>
          <w:rFonts w:ascii="宋体" w:hAnsi="宋体" w:eastAsia="宋体" w:cs="宋体"/>
          <w:spacing w:val="5"/>
          <w:sz w:val="17"/>
          <w:szCs w:val="17"/>
        </w:rPr>
        <w:t>6、用万用电表正确测量</w:t>
      </w:r>
      <w:r>
        <w:rPr>
          <w:rFonts w:ascii="宋体" w:hAnsi="宋体" w:eastAsia="宋体" w:cs="宋体"/>
          <w:sz w:val="17"/>
          <w:szCs w:val="17"/>
        </w:rPr>
        <w:t>RL</w:t>
      </w:r>
      <w:r>
        <w:rPr>
          <w:rFonts w:ascii="宋体" w:hAnsi="宋体" w:eastAsia="宋体" w:cs="宋体"/>
          <w:spacing w:val="5"/>
          <w:sz w:val="17"/>
          <w:szCs w:val="17"/>
        </w:rPr>
        <w:t xml:space="preserve"> 中的电流和</w:t>
      </w:r>
      <w:r>
        <w:rPr>
          <w:rFonts w:ascii="宋体" w:hAnsi="宋体" w:eastAsia="宋体" w:cs="宋体"/>
          <w:sz w:val="17"/>
          <w:szCs w:val="17"/>
        </w:rPr>
        <w:t>RL</w:t>
      </w:r>
      <w:r>
        <w:rPr>
          <w:rFonts w:ascii="宋体" w:hAnsi="宋体" w:eastAsia="宋体" w:cs="宋体"/>
          <w:spacing w:val="5"/>
          <w:sz w:val="17"/>
          <w:szCs w:val="17"/>
        </w:rPr>
        <w:t xml:space="preserve"> 两端的</w:t>
      </w:r>
      <w:r>
        <w:rPr>
          <w:rFonts w:ascii="宋体" w:hAnsi="宋体" w:eastAsia="宋体" w:cs="宋体"/>
          <w:spacing w:val="1"/>
          <w:sz w:val="17"/>
          <w:szCs w:val="17"/>
        </w:rPr>
        <w:t xml:space="preserve"> </w:t>
      </w:r>
      <w:r>
        <w:rPr>
          <w:rFonts w:ascii="宋体" w:hAnsi="宋体" w:eastAsia="宋体" w:cs="宋体"/>
          <w:spacing w:val="-6"/>
          <w:sz w:val="17"/>
          <w:szCs w:val="17"/>
        </w:rPr>
        <w:t>电压。</w:t>
      </w:r>
    </w:p>
    <w:p w14:paraId="13AF7C3A">
      <w:pPr>
        <w:spacing w:before="81" w:line="219" w:lineRule="auto"/>
        <w:ind w:left="345"/>
        <w:rPr>
          <w:rFonts w:ascii="宋体" w:hAnsi="宋体" w:eastAsia="宋体" w:cs="宋体"/>
          <w:sz w:val="17"/>
          <w:szCs w:val="17"/>
        </w:rPr>
      </w:pPr>
      <w:r>
        <w:rPr>
          <w:rFonts w:ascii="宋体" w:hAnsi="宋体" w:eastAsia="宋体" w:cs="宋体"/>
          <w:spacing w:val="6"/>
          <w:sz w:val="17"/>
          <w:szCs w:val="17"/>
        </w:rPr>
        <w:t>【赋分参考】</w:t>
      </w:r>
    </w:p>
    <w:p w14:paraId="7064671B">
      <w:pPr>
        <w:spacing w:before="88" w:line="219" w:lineRule="auto"/>
        <w:ind w:left="360"/>
        <w:rPr>
          <w:rFonts w:ascii="宋体" w:hAnsi="宋体" w:eastAsia="宋体" w:cs="宋体"/>
          <w:sz w:val="17"/>
          <w:szCs w:val="17"/>
        </w:rPr>
      </w:pPr>
      <w:r>
        <w:rPr>
          <w:rFonts w:ascii="宋体" w:hAnsi="宋体" w:eastAsia="宋体" w:cs="宋体"/>
          <w:spacing w:val="11"/>
          <w:sz w:val="17"/>
          <w:szCs w:val="17"/>
        </w:rPr>
        <w:t>1、元器件成型及装配(20分)。</w:t>
      </w:r>
    </w:p>
    <w:p w14:paraId="04849246">
      <w:pPr>
        <w:spacing w:before="78" w:line="219" w:lineRule="auto"/>
        <w:ind w:left="360"/>
        <w:rPr>
          <w:rFonts w:ascii="宋体" w:hAnsi="宋体" w:eastAsia="宋体" w:cs="宋体"/>
          <w:sz w:val="17"/>
          <w:szCs w:val="17"/>
        </w:rPr>
      </w:pPr>
      <w:r>
        <w:rPr>
          <w:rFonts w:ascii="宋体" w:hAnsi="宋体" w:eastAsia="宋体" w:cs="宋体"/>
          <w:spacing w:val="-1"/>
          <w:sz w:val="17"/>
          <w:szCs w:val="17"/>
        </w:rPr>
        <w:t>2、技能测试电路的调试与检测</w:t>
      </w:r>
    </w:p>
    <w:p w14:paraId="3C88BF5C">
      <w:pPr>
        <w:spacing w:before="89" w:line="219" w:lineRule="auto"/>
        <w:ind w:left="430"/>
        <w:rPr>
          <w:rFonts w:ascii="Times New Roman" w:hAnsi="Times New Roman" w:eastAsia="Times New Roman" w:cs="Times New Roman"/>
          <w:sz w:val="17"/>
          <w:szCs w:val="17"/>
        </w:rPr>
      </w:pPr>
      <w:r>
        <w:rPr>
          <w:rFonts w:ascii="宋体" w:hAnsi="宋体" w:eastAsia="宋体" w:cs="宋体"/>
          <w:spacing w:val="15"/>
          <w:sz w:val="17"/>
          <w:szCs w:val="17"/>
        </w:rPr>
        <w:t>(1)开路电压</w:t>
      </w:r>
      <w:r>
        <w:rPr>
          <w:rFonts w:ascii="Times New Roman" w:hAnsi="Times New Roman" w:eastAsia="Times New Roman" w:cs="Times New Roman"/>
          <w:sz w:val="17"/>
          <w:szCs w:val="17"/>
        </w:rPr>
        <w:t>UAB</w:t>
      </w:r>
      <w:r>
        <w:rPr>
          <w:rFonts w:ascii="宋体" w:hAnsi="宋体" w:eastAsia="宋体" w:cs="宋体"/>
          <w:spacing w:val="15"/>
          <w:sz w:val="17"/>
          <w:szCs w:val="17"/>
        </w:rPr>
        <w:t>及短路电流</w:t>
      </w:r>
      <w:r>
        <w:rPr>
          <w:rFonts w:ascii="Times New Roman" w:hAnsi="Times New Roman" w:eastAsia="Times New Roman" w:cs="Times New Roman"/>
          <w:sz w:val="17"/>
          <w:szCs w:val="17"/>
        </w:rPr>
        <w:t>IL</w:t>
      </w:r>
    </w:p>
    <w:p w14:paraId="5CF618A7">
      <w:pPr>
        <w:spacing w:before="86" w:line="217" w:lineRule="auto"/>
        <w:ind w:left="360"/>
        <w:rPr>
          <w:rFonts w:ascii="宋体" w:hAnsi="宋体" w:eastAsia="宋体" w:cs="宋体"/>
          <w:sz w:val="17"/>
          <w:szCs w:val="17"/>
        </w:rPr>
      </w:pPr>
      <w:r>
        <w:rPr>
          <w:rFonts w:ascii="宋体" w:hAnsi="宋体" w:eastAsia="宋体" w:cs="宋体"/>
          <w:spacing w:val="1"/>
          <w:sz w:val="17"/>
          <w:szCs w:val="17"/>
        </w:rPr>
        <w:t>①开路电压</w:t>
      </w:r>
      <w:r>
        <w:rPr>
          <w:rFonts w:ascii="宋体" w:hAnsi="宋体" w:eastAsia="宋体" w:cs="宋体"/>
          <w:sz w:val="17"/>
          <w:szCs w:val="17"/>
        </w:rPr>
        <w:t>UAB</w:t>
      </w:r>
      <w:r>
        <w:rPr>
          <w:rFonts w:ascii="宋体" w:hAnsi="宋体" w:eastAsia="宋体" w:cs="宋体"/>
          <w:spacing w:val="1"/>
          <w:sz w:val="17"/>
          <w:szCs w:val="17"/>
        </w:rPr>
        <w:t>(50</w:t>
      </w:r>
      <w:r>
        <w:rPr>
          <w:rFonts w:ascii="宋体" w:hAnsi="宋体" w:eastAsia="宋体" w:cs="宋体"/>
          <w:spacing w:val="16"/>
          <w:sz w:val="17"/>
          <w:szCs w:val="17"/>
        </w:rPr>
        <w:t xml:space="preserve">  </w:t>
      </w:r>
      <w:r>
        <w:rPr>
          <w:rFonts w:ascii="宋体" w:hAnsi="宋体" w:eastAsia="宋体" w:cs="宋体"/>
          <w:spacing w:val="1"/>
          <w:sz w:val="17"/>
          <w:szCs w:val="17"/>
        </w:rPr>
        <w:t>分</w:t>
      </w:r>
      <w:r>
        <w:rPr>
          <w:rFonts w:ascii="宋体" w:hAnsi="宋体" w:eastAsia="宋体" w:cs="宋体"/>
          <w:spacing w:val="-17"/>
          <w:sz w:val="17"/>
          <w:szCs w:val="17"/>
        </w:rPr>
        <w:t xml:space="preserve"> </w:t>
      </w:r>
      <w:r>
        <w:rPr>
          <w:rFonts w:ascii="宋体" w:hAnsi="宋体" w:eastAsia="宋体" w:cs="宋体"/>
          <w:spacing w:val="1"/>
          <w:sz w:val="17"/>
          <w:szCs w:val="17"/>
        </w:rPr>
        <w:t>)</w:t>
      </w:r>
      <w:r>
        <w:rPr>
          <w:rFonts w:ascii="宋体" w:hAnsi="宋体" w:eastAsia="宋体" w:cs="宋体"/>
          <w:spacing w:val="-23"/>
          <w:sz w:val="17"/>
          <w:szCs w:val="17"/>
        </w:rPr>
        <w:t xml:space="preserve"> </w:t>
      </w:r>
      <w:r>
        <w:rPr>
          <w:rFonts w:ascii="宋体" w:hAnsi="宋体" w:eastAsia="宋体" w:cs="宋体"/>
          <w:spacing w:val="1"/>
          <w:sz w:val="17"/>
          <w:szCs w:val="17"/>
        </w:rPr>
        <w:t>。</w:t>
      </w:r>
    </w:p>
    <w:p w14:paraId="346C7D17">
      <w:pPr>
        <w:spacing w:before="90" w:line="217" w:lineRule="auto"/>
        <w:ind w:left="360"/>
        <w:rPr>
          <w:rFonts w:ascii="宋体" w:hAnsi="宋体" w:eastAsia="宋体" w:cs="宋体"/>
          <w:sz w:val="17"/>
          <w:szCs w:val="17"/>
        </w:rPr>
      </w:pPr>
      <w:r>
        <w:rPr>
          <w:rFonts w:ascii="宋体" w:hAnsi="宋体" w:eastAsia="宋体" w:cs="宋体"/>
          <w:spacing w:val="-3"/>
          <w:sz w:val="17"/>
          <w:szCs w:val="17"/>
        </w:rPr>
        <w:t>②</w:t>
      </w:r>
      <w:r>
        <w:rPr>
          <w:rFonts w:ascii="宋体" w:hAnsi="宋体" w:eastAsia="宋体" w:cs="宋体"/>
          <w:spacing w:val="-49"/>
          <w:sz w:val="17"/>
          <w:szCs w:val="17"/>
        </w:rPr>
        <w:t xml:space="preserve"> </w:t>
      </w:r>
      <w:r>
        <w:rPr>
          <w:rFonts w:ascii="宋体" w:hAnsi="宋体" w:eastAsia="宋体" w:cs="宋体"/>
          <w:spacing w:val="-3"/>
          <w:sz w:val="17"/>
          <w:szCs w:val="17"/>
        </w:rPr>
        <w:t>短路电流IL(50</w:t>
      </w:r>
      <w:r>
        <w:rPr>
          <w:rFonts w:ascii="宋体" w:hAnsi="宋体" w:eastAsia="宋体" w:cs="宋体"/>
          <w:spacing w:val="36"/>
          <w:sz w:val="17"/>
          <w:szCs w:val="17"/>
        </w:rPr>
        <w:t xml:space="preserve"> </w:t>
      </w:r>
      <w:r>
        <w:rPr>
          <w:rFonts w:ascii="宋体" w:hAnsi="宋体" w:eastAsia="宋体" w:cs="宋体"/>
          <w:spacing w:val="-3"/>
          <w:sz w:val="17"/>
          <w:szCs w:val="17"/>
        </w:rPr>
        <w:t>分</w:t>
      </w:r>
      <w:r>
        <w:rPr>
          <w:rFonts w:ascii="宋体" w:hAnsi="宋体" w:eastAsia="宋体" w:cs="宋体"/>
          <w:spacing w:val="-17"/>
          <w:sz w:val="17"/>
          <w:szCs w:val="17"/>
        </w:rPr>
        <w:t xml:space="preserve"> </w:t>
      </w:r>
      <w:r>
        <w:rPr>
          <w:rFonts w:ascii="宋体" w:hAnsi="宋体" w:eastAsia="宋体" w:cs="宋体"/>
          <w:spacing w:val="-3"/>
          <w:sz w:val="17"/>
          <w:szCs w:val="17"/>
        </w:rPr>
        <w:t>)</w:t>
      </w:r>
      <w:r>
        <w:rPr>
          <w:rFonts w:ascii="宋体" w:hAnsi="宋体" w:eastAsia="宋体" w:cs="宋体"/>
          <w:spacing w:val="-23"/>
          <w:sz w:val="17"/>
          <w:szCs w:val="17"/>
        </w:rPr>
        <w:t xml:space="preserve"> </w:t>
      </w:r>
      <w:r>
        <w:rPr>
          <w:rFonts w:ascii="宋体" w:hAnsi="宋体" w:eastAsia="宋体" w:cs="宋体"/>
          <w:spacing w:val="-3"/>
          <w:sz w:val="17"/>
          <w:szCs w:val="17"/>
        </w:rPr>
        <w:t>。</w:t>
      </w:r>
    </w:p>
    <w:p w14:paraId="6074E151">
      <w:pPr>
        <w:spacing w:before="92" w:line="219" w:lineRule="auto"/>
        <w:ind w:left="430"/>
        <w:rPr>
          <w:rFonts w:ascii="宋体" w:hAnsi="宋体" w:eastAsia="宋体" w:cs="宋体"/>
          <w:sz w:val="17"/>
          <w:szCs w:val="17"/>
        </w:rPr>
      </w:pPr>
      <w:r>
        <w:rPr>
          <w:rFonts w:ascii="宋体" w:hAnsi="宋体" w:eastAsia="宋体" w:cs="宋体"/>
          <w:spacing w:val="6"/>
          <w:sz w:val="17"/>
          <w:szCs w:val="17"/>
        </w:rPr>
        <w:t>(2)验证含源二端网络输出最大功率</w:t>
      </w:r>
    </w:p>
    <w:p w14:paraId="048649A5">
      <w:pPr>
        <w:spacing w:before="87" w:line="217" w:lineRule="auto"/>
        <w:ind w:left="360"/>
        <w:rPr>
          <w:rFonts w:ascii="宋体" w:hAnsi="宋体" w:eastAsia="宋体" w:cs="宋体"/>
          <w:sz w:val="17"/>
          <w:szCs w:val="17"/>
        </w:rPr>
      </w:pPr>
      <w:r>
        <w:rPr>
          <w:rFonts w:ascii="宋体" w:hAnsi="宋体" w:eastAsia="宋体" w:cs="宋体"/>
          <w:spacing w:val="-2"/>
          <w:sz w:val="17"/>
          <w:szCs w:val="17"/>
        </w:rPr>
        <w:t>①测量RL 中的电流</w:t>
      </w:r>
      <w:r>
        <w:rPr>
          <w:rFonts w:ascii="宋体" w:hAnsi="宋体" w:eastAsia="宋体" w:cs="宋体"/>
          <w:spacing w:val="-17"/>
          <w:sz w:val="17"/>
          <w:szCs w:val="17"/>
        </w:rPr>
        <w:t xml:space="preserve"> </w:t>
      </w:r>
      <w:r>
        <w:rPr>
          <w:rFonts w:ascii="宋体" w:hAnsi="宋体" w:eastAsia="宋体" w:cs="宋体"/>
          <w:spacing w:val="-2"/>
          <w:sz w:val="17"/>
          <w:szCs w:val="17"/>
        </w:rPr>
        <w:t>IL(50</w:t>
      </w:r>
      <w:r>
        <w:rPr>
          <w:rFonts w:ascii="宋体" w:hAnsi="宋体" w:eastAsia="宋体" w:cs="宋体"/>
          <w:spacing w:val="36"/>
          <w:sz w:val="17"/>
          <w:szCs w:val="17"/>
        </w:rPr>
        <w:t xml:space="preserve"> </w:t>
      </w:r>
      <w:r>
        <w:rPr>
          <w:rFonts w:ascii="宋体" w:hAnsi="宋体" w:eastAsia="宋体" w:cs="宋体"/>
          <w:spacing w:val="-2"/>
          <w:sz w:val="17"/>
          <w:szCs w:val="17"/>
        </w:rPr>
        <w:t>分</w:t>
      </w:r>
      <w:r>
        <w:rPr>
          <w:rFonts w:ascii="宋体" w:hAnsi="宋体" w:eastAsia="宋体" w:cs="宋体"/>
          <w:spacing w:val="-17"/>
          <w:sz w:val="17"/>
          <w:szCs w:val="17"/>
        </w:rPr>
        <w:t xml:space="preserve"> </w:t>
      </w:r>
      <w:r>
        <w:rPr>
          <w:rFonts w:ascii="宋体" w:hAnsi="宋体" w:eastAsia="宋体" w:cs="宋体"/>
          <w:spacing w:val="-2"/>
          <w:sz w:val="17"/>
          <w:szCs w:val="17"/>
        </w:rPr>
        <w:t>)</w:t>
      </w:r>
      <w:r>
        <w:rPr>
          <w:rFonts w:ascii="宋体" w:hAnsi="宋体" w:eastAsia="宋体" w:cs="宋体"/>
          <w:spacing w:val="-23"/>
          <w:sz w:val="17"/>
          <w:szCs w:val="17"/>
        </w:rPr>
        <w:t xml:space="preserve"> </w:t>
      </w:r>
      <w:r>
        <w:rPr>
          <w:rFonts w:ascii="宋体" w:hAnsi="宋体" w:eastAsia="宋体" w:cs="宋体"/>
          <w:spacing w:val="-2"/>
          <w:sz w:val="17"/>
          <w:szCs w:val="17"/>
        </w:rPr>
        <w:t>。</w:t>
      </w:r>
    </w:p>
    <w:p w14:paraId="45BD5826">
      <w:pPr>
        <w:spacing w:before="100" w:line="217" w:lineRule="auto"/>
        <w:ind w:left="360"/>
        <w:rPr>
          <w:rFonts w:ascii="宋体" w:hAnsi="宋体" w:eastAsia="宋体" w:cs="宋体"/>
          <w:sz w:val="17"/>
          <w:szCs w:val="17"/>
        </w:rPr>
      </w:pPr>
      <w:r>
        <w:rPr>
          <w:rFonts w:ascii="宋体" w:hAnsi="宋体" w:eastAsia="宋体" w:cs="宋体"/>
          <w:spacing w:val="3"/>
          <w:sz w:val="17"/>
          <w:szCs w:val="17"/>
        </w:rPr>
        <w:t>②测量</w:t>
      </w:r>
      <w:r>
        <w:rPr>
          <w:rFonts w:ascii="宋体" w:hAnsi="宋体" w:eastAsia="宋体" w:cs="宋体"/>
          <w:sz w:val="17"/>
          <w:szCs w:val="17"/>
        </w:rPr>
        <w:t>RL</w:t>
      </w:r>
      <w:r>
        <w:rPr>
          <w:rFonts w:ascii="宋体" w:hAnsi="宋体" w:eastAsia="宋体" w:cs="宋体"/>
          <w:spacing w:val="3"/>
          <w:sz w:val="17"/>
          <w:szCs w:val="17"/>
        </w:rPr>
        <w:t xml:space="preserve"> 两端的电压</w:t>
      </w:r>
      <w:r>
        <w:rPr>
          <w:rFonts w:ascii="宋体" w:hAnsi="宋体" w:eastAsia="宋体" w:cs="宋体"/>
          <w:sz w:val="17"/>
          <w:szCs w:val="17"/>
        </w:rPr>
        <w:t>UL</w:t>
      </w:r>
      <w:r>
        <w:rPr>
          <w:rFonts w:ascii="宋体" w:hAnsi="宋体" w:eastAsia="宋体" w:cs="宋体"/>
          <w:spacing w:val="3"/>
          <w:sz w:val="17"/>
          <w:szCs w:val="17"/>
        </w:rPr>
        <w:t>(50</w:t>
      </w:r>
      <w:r>
        <w:rPr>
          <w:rFonts w:ascii="宋体" w:hAnsi="宋体" w:eastAsia="宋体" w:cs="宋体"/>
          <w:spacing w:val="82"/>
          <w:w w:val="101"/>
          <w:sz w:val="17"/>
          <w:szCs w:val="17"/>
        </w:rPr>
        <w:t xml:space="preserve"> </w:t>
      </w:r>
      <w:r>
        <w:rPr>
          <w:rFonts w:ascii="宋体" w:hAnsi="宋体" w:eastAsia="宋体" w:cs="宋体"/>
          <w:spacing w:val="3"/>
          <w:sz w:val="17"/>
          <w:szCs w:val="17"/>
        </w:rPr>
        <w:t>分</w:t>
      </w:r>
      <w:r>
        <w:rPr>
          <w:rFonts w:ascii="宋体" w:hAnsi="宋体" w:eastAsia="宋体" w:cs="宋体"/>
          <w:spacing w:val="-16"/>
          <w:sz w:val="17"/>
          <w:szCs w:val="17"/>
        </w:rPr>
        <w:t xml:space="preserve"> </w:t>
      </w:r>
      <w:r>
        <w:rPr>
          <w:rFonts w:ascii="宋体" w:hAnsi="宋体" w:eastAsia="宋体" w:cs="宋体"/>
          <w:spacing w:val="3"/>
          <w:sz w:val="17"/>
          <w:szCs w:val="17"/>
        </w:rPr>
        <w:t>)</w:t>
      </w:r>
      <w:r>
        <w:rPr>
          <w:rFonts w:ascii="宋体" w:hAnsi="宋体" w:eastAsia="宋体" w:cs="宋体"/>
          <w:spacing w:val="-24"/>
          <w:sz w:val="17"/>
          <w:szCs w:val="17"/>
        </w:rPr>
        <w:t xml:space="preserve"> </w:t>
      </w:r>
      <w:r>
        <w:rPr>
          <w:rFonts w:ascii="宋体" w:hAnsi="宋体" w:eastAsia="宋体" w:cs="宋体"/>
          <w:spacing w:val="3"/>
          <w:sz w:val="17"/>
          <w:szCs w:val="17"/>
        </w:rPr>
        <w:t>。</w:t>
      </w:r>
    </w:p>
    <w:p w14:paraId="0BF86B69">
      <w:pPr>
        <w:spacing w:before="82" w:line="220" w:lineRule="auto"/>
        <w:ind w:left="360"/>
        <w:rPr>
          <w:rFonts w:ascii="宋体" w:hAnsi="宋体" w:eastAsia="宋体" w:cs="宋体"/>
          <w:sz w:val="17"/>
          <w:szCs w:val="17"/>
        </w:rPr>
      </w:pPr>
      <w:r>
        <w:rPr>
          <w:rFonts w:ascii="宋体" w:hAnsi="宋体" w:eastAsia="宋体" w:cs="宋体"/>
          <w:spacing w:val="16"/>
          <w:sz w:val="17"/>
          <w:szCs w:val="17"/>
        </w:rPr>
        <w:t>3、安全清洁(30分)。</w:t>
      </w:r>
    </w:p>
    <w:p w14:paraId="406E0EC9">
      <w:pPr>
        <w:pStyle w:val="2"/>
        <w:spacing w:line="299" w:lineRule="auto"/>
      </w:pPr>
    </w:p>
    <w:p w14:paraId="51B80855">
      <w:pPr>
        <w:spacing w:before="76" w:line="219" w:lineRule="auto"/>
        <w:ind w:left="1173"/>
        <w:rPr>
          <w:rFonts w:ascii="宋体" w:hAnsi="宋体" w:eastAsia="宋体" w:cs="宋体"/>
          <w:sz w:val="23"/>
          <w:szCs w:val="23"/>
        </w:rPr>
      </w:pPr>
      <w:r>
        <w:rPr>
          <w:rFonts w:ascii="宋体" w:hAnsi="宋体" w:eastAsia="宋体" w:cs="宋体"/>
          <w:b/>
          <w:bCs/>
          <w:spacing w:val="-6"/>
          <w:sz w:val="23"/>
          <w:szCs w:val="23"/>
        </w:rPr>
        <w:t>项目三</w:t>
      </w:r>
      <w:r>
        <w:rPr>
          <w:rFonts w:ascii="宋体" w:hAnsi="宋体" w:eastAsia="宋体" w:cs="宋体"/>
          <w:spacing w:val="108"/>
          <w:sz w:val="23"/>
          <w:szCs w:val="23"/>
        </w:rPr>
        <w:t xml:space="preserve"> </w:t>
      </w:r>
      <w:r>
        <w:rPr>
          <w:rFonts w:ascii="宋体" w:hAnsi="宋体" w:eastAsia="宋体" w:cs="宋体"/>
          <w:b/>
          <w:bCs/>
          <w:spacing w:val="-6"/>
          <w:sz w:val="23"/>
          <w:szCs w:val="23"/>
        </w:rPr>
        <w:t>叠加定律</w:t>
      </w:r>
    </w:p>
    <w:p w14:paraId="69DCF693">
      <w:pPr>
        <w:pStyle w:val="2"/>
        <w:spacing w:line="261" w:lineRule="auto"/>
      </w:pPr>
    </w:p>
    <w:p w14:paraId="5C07FA11">
      <w:pPr>
        <w:spacing w:before="56" w:line="221" w:lineRule="auto"/>
        <w:ind w:left="345"/>
        <w:rPr>
          <w:rFonts w:ascii="宋体" w:hAnsi="宋体" w:eastAsia="宋体" w:cs="宋体"/>
          <w:sz w:val="17"/>
          <w:szCs w:val="17"/>
        </w:rPr>
      </w:pPr>
      <w:r>
        <w:rPr>
          <w:rFonts w:ascii="宋体" w:hAnsi="宋体" w:eastAsia="宋体" w:cs="宋体"/>
          <w:spacing w:val="6"/>
          <w:sz w:val="17"/>
          <w:szCs w:val="17"/>
        </w:rPr>
        <w:t>【测试用具】</w:t>
      </w:r>
    </w:p>
    <w:p w14:paraId="1933F025">
      <w:pPr>
        <w:spacing w:before="84" w:line="219" w:lineRule="auto"/>
        <w:ind w:left="360"/>
        <w:rPr>
          <w:rFonts w:ascii="宋体" w:hAnsi="宋体" w:eastAsia="宋体" w:cs="宋体"/>
          <w:sz w:val="17"/>
          <w:szCs w:val="17"/>
        </w:rPr>
      </w:pPr>
      <w:r>
        <w:rPr>
          <w:rFonts w:ascii="宋体" w:hAnsi="宋体" w:eastAsia="宋体" w:cs="宋体"/>
          <w:spacing w:val="6"/>
          <w:sz w:val="17"/>
          <w:szCs w:val="17"/>
        </w:rPr>
        <w:t>1、集成电路实验板1块</w:t>
      </w:r>
    </w:p>
    <w:p w14:paraId="69B6754B">
      <w:pPr>
        <w:spacing w:before="80" w:line="220" w:lineRule="auto"/>
        <w:ind w:left="360"/>
        <w:rPr>
          <w:rFonts w:ascii="宋体" w:hAnsi="宋体" w:eastAsia="宋体" w:cs="宋体"/>
          <w:sz w:val="17"/>
          <w:szCs w:val="17"/>
        </w:rPr>
      </w:pPr>
      <w:r>
        <w:rPr>
          <w:rFonts w:ascii="宋体" w:hAnsi="宋体" w:eastAsia="宋体" w:cs="宋体"/>
          <w:spacing w:val="14"/>
          <w:sz w:val="17"/>
          <w:szCs w:val="17"/>
        </w:rPr>
        <w:t>2、万用表1只</w:t>
      </w:r>
    </w:p>
    <w:p w14:paraId="019742CB">
      <w:pPr>
        <w:spacing w:before="88" w:line="221" w:lineRule="auto"/>
        <w:ind w:left="360"/>
        <w:rPr>
          <w:rFonts w:ascii="宋体" w:hAnsi="宋体" w:eastAsia="宋体" w:cs="宋体"/>
          <w:sz w:val="17"/>
          <w:szCs w:val="17"/>
        </w:rPr>
      </w:pPr>
      <w:r>
        <w:rPr>
          <w:rFonts w:ascii="宋体" w:hAnsi="宋体" w:eastAsia="宋体" w:cs="宋体"/>
          <w:spacing w:val="11"/>
          <w:sz w:val="17"/>
          <w:szCs w:val="17"/>
        </w:rPr>
        <w:t>3、直流毫安表3只</w:t>
      </w:r>
    </w:p>
    <w:p w14:paraId="3ED8A0AB">
      <w:pPr>
        <w:spacing w:before="95" w:line="262" w:lineRule="auto"/>
        <w:ind w:left="345" w:right="1809" w:firstLine="15"/>
        <w:rPr>
          <w:rFonts w:ascii="宋体" w:hAnsi="宋体" w:eastAsia="宋体" w:cs="宋体"/>
          <w:sz w:val="17"/>
          <w:szCs w:val="17"/>
        </w:rPr>
      </w:pPr>
      <w:r>
        <w:rPr>
          <w:rFonts w:ascii="宋体" w:hAnsi="宋体" w:eastAsia="宋体" w:cs="宋体"/>
          <w:spacing w:val="8"/>
          <w:sz w:val="17"/>
          <w:szCs w:val="17"/>
        </w:rPr>
        <w:t>4、双路直流稳压电源1台</w:t>
      </w:r>
      <w:r>
        <w:rPr>
          <w:rFonts w:ascii="宋体" w:hAnsi="宋体" w:eastAsia="宋体" w:cs="宋体"/>
          <w:spacing w:val="1"/>
          <w:sz w:val="17"/>
          <w:szCs w:val="17"/>
        </w:rPr>
        <w:t xml:space="preserve"> </w:t>
      </w:r>
      <w:r>
        <w:rPr>
          <w:rFonts w:ascii="宋体" w:hAnsi="宋体" w:eastAsia="宋体" w:cs="宋体"/>
          <w:spacing w:val="6"/>
          <w:sz w:val="17"/>
          <w:szCs w:val="17"/>
        </w:rPr>
        <w:t>【测试内容】</w:t>
      </w:r>
    </w:p>
    <w:p w14:paraId="2E055BC3">
      <w:pPr>
        <w:spacing w:before="98" w:line="219" w:lineRule="auto"/>
        <w:ind w:left="360"/>
        <w:rPr>
          <w:rFonts w:ascii="宋体" w:hAnsi="宋体" w:eastAsia="宋体" w:cs="宋体"/>
          <w:sz w:val="17"/>
          <w:szCs w:val="17"/>
        </w:rPr>
      </w:pPr>
      <w:r>
        <w:rPr>
          <w:rFonts w:ascii="宋体" w:hAnsi="宋体" w:eastAsia="宋体" w:cs="宋体"/>
          <w:spacing w:val="-2"/>
          <w:sz w:val="17"/>
          <w:szCs w:val="17"/>
        </w:rPr>
        <w:t>1、测量电路中各电源单独作用时的电压及电流。</w:t>
      </w:r>
    </w:p>
    <w:p w14:paraId="6FEE9416">
      <w:pPr>
        <w:spacing w:before="89" w:line="263" w:lineRule="auto"/>
        <w:ind w:left="345" w:right="2343" w:firstLine="15"/>
        <w:rPr>
          <w:rFonts w:ascii="宋体" w:hAnsi="宋体" w:eastAsia="宋体" w:cs="宋体"/>
          <w:sz w:val="17"/>
          <w:szCs w:val="17"/>
        </w:rPr>
      </w:pPr>
      <w:r>
        <w:rPr>
          <w:rFonts w:ascii="宋体" w:hAnsi="宋体" w:eastAsia="宋体" w:cs="宋体"/>
          <w:spacing w:val="-2"/>
          <w:sz w:val="17"/>
          <w:szCs w:val="17"/>
        </w:rPr>
        <w:t>2、验证叠加定律。</w:t>
      </w:r>
      <w:r>
        <w:rPr>
          <w:rFonts w:ascii="宋体" w:hAnsi="宋体" w:eastAsia="宋体" w:cs="宋体"/>
          <w:spacing w:val="6"/>
          <w:sz w:val="17"/>
          <w:szCs w:val="17"/>
        </w:rPr>
        <w:t xml:space="preserve"> 【测试方法】</w:t>
      </w:r>
    </w:p>
    <w:p w14:paraId="0CDFE416">
      <w:pPr>
        <w:spacing w:before="85" w:line="268" w:lineRule="auto"/>
        <w:ind w:firstLine="360"/>
        <w:rPr>
          <w:rFonts w:ascii="宋体" w:hAnsi="宋体" w:eastAsia="宋体" w:cs="宋体"/>
          <w:sz w:val="17"/>
          <w:szCs w:val="17"/>
        </w:rPr>
      </w:pPr>
      <w:r>
        <w:rPr>
          <w:rFonts w:ascii="宋体" w:hAnsi="宋体" w:eastAsia="宋体" w:cs="宋体"/>
          <w:spacing w:val="5"/>
          <w:sz w:val="17"/>
          <w:szCs w:val="17"/>
        </w:rPr>
        <w:t>1、使用直流毫安表测量集成电路实验板上电路中</w:t>
      </w:r>
      <w:r>
        <w:rPr>
          <w:rFonts w:ascii="宋体" w:hAnsi="宋体" w:eastAsia="宋体" w:cs="宋体"/>
          <w:spacing w:val="12"/>
          <w:sz w:val="17"/>
          <w:szCs w:val="17"/>
        </w:rPr>
        <w:t xml:space="preserve"> </w:t>
      </w:r>
      <w:r>
        <w:rPr>
          <w:rFonts w:ascii="宋体" w:hAnsi="宋体" w:eastAsia="宋体" w:cs="宋体"/>
          <w:spacing w:val="-3"/>
          <w:sz w:val="17"/>
          <w:szCs w:val="17"/>
        </w:rPr>
        <w:t>各电源单独作用时的电流。</w:t>
      </w:r>
    </w:p>
    <w:p w14:paraId="0897AA8F">
      <w:pPr>
        <w:spacing w:before="106" w:line="262" w:lineRule="auto"/>
        <w:ind w:right="5" w:firstLine="360"/>
        <w:rPr>
          <w:rFonts w:ascii="宋体" w:hAnsi="宋体" w:eastAsia="宋体" w:cs="宋体"/>
          <w:sz w:val="17"/>
          <w:szCs w:val="17"/>
        </w:rPr>
      </w:pPr>
      <w:r>
        <w:rPr>
          <w:rFonts w:ascii="宋体" w:hAnsi="宋体" w:eastAsia="宋体" w:cs="宋体"/>
          <w:spacing w:val="5"/>
          <w:sz w:val="17"/>
          <w:szCs w:val="17"/>
        </w:rPr>
        <w:t>2、使用万用表的电压档测量集成电路实验板上的</w:t>
      </w:r>
      <w:r>
        <w:rPr>
          <w:rFonts w:ascii="宋体" w:hAnsi="宋体" w:eastAsia="宋体" w:cs="宋体"/>
          <w:spacing w:val="7"/>
          <w:sz w:val="17"/>
          <w:szCs w:val="17"/>
        </w:rPr>
        <w:t xml:space="preserve"> </w:t>
      </w:r>
      <w:r>
        <w:rPr>
          <w:rFonts w:ascii="宋体" w:hAnsi="宋体" w:eastAsia="宋体" w:cs="宋体"/>
          <w:spacing w:val="-2"/>
          <w:sz w:val="17"/>
          <w:szCs w:val="17"/>
        </w:rPr>
        <w:t>电路中各电源单独作用时的电压。</w:t>
      </w:r>
    </w:p>
    <w:p w14:paraId="3B9C619F">
      <w:pPr>
        <w:spacing w:before="89" w:line="221" w:lineRule="auto"/>
        <w:ind w:left="345"/>
        <w:rPr>
          <w:rFonts w:ascii="宋体" w:hAnsi="宋体" w:eastAsia="宋体" w:cs="宋体"/>
          <w:sz w:val="17"/>
          <w:szCs w:val="17"/>
        </w:rPr>
      </w:pPr>
      <w:r>
        <w:rPr>
          <w:rFonts w:ascii="宋体" w:hAnsi="宋体" w:eastAsia="宋体" w:cs="宋体"/>
          <w:spacing w:val="6"/>
          <w:sz w:val="17"/>
          <w:szCs w:val="17"/>
        </w:rPr>
        <w:t>【测试要求】</w:t>
      </w:r>
    </w:p>
    <w:p w14:paraId="0EB84E35">
      <w:pPr>
        <w:spacing w:before="86" w:line="220" w:lineRule="auto"/>
        <w:ind w:left="360"/>
        <w:rPr>
          <w:rFonts w:ascii="宋体" w:hAnsi="宋体" w:eastAsia="宋体" w:cs="宋体"/>
          <w:sz w:val="17"/>
          <w:szCs w:val="17"/>
        </w:rPr>
      </w:pPr>
      <w:r>
        <w:rPr>
          <w:rFonts w:ascii="宋体" w:hAnsi="宋体" w:eastAsia="宋体" w:cs="宋体"/>
          <w:spacing w:val="4"/>
          <w:sz w:val="17"/>
          <w:szCs w:val="17"/>
        </w:rPr>
        <w:t>1、测试时间80分钟。</w:t>
      </w:r>
    </w:p>
    <w:p w14:paraId="3433C148">
      <w:pPr>
        <w:spacing w:before="87" w:line="219" w:lineRule="auto"/>
        <w:ind w:left="360"/>
        <w:rPr>
          <w:rFonts w:ascii="宋体" w:hAnsi="宋体" w:eastAsia="宋体" w:cs="宋体"/>
          <w:sz w:val="17"/>
          <w:szCs w:val="17"/>
        </w:rPr>
      </w:pPr>
      <w:r>
        <w:rPr>
          <w:rFonts w:ascii="宋体" w:hAnsi="宋体" w:eastAsia="宋体" w:cs="宋体"/>
          <w:spacing w:val="-2"/>
          <w:sz w:val="17"/>
          <w:szCs w:val="17"/>
        </w:rPr>
        <w:t>2、正确连接电路。</w:t>
      </w:r>
    </w:p>
    <w:p w14:paraId="11CEA4A7">
      <w:pPr>
        <w:spacing w:before="77" w:line="273" w:lineRule="auto"/>
        <w:ind w:right="7" w:firstLine="360"/>
        <w:rPr>
          <w:rFonts w:ascii="宋体" w:hAnsi="宋体" w:eastAsia="宋体" w:cs="宋体"/>
          <w:sz w:val="17"/>
          <w:szCs w:val="17"/>
        </w:rPr>
      </w:pPr>
      <w:r>
        <w:rPr>
          <w:rFonts w:ascii="宋体" w:hAnsi="宋体" w:eastAsia="宋体" w:cs="宋体"/>
          <w:spacing w:val="5"/>
          <w:sz w:val="17"/>
          <w:szCs w:val="17"/>
        </w:rPr>
        <w:t>3、正确使用直流毫安表测量各支路电流及使用万</w:t>
      </w:r>
      <w:r>
        <w:rPr>
          <w:rFonts w:ascii="宋体" w:hAnsi="宋体" w:eastAsia="宋体" w:cs="宋体"/>
          <w:spacing w:val="4"/>
          <w:sz w:val="17"/>
          <w:szCs w:val="17"/>
        </w:rPr>
        <w:t xml:space="preserve"> </w:t>
      </w:r>
      <w:r>
        <w:rPr>
          <w:rFonts w:ascii="宋体" w:hAnsi="宋体" w:eastAsia="宋体" w:cs="宋体"/>
          <w:spacing w:val="-3"/>
          <w:sz w:val="17"/>
          <w:szCs w:val="17"/>
        </w:rPr>
        <w:t>用表电压档测量各段电压值。</w:t>
      </w:r>
    </w:p>
    <w:p w14:paraId="43F05944">
      <w:pPr>
        <w:spacing w:before="88" w:line="262" w:lineRule="auto"/>
        <w:ind w:left="345" w:right="1483" w:firstLine="15"/>
        <w:rPr>
          <w:rFonts w:ascii="宋体" w:hAnsi="宋体" w:eastAsia="宋体" w:cs="宋体"/>
          <w:sz w:val="17"/>
          <w:szCs w:val="17"/>
        </w:rPr>
      </w:pPr>
      <w:r>
        <w:rPr>
          <w:rFonts w:ascii="宋体" w:hAnsi="宋体" w:eastAsia="宋体" w:cs="宋体"/>
          <w:spacing w:val="-1"/>
          <w:sz w:val="17"/>
          <w:szCs w:val="17"/>
        </w:rPr>
        <w:t>4、会检查试验数据的合理性。</w:t>
      </w:r>
      <w:r>
        <w:rPr>
          <w:rFonts w:ascii="宋体" w:hAnsi="宋体" w:eastAsia="宋体" w:cs="宋体"/>
          <w:spacing w:val="12"/>
          <w:sz w:val="17"/>
          <w:szCs w:val="17"/>
        </w:rPr>
        <w:t xml:space="preserve"> </w:t>
      </w:r>
      <w:r>
        <w:rPr>
          <w:rFonts w:ascii="宋体" w:hAnsi="宋体" w:eastAsia="宋体" w:cs="宋体"/>
          <w:spacing w:val="6"/>
          <w:sz w:val="17"/>
          <w:szCs w:val="17"/>
        </w:rPr>
        <w:t>【赋分参考】</w:t>
      </w:r>
    </w:p>
    <w:p w14:paraId="5561F275">
      <w:pPr>
        <w:spacing w:before="88" w:line="219" w:lineRule="auto"/>
        <w:ind w:left="360"/>
        <w:rPr>
          <w:rFonts w:ascii="宋体" w:hAnsi="宋体" w:eastAsia="宋体" w:cs="宋体"/>
          <w:sz w:val="17"/>
          <w:szCs w:val="17"/>
        </w:rPr>
      </w:pPr>
      <w:r>
        <w:rPr>
          <w:rFonts w:ascii="宋体" w:hAnsi="宋体" w:eastAsia="宋体" w:cs="宋体"/>
          <w:spacing w:val="11"/>
          <w:sz w:val="17"/>
          <w:szCs w:val="17"/>
        </w:rPr>
        <w:t>1、元器件成型及装配(20分)。</w:t>
      </w:r>
    </w:p>
    <w:p w14:paraId="0B30F202">
      <w:pPr>
        <w:spacing w:before="99" w:line="219" w:lineRule="auto"/>
        <w:ind w:left="360"/>
        <w:rPr>
          <w:rFonts w:ascii="宋体" w:hAnsi="宋体" w:eastAsia="宋体" w:cs="宋体"/>
          <w:sz w:val="17"/>
          <w:szCs w:val="17"/>
        </w:rPr>
      </w:pPr>
      <w:r>
        <w:rPr>
          <w:rFonts w:ascii="宋体" w:hAnsi="宋体" w:eastAsia="宋体" w:cs="宋体"/>
          <w:spacing w:val="8"/>
          <w:sz w:val="17"/>
          <w:szCs w:val="17"/>
        </w:rPr>
        <w:t>2、技能测试电路的调试与检测(200分)</w:t>
      </w:r>
    </w:p>
    <w:p w14:paraId="7ED20BB0">
      <w:pPr>
        <w:spacing w:before="78" w:line="219" w:lineRule="auto"/>
        <w:ind w:left="430"/>
        <w:rPr>
          <w:rFonts w:ascii="宋体" w:hAnsi="宋体" w:eastAsia="宋体" w:cs="宋体"/>
          <w:sz w:val="17"/>
          <w:szCs w:val="17"/>
        </w:rPr>
      </w:pPr>
      <w:r>
        <w:rPr>
          <w:rFonts w:ascii="宋体" w:hAnsi="宋体" w:eastAsia="宋体" w:cs="宋体"/>
          <w:spacing w:val="-7"/>
          <w:sz w:val="17"/>
          <w:szCs w:val="17"/>
        </w:rPr>
        <w:t>(1)测量电路中各电源单独作用时的电压及</w:t>
      </w:r>
      <w:r>
        <w:rPr>
          <w:rFonts w:ascii="宋体" w:hAnsi="宋体" w:eastAsia="宋体" w:cs="宋体"/>
          <w:spacing w:val="-8"/>
          <w:sz w:val="17"/>
          <w:szCs w:val="17"/>
        </w:rPr>
        <w:t>电流。</w:t>
      </w:r>
    </w:p>
    <w:p w14:paraId="62FA216B">
      <w:pPr>
        <w:spacing w:before="86" w:line="217" w:lineRule="auto"/>
        <w:ind w:left="360"/>
        <w:rPr>
          <w:rFonts w:ascii="宋体" w:hAnsi="宋体" w:eastAsia="宋体" w:cs="宋体"/>
          <w:sz w:val="17"/>
          <w:szCs w:val="17"/>
        </w:rPr>
      </w:pPr>
      <w:r>
        <w:rPr>
          <w:rFonts w:ascii="宋体" w:hAnsi="宋体" w:eastAsia="宋体" w:cs="宋体"/>
          <w:spacing w:val="11"/>
          <w:sz w:val="17"/>
          <w:szCs w:val="17"/>
        </w:rPr>
        <w:t>①</w:t>
      </w:r>
      <w:r>
        <w:rPr>
          <w:rFonts w:ascii="宋体" w:hAnsi="宋体" w:eastAsia="宋体" w:cs="宋体"/>
          <w:spacing w:val="-49"/>
          <w:sz w:val="17"/>
          <w:szCs w:val="17"/>
        </w:rPr>
        <w:t xml:space="preserve"> </w:t>
      </w:r>
      <w:r>
        <w:rPr>
          <w:rFonts w:ascii="宋体" w:hAnsi="宋体" w:eastAsia="宋体" w:cs="宋体"/>
          <w:spacing w:val="11"/>
          <w:sz w:val="17"/>
          <w:szCs w:val="17"/>
        </w:rPr>
        <w:t>E1电源单独作用时的电压及电流；(80</w:t>
      </w:r>
      <w:r>
        <w:rPr>
          <w:rFonts w:ascii="宋体" w:hAnsi="宋体" w:eastAsia="宋体" w:cs="宋体"/>
          <w:spacing w:val="10"/>
          <w:sz w:val="17"/>
          <w:szCs w:val="17"/>
        </w:rPr>
        <w:t>分)</w:t>
      </w:r>
    </w:p>
    <w:p w14:paraId="3185586C">
      <w:pPr>
        <w:spacing w:before="90" w:line="217" w:lineRule="auto"/>
        <w:ind w:left="360"/>
        <w:rPr>
          <w:rFonts w:ascii="宋体" w:hAnsi="宋体" w:eastAsia="宋体" w:cs="宋体"/>
          <w:sz w:val="17"/>
          <w:szCs w:val="17"/>
        </w:rPr>
      </w:pPr>
      <w:r>
        <w:rPr>
          <w:rFonts w:ascii="宋体" w:hAnsi="宋体" w:eastAsia="宋体" w:cs="宋体"/>
          <w:spacing w:val="9"/>
          <w:sz w:val="17"/>
          <w:szCs w:val="17"/>
        </w:rPr>
        <w:t>②E2</w:t>
      </w:r>
      <w:r>
        <w:rPr>
          <w:rFonts w:ascii="宋体" w:hAnsi="宋体" w:eastAsia="宋体" w:cs="宋体"/>
          <w:spacing w:val="-7"/>
          <w:sz w:val="17"/>
          <w:szCs w:val="17"/>
        </w:rPr>
        <w:t xml:space="preserve"> </w:t>
      </w:r>
      <w:r>
        <w:rPr>
          <w:rFonts w:ascii="宋体" w:hAnsi="宋体" w:eastAsia="宋体" w:cs="宋体"/>
          <w:spacing w:val="9"/>
          <w:sz w:val="17"/>
          <w:szCs w:val="17"/>
        </w:rPr>
        <w:t>电源单独作用时的电压及电流。(80分)</w:t>
      </w:r>
    </w:p>
    <w:p w14:paraId="1EFDAC72">
      <w:pPr>
        <w:spacing w:before="93" w:line="219" w:lineRule="auto"/>
        <w:ind w:left="430"/>
        <w:rPr>
          <w:rFonts w:ascii="宋体" w:hAnsi="宋体" w:eastAsia="宋体" w:cs="宋体"/>
          <w:sz w:val="17"/>
          <w:szCs w:val="17"/>
        </w:rPr>
      </w:pPr>
      <w:r>
        <w:rPr>
          <w:rFonts w:ascii="宋体" w:hAnsi="宋体" w:eastAsia="宋体" w:cs="宋体"/>
          <w:spacing w:val="20"/>
          <w:sz w:val="17"/>
          <w:szCs w:val="17"/>
        </w:rPr>
        <w:t>(2)验证叠加定律(40分)</w:t>
      </w:r>
    </w:p>
    <w:p w14:paraId="15F14032">
      <w:pPr>
        <w:spacing w:before="89" w:line="184" w:lineRule="auto"/>
        <w:ind w:left="360"/>
        <w:rPr>
          <w:rFonts w:ascii="宋体" w:hAnsi="宋体" w:eastAsia="宋体" w:cs="宋体"/>
          <w:sz w:val="17"/>
          <w:szCs w:val="17"/>
        </w:rPr>
      </w:pPr>
      <w:r>
        <w:rPr>
          <w:rFonts w:ascii="宋体" w:hAnsi="宋体" w:eastAsia="宋体" w:cs="宋体"/>
          <w:spacing w:val="16"/>
          <w:sz w:val="17"/>
          <w:szCs w:val="17"/>
        </w:rPr>
        <w:t>3、安全清洁(30分)。</w:t>
      </w:r>
    </w:p>
    <w:p w14:paraId="6DFA0BC1">
      <w:pPr>
        <w:spacing w:line="184" w:lineRule="auto"/>
        <w:rPr>
          <w:rFonts w:ascii="宋体" w:hAnsi="宋体" w:eastAsia="宋体" w:cs="宋体"/>
          <w:sz w:val="17"/>
          <w:szCs w:val="17"/>
        </w:rPr>
        <w:sectPr>
          <w:type w:val="continuous"/>
          <w:pgSz w:w="10660" w:h="15080"/>
          <w:pgMar w:top="400" w:right="901" w:bottom="898" w:left="1019" w:header="0" w:footer="745" w:gutter="0"/>
          <w:cols w:equalWidth="0" w:num="2">
            <w:col w:w="4501" w:space="100"/>
            <w:col w:w="4139"/>
          </w:cols>
        </w:sectPr>
      </w:pPr>
    </w:p>
    <w:p w14:paraId="4AB35E2A">
      <w:pPr>
        <w:spacing w:before="10"/>
      </w:pPr>
    </w:p>
    <w:p w14:paraId="3E6F6732">
      <w:pPr>
        <w:spacing w:before="10"/>
      </w:pPr>
    </w:p>
    <w:p w14:paraId="2BD6DF6F">
      <w:pPr>
        <w:spacing w:before="10"/>
      </w:pPr>
    </w:p>
    <w:p w14:paraId="3A0270C7">
      <w:pPr>
        <w:spacing w:before="9"/>
      </w:pPr>
    </w:p>
    <w:p w14:paraId="77E65167">
      <w:pPr>
        <w:sectPr>
          <w:footerReference r:id="rId114" w:type="default"/>
          <w:pgSz w:w="10660" w:h="15080"/>
          <w:pgMar w:top="400" w:right="1049" w:bottom="898" w:left="809" w:header="0" w:footer="745" w:gutter="0"/>
          <w:cols w:equalWidth="0" w:num="1">
            <w:col w:w="8801"/>
          </w:cols>
        </w:sectPr>
      </w:pPr>
    </w:p>
    <w:p w14:paraId="3FBCB3D9">
      <w:pPr>
        <w:spacing w:line="219" w:lineRule="auto"/>
        <w:ind w:left="783"/>
        <w:rPr>
          <w:rFonts w:ascii="宋体" w:hAnsi="宋体" w:eastAsia="宋体" w:cs="宋体"/>
          <w:sz w:val="23"/>
          <w:szCs w:val="23"/>
        </w:rPr>
      </w:pPr>
      <w:r>
        <w:rPr>
          <w:rFonts w:ascii="宋体" w:hAnsi="宋体" w:eastAsia="宋体" w:cs="宋体"/>
          <w:b/>
          <w:bCs/>
          <w:spacing w:val="-4"/>
          <w:sz w:val="23"/>
          <w:szCs w:val="23"/>
        </w:rPr>
        <w:t>项目四</w:t>
      </w:r>
      <w:r>
        <w:rPr>
          <w:rFonts w:ascii="宋体" w:hAnsi="宋体" w:eastAsia="宋体" w:cs="宋体"/>
          <w:spacing w:val="-4"/>
          <w:sz w:val="23"/>
          <w:szCs w:val="23"/>
        </w:rPr>
        <w:t xml:space="preserve">  </w:t>
      </w:r>
      <w:r>
        <w:rPr>
          <w:rFonts w:ascii="宋体" w:hAnsi="宋体" w:eastAsia="宋体" w:cs="宋体"/>
          <w:b/>
          <w:bCs/>
          <w:spacing w:val="-4"/>
          <w:sz w:val="23"/>
          <w:szCs w:val="23"/>
        </w:rPr>
        <w:t>共发射极放大电路</w:t>
      </w:r>
    </w:p>
    <w:p w14:paraId="30AE5FAC">
      <w:pPr>
        <w:pStyle w:val="2"/>
        <w:spacing w:line="261" w:lineRule="auto"/>
      </w:pPr>
    </w:p>
    <w:p w14:paraId="779FFB7E">
      <w:pPr>
        <w:spacing w:before="56" w:line="221" w:lineRule="auto"/>
        <w:ind w:left="415"/>
        <w:rPr>
          <w:rFonts w:ascii="宋体" w:hAnsi="宋体" w:eastAsia="宋体" w:cs="宋体"/>
          <w:sz w:val="17"/>
          <w:szCs w:val="17"/>
        </w:rPr>
      </w:pPr>
      <w:r>
        <w:rPr>
          <w:rFonts w:ascii="宋体" w:hAnsi="宋体" w:eastAsia="宋体" w:cs="宋体"/>
          <w:spacing w:val="6"/>
          <w:sz w:val="17"/>
          <w:szCs w:val="17"/>
        </w:rPr>
        <w:t>【测试用具】</w:t>
      </w:r>
    </w:p>
    <w:p w14:paraId="10CB7DB1">
      <w:pPr>
        <w:spacing w:before="86" w:line="220" w:lineRule="auto"/>
        <w:ind w:left="440"/>
        <w:rPr>
          <w:rFonts w:ascii="宋体" w:hAnsi="宋体" w:eastAsia="宋体" w:cs="宋体"/>
          <w:sz w:val="17"/>
          <w:szCs w:val="17"/>
        </w:rPr>
      </w:pPr>
      <w:r>
        <w:rPr>
          <w:rFonts w:ascii="宋体" w:hAnsi="宋体" w:eastAsia="宋体" w:cs="宋体"/>
          <w:spacing w:val="9"/>
          <w:sz w:val="17"/>
          <w:szCs w:val="17"/>
        </w:rPr>
        <w:t>1、双踪示波器1台</w:t>
      </w:r>
    </w:p>
    <w:p w14:paraId="500AF3EF">
      <w:pPr>
        <w:spacing w:before="76" w:line="219" w:lineRule="auto"/>
        <w:ind w:left="440"/>
        <w:rPr>
          <w:rFonts w:ascii="宋体" w:hAnsi="宋体" w:eastAsia="宋体" w:cs="宋体"/>
          <w:sz w:val="17"/>
          <w:szCs w:val="17"/>
        </w:rPr>
      </w:pPr>
      <w:r>
        <w:rPr>
          <w:rFonts w:ascii="宋体" w:hAnsi="宋体" w:eastAsia="宋体" w:cs="宋体"/>
          <w:spacing w:val="9"/>
          <w:sz w:val="17"/>
          <w:szCs w:val="17"/>
        </w:rPr>
        <w:t>2、信号发生器1台</w:t>
      </w:r>
    </w:p>
    <w:p w14:paraId="03F33C8F">
      <w:pPr>
        <w:spacing w:before="89" w:line="220" w:lineRule="auto"/>
        <w:ind w:left="440"/>
        <w:rPr>
          <w:rFonts w:ascii="宋体" w:hAnsi="宋体" w:eastAsia="宋体" w:cs="宋体"/>
          <w:sz w:val="17"/>
          <w:szCs w:val="17"/>
        </w:rPr>
      </w:pPr>
      <w:r>
        <w:rPr>
          <w:rFonts w:ascii="宋体" w:hAnsi="宋体" w:eastAsia="宋体" w:cs="宋体"/>
          <w:spacing w:val="14"/>
          <w:sz w:val="17"/>
          <w:szCs w:val="17"/>
        </w:rPr>
        <w:t>3、万用表1只</w:t>
      </w:r>
    </w:p>
    <w:p w14:paraId="070A27A7">
      <w:pPr>
        <w:spacing w:before="86" w:line="219" w:lineRule="auto"/>
        <w:ind w:left="440"/>
        <w:rPr>
          <w:rFonts w:ascii="宋体" w:hAnsi="宋体" w:eastAsia="宋体" w:cs="宋体"/>
          <w:sz w:val="17"/>
          <w:szCs w:val="17"/>
        </w:rPr>
      </w:pPr>
      <w:r>
        <w:rPr>
          <w:rFonts w:ascii="宋体" w:hAnsi="宋体" w:eastAsia="宋体" w:cs="宋体"/>
          <w:spacing w:val="8"/>
          <w:sz w:val="17"/>
          <w:szCs w:val="17"/>
        </w:rPr>
        <w:t>4、晶体管毫伏表1台</w:t>
      </w:r>
    </w:p>
    <w:p w14:paraId="37468B3C">
      <w:pPr>
        <w:spacing w:before="99" w:line="219" w:lineRule="auto"/>
        <w:ind w:left="440"/>
        <w:rPr>
          <w:rFonts w:ascii="宋体" w:hAnsi="宋体" w:eastAsia="宋体" w:cs="宋体"/>
          <w:sz w:val="17"/>
          <w:szCs w:val="17"/>
        </w:rPr>
      </w:pPr>
      <w:r>
        <w:rPr>
          <w:rFonts w:ascii="宋体" w:hAnsi="宋体" w:eastAsia="宋体" w:cs="宋体"/>
          <w:spacing w:val="8"/>
          <w:sz w:val="17"/>
          <w:szCs w:val="17"/>
        </w:rPr>
        <w:t>5、直流稳压电源1台</w:t>
      </w:r>
    </w:p>
    <w:p w14:paraId="2E286FA3">
      <w:pPr>
        <w:spacing w:before="79" w:line="219" w:lineRule="auto"/>
        <w:ind w:left="440"/>
        <w:rPr>
          <w:rFonts w:ascii="宋体" w:hAnsi="宋体" w:eastAsia="宋体" w:cs="宋体"/>
          <w:sz w:val="17"/>
          <w:szCs w:val="17"/>
        </w:rPr>
      </w:pPr>
      <w:r>
        <w:rPr>
          <w:rFonts w:ascii="宋体" w:hAnsi="宋体" w:eastAsia="宋体" w:cs="宋体"/>
          <w:spacing w:val="8"/>
          <w:sz w:val="17"/>
          <w:szCs w:val="17"/>
        </w:rPr>
        <w:t>6、直流电流表1个</w:t>
      </w:r>
    </w:p>
    <w:p w14:paraId="01AAEE61">
      <w:pPr>
        <w:spacing w:before="88" w:line="267" w:lineRule="auto"/>
        <w:ind w:left="415" w:right="2323" w:firstLine="24"/>
        <w:rPr>
          <w:rFonts w:ascii="宋体" w:hAnsi="宋体" w:eastAsia="宋体" w:cs="宋体"/>
          <w:sz w:val="17"/>
          <w:szCs w:val="17"/>
        </w:rPr>
      </w:pPr>
      <w:r>
        <w:rPr>
          <w:rFonts w:ascii="宋体" w:hAnsi="宋体" w:eastAsia="宋体" w:cs="宋体"/>
          <w:spacing w:val="7"/>
          <w:sz w:val="17"/>
          <w:szCs w:val="17"/>
        </w:rPr>
        <w:t>7、集成电路实验板1块</w:t>
      </w:r>
      <w:r>
        <w:rPr>
          <w:rFonts w:ascii="宋体" w:hAnsi="宋体" w:eastAsia="宋体" w:cs="宋体"/>
          <w:spacing w:val="8"/>
          <w:sz w:val="17"/>
          <w:szCs w:val="17"/>
        </w:rPr>
        <w:t xml:space="preserve"> </w:t>
      </w:r>
      <w:r>
        <w:rPr>
          <w:rFonts w:ascii="宋体" w:hAnsi="宋体" w:eastAsia="宋体" w:cs="宋体"/>
          <w:spacing w:val="6"/>
          <w:sz w:val="17"/>
          <w:szCs w:val="17"/>
        </w:rPr>
        <w:t>【测试内容】</w:t>
      </w:r>
    </w:p>
    <w:p w14:paraId="5FEAD14A">
      <w:pPr>
        <w:spacing w:before="98" w:line="219" w:lineRule="auto"/>
        <w:ind w:left="440"/>
        <w:rPr>
          <w:rFonts w:ascii="宋体" w:hAnsi="宋体" w:eastAsia="宋体" w:cs="宋体"/>
          <w:sz w:val="17"/>
          <w:szCs w:val="17"/>
        </w:rPr>
      </w:pPr>
      <w:r>
        <w:rPr>
          <w:rFonts w:ascii="宋体" w:hAnsi="宋体" w:eastAsia="宋体" w:cs="宋体"/>
          <w:spacing w:val="-2"/>
          <w:sz w:val="17"/>
          <w:szCs w:val="17"/>
        </w:rPr>
        <w:t>1、技能测试电路的装配。</w:t>
      </w:r>
    </w:p>
    <w:p w14:paraId="3DD01756">
      <w:pPr>
        <w:spacing w:before="79" w:line="219" w:lineRule="auto"/>
        <w:ind w:left="440"/>
        <w:rPr>
          <w:rFonts w:ascii="宋体" w:hAnsi="宋体" w:eastAsia="宋体" w:cs="宋体"/>
          <w:sz w:val="17"/>
          <w:szCs w:val="17"/>
        </w:rPr>
      </w:pPr>
      <w:r>
        <w:rPr>
          <w:rFonts w:ascii="宋体" w:hAnsi="宋体" w:eastAsia="宋体" w:cs="宋体"/>
          <w:spacing w:val="-1"/>
          <w:sz w:val="17"/>
          <w:szCs w:val="17"/>
        </w:rPr>
        <w:t>2、技能测试电路的调试与检测</w:t>
      </w:r>
    </w:p>
    <w:p w14:paraId="395E53F2">
      <w:pPr>
        <w:spacing w:before="97" w:line="219" w:lineRule="auto"/>
        <w:ind w:left="500"/>
        <w:rPr>
          <w:rFonts w:ascii="宋体" w:hAnsi="宋体" w:eastAsia="宋体" w:cs="宋体"/>
          <w:sz w:val="17"/>
          <w:szCs w:val="17"/>
        </w:rPr>
      </w:pPr>
      <w:r>
        <w:rPr>
          <w:rFonts w:ascii="宋体" w:hAnsi="宋体" w:eastAsia="宋体" w:cs="宋体"/>
          <w:spacing w:val="5"/>
          <w:sz w:val="17"/>
          <w:szCs w:val="17"/>
        </w:rPr>
        <w:t>(1)放大电路静态工作点的调试与测量。</w:t>
      </w:r>
    </w:p>
    <w:p w14:paraId="0B69017E">
      <w:pPr>
        <w:spacing w:before="89" w:line="263" w:lineRule="auto"/>
        <w:ind w:left="415" w:right="2175" w:firstLine="85"/>
        <w:rPr>
          <w:rFonts w:ascii="宋体" w:hAnsi="宋体" w:eastAsia="宋体" w:cs="宋体"/>
          <w:sz w:val="17"/>
          <w:szCs w:val="17"/>
        </w:rPr>
      </w:pPr>
      <w:r>
        <w:rPr>
          <w:rFonts w:ascii="宋体" w:hAnsi="宋体" w:eastAsia="宋体" w:cs="宋体"/>
          <w:spacing w:val="7"/>
          <w:sz w:val="17"/>
          <w:szCs w:val="17"/>
        </w:rPr>
        <w:t>(2)测量电压放大倍数。</w:t>
      </w:r>
      <w:r>
        <w:rPr>
          <w:rFonts w:ascii="宋体" w:hAnsi="宋体" w:eastAsia="宋体" w:cs="宋体"/>
          <w:spacing w:val="4"/>
          <w:sz w:val="17"/>
          <w:szCs w:val="17"/>
        </w:rPr>
        <w:t xml:space="preserve"> </w:t>
      </w:r>
      <w:r>
        <w:rPr>
          <w:rFonts w:ascii="宋体" w:hAnsi="宋体" w:eastAsia="宋体" w:cs="宋体"/>
          <w:spacing w:val="6"/>
          <w:sz w:val="17"/>
          <w:szCs w:val="17"/>
        </w:rPr>
        <w:t>【测试方法】</w:t>
      </w:r>
    </w:p>
    <w:p w14:paraId="530A464A">
      <w:pPr>
        <w:spacing w:before="86" w:line="267" w:lineRule="auto"/>
        <w:ind w:right="343" w:firstLine="440"/>
        <w:rPr>
          <w:rFonts w:ascii="宋体" w:hAnsi="宋体" w:eastAsia="宋体" w:cs="宋体"/>
          <w:sz w:val="17"/>
          <w:szCs w:val="17"/>
        </w:rPr>
      </w:pPr>
      <w:r>
        <w:rPr>
          <w:rFonts w:ascii="宋体" w:hAnsi="宋体" w:eastAsia="宋体" w:cs="宋体"/>
          <w:spacing w:val="5"/>
          <w:sz w:val="17"/>
          <w:szCs w:val="17"/>
        </w:rPr>
        <w:t>1、使用双踪示波器按最大不失真输出为依据测量</w:t>
      </w:r>
      <w:r>
        <w:rPr>
          <w:rFonts w:ascii="宋体" w:hAnsi="宋体" w:eastAsia="宋体" w:cs="宋体"/>
          <w:sz w:val="17"/>
          <w:szCs w:val="17"/>
        </w:rPr>
        <w:t xml:space="preserve"> </w:t>
      </w:r>
      <w:r>
        <w:rPr>
          <w:rFonts w:ascii="宋体" w:hAnsi="宋体" w:eastAsia="宋体" w:cs="宋体"/>
          <w:spacing w:val="-4"/>
          <w:sz w:val="17"/>
          <w:szCs w:val="17"/>
        </w:rPr>
        <w:t>输入、输出波形。</w:t>
      </w:r>
    </w:p>
    <w:p w14:paraId="05C9982D">
      <w:pPr>
        <w:spacing w:before="97" w:line="219" w:lineRule="auto"/>
        <w:ind w:left="440"/>
        <w:rPr>
          <w:rFonts w:ascii="宋体" w:hAnsi="宋体" w:eastAsia="宋体" w:cs="宋体"/>
          <w:sz w:val="17"/>
          <w:szCs w:val="17"/>
        </w:rPr>
      </w:pPr>
      <w:r>
        <w:rPr>
          <w:rFonts w:ascii="宋体" w:hAnsi="宋体" w:eastAsia="宋体" w:cs="宋体"/>
          <w:spacing w:val="-5"/>
          <w:sz w:val="17"/>
          <w:szCs w:val="17"/>
        </w:rPr>
        <w:t>2、使用万用表电压档测量电路静态工作点的参数。</w:t>
      </w:r>
    </w:p>
    <w:p w14:paraId="4728FF93">
      <w:pPr>
        <w:spacing w:before="89" w:line="219" w:lineRule="auto"/>
        <w:ind w:left="440"/>
        <w:rPr>
          <w:rFonts w:ascii="宋体" w:hAnsi="宋体" w:eastAsia="宋体" w:cs="宋体"/>
          <w:sz w:val="17"/>
          <w:szCs w:val="17"/>
        </w:rPr>
      </w:pPr>
      <w:r>
        <w:rPr>
          <w:rFonts w:ascii="宋体" w:hAnsi="宋体" w:eastAsia="宋体" w:cs="宋体"/>
          <w:spacing w:val="-1"/>
          <w:sz w:val="17"/>
          <w:szCs w:val="17"/>
        </w:rPr>
        <w:t>3、使用双踪示波器分别测量</w:t>
      </w:r>
    </w:p>
    <w:p w14:paraId="7ECCE459">
      <w:pPr>
        <w:spacing w:before="70" w:line="212" w:lineRule="auto"/>
        <w:ind w:left="500"/>
        <w:rPr>
          <w:rFonts w:ascii="宋体" w:hAnsi="宋体" w:eastAsia="宋体" w:cs="宋体"/>
          <w:sz w:val="17"/>
          <w:szCs w:val="17"/>
        </w:rPr>
      </w:pPr>
      <w:r>
        <w:rPr>
          <w:rFonts w:ascii="宋体" w:hAnsi="宋体" w:eastAsia="宋体" w:cs="宋体"/>
          <w:spacing w:val="3"/>
          <w:sz w:val="17"/>
          <w:szCs w:val="17"/>
        </w:rPr>
        <w:t>(1)电路接入负载电阻</w:t>
      </w:r>
      <w:r>
        <w:rPr>
          <w:rFonts w:ascii="宋体" w:hAnsi="宋体" w:eastAsia="宋体" w:cs="宋体"/>
          <w:spacing w:val="-13"/>
          <w:sz w:val="17"/>
          <w:szCs w:val="17"/>
        </w:rPr>
        <w:t xml:space="preserve"> </w:t>
      </w:r>
      <w:r>
        <w:rPr>
          <w:rFonts w:ascii="Times New Roman" w:hAnsi="Times New Roman" w:eastAsia="Times New Roman" w:cs="Times New Roman"/>
          <w:spacing w:val="3"/>
          <w:sz w:val="17"/>
          <w:szCs w:val="17"/>
        </w:rPr>
        <w:t>(</w:t>
      </w:r>
      <w:r>
        <w:rPr>
          <w:rFonts w:ascii="Times New Roman" w:hAnsi="Times New Roman" w:eastAsia="Times New Roman" w:cs="Times New Roman"/>
          <w:sz w:val="17"/>
          <w:szCs w:val="17"/>
        </w:rPr>
        <w:t>RL</w:t>
      </w:r>
      <w:r>
        <w:rPr>
          <w:rFonts w:ascii="Times New Roman" w:hAnsi="Times New Roman" w:eastAsia="Times New Roman" w:cs="Times New Roman"/>
          <w:spacing w:val="3"/>
          <w:sz w:val="17"/>
          <w:szCs w:val="17"/>
        </w:rPr>
        <w:t xml:space="preserve">=2.4kΩ)        </w:t>
      </w:r>
      <w:r>
        <w:rPr>
          <w:rFonts w:ascii="宋体" w:hAnsi="宋体" w:eastAsia="宋体" w:cs="宋体"/>
          <w:spacing w:val="3"/>
          <w:sz w:val="17"/>
          <w:szCs w:val="17"/>
        </w:rPr>
        <w:t>时</w:t>
      </w:r>
      <w:r>
        <w:rPr>
          <w:rFonts w:ascii="宋体" w:hAnsi="宋体" w:eastAsia="宋体" w:cs="宋体"/>
          <w:spacing w:val="-41"/>
          <w:sz w:val="17"/>
          <w:szCs w:val="17"/>
        </w:rPr>
        <w:t xml:space="preserve"> </w:t>
      </w:r>
      <w:r>
        <w:rPr>
          <w:rFonts w:ascii="宋体" w:hAnsi="宋体" w:eastAsia="宋体" w:cs="宋体"/>
          <w:spacing w:val="3"/>
          <w:sz w:val="17"/>
          <w:szCs w:val="17"/>
        </w:rPr>
        <w:t>。</w:t>
      </w:r>
    </w:p>
    <w:p w14:paraId="2F6E201A">
      <w:pPr>
        <w:spacing w:before="102" w:line="273" w:lineRule="auto"/>
        <w:ind w:right="365" w:firstLine="500"/>
        <w:rPr>
          <w:rFonts w:ascii="宋体" w:hAnsi="宋体" w:eastAsia="宋体" w:cs="宋体"/>
          <w:sz w:val="17"/>
          <w:szCs w:val="17"/>
        </w:rPr>
      </w:pPr>
      <w:r>
        <w:rPr>
          <w:rFonts w:ascii="宋体" w:hAnsi="宋体" w:eastAsia="宋体" w:cs="宋体"/>
          <w:spacing w:val="1"/>
          <w:sz w:val="17"/>
          <w:szCs w:val="17"/>
        </w:rPr>
        <w:t>(2)电路没有接入负载电阻时的输入、输出波形，</w:t>
      </w:r>
      <w:r>
        <w:rPr>
          <w:rFonts w:ascii="宋体" w:hAnsi="宋体" w:eastAsia="宋体" w:cs="宋体"/>
          <w:spacing w:val="5"/>
          <w:sz w:val="17"/>
          <w:szCs w:val="17"/>
        </w:rPr>
        <w:t xml:space="preserve"> </w:t>
      </w:r>
      <w:r>
        <w:rPr>
          <w:rFonts w:ascii="宋体" w:hAnsi="宋体" w:eastAsia="宋体" w:cs="宋体"/>
          <w:spacing w:val="-2"/>
          <w:sz w:val="17"/>
          <w:szCs w:val="17"/>
        </w:rPr>
        <w:t>根据波形参数求出电压放大倍数。</w:t>
      </w:r>
    </w:p>
    <w:p w14:paraId="03A75863">
      <w:pPr>
        <w:spacing w:before="90" w:line="221" w:lineRule="auto"/>
        <w:ind w:left="415"/>
        <w:rPr>
          <w:rFonts w:ascii="宋体" w:hAnsi="宋体" w:eastAsia="宋体" w:cs="宋体"/>
          <w:sz w:val="17"/>
          <w:szCs w:val="17"/>
        </w:rPr>
      </w:pPr>
      <w:r>
        <w:rPr>
          <w:rFonts w:ascii="宋体" w:hAnsi="宋体" w:eastAsia="宋体" w:cs="宋体"/>
          <w:spacing w:val="6"/>
          <w:sz w:val="17"/>
          <w:szCs w:val="17"/>
        </w:rPr>
        <w:t>【测试要求】</w:t>
      </w:r>
    </w:p>
    <w:p w14:paraId="74B1D0E3">
      <w:pPr>
        <w:spacing w:before="86" w:line="220" w:lineRule="auto"/>
        <w:ind w:left="440"/>
        <w:rPr>
          <w:rFonts w:ascii="宋体" w:hAnsi="宋体" w:eastAsia="宋体" w:cs="宋体"/>
          <w:sz w:val="17"/>
          <w:szCs w:val="17"/>
        </w:rPr>
      </w:pPr>
      <w:r>
        <w:rPr>
          <w:rFonts w:ascii="宋体" w:hAnsi="宋体" w:eastAsia="宋体" w:cs="宋体"/>
          <w:spacing w:val="5"/>
          <w:sz w:val="17"/>
          <w:szCs w:val="17"/>
        </w:rPr>
        <w:t>1、测试时间100分钟。</w:t>
      </w:r>
    </w:p>
    <w:p w14:paraId="33078488">
      <w:pPr>
        <w:spacing w:before="87" w:line="219" w:lineRule="auto"/>
        <w:ind w:left="440"/>
        <w:rPr>
          <w:rFonts w:ascii="宋体" w:hAnsi="宋体" w:eastAsia="宋体" w:cs="宋体"/>
          <w:sz w:val="17"/>
          <w:szCs w:val="17"/>
        </w:rPr>
      </w:pPr>
      <w:r>
        <w:rPr>
          <w:rFonts w:ascii="宋体" w:hAnsi="宋体" w:eastAsia="宋体" w:cs="宋体"/>
          <w:spacing w:val="-1"/>
          <w:sz w:val="17"/>
          <w:szCs w:val="17"/>
        </w:rPr>
        <w:t>2、画出电路最大不失真输出时输入、输出波形。</w:t>
      </w:r>
    </w:p>
    <w:p w14:paraId="20586A09">
      <w:pPr>
        <w:spacing w:before="78" w:line="267" w:lineRule="auto"/>
        <w:ind w:right="342" w:firstLine="440"/>
        <w:rPr>
          <w:rFonts w:ascii="宋体" w:hAnsi="宋体" w:eastAsia="宋体" w:cs="宋体"/>
          <w:sz w:val="17"/>
          <w:szCs w:val="17"/>
        </w:rPr>
      </w:pPr>
      <w:r>
        <w:rPr>
          <w:rFonts w:ascii="宋体" w:hAnsi="宋体" w:eastAsia="宋体" w:cs="宋体"/>
          <w:spacing w:val="5"/>
          <w:sz w:val="17"/>
          <w:szCs w:val="17"/>
        </w:rPr>
        <w:t>3、绘制表格填写测量出的静态工作点及电压放大</w:t>
      </w:r>
      <w:r>
        <w:rPr>
          <w:rFonts w:ascii="宋体" w:hAnsi="宋体" w:eastAsia="宋体" w:cs="宋体"/>
          <w:spacing w:val="1"/>
          <w:sz w:val="17"/>
          <w:szCs w:val="17"/>
        </w:rPr>
        <w:t xml:space="preserve"> </w:t>
      </w:r>
      <w:r>
        <w:rPr>
          <w:rFonts w:ascii="宋体" w:hAnsi="宋体" w:eastAsia="宋体" w:cs="宋体"/>
          <w:sz w:val="17"/>
          <w:szCs w:val="17"/>
        </w:rPr>
        <w:t>倍数的数值。</w:t>
      </w:r>
    </w:p>
    <w:p w14:paraId="76C7E5AD">
      <w:pPr>
        <w:spacing w:before="88" w:line="219" w:lineRule="auto"/>
        <w:ind w:left="415"/>
        <w:rPr>
          <w:rFonts w:ascii="宋体" w:hAnsi="宋体" w:eastAsia="宋体" w:cs="宋体"/>
          <w:sz w:val="17"/>
          <w:szCs w:val="17"/>
        </w:rPr>
      </w:pPr>
      <w:r>
        <w:rPr>
          <w:rFonts w:ascii="宋体" w:hAnsi="宋体" w:eastAsia="宋体" w:cs="宋体"/>
          <w:spacing w:val="6"/>
          <w:sz w:val="17"/>
          <w:szCs w:val="17"/>
        </w:rPr>
        <w:t>【赋分参考】</w:t>
      </w:r>
    </w:p>
    <w:p w14:paraId="42E31985">
      <w:pPr>
        <w:spacing w:before="89" w:line="219" w:lineRule="auto"/>
        <w:ind w:left="440"/>
        <w:rPr>
          <w:rFonts w:ascii="宋体" w:hAnsi="宋体" w:eastAsia="宋体" w:cs="宋体"/>
          <w:sz w:val="17"/>
          <w:szCs w:val="17"/>
        </w:rPr>
      </w:pPr>
      <w:r>
        <w:rPr>
          <w:rFonts w:ascii="宋体" w:hAnsi="宋体" w:eastAsia="宋体" w:cs="宋体"/>
          <w:spacing w:val="11"/>
          <w:sz w:val="17"/>
          <w:szCs w:val="17"/>
        </w:rPr>
        <w:t>1、元器件成型及装配(20分)。</w:t>
      </w:r>
    </w:p>
    <w:p w14:paraId="0474536A">
      <w:pPr>
        <w:spacing w:before="98" w:line="219" w:lineRule="auto"/>
        <w:ind w:left="440"/>
        <w:rPr>
          <w:rFonts w:ascii="宋体" w:hAnsi="宋体" w:eastAsia="宋体" w:cs="宋体"/>
          <w:sz w:val="17"/>
          <w:szCs w:val="17"/>
        </w:rPr>
      </w:pPr>
      <w:r>
        <w:rPr>
          <w:rFonts w:ascii="宋体" w:hAnsi="宋体" w:eastAsia="宋体" w:cs="宋体"/>
          <w:spacing w:val="-1"/>
          <w:sz w:val="17"/>
          <w:szCs w:val="17"/>
        </w:rPr>
        <w:t>2、技能测试电路的调试与检测</w:t>
      </w:r>
    </w:p>
    <w:p w14:paraId="24424B78">
      <w:pPr>
        <w:spacing w:before="87" w:line="219" w:lineRule="auto"/>
        <w:ind w:left="500"/>
        <w:rPr>
          <w:rFonts w:ascii="宋体" w:hAnsi="宋体" w:eastAsia="宋体" w:cs="宋体"/>
          <w:sz w:val="17"/>
          <w:szCs w:val="17"/>
        </w:rPr>
      </w:pPr>
      <w:r>
        <w:rPr>
          <w:rFonts w:ascii="宋体" w:hAnsi="宋体" w:eastAsia="宋体" w:cs="宋体"/>
          <w:spacing w:val="5"/>
          <w:sz w:val="17"/>
          <w:szCs w:val="17"/>
        </w:rPr>
        <w:t>(1)放大电路静态工作点的测量与调试。</w:t>
      </w:r>
    </w:p>
    <w:p w14:paraId="251E8B0A">
      <w:pPr>
        <w:spacing w:before="78" w:line="274" w:lineRule="auto"/>
        <w:ind w:left="130" w:right="313" w:firstLine="309"/>
        <w:rPr>
          <w:rFonts w:ascii="宋体" w:hAnsi="宋体" w:eastAsia="宋体" w:cs="宋体"/>
          <w:sz w:val="17"/>
          <w:szCs w:val="17"/>
        </w:rPr>
      </w:pPr>
      <w:r>
        <w:rPr>
          <w:rFonts w:ascii="宋体" w:hAnsi="宋体" w:eastAsia="宋体" w:cs="宋体"/>
          <w:spacing w:val="2"/>
          <w:sz w:val="17"/>
          <w:szCs w:val="17"/>
        </w:rPr>
        <w:t>①按最大不失真输出为依据进行静态工作点的调试</w:t>
      </w:r>
      <w:r>
        <w:rPr>
          <w:rFonts w:ascii="宋体" w:hAnsi="宋体" w:eastAsia="宋体" w:cs="宋体"/>
          <w:spacing w:val="11"/>
          <w:sz w:val="17"/>
          <w:szCs w:val="17"/>
        </w:rPr>
        <w:t xml:space="preserve"> </w:t>
      </w:r>
      <w:r>
        <w:rPr>
          <w:rFonts w:ascii="宋体" w:hAnsi="宋体" w:eastAsia="宋体" w:cs="宋体"/>
          <w:spacing w:val="18"/>
          <w:sz w:val="17"/>
          <w:szCs w:val="17"/>
        </w:rPr>
        <w:t>(100分)。</w:t>
      </w:r>
    </w:p>
    <w:p w14:paraId="23F0D6A4">
      <w:pPr>
        <w:spacing w:before="85" w:line="217" w:lineRule="auto"/>
        <w:ind w:left="440"/>
        <w:rPr>
          <w:rFonts w:ascii="宋体" w:hAnsi="宋体" w:eastAsia="宋体" w:cs="宋体"/>
          <w:sz w:val="17"/>
          <w:szCs w:val="17"/>
        </w:rPr>
      </w:pPr>
      <w:r>
        <w:rPr>
          <w:rFonts w:ascii="宋体" w:hAnsi="宋体" w:eastAsia="宋体" w:cs="宋体"/>
          <w:spacing w:val="13"/>
          <w:sz w:val="17"/>
          <w:szCs w:val="17"/>
        </w:rPr>
        <w:t>②测量静态工作点(30分)。</w:t>
      </w:r>
    </w:p>
    <w:p w14:paraId="3BB47174">
      <w:pPr>
        <w:spacing w:before="92" w:line="219" w:lineRule="auto"/>
        <w:ind w:left="500"/>
        <w:rPr>
          <w:rFonts w:ascii="宋体" w:hAnsi="宋体" w:eastAsia="宋体" w:cs="宋体"/>
          <w:sz w:val="17"/>
          <w:szCs w:val="17"/>
        </w:rPr>
      </w:pPr>
      <w:r>
        <w:rPr>
          <w:rFonts w:ascii="宋体" w:hAnsi="宋体" w:eastAsia="宋体" w:cs="宋体"/>
          <w:spacing w:val="7"/>
          <w:sz w:val="17"/>
          <w:szCs w:val="17"/>
        </w:rPr>
        <w:t>(2)测量电压放大倍数。</w:t>
      </w:r>
    </w:p>
    <w:p w14:paraId="3125C9CD">
      <w:pPr>
        <w:spacing w:before="77" w:line="217" w:lineRule="auto"/>
        <w:ind w:left="440"/>
        <w:rPr>
          <w:rFonts w:ascii="宋体" w:hAnsi="宋体" w:eastAsia="宋体" w:cs="宋体"/>
          <w:sz w:val="17"/>
          <w:szCs w:val="17"/>
        </w:rPr>
      </w:pPr>
      <w:r>
        <w:rPr>
          <w:rFonts w:ascii="宋体" w:hAnsi="宋体" w:eastAsia="宋体" w:cs="宋体"/>
          <w:spacing w:val="-5"/>
          <w:sz w:val="17"/>
          <w:szCs w:val="17"/>
        </w:rPr>
        <w:t>①电路接入负载电阻(RL=24kΩ)</w:t>
      </w:r>
      <w:r>
        <w:rPr>
          <w:rFonts w:ascii="宋体" w:hAnsi="宋体" w:eastAsia="宋体" w:cs="宋体"/>
          <w:spacing w:val="52"/>
          <w:sz w:val="17"/>
          <w:szCs w:val="17"/>
        </w:rPr>
        <w:t xml:space="preserve"> </w:t>
      </w:r>
      <w:r>
        <w:rPr>
          <w:rFonts w:ascii="宋体" w:hAnsi="宋体" w:eastAsia="宋体" w:cs="宋体"/>
          <w:spacing w:val="-5"/>
          <w:sz w:val="17"/>
          <w:szCs w:val="17"/>
        </w:rPr>
        <w:t>时放大</w:t>
      </w:r>
      <w:r>
        <w:rPr>
          <w:rFonts w:ascii="宋体" w:hAnsi="宋体" w:eastAsia="宋体" w:cs="宋体"/>
          <w:spacing w:val="-6"/>
          <w:sz w:val="17"/>
          <w:szCs w:val="17"/>
        </w:rPr>
        <w:t>倍数(35分)。</w:t>
      </w:r>
    </w:p>
    <w:p w14:paraId="1037CA32">
      <w:pPr>
        <w:spacing w:before="100" w:line="217" w:lineRule="auto"/>
        <w:ind w:left="440"/>
        <w:rPr>
          <w:rFonts w:ascii="宋体" w:hAnsi="宋体" w:eastAsia="宋体" w:cs="宋体"/>
          <w:sz w:val="17"/>
          <w:szCs w:val="17"/>
        </w:rPr>
      </w:pPr>
      <w:r>
        <w:rPr>
          <w:rFonts w:ascii="宋体" w:hAnsi="宋体" w:eastAsia="宋体" w:cs="宋体"/>
          <w:spacing w:val="9"/>
          <w:sz w:val="17"/>
          <w:szCs w:val="17"/>
        </w:rPr>
        <w:t>②电路没有接入负载电阻时放大倍数(35分)。</w:t>
      </w:r>
    </w:p>
    <w:p w14:paraId="464A655F">
      <w:pPr>
        <w:spacing w:before="92" w:line="220" w:lineRule="auto"/>
        <w:ind w:left="440"/>
        <w:rPr>
          <w:rFonts w:ascii="宋体" w:hAnsi="宋体" w:eastAsia="宋体" w:cs="宋体"/>
          <w:sz w:val="17"/>
          <w:szCs w:val="17"/>
        </w:rPr>
      </w:pPr>
      <w:r>
        <w:rPr>
          <w:rFonts w:ascii="宋体" w:hAnsi="宋体" w:eastAsia="宋体" w:cs="宋体"/>
          <w:spacing w:val="16"/>
          <w:sz w:val="17"/>
          <w:szCs w:val="17"/>
        </w:rPr>
        <w:t>3、安全清洁(30分)。</w:t>
      </w:r>
    </w:p>
    <w:p w14:paraId="1BE26746">
      <w:pPr>
        <w:pStyle w:val="2"/>
        <w:spacing w:line="289" w:lineRule="auto"/>
      </w:pPr>
    </w:p>
    <w:p w14:paraId="07C766F8">
      <w:pPr>
        <w:spacing w:before="76" w:line="219" w:lineRule="auto"/>
        <w:ind w:left="783"/>
        <w:rPr>
          <w:rFonts w:ascii="宋体" w:hAnsi="宋体" w:eastAsia="宋体" w:cs="宋体"/>
          <w:sz w:val="23"/>
          <w:szCs w:val="23"/>
        </w:rPr>
      </w:pPr>
      <w:r>
        <w:rPr>
          <w:rFonts w:ascii="宋体" w:hAnsi="宋体" w:eastAsia="宋体" w:cs="宋体"/>
          <w:b/>
          <w:bCs/>
          <w:spacing w:val="-4"/>
          <w:sz w:val="23"/>
          <w:szCs w:val="23"/>
        </w:rPr>
        <w:t>项目五</w:t>
      </w:r>
      <w:r>
        <w:rPr>
          <w:rFonts w:ascii="宋体" w:hAnsi="宋体" w:eastAsia="宋体" w:cs="宋体"/>
          <w:spacing w:val="-4"/>
          <w:sz w:val="23"/>
          <w:szCs w:val="23"/>
        </w:rPr>
        <w:t xml:space="preserve">  </w:t>
      </w:r>
      <w:r>
        <w:rPr>
          <w:rFonts w:ascii="宋体" w:hAnsi="宋体" w:eastAsia="宋体" w:cs="宋体"/>
          <w:b/>
          <w:bCs/>
          <w:spacing w:val="-4"/>
          <w:sz w:val="23"/>
          <w:szCs w:val="23"/>
        </w:rPr>
        <w:t>共集电极放大电路</w:t>
      </w:r>
    </w:p>
    <w:p w14:paraId="3F68D370">
      <w:pPr>
        <w:pStyle w:val="2"/>
        <w:spacing w:line="262" w:lineRule="auto"/>
      </w:pPr>
    </w:p>
    <w:p w14:paraId="36825870">
      <w:pPr>
        <w:spacing w:before="56" w:line="184" w:lineRule="auto"/>
        <w:ind w:left="415"/>
        <w:rPr>
          <w:rFonts w:ascii="宋体" w:hAnsi="宋体" w:eastAsia="宋体" w:cs="宋体"/>
          <w:sz w:val="17"/>
          <w:szCs w:val="17"/>
        </w:rPr>
      </w:pPr>
      <w:r>
        <w:rPr>
          <w:rFonts w:ascii="宋体" w:hAnsi="宋体" w:eastAsia="宋体" w:cs="宋体"/>
          <w:spacing w:val="6"/>
          <w:sz w:val="17"/>
          <w:szCs w:val="17"/>
        </w:rPr>
        <w:t>【测试用具】</w:t>
      </w:r>
    </w:p>
    <w:p w14:paraId="169F7A57">
      <w:pPr>
        <w:pStyle w:val="2"/>
        <w:spacing w:line="14" w:lineRule="auto"/>
        <w:rPr>
          <w:sz w:val="2"/>
        </w:rPr>
      </w:pPr>
      <w:r>
        <w:rPr>
          <w:sz w:val="2"/>
          <w:szCs w:val="2"/>
        </w:rPr>
        <w:br w:type="column"/>
      </w:r>
    </w:p>
    <w:p w14:paraId="130B26C9">
      <w:pPr>
        <w:spacing w:before="10" w:line="220" w:lineRule="auto"/>
        <w:ind w:left="379"/>
        <w:rPr>
          <w:rFonts w:ascii="宋体" w:hAnsi="宋体" w:eastAsia="宋体" w:cs="宋体"/>
          <w:sz w:val="17"/>
          <w:szCs w:val="17"/>
        </w:rPr>
      </w:pPr>
      <w:r>
        <w:rPr>
          <w:rFonts w:ascii="宋体" w:hAnsi="宋体" w:eastAsia="宋体" w:cs="宋体"/>
          <w:spacing w:val="7"/>
          <w:sz w:val="17"/>
          <w:szCs w:val="17"/>
        </w:rPr>
        <w:t>1、双踪示波器1台。</w:t>
      </w:r>
    </w:p>
    <w:p w14:paraId="07D7D989">
      <w:pPr>
        <w:spacing w:before="77" w:line="219" w:lineRule="auto"/>
        <w:ind w:left="379"/>
        <w:rPr>
          <w:rFonts w:ascii="宋体" w:hAnsi="宋体" w:eastAsia="宋体" w:cs="宋体"/>
          <w:sz w:val="17"/>
          <w:szCs w:val="17"/>
        </w:rPr>
      </w:pPr>
      <w:r>
        <w:rPr>
          <w:rFonts w:ascii="宋体" w:hAnsi="宋体" w:eastAsia="宋体" w:cs="宋体"/>
          <w:spacing w:val="7"/>
          <w:sz w:val="17"/>
          <w:szCs w:val="17"/>
        </w:rPr>
        <w:t>2、信号发生器1台。</w:t>
      </w:r>
    </w:p>
    <w:p w14:paraId="6AFF8175">
      <w:pPr>
        <w:spacing w:before="88" w:line="220" w:lineRule="auto"/>
        <w:ind w:left="379"/>
        <w:rPr>
          <w:rFonts w:ascii="宋体" w:hAnsi="宋体" w:eastAsia="宋体" w:cs="宋体"/>
          <w:sz w:val="17"/>
          <w:szCs w:val="17"/>
        </w:rPr>
      </w:pPr>
      <w:r>
        <w:rPr>
          <w:rFonts w:ascii="宋体" w:hAnsi="宋体" w:eastAsia="宋体" w:cs="宋体"/>
          <w:spacing w:val="9"/>
          <w:sz w:val="17"/>
          <w:szCs w:val="17"/>
        </w:rPr>
        <w:t>3、万用表1只。</w:t>
      </w:r>
    </w:p>
    <w:p w14:paraId="72540558">
      <w:pPr>
        <w:spacing w:before="95" w:line="219" w:lineRule="auto"/>
        <w:ind w:left="379"/>
        <w:rPr>
          <w:rFonts w:ascii="宋体" w:hAnsi="宋体" w:eastAsia="宋体" w:cs="宋体"/>
          <w:sz w:val="17"/>
          <w:szCs w:val="17"/>
        </w:rPr>
      </w:pPr>
      <w:r>
        <w:rPr>
          <w:rFonts w:ascii="宋体" w:hAnsi="宋体" w:eastAsia="宋体" w:cs="宋体"/>
          <w:spacing w:val="6"/>
          <w:sz w:val="17"/>
          <w:szCs w:val="17"/>
        </w:rPr>
        <w:t>4、晶体管毫伏表1台。</w:t>
      </w:r>
    </w:p>
    <w:p w14:paraId="4ACF783D">
      <w:pPr>
        <w:spacing w:before="90" w:line="219" w:lineRule="auto"/>
        <w:ind w:left="379"/>
        <w:rPr>
          <w:rFonts w:ascii="宋体" w:hAnsi="宋体" w:eastAsia="宋体" w:cs="宋体"/>
          <w:sz w:val="17"/>
          <w:szCs w:val="17"/>
        </w:rPr>
      </w:pPr>
      <w:r>
        <w:rPr>
          <w:rFonts w:ascii="宋体" w:hAnsi="宋体" w:eastAsia="宋体" w:cs="宋体"/>
          <w:spacing w:val="6"/>
          <w:sz w:val="17"/>
          <w:szCs w:val="17"/>
        </w:rPr>
        <w:t>5、直流稳压电源1台。</w:t>
      </w:r>
    </w:p>
    <w:p w14:paraId="2FA286C0">
      <w:pPr>
        <w:spacing w:before="78" w:line="219" w:lineRule="auto"/>
        <w:ind w:left="379"/>
        <w:rPr>
          <w:rFonts w:ascii="宋体" w:hAnsi="宋体" w:eastAsia="宋体" w:cs="宋体"/>
          <w:sz w:val="17"/>
          <w:szCs w:val="17"/>
        </w:rPr>
      </w:pPr>
      <w:r>
        <w:rPr>
          <w:rFonts w:ascii="宋体" w:hAnsi="宋体" w:eastAsia="宋体" w:cs="宋体"/>
          <w:spacing w:val="7"/>
          <w:sz w:val="17"/>
          <w:szCs w:val="17"/>
        </w:rPr>
        <w:t>6、直流电流表1个。</w:t>
      </w:r>
    </w:p>
    <w:p w14:paraId="392C062F">
      <w:pPr>
        <w:spacing w:before="88" w:line="267" w:lineRule="auto"/>
        <w:ind w:left="354" w:right="1835" w:firstLine="24"/>
        <w:rPr>
          <w:rFonts w:ascii="宋体" w:hAnsi="宋体" w:eastAsia="宋体" w:cs="宋体"/>
          <w:sz w:val="17"/>
          <w:szCs w:val="17"/>
        </w:rPr>
      </w:pPr>
      <w:r>
        <w:rPr>
          <w:rFonts w:ascii="宋体" w:hAnsi="宋体" w:eastAsia="宋体" w:cs="宋体"/>
          <w:spacing w:val="5"/>
          <w:sz w:val="17"/>
          <w:szCs w:val="17"/>
        </w:rPr>
        <w:t>7、集成电路实验板1块。</w:t>
      </w:r>
      <w:r>
        <w:rPr>
          <w:rFonts w:ascii="宋体" w:hAnsi="宋体" w:eastAsia="宋体" w:cs="宋体"/>
          <w:spacing w:val="4"/>
          <w:sz w:val="17"/>
          <w:szCs w:val="17"/>
        </w:rPr>
        <w:t xml:space="preserve"> </w:t>
      </w:r>
      <w:r>
        <w:rPr>
          <w:rFonts w:ascii="宋体" w:hAnsi="宋体" w:eastAsia="宋体" w:cs="宋体"/>
          <w:spacing w:val="8"/>
          <w:sz w:val="17"/>
          <w:szCs w:val="17"/>
        </w:rPr>
        <w:t>【测试内容】</w:t>
      </w:r>
    </w:p>
    <w:p w14:paraId="0A2888A6">
      <w:pPr>
        <w:spacing w:before="99" w:line="219" w:lineRule="auto"/>
        <w:ind w:left="379"/>
        <w:rPr>
          <w:rFonts w:ascii="宋体" w:hAnsi="宋体" w:eastAsia="宋体" w:cs="宋体"/>
          <w:sz w:val="17"/>
          <w:szCs w:val="17"/>
        </w:rPr>
      </w:pPr>
      <w:r>
        <w:rPr>
          <w:rFonts w:ascii="宋体" w:hAnsi="宋体" w:eastAsia="宋体" w:cs="宋体"/>
          <w:spacing w:val="-2"/>
          <w:sz w:val="17"/>
          <w:szCs w:val="17"/>
        </w:rPr>
        <w:t>1、技能测试电路的装配。</w:t>
      </w:r>
    </w:p>
    <w:p w14:paraId="16346287">
      <w:pPr>
        <w:spacing w:before="78" w:line="219" w:lineRule="auto"/>
        <w:ind w:left="379"/>
        <w:rPr>
          <w:rFonts w:ascii="宋体" w:hAnsi="宋体" w:eastAsia="宋体" w:cs="宋体"/>
          <w:sz w:val="17"/>
          <w:szCs w:val="17"/>
        </w:rPr>
      </w:pPr>
      <w:r>
        <w:rPr>
          <w:rFonts w:ascii="宋体" w:hAnsi="宋体" w:eastAsia="宋体" w:cs="宋体"/>
          <w:sz w:val="17"/>
          <w:szCs w:val="17"/>
        </w:rPr>
        <w:t>2、技能测试电路的调试与检测</w:t>
      </w:r>
    </w:p>
    <w:p w14:paraId="7391DA8C">
      <w:pPr>
        <w:spacing w:before="97" w:line="219" w:lineRule="auto"/>
        <w:ind w:left="439"/>
        <w:rPr>
          <w:rFonts w:ascii="宋体" w:hAnsi="宋体" w:eastAsia="宋体" w:cs="宋体"/>
          <w:sz w:val="17"/>
          <w:szCs w:val="17"/>
        </w:rPr>
      </w:pPr>
      <w:r>
        <w:rPr>
          <w:rFonts w:ascii="宋体" w:hAnsi="宋体" w:eastAsia="宋体" w:cs="宋体"/>
          <w:spacing w:val="4"/>
          <w:sz w:val="17"/>
          <w:szCs w:val="17"/>
        </w:rPr>
        <w:t>(1)放大电路静态工作点的调试与测量。</w:t>
      </w:r>
    </w:p>
    <w:p w14:paraId="747680FC">
      <w:pPr>
        <w:spacing w:before="89" w:line="269" w:lineRule="auto"/>
        <w:ind w:left="354" w:right="1835" w:firstLine="85"/>
        <w:rPr>
          <w:rFonts w:ascii="宋体" w:hAnsi="宋体" w:eastAsia="宋体" w:cs="宋体"/>
          <w:sz w:val="17"/>
          <w:szCs w:val="17"/>
        </w:rPr>
      </w:pPr>
      <w:r>
        <w:rPr>
          <w:rFonts w:ascii="宋体" w:hAnsi="宋体" w:eastAsia="宋体" w:cs="宋体"/>
          <w:spacing w:val="7"/>
          <w:sz w:val="17"/>
          <w:szCs w:val="17"/>
        </w:rPr>
        <w:t>(2)测量电压放大倍数。</w:t>
      </w:r>
      <w:r>
        <w:rPr>
          <w:rFonts w:ascii="宋体" w:hAnsi="宋体" w:eastAsia="宋体" w:cs="宋体"/>
          <w:spacing w:val="4"/>
          <w:sz w:val="17"/>
          <w:szCs w:val="17"/>
        </w:rPr>
        <w:t xml:space="preserve"> </w:t>
      </w:r>
      <w:r>
        <w:rPr>
          <w:rFonts w:ascii="宋体" w:hAnsi="宋体" w:eastAsia="宋体" w:cs="宋体"/>
          <w:spacing w:val="8"/>
          <w:sz w:val="17"/>
          <w:szCs w:val="17"/>
        </w:rPr>
        <w:t>【测试方法】</w:t>
      </w:r>
    </w:p>
    <w:p w14:paraId="107CF785">
      <w:pPr>
        <w:spacing w:before="74" w:line="273" w:lineRule="auto"/>
        <w:ind w:right="4" w:firstLine="379"/>
        <w:rPr>
          <w:rFonts w:ascii="宋体" w:hAnsi="宋体" w:eastAsia="宋体" w:cs="宋体"/>
          <w:sz w:val="17"/>
          <w:szCs w:val="17"/>
        </w:rPr>
      </w:pPr>
      <w:r>
        <w:rPr>
          <w:rFonts w:ascii="宋体" w:hAnsi="宋体" w:eastAsia="宋体" w:cs="宋体"/>
          <w:spacing w:val="5"/>
          <w:sz w:val="17"/>
          <w:szCs w:val="17"/>
        </w:rPr>
        <w:t>1、使用双踪示波器按最大不失真输出为依据测量</w:t>
      </w:r>
      <w:r>
        <w:rPr>
          <w:rFonts w:ascii="宋体" w:hAnsi="宋体" w:eastAsia="宋体" w:cs="宋体"/>
          <w:sz w:val="17"/>
          <w:szCs w:val="17"/>
        </w:rPr>
        <w:t xml:space="preserve"> </w:t>
      </w:r>
      <w:r>
        <w:rPr>
          <w:rFonts w:ascii="宋体" w:hAnsi="宋体" w:eastAsia="宋体" w:cs="宋体"/>
          <w:spacing w:val="-4"/>
          <w:sz w:val="17"/>
          <w:szCs w:val="17"/>
        </w:rPr>
        <w:t>输入、输出波形。</w:t>
      </w:r>
    </w:p>
    <w:p w14:paraId="3551C7D4">
      <w:pPr>
        <w:spacing w:before="87" w:line="219" w:lineRule="auto"/>
        <w:ind w:left="379"/>
        <w:rPr>
          <w:rFonts w:ascii="宋体" w:hAnsi="宋体" w:eastAsia="宋体" w:cs="宋体"/>
          <w:sz w:val="17"/>
          <w:szCs w:val="17"/>
        </w:rPr>
      </w:pPr>
      <w:r>
        <w:rPr>
          <w:rFonts w:ascii="宋体" w:hAnsi="宋体" w:eastAsia="宋体" w:cs="宋体"/>
          <w:spacing w:val="-5"/>
          <w:sz w:val="17"/>
          <w:szCs w:val="17"/>
        </w:rPr>
        <w:t>2、使用万用表电压档测量电路静态工作点的参数。</w:t>
      </w:r>
    </w:p>
    <w:p w14:paraId="3FECE7AB">
      <w:pPr>
        <w:spacing w:before="80" w:line="219" w:lineRule="auto"/>
        <w:ind w:left="379"/>
        <w:rPr>
          <w:rFonts w:ascii="宋体" w:hAnsi="宋体" w:eastAsia="宋体" w:cs="宋体"/>
          <w:sz w:val="17"/>
          <w:szCs w:val="17"/>
        </w:rPr>
      </w:pPr>
      <w:r>
        <w:rPr>
          <w:rFonts w:ascii="宋体" w:hAnsi="宋体" w:eastAsia="宋体" w:cs="宋体"/>
          <w:spacing w:val="-1"/>
          <w:sz w:val="17"/>
          <w:szCs w:val="17"/>
        </w:rPr>
        <w:t>3、使用双踪示波器分别测量。</w:t>
      </w:r>
    </w:p>
    <w:p w14:paraId="4E390A42">
      <w:pPr>
        <w:spacing w:before="79" w:line="212" w:lineRule="auto"/>
        <w:ind w:left="439"/>
        <w:rPr>
          <w:rFonts w:ascii="宋体" w:hAnsi="宋体" w:eastAsia="宋体" w:cs="宋体"/>
          <w:sz w:val="17"/>
          <w:szCs w:val="17"/>
        </w:rPr>
      </w:pPr>
      <w:r>
        <w:rPr>
          <w:rFonts w:ascii="宋体" w:hAnsi="宋体" w:eastAsia="宋体" w:cs="宋体"/>
          <w:spacing w:val="3"/>
          <w:sz w:val="17"/>
          <w:szCs w:val="17"/>
        </w:rPr>
        <w:t>(1)电路接入负载电阻</w:t>
      </w:r>
      <w:r>
        <w:rPr>
          <w:rFonts w:ascii="宋体" w:hAnsi="宋体" w:eastAsia="宋体" w:cs="宋体"/>
          <w:spacing w:val="-33"/>
          <w:sz w:val="17"/>
          <w:szCs w:val="17"/>
        </w:rPr>
        <w:t xml:space="preserve"> </w:t>
      </w:r>
      <w:r>
        <w:rPr>
          <w:rFonts w:ascii="Times New Roman" w:hAnsi="Times New Roman" w:eastAsia="Times New Roman" w:cs="Times New Roman"/>
          <w:spacing w:val="3"/>
          <w:sz w:val="17"/>
          <w:szCs w:val="17"/>
        </w:rPr>
        <w:t>(</w:t>
      </w:r>
      <w:r>
        <w:rPr>
          <w:rFonts w:ascii="Times New Roman" w:hAnsi="Times New Roman" w:eastAsia="Times New Roman" w:cs="Times New Roman"/>
          <w:sz w:val="17"/>
          <w:szCs w:val="17"/>
        </w:rPr>
        <w:t>RL</w:t>
      </w:r>
      <w:r>
        <w:rPr>
          <w:rFonts w:ascii="Times New Roman" w:hAnsi="Times New Roman" w:eastAsia="Times New Roman" w:cs="Times New Roman"/>
          <w:spacing w:val="3"/>
          <w:sz w:val="17"/>
          <w:szCs w:val="17"/>
        </w:rPr>
        <w:t xml:space="preserve">=2.4kΩ)        </w:t>
      </w:r>
      <w:r>
        <w:rPr>
          <w:rFonts w:ascii="宋体" w:hAnsi="宋体" w:eastAsia="宋体" w:cs="宋体"/>
          <w:spacing w:val="3"/>
          <w:sz w:val="17"/>
          <w:szCs w:val="17"/>
        </w:rPr>
        <w:t>时</w:t>
      </w:r>
      <w:r>
        <w:rPr>
          <w:rFonts w:ascii="宋体" w:hAnsi="宋体" w:eastAsia="宋体" w:cs="宋体"/>
          <w:spacing w:val="-41"/>
          <w:sz w:val="17"/>
          <w:szCs w:val="17"/>
        </w:rPr>
        <w:t xml:space="preserve"> </w:t>
      </w:r>
      <w:r>
        <w:rPr>
          <w:rFonts w:ascii="宋体" w:hAnsi="宋体" w:eastAsia="宋体" w:cs="宋体"/>
          <w:spacing w:val="3"/>
          <w:sz w:val="17"/>
          <w:szCs w:val="17"/>
        </w:rPr>
        <w:t>。</w:t>
      </w:r>
    </w:p>
    <w:p w14:paraId="1B273F13">
      <w:pPr>
        <w:spacing w:before="124" w:line="256" w:lineRule="auto"/>
        <w:ind w:right="25" w:firstLine="439"/>
        <w:rPr>
          <w:rFonts w:ascii="宋体" w:hAnsi="宋体" w:eastAsia="宋体" w:cs="宋体"/>
          <w:sz w:val="17"/>
          <w:szCs w:val="17"/>
        </w:rPr>
      </w:pPr>
      <w:r>
        <w:rPr>
          <w:rFonts w:ascii="宋体" w:hAnsi="宋体" w:eastAsia="宋体" w:cs="宋体"/>
          <w:spacing w:val="1"/>
          <w:sz w:val="17"/>
          <w:szCs w:val="17"/>
        </w:rPr>
        <w:t>(2)电路没有接入负载电阻时的输入、输出波形，</w:t>
      </w:r>
      <w:r>
        <w:rPr>
          <w:rFonts w:ascii="宋体" w:hAnsi="宋体" w:eastAsia="宋体" w:cs="宋体"/>
          <w:spacing w:val="5"/>
          <w:sz w:val="17"/>
          <w:szCs w:val="17"/>
        </w:rPr>
        <w:t xml:space="preserve"> </w:t>
      </w:r>
      <w:r>
        <w:rPr>
          <w:rFonts w:ascii="宋体" w:hAnsi="宋体" w:eastAsia="宋体" w:cs="宋体"/>
          <w:spacing w:val="-2"/>
          <w:sz w:val="17"/>
          <w:szCs w:val="17"/>
        </w:rPr>
        <w:t>根据波形参数求出电压放大倍数。</w:t>
      </w:r>
    </w:p>
    <w:p w14:paraId="2A8674C7">
      <w:pPr>
        <w:spacing w:before="89" w:line="221" w:lineRule="auto"/>
        <w:ind w:left="354"/>
        <w:rPr>
          <w:rFonts w:ascii="宋体" w:hAnsi="宋体" w:eastAsia="宋体" w:cs="宋体"/>
          <w:sz w:val="17"/>
          <w:szCs w:val="17"/>
        </w:rPr>
      </w:pPr>
      <w:r>
        <w:rPr>
          <w:rFonts w:ascii="宋体" w:hAnsi="宋体" w:eastAsia="宋体" w:cs="宋体"/>
          <w:spacing w:val="8"/>
          <w:sz w:val="17"/>
          <w:szCs w:val="17"/>
        </w:rPr>
        <w:t>【测试要求】</w:t>
      </w:r>
    </w:p>
    <w:p w14:paraId="696649B6">
      <w:pPr>
        <w:spacing w:before="96" w:line="220" w:lineRule="auto"/>
        <w:ind w:left="379"/>
        <w:rPr>
          <w:rFonts w:ascii="宋体" w:hAnsi="宋体" w:eastAsia="宋体" w:cs="宋体"/>
          <w:sz w:val="17"/>
          <w:szCs w:val="17"/>
        </w:rPr>
      </w:pPr>
      <w:r>
        <w:rPr>
          <w:rFonts w:ascii="宋体" w:hAnsi="宋体" w:eastAsia="宋体" w:cs="宋体"/>
          <w:spacing w:val="5"/>
          <w:sz w:val="17"/>
          <w:szCs w:val="17"/>
        </w:rPr>
        <w:t>1、测试时间90分钟。</w:t>
      </w:r>
    </w:p>
    <w:p w14:paraId="1A9460AF">
      <w:pPr>
        <w:spacing w:before="78" w:line="219" w:lineRule="auto"/>
        <w:ind w:left="379"/>
        <w:rPr>
          <w:rFonts w:ascii="宋体" w:hAnsi="宋体" w:eastAsia="宋体" w:cs="宋体"/>
          <w:sz w:val="17"/>
          <w:szCs w:val="17"/>
        </w:rPr>
      </w:pPr>
      <w:r>
        <w:rPr>
          <w:rFonts w:ascii="宋体" w:hAnsi="宋体" w:eastAsia="宋体" w:cs="宋体"/>
          <w:spacing w:val="-1"/>
          <w:sz w:val="17"/>
          <w:szCs w:val="17"/>
        </w:rPr>
        <w:t>2、画出电路最大不失真输出时输入、输出波形。</w:t>
      </w:r>
    </w:p>
    <w:p w14:paraId="53D7D469">
      <w:pPr>
        <w:spacing w:before="88" w:line="267" w:lineRule="auto"/>
        <w:ind w:right="2" w:firstLine="379"/>
        <w:rPr>
          <w:rFonts w:ascii="宋体" w:hAnsi="宋体" w:eastAsia="宋体" w:cs="宋体"/>
          <w:sz w:val="17"/>
          <w:szCs w:val="17"/>
        </w:rPr>
      </w:pPr>
      <w:r>
        <w:rPr>
          <w:rFonts w:ascii="宋体" w:hAnsi="宋体" w:eastAsia="宋体" w:cs="宋体"/>
          <w:spacing w:val="5"/>
          <w:sz w:val="17"/>
          <w:szCs w:val="17"/>
        </w:rPr>
        <w:t>3、绘制表格填写测量出的静态工作点及电压放大</w:t>
      </w:r>
      <w:r>
        <w:rPr>
          <w:rFonts w:ascii="宋体" w:hAnsi="宋体" w:eastAsia="宋体" w:cs="宋体"/>
          <w:spacing w:val="1"/>
          <w:sz w:val="17"/>
          <w:szCs w:val="17"/>
        </w:rPr>
        <w:t xml:space="preserve"> </w:t>
      </w:r>
      <w:r>
        <w:rPr>
          <w:rFonts w:ascii="宋体" w:hAnsi="宋体" w:eastAsia="宋体" w:cs="宋体"/>
          <w:sz w:val="17"/>
          <w:szCs w:val="17"/>
        </w:rPr>
        <w:t>倍数的数值。</w:t>
      </w:r>
    </w:p>
    <w:p w14:paraId="403378BB">
      <w:pPr>
        <w:spacing w:before="98" w:line="219" w:lineRule="auto"/>
        <w:ind w:left="354"/>
        <w:rPr>
          <w:rFonts w:ascii="宋体" w:hAnsi="宋体" w:eastAsia="宋体" w:cs="宋体"/>
          <w:sz w:val="17"/>
          <w:szCs w:val="17"/>
        </w:rPr>
      </w:pPr>
      <w:r>
        <w:rPr>
          <w:rFonts w:ascii="宋体" w:hAnsi="宋体" w:eastAsia="宋体" w:cs="宋体"/>
          <w:spacing w:val="8"/>
          <w:sz w:val="17"/>
          <w:szCs w:val="17"/>
        </w:rPr>
        <w:t>【赋分参考】</w:t>
      </w:r>
    </w:p>
    <w:p w14:paraId="4133C577">
      <w:pPr>
        <w:spacing w:before="78" w:line="219" w:lineRule="auto"/>
        <w:ind w:left="379"/>
        <w:rPr>
          <w:rFonts w:ascii="宋体" w:hAnsi="宋体" w:eastAsia="宋体" w:cs="宋体"/>
          <w:sz w:val="17"/>
          <w:szCs w:val="17"/>
        </w:rPr>
      </w:pPr>
      <w:r>
        <w:rPr>
          <w:rFonts w:ascii="宋体" w:hAnsi="宋体" w:eastAsia="宋体" w:cs="宋体"/>
          <w:spacing w:val="11"/>
          <w:sz w:val="17"/>
          <w:szCs w:val="17"/>
        </w:rPr>
        <w:t>1、元器件成型及装配(20分)。</w:t>
      </w:r>
    </w:p>
    <w:p w14:paraId="33942A31">
      <w:pPr>
        <w:spacing w:before="99" w:line="219" w:lineRule="auto"/>
        <w:ind w:left="379"/>
        <w:rPr>
          <w:rFonts w:ascii="宋体" w:hAnsi="宋体" w:eastAsia="宋体" w:cs="宋体"/>
          <w:sz w:val="17"/>
          <w:szCs w:val="17"/>
        </w:rPr>
      </w:pPr>
      <w:r>
        <w:rPr>
          <w:rFonts w:ascii="宋体" w:hAnsi="宋体" w:eastAsia="宋体" w:cs="宋体"/>
          <w:spacing w:val="-1"/>
          <w:sz w:val="17"/>
          <w:szCs w:val="17"/>
        </w:rPr>
        <w:t>2、技能测试电路的调试与检测。</w:t>
      </w:r>
    </w:p>
    <w:p w14:paraId="41C708FC">
      <w:pPr>
        <w:spacing w:before="77" w:line="219" w:lineRule="auto"/>
        <w:ind w:left="439"/>
        <w:rPr>
          <w:rFonts w:ascii="宋体" w:hAnsi="宋体" w:eastAsia="宋体" w:cs="宋体"/>
          <w:sz w:val="17"/>
          <w:szCs w:val="17"/>
        </w:rPr>
      </w:pPr>
      <w:r>
        <w:rPr>
          <w:rFonts w:ascii="宋体" w:hAnsi="宋体" w:eastAsia="宋体" w:cs="宋体"/>
          <w:spacing w:val="4"/>
          <w:sz w:val="17"/>
          <w:szCs w:val="17"/>
        </w:rPr>
        <w:t>(1)放大电路静态工作点的测量与调试。</w:t>
      </w:r>
    </w:p>
    <w:p w14:paraId="5C38096A">
      <w:pPr>
        <w:spacing w:before="87" w:line="269" w:lineRule="auto"/>
        <w:ind w:left="89" w:right="4" w:firstLine="289"/>
        <w:rPr>
          <w:rFonts w:ascii="宋体" w:hAnsi="宋体" w:eastAsia="宋体" w:cs="宋体"/>
          <w:sz w:val="17"/>
          <w:szCs w:val="17"/>
        </w:rPr>
      </w:pPr>
      <w:r>
        <w:rPr>
          <w:rFonts w:ascii="宋体" w:hAnsi="宋体" w:eastAsia="宋体" w:cs="宋体"/>
          <w:spacing w:val="1"/>
          <w:sz w:val="17"/>
          <w:szCs w:val="17"/>
        </w:rPr>
        <w:t>①按最大不失真输出为依据进行静态工作点的调试</w:t>
      </w:r>
      <w:r>
        <w:rPr>
          <w:rFonts w:ascii="宋体" w:hAnsi="宋体" w:eastAsia="宋体" w:cs="宋体"/>
          <w:spacing w:val="3"/>
          <w:sz w:val="17"/>
          <w:szCs w:val="17"/>
        </w:rPr>
        <w:t xml:space="preserve"> </w:t>
      </w:r>
      <w:r>
        <w:rPr>
          <w:rFonts w:ascii="宋体" w:hAnsi="宋体" w:eastAsia="宋体" w:cs="宋体"/>
          <w:spacing w:val="19"/>
          <w:sz w:val="17"/>
          <w:szCs w:val="17"/>
        </w:rPr>
        <w:t>(100分)。</w:t>
      </w:r>
    </w:p>
    <w:p w14:paraId="71732E8E">
      <w:pPr>
        <w:spacing w:before="95" w:line="217" w:lineRule="auto"/>
        <w:ind w:left="379"/>
        <w:rPr>
          <w:rFonts w:ascii="宋体" w:hAnsi="宋体" w:eastAsia="宋体" w:cs="宋体"/>
          <w:sz w:val="17"/>
          <w:szCs w:val="17"/>
        </w:rPr>
      </w:pPr>
      <w:r>
        <w:rPr>
          <w:rFonts w:ascii="宋体" w:hAnsi="宋体" w:eastAsia="宋体" w:cs="宋体"/>
          <w:spacing w:val="13"/>
          <w:sz w:val="17"/>
          <w:szCs w:val="17"/>
        </w:rPr>
        <w:t>②测量静态工作点(30分)。</w:t>
      </w:r>
    </w:p>
    <w:p w14:paraId="5D1AD4EC">
      <w:pPr>
        <w:spacing w:before="82" w:line="219" w:lineRule="auto"/>
        <w:ind w:left="439"/>
        <w:rPr>
          <w:rFonts w:ascii="宋体" w:hAnsi="宋体" w:eastAsia="宋体" w:cs="宋体"/>
          <w:sz w:val="17"/>
          <w:szCs w:val="17"/>
        </w:rPr>
      </w:pPr>
      <w:r>
        <w:rPr>
          <w:rFonts w:ascii="宋体" w:hAnsi="宋体" w:eastAsia="宋体" w:cs="宋体"/>
          <w:spacing w:val="7"/>
          <w:sz w:val="17"/>
          <w:szCs w:val="17"/>
        </w:rPr>
        <w:t>(2)测量电压放大倍数。</w:t>
      </w:r>
    </w:p>
    <w:p w14:paraId="57DC5215">
      <w:pPr>
        <w:spacing w:before="87" w:line="274" w:lineRule="auto"/>
        <w:ind w:firstLine="379"/>
        <w:rPr>
          <w:rFonts w:ascii="宋体" w:hAnsi="宋体" w:eastAsia="宋体" w:cs="宋体"/>
          <w:sz w:val="17"/>
          <w:szCs w:val="17"/>
        </w:rPr>
      </w:pPr>
      <w:r>
        <w:rPr>
          <w:rFonts w:ascii="宋体" w:hAnsi="宋体" w:eastAsia="宋体" w:cs="宋体"/>
          <w:spacing w:val="-1"/>
          <w:sz w:val="17"/>
          <w:szCs w:val="17"/>
        </w:rPr>
        <w:t>①电路接入负载电阻(RL=2.4kΩ)</w:t>
      </w:r>
      <w:r>
        <w:rPr>
          <w:rFonts w:ascii="宋体" w:hAnsi="宋体" w:eastAsia="宋体" w:cs="宋体"/>
          <w:spacing w:val="28"/>
          <w:sz w:val="17"/>
          <w:szCs w:val="17"/>
        </w:rPr>
        <w:t xml:space="preserve">  </w:t>
      </w:r>
      <w:r>
        <w:rPr>
          <w:rFonts w:ascii="宋体" w:hAnsi="宋体" w:eastAsia="宋体" w:cs="宋体"/>
          <w:spacing w:val="-1"/>
          <w:sz w:val="17"/>
          <w:szCs w:val="17"/>
        </w:rPr>
        <w:t>时放大倍数(35</w:t>
      </w:r>
      <w:r>
        <w:rPr>
          <w:rFonts w:ascii="宋体" w:hAnsi="宋体" w:eastAsia="宋体" w:cs="宋体"/>
          <w:sz w:val="17"/>
          <w:szCs w:val="17"/>
        </w:rPr>
        <w:t xml:space="preserve"> </w:t>
      </w:r>
      <w:r>
        <w:rPr>
          <w:rFonts w:ascii="宋体" w:hAnsi="宋体" w:eastAsia="宋体" w:cs="宋体"/>
          <w:spacing w:val="-6"/>
          <w:sz w:val="17"/>
          <w:szCs w:val="17"/>
        </w:rPr>
        <w:t>分</w:t>
      </w:r>
      <w:r>
        <w:rPr>
          <w:rFonts w:ascii="宋体" w:hAnsi="宋体" w:eastAsia="宋体" w:cs="宋体"/>
          <w:spacing w:val="-21"/>
          <w:sz w:val="17"/>
          <w:szCs w:val="17"/>
        </w:rPr>
        <w:t xml:space="preserve"> </w:t>
      </w:r>
      <w:r>
        <w:rPr>
          <w:rFonts w:ascii="宋体" w:hAnsi="宋体" w:eastAsia="宋体" w:cs="宋体"/>
          <w:spacing w:val="-6"/>
          <w:sz w:val="17"/>
          <w:szCs w:val="17"/>
        </w:rPr>
        <w:t>)</w:t>
      </w:r>
      <w:r>
        <w:rPr>
          <w:rFonts w:ascii="宋体" w:hAnsi="宋体" w:eastAsia="宋体" w:cs="宋体"/>
          <w:spacing w:val="-28"/>
          <w:sz w:val="17"/>
          <w:szCs w:val="17"/>
        </w:rPr>
        <w:t xml:space="preserve"> </w:t>
      </w:r>
      <w:r>
        <w:rPr>
          <w:rFonts w:ascii="宋体" w:hAnsi="宋体" w:eastAsia="宋体" w:cs="宋体"/>
          <w:spacing w:val="-6"/>
          <w:sz w:val="17"/>
          <w:szCs w:val="17"/>
        </w:rPr>
        <w:t>。</w:t>
      </w:r>
    </w:p>
    <w:p w14:paraId="00CF3338">
      <w:pPr>
        <w:spacing w:before="75" w:line="217" w:lineRule="auto"/>
        <w:ind w:left="379"/>
        <w:rPr>
          <w:rFonts w:ascii="宋体" w:hAnsi="宋体" w:eastAsia="宋体" w:cs="宋体"/>
          <w:sz w:val="17"/>
          <w:szCs w:val="17"/>
        </w:rPr>
      </w:pPr>
      <w:r>
        <w:rPr>
          <w:rFonts w:ascii="宋体" w:hAnsi="宋体" w:eastAsia="宋体" w:cs="宋体"/>
          <w:spacing w:val="9"/>
          <w:sz w:val="17"/>
          <w:szCs w:val="17"/>
        </w:rPr>
        <w:t>②电路没有接入负载电阻时放大倍数(35分)。</w:t>
      </w:r>
    </w:p>
    <w:p w14:paraId="7017C61E">
      <w:pPr>
        <w:spacing w:before="93" w:line="220" w:lineRule="auto"/>
        <w:ind w:left="379"/>
        <w:rPr>
          <w:rFonts w:ascii="宋体" w:hAnsi="宋体" w:eastAsia="宋体" w:cs="宋体"/>
          <w:sz w:val="17"/>
          <w:szCs w:val="17"/>
        </w:rPr>
      </w:pPr>
      <w:r>
        <w:rPr>
          <w:rFonts w:ascii="宋体" w:hAnsi="宋体" w:eastAsia="宋体" w:cs="宋体"/>
          <w:spacing w:val="15"/>
          <w:sz w:val="17"/>
          <w:szCs w:val="17"/>
        </w:rPr>
        <w:t>3、安全清洁(30分)。</w:t>
      </w:r>
    </w:p>
    <w:p w14:paraId="09BD053F">
      <w:pPr>
        <w:pStyle w:val="2"/>
        <w:spacing w:line="298" w:lineRule="auto"/>
      </w:pPr>
    </w:p>
    <w:p w14:paraId="327A371D">
      <w:pPr>
        <w:spacing w:before="74" w:line="219" w:lineRule="auto"/>
        <w:ind w:left="853"/>
        <w:rPr>
          <w:rFonts w:ascii="宋体" w:hAnsi="宋体" w:eastAsia="宋体" w:cs="宋体"/>
          <w:sz w:val="23"/>
          <w:szCs w:val="23"/>
        </w:rPr>
      </w:pPr>
      <w:r>
        <w:rPr>
          <w:rFonts w:ascii="宋体" w:hAnsi="宋体" w:eastAsia="宋体" w:cs="宋体"/>
          <w:b/>
          <w:bCs/>
          <w:spacing w:val="-5"/>
          <w:sz w:val="23"/>
          <w:szCs w:val="23"/>
        </w:rPr>
        <w:t>项目六</w:t>
      </w:r>
      <w:r>
        <w:rPr>
          <w:rFonts w:ascii="宋体" w:hAnsi="宋体" w:eastAsia="宋体" w:cs="宋体"/>
          <w:spacing w:val="98"/>
          <w:sz w:val="23"/>
          <w:szCs w:val="23"/>
        </w:rPr>
        <w:t xml:space="preserve"> </w:t>
      </w:r>
      <w:r>
        <w:rPr>
          <w:rFonts w:ascii="宋体" w:hAnsi="宋体" w:eastAsia="宋体" w:cs="宋体"/>
          <w:b/>
          <w:bCs/>
          <w:spacing w:val="-5"/>
          <w:sz w:val="23"/>
          <w:szCs w:val="23"/>
        </w:rPr>
        <w:t>正弦波振荡电路</w:t>
      </w:r>
    </w:p>
    <w:p w14:paraId="08116B08">
      <w:pPr>
        <w:pStyle w:val="2"/>
        <w:spacing w:line="253" w:lineRule="auto"/>
      </w:pPr>
    </w:p>
    <w:p w14:paraId="7DEBE130">
      <w:pPr>
        <w:spacing w:before="56" w:line="221" w:lineRule="auto"/>
        <w:ind w:left="354"/>
        <w:rPr>
          <w:rFonts w:ascii="宋体" w:hAnsi="宋体" w:eastAsia="宋体" w:cs="宋体"/>
          <w:sz w:val="17"/>
          <w:szCs w:val="17"/>
        </w:rPr>
      </w:pPr>
      <w:r>
        <w:rPr>
          <w:rFonts w:ascii="宋体" w:hAnsi="宋体" w:eastAsia="宋体" w:cs="宋体"/>
          <w:spacing w:val="8"/>
          <w:sz w:val="17"/>
          <w:szCs w:val="17"/>
        </w:rPr>
        <w:t>【测试用具】</w:t>
      </w:r>
    </w:p>
    <w:p w14:paraId="33CC28EB">
      <w:pPr>
        <w:spacing w:before="86" w:line="220" w:lineRule="auto"/>
        <w:ind w:left="379"/>
        <w:rPr>
          <w:rFonts w:ascii="宋体" w:hAnsi="宋体" w:eastAsia="宋体" w:cs="宋体"/>
          <w:sz w:val="17"/>
          <w:szCs w:val="17"/>
        </w:rPr>
      </w:pPr>
      <w:r>
        <w:rPr>
          <w:rFonts w:ascii="宋体" w:hAnsi="宋体" w:eastAsia="宋体" w:cs="宋体"/>
          <w:spacing w:val="9"/>
          <w:sz w:val="17"/>
          <w:szCs w:val="17"/>
        </w:rPr>
        <w:t>1、双踪示波器1台</w:t>
      </w:r>
    </w:p>
    <w:p w14:paraId="2542D563">
      <w:pPr>
        <w:spacing w:before="87" w:line="197" w:lineRule="auto"/>
        <w:ind w:left="379"/>
        <w:rPr>
          <w:rFonts w:ascii="宋体" w:hAnsi="宋体" w:eastAsia="宋体" w:cs="宋体"/>
          <w:sz w:val="17"/>
          <w:szCs w:val="17"/>
        </w:rPr>
      </w:pPr>
      <w:r>
        <w:rPr>
          <w:rFonts w:ascii="宋体" w:hAnsi="宋体" w:eastAsia="宋体" w:cs="宋体"/>
          <w:spacing w:val="9"/>
          <w:sz w:val="17"/>
          <w:szCs w:val="17"/>
        </w:rPr>
        <w:t>2、信号发生器1台</w:t>
      </w:r>
    </w:p>
    <w:p w14:paraId="33D9D3EB">
      <w:pPr>
        <w:spacing w:line="197" w:lineRule="auto"/>
        <w:rPr>
          <w:rFonts w:ascii="宋体" w:hAnsi="宋体" w:eastAsia="宋体" w:cs="宋体"/>
          <w:sz w:val="17"/>
          <w:szCs w:val="17"/>
        </w:rPr>
        <w:sectPr>
          <w:type w:val="continuous"/>
          <w:pgSz w:w="10660" w:h="15080"/>
          <w:pgMar w:top="400" w:right="1049" w:bottom="898" w:left="809" w:header="0" w:footer="745" w:gutter="0"/>
          <w:cols w:equalWidth="0" w:num="2">
            <w:col w:w="4551" w:space="100"/>
            <w:col w:w="4151"/>
          </w:cols>
        </w:sectPr>
      </w:pPr>
    </w:p>
    <w:p w14:paraId="4F474BCA">
      <w:pPr>
        <w:spacing w:before="6"/>
      </w:pPr>
    </w:p>
    <w:p w14:paraId="67055E10">
      <w:pPr>
        <w:spacing w:before="5"/>
      </w:pPr>
    </w:p>
    <w:p w14:paraId="01E532BD">
      <w:pPr>
        <w:spacing w:before="5"/>
      </w:pPr>
    </w:p>
    <w:p w14:paraId="3D338302">
      <w:pPr>
        <w:spacing w:before="5"/>
      </w:pPr>
    </w:p>
    <w:p w14:paraId="47BD5D53">
      <w:pPr>
        <w:sectPr>
          <w:footerReference r:id="rId115" w:type="default"/>
          <w:pgSz w:w="10660" w:h="15080"/>
          <w:pgMar w:top="400" w:right="900" w:bottom="898" w:left="1010" w:header="0" w:footer="745" w:gutter="0"/>
          <w:cols w:equalWidth="0" w:num="1">
            <w:col w:w="8750"/>
          </w:cols>
        </w:sectPr>
      </w:pPr>
    </w:p>
    <w:p w14:paraId="5998EB09">
      <w:pPr>
        <w:spacing w:before="19" w:line="220" w:lineRule="auto"/>
        <w:ind w:left="370"/>
        <w:rPr>
          <w:rFonts w:ascii="宋体" w:hAnsi="宋体" w:eastAsia="宋体" w:cs="宋体"/>
          <w:sz w:val="17"/>
          <w:szCs w:val="17"/>
        </w:rPr>
      </w:pPr>
      <w:r>
        <w:rPr>
          <w:rFonts w:ascii="宋体" w:hAnsi="宋体" w:eastAsia="宋体" w:cs="宋体"/>
          <w:spacing w:val="13"/>
          <w:sz w:val="17"/>
          <w:szCs w:val="17"/>
        </w:rPr>
        <w:t>3、万用表1只</w:t>
      </w:r>
    </w:p>
    <w:p w14:paraId="1EA4C5B3">
      <w:pPr>
        <w:spacing w:before="85" w:line="219" w:lineRule="auto"/>
        <w:ind w:left="370"/>
        <w:rPr>
          <w:rFonts w:ascii="宋体" w:hAnsi="宋体" w:eastAsia="宋体" w:cs="宋体"/>
          <w:sz w:val="17"/>
          <w:szCs w:val="17"/>
        </w:rPr>
      </w:pPr>
      <w:r>
        <w:rPr>
          <w:rFonts w:ascii="宋体" w:hAnsi="宋体" w:eastAsia="宋体" w:cs="宋体"/>
          <w:spacing w:val="8"/>
          <w:sz w:val="17"/>
          <w:szCs w:val="17"/>
        </w:rPr>
        <w:t>4、晶体管毫伏表1台</w:t>
      </w:r>
    </w:p>
    <w:p w14:paraId="2E9456B1">
      <w:pPr>
        <w:spacing w:before="89" w:line="219" w:lineRule="auto"/>
        <w:ind w:left="370"/>
        <w:rPr>
          <w:rFonts w:ascii="宋体" w:hAnsi="宋体" w:eastAsia="宋体" w:cs="宋体"/>
          <w:sz w:val="17"/>
          <w:szCs w:val="17"/>
        </w:rPr>
      </w:pPr>
      <w:r>
        <w:rPr>
          <w:rFonts w:ascii="宋体" w:hAnsi="宋体" w:eastAsia="宋体" w:cs="宋体"/>
          <w:spacing w:val="8"/>
          <w:sz w:val="17"/>
          <w:szCs w:val="17"/>
        </w:rPr>
        <w:t>5、直流稳压电源1台</w:t>
      </w:r>
    </w:p>
    <w:p w14:paraId="05A69655">
      <w:pPr>
        <w:spacing w:before="99" w:line="219" w:lineRule="auto"/>
        <w:ind w:left="370"/>
        <w:rPr>
          <w:rFonts w:ascii="宋体" w:hAnsi="宋体" w:eastAsia="宋体" w:cs="宋体"/>
          <w:sz w:val="17"/>
          <w:szCs w:val="17"/>
        </w:rPr>
      </w:pPr>
      <w:r>
        <w:rPr>
          <w:rFonts w:ascii="宋体" w:hAnsi="宋体" w:eastAsia="宋体" w:cs="宋体"/>
          <w:spacing w:val="9"/>
          <w:sz w:val="17"/>
          <w:szCs w:val="17"/>
        </w:rPr>
        <w:t>6、直流电流表1个</w:t>
      </w:r>
    </w:p>
    <w:p w14:paraId="09F71982">
      <w:pPr>
        <w:spacing w:before="88" w:line="267" w:lineRule="auto"/>
        <w:ind w:left="285" w:right="2333" w:firstLine="85"/>
        <w:rPr>
          <w:rFonts w:ascii="宋体" w:hAnsi="宋体" w:eastAsia="宋体" w:cs="宋体"/>
          <w:sz w:val="17"/>
          <w:szCs w:val="17"/>
        </w:rPr>
      </w:pPr>
      <w:r>
        <w:rPr>
          <w:rFonts w:ascii="宋体" w:hAnsi="宋体" w:eastAsia="宋体" w:cs="宋体"/>
          <w:spacing w:val="7"/>
          <w:sz w:val="17"/>
          <w:szCs w:val="17"/>
        </w:rPr>
        <w:t>7、集成电路实验板1块</w:t>
      </w:r>
      <w:r>
        <w:rPr>
          <w:rFonts w:ascii="宋体" w:hAnsi="宋体" w:eastAsia="宋体" w:cs="宋体"/>
          <w:spacing w:val="8"/>
          <w:sz w:val="17"/>
          <w:szCs w:val="17"/>
        </w:rPr>
        <w:t xml:space="preserve"> 【测试内容】</w:t>
      </w:r>
    </w:p>
    <w:p w14:paraId="739A086B">
      <w:pPr>
        <w:spacing w:before="78" w:line="219" w:lineRule="auto"/>
        <w:ind w:left="370"/>
        <w:rPr>
          <w:rFonts w:ascii="宋体" w:hAnsi="宋体" w:eastAsia="宋体" w:cs="宋体"/>
          <w:sz w:val="17"/>
          <w:szCs w:val="17"/>
        </w:rPr>
      </w:pPr>
      <w:r>
        <w:rPr>
          <w:rFonts w:ascii="宋体" w:hAnsi="宋体" w:eastAsia="宋体" w:cs="宋体"/>
          <w:spacing w:val="-3"/>
          <w:sz w:val="17"/>
          <w:szCs w:val="17"/>
        </w:rPr>
        <w:t>1、技能测试电路的装配。</w:t>
      </w:r>
    </w:p>
    <w:p w14:paraId="659FE4CB">
      <w:pPr>
        <w:spacing w:before="99" w:line="219" w:lineRule="auto"/>
        <w:ind w:left="370"/>
        <w:rPr>
          <w:rFonts w:ascii="宋体" w:hAnsi="宋体" w:eastAsia="宋体" w:cs="宋体"/>
          <w:sz w:val="17"/>
          <w:szCs w:val="17"/>
        </w:rPr>
      </w:pPr>
      <w:r>
        <w:rPr>
          <w:rFonts w:ascii="宋体" w:hAnsi="宋体" w:eastAsia="宋体" w:cs="宋体"/>
          <w:spacing w:val="-1"/>
          <w:sz w:val="17"/>
          <w:szCs w:val="17"/>
        </w:rPr>
        <w:t>2、技能测试电路的调试与检测</w:t>
      </w:r>
    </w:p>
    <w:p w14:paraId="73C9651D">
      <w:pPr>
        <w:spacing w:before="78" w:line="267" w:lineRule="auto"/>
        <w:ind w:right="358" w:firstLine="449"/>
        <w:rPr>
          <w:rFonts w:ascii="宋体" w:hAnsi="宋体" w:eastAsia="宋体" w:cs="宋体"/>
          <w:sz w:val="17"/>
          <w:szCs w:val="17"/>
        </w:rPr>
      </w:pPr>
      <w:r>
        <w:rPr>
          <w:rFonts w:ascii="宋体" w:hAnsi="宋体" w:eastAsia="宋体" w:cs="宋体"/>
          <w:spacing w:val="6"/>
          <w:sz w:val="17"/>
          <w:szCs w:val="17"/>
        </w:rPr>
        <w:t>(1)测量集成运放μ</w:t>
      </w:r>
      <w:r>
        <w:rPr>
          <w:rFonts w:ascii="Times New Roman" w:hAnsi="Times New Roman" w:eastAsia="Times New Roman" w:cs="Times New Roman"/>
          <w:spacing w:val="6"/>
          <w:sz w:val="17"/>
          <w:szCs w:val="17"/>
        </w:rPr>
        <w:t>A741</w:t>
      </w:r>
      <w:r>
        <w:rPr>
          <w:rFonts w:ascii="宋体" w:hAnsi="宋体" w:eastAsia="宋体" w:cs="宋体"/>
          <w:spacing w:val="6"/>
          <w:sz w:val="17"/>
          <w:szCs w:val="17"/>
        </w:rPr>
        <w:t>构成的正弦波振荡电路</w:t>
      </w:r>
      <w:r>
        <w:rPr>
          <w:rFonts w:ascii="宋体" w:hAnsi="宋体" w:eastAsia="宋体" w:cs="宋体"/>
          <w:spacing w:val="13"/>
          <w:sz w:val="17"/>
          <w:szCs w:val="17"/>
        </w:rPr>
        <w:t xml:space="preserve"> </w:t>
      </w:r>
      <w:r>
        <w:rPr>
          <w:rFonts w:ascii="宋体" w:hAnsi="宋体" w:eastAsia="宋体" w:cs="宋体"/>
          <w:spacing w:val="-3"/>
          <w:sz w:val="17"/>
          <w:szCs w:val="17"/>
        </w:rPr>
        <w:t>的输出波形。</w:t>
      </w:r>
    </w:p>
    <w:p w14:paraId="76A17AC7">
      <w:pPr>
        <w:spacing w:before="98" w:line="263" w:lineRule="auto"/>
        <w:ind w:left="364" w:right="2345" w:firstLine="84"/>
        <w:rPr>
          <w:rFonts w:ascii="宋体" w:hAnsi="宋体" w:eastAsia="宋体" w:cs="宋体"/>
          <w:sz w:val="17"/>
          <w:szCs w:val="17"/>
        </w:rPr>
      </w:pPr>
      <w:r>
        <w:rPr>
          <w:rFonts w:ascii="宋体" w:hAnsi="宋体" w:eastAsia="宋体" w:cs="宋体"/>
          <w:spacing w:val="7"/>
          <w:sz w:val="17"/>
          <w:szCs w:val="17"/>
        </w:rPr>
        <w:t>(2)测量其振荡频率。</w:t>
      </w:r>
      <w:r>
        <w:rPr>
          <w:rFonts w:ascii="宋体" w:hAnsi="宋体" w:eastAsia="宋体" w:cs="宋体"/>
          <w:spacing w:val="1"/>
          <w:sz w:val="17"/>
          <w:szCs w:val="17"/>
        </w:rPr>
        <w:t xml:space="preserve"> </w:t>
      </w:r>
      <w:r>
        <w:rPr>
          <w:rFonts w:ascii="宋体" w:hAnsi="宋体" w:eastAsia="宋体" w:cs="宋体"/>
          <w:spacing w:val="6"/>
          <w:sz w:val="17"/>
          <w:szCs w:val="17"/>
        </w:rPr>
        <w:t>【测试方法】</w:t>
      </w:r>
    </w:p>
    <w:p w14:paraId="7769E3B8">
      <w:pPr>
        <w:spacing w:before="106" w:line="261" w:lineRule="auto"/>
        <w:ind w:right="346" w:firstLine="370"/>
        <w:rPr>
          <w:rFonts w:ascii="宋体" w:hAnsi="宋体" w:eastAsia="宋体" w:cs="宋体"/>
          <w:sz w:val="17"/>
          <w:szCs w:val="17"/>
        </w:rPr>
      </w:pPr>
      <w:r>
        <w:rPr>
          <w:rFonts w:ascii="宋体" w:hAnsi="宋体" w:eastAsia="宋体" w:cs="宋体"/>
          <w:spacing w:val="2"/>
          <w:sz w:val="17"/>
          <w:szCs w:val="17"/>
        </w:rPr>
        <w:t>1、使用双踪示波器测量由集成运放μA741</w:t>
      </w:r>
      <w:r>
        <w:rPr>
          <w:rFonts w:ascii="宋体" w:hAnsi="宋体" w:eastAsia="宋体" w:cs="宋体"/>
          <w:spacing w:val="-13"/>
          <w:sz w:val="17"/>
          <w:szCs w:val="17"/>
        </w:rPr>
        <w:t xml:space="preserve"> </w:t>
      </w:r>
      <w:r>
        <w:rPr>
          <w:rFonts w:ascii="宋体" w:hAnsi="宋体" w:eastAsia="宋体" w:cs="宋体"/>
          <w:spacing w:val="1"/>
          <w:sz w:val="17"/>
          <w:szCs w:val="17"/>
        </w:rPr>
        <w:t>构成的</w:t>
      </w:r>
      <w:r>
        <w:rPr>
          <w:rFonts w:ascii="宋体" w:hAnsi="宋体" w:eastAsia="宋体" w:cs="宋体"/>
          <w:sz w:val="17"/>
          <w:szCs w:val="17"/>
        </w:rPr>
        <w:t xml:space="preserve"> </w:t>
      </w:r>
      <w:r>
        <w:rPr>
          <w:rFonts w:ascii="宋体" w:hAnsi="宋体" w:eastAsia="宋体" w:cs="宋体"/>
          <w:spacing w:val="-3"/>
          <w:sz w:val="17"/>
          <w:szCs w:val="17"/>
        </w:rPr>
        <w:t>正弦波振荡电路的输出波形。</w:t>
      </w:r>
    </w:p>
    <w:p w14:paraId="6829B569">
      <w:pPr>
        <w:spacing w:before="98" w:line="256" w:lineRule="auto"/>
        <w:ind w:right="346" w:firstLine="370"/>
        <w:rPr>
          <w:rFonts w:ascii="宋体" w:hAnsi="宋体" w:eastAsia="宋体" w:cs="宋体"/>
          <w:sz w:val="17"/>
          <w:szCs w:val="17"/>
        </w:rPr>
      </w:pPr>
      <w:r>
        <w:rPr>
          <w:rFonts w:ascii="宋体" w:hAnsi="宋体" w:eastAsia="宋体" w:cs="宋体"/>
          <w:spacing w:val="2"/>
          <w:sz w:val="17"/>
          <w:szCs w:val="17"/>
        </w:rPr>
        <w:t>2、使用双踪示波器测量由集成运放μA741</w:t>
      </w:r>
      <w:r>
        <w:rPr>
          <w:rFonts w:ascii="宋体" w:hAnsi="宋体" w:eastAsia="宋体" w:cs="宋体"/>
          <w:spacing w:val="-13"/>
          <w:sz w:val="17"/>
          <w:szCs w:val="17"/>
        </w:rPr>
        <w:t xml:space="preserve"> </w:t>
      </w:r>
      <w:r>
        <w:rPr>
          <w:rFonts w:ascii="宋体" w:hAnsi="宋体" w:eastAsia="宋体" w:cs="宋体"/>
          <w:spacing w:val="1"/>
          <w:sz w:val="17"/>
          <w:szCs w:val="17"/>
        </w:rPr>
        <w:t>构成的</w:t>
      </w:r>
      <w:r>
        <w:rPr>
          <w:rFonts w:ascii="宋体" w:hAnsi="宋体" w:eastAsia="宋体" w:cs="宋体"/>
          <w:sz w:val="17"/>
          <w:szCs w:val="17"/>
        </w:rPr>
        <w:t xml:space="preserve"> </w:t>
      </w:r>
      <w:r>
        <w:rPr>
          <w:rFonts w:ascii="宋体" w:hAnsi="宋体" w:eastAsia="宋体" w:cs="宋体"/>
          <w:spacing w:val="-2"/>
          <w:sz w:val="17"/>
          <w:szCs w:val="17"/>
        </w:rPr>
        <w:t>正弦波振荡电路输出波形的频率参数。</w:t>
      </w:r>
    </w:p>
    <w:p w14:paraId="7775C5F7">
      <w:pPr>
        <w:spacing w:before="101" w:line="221" w:lineRule="auto"/>
        <w:ind w:left="364"/>
        <w:rPr>
          <w:rFonts w:ascii="宋体" w:hAnsi="宋体" w:eastAsia="宋体" w:cs="宋体"/>
          <w:sz w:val="17"/>
          <w:szCs w:val="17"/>
        </w:rPr>
      </w:pPr>
      <w:r>
        <w:rPr>
          <w:rFonts w:ascii="宋体" w:hAnsi="宋体" w:eastAsia="宋体" w:cs="宋体"/>
          <w:spacing w:val="6"/>
          <w:sz w:val="17"/>
          <w:szCs w:val="17"/>
        </w:rPr>
        <w:t>【测试要求】</w:t>
      </w:r>
    </w:p>
    <w:p w14:paraId="5C356903">
      <w:pPr>
        <w:spacing w:before="86" w:line="220" w:lineRule="auto"/>
        <w:ind w:left="370"/>
        <w:rPr>
          <w:rFonts w:ascii="宋体" w:hAnsi="宋体" w:eastAsia="宋体" w:cs="宋体"/>
          <w:sz w:val="17"/>
          <w:szCs w:val="17"/>
        </w:rPr>
      </w:pPr>
      <w:r>
        <w:rPr>
          <w:rFonts w:ascii="宋体" w:hAnsi="宋体" w:eastAsia="宋体" w:cs="宋体"/>
          <w:spacing w:val="6"/>
          <w:sz w:val="17"/>
          <w:szCs w:val="17"/>
        </w:rPr>
        <w:t>1、测试时间90分钟。</w:t>
      </w:r>
    </w:p>
    <w:p w14:paraId="4A6F8E1A">
      <w:pPr>
        <w:spacing w:before="77" w:line="267" w:lineRule="auto"/>
        <w:ind w:right="346" w:firstLine="370"/>
        <w:rPr>
          <w:rFonts w:ascii="宋体" w:hAnsi="宋体" w:eastAsia="宋体" w:cs="宋体"/>
          <w:sz w:val="17"/>
          <w:szCs w:val="17"/>
        </w:rPr>
      </w:pPr>
      <w:r>
        <w:rPr>
          <w:rFonts w:ascii="宋体" w:hAnsi="宋体" w:eastAsia="宋体" w:cs="宋体"/>
          <w:spacing w:val="2"/>
          <w:sz w:val="17"/>
          <w:szCs w:val="17"/>
        </w:rPr>
        <w:t>2、画出集成运放μA741</w:t>
      </w:r>
      <w:r>
        <w:rPr>
          <w:rFonts w:ascii="宋体" w:hAnsi="宋体" w:eastAsia="宋体" w:cs="宋体"/>
          <w:spacing w:val="-13"/>
          <w:sz w:val="17"/>
          <w:szCs w:val="17"/>
        </w:rPr>
        <w:t xml:space="preserve"> </w:t>
      </w:r>
      <w:r>
        <w:rPr>
          <w:rFonts w:ascii="宋体" w:hAnsi="宋体" w:eastAsia="宋体" w:cs="宋体"/>
          <w:spacing w:val="2"/>
          <w:sz w:val="17"/>
          <w:szCs w:val="17"/>
        </w:rPr>
        <w:t>构成的正弦波振荡</w:t>
      </w:r>
      <w:r>
        <w:rPr>
          <w:rFonts w:ascii="宋体" w:hAnsi="宋体" w:eastAsia="宋体" w:cs="宋体"/>
          <w:spacing w:val="1"/>
          <w:sz w:val="17"/>
          <w:szCs w:val="17"/>
        </w:rPr>
        <w:t>电路的</w:t>
      </w:r>
      <w:r>
        <w:rPr>
          <w:rFonts w:ascii="宋体" w:hAnsi="宋体" w:eastAsia="宋体" w:cs="宋体"/>
          <w:sz w:val="17"/>
          <w:szCs w:val="17"/>
        </w:rPr>
        <w:t xml:space="preserve"> </w:t>
      </w:r>
      <w:r>
        <w:rPr>
          <w:rFonts w:ascii="宋体" w:hAnsi="宋体" w:eastAsia="宋体" w:cs="宋体"/>
          <w:spacing w:val="-1"/>
          <w:sz w:val="17"/>
          <w:szCs w:val="17"/>
        </w:rPr>
        <w:t>输出波形。</w:t>
      </w:r>
    </w:p>
    <w:p w14:paraId="1BC3E932">
      <w:pPr>
        <w:spacing w:before="88" w:line="272" w:lineRule="auto"/>
        <w:ind w:right="368" w:firstLine="370"/>
        <w:rPr>
          <w:rFonts w:ascii="宋体" w:hAnsi="宋体" w:eastAsia="宋体" w:cs="宋体"/>
          <w:sz w:val="17"/>
          <w:szCs w:val="17"/>
        </w:rPr>
      </w:pPr>
      <w:r>
        <w:rPr>
          <w:rFonts w:ascii="宋体" w:hAnsi="宋体" w:eastAsia="宋体" w:cs="宋体"/>
          <w:sz w:val="17"/>
          <w:szCs w:val="17"/>
        </w:rPr>
        <w:t>3、绘制表格填写集成运放μA741 构成的正弦波振</w:t>
      </w:r>
      <w:r>
        <w:rPr>
          <w:rFonts w:ascii="宋体" w:hAnsi="宋体" w:eastAsia="宋体" w:cs="宋体"/>
          <w:spacing w:val="10"/>
          <w:sz w:val="17"/>
          <w:szCs w:val="17"/>
        </w:rPr>
        <w:t xml:space="preserve"> </w:t>
      </w:r>
      <w:r>
        <w:rPr>
          <w:rFonts w:ascii="宋体" w:hAnsi="宋体" w:eastAsia="宋体" w:cs="宋体"/>
          <w:spacing w:val="-3"/>
          <w:sz w:val="17"/>
          <w:szCs w:val="17"/>
        </w:rPr>
        <w:t>荡电路的振荡频率的数值。</w:t>
      </w:r>
    </w:p>
    <w:p w14:paraId="086B83CF">
      <w:pPr>
        <w:spacing w:before="79" w:line="219" w:lineRule="auto"/>
        <w:ind w:left="364"/>
        <w:rPr>
          <w:rFonts w:ascii="宋体" w:hAnsi="宋体" w:eastAsia="宋体" w:cs="宋体"/>
          <w:sz w:val="17"/>
          <w:szCs w:val="17"/>
        </w:rPr>
      </w:pPr>
      <w:r>
        <w:rPr>
          <w:rFonts w:ascii="宋体" w:hAnsi="宋体" w:eastAsia="宋体" w:cs="宋体"/>
          <w:spacing w:val="6"/>
          <w:sz w:val="17"/>
          <w:szCs w:val="17"/>
        </w:rPr>
        <w:t>【赋分参考】</w:t>
      </w:r>
    </w:p>
    <w:p w14:paraId="546A69EC">
      <w:pPr>
        <w:spacing w:before="98" w:line="219" w:lineRule="auto"/>
        <w:ind w:left="370"/>
        <w:rPr>
          <w:rFonts w:ascii="宋体" w:hAnsi="宋体" w:eastAsia="宋体" w:cs="宋体"/>
          <w:sz w:val="17"/>
          <w:szCs w:val="17"/>
        </w:rPr>
      </w:pPr>
      <w:r>
        <w:rPr>
          <w:rFonts w:ascii="宋体" w:hAnsi="宋体" w:eastAsia="宋体" w:cs="宋体"/>
          <w:spacing w:val="11"/>
          <w:sz w:val="17"/>
          <w:szCs w:val="17"/>
        </w:rPr>
        <w:t>1、元器件成型及装配(20分)。</w:t>
      </w:r>
    </w:p>
    <w:p w14:paraId="00A64AC4">
      <w:pPr>
        <w:spacing w:before="89" w:line="219" w:lineRule="auto"/>
        <w:ind w:left="370"/>
        <w:rPr>
          <w:rFonts w:ascii="宋体" w:hAnsi="宋体" w:eastAsia="宋体" w:cs="宋体"/>
          <w:sz w:val="17"/>
          <w:szCs w:val="17"/>
        </w:rPr>
      </w:pPr>
      <w:r>
        <w:rPr>
          <w:rFonts w:ascii="宋体" w:hAnsi="宋体" w:eastAsia="宋体" w:cs="宋体"/>
          <w:spacing w:val="-2"/>
          <w:sz w:val="17"/>
          <w:szCs w:val="17"/>
        </w:rPr>
        <w:t>2、技能测试电路的调试与检测。</w:t>
      </w:r>
    </w:p>
    <w:p w14:paraId="1195880A">
      <w:pPr>
        <w:spacing w:before="98" w:line="257" w:lineRule="auto"/>
        <w:ind w:right="357" w:firstLine="449"/>
        <w:rPr>
          <w:rFonts w:ascii="宋体" w:hAnsi="宋体" w:eastAsia="宋体" w:cs="宋体"/>
          <w:sz w:val="17"/>
          <w:szCs w:val="17"/>
        </w:rPr>
      </w:pPr>
      <w:r>
        <w:rPr>
          <w:rFonts w:ascii="宋体" w:hAnsi="宋体" w:eastAsia="宋体" w:cs="宋体"/>
          <w:spacing w:val="5"/>
          <w:sz w:val="17"/>
          <w:szCs w:val="17"/>
        </w:rPr>
        <w:t>(1)电路起振，用双踪示波器观测输出电压</w:t>
      </w:r>
      <w:r>
        <w:rPr>
          <w:rFonts w:ascii="Times New Roman" w:hAnsi="Times New Roman" w:eastAsia="Times New Roman" w:cs="Times New Roman"/>
          <w:sz w:val="17"/>
          <w:szCs w:val="17"/>
        </w:rPr>
        <w:t>uO</w:t>
      </w:r>
      <w:r>
        <w:rPr>
          <w:rFonts w:ascii="Times New Roman" w:hAnsi="Times New Roman" w:eastAsia="Times New Roman" w:cs="Times New Roman"/>
          <w:spacing w:val="5"/>
          <w:sz w:val="17"/>
          <w:szCs w:val="17"/>
        </w:rPr>
        <w:t xml:space="preserve"> </w:t>
      </w:r>
      <w:r>
        <w:rPr>
          <w:rFonts w:ascii="宋体" w:hAnsi="宋体" w:eastAsia="宋体" w:cs="宋体"/>
          <w:spacing w:val="5"/>
          <w:sz w:val="17"/>
          <w:szCs w:val="17"/>
        </w:rPr>
        <w:t>波</w:t>
      </w:r>
      <w:r>
        <w:rPr>
          <w:rFonts w:ascii="宋体" w:hAnsi="宋体" w:eastAsia="宋体" w:cs="宋体"/>
          <w:spacing w:val="6"/>
          <w:sz w:val="17"/>
          <w:szCs w:val="17"/>
        </w:rPr>
        <w:t xml:space="preserve"> </w:t>
      </w:r>
      <w:r>
        <w:rPr>
          <w:rFonts w:ascii="宋体" w:hAnsi="宋体" w:eastAsia="宋体" w:cs="宋体"/>
          <w:spacing w:val="25"/>
          <w:sz w:val="17"/>
          <w:szCs w:val="17"/>
        </w:rPr>
        <w:t>形(150分)。</w:t>
      </w:r>
    </w:p>
    <w:p w14:paraId="2B9E4194">
      <w:pPr>
        <w:spacing w:before="96" w:line="219" w:lineRule="auto"/>
        <w:ind w:left="449"/>
        <w:rPr>
          <w:rFonts w:ascii="宋体" w:hAnsi="宋体" w:eastAsia="宋体" w:cs="宋体"/>
          <w:sz w:val="17"/>
          <w:szCs w:val="17"/>
        </w:rPr>
      </w:pPr>
      <w:r>
        <w:rPr>
          <w:rFonts w:ascii="宋体" w:hAnsi="宋体" w:eastAsia="宋体" w:cs="宋体"/>
          <w:spacing w:val="4"/>
          <w:sz w:val="17"/>
          <w:szCs w:val="17"/>
        </w:rPr>
        <w:t>(2)测量振荡频率，并与计算值进行比较(50分)。</w:t>
      </w:r>
    </w:p>
    <w:p w14:paraId="228BE79E">
      <w:pPr>
        <w:spacing w:before="90" w:line="220" w:lineRule="auto"/>
        <w:ind w:left="370"/>
        <w:rPr>
          <w:rFonts w:ascii="宋体" w:hAnsi="宋体" w:eastAsia="宋体" w:cs="宋体"/>
          <w:sz w:val="17"/>
          <w:szCs w:val="17"/>
        </w:rPr>
      </w:pPr>
      <w:r>
        <w:rPr>
          <w:rFonts w:ascii="宋体" w:hAnsi="宋体" w:eastAsia="宋体" w:cs="宋体"/>
          <w:spacing w:val="16"/>
          <w:sz w:val="17"/>
          <w:szCs w:val="17"/>
        </w:rPr>
        <w:t>3、安全清洁(30分)。</w:t>
      </w:r>
    </w:p>
    <w:p w14:paraId="2DD6A09F">
      <w:pPr>
        <w:pStyle w:val="2"/>
        <w:spacing w:line="289" w:lineRule="auto"/>
      </w:pPr>
    </w:p>
    <w:p w14:paraId="798D64F6">
      <w:pPr>
        <w:pStyle w:val="2"/>
        <w:spacing w:before="75" w:line="219" w:lineRule="auto"/>
        <w:ind w:left="223"/>
        <w:rPr>
          <w:rFonts w:ascii="宋体" w:hAnsi="宋体" w:eastAsia="宋体" w:cs="宋体"/>
          <w:sz w:val="23"/>
          <w:szCs w:val="23"/>
        </w:rPr>
      </w:pPr>
      <w:r>
        <w:rPr>
          <w:rFonts w:ascii="宋体" w:hAnsi="宋体" w:eastAsia="宋体" w:cs="宋体"/>
          <w:b/>
          <w:bCs/>
          <w:spacing w:val="-4"/>
          <w:sz w:val="23"/>
          <w:szCs w:val="23"/>
        </w:rPr>
        <w:t>项目七</w:t>
      </w:r>
      <w:r>
        <w:rPr>
          <w:rFonts w:ascii="宋体" w:hAnsi="宋体" w:eastAsia="宋体" w:cs="宋体"/>
          <w:spacing w:val="105"/>
          <w:sz w:val="23"/>
          <w:szCs w:val="23"/>
        </w:rPr>
        <w:t xml:space="preserve"> </w:t>
      </w:r>
      <w:r>
        <w:rPr>
          <w:b/>
          <w:bCs/>
          <w:spacing w:val="-4"/>
          <w:sz w:val="23"/>
          <w:szCs w:val="23"/>
        </w:rPr>
        <w:t xml:space="preserve">OTL </w:t>
      </w:r>
      <w:r>
        <w:rPr>
          <w:rFonts w:ascii="宋体" w:hAnsi="宋体" w:eastAsia="宋体" w:cs="宋体"/>
          <w:b/>
          <w:bCs/>
          <w:spacing w:val="-4"/>
          <w:sz w:val="23"/>
          <w:szCs w:val="23"/>
        </w:rPr>
        <w:t>互补对称功率放大电路</w:t>
      </w:r>
    </w:p>
    <w:p w14:paraId="529709D5">
      <w:pPr>
        <w:pStyle w:val="2"/>
        <w:spacing w:line="252" w:lineRule="auto"/>
      </w:pPr>
    </w:p>
    <w:p w14:paraId="063E2358">
      <w:pPr>
        <w:spacing w:before="55" w:line="221" w:lineRule="auto"/>
        <w:ind w:left="364"/>
        <w:rPr>
          <w:rFonts w:ascii="宋体" w:hAnsi="宋体" w:eastAsia="宋体" w:cs="宋体"/>
          <w:sz w:val="17"/>
          <w:szCs w:val="17"/>
        </w:rPr>
      </w:pPr>
      <w:r>
        <w:rPr>
          <w:rFonts w:ascii="宋体" w:hAnsi="宋体" w:eastAsia="宋体" w:cs="宋体"/>
          <w:spacing w:val="6"/>
          <w:sz w:val="17"/>
          <w:szCs w:val="17"/>
        </w:rPr>
        <w:t>【测试用具】</w:t>
      </w:r>
    </w:p>
    <w:p w14:paraId="69739269">
      <w:pPr>
        <w:spacing w:before="96" w:line="220" w:lineRule="auto"/>
        <w:ind w:left="370"/>
        <w:rPr>
          <w:rFonts w:ascii="宋体" w:hAnsi="宋体" w:eastAsia="宋体" w:cs="宋体"/>
          <w:sz w:val="17"/>
          <w:szCs w:val="17"/>
        </w:rPr>
      </w:pPr>
      <w:r>
        <w:rPr>
          <w:rFonts w:ascii="宋体" w:hAnsi="宋体" w:eastAsia="宋体" w:cs="宋体"/>
          <w:spacing w:val="10"/>
          <w:sz w:val="17"/>
          <w:szCs w:val="17"/>
        </w:rPr>
        <w:t>1、双踪示波器1台</w:t>
      </w:r>
    </w:p>
    <w:p w14:paraId="10B6CA75">
      <w:pPr>
        <w:spacing w:before="87" w:line="219" w:lineRule="auto"/>
        <w:ind w:left="370"/>
        <w:rPr>
          <w:rFonts w:ascii="宋体" w:hAnsi="宋体" w:eastAsia="宋体" w:cs="宋体"/>
          <w:sz w:val="17"/>
          <w:szCs w:val="17"/>
        </w:rPr>
      </w:pPr>
      <w:r>
        <w:rPr>
          <w:rFonts w:ascii="宋体" w:hAnsi="宋体" w:eastAsia="宋体" w:cs="宋体"/>
          <w:spacing w:val="10"/>
          <w:sz w:val="17"/>
          <w:szCs w:val="17"/>
        </w:rPr>
        <w:t>2、信号发生器1台</w:t>
      </w:r>
    </w:p>
    <w:p w14:paraId="393E8791">
      <w:pPr>
        <w:spacing w:before="79" w:line="220" w:lineRule="auto"/>
        <w:ind w:left="370"/>
        <w:rPr>
          <w:rFonts w:ascii="宋体" w:hAnsi="宋体" w:eastAsia="宋体" w:cs="宋体"/>
          <w:sz w:val="17"/>
          <w:szCs w:val="17"/>
        </w:rPr>
      </w:pPr>
      <w:r>
        <w:rPr>
          <w:rFonts w:ascii="宋体" w:hAnsi="宋体" w:eastAsia="宋体" w:cs="宋体"/>
          <w:spacing w:val="13"/>
          <w:sz w:val="17"/>
          <w:szCs w:val="17"/>
        </w:rPr>
        <w:t>3、万用表1只</w:t>
      </w:r>
    </w:p>
    <w:p w14:paraId="0E1EB196">
      <w:pPr>
        <w:spacing w:before="86" w:line="219" w:lineRule="auto"/>
        <w:ind w:left="370"/>
        <w:rPr>
          <w:rFonts w:ascii="宋体" w:hAnsi="宋体" w:eastAsia="宋体" w:cs="宋体"/>
          <w:sz w:val="17"/>
          <w:szCs w:val="17"/>
        </w:rPr>
      </w:pPr>
      <w:r>
        <w:rPr>
          <w:rFonts w:ascii="宋体" w:hAnsi="宋体" w:eastAsia="宋体" w:cs="宋体"/>
          <w:spacing w:val="8"/>
          <w:sz w:val="17"/>
          <w:szCs w:val="17"/>
        </w:rPr>
        <w:t>4、晶体管毫伏表1台</w:t>
      </w:r>
    </w:p>
    <w:p w14:paraId="751EA74F">
      <w:pPr>
        <w:spacing w:before="89" w:line="219" w:lineRule="auto"/>
        <w:ind w:left="370"/>
        <w:rPr>
          <w:rFonts w:ascii="宋体" w:hAnsi="宋体" w:eastAsia="宋体" w:cs="宋体"/>
          <w:sz w:val="17"/>
          <w:szCs w:val="17"/>
        </w:rPr>
      </w:pPr>
      <w:r>
        <w:rPr>
          <w:rFonts w:ascii="宋体" w:hAnsi="宋体" w:eastAsia="宋体" w:cs="宋体"/>
          <w:spacing w:val="8"/>
          <w:sz w:val="17"/>
          <w:szCs w:val="17"/>
        </w:rPr>
        <w:t>5、直流稳压电源1台</w:t>
      </w:r>
    </w:p>
    <w:p w14:paraId="4A1FF55A">
      <w:pPr>
        <w:spacing w:before="89" w:line="219" w:lineRule="auto"/>
        <w:ind w:left="370"/>
        <w:rPr>
          <w:rFonts w:ascii="宋体" w:hAnsi="宋体" w:eastAsia="宋体" w:cs="宋体"/>
          <w:sz w:val="17"/>
          <w:szCs w:val="17"/>
        </w:rPr>
      </w:pPr>
      <w:r>
        <w:rPr>
          <w:rFonts w:ascii="宋体" w:hAnsi="宋体" w:eastAsia="宋体" w:cs="宋体"/>
          <w:spacing w:val="9"/>
          <w:sz w:val="17"/>
          <w:szCs w:val="17"/>
        </w:rPr>
        <w:t>6、直流电流表1个</w:t>
      </w:r>
    </w:p>
    <w:p w14:paraId="4FDAD13C">
      <w:pPr>
        <w:spacing w:before="88" w:line="267" w:lineRule="auto"/>
        <w:ind w:left="285" w:right="2333" w:firstLine="85"/>
        <w:rPr>
          <w:rFonts w:ascii="宋体" w:hAnsi="宋体" w:eastAsia="宋体" w:cs="宋体"/>
          <w:sz w:val="17"/>
          <w:szCs w:val="17"/>
        </w:rPr>
      </w:pPr>
      <w:r>
        <w:rPr>
          <w:rFonts w:ascii="宋体" w:hAnsi="宋体" w:eastAsia="宋体" w:cs="宋体"/>
          <w:spacing w:val="7"/>
          <w:sz w:val="17"/>
          <w:szCs w:val="17"/>
        </w:rPr>
        <w:t>7、集成电路实验板1块</w:t>
      </w:r>
      <w:r>
        <w:rPr>
          <w:rFonts w:ascii="宋体" w:hAnsi="宋体" w:eastAsia="宋体" w:cs="宋体"/>
          <w:spacing w:val="8"/>
          <w:sz w:val="17"/>
          <w:szCs w:val="17"/>
        </w:rPr>
        <w:t xml:space="preserve"> 【测试内容】</w:t>
      </w:r>
    </w:p>
    <w:p w14:paraId="2CB7EE7E">
      <w:pPr>
        <w:spacing w:before="98" w:line="219" w:lineRule="auto"/>
        <w:ind w:left="370"/>
        <w:rPr>
          <w:rFonts w:ascii="宋体" w:hAnsi="宋体" w:eastAsia="宋体" w:cs="宋体"/>
          <w:sz w:val="17"/>
          <w:szCs w:val="17"/>
        </w:rPr>
      </w:pPr>
      <w:r>
        <w:rPr>
          <w:rFonts w:ascii="宋体" w:hAnsi="宋体" w:eastAsia="宋体" w:cs="宋体"/>
          <w:spacing w:val="-3"/>
          <w:sz w:val="17"/>
          <w:szCs w:val="17"/>
        </w:rPr>
        <w:t>1、技能测试电路的装配。</w:t>
      </w:r>
    </w:p>
    <w:p w14:paraId="6FB29551">
      <w:pPr>
        <w:spacing w:before="78" w:line="185" w:lineRule="auto"/>
        <w:ind w:left="370"/>
        <w:rPr>
          <w:rFonts w:ascii="宋体" w:hAnsi="宋体" w:eastAsia="宋体" w:cs="宋体"/>
          <w:sz w:val="17"/>
          <w:szCs w:val="17"/>
        </w:rPr>
      </w:pPr>
      <w:r>
        <w:rPr>
          <w:rFonts w:ascii="宋体" w:hAnsi="宋体" w:eastAsia="宋体" w:cs="宋体"/>
          <w:spacing w:val="-1"/>
          <w:sz w:val="17"/>
          <w:szCs w:val="17"/>
        </w:rPr>
        <w:t>2、技能测试电路的调试与检测</w:t>
      </w:r>
    </w:p>
    <w:p w14:paraId="727FB41A">
      <w:pPr>
        <w:pStyle w:val="2"/>
        <w:spacing w:line="14" w:lineRule="auto"/>
        <w:rPr>
          <w:sz w:val="2"/>
        </w:rPr>
      </w:pPr>
      <w:r>
        <w:rPr>
          <w:sz w:val="2"/>
          <w:szCs w:val="2"/>
        </w:rPr>
        <w:br w:type="column"/>
      </w:r>
    </w:p>
    <w:p w14:paraId="49E707E2">
      <w:pPr>
        <w:spacing w:before="1" w:line="283" w:lineRule="auto"/>
        <w:ind w:right="15" w:firstLine="449"/>
        <w:rPr>
          <w:rFonts w:ascii="宋体" w:hAnsi="宋体" w:eastAsia="宋体" w:cs="宋体"/>
          <w:sz w:val="17"/>
          <w:szCs w:val="17"/>
        </w:rPr>
      </w:pPr>
      <w:r>
        <w:rPr>
          <w:rFonts w:ascii="Times New Roman" w:hAnsi="Times New Roman" w:eastAsia="Times New Roman" w:cs="Times New Roman"/>
          <w:spacing w:val="6"/>
          <w:sz w:val="17"/>
          <w:szCs w:val="17"/>
        </w:rPr>
        <w:t>(1)</w:t>
      </w:r>
      <w:r>
        <w:rPr>
          <w:rFonts w:ascii="Times New Roman" w:hAnsi="Times New Roman" w:eastAsia="Times New Roman" w:cs="Times New Roman"/>
          <w:sz w:val="17"/>
          <w:szCs w:val="17"/>
        </w:rPr>
        <w:t>OTL</w:t>
      </w:r>
      <w:r>
        <w:rPr>
          <w:rFonts w:ascii="Times New Roman" w:hAnsi="Times New Roman" w:eastAsia="Times New Roman" w:cs="Times New Roman"/>
          <w:spacing w:val="6"/>
          <w:sz w:val="17"/>
          <w:szCs w:val="17"/>
        </w:rPr>
        <w:t xml:space="preserve">   </w:t>
      </w:r>
      <w:r>
        <w:rPr>
          <w:rFonts w:ascii="宋体" w:hAnsi="宋体" w:eastAsia="宋体" w:cs="宋体"/>
          <w:spacing w:val="6"/>
          <w:sz w:val="17"/>
          <w:szCs w:val="17"/>
        </w:rPr>
        <w:t>互补对称功率放大电路静态工作状态的</w:t>
      </w:r>
      <w:r>
        <w:rPr>
          <w:rFonts w:ascii="宋体" w:hAnsi="宋体" w:eastAsia="宋体" w:cs="宋体"/>
          <w:spacing w:val="8"/>
          <w:sz w:val="17"/>
          <w:szCs w:val="17"/>
        </w:rPr>
        <w:t xml:space="preserve"> </w:t>
      </w:r>
      <w:r>
        <w:rPr>
          <w:rFonts w:ascii="宋体" w:hAnsi="宋体" w:eastAsia="宋体" w:cs="宋体"/>
          <w:spacing w:val="-2"/>
          <w:sz w:val="17"/>
          <w:szCs w:val="17"/>
        </w:rPr>
        <w:t>调试</w:t>
      </w:r>
    </w:p>
    <w:p w14:paraId="66414CF2">
      <w:pPr>
        <w:spacing w:before="73" w:line="216" w:lineRule="auto"/>
        <w:ind w:left="370"/>
        <w:rPr>
          <w:rFonts w:ascii="宋体" w:hAnsi="宋体" w:eastAsia="宋体" w:cs="宋体"/>
          <w:sz w:val="17"/>
          <w:szCs w:val="17"/>
        </w:rPr>
      </w:pPr>
      <w:r>
        <w:rPr>
          <w:rFonts w:ascii="宋体" w:hAnsi="宋体" w:eastAsia="宋体" w:cs="宋体"/>
          <w:spacing w:val="-3"/>
          <w:sz w:val="17"/>
          <w:szCs w:val="17"/>
        </w:rPr>
        <w:t>①调</w:t>
      </w:r>
      <w:r>
        <w:rPr>
          <w:rFonts w:ascii="宋体" w:hAnsi="宋体" w:eastAsia="宋体" w:cs="宋体"/>
          <w:spacing w:val="36"/>
          <w:sz w:val="17"/>
          <w:szCs w:val="17"/>
        </w:rPr>
        <w:t xml:space="preserve"> </w:t>
      </w:r>
      <w:r>
        <w:rPr>
          <w:rFonts w:ascii="宋体" w:hAnsi="宋体" w:eastAsia="宋体" w:cs="宋体"/>
          <w:spacing w:val="-3"/>
          <w:sz w:val="17"/>
          <w:szCs w:val="17"/>
        </w:rPr>
        <w:t>节RW1,  调整输出端中点电位UA。</w:t>
      </w:r>
    </w:p>
    <w:p w14:paraId="3494F9D1">
      <w:pPr>
        <w:spacing w:before="101" w:line="216" w:lineRule="auto"/>
        <w:ind w:left="370"/>
        <w:rPr>
          <w:rFonts w:ascii="宋体" w:hAnsi="宋体" w:eastAsia="宋体" w:cs="宋体"/>
          <w:sz w:val="17"/>
          <w:szCs w:val="17"/>
        </w:rPr>
      </w:pPr>
      <w:r>
        <w:rPr>
          <w:rFonts w:ascii="宋体" w:hAnsi="宋体" w:eastAsia="宋体" w:cs="宋体"/>
          <w:spacing w:val="1"/>
          <w:sz w:val="17"/>
          <w:szCs w:val="17"/>
        </w:rPr>
        <w:t>②调节</w:t>
      </w:r>
      <w:r>
        <w:rPr>
          <w:rFonts w:ascii="宋体" w:hAnsi="宋体" w:eastAsia="宋体" w:cs="宋体"/>
          <w:sz w:val="17"/>
          <w:szCs w:val="17"/>
        </w:rPr>
        <w:t>RW</w:t>
      </w:r>
      <w:r>
        <w:rPr>
          <w:rFonts w:ascii="宋体" w:hAnsi="宋体" w:eastAsia="宋体" w:cs="宋体"/>
          <w:spacing w:val="1"/>
          <w:sz w:val="17"/>
          <w:szCs w:val="17"/>
        </w:rPr>
        <w:t>2,  调整输出级</w:t>
      </w:r>
      <w:r>
        <w:rPr>
          <w:rFonts w:ascii="宋体" w:hAnsi="宋体" w:eastAsia="宋体" w:cs="宋体"/>
          <w:spacing w:val="-24"/>
          <w:sz w:val="17"/>
          <w:szCs w:val="17"/>
        </w:rPr>
        <w:t xml:space="preserve"> </w:t>
      </w:r>
      <w:r>
        <w:rPr>
          <w:rFonts w:ascii="宋体" w:hAnsi="宋体" w:eastAsia="宋体" w:cs="宋体"/>
          <w:sz w:val="17"/>
          <w:szCs w:val="17"/>
        </w:rPr>
        <w:t>VT</w:t>
      </w:r>
      <w:r>
        <w:rPr>
          <w:rFonts w:ascii="宋体" w:hAnsi="宋体" w:eastAsia="宋体" w:cs="宋体"/>
          <w:spacing w:val="1"/>
          <w:sz w:val="17"/>
          <w:szCs w:val="17"/>
        </w:rPr>
        <w:t>2、</w:t>
      </w:r>
      <w:r>
        <w:rPr>
          <w:rFonts w:ascii="宋体" w:hAnsi="宋体" w:eastAsia="宋体" w:cs="宋体"/>
          <w:sz w:val="17"/>
          <w:szCs w:val="17"/>
        </w:rPr>
        <w:t>VT</w:t>
      </w:r>
      <w:r>
        <w:rPr>
          <w:rFonts w:ascii="宋体" w:hAnsi="宋体" w:eastAsia="宋体" w:cs="宋体"/>
          <w:spacing w:val="1"/>
          <w:sz w:val="17"/>
          <w:szCs w:val="17"/>
        </w:rPr>
        <w:t>3</w:t>
      </w:r>
      <w:r>
        <w:rPr>
          <w:rFonts w:ascii="宋体" w:hAnsi="宋体" w:eastAsia="宋体" w:cs="宋体"/>
          <w:spacing w:val="28"/>
          <w:sz w:val="17"/>
          <w:szCs w:val="17"/>
        </w:rPr>
        <w:t xml:space="preserve"> </w:t>
      </w:r>
      <w:r>
        <w:rPr>
          <w:rFonts w:ascii="宋体" w:hAnsi="宋体" w:eastAsia="宋体" w:cs="宋体"/>
          <w:spacing w:val="1"/>
          <w:sz w:val="17"/>
          <w:szCs w:val="17"/>
        </w:rPr>
        <w:t>工作状态。</w:t>
      </w:r>
    </w:p>
    <w:p w14:paraId="5A171DEF">
      <w:pPr>
        <w:spacing w:before="93" w:line="219" w:lineRule="auto"/>
        <w:ind w:left="449"/>
        <w:rPr>
          <w:rFonts w:ascii="宋体" w:hAnsi="宋体" w:eastAsia="宋体" w:cs="宋体"/>
          <w:sz w:val="17"/>
          <w:szCs w:val="17"/>
        </w:rPr>
      </w:pPr>
      <w:r>
        <w:rPr>
          <w:rFonts w:ascii="宋体" w:hAnsi="宋体" w:eastAsia="宋体" w:cs="宋体"/>
          <w:spacing w:val="9"/>
          <w:sz w:val="17"/>
          <w:szCs w:val="17"/>
        </w:rPr>
        <w:t>(2)不同负载下最大输出功率</w:t>
      </w:r>
      <w:r>
        <w:rPr>
          <w:rFonts w:ascii="Times New Roman" w:hAnsi="Times New Roman" w:eastAsia="Times New Roman" w:cs="Times New Roman"/>
          <w:sz w:val="17"/>
          <w:szCs w:val="17"/>
        </w:rPr>
        <w:t>Pom</w:t>
      </w:r>
      <w:r>
        <w:rPr>
          <w:rFonts w:ascii="宋体" w:hAnsi="宋体" w:eastAsia="宋体" w:cs="宋体"/>
          <w:spacing w:val="9"/>
          <w:sz w:val="17"/>
          <w:szCs w:val="17"/>
        </w:rPr>
        <w:t>的测量</w:t>
      </w:r>
    </w:p>
    <w:p w14:paraId="60AE7B57">
      <w:pPr>
        <w:spacing w:before="75" w:line="274" w:lineRule="auto"/>
        <w:ind w:right="18" w:firstLine="370"/>
        <w:rPr>
          <w:rFonts w:ascii="宋体" w:hAnsi="宋体" w:eastAsia="宋体" w:cs="宋体"/>
          <w:sz w:val="17"/>
          <w:szCs w:val="17"/>
        </w:rPr>
      </w:pPr>
      <w:r>
        <w:rPr>
          <w:rFonts w:ascii="宋体" w:hAnsi="宋体" w:eastAsia="宋体" w:cs="宋体"/>
          <w:spacing w:val="4"/>
          <w:sz w:val="17"/>
          <w:szCs w:val="17"/>
        </w:rPr>
        <w:t>①电路接入负载电阻(</w:t>
      </w:r>
      <w:r>
        <w:rPr>
          <w:rFonts w:ascii="宋体" w:hAnsi="宋体" w:eastAsia="宋体" w:cs="宋体"/>
          <w:sz w:val="17"/>
          <w:szCs w:val="17"/>
        </w:rPr>
        <w:t>RL</w:t>
      </w:r>
      <w:r>
        <w:rPr>
          <w:rFonts w:ascii="宋体" w:hAnsi="宋体" w:eastAsia="宋体" w:cs="宋体"/>
          <w:spacing w:val="4"/>
          <w:sz w:val="17"/>
          <w:szCs w:val="17"/>
        </w:rPr>
        <w:t>=8kΩ)    时最大输出功</w:t>
      </w:r>
      <w:r>
        <w:rPr>
          <w:rFonts w:ascii="宋体" w:hAnsi="宋体" w:eastAsia="宋体" w:cs="宋体"/>
          <w:spacing w:val="15"/>
          <w:sz w:val="17"/>
          <w:szCs w:val="17"/>
        </w:rPr>
        <w:t xml:space="preserve"> </w:t>
      </w:r>
      <w:r>
        <w:rPr>
          <w:rFonts w:ascii="宋体" w:hAnsi="宋体" w:eastAsia="宋体" w:cs="宋体"/>
          <w:spacing w:val="8"/>
          <w:sz w:val="17"/>
          <w:szCs w:val="17"/>
        </w:rPr>
        <w:t>率</w:t>
      </w:r>
      <w:r>
        <w:rPr>
          <w:rFonts w:ascii="Times New Roman" w:hAnsi="Times New Roman" w:eastAsia="Times New Roman" w:cs="Times New Roman"/>
          <w:sz w:val="17"/>
          <w:szCs w:val="17"/>
        </w:rPr>
        <w:t>Pom</w:t>
      </w:r>
      <w:r>
        <w:rPr>
          <w:rFonts w:ascii="宋体" w:hAnsi="宋体" w:eastAsia="宋体" w:cs="宋体"/>
          <w:spacing w:val="8"/>
          <w:sz w:val="17"/>
          <w:szCs w:val="17"/>
        </w:rPr>
        <w:t>。</w:t>
      </w:r>
    </w:p>
    <w:p w14:paraId="3EB064C8">
      <w:pPr>
        <w:spacing w:before="76" w:line="268" w:lineRule="auto"/>
        <w:ind w:right="17" w:firstLine="370"/>
        <w:rPr>
          <w:rFonts w:ascii="宋体" w:hAnsi="宋体" w:eastAsia="宋体" w:cs="宋体"/>
          <w:sz w:val="17"/>
          <w:szCs w:val="17"/>
        </w:rPr>
      </w:pPr>
      <w:r>
        <w:rPr>
          <w:rFonts w:ascii="宋体" w:hAnsi="宋体" w:eastAsia="宋体" w:cs="宋体"/>
          <w:spacing w:val="1"/>
          <w:sz w:val="17"/>
          <w:szCs w:val="17"/>
        </w:rPr>
        <w:t>②电路接入负载电阻(</w:t>
      </w:r>
      <w:r>
        <w:rPr>
          <w:rFonts w:ascii="宋体" w:hAnsi="宋体" w:eastAsia="宋体" w:cs="宋体"/>
          <w:sz w:val="17"/>
          <w:szCs w:val="17"/>
        </w:rPr>
        <w:t>RL</w:t>
      </w:r>
      <w:r>
        <w:rPr>
          <w:rFonts w:ascii="宋体" w:hAnsi="宋体" w:eastAsia="宋体" w:cs="宋体"/>
          <w:spacing w:val="1"/>
          <w:sz w:val="17"/>
          <w:szCs w:val="17"/>
        </w:rPr>
        <w:t>=32kΩ)    时最大输出功</w:t>
      </w:r>
      <w:r>
        <w:rPr>
          <w:rFonts w:ascii="宋体" w:hAnsi="宋体" w:eastAsia="宋体" w:cs="宋体"/>
          <w:spacing w:val="4"/>
          <w:sz w:val="17"/>
          <w:szCs w:val="17"/>
        </w:rPr>
        <w:t xml:space="preserve"> </w:t>
      </w:r>
      <w:r>
        <w:rPr>
          <w:rFonts w:ascii="宋体" w:hAnsi="宋体" w:eastAsia="宋体" w:cs="宋体"/>
          <w:spacing w:val="8"/>
          <w:sz w:val="17"/>
          <w:szCs w:val="17"/>
        </w:rPr>
        <w:t>率</w:t>
      </w:r>
      <w:r>
        <w:rPr>
          <w:rFonts w:ascii="Times New Roman" w:hAnsi="Times New Roman" w:eastAsia="Times New Roman" w:cs="Times New Roman"/>
          <w:sz w:val="17"/>
          <w:szCs w:val="17"/>
        </w:rPr>
        <w:t>Pom</w:t>
      </w:r>
      <w:r>
        <w:rPr>
          <w:rFonts w:ascii="宋体" w:hAnsi="宋体" w:eastAsia="宋体" w:cs="宋体"/>
          <w:spacing w:val="8"/>
          <w:sz w:val="17"/>
          <w:szCs w:val="17"/>
        </w:rPr>
        <w:t>。</w:t>
      </w:r>
    </w:p>
    <w:p w14:paraId="352D0589">
      <w:pPr>
        <w:spacing w:before="99" w:line="221" w:lineRule="auto"/>
        <w:ind w:left="364"/>
        <w:rPr>
          <w:rFonts w:ascii="宋体" w:hAnsi="宋体" w:eastAsia="宋体" w:cs="宋体"/>
          <w:sz w:val="17"/>
          <w:szCs w:val="17"/>
        </w:rPr>
      </w:pPr>
      <w:r>
        <w:rPr>
          <w:rFonts w:ascii="宋体" w:hAnsi="宋体" w:eastAsia="宋体" w:cs="宋体"/>
          <w:spacing w:val="6"/>
          <w:sz w:val="17"/>
          <w:szCs w:val="17"/>
        </w:rPr>
        <w:t>【测试方法】</w:t>
      </w:r>
    </w:p>
    <w:p w14:paraId="26C4BB43">
      <w:pPr>
        <w:spacing w:before="75" w:line="272" w:lineRule="auto"/>
        <w:ind w:right="19" w:firstLine="370"/>
        <w:rPr>
          <w:rFonts w:ascii="宋体" w:hAnsi="宋体" w:eastAsia="宋体" w:cs="宋体"/>
          <w:sz w:val="17"/>
          <w:szCs w:val="17"/>
        </w:rPr>
      </w:pPr>
      <w:r>
        <w:rPr>
          <w:rFonts w:ascii="宋体" w:hAnsi="宋体" w:eastAsia="宋体" w:cs="宋体"/>
          <w:spacing w:val="5"/>
          <w:sz w:val="17"/>
          <w:szCs w:val="17"/>
        </w:rPr>
        <w:t>1、使用万用表电压档测量电路中点电位、功放管</w:t>
      </w:r>
      <w:r>
        <w:rPr>
          <w:rFonts w:ascii="宋体" w:hAnsi="宋体" w:eastAsia="宋体" w:cs="宋体"/>
          <w:spacing w:val="3"/>
          <w:sz w:val="17"/>
          <w:szCs w:val="17"/>
        </w:rPr>
        <w:t xml:space="preserve"> </w:t>
      </w:r>
      <w:r>
        <w:rPr>
          <w:rFonts w:ascii="宋体" w:hAnsi="宋体" w:eastAsia="宋体" w:cs="宋体"/>
          <w:spacing w:val="-5"/>
          <w:sz w:val="17"/>
          <w:szCs w:val="17"/>
        </w:rPr>
        <w:t>静态工作点。</w:t>
      </w:r>
    </w:p>
    <w:p w14:paraId="7498330E">
      <w:pPr>
        <w:spacing w:before="79" w:line="273" w:lineRule="auto"/>
        <w:ind w:right="22" w:firstLine="370"/>
        <w:rPr>
          <w:rFonts w:ascii="宋体" w:hAnsi="宋体" w:eastAsia="宋体" w:cs="宋体"/>
          <w:sz w:val="17"/>
          <w:szCs w:val="17"/>
        </w:rPr>
      </w:pPr>
      <w:r>
        <w:rPr>
          <w:rFonts w:ascii="宋体" w:hAnsi="宋体" w:eastAsia="宋体" w:cs="宋体"/>
          <w:spacing w:val="5"/>
          <w:sz w:val="17"/>
          <w:szCs w:val="17"/>
        </w:rPr>
        <w:t>2、使用双踪示波器按最大不失真输出为依据测量</w:t>
      </w:r>
      <w:r>
        <w:rPr>
          <w:rFonts w:ascii="宋体" w:hAnsi="宋体" w:eastAsia="宋体" w:cs="宋体"/>
          <w:sz w:val="17"/>
          <w:szCs w:val="17"/>
        </w:rPr>
        <w:t xml:space="preserve"> </w:t>
      </w:r>
      <w:r>
        <w:rPr>
          <w:rFonts w:ascii="宋体" w:hAnsi="宋体" w:eastAsia="宋体" w:cs="宋体"/>
          <w:spacing w:val="-3"/>
          <w:sz w:val="17"/>
          <w:szCs w:val="17"/>
        </w:rPr>
        <w:t>功放电路的输入、输出波形。</w:t>
      </w:r>
    </w:p>
    <w:p w14:paraId="0D221028">
      <w:pPr>
        <w:spacing w:before="97" w:line="262" w:lineRule="auto"/>
        <w:ind w:right="21" w:firstLine="370"/>
        <w:rPr>
          <w:rFonts w:ascii="宋体" w:hAnsi="宋体" w:eastAsia="宋体" w:cs="宋体"/>
          <w:sz w:val="17"/>
          <w:szCs w:val="17"/>
        </w:rPr>
      </w:pPr>
      <w:r>
        <w:rPr>
          <w:rFonts w:ascii="宋体" w:hAnsi="宋体" w:eastAsia="宋体" w:cs="宋体"/>
          <w:spacing w:val="5"/>
          <w:sz w:val="17"/>
          <w:szCs w:val="17"/>
        </w:rPr>
        <w:t>3、使用双踪示波器和万用表电压档测量功率放大</w:t>
      </w:r>
      <w:r>
        <w:rPr>
          <w:rFonts w:ascii="宋体" w:hAnsi="宋体" w:eastAsia="宋体" w:cs="宋体"/>
          <w:spacing w:val="1"/>
          <w:sz w:val="17"/>
          <w:szCs w:val="17"/>
        </w:rPr>
        <w:t xml:space="preserve"> </w:t>
      </w:r>
      <w:r>
        <w:rPr>
          <w:rFonts w:ascii="宋体" w:hAnsi="宋体" w:eastAsia="宋体" w:cs="宋体"/>
          <w:spacing w:val="-2"/>
          <w:sz w:val="17"/>
          <w:szCs w:val="17"/>
        </w:rPr>
        <w:t>电路在不同负载下的最大输出功率。</w:t>
      </w:r>
    </w:p>
    <w:p w14:paraId="5F245C13">
      <w:pPr>
        <w:spacing w:before="90" w:line="221" w:lineRule="auto"/>
        <w:ind w:left="364"/>
        <w:rPr>
          <w:rFonts w:ascii="宋体" w:hAnsi="宋体" w:eastAsia="宋体" w:cs="宋体"/>
          <w:sz w:val="17"/>
          <w:szCs w:val="17"/>
        </w:rPr>
      </w:pPr>
      <w:r>
        <w:rPr>
          <w:rFonts w:ascii="宋体" w:hAnsi="宋体" w:eastAsia="宋体" w:cs="宋体"/>
          <w:spacing w:val="6"/>
          <w:sz w:val="17"/>
          <w:szCs w:val="17"/>
        </w:rPr>
        <w:t>【测试要求】</w:t>
      </w:r>
    </w:p>
    <w:p w14:paraId="674BF329">
      <w:pPr>
        <w:spacing w:before="86" w:line="220" w:lineRule="auto"/>
        <w:ind w:left="370"/>
        <w:rPr>
          <w:rFonts w:ascii="宋体" w:hAnsi="宋体" w:eastAsia="宋体" w:cs="宋体"/>
          <w:sz w:val="17"/>
          <w:szCs w:val="17"/>
        </w:rPr>
      </w:pPr>
      <w:r>
        <w:rPr>
          <w:rFonts w:ascii="宋体" w:hAnsi="宋体" w:eastAsia="宋体" w:cs="宋体"/>
          <w:spacing w:val="5"/>
          <w:sz w:val="17"/>
          <w:szCs w:val="17"/>
        </w:rPr>
        <w:t>1、测试时间90分钟。</w:t>
      </w:r>
    </w:p>
    <w:p w14:paraId="1C7FA12E">
      <w:pPr>
        <w:spacing w:before="87" w:line="219" w:lineRule="auto"/>
        <w:ind w:left="370"/>
        <w:rPr>
          <w:rFonts w:ascii="宋体" w:hAnsi="宋体" w:eastAsia="宋体" w:cs="宋体"/>
          <w:sz w:val="17"/>
          <w:szCs w:val="17"/>
        </w:rPr>
      </w:pPr>
      <w:r>
        <w:rPr>
          <w:rFonts w:ascii="宋体" w:hAnsi="宋体" w:eastAsia="宋体" w:cs="宋体"/>
          <w:spacing w:val="-1"/>
          <w:sz w:val="17"/>
          <w:szCs w:val="17"/>
        </w:rPr>
        <w:t>2、画出电路最大不失真输出时输入、输出波形。</w:t>
      </w:r>
    </w:p>
    <w:p w14:paraId="077A1F10">
      <w:pPr>
        <w:spacing w:before="78" w:line="272" w:lineRule="auto"/>
        <w:ind w:right="18" w:firstLine="370"/>
        <w:rPr>
          <w:rFonts w:ascii="宋体" w:hAnsi="宋体" w:eastAsia="宋体" w:cs="宋体"/>
          <w:sz w:val="17"/>
          <w:szCs w:val="17"/>
        </w:rPr>
      </w:pPr>
      <w:r>
        <w:rPr>
          <w:rFonts w:ascii="宋体" w:hAnsi="宋体" w:eastAsia="宋体" w:cs="宋体"/>
          <w:spacing w:val="5"/>
          <w:sz w:val="17"/>
          <w:szCs w:val="17"/>
        </w:rPr>
        <w:t>3、绘制表格填写</w:t>
      </w:r>
      <w:r>
        <w:rPr>
          <w:rFonts w:ascii="宋体" w:hAnsi="宋体" w:eastAsia="宋体" w:cs="宋体"/>
          <w:sz w:val="17"/>
          <w:szCs w:val="17"/>
        </w:rPr>
        <w:t>OTL</w:t>
      </w:r>
      <w:r>
        <w:rPr>
          <w:rFonts w:ascii="宋体" w:hAnsi="宋体" w:eastAsia="宋体" w:cs="宋体"/>
          <w:spacing w:val="5"/>
          <w:sz w:val="17"/>
          <w:szCs w:val="17"/>
        </w:rPr>
        <w:t xml:space="preserve"> 互补对称功率放大电路各级</w:t>
      </w:r>
      <w:r>
        <w:rPr>
          <w:rFonts w:ascii="宋体" w:hAnsi="宋体" w:eastAsia="宋体" w:cs="宋体"/>
          <w:spacing w:val="9"/>
          <w:sz w:val="17"/>
          <w:szCs w:val="17"/>
        </w:rPr>
        <w:t xml:space="preserve"> </w:t>
      </w:r>
      <w:r>
        <w:rPr>
          <w:rFonts w:ascii="宋体" w:hAnsi="宋体" w:eastAsia="宋体" w:cs="宋体"/>
          <w:spacing w:val="-4"/>
          <w:sz w:val="17"/>
          <w:szCs w:val="17"/>
        </w:rPr>
        <w:t>静态工作点的数值。</w:t>
      </w:r>
    </w:p>
    <w:p w14:paraId="1483652B">
      <w:pPr>
        <w:spacing w:before="78" w:line="273" w:lineRule="auto"/>
        <w:ind w:firstLine="370"/>
        <w:rPr>
          <w:rFonts w:ascii="宋体" w:hAnsi="宋体" w:eastAsia="宋体" w:cs="宋体"/>
          <w:sz w:val="17"/>
          <w:szCs w:val="17"/>
        </w:rPr>
      </w:pPr>
      <w:r>
        <w:rPr>
          <w:rFonts w:ascii="Times New Roman" w:hAnsi="Times New Roman" w:eastAsia="Times New Roman" w:cs="Times New Roman"/>
          <w:spacing w:val="6"/>
          <w:sz w:val="17"/>
          <w:szCs w:val="17"/>
        </w:rPr>
        <w:t>4</w:t>
      </w:r>
      <w:r>
        <w:rPr>
          <w:rFonts w:ascii="Times New Roman" w:hAnsi="Times New Roman" w:eastAsia="Times New Roman" w:cs="Times New Roman"/>
          <w:spacing w:val="-20"/>
          <w:sz w:val="17"/>
          <w:szCs w:val="17"/>
        </w:rPr>
        <w:t xml:space="preserve"> </w:t>
      </w:r>
      <w:r>
        <w:rPr>
          <w:rFonts w:ascii="宋体" w:hAnsi="宋体" w:eastAsia="宋体" w:cs="宋体"/>
          <w:spacing w:val="6"/>
          <w:sz w:val="17"/>
          <w:szCs w:val="17"/>
        </w:rPr>
        <w:t>、绘制表格填写</w:t>
      </w:r>
      <w:r>
        <w:rPr>
          <w:rFonts w:ascii="Times New Roman" w:hAnsi="Times New Roman" w:eastAsia="Times New Roman" w:cs="Times New Roman"/>
          <w:sz w:val="17"/>
          <w:szCs w:val="17"/>
        </w:rPr>
        <w:t>OTL</w:t>
      </w:r>
      <w:r>
        <w:rPr>
          <w:rFonts w:ascii="宋体" w:hAnsi="宋体" w:eastAsia="宋体" w:cs="宋体"/>
          <w:spacing w:val="6"/>
          <w:sz w:val="17"/>
          <w:szCs w:val="17"/>
        </w:rPr>
        <w:t>互补对称功率放大电路在不</w:t>
      </w:r>
      <w:r>
        <w:rPr>
          <w:rFonts w:ascii="宋体" w:hAnsi="宋体" w:eastAsia="宋体" w:cs="宋体"/>
          <w:sz w:val="17"/>
          <w:szCs w:val="17"/>
        </w:rPr>
        <w:t xml:space="preserve"> </w:t>
      </w:r>
      <w:r>
        <w:rPr>
          <w:rFonts w:ascii="宋体" w:hAnsi="宋体" w:eastAsia="宋体" w:cs="宋体"/>
          <w:spacing w:val="-1"/>
          <w:sz w:val="17"/>
          <w:szCs w:val="17"/>
        </w:rPr>
        <w:t>同负载下最大输出功率Pom 的数值。</w:t>
      </w:r>
    </w:p>
    <w:p w14:paraId="57FCA7F1">
      <w:pPr>
        <w:spacing w:before="88" w:line="219" w:lineRule="auto"/>
        <w:ind w:left="364"/>
        <w:rPr>
          <w:rFonts w:ascii="宋体" w:hAnsi="宋体" w:eastAsia="宋体" w:cs="宋体"/>
          <w:sz w:val="17"/>
          <w:szCs w:val="17"/>
        </w:rPr>
      </w:pPr>
      <w:r>
        <w:rPr>
          <w:rFonts w:ascii="宋体" w:hAnsi="宋体" w:eastAsia="宋体" w:cs="宋体"/>
          <w:spacing w:val="6"/>
          <w:sz w:val="17"/>
          <w:szCs w:val="17"/>
        </w:rPr>
        <w:t>【赋分参考】</w:t>
      </w:r>
    </w:p>
    <w:p w14:paraId="3B3ABF28">
      <w:pPr>
        <w:spacing w:before="89" w:line="219" w:lineRule="auto"/>
        <w:ind w:left="370"/>
        <w:rPr>
          <w:rFonts w:ascii="宋体" w:hAnsi="宋体" w:eastAsia="宋体" w:cs="宋体"/>
          <w:sz w:val="17"/>
          <w:szCs w:val="17"/>
        </w:rPr>
      </w:pPr>
      <w:r>
        <w:rPr>
          <w:rFonts w:ascii="宋体" w:hAnsi="宋体" w:eastAsia="宋体" w:cs="宋体"/>
          <w:spacing w:val="11"/>
          <w:sz w:val="17"/>
          <w:szCs w:val="17"/>
        </w:rPr>
        <w:t>1、元器件成型及装配(20分)。</w:t>
      </w:r>
    </w:p>
    <w:p w14:paraId="5A31C121">
      <w:pPr>
        <w:spacing w:before="88" w:line="219" w:lineRule="auto"/>
        <w:ind w:left="370"/>
        <w:rPr>
          <w:rFonts w:ascii="宋体" w:hAnsi="宋体" w:eastAsia="宋体" w:cs="宋体"/>
          <w:sz w:val="17"/>
          <w:szCs w:val="17"/>
        </w:rPr>
      </w:pPr>
      <w:r>
        <w:rPr>
          <w:rFonts w:ascii="宋体" w:hAnsi="宋体" w:eastAsia="宋体" w:cs="宋体"/>
          <w:spacing w:val="-1"/>
          <w:sz w:val="17"/>
          <w:szCs w:val="17"/>
        </w:rPr>
        <w:t>2、技能测试电路的调试与检测。</w:t>
      </w:r>
    </w:p>
    <w:p w14:paraId="0E350017">
      <w:pPr>
        <w:spacing w:before="60" w:line="284" w:lineRule="auto"/>
        <w:ind w:right="15" w:firstLine="449"/>
        <w:rPr>
          <w:rFonts w:ascii="宋体" w:hAnsi="宋体" w:eastAsia="宋体" w:cs="宋体"/>
          <w:sz w:val="17"/>
          <w:szCs w:val="17"/>
        </w:rPr>
      </w:pPr>
      <w:r>
        <w:rPr>
          <w:rFonts w:ascii="Times New Roman" w:hAnsi="Times New Roman" w:eastAsia="Times New Roman" w:cs="Times New Roman"/>
          <w:spacing w:val="6"/>
          <w:sz w:val="17"/>
          <w:szCs w:val="17"/>
        </w:rPr>
        <w:t>(1)</w:t>
      </w:r>
      <w:r>
        <w:rPr>
          <w:rFonts w:ascii="Times New Roman" w:hAnsi="Times New Roman" w:eastAsia="Times New Roman" w:cs="Times New Roman"/>
          <w:sz w:val="17"/>
          <w:szCs w:val="17"/>
        </w:rPr>
        <w:t>OTL</w:t>
      </w:r>
      <w:r>
        <w:rPr>
          <w:rFonts w:ascii="Times New Roman" w:hAnsi="Times New Roman" w:eastAsia="Times New Roman" w:cs="Times New Roman"/>
          <w:spacing w:val="6"/>
          <w:sz w:val="17"/>
          <w:szCs w:val="17"/>
        </w:rPr>
        <w:t xml:space="preserve">   </w:t>
      </w:r>
      <w:r>
        <w:rPr>
          <w:rFonts w:ascii="宋体" w:hAnsi="宋体" w:eastAsia="宋体" w:cs="宋体"/>
          <w:spacing w:val="6"/>
          <w:sz w:val="17"/>
          <w:szCs w:val="17"/>
        </w:rPr>
        <w:t>互补对称功率放大电路静态工作状态的</w:t>
      </w:r>
      <w:r>
        <w:rPr>
          <w:rFonts w:ascii="宋体" w:hAnsi="宋体" w:eastAsia="宋体" w:cs="宋体"/>
          <w:spacing w:val="8"/>
          <w:sz w:val="17"/>
          <w:szCs w:val="17"/>
        </w:rPr>
        <w:t xml:space="preserve"> </w:t>
      </w:r>
      <w:r>
        <w:rPr>
          <w:rFonts w:ascii="宋体" w:hAnsi="宋体" w:eastAsia="宋体" w:cs="宋体"/>
          <w:spacing w:val="-8"/>
          <w:sz w:val="17"/>
          <w:szCs w:val="17"/>
        </w:rPr>
        <w:t>调试。</w:t>
      </w:r>
    </w:p>
    <w:p w14:paraId="76964E9A">
      <w:pPr>
        <w:spacing w:before="73" w:line="216" w:lineRule="auto"/>
        <w:ind w:right="19"/>
        <w:jc w:val="right"/>
        <w:rPr>
          <w:rFonts w:ascii="宋体" w:hAnsi="宋体" w:eastAsia="宋体" w:cs="宋体"/>
          <w:sz w:val="17"/>
          <w:szCs w:val="17"/>
        </w:rPr>
      </w:pPr>
      <w:r>
        <w:rPr>
          <w:rFonts w:ascii="宋体" w:hAnsi="宋体" w:eastAsia="宋体" w:cs="宋体"/>
          <w:spacing w:val="-3"/>
          <w:sz w:val="17"/>
          <w:szCs w:val="17"/>
        </w:rPr>
        <w:t>①调</w:t>
      </w:r>
      <w:r>
        <w:rPr>
          <w:rFonts w:ascii="宋体" w:hAnsi="宋体" w:eastAsia="宋体" w:cs="宋体"/>
          <w:spacing w:val="43"/>
          <w:sz w:val="17"/>
          <w:szCs w:val="17"/>
        </w:rPr>
        <w:t xml:space="preserve"> </w:t>
      </w:r>
      <w:r>
        <w:rPr>
          <w:rFonts w:ascii="宋体" w:hAnsi="宋体" w:eastAsia="宋体" w:cs="宋体"/>
          <w:spacing w:val="-3"/>
          <w:sz w:val="17"/>
          <w:szCs w:val="17"/>
        </w:rPr>
        <w:t>节RW1,  调整输出端中点电位UA(50</w:t>
      </w:r>
      <w:r>
        <w:rPr>
          <w:rFonts w:ascii="宋体" w:hAnsi="宋体" w:eastAsia="宋体" w:cs="宋体"/>
          <w:spacing w:val="9"/>
          <w:sz w:val="17"/>
          <w:szCs w:val="17"/>
        </w:rPr>
        <w:t xml:space="preserve">  </w:t>
      </w:r>
      <w:r>
        <w:rPr>
          <w:rFonts w:ascii="宋体" w:hAnsi="宋体" w:eastAsia="宋体" w:cs="宋体"/>
          <w:spacing w:val="-3"/>
          <w:sz w:val="17"/>
          <w:szCs w:val="17"/>
        </w:rPr>
        <w:t>分</w:t>
      </w:r>
      <w:r>
        <w:rPr>
          <w:rFonts w:ascii="宋体" w:hAnsi="宋体" w:eastAsia="宋体" w:cs="宋体"/>
          <w:spacing w:val="-17"/>
          <w:sz w:val="17"/>
          <w:szCs w:val="17"/>
        </w:rPr>
        <w:t xml:space="preserve"> </w:t>
      </w:r>
      <w:r>
        <w:rPr>
          <w:rFonts w:ascii="宋体" w:hAnsi="宋体" w:eastAsia="宋体" w:cs="宋体"/>
          <w:spacing w:val="-3"/>
          <w:sz w:val="17"/>
          <w:szCs w:val="17"/>
        </w:rPr>
        <w:t>)</w:t>
      </w:r>
      <w:r>
        <w:rPr>
          <w:rFonts w:ascii="宋体" w:hAnsi="宋体" w:eastAsia="宋体" w:cs="宋体"/>
          <w:spacing w:val="-23"/>
          <w:sz w:val="17"/>
          <w:szCs w:val="17"/>
        </w:rPr>
        <w:t xml:space="preserve"> </w:t>
      </w:r>
      <w:r>
        <w:rPr>
          <w:rFonts w:ascii="宋体" w:hAnsi="宋体" w:eastAsia="宋体" w:cs="宋体"/>
          <w:spacing w:val="-3"/>
          <w:sz w:val="17"/>
          <w:szCs w:val="17"/>
        </w:rPr>
        <w:t>。</w:t>
      </w:r>
    </w:p>
    <w:p w14:paraId="498B30E2">
      <w:pPr>
        <w:spacing w:before="91" w:line="269" w:lineRule="auto"/>
        <w:ind w:right="20" w:firstLine="370"/>
        <w:rPr>
          <w:rFonts w:ascii="宋体" w:hAnsi="宋体" w:eastAsia="宋体" w:cs="宋体"/>
          <w:sz w:val="17"/>
          <w:szCs w:val="17"/>
        </w:rPr>
      </w:pPr>
      <w:r>
        <w:rPr>
          <w:rFonts w:ascii="宋体" w:hAnsi="宋体" w:eastAsia="宋体" w:cs="宋体"/>
          <w:spacing w:val="6"/>
          <w:sz w:val="17"/>
          <w:szCs w:val="17"/>
        </w:rPr>
        <w:t>②调节</w:t>
      </w:r>
      <w:r>
        <w:rPr>
          <w:rFonts w:ascii="宋体" w:hAnsi="宋体" w:eastAsia="宋体" w:cs="宋体"/>
          <w:sz w:val="17"/>
          <w:szCs w:val="17"/>
        </w:rPr>
        <w:t>RW</w:t>
      </w:r>
      <w:r>
        <w:rPr>
          <w:rFonts w:ascii="宋体" w:hAnsi="宋体" w:eastAsia="宋体" w:cs="宋体"/>
          <w:spacing w:val="6"/>
          <w:sz w:val="17"/>
          <w:szCs w:val="17"/>
        </w:rPr>
        <w:t>2,  调整输出级</w:t>
      </w:r>
      <w:r>
        <w:rPr>
          <w:rFonts w:ascii="宋体" w:hAnsi="宋体" w:eastAsia="宋体" w:cs="宋体"/>
          <w:spacing w:val="-47"/>
          <w:sz w:val="17"/>
          <w:szCs w:val="17"/>
        </w:rPr>
        <w:t xml:space="preserve"> </w:t>
      </w:r>
      <w:r>
        <w:rPr>
          <w:rFonts w:ascii="宋体" w:hAnsi="宋体" w:eastAsia="宋体" w:cs="宋体"/>
          <w:sz w:val="17"/>
          <w:szCs w:val="17"/>
        </w:rPr>
        <w:t>VT</w:t>
      </w:r>
      <w:r>
        <w:rPr>
          <w:rFonts w:ascii="宋体" w:hAnsi="宋体" w:eastAsia="宋体" w:cs="宋体"/>
          <w:spacing w:val="6"/>
          <w:sz w:val="17"/>
          <w:szCs w:val="17"/>
        </w:rPr>
        <w:t>2、</w:t>
      </w:r>
      <w:r>
        <w:rPr>
          <w:rFonts w:ascii="宋体" w:hAnsi="宋体" w:eastAsia="宋体" w:cs="宋体"/>
          <w:sz w:val="17"/>
          <w:szCs w:val="17"/>
        </w:rPr>
        <w:t>VT</w:t>
      </w:r>
      <w:r>
        <w:rPr>
          <w:rFonts w:ascii="宋体" w:hAnsi="宋体" w:eastAsia="宋体" w:cs="宋体"/>
          <w:spacing w:val="6"/>
          <w:sz w:val="17"/>
          <w:szCs w:val="17"/>
        </w:rPr>
        <w:t>3</w:t>
      </w:r>
      <w:r>
        <w:rPr>
          <w:rFonts w:ascii="宋体" w:hAnsi="宋体" w:eastAsia="宋体" w:cs="宋体"/>
          <w:spacing w:val="27"/>
          <w:sz w:val="17"/>
          <w:szCs w:val="17"/>
        </w:rPr>
        <w:t xml:space="preserve"> </w:t>
      </w:r>
      <w:r>
        <w:rPr>
          <w:rFonts w:ascii="宋体" w:hAnsi="宋体" w:eastAsia="宋体" w:cs="宋体"/>
          <w:spacing w:val="6"/>
          <w:sz w:val="17"/>
          <w:szCs w:val="17"/>
        </w:rPr>
        <w:t>工作状态(50</w:t>
      </w:r>
      <w:r>
        <w:rPr>
          <w:rFonts w:ascii="宋体" w:hAnsi="宋体" w:eastAsia="宋体" w:cs="宋体"/>
          <w:sz w:val="17"/>
          <w:szCs w:val="17"/>
        </w:rPr>
        <w:t xml:space="preserve"> </w:t>
      </w:r>
      <w:r>
        <w:rPr>
          <w:rFonts w:ascii="宋体" w:hAnsi="宋体" w:eastAsia="宋体" w:cs="宋体"/>
          <w:spacing w:val="-6"/>
          <w:sz w:val="17"/>
          <w:szCs w:val="17"/>
        </w:rPr>
        <w:t>分</w:t>
      </w:r>
      <w:r>
        <w:rPr>
          <w:rFonts w:ascii="宋体" w:hAnsi="宋体" w:eastAsia="宋体" w:cs="宋体"/>
          <w:spacing w:val="-26"/>
          <w:sz w:val="17"/>
          <w:szCs w:val="17"/>
        </w:rPr>
        <w:t xml:space="preserve"> </w:t>
      </w:r>
      <w:r>
        <w:rPr>
          <w:rFonts w:ascii="宋体" w:hAnsi="宋体" w:eastAsia="宋体" w:cs="宋体"/>
          <w:spacing w:val="-6"/>
          <w:sz w:val="17"/>
          <w:szCs w:val="17"/>
        </w:rPr>
        <w:t>)</w:t>
      </w:r>
      <w:r>
        <w:rPr>
          <w:rFonts w:ascii="宋体" w:hAnsi="宋体" w:eastAsia="宋体" w:cs="宋体"/>
          <w:spacing w:val="-33"/>
          <w:sz w:val="17"/>
          <w:szCs w:val="17"/>
        </w:rPr>
        <w:t xml:space="preserve"> </w:t>
      </w:r>
      <w:r>
        <w:rPr>
          <w:rFonts w:ascii="宋体" w:hAnsi="宋体" w:eastAsia="宋体" w:cs="宋体"/>
          <w:spacing w:val="-6"/>
          <w:sz w:val="17"/>
          <w:szCs w:val="17"/>
        </w:rPr>
        <w:t>。</w:t>
      </w:r>
    </w:p>
    <w:p w14:paraId="30E4E25E">
      <w:pPr>
        <w:spacing w:before="97" w:line="219" w:lineRule="auto"/>
        <w:ind w:left="449"/>
        <w:rPr>
          <w:rFonts w:ascii="宋体" w:hAnsi="宋体" w:eastAsia="宋体" w:cs="宋体"/>
          <w:sz w:val="17"/>
          <w:szCs w:val="17"/>
        </w:rPr>
      </w:pPr>
      <w:r>
        <w:rPr>
          <w:rFonts w:ascii="宋体" w:hAnsi="宋体" w:eastAsia="宋体" w:cs="宋体"/>
          <w:spacing w:val="8"/>
          <w:sz w:val="17"/>
          <w:szCs w:val="17"/>
        </w:rPr>
        <w:t>(2)不同负载下最大输出功率</w:t>
      </w:r>
      <w:r>
        <w:rPr>
          <w:rFonts w:ascii="Times New Roman" w:hAnsi="Times New Roman" w:eastAsia="Times New Roman" w:cs="Times New Roman"/>
          <w:sz w:val="17"/>
          <w:szCs w:val="17"/>
        </w:rPr>
        <w:t>Pom</w:t>
      </w:r>
      <w:r>
        <w:rPr>
          <w:rFonts w:ascii="宋体" w:hAnsi="宋体" w:eastAsia="宋体" w:cs="宋体"/>
          <w:spacing w:val="8"/>
          <w:sz w:val="17"/>
          <w:szCs w:val="17"/>
        </w:rPr>
        <w:t>的测量。</w:t>
      </w:r>
    </w:p>
    <w:p w14:paraId="1DBEA5DD">
      <w:pPr>
        <w:spacing w:before="75" w:line="260" w:lineRule="auto"/>
        <w:ind w:right="18" w:firstLine="370"/>
        <w:rPr>
          <w:rFonts w:ascii="宋体" w:hAnsi="宋体" w:eastAsia="宋体" w:cs="宋体"/>
          <w:sz w:val="17"/>
          <w:szCs w:val="17"/>
        </w:rPr>
      </w:pPr>
      <w:r>
        <w:rPr>
          <w:rFonts w:ascii="宋体" w:hAnsi="宋体" w:eastAsia="宋体" w:cs="宋体"/>
          <w:spacing w:val="3"/>
          <w:sz w:val="17"/>
          <w:szCs w:val="17"/>
        </w:rPr>
        <w:t>①电路接入负载电阻(</w:t>
      </w:r>
      <w:r>
        <w:rPr>
          <w:rFonts w:ascii="宋体" w:hAnsi="宋体" w:eastAsia="宋体" w:cs="宋体"/>
          <w:sz w:val="17"/>
          <w:szCs w:val="17"/>
        </w:rPr>
        <w:t>RL</w:t>
      </w:r>
      <w:r>
        <w:rPr>
          <w:rFonts w:ascii="宋体" w:hAnsi="宋体" w:eastAsia="宋体" w:cs="宋体"/>
          <w:spacing w:val="3"/>
          <w:sz w:val="17"/>
          <w:szCs w:val="17"/>
        </w:rPr>
        <w:t>=8kΩ)</w:t>
      </w:r>
      <w:r>
        <w:rPr>
          <w:rFonts w:ascii="宋体" w:hAnsi="宋体" w:eastAsia="宋体" w:cs="宋体"/>
          <w:spacing w:val="13"/>
          <w:sz w:val="17"/>
          <w:szCs w:val="17"/>
        </w:rPr>
        <w:t xml:space="preserve">    </w:t>
      </w:r>
      <w:r>
        <w:rPr>
          <w:rFonts w:ascii="宋体" w:hAnsi="宋体" w:eastAsia="宋体" w:cs="宋体"/>
          <w:spacing w:val="3"/>
          <w:sz w:val="17"/>
          <w:szCs w:val="17"/>
        </w:rPr>
        <w:t>时最大输出功</w:t>
      </w:r>
      <w:r>
        <w:rPr>
          <w:rFonts w:ascii="宋体" w:hAnsi="宋体" w:eastAsia="宋体" w:cs="宋体"/>
          <w:sz w:val="17"/>
          <w:szCs w:val="17"/>
        </w:rPr>
        <w:t xml:space="preserve"> </w:t>
      </w:r>
      <w:r>
        <w:rPr>
          <w:rFonts w:ascii="宋体" w:hAnsi="宋体" w:eastAsia="宋体" w:cs="宋体"/>
          <w:spacing w:val="-1"/>
          <w:sz w:val="17"/>
          <w:szCs w:val="17"/>
        </w:rPr>
        <w:t>率</w:t>
      </w:r>
      <w:r>
        <w:rPr>
          <w:rFonts w:ascii="Times New Roman" w:hAnsi="Times New Roman" w:eastAsia="Times New Roman" w:cs="Times New Roman"/>
          <w:spacing w:val="-1"/>
          <w:sz w:val="17"/>
          <w:szCs w:val="17"/>
        </w:rPr>
        <w:t xml:space="preserve">Pom(50   </w:t>
      </w:r>
      <w:r>
        <w:rPr>
          <w:rFonts w:ascii="宋体" w:hAnsi="宋体" w:eastAsia="宋体" w:cs="宋体"/>
          <w:spacing w:val="-1"/>
          <w:sz w:val="17"/>
          <w:szCs w:val="17"/>
        </w:rPr>
        <w:t>分</w:t>
      </w:r>
      <w:r>
        <w:rPr>
          <w:rFonts w:ascii="宋体" w:hAnsi="宋体" w:eastAsia="宋体" w:cs="宋体"/>
          <w:spacing w:val="-16"/>
          <w:sz w:val="17"/>
          <w:szCs w:val="17"/>
        </w:rPr>
        <w:t xml:space="preserve"> </w:t>
      </w:r>
      <w:r>
        <w:rPr>
          <w:rFonts w:ascii="宋体" w:hAnsi="宋体" w:eastAsia="宋体" w:cs="宋体"/>
          <w:spacing w:val="-1"/>
          <w:sz w:val="17"/>
          <w:szCs w:val="17"/>
        </w:rPr>
        <w:t>)</w:t>
      </w:r>
      <w:r>
        <w:rPr>
          <w:rFonts w:ascii="宋体" w:hAnsi="宋体" w:eastAsia="宋体" w:cs="宋体"/>
          <w:spacing w:val="-34"/>
          <w:sz w:val="17"/>
          <w:szCs w:val="17"/>
        </w:rPr>
        <w:t xml:space="preserve"> </w:t>
      </w:r>
      <w:r>
        <w:rPr>
          <w:rFonts w:ascii="宋体" w:hAnsi="宋体" w:eastAsia="宋体" w:cs="宋体"/>
          <w:spacing w:val="-1"/>
          <w:sz w:val="17"/>
          <w:szCs w:val="17"/>
        </w:rPr>
        <w:t>。</w:t>
      </w:r>
    </w:p>
    <w:p w14:paraId="3AB89B14">
      <w:pPr>
        <w:spacing w:before="112" w:line="249" w:lineRule="auto"/>
        <w:ind w:right="17" w:firstLine="370"/>
        <w:rPr>
          <w:rFonts w:ascii="宋体" w:hAnsi="宋体" w:eastAsia="宋体" w:cs="宋体"/>
          <w:sz w:val="17"/>
          <w:szCs w:val="17"/>
        </w:rPr>
      </w:pPr>
      <w:r>
        <w:rPr>
          <w:rFonts w:ascii="宋体" w:hAnsi="宋体" w:eastAsia="宋体" w:cs="宋体"/>
          <w:spacing w:val="1"/>
          <w:sz w:val="17"/>
          <w:szCs w:val="17"/>
        </w:rPr>
        <w:t>②电路接入负载电阻(</w:t>
      </w:r>
      <w:r>
        <w:rPr>
          <w:rFonts w:ascii="宋体" w:hAnsi="宋体" w:eastAsia="宋体" w:cs="宋体"/>
          <w:sz w:val="17"/>
          <w:szCs w:val="17"/>
        </w:rPr>
        <w:t>RL</w:t>
      </w:r>
      <w:r>
        <w:rPr>
          <w:rFonts w:ascii="宋体" w:hAnsi="宋体" w:eastAsia="宋体" w:cs="宋体"/>
          <w:spacing w:val="1"/>
          <w:sz w:val="17"/>
          <w:szCs w:val="17"/>
        </w:rPr>
        <w:t>=32kΩ)    时最大输出功</w:t>
      </w:r>
      <w:r>
        <w:rPr>
          <w:rFonts w:ascii="宋体" w:hAnsi="宋体" w:eastAsia="宋体" w:cs="宋体"/>
          <w:spacing w:val="4"/>
          <w:sz w:val="17"/>
          <w:szCs w:val="17"/>
        </w:rPr>
        <w:t xml:space="preserve"> </w:t>
      </w:r>
      <w:r>
        <w:rPr>
          <w:rFonts w:ascii="宋体" w:hAnsi="宋体" w:eastAsia="宋体" w:cs="宋体"/>
          <w:spacing w:val="-1"/>
          <w:sz w:val="17"/>
          <w:szCs w:val="17"/>
        </w:rPr>
        <w:t>率</w:t>
      </w:r>
      <w:r>
        <w:rPr>
          <w:rFonts w:ascii="Times New Roman" w:hAnsi="Times New Roman" w:eastAsia="Times New Roman" w:cs="Times New Roman"/>
          <w:spacing w:val="-1"/>
          <w:sz w:val="17"/>
          <w:szCs w:val="17"/>
        </w:rPr>
        <w:t>Pom(50</w:t>
      </w:r>
      <w:r>
        <w:rPr>
          <w:rFonts w:ascii="Times New Roman" w:hAnsi="Times New Roman" w:eastAsia="Times New Roman" w:cs="Times New Roman"/>
          <w:spacing w:val="5"/>
          <w:sz w:val="17"/>
          <w:szCs w:val="17"/>
        </w:rPr>
        <w:t xml:space="preserve">   </w:t>
      </w:r>
      <w:r>
        <w:rPr>
          <w:rFonts w:ascii="宋体" w:hAnsi="宋体" w:eastAsia="宋体" w:cs="宋体"/>
          <w:spacing w:val="-1"/>
          <w:sz w:val="17"/>
          <w:szCs w:val="17"/>
        </w:rPr>
        <w:t>分</w:t>
      </w:r>
      <w:r>
        <w:rPr>
          <w:rFonts w:ascii="宋体" w:hAnsi="宋体" w:eastAsia="宋体" w:cs="宋体"/>
          <w:spacing w:val="-14"/>
          <w:sz w:val="17"/>
          <w:szCs w:val="17"/>
        </w:rPr>
        <w:t xml:space="preserve"> </w:t>
      </w:r>
      <w:r>
        <w:rPr>
          <w:rFonts w:ascii="宋体" w:hAnsi="宋体" w:eastAsia="宋体" w:cs="宋体"/>
          <w:spacing w:val="-1"/>
          <w:sz w:val="17"/>
          <w:szCs w:val="17"/>
        </w:rPr>
        <w:t>)</w:t>
      </w:r>
      <w:r>
        <w:rPr>
          <w:rFonts w:ascii="宋体" w:hAnsi="宋体" w:eastAsia="宋体" w:cs="宋体"/>
          <w:spacing w:val="-24"/>
          <w:sz w:val="17"/>
          <w:szCs w:val="17"/>
        </w:rPr>
        <w:t xml:space="preserve"> </w:t>
      </w:r>
      <w:r>
        <w:rPr>
          <w:rFonts w:ascii="宋体" w:hAnsi="宋体" w:eastAsia="宋体" w:cs="宋体"/>
          <w:spacing w:val="-1"/>
          <w:sz w:val="17"/>
          <w:szCs w:val="17"/>
        </w:rPr>
        <w:t>。</w:t>
      </w:r>
    </w:p>
    <w:p w14:paraId="679B070A">
      <w:pPr>
        <w:spacing w:before="114" w:line="220" w:lineRule="auto"/>
        <w:ind w:left="370"/>
        <w:rPr>
          <w:rFonts w:ascii="宋体" w:hAnsi="宋体" w:eastAsia="宋体" w:cs="宋体"/>
          <w:sz w:val="17"/>
          <w:szCs w:val="17"/>
        </w:rPr>
      </w:pPr>
      <w:r>
        <w:rPr>
          <w:rFonts w:ascii="宋体" w:hAnsi="宋体" w:eastAsia="宋体" w:cs="宋体"/>
          <w:spacing w:val="16"/>
          <w:sz w:val="17"/>
          <w:szCs w:val="17"/>
        </w:rPr>
        <w:t>3、安全清洁(30分)。</w:t>
      </w:r>
    </w:p>
    <w:p w14:paraId="1D82044D">
      <w:pPr>
        <w:pStyle w:val="2"/>
        <w:spacing w:line="299" w:lineRule="auto"/>
      </w:pPr>
    </w:p>
    <w:p w14:paraId="1088EE4A">
      <w:pPr>
        <w:spacing w:before="76" w:line="219" w:lineRule="auto"/>
        <w:ind w:left="373"/>
        <w:rPr>
          <w:rFonts w:ascii="宋体" w:hAnsi="宋体" w:eastAsia="宋体" w:cs="宋体"/>
          <w:sz w:val="23"/>
          <w:szCs w:val="23"/>
        </w:rPr>
      </w:pPr>
      <w:r>
        <w:rPr>
          <w:rFonts w:ascii="宋体" w:hAnsi="宋体" w:eastAsia="宋体" w:cs="宋体"/>
          <w:b/>
          <w:bCs/>
          <w:spacing w:val="-4"/>
          <w:sz w:val="23"/>
          <w:szCs w:val="23"/>
        </w:rPr>
        <w:t>项目八</w:t>
      </w:r>
      <w:r>
        <w:rPr>
          <w:rFonts w:ascii="宋体" w:hAnsi="宋体" w:eastAsia="宋体" w:cs="宋体"/>
          <w:spacing w:val="108"/>
          <w:sz w:val="23"/>
          <w:szCs w:val="23"/>
        </w:rPr>
        <w:t xml:space="preserve"> </w:t>
      </w:r>
      <w:r>
        <w:rPr>
          <w:rFonts w:ascii="宋体" w:hAnsi="宋体" w:eastAsia="宋体" w:cs="宋体"/>
          <w:b/>
          <w:bCs/>
          <w:spacing w:val="-4"/>
          <w:sz w:val="23"/>
          <w:szCs w:val="23"/>
        </w:rPr>
        <w:t>三端固定式集成稳压电路</w:t>
      </w:r>
    </w:p>
    <w:p w14:paraId="6AF8B529">
      <w:pPr>
        <w:pStyle w:val="2"/>
        <w:spacing w:line="251" w:lineRule="auto"/>
      </w:pPr>
    </w:p>
    <w:p w14:paraId="7900CAFA">
      <w:pPr>
        <w:spacing w:before="56" w:line="221" w:lineRule="auto"/>
        <w:ind w:left="364"/>
        <w:rPr>
          <w:rFonts w:ascii="宋体" w:hAnsi="宋体" w:eastAsia="宋体" w:cs="宋体"/>
          <w:sz w:val="17"/>
          <w:szCs w:val="17"/>
        </w:rPr>
      </w:pPr>
      <w:r>
        <w:rPr>
          <w:rFonts w:ascii="宋体" w:hAnsi="宋体" w:eastAsia="宋体" w:cs="宋体"/>
          <w:spacing w:val="6"/>
          <w:sz w:val="17"/>
          <w:szCs w:val="17"/>
        </w:rPr>
        <w:t>【测试用具】</w:t>
      </w:r>
    </w:p>
    <w:p w14:paraId="0F9AFEBB">
      <w:pPr>
        <w:spacing w:before="86" w:line="220" w:lineRule="auto"/>
        <w:ind w:left="370"/>
        <w:rPr>
          <w:rFonts w:ascii="宋体" w:hAnsi="宋体" w:eastAsia="宋体" w:cs="宋体"/>
          <w:sz w:val="17"/>
          <w:szCs w:val="17"/>
        </w:rPr>
      </w:pPr>
      <w:r>
        <w:rPr>
          <w:rFonts w:ascii="宋体" w:hAnsi="宋体" w:eastAsia="宋体" w:cs="宋体"/>
          <w:spacing w:val="8"/>
          <w:sz w:val="17"/>
          <w:szCs w:val="17"/>
        </w:rPr>
        <w:t>1、双踪示波器1台</w:t>
      </w:r>
    </w:p>
    <w:p w14:paraId="6D0E9DDA">
      <w:pPr>
        <w:spacing w:before="88" w:line="184" w:lineRule="auto"/>
        <w:ind w:left="370"/>
        <w:rPr>
          <w:rFonts w:ascii="宋体" w:hAnsi="宋体" w:eastAsia="宋体" w:cs="宋体"/>
          <w:sz w:val="17"/>
          <w:szCs w:val="17"/>
        </w:rPr>
      </w:pPr>
      <w:r>
        <w:rPr>
          <w:rFonts w:ascii="宋体" w:hAnsi="宋体" w:eastAsia="宋体" w:cs="宋体"/>
          <w:spacing w:val="14"/>
          <w:sz w:val="17"/>
          <w:szCs w:val="17"/>
        </w:rPr>
        <w:t>2、万用表1台</w:t>
      </w:r>
    </w:p>
    <w:p w14:paraId="3566D0BF">
      <w:pPr>
        <w:spacing w:line="184" w:lineRule="auto"/>
        <w:rPr>
          <w:rFonts w:ascii="宋体" w:hAnsi="宋体" w:eastAsia="宋体" w:cs="宋体"/>
          <w:sz w:val="17"/>
          <w:szCs w:val="17"/>
        </w:rPr>
        <w:sectPr>
          <w:type w:val="continuous"/>
          <w:pgSz w:w="10660" w:h="15080"/>
          <w:pgMar w:top="400" w:right="900" w:bottom="898" w:left="1010" w:header="0" w:footer="745" w:gutter="0"/>
          <w:cols w:equalWidth="0" w:num="2">
            <w:col w:w="4490" w:space="100"/>
            <w:col w:w="4160"/>
          </w:cols>
        </w:sectPr>
      </w:pPr>
    </w:p>
    <w:p w14:paraId="293A10A7">
      <w:pPr>
        <w:spacing w:before="11"/>
      </w:pPr>
    </w:p>
    <w:p w14:paraId="37A12D5F">
      <w:pPr>
        <w:spacing w:before="10"/>
      </w:pPr>
    </w:p>
    <w:p w14:paraId="59330154">
      <w:pPr>
        <w:spacing w:before="10"/>
      </w:pPr>
    </w:p>
    <w:p w14:paraId="50C571EA">
      <w:pPr>
        <w:spacing w:before="10"/>
      </w:pPr>
    </w:p>
    <w:p w14:paraId="78B9376B">
      <w:pPr>
        <w:sectPr>
          <w:footerReference r:id="rId116" w:type="default"/>
          <w:pgSz w:w="10660" w:h="15080"/>
          <w:pgMar w:top="400" w:right="1047" w:bottom="898" w:left="809" w:header="0" w:footer="745" w:gutter="0"/>
          <w:cols w:equalWidth="0" w:num="1">
            <w:col w:w="8803"/>
          </w:cols>
        </w:sectPr>
      </w:pPr>
    </w:p>
    <w:p w14:paraId="0AC5BFBA">
      <w:pPr>
        <w:spacing w:line="221" w:lineRule="auto"/>
        <w:ind w:left="440"/>
        <w:rPr>
          <w:rFonts w:ascii="宋体" w:hAnsi="宋体" w:eastAsia="宋体" w:cs="宋体"/>
          <w:sz w:val="17"/>
          <w:szCs w:val="17"/>
        </w:rPr>
      </w:pPr>
      <w:r>
        <w:rPr>
          <w:rFonts w:ascii="宋体" w:hAnsi="宋体" w:eastAsia="宋体" w:cs="宋体"/>
          <w:spacing w:val="12"/>
          <w:sz w:val="17"/>
          <w:szCs w:val="17"/>
        </w:rPr>
        <w:t>3、电烙铁1把</w:t>
      </w:r>
    </w:p>
    <w:p w14:paraId="23CF1621">
      <w:pPr>
        <w:spacing w:before="87" w:line="221" w:lineRule="auto"/>
        <w:ind w:left="440"/>
        <w:rPr>
          <w:rFonts w:ascii="宋体" w:hAnsi="宋体" w:eastAsia="宋体" w:cs="宋体"/>
          <w:sz w:val="17"/>
          <w:szCs w:val="17"/>
        </w:rPr>
      </w:pPr>
      <w:r>
        <w:rPr>
          <w:rFonts w:ascii="宋体" w:hAnsi="宋体" w:eastAsia="宋体" w:cs="宋体"/>
          <w:spacing w:val="9"/>
          <w:sz w:val="17"/>
          <w:szCs w:val="17"/>
        </w:rPr>
        <w:t>4、工频可调电源1台</w:t>
      </w:r>
    </w:p>
    <w:p w14:paraId="169BD887">
      <w:pPr>
        <w:spacing w:before="83" w:line="219" w:lineRule="auto"/>
        <w:ind w:left="440"/>
        <w:rPr>
          <w:rFonts w:ascii="宋体" w:hAnsi="宋体" w:eastAsia="宋体" w:cs="宋体"/>
          <w:sz w:val="17"/>
          <w:szCs w:val="17"/>
        </w:rPr>
      </w:pPr>
      <w:r>
        <w:rPr>
          <w:rFonts w:ascii="宋体" w:hAnsi="宋体" w:eastAsia="宋体" w:cs="宋体"/>
          <w:spacing w:val="9"/>
          <w:sz w:val="17"/>
          <w:szCs w:val="17"/>
        </w:rPr>
        <w:t>5、多孔电路板1个</w:t>
      </w:r>
    </w:p>
    <w:p w14:paraId="4251830C">
      <w:pPr>
        <w:spacing w:before="98" w:line="262" w:lineRule="auto"/>
        <w:ind w:left="415" w:right="2672" w:firstLine="24"/>
        <w:rPr>
          <w:rFonts w:ascii="宋体" w:hAnsi="宋体" w:eastAsia="宋体" w:cs="宋体"/>
          <w:sz w:val="17"/>
          <w:szCs w:val="17"/>
        </w:rPr>
      </w:pPr>
      <w:r>
        <w:rPr>
          <w:rFonts w:ascii="宋体" w:hAnsi="宋体" w:eastAsia="宋体" w:cs="宋体"/>
          <w:spacing w:val="9"/>
          <w:sz w:val="17"/>
          <w:szCs w:val="17"/>
        </w:rPr>
        <w:t>6、直流毫安表1个</w:t>
      </w:r>
      <w:r>
        <w:rPr>
          <w:rFonts w:ascii="宋体" w:hAnsi="宋体" w:eastAsia="宋体" w:cs="宋体"/>
          <w:spacing w:val="5"/>
          <w:sz w:val="17"/>
          <w:szCs w:val="17"/>
        </w:rPr>
        <w:t xml:space="preserve"> </w:t>
      </w:r>
      <w:r>
        <w:rPr>
          <w:rFonts w:ascii="宋体" w:hAnsi="宋体" w:eastAsia="宋体" w:cs="宋体"/>
          <w:spacing w:val="8"/>
          <w:sz w:val="17"/>
          <w:szCs w:val="17"/>
        </w:rPr>
        <w:t>【测试内容】</w:t>
      </w:r>
    </w:p>
    <w:p w14:paraId="25AA7C90">
      <w:pPr>
        <w:spacing w:before="89" w:line="219" w:lineRule="auto"/>
        <w:ind w:left="440"/>
        <w:rPr>
          <w:rFonts w:ascii="宋体" w:hAnsi="宋体" w:eastAsia="宋体" w:cs="宋体"/>
          <w:sz w:val="17"/>
          <w:szCs w:val="17"/>
        </w:rPr>
      </w:pPr>
      <w:r>
        <w:rPr>
          <w:rFonts w:ascii="宋体" w:hAnsi="宋体" w:eastAsia="宋体" w:cs="宋体"/>
          <w:spacing w:val="-2"/>
          <w:sz w:val="17"/>
          <w:szCs w:val="17"/>
        </w:rPr>
        <w:t>1、技能测试电路的焊接。</w:t>
      </w:r>
    </w:p>
    <w:p w14:paraId="3F58BA7F">
      <w:pPr>
        <w:spacing w:before="88" w:line="219" w:lineRule="auto"/>
        <w:ind w:left="440"/>
        <w:rPr>
          <w:rFonts w:ascii="宋体" w:hAnsi="宋体" w:eastAsia="宋体" w:cs="宋体"/>
          <w:sz w:val="17"/>
          <w:szCs w:val="17"/>
        </w:rPr>
      </w:pPr>
      <w:r>
        <w:rPr>
          <w:rFonts w:ascii="宋体" w:hAnsi="宋体" w:eastAsia="宋体" w:cs="宋体"/>
          <w:spacing w:val="-1"/>
          <w:sz w:val="17"/>
          <w:szCs w:val="17"/>
        </w:rPr>
        <w:t>2、技能测试电路的调试与检测</w:t>
      </w:r>
    </w:p>
    <w:p w14:paraId="2D1EACB7">
      <w:pPr>
        <w:spacing w:before="98" w:line="219" w:lineRule="auto"/>
        <w:ind w:left="500"/>
        <w:rPr>
          <w:rFonts w:ascii="宋体" w:hAnsi="宋体" w:eastAsia="宋体" w:cs="宋体"/>
          <w:sz w:val="17"/>
          <w:szCs w:val="17"/>
        </w:rPr>
      </w:pPr>
      <w:r>
        <w:rPr>
          <w:rFonts w:ascii="宋体" w:hAnsi="宋体" w:eastAsia="宋体" w:cs="宋体"/>
          <w:spacing w:val="5"/>
          <w:sz w:val="17"/>
          <w:szCs w:val="17"/>
        </w:rPr>
        <w:t>(1)观察测量整流滤波前后波形差异</w:t>
      </w:r>
    </w:p>
    <w:p w14:paraId="3BC9330B">
      <w:pPr>
        <w:spacing w:before="77" w:line="217" w:lineRule="auto"/>
        <w:ind w:left="440"/>
        <w:rPr>
          <w:rFonts w:ascii="宋体" w:hAnsi="宋体" w:eastAsia="宋体" w:cs="宋体"/>
          <w:sz w:val="17"/>
          <w:szCs w:val="17"/>
        </w:rPr>
      </w:pPr>
      <w:r>
        <w:rPr>
          <w:rFonts w:ascii="宋体" w:hAnsi="宋体" w:eastAsia="宋体" w:cs="宋体"/>
          <w:spacing w:val="2"/>
          <w:sz w:val="17"/>
          <w:szCs w:val="17"/>
        </w:rPr>
        <w:t>①断开电解电容器C1</w:t>
      </w:r>
    </w:p>
    <w:p w14:paraId="2B96F33F">
      <w:pPr>
        <w:spacing w:before="90" w:line="217" w:lineRule="auto"/>
        <w:ind w:left="440"/>
        <w:rPr>
          <w:rFonts w:ascii="宋体" w:hAnsi="宋体" w:eastAsia="宋体" w:cs="宋体"/>
          <w:sz w:val="17"/>
          <w:szCs w:val="17"/>
        </w:rPr>
      </w:pPr>
      <w:r>
        <w:rPr>
          <w:rFonts w:ascii="宋体" w:hAnsi="宋体" w:eastAsia="宋体" w:cs="宋体"/>
          <w:spacing w:val="2"/>
          <w:sz w:val="17"/>
          <w:szCs w:val="17"/>
        </w:rPr>
        <w:t>②接入电解电容器C1</w:t>
      </w:r>
    </w:p>
    <w:p w14:paraId="629C998B">
      <w:pPr>
        <w:spacing w:before="92" w:line="269" w:lineRule="auto"/>
        <w:ind w:left="60" w:right="352" w:firstLine="440"/>
        <w:rPr>
          <w:rFonts w:ascii="Times New Roman" w:hAnsi="Times New Roman" w:eastAsia="Times New Roman" w:cs="Times New Roman"/>
          <w:sz w:val="17"/>
          <w:szCs w:val="17"/>
        </w:rPr>
      </w:pPr>
      <w:r>
        <w:rPr>
          <w:rFonts w:ascii="宋体" w:hAnsi="宋体" w:eastAsia="宋体" w:cs="宋体"/>
          <w:spacing w:val="23"/>
          <w:sz w:val="17"/>
          <w:szCs w:val="17"/>
        </w:rPr>
        <w:t>(2)测量电路的输出电压</w:t>
      </w:r>
      <w:r>
        <w:rPr>
          <w:rFonts w:ascii="Times New Roman" w:hAnsi="Times New Roman" w:eastAsia="Times New Roman" w:cs="Times New Roman"/>
          <w:sz w:val="17"/>
          <w:szCs w:val="17"/>
        </w:rPr>
        <w:t>UO</w:t>
      </w:r>
      <w:r>
        <w:rPr>
          <w:rFonts w:ascii="Times New Roman" w:hAnsi="Times New Roman" w:eastAsia="Times New Roman" w:cs="Times New Roman"/>
          <w:spacing w:val="6"/>
          <w:sz w:val="17"/>
          <w:szCs w:val="17"/>
        </w:rPr>
        <w:t xml:space="preserve"> </w:t>
      </w:r>
      <w:r>
        <w:rPr>
          <w:rFonts w:ascii="宋体" w:hAnsi="宋体" w:eastAsia="宋体" w:cs="宋体"/>
          <w:spacing w:val="23"/>
          <w:sz w:val="17"/>
          <w:szCs w:val="17"/>
        </w:rPr>
        <w:t>和最大输出电流</w:t>
      </w:r>
      <w:r>
        <w:rPr>
          <w:rFonts w:ascii="宋体" w:hAnsi="宋体" w:eastAsia="宋体" w:cs="宋体"/>
          <w:sz w:val="17"/>
          <w:szCs w:val="17"/>
        </w:rPr>
        <w:t xml:space="preserve"> </w:t>
      </w:r>
      <w:r>
        <w:rPr>
          <w:rFonts w:ascii="Times New Roman" w:hAnsi="Times New Roman" w:eastAsia="Times New Roman" w:cs="Times New Roman"/>
          <w:spacing w:val="-1"/>
          <w:sz w:val="17"/>
          <w:szCs w:val="17"/>
        </w:rPr>
        <w:t>IOmax</w:t>
      </w:r>
    </w:p>
    <w:p w14:paraId="58054924">
      <w:pPr>
        <w:spacing w:before="111" w:line="217" w:lineRule="auto"/>
        <w:ind w:left="440"/>
        <w:rPr>
          <w:rFonts w:ascii="宋体" w:hAnsi="宋体" w:eastAsia="宋体" w:cs="宋体"/>
          <w:sz w:val="17"/>
          <w:szCs w:val="17"/>
        </w:rPr>
      </w:pPr>
      <w:r>
        <w:rPr>
          <w:rFonts w:ascii="宋体" w:hAnsi="宋体" w:eastAsia="宋体" w:cs="宋体"/>
          <w:spacing w:val="2"/>
          <w:sz w:val="17"/>
          <w:szCs w:val="17"/>
        </w:rPr>
        <w:t>①测量输出电压</w:t>
      </w:r>
      <w:r>
        <w:rPr>
          <w:rFonts w:ascii="宋体" w:hAnsi="宋体" w:eastAsia="宋体" w:cs="宋体"/>
          <w:sz w:val="17"/>
          <w:szCs w:val="17"/>
        </w:rPr>
        <w:t>UO</w:t>
      </w:r>
      <w:r>
        <w:rPr>
          <w:rFonts w:ascii="宋体" w:hAnsi="宋体" w:eastAsia="宋体" w:cs="宋体"/>
          <w:spacing w:val="2"/>
          <w:sz w:val="17"/>
          <w:szCs w:val="17"/>
        </w:rPr>
        <w:t>。</w:t>
      </w:r>
      <w:r>
        <w:rPr>
          <w:rFonts w:ascii="宋体" w:hAnsi="宋体" w:eastAsia="宋体" w:cs="宋体"/>
          <w:spacing w:val="-18"/>
          <w:sz w:val="17"/>
          <w:szCs w:val="17"/>
        </w:rPr>
        <w:t xml:space="preserve"> </w:t>
      </w:r>
      <w:r>
        <w:rPr>
          <w:rFonts w:ascii="宋体" w:hAnsi="宋体" w:eastAsia="宋体" w:cs="宋体"/>
          <w:spacing w:val="2"/>
          <w:sz w:val="17"/>
          <w:szCs w:val="17"/>
        </w:rPr>
        <w:t>置负载电阻</w:t>
      </w:r>
      <w:r>
        <w:rPr>
          <w:rFonts w:ascii="宋体" w:hAnsi="宋体" w:eastAsia="宋体" w:cs="宋体"/>
          <w:sz w:val="17"/>
          <w:szCs w:val="17"/>
        </w:rPr>
        <w:t>RL</w:t>
      </w:r>
      <w:r>
        <w:rPr>
          <w:rFonts w:ascii="宋体" w:hAnsi="宋体" w:eastAsia="宋体" w:cs="宋体"/>
          <w:spacing w:val="2"/>
          <w:sz w:val="17"/>
          <w:szCs w:val="17"/>
        </w:rPr>
        <w:t>=100Ω。</w:t>
      </w:r>
    </w:p>
    <w:p w14:paraId="3ADBA524">
      <w:pPr>
        <w:spacing w:before="90" w:line="271" w:lineRule="auto"/>
        <w:ind w:left="60" w:right="351" w:firstLine="380"/>
        <w:rPr>
          <w:rFonts w:ascii="宋体" w:hAnsi="宋体" w:eastAsia="宋体" w:cs="宋体"/>
          <w:sz w:val="17"/>
          <w:szCs w:val="17"/>
        </w:rPr>
      </w:pPr>
      <w:r>
        <w:rPr>
          <w:rFonts w:ascii="宋体" w:hAnsi="宋体" w:eastAsia="宋体" w:cs="宋体"/>
          <w:spacing w:val="8"/>
          <w:sz w:val="17"/>
          <w:szCs w:val="17"/>
        </w:rPr>
        <w:t>②测量最大输出电流</w:t>
      </w:r>
      <w:r>
        <w:rPr>
          <w:rFonts w:ascii="宋体" w:hAnsi="宋体" w:eastAsia="宋体" w:cs="宋体"/>
          <w:sz w:val="17"/>
          <w:szCs w:val="17"/>
        </w:rPr>
        <w:t>IOmax</w:t>
      </w:r>
      <w:r>
        <w:rPr>
          <w:rFonts w:ascii="宋体" w:hAnsi="宋体" w:eastAsia="宋体" w:cs="宋体"/>
          <w:spacing w:val="8"/>
          <w:sz w:val="17"/>
          <w:szCs w:val="17"/>
        </w:rPr>
        <w:t>。</w:t>
      </w:r>
      <w:r>
        <w:rPr>
          <w:rFonts w:ascii="宋体" w:hAnsi="宋体" w:eastAsia="宋体" w:cs="宋体"/>
          <w:spacing w:val="-32"/>
          <w:sz w:val="17"/>
          <w:szCs w:val="17"/>
        </w:rPr>
        <w:t xml:space="preserve"> </w:t>
      </w:r>
      <w:r>
        <w:rPr>
          <w:rFonts w:ascii="宋体" w:hAnsi="宋体" w:eastAsia="宋体" w:cs="宋体"/>
          <w:spacing w:val="8"/>
          <w:sz w:val="17"/>
          <w:szCs w:val="17"/>
        </w:rPr>
        <w:t>负载电阻</w:t>
      </w:r>
      <w:r>
        <w:rPr>
          <w:rFonts w:ascii="宋体" w:hAnsi="宋体" w:eastAsia="宋体" w:cs="宋体"/>
          <w:sz w:val="17"/>
          <w:szCs w:val="17"/>
        </w:rPr>
        <w:t>RL</w:t>
      </w:r>
      <w:r>
        <w:rPr>
          <w:rFonts w:ascii="宋体" w:hAnsi="宋体" w:eastAsia="宋体" w:cs="宋体"/>
          <w:spacing w:val="8"/>
          <w:sz w:val="17"/>
          <w:szCs w:val="17"/>
        </w:rPr>
        <w:t xml:space="preserve"> 改接为</w:t>
      </w:r>
      <w:r>
        <w:rPr>
          <w:rFonts w:ascii="宋体" w:hAnsi="宋体" w:eastAsia="宋体" w:cs="宋体"/>
          <w:sz w:val="17"/>
          <w:szCs w:val="17"/>
        </w:rPr>
        <w:t xml:space="preserve"> </w:t>
      </w:r>
      <w:r>
        <w:rPr>
          <w:rFonts w:ascii="宋体" w:hAnsi="宋体" w:eastAsia="宋体" w:cs="宋体"/>
          <w:spacing w:val="-1"/>
          <w:sz w:val="17"/>
          <w:szCs w:val="17"/>
        </w:rPr>
        <w:t>可调电位器RW,</w:t>
      </w:r>
      <w:r>
        <w:rPr>
          <w:rFonts w:ascii="宋体" w:hAnsi="宋体" w:eastAsia="宋体" w:cs="宋体"/>
          <w:spacing w:val="46"/>
          <w:sz w:val="17"/>
          <w:szCs w:val="17"/>
        </w:rPr>
        <w:t xml:space="preserve"> </w:t>
      </w:r>
      <w:r>
        <w:rPr>
          <w:rFonts w:ascii="宋体" w:hAnsi="宋体" w:eastAsia="宋体" w:cs="宋体"/>
          <w:spacing w:val="-1"/>
          <w:sz w:val="17"/>
          <w:szCs w:val="17"/>
        </w:rPr>
        <w:t>置</w:t>
      </w:r>
      <w:r>
        <w:rPr>
          <w:rFonts w:ascii="宋体" w:hAnsi="宋体" w:eastAsia="宋体" w:cs="宋体"/>
          <w:spacing w:val="21"/>
          <w:sz w:val="17"/>
          <w:szCs w:val="17"/>
        </w:rPr>
        <w:t xml:space="preserve"> </w:t>
      </w:r>
      <w:r>
        <w:rPr>
          <w:rFonts w:ascii="宋体" w:hAnsi="宋体" w:eastAsia="宋体" w:cs="宋体"/>
          <w:spacing w:val="-1"/>
          <w:sz w:val="17"/>
          <w:szCs w:val="17"/>
        </w:rPr>
        <w:t>RW=100Ω。</w:t>
      </w:r>
    </w:p>
    <w:p w14:paraId="6BC8CAE1">
      <w:pPr>
        <w:spacing w:before="83" w:line="219" w:lineRule="auto"/>
        <w:ind w:left="500"/>
        <w:rPr>
          <w:rFonts w:ascii="宋体" w:hAnsi="宋体" w:eastAsia="宋体" w:cs="宋体"/>
          <w:sz w:val="17"/>
          <w:szCs w:val="17"/>
        </w:rPr>
      </w:pPr>
      <w:r>
        <w:rPr>
          <w:rFonts w:ascii="宋体" w:hAnsi="宋体" w:eastAsia="宋体" w:cs="宋体"/>
          <w:spacing w:val="11"/>
          <w:sz w:val="17"/>
          <w:szCs w:val="17"/>
        </w:rPr>
        <w:t>(3)测量稳压系数S</w:t>
      </w:r>
    </w:p>
    <w:p w14:paraId="541B22B1">
      <w:pPr>
        <w:spacing w:before="89" w:line="306" w:lineRule="auto"/>
        <w:ind w:left="60" w:right="353" w:firstLine="380"/>
        <w:jc w:val="both"/>
        <w:rPr>
          <w:rFonts w:ascii="宋体" w:hAnsi="宋体" w:eastAsia="宋体" w:cs="宋体"/>
          <w:sz w:val="17"/>
          <w:szCs w:val="17"/>
        </w:rPr>
      </w:pPr>
      <w:r>
        <w:rPr>
          <w:rFonts w:ascii="宋体" w:hAnsi="宋体" w:eastAsia="宋体" w:cs="宋体"/>
          <w:spacing w:val="5"/>
          <w:sz w:val="17"/>
          <w:szCs w:val="17"/>
        </w:rPr>
        <w:t>置负载电阻</w:t>
      </w:r>
      <w:r>
        <w:rPr>
          <w:rFonts w:ascii="Times New Roman" w:hAnsi="Times New Roman" w:eastAsia="Times New Roman" w:cs="Times New Roman"/>
          <w:sz w:val="17"/>
          <w:szCs w:val="17"/>
        </w:rPr>
        <w:t>RL</w:t>
      </w:r>
      <w:r>
        <w:rPr>
          <w:rFonts w:ascii="Times New Roman" w:hAnsi="Times New Roman" w:eastAsia="Times New Roman" w:cs="Times New Roman"/>
          <w:spacing w:val="5"/>
          <w:sz w:val="17"/>
          <w:szCs w:val="17"/>
        </w:rPr>
        <w:t>=100Ω</w:t>
      </w:r>
      <w:r>
        <w:rPr>
          <w:rFonts w:ascii="Times New Roman" w:hAnsi="Times New Roman" w:eastAsia="Times New Roman" w:cs="Times New Roman"/>
          <w:spacing w:val="-6"/>
          <w:sz w:val="17"/>
          <w:szCs w:val="17"/>
        </w:rPr>
        <w:t xml:space="preserve"> </w:t>
      </w:r>
      <w:r>
        <w:rPr>
          <w:rFonts w:ascii="宋体" w:hAnsi="宋体" w:eastAsia="宋体" w:cs="宋体"/>
          <w:spacing w:val="5"/>
          <w:sz w:val="17"/>
          <w:szCs w:val="17"/>
        </w:rPr>
        <w:t>。</w:t>
      </w:r>
      <w:r>
        <w:rPr>
          <w:rFonts w:ascii="宋体" w:hAnsi="宋体" w:eastAsia="宋体" w:cs="宋体"/>
          <w:spacing w:val="19"/>
          <w:sz w:val="17"/>
          <w:szCs w:val="17"/>
        </w:rPr>
        <w:t xml:space="preserve">  </w:t>
      </w:r>
      <w:r>
        <w:rPr>
          <w:rFonts w:ascii="宋体" w:hAnsi="宋体" w:eastAsia="宋体" w:cs="宋体"/>
          <w:spacing w:val="5"/>
          <w:sz w:val="17"/>
          <w:szCs w:val="17"/>
        </w:rPr>
        <w:t>调节工频交流电源使输</w:t>
      </w:r>
      <w:r>
        <w:rPr>
          <w:rFonts w:ascii="宋体" w:hAnsi="宋体" w:eastAsia="宋体" w:cs="宋体"/>
          <w:spacing w:val="1"/>
          <w:sz w:val="17"/>
          <w:szCs w:val="17"/>
        </w:rPr>
        <w:t xml:space="preserve"> </w:t>
      </w:r>
      <w:r>
        <w:rPr>
          <w:rFonts w:ascii="宋体" w:hAnsi="宋体" w:eastAsia="宋体" w:cs="宋体"/>
          <w:spacing w:val="5"/>
          <w:sz w:val="17"/>
          <w:szCs w:val="17"/>
        </w:rPr>
        <w:t>入电压为±10%时，记录对应的输出电压，利用稳压系</w:t>
      </w:r>
      <w:r>
        <w:rPr>
          <w:rFonts w:ascii="宋体" w:hAnsi="宋体" w:eastAsia="宋体" w:cs="宋体"/>
          <w:spacing w:val="14"/>
          <w:sz w:val="17"/>
          <w:szCs w:val="17"/>
        </w:rPr>
        <w:t xml:space="preserve"> </w:t>
      </w:r>
      <w:r>
        <w:rPr>
          <w:rFonts w:ascii="宋体" w:hAnsi="宋体" w:eastAsia="宋体" w:cs="宋体"/>
          <w:spacing w:val="-2"/>
          <w:sz w:val="17"/>
          <w:szCs w:val="17"/>
        </w:rPr>
        <w:t>数</w:t>
      </w:r>
      <w:r>
        <w:rPr>
          <w:rFonts w:ascii="宋体" w:hAnsi="宋体" w:eastAsia="宋体" w:cs="宋体"/>
          <w:spacing w:val="-43"/>
          <w:sz w:val="17"/>
          <w:szCs w:val="17"/>
        </w:rPr>
        <w:t xml:space="preserve"> </w:t>
      </w:r>
      <w:r>
        <w:rPr>
          <w:rFonts w:ascii="Times New Roman" w:hAnsi="Times New Roman" w:eastAsia="Times New Roman" w:cs="Times New Roman"/>
          <w:spacing w:val="-2"/>
          <w:sz w:val="17"/>
          <w:szCs w:val="17"/>
        </w:rPr>
        <w:t xml:space="preserve">S </w:t>
      </w:r>
      <w:r>
        <w:rPr>
          <w:rFonts w:ascii="宋体" w:hAnsi="宋体" w:eastAsia="宋体" w:cs="宋体"/>
          <w:spacing w:val="-2"/>
          <w:sz w:val="17"/>
          <w:szCs w:val="17"/>
        </w:rPr>
        <w:t>公式计算。</w:t>
      </w:r>
    </w:p>
    <w:p w14:paraId="1B8422C2">
      <w:pPr>
        <w:spacing w:before="23" w:line="269" w:lineRule="auto"/>
        <w:ind w:left="415" w:right="274" w:firstLine="85"/>
        <w:rPr>
          <w:rFonts w:ascii="宋体" w:hAnsi="宋体" w:eastAsia="宋体" w:cs="宋体"/>
          <w:sz w:val="17"/>
          <w:szCs w:val="17"/>
        </w:rPr>
      </w:pPr>
      <w:r>
        <w:rPr>
          <w:rFonts w:ascii="宋体" w:hAnsi="宋体" w:eastAsia="宋体" w:cs="宋体"/>
          <w:spacing w:val="-2"/>
          <w:sz w:val="17"/>
          <w:szCs w:val="17"/>
        </w:rPr>
        <w:t>(4)三端固定式集成稳压电路故障检修及故障分析。</w:t>
      </w:r>
      <w:r>
        <w:rPr>
          <w:rFonts w:ascii="宋体" w:hAnsi="宋体" w:eastAsia="宋体" w:cs="宋体"/>
          <w:spacing w:val="6"/>
          <w:sz w:val="17"/>
          <w:szCs w:val="17"/>
        </w:rPr>
        <w:t xml:space="preserve"> </w:t>
      </w:r>
      <w:r>
        <w:rPr>
          <w:rFonts w:ascii="宋体" w:hAnsi="宋体" w:eastAsia="宋体" w:cs="宋体"/>
          <w:spacing w:val="8"/>
          <w:sz w:val="17"/>
          <w:szCs w:val="17"/>
        </w:rPr>
        <w:t>【测试方法】</w:t>
      </w:r>
    </w:p>
    <w:p w14:paraId="56667E94">
      <w:pPr>
        <w:spacing w:before="96" w:line="219" w:lineRule="auto"/>
        <w:ind w:left="440"/>
        <w:rPr>
          <w:rFonts w:ascii="宋体" w:hAnsi="宋体" w:eastAsia="宋体" w:cs="宋体"/>
          <w:sz w:val="17"/>
          <w:szCs w:val="17"/>
        </w:rPr>
      </w:pPr>
      <w:r>
        <w:rPr>
          <w:rFonts w:ascii="宋体" w:hAnsi="宋体" w:eastAsia="宋体" w:cs="宋体"/>
          <w:spacing w:val="-10"/>
          <w:sz w:val="17"/>
          <w:szCs w:val="17"/>
        </w:rPr>
        <w:t>1、使用双踪示波器测量电路整流滤波前后波形差异。</w:t>
      </w:r>
    </w:p>
    <w:p w14:paraId="60A42D06">
      <w:pPr>
        <w:spacing w:before="77" w:line="273" w:lineRule="auto"/>
        <w:ind w:left="60" w:right="339" w:firstLine="380"/>
        <w:rPr>
          <w:rFonts w:ascii="宋体" w:hAnsi="宋体" w:eastAsia="宋体" w:cs="宋体"/>
          <w:sz w:val="17"/>
          <w:szCs w:val="17"/>
        </w:rPr>
      </w:pPr>
      <w:r>
        <w:rPr>
          <w:rFonts w:ascii="宋体" w:hAnsi="宋体" w:eastAsia="宋体" w:cs="宋体"/>
          <w:spacing w:val="5"/>
          <w:sz w:val="17"/>
          <w:szCs w:val="17"/>
        </w:rPr>
        <w:t>2、使用万用表电压档和直流电流档测量电路输出</w:t>
      </w:r>
      <w:r>
        <w:rPr>
          <w:rFonts w:ascii="宋体" w:hAnsi="宋体" w:eastAsia="宋体" w:cs="宋体"/>
          <w:spacing w:val="14"/>
          <w:sz w:val="17"/>
          <w:szCs w:val="17"/>
        </w:rPr>
        <w:t xml:space="preserve"> </w:t>
      </w:r>
      <w:r>
        <w:rPr>
          <w:rFonts w:ascii="宋体" w:hAnsi="宋体" w:eastAsia="宋体" w:cs="宋体"/>
          <w:spacing w:val="-2"/>
          <w:sz w:val="17"/>
          <w:szCs w:val="17"/>
        </w:rPr>
        <w:t>电压和最大输出电流数值。</w:t>
      </w:r>
    </w:p>
    <w:p w14:paraId="0E5DBDB5">
      <w:pPr>
        <w:spacing w:before="79" w:line="221" w:lineRule="auto"/>
        <w:ind w:left="415"/>
        <w:rPr>
          <w:rFonts w:ascii="宋体" w:hAnsi="宋体" w:eastAsia="宋体" w:cs="宋体"/>
          <w:sz w:val="17"/>
          <w:szCs w:val="17"/>
        </w:rPr>
      </w:pPr>
      <w:r>
        <w:rPr>
          <w:rFonts w:ascii="宋体" w:hAnsi="宋体" w:eastAsia="宋体" w:cs="宋体"/>
          <w:spacing w:val="8"/>
          <w:sz w:val="17"/>
          <w:szCs w:val="17"/>
        </w:rPr>
        <w:t>【测试要求】</w:t>
      </w:r>
    </w:p>
    <w:p w14:paraId="227B44DA">
      <w:pPr>
        <w:spacing w:before="96" w:line="220" w:lineRule="auto"/>
        <w:ind w:left="440"/>
        <w:rPr>
          <w:rFonts w:ascii="宋体" w:hAnsi="宋体" w:eastAsia="宋体" w:cs="宋体"/>
          <w:sz w:val="17"/>
          <w:szCs w:val="17"/>
        </w:rPr>
      </w:pPr>
      <w:r>
        <w:rPr>
          <w:rFonts w:ascii="宋体" w:hAnsi="宋体" w:eastAsia="宋体" w:cs="宋体"/>
          <w:spacing w:val="4"/>
          <w:sz w:val="17"/>
          <w:szCs w:val="17"/>
        </w:rPr>
        <w:t>1、测试时间90分钟。</w:t>
      </w:r>
    </w:p>
    <w:p w14:paraId="34C3351E">
      <w:pPr>
        <w:spacing w:before="76" w:line="219" w:lineRule="auto"/>
        <w:ind w:left="440"/>
        <w:rPr>
          <w:rFonts w:ascii="宋体" w:hAnsi="宋体" w:eastAsia="宋体" w:cs="宋体"/>
          <w:sz w:val="17"/>
          <w:szCs w:val="17"/>
        </w:rPr>
      </w:pPr>
      <w:r>
        <w:rPr>
          <w:rFonts w:ascii="宋体" w:hAnsi="宋体" w:eastAsia="宋体" w:cs="宋体"/>
          <w:spacing w:val="-1"/>
          <w:sz w:val="17"/>
          <w:szCs w:val="17"/>
        </w:rPr>
        <w:t>2、完成元器件在多孔电路板的插装、焊接。</w:t>
      </w:r>
    </w:p>
    <w:p w14:paraId="7837D36C">
      <w:pPr>
        <w:spacing w:before="100" w:line="219" w:lineRule="auto"/>
        <w:ind w:left="440"/>
        <w:rPr>
          <w:rFonts w:ascii="宋体" w:hAnsi="宋体" w:eastAsia="宋体" w:cs="宋体"/>
          <w:sz w:val="17"/>
          <w:szCs w:val="17"/>
        </w:rPr>
      </w:pPr>
      <w:r>
        <w:rPr>
          <w:rFonts w:ascii="宋体" w:hAnsi="宋体" w:eastAsia="宋体" w:cs="宋体"/>
          <w:spacing w:val="-1"/>
          <w:sz w:val="17"/>
          <w:szCs w:val="17"/>
        </w:rPr>
        <w:t>3、画出电路整流滤波前后波形。</w:t>
      </w:r>
    </w:p>
    <w:p w14:paraId="4A503D2B">
      <w:pPr>
        <w:spacing w:before="78" w:line="267" w:lineRule="auto"/>
        <w:ind w:left="60" w:right="359" w:firstLine="380"/>
        <w:rPr>
          <w:rFonts w:ascii="宋体" w:hAnsi="宋体" w:eastAsia="宋体" w:cs="宋体"/>
          <w:sz w:val="17"/>
          <w:szCs w:val="17"/>
        </w:rPr>
      </w:pPr>
      <w:r>
        <w:rPr>
          <w:rFonts w:ascii="宋体" w:hAnsi="宋体" w:eastAsia="宋体" w:cs="宋体"/>
          <w:spacing w:val="8"/>
          <w:sz w:val="17"/>
          <w:szCs w:val="17"/>
        </w:rPr>
        <w:t>4、绘制表格填写电路的输出电压</w:t>
      </w:r>
      <w:r>
        <w:rPr>
          <w:rFonts w:ascii="宋体" w:hAnsi="宋体" w:eastAsia="宋体" w:cs="宋体"/>
          <w:sz w:val="17"/>
          <w:szCs w:val="17"/>
        </w:rPr>
        <w:t>UO</w:t>
      </w:r>
      <w:r>
        <w:rPr>
          <w:rFonts w:ascii="宋体" w:hAnsi="宋体" w:eastAsia="宋体" w:cs="宋体"/>
          <w:spacing w:val="29"/>
          <w:sz w:val="17"/>
          <w:szCs w:val="17"/>
        </w:rPr>
        <w:t xml:space="preserve"> </w:t>
      </w:r>
      <w:r>
        <w:rPr>
          <w:rFonts w:ascii="宋体" w:hAnsi="宋体" w:eastAsia="宋体" w:cs="宋体"/>
          <w:spacing w:val="8"/>
          <w:sz w:val="17"/>
          <w:szCs w:val="17"/>
        </w:rPr>
        <w:t>和最大输出</w:t>
      </w:r>
      <w:r>
        <w:rPr>
          <w:rFonts w:ascii="宋体" w:hAnsi="宋体" w:eastAsia="宋体" w:cs="宋体"/>
          <w:sz w:val="17"/>
          <w:szCs w:val="17"/>
        </w:rPr>
        <w:t xml:space="preserve"> </w:t>
      </w:r>
      <w:r>
        <w:rPr>
          <w:rFonts w:ascii="宋体" w:hAnsi="宋体" w:eastAsia="宋体" w:cs="宋体"/>
          <w:spacing w:val="7"/>
          <w:sz w:val="17"/>
          <w:szCs w:val="17"/>
        </w:rPr>
        <w:t>电流</w:t>
      </w:r>
      <w:r>
        <w:rPr>
          <w:rFonts w:ascii="Times New Roman" w:hAnsi="Times New Roman" w:eastAsia="Times New Roman" w:cs="Times New Roman"/>
          <w:sz w:val="17"/>
          <w:szCs w:val="17"/>
        </w:rPr>
        <w:t>IOmax</w:t>
      </w:r>
      <w:r>
        <w:rPr>
          <w:rFonts w:ascii="宋体" w:hAnsi="宋体" w:eastAsia="宋体" w:cs="宋体"/>
          <w:spacing w:val="7"/>
          <w:sz w:val="17"/>
          <w:szCs w:val="17"/>
        </w:rPr>
        <w:t>的数值。</w:t>
      </w:r>
    </w:p>
    <w:p w14:paraId="2787870C">
      <w:pPr>
        <w:spacing w:before="88" w:line="219" w:lineRule="auto"/>
        <w:ind w:left="415"/>
        <w:rPr>
          <w:rFonts w:ascii="宋体" w:hAnsi="宋体" w:eastAsia="宋体" w:cs="宋体"/>
          <w:sz w:val="17"/>
          <w:szCs w:val="17"/>
        </w:rPr>
      </w:pPr>
      <w:r>
        <w:rPr>
          <w:rFonts w:ascii="宋体" w:hAnsi="宋体" w:eastAsia="宋体" w:cs="宋体"/>
          <w:spacing w:val="8"/>
          <w:sz w:val="17"/>
          <w:szCs w:val="17"/>
        </w:rPr>
        <w:t>【赋分参考】</w:t>
      </w:r>
    </w:p>
    <w:p w14:paraId="4BA66C30">
      <w:pPr>
        <w:spacing w:before="99" w:line="219" w:lineRule="auto"/>
        <w:ind w:left="440"/>
        <w:rPr>
          <w:rFonts w:ascii="宋体" w:hAnsi="宋体" w:eastAsia="宋体" w:cs="宋体"/>
          <w:sz w:val="17"/>
          <w:szCs w:val="17"/>
        </w:rPr>
      </w:pPr>
      <w:r>
        <w:rPr>
          <w:rFonts w:ascii="宋体" w:hAnsi="宋体" w:eastAsia="宋体" w:cs="宋体"/>
          <w:spacing w:val="11"/>
          <w:sz w:val="17"/>
          <w:szCs w:val="17"/>
        </w:rPr>
        <w:t>1、元器件成型及装配(20分)。</w:t>
      </w:r>
    </w:p>
    <w:p w14:paraId="16CB3A9A">
      <w:pPr>
        <w:spacing w:before="87" w:line="219" w:lineRule="auto"/>
        <w:ind w:left="440"/>
        <w:rPr>
          <w:rFonts w:ascii="宋体" w:hAnsi="宋体" w:eastAsia="宋体" w:cs="宋体"/>
          <w:sz w:val="17"/>
          <w:szCs w:val="17"/>
        </w:rPr>
      </w:pPr>
      <w:r>
        <w:rPr>
          <w:rFonts w:ascii="宋体" w:hAnsi="宋体" w:eastAsia="宋体" w:cs="宋体"/>
          <w:spacing w:val="9"/>
          <w:sz w:val="17"/>
          <w:szCs w:val="17"/>
        </w:rPr>
        <w:t>2、元器件在多孔电板上插装、焊接(70分)。</w:t>
      </w:r>
    </w:p>
    <w:p w14:paraId="3BA437DF">
      <w:pPr>
        <w:spacing w:before="89" w:line="219" w:lineRule="auto"/>
        <w:ind w:left="440"/>
        <w:rPr>
          <w:rFonts w:ascii="宋体" w:hAnsi="宋体" w:eastAsia="宋体" w:cs="宋体"/>
          <w:sz w:val="17"/>
          <w:szCs w:val="17"/>
        </w:rPr>
      </w:pPr>
      <w:r>
        <w:rPr>
          <w:rFonts w:ascii="宋体" w:hAnsi="宋体" w:eastAsia="宋体" w:cs="宋体"/>
          <w:spacing w:val="-1"/>
          <w:sz w:val="17"/>
          <w:szCs w:val="17"/>
        </w:rPr>
        <w:t>3、技能测试电路的调试与检测。</w:t>
      </w:r>
    </w:p>
    <w:p w14:paraId="44984BFB">
      <w:pPr>
        <w:spacing w:before="79" w:line="219" w:lineRule="auto"/>
        <w:ind w:left="500"/>
        <w:rPr>
          <w:rFonts w:ascii="宋体" w:hAnsi="宋体" w:eastAsia="宋体" w:cs="宋体"/>
          <w:sz w:val="17"/>
          <w:szCs w:val="17"/>
        </w:rPr>
      </w:pPr>
      <w:r>
        <w:rPr>
          <w:rFonts w:ascii="宋体" w:hAnsi="宋体" w:eastAsia="宋体" w:cs="宋体"/>
          <w:spacing w:val="5"/>
          <w:sz w:val="17"/>
          <w:szCs w:val="17"/>
        </w:rPr>
        <w:t>(1)观察测量整流滤波前后波形差异。</w:t>
      </w:r>
    </w:p>
    <w:p w14:paraId="4D96BFF9">
      <w:pPr>
        <w:spacing w:before="86" w:line="217" w:lineRule="auto"/>
        <w:ind w:left="440"/>
        <w:rPr>
          <w:rFonts w:ascii="宋体" w:hAnsi="宋体" w:eastAsia="宋体" w:cs="宋体"/>
          <w:sz w:val="17"/>
          <w:szCs w:val="17"/>
        </w:rPr>
      </w:pPr>
      <w:r>
        <w:rPr>
          <w:rFonts w:ascii="宋体" w:hAnsi="宋体" w:eastAsia="宋体" w:cs="宋体"/>
          <w:sz w:val="17"/>
          <w:szCs w:val="17"/>
        </w:rPr>
        <w:t>①断开电解电容器C1(30</w:t>
      </w:r>
      <w:r>
        <w:rPr>
          <w:rFonts w:ascii="宋体" w:hAnsi="宋体" w:eastAsia="宋体" w:cs="宋体"/>
          <w:spacing w:val="63"/>
          <w:sz w:val="17"/>
          <w:szCs w:val="17"/>
        </w:rPr>
        <w:t xml:space="preserve"> </w:t>
      </w:r>
      <w:r>
        <w:rPr>
          <w:rFonts w:ascii="宋体" w:hAnsi="宋体" w:eastAsia="宋体" w:cs="宋体"/>
          <w:sz w:val="17"/>
          <w:szCs w:val="17"/>
        </w:rPr>
        <w:t>分</w:t>
      </w:r>
      <w:r>
        <w:rPr>
          <w:rFonts w:ascii="宋体" w:hAnsi="宋体" w:eastAsia="宋体" w:cs="宋体"/>
          <w:spacing w:val="-21"/>
          <w:sz w:val="17"/>
          <w:szCs w:val="17"/>
        </w:rPr>
        <w:t xml:space="preserve"> </w:t>
      </w:r>
      <w:r>
        <w:rPr>
          <w:rFonts w:ascii="宋体" w:hAnsi="宋体" w:eastAsia="宋体" w:cs="宋体"/>
          <w:sz w:val="17"/>
          <w:szCs w:val="17"/>
        </w:rPr>
        <w:t>)</w:t>
      </w:r>
      <w:r>
        <w:rPr>
          <w:rFonts w:ascii="宋体" w:hAnsi="宋体" w:eastAsia="宋体" w:cs="宋体"/>
          <w:spacing w:val="-29"/>
          <w:sz w:val="17"/>
          <w:szCs w:val="17"/>
        </w:rPr>
        <w:t xml:space="preserve"> </w:t>
      </w:r>
      <w:r>
        <w:rPr>
          <w:rFonts w:ascii="宋体" w:hAnsi="宋体" w:eastAsia="宋体" w:cs="宋体"/>
          <w:sz w:val="17"/>
          <w:szCs w:val="17"/>
        </w:rPr>
        <w:t>。</w:t>
      </w:r>
    </w:p>
    <w:p w14:paraId="0DC720A4">
      <w:pPr>
        <w:spacing w:before="90" w:line="217" w:lineRule="auto"/>
        <w:ind w:left="440"/>
        <w:rPr>
          <w:rFonts w:ascii="宋体" w:hAnsi="宋体" w:eastAsia="宋体" w:cs="宋体"/>
          <w:sz w:val="17"/>
          <w:szCs w:val="17"/>
        </w:rPr>
      </w:pPr>
      <w:r>
        <w:rPr>
          <w:rFonts w:ascii="宋体" w:hAnsi="宋体" w:eastAsia="宋体" w:cs="宋体"/>
          <w:spacing w:val="-2"/>
          <w:sz w:val="17"/>
          <w:szCs w:val="17"/>
        </w:rPr>
        <w:t>②</w:t>
      </w:r>
      <w:r>
        <w:rPr>
          <w:rFonts w:ascii="宋体" w:hAnsi="宋体" w:eastAsia="宋体" w:cs="宋体"/>
          <w:spacing w:val="-56"/>
          <w:sz w:val="17"/>
          <w:szCs w:val="17"/>
        </w:rPr>
        <w:t xml:space="preserve"> </w:t>
      </w:r>
      <w:r>
        <w:rPr>
          <w:rFonts w:ascii="宋体" w:hAnsi="宋体" w:eastAsia="宋体" w:cs="宋体"/>
          <w:spacing w:val="-2"/>
          <w:sz w:val="17"/>
          <w:szCs w:val="17"/>
        </w:rPr>
        <w:t>接入电解电容器C1(30</w:t>
      </w:r>
      <w:r>
        <w:rPr>
          <w:rFonts w:ascii="宋体" w:hAnsi="宋体" w:eastAsia="宋体" w:cs="宋体"/>
          <w:spacing w:val="56"/>
          <w:sz w:val="17"/>
          <w:szCs w:val="17"/>
        </w:rPr>
        <w:t xml:space="preserve"> </w:t>
      </w:r>
      <w:r>
        <w:rPr>
          <w:rFonts w:ascii="宋体" w:hAnsi="宋体" w:eastAsia="宋体" w:cs="宋体"/>
          <w:spacing w:val="-2"/>
          <w:sz w:val="17"/>
          <w:szCs w:val="17"/>
        </w:rPr>
        <w:t>分</w:t>
      </w:r>
      <w:r>
        <w:rPr>
          <w:rFonts w:ascii="宋体" w:hAnsi="宋体" w:eastAsia="宋体" w:cs="宋体"/>
          <w:spacing w:val="-16"/>
          <w:sz w:val="17"/>
          <w:szCs w:val="17"/>
        </w:rPr>
        <w:t xml:space="preserve"> </w:t>
      </w:r>
      <w:r>
        <w:rPr>
          <w:rFonts w:ascii="宋体" w:hAnsi="宋体" w:eastAsia="宋体" w:cs="宋体"/>
          <w:spacing w:val="-2"/>
          <w:sz w:val="17"/>
          <w:szCs w:val="17"/>
        </w:rPr>
        <w:t>)</w:t>
      </w:r>
      <w:r>
        <w:rPr>
          <w:rFonts w:ascii="宋体" w:hAnsi="宋体" w:eastAsia="宋体" w:cs="宋体"/>
          <w:spacing w:val="-24"/>
          <w:sz w:val="17"/>
          <w:szCs w:val="17"/>
        </w:rPr>
        <w:t xml:space="preserve"> </w:t>
      </w:r>
      <w:r>
        <w:rPr>
          <w:rFonts w:ascii="宋体" w:hAnsi="宋体" w:eastAsia="宋体" w:cs="宋体"/>
          <w:spacing w:val="-2"/>
          <w:sz w:val="17"/>
          <w:szCs w:val="17"/>
        </w:rPr>
        <w:t>。</w:t>
      </w:r>
    </w:p>
    <w:p w14:paraId="0D240431">
      <w:pPr>
        <w:spacing w:before="91" w:line="261" w:lineRule="auto"/>
        <w:ind w:left="60" w:right="352" w:firstLine="440"/>
        <w:rPr>
          <w:rFonts w:ascii="宋体" w:hAnsi="宋体" w:eastAsia="宋体" w:cs="宋体"/>
          <w:sz w:val="17"/>
          <w:szCs w:val="17"/>
        </w:rPr>
      </w:pPr>
      <w:r>
        <w:rPr>
          <w:rFonts w:ascii="宋体" w:hAnsi="宋体" w:eastAsia="宋体" w:cs="宋体"/>
          <w:spacing w:val="23"/>
          <w:sz w:val="17"/>
          <w:szCs w:val="17"/>
        </w:rPr>
        <w:t>(2)测量电路的输出电压</w:t>
      </w:r>
      <w:r>
        <w:rPr>
          <w:rFonts w:ascii="Times New Roman" w:hAnsi="Times New Roman" w:eastAsia="Times New Roman" w:cs="Times New Roman"/>
          <w:sz w:val="17"/>
          <w:szCs w:val="17"/>
        </w:rPr>
        <w:t>UO</w:t>
      </w:r>
      <w:r>
        <w:rPr>
          <w:rFonts w:ascii="Times New Roman" w:hAnsi="Times New Roman" w:eastAsia="Times New Roman" w:cs="Times New Roman"/>
          <w:spacing w:val="6"/>
          <w:sz w:val="17"/>
          <w:szCs w:val="17"/>
        </w:rPr>
        <w:t xml:space="preserve"> </w:t>
      </w:r>
      <w:r>
        <w:rPr>
          <w:rFonts w:ascii="宋体" w:hAnsi="宋体" w:eastAsia="宋体" w:cs="宋体"/>
          <w:spacing w:val="23"/>
          <w:sz w:val="17"/>
          <w:szCs w:val="17"/>
        </w:rPr>
        <w:t>和最大输出电流</w:t>
      </w:r>
      <w:r>
        <w:rPr>
          <w:rFonts w:ascii="宋体" w:hAnsi="宋体" w:eastAsia="宋体" w:cs="宋体"/>
          <w:sz w:val="17"/>
          <w:szCs w:val="17"/>
        </w:rPr>
        <w:t xml:space="preserve"> </w:t>
      </w:r>
      <w:r>
        <w:rPr>
          <w:rFonts w:ascii="Times New Roman" w:hAnsi="Times New Roman" w:eastAsia="Times New Roman" w:cs="Times New Roman"/>
          <w:spacing w:val="-1"/>
          <w:sz w:val="17"/>
          <w:szCs w:val="17"/>
        </w:rPr>
        <w:t>IOmax</w:t>
      </w:r>
      <w:r>
        <w:rPr>
          <w:rFonts w:ascii="宋体" w:hAnsi="宋体" w:eastAsia="宋体" w:cs="宋体"/>
          <w:spacing w:val="-1"/>
          <w:sz w:val="17"/>
          <w:szCs w:val="17"/>
        </w:rPr>
        <w:t>。</w:t>
      </w:r>
    </w:p>
    <w:p w14:paraId="772AA24A">
      <w:pPr>
        <w:spacing w:before="99" w:line="217" w:lineRule="auto"/>
        <w:ind w:left="440"/>
        <w:rPr>
          <w:rFonts w:ascii="宋体" w:hAnsi="宋体" w:eastAsia="宋体" w:cs="宋体"/>
          <w:sz w:val="17"/>
          <w:szCs w:val="17"/>
        </w:rPr>
      </w:pPr>
      <w:r>
        <w:rPr>
          <w:rFonts w:ascii="宋体" w:hAnsi="宋体" w:eastAsia="宋体" w:cs="宋体"/>
          <w:spacing w:val="1"/>
          <w:sz w:val="17"/>
          <w:szCs w:val="17"/>
        </w:rPr>
        <w:t>①测量输出电压</w:t>
      </w:r>
      <w:r>
        <w:rPr>
          <w:rFonts w:ascii="宋体" w:hAnsi="宋体" w:eastAsia="宋体" w:cs="宋体"/>
          <w:sz w:val="17"/>
          <w:szCs w:val="17"/>
        </w:rPr>
        <w:t>UO</w:t>
      </w:r>
      <w:r>
        <w:rPr>
          <w:rFonts w:ascii="宋体" w:hAnsi="宋体" w:eastAsia="宋体" w:cs="宋体"/>
          <w:spacing w:val="1"/>
          <w:sz w:val="17"/>
          <w:szCs w:val="17"/>
        </w:rPr>
        <w:t>(15  分</w:t>
      </w:r>
      <w:r>
        <w:rPr>
          <w:rFonts w:ascii="宋体" w:hAnsi="宋体" w:eastAsia="宋体" w:cs="宋体"/>
          <w:spacing w:val="-14"/>
          <w:sz w:val="17"/>
          <w:szCs w:val="17"/>
        </w:rPr>
        <w:t xml:space="preserve"> </w:t>
      </w:r>
      <w:r>
        <w:rPr>
          <w:rFonts w:ascii="宋体" w:hAnsi="宋体" w:eastAsia="宋体" w:cs="宋体"/>
          <w:spacing w:val="1"/>
          <w:sz w:val="17"/>
          <w:szCs w:val="17"/>
        </w:rPr>
        <w:t>)</w:t>
      </w:r>
      <w:r>
        <w:rPr>
          <w:rFonts w:ascii="宋体" w:hAnsi="宋体" w:eastAsia="宋体" w:cs="宋体"/>
          <w:spacing w:val="-23"/>
          <w:sz w:val="17"/>
          <w:szCs w:val="17"/>
        </w:rPr>
        <w:t xml:space="preserve"> </w:t>
      </w:r>
      <w:r>
        <w:rPr>
          <w:rFonts w:ascii="宋体" w:hAnsi="宋体" w:eastAsia="宋体" w:cs="宋体"/>
          <w:spacing w:val="1"/>
          <w:sz w:val="17"/>
          <w:szCs w:val="17"/>
        </w:rPr>
        <w:t>。</w:t>
      </w:r>
    </w:p>
    <w:p w14:paraId="6C2AE56F">
      <w:pPr>
        <w:spacing w:before="100" w:line="217" w:lineRule="auto"/>
        <w:ind w:left="440"/>
        <w:rPr>
          <w:rFonts w:ascii="宋体" w:hAnsi="宋体" w:eastAsia="宋体" w:cs="宋体"/>
          <w:sz w:val="17"/>
          <w:szCs w:val="17"/>
        </w:rPr>
      </w:pPr>
      <w:r>
        <w:rPr>
          <w:rFonts w:ascii="宋体" w:hAnsi="宋体" w:eastAsia="宋体" w:cs="宋体"/>
          <w:spacing w:val="-2"/>
          <w:sz w:val="17"/>
          <w:szCs w:val="17"/>
        </w:rPr>
        <w:t>②测量最大输出电流</w:t>
      </w:r>
      <w:r>
        <w:rPr>
          <w:rFonts w:ascii="宋体" w:hAnsi="宋体" w:eastAsia="宋体" w:cs="宋体"/>
          <w:spacing w:val="-48"/>
          <w:sz w:val="17"/>
          <w:szCs w:val="17"/>
        </w:rPr>
        <w:t xml:space="preserve"> </w:t>
      </w:r>
      <w:r>
        <w:rPr>
          <w:rFonts w:ascii="宋体" w:hAnsi="宋体" w:eastAsia="宋体" w:cs="宋体"/>
          <w:spacing w:val="-2"/>
          <w:sz w:val="17"/>
          <w:szCs w:val="17"/>
        </w:rPr>
        <w:t>IOmax(15</w:t>
      </w:r>
      <w:r>
        <w:rPr>
          <w:rFonts w:ascii="宋体" w:hAnsi="宋体" w:eastAsia="宋体" w:cs="宋体"/>
          <w:spacing w:val="71"/>
          <w:sz w:val="17"/>
          <w:szCs w:val="17"/>
        </w:rPr>
        <w:t xml:space="preserve"> </w:t>
      </w:r>
      <w:r>
        <w:rPr>
          <w:rFonts w:ascii="宋体" w:hAnsi="宋体" w:eastAsia="宋体" w:cs="宋体"/>
          <w:spacing w:val="-2"/>
          <w:sz w:val="17"/>
          <w:szCs w:val="17"/>
        </w:rPr>
        <w:t>分</w:t>
      </w:r>
      <w:r>
        <w:rPr>
          <w:rFonts w:ascii="宋体" w:hAnsi="宋体" w:eastAsia="宋体" w:cs="宋体"/>
          <w:spacing w:val="-16"/>
          <w:sz w:val="17"/>
          <w:szCs w:val="17"/>
        </w:rPr>
        <w:t xml:space="preserve"> </w:t>
      </w:r>
      <w:r>
        <w:rPr>
          <w:rFonts w:ascii="宋体" w:hAnsi="宋体" w:eastAsia="宋体" w:cs="宋体"/>
          <w:spacing w:val="-2"/>
          <w:sz w:val="17"/>
          <w:szCs w:val="17"/>
        </w:rPr>
        <w:t>)</w:t>
      </w:r>
      <w:r>
        <w:rPr>
          <w:rFonts w:ascii="宋体" w:hAnsi="宋体" w:eastAsia="宋体" w:cs="宋体"/>
          <w:spacing w:val="-24"/>
          <w:sz w:val="17"/>
          <w:szCs w:val="17"/>
        </w:rPr>
        <w:t xml:space="preserve"> </w:t>
      </w:r>
      <w:r>
        <w:rPr>
          <w:rFonts w:ascii="宋体" w:hAnsi="宋体" w:eastAsia="宋体" w:cs="宋体"/>
          <w:spacing w:val="-2"/>
          <w:sz w:val="17"/>
          <w:szCs w:val="17"/>
        </w:rPr>
        <w:t>。</w:t>
      </w:r>
    </w:p>
    <w:p w14:paraId="47C39982">
      <w:pPr>
        <w:spacing w:before="92" w:line="219" w:lineRule="auto"/>
        <w:ind w:left="500"/>
        <w:rPr>
          <w:rFonts w:ascii="宋体" w:hAnsi="宋体" w:eastAsia="宋体" w:cs="宋体"/>
          <w:sz w:val="17"/>
          <w:szCs w:val="17"/>
        </w:rPr>
      </w:pPr>
      <w:r>
        <w:rPr>
          <w:rFonts w:ascii="宋体" w:hAnsi="宋体" w:eastAsia="宋体" w:cs="宋体"/>
          <w:spacing w:val="5"/>
          <w:sz w:val="17"/>
          <w:szCs w:val="17"/>
        </w:rPr>
        <w:t>(3)测量稳压系数S(20</w:t>
      </w:r>
      <w:r>
        <w:rPr>
          <w:rFonts w:ascii="宋体" w:hAnsi="宋体" w:eastAsia="宋体" w:cs="宋体"/>
          <w:spacing w:val="56"/>
          <w:w w:val="101"/>
          <w:sz w:val="17"/>
          <w:szCs w:val="17"/>
        </w:rPr>
        <w:t xml:space="preserve"> </w:t>
      </w:r>
      <w:r>
        <w:rPr>
          <w:rFonts w:ascii="宋体" w:hAnsi="宋体" w:eastAsia="宋体" w:cs="宋体"/>
          <w:spacing w:val="5"/>
          <w:sz w:val="17"/>
          <w:szCs w:val="17"/>
        </w:rPr>
        <w:t>分 )</w:t>
      </w:r>
      <w:r>
        <w:rPr>
          <w:rFonts w:ascii="宋体" w:hAnsi="宋体" w:eastAsia="宋体" w:cs="宋体"/>
          <w:spacing w:val="-19"/>
          <w:sz w:val="17"/>
          <w:szCs w:val="17"/>
        </w:rPr>
        <w:t xml:space="preserve"> </w:t>
      </w:r>
      <w:r>
        <w:rPr>
          <w:rFonts w:ascii="宋体" w:hAnsi="宋体" w:eastAsia="宋体" w:cs="宋体"/>
          <w:spacing w:val="5"/>
          <w:sz w:val="17"/>
          <w:szCs w:val="17"/>
        </w:rPr>
        <w:t>。</w:t>
      </w:r>
    </w:p>
    <w:p w14:paraId="7B0DD232">
      <w:pPr>
        <w:spacing w:before="78" w:line="184" w:lineRule="auto"/>
        <w:ind w:left="500"/>
        <w:rPr>
          <w:rFonts w:ascii="宋体" w:hAnsi="宋体" w:eastAsia="宋体" w:cs="宋体"/>
          <w:sz w:val="17"/>
          <w:szCs w:val="17"/>
        </w:rPr>
      </w:pPr>
      <w:r>
        <w:rPr>
          <w:rFonts w:ascii="宋体" w:hAnsi="宋体" w:eastAsia="宋体" w:cs="宋体"/>
          <w:spacing w:val="10"/>
          <w:sz w:val="17"/>
          <w:szCs w:val="17"/>
        </w:rPr>
        <w:t>(4)三端固定式集成稳压电路故障检修及故障分</w:t>
      </w:r>
    </w:p>
    <w:p w14:paraId="396FF866">
      <w:pPr>
        <w:pStyle w:val="2"/>
        <w:spacing w:line="14" w:lineRule="auto"/>
        <w:rPr>
          <w:sz w:val="2"/>
        </w:rPr>
      </w:pPr>
      <w:r>
        <w:rPr>
          <w:sz w:val="2"/>
          <w:szCs w:val="2"/>
        </w:rPr>
        <w:br w:type="column"/>
      </w:r>
    </w:p>
    <w:p w14:paraId="00A46966">
      <w:pPr>
        <w:spacing w:line="218" w:lineRule="auto"/>
        <w:rPr>
          <w:rFonts w:ascii="宋体" w:hAnsi="宋体" w:eastAsia="宋体" w:cs="宋体"/>
          <w:sz w:val="17"/>
          <w:szCs w:val="17"/>
        </w:rPr>
      </w:pPr>
      <w:r>
        <w:rPr>
          <w:rFonts w:ascii="宋体" w:hAnsi="宋体" w:eastAsia="宋体" w:cs="宋体"/>
          <w:spacing w:val="-11"/>
          <w:sz w:val="17"/>
          <w:szCs w:val="17"/>
        </w:rPr>
        <w:t>析 (</w:t>
      </w:r>
      <w:r>
        <w:rPr>
          <w:rFonts w:ascii="宋体" w:hAnsi="宋体" w:eastAsia="宋体" w:cs="宋体"/>
          <w:spacing w:val="-36"/>
          <w:sz w:val="17"/>
          <w:szCs w:val="17"/>
        </w:rPr>
        <w:t xml:space="preserve"> </w:t>
      </w:r>
      <w:r>
        <w:rPr>
          <w:rFonts w:ascii="宋体" w:hAnsi="宋体" w:eastAsia="宋体" w:cs="宋体"/>
          <w:spacing w:val="-11"/>
          <w:sz w:val="17"/>
          <w:szCs w:val="17"/>
        </w:rPr>
        <w:t>2</w:t>
      </w:r>
      <w:r>
        <w:rPr>
          <w:rFonts w:ascii="宋体" w:hAnsi="宋体" w:eastAsia="宋体" w:cs="宋体"/>
          <w:spacing w:val="-38"/>
          <w:sz w:val="17"/>
          <w:szCs w:val="17"/>
        </w:rPr>
        <w:t xml:space="preserve"> </w:t>
      </w:r>
      <w:r>
        <w:rPr>
          <w:rFonts w:ascii="宋体" w:hAnsi="宋体" w:eastAsia="宋体" w:cs="宋体"/>
          <w:spacing w:val="-11"/>
          <w:sz w:val="17"/>
          <w:szCs w:val="17"/>
        </w:rPr>
        <w:t>0</w:t>
      </w:r>
      <w:r>
        <w:rPr>
          <w:rFonts w:ascii="宋体" w:hAnsi="宋体" w:eastAsia="宋体" w:cs="宋体"/>
          <w:spacing w:val="-36"/>
          <w:sz w:val="17"/>
          <w:szCs w:val="17"/>
        </w:rPr>
        <w:t xml:space="preserve"> </w:t>
      </w:r>
      <w:r>
        <w:rPr>
          <w:rFonts w:ascii="宋体" w:hAnsi="宋体" w:eastAsia="宋体" w:cs="宋体"/>
          <w:spacing w:val="-11"/>
          <w:sz w:val="17"/>
          <w:szCs w:val="17"/>
        </w:rPr>
        <w:t>分</w:t>
      </w:r>
      <w:r>
        <w:rPr>
          <w:rFonts w:ascii="宋体" w:hAnsi="宋体" w:eastAsia="宋体" w:cs="宋体"/>
          <w:spacing w:val="-38"/>
          <w:sz w:val="17"/>
          <w:szCs w:val="17"/>
        </w:rPr>
        <w:t xml:space="preserve"> </w:t>
      </w:r>
      <w:r>
        <w:rPr>
          <w:rFonts w:ascii="宋体" w:hAnsi="宋体" w:eastAsia="宋体" w:cs="宋体"/>
          <w:spacing w:val="-11"/>
          <w:sz w:val="17"/>
          <w:szCs w:val="17"/>
        </w:rPr>
        <w:t>)</w:t>
      </w:r>
      <w:r>
        <w:rPr>
          <w:rFonts w:ascii="宋体" w:hAnsi="宋体" w:eastAsia="宋体" w:cs="宋体"/>
          <w:spacing w:val="-46"/>
          <w:sz w:val="17"/>
          <w:szCs w:val="17"/>
        </w:rPr>
        <w:t xml:space="preserve"> </w:t>
      </w:r>
      <w:r>
        <w:rPr>
          <w:rFonts w:ascii="宋体" w:hAnsi="宋体" w:eastAsia="宋体" w:cs="宋体"/>
          <w:spacing w:val="-11"/>
          <w:sz w:val="17"/>
          <w:szCs w:val="17"/>
        </w:rPr>
        <w:t>。</w:t>
      </w:r>
    </w:p>
    <w:p w14:paraId="7D11BDBD">
      <w:pPr>
        <w:spacing w:before="97" w:line="220" w:lineRule="auto"/>
        <w:ind w:left="370"/>
        <w:rPr>
          <w:rFonts w:ascii="宋体" w:hAnsi="宋体" w:eastAsia="宋体" w:cs="宋体"/>
          <w:sz w:val="17"/>
          <w:szCs w:val="17"/>
        </w:rPr>
      </w:pPr>
      <w:r>
        <w:rPr>
          <w:rFonts w:ascii="宋体" w:hAnsi="宋体" w:eastAsia="宋体" w:cs="宋体"/>
          <w:spacing w:val="16"/>
          <w:sz w:val="17"/>
          <w:szCs w:val="17"/>
        </w:rPr>
        <w:t>4、安全清洁(30分)。</w:t>
      </w:r>
    </w:p>
    <w:p w14:paraId="7D9E742B">
      <w:pPr>
        <w:pStyle w:val="2"/>
        <w:spacing w:line="289" w:lineRule="auto"/>
      </w:pPr>
    </w:p>
    <w:p w14:paraId="57A8BBA6">
      <w:pPr>
        <w:spacing w:before="75" w:line="219" w:lineRule="auto"/>
        <w:ind w:left="113"/>
        <w:rPr>
          <w:rFonts w:ascii="宋体" w:hAnsi="宋体" w:eastAsia="宋体" w:cs="宋体"/>
          <w:sz w:val="23"/>
          <w:szCs w:val="23"/>
        </w:rPr>
      </w:pPr>
      <w:r>
        <w:rPr>
          <w:rFonts w:ascii="宋体" w:hAnsi="宋体" w:eastAsia="宋体" w:cs="宋体"/>
          <w:b/>
          <w:bCs/>
          <w:spacing w:val="3"/>
          <w:sz w:val="23"/>
          <w:szCs w:val="23"/>
        </w:rPr>
        <w:t>项目九</w:t>
      </w:r>
      <w:r>
        <w:rPr>
          <w:rFonts w:ascii="宋体" w:hAnsi="宋体" w:eastAsia="宋体" w:cs="宋体"/>
          <w:spacing w:val="107"/>
          <w:sz w:val="23"/>
          <w:szCs w:val="23"/>
        </w:rPr>
        <w:t xml:space="preserve"> </w:t>
      </w:r>
      <w:r>
        <w:rPr>
          <w:rFonts w:ascii="宋体" w:hAnsi="宋体" w:eastAsia="宋体" w:cs="宋体"/>
          <w:b/>
          <w:bCs/>
          <w:spacing w:val="3"/>
          <w:sz w:val="23"/>
          <w:szCs w:val="23"/>
        </w:rPr>
        <w:t>集成译码/驱动</w:t>
      </w:r>
      <w:r>
        <w:rPr>
          <w:rFonts w:ascii="宋体" w:hAnsi="宋体" w:eastAsia="宋体" w:cs="宋体"/>
          <w:b/>
          <w:bCs/>
          <w:sz w:val="23"/>
          <w:szCs w:val="23"/>
        </w:rPr>
        <w:t>LED</w:t>
      </w:r>
      <w:r>
        <w:rPr>
          <w:rFonts w:ascii="宋体" w:hAnsi="宋体" w:eastAsia="宋体" w:cs="宋体"/>
          <w:spacing w:val="58"/>
          <w:sz w:val="23"/>
          <w:szCs w:val="23"/>
        </w:rPr>
        <w:t xml:space="preserve"> </w:t>
      </w:r>
      <w:r>
        <w:rPr>
          <w:rFonts w:ascii="宋体" w:hAnsi="宋体" w:eastAsia="宋体" w:cs="宋体"/>
          <w:b/>
          <w:bCs/>
          <w:spacing w:val="3"/>
          <w:sz w:val="23"/>
          <w:szCs w:val="23"/>
        </w:rPr>
        <w:t>显示电路</w:t>
      </w:r>
    </w:p>
    <w:p w14:paraId="63AC401F">
      <w:pPr>
        <w:pStyle w:val="2"/>
        <w:spacing w:line="261" w:lineRule="auto"/>
      </w:pPr>
    </w:p>
    <w:p w14:paraId="484CB2AE">
      <w:pPr>
        <w:spacing w:before="56" w:line="221" w:lineRule="auto"/>
        <w:ind w:left="345"/>
        <w:rPr>
          <w:rFonts w:ascii="宋体" w:hAnsi="宋体" w:eastAsia="宋体" w:cs="宋体"/>
          <w:sz w:val="17"/>
          <w:szCs w:val="17"/>
        </w:rPr>
      </w:pPr>
      <w:r>
        <w:rPr>
          <w:rFonts w:ascii="宋体" w:hAnsi="宋体" w:eastAsia="宋体" w:cs="宋体"/>
          <w:spacing w:val="6"/>
          <w:sz w:val="17"/>
          <w:szCs w:val="17"/>
        </w:rPr>
        <w:t>【测试用具】</w:t>
      </w:r>
    </w:p>
    <w:p w14:paraId="215C632A">
      <w:pPr>
        <w:spacing w:before="75" w:line="219" w:lineRule="auto"/>
        <w:ind w:left="370"/>
        <w:rPr>
          <w:rFonts w:ascii="宋体" w:hAnsi="宋体" w:eastAsia="宋体" w:cs="宋体"/>
          <w:sz w:val="17"/>
          <w:szCs w:val="17"/>
        </w:rPr>
      </w:pPr>
      <w:r>
        <w:rPr>
          <w:rFonts w:ascii="宋体" w:hAnsi="宋体" w:eastAsia="宋体" w:cs="宋体"/>
          <w:spacing w:val="7"/>
          <w:sz w:val="17"/>
          <w:szCs w:val="17"/>
        </w:rPr>
        <w:t>1、直流稳压电源1台</w:t>
      </w:r>
    </w:p>
    <w:p w14:paraId="0DD9FC1B">
      <w:pPr>
        <w:spacing w:before="99" w:line="220" w:lineRule="auto"/>
        <w:ind w:left="370"/>
        <w:rPr>
          <w:rFonts w:ascii="宋体" w:hAnsi="宋体" w:eastAsia="宋体" w:cs="宋体"/>
          <w:sz w:val="17"/>
          <w:szCs w:val="17"/>
        </w:rPr>
      </w:pPr>
      <w:r>
        <w:rPr>
          <w:rFonts w:ascii="宋体" w:hAnsi="宋体" w:eastAsia="宋体" w:cs="宋体"/>
          <w:sz w:val="17"/>
          <w:szCs w:val="17"/>
        </w:rPr>
        <w:t>2、逻辑电平显示器、逻辑电平开关</w:t>
      </w:r>
    </w:p>
    <w:p w14:paraId="2A3150C3">
      <w:pPr>
        <w:spacing w:before="87" w:line="219" w:lineRule="auto"/>
        <w:ind w:left="370"/>
        <w:rPr>
          <w:rFonts w:ascii="宋体" w:hAnsi="宋体" w:eastAsia="宋体" w:cs="宋体"/>
          <w:sz w:val="17"/>
          <w:szCs w:val="17"/>
        </w:rPr>
      </w:pPr>
      <w:r>
        <w:rPr>
          <w:rFonts w:ascii="宋体" w:hAnsi="宋体" w:eastAsia="宋体" w:cs="宋体"/>
          <w:spacing w:val="9"/>
          <w:sz w:val="17"/>
          <w:szCs w:val="17"/>
        </w:rPr>
        <w:t>3、数字电压表1台</w:t>
      </w:r>
    </w:p>
    <w:p w14:paraId="47DC4DDA">
      <w:pPr>
        <w:spacing w:before="78" w:line="267" w:lineRule="auto"/>
        <w:ind w:left="345" w:right="1986" w:firstLine="24"/>
        <w:rPr>
          <w:rFonts w:ascii="宋体" w:hAnsi="宋体" w:eastAsia="宋体" w:cs="宋体"/>
          <w:sz w:val="17"/>
          <w:szCs w:val="17"/>
        </w:rPr>
      </w:pPr>
      <w:r>
        <w:rPr>
          <w:rFonts w:ascii="宋体" w:hAnsi="宋体" w:eastAsia="宋体" w:cs="宋体"/>
          <w:spacing w:val="7"/>
          <w:sz w:val="17"/>
          <w:szCs w:val="17"/>
        </w:rPr>
        <w:t>4、集成电路实验板1块</w:t>
      </w:r>
      <w:r>
        <w:rPr>
          <w:rFonts w:ascii="宋体" w:hAnsi="宋体" w:eastAsia="宋体" w:cs="宋体"/>
          <w:spacing w:val="8"/>
          <w:sz w:val="17"/>
          <w:szCs w:val="17"/>
        </w:rPr>
        <w:t xml:space="preserve"> </w:t>
      </w:r>
      <w:r>
        <w:rPr>
          <w:rFonts w:ascii="宋体" w:hAnsi="宋体" w:eastAsia="宋体" w:cs="宋体"/>
          <w:spacing w:val="6"/>
          <w:sz w:val="17"/>
          <w:szCs w:val="17"/>
        </w:rPr>
        <w:t>【测试内容】</w:t>
      </w:r>
    </w:p>
    <w:p w14:paraId="72C3B576">
      <w:pPr>
        <w:spacing w:before="99" w:line="219" w:lineRule="auto"/>
        <w:ind w:left="370"/>
        <w:rPr>
          <w:rFonts w:ascii="宋体" w:hAnsi="宋体" w:eastAsia="宋体" w:cs="宋体"/>
          <w:sz w:val="17"/>
          <w:szCs w:val="17"/>
        </w:rPr>
      </w:pPr>
      <w:r>
        <w:rPr>
          <w:rFonts w:ascii="宋体" w:hAnsi="宋体" w:eastAsia="宋体" w:cs="宋体"/>
          <w:spacing w:val="-2"/>
          <w:sz w:val="17"/>
          <w:szCs w:val="17"/>
        </w:rPr>
        <w:t>1、技能测试电路的装配。</w:t>
      </w:r>
    </w:p>
    <w:p w14:paraId="5DFD0F7B">
      <w:pPr>
        <w:spacing w:before="78" w:line="219" w:lineRule="auto"/>
        <w:ind w:left="370"/>
        <w:rPr>
          <w:rFonts w:ascii="宋体" w:hAnsi="宋体" w:eastAsia="宋体" w:cs="宋体"/>
          <w:sz w:val="17"/>
          <w:szCs w:val="17"/>
        </w:rPr>
      </w:pPr>
      <w:r>
        <w:rPr>
          <w:rFonts w:ascii="宋体" w:hAnsi="宋体" w:eastAsia="宋体" w:cs="宋体"/>
          <w:spacing w:val="-1"/>
          <w:sz w:val="17"/>
          <w:szCs w:val="17"/>
        </w:rPr>
        <w:t>2、技能测试电路的调试与检测</w:t>
      </w:r>
    </w:p>
    <w:p w14:paraId="62CA5A33">
      <w:pPr>
        <w:spacing w:before="98" w:line="219" w:lineRule="auto"/>
        <w:ind w:left="430"/>
        <w:rPr>
          <w:rFonts w:ascii="宋体" w:hAnsi="宋体" w:eastAsia="宋体" w:cs="宋体"/>
          <w:sz w:val="17"/>
          <w:szCs w:val="17"/>
        </w:rPr>
      </w:pPr>
      <w:r>
        <w:rPr>
          <w:rFonts w:ascii="宋体" w:hAnsi="宋体" w:eastAsia="宋体" w:cs="宋体"/>
          <w:spacing w:val="9"/>
          <w:sz w:val="17"/>
          <w:szCs w:val="17"/>
        </w:rPr>
        <w:t>(1)测试集成译码/驱动74</w:t>
      </w:r>
      <w:r>
        <w:rPr>
          <w:rFonts w:ascii="Times New Roman" w:hAnsi="Times New Roman" w:eastAsia="Times New Roman" w:cs="Times New Roman"/>
          <w:sz w:val="17"/>
          <w:szCs w:val="17"/>
        </w:rPr>
        <w:t>LS</w:t>
      </w:r>
      <w:r>
        <w:rPr>
          <w:rFonts w:ascii="Times New Roman" w:hAnsi="Times New Roman" w:eastAsia="Times New Roman" w:cs="Times New Roman"/>
          <w:spacing w:val="9"/>
          <w:sz w:val="17"/>
          <w:szCs w:val="17"/>
        </w:rPr>
        <w:t>48</w:t>
      </w:r>
      <w:r>
        <w:rPr>
          <w:rFonts w:ascii="宋体" w:hAnsi="宋体" w:eastAsia="宋体" w:cs="宋体"/>
          <w:spacing w:val="9"/>
          <w:sz w:val="17"/>
          <w:szCs w:val="17"/>
        </w:rPr>
        <w:t>的逻辑功能</w:t>
      </w:r>
    </w:p>
    <w:p w14:paraId="1A2C465F">
      <w:pPr>
        <w:spacing w:before="89" w:line="263" w:lineRule="auto"/>
        <w:ind w:left="345" w:right="624" w:firstLine="85"/>
        <w:rPr>
          <w:rFonts w:ascii="宋体" w:hAnsi="宋体" w:eastAsia="宋体" w:cs="宋体"/>
          <w:sz w:val="17"/>
          <w:szCs w:val="17"/>
        </w:rPr>
      </w:pPr>
      <w:r>
        <w:rPr>
          <w:rFonts w:ascii="宋体" w:hAnsi="宋体" w:eastAsia="宋体" w:cs="宋体"/>
          <w:spacing w:val="5"/>
          <w:sz w:val="17"/>
          <w:szCs w:val="17"/>
        </w:rPr>
        <w:t>(2)测试共阴极数码显示器件的工作状态</w:t>
      </w:r>
      <w:r>
        <w:rPr>
          <w:rFonts w:ascii="宋体" w:hAnsi="宋体" w:eastAsia="宋体" w:cs="宋体"/>
          <w:spacing w:val="17"/>
          <w:sz w:val="17"/>
          <w:szCs w:val="17"/>
        </w:rPr>
        <w:t xml:space="preserve"> </w:t>
      </w:r>
      <w:r>
        <w:rPr>
          <w:rFonts w:ascii="宋体" w:hAnsi="宋体" w:eastAsia="宋体" w:cs="宋体"/>
          <w:spacing w:val="6"/>
          <w:sz w:val="17"/>
          <w:szCs w:val="17"/>
        </w:rPr>
        <w:t>【测试方法】</w:t>
      </w:r>
    </w:p>
    <w:p w14:paraId="33E7BB79">
      <w:pPr>
        <w:spacing w:before="84" w:line="273" w:lineRule="auto"/>
        <w:ind w:right="21" w:firstLine="370"/>
        <w:rPr>
          <w:rFonts w:ascii="宋体" w:hAnsi="宋体" w:eastAsia="宋体" w:cs="宋体"/>
          <w:sz w:val="17"/>
          <w:szCs w:val="17"/>
        </w:rPr>
      </w:pPr>
      <w:r>
        <w:rPr>
          <w:rFonts w:ascii="宋体" w:hAnsi="宋体" w:eastAsia="宋体" w:cs="宋体"/>
          <w:spacing w:val="1"/>
          <w:sz w:val="17"/>
          <w:szCs w:val="17"/>
        </w:rPr>
        <w:t>1、使用万用表电压档测量集成电路74</w:t>
      </w:r>
      <w:r>
        <w:rPr>
          <w:rFonts w:ascii="宋体" w:hAnsi="宋体" w:eastAsia="宋体" w:cs="宋体"/>
          <w:sz w:val="17"/>
          <w:szCs w:val="17"/>
        </w:rPr>
        <w:t>LS</w:t>
      </w:r>
      <w:r>
        <w:rPr>
          <w:rFonts w:ascii="宋体" w:hAnsi="宋体" w:eastAsia="宋体" w:cs="宋体"/>
          <w:spacing w:val="1"/>
          <w:sz w:val="17"/>
          <w:szCs w:val="17"/>
        </w:rPr>
        <w:t>48</w:t>
      </w:r>
      <w:r>
        <w:rPr>
          <w:rFonts w:ascii="宋体" w:hAnsi="宋体" w:eastAsia="宋体" w:cs="宋体"/>
          <w:spacing w:val="-13"/>
          <w:sz w:val="17"/>
          <w:szCs w:val="17"/>
        </w:rPr>
        <w:t xml:space="preserve"> </w:t>
      </w:r>
      <w:r>
        <w:rPr>
          <w:rFonts w:ascii="宋体" w:hAnsi="宋体" w:eastAsia="宋体" w:cs="宋体"/>
          <w:spacing w:val="1"/>
          <w:sz w:val="17"/>
          <w:szCs w:val="17"/>
        </w:rPr>
        <w:t>各引脚</w:t>
      </w:r>
      <w:r>
        <w:rPr>
          <w:rFonts w:ascii="宋体" w:hAnsi="宋体" w:eastAsia="宋体" w:cs="宋体"/>
          <w:sz w:val="17"/>
          <w:szCs w:val="17"/>
        </w:rPr>
        <w:t xml:space="preserve"> </w:t>
      </w:r>
      <w:r>
        <w:rPr>
          <w:rFonts w:ascii="宋体" w:hAnsi="宋体" w:eastAsia="宋体" w:cs="宋体"/>
          <w:spacing w:val="-3"/>
          <w:sz w:val="17"/>
          <w:szCs w:val="17"/>
        </w:rPr>
        <w:t>的电压值。</w:t>
      </w:r>
    </w:p>
    <w:p w14:paraId="78F25D5B">
      <w:pPr>
        <w:spacing w:before="78" w:line="267" w:lineRule="auto"/>
        <w:ind w:firstLine="370"/>
        <w:rPr>
          <w:rFonts w:ascii="宋体" w:hAnsi="宋体" w:eastAsia="宋体" w:cs="宋体"/>
          <w:sz w:val="17"/>
          <w:szCs w:val="17"/>
        </w:rPr>
      </w:pPr>
      <w:r>
        <w:rPr>
          <w:rFonts w:ascii="宋体" w:hAnsi="宋体" w:eastAsia="宋体" w:cs="宋体"/>
          <w:spacing w:val="5"/>
          <w:sz w:val="17"/>
          <w:szCs w:val="17"/>
        </w:rPr>
        <w:t>2、使用逻辑电平显示器、逻辑电平开关分析、判</w:t>
      </w:r>
      <w:r>
        <w:rPr>
          <w:rFonts w:ascii="宋体" w:hAnsi="宋体" w:eastAsia="宋体" w:cs="宋体"/>
          <w:spacing w:val="6"/>
          <w:sz w:val="17"/>
          <w:szCs w:val="17"/>
        </w:rPr>
        <w:t xml:space="preserve"> </w:t>
      </w:r>
      <w:r>
        <w:rPr>
          <w:rFonts w:ascii="宋体" w:hAnsi="宋体" w:eastAsia="宋体" w:cs="宋体"/>
          <w:spacing w:val="-3"/>
          <w:sz w:val="17"/>
          <w:szCs w:val="17"/>
        </w:rPr>
        <w:t>断电路的逻辑功能是否正常。</w:t>
      </w:r>
    </w:p>
    <w:p w14:paraId="25429837">
      <w:pPr>
        <w:spacing w:before="99" w:line="263" w:lineRule="auto"/>
        <w:ind w:left="345" w:right="7" w:firstLine="24"/>
        <w:rPr>
          <w:rFonts w:ascii="宋体" w:hAnsi="宋体" w:eastAsia="宋体" w:cs="宋体"/>
          <w:sz w:val="17"/>
          <w:szCs w:val="17"/>
        </w:rPr>
      </w:pPr>
      <w:r>
        <w:rPr>
          <w:rFonts w:ascii="宋体" w:hAnsi="宋体" w:eastAsia="宋体" w:cs="宋体"/>
          <w:spacing w:val="-3"/>
          <w:sz w:val="17"/>
          <w:szCs w:val="17"/>
        </w:rPr>
        <w:t>3、观察共阴极数码显示器件的工作状态是否正常。</w:t>
      </w:r>
      <w:r>
        <w:rPr>
          <w:rFonts w:ascii="宋体" w:hAnsi="宋体" w:eastAsia="宋体" w:cs="宋体"/>
          <w:spacing w:val="8"/>
          <w:sz w:val="17"/>
          <w:szCs w:val="17"/>
        </w:rPr>
        <w:t xml:space="preserve"> </w:t>
      </w:r>
      <w:r>
        <w:rPr>
          <w:rFonts w:ascii="宋体" w:hAnsi="宋体" w:eastAsia="宋体" w:cs="宋体"/>
          <w:spacing w:val="6"/>
          <w:sz w:val="17"/>
          <w:szCs w:val="17"/>
        </w:rPr>
        <w:t>【测试要求】</w:t>
      </w:r>
    </w:p>
    <w:p w14:paraId="17358A5C">
      <w:pPr>
        <w:spacing w:before="86" w:line="220" w:lineRule="auto"/>
        <w:ind w:left="370"/>
        <w:rPr>
          <w:rFonts w:ascii="宋体" w:hAnsi="宋体" w:eastAsia="宋体" w:cs="宋体"/>
          <w:sz w:val="17"/>
          <w:szCs w:val="17"/>
        </w:rPr>
      </w:pPr>
      <w:r>
        <w:rPr>
          <w:rFonts w:ascii="宋体" w:hAnsi="宋体" w:eastAsia="宋体" w:cs="宋体"/>
          <w:spacing w:val="5"/>
          <w:sz w:val="17"/>
          <w:szCs w:val="17"/>
        </w:rPr>
        <w:t>1、测试时间90分钟。</w:t>
      </w:r>
    </w:p>
    <w:p w14:paraId="452C226C">
      <w:pPr>
        <w:spacing w:before="86" w:line="273" w:lineRule="auto"/>
        <w:ind w:right="5" w:firstLine="370"/>
        <w:rPr>
          <w:rFonts w:ascii="宋体" w:hAnsi="宋体" w:eastAsia="宋体" w:cs="宋体"/>
          <w:sz w:val="17"/>
          <w:szCs w:val="17"/>
        </w:rPr>
      </w:pPr>
      <w:r>
        <w:rPr>
          <w:rFonts w:ascii="宋体" w:hAnsi="宋体" w:eastAsia="宋体" w:cs="宋体"/>
          <w:spacing w:val="8"/>
          <w:sz w:val="17"/>
          <w:szCs w:val="17"/>
        </w:rPr>
        <w:t>2、绘制表格填写集成电路74</w:t>
      </w:r>
      <w:r>
        <w:rPr>
          <w:rFonts w:ascii="宋体" w:hAnsi="宋体" w:eastAsia="宋体" w:cs="宋体"/>
          <w:sz w:val="17"/>
          <w:szCs w:val="17"/>
        </w:rPr>
        <w:t>LS</w:t>
      </w:r>
      <w:r>
        <w:rPr>
          <w:rFonts w:ascii="宋体" w:hAnsi="宋体" w:eastAsia="宋体" w:cs="宋体"/>
          <w:spacing w:val="8"/>
          <w:sz w:val="17"/>
          <w:szCs w:val="17"/>
        </w:rPr>
        <w:t>48 的逻辑功能真</w:t>
      </w:r>
      <w:r>
        <w:rPr>
          <w:rFonts w:ascii="宋体" w:hAnsi="宋体" w:eastAsia="宋体" w:cs="宋体"/>
          <w:spacing w:val="12"/>
          <w:sz w:val="17"/>
          <w:szCs w:val="17"/>
        </w:rPr>
        <w:t xml:space="preserve"> </w:t>
      </w:r>
      <w:r>
        <w:rPr>
          <w:rFonts w:ascii="宋体" w:hAnsi="宋体" w:eastAsia="宋体" w:cs="宋体"/>
          <w:spacing w:val="-2"/>
          <w:sz w:val="17"/>
          <w:szCs w:val="17"/>
        </w:rPr>
        <w:t>值表。</w:t>
      </w:r>
    </w:p>
    <w:p w14:paraId="4D8D4F05">
      <w:pPr>
        <w:spacing w:before="88" w:line="219" w:lineRule="auto"/>
        <w:ind w:left="345"/>
        <w:rPr>
          <w:rFonts w:ascii="宋体" w:hAnsi="宋体" w:eastAsia="宋体" w:cs="宋体"/>
          <w:sz w:val="17"/>
          <w:szCs w:val="17"/>
        </w:rPr>
      </w:pPr>
      <w:r>
        <w:rPr>
          <w:rFonts w:ascii="宋体" w:hAnsi="宋体" w:eastAsia="宋体" w:cs="宋体"/>
          <w:spacing w:val="6"/>
          <w:sz w:val="17"/>
          <w:szCs w:val="17"/>
        </w:rPr>
        <w:t>【赋分参考】</w:t>
      </w:r>
    </w:p>
    <w:p w14:paraId="4B683794">
      <w:pPr>
        <w:spacing w:before="78" w:line="219" w:lineRule="auto"/>
        <w:ind w:left="370"/>
        <w:rPr>
          <w:rFonts w:ascii="宋体" w:hAnsi="宋体" w:eastAsia="宋体" w:cs="宋体"/>
          <w:sz w:val="17"/>
          <w:szCs w:val="17"/>
        </w:rPr>
      </w:pPr>
      <w:r>
        <w:rPr>
          <w:rFonts w:ascii="宋体" w:hAnsi="宋体" w:eastAsia="宋体" w:cs="宋体"/>
          <w:spacing w:val="11"/>
          <w:sz w:val="17"/>
          <w:szCs w:val="17"/>
        </w:rPr>
        <w:t>1、元器件成型及装配(20分)。</w:t>
      </w:r>
    </w:p>
    <w:p w14:paraId="4DA82B00">
      <w:pPr>
        <w:spacing w:before="99" w:line="219" w:lineRule="auto"/>
        <w:ind w:left="370"/>
        <w:rPr>
          <w:rFonts w:ascii="宋体" w:hAnsi="宋体" w:eastAsia="宋体" w:cs="宋体"/>
          <w:sz w:val="17"/>
          <w:szCs w:val="17"/>
        </w:rPr>
      </w:pPr>
      <w:r>
        <w:rPr>
          <w:rFonts w:ascii="宋体" w:hAnsi="宋体" w:eastAsia="宋体" w:cs="宋体"/>
          <w:spacing w:val="-1"/>
          <w:sz w:val="17"/>
          <w:szCs w:val="17"/>
        </w:rPr>
        <w:t>2、技能测试电路的调试与检测。</w:t>
      </w:r>
    </w:p>
    <w:p w14:paraId="149151D5">
      <w:pPr>
        <w:spacing w:before="78" w:line="219" w:lineRule="auto"/>
        <w:ind w:left="430"/>
        <w:rPr>
          <w:rFonts w:ascii="宋体" w:hAnsi="宋体" w:eastAsia="宋体" w:cs="宋体"/>
          <w:sz w:val="17"/>
          <w:szCs w:val="17"/>
        </w:rPr>
      </w:pPr>
      <w:r>
        <w:rPr>
          <w:rFonts w:ascii="宋体" w:hAnsi="宋体" w:eastAsia="宋体" w:cs="宋体"/>
          <w:spacing w:val="17"/>
          <w:sz w:val="17"/>
          <w:szCs w:val="17"/>
        </w:rPr>
        <w:t>(1)测试数码管的类型(20分)</w:t>
      </w:r>
    </w:p>
    <w:p w14:paraId="079178BD">
      <w:pPr>
        <w:spacing w:before="88" w:line="219" w:lineRule="auto"/>
        <w:ind w:left="430"/>
        <w:rPr>
          <w:rFonts w:ascii="宋体" w:hAnsi="宋体" w:eastAsia="宋体" w:cs="宋体"/>
          <w:sz w:val="17"/>
          <w:szCs w:val="17"/>
        </w:rPr>
      </w:pPr>
      <w:r>
        <w:rPr>
          <w:rFonts w:ascii="宋体" w:hAnsi="宋体" w:eastAsia="宋体" w:cs="宋体"/>
          <w:spacing w:val="16"/>
          <w:sz w:val="17"/>
          <w:szCs w:val="17"/>
        </w:rPr>
        <w:t>(2)画出数码管的电路结构(20分)</w:t>
      </w:r>
    </w:p>
    <w:p w14:paraId="419B3A02">
      <w:pPr>
        <w:spacing w:before="109" w:line="262" w:lineRule="auto"/>
        <w:ind w:right="4" w:firstLine="430"/>
        <w:rPr>
          <w:rFonts w:ascii="宋体" w:hAnsi="宋体" w:eastAsia="宋体" w:cs="宋体"/>
          <w:sz w:val="17"/>
          <w:szCs w:val="17"/>
        </w:rPr>
      </w:pPr>
      <w:r>
        <w:rPr>
          <w:rFonts w:ascii="宋体" w:hAnsi="宋体" w:eastAsia="宋体" w:cs="宋体"/>
          <w:spacing w:val="11"/>
          <w:sz w:val="17"/>
          <w:szCs w:val="17"/>
        </w:rPr>
        <w:t>(3)测试集成译码/驱动74</w:t>
      </w:r>
      <w:r>
        <w:rPr>
          <w:rFonts w:ascii="Times New Roman" w:hAnsi="Times New Roman" w:eastAsia="Times New Roman" w:cs="Times New Roman"/>
          <w:sz w:val="17"/>
          <w:szCs w:val="17"/>
        </w:rPr>
        <w:t>LS</w:t>
      </w:r>
      <w:r>
        <w:rPr>
          <w:rFonts w:ascii="Times New Roman" w:hAnsi="Times New Roman" w:eastAsia="Times New Roman" w:cs="Times New Roman"/>
          <w:spacing w:val="11"/>
          <w:sz w:val="17"/>
          <w:szCs w:val="17"/>
        </w:rPr>
        <w:t>48</w:t>
      </w:r>
      <w:r>
        <w:rPr>
          <w:rFonts w:ascii="宋体" w:hAnsi="宋体" w:eastAsia="宋体" w:cs="宋体"/>
          <w:spacing w:val="11"/>
          <w:sz w:val="17"/>
          <w:szCs w:val="17"/>
        </w:rPr>
        <w:t>的逻辑功能(100</w:t>
      </w:r>
      <w:r>
        <w:rPr>
          <w:rFonts w:ascii="宋体" w:hAnsi="宋体" w:eastAsia="宋体" w:cs="宋体"/>
          <w:spacing w:val="4"/>
          <w:sz w:val="17"/>
          <w:szCs w:val="17"/>
        </w:rPr>
        <w:t xml:space="preserve"> </w:t>
      </w:r>
      <w:r>
        <w:rPr>
          <w:rFonts w:ascii="宋体" w:hAnsi="宋体" w:eastAsia="宋体" w:cs="宋体"/>
          <w:spacing w:val="-6"/>
          <w:sz w:val="17"/>
          <w:szCs w:val="17"/>
        </w:rPr>
        <w:t>分</w:t>
      </w:r>
      <w:r>
        <w:rPr>
          <w:rFonts w:ascii="宋体" w:hAnsi="宋体" w:eastAsia="宋体" w:cs="宋体"/>
          <w:spacing w:val="-21"/>
          <w:sz w:val="17"/>
          <w:szCs w:val="17"/>
        </w:rPr>
        <w:t xml:space="preserve"> </w:t>
      </w:r>
      <w:r>
        <w:rPr>
          <w:rFonts w:ascii="宋体" w:hAnsi="宋体" w:eastAsia="宋体" w:cs="宋体"/>
          <w:spacing w:val="-6"/>
          <w:sz w:val="17"/>
          <w:szCs w:val="17"/>
        </w:rPr>
        <w:t>)</w:t>
      </w:r>
      <w:r>
        <w:rPr>
          <w:rFonts w:ascii="宋体" w:hAnsi="宋体" w:eastAsia="宋体" w:cs="宋体"/>
          <w:spacing w:val="-28"/>
          <w:sz w:val="17"/>
          <w:szCs w:val="17"/>
        </w:rPr>
        <w:t xml:space="preserve"> </w:t>
      </w:r>
      <w:r>
        <w:rPr>
          <w:rFonts w:ascii="宋体" w:hAnsi="宋体" w:eastAsia="宋体" w:cs="宋体"/>
          <w:spacing w:val="-6"/>
          <w:sz w:val="17"/>
          <w:szCs w:val="17"/>
        </w:rPr>
        <w:t>。</w:t>
      </w:r>
    </w:p>
    <w:p w14:paraId="7062F107">
      <w:pPr>
        <w:spacing w:before="76" w:line="273" w:lineRule="auto"/>
        <w:ind w:right="5" w:firstLine="430"/>
        <w:rPr>
          <w:rFonts w:ascii="宋体" w:hAnsi="宋体" w:eastAsia="宋体" w:cs="宋体"/>
          <w:sz w:val="17"/>
          <w:szCs w:val="17"/>
        </w:rPr>
      </w:pPr>
      <w:r>
        <w:rPr>
          <w:rFonts w:ascii="宋体" w:hAnsi="宋体" w:eastAsia="宋体" w:cs="宋体"/>
          <w:spacing w:val="8"/>
          <w:sz w:val="17"/>
          <w:szCs w:val="17"/>
        </w:rPr>
        <w:t>(4)绘制表格填写集成电路74</w:t>
      </w:r>
      <w:r>
        <w:rPr>
          <w:rFonts w:ascii="Times New Roman" w:hAnsi="Times New Roman" w:eastAsia="Times New Roman" w:cs="Times New Roman"/>
          <w:sz w:val="17"/>
          <w:szCs w:val="17"/>
        </w:rPr>
        <w:t>LS</w:t>
      </w:r>
      <w:r>
        <w:rPr>
          <w:rFonts w:ascii="Times New Roman" w:hAnsi="Times New Roman" w:eastAsia="Times New Roman" w:cs="Times New Roman"/>
          <w:spacing w:val="8"/>
          <w:sz w:val="17"/>
          <w:szCs w:val="17"/>
        </w:rPr>
        <w:t>48</w:t>
      </w:r>
      <w:r>
        <w:rPr>
          <w:rFonts w:ascii="宋体" w:hAnsi="宋体" w:eastAsia="宋体" w:cs="宋体"/>
          <w:spacing w:val="8"/>
          <w:sz w:val="17"/>
          <w:szCs w:val="17"/>
        </w:rPr>
        <w:t xml:space="preserve">的逻辑功能真 </w:t>
      </w:r>
      <w:r>
        <w:rPr>
          <w:rFonts w:ascii="宋体" w:hAnsi="宋体" w:eastAsia="宋体" w:cs="宋体"/>
          <w:spacing w:val="21"/>
          <w:sz w:val="17"/>
          <w:szCs w:val="17"/>
        </w:rPr>
        <w:t>值表(60分)。</w:t>
      </w:r>
    </w:p>
    <w:p w14:paraId="720950DB">
      <w:pPr>
        <w:spacing w:before="79" w:line="220" w:lineRule="auto"/>
        <w:ind w:left="370"/>
        <w:rPr>
          <w:rFonts w:ascii="宋体" w:hAnsi="宋体" w:eastAsia="宋体" w:cs="宋体"/>
          <w:sz w:val="17"/>
          <w:szCs w:val="17"/>
        </w:rPr>
      </w:pPr>
      <w:r>
        <w:rPr>
          <w:rFonts w:ascii="宋体" w:hAnsi="宋体" w:eastAsia="宋体" w:cs="宋体"/>
          <w:spacing w:val="16"/>
          <w:sz w:val="17"/>
          <w:szCs w:val="17"/>
        </w:rPr>
        <w:t>3、安全清洁(30分)。</w:t>
      </w:r>
    </w:p>
    <w:p w14:paraId="191FA338">
      <w:pPr>
        <w:pStyle w:val="2"/>
        <w:spacing w:line="299" w:lineRule="auto"/>
      </w:pPr>
    </w:p>
    <w:p w14:paraId="0E04CBDA">
      <w:pPr>
        <w:spacing w:before="75" w:line="226" w:lineRule="auto"/>
        <w:ind w:left="1172" w:right="26" w:hanging="1169"/>
        <w:rPr>
          <w:rFonts w:ascii="宋体" w:hAnsi="宋体" w:eastAsia="宋体" w:cs="宋体"/>
          <w:sz w:val="23"/>
          <w:szCs w:val="23"/>
        </w:rPr>
      </w:pPr>
      <w:r>
        <w:rPr>
          <w:rFonts w:ascii="宋体" w:hAnsi="宋体" w:eastAsia="宋体" w:cs="宋体"/>
          <w:b/>
          <w:bCs/>
          <w:spacing w:val="9"/>
          <w:sz w:val="23"/>
          <w:szCs w:val="23"/>
        </w:rPr>
        <w:t>项目十</w:t>
      </w:r>
      <w:r>
        <w:rPr>
          <w:rFonts w:ascii="宋体" w:hAnsi="宋体" w:eastAsia="宋体" w:cs="宋体"/>
          <w:spacing w:val="108"/>
          <w:sz w:val="23"/>
          <w:szCs w:val="23"/>
        </w:rPr>
        <w:t xml:space="preserve"> </w:t>
      </w:r>
      <w:r>
        <w:rPr>
          <w:rFonts w:ascii="宋体" w:hAnsi="宋体" w:eastAsia="宋体" w:cs="宋体"/>
          <w:b/>
          <w:bCs/>
          <w:spacing w:val="9"/>
          <w:sz w:val="23"/>
          <w:szCs w:val="23"/>
        </w:rPr>
        <w:t>集成触发器74</w:t>
      </w:r>
      <w:r>
        <w:rPr>
          <w:rFonts w:ascii="宋体" w:hAnsi="宋体" w:eastAsia="宋体" w:cs="宋体"/>
          <w:b/>
          <w:bCs/>
          <w:sz w:val="23"/>
          <w:szCs w:val="23"/>
        </w:rPr>
        <w:t>LS</w:t>
      </w:r>
      <w:r>
        <w:rPr>
          <w:rFonts w:ascii="宋体" w:hAnsi="宋体" w:eastAsia="宋体" w:cs="宋体"/>
          <w:b/>
          <w:bCs/>
          <w:spacing w:val="9"/>
          <w:sz w:val="23"/>
          <w:szCs w:val="23"/>
        </w:rPr>
        <w:t>74</w:t>
      </w:r>
      <w:r>
        <w:rPr>
          <w:rFonts w:ascii="宋体" w:hAnsi="宋体" w:eastAsia="宋体" w:cs="宋体"/>
          <w:spacing w:val="9"/>
          <w:sz w:val="23"/>
          <w:szCs w:val="23"/>
        </w:rPr>
        <w:t xml:space="preserve"> </w:t>
      </w:r>
      <w:r>
        <w:rPr>
          <w:rFonts w:ascii="宋体" w:hAnsi="宋体" w:eastAsia="宋体" w:cs="宋体"/>
          <w:b/>
          <w:bCs/>
          <w:spacing w:val="9"/>
          <w:sz w:val="23"/>
          <w:szCs w:val="23"/>
        </w:rPr>
        <w:t>构成的4位</w:t>
      </w:r>
      <w:r>
        <w:rPr>
          <w:rFonts w:ascii="宋体" w:hAnsi="宋体" w:eastAsia="宋体" w:cs="宋体"/>
          <w:sz w:val="23"/>
          <w:szCs w:val="23"/>
        </w:rPr>
        <w:t xml:space="preserve"> </w:t>
      </w:r>
      <w:r>
        <w:rPr>
          <w:rFonts w:ascii="宋体" w:hAnsi="宋体" w:eastAsia="宋体" w:cs="宋体"/>
          <w:b/>
          <w:bCs/>
          <w:spacing w:val="-7"/>
          <w:sz w:val="23"/>
          <w:szCs w:val="23"/>
        </w:rPr>
        <w:t>二进制异步计数器</w:t>
      </w:r>
    </w:p>
    <w:p w14:paraId="71B5CF32">
      <w:pPr>
        <w:pStyle w:val="2"/>
        <w:spacing w:line="251" w:lineRule="auto"/>
      </w:pPr>
    </w:p>
    <w:p w14:paraId="1B36A211">
      <w:pPr>
        <w:spacing w:before="56" w:line="221" w:lineRule="auto"/>
        <w:ind w:left="345"/>
        <w:rPr>
          <w:rFonts w:ascii="宋体" w:hAnsi="宋体" w:eastAsia="宋体" w:cs="宋体"/>
          <w:sz w:val="17"/>
          <w:szCs w:val="17"/>
        </w:rPr>
      </w:pPr>
      <w:r>
        <w:rPr>
          <w:rFonts w:ascii="宋体" w:hAnsi="宋体" w:eastAsia="宋体" w:cs="宋体"/>
          <w:spacing w:val="6"/>
          <w:sz w:val="17"/>
          <w:szCs w:val="17"/>
        </w:rPr>
        <w:t>【测试用具】</w:t>
      </w:r>
    </w:p>
    <w:p w14:paraId="587D1E04">
      <w:pPr>
        <w:spacing w:before="96" w:line="220" w:lineRule="auto"/>
        <w:ind w:left="370"/>
        <w:rPr>
          <w:rFonts w:ascii="宋体" w:hAnsi="宋体" w:eastAsia="宋体" w:cs="宋体"/>
          <w:sz w:val="17"/>
          <w:szCs w:val="17"/>
        </w:rPr>
      </w:pPr>
      <w:r>
        <w:rPr>
          <w:rFonts w:ascii="宋体" w:hAnsi="宋体" w:eastAsia="宋体" w:cs="宋体"/>
          <w:spacing w:val="9"/>
          <w:sz w:val="17"/>
          <w:szCs w:val="17"/>
        </w:rPr>
        <w:t>1、双踪示波器1台</w:t>
      </w:r>
    </w:p>
    <w:p w14:paraId="67A9D8E3">
      <w:pPr>
        <w:spacing w:before="87" w:line="219" w:lineRule="auto"/>
        <w:ind w:left="370"/>
        <w:rPr>
          <w:rFonts w:ascii="宋体" w:hAnsi="宋体" w:eastAsia="宋体" w:cs="宋体"/>
          <w:sz w:val="17"/>
          <w:szCs w:val="17"/>
        </w:rPr>
      </w:pPr>
      <w:r>
        <w:rPr>
          <w:rFonts w:ascii="宋体" w:hAnsi="宋体" w:eastAsia="宋体" w:cs="宋体"/>
          <w:spacing w:val="8"/>
          <w:sz w:val="17"/>
          <w:szCs w:val="17"/>
        </w:rPr>
        <w:t>2、连续脉冲信号源1台</w:t>
      </w:r>
    </w:p>
    <w:p w14:paraId="2952CFE1">
      <w:pPr>
        <w:spacing w:before="79" w:line="184" w:lineRule="auto"/>
        <w:ind w:left="370"/>
        <w:rPr>
          <w:rFonts w:ascii="宋体" w:hAnsi="宋体" w:eastAsia="宋体" w:cs="宋体"/>
          <w:sz w:val="17"/>
          <w:szCs w:val="17"/>
        </w:rPr>
      </w:pPr>
      <w:r>
        <w:rPr>
          <w:rFonts w:ascii="宋体" w:hAnsi="宋体" w:eastAsia="宋体" w:cs="宋体"/>
          <w:spacing w:val="9"/>
          <w:sz w:val="17"/>
          <w:szCs w:val="17"/>
        </w:rPr>
        <w:t>3、直流稳压电源1台</w:t>
      </w:r>
    </w:p>
    <w:p w14:paraId="2C2C97EB">
      <w:pPr>
        <w:spacing w:line="184" w:lineRule="auto"/>
        <w:rPr>
          <w:rFonts w:ascii="宋体" w:hAnsi="宋体" w:eastAsia="宋体" w:cs="宋体"/>
          <w:sz w:val="17"/>
          <w:szCs w:val="17"/>
        </w:rPr>
        <w:sectPr>
          <w:type w:val="continuous"/>
          <w:pgSz w:w="10660" w:h="15080"/>
          <w:pgMar w:top="400" w:right="1047" w:bottom="898" w:left="809" w:header="0" w:footer="745" w:gutter="0"/>
          <w:cols w:equalWidth="0" w:num="2">
            <w:col w:w="4561" w:space="100"/>
            <w:col w:w="4143"/>
          </w:cols>
        </w:sectPr>
      </w:pPr>
    </w:p>
    <w:p w14:paraId="2C104542">
      <w:pPr>
        <w:spacing w:before="10"/>
      </w:pPr>
    </w:p>
    <w:p w14:paraId="5FD23963">
      <w:pPr>
        <w:spacing w:before="10"/>
      </w:pPr>
    </w:p>
    <w:p w14:paraId="65F62465">
      <w:pPr>
        <w:spacing w:before="10"/>
      </w:pPr>
    </w:p>
    <w:p w14:paraId="024B4DCE">
      <w:pPr>
        <w:spacing w:before="10"/>
      </w:pPr>
    </w:p>
    <w:p w14:paraId="4E6A6535">
      <w:pPr>
        <w:sectPr>
          <w:footerReference r:id="rId117" w:type="default"/>
          <w:pgSz w:w="10660" w:h="15080"/>
          <w:pgMar w:top="400" w:right="825" w:bottom="898" w:left="1019" w:header="0" w:footer="745" w:gutter="0"/>
          <w:cols w:equalWidth="0" w:num="1">
            <w:col w:w="8815"/>
          </w:cols>
        </w:sectPr>
      </w:pPr>
    </w:p>
    <w:p w14:paraId="35ABC996">
      <w:pPr>
        <w:spacing w:before="11" w:line="220" w:lineRule="auto"/>
        <w:ind w:left="370"/>
        <w:rPr>
          <w:rFonts w:ascii="宋体" w:hAnsi="宋体" w:eastAsia="宋体" w:cs="宋体"/>
          <w:sz w:val="17"/>
          <w:szCs w:val="17"/>
        </w:rPr>
      </w:pPr>
      <w:r>
        <w:rPr>
          <w:rFonts w:ascii="宋体" w:hAnsi="宋体" w:eastAsia="宋体" w:cs="宋体"/>
          <w:sz w:val="17"/>
          <w:szCs w:val="17"/>
        </w:rPr>
        <w:t>4、逻辑电平显示器、逻辑电平开关</w:t>
      </w:r>
    </w:p>
    <w:p w14:paraId="7E4470E6">
      <w:pPr>
        <w:spacing w:before="87" w:line="219" w:lineRule="auto"/>
        <w:ind w:left="370"/>
        <w:rPr>
          <w:rFonts w:ascii="宋体" w:hAnsi="宋体" w:eastAsia="宋体" w:cs="宋体"/>
          <w:sz w:val="17"/>
          <w:szCs w:val="17"/>
        </w:rPr>
      </w:pPr>
      <w:r>
        <w:rPr>
          <w:rFonts w:ascii="宋体" w:hAnsi="宋体" w:eastAsia="宋体" w:cs="宋体"/>
          <w:spacing w:val="10"/>
          <w:sz w:val="17"/>
          <w:szCs w:val="17"/>
        </w:rPr>
        <w:t>5、数字电压表1台</w:t>
      </w:r>
    </w:p>
    <w:p w14:paraId="3887B71E">
      <w:pPr>
        <w:spacing w:before="77" w:line="273" w:lineRule="auto"/>
        <w:ind w:left="285" w:right="2343" w:firstLine="84"/>
        <w:rPr>
          <w:rFonts w:ascii="宋体" w:hAnsi="宋体" w:eastAsia="宋体" w:cs="宋体"/>
          <w:sz w:val="17"/>
          <w:szCs w:val="17"/>
        </w:rPr>
      </w:pPr>
      <w:r>
        <w:rPr>
          <w:rFonts w:ascii="宋体" w:hAnsi="宋体" w:eastAsia="宋体" w:cs="宋体"/>
          <w:spacing w:val="7"/>
          <w:sz w:val="17"/>
          <w:szCs w:val="17"/>
        </w:rPr>
        <w:t>6、集成电路实验板1块</w:t>
      </w:r>
      <w:r>
        <w:rPr>
          <w:rFonts w:ascii="宋体" w:hAnsi="宋体" w:eastAsia="宋体" w:cs="宋体"/>
          <w:spacing w:val="8"/>
          <w:sz w:val="17"/>
          <w:szCs w:val="17"/>
        </w:rPr>
        <w:t xml:space="preserve"> 【测试内容】</w:t>
      </w:r>
    </w:p>
    <w:p w14:paraId="63D07502">
      <w:pPr>
        <w:spacing w:before="88" w:line="219" w:lineRule="auto"/>
        <w:ind w:left="370"/>
        <w:rPr>
          <w:rFonts w:ascii="宋体" w:hAnsi="宋体" w:eastAsia="宋体" w:cs="宋体"/>
          <w:sz w:val="17"/>
          <w:szCs w:val="17"/>
        </w:rPr>
      </w:pPr>
      <w:r>
        <w:rPr>
          <w:rFonts w:ascii="宋体" w:hAnsi="宋体" w:eastAsia="宋体" w:cs="宋体"/>
          <w:spacing w:val="-2"/>
          <w:sz w:val="17"/>
          <w:szCs w:val="17"/>
        </w:rPr>
        <w:t>1、技能测试电路的装配。</w:t>
      </w:r>
    </w:p>
    <w:p w14:paraId="780FAAE1">
      <w:pPr>
        <w:spacing w:before="78" w:line="219" w:lineRule="auto"/>
        <w:ind w:left="370"/>
        <w:rPr>
          <w:rFonts w:ascii="宋体" w:hAnsi="宋体" w:eastAsia="宋体" w:cs="宋体"/>
          <w:sz w:val="17"/>
          <w:szCs w:val="17"/>
        </w:rPr>
      </w:pPr>
      <w:r>
        <w:rPr>
          <w:rFonts w:ascii="宋体" w:hAnsi="宋体" w:eastAsia="宋体" w:cs="宋体"/>
          <w:spacing w:val="-1"/>
          <w:sz w:val="17"/>
          <w:szCs w:val="17"/>
        </w:rPr>
        <w:t>2、技能测试电路的调试与检测</w:t>
      </w:r>
    </w:p>
    <w:p w14:paraId="0EA54E36">
      <w:pPr>
        <w:spacing w:before="87" w:line="273" w:lineRule="auto"/>
        <w:ind w:right="355" w:firstLine="450"/>
        <w:rPr>
          <w:rFonts w:ascii="宋体" w:hAnsi="宋体" w:eastAsia="宋体" w:cs="宋体"/>
          <w:sz w:val="17"/>
          <w:szCs w:val="17"/>
        </w:rPr>
      </w:pPr>
      <w:r>
        <w:rPr>
          <w:rFonts w:ascii="宋体" w:hAnsi="宋体" w:eastAsia="宋体" w:cs="宋体"/>
          <w:spacing w:val="11"/>
          <w:sz w:val="17"/>
          <w:szCs w:val="17"/>
        </w:rPr>
        <w:t>(1)测试由集成触发器74</w:t>
      </w:r>
      <w:r>
        <w:rPr>
          <w:rFonts w:ascii="Times New Roman" w:hAnsi="Times New Roman" w:eastAsia="Times New Roman" w:cs="Times New Roman"/>
          <w:sz w:val="17"/>
          <w:szCs w:val="17"/>
        </w:rPr>
        <w:t>LS</w:t>
      </w:r>
      <w:r>
        <w:rPr>
          <w:rFonts w:ascii="Times New Roman" w:hAnsi="Times New Roman" w:eastAsia="Times New Roman" w:cs="Times New Roman"/>
          <w:spacing w:val="11"/>
          <w:sz w:val="17"/>
          <w:szCs w:val="17"/>
        </w:rPr>
        <w:t>74</w:t>
      </w:r>
      <w:r>
        <w:rPr>
          <w:rFonts w:ascii="宋体" w:hAnsi="宋体" w:eastAsia="宋体" w:cs="宋体"/>
          <w:spacing w:val="11"/>
          <w:sz w:val="17"/>
          <w:szCs w:val="17"/>
        </w:rPr>
        <w:t>构成的4位二进制</w:t>
      </w:r>
      <w:r>
        <w:rPr>
          <w:rFonts w:ascii="宋体" w:hAnsi="宋体" w:eastAsia="宋体" w:cs="宋体"/>
          <w:spacing w:val="12"/>
          <w:sz w:val="17"/>
          <w:szCs w:val="17"/>
        </w:rPr>
        <w:t xml:space="preserve"> </w:t>
      </w:r>
      <w:r>
        <w:rPr>
          <w:rFonts w:ascii="宋体" w:hAnsi="宋体" w:eastAsia="宋体" w:cs="宋体"/>
          <w:spacing w:val="-3"/>
          <w:sz w:val="17"/>
          <w:szCs w:val="17"/>
        </w:rPr>
        <w:t>异步加法计数器输入、输出波形。</w:t>
      </w:r>
    </w:p>
    <w:p w14:paraId="1953AD53">
      <w:pPr>
        <w:spacing w:before="98" w:line="256" w:lineRule="auto"/>
        <w:ind w:right="355" w:firstLine="450"/>
        <w:rPr>
          <w:rFonts w:ascii="宋体" w:hAnsi="宋体" w:eastAsia="宋体" w:cs="宋体"/>
          <w:sz w:val="17"/>
          <w:szCs w:val="17"/>
        </w:rPr>
      </w:pPr>
      <w:r>
        <w:rPr>
          <w:rFonts w:ascii="宋体" w:hAnsi="宋体" w:eastAsia="宋体" w:cs="宋体"/>
          <w:spacing w:val="11"/>
          <w:sz w:val="17"/>
          <w:szCs w:val="17"/>
        </w:rPr>
        <w:t>(2)测试由集成触发器74</w:t>
      </w:r>
      <w:r>
        <w:rPr>
          <w:rFonts w:ascii="Times New Roman" w:hAnsi="Times New Roman" w:eastAsia="Times New Roman" w:cs="Times New Roman"/>
          <w:sz w:val="17"/>
          <w:szCs w:val="17"/>
        </w:rPr>
        <w:t>LS</w:t>
      </w:r>
      <w:r>
        <w:rPr>
          <w:rFonts w:ascii="Times New Roman" w:hAnsi="Times New Roman" w:eastAsia="Times New Roman" w:cs="Times New Roman"/>
          <w:spacing w:val="11"/>
          <w:sz w:val="17"/>
          <w:szCs w:val="17"/>
        </w:rPr>
        <w:t>74</w:t>
      </w:r>
      <w:r>
        <w:rPr>
          <w:rFonts w:ascii="宋体" w:hAnsi="宋体" w:eastAsia="宋体" w:cs="宋体"/>
          <w:spacing w:val="11"/>
          <w:sz w:val="17"/>
          <w:szCs w:val="17"/>
        </w:rPr>
        <w:t>构成的4位二进制</w:t>
      </w:r>
      <w:r>
        <w:rPr>
          <w:rFonts w:ascii="宋体" w:hAnsi="宋体" w:eastAsia="宋体" w:cs="宋体"/>
          <w:spacing w:val="12"/>
          <w:sz w:val="17"/>
          <w:szCs w:val="17"/>
        </w:rPr>
        <w:t xml:space="preserve"> </w:t>
      </w:r>
      <w:r>
        <w:rPr>
          <w:rFonts w:ascii="宋体" w:hAnsi="宋体" w:eastAsia="宋体" w:cs="宋体"/>
          <w:spacing w:val="-3"/>
          <w:sz w:val="17"/>
          <w:szCs w:val="17"/>
        </w:rPr>
        <w:t>异步减法计数器输入、输出波形。</w:t>
      </w:r>
    </w:p>
    <w:p w14:paraId="5C877E73">
      <w:pPr>
        <w:spacing w:before="89" w:line="221" w:lineRule="auto"/>
        <w:ind w:left="285"/>
        <w:rPr>
          <w:rFonts w:ascii="宋体" w:hAnsi="宋体" w:eastAsia="宋体" w:cs="宋体"/>
          <w:sz w:val="17"/>
          <w:szCs w:val="17"/>
        </w:rPr>
      </w:pPr>
      <w:r>
        <w:rPr>
          <w:rFonts w:ascii="宋体" w:hAnsi="宋体" w:eastAsia="宋体" w:cs="宋体"/>
          <w:spacing w:val="8"/>
          <w:sz w:val="17"/>
          <w:szCs w:val="17"/>
        </w:rPr>
        <w:t>【测试方法】</w:t>
      </w:r>
    </w:p>
    <w:p w14:paraId="7D38C308">
      <w:pPr>
        <w:spacing w:before="86" w:line="266" w:lineRule="auto"/>
        <w:ind w:right="362" w:firstLine="370"/>
        <w:rPr>
          <w:rFonts w:ascii="宋体" w:hAnsi="宋体" w:eastAsia="宋体" w:cs="宋体"/>
          <w:sz w:val="17"/>
          <w:szCs w:val="17"/>
        </w:rPr>
      </w:pPr>
      <w:r>
        <w:rPr>
          <w:rFonts w:ascii="宋体" w:hAnsi="宋体" w:eastAsia="宋体" w:cs="宋体"/>
          <w:spacing w:val="13"/>
          <w:sz w:val="17"/>
          <w:szCs w:val="17"/>
        </w:rPr>
        <w:t>1、使用万用表电压档测量集成电路集成触发器</w:t>
      </w:r>
      <w:r>
        <w:rPr>
          <w:rFonts w:ascii="宋体" w:hAnsi="宋体" w:eastAsia="宋体" w:cs="宋体"/>
          <w:spacing w:val="8"/>
          <w:sz w:val="17"/>
          <w:szCs w:val="17"/>
        </w:rPr>
        <w:t xml:space="preserve"> </w:t>
      </w:r>
      <w:r>
        <w:rPr>
          <w:rFonts w:ascii="Times New Roman" w:hAnsi="Times New Roman" w:eastAsia="Times New Roman" w:cs="Times New Roman"/>
          <w:spacing w:val="1"/>
          <w:sz w:val="17"/>
          <w:szCs w:val="17"/>
        </w:rPr>
        <w:t>74</w:t>
      </w:r>
      <w:r>
        <w:rPr>
          <w:rFonts w:ascii="Times New Roman" w:hAnsi="Times New Roman" w:eastAsia="Times New Roman" w:cs="Times New Roman"/>
          <w:sz w:val="17"/>
          <w:szCs w:val="17"/>
        </w:rPr>
        <w:t>LS</w:t>
      </w:r>
      <w:r>
        <w:rPr>
          <w:rFonts w:ascii="Times New Roman" w:hAnsi="Times New Roman" w:eastAsia="Times New Roman" w:cs="Times New Roman"/>
          <w:spacing w:val="1"/>
          <w:sz w:val="17"/>
          <w:szCs w:val="17"/>
        </w:rPr>
        <w:t>74</w:t>
      </w:r>
      <w:r>
        <w:rPr>
          <w:rFonts w:ascii="宋体" w:hAnsi="宋体" w:eastAsia="宋体" w:cs="宋体"/>
          <w:spacing w:val="1"/>
          <w:sz w:val="17"/>
          <w:szCs w:val="17"/>
        </w:rPr>
        <w:t>各引脚的电压值。</w:t>
      </w:r>
    </w:p>
    <w:p w14:paraId="49809D74">
      <w:pPr>
        <w:spacing w:before="89" w:line="273" w:lineRule="auto"/>
        <w:ind w:right="357" w:firstLine="370"/>
        <w:rPr>
          <w:rFonts w:ascii="宋体" w:hAnsi="宋体" w:eastAsia="宋体" w:cs="宋体"/>
          <w:sz w:val="17"/>
          <w:szCs w:val="17"/>
        </w:rPr>
      </w:pPr>
      <w:r>
        <w:rPr>
          <w:rFonts w:ascii="宋体" w:hAnsi="宋体" w:eastAsia="宋体" w:cs="宋体"/>
          <w:spacing w:val="5"/>
          <w:sz w:val="17"/>
          <w:szCs w:val="17"/>
        </w:rPr>
        <w:t>2、使用逻辑电平显示器、逻辑电平开关分析、判</w:t>
      </w:r>
      <w:r>
        <w:rPr>
          <w:rFonts w:ascii="宋体" w:hAnsi="宋体" w:eastAsia="宋体" w:cs="宋体"/>
          <w:spacing w:val="6"/>
          <w:sz w:val="17"/>
          <w:szCs w:val="17"/>
        </w:rPr>
        <w:t xml:space="preserve"> </w:t>
      </w:r>
      <w:r>
        <w:rPr>
          <w:rFonts w:ascii="宋体" w:hAnsi="宋体" w:eastAsia="宋体" w:cs="宋体"/>
          <w:spacing w:val="-2"/>
          <w:sz w:val="17"/>
          <w:szCs w:val="17"/>
        </w:rPr>
        <w:t>断电路的逻辑功能是否正常。</w:t>
      </w:r>
    </w:p>
    <w:p w14:paraId="4C4340AF">
      <w:pPr>
        <w:spacing w:before="77" w:line="268" w:lineRule="auto"/>
        <w:ind w:right="349" w:firstLine="370"/>
        <w:rPr>
          <w:rFonts w:ascii="宋体" w:hAnsi="宋体" w:eastAsia="宋体" w:cs="宋体"/>
          <w:sz w:val="17"/>
          <w:szCs w:val="17"/>
        </w:rPr>
      </w:pPr>
      <w:r>
        <w:rPr>
          <w:rFonts w:ascii="宋体" w:hAnsi="宋体" w:eastAsia="宋体" w:cs="宋体"/>
          <w:spacing w:val="14"/>
          <w:sz w:val="17"/>
          <w:szCs w:val="17"/>
        </w:rPr>
        <w:t>3、使用双踪示波器测量异步计数器输入和输出</w:t>
      </w:r>
      <w:r>
        <w:rPr>
          <w:rFonts w:ascii="宋体" w:hAnsi="宋体" w:eastAsia="宋体" w:cs="宋体"/>
          <w:sz w:val="17"/>
          <w:szCs w:val="17"/>
        </w:rPr>
        <w:t xml:space="preserve"> </w:t>
      </w:r>
      <w:r>
        <w:rPr>
          <w:rFonts w:ascii="宋体" w:hAnsi="宋体" w:eastAsia="宋体" w:cs="宋体"/>
          <w:spacing w:val="-2"/>
          <w:sz w:val="17"/>
          <w:szCs w:val="17"/>
        </w:rPr>
        <w:t>波形。</w:t>
      </w:r>
    </w:p>
    <w:p w14:paraId="7BD242DC">
      <w:pPr>
        <w:spacing w:before="88" w:line="221" w:lineRule="auto"/>
        <w:ind w:left="285"/>
        <w:rPr>
          <w:rFonts w:ascii="宋体" w:hAnsi="宋体" w:eastAsia="宋体" w:cs="宋体"/>
          <w:sz w:val="17"/>
          <w:szCs w:val="17"/>
        </w:rPr>
      </w:pPr>
      <w:r>
        <w:rPr>
          <w:rFonts w:ascii="宋体" w:hAnsi="宋体" w:eastAsia="宋体" w:cs="宋体"/>
          <w:spacing w:val="8"/>
          <w:sz w:val="17"/>
          <w:szCs w:val="17"/>
        </w:rPr>
        <w:t>【测试要求】</w:t>
      </w:r>
    </w:p>
    <w:p w14:paraId="06136274">
      <w:pPr>
        <w:spacing w:before="96" w:line="220" w:lineRule="auto"/>
        <w:ind w:left="370"/>
        <w:rPr>
          <w:rFonts w:ascii="宋体" w:hAnsi="宋体" w:eastAsia="宋体" w:cs="宋体"/>
          <w:sz w:val="17"/>
          <w:szCs w:val="17"/>
        </w:rPr>
      </w:pPr>
      <w:r>
        <w:rPr>
          <w:rFonts w:ascii="宋体" w:hAnsi="宋体" w:eastAsia="宋体" w:cs="宋体"/>
          <w:spacing w:val="5"/>
          <w:sz w:val="17"/>
          <w:szCs w:val="17"/>
        </w:rPr>
        <w:t>1、测试时间90分钟。</w:t>
      </w:r>
    </w:p>
    <w:p w14:paraId="6132F43D">
      <w:pPr>
        <w:spacing w:before="76" w:line="273" w:lineRule="auto"/>
        <w:ind w:right="362" w:firstLine="370"/>
        <w:rPr>
          <w:rFonts w:ascii="宋体" w:hAnsi="宋体" w:eastAsia="宋体" w:cs="宋体"/>
          <w:sz w:val="17"/>
          <w:szCs w:val="17"/>
        </w:rPr>
      </w:pPr>
      <w:r>
        <w:rPr>
          <w:rFonts w:ascii="宋体" w:hAnsi="宋体" w:eastAsia="宋体" w:cs="宋体"/>
          <w:spacing w:val="3"/>
          <w:sz w:val="17"/>
          <w:szCs w:val="17"/>
        </w:rPr>
        <w:t>2、绘制表格填写集成触发器74</w:t>
      </w:r>
      <w:r>
        <w:rPr>
          <w:rFonts w:ascii="宋体" w:hAnsi="宋体" w:eastAsia="宋体" w:cs="宋体"/>
          <w:sz w:val="17"/>
          <w:szCs w:val="17"/>
        </w:rPr>
        <w:t>LS</w:t>
      </w:r>
      <w:r>
        <w:rPr>
          <w:rFonts w:ascii="宋体" w:hAnsi="宋体" w:eastAsia="宋体" w:cs="宋体"/>
          <w:spacing w:val="3"/>
          <w:sz w:val="17"/>
          <w:szCs w:val="17"/>
        </w:rPr>
        <w:t>74</w:t>
      </w:r>
      <w:r>
        <w:rPr>
          <w:rFonts w:ascii="宋体" w:hAnsi="宋体" w:eastAsia="宋体" w:cs="宋体"/>
          <w:spacing w:val="-39"/>
          <w:sz w:val="17"/>
          <w:szCs w:val="17"/>
        </w:rPr>
        <w:t xml:space="preserve"> </w:t>
      </w:r>
      <w:r>
        <w:rPr>
          <w:rFonts w:ascii="宋体" w:hAnsi="宋体" w:eastAsia="宋体" w:cs="宋体"/>
          <w:spacing w:val="3"/>
          <w:sz w:val="17"/>
          <w:szCs w:val="17"/>
        </w:rPr>
        <w:t>的逻</w:t>
      </w:r>
      <w:r>
        <w:rPr>
          <w:rFonts w:ascii="宋体" w:hAnsi="宋体" w:eastAsia="宋体" w:cs="宋体"/>
          <w:spacing w:val="2"/>
          <w:sz w:val="17"/>
          <w:szCs w:val="17"/>
        </w:rPr>
        <w:t>辑功能真</w:t>
      </w:r>
      <w:r>
        <w:rPr>
          <w:rFonts w:ascii="宋体" w:hAnsi="宋体" w:eastAsia="宋体" w:cs="宋体"/>
          <w:sz w:val="17"/>
          <w:szCs w:val="17"/>
        </w:rPr>
        <w:t xml:space="preserve"> </w:t>
      </w:r>
      <w:r>
        <w:rPr>
          <w:rFonts w:ascii="宋体" w:hAnsi="宋体" w:eastAsia="宋体" w:cs="宋体"/>
          <w:spacing w:val="-2"/>
          <w:sz w:val="17"/>
          <w:szCs w:val="17"/>
        </w:rPr>
        <w:t>值表。</w:t>
      </w:r>
    </w:p>
    <w:p w14:paraId="7453C0E3">
      <w:pPr>
        <w:spacing w:before="88" w:line="267" w:lineRule="auto"/>
        <w:ind w:left="285" w:right="484" w:firstLine="84"/>
        <w:rPr>
          <w:rFonts w:ascii="宋体" w:hAnsi="宋体" w:eastAsia="宋体" w:cs="宋体"/>
          <w:sz w:val="17"/>
          <w:szCs w:val="17"/>
        </w:rPr>
      </w:pPr>
      <w:r>
        <w:rPr>
          <w:rFonts w:ascii="宋体" w:hAnsi="宋体" w:eastAsia="宋体" w:cs="宋体"/>
          <w:spacing w:val="3"/>
          <w:sz w:val="17"/>
          <w:szCs w:val="17"/>
        </w:rPr>
        <w:t>3、画出4位二进制异步计数器输入、输出波形。</w:t>
      </w:r>
      <w:r>
        <w:rPr>
          <w:rFonts w:ascii="宋体" w:hAnsi="宋体" w:eastAsia="宋体" w:cs="宋体"/>
          <w:spacing w:val="8"/>
          <w:sz w:val="17"/>
          <w:szCs w:val="17"/>
        </w:rPr>
        <w:t xml:space="preserve"> 【赋分参考】</w:t>
      </w:r>
    </w:p>
    <w:p w14:paraId="1CC08B9D">
      <w:pPr>
        <w:spacing w:before="89" w:line="219" w:lineRule="auto"/>
        <w:ind w:left="370"/>
        <w:rPr>
          <w:rFonts w:ascii="宋体" w:hAnsi="宋体" w:eastAsia="宋体" w:cs="宋体"/>
          <w:sz w:val="17"/>
          <w:szCs w:val="17"/>
        </w:rPr>
      </w:pPr>
      <w:r>
        <w:rPr>
          <w:rFonts w:ascii="宋体" w:hAnsi="宋体" w:eastAsia="宋体" w:cs="宋体"/>
          <w:spacing w:val="10"/>
          <w:sz w:val="17"/>
          <w:szCs w:val="17"/>
        </w:rPr>
        <w:t>1、元器件成型及装配(20分)</w:t>
      </w:r>
    </w:p>
    <w:p w14:paraId="0D93ABD5">
      <w:pPr>
        <w:spacing w:before="88" w:line="219" w:lineRule="auto"/>
        <w:ind w:left="370"/>
        <w:rPr>
          <w:rFonts w:ascii="宋体" w:hAnsi="宋体" w:eastAsia="宋体" w:cs="宋体"/>
          <w:sz w:val="17"/>
          <w:szCs w:val="17"/>
        </w:rPr>
      </w:pPr>
      <w:r>
        <w:rPr>
          <w:rFonts w:ascii="宋体" w:hAnsi="宋体" w:eastAsia="宋体" w:cs="宋体"/>
          <w:spacing w:val="-1"/>
          <w:sz w:val="17"/>
          <w:szCs w:val="17"/>
        </w:rPr>
        <w:t>2、技能测试电路的调试与检测</w:t>
      </w:r>
    </w:p>
    <w:p w14:paraId="3A1A9E9A">
      <w:pPr>
        <w:spacing w:before="78" w:line="267" w:lineRule="auto"/>
        <w:ind w:right="355" w:firstLine="450"/>
        <w:rPr>
          <w:rFonts w:ascii="宋体" w:hAnsi="宋体" w:eastAsia="宋体" w:cs="宋体"/>
          <w:sz w:val="17"/>
          <w:szCs w:val="17"/>
        </w:rPr>
      </w:pPr>
      <w:r>
        <w:rPr>
          <w:rFonts w:ascii="宋体" w:hAnsi="宋体" w:eastAsia="宋体" w:cs="宋体"/>
          <w:spacing w:val="11"/>
          <w:sz w:val="17"/>
          <w:szCs w:val="17"/>
        </w:rPr>
        <w:t>(1)测试由集成触发器74</w:t>
      </w:r>
      <w:r>
        <w:rPr>
          <w:rFonts w:ascii="Times New Roman" w:hAnsi="Times New Roman" w:eastAsia="Times New Roman" w:cs="Times New Roman"/>
          <w:sz w:val="17"/>
          <w:szCs w:val="17"/>
        </w:rPr>
        <w:t>LS</w:t>
      </w:r>
      <w:r>
        <w:rPr>
          <w:rFonts w:ascii="Times New Roman" w:hAnsi="Times New Roman" w:eastAsia="Times New Roman" w:cs="Times New Roman"/>
          <w:spacing w:val="11"/>
          <w:sz w:val="17"/>
          <w:szCs w:val="17"/>
        </w:rPr>
        <w:t>74</w:t>
      </w:r>
      <w:r>
        <w:rPr>
          <w:rFonts w:ascii="宋体" w:hAnsi="宋体" w:eastAsia="宋体" w:cs="宋体"/>
          <w:spacing w:val="11"/>
          <w:sz w:val="17"/>
          <w:szCs w:val="17"/>
        </w:rPr>
        <w:t>构成的4位二进制</w:t>
      </w:r>
      <w:r>
        <w:rPr>
          <w:rFonts w:ascii="宋体" w:hAnsi="宋体" w:eastAsia="宋体" w:cs="宋体"/>
          <w:spacing w:val="12"/>
          <w:sz w:val="17"/>
          <w:szCs w:val="17"/>
        </w:rPr>
        <w:t xml:space="preserve"> </w:t>
      </w:r>
      <w:r>
        <w:rPr>
          <w:rFonts w:ascii="宋体" w:hAnsi="宋体" w:eastAsia="宋体" w:cs="宋体"/>
          <w:spacing w:val="8"/>
          <w:sz w:val="17"/>
          <w:szCs w:val="17"/>
        </w:rPr>
        <w:t>异步加法计数器输人、输出波形。(80分)</w:t>
      </w:r>
    </w:p>
    <w:p w14:paraId="417E179E">
      <w:pPr>
        <w:spacing w:before="108" w:line="262" w:lineRule="auto"/>
        <w:ind w:right="355" w:firstLine="450"/>
        <w:rPr>
          <w:rFonts w:ascii="宋体" w:hAnsi="宋体" w:eastAsia="宋体" w:cs="宋体"/>
          <w:sz w:val="17"/>
          <w:szCs w:val="17"/>
        </w:rPr>
      </w:pPr>
      <w:r>
        <w:rPr>
          <w:rFonts w:ascii="宋体" w:hAnsi="宋体" w:eastAsia="宋体" w:cs="宋体"/>
          <w:spacing w:val="11"/>
          <w:sz w:val="17"/>
          <w:szCs w:val="17"/>
        </w:rPr>
        <w:t>(2)测试由集成触发器74</w:t>
      </w:r>
      <w:r>
        <w:rPr>
          <w:rFonts w:ascii="Times New Roman" w:hAnsi="Times New Roman" w:eastAsia="Times New Roman" w:cs="Times New Roman"/>
          <w:sz w:val="17"/>
          <w:szCs w:val="17"/>
        </w:rPr>
        <w:t>LS</w:t>
      </w:r>
      <w:r>
        <w:rPr>
          <w:rFonts w:ascii="Times New Roman" w:hAnsi="Times New Roman" w:eastAsia="Times New Roman" w:cs="Times New Roman"/>
          <w:spacing w:val="11"/>
          <w:sz w:val="17"/>
          <w:szCs w:val="17"/>
        </w:rPr>
        <w:t>74</w:t>
      </w:r>
      <w:r>
        <w:rPr>
          <w:rFonts w:ascii="宋体" w:hAnsi="宋体" w:eastAsia="宋体" w:cs="宋体"/>
          <w:spacing w:val="11"/>
          <w:sz w:val="17"/>
          <w:szCs w:val="17"/>
        </w:rPr>
        <w:t>构成的4位二进制</w:t>
      </w:r>
      <w:r>
        <w:rPr>
          <w:rFonts w:ascii="宋体" w:hAnsi="宋体" w:eastAsia="宋体" w:cs="宋体"/>
          <w:spacing w:val="12"/>
          <w:sz w:val="17"/>
          <w:szCs w:val="17"/>
        </w:rPr>
        <w:t xml:space="preserve"> </w:t>
      </w:r>
      <w:r>
        <w:rPr>
          <w:rFonts w:ascii="宋体" w:hAnsi="宋体" w:eastAsia="宋体" w:cs="宋体"/>
          <w:spacing w:val="8"/>
          <w:sz w:val="17"/>
          <w:szCs w:val="17"/>
        </w:rPr>
        <w:t>异步减法计数器输入、输出波形。(80分)</w:t>
      </w:r>
    </w:p>
    <w:p w14:paraId="49544F5A">
      <w:pPr>
        <w:spacing w:before="79" w:line="283" w:lineRule="auto"/>
        <w:ind w:right="361" w:firstLine="450"/>
        <w:rPr>
          <w:rFonts w:ascii="宋体" w:hAnsi="宋体" w:eastAsia="宋体" w:cs="宋体"/>
          <w:sz w:val="17"/>
          <w:szCs w:val="17"/>
        </w:rPr>
      </w:pPr>
      <w:r>
        <w:rPr>
          <w:rFonts w:ascii="宋体" w:hAnsi="宋体" w:eastAsia="宋体" w:cs="宋体"/>
          <w:spacing w:val="7"/>
          <w:sz w:val="17"/>
          <w:szCs w:val="17"/>
        </w:rPr>
        <w:t>(3)绘制表格填写集成触发器74</w:t>
      </w:r>
      <w:r>
        <w:rPr>
          <w:rFonts w:ascii="Times New Roman" w:hAnsi="Times New Roman" w:eastAsia="Times New Roman" w:cs="Times New Roman"/>
          <w:sz w:val="17"/>
          <w:szCs w:val="17"/>
        </w:rPr>
        <w:t>LS</w:t>
      </w:r>
      <w:r>
        <w:rPr>
          <w:rFonts w:ascii="Times New Roman" w:hAnsi="Times New Roman" w:eastAsia="Times New Roman" w:cs="Times New Roman"/>
          <w:spacing w:val="7"/>
          <w:sz w:val="17"/>
          <w:szCs w:val="17"/>
        </w:rPr>
        <w:t>74</w:t>
      </w:r>
      <w:r>
        <w:rPr>
          <w:rFonts w:ascii="宋体" w:hAnsi="宋体" w:eastAsia="宋体" w:cs="宋体"/>
          <w:spacing w:val="7"/>
          <w:sz w:val="17"/>
          <w:szCs w:val="17"/>
        </w:rPr>
        <w:t>的逻辑功能</w:t>
      </w:r>
      <w:r>
        <w:rPr>
          <w:rFonts w:ascii="宋体" w:hAnsi="宋体" w:eastAsia="宋体" w:cs="宋体"/>
          <w:spacing w:val="13"/>
          <w:sz w:val="17"/>
          <w:szCs w:val="17"/>
        </w:rPr>
        <w:t xml:space="preserve"> </w:t>
      </w:r>
      <w:r>
        <w:rPr>
          <w:rFonts w:ascii="宋体" w:hAnsi="宋体" w:eastAsia="宋体" w:cs="宋体"/>
          <w:spacing w:val="18"/>
          <w:sz w:val="17"/>
          <w:szCs w:val="17"/>
        </w:rPr>
        <w:t>真值表。(20分)</w:t>
      </w:r>
    </w:p>
    <w:p w14:paraId="1C666B7B">
      <w:pPr>
        <w:spacing w:before="88" w:line="273" w:lineRule="auto"/>
        <w:ind w:left="90" w:right="444" w:firstLine="279"/>
        <w:rPr>
          <w:rFonts w:ascii="宋体" w:hAnsi="宋体" w:eastAsia="宋体" w:cs="宋体"/>
          <w:sz w:val="17"/>
          <w:szCs w:val="17"/>
        </w:rPr>
      </w:pPr>
      <w:r>
        <w:rPr>
          <w:rFonts w:ascii="宋体" w:hAnsi="宋体" w:eastAsia="宋体" w:cs="宋体"/>
          <w:spacing w:val="5"/>
          <w:sz w:val="17"/>
          <w:szCs w:val="17"/>
        </w:rPr>
        <w:t>(4)画出4位二进制异步计数器输入、输出波形。</w:t>
      </w:r>
      <w:r>
        <w:rPr>
          <w:rFonts w:ascii="宋体" w:hAnsi="宋体" w:eastAsia="宋体" w:cs="宋体"/>
          <w:sz w:val="17"/>
          <w:szCs w:val="17"/>
        </w:rPr>
        <w:t xml:space="preserve"> </w:t>
      </w:r>
      <w:r>
        <w:rPr>
          <w:rFonts w:ascii="宋体" w:hAnsi="宋体" w:eastAsia="宋体" w:cs="宋体"/>
          <w:spacing w:val="19"/>
          <w:sz w:val="17"/>
          <w:szCs w:val="17"/>
        </w:rPr>
        <w:t>(20分)</w:t>
      </w:r>
    </w:p>
    <w:p w14:paraId="64775DEA">
      <w:pPr>
        <w:spacing w:before="78" w:line="184" w:lineRule="auto"/>
        <w:ind w:left="370"/>
        <w:rPr>
          <w:rFonts w:ascii="宋体" w:hAnsi="宋体" w:eastAsia="宋体" w:cs="宋体"/>
          <w:sz w:val="17"/>
          <w:szCs w:val="17"/>
        </w:rPr>
      </w:pPr>
      <w:r>
        <w:rPr>
          <w:rFonts w:ascii="宋体" w:hAnsi="宋体" w:eastAsia="宋体" w:cs="宋体"/>
          <w:spacing w:val="16"/>
          <w:sz w:val="17"/>
          <w:szCs w:val="17"/>
        </w:rPr>
        <w:t>3、安全清洁(30分)</w:t>
      </w:r>
    </w:p>
    <w:p w14:paraId="0F125912">
      <w:pPr>
        <w:pStyle w:val="2"/>
        <w:spacing w:line="14" w:lineRule="auto"/>
        <w:rPr>
          <w:sz w:val="2"/>
        </w:rPr>
      </w:pPr>
      <w:r>
        <w:rPr>
          <w:sz w:val="2"/>
          <w:szCs w:val="2"/>
        </w:rPr>
        <w:br w:type="column"/>
      </w:r>
    </w:p>
    <w:p w14:paraId="51ADA21E">
      <w:pPr>
        <w:spacing w:before="1" w:line="262" w:lineRule="auto"/>
        <w:ind w:left="1243" w:right="89" w:hanging="1240"/>
        <w:rPr>
          <w:rFonts w:ascii="宋体" w:hAnsi="宋体" w:eastAsia="宋体" w:cs="宋体"/>
          <w:sz w:val="27"/>
          <w:szCs w:val="27"/>
        </w:rPr>
      </w:pPr>
      <w:bookmarkStart w:id="57" w:name="bookmark44"/>
      <w:bookmarkEnd w:id="57"/>
      <w:r>
        <w:rPr>
          <w:rFonts w:ascii="宋体" w:hAnsi="宋体" w:eastAsia="宋体" w:cs="宋体"/>
          <w:b/>
          <w:bCs/>
          <w:spacing w:val="19"/>
          <w:sz w:val="27"/>
          <w:szCs w:val="27"/>
        </w:rPr>
        <w:t>电子与信息大类(计算机类)专业</w:t>
      </w:r>
      <w:r>
        <w:rPr>
          <w:rFonts w:ascii="宋体" w:hAnsi="宋体" w:eastAsia="宋体" w:cs="宋体"/>
          <w:spacing w:val="13"/>
          <w:sz w:val="27"/>
          <w:szCs w:val="27"/>
        </w:rPr>
        <w:t xml:space="preserve"> </w:t>
      </w:r>
      <w:r>
        <w:rPr>
          <w:rFonts w:ascii="宋体" w:hAnsi="宋体" w:eastAsia="宋体" w:cs="宋体"/>
          <w:b/>
          <w:bCs/>
          <w:spacing w:val="-1"/>
          <w:sz w:val="27"/>
          <w:szCs w:val="27"/>
        </w:rPr>
        <w:t>技能测试纲要</w:t>
      </w:r>
    </w:p>
    <w:p w14:paraId="32A09536">
      <w:pPr>
        <w:spacing w:before="282" w:line="308" w:lineRule="auto"/>
        <w:ind w:right="85" w:firstLine="340"/>
        <w:rPr>
          <w:rFonts w:ascii="宋体" w:hAnsi="宋体" w:eastAsia="宋体" w:cs="宋体"/>
          <w:sz w:val="17"/>
          <w:szCs w:val="17"/>
        </w:rPr>
      </w:pPr>
      <w:r>
        <w:rPr>
          <w:rFonts w:ascii="宋体" w:hAnsi="宋体" w:eastAsia="宋体" w:cs="宋体"/>
          <w:spacing w:val="2"/>
          <w:sz w:val="17"/>
          <w:szCs w:val="17"/>
        </w:rPr>
        <w:t>本测试考核纲要依据教育部中等职业学校专业教学</w:t>
      </w:r>
      <w:r>
        <w:rPr>
          <w:rFonts w:ascii="宋体" w:hAnsi="宋体" w:eastAsia="宋体" w:cs="宋体"/>
          <w:spacing w:val="4"/>
          <w:sz w:val="17"/>
          <w:szCs w:val="17"/>
        </w:rPr>
        <w:t xml:space="preserve"> </w:t>
      </w:r>
      <w:r>
        <w:rPr>
          <w:rFonts w:ascii="宋体" w:hAnsi="宋体" w:eastAsia="宋体" w:cs="宋体"/>
          <w:spacing w:val="9"/>
          <w:sz w:val="17"/>
          <w:szCs w:val="17"/>
        </w:rPr>
        <w:t>标准(试行)或中等职业学校专业教学指导方案、相关</w:t>
      </w:r>
      <w:r>
        <w:rPr>
          <w:rFonts w:ascii="宋体" w:hAnsi="宋体" w:eastAsia="宋体" w:cs="宋体"/>
          <w:spacing w:val="1"/>
          <w:sz w:val="17"/>
          <w:szCs w:val="17"/>
        </w:rPr>
        <w:t xml:space="preserve"> </w:t>
      </w:r>
      <w:r>
        <w:rPr>
          <w:rFonts w:ascii="宋体" w:hAnsi="宋体" w:eastAsia="宋体" w:cs="宋体"/>
          <w:spacing w:val="2"/>
          <w:sz w:val="17"/>
          <w:szCs w:val="17"/>
        </w:rPr>
        <w:t>职业岗位国家职业标准、相关行业职业标准以及进</w:t>
      </w:r>
      <w:r>
        <w:rPr>
          <w:rFonts w:ascii="宋体" w:hAnsi="宋体" w:eastAsia="宋体" w:cs="宋体"/>
          <w:spacing w:val="1"/>
          <w:sz w:val="17"/>
          <w:szCs w:val="17"/>
        </w:rPr>
        <w:t>入高</w:t>
      </w:r>
      <w:r>
        <w:rPr>
          <w:rFonts w:ascii="宋体" w:hAnsi="宋体" w:eastAsia="宋体" w:cs="宋体"/>
          <w:sz w:val="17"/>
          <w:szCs w:val="17"/>
        </w:rPr>
        <w:t xml:space="preserve"> </w:t>
      </w:r>
      <w:r>
        <w:rPr>
          <w:rFonts w:ascii="宋体" w:hAnsi="宋体" w:eastAsia="宋体" w:cs="宋体"/>
          <w:spacing w:val="-2"/>
          <w:sz w:val="17"/>
          <w:szCs w:val="17"/>
        </w:rPr>
        <w:t>等院校继续学习所具备的专业基础技能制定。</w:t>
      </w:r>
    </w:p>
    <w:p w14:paraId="3DB2EB78">
      <w:pPr>
        <w:spacing w:before="34" w:line="278" w:lineRule="auto"/>
        <w:ind w:right="111" w:firstLine="340"/>
        <w:rPr>
          <w:rFonts w:ascii="宋体" w:hAnsi="宋体" w:eastAsia="宋体" w:cs="宋体"/>
          <w:sz w:val="17"/>
          <w:szCs w:val="17"/>
        </w:rPr>
      </w:pPr>
      <w:r>
        <w:rPr>
          <w:rFonts w:ascii="宋体" w:hAnsi="宋体" w:eastAsia="宋体" w:cs="宋体"/>
          <w:sz w:val="17"/>
          <w:szCs w:val="17"/>
        </w:rPr>
        <w:t>Windows</w:t>
      </w:r>
      <w:r>
        <w:rPr>
          <w:rFonts w:ascii="宋体" w:hAnsi="宋体" w:eastAsia="宋体" w:cs="宋体"/>
          <w:spacing w:val="-13"/>
          <w:sz w:val="17"/>
          <w:szCs w:val="17"/>
        </w:rPr>
        <w:t xml:space="preserve"> </w:t>
      </w:r>
      <w:r>
        <w:rPr>
          <w:rFonts w:ascii="宋体" w:hAnsi="宋体" w:eastAsia="宋体" w:cs="宋体"/>
          <w:spacing w:val="16"/>
          <w:sz w:val="17"/>
          <w:szCs w:val="17"/>
        </w:rPr>
        <w:t>和</w:t>
      </w:r>
      <w:r>
        <w:rPr>
          <w:rFonts w:ascii="宋体" w:hAnsi="宋体" w:eastAsia="宋体" w:cs="宋体"/>
          <w:spacing w:val="-38"/>
          <w:sz w:val="17"/>
          <w:szCs w:val="17"/>
        </w:rPr>
        <w:t xml:space="preserve"> </w:t>
      </w:r>
      <w:r>
        <w:rPr>
          <w:rFonts w:ascii="宋体" w:hAnsi="宋体" w:eastAsia="宋体" w:cs="宋体"/>
          <w:sz w:val="17"/>
          <w:szCs w:val="17"/>
        </w:rPr>
        <w:t>Office</w:t>
      </w:r>
      <w:r>
        <w:rPr>
          <w:rFonts w:ascii="宋体" w:hAnsi="宋体" w:eastAsia="宋体" w:cs="宋体"/>
          <w:spacing w:val="16"/>
          <w:sz w:val="17"/>
          <w:szCs w:val="17"/>
        </w:rPr>
        <w:t>软件版本调整为</w:t>
      </w:r>
      <w:r>
        <w:rPr>
          <w:rFonts w:ascii="宋体" w:hAnsi="宋体" w:eastAsia="宋体" w:cs="宋体"/>
          <w:sz w:val="17"/>
          <w:szCs w:val="17"/>
        </w:rPr>
        <w:t>Windows</w:t>
      </w:r>
      <w:r>
        <w:rPr>
          <w:rFonts w:ascii="宋体" w:hAnsi="宋体" w:eastAsia="宋体" w:cs="宋体"/>
          <w:spacing w:val="16"/>
          <w:sz w:val="17"/>
          <w:szCs w:val="17"/>
        </w:rPr>
        <w:t>10</w:t>
      </w:r>
      <w:r>
        <w:rPr>
          <w:rFonts w:ascii="宋体" w:hAnsi="宋体" w:eastAsia="宋体" w:cs="宋体"/>
          <w:spacing w:val="-19"/>
          <w:sz w:val="17"/>
          <w:szCs w:val="17"/>
        </w:rPr>
        <w:t xml:space="preserve"> </w:t>
      </w:r>
      <w:r>
        <w:rPr>
          <w:rFonts w:ascii="宋体" w:hAnsi="宋体" w:eastAsia="宋体" w:cs="宋体"/>
          <w:spacing w:val="16"/>
          <w:sz w:val="17"/>
          <w:szCs w:val="17"/>
        </w:rPr>
        <w:t>和</w:t>
      </w:r>
      <w:r>
        <w:rPr>
          <w:rFonts w:ascii="宋体" w:hAnsi="宋体" w:eastAsia="宋体" w:cs="宋体"/>
          <w:sz w:val="17"/>
          <w:szCs w:val="17"/>
        </w:rPr>
        <w:t xml:space="preserve"> </w:t>
      </w:r>
      <w:r>
        <w:rPr>
          <w:rFonts w:ascii="Times New Roman" w:hAnsi="Times New Roman" w:eastAsia="Times New Roman" w:cs="Times New Roman"/>
          <w:sz w:val="17"/>
          <w:szCs w:val="17"/>
        </w:rPr>
        <w:t xml:space="preserve">Office2016,Python  </w:t>
      </w:r>
      <w:r>
        <w:rPr>
          <w:rFonts w:ascii="宋体" w:hAnsi="宋体" w:eastAsia="宋体" w:cs="宋体"/>
          <w:sz w:val="17"/>
          <w:szCs w:val="17"/>
        </w:rPr>
        <w:t>的软件版本为3.8。</w:t>
      </w:r>
    </w:p>
    <w:p w14:paraId="2F2F1A91">
      <w:pPr>
        <w:spacing w:before="70" w:line="309" w:lineRule="auto"/>
        <w:ind w:right="85" w:firstLine="340"/>
        <w:rPr>
          <w:rFonts w:ascii="宋体" w:hAnsi="宋体" w:eastAsia="宋体" w:cs="宋体"/>
          <w:sz w:val="17"/>
          <w:szCs w:val="17"/>
        </w:rPr>
      </w:pPr>
      <w:r>
        <w:rPr>
          <w:rFonts w:ascii="宋体" w:hAnsi="宋体" w:eastAsia="宋体" w:cs="宋体"/>
          <w:spacing w:val="6"/>
          <w:sz w:val="17"/>
          <w:szCs w:val="17"/>
        </w:rPr>
        <w:t>参考考核标准：《中等职业学校专业教学标准.计</w:t>
      </w:r>
      <w:r>
        <w:rPr>
          <w:rFonts w:ascii="宋体" w:hAnsi="宋体" w:eastAsia="宋体" w:cs="宋体"/>
          <w:sz w:val="17"/>
          <w:szCs w:val="17"/>
        </w:rPr>
        <w:t xml:space="preserve"> </w:t>
      </w:r>
      <w:r>
        <w:rPr>
          <w:rFonts w:ascii="宋体" w:hAnsi="宋体" w:eastAsia="宋体" w:cs="宋体"/>
          <w:spacing w:val="2"/>
          <w:sz w:val="17"/>
          <w:szCs w:val="17"/>
        </w:rPr>
        <w:t>算机类》、《安徽省中等职业学校计算机应用专业教学</w:t>
      </w:r>
      <w:r>
        <w:rPr>
          <w:rFonts w:ascii="宋体" w:hAnsi="宋体" w:eastAsia="宋体" w:cs="宋体"/>
          <w:sz w:val="17"/>
          <w:szCs w:val="17"/>
        </w:rPr>
        <w:t xml:space="preserve"> </w:t>
      </w:r>
      <w:r>
        <w:rPr>
          <w:rFonts w:ascii="宋体" w:hAnsi="宋体" w:eastAsia="宋体" w:cs="宋体"/>
          <w:spacing w:val="8"/>
          <w:sz w:val="17"/>
          <w:szCs w:val="17"/>
        </w:rPr>
        <w:t>指导方案(2014版)》、《计算机操作员国家职业标准</w:t>
      </w:r>
      <w:r>
        <w:rPr>
          <w:rFonts w:ascii="宋体" w:hAnsi="宋体" w:eastAsia="宋体" w:cs="宋体"/>
          <w:spacing w:val="9"/>
          <w:sz w:val="17"/>
          <w:szCs w:val="17"/>
        </w:rPr>
        <w:t xml:space="preserve"> </w:t>
      </w:r>
      <w:r>
        <w:rPr>
          <w:rFonts w:ascii="宋体" w:hAnsi="宋体" w:eastAsia="宋体" w:cs="宋体"/>
          <w:spacing w:val="13"/>
          <w:sz w:val="17"/>
          <w:szCs w:val="17"/>
        </w:rPr>
        <w:t>(2008)》(国家职业等级四级)、《计算机程序设计</w:t>
      </w:r>
      <w:r>
        <w:rPr>
          <w:rFonts w:ascii="宋体" w:hAnsi="宋体" w:eastAsia="宋体" w:cs="宋体"/>
          <w:spacing w:val="8"/>
          <w:sz w:val="17"/>
          <w:szCs w:val="17"/>
        </w:rPr>
        <w:t xml:space="preserve"> 员国家职业标准(2022)》(国家职业等级四级)、《计</w:t>
      </w:r>
      <w:r>
        <w:rPr>
          <w:rFonts w:ascii="宋体" w:hAnsi="宋体" w:eastAsia="宋体" w:cs="宋体"/>
          <w:sz w:val="17"/>
          <w:szCs w:val="17"/>
        </w:rPr>
        <w:t xml:space="preserve"> </w:t>
      </w:r>
      <w:r>
        <w:rPr>
          <w:rFonts w:ascii="宋体" w:hAnsi="宋体" w:eastAsia="宋体" w:cs="宋体"/>
          <w:spacing w:val="11"/>
          <w:sz w:val="17"/>
          <w:szCs w:val="17"/>
        </w:rPr>
        <w:t>算机网络管理员国家职业标准(2008)》(国家职业等</w:t>
      </w:r>
      <w:r>
        <w:rPr>
          <w:rFonts w:ascii="宋体" w:hAnsi="宋体" w:eastAsia="宋体" w:cs="宋体"/>
          <w:spacing w:val="16"/>
          <w:sz w:val="17"/>
          <w:szCs w:val="17"/>
        </w:rPr>
        <w:t xml:space="preserve"> </w:t>
      </w:r>
      <w:r>
        <w:rPr>
          <w:rFonts w:ascii="宋体" w:hAnsi="宋体" w:eastAsia="宋体" w:cs="宋体"/>
          <w:spacing w:val="13"/>
          <w:sz w:val="17"/>
          <w:szCs w:val="17"/>
        </w:rPr>
        <w:t>级四级)等。</w:t>
      </w:r>
    </w:p>
    <w:p w14:paraId="510799D5">
      <w:pPr>
        <w:spacing w:before="35" w:line="220" w:lineRule="auto"/>
        <w:ind w:left="3"/>
        <w:rPr>
          <w:rFonts w:ascii="宋体" w:hAnsi="宋体" w:eastAsia="宋体" w:cs="宋体"/>
          <w:sz w:val="22"/>
          <w:szCs w:val="22"/>
        </w:rPr>
      </w:pPr>
      <w:r>
        <w:rPr>
          <w:rFonts w:ascii="宋体" w:hAnsi="宋体" w:eastAsia="宋体" w:cs="宋体"/>
          <w:b/>
          <w:bCs/>
          <w:spacing w:val="6"/>
          <w:sz w:val="22"/>
          <w:szCs w:val="22"/>
        </w:rPr>
        <w:t>一、测试项目</w:t>
      </w:r>
    </w:p>
    <w:p w14:paraId="5C09D4BE">
      <w:pPr>
        <w:spacing w:before="97" w:line="219" w:lineRule="auto"/>
        <w:ind w:left="340"/>
        <w:rPr>
          <w:rFonts w:ascii="宋体" w:hAnsi="宋体" w:eastAsia="宋体" w:cs="宋体"/>
          <w:sz w:val="17"/>
          <w:szCs w:val="17"/>
        </w:rPr>
      </w:pPr>
      <w:r>
        <w:rPr>
          <w:rFonts w:ascii="宋体" w:hAnsi="宋体" w:eastAsia="宋体" w:cs="宋体"/>
          <w:spacing w:val="-2"/>
          <w:sz w:val="17"/>
          <w:szCs w:val="17"/>
        </w:rPr>
        <w:t>本测试项目分为必考项目和选考项目。</w:t>
      </w:r>
    </w:p>
    <w:p w14:paraId="71F1FBF7">
      <w:pPr>
        <w:spacing w:before="90" w:line="294" w:lineRule="auto"/>
        <w:ind w:right="89" w:firstLine="340"/>
        <w:rPr>
          <w:rFonts w:ascii="宋体" w:hAnsi="宋体" w:eastAsia="宋体" w:cs="宋体"/>
          <w:sz w:val="17"/>
          <w:szCs w:val="17"/>
        </w:rPr>
      </w:pPr>
      <w:r>
        <w:rPr>
          <w:rFonts w:ascii="宋体" w:hAnsi="宋体" w:eastAsia="宋体" w:cs="宋体"/>
          <w:spacing w:val="10"/>
          <w:sz w:val="17"/>
          <w:szCs w:val="17"/>
        </w:rPr>
        <w:t>1.必考项目(项目一至项目五，合计分值190分)</w:t>
      </w:r>
      <w:r>
        <w:rPr>
          <w:rFonts w:ascii="宋体" w:hAnsi="宋体" w:eastAsia="宋体" w:cs="宋体"/>
          <w:spacing w:val="11"/>
          <w:sz w:val="17"/>
          <w:szCs w:val="17"/>
        </w:rPr>
        <w:t xml:space="preserve"> </w:t>
      </w:r>
      <w:r>
        <w:rPr>
          <w:rFonts w:ascii="宋体" w:hAnsi="宋体" w:eastAsia="宋体" w:cs="宋体"/>
          <w:spacing w:val="9"/>
          <w:sz w:val="17"/>
          <w:szCs w:val="17"/>
        </w:rPr>
        <w:t>中英文录入、操作系统管理、文字处理、电子表格、</w:t>
      </w:r>
      <w:r>
        <w:rPr>
          <w:rFonts w:ascii="宋体" w:hAnsi="宋体" w:eastAsia="宋体" w:cs="宋体"/>
          <w:spacing w:val="6"/>
          <w:sz w:val="17"/>
          <w:szCs w:val="17"/>
        </w:rPr>
        <w:t xml:space="preserve"> </w:t>
      </w:r>
      <w:r>
        <w:rPr>
          <w:rFonts w:ascii="Times New Roman" w:hAnsi="Times New Roman" w:eastAsia="Times New Roman" w:cs="Times New Roman"/>
          <w:sz w:val="17"/>
          <w:szCs w:val="17"/>
        </w:rPr>
        <w:t>Python</w:t>
      </w:r>
      <w:r>
        <w:rPr>
          <w:rFonts w:ascii="宋体" w:hAnsi="宋体" w:eastAsia="宋体" w:cs="宋体"/>
          <w:spacing w:val="1"/>
          <w:sz w:val="17"/>
          <w:szCs w:val="17"/>
        </w:rPr>
        <w:t>结构化程序设计调试。</w:t>
      </w:r>
    </w:p>
    <w:p w14:paraId="7F20A82E">
      <w:pPr>
        <w:spacing w:before="58" w:line="219" w:lineRule="auto"/>
        <w:ind w:left="340"/>
        <w:rPr>
          <w:rFonts w:ascii="宋体" w:hAnsi="宋体" w:eastAsia="宋体" w:cs="宋体"/>
          <w:sz w:val="17"/>
          <w:szCs w:val="17"/>
        </w:rPr>
      </w:pPr>
      <w:r>
        <w:rPr>
          <w:rFonts w:ascii="宋体" w:hAnsi="宋体" w:eastAsia="宋体" w:cs="宋体"/>
          <w:spacing w:val="14"/>
          <w:sz w:val="17"/>
          <w:szCs w:val="17"/>
        </w:rPr>
        <w:t>2.选考项目(每个项目60分)</w:t>
      </w:r>
    </w:p>
    <w:p w14:paraId="3C14FB8D">
      <w:pPr>
        <w:spacing w:before="97" w:line="303" w:lineRule="auto"/>
        <w:ind w:right="75" w:firstLine="340"/>
        <w:rPr>
          <w:rFonts w:ascii="宋体" w:hAnsi="宋体" w:eastAsia="宋体" w:cs="宋体"/>
          <w:sz w:val="17"/>
          <w:szCs w:val="17"/>
        </w:rPr>
      </w:pPr>
      <w:r>
        <w:rPr>
          <w:rFonts w:ascii="宋体" w:hAnsi="宋体" w:eastAsia="宋体" w:cs="宋体"/>
          <w:spacing w:val="2"/>
          <w:sz w:val="17"/>
          <w:szCs w:val="17"/>
        </w:rPr>
        <w:t>选考项目按照专业群分类，测试项目在备选项目中</w:t>
      </w:r>
      <w:r>
        <w:rPr>
          <w:rFonts w:ascii="宋体" w:hAnsi="宋体" w:eastAsia="宋体" w:cs="宋体"/>
          <w:spacing w:val="13"/>
          <w:sz w:val="17"/>
          <w:szCs w:val="17"/>
        </w:rPr>
        <w:t xml:space="preserve"> </w:t>
      </w:r>
      <w:r>
        <w:rPr>
          <w:rFonts w:ascii="宋体" w:hAnsi="宋体" w:eastAsia="宋体" w:cs="宋体"/>
          <w:spacing w:val="-3"/>
          <w:sz w:val="17"/>
          <w:szCs w:val="17"/>
        </w:rPr>
        <w:t>选择一项作为测试项目。</w:t>
      </w:r>
    </w:p>
    <w:p w14:paraId="39AD2EBA">
      <w:pPr>
        <w:spacing w:before="13" w:line="219" w:lineRule="auto"/>
        <w:ind w:left="430"/>
        <w:rPr>
          <w:rFonts w:ascii="宋体" w:hAnsi="宋体" w:eastAsia="宋体" w:cs="宋体"/>
          <w:sz w:val="17"/>
          <w:szCs w:val="17"/>
        </w:rPr>
      </w:pPr>
      <w:r>
        <w:rPr>
          <w:rFonts w:ascii="宋体" w:hAnsi="宋体" w:eastAsia="宋体" w:cs="宋体"/>
          <w:spacing w:val="15"/>
          <w:sz w:val="17"/>
          <w:szCs w:val="17"/>
        </w:rPr>
        <w:t>(1)专业类别</w:t>
      </w:r>
    </w:p>
    <w:p w14:paraId="0ACBC7AA">
      <w:pPr>
        <w:spacing w:before="87" w:line="274" w:lineRule="auto"/>
        <w:ind w:left="340" w:right="1377"/>
        <w:rPr>
          <w:rFonts w:ascii="宋体" w:hAnsi="宋体" w:eastAsia="宋体" w:cs="宋体"/>
          <w:sz w:val="17"/>
          <w:szCs w:val="17"/>
        </w:rPr>
      </w:pPr>
      <w:r>
        <w:rPr>
          <w:rFonts w:ascii="宋体" w:hAnsi="宋体" w:eastAsia="宋体" w:cs="宋体"/>
          <w:spacing w:val="6"/>
          <w:sz w:val="17"/>
          <w:szCs w:val="17"/>
        </w:rPr>
        <w:t>7101电子信息类和7102计算机类</w:t>
      </w:r>
      <w:r>
        <w:rPr>
          <w:rFonts w:ascii="宋体" w:hAnsi="宋体" w:eastAsia="宋体" w:cs="宋体"/>
          <w:spacing w:val="8"/>
          <w:sz w:val="17"/>
          <w:szCs w:val="17"/>
        </w:rPr>
        <w:t xml:space="preserve"> </w:t>
      </w:r>
      <w:r>
        <w:rPr>
          <w:rFonts w:ascii="宋体" w:hAnsi="宋体" w:eastAsia="宋体" w:cs="宋体"/>
          <w:spacing w:val="-4"/>
          <w:sz w:val="17"/>
          <w:szCs w:val="17"/>
        </w:rPr>
        <w:t>涵盖专业：</w:t>
      </w:r>
    </w:p>
    <w:p w14:paraId="5C3DEBC4">
      <w:pPr>
        <w:spacing w:before="75" w:line="217" w:lineRule="auto"/>
        <w:ind w:left="340"/>
        <w:rPr>
          <w:rFonts w:ascii="宋体" w:hAnsi="宋体" w:eastAsia="宋体" w:cs="宋体"/>
          <w:sz w:val="17"/>
          <w:szCs w:val="17"/>
        </w:rPr>
      </w:pPr>
      <w:r>
        <w:rPr>
          <w:rFonts w:ascii="宋体" w:hAnsi="宋体" w:eastAsia="宋体" w:cs="宋体"/>
          <w:spacing w:val="-2"/>
          <w:sz w:val="17"/>
          <w:szCs w:val="17"/>
        </w:rPr>
        <w:t>①软件应用专业群：</w:t>
      </w:r>
    </w:p>
    <w:p w14:paraId="5142A784">
      <w:pPr>
        <w:spacing w:before="91" w:line="219" w:lineRule="auto"/>
        <w:ind w:left="340"/>
        <w:rPr>
          <w:rFonts w:ascii="宋体" w:hAnsi="宋体" w:eastAsia="宋体" w:cs="宋体"/>
          <w:sz w:val="17"/>
          <w:szCs w:val="17"/>
        </w:rPr>
      </w:pPr>
      <w:r>
        <w:rPr>
          <w:rFonts w:ascii="宋体" w:hAnsi="宋体" w:eastAsia="宋体" w:cs="宋体"/>
          <w:spacing w:val="8"/>
          <w:sz w:val="17"/>
          <w:szCs w:val="17"/>
        </w:rPr>
        <w:t>710201计算机应用、710204数字媒体技术</w:t>
      </w:r>
      <w:r>
        <w:rPr>
          <w:rFonts w:ascii="宋体" w:hAnsi="宋体" w:eastAsia="宋体" w:cs="宋体"/>
          <w:spacing w:val="7"/>
          <w:sz w:val="17"/>
          <w:szCs w:val="17"/>
        </w:rPr>
        <w:t>应用、</w:t>
      </w:r>
    </w:p>
    <w:p w14:paraId="35B6EA91">
      <w:pPr>
        <w:spacing w:before="79" w:line="290" w:lineRule="auto"/>
        <w:rPr>
          <w:rFonts w:ascii="宋体" w:hAnsi="宋体" w:eastAsia="宋体" w:cs="宋体"/>
          <w:sz w:val="17"/>
          <w:szCs w:val="17"/>
        </w:rPr>
      </w:pPr>
      <w:r>
        <w:rPr>
          <w:rFonts w:ascii="宋体" w:hAnsi="宋体" w:eastAsia="宋体" w:cs="宋体"/>
          <w:spacing w:val="14"/>
          <w:sz w:val="17"/>
          <w:szCs w:val="17"/>
        </w:rPr>
        <w:t>710210计算机平面设计、710203</w:t>
      </w:r>
      <w:r>
        <w:rPr>
          <w:rFonts w:ascii="宋体" w:hAnsi="宋体" w:eastAsia="宋体" w:cs="宋体"/>
          <w:spacing w:val="13"/>
          <w:sz w:val="17"/>
          <w:szCs w:val="17"/>
        </w:rPr>
        <w:t>软件与信息服务、</w:t>
      </w:r>
      <w:r>
        <w:rPr>
          <w:rFonts w:ascii="宋体" w:hAnsi="宋体" w:eastAsia="宋体" w:cs="宋体"/>
          <w:sz w:val="17"/>
          <w:szCs w:val="17"/>
        </w:rPr>
        <w:t xml:space="preserve">  </w:t>
      </w:r>
      <w:r>
        <w:rPr>
          <w:rFonts w:ascii="宋体" w:hAnsi="宋体" w:eastAsia="宋体" w:cs="宋体"/>
          <w:spacing w:val="-1"/>
          <w:sz w:val="17"/>
          <w:szCs w:val="17"/>
        </w:rPr>
        <w:t>710205大数据技术应用、710211计算机与数</w:t>
      </w:r>
      <w:r>
        <w:rPr>
          <w:rFonts w:ascii="宋体" w:hAnsi="宋体" w:eastAsia="宋体" w:cs="宋体"/>
          <w:spacing w:val="-2"/>
          <w:sz w:val="17"/>
          <w:szCs w:val="17"/>
        </w:rPr>
        <w:t>码产品维修、</w:t>
      </w:r>
    </w:p>
    <w:p w14:paraId="3FB2C46F">
      <w:pPr>
        <w:spacing w:line="290" w:lineRule="auto"/>
        <w:rPr>
          <w:rFonts w:ascii="宋体" w:hAnsi="宋体" w:eastAsia="宋体" w:cs="宋体"/>
          <w:sz w:val="17"/>
          <w:szCs w:val="17"/>
        </w:rPr>
        <w:sectPr>
          <w:type w:val="continuous"/>
          <w:pgSz w:w="10660" w:h="15080"/>
          <w:pgMar w:top="400" w:right="825" w:bottom="898" w:left="1019" w:header="0" w:footer="745" w:gutter="0"/>
          <w:cols w:equalWidth="0" w:num="2">
            <w:col w:w="4501" w:space="100"/>
            <w:col w:w="4215"/>
          </w:cols>
        </w:sectPr>
      </w:pPr>
    </w:p>
    <w:p w14:paraId="6542761A">
      <w:pPr>
        <w:spacing w:before="2"/>
      </w:pPr>
    </w:p>
    <w:p w14:paraId="34CA55EF">
      <w:pPr>
        <w:spacing w:before="2"/>
      </w:pPr>
    </w:p>
    <w:p w14:paraId="26EE1D6D">
      <w:pPr>
        <w:spacing w:before="1"/>
      </w:pPr>
    </w:p>
    <w:p w14:paraId="33E9C1BF">
      <w:pPr>
        <w:spacing w:before="1"/>
      </w:pPr>
    </w:p>
    <w:p w14:paraId="41B11AD2">
      <w:pPr>
        <w:sectPr>
          <w:footerReference r:id="rId118" w:type="default"/>
          <w:pgSz w:w="10660" w:h="15080"/>
          <w:pgMar w:top="400" w:right="980" w:bottom="898" w:left="809" w:header="0" w:footer="745" w:gutter="0"/>
          <w:cols w:equalWidth="0" w:num="1">
            <w:col w:w="8870"/>
          </w:cols>
        </w:sectPr>
      </w:pPr>
    </w:p>
    <w:p w14:paraId="0F32E99D">
      <w:pPr>
        <w:spacing w:before="45" w:line="220" w:lineRule="auto"/>
        <w:ind w:left="60"/>
        <w:rPr>
          <w:rFonts w:ascii="宋体" w:hAnsi="宋体" w:eastAsia="宋体" w:cs="宋体"/>
          <w:sz w:val="17"/>
          <w:szCs w:val="17"/>
        </w:rPr>
      </w:pPr>
      <w:r>
        <w:rPr>
          <w:rFonts w:ascii="宋体" w:hAnsi="宋体" w:eastAsia="宋体" w:cs="宋体"/>
          <w:spacing w:val="3"/>
          <w:sz w:val="17"/>
          <w:szCs w:val="17"/>
        </w:rPr>
        <w:t>750109动漫与游戏设计</w:t>
      </w:r>
    </w:p>
    <w:p w14:paraId="445172D6">
      <w:pPr>
        <w:spacing w:before="75" w:line="217" w:lineRule="auto"/>
        <w:ind w:left="410"/>
        <w:rPr>
          <w:rFonts w:ascii="宋体" w:hAnsi="宋体" w:eastAsia="宋体" w:cs="宋体"/>
          <w:sz w:val="17"/>
          <w:szCs w:val="17"/>
        </w:rPr>
      </w:pPr>
      <w:r>
        <w:rPr>
          <w:rFonts w:ascii="宋体" w:hAnsi="宋体" w:eastAsia="宋体" w:cs="宋体"/>
          <w:spacing w:val="-1"/>
          <w:sz w:val="17"/>
          <w:szCs w:val="17"/>
        </w:rPr>
        <w:t>②网络技术专业群：</w:t>
      </w:r>
    </w:p>
    <w:p w14:paraId="078871ED">
      <w:pPr>
        <w:spacing w:before="89" w:line="309" w:lineRule="auto"/>
        <w:ind w:left="60" w:right="272" w:firstLine="350"/>
        <w:rPr>
          <w:rFonts w:ascii="宋体" w:hAnsi="宋体" w:eastAsia="宋体" w:cs="宋体"/>
          <w:sz w:val="17"/>
          <w:szCs w:val="17"/>
        </w:rPr>
      </w:pPr>
      <w:r>
        <w:rPr>
          <w:rFonts w:ascii="宋体" w:hAnsi="宋体" w:eastAsia="宋体" w:cs="宋体"/>
          <w:spacing w:val="1"/>
          <w:sz w:val="17"/>
          <w:szCs w:val="17"/>
        </w:rPr>
        <w:t>710202计算机网络技术、710210网站建设与管理、</w:t>
      </w:r>
      <w:r>
        <w:rPr>
          <w:rFonts w:ascii="宋体" w:hAnsi="宋体" w:eastAsia="宋体" w:cs="宋体"/>
          <w:spacing w:val="8"/>
          <w:sz w:val="17"/>
          <w:szCs w:val="17"/>
        </w:rPr>
        <w:t xml:space="preserve">  710208网络安防系统安装与维护、710101电子信息技</w:t>
      </w:r>
      <w:r>
        <w:rPr>
          <w:rFonts w:ascii="宋体" w:hAnsi="宋体" w:eastAsia="宋体" w:cs="宋体"/>
          <w:spacing w:val="2"/>
          <w:sz w:val="17"/>
          <w:szCs w:val="17"/>
        </w:rPr>
        <w:t xml:space="preserve">  </w:t>
      </w:r>
      <w:r>
        <w:rPr>
          <w:rFonts w:ascii="宋体" w:hAnsi="宋体" w:eastAsia="宋体" w:cs="宋体"/>
          <w:spacing w:val="-1"/>
          <w:sz w:val="17"/>
          <w:szCs w:val="17"/>
        </w:rPr>
        <w:t>术、710206移动应用技术与服务、710207网络信息</w:t>
      </w:r>
      <w:r>
        <w:rPr>
          <w:rFonts w:ascii="宋体" w:hAnsi="宋体" w:eastAsia="宋体" w:cs="宋体"/>
          <w:spacing w:val="-2"/>
          <w:sz w:val="17"/>
          <w:szCs w:val="17"/>
        </w:rPr>
        <w:t>安全、</w:t>
      </w:r>
      <w:r>
        <w:rPr>
          <w:rFonts w:ascii="宋体" w:hAnsi="宋体" w:eastAsia="宋体" w:cs="宋体"/>
          <w:sz w:val="17"/>
          <w:szCs w:val="17"/>
        </w:rPr>
        <w:t xml:space="preserve"> </w:t>
      </w:r>
      <w:r>
        <w:rPr>
          <w:rFonts w:ascii="宋体" w:hAnsi="宋体" w:eastAsia="宋体" w:cs="宋体"/>
          <w:spacing w:val="4"/>
          <w:sz w:val="17"/>
          <w:szCs w:val="17"/>
        </w:rPr>
        <w:t>710102物联网技术应用</w:t>
      </w:r>
    </w:p>
    <w:p w14:paraId="565A54F2">
      <w:pPr>
        <w:spacing w:before="24" w:line="219" w:lineRule="auto"/>
        <w:ind w:left="500"/>
        <w:rPr>
          <w:rFonts w:ascii="宋体" w:hAnsi="宋体" w:eastAsia="宋体" w:cs="宋体"/>
          <w:sz w:val="17"/>
          <w:szCs w:val="17"/>
        </w:rPr>
      </w:pPr>
      <w:r>
        <w:rPr>
          <w:rFonts w:ascii="宋体" w:hAnsi="宋体" w:eastAsia="宋体" w:cs="宋体"/>
          <w:spacing w:val="11"/>
          <w:sz w:val="17"/>
          <w:szCs w:val="17"/>
        </w:rPr>
        <w:t>(2)选考测试项目</w:t>
      </w:r>
    </w:p>
    <w:p w14:paraId="4EEF8B46">
      <w:pPr>
        <w:spacing w:before="96" w:line="268" w:lineRule="auto"/>
        <w:ind w:left="410" w:right="2635"/>
        <w:rPr>
          <w:rFonts w:ascii="宋体" w:hAnsi="宋体" w:eastAsia="宋体" w:cs="宋体"/>
          <w:sz w:val="17"/>
          <w:szCs w:val="17"/>
        </w:rPr>
      </w:pPr>
      <w:r>
        <w:rPr>
          <w:rFonts w:ascii="宋体" w:hAnsi="宋体" w:eastAsia="宋体" w:cs="宋体"/>
          <w:spacing w:val="-3"/>
          <w:sz w:val="17"/>
          <w:szCs w:val="17"/>
        </w:rPr>
        <w:t>①软件应用专业群：</w:t>
      </w:r>
      <w:r>
        <w:rPr>
          <w:rFonts w:ascii="宋体" w:hAnsi="宋体" w:eastAsia="宋体" w:cs="宋体"/>
          <w:sz w:val="17"/>
          <w:szCs w:val="17"/>
        </w:rPr>
        <w:t xml:space="preserve"> </w:t>
      </w:r>
      <w:r>
        <w:rPr>
          <w:rFonts w:ascii="宋体" w:hAnsi="宋体" w:eastAsia="宋体" w:cs="宋体"/>
          <w:spacing w:val="-2"/>
          <w:sz w:val="17"/>
          <w:szCs w:val="17"/>
        </w:rPr>
        <w:t>项目六：演示文稿</w:t>
      </w:r>
    </w:p>
    <w:p w14:paraId="5EBE3B37">
      <w:pPr>
        <w:spacing w:before="88" w:line="212" w:lineRule="auto"/>
        <w:ind w:left="410"/>
        <w:rPr>
          <w:rFonts w:ascii="宋体" w:hAnsi="宋体" w:eastAsia="宋体" w:cs="宋体"/>
          <w:sz w:val="17"/>
          <w:szCs w:val="17"/>
        </w:rPr>
      </w:pPr>
      <w:r>
        <w:rPr>
          <w:rFonts w:ascii="宋体" w:hAnsi="宋体" w:eastAsia="宋体" w:cs="宋体"/>
          <w:spacing w:val="-2"/>
          <w:sz w:val="17"/>
          <w:szCs w:val="17"/>
        </w:rPr>
        <w:t>项目七：</w:t>
      </w:r>
      <w:r>
        <w:rPr>
          <w:rFonts w:ascii="Times New Roman" w:hAnsi="Times New Roman" w:eastAsia="Times New Roman" w:cs="Times New Roman"/>
          <w:spacing w:val="-2"/>
          <w:sz w:val="17"/>
          <w:szCs w:val="17"/>
        </w:rPr>
        <w:t xml:space="preserve">Python </w:t>
      </w:r>
      <w:r>
        <w:rPr>
          <w:rFonts w:ascii="宋体" w:hAnsi="宋体" w:eastAsia="宋体" w:cs="宋体"/>
          <w:spacing w:val="-2"/>
          <w:sz w:val="17"/>
          <w:szCs w:val="17"/>
        </w:rPr>
        <w:t>面向对象程序设计调试</w:t>
      </w:r>
    </w:p>
    <w:p w14:paraId="73A92C03">
      <w:pPr>
        <w:spacing w:before="95" w:line="219" w:lineRule="auto"/>
        <w:ind w:left="410"/>
        <w:rPr>
          <w:rFonts w:ascii="宋体" w:hAnsi="宋体" w:eastAsia="宋体" w:cs="宋体"/>
          <w:sz w:val="17"/>
          <w:szCs w:val="17"/>
        </w:rPr>
      </w:pPr>
      <w:r>
        <w:rPr>
          <w:rFonts w:ascii="宋体" w:hAnsi="宋体" w:eastAsia="宋体" w:cs="宋体"/>
          <w:spacing w:val="-2"/>
          <w:sz w:val="17"/>
          <w:szCs w:val="17"/>
        </w:rPr>
        <w:t>项目八：图像处理</w:t>
      </w:r>
    </w:p>
    <w:p w14:paraId="4AAFBF4F">
      <w:pPr>
        <w:spacing w:before="76" w:line="217" w:lineRule="auto"/>
        <w:ind w:left="410"/>
        <w:rPr>
          <w:rFonts w:ascii="宋体" w:hAnsi="宋体" w:eastAsia="宋体" w:cs="宋体"/>
          <w:sz w:val="17"/>
          <w:szCs w:val="17"/>
        </w:rPr>
      </w:pPr>
      <w:r>
        <w:rPr>
          <w:rFonts w:ascii="宋体" w:hAnsi="宋体" w:eastAsia="宋体" w:cs="宋体"/>
          <w:spacing w:val="-3"/>
          <w:sz w:val="17"/>
          <w:szCs w:val="17"/>
        </w:rPr>
        <w:t>②网络技术专业群：</w:t>
      </w:r>
    </w:p>
    <w:p w14:paraId="06A0A717">
      <w:pPr>
        <w:spacing w:before="103" w:line="292" w:lineRule="auto"/>
        <w:ind w:left="410" w:right="1277"/>
        <w:rPr>
          <w:rFonts w:ascii="宋体" w:hAnsi="宋体" w:eastAsia="宋体" w:cs="宋体"/>
          <w:sz w:val="17"/>
          <w:szCs w:val="17"/>
        </w:rPr>
      </w:pPr>
      <w:r>
        <w:rPr>
          <w:rFonts w:ascii="宋体" w:hAnsi="宋体" w:eastAsia="宋体" w:cs="宋体"/>
          <w:spacing w:val="-2"/>
          <w:sz w:val="17"/>
          <w:szCs w:val="17"/>
        </w:rPr>
        <w:t>项目七：</w:t>
      </w:r>
      <w:r>
        <w:rPr>
          <w:rFonts w:ascii="Times New Roman" w:hAnsi="Times New Roman" w:eastAsia="Times New Roman" w:cs="Times New Roman"/>
          <w:spacing w:val="-2"/>
          <w:sz w:val="17"/>
          <w:szCs w:val="17"/>
        </w:rPr>
        <w:t>Python</w:t>
      </w:r>
      <w:r>
        <w:rPr>
          <w:rFonts w:ascii="Times New Roman" w:hAnsi="Times New Roman" w:eastAsia="Times New Roman" w:cs="Times New Roman"/>
          <w:spacing w:val="-3"/>
          <w:sz w:val="17"/>
          <w:szCs w:val="17"/>
        </w:rPr>
        <w:t xml:space="preserve"> </w:t>
      </w:r>
      <w:r>
        <w:rPr>
          <w:rFonts w:ascii="宋体" w:hAnsi="宋体" w:eastAsia="宋体" w:cs="宋体"/>
          <w:spacing w:val="-2"/>
          <w:sz w:val="17"/>
          <w:szCs w:val="17"/>
        </w:rPr>
        <w:t>面向对象程序设计调试</w:t>
      </w:r>
      <w:r>
        <w:rPr>
          <w:rFonts w:ascii="宋体" w:hAnsi="宋体" w:eastAsia="宋体" w:cs="宋体"/>
          <w:sz w:val="17"/>
          <w:szCs w:val="17"/>
        </w:rPr>
        <w:t xml:space="preserve"> </w:t>
      </w:r>
      <w:r>
        <w:rPr>
          <w:rFonts w:ascii="宋体" w:hAnsi="宋体" w:eastAsia="宋体" w:cs="宋体"/>
          <w:spacing w:val="-1"/>
          <w:sz w:val="17"/>
          <w:szCs w:val="17"/>
        </w:rPr>
        <w:t>项目九：网络基础应用</w:t>
      </w:r>
    </w:p>
    <w:p w14:paraId="06920596">
      <w:pPr>
        <w:spacing w:before="41" w:line="292" w:lineRule="auto"/>
        <w:ind w:left="410" w:right="1914"/>
        <w:rPr>
          <w:rFonts w:ascii="宋体" w:hAnsi="宋体" w:eastAsia="宋体" w:cs="宋体"/>
          <w:sz w:val="17"/>
          <w:szCs w:val="17"/>
        </w:rPr>
      </w:pPr>
      <w:r>
        <w:rPr>
          <w:rFonts w:ascii="宋体" w:hAnsi="宋体" w:eastAsia="宋体" w:cs="宋体"/>
          <w:spacing w:val="1"/>
          <w:sz w:val="17"/>
          <w:szCs w:val="17"/>
        </w:rPr>
        <w:t xml:space="preserve">项目十：网络服务器安装配置 </w:t>
      </w:r>
      <w:r>
        <w:rPr>
          <w:rFonts w:ascii="宋体" w:hAnsi="宋体" w:eastAsia="宋体" w:cs="宋体"/>
          <w:spacing w:val="-1"/>
          <w:sz w:val="17"/>
          <w:szCs w:val="17"/>
        </w:rPr>
        <w:t>项目十一：网页制作项目</w:t>
      </w:r>
    </w:p>
    <w:p w14:paraId="3ED4069A">
      <w:pPr>
        <w:spacing w:before="32" w:line="220" w:lineRule="auto"/>
        <w:ind w:left="63"/>
        <w:rPr>
          <w:rFonts w:ascii="宋体" w:hAnsi="宋体" w:eastAsia="宋体" w:cs="宋体"/>
          <w:sz w:val="23"/>
          <w:szCs w:val="23"/>
        </w:rPr>
      </w:pPr>
      <w:r>
        <w:rPr>
          <w:rFonts w:ascii="宋体" w:hAnsi="宋体" w:eastAsia="宋体" w:cs="宋体"/>
          <w:b/>
          <w:bCs/>
          <w:spacing w:val="-7"/>
          <w:sz w:val="23"/>
          <w:szCs w:val="23"/>
        </w:rPr>
        <w:t>二、测评时间</w:t>
      </w:r>
    </w:p>
    <w:p w14:paraId="07544C4E">
      <w:pPr>
        <w:spacing w:before="97" w:line="220" w:lineRule="auto"/>
        <w:ind w:left="410"/>
        <w:rPr>
          <w:rFonts w:ascii="宋体" w:hAnsi="宋体" w:eastAsia="宋体" w:cs="宋体"/>
          <w:sz w:val="17"/>
          <w:szCs w:val="17"/>
        </w:rPr>
      </w:pPr>
      <w:r>
        <w:rPr>
          <w:rFonts w:ascii="宋体" w:hAnsi="宋体" w:eastAsia="宋体" w:cs="宋体"/>
          <w:spacing w:val="1"/>
          <w:sz w:val="17"/>
          <w:szCs w:val="17"/>
        </w:rPr>
        <w:t>测评时间：150分钟。</w:t>
      </w:r>
    </w:p>
    <w:p w14:paraId="302C9D2C">
      <w:pPr>
        <w:spacing w:before="87" w:line="220" w:lineRule="auto"/>
        <w:ind w:left="410"/>
        <w:rPr>
          <w:rFonts w:ascii="宋体" w:hAnsi="宋体" w:eastAsia="宋体" w:cs="宋体"/>
          <w:sz w:val="17"/>
          <w:szCs w:val="17"/>
        </w:rPr>
      </w:pPr>
      <w:r>
        <w:rPr>
          <w:rFonts w:ascii="宋体" w:hAnsi="宋体" w:eastAsia="宋体" w:cs="宋体"/>
          <w:spacing w:val="2"/>
          <w:sz w:val="17"/>
          <w:szCs w:val="17"/>
        </w:rPr>
        <w:t>其中：必选项目测试时间：90分钟</w:t>
      </w:r>
    </w:p>
    <w:p w14:paraId="0BF7904A">
      <w:pPr>
        <w:spacing w:before="87" w:line="219" w:lineRule="auto"/>
        <w:ind w:left="410"/>
        <w:rPr>
          <w:rFonts w:ascii="宋体" w:hAnsi="宋体" w:eastAsia="宋体" w:cs="宋体"/>
          <w:sz w:val="17"/>
          <w:szCs w:val="17"/>
        </w:rPr>
      </w:pPr>
      <w:r>
        <w:rPr>
          <w:rFonts w:ascii="宋体" w:hAnsi="宋体" w:eastAsia="宋体" w:cs="宋体"/>
          <w:spacing w:val="3"/>
          <w:sz w:val="17"/>
          <w:szCs w:val="17"/>
        </w:rPr>
        <w:t>选考项目测试时间：60分钟</w:t>
      </w:r>
    </w:p>
    <w:p w14:paraId="4EC3DCAE">
      <w:pPr>
        <w:spacing w:before="78" w:line="219" w:lineRule="auto"/>
        <w:ind w:left="63"/>
        <w:rPr>
          <w:rFonts w:ascii="宋体" w:hAnsi="宋体" w:eastAsia="宋体" w:cs="宋体"/>
          <w:sz w:val="23"/>
          <w:szCs w:val="23"/>
        </w:rPr>
      </w:pPr>
      <w:r>
        <w:rPr>
          <w:rFonts w:ascii="宋体" w:hAnsi="宋体" w:eastAsia="宋体" w:cs="宋体"/>
          <w:b/>
          <w:bCs/>
          <w:spacing w:val="-9"/>
          <w:sz w:val="23"/>
          <w:szCs w:val="23"/>
        </w:rPr>
        <w:t>三、测评内容</w:t>
      </w:r>
    </w:p>
    <w:p w14:paraId="1CED98F4">
      <w:pPr>
        <w:spacing w:before="88" w:line="220" w:lineRule="auto"/>
        <w:ind w:left="410"/>
        <w:rPr>
          <w:rFonts w:ascii="宋体" w:hAnsi="宋体" w:eastAsia="宋体" w:cs="宋体"/>
          <w:sz w:val="17"/>
          <w:szCs w:val="17"/>
        </w:rPr>
      </w:pPr>
      <w:r>
        <w:rPr>
          <w:rFonts w:ascii="宋体" w:hAnsi="宋体" w:eastAsia="宋体" w:cs="宋体"/>
          <w:spacing w:val="-2"/>
          <w:sz w:val="17"/>
          <w:szCs w:val="17"/>
        </w:rPr>
        <w:t>1.中英文录入项目</w:t>
      </w:r>
    </w:p>
    <w:p w14:paraId="5637AF14">
      <w:pPr>
        <w:spacing w:before="96" w:line="302" w:lineRule="auto"/>
        <w:ind w:left="410" w:right="1457"/>
        <w:rPr>
          <w:rFonts w:ascii="宋体" w:hAnsi="宋体" w:eastAsia="宋体" w:cs="宋体"/>
          <w:sz w:val="17"/>
          <w:szCs w:val="17"/>
        </w:rPr>
      </w:pPr>
      <w:r>
        <w:rPr>
          <w:rFonts w:ascii="宋体" w:hAnsi="宋体" w:eastAsia="宋体" w:cs="宋体"/>
          <w:spacing w:val="-3"/>
          <w:sz w:val="17"/>
          <w:szCs w:val="17"/>
        </w:rPr>
        <w:t>能够快速、准确地完成中英文输入。</w:t>
      </w:r>
      <w:r>
        <w:rPr>
          <w:rFonts w:ascii="宋体" w:hAnsi="宋体" w:eastAsia="宋体" w:cs="宋体"/>
          <w:spacing w:val="9"/>
          <w:sz w:val="17"/>
          <w:szCs w:val="17"/>
        </w:rPr>
        <w:t xml:space="preserve"> </w:t>
      </w:r>
      <w:r>
        <w:rPr>
          <w:rFonts w:ascii="宋体" w:hAnsi="宋体" w:eastAsia="宋体" w:cs="宋体"/>
          <w:sz w:val="17"/>
          <w:szCs w:val="17"/>
        </w:rPr>
        <w:t>2.操作系统管理项目</w:t>
      </w:r>
    </w:p>
    <w:p w14:paraId="35B44C46">
      <w:pPr>
        <w:spacing w:before="12" w:line="309" w:lineRule="auto"/>
        <w:ind w:left="60" w:right="270" w:firstLine="350"/>
        <w:rPr>
          <w:rFonts w:ascii="宋体" w:hAnsi="宋体" w:eastAsia="宋体" w:cs="宋体"/>
          <w:sz w:val="17"/>
          <w:szCs w:val="17"/>
        </w:rPr>
      </w:pPr>
      <w:r>
        <w:rPr>
          <w:rFonts w:ascii="宋体" w:hAnsi="宋体" w:eastAsia="宋体" w:cs="宋体"/>
          <w:spacing w:val="2"/>
          <w:sz w:val="17"/>
          <w:szCs w:val="17"/>
        </w:rPr>
        <w:t>桌面外观的设置，基本的网络配置，资源管理</w:t>
      </w:r>
      <w:r>
        <w:rPr>
          <w:rFonts w:ascii="宋体" w:hAnsi="宋体" w:eastAsia="宋体" w:cs="宋体"/>
          <w:spacing w:val="1"/>
          <w:sz w:val="17"/>
          <w:szCs w:val="17"/>
        </w:rPr>
        <w:t>器的</w:t>
      </w:r>
      <w:r>
        <w:rPr>
          <w:rFonts w:ascii="宋体" w:hAnsi="宋体" w:eastAsia="宋体" w:cs="宋体"/>
          <w:sz w:val="17"/>
          <w:szCs w:val="17"/>
        </w:rPr>
        <w:t xml:space="preserve">  </w:t>
      </w:r>
      <w:r>
        <w:rPr>
          <w:rFonts w:ascii="宋体" w:hAnsi="宋体" w:eastAsia="宋体" w:cs="宋体"/>
          <w:spacing w:val="-2"/>
          <w:sz w:val="17"/>
          <w:szCs w:val="17"/>
        </w:rPr>
        <w:t>操作与应用，文件操作，磁盘操作，中文输入法的安装、</w:t>
      </w:r>
      <w:r>
        <w:rPr>
          <w:rFonts w:ascii="宋体" w:hAnsi="宋体" w:eastAsia="宋体" w:cs="宋体"/>
          <w:spacing w:val="18"/>
          <w:sz w:val="17"/>
          <w:szCs w:val="17"/>
        </w:rPr>
        <w:t xml:space="preserve"> </w:t>
      </w:r>
      <w:r>
        <w:rPr>
          <w:rFonts w:ascii="宋体" w:hAnsi="宋体" w:eastAsia="宋体" w:cs="宋体"/>
          <w:spacing w:val="5"/>
          <w:sz w:val="17"/>
          <w:szCs w:val="17"/>
        </w:rPr>
        <w:t xml:space="preserve">删除和选用，控制面板常用系统工具(系统、程序、字  </w:t>
      </w:r>
      <w:r>
        <w:rPr>
          <w:rFonts w:ascii="宋体" w:hAnsi="宋体" w:eastAsia="宋体" w:cs="宋体"/>
          <w:spacing w:val="10"/>
          <w:sz w:val="17"/>
          <w:szCs w:val="17"/>
        </w:rPr>
        <w:t>体和用户等)。</w:t>
      </w:r>
    </w:p>
    <w:p w14:paraId="355123B5">
      <w:pPr>
        <w:spacing w:before="25" w:line="219" w:lineRule="auto"/>
        <w:ind w:left="410"/>
        <w:rPr>
          <w:rFonts w:ascii="宋体" w:hAnsi="宋体" w:eastAsia="宋体" w:cs="宋体"/>
          <w:sz w:val="17"/>
          <w:szCs w:val="17"/>
        </w:rPr>
      </w:pPr>
      <w:r>
        <w:rPr>
          <w:rFonts w:ascii="宋体" w:hAnsi="宋体" w:eastAsia="宋体" w:cs="宋体"/>
          <w:spacing w:val="-2"/>
          <w:sz w:val="17"/>
          <w:szCs w:val="17"/>
        </w:rPr>
        <w:t>3.文字处理项目</w:t>
      </w:r>
    </w:p>
    <w:p w14:paraId="0DE5C380">
      <w:pPr>
        <w:spacing w:before="109" w:line="300" w:lineRule="auto"/>
        <w:ind w:left="60" w:right="285" w:firstLine="350"/>
        <w:rPr>
          <w:rFonts w:ascii="宋体" w:hAnsi="宋体" w:eastAsia="宋体" w:cs="宋体"/>
          <w:sz w:val="17"/>
          <w:szCs w:val="17"/>
        </w:rPr>
      </w:pPr>
      <w:r>
        <w:rPr>
          <w:rFonts w:ascii="Times New Roman" w:hAnsi="Times New Roman" w:eastAsia="Times New Roman" w:cs="Times New Roman"/>
          <w:sz w:val="17"/>
          <w:szCs w:val="17"/>
        </w:rPr>
        <w:t>Word</w:t>
      </w:r>
      <w:r>
        <w:rPr>
          <w:rFonts w:ascii="Times New Roman" w:hAnsi="Times New Roman" w:eastAsia="Times New Roman" w:cs="Times New Roman"/>
          <w:spacing w:val="1"/>
          <w:sz w:val="17"/>
          <w:szCs w:val="17"/>
        </w:rPr>
        <w:t>2016</w:t>
      </w:r>
      <w:r>
        <w:rPr>
          <w:rFonts w:ascii="宋体" w:hAnsi="宋体" w:eastAsia="宋体" w:cs="宋体"/>
          <w:spacing w:val="1"/>
          <w:sz w:val="17"/>
          <w:szCs w:val="17"/>
        </w:rPr>
        <w:t>的基本概念，</w:t>
      </w:r>
      <w:r>
        <w:rPr>
          <w:rFonts w:ascii="Times New Roman" w:hAnsi="Times New Roman" w:eastAsia="Times New Roman" w:cs="Times New Roman"/>
          <w:sz w:val="17"/>
          <w:szCs w:val="17"/>
        </w:rPr>
        <w:t>Word</w:t>
      </w:r>
      <w:r>
        <w:rPr>
          <w:rFonts w:ascii="Times New Roman" w:hAnsi="Times New Roman" w:eastAsia="Times New Roman" w:cs="Times New Roman"/>
          <w:spacing w:val="1"/>
          <w:sz w:val="17"/>
          <w:szCs w:val="17"/>
        </w:rPr>
        <w:t xml:space="preserve">2016  </w:t>
      </w:r>
      <w:r>
        <w:rPr>
          <w:rFonts w:ascii="宋体" w:hAnsi="宋体" w:eastAsia="宋体" w:cs="宋体"/>
          <w:spacing w:val="1"/>
          <w:sz w:val="17"/>
          <w:szCs w:val="17"/>
        </w:rPr>
        <w:t xml:space="preserve">的基本功能和运  </w:t>
      </w:r>
      <w:r>
        <w:rPr>
          <w:rFonts w:ascii="宋体" w:hAnsi="宋体" w:eastAsia="宋体" w:cs="宋体"/>
          <w:spacing w:val="-1"/>
          <w:sz w:val="17"/>
          <w:szCs w:val="17"/>
        </w:rPr>
        <w:t>行环境，</w:t>
      </w:r>
      <w:r>
        <w:rPr>
          <w:rFonts w:ascii="Times New Roman" w:hAnsi="Times New Roman" w:eastAsia="Times New Roman" w:cs="Times New Roman"/>
          <w:spacing w:val="-1"/>
          <w:sz w:val="17"/>
          <w:szCs w:val="17"/>
        </w:rPr>
        <w:t>Word2016</w:t>
      </w:r>
      <w:r>
        <w:rPr>
          <w:rFonts w:ascii="宋体" w:hAnsi="宋体" w:eastAsia="宋体" w:cs="宋体"/>
          <w:spacing w:val="-1"/>
          <w:sz w:val="17"/>
          <w:szCs w:val="17"/>
        </w:rPr>
        <w:t>的启动和退出。文档的创建、打开、</w:t>
      </w:r>
      <w:r>
        <w:rPr>
          <w:rFonts w:ascii="宋体" w:hAnsi="宋体" w:eastAsia="宋体" w:cs="宋体"/>
          <w:spacing w:val="7"/>
          <w:sz w:val="17"/>
          <w:szCs w:val="17"/>
        </w:rPr>
        <w:t xml:space="preserve">  </w:t>
      </w:r>
      <w:r>
        <w:rPr>
          <w:rFonts w:ascii="宋体" w:hAnsi="宋体" w:eastAsia="宋体" w:cs="宋体"/>
          <w:spacing w:val="2"/>
          <w:sz w:val="17"/>
          <w:szCs w:val="17"/>
        </w:rPr>
        <w:t>输入、保存等基本操作。文本的选定、插入与删除</w:t>
      </w:r>
      <w:r>
        <w:rPr>
          <w:rFonts w:ascii="宋体" w:hAnsi="宋体" w:eastAsia="宋体" w:cs="宋体"/>
          <w:spacing w:val="1"/>
          <w:sz w:val="17"/>
          <w:szCs w:val="17"/>
        </w:rPr>
        <w:t>、复</w:t>
      </w:r>
      <w:r>
        <w:rPr>
          <w:rFonts w:ascii="宋体" w:hAnsi="宋体" w:eastAsia="宋体" w:cs="宋体"/>
          <w:sz w:val="17"/>
          <w:szCs w:val="17"/>
        </w:rPr>
        <w:t xml:space="preserve">  </w:t>
      </w:r>
      <w:r>
        <w:rPr>
          <w:rFonts w:ascii="宋体" w:hAnsi="宋体" w:eastAsia="宋体" w:cs="宋体"/>
          <w:spacing w:val="-9"/>
          <w:sz w:val="17"/>
          <w:szCs w:val="17"/>
        </w:rPr>
        <w:t>制与移动、查找与替换等。字体格式设置、段落格式设置、</w:t>
      </w:r>
      <w:r>
        <w:rPr>
          <w:rFonts w:ascii="宋体" w:hAnsi="宋体" w:eastAsia="宋体" w:cs="宋体"/>
          <w:spacing w:val="18"/>
          <w:sz w:val="17"/>
          <w:szCs w:val="17"/>
        </w:rPr>
        <w:t xml:space="preserve"> </w:t>
      </w:r>
      <w:r>
        <w:rPr>
          <w:rFonts w:ascii="宋体" w:hAnsi="宋体" w:eastAsia="宋体" w:cs="宋体"/>
          <w:spacing w:val="1"/>
          <w:sz w:val="17"/>
          <w:szCs w:val="17"/>
        </w:rPr>
        <w:t>文档页面设置、文档背景设置和文档分栏等。表格的创</w:t>
      </w:r>
      <w:r>
        <w:rPr>
          <w:rFonts w:ascii="宋体" w:hAnsi="宋体" w:eastAsia="宋体" w:cs="宋体"/>
          <w:spacing w:val="3"/>
          <w:sz w:val="17"/>
          <w:szCs w:val="17"/>
        </w:rPr>
        <w:t xml:space="preserve">  </w:t>
      </w:r>
      <w:r>
        <w:rPr>
          <w:rFonts w:ascii="宋体" w:hAnsi="宋体" w:eastAsia="宋体" w:cs="宋体"/>
          <w:spacing w:val="2"/>
          <w:sz w:val="17"/>
          <w:szCs w:val="17"/>
        </w:rPr>
        <w:t>建、修改，格式化表格。图形和图片的插入，图形</w:t>
      </w:r>
      <w:r>
        <w:rPr>
          <w:rFonts w:ascii="宋体" w:hAnsi="宋体" w:eastAsia="宋体" w:cs="宋体"/>
          <w:spacing w:val="1"/>
          <w:sz w:val="17"/>
          <w:szCs w:val="17"/>
        </w:rPr>
        <w:t>的建</w:t>
      </w:r>
      <w:r>
        <w:rPr>
          <w:rFonts w:ascii="宋体" w:hAnsi="宋体" w:eastAsia="宋体" w:cs="宋体"/>
          <w:sz w:val="17"/>
          <w:szCs w:val="17"/>
        </w:rPr>
        <w:t xml:space="preserve">  </w:t>
      </w:r>
      <w:r>
        <w:rPr>
          <w:rFonts w:ascii="宋体" w:hAnsi="宋体" w:eastAsia="宋体" w:cs="宋体"/>
          <w:spacing w:val="-2"/>
          <w:sz w:val="17"/>
          <w:szCs w:val="17"/>
        </w:rPr>
        <w:t>立和编辑，文本框、艺术字的使用和编辑。</w:t>
      </w:r>
    </w:p>
    <w:p w14:paraId="5A3F0C37">
      <w:pPr>
        <w:spacing w:before="76" w:line="219" w:lineRule="auto"/>
        <w:ind w:left="410"/>
        <w:rPr>
          <w:rFonts w:ascii="宋体" w:hAnsi="宋体" w:eastAsia="宋体" w:cs="宋体"/>
          <w:sz w:val="17"/>
          <w:szCs w:val="17"/>
        </w:rPr>
      </w:pPr>
      <w:r>
        <w:rPr>
          <w:rFonts w:ascii="宋体" w:hAnsi="宋体" w:eastAsia="宋体" w:cs="宋体"/>
          <w:spacing w:val="2"/>
          <w:sz w:val="17"/>
          <w:szCs w:val="17"/>
        </w:rPr>
        <w:t>4.电子表格项目</w:t>
      </w:r>
    </w:p>
    <w:p w14:paraId="2F0FAB63">
      <w:pPr>
        <w:spacing w:before="108" w:line="284" w:lineRule="auto"/>
        <w:ind w:left="60" w:right="272" w:firstLine="350"/>
        <w:rPr>
          <w:rFonts w:ascii="宋体" w:hAnsi="宋体" w:eastAsia="宋体" w:cs="宋体"/>
          <w:sz w:val="17"/>
          <w:szCs w:val="17"/>
        </w:rPr>
      </w:pPr>
      <w:r>
        <w:rPr>
          <w:rFonts w:ascii="Times New Roman" w:hAnsi="Times New Roman" w:eastAsia="Times New Roman" w:cs="Times New Roman"/>
          <w:sz w:val="17"/>
          <w:szCs w:val="17"/>
        </w:rPr>
        <w:t>Excel</w:t>
      </w:r>
      <w:r>
        <w:rPr>
          <w:rFonts w:ascii="Times New Roman" w:hAnsi="Times New Roman" w:eastAsia="Times New Roman" w:cs="Times New Roman"/>
          <w:spacing w:val="7"/>
          <w:sz w:val="17"/>
          <w:szCs w:val="17"/>
        </w:rPr>
        <w:t>2016</w:t>
      </w:r>
      <w:r>
        <w:rPr>
          <w:rFonts w:ascii="宋体" w:hAnsi="宋体" w:eastAsia="宋体" w:cs="宋体"/>
          <w:spacing w:val="7"/>
          <w:sz w:val="17"/>
          <w:szCs w:val="17"/>
        </w:rPr>
        <w:t>的基本功能、运行环境、启动和退出。</w:t>
      </w:r>
      <w:r>
        <w:rPr>
          <w:rFonts w:ascii="宋体" w:hAnsi="宋体" w:eastAsia="宋体" w:cs="宋体"/>
          <w:sz w:val="17"/>
          <w:szCs w:val="17"/>
        </w:rPr>
        <w:t xml:space="preserve">  </w:t>
      </w:r>
      <w:r>
        <w:rPr>
          <w:rFonts w:ascii="宋体" w:hAnsi="宋体" w:eastAsia="宋体" w:cs="宋体"/>
          <w:spacing w:val="1"/>
          <w:sz w:val="17"/>
          <w:szCs w:val="17"/>
        </w:rPr>
        <w:t>工作簿和工作表的基本操作，工作簿和工作表的建立、</w:t>
      </w:r>
      <w:r>
        <w:rPr>
          <w:rFonts w:ascii="宋体" w:hAnsi="宋体" w:eastAsia="宋体" w:cs="宋体"/>
          <w:spacing w:val="5"/>
          <w:sz w:val="17"/>
          <w:szCs w:val="17"/>
        </w:rPr>
        <w:t xml:space="preserve">  </w:t>
      </w:r>
      <w:r>
        <w:rPr>
          <w:rFonts w:ascii="宋体" w:hAnsi="宋体" w:eastAsia="宋体" w:cs="宋体"/>
          <w:spacing w:val="-2"/>
          <w:sz w:val="17"/>
          <w:szCs w:val="17"/>
        </w:rPr>
        <w:t>保存和退出，数据输入和编辑，工作表和单元格的选定、</w:t>
      </w:r>
      <w:r>
        <w:rPr>
          <w:rFonts w:ascii="宋体" w:hAnsi="宋体" w:eastAsia="宋体" w:cs="宋体"/>
          <w:spacing w:val="17"/>
          <w:sz w:val="17"/>
          <w:szCs w:val="17"/>
        </w:rPr>
        <w:t xml:space="preserve"> </w:t>
      </w:r>
      <w:r>
        <w:rPr>
          <w:rFonts w:ascii="宋体" w:hAnsi="宋体" w:eastAsia="宋体" w:cs="宋体"/>
          <w:spacing w:val="2"/>
          <w:sz w:val="17"/>
          <w:szCs w:val="17"/>
        </w:rPr>
        <w:t>插入、删除、复制、移动，工作表的重命名和工作表窗</w:t>
      </w:r>
      <w:r>
        <w:rPr>
          <w:rFonts w:ascii="宋体" w:hAnsi="宋体" w:eastAsia="宋体" w:cs="宋体"/>
          <w:sz w:val="17"/>
          <w:szCs w:val="17"/>
        </w:rPr>
        <w:t xml:space="preserve">  </w:t>
      </w:r>
      <w:r>
        <w:rPr>
          <w:rFonts w:ascii="宋体" w:hAnsi="宋体" w:eastAsia="宋体" w:cs="宋体"/>
          <w:spacing w:val="2"/>
          <w:sz w:val="17"/>
          <w:szCs w:val="17"/>
        </w:rPr>
        <w:t>口的拆分和冻结。工作表的格式化，包括设置单元</w:t>
      </w:r>
      <w:r>
        <w:rPr>
          <w:rFonts w:ascii="宋体" w:hAnsi="宋体" w:eastAsia="宋体" w:cs="宋体"/>
          <w:spacing w:val="1"/>
          <w:sz w:val="17"/>
          <w:szCs w:val="17"/>
        </w:rPr>
        <w:t>格格</w:t>
      </w:r>
      <w:r>
        <w:rPr>
          <w:rFonts w:ascii="宋体" w:hAnsi="宋体" w:eastAsia="宋体" w:cs="宋体"/>
          <w:sz w:val="17"/>
          <w:szCs w:val="17"/>
        </w:rPr>
        <w:t xml:space="preserve">  </w:t>
      </w:r>
      <w:r>
        <w:rPr>
          <w:rFonts w:ascii="宋体" w:hAnsi="宋体" w:eastAsia="宋体" w:cs="宋体"/>
          <w:spacing w:val="2"/>
          <w:sz w:val="17"/>
          <w:szCs w:val="17"/>
        </w:rPr>
        <w:t>式、设置列宽和行高、设置条件格式、使用样式、自动</w:t>
      </w:r>
    </w:p>
    <w:p w14:paraId="4DFEE382">
      <w:pPr>
        <w:pStyle w:val="2"/>
        <w:spacing w:line="14" w:lineRule="auto"/>
        <w:rPr>
          <w:sz w:val="2"/>
        </w:rPr>
      </w:pPr>
      <w:r>
        <w:rPr>
          <w:sz w:val="2"/>
          <w:szCs w:val="2"/>
        </w:rPr>
        <w:br w:type="column"/>
      </w:r>
    </w:p>
    <w:p w14:paraId="5CFB8A02">
      <w:pPr>
        <w:spacing w:before="31" w:line="310" w:lineRule="auto"/>
        <w:ind w:right="76"/>
        <w:rPr>
          <w:rFonts w:ascii="宋体" w:hAnsi="宋体" w:eastAsia="宋体" w:cs="宋体"/>
          <w:sz w:val="17"/>
          <w:szCs w:val="17"/>
        </w:rPr>
      </w:pPr>
      <w:r>
        <w:rPr>
          <w:rFonts w:ascii="宋体" w:hAnsi="宋体" w:eastAsia="宋体" w:cs="宋体"/>
          <w:spacing w:val="1"/>
          <w:sz w:val="17"/>
          <w:szCs w:val="17"/>
        </w:rPr>
        <w:t>套用模式和使用模板等。单元格绝对地址和相对地址，</w:t>
      </w:r>
      <w:r>
        <w:rPr>
          <w:rFonts w:ascii="宋体" w:hAnsi="宋体" w:eastAsia="宋体" w:cs="宋体"/>
          <w:sz w:val="17"/>
          <w:szCs w:val="17"/>
        </w:rPr>
        <w:t xml:space="preserve"> </w:t>
      </w:r>
      <w:r>
        <w:rPr>
          <w:rFonts w:ascii="宋体" w:hAnsi="宋体" w:eastAsia="宋体" w:cs="宋体"/>
          <w:spacing w:val="2"/>
          <w:sz w:val="17"/>
          <w:szCs w:val="17"/>
        </w:rPr>
        <w:t>工作表中公式的输入和复制，常用函数的使用。图表的</w:t>
      </w:r>
      <w:r>
        <w:rPr>
          <w:rFonts w:ascii="宋体" w:hAnsi="宋体" w:eastAsia="宋体" w:cs="宋体"/>
          <w:spacing w:val="14"/>
          <w:sz w:val="17"/>
          <w:szCs w:val="17"/>
        </w:rPr>
        <w:t xml:space="preserve"> </w:t>
      </w:r>
      <w:r>
        <w:rPr>
          <w:rFonts w:ascii="宋体" w:hAnsi="宋体" w:eastAsia="宋体" w:cs="宋体"/>
          <w:spacing w:val="2"/>
          <w:sz w:val="17"/>
          <w:szCs w:val="17"/>
        </w:rPr>
        <w:t>建立、编辑和修改以及修饰。数据清单的建立，数据清</w:t>
      </w:r>
      <w:r>
        <w:rPr>
          <w:rFonts w:ascii="宋体" w:hAnsi="宋体" w:eastAsia="宋体" w:cs="宋体"/>
          <w:spacing w:val="9"/>
          <w:sz w:val="17"/>
          <w:szCs w:val="17"/>
        </w:rPr>
        <w:t xml:space="preserve"> </w:t>
      </w:r>
      <w:r>
        <w:rPr>
          <w:rFonts w:ascii="宋体" w:hAnsi="宋体" w:eastAsia="宋体" w:cs="宋体"/>
          <w:spacing w:val="2"/>
          <w:sz w:val="17"/>
          <w:szCs w:val="17"/>
        </w:rPr>
        <w:t>单内容的排序、筛选、分类汇总，数据合并，数据透视</w:t>
      </w:r>
      <w:r>
        <w:rPr>
          <w:rFonts w:ascii="宋体" w:hAnsi="宋体" w:eastAsia="宋体" w:cs="宋体"/>
          <w:spacing w:val="7"/>
          <w:sz w:val="17"/>
          <w:szCs w:val="17"/>
        </w:rPr>
        <w:t xml:space="preserve"> </w:t>
      </w:r>
      <w:r>
        <w:rPr>
          <w:rFonts w:ascii="宋体" w:hAnsi="宋体" w:eastAsia="宋体" w:cs="宋体"/>
          <w:spacing w:val="-1"/>
          <w:sz w:val="17"/>
          <w:szCs w:val="17"/>
        </w:rPr>
        <w:t>表的建立。工作表的页面设置、打印预览和打印。</w:t>
      </w:r>
    </w:p>
    <w:p w14:paraId="2DEFAB43">
      <w:pPr>
        <w:spacing w:before="50" w:line="215" w:lineRule="auto"/>
        <w:ind w:left="349"/>
        <w:rPr>
          <w:rFonts w:ascii="宋体" w:hAnsi="宋体" w:eastAsia="宋体" w:cs="宋体"/>
          <w:sz w:val="17"/>
          <w:szCs w:val="17"/>
        </w:rPr>
      </w:pPr>
      <w:r>
        <w:rPr>
          <w:rFonts w:ascii="宋体" w:hAnsi="宋体" w:eastAsia="宋体" w:cs="宋体"/>
          <w:spacing w:val="-4"/>
          <w:sz w:val="17"/>
          <w:szCs w:val="17"/>
        </w:rPr>
        <w:t>5.Python结构化程序设计调试</w:t>
      </w:r>
    </w:p>
    <w:p w14:paraId="2FE5DC64">
      <w:pPr>
        <w:spacing w:before="66" w:line="312" w:lineRule="auto"/>
        <w:ind w:firstLine="349"/>
        <w:rPr>
          <w:rFonts w:ascii="宋体" w:hAnsi="宋体" w:eastAsia="宋体" w:cs="宋体"/>
          <w:sz w:val="17"/>
          <w:szCs w:val="17"/>
        </w:rPr>
      </w:pPr>
      <w:r>
        <w:rPr>
          <w:rFonts w:ascii="宋体" w:hAnsi="宋体" w:eastAsia="宋体" w:cs="宋体"/>
          <w:spacing w:val="1"/>
          <w:sz w:val="17"/>
          <w:szCs w:val="17"/>
        </w:rPr>
        <w:t xml:space="preserve">程序文件的建立，顺序结构程序调试，选择结构程  </w:t>
      </w:r>
      <w:r>
        <w:rPr>
          <w:rFonts w:ascii="宋体" w:hAnsi="宋体" w:eastAsia="宋体" w:cs="宋体"/>
          <w:spacing w:val="-2"/>
          <w:sz w:val="17"/>
          <w:szCs w:val="17"/>
        </w:rPr>
        <w:t>序调试，循环结构程序调试，自定义函数调用程序调试。</w:t>
      </w:r>
    </w:p>
    <w:p w14:paraId="039A4F6F">
      <w:pPr>
        <w:spacing w:before="4" w:line="219" w:lineRule="auto"/>
        <w:ind w:left="349"/>
        <w:rPr>
          <w:rFonts w:ascii="宋体" w:hAnsi="宋体" w:eastAsia="宋体" w:cs="宋体"/>
          <w:sz w:val="17"/>
          <w:szCs w:val="17"/>
        </w:rPr>
      </w:pPr>
      <w:r>
        <w:rPr>
          <w:rFonts w:ascii="宋体" w:hAnsi="宋体" w:eastAsia="宋体" w:cs="宋体"/>
          <w:spacing w:val="-4"/>
          <w:sz w:val="17"/>
          <w:szCs w:val="17"/>
        </w:rPr>
        <w:t>6.演示文稿项目</w:t>
      </w:r>
    </w:p>
    <w:p w14:paraId="2C2BBDF7">
      <w:pPr>
        <w:spacing w:before="89" w:line="311" w:lineRule="auto"/>
        <w:ind w:right="4" w:firstLine="349"/>
        <w:rPr>
          <w:rFonts w:ascii="宋体" w:hAnsi="宋体" w:eastAsia="宋体" w:cs="宋体"/>
          <w:sz w:val="17"/>
          <w:szCs w:val="17"/>
        </w:rPr>
      </w:pPr>
      <w:r>
        <w:rPr>
          <w:rFonts w:ascii="Times New Roman" w:hAnsi="Times New Roman" w:eastAsia="Times New Roman" w:cs="Times New Roman"/>
          <w:spacing w:val="-5"/>
          <w:sz w:val="17"/>
          <w:szCs w:val="17"/>
        </w:rPr>
        <w:t>PowerPoint2016</w:t>
      </w:r>
      <w:r>
        <w:rPr>
          <w:rFonts w:ascii="宋体" w:hAnsi="宋体" w:eastAsia="宋体" w:cs="宋体"/>
          <w:spacing w:val="-5"/>
          <w:sz w:val="17"/>
          <w:szCs w:val="17"/>
        </w:rPr>
        <w:t>演示文稿的新建、保存、打</w:t>
      </w:r>
      <w:r>
        <w:rPr>
          <w:rFonts w:ascii="宋体" w:hAnsi="宋体" w:eastAsia="宋体" w:cs="宋体"/>
          <w:spacing w:val="-6"/>
          <w:sz w:val="17"/>
          <w:szCs w:val="17"/>
        </w:rPr>
        <w:t>开和浏览，</w:t>
      </w:r>
      <w:r>
        <w:rPr>
          <w:rFonts w:ascii="宋体" w:hAnsi="宋体" w:eastAsia="宋体" w:cs="宋体"/>
          <w:sz w:val="17"/>
          <w:szCs w:val="17"/>
        </w:rPr>
        <w:t xml:space="preserve"> </w:t>
      </w:r>
      <w:r>
        <w:rPr>
          <w:rFonts w:ascii="宋体" w:hAnsi="宋体" w:eastAsia="宋体" w:cs="宋体"/>
          <w:spacing w:val="-2"/>
          <w:sz w:val="17"/>
          <w:szCs w:val="17"/>
        </w:rPr>
        <w:t>幻灯片的插入、复制、移动和删除；更换幻灯片的版式，</w:t>
      </w:r>
      <w:r>
        <w:rPr>
          <w:rFonts w:ascii="宋体" w:hAnsi="宋体" w:eastAsia="宋体" w:cs="宋体"/>
          <w:spacing w:val="13"/>
          <w:sz w:val="17"/>
          <w:szCs w:val="17"/>
        </w:rPr>
        <w:t xml:space="preserve"> </w:t>
      </w:r>
      <w:r>
        <w:rPr>
          <w:rFonts w:ascii="宋体" w:hAnsi="宋体" w:eastAsia="宋体" w:cs="宋体"/>
          <w:spacing w:val="2"/>
          <w:sz w:val="17"/>
          <w:szCs w:val="17"/>
        </w:rPr>
        <w:t>使用幻灯片母版，设置幻灯片主题、背景、</w:t>
      </w:r>
      <w:r>
        <w:rPr>
          <w:rFonts w:ascii="宋体" w:hAnsi="宋体" w:eastAsia="宋体" w:cs="宋体"/>
          <w:spacing w:val="1"/>
          <w:sz w:val="17"/>
          <w:szCs w:val="17"/>
        </w:rPr>
        <w:t>配色方案；</w:t>
      </w:r>
      <w:r>
        <w:rPr>
          <w:rFonts w:ascii="宋体" w:hAnsi="宋体" w:eastAsia="宋体" w:cs="宋体"/>
          <w:sz w:val="17"/>
          <w:szCs w:val="17"/>
        </w:rPr>
        <w:t xml:space="preserve">  </w:t>
      </w:r>
      <w:r>
        <w:rPr>
          <w:rFonts w:ascii="宋体" w:hAnsi="宋体" w:eastAsia="宋体" w:cs="宋体"/>
          <w:spacing w:val="1"/>
          <w:sz w:val="17"/>
          <w:szCs w:val="17"/>
        </w:rPr>
        <w:t>设置、复制文字格式，插入艺术字、形状等内置对象，</w:t>
      </w:r>
      <w:r>
        <w:rPr>
          <w:rFonts w:ascii="宋体" w:hAnsi="宋体" w:eastAsia="宋体" w:cs="宋体"/>
          <w:sz w:val="17"/>
          <w:szCs w:val="17"/>
        </w:rPr>
        <w:t xml:space="preserve">  </w:t>
      </w:r>
      <w:r>
        <w:rPr>
          <w:rFonts w:ascii="宋体" w:hAnsi="宋体" w:eastAsia="宋体" w:cs="宋体"/>
          <w:spacing w:val="-8"/>
          <w:sz w:val="17"/>
          <w:szCs w:val="17"/>
        </w:rPr>
        <w:t>插入图片、音频、视频等外部对象，建立幻灯片的超链接，</w:t>
      </w:r>
      <w:r>
        <w:rPr>
          <w:rFonts w:ascii="宋体" w:hAnsi="宋体" w:eastAsia="宋体" w:cs="宋体"/>
          <w:spacing w:val="1"/>
          <w:sz w:val="17"/>
          <w:szCs w:val="17"/>
        </w:rPr>
        <w:t xml:space="preserve"> </w:t>
      </w:r>
      <w:r>
        <w:rPr>
          <w:rFonts w:ascii="宋体" w:hAnsi="宋体" w:eastAsia="宋体" w:cs="宋体"/>
          <w:spacing w:val="2"/>
          <w:sz w:val="17"/>
          <w:szCs w:val="17"/>
        </w:rPr>
        <w:t>动画效果的使用；演示文稿的放映方式，幻灯片的切换</w:t>
      </w:r>
      <w:r>
        <w:rPr>
          <w:rFonts w:ascii="宋体" w:hAnsi="宋体" w:eastAsia="宋体" w:cs="宋体"/>
          <w:spacing w:val="4"/>
          <w:sz w:val="17"/>
          <w:szCs w:val="17"/>
        </w:rPr>
        <w:t xml:space="preserve">  </w:t>
      </w:r>
      <w:r>
        <w:rPr>
          <w:rFonts w:ascii="宋体" w:hAnsi="宋体" w:eastAsia="宋体" w:cs="宋体"/>
          <w:spacing w:val="-1"/>
          <w:sz w:val="17"/>
          <w:szCs w:val="17"/>
        </w:rPr>
        <w:t>效果和换片方式，演示文稿的打包和打印。</w:t>
      </w:r>
    </w:p>
    <w:p w14:paraId="44AE9757">
      <w:pPr>
        <w:spacing w:before="35" w:line="212" w:lineRule="auto"/>
        <w:ind w:left="349"/>
        <w:rPr>
          <w:rFonts w:ascii="宋体" w:hAnsi="宋体" w:eastAsia="宋体" w:cs="宋体"/>
          <w:sz w:val="17"/>
          <w:szCs w:val="17"/>
        </w:rPr>
      </w:pPr>
      <w:r>
        <w:rPr>
          <w:rFonts w:ascii="Times New Roman" w:hAnsi="Times New Roman" w:eastAsia="Times New Roman" w:cs="Times New Roman"/>
          <w:spacing w:val="-1"/>
          <w:sz w:val="17"/>
          <w:szCs w:val="17"/>
        </w:rPr>
        <w:t>7.Python</w:t>
      </w:r>
      <w:r>
        <w:rPr>
          <w:rFonts w:ascii="Times New Roman" w:hAnsi="Times New Roman" w:eastAsia="Times New Roman" w:cs="Times New Roman"/>
          <w:spacing w:val="-12"/>
          <w:sz w:val="17"/>
          <w:szCs w:val="17"/>
        </w:rPr>
        <w:t xml:space="preserve"> </w:t>
      </w:r>
      <w:r>
        <w:rPr>
          <w:rFonts w:ascii="宋体" w:hAnsi="宋体" w:eastAsia="宋体" w:cs="宋体"/>
          <w:spacing w:val="-1"/>
          <w:sz w:val="17"/>
          <w:szCs w:val="17"/>
        </w:rPr>
        <w:t>面向对象程序设计调试</w:t>
      </w:r>
    </w:p>
    <w:p w14:paraId="03225477">
      <w:pPr>
        <w:spacing w:before="94" w:line="219" w:lineRule="auto"/>
        <w:ind w:left="349"/>
        <w:rPr>
          <w:rFonts w:ascii="宋体" w:hAnsi="宋体" w:eastAsia="宋体" w:cs="宋体"/>
          <w:sz w:val="17"/>
          <w:szCs w:val="17"/>
        </w:rPr>
      </w:pPr>
      <w:r>
        <w:rPr>
          <w:rFonts w:ascii="宋体" w:hAnsi="宋体" w:eastAsia="宋体" w:cs="宋体"/>
          <w:spacing w:val="3"/>
          <w:sz w:val="17"/>
          <w:szCs w:val="17"/>
        </w:rPr>
        <w:t>简单</w:t>
      </w:r>
      <w:r>
        <w:rPr>
          <w:rFonts w:ascii="Times New Roman" w:hAnsi="Times New Roman" w:eastAsia="Times New Roman" w:cs="Times New Roman"/>
          <w:sz w:val="17"/>
          <w:szCs w:val="17"/>
        </w:rPr>
        <w:t>GUI</w:t>
      </w:r>
      <w:r>
        <w:rPr>
          <w:rFonts w:ascii="宋体" w:hAnsi="宋体" w:eastAsia="宋体" w:cs="宋体"/>
          <w:spacing w:val="3"/>
          <w:sz w:val="17"/>
          <w:szCs w:val="17"/>
        </w:rPr>
        <w:t>界面程序设计与调试。</w:t>
      </w:r>
    </w:p>
    <w:p w14:paraId="1AB3A38D">
      <w:pPr>
        <w:spacing w:before="90" w:line="212" w:lineRule="auto"/>
        <w:ind w:left="349"/>
        <w:rPr>
          <w:rFonts w:ascii="宋体" w:hAnsi="宋体" w:eastAsia="宋体" w:cs="宋体"/>
          <w:sz w:val="17"/>
          <w:szCs w:val="17"/>
        </w:rPr>
      </w:pPr>
      <w:r>
        <w:rPr>
          <w:rFonts w:ascii="Times New Roman" w:hAnsi="Times New Roman" w:eastAsia="Times New Roman" w:cs="Times New Roman"/>
          <w:spacing w:val="5"/>
          <w:sz w:val="17"/>
          <w:szCs w:val="17"/>
        </w:rPr>
        <w:t xml:space="preserve">8. </w:t>
      </w:r>
      <w:r>
        <w:rPr>
          <w:rFonts w:ascii="宋体" w:hAnsi="宋体" w:eastAsia="宋体" w:cs="宋体"/>
          <w:spacing w:val="5"/>
          <w:sz w:val="17"/>
          <w:szCs w:val="17"/>
        </w:rPr>
        <w:t>图像处理项目</w:t>
      </w:r>
      <w:r>
        <w:rPr>
          <w:rFonts w:ascii="Times New Roman" w:hAnsi="Times New Roman" w:eastAsia="Times New Roman" w:cs="Times New Roman"/>
          <w:spacing w:val="5"/>
          <w:sz w:val="17"/>
          <w:szCs w:val="17"/>
        </w:rPr>
        <w:t>(</w:t>
      </w:r>
      <w:r>
        <w:rPr>
          <w:rFonts w:ascii="Times New Roman" w:hAnsi="Times New Roman" w:eastAsia="Times New Roman" w:cs="Times New Roman"/>
          <w:sz w:val="17"/>
          <w:szCs w:val="17"/>
        </w:rPr>
        <w:t>PhotoshopCC</w:t>
      </w:r>
      <w:r>
        <w:rPr>
          <w:rFonts w:ascii="Times New Roman" w:hAnsi="Times New Roman" w:eastAsia="Times New Roman" w:cs="Times New Roman"/>
          <w:spacing w:val="5"/>
          <w:sz w:val="17"/>
          <w:szCs w:val="17"/>
        </w:rPr>
        <w:t>2018</w:t>
      </w:r>
      <w:r>
        <w:rPr>
          <w:rFonts w:ascii="Times New Roman" w:hAnsi="Times New Roman" w:eastAsia="Times New Roman" w:cs="Times New Roman"/>
          <w:spacing w:val="27"/>
          <w:w w:val="101"/>
          <w:sz w:val="17"/>
          <w:szCs w:val="17"/>
        </w:rPr>
        <w:t xml:space="preserve"> </w:t>
      </w:r>
      <w:r>
        <w:rPr>
          <w:rFonts w:ascii="宋体" w:hAnsi="宋体" w:eastAsia="宋体" w:cs="宋体"/>
          <w:spacing w:val="5"/>
          <w:sz w:val="17"/>
          <w:szCs w:val="17"/>
        </w:rPr>
        <w:t>中文版)</w:t>
      </w:r>
    </w:p>
    <w:p w14:paraId="61347C67">
      <w:pPr>
        <w:spacing w:before="65" w:line="314" w:lineRule="auto"/>
        <w:ind w:right="83" w:firstLine="349"/>
        <w:rPr>
          <w:rFonts w:ascii="宋体" w:hAnsi="宋体" w:eastAsia="宋体" w:cs="宋体"/>
          <w:sz w:val="17"/>
          <w:szCs w:val="17"/>
        </w:rPr>
      </w:pPr>
      <w:r>
        <w:rPr>
          <w:rFonts w:ascii="Times New Roman" w:hAnsi="Times New Roman" w:eastAsia="Times New Roman" w:cs="Times New Roman"/>
          <w:sz w:val="17"/>
          <w:szCs w:val="17"/>
        </w:rPr>
        <w:t>PhotoshopCC</w:t>
      </w:r>
      <w:r>
        <w:rPr>
          <w:rFonts w:ascii="Times New Roman" w:hAnsi="Times New Roman" w:eastAsia="Times New Roman" w:cs="Times New Roman"/>
          <w:spacing w:val="6"/>
          <w:sz w:val="17"/>
          <w:szCs w:val="17"/>
        </w:rPr>
        <w:t>2018</w:t>
      </w:r>
      <w:r>
        <w:rPr>
          <w:rFonts w:ascii="宋体" w:hAnsi="宋体" w:eastAsia="宋体" w:cs="宋体"/>
          <w:spacing w:val="6"/>
          <w:sz w:val="17"/>
          <w:szCs w:val="17"/>
        </w:rPr>
        <w:t>的启动和退出，窗口界面操作，</w:t>
      </w:r>
      <w:r>
        <w:rPr>
          <w:rFonts w:ascii="宋体" w:hAnsi="宋体" w:eastAsia="宋体" w:cs="宋体"/>
          <w:spacing w:val="1"/>
          <w:sz w:val="17"/>
          <w:szCs w:val="17"/>
        </w:rPr>
        <w:t xml:space="preserve"> </w:t>
      </w:r>
      <w:r>
        <w:rPr>
          <w:rFonts w:ascii="宋体" w:hAnsi="宋体" w:eastAsia="宋体" w:cs="宋体"/>
          <w:spacing w:val="2"/>
          <w:sz w:val="17"/>
          <w:szCs w:val="17"/>
        </w:rPr>
        <w:t>色彩模型、分辨率的基本操作，选区工具、</w:t>
      </w:r>
      <w:r>
        <w:rPr>
          <w:rFonts w:ascii="宋体" w:hAnsi="宋体" w:eastAsia="宋体" w:cs="宋体"/>
          <w:spacing w:val="1"/>
          <w:sz w:val="17"/>
          <w:szCs w:val="17"/>
        </w:rPr>
        <w:t>移动工具、</w:t>
      </w:r>
      <w:r>
        <w:rPr>
          <w:rFonts w:ascii="宋体" w:hAnsi="宋体" w:eastAsia="宋体" w:cs="宋体"/>
          <w:sz w:val="17"/>
          <w:szCs w:val="17"/>
        </w:rPr>
        <w:t xml:space="preserve"> </w:t>
      </w:r>
      <w:r>
        <w:rPr>
          <w:rFonts w:ascii="宋体" w:hAnsi="宋体" w:eastAsia="宋体" w:cs="宋体"/>
          <w:spacing w:val="1"/>
          <w:sz w:val="17"/>
          <w:szCs w:val="17"/>
        </w:rPr>
        <w:t>文字工具、填充工具、裁剪工具和套索工具的使用。图</w:t>
      </w:r>
      <w:r>
        <w:rPr>
          <w:rFonts w:ascii="宋体" w:hAnsi="宋体" w:eastAsia="宋体" w:cs="宋体"/>
          <w:sz w:val="17"/>
          <w:szCs w:val="17"/>
        </w:rPr>
        <w:t xml:space="preserve"> </w:t>
      </w:r>
      <w:r>
        <w:rPr>
          <w:rFonts w:ascii="宋体" w:hAnsi="宋体" w:eastAsia="宋体" w:cs="宋体"/>
          <w:spacing w:val="2"/>
          <w:sz w:val="17"/>
          <w:szCs w:val="17"/>
        </w:rPr>
        <w:t>层面板的使用，制作简单合成图像。选区操作。文字特</w:t>
      </w:r>
      <w:r>
        <w:rPr>
          <w:rFonts w:ascii="宋体" w:hAnsi="宋体" w:eastAsia="宋体" w:cs="宋体"/>
          <w:spacing w:val="6"/>
          <w:sz w:val="17"/>
          <w:szCs w:val="17"/>
        </w:rPr>
        <w:t xml:space="preserve"> </w:t>
      </w:r>
      <w:r>
        <w:rPr>
          <w:rFonts w:ascii="宋体" w:hAnsi="宋体" w:eastAsia="宋体" w:cs="宋体"/>
          <w:spacing w:val="1"/>
          <w:sz w:val="17"/>
          <w:szCs w:val="17"/>
        </w:rPr>
        <w:t>效制作。</w:t>
      </w:r>
    </w:p>
    <w:p w14:paraId="74960638">
      <w:pPr>
        <w:spacing w:before="34" w:line="220" w:lineRule="auto"/>
        <w:ind w:left="349"/>
        <w:rPr>
          <w:rFonts w:ascii="宋体" w:hAnsi="宋体" w:eastAsia="宋体" w:cs="宋体"/>
          <w:sz w:val="17"/>
          <w:szCs w:val="17"/>
        </w:rPr>
      </w:pPr>
      <w:r>
        <w:rPr>
          <w:rFonts w:ascii="宋体" w:hAnsi="宋体" w:eastAsia="宋体" w:cs="宋体"/>
          <w:spacing w:val="2"/>
          <w:sz w:val="17"/>
          <w:szCs w:val="17"/>
        </w:rPr>
        <w:t>9.网络基础应用项目</w:t>
      </w:r>
    </w:p>
    <w:p w14:paraId="58FB5461">
      <w:pPr>
        <w:spacing w:before="78" w:line="298" w:lineRule="auto"/>
        <w:ind w:right="94" w:firstLine="349"/>
        <w:rPr>
          <w:rFonts w:ascii="宋体" w:hAnsi="宋体" w:eastAsia="宋体" w:cs="宋体"/>
          <w:sz w:val="17"/>
          <w:szCs w:val="17"/>
        </w:rPr>
      </w:pPr>
      <w:r>
        <w:rPr>
          <w:rFonts w:ascii="宋体" w:hAnsi="宋体" w:eastAsia="宋体" w:cs="宋体"/>
          <w:spacing w:val="7"/>
          <w:sz w:val="17"/>
          <w:szCs w:val="17"/>
        </w:rPr>
        <w:t>网络浏览器的使用；常用网络工具软件的使用。</w:t>
      </w:r>
      <w:r>
        <w:rPr>
          <w:rFonts w:ascii="宋体" w:hAnsi="宋体" w:eastAsia="宋体" w:cs="宋体"/>
          <w:spacing w:val="17"/>
          <w:sz w:val="17"/>
          <w:szCs w:val="17"/>
        </w:rPr>
        <w:t xml:space="preserve"> </w:t>
      </w:r>
      <w:r>
        <w:rPr>
          <w:rFonts w:ascii="宋体" w:hAnsi="宋体" w:eastAsia="宋体" w:cs="宋体"/>
          <w:spacing w:val="7"/>
          <w:sz w:val="17"/>
          <w:szCs w:val="17"/>
        </w:rPr>
        <w:t>网络主机的</w:t>
      </w:r>
      <w:r>
        <w:rPr>
          <w:rFonts w:ascii="Times New Roman" w:hAnsi="Times New Roman" w:eastAsia="Times New Roman" w:cs="Times New Roman"/>
          <w:sz w:val="17"/>
          <w:szCs w:val="17"/>
        </w:rPr>
        <w:t>IP</w:t>
      </w:r>
      <w:r>
        <w:rPr>
          <w:rFonts w:ascii="Times New Roman" w:hAnsi="Times New Roman" w:eastAsia="Times New Roman" w:cs="Times New Roman"/>
          <w:spacing w:val="7"/>
          <w:sz w:val="17"/>
          <w:szCs w:val="17"/>
        </w:rPr>
        <w:t xml:space="preserve"> </w:t>
      </w:r>
      <w:r>
        <w:rPr>
          <w:rFonts w:ascii="宋体" w:hAnsi="宋体" w:eastAsia="宋体" w:cs="宋体"/>
          <w:spacing w:val="7"/>
          <w:sz w:val="17"/>
          <w:szCs w:val="17"/>
        </w:rPr>
        <w:t>配置，包括</w:t>
      </w:r>
      <w:r>
        <w:rPr>
          <w:rFonts w:ascii="Times New Roman" w:hAnsi="Times New Roman" w:eastAsia="Times New Roman" w:cs="Times New Roman"/>
          <w:sz w:val="17"/>
          <w:szCs w:val="17"/>
        </w:rPr>
        <w:t>IP</w:t>
      </w:r>
      <w:r>
        <w:rPr>
          <w:rFonts w:ascii="Times New Roman" w:hAnsi="Times New Roman" w:eastAsia="Times New Roman" w:cs="Times New Roman"/>
          <w:spacing w:val="7"/>
          <w:sz w:val="17"/>
          <w:szCs w:val="17"/>
        </w:rPr>
        <w:t xml:space="preserve"> </w:t>
      </w:r>
      <w:r>
        <w:rPr>
          <w:rFonts w:ascii="宋体" w:hAnsi="宋体" w:eastAsia="宋体" w:cs="宋体"/>
          <w:spacing w:val="7"/>
          <w:sz w:val="17"/>
          <w:szCs w:val="17"/>
        </w:rPr>
        <w:t>地址、子网掩码、网关、</w:t>
      </w:r>
      <w:r>
        <w:rPr>
          <w:rFonts w:ascii="宋体" w:hAnsi="宋体" w:eastAsia="宋体" w:cs="宋体"/>
          <w:spacing w:val="5"/>
          <w:sz w:val="17"/>
          <w:szCs w:val="17"/>
        </w:rPr>
        <w:t xml:space="preserve"> </w:t>
      </w:r>
      <w:r>
        <w:rPr>
          <w:rFonts w:ascii="Times New Roman" w:hAnsi="Times New Roman" w:eastAsia="Times New Roman" w:cs="Times New Roman"/>
          <w:sz w:val="17"/>
          <w:szCs w:val="17"/>
        </w:rPr>
        <w:t>DNS</w:t>
      </w:r>
      <w:r>
        <w:rPr>
          <w:rFonts w:ascii="宋体" w:hAnsi="宋体" w:eastAsia="宋体" w:cs="宋体"/>
          <w:spacing w:val="18"/>
          <w:sz w:val="17"/>
          <w:szCs w:val="17"/>
        </w:rPr>
        <w:t>的配置。常用的网络测试命令的使用：</w:t>
      </w:r>
      <w:r>
        <w:rPr>
          <w:rFonts w:ascii="宋体" w:hAnsi="宋体" w:eastAsia="宋体" w:cs="宋体"/>
          <w:spacing w:val="-15"/>
          <w:sz w:val="17"/>
          <w:szCs w:val="17"/>
        </w:rPr>
        <w:t xml:space="preserve"> </w:t>
      </w:r>
      <w:r>
        <w:rPr>
          <w:rFonts w:ascii="Times New Roman" w:hAnsi="Times New Roman" w:eastAsia="Times New Roman" w:cs="Times New Roman"/>
          <w:sz w:val="17"/>
          <w:szCs w:val="17"/>
        </w:rPr>
        <w:t>Ping</w:t>
      </w:r>
      <w:r>
        <w:rPr>
          <w:rFonts w:ascii="Times New Roman" w:hAnsi="Times New Roman" w:eastAsia="Times New Roman" w:cs="Times New Roman"/>
          <w:spacing w:val="-24"/>
          <w:sz w:val="17"/>
          <w:szCs w:val="17"/>
        </w:rPr>
        <w:t xml:space="preserve"> </w:t>
      </w:r>
      <w:r>
        <w:rPr>
          <w:rFonts w:ascii="宋体" w:hAnsi="宋体" w:eastAsia="宋体" w:cs="宋体"/>
          <w:spacing w:val="18"/>
          <w:sz w:val="17"/>
          <w:szCs w:val="17"/>
        </w:rPr>
        <w:t>、</w:t>
      </w:r>
      <w:r>
        <w:rPr>
          <w:rFonts w:ascii="宋体" w:hAnsi="宋体" w:eastAsia="宋体" w:cs="宋体"/>
          <w:sz w:val="17"/>
          <w:szCs w:val="17"/>
        </w:rPr>
        <w:t xml:space="preserve"> </w:t>
      </w:r>
      <w:r>
        <w:rPr>
          <w:rFonts w:ascii="Times New Roman" w:hAnsi="Times New Roman" w:eastAsia="Times New Roman" w:cs="Times New Roman"/>
          <w:sz w:val="17"/>
          <w:szCs w:val="17"/>
        </w:rPr>
        <w:t>Ipconfig</w:t>
      </w:r>
      <w:r>
        <w:rPr>
          <w:rFonts w:ascii="宋体" w:hAnsi="宋体" w:eastAsia="宋体" w:cs="宋体"/>
          <w:spacing w:val="4"/>
          <w:sz w:val="17"/>
          <w:szCs w:val="17"/>
        </w:rPr>
        <w:t>等。</w:t>
      </w:r>
    </w:p>
    <w:p w14:paraId="7065D3AF">
      <w:pPr>
        <w:spacing w:before="61" w:line="219" w:lineRule="auto"/>
        <w:ind w:left="349"/>
        <w:rPr>
          <w:rFonts w:ascii="宋体" w:hAnsi="宋体" w:eastAsia="宋体" w:cs="宋体"/>
          <w:sz w:val="17"/>
          <w:szCs w:val="17"/>
        </w:rPr>
      </w:pPr>
      <w:r>
        <w:rPr>
          <w:rFonts w:ascii="宋体" w:hAnsi="宋体" w:eastAsia="宋体" w:cs="宋体"/>
          <w:spacing w:val="-2"/>
          <w:sz w:val="17"/>
          <w:szCs w:val="17"/>
        </w:rPr>
        <w:t>10.网络服务器安装配置项目</w:t>
      </w:r>
    </w:p>
    <w:p w14:paraId="449A32F2">
      <w:pPr>
        <w:spacing w:before="106" w:line="299" w:lineRule="auto"/>
        <w:ind w:right="44" w:firstLine="349"/>
        <w:rPr>
          <w:rFonts w:ascii="宋体" w:hAnsi="宋体" w:eastAsia="宋体" w:cs="宋体"/>
          <w:sz w:val="17"/>
          <w:szCs w:val="17"/>
        </w:rPr>
      </w:pPr>
      <w:r>
        <w:rPr>
          <w:rFonts w:ascii="宋体" w:hAnsi="宋体" w:eastAsia="宋体" w:cs="宋体"/>
          <w:spacing w:val="7"/>
          <w:sz w:val="17"/>
          <w:szCs w:val="17"/>
        </w:rPr>
        <w:t xml:space="preserve">基本的服务器的配置： </w:t>
      </w:r>
      <w:r>
        <w:rPr>
          <w:rFonts w:ascii="Times New Roman" w:hAnsi="Times New Roman" w:eastAsia="Times New Roman" w:cs="Times New Roman"/>
          <w:sz w:val="17"/>
          <w:szCs w:val="17"/>
        </w:rPr>
        <w:t>WwW</w:t>
      </w:r>
      <w:r>
        <w:rPr>
          <w:rFonts w:ascii="Times New Roman" w:hAnsi="Times New Roman" w:eastAsia="Times New Roman" w:cs="Times New Roman"/>
          <w:spacing w:val="21"/>
          <w:sz w:val="17"/>
          <w:szCs w:val="17"/>
        </w:rPr>
        <w:t xml:space="preserve"> </w:t>
      </w:r>
      <w:r>
        <w:rPr>
          <w:rFonts w:ascii="宋体" w:hAnsi="宋体" w:eastAsia="宋体" w:cs="宋体"/>
          <w:spacing w:val="7"/>
          <w:sz w:val="17"/>
          <w:szCs w:val="17"/>
        </w:rPr>
        <w:t>服务、</w:t>
      </w:r>
      <w:r>
        <w:rPr>
          <w:rFonts w:ascii="Times New Roman" w:hAnsi="Times New Roman" w:eastAsia="Times New Roman" w:cs="Times New Roman"/>
          <w:sz w:val="17"/>
          <w:szCs w:val="17"/>
        </w:rPr>
        <w:t>FTP</w:t>
      </w:r>
      <w:r>
        <w:rPr>
          <w:rFonts w:ascii="Times New Roman" w:hAnsi="Times New Roman" w:eastAsia="Times New Roman" w:cs="Times New Roman"/>
          <w:spacing w:val="7"/>
          <w:sz w:val="17"/>
          <w:szCs w:val="17"/>
        </w:rPr>
        <w:t xml:space="preserve"> </w:t>
      </w:r>
      <w:r>
        <w:rPr>
          <w:rFonts w:ascii="宋体" w:hAnsi="宋体" w:eastAsia="宋体" w:cs="宋体"/>
          <w:spacing w:val="7"/>
          <w:sz w:val="17"/>
          <w:szCs w:val="17"/>
        </w:rPr>
        <w:t>服务、</w:t>
      </w:r>
      <w:r>
        <w:rPr>
          <w:rFonts w:ascii="宋体" w:hAnsi="宋体" w:eastAsia="宋体" w:cs="宋体"/>
          <w:sz w:val="17"/>
          <w:szCs w:val="17"/>
        </w:rPr>
        <w:t xml:space="preserve"> </w:t>
      </w:r>
      <w:r>
        <w:rPr>
          <w:rFonts w:ascii="Times New Roman" w:hAnsi="Times New Roman" w:eastAsia="Times New Roman" w:cs="Times New Roman"/>
          <w:spacing w:val="-7"/>
          <w:sz w:val="17"/>
          <w:szCs w:val="17"/>
        </w:rPr>
        <w:t>DNS</w:t>
      </w:r>
      <w:r>
        <w:rPr>
          <w:rFonts w:ascii="宋体" w:hAnsi="宋体" w:eastAsia="宋体" w:cs="宋体"/>
          <w:spacing w:val="-7"/>
          <w:sz w:val="17"/>
          <w:szCs w:val="17"/>
        </w:rPr>
        <w:t>服务、</w:t>
      </w:r>
      <w:r>
        <w:rPr>
          <w:rFonts w:ascii="Times New Roman" w:hAnsi="Times New Roman" w:eastAsia="Times New Roman" w:cs="Times New Roman"/>
          <w:spacing w:val="-7"/>
          <w:sz w:val="17"/>
          <w:szCs w:val="17"/>
        </w:rPr>
        <w:t>DHCP</w:t>
      </w:r>
      <w:r>
        <w:rPr>
          <w:rFonts w:ascii="宋体" w:hAnsi="宋体" w:eastAsia="宋体" w:cs="宋体"/>
          <w:spacing w:val="-7"/>
          <w:sz w:val="17"/>
          <w:szCs w:val="17"/>
        </w:rPr>
        <w:t>服务；能正确配置简单的网络资源共享；</w:t>
      </w:r>
      <w:r>
        <w:rPr>
          <w:rFonts w:ascii="宋体" w:hAnsi="宋体" w:eastAsia="宋体" w:cs="宋体"/>
          <w:spacing w:val="6"/>
          <w:sz w:val="17"/>
          <w:szCs w:val="17"/>
        </w:rPr>
        <w:t xml:space="preserve"> </w:t>
      </w:r>
      <w:r>
        <w:rPr>
          <w:rFonts w:ascii="宋体" w:hAnsi="宋体" w:eastAsia="宋体" w:cs="宋体"/>
          <w:spacing w:val="4"/>
          <w:sz w:val="17"/>
          <w:szCs w:val="17"/>
        </w:rPr>
        <w:t>客户端访问</w:t>
      </w:r>
      <w:r>
        <w:rPr>
          <w:rFonts w:ascii="Times New Roman" w:hAnsi="Times New Roman" w:eastAsia="Times New Roman" w:cs="Times New Roman"/>
          <w:sz w:val="17"/>
          <w:szCs w:val="17"/>
        </w:rPr>
        <w:t>WwW</w:t>
      </w:r>
      <w:r>
        <w:rPr>
          <w:rFonts w:ascii="Times New Roman" w:hAnsi="Times New Roman" w:eastAsia="Times New Roman" w:cs="Times New Roman"/>
          <w:spacing w:val="-10"/>
          <w:sz w:val="17"/>
          <w:szCs w:val="17"/>
        </w:rPr>
        <w:t xml:space="preserve"> </w:t>
      </w:r>
      <w:r>
        <w:rPr>
          <w:rFonts w:ascii="宋体" w:hAnsi="宋体" w:eastAsia="宋体" w:cs="宋体"/>
          <w:spacing w:val="4"/>
          <w:sz w:val="17"/>
          <w:szCs w:val="17"/>
        </w:rPr>
        <w:t>、</w:t>
      </w:r>
      <w:r>
        <w:rPr>
          <w:rFonts w:ascii="Times New Roman" w:hAnsi="Times New Roman" w:eastAsia="Times New Roman" w:cs="Times New Roman"/>
          <w:sz w:val="17"/>
          <w:szCs w:val="17"/>
        </w:rPr>
        <w:t>FTP</w:t>
      </w:r>
      <w:r>
        <w:rPr>
          <w:rFonts w:ascii="Times New Roman" w:hAnsi="Times New Roman" w:eastAsia="Times New Roman" w:cs="Times New Roman"/>
          <w:spacing w:val="4"/>
          <w:sz w:val="17"/>
          <w:szCs w:val="17"/>
        </w:rPr>
        <w:t xml:space="preserve"> </w:t>
      </w:r>
      <w:r>
        <w:rPr>
          <w:rFonts w:ascii="宋体" w:hAnsi="宋体" w:eastAsia="宋体" w:cs="宋体"/>
          <w:spacing w:val="4"/>
          <w:sz w:val="17"/>
          <w:szCs w:val="17"/>
        </w:rPr>
        <w:t>服务器的方法。能利用常用的</w:t>
      </w:r>
      <w:r>
        <w:rPr>
          <w:rFonts w:ascii="宋体" w:hAnsi="宋体" w:eastAsia="宋体" w:cs="宋体"/>
          <w:sz w:val="17"/>
          <w:szCs w:val="17"/>
        </w:rPr>
        <w:t xml:space="preserve"> </w:t>
      </w:r>
      <w:r>
        <w:rPr>
          <w:rFonts w:ascii="宋体" w:hAnsi="宋体" w:eastAsia="宋体" w:cs="宋体"/>
          <w:spacing w:val="2"/>
          <w:sz w:val="17"/>
          <w:szCs w:val="17"/>
        </w:rPr>
        <w:t>命令以及知识进行简单网络故障的分析、定位、诊断和</w:t>
      </w:r>
      <w:r>
        <w:rPr>
          <w:rFonts w:ascii="宋体" w:hAnsi="宋体" w:eastAsia="宋体" w:cs="宋体"/>
          <w:spacing w:val="14"/>
          <w:sz w:val="17"/>
          <w:szCs w:val="17"/>
        </w:rPr>
        <w:t xml:space="preserve"> </w:t>
      </w:r>
      <w:r>
        <w:rPr>
          <w:rFonts w:ascii="宋体" w:hAnsi="宋体" w:eastAsia="宋体" w:cs="宋体"/>
          <w:spacing w:val="-1"/>
          <w:sz w:val="17"/>
          <w:szCs w:val="17"/>
        </w:rPr>
        <w:t>排除；能够进行常用网络应用服务器的简单排错。</w:t>
      </w:r>
    </w:p>
    <w:p w14:paraId="1B3325FB">
      <w:pPr>
        <w:spacing w:before="46" w:line="212" w:lineRule="auto"/>
        <w:ind w:left="349"/>
        <w:rPr>
          <w:rFonts w:ascii="宋体" w:hAnsi="宋体" w:eastAsia="宋体" w:cs="宋体"/>
          <w:sz w:val="17"/>
          <w:szCs w:val="17"/>
        </w:rPr>
      </w:pPr>
      <w:r>
        <w:rPr>
          <w:rFonts w:ascii="Times New Roman" w:hAnsi="Times New Roman" w:eastAsia="Times New Roman" w:cs="Times New Roman"/>
          <w:spacing w:val="3"/>
          <w:sz w:val="17"/>
          <w:szCs w:val="17"/>
        </w:rPr>
        <w:t xml:space="preserve">11. </w:t>
      </w:r>
      <w:r>
        <w:rPr>
          <w:rFonts w:ascii="宋体" w:hAnsi="宋体" w:eastAsia="宋体" w:cs="宋体"/>
          <w:spacing w:val="3"/>
          <w:sz w:val="17"/>
          <w:szCs w:val="17"/>
        </w:rPr>
        <w:t>网页制作项目</w:t>
      </w:r>
      <w:r>
        <w:rPr>
          <w:rFonts w:ascii="Times New Roman" w:hAnsi="Times New Roman" w:eastAsia="Times New Roman" w:cs="Times New Roman"/>
          <w:spacing w:val="3"/>
          <w:sz w:val="17"/>
          <w:szCs w:val="17"/>
        </w:rPr>
        <w:t>(</w:t>
      </w:r>
      <w:r>
        <w:rPr>
          <w:rFonts w:ascii="Times New Roman" w:hAnsi="Times New Roman" w:eastAsia="Times New Roman" w:cs="Times New Roman"/>
          <w:sz w:val="17"/>
          <w:szCs w:val="17"/>
        </w:rPr>
        <w:t>DreamweaverCC</w:t>
      </w:r>
      <w:r>
        <w:rPr>
          <w:rFonts w:ascii="Times New Roman" w:hAnsi="Times New Roman" w:eastAsia="Times New Roman" w:cs="Times New Roman"/>
          <w:spacing w:val="3"/>
          <w:sz w:val="17"/>
          <w:szCs w:val="17"/>
        </w:rPr>
        <w:t xml:space="preserve">2018 </w:t>
      </w:r>
      <w:r>
        <w:rPr>
          <w:rFonts w:ascii="宋体" w:hAnsi="宋体" w:eastAsia="宋体" w:cs="宋体"/>
          <w:spacing w:val="3"/>
          <w:sz w:val="17"/>
          <w:szCs w:val="17"/>
        </w:rPr>
        <w:t>中文版)</w:t>
      </w:r>
    </w:p>
    <w:p w14:paraId="478FF821">
      <w:pPr>
        <w:spacing w:before="104" w:line="311" w:lineRule="auto"/>
        <w:ind w:right="78" w:firstLine="349"/>
        <w:rPr>
          <w:rFonts w:ascii="宋体" w:hAnsi="宋体" w:eastAsia="宋体" w:cs="宋体"/>
          <w:sz w:val="17"/>
          <w:szCs w:val="17"/>
        </w:rPr>
      </w:pPr>
      <w:r>
        <w:rPr>
          <w:rFonts w:ascii="宋体" w:hAnsi="宋体" w:eastAsia="宋体" w:cs="宋体"/>
          <w:spacing w:val="2"/>
          <w:sz w:val="17"/>
          <w:szCs w:val="17"/>
        </w:rPr>
        <w:t>网站站点的规划、创建和管理，网页制作的一般流 程和步骤，能利用多种媒体信息元素创建网页文件，能</w:t>
      </w:r>
      <w:r>
        <w:rPr>
          <w:rFonts w:ascii="宋体" w:hAnsi="宋体" w:eastAsia="宋体" w:cs="宋体"/>
          <w:spacing w:val="9"/>
          <w:sz w:val="17"/>
          <w:szCs w:val="17"/>
        </w:rPr>
        <w:t xml:space="preserve"> </w:t>
      </w:r>
      <w:r>
        <w:rPr>
          <w:rFonts w:ascii="宋体" w:hAnsi="宋体" w:eastAsia="宋体" w:cs="宋体"/>
          <w:spacing w:val="-1"/>
          <w:sz w:val="17"/>
          <w:szCs w:val="17"/>
        </w:rPr>
        <w:t>发布并浏览所开发的网站页面。</w:t>
      </w:r>
      <w:r>
        <w:rPr>
          <w:rFonts w:ascii="宋体" w:hAnsi="宋体" w:eastAsia="宋体" w:cs="宋体"/>
          <w:spacing w:val="-7"/>
          <w:sz w:val="17"/>
          <w:szCs w:val="17"/>
        </w:rPr>
        <w:t xml:space="preserve"> </w:t>
      </w:r>
      <w:r>
        <w:rPr>
          <w:rFonts w:ascii="Times New Roman" w:hAnsi="Times New Roman" w:eastAsia="Times New Roman" w:cs="Times New Roman"/>
          <w:spacing w:val="-1"/>
          <w:sz w:val="17"/>
          <w:szCs w:val="17"/>
        </w:rPr>
        <w:t>DreamweaverCC2018</w:t>
      </w:r>
      <w:r>
        <w:rPr>
          <w:rFonts w:ascii="宋体" w:hAnsi="宋体" w:eastAsia="宋体" w:cs="宋体"/>
          <w:spacing w:val="-1"/>
          <w:sz w:val="17"/>
          <w:szCs w:val="17"/>
        </w:rPr>
        <w:t>中</w:t>
      </w:r>
      <w:r>
        <w:rPr>
          <w:rFonts w:ascii="宋体" w:hAnsi="宋体" w:eastAsia="宋体" w:cs="宋体"/>
          <w:sz w:val="17"/>
          <w:szCs w:val="17"/>
        </w:rPr>
        <w:t xml:space="preserve"> </w:t>
      </w:r>
      <w:r>
        <w:rPr>
          <w:rFonts w:ascii="宋体" w:hAnsi="宋体" w:eastAsia="宋体" w:cs="宋体"/>
          <w:spacing w:val="2"/>
          <w:sz w:val="17"/>
          <w:szCs w:val="17"/>
        </w:rPr>
        <w:t>文版的启动和退出，窗口界面操作。创建、打开和保存</w:t>
      </w:r>
      <w:r>
        <w:rPr>
          <w:rFonts w:ascii="宋体" w:hAnsi="宋体" w:eastAsia="宋体" w:cs="宋体"/>
          <w:spacing w:val="8"/>
          <w:sz w:val="17"/>
          <w:szCs w:val="17"/>
        </w:rPr>
        <w:t xml:space="preserve"> </w:t>
      </w:r>
      <w:r>
        <w:rPr>
          <w:rFonts w:ascii="宋体" w:hAnsi="宋体" w:eastAsia="宋体" w:cs="宋体"/>
          <w:spacing w:val="2"/>
          <w:sz w:val="17"/>
          <w:szCs w:val="17"/>
        </w:rPr>
        <w:t>网页文件，系统属性及网页属性的设置。模板和库元素</w:t>
      </w:r>
      <w:r>
        <w:rPr>
          <w:rFonts w:ascii="宋体" w:hAnsi="宋体" w:eastAsia="宋体" w:cs="宋体"/>
          <w:spacing w:val="8"/>
          <w:sz w:val="17"/>
          <w:szCs w:val="17"/>
        </w:rPr>
        <w:t xml:space="preserve"> </w:t>
      </w:r>
      <w:r>
        <w:rPr>
          <w:rFonts w:ascii="宋体" w:hAnsi="宋体" w:eastAsia="宋体" w:cs="宋体"/>
          <w:spacing w:val="2"/>
          <w:sz w:val="17"/>
          <w:szCs w:val="17"/>
        </w:rPr>
        <w:t>创建网页、应用表单设计网页，框架结构网页制作。在</w:t>
      </w:r>
      <w:r>
        <w:rPr>
          <w:rFonts w:ascii="宋体" w:hAnsi="宋体" w:eastAsia="宋体" w:cs="宋体"/>
          <w:spacing w:val="10"/>
          <w:sz w:val="17"/>
          <w:szCs w:val="17"/>
        </w:rPr>
        <w:t xml:space="preserve"> </w:t>
      </w:r>
      <w:r>
        <w:rPr>
          <w:rFonts w:ascii="宋体" w:hAnsi="宋体" w:eastAsia="宋体" w:cs="宋体"/>
          <w:spacing w:val="4"/>
          <w:sz w:val="17"/>
          <w:szCs w:val="17"/>
        </w:rPr>
        <w:t>网页中建立、修改、删除如</w:t>
      </w:r>
      <w:r>
        <w:rPr>
          <w:rFonts w:ascii="Times New Roman" w:hAnsi="Times New Roman" w:eastAsia="Times New Roman" w:cs="Times New Roman"/>
          <w:spacing w:val="4"/>
          <w:sz w:val="17"/>
          <w:szCs w:val="17"/>
        </w:rPr>
        <w:t>E-</w:t>
      </w:r>
      <w:r>
        <w:rPr>
          <w:rFonts w:ascii="Times New Roman" w:hAnsi="Times New Roman" w:eastAsia="Times New Roman" w:cs="Times New Roman"/>
          <w:sz w:val="17"/>
          <w:szCs w:val="17"/>
        </w:rPr>
        <w:t>mail</w:t>
      </w:r>
      <w:r>
        <w:rPr>
          <w:rFonts w:ascii="Times New Roman" w:hAnsi="Times New Roman" w:eastAsia="Times New Roman" w:cs="Times New Roman"/>
          <w:spacing w:val="-24"/>
          <w:sz w:val="17"/>
          <w:szCs w:val="17"/>
        </w:rPr>
        <w:t xml:space="preserve"> </w:t>
      </w:r>
      <w:r>
        <w:rPr>
          <w:rFonts w:ascii="宋体" w:hAnsi="宋体" w:eastAsia="宋体" w:cs="宋体"/>
          <w:spacing w:val="4"/>
          <w:sz w:val="17"/>
          <w:szCs w:val="17"/>
        </w:rPr>
        <w:t>、书签等形</w:t>
      </w:r>
      <w:r>
        <w:rPr>
          <w:rFonts w:ascii="宋体" w:hAnsi="宋体" w:eastAsia="宋体" w:cs="宋体"/>
          <w:spacing w:val="3"/>
          <w:sz w:val="17"/>
          <w:szCs w:val="17"/>
        </w:rPr>
        <w:t>式的超级</w:t>
      </w:r>
    </w:p>
    <w:p w14:paraId="2E61EB24">
      <w:pPr>
        <w:spacing w:line="311" w:lineRule="auto"/>
        <w:rPr>
          <w:rFonts w:ascii="宋体" w:hAnsi="宋体" w:eastAsia="宋体" w:cs="宋体"/>
          <w:sz w:val="17"/>
          <w:szCs w:val="17"/>
        </w:rPr>
        <w:sectPr>
          <w:type w:val="continuous"/>
          <w:pgSz w:w="10660" w:h="15080"/>
          <w:pgMar w:top="400" w:right="980" w:bottom="898" w:left="809" w:header="0" w:footer="745" w:gutter="0"/>
          <w:cols w:equalWidth="0" w:num="2">
            <w:col w:w="4551" w:space="100"/>
            <w:col w:w="4220"/>
          </w:cols>
        </w:sectPr>
      </w:pPr>
    </w:p>
    <w:p w14:paraId="7B387660">
      <w:pPr>
        <w:spacing w:before="1"/>
      </w:pPr>
    </w:p>
    <w:p w14:paraId="30071852">
      <w:pPr>
        <w:spacing w:before="1"/>
      </w:pPr>
    </w:p>
    <w:p w14:paraId="0BE72894">
      <w:pPr>
        <w:spacing w:before="1"/>
      </w:pPr>
    </w:p>
    <w:p w14:paraId="271DDB07">
      <w:pPr>
        <w:spacing w:before="1"/>
      </w:pPr>
    </w:p>
    <w:p w14:paraId="74F05401">
      <w:pPr>
        <w:sectPr>
          <w:footerReference r:id="rId119" w:type="default"/>
          <w:pgSz w:w="10660" w:h="15080"/>
          <w:pgMar w:top="400" w:right="844" w:bottom="898" w:left="1010" w:header="0" w:footer="745" w:gutter="0"/>
          <w:cols w:equalWidth="0" w:num="1">
            <w:col w:w="8806"/>
          </w:cols>
        </w:sectPr>
      </w:pPr>
    </w:p>
    <w:p w14:paraId="251AF999">
      <w:pPr>
        <w:spacing w:before="36" w:line="309" w:lineRule="auto"/>
        <w:ind w:right="280"/>
        <w:jc w:val="both"/>
        <w:rPr>
          <w:rFonts w:ascii="宋体" w:hAnsi="宋体" w:eastAsia="宋体" w:cs="宋体"/>
          <w:sz w:val="17"/>
          <w:szCs w:val="17"/>
        </w:rPr>
      </w:pPr>
      <w:r>
        <w:rPr>
          <w:rFonts w:ascii="宋体" w:hAnsi="宋体" w:eastAsia="宋体" w:cs="宋体"/>
          <w:spacing w:val="-2"/>
          <w:sz w:val="17"/>
          <w:szCs w:val="17"/>
        </w:rPr>
        <w:t>链接。网页元素，如水平线、日期、图象等对象的设置。</w:t>
      </w:r>
      <w:r>
        <w:rPr>
          <w:rFonts w:ascii="宋体" w:hAnsi="宋体" w:eastAsia="宋体" w:cs="宋体"/>
          <w:spacing w:val="18"/>
          <w:sz w:val="17"/>
          <w:szCs w:val="17"/>
        </w:rPr>
        <w:t xml:space="preserve"> </w:t>
      </w:r>
      <w:r>
        <w:rPr>
          <w:rFonts w:ascii="宋体" w:hAnsi="宋体" w:eastAsia="宋体" w:cs="宋体"/>
          <w:spacing w:val="1"/>
          <w:sz w:val="17"/>
          <w:szCs w:val="17"/>
        </w:rPr>
        <w:t>网页中表格的添加、修改方法，能利用表格进行网页布</w:t>
      </w:r>
      <w:r>
        <w:rPr>
          <w:rFonts w:ascii="宋体" w:hAnsi="宋体" w:eastAsia="宋体" w:cs="宋体"/>
          <w:spacing w:val="6"/>
          <w:sz w:val="17"/>
          <w:szCs w:val="17"/>
        </w:rPr>
        <w:t xml:space="preserve">  </w:t>
      </w:r>
      <w:r>
        <w:rPr>
          <w:rFonts w:ascii="宋体" w:hAnsi="宋体" w:eastAsia="宋体" w:cs="宋体"/>
          <w:spacing w:val="2"/>
          <w:sz w:val="17"/>
          <w:szCs w:val="17"/>
        </w:rPr>
        <w:t>局。网页中动画、视频、音频、控件等多媒体对象的添</w:t>
      </w:r>
      <w:r>
        <w:rPr>
          <w:rFonts w:ascii="宋体" w:hAnsi="宋体" w:eastAsia="宋体" w:cs="宋体"/>
          <w:spacing w:val="4"/>
          <w:sz w:val="17"/>
          <w:szCs w:val="17"/>
        </w:rPr>
        <w:t xml:space="preserve">  </w:t>
      </w:r>
      <w:r>
        <w:rPr>
          <w:rFonts w:ascii="宋体" w:hAnsi="宋体" w:eastAsia="宋体" w:cs="宋体"/>
          <w:spacing w:val="-1"/>
          <w:sz w:val="17"/>
          <w:szCs w:val="17"/>
        </w:rPr>
        <w:t>加和设置。</w:t>
      </w:r>
    </w:p>
    <w:p w14:paraId="015554AC">
      <w:pPr>
        <w:spacing w:before="31" w:line="220" w:lineRule="auto"/>
        <w:ind w:left="3"/>
        <w:rPr>
          <w:rFonts w:ascii="宋体" w:hAnsi="宋体" w:eastAsia="宋体" w:cs="宋体"/>
          <w:sz w:val="22"/>
          <w:szCs w:val="22"/>
        </w:rPr>
      </w:pPr>
      <w:bookmarkStart w:id="58" w:name="bookmark45"/>
      <w:bookmarkEnd w:id="58"/>
      <w:r>
        <w:rPr>
          <w:rFonts w:ascii="宋体" w:hAnsi="宋体" w:eastAsia="宋体" w:cs="宋体"/>
          <w:b/>
          <w:bCs/>
          <w:spacing w:val="-7"/>
          <w:sz w:val="22"/>
          <w:szCs w:val="22"/>
        </w:rPr>
        <w:t>四</w:t>
      </w:r>
      <w:r>
        <w:rPr>
          <w:rFonts w:ascii="宋体" w:hAnsi="宋体" w:eastAsia="宋体" w:cs="宋体"/>
          <w:spacing w:val="-52"/>
          <w:sz w:val="22"/>
          <w:szCs w:val="22"/>
        </w:rPr>
        <w:t xml:space="preserve"> </w:t>
      </w:r>
      <w:r>
        <w:rPr>
          <w:rFonts w:ascii="宋体" w:hAnsi="宋体" w:eastAsia="宋体" w:cs="宋体"/>
          <w:b/>
          <w:bCs/>
          <w:spacing w:val="-7"/>
          <w:sz w:val="22"/>
          <w:szCs w:val="22"/>
        </w:rPr>
        <w:t>、测评方法</w:t>
      </w:r>
    </w:p>
    <w:p w14:paraId="118D99B0">
      <w:pPr>
        <w:spacing w:before="107" w:line="219" w:lineRule="auto"/>
        <w:ind w:left="359"/>
        <w:rPr>
          <w:rFonts w:ascii="宋体" w:hAnsi="宋体" w:eastAsia="宋体" w:cs="宋体"/>
          <w:sz w:val="17"/>
          <w:szCs w:val="17"/>
        </w:rPr>
      </w:pPr>
      <w:r>
        <w:rPr>
          <w:rFonts w:ascii="宋体" w:hAnsi="宋体" w:eastAsia="宋体" w:cs="宋体"/>
          <w:spacing w:val="-3"/>
          <w:sz w:val="17"/>
          <w:szCs w:val="17"/>
        </w:rPr>
        <w:t>1.测评方式：上机操作或实践操作。</w:t>
      </w:r>
    </w:p>
    <w:p w14:paraId="63619926">
      <w:pPr>
        <w:spacing w:before="79" w:line="302" w:lineRule="auto"/>
        <w:ind w:left="359" w:right="285"/>
        <w:rPr>
          <w:rFonts w:ascii="宋体" w:hAnsi="宋体" w:eastAsia="宋体" w:cs="宋体"/>
          <w:sz w:val="17"/>
          <w:szCs w:val="17"/>
        </w:rPr>
      </w:pPr>
      <w:r>
        <w:rPr>
          <w:rFonts w:ascii="宋体" w:hAnsi="宋体" w:eastAsia="宋体" w:cs="宋体"/>
          <w:spacing w:val="-3"/>
          <w:sz w:val="17"/>
          <w:szCs w:val="17"/>
        </w:rPr>
        <w:t>采用上机操作方式，一人一机，独立完成操作任务。</w:t>
      </w:r>
      <w:r>
        <w:rPr>
          <w:rFonts w:ascii="宋体" w:hAnsi="宋体" w:eastAsia="宋体" w:cs="宋体"/>
          <w:spacing w:val="13"/>
          <w:sz w:val="17"/>
          <w:szCs w:val="17"/>
        </w:rPr>
        <w:t xml:space="preserve"> </w:t>
      </w:r>
      <w:r>
        <w:rPr>
          <w:rFonts w:ascii="宋体" w:hAnsi="宋体" w:eastAsia="宋体" w:cs="宋体"/>
          <w:spacing w:val="-2"/>
          <w:sz w:val="17"/>
          <w:szCs w:val="17"/>
        </w:rPr>
        <w:t>2.系统平台与软件环境</w:t>
      </w:r>
    </w:p>
    <w:p w14:paraId="426C7B94">
      <w:pPr>
        <w:spacing w:before="24" w:line="220" w:lineRule="auto"/>
        <w:ind w:left="359"/>
        <w:rPr>
          <w:rFonts w:ascii="宋体" w:hAnsi="宋体" w:eastAsia="宋体" w:cs="宋体"/>
          <w:sz w:val="17"/>
          <w:szCs w:val="17"/>
        </w:rPr>
      </w:pPr>
      <w:r>
        <w:rPr>
          <w:rFonts w:ascii="宋体" w:hAnsi="宋体" w:eastAsia="宋体" w:cs="宋体"/>
          <w:spacing w:val="-2"/>
          <w:sz w:val="17"/>
          <w:szCs w:val="17"/>
        </w:rPr>
        <w:t>系统平台：</w:t>
      </w:r>
      <w:r>
        <w:rPr>
          <w:rFonts w:ascii="Times New Roman" w:hAnsi="Times New Roman" w:eastAsia="Times New Roman" w:cs="Times New Roman"/>
          <w:spacing w:val="-2"/>
          <w:sz w:val="17"/>
          <w:szCs w:val="17"/>
        </w:rPr>
        <w:t>Windows10</w:t>
      </w:r>
      <w:r>
        <w:rPr>
          <w:rFonts w:ascii="宋体" w:hAnsi="宋体" w:eastAsia="宋体" w:cs="宋体"/>
          <w:spacing w:val="-2"/>
          <w:sz w:val="17"/>
          <w:szCs w:val="17"/>
        </w:rPr>
        <w:t>中文版；</w:t>
      </w:r>
    </w:p>
    <w:p w14:paraId="71A4E783">
      <w:pPr>
        <w:spacing w:before="57" w:line="311" w:lineRule="auto"/>
        <w:ind w:right="419" w:firstLine="359"/>
        <w:rPr>
          <w:rFonts w:ascii="宋体" w:hAnsi="宋体" w:eastAsia="宋体" w:cs="宋体"/>
          <w:sz w:val="17"/>
          <w:szCs w:val="17"/>
        </w:rPr>
      </w:pPr>
      <w:r>
        <w:rPr>
          <w:rFonts w:ascii="宋体" w:hAnsi="宋体" w:eastAsia="宋体" w:cs="宋体"/>
          <w:spacing w:val="-7"/>
          <w:sz w:val="17"/>
          <w:szCs w:val="17"/>
        </w:rPr>
        <w:t>软件环境：</w:t>
      </w:r>
      <w:r>
        <w:rPr>
          <w:rFonts w:ascii="Times New Roman" w:hAnsi="Times New Roman" w:eastAsia="Times New Roman" w:cs="Times New Roman"/>
          <w:spacing w:val="-7"/>
          <w:sz w:val="17"/>
          <w:szCs w:val="17"/>
        </w:rPr>
        <w:t>Office2016</w:t>
      </w:r>
      <w:r>
        <w:rPr>
          <w:rFonts w:ascii="宋体" w:hAnsi="宋体" w:eastAsia="宋体" w:cs="宋体"/>
          <w:spacing w:val="-7"/>
          <w:sz w:val="17"/>
          <w:szCs w:val="17"/>
        </w:rPr>
        <w:t>中文版，</w:t>
      </w:r>
      <w:r>
        <w:rPr>
          <w:rFonts w:ascii="Times New Roman" w:hAnsi="Times New Roman" w:eastAsia="Times New Roman" w:cs="Times New Roman"/>
          <w:spacing w:val="-7"/>
          <w:sz w:val="17"/>
          <w:szCs w:val="17"/>
        </w:rPr>
        <w:t>Python3.8,Dreamweaver</w:t>
      </w:r>
      <w:r>
        <w:rPr>
          <w:rFonts w:ascii="Times New Roman" w:hAnsi="Times New Roman" w:eastAsia="Times New Roman" w:cs="Times New Roman"/>
          <w:spacing w:val="4"/>
          <w:sz w:val="17"/>
          <w:szCs w:val="17"/>
        </w:rPr>
        <w:t xml:space="preserve"> </w:t>
      </w:r>
      <w:r>
        <w:rPr>
          <w:rFonts w:ascii="Times New Roman" w:hAnsi="Times New Roman" w:eastAsia="Times New Roman" w:cs="Times New Roman"/>
          <w:spacing w:val="-1"/>
          <w:sz w:val="17"/>
          <w:szCs w:val="17"/>
        </w:rPr>
        <w:t>CC2018</w:t>
      </w:r>
      <w:r>
        <w:rPr>
          <w:rFonts w:ascii="宋体" w:hAnsi="宋体" w:eastAsia="宋体" w:cs="宋体"/>
          <w:spacing w:val="-1"/>
          <w:sz w:val="17"/>
          <w:szCs w:val="17"/>
        </w:rPr>
        <w:t>中文版、</w:t>
      </w:r>
      <w:r>
        <w:rPr>
          <w:rFonts w:ascii="Times New Roman" w:hAnsi="Times New Roman" w:eastAsia="Times New Roman" w:cs="Times New Roman"/>
          <w:spacing w:val="-1"/>
          <w:sz w:val="17"/>
          <w:szCs w:val="17"/>
        </w:rPr>
        <w:t>PhotoShopCC2018</w:t>
      </w:r>
      <w:r>
        <w:rPr>
          <w:rFonts w:ascii="宋体" w:hAnsi="宋体" w:eastAsia="宋体" w:cs="宋体"/>
          <w:spacing w:val="-1"/>
          <w:sz w:val="17"/>
          <w:szCs w:val="17"/>
        </w:rPr>
        <w:t>中文版。</w:t>
      </w:r>
    </w:p>
    <w:p w14:paraId="4D955284">
      <w:pPr>
        <w:spacing w:before="26" w:line="302" w:lineRule="auto"/>
        <w:ind w:right="365" w:firstLine="359"/>
        <w:rPr>
          <w:rFonts w:ascii="宋体" w:hAnsi="宋体" w:eastAsia="宋体" w:cs="宋体"/>
          <w:sz w:val="17"/>
          <w:szCs w:val="17"/>
        </w:rPr>
      </w:pPr>
      <w:r>
        <w:rPr>
          <w:rFonts w:ascii="Times New Roman" w:hAnsi="Times New Roman" w:eastAsia="Times New Roman" w:cs="Times New Roman"/>
          <w:spacing w:val="7"/>
          <w:sz w:val="17"/>
          <w:szCs w:val="17"/>
        </w:rPr>
        <w:t xml:space="preserve">3. </w:t>
      </w:r>
      <w:r>
        <w:rPr>
          <w:rFonts w:ascii="宋体" w:hAnsi="宋体" w:eastAsia="宋体" w:cs="宋体"/>
          <w:spacing w:val="7"/>
          <w:sz w:val="17"/>
          <w:szCs w:val="17"/>
        </w:rPr>
        <w:t>输入法：限定</w:t>
      </w:r>
      <w:r>
        <w:rPr>
          <w:rFonts w:ascii="Times New Roman" w:hAnsi="Times New Roman" w:eastAsia="Times New Roman" w:cs="Times New Roman"/>
          <w:sz w:val="17"/>
          <w:szCs w:val="17"/>
        </w:rPr>
        <w:t>Windows</w:t>
      </w:r>
      <w:r>
        <w:rPr>
          <w:rFonts w:ascii="宋体" w:hAnsi="宋体" w:eastAsia="宋体" w:cs="宋体"/>
          <w:spacing w:val="7"/>
          <w:sz w:val="17"/>
          <w:szCs w:val="17"/>
        </w:rPr>
        <w:t xml:space="preserve">自带输入法(微软拼音、 </w:t>
      </w:r>
      <w:r>
        <w:rPr>
          <w:rFonts w:ascii="宋体" w:hAnsi="宋体" w:eastAsia="宋体" w:cs="宋体"/>
          <w:spacing w:val="11"/>
          <w:sz w:val="17"/>
          <w:szCs w:val="17"/>
        </w:rPr>
        <w:t>微软五笔)。</w:t>
      </w:r>
    </w:p>
    <w:p w14:paraId="7ABC7320">
      <w:pPr>
        <w:spacing w:before="34" w:line="220" w:lineRule="auto"/>
        <w:ind w:left="3"/>
        <w:rPr>
          <w:rFonts w:ascii="宋体" w:hAnsi="宋体" w:eastAsia="宋体" w:cs="宋体"/>
          <w:sz w:val="22"/>
          <w:szCs w:val="22"/>
        </w:rPr>
      </w:pPr>
      <w:r>
        <w:rPr>
          <w:rFonts w:ascii="宋体" w:hAnsi="宋体" w:eastAsia="宋体" w:cs="宋体"/>
          <w:b/>
          <w:bCs/>
          <w:spacing w:val="3"/>
          <w:sz w:val="22"/>
          <w:szCs w:val="22"/>
        </w:rPr>
        <w:t>五、测评要求</w:t>
      </w:r>
    </w:p>
    <w:p w14:paraId="78DA5B47">
      <w:pPr>
        <w:spacing w:before="99" w:line="220" w:lineRule="auto"/>
        <w:ind w:left="359"/>
        <w:rPr>
          <w:rFonts w:ascii="宋体" w:hAnsi="宋体" w:eastAsia="宋体" w:cs="宋体"/>
          <w:sz w:val="17"/>
          <w:szCs w:val="17"/>
        </w:rPr>
      </w:pPr>
      <w:r>
        <w:rPr>
          <w:rFonts w:ascii="宋体" w:hAnsi="宋体" w:eastAsia="宋体" w:cs="宋体"/>
          <w:spacing w:val="-2"/>
          <w:sz w:val="17"/>
          <w:szCs w:val="17"/>
        </w:rPr>
        <w:t>1.中英文录入项目</w:t>
      </w:r>
    </w:p>
    <w:p w14:paraId="20F08B42">
      <w:pPr>
        <w:spacing w:before="77" w:line="306" w:lineRule="auto"/>
        <w:ind w:right="362" w:firstLine="359"/>
        <w:rPr>
          <w:rFonts w:ascii="宋体" w:hAnsi="宋体" w:eastAsia="宋体" w:cs="宋体"/>
          <w:sz w:val="17"/>
          <w:szCs w:val="17"/>
        </w:rPr>
      </w:pPr>
      <w:r>
        <w:rPr>
          <w:rFonts w:ascii="宋体" w:hAnsi="宋体" w:eastAsia="宋体" w:cs="宋体"/>
          <w:spacing w:val="9"/>
          <w:sz w:val="17"/>
          <w:szCs w:val="17"/>
        </w:rPr>
        <w:t>在10分钟内，根据指定文稿，使用计算机键盘输</w:t>
      </w:r>
      <w:r>
        <w:rPr>
          <w:rFonts w:ascii="宋体" w:hAnsi="宋体" w:eastAsia="宋体" w:cs="宋体"/>
          <w:spacing w:val="7"/>
          <w:sz w:val="17"/>
          <w:szCs w:val="17"/>
        </w:rPr>
        <w:t xml:space="preserve"> </w:t>
      </w:r>
      <w:r>
        <w:rPr>
          <w:rFonts w:ascii="宋体" w:hAnsi="宋体" w:eastAsia="宋体" w:cs="宋体"/>
          <w:spacing w:val="9"/>
          <w:sz w:val="17"/>
          <w:szCs w:val="17"/>
        </w:rPr>
        <w:t>入完成650个汉字、英文、标点符号与特殊符号等(平</w:t>
      </w:r>
      <w:r>
        <w:rPr>
          <w:rFonts w:ascii="宋体" w:hAnsi="宋体" w:eastAsia="宋体" w:cs="宋体"/>
          <w:spacing w:val="1"/>
          <w:sz w:val="17"/>
          <w:szCs w:val="17"/>
        </w:rPr>
        <w:t xml:space="preserve"> </w:t>
      </w:r>
      <w:r>
        <w:rPr>
          <w:rFonts w:ascii="宋体" w:hAnsi="宋体" w:eastAsia="宋体" w:cs="宋体"/>
          <w:spacing w:val="12"/>
          <w:sz w:val="17"/>
          <w:szCs w:val="17"/>
        </w:rPr>
        <w:t>均每分钟65个汉字)。</w:t>
      </w:r>
    </w:p>
    <w:p w14:paraId="4CA9D7FA">
      <w:pPr>
        <w:spacing w:before="35" w:line="219" w:lineRule="auto"/>
        <w:ind w:left="359"/>
        <w:rPr>
          <w:rFonts w:ascii="宋体" w:hAnsi="宋体" w:eastAsia="宋体" w:cs="宋体"/>
          <w:sz w:val="17"/>
          <w:szCs w:val="17"/>
        </w:rPr>
      </w:pPr>
      <w:r>
        <w:rPr>
          <w:rFonts w:ascii="宋体" w:hAnsi="宋体" w:eastAsia="宋体" w:cs="宋体"/>
          <w:spacing w:val="-2"/>
          <w:sz w:val="17"/>
          <w:szCs w:val="17"/>
        </w:rPr>
        <w:t>2.操作系统管理项目</w:t>
      </w:r>
    </w:p>
    <w:p w14:paraId="19F8CD7F">
      <w:pPr>
        <w:spacing w:before="77" w:line="302" w:lineRule="auto"/>
        <w:ind w:right="361" w:firstLine="359"/>
        <w:rPr>
          <w:rFonts w:ascii="宋体" w:hAnsi="宋体" w:eastAsia="宋体" w:cs="宋体"/>
          <w:sz w:val="17"/>
          <w:szCs w:val="17"/>
        </w:rPr>
      </w:pPr>
      <w:r>
        <w:rPr>
          <w:rFonts w:ascii="宋体" w:hAnsi="宋体" w:eastAsia="宋体" w:cs="宋体"/>
          <w:spacing w:val="1"/>
          <w:sz w:val="17"/>
          <w:szCs w:val="17"/>
        </w:rPr>
        <w:t>按照项目要求，完成文件操作任务、磁盘操作任务</w:t>
      </w:r>
      <w:r>
        <w:rPr>
          <w:rFonts w:ascii="宋体" w:hAnsi="宋体" w:eastAsia="宋体" w:cs="宋体"/>
          <w:spacing w:val="15"/>
          <w:sz w:val="17"/>
          <w:szCs w:val="17"/>
        </w:rPr>
        <w:t xml:space="preserve"> </w:t>
      </w:r>
      <w:r>
        <w:rPr>
          <w:rFonts w:ascii="宋体" w:hAnsi="宋体" w:eastAsia="宋体" w:cs="宋体"/>
          <w:spacing w:val="-3"/>
          <w:sz w:val="17"/>
          <w:szCs w:val="17"/>
        </w:rPr>
        <w:t>和系统管理与设置任务。</w:t>
      </w:r>
    </w:p>
    <w:p w14:paraId="017C394C">
      <w:pPr>
        <w:spacing w:before="25" w:line="219" w:lineRule="auto"/>
        <w:ind w:left="359"/>
        <w:rPr>
          <w:rFonts w:ascii="宋体" w:hAnsi="宋体" w:eastAsia="宋体" w:cs="宋体"/>
          <w:sz w:val="17"/>
          <w:szCs w:val="17"/>
        </w:rPr>
      </w:pPr>
      <w:r>
        <w:rPr>
          <w:rFonts w:ascii="宋体" w:hAnsi="宋体" w:eastAsia="宋体" w:cs="宋体"/>
          <w:spacing w:val="-2"/>
          <w:sz w:val="17"/>
          <w:szCs w:val="17"/>
        </w:rPr>
        <w:t>3.文字处理项目</w:t>
      </w:r>
    </w:p>
    <w:p w14:paraId="47F9A1CB">
      <w:pPr>
        <w:spacing w:before="87" w:line="313" w:lineRule="auto"/>
        <w:ind w:right="284" w:firstLine="359"/>
        <w:rPr>
          <w:rFonts w:ascii="宋体" w:hAnsi="宋体" w:eastAsia="宋体" w:cs="宋体"/>
          <w:sz w:val="17"/>
          <w:szCs w:val="17"/>
        </w:rPr>
      </w:pPr>
      <w:r>
        <w:rPr>
          <w:rFonts w:ascii="宋体" w:hAnsi="宋体" w:eastAsia="宋体" w:cs="宋体"/>
          <w:spacing w:val="-3"/>
          <w:sz w:val="17"/>
          <w:szCs w:val="17"/>
        </w:rPr>
        <w:t>按照项目要求，根据指定文稿，完成美化文档任务、</w:t>
      </w:r>
      <w:r>
        <w:rPr>
          <w:rFonts w:ascii="宋体" w:hAnsi="宋体" w:eastAsia="宋体" w:cs="宋体"/>
          <w:spacing w:val="13"/>
          <w:sz w:val="17"/>
          <w:szCs w:val="17"/>
        </w:rPr>
        <w:t xml:space="preserve"> </w:t>
      </w:r>
      <w:r>
        <w:rPr>
          <w:rFonts w:ascii="宋体" w:hAnsi="宋体" w:eastAsia="宋体" w:cs="宋体"/>
          <w:spacing w:val="2"/>
          <w:sz w:val="17"/>
          <w:szCs w:val="17"/>
        </w:rPr>
        <w:t>国文混排任务和</w:t>
      </w:r>
      <w:r>
        <w:rPr>
          <w:rFonts w:ascii="Times New Roman" w:hAnsi="Times New Roman" w:eastAsia="Times New Roman" w:cs="Times New Roman"/>
          <w:sz w:val="17"/>
          <w:szCs w:val="17"/>
        </w:rPr>
        <w:t>word</w:t>
      </w:r>
      <w:r>
        <w:rPr>
          <w:rFonts w:ascii="宋体" w:hAnsi="宋体" w:eastAsia="宋体" w:cs="宋体"/>
          <w:spacing w:val="2"/>
          <w:sz w:val="17"/>
          <w:szCs w:val="17"/>
        </w:rPr>
        <w:t>表格操作任务。</w:t>
      </w:r>
    </w:p>
    <w:p w14:paraId="620D2DB3">
      <w:pPr>
        <w:spacing w:before="5" w:line="219" w:lineRule="auto"/>
        <w:ind w:left="359"/>
        <w:rPr>
          <w:rFonts w:ascii="宋体" w:hAnsi="宋体" w:eastAsia="宋体" w:cs="宋体"/>
          <w:sz w:val="17"/>
          <w:szCs w:val="17"/>
        </w:rPr>
      </w:pPr>
      <w:r>
        <w:rPr>
          <w:rFonts w:ascii="宋体" w:hAnsi="宋体" w:eastAsia="宋体" w:cs="宋体"/>
          <w:sz w:val="17"/>
          <w:szCs w:val="17"/>
        </w:rPr>
        <w:t>4.电子表格项目</w:t>
      </w:r>
    </w:p>
    <w:p w14:paraId="6E371B0D">
      <w:pPr>
        <w:spacing w:before="87" w:line="313" w:lineRule="auto"/>
        <w:ind w:right="361" w:firstLine="359"/>
        <w:rPr>
          <w:rFonts w:ascii="宋体" w:hAnsi="宋体" w:eastAsia="宋体" w:cs="宋体"/>
          <w:sz w:val="17"/>
          <w:szCs w:val="17"/>
        </w:rPr>
      </w:pPr>
      <w:r>
        <w:rPr>
          <w:rFonts w:ascii="宋体" w:hAnsi="宋体" w:eastAsia="宋体" w:cs="宋体"/>
          <w:spacing w:val="1"/>
          <w:sz w:val="17"/>
          <w:szCs w:val="17"/>
        </w:rPr>
        <w:t>按照项目要求，根据指定电子表格，完成格式化表</w:t>
      </w:r>
      <w:r>
        <w:rPr>
          <w:rFonts w:ascii="宋体" w:hAnsi="宋体" w:eastAsia="宋体" w:cs="宋体"/>
          <w:spacing w:val="15"/>
          <w:sz w:val="17"/>
          <w:szCs w:val="17"/>
        </w:rPr>
        <w:t xml:space="preserve"> </w:t>
      </w:r>
      <w:r>
        <w:rPr>
          <w:rFonts w:ascii="宋体" w:hAnsi="宋体" w:eastAsia="宋体" w:cs="宋体"/>
          <w:spacing w:val="-3"/>
          <w:sz w:val="17"/>
          <w:szCs w:val="17"/>
        </w:rPr>
        <w:t>格任务和数据处理任务。</w:t>
      </w:r>
    </w:p>
    <w:p w14:paraId="7F15607D">
      <w:pPr>
        <w:spacing w:before="31" w:line="215" w:lineRule="auto"/>
        <w:ind w:left="359"/>
        <w:rPr>
          <w:rFonts w:ascii="宋体" w:hAnsi="宋体" w:eastAsia="宋体" w:cs="宋体"/>
          <w:sz w:val="17"/>
          <w:szCs w:val="17"/>
        </w:rPr>
      </w:pPr>
      <w:r>
        <w:rPr>
          <w:rFonts w:ascii="宋体" w:hAnsi="宋体" w:eastAsia="宋体" w:cs="宋体"/>
          <w:spacing w:val="-5"/>
          <w:sz w:val="17"/>
          <w:szCs w:val="17"/>
        </w:rPr>
        <w:t>5.Python结构化程序设计调试</w:t>
      </w:r>
    </w:p>
    <w:p w14:paraId="4D9CE375">
      <w:pPr>
        <w:spacing w:before="66" w:line="306" w:lineRule="auto"/>
        <w:ind w:right="363" w:firstLine="359"/>
        <w:rPr>
          <w:rFonts w:ascii="宋体" w:hAnsi="宋体" w:eastAsia="宋体" w:cs="宋体"/>
          <w:sz w:val="17"/>
          <w:szCs w:val="17"/>
        </w:rPr>
      </w:pPr>
      <w:r>
        <w:rPr>
          <w:rFonts w:ascii="宋体" w:hAnsi="宋体" w:eastAsia="宋体" w:cs="宋体"/>
          <w:spacing w:val="1"/>
          <w:sz w:val="17"/>
          <w:szCs w:val="17"/>
        </w:rPr>
        <w:t>按照项目要求，根据指定的程序文件，完成简单程</w:t>
      </w:r>
      <w:r>
        <w:rPr>
          <w:rFonts w:ascii="宋体" w:hAnsi="宋体" w:eastAsia="宋体" w:cs="宋体"/>
          <w:spacing w:val="13"/>
          <w:sz w:val="17"/>
          <w:szCs w:val="17"/>
        </w:rPr>
        <w:t xml:space="preserve"> </w:t>
      </w:r>
      <w:r>
        <w:rPr>
          <w:rFonts w:ascii="宋体" w:hAnsi="宋体" w:eastAsia="宋体" w:cs="宋体"/>
          <w:spacing w:val="9"/>
          <w:sz w:val="17"/>
          <w:szCs w:val="17"/>
        </w:rPr>
        <w:t>序调试任务、单模块程序调试任务和多模块程序调试</w:t>
      </w:r>
      <w:r>
        <w:rPr>
          <w:rFonts w:ascii="宋体" w:hAnsi="宋体" w:eastAsia="宋体" w:cs="宋体"/>
          <w:spacing w:val="18"/>
          <w:sz w:val="17"/>
          <w:szCs w:val="17"/>
        </w:rPr>
        <w:t xml:space="preserve"> </w:t>
      </w:r>
      <w:r>
        <w:rPr>
          <w:rFonts w:ascii="宋体" w:hAnsi="宋体" w:eastAsia="宋体" w:cs="宋体"/>
          <w:spacing w:val="1"/>
          <w:sz w:val="17"/>
          <w:szCs w:val="17"/>
        </w:rPr>
        <w:t>任务。</w:t>
      </w:r>
    </w:p>
    <w:p w14:paraId="6EF0E1D5">
      <w:pPr>
        <w:spacing w:before="25" w:line="219" w:lineRule="auto"/>
        <w:ind w:left="359"/>
        <w:rPr>
          <w:rFonts w:ascii="宋体" w:hAnsi="宋体" w:eastAsia="宋体" w:cs="宋体"/>
          <w:sz w:val="17"/>
          <w:szCs w:val="17"/>
        </w:rPr>
      </w:pPr>
      <w:r>
        <w:rPr>
          <w:rFonts w:ascii="宋体" w:hAnsi="宋体" w:eastAsia="宋体" w:cs="宋体"/>
          <w:spacing w:val="-2"/>
          <w:sz w:val="17"/>
          <w:szCs w:val="17"/>
        </w:rPr>
        <w:t>6.演示文稿项目</w:t>
      </w:r>
    </w:p>
    <w:p w14:paraId="5383C0C8">
      <w:pPr>
        <w:spacing w:before="88" w:line="255" w:lineRule="auto"/>
        <w:ind w:right="356" w:firstLine="359"/>
        <w:rPr>
          <w:rFonts w:ascii="宋体" w:hAnsi="宋体" w:eastAsia="宋体" w:cs="宋体"/>
          <w:sz w:val="17"/>
          <w:szCs w:val="17"/>
        </w:rPr>
      </w:pPr>
      <w:r>
        <w:rPr>
          <w:rFonts w:ascii="宋体" w:hAnsi="宋体" w:eastAsia="宋体" w:cs="宋体"/>
          <w:spacing w:val="2"/>
          <w:sz w:val="17"/>
          <w:szCs w:val="17"/>
        </w:rPr>
        <w:t>按照项目要求，根据指定演示文稿，完成幻灯</w:t>
      </w:r>
      <w:r>
        <w:rPr>
          <w:rFonts w:ascii="宋体" w:hAnsi="宋体" w:eastAsia="宋体" w:cs="宋体"/>
          <w:spacing w:val="1"/>
          <w:sz w:val="17"/>
          <w:szCs w:val="17"/>
        </w:rPr>
        <w:t>片的</w:t>
      </w:r>
      <w:r>
        <w:rPr>
          <w:rFonts w:ascii="宋体" w:hAnsi="宋体" w:eastAsia="宋体" w:cs="宋体"/>
          <w:sz w:val="17"/>
          <w:szCs w:val="17"/>
        </w:rPr>
        <w:t xml:space="preserve"> </w:t>
      </w:r>
      <w:r>
        <w:rPr>
          <w:rFonts w:ascii="宋体" w:hAnsi="宋体" w:eastAsia="宋体" w:cs="宋体"/>
          <w:spacing w:val="1"/>
          <w:sz w:val="17"/>
          <w:szCs w:val="17"/>
        </w:rPr>
        <w:t>编辑、格式/版式、动画、切换和放映等操作任务。</w:t>
      </w:r>
    </w:p>
    <w:p w14:paraId="2DB34620">
      <w:pPr>
        <w:pStyle w:val="2"/>
        <w:spacing w:line="14" w:lineRule="auto"/>
        <w:rPr>
          <w:sz w:val="2"/>
        </w:rPr>
      </w:pPr>
      <w:r>
        <w:rPr>
          <w:sz w:val="2"/>
          <w:szCs w:val="2"/>
        </w:rPr>
        <w:br w:type="column"/>
      </w:r>
    </w:p>
    <w:p w14:paraId="477547FE">
      <w:pPr>
        <w:spacing w:before="45" w:line="212" w:lineRule="auto"/>
        <w:ind w:left="349"/>
        <w:rPr>
          <w:rFonts w:ascii="宋体" w:hAnsi="宋体" w:eastAsia="宋体" w:cs="宋体"/>
          <w:sz w:val="17"/>
          <w:szCs w:val="17"/>
        </w:rPr>
      </w:pPr>
      <w:r>
        <w:rPr>
          <w:rFonts w:ascii="Times New Roman" w:hAnsi="Times New Roman" w:eastAsia="Times New Roman" w:cs="Times New Roman"/>
          <w:sz w:val="17"/>
          <w:szCs w:val="17"/>
        </w:rPr>
        <w:t>7.Python</w:t>
      </w:r>
      <w:r>
        <w:rPr>
          <w:rFonts w:ascii="宋体" w:hAnsi="宋体" w:eastAsia="宋体" w:cs="宋体"/>
          <w:sz w:val="17"/>
          <w:szCs w:val="17"/>
        </w:rPr>
        <w:t>面向对象程序设计调试</w:t>
      </w:r>
    </w:p>
    <w:p w14:paraId="6233760C">
      <w:pPr>
        <w:spacing w:before="93" w:line="219" w:lineRule="auto"/>
        <w:ind w:left="349"/>
        <w:rPr>
          <w:rFonts w:ascii="宋体" w:hAnsi="宋体" w:eastAsia="宋体" w:cs="宋体"/>
          <w:sz w:val="17"/>
          <w:szCs w:val="17"/>
        </w:rPr>
      </w:pPr>
      <w:r>
        <w:rPr>
          <w:rFonts w:ascii="宋体" w:hAnsi="宋体" w:eastAsia="宋体" w:cs="宋体"/>
          <w:spacing w:val="2"/>
          <w:sz w:val="17"/>
          <w:szCs w:val="17"/>
        </w:rPr>
        <w:t>按照项目要求，实现简单</w:t>
      </w:r>
      <w:r>
        <w:rPr>
          <w:rFonts w:ascii="Times New Roman" w:hAnsi="Times New Roman" w:eastAsia="Times New Roman" w:cs="Times New Roman"/>
          <w:sz w:val="17"/>
          <w:szCs w:val="17"/>
        </w:rPr>
        <w:t>GUI</w:t>
      </w:r>
      <w:r>
        <w:rPr>
          <w:rFonts w:ascii="宋体" w:hAnsi="宋体" w:eastAsia="宋体" w:cs="宋体"/>
          <w:spacing w:val="2"/>
          <w:sz w:val="17"/>
          <w:szCs w:val="17"/>
        </w:rPr>
        <w:t>界面的设计与调试。</w:t>
      </w:r>
    </w:p>
    <w:p w14:paraId="4CAC7AB3">
      <w:pPr>
        <w:spacing w:before="60" w:line="212" w:lineRule="auto"/>
        <w:ind w:left="349"/>
        <w:rPr>
          <w:rFonts w:ascii="宋体" w:hAnsi="宋体" w:eastAsia="宋体" w:cs="宋体"/>
          <w:sz w:val="17"/>
          <w:szCs w:val="17"/>
        </w:rPr>
      </w:pPr>
      <w:r>
        <w:rPr>
          <w:rFonts w:ascii="Times New Roman" w:hAnsi="Times New Roman" w:eastAsia="Times New Roman" w:cs="Times New Roman"/>
          <w:spacing w:val="4"/>
          <w:sz w:val="17"/>
          <w:szCs w:val="17"/>
        </w:rPr>
        <w:t xml:space="preserve">8. </w:t>
      </w:r>
      <w:r>
        <w:rPr>
          <w:rFonts w:ascii="宋体" w:hAnsi="宋体" w:eastAsia="宋体" w:cs="宋体"/>
          <w:spacing w:val="4"/>
          <w:sz w:val="17"/>
          <w:szCs w:val="17"/>
        </w:rPr>
        <w:t>图像处理项目</w:t>
      </w:r>
      <w:r>
        <w:rPr>
          <w:rFonts w:ascii="Times New Roman" w:hAnsi="Times New Roman" w:eastAsia="Times New Roman" w:cs="Times New Roman"/>
          <w:spacing w:val="4"/>
          <w:sz w:val="17"/>
          <w:szCs w:val="17"/>
        </w:rPr>
        <w:t>(</w:t>
      </w:r>
      <w:r>
        <w:rPr>
          <w:rFonts w:ascii="Times New Roman" w:hAnsi="Times New Roman" w:eastAsia="Times New Roman" w:cs="Times New Roman"/>
          <w:sz w:val="17"/>
          <w:szCs w:val="17"/>
        </w:rPr>
        <w:t>PhotoshopCC</w:t>
      </w:r>
      <w:r>
        <w:rPr>
          <w:rFonts w:ascii="Times New Roman" w:hAnsi="Times New Roman" w:eastAsia="Times New Roman" w:cs="Times New Roman"/>
          <w:spacing w:val="4"/>
          <w:sz w:val="17"/>
          <w:szCs w:val="17"/>
        </w:rPr>
        <w:t>2018</w:t>
      </w:r>
      <w:r>
        <w:rPr>
          <w:rFonts w:ascii="Times New Roman" w:hAnsi="Times New Roman" w:eastAsia="Times New Roman" w:cs="Times New Roman"/>
          <w:spacing w:val="25"/>
          <w:sz w:val="17"/>
          <w:szCs w:val="17"/>
        </w:rPr>
        <w:t xml:space="preserve"> </w:t>
      </w:r>
      <w:r>
        <w:rPr>
          <w:rFonts w:ascii="宋体" w:hAnsi="宋体" w:eastAsia="宋体" w:cs="宋体"/>
          <w:spacing w:val="4"/>
          <w:sz w:val="17"/>
          <w:szCs w:val="17"/>
        </w:rPr>
        <w:t>中文版)</w:t>
      </w:r>
    </w:p>
    <w:p w14:paraId="588CCCB4">
      <w:pPr>
        <w:spacing w:before="113" w:line="302" w:lineRule="auto"/>
        <w:ind w:right="73" w:firstLine="349"/>
        <w:rPr>
          <w:rFonts w:ascii="宋体" w:hAnsi="宋体" w:eastAsia="宋体" w:cs="宋体"/>
          <w:sz w:val="17"/>
          <w:szCs w:val="17"/>
        </w:rPr>
      </w:pPr>
      <w:r>
        <w:rPr>
          <w:rFonts w:ascii="宋体" w:hAnsi="宋体" w:eastAsia="宋体" w:cs="宋体"/>
          <w:spacing w:val="1"/>
          <w:sz w:val="17"/>
          <w:szCs w:val="17"/>
        </w:rPr>
        <w:t>按照项目要求，根据指定图像素材，完成抠图操作</w:t>
      </w:r>
      <w:r>
        <w:rPr>
          <w:rFonts w:ascii="宋体" w:hAnsi="宋体" w:eastAsia="宋体" w:cs="宋体"/>
          <w:spacing w:val="18"/>
          <w:sz w:val="17"/>
          <w:szCs w:val="17"/>
        </w:rPr>
        <w:t xml:space="preserve"> </w:t>
      </w:r>
      <w:r>
        <w:rPr>
          <w:rFonts w:ascii="宋体" w:hAnsi="宋体" w:eastAsia="宋体" w:cs="宋体"/>
          <w:spacing w:val="-2"/>
          <w:sz w:val="17"/>
          <w:szCs w:val="17"/>
        </w:rPr>
        <w:t>任务、修图操作任务和图像特效操作任务。</w:t>
      </w:r>
    </w:p>
    <w:p w14:paraId="7B18E8F3">
      <w:pPr>
        <w:spacing w:before="25" w:line="220" w:lineRule="auto"/>
        <w:ind w:left="349"/>
        <w:rPr>
          <w:rFonts w:ascii="宋体" w:hAnsi="宋体" w:eastAsia="宋体" w:cs="宋体"/>
          <w:sz w:val="17"/>
          <w:szCs w:val="17"/>
        </w:rPr>
      </w:pPr>
      <w:r>
        <w:rPr>
          <w:rFonts w:ascii="宋体" w:hAnsi="宋体" w:eastAsia="宋体" w:cs="宋体"/>
          <w:spacing w:val="-1"/>
          <w:sz w:val="17"/>
          <w:szCs w:val="17"/>
        </w:rPr>
        <w:t>9.网络基础应用项目</w:t>
      </w:r>
    </w:p>
    <w:p w14:paraId="473124ED">
      <w:pPr>
        <w:spacing w:before="87" w:line="312" w:lineRule="auto"/>
        <w:ind w:right="57" w:firstLine="349"/>
        <w:rPr>
          <w:rFonts w:ascii="宋体" w:hAnsi="宋体" w:eastAsia="宋体" w:cs="宋体"/>
          <w:sz w:val="17"/>
          <w:szCs w:val="17"/>
        </w:rPr>
      </w:pPr>
      <w:r>
        <w:rPr>
          <w:rFonts w:ascii="宋体" w:hAnsi="宋体" w:eastAsia="宋体" w:cs="宋体"/>
          <w:spacing w:val="2"/>
          <w:sz w:val="17"/>
          <w:szCs w:val="17"/>
        </w:rPr>
        <w:t>按照项目要求，完成浏览器操作任务、网络工具软</w:t>
      </w:r>
      <w:r>
        <w:rPr>
          <w:rFonts w:ascii="宋体" w:hAnsi="宋体" w:eastAsia="宋体" w:cs="宋体"/>
          <w:spacing w:val="12"/>
          <w:sz w:val="17"/>
          <w:szCs w:val="17"/>
        </w:rPr>
        <w:t xml:space="preserve"> </w:t>
      </w:r>
      <w:r>
        <w:rPr>
          <w:rFonts w:ascii="宋体" w:hAnsi="宋体" w:eastAsia="宋体" w:cs="宋体"/>
          <w:spacing w:val="-2"/>
          <w:sz w:val="17"/>
          <w:szCs w:val="17"/>
        </w:rPr>
        <w:t>件安装与应用任务和网络环境配置任务。</w:t>
      </w:r>
    </w:p>
    <w:p w14:paraId="22ADD0DA">
      <w:pPr>
        <w:spacing w:before="5" w:line="219" w:lineRule="auto"/>
        <w:ind w:left="349"/>
        <w:rPr>
          <w:rFonts w:ascii="宋体" w:hAnsi="宋体" w:eastAsia="宋体" w:cs="宋体"/>
          <w:sz w:val="17"/>
          <w:szCs w:val="17"/>
        </w:rPr>
      </w:pPr>
      <w:r>
        <w:rPr>
          <w:rFonts w:ascii="宋体" w:hAnsi="宋体" w:eastAsia="宋体" w:cs="宋体"/>
          <w:spacing w:val="-1"/>
          <w:sz w:val="17"/>
          <w:szCs w:val="17"/>
        </w:rPr>
        <w:t>10.网络服务器安装配置项目</w:t>
      </w:r>
    </w:p>
    <w:p w14:paraId="7A882256">
      <w:pPr>
        <w:spacing w:before="87" w:line="305" w:lineRule="auto"/>
        <w:ind w:right="100" w:firstLine="349"/>
        <w:rPr>
          <w:rFonts w:ascii="宋体" w:hAnsi="宋体" w:eastAsia="宋体" w:cs="宋体"/>
          <w:sz w:val="17"/>
          <w:szCs w:val="17"/>
        </w:rPr>
      </w:pPr>
      <w:r>
        <w:rPr>
          <w:rFonts w:ascii="宋体" w:hAnsi="宋体" w:eastAsia="宋体" w:cs="宋体"/>
          <w:sz w:val="17"/>
          <w:szCs w:val="17"/>
        </w:rPr>
        <w:t>按照项目要求，完成某一网络服务器的安装任务、</w:t>
      </w:r>
      <w:r>
        <w:rPr>
          <w:rFonts w:ascii="宋体" w:hAnsi="宋体" w:eastAsia="宋体" w:cs="宋体"/>
          <w:spacing w:val="13"/>
          <w:sz w:val="17"/>
          <w:szCs w:val="17"/>
        </w:rPr>
        <w:t xml:space="preserve"> </w:t>
      </w:r>
      <w:r>
        <w:rPr>
          <w:rFonts w:ascii="宋体" w:hAnsi="宋体" w:eastAsia="宋体" w:cs="宋体"/>
          <w:spacing w:val="-2"/>
          <w:sz w:val="17"/>
          <w:szCs w:val="17"/>
        </w:rPr>
        <w:t>配置任务和调试任务，实现对此网络服务器的访问。</w:t>
      </w:r>
    </w:p>
    <w:p w14:paraId="2B2C1CE3">
      <w:pPr>
        <w:spacing w:line="212" w:lineRule="auto"/>
        <w:ind w:left="349"/>
        <w:rPr>
          <w:rFonts w:ascii="宋体" w:hAnsi="宋体" w:eastAsia="宋体" w:cs="宋体"/>
          <w:sz w:val="17"/>
          <w:szCs w:val="17"/>
        </w:rPr>
      </w:pPr>
      <w:r>
        <w:rPr>
          <w:rFonts w:ascii="Times New Roman" w:hAnsi="Times New Roman" w:eastAsia="Times New Roman" w:cs="Times New Roman"/>
          <w:spacing w:val="4"/>
          <w:sz w:val="17"/>
          <w:szCs w:val="17"/>
        </w:rPr>
        <w:t xml:space="preserve">11. </w:t>
      </w:r>
      <w:r>
        <w:rPr>
          <w:rFonts w:ascii="宋体" w:hAnsi="宋体" w:eastAsia="宋体" w:cs="宋体"/>
          <w:spacing w:val="4"/>
          <w:sz w:val="17"/>
          <w:szCs w:val="17"/>
        </w:rPr>
        <w:t>网页制作项目</w:t>
      </w:r>
      <w:r>
        <w:rPr>
          <w:rFonts w:ascii="宋体" w:hAnsi="宋体" w:eastAsia="宋体" w:cs="宋体"/>
          <w:spacing w:val="-32"/>
          <w:sz w:val="17"/>
          <w:szCs w:val="17"/>
        </w:rPr>
        <w:t xml:space="preserve"> </w:t>
      </w:r>
      <w:r>
        <w:rPr>
          <w:rFonts w:ascii="Times New Roman" w:hAnsi="Times New Roman" w:eastAsia="Times New Roman" w:cs="Times New Roman"/>
          <w:spacing w:val="4"/>
          <w:sz w:val="17"/>
          <w:szCs w:val="17"/>
        </w:rPr>
        <w:t>(</w:t>
      </w:r>
      <w:r>
        <w:rPr>
          <w:rFonts w:ascii="Times New Roman" w:hAnsi="Times New Roman" w:eastAsia="Times New Roman" w:cs="Times New Roman"/>
          <w:sz w:val="17"/>
          <w:szCs w:val="17"/>
        </w:rPr>
        <w:t>DreamweaverCC</w:t>
      </w:r>
      <w:r>
        <w:rPr>
          <w:rFonts w:ascii="Times New Roman" w:hAnsi="Times New Roman" w:eastAsia="Times New Roman" w:cs="Times New Roman"/>
          <w:spacing w:val="4"/>
          <w:sz w:val="17"/>
          <w:szCs w:val="17"/>
        </w:rPr>
        <w:t>2018</w:t>
      </w:r>
      <w:r>
        <w:rPr>
          <w:rFonts w:ascii="宋体" w:hAnsi="宋体" w:eastAsia="宋体" w:cs="宋体"/>
          <w:spacing w:val="4"/>
          <w:sz w:val="17"/>
          <w:szCs w:val="17"/>
        </w:rPr>
        <w:t>中文版)</w:t>
      </w:r>
    </w:p>
    <w:p w14:paraId="6A989F50">
      <w:pPr>
        <w:spacing w:before="114" w:line="312" w:lineRule="auto"/>
        <w:ind w:right="20" w:firstLine="349"/>
        <w:rPr>
          <w:rFonts w:ascii="宋体" w:hAnsi="宋体" w:eastAsia="宋体" w:cs="宋体"/>
          <w:sz w:val="17"/>
          <w:szCs w:val="17"/>
        </w:rPr>
      </w:pPr>
      <w:r>
        <w:rPr>
          <w:rFonts w:ascii="宋体" w:hAnsi="宋体" w:eastAsia="宋体" w:cs="宋体"/>
          <w:spacing w:val="-4"/>
          <w:sz w:val="17"/>
          <w:szCs w:val="17"/>
        </w:rPr>
        <w:t>按照项目要求，根据指定素材，完成网站建设任务、</w:t>
      </w:r>
      <w:r>
        <w:rPr>
          <w:rFonts w:ascii="宋体" w:hAnsi="宋体" w:eastAsia="宋体" w:cs="宋体"/>
          <w:spacing w:val="15"/>
          <w:sz w:val="17"/>
          <w:szCs w:val="17"/>
        </w:rPr>
        <w:t xml:space="preserve"> </w:t>
      </w:r>
      <w:r>
        <w:rPr>
          <w:rFonts w:ascii="宋体" w:hAnsi="宋体" w:eastAsia="宋体" w:cs="宋体"/>
          <w:spacing w:val="-3"/>
          <w:sz w:val="17"/>
          <w:szCs w:val="17"/>
        </w:rPr>
        <w:t>网页制作任务和网站发布任务。</w:t>
      </w:r>
    </w:p>
    <w:p w14:paraId="41F5D59A">
      <w:pPr>
        <w:spacing w:before="15" w:line="220" w:lineRule="auto"/>
        <w:ind w:left="3"/>
        <w:rPr>
          <w:rFonts w:ascii="宋体" w:hAnsi="宋体" w:eastAsia="宋体" w:cs="宋体"/>
          <w:sz w:val="22"/>
          <w:szCs w:val="22"/>
        </w:rPr>
      </w:pPr>
      <w:r>
        <w:rPr>
          <w:rFonts w:ascii="宋体" w:hAnsi="宋体" w:eastAsia="宋体" w:cs="宋体"/>
          <w:b/>
          <w:bCs/>
          <w:spacing w:val="4"/>
          <w:sz w:val="22"/>
          <w:szCs w:val="22"/>
        </w:rPr>
        <w:t>六、测评评分细则</w:t>
      </w:r>
    </w:p>
    <w:p w14:paraId="55C0E878">
      <w:pPr>
        <w:spacing w:before="99" w:line="219" w:lineRule="auto"/>
        <w:ind w:left="349"/>
        <w:rPr>
          <w:rFonts w:ascii="宋体" w:hAnsi="宋体" w:eastAsia="宋体" w:cs="宋体"/>
          <w:sz w:val="17"/>
          <w:szCs w:val="17"/>
        </w:rPr>
      </w:pPr>
      <w:r>
        <w:rPr>
          <w:rFonts w:ascii="宋体" w:hAnsi="宋体" w:eastAsia="宋体" w:cs="宋体"/>
          <w:spacing w:val="-4"/>
          <w:sz w:val="17"/>
          <w:szCs w:val="17"/>
        </w:rPr>
        <w:t>1.安全与职业素养</w:t>
      </w:r>
    </w:p>
    <w:p w14:paraId="08AFDA3D">
      <w:pPr>
        <w:spacing w:before="78" w:line="312" w:lineRule="auto"/>
        <w:ind w:right="79" w:firstLine="349"/>
        <w:rPr>
          <w:rFonts w:ascii="宋体" w:hAnsi="宋体" w:eastAsia="宋体" w:cs="宋体"/>
          <w:sz w:val="17"/>
          <w:szCs w:val="17"/>
        </w:rPr>
      </w:pPr>
      <w:r>
        <w:rPr>
          <w:rFonts w:ascii="宋体" w:hAnsi="宋体" w:eastAsia="宋体" w:cs="宋体"/>
          <w:spacing w:val="9"/>
          <w:sz w:val="17"/>
          <w:szCs w:val="17"/>
        </w:rPr>
        <w:t>在技能测评的同时，考察考生的安全意识和职业</w:t>
      </w:r>
      <w:r>
        <w:rPr>
          <w:rFonts w:ascii="宋体" w:hAnsi="宋体" w:eastAsia="宋体" w:cs="宋体"/>
          <w:spacing w:val="16"/>
          <w:sz w:val="17"/>
          <w:szCs w:val="17"/>
        </w:rPr>
        <w:t xml:space="preserve"> </w:t>
      </w:r>
      <w:r>
        <w:rPr>
          <w:rFonts w:ascii="宋体" w:hAnsi="宋体" w:eastAsia="宋体" w:cs="宋体"/>
          <w:spacing w:val="-8"/>
          <w:sz w:val="17"/>
          <w:szCs w:val="17"/>
        </w:rPr>
        <w:t>素养。</w:t>
      </w:r>
    </w:p>
    <w:p w14:paraId="7CEA45D3">
      <w:pPr>
        <w:spacing w:before="5" w:line="272" w:lineRule="auto"/>
        <w:ind w:right="75" w:firstLine="409"/>
        <w:rPr>
          <w:rFonts w:ascii="宋体" w:hAnsi="宋体" w:eastAsia="宋体" w:cs="宋体"/>
          <w:sz w:val="17"/>
          <w:szCs w:val="17"/>
        </w:rPr>
      </w:pPr>
      <w:r>
        <w:rPr>
          <w:rFonts w:ascii="宋体" w:hAnsi="宋体" w:eastAsia="宋体" w:cs="宋体"/>
          <w:spacing w:val="10"/>
          <w:sz w:val="17"/>
          <w:szCs w:val="17"/>
        </w:rPr>
        <w:t>(1)严谨的实践态度、实事求是的实践作风和文</w:t>
      </w:r>
      <w:r>
        <w:rPr>
          <w:rFonts w:ascii="宋体" w:hAnsi="宋体" w:eastAsia="宋体" w:cs="宋体"/>
          <w:spacing w:val="13"/>
          <w:sz w:val="17"/>
          <w:szCs w:val="17"/>
        </w:rPr>
        <w:t xml:space="preserve"> </w:t>
      </w:r>
      <w:r>
        <w:rPr>
          <w:rFonts w:ascii="宋体" w:hAnsi="宋体" w:eastAsia="宋体" w:cs="宋体"/>
          <w:spacing w:val="-2"/>
          <w:sz w:val="17"/>
          <w:szCs w:val="17"/>
        </w:rPr>
        <w:t>明安全的实践习惯。</w:t>
      </w:r>
    </w:p>
    <w:p w14:paraId="1DE9538E">
      <w:pPr>
        <w:spacing w:before="79" w:line="219" w:lineRule="auto"/>
        <w:ind w:left="409"/>
        <w:rPr>
          <w:rFonts w:ascii="宋体" w:hAnsi="宋体" w:eastAsia="宋体" w:cs="宋体"/>
          <w:sz w:val="17"/>
          <w:szCs w:val="17"/>
        </w:rPr>
      </w:pPr>
      <w:r>
        <w:rPr>
          <w:rFonts w:ascii="宋体" w:hAnsi="宋体" w:eastAsia="宋体" w:cs="宋体"/>
          <w:spacing w:val="5"/>
          <w:sz w:val="17"/>
          <w:szCs w:val="17"/>
        </w:rPr>
        <w:t>(2)遵守安全操作规范，遵守考场纪律。</w:t>
      </w:r>
    </w:p>
    <w:p w14:paraId="40F2FEA4">
      <w:pPr>
        <w:spacing w:before="99" w:line="219" w:lineRule="auto"/>
        <w:jc w:val="right"/>
        <w:rPr>
          <w:rFonts w:ascii="宋体" w:hAnsi="宋体" w:eastAsia="宋体" w:cs="宋体"/>
          <w:sz w:val="17"/>
          <w:szCs w:val="17"/>
        </w:rPr>
      </w:pPr>
      <w:r>
        <w:rPr>
          <w:rFonts w:ascii="宋体" w:hAnsi="宋体" w:eastAsia="宋体" w:cs="宋体"/>
          <w:spacing w:val="-2"/>
          <w:sz w:val="17"/>
          <w:szCs w:val="17"/>
        </w:rPr>
        <w:t>(3)操作准确，结果正确，严格按照考核技术要求。</w:t>
      </w:r>
    </w:p>
    <w:p w14:paraId="50CD90AB">
      <w:pPr>
        <w:spacing w:before="78" w:line="267" w:lineRule="auto"/>
        <w:ind w:right="76" w:firstLine="409"/>
        <w:rPr>
          <w:rFonts w:ascii="宋体" w:hAnsi="宋体" w:eastAsia="宋体" w:cs="宋体"/>
          <w:sz w:val="17"/>
          <w:szCs w:val="17"/>
        </w:rPr>
      </w:pPr>
      <w:r>
        <w:rPr>
          <w:rFonts w:ascii="宋体" w:hAnsi="宋体" w:eastAsia="宋体" w:cs="宋体"/>
          <w:spacing w:val="10"/>
          <w:sz w:val="17"/>
          <w:szCs w:val="17"/>
        </w:rPr>
        <w:t>(4)遵循“5</w:t>
      </w:r>
      <w:r>
        <w:rPr>
          <w:rFonts w:ascii="Times New Roman" w:hAnsi="Times New Roman" w:eastAsia="Times New Roman" w:cs="Times New Roman"/>
          <w:spacing w:val="10"/>
          <w:sz w:val="17"/>
          <w:szCs w:val="17"/>
        </w:rPr>
        <w:t>S”</w:t>
      </w:r>
      <w:r>
        <w:rPr>
          <w:rFonts w:ascii="Times New Roman" w:hAnsi="Times New Roman" w:eastAsia="Times New Roman" w:cs="Times New Roman"/>
          <w:spacing w:val="1"/>
          <w:sz w:val="17"/>
          <w:szCs w:val="17"/>
        </w:rPr>
        <w:t xml:space="preserve">  </w:t>
      </w:r>
      <w:r>
        <w:rPr>
          <w:rFonts w:ascii="宋体" w:hAnsi="宋体" w:eastAsia="宋体" w:cs="宋体"/>
          <w:spacing w:val="10"/>
          <w:sz w:val="17"/>
          <w:szCs w:val="17"/>
        </w:rPr>
        <w:t>原则，即整理、整顿、清扫、清</w:t>
      </w:r>
      <w:r>
        <w:rPr>
          <w:rFonts w:ascii="宋体" w:hAnsi="宋体" w:eastAsia="宋体" w:cs="宋体"/>
          <w:sz w:val="17"/>
          <w:szCs w:val="17"/>
        </w:rPr>
        <w:t xml:space="preserve"> </w:t>
      </w:r>
      <w:r>
        <w:rPr>
          <w:rFonts w:ascii="宋体" w:hAnsi="宋体" w:eastAsia="宋体" w:cs="宋体"/>
          <w:spacing w:val="-6"/>
          <w:sz w:val="17"/>
          <w:szCs w:val="17"/>
        </w:rPr>
        <w:t>洁和素养。</w:t>
      </w:r>
    </w:p>
    <w:p w14:paraId="57E59272">
      <w:pPr>
        <w:spacing w:before="89" w:line="220" w:lineRule="auto"/>
        <w:ind w:left="349"/>
        <w:rPr>
          <w:rFonts w:ascii="宋体" w:hAnsi="宋体" w:eastAsia="宋体" w:cs="宋体"/>
          <w:sz w:val="17"/>
          <w:szCs w:val="17"/>
        </w:rPr>
      </w:pPr>
      <w:r>
        <w:rPr>
          <w:rFonts w:ascii="宋体" w:hAnsi="宋体" w:eastAsia="宋体" w:cs="宋体"/>
          <w:spacing w:val="-5"/>
          <w:sz w:val="17"/>
          <w:szCs w:val="17"/>
        </w:rPr>
        <w:t>2.评分要点。</w:t>
      </w:r>
    </w:p>
    <w:p w14:paraId="72EFA1F4">
      <w:pPr>
        <w:spacing w:before="97" w:line="219" w:lineRule="auto"/>
        <w:ind w:left="409"/>
        <w:rPr>
          <w:rFonts w:ascii="宋体" w:hAnsi="宋体" w:eastAsia="宋体" w:cs="宋体"/>
          <w:sz w:val="17"/>
          <w:szCs w:val="17"/>
        </w:rPr>
      </w:pPr>
      <w:r>
        <w:rPr>
          <w:rFonts w:ascii="宋体" w:hAnsi="宋体" w:eastAsia="宋体" w:cs="宋体"/>
          <w:spacing w:val="12"/>
          <w:sz w:val="17"/>
          <w:szCs w:val="17"/>
        </w:rPr>
        <w:t>(1)考核总分：250分</w:t>
      </w:r>
    </w:p>
    <w:p w14:paraId="260AE6BF">
      <w:pPr>
        <w:spacing w:before="78" w:line="219" w:lineRule="auto"/>
        <w:ind w:left="409"/>
        <w:rPr>
          <w:rFonts w:ascii="宋体" w:hAnsi="宋体" w:eastAsia="宋体" w:cs="宋体"/>
          <w:sz w:val="17"/>
          <w:szCs w:val="17"/>
        </w:rPr>
      </w:pPr>
      <w:r>
        <w:rPr>
          <w:rFonts w:ascii="宋体" w:hAnsi="宋体" w:eastAsia="宋体" w:cs="宋体"/>
          <w:spacing w:val="12"/>
          <w:sz w:val="17"/>
          <w:szCs w:val="17"/>
        </w:rPr>
        <w:t>(2)分值安排。</w:t>
      </w:r>
    </w:p>
    <w:p w14:paraId="2445464C">
      <w:pPr>
        <w:spacing w:line="86" w:lineRule="exact"/>
      </w:pPr>
    </w:p>
    <w:tbl>
      <w:tblPr>
        <w:tblStyle w:val="5"/>
        <w:tblW w:w="4130" w:type="dxa"/>
        <w:tblInd w:w="1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454"/>
        <w:gridCol w:w="579"/>
        <w:gridCol w:w="479"/>
        <w:gridCol w:w="489"/>
        <w:gridCol w:w="479"/>
        <w:gridCol w:w="1047"/>
        <w:gridCol w:w="603"/>
      </w:tblGrid>
      <w:tr w14:paraId="41933D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2" w:hRule="atLeast"/>
        </w:trPr>
        <w:tc>
          <w:tcPr>
            <w:tcW w:w="454" w:type="dxa"/>
            <w:vAlign w:val="top"/>
          </w:tcPr>
          <w:p w14:paraId="7D257996">
            <w:pPr>
              <w:pStyle w:val="6"/>
              <w:spacing w:before="99" w:line="219" w:lineRule="auto"/>
              <w:ind w:left="37"/>
              <w:rPr>
                <w:sz w:val="18"/>
                <w:szCs w:val="18"/>
              </w:rPr>
            </w:pPr>
            <w:r>
              <w:rPr>
                <w:b/>
                <w:bCs/>
                <w:spacing w:val="-4"/>
                <w:sz w:val="18"/>
                <w:szCs w:val="18"/>
              </w:rPr>
              <w:t>模块</w:t>
            </w:r>
          </w:p>
        </w:tc>
        <w:tc>
          <w:tcPr>
            <w:tcW w:w="3073" w:type="dxa"/>
            <w:gridSpan w:val="5"/>
            <w:vAlign w:val="top"/>
          </w:tcPr>
          <w:p w14:paraId="5D97FB1F">
            <w:pPr>
              <w:pStyle w:val="6"/>
              <w:spacing w:before="105" w:line="224" w:lineRule="auto"/>
              <w:ind w:left="1373"/>
              <w:rPr>
                <w:sz w:val="18"/>
                <w:szCs w:val="18"/>
              </w:rPr>
            </w:pPr>
            <w:r>
              <w:rPr>
                <w:b/>
                <w:bCs/>
                <w:spacing w:val="-5"/>
                <w:sz w:val="18"/>
                <w:szCs w:val="18"/>
              </w:rPr>
              <w:t>必选</w:t>
            </w:r>
          </w:p>
        </w:tc>
        <w:tc>
          <w:tcPr>
            <w:tcW w:w="603" w:type="dxa"/>
            <w:vAlign w:val="top"/>
          </w:tcPr>
          <w:p w14:paraId="3FD3AE03">
            <w:pPr>
              <w:pStyle w:val="6"/>
              <w:spacing w:before="103" w:line="223" w:lineRule="auto"/>
              <w:ind w:left="120"/>
              <w:rPr>
                <w:sz w:val="18"/>
                <w:szCs w:val="18"/>
              </w:rPr>
            </w:pPr>
            <w:r>
              <w:rPr>
                <w:b/>
                <w:bCs/>
                <w:spacing w:val="-5"/>
                <w:sz w:val="18"/>
                <w:szCs w:val="18"/>
              </w:rPr>
              <w:t>可选</w:t>
            </w:r>
          </w:p>
        </w:tc>
      </w:tr>
      <w:tr w14:paraId="3FF480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05" w:hRule="atLeast"/>
        </w:trPr>
        <w:tc>
          <w:tcPr>
            <w:tcW w:w="454" w:type="dxa"/>
            <w:vAlign w:val="top"/>
          </w:tcPr>
          <w:p w14:paraId="35EA92D5">
            <w:pPr>
              <w:spacing w:line="260" w:lineRule="auto"/>
              <w:rPr>
                <w:rFonts w:ascii="Arial"/>
                <w:sz w:val="21"/>
              </w:rPr>
            </w:pPr>
          </w:p>
          <w:p w14:paraId="570367BC">
            <w:pPr>
              <w:pStyle w:val="6"/>
              <w:spacing w:before="59" w:line="220" w:lineRule="auto"/>
              <w:jc w:val="right"/>
              <w:rPr>
                <w:sz w:val="18"/>
                <w:szCs w:val="18"/>
              </w:rPr>
            </w:pPr>
            <w:r>
              <w:rPr>
                <w:spacing w:val="-26"/>
                <w:sz w:val="18"/>
                <w:szCs w:val="18"/>
              </w:rPr>
              <w:t>项</w:t>
            </w:r>
            <w:r>
              <w:rPr>
                <w:spacing w:val="-5"/>
                <w:sz w:val="18"/>
                <w:szCs w:val="18"/>
              </w:rPr>
              <w:t xml:space="preserve"> </w:t>
            </w:r>
            <w:r>
              <w:rPr>
                <w:spacing w:val="-26"/>
                <w:sz w:val="18"/>
                <w:szCs w:val="18"/>
              </w:rPr>
              <w:t>目</w:t>
            </w:r>
          </w:p>
        </w:tc>
        <w:tc>
          <w:tcPr>
            <w:tcW w:w="579" w:type="dxa"/>
            <w:vAlign w:val="top"/>
          </w:tcPr>
          <w:p w14:paraId="5A942482">
            <w:pPr>
              <w:pStyle w:val="6"/>
              <w:spacing w:before="211" w:line="220" w:lineRule="auto"/>
              <w:ind w:left="10"/>
              <w:rPr>
                <w:sz w:val="18"/>
                <w:szCs w:val="18"/>
              </w:rPr>
            </w:pPr>
            <w:r>
              <w:rPr>
                <w:spacing w:val="3"/>
                <w:sz w:val="18"/>
                <w:szCs w:val="18"/>
              </w:rPr>
              <w:t>中英文</w:t>
            </w:r>
          </w:p>
          <w:p w14:paraId="4E97EBC3">
            <w:pPr>
              <w:pStyle w:val="6"/>
              <w:spacing w:before="7" w:line="221" w:lineRule="auto"/>
              <w:ind w:left="101"/>
              <w:rPr>
                <w:sz w:val="18"/>
                <w:szCs w:val="18"/>
              </w:rPr>
            </w:pPr>
            <w:r>
              <w:rPr>
                <w:spacing w:val="-2"/>
                <w:sz w:val="18"/>
                <w:szCs w:val="18"/>
              </w:rPr>
              <w:t>录入</w:t>
            </w:r>
          </w:p>
        </w:tc>
        <w:tc>
          <w:tcPr>
            <w:tcW w:w="479" w:type="dxa"/>
            <w:vAlign w:val="top"/>
          </w:tcPr>
          <w:p w14:paraId="5213165D">
            <w:pPr>
              <w:pStyle w:val="6"/>
              <w:spacing w:before="200" w:line="245" w:lineRule="auto"/>
              <w:ind w:left="51" w:right="63"/>
              <w:rPr>
                <w:sz w:val="18"/>
                <w:szCs w:val="18"/>
              </w:rPr>
            </w:pPr>
            <w:r>
              <w:rPr>
                <w:spacing w:val="-4"/>
                <w:sz w:val="18"/>
                <w:szCs w:val="18"/>
              </w:rPr>
              <w:t>操作</w:t>
            </w:r>
            <w:r>
              <w:rPr>
                <w:sz w:val="18"/>
                <w:szCs w:val="18"/>
              </w:rPr>
              <w:t xml:space="preserve"> </w:t>
            </w:r>
            <w:r>
              <w:rPr>
                <w:spacing w:val="-6"/>
                <w:sz w:val="18"/>
                <w:szCs w:val="18"/>
              </w:rPr>
              <w:t>系统</w:t>
            </w:r>
          </w:p>
        </w:tc>
        <w:tc>
          <w:tcPr>
            <w:tcW w:w="489" w:type="dxa"/>
            <w:vAlign w:val="top"/>
          </w:tcPr>
          <w:p w14:paraId="3966A498">
            <w:pPr>
              <w:pStyle w:val="6"/>
              <w:spacing w:before="199" w:line="250" w:lineRule="auto"/>
              <w:ind w:left="53" w:right="74"/>
              <w:rPr>
                <w:sz w:val="18"/>
                <w:szCs w:val="18"/>
              </w:rPr>
            </w:pPr>
            <w:r>
              <w:rPr>
                <w:spacing w:val="-5"/>
                <w:sz w:val="18"/>
                <w:szCs w:val="18"/>
              </w:rPr>
              <w:t>文字</w:t>
            </w:r>
            <w:r>
              <w:rPr>
                <w:sz w:val="18"/>
                <w:szCs w:val="18"/>
              </w:rPr>
              <w:t xml:space="preserve"> </w:t>
            </w:r>
            <w:r>
              <w:rPr>
                <w:spacing w:val="-6"/>
                <w:sz w:val="18"/>
                <w:szCs w:val="18"/>
              </w:rPr>
              <w:t>处理</w:t>
            </w:r>
          </w:p>
        </w:tc>
        <w:tc>
          <w:tcPr>
            <w:tcW w:w="479" w:type="dxa"/>
            <w:vAlign w:val="top"/>
          </w:tcPr>
          <w:p w14:paraId="63BE1824">
            <w:pPr>
              <w:pStyle w:val="6"/>
              <w:spacing w:before="211" w:line="222" w:lineRule="auto"/>
              <w:ind w:left="54" w:right="46"/>
              <w:rPr>
                <w:sz w:val="18"/>
                <w:szCs w:val="18"/>
              </w:rPr>
            </w:pPr>
            <w:r>
              <w:rPr>
                <w:spacing w:val="4"/>
                <w:sz w:val="18"/>
                <w:szCs w:val="18"/>
              </w:rPr>
              <w:t>电子</w:t>
            </w:r>
            <w:r>
              <w:rPr>
                <w:sz w:val="18"/>
                <w:szCs w:val="18"/>
              </w:rPr>
              <w:t xml:space="preserve"> </w:t>
            </w:r>
            <w:r>
              <w:rPr>
                <w:spacing w:val="-2"/>
                <w:sz w:val="18"/>
                <w:szCs w:val="18"/>
              </w:rPr>
              <w:t>表格</w:t>
            </w:r>
          </w:p>
        </w:tc>
        <w:tc>
          <w:tcPr>
            <w:tcW w:w="1047" w:type="dxa"/>
            <w:vAlign w:val="top"/>
          </w:tcPr>
          <w:p w14:paraId="3842E281">
            <w:pPr>
              <w:pStyle w:val="6"/>
              <w:spacing w:before="126" w:line="210" w:lineRule="auto"/>
              <w:ind w:left="245"/>
              <w:rPr>
                <w:sz w:val="18"/>
                <w:szCs w:val="18"/>
              </w:rPr>
            </w:pPr>
            <w:r>
              <w:rPr>
                <w:spacing w:val="-1"/>
                <w:sz w:val="18"/>
                <w:szCs w:val="18"/>
              </w:rPr>
              <w:t>Python</w:t>
            </w:r>
          </w:p>
          <w:p w14:paraId="513E8E2E">
            <w:pPr>
              <w:pStyle w:val="6"/>
              <w:spacing w:line="220" w:lineRule="auto"/>
              <w:ind w:left="155"/>
              <w:rPr>
                <w:sz w:val="18"/>
                <w:szCs w:val="18"/>
              </w:rPr>
            </w:pPr>
            <w:r>
              <w:rPr>
                <w:spacing w:val="-3"/>
                <w:sz w:val="18"/>
                <w:szCs w:val="18"/>
              </w:rPr>
              <w:t>结构化程</w:t>
            </w:r>
          </w:p>
          <w:p w14:paraId="5505CC37">
            <w:pPr>
              <w:pStyle w:val="6"/>
              <w:spacing w:before="15" w:line="221" w:lineRule="auto"/>
              <w:ind w:left="64"/>
              <w:rPr>
                <w:sz w:val="18"/>
                <w:szCs w:val="18"/>
              </w:rPr>
            </w:pPr>
            <w:r>
              <w:rPr>
                <w:spacing w:val="-2"/>
                <w:sz w:val="18"/>
                <w:szCs w:val="18"/>
              </w:rPr>
              <w:t>序设计调试</w:t>
            </w:r>
          </w:p>
        </w:tc>
        <w:tc>
          <w:tcPr>
            <w:tcW w:w="603" w:type="dxa"/>
            <w:vAlign w:val="top"/>
          </w:tcPr>
          <w:p w14:paraId="4DFE41BF">
            <w:pPr>
              <w:rPr>
                <w:rFonts w:ascii="Arial"/>
                <w:sz w:val="21"/>
              </w:rPr>
            </w:pPr>
          </w:p>
        </w:tc>
      </w:tr>
      <w:tr w14:paraId="186AA9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2" w:hRule="atLeast"/>
        </w:trPr>
        <w:tc>
          <w:tcPr>
            <w:tcW w:w="454" w:type="dxa"/>
            <w:vAlign w:val="top"/>
          </w:tcPr>
          <w:p w14:paraId="45F8D181">
            <w:pPr>
              <w:pStyle w:val="6"/>
              <w:spacing w:before="105" w:line="219" w:lineRule="auto"/>
              <w:ind w:left="34"/>
              <w:rPr>
                <w:sz w:val="18"/>
                <w:szCs w:val="18"/>
              </w:rPr>
            </w:pPr>
            <w:r>
              <w:rPr>
                <w:spacing w:val="-3"/>
                <w:sz w:val="18"/>
                <w:szCs w:val="18"/>
              </w:rPr>
              <w:t>分值</w:t>
            </w:r>
          </w:p>
        </w:tc>
        <w:tc>
          <w:tcPr>
            <w:tcW w:w="579" w:type="dxa"/>
            <w:vAlign w:val="top"/>
          </w:tcPr>
          <w:p w14:paraId="029824CF">
            <w:pPr>
              <w:pStyle w:val="6"/>
              <w:spacing w:before="150" w:line="184" w:lineRule="auto"/>
              <w:ind w:left="191"/>
              <w:rPr>
                <w:sz w:val="18"/>
                <w:szCs w:val="18"/>
              </w:rPr>
            </w:pPr>
            <w:r>
              <w:rPr>
                <w:spacing w:val="-6"/>
                <w:sz w:val="18"/>
                <w:szCs w:val="18"/>
              </w:rPr>
              <w:t>15</w:t>
            </w:r>
          </w:p>
        </w:tc>
        <w:tc>
          <w:tcPr>
            <w:tcW w:w="479" w:type="dxa"/>
            <w:vAlign w:val="top"/>
          </w:tcPr>
          <w:p w14:paraId="39910B7C">
            <w:pPr>
              <w:pStyle w:val="6"/>
              <w:spacing w:before="151" w:line="183" w:lineRule="auto"/>
              <w:ind w:left="142"/>
              <w:rPr>
                <w:sz w:val="18"/>
                <w:szCs w:val="18"/>
              </w:rPr>
            </w:pPr>
            <w:r>
              <w:rPr>
                <w:spacing w:val="-3"/>
                <w:sz w:val="18"/>
                <w:szCs w:val="18"/>
              </w:rPr>
              <w:t>20</w:t>
            </w:r>
          </w:p>
        </w:tc>
        <w:tc>
          <w:tcPr>
            <w:tcW w:w="489" w:type="dxa"/>
            <w:vAlign w:val="top"/>
          </w:tcPr>
          <w:p w14:paraId="67C7AC71">
            <w:pPr>
              <w:pStyle w:val="6"/>
              <w:spacing w:before="151" w:line="183" w:lineRule="auto"/>
              <w:ind w:left="142"/>
              <w:rPr>
                <w:sz w:val="18"/>
                <w:szCs w:val="18"/>
              </w:rPr>
            </w:pPr>
            <w:r>
              <w:rPr>
                <w:spacing w:val="-3"/>
                <w:sz w:val="18"/>
                <w:szCs w:val="18"/>
              </w:rPr>
              <w:t>50</w:t>
            </w:r>
          </w:p>
        </w:tc>
        <w:tc>
          <w:tcPr>
            <w:tcW w:w="479" w:type="dxa"/>
            <w:vAlign w:val="top"/>
          </w:tcPr>
          <w:p w14:paraId="58B72DBC">
            <w:pPr>
              <w:pStyle w:val="6"/>
              <w:spacing w:before="151" w:line="183" w:lineRule="auto"/>
              <w:ind w:left="144"/>
              <w:rPr>
                <w:sz w:val="18"/>
                <w:szCs w:val="18"/>
              </w:rPr>
            </w:pPr>
            <w:r>
              <w:rPr>
                <w:spacing w:val="-2"/>
                <w:sz w:val="18"/>
                <w:szCs w:val="18"/>
              </w:rPr>
              <w:t>45</w:t>
            </w:r>
          </w:p>
        </w:tc>
        <w:tc>
          <w:tcPr>
            <w:tcW w:w="1047" w:type="dxa"/>
            <w:vAlign w:val="top"/>
          </w:tcPr>
          <w:p w14:paraId="7F61AA7F">
            <w:pPr>
              <w:pStyle w:val="6"/>
              <w:spacing w:before="151" w:line="183" w:lineRule="auto"/>
              <w:ind w:left="425"/>
              <w:rPr>
                <w:sz w:val="18"/>
                <w:szCs w:val="18"/>
              </w:rPr>
            </w:pPr>
            <w:r>
              <w:rPr>
                <w:spacing w:val="-3"/>
                <w:sz w:val="18"/>
                <w:szCs w:val="18"/>
              </w:rPr>
              <w:t>60</w:t>
            </w:r>
          </w:p>
        </w:tc>
        <w:tc>
          <w:tcPr>
            <w:tcW w:w="603" w:type="dxa"/>
            <w:vAlign w:val="top"/>
          </w:tcPr>
          <w:p w14:paraId="0922E624">
            <w:pPr>
              <w:pStyle w:val="6"/>
              <w:spacing w:before="151" w:line="183" w:lineRule="auto"/>
              <w:ind w:left="208"/>
              <w:rPr>
                <w:sz w:val="18"/>
                <w:szCs w:val="18"/>
              </w:rPr>
            </w:pPr>
            <w:r>
              <w:rPr>
                <w:spacing w:val="-3"/>
                <w:sz w:val="18"/>
                <w:szCs w:val="18"/>
              </w:rPr>
              <w:t>60</w:t>
            </w:r>
          </w:p>
        </w:tc>
      </w:tr>
    </w:tbl>
    <w:p w14:paraId="3F563A7A">
      <w:pPr>
        <w:spacing w:before="132" w:line="210" w:lineRule="auto"/>
        <w:ind w:left="3"/>
        <w:rPr>
          <w:rFonts w:ascii="宋体" w:hAnsi="宋体" w:eastAsia="宋体" w:cs="宋体"/>
          <w:sz w:val="22"/>
          <w:szCs w:val="22"/>
        </w:rPr>
      </w:pPr>
      <w:r>
        <w:rPr>
          <w:rFonts w:ascii="宋体" w:hAnsi="宋体" w:eastAsia="宋体" w:cs="宋体"/>
          <w:b/>
          <w:bCs/>
          <w:spacing w:val="5"/>
          <w:sz w:val="22"/>
          <w:szCs w:val="22"/>
        </w:rPr>
        <w:t>七、测试项目</w:t>
      </w:r>
    </w:p>
    <w:p w14:paraId="5153F189">
      <w:pPr>
        <w:spacing w:line="210" w:lineRule="auto"/>
        <w:rPr>
          <w:rFonts w:ascii="宋体" w:hAnsi="宋体" w:eastAsia="宋体" w:cs="宋体"/>
          <w:sz w:val="22"/>
          <w:szCs w:val="22"/>
        </w:rPr>
        <w:sectPr>
          <w:type w:val="continuous"/>
          <w:pgSz w:w="10660" w:h="15080"/>
          <w:pgMar w:top="400" w:right="844" w:bottom="898" w:left="1010" w:header="0" w:footer="745" w:gutter="0"/>
          <w:cols w:equalWidth="0" w:num="2">
            <w:col w:w="4501" w:space="100"/>
            <w:col w:w="4206"/>
          </w:cols>
        </w:sectPr>
      </w:pPr>
    </w:p>
    <w:p w14:paraId="118AEDA2">
      <w:pPr>
        <w:spacing w:before="17"/>
      </w:pPr>
    </w:p>
    <w:tbl>
      <w:tblPr>
        <w:tblStyle w:val="5"/>
        <w:tblW w:w="8720" w:type="dxa"/>
        <w:tblInd w:w="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64"/>
        <w:gridCol w:w="399"/>
        <w:gridCol w:w="1528"/>
        <w:gridCol w:w="390"/>
        <w:gridCol w:w="1618"/>
        <w:gridCol w:w="3921"/>
      </w:tblGrid>
      <w:tr w14:paraId="6503A0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8" w:hRule="atLeast"/>
        </w:trPr>
        <w:tc>
          <w:tcPr>
            <w:tcW w:w="864" w:type="dxa"/>
            <w:tcBorders>
              <w:top w:val="single" w:color="000000" w:sz="2" w:space="0"/>
              <w:bottom w:val="single" w:color="000000" w:sz="2" w:space="0"/>
            </w:tcBorders>
            <w:vAlign w:val="top"/>
          </w:tcPr>
          <w:p w14:paraId="1CCEE220">
            <w:pPr>
              <w:pStyle w:val="6"/>
              <w:spacing w:before="96" w:line="222" w:lineRule="auto"/>
              <w:ind w:left="247" w:right="217"/>
              <w:rPr>
                <w:sz w:val="18"/>
                <w:szCs w:val="18"/>
              </w:rPr>
            </w:pPr>
            <w:r>
              <w:rPr>
                <w:b/>
                <w:bCs/>
                <w:spacing w:val="-6"/>
                <w:sz w:val="18"/>
                <w:szCs w:val="18"/>
              </w:rPr>
              <w:t>测试</w:t>
            </w:r>
            <w:r>
              <w:rPr>
                <w:sz w:val="18"/>
                <w:szCs w:val="18"/>
              </w:rPr>
              <w:t xml:space="preserve"> </w:t>
            </w:r>
            <w:r>
              <w:rPr>
                <w:b/>
                <w:bCs/>
                <w:spacing w:val="12"/>
                <w:sz w:val="18"/>
                <w:szCs w:val="18"/>
              </w:rPr>
              <w:t>项目</w:t>
            </w:r>
          </w:p>
        </w:tc>
        <w:tc>
          <w:tcPr>
            <w:tcW w:w="399" w:type="dxa"/>
            <w:tcBorders>
              <w:top w:val="single" w:color="000000" w:sz="2" w:space="0"/>
              <w:bottom w:val="single" w:color="000000" w:sz="2" w:space="0"/>
            </w:tcBorders>
            <w:vAlign w:val="top"/>
          </w:tcPr>
          <w:p w14:paraId="6519FB00">
            <w:pPr>
              <w:pStyle w:val="6"/>
              <w:spacing w:before="86" w:line="228" w:lineRule="auto"/>
              <w:ind w:left="13" w:right="23"/>
              <w:rPr>
                <w:sz w:val="18"/>
                <w:szCs w:val="18"/>
              </w:rPr>
            </w:pPr>
            <w:r>
              <w:rPr>
                <w:b/>
                <w:bCs/>
                <w:spacing w:val="-6"/>
                <w:sz w:val="18"/>
                <w:szCs w:val="18"/>
              </w:rPr>
              <w:t>测试</w:t>
            </w:r>
            <w:r>
              <w:rPr>
                <w:sz w:val="18"/>
                <w:szCs w:val="18"/>
              </w:rPr>
              <w:t xml:space="preserve"> </w:t>
            </w:r>
            <w:r>
              <w:rPr>
                <w:b/>
                <w:bCs/>
                <w:spacing w:val="-7"/>
                <w:sz w:val="18"/>
                <w:szCs w:val="18"/>
              </w:rPr>
              <w:t>用具</w:t>
            </w:r>
          </w:p>
        </w:tc>
        <w:tc>
          <w:tcPr>
            <w:tcW w:w="1528" w:type="dxa"/>
            <w:tcBorders>
              <w:top w:val="single" w:color="000000" w:sz="2" w:space="0"/>
              <w:bottom w:val="single" w:color="000000" w:sz="2" w:space="0"/>
            </w:tcBorders>
            <w:vAlign w:val="top"/>
          </w:tcPr>
          <w:p w14:paraId="0F3BF863">
            <w:pPr>
              <w:pStyle w:val="6"/>
              <w:spacing w:before="204" w:line="219" w:lineRule="auto"/>
              <w:ind w:left="424"/>
              <w:rPr>
                <w:sz w:val="18"/>
                <w:szCs w:val="18"/>
              </w:rPr>
            </w:pPr>
            <w:r>
              <w:rPr>
                <w:b/>
                <w:bCs/>
                <w:spacing w:val="-4"/>
                <w:sz w:val="18"/>
                <w:szCs w:val="18"/>
              </w:rPr>
              <w:t>测试内容</w:t>
            </w:r>
          </w:p>
        </w:tc>
        <w:tc>
          <w:tcPr>
            <w:tcW w:w="390" w:type="dxa"/>
            <w:tcBorders>
              <w:top w:val="single" w:color="000000" w:sz="2" w:space="0"/>
              <w:bottom w:val="single" w:color="000000" w:sz="2" w:space="0"/>
            </w:tcBorders>
            <w:vAlign w:val="top"/>
          </w:tcPr>
          <w:p w14:paraId="75F962F7">
            <w:pPr>
              <w:pStyle w:val="6"/>
              <w:spacing w:before="96" w:line="223" w:lineRule="auto"/>
              <w:ind w:left="6" w:right="21"/>
              <w:rPr>
                <w:sz w:val="18"/>
                <w:szCs w:val="18"/>
              </w:rPr>
            </w:pPr>
            <w:r>
              <w:rPr>
                <w:b/>
                <w:bCs/>
                <w:spacing w:val="-6"/>
                <w:sz w:val="18"/>
                <w:szCs w:val="18"/>
              </w:rPr>
              <w:t>测试</w:t>
            </w:r>
            <w:r>
              <w:rPr>
                <w:sz w:val="18"/>
                <w:szCs w:val="18"/>
              </w:rPr>
              <w:t xml:space="preserve"> </w:t>
            </w:r>
            <w:r>
              <w:rPr>
                <w:b/>
                <w:bCs/>
                <w:spacing w:val="-6"/>
                <w:sz w:val="18"/>
                <w:szCs w:val="18"/>
              </w:rPr>
              <w:t>方法</w:t>
            </w:r>
          </w:p>
        </w:tc>
        <w:tc>
          <w:tcPr>
            <w:tcW w:w="1618" w:type="dxa"/>
            <w:tcBorders>
              <w:top w:val="single" w:color="000000" w:sz="2" w:space="0"/>
              <w:bottom w:val="single" w:color="000000" w:sz="2" w:space="0"/>
            </w:tcBorders>
            <w:vAlign w:val="top"/>
          </w:tcPr>
          <w:p w14:paraId="0879126A">
            <w:pPr>
              <w:pStyle w:val="6"/>
              <w:spacing w:before="205" w:line="221" w:lineRule="auto"/>
              <w:ind w:left="446"/>
              <w:rPr>
                <w:sz w:val="18"/>
                <w:szCs w:val="18"/>
              </w:rPr>
            </w:pPr>
            <w:r>
              <w:rPr>
                <w:b/>
                <w:bCs/>
                <w:spacing w:val="-4"/>
                <w:sz w:val="18"/>
                <w:szCs w:val="18"/>
              </w:rPr>
              <w:t>测试要求</w:t>
            </w:r>
          </w:p>
        </w:tc>
        <w:tc>
          <w:tcPr>
            <w:tcW w:w="3921" w:type="dxa"/>
            <w:tcBorders>
              <w:top w:val="single" w:color="000000" w:sz="2" w:space="0"/>
              <w:bottom w:val="single" w:color="000000" w:sz="2" w:space="0"/>
            </w:tcBorders>
            <w:vAlign w:val="top"/>
          </w:tcPr>
          <w:p w14:paraId="008415E9">
            <w:pPr>
              <w:pStyle w:val="6"/>
              <w:spacing w:before="204" w:line="219" w:lineRule="auto"/>
              <w:ind w:left="1638"/>
              <w:rPr>
                <w:sz w:val="18"/>
                <w:szCs w:val="18"/>
              </w:rPr>
            </w:pPr>
            <w:r>
              <w:rPr>
                <w:b/>
                <w:bCs/>
                <w:spacing w:val="-4"/>
                <w:sz w:val="18"/>
                <w:szCs w:val="18"/>
              </w:rPr>
              <w:t>赋分参考</w:t>
            </w:r>
          </w:p>
        </w:tc>
      </w:tr>
      <w:tr w14:paraId="5C5290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785" w:hRule="atLeast"/>
        </w:trPr>
        <w:tc>
          <w:tcPr>
            <w:tcW w:w="864" w:type="dxa"/>
            <w:tcBorders>
              <w:top w:val="single" w:color="000000" w:sz="2" w:space="0"/>
              <w:bottom w:val="single" w:color="000000" w:sz="2" w:space="0"/>
            </w:tcBorders>
            <w:vAlign w:val="top"/>
          </w:tcPr>
          <w:p w14:paraId="493C5535">
            <w:pPr>
              <w:pStyle w:val="6"/>
              <w:spacing w:before="31" w:line="223" w:lineRule="auto"/>
              <w:ind w:left="17" w:right="4" w:firstLine="90"/>
              <w:rPr>
                <w:sz w:val="18"/>
                <w:szCs w:val="18"/>
              </w:rPr>
            </w:pPr>
            <w:r>
              <w:rPr>
                <w:b/>
                <w:bCs/>
                <w:spacing w:val="3"/>
                <w:sz w:val="18"/>
                <w:szCs w:val="18"/>
              </w:rPr>
              <w:t>项目一：</w:t>
            </w:r>
            <w:r>
              <w:rPr>
                <w:spacing w:val="1"/>
                <w:sz w:val="18"/>
                <w:szCs w:val="18"/>
              </w:rPr>
              <w:t xml:space="preserve"> </w:t>
            </w:r>
            <w:r>
              <w:rPr>
                <w:b/>
                <w:bCs/>
                <w:spacing w:val="-17"/>
                <w:sz w:val="18"/>
                <w:szCs w:val="18"/>
              </w:rPr>
              <w:t>中英文录</w:t>
            </w:r>
            <w:r>
              <w:rPr>
                <w:b/>
                <w:bCs/>
                <w:spacing w:val="-12"/>
                <w:sz w:val="18"/>
                <w:szCs w:val="18"/>
              </w:rPr>
              <w:t>入</w:t>
            </w:r>
          </w:p>
        </w:tc>
        <w:tc>
          <w:tcPr>
            <w:tcW w:w="399" w:type="dxa"/>
            <w:tcBorders>
              <w:top w:val="single" w:color="000000" w:sz="2" w:space="0"/>
              <w:bottom w:val="single" w:color="000000" w:sz="2" w:space="0"/>
            </w:tcBorders>
            <w:textDirection w:val="tbRlV"/>
            <w:vAlign w:val="top"/>
          </w:tcPr>
          <w:p w14:paraId="146E4BB6">
            <w:pPr>
              <w:pStyle w:val="6"/>
              <w:spacing w:before="114" w:line="201" w:lineRule="auto"/>
              <w:ind w:left="14"/>
              <w:rPr>
                <w:sz w:val="18"/>
                <w:szCs w:val="18"/>
              </w:rPr>
            </w:pPr>
            <w:r>
              <w:rPr>
                <w:b/>
                <w:bCs/>
                <w:spacing w:val="-2"/>
                <w:sz w:val="18"/>
                <w:szCs w:val="18"/>
              </w:rPr>
              <w:t>微机</w:t>
            </w:r>
          </w:p>
        </w:tc>
        <w:tc>
          <w:tcPr>
            <w:tcW w:w="1528" w:type="dxa"/>
            <w:tcBorders>
              <w:top w:val="single" w:color="000000" w:sz="2" w:space="0"/>
              <w:bottom w:val="single" w:color="000000" w:sz="2" w:space="0"/>
            </w:tcBorders>
            <w:vAlign w:val="top"/>
          </w:tcPr>
          <w:p w14:paraId="661C273F">
            <w:pPr>
              <w:pStyle w:val="6"/>
              <w:spacing w:before="41" w:line="217" w:lineRule="auto"/>
              <w:ind w:left="14" w:right="68"/>
              <w:rPr>
                <w:sz w:val="18"/>
                <w:szCs w:val="18"/>
              </w:rPr>
            </w:pPr>
            <w:r>
              <w:rPr>
                <w:b/>
                <w:bCs/>
                <w:spacing w:val="-4"/>
                <w:sz w:val="18"/>
                <w:szCs w:val="18"/>
              </w:rPr>
              <w:t>能够快速、准确地</w:t>
            </w:r>
            <w:r>
              <w:rPr>
                <w:spacing w:val="1"/>
                <w:sz w:val="18"/>
                <w:szCs w:val="18"/>
              </w:rPr>
              <w:t xml:space="preserve"> </w:t>
            </w:r>
            <w:r>
              <w:rPr>
                <w:b/>
                <w:bCs/>
                <w:spacing w:val="-3"/>
                <w:sz w:val="18"/>
                <w:szCs w:val="18"/>
              </w:rPr>
              <w:t>完成中英文输入。</w:t>
            </w:r>
          </w:p>
        </w:tc>
        <w:tc>
          <w:tcPr>
            <w:tcW w:w="390" w:type="dxa"/>
            <w:tcBorders>
              <w:top w:val="single" w:color="000000" w:sz="2" w:space="0"/>
              <w:bottom w:val="single" w:color="000000" w:sz="2" w:space="0"/>
            </w:tcBorders>
            <w:textDirection w:val="tbRlV"/>
            <w:vAlign w:val="top"/>
          </w:tcPr>
          <w:p w14:paraId="73B7A57D">
            <w:pPr>
              <w:pStyle w:val="6"/>
              <w:spacing w:before="112" w:line="201" w:lineRule="auto"/>
              <w:ind w:left="13"/>
              <w:rPr>
                <w:sz w:val="18"/>
                <w:szCs w:val="18"/>
              </w:rPr>
            </w:pPr>
            <w:r>
              <w:rPr>
                <w:b/>
                <w:bCs/>
                <w:spacing w:val="-2"/>
                <w:sz w:val="18"/>
                <w:szCs w:val="18"/>
              </w:rPr>
              <w:t>上机操作</w:t>
            </w:r>
          </w:p>
        </w:tc>
        <w:tc>
          <w:tcPr>
            <w:tcW w:w="1618" w:type="dxa"/>
            <w:tcBorders>
              <w:top w:val="single" w:color="000000" w:sz="2" w:space="0"/>
              <w:bottom w:val="single" w:color="000000" w:sz="2" w:space="0"/>
            </w:tcBorders>
            <w:vAlign w:val="top"/>
          </w:tcPr>
          <w:p w14:paraId="3C4E45A3">
            <w:pPr>
              <w:pStyle w:val="6"/>
              <w:spacing w:before="43" w:line="223" w:lineRule="auto"/>
              <w:ind w:left="86" w:right="87"/>
              <w:jc w:val="both"/>
              <w:rPr>
                <w:sz w:val="18"/>
                <w:szCs w:val="18"/>
              </w:rPr>
            </w:pPr>
            <w:r>
              <w:rPr>
                <w:b/>
                <w:bCs/>
                <w:spacing w:val="-3"/>
                <w:sz w:val="18"/>
                <w:szCs w:val="18"/>
              </w:rPr>
              <w:t>测试时间：10分钟</w:t>
            </w:r>
            <w:r>
              <w:rPr>
                <w:spacing w:val="1"/>
                <w:sz w:val="18"/>
                <w:szCs w:val="18"/>
              </w:rPr>
              <w:t xml:space="preserve"> </w:t>
            </w:r>
            <w:r>
              <w:rPr>
                <w:b/>
                <w:bCs/>
                <w:spacing w:val="-3"/>
                <w:sz w:val="18"/>
                <w:szCs w:val="18"/>
              </w:rPr>
              <w:t>在10分钟内，根据</w:t>
            </w:r>
            <w:r>
              <w:rPr>
                <w:spacing w:val="2"/>
                <w:sz w:val="18"/>
                <w:szCs w:val="18"/>
              </w:rPr>
              <w:t xml:space="preserve"> </w:t>
            </w:r>
            <w:r>
              <w:rPr>
                <w:b/>
                <w:bCs/>
                <w:spacing w:val="-4"/>
                <w:sz w:val="18"/>
                <w:szCs w:val="18"/>
              </w:rPr>
              <w:t>指定文稿，使用计</w:t>
            </w:r>
            <w:r>
              <w:rPr>
                <w:spacing w:val="6"/>
                <w:sz w:val="18"/>
                <w:szCs w:val="18"/>
              </w:rPr>
              <w:t xml:space="preserve"> </w:t>
            </w:r>
            <w:r>
              <w:rPr>
                <w:b/>
                <w:bCs/>
                <w:spacing w:val="-3"/>
                <w:sz w:val="18"/>
                <w:szCs w:val="18"/>
              </w:rPr>
              <w:t>算机键盘输入完成</w:t>
            </w:r>
          </w:p>
          <w:p w14:paraId="0D2EA323">
            <w:pPr>
              <w:pStyle w:val="6"/>
              <w:spacing w:before="8" w:line="220" w:lineRule="auto"/>
              <w:ind w:left="84" w:hanging="48"/>
              <w:rPr>
                <w:sz w:val="18"/>
                <w:szCs w:val="18"/>
              </w:rPr>
            </w:pPr>
            <w:r>
              <w:rPr>
                <w:b/>
                <w:bCs/>
                <w:spacing w:val="2"/>
                <w:sz w:val="18"/>
                <w:szCs w:val="18"/>
              </w:rPr>
              <w:t>650个汉字、英文、</w:t>
            </w:r>
            <w:r>
              <w:rPr>
                <w:spacing w:val="1"/>
                <w:sz w:val="18"/>
                <w:szCs w:val="18"/>
              </w:rPr>
              <w:t xml:space="preserve"> </w:t>
            </w:r>
            <w:r>
              <w:rPr>
                <w:b/>
                <w:bCs/>
                <w:spacing w:val="-7"/>
                <w:sz w:val="18"/>
                <w:szCs w:val="18"/>
              </w:rPr>
              <w:t>标点符号与特殊符</w:t>
            </w:r>
          </w:p>
          <w:p w14:paraId="3D59A974">
            <w:pPr>
              <w:pStyle w:val="6"/>
              <w:spacing w:before="1" w:line="217" w:lineRule="auto"/>
              <w:ind w:left="26" w:right="121" w:firstLine="99"/>
              <w:rPr>
                <w:sz w:val="18"/>
                <w:szCs w:val="18"/>
              </w:rPr>
            </w:pPr>
            <w:r>
              <w:rPr>
                <w:b/>
                <w:bCs/>
                <w:spacing w:val="-1"/>
                <w:sz w:val="18"/>
                <w:szCs w:val="18"/>
              </w:rPr>
              <w:t>号等(平均每分钟</w:t>
            </w:r>
            <w:r>
              <w:rPr>
                <w:spacing w:val="1"/>
                <w:sz w:val="18"/>
                <w:szCs w:val="18"/>
              </w:rPr>
              <w:t xml:space="preserve"> </w:t>
            </w:r>
            <w:r>
              <w:rPr>
                <w:b/>
                <w:bCs/>
                <w:spacing w:val="-3"/>
                <w:sz w:val="18"/>
                <w:szCs w:val="18"/>
              </w:rPr>
              <w:t>65个汉字)。</w:t>
            </w:r>
          </w:p>
        </w:tc>
        <w:tc>
          <w:tcPr>
            <w:tcW w:w="3921" w:type="dxa"/>
            <w:tcBorders>
              <w:top w:val="single" w:color="000000" w:sz="2" w:space="0"/>
              <w:bottom w:val="single" w:color="000000" w:sz="2" w:space="0"/>
            </w:tcBorders>
            <w:vAlign w:val="top"/>
          </w:tcPr>
          <w:p w14:paraId="461CEEF9">
            <w:pPr>
              <w:pStyle w:val="6"/>
              <w:spacing w:before="41" w:line="219" w:lineRule="auto"/>
              <w:ind w:left="18"/>
              <w:rPr>
                <w:sz w:val="18"/>
                <w:szCs w:val="18"/>
              </w:rPr>
            </w:pPr>
            <w:r>
              <w:rPr>
                <w:b/>
                <w:bCs/>
                <w:spacing w:val="-3"/>
                <w:sz w:val="18"/>
                <w:szCs w:val="18"/>
              </w:rPr>
              <w:t>参考分值：15分</w:t>
            </w:r>
          </w:p>
          <w:p w14:paraId="2E0E7DFC">
            <w:pPr>
              <w:pStyle w:val="6"/>
              <w:spacing w:before="14" w:line="218" w:lineRule="auto"/>
              <w:ind w:left="18" w:right="1017"/>
              <w:rPr>
                <w:sz w:val="18"/>
                <w:szCs w:val="18"/>
              </w:rPr>
            </w:pPr>
            <w:r>
              <w:rPr>
                <w:b/>
                <w:bCs/>
                <w:spacing w:val="-3"/>
                <w:sz w:val="18"/>
                <w:szCs w:val="18"/>
              </w:rPr>
              <w:t>1.技术方法：上机考核，自动评分。</w:t>
            </w:r>
            <w:r>
              <w:rPr>
                <w:spacing w:val="12"/>
                <w:sz w:val="18"/>
                <w:szCs w:val="18"/>
              </w:rPr>
              <w:t xml:space="preserve"> </w:t>
            </w:r>
            <w:r>
              <w:rPr>
                <w:b/>
                <w:bCs/>
                <w:spacing w:val="-3"/>
                <w:sz w:val="18"/>
                <w:szCs w:val="18"/>
              </w:rPr>
              <w:t>2.工具使用：中英文录入测试软件</w:t>
            </w:r>
          </w:p>
          <w:p w14:paraId="1227D565">
            <w:pPr>
              <w:pStyle w:val="6"/>
              <w:spacing w:before="6" w:line="222" w:lineRule="auto"/>
              <w:ind w:left="18"/>
              <w:rPr>
                <w:sz w:val="18"/>
                <w:szCs w:val="18"/>
              </w:rPr>
            </w:pPr>
            <w:r>
              <w:rPr>
                <w:b/>
                <w:bCs/>
                <w:spacing w:val="-5"/>
                <w:sz w:val="18"/>
                <w:szCs w:val="18"/>
              </w:rPr>
              <w:t>3.操作步骤：按照项目要求样文进行中英文录入。</w:t>
            </w:r>
            <w:r>
              <w:rPr>
                <w:spacing w:val="2"/>
                <w:sz w:val="18"/>
                <w:szCs w:val="18"/>
              </w:rPr>
              <w:t xml:space="preserve"> </w:t>
            </w:r>
            <w:r>
              <w:rPr>
                <w:b/>
                <w:bCs/>
                <w:spacing w:val="-5"/>
                <w:sz w:val="18"/>
                <w:szCs w:val="18"/>
              </w:rPr>
              <w:t>4.操作成效：指法正确，速度快捷，准确率高</w:t>
            </w:r>
          </w:p>
          <w:p w14:paraId="2BCFC1D0">
            <w:pPr>
              <w:pStyle w:val="6"/>
              <w:spacing w:before="5" w:line="213" w:lineRule="auto"/>
              <w:ind w:left="18" w:right="113" w:firstLine="10"/>
              <w:rPr>
                <w:sz w:val="18"/>
                <w:szCs w:val="18"/>
              </w:rPr>
            </w:pPr>
            <w:r>
              <w:rPr>
                <w:b/>
                <w:bCs/>
                <w:spacing w:val="-3"/>
                <w:sz w:val="18"/>
                <w:szCs w:val="18"/>
              </w:rPr>
              <w:t>5.安全清洁：遵守微机操作安全规范，保持机位</w:t>
            </w:r>
            <w:r>
              <w:rPr>
                <w:spacing w:val="12"/>
                <w:sz w:val="18"/>
                <w:szCs w:val="18"/>
              </w:rPr>
              <w:t xml:space="preserve"> </w:t>
            </w:r>
            <w:r>
              <w:rPr>
                <w:b/>
                <w:bCs/>
                <w:spacing w:val="-4"/>
                <w:sz w:val="18"/>
                <w:szCs w:val="18"/>
              </w:rPr>
              <w:t>清洁卫生</w:t>
            </w:r>
          </w:p>
        </w:tc>
      </w:tr>
    </w:tbl>
    <w:p w14:paraId="068A1ADB">
      <w:pPr>
        <w:pStyle w:val="2"/>
        <w:spacing w:line="14" w:lineRule="auto"/>
        <w:rPr>
          <w:sz w:val="2"/>
        </w:rPr>
      </w:pPr>
    </w:p>
    <w:p w14:paraId="289C25F9">
      <w:pPr>
        <w:spacing w:line="14" w:lineRule="auto"/>
        <w:rPr>
          <w:sz w:val="2"/>
          <w:szCs w:val="2"/>
        </w:rPr>
        <w:sectPr>
          <w:type w:val="continuous"/>
          <w:pgSz w:w="10660" w:h="15080"/>
          <w:pgMar w:top="400" w:right="844" w:bottom="898" w:left="1010" w:header="0" w:footer="745" w:gutter="0"/>
          <w:cols w:equalWidth="0" w:num="1">
            <w:col w:w="8806"/>
          </w:cols>
        </w:sectPr>
      </w:pPr>
    </w:p>
    <w:p w14:paraId="347DCACF">
      <w:pPr>
        <w:spacing w:before="10"/>
      </w:pPr>
    </w:p>
    <w:p w14:paraId="3476CC4E">
      <w:pPr>
        <w:spacing w:before="10"/>
      </w:pPr>
    </w:p>
    <w:p w14:paraId="292D7D25">
      <w:pPr>
        <w:spacing w:before="10"/>
      </w:pPr>
    </w:p>
    <w:p w14:paraId="61A39DE3">
      <w:pPr>
        <w:spacing w:before="9"/>
      </w:pPr>
    </w:p>
    <w:tbl>
      <w:tblPr>
        <w:tblStyle w:val="5"/>
        <w:tblW w:w="8719" w:type="dxa"/>
        <w:tblInd w:w="6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84"/>
        <w:gridCol w:w="380"/>
        <w:gridCol w:w="1538"/>
        <w:gridCol w:w="379"/>
        <w:gridCol w:w="1608"/>
        <w:gridCol w:w="3930"/>
      </w:tblGrid>
      <w:tr w14:paraId="58ADBB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5" w:hRule="atLeast"/>
        </w:trPr>
        <w:tc>
          <w:tcPr>
            <w:tcW w:w="884" w:type="dxa"/>
            <w:vAlign w:val="top"/>
          </w:tcPr>
          <w:p w14:paraId="199A3491">
            <w:pPr>
              <w:pStyle w:val="6"/>
              <w:spacing w:before="90" w:line="225" w:lineRule="auto"/>
              <w:ind w:left="277" w:right="250"/>
              <w:rPr>
                <w:sz w:val="16"/>
                <w:szCs w:val="16"/>
              </w:rPr>
            </w:pPr>
            <w:r>
              <w:rPr>
                <w:b/>
                <w:bCs/>
                <w:spacing w:val="-6"/>
                <w:sz w:val="16"/>
                <w:szCs w:val="16"/>
              </w:rPr>
              <w:t>测试</w:t>
            </w:r>
            <w:r>
              <w:rPr>
                <w:sz w:val="16"/>
                <w:szCs w:val="16"/>
              </w:rPr>
              <w:t xml:space="preserve"> </w:t>
            </w:r>
            <w:r>
              <w:rPr>
                <w:b/>
                <w:bCs/>
                <w:spacing w:val="11"/>
                <w:sz w:val="16"/>
                <w:szCs w:val="16"/>
              </w:rPr>
              <w:t>项目</w:t>
            </w:r>
          </w:p>
        </w:tc>
        <w:tc>
          <w:tcPr>
            <w:tcW w:w="380" w:type="dxa"/>
            <w:vAlign w:val="top"/>
          </w:tcPr>
          <w:p w14:paraId="13C107FA">
            <w:pPr>
              <w:pStyle w:val="6"/>
              <w:spacing w:before="89" w:line="232" w:lineRule="auto"/>
              <w:ind w:left="23" w:right="34" w:hanging="10"/>
              <w:rPr>
                <w:sz w:val="16"/>
                <w:szCs w:val="16"/>
              </w:rPr>
            </w:pPr>
            <w:r>
              <w:rPr>
                <w:b/>
                <w:bCs/>
                <w:spacing w:val="-6"/>
                <w:sz w:val="16"/>
                <w:szCs w:val="16"/>
              </w:rPr>
              <w:t>测试</w:t>
            </w:r>
            <w:r>
              <w:rPr>
                <w:sz w:val="16"/>
                <w:szCs w:val="16"/>
              </w:rPr>
              <w:t xml:space="preserve"> </w:t>
            </w:r>
            <w:r>
              <w:rPr>
                <w:b/>
                <w:bCs/>
                <w:spacing w:val="-6"/>
                <w:sz w:val="16"/>
                <w:szCs w:val="16"/>
              </w:rPr>
              <w:t>用具</w:t>
            </w:r>
          </w:p>
        </w:tc>
        <w:tc>
          <w:tcPr>
            <w:tcW w:w="1538" w:type="dxa"/>
            <w:vAlign w:val="top"/>
          </w:tcPr>
          <w:p w14:paraId="7249AE8B">
            <w:pPr>
              <w:pStyle w:val="6"/>
              <w:spacing w:before="199" w:line="219" w:lineRule="auto"/>
              <w:ind w:left="443"/>
              <w:rPr>
                <w:sz w:val="16"/>
                <w:szCs w:val="16"/>
              </w:rPr>
            </w:pPr>
            <w:r>
              <w:rPr>
                <w:b/>
                <w:bCs/>
                <w:spacing w:val="-3"/>
                <w:sz w:val="16"/>
                <w:szCs w:val="16"/>
              </w:rPr>
              <w:t>测试内容</w:t>
            </w:r>
          </w:p>
        </w:tc>
        <w:tc>
          <w:tcPr>
            <w:tcW w:w="379" w:type="dxa"/>
            <w:shd w:val="clear" w:color="auto" w:fill="231F20"/>
            <w:vAlign w:val="top"/>
          </w:tcPr>
          <w:p w14:paraId="5901951E">
            <w:pPr>
              <w:pStyle w:val="6"/>
              <w:spacing w:before="89" w:line="226" w:lineRule="auto"/>
              <w:ind w:left="45" w:right="10" w:hanging="30"/>
              <w:rPr>
                <w:sz w:val="16"/>
                <w:szCs w:val="16"/>
              </w:rPr>
            </w:pPr>
            <w:r>
              <w:rPr>
                <w:b/>
                <w:bCs/>
                <w:color w:val="FFFFFF"/>
                <w:spacing w:val="-6"/>
                <w:sz w:val="16"/>
                <w:szCs w:val="16"/>
              </w:rPr>
              <w:t>测试</w:t>
            </w:r>
            <w:r>
              <w:rPr>
                <w:color w:val="FFFFFF"/>
                <w:sz w:val="16"/>
                <w:szCs w:val="16"/>
              </w:rPr>
              <w:t xml:space="preserve"> </w:t>
            </w:r>
            <w:r>
              <w:rPr>
                <w:b/>
                <w:bCs/>
                <w:color w:val="FFFFFF"/>
                <w:spacing w:val="-6"/>
                <w:sz w:val="16"/>
                <w:szCs w:val="16"/>
              </w:rPr>
              <w:t>方法</w:t>
            </w:r>
          </w:p>
        </w:tc>
        <w:tc>
          <w:tcPr>
            <w:tcW w:w="1608" w:type="dxa"/>
            <w:vAlign w:val="top"/>
          </w:tcPr>
          <w:p w14:paraId="515EC9D2">
            <w:pPr>
              <w:pStyle w:val="6"/>
              <w:spacing w:before="200" w:line="221" w:lineRule="auto"/>
              <w:ind w:left="476"/>
              <w:rPr>
                <w:sz w:val="16"/>
                <w:szCs w:val="16"/>
              </w:rPr>
            </w:pPr>
            <w:r>
              <w:rPr>
                <w:b/>
                <w:bCs/>
                <w:spacing w:val="-3"/>
                <w:sz w:val="16"/>
                <w:szCs w:val="16"/>
              </w:rPr>
              <w:t>测试要求</w:t>
            </w:r>
          </w:p>
        </w:tc>
        <w:tc>
          <w:tcPr>
            <w:tcW w:w="3930" w:type="dxa"/>
            <w:vAlign w:val="top"/>
          </w:tcPr>
          <w:p w14:paraId="56D72183">
            <w:pPr>
              <w:pStyle w:val="6"/>
              <w:spacing w:before="199" w:line="219" w:lineRule="auto"/>
              <w:ind w:left="1638"/>
              <w:rPr>
                <w:sz w:val="16"/>
                <w:szCs w:val="16"/>
              </w:rPr>
            </w:pPr>
            <w:r>
              <w:rPr>
                <w:b/>
                <w:bCs/>
                <w:spacing w:val="-4"/>
                <w:sz w:val="16"/>
                <w:szCs w:val="16"/>
              </w:rPr>
              <w:t>赋分参考</w:t>
            </w:r>
          </w:p>
        </w:tc>
      </w:tr>
      <w:tr w14:paraId="71D88A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58" w:hRule="atLeast"/>
        </w:trPr>
        <w:tc>
          <w:tcPr>
            <w:tcW w:w="884" w:type="dxa"/>
            <w:vAlign w:val="top"/>
          </w:tcPr>
          <w:p w14:paraId="36BC5554">
            <w:pPr>
              <w:pStyle w:val="6"/>
              <w:spacing w:before="47" w:line="220" w:lineRule="auto"/>
              <w:ind w:left="25"/>
              <w:rPr>
                <w:sz w:val="16"/>
                <w:szCs w:val="16"/>
              </w:rPr>
            </w:pPr>
            <w:r>
              <w:rPr>
                <w:spacing w:val="-1"/>
                <w:sz w:val="16"/>
                <w:szCs w:val="16"/>
              </w:rPr>
              <w:t>项目二：</w:t>
            </w:r>
          </w:p>
          <w:p w14:paraId="0B92674A">
            <w:pPr>
              <w:pStyle w:val="6"/>
              <w:spacing w:before="48" w:line="225" w:lineRule="auto"/>
              <w:ind w:left="34" w:right="11" w:hanging="19"/>
              <w:rPr>
                <w:sz w:val="16"/>
                <w:szCs w:val="16"/>
              </w:rPr>
            </w:pPr>
            <w:r>
              <w:rPr>
                <w:spacing w:val="-6"/>
                <w:sz w:val="16"/>
                <w:szCs w:val="16"/>
              </w:rPr>
              <w:t>操 作 系</w:t>
            </w:r>
            <w:r>
              <w:rPr>
                <w:spacing w:val="2"/>
                <w:sz w:val="16"/>
                <w:szCs w:val="16"/>
              </w:rPr>
              <w:t xml:space="preserve"> </w:t>
            </w:r>
            <w:r>
              <w:rPr>
                <w:spacing w:val="-6"/>
                <w:sz w:val="16"/>
                <w:szCs w:val="16"/>
              </w:rPr>
              <w:t>统</w:t>
            </w:r>
            <w:r>
              <w:rPr>
                <w:sz w:val="16"/>
                <w:szCs w:val="16"/>
              </w:rPr>
              <w:t xml:space="preserve"> </w:t>
            </w:r>
            <w:r>
              <w:rPr>
                <w:spacing w:val="-3"/>
                <w:sz w:val="16"/>
                <w:szCs w:val="16"/>
              </w:rPr>
              <w:t>管理</w:t>
            </w:r>
          </w:p>
        </w:tc>
        <w:tc>
          <w:tcPr>
            <w:tcW w:w="380" w:type="dxa"/>
            <w:textDirection w:val="tbRlV"/>
            <w:vAlign w:val="top"/>
          </w:tcPr>
          <w:p w14:paraId="000D490A">
            <w:pPr>
              <w:pStyle w:val="6"/>
              <w:spacing w:before="115" w:line="201" w:lineRule="auto"/>
              <w:ind w:left="31"/>
              <w:rPr>
                <w:sz w:val="16"/>
                <w:szCs w:val="16"/>
              </w:rPr>
            </w:pPr>
            <w:r>
              <w:rPr>
                <w:sz w:val="16"/>
                <w:szCs w:val="16"/>
              </w:rPr>
              <w:t>微</w:t>
            </w:r>
            <w:r>
              <w:rPr>
                <w:spacing w:val="31"/>
                <w:sz w:val="16"/>
                <w:szCs w:val="16"/>
              </w:rPr>
              <w:t xml:space="preserve"> </w:t>
            </w:r>
            <w:r>
              <w:rPr>
                <w:sz w:val="16"/>
                <w:szCs w:val="16"/>
              </w:rPr>
              <w:t>机</w:t>
            </w:r>
          </w:p>
        </w:tc>
        <w:tc>
          <w:tcPr>
            <w:tcW w:w="1538" w:type="dxa"/>
            <w:vAlign w:val="top"/>
          </w:tcPr>
          <w:p w14:paraId="59284803">
            <w:pPr>
              <w:pStyle w:val="6"/>
              <w:spacing w:before="58" w:line="251" w:lineRule="auto"/>
              <w:ind w:left="11" w:right="221" w:firstLine="9"/>
              <w:jc w:val="both"/>
              <w:rPr>
                <w:sz w:val="16"/>
                <w:szCs w:val="16"/>
              </w:rPr>
            </w:pPr>
            <w:r>
              <w:rPr>
                <w:sz w:val="16"/>
                <w:szCs w:val="16"/>
              </w:rPr>
              <w:t>1.桌面外观的设置</w:t>
            </w:r>
            <w:r>
              <w:rPr>
                <w:spacing w:val="4"/>
                <w:sz w:val="16"/>
                <w:szCs w:val="16"/>
              </w:rPr>
              <w:t xml:space="preserve"> </w:t>
            </w:r>
            <w:r>
              <w:rPr>
                <w:sz w:val="16"/>
                <w:szCs w:val="16"/>
              </w:rPr>
              <w:t xml:space="preserve">2.基本的网络配置 </w:t>
            </w:r>
            <w:r>
              <w:rPr>
                <w:spacing w:val="-2"/>
                <w:sz w:val="16"/>
                <w:szCs w:val="16"/>
              </w:rPr>
              <w:t>3.资源管理器的操</w:t>
            </w:r>
            <w:r>
              <w:rPr>
                <w:spacing w:val="7"/>
                <w:sz w:val="16"/>
                <w:szCs w:val="16"/>
              </w:rPr>
              <w:t xml:space="preserve"> 作与应用</w:t>
            </w:r>
          </w:p>
          <w:p w14:paraId="6CD1A212">
            <w:pPr>
              <w:pStyle w:val="6"/>
              <w:spacing w:before="17" w:line="241" w:lineRule="auto"/>
              <w:ind w:left="20" w:right="696"/>
              <w:rPr>
                <w:sz w:val="16"/>
                <w:szCs w:val="16"/>
              </w:rPr>
            </w:pPr>
            <w:r>
              <w:rPr>
                <w:spacing w:val="-1"/>
                <w:sz w:val="16"/>
                <w:szCs w:val="16"/>
              </w:rPr>
              <w:t>4.文件操作</w:t>
            </w:r>
            <w:r>
              <w:rPr>
                <w:sz w:val="16"/>
                <w:szCs w:val="16"/>
              </w:rPr>
              <w:t xml:space="preserve"> </w:t>
            </w:r>
            <w:r>
              <w:rPr>
                <w:spacing w:val="1"/>
                <w:sz w:val="16"/>
                <w:szCs w:val="16"/>
              </w:rPr>
              <w:t>5.磁盘操作</w:t>
            </w:r>
          </w:p>
          <w:p w14:paraId="11D6FAE7">
            <w:pPr>
              <w:pStyle w:val="6"/>
              <w:spacing w:before="22" w:line="241" w:lineRule="auto"/>
              <w:ind w:left="30" w:right="234" w:hanging="10"/>
              <w:rPr>
                <w:sz w:val="16"/>
                <w:szCs w:val="16"/>
              </w:rPr>
            </w:pPr>
            <w:r>
              <w:rPr>
                <w:spacing w:val="-1"/>
                <w:sz w:val="16"/>
                <w:szCs w:val="16"/>
              </w:rPr>
              <w:t>6.中文输入法的安</w:t>
            </w:r>
            <w:r>
              <w:rPr>
                <w:sz w:val="16"/>
                <w:szCs w:val="16"/>
              </w:rPr>
              <w:t xml:space="preserve"> </w:t>
            </w:r>
            <w:r>
              <w:rPr>
                <w:spacing w:val="2"/>
                <w:sz w:val="16"/>
                <w:szCs w:val="16"/>
              </w:rPr>
              <w:t>装、删除和选用</w:t>
            </w:r>
          </w:p>
          <w:p w14:paraId="1CBC612A">
            <w:pPr>
              <w:pStyle w:val="6"/>
              <w:spacing w:before="2" w:line="219" w:lineRule="auto"/>
              <w:ind w:left="20"/>
              <w:rPr>
                <w:sz w:val="16"/>
                <w:szCs w:val="16"/>
              </w:rPr>
            </w:pPr>
            <w:r>
              <w:rPr>
                <w:spacing w:val="1"/>
                <w:sz w:val="16"/>
                <w:szCs w:val="16"/>
              </w:rPr>
              <w:t>7.控制面板常用系</w:t>
            </w:r>
          </w:p>
          <w:p w14:paraId="25735CEF">
            <w:pPr>
              <w:pStyle w:val="6"/>
              <w:spacing w:before="42" w:line="230" w:lineRule="auto"/>
              <w:ind w:left="29" w:hanging="18"/>
              <w:rPr>
                <w:sz w:val="16"/>
                <w:szCs w:val="16"/>
              </w:rPr>
            </w:pPr>
            <w:r>
              <w:rPr>
                <w:spacing w:val="-1"/>
                <w:sz w:val="16"/>
                <w:szCs w:val="16"/>
              </w:rPr>
              <w:t>统工具(系统、程序、</w:t>
            </w:r>
            <w:r>
              <w:rPr>
                <w:spacing w:val="5"/>
                <w:sz w:val="16"/>
                <w:szCs w:val="16"/>
              </w:rPr>
              <w:t xml:space="preserve"> </w:t>
            </w:r>
            <w:r>
              <w:rPr>
                <w:spacing w:val="-7"/>
                <w:sz w:val="16"/>
                <w:szCs w:val="16"/>
              </w:rPr>
              <w:t>字体和用户等)。</w:t>
            </w:r>
          </w:p>
        </w:tc>
        <w:tc>
          <w:tcPr>
            <w:tcW w:w="379" w:type="dxa"/>
            <w:textDirection w:val="tbRlV"/>
            <w:vAlign w:val="top"/>
          </w:tcPr>
          <w:p w14:paraId="1EAD2987">
            <w:pPr>
              <w:pStyle w:val="6"/>
              <w:spacing w:before="112" w:line="201" w:lineRule="auto"/>
              <w:ind w:left="30"/>
              <w:rPr>
                <w:sz w:val="16"/>
                <w:szCs w:val="16"/>
              </w:rPr>
            </w:pPr>
            <w:r>
              <w:rPr>
                <w:spacing w:val="-2"/>
                <w:sz w:val="16"/>
                <w:szCs w:val="16"/>
              </w:rPr>
              <w:t>上 机 操 作</w:t>
            </w:r>
          </w:p>
        </w:tc>
        <w:tc>
          <w:tcPr>
            <w:tcW w:w="1608" w:type="dxa"/>
            <w:vAlign w:val="top"/>
          </w:tcPr>
          <w:p w14:paraId="54956C7E">
            <w:pPr>
              <w:pStyle w:val="6"/>
              <w:spacing w:before="57" w:line="220" w:lineRule="auto"/>
              <w:ind w:left="14"/>
              <w:rPr>
                <w:sz w:val="16"/>
                <w:szCs w:val="16"/>
              </w:rPr>
            </w:pPr>
            <w:r>
              <w:rPr>
                <w:spacing w:val="-1"/>
                <w:sz w:val="16"/>
                <w:szCs w:val="16"/>
              </w:rPr>
              <w:t>测试时间：5分钟</w:t>
            </w:r>
          </w:p>
          <w:p w14:paraId="45F5C5C5">
            <w:pPr>
              <w:pStyle w:val="6"/>
              <w:spacing w:before="48" w:line="225" w:lineRule="auto"/>
              <w:ind w:left="33" w:hanging="19"/>
              <w:rPr>
                <w:sz w:val="16"/>
                <w:szCs w:val="16"/>
              </w:rPr>
            </w:pPr>
            <w:r>
              <w:rPr>
                <w:spacing w:val="23"/>
                <w:sz w:val="16"/>
                <w:szCs w:val="16"/>
              </w:rPr>
              <w:t>按照项目要求</w:t>
            </w:r>
            <w:r>
              <w:rPr>
                <w:spacing w:val="-14"/>
                <w:sz w:val="16"/>
                <w:szCs w:val="16"/>
              </w:rPr>
              <w:t xml:space="preserve"> </w:t>
            </w:r>
            <w:r>
              <w:rPr>
                <w:spacing w:val="23"/>
                <w:sz w:val="16"/>
                <w:szCs w:val="16"/>
              </w:rPr>
              <w:t>，</w:t>
            </w:r>
            <w:r>
              <w:rPr>
                <w:spacing w:val="-28"/>
                <w:sz w:val="16"/>
                <w:szCs w:val="16"/>
              </w:rPr>
              <w:t xml:space="preserve"> </w:t>
            </w:r>
            <w:r>
              <w:rPr>
                <w:spacing w:val="23"/>
                <w:sz w:val="16"/>
                <w:szCs w:val="16"/>
              </w:rPr>
              <w:t>完</w:t>
            </w:r>
            <w:r>
              <w:rPr>
                <w:sz w:val="16"/>
                <w:szCs w:val="16"/>
              </w:rPr>
              <w:t xml:space="preserve"> </w:t>
            </w:r>
            <w:r>
              <w:rPr>
                <w:spacing w:val="9"/>
                <w:sz w:val="16"/>
                <w:szCs w:val="16"/>
              </w:rPr>
              <w:t>成文件操作任务、</w:t>
            </w:r>
          </w:p>
          <w:p w14:paraId="10561D09">
            <w:pPr>
              <w:pStyle w:val="6"/>
              <w:spacing w:before="30"/>
              <w:ind w:left="23" w:hanging="9"/>
              <w:rPr>
                <w:sz w:val="16"/>
                <w:szCs w:val="16"/>
              </w:rPr>
            </w:pPr>
            <w:r>
              <w:rPr>
                <w:spacing w:val="37"/>
                <w:sz w:val="16"/>
                <w:szCs w:val="16"/>
              </w:rPr>
              <w:t>磁盘操作任务和系</w:t>
            </w:r>
            <w:r>
              <w:rPr>
                <w:spacing w:val="6"/>
                <w:sz w:val="16"/>
                <w:szCs w:val="16"/>
              </w:rPr>
              <w:t xml:space="preserve"> </w:t>
            </w:r>
            <w:r>
              <w:rPr>
                <w:spacing w:val="-1"/>
                <w:sz w:val="16"/>
                <w:szCs w:val="16"/>
              </w:rPr>
              <w:t>统管理与设置任务。</w:t>
            </w:r>
          </w:p>
        </w:tc>
        <w:tc>
          <w:tcPr>
            <w:tcW w:w="3930" w:type="dxa"/>
            <w:vAlign w:val="top"/>
          </w:tcPr>
          <w:p w14:paraId="17FB69CD">
            <w:pPr>
              <w:pStyle w:val="6"/>
              <w:spacing w:before="66" w:line="219" w:lineRule="auto"/>
              <w:ind w:left="16"/>
              <w:rPr>
                <w:sz w:val="16"/>
                <w:szCs w:val="16"/>
              </w:rPr>
            </w:pPr>
            <w:r>
              <w:rPr>
                <w:spacing w:val="-1"/>
                <w:sz w:val="16"/>
                <w:szCs w:val="16"/>
              </w:rPr>
              <w:t>参考分值：20分</w:t>
            </w:r>
          </w:p>
          <w:p w14:paraId="08F88D54">
            <w:pPr>
              <w:pStyle w:val="6"/>
              <w:spacing w:before="9" w:line="219" w:lineRule="auto"/>
              <w:ind w:left="16"/>
              <w:rPr>
                <w:sz w:val="16"/>
                <w:szCs w:val="16"/>
              </w:rPr>
            </w:pPr>
            <w:r>
              <w:rPr>
                <w:sz w:val="16"/>
                <w:szCs w:val="16"/>
              </w:rPr>
              <w:t>1.技术方法：上机考核，自动评分。</w:t>
            </w:r>
          </w:p>
          <w:p w14:paraId="70874863">
            <w:pPr>
              <w:pStyle w:val="6"/>
              <w:spacing w:before="40" w:line="254" w:lineRule="auto"/>
              <w:ind w:left="16" w:right="606"/>
              <w:rPr>
                <w:sz w:val="16"/>
                <w:szCs w:val="16"/>
              </w:rPr>
            </w:pPr>
            <w:r>
              <w:rPr>
                <w:sz w:val="16"/>
                <w:szCs w:val="16"/>
              </w:rPr>
              <w:t>2.工具使用：Windows10操作系统操作测试平台</w:t>
            </w:r>
            <w:r>
              <w:rPr>
                <w:spacing w:val="16"/>
                <w:sz w:val="16"/>
                <w:szCs w:val="16"/>
              </w:rPr>
              <w:t xml:space="preserve"> </w:t>
            </w:r>
            <w:r>
              <w:rPr>
                <w:spacing w:val="-1"/>
                <w:sz w:val="16"/>
                <w:szCs w:val="16"/>
              </w:rPr>
              <w:t>3.操作步骤：按项目任务书要求进行</w:t>
            </w:r>
          </w:p>
          <w:p w14:paraId="04BB1A60">
            <w:pPr>
              <w:pStyle w:val="6"/>
              <w:spacing w:before="1" w:line="239" w:lineRule="auto"/>
              <w:ind w:left="16" w:right="869"/>
              <w:rPr>
                <w:sz w:val="16"/>
                <w:szCs w:val="16"/>
              </w:rPr>
            </w:pPr>
            <w:r>
              <w:rPr>
                <w:spacing w:val="-1"/>
                <w:sz w:val="16"/>
                <w:szCs w:val="16"/>
              </w:rPr>
              <w:t>4.操作成效：完成项目任务，操作准确娴熟</w:t>
            </w:r>
            <w:r>
              <w:rPr>
                <w:spacing w:val="13"/>
                <w:sz w:val="16"/>
                <w:szCs w:val="16"/>
              </w:rPr>
              <w:t xml:space="preserve"> </w:t>
            </w:r>
            <w:r>
              <w:rPr>
                <w:spacing w:val="-1"/>
                <w:sz w:val="16"/>
                <w:szCs w:val="16"/>
              </w:rPr>
              <w:t>5.安全清洁：遵守微机操作安全规范，保</w:t>
            </w:r>
          </w:p>
          <w:p w14:paraId="4443966A">
            <w:pPr>
              <w:pStyle w:val="6"/>
              <w:spacing w:before="33" w:line="219" w:lineRule="auto"/>
              <w:ind w:left="16"/>
              <w:rPr>
                <w:sz w:val="16"/>
                <w:szCs w:val="16"/>
              </w:rPr>
            </w:pPr>
            <w:r>
              <w:rPr>
                <w:spacing w:val="-1"/>
                <w:sz w:val="16"/>
                <w:szCs w:val="16"/>
              </w:rPr>
              <w:t>持机位清洁卫生</w:t>
            </w:r>
          </w:p>
        </w:tc>
      </w:tr>
      <w:tr w14:paraId="382EC6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16" w:hRule="atLeast"/>
        </w:trPr>
        <w:tc>
          <w:tcPr>
            <w:tcW w:w="884" w:type="dxa"/>
            <w:vAlign w:val="top"/>
          </w:tcPr>
          <w:p w14:paraId="065206CE">
            <w:pPr>
              <w:pStyle w:val="6"/>
              <w:spacing w:before="68" w:line="219" w:lineRule="auto"/>
              <w:ind w:left="115" w:right="79" w:firstLine="39"/>
              <w:rPr>
                <w:sz w:val="16"/>
                <w:szCs w:val="16"/>
              </w:rPr>
            </w:pPr>
            <w:r>
              <w:rPr>
                <w:spacing w:val="-1"/>
                <w:sz w:val="16"/>
                <w:szCs w:val="16"/>
              </w:rPr>
              <w:t>项目三：</w:t>
            </w:r>
            <w:r>
              <w:rPr>
                <w:spacing w:val="2"/>
                <w:sz w:val="16"/>
                <w:szCs w:val="16"/>
              </w:rPr>
              <w:t xml:space="preserve"> </w:t>
            </w:r>
            <w:r>
              <w:rPr>
                <w:spacing w:val="-2"/>
                <w:sz w:val="16"/>
                <w:szCs w:val="16"/>
              </w:rPr>
              <w:t>文字处理</w:t>
            </w:r>
          </w:p>
        </w:tc>
        <w:tc>
          <w:tcPr>
            <w:tcW w:w="380" w:type="dxa"/>
            <w:textDirection w:val="tbRlV"/>
            <w:vAlign w:val="top"/>
          </w:tcPr>
          <w:p w14:paraId="227311CB">
            <w:pPr>
              <w:pStyle w:val="6"/>
              <w:spacing w:before="115" w:line="201" w:lineRule="auto"/>
              <w:ind w:left="13"/>
              <w:rPr>
                <w:sz w:val="16"/>
                <w:szCs w:val="16"/>
              </w:rPr>
            </w:pPr>
            <w:r>
              <w:rPr>
                <w:sz w:val="16"/>
                <w:szCs w:val="16"/>
              </w:rPr>
              <w:t>微</w:t>
            </w:r>
            <w:r>
              <w:rPr>
                <w:spacing w:val="51"/>
                <w:sz w:val="16"/>
                <w:szCs w:val="16"/>
              </w:rPr>
              <w:t xml:space="preserve"> </w:t>
            </w:r>
            <w:r>
              <w:rPr>
                <w:sz w:val="16"/>
                <w:szCs w:val="16"/>
              </w:rPr>
              <w:t>机</w:t>
            </w:r>
          </w:p>
        </w:tc>
        <w:tc>
          <w:tcPr>
            <w:tcW w:w="1538" w:type="dxa"/>
            <w:vAlign w:val="top"/>
          </w:tcPr>
          <w:p w14:paraId="06C7C82E">
            <w:pPr>
              <w:pStyle w:val="6"/>
              <w:spacing w:before="48" w:line="248" w:lineRule="auto"/>
              <w:ind w:left="40" w:right="219" w:hanging="20"/>
              <w:rPr>
                <w:sz w:val="16"/>
                <w:szCs w:val="16"/>
              </w:rPr>
            </w:pPr>
            <w:r>
              <w:rPr>
                <w:sz w:val="16"/>
                <w:szCs w:val="16"/>
              </w:rPr>
              <w:t>1.Word2016的基本</w:t>
            </w:r>
            <w:r>
              <w:rPr>
                <w:spacing w:val="6"/>
                <w:sz w:val="16"/>
                <w:szCs w:val="16"/>
              </w:rPr>
              <w:t xml:space="preserve"> </w:t>
            </w:r>
            <w:r>
              <w:rPr>
                <w:spacing w:val="-2"/>
                <w:sz w:val="16"/>
                <w:szCs w:val="16"/>
              </w:rPr>
              <w:t>概念</w:t>
            </w:r>
          </w:p>
          <w:p w14:paraId="61D03355">
            <w:pPr>
              <w:pStyle w:val="6"/>
              <w:spacing w:line="265" w:lineRule="auto"/>
              <w:ind w:left="20" w:right="245" w:hanging="9"/>
              <w:rPr>
                <w:sz w:val="16"/>
                <w:szCs w:val="16"/>
              </w:rPr>
            </w:pPr>
            <w:r>
              <w:rPr>
                <w:spacing w:val="-1"/>
                <w:sz w:val="16"/>
                <w:szCs w:val="16"/>
              </w:rPr>
              <w:t>2.Word2016的基本</w:t>
            </w:r>
            <w:r>
              <w:rPr>
                <w:spacing w:val="3"/>
                <w:sz w:val="16"/>
                <w:szCs w:val="16"/>
              </w:rPr>
              <w:t xml:space="preserve"> </w:t>
            </w:r>
            <w:r>
              <w:rPr>
                <w:spacing w:val="-2"/>
                <w:sz w:val="16"/>
                <w:szCs w:val="16"/>
              </w:rPr>
              <w:t>功能和运行环境</w:t>
            </w:r>
          </w:p>
          <w:p w14:paraId="1576FDB8">
            <w:pPr>
              <w:pStyle w:val="6"/>
              <w:spacing w:before="11" w:line="233" w:lineRule="auto"/>
              <w:ind w:left="20" w:right="215"/>
              <w:rPr>
                <w:sz w:val="16"/>
                <w:szCs w:val="16"/>
              </w:rPr>
            </w:pPr>
            <w:r>
              <w:rPr>
                <w:spacing w:val="1"/>
                <w:sz w:val="16"/>
                <w:szCs w:val="16"/>
              </w:rPr>
              <w:t>3.</w:t>
            </w:r>
            <w:r>
              <w:rPr>
                <w:sz w:val="16"/>
                <w:szCs w:val="16"/>
              </w:rPr>
              <w:t>Word</w:t>
            </w:r>
            <w:r>
              <w:rPr>
                <w:spacing w:val="1"/>
                <w:sz w:val="16"/>
                <w:szCs w:val="16"/>
              </w:rPr>
              <w:t xml:space="preserve">2016的启动 </w:t>
            </w:r>
            <w:r>
              <w:rPr>
                <w:spacing w:val="6"/>
                <w:sz w:val="16"/>
                <w:szCs w:val="16"/>
              </w:rPr>
              <w:t>和退出</w:t>
            </w:r>
          </w:p>
          <w:p w14:paraId="640BD213">
            <w:pPr>
              <w:pStyle w:val="6"/>
              <w:spacing w:before="34"/>
              <w:ind w:left="11" w:firstLine="9"/>
              <w:jc w:val="both"/>
              <w:rPr>
                <w:sz w:val="16"/>
                <w:szCs w:val="16"/>
              </w:rPr>
            </w:pPr>
            <w:r>
              <w:rPr>
                <w:spacing w:val="-9"/>
                <w:sz w:val="16"/>
                <w:szCs w:val="16"/>
              </w:rPr>
              <w:t>4.文档的创建、打开、</w:t>
            </w:r>
            <w:r>
              <w:rPr>
                <w:spacing w:val="5"/>
                <w:sz w:val="16"/>
                <w:szCs w:val="16"/>
              </w:rPr>
              <w:t xml:space="preserve"> </w:t>
            </w:r>
            <w:r>
              <w:rPr>
                <w:spacing w:val="-15"/>
                <w:sz w:val="16"/>
                <w:szCs w:val="16"/>
              </w:rPr>
              <w:t>输入、保存等基本操作</w:t>
            </w:r>
            <w:r>
              <w:rPr>
                <w:spacing w:val="7"/>
                <w:sz w:val="16"/>
                <w:szCs w:val="16"/>
              </w:rPr>
              <w:t xml:space="preserve"> </w:t>
            </w:r>
            <w:r>
              <w:rPr>
                <w:spacing w:val="-13"/>
                <w:sz w:val="16"/>
                <w:szCs w:val="16"/>
              </w:rPr>
              <w:t>5.文本的选定、插入与</w:t>
            </w:r>
            <w:r>
              <w:rPr>
                <w:spacing w:val="2"/>
                <w:sz w:val="16"/>
                <w:szCs w:val="16"/>
              </w:rPr>
              <w:t xml:space="preserve"> </w:t>
            </w:r>
            <w:r>
              <w:rPr>
                <w:spacing w:val="-15"/>
                <w:sz w:val="16"/>
                <w:szCs w:val="16"/>
              </w:rPr>
              <w:t>删除、复制与移动、查</w:t>
            </w:r>
            <w:r>
              <w:rPr>
                <w:spacing w:val="2"/>
                <w:sz w:val="16"/>
                <w:szCs w:val="16"/>
              </w:rPr>
              <w:t xml:space="preserve">  </w:t>
            </w:r>
            <w:r>
              <w:rPr>
                <w:spacing w:val="-7"/>
                <w:sz w:val="16"/>
                <w:szCs w:val="16"/>
              </w:rPr>
              <w:t>找与替换等</w:t>
            </w:r>
          </w:p>
          <w:p w14:paraId="15A05210">
            <w:pPr>
              <w:pStyle w:val="6"/>
              <w:spacing w:before="30" w:line="255" w:lineRule="auto"/>
              <w:ind w:left="20" w:hanging="9"/>
              <w:jc w:val="both"/>
              <w:rPr>
                <w:sz w:val="16"/>
                <w:szCs w:val="16"/>
              </w:rPr>
            </w:pPr>
            <w:r>
              <w:rPr>
                <w:spacing w:val="-1"/>
                <w:sz w:val="16"/>
                <w:szCs w:val="16"/>
              </w:rPr>
              <w:t>6字体格式设置、段落</w:t>
            </w:r>
            <w:r>
              <w:rPr>
                <w:sz w:val="16"/>
                <w:szCs w:val="16"/>
              </w:rPr>
              <w:t xml:space="preserve"> </w:t>
            </w:r>
            <w:r>
              <w:rPr>
                <w:spacing w:val="-11"/>
                <w:sz w:val="16"/>
                <w:szCs w:val="16"/>
              </w:rPr>
              <w:t>格</w:t>
            </w:r>
            <w:r>
              <w:rPr>
                <w:spacing w:val="-10"/>
                <w:sz w:val="16"/>
                <w:szCs w:val="16"/>
              </w:rPr>
              <w:t>式设置、文档页面</w:t>
            </w:r>
            <w:r>
              <w:rPr>
                <w:spacing w:val="-9"/>
                <w:sz w:val="16"/>
                <w:szCs w:val="16"/>
              </w:rPr>
              <w:t>设</w:t>
            </w:r>
            <w:r>
              <w:rPr>
                <w:spacing w:val="4"/>
                <w:sz w:val="16"/>
                <w:szCs w:val="16"/>
              </w:rPr>
              <w:t xml:space="preserve"> </w:t>
            </w:r>
            <w:r>
              <w:rPr>
                <w:spacing w:val="-11"/>
                <w:sz w:val="16"/>
                <w:szCs w:val="16"/>
              </w:rPr>
              <w:t>置</w:t>
            </w:r>
            <w:r>
              <w:rPr>
                <w:spacing w:val="-10"/>
                <w:sz w:val="16"/>
                <w:szCs w:val="16"/>
              </w:rPr>
              <w:t>、文档背景设置和</w:t>
            </w:r>
            <w:r>
              <w:rPr>
                <w:spacing w:val="-9"/>
                <w:sz w:val="16"/>
                <w:szCs w:val="16"/>
              </w:rPr>
              <w:t>文</w:t>
            </w:r>
            <w:r>
              <w:rPr>
                <w:spacing w:val="6"/>
                <w:sz w:val="16"/>
                <w:szCs w:val="16"/>
              </w:rPr>
              <w:t xml:space="preserve"> </w:t>
            </w:r>
            <w:r>
              <w:rPr>
                <w:spacing w:val="-2"/>
                <w:sz w:val="16"/>
                <w:szCs w:val="16"/>
              </w:rPr>
              <w:t>档分栏等</w:t>
            </w:r>
          </w:p>
          <w:p w14:paraId="7B570814">
            <w:pPr>
              <w:pStyle w:val="6"/>
              <w:spacing w:before="6" w:line="219" w:lineRule="auto"/>
              <w:ind w:left="20"/>
              <w:rPr>
                <w:sz w:val="16"/>
                <w:szCs w:val="16"/>
              </w:rPr>
            </w:pPr>
            <w:r>
              <w:rPr>
                <w:spacing w:val="-2"/>
                <w:sz w:val="16"/>
                <w:szCs w:val="16"/>
              </w:rPr>
              <w:t>7.表格的创建、修改</w:t>
            </w:r>
          </w:p>
          <w:p w14:paraId="3C1639B5">
            <w:pPr>
              <w:pStyle w:val="6"/>
              <w:spacing w:before="40" w:line="219" w:lineRule="auto"/>
              <w:ind w:left="20"/>
              <w:rPr>
                <w:sz w:val="16"/>
                <w:szCs w:val="16"/>
              </w:rPr>
            </w:pPr>
            <w:r>
              <w:rPr>
                <w:spacing w:val="-1"/>
                <w:sz w:val="16"/>
                <w:szCs w:val="16"/>
              </w:rPr>
              <w:t>8格式化表格</w:t>
            </w:r>
          </w:p>
          <w:p w14:paraId="2CD40896">
            <w:pPr>
              <w:pStyle w:val="6"/>
              <w:spacing w:before="11" w:line="220" w:lineRule="auto"/>
              <w:ind w:left="11"/>
              <w:rPr>
                <w:sz w:val="16"/>
                <w:szCs w:val="16"/>
              </w:rPr>
            </w:pPr>
            <w:r>
              <w:rPr>
                <w:spacing w:val="-1"/>
                <w:sz w:val="16"/>
                <w:szCs w:val="16"/>
              </w:rPr>
              <w:t>9图形和图片的插入</w:t>
            </w:r>
          </w:p>
          <w:p w14:paraId="4B99B70B">
            <w:pPr>
              <w:pStyle w:val="6"/>
              <w:spacing w:before="48"/>
              <w:ind w:left="20" w:firstLine="9"/>
              <w:rPr>
                <w:sz w:val="16"/>
                <w:szCs w:val="16"/>
              </w:rPr>
            </w:pPr>
            <w:r>
              <w:rPr>
                <w:spacing w:val="-3"/>
                <w:sz w:val="16"/>
                <w:szCs w:val="16"/>
              </w:rPr>
              <w:t>10.图形的建立和编辑</w:t>
            </w:r>
            <w:r>
              <w:rPr>
                <w:spacing w:val="9"/>
                <w:sz w:val="16"/>
                <w:szCs w:val="16"/>
              </w:rPr>
              <w:t xml:space="preserve"> </w:t>
            </w:r>
            <w:r>
              <w:rPr>
                <w:sz w:val="16"/>
                <w:szCs w:val="16"/>
              </w:rPr>
              <w:t>11.文本框、艺术字</w:t>
            </w:r>
          </w:p>
          <w:p w14:paraId="2003EB86">
            <w:pPr>
              <w:pStyle w:val="6"/>
              <w:spacing w:before="5" w:line="193" w:lineRule="auto"/>
              <w:ind w:left="41"/>
              <w:rPr>
                <w:sz w:val="16"/>
                <w:szCs w:val="16"/>
              </w:rPr>
            </w:pPr>
            <w:r>
              <w:rPr>
                <w:sz w:val="16"/>
                <w:szCs w:val="16"/>
              </w:rPr>
              <w:t>的使用和编辑。</w:t>
            </w:r>
          </w:p>
        </w:tc>
        <w:tc>
          <w:tcPr>
            <w:tcW w:w="379" w:type="dxa"/>
            <w:textDirection w:val="tbRlV"/>
            <w:vAlign w:val="top"/>
          </w:tcPr>
          <w:p w14:paraId="7D55E7F7">
            <w:pPr>
              <w:pStyle w:val="6"/>
              <w:spacing w:before="112" w:line="201" w:lineRule="auto"/>
              <w:ind w:left="32"/>
              <w:rPr>
                <w:sz w:val="16"/>
                <w:szCs w:val="16"/>
              </w:rPr>
            </w:pPr>
            <w:r>
              <w:rPr>
                <w:spacing w:val="-1"/>
                <w:sz w:val="16"/>
                <w:szCs w:val="16"/>
              </w:rPr>
              <w:t>上</w:t>
            </w:r>
            <w:r>
              <w:rPr>
                <w:spacing w:val="-6"/>
                <w:sz w:val="16"/>
                <w:szCs w:val="16"/>
              </w:rPr>
              <w:t xml:space="preserve"> </w:t>
            </w:r>
            <w:r>
              <w:rPr>
                <w:spacing w:val="-1"/>
                <w:sz w:val="16"/>
                <w:szCs w:val="16"/>
              </w:rPr>
              <w:t>机</w:t>
            </w:r>
            <w:r>
              <w:rPr>
                <w:spacing w:val="-9"/>
                <w:sz w:val="16"/>
                <w:szCs w:val="16"/>
              </w:rPr>
              <w:t xml:space="preserve"> </w:t>
            </w:r>
            <w:r>
              <w:rPr>
                <w:spacing w:val="-1"/>
                <w:sz w:val="16"/>
                <w:szCs w:val="16"/>
              </w:rPr>
              <w:t>操</w:t>
            </w:r>
            <w:r>
              <w:rPr>
                <w:spacing w:val="-9"/>
                <w:sz w:val="16"/>
                <w:szCs w:val="16"/>
              </w:rPr>
              <w:t xml:space="preserve"> </w:t>
            </w:r>
            <w:r>
              <w:rPr>
                <w:spacing w:val="-1"/>
                <w:sz w:val="16"/>
                <w:szCs w:val="16"/>
              </w:rPr>
              <w:t>作</w:t>
            </w:r>
          </w:p>
        </w:tc>
        <w:tc>
          <w:tcPr>
            <w:tcW w:w="1608" w:type="dxa"/>
            <w:vAlign w:val="top"/>
          </w:tcPr>
          <w:p w14:paraId="3127B853">
            <w:pPr>
              <w:pStyle w:val="6"/>
              <w:spacing w:before="49" w:line="220" w:lineRule="auto"/>
              <w:ind w:left="14"/>
              <w:rPr>
                <w:sz w:val="16"/>
                <w:szCs w:val="16"/>
              </w:rPr>
            </w:pPr>
            <w:r>
              <w:rPr>
                <w:spacing w:val="-1"/>
                <w:sz w:val="16"/>
                <w:szCs w:val="16"/>
              </w:rPr>
              <w:t>测试时间：15分钟</w:t>
            </w:r>
          </w:p>
          <w:p w14:paraId="14640CE1">
            <w:pPr>
              <w:pStyle w:val="6"/>
              <w:spacing w:before="38" w:line="219" w:lineRule="auto"/>
              <w:ind w:left="14"/>
              <w:rPr>
                <w:sz w:val="16"/>
                <w:szCs w:val="16"/>
              </w:rPr>
            </w:pPr>
            <w:r>
              <w:rPr>
                <w:spacing w:val="-1"/>
                <w:sz w:val="16"/>
                <w:szCs w:val="16"/>
              </w:rPr>
              <w:t>按照项目要求，根据</w:t>
            </w:r>
          </w:p>
          <w:p w14:paraId="1424198A">
            <w:pPr>
              <w:pStyle w:val="6"/>
              <w:spacing w:before="21" w:line="243" w:lineRule="auto"/>
              <w:ind w:left="14" w:firstLine="20"/>
              <w:rPr>
                <w:sz w:val="16"/>
                <w:szCs w:val="16"/>
              </w:rPr>
            </w:pPr>
            <w:r>
              <w:rPr>
                <w:spacing w:val="-2"/>
                <w:sz w:val="16"/>
                <w:szCs w:val="16"/>
              </w:rPr>
              <w:t>指定文稿，完成美化</w:t>
            </w:r>
            <w:r>
              <w:rPr>
                <w:spacing w:val="3"/>
                <w:sz w:val="16"/>
                <w:szCs w:val="16"/>
              </w:rPr>
              <w:t xml:space="preserve">  </w:t>
            </w:r>
            <w:r>
              <w:rPr>
                <w:spacing w:val="2"/>
                <w:sz w:val="16"/>
                <w:szCs w:val="16"/>
              </w:rPr>
              <w:t>文档任务、图文混排</w:t>
            </w:r>
            <w:r>
              <w:rPr>
                <w:sz w:val="16"/>
                <w:szCs w:val="16"/>
              </w:rPr>
              <w:t xml:space="preserve">  </w:t>
            </w:r>
            <w:r>
              <w:rPr>
                <w:spacing w:val="-4"/>
                <w:sz w:val="16"/>
                <w:szCs w:val="16"/>
              </w:rPr>
              <w:t>任</w:t>
            </w:r>
            <w:r>
              <w:rPr>
                <w:spacing w:val="-10"/>
                <w:sz w:val="16"/>
                <w:szCs w:val="16"/>
              </w:rPr>
              <w:t xml:space="preserve"> </w:t>
            </w:r>
            <w:r>
              <w:rPr>
                <w:spacing w:val="-4"/>
                <w:sz w:val="16"/>
                <w:szCs w:val="16"/>
              </w:rPr>
              <w:t>务</w:t>
            </w:r>
            <w:r>
              <w:rPr>
                <w:spacing w:val="-17"/>
                <w:sz w:val="16"/>
                <w:szCs w:val="16"/>
              </w:rPr>
              <w:t xml:space="preserve"> </w:t>
            </w:r>
            <w:r>
              <w:rPr>
                <w:spacing w:val="-4"/>
                <w:sz w:val="16"/>
                <w:szCs w:val="16"/>
              </w:rPr>
              <w:t>和</w:t>
            </w:r>
            <w:r>
              <w:rPr>
                <w:spacing w:val="-22"/>
                <w:sz w:val="16"/>
                <w:szCs w:val="16"/>
              </w:rPr>
              <w:t xml:space="preserve"> </w:t>
            </w:r>
            <w:r>
              <w:rPr>
                <w:spacing w:val="-4"/>
                <w:sz w:val="16"/>
                <w:szCs w:val="16"/>
              </w:rPr>
              <w:t>W</w:t>
            </w:r>
            <w:r>
              <w:rPr>
                <w:spacing w:val="-18"/>
                <w:sz w:val="16"/>
                <w:szCs w:val="16"/>
              </w:rPr>
              <w:t xml:space="preserve"> </w:t>
            </w:r>
            <w:r>
              <w:rPr>
                <w:spacing w:val="-4"/>
                <w:sz w:val="16"/>
                <w:szCs w:val="16"/>
              </w:rPr>
              <w:t>O</w:t>
            </w:r>
            <w:r>
              <w:rPr>
                <w:spacing w:val="-19"/>
                <w:sz w:val="16"/>
                <w:szCs w:val="16"/>
              </w:rPr>
              <w:t xml:space="preserve"> </w:t>
            </w:r>
            <w:r>
              <w:rPr>
                <w:spacing w:val="-4"/>
                <w:sz w:val="16"/>
                <w:szCs w:val="16"/>
              </w:rPr>
              <w:t>R</w:t>
            </w:r>
            <w:r>
              <w:rPr>
                <w:spacing w:val="-20"/>
                <w:sz w:val="16"/>
                <w:szCs w:val="16"/>
              </w:rPr>
              <w:t xml:space="preserve"> </w:t>
            </w:r>
            <w:r>
              <w:rPr>
                <w:spacing w:val="-4"/>
                <w:sz w:val="16"/>
                <w:szCs w:val="16"/>
              </w:rPr>
              <w:t>D</w:t>
            </w:r>
            <w:r>
              <w:rPr>
                <w:spacing w:val="-18"/>
                <w:sz w:val="16"/>
                <w:szCs w:val="16"/>
              </w:rPr>
              <w:t xml:space="preserve"> </w:t>
            </w:r>
            <w:r>
              <w:rPr>
                <w:spacing w:val="-4"/>
                <w:sz w:val="16"/>
                <w:szCs w:val="16"/>
              </w:rPr>
              <w:t>表</w:t>
            </w:r>
            <w:r>
              <w:rPr>
                <w:spacing w:val="-18"/>
                <w:sz w:val="16"/>
                <w:szCs w:val="16"/>
              </w:rPr>
              <w:t xml:space="preserve"> </w:t>
            </w:r>
            <w:r>
              <w:rPr>
                <w:spacing w:val="-4"/>
                <w:sz w:val="16"/>
                <w:szCs w:val="16"/>
              </w:rPr>
              <w:t>格</w:t>
            </w:r>
            <w:r>
              <w:rPr>
                <w:sz w:val="16"/>
                <w:szCs w:val="16"/>
              </w:rPr>
              <w:t xml:space="preserve"> </w:t>
            </w:r>
            <w:r>
              <w:rPr>
                <w:spacing w:val="-1"/>
                <w:sz w:val="16"/>
                <w:szCs w:val="16"/>
              </w:rPr>
              <w:t>操作任务。</w:t>
            </w:r>
          </w:p>
        </w:tc>
        <w:tc>
          <w:tcPr>
            <w:tcW w:w="3930" w:type="dxa"/>
            <w:vAlign w:val="top"/>
          </w:tcPr>
          <w:p w14:paraId="467D9CF2">
            <w:pPr>
              <w:pStyle w:val="6"/>
              <w:spacing w:before="48" w:line="219" w:lineRule="auto"/>
              <w:ind w:left="16"/>
              <w:rPr>
                <w:sz w:val="16"/>
                <w:szCs w:val="16"/>
              </w:rPr>
            </w:pPr>
            <w:r>
              <w:rPr>
                <w:spacing w:val="-1"/>
                <w:sz w:val="16"/>
                <w:szCs w:val="16"/>
              </w:rPr>
              <w:t>参考分值：50分</w:t>
            </w:r>
          </w:p>
          <w:p w14:paraId="6483371A">
            <w:pPr>
              <w:pStyle w:val="6"/>
              <w:spacing w:before="38" w:line="245" w:lineRule="auto"/>
              <w:ind w:left="16" w:right="1326"/>
              <w:rPr>
                <w:sz w:val="16"/>
                <w:szCs w:val="16"/>
              </w:rPr>
            </w:pPr>
            <w:r>
              <w:rPr>
                <w:sz w:val="16"/>
                <w:szCs w:val="16"/>
              </w:rPr>
              <w:t xml:space="preserve">1.技术方法：上机考核，自动评分。 </w:t>
            </w:r>
            <w:r>
              <w:rPr>
                <w:spacing w:val="1"/>
                <w:sz w:val="16"/>
                <w:szCs w:val="16"/>
              </w:rPr>
              <w:t>2.工具使用：</w:t>
            </w:r>
            <w:r>
              <w:rPr>
                <w:sz w:val="16"/>
                <w:szCs w:val="16"/>
              </w:rPr>
              <w:t>WORD</w:t>
            </w:r>
            <w:r>
              <w:rPr>
                <w:spacing w:val="1"/>
                <w:sz w:val="16"/>
                <w:szCs w:val="16"/>
              </w:rPr>
              <w:t>2016操作测试平台</w:t>
            </w:r>
            <w:r>
              <w:rPr>
                <w:sz w:val="16"/>
                <w:szCs w:val="16"/>
              </w:rPr>
              <w:t xml:space="preserve"> </w:t>
            </w:r>
            <w:r>
              <w:rPr>
                <w:spacing w:val="-1"/>
                <w:sz w:val="16"/>
                <w:szCs w:val="16"/>
              </w:rPr>
              <w:t>3.操作步骤：按项目任务书要求进行</w:t>
            </w:r>
          </w:p>
          <w:p w14:paraId="400773AD">
            <w:pPr>
              <w:pStyle w:val="6"/>
              <w:spacing w:before="23"/>
              <w:ind w:left="16"/>
              <w:rPr>
                <w:sz w:val="16"/>
                <w:szCs w:val="16"/>
              </w:rPr>
            </w:pPr>
            <w:r>
              <w:rPr>
                <w:spacing w:val="-1"/>
                <w:sz w:val="16"/>
                <w:szCs w:val="16"/>
              </w:rPr>
              <w:t>4.操作成效：完成项目任务，文档美观，操作准确娴熟</w:t>
            </w:r>
            <w:r>
              <w:rPr>
                <w:spacing w:val="7"/>
                <w:sz w:val="16"/>
                <w:szCs w:val="16"/>
              </w:rPr>
              <w:t xml:space="preserve">  </w:t>
            </w:r>
            <w:r>
              <w:rPr>
                <w:spacing w:val="-4"/>
                <w:sz w:val="16"/>
                <w:szCs w:val="16"/>
              </w:rPr>
              <w:t>5.安全清洁：遵守微机操作安全规范，保持机位清洁卫生</w:t>
            </w:r>
          </w:p>
        </w:tc>
      </w:tr>
      <w:tr w14:paraId="1EF3E5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41" w:hRule="atLeast"/>
        </w:trPr>
        <w:tc>
          <w:tcPr>
            <w:tcW w:w="884" w:type="dxa"/>
            <w:vAlign w:val="top"/>
          </w:tcPr>
          <w:p w14:paraId="651C54A2">
            <w:pPr>
              <w:pStyle w:val="6"/>
              <w:spacing w:before="52" w:line="225" w:lineRule="auto"/>
              <w:ind w:left="115" w:right="79" w:firstLine="39"/>
              <w:rPr>
                <w:sz w:val="16"/>
                <w:szCs w:val="16"/>
              </w:rPr>
            </w:pPr>
            <w:r>
              <w:rPr>
                <w:spacing w:val="-1"/>
                <w:sz w:val="16"/>
                <w:szCs w:val="16"/>
              </w:rPr>
              <w:t>项目四：</w:t>
            </w:r>
            <w:r>
              <w:rPr>
                <w:spacing w:val="2"/>
                <w:sz w:val="16"/>
                <w:szCs w:val="16"/>
              </w:rPr>
              <w:t xml:space="preserve"> </w:t>
            </w:r>
            <w:r>
              <w:rPr>
                <w:spacing w:val="1"/>
                <w:sz w:val="16"/>
                <w:szCs w:val="16"/>
              </w:rPr>
              <w:t>电子表格</w:t>
            </w:r>
          </w:p>
        </w:tc>
        <w:tc>
          <w:tcPr>
            <w:tcW w:w="380" w:type="dxa"/>
            <w:textDirection w:val="tbRlV"/>
            <w:vAlign w:val="top"/>
          </w:tcPr>
          <w:p w14:paraId="5EA5D1BA">
            <w:pPr>
              <w:pStyle w:val="6"/>
              <w:spacing w:before="115" w:line="201" w:lineRule="auto"/>
              <w:ind w:left="7"/>
              <w:rPr>
                <w:sz w:val="16"/>
                <w:szCs w:val="16"/>
              </w:rPr>
            </w:pPr>
            <w:r>
              <w:rPr>
                <w:sz w:val="16"/>
                <w:szCs w:val="16"/>
              </w:rPr>
              <w:t>微</w:t>
            </w:r>
            <w:r>
              <w:rPr>
                <w:spacing w:val="31"/>
                <w:sz w:val="16"/>
                <w:szCs w:val="16"/>
              </w:rPr>
              <w:t xml:space="preserve"> </w:t>
            </w:r>
            <w:r>
              <w:rPr>
                <w:sz w:val="16"/>
                <w:szCs w:val="16"/>
              </w:rPr>
              <w:t>机</w:t>
            </w:r>
          </w:p>
        </w:tc>
        <w:tc>
          <w:tcPr>
            <w:tcW w:w="1538" w:type="dxa"/>
            <w:vAlign w:val="top"/>
          </w:tcPr>
          <w:p w14:paraId="2AA4E81B">
            <w:pPr>
              <w:pStyle w:val="6"/>
              <w:spacing w:before="50" w:line="228" w:lineRule="auto"/>
              <w:ind w:left="11" w:right="53" w:firstLine="29"/>
              <w:jc w:val="both"/>
              <w:rPr>
                <w:sz w:val="16"/>
                <w:szCs w:val="16"/>
              </w:rPr>
            </w:pPr>
            <w:r>
              <w:rPr>
                <w:sz w:val="16"/>
                <w:szCs w:val="16"/>
              </w:rPr>
              <w:t>1.Excel2016的基本</w:t>
            </w:r>
            <w:r>
              <w:rPr>
                <w:spacing w:val="3"/>
                <w:sz w:val="16"/>
                <w:szCs w:val="16"/>
              </w:rPr>
              <w:t xml:space="preserve">  </w:t>
            </w:r>
            <w:r>
              <w:rPr>
                <w:spacing w:val="2"/>
                <w:sz w:val="16"/>
                <w:szCs w:val="16"/>
              </w:rPr>
              <w:t>功能、运行环境、启</w:t>
            </w:r>
            <w:r>
              <w:rPr>
                <w:spacing w:val="4"/>
                <w:sz w:val="16"/>
                <w:szCs w:val="16"/>
              </w:rPr>
              <w:t xml:space="preserve"> </w:t>
            </w:r>
            <w:r>
              <w:rPr>
                <w:spacing w:val="7"/>
                <w:sz w:val="16"/>
                <w:szCs w:val="16"/>
              </w:rPr>
              <w:t>动和退出</w:t>
            </w:r>
          </w:p>
          <w:p w14:paraId="2CA0C57A">
            <w:pPr>
              <w:pStyle w:val="6"/>
              <w:spacing w:before="17" w:line="219" w:lineRule="auto"/>
              <w:jc w:val="right"/>
              <w:rPr>
                <w:sz w:val="16"/>
                <w:szCs w:val="16"/>
              </w:rPr>
            </w:pPr>
            <w:r>
              <w:rPr>
                <w:spacing w:val="-9"/>
                <w:sz w:val="16"/>
                <w:szCs w:val="16"/>
              </w:rPr>
              <w:t>2</w:t>
            </w:r>
            <w:r>
              <w:rPr>
                <w:spacing w:val="-8"/>
                <w:sz w:val="16"/>
                <w:szCs w:val="16"/>
              </w:rPr>
              <w:t>.工作簿和工作表的</w:t>
            </w:r>
            <w:r>
              <w:rPr>
                <w:spacing w:val="-7"/>
                <w:sz w:val="16"/>
                <w:szCs w:val="16"/>
              </w:rPr>
              <w:t>建</w:t>
            </w:r>
          </w:p>
          <w:p w14:paraId="4C292339">
            <w:pPr>
              <w:pStyle w:val="6"/>
              <w:spacing w:before="31" w:line="219" w:lineRule="auto"/>
              <w:ind w:left="41"/>
              <w:rPr>
                <w:sz w:val="16"/>
                <w:szCs w:val="16"/>
              </w:rPr>
            </w:pPr>
            <w:r>
              <w:rPr>
                <w:spacing w:val="2"/>
                <w:sz w:val="16"/>
                <w:szCs w:val="16"/>
              </w:rPr>
              <w:t>立、保存和退出</w:t>
            </w:r>
          </w:p>
          <w:p w14:paraId="3D9BC1C2">
            <w:pPr>
              <w:pStyle w:val="6"/>
              <w:spacing w:before="30" w:line="219" w:lineRule="auto"/>
              <w:ind w:left="30"/>
              <w:rPr>
                <w:sz w:val="16"/>
                <w:szCs w:val="16"/>
              </w:rPr>
            </w:pPr>
            <w:r>
              <w:rPr>
                <w:spacing w:val="-2"/>
                <w:sz w:val="16"/>
                <w:szCs w:val="16"/>
              </w:rPr>
              <w:t>3.数据输入和编辑</w:t>
            </w:r>
          </w:p>
          <w:p w14:paraId="3994BC13">
            <w:pPr>
              <w:pStyle w:val="6"/>
              <w:spacing w:before="2" w:line="239" w:lineRule="auto"/>
              <w:ind w:left="30" w:hanging="19"/>
              <w:rPr>
                <w:sz w:val="16"/>
                <w:szCs w:val="16"/>
              </w:rPr>
            </w:pPr>
            <w:r>
              <w:rPr>
                <w:spacing w:val="-4"/>
                <w:sz w:val="16"/>
                <w:szCs w:val="16"/>
              </w:rPr>
              <w:t>4.工作表和单元格的</w:t>
            </w:r>
            <w:r>
              <w:rPr>
                <w:spacing w:val="1"/>
                <w:sz w:val="16"/>
                <w:szCs w:val="16"/>
              </w:rPr>
              <w:t xml:space="preserve">  </w:t>
            </w:r>
            <w:r>
              <w:rPr>
                <w:spacing w:val="6"/>
                <w:sz w:val="16"/>
                <w:szCs w:val="16"/>
              </w:rPr>
              <w:t>选定、插入、删除、</w:t>
            </w:r>
            <w:r>
              <w:rPr>
                <w:spacing w:val="2"/>
                <w:sz w:val="16"/>
                <w:szCs w:val="16"/>
              </w:rPr>
              <w:t xml:space="preserve"> </w:t>
            </w:r>
            <w:r>
              <w:rPr>
                <w:spacing w:val="-1"/>
                <w:sz w:val="16"/>
                <w:szCs w:val="16"/>
              </w:rPr>
              <w:t>复制、移动</w:t>
            </w:r>
          </w:p>
          <w:p w14:paraId="567EAC63">
            <w:pPr>
              <w:pStyle w:val="6"/>
              <w:spacing w:before="19" w:line="236" w:lineRule="auto"/>
              <w:ind w:left="11" w:firstLine="28"/>
              <w:jc w:val="both"/>
              <w:rPr>
                <w:sz w:val="16"/>
                <w:szCs w:val="16"/>
              </w:rPr>
            </w:pPr>
            <w:r>
              <w:rPr>
                <w:spacing w:val="-5"/>
                <w:sz w:val="16"/>
                <w:szCs w:val="16"/>
              </w:rPr>
              <w:t>5.工作表的重命名和</w:t>
            </w:r>
            <w:r>
              <w:rPr>
                <w:spacing w:val="3"/>
                <w:sz w:val="16"/>
                <w:szCs w:val="16"/>
              </w:rPr>
              <w:t xml:space="preserve">  </w:t>
            </w:r>
            <w:r>
              <w:rPr>
                <w:spacing w:val="-5"/>
                <w:sz w:val="16"/>
                <w:szCs w:val="16"/>
              </w:rPr>
              <w:t>工作表窗口的拆分和</w:t>
            </w:r>
            <w:r>
              <w:rPr>
                <w:sz w:val="16"/>
                <w:szCs w:val="16"/>
              </w:rPr>
              <w:t xml:space="preserve">  </w:t>
            </w:r>
            <w:r>
              <w:rPr>
                <w:spacing w:val="-6"/>
                <w:sz w:val="16"/>
                <w:szCs w:val="16"/>
              </w:rPr>
              <w:t>冻结6.工作表的格式</w:t>
            </w:r>
            <w:r>
              <w:rPr>
                <w:spacing w:val="3"/>
                <w:sz w:val="16"/>
                <w:szCs w:val="16"/>
              </w:rPr>
              <w:t xml:space="preserve">  </w:t>
            </w:r>
            <w:r>
              <w:rPr>
                <w:spacing w:val="-15"/>
                <w:sz w:val="16"/>
                <w:szCs w:val="16"/>
              </w:rPr>
              <w:t>化，包括设置单元格格</w:t>
            </w:r>
            <w:r>
              <w:rPr>
                <w:spacing w:val="7"/>
                <w:sz w:val="16"/>
                <w:szCs w:val="16"/>
              </w:rPr>
              <w:t xml:space="preserve"> </w:t>
            </w:r>
            <w:r>
              <w:rPr>
                <w:spacing w:val="-9"/>
                <w:sz w:val="16"/>
                <w:szCs w:val="16"/>
              </w:rPr>
              <w:t>式、设置列宽和行高、</w:t>
            </w:r>
            <w:r>
              <w:rPr>
                <w:spacing w:val="5"/>
                <w:sz w:val="16"/>
                <w:szCs w:val="16"/>
              </w:rPr>
              <w:t xml:space="preserve"> </w:t>
            </w:r>
            <w:r>
              <w:rPr>
                <w:spacing w:val="-15"/>
                <w:sz w:val="16"/>
                <w:szCs w:val="16"/>
              </w:rPr>
              <w:t>设置条件格式、使用样</w:t>
            </w:r>
            <w:r>
              <w:rPr>
                <w:spacing w:val="8"/>
                <w:sz w:val="16"/>
                <w:szCs w:val="16"/>
              </w:rPr>
              <w:t xml:space="preserve"> </w:t>
            </w:r>
            <w:r>
              <w:rPr>
                <w:spacing w:val="-15"/>
                <w:sz w:val="16"/>
                <w:szCs w:val="16"/>
              </w:rPr>
              <w:t>式、自动套用模式和使</w:t>
            </w:r>
            <w:r>
              <w:rPr>
                <w:spacing w:val="8"/>
                <w:sz w:val="16"/>
                <w:szCs w:val="16"/>
              </w:rPr>
              <w:t xml:space="preserve"> </w:t>
            </w:r>
            <w:r>
              <w:rPr>
                <w:spacing w:val="-6"/>
                <w:sz w:val="16"/>
                <w:szCs w:val="16"/>
              </w:rPr>
              <w:t>用模板等</w:t>
            </w:r>
          </w:p>
          <w:p w14:paraId="6F019110">
            <w:pPr>
              <w:pStyle w:val="6"/>
              <w:spacing w:before="61" w:line="225" w:lineRule="auto"/>
              <w:ind w:left="20" w:right="53"/>
              <w:rPr>
                <w:sz w:val="16"/>
                <w:szCs w:val="16"/>
              </w:rPr>
            </w:pPr>
            <w:r>
              <w:rPr>
                <w:spacing w:val="1"/>
                <w:sz w:val="16"/>
                <w:szCs w:val="16"/>
              </w:rPr>
              <w:t>7.单元格绝对地址和</w:t>
            </w:r>
            <w:r>
              <w:rPr>
                <w:spacing w:val="2"/>
                <w:sz w:val="16"/>
                <w:szCs w:val="16"/>
              </w:rPr>
              <w:t xml:space="preserve"> </w:t>
            </w:r>
            <w:r>
              <w:rPr>
                <w:spacing w:val="-2"/>
                <w:sz w:val="16"/>
                <w:szCs w:val="16"/>
              </w:rPr>
              <w:t>相对地址</w:t>
            </w:r>
          </w:p>
          <w:p w14:paraId="32F5AB3B">
            <w:pPr>
              <w:pStyle w:val="6"/>
              <w:spacing w:line="248" w:lineRule="auto"/>
              <w:ind w:left="20" w:right="83" w:hanging="9"/>
              <w:rPr>
                <w:sz w:val="16"/>
                <w:szCs w:val="16"/>
              </w:rPr>
            </w:pPr>
            <w:r>
              <w:rPr>
                <w:spacing w:val="-1"/>
                <w:sz w:val="16"/>
                <w:szCs w:val="16"/>
              </w:rPr>
              <w:t>8.工作表中公式的输</w:t>
            </w:r>
            <w:r>
              <w:rPr>
                <w:spacing w:val="2"/>
                <w:sz w:val="16"/>
                <w:szCs w:val="16"/>
              </w:rPr>
              <w:t xml:space="preserve"> </w:t>
            </w:r>
            <w:r>
              <w:rPr>
                <w:spacing w:val="-2"/>
                <w:sz w:val="16"/>
                <w:szCs w:val="16"/>
              </w:rPr>
              <w:t>入和复制</w:t>
            </w:r>
          </w:p>
          <w:p w14:paraId="646DC433">
            <w:pPr>
              <w:pStyle w:val="6"/>
              <w:spacing w:line="219" w:lineRule="auto"/>
              <w:ind w:left="20"/>
              <w:rPr>
                <w:sz w:val="16"/>
                <w:szCs w:val="16"/>
              </w:rPr>
            </w:pPr>
            <w:r>
              <w:rPr>
                <w:spacing w:val="2"/>
                <w:sz w:val="16"/>
                <w:szCs w:val="16"/>
              </w:rPr>
              <w:t>9.常用函数的使用</w:t>
            </w:r>
          </w:p>
        </w:tc>
        <w:tc>
          <w:tcPr>
            <w:tcW w:w="379" w:type="dxa"/>
            <w:textDirection w:val="tbRlV"/>
            <w:vAlign w:val="top"/>
          </w:tcPr>
          <w:p w14:paraId="632CDB9B">
            <w:pPr>
              <w:pStyle w:val="6"/>
              <w:spacing w:before="112" w:line="201" w:lineRule="auto"/>
              <w:ind w:left="26"/>
              <w:rPr>
                <w:sz w:val="16"/>
                <w:szCs w:val="16"/>
              </w:rPr>
            </w:pPr>
            <w:r>
              <w:rPr>
                <w:sz w:val="16"/>
                <w:szCs w:val="16"/>
              </w:rPr>
              <w:t>上</w:t>
            </w:r>
            <w:r>
              <w:rPr>
                <w:spacing w:val="-9"/>
                <w:sz w:val="16"/>
                <w:szCs w:val="16"/>
              </w:rPr>
              <w:t xml:space="preserve"> </w:t>
            </w:r>
            <w:r>
              <w:rPr>
                <w:sz w:val="16"/>
                <w:szCs w:val="16"/>
              </w:rPr>
              <w:t>机</w:t>
            </w:r>
            <w:r>
              <w:rPr>
                <w:spacing w:val="-9"/>
                <w:sz w:val="16"/>
                <w:szCs w:val="16"/>
              </w:rPr>
              <w:t xml:space="preserve"> </w:t>
            </w:r>
            <w:r>
              <w:rPr>
                <w:sz w:val="16"/>
                <w:szCs w:val="16"/>
              </w:rPr>
              <w:t>操</w:t>
            </w:r>
            <w:r>
              <w:rPr>
                <w:spacing w:val="-9"/>
                <w:sz w:val="16"/>
                <w:szCs w:val="16"/>
              </w:rPr>
              <w:t xml:space="preserve"> </w:t>
            </w:r>
            <w:r>
              <w:rPr>
                <w:sz w:val="16"/>
                <w:szCs w:val="16"/>
              </w:rPr>
              <w:t>作</w:t>
            </w:r>
          </w:p>
        </w:tc>
        <w:tc>
          <w:tcPr>
            <w:tcW w:w="1608" w:type="dxa"/>
            <w:vAlign w:val="top"/>
          </w:tcPr>
          <w:p w14:paraId="22C639AB">
            <w:pPr>
              <w:pStyle w:val="6"/>
              <w:spacing w:before="43" w:line="220" w:lineRule="auto"/>
              <w:ind w:left="14"/>
              <w:rPr>
                <w:sz w:val="16"/>
                <w:szCs w:val="16"/>
              </w:rPr>
            </w:pPr>
            <w:r>
              <w:rPr>
                <w:spacing w:val="-1"/>
                <w:sz w:val="16"/>
                <w:szCs w:val="16"/>
              </w:rPr>
              <w:t>测试时间：15分钟</w:t>
            </w:r>
          </w:p>
          <w:p w14:paraId="2933EEB9">
            <w:pPr>
              <w:pStyle w:val="6"/>
              <w:spacing w:before="19" w:line="256" w:lineRule="auto"/>
              <w:ind w:left="33" w:hanging="9"/>
              <w:rPr>
                <w:sz w:val="16"/>
                <w:szCs w:val="16"/>
              </w:rPr>
            </w:pPr>
            <w:r>
              <w:rPr>
                <w:spacing w:val="-3"/>
                <w:sz w:val="16"/>
                <w:szCs w:val="16"/>
              </w:rPr>
              <w:t>按照项目要求，根据指</w:t>
            </w:r>
            <w:r>
              <w:rPr>
                <w:spacing w:val="2"/>
                <w:sz w:val="16"/>
                <w:szCs w:val="16"/>
              </w:rPr>
              <w:t xml:space="preserve"> </w:t>
            </w:r>
            <w:r>
              <w:rPr>
                <w:spacing w:val="-6"/>
                <w:sz w:val="16"/>
                <w:szCs w:val="16"/>
              </w:rPr>
              <w:t>定电子表格，完成格式</w:t>
            </w:r>
            <w:r>
              <w:rPr>
                <w:spacing w:val="6"/>
                <w:sz w:val="16"/>
                <w:szCs w:val="16"/>
              </w:rPr>
              <w:t xml:space="preserve"> </w:t>
            </w:r>
            <w:r>
              <w:rPr>
                <w:spacing w:val="-3"/>
                <w:sz w:val="16"/>
                <w:szCs w:val="16"/>
              </w:rPr>
              <w:t>化表格任务和数据处</w:t>
            </w:r>
          </w:p>
          <w:p w14:paraId="010AB3FA">
            <w:pPr>
              <w:pStyle w:val="6"/>
              <w:spacing w:before="23" w:line="219" w:lineRule="auto"/>
              <w:ind w:left="24"/>
              <w:rPr>
                <w:sz w:val="16"/>
                <w:szCs w:val="16"/>
              </w:rPr>
            </w:pPr>
            <w:r>
              <w:rPr>
                <w:spacing w:val="-1"/>
                <w:sz w:val="16"/>
                <w:szCs w:val="16"/>
              </w:rPr>
              <w:t>理任务。</w:t>
            </w:r>
          </w:p>
        </w:tc>
        <w:tc>
          <w:tcPr>
            <w:tcW w:w="3930" w:type="dxa"/>
            <w:vAlign w:val="top"/>
          </w:tcPr>
          <w:p w14:paraId="1833EE95">
            <w:pPr>
              <w:pStyle w:val="6"/>
              <w:spacing w:before="52" w:line="226" w:lineRule="auto"/>
              <w:ind w:left="16" w:right="3103"/>
              <w:rPr>
                <w:sz w:val="16"/>
                <w:szCs w:val="16"/>
              </w:rPr>
            </w:pPr>
            <w:r>
              <w:rPr>
                <w:sz w:val="16"/>
                <w:szCs w:val="16"/>
              </w:rPr>
              <w:t xml:space="preserve">参考分值： </w:t>
            </w:r>
            <w:r>
              <w:rPr>
                <w:spacing w:val="-1"/>
                <w:sz w:val="16"/>
                <w:szCs w:val="16"/>
              </w:rPr>
              <w:t>45分</w:t>
            </w:r>
          </w:p>
          <w:p w14:paraId="059A804B">
            <w:pPr>
              <w:pStyle w:val="6"/>
              <w:spacing w:before="37" w:line="219" w:lineRule="auto"/>
              <w:ind w:left="16"/>
              <w:rPr>
                <w:sz w:val="16"/>
                <w:szCs w:val="16"/>
              </w:rPr>
            </w:pPr>
            <w:r>
              <w:rPr>
                <w:sz w:val="16"/>
                <w:szCs w:val="16"/>
              </w:rPr>
              <w:t>1.技术方法：上机考核，自动评分。</w:t>
            </w:r>
          </w:p>
          <w:p w14:paraId="39D2DB9C">
            <w:pPr>
              <w:pStyle w:val="6"/>
              <w:spacing w:before="41" w:line="230" w:lineRule="auto"/>
              <w:ind w:left="16" w:right="1246"/>
              <w:rPr>
                <w:sz w:val="16"/>
                <w:szCs w:val="16"/>
              </w:rPr>
            </w:pPr>
            <w:r>
              <w:rPr>
                <w:spacing w:val="1"/>
                <w:sz w:val="16"/>
                <w:szCs w:val="16"/>
              </w:rPr>
              <w:t>2.工具使用：</w:t>
            </w:r>
            <w:r>
              <w:rPr>
                <w:sz w:val="16"/>
                <w:szCs w:val="16"/>
              </w:rPr>
              <w:t>EXCEL</w:t>
            </w:r>
            <w:r>
              <w:rPr>
                <w:spacing w:val="1"/>
                <w:sz w:val="16"/>
                <w:szCs w:val="16"/>
              </w:rPr>
              <w:t>2016操作测试平台</w:t>
            </w:r>
            <w:r>
              <w:rPr>
                <w:sz w:val="16"/>
                <w:szCs w:val="16"/>
              </w:rPr>
              <w:t xml:space="preserve"> </w:t>
            </w:r>
            <w:r>
              <w:rPr>
                <w:spacing w:val="-1"/>
                <w:sz w:val="16"/>
                <w:szCs w:val="16"/>
              </w:rPr>
              <w:t>3.操作步骤：按项目任务书要求进行</w:t>
            </w:r>
          </w:p>
          <w:p w14:paraId="605FAACC">
            <w:pPr>
              <w:pStyle w:val="6"/>
              <w:spacing w:before="20" w:line="242" w:lineRule="auto"/>
              <w:ind w:left="16"/>
              <w:rPr>
                <w:sz w:val="16"/>
                <w:szCs w:val="16"/>
              </w:rPr>
            </w:pPr>
            <w:r>
              <w:rPr>
                <w:spacing w:val="-4"/>
                <w:sz w:val="16"/>
                <w:szCs w:val="16"/>
              </w:rPr>
              <w:t>4.操作成效：完成项目任务，表格美观，数据正确，操作</w:t>
            </w:r>
            <w:r>
              <w:rPr>
                <w:spacing w:val="6"/>
                <w:sz w:val="16"/>
                <w:szCs w:val="16"/>
              </w:rPr>
              <w:t xml:space="preserve"> </w:t>
            </w:r>
            <w:r>
              <w:rPr>
                <w:spacing w:val="-2"/>
                <w:sz w:val="16"/>
                <w:szCs w:val="16"/>
              </w:rPr>
              <w:t>准确娴熟</w:t>
            </w:r>
          </w:p>
          <w:p w14:paraId="7B81354C">
            <w:pPr>
              <w:pStyle w:val="6"/>
              <w:spacing w:before="21" w:line="256" w:lineRule="auto"/>
              <w:ind w:left="16" w:right="233"/>
              <w:rPr>
                <w:sz w:val="16"/>
                <w:szCs w:val="16"/>
              </w:rPr>
            </w:pPr>
            <w:r>
              <w:rPr>
                <w:spacing w:val="-1"/>
                <w:sz w:val="16"/>
                <w:szCs w:val="16"/>
              </w:rPr>
              <w:t>5.安全清洁：遵守微机操作安全规范，保持机位清洁</w:t>
            </w:r>
            <w:r>
              <w:rPr>
                <w:spacing w:val="13"/>
                <w:sz w:val="16"/>
                <w:szCs w:val="16"/>
              </w:rPr>
              <w:t xml:space="preserve"> </w:t>
            </w:r>
            <w:r>
              <w:rPr>
                <w:spacing w:val="-2"/>
                <w:sz w:val="16"/>
                <w:szCs w:val="16"/>
              </w:rPr>
              <w:t>卫生</w:t>
            </w:r>
          </w:p>
        </w:tc>
      </w:tr>
    </w:tbl>
    <w:p w14:paraId="4FDB52FE">
      <w:pPr>
        <w:pStyle w:val="2"/>
        <w:spacing w:line="222" w:lineRule="exact"/>
        <w:rPr>
          <w:sz w:val="19"/>
        </w:rPr>
      </w:pPr>
    </w:p>
    <w:p w14:paraId="61EB9C31">
      <w:pPr>
        <w:spacing w:line="222" w:lineRule="exact"/>
        <w:rPr>
          <w:sz w:val="19"/>
          <w:szCs w:val="19"/>
        </w:rPr>
        <w:sectPr>
          <w:footerReference r:id="rId120" w:type="default"/>
          <w:pgSz w:w="10660" w:h="15080"/>
          <w:pgMar w:top="400" w:right="1055" w:bottom="912" w:left="819" w:header="0" w:footer="741" w:gutter="0"/>
          <w:cols w:space="720" w:num="1"/>
        </w:sectPr>
      </w:pPr>
    </w:p>
    <w:p w14:paraId="3249DEEC">
      <w:pPr>
        <w:spacing w:before="10"/>
      </w:pPr>
    </w:p>
    <w:p w14:paraId="64E463B9">
      <w:pPr>
        <w:spacing w:before="10"/>
      </w:pPr>
    </w:p>
    <w:p w14:paraId="21009AE9">
      <w:pPr>
        <w:spacing w:before="10"/>
      </w:pPr>
    </w:p>
    <w:p w14:paraId="7478B2E6">
      <w:pPr>
        <w:spacing w:before="9"/>
      </w:pPr>
    </w:p>
    <w:tbl>
      <w:tblPr>
        <w:tblStyle w:val="5"/>
        <w:tblW w:w="873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54"/>
        <w:gridCol w:w="410"/>
        <w:gridCol w:w="1518"/>
        <w:gridCol w:w="400"/>
        <w:gridCol w:w="1628"/>
        <w:gridCol w:w="3920"/>
      </w:tblGrid>
      <w:tr w14:paraId="374DA1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5" w:hRule="atLeast"/>
        </w:trPr>
        <w:tc>
          <w:tcPr>
            <w:tcW w:w="854" w:type="dxa"/>
            <w:vAlign w:val="top"/>
          </w:tcPr>
          <w:p w14:paraId="51828055">
            <w:pPr>
              <w:pStyle w:val="6"/>
              <w:spacing w:before="81" w:line="218" w:lineRule="auto"/>
              <w:ind w:left="247" w:right="228"/>
            </w:pPr>
            <w:r>
              <w:rPr>
                <w:b/>
                <w:bCs/>
                <w:spacing w:val="-6"/>
              </w:rPr>
              <w:t>测试</w:t>
            </w:r>
            <w:r>
              <w:t xml:space="preserve"> </w:t>
            </w:r>
            <w:r>
              <w:rPr>
                <w:b/>
                <w:bCs/>
                <w:spacing w:val="11"/>
              </w:rPr>
              <w:t>项目</w:t>
            </w:r>
          </w:p>
        </w:tc>
        <w:tc>
          <w:tcPr>
            <w:tcW w:w="410" w:type="dxa"/>
            <w:shd w:val="clear" w:color="auto" w:fill="231F20"/>
            <w:vAlign w:val="top"/>
          </w:tcPr>
          <w:p w14:paraId="55F04EB1">
            <w:pPr>
              <w:pStyle w:val="6"/>
              <w:spacing w:before="81" w:line="224" w:lineRule="auto"/>
              <w:ind w:left="33" w:right="33"/>
            </w:pPr>
            <w:r>
              <w:rPr>
                <w:b/>
                <w:bCs/>
                <w:color w:val="FFFFFF"/>
                <w:spacing w:val="-6"/>
              </w:rPr>
              <w:t>测试</w:t>
            </w:r>
            <w:r>
              <w:rPr>
                <w:color w:val="FFFFFF"/>
              </w:rPr>
              <w:t xml:space="preserve"> </w:t>
            </w:r>
            <w:r>
              <w:rPr>
                <w:b/>
                <w:bCs/>
                <w:color w:val="FFFFFF"/>
                <w:spacing w:val="-6"/>
              </w:rPr>
              <w:t>用具</w:t>
            </w:r>
          </w:p>
        </w:tc>
        <w:tc>
          <w:tcPr>
            <w:tcW w:w="1518" w:type="dxa"/>
            <w:vAlign w:val="top"/>
          </w:tcPr>
          <w:p w14:paraId="59ADA1EC">
            <w:pPr>
              <w:pStyle w:val="6"/>
              <w:spacing w:before="199" w:line="219" w:lineRule="auto"/>
              <w:ind w:left="423"/>
            </w:pPr>
            <w:r>
              <w:rPr>
                <w:b/>
                <w:bCs/>
                <w:spacing w:val="-4"/>
              </w:rPr>
              <w:t>测试内容</w:t>
            </w:r>
          </w:p>
        </w:tc>
        <w:tc>
          <w:tcPr>
            <w:tcW w:w="400" w:type="dxa"/>
            <w:shd w:val="clear" w:color="auto" w:fill="231F20"/>
            <w:vAlign w:val="top"/>
          </w:tcPr>
          <w:p w14:paraId="006C85D6">
            <w:pPr>
              <w:pStyle w:val="6"/>
              <w:spacing w:before="81" w:line="224" w:lineRule="auto"/>
              <w:ind w:left="44" w:right="11" w:hanging="19"/>
            </w:pPr>
            <w:r>
              <w:rPr>
                <w:b/>
                <w:bCs/>
                <w:color w:val="FFFFFF"/>
                <w:spacing w:val="-6"/>
              </w:rPr>
              <w:t>测试</w:t>
            </w:r>
            <w:r>
              <w:rPr>
                <w:color w:val="FFFFFF"/>
              </w:rPr>
              <w:t xml:space="preserve"> </w:t>
            </w:r>
            <w:r>
              <w:rPr>
                <w:b/>
                <w:bCs/>
                <w:color w:val="FFFFFF"/>
                <w:spacing w:val="-6"/>
              </w:rPr>
              <w:t>方法</w:t>
            </w:r>
          </w:p>
        </w:tc>
        <w:tc>
          <w:tcPr>
            <w:tcW w:w="1628" w:type="dxa"/>
            <w:vAlign w:val="top"/>
          </w:tcPr>
          <w:p w14:paraId="6767B7B0">
            <w:pPr>
              <w:pStyle w:val="6"/>
              <w:spacing w:before="200" w:line="221" w:lineRule="auto"/>
              <w:ind w:left="475"/>
            </w:pPr>
            <w:r>
              <w:rPr>
                <w:b/>
                <w:bCs/>
                <w:spacing w:val="-4"/>
              </w:rPr>
              <w:t>测试要求</w:t>
            </w:r>
          </w:p>
        </w:tc>
        <w:tc>
          <w:tcPr>
            <w:tcW w:w="3920" w:type="dxa"/>
            <w:vAlign w:val="top"/>
          </w:tcPr>
          <w:p w14:paraId="55C5620F">
            <w:pPr>
              <w:pStyle w:val="6"/>
              <w:spacing w:before="199" w:line="219" w:lineRule="auto"/>
              <w:ind w:left="1617"/>
            </w:pPr>
            <w:r>
              <w:rPr>
                <w:b/>
                <w:bCs/>
                <w:spacing w:val="-4"/>
              </w:rPr>
              <w:t>赋分参考</w:t>
            </w:r>
          </w:p>
        </w:tc>
      </w:tr>
      <w:tr w14:paraId="62E0CF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988" w:hRule="atLeast"/>
        </w:trPr>
        <w:tc>
          <w:tcPr>
            <w:tcW w:w="854" w:type="dxa"/>
            <w:vAlign w:val="top"/>
          </w:tcPr>
          <w:p w14:paraId="3F919E0B">
            <w:pPr>
              <w:rPr>
                <w:rFonts w:ascii="Arial"/>
                <w:sz w:val="21"/>
              </w:rPr>
            </w:pPr>
          </w:p>
        </w:tc>
        <w:tc>
          <w:tcPr>
            <w:tcW w:w="410" w:type="dxa"/>
            <w:vAlign w:val="top"/>
          </w:tcPr>
          <w:p w14:paraId="7856E0CF">
            <w:pPr>
              <w:rPr>
                <w:rFonts w:ascii="Arial"/>
                <w:sz w:val="21"/>
              </w:rPr>
            </w:pPr>
          </w:p>
        </w:tc>
        <w:tc>
          <w:tcPr>
            <w:tcW w:w="1518" w:type="dxa"/>
            <w:vAlign w:val="top"/>
          </w:tcPr>
          <w:p w14:paraId="7722A27C">
            <w:pPr>
              <w:pStyle w:val="6"/>
              <w:spacing w:before="57" w:line="218" w:lineRule="auto"/>
              <w:ind w:left="11" w:firstLine="10"/>
            </w:pPr>
            <w:r>
              <w:rPr>
                <w:spacing w:val="-13"/>
              </w:rPr>
              <w:t>10.图</w:t>
            </w:r>
            <w:r>
              <w:rPr>
                <w:spacing w:val="-12"/>
              </w:rPr>
              <w:t>表的建立、编</w:t>
            </w:r>
            <w:r>
              <w:rPr>
                <w:spacing w:val="-8"/>
              </w:rPr>
              <w:t>辑</w:t>
            </w:r>
            <w:r>
              <w:rPr>
                <w:spacing w:val="2"/>
              </w:rPr>
              <w:t xml:space="preserve"> </w:t>
            </w:r>
            <w:r>
              <w:rPr>
                <w:spacing w:val="-1"/>
              </w:rPr>
              <w:t>和修改以及修饰</w:t>
            </w:r>
          </w:p>
          <w:p w14:paraId="1B677520">
            <w:pPr>
              <w:pStyle w:val="6"/>
              <w:spacing w:before="19" w:line="222" w:lineRule="auto"/>
              <w:ind w:left="11"/>
            </w:pPr>
            <w:r>
              <w:rPr>
                <w:spacing w:val="-1"/>
              </w:rPr>
              <w:t>11.数据清单的建立</w:t>
            </w:r>
            <w:r>
              <w:rPr>
                <w:spacing w:val="4"/>
              </w:rPr>
              <w:t xml:space="preserve"> </w:t>
            </w:r>
            <w:r>
              <w:rPr>
                <w:spacing w:val="3"/>
              </w:rPr>
              <w:t>12.数据清单内容的</w:t>
            </w:r>
            <w:r>
              <w:rPr>
                <w:spacing w:val="1"/>
              </w:rPr>
              <w:t xml:space="preserve"> </w:t>
            </w:r>
            <w:r>
              <w:rPr>
                <w:spacing w:val="-19"/>
                <w:w w:val="98"/>
              </w:rPr>
              <w:t>排序、</w:t>
            </w:r>
            <w:r>
              <w:rPr>
                <w:spacing w:val="-18"/>
                <w:w w:val="98"/>
              </w:rPr>
              <w:t>筛选、分类汇</w:t>
            </w:r>
            <w:r>
              <w:rPr>
                <w:spacing w:val="-15"/>
                <w:w w:val="98"/>
              </w:rPr>
              <w:t>总</w:t>
            </w:r>
            <w:r>
              <w:rPr>
                <w:spacing w:val="9"/>
              </w:rPr>
              <w:t xml:space="preserve"> </w:t>
            </w:r>
            <w:r>
              <w:rPr>
                <w:spacing w:val="-12"/>
              </w:rPr>
              <w:t>13.数据合并及数据透</w:t>
            </w:r>
            <w:r>
              <w:rPr>
                <w:spacing w:val="6"/>
              </w:rPr>
              <w:t xml:space="preserve"> </w:t>
            </w:r>
            <w:r>
              <w:rPr>
                <w:spacing w:val="-2"/>
              </w:rPr>
              <w:t>视表的建立</w:t>
            </w:r>
          </w:p>
          <w:p w14:paraId="1A40B6D1">
            <w:pPr>
              <w:pStyle w:val="6"/>
              <w:spacing w:before="27" w:line="218" w:lineRule="auto"/>
              <w:ind w:left="21"/>
            </w:pPr>
            <w:r>
              <w:rPr>
                <w:spacing w:val="-7"/>
              </w:rPr>
              <w:t>14.工作表的页面设</w:t>
            </w:r>
            <w:r>
              <w:t xml:space="preserve">  </w:t>
            </w:r>
            <w:r>
              <w:rPr>
                <w:spacing w:val="-22"/>
              </w:rPr>
              <w:t>置、打印预览和打印。</w:t>
            </w:r>
          </w:p>
        </w:tc>
        <w:tc>
          <w:tcPr>
            <w:tcW w:w="400" w:type="dxa"/>
            <w:vAlign w:val="top"/>
          </w:tcPr>
          <w:p w14:paraId="1956A839">
            <w:pPr>
              <w:rPr>
                <w:rFonts w:ascii="Arial"/>
                <w:sz w:val="21"/>
              </w:rPr>
            </w:pPr>
          </w:p>
        </w:tc>
        <w:tc>
          <w:tcPr>
            <w:tcW w:w="1628" w:type="dxa"/>
            <w:vAlign w:val="top"/>
          </w:tcPr>
          <w:p w14:paraId="46FD0269">
            <w:pPr>
              <w:rPr>
                <w:rFonts w:ascii="Arial"/>
                <w:sz w:val="21"/>
              </w:rPr>
            </w:pPr>
          </w:p>
        </w:tc>
        <w:tc>
          <w:tcPr>
            <w:tcW w:w="3920" w:type="dxa"/>
            <w:vAlign w:val="top"/>
          </w:tcPr>
          <w:p w14:paraId="68769ED5">
            <w:pPr>
              <w:rPr>
                <w:rFonts w:ascii="Arial"/>
                <w:sz w:val="21"/>
              </w:rPr>
            </w:pPr>
          </w:p>
        </w:tc>
      </w:tr>
      <w:tr w14:paraId="7B1DAE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749" w:hRule="atLeast"/>
        </w:trPr>
        <w:tc>
          <w:tcPr>
            <w:tcW w:w="854" w:type="dxa"/>
            <w:vAlign w:val="top"/>
          </w:tcPr>
          <w:p w14:paraId="16CB5F82">
            <w:pPr>
              <w:pStyle w:val="6"/>
              <w:spacing w:before="60" w:line="226" w:lineRule="auto"/>
              <w:ind w:left="75" w:right="43" w:firstLine="39"/>
              <w:jc w:val="both"/>
            </w:pPr>
            <w:r>
              <w:rPr>
                <w:spacing w:val="1"/>
              </w:rPr>
              <w:t>项目五：</w:t>
            </w:r>
            <w:r>
              <w:t xml:space="preserve"> </w:t>
            </w:r>
            <w:r>
              <w:rPr>
                <w:spacing w:val="-1"/>
              </w:rPr>
              <w:t>Python结</w:t>
            </w:r>
            <w:r>
              <w:rPr>
                <w:spacing w:val="2"/>
              </w:rPr>
              <w:t xml:space="preserve"> </w:t>
            </w:r>
            <w:r>
              <w:rPr>
                <w:spacing w:val="-3"/>
              </w:rPr>
              <w:t>构化程序</w:t>
            </w:r>
            <w:r>
              <w:rPr>
                <w:spacing w:val="2"/>
              </w:rPr>
              <w:t xml:space="preserve"> </w:t>
            </w:r>
            <w:r>
              <w:rPr>
                <w:spacing w:val="-2"/>
              </w:rPr>
              <w:t>设计调试</w:t>
            </w:r>
          </w:p>
        </w:tc>
        <w:tc>
          <w:tcPr>
            <w:tcW w:w="410" w:type="dxa"/>
            <w:textDirection w:val="tbRlV"/>
            <w:vAlign w:val="top"/>
          </w:tcPr>
          <w:p w14:paraId="48EB52DF">
            <w:pPr>
              <w:pStyle w:val="6"/>
              <w:spacing w:before="125" w:line="201" w:lineRule="auto"/>
              <w:ind w:left="22"/>
            </w:pPr>
            <w:r>
              <w:t>微</w:t>
            </w:r>
            <w:r>
              <w:rPr>
                <w:spacing w:val="7"/>
              </w:rPr>
              <w:t xml:space="preserve"> </w:t>
            </w:r>
            <w:r>
              <w:t>机</w:t>
            </w:r>
          </w:p>
        </w:tc>
        <w:tc>
          <w:tcPr>
            <w:tcW w:w="1518" w:type="dxa"/>
            <w:vAlign w:val="top"/>
          </w:tcPr>
          <w:p w14:paraId="47309305">
            <w:pPr>
              <w:pStyle w:val="6"/>
              <w:spacing w:before="50" w:line="233" w:lineRule="auto"/>
              <w:ind w:left="11" w:firstLine="10"/>
            </w:pPr>
            <w:r>
              <w:rPr>
                <w:spacing w:val="-5"/>
              </w:rPr>
              <w:t>1.能够快速、准确地</w:t>
            </w:r>
            <w:r>
              <w:rPr>
                <w:spacing w:val="5"/>
              </w:rPr>
              <w:t xml:space="preserve"> </w:t>
            </w:r>
            <w:r>
              <w:rPr>
                <w:spacing w:val="-4"/>
              </w:rPr>
              <w:t>完成程序文件的建立</w:t>
            </w:r>
            <w:r>
              <w:rPr>
                <w:spacing w:val="1"/>
              </w:rPr>
              <w:t xml:space="preserve"> </w:t>
            </w:r>
            <w:r>
              <w:rPr>
                <w:spacing w:val="-4"/>
              </w:rPr>
              <w:t>2.顺序结构程序调试</w:t>
            </w:r>
            <w:r>
              <w:rPr>
                <w:spacing w:val="5"/>
              </w:rPr>
              <w:t xml:space="preserve"> </w:t>
            </w:r>
            <w:r>
              <w:rPr>
                <w:spacing w:val="-4"/>
              </w:rPr>
              <w:t>3.选择结构程序调试</w:t>
            </w:r>
            <w:r>
              <w:rPr>
                <w:spacing w:val="5"/>
              </w:rPr>
              <w:t xml:space="preserve"> </w:t>
            </w:r>
            <w:r>
              <w:rPr>
                <w:spacing w:val="-4"/>
              </w:rPr>
              <w:t>4.循环结构程序调试</w:t>
            </w:r>
            <w:r>
              <w:rPr>
                <w:spacing w:val="5"/>
              </w:rPr>
              <w:t xml:space="preserve"> </w:t>
            </w:r>
            <w:r>
              <w:rPr>
                <w:spacing w:val="-1"/>
              </w:rPr>
              <w:t>5.</w:t>
            </w:r>
            <w:r>
              <w:rPr>
                <w:spacing w:val="-47"/>
              </w:rPr>
              <w:t xml:space="preserve"> </w:t>
            </w:r>
            <w:r>
              <w:rPr>
                <w:spacing w:val="-1"/>
              </w:rPr>
              <w:t>自定义函数调用</w:t>
            </w:r>
            <w:r>
              <w:t xml:space="preserve">  </w:t>
            </w:r>
            <w:r>
              <w:rPr>
                <w:spacing w:val="-2"/>
              </w:rPr>
              <w:t>程序调试</w:t>
            </w:r>
          </w:p>
        </w:tc>
        <w:tc>
          <w:tcPr>
            <w:tcW w:w="400" w:type="dxa"/>
            <w:textDirection w:val="tbRlV"/>
            <w:vAlign w:val="top"/>
          </w:tcPr>
          <w:p w14:paraId="7B576CC7">
            <w:pPr>
              <w:pStyle w:val="6"/>
              <w:spacing w:before="113" w:line="201" w:lineRule="auto"/>
              <w:ind w:left="22"/>
            </w:pPr>
            <w:r>
              <w:t>上</w:t>
            </w:r>
            <w:r>
              <w:rPr>
                <w:spacing w:val="-21"/>
              </w:rPr>
              <w:t xml:space="preserve"> </w:t>
            </w:r>
            <w:r>
              <w:t>机</w:t>
            </w:r>
            <w:r>
              <w:rPr>
                <w:spacing w:val="-21"/>
              </w:rPr>
              <w:t xml:space="preserve"> </w:t>
            </w:r>
            <w:r>
              <w:t>操</w:t>
            </w:r>
            <w:r>
              <w:rPr>
                <w:spacing w:val="-21"/>
              </w:rPr>
              <w:t xml:space="preserve"> </w:t>
            </w:r>
            <w:r>
              <w:t>作</w:t>
            </w:r>
          </w:p>
        </w:tc>
        <w:tc>
          <w:tcPr>
            <w:tcW w:w="1628" w:type="dxa"/>
            <w:vAlign w:val="top"/>
          </w:tcPr>
          <w:p w14:paraId="5D3C7E16">
            <w:pPr>
              <w:pStyle w:val="6"/>
              <w:spacing w:before="49" w:line="220" w:lineRule="auto"/>
              <w:ind w:left="13"/>
            </w:pPr>
            <w:r>
              <w:rPr>
                <w:spacing w:val="1"/>
              </w:rPr>
              <w:t>测试时间：45分钟</w:t>
            </w:r>
          </w:p>
          <w:p w14:paraId="5812AAF5">
            <w:pPr>
              <w:pStyle w:val="6"/>
              <w:spacing w:before="6" w:line="235" w:lineRule="auto"/>
              <w:ind w:left="22" w:hanging="9"/>
            </w:pPr>
            <w:r>
              <w:rPr>
                <w:spacing w:val="-4"/>
              </w:rPr>
              <w:t>按照项目要求，根据</w:t>
            </w:r>
            <w:r>
              <w:t xml:space="preserve">  </w:t>
            </w:r>
            <w:r>
              <w:rPr>
                <w:spacing w:val="-5"/>
              </w:rPr>
              <w:t>指定程序文件，完成</w:t>
            </w:r>
            <w:r>
              <w:rPr>
                <w:spacing w:val="3"/>
              </w:rPr>
              <w:t xml:space="preserve">  </w:t>
            </w:r>
            <w:r>
              <w:rPr>
                <w:spacing w:val="7"/>
              </w:rPr>
              <w:t>简单程序调试任务、</w:t>
            </w:r>
            <w:r>
              <w:rPr>
                <w:spacing w:val="1"/>
              </w:rPr>
              <w:t xml:space="preserve"> </w:t>
            </w:r>
            <w:r>
              <w:rPr>
                <w:spacing w:val="-3"/>
              </w:rPr>
              <w:t>单模块程序调试任务</w:t>
            </w:r>
            <w:r>
              <w:t xml:space="preserve">  </w:t>
            </w:r>
            <w:r>
              <w:rPr>
                <w:spacing w:val="-4"/>
              </w:rPr>
              <w:t>和多模块程序调试</w:t>
            </w:r>
          </w:p>
          <w:p w14:paraId="3375B980">
            <w:pPr>
              <w:pStyle w:val="6"/>
              <w:spacing w:before="18" w:line="219" w:lineRule="auto"/>
              <w:ind w:left="13"/>
            </w:pPr>
            <w:r>
              <w:rPr>
                <w:spacing w:val="-2"/>
              </w:rPr>
              <w:t>任务。</w:t>
            </w:r>
          </w:p>
        </w:tc>
        <w:tc>
          <w:tcPr>
            <w:tcW w:w="3920" w:type="dxa"/>
            <w:vAlign w:val="top"/>
          </w:tcPr>
          <w:p w14:paraId="1ED73675">
            <w:pPr>
              <w:pStyle w:val="6"/>
              <w:spacing w:before="58" w:line="217" w:lineRule="auto"/>
              <w:ind w:left="5"/>
            </w:pPr>
            <w:r>
              <w:rPr>
                <w:spacing w:val="-1"/>
              </w:rPr>
              <w:t>参考分值：60分</w:t>
            </w:r>
          </w:p>
          <w:p w14:paraId="0B085587">
            <w:pPr>
              <w:pStyle w:val="6"/>
              <w:spacing w:before="1" w:line="230" w:lineRule="auto"/>
              <w:ind w:left="5" w:right="330"/>
            </w:pPr>
            <w:r>
              <w:t>1.技术方法：上机考核，自动评分或手动评分。</w:t>
            </w:r>
            <w:r>
              <w:rPr>
                <w:spacing w:val="3"/>
              </w:rPr>
              <w:t xml:space="preserve"> </w:t>
            </w:r>
            <w:r>
              <w:rPr>
                <w:spacing w:val="1"/>
              </w:rPr>
              <w:t>2.工具使用：</w:t>
            </w:r>
            <w:r>
              <w:t>Python</w:t>
            </w:r>
            <w:r>
              <w:rPr>
                <w:spacing w:val="1"/>
              </w:rPr>
              <w:t>3.8程序测试平台</w:t>
            </w:r>
          </w:p>
          <w:p w14:paraId="0C41D6EE">
            <w:pPr>
              <w:pStyle w:val="6"/>
              <w:spacing w:before="4" w:line="219" w:lineRule="auto"/>
              <w:ind w:left="5"/>
            </w:pPr>
            <w:r>
              <w:rPr>
                <w:spacing w:val="-1"/>
              </w:rPr>
              <w:t>3.操作步骤：按项目任务书要求进行</w:t>
            </w:r>
          </w:p>
          <w:p w14:paraId="75D4FBE6">
            <w:pPr>
              <w:pStyle w:val="6"/>
              <w:spacing w:before="38" w:line="224" w:lineRule="auto"/>
              <w:ind w:left="5"/>
            </w:pPr>
            <w:r>
              <w:rPr>
                <w:spacing w:val="-1"/>
              </w:rPr>
              <w:t>4.操作成效：完成项目任务，文件完好，命令正确，</w:t>
            </w:r>
            <w:r>
              <w:rPr>
                <w:spacing w:val="17"/>
              </w:rPr>
              <w:t xml:space="preserve"> </w:t>
            </w:r>
            <w:r>
              <w:rPr>
                <w:spacing w:val="-2"/>
              </w:rPr>
              <w:t>数据完整，操作准确娴熟</w:t>
            </w:r>
          </w:p>
          <w:p w14:paraId="7062D8CC">
            <w:pPr>
              <w:pStyle w:val="6"/>
              <w:spacing w:before="7" w:line="212" w:lineRule="auto"/>
              <w:ind w:left="5" w:right="164" w:firstLine="10"/>
            </w:pPr>
            <w:r>
              <w:rPr>
                <w:spacing w:val="-1"/>
              </w:rPr>
              <w:t>5.安全清洁：遵守微机操作安全规范，保持机位清</w:t>
            </w:r>
            <w:r>
              <w:rPr>
                <w:spacing w:val="11"/>
              </w:rPr>
              <w:t xml:space="preserve"> </w:t>
            </w:r>
            <w:r>
              <w:rPr>
                <w:spacing w:val="-3"/>
              </w:rPr>
              <w:t>洁卫生</w:t>
            </w:r>
          </w:p>
        </w:tc>
      </w:tr>
      <w:tr w14:paraId="006DD9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36" w:hRule="atLeast"/>
        </w:trPr>
        <w:tc>
          <w:tcPr>
            <w:tcW w:w="854" w:type="dxa"/>
            <w:vAlign w:val="top"/>
          </w:tcPr>
          <w:p w14:paraId="4661CFAB">
            <w:pPr>
              <w:pStyle w:val="6"/>
              <w:spacing w:before="50" w:line="218" w:lineRule="auto"/>
              <w:ind w:left="75" w:right="43" w:firstLine="39"/>
            </w:pPr>
            <w:r>
              <w:rPr>
                <w:spacing w:val="1"/>
              </w:rPr>
              <w:t>项目六：</w:t>
            </w:r>
            <w:r>
              <w:t xml:space="preserve"> </w:t>
            </w:r>
            <w:r>
              <w:rPr>
                <w:spacing w:val="-2"/>
              </w:rPr>
              <w:t>演示文稿</w:t>
            </w:r>
          </w:p>
        </w:tc>
        <w:tc>
          <w:tcPr>
            <w:tcW w:w="410" w:type="dxa"/>
            <w:textDirection w:val="tbRlV"/>
            <w:vAlign w:val="top"/>
          </w:tcPr>
          <w:p w14:paraId="664A7910">
            <w:pPr>
              <w:pStyle w:val="6"/>
              <w:spacing w:before="125" w:line="201" w:lineRule="auto"/>
              <w:ind w:left="13"/>
            </w:pPr>
            <w:r>
              <w:t>微</w:t>
            </w:r>
            <w:r>
              <w:rPr>
                <w:spacing w:val="7"/>
              </w:rPr>
              <w:t xml:space="preserve"> </w:t>
            </w:r>
            <w:r>
              <w:t>机</w:t>
            </w:r>
          </w:p>
        </w:tc>
        <w:tc>
          <w:tcPr>
            <w:tcW w:w="1518" w:type="dxa"/>
            <w:vAlign w:val="top"/>
          </w:tcPr>
          <w:p w14:paraId="66CF2BA2">
            <w:pPr>
              <w:pStyle w:val="6"/>
              <w:spacing w:before="41" w:line="236" w:lineRule="auto"/>
              <w:ind w:left="11"/>
            </w:pPr>
            <w:r>
              <w:rPr>
                <w:spacing w:val="-4"/>
              </w:rPr>
              <w:t>1.演示文稿的新建、</w:t>
            </w:r>
            <w:r>
              <w:rPr>
                <w:spacing w:val="5"/>
              </w:rPr>
              <w:t xml:space="preserve"> </w:t>
            </w:r>
            <w:r>
              <w:rPr>
                <w:spacing w:val="-10"/>
              </w:rPr>
              <w:t>保存、打开和浏览</w:t>
            </w:r>
            <w:r>
              <w:rPr>
                <w:spacing w:val="1"/>
              </w:rPr>
              <w:t xml:space="preserve">   2.幻灯片的插入、</w:t>
            </w:r>
            <w:r>
              <w:rPr>
                <w:spacing w:val="3"/>
              </w:rPr>
              <w:t xml:space="preserve">  </w:t>
            </w:r>
            <w:r>
              <w:rPr>
                <w:spacing w:val="-10"/>
              </w:rPr>
              <w:t>复制、移动和删除</w:t>
            </w:r>
            <w:r>
              <w:t xml:space="preserve">   </w:t>
            </w:r>
            <w:r>
              <w:rPr>
                <w:spacing w:val="-11"/>
              </w:rPr>
              <w:t>3.更换幻灯片的版式</w:t>
            </w:r>
            <w:r>
              <w:t xml:space="preserve">  </w:t>
            </w:r>
            <w:r>
              <w:rPr>
                <w:spacing w:val="-9"/>
              </w:rPr>
              <w:t>4.使用幻灯片母版</w:t>
            </w:r>
            <w:r>
              <w:rPr>
                <w:spacing w:val="2"/>
              </w:rPr>
              <w:t xml:space="preserve">   </w:t>
            </w:r>
            <w:r>
              <w:rPr>
                <w:spacing w:val="-4"/>
              </w:rPr>
              <w:t>5.设置幻灯片主题、</w:t>
            </w:r>
            <w:r>
              <w:rPr>
                <w:spacing w:val="5"/>
              </w:rPr>
              <w:t xml:space="preserve"> </w:t>
            </w:r>
            <w:r>
              <w:rPr>
                <w:spacing w:val="-12"/>
              </w:rPr>
              <w:t>背景、配色方案；设</w:t>
            </w:r>
            <w:r>
              <w:t xml:space="preserve">  </w:t>
            </w:r>
            <w:r>
              <w:rPr>
                <w:spacing w:val="-10"/>
              </w:rPr>
              <w:t>置、复制文字格式</w:t>
            </w:r>
            <w:r>
              <w:rPr>
                <w:spacing w:val="2"/>
              </w:rPr>
              <w:t xml:space="preserve">   </w:t>
            </w:r>
            <w:r>
              <w:rPr>
                <w:spacing w:val="-9"/>
              </w:rPr>
              <w:t>6.插入艺术字、形</w:t>
            </w:r>
            <w:r>
              <w:rPr>
                <w:spacing w:val="1"/>
              </w:rPr>
              <w:t xml:space="preserve">   </w:t>
            </w:r>
            <w:r>
              <w:rPr>
                <w:spacing w:val="-8"/>
              </w:rPr>
              <w:t>状等内置对象</w:t>
            </w:r>
          </w:p>
          <w:p w14:paraId="78BD3B23">
            <w:pPr>
              <w:pStyle w:val="6"/>
              <w:spacing w:before="29" w:line="223" w:lineRule="auto"/>
              <w:ind w:left="11"/>
            </w:pPr>
            <w:r>
              <w:rPr>
                <w:spacing w:val="-4"/>
              </w:rPr>
              <w:t>7.插入图片、音频、</w:t>
            </w:r>
            <w:r>
              <w:rPr>
                <w:spacing w:val="5"/>
              </w:rPr>
              <w:t xml:space="preserve"> </w:t>
            </w:r>
            <w:r>
              <w:rPr>
                <w:spacing w:val="-8"/>
              </w:rPr>
              <w:t>视频等外部对象</w:t>
            </w:r>
          </w:p>
          <w:p w14:paraId="39C28919">
            <w:pPr>
              <w:pStyle w:val="6"/>
              <w:spacing w:before="29" w:line="230" w:lineRule="auto"/>
              <w:ind w:left="11" w:right="144"/>
            </w:pPr>
            <w:r>
              <w:rPr>
                <w:spacing w:val="-1"/>
              </w:rPr>
              <w:t>8.建立幻灯片的超</w:t>
            </w:r>
            <w:r>
              <w:t xml:space="preserve"> </w:t>
            </w:r>
            <w:r>
              <w:rPr>
                <w:spacing w:val="-2"/>
              </w:rPr>
              <w:t>链接</w:t>
            </w:r>
          </w:p>
          <w:p w14:paraId="63D785ED">
            <w:pPr>
              <w:pStyle w:val="6"/>
              <w:spacing w:before="16" w:line="233" w:lineRule="auto"/>
              <w:ind w:left="11" w:right="38"/>
              <w:jc w:val="both"/>
            </w:pPr>
            <w:r>
              <w:rPr>
                <w:spacing w:val="2"/>
              </w:rPr>
              <w:t>9.动画效果的使用</w:t>
            </w:r>
            <w:r>
              <w:t xml:space="preserve">  </w:t>
            </w:r>
            <w:r>
              <w:rPr>
                <w:spacing w:val="1"/>
              </w:rPr>
              <w:t xml:space="preserve">10.演示文稿的放映 </w:t>
            </w:r>
            <w:r>
              <w:rPr>
                <w:spacing w:val="-2"/>
              </w:rPr>
              <w:t>方式</w:t>
            </w:r>
          </w:p>
          <w:p w14:paraId="32A945B3">
            <w:pPr>
              <w:pStyle w:val="6"/>
              <w:spacing w:before="16" w:line="233" w:lineRule="auto"/>
              <w:ind w:left="11" w:right="39" w:firstLine="10"/>
            </w:pPr>
            <w:r>
              <w:t>11.幻灯片的切换效</w:t>
            </w:r>
            <w:r>
              <w:rPr>
                <w:spacing w:val="1"/>
              </w:rPr>
              <w:t xml:space="preserve"> </w:t>
            </w:r>
            <w:r>
              <w:rPr>
                <w:spacing w:val="-2"/>
              </w:rPr>
              <w:t>果和换片方式</w:t>
            </w:r>
          </w:p>
          <w:p w14:paraId="7C22BAEA">
            <w:pPr>
              <w:pStyle w:val="6"/>
              <w:spacing w:line="215" w:lineRule="auto"/>
              <w:ind w:left="11" w:right="49"/>
            </w:pPr>
            <w:r>
              <w:t>12.演示文稿的打包</w:t>
            </w:r>
            <w:r>
              <w:rPr>
                <w:spacing w:val="1"/>
              </w:rPr>
              <w:t xml:space="preserve"> </w:t>
            </w:r>
            <w:r>
              <w:rPr>
                <w:spacing w:val="5"/>
              </w:rPr>
              <w:t>和打印</w:t>
            </w:r>
          </w:p>
        </w:tc>
        <w:tc>
          <w:tcPr>
            <w:tcW w:w="400" w:type="dxa"/>
            <w:textDirection w:val="tbRlV"/>
            <w:vAlign w:val="top"/>
          </w:tcPr>
          <w:p w14:paraId="6166180D">
            <w:pPr>
              <w:pStyle w:val="6"/>
              <w:spacing w:before="103" w:line="201" w:lineRule="auto"/>
              <w:ind w:left="13"/>
            </w:pPr>
            <w:r>
              <w:t>上</w:t>
            </w:r>
            <w:r>
              <w:rPr>
                <w:spacing w:val="-21"/>
              </w:rPr>
              <w:t xml:space="preserve"> </w:t>
            </w:r>
            <w:r>
              <w:t>机</w:t>
            </w:r>
            <w:r>
              <w:rPr>
                <w:spacing w:val="-21"/>
              </w:rPr>
              <w:t xml:space="preserve"> </w:t>
            </w:r>
            <w:r>
              <w:t>操</w:t>
            </w:r>
            <w:r>
              <w:rPr>
                <w:spacing w:val="-21"/>
              </w:rPr>
              <w:t xml:space="preserve"> </w:t>
            </w:r>
            <w:r>
              <w:t>作</w:t>
            </w:r>
          </w:p>
        </w:tc>
        <w:tc>
          <w:tcPr>
            <w:tcW w:w="1628" w:type="dxa"/>
            <w:vAlign w:val="top"/>
          </w:tcPr>
          <w:p w14:paraId="7F786004">
            <w:pPr>
              <w:pStyle w:val="6"/>
              <w:spacing w:before="50" w:line="220" w:lineRule="auto"/>
              <w:ind w:left="33"/>
            </w:pPr>
            <w:r>
              <w:rPr>
                <w:spacing w:val="1"/>
              </w:rPr>
              <w:t>测试时间：60分钟</w:t>
            </w:r>
          </w:p>
          <w:p w14:paraId="3A139F49">
            <w:pPr>
              <w:pStyle w:val="6"/>
              <w:spacing w:before="16" w:line="235" w:lineRule="auto"/>
              <w:ind w:left="13" w:firstLine="20"/>
            </w:pPr>
            <w:r>
              <w:rPr>
                <w:spacing w:val="-2"/>
              </w:rPr>
              <w:t>按照项目要求，根据</w:t>
            </w:r>
            <w:r>
              <w:rPr>
                <w:spacing w:val="7"/>
              </w:rPr>
              <w:t xml:space="preserve"> </w:t>
            </w:r>
            <w:r>
              <w:rPr>
                <w:spacing w:val="-2"/>
              </w:rPr>
              <w:t>指定演示文稿，完成</w:t>
            </w:r>
            <w:r>
              <w:rPr>
                <w:spacing w:val="3"/>
              </w:rPr>
              <w:t xml:space="preserve">  </w:t>
            </w:r>
            <w:r>
              <w:rPr>
                <w:spacing w:val="-2"/>
              </w:rPr>
              <w:t>幻灯片的编辑、格式/</w:t>
            </w:r>
            <w:r>
              <w:rPr>
                <w:spacing w:val="8"/>
              </w:rPr>
              <w:t xml:space="preserve"> </w:t>
            </w:r>
            <w:r>
              <w:rPr>
                <w:spacing w:val="3"/>
              </w:rPr>
              <w:t>版式、动画、切换和</w:t>
            </w:r>
            <w:r>
              <w:rPr>
                <w:spacing w:val="4"/>
              </w:rPr>
              <w:t xml:space="preserve"> </w:t>
            </w:r>
            <w:r>
              <w:rPr>
                <w:spacing w:val="2"/>
              </w:rPr>
              <w:t>放映等操作任务。</w:t>
            </w:r>
          </w:p>
        </w:tc>
        <w:tc>
          <w:tcPr>
            <w:tcW w:w="3920" w:type="dxa"/>
            <w:vAlign w:val="top"/>
          </w:tcPr>
          <w:p w14:paraId="334166BB">
            <w:pPr>
              <w:pStyle w:val="6"/>
              <w:spacing w:before="50" w:line="219" w:lineRule="auto"/>
              <w:ind w:left="5"/>
            </w:pPr>
            <w:r>
              <w:rPr>
                <w:spacing w:val="-1"/>
              </w:rPr>
              <w:t>参考分值：60分</w:t>
            </w:r>
          </w:p>
          <w:p w14:paraId="78A89382">
            <w:pPr>
              <w:pStyle w:val="6"/>
              <w:spacing w:before="7" w:line="219" w:lineRule="auto"/>
              <w:ind w:left="5"/>
            </w:pPr>
            <w:r>
              <w:t>1.技术方法：上机考核，自动评分。</w:t>
            </w:r>
          </w:p>
          <w:p w14:paraId="387FEC3F">
            <w:pPr>
              <w:pStyle w:val="6"/>
              <w:spacing w:before="18" w:line="236" w:lineRule="auto"/>
              <w:ind w:left="5" w:right="656"/>
            </w:pPr>
            <w:r>
              <w:rPr>
                <w:spacing w:val="1"/>
              </w:rPr>
              <w:t>2.工具使用：</w:t>
            </w:r>
            <w:r>
              <w:t>POWERPOINT</w:t>
            </w:r>
            <w:r>
              <w:rPr>
                <w:spacing w:val="1"/>
              </w:rPr>
              <w:t>2016操作测试平台</w:t>
            </w:r>
            <w:r>
              <w:t xml:space="preserve"> </w:t>
            </w:r>
            <w:r>
              <w:rPr>
                <w:spacing w:val="-1"/>
              </w:rPr>
              <w:t>3.操作步骤：按项目任务书要求进行</w:t>
            </w:r>
          </w:p>
          <w:p w14:paraId="2ACE04C9">
            <w:pPr>
              <w:pStyle w:val="6"/>
              <w:spacing w:before="5" w:line="237" w:lineRule="auto"/>
              <w:ind w:left="5"/>
            </w:pPr>
            <w:r>
              <w:rPr>
                <w:spacing w:val="-1"/>
              </w:rPr>
              <w:t>4.操作成效：完成项目任务，文件完好，命令正确，</w:t>
            </w:r>
            <w:r>
              <w:rPr>
                <w:spacing w:val="17"/>
              </w:rPr>
              <w:t xml:space="preserve"> </w:t>
            </w:r>
            <w:r>
              <w:rPr>
                <w:spacing w:val="-2"/>
              </w:rPr>
              <w:t>数据完整，操作准确娴熟</w:t>
            </w:r>
          </w:p>
          <w:p w14:paraId="6F9A9B98">
            <w:pPr>
              <w:pStyle w:val="6"/>
              <w:spacing w:before="23" w:line="234" w:lineRule="auto"/>
              <w:ind w:left="5" w:firstLine="10"/>
            </w:pPr>
            <w:r>
              <w:rPr>
                <w:spacing w:val="-1"/>
              </w:rPr>
              <w:t>5.安全清洁：遵守微机操作安全规范，保持机位清洁</w:t>
            </w:r>
            <w:r>
              <w:rPr>
                <w:spacing w:val="7"/>
              </w:rPr>
              <w:t xml:space="preserve"> </w:t>
            </w:r>
            <w:r>
              <w:rPr>
                <w:spacing w:val="-3"/>
              </w:rPr>
              <w:t>卫生</w:t>
            </w:r>
          </w:p>
        </w:tc>
      </w:tr>
      <w:tr w14:paraId="00A4E4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808" w:hRule="atLeast"/>
        </w:trPr>
        <w:tc>
          <w:tcPr>
            <w:tcW w:w="854" w:type="dxa"/>
            <w:vAlign w:val="top"/>
          </w:tcPr>
          <w:p w14:paraId="3E936277">
            <w:pPr>
              <w:pStyle w:val="6"/>
              <w:spacing w:before="53" w:line="232" w:lineRule="auto"/>
              <w:ind w:left="15" w:right="2" w:firstLine="99"/>
            </w:pPr>
            <w:r>
              <w:rPr>
                <w:spacing w:val="1"/>
              </w:rPr>
              <w:t>项目七：</w:t>
            </w:r>
            <w:r>
              <w:t xml:space="preserve"> </w:t>
            </w:r>
            <w:r>
              <w:rPr>
                <w:spacing w:val="8"/>
              </w:rPr>
              <w:t>Python面</w:t>
            </w:r>
            <w:r>
              <w:t xml:space="preserve">  </w:t>
            </w:r>
            <w:r>
              <w:rPr>
                <w:spacing w:val="-5"/>
              </w:rPr>
              <w:t>向对象程序</w:t>
            </w:r>
            <w:r>
              <w:t xml:space="preserve"> </w:t>
            </w:r>
            <w:r>
              <w:rPr>
                <w:spacing w:val="12"/>
              </w:rPr>
              <w:t>设计调试</w:t>
            </w:r>
          </w:p>
        </w:tc>
        <w:tc>
          <w:tcPr>
            <w:tcW w:w="410" w:type="dxa"/>
            <w:textDirection w:val="tbRlV"/>
            <w:vAlign w:val="top"/>
          </w:tcPr>
          <w:p w14:paraId="543B5132">
            <w:pPr>
              <w:pStyle w:val="6"/>
              <w:spacing w:before="125" w:line="201" w:lineRule="auto"/>
              <w:ind w:left="17"/>
            </w:pPr>
            <w:r>
              <w:t>微</w:t>
            </w:r>
            <w:r>
              <w:rPr>
                <w:spacing w:val="7"/>
              </w:rPr>
              <w:t xml:space="preserve"> </w:t>
            </w:r>
            <w:r>
              <w:t>机</w:t>
            </w:r>
          </w:p>
        </w:tc>
        <w:tc>
          <w:tcPr>
            <w:tcW w:w="1518" w:type="dxa"/>
            <w:vAlign w:val="top"/>
          </w:tcPr>
          <w:p w14:paraId="71F7839F">
            <w:pPr>
              <w:pStyle w:val="6"/>
              <w:spacing w:before="44" w:line="208" w:lineRule="auto"/>
              <w:ind w:left="11" w:right="9" w:firstLine="20"/>
            </w:pPr>
            <w:r>
              <w:rPr>
                <w:spacing w:val="-10"/>
              </w:rPr>
              <w:t>1</w:t>
            </w:r>
            <w:r>
              <w:rPr>
                <w:spacing w:val="-27"/>
              </w:rPr>
              <w:t xml:space="preserve"> </w:t>
            </w:r>
            <w:r>
              <w:rPr>
                <w:spacing w:val="-10"/>
              </w:rPr>
              <w:t>.</w:t>
            </w:r>
            <w:r>
              <w:rPr>
                <w:spacing w:val="-28"/>
              </w:rPr>
              <w:t xml:space="preserve"> </w:t>
            </w:r>
            <w:r>
              <w:rPr>
                <w:spacing w:val="-10"/>
              </w:rPr>
              <w:t>简</w:t>
            </w:r>
            <w:r>
              <w:rPr>
                <w:spacing w:val="-29"/>
              </w:rPr>
              <w:t xml:space="preserve"> </w:t>
            </w:r>
            <w:r>
              <w:rPr>
                <w:spacing w:val="-10"/>
              </w:rPr>
              <w:t>单</w:t>
            </w:r>
            <w:r>
              <w:rPr>
                <w:spacing w:val="-33"/>
              </w:rPr>
              <w:t xml:space="preserve"> </w:t>
            </w:r>
            <w:r>
              <w:rPr>
                <w:spacing w:val="-10"/>
              </w:rPr>
              <w:t>G</w:t>
            </w:r>
            <w:r>
              <w:rPr>
                <w:spacing w:val="-34"/>
              </w:rPr>
              <w:t xml:space="preserve"> </w:t>
            </w:r>
            <w:r>
              <w:rPr>
                <w:spacing w:val="-10"/>
              </w:rPr>
              <w:t>U</w:t>
            </w:r>
            <w:r>
              <w:rPr>
                <w:spacing w:val="-22"/>
              </w:rPr>
              <w:t xml:space="preserve"> </w:t>
            </w:r>
            <w:r>
              <w:rPr>
                <w:spacing w:val="-10"/>
              </w:rPr>
              <w:t>I</w:t>
            </w:r>
            <w:r>
              <w:rPr>
                <w:spacing w:val="-26"/>
              </w:rPr>
              <w:t xml:space="preserve"> </w:t>
            </w:r>
            <w:r>
              <w:rPr>
                <w:spacing w:val="-10"/>
              </w:rPr>
              <w:t>界</w:t>
            </w:r>
            <w:r>
              <w:rPr>
                <w:spacing w:val="-30"/>
              </w:rPr>
              <w:t xml:space="preserve"> </w:t>
            </w:r>
            <w:r>
              <w:rPr>
                <w:spacing w:val="-10"/>
              </w:rPr>
              <w:t>面</w:t>
            </w:r>
            <w:r>
              <w:t xml:space="preserve"> </w:t>
            </w:r>
            <w:r>
              <w:rPr>
                <w:spacing w:val="-2"/>
              </w:rPr>
              <w:t>程序设计</w:t>
            </w:r>
          </w:p>
          <w:p w14:paraId="241D8F29">
            <w:pPr>
              <w:pStyle w:val="6"/>
              <w:spacing w:before="16" w:line="212" w:lineRule="auto"/>
              <w:ind w:left="11" w:right="9"/>
            </w:pPr>
            <w:r>
              <w:rPr>
                <w:spacing w:val="-9"/>
              </w:rPr>
              <w:t>2</w:t>
            </w:r>
            <w:r>
              <w:rPr>
                <w:spacing w:val="-25"/>
              </w:rPr>
              <w:t xml:space="preserve"> </w:t>
            </w:r>
            <w:r>
              <w:rPr>
                <w:spacing w:val="-9"/>
              </w:rPr>
              <w:t>.</w:t>
            </w:r>
            <w:r>
              <w:rPr>
                <w:spacing w:val="-26"/>
              </w:rPr>
              <w:t xml:space="preserve"> </w:t>
            </w:r>
            <w:r>
              <w:rPr>
                <w:spacing w:val="-9"/>
              </w:rPr>
              <w:t>简</w:t>
            </w:r>
            <w:r>
              <w:rPr>
                <w:spacing w:val="-28"/>
              </w:rPr>
              <w:t xml:space="preserve"> </w:t>
            </w:r>
            <w:r>
              <w:rPr>
                <w:spacing w:val="-9"/>
              </w:rPr>
              <w:t>单</w:t>
            </w:r>
            <w:r>
              <w:rPr>
                <w:spacing w:val="-31"/>
              </w:rPr>
              <w:t xml:space="preserve"> </w:t>
            </w:r>
            <w:r>
              <w:rPr>
                <w:spacing w:val="-9"/>
              </w:rPr>
              <w:t>G</w:t>
            </w:r>
            <w:r>
              <w:rPr>
                <w:spacing w:val="-34"/>
              </w:rPr>
              <w:t xml:space="preserve"> </w:t>
            </w:r>
            <w:r>
              <w:rPr>
                <w:spacing w:val="-9"/>
              </w:rPr>
              <w:t>U</w:t>
            </w:r>
            <w:r>
              <w:rPr>
                <w:spacing w:val="-20"/>
              </w:rPr>
              <w:t xml:space="preserve"> </w:t>
            </w:r>
            <w:r>
              <w:rPr>
                <w:spacing w:val="-9"/>
              </w:rPr>
              <w:t>I</w:t>
            </w:r>
            <w:r>
              <w:rPr>
                <w:spacing w:val="-25"/>
              </w:rPr>
              <w:t xml:space="preserve"> </w:t>
            </w:r>
            <w:r>
              <w:rPr>
                <w:spacing w:val="-9"/>
              </w:rPr>
              <w:t>界</w:t>
            </w:r>
            <w:r>
              <w:rPr>
                <w:spacing w:val="-29"/>
              </w:rPr>
              <w:t xml:space="preserve"> </w:t>
            </w:r>
            <w:r>
              <w:rPr>
                <w:spacing w:val="-9"/>
              </w:rPr>
              <w:t>面</w:t>
            </w:r>
            <w:r>
              <w:t xml:space="preserve"> </w:t>
            </w:r>
            <w:r>
              <w:rPr>
                <w:spacing w:val="-2"/>
              </w:rPr>
              <w:t>程序调试</w:t>
            </w:r>
          </w:p>
          <w:p w14:paraId="05AE2F92">
            <w:pPr>
              <w:pStyle w:val="6"/>
              <w:spacing w:line="222" w:lineRule="auto"/>
              <w:ind w:left="11" w:right="143"/>
            </w:pPr>
            <w:r>
              <w:rPr>
                <w:spacing w:val="-1"/>
              </w:rPr>
              <w:t>注：仅限于鼠标事</w:t>
            </w:r>
            <w:r>
              <w:t xml:space="preserve"> </w:t>
            </w:r>
            <w:r>
              <w:rPr>
                <w:spacing w:val="-1"/>
              </w:rPr>
              <w:t>件和键盘事</w:t>
            </w:r>
          </w:p>
          <w:p w14:paraId="4A7B6F8B">
            <w:pPr>
              <w:pStyle w:val="6"/>
              <w:spacing w:before="1" w:line="200" w:lineRule="auto"/>
              <w:ind w:left="11" w:right="118"/>
            </w:pPr>
            <w:r>
              <w:rPr>
                <w:spacing w:val="2"/>
              </w:rPr>
              <w:t>件、仅限于考纲中</w:t>
            </w:r>
            <w:r>
              <w:rPr>
                <w:spacing w:val="1"/>
              </w:rPr>
              <w:t xml:space="preserve"> </w:t>
            </w:r>
            <w:r>
              <w:t>所列的Tkinter库</w:t>
            </w:r>
            <w:r>
              <w:rPr>
                <w:spacing w:val="1"/>
              </w:rPr>
              <w:t xml:space="preserve">  </w:t>
            </w:r>
            <w:r>
              <w:rPr>
                <w:spacing w:val="-1"/>
              </w:rPr>
              <w:t>中控件。</w:t>
            </w:r>
          </w:p>
        </w:tc>
        <w:tc>
          <w:tcPr>
            <w:tcW w:w="400" w:type="dxa"/>
            <w:textDirection w:val="tbRlV"/>
            <w:vAlign w:val="top"/>
          </w:tcPr>
          <w:p w14:paraId="0D4906C0">
            <w:pPr>
              <w:pStyle w:val="6"/>
              <w:spacing w:before="115" w:line="199" w:lineRule="auto"/>
              <w:ind w:left="29"/>
            </w:pPr>
            <w:r>
              <w:t>实</w:t>
            </w:r>
            <w:r>
              <w:rPr>
                <w:spacing w:val="-28"/>
              </w:rPr>
              <w:t xml:space="preserve"> </w:t>
            </w:r>
            <w:r>
              <w:t>践</w:t>
            </w:r>
            <w:r>
              <w:rPr>
                <w:spacing w:val="-28"/>
              </w:rPr>
              <w:t xml:space="preserve"> </w:t>
            </w:r>
            <w:r>
              <w:t>操</w:t>
            </w:r>
            <w:r>
              <w:rPr>
                <w:spacing w:val="-28"/>
              </w:rPr>
              <w:t xml:space="preserve"> </w:t>
            </w:r>
            <w:r>
              <w:t>作</w:t>
            </w:r>
          </w:p>
        </w:tc>
        <w:tc>
          <w:tcPr>
            <w:tcW w:w="1628" w:type="dxa"/>
            <w:vAlign w:val="top"/>
          </w:tcPr>
          <w:p w14:paraId="28900EEF">
            <w:pPr>
              <w:pStyle w:val="6"/>
              <w:spacing w:before="54" w:line="217" w:lineRule="auto"/>
              <w:ind w:left="13"/>
            </w:pPr>
            <w:r>
              <w:rPr>
                <w:spacing w:val="1"/>
              </w:rPr>
              <w:t>测试时间：60分钟</w:t>
            </w:r>
          </w:p>
          <w:p w14:paraId="37C8A14B">
            <w:pPr>
              <w:pStyle w:val="6"/>
              <w:spacing w:line="223" w:lineRule="auto"/>
              <w:ind w:left="13" w:right="72" w:firstLine="10"/>
            </w:pPr>
            <w:r>
              <w:rPr>
                <w:spacing w:val="-1"/>
              </w:rPr>
              <w:t>按照项目要求，完成</w:t>
            </w:r>
            <w:r>
              <w:t xml:space="preserve"> 简</w:t>
            </w:r>
          </w:p>
          <w:p w14:paraId="204B4B59">
            <w:pPr>
              <w:pStyle w:val="6"/>
              <w:spacing w:before="40" w:line="219" w:lineRule="auto"/>
              <w:ind w:left="13" w:right="157" w:firstLine="10"/>
            </w:pPr>
            <w:r>
              <w:rPr>
                <w:spacing w:val="-1"/>
              </w:rPr>
              <w:t>单GUI界面程序的设</w:t>
            </w:r>
            <w:r>
              <w:rPr>
                <w:spacing w:val="1"/>
              </w:rPr>
              <w:t xml:space="preserve"> </w:t>
            </w:r>
            <w:r>
              <w:rPr>
                <w:spacing w:val="-1"/>
              </w:rPr>
              <w:t>计与调试。</w:t>
            </w:r>
          </w:p>
        </w:tc>
        <w:tc>
          <w:tcPr>
            <w:tcW w:w="3920" w:type="dxa"/>
            <w:vAlign w:val="top"/>
          </w:tcPr>
          <w:p w14:paraId="512FA9D4">
            <w:pPr>
              <w:pStyle w:val="6"/>
              <w:spacing w:before="24" w:line="219" w:lineRule="auto"/>
              <w:ind w:left="5"/>
            </w:pPr>
            <w:r>
              <w:rPr>
                <w:spacing w:val="-1"/>
              </w:rPr>
              <w:t>参考分值：60分</w:t>
            </w:r>
          </w:p>
          <w:p w14:paraId="2AD4CAA0">
            <w:pPr>
              <w:pStyle w:val="6"/>
              <w:spacing w:before="27" w:line="219" w:lineRule="auto"/>
              <w:ind w:left="5"/>
            </w:pPr>
            <w:r>
              <w:t>技术方法：上机考核，自动评分或手动评分。</w:t>
            </w:r>
          </w:p>
          <w:p w14:paraId="14DAF6E1">
            <w:pPr>
              <w:pStyle w:val="6"/>
              <w:spacing w:before="25" w:line="215" w:lineRule="auto"/>
              <w:ind w:left="5"/>
            </w:pPr>
            <w:r>
              <w:rPr>
                <w:spacing w:val="1"/>
              </w:rPr>
              <w:t>工具使用：</w:t>
            </w:r>
            <w:r>
              <w:t>Python</w:t>
            </w:r>
            <w:r>
              <w:rPr>
                <w:spacing w:val="1"/>
              </w:rPr>
              <w:t>3.8程序测试平台</w:t>
            </w:r>
          </w:p>
          <w:p w14:paraId="29FACF43">
            <w:pPr>
              <w:pStyle w:val="6"/>
              <w:spacing w:before="25" w:line="219" w:lineRule="auto"/>
              <w:ind w:left="5"/>
            </w:pPr>
            <w:r>
              <w:rPr>
                <w:spacing w:val="-1"/>
              </w:rPr>
              <w:t>操作步骤：按项目任务书要求进行</w:t>
            </w:r>
          </w:p>
          <w:p w14:paraId="1F17687C">
            <w:pPr>
              <w:pStyle w:val="6"/>
              <w:spacing w:before="19" w:line="229" w:lineRule="auto"/>
              <w:ind w:left="5"/>
            </w:pPr>
            <w:r>
              <w:rPr>
                <w:spacing w:val="-1"/>
              </w:rPr>
              <w:t>操作成效：完成项目任务，文件完好，代码正确，数</w:t>
            </w:r>
            <w:r>
              <w:rPr>
                <w:spacing w:val="16"/>
              </w:rPr>
              <w:t xml:space="preserve"> </w:t>
            </w:r>
            <w:r>
              <w:rPr>
                <w:spacing w:val="-1"/>
              </w:rPr>
              <w:t>据完整，操作准确娴熟</w:t>
            </w:r>
          </w:p>
          <w:p w14:paraId="2A198A49">
            <w:pPr>
              <w:pStyle w:val="6"/>
              <w:spacing w:before="17" w:line="236" w:lineRule="auto"/>
              <w:ind w:left="5" w:right="164" w:firstLine="10"/>
            </w:pPr>
            <w:r>
              <w:rPr>
                <w:spacing w:val="-1"/>
              </w:rPr>
              <w:t>安全清洁：遵守微机操作安全规范，保持机位清洁</w:t>
            </w:r>
            <w:r>
              <w:rPr>
                <w:spacing w:val="10"/>
              </w:rPr>
              <w:t xml:space="preserve"> </w:t>
            </w:r>
            <w:r>
              <w:rPr>
                <w:spacing w:val="-2"/>
              </w:rPr>
              <w:t>卫生</w:t>
            </w:r>
          </w:p>
        </w:tc>
      </w:tr>
      <w:tr w14:paraId="03C51D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44" w:hRule="atLeast"/>
        </w:trPr>
        <w:tc>
          <w:tcPr>
            <w:tcW w:w="854" w:type="dxa"/>
            <w:vAlign w:val="top"/>
          </w:tcPr>
          <w:p w14:paraId="4B19CE79">
            <w:pPr>
              <w:pStyle w:val="6"/>
              <w:spacing w:before="66" w:line="225" w:lineRule="auto"/>
              <w:ind w:left="15" w:right="15" w:firstLine="99"/>
            </w:pPr>
            <w:r>
              <w:rPr>
                <w:spacing w:val="1"/>
              </w:rPr>
              <w:t>项目八：</w:t>
            </w:r>
            <w:r>
              <w:t xml:space="preserve"> </w:t>
            </w:r>
            <w:r>
              <w:rPr>
                <w:spacing w:val="16"/>
              </w:rPr>
              <w:t>图像处理</w:t>
            </w:r>
            <w:r>
              <w:t xml:space="preserve">  </w:t>
            </w:r>
            <w:r>
              <w:rPr>
                <w:spacing w:val="-4"/>
              </w:rPr>
              <w:t>(Photoshop</w:t>
            </w:r>
          </w:p>
          <w:p w14:paraId="3480264A">
            <w:pPr>
              <w:pStyle w:val="6"/>
              <w:spacing w:before="90" w:line="190" w:lineRule="auto"/>
              <w:ind w:left="115" w:right="91" w:firstLine="49"/>
            </w:pPr>
            <w:r>
              <w:rPr>
                <w:spacing w:val="-1"/>
              </w:rPr>
              <w:t>CC2018</w:t>
            </w:r>
            <w:r>
              <w:t xml:space="preserve">  </w:t>
            </w:r>
            <w:r>
              <w:rPr>
                <w:spacing w:val="10"/>
              </w:rPr>
              <w:t>中文版)</w:t>
            </w:r>
          </w:p>
        </w:tc>
        <w:tc>
          <w:tcPr>
            <w:tcW w:w="410" w:type="dxa"/>
            <w:textDirection w:val="tbRlV"/>
            <w:vAlign w:val="top"/>
          </w:tcPr>
          <w:p w14:paraId="52BF33D5">
            <w:pPr>
              <w:pStyle w:val="6"/>
              <w:spacing w:before="125" w:line="201" w:lineRule="auto"/>
              <w:ind w:left="29"/>
            </w:pPr>
            <w:r>
              <w:t>微</w:t>
            </w:r>
            <w:r>
              <w:rPr>
                <w:spacing w:val="-14"/>
              </w:rPr>
              <w:t xml:space="preserve"> </w:t>
            </w:r>
            <w:r>
              <w:t>机</w:t>
            </w:r>
          </w:p>
        </w:tc>
        <w:tc>
          <w:tcPr>
            <w:tcW w:w="1518" w:type="dxa"/>
            <w:vAlign w:val="top"/>
          </w:tcPr>
          <w:p w14:paraId="51D90730">
            <w:pPr>
              <w:pStyle w:val="6"/>
              <w:spacing w:before="41" w:line="214" w:lineRule="auto"/>
              <w:ind w:left="21"/>
            </w:pPr>
            <w:r>
              <w:rPr>
                <w:spacing w:val="-2"/>
              </w:rPr>
              <w:t>1.PhotoshopCC2018</w:t>
            </w:r>
          </w:p>
          <w:p w14:paraId="23891249">
            <w:pPr>
              <w:pStyle w:val="6"/>
              <w:spacing w:before="48" w:line="220" w:lineRule="auto"/>
              <w:ind w:left="11"/>
            </w:pPr>
            <w:r>
              <w:rPr>
                <w:spacing w:val="3"/>
              </w:rPr>
              <w:t>的启动和退出</w:t>
            </w:r>
          </w:p>
          <w:p w14:paraId="4B3B66ED">
            <w:pPr>
              <w:pStyle w:val="6"/>
              <w:spacing w:before="6" w:line="219" w:lineRule="auto"/>
              <w:ind w:left="11"/>
            </w:pPr>
            <w:r>
              <w:rPr>
                <w:spacing w:val="-1"/>
              </w:rPr>
              <w:t>2.窗口界面操作</w:t>
            </w:r>
          </w:p>
          <w:p w14:paraId="18C8772F">
            <w:pPr>
              <w:pStyle w:val="6"/>
              <w:spacing w:before="18" w:line="228" w:lineRule="auto"/>
              <w:ind w:left="11" w:right="136" w:firstLine="10"/>
            </w:pPr>
            <w:r>
              <w:rPr>
                <w:spacing w:val="-2"/>
              </w:rPr>
              <w:t>3.色彩模型、分辨</w:t>
            </w:r>
            <w:r>
              <w:rPr>
                <w:spacing w:val="6"/>
              </w:rPr>
              <w:t xml:space="preserve"> </w:t>
            </w:r>
            <w:r>
              <w:rPr>
                <w:spacing w:val="-2"/>
              </w:rPr>
              <w:t>率的基本操作</w:t>
            </w:r>
          </w:p>
        </w:tc>
        <w:tc>
          <w:tcPr>
            <w:tcW w:w="400" w:type="dxa"/>
            <w:textDirection w:val="tbRlV"/>
            <w:vAlign w:val="top"/>
          </w:tcPr>
          <w:p w14:paraId="684D6CAF">
            <w:pPr>
              <w:pStyle w:val="6"/>
              <w:spacing w:before="123" w:line="201" w:lineRule="auto"/>
              <w:ind w:left="29"/>
            </w:pPr>
            <w:r>
              <w:rPr>
                <w:spacing w:val="-1"/>
              </w:rPr>
              <w:t>上</w:t>
            </w:r>
            <w:r>
              <w:rPr>
                <w:spacing w:val="-25"/>
              </w:rPr>
              <w:t xml:space="preserve"> </w:t>
            </w:r>
            <w:r>
              <w:rPr>
                <w:spacing w:val="-1"/>
              </w:rPr>
              <w:t>机</w:t>
            </w:r>
            <w:r>
              <w:rPr>
                <w:spacing w:val="-27"/>
              </w:rPr>
              <w:t xml:space="preserve"> </w:t>
            </w:r>
            <w:r>
              <w:rPr>
                <w:spacing w:val="-1"/>
              </w:rPr>
              <w:t>操</w:t>
            </w:r>
            <w:r>
              <w:rPr>
                <w:spacing w:val="-27"/>
              </w:rPr>
              <w:t xml:space="preserve"> </w:t>
            </w:r>
            <w:r>
              <w:rPr>
                <w:spacing w:val="-1"/>
              </w:rPr>
              <w:t>作</w:t>
            </w:r>
          </w:p>
        </w:tc>
        <w:tc>
          <w:tcPr>
            <w:tcW w:w="1628" w:type="dxa"/>
            <w:vAlign w:val="top"/>
          </w:tcPr>
          <w:p w14:paraId="7C27B3AD">
            <w:pPr>
              <w:pStyle w:val="6"/>
              <w:spacing w:before="56" w:line="220" w:lineRule="auto"/>
              <w:ind w:left="13"/>
            </w:pPr>
            <w:r>
              <w:rPr>
                <w:spacing w:val="1"/>
              </w:rPr>
              <w:t>测试时间：60分钟</w:t>
            </w:r>
          </w:p>
          <w:p w14:paraId="27FF66FE">
            <w:pPr>
              <w:pStyle w:val="6"/>
              <w:spacing w:before="17" w:line="219" w:lineRule="auto"/>
              <w:ind w:left="13"/>
            </w:pPr>
            <w:r>
              <w:rPr>
                <w:spacing w:val="-1"/>
              </w:rPr>
              <w:t>按照项目要求，根</w:t>
            </w:r>
          </w:p>
          <w:p w14:paraId="688A3E6F">
            <w:pPr>
              <w:pStyle w:val="6"/>
              <w:spacing w:before="27" w:line="219" w:lineRule="auto"/>
              <w:ind w:left="33"/>
            </w:pPr>
            <w:r>
              <w:rPr>
                <w:spacing w:val="-1"/>
              </w:rPr>
              <w:t>据指定图像素材，</w:t>
            </w:r>
          </w:p>
          <w:p w14:paraId="0471DDBC">
            <w:pPr>
              <w:pStyle w:val="6"/>
              <w:spacing w:before="18" w:line="224" w:lineRule="auto"/>
              <w:ind w:left="23" w:firstLine="9"/>
            </w:pPr>
            <w:r>
              <w:rPr>
                <w:spacing w:val="6"/>
              </w:rPr>
              <w:t>完成抠图操作任务、</w:t>
            </w:r>
            <w:r>
              <w:t xml:space="preserve"> </w:t>
            </w:r>
            <w:r>
              <w:rPr>
                <w:spacing w:val="-2"/>
              </w:rPr>
              <w:t>修图操作任务和图</w:t>
            </w:r>
          </w:p>
          <w:p w14:paraId="2F79456B">
            <w:pPr>
              <w:pStyle w:val="6"/>
              <w:spacing w:before="28" w:line="219" w:lineRule="auto"/>
              <w:ind w:left="13"/>
            </w:pPr>
            <w:r>
              <w:rPr>
                <w:spacing w:val="-1"/>
              </w:rPr>
              <w:t>像特效操作任务。</w:t>
            </w:r>
          </w:p>
        </w:tc>
        <w:tc>
          <w:tcPr>
            <w:tcW w:w="3920" w:type="dxa"/>
            <w:vAlign w:val="top"/>
          </w:tcPr>
          <w:p w14:paraId="2450C169">
            <w:pPr>
              <w:pStyle w:val="6"/>
              <w:spacing w:before="66" w:line="219" w:lineRule="auto"/>
              <w:ind w:left="5"/>
            </w:pPr>
            <w:r>
              <w:rPr>
                <w:spacing w:val="-1"/>
              </w:rPr>
              <w:t>参考分值：60分</w:t>
            </w:r>
          </w:p>
          <w:p w14:paraId="239D437B">
            <w:pPr>
              <w:pStyle w:val="6"/>
              <w:spacing w:before="7" w:line="229" w:lineRule="auto"/>
              <w:ind w:left="5" w:right="1179"/>
            </w:pPr>
            <w:r>
              <w:t>1.技术方法：上机考核，手动评分。</w:t>
            </w:r>
            <w:r>
              <w:rPr>
                <w:spacing w:val="4"/>
              </w:rPr>
              <w:t xml:space="preserve"> </w:t>
            </w:r>
            <w:r>
              <w:rPr>
                <w:spacing w:val="-1"/>
              </w:rPr>
              <w:t>2.操作步骤：按项目任务书要求进行</w:t>
            </w:r>
          </w:p>
          <w:p w14:paraId="52AEA70E">
            <w:pPr>
              <w:pStyle w:val="6"/>
              <w:spacing w:before="28" w:line="224" w:lineRule="auto"/>
              <w:ind w:left="5"/>
            </w:pPr>
            <w:r>
              <w:rPr>
                <w:spacing w:val="-1"/>
              </w:rPr>
              <w:t>3.操作成效：完成项目任务，文件完好，图像美观，</w:t>
            </w:r>
            <w:r>
              <w:rPr>
                <w:spacing w:val="17"/>
              </w:rPr>
              <w:t xml:space="preserve"> </w:t>
            </w:r>
            <w:r>
              <w:rPr>
                <w:spacing w:val="-1"/>
              </w:rPr>
              <w:t>特效表现突出，操作准确娴熟</w:t>
            </w:r>
          </w:p>
          <w:p w14:paraId="590DFABE">
            <w:pPr>
              <w:pStyle w:val="6"/>
              <w:spacing w:before="16" w:line="206" w:lineRule="auto"/>
              <w:ind w:left="5" w:right="330" w:firstLine="10"/>
            </w:pPr>
            <w:r>
              <w:rPr>
                <w:spacing w:val="-1"/>
              </w:rPr>
              <w:t>4.安全清洁：遵守微机操作安全规范，保持机位</w:t>
            </w:r>
            <w:r>
              <w:rPr>
                <w:spacing w:val="15"/>
              </w:rPr>
              <w:t xml:space="preserve"> </w:t>
            </w:r>
            <w:r>
              <w:rPr>
                <w:spacing w:val="-2"/>
              </w:rPr>
              <w:t>清洁卫生</w:t>
            </w:r>
          </w:p>
        </w:tc>
      </w:tr>
    </w:tbl>
    <w:p w14:paraId="6BB44AAA">
      <w:pPr>
        <w:pStyle w:val="2"/>
        <w:spacing w:line="184" w:lineRule="exact"/>
        <w:rPr>
          <w:sz w:val="16"/>
        </w:rPr>
      </w:pPr>
    </w:p>
    <w:p w14:paraId="37CFBC6F">
      <w:pPr>
        <w:spacing w:line="184" w:lineRule="exact"/>
        <w:rPr>
          <w:sz w:val="16"/>
          <w:szCs w:val="16"/>
        </w:rPr>
        <w:sectPr>
          <w:footerReference r:id="rId121" w:type="default"/>
          <w:pgSz w:w="10660" w:h="15080"/>
          <w:pgMar w:top="400" w:right="905" w:bottom="920" w:left="1014" w:header="0" w:footer="748" w:gutter="0"/>
          <w:cols w:space="720" w:num="1"/>
        </w:sectPr>
      </w:pPr>
    </w:p>
    <w:p w14:paraId="20D71BD1">
      <w:pPr>
        <w:spacing w:before="13"/>
      </w:pPr>
    </w:p>
    <w:p w14:paraId="23AFB533">
      <w:pPr>
        <w:spacing w:before="12"/>
      </w:pPr>
    </w:p>
    <w:p w14:paraId="4A1CF2E4">
      <w:pPr>
        <w:spacing w:before="12"/>
      </w:pPr>
    </w:p>
    <w:p w14:paraId="693FC121">
      <w:pPr>
        <w:spacing w:before="12"/>
      </w:pPr>
    </w:p>
    <w:tbl>
      <w:tblPr>
        <w:tblStyle w:val="5"/>
        <w:tblW w:w="8730" w:type="dxa"/>
        <w:tblInd w:w="9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74"/>
        <w:gridCol w:w="399"/>
        <w:gridCol w:w="1518"/>
        <w:gridCol w:w="400"/>
        <w:gridCol w:w="1608"/>
        <w:gridCol w:w="3931"/>
      </w:tblGrid>
      <w:tr w14:paraId="23F908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4" w:hRule="atLeast"/>
        </w:trPr>
        <w:tc>
          <w:tcPr>
            <w:tcW w:w="874" w:type="dxa"/>
            <w:vAlign w:val="top"/>
          </w:tcPr>
          <w:p w14:paraId="393FA19B">
            <w:pPr>
              <w:pStyle w:val="6"/>
              <w:spacing w:before="81" w:line="212" w:lineRule="auto"/>
              <w:ind w:left="247" w:right="227"/>
              <w:rPr>
                <w:sz w:val="18"/>
                <w:szCs w:val="18"/>
              </w:rPr>
            </w:pPr>
            <w:r>
              <w:rPr>
                <w:b/>
                <w:bCs/>
                <w:spacing w:val="-6"/>
                <w:sz w:val="18"/>
                <w:szCs w:val="18"/>
              </w:rPr>
              <w:t>测试</w:t>
            </w:r>
            <w:r>
              <w:rPr>
                <w:sz w:val="18"/>
                <w:szCs w:val="18"/>
              </w:rPr>
              <w:t xml:space="preserve"> </w:t>
            </w:r>
            <w:r>
              <w:rPr>
                <w:b/>
                <w:bCs/>
                <w:spacing w:val="12"/>
                <w:sz w:val="18"/>
                <w:szCs w:val="18"/>
              </w:rPr>
              <w:t>项目</w:t>
            </w:r>
          </w:p>
        </w:tc>
        <w:tc>
          <w:tcPr>
            <w:tcW w:w="399" w:type="dxa"/>
            <w:shd w:val="clear" w:color="auto" w:fill="231F20"/>
            <w:vAlign w:val="top"/>
          </w:tcPr>
          <w:p w14:paraId="74E99459">
            <w:pPr>
              <w:pStyle w:val="6"/>
              <w:spacing w:before="81" w:line="218" w:lineRule="auto"/>
              <w:ind w:left="32" w:right="3" w:hanging="19"/>
              <w:rPr>
                <w:sz w:val="18"/>
                <w:szCs w:val="18"/>
              </w:rPr>
            </w:pPr>
            <w:r>
              <w:rPr>
                <w:b/>
                <w:bCs/>
                <w:color w:val="FFFFFF"/>
                <w:spacing w:val="-6"/>
                <w:sz w:val="18"/>
                <w:szCs w:val="18"/>
              </w:rPr>
              <w:t>测试</w:t>
            </w:r>
            <w:r>
              <w:rPr>
                <w:color w:val="FFFFFF"/>
                <w:sz w:val="18"/>
                <w:szCs w:val="18"/>
              </w:rPr>
              <w:t xml:space="preserve"> </w:t>
            </w:r>
            <w:r>
              <w:rPr>
                <w:b/>
                <w:bCs/>
                <w:color w:val="FFFFFF"/>
                <w:spacing w:val="-7"/>
                <w:sz w:val="18"/>
                <w:szCs w:val="18"/>
              </w:rPr>
              <w:t>用具</w:t>
            </w:r>
          </w:p>
        </w:tc>
        <w:tc>
          <w:tcPr>
            <w:tcW w:w="1518" w:type="dxa"/>
            <w:vAlign w:val="top"/>
          </w:tcPr>
          <w:p w14:paraId="1354F66C">
            <w:pPr>
              <w:pStyle w:val="6"/>
              <w:spacing w:before="190" w:line="219" w:lineRule="auto"/>
              <w:ind w:left="434"/>
              <w:rPr>
                <w:sz w:val="18"/>
                <w:szCs w:val="18"/>
              </w:rPr>
            </w:pPr>
            <w:r>
              <w:rPr>
                <w:b/>
                <w:bCs/>
                <w:spacing w:val="-4"/>
                <w:sz w:val="18"/>
                <w:szCs w:val="18"/>
              </w:rPr>
              <w:t>测试内容</w:t>
            </w:r>
          </w:p>
        </w:tc>
        <w:tc>
          <w:tcPr>
            <w:tcW w:w="400" w:type="dxa"/>
            <w:shd w:val="clear" w:color="auto" w:fill="231F20"/>
            <w:vAlign w:val="top"/>
          </w:tcPr>
          <w:p w14:paraId="55BC2021">
            <w:pPr>
              <w:pStyle w:val="6"/>
              <w:spacing w:before="81" w:line="213" w:lineRule="auto"/>
              <w:ind w:left="45" w:hanging="29"/>
              <w:rPr>
                <w:sz w:val="18"/>
                <w:szCs w:val="18"/>
              </w:rPr>
            </w:pPr>
            <w:r>
              <w:rPr>
                <w:b/>
                <w:bCs/>
                <w:color w:val="FFFFFF"/>
                <w:spacing w:val="-10"/>
                <w:sz w:val="18"/>
                <w:szCs w:val="18"/>
              </w:rPr>
              <w:t>测试</w:t>
            </w:r>
            <w:r>
              <w:rPr>
                <w:color w:val="FFFFFF"/>
                <w:sz w:val="18"/>
                <w:szCs w:val="18"/>
              </w:rPr>
              <w:t xml:space="preserve"> </w:t>
            </w:r>
            <w:r>
              <w:rPr>
                <w:b/>
                <w:bCs/>
                <w:color w:val="FFFFFF"/>
                <w:spacing w:val="-13"/>
                <w:sz w:val="18"/>
                <w:szCs w:val="18"/>
              </w:rPr>
              <w:t>方</w:t>
            </w:r>
            <w:r>
              <w:rPr>
                <w:b/>
                <w:bCs/>
                <w:color w:val="FFFFFF"/>
                <w:spacing w:val="-7"/>
                <w:sz w:val="18"/>
                <w:szCs w:val="18"/>
              </w:rPr>
              <w:t>法</w:t>
            </w:r>
          </w:p>
        </w:tc>
        <w:tc>
          <w:tcPr>
            <w:tcW w:w="1608" w:type="dxa"/>
            <w:vAlign w:val="top"/>
          </w:tcPr>
          <w:p w14:paraId="32127673">
            <w:pPr>
              <w:pStyle w:val="6"/>
              <w:spacing w:before="190" w:line="221" w:lineRule="auto"/>
              <w:ind w:left="436"/>
              <w:rPr>
                <w:sz w:val="18"/>
                <w:szCs w:val="18"/>
              </w:rPr>
            </w:pPr>
            <w:r>
              <w:rPr>
                <w:b/>
                <w:bCs/>
                <w:spacing w:val="-4"/>
                <w:sz w:val="18"/>
                <w:szCs w:val="18"/>
              </w:rPr>
              <w:t>测试要求</w:t>
            </w:r>
          </w:p>
        </w:tc>
        <w:tc>
          <w:tcPr>
            <w:tcW w:w="3931" w:type="dxa"/>
            <w:vAlign w:val="top"/>
          </w:tcPr>
          <w:p w14:paraId="73C010D3">
            <w:pPr>
              <w:pStyle w:val="6"/>
              <w:spacing w:before="190" w:line="219" w:lineRule="auto"/>
              <w:ind w:left="1628"/>
              <w:rPr>
                <w:sz w:val="18"/>
                <w:szCs w:val="18"/>
              </w:rPr>
            </w:pPr>
            <w:r>
              <w:rPr>
                <w:b/>
                <w:bCs/>
                <w:spacing w:val="-4"/>
                <w:sz w:val="18"/>
                <w:szCs w:val="18"/>
              </w:rPr>
              <w:t>赋分参考</w:t>
            </w:r>
          </w:p>
        </w:tc>
      </w:tr>
      <w:tr w14:paraId="2316D6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749" w:hRule="atLeast"/>
        </w:trPr>
        <w:tc>
          <w:tcPr>
            <w:tcW w:w="874" w:type="dxa"/>
            <w:vAlign w:val="top"/>
          </w:tcPr>
          <w:p w14:paraId="6ED08A10">
            <w:pPr>
              <w:rPr>
                <w:rFonts w:ascii="Arial"/>
                <w:sz w:val="21"/>
              </w:rPr>
            </w:pPr>
          </w:p>
        </w:tc>
        <w:tc>
          <w:tcPr>
            <w:tcW w:w="399" w:type="dxa"/>
            <w:vAlign w:val="top"/>
          </w:tcPr>
          <w:p w14:paraId="0C6390CF">
            <w:pPr>
              <w:rPr>
                <w:rFonts w:ascii="Arial"/>
                <w:sz w:val="21"/>
              </w:rPr>
            </w:pPr>
          </w:p>
        </w:tc>
        <w:tc>
          <w:tcPr>
            <w:tcW w:w="1518" w:type="dxa"/>
            <w:vAlign w:val="top"/>
          </w:tcPr>
          <w:p w14:paraId="354E7F16">
            <w:pPr>
              <w:pStyle w:val="6"/>
              <w:spacing w:before="46" w:line="220" w:lineRule="auto"/>
              <w:ind w:left="11"/>
              <w:jc w:val="both"/>
              <w:rPr>
                <w:sz w:val="18"/>
                <w:szCs w:val="18"/>
              </w:rPr>
            </w:pPr>
            <w:r>
              <w:rPr>
                <w:spacing w:val="-5"/>
                <w:sz w:val="18"/>
                <w:szCs w:val="18"/>
              </w:rPr>
              <w:t>4.选区工具、移动</w:t>
            </w:r>
            <w:r>
              <w:rPr>
                <w:spacing w:val="2"/>
                <w:sz w:val="18"/>
                <w:szCs w:val="18"/>
              </w:rPr>
              <w:t xml:space="preserve">  </w:t>
            </w:r>
            <w:r>
              <w:rPr>
                <w:spacing w:val="7"/>
                <w:sz w:val="18"/>
                <w:szCs w:val="18"/>
              </w:rPr>
              <w:t>工具、文字工具、</w:t>
            </w:r>
            <w:r>
              <w:rPr>
                <w:sz w:val="18"/>
                <w:szCs w:val="18"/>
              </w:rPr>
              <w:t xml:space="preserve"> </w:t>
            </w:r>
            <w:r>
              <w:rPr>
                <w:spacing w:val="-18"/>
                <w:sz w:val="18"/>
                <w:szCs w:val="18"/>
              </w:rPr>
              <w:t>填充工具、裁剪工具</w:t>
            </w:r>
            <w:r>
              <w:rPr>
                <w:spacing w:val="6"/>
                <w:sz w:val="18"/>
                <w:szCs w:val="18"/>
              </w:rPr>
              <w:t xml:space="preserve"> </w:t>
            </w:r>
            <w:r>
              <w:rPr>
                <w:spacing w:val="-2"/>
                <w:sz w:val="18"/>
                <w:szCs w:val="18"/>
              </w:rPr>
              <w:t>和套索工具的使用</w:t>
            </w:r>
            <w:r>
              <w:rPr>
                <w:spacing w:val="4"/>
                <w:sz w:val="18"/>
                <w:szCs w:val="18"/>
              </w:rPr>
              <w:t xml:space="preserve"> </w:t>
            </w:r>
            <w:r>
              <w:rPr>
                <w:spacing w:val="-1"/>
                <w:sz w:val="18"/>
                <w:szCs w:val="18"/>
              </w:rPr>
              <w:t>5.图层面板的使用</w:t>
            </w:r>
            <w:r>
              <w:rPr>
                <w:spacing w:val="7"/>
                <w:sz w:val="18"/>
                <w:szCs w:val="18"/>
              </w:rPr>
              <w:t xml:space="preserve"> </w:t>
            </w:r>
            <w:r>
              <w:rPr>
                <w:spacing w:val="-16"/>
                <w:sz w:val="18"/>
                <w:szCs w:val="18"/>
              </w:rPr>
              <w:t>6.制作简单合成图像</w:t>
            </w:r>
            <w:r>
              <w:rPr>
                <w:spacing w:val="2"/>
                <w:sz w:val="18"/>
                <w:szCs w:val="18"/>
              </w:rPr>
              <w:t xml:space="preserve"> </w:t>
            </w:r>
            <w:r>
              <w:rPr>
                <w:spacing w:val="-2"/>
                <w:sz w:val="18"/>
                <w:szCs w:val="18"/>
              </w:rPr>
              <w:t>7.选区操作</w:t>
            </w:r>
          </w:p>
          <w:p w14:paraId="7DB91476">
            <w:pPr>
              <w:pStyle w:val="6"/>
              <w:spacing w:line="195" w:lineRule="auto"/>
              <w:ind w:left="11"/>
              <w:rPr>
                <w:sz w:val="18"/>
                <w:szCs w:val="18"/>
              </w:rPr>
            </w:pPr>
            <w:r>
              <w:rPr>
                <w:sz w:val="18"/>
                <w:szCs w:val="18"/>
              </w:rPr>
              <w:t>8.文字特效制作。</w:t>
            </w:r>
          </w:p>
        </w:tc>
        <w:tc>
          <w:tcPr>
            <w:tcW w:w="400" w:type="dxa"/>
            <w:vAlign w:val="top"/>
          </w:tcPr>
          <w:p w14:paraId="667558F7">
            <w:pPr>
              <w:rPr>
                <w:rFonts w:ascii="Arial"/>
                <w:sz w:val="21"/>
              </w:rPr>
            </w:pPr>
          </w:p>
        </w:tc>
        <w:tc>
          <w:tcPr>
            <w:tcW w:w="1608" w:type="dxa"/>
            <w:vAlign w:val="top"/>
          </w:tcPr>
          <w:p w14:paraId="279CD0A9">
            <w:pPr>
              <w:rPr>
                <w:rFonts w:ascii="Arial"/>
                <w:sz w:val="21"/>
              </w:rPr>
            </w:pPr>
          </w:p>
        </w:tc>
        <w:tc>
          <w:tcPr>
            <w:tcW w:w="3931" w:type="dxa"/>
            <w:vAlign w:val="top"/>
          </w:tcPr>
          <w:p w14:paraId="301915C6">
            <w:pPr>
              <w:rPr>
                <w:rFonts w:ascii="Arial"/>
                <w:sz w:val="21"/>
              </w:rPr>
            </w:pPr>
          </w:p>
        </w:tc>
      </w:tr>
      <w:tr w14:paraId="45D0DA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98" w:hRule="atLeast"/>
        </w:trPr>
        <w:tc>
          <w:tcPr>
            <w:tcW w:w="874" w:type="dxa"/>
            <w:vAlign w:val="top"/>
          </w:tcPr>
          <w:p w14:paraId="2055F602">
            <w:pPr>
              <w:pStyle w:val="6"/>
              <w:spacing w:before="49" w:line="209" w:lineRule="auto"/>
              <w:ind w:left="114"/>
              <w:rPr>
                <w:sz w:val="18"/>
                <w:szCs w:val="18"/>
              </w:rPr>
            </w:pPr>
            <w:r>
              <w:rPr>
                <w:sz w:val="18"/>
                <w:szCs w:val="18"/>
              </w:rPr>
              <w:t>项目九：</w:t>
            </w:r>
          </w:p>
          <w:p w14:paraId="76919E77">
            <w:pPr>
              <w:pStyle w:val="6"/>
              <w:spacing w:line="223" w:lineRule="auto"/>
              <w:ind w:left="64"/>
              <w:rPr>
                <w:sz w:val="18"/>
                <w:szCs w:val="18"/>
              </w:rPr>
            </w:pPr>
            <w:r>
              <w:rPr>
                <w:spacing w:val="2"/>
                <w:sz w:val="18"/>
                <w:szCs w:val="18"/>
              </w:rPr>
              <w:t>网络基础</w:t>
            </w:r>
          </w:p>
          <w:p w14:paraId="52DE6EF4">
            <w:pPr>
              <w:pStyle w:val="6"/>
              <w:spacing w:before="8" w:line="221" w:lineRule="auto"/>
              <w:ind w:left="244"/>
              <w:rPr>
                <w:sz w:val="18"/>
                <w:szCs w:val="18"/>
              </w:rPr>
            </w:pPr>
            <w:r>
              <w:rPr>
                <w:spacing w:val="10"/>
                <w:sz w:val="18"/>
                <w:szCs w:val="18"/>
              </w:rPr>
              <w:t>应用</w:t>
            </w:r>
          </w:p>
        </w:tc>
        <w:tc>
          <w:tcPr>
            <w:tcW w:w="399" w:type="dxa"/>
            <w:textDirection w:val="tbRlV"/>
            <w:vAlign w:val="top"/>
          </w:tcPr>
          <w:p w14:paraId="734D8FD1">
            <w:pPr>
              <w:pStyle w:val="6"/>
              <w:spacing w:before="104" w:line="201" w:lineRule="auto"/>
              <w:ind w:left="12"/>
              <w:rPr>
                <w:sz w:val="18"/>
                <w:szCs w:val="18"/>
              </w:rPr>
            </w:pPr>
            <w:r>
              <w:rPr>
                <w:sz w:val="18"/>
                <w:szCs w:val="18"/>
              </w:rPr>
              <w:t>微机</w:t>
            </w:r>
          </w:p>
        </w:tc>
        <w:tc>
          <w:tcPr>
            <w:tcW w:w="1518" w:type="dxa"/>
            <w:vAlign w:val="top"/>
          </w:tcPr>
          <w:p w14:paraId="367DD2A1">
            <w:pPr>
              <w:pStyle w:val="6"/>
              <w:spacing w:before="39" w:line="227" w:lineRule="auto"/>
              <w:ind w:left="11"/>
              <w:jc w:val="both"/>
              <w:rPr>
                <w:sz w:val="18"/>
                <w:szCs w:val="18"/>
              </w:rPr>
            </w:pPr>
            <w:r>
              <w:rPr>
                <w:spacing w:val="-13"/>
                <w:sz w:val="18"/>
                <w:szCs w:val="18"/>
              </w:rPr>
              <w:t>1.网络浏览器的使用</w:t>
            </w:r>
            <w:r>
              <w:rPr>
                <w:spacing w:val="5"/>
                <w:sz w:val="18"/>
                <w:szCs w:val="18"/>
              </w:rPr>
              <w:t xml:space="preserve"> </w:t>
            </w:r>
            <w:r>
              <w:rPr>
                <w:spacing w:val="-3"/>
                <w:sz w:val="18"/>
                <w:szCs w:val="18"/>
              </w:rPr>
              <w:t>2.常用网络工具软</w:t>
            </w:r>
            <w:r>
              <w:rPr>
                <w:spacing w:val="1"/>
                <w:sz w:val="18"/>
                <w:szCs w:val="18"/>
              </w:rPr>
              <w:t xml:space="preserve">  </w:t>
            </w:r>
            <w:r>
              <w:rPr>
                <w:spacing w:val="3"/>
                <w:sz w:val="18"/>
                <w:szCs w:val="18"/>
              </w:rPr>
              <w:t>件的使用</w:t>
            </w:r>
          </w:p>
          <w:p w14:paraId="2D12713D">
            <w:pPr>
              <w:pStyle w:val="6"/>
              <w:spacing w:before="5" w:line="209" w:lineRule="auto"/>
              <w:ind w:left="21"/>
              <w:rPr>
                <w:sz w:val="18"/>
                <w:szCs w:val="18"/>
              </w:rPr>
            </w:pPr>
            <w:r>
              <w:rPr>
                <w:spacing w:val="-1"/>
                <w:sz w:val="18"/>
                <w:szCs w:val="18"/>
              </w:rPr>
              <w:t>3.网络主机的IP</w:t>
            </w:r>
          </w:p>
          <w:p w14:paraId="3F142B21">
            <w:pPr>
              <w:pStyle w:val="6"/>
              <w:spacing w:line="222" w:lineRule="auto"/>
              <w:ind w:left="11"/>
              <w:rPr>
                <w:sz w:val="18"/>
                <w:szCs w:val="18"/>
              </w:rPr>
            </w:pPr>
            <w:r>
              <w:rPr>
                <w:spacing w:val="-1"/>
                <w:sz w:val="18"/>
                <w:szCs w:val="18"/>
              </w:rPr>
              <w:t>配置，包括IP地</w:t>
            </w:r>
          </w:p>
          <w:p w14:paraId="6F82BFD5">
            <w:pPr>
              <w:pStyle w:val="6"/>
              <w:spacing w:before="22" w:line="220" w:lineRule="auto"/>
              <w:ind w:left="21" w:right="28"/>
              <w:rPr>
                <w:sz w:val="18"/>
                <w:szCs w:val="18"/>
              </w:rPr>
            </w:pPr>
            <w:r>
              <w:rPr>
                <w:spacing w:val="2"/>
                <w:sz w:val="18"/>
                <w:szCs w:val="18"/>
              </w:rPr>
              <w:t>址、子网掩码、网</w:t>
            </w:r>
            <w:r>
              <w:rPr>
                <w:sz w:val="18"/>
                <w:szCs w:val="18"/>
              </w:rPr>
              <w:t xml:space="preserve"> </w:t>
            </w:r>
            <w:r>
              <w:rPr>
                <w:spacing w:val="-2"/>
                <w:sz w:val="18"/>
                <w:szCs w:val="18"/>
              </w:rPr>
              <w:t>关、DNS的配置</w:t>
            </w:r>
          </w:p>
          <w:p w14:paraId="468CF73D">
            <w:pPr>
              <w:pStyle w:val="6"/>
              <w:spacing w:line="220" w:lineRule="auto"/>
              <w:ind w:left="11"/>
              <w:rPr>
                <w:sz w:val="18"/>
                <w:szCs w:val="18"/>
              </w:rPr>
            </w:pPr>
            <w:r>
              <w:rPr>
                <w:spacing w:val="-1"/>
                <w:sz w:val="18"/>
                <w:szCs w:val="18"/>
              </w:rPr>
              <w:t>4.常用的网络测试</w:t>
            </w:r>
          </w:p>
          <w:p w14:paraId="3A736AC6">
            <w:pPr>
              <w:pStyle w:val="6"/>
              <w:spacing w:before="14" w:line="190" w:lineRule="auto"/>
              <w:ind w:left="21"/>
              <w:rPr>
                <w:sz w:val="18"/>
                <w:szCs w:val="18"/>
              </w:rPr>
            </w:pPr>
            <w:r>
              <w:rPr>
                <w:sz w:val="18"/>
                <w:szCs w:val="18"/>
              </w:rPr>
              <w:t>命令的使用：</w:t>
            </w:r>
          </w:p>
          <w:p w14:paraId="1AF15F42">
            <w:pPr>
              <w:pStyle w:val="6"/>
              <w:spacing w:line="199" w:lineRule="auto"/>
              <w:jc w:val="right"/>
              <w:rPr>
                <w:sz w:val="18"/>
                <w:szCs w:val="18"/>
              </w:rPr>
            </w:pPr>
            <w:r>
              <w:rPr>
                <w:spacing w:val="-9"/>
                <w:sz w:val="18"/>
                <w:szCs w:val="18"/>
              </w:rPr>
              <w:t>Ping、Ipconfig等。</w:t>
            </w:r>
          </w:p>
        </w:tc>
        <w:tc>
          <w:tcPr>
            <w:tcW w:w="400" w:type="dxa"/>
            <w:textDirection w:val="tbRlV"/>
            <w:vAlign w:val="top"/>
          </w:tcPr>
          <w:p w14:paraId="7E32FB63">
            <w:pPr>
              <w:pStyle w:val="6"/>
              <w:spacing w:before="92" w:line="201" w:lineRule="auto"/>
              <w:ind w:left="11"/>
              <w:rPr>
                <w:sz w:val="18"/>
                <w:szCs w:val="18"/>
              </w:rPr>
            </w:pPr>
            <w:r>
              <w:rPr>
                <w:sz w:val="18"/>
                <w:szCs w:val="18"/>
              </w:rPr>
              <w:t>上机操作</w:t>
            </w:r>
          </w:p>
        </w:tc>
        <w:tc>
          <w:tcPr>
            <w:tcW w:w="1608" w:type="dxa"/>
            <w:vAlign w:val="top"/>
          </w:tcPr>
          <w:p w14:paraId="7A442E94">
            <w:pPr>
              <w:pStyle w:val="6"/>
              <w:spacing w:before="39" w:line="228" w:lineRule="auto"/>
              <w:ind w:left="13" w:firstLine="56"/>
              <w:rPr>
                <w:sz w:val="18"/>
                <w:szCs w:val="18"/>
              </w:rPr>
            </w:pPr>
            <w:r>
              <w:rPr>
                <w:spacing w:val="-7"/>
                <w:sz w:val="18"/>
                <w:szCs w:val="18"/>
              </w:rPr>
              <w:t>测试时间：60分钟</w:t>
            </w:r>
            <w:r>
              <w:rPr>
                <w:sz w:val="18"/>
                <w:szCs w:val="18"/>
              </w:rPr>
              <w:t xml:space="preserve">  </w:t>
            </w:r>
            <w:r>
              <w:rPr>
                <w:spacing w:val="-4"/>
                <w:sz w:val="18"/>
                <w:szCs w:val="18"/>
              </w:rPr>
              <w:t>按照项目要求，完</w:t>
            </w:r>
            <w:r>
              <w:rPr>
                <w:spacing w:val="1"/>
                <w:sz w:val="18"/>
                <w:szCs w:val="18"/>
              </w:rPr>
              <w:t xml:space="preserve">   </w:t>
            </w:r>
            <w:r>
              <w:rPr>
                <w:spacing w:val="-4"/>
                <w:sz w:val="18"/>
                <w:szCs w:val="18"/>
              </w:rPr>
              <w:t>成浏览器操作任务、</w:t>
            </w:r>
            <w:r>
              <w:rPr>
                <w:sz w:val="18"/>
                <w:szCs w:val="18"/>
              </w:rPr>
              <w:t xml:space="preserve"> </w:t>
            </w:r>
            <w:r>
              <w:rPr>
                <w:spacing w:val="-2"/>
                <w:sz w:val="18"/>
                <w:szCs w:val="18"/>
              </w:rPr>
              <w:t>网络工具软件安装</w:t>
            </w:r>
            <w:r>
              <w:rPr>
                <w:spacing w:val="2"/>
                <w:sz w:val="18"/>
                <w:szCs w:val="18"/>
              </w:rPr>
              <w:t xml:space="preserve">  </w:t>
            </w:r>
            <w:r>
              <w:rPr>
                <w:spacing w:val="-4"/>
                <w:sz w:val="18"/>
                <w:szCs w:val="18"/>
              </w:rPr>
              <w:t>与应用任务和网络</w:t>
            </w:r>
            <w:r>
              <w:rPr>
                <w:spacing w:val="1"/>
                <w:sz w:val="18"/>
                <w:szCs w:val="18"/>
              </w:rPr>
              <w:t xml:space="preserve">   </w:t>
            </w:r>
            <w:r>
              <w:rPr>
                <w:spacing w:val="-7"/>
                <w:sz w:val="18"/>
                <w:szCs w:val="18"/>
              </w:rPr>
              <w:t>环境配置任务。</w:t>
            </w:r>
          </w:p>
        </w:tc>
        <w:tc>
          <w:tcPr>
            <w:tcW w:w="3931" w:type="dxa"/>
            <w:vAlign w:val="top"/>
          </w:tcPr>
          <w:p w14:paraId="2E1F56E0">
            <w:pPr>
              <w:pStyle w:val="6"/>
              <w:spacing w:before="49" w:line="219" w:lineRule="auto"/>
              <w:ind w:left="16"/>
              <w:rPr>
                <w:sz w:val="18"/>
                <w:szCs w:val="18"/>
              </w:rPr>
            </w:pPr>
            <w:r>
              <w:rPr>
                <w:spacing w:val="-1"/>
                <w:sz w:val="18"/>
                <w:szCs w:val="18"/>
              </w:rPr>
              <w:t>参考分值：60分</w:t>
            </w:r>
          </w:p>
          <w:p w14:paraId="7D89BB6C">
            <w:pPr>
              <w:pStyle w:val="6"/>
              <w:spacing w:before="4" w:line="218" w:lineRule="auto"/>
              <w:ind w:left="16" w:right="1025"/>
              <w:rPr>
                <w:sz w:val="18"/>
                <w:szCs w:val="18"/>
              </w:rPr>
            </w:pPr>
            <w:r>
              <w:rPr>
                <w:spacing w:val="-1"/>
                <w:sz w:val="18"/>
                <w:szCs w:val="18"/>
              </w:rPr>
              <w:t>1.技术方法：上机考核，手动评分。</w:t>
            </w:r>
            <w:r>
              <w:rPr>
                <w:spacing w:val="15"/>
                <w:sz w:val="18"/>
                <w:szCs w:val="18"/>
              </w:rPr>
              <w:t xml:space="preserve"> </w:t>
            </w:r>
            <w:r>
              <w:rPr>
                <w:spacing w:val="-1"/>
                <w:sz w:val="18"/>
                <w:szCs w:val="18"/>
              </w:rPr>
              <w:t>2.工具使用：截图软件</w:t>
            </w:r>
          </w:p>
          <w:p w14:paraId="653ED566">
            <w:pPr>
              <w:pStyle w:val="6"/>
              <w:spacing w:before="15" w:line="206" w:lineRule="auto"/>
              <w:ind w:left="16"/>
              <w:rPr>
                <w:sz w:val="18"/>
                <w:szCs w:val="18"/>
              </w:rPr>
            </w:pPr>
            <w:r>
              <w:rPr>
                <w:spacing w:val="-1"/>
                <w:sz w:val="18"/>
                <w:szCs w:val="18"/>
              </w:rPr>
              <w:t>3.操作步骤：按项目任务书要求进行</w:t>
            </w:r>
          </w:p>
          <w:p w14:paraId="07CED1B7">
            <w:pPr>
              <w:pStyle w:val="6"/>
              <w:spacing w:before="1" w:line="232" w:lineRule="auto"/>
              <w:ind w:left="16"/>
              <w:rPr>
                <w:sz w:val="18"/>
                <w:szCs w:val="18"/>
              </w:rPr>
            </w:pPr>
            <w:r>
              <w:rPr>
                <w:spacing w:val="-10"/>
                <w:sz w:val="18"/>
                <w:szCs w:val="18"/>
              </w:rPr>
              <w:t>4.操作成效：完成项目任务，应用正确，功能实现，</w:t>
            </w:r>
            <w:r>
              <w:rPr>
                <w:spacing w:val="3"/>
                <w:sz w:val="18"/>
                <w:szCs w:val="18"/>
              </w:rPr>
              <w:t xml:space="preserve"> </w:t>
            </w:r>
            <w:r>
              <w:rPr>
                <w:spacing w:val="-4"/>
                <w:sz w:val="18"/>
                <w:szCs w:val="18"/>
              </w:rPr>
              <w:t>截图清晰，操作准确娴熟</w:t>
            </w:r>
          </w:p>
          <w:p w14:paraId="385609B4">
            <w:pPr>
              <w:pStyle w:val="6"/>
              <w:spacing w:before="6" w:line="213" w:lineRule="auto"/>
              <w:ind w:left="16" w:right="135"/>
              <w:rPr>
                <w:sz w:val="18"/>
                <w:szCs w:val="18"/>
              </w:rPr>
            </w:pPr>
            <w:r>
              <w:rPr>
                <w:spacing w:val="-1"/>
                <w:sz w:val="18"/>
                <w:szCs w:val="18"/>
              </w:rPr>
              <w:t>5.安全清洁：遵守微机操作安全规范，保持机位</w:t>
            </w:r>
            <w:r>
              <w:rPr>
                <w:spacing w:val="10"/>
                <w:sz w:val="18"/>
                <w:szCs w:val="18"/>
              </w:rPr>
              <w:t xml:space="preserve"> </w:t>
            </w:r>
            <w:r>
              <w:rPr>
                <w:spacing w:val="-2"/>
                <w:sz w:val="18"/>
                <w:szCs w:val="18"/>
              </w:rPr>
              <w:t>清洁卫生</w:t>
            </w:r>
          </w:p>
        </w:tc>
      </w:tr>
      <w:tr w14:paraId="140533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37" w:hRule="atLeast"/>
        </w:trPr>
        <w:tc>
          <w:tcPr>
            <w:tcW w:w="874" w:type="dxa"/>
            <w:vAlign w:val="top"/>
          </w:tcPr>
          <w:p w14:paraId="70CFB8FD">
            <w:pPr>
              <w:pStyle w:val="6"/>
              <w:spacing w:before="41" w:line="205" w:lineRule="auto"/>
              <w:ind w:left="114"/>
              <w:rPr>
                <w:sz w:val="18"/>
                <w:szCs w:val="18"/>
              </w:rPr>
            </w:pPr>
            <w:r>
              <w:rPr>
                <w:sz w:val="18"/>
                <w:szCs w:val="18"/>
              </w:rPr>
              <w:t>项目十：</w:t>
            </w:r>
          </w:p>
          <w:p w14:paraId="264CF6A1">
            <w:pPr>
              <w:pStyle w:val="6"/>
              <w:spacing w:line="219" w:lineRule="auto"/>
              <w:ind w:left="64"/>
              <w:rPr>
                <w:sz w:val="18"/>
                <w:szCs w:val="18"/>
              </w:rPr>
            </w:pPr>
            <w:r>
              <w:rPr>
                <w:spacing w:val="2"/>
                <w:sz w:val="18"/>
                <w:szCs w:val="18"/>
              </w:rPr>
              <w:t>网络服务</w:t>
            </w:r>
          </w:p>
          <w:p w14:paraId="41F2A4EC">
            <w:pPr>
              <w:pStyle w:val="6"/>
              <w:spacing w:before="16" w:line="220" w:lineRule="auto"/>
              <w:ind w:left="155"/>
              <w:rPr>
                <w:sz w:val="18"/>
                <w:szCs w:val="18"/>
              </w:rPr>
            </w:pPr>
            <w:r>
              <w:rPr>
                <w:spacing w:val="-2"/>
                <w:sz w:val="18"/>
                <w:szCs w:val="18"/>
              </w:rPr>
              <w:t>器安装</w:t>
            </w:r>
          </w:p>
          <w:p w14:paraId="531F3884">
            <w:pPr>
              <w:pStyle w:val="6"/>
              <w:spacing w:before="18" w:line="223" w:lineRule="auto"/>
              <w:ind w:left="244"/>
              <w:rPr>
                <w:sz w:val="18"/>
                <w:szCs w:val="18"/>
              </w:rPr>
            </w:pPr>
            <w:r>
              <w:rPr>
                <w:spacing w:val="-2"/>
                <w:sz w:val="18"/>
                <w:szCs w:val="18"/>
              </w:rPr>
              <w:t>配置</w:t>
            </w:r>
          </w:p>
        </w:tc>
        <w:tc>
          <w:tcPr>
            <w:tcW w:w="399" w:type="dxa"/>
            <w:textDirection w:val="tbRlV"/>
            <w:vAlign w:val="top"/>
          </w:tcPr>
          <w:p w14:paraId="5ED50FAD">
            <w:pPr>
              <w:pStyle w:val="6"/>
              <w:spacing w:before="104" w:line="201" w:lineRule="auto"/>
              <w:ind w:left="24"/>
              <w:rPr>
                <w:sz w:val="18"/>
                <w:szCs w:val="18"/>
              </w:rPr>
            </w:pPr>
            <w:r>
              <w:rPr>
                <w:sz w:val="18"/>
                <w:szCs w:val="18"/>
              </w:rPr>
              <w:t>微机</w:t>
            </w:r>
          </w:p>
        </w:tc>
        <w:tc>
          <w:tcPr>
            <w:tcW w:w="1518" w:type="dxa"/>
            <w:vAlign w:val="top"/>
          </w:tcPr>
          <w:p w14:paraId="705C7C13">
            <w:pPr>
              <w:pStyle w:val="6"/>
              <w:spacing w:before="61" w:line="219" w:lineRule="auto"/>
              <w:ind w:left="11" w:firstLine="9"/>
              <w:rPr>
                <w:sz w:val="18"/>
                <w:szCs w:val="18"/>
              </w:rPr>
            </w:pPr>
            <w:r>
              <w:rPr>
                <w:spacing w:val="1"/>
                <w:sz w:val="18"/>
                <w:szCs w:val="18"/>
              </w:rPr>
              <w:t>1.基本的服务器的</w:t>
            </w:r>
            <w:r>
              <w:rPr>
                <w:sz w:val="18"/>
                <w:szCs w:val="18"/>
              </w:rPr>
              <w:t xml:space="preserve"> </w:t>
            </w:r>
            <w:r>
              <w:rPr>
                <w:spacing w:val="14"/>
                <w:sz w:val="18"/>
                <w:szCs w:val="18"/>
              </w:rPr>
              <w:t>配置：</w:t>
            </w:r>
            <w:r>
              <w:rPr>
                <w:sz w:val="18"/>
                <w:szCs w:val="18"/>
              </w:rPr>
              <w:t>WwW</w:t>
            </w:r>
            <w:r>
              <w:rPr>
                <w:spacing w:val="14"/>
                <w:sz w:val="18"/>
                <w:szCs w:val="18"/>
              </w:rPr>
              <w:t>服务、</w:t>
            </w:r>
            <w:r>
              <w:rPr>
                <w:sz w:val="18"/>
                <w:szCs w:val="18"/>
              </w:rPr>
              <w:t xml:space="preserve"> FTP</w:t>
            </w:r>
            <w:r>
              <w:rPr>
                <w:spacing w:val="52"/>
                <w:sz w:val="18"/>
                <w:szCs w:val="18"/>
              </w:rPr>
              <w:t>服</w:t>
            </w:r>
            <w:r>
              <w:rPr>
                <w:spacing w:val="39"/>
                <w:sz w:val="18"/>
                <w:szCs w:val="18"/>
              </w:rPr>
              <w:t xml:space="preserve">  </w:t>
            </w:r>
            <w:r>
              <w:rPr>
                <w:spacing w:val="52"/>
                <w:sz w:val="18"/>
                <w:szCs w:val="18"/>
              </w:rPr>
              <w:t>务、</w:t>
            </w:r>
            <w:r>
              <w:rPr>
                <w:sz w:val="18"/>
                <w:szCs w:val="18"/>
              </w:rPr>
              <w:t>DNS</w:t>
            </w:r>
            <w:r>
              <w:rPr>
                <w:spacing w:val="1"/>
                <w:sz w:val="18"/>
                <w:szCs w:val="18"/>
              </w:rPr>
              <w:t xml:space="preserve"> </w:t>
            </w:r>
            <w:r>
              <w:rPr>
                <w:spacing w:val="-1"/>
                <w:sz w:val="18"/>
                <w:szCs w:val="18"/>
              </w:rPr>
              <w:t>服务、DHCP服务</w:t>
            </w:r>
          </w:p>
          <w:p w14:paraId="147E01B2">
            <w:pPr>
              <w:pStyle w:val="6"/>
              <w:spacing w:before="5" w:line="226" w:lineRule="auto"/>
              <w:ind w:left="31" w:right="65" w:hanging="20"/>
              <w:rPr>
                <w:sz w:val="18"/>
                <w:szCs w:val="18"/>
              </w:rPr>
            </w:pPr>
            <w:r>
              <w:rPr>
                <w:spacing w:val="-2"/>
                <w:sz w:val="18"/>
                <w:szCs w:val="18"/>
              </w:rPr>
              <w:t>2.能正确配置简单</w:t>
            </w:r>
            <w:r>
              <w:rPr>
                <w:spacing w:val="7"/>
                <w:sz w:val="18"/>
                <w:szCs w:val="18"/>
              </w:rPr>
              <w:t xml:space="preserve"> </w:t>
            </w:r>
            <w:r>
              <w:rPr>
                <w:spacing w:val="1"/>
                <w:sz w:val="18"/>
                <w:szCs w:val="18"/>
              </w:rPr>
              <w:t>的网络资源共享</w:t>
            </w:r>
          </w:p>
          <w:p w14:paraId="58283CDC">
            <w:pPr>
              <w:pStyle w:val="6"/>
              <w:spacing w:before="2" w:line="227" w:lineRule="auto"/>
              <w:ind w:left="11"/>
              <w:rPr>
                <w:sz w:val="18"/>
                <w:szCs w:val="18"/>
              </w:rPr>
            </w:pPr>
            <w:r>
              <w:rPr>
                <w:spacing w:val="-12"/>
                <w:sz w:val="18"/>
                <w:szCs w:val="18"/>
              </w:rPr>
              <w:t>3 . 客</w:t>
            </w:r>
            <w:r>
              <w:rPr>
                <w:spacing w:val="-3"/>
                <w:sz w:val="18"/>
                <w:szCs w:val="18"/>
              </w:rPr>
              <w:t xml:space="preserve"> </w:t>
            </w:r>
            <w:r>
              <w:rPr>
                <w:spacing w:val="-12"/>
                <w:sz w:val="18"/>
                <w:szCs w:val="18"/>
              </w:rPr>
              <w:t>户</w:t>
            </w:r>
            <w:r>
              <w:rPr>
                <w:spacing w:val="-11"/>
                <w:sz w:val="18"/>
                <w:szCs w:val="18"/>
              </w:rPr>
              <w:t xml:space="preserve"> </w:t>
            </w:r>
            <w:r>
              <w:rPr>
                <w:spacing w:val="-12"/>
                <w:sz w:val="18"/>
                <w:szCs w:val="18"/>
              </w:rPr>
              <w:t>端 访</w:t>
            </w:r>
            <w:r>
              <w:rPr>
                <w:spacing w:val="9"/>
                <w:sz w:val="18"/>
                <w:szCs w:val="18"/>
              </w:rPr>
              <w:t xml:space="preserve"> </w:t>
            </w:r>
            <w:r>
              <w:rPr>
                <w:spacing w:val="-12"/>
                <w:sz w:val="18"/>
                <w:szCs w:val="18"/>
              </w:rPr>
              <w:t>问</w:t>
            </w:r>
            <w:r>
              <w:rPr>
                <w:sz w:val="18"/>
                <w:szCs w:val="18"/>
              </w:rPr>
              <w:t xml:space="preserve"> </w:t>
            </w:r>
            <w:r>
              <w:rPr>
                <w:spacing w:val="-7"/>
                <w:sz w:val="18"/>
                <w:szCs w:val="18"/>
              </w:rPr>
              <w:t>W</w:t>
            </w:r>
            <w:r>
              <w:rPr>
                <w:spacing w:val="-32"/>
                <w:sz w:val="18"/>
                <w:szCs w:val="18"/>
              </w:rPr>
              <w:t xml:space="preserve"> </w:t>
            </w:r>
            <w:r>
              <w:rPr>
                <w:spacing w:val="-7"/>
                <w:sz w:val="18"/>
                <w:szCs w:val="18"/>
              </w:rPr>
              <w:t>w</w:t>
            </w:r>
            <w:r>
              <w:rPr>
                <w:spacing w:val="-37"/>
                <w:sz w:val="18"/>
                <w:szCs w:val="18"/>
              </w:rPr>
              <w:t xml:space="preserve"> </w:t>
            </w:r>
            <w:r>
              <w:rPr>
                <w:spacing w:val="-7"/>
                <w:sz w:val="18"/>
                <w:szCs w:val="18"/>
              </w:rPr>
              <w:t>W</w:t>
            </w:r>
            <w:r>
              <w:rPr>
                <w:spacing w:val="-20"/>
                <w:sz w:val="18"/>
                <w:szCs w:val="18"/>
              </w:rPr>
              <w:t xml:space="preserve"> </w:t>
            </w:r>
            <w:r>
              <w:rPr>
                <w:spacing w:val="-7"/>
                <w:sz w:val="18"/>
                <w:szCs w:val="18"/>
              </w:rPr>
              <w:t>、</w:t>
            </w:r>
            <w:r>
              <w:rPr>
                <w:spacing w:val="-35"/>
                <w:sz w:val="18"/>
                <w:szCs w:val="18"/>
              </w:rPr>
              <w:t xml:space="preserve"> </w:t>
            </w:r>
            <w:r>
              <w:rPr>
                <w:spacing w:val="-7"/>
                <w:sz w:val="18"/>
                <w:szCs w:val="18"/>
              </w:rPr>
              <w:t>F</w:t>
            </w:r>
            <w:r>
              <w:rPr>
                <w:spacing w:val="-34"/>
                <w:sz w:val="18"/>
                <w:szCs w:val="18"/>
              </w:rPr>
              <w:t xml:space="preserve"> </w:t>
            </w:r>
            <w:r>
              <w:rPr>
                <w:spacing w:val="-7"/>
                <w:sz w:val="18"/>
                <w:szCs w:val="18"/>
              </w:rPr>
              <w:t>T</w:t>
            </w:r>
            <w:r>
              <w:rPr>
                <w:spacing w:val="-35"/>
                <w:sz w:val="18"/>
                <w:szCs w:val="18"/>
              </w:rPr>
              <w:t xml:space="preserve"> </w:t>
            </w:r>
            <w:r>
              <w:rPr>
                <w:spacing w:val="-7"/>
                <w:sz w:val="18"/>
                <w:szCs w:val="18"/>
              </w:rPr>
              <w:t>P</w:t>
            </w:r>
            <w:r>
              <w:rPr>
                <w:spacing w:val="-32"/>
                <w:sz w:val="18"/>
                <w:szCs w:val="18"/>
              </w:rPr>
              <w:t xml:space="preserve"> </w:t>
            </w:r>
            <w:r>
              <w:rPr>
                <w:spacing w:val="-7"/>
                <w:sz w:val="18"/>
                <w:szCs w:val="18"/>
              </w:rPr>
              <w:t>服</w:t>
            </w:r>
            <w:r>
              <w:rPr>
                <w:spacing w:val="-30"/>
                <w:sz w:val="18"/>
                <w:szCs w:val="18"/>
              </w:rPr>
              <w:t xml:space="preserve"> </w:t>
            </w:r>
            <w:r>
              <w:rPr>
                <w:spacing w:val="-7"/>
                <w:sz w:val="18"/>
                <w:szCs w:val="18"/>
              </w:rPr>
              <w:t>务</w:t>
            </w:r>
            <w:r>
              <w:rPr>
                <w:sz w:val="18"/>
                <w:szCs w:val="18"/>
              </w:rPr>
              <w:t xml:space="preserve"> 器的方法</w:t>
            </w:r>
          </w:p>
          <w:p w14:paraId="50B3831F">
            <w:pPr>
              <w:pStyle w:val="6"/>
              <w:spacing w:before="13" w:line="204" w:lineRule="auto"/>
              <w:ind w:left="21"/>
              <w:rPr>
                <w:sz w:val="18"/>
                <w:szCs w:val="18"/>
              </w:rPr>
            </w:pPr>
            <w:r>
              <w:rPr>
                <w:spacing w:val="1"/>
                <w:sz w:val="18"/>
                <w:szCs w:val="18"/>
              </w:rPr>
              <w:t>4.能利用常用的</w:t>
            </w:r>
          </w:p>
          <w:p w14:paraId="74E7ED6D">
            <w:pPr>
              <w:pStyle w:val="6"/>
              <w:spacing w:line="224" w:lineRule="auto"/>
              <w:ind w:left="11" w:right="31" w:firstLine="10"/>
              <w:rPr>
                <w:sz w:val="18"/>
                <w:szCs w:val="18"/>
              </w:rPr>
            </w:pPr>
            <w:r>
              <w:rPr>
                <w:spacing w:val="-1"/>
                <w:sz w:val="18"/>
                <w:szCs w:val="18"/>
              </w:rPr>
              <w:t>命令以及知识进行</w:t>
            </w:r>
            <w:r>
              <w:rPr>
                <w:sz w:val="18"/>
                <w:szCs w:val="18"/>
              </w:rPr>
              <w:t xml:space="preserve"> </w:t>
            </w:r>
            <w:r>
              <w:rPr>
                <w:spacing w:val="-1"/>
                <w:sz w:val="18"/>
                <w:szCs w:val="18"/>
              </w:rPr>
              <w:t>简单网络故障的分</w:t>
            </w:r>
            <w:r>
              <w:rPr>
                <w:spacing w:val="6"/>
                <w:sz w:val="18"/>
                <w:szCs w:val="18"/>
              </w:rPr>
              <w:t xml:space="preserve"> </w:t>
            </w:r>
            <w:r>
              <w:rPr>
                <w:spacing w:val="3"/>
                <w:sz w:val="18"/>
                <w:szCs w:val="18"/>
              </w:rPr>
              <w:t>析、定位、诊断和</w:t>
            </w:r>
            <w:r>
              <w:rPr>
                <w:sz w:val="18"/>
                <w:szCs w:val="18"/>
              </w:rPr>
              <w:t xml:space="preserve"> </w:t>
            </w:r>
            <w:r>
              <w:rPr>
                <w:spacing w:val="-2"/>
                <w:sz w:val="18"/>
                <w:szCs w:val="18"/>
              </w:rPr>
              <w:t>排除</w:t>
            </w:r>
          </w:p>
          <w:p w14:paraId="35E353A9">
            <w:pPr>
              <w:pStyle w:val="6"/>
              <w:spacing w:before="7" w:line="207" w:lineRule="auto"/>
              <w:ind w:left="11" w:right="38"/>
              <w:jc w:val="both"/>
              <w:rPr>
                <w:sz w:val="18"/>
                <w:szCs w:val="18"/>
              </w:rPr>
            </w:pPr>
            <w:r>
              <w:rPr>
                <w:spacing w:val="1"/>
                <w:sz w:val="18"/>
                <w:szCs w:val="18"/>
              </w:rPr>
              <w:t>5.能够进行常用网</w:t>
            </w:r>
            <w:r>
              <w:rPr>
                <w:spacing w:val="7"/>
                <w:sz w:val="18"/>
                <w:szCs w:val="18"/>
              </w:rPr>
              <w:t xml:space="preserve"> </w:t>
            </w:r>
            <w:r>
              <w:rPr>
                <w:spacing w:val="1"/>
                <w:sz w:val="18"/>
                <w:szCs w:val="18"/>
              </w:rPr>
              <w:t>络应用服务器的简</w:t>
            </w:r>
            <w:r>
              <w:rPr>
                <w:spacing w:val="4"/>
                <w:sz w:val="18"/>
                <w:szCs w:val="18"/>
              </w:rPr>
              <w:t xml:space="preserve"> </w:t>
            </w:r>
            <w:r>
              <w:rPr>
                <w:spacing w:val="5"/>
                <w:sz w:val="18"/>
                <w:szCs w:val="18"/>
              </w:rPr>
              <w:t>单排错。</w:t>
            </w:r>
          </w:p>
        </w:tc>
        <w:tc>
          <w:tcPr>
            <w:tcW w:w="400" w:type="dxa"/>
            <w:textDirection w:val="tbRlV"/>
            <w:vAlign w:val="top"/>
          </w:tcPr>
          <w:p w14:paraId="357DC50D">
            <w:pPr>
              <w:pStyle w:val="6"/>
              <w:spacing w:before="92" w:line="201" w:lineRule="auto"/>
              <w:ind w:left="23"/>
              <w:rPr>
                <w:sz w:val="18"/>
                <w:szCs w:val="18"/>
              </w:rPr>
            </w:pPr>
            <w:r>
              <w:rPr>
                <w:sz w:val="18"/>
                <w:szCs w:val="18"/>
              </w:rPr>
              <w:t>上机操作</w:t>
            </w:r>
          </w:p>
        </w:tc>
        <w:tc>
          <w:tcPr>
            <w:tcW w:w="1608" w:type="dxa"/>
            <w:vAlign w:val="top"/>
          </w:tcPr>
          <w:p w14:paraId="4A814F34">
            <w:pPr>
              <w:pStyle w:val="6"/>
              <w:spacing w:before="63" w:line="221" w:lineRule="auto"/>
              <w:ind w:left="13" w:right="69" w:firstLine="60"/>
              <w:rPr>
                <w:sz w:val="18"/>
                <w:szCs w:val="18"/>
              </w:rPr>
            </w:pPr>
            <w:r>
              <w:rPr>
                <w:spacing w:val="1"/>
                <w:sz w:val="18"/>
                <w:szCs w:val="18"/>
              </w:rPr>
              <w:t>测试时间：60分钟</w:t>
            </w:r>
            <w:r>
              <w:rPr>
                <w:spacing w:val="4"/>
                <w:sz w:val="18"/>
                <w:szCs w:val="18"/>
              </w:rPr>
              <w:t xml:space="preserve"> </w:t>
            </w:r>
            <w:r>
              <w:rPr>
                <w:spacing w:val="6"/>
                <w:sz w:val="18"/>
                <w:szCs w:val="18"/>
              </w:rPr>
              <w:t>按照项目要求，完</w:t>
            </w:r>
            <w:r>
              <w:rPr>
                <w:spacing w:val="2"/>
                <w:sz w:val="18"/>
                <w:szCs w:val="18"/>
              </w:rPr>
              <w:t xml:space="preserve"> </w:t>
            </w:r>
            <w:r>
              <w:rPr>
                <w:spacing w:val="6"/>
                <w:sz w:val="18"/>
                <w:szCs w:val="18"/>
              </w:rPr>
              <w:t>成某一网络服务器</w:t>
            </w:r>
            <w:r>
              <w:rPr>
                <w:spacing w:val="2"/>
                <w:sz w:val="18"/>
                <w:szCs w:val="18"/>
              </w:rPr>
              <w:t xml:space="preserve"> </w:t>
            </w:r>
            <w:r>
              <w:rPr>
                <w:spacing w:val="8"/>
                <w:sz w:val="18"/>
                <w:szCs w:val="18"/>
              </w:rPr>
              <w:t>的安装任务、配置</w:t>
            </w:r>
            <w:r>
              <w:rPr>
                <w:spacing w:val="1"/>
                <w:sz w:val="18"/>
                <w:szCs w:val="18"/>
              </w:rPr>
              <w:t xml:space="preserve"> </w:t>
            </w:r>
            <w:r>
              <w:rPr>
                <w:sz w:val="18"/>
                <w:szCs w:val="18"/>
              </w:rPr>
              <w:t>任务和调试任务，</w:t>
            </w:r>
          </w:p>
          <w:p w14:paraId="4C3F18E5">
            <w:pPr>
              <w:pStyle w:val="6"/>
              <w:spacing w:line="223" w:lineRule="auto"/>
              <w:ind w:left="13" w:right="95" w:firstLine="60"/>
              <w:rPr>
                <w:sz w:val="18"/>
                <w:szCs w:val="18"/>
              </w:rPr>
            </w:pPr>
            <w:r>
              <w:rPr>
                <w:spacing w:val="-2"/>
                <w:sz w:val="18"/>
                <w:szCs w:val="18"/>
              </w:rPr>
              <w:t>实现对此网络服务</w:t>
            </w:r>
            <w:r>
              <w:rPr>
                <w:spacing w:val="3"/>
                <w:sz w:val="18"/>
                <w:szCs w:val="18"/>
              </w:rPr>
              <w:t xml:space="preserve"> </w:t>
            </w:r>
            <w:r>
              <w:rPr>
                <w:sz w:val="18"/>
                <w:szCs w:val="18"/>
              </w:rPr>
              <w:t>器的访问。</w:t>
            </w:r>
          </w:p>
        </w:tc>
        <w:tc>
          <w:tcPr>
            <w:tcW w:w="3931" w:type="dxa"/>
            <w:vAlign w:val="top"/>
          </w:tcPr>
          <w:p w14:paraId="0351F143">
            <w:pPr>
              <w:pStyle w:val="6"/>
              <w:spacing w:before="60" w:line="205" w:lineRule="auto"/>
              <w:ind w:left="16"/>
              <w:rPr>
                <w:sz w:val="18"/>
                <w:szCs w:val="18"/>
              </w:rPr>
            </w:pPr>
            <w:r>
              <w:rPr>
                <w:spacing w:val="-1"/>
                <w:sz w:val="18"/>
                <w:szCs w:val="18"/>
              </w:rPr>
              <w:t>参考分值：60分</w:t>
            </w:r>
          </w:p>
          <w:p w14:paraId="622BB75A">
            <w:pPr>
              <w:pStyle w:val="6"/>
              <w:spacing w:before="1" w:line="222" w:lineRule="auto"/>
              <w:ind w:left="16" w:right="125"/>
              <w:rPr>
                <w:sz w:val="18"/>
                <w:szCs w:val="18"/>
              </w:rPr>
            </w:pPr>
            <w:r>
              <w:rPr>
                <w:sz w:val="18"/>
                <w:szCs w:val="18"/>
              </w:rPr>
              <w:t>1.技术方法：上机考核，自动评分或手动评</w:t>
            </w:r>
            <w:r>
              <w:rPr>
                <w:spacing w:val="-1"/>
                <w:sz w:val="18"/>
                <w:szCs w:val="18"/>
              </w:rPr>
              <w:t>分。</w:t>
            </w:r>
            <w:r>
              <w:rPr>
                <w:sz w:val="18"/>
                <w:szCs w:val="18"/>
              </w:rPr>
              <w:t xml:space="preserve"> </w:t>
            </w:r>
            <w:r>
              <w:rPr>
                <w:spacing w:val="-1"/>
                <w:sz w:val="18"/>
                <w:szCs w:val="18"/>
              </w:rPr>
              <w:t>2.工具使用：截图软件</w:t>
            </w:r>
          </w:p>
          <w:p w14:paraId="2B352CD1">
            <w:pPr>
              <w:pStyle w:val="6"/>
              <w:spacing w:before="5" w:line="219" w:lineRule="auto"/>
              <w:ind w:left="16"/>
              <w:rPr>
                <w:sz w:val="18"/>
                <w:szCs w:val="18"/>
              </w:rPr>
            </w:pPr>
            <w:r>
              <w:rPr>
                <w:spacing w:val="-1"/>
                <w:sz w:val="18"/>
                <w:szCs w:val="18"/>
              </w:rPr>
              <w:t>3.操作步骤：按项目任务书要求进行</w:t>
            </w:r>
          </w:p>
          <w:p w14:paraId="2600984A">
            <w:pPr>
              <w:pStyle w:val="6"/>
              <w:spacing w:before="27" w:line="212" w:lineRule="auto"/>
              <w:ind w:left="16"/>
              <w:rPr>
                <w:sz w:val="18"/>
                <w:szCs w:val="18"/>
              </w:rPr>
            </w:pPr>
            <w:r>
              <w:rPr>
                <w:spacing w:val="-10"/>
                <w:sz w:val="18"/>
                <w:szCs w:val="18"/>
              </w:rPr>
              <w:t>4.操作成效：完成项目任务，应用正确，功能实现，</w:t>
            </w:r>
            <w:r>
              <w:rPr>
                <w:spacing w:val="3"/>
                <w:sz w:val="18"/>
                <w:szCs w:val="18"/>
              </w:rPr>
              <w:t xml:space="preserve"> </w:t>
            </w:r>
            <w:r>
              <w:rPr>
                <w:spacing w:val="-4"/>
                <w:sz w:val="18"/>
                <w:szCs w:val="18"/>
              </w:rPr>
              <w:t>截图清晰，操作准确娴熟</w:t>
            </w:r>
          </w:p>
          <w:p w14:paraId="77EFF384">
            <w:pPr>
              <w:pStyle w:val="6"/>
              <w:spacing w:before="6" w:line="218" w:lineRule="auto"/>
              <w:ind w:left="16" w:right="125" w:firstLine="9"/>
              <w:rPr>
                <w:sz w:val="18"/>
                <w:szCs w:val="18"/>
              </w:rPr>
            </w:pPr>
            <w:r>
              <w:rPr>
                <w:spacing w:val="-1"/>
                <w:sz w:val="18"/>
                <w:szCs w:val="18"/>
              </w:rPr>
              <w:t>5.安全清洁：遵守微机操作安全规范，保持机位</w:t>
            </w:r>
            <w:r>
              <w:rPr>
                <w:spacing w:val="10"/>
                <w:sz w:val="18"/>
                <w:szCs w:val="18"/>
              </w:rPr>
              <w:t xml:space="preserve"> </w:t>
            </w:r>
            <w:r>
              <w:rPr>
                <w:spacing w:val="-2"/>
                <w:sz w:val="18"/>
                <w:szCs w:val="18"/>
              </w:rPr>
              <w:t>清洁卫生</w:t>
            </w:r>
          </w:p>
        </w:tc>
      </w:tr>
      <w:tr w14:paraId="24071C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12" w:hRule="atLeast"/>
        </w:trPr>
        <w:tc>
          <w:tcPr>
            <w:tcW w:w="874" w:type="dxa"/>
            <w:vAlign w:val="top"/>
          </w:tcPr>
          <w:p w14:paraId="67A1865F">
            <w:pPr>
              <w:pStyle w:val="6"/>
              <w:spacing w:before="55" w:line="205" w:lineRule="auto"/>
              <w:jc w:val="right"/>
              <w:rPr>
                <w:sz w:val="18"/>
                <w:szCs w:val="18"/>
              </w:rPr>
            </w:pPr>
            <w:r>
              <w:rPr>
                <w:spacing w:val="-13"/>
                <w:sz w:val="18"/>
                <w:szCs w:val="18"/>
              </w:rPr>
              <w:t>项目十一：</w:t>
            </w:r>
          </w:p>
          <w:p w14:paraId="1F63D7B5">
            <w:pPr>
              <w:pStyle w:val="6"/>
              <w:spacing w:line="220" w:lineRule="auto"/>
              <w:ind w:left="64"/>
              <w:rPr>
                <w:sz w:val="18"/>
                <w:szCs w:val="18"/>
              </w:rPr>
            </w:pPr>
            <w:r>
              <w:rPr>
                <w:spacing w:val="2"/>
                <w:sz w:val="18"/>
                <w:szCs w:val="18"/>
              </w:rPr>
              <w:t>网页制作</w:t>
            </w:r>
          </w:p>
          <w:p w14:paraId="7C30B798">
            <w:pPr>
              <w:pStyle w:val="6"/>
              <w:spacing w:before="17" w:line="222" w:lineRule="auto"/>
              <w:ind w:left="155"/>
              <w:rPr>
                <w:sz w:val="18"/>
                <w:szCs w:val="18"/>
              </w:rPr>
            </w:pPr>
            <w:r>
              <w:rPr>
                <w:spacing w:val="-6"/>
                <w:sz w:val="18"/>
                <w:szCs w:val="18"/>
              </w:rPr>
              <w:t>(Dream</w:t>
            </w:r>
          </w:p>
          <w:p w14:paraId="36D2EAAE">
            <w:pPr>
              <w:pStyle w:val="6"/>
              <w:spacing w:before="126" w:line="139" w:lineRule="exact"/>
              <w:ind w:left="155"/>
              <w:rPr>
                <w:sz w:val="18"/>
                <w:szCs w:val="18"/>
              </w:rPr>
            </w:pPr>
            <w:r>
              <w:rPr>
                <w:spacing w:val="-1"/>
                <w:sz w:val="18"/>
                <w:szCs w:val="18"/>
              </w:rPr>
              <w:t>weaver</w:t>
            </w:r>
          </w:p>
          <w:p w14:paraId="03DF559B">
            <w:pPr>
              <w:pStyle w:val="6"/>
              <w:spacing w:before="11" w:line="189" w:lineRule="auto"/>
              <w:ind w:left="114" w:right="79" w:firstLine="40"/>
              <w:rPr>
                <w:sz w:val="18"/>
                <w:szCs w:val="18"/>
              </w:rPr>
            </w:pPr>
            <w:r>
              <w:rPr>
                <w:spacing w:val="-1"/>
                <w:sz w:val="18"/>
                <w:szCs w:val="18"/>
              </w:rPr>
              <w:t>CC2018</w:t>
            </w:r>
            <w:r>
              <w:rPr>
                <w:sz w:val="18"/>
                <w:szCs w:val="18"/>
              </w:rPr>
              <w:t xml:space="preserve">  </w:t>
            </w:r>
            <w:r>
              <w:rPr>
                <w:spacing w:val="9"/>
                <w:sz w:val="18"/>
                <w:szCs w:val="18"/>
              </w:rPr>
              <w:t>中文版)</w:t>
            </w:r>
          </w:p>
        </w:tc>
        <w:tc>
          <w:tcPr>
            <w:tcW w:w="399" w:type="dxa"/>
            <w:textDirection w:val="tbRlV"/>
            <w:vAlign w:val="top"/>
          </w:tcPr>
          <w:p w14:paraId="1A893770">
            <w:pPr>
              <w:pStyle w:val="6"/>
              <w:spacing w:before="104" w:line="201" w:lineRule="auto"/>
              <w:ind w:left="17"/>
              <w:rPr>
                <w:sz w:val="18"/>
                <w:szCs w:val="18"/>
              </w:rPr>
            </w:pPr>
            <w:r>
              <w:rPr>
                <w:sz w:val="18"/>
                <w:szCs w:val="18"/>
              </w:rPr>
              <w:t>微机</w:t>
            </w:r>
          </w:p>
        </w:tc>
        <w:tc>
          <w:tcPr>
            <w:tcW w:w="1518" w:type="dxa"/>
            <w:vAlign w:val="top"/>
          </w:tcPr>
          <w:p w14:paraId="026FD7C3">
            <w:pPr>
              <w:pStyle w:val="6"/>
              <w:spacing w:before="47" w:line="221" w:lineRule="auto"/>
              <w:ind w:left="11"/>
              <w:rPr>
                <w:sz w:val="18"/>
                <w:szCs w:val="18"/>
              </w:rPr>
            </w:pPr>
            <w:r>
              <w:rPr>
                <w:spacing w:val="-13"/>
                <w:sz w:val="18"/>
                <w:szCs w:val="18"/>
              </w:rPr>
              <w:t>1.网站站点的规划、</w:t>
            </w:r>
            <w:r>
              <w:rPr>
                <w:spacing w:val="5"/>
                <w:sz w:val="18"/>
                <w:szCs w:val="18"/>
              </w:rPr>
              <w:t xml:space="preserve"> </w:t>
            </w:r>
            <w:r>
              <w:rPr>
                <w:spacing w:val="-9"/>
                <w:sz w:val="18"/>
                <w:szCs w:val="18"/>
              </w:rPr>
              <w:t>创建和管理</w:t>
            </w:r>
          </w:p>
          <w:p w14:paraId="4FE32D63">
            <w:pPr>
              <w:pStyle w:val="6"/>
              <w:spacing w:before="7" w:line="227" w:lineRule="auto"/>
              <w:ind w:left="11"/>
              <w:rPr>
                <w:sz w:val="18"/>
                <w:szCs w:val="18"/>
              </w:rPr>
            </w:pPr>
            <w:r>
              <w:rPr>
                <w:spacing w:val="-14"/>
                <w:sz w:val="18"/>
                <w:szCs w:val="18"/>
              </w:rPr>
              <w:t>2.网页制</w:t>
            </w:r>
            <w:r>
              <w:rPr>
                <w:spacing w:val="-13"/>
                <w:sz w:val="18"/>
                <w:szCs w:val="18"/>
              </w:rPr>
              <w:t>作的一般</w:t>
            </w:r>
            <w:r>
              <w:rPr>
                <w:spacing w:val="-8"/>
                <w:sz w:val="18"/>
                <w:szCs w:val="18"/>
              </w:rPr>
              <w:t>流</w:t>
            </w:r>
            <w:r>
              <w:rPr>
                <w:spacing w:val="5"/>
                <w:sz w:val="18"/>
                <w:szCs w:val="18"/>
              </w:rPr>
              <w:t xml:space="preserve"> </w:t>
            </w:r>
            <w:r>
              <w:rPr>
                <w:spacing w:val="-2"/>
                <w:sz w:val="18"/>
                <w:szCs w:val="18"/>
              </w:rPr>
              <w:t>程和步骤</w:t>
            </w:r>
          </w:p>
          <w:p w14:paraId="570D5CB6">
            <w:pPr>
              <w:pStyle w:val="6"/>
              <w:spacing w:before="3" w:line="225" w:lineRule="auto"/>
              <w:ind w:left="11" w:firstLine="9"/>
              <w:jc w:val="both"/>
              <w:rPr>
                <w:sz w:val="18"/>
                <w:szCs w:val="18"/>
              </w:rPr>
            </w:pPr>
            <w:r>
              <w:rPr>
                <w:spacing w:val="-15"/>
                <w:sz w:val="18"/>
                <w:szCs w:val="18"/>
              </w:rPr>
              <w:t>3</w:t>
            </w:r>
            <w:r>
              <w:rPr>
                <w:spacing w:val="-14"/>
                <w:sz w:val="18"/>
                <w:szCs w:val="18"/>
              </w:rPr>
              <w:t>.能利用多种媒体</w:t>
            </w:r>
            <w:r>
              <w:rPr>
                <w:spacing w:val="-13"/>
                <w:sz w:val="18"/>
                <w:szCs w:val="18"/>
              </w:rPr>
              <w:t>信</w:t>
            </w:r>
            <w:r>
              <w:rPr>
                <w:spacing w:val="5"/>
                <w:sz w:val="18"/>
                <w:szCs w:val="18"/>
              </w:rPr>
              <w:t xml:space="preserve"> </w:t>
            </w:r>
            <w:r>
              <w:rPr>
                <w:spacing w:val="-16"/>
                <w:sz w:val="18"/>
                <w:szCs w:val="18"/>
              </w:rPr>
              <w:t>息元</w:t>
            </w:r>
            <w:r>
              <w:rPr>
                <w:spacing w:val="-15"/>
                <w:sz w:val="18"/>
                <w:szCs w:val="18"/>
              </w:rPr>
              <w:t>素创建网页文</w:t>
            </w:r>
            <w:r>
              <w:rPr>
                <w:spacing w:val="-13"/>
                <w:sz w:val="18"/>
                <w:szCs w:val="18"/>
              </w:rPr>
              <w:t>件</w:t>
            </w:r>
            <w:r>
              <w:rPr>
                <w:spacing w:val="5"/>
                <w:sz w:val="18"/>
                <w:szCs w:val="18"/>
              </w:rPr>
              <w:t xml:space="preserve"> </w:t>
            </w:r>
            <w:r>
              <w:rPr>
                <w:spacing w:val="-13"/>
                <w:sz w:val="18"/>
                <w:szCs w:val="18"/>
              </w:rPr>
              <w:t>4.能发布并浏览所开</w:t>
            </w:r>
            <w:r>
              <w:rPr>
                <w:sz w:val="18"/>
                <w:szCs w:val="18"/>
              </w:rPr>
              <w:t xml:space="preserve"> </w:t>
            </w:r>
            <w:r>
              <w:rPr>
                <w:spacing w:val="-1"/>
                <w:sz w:val="18"/>
                <w:szCs w:val="18"/>
              </w:rPr>
              <w:t>发的网站页面</w:t>
            </w:r>
          </w:p>
          <w:p w14:paraId="5C82D92B">
            <w:pPr>
              <w:pStyle w:val="6"/>
              <w:spacing w:before="40" w:line="184" w:lineRule="auto"/>
              <w:jc w:val="right"/>
              <w:rPr>
                <w:sz w:val="18"/>
                <w:szCs w:val="18"/>
              </w:rPr>
            </w:pPr>
            <w:r>
              <w:rPr>
                <w:spacing w:val="-13"/>
                <w:sz w:val="18"/>
                <w:szCs w:val="18"/>
              </w:rPr>
              <w:t>5</w:t>
            </w:r>
            <w:r>
              <w:rPr>
                <w:spacing w:val="-12"/>
                <w:sz w:val="18"/>
                <w:szCs w:val="18"/>
              </w:rPr>
              <w:t>.DreamweaverCC201</w:t>
            </w:r>
            <w:r>
              <w:rPr>
                <w:spacing w:val="-11"/>
                <w:sz w:val="18"/>
                <w:szCs w:val="18"/>
              </w:rPr>
              <w:t>8</w:t>
            </w:r>
          </w:p>
          <w:p w14:paraId="7BAADF10">
            <w:pPr>
              <w:pStyle w:val="6"/>
              <w:spacing w:before="15" w:line="195" w:lineRule="auto"/>
              <w:ind w:left="11"/>
              <w:rPr>
                <w:sz w:val="18"/>
                <w:szCs w:val="18"/>
              </w:rPr>
            </w:pPr>
            <w:r>
              <w:rPr>
                <w:spacing w:val="3"/>
                <w:sz w:val="18"/>
                <w:szCs w:val="18"/>
              </w:rPr>
              <w:t>中文版的</w:t>
            </w:r>
          </w:p>
          <w:p w14:paraId="48B5D6B3">
            <w:pPr>
              <w:pStyle w:val="6"/>
              <w:spacing w:line="220" w:lineRule="auto"/>
              <w:ind w:left="11"/>
              <w:rPr>
                <w:sz w:val="18"/>
                <w:szCs w:val="18"/>
              </w:rPr>
            </w:pPr>
            <w:r>
              <w:rPr>
                <w:spacing w:val="4"/>
                <w:sz w:val="18"/>
                <w:szCs w:val="18"/>
              </w:rPr>
              <w:t>启动和退出</w:t>
            </w:r>
          </w:p>
          <w:p w14:paraId="5879F2D3">
            <w:pPr>
              <w:pStyle w:val="6"/>
              <w:spacing w:before="35" w:line="215" w:lineRule="auto"/>
              <w:ind w:left="11"/>
              <w:rPr>
                <w:sz w:val="18"/>
                <w:szCs w:val="18"/>
              </w:rPr>
            </w:pPr>
            <w:r>
              <w:rPr>
                <w:spacing w:val="1"/>
                <w:sz w:val="18"/>
                <w:szCs w:val="18"/>
              </w:rPr>
              <w:t>6.窗口界面操作</w:t>
            </w:r>
          </w:p>
          <w:p w14:paraId="6B913851">
            <w:pPr>
              <w:pStyle w:val="6"/>
              <w:spacing w:line="212" w:lineRule="auto"/>
              <w:ind w:left="11"/>
              <w:rPr>
                <w:sz w:val="18"/>
                <w:szCs w:val="18"/>
              </w:rPr>
            </w:pPr>
            <w:r>
              <w:rPr>
                <w:spacing w:val="-14"/>
                <w:sz w:val="18"/>
                <w:szCs w:val="18"/>
              </w:rPr>
              <w:t>7.创建、</w:t>
            </w:r>
            <w:r>
              <w:rPr>
                <w:spacing w:val="-13"/>
                <w:sz w:val="18"/>
                <w:szCs w:val="18"/>
              </w:rPr>
              <w:t>打开和保</w:t>
            </w:r>
            <w:r>
              <w:rPr>
                <w:spacing w:val="-8"/>
                <w:sz w:val="18"/>
                <w:szCs w:val="18"/>
              </w:rPr>
              <w:t>存</w:t>
            </w:r>
            <w:r>
              <w:rPr>
                <w:spacing w:val="5"/>
                <w:sz w:val="18"/>
                <w:szCs w:val="18"/>
              </w:rPr>
              <w:t xml:space="preserve"> </w:t>
            </w:r>
            <w:r>
              <w:rPr>
                <w:spacing w:val="1"/>
                <w:sz w:val="18"/>
                <w:szCs w:val="18"/>
              </w:rPr>
              <w:t>网页文件</w:t>
            </w:r>
          </w:p>
          <w:p w14:paraId="71E09764">
            <w:pPr>
              <w:pStyle w:val="6"/>
              <w:spacing w:before="18" w:line="218" w:lineRule="auto"/>
              <w:ind w:left="11"/>
              <w:rPr>
                <w:sz w:val="18"/>
                <w:szCs w:val="18"/>
              </w:rPr>
            </w:pPr>
            <w:r>
              <w:rPr>
                <w:spacing w:val="-13"/>
                <w:sz w:val="18"/>
                <w:szCs w:val="18"/>
              </w:rPr>
              <w:t>8.系统属性及网页属</w:t>
            </w:r>
            <w:r>
              <w:rPr>
                <w:spacing w:val="5"/>
                <w:sz w:val="18"/>
                <w:szCs w:val="18"/>
              </w:rPr>
              <w:t xml:space="preserve"> </w:t>
            </w:r>
            <w:r>
              <w:rPr>
                <w:spacing w:val="-3"/>
                <w:sz w:val="18"/>
                <w:szCs w:val="18"/>
              </w:rPr>
              <w:t>性的设置</w:t>
            </w:r>
          </w:p>
          <w:p w14:paraId="533B5863">
            <w:pPr>
              <w:pStyle w:val="6"/>
              <w:spacing w:before="14" w:line="218" w:lineRule="auto"/>
              <w:ind w:left="11"/>
              <w:rPr>
                <w:sz w:val="18"/>
                <w:szCs w:val="18"/>
              </w:rPr>
            </w:pPr>
            <w:r>
              <w:rPr>
                <w:spacing w:val="-14"/>
                <w:sz w:val="18"/>
                <w:szCs w:val="18"/>
              </w:rPr>
              <w:t>9.模板和</w:t>
            </w:r>
            <w:r>
              <w:rPr>
                <w:spacing w:val="-13"/>
                <w:sz w:val="18"/>
                <w:szCs w:val="18"/>
              </w:rPr>
              <w:t>库元素创</w:t>
            </w:r>
            <w:r>
              <w:rPr>
                <w:spacing w:val="-8"/>
                <w:sz w:val="18"/>
                <w:szCs w:val="18"/>
              </w:rPr>
              <w:t>建</w:t>
            </w:r>
            <w:r>
              <w:rPr>
                <w:spacing w:val="5"/>
                <w:sz w:val="18"/>
                <w:szCs w:val="18"/>
              </w:rPr>
              <w:t xml:space="preserve"> </w:t>
            </w:r>
            <w:r>
              <w:rPr>
                <w:sz w:val="18"/>
                <w:szCs w:val="18"/>
              </w:rPr>
              <w:t>网页、应用表单</w:t>
            </w:r>
          </w:p>
        </w:tc>
        <w:tc>
          <w:tcPr>
            <w:tcW w:w="400" w:type="dxa"/>
            <w:textDirection w:val="tbRlV"/>
            <w:vAlign w:val="top"/>
          </w:tcPr>
          <w:p w14:paraId="72672272">
            <w:pPr>
              <w:pStyle w:val="6"/>
              <w:spacing w:before="102" w:line="201" w:lineRule="auto"/>
              <w:ind w:left="16"/>
              <w:rPr>
                <w:sz w:val="18"/>
                <w:szCs w:val="18"/>
              </w:rPr>
            </w:pPr>
            <w:r>
              <w:rPr>
                <w:sz w:val="18"/>
                <w:szCs w:val="18"/>
              </w:rPr>
              <w:t>上机操作</w:t>
            </w:r>
          </w:p>
        </w:tc>
        <w:tc>
          <w:tcPr>
            <w:tcW w:w="1608" w:type="dxa"/>
            <w:vAlign w:val="top"/>
          </w:tcPr>
          <w:p w14:paraId="12E18435">
            <w:pPr>
              <w:pStyle w:val="6"/>
              <w:spacing w:before="65" w:line="219" w:lineRule="auto"/>
              <w:ind w:left="13" w:right="66" w:firstLine="60"/>
              <w:jc w:val="both"/>
              <w:rPr>
                <w:sz w:val="18"/>
                <w:szCs w:val="18"/>
              </w:rPr>
            </w:pPr>
            <w:r>
              <w:rPr>
                <w:spacing w:val="1"/>
                <w:sz w:val="18"/>
                <w:szCs w:val="18"/>
              </w:rPr>
              <w:t>测试时间：60分钟</w:t>
            </w:r>
            <w:r>
              <w:rPr>
                <w:spacing w:val="4"/>
                <w:sz w:val="18"/>
                <w:szCs w:val="18"/>
              </w:rPr>
              <w:t xml:space="preserve"> </w:t>
            </w:r>
            <w:r>
              <w:rPr>
                <w:spacing w:val="6"/>
                <w:sz w:val="18"/>
                <w:szCs w:val="18"/>
              </w:rPr>
              <w:t>按照项目要求，根</w:t>
            </w:r>
            <w:r>
              <w:rPr>
                <w:spacing w:val="2"/>
                <w:sz w:val="18"/>
                <w:szCs w:val="18"/>
              </w:rPr>
              <w:t xml:space="preserve"> </w:t>
            </w:r>
            <w:r>
              <w:rPr>
                <w:spacing w:val="6"/>
                <w:sz w:val="18"/>
                <w:szCs w:val="18"/>
              </w:rPr>
              <w:t>据指定素材，完成</w:t>
            </w:r>
            <w:r>
              <w:rPr>
                <w:spacing w:val="4"/>
                <w:sz w:val="18"/>
                <w:szCs w:val="18"/>
              </w:rPr>
              <w:t xml:space="preserve"> </w:t>
            </w:r>
            <w:r>
              <w:rPr>
                <w:spacing w:val="9"/>
                <w:sz w:val="18"/>
                <w:szCs w:val="18"/>
              </w:rPr>
              <w:t>网站建设任务、网</w:t>
            </w:r>
            <w:r>
              <w:rPr>
                <w:spacing w:val="4"/>
                <w:sz w:val="18"/>
                <w:szCs w:val="18"/>
              </w:rPr>
              <w:t xml:space="preserve"> </w:t>
            </w:r>
            <w:r>
              <w:rPr>
                <w:spacing w:val="8"/>
                <w:sz w:val="18"/>
                <w:szCs w:val="18"/>
              </w:rPr>
              <w:t>页制作任务和网站</w:t>
            </w:r>
            <w:r>
              <w:rPr>
                <w:spacing w:val="4"/>
                <w:sz w:val="18"/>
                <w:szCs w:val="18"/>
              </w:rPr>
              <w:t xml:space="preserve"> </w:t>
            </w:r>
            <w:r>
              <w:rPr>
                <w:sz w:val="18"/>
                <w:szCs w:val="18"/>
              </w:rPr>
              <w:t>发布任务。</w:t>
            </w:r>
          </w:p>
        </w:tc>
        <w:tc>
          <w:tcPr>
            <w:tcW w:w="3931" w:type="dxa"/>
            <w:vAlign w:val="top"/>
          </w:tcPr>
          <w:p w14:paraId="0F2A762E">
            <w:pPr>
              <w:pStyle w:val="6"/>
              <w:spacing w:before="54" w:line="215" w:lineRule="auto"/>
              <w:ind w:left="16"/>
              <w:rPr>
                <w:sz w:val="18"/>
                <w:szCs w:val="18"/>
              </w:rPr>
            </w:pPr>
            <w:r>
              <w:rPr>
                <w:spacing w:val="-1"/>
                <w:sz w:val="18"/>
                <w:szCs w:val="18"/>
              </w:rPr>
              <w:t>参考分值：60分</w:t>
            </w:r>
          </w:p>
          <w:p w14:paraId="57418BBF">
            <w:pPr>
              <w:pStyle w:val="6"/>
              <w:spacing w:line="218" w:lineRule="auto"/>
              <w:ind w:left="16"/>
              <w:rPr>
                <w:sz w:val="18"/>
                <w:szCs w:val="18"/>
              </w:rPr>
            </w:pPr>
            <w:r>
              <w:rPr>
                <w:sz w:val="18"/>
                <w:szCs w:val="18"/>
              </w:rPr>
              <w:t>1.技术方法：上机考核，自动评分或手动评</w:t>
            </w:r>
            <w:r>
              <w:rPr>
                <w:spacing w:val="-1"/>
                <w:sz w:val="18"/>
                <w:szCs w:val="18"/>
              </w:rPr>
              <w:t>分。</w:t>
            </w:r>
          </w:p>
          <w:p w14:paraId="58C0F2D7">
            <w:pPr>
              <w:pStyle w:val="6"/>
              <w:spacing w:before="7" w:line="222" w:lineRule="auto"/>
              <w:ind w:left="16"/>
              <w:rPr>
                <w:sz w:val="18"/>
                <w:szCs w:val="18"/>
              </w:rPr>
            </w:pPr>
            <w:r>
              <w:rPr>
                <w:spacing w:val="-3"/>
                <w:sz w:val="18"/>
                <w:szCs w:val="18"/>
              </w:rPr>
              <w:t>2.操作步骤：按项目任务书要求进行3.操作成效：</w:t>
            </w:r>
            <w:r>
              <w:rPr>
                <w:spacing w:val="15"/>
                <w:sz w:val="18"/>
                <w:szCs w:val="18"/>
              </w:rPr>
              <w:t xml:space="preserve"> </w:t>
            </w:r>
            <w:r>
              <w:rPr>
                <w:spacing w:val="-3"/>
                <w:sz w:val="18"/>
                <w:szCs w:val="18"/>
              </w:rPr>
              <w:t>完成项目任务，文件完整，页面美观，功能实现，</w:t>
            </w:r>
            <w:r>
              <w:rPr>
                <w:spacing w:val="9"/>
                <w:sz w:val="18"/>
                <w:szCs w:val="18"/>
              </w:rPr>
              <w:t xml:space="preserve"> </w:t>
            </w:r>
            <w:r>
              <w:rPr>
                <w:spacing w:val="-4"/>
                <w:sz w:val="18"/>
                <w:szCs w:val="18"/>
              </w:rPr>
              <w:t>操作准确娴熟</w:t>
            </w:r>
          </w:p>
          <w:p w14:paraId="61C26C1C">
            <w:pPr>
              <w:pStyle w:val="6"/>
              <w:spacing w:line="223" w:lineRule="auto"/>
              <w:ind w:left="16" w:right="121" w:firstLine="9"/>
              <w:rPr>
                <w:sz w:val="18"/>
                <w:szCs w:val="18"/>
              </w:rPr>
            </w:pPr>
            <w:r>
              <w:rPr>
                <w:spacing w:val="-1"/>
                <w:sz w:val="18"/>
                <w:szCs w:val="18"/>
              </w:rPr>
              <w:t>4.安全清洁：遵守微机操作安全规范，保持机位</w:t>
            </w:r>
            <w:r>
              <w:rPr>
                <w:spacing w:val="14"/>
                <w:sz w:val="18"/>
                <w:szCs w:val="18"/>
              </w:rPr>
              <w:t xml:space="preserve"> </w:t>
            </w:r>
            <w:r>
              <w:rPr>
                <w:spacing w:val="-2"/>
                <w:sz w:val="18"/>
                <w:szCs w:val="18"/>
              </w:rPr>
              <w:t>清洁卫生</w:t>
            </w:r>
          </w:p>
        </w:tc>
      </w:tr>
    </w:tbl>
    <w:p w14:paraId="505B1657">
      <w:pPr>
        <w:pStyle w:val="2"/>
        <w:spacing w:line="224" w:lineRule="exact"/>
        <w:rPr>
          <w:sz w:val="19"/>
        </w:rPr>
      </w:pPr>
    </w:p>
    <w:p w14:paraId="2140A814">
      <w:pPr>
        <w:spacing w:line="224" w:lineRule="exact"/>
        <w:rPr>
          <w:sz w:val="19"/>
          <w:szCs w:val="19"/>
        </w:rPr>
        <w:sectPr>
          <w:footerReference r:id="rId122" w:type="default"/>
          <w:pgSz w:w="10660" w:h="15080"/>
          <w:pgMar w:top="400" w:right="1024" w:bottom="910" w:left="809" w:header="0" w:footer="738" w:gutter="0"/>
          <w:cols w:space="720" w:num="1"/>
        </w:sectPr>
      </w:pPr>
    </w:p>
    <w:p w14:paraId="06C57AB1">
      <w:pPr>
        <w:spacing w:before="8"/>
      </w:pPr>
    </w:p>
    <w:p w14:paraId="6305F4E4">
      <w:pPr>
        <w:spacing w:before="7"/>
      </w:pPr>
    </w:p>
    <w:p w14:paraId="6ADE7575">
      <w:pPr>
        <w:spacing w:before="7"/>
      </w:pPr>
    </w:p>
    <w:p w14:paraId="0C08C0DC">
      <w:pPr>
        <w:spacing w:before="7"/>
      </w:pPr>
    </w:p>
    <w:tbl>
      <w:tblPr>
        <w:tblStyle w:val="5"/>
        <w:tblW w:w="870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64"/>
        <w:gridCol w:w="389"/>
        <w:gridCol w:w="1528"/>
        <w:gridCol w:w="400"/>
        <w:gridCol w:w="1618"/>
        <w:gridCol w:w="3910"/>
      </w:tblGrid>
      <w:tr w14:paraId="61D531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4" w:hRule="atLeast"/>
        </w:trPr>
        <w:tc>
          <w:tcPr>
            <w:tcW w:w="864" w:type="dxa"/>
            <w:vAlign w:val="top"/>
          </w:tcPr>
          <w:p w14:paraId="2A19593B">
            <w:pPr>
              <w:pStyle w:val="6"/>
              <w:spacing w:before="101" w:line="212" w:lineRule="auto"/>
              <w:ind w:left="247" w:right="217"/>
              <w:rPr>
                <w:sz w:val="18"/>
                <w:szCs w:val="18"/>
              </w:rPr>
            </w:pPr>
            <w:r>
              <w:rPr>
                <w:b/>
                <w:bCs/>
                <w:spacing w:val="-6"/>
                <w:sz w:val="18"/>
                <w:szCs w:val="18"/>
              </w:rPr>
              <w:t>测试</w:t>
            </w:r>
            <w:r>
              <w:rPr>
                <w:sz w:val="18"/>
                <w:szCs w:val="18"/>
              </w:rPr>
              <w:t xml:space="preserve"> </w:t>
            </w:r>
            <w:r>
              <w:rPr>
                <w:b/>
                <w:bCs/>
                <w:spacing w:val="12"/>
                <w:sz w:val="18"/>
                <w:szCs w:val="18"/>
              </w:rPr>
              <w:t>项目</w:t>
            </w:r>
          </w:p>
        </w:tc>
        <w:tc>
          <w:tcPr>
            <w:tcW w:w="389" w:type="dxa"/>
            <w:vAlign w:val="top"/>
          </w:tcPr>
          <w:p w14:paraId="6D160862">
            <w:pPr>
              <w:pStyle w:val="6"/>
              <w:spacing w:before="100" w:line="213" w:lineRule="auto"/>
              <w:ind w:left="3" w:right="23"/>
              <w:rPr>
                <w:sz w:val="18"/>
                <w:szCs w:val="18"/>
              </w:rPr>
            </w:pPr>
            <w:r>
              <w:rPr>
                <w:b/>
                <w:bCs/>
                <w:spacing w:val="-6"/>
                <w:sz w:val="18"/>
                <w:szCs w:val="18"/>
              </w:rPr>
              <w:t>测试</w:t>
            </w:r>
            <w:r>
              <w:rPr>
                <w:sz w:val="18"/>
                <w:szCs w:val="18"/>
              </w:rPr>
              <w:t xml:space="preserve"> </w:t>
            </w:r>
            <w:r>
              <w:rPr>
                <w:b/>
                <w:bCs/>
                <w:spacing w:val="-7"/>
                <w:sz w:val="18"/>
                <w:szCs w:val="18"/>
              </w:rPr>
              <w:t>用具</w:t>
            </w:r>
          </w:p>
        </w:tc>
        <w:tc>
          <w:tcPr>
            <w:tcW w:w="1528" w:type="dxa"/>
            <w:vAlign w:val="top"/>
          </w:tcPr>
          <w:p w14:paraId="26F0FEDA">
            <w:pPr>
              <w:pStyle w:val="6"/>
              <w:spacing w:before="199" w:line="219" w:lineRule="auto"/>
              <w:ind w:left="394"/>
              <w:rPr>
                <w:sz w:val="18"/>
                <w:szCs w:val="18"/>
              </w:rPr>
            </w:pPr>
            <w:r>
              <w:rPr>
                <w:b/>
                <w:bCs/>
                <w:spacing w:val="-4"/>
                <w:sz w:val="18"/>
                <w:szCs w:val="18"/>
              </w:rPr>
              <w:t>测试内容</w:t>
            </w:r>
          </w:p>
        </w:tc>
        <w:tc>
          <w:tcPr>
            <w:tcW w:w="400" w:type="dxa"/>
            <w:vAlign w:val="top"/>
          </w:tcPr>
          <w:p w14:paraId="476EB836">
            <w:pPr>
              <w:pStyle w:val="6"/>
              <w:spacing w:before="91" w:line="213" w:lineRule="auto"/>
              <w:ind w:left="36" w:right="1"/>
              <w:rPr>
                <w:sz w:val="18"/>
                <w:szCs w:val="18"/>
              </w:rPr>
            </w:pPr>
            <w:r>
              <w:rPr>
                <w:b/>
                <w:bCs/>
                <w:spacing w:val="-6"/>
                <w:sz w:val="18"/>
                <w:szCs w:val="18"/>
              </w:rPr>
              <w:t>测试</w:t>
            </w:r>
            <w:r>
              <w:rPr>
                <w:sz w:val="18"/>
                <w:szCs w:val="18"/>
              </w:rPr>
              <w:t xml:space="preserve"> </w:t>
            </w:r>
            <w:r>
              <w:rPr>
                <w:b/>
                <w:bCs/>
                <w:spacing w:val="-6"/>
                <w:sz w:val="18"/>
                <w:szCs w:val="18"/>
              </w:rPr>
              <w:t>方法</w:t>
            </w:r>
          </w:p>
        </w:tc>
        <w:tc>
          <w:tcPr>
            <w:tcW w:w="1618" w:type="dxa"/>
            <w:vAlign w:val="top"/>
          </w:tcPr>
          <w:p w14:paraId="08CC70E3">
            <w:pPr>
              <w:pStyle w:val="6"/>
              <w:spacing w:before="200" w:line="221" w:lineRule="auto"/>
              <w:ind w:left="476"/>
              <w:rPr>
                <w:sz w:val="18"/>
                <w:szCs w:val="18"/>
              </w:rPr>
            </w:pPr>
            <w:r>
              <w:rPr>
                <w:b/>
                <w:bCs/>
                <w:spacing w:val="-4"/>
                <w:sz w:val="18"/>
                <w:szCs w:val="18"/>
              </w:rPr>
              <w:t>测试要求</w:t>
            </w:r>
          </w:p>
        </w:tc>
        <w:tc>
          <w:tcPr>
            <w:tcW w:w="3910" w:type="dxa"/>
            <w:vAlign w:val="top"/>
          </w:tcPr>
          <w:p w14:paraId="3DD5B666">
            <w:pPr>
              <w:pStyle w:val="6"/>
              <w:spacing w:before="199" w:line="219" w:lineRule="auto"/>
              <w:ind w:left="1618"/>
              <w:rPr>
                <w:sz w:val="18"/>
                <w:szCs w:val="18"/>
              </w:rPr>
            </w:pPr>
            <w:r>
              <w:rPr>
                <w:b/>
                <w:bCs/>
                <w:spacing w:val="-4"/>
                <w:sz w:val="18"/>
                <w:szCs w:val="18"/>
              </w:rPr>
              <w:t>赋分参考</w:t>
            </w:r>
          </w:p>
        </w:tc>
      </w:tr>
      <w:tr w14:paraId="299D8E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96" w:hRule="atLeast"/>
        </w:trPr>
        <w:tc>
          <w:tcPr>
            <w:tcW w:w="864" w:type="dxa"/>
            <w:vAlign w:val="top"/>
          </w:tcPr>
          <w:p w14:paraId="54ED6CB6">
            <w:pPr>
              <w:rPr>
                <w:rFonts w:ascii="Arial"/>
                <w:sz w:val="21"/>
              </w:rPr>
            </w:pPr>
          </w:p>
        </w:tc>
        <w:tc>
          <w:tcPr>
            <w:tcW w:w="389" w:type="dxa"/>
            <w:vAlign w:val="top"/>
          </w:tcPr>
          <w:p w14:paraId="55DD528A">
            <w:pPr>
              <w:rPr>
                <w:rFonts w:ascii="Arial"/>
                <w:sz w:val="21"/>
              </w:rPr>
            </w:pPr>
          </w:p>
        </w:tc>
        <w:tc>
          <w:tcPr>
            <w:tcW w:w="1528" w:type="dxa"/>
            <w:vAlign w:val="top"/>
          </w:tcPr>
          <w:p w14:paraId="35EC59B6">
            <w:pPr>
              <w:pStyle w:val="6"/>
              <w:spacing w:before="46" w:line="204" w:lineRule="auto"/>
              <w:ind w:left="24"/>
              <w:rPr>
                <w:sz w:val="18"/>
                <w:szCs w:val="18"/>
              </w:rPr>
            </w:pPr>
            <w:r>
              <w:rPr>
                <w:b/>
                <w:bCs/>
                <w:sz w:val="18"/>
                <w:szCs w:val="18"/>
              </w:rPr>
              <w:t>设计网页</w:t>
            </w:r>
          </w:p>
          <w:p w14:paraId="0AA7052C">
            <w:pPr>
              <w:pStyle w:val="6"/>
              <w:spacing w:line="231" w:lineRule="auto"/>
              <w:ind w:left="54" w:right="73" w:firstLine="29"/>
              <w:rPr>
                <w:sz w:val="18"/>
                <w:szCs w:val="18"/>
              </w:rPr>
            </w:pPr>
            <w:r>
              <w:rPr>
                <w:b/>
                <w:bCs/>
                <w:spacing w:val="-1"/>
                <w:sz w:val="18"/>
                <w:szCs w:val="18"/>
              </w:rPr>
              <w:t>10.框架结构网页</w:t>
            </w:r>
            <w:r>
              <w:rPr>
                <w:spacing w:val="1"/>
                <w:sz w:val="18"/>
                <w:szCs w:val="18"/>
              </w:rPr>
              <w:t xml:space="preserve"> </w:t>
            </w:r>
            <w:r>
              <w:rPr>
                <w:b/>
                <w:bCs/>
                <w:spacing w:val="-4"/>
                <w:sz w:val="18"/>
                <w:szCs w:val="18"/>
              </w:rPr>
              <w:t>制作</w:t>
            </w:r>
          </w:p>
          <w:p w14:paraId="740D387A">
            <w:pPr>
              <w:pStyle w:val="6"/>
              <w:spacing w:before="1" w:line="225" w:lineRule="auto"/>
              <w:ind w:left="33" w:right="20" w:hanging="19"/>
              <w:jc w:val="both"/>
              <w:rPr>
                <w:sz w:val="18"/>
                <w:szCs w:val="18"/>
              </w:rPr>
            </w:pPr>
            <w:r>
              <w:rPr>
                <w:b/>
                <w:bCs/>
                <w:spacing w:val="-18"/>
                <w:sz w:val="18"/>
                <w:szCs w:val="18"/>
              </w:rPr>
              <w:t>1</w:t>
            </w:r>
            <w:r>
              <w:rPr>
                <w:spacing w:val="-19"/>
                <w:sz w:val="18"/>
                <w:szCs w:val="18"/>
              </w:rPr>
              <w:t xml:space="preserve"> </w:t>
            </w:r>
            <w:r>
              <w:rPr>
                <w:b/>
                <w:bCs/>
                <w:spacing w:val="-18"/>
                <w:sz w:val="18"/>
                <w:szCs w:val="18"/>
              </w:rPr>
              <w:t>1</w:t>
            </w:r>
            <w:r>
              <w:rPr>
                <w:spacing w:val="-31"/>
                <w:sz w:val="18"/>
                <w:szCs w:val="18"/>
              </w:rPr>
              <w:t xml:space="preserve"> </w:t>
            </w:r>
            <w:r>
              <w:rPr>
                <w:b/>
                <w:bCs/>
                <w:spacing w:val="-18"/>
                <w:sz w:val="18"/>
                <w:szCs w:val="18"/>
              </w:rPr>
              <w:t>.</w:t>
            </w:r>
            <w:r>
              <w:rPr>
                <w:spacing w:val="-36"/>
                <w:sz w:val="18"/>
                <w:szCs w:val="18"/>
              </w:rPr>
              <w:t xml:space="preserve"> </w:t>
            </w:r>
            <w:r>
              <w:rPr>
                <w:b/>
                <w:bCs/>
                <w:spacing w:val="-18"/>
                <w:sz w:val="18"/>
                <w:szCs w:val="18"/>
              </w:rPr>
              <w:t>在</w:t>
            </w:r>
            <w:r>
              <w:rPr>
                <w:spacing w:val="-21"/>
                <w:sz w:val="18"/>
                <w:szCs w:val="18"/>
              </w:rPr>
              <w:t xml:space="preserve"> </w:t>
            </w:r>
            <w:r>
              <w:rPr>
                <w:b/>
                <w:bCs/>
                <w:spacing w:val="-18"/>
                <w:sz w:val="18"/>
                <w:szCs w:val="18"/>
              </w:rPr>
              <w:t>网</w:t>
            </w:r>
            <w:r>
              <w:rPr>
                <w:spacing w:val="-31"/>
                <w:sz w:val="18"/>
                <w:szCs w:val="18"/>
              </w:rPr>
              <w:t xml:space="preserve"> </w:t>
            </w:r>
            <w:r>
              <w:rPr>
                <w:b/>
                <w:bCs/>
                <w:spacing w:val="-18"/>
                <w:sz w:val="18"/>
                <w:szCs w:val="18"/>
              </w:rPr>
              <w:t>页</w:t>
            </w:r>
            <w:r>
              <w:rPr>
                <w:spacing w:val="-19"/>
                <w:sz w:val="18"/>
                <w:szCs w:val="18"/>
              </w:rPr>
              <w:t xml:space="preserve"> </w:t>
            </w:r>
            <w:r>
              <w:rPr>
                <w:b/>
                <w:bCs/>
                <w:spacing w:val="-18"/>
                <w:sz w:val="18"/>
                <w:szCs w:val="18"/>
              </w:rPr>
              <w:t>中</w:t>
            </w:r>
            <w:r>
              <w:rPr>
                <w:spacing w:val="-33"/>
                <w:sz w:val="18"/>
                <w:szCs w:val="18"/>
              </w:rPr>
              <w:t xml:space="preserve"> </w:t>
            </w:r>
            <w:r>
              <w:rPr>
                <w:b/>
                <w:bCs/>
                <w:spacing w:val="-18"/>
                <w:sz w:val="18"/>
                <w:szCs w:val="18"/>
              </w:rPr>
              <w:t>建</w:t>
            </w:r>
            <w:r>
              <w:rPr>
                <w:sz w:val="18"/>
                <w:szCs w:val="18"/>
              </w:rPr>
              <w:t xml:space="preserve"> </w:t>
            </w:r>
            <w:r>
              <w:rPr>
                <w:b/>
                <w:bCs/>
                <w:spacing w:val="-3"/>
                <w:sz w:val="18"/>
                <w:szCs w:val="18"/>
              </w:rPr>
              <w:t>立、修改、删除如</w:t>
            </w:r>
            <w:r>
              <w:rPr>
                <w:sz w:val="18"/>
                <w:szCs w:val="18"/>
              </w:rPr>
              <w:t xml:space="preserve"> </w:t>
            </w:r>
            <w:r>
              <w:rPr>
                <w:b/>
                <w:bCs/>
                <w:spacing w:val="-3"/>
                <w:sz w:val="18"/>
                <w:szCs w:val="18"/>
              </w:rPr>
              <w:t>E-mail、书签等形</w:t>
            </w:r>
            <w:r>
              <w:rPr>
                <w:spacing w:val="6"/>
                <w:sz w:val="18"/>
                <w:szCs w:val="18"/>
              </w:rPr>
              <w:t xml:space="preserve"> </w:t>
            </w:r>
            <w:r>
              <w:rPr>
                <w:b/>
                <w:bCs/>
                <w:spacing w:val="-2"/>
                <w:sz w:val="18"/>
                <w:szCs w:val="18"/>
              </w:rPr>
              <w:t>式的超级链接</w:t>
            </w:r>
          </w:p>
          <w:p w14:paraId="60D09A02">
            <w:pPr>
              <w:pStyle w:val="6"/>
              <w:spacing w:line="219" w:lineRule="auto"/>
              <w:ind w:left="84"/>
              <w:rPr>
                <w:sz w:val="18"/>
                <w:szCs w:val="18"/>
              </w:rPr>
            </w:pPr>
            <w:r>
              <w:rPr>
                <w:b/>
                <w:bCs/>
                <w:spacing w:val="-1"/>
                <w:sz w:val="18"/>
                <w:szCs w:val="18"/>
              </w:rPr>
              <w:t>12.网页元素，如</w:t>
            </w:r>
          </w:p>
          <w:p w14:paraId="32E6FCE2">
            <w:pPr>
              <w:pStyle w:val="6"/>
              <w:spacing w:before="16" w:line="219" w:lineRule="auto"/>
              <w:ind w:left="34"/>
              <w:rPr>
                <w:sz w:val="18"/>
                <w:szCs w:val="18"/>
              </w:rPr>
            </w:pPr>
            <w:r>
              <w:rPr>
                <w:b/>
                <w:bCs/>
                <w:spacing w:val="-3"/>
                <w:sz w:val="18"/>
                <w:szCs w:val="18"/>
              </w:rPr>
              <w:t>水平线、日期、图</w:t>
            </w:r>
          </w:p>
          <w:p w14:paraId="03F05141">
            <w:pPr>
              <w:pStyle w:val="6"/>
              <w:spacing w:before="17" w:line="219" w:lineRule="auto"/>
              <w:ind w:left="124"/>
              <w:rPr>
                <w:sz w:val="18"/>
                <w:szCs w:val="18"/>
              </w:rPr>
            </w:pPr>
            <w:r>
              <w:rPr>
                <w:b/>
                <w:bCs/>
                <w:spacing w:val="-4"/>
                <w:sz w:val="18"/>
                <w:szCs w:val="18"/>
              </w:rPr>
              <w:t>象等对象的设置</w:t>
            </w:r>
          </w:p>
          <w:p w14:paraId="228431E4">
            <w:pPr>
              <w:pStyle w:val="6"/>
              <w:spacing w:before="16" w:line="210" w:lineRule="auto"/>
              <w:ind w:left="24" w:right="74" w:firstLine="59"/>
              <w:rPr>
                <w:sz w:val="18"/>
                <w:szCs w:val="18"/>
              </w:rPr>
            </w:pPr>
            <w:r>
              <w:rPr>
                <w:b/>
                <w:bCs/>
                <w:spacing w:val="-1"/>
                <w:sz w:val="18"/>
                <w:szCs w:val="18"/>
              </w:rPr>
              <w:t>13.网页中表格的</w:t>
            </w:r>
            <w:r>
              <w:rPr>
                <w:sz w:val="18"/>
                <w:szCs w:val="18"/>
              </w:rPr>
              <w:t xml:space="preserve"> </w:t>
            </w:r>
            <w:r>
              <w:rPr>
                <w:b/>
                <w:bCs/>
                <w:spacing w:val="-3"/>
                <w:sz w:val="18"/>
                <w:szCs w:val="18"/>
              </w:rPr>
              <w:t>添加、修改方法</w:t>
            </w:r>
          </w:p>
          <w:p w14:paraId="0841DE64">
            <w:pPr>
              <w:pStyle w:val="6"/>
              <w:spacing w:line="232" w:lineRule="auto"/>
              <w:ind w:left="34" w:right="81" w:firstLine="49"/>
              <w:rPr>
                <w:sz w:val="18"/>
                <w:szCs w:val="18"/>
              </w:rPr>
            </w:pPr>
            <w:r>
              <w:rPr>
                <w:b/>
                <w:bCs/>
                <w:spacing w:val="-2"/>
                <w:sz w:val="18"/>
                <w:szCs w:val="18"/>
              </w:rPr>
              <w:t>14.能利用表格进</w:t>
            </w:r>
            <w:r>
              <w:rPr>
                <w:spacing w:val="1"/>
                <w:sz w:val="18"/>
                <w:szCs w:val="18"/>
              </w:rPr>
              <w:t xml:space="preserve"> </w:t>
            </w:r>
            <w:r>
              <w:rPr>
                <w:b/>
                <w:bCs/>
                <w:sz w:val="18"/>
                <w:szCs w:val="18"/>
              </w:rPr>
              <w:t>行网页布局</w:t>
            </w:r>
          </w:p>
          <w:p w14:paraId="1053309C">
            <w:pPr>
              <w:pStyle w:val="6"/>
              <w:spacing w:before="8" w:line="218" w:lineRule="auto"/>
              <w:ind w:left="34" w:firstLine="49"/>
              <w:jc w:val="both"/>
              <w:rPr>
                <w:sz w:val="18"/>
                <w:szCs w:val="18"/>
              </w:rPr>
            </w:pPr>
            <w:r>
              <w:rPr>
                <w:b/>
                <w:bCs/>
                <w:spacing w:val="3"/>
                <w:sz w:val="18"/>
                <w:szCs w:val="18"/>
              </w:rPr>
              <w:t>15.</w:t>
            </w:r>
            <w:r>
              <w:rPr>
                <w:spacing w:val="-52"/>
                <w:sz w:val="18"/>
                <w:szCs w:val="18"/>
              </w:rPr>
              <w:t xml:space="preserve"> </w:t>
            </w:r>
            <w:r>
              <w:rPr>
                <w:b/>
                <w:bCs/>
                <w:spacing w:val="3"/>
                <w:sz w:val="18"/>
                <w:szCs w:val="18"/>
              </w:rPr>
              <w:t>网页中动画、</w:t>
            </w:r>
            <w:r>
              <w:rPr>
                <w:sz w:val="18"/>
                <w:szCs w:val="18"/>
              </w:rPr>
              <w:t xml:space="preserve"> </w:t>
            </w:r>
            <w:r>
              <w:rPr>
                <w:b/>
                <w:bCs/>
                <w:spacing w:val="-3"/>
                <w:sz w:val="18"/>
                <w:szCs w:val="18"/>
              </w:rPr>
              <w:t>视频、音频、控件</w:t>
            </w:r>
            <w:r>
              <w:rPr>
                <w:sz w:val="18"/>
                <w:szCs w:val="18"/>
              </w:rPr>
              <w:t xml:space="preserve"> </w:t>
            </w:r>
            <w:r>
              <w:rPr>
                <w:b/>
                <w:bCs/>
                <w:spacing w:val="-4"/>
                <w:sz w:val="18"/>
                <w:szCs w:val="18"/>
              </w:rPr>
              <w:t>等多媒体对象的添</w:t>
            </w:r>
            <w:r>
              <w:rPr>
                <w:spacing w:val="6"/>
                <w:sz w:val="18"/>
                <w:szCs w:val="18"/>
              </w:rPr>
              <w:t xml:space="preserve"> </w:t>
            </w:r>
            <w:r>
              <w:rPr>
                <w:b/>
                <w:bCs/>
                <w:spacing w:val="-3"/>
                <w:sz w:val="18"/>
                <w:szCs w:val="18"/>
              </w:rPr>
              <w:t>加和设置。</w:t>
            </w:r>
          </w:p>
        </w:tc>
        <w:tc>
          <w:tcPr>
            <w:tcW w:w="400" w:type="dxa"/>
            <w:vAlign w:val="top"/>
          </w:tcPr>
          <w:p w14:paraId="556AA60B">
            <w:pPr>
              <w:rPr>
                <w:rFonts w:ascii="Arial"/>
                <w:sz w:val="21"/>
              </w:rPr>
            </w:pPr>
          </w:p>
        </w:tc>
        <w:tc>
          <w:tcPr>
            <w:tcW w:w="1618" w:type="dxa"/>
            <w:vAlign w:val="top"/>
          </w:tcPr>
          <w:p w14:paraId="307B7462">
            <w:pPr>
              <w:rPr>
                <w:rFonts w:ascii="Arial"/>
                <w:sz w:val="21"/>
              </w:rPr>
            </w:pPr>
          </w:p>
        </w:tc>
        <w:tc>
          <w:tcPr>
            <w:tcW w:w="3910" w:type="dxa"/>
            <w:vAlign w:val="top"/>
          </w:tcPr>
          <w:p w14:paraId="5D8F3D42">
            <w:pPr>
              <w:rPr>
                <w:rFonts w:ascii="Arial"/>
                <w:sz w:val="21"/>
              </w:rPr>
            </w:pPr>
          </w:p>
        </w:tc>
      </w:tr>
    </w:tbl>
    <w:p w14:paraId="6E5D51F0">
      <w:pPr>
        <w:spacing w:before="309" w:line="221" w:lineRule="auto"/>
        <w:ind w:left="228"/>
        <w:outlineLvl w:val="0"/>
        <w:rPr>
          <w:rFonts w:ascii="黑体" w:hAnsi="黑体" w:eastAsia="黑体" w:cs="黑体"/>
          <w:sz w:val="27"/>
          <w:szCs w:val="27"/>
        </w:rPr>
      </w:pPr>
      <w:bookmarkStart w:id="59" w:name="bookmark20"/>
      <w:bookmarkEnd w:id="59"/>
      <w:r>
        <w:rPr>
          <w:rFonts w:ascii="黑体" w:hAnsi="黑体" w:eastAsia="黑体" w:cs="黑体"/>
          <w:b/>
          <w:bCs/>
          <w:spacing w:val="2"/>
          <w:sz w:val="27"/>
          <w:szCs w:val="27"/>
        </w:rPr>
        <w:t>土木建筑大类专业技能测试纲要</w:t>
      </w:r>
    </w:p>
    <w:p w14:paraId="5A0202CD">
      <w:pPr>
        <w:spacing w:line="43" w:lineRule="exact"/>
      </w:pPr>
    </w:p>
    <w:p w14:paraId="1B129830">
      <w:pPr>
        <w:spacing w:line="43" w:lineRule="exact"/>
        <w:sectPr>
          <w:footerReference r:id="rId123" w:type="default"/>
          <w:pgSz w:w="10660" w:h="15080"/>
          <w:pgMar w:top="400" w:right="859" w:bottom="898" w:left="984" w:header="0" w:footer="745" w:gutter="0"/>
          <w:cols w:equalWidth="0" w:num="1">
            <w:col w:w="8816"/>
          </w:cols>
        </w:sectPr>
      </w:pPr>
    </w:p>
    <w:p w14:paraId="03DDDD19">
      <w:pPr>
        <w:spacing w:before="202" w:line="221" w:lineRule="auto"/>
        <w:ind w:left="58"/>
        <w:rPr>
          <w:rFonts w:ascii="黑体" w:hAnsi="黑体" w:eastAsia="黑体" w:cs="黑体"/>
          <w:sz w:val="22"/>
          <w:szCs w:val="22"/>
        </w:rPr>
      </w:pPr>
      <w:r>
        <w:rPr>
          <w:rFonts w:ascii="黑体" w:hAnsi="黑体" w:eastAsia="黑体" w:cs="黑体"/>
          <w:b/>
          <w:bCs/>
          <w:spacing w:val="4"/>
          <w:sz w:val="22"/>
          <w:szCs w:val="22"/>
        </w:rPr>
        <w:t>一、测试目的</w:t>
      </w:r>
    </w:p>
    <w:p w14:paraId="3FB46348">
      <w:pPr>
        <w:spacing w:before="70" w:line="310" w:lineRule="auto"/>
        <w:ind w:left="54" w:right="260" w:firstLine="390"/>
        <w:rPr>
          <w:rFonts w:ascii="宋体" w:hAnsi="宋体" w:eastAsia="宋体" w:cs="宋体"/>
          <w:sz w:val="17"/>
          <w:szCs w:val="17"/>
        </w:rPr>
      </w:pPr>
      <w:r>
        <w:rPr>
          <w:rFonts w:ascii="宋体" w:hAnsi="宋体" w:eastAsia="宋体" w:cs="宋体"/>
          <w:spacing w:val="1"/>
          <w:sz w:val="17"/>
          <w:szCs w:val="17"/>
        </w:rPr>
        <w:t>通过开展专业教材、实习实训教学涵盖的专业基础</w:t>
      </w:r>
      <w:r>
        <w:rPr>
          <w:rFonts w:ascii="宋体" w:hAnsi="宋体" w:eastAsia="宋体" w:cs="宋体"/>
          <w:spacing w:val="6"/>
          <w:sz w:val="17"/>
          <w:szCs w:val="17"/>
        </w:rPr>
        <w:t xml:space="preserve"> </w:t>
      </w:r>
      <w:r>
        <w:rPr>
          <w:rFonts w:ascii="宋体" w:hAnsi="宋体" w:eastAsia="宋体" w:cs="宋体"/>
          <w:spacing w:val="4"/>
          <w:sz w:val="17"/>
          <w:szCs w:val="17"/>
        </w:rPr>
        <w:t>技能测试，对中等职业学校(含普通中专、职业高中、</w:t>
      </w:r>
      <w:r>
        <w:rPr>
          <w:rFonts w:ascii="宋体" w:hAnsi="宋体" w:eastAsia="宋体" w:cs="宋体"/>
          <w:spacing w:val="13"/>
          <w:sz w:val="17"/>
          <w:szCs w:val="17"/>
        </w:rPr>
        <w:t xml:space="preserve"> </w:t>
      </w:r>
      <w:r>
        <w:rPr>
          <w:rFonts w:ascii="宋体" w:hAnsi="宋体" w:eastAsia="宋体" w:cs="宋体"/>
          <w:spacing w:val="5"/>
          <w:sz w:val="17"/>
          <w:szCs w:val="17"/>
        </w:rPr>
        <w:t>技工学校和成人中专)土建类相关专业毕业生进行技能</w:t>
      </w:r>
      <w:r>
        <w:rPr>
          <w:rFonts w:ascii="宋体" w:hAnsi="宋体" w:eastAsia="宋体" w:cs="宋体"/>
          <w:spacing w:val="12"/>
          <w:sz w:val="17"/>
          <w:szCs w:val="17"/>
        </w:rPr>
        <w:t xml:space="preserve"> </w:t>
      </w:r>
      <w:r>
        <w:rPr>
          <w:rFonts w:ascii="宋体" w:hAnsi="宋体" w:eastAsia="宋体" w:cs="宋体"/>
          <w:spacing w:val="2"/>
          <w:sz w:val="17"/>
          <w:szCs w:val="17"/>
        </w:rPr>
        <w:t>选拔测试，鉴定其是否具备进入高等院校继续学习的专</w:t>
      </w:r>
      <w:r>
        <w:rPr>
          <w:rFonts w:ascii="宋体" w:hAnsi="宋体" w:eastAsia="宋体" w:cs="宋体"/>
          <w:sz w:val="17"/>
          <w:szCs w:val="17"/>
        </w:rPr>
        <w:t xml:space="preserve"> </w:t>
      </w:r>
      <w:r>
        <w:rPr>
          <w:rFonts w:ascii="宋体" w:hAnsi="宋体" w:eastAsia="宋体" w:cs="宋体"/>
          <w:spacing w:val="-5"/>
          <w:sz w:val="17"/>
          <w:szCs w:val="17"/>
        </w:rPr>
        <w:t>业基础技能。</w:t>
      </w:r>
    </w:p>
    <w:p w14:paraId="2FFAF3B8">
      <w:pPr>
        <w:spacing w:before="69" w:line="221" w:lineRule="auto"/>
        <w:ind w:left="58"/>
        <w:rPr>
          <w:rFonts w:ascii="黑体" w:hAnsi="黑体" w:eastAsia="黑体" w:cs="黑体"/>
          <w:sz w:val="22"/>
          <w:szCs w:val="22"/>
        </w:rPr>
      </w:pPr>
      <w:r>
        <w:rPr>
          <w:rFonts w:ascii="黑体" w:hAnsi="黑体" w:eastAsia="黑体" w:cs="黑体"/>
          <w:b/>
          <w:bCs/>
          <w:spacing w:val="3"/>
          <w:sz w:val="22"/>
          <w:szCs w:val="22"/>
        </w:rPr>
        <w:t>二、测试依据</w:t>
      </w:r>
    </w:p>
    <w:p w14:paraId="1A603999">
      <w:pPr>
        <w:spacing w:before="139" w:line="287" w:lineRule="auto"/>
        <w:ind w:left="54" w:right="216" w:firstLine="299"/>
        <w:rPr>
          <w:rFonts w:ascii="宋体" w:hAnsi="宋体" w:eastAsia="宋体" w:cs="宋体"/>
          <w:sz w:val="17"/>
          <w:szCs w:val="17"/>
        </w:rPr>
      </w:pPr>
      <w:r>
        <w:rPr>
          <w:rFonts w:ascii="宋体" w:hAnsi="宋体" w:eastAsia="宋体" w:cs="宋体"/>
          <w:spacing w:val="7"/>
          <w:sz w:val="17"/>
          <w:szCs w:val="17"/>
        </w:rPr>
        <w:t>本纲要测试内容主要依据教育部颁布的《职业教育</w:t>
      </w:r>
      <w:r>
        <w:rPr>
          <w:rFonts w:ascii="宋体" w:hAnsi="宋体" w:eastAsia="宋体" w:cs="宋体"/>
          <w:spacing w:val="9"/>
          <w:sz w:val="17"/>
          <w:szCs w:val="17"/>
        </w:rPr>
        <w:t xml:space="preserve"> </w:t>
      </w:r>
      <w:r>
        <w:rPr>
          <w:rFonts w:ascii="宋体" w:hAnsi="宋体" w:eastAsia="宋体" w:cs="宋体"/>
          <w:spacing w:val="12"/>
          <w:sz w:val="17"/>
          <w:szCs w:val="17"/>
        </w:rPr>
        <w:t>专业简介(2022年修订)》,并参考《测量放线工》、</w:t>
      </w:r>
    </w:p>
    <w:p w14:paraId="15B9DF6C">
      <w:pPr>
        <w:pStyle w:val="2"/>
        <w:spacing w:line="14" w:lineRule="auto"/>
        <w:rPr>
          <w:sz w:val="2"/>
        </w:rPr>
      </w:pPr>
      <w:r>
        <w:rPr>
          <w:sz w:val="2"/>
          <w:szCs w:val="2"/>
        </w:rPr>
        <w:br w:type="column"/>
      </w:r>
    </w:p>
    <w:p w14:paraId="5C0C640D">
      <w:pPr>
        <w:spacing w:before="42" w:line="287" w:lineRule="auto"/>
        <w:ind w:firstLine="24"/>
        <w:jc w:val="both"/>
        <w:rPr>
          <w:rFonts w:ascii="宋体" w:hAnsi="宋体" w:eastAsia="宋体" w:cs="宋体"/>
          <w:sz w:val="17"/>
          <w:szCs w:val="17"/>
        </w:rPr>
      </w:pPr>
      <w:r>
        <w:rPr>
          <w:rFonts w:ascii="宋体" w:hAnsi="宋体" w:eastAsia="宋体" w:cs="宋体"/>
          <w:spacing w:val="21"/>
          <w:sz w:val="17"/>
          <w:szCs w:val="17"/>
        </w:rPr>
        <w:t>《工程测量员》等国家职业标准中级资格应会部分</w:t>
      </w:r>
      <w:r>
        <w:rPr>
          <w:rFonts w:ascii="宋体" w:hAnsi="宋体" w:eastAsia="宋体" w:cs="宋体"/>
          <w:spacing w:val="12"/>
          <w:sz w:val="17"/>
          <w:szCs w:val="17"/>
        </w:rPr>
        <w:t xml:space="preserve"> </w:t>
      </w:r>
      <w:r>
        <w:rPr>
          <w:rFonts w:ascii="宋体" w:hAnsi="宋体" w:eastAsia="宋体" w:cs="宋体"/>
          <w:spacing w:val="5"/>
          <w:sz w:val="17"/>
          <w:szCs w:val="17"/>
        </w:rPr>
        <w:t>编制。教材主要包括：《土木工程测量》、  《建筑施</w:t>
      </w:r>
      <w:r>
        <w:rPr>
          <w:rFonts w:ascii="宋体" w:hAnsi="宋体" w:eastAsia="宋体" w:cs="宋体"/>
          <w:spacing w:val="3"/>
          <w:sz w:val="17"/>
          <w:szCs w:val="17"/>
        </w:rPr>
        <w:t xml:space="preserve"> </w:t>
      </w:r>
      <w:r>
        <w:rPr>
          <w:rFonts w:ascii="宋体" w:hAnsi="宋体" w:eastAsia="宋体" w:cs="宋体"/>
          <w:spacing w:val="12"/>
          <w:sz w:val="17"/>
          <w:szCs w:val="17"/>
        </w:rPr>
        <w:t>工《建筑识图与构造》、工艺》、  《建筑装饰施工</w:t>
      </w:r>
      <w:r>
        <w:rPr>
          <w:rFonts w:ascii="宋体" w:hAnsi="宋体" w:eastAsia="宋体" w:cs="宋体"/>
          <w:spacing w:val="11"/>
          <w:sz w:val="17"/>
          <w:szCs w:val="17"/>
        </w:rPr>
        <w:t xml:space="preserve"> </w:t>
      </w:r>
      <w:r>
        <w:rPr>
          <w:rFonts w:ascii="宋体" w:hAnsi="宋体" w:eastAsia="宋体" w:cs="宋体"/>
          <w:spacing w:val="8"/>
          <w:sz w:val="17"/>
          <w:szCs w:val="17"/>
        </w:rPr>
        <w:t>技术》。</w:t>
      </w:r>
    </w:p>
    <w:p w14:paraId="6381D399">
      <w:pPr>
        <w:spacing w:before="101" w:line="221" w:lineRule="auto"/>
        <w:ind w:left="3"/>
        <w:rPr>
          <w:rFonts w:ascii="黑体" w:hAnsi="黑体" w:eastAsia="黑体" w:cs="黑体"/>
          <w:sz w:val="22"/>
          <w:szCs w:val="22"/>
        </w:rPr>
      </w:pPr>
      <w:r>
        <w:rPr>
          <w:rFonts w:ascii="黑体" w:hAnsi="黑体" w:eastAsia="黑体" w:cs="黑体"/>
          <w:b/>
          <w:bCs/>
          <w:spacing w:val="1"/>
          <w:sz w:val="22"/>
          <w:szCs w:val="22"/>
        </w:rPr>
        <w:t>三、测试方案</w:t>
      </w:r>
    </w:p>
    <w:p w14:paraId="1F6FF7B1">
      <w:pPr>
        <w:spacing w:before="79" w:line="315" w:lineRule="auto"/>
        <w:ind w:right="42" w:firstLine="399"/>
        <w:jc w:val="both"/>
        <w:rPr>
          <w:rFonts w:ascii="宋体" w:hAnsi="宋体" w:eastAsia="宋体" w:cs="宋体"/>
          <w:sz w:val="17"/>
          <w:szCs w:val="17"/>
        </w:rPr>
      </w:pPr>
      <w:r>
        <w:rPr>
          <w:rFonts w:ascii="宋体" w:hAnsi="宋体" w:eastAsia="宋体" w:cs="宋体"/>
          <w:spacing w:val="9"/>
          <w:sz w:val="17"/>
          <w:szCs w:val="17"/>
        </w:rPr>
        <w:t>1.招生院校须从测试项目一至项目五中任选一项</w:t>
      </w:r>
      <w:r>
        <w:rPr>
          <w:rFonts w:ascii="宋体" w:hAnsi="宋体" w:eastAsia="宋体" w:cs="宋体"/>
          <w:spacing w:val="1"/>
          <w:sz w:val="17"/>
          <w:szCs w:val="17"/>
        </w:rPr>
        <w:t xml:space="preserve"> </w:t>
      </w:r>
      <w:r>
        <w:rPr>
          <w:rFonts w:ascii="宋体" w:hAnsi="宋体" w:eastAsia="宋体" w:cs="宋体"/>
          <w:spacing w:val="4"/>
          <w:sz w:val="17"/>
          <w:szCs w:val="17"/>
        </w:rPr>
        <w:t>(分值150分)、项目六至项目十中任选一项(分值100分)</w:t>
      </w:r>
      <w:r>
        <w:rPr>
          <w:rFonts w:ascii="宋体" w:hAnsi="宋体" w:eastAsia="宋体" w:cs="宋体"/>
          <w:sz w:val="17"/>
          <w:szCs w:val="17"/>
        </w:rPr>
        <w:t xml:space="preserve"> </w:t>
      </w:r>
      <w:r>
        <w:rPr>
          <w:rFonts w:ascii="宋体" w:hAnsi="宋体" w:eastAsia="宋体" w:cs="宋体"/>
          <w:spacing w:val="-2"/>
          <w:sz w:val="17"/>
          <w:szCs w:val="17"/>
        </w:rPr>
        <w:t>对考生进行技能测试，每位考生须进行两项技能测试。</w:t>
      </w:r>
    </w:p>
    <w:p w14:paraId="355E7B3D">
      <w:pPr>
        <w:spacing w:before="1" w:line="323" w:lineRule="auto"/>
        <w:ind w:right="71" w:firstLine="389"/>
        <w:rPr>
          <w:rFonts w:ascii="宋体" w:hAnsi="宋体" w:eastAsia="宋体" w:cs="宋体"/>
          <w:sz w:val="17"/>
          <w:szCs w:val="17"/>
        </w:rPr>
      </w:pPr>
      <w:r>
        <w:rPr>
          <w:rFonts w:ascii="宋体" w:hAnsi="宋体" w:eastAsia="宋体" w:cs="宋体"/>
          <w:spacing w:val="9"/>
          <w:sz w:val="17"/>
          <w:szCs w:val="17"/>
        </w:rPr>
        <w:t xml:space="preserve">2.专业技能测试总时间应视具体考试项目情况而 </w:t>
      </w:r>
      <w:r>
        <w:rPr>
          <w:rFonts w:ascii="宋体" w:hAnsi="宋体" w:eastAsia="宋体" w:cs="宋体"/>
          <w:spacing w:val="3"/>
          <w:sz w:val="17"/>
          <w:szCs w:val="17"/>
        </w:rPr>
        <w:t>定，专业技能测试满分250分。</w:t>
      </w:r>
    </w:p>
    <w:p w14:paraId="37A8345F">
      <w:pPr>
        <w:spacing w:before="72" w:line="187" w:lineRule="auto"/>
        <w:ind w:left="3"/>
        <w:rPr>
          <w:rFonts w:ascii="黑体" w:hAnsi="黑体" w:eastAsia="黑体" w:cs="黑体"/>
          <w:sz w:val="22"/>
          <w:szCs w:val="22"/>
        </w:rPr>
      </w:pPr>
      <w:r>
        <w:rPr>
          <w:rFonts w:ascii="黑体" w:hAnsi="黑体" w:eastAsia="黑体" w:cs="黑体"/>
          <w:b/>
          <w:bCs/>
          <w:spacing w:val="2"/>
          <w:sz w:val="22"/>
          <w:szCs w:val="22"/>
        </w:rPr>
        <w:t>四、测试项目</w:t>
      </w:r>
    </w:p>
    <w:p w14:paraId="0BF28715">
      <w:pPr>
        <w:spacing w:line="187" w:lineRule="auto"/>
        <w:rPr>
          <w:rFonts w:ascii="黑体" w:hAnsi="黑体" w:eastAsia="黑体" w:cs="黑体"/>
          <w:sz w:val="22"/>
          <w:szCs w:val="22"/>
        </w:rPr>
        <w:sectPr>
          <w:type w:val="continuous"/>
          <w:pgSz w:w="10660" w:h="15080"/>
          <w:pgMar w:top="400" w:right="859" w:bottom="898" w:left="984" w:header="0" w:footer="745" w:gutter="0"/>
          <w:cols w:equalWidth="0" w:num="2">
            <w:col w:w="4476" w:space="100"/>
            <w:col w:w="4241"/>
          </w:cols>
        </w:sectPr>
      </w:pPr>
    </w:p>
    <w:p w14:paraId="1C8907CA">
      <w:pPr>
        <w:spacing w:line="228" w:lineRule="exact"/>
      </w:pPr>
    </w:p>
    <w:tbl>
      <w:tblPr>
        <w:tblStyle w:val="5"/>
        <w:tblW w:w="87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54"/>
        <w:gridCol w:w="789"/>
        <w:gridCol w:w="1029"/>
        <w:gridCol w:w="1848"/>
        <w:gridCol w:w="2197"/>
        <w:gridCol w:w="1902"/>
      </w:tblGrid>
      <w:tr w14:paraId="7A65B5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39" w:hRule="atLeast"/>
        </w:trPr>
        <w:tc>
          <w:tcPr>
            <w:tcW w:w="954" w:type="dxa"/>
            <w:tcBorders>
              <w:top w:val="single" w:color="000000" w:sz="2" w:space="0"/>
              <w:bottom w:val="single" w:color="000000" w:sz="2" w:space="0"/>
            </w:tcBorders>
            <w:vAlign w:val="top"/>
          </w:tcPr>
          <w:p w14:paraId="04849B81">
            <w:pPr>
              <w:pStyle w:val="6"/>
              <w:spacing w:before="135" w:line="220" w:lineRule="auto"/>
              <w:ind w:left="107"/>
              <w:rPr>
                <w:sz w:val="18"/>
                <w:szCs w:val="18"/>
              </w:rPr>
            </w:pPr>
            <w:r>
              <w:rPr>
                <w:b/>
                <w:bCs/>
                <w:spacing w:val="5"/>
                <w:sz w:val="18"/>
                <w:szCs w:val="18"/>
              </w:rPr>
              <w:t>测试项目</w:t>
            </w:r>
          </w:p>
        </w:tc>
        <w:tc>
          <w:tcPr>
            <w:tcW w:w="789" w:type="dxa"/>
            <w:tcBorders>
              <w:top w:val="single" w:color="000000" w:sz="2" w:space="0"/>
              <w:bottom w:val="single" w:color="000000" w:sz="2" w:space="0"/>
            </w:tcBorders>
            <w:vAlign w:val="top"/>
          </w:tcPr>
          <w:p w14:paraId="273382B8">
            <w:pPr>
              <w:pStyle w:val="6"/>
              <w:spacing w:before="35" w:line="202" w:lineRule="auto"/>
              <w:ind w:left="253" w:right="173" w:hanging="20"/>
              <w:rPr>
                <w:sz w:val="18"/>
                <w:szCs w:val="18"/>
              </w:rPr>
            </w:pPr>
            <w:r>
              <w:rPr>
                <w:b/>
                <w:bCs/>
                <w:spacing w:val="-6"/>
                <w:sz w:val="18"/>
                <w:szCs w:val="18"/>
              </w:rPr>
              <w:t>测试</w:t>
            </w:r>
            <w:r>
              <w:rPr>
                <w:sz w:val="18"/>
                <w:szCs w:val="18"/>
              </w:rPr>
              <w:t xml:space="preserve"> </w:t>
            </w:r>
            <w:r>
              <w:rPr>
                <w:b/>
                <w:bCs/>
                <w:spacing w:val="-7"/>
                <w:sz w:val="18"/>
                <w:szCs w:val="18"/>
              </w:rPr>
              <w:t>用具</w:t>
            </w:r>
          </w:p>
        </w:tc>
        <w:tc>
          <w:tcPr>
            <w:tcW w:w="1029" w:type="dxa"/>
            <w:tcBorders>
              <w:top w:val="single" w:color="000000" w:sz="2" w:space="0"/>
              <w:bottom w:val="single" w:color="000000" w:sz="2" w:space="0"/>
            </w:tcBorders>
            <w:vAlign w:val="top"/>
          </w:tcPr>
          <w:p w14:paraId="21C77841">
            <w:pPr>
              <w:pStyle w:val="6"/>
              <w:spacing w:before="16" w:line="201" w:lineRule="auto"/>
              <w:ind w:left="344" w:right="310" w:hanging="20"/>
              <w:rPr>
                <w:sz w:val="18"/>
                <w:szCs w:val="18"/>
              </w:rPr>
            </w:pPr>
            <w:r>
              <w:rPr>
                <w:b/>
                <w:bCs/>
                <w:spacing w:val="-6"/>
                <w:sz w:val="18"/>
                <w:szCs w:val="18"/>
              </w:rPr>
              <w:t>测试</w:t>
            </w:r>
            <w:r>
              <w:rPr>
                <w:sz w:val="18"/>
                <w:szCs w:val="18"/>
              </w:rPr>
              <w:t xml:space="preserve"> </w:t>
            </w:r>
            <w:r>
              <w:rPr>
                <w:b/>
                <w:bCs/>
                <w:sz w:val="18"/>
                <w:szCs w:val="18"/>
              </w:rPr>
              <w:t>内容</w:t>
            </w:r>
          </w:p>
        </w:tc>
        <w:tc>
          <w:tcPr>
            <w:tcW w:w="1848" w:type="dxa"/>
            <w:tcBorders>
              <w:top w:val="single" w:color="000000" w:sz="2" w:space="0"/>
              <w:bottom w:val="single" w:color="000000" w:sz="2" w:space="0"/>
            </w:tcBorders>
            <w:vAlign w:val="top"/>
          </w:tcPr>
          <w:p w14:paraId="13DDF329">
            <w:pPr>
              <w:pStyle w:val="6"/>
              <w:spacing w:before="135" w:line="221" w:lineRule="auto"/>
              <w:ind w:left="555"/>
              <w:rPr>
                <w:sz w:val="18"/>
                <w:szCs w:val="18"/>
              </w:rPr>
            </w:pPr>
            <w:r>
              <w:rPr>
                <w:b/>
                <w:bCs/>
                <w:spacing w:val="-4"/>
                <w:sz w:val="18"/>
                <w:szCs w:val="18"/>
              </w:rPr>
              <w:t>测试方法</w:t>
            </w:r>
          </w:p>
        </w:tc>
        <w:tc>
          <w:tcPr>
            <w:tcW w:w="2197" w:type="dxa"/>
            <w:tcBorders>
              <w:top w:val="single" w:color="000000" w:sz="2" w:space="0"/>
              <w:bottom w:val="single" w:color="000000" w:sz="2" w:space="0"/>
            </w:tcBorders>
            <w:vAlign w:val="top"/>
          </w:tcPr>
          <w:p w14:paraId="3406133A">
            <w:pPr>
              <w:pStyle w:val="6"/>
              <w:spacing w:before="135" w:line="221" w:lineRule="auto"/>
              <w:ind w:left="767"/>
              <w:rPr>
                <w:sz w:val="18"/>
                <w:szCs w:val="18"/>
              </w:rPr>
            </w:pPr>
            <w:r>
              <w:rPr>
                <w:b/>
                <w:bCs/>
                <w:spacing w:val="-4"/>
                <w:sz w:val="18"/>
                <w:szCs w:val="18"/>
              </w:rPr>
              <w:t>测试要求</w:t>
            </w:r>
          </w:p>
        </w:tc>
        <w:tc>
          <w:tcPr>
            <w:tcW w:w="1902" w:type="dxa"/>
            <w:tcBorders>
              <w:top w:val="single" w:color="000000" w:sz="2" w:space="0"/>
              <w:bottom w:val="single" w:color="000000" w:sz="2" w:space="0"/>
            </w:tcBorders>
            <w:vAlign w:val="top"/>
          </w:tcPr>
          <w:p w14:paraId="7CAF4915">
            <w:pPr>
              <w:pStyle w:val="6"/>
              <w:spacing w:before="134" w:line="219" w:lineRule="auto"/>
              <w:ind w:left="620"/>
              <w:rPr>
                <w:sz w:val="18"/>
                <w:szCs w:val="18"/>
              </w:rPr>
            </w:pPr>
            <w:r>
              <w:rPr>
                <w:b/>
                <w:bCs/>
                <w:spacing w:val="-4"/>
                <w:sz w:val="18"/>
                <w:szCs w:val="18"/>
              </w:rPr>
              <w:t>赋分参考</w:t>
            </w:r>
          </w:p>
        </w:tc>
      </w:tr>
      <w:tr w14:paraId="78001E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44" w:hRule="atLeast"/>
        </w:trPr>
        <w:tc>
          <w:tcPr>
            <w:tcW w:w="954" w:type="dxa"/>
            <w:tcBorders>
              <w:top w:val="single" w:color="000000" w:sz="2" w:space="0"/>
              <w:bottom w:val="single" w:color="000000" w:sz="2" w:space="0"/>
            </w:tcBorders>
            <w:vAlign w:val="top"/>
          </w:tcPr>
          <w:p w14:paraId="59C33100">
            <w:pPr>
              <w:spacing w:line="291" w:lineRule="auto"/>
              <w:rPr>
                <w:rFonts w:ascii="Arial"/>
                <w:sz w:val="21"/>
              </w:rPr>
            </w:pPr>
          </w:p>
          <w:p w14:paraId="313BFC31">
            <w:pPr>
              <w:spacing w:line="291" w:lineRule="auto"/>
              <w:rPr>
                <w:rFonts w:ascii="Arial"/>
                <w:sz w:val="21"/>
              </w:rPr>
            </w:pPr>
          </w:p>
          <w:p w14:paraId="4742448D">
            <w:pPr>
              <w:spacing w:line="291" w:lineRule="auto"/>
              <w:rPr>
                <w:rFonts w:ascii="Arial"/>
                <w:sz w:val="21"/>
              </w:rPr>
            </w:pPr>
          </w:p>
          <w:p w14:paraId="697A5ED2">
            <w:pPr>
              <w:spacing w:line="292" w:lineRule="auto"/>
              <w:rPr>
                <w:rFonts w:ascii="Arial"/>
                <w:sz w:val="21"/>
              </w:rPr>
            </w:pPr>
          </w:p>
          <w:p w14:paraId="09DBE27F">
            <w:pPr>
              <w:pStyle w:val="6"/>
              <w:spacing w:before="58" w:line="220" w:lineRule="auto"/>
              <w:ind w:left="197"/>
              <w:rPr>
                <w:sz w:val="18"/>
                <w:szCs w:val="18"/>
              </w:rPr>
            </w:pPr>
            <w:r>
              <w:rPr>
                <w:b/>
                <w:bCs/>
                <w:spacing w:val="-2"/>
                <w:sz w:val="18"/>
                <w:szCs w:val="18"/>
              </w:rPr>
              <w:t>项目一</w:t>
            </w:r>
          </w:p>
          <w:p w14:paraId="23877D2D">
            <w:pPr>
              <w:pStyle w:val="6"/>
              <w:spacing w:before="14" w:line="195" w:lineRule="auto"/>
              <w:ind w:left="107"/>
              <w:rPr>
                <w:sz w:val="18"/>
                <w:szCs w:val="18"/>
              </w:rPr>
            </w:pPr>
            <w:r>
              <w:rPr>
                <w:b/>
                <w:bCs/>
                <w:spacing w:val="-4"/>
                <w:sz w:val="18"/>
                <w:szCs w:val="18"/>
              </w:rPr>
              <w:t>角度测量</w:t>
            </w:r>
          </w:p>
          <w:p w14:paraId="4EF5C95B">
            <w:pPr>
              <w:pStyle w:val="6"/>
              <w:spacing w:line="219" w:lineRule="auto"/>
              <w:ind w:left="157"/>
              <w:rPr>
                <w:sz w:val="18"/>
                <w:szCs w:val="18"/>
              </w:rPr>
            </w:pPr>
            <w:r>
              <w:rPr>
                <w:b/>
                <w:bCs/>
                <w:spacing w:val="-1"/>
                <w:sz w:val="18"/>
                <w:szCs w:val="18"/>
              </w:rPr>
              <w:t>(分值为</w:t>
            </w:r>
          </w:p>
          <w:p w14:paraId="7373D958">
            <w:pPr>
              <w:pStyle w:val="6"/>
              <w:spacing w:before="6" w:line="220" w:lineRule="auto"/>
              <w:ind w:left="197"/>
              <w:rPr>
                <w:sz w:val="18"/>
                <w:szCs w:val="18"/>
              </w:rPr>
            </w:pPr>
            <w:r>
              <w:rPr>
                <w:b/>
                <w:bCs/>
                <w:spacing w:val="4"/>
                <w:sz w:val="18"/>
                <w:szCs w:val="18"/>
              </w:rPr>
              <w:t>150分)</w:t>
            </w:r>
          </w:p>
        </w:tc>
        <w:tc>
          <w:tcPr>
            <w:tcW w:w="789" w:type="dxa"/>
            <w:tcBorders>
              <w:top w:val="single" w:color="000000" w:sz="2" w:space="0"/>
              <w:bottom w:val="single" w:color="000000" w:sz="2" w:space="0"/>
            </w:tcBorders>
            <w:vAlign w:val="top"/>
          </w:tcPr>
          <w:p w14:paraId="1080E3E6">
            <w:pPr>
              <w:spacing w:line="252" w:lineRule="auto"/>
              <w:rPr>
                <w:rFonts w:ascii="Arial"/>
                <w:sz w:val="21"/>
              </w:rPr>
            </w:pPr>
          </w:p>
          <w:p w14:paraId="4B794D4A">
            <w:pPr>
              <w:spacing w:line="252" w:lineRule="auto"/>
              <w:rPr>
                <w:rFonts w:ascii="Arial"/>
                <w:sz w:val="21"/>
              </w:rPr>
            </w:pPr>
          </w:p>
          <w:p w14:paraId="7015CFA2">
            <w:pPr>
              <w:spacing w:line="253" w:lineRule="auto"/>
              <w:rPr>
                <w:rFonts w:ascii="Arial"/>
                <w:sz w:val="21"/>
              </w:rPr>
            </w:pPr>
          </w:p>
          <w:p w14:paraId="5499A790">
            <w:pPr>
              <w:spacing w:line="253" w:lineRule="auto"/>
              <w:rPr>
                <w:rFonts w:ascii="Arial"/>
                <w:sz w:val="21"/>
              </w:rPr>
            </w:pPr>
          </w:p>
          <w:p w14:paraId="6DAF9C9F">
            <w:pPr>
              <w:spacing w:line="253" w:lineRule="auto"/>
              <w:rPr>
                <w:rFonts w:ascii="Arial"/>
                <w:sz w:val="21"/>
              </w:rPr>
            </w:pPr>
          </w:p>
          <w:p w14:paraId="53975A1C">
            <w:pPr>
              <w:pStyle w:val="6"/>
              <w:spacing w:before="58" w:line="230" w:lineRule="auto"/>
              <w:ind w:left="13"/>
              <w:jc w:val="both"/>
              <w:rPr>
                <w:sz w:val="18"/>
                <w:szCs w:val="18"/>
              </w:rPr>
            </w:pPr>
            <w:r>
              <w:rPr>
                <w:b/>
                <w:bCs/>
                <w:spacing w:val="9"/>
                <w:sz w:val="18"/>
                <w:szCs w:val="18"/>
              </w:rPr>
              <w:t>经纬仪、</w:t>
            </w:r>
            <w:r>
              <w:rPr>
                <w:sz w:val="18"/>
                <w:szCs w:val="18"/>
              </w:rPr>
              <w:t xml:space="preserve"> </w:t>
            </w:r>
            <w:r>
              <w:rPr>
                <w:b/>
                <w:bCs/>
                <w:spacing w:val="9"/>
                <w:sz w:val="18"/>
                <w:szCs w:val="18"/>
              </w:rPr>
              <w:t>记录板、</w:t>
            </w:r>
            <w:r>
              <w:rPr>
                <w:sz w:val="18"/>
                <w:szCs w:val="18"/>
              </w:rPr>
              <w:t xml:space="preserve"> </w:t>
            </w:r>
            <w:r>
              <w:rPr>
                <w:b/>
                <w:bCs/>
                <w:spacing w:val="-8"/>
                <w:sz w:val="18"/>
                <w:szCs w:val="18"/>
              </w:rPr>
              <w:t>铅笔</w:t>
            </w:r>
          </w:p>
        </w:tc>
        <w:tc>
          <w:tcPr>
            <w:tcW w:w="1029" w:type="dxa"/>
            <w:tcBorders>
              <w:top w:val="single" w:color="000000" w:sz="2" w:space="0"/>
              <w:bottom w:val="single" w:color="000000" w:sz="2" w:space="0"/>
            </w:tcBorders>
            <w:vAlign w:val="top"/>
          </w:tcPr>
          <w:p w14:paraId="6E0AA3D4">
            <w:pPr>
              <w:spacing w:line="286" w:lineRule="auto"/>
              <w:rPr>
                <w:rFonts w:ascii="Arial"/>
                <w:sz w:val="21"/>
              </w:rPr>
            </w:pPr>
          </w:p>
          <w:p w14:paraId="75F8F96D">
            <w:pPr>
              <w:spacing w:line="286" w:lineRule="auto"/>
              <w:rPr>
                <w:rFonts w:ascii="Arial"/>
                <w:sz w:val="21"/>
              </w:rPr>
            </w:pPr>
          </w:p>
          <w:p w14:paraId="36DDA6C1">
            <w:pPr>
              <w:spacing w:line="286" w:lineRule="auto"/>
              <w:rPr>
                <w:rFonts w:ascii="Arial"/>
                <w:sz w:val="21"/>
              </w:rPr>
            </w:pPr>
          </w:p>
          <w:p w14:paraId="087F774A">
            <w:pPr>
              <w:spacing w:line="287" w:lineRule="auto"/>
              <w:rPr>
                <w:rFonts w:ascii="Arial"/>
                <w:sz w:val="21"/>
              </w:rPr>
            </w:pPr>
          </w:p>
          <w:p w14:paraId="1FB712DD">
            <w:pPr>
              <w:pStyle w:val="6"/>
              <w:spacing w:before="58" w:line="241" w:lineRule="auto"/>
              <w:ind w:left="14" w:right="31" w:firstLine="10"/>
              <w:rPr>
                <w:sz w:val="18"/>
                <w:szCs w:val="18"/>
              </w:rPr>
            </w:pPr>
            <w:r>
              <w:rPr>
                <w:b/>
                <w:bCs/>
                <w:spacing w:val="-15"/>
                <w:sz w:val="18"/>
                <w:szCs w:val="18"/>
              </w:rPr>
              <w:t>1</w:t>
            </w:r>
            <w:r>
              <w:rPr>
                <w:spacing w:val="-27"/>
                <w:sz w:val="18"/>
                <w:szCs w:val="18"/>
              </w:rPr>
              <w:t xml:space="preserve"> </w:t>
            </w:r>
            <w:r>
              <w:rPr>
                <w:b/>
                <w:bCs/>
                <w:spacing w:val="-15"/>
                <w:sz w:val="18"/>
                <w:szCs w:val="18"/>
              </w:rPr>
              <w:t>、</w:t>
            </w:r>
            <w:r>
              <w:rPr>
                <w:spacing w:val="-38"/>
                <w:sz w:val="18"/>
                <w:szCs w:val="18"/>
              </w:rPr>
              <w:t xml:space="preserve"> </w:t>
            </w:r>
            <w:r>
              <w:rPr>
                <w:b/>
                <w:bCs/>
                <w:spacing w:val="-15"/>
                <w:sz w:val="18"/>
                <w:szCs w:val="18"/>
              </w:rPr>
              <w:t>经</w:t>
            </w:r>
            <w:r>
              <w:rPr>
                <w:spacing w:val="-39"/>
                <w:sz w:val="18"/>
                <w:szCs w:val="18"/>
              </w:rPr>
              <w:t xml:space="preserve"> </w:t>
            </w:r>
            <w:r>
              <w:rPr>
                <w:b/>
                <w:bCs/>
                <w:spacing w:val="-15"/>
                <w:sz w:val="18"/>
                <w:szCs w:val="18"/>
              </w:rPr>
              <w:t>纬</w:t>
            </w:r>
            <w:r>
              <w:rPr>
                <w:spacing w:val="-39"/>
                <w:sz w:val="18"/>
                <w:szCs w:val="18"/>
              </w:rPr>
              <w:t xml:space="preserve"> </w:t>
            </w:r>
            <w:r>
              <w:rPr>
                <w:b/>
                <w:bCs/>
                <w:spacing w:val="-15"/>
                <w:sz w:val="18"/>
                <w:szCs w:val="18"/>
              </w:rPr>
              <w:t>仪</w:t>
            </w:r>
            <w:r>
              <w:rPr>
                <w:sz w:val="18"/>
                <w:szCs w:val="18"/>
              </w:rPr>
              <w:t xml:space="preserve"> </w:t>
            </w:r>
            <w:r>
              <w:rPr>
                <w:b/>
                <w:bCs/>
                <w:spacing w:val="-8"/>
                <w:sz w:val="18"/>
                <w:szCs w:val="18"/>
              </w:rPr>
              <w:t>使</w:t>
            </w:r>
            <w:r>
              <w:rPr>
                <w:spacing w:val="-14"/>
                <w:sz w:val="18"/>
                <w:szCs w:val="18"/>
              </w:rPr>
              <w:t xml:space="preserve"> </w:t>
            </w:r>
            <w:r>
              <w:rPr>
                <w:b/>
                <w:bCs/>
                <w:spacing w:val="-8"/>
                <w:sz w:val="18"/>
                <w:szCs w:val="18"/>
              </w:rPr>
              <w:t>用</w:t>
            </w:r>
            <w:r>
              <w:rPr>
                <w:spacing w:val="-22"/>
                <w:sz w:val="18"/>
                <w:szCs w:val="18"/>
              </w:rPr>
              <w:t xml:space="preserve"> </w:t>
            </w:r>
            <w:r>
              <w:rPr>
                <w:b/>
                <w:bCs/>
                <w:spacing w:val="-8"/>
                <w:sz w:val="18"/>
                <w:szCs w:val="18"/>
              </w:rPr>
              <w:t>；</w:t>
            </w:r>
          </w:p>
          <w:p w14:paraId="760DF009">
            <w:pPr>
              <w:pStyle w:val="6"/>
              <w:spacing w:line="211" w:lineRule="auto"/>
              <w:ind w:left="14"/>
              <w:rPr>
                <w:sz w:val="18"/>
                <w:szCs w:val="18"/>
              </w:rPr>
            </w:pPr>
            <w:r>
              <w:rPr>
                <w:b/>
                <w:bCs/>
                <w:spacing w:val="-15"/>
                <w:sz w:val="18"/>
                <w:szCs w:val="18"/>
              </w:rPr>
              <w:t>2、测回法观</w:t>
            </w:r>
            <w:r>
              <w:rPr>
                <w:spacing w:val="2"/>
                <w:sz w:val="18"/>
                <w:szCs w:val="18"/>
              </w:rPr>
              <w:t xml:space="preserve">  </w:t>
            </w:r>
            <w:r>
              <w:rPr>
                <w:b/>
                <w:bCs/>
                <w:spacing w:val="-15"/>
                <w:sz w:val="18"/>
                <w:szCs w:val="18"/>
              </w:rPr>
              <w:t>测水平夹角。</w:t>
            </w:r>
          </w:p>
        </w:tc>
        <w:tc>
          <w:tcPr>
            <w:tcW w:w="1848" w:type="dxa"/>
            <w:tcBorders>
              <w:top w:val="single" w:color="000000" w:sz="2" w:space="0"/>
              <w:bottom w:val="single" w:color="000000" w:sz="2" w:space="0"/>
            </w:tcBorders>
            <w:vAlign w:val="top"/>
          </w:tcPr>
          <w:p w14:paraId="498B2A5A">
            <w:pPr>
              <w:spacing w:line="242" w:lineRule="auto"/>
              <w:rPr>
                <w:rFonts w:ascii="Arial"/>
                <w:sz w:val="21"/>
              </w:rPr>
            </w:pPr>
          </w:p>
          <w:p w14:paraId="66FC310B">
            <w:pPr>
              <w:spacing w:line="242" w:lineRule="auto"/>
              <w:rPr>
                <w:rFonts w:ascii="Arial"/>
                <w:sz w:val="21"/>
              </w:rPr>
            </w:pPr>
          </w:p>
          <w:p w14:paraId="69949FAA">
            <w:pPr>
              <w:spacing w:line="243" w:lineRule="auto"/>
              <w:rPr>
                <w:rFonts w:ascii="Arial"/>
                <w:sz w:val="21"/>
              </w:rPr>
            </w:pPr>
          </w:p>
          <w:p w14:paraId="42B41A20">
            <w:pPr>
              <w:pStyle w:val="6"/>
              <w:spacing w:before="58" w:line="215" w:lineRule="auto"/>
              <w:ind w:left="15" w:right="30"/>
              <w:rPr>
                <w:sz w:val="18"/>
                <w:szCs w:val="18"/>
              </w:rPr>
            </w:pPr>
            <w:r>
              <w:rPr>
                <w:b/>
                <w:bCs/>
                <w:spacing w:val="-3"/>
                <w:sz w:val="18"/>
                <w:szCs w:val="18"/>
              </w:rPr>
              <w:t>测试教师现场指定测站</w:t>
            </w:r>
            <w:r>
              <w:rPr>
                <w:spacing w:val="2"/>
                <w:sz w:val="18"/>
                <w:szCs w:val="18"/>
              </w:rPr>
              <w:t xml:space="preserve"> </w:t>
            </w:r>
            <w:r>
              <w:rPr>
                <w:b/>
                <w:bCs/>
                <w:spacing w:val="-3"/>
                <w:sz w:val="18"/>
                <w:szCs w:val="18"/>
              </w:rPr>
              <w:t>O点及目标A点、B点，</w:t>
            </w:r>
          </w:p>
          <w:p w14:paraId="187708CE">
            <w:pPr>
              <w:pStyle w:val="6"/>
              <w:spacing w:before="1" w:line="225" w:lineRule="auto"/>
              <w:ind w:left="15" w:right="119" w:firstLine="89"/>
              <w:rPr>
                <w:sz w:val="18"/>
                <w:szCs w:val="18"/>
              </w:rPr>
            </w:pPr>
            <w:r>
              <w:rPr>
                <w:b/>
                <w:bCs/>
                <w:spacing w:val="-3"/>
                <w:sz w:val="18"/>
                <w:szCs w:val="18"/>
              </w:rPr>
              <w:t>考生正确使用提供的</w:t>
            </w:r>
            <w:r>
              <w:rPr>
                <w:spacing w:val="1"/>
                <w:sz w:val="18"/>
                <w:szCs w:val="18"/>
              </w:rPr>
              <w:t xml:space="preserve"> </w:t>
            </w:r>
            <w:r>
              <w:rPr>
                <w:b/>
                <w:bCs/>
                <w:spacing w:val="-3"/>
                <w:sz w:val="18"/>
                <w:szCs w:val="18"/>
              </w:rPr>
              <w:t>经纬仪开展∠AOB测</w:t>
            </w:r>
          </w:p>
          <w:p w14:paraId="2B021348">
            <w:pPr>
              <w:pStyle w:val="6"/>
              <w:spacing w:line="229" w:lineRule="auto"/>
              <w:ind w:left="15" w:right="209"/>
              <w:rPr>
                <w:sz w:val="18"/>
                <w:szCs w:val="18"/>
              </w:rPr>
            </w:pPr>
            <w:r>
              <w:rPr>
                <w:b/>
                <w:bCs/>
                <w:spacing w:val="-3"/>
                <w:sz w:val="18"/>
                <w:szCs w:val="18"/>
              </w:rPr>
              <w:t>量，独立完成仪器架</w:t>
            </w:r>
            <w:r>
              <w:rPr>
                <w:spacing w:val="1"/>
                <w:sz w:val="18"/>
                <w:szCs w:val="18"/>
              </w:rPr>
              <w:t xml:space="preserve"> </w:t>
            </w:r>
            <w:r>
              <w:rPr>
                <w:b/>
                <w:bCs/>
                <w:spacing w:val="-3"/>
                <w:sz w:val="18"/>
                <w:szCs w:val="18"/>
              </w:rPr>
              <w:t>站、读数、填写测量</w:t>
            </w:r>
            <w:r>
              <w:rPr>
                <w:spacing w:val="1"/>
                <w:sz w:val="18"/>
                <w:szCs w:val="18"/>
              </w:rPr>
              <w:t xml:space="preserve"> </w:t>
            </w:r>
            <w:r>
              <w:rPr>
                <w:b/>
                <w:bCs/>
                <w:spacing w:val="-1"/>
                <w:sz w:val="18"/>
                <w:szCs w:val="18"/>
              </w:rPr>
              <w:t>报告、计算∠AOB角</w:t>
            </w:r>
            <w:r>
              <w:rPr>
                <w:spacing w:val="7"/>
                <w:sz w:val="18"/>
                <w:szCs w:val="18"/>
              </w:rPr>
              <w:t xml:space="preserve"> </w:t>
            </w:r>
            <w:r>
              <w:rPr>
                <w:b/>
                <w:bCs/>
                <w:spacing w:val="-3"/>
                <w:sz w:val="18"/>
                <w:szCs w:val="18"/>
              </w:rPr>
              <w:t>度等测量作业。</w:t>
            </w:r>
          </w:p>
        </w:tc>
        <w:tc>
          <w:tcPr>
            <w:tcW w:w="2197" w:type="dxa"/>
            <w:tcBorders>
              <w:top w:val="single" w:color="000000" w:sz="2" w:space="0"/>
              <w:bottom w:val="single" w:color="000000" w:sz="2" w:space="0"/>
            </w:tcBorders>
            <w:vAlign w:val="top"/>
          </w:tcPr>
          <w:p w14:paraId="40AB2AAB">
            <w:pPr>
              <w:spacing w:line="308" w:lineRule="auto"/>
              <w:rPr>
                <w:rFonts w:ascii="Arial"/>
                <w:sz w:val="21"/>
              </w:rPr>
            </w:pPr>
          </w:p>
          <w:p w14:paraId="401F3855">
            <w:pPr>
              <w:spacing w:line="308" w:lineRule="auto"/>
              <w:rPr>
                <w:rFonts w:ascii="Arial"/>
                <w:sz w:val="21"/>
              </w:rPr>
            </w:pPr>
          </w:p>
          <w:p w14:paraId="3F954E26">
            <w:pPr>
              <w:pStyle w:val="6"/>
              <w:spacing w:before="58" w:line="218" w:lineRule="auto"/>
              <w:ind w:left="17" w:right="86" w:firstLine="10"/>
              <w:rPr>
                <w:sz w:val="18"/>
                <w:szCs w:val="18"/>
              </w:rPr>
            </w:pPr>
            <w:r>
              <w:rPr>
                <w:b/>
                <w:bCs/>
                <w:spacing w:val="-2"/>
                <w:sz w:val="18"/>
                <w:szCs w:val="18"/>
              </w:rPr>
              <w:t>1、掌握工程角度测量的任</w:t>
            </w:r>
            <w:r>
              <w:rPr>
                <w:spacing w:val="2"/>
                <w:sz w:val="18"/>
                <w:szCs w:val="18"/>
              </w:rPr>
              <w:t xml:space="preserve"> </w:t>
            </w:r>
            <w:r>
              <w:rPr>
                <w:b/>
                <w:bCs/>
                <w:spacing w:val="15"/>
                <w:sz w:val="18"/>
                <w:szCs w:val="18"/>
              </w:rPr>
              <w:t>务、作用；</w:t>
            </w:r>
          </w:p>
          <w:p w14:paraId="2B404C3F">
            <w:pPr>
              <w:pStyle w:val="6"/>
              <w:spacing w:before="6" w:line="223" w:lineRule="auto"/>
              <w:ind w:left="17" w:right="108"/>
              <w:rPr>
                <w:sz w:val="18"/>
                <w:szCs w:val="18"/>
              </w:rPr>
            </w:pPr>
            <w:r>
              <w:rPr>
                <w:b/>
                <w:bCs/>
                <w:spacing w:val="-3"/>
                <w:sz w:val="18"/>
                <w:szCs w:val="18"/>
              </w:rPr>
              <w:t>2、掌握角度测量的基本工</w:t>
            </w:r>
            <w:r>
              <w:rPr>
                <w:spacing w:val="3"/>
                <w:sz w:val="18"/>
                <w:szCs w:val="18"/>
              </w:rPr>
              <w:t xml:space="preserve"> </w:t>
            </w:r>
            <w:r>
              <w:rPr>
                <w:b/>
                <w:bCs/>
                <w:spacing w:val="-6"/>
                <w:sz w:val="18"/>
                <w:szCs w:val="18"/>
              </w:rPr>
              <w:t>作</w:t>
            </w:r>
            <w:r>
              <w:rPr>
                <w:spacing w:val="44"/>
                <w:sz w:val="18"/>
                <w:szCs w:val="18"/>
              </w:rPr>
              <w:t xml:space="preserve"> </w:t>
            </w:r>
            <w:r>
              <w:rPr>
                <w:b/>
                <w:bCs/>
                <w:spacing w:val="-6"/>
                <w:sz w:val="18"/>
                <w:szCs w:val="18"/>
              </w:rPr>
              <w:t>；</w:t>
            </w:r>
          </w:p>
          <w:p w14:paraId="532C925E">
            <w:pPr>
              <w:pStyle w:val="6"/>
              <w:spacing w:before="3" w:line="226" w:lineRule="auto"/>
              <w:ind w:left="17" w:right="110"/>
              <w:rPr>
                <w:sz w:val="18"/>
                <w:szCs w:val="18"/>
              </w:rPr>
            </w:pPr>
            <w:r>
              <w:rPr>
                <w:b/>
                <w:bCs/>
                <w:spacing w:val="-3"/>
                <w:sz w:val="18"/>
                <w:szCs w:val="18"/>
              </w:rPr>
              <w:t>3、熟练掌握经纬仪的规范</w:t>
            </w:r>
            <w:r>
              <w:rPr>
                <w:spacing w:val="1"/>
                <w:sz w:val="18"/>
                <w:szCs w:val="18"/>
              </w:rPr>
              <w:t xml:space="preserve"> </w:t>
            </w:r>
            <w:r>
              <w:rPr>
                <w:b/>
                <w:bCs/>
                <w:spacing w:val="15"/>
                <w:sz w:val="18"/>
                <w:szCs w:val="18"/>
              </w:rPr>
              <w:t>使用知识；</w:t>
            </w:r>
          </w:p>
          <w:p w14:paraId="61D6A9C7">
            <w:pPr>
              <w:pStyle w:val="6"/>
              <w:spacing w:before="1" w:line="221" w:lineRule="auto"/>
              <w:ind w:left="17" w:right="84"/>
              <w:rPr>
                <w:sz w:val="18"/>
                <w:szCs w:val="18"/>
              </w:rPr>
            </w:pPr>
            <w:r>
              <w:rPr>
                <w:b/>
                <w:bCs/>
                <w:spacing w:val="-1"/>
                <w:sz w:val="18"/>
                <w:szCs w:val="18"/>
              </w:rPr>
              <w:t>4、具备经纬仪架设及测回</w:t>
            </w:r>
            <w:r>
              <w:rPr>
                <w:spacing w:val="2"/>
                <w:sz w:val="18"/>
                <w:szCs w:val="18"/>
              </w:rPr>
              <w:t xml:space="preserve"> </w:t>
            </w:r>
            <w:r>
              <w:rPr>
                <w:b/>
                <w:bCs/>
                <w:spacing w:val="7"/>
                <w:sz w:val="18"/>
                <w:szCs w:val="18"/>
              </w:rPr>
              <w:t>法水平角观测能力；</w:t>
            </w:r>
          </w:p>
          <w:p w14:paraId="174F2248">
            <w:pPr>
              <w:pStyle w:val="6"/>
              <w:spacing w:before="8" w:line="220" w:lineRule="auto"/>
              <w:jc w:val="right"/>
              <w:rPr>
                <w:sz w:val="18"/>
                <w:szCs w:val="18"/>
              </w:rPr>
            </w:pPr>
            <w:r>
              <w:rPr>
                <w:b/>
                <w:bCs/>
                <w:spacing w:val="-8"/>
                <w:sz w:val="18"/>
                <w:szCs w:val="18"/>
              </w:rPr>
              <w:t>5、测试时间不少于20分钟。</w:t>
            </w:r>
          </w:p>
        </w:tc>
        <w:tc>
          <w:tcPr>
            <w:tcW w:w="1902" w:type="dxa"/>
            <w:tcBorders>
              <w:top w:val="single" w:color="000000" w:sz="2" w:space="0"/>
              <w:bottom w:val="single" w:color="000000" w:sz="2" w:space="0"/>
            </w:tcBorders>
            <w:vAlign w:val="top"/>
          </w:tcPr>
          <w:p w14:paraId="00B50AA5">
            <w:pPr>
              <w:spacing w:line="285" w:lineRule="auto"/>
              <w:rPr>
                <w:rFonts w:ascii="Arial"/>
                <w:sz w:val="21"/>
              </w:rPr>
            </w:pPr>
          </w:p>
          <w:p w14:paraId="661353BD">
            <w:pPr>
              <w:spacing w:line="285" w:lineRule="auto"/>
              <w:rPr>
                <w:rFonts w:ascii="Arial"/>
                <w:sz w:val="21"/>
              </w:rPr>
            </w:pPr>
          </w:p>
          <w:p w14:paraId="694DD14E">
            <w:pPr>
              <w:spacing w:line="286" w:lineRule="auto"/>
              <w:rPr>
                <w:rFonts w:ascii="Arial"/>
                <w:sz w:val="21"/>
              </w:rPr>
            </w:pPr>
          </w:p>
          <w:p w14:paraId="5C9F6942">
            <w:pPr>
              <w:pStyle w:val="6"/>
              <w:spacing w:before="59" w:line="215" w:lineRule="auto"/>
              <w:ind w:left="10" w:right="86"/>
              <w:jc w:val="both"/>
              <w:rPr>
                <w:sz w:val="18"/>
                <w:szCs w:val="18"/>
              </w:rPr>
            </w:pPr>
            <w:r>
              <w:rPr>
                <w:b/>
                <w:bCs/>
                <w:spacing w:val="5"/>
                <w:sz w:val="18"/>
                <w:szCs w:val="18"/>
              </w:rPr>
              <w:t>1、经纬仪架站65分；</w:t>
            </w:r>
            <w:r>
              <w:rPr>
                <w:spacing w:val="8"/>
                <w:sz w:val="18"/>
                <w:szCs w:val="18"/>
              </w:rPr>
              <w:t xml:space="preserve"> </w:t>
            </w:r>
            <w:r>
              <w:rPr>
                <w:b/>
                <w:bCs/>
                <w:spacing w:val="-1"/>
                <w:sz w:val="18"/>
                <w:szCs w:val="18"/>
              </w:rPr>
              <w:t>2、测回法水平角测量</w:t>
            </w:r>
            <w:r>
              <w:rPr>
                <w:sz w:val="18"/>
                <w:szCs w:val="18"/>
              </w:rPr>
              <w:t xml:space="preserve">  </w:t>
            </w:r>
            <w:r>
              <w:rPr>
                <w:b/>
                <w:bCs/>
                <w:spacing w:val="12"/>
                <w:sz w:val="18"/>
                <w:szCs w:val="18"/>
              </w:rPr>
              <w:t>正确45分；</w:t>
            </w:r>
          </w:p>
          <w:p w14:paraId="4F236933">
            <w:pPr>
              <w:pStyle w:val="6"/>
              <w:spacing w:line="223" w:lineRule="auto"/>
              <w:ind w:left="10" w:right="182"/>
              <w:rPr>
                <w:sz w:val="18"/>
                <w:szCs w:val="18"/>
              </w:rPr>
            </w:pPr>
            <w:r>
              <w:rPr>
                <w:b/>
                <w:bCs/>
                <w:spacing w:val="-3"/>
                <w:sz w:val="18"/>
                <w:szCs w:val="18"/>
              </w:rPr>
              <w:t>3、水平角计算准确20</w:t>
            </w:r>
            <w:r>
              <w:rPr>
                <w:sz w:val="18"/>
                <w:szCs w:val="18"/>
              </w:rPr>
              <w:t xml:space="preserve"> </w:t>
            </w:r>
            <w:r>
              <w:rPr>
                <w:b/>
                <w:bCs/>
                <w:spacing w:val="-7"/>
                <w:sz w:val="18"/>
                <w:szCs w:val="18"/>
              </w:rPr>
              <w:t>分</w:t>
            </w:r>
            <w:r>
              <w:rPr>
                <w:spacing w:val="46"/>
                <w:sz w:val="18"/>
                <w:szCs w:val="18"/>
              </w:rPr>
              <w:t xml:space="preserve"> </w:t>
            </w:r>
            <w:r>
              <w:rPr>
                <w:b/>
                <w:bCs/>
                <w:spacing w:val="-7"/>
                <w:sz w:val="18"/>
                <w:szCs w:val="18"/>
              </w:rPr>
              <w:t>；</w:t>
            </w:r>
          </w:p>
          <w:p w14:paraId="7C9FB1F4">
            <w:pPr>
              <w:pStyle w:val="6"/>
              <w:spacing w:before="3" w:line="223" w:lineRule="auto"/>
              <w:ind w:left="10" w:right="157" w:firstLine="20"/>
              <w:rPr>
                <w:sz w:val="18"/>
                <w:szCs w:val="18"/>
              </w:rPr>
            </w:pPr>
            <w:r>
              <w:rPr>
                <w:b/>
                <w:bCs/>
                <w:spacing w:val="-3"/>
                <w:sz w:val="18"/>
                <w:szCs w:val="18"/>
              </w:rPr>
              <w:t>4、测量报告填写整洁</w:t>
            </w:r>
            <w:r>
              <w:rPr>
                <w:spacing w:val="3"/>
                <w:sz w:val="18"/>
                <w:szCs w:val="18"/>
              </w:rPr>
              <w:t xml:space="preserve"> </w:t>
            </w:r>
            <w:r>
              <w:rPr>
                <w:b/>
                <w:bCs/>
                <w:spacing w:val="-3"/>
                <w:sz w:val="18"/>
                <w:szCs w:val="18"/>
              </w:rPr>
              <w:t>完整20分。</w:t>
            </w:r>
          </w:p>
        </w:tc>
      </w:tr>
    </w:tbl>
    <w:p w14:paraId="31AF77FC">
      <w:pPr>
        <w:pStyle w:val="2"/>
        <w:spacing w:line="14" w:lineRule="auto"/>
        <w:rPr>
          <w:sz w:val="2"/>
        </w:rPr>
      </w:pPr>
    </w:p>
    <w:p w14:paraId="7950D2EA">
      <w:pPr>
        <w:spacing w:line="14" w:lineRule="auto"/>
        <w:rPr>
          <w:sz w:val="2"/>
          <w:szCs w:val="2"/>
        </w:rPr>
        <w:sectPr>
          <w:type w:val="continuous"/>
          <w:pgSz w:w="10660" w:h="15080"/>
          <w:pgMar w:top="400" w:right="859" w:bottom="898" w:left="984" w:header="0" w:footer="745" w:gutter="0"/>
          <w:cols w:equalWidth="0" w:num="1">
            <w:col w:w="8816"/>
          </w:cols>
        </w:sectPr>
      </w:pPr>
    </w:p>
    <w:p w14:paraId="6D38E654">
      <w:pPr>
        <w:spacing w:before="10"/>
      </w:pPr>
    </w:p>
    <w:p w14:paraId="56D370FD">
      <w:pPr>
        <w:spacing w:before="10"/>
      </w:pPr>
    </w:p>
    <w:p w14:paraId="0E05AE7C">
      <w:pPr>
        <w:spacing w:before="10"/>
      </w:pPr>
    </w:p>
    <w:p w14:paraId="00ECB1F3">
      <w:pPr>
        <w:spacing w:before="9"/>
      </w:pPr>
    </w:p>
    <w:tbl>
      <w:tblPr>
        <w:tblStyle w:val="5"/>
        <w:tblW w:w="8689" w:type="dxa"/>
        <w:tblInd w:w="9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44"/>
        <w:gridCol w:w="809"/>
        <w:gridCol w:w="999"/>
        <w:gridCol w:w="1858"/>
        <w:gridCol w:w="2207"/>
        <w:gridCol w:w="1872"/>
      </w:tblGrid>
      <w:tr w14:paraId="3D924B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5" w:hRule="atLeast"/>
        </w:trPr>
        <w:tc>
          <w:tcPr>
            <w:tcW w:w="944" w:type="dxa"/>
            <w:vAlign w:val="top"/>
          </w:tcPr>
          <w:p w14:paraId="69707769">
            <w:pPr>
              <w:pStyle w:val="6"/>
              <w:spacing w:before="130" w:line="220" w:lineRule="auto"/>
              <w:ind w:left="107"/>
              <w:rPr>
                <w:sz w:val="18"/>
                <w:szCs w:val="18"/>
              </w:rPr>
            </w:pPr>
            <w:r>
              <w:rPr>
                <w:b/>
                <w:bCs/>
                <w:spacing w:val="5"/>
                <w:sz w:val="18"/>
                <w:szCs w:val="18"/>
              </w:rPr>
              <w:t>测试项目</w:t>
            </w:r>
          </w:p>
        </w:tc>
        <w:tc>
          <w:tcPr>
            <w:tcW w:w="809" w:type="dxa"/>
            <w:vAlign w:val="top"/>
          </w:tcPr>
          <w:p w14:paraId="6171455E">
            <w:pPr>
              <w:pStyle w:val="6"/>
              <w:spacing w:before="31" w:line="202" w:lineRule="auto"/>
              <w:ind w:left="213" w:right="233"/>
              <w:rPr>
                <w:sz w:val="18"/>
                <w:szCs w:val="18"/>
              </w:rPr>
            </w:pPr>
            <w:r>
              <w:rPr>
                <w:b/>
                <w:bCs/>
                <w:spacing w:val="-6"/>
                <w:sz w:val="18"/>
                <w:szCs w:val="18"/>
              </w:rPr>
              <w:t>测试</w:t>
            </w:r>
            <w:r>
              <w:rPr>
                <w:sz w:val="18"/>
                <w:szCs w:val="18"/>
              </w:rPr>
              <w:t xml:space="preserve"> </w:t>
            </w:r>
            <w:r>
              <w:rPr>
                <w:b/>
                <w:bCs/>
                <w:spacing w:val="-7"/>
                <w:sz w:val="18"/>
                <w:szCs w:val="18"/>
              </w:rPr>
              <w:t>用具</w:t>
            </w:r>
          </w:p>
        </w:tc>
        <w:tc>
          <w:tcPr>
            <w:tcW w:w="999" w:type="dxa"/>
            <w:vAlign w:val="top"/>
          </w:tcPr>
          <w:p w14:paraId="1F361941">
            <w:pPr>
              <w:pStyle w:val="6"/>
              <w:spacing w:before="21" w:line="207" w:lineRule="auto"/>
              <w:ind w:left="344" w:right="280" w:hanging="10"/>
              <w:rPr>
                <w:sz w:val="18"/>
                <w:szCs w:val="18"/>
              </w:rPr>
            </w:pPr>
            <w:r>
              <w:rPr>
                <w:b/>
                <w:bCs/>
                <w:spacing w:val="-6"/>
                <w:sz w:val="18"/>
                <w:szCs w:val="18"/>
              </w:rPr>
              <w:t>测试</w:t>
            </w:r>
            <w:r>
              <w:rPr>
                <w:sz w:val="18"/>
                <w:szCs w:val="18"/>
              </w:rPr>
              <w:t xml:space="preserve"> </w:t>
            </w:r>
            <w:r>
              <w:rPr>
                <w:b/>
                <w:bCs/>
                <w:sz w:val="18"/>
                <w:szCs w:val="18"/>
              </w:rPr>
              <w:t>内容</w:t>
            </w:r>
          </w:p>
        </w:tc>
        <w:tc>
          <w:tcPr>
            <w:tcW w:w="1858" w:type="dxa"/>
            <w:vAlign w:val="top"/>
          </w:tcPr>
          <w:p w14:paraId="1F3BA423">
            <w:pPr>
              <w:pStyle w:val="6"/>
              <w:spacing w:before="130" w:line="221" w:lineRule="auto"/>
              <w:ind w:left="565"/>
              <w:rPr>
                <w:sz w:val="18"/>
                <w:szCs w:val="18"/>
              </w:rPr>
            </w:pPr>
            <w:r>
              <w:rPr>
                <w:b/>
                <w:bCs/>
                <w:spacing w:val="-4"/>
                <w:sz w:val="18"/>
                <w:szCs w:val="18"/>
              </w:rPr>
              <w:t>测试方法</w:t>
            </w:r>
          </w:p>
        </w:tc>
        <w:tc>
          <w:tcPr>
            <w:tcW w:w="2207" w:type="dxa"/>
            <w:vAlign w:val="top"/>
          </w:tcPr>
          <w:p w14:paraId="2F6EF05C">
            <w:pPr>
              <w:pStyle w:val="6"/>
              <w:spacing w:before="130" w:line="221" w:lineRule="auto"/>
              <w:ind w:left="767"/>
              <w:rPr>
                <w:sz w:val="18"/>
                <w:szCs w:val="18"/>
              </w:rPr>
            </w:pPr>
            <w:r>
              <w:rPr>
                <w:b/>
                <w:bCs/>
                <w:spacing w:val="-4"/>
                <w:sz w:val="18"/>
                <w:szCs w:val="18"/>
              </w:rPr>
              <w:t>测试要求</w:t>
            </w:r>
          </w:p>
        </w:tc>
        <w:tc>
          <w:tcPr>
            <w:tcW w:w="1872" w:type="dxa"/>
            <w:vAlign w:val="top"/>
          </w:tcPr>
          <w:p w14:paraId="7F1C5845">
            <w:pPr>
              <w:pStyle w:val="6"/>
              <w:spacing w:before="129" w:line="219" w:lineRule="auto"/>
              <w:ind w:left="610"/>
              <w:rPr>
                <w:sz w:val="18"/>
                <w:szCs w:val="18"/>
              </w:rPr>
            </w:pPr>
            <w:r>
              <w:rPr>
                <w:b/>
                <w:bCs/>
                <w:spacing w:val="-4"/>
                <w:sz w:val="18"/>
                <w:szCs w:val="18"/>
              </w:rPr>
              <w:t>赋分参考</w:t>
            </w:r>
          </w:p>
        </w:tc>
      </w:tr>
      <w:tr w14:paraId="66CF8E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8" w:hRule="atLeast"/>
        </w:trPr>
        <w:tc>
          <w:tcPr>
            <w:tcW w:w="944" w:type="dxa"/>
            <w:vAlign w:val="top"/>
          </w:tcPr>
          <w:p w14:paraId="115D631F">
            <w:pPr>
              <w:spacing w:line="245" w:lineRule="auto"/>
              <w:rPr>
                <w:rFonts w:ascii="Arial"/>
                <w:sz w:val="21"/>
              </w:rPr>
            </w:pPr>
          </w:p>
          <w:p w14:paraId="03FA6819">
            <w:pPr>
              <w:spacing w:line="245" w:lineRule="auto"/>
              <w:rPr>
                <w:rFonts w:ascii="Arial"/>
                <w:sz w:val="21"/>
              </w:rPr>
            </w:pPr>
          </w:p>
          <w:p w14:paraId="7C4A5ED7">
            <w:pPr>
              <w:spacing w:line="245" w:lineRule="auto"/>
              <w:rPr>
                <w:rFonts w:ascii="Arial"/>
                <w:sz w:val="21"/>
              </w:rPr>
            </w:pPr>
          </w:p>
          <w:p w14:paraId="38EF4DB3">
            <w:pPr>
              <w:pStyle w:val="6"/>
              <w:spacing w:before="58" w:line="215" w:lineRule="auto"/>
              <w:ind w:left="194"/>
              <w:rPr>
                <w:sz w:val="18"/>
                <w:szCs w:val="18"/>
              </w:rPr>
            </w:pPr>
            <w:r>
              <w:rPr>
                <w:spacing w:val="-3"/>
                <w:sz w:val="18"/>
                <w:szCs w:val="18"/>
              </w:rPr>
              <w:t>项目二</w:t>
            </w:r>
          </w:p>
          <w:p w14:paraId="7171C330">
            <w:pPr>
              <w:pStyle w:val="6"/>
              <w:spacing w:line="220" w:lineRule="auto"/>
              <w:ind w:left="14"/>
              <w:rPr>
                <w:sz w:val="18"/>
                <w:szCs w:val="18"/>
              </w:rPr>
            </w:pPr>
            <w:r>
              <w:rPr>
                <w:spacing w:val="-2"/>
                <w:sz w:val="18"/>
                <w:szCs w:val="18"/>
              </w:rPr>
              <w:t>建筑物定位</w:t>
            </w:r>
          </w:p>
          <w:p w14:paraId="5F156E80">
            <w:pPr>
              <w:pStyle w:val="6"/>
              <w:spacing w:before="15" w:line="215" w:lineRule="auto"/>
              <w:ind w:left="284"/>
              <w:rPr>
                <w:sz w:val="18"/>
                <w:szCs w:val="18"/>
              </w:rPr>
            </w:pPr>
            <w:r>
              <w:rPr>
                <w:spacing w:val="-2"/>
                <w:sz w:val="18"/>
                <w:szCs w:val="18"/>
              </w:rPr>
              <w:t>放线</w:t>
            </w:r>
          </w:p>
          <w:p w14:paraId="37281EB8">
            <w:pPr>
              <w:pStyle w:val="6"/>
              <w:spacing w:line="219" w:lineRule="auto"/>
              <w:ind w:left="144"/>
              <w:rPr>
                <w:sz w:val="18"/>
                <w:szCs w:val="18"/>
              </w:rPr>
            </w:pPr>
            <w:r>
              <w:rPr>
                <w:spacing w:val="2"/>
                <w:sz w:val="18"/>
                <w:szCs w:val="18"/>
              </w:rPr>
              <w:t>(分值为</w:t>
            </w:r>
          </w:p>
          <w:p w14:paraId="19235C65">
            <w:pPr>
              <w:pStyle w:val="6"/>
              <w:spacing w:before="6" w:line="220" w:lineRule="auto"/>
              <w:ind w:left="194"/>
              <w:rPr>
                <w:sz w:val="18"/>
                <w:szCs w:val="18"/>
              </w:rPr>
            </w:pPr>
            <w:r>
              <w:rPr>
                <w:spacing w:val="7"/>
                <w:sz w:val="18"/>
                <w:szCs w:val="18"/>
              </w:rPr>
              <w:t>150分)</w:t>
            </w:r>
          </w:p>
        </w:tc>
        <w:tc>
          <w:tcPr>
            <w:tcW w:w="809" w:type="dxa"/>
            <w:vAlign w:val="top"/>
          </w:tcPr>
          <w:p w14:paraId="5389E974">
            <w:pPr>
              <w:spacing w:line="281" w:lineRule="auto"/>
              <w:rPr>
                <w:rFonts w:ascii="Arial"/>
                <w:sz w:val="21"/>
              </w:rPr>
            </w:pPr>
          </w:p>
          <w:p w14:paraId="66C4CE54">
            <w:pPr>
              <w:spacing w:line="281" w:lineRule="auto"/>
              <w:rPr>
                <w:rFonts w:ascii="Arial"/>
                <w:sz w:val="21"/>
              </w:rPr>
            </w:pPr>
          </w:p>
          <w:p w14:paraId="3DEC69E7">
            <w:pPr>
              <w:spacing w:line="282" w:lineRule="auto"/>
              <w:rPr>
                <w:rFonts w:ascii="Arial"/>
                <w:sz w:val="21"/>
              </w:rPr>
            </w:pPr>
          </w:p>
          <w:p w14:paraId="2EDE39E2">
            <w:pPr>
              <w:pStyle w:val="6"/>
              <w:spacing w:before="58" w:line="221" w:lineRule="auto"/>
              <w:ind w:left="30"/>
              <w:jc w:val="both"/>
              <w:rPr>
                <w:sz w:val="18"/>
                <w:szCs w:val="18"/>
              </w:rPr>
            </w:pPr>
            <w:r>
              <w:rPr>
                <w:spacing w:val="2"/>
                <w:sz w:val="18"/>
                <w:szCs w:val="18"/>
              </w:rPr>
              <w:t>经纬仪</w:t>
            </w:r>
            <w:r>
              <w:rPr>
                <w:spacing w:val="-51"/>
                <w:sz w:val="18"/>
                <w:szCs w:val="18"/>
              </w:rPr>
              <w:t xml:space="preserve"> </w:t>
            </w:r>
            <w:r>
              <w:rPr>
                <w:spacing w:val="2"/>
                <w:sz w:val="18"/>
                <w:szCs w:val="18"/>
              </w:rPr>
              <w:t>、</w:t>
            </w:r>
            <w:r>
              <w:rPr>
                <w:sz w:val="18"/>
                <w:szCs w:val="18"/>
              </w:rPr>
              <w:t xml:space="preserve"> </w:t>
            </w:r>
            <w:r>
              <w:rPr>
                <w:spacing w:val="-6"/>
                <w:sz w:val="18"/>
                <w:szCs w:val="18"/>
              </w:rPr>
              <w:t>钢尺、测</w:t>
            </w:r>
            <w:r>
              <w:rPr>
                <w:sz w:val="18"/>
                <w:szCs w:val="18"/>
              </w:rPr>
              <w:t xml:space="preserve">  </w:t>
            </w:r>
            <w:r>
              <w:rPr>
                <w:spacing w:val="-11"/>
                <w:sz w:val="18"/>
                <w:szCs w:val="18"/>
              </w:rPr>
              <w:t>钎、记录</w:t>
            </w:r>
            <w:r>
              <w:rPr>
                <w:sz w:val="18"/>
                <w:szCs w:val="18"/>
              </w:rPr>
              <w:t xml:space="preserve">  </w:t>
            </w:r>
            <w:r>
              <w:rPr>
                <w:spacing w:val="-9"/>
                <w:sz w:val="18"/>
                <w:szCs w:val="18"/>
              </w:rPr>
              <w:t>板、铅笔</w:t>
            </w:r>
          </w:p>
        </w:tc>
        <w:tc>
          <w:tcPr>
            <w:tcW w:w="999" w:type="dxa"/>
            <w:vAlign w:val="top"/>
          </w:tcPr>
          <w:p w14:paraId="5ED9B53B">
            <w:pPr>
              <w:spacing w:line="241" w:lineRule="auto"/>
              <w:rPr>
                <w:rFonts w:ascii="Arial"/>
                <w:sz w:val="21"/>
              </w:rPr>
            </w:pPr>
          </w:p>
          <w:p w14:paraId="52549E38">
            <w:pPr>
              <w:spacing w:line="241" w:lineRule="auto"/>
              <w:rPr>
                <w:rFonts w:ascii="Arial"/>
                <w:sz w:val="21"/>
              </w:rPr>
            </w:pPr>
          </w:p>
          <w:p w14:paraId="5DC33504">
            <w:pPr>
              <w:spacing w:line="241" w:lineRule="auto"/>
              <w:rPr>
                <w:rFonts w:ascii="Arial"/>
                <w:sz w:val="21"/>
              </w:rPr>
            </w:pPr>
          </w:p>
          <w:p w14:paraId="0659A90E">
            <w:pPr>
              <w:pStyle w:val="6"/>
              <w:spacing w:before="59" w:line="223" w:lineRule="auto"/>
              <w:ind w:left="11"/>
              <w:jc w:val="both"/>
              <w:rPr>
                <w:sz w:val="18"/>
                <w:szCs w:val="18"/>
              </w:rPr>
            </w:pPr>
            <w:r>
              <w:rPr>
                <w:spacing w:val="-3"/>
                <w:sz w:val="18"/>
                <w:szCs w:val="18"/>
              </w:rPr>
              <w:t>1、经纬仪、</w:t>
            </w:r>
            <w:r>
              <w:rPr>
                <w:spacing w:val="4"/>
                <w:sz w:val="18"/>
                <w:szCs w:val="18"/>
              </w:rPr>
              <w:t xml:space="preserve"> </w:t>
            </w:r>
            <w:r>
              <w:rPr>
                <w:spacing w:val="3"/>
                <w:sz w:val="18"/>
                <w:szCs w:val="18"/>
              </w:rPr>
              <w:t xml:space="preserve">钢尺使用； </w:t>
            </w:r>
            <w:r>
              <w:rPr>
                <w:spacing w:val="-21"/>
                <w:sz w:val="18"/>
                <w:szCs w:val="18"/>
              </w:rPr>
              <w:t>2</w:t>
            </w:r>
            <w:r>
              <w:rPr>
                <w:spacing w:val="-32"/>
                <w:sz w:val="18"/>
                <w:szCs w:val="18"/>
              </w:rPr>
              <w:t xml:space="preserve"> </w:t>
            </w:r>
            <w:r>
              <w:rPr>
                <w:spacing w:val="-21"/>
                <w:sz w:val="18"/>
                <w:szCs w:val="18"/>
              </w:rPr>
              <w:t>、</w:t>
            </w:r>
            <w:r>
              <w:rPr>
                <w:spacing w:val="-54"/>
                <w:sz w:val="18"/>
                <w:szCs w:val="18"/>
              </w:rPr>
              <w:t xml:space="preserve"> </w:t>
            </w:r>
            <w:r>
              <w:rPr>
                <w:spacing w:val="-21"/>
                <w:sz w:val="18"/>
                <w:szCs w:val="18"/>
              </w:rPr>
              <w:t>基</w:t>
            </w:r>
            <w:r>
              <w:rPr>
                <w:spacing w:val="-43"/>
                <w:sz w:val="18"/>
                <w:szCs w:val="18"/>
              </w:rPr>
              <w:t xml:space="preserve"> </w:t>
            </w:r>
            <w:r>
              <w:rPr>
                <w:spacing w:val="-21"/>
                <w:sz w:val="18"/>
                <w:szCs w:val="18"/>
              </w:rPr>
              <w:t>于</w:t>
            </w:r>
            <w:r>
              <w:rPr>
                <w:spacing w:val="-45"/>
                <w:sz w:val="18"/>
                <w:szCs w:val="18"/>
              </w:rPr>
              <w:t xml:space="preserve"> </w:t>
            </w:r>
            <w:r>
              <w:rPr>
                <w:spacing w:val="-21"/>
                <w:sz w:val="18"/>
                <w:szCs w:val="18"/>
              </w:rPr>
              <w:t>控</w:t>
            </w:r>
            <w:r>
              <w:rPr>
                <w:sz w:val="18"/>
                <w:szCs w:val="18"/>
              </w:rPr>
              <w:t xml:space="preserve">  </w:t>
            </w:r>
            <w:r>
              <w:rPr>
                <w:spacing w:val="-16"/>
                <w:sz w:val="18"/>
                <w:szCs w:val="18"/>
              </w:rPr>
              <w:t>制线的指定</w:t>
            </w:r>
            <w:r>
              <w:rPr>
                <w:sz w:val="18"/>
                <w:szCs w:val="18"/>
              </w:rPr>
              <w:t xml:space="preserve">  </w:t>
            </w:r>
            <w:r>
              <w:rPr>
                <w:spacing w:val="-10"/>
                <w:sz w:val="18"/>
                <w:szCs w:val="18"/>
              </w:rPr>
              <w:t>点测设。</w:t>
            </w:r>
          </w:p>
        </w:tc>
        <w:tc>
          <w:tcPr>
            <w:tcW w:w="1858" w:type="dxa"/>
            <w:vAlign w:val="top"/>
          </w:tcPr>
          <w:p w14:paraId="685DECA4">
            <w:pPr>
              <w:pStyle w:val="6"/>
              <w:spacing w:before="206" w:line="228" w:lineRule="auto"/>
              <w:ind w:left="13" w:firstLine="9"/>
              <w:rPr>
                <w:sz w:val="16"/>
                <w:szCs w:val="16"/>
              </w:rPr>
            </w:pPr>
            <w:r>
              <w:rPr>
                <w:spacing w:val="-10"/>
                <w:sz w:val="16"/>
                <w:szCs w:val="16"/>
              </w:rPr>
              <w:t>测 试</w:t>
            </w:r>
            <w:r>
              <w:rPr>
                <w:spacing w:val="5"/>
                <w:sz w:val="16"/>
                <w:szCs w:val="16"/>
              </w:rPr>
              <w:t xml:space="preserve"> </w:t>
            </w:r>
            <w:r>
              <w:rPr>
                <w:spacing w:val="-10"/>
                <w:sz w:val="16"/>
                <w:szCs w:val="16"/>
              </w:rPr>
              <w:t>教</w:t>
            </w:r>
            <w:r>
              <w:rPr>
                <w:spacing w:val="3"/>
                <w:sz w:val="16"/>
                <w:szCs w:val="16"/>
              </w:rPr>
              <w:t xml:space="preserve"> </w:t>
            </w:r>
            <w:r>
              <w:rPr>
                <w:spacing w:val="-10"/>
                <w:sz w:val="16"/>
                <w:szCs w:val="16"/>
              </w:rPr>
              <w:t>师</w:t>
            </w:r>
            <w:r>
              <w:rPr>
                <w:spacing w:val="1"/>
                <w:sz w:val="16"/>
                <w:szCs w:val="16"/>
              </w:rPr>
              <w:t xml:space="preserve"> </w:t>
            </w:r>
            <w:r>
              <w:rPr>
                <w:spacing w:val="-10"/>
                <w:sz w:val="16"/>
                <w:szCs w:val="16"/>
              </w:rPr>
              <w:t>现 场</w:t>
            </w:r>
            <w:r>
              <w:rPr>
                <w:spacing w:val="3"/>
                <w:sz w:val="16"/>
                <w:szCs w:val="16"/>
              </w:rPr>
              <w:t xml:space="preserve"> </w:t>
            </w:r>
            <w:r>
              <w:rPr>
                <w:spacing w:val="-10"/>
                <w:sz w:val="16"/>
                <w:szCs w:val="16"/>
              </w:rPr>
              <w:t>指</w:t>
            </w:r>
            <w:r>
              <w:rPr>
                <w:spacing w:val="4"/>
                <w:sz w:val="16"/>
                <w:szCs w:val="16"/>
              </w:rPr>
              <w:t xml:space="preserve"> </w:t>
            </w:r>
            <w:r>
              <w:rPr>
                <w:spacing w:val="-10"/>
                <w:sz w:val="16"/>
                <w:szCs w:val="16"/>
              </w:rPr>
              <w:t>定</w:t>
            </w:r>
            <w:r>
              <w:rPr>
                <w:sz w:val="16"/>
                <w:szCs w:val="16"/>
              </w:rPr>
              <w:t xml:space="preserve">  </w:t>
            </w:r>
            <w:r>
              <w:rPr>
                <w:spacing w:val="-16"/>
                <w:sz w:val="16"/>
                <w:szCs w:val="16"/>
              </w:rPr>
              <w:t>A</w:t>
            </w:r>
            <w:r>
              <w:rPr>
                <w:spacing w:val="26"/>
                <w:sz w:val="16"/>
                <w:szCs w:val="16"/>
              </w:rPr>
              <w:t xml:space="preserve"> </w:t>
            </w:r>
            <w:r>
              <w:rPr>
                <w:spacing w:val="-16"/>
                <w:sz w:val="16"/>
                <w:szCs w:val="16"/>
              </w:rPr>
              <w:t>点</w:t>
            </w:r>
            <w:r>
              <w:rPr>
                <w:spacing w:val="24"/>
                <w:sz w:val="16"/>
                <w:szCs w:val="16"/>
              </w:rPr>
              <w:t xml:space="preserve"> </w:t>
            </w:r>
            <w:r>
              <w:rPr>
                <w:spacing w:val="-16"/>
                <w:sz w:val="16"/>
                <w:szCs w:val="16"/>
              </w:rPr>
              <w:t>、</w:t>
            </w:r>
            <w:r>
              <w:rPr>
                <w:spacing w:val="6"/>
                <w:sz w:val="16"/>
                <w:szCs w:val="16"/>
              </w:rPr>
              <w:t xml:space="preserve"> </w:t>
            </w:r>
            <w:r>
              <w:rPr>
                <w:spacing w:val="-16"/>
                <w:sz w:val="16"/>
                <w:szCs w:val="16"/>
              </w:rPr>
              <w:t>B</w:t>
            </w:r>
            <w:r>
              <w:rPr>
                <w:spacing w:val="21"/>
                <w:sz w:val="16"/>
                <w:szCs w:val="16"/>
              </w:rPr>
              <w:t xml:space="preserve"> </w:t>
            </w:r>
            <w:r>
              <w:rPr>
                <w:spacing w:val="-16"/>
                <w:sz w:val="16"/>
                <w:szCs w:val="16"/>
              </w:rPr>
              <w:t>点</w:t>
            </w:r>
            <w:r>
              <w:rPr>
                <w:spacing w:val="24"/>
                <w:sz w:val="16"/>
                <w:szCs w:val="16"/>
              </w:rPr>
              <w:t xml:space="preserve"> </w:t>
            </w:r>
            <w:r>
              <w:rPr>
                <w:spacing w:val="-16"/>
                <w:sz w:val="16"/>
                <w:szCs w:val="16"/>
              </w:rPr>
              <w:t>、</w:t>
            </w:r>
            <w:r>
              <w:rPr>
                <w:spacing w:val="9"/>
                <w:sz w:val="16"/>
                <w:szCs w:val="16"/>
              </w:rPr>
              <w:t xml:space="preserve"> </w:t>
            </w:r>
            <w:r>
              <w:rPr>
                <w:spacing w:val="-16"/>
                <w:sz w:val="16"/>
                <w:szCs w:val="16"/>
              </w:rPr>
              <w:t>C</w:t>
            </w:r>
            <w:r>
              <w:rPr>
                <w:spacing w:val="21"/>
                <w:sz w:val="16"/>
                <w:szCs w:val="16"/>
              </w:rPr>
              <w:t xml:space="preserve"> </w:t>
            </w:r>
            <w:r>
              <w:rPr>
                <w:spacing w:val="-16"/>
                <w:sz w:val="16"/>
                <w:szCs w:val="16"/>
              </w:rPr>
              <w:t>点</w:t>
            </w:r>
            <w:r>
              <w:rPr>
                <w:spacing w:val="6"/>
                <w:sz w:val="16"/>
                <w:szCs w:val="16"/>
              </w:rPr>
              <w:t xml:space="preserve"> </w:t>
            </w:r>
            <w:r>
              <w:rPr>
                <w:spacing w:val="-16"/>
                <w:sz w:val="16"/>
                <w:szCs w:val="16"/>
              </w:rPr>
              <w:t>，</w:t>
            </w:r>
            <w:r>
              <w:rPr>
                <w:sz w:val="16"/>
                <w:szCs w:val="16"/>
              </w:rPr>
              <w:t xml:space="preserve"> </w:t>
            </w:r>
            <w:r>
              <w:rPr>
                <w:spacing w:val="-10"/>
                <w:sz w:val="16"/>
                <w:szCs w:val="16"/>
              </w:rPr>
              <w:t>A</w:t>
            </w:r>
            <w:r>
              <w:rPr>
                <w:spacing w:val="-11"/>
                <w:sz w:val="16"/>
                <w:szCs w:val="16"/>
              </w:rPr>
              <w:t xml:space="preserve"> </w:t>
            </w:r>
            <w:r>
              <w:rPr>
                <w:spacing w:val="-10"/>
                <w:sz w:val="16"/>
                <w:szCs w:val="16"/>
              </w:rPr>
              <w:t>B 、</w:t>
            </w:r>
            <w:r>
              <w:rPr>
                <w:spacing w:val="-19"/>
                <w:sz w:val="16"/>
                <w:szCs w:val="16"/>
              </w:rPr>
              <w:t xml:space="preserve"> </w:t>
            </w:r>
            <w:r>
              <w:rPr>
                <w:spacing w:val="-10"/>
                <w:sz w:val="16"/>
                <w:szCs w:val="16"/>
              </w:rPr>
              <w:t>A C 为</w:t>
            </w:r>
            <w:r>
              <w:rPr>
                <w:spacing w:val="-9"/>
                <w:sz w:val="16"/>
                <w:szCs w:val="16"/>
              </w:rPr>
              <w:t xml:space="preserve"> </w:t>
            </w:r>
            <w:r>
              <w:rPr>
                <w:spacing w:val="-10"/>
                <w:sz w:val="16"/>
                <w:szCs w:val="16"/>
              </w:rPr>
              <w:t>正</w:t>
            </w:r>
            <w:r>
              <w:rPr>
                <w:spacing w:val="-9"/>
                <w:sz w:val="16"/>
                <w:szCs w:val="16"/>
              </w:rPr>
              <w:t xml:space="preserve"> </w:t>
            </w:r>
            <w:r>
              <w:rPr>
                <w:spacing w:val="-10"/>
                <w:sz w:val="16"/>
                <w:szCs w:val="16"/>
              </w:rPr>
              <w:t>交</w:t>
            </w:r>
            <w:r>
              <w:rPr>
                <w:spacing w:val="-12"/>
                <w:sz w:val="16"/>
                <w:szCs w:val="16"/>
              </w:rPr>
              <w:t xml:space="preserve"> </w:t>
            </w:r>
            <w:r>
              <w:rPr>
                <w:spacing w:val="-10"/>
                <w:sz w:val="16"/>
                <w:szCs w:val="16"/>
              </w:rPr>
              <w:t>控</w:t>
            </w:r>
            <w:r>
              <w:rPr>
                <w:spacing w:val="-12"/>
                <w:sz w:val="16"/>
                <w:szCs w:val="16"/>
              </w:rPr>
              <w:t xml:space="preserve"> </w:t>
            </w:r>
            <w:r>
              <w:rPr>
                <w:spacing w:val="-10"/>
                <w:sz w:val="16"/>
                <w:szCs w:val="16"/>
              </w:rPr>
              <w:t>制</w:t>
            </w:r>
            <w:r>
              <w:rPr>
                <w:sz w:val="16"/>
                <w:szCs w:val="16"/>
              </w:rPr>
              <w:t xml:space="preserve"> </w:t>
            </w:r>
            <w:r>
              <w:rPr>
                <w:spacing w:val="-5"/>
                <w:sz w:val="16"/>
                <w:szCs w:val="16"/>
              </w:rPr>
              <w:t>线，同时发放给考生待</w:t>
            </w:r>
          </w:p>
          <w:p w14:paraId="0A58C086">
            <w:pPr>
              <w:pStyle w:val="6"/>
              <w:spacing w:before="1" w:line="209" w:lineRule="auto"/>
              <w:ind w:left="13" w:firstLine="9"/>
              <w:rPr>
                <w:sz w:val="16"/>
                <w:szCs w:val="16"/>
              </w:rPr>
            </w:pPr>
            <w:r>
              <w:rPr>
                <w:spacing w:val="-12"/>
                <w:sz w:val="16"/>
                <w:szCs w:val="16"/>
              </w:rPr>
              <w:t>测 点</w:t>
            </w:r>
            <w:r>
              <w:rPr>
                <w:spacing w:val="-17"/>
                <w:sz w:val="16"/>
                <w:szCs w:val="16"/>
              </w:rPr>
              <w:t xml:space="preserve"> </w:t>
            </w:r>
            <w:r>
              <w:rPr>
                <w:spacing w:val="-12"/>
                <w:sz w:val="16"/>
                <w:szCs w:val="16"/>
              </w:rPr>
              <w:t>D</w:t>
            </w:r>
            <w:r>
              <w:rPr>
                <w:spacing w:val="-18"/>
                <w:sz w:val="16"/>
                <w:szCs w:val="16"/>
              </w:rPr>
              <w:t xml:space="preserve"> </w:t>
            </w:r>
            <w:r>
              <w:rPr>
                <w:spacing w:val="-12"/>
                <w:sz w:val="16"/>
                <w:szCs w:val="16"/>
              </w:rPr>
              <w:t>相</w:t>
            </w:r>
            <w:r>
              <w:rPr>
                <w:spacing w:val="-19"/>
                <w:sz w:val="16"/>
                <w:szCs w:val="16"/>
              </w:rPr>
              <w:t xml:space="preserve"> </w:t>
            </w:r>
            <w:r>
              <w:rPr>
                <w:spacing w:val="-12"/>
                <w:sz w:val="16"/>
                <w:szCs w:val="16"/>
              </w:rPr>
              <w:t>对</w:t>
            </w:r>
            <w:r>
              <w:rPr>
                <w:spacing w:val="-16"/>
                <w:sz w:val="16"/>
                <w:szCs w:val="16"/>
              </w:rPr>
              <w:t xml:space="preserve"> </w:t>
            </w:r>
            <w:r>
              <w:rPr>
                <w:spacing w:val="-12"/>
                <w:sz w:val="16"/>
                <w:szCs w:val="16"/>
              </w:rPr>
              <w:t>于</w:t>
            </w:r>
            <w:r>
              <w:rPr>
                <w:spacing w:val="-19"/>
                <w:sz w:val="16"/>
                <w:szCs w:val="16"/>
              </w:rPr>
              <w:t xml:space="preserve"> </w:t>
            </w:r>
            <w:r>
              <w:rPr>
                <w:spacing w:val="-12"/>
                <w:sz w:val="16"/>
                <w:szCs w:val="16"/>
              </w:rPr>
              <w:t>控</w:t>
            </w:r>
            <w:r>
              <w:rPr>
                <w:spacing w:val="-18"/>
                <w:sz w:val="16"/>
                <w:szCs w:val="16"/>
              </w:rPr>
              <w:t xml:space="preserve"> </w:t>
            </w:r>
            <w:r>
              <w:rPr>
                <w:spacing w:val="-12"/>
                <w:sz w:val="16"/>
                <w:szCs w:val="16"/>
              </w:rPr>
              <w:t>制</w:t>
            </w:r>
            <w:r>
              <w:rPr>
                <w:spacing w:val="-16"/>
                <w:sz w:val="16"/>
                <w:szCs w:val="16"/>
              </w:rPr>
              <w:t xml:space="preserve"> </w:t>
            </w:r>
            <w:r>
              <w:rPr>
                <w:spacing w:val="-12"/>
                <w:sz w:val="16"/>
                <w:szCs w:val="16"/>
              </w:rPr>
              <w:t>线</w:t>
            </w:r>
            <w:r>
              <w:rPr>
                <w:sz w:val="16"/>
                <w:szCs w:val="16"/>
              </w:rPr>
              <w:t xml:space="preserve">  </w:t>
            </w:r>
            <w:r>
              <w:rPr>
                <w:spacing w:val="-13"/>
                <w:sz w:val="16"/>
                <w:szCs w:val="16"/>
              </w:rPr>
              <w:t>A</w:t>
            </w:r>
            <w:r>
              <w:rPr>
                <w:spacing w:val="-29"/>
                <w:sz w:val="16"/>
                <w:szCs w:val="16"/>
              </w:rPr>
              <w:t xml:space="preserve"> </w:t>
            </w:r>
            <w:r>
              <w:rPr>
                <w:spacing w:val="-13"/>
                <w:sz w:val="16"/>
                <w:szCs w:val="16"/>
              </w:rPr>
              <w:t>B</w:t>
            </w:r>
            <w:r>
              <w:rPr>
                <w:spacing w:val="-18"/>
                <w:sz w:val="16"/>
                <w:szCs w:val="16"/>
              </w:rPr>
              <w:t xml:space="preserve"> </w:t>
            </w:r>
            <w:r>
              <w:rPr>
                <w:spacing w:val="-13"/>
                <w:sz w:val="16"/>
                <w:szCs w:val="16"/>
              </w:rPr>
              <w:t>、</w:t>
            </w:r>
            <w:r>
              <w:rPr>
                <w:spacing w:val="-36"/>
                <w:sz w:val="16"/>
                <w:szCs w:val="16"/>
              </w:rPr>
              <w:t xml:space="preserve"> </w:t>
            </w:r>
            <w:r>
              <w:rPr>
                <w:spacing w:val="-13"/>
                <w:sz w:val="16"/>
                <w:szCs w:val="16"/>
              </w:rPr>
              <w:t>A</w:t>
            </w:r>
            <w:r>
              <w:rPr>
                <w:spacing w:val="-31"/>
                <w:sz w:val="16"/>
                <w:szCs w:val="16"/>
              </w:rPr>
              <w:t xml:space="preserve"> </w:t>
            </w:r>
            <w:r>
              <w:rPr>
                <w:spacing w:val="-13"/>
                <w:sz w:val="16"/>
                <w:szCs w:val="16"/>
              </w:rPr>
              <w:t>C</w:t>
            </w:r>
            <w:r>
              <w:rPr>
                <w:spacing w:val="-16"/>
                <w:sz w:val="16"/>
                <w:szCs w:val="16"/>
              </w:rPr>
              <w:t xml:space="preserve"> </w:t>
            </w:r>
            <w:r>
              <w:rPr>
                <w:spacing w:val="-13"/>
                <w:sz w:val="16"/>
                <w:szCs w:val="16"/>
              </w:rPr>
              <w:t>的</w:t>
            </w:r>
            <w:r>
              <w:rPr>
                <w:spacing w:val="-29"/>
                <w:sz w:val="16"/>
                <w:szCs w:val="16"/>
              </w:rPr>
              <w:t xml:space="preserve"> </w:t>
            </w:r>
            <w:r>
              <w:rPr>
                <w:spacing w:val="-13"/>
                <w:sz w:val="16"/>
                <w:szCs w:val="16"/>
              </w:rPr>
              <w:t>位</w:t>
            </w:r>
            <w:r>
              <w:rPr>
                <w:spacing w:val="-30"/>
                <w:sz w:val="16"/>
                <w:szCs w:val="16"/>
              </w:rPr>
              <w:t xml:space="preserve"> </w:t>
            </w:r>
            <w:r>
              <w:rPr>
                <w:spacing w:val="-13"/>
                <w:sz w:val="16"/>
                <w:szCs w:val="16"/>
              </w:rPr>
              <w:t>置</w:t>
            </w:r>
            <w:r>
              <w:rPr>
                <w:spacing w:val="-25"/>
                <w:sz w:val="16"/>
                <w:szCs w:val="16"/>
              </w:rPr>
              <w:t xml:space="preserve"> </w:t>
            </w:r>
            <w:r>
              <w:rPr>
                <w:spacing w:val="-13"/>
                <w:sz w:val="16"/>
                <w:szCs w:val="16"/>
              </w:rPr>
              <w:t>简</w:t>
            </w:r>
            <w:r>
              <w:rPr>
                <w:spacing w:val="-14"/>
                <w:sz w:val="16"/>
                <w:szCs w:val="16"/>
              </w:rPr>
              <w:t xml:space="preserve"> </w:t>
            </w:r>
            <w:r>
              <w:rPr>
                <w:spacing w:val="-13"/>
                <w:sz w:val="16"/>
                <w:szCs w:val="16"/>
              </w:rPr>
              <w:t>图</w:t>
            </w:r>
            <w:r>
              <w:rPr>
                <w:spacing w:val="-36"/>
                <w:sz w:val="16"/>
                <w:szCs w:val="16"/>
              </w:rPr>
              <w:t xml:space="preserve"> </w:t>
            </w:r>
            <w:r>
              <w:rPr>
                <w:spacing w:val="-13"/>
                <w:sz w:val="16"/>
                <w:szCs w:val="16"/>
              </w:rPr>
              <w:t>。</w:t>
            </w:r>
            <w:r>
              <w:rPr>
                <w:sz w:val="16"/>
                <w:szCs w:val="16"/>
              </w:rPr>
              <w:t xml:space="preserve"> </w:t>
            </w:r>
            <w:r>
              <w:rPr>
                <w:spacing w:val="-11"/>
                <w:sz w:val="16"/>
                <w:szCs w:val="16"/>
              </w:rPr>
              <w:t>考 生</w:t>
            </w:r>
            <w:r>
              <w:rPr>
                <w:spacing w:val="-18"/>
                <w:sz w:val="16"/>
                <w:szCs w:val="16"/>
              </w:rPr>
              <w:t xml:space="preserve"> </w:t>
            </w:r>
            <w:r>
              <w:rPr>
                <w:spacing w:val="-11"/>
                <w:sz w:val="16"/>
                <w:szCs w:val="16"/>
              </w:rPr>
              <w:t>根</w:t>
            </w:r>
            <w:r>
              <w:rPr>
                <w:spacing w:val="-19"/>
                <w:sz w:val="16"/>
                <w:szCs w:val="16"/>
              </w:rPr>
              <w:t xml:space="preserve"> </w:t>
            </w:r>
            <w:r>
              <w:rPr>
                <w:spacing w:val="-11"/>
                <w:sz w:val="16"/>
                <w:szCs w:val="16"/>
              </w:rPr>
              <w:t>据 点</w:t>
            </w:r>
            <w:r>
              <w:rPr>
                <w:spacing w:val="-21"/>
                <w:sz w:val="16"/>
                <w:szCs w:val="16"/>
              </w:rPr>
              <w:t xml:space="preserve"> </w:t>
            </w:r>
            <w:r>
              <w:rPr>
                <w:spacing w:val="-11"/>
                <w:sz w:val="16"/>
                <w:szCs w:val="16"/>
              </w:rPr>
              <w:t>D</w:t>
            </w:r>
            <w:r>
              <w:rPr>
                <w:spacing w:val="-19"/>
                <w:sz w:val="16"/>
                <w:szCs w:val="16"/>
              </w:rPr>
              <w:t xml:space="preserve"> </w:t>
            </w:r>
            <w:r>
              <w:rPr>
                <w:spacing w:val="-11"/>
                <w:sz w:val="16"/>
                <w:szCs w:val="16"/>
              </w:rPr>
              <w:t>位</w:t>
            </w:r>
            <w:r>
              <w:rPr>
                <w:spacing w:val="-19"/>
                <w:sz w:val="16"/>
                <w:szCs w:val="16"/>
              </w:rPr>
              <w:t xml:space="preserve"> </w:t>
            </w:r>
            <w:r>
              <w:rPr>
                <w:spacing w:val="-11"/>
                <w:sz w:val="16"/>
                <w:szCs w:val="16"/>
              </w:rPr>
              <w:t>置</w:t>
            </w:r>
            <w:r>
              <w:rPr>
                <w:spacing w:val="-16"/>
                <w:sz w:val="16"/>
                <w:szCs w:val="16"/>
              </w:rPr>
              <w:t xml:space="preserve"> </w:t>
            </w:r>
            <w:r>
              <w:rPr>
                <w:spacing w:val="-11"/>
                <w:sz w:val="16"/>
                <w:szCs w:val="16"/>
              </w:rPr>
              <w:t>简</w:t>
            </w:r>
            <w:r>
              <w:rPr>
                <w:sz w:val="16"/>
                <w:szCs w:val="16"/>
              </w:rPr>
              <w:t xml:space="preserve">  </w:t>
            </w:r>
            <w:r>
              <w:rPr>
                <w:spacing w:val="22"/>
                <w:sz w:val="16"/>
                <w:szCs w:val="16"/>
              </w:rPr>
              <w:t>图</w:t>
            </w:r>
            <w:r>
              <w:rPr>
                <w:spacing w:val="-8"/>
                <w:sz w:val="16"/>
                <w:szCs w:val="16"/>
              </w:rPr>
              <w:t xml:space="preserve"> </w:t>
            </w:r>
            <w:r>
              <w:rPr>
                <w:spacing w:val="22"/>
                <w:sz w:val="16"/>
                <w:szCs w:val="16"/>
              </w:rPr>
              <w:t>，</w:t>
            </w:r>
            <w:r>
              <w:rPr>
                <w:spacing w:val="-27"/>
                <w:sz w:val="16"/>
                <w:szCs w:val="16"/>
              </w:rPr>
              <w:t xml:space="preserve"> </w:t>
            </w:r>
            <w:r>
              <w:rPr>
                <w:spacing w:val="22"/>
                <w:sz w:val="16"/>
                <w:szCs w:val="16"/>
              </w:rPr>
              <w:t>正确使用提供设</w:t>
            </w:r>
            <w:r>
              <w:rPr>
                <w:sz w:val="16"/>
                <w:szCs w:val="16"/>
              </w:rPr>
              <w:t xml:space="preserve">  </w:t>
            </w:r>
            <w:r>
              <w:rPr>
                <w:spacing w:val="-13"/>
                <w:sz w:val="16"/>
                <w:szCs w:val="16"/>
              </w:rPr>
              <w:t>备</w:t>
            </w:r>
            <w:r>
              <w:rPr>
                <w:spacing w:val="-25"/>
                <w:sz w:val="16"/>
                <w:szCs w:val="16"/>
              </w:rPr>
              <w:t xml:space="preserve"> </w:t>
            </w:r>
            <w:r>
              <w:rPr>
                <w:spacing w:val="-13"/>
                <w:sz w:val="16"/>
                <w:szCs w:val="16"/>
              </w:rPr>
              <w:t>开</w:t>
            </w:r>
            <w:r>
              <w:rPr>
                <w:spacing w:val="-31"/>
                <w:sz w:val="16"/>
                <w:szCs w:val="16"/>
              </w:rPr>
              <w:t xml:space="preserve"> </w:t>
            </w:r>
            <w:r>
              <w:rPr>
                <w:spacing w:val="-13"/>
                <w:sz w:val="16"/>
                <w:szCs w:val="16"/>
              </w:rPr>
              <w:t>展</w:t>
            </w:r>
            <w:r>
              <w:rPr>
                <w:spacing w:val="-35"/>
                <w:sz w:val="16"/>
                <w:szCs w:val="16"/>
              </w:rPr>
              <w:t xml:space="preserve"> </w:t>
            </w:r>
            <w:r>
              <w:rPr>
                <w:spacing w:val="-13"/>
                <w:sz w:val="16"/>
                <w:szCs w:val="16"/>
              </w:rPr>
              <w:t>D</w:t>
            </w:r>
            <w:r>
              <w:rPr>
                <w:spacing w:val="-23"/>
                <w:sz w:val="16"/>
                <w:szCs w:val="16"/>
              </w:rPr>
              <w:t xml:space="preserve"> </w:t>
            </w:r>
            <w:r>
              <w:rPr>
                <w:spacing w:val="-13"/>
                <w:sz w:val="16"/>
                <w:szCs w:val="16"/>
              </w:rPr>
              <w:t>点</w:t>
            </w:r>
            <w:r>
              <w:rPr>
                <w:spacing w:val="-31"/>
                <w:sz w:val="16"/>
                <w:szCs w:val="16"/>
              </w:rPr>
              <w:t xml:space="preserve"> </w:t>
            </w:r>
            <w:r>
              <w:rPr>
                <w:spacing w:val="-13"/>
                <w:sz w:val="16"/>
                <w:szCs w:val="16"/>
              </w:rPr>
              <w:t>测</w:t>
            </w:r>
            <w:r>
              <w:rPr>
                <w:spacing w:val="-30"/>
                <w:sz w:val="16"/>
                <w:szCs w:val="16"/>
              </w:rPr>
              <w:t xml:space="preserve"> </w:t>
            </w:r>
            <w:r>
              <w:rPr>
                <w:spacing w:val="-13"/>
                <w:sz w:val="16"/>
                <w:szCs w:val="16"/>
              </w:rPr>
              <w:t>设</w:t>
            </w:r>
            <w:r>
              <w:rPr>
                <w:spacing w:val="-31"/>
                <w:sz w:val="16"/>
                <w:szCs w:val="16"/>
              </w:rPr>
              <w:t xml:space="preserve"> </w:t>
            </w:r>
            <w:r>
              <w:rPr>
                <w:spacing w:val="-13"/>
                <w:sz w:val="16"/>
                <w:szCs w:val="16"/>
              </w:rPr>
              <w:t>作</w:t>
            </w:r>
            <w:r>
              <w:rPr>
                <w:spacing w:val="-32"/>
                <w:sz w:val="16"/>
                <w:szCs w:val="16"/>
              </w:rPr>
              <w:t xml:space="preserve"> </w:t>
            </w:r>
            <w:r>
              <w:rPr>
                <w:spacing w:val="-13"/>
                <w:sz w:val="16"/>
                <w:szCs w:val="16"/>
              </w:rPr>
              <w:t>业</w:t>
            </w:r>
            <w:r>
              <w:rPr>
                <w:spacing w:val="-39"/>
                <w:sz w:val="16"/>
                <w:szCs w:val="16"/>
              </w:rPr>
              <w:t xml:space="preserve"> </w:t>
            </w:r>
            <w:r>
              <w:rPr>
                <w:spacing w:val="-13"/>
                <w:sz w:val="16"/>
                <w:szCs w:val="16"/>
              </w:rPr>
              <w:t>。</w:t>
            </w:r>
            <w:r>
              <w:rPr>
                <w:sz w:val="16"/>
                <w:szCs w:val="16"/>
              </w:rPr>
              <w:t xml:space="preserve"> </w:t>
            </w:r>
            <w:r>
              <w:rPr>
                <w:spacing w:val="-12"/>
                <w:sz w:val="16"/>
                <w:szCs w:val="16"/>
              </w:rPr>
              <w:t>在</w:t>
            </w:r>
            <w:r>
              <w:rPr>
                <w:spacing w:val="-22"/>
                <w:sz w:val="16"/>
                <w:szCs w:val="16"/>
              </w:rPr>
              <w:t xml:space="preserve"> </w:t>
            </w:r>
            <w:r>
              <w:rPr>
                <w:spacing w:val="-12"/>
                <w:sz w:val="16"/>
                <w:szCs w:val="16"/>
              </w:rPr>
              <w:t>辅</w:t>
            </w:r>
            <w:r>
              <w:rPr>
                <w:spacing w:val="-29"/>
                <w:sz w:val="16"/>
                <w:szCs w:val="16"/>
              </w:rPr>
              <w:t xml:space="preserve"> </w:t>
            </w:r>
            <w:r>
              <w:rPr>
                <w:spacing w:val="-12"/>
                <w:sz w:val="16"/>
                <w:szCs w:val="16"/>
              </w:rPr>
              <w:t>助</w:t>
            </w:r>
            <w:r>
              <w:rPr>
                <w:spacing w:val="-27"/>
                <w:sz w:val="16"/>
                <w:szCs w:val="16"/>
              </w:rPr>
              <w:t xml:space="preserve"> </w:t>
            </w:r>
            <w:r>
              <w:rPr>
                <w:spacing w:val="-12"/>
                <w:sz w:val="16"/>
                <w:szCs w:val="16"/>
              </w:rPr>
              <w:t>人</w:t>
            </w:r>
            <w:r>
              <w:rPr>
                <w:spacing w:val="-23"/>
                <w:sz w:val="16"/>
                <w:szCs w:val="16"/>
              </w:rPr>
              <w:t xml:space="preserve"> </w:t>
            </w:r>
            <w:r>
              <w:rPr>
                <w:spacing w:val="-12"/>
                <w:sz w:val="16"/>
                <w:szCs w:val="16"/>
              </w:rPr>
              <w:t>员</w:t>
            </w:r>
            <w:r>
              <w:rPr>
                <w:spacing w:val="-28"/>
                <w:sz w:val="16"/>
                <w:szCs w:val="16"/>
              </w:rPr>
              <w:t xml:space="preserve"> </w:t>
            </w:r>
            <w:r>
              <w:rPr>
                <w:spacing w:val="-12"/>
                <w:sz w:val="16"/>
                <w:szCs w:val="16"/>
              </w:rPr>
              <w:t>协</w:t>
            </w:r>
            <w:r>
              <w:rPr>
                <w:spacing w:val="-28"/>
                <w:sz w:val="16"/>
                <w:szCs w:val="16"/>
              </w:rPr>
              <w:t xml:space="preserve"> </w:t>
            </w:r>
            <w:r>
              <w:rPr>
                <w:spacing w:val="-12"/>
                <w:sz w:val="16"/>
                <w:szCs w:val="16"/>
              </w:rPr>
              <w:t>助</w:t>
            </w:r>
            <w:r>
              <w:rPr>
                <w:spacing w:val="-24"/>
                <w:sz w:val="16"/>
                <w:szCs w:val="16"/>
              </w:rPr>
              <w:t xml:space="preserve"> </w:t>
            </w:r>
            <w:r>
              <w:rPr>
                <w:spacing w:val="-12"/>
                <w:sz w:val="16"/>
                <w:szCs w:val="16"/>
              </w:rPr>
              <w:t>下</w:t>
            </w:r>
            <w:r>
              <w:rPr>
                <w:spacing w:val="-27"/>
                <w:sz w:val="16"/>
                <w:szCs w:val="16"/>
              </w:rPr>
              <w:t xml:space="preserve"> </w:t>
            </w:r>
            <w:r>
              <w:rPr>
                <w:spacing w:val="-12"/>
                <w:sz w:val="16"/>
                <w:szCs w:val="16"/>
              </w:rPr>
              <w:t>完</w:t>
            </w:r>
            <w:r>
              <w:rPr>
                <w:sz w:val="16"/>
                <w:szCs w:val="16"/>
              </w:rPr>
              <w:t xml:space="preserve">  </w:t>
            </w:r>
            <w:r>
              <w:rPr>
                <w:spacing w:val="-14"/>
                <w:sz w:val="16"/>
                <w:szCs w:val="16"/>
              </w:rPr>
              <w:t>成</w:t>
            </w:r>
            <w:r>
              <w:rPr>
                <w:spacing w:val="-10"/>
                <w:sz w:val="16"/>
                <w:szCs w:val="16"/>
              </w:rPr>
              <w:t xml:space="preserve"> </w:t>
            </w:r>
            <w:r>
              <w:rPr>
                <w:spacing w:val="-14"/>
                <w:sz w:val="16"/>
                <w:szCs w:val="16"/>
              </w:rPr>
              <w:t>已</w:t>
            </w:r>
            <w:r>
              <w:rPr>
                <w:spacing w:val="-30"/>
                <w:sz w:val="16"/>
                <w:szCs w:val="16"/>
              </w:rPr>
              <w:t xml:space="preserve"> </w:t>
            </w:r>
            <w:r>
              <w:rPr>
                <w:spacing w:val="-14"/>
                <w:sz w:val="16"/>
                <w:szCs w:val="16"/>
              </w:rPr>
              <w:t>知</w:t>
            </w:r>
            <w:r>
              <w:rPr>
                <w:spacing w:val="-30"/>
                <w:sz w:val="16"/>
                <w:szCs w:val="16"/>
              </w:rPr>
              <w:t xml:space="preserve"> </w:t>
            </w:r>
            <w:r>
              <w:rPr>
                <w:spacing w:val="-14"/>
                <w:sz w:val="16"/>
                <w:szCs w:val="16"/>
              </w:rPr>
              <w:t>角</w:t>
            </w:r>
            <w:r>
              <w:rPr>
                <w:spacing w:val="-34"/>
                <w:sz w:val="16"/>
                <w:szCs w:val="16"/>
              </w:rPr>
              <w:t xml:space="preserve"> </w:t>
            </w:r>
            <w:r>
              <w:rPr>
                <w:spacing w:val="-14"/>
                <w:sz w:val="16"/>
                <w:szCs w:val="16"/>
              </w:rPr>
              <w:t>度</w:t>
            </w:r>
            <w:r>
              <w:rPr>
                <w:spacing w:val="-32"/>
                <w:sz w:val="16"/>
                <w:szCs w:val="16"/>
              </w:rPr>
              <w:t xml:space="preserve"> </w:t>
            </w:r>
            <w:r>
              <w:rPr>
                <w:spacing w:val="-14"/>
                <w:sz w:val="16"/>
                <w:szCs w:val="16"/>
              </w:rPr>
              <w:t>测</w:t>
            </w:r>
            <w:r>
              <w:rPr>
                <w:spacing w:val="-30"/>
                <w:sz w:val="16"/>
                <w:szCs w:val="16"/>
              </w:rPr>
              <w:t xml:space="preserve"> </w:t>
            </w:r>
            <w:r>
              <w:rPr>
                <w:spacing w:val="-14"/>
                <w:sz w:val="16"/>
                <w:szCs w:val="16"/>
              </w:rPr>
              <w:t>设</w:t>
            </w:r>
            <w:r>
              <w:rPr>
                <w:spacing w:val="-22"/>
                <w:sz w:val="16"/>
                <w:szCs w:val="16"/>
              </w:rPr>
              <w:t xml:space="preserve"> </w:t>
            </w:r>
            <w:r>
              <w:rPr>
                <w:spacing w:val="-14"/>
                <w:sz w:val="16"/>
                <w:szCs w:val="16"/>
              </w:rPr>
              <w:t>、</w:t>
            </w:r>
            <w:r>
              <w:rPr>
                <w:spacing w:val="-19"/>
                <w:sz w:val="16"/>
                <w:szCs w:val="16"/>
              </w:rPr>
              <w:t xml:space="preserve"> </w:t>
            </w:r>
            <w:r>
              <w:rPr>
                <w:spacing w:val="-14"/>
                <w:sz w:val="16"/>
                <w:szCs w:val="16"/>
              </w:rPr>
              <w:t>已</w:t>
            </w:r>
            <w:r>
              <w:rPr>
                <w:sz w:val="16"/>
                <w:szCs w:val="16"/>
              </w:rPr>
              <w:t xml:space="preserve">  </w:t>
            </w:r>
            <w:r>
              <w:rPr>
                <w:spacing w:val="-4"/>
                <w:sz w:val="16"/>
                <w:szCs w:val="16"/>
              </w:rPr>
              <w:t>知距离测设等作业。</w:t>
            </w:r>
          </w:p>
        </w:tc>
        <w:tc>
          <w:tcPr>
            <w:tcW w:w="2207" w:type="dxa"/>
            <w:vAlign w:val="top"/>
          </w:tcPr>
          <w:p w14:paraId="238205B0">
            <w:pPr>
              <w:pStyle w:val="6"/>
              <w:spacing w:before="116" w:line="226" w:lineRule="auto"/>
              <w:ind w:left="4" w:right="91" w:firstLine="20"/>
              <w:rPr>
                <w:sz w:val="18"/>
                <w:szCs w:val="18"/>
              </w:rPr>
            </w:pPr>
            <w:r>
              <w:rPr>
                <w:sz w:val="18"/>
                <w:szCs w:val="18"/>
              </w:rPr>
              <w:t>1、熟练掌握经纬仪的规范</w:t>
            </w:r>
            <w:r>
              <w:rPr>
                <w:spacing w:val="9"/>
                <w:sz w:val="18"/>
                <w:szCs w:val="18"/>
              </w:rPr>
              <w:t xml:space="preserve"> </w:t>
            </w:r>
            <w:r>
              <w:rPr>
                <w:spacing w:val="18"/>
                <w:sz w:val="18"/>
                <w:szCs w:val="18"/>
              </w:rPr>
              <w:t>使用知识；</w:t>
            </w:r>
          </w:p>
          <w:p w14:paraId="6900BEF5">
            <w:pPr>
              <w:pStyle w:val="6"/>
              <w:spacing w:before="1" w:line="225" w:lineRule="auto"/>
              <w:ind w:left="4" w:right="121" w:firstLine="10"/>
              <w:rPr>
                <w:sz w:val="18"/>
                <w:szCs w:val="18"/>
              </w:rPr>
            </w:pPr>
            <w:r>
              <w:rPr>
                <w:spacing w:val="-1"/>
                <w:sz w:val="18"/>
                <w:szCs w:val="18"/>
              </w:rPr>
              <w:t>2、掌握一般距离测量的基</w:t>
            </w:r>
            <w:r>
              <w:rPr>
                <w:spacing w:val="1"/>
                <w:sz w:val="18"/>
                <w:szCs w:val="18"/>
              </w:rPr>
              <w:t xml:space="preserve"> </w:t>
            </w:r>
            <w:r>
              <w:rPr>
                <w:spacing w:val="21"/>
                <w:sz w:val="18"/>
                <w:szCs w:val="18"/>
              </w:rPr>
              <w:t>本工作</w:t>
            </w:r>
            <w:r>
              <w:rPr>
                <w:spacing w:val="-43"/>
                <w:sz w:val="18"/>
                <w:szCs w:val="18"/>
              </w:rPr>
              <w:t xml:space="preserve"> </w:t>
            </w:r>
            <w:r>
              <w:rPr>
                <w:spacing w:val="21"/>
                <w:sz w:val="18"/>
                <w:szCs w:val="18"/>
              </w:rPr>
              <w:t>；</w:t>
            </w:r>
          </w:p>
          <w:p w14:paraId="233EDE2A">
            <w:pPr>
              <w:pStyle w:val="6"/>
              <w:spacing w:line="230" w:lineRule="auto"/>
              <w:ind w:left="4" w:right="288"/>
              <w:rPr>
                <w:sz w:val="18"/>
                <w:szCs w:val="18"/>
              </w:rPr>
            </w:pPr>
            <w:r>
              <w:rPr>
                <w:spacing w:val="1"/>
                <w:sz w:val="18"/>
                <w:szCs w:val="18"/>
              </w:rPr>
              <w:t xml:space="preserve">3、熟练掌握水平距离的 </w:t>
            </w:r>
            <w:r>
              <w:rPr>
                <w:spacing w:val="15"/>
                <w:sz w:val="18"/>
                <w:szCs w:val="18"/>
              </w:rPr>
              <w:t>般测设方法；</w:t>
            </w:r>
          </w:p>
          <w:p w14:paraId="18B3C9F0">
            <w:pPr>
              <w:pStyle w:val="6"/>
              <w:spacing w:line="231" w:lineRule="auto"/>
              <w:ind w:left="4" w:right="287"/>
              <w:rPr>
                <w:sz w:val="18"/>
                <w:szCs w:val="18"/>
              </w:rPr>
            </w:pPr>
            <w:r>
              <w:rPr>
                <w:spacing w:val="1"/>
                <w:sz w:val="18"/>
                <w:szCs w:val="18"/>
              </w:rPr>
              <w:t>4、熟练掌握水平角度的</w:t>
            </w:r>
            <w:r>
              <w:rPr>
                <w:spacing w:val="2"/>
                <w:sz w:val="18"/>
                <w:szCs w:val="18"/>
              </w:rPr>
              <w:t xml:space="preserve"> </w:t>
            </w:r>
            <w:r>
              <w:rPr>
                <w:spacing w:val="15"/>
                <w:sz w:val="18"/>
                <w:szCs w:val="18"/>
              </w:rPr>
              <w:t>般测设方法；</w:t>
            </w:r>
          </w:p>
          <w:p w14:paraId="5231CD3E">
            <w:pPr>
              <w:pStyle w:val="6"/>
              <w:spacing w:before="1" w:line="225" w:lineRule="auto"/>
              <w:ind w:left="4" w:right="101" w:firstLine="10"/>
              <w:rPr>
                <w:sz w:val="18"/>
                <w:szCs w:val="18"/>
              </w:rPr>
            </w:pPr>
            <w:r>
              <w:rPr>
                <w:sz w:val="18"/>
                <w:szCs w:val="18"/>
              </w:rPr>
              <w:t>5、具备建筑物平面测设工</w:t>
            </w:r>
            <w:r>
              <w:rPr>
                <w:spacing w:val="9"/>
                <w:sz w:val="18"/>
                <w:szCs w:val="18"/>
              </w:rPr>
              <w:t xml:space="preserve"> </w:t>
            </w:r>
            <w:r>
              <w:rPr>
                <w:spacing w:val="12"/>
                <w:sz w:val="18"/>
                <w:szCs w:val="18"/>
              </w:rPr>
              <w:t>作的基本能力；</w:t>
            </w:r>
          </w:p>
          <w:p w14:paraId="56EC16D1">
            <w:pPr>
              <w:pStyle w:val="6"/>
              <w:spacing w:line="220" w:lineRule="auto"/>
              <w:jc w:val="right"/>
              <w:rPr>
                <w:sz w:val="18"/>
                <w:szCs w:val="18"/>
              </w:rPr>
            </w:pPr>
            <w:r>
              <w:rPr>
                <w:spacing w:val="-5"/>
                <w:sz w:val="18"/>
                <w:szCs w:val="18"/>
              </w:rPr>
              <w:t>6、测试时间不少于30分钟。</w:t>
            </w:r>
          </w:p>
        </w:tc>
        <w:tc>
          <w:tcPr>
            <w:tcW w:w="1872" w:type="dxa"/>
            <w:vAlign w:val="top"/>
          </w:tcPr>
          <w:p w14:paraId="0B68A22E">
            <w:pPr>
              <w:spacing w:line="307" w:lineRule="auto"/>
              <w:rPr>
                <w:rFonts w:ascii="Arial"/>
                <w:sz w:val="21"/>
              </w:rPr>
            </w:pPr>
          </w:p>
          <w:p w14:paraId="7E7EDDF4">
            <w:pPr>
              <w:spacing w:line="308" w:lineRule="auto"/>
              <w:rPr>
                <w:rFonts w:ascii="Arial"/>
                <w:sz w:val="21"/>
              </w:rPr>
            </w:pPr>
          </w:p>
          <w:p w14:paraId="12EC5D83">
            <w:pPr>
              <w:pStyle w:val="6"/>
              <w:spacing w:before="58" w:line="219" w:lineRule="auto"/>
              <w:jc w:val="right"/>
              <w:rPr>
                <w:sz w:val="18"/>
                <w:szCs w:val="18"/>
              </w:rPr>
            </w:pPr>
            <w:r>
              <w:rPr>
                <w:spacing w:val="-18"/>
                <w:sz w:val="18"/>
                <w:szCs w:val="18"/>
              </w:rPr>
              <w:t>1、经纬仪正确使用60分；</w:t>
            </w:r>
          </w:p>
          <w:p w14:paraId="3D4CC544">
            <w:pPr>
              <w:pStyle w:val="6"/>
              <w:spacing w:before="5" w:line="219" w:lineRule="auto"/>
              <w:ind w:left="17"/>
              <w:rPr>
                <w:sz w:val="18"/>
                <w:szCs w:val="18"/>
              </w:rPr>
            </w:pPr>
            <w:r>
              <w:rPr>
                <w:spacing w:val="8"/>
                <w:sz w:val="18"/>
                <w:szCs w:val="18"/>
              </w:rPr>
              <w:t>2、水平角测设30分；</w:t>
            </w:r>
          </w:p>
          <w:p w14:paraId="7EC3C9F0">
            <w:pPr>
              <w:pStyle w:val="6"/>
              <w:spacing w:before="7" w:line="219" w:lineRule="auto"/>
              <w:jc w:val="right"/>
              <w:rPr>
                <w:sz w:val="18"/>
                <w:szCs w:val="18"/>
              </w:rPr>
            </w:pPr>
            <w:r>
              <w:rPr>
                <w:spacing w:val="-4"/>
                <w:sz w:val="18"/>
                <w:szCs w:val="18"/>
              </w:rPr>
              <w:t>3、水平距离测设30分；</w:t>
            </w:r>
          </w:p>
          <w:p w14:paraId="4E9DBB2A">
            <w:pPr>
              <w:pStyle w:val="6"/>
              <w:spacing w:before="16" w:line="218" w:lineRule="auto"/>
              <w:ind w:left="17" w:right="140"/>
              <w:rPr>
                <w:sz w:val="18"/>
                <w:szCs w:val="18"/>
              </w:rPr>
            </w:pPr>
            <w:r>
              <w:rPr>
                <w:spacing w:val="-1"/>
                <w:sz w:val="18"/>
                <w:szCs w:val="18"/>
              </w:rPr>
              <w:t>4、定位点测设步骤合</w:t>
            </w:r>
            <w:r>
              <w:rPr>
                <w:spacing w:val="2"/>
                <w:sz w:val="18"/>
                <w:szCs w:val="18"/>
              </w:rPr>
              <w:t xml:space="preserve"> </w:t>
            </w:r>
            <w:r>
              <w:rPr>
                <w:spacing w:val="17"/>
                <w:sz w:val="18"/>
                <w:szCs w:val="18"/>
              </w:rPr>
              <w:t>理15分；</w:t>
            </w:r>
          </w:p>
          <w:p w14:paraId="7DE4E8A4">
            <w:pPr>
              <w:pStyle w:val="6"/>
              <w:spacing w:before="5" w:line="220" w:lineRule="auto"/>
              <w:jc w:val="right"/>
              <w:rPr>
                <w:sz w:val="18"/>
                <w:szCs w:val="18"/>
              </w:rPr>
            </w:pPr>
            <w:r>
              <w:rPr>
                <w:spacing w:val="-18"/>
                <w:sz w:val="18"/>
                <w:szCs w:val="18"/>
              </w:rPr>
              <w:t>5、定位点测设正确15分。</w:t>
            </w:r>
          </w:p>
        </w:tc>
      </w:tr>
      <w:tr w14:paraId="61AC22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97" w:hRule="atLeast"/>
        </w:trPr>
        <w:tc>
          <w:tcPr>
            <w:tcW w:w="944" w:type="dxa"/>
            <w:vAlign w:val="top"/>
          </w:tcPr>
          <w:p w14:paraId="72CB56AE">
            <w:pPr>
              <w:spacing w:line="245" w:lineRule="auto"/>
              <w:rPr>
                <w:rFonts w:ascii="Arial"/>
                <w:sz w:val="21"/>
              </w:rPr>
            </w:pPr>
          </w:p>
          <w:p w14:paraId="2235D1AC">
            <w:pPr>
              <w:spacing w:line="245" w:lineRule="auto"/>
              <w:rPr>
                <w:rFonts w:ascii="Arial"/>
                <w:sz w:val="21"/>
              </w:rPr>
            </w:pPr>
          </w:p>
          <w:p w14:paraId="0D9F9B4D">
            <w:pPr>
              <w:spacing w:line="245" w:lineRule="auto"/>
              <w:rPr>
                <w:rFonts w:ascii="Arial"/>
                <w:sz w:val="21"/>
              </w:rPr>
            </w:pPr>
          </w:p>
          <w:p w14:paraId="6AA3A0D0">
            <w:pPr>
              <w:spacing w:line="245" w:lineRule="auto"/>
              <w:rPr>
                <w:rFonts w:ascii="Arial"/>
                <w:sz w:val="21"/>
              </w:rPr>
            </w:pPr>
          </w:p>
          <w:p w14:paraId="5F6F04CD">
            <w:pPr>
              <w:spacing w:line="246" w:lineRule="auto"/>
              <w:rPr>
                <w:rFonts w:ascii="Arial"/>
                <w:sz w:val="21"/>
              </w:rPr>
            </w:pPr>
          </w:p>
          <w:p w14:paraId="51124C69">
            <w:pPr>
              <w:spacing w:line="246" w:lineRule="auto"/>
              <w:rPr>
                <w:rFonts w:ascii="Arial"/>
                <w:sz w:val="21"/>
              </w:rPr>
            </w:pPr>
          </w:p>
          <w:p w14:paraId="0EA36ADD">
            <w:pPr>
              <w:pStyle w:val="6"/>
              <w:spacing w:before="59" w:line="205" w:lineRule="auto"/>
              <w:ind w:left="194"/>
              <w:rPr>
                <w:sz w:val="18"/>
                <w:szCs w:val="18"/>
              </w:rPr>
            </w:pPr>
            <w:r>
              <w:rPr>
                <w:spacing w:val="-3"/>
                <w:sz w:val="18"/>
                <w:szCs w:val="18"/>
              </w:rPr>
              <w:t>项目三</w:t>
            </w:r>
          </w:p>
          <w:p w14:paraId="4F275B88">
            <w:pPr>
              <w:pStyle w:val="6"/>
              <w:spacing w:line="214" w:lineRule="auto"/>
              <w:ind w:left="105"/>
              <w:rPr>
                <w:sz w:val="18"/>
                <w:szCs w:val="18"/>
              </w:rPr>
            </w:pPr>
            <w:r>
              <w:rPr>
                <w:spacing w:val="3"/>
                <w:sz w:val="18"/>
                <w:szCs w:val="18"/>
              </w:rPr>
              <w:t>手工绘图</w:t>
            </w:r>
          </w:p>
          <w:p w14:paraId="76F12079">
            <w:pPr>
              <w:pStyle w:val="6"/>
              <w:spacing w:line="219" w:lineRule="auto"/>
              <w:ind w:left="144"/>
              <w:rPr>
                <w:sz w:val="18"/>
                <w:szCs w:val="18"/>
              </w:rPr>
            </w:pPr>
            <w:r>
              <w:rPr>
                <w:spacing w:val="2"/>
                <w:sz w:val="18"/>
                <w:szCs w:val="18"/>
              </w:rPr>
              <w:t>(分值为</w:t>
            </w:r>
          </w:p>
          <w:p w14:paraId="1501332A">
            <w:pPr>
              <w:pStyle w:val="6"/>
              <w:spacing w:before="6" w:line="220" w:lineRule="auto"/>
              <w:ind w:left="194"/>
              <w:rPr>
                <w:sz w:val="18"/>
                <w:szCs w:val="18"/>
              </w:rPr>
            </w:pPr>
            <w:r>
              <w:rPr>
                <w:spacing w:val="7"/>
                <w:sz w:val="18"/>
                <w:szCs w:val="18"/>
              </w:rPr>
              <w:t>150分)</w:t>
            </w:r>
          </w:p>
        </w:tc>
        <w:tc>
          <w:tcPr>
            <w:tcW w:w="809" w:type="dxa"/>
            <w:vAlign w:val="top"/>
          </w:tcPr>
          <w:p w14:paraId="615664F1">
            <w:pPr>
              <w:spacing w:line="344" w:lineRule="auto"/>
              <w:rPr>
                <w:rFonts w:ascii="Arial"/>
                <w:sz w:val="21"/>
              </w:rPr>
            </w:pPr>
          </w:p>
          <w:p w14:paraId="75CB9FF7">
            <w:pPr>
              <w:spacing w:line="345" w:lineRule="auto"/>
              <w:rPr>
                <w:rFonts w:ascii="Arial"/>
                <w:sz w:val="21"/>
              </w:rPr>
            </w:pPr>
          </w:p>
          <w:p w14:paraId="40BA6D87">
            <w:pPr>
              <w:pStyle w:val="6"/>
              <w:spacing w:before="58" w:line="224" w:lineRule="auto"/>
              <w:ind w:left="30" w:right="29" w:firstLine="49"/>
              <w:jc w:val="both"/>
              <w:rPr>
                <w:sz w:val="18"/>
                <w:szCs w:val="18"/>
              </w:rPr>
            </w:pPr>
            <w:r>
              <w:rPr>
                <w:spacing w:val="3"/>
                <w:sz w:val="18"/>
                <w:szCs w:val="18"/>
              </w:rPr>
              <w:t>2号绘图</w:t>
            </w:r>
            <w:r>
              <w:rPr>
                <w:spacing w:val="2"/>
                <w:sz w:val="18"/>
                <w:szCs w:val="18"/>
              </w:rPr>
              <w:t xml:space="preserve"> </w:t>
            </w:r>
            <w:r>
              <w:rPr>
                <w:spacing w:val="-6"/>
                <w:sz w:val="18"/>
                <w:szCs w:val="18"/>
              </w:rPr>
              <w:t>板，</w:t>
            </w:r>
            <w:r>
              <w:rPr>
                <w:spacing w:val="4"/>
                <w:sz w:val="18"/>
                <w:szCs w:val="18"/>
              </w:rPr>
              <w:t xml:space="preserve">  </w:t>
            </w:r>
            <w:r>
              <w:rPr>
                <w:spacing w:val="-6"/>
                <w:sz w:val="18"/>
                <w:szCs w:val="18"/>
              </w:rPr>
              <w:t>丁</w:t>
            </w:r>
            <w:r>
              <w:rPr>
                <w:spacing w:val="1"/>
                <w:sz w:val="18"/>
                <w:szCs w:val="18"/>
              </w:rPr>
              <w:t xml:space="preserve"> </w:t>
            </w:r>
            <w:r>
              <w:rPr>
                <w:spacing w:val="-2"/>
                <w:sz w:val="18"/>
                <w:szCs w:val="18"/>
              </w:rPr>
              <w:t>字尺，三</w:t>
            </w:r>
            <w:r>
              <w:rPr>
                <w:sz w:val="18"/>
                <w:szCs w:val="18"/>
              </w:rPr>
              <w:t xml:space="preserve"> </w:t>
            </w:r>
            <w:r>
              <w:rPr>
                <w:spacing w:val="4"/>
                <w:sz w:val="18"/>
                <w:szCs w:val="18"/>
              </w:rPr>
              <w:t>角板，圆</w:t>
            </w:r>
            <w:r>
              <w:rPr>
                <w:sz w:val="18"/>
                <w:szCs w:val="18"/>
              </w:rPr>
              <w:t xml:space="preserve"> </w:t>
            </w:r>
            <w:r>
              <w:rPr>
                <w:spacing w:val="-2"/>
                <w:sz w:val="18"/>
                <w:szCs w:val="18"/>
              </w:rPr>
              <w:t>规，建筑</w:t>
            </w:r>
            <w:r>
              <w:rPr>
                <w:sz w:val="18"/>
                <w:szCs w:val="18"/>
              </w:rPr>
              <w:t xml:space="preserve"> </w:t>
            </w:r>
            <w:r>
              <w:rPr>
                <w:spacing w:val="-2"/>
                <w:sz w:val="18"/>
                <w:szCs w:val="18"/>
              </w:rPr>
              <w:t>模板，铅</w:t>
            </w:r>
            <w:r>
              <w:rPr>
                <w:sz w:val="18"/>
                <w:szCs w:val="18"/>
              </w:rPr>
              <w:t xml:space="preserve"> </w:t>
            </w:r>
            <w:r>
              <w:rPr>
                <w:spacing w:val="-6"/>
                <w:sz w:val="18"/>
                <w:szCs w:val="18"/>
              </w:rPr>
              <w:t>笔，</w:t>
            </w:r>
            <w:r>
              <w:rPr>
                <w:spacing w:val="3"/>
                <w:sz w:val="18"/>
                <w:szCs w:val="18"/>
              </w:rPr>
              <w:t xml:space="preserve">  </w:t>
            </w:r>
            <w:r>
              <w:rPr>
                <w:spacing w:val="-6"/>
                <w:sz w:val="18"/>
                <w:szCs w:val="18"/>
              </w:rPr>
              <w:t>橡</w:t>
            </w:r>
            <w:r>
              <w:rPr>
                <w:spacing w:val="1"/>
                <w:sz w:val="18"/>
                <w:szCs w:val="18"/>
              </w:rPr>
              <w:t xml:space="preserve"> </w:t>
            </w:r>
            <w:r>
              <w:rPr>
                <w:spacing w:val="-3"/>
                <w:sz w:val="18"/>
                <w:szCs w:val="18"/>
              </w:rPr>
              <w:t>皮，胶带</w:t>
            </w:r>
            <w:r>
              <w:rPr>
                <w:spacing w:val="1"/>
                <w:sz w:val="18"/>
                <w:szCs w:val="18"/>
              </w:rPr>
              <w:t xml:space="preserve"> </w:t>
            </w:r>
            <w:r>
              <w:rPr>
                <w:spacing w:val="-3"/>
                <w:sz w:val="18"/>
                <w:szCs w:val="18"/>
              </w:rPr>
              <w:t>等绘图仪</w:t>
            </w:r>
            <w:r>
              <w:rPr>
                <w:spacing w:val="2"/>
                <w:sz w:val="18"/>
                <w:szCs w:val="18"/>
              </w:rPr>
              <w:t xml:space="preserve"> </w:t>
            </w:r>
            <w:r>
              <w:rPr>
                <w:spacing w:val="4"/>
                <w:sz w:val="18"/>
                <w:szCs w:val="18"/>
              </w:rPr>
              <w:t>器和用品</w:t>
            </w:r>
          </w:p>
        </w:tc>
        <w:tc>
          <w:tcPr>
            <w:tcW w:w="999" w:type="dxa"/>
            <w:vAlign w:val="top"/>
          </w:tcPr>
          <w:p w14:paraId="165C5C5E">
            <w:pPr>
              <w:spacing w:line="260" w:lineRule="auto"/>
              <w:rPr>
                <w:rFonts w:ascii="Arial"/>
                <w:sz w:val="21"/>
              </w:rPr>
            </w:pPr>
          </w:p>
          <w:p w14:paraId="633D9B19">
            <w:pPr>
              <w:spacing w:line="260" w:lineRule="auto"/>
              <w:rPr>
                <w:rFonts w:ascii="Arial"/>
                <w:sz w:val="21"/>
              </w:rPr>
            </w:pPr>
          </w:p>
          <w:p w14:paraId="4AC73E9E">
            <w:pPr>
              <w:spacing w:line="260" w:lineRule="auto"/>
              <w:rPr>
                <w:rFonts w:ascii="Arial"/>
                <w:sz w:val="21"/>
              </w:rPr>
            </w:pPr>
          </w:p>
          <w:p w14:paraId="2619DD64">
            <w:pPr>
              <w:spacing w:line="260" w:lineRule="auto"/>
              <w:rPr>
                <w:rFonts w:ascii="Arial"/>
                <w:sz w:val="21"/>
              </w:rPr>
            </w:pPr>
          </w:p>
          <w:p w14:paraId="4367DE05">
            <w:pPr>
              <w:spacing w:line="260" w:lineRule="auto"/>
              <w:rPr>
                <w:rFonts w:ascii="Arial"/>
                <w:sz w:val="21"/>
              </w:rPr>
            </w:pPr>
          </w:p>
          <w:p w14:paraId="4D50E26D">
            <w:pPr>
              <w:spacing w:line="261" w:lineRule="auto"/>
              <w:rPr>
                <w:rFonts w:ascii="Arial"/>
                <w:sz w:val="21"/>
              </w:rPr>
            </w:pPr>
          </w:p>
          <w:p w14:paraId="33568FC0">
            <w:pPr>
              <w:pStyle w:val="6"/>
              <w:spacing w:before="58" w:line="218" w:lineRule="auto"/>
              <w:ind w:left="11" w:right="7"/>
              <w:rPr>
                <w:sz w:val="18"/>
                <w:szCs w:val="18"/>
              </w:rPr>
            </w:pPr>
            <w:r>
              <w:rPr>
                <w:spacing w:val="-4"/>
                <w:sz w:val="18"/>
                <w:szCs w:val="18"/>
              </w:rPr>
              <w:t>1、手工抄制</w:t>
            </w:r>
            <w:r>
              <w:rPr>
                <w:spacing w:val="2"/>
                <w:sz w:val="18"/>
                <w:szCs w:val="18"/>
              </w:rPr>
              <w:t xml:space="preserve"> </w:t>
            </w:r>
            <w:r>
              <w:rPr>
                <w:spacing w:val="-1"/>
                <w:sz w:val="18"/>
                <w:szCs w:val="18"/>
              </w:rPr>
              <w:t>工程图纸。</w:t>
            </w:r>
          </w:p>
        </w:tc>
        <w:tc>
          <w:tcPr>
            <w:tcW w:w="1858" w:type="dxa"/>
            <w:vAlign w:val="top"/>
          </w:tcPr>
          <w:p w14:paraId="7830BE98">
            <w:pPr>
              <w:spacing w:line="270" w:lineRule="auto"/>
              <w:rPr>
                <w:rFonts w:ascii="Arial"/>
                <w:sz w:val="21"/>
              </w:rPr>
            </w:pPr>
          </w:p>
          <w:p w14:paraId="1DC689C9">
            <w:pPr>
              <w:spacing w:line="270" w:lineRule="auto"/>
              <w:rPr>
                <w:rFonts w:ascii="Arial"/>
                <w:sz w:val="21"/>
              </w:rPr>
            </w:pPr>
          </w:p>
          <w:p w14:paraId="3C22893B">
            <w:pPr>
              <w:spacing w:line="271" w:lineRule="auto"/>
              <w:rPr>
                <w:rFonts w:ascii="Arial"/>
                <w:sz w:val="21"/>
              </w:rPr>
            </w:pPr>
          </w:p>
          <w:p w14:paraId="6D7027BD">
            <w:pPr>
              <w:spacing w:line="271" w:lineRule="auto"/>
              <w:rPr>
                <w:rFonts w:ascii="Arial"/>
                <w:sz w:val="21"/>
              </w:rPr>
            </w:pPr>
          </w:p>
          <w:p w14:paraId="04593F28">
            <w:pPr>
              <w:spacing w:line="271" w:lineRule="auto"/>
              <w:rPr>
                <w:rFonts w:ascii="Arial"/>
                <w:sz w:val="21"/>
              </w:rPr>
            </w:pPr>
          </w:p>
          <w:p w14:paraId="2CA520A3">
            <w:pPr>
              <w:pStyle w:val="6"/>
              <w:spacing w:before="58" w:line="217" w:lineRule="auto"/>
              <w:ind w:left="23" w:firstLine="39"/>
              <w:rPr>
                <w:sz w:val="18"/>
                <w:szCs w:val="18"/>
              </w:rPr>
            </w:pPr>
            <w:r>
              <w:rPr>
                <w:spacing w:val="-2"/>
                <w:sz w:val="18"/>
                <w:szCs w:val="18"/>
              </w:rPr>
              <w:t>按测试样卷图样要求，</w:t>
            </w:r>
            <w:r>
              <w:rPr>
                <w:spacing w:val="4"/>
                <w:sz w:val="18"/>
                <w:szCs w:val="18"/>
              </w:rPr>
              <w:t xml:space="preserve"> </w:t>
            </w:r>
            <w:r>
              <w:rPr>
                <w:sz w:val="18"/>
                <w:szCs w:val="18"/>
              </w:rPr>
              <w:t>在教室测试环境下使用</w:t>
            </w:r>
          </w:p>
          <w:p w14:paraId="5F0161B5">
            <w:pPr>
              <w:pStyle w:val="6"/>
              <w:spacing w:before="6" w:line="223" w:lineRule="auto"/>
              <w:ind w:left="13" w:right="126" w:firstLine="99"/>
              <w:rPr>
                <w:sz w:val="18"/>
                <w:szCs w:val="18"/>
              </w:rPr>
            </w:pPr>
            <w:r>
              <w:rPr>
                <w:spacing w:val="-2"/>
                <w:sz w:val="18"/>
                <w:szCs w:val="18"/>
              </w:rPr>
              <w:t>常用的绘图器具完成</w:t>
            </w:r>
            <w:r>
              <w:rPr>
                <w:spacing w:val="5"/>
                <w:sz w:val="18"/>
                <w:szCs w:val="18"/>
              </w:rPr>
              <w:t xml:space="preserve"> </w:t>
            </w:r>
            <w:r>
              <w:rPr>
                <w:spacing w:val="-1"/>
                <w:sz w:val="18"/>
                <w:szCs w:val="18"/>
              </w:rPr>
              <w:t>手工绘图工作。</w:t>
            </w:r>
          </w:p>
        </w:tc>
        <w:tc>
          <w:tcPr>
            <w:tcW w:w="2207" w:type="dxa"/>
            <w:vAlign w:val="top"/>
          </w:tcPr>
          <w:p w14:paraId="46FA631D">
            <w:pPr>
              <w:pStyle w:val="6"/>
              <w:spacing w:before="208" w:line="222" w:lineRule="auto"/>
              <w:ind w:left="4"/>
              <w:rPr>
                <w:sz w:val="18"/>
                <w:szCs w:val="18"/>
              </w:rPr>
            </w:pPr>
            <w:r>
              <w:rPr>
                <w:spacing w:val="-17"/>
                <w:sz w:val="18"/>
                <w:szCs w:val="18"/>
              </w:rPr>
              <w:t>1、能正确使用图板，丁字尺，</w:t>
            </w:r>
            <w:r>
              <w:rPr>
                <w:sz w:val="18"/>
                <w:szCs w:val="18"/>
              </w:rPr>
              <w:t xml:space="preserve"> </w:t>
            </w:r>
            <w:r>
              <w:rPr>
                <w:spacing w:val="-12"/>
                <w:sz w:val="18"/>
                <w:szCs w:val="18"/>
              </w:rPr>
              <w:t>三角板等绘图器具进行绘图；</w:t>
            </w:r>
          </w:p>
          <w:p w14:paraId="115060DE">
            <w:pPr>
              <w:pStyle w:val="6"/>
              <w:spacing w:before="27" w:line="210" w:lineRule="auto"/>
              <w:ind w:left="4" w:right="122"/>
              <w:rPr>
                <w:sz w:val="18"/>
                <w:szCs w:val="18"/>
              </w:rPr>
            </w:pPr>
            <w:r>
              <w:rPr>
                <w:spacing w:val="-1"/>
                <w:sz w:val="18"/>
                <w:szCs w:val="18"/>
              </w:rPr>
              <w:t>2、掌握正确的绘图方法，</w:t>
            </w:r>
            <w:r>
              <w:rPr>
                <w:spacing w:val="10"/>
                <w:sz w:val="18"/>
                <w:szCs w:val="18"/>
              </w:rPr>
              <w:t xml:space="preserve"> </w:t>
            </w:r>
            <w:r>
              <w:rPr>
                <w:spacing w:val="-6"/>
                <w:sz w:val="18"/>
                <w:szCs w:val="18"/>
              </w:rPr>
              <w:t>步</w:t>
            </w:r>
            <w:r>
              <w:rPr>
                <w:spacing w:val="-12"/>
                <w:sz w:val="18"/>
                <w:szCs w:val="18"/>
              </w:rPr>
              <w:t xml:space="preserve"> </w:t>
            </w:r>
            <w:r>
              <w:rPr>
                <w:spacing w:val="-6"/>
                <w:sz w:val="18"/>
                <w:szCs w:val="18"/>
              </w:rPr>
              <w:t>骤</w:t>
            </w:r>
            <w:r>
              <w:rPr>
                <w:spacing w:val="-19"/>
                <w:sz w:val="18"/>
                <w:szCs w:val="18"/>
              </w:rPr>
              <w:t xml:space="preserve"> </w:t>
            </w:r>
            <w:r>
              <w:rPr>
                <w:spacing w:val="-6"/>
                <w:sz w:val="18"/>
                <w:szCs w:val="18"/>
              </w:rPr>
              <w:t>；</w:t>
            </w:r>
          </w:p>
          <w:p w14:paraId="27DF6339">
            <w:pPr>
              <w:pStyle w:val="6"/>
              <w:spacing w:before="1" w:line="225" w:lineRule="auto"/>
              <w:ind w:left="4" w:right="16" w:firstLine="20"/>
              <w:rPr>
                <w:sz w:val="18"/>
                <w:szCs w:val="18"/>
              </w:rPr>
            </w:pPr>
            <w:r>
              <w:rPr>
                <w:spacing w:val="-1"/>
                <w:sz w:val="18"/>
                <w:szCs w:val="18"/>
              </w:rPr>
              <w:t>3、熟悉比例的概念，能根</w:t>
            </w:r>
            <w:r>
              <w:rPr>
                <w:sz w:val="18"/>
                <w:szCs w:val="18"/>
              </w:rPr>
              <w:t xml:space="preserve">  </w:t>
            </w:r>
            <w:r>
              <w:rPr>
                <w:spacing w:val="1"/>
                <w:sz w:val="18"/>
                <w:szCs w:val="18"/>
              </w:rPr>
              <w:t>据给定的比例和尺寸绘制图</w:t>
            </w:r>
            <w:r>
              <w:rPr>
                <w:spacing w:val="2"/>
                <w:sz w:val="18"/>
                <w:szCs w:val="18"/>
              </w:rPr>
              <w:t xml:space="preserve"> </w:t>
            </w:r>
            <w:r>
              <w:rPr>
                <w:spacing w:val="-4"/>
                <w:sz w:val="18"/>
                <w:szCs w:val="18"/>
              </w:rPr>
              <w:t>样</w:t>
            </w:r>
            <w:r>
              <w:rPr>
                <w:spacing w:val="49"/>
                <w:sz w:val="18"/>
                <w:szCs w:val="18"/>
              </w:rPr>
              <w:t xml:space="preserve"> </w:t>
            </w:r>
            <w:r>
              <w:rPr>
                <w:spacing w:val="-4"/>
                <w:sz w:val="18"/>
                <w:szCs w:val="18"/>
              </w:rPr>
              <w:t>；</w:t>
            </w:r>
          </w:p>
          <w:p w14:paraId="0B85D237">
            <w:pPr>
              <w:pStyle w:val="6"/>
              <w:spacing w:before="1" w:line="225" w:lineRule="auto"/>
              <w:ind w:left="4"/>
              <w:rPr>
                <w:sz w:val="18"/>
                <w:szCs w:val="18"/>
              </w:rPr>
            </w:pPr>
            <w:r>
              <w:rPr>
                <w:spacing w:val="-4"/>
                <w:sz w:val="18"/>
                <w:szCs w:val="18"/>
              </w:rPr>
              <w:t>4、熟悉常用建筑材料图例</w:t>
            </w:r>
            <w:r>
              <w:rPr>
                <w:spacing w:val="2"/>
                <w:sz w:val="18"/>
                <w:szCs w:val="18"/>
              </w:rPr>
              <w:t xml:space="preserve">   的画法，图例的画法规范；</w:t>
            </w:r>
          </w:p>
          <w:p w14:paraId="0B7221C2">
            <w:pPr>
              <w:pStyle w:val="6"/>
              <w:spacing w:before="1" w:line="225" w:lineRule="auto"/>
              <w:ind w:left="4"/>
              <w:rPr>
                <w:sz w:val="18"/>
                <w:szCs w:val="18"/>
              </w:rPr>
            </w:pPr>
            <w:r>
              <w:rPr>
                <w:spacing w:val="-5"/>
                <w:sz w:val="18"/>
                <w:szCs w:val="18"/>
              </w:rPr>
              <w:t>5、掌握绘制工程图的方法，</w:t>
            </w:r>
            <w:r>
              <w:rPr>
                <w:spacing w:val="6"/>
                <w:sz w:val="18"/>
                <w:szCs w:val="18"/>
              </w:rPr>
              <w:t xml:space="preserve"> </w:t>
            </w:r>
            <w:r>
              <w:rPr>
                <w:spacing w:val="-9"/>
                <w:sz w:val="18"/>
                <w:szCs w:val="18"/>
              </w:rPr>
              <w:t>步</w:t>
            </w:r>
            <w:r>
              <w:rPr>
                <w:spacing w:val="-14"/>
                <w:sz w:val="18"/>
                <w:szCs w:val="18"/>
              </w:rPr>
              <w:t xml:space="preserve"> </w:t>
            </w:r>
            <w:r>
              <w:rPr>
                <w:spacing w:val="-9"/>
                <w:sz w:val="18"/>
                <w:szCs w:val="18"/>
              </w:rPr>
              <w:t>骤</w:t>
            </w:r>
            <w:r>
              <w:rPr>
                <w:spacing w:val="-22"/>
                <w:sz w:val="18"/>
                <w:szCs w:val="18"/>
              </w:rPr>
              <w:t xml:space="preserve"> </w:t>
            </w:r>
            <w:r>
              <w:rPr>
                <w:spacing w:val="-9"/>
                <w:sz w:val="18"/>
                <w:szCs w:val="18"/>
              </w:rPr>
              <w:t>；</w:t>
            </w:r>
          </w:p>
          <w:p w14:paraId="2A83D403">
            <w:pPr>
              <w:pStyle w:val="6"/>
              <w:spacing w:before="1" w:line="218" w:lineRule="auto"/>
              <w:ind w:left="4"/>
              <w:rPr>
                <w:sz w:val="18"/>
                <w:szCs w:val="18"/>
              </w:rPr>
            </w:pPr>
            <w:r>
              <w:rPr>
                <w:sz w:val="18"/>
                <w:szCs w:val="18"/>
              </w:rPr>
              <w:t>6、熟悉尺寸标注的方法，</w:t>
            </w:r>
          </w:p>
          <w:p w14:paraId="464CAE80">
            <w:pPr>
              <w:pStyle w:val="6"/>
              <w:spacing w:before="6" w:line="219" w:lineRule="auto"/>
              <w:jc w:val="right"/>
              <w:rPr>
                <w:sz w:val="18"/>
                <w:szCs w:val="18"/>
              </w:rPr>
            </w:pPr>
            <w:r>
              <w:rPr>
                <w:spacing w:val="2"/>
                <w:sz w:val="18"/>
                <w:szCs w:val="18"/>
              </w:rPr>
              <w:t>尺寸标注应符合规范要求；</w:t>
            </w:r>
          </w:p>
          <w:p w14:paraId="794AB477">
            <w:pPr>
              <w:pStyle w:val="6"/>
              <w:spacing w:before="8" w:line="220" w:lineRule="auto"/>
              <w:jc w:val="right"/>
              <w:rPr>
                <w:sz w:val="18"/>
                <w:szCs w:val="18"/>
              </w:rPr>
            </w:pPr>
            <w:r>
              <w:rPr>
                <w:spacing w:val="-11"/>
                <w:sz w:val="18"/>
                <w:szCs w:val="18"/>
              </w:rPr>
              <w:t>7、测试时间不少于120分钟。</w:t>
            </w:r>
          </w:p>
        </w:tc>
        <w:tc>
          <w:tcPr>
            <w:tcW w:w="1872" w:type="dxa"/>
            <w:vAlign w:val="top"/>
          </w:tcPr>
          <w:p w14:paraId="6CFCC619">
            <w:pPr>
              <w:spacing w:line="304" w:lineRule="auto"/>
              <w:rPr>
                <w:rFonts w:ascii="Arial"/>
                <w:sz w:val="21"/>
              </w:rPr>
            </w:pPr>
          </w:p>
          <w:p w14:paraId="0F09147A">
            <w:pPr>
              <w:spacing w:line="305" w:lineRule="auto"/>
              <w:rPr>
                <w:rFonts w:ascii="Arial"/>
                <w:sz w:val="21"/>
              </w:rPr>
            </w:pPr>
          </w:p>
          <w:p w14:paraId="75712A29">
            <w:pPr>
              <w:spacing w:line="305" w:lineRule="auto"/>
              <w:rPr>
                <w:rFonts w:ascii="Arial"/>
                <w:sz w:val="21"/>
              </w:rPr>
            </w:pPr>
          </w:p>
          <w:p w14:paraId="435FE9A0">
            <w:pPr>
              <w:pStyle w:val="6"/>
              <w:spacing w:before="58" w:line="219" w:lineRule="auto"/>
              <w:jc w:val="right"/>
              <w:rPr>
                <w:sz w:val="18"/>
                <w:szCs w:val="18"/>
              </w:rPr>
            </w:pPr>
            <w:r>
              <w:rPr>
                <w:spacing w:val="-5"/>
                <w:sz w:val="18"/>
                <w:szCs w:val="18"/>
              </w:rPr>
              <w:t>1、图框尺寸标准20分；</w:t>
            </w:r>
          </w:p>
          <w:p w14:paraId="55642075">
            <w:pPr>
              <w:pStyle w:val="6"/>
              <w:spacing w:before="17" w:line="215" w:lineRule="auto"/>
              <w:ind w:left="17"/>
              <w:rPr>
                <w:sz w:val="18"/>
                <w:szCs w:val="18"/>
              </w:rPr>
            </w:pPr>
            <w:r>
              <w:rPr>
                <w:spacing w:val="8"/>
                <w:sz w:val="18"/>
                <w:szCs w:val="18"/>
              </w:rPr>
              <w:t>2、标题栏尺寸20分；</w:t>
            </w:r>
          </w:p>
          <w:p w14:paraId="00AB1D91">
            <w:pPr>
              <w:pStyle w:val="6"/>
              <w:spacing w:line="218" w:lineRule="auto"/>
              <w:ind w:left="17"/>
              <w:rPr>
                <w:sz w:val="18"/>
                <w:szCs w:val="18"/>
              </w:rPr>
            </w:pPr>
            <w:r>
              <w:rPr>
                <w:spacing w:val="-5"/>
                <w:sz w:val="18"/>
                <w:szCs w:val="18"/>
              </w:rPr>
              <w:t>3、布局及采用比例合理</w:t>
            </w:r>
            <w:r>
              <w:rPr>
                <w:spacing w:val="8"/>
                <w:sz w:val="18"/>
                <w:szCs w:val="18"/>
              </w:rPr>
              <w:t xml:space="preserve"> </w:t>
            </w:r>
            <w:r>
              <w:rPr>
                <w:spacing w:val="-7"/>
                <w:sz w:val="18"/>
                <w:szCs w:val="18"/>
              </w:rPr>
              <w:t>2</w:t>
            </w:r>
            <w:r>
              <w:rPr>
                <w:spacing w:val="-35"/>
                <w:sz w:val="18"/>
                <w:szCs w:val="18"/>
              </w:rPr>
              <w:t xml:space="preserve"> </w:t>
            </w:r>
            <w:r>
              <w:rPr>
                <w:spacing w:val="-7"/>
                <w:sz w:val="18"/>
                <w:szCs w:val="18"/>
              </w:rPr>
              <w:t>0</w:t>
            </w:r>
            <w:r>
              <w:rPr>
                <w:spacing w:val="-34"/>
                <w:sz w:val="18"/>
                <w:szCs w:val="18"/>
              </w:rPr>
              <w:t xml:space="preserve"> </w:t>
            </w:r>
            <w:r>
              <w:rPr>
                <w:spacing w:val="-7"/>
                <w:sz w:val="18"/>
                <w:szCs w:val="18"/>
              </w:rPr>
              <w:t>分</w:t>
            </w:r>
            <w:r>
              <w:rPr>
                <w:spacing w:val="-43"/>
                <w:sz w:val="18"/>
                <w:szCs w:val="18"/>
              </w:rPr>
              <w:t xml:space="preserve"> </w:t>
            </w:r>
            <w:r>
              <w:rPr>
                <w:spacing w:val="-7"/>
                <w:sz w:val="18"/>
                <w:szCs w:val="18"/>
              </w:rPr>
              <w:t>；</w:t>
            </w:r>
          </w:p>
          <w:p w14:paraId="3CA0E256">
            <w:pPr>
              <w:pStyle w:val="6"/>
              <w:spacing w:before="5" w:line="223" w:lineRule="auto"/>
              <w:ind w:left="17"/>
              <w:rPr>
                <w:sz w:val="18"/>
                <w:szCs w:val="18"/>
              </w:rPr>
            </w:pPr>
            <w:r>
              <w:rPr>
                <w:spacing w:val="-19"/>
                <w:sz w:val="18"/>
                <w:szCs w:val="18"/>
              </w:rPr>
              <w:t>4、粗细线分明，图线齐，</w:t>
            </w:r>
            <w:r>
              <w:rPr>
                <w:spacing w:val="1"/>
                <w:sz w:val="18"/>
                <w:szCs w:val="18"/>
              </w:rPr>
              <w:t xml:space="preserve"> </w:t>
            </w:r>
            <w:r>
              <w:rPr>
                <w:spacing w:val="11"/>
                <w:sz w:val="18"/>
                <w:szCs w:val="18"/>
              </w:rPr>
              <w:t>匀40分；</w:t>
            </w:r>
          </w:p>
          <w:p w14:paraId="67EF6A35">
            <w:pPr>
              <w:pStyle w:val="6"/>
              <w:spacing w:before="3" w:line="219" w:lineRule="auto"/>
              <w:jc w:val="right"/>
              <w:rPr>
                <w:sz w:val="18"/>
                <w:szCs w:val="18"/>
              </w:rPr>
            </w:pPr>
            <w:r>
              <w:rPr>
                <w:spacing w:val="-4"/>
                <w:sz w:val="18"/>
                <w:szCs w:val="18"/>
              </w:rPr>
              <w:t>5、尺寸标注规范30分；</w:t>
            </w:r>
          </w:p>
          <w:p w14:paraId="08A5AD53">
            <w:pPr>
              <w:pStyle w:val="6"/>
              <w:spacing w:before="8" w:line="220" w:lineRule="auto"/>
              <w:ind w:left="17"/>
              <w:rPr>
                <w:sz w:val="18"/>
                <w:szCs w:val="18"/>
              </w:rPr>
            </w:pPr>
            <w:r>
              <w:rPr>
                <w:sz w:val="18"/>
                <w:szCs w:val="18"/>
              </w:rPr>
              <w:t>6、整体整洁20分。</w:t>
            </w:r>
          </w:p>
        </w:tc>
      </w:tr>
      <w:tr w14:paraId="1FFBD3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49" w:hRule="atLeast"/>
        </w:trPr>
        <w:tc>
          <w:tcPr>
            <w:tcW w:w="944" w:type="dxa"/>
            <w:vAlign w:val="top"/>
          </w:tcPr>
          <w:p w14:paraId="3E691B0D">
            <w:pPr>
              <w:spacing w:line="332" w:lineRule="auto"/>
              <w:rPr>
                <w:rFonts w:ascii="Arial"/>
                <w:sz w:val="21"/>
              </w:rPr>
            </w:pPr>
          </w:p>
          <w:p w14:paraId="5E26B074">
            <w:pPr>
              <w:pStyle w:val="6"/>
              <w:spacing w:before="59" w:line="204" w:lineRule="auto"/>
              <w:ind w:left="194"/>
              <w:rPr>
                <w:sz w:val="18"/>
                <w:szCs w:val="18"/>
              </w:rPr>
            </w:pPr>
            <w:r>
              <w:rPr>
                <w:spacing w:val="6"/>
                <w:sz w:val="18"/>
                <w:szCs w:val="18"/>
              </w:rPr>
              <w:t>项目四</w:t>
            </w:r>
          </w:p>
          <w:p w14:paraId="3216529C">
            <w:pPr>
              <w:pStyle w:val="6"/>
              <w:spacing w:line="219" w:lineRule="auto"/>
              <w:ind w:left="105"/>
              <w:rPr>
                <w:sz w:val="18"/>
                <w:szCs w:val="18"/>
              </w:rPr>
            </w:pPr>
            <w:r>
              <w:rPr>
                <w:spacing w:val="-2"/>
                <w:sz w:val="18"/>
                <w:szCs w:val="18"/>
              </w:rPr>
              <w:t>楼梯设计</w:t>
            </w:r>
          </w:p>
          <w:p w14:paraId="218DB760">
            <w:pPr>
              <w:pStyle w:val="6"/>
              <w:spacing w:before="6" w:line="219" w:lineRule="auto"/>
              <w:ind w:left="144"/>
              <w:rPr>
                <w:sz w:val="18"/>
                <w:szCs w:val="18"/>
              </w:rPr>
            </w:pPr>
            <w:r>
              <w:rPr>
                <w:spacing w:val="2"/>
                <w:sz w:val="18"/>
                <w:szCs w:val="18"/>
              </w:rPr>
              <w:t>(分值为</w:t>
            </w:r>
          </w:p>
          <w:p w14:paraId="36DF39CB">
            <w:pPr>
              <w:pStyle w:val="6"/>
              <w:spacing w:before="6" w:line="220" w:lineRule="auto"/>
              <w:ind w:left="194"/>
              <w:rPr>
                <w:sz w:val="18"/>
                <w:szCs w:val="18"/>
              </w:rPr>
            </w:pPr>
            <w:r>
              <w:rPr>
                <w:spacing w:val="7"/>
                <w:sz w:val="18"/>
                <w:szCs w:val="18"/>
              </w:rPr>
              <w:t>150分)</w:t>
            </w:r>
          </w:p>
        </w:tc>
        <w:tc>
          <w:tcPr>
            <w:tcW w:w="809" w:type="dxa"/>
            <w:vAlign w:val="top"/>
          </w:tcPr>
          <w:p w14:paraId="076EC289">
            <w:pPr>
              <w:pStyle w:val="6"/>
              <w:spacing w:before="274" w:line="225" w:lineRule="auto"/>
              <w:ind w:left="10" w:firstLine="63"/>
              <w:jc w:val="both"/>
              <w:rPr>
                <w:sz w:val="18"/>
                <w:szCs w:val="18"/>
              </w:rPr>
            </w:pPr>
            <w:r>
              <w:rPr>
                <w:sz w:val="18"/>
                <w:szCs w:val="18"/>
              </w:rPr>
              <w:t xml:space="preserve">A4白纸， </w:t>
            </w:r>
            <w:r>
              <w:rPr>
                <w:spacing w:val="-20"/>
                <w:w w:val="89"/>
              </w:rPr>
              <w:t>橡皮，铅笔，</w:t>
            </w:r>
            <w:r>
              <w:t xml:space="preserve"> </w:t>
            </w:r>
            <w:r>
              <w:rPr>
                <w:spacing w:val="-10"/>
                <w:sz w:val="18"/>
                <w:szCs w:val="18"/>
              </w:rPr>
              <w:t>中性笔等</w:t>
            </w:r>
            <w:r>
              <w:rPr>
                <w:sz w:val="18"/>
                <w:szCs w:val="18"/>
              </w:rPr>
              <w:t xml:space="preserve">  </w:t>
            </w:r>
            <w:r>
              <w:rPr>
                <w:spacing w:val="-14"/>
                <w:sz w:val="18"/>
                <w:szCs w:val="18"/>
              </w:rPr>
              <w:t>绘图仪器</w:t>
            </w:r>
            <w:r>
              <w:rPr>
                <w:sz w:val="18"/>
                <w:szCs w:val="18"/>
              </w:rPr>
              <w:t xml:space="preserve">  </w:t>
            </w:r>
            <w:r>
              <w:rPr>
                <w:spacing w:val="-5"/>
                <w:sz w:val="18"/>
                <w:szCs w:val="18"/>
              </w:rPr>
              <w:t>和用品</w:t>
            </w:r>
          </w:p>
        </w:tc>
        <w:tc>
          <w:tcPr>
            <w:tcW w:w="999" w:type="dxa"/>
            <w:vAlign w:val="top"/>
          </w:tcPr>
          <w:p w14:paraId="0D66556A">
            <w:pPr>
              <w:spacing w:line="430" w:lineRule="auto"/>
              <w:rPr>
                <w:rFonts w:ascii="Arial"/>
                <w:sz w:val="21"/>
              </w:rPr>
            </w:pPr>
          </w:p>
          <w:p w14:paraId="22DF8203">
            <w:pPr>
              <w:pStyle w:val="6"/>
              <w:spacing w:before="58" w:line="219" w:lineRule="auto"/>
              <w:ind w:left="11"/>
              <w:rPr>
                <w:sz w:val="18"/>
                <w:szCs w:val="18"/>
              </w:rPr>
            </w:pPr>
            <w:r>
              <w:rPr>
                <w:spacing w:val="-3"/>
                <w:sz w:val="18"/>
                <w:szCs w:val="18"/>
              </w:rPr>
              <w:t>1、简单楼梯</w:t>
            </w:r>
          </w:p>
          <w:p w14:paraId="029CFAD8">
            <w:pPr>
              <w:pStyle w:val="6"/>
              <w:spacing w:before="19" w:line="218" w:lineRule="auto"/>
              <w:ind w:left="11" w:right="425"/>
              <w:rPr>
                <w:sz w:val="18"/>
                <w:szCs w:val="18"/>
              </w:rPr>
            </w:pPr>
            <w:r>
              <w:rPr>
                <w:spacing w:val="3"/>
                <w:sz w:val="18"/>
                <w:szCs w:val="18"/>
              </w:rPr>
              <w:t>的现场</w:t>
            </w:r>
            <w:r>
              <w:rPr>
                <w:spacing w:val="1"/>
                <w:sz w:val="18"/>
                <w:szCs w:val="18"/>
              </w:rPr>
              <w:t xml:space="preserve"> </w:t>
            </w:r>
            <w:r>
              <w:rPr>
                <w:spacing w:val="-1"/>
                <w:sz w:val="18"/>
                <w:szCs w:val="18"/>
              </w:rPr>
              <w:t>设计。</w:t>
            </w:r>
          </w:p>
        </w:tc>
        <w:tc>
          <w:tcPr>
            <w:tcW w:w="1858" w:type="dxa"/>
            <w:vAlign w:val="top"/>
          </w:tcPr>
          <w:p w14:paraId="06FA0995">
            <w:pPr>
              <w:pStyle w:val="6"/>
              <w:spacing w:before="292" w:line="222" w:lineRule="auto"/>
              <w:ind w:left="23" w:right="3" w:firstLine="89"/>
              <w:rPr>
                <w:sz w:val="18"/>
                <w:szCs w:val="18"/>
              </w:rPr>
            </w:pPr>
            <w:r>
              <w:rPr>
                <w:spacing w:val="-1"/>
                <w:sz w:val="18"/>
                <w:szCs w:val="18"/>
              </w:rPr>
              <w:t>测试现场教师给定楼</w:t>
            </w:r>
            <w:r>
              <w:rPr>
                <w:sz w:val="18"/>
                <w:szCs w:val="18"/>
              </w:rPr>
              <w:t xml:space="preserve">  </w:t>
            </w:r>
            <w:r>
              <w:rPr>
                <w:spacing w:val="-1"/>
                <w:sz w:val="18"/>
                <w:szCs w:val="18"/>
              </w:rPr>
              <w:t>梯的各种参考数据，考</w:t>
            </w:r>
            <w:r>
              <w:rPr>
                <w:spacing w:val="2"/>
                <w:sz w:val="18"/>
                <w:szCs w:val="18"/>
              </w:rPr>
              <w:t xml:space="preserve"> 生根据使用要求、使用</w:t>
            </w:r>
          </w:p>
          <w:p w14:paraId="39C77F38">
            <w:pPr>
              <w:pStyle w:val="6"/>
              <w:spacing w:line="217" w:lineRule="auto"/>
              <w:ind w:left="13" w:right="124" w:firstLine="99"/>
              <w:rPr>
                <w:sz w:val="18"/>
                <w:szCs w:val="18"/>
              </w:rPr>
            </w:pPr>
            <w:r>
              <w:rPr>
                <w:spacing w:val="-2"/>
                <w:sz w:val="18"/>
                <w:szCs w:val="18"/>
              </w:rPr>
              <w:t>性质等规范独立完成</w:t>
            </w:r>
            <w:r>
              <w:rPr>
                <w:spacing w:val="7"/>
                <w:sz w:val="18"/>
                <w:szCs w:val="18"/>
              </w:rPr>
              <w:t xml:space="preserve"> </w:t>
            </w:r>
            <w:r>
              <w:rPr>
                <w:spacing w:val="-1"/>
                <w:sz w:val="18"/>
                <w:szCs w:val="18"/>
              </w:rPr>
              <w:t>楼梯的设计工作。</w:t>
            </w:r>
          </w:p>
        </w:tc>
        <w:tc>
          <w:tcPr>
            <w:tcW w:w="2207" w:type="dxa"/>
            <w:vAlign w:val="top"/>
          </w:tcPr>
          <w:p w14:paraId="7564EDED">
            <w:pPr>
              <w:pStyle w:val="6"/>
              <w:spacing w:before="161" w:line="219" w:lineRule="auto"/>
              <w:jc w:val="right"/>
              <w:rPr>
                <w:sz w:val="18"/>
                <w:szCs w:val="18"/>
              </w:rPr>
            </w:pPr>
            <w:r>
              <w:rPr>
                <w:spacing w:val="-5"/>
                <w:sz w:val="18"/>
                <w:szCs w:val="18"/>
              </w:rPr>
              <w:t>1、掌握楼梯的组成和尺度；</w:t>
            </w:r>
          </w:p>
          <w:p w14:paraId="3B03EAB9">
            <w:pPr>
              <w:pStyle w:val="6"/>
              <w:spacing w:before="6" w:line="219" w:lineRule="auto"/>
              <w:ind w:left="4" w:right="107"/>
              <w:rPr>
                <w:sz w:val="18"/>
                <w:szCs w:val="18"/>
              </w:rPr>
            </w:pPr>
            <w:r>
              <w:rPr>
                <w:spacing w:val="1"/>
                <w:sz w:val="18"/>
                <w:szCs w:val="18"/>
              </w:rPr>
              <w:t xml:space="preserve">2、掌握楼梯的设计步骤和 </w:t>
            </w:r>
            <w:r>
              <w:rPr>
                <w:spacing w:val="18"/>
                <w:sz w:val="18"/>
                <w:szCs w:val="18"/>
              </w:rPr>
              <w:t>设计要求；</w:t>
            </w:r>
          </w:p>
          <w:p w14:paraId="6615F868">
            <w:pPr>
              <w:pStyle w:val="6"/>
              <w:spacing w:before="24" w:line="222" w:lineRule="auto"/>
              <w:ind w:left="4" w:right="132"/>
              <w:rPr>
                <w:sz w:val="18"/>
                <w:szCs w:val="18"/>
              </w:rPr>
            </w:pPr>
            <w:r>
              <w:rPr>
                <w:spacing w:val="-1"/>
                <w:sz w:val="18"/>
                <w:szCs w:val="18"/>
              </w:rPr>
              <w:t>3、正确使用给定楼梯参考</w:t>
            </w:r>
            <w:r>
              <w:rPr>
                <w:sz w:val="18"/>
                <w:szCs w:val="18"/>
              </w:rPr>
              <w:t xml:space="preserve"> </w:t>
            </w:r>
            <w:r>
              <w:rPr>
                <w:spacing w:val="-5"/>
                <w:sz w:val="18"/>
                <w:szCs w:val="18"/>
              </w:rPr>
              <w:t>数</w:t>
            </w:r>
            <w:r>
              <w:rPr>
                <w:spacing w:val="-14"/>
                <w:sz w:val="18"/>
                <w:szCs w:val="18"/>
              </w:rPr>
              <w:t xml:space="preserve"> </w:t>
            </w:r>
            <w:r>
              <w:rPr>
                <w:spacing w:val="-5"/>
                <w:sz w:val="18"/>
                <w:szCs w:val="18"/>
              </w:rPr>
              <w:t>据</w:t>
            </w:r>
            <w:r>
              <w:rPr>
                <w:spacing w:val="-20"/>
                <w:sz w:val="18"/>
                <w:szCs w:val="18"/>
              </w:rPr>
              <w:t xml:space="preserve"> </w:t>
            </w:r>
            <w:r>
              <w:rPr>
                <w:spacing w:val="-5"/>
                <w:sz w:val="18"/>
                <w:szCs w:val="18"/>
              </w:rPr>
              <w:t>；</w:t>
            </w:r>
          </w:p>
          <w:p w14:paraId="5022760E">
            <w:pPr>
              <w:pStyle w:val="6"/>
              <w:spacing w:before="6" w:line="220" w:lineRule="auto"/>
              <w:jc w:val="right"/>
              <w:rPr>
                <w:sz w:val="18"/>
                <w:szCs w:val="18"/>
              </w:rPr>
            </w:pPr>
            <w:r>
              <w:rPr>
                <w:spacing w:val="-11"/>
                <w:sz w:val="18"/>
                <w:szCs w:val="18"/>
              </w:rPr>
              <w:t>4、测试时间不少于120分钟。</w:t>
            </w:r>
          </w:p>
        </w:tc>
        <w:tc>
          <w:tcPr>
            <w:tcW w:w="1872" w:type="dxa"/>
            <w:vAlign w:val="top"/>
          </w:tcPr>
          <w:p w14:paraId="181E398D">
            <w:pPr>
              <w:pStyle w:val="6"/>
              <w:spacing w:before="262" w:line="219" w:lineRule="auto"/>
              <w:ind w:left="17"/>
              <w:rPr>
                <w:sz w:val="18"/>
                <w:szCs w:val="18"/>
              </w:rPr>
            </w:pPr>
            <w:r>
              <w:rPr>
                <w:spacing w:val="8"/>
                <w:sz w:val="18"/>
                <w:szCs w:val="18"/>
              </w:rPr>
              <w:t>1、设计步骤30分；</w:t>
            </w:r>
          </w:p>
          <w:p w14:paraId="0A708BE3">
            <w:pPr>
              <w:pStyle w:val="6"/>
              <w:spacing w:before="16" w:line="219" w:lineRule="auto"/>
              <w:jc w:val="right"/>
              <w:rPr>
                <w:sz w:val="18"/>
                <w:szCs w:val="18"/>
              </w:rPr>
            </w:pPr>
            <w:r>
              <w:rPr>
                <w:spacing w:val="-4"/>
                <w:sz w:val="18"/>
                <w:szCs w:val="18"/>
              </w:rPr>
              <w:t>2、楼梯组成完整30分；</w:t>
            </w:r>
          </w:p>
          <w:p w14:paraId="6484A806">
            <w:pPr>
              <w:pStyle w:val="6"/>
              <w:spacing w:before="5" w:line="219" w:lineRule="auto"/>
              <w:jc w:val="right"/>
              <w:rPr>
                <w:sz w:val="18"/>
                <w:szCs w:val="18"/>
              </w:rPr>
            </w:pPr>
            <w:r>
              <w:rPr>
                <w:spacing w:val="-4"/>
                <w:sz w:val="18"/>
                <w:szCs w:val="18"/>
              </w:rPr>
              <w:t>3、尺度设计合理60分；</w:t>
            </w:r>
          </w:p>
          <w:p w14:paraId="5E57DAE4">
            <w:pPr>
              <w:pStyle w:val="6"/>
              <w:spacing w:before="17" w:line="214" w:lineRule="auto"/>
              <w:jc w:val="right"/>
              <w:rPr>
                <w:sz w:val="18"/>
                <w:szCs w:val="18"/>
              </w:rPr>
            </w:pPr>
            <w:r>
              <w:rPr>
                <w:spacing w:val="-4"/>
                <w:sz w:val="18"/>
                <w:szCs w:val="18"/>
              </w:rPr>
              <w:t>4、校核楼梯净高20分；</w:t>
            </w:r>
          </w:p>
          <w:p w14:paraId="4E78852A">
            <w:pPr>
              <w:pStyle w:val="6"/>
              <w:spacing w:line="217" w:lineRule="auto"/>
              <w:jc w:val="right"/>
              <w:rPr>
                <w:sz w:val="18"/>
                <w:szCs w:val="18"/>
              </w:rPr>
            </w:pPr>
            <w:r>
              <w:rPr>
                <w:spacing w:val="-4"/>
                <w:sz w:val="18"/>
                <w:szCs w:val="18"/>
              </w:rPr>
              <w:t>5、幅面整洁清晰10分。</w:t>
            </w:r>
          </w:p>
        </w:tc>
      </w:tr>
      <w:tr w14:paraId="7CFC59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68" w:hRule="atLeast"/>
        </w:trPr>
        <w:tc>
          <w:tcPr>
            <w:tcW w:w="944" w:type="dxa"/>
            <w:vAlign w:val="top"/>
          </w:tcPr>
          <w:p w14:paraId="467724AA">
            <w:pPr>
              <w:spacing w:line="340" w:lineRule="auto"/>
              <w:rPr>
                <w:rFonts w:ascii="Arial"/>
                <w:sz w:val="21"/>
              </w:rPr>
            </w:pPr>
          </w:p>
          <w:p w14:paraId="42024F01">
            <w:pPr>
              <w:spacing w:line="341" w:lineRule="auto"/>
              <w:rPr>
                <w:rFonts w:ascii="Arial"/>
                <w:sz w:val="21"/>
              </w:rPr>
            </w:pPr>
          </w:p>
          <w:p w14:paraId="3CAA29FB">
            <w:pPr>
              <w:pStyle w:val="6"/>
              <w:spacing w:before="58" w:line="205" w:lineRule="auto"/>
              <w:ind w:left="194"/>
              <w:rPr>
                <w:sz w:val="18"/>
                <w:szCs w:val="18"/>
              </w:rPr>
            </w:pPr>
            <w:r>
              <w:rPr>
                <w:spacing w:val="-3"/>
                <w:sz w:val="18"/>
                <w:szCs w:val="18"/>
              </w:rPr>
              <w:t>项目五</w:t>
            </w:r>
          </w:p>
          <w:p w14:paraId="0F021A9C">
            <w:pPr>
              <w:pStyle w:val="6"/>
              <w:spacing w:line="220" w:lineRule="auto"/>
              <w:ind w:left="105"/>
              <w:rPr>
                <w:sz w:val="18"/>
                <w:szCs w:val="18"/>
              </w:rPr>
            </w:pPr>
            <w:r>
              <w:rPr>
                <w:spacing w:val="-2"/>
                <w:sz w:val="18"/>
                <w:szCs w:val="18"/>
              </w:rPr>
              <w:t>距离测量</w:t>
            </w:r>
          </w:p>
          <w:p w14:paraId="3D525A90">
            <w:pPr>
              <w:pStyle w:val="6"/>
              <w:spacing w:before="5" w:line="219" w:lineRule="auto"/>
              <w:ind w:left="144"/>
              <w:rPr>
                <w:sz w:val="18"/>
                <w:szCs w:val="18"/>
              </w:rPr>
            </w:pPr>
            <w:r>
              <w:rPr>
                <w:spacing w:val="2"/>
                <w:sz w:val="18"/>
                <w:szCs w:val="18"/>
              </w:rPr>
              <w:t>(分值为</w:t>
            </w:r>
          </w:p>
          <w:p w14:paraId="288A9C99">
            <w:pPr>
              <w:pStyle w:val="6"/>
              <w:spacing w:before="6" w:line="220" w:lineRule="auto"/>
              <w:ind w:left="194"/>
              <w:rPr>
                <w:sz w:val="18"/>
                <w:szCs w:val="18"/>
              </w:rPr>
            </w:pPr>
            <w:r>
              <w:rPr>
                <w:spacing w:val="7"/>
                <w:sz w:val="18"/>
                <w:szCs w:val="18"/>
              </w:rPr>
              <w:t>150分)</w:t>
            </w:r>
          </w:p>
        </w:tc>
        <w:tc>
          <w:tcPr>
            <w:tcW w:w="809" w:type="dxa"/>
            <w:vAlign w:val="top"/>
          </w:tcPr>
          <w:p w14:paraId="714CAD5A">
            <w:pPr>
              <w:spacing w:line="339" w:lineRule="auto"/>
              <w:rPr>
                <w:rFonts w:ascii="Arial"/>
                <w:sz w:val="21"/>
              </w:rPr>
            </w:pPr>
          </w:p>
          <w:p w14:paraId="2C93D699">
            <w:pPr>
              <w:spacing w:line="340" w:lineRule="auto"/>
              <w:rPr>
                <w:rFonts w:ascii="Arial"/>
                <w:sz w:val="21"/>
              </w:rPr>
            </w:pPr>
          </w:p>
          <w:p w14:paraId="05CFF660">
            <w:pPr>
              <w:pStyle w:val="6"/>
              <w:spacing w:before="58" w:line="220" w:lineRule="auto"/>
              <w:ind w:left="10" w:right="33" w:firstLine="20"/>
              <w:jc w:val="both"/>
              <w:rPr>
                <w:sz w:val="18"/>
                <w:szCs w:val="18"/>
              </w:rPr>
            </w:pPr>
            <w:r>
              <w:rPr>
                <w:spacing w:val="3"/>
                <w:sz w:val="18"/>
                <w:szCs w:val="18"/>
              </w:rPr>
              <w:t>钢尺、测</w:t>
            </w:r>
            <w:r>
              <w:rPr>
                <w:spacing w:val="1"/>
                <w:sz w:val="18"/>
                <w:szCs w:val="18"/>
              </w:rPr>
              <w:t xml:space="preserve"> </w:t>
            </w:r>
            <w:r>
              <w:rPr>
                <w:spacing w:val="3"/>
                <w:sz w:val="18"/>
                <w:szCs w:val="18"/>
              </w:rPr>
              <w:t>钎、测设</w:t>
            </w:r>
            <w:r>
              <w:rPr>
                <w:sz w:val="18"/>
                <w:szCs w:val="18"/>
              </w:rPr>
              <w:t xml:space="preserve"> </w:t>
            </w:r>
            <w:r>
              <w:rPr>
                <w:spacing w:val="8"/>
                <w:sz w:val="18"/>
                <w:szCs w:val="18"/>
              </w:rPr>
              <w:t>点位置简</w:t>
            </w:r>
            <w:r>
              <w:rPr>
                <w:sz w:val="18"/>
                <w:szCs w:val="18"/>
              </w:rPr>
              <w:t xml:space="preserve"> 图</w:t>
            </w:r>
          </w:p>
        </w:tc>
        <w:tc>
          <w:tcPr>
            <w:tcW w:w="999" w:type="dxa"/>
            <w:vAlign w:val="top"/>
          </w:tcPr>
          <w:p w14:paraId="2EF6E015">
            <w:pPr>
              <w:spacing w:line="341" w:lineRule="auto"/>
              <w:rPr>
                <w:rFonts w:ascii="Arial"/>
                <w:sz w:val="21"/>
              </w:rPr>
            </w:pPr>
          </w:p>
          <w:p w14:paraId="51F1CA73">
            <w:pPr>
              <w:pStyle w:val="6"/>
              <w:spacing w:before="59" w:line="226" w:lineRule="auto"/>
              <w:ind w:left="11" w:right="157"/>
              <w:rPr>
                <w:sz w:val="18"/>
                <w:szCs w:val="18"/>
              </w:rPr>
            </w:pPr>
            <w:r>
              <w:rPr>
                <w:spacing w:val="1"/>
                <w:sz w:val="18"/>
                <w:szCs w:val="18"/>
              </w:rPr>
              <w:t>1、钢尺使</w:t>
            </w:r>
            <w:r>
              <w:rPr>
                <w:spacing w:val="3"/>
                <w:sz w:val="18"/>
                <w:szCs w:val="18"/>
              </w:rPr>
              <w:t xml:space="preserve"> </w:t>
            </w:r>
            <w:r>
              <w:rPr>
                <w:spacing w:val="-5"/>
                <w:sz w:val="18"/>
                <w:szCs w:val="18"/>
              </w:rPr>
              <w:t>用</w:t>
            </w:r>
            <w:r>
              <w:rPr>
                <w:spacing w:val="51"/>
                <w:sz w:val="18"/>
                <w:szCs w:val="18"/>
              </w:rPr>
              <w:t xml:space="preserve"> </w:t>
            </w:r>
            <w:r>
              <w:rPr>
                <w:spacing w:val="-5"/>
                <w:sz w:val="18"/>
                <w:szCs w:val="18"/>
              </w:rPr>
              <w:t>；</w:t>
            </w:r>
          </w:p>
          <w:p w14:paraId="56B404BD">
            <w:pPr>
              <w:pStyle w:val="6"/>
              <w:spacing w:line="226" w:lineRule="auto"/>
              <w:ind w:left="11"/>
              <w:rPr>
                <w:sz w:val="18"/>
                <w:szCs w:val="18"/>
              </w:rPr>
            </w:pPr>
            <w:r>
              <w:rPr>
                <w:spacing w:val="-4"/>
                <w:sz w:val="18"/>
                <w:szCs w:val="18"/>
              </w:rPr>
              <w:t>2、两点水平</w:t>
            </w:r>
            <w:r>
              <w:rPr>
                <w:sz w:val="18"/>
                <w:szCs w:val="18"/>
              </w:rPr>
              <w:t xml:space="preserve"> </w:t>
            </w:r>
            <w:r>
              <w:rPr>
                <w:spacing w:val="15"/>
                <w:sz w:val="18"/>
                <w:szCs w:val="18"/>
              </w:rPr>
              <w:t>距离测量；</w:t>
            </w:r>
          </w:p>
          <w:p w14:paraId="21F1E4F6">
            <w:pPr>
              <w:pStyle w:val="6"/>
              <w:spacing w:line="220" w:lineRule="auto"/>
              <w:jc w:val="right"/>
              <w:rPr>
                <w:sz w:val="18"/>
                <w:szCs w:val="18"/>
              </w:rPr>
            </w:pPr>
            <w:r>
              <w:rPr>
                <w:spacing w:val="-3"/>
                <w:sz w:val="18"/>
                <w:szCs w:val="18"/>
              </w:rPr>
              <w:t>3、目测定线</w:t>
            </w:r>
          </w:p>
          <w:p w14:paraId="445E74C4">
            <w:pPr>
              <w:pStyle w:val="6"/>
              <w:spacing w:before="26" w:line="213" w:lineRule="auto"/>
              <w:ind w:left="11" w:right="257"/>
              <w:rPr>
                <w:sz w:val="18"/>
                <w:szCs w:val="18"/>
              </w:rPr>
            </w:pPr>
            <w:r>
              <w:rPr>
                <w:spacing w:val="-3"/>
                <w:sz w:val="18"/>
                <w:szCs w:val="18"/>
              </w:rPr>
              <w:t>及分段</w:t>
            </w:r>
            <w:r>
              <w:rPr>
                <w:sz w:val="18"/>
                <w:szCs w:val="18"/>
              </w:rPr>
              <w:t xml:space="preserve">   点设立。</w:t>
            </w:r>
          </w:p>
        </w:tc>
        <w:tc>
          <w:tcPr>
            <w:tcW w:w="1858" w:type="dxa"/>
            <w:vAlign w:val="top"/>
          </w:tcPr>
          <w:p w14:paraId="354EC568">
            <w:pPr>
              <w:pStyle w:val="6"/>
              <w:spacing w:before="83" w:line="212" w:lineRule="auto"/>
              <w:ind w:left="13" w:right="32" w:firstLine="10"/>
              <w:rPr>
                <w:sz w:val="18"/>
                <w:szCs w:val="18"/>
              </w:rPr>
            </w:pPr>
            <w:r>
              <w:rPr>
                <w:spacing w:val="-1"/>
                <w:sz w:val="18"/>
                <w:szCs w:val="18"/>
              </w:rPr>
              <w:t>测试教师现场指定目标</w:t>
            </w:r>
            <w:r>
              <w:rPr>
                <w:spacing w:val="1"/>
                <w:sz w:val="18"/>
                <w:szCs w:val="18"/>
              </w:rPr>
              <w:t xml:space="preserve"> </w:t>
            </w:r>
            <w:r>
              <w:rPr>
                <w:spacing w:val="-1"/>
                <w:sz w:val="18"/>
                <w:szCs w:val="18"/>
              </w:rPr>
              <w:t>A点、B点，考生正确</w:t>
            </w:r>
          </w:p>
          <w:p w14:paraId="5E454B3A">
            <w:pPr>
              <w:pStyle w:val="6"/>
              <w:spacing w:before="25" w:line="219" w:lineRule="auto"/>
              <w:ind w:left="13"/>
              <w:rPr>
                <w:sz w:val="18"/>
                <w:szCs w:val="18"/>
              </w:rPr>
            </w:pPr>
            <w:r>
              <w:rPr>
                <w:spacing w:val="-1"/>
                <w:sz w:val="18"/>
                <w:szCs w:val="18"/>
              </w:rPr>
              <w:t>使用提供设备开展</w:t>
            </w:r>
          </w:p>
          <w:p w14:paraId="02DF4AB9">
            <w:pPr>
              <w:pStyle w:val="6"/>
              <w:spacing w:before="8" w:line="220" w:lineRule="auto"/>
              <w:ind w:left="13"/>
              <w:rPr>
                <w:sz w:val="18"/>
                <w:szCs w:val="18"/>
              </w:rPr>
            </w:pPr>
            <w:r>
              <w:rPr>
                <w:spacing w:val="-1"/>
                <w:sz w:val="18"/>
                <w:szCs w:val="18"/>
              </w:rPr>
              <w:t>A点、B点距离的一般</w:t>
            </w:r>
          </w:p>
          <w:p w14:paraId="2905856C">
            <w:pPr>
              <w:pStyle w:val="6"/>
              <w:spacing w:before="5" w:line="220" w:lineRule="auto"/>
              <w:ind w:left="23"/>
              <w:rPr>
                <w:sz w:val="18"/>
                <w:szCs w:val="18"/>
              </w:rPr>
            </w:pPr>
            <w:r>
              <w:rPr>
                <w:spacing w:val="-1"/>
                <w:sz w:val="18"/>
                <w:szCs w:val="18"/>
              </w:rPr>
              <w:t>测量，在辅助人员协助</w:t>
            </w:r>
          </w:p>
          <w:p w14:paraId="319CFC69">
            <w:pPr>
              <w:pStyle w:val="6"/>
              <w:spacing w:before="5" w:line="219" w:lineRule="auto"/>
              <w:ind w:left="23"/>
              <w:rPr>
                <w:sz w:val="18"/>
                <w:szCs w:val="18"/>
              </w:rPr>
            </w:pPr>
            <w:r>
              <w:rPr>
                <w:spacing w:val="-2"/>
                <w:sz w:val="18"/>
                <w:szCs w:val="18"/>
              </w:rPr>
              <w:t>下完成目测定线、分段</w:t>
            </w:r>
          </w:p>
          <w:p w14:paraId="0549EAA0">
            <w:pPr>
              <w:pStyle w:val="6"/>
              <w:spacing w:before="6" w:line="219" w:lineRule="auto"/>
              <w:ind w:left="112"/>
              <w:rPr>
                <w:sz w:val="18"/>
                <w:szCs w:val="18"/>
              </w:rPr>
            </w:pPr>
            <w:r>
              <w:rPr>
                <w:sz w:val="18"/>
                <w:szCs w:val="18"/>
              </w:rPr>
              <w:t>点设定(不少于2个分</w:t>
            </w:r>
          </w:p>
          <w:p w14:paraId="37E9FE47">
            <w:pPr>
              <w:pStyle w:val="6"/>
              <w:spacing w:before="6" w:line="219" w:lineRule="auto"/>
              <w:ind w:left="62"/>
              <w:rPr>
                <w:sz w:val="18"/>
                <w:szCs w:val="18"/>
              </w:rPr>
            </w:pPr>
            <w:r>
              <w:rPr>
                <w:spacing w:val="1"/>
                <w:sz w:val="18"/>
                <w:szCs w:val="18"/>
              </w:rPr>
              <w:t>段)、逐段丈量、反测</w:t>
            </w:r>
          </w:p>
          <w:p w14:paraId="5A3F788F">
            <w:pPr>
              <w:pStyle w:val="6"/>
              <w:spacing w:before="6" w:line="219" w:lineRule="auto"/>
              <w:ind w:left="23"/>
              <w:rPr>
                <w:sz w:val="18"/>
                <w:szCs w:val="18"/>
              </w:rPr>
            </w:pPr>
            <w:r>
              <w:rPr>
                <w:spacing w:val="-1"/>
                <w:sz w:val="18"/>
                <w:szCs w:val="18"/>
              </w:rPr>
              <w:t>全长等测量作业，独立</w:t>
            </w:r>
          </w:p>
          <w:p w14:paraId="263B040D">
            <w:pPr>
              <w:pStyle w:val="6"/>
              <w:spacing w:before="6" w:line="200" w:lineRule="auto"/>
              <w:jc w:val="right"/>
              <w:rPr>
                <w:sz w:val="18"/>
                <w:szCs w:val="18"/>
              </w:rPr>
            </w:pPr>
            <w:r>
              <w:rPr>
                <w:spacing w:val="-18"/>
                <w:w w:val="93"/>
                <w:sz w:val="18"/>
                <w:szCs w:val="18"/>
              </w:rPr>
              <w:t>完成数据记录、计算校核。</w:t>
            </w:r>
          </w:p>
        </w:tc>
        <w:tc>
          <w:tcPr>
            <w:tcW w:w="2207" w:type="dxa"/>
            <w:vAlign w:val="top"/>
          </w:tcPr>
          <w:p w14:paraId="0E2FCDB5">
            <w:pPr>
              <w:pStyle w:val="6"/>
              <w:spacing w:before="182" w:line="226" w:lineRule="auto"/>
              <w:ind w:left="4" w:firstLine="9"/>
              <w:rPr>
                <w:sz w:val="18"/>
                <w:szCs w:val="18"/>
              </w:rPr>
            </w:pPr>
            <w:r>
              <w:rPr>
                <w:spacing w:val="-18"/>
                <w:sz w:val="18"/>
                <w:szCs w:val="18"/>
              </w:rPr>
              <w:t>1、掌握工程距离测量的任务、</w:t>
            </w:r>
            <w:r>
              <w:rPr>
                <w:spacing w:val="3"/>
                <w:sz w:val="18"/>
                <w:szCs w:val="18"/>
              </w:rPr>
              <w:t xml:space="preserve"> </w:t>
            </w:r>
            <w:r>
              <w:rPr>
                <w:spacing w:val="-10"/>
                <w:sz w:val="18"/>
                <w:szCs w:val="18"/>
              </w:rPr>
              <w:t>作</w:t>
            </w:r>
            <w:r>
              <w:rPr>
                <w:spacing w:val="-15"/>
                <w:sz w:val="18"/>
                <w:szCs w:val="18"/>
              </w:rPr>
              <w:t xml:space="preserve"> </w:t>
            </w:r>
            <w:r>
              <w:rPr>
                <w:spacing w:val="-10"/>
                <w:sz w:val="18"/>
                <w:szCs w:val="18"/>
              </w:rPr>
              <w:t>用</w:t>
            </w:r>
            <w:r>
              <w:rPr>
                <w:spacing w:val="-24"/>
                <w:sz w:val="18"/>
                <w:szCs w:val="18"/>
              </w:rPr>
              <w:t xml:space="preserve"> </w:t>
            </w:r>
            <w:r>
              <w:rPr>
                <w:spacing w:val="-10"/>
                <w:sz w:val="18"/>
                <w:szCs w:val="18"/>
              </w:rPr>
              <w:t>；</w:t>
            </w:r>
          </w:p>
          <w:p w14:paraId="42827F3D">
            <w:pPr>
              <w:pStyle w:val="6"/>
              <w:spacing w:before="1" w:line="225" w:lineRule="auto"/>
              <w:ind w:left="4" w:right="131"/>
              <w:rPr>
                <w:sz w:val="18"/>
                <w:szCs w:val="18"/>
              </w:rPr>
            </w:pPr>
            <w:r>
              <w:rPr>
                <w:spacing w:val="-1"/>
                <w:sz w:val="18"/>
                <w:szCs w:val="18"/>
              </w:rPr>
              <w:t>2、掌握一般距离测量的基</w:t>
            </w:r>
            <w:r>
              <w:rPr>
                <w:spacing w:val="1"/>
                <w:sz w:val="18"/>
                <w:szCs w:val="18"/>
              </w:rPr>
              <w:t xml:space="preserve"> </w:t>
            </w:r>
            <w:r>
              <w:rPr>
                <w:spacing w:val="21"/>
                <w:sz w:val="18"/>
                <w:szCs w:val="18"/>
              </w:rPr>
              <w:t>本工作</w:t>
            </w:r>
            <w:r>
              <w:rPr>
                <w:spacing w:val="-43"/>
                <w:sz w:val="18"/>
                <w:szCs w:val="18"/>
              </w:rPr>
              <w:t xml:space="preserve"> </w:t>
            </w:r>
            <w:r>
              <w:rPr>
                <w:spacing w:val="21"/>
                <w:sz w:val="18"/>
                <w:szCs w:val="18"/>
              </w:rPr>
              <w:t>；</w:t>
            </w:r>
          </w:p>
          <w:p w14:paraId="4BED1E12">
            <w:pPr>
              <w:pStyle w:val="6"/>
              <w:spacing w:line="234" w:lineRule="auto"/>
              <w:ind w:left="4" w:right="132"/>
              <w:rPr>
                <w:sz w:val="18"/>
                <w:szCs w:val="18"/>
              </w:rPr>
            </w:pPr>
            <w:r>
              <w:rPr>
                <w:spacing w:val="-1"/>
                <w:sz w:val="18"/>
                <w:szCs w:val="18"/>
              </w:rPr>
              <w:t>3、熟练掌握目测定线和分</w:t>
            </w:r>
            <w:r>
              <w:rPr>
                <w:sz w:val="18"/>
                <w:szCs w:val="18"/>
              </w:rPr>
              <w:t xml:space="preserve"> </w:t>
            </w:r>
            <w:r>
              <w:rPr>
                <w:spacing w:val="12"/>
                <w:sz w:val="18"/>
                <w:szCs w:val="18"/>
              </w:rPr>
              <w:t>段点设立方法；</w:t>
            </w:r>
          </w:p>
          <w:p w14:paraId="2277DFCE">
            <w:pPr>
              <w:pStyle w:val="6"/>
              <w:spacing w:before="22" w:line="206" w:lineRule="auto"/>
              <w:ind w:left="4" w:right="118" w:firstLine="10"/>
              <w:rPr>
                <w:sz w:val="18"/>
                <w:szCs w:val="18"/>
              </w:rPr>
            </w:pPr>
            <w:r>
              <w:rPr>
                <w:spacing w:val="-1"/>
                <w:sz w:val="18"/>
                <w:szCs w:val="18"/>
              </w:rPr>
              <w:t>4、具备开展丈量工作和距</w:t>
            </w:r>
            <w:r>
              <w:rPr>
                <w:spacing w:val="4"/>
                <w:sz w:val="18"/>
                <w:szCs w:val="18"/>
              </w:rPr>
              <w:t xml:space="preserve"> </w:t>
            </w:r>
            <w:r>
              <w:rPr>
                <w:spacing w:val="11"/>
                <w:sz w:val="18"/>
                <w:szCs w:val="18"/>
              </w:rPr>
              <w:t>离计算校核能力；</w:t>
            </w:r>
          </w:p>
          <w:p w14:paraId="389BE2A1">
            <w:pPr>
              <w:pStyle w:val="6"/>
              <w:spacing w:line="220" w:lineRule="auto"/>
              <w:jc w:val="right"/>
              <w:rPr>
                <w:sz w:val="18"/>
                <w:szCs w:val="18"/>
              </w:rPr>
            </w:pPr>
            <w:r>
              <w:rPr>
                <w:spacing w:val="-5"/>
                <w:sz w:val="18"/>
                <w:szCs w:val="18"/>
              </w:rPr>
              <w:t>5、测试时间不少于15分钟。</w:t>
            </w:r>
          </w:p>
        </w:tc>
        <w:tc>
          <w:tcPr>
            <w:tcW w:w="1872" w:type="dxa"/>
            <w:vAlign w:val="top"/>
          </w:tcPr>
          <w:p w14:paraId="1A1CD255">
            <w:pPr>
              <w:spacing w:line="340" w:lineRule="auto"/>
              <w:rPr>
                <w:rFonts w:ascii="Arial"/>
                <w:sz w:val="21"/>
              </w:rPr>
            </w:pPr>
          </w:p>
          <w:p w14:paraId="46C2204F">
            <w:pPr>
              <w:spacing w:line="341" w:lineRule="auto"/>
              <w:rPr>
                <w:rFonts w:ascii="Arial"/>
                <w:sz w:val="21"/>
              </w:rPr>
            </w:pPr>
          </w:p>
          <w:p w14:paraId="72D6E648">
            <w:pPr>
              <w:pStyle w:val="6"/>
              <w:spacing w:before="58" w:line="220" w:lineRule="auto"/>
              <w:ind w:left="17"/>
              <w:rPr>
                <w:sz w:val="18"/>
                <w:szCs w:val="18"/>
              </w:rPr>
            </w:pPr>
            <w:r>
              <w:rPr>
                <w:spacing w:val="8"/>
                <w:sz w:val="18"/>
                <w:szCs w:val="18"/>
              </w:rPr>
              <w:t>1、目测定线60分；</w:t>
            </w:r>
          </w:p>
          <w:p w14:paraId="40C9729A">
            <w:pPr>
              <w:pStyle w:val="6"/>
              <w:spacing w:before="4" w:line="205" w:lineRule="auto"/>
              <w:ind w:left="17"/>
              <w:rPr>
                <w:sz w:val="18"/>
                <w:szCs w:val="18"/>
              </w:rPr>
            </w:pPr>
            <w:r>
              <w:rPr>
                <w:spacing w:val="8"/>
                <w:sz w:val="18"/>
                <w:szCs w:val="18"/>
              </w:rPr>
              <w:t>2、距离丈量40分；</w:t>
            </w:r>
          </w:p>
          <w:p w14:paraId="31B7E8C5">
            <w:pPr>
              <w:pStyle w:val="6"/>
              <w:spacing w:line="254" w:lineRule="auto"/>
              <w:ind w:left="17" w:right="144"/>
              <w:rPr>
                <w:sz w:val="18"/>
                <w:szCs w:val="18"/>
              </w:rPr>
            </w:pPr>
            <w:r>
              <w:rPr>
                <w:spacing w:val="-1"/>
                <w:sz w:val="18"/>
                <w:szCs w:val="18"/>
              </w:rPr>
              <w:t>3、距离计算、校核50</w:t>
            </w:r>
            <w:r>
              <w:rPr>
                <w:sz w:val="18"/>
                <w:szCs w:val="18"/>
              </w:rPr>
              <w:t xml:space="preserve"> 分。</w:t>
            </w:r>
          </w:p>
        </w:tc>
      </w:tr>
      <w:tr w14:paraId="1249D0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43" w:hRule="atLeast"/>
        </w:trPr>
        <w:tc>
          <w:tcPr>
            <w:tcW w:w="944" w:type="dxa"/>
            <w:vAlign w:val="top"/>
          </w:tcPr>
          <w:p w14:paraId="7AD0BE3A">
            <w:pPr>
              <w:spacing w:line="311" w:lineRule="auto"/>
              <w:rPr>
                <w:rFonts w:ascii="Arial"/>
                <w:sz w:val="21"/>
              </w:rPr>
            </w:pPr>
          </w:p>
          <w:p w14:paraId="13CDFF60">
            <w:pPr>
              <w:spacing w:line="312" w:lineRule="auto"/>
              <w:rPr>
                <w:rFonts w:ascii="Arial"/>
                <w:sz w:val="21"/>
              </w:rPr>
            </w:pPr>
          </w:p>
          <w:p w14:paraId="4057BED4">
            <w:pPr>
              <w:pStyle w:val="6"/>
              <w:spacing w:before="59" w:line="220" w:lineRule="auto"/>
              <w:ind w:left="194"/>
              <w:rPr>
                <w:sz w:val="18"/>
                <w:szCs w:val="18"/>
              </w:rPr>
            </w:pPr>
            <w:r>
              <w:rPr>
                <w:spacing w:val="-3"/>
                <w:sz w:val="18"/>
                <w:szCs w:val="18"/>
              </w:rPr>
              <w:t>项目六</w:t>
            </w:r>
          </w:p>
          <w:p w14:paraId="37AEA457">
            <w:pPr>
              <w:pStyle w:val="6"/>
              <w:spacing w:before="14" w:line="195" w:lineRule="auto"/>
              <w:ind w:left="105"/>
              <w:rPr>
                <w:sz w:val="18"/>
                <w:szCs w:val="18"/>
              </w:rPr>
            </w:pPr>
            <w:r>
              <w:rPr>
                <w:spacing w:val="-2"/>
                <w:sz w:val="18"/>
                <w:szCs w:val="18"/>
              </w:rPr>
              <w:t>水准测量</w:t>
            </w:r>
          </w:p>
          <w:p w14:paraId="1D87A3A2">
            <w:pPr>
              <w:pStyle w:val="6"/>
              <w:spacing w:line="219" w:lineRule="auto"/>
              <w:ind w:left="144"/>
              <w:rPr>
                <w:sz w:val="18"/>
                <w:szCs w:val="18"/>
              </w:rPr>
            </w:pPr>
            <w:r>
              <w:rPr>
                <w:spacing w:val="2"/>
                <w:sz w:val="18"/>
                <w:szCs w:val="18"/>
              </w:rPr>
              <w:t>(分值为</w:t>
            </w:r>
          </w:p>
          <w:p w14:paraId="49CF67E7">
            <w:pPr>
              <w:pStyle w:val="6"/>
              <w:spacing w:before="16" w:line="220" w:lineRule="auto"/>
              <w:ind w:left="194"/>
              <w:rPr>
                <w:sz w:val="18"/>
                <w:szCs w:val="18"/>
              </w:rPr>
            </w:pPr>
            <w:r>
              <w:rPr>
                <w:spacing w:val="7"/>
                <w:sz w:val="18"/>
                <w:szCs w:val="18"/>
              </w:rPr>
              <w:t>100分)</w:t>
            </w:r>
          </w:p>
        </w:tc>
        <w:tc>
          <w:tcPr>
            <w:tcW w:w="809" w:type="dxa"/>
            <w:vAlign w:val="top"/>
          </w:tcPr>
          <w:p w14:paraId="4BF693A1">
            <w:pPr>
              <w:spacing w:line="300" w:lineRule="auto"/>
              <w:rPr>
                <w:rFonts w:ascii="Arial"/>
                <w:sz w:val="21"/>
              </w:rPr>
            </w:pPr>
          </w:p>
          <w:p w14:paraId="46B01CC8">
            <w:pPr>
              <w:spacing w:line="301" w:lineRule="auto"/>
              <w:rPr>
                <w:rFonts w:ascii="Arial"/>
                <w:sz w:val="21"/>
              </w:rPr>
            </w:pPr>
          </w:p>
          <w:p w14:paraId="0406638F">
            <w:pPr>
              <w:pStyle w:val="6"/>
              <w:spacing w:before="59" w:line="224" w:lineRule="auto"/>
              <w:ind w:left="10" w:firstLine="19"/>
              <w:jc w:val="both"/>
              <w:rPr>
                <w:sz w:val="18"/>
                <w:szCs w:val="18"/>
              </w:rPr>
            </w:pPr>
            <w:r>
              <w:rPr>
                <w:spacing w:val="2"/>
                <w:sz w:val="18"/>
                <w:szCs w:val="18"/>
              </w:rPr>
              <w:t>水准仪</w:t>
            </w:r>
            <w:r>
              <w:rPr>
                <w:spacing w:val="-50"/>
                <w:sz w:val="18"/>
                <w:szCs w:val="18"/>
              </w:rPr>
              <w:t xml:space="preserve"> </w:t>
            </w:r>
            <w:r>
              <w:rPr>
                <w:spacing w:val="2"/>
                <w:sz w:val="18"/>
                <w:szCs w:val="18"/>
              </w:rPr>
              <w:t>、</w:t>
            </w:r>
            <w:r>
              <w:rPr>
                <w:sz w:val="18"/>
                <w:szCs w:val="18"/>
              </w:rPr>
              <w:t xml:space="preserve"> </w:t>
            </w:r>
            <w:r>
              <w:rPr>
                <w:spacing w:val="7"/>
                <w:sz w:val="18"/>
                <w:szCs w:val="18"/>
              </w:rPr>
              <w:t>水准尺</w:t>
            </w:r>
            <w:r>
              <w:rPr>
                <w:spacing w:val="-51"/>
                <w:sz w:val="18"/>
                <w:szCs w:val="18"/>
              </w:rPr>
              <w:t xml:space="preserve"> </w:t>
            </w:r>
            <w:r>
              <w:rPr>
                <w:spacing w:val="7"/>
                <w:sz w:val="18"/>
                <w:szCs w:val="18"/>
              </w:rPr>
              <w:t>、</w:t>
            </w:r>
            <w:r>
              <w:rPr>
                <w:sz w:val="18"/>
                <w:szCs w:val="18"/>
              </w:rPr>
              <w:t xml:space="preserve"> </w:t>
            </w:r>
            <w:r>
              <w:rPr>
                <w:spacing w:val="17"/>
                <w:sz w:val="18"/>
                <w:szCs w:val="18"/>
              </w:rPr>
              <w:t>记录板、</w:t>
            </w:r>
            <w:r>
              <w:rPr>
                <w:sz w:val="18"/>
                <w:szCs w:val="18"/>
              </w:rPr>
              <w:t xml:space="preserve"> </w:t>
            </w:r>
            <w:r>
              <w:rPr>
                <w:spacing w:val="-7"/>
                <w:sz w:val="18"/>
                <w:szCs w:val="18"/>
              </w:rPr>
              <w:t>铅笔</w:t>
            </w:r>
          </w:p>
        </w:tc>
        <w:tc>
          <w:tcPr>
            <w:tcW w:w="999" w:type="dxa"/>
            <w:vAlign w:val="top"/>
          </w:tcPr>
          <w:p w14:paraId="3C240658">
            <w:pPr>
              <w:spacing w:line="301" w:lineRule="auto"/>
              <w:rPr>
                <w:rFonts w:ascii="Arial"/>
                <w:sz w:val="21"/>
              </w:rPr>
            </w:pPr>
          </w:p>
          <w:p w14:paraId="357FCC25">
            <w:pPr>
              <w:spacing w:line="302" w:lineRule="auto"/>
              <w:rPr>
                <w:rFonts w:ascii="Arial"/>
                <w:sz w:val="21"/>
              </w:rPr>
            </w:pPr>
          </w:p>
          <w:p w14:paraId="79EA27B4">
            <w:pPr>
              <w:pStyle w:val="6"/>
              <w:spacing w:before="58" w:line="219" w:lineRule="auto"/>
              <w:jc w:val="right"/>
              <w:rPr>
                <w:sz w:val="18"/>
                <w:szCs w:val="18"/>
              </w:rPr>
            </w:pPr>
            <w:r>
              <w:rPr>
                <w:spacing w:val="-13"/>
                <w:sz w:val="18"/>
                <w:szCs w:val="18"/>
              </w:rPr>
              <w:t>1</w:t>
            </w:r>
            <w:r>
              <w:rPr>
                <w:spacing w:val="-25"/>
                <w:sz w:val="18"/>
                <w:szCs w:val="18"/>
              </w:rPr>
              <w:t xml:space="preserve"> </w:t>
            </w:r>
            <w:r>
              <w:rPr>
                <w:spacing w:val="-13"/>
                <w:sz w:val="18"/>
                <w:szCs w:val="18"/>
              </w:rPr>
              <w:t>、</w:t>
            </w:r>
            <w:r>
              <w:rPr>
                <w:spacing w:val="-36"/>
                <w:sz w:val="18"/>
                <w:szCs w:val="18"/>
              </w:rPr>
              <w:t xml:space="preserve"> </w:t>
            </w:r>
            <w:r>
              <w:rPr>
                <w:spacing w:val="-12"/>
                <w:sz w:val="18"/>
                <w:szCs w:val="18"/>
              </w:rPr>
              <w:t>水</w:t>
            </w:r>
            <w:r>
              <w:rPr>
                <w:spacing w:val="-37"/>
                <w:sz w:val="18"/>
                <w:szCs w:val="18"/>
              </w:rPr>
              <w:t xml:space="preserve"> </w:t>
            </w:r>
            <w:r>
              <w:rPr>
                <w:spacing w:val="-12"/>
                <w:sz w:val="18"/>
                <w:szCs w:val="18"/>
              </w:rPr>
              <w:t>准</w:t>
            </w:r>
            <w:r>
              <w:rPr>
                <w:spacing w:val="-37"/>
                <w:sz w:val="18"/>
                <w:szCs w:val="18"/>
              </w:rPr>
              <w:t xml:space="preserve"> </w:t>
            </w:r>
            <w:r>
              <w:rPr>
                <w:spacing w:val="-10"/>
                <w:sz w:val="18"/>
                <w:szCs w:val="18"/>
              </w:rPr>
              <w:t>仪</w:t>
            </w:r>
          </w:p>
          <w:p w14:paraId="142F8C5C">
            <w:pPr>
              <w:pStyle w:val="6"/>
              <w:spacing w:before="36" w:line="195" w:lineRule="auto"/>
              <w:ind w:left="11"/>
              <w:rPr>
                <w:sz w:val="18"/>
                <w:szCs w:val="18"/>
              </w:rPr>
            </w:pPr>
            <w:r>
              <w:rPr>
                <w:spacing w:val="-6"/>
                <w:sz w:val="18"/>
                <w:szCs w:val="18"/>
              </w:rPr>
              <w:t>使</w:t>
            </w:r>
            <w:r>
              <w:rPr>
                <w:spacing w:val="-11"/>
                <w:sz w:val="18"/>
                <w:szCs w:val="18"/>
              </w:rPr>
              <w:t xml:space="preserve"> </w:t>
            </w:r>
            <w:r>
              <w:rPr>
                <w:spacing w:val="-6"/>
                <w:sz w:val="18"/>
                <w:szCs w:val="18"/>
              </w:rPr>
              <w:t>用</w:t>
            </w:r>
            <w:r>
              <w:rPr>
                <w:spacing w:val="-20"/>
                <w:sz w:val="18"/>
                <w:szCs w:val="18"/>
              </w:rPr>
              <w:t xml:space="preserve"> </w:t>
            </w:r>
            <w:r>
              <w:rPr>
                <w:spacing w:val="-6"/>
                <w:sz w:val="18"/>
                <w:szCs w:val="18"/>
              </w:rPr>
              <w:t>；</w:t>
            </w:r>
          </w:p>
          <w:p w14:paraId="07D0D5E5">
            <w:pPr>
              <w:pStyle w:val="6"/>
              <w:spacing w:line="229" w:lineRule="auto"/>
              <w:ind w:left="11"/>
              <w:rPr>
                <w:sz w:val="18"/>
                <w:szCs w:val="18"/>
              </w:rPr>
            </w:pPr>
            <w:r>
              <w:rPr>
                <w:spacing w:val="-3"/>
                <w:sz w:val="18"/>
                <w:szCs w:val="18"/>
              </w:rPr>
              <w:t>2、两点高差</w:t>
            </w:r>
            <w:r>
              <w:rPr>
                <w:spacing w:val="4"/>
                <w:sz w:val="18"/>
                <w:szCs w:val="18"/>
              </w:rPr>
              <w:t xml:space="preserve"> </w:t>
            </w:r>
            <w:r>
              <w:rPr>
                <w:spacing w:val="-6"/>
                <w:sz w:val="18"/>
                <w:szCs w:val="18"/>
              </w:rPr>
              <w:t>测</w:t>
            </w:r>
            <w:r>
              <w:rPr>
                <w:spacing w:val="-13"/>
                <w:sz w:val="18"/>
                <w:szCs w:val="18"/>
              </w:rPr>
              <w:t xml:space="preserve"> </w:t>
            </w:r>
            <w:r>
              <w:rPr>
                <w:spacing w:val="-6"/>
                <w:sz w:val="18"/>
                <w:szCs w:val="18"/>
              </w:rPr>
              <w:t>量</w:t>
            </w:r>
            <w:r>
              <w:rPr>
                <w:spacing w:val="-20"/>
                <w:sz w:val="18"/>
                <w:szCs w:val="18"/>
              </w:rPr>
              <w:t xml:space="preserve"> </w:t>
            </w:r>
            <w:r>
              <w:rPr>
                <w:spacing w:val="-6"/>
                <w:sz w:val="18"/>
                <w:szCs w:val="18"/>
              </w:rPr>
              <w:t>；</w:t>
            </w:r>
          </w:p>
        </w:tc>
        <w:tc>
          <w:tcPr>
            <w:tcW w:w="1858" w:type="dxa"/>
            <w:vAlign w:val="top"/>
          </w:tcPr>
          <w:p w14:paraId="701D8C03">
            <w:pPr>
              <w:pStyle w:val="6"/>
              <w:spacing w:before="245" w:line="215" w:lineRule="auto"/>
              <w:ind w:left="13" w:right="32" w:firstLine="10"/>
              <w:rPr>
                <w:sz w:val="18"/>
                <w:szCs w:val="18"/>
              </w:rPr>
            </w:pPr>
            <w:r>
              <w:rPr>
                <w:spacing w:val="-1"/>
                <w:sz w:val="18"/>
                <w:szCs w:val="18"/>
              </w:rPr>
              <w:t>测试教师现场指定目标</w:t>
            </w:r>
            <w:r>
              <w:rPr>
                <w:spacing w:val="1"/>
                <w:sz w:val="18"/>
                <w:szCs w:val="18"/>
              </w:rPr>
              <w:t xml:space="preserve"> </w:t>
            </w:r>
            <w:r>
              <w:rPr>
                <w:spacing w:val="-1"/>
                <w:sz w:val="18"/>
                <w:szCs w:val="18"/>
              </w:rPr>
              <w:t>A点、B点，考生正确</w:t>
            </w:r>
          </w:p>
          <w:p w14:paraId="3290095D">
            <w:pPr>
              <w:pStyle w:val="6"/>
              <w:spacing w:line="228" w:lineRule="auto"/>
              <w:ind w:left="13" w:firstLine="99"/>
              <w:rPr>
                <w:sz w:val="18"/>
                <w:szCs w:val="18"/>
              </w:rPr>
            </w:pPr>
            <w:r>
              <w:rPr>
                <w:spacing w:val="-3"/>
                <w:sz w:val="18"/>
                <w:szCs w:val="18"/>
              </w:rPr>
              <w:t>使用提供的水准仪等</w:t>
            </w:r>
            <w:r>
              <w:rPr>
                <w:spacing w:val="2"/>
                <w:sz w:val="18"/>
                <w:szCs w:val="18"/>
              </w:rPr>
              <w:t xml:space="preserve">  </w:t>
            </w:r>
            <w:r>
              <w:rPr>
                <w:spacing w:val="-2"/>
                <w:sz w:val="18"/>
                <w:szCs w:val="18"/>
              </w:rPr>
              <w:t>测量设备对其开展水准</w:t>
            </w:r>
            <w:r>
              <w:rPr>
                <w:spacing w:val="6"/>
                <w:sz w:val="18"/>
                <w:szCs w:val="18"/>
              </w:rPr>
              <w:t xml:space="preserve"> </w:t>
            </w:r>
            <w:r>
              <w:rPr>
                <w:spacing w:val="-2"/>
                <w:sz w:val="18"/>
                <w:szCs w:val="18"/>
              </w:rPr>
              <w:t>测量，独立完成水准仪</w:t>
            </w:r>
            <w:r>
              <w:rPr>
                <w:spacing w:val="6"/>
                <w:sz w:val="18"/>
                <w:szCs w:val="18"/>
              </w:rPr>
              <w:t xml:space="preserve"> </w:t>
            </w:r>
            <w:r>
              <w:rPr>
                <w:spacing w:val="-2"/>
                <w:sz w:val="18"/>
                <w:szCs w:val="18"/>
              </w:rPr>
              <w:t>架站、读数、填写测量</w:t>
            </w:r>
            <w:r>
              <w:rPr>
                <w:spacing w:val="6"/>
                <w:sz w:val="18"/>
                <w:szCs w:val="18"/>
              </w:rPr>
              <w:t xml:space="preserve"> </w:t>
            </w:r>
            <w:r>
              <w:rPr>
                <w:spacing w:val="12"/>
                <w:sz w:val="18"/>
                <w:szCs w:val="18"/>
              </w:rPr>
              <w:t>报告、计算目标A点、</w:t>
            </w:r>
            <w:r>
              <w:rPr>
                <w:spacing w:val="3"/>
                <w:sz w:val="18"/>
                <w:szCs w:val="18"/>
              </w:rPr>
              <w:t xml:space="preserve"> </w:t>
            </w:r>
            <w:r>
              <w:rPr>
                <w:spacing w:val="-2"/>
                <w:sz w:val="18"/>
                <w:szCs w:val="18"/>
              </w:rPr>
              <w:t>B点高差的测量作业。</w:t>
            </w:r>
          </w:p>
        </w:tc>
        <w:tc>
          <w:tcPr>
            <w:tcW w:w="2207" w:type="dxa"/>
            <w:vAlign w:val="top"/>
          </w:tcPr>
          <w:p w14:paraId="46000BF3">
            <w:pPr>
              <w:pStyle w:val="6"/>
              <w:spacing w:before="135" w:line="223" w:lineRule="auto"/>
              <w:ind w:left="4" w:firstLine="9"/>
              <w:rPr>
                <w:sz w:val="18"/>
                <w:szCs w:val="18"/>
              </w:rPr>
            </w:pPr>
            <w:r>
              <w:rPr>
                <w:spacing w:val="-18"/>
                <w:sz w:val="18"/>
                <w:szCs w:val="18"/>
              </w:rPr>
              <w:t>1、掌握工程水准测量的任务、</w:t>
            </w:r>
            <w:r>
              <w:rPr>
                <w:spacing w:val="3"/>
                <w:sz w:val="18"/>
                <w:szCs w:val="18"/>
              </w:rPr>
              <w:t xml:space="preserve"> </w:t>
            </w:r>
            <w:r>
              <w:rPr>
                <w:spacing w:val="-10"/>
                <w:sz w:val="18"/>
                <w:szCs w:val="18"/>
              </w:rPr>
              <w:t>作</w:t>
            </w:r>
            <w:r>
              <w:rPr>
                <w:spacing w:val="-15"/>
                <w:sz w:val="18"/>
                <w:szCs w:val="18"/>
              </w:rPr>
              <w:t xml:space="preserve"> </w:t>
            </w:r>
            <w:r>
              <w:rPr>
                <w:spacing w:val="-10"/>
                <w:sz w:val="18"/>
                <w:szCs w:val="18"/>
              </w:rPr>
              <w:t>用</w:t>
            </w:r>
            <w:r>
              <w:rPr>
                <w:spacing w:val="-24"/>
                <w:sz w:val="18"/>
                <w:szCs w:val="18"/>
              </w:rPr>
              <w:t xml:space="preserve"> </w:t>
            </w:r>
            <w:r>
              <w:rPr>
                <w:spacing w:val="-10"/>
                <w:sz w:val="18"/>
                <w:szCs w:val="18"/>
              </w:rPr>
              <w:t>；</w:t>
            </w:r>
          </w:p>
          <w:p w14:paraId="71032826">
            <w:pPr>
              <w:pStyle w:val="6"/>
              <w:spacing w:before="4" w:line="218" w:lineRule="auto"/>
              <w:ind w:left="4" w:right="131"/>
              <w:rPr>
                <w:sz w:val="18"/>
                <w:szCs w:val="18"/>
              </w:rPr>
            </w:pPr>
            <w:r>
              <w:rPr>
                <w:spacing w:val="-1"/>
                <w:sz w:val="18"/>
                <w:szCs w:val="18"/>
              </w:rPr>
              <w:t>2、掌握水准测量的基本工</w:t>
            </w:r>
            <w:r>
              <w:rPr>
                <w:spacing w:val="1"/>
                <w:sz w:val="18"/>
                <w:szCs w:val="18"/>
              </w:rPr>
              <w:t xml:space="preserve"> </w:t>
            </w:r>
            <w:r>
              <w:rPr>
                <w:spacing w:val="-4"/>
                <w:sz w:val="18"/>
                <w:szCs w:val="18"/>
              </w:rPr>
              <w:t>作</w:t>
            </w:r>
            <w:r>
              <w:rPr>
                <w:spacing w:val="49"/>
                <w:sz w:val="18"/>
                <w:szCs w:val="18"/>
              </w:rPr>
              <w:t xml:space="preserve"> </w:t>
            </w:r>
            <w:r>
              <w:rPr>
                <w:spacing w:val="-4"/>
                <w:sz w:val="18"/>
                <w:szCs w:val="18"/>
              </w:rPr>
              <w:t>；</w:t>
            </w:r>
          </w:p>
          <w:p w14:paraId="4E4CB353">
            <w:pPr>
              <w:pStyle w:val="6"/>
              <w:spacing w:before="3" w:line="226" w:lineRule="auto"/>
              <w:ind w:left="4" w:right="111"/>
              <w:rPr>
                <w:sz w:val="18"/>
                <w:szCs w:val="18"/>
              </w:rPr>
            </w:pPr>
            <w:r>
              <w:rPr>
                <w:sz w:val="18"/>
                <w:szCs w:val="18"/>
              </w:rPr>
              <w:t>3、熟练掌握水准仪的规范</w:t>
            </w:r>
            <w:r>
              <w:rPr>
                <w:spacing w:val="9"/>
                <w:sz w:val="18"/>
                <w:szCs w:val="18"/>
              </w:rPr>
              <w:t xml:space="preserve"> </w:t>
            </w:r>
            <w:r>
              <w:rPr>
                <w:spacing w:val="18"/>
                <w:sz w:val="18"/>
                <w:szCs w:val="18"/>
              </w:rPr>
              <w:t>使用知识；</w:t>
            </w:r>
          </w:p>
          <w:p w14:paraId="27FB2D6D">
            <w:pPr>
              <w:pStyle w:val="6"/>
              <w:spacing w:line="226" w:lineRule="auto"/>
              <w:ind w:left="4" w:right="128"/>
              <w:rPr>
                <w:sz w:val="18"/>
                <w:szCs w:val="18"/>
              </w:rPr>
            </w:pPr>
            <w:r>
              <w:rPr>
                <w:spacing w:val="-1"/>
                <w:sz w:val="18"/>
                <w:szCs w:val="18"/>
              </w:rPr>
              <w:t>4、具备水准仪架设及高程</w:t>
            </w:r>
            <w:r>
              <w:rPr>
                <w:spacing w:val="4"/>
                <w:sz w:val="18"/>
                <w:szCs w:val="18"/>
              </w:rPr>
              <w:t xml:space="preserve"> </w:t>
            </w:r>
            <w:r>
              <w:rPr>
                <w:spacing w:val="18"/>
                <w:sz w:val="18"/>
                <w:szCs w:val="18"/>
              </w:rPr>
              <w:t>观测能力；</w:t>
            </w:r>
          </w:p>
          <w:p w14:paraId="61AF4630">
            <w:pPr>
              <w:pStyle w:val="6"/>
              <w:spacing w:line="220" w:lineRule="auto"/>
              <w:jc w:val="right"/>
              <w:rPr>
                <w:sz w:val="18"/>
                <w:szCs w:val="18"/>
              </w:rPr>
            </w:pPr>
            <w:r>
              <w:rPr>
                <w:spacing w:val="-5"/>
                <w:sz w:val="18"/>
                <w:szCs w:val="18"/>
              </w:rPr>
              <w:t>5、测试时间不少于15分钟。</w:t>
            </w:r>
          </w:p>
        </w:tc>
        <w:tc>
          <w:tcPr>
            <w:tcW w:w="1872" w:type="dxa"/>
            <w:vAlign w:val="top"/>
          </w:tcPr>
          <w:p w14:paraId="6BD31136">
            <w:pPr>
              <w:spacing w:line="404" w:lineRule="auto"/>
              <w:rPr>
                <w:rFonts w:ascii="Arial"/>
                <w:sz w:val="21"/>
              </w:rPr>
            </w:pPr>
          </w:p>
          <w:p w14:paraId="717D69EF">
            <w:pPr>
              <w:pStyle w:val="6"/>
              <w:spacing w:before="59" w:line="215" w:lineRule="auto"/>
              <w:ind w:left="17"/>
              <w:rPr>
                <w:sz w:val="18"/>
                <w:szCs w:val="18"/>
              </w:rPr>
            </w:pPr>
            <w:r>
              <w:rPr>
                <w:spacing w:val="8"/>
                <w:sz w:val="18"/>
                <w:szCs w:val="18"/>
              </w:rPr>
              <w:t>1、水准仪架站35分；</w:t>
            </w:r>
          </w:p>
          <w:p w14:paraId="3EA1386A">
            <w:pPr>
              <w:pStyle w:val="6"/>
              <w:spacing w:before="1" w:line="220" w:lineRule="auto"/>
              <w:ind w:left="17" w:right="122"/>
              <w:rPr>
                <w:sz w:val="18"/>
                <w:szCs w:val="18"/>
              </w:rPr>
            </w:pPr>
            <w:r>
              <w:rPr>
                <w:spacing w:val="1"/>
                <w:sz w:val="18"/>
                <w:szCs w:val="18"/>
              </w:rPr>
              <w:t>2、水准仪读数正确25</w:t>
            </w:r>
            <w:r>
              <w:rPr>
                <w:sz w:val="18"/>
                <w:szCs w:val="18"/>
              </w:rPr>
              <w:t xml:space="preserve"> </w:t>
            </w:r>
            <w:r>
              <w:rPr>
                <w:spacing w:val="-5"/>
                <w:sz w:val="18"/>
                <w:szCs w:val="18"/>
              </w:rPr>
              <w:t>分</w:t>
            </w:r>
            <w:r>
              <w:rPr>
                <w:spacing w:val="51"/>
                <w:sz w:val="18"/>
                <w:szCs w:val="18"/>
              </w:rPr>
              <w:t xml:space="preserve"> </w:t>
            </w:r>
            <w:r>
              <w:rPr>
                <w:spacing w:val="-5"/>
                <w:sz w:val="18"/>
                <w:szCs w:val="18"/>
              </w:rPr>
              <w:t>；</w:t>
            </w:r>
          </w:p>
          <w:p w14:paraId="7CD9F6FF">
            <w:pPr>
              <w:pStyle w:val="6"/>
              <w:spacing w:line="219" w:lineRule="auto"/>
              <w:jc w:val="right"/>
              <w:rPr>
                <w:sz w:val="18"/>
                <w:szCs w:val="18"/>
              </w:rPr>
            </w:pPr>
            <w:r>
              <w:rPr>
                <w:spacing w:val="-4"/>
                <w:sz w:val="18"/>
                <w:szCs w:val="18"/>
              </w:rPr>
              <w:t>3、高差计算准确20分；</w:t>
            </w:r>
          </w:p>
          <w:p w14:paraId="1946FEE5">
            <w:pPr>
              <w:pStyle w:val="6"/>
              <w:spacing w:before="24" w:line="213" w:lineRule="auto"/>
              <w:ind w:left="17" w:right="140"/>
              <w:rPr>
                <w:sz w:val="18"/>
                <w:szCs w:val="18"/>
              </w:rPr>
            </w:pPr>
            <w:r>
              <w:rPr>
                <w:spacing w:val="-1"/>
                <w:sz w:val="18"/>
                <w:szCs w:val="18"/>
              </w:rPr>
              <w:t>4、测量报告填写整洁</w:t>
            </w:r>
            <w:r>
              <w:rPr>
                <w:spacing w:val="2"/>
                <w:sz w:val="18"/>
                <w:szCs w:val="18"/>
              </w:rPr>
              <w:t xml:space="preserve"> </w:t>
            </w:r>
            <w:r>
              <w:rPr>
                <w:spacing w:val="-1"/>
                <w:sz w:val="18"/>
                <w:szCs w:val="18"/>
              </w:rPr>
              <w:t>完整20分。</w:t>
            </w:r>
          </w:p>
        </w:tc>
      </w:tr>
    </w:tbl>
    <w:p w14:paraId="447DC2DB">
      <w:pPr>
        <w:pStyle w:val="2"/>
      </w:pPr>
    </w:p>
    <w:p w14:paraId="7E3FA455">
      <w:pPr>
        <w:sectPr>
          <w:footerReference r:id="rId124" w:type="default"/>
          <w:pgSz w:w="10660" w:h="15080"/>
          <w:pgMar w:top="400" w:right="1065" w:bottom="910" w:left="809" w:header="0" w:footer="738" w:gutter="0"/>
          <w:cols w:space="720" w:num="1"/>
        </w:sectPr>
      </w:pPr>
    </w:p>
    <w:p w14:paraId="185E7EFB">
      <w:pPr>
        <w:spacing w:before="10"/>
      </w:pPr>
    </w:p>
    <w:p w14:paraId="476BBBCA">
      <w:pPr>
        <w:spacing w:before="10"/>
      </w:pPr>
    </w:p>
    <w:p w14:paraId="1A2E8E7F">
      <w:pPr>
        <w:spacing w:before="10"/>
      </w:pPr>
    </w:p>
    <w:p w14:paraId="4ACF5649">
      <w:pPr>
        <w:spacing w:before="9"/>
      </w:pPr>
    </w:p>
    <w:tbl>
      <w:tblPr>
        <w:tblStyle w:val="5"/>
        <w:tblW w:w="8715"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54"/>
        <w:gridCol w:w="809"/>
        <w:gridCol w:w="1009"/>
        <w:gridCol w:w="1848"/>
        <w:gridCol w:w="2197"/>
        <w:gridCol w:w="1898"/>
      </w:tblGrid>
      <w:tr w14:paraId="2EC105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5" w:hRule="atLeast"/>
        </w:trPr>
        <w:tc>
          <w:tcPr>
            <w:tcW w:w="954" w:type="dxa"/>
            <w:vAlign w:val="top"/>
          </w:tcPr>
          <w:p w14:paraId="12B1C47A">
            <w:pPr>
              <w:pStyle w:val="6"/>
              <w:spacing w:before="140" w:line="220" w:lineRule="auto"/>
              <w:ind w:left="107"/>
              <w:rPr>
                <w:sz w:val="18"/>
                <w:szCs w:val="18"/>
              </w:rPr>
            </w:pPr>
            <w:r>
              <w:rPr>
                <w:b/>
                <w:bCs/>
                <w:spacing w:val="5"/>
                <w:sz w:val="18"/>
                <w:szCs w:val="18"/>
              </w:rPr>
              <w:t>测试项目</w:t>
            </w:r>
          </w:p>
        </w:tc>
        <w:tc>
          <w:tcPr>
            <w:tcW w:w="809" w:type="dxa"/>
            <w:vAlign w:val="top"/>
          </w:tcPr>
          <w:p w14:paraId="2E245C91">
            <w:pPr>
              <w:pStyle w:val="6"/>
              <w:spacing w:before="31" w:line="212" w:lineRule="auto"/>
              <w:ind w:left="213" w:right="233"/>
              <w:rPr>
                <w:sz w:val="18"/>
                <w:szCs w:val="18"/>
              </w:rPr>
            </w:pPr>
            <w:r>
              <w:rPr>
                <w:b/>
                <w:bCs/>
                <w:spacing w:val="-6"/>
                <w:sz w:val="18"/>
                <w:szCs w:val="18"/>
              </w:rPr>
              <w:t>测试</w:t>
            </w:r>
            <w:r>
              <w:rPr>
                <w:sz w:val="18"/>
                <w:szCs w:val="18"/>
              </w:rPr>
              <w:t xml:space="preserve"> </w:t>
            </w:r>
            <w:r>
              <w:rPr>
                <w:b/>
                <w:bCs/>
                <w:spacing w:val="-7"/>
                <w:sz w:val="18"/>
                <w:szCs w:val="18"/>
              </w:rPr>
              <w:t>用具</w:t>
            </w:r>
          </w:p>
        </w:tc>
        <w:tc>
          <w:tcPr>
            <w:tcW w:w="1009" w:type="dxa"/>
            <w:vAlign w:val="top"/>
          </w:tcPr>
          <w:p w14:paraId="6A4A89AC">
            <w:pPr>
              <w:pStyle w:val="6"/>
              <w:spacing w:before="31" w:line="212" w:lineRule="auto"/>
              <w:ind w:left="314" w:right="320"/>
              <w:rPr>
                <w:sz w:val="18"/>
                <w:szCs w:val="18"/>
              </w:rPr>
            </w:pPr>
            <w:r>
              <w:rPr>
                <w:b/>
                <w:bCs/>
                <w:spacing w:val="-6"/>
                <w:sz w:val="18"/>
                <w:szCs w:val="18"/>
              </w:rPr>
              <w:t>测试</w:t>
            </w:r>
            <w:r>
              <w:rPr>
                <w:sz w:val="18"/>
                <w:szCs w:val="18"/>
              </w:rPr>
              <w:t xml:space="preserve"> </w:t>
            </w:r>
            <w:r>
              <w:rPr>
                <w:b/>
                <w:bCs/>
                <w:sz w:val="18"/>
                <w:szCs w:val="18"/>
              </w:rPr>
              <w:t>内容</w:t>
            </w:r>
          </w:p>
        </w:tc>
        <w:tc>
          <w:tcPr>
            <w:tcW w:w="1848" w:type="dxa"/>
            <w:vAlign w:val="top"/>
          </w:tcPr>
          <w:p w14:paraId="50AB0C8D">
            <w:pPr>
              <w:pStyle w:val="6"/>
              <w:spacing w:before="140" w:line="221" w:lineRule="auto"/>
              <w:ind w:left="555"/>
              <w:rPr>
                <w:sz w:val="18"/>
                <w:szCs w:val="18"/>
              </w:rPr>
            </w:pPr>
            <w:r>
              <w:rPr>
                <w:b/>
                <w:bCs/>
                <w:spacing w:val="-4"/>
                <w:sz w:val="18"/>
                <w:szCs w:val="18"/>
              </w:rPr>
              <w:t>测试方法</w:t>
            </w:r>
          </w:p>
        </w:tc>
        <w:tc>
          <w:tcPr>
            <w:tcW w:w="2197" w:type="dxa"/>
            <w:vAlign w:val="top"/>
          </w:tcPr>
          <w:p w14:paraId="33F5CC18">
            <w:pPr>
              <w:pStyle w:val="6"/>
              <w:spacing w:before="140" w:line="221" w:lineRule="auto"/>
              <w:ind w:left="767"/>
              <w:rPr>
                <w:sz w:val="18"/>
                <w:szCs w:val="18"/>
              </w:rPr>
            </w:pPr>
            <w:r>
              <w:rPr>
                <w:b/>
                <w:bCs/>
                <w:spacing w:val="-4"/>
                <w:sz w:val="18"/>
                <w:szCs w:val="18"/>
              </w:rPr>
              <w:t>测试要求</w:t>
            </w:r>
          </w:p>
        </w:tc>
        <w:tc>
          <w:tcPr>
            <w:tcW w:w="1898" w:type="dxa"/>
            <w:vAlign w:val="top"/>
          </w:tcPr>
          <w:p w14:paraId="05EC4806">
            <w:pPr>
              <w:pStyle w:val="6"/>
              <w:spacing w:before="139" w:line="219" w:lineRule="auto"/>
              <w:ind w:left="630"/>
              <w:rPr>
                <w:sz w:val="18"/>
                <w:szCs w:val="18"/>
              </w:rPr>
            </w:pPr>
            <w:r>
              <w:rPr>
                <w:b/>
                <w:bCs/>
                <w:spacing w:val="-4"/>
                <w:sz w:val="18"/>
                <w:szCs w:val="18"/>
              </w:rPr>
              <w:t>赋分参考</w:t>
            </w:r>
          </w:p>
        </w:tc>
      </w:tr>
      <w:tr w14:paraId="28F32D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97" w:hRule="atLeast"/>
        </w:trPr>
        <w:tc>
          <w:tcPr>
            <w:tcW w:w="954" w:type="dxa"/>
            <w:vAlign w:val="top"/>
          </w:tcPr>
          <w:p w14:paraId="241A6365">
            <w:pPr>
              <w:spacing w:line="248" w:lineRule="auto"/>
              <w:rPr>
                <w:rFonts w:ascii="Arial"/>
                <w:sz w:val="21"/>
              </w:rPr>
            </w:pPr>
          </w:p>
          <w:p w14:paraId="0F05C9EF">
            <w:pPr>
              <w:spacing w:line="248" w:lineRule="auto"/>
              <w:rPr>
                <w:rFonts w:ascii="Arial"/>
                <w:sz w:val="21"/>
              </w:rPr>
            </w:pPr>
          </w:p>
          <w:p w14:paraId="5A939348">
            <w:pPr>
              <w:spacing w:line="248" w:lineRule="auto"/>
              <w:rPr>
                <w:rFonts w:ascii="Arial"/>
                <w:sz w:val="21"/>
              </w:rPr>
            </w:pPr>
          </w:p>
          <w:p w14:paraId="1733970C">
            <w:pPr>
              <w:pStyle w:val="6"/>
              <w:spacing w:before="59" w:line="204" w:lineRule="auto"/>
              <w:ind w:left="195"/>
              <w:rPr>
                <w:sz w:val="18"/>
                <w:szCs w:val="18"/>
              </w:rPr>
            </w:pPr>
            <w:r>
              <w:rPr>
                <w:spacing w:val="-3"/>
                <w:sz w:val="18"/>
                <w:szCs w:val="18"/>
              </w:rPr>
              <w:t>项目七</w:t>
            </w:r>
          </w:p>
          <w:p w14:paraId="4993634C">
            <w:pPr>
              <w:pStyle w:val="6"/>
              <w:spacing w:line="218" w:lineRule="auto"/>
              <w:ind w:left="15"/>
              <w:rPr>
                <w:sz w:val="18"/>
                <w:szCs w:val="18"/>
              </w:rPr>
            </w:pPr>
            <w:r>
              <w:rPr>
                <w:spacing w:val="-2"/>
                <w:sz w:val="18"/>
                <w:szCs w:val="18"/>
              </w:rPr>
              <w:t>轴测图的绘</w:t>
            </w:r>
          </w:p>
          <w:p w14:paraId="304CF755">
            <w:pPr>
              <w:pStyle w:val="6"/>
              <w:spacing w:before="27" w:line="219" w:lineRule="auto"/>
              <w:ind w:left="65"/>
              <w:rPr>
                <w:sz w:val="18"/>
                <w:szCs w:val="18"/>
              </w:rPr>
            </w:pPr>
            <w:r>
              <w:rPr>
                <w:spacing w:val="-2"/>
                <w:sz w:val="18"/>
                <w:szCs w:val="18"/>
              </w:rPr>
              <w:t>制(分值为</w:t>
            </w:r>
          </w:p>
          <w:p w14:paraId="73B4F22F">
            <w:pPr>
              <w:pStyle w:val="6"/>
              <w:spacing w:before="6" w:line="220" w:lineRule="auto"/>
              <w:ind w:left="195"/>
              <w:rPr>
                <w:sz w:val="18"/>
                <w:szCs w:val="18"/>
              </w:rPr>
            </w:pPr>
            <w:r>
              <w:rPr>
                <w:spacing w:val="7"/>
                <w:sz w:val="18"/>
                <w:szCs w:val="18"/>
              </w:rPr>
              <w:t>100分)</w:t>
            </w:r>
          </w:p>
        </w:tc>
        <w:tc>
          <w:tcPr>
            <w:tcW w:w="809" w:type="dxa"/>
            <w:vAlign w:val="top"/>
          </w:tcPr>
          <w:p w14:paraId="056124EE">
            <w:pPr>
              <w:spacing w:line="393" w:lineRule="auto"/>
              <w:rPr>
                <w:rFonts w:ascii="Arial"/>
                <w:sz w:val="21"/>
              </w:rPr>
            </w:pPr>
          </w:p>
          <w:p w14:paraId="3397142D">
            <w:pPr>
              <w:pStyle w:val="6"/>
              <w:spacing w:before="59" w:line="227" w:lineRule="auto"/>
              <w:ind w:left="11" w:firstLine="63"/>
              <w:jc w:val="both"/>
              <w:rPr>
                <w:sz w:val="18"/>
                <w:szCs w:val="18"/>
              </w:rPr>
            </w:pPr>
            <w:r>
              <w:rPr>
                <w:sz w:val="18"/>
                <w:szCs w:val="18"/>
              </w:rPr>
              <w:t xml:space="preserve">绘图板， </w:t>
            </w:r>
            <w:r>
              <w:rPr>
                <w:spacing w:val="1"/>
                <w:sz w:val="18"/>
                <w:szCs w:val="18"/>
              </w:rPr>
              <w:t>三角板，</w:t>
            </w:r>
            <w:r>
              <w:rPr>
                <w:sz w:val="18"/>
                <w:szCs w:val="18"/>
              </w:rPr>
              <w:t xml:space="preserve"> </w:t>
            </w:r>
            <w:r>
              <w:rPr>
                <w:spacing w:val="-11"/>
                <w:sz w:val="18"/>
                <w:szCs w:val="18"/>
              </w:rPr>
              <w:t>圆规，铅</w:t>
            </w:r>
            <w:r>
              <w:rPr>
                <w:sz w:val="18"/>
                <w:szCs w:val="18"/>
              </w:rPr>
              <w:t xml:space="preserve">  </w:t>
            </w:r>
            <w:r>
              <w:rPr>
                <w:spacing w:val="-23"/>
                <w:sz w:val="18"/>
                <w:szCs w:val="18"/>
              </w:rPr>
              <w:t>笔，橡皮，</w:t>
            </w:r>
            <w:r>
              <w:rPr>
                <w:spacing w:val="1"/>
                <w:sz w:val="18"/>
                <w:szCs w:val="18"/>
              </w:rPr>
              <w:t xml:space="preserve"> </w:t>
            </w:r>
            <w:r>
              <w:rPr>
                <w:spacing w:val="-14"/>
                <w:sz w:val="18"/>
                <w:szCs w:val="18"/>
              </w:rPr>
              <w:t>胶带等绘</w:t>
            </w:r>
            <w:r>
              <w:rPr>
                <w:sz w:val="18"/>
                <w:szCs w:val="18"/>
              </w:rPr>
              <w:t xml:space="preserve">  </w:t>
            </w:r>
            <w:r>
              <w:rPr>
                <w:spacing w:val="-10"/>
                <w:sz w:val="18"/>
                <w:szCs w:val="18"/>
              </w:rPr>
              <w:t>图仪器和</w:t>
            </w:r>
            <w:r>
              <w:rPr>
                <w:spacing w:val="1"/>
                <w:sz w:val="18"/>
                <w:szCs w:val="18"/>
              </w:rPr>
              <w:t xml:space="preserve">  </w:t>
            </w:r>
            <w:r>
              <w:rPr>
                <w:spacing w:val="-5"/>
                <w:sz w:val="18"/>
                <w:szCs w:val="18"/>
              </w:rPr>
              <w:t>用品</w:t>
            </w:r>
          </w:p>
        </w:tc>
        <w:tc>
          <w:tcPr>
            <w:tcW w:w="1009" w:type="dxa"/>
            <w:vAlign w:val="top"/>
          </w:tcPr>
          <w:p w14:paraId="44747677">
            <w:pPr>
              <w:spacing w:line="314" w:lineRule="auto"/>
              <w:rPr>
                <w:rFonts w:ascii="Arial"/>
                <w:sz w:val="21"/>
              </w:rPr>
            </w:pPr>
          </w:p>
          <w:p w14:paraId="3243BFF2">
            <w:pPr>
              <w:spacing w:line="315" w:lineRule="auto"/>
              <w:rPr>
                <w:rFonts w:ascii="Arial"/>
                <w:sz w:val="21"/>
              </w:rPr>
            </w:pPr>
          </w:p>
          <w:p w14:paraId="32A3B266">
            <w:pPr>
              <w:spacing w:line="315" w:lineRule="auto"/>
              <w:rPr>
                <w:rFonts w:ascii="Arial"/>
                <w:sz w:val="21"/>
              </w:rPr>
            </w:pPr>
          </w:p>
          <w:p w14:paraId="46B98BD6">
            <w:pPr>
              <w:pStyle w:val="6"/>
              <w:spacing w:before="59" w:line="221" w:lineRule="auto"/>
              <w:ind w:left="92" w:right="7" w:hanging="80"/>
              <w:rPr>
                <w:sz w:val="18"/>
                <w:szCs w:val="18"/>
              </w:rPr>
            </w:pPr>
            <w:r>
              <w:rPr>
                <w:spacing w:val="-14"/>
                <w:sz w:val="18"/>
                <w:szCs w:val="18"/>
              </w:rPr>
              <w:t>1</w:t>
            </w:r>
            <w:r>
              <w:rPr>
                <w:spacing w:val="-23"/>
                <w:sz w:val="18"/>
                <w:szCs w:val="18"/>
              </w:rPr>
              <w:t xml:space="preserve"> </w:t>
            </w:r>
            <w:r>
              <w:rPr>
                <w:spacing w:val="-14"/>
                <w:sz w:val="18"/>
                <w:szCs w:val="18"/>
              </w:rPr>
              <w:t>、</w:t>
            </w:r>
            <w:r>
              <w:rPr>
                <w:spacing w:val="-38"/>
                <w:sz w:val="18"/>
                <w:szCs w:val="18"/>
              </w:rPr>
              <w:t xml:space="preserve"> </w:t>
            </w:r>
            <w:r>
              <w:rPr>
                <w:spacing w:val="-14"/>
                <w:sz w:val="18"/>
                <w:szCs w:val="18"/>
              </w:rPr>
              <w:t>手</w:t>
            </w:r>
            <w:r>
              <w:rPr>
                <w:spacing w:val="-36"/>
                <w:sz w:val="18"/>
                <w:szCs w:val="18"/>
              </w:rPr>
              <w:t xml:space="preserve"> </w:t>
            </w:r>
            <w:r>
              <w:rPr>
                <w:spacing w:val="-14"/>
                <w:sz w:val="18"/>
                <w:szCs w:val="18"/>
              </w:rPr>
              <w:t>工</w:t>
            </w:r>
            <w:r>
              <w:rPr>
                <w:spacing w:val="-37"/>
                <w:sz w:val="18"/>
                <w:szCs w:val="18"/>
              </w:rPr>
              <w:t xml:space="preserve"> </w:t>
            </w:r>
            <w:r>
              <w:rPr>
                <w:spacing w:val="-14"/>
                <w:sz w:val="18"/>
                <w:szCs w:val="18"/>
              </w:rPr>
              <w:t>绘</w:t>
            </w:r>
            <w:r>
              <w:rPr>
                <w:sz w:val="18"/>
                <w:szCs w:val="18"/>
              </w:rPr>
              <w:t xml:space="preserve"> </w:t>
            </w:r>
            <w:r>
              <w:rPr>
                <w:spacing w:val="-1"/>
                <w:sz w:val="18"/>
                <w:szCs w:val="18"/>
              </w:rPr>
              <w:t>制轴测图。</w:t>
            </w:r>
          </w:p>
        </w:tc>
        <w:tc>
          <w:tcPr>
            <w:tcW w:w="1848" w:type="dxa"/>
            <w:vAlign w:val="top"/>
          </w:tcPr>
          <w:p w14:paraId="1B6148B7">
            <w:pPr>
              <w:spacing w:line="262" w:lineRule="auto"/>
              <w:rPr>
                <w:rFonts w:ascii="Arial"/>
                <w:sz w:val="21"/>
              </w:rPr>
            </w:pPr>
          </w:p>
          <w:p w14:paraId="5C547082">
            <w:pPr>
              <w:spacing w:line="263" w:lineRule="auto"/>
              <w:rPr>
                <w:rFonts w:ascii="Arial"/>
                <w:sz w:val="21"/>
              </w:rPr>
            </w:pPr>
          </w:p>
          <w:p w14:paraId="298B94FA">
            <w:pPr>
              <w:pStyle w:val="6"/>
              <w:spacing w:before="59" w:line="216" w:lineRule="auto"/>
              <w:ind w:left="13"/>
              <w:rPr>
                <w:sz w:val="18"/>
                <w:szCs w:val="18"/>
              </w:rPr>
            </w:pPr>
            <w:r>
              <w:rPr>
                <w:spacing w:val="1"/>
                <w:sz w:val="18"/>
                <w:szCs w:val="18"/>
              </w:rPr>
              <w:t>测试现场教师给定图</w:t>
            </w:r>
          </w:p>
          <w:p w14:paraId="1A558D17">
            <w:pPr>
              <w:pStyle w:val="6"/>
              <w:spacing w:before="2" w:line="219" w:lineRule="auto"/>
              <w:ind w:left="13"/>
              <w:rPr>
                <w:sz w:val="18"/>
                <w:szCs w:val="18"/>
              </w:rPr>
            </w:pPr>
            <w:r>
              <w:rPr>
                <w:spacing w:val="-9"/>
                <w:sz w:val="18"/>
                <w:szCs w:val="18"/>
              </w:rPr>
              <w:t>形的两面或三面正投影</w:t>
            </w:r>
            <w:r>
              <w:rPr>
                <w:sz w:val="18"/>
                <w:szCs w:val="18"/>
              </w:rPr>
              <w:t xml:space="preserve">  </w:t>
            </w:r>
            <w:r>
              <w:rPr>
                <w:spacing w:val="-7"/>
                <w:sz w:val="18"/>
                <w:szCs w:val="18"/>
              </w:rPr>
              <w:t>图，考生正确使用绘图</w:t>
            </w:r>
            <w:r>
              <w:rPr>
                <w:spacing w:val="1"/>
                <w:sz w:val="18"/>
                <w:szCs w:val="18"/>
              </w:rPr>
              <w:t xml:space="preserve">  </w:t>
            </w:r>
            <w:r>
              <w:rPr>
                <w:spacing w:val="-15"/>
                <w:sz w:val="18"/>
                <w:szCs w:val="18"/>
              </w:rPr>
              <w:t>工具、仪器和绘图用品，</w:t>
            </w:r>
          </w:p>
          <w:p w14:paraId="173F5C57">
            <w:pPr>
              <w:pStyle w:val="6"/>
              <w:spacing w:before="25" w:line="212" w:lineRule="auto"/>
              <w:ind w:left="13" w:right="100" w:firstLine="89"/>
              <w:rPr>
                <w:sz w:val="18"/>
                <w:szCs w:val="18"/>
              </w:rPr>
            </w:pPr>
            <w:r>
              <w:rPr>
                <w:spacing w:val="1"/>
                <w:sz w:val="18"/>
                <w:szCs w:val="18"/>
              </w:rPr>
              <w:t>独立完成给定图形的</w:t>
            </w:r>
            <w:r>
              <w:rPr>
                <w:spacing w:val="4"/>
                <w:sz w:val="18"/>
                <w:szCs w:val="18"/>
              </w:rPr>
              <w:t xml:space="preserve"> </w:t>
            </w:r>
            <w:r>
              <w:rPr>
                <w:sz w:val="18"/>
                <w:szCs w:val="18"/>
              </w:rPr>
              <w:t>轴测图的绘制工作。</w:t>
            </w:r>
          </w:p>
        </w:tc>
        <w:tc>
          <w:tcPr>
            <w:tcW w:w="2197" w:type="dxa"/>
            <w:vAlign w:val="top"/>
          </w:tcPr>
          <w:p w14:paraId="3DCE6AEA">
            <w:pPr>
              <w:pStyle w:val="6"/>
              <w:spacing w:before="17" w:line="232" w:lineRule="auto"/>
              <w:ind w:left="5" w:firstLine="9"/>
              <w:rPr>
                <w:sz w:val="18"/>
                <w:szCs w:val="18"/>
              </w:rPr>
            </w:pPr>
            <w:r>
              <w:rPr>
                <w:spacing w:val="-14"/>
                <w:sz w:val="18"/>
                <w:szCs w:val="18"/>
              </w:rPr>
              <w:t>1、掌握各种轴测图的投影特</w:t>
            </w:r>
            <w:r>
              <w:rPr>
                <w:spacing w:val="2"/>
                <w:sz w:val="18"/>
                <w:szCs w:val="18"/>
              </w:rPr>
              <w:t xml:space="preserve">  </w:t>
            </w:r>
            <w:r>
              <w:rPr>
                <w:spacing w:val="-13"/>
                <w:sz w:val="18"/>
                <w:szCs w:val="18"/>
              </w:rPr>
              <w:t>性、轴间角和轴向伸缩系数；</w:t>
            </w:r>
          </w:p>
          <w:p w14:paraId="331B4FE6">
            <w:pPr>
              <w:pStyle w:val="6"/>
              <w:spacing w:before="5" w:line="211" w:lineRule="auto"/>
              <w:ind w:left="5"/>
              <w:rPr>
                <w:sz w:val="18"/>
                <w:szCs w:val="18"/>
              </w:rPr>
            </w:pPr>
            <w:r>
              <w:rPr>
                <w:spacing w:val="-18"/>
                <w:sz w:val="18"/>
                <w:szCs w:val="18"/>
              </w:rPr>
              <w:t>2、能正确使用图板，丁字尺，</w:t>
            </w:r>
            <w:r>
              <w:rPr>
                <w:spacing w:val="2"/>
                <w:sz w:val="18"/>
                <w:szCs w:val="18"/>
              </w:rPr>
              <w:t xml:space="preserve"> </w:t>
            </w:r>
            <w:r>
              <w:rPr>
                <w:spacing w:val="-13"/>
                <w:sz w:val="18"/>
                <w:szCs w:val="18"/>
              </w:rPr>
              <w:t>三角板等绘图器具进行绘图；</w:t>
            </w:r>
          </w:p>
          <w:p w14:paraId="7E2C568D">
            <w:pPr>
              <w:pStyle w:val="6"/>
              <w:spacing w:line="222" w:lineRule="auto"/>
              <w:ind w:left="5" w:right="111"/>
              <w:rPr>
                <w:sz w:val="18"/>
                <w:szCs w:val="18"/>
              </w:rPr>
            </w:pPr>
            <w:r>
              <w:rPr>
                <w:sz w:val="18"/>
                <w:szCs w:val="18"/>
              </w:rPr>
              <w:t xml:space="preserve">3、掌握正确的绘图方法， </w:t>
            </w:r>
            <w:r>
              <w:rPr>
                <w:spacing w:val="-6"/>
                <w:sz w:val="18"/>
                <w:szCs w:val="18"/>
              </w:rPr>
              <w:t>步</w:t>
            </w:r>
            <w:r>
              <w:rPr>
                <w:spacing w:val="-12"/>
                <w:sz w:val="18"/>
                <w:szCs w:val="18"/>
              </w:rPr>
              <w:t xml:space="preserve"> </w:t>
            </w:r>
            <w:r>
              <w:rPr>
                <w:spacing w:val="-6"/>
                <w:sz w:val="18"/>
                <w:szCs w:val="18"/>
              </w:rPr>
              <w:t>骤</w:t>
            </w:r>
            <w:r>
              <w:rPr>
                <w:spacing w:val="-19"/>
                <w:sz w:val="18"/>
                <w:szCs w:val="18"/>
              </w:rPr>
              <w:t xml:space="preserve"> </w:t>
            </w:r>
            <w:r>
              <w:rPr>
                <w:spacing w:val="-6"/>
                <w:sz w:val="18"/>
                <w:szCs w:val="18"/>
              </w:rPr>
              <w:t>；</w:t>
            </w:r>
          </w:p>
          <w:p w14:paraId="3EBE50CF">
            <w:pPr>
              <w:pStyle w:val="6"/>
              <w:spacing w:before="15" w:line="221" w:lineRule="auto"/>
              <w:ind w:left="5" w:right="118"/>
              <w:rPr>
                <w:sz w:val="18"/>
                <w:szCs w:val="18"/>
              </w:rPr>
            </w:pPr>
            <w:r>
              <w:rPr>
                <w:spacing w:val="-1"/>
                <w:sz w:val="18"/>
                <w:szCs w:val="18"/>
              </w:rPr>
              <w:t>4、图幅布置合理，尺寸符</w:t>
            </w:r>
            <w:r>
              <w:rPr>
                <w:spacing w:val="4"/>
                <w:sz w:val="18"/>
                <w:szCs w:val="18"/>
              </w:rPr>
              <w:t xml:space="preserve"> </w:t>
            </w:r>
            <w:r>
              <w:rPr>
                <w:spacing w:val="14"/>
                <w:sz w:val="18"/>
                <w:szCs w:val="18"/>
              </w:rPr>
              <w:t>合制图标准；</w:t>
            </w:r>
          </w:p>
          <w:p w14:paraId="57A150C4">
            <w:pPr>
              <w:pStyle w:val="6"/>
              <w:spacing w:before="2" w:line="220" w:lineRule="auto"/>
              <w:ind w:left="5" w:right="122"/>
              <w:rPr>
                <w:sz w:val="18"/>
                <w:szCs w:val="18"/>
              </w:rPr>
            </w:pPr>
            <w:r>
              <w:rPr>
                <w:spacing w:val="-1"/>
                <w:sz w:val="18"/>
                <w:szCs w:val="18"/>
              </w:rPr>
              <w:t>5、图面整洁清楚，图线交</w:t>
            </w:r>
            <w:r>
              <w:rPr>
                <w:sz w:val="18"/>
                <w:szCs w:val="18"/>
              </w:rPr>
              <w:t xml:space="preserve"> </w:t>
            </w:r>
            <w:r>
              <w:rPr>
                <w:spacing w:val="14"/>
                <w:sz w:val="18"/>
                <w:szCs w:val="18"/>
              </w:rPr>
              <w:t>接正确分明；</w:t>
            </w:r>
          </w:p>
          <w:p w14:paraId="474E60B0">
            <w:pPr>
              <w:pStyle w:val="6"/>
              <w:spacing w:before="1" w:line="193" w:lineRule="auto"/>
              <w:jc w:val="right"/>
              <w:rPr>
                <w:sz w:val="18"/>
                <w:szCs w:val="18"/>
              </w:rPr>
            </w:pPr>
            <w:r>
              <w:rPr>
                <w:spacing w:val="-6"/>
                <w:sz w:val="18"/>
                <w:szCs w:val="18"/>
              </w:rPr>
              <w:t>6、测试时间不少于30分钟。</w:t>
            </w:r>
          </w:p>
        </w:tc>
        <w:tc>
          <w:tcPr>
            <w:tcW w:w="1898" w:type="dxa"/>
            <w:vAlign w:val="top"/>
          </w:tcPr>
          <w:p w14:paraId="121392DC">
            <w:pPr>
              <w:spacing w:line="252" w:lineRule="auto"/>
              <w:rPr>
                <w:rFonts w:ascii="Arial"/>
                <w:sz w:val="21"/>
              </w:rPr>
            </w:pPr>
          </w:p>
          <w:p w14:paraId="6FD82E4D">
            <w:pPr>
              <w:spacing w:line="252" w:lineRule="auto"/>
              <w:rPr>
                <w:rFonts w:ascii="Arial"/>
                <w:sz w:val="21"/>
              </w:rPr>
            </w:pPr>
          </w:p>
          <w:p w14:paraId="059CFB2D">
            <w:pPr>
              <w:pStyle w:val="6"/>
              <w:spacing w:before="59" w:line="219" w:lineRule="auto"/>
              <w:ind w:left="18"/>
              <w:rPr>
                <w:sz w:val="18"/>
                <w:szCs w:val="18"/>
              </w:rPr>
            </w:pPr>
            <w:r>
              <w:rPr>
                <w:spacing w:val="10"/>
                <w:sz w:val="18"/>
                <w:szCs w:val="18"/>
              </w:rPr>
              <w:t>1、轴间角30分；</w:t>
            </w:r>
          </w:p>
          <w:p w14:paraId="37DBE5D4">
            <w:pPr>
              <w:pStyle w:val="6"/>
              <w:spacing w:before="6" w:line="219" w:lineRule="auto"/>
              <w:jc w:val="right"/>
              <w:rPr>
                <w:sz w:val="18"/>
                <w:szCs w:val="18"/>
              </w:rPr>
            </w:pPr>
            <w:r>
              <w:rPr>
                <w:spacing w:val="-2"/>
                <w:sz w:val="18"/>
                <w:szCs w:val="18"/>
              </w:rPr>
              <w:t>2、轴向伸缩系数30分；</w:t>
            </w:r>
          </w:p>
          <w:p w14:paraId="7C44EE40">
            <w:pPr>
              <w:pStyle w:val="6"/>
              <w:spacing w:before="8" w:line="220" w:lineRule="auto"/>
              <w:ind w:left="18"/>
              <w:rPr>
                <w:sz w:val="18"/>
                <w:szCs w:val="18"/>
              </w:rPr>
            </w:pPr>
            <w:r>
              <w:rPr>
                <w:spacing w:val="8"/>
                <w:sz w:val="18"/>
                <w:szCs w:val="18"/>
              </w:rPr>
              <w:t>3、成图正确20分；</w:t>
            </w:r>
          </w:p>
          <w:p w14:paraId="2DC3D72B">
            <w:pPr>
              <w:pStyle w:val="6"/>
              <w:spacing w:before="5" w:line="217" w:lineRule="auto"/>
              <w:ind w:left="18" w:right="146" w:firstLine="19"/>
              <w:rPr>
                <w:sz w:val="18"/>
                <w:szCs w:val="18"/>
              </w:rPr>
            </w:pPr>
            <w:r>
              <w:rPr>
                <w:spacing w:val="-1"/>
                <w:sz w:val="18"/>
                <w:szCs w:val="18"/>
              </w:rPr>
              <w:t>4、图线齐匀、无多余</w:t>
            </w:r>
            <w:r>
              <w:rPr>
                <w:spacing w:val="2"/>
                <w:sz w:val="18"/>
                <w:szCs w:val="18"/>
              </w:rPr>
              <w:t xml:space="preserve"> </w:t>
            </w:r>
            <w:r>
              <w:rPr>
                <w:spacing w:val="14"/>
                <w:sz w:val="18"/>
                <w:szCs w:val="18"/>
              </w:rPr>
              <w:t>线条10分；</w:t>
            </w:r>
          </w:p>
          <w:p w14:paraId="60ACA8AE">
            <w:pPr>
              <w:pStyle w:val="6"/>
              <w:spacing w:before="6" w:line="220" w:lineRule="auto"/>
              <w:jc w:val="right"/>
              <w:rPr>
                <w:sz w:val="18"/>
                <w:szCs w:val="18"/>
              </w:rPr>
            </w:pPr>
            <w:r>
              <w:rPr>
                <w:spacing w:val="-2"/>
                <w:sz w:val="18"/>
                <w:szCs w:val="18"/>
              </w:rPr>
              <w:t>5、图面整洁清晰10分。</w:t>
            </w:r>
          </w:p>
        </w:tc>
      </w:tr>
      <w:tr w14:paraId="197634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59" w:hRule="atLeast"/>
        </w:trPr>
        <w:tc>
          <w:tcPr>
            <w:tcW w:w="954" w:type="dxa"/>
            <w:vAlign w:val="top"/>
          </w:tcPr>
          <w:p w14:paraId="4D1588C2">
            <w:pPr>
              <w:pStyle w:val="6"/>
              <w:spacing w:before="191" w:line="215" w:lineRule="auto"/>
              <w:ind w:left="195"/>
              <w:rPr>
                <w:sz w:val="18"/>
                <w:szCs w:val="18"/>
              </w:rPr>
            </w:pPr>
            <w:r>
              <w:rPr>
                <w:spacing w:val="-3"/>
                <w:sz w:val="18"/>
                <w:szCs w:val="18"/>
              </w:rPr>
              <w:t>项目八</w:t>
            </w:r>
          </w:p>
          <w:p w14:paraId="0E0D92B8">
            <w:pPr>
              <w:pStyle w:val="6"/>
              <w:spacing w:line="220" w:lineRule="auto"/>
              <w:ind w:left="15"/>
              <w:rPr>
                <w:sz w:val="18"/>
                <w:szCs w:val="18"/>
              </w:rPr>
            </w:pPr>
            <w:r>
              <w:rPr>
                <w:spacing w:val="-2"/>
                <w:sz w:val="18"/>
                <w:szCs w:val="18"/>
              </w:rPr>
              <w:t>建筑物构造</w:t>
            </w:r>
          </w:p>
          <w:p w14:paraId="1935B0E0">
            <w:pPr>
              <w:pStyle w:val="6"/>
              <w:spacing w:before="5" w:line="220" w:lineRule="auto"/>
              <w:ind w:left="285"/>
              <w:rPr>
                <w:sz w:val="18"/>
                <w:szCs w:val="18"/>
              </w:rPr>
            </w:pPr>
            <w:r>
              <w:rPr>
                <w:spacing w:val="7"/>
                <w:sz w:val="18"/>
                <w:szCs w:val="18"/>
              </w:rPr>
              <w:t>识别</w:t>
            </w:r>
          </w:p>
          <w:p w14:paraId="163B358B">
            <w:pPr>
              <w:pStyle w:val="6"/>
              <w:spacing w:before="5" w:line="219" w:lineRule="auto"/>
              <w:ind w:left="155"/>
              <w:rPr>
                <w:sz w:val="18"/>
                <w:szCs w:val="18"/>
              </w:rPr>
            </w:pPr>
            <w:r>
              <w:rPr>
                <w:spacing w:val="2"/>
                <w:sz w:val="18"/>
                <w:szCs w:val="18"/>
              </w:rPr>
              <w:t>(分值为</w:t>
            </w:r>
          </w:p>
          <w:p w14:paraId="6F6B9A15">
            <w:pPr>
              <w:pStyle w:val="6"/>
              <w:spacing w:before="6" w:line="220" w:lineRule="auto"/>
              <w:ind w:left="195"/>
              <w:rPr>
                <w:sz w:val="18"/>
                <w:szCs w:val="18"/>
              </w:rPr>
            </w:pPr>
            <w:r>
              <w:rPr>
                <w:spacing w:val="7"/>
                <w:sz w:val="18"/>
                <w:szCs w:val="18"/>
              </w:rPr>
              <w:t>100分)</w:t>
            </w:r>
          </w:p>
        </w:tc>
        <w:tc>
          <w:tcPr>
            <w:tcW w:w="809" w:type="dxa"/>
            <w:vAlign w:val="top"/>
          </w:tcPr>
          <w:p w14:paraId="62389E70">
            <w:pPr>
              <w:pStyle w:val="6"/>
              <w:spacing w:before="168" w:line="227" w:lineRule="auto"/>
              <w:ind w:left="21" w:firstLine="9"/>
              <w:jc w:val="both"/>
              <w:rPr>
                <w:sz w:val="18"/>
                <w:szCs w:val="18"/>
              </w:rPr>
            </w:pPr>
            <w:r>
              <w:rPr>
                <w:spacing w:val="-8"/>
                <w:sz w:val="18"/>
                <w:szCs w:val="18"/>
              </w:rPr>
              <w:t>多媒体现</w:t>
            </w:r>
            <w:r>
              <w:rPr>
                <w:sz w:val="18"/>
                <w:szCs w:val="18"/>
              </w:rPr>
              <w:t xml:space="preserve">  </w:t>
            </w:r>
            <w:r>
              <w:rPr>
                <w:spacing w:val="-9"/>
                <w:sz w:val="18"/>
                <w:szCs w:val="18"/>
              </w:rPr>
              <w:t>场教学设</w:t>
            </w:r>
            <w:r>
              <w:rPr>
                <w:sz w:val="18"/>
                <w:szCs w:val="18"/>
              </w:rPr>
              <w:t xml:space="preserve">  </w:t>
            </w:r>
            <w:r>
              <w:rPr>
                <w:spacing w:val="14"/>
                <w:sz w:val="18"/>
                <w:szCs w:val="18"/>
              </w:rPr>
              <w:t>施设备、</w:t>
            </w:r>
            <w:r>
              <w:rPr>
                <w:sz w:val="18"/>
                <w:szCs w:val="18"/>
              </w:rPr>
              <w:t xml:space="preserve"> </w:t>
            </w:r>
            <w:r>
              <w:rPr>
                <w:spacing w:val="-5"/>
                <w:sz w:val="18"/>
                <w:szCs w:val="18"/>
              </w:rPr>
              <w:t>建筑物构</w:t>
            </w:r>
            <w:r>
              <w:rPr>
                <w:spacing w:val="1"/>
                <w:sz w:val="18"/>
                <w:szCs w:val="18"/>
              </w:rPr>
              <w:t xml:space="preserve">  </w:t>
            </w:r>
            <w:r>
              <w:rPr>
                <w:spacing w:val="-4"/>
                <w:sz w:val="18"/>
                <w:szCs w:val="18"/>
              </w:rPr>
              <w:t>造图片</w:t>
            </w:r>
          </w:p>
        </w:tc>
        <w:tc>
          <w:tcPr>
            <w:tcW w:w="1009" w:type="dxa"/>
            <w:vAlign w:val="top"/>
          </w:tcPr>
          <w:p w14:paraId="491C48E6">
            <w:pPr>
              <w:pStyle w:val="6"/>
              <w:spacing w:before="61" w:line="224" w:lineRule="auto"/>
              <w:ind w:left="12" w:right="5"/>
              <w:jc w:val="both"/>
              <w:rPr>
                <w:sz w:val="18"/>
                <w:szCs w:val="18"/>
              </w:rPr>
            </w:pPr>
            <w:r>
              <w:rPr>
                <w:spacing w:val="-17"/>
                <w:sz w:val="18"/>
                <w:szCs w:val="18"/>
              </w:rPr>
              <w:t>1</w:t>
            </w:r>
            <w:r>
              <w:rPr>
                <w:spacing w:val="-19"/>
                <w:sz w:val="18"/>
                <w:szCs w:val="18"/>
              </w:rPr>
              <w:t xml:space="preserve"> </w:t>
            </w:r>
            <w:r>
              <w:rPr>
                <w:spacing w:val="-17"/>
                <w:sz w:val="18"/>
                <w:szCs w:val="18"/>
              </w:rPr>
              <w:t>、</w:t>
            </w:r>
            <w:r>
              <w:rPr>
                <w:spacing w:val="-33"/>
                <w:sz w:val="18"/>
                <w:szCs w:val="18"/>
              </w:rPr>
              <w:t xml:space="preserve"> </w:t>
            </w:r>
            <w:r>
              <w:rPr>
                <w:spacing w:val="-17"/>
                <w:sz w:val="18"/>
                <w:szCs w:val="18"/>
              </w:rPr>
              <w:t>识</w:t>
            </w:r>
            <w:r>
              <w:rPr>
                <w:spacing w:val="-33"/>
                <w:sz w:val="18"/>
                <w:szCs w:val="18"/>
              </w:rPr>
              <w:t xml:space="preserve"> </w:t>
            </w:r>
            <w:r>
              <w:rPr>
                <w:spacing w:val="-17"/>
                <w:sz w:val="18"/>
                <w:szCs w:val="18"/>
              </w:rPr>
              <w:t>别</w:t>
            </w:r>
            <w:r>
              <w:rPr>
                <w:spacing w:val="-20"/>
                <w:sz w:val="18"/>
                <w:szCs w:val="18"/>
              </w:rPr>
              <w:t xml:space="preserve"> </w:t>
            </w:r>
            <w:r>
              <w:rPr>
                <w:spacing w:val="-17"/>
                <w:sz w:val="18"/>
                <w:szCs w:val="18"/>
              </w:rPr>
              <w:t>出</w:t>
            </w:r>
            <w:r>
              <w:rPr>
                <w:sz w:val="18"/>
                <w:szCs w:val="18"/>
              </w:rPr>
              <w:t xml:space="preserve"> </w:t>
            </w:r>
            <w:r>
              <w:rPr>
                <w:spacing w:val="4"/>
                <w:sz w:val="18"/>
                <w:szCs w:val="18"/>
              </w:rPr>
              <w:t>建筑物构造</w:t>
            </w:r>
            <w:r>
              <w:rPr>
                <w:sz w:val="18"/>
                <w:szCs w:val="18"/>
              </w:rPr>
              <w:t xml:space="preserve"> </w:t>
            </w:r>
            <w:r>
              <w:rPr>
                <w:spacing w:val="-7"/>
                <w:sz w:val="18"/>
                <w:szCs w:val="18"/>
              </w:rPr>
              <w:t>形</w:t>
            </w:r>
            <w:r>
              <w:rPr>
                <w:spacing w:val="-9"/>
                <w:sz w:val="18"/>
                <w:szCs w:val="18"/>
              </w:rPr>
              <w:t xml:space="preserve"> </w:t>
            </w:r>
            <w:r>
              <w:rPr>
                <w:spacing w:val="-7"/>
                <w:sz w:val="18"/>
                <w:szCs w:val="18"/>
              </w:rPr>
              <w:t>式</w:t>
            </w:r>
            <w:r>
              <w:rPr>
                <w:spacing w:val="-19"/>
                <w:sz w:val="18"/>
                <w:szCs w:val="18"/>
              </w:rPr>
              <w:t xml:space="preserve"> </w:t>
            </w:r>
            <w:r>
              <w:rPr>
                <w:spacing w:val="-7"/>
                <w:sz w:val="18"/>
                <w:szCs w:val="18"/>
              </w:rPr>
              <w:t>；</w:t>
            </w:r>
          </w:p>
          <w:p w14:paraId="0C614C73">
            <w:pPr>
              <w:pStyle w:val="6"/>
              <w:spacing w:before="3" w:line="215" w:lineRule="auto"/>
              <w:ind w:left="22" w:right="15" w:hanging="10"/>
              <w:jc w:val="both"/>
              <w:rPr>
                <w:sz w:val="18"/>
                <w:szCs w:val="18"/>
              </w:rPr>
            </w:pPr>
            <w:r>
              <w:rPr>
                <w:spacing w:val="-14"/>
                <w:sz w:val="18"/>
                <w:szCs w:val="18"/>
              </w:rPr>
              <w:t>2</w:t>
            </w:r>
            <w:r>
              <w:rPr>
                <w:spacing w:val="-28"/>
                <w:sz w:val="18"/>
                <w:szCs w:val="18"/>
              </w:rPr>
              <w:t xml:space="preserve"> </w:t>
            </w:r>
            <w:r>
              <w:rPr>
                <w:spacing w:val="-14"/>
                <w:sz w:val="18"/>
                <w:szCs w:val="18"/>
              </w:rPr>
              <w:t>、</w:t>
            </w:r>
            <w:r>
              <w:rPr>
                <w:spacing w:val="-23"/>
                <w:sz w:val="18"/>
                <w:szCs w:val="18"/>
              </w:rPr>
              <w:t xml:space="preserve"> </w:t>
            </w:r>
            <w:r>
              <w:rPr>
                <w:spacing w:val="-14"/>
                <w:sz w:val="18"/>
                <w:szCs w:val="18"/>
              </w:rPr>
              <w:t>回</w:t>
            </w:r>
            <w:r>
              <w:rPr>
                <w:spacing w:val="-41"/>
                <w:sz w:val="18"/>
                <w:szCs w:val="18"/>
              </w:rPr>
              <w:t xml:space="preserve"> </w:t>
            </w:r>
            <w:r>
              <w:rPr>
                <w:spacing w:val="-14"/>
                <w:sz w:val="18"/>
                <w:szCs w:val="18"/>
              </w:rPr>
              <w:t>答</w:t>
            </w:r>
            <w:r>
              <w:rPr>
                <w:spacing w:val="-38"/>
                <w:sz w:val="18"/>
                <w:szCs w:val="18"/>
              </w:rPr>
              <w:t xml:space="preserve"> </w:t>
            </w:r>
            <w:r>
              <w:rPr>
                <w:spacing w:val="-14"/>
                <w:sz w:val="18"/>
                <w:szCs w:val="18"/>
              </w:rPr>
              <w:t>构</w:t>
            </w:r>
            <w:r>
              <w:rPr>
                <w:sz w:val="18"/>
                <w:szCs w:val="18"/>
              </w:rPr>
              <w:t xml:space="preserve"> </w:t>
            </w:r>
            <w:r>
              <w:rPr>
                <w:spacing w:val="6"/>
                <w:sz w:val="18"/>
                <w:szCs w:val="18"/>
              </w:rPr>
              <w:t>造节点及相</w:t>
            </w:r>
            <w:r>
              <w:rPr>
                <w:spacing w:val="3"/>
                <w:sz w:val="18"/>
                <w:szCs w:val="18"/>
              </w:rPr>
              <w:t xml:space="preserve"> 关知识</w:t>
            </w:r>
          </w:p>
        </w:tc>
        <w:tc>
          <w:tcPr>
            <w:tcW w:w="1848" w:type="dxa"/>
            <w:vAlign w:val="top"/>
          </w:tcPr>
          <w:p w14:paraId="4A2E55B6">
            <w:pPr>
              <w:spacing w:line="318" w:lineRule="auto"/>
              <w:rPr>
                <w:rFonts w:ascii="Arial"/>
                <w:sz w:val="21"/>
              </w:rPr>
            </w:pPr>
          </w:p>
          <w:p w14:paraId="121491E2">
            <w:pPr>
              <w:pStyle w:val="6"/>
              <w:spacing w:before="58" w:line="228" w:lineRule="auto"/>
              <w:ind w:left="33" w:right="122" w:firstLine="69"/>
              <w:jc w:val="both"/>
              <w:rPr>
                <w:sz w:val="18"/>
                <w:szCs w:val="18"/>
              </w:rPr>
            </w:pPr>
            <w:r>
              <w:rPr>
                <w:spacing w:val="-1"/>
                <w:sz w:val="18"/>
                <w:szCs w:val="18"/>
              </w:rPr>
              <w:t>测试教师用多媒体展</w:t>
            </w:r>
            <w:r>
              <w:rPr>
                <w:sz w:val="18"/>
                <w:szCs w:val="18"/>
              </w:rPr>
              <w:t xml:space="preserve"> </w:t>
            </w:r>
            <w:r>
              <w:rPr>
                <w:spacing w:val="6"/>
                <w:sz w:val="18"/>
                <w:szCs w:val="18"/>
              </w:rPr>
              <w:t>示相关图片，考生按</w:t>
            </w:r>
            <w:r>
              <w:rPr>
                <w:spacing w:val="7"/>
                <w:sz w:val="18"/>
                <w:szCs w:val="18"/>
              </w:rPr>
              <w:t xml:space="preserve"> </w:t>
            </w:r>
            <w:r>
              <w:rPr>
                <w:spacing w:val="-1"/>
                <w:sz w:val="18"/>
                <w:szCs w:val="18"/>
              </w:rPr>
              <w:t>要求回答问题。</w:t>
            </w:r>
          </w:p>
        </w:tc>
        <w:tc>
          <w:tcPr>
            <w:tcW w:w="2197" w:type="dxa"/>
            <w:vAlign w:val="top"/>
          </w:tcPr>
          <w:p w14:paraId="5D748CF6">
            <w:pPr>
              <w:pStyle w:val="6"/>
              <w:spacing w:before="159" w:line="219" w:lineRule="auto"/>
              <w:ind w:left="5" w:right="84" w:firstLine="19"/>
              <w:rPr>
                <w:sz w:val="18"/>
                <w:szCs w:val="18"/>
              </w:rPr>
            </w:pPr>
            <w:r>
              <w:rPr>
                <w:sz w:val="18"/>
                <w:szCs w:val="18"/>
              </w:rPr>
              <w:t>1、根据图片辨识建筑构造</w:t>
            </w:r>
            <w:r>
              <w:rPr>
                <w:spacing w:val="6"/>
                <w:sz w:val="18"/>
                <w:szCs w:val="18"/>
              </w:rPr>
              <w:t xml:space="preserve"> </w:t>
            </w:r>
            <w:r>
              <w:rPr>
                <w:spacing w:val="-7"/>
                <w:sz w:val="18"/>
                <w:szCs w:val="18"/>
              </w:rPr>
              <w:t>形</w:t>
            </w:r>
            <w:r>
              <w:rPr>
                <w:spacing w:val="-9"/>
                <w:sz w:val="18"/>
                <w:szCs w:val="18"/>
              </w:rPr>
              <w:t xml:space="preserve"> </w:t>
            </w:r>
            <w:r>
              <w:rPr>
                <w:spacing w:val="-7"/>
                <w:sz w:val="18"/>
                <w:szCs w:val="18"/>
              </w:rPr>
              <w:t>式</w:t>
            </w:r>
            <w:r>
              <w:rPr>
                <w:spacing w:val="-19"/>
                <w:sz w:val="18"/>
                <w:szCs w:val="18"/>
              </w:rPr>
              <w:t xml:space="preserve"> </w:t>
            </w:r>
            <w:r>
              <w:rPr>
                <w:spacing w:val="-7"/>
                <w:sz w:val="18"/>
                <w:szCs w:val="18"/>
              </w:rPr>
              <w:t>；</w:t>
            </w:r>
          </w:p>
          <w:p w14:paraId="09D7EED8">
            <w:pPr>
              <w:pStyle w:val="6"/>
              <w:spacing w:before="2" w:line="233" w:lineRule="auto"/>
              <w:ind w:left="5" w:right="85" w:firstLine="10"/>
              <w:rPr>
                <w:sz w:val="18"/>
                <w:szCs w:val="18"/>
              </w:rPr>
            </w:pPr>
            <w:r>
              <w:rPr>
                <w:spacing w:val="1"/>
                <w:sz w:val="18"/>
                <w:szCs w:val="18"/>
              </w:rPr>
              <w:t>2、掌握常见建筑构造节点</w:t>
            </w:r>
            <w:r>
              <w:rPr>
                <w:spacing w:val="3"/>
                <w:sz w:val="18"/>
                <w:szCs w:val="18"/>
              </w:rPr>
              <w:t xml:space="preserve"> </w:t>
            </w:r>
            <w:r>
              <w:rPr>
                <w:spacing w:val="15"/>
                <w:sz w:val="18"/>
                <w:szCs w:val="18"/>
              </w:rPr>
              <w:t>的构造做法；</w:t>
            </w:r>
          </w:p>
          <w:p w14:paraId="2F5D36B6">
            <w:pPr>
              <w:pStyle w:val="6"/>
              <w:spacing w:before="6" w:line="220" w:lineRule="auto"/>
              <w:jc w:val="right"/>
              <w:rPr>
                <w:sz w:val="18"/>
                <w:szCs w:val="18"/>
              </w:rPr>
            </w:pPr>
            <w:r>
              <w:rPr>
                <w:spacing w:val="-5"/>
                <w:sz w:val="18"/>
                <w:szCs w:val="18"/>
              </w:rPr>
              <w:t>3、测试时间不少于30分钟。</w:t>
            </w:r>
          </w:p>
        </w:tc>
        <w:tc>
          <w:tcPr>
            <w:tcW w:w="1898" w:type="dxa"/>
            <w:vAlign w:val="top"/>
          </w:tcPr>
          <w:p w14:paraId="46FEBCB9">
            <w:pPr>
              <w:rPr>
                <w:rFonts w:ascii="Arial"/>
                <w:sz w:val="21"/>
              </w:rPr>
            </w:pPr>
          </w:p>
        </w:tc>
      </w:tr>
      <w:tr w14:paraId="786326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87" w:hRule="atLeast"/>
        </w:trPr>
        <w:tc>
          <w:tcPr>
            <w:tcW w:w="954" w:type="dxa"/>
            <w:vAlign w:val="top"/>
          </w:tcPr>
          <w:p w14:paraId="49B51E0B">
            <w:pPr>
              <w:spacing w:line="344" w:lineRule="auto"/>
              <w:rPr>
                <w:rFonts w:ascii="Arial"/>
                <w:sz w:val="21"/>
              </w:rPr>
            </w:pPr>
          </w:p>
          <w:p w14:paraId="182FC22E">
            <w:pPr>
              <w:spacing w:line="345" w:lineRule="auto"/>
              <w:rPr>
                <w:rFonts w:ascii="Arial"/>
                <w:sz w:val="21"/>
              </w:rPr>
            </w:pPr>
          </w:p>
          <w:p w14:paraId="1DD78A72">
            <w:pPr>
              <w:pStyle w:val="6"/>
              <w:spacing w:before="58" w:line="205" w:lineRule="auto"/>
              <w:ind w:left="195"/>
              <w:rPr>
                <w:sz w:val="18"/>
                <w:szCs w:val="18"/>
              </w:rPr>
            </w:pPr>
            <w:r>
              <w:rPr>
                <w:spacing w:val="-3"/>
                <w:sz w:val="18"/>
                <w:szCs w:val="18"/>
              </w:rPr>
              <w:t>项目九</w:t>
            </w:r>
          </w:p>
          <w:p w14:paraId="16D742FE">
            <w:pPr>
              <w:pStyle w:val="6"/>
              <w:spacing w:line="220" w:lineRule="auto"/>
              <w:ind w:left="15"/>
              <w:rPr>
                <w:sz w:val="18"/>
                <w:szCs w:val="18"/>
              </w:rPr>
            </w:pPr>
            <w:r>
              <w:rPr>
                <w:spacing w:val="-2"/>
                <w:sz w:val="18"/>
                <w:szCs w:val="18"/>
              </w:rPr>
              <w:t>建筑工艺识</w:t>
            </w:r>
          </w:p>
          <w:p w14:paraId="6BB42AB2">
            <w:pPr>
              <w:pStyle w:val="6"/>
              <w:spacing w:before="24" w:line="216" w:lineRule="auto"/>
              <w:ind w:left="65"/>
              <w:rPr>
                <w:sz w:val="18"/>
                <w:szCs w:val="18"/>
              </w:rPr>
            </w:pPr>
            <w:r>
              <w:rPr>
                <w:spacing w:val="-2"/>
                <w:sz w:val="18"/>
                <w:szCs w:val="18"/>
              </w:rPr>
              <w:t>别(分值为</w:t>
            </w:r>
          </w:p>
          <w:p w14:paraId="1C305CF6">
            <w:pPr>
              <w:pStyle w:val="6"/>
              <w:spacing w:line="220" w:lineRule="auto"/>
              <w:ind w:left="195"/>
              <w:rPr>
                <w:sz w:val="18"/>
                <w:szCs w:val="18"/>
              </w:rPr>
            </w:pPr>
            <w:r>
              <w:rPr>
                <w:spacing w:val="7"/>
                <w:sz w:val="18"/>
                <w:szCs w:val="18"/>
              </w:rPr>
              <w:t>100分)</w:t>
            </w:r>
          </w:p>
        </w:tc>
        <w:tc>
          <w:tcPr>
            <w:tcW w:w="809" w:type="dxa"/>
            <w:vAlign w:val="top"/>
          </w:tcPr>
          <w:p w14:paraId="1F98043C">
            <w:pPr>
              <w:spacing w:line="283" w:lineRule="auto"/>
              <w:rPr>
                <w:rFonts w:ascii="Arial"/>
                <w:sz w:val="21"/>
              </w:rPr>
            </w:pPr>
          </w:p>
          <w:p w14:paraId="3F9C06FE">
            <w:pPr>
              <w:spacing w:line="284" w:lineRule="auto"/>
              <w:rPr>
                <w:rFonts w:ascii="Arial"/>
                <w:sz w:val="21"/>
              </w:rPr>
            </w:pPr>
          </w:p>
          <w:p w14:paraId="07D59B6E">
            <w:pPr>
              <w:pStyle w:val="6"/>
              <w:spacing w:before="58" w:line="223" w:lineRule="auto"/>
              <w:ind w:left="31"/>
              <w:jc w:val="both"/>
              <w:rPr>
                <w:sz w:val="18"/>
                <w:szCs w:val="18"/>
              </w:rPr>
            </w:pPr>
            <w:r>
              <w:rPr>
                <w:spacing w:val="-8"/>
                <w:sz w:val="18"/>
                <w:szCs w:val="18"/>
              </w:rPr>
              <w:t>多媒体现</w:t>
            </w:r>
            <w:r>
              <w:rPr>
                <w:sz w:val="18"/>
                <w:szCs w:val="18"/>
              </w:rPr>
              <w:t xml:space="preserve">  </w:t>
            </w:r>
            <w:r>
              <w:rPr>
                <w:spacing w:val="-11"/>
                <w:sz w:val="18"/>
                <w:szCs w:val="18"/>
              </w:rPr>
              <w:t>场教学设</w:t>
            </w:r>
            <w:r>
              <w:rPr>
                <w:sz w:val="18"/>
                <w:szCs w:val="18"/>
              </w:rPr>
              <w:t xml:space="preserve">  </w:t>
            </w:r>
            <w:r>
              <w:rPr>
                <w:spacing w:val="11"/>
                <w:sz w:val="18"/>
                <w:szCs w:val="18"/>
              </w:rPr>
              <w:t>施设备、</w:t>
            </w:r>
            <w:r>
              <w:rPr>
                <w:spacing w:val="2"/>
                <w:sz w:val="18"/>
                <w:szCs w:val="18"/>
              </w:rPr>
              <w:t xml:space="preserve"> </w:t>
            </w:r>
            <w:r>
              <w:rPr>
                <w:spacing w:val="-7"/>
                <w:sz w:val="18"/>
                <w:szCs w:val="18"/>
              </w:rPr>
              <w:t>建筑工艺</w:t>
            </w:r>
            <w:r>
              <w:rPr>
                <w:sz w:val="18"/>
                <w:szCs w:val="18"/>
              </w:rPr>
              <w:t xml:space="preserve">  </w:t>
            </w:r>
            <w:r>
              <w:rPr>
                <w:spacing w:val="-5"/>
                <w:sz w:val="18"/>
                <w:szCs w:val="18"/>
              </w:rPr>
              <w:t>相关图片</w:t>
            </w:r>
          </w:p>
        </w:tc>
        <w:tc>
          <w:tcPr>
            <w:tcW w:w="1009" w:type="dxa"/>
            <w:vAlign w:val="top"/>
          </w:tcPr>
          <w:p w14:paraId="59B47881">
            <w:pPr>
              <w:pStyle w:val="6"/>
              <w:spacing w:before="190" w:line="226" w:lineRule="auto"/>
              <w:ind w:left="22" w:right="33" w:hanging="10"/>
              <w:rPr>
                <w:sz w:val="18"/>
                <w:szCs w:val="18"/>
              </w:rPr>
            </w:pPr>
            <w:r>
              <w:rPr>
                <w:spacing w:val="4"/>
                <w:sz w:val="18"/>
                <w:szCs w:val="18"/>
              </w:rPr>
              <w:t>1、识别出</w:t>
            </w:r>
            <w:r>
              <w:rPr>
                <w:sz w:val="18"/>
                <w:szCs w:val="18"/>
              </w:rPr>
              <w:t xml:space="preserve">  </w:t>
            </w:r>
            <w:r>
              <w:rPr>
                <w:spacing w:val="8"/>
                <w:sz w:val="18"/>
                <w:szCs w:val="18"/>
              </w:rPr>
              <w:t>建筑工艺名</w:t>
            </w:r>
            <w:r>
              <w:rPr>
                <w:spacing w:val="2"/>
                <w:sz w:val="18"/>
                <w:szCs w:val="18"/>
              </w:rPr>
              <w:t xml:space="preserve"> 称及质量缺 </w:t>
            </w:r>
            <w:r>
              <w:rPr>
                <w:spacing w:val="-10"/>
                <w:sz w:val="18"/>
                <w:szCs w:val="18"/>
              </w:rPr>
              <w:t>陷</w:t>
            </w:r>
            <w:r>
              <w:rPr>
                <w:spacing w:val="61"/>
                <w:sz w:val="18"/>
                <w:szCs w:val="18"/>
              </w:rPr>
              <w:t xml:space="preserve"> </w:t>
            </w:r>
            <w:r>
              <w:rPr>
                <w:spacing w:val="-10"/>
                <w:sz w:val="18"/>
                <w:szCs w:val="18"/>
              </w:rPr>
              <w:t>；</w:t>
            </w:r>
          </w:p>
          <w:p w14:paraId="23BD60A7">
            <w:pPr>
              <w:pStyle w:val="6"/>
              <w:spacing w:before="2" w:line="222" w:lineRule="auto"/>
              <w:ind w:left="21" w:hanging="9"/>
              <w:jc w:val="both"/>
              <w:rPr>
                <w:sz w:val="18"/>
                <w:szCs w:val="18"/>
              </w:rPr>
            </w:pPr>
            <w:r>
              <w:rPr>
                <w:spacing w:val="-17"/>
                <w:sz w:val="18"/>
                <w:szCs w:val="18"/>
              </w:rPr>
              <w:t>2</w:t>
            </w:r>
            <w:r>
              <w:rPr>
                <w:spacing w:val="-21"/>
                <w:sz w:val="18"/>
                <w:szCs w:val="18"/>
              </w:rPr>
              <w:t xml:space="preserve"> </w:t>
            </w:r>
            <w:r>
              <w:rPr>
                <w:spacing w:val="-16"/>
                <w:sz w:val="18"/>
                <w:szCs w:val="18"/>
              </w:rPr>
              <w:t>、</w:t>
            </w:r>
            <w:r>
              <w:rPr>
                <w:spacing w:val="-19"/>
                <w:sz w:val="18"/>
                <w:szCs w:val="18"/>
              </w:rPr>
              <w:t xml:space="preserve"> </w:t>
            </w:r>
            <w:r>
              <w:rPr>
                <w:spacing w:val="-16"/>
                <w:sz w:val="18"/>
                <w:szCs w:val="18"/>
              </w:rPr>
              <w:t>回</w:t>
            </w:r>
            <w:r>
              <w:rPr>
                <w:spacing w:val="-36"/>
                <w:sz w:val="18"/>
                <w:szCs w:val="18"/>
              </w:rPr>
              <w:t xml:space="preserve"> </w:t>
            </w:r>
            <w:r>
              <w:rPr>
                <w:spacing w:val="-16"/>
                <w:sz w:val="18"/>
                <w:szCs w:val="18"/>
              </w:rPr>
              <w:t>答</w:t>
            </w:r>
            <w:r>
              <w:rPr>
                <w:spacing w:val="-34"/>
                <w:sz w:val="18"/>
                <w:szCs w:val="18"/>
              </w:rPr>
              <w:t xml:space="preserve"> </w:t>
            </w:r>
            <w:r>
              <w:rPr>
                <w:spacing w:val="-10"/>
                <w:sz w:val="18"/>
                <w:szCs w:val="18"/>
              </w:rPr>
              <w:t>工</w:t>
            </w:r>
            <w:r>
              <w:rPr>
                <w:sz w:val="18"/>
                <w:szCs w:val="18"/>
              </w:rPr>
              <w:t xml:space="preserve"> </w:t>
            </w:r>
            <w:r>
              <w:rPr>
                <w:spacing w:val="5"/>
                <w:sz w:val="18"/>
                <w:szCs w:val="18"/>
              </w:rPr>
              <w:t>艺基本操作</w:t>
            </w:r>
            <w:r>
              <w:rPr>
                <w:spacing w:val="3"/>
                <w:sz w:val="18"/>
                <w:szCs w:val="18"/>
              </w:rPr>
              <w:t xml:space="preserve"> </w:t>
            </w:r>
            <w:r>
              <w:rPr>
                <w:spacing w:val="1"/>
                <w:sz w:val="18"/>
                <w:szCs w:val="18"/>
              </w:rPr>
              <w:t>方法及质量</w:t>
            </w:r>
            <w:r>
              <w:rPr>
                <w:spacing w:val="3"/>
                <w:sz w:val="18"/>
                <w:szCs w:val="18"/>
              </w:rPr>
              <w:t xml:space="preserve"> </w:t>
            </w:r>
            <w:r>
              <w:rPr>
                <w:spacing w:val="2"/>
                <w:sz w:val="18"/>
                <w:szCs w:val="18"/>
              </w:rPr>
              <w:t>缺陷的预防</w:t>
            </w:r>
            <w:r>
              <w:rPr>
                <w:sz w:val="18"/>
                <w:szCs w:val="18"/>
              </w:rPr>
              <w:t xml:space="preserve"> </w:t>
            </w:r>
            <w:r>
              <w:rPr>
                <w:spacing w:val="-5"/>
                <w:sz w:val="18"/>
                <w:szCs w:val="18"/>
              </w:rPr>
              <w:t>措</w:t>
            </w:r>
            <w:r>
              <w:rPr>
                <w:spacing w:val="-15"/>
                <w:sz w:val="18"/>
                <w:szCs w:val="18"/>
              </w:rPr>
              <w:t xml:space="preserve"> </w:t>
            </w:r>
            <w:r>
              <w:rPr>
                <w:spacing w:val="-5"/>
                <w:sz w:val="18"/>
                <w:szCs w:val="18"/>
              </w:rPr>
              <w:t>施</w:t>
            </w:r>
            <w:r>
              <w:rPr>
                <w:spacing w:val="-21"/>
                <w:sz w:val="18"/>
                <w:szCs w:val="18"/>
              </w:rPr>
              <w:t xml:space="preserve"> </w:t>
            </w:r>
            <w:r>
              <w:rPr>
                <w:spacing w:val="-5"/>
                <w:sz w:val="18"/>
                <w:szCs w:val="18"/>
              </w:rPr>
              <w:t>；</w:t>
            </w:r>
          </w:p>
        </w:tc>
        <w:tc>
          <w:tcPr>
            <w:tcW w:w="1848" w:type="dxa"/>
            <w:vAlign w:val="top"/>
          </w:tcPr>
          <w:p w14:paraId="60E3B17C">
            <w:pPr>
              <w:spacing w:line="262" w:lineRule="auto"/>
              <w:rPr>
                <w:rFonts w:ascii="Arial"/>
                <w:sz w:val="21"/>
              </w:rPr>
            </w:pPr>
          </w:p>
          <w:p w14:paraId="020C199D">
            <w:pPr>
              <w:spacing w:line="262" w:lineRule="auto"/>
              <w:rPr>
                <w:rFonts w:ascii="Arial"/>
                <w:sz w:val="21"/>
              </w:rPr>
            </w:pPr>
          </w:p>
          <w:p w14:paraId="04BA8A1A">
            <w:pPr>
              <w:spacing w:line="262" w:lineRule="auto"/>
              <w:rPr>
                <w:rFonts w:ascii="Arial"/>
                <w:sz w:val="21"/>
              </w:rPr>
            </w:pPr>
          </w:p>
          <w:p w14:paraId="7954F92B">
            <w:pPr>
              <w:pStyle w:val="6"/>
              <w:spacing w:before="59" w:line="219" w:lineRule="auto"/>
              <w:ind w:left="103"/>
              <w:rPr>
                <w:sz w:val="18"/>
                <w:szCs w:val="18"/>
              </w:rPr>
            </w:pPr>
            <w:r>
              <w:rPr>
                <w:spacing w:val="-1"/>
                <w:sz w:val="18"/>
                <w:szCs w:val="18"/>
              </w:rPr>
              <w:t>测试教师用多媒体展</w:t>
            </w:r>
          </w:p>
          <w:p w14:paraId="3B018303">
            <w:pPr>
              <w:pStyle w:val="6"/>
              <w:spacing w:before="7" w:line="234" w:lineRule="auto"/>
              <w:ind w:left="13" w:right="122" w:firstLine="89"/>
              <w:rPr>
                <w:sz w:val="18"/>
                <w:szCs w:val="18"/>
              </w:rPr>
            </w:pPr>
            <w:r>
              <w:rPr>
                <w:spacing w:val="-1"/>
                <w:sz w:val="18"/>
                <w:szCs w:val="18"/>
              </w:rPr>
              <w:t>示相关图片，考生按</w:t>
            </w:r>
            <w:r>
              <w:rPr>
                <w:sz w:val="18"/>
                <w:szCs w:val="18"/>
              </w:rPr>
              <w:t xml:space="preserve"> 要求回答问题。</w:t>
            </w:r>
          </w:p>
        </w:tc>
        <w:tc>
          <w:tcPr>
            <w:tcW w:w="2197" w:type="dxa"/>
            <w:vAlign w:val="top"/>
          </w:tcPr>
          <w:p w14:paraId="15AFEF90">
            <w:pPr>
              <w:pStyle w:val="6"/>
              <w:spacing w:before="81" w:line="215" w:lineRule="auto"/>
              <w:ind w:left="5" w:right="81" w:firstLine="19"/>
              <w:rPr>
                <w:sz w:val="18"/>
                <w:szCs w:val="18"/>
              </w:rPr>
            </w:pPr>
            <w:r>
              <w:rPr>
                <w:sz w:val="18"/>
                <w:szCs w:val="18"/>
              </w:rPr>
              <w:t>1、根据图片辨识所属施工</w:t>
            </w:r>
            <w:r>
              <w:rPr>
                <w:spacing w:val="9"/>
                <w:sz w:val="18"/>
                <w:szCs w:val="18"/>
              </w:rPr>
              <w:t xml:space="preserve"> </w:t>
            </w:r>
            <w:r>
              <w:rPr>
                <w:spacing w:val="14"/>
                <w:sz w:val="18"/>
                <w:szCs w:val="18"/>
              </w:rPr>
              <w:t>工艺或设备；</w:t>
            </w:r>
          </w:p>
          <w:p w14:paraId="2C4573B8">
            <w:pPr>
              <w:pStyle w:val="6"/>
              <w:spacing w:before="1" w:line="227" w:lineRule="auto"/>
              <w:ind w:left="15" w:right="111"/>
              <w:rPr>
                <w:sz w:val="18"/>
                <w:szCs w:val="18"/>
              </w:rPr>
            </w:pPr>
            <w:r>
              <w:rPr>
                <w:spacing w:val="-1"/>
                <w:sz w:val="18"/>
                <w:szCs w:val="18"/>
              </w:rPr>
              <w:t>2、掌握常见主体结构，装</w:t>
            </w:r>
            <w:r>
              <w:rPr>
                <w:spacing w:val="1"/>
                <w:sz w:val="18"/>
                <w:szCs w:val="18"/>
              </w:rPr>
              <w:t xml:space="preserve"> </w:t>
            </w:r>
            <w:r>
              <w:rPr>
                <w:spacing w:val="-1"/>
                <w:sz w:val="18"/>
                <w:szCs w:val="18"/>
              </w:rPr>
              <w:t>饰工程施工工艺与操作方</w:t>
            </w:r>
          </w:p>
          <w:p w14:paraId="4BEE77C7">
            <w:pPr>
              <w:pStyle w:val="6"/>
              <w:spacing w:before="14" w:line="218" w:lineRule="auto"/>
              <w:ind w:left="5" w:firstLine="19"/>
              <w:rPr>
                <w:sz w:val="18"/>
                <w:szCs w:val="18"/>
              </w:rPr>
            </w:pPr>
            <w:r>
              <w:rPr>
                <w:sz w:val="18"/>
                <w:szCs w:val="18"/>
              </w:rPr>
              <w:t>法、质量标准及施工机具的</w:t>
            </w:r>
            <w:r>
              <w:rPr>
                <w:spacing w:val="1"/>
                <w:sz w:val="18"/>
                <w:szCs w:val="18"/>
              </w:rPr>
              <w:t xml:space="preserve"> </w:t>
            </w:r>
            <w:r>
              <w:rPr>
                <w:spacing w:val="-7"/>
                <w:sz w:val="18"/>
                <w:szCs w:val="18"/>
              </w:rPr>
              <w:t>使</w:t>
            </w:r>
            <w:r>
              <w:rPr>
                <w:spacing w:val="-11"/>
                <w:sz w:val="18"/>
                <w:szCs w:val="18"/>
              </w:rPr>
              <w:t xml:space="preserve"> </w:t>
            </w:r>
            <w:r>
              <w:rPr>
                <w:spacing w:val="-7"/>
                <w:sz w:val="18"/>
                <w:szCs w:val="18"/>
              </w:rPr>
              <w:t>用</w:t>
            </w:r>
            <w:r>
              <w:rPr>
                <w:spacing w:val="-20"/>
                <w:sz w:val="18"/>
                <w:szCs w:val="18"/>
              </w:rPr>
              <w:t xml:space="preserve"> </w:t>
            </w:r>
            <w:r>
              <w:rPr>
                <w:spacing w:val="-7"/>
                <w:sz w:val="18"/>
                <w:szCs w:val="18"/>
              </w:rPr>
              <w:t>；</w:t>
            </w:r>
          </w:p>
          <w:p w14:paraId="6856F804">
            <w:pPr>
              <w:pStyle w:val="6"/>
              <w:spacing w:before="25" w:line="217" w:lineRule="auto"/>
              <w:ind w:left="5"/>
              <w:rPr>
                <w:sz w:val="18"/>
                <w:szCs w:val="18"/>
              </w:rPr>
            </w:pPr>
            <w:r>
              <w:rPr>
                <w:spacing w:val="-2"/>
                <w:sz w:val="18"/>
                <w:szCs w:val="18"/>
              </w:rPr>
              <w:t>3、能识别常见施工质量缺</w:t>
            </w:r>
            <w:r>
              <w:rPr>
                <w:spacing w:val="1"/>
                <w:sz w:val="18"/>
                <w:szCs w:val="18"/>
              </w:rPr>
              <w:t xml:space="preserve">  陷，具有预防施工质量通病</w:t>
            </w:r>
            <w:r>
              <w:rPr>
                <w:spacing w:val="8"/>
                <w:sz w:val="18"/>
                <w:szCs w:val="18"/>
              </w:rPr>
              <w:t xml:space="preserve"> </w:t>
            </w:r>
            <w:r>
              <w:rPr>
                <w:spacing w:val="19"/>
                <w:sz w:val="18"/>
                <w:szCs w:val="18"/>
              </w:rPr>
              <w:t>的能力</w:t>
            </w:r>
            <w:r>
              <w:rPr>
                <w:spacing w:val="-39"/>
                <w:sz w:val="18"/>
                <w:szCs w:val="18"/>
              </w:rPr>
              <w:t xml:space="preserve"> </w:t>
            </w:r>
            <w:r>
              <w:rPr>
                <w:spacing w:val="19"/>
                <w:sz w:val="18"/>
                <w:szCs w:val="18"/>
              </w:rPr>
              <w:t>；</w:t>
            </w:r>
          </w:p>
          <w:p w14:paraId="6DF1DE59">
            <w:pPr>
              <w:pStyle w:val="6"/>
              <w:spacing w:before="17" w:line="220" w:lineRule="auto"/>
              <w:jc w:val="right"/>
              <w:rPr>
                <w:sz w:val="18"/>
                <w:szCs w:val="18"/>
              </w:rPr>
            </w:pPr>
            <w:r>
              <w:rPr>
                <w:spacing w:val="-5"/>
                <w:sz w:val="18"/>
                <w:szCs w:val="18"/>
              </w:rPr>
              <w:t>4、测试时间不少于30分钟。</w:t>
            </w:r>
          </w:p>
        </w:tc>
        <w:tc>
          <w:tcPr>
            <w:tcW w:w="1898" w:type="dxa"/>
            <w:vAlign w:val="top"/>
          </w:tcPr>
          <w:p w14:paraId="4C8BA0B8">
            <w:pPr>
              <w:rPr>
                <w:rFonts w:ascii="Arial"/>
                <w:sz w:val="21"/>
              </w:rPr>
            </w:pPr>
          </w:p>
        </w:tc>
      </w:tr>
      <w:tr w14:paraId="005E05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22" w:hRule="atLeast"/>
        </w:trPr>
        <w:tc>
          <w:tcPr>
            <w:tcW w:w="954" w:type="dxa"/>
            <w:vAlign w:val="top"/>
          </w:tcPr>
          <w:p w14:paraId="67E1CF4A">
            <w:pPr>
              <w:spacing w:line="263" w:lineRule="auto"/>
              <w:rPr>
                <w:rFonts w:ascii="Arial"/>
                <w:sz w:val="21"/>
              </w:rPr>
            </w:pPr>
          </w:p>
          <w:p w14:paraId="786007BE">
            <w:pPr>
              <w:spacing w:line="264" w:lineRule="auto"/>
              <w:rPr>
                <w:rFonts w:ascii="Arial"/>
                <w:sz w:val="21"/>
              </w:rPr>
            </w:pPr>
          </w:p>
          <w:p w14:paraId="6F5AA891">
            <w:pPr>
              <w:spacing w:line="264" w:lineRule="auto"/>
              <w:rPr>
                <w:rFonts w:ascii="Arial"/>
                <w:sz w:val="21"/>
              </w:rPr>
            </w:pPr>
          </w:p>
          <w:p w14:paraId="5CF2E2BE">
            <w:pPr>
              <w:pStyle w:val="6"/>
              <w:spacing w:before="59" w:line="220" w:lineRule="auto"/>
              <w:ind w:left="195"/>
              <w:rPr>
                <w:sz w:val="18"/>
                <w:szCs w:val="18"/>
              </w:rPr>
            </w:pPr>
            <w:r>
              <w:rPr>
                <w:spacing w:val="-3"/>
                <w:sz w:val="18"/>
                <w:szCs w:val="18"/>
              </w:rPr>
              <w:t>项目十</w:t>
            </w:r>
          </w:p>
          <w:p w14:paraId="702C376C">
            <w:pPr>
              <w:pStyle w:val="6"/>
              <w:spacing w:before="5" w:line="220" w:lineRule="auto"/>
              <w:ind w:left="15"/>
              <w:rPr>
                <w:sz w:val="18"/>
                <w:szCs w:val="18"/>
              </w:rPr>
            </w:pPr>
            <w:r>
              <w:rPr>
                <w:spacing w:val="-2"/>
                <w:sz w:val="18"/>
                <w:szCs w:val="18"/>
              </w:rPr>
              <w:t>三视图的绘</w:t>
            </w:r>
          </w:p>
          <w:p w14:paraId="0BC8CC45">
            <w:pPr>
              <w:pStyle w:val="6"/>
              <w:spacing w:before="24" w:line="206" w:lineRule="auto"/>
              <w:ind w:left="65"/>
              <w:rPr>
                <w:sz w:val="18"/>
                <w:szCs w:val="18"/>
              </w:rPr>
            </w:pPr>
            <w:r>
              <w:rPr>
                <w:spacing w:val="-2"/>
                <w:sz w:val="18"/>
                <w:szCs w:val="18"/>
              </w:rPr>
              <w:t>制(分值为</w:t>
            </w:r>
          </w:p>
          <w:p w14:paraId="16CF6252">
            <w:pPr>
              <w:pStyle w:val="6"/>
              <w:spacing w:line="220" w:lineRule="auto"/>
              <w:ind w:left="195"/>
              <w:rPr>
                <w:sz w:val="18"/>
                <w:szCs w:val="18"/>
              </w:rPr>
            </w:pPr>
            <w:r>
              <w:rPr>
                <w:spacing w:val="7"/>
                <w:sz w:val="18"/>
                <w:szCs w:val="18"/>
              </w:rPr>
              <w:t>100分)</w:t>
            </w:r>
          </w:p>
        </w:tc>
        <w:tc>
          <w:tcPr>
            <w:tcW w:w="809" w:type="dxa"/>
            <w:vAlign w:val="top"/>
          </w:tcPr>
          <w:p w14:paraId="21C0D433">
            <w:pPr>
              <w:spacing w:line="450" w:lineRule="auto"/>
              <w:rPr>
                <w:rFonts w:ascii="Arial"/>
                <w:sz w:val="21"/>
              </w:rPr>
            </w:pPr>
          </w:p>
          <w:p w14:paraId="25E389A6">
            <w:pPr>
              <w:pStyle w:val="6"/>
              <w:spacing w:before="58" w:line="227" w:lineRule="auto"/>
              <w:ind w:left="11" w:firstLine="63"/>
              <w:jc w:val="both"/>
              <w:rPr>
                <w:sz w:val="18"/>
                <w:szCs w:val="18"/>
              </w:rPr>
            </w:pPr>
            <w:r>
              <w:rPr>
                <w:sz w:val="18"/>
                <w:szCs w:val="18"/>
              </w:rPr>
              <w:t xml:space="preserve">绘图板， </w:t>
            </w:r>
            <w:r>
              <w:rPr>
                <w:spacing w:val="1"/>
                <w:sz w:val="18"/>
                <w:szCs w:val="18"/>
              </w:rPr>
              <w:t>三角板，</w:t>
            </w:r>
            <w:r>
              <w:rPr>
                <w:sz w:val="18"/>
                <w:szCs w:val="18"/>
              </w:rPr>
              <w:t xml:space="preserve"> </w:t>
            </w:r>
            <w:r>
              <w:rPr>
                <w:spacing w:val="-11"/>
                <w:sz w:val="18"/>
                <w:szCs w:val="18"/>
              </w:rPr>
              <w:t>圆规，铅</w:t>
            </w:r>
            <w:r>
              <w:rPr>
                <w:sz w:val="18"/>
                <w:szCs w:val="18"/>
              </w:rPr>
              <w:t xml:space="preserve">  </w:t>
            </w:r>
            <w:r>
              <w:rPr>
                <w:spacing w:val="-23"/>
                <w:sz w:val="18"/>
                <w:szCs w:val="18"/>
              </w:rPr>
              <w:t>笔，橡皮，</w:t>
            </w:r>
            <w:r>
              <w:rPr>
                <w:spacing w:val="1"/>
                <w:sz w:val="18"/>
                <w:szCs w:val="18"/>
              </w:rPr>
              <w:t xml:space="preserve"> </w:t>
            </w:r>
            <w:r>
              <w:rPr>
                <w:spacing w:val="-14"/>
                <w:sz w:val="18"/>
                <w:szCs w:val="18"/>
              </w:rPr>
              <w:t>胶带等绘</w:t>
            </w:r>
            <w:r>
              <w:rPr>
                <w:sz w:val="18"/>
                <w:szCs w:val="18"/>
              </w:rPr>
              <w:t xml:space="preserve">  </w:t>
            </w:r>
            <w:r>
              <w:rPr>
                <w:spacing w:val="-10"/>
                <w:sz w:val="18"/>
                <w:szCs w:val="18"/>
              </w:rPr>
              <w:t>图仪器和</w:t>
            </w:r>
            <w:r>
              <w:rPr>
                <w:spacing w:val="1"/>
                <w:sz w:val="18"/>
                <w:szCs w:val="18"/>
              </w:rPr>
              <w:t xml:space="preserve">  </w:t>
            </w:r>
            <w:r>
              <w:rPr>
                <w:spacing w:val="-5"/>
                <w:sz w:val="18"/>
                <w:szCs w:val="18"/>
              </w:rPr>
              <w:t>用品</w:t>
            </w:r>
          </w:p>
        </w:tc>
        <w:tc>
          <w:tcPr>
            <w:tcW w:w="1009" w:type="dxa"/>
            <w:vAlign w:val="top"/>
          </w:tcPr>
          <w:p w14:paraId="366B521E">
            <w:pPr>
              <w:spacing w:line="297" w:lineRule="auto"/>
              <w:rPr>
                <w:rFonts w:ascii="Arial"/>
                <w:sz w:val="21"/>
              </w:rPr>
            </w:pPr>
          </w:p>
          <w:p w14:paraId="02133DCD">
            <w:pPr>
              <w:spacing w:line="297" w:lineRule="auto"/>
              <w:rPr>
                <w:rFonts w:ascii="Arial"/>
                <w:sz w:val="21"/>
              </w:rPr>
            </w:pPr>
          </w:p>
          <w:p w14:paraId="052385D0">
            <w:pPr>
              <w:spacing w:line="297" w:lineRule="auto"/>
              <w:rPr>
                <w:rFonts w:ascii="Arial"/>
                <w:sz w:val="21"/>
              </w:rPr>
            </w:pPr>
          </w:p>
          <w:p w14:paraId="523BED30">
            <w:pPr>
              <w:pStyle w:val="6"/>
              <w:spacing w:before="59" w:line="236" w:lineRule="auto"/>
              <w:ind w:left="12" w:right="19"/>
              <w:rPr>
                <w:sz w:val="18"/>
                <w:szCs w:val="18"/>
              </w:rPr>
            </w:pPr>
            <w:r>
              <w:rPr>
                <w:spacing w:val="-14"/>
                <w:sz w:val="18"/>
                <w:szCs w:val="18"/>
              </w:rPr>
              <w:t>1</w:t>
            </w:r>
            <w:r>
              <w:rPr>
                <w:spacing w:val="-23"/>
                <w:sz w:val="18"/>
                <w:szCs w:val="18"/>
              </w:rPr>
              <w:t xml:space="preserve"> </w:t>
            </w:r>
            <w:r>
              <w:rPr>
                <w:spacing w:val="-14"/>
                <w:sz w:val="18"/>
                <w:szCs w:val="18"/>
              </w:rPr>
              <w:t>、</w:t>
            </w:r>
            <w:r>
              <w:rPr>
                <w:spacing w:val="-38"/>
                <w:sz w:val="18"/>
                <w:szCs w:val="18"/>
              </w:rPr>
              <w:t xml:space="preserve"> </w:t>
            </w:r>
            <w:r>
              <w:rPr>
                <w:spacing w:val="-14"/>
                <w:sz w:val="18"/>
                <w:szCs w:val="18"/>
              </w:rPr>
              <w:t>手</w:t>
            </w:r>
            <w:r>
              <w:rPr>
                <w:spacing w:val="-36"/>
                <w:sz w:val="18"/>
                <w:szCs w:val="18"/>
              </w:rPr>
              <w:t xml:space="preserve"> </w:t>
            </w:r>
            <w:r>
              <w:rPr>
                <w:spacing w:val="-14"/>
                <w:sz w:val="18"/>
                <w:szCs w:val="18"/>
              </w:rPr>
              <w:t>工</w:t>
            </w:r>
            <w:r>
              <w:rPr>
                <w:spacing w:val="-37"/>
                <w:sz w:val="18"/>
                <w:szCs w:val="18"/>
              </w:rPr>
              <w:t xml:space="preserve"> </w:t>
            </w:r>
            <w:r>
              <w:rPr>
                <w:spacing w:val="-14"/>
                <w:sz w:val="18"/>
                <w:szCs w:val="18"/>
              </w:rPr>
              <w:t>绘</w:t>
            </w:r>
            <w:r>
              <w:rPr>
                <w:sz w:val="18"/>
                <w:szCs w:val="18"/>
              </w:rPr>
              <w:t xml:space="preserve"> </w:t>
            </w:r>
            <w:r>
              <w:rPr>
                <w:spacing w:val="-2"/>
                <w:sz w:val="18"/>
                <w:szCs w:val="18"/>
              </w:rPr>
              <w:t>制三面投</w:t>
            </w:r>
          </w:p>
          <w:p w14:paraId="49E129D8">
            <w:pPr>
              <w:pStyle w:val="6"/>
              <w:spacing w:line="220" w:lineRule="auto"/>
              <w:ind w:left="12"/>
              <w:rPr>
                <w:sz w:val="18"/>
                <w:szCs w:val="18"/>
              </w:rPr>
            </w:pPr>
            <w:r>
              <w:rPr>
                <w:sz w:val="18"/>
                <w:szCs w:val="18"/>
              </w:rPr>
              <w:t>影图。</w:t>
            </w:r>
          </w:p>
        </w:tc>
        <w:tc>
          <w:tcPr>
            <w:tcW w:w="1848" w:type="dxa"/>
            <w:vAlign w:val="top"/>
          </w:tcPr>
          <w:p w14:paraId="3163C9A8">
            <w:pPr>
              <w:spacing w:line="285" w:lineRule="auto"/>
              <w:rPr>
                <w:rFonts w:ascii="Arial"/>
                <w:sz w:val="21"/>
              </w:rPr>
            </w:pPr>
          </w:p>
          <w:p w14:paraId="66F46B64">
            <w:pPr>
              <w:spacing w:line="286" w:lineRule="auto"/>
              <w:rPr>
                <w:rFonts w:ascii="Arial"/>
                <w:sz w:val="21"/>
              </w:rPr>
            </w:pPr>
          </w:p>
          <w:p w14:paraId="3A64DC70">
            <w:pPr>
              <w:pStyle w:val="6"/>
              <w:spacing w:before="58" w:line="228" w:lineRule="auto"/>
              <w:ind w:left="13" w:right="189"/>
              <w:rPr>
                <w:sz w:val="18"/>
                <w:szCs w:val="18"/>
              </w:rPr>
            </w:pPr>
            <w:r>
              <w:rPr>
                <w:spacing w:val="1"/>
                <w:sz w:val="18"/>
                <w:szCs w:val="18"/>
              </w:rPr>
              <w:t>测试现场教师给定图</w:t>
            </w:r>
            <w:r>
              <w:rPr>
                <w:spacing w:val="5"/>
                <w:sz w:val="18"/>
                <w:szCs w:val="18"/>
              </w:rPr>
              <w:t xml:space="preserve"> </w:t>
            </w:r>
            <w:r>
              <w:rPr>
                <w:spacing w:val="-1"/>
                <w:sz w:val="18"/>
                <w:szCs w:val="18"/>
              </w:rPr>
              <w:t>形的直观图，考生正</w:t>
            </w:r>
          </w:p>
          <w:p w14:paraId="5BD67790">
            <w:pPr>
              <w:pStyle w:val="6"/>
              <w:spacing w:before="26" w:line="210" w:lineRule="auto"/>
              <w:ind w:left="13" w:right="122" w:firstLine="89"/>
              <w:rPr>
                <w:sz w:val="18"/>
                <w:szCs w:val="18"/>
              </w:rPr>
            </w:pPr>
            <w:r>
              <w:rPr>
                <w:spacing w:val="-1"/>
                <w:sz w:val="18"/>
                <w:szCs w:val="18"/>
              </w:rPr>
              <w:t>确使用绘图工具、仪</w:t>
            </w:r>
            <w:r>
              <w:rPr>
                <w:sz w:val="18"/>
                <w:szCs w:val="18"/>
              </w:rPr>
              <w:t xml:space="preserve"> </w:t>
            </w:r>
            <w:r>
              <w:rPr>
                <w:spacing w:val="-1"/>
                <w:sz w:val="18"/>
                <w:szCs w:val="18"/>
              </w:rPr>
              <w:t>器和绘图用品，独立</w:t>
            </w:r>
          </w:p>
          <w:p w14:paraId="1E5EFB24">
            <w:pPr>
              <w:pStyle w:val="6"/>
              <w:spacing w:before="1" w:line="233" w:lineRule="auto"/>
              <w:ind w:left="63" w:firstLine="39"/>
              <w:rPr>
                <w:sz w:val="18"/>
                <w:szCs w:val="18"/>
              </w:rPr>
            </w:pPr>
            <w:r>
              <w:rPr>
                <w:spacing w:val="-4"/>
                <w:sz w:val="18"/>
                <w:szCs w:val="18"/>
              </w:rPr>
              <w:t>完成给定直观图的三</w:t>
            </w:r>
            <w:r>
              <w:rPr>
                <w:spacing w:val="2"/>
                <w:sz w:val="18"/>
                <w:szCs w:val="18"/>
              </w:rPr>
              <w:t xml:space="preserve">  </w:t>
            </w:r>
            <w:r>
              <w:rPr>
                <w:spacing w:val="-3"/>
                <w:sz w:val="18"/>
                <w:szCs w:val="18"/>
              </w:rPr>
              <w:t>面投影图的绘制工作。</w:t>
            </w:r>
          </w:p>
        </w:tc>
        <w:tc>
          <w:tcPr>
            <w:tcW w:w="2197" w:type="dxa"/>
            <w:vAlign w:val="top"/>
          </w:tcPr>
          <w:p w14:paraId="2F692A46">
            <w:pPr>
              <w:pStyle w:val="6"/>
              <w:spacing w:before="194" w:line="229" w:lineRule="auto"/>
              <w:ind w:left="5" w:right="8" w:firstLine="19"/>
              <w:rPr>
                <w:sz w:val="18"/>
                <w:szCs w:val="18"/>
              </w:rPr>
            </w:pPr>
            <w:r>
              <w:rPr>
                <w:sz w:val="18"/>
                <w:szCs w:val="18"/>
              </w:rPr>
              <w:t>1、能正确使用图板，丁字</w:t>
            </w:r>
            <w:r>
              <w:rPr>
                <w:spacing w:val="3"/>
                <w:sz w:val="18"/>
                <w:szCs w:val="18"/>
              </w:rPr>
              <w:t xml:space="preserve">  </w:t>
            </w:r>
            <w:r>
              <w:rPr>
                <w:spacing w:val="1"/>
                <w:sz w:val="18"/>
                <w:szCs w:val="18"/>
              </w:rPr>
              <w:t>尺，三角板等绘图器具进行</w:t>
            </w:r>
            <w:r>
              <w:rPr>
                <w:sz w:val="18"/>
                <w:szCs w:val="18"/>
              </w:rPr>
              <w:t xml:space="preserve"> </w:t>
            </w:r>
            <w:r>
              <w:rPr>
                <w:spacing w:val="-12"/>
                <w:sz w:val="18"/>
                <w:szCs w:val="18"/>
              </w:rPr>
              <w:t>绘</w:t>
            </w:r>
            <w:r>
              <w:rPr>
                <w:spacing w:val="6"/>
                <w:sz w:val="18"/>
                <w:szCs w:val="18"/>
              </w:rPr>
              <w:t xml:space="preserve"> </w:t>
            </w:r>
            <w:r>
              <w:rPr>
                <w:spacing w:val="-12"/>
                <w:sz w:val="18"/>
                <w:szCs w:val="18"/>
              </w:rPr>
              <w:t>图</w:t>
            </w:r>
            <w:r>
              <w:rPr>
                <w:spacing w:val="-19"/>
                <w:sz w:val="18"/>
                <w:szCs w:val="18"/>
              </w:rPr>
              <w:t xml:space="preserve"> </w:t>
            </w:r>
            <w:r>
              <w:rPr>
                <w:spacing w:val="-12"/>
                <w:sz w:val="18"/>
                <w:szCs w:val="18"/>
              </w:rPr>
              <w:t>；</w:t>
            </w:r>
          </w:p>
          <w:p w14:paraId="6790DFEF">
            <w:pPr>
              <w:pStyle w:val="6"/>
              <w:spacing w:before="1" w:line="219" w:lineRule="auto"/>
              <w:ind w:left="5" w:right="111"/>
              <w:rPr>
                <w:sz w:val="18"/>
                <w:szCs w:val="18"/>
              </w:rPr>
            </w:pPr>
            <w:r>
              <w:rPr>
                <w:spacing w:val="-1"/>
                <w:sz w:val="18"/>
                <w:szCs w:val="18"/>
              </w:rPr>
              <w:t>2、掌握正确的绘图方法，</w:t>
            </w:r>
            <w:r>
              <w:rPr>
                <w:spacing w:val="10"/>
                <w:sz w:val="18"/>
                <w:szCs w:val="18"/>
              </w:rPr>
              <w:t xml:space="preserve"> </w:t>
            </w:r>
            <w:r>
              <w:rPr>
                <w:spacing w:val="-6"/>
                <w:sz w:val="18"/>
                <w:szCs w:val="18"/>
              </w:rPr>
              <w:t>步</w:t>
            </w:r>
            <w:r>
              <w:rPr>
                <w:spacing w:val="-12"/>
                <w:sz w:val="18"/>
                <w:szCs w:val="18"/>
              </w:rPr>
              <w:t xml:space="preserve"> </w:t>
            </w:r>
            <w:r>
              <w:rPr>
                <w:spacing w:val="-6"/>
                <w:sz w:val="18"/>
                <w:szCs w:val="18"/>
              </w:rPr>
              <w:t>骤</w:t>
            </w:r>
            <w:r>
              <w:rPr>
                <w:spacing w:val="-19"/>
                <w:sz w:val="18"/>
                <w:szCs w:val="18"/>
              </w:rPr>
              <w:t xml:space="preserve"> </w:t>
            </w:r>
            <w:r>
              <w:rPr>
                <w:spacing w:val="-6"/>
                <w:sz w:val="18"/>
                <w:szCs w:val="18"/>
              </w:rPr>
              <w:t>；</w:t>
            </w:r>
          </w:p>
          <w:p w14:paraId="323D8863">
            <w:pPr>
              <w:pStyle w:val="6"/>
              <w:spacing w:before="1" w:line="223" w:lineRule="auto"/>
              <w:ind w:left="5" w:right="122"/>
              <w:rPr>
                <w:sz w:val="18"/>
                <w:szCs w:val="18"/>
              </w:rPr>
            </w:pPr>
            <w:r>
              <w:rPr>
                <w:spacing w:val="-1"/>
                <w:sz w:val="18"/>
                <w:szCs w:val="18"/>
              </w:rPr>
              <w:t>3、图幅布置合理，尺寸符</w:t>
            </w:r>
            <w:r>
              <w:rPr>
                <w:sz w:val="18"/>
                <w:szCs w:val="18"/>
              </w:rPr>
              <w:t xml:space="preserve"> </w:t>
            </w:r>
            <w:r>
              <w:rPr>
                <w:spacing w:val="14"/>
                <w:sz w:val="18"/>
                <w:szCs w:val="18"/>
              </w:rPr>
              <w:t>合制图标准；</w:t>
            </w:r>
          </w:p>
          <w:p w14:paraId="673912F9">
            <w:pPr>
              <w:pStyle w:val="6"/>
              <w:spacing w:before="4" w:line="226" w:lineRule="auto"/>
              <w:ind w:left="5" w:right="118"/>
              <w:rPr>
                <w:sz w:val="18"/>
                <w:szCs w:val="18"/>
              </w:rPr>
            </w:pPr>
            <w:r>
              <w:rPr>
                <w:spacing w:val="-1"/>
                <w:sz w:val="18"/>
                <w:szCs w:val="18"/>
              </w:rPr>
              <w:t>4、图面整洁清楚，图线交</w:t>
            </w:r>
            <w:r>
              <w:rPr>
                <w:spacing w:val="4"/>
                <w:sz w:val="18"/>
                <w:szCs w:val="18"/>
              </w:rPr>
              <w:t xml:space="preserve"> </w:t>
            </w:r>
            <w:r>
              <w:rPr>
                <w:spacing w:val="14"/>
                <w:sz w:val="18"/>
                <w:szCs w:val="18"/>
              </w:rPr>
              <w:t>接正确分明；</w:t>
            </w:r>
          </w:p>
          <w:p w14:paraId="1C181249">
            <w:pPr>
              <w:pStyle w:val="6"/>
              <w:spacing w:line="220" w:lineRule="auto"/>
              <w:jc w:val="right"/>
              <w:rPr>
                <w:sz w:val="18"/>
                <w:szCs w:val="18"/>
              </w:rPr>
            </w:pPr>
            <w:r>
              <w:rPr>
                <w:spacing w:val="-6"/>
                <w:sz w:val="18"/>
                <w:szCs w:val="18"/>
              </w:rPr>
              <w:t>5、测试时间不少于30分钟。</w:t>
            </w:r>
          </w:p>
        </w:tc>
        <w:tc>
          <w:tcPr>
            <w:tcW w:w="1898" w:type="dxa"/>
            <w:vAlign w:val="top"/>
          </w:tcPr>
          <w:p w14:paraId="42A0ECA1">
            <w:pPr>
              <w:spacing w:line="473" w:lineRule="auto"/>
              <w:rPr>
                <w:rFonts w:ascii="Arial"/>
                <w:sz w:val="21"/>
              </w:rPr>
            </w:pPr>
          </w:p>
          <w:p w14:paraId="6C71A8CD">
            <w:pPr>
              <w:pStyle w:val="6"/>
              <w:spacing w:before="59" w:line="220" w:lineRule="auto"/>
              <w:ind w:left="18"/>
              <w:rPr>
                <w:sz w:val="18"/>
                <w:szCs w:val="18"/>
              </w:rPr>
            </w:pPr>
            <w:r>
              <w:rPr>
                <w:spacing w:val="8"/>
                <w:sz w:val="18"/>
                <w:szCs w:val="18"/>
              </w:rPr>
              <w:t>1、图形正确30分；</w:t>
            </w:r>
          </w:p>
          <w:p w14:paraId="53E0930F">
            <w:pPr>
              <w:pStyle w:val="6"/>
              <w:spacing w:before="4" w:line="218" w:lineRule="auto"/>
              <w:ind w:left="18"/>
              <w:rPr>
                <w:sz w:val="18"/>
                <w:szCs w:val="18"/>
              </w:rPr>
            </w:pPr>
            <w:r>
              <w:rPr>
                <w:spacing w:val="-2"/>
                <w:sz w:val="18"/>
                <w:szCs w:val="18"/>
              </w:rPr>
              <w:t>2、投影规律(三等关系)</w:t>
            </w:r>
            <w:r>
              <w:rPr>
                <w:spacing w:val="2"/>
                <w:sz w:val="18"/>
                <w:szCs w:val="18"/>
              </w:rPr>
              <w:t xml:space="preserve"> </w:t>
            </w:r>
            <w:r>
              <w:rPr>
                <w:spacing w:val="-8"/>
                <w:sz w:val="18"/>
                <w:szCs w:val="18"/>
              </w:rPr>
              <w:t>2</w:t>
            </w:r>
            <w:r>
              <w:rPr>
                <w:spacing w:val="-33"/>
                <w:sz w:val="18"/>
                <w:szCs w:val="18"/>
              </w:rPr>
              <w:t xml:space="preserve"> </w:t>
            </w:r>
            <w:r>
              <w:rPr>
                <w:spacing w:val="-8"/>
                <w:sz w:val="18"/>
                <w:szCs w:val="18"/>
              </w:rPr>
              <w:t>5</w:t>
            </w:r>
            <w:r>
              <w:rPr>
                <w:spacing w:val="-34"/>
                <w:sz w:val="18"/>
                <w:szCs w:val="18"/>
              </w:rPr>
              <w:t xml:space="preserve"> </w:t>
            </w:r>
            <w:r>
              <w:rPr>
                <w:spacing w:val="-8"/>
                <w:sz w:val="18"/>
                <w:szCs w:val="18"/>
              </w:rPr>
              <w:t>分</w:t>
            </w:r>
            <w:r>
              <w:rPr>
                <w:spacing w:val="-43"/>
                <w:sz w:val="18"/>
                <w:szCs w:val="18"/>
              </w:rPr>
              <w:t xml:space="preserve"> </w:t>
            </w:r>
            <w:r>
              <w:rPr>
                <w:spacing w:val="-8"/>
                <w:sz w:val="18"/>
                <w:szCs w:val="18"/>
              </w:rPr>
              <w:t>；</w:t>
            </w:r>
          </w:p>
          <w:p w14:paraId="3B80AA30">
            <w:pPr>
              <w:pStyle w:val="6"/>
              <w:spacing w:before="13" w:line="224" w:lineRule="auto"/>
              <w:ind w:left="18" w:firstLine="19"/>
              <w:rPr>
                <w:sz w:val="18"/>
                <w:szCs w:val="18"/>
              </w:rPr>
            </w:pPr>
            <w:r>
              <w:rPr>
                <w:spacing w:val="-4"/>
                <w:sz w:val="18"/>
                <w:szCs w:val="18"/>
              </w:rPr>
              <w:t>3、尺寸合理，图线齐匀</w:t>
            </w:r>
            <w:r>
              <w:rPr>
                <w:spacing w:val="3"/>
                <w:sz w:val="18"/>
                <w:szCs w:val="18"/>
              </w:rPr>
              <w:t xml:space="preserve"> </w:t>
            </w:r>
            <w:r>
              <w:rPr>
                <w:spacing w:val="-8"/>
                <w:sz w:val="18"/>
                <w:szCs w:val="18"/>
              </w:rPr>
              <w:t>2</w:t>
            </w:r>
            <w:r>
              <w:rPr>
                <w:spacing w:val="-32"/>
                <w:sz w:val="18"/>
                <w:szCs w:val="18"/>
              </w:rPr>
              <w:t xml:space="preserve"> </w:t>
            </w:r>
            <w:r>
              <w:rPr>
                <w:spacing w:val="-8"/>
                <w:sz w:val="18"/>
                <w:szCs w:val="18"/>
              </w:rPr>
              <w:t>5</w:t>
            </w:r>
            <w:r>
              <w:rPr>
                <w:spacing w:val="-34"/>
                <w:sz w:val="18"/>
                <w:szCs w:val="18"/>
              </w:rPr>
              <w:t xml:space="preserve"> </w:t>
            </w:r>
            <w:r>
              <w:rPr>
                <w:spacing w:val="-8"/>
                <w:sz w:val="18"/>
                <w:szCs w:val="18"/>
              </w:rPr>
              <w:t>分</w:t>
            </w:r>
            <w:r>
              <w:rPr>
                <w:spacing w:val="-43"/>
                <w:sz w:val="18"/>
                <w:szCs w:val="18"/>
              </w:rPr>
              <w:t xml:space="preserve"> </w:t>
            </w:r>
            <w:r>
              <w:rPr>
                <w:spacing w:val="-8"/>
                <w:sz w:val="18"/>
                <w:szCs w:val="18"/>
              </w:rPr>
              <w:t>；</w:t>
            </w:r>
          </w:p>
          <w:p w14:paraId="6EDE3AC0">
            <w:pPr>
              <w:pStyle w:val="6"/>
              <w:spacing w:before="5" w:line="205" w:lineRule="auto"/>
              <w:ind w:left="18"/>
              <w:rPr>
                <w:sz w:val="18"/>
                <w:szCs w:val="18"/>
              </w:rPr>
            </w:pPr>
            <w:r>
              <w:rPr>
                <w:spacing w:val="8"/>
                <w:sz w:val="18"/>
                <w:szCs w:val="18"/>
              </w:rPr>
              <w:t>4、作图轨迹10分；</w:t>
            </w:r>
          </w:p>
          <w:p w14:paraId="18C03269">
            <w:pPr>
              <w:pStyle w:val="6"/>
              <w:spacing w:line="220" w:lineRule="auto"/>
              <w:jc w:val="right"/>
              <w:rPr>
                <w:sz w:val="18"/>
                <w:szCs w:val="18"/>
              </w:rPr>
            </w:pPr>
            <w:r>
              <w:rPr>
                <w:spacing w:val="-2"/>
                <w:sz w:val="18"/>
                <w:szCs w:val="18"/>
              </w:rPr>
              <w:t>5、图面整洁清晰10分。</w:t>
            </w:r>
          </w:p>
        </w:tc>
      </w:tr>
    </w:tbl>
    <w:p w14:paraId="46D07D50">
      <w:pPr>
        <w:pStyle w:val="2"/>
      </w:pPr>
    </w:p>
    <w:p w14:paraId="360A9706">
      <w:pPr>
        <w:spacing w:line="215" w:lineRule="exact"/>
      </w:pPr>
    </w:p>
    <w:p w14:paraId="4083C0A9">
      <w:pPr>
        <w:spacing w:line="215" w:lineRule="exact"/>
        <w:sectPr>
          <w:footerReference r:id="rId125" w:type="default"/>
          <w:pgSz w:w="10660" w:h="15080"/>
          <w:pgMar w:top="400" w:right="880" w:bottom="905" w:left="1014" w:header="0" w:footer="743" w:gutter="0"/>
          <w:cols w:equalWidth="0" w:num="1">
            <w:col w:w="8765"/>
          </w:cols>
        </w:sectPr>
      </w:pPr>
    </w:p>
    <w:p w14:paraId="6D3ABE16">
      <w:pPr>
        <w:pStyle w:val="2"/>
        <w:spacing w:line="402" w:lineRule="auto"/>
      </w:pPr>
    </w:p>
    <w:p w14:paraId="6C69D9E0">
      <w:pPr>
        <w:spacing w:before="87" w:line="221" w:lineRule="auto"/>
        <w:ind w:left="438"/>
        <w:outlineLvl w:val="0"/>
        <w:rPr>
          <w:rFonts w:ascii="黑体" w:hAnsi="黑体" w:eastAsia="黑体" w:cs="黑体"/>
          <w:sz w:val="27"/>
          <w:szCs w:val="27"/>
        </w:rPr>
      </w:pPr>
      <w:bookmarkStart w:id="60" w:name="bookmark46"/>
      <w:bookmarkEnd w:id="60"/>
      <w:bookmarkStart w:id="61" w:name="bookmark21"/>
      <w:bookmarkEnd w:id="61"/>
      <w:r>
        <w:rPr>
          <w:rFonts w:ascii="黑体" w:hAnsi="黑体" w:eastAsia="黑体" w:cs="黑体"/>
          <w:b/>
          <w:bCs/>
          <w:spacing w:val="1"/>
          <w:sz w:val="27"/>
          <w:szCs w:val="27"/>
        </w:rPr>
        <w:t>旅游大类专业技能测试纲要</w:t>
      </w:r>
    </w:p>
    <w:p w14:paraId="5A9C0AAE">
      <w:pPr>
        <w:pStyle w:val="2"/>
        <w:spacing w:line="467" w:lineRule="auto"/>
      </w:pPr>
    </w:p>
    <w:p w14:paraId="71B709B2">
      <w:pPr>
        <w:spacing w:before="78" w:line="219" w:lineRule="auto"/>
        <w:ind w:left="18"/>
        <w:rPr>
          <w:rFonts w:ascii="宋体" w:hAnsi="宋体" w:eastAsia="宋体" w:cs="宋体"/>
          <w:sz w:val="24"/>
          <w:szCs w:val="24"/>
        </w:rPr>
      </w:pPr>
      <w:r>
        <w:rPr>
          <w:rFonts w:ascii="宋体" w:hAnsi="宋体" w:eastAsia="宋体" w:cs="宋体"/>
          <w:b/>
          <w:bCs/>
          <w:spacing w:val="-5"/>
          <w:sz w:val="24"/>
          <w:szCs w:val="24"/>
        </w:rPr>
        <w:t>一、旅游类、餐饮类专业技能测试安排</w:t>
      </w:r>
    </w:p>
    <w:p w14:paraId="410DC60C">
      <w:pPr>
        <w:pStyle w:val="2"/>
        <w:spacing w:line="375" w:lineRule="auto"/>
      </w:pPr>
    </w:p>
    <w:p w14:paraId="1F60BF38">
      <w:pPr>
        <w:spacing w:before="59" w:line="280" w:lineRule="auto"/>
        <w:ind w:left="15" w:right="343" w:firstLine="359"/>
        <w:rPr>
          <w:rFonts w:ascii="宋体" w:hAnsi="宋体" w:eastAsia="宋体" w:cs="宋体"/>
          <w:sz w:val="18"/>
          <w:szCs w:val="18"/>
        </w:rPr>
      </w:pPr>
      <w:r>
        <w:rPr>
          <w:rFonts w:ascii="宋体" w:hAnsi="宋体" w:eastAsia="宋体" w:cs="宋体"/>
          <w:spacing w:val="-5"/>
          <w:sz w:val="18"/>
          <w:szCs w:val="18"/>
        </w:rPr>
        <w:t>本专业技能测试操作满分为250分，招生高等院校</w:t>
      </w:r>
      <w:r>
        <w:rPr>
          <w:rFonts w:ascii="宋体" w:hAnsi="宋体" w:eastAsia="宋体" w:cs="宋体"/>
          <w:spacing w:val="10"/>
          <w:sz w:val="18"/>
          <w:szCs w:val="18"/>
        </w:rPr>
        <w:t xml:space="preserve"> </w:t>
      </w:r>
      <w:r>
        <w:rPr>
          <w:rFonts w:ascii="宋体" w:hAnsi="宋体" w:eastAsia="宋体" w:cs="宋体"/>
          <w:spacing w:val="-5"/>
          <w:sz w:val="18"/>
          <w:szCs w:val="18"/>
        </w:rPr>
        <w:t>可结合各校实际情况，从以下3项目组合中任选一组，</w:t>
      </w:r>
      <w:r>
        <w:rPr>
          <w:rFonts w:ascii="宋体" w:hAnsi="宋体" w:eastAsia="宋体" w:cs="宋体"/>
          <w:spacing w:val="15"/>
          <w:sz w:val="18"/>
          <w:szCs w:val="18"/>
        </w:rPr>
        <w:t xml:space="preserve"> </w:t>
      </w:r>
      <w:r>
        <w:rPr>
          <w:rFonts w:ascii="宋体" w:hAnsi="宋体" w:eastAsia="宋体" w:cs="宋体"/>
          <w:spacing w:val="-11"/>
          <w:sz w:val="18"/>
          <w:szCs w:val="18"/>
        </w:rPr>
        <w:t>要求考生完成操作，具体内容和分值为：</w:t>
      </w:r>
    </w:p>
    <w:p w14:paraId="07F9220B">
      <w:pPr>
        <w:pStyle w:val="2"/>
        <w:spacing w:line="14" w:lineRule="auto"/>
        <w:rPr>
          <w:sz w:val="2"/>
        </w:rPr>
      </w:pPr>
      <w:r>
        <w:rPr>
          <w:sz w:val="2"/>
          <w:szCs w:val="2"/>
        </w:rPr>
        <w:br w:type="column"/>
      </w:r>
    </w:p>
    <w:p w14:paraId="4B0E892A">
      <w:pPr>
        <w:spacing w:before="54" w:line="278" w:lineRule="auto"/>
        <w:ind w:firstLine="380"/>
        <w:jc w:val="both"/>
        <w:rPr>
          <w:rFonts w:ascii="宋体" w:hAnsi="宋体" w:eastAsia="宋体" w:cs="宋体"/>
          <w:sz w:val="18"/>
          <w:szCs w:val="18"/>
        </w:rPr>
      </w:pPr>
      <w:r>
        <w:rPr>
          <w:rFonts w:ascii="宋体" w:hAnsi="宋体" w:eastAsia="宋体" w:cs="宋体"/>
          <w:spacing w:val="4"/>
          <w:sz w:val="18"/>
          <w:szCs w:val="18"/>
        </w:rPr>
        <w:t xml:space="preserve">1.项目一(礼仪展示)(30分)+项目二(中式铺床) </w:t>
      </w:r>
      <w:r>
        <w:rPr>
          <w:rFonts w:ascii="宋体" w:hAnsi="宋体" w:eastAsia="宋体" w:cs="宋体"/>
          <w:spacing w:val="6"/>
          <w:sz w:val="18"/>
          <w:szCs w:val="18"/>
        </w:rPr>
        <w:t>(100分)+项目三(楼层迎送服务)(70分)+项目四(开</w:t>
      </w:r>
      <w:r>
        <w:rPr>
          <w:rFonts w:ascii="宋体" w:hAnsi="宋体" w:eastAsia="宋体" w:cs="宋体"/>
          <w:spacing w:val="12"/>
          <w:sz w:val="18"/>
          <w:szCs w:val="18"/>
        </w:rPr>
        <w:t xml:space="preserve"> </w:t>
      </w:r>
      <w:r>
        <w:rPr>
          <w:rFonts w:ascii="宋体" w:hAnsi="宋体" w:eastAsia="宋体" w:cs="宋体"/>
          <w:spacing w:val="26"/>
          <w:sz w:val="18"/>
          <w:szCs w:val="18"/>
        </w:rPr>
        <w:t>夜床)(50分)</w:t>
      </w:r>
    </w:p>
    <w:p w14:paraId="4F5A9B60">
      <w:pPr>
        <w:spacing w:before="34" w:line="289" w:lineRule="auto"/>
        <w:ind w:right="28" w:firstLine="380"/>
        <w:jc w:val="both"/>
        <w:rPr>
          <w:rFonts w:ascii="宋体" w:hAnsi="宋体" w:eastAsia="宋体" w:cs="宋体"/>
          <w:sz w:val="18"/>
          <w:szCs w:val="18"/>
        </w:rPr>
      </w:pPr>
      <w:r>
        <w:rPr>
          <w:rFonts w:ascii="宋体" w:hAnsi="宋体" w:eastAsia="宋体" w:cs="宋体"/>
          <w:spacing w:val="12"/>
          <w:sz w:val="18"/>
          <w:szCs w:val="18"/>
        </w:rPr>
        <w:t>2.项目一</w:t>
      </w:r>
      <w:r>
        <w:rPr>
          <w:rFonts w:ascii="宋体" w:hAnsi="宋体" w:eastAsia="宋体" w:cs="宋体"/>
          <w:spacing w:val="-28"/>
          <w:sz w:val="18"/>
          <w:szCs w:val="18"/>
        </w:rPr>
        <w:t xml:space="preserve"> </w:t>
      </w:r>
      <w:r>
        <w:rPr>
          <w:rFonts w:ascii="宋体" w:hAnsi="宋体" w:eastAsia="宋体" w:cs="宋体"/>
          <w:spacing w:val="12"/>
          <w:sz w:val="18"/>
          <w:szCs w:val="18"/>
        </w:rPr>
        <w:t>(礼仪展示)(30分)+项目五(中餐宴</w:t>
      </w:r>
      <w:r>
        <w:rPr>
          <w:rFonts w:ascii="宋体" w:hAnsi="宋体" w:eastAsia="宋体" w:cs="宋体"/>
          <w:sz w:val="18"/>
          <w:szCs w:val="18"/>
        </w:rPr>
        <w:t xml:space="preserve"> </w:t>
      </w:r>
      <w:r>
        <w:rPr>
          <w:rFonts w:ascii="宋体" w:hAnsi="宋体" w:eastAsia="宋体" w:cs="宋体"/>
          <w:spacing w:val="13"/>
          <w:sz w:val="18"/>
          <w:szCs w:val="18"/>
        </w:rPr>
        <w:t>会摆台)(100分)+项目六(中餐托盘斟酒服务)(70</w:t>
      </w:r>
      <w:r>
        <w:rPr>
          <w:rFonts w:ascii="宋体" w:hAnsi="宋体" w:eastAsia="宋体" w:cs="宋体"/>
          <w:spacing w:val="17"/>
          <w:sz w:val="18"/>
          <w:szCs w:val="18"/>
        </w:rPr>
        <w:t xml:space="preserve"> </w:t>
      </w:r>
      <w:r>
        <w:rPr>
          <w:rFonts w:ascii="宋体" w:hAnsi="宋体" w:eastAsia="宋体" w:cs="宋体"/>
          <w:spacing w:val="18"/>
          <w:sz w:val="18"/>
          <w:szCs w:val="18"/>
        </w:rPr>
        <w:t>分)+项目七(上菜、分菜)(50分)</w:t>
      </w:r>
    </w:p>
    <w:p w14:paraId="20B47E25">
      <w:pPr>
        <w:spacing w:before="26" w:line="284" w:lineRule="auto"/>
        <w:ind w:right="30" w:firstLine="380"/>
        <w:rPr>
          <w:rFonts w:ascii="宋体" w:hAnsi="宋体" w:eastAsia="宋体" w:cs="宋体"/>
          <w:sz w:val="18"/>
          <w:szCs w:val="18"/>
        </w:rPr>
      </w:pPr>
      <w:r>
        <w:rPr>
          <w:rFonts w:ascii="宋体" w:hAnsi="宋体" w:eastAsia="宋体" w:cs="宋体"/>
          <w:spacing w:val="12"/>
          <w:sz w:val="18"/>
          <w:szCs w:val="18"/>
        </w:rPr>
        <w:t>3.项目一</w:t>
      </w:r>
      <w:r>
        <w:rPr>
          <w:rFonts w:ascii="宋体" w:hAnsi="宋体" w:eastAsia="宋体" w:cs="宋体"/>
          <w:spacing w:val="-30"/>
          <w:sz w:val="18"/>
          <w:szCs w:val="18"/>
        </w:rPr>
        <w:t xml:space="preserve"> </w:t>
      </w:r>
      <w:r>
        <w:rPr>
          <w:rFonts w:ascii="宋体" w:hAnsi="宋体" w:eastAsia="宋体" w:cs="宋体"/>
          <w:spacing w:val="12"/>
          <w:sz w:val="18"/>
          <w:szCs w:val="18"/>
        </w:rPr>
        <w:t>(礼仪展示)(30分)+项目八(导游景</w:t>
      </w:r>
      <w:r>
        <w:rPr>
          <w:rFonts w:ascii="宋体" w:hAnsi="宋体" w:eastAsia="宋体" w:cs="宋体"/>
          <w:sz w:val="18"/>
          <w:szCs w:val="18"/>
        </w:rPr>
        <w:t xml:space="preserve"> </w:t>
      </w:r>
      <w:r>
        <w:rPr>
          <w:rFonts w:ascii="宋体" w:hAnsi="宋体" w:eastAsia="宋体" w:cs="宋体"/>
          <w:spacing w:val="19"/>
          <w:sz w:val="18"/>
          <w:szCs w:val="18"/>
        </w:rPr>
        <w:t>点讲解)(220分)</w:t>
      </w:r>
    </w:p>
    <w:p w14:paraId="1CDBDD62">
      <w:pPr>
        <w:spacing w:before="25" w:line="219" w:lineRule="auto"/>
        <w:ind w:left="3"/>
        <w:rPr>
          <w:rFonts w:ascii="宋体" w:hAnsi="宋体" w:eastAsia="宋体" w:cs="宋体"/>
          <w:sz w:val="24"/>
          <w:szCs w:val="24"/>
        </w:rPr>
      </w:pPr>
      <w:r>
        <w:rPr>
          <w:rFonts w:ascii="宋体" w:hAnsi="宋体" w:eastAsia="宋体" w:cs="宋体"/>
          <w:b/>
          <w:bCs/>
          <w:spacing w:val="-5"/>
          <w:sz w:val="24"/>
          <w:szCs w:val="24"/>
        </w:rPr>
        <w:t>二、餐饮类专业技能测试安排</w:t>
      </w:r>
    </w:p>
    <w:p w14:paraId="6CDAD261">
      <w:pPr>
        <w:spacing w:before="86" w:line="184" w:lineRule="auto"/>
        <w:ind w:left="380"/>
        <w:rPr>
          <w:rFonts w:ascii="宋体" w:hAnsi="宋体" w:eastAsia="宋体" w:cs="宋体"/>
          <w:sz w:val="18"/>
          <w:szCs w:val="18"/>
        </w:rPr>
      </w:pPr>
      <w:r>
        <w:rPr>
          <w:rFonts w:ascii="宋体" w:hAnsi="宋体" w:eastAsia="宋体" w:cs="宋体"/>
          <w:spacing w:val="-5"/>
          <w:sz w:val="18"/>
          <w:szCs w:val="18"/>
        </w:rPr>
        <w:t>本专业技能测试操作满分为250分，招生高等院校</w:t>
      </w:r>
    </w:p>
    <w:p w14:paraId="77BC3330">
      <w:pPr>
        <w:spacing w:line="184" w:lineRule="auto"/>
        <w:rPr>
          <w:rFonts w:ascii="宋体" w:hAnsi="宋体" w:eastAsia="宋体" w:cs="宋体"/>
          <w:sz w:val="18"/>
          <w:szCs w:val="18"/>
        </w:rPr>
        <w:sectPr>
          <w:type w:val="continuous"/>
          <w:pgSz w:w="10660" w:h="15080"/>
          <w:pgMar w:top="400" w:right="880" w:bottom="905" w:left="1014" w:header="0" w:footer="743" w:gutter="0"/>
          <w:cols w:equalWidth="0" w:num="2">
            <w:col w:w="4486" w:space="100"/>
            <w:col w:w="4180"/>
          </w:cols>
        </w:sectPr>
      </w:pPr>
    </w:p>
    <w:p w14:paraId="3E34B7A7">
      <w:pPr>
        <w:spacing w:before="76"/>
      </w:pPr>
    </w:p>
    <w:p w14:paraId="2A880F91">
      <w:pPr>
        <w:spacing w:before="75"/>
      </w:pPr>
    </w:p>
    <w:p w14:paraId="49481445">
      <w:pPr>
        <w:spacing w:before="75"/>
      </w:pPr>
    </w:p>
    <w:p w14:paraId="5D78DAB6">
      <w:pPr>
        <w:sectPr>
          <w:footerReference r:id="rId126" w:type="default"/>
          <w:pgSz w:w="10660" w:h="15080"/>
          <w:pgMar w:top="400" w:right="1025" w:bottom="905" w:left="819" w:header="0" w:footer="743" w:gutter="0"/>
          <w:cols w:equalWidth="0" w:num="1">
            <w:col w:w="8815"/>
          </w:cols>
        </w:sectPr>
      </w:pPr>
    </w:p>
    <w:p w14:paraId="45FB4B0A">
      <w:pPr>
        <w:spacing w:before="35" w:line="315" w:lineRule="auto"/>
        <w:ind w:left="49" w:right="380"/>
        <w:rPr>
          <w:rFonts w:ascii="宋体" w:hAnsi="宋体" w:eastAsia="宋体" w:cs="宋体"/>
          <w:sz w:val="16"/>
          <w:szCs w:val="16"/>
        </w:rPr>
      </w:pPr>
      <w:r>
        <w:rPr>
          <w:rFonts w:ascii="宋体" w:hAnsi="宋体" w:eastAsia="宋体" w:cs="宋体"/>
          <w:spacing w:val="-5"/>
          <w:sz w:val="18"/>
          <w:szCs w:val="18"/>
        </w:rPr>
        <w:t>可结合各校实际情况，从以下4项目组合中任选一组要</w:t>
      </w:r>
      <w:r>
        <w:rPr>
          <w:rFonts w:ascii="宋体" w:hAnsi="宋体" w:eastAsia="宋体" w:cs="宋体"/>
          <w:spacing w:val="18"/>
          <w:sz w:val="18"/>
          <w:szCs w:val="18"/>
        </w:rPr>
        <w:t xml:space="preserve"> </w:t>
      </w:r>
      <w:r>
        <w:rPr>
          <w:rFonts w:ascii="宋体" w:hAnsi="宋体" w:eastAsia="宋体" w:cs="宋体"/>
          <w:spacing w:val="8"/>
          <w:sz w:val="16"/>
          <w:szCs w:val="16"/>
        </w:rPr>
        <w:t>求考生完成操作，内容和分值为：</w:t>
      </w:r>
    </w:p>
    <w:p w14:paraId="5D40965F">
      <w:pPr>
        <w:spacing w:line="305" w:lineRule="auto"/>
        <w:ind w:left="49" w:right="350" w:firstLine="400"/>
        <w:rPr>
          <w:rFonts w:ascii="宋体" w:hAnsi="宋体" w:eastAsia="宋体" w:cs="宋体"/>
          <w:sz w:val="18"/>
          <w:szCs w:val="18"/>
        </w:rPr>
      </w:pPr>
      <w:r>
        <w:rPr>
          <w:rFonts w:ascii="宋体" w:hAnsi="宋体" w:eastAsia="宋体" w:cs="宋体"/>
          <w:spacing w:val="2"/>
          <w:sz w:val="18"/>
          <w:szCs w:val="18"/>
        </w:rPr>
        <w:t>1.项目九(中式烹饪基本功)(100分)+项目十(中</w:t>
      </w:r>
      <w:r>
        <w:rPr>
          <w:rFonts w:ascii="宋体" w:hAnsi="宋体" w:eastAsia="宋体" w:cs="宋体"/>
          <w:spacing w:val="16"/>
          <w:sz w:val="18"/>
          <w:szCs w:val="18"/>
        </w:rPr>
        <w:t xml:space="preserve"> </w:t>
      </w:r>
      <w:r>
        <w:rPr>
          <w:rFonts w:ascii="宋体" w:hAnsi="宋体" w:eastAsia="宋体" w:cs="宋体"/>
          <w:spacing w:val="11"/>
          <w:sz w:val="18"/>
          <w:szCs w:val="18"/>
        </w:rPr>
        <w:t>式烹饪热菜制作)(150分)</w:t>
      </w:r>
    </w:p>
    <w:p w14:paraId="52160569">
      <w:pPr>
        <w:spacing w:before="5" w:line="236" w:lineRule="auto"/>
        <w:ind w:left="49" w:right="350" w:firstLine="380"/>
        <w:rPr>
          <w:rFonts w:ascii="宋体" w:hAnsi="宋体" w:eastAsia="宋体" w:cs="宋体"/>
          <w:sz w:val="18"/>
          <w:szCs w:val="18"/>
        </w:rPr>
      </w:pPr>
      <w:r>
        <w:rPr>
          <w:rFonts w:ascii="宋体" w:hAnsi="宋体" w:eastAsia="宋体" w:cs="宋体"/>
          <w:spacing w:val="-4"/>
          <w:sz w:val="18"/>
          <w:szCs w:val="18"/>
        </w:rPr>
        <w:t>2.项目九(中式烹饪基本功)(100分)+项目十二(中</w:t>
      </w:r>
      <w:r>
        <w:rPr>
          <w:rFonts w:ascii="宋体" w:hAnsi="宋体" w:eastAsia="宋体" w:cs="宋体"/>
          <w:spacing w:val="16"/>
          <w:sz w:val="18"/>
          <w:szCs w:val="18"/>
        </w:rPr>
        <w:t xml:space="preserve"> </w:t>
      </w:r>
      <w:r>
        <w:rPr>
          <w:rFonts w:ascii="宋体" w:hAnsi="宋体" w:eastAsia="宋体" w:cs="宋体"/>
          <w:spacing w:val="11"/>
          <w:sz w:val="18"/>
          <w:szCs w:val="18"/>
        </w:rPr>
        <w:t>式面点点心制作)(150分)</w:t>
      </w:r>
    </w:p>
    <w:p w14:paraId="443FA38D">
      <w:pPr>
        <w:pStyle w:val="2"/>
        <w:spacing w:line="14" w:lineRule="auto"/>
        <w:rPr>
          <w:sz w:val="2"/>
        </w:rPr>
      </w:pPr>
      <w:r>
        <w:rPr>
          <w:sz w:val="2"/>
          <w:szCs w:val="2"/>
        </w:rPr>
        <w:br w:type="column"/>
      </w:r>
    </w:p>
    <w:p w14:paraId="26E1EFB5">
      <w:pPr>
        <w:spacing w:before="53" w:line="285" w:lineRule="auto"/>
        <w:ind w:right="15" w:firstLine="359"/>
        <w:rPr>
          <w:rFonts w:ascii="宋体" w:hAnsi="宋体" w:eastAsia="宋体" w:cs="宋体"/>
          <w:sz w:val="18"/>
          <w:szCs w:val="18"/>
        </w:rPr>
      </w:pPr>
      <w:r>
        <w:rPr>
          <w:rFonts w:ascii="宋体" w:hAnsi="宋体" w:eastAsia="宋体" w:cs="宋体"/>
          <w:spacing w:val="-4"/>
          <w:sz w:val="18"/>
          <w:szCs w:val="18"/>
        </w:rPr>
        <w:t>3.项目十一(中式面点基本功)(100分)+项目十(中</w:t>
      </w:r>
      <w:r>
        <w:rPr>
          <w:rFonts w:ascii="宋体" w:hAnsi="宋体" w:eastAsia="宋体" w:cs="宋体"/>
          <w:spacing w:val="16"/>
          <w:sz w:val="18"/>
          <w:szCs w:val="18"/>
        </w:rPr>
        <w:t xml:space="preserve"> </w:t>
      </w:r>
      <w:r>
        <w:rPr>
          <w:rFonts w:ascii="宋体" w:hAnsi="宋体" w:eastAsia="宋体" w:cs="宋体"/>
          <w:spacing w:val="10"/>
          <w:sz w:val="18"/>
          <w:szCs w:val="18"/>
        </w:rPr>
        <w:t>式烹饪热菜制作)(150分)</w:t>
      </w:r>
    </w:p>
    <w:p w14:paraId="089000A1">
      <w:pPr>
        <w:spacing w:before="14" w:line="296" w:lineRule="auto"/>
        <w:ind w:firstLine="359"/>
        <w:rPr>
          <w:rFonts w:ascii="宋体" w:hAnsi="宋体" w:eastAsia="宋体" w:cs="宋体"/>
          <w:sz w:val="18"/>
          <w:szCs w:val="18"/>
        </w:rPr>
      </w:pPr>
      <w:r>
        <w:rPr>
          <w:rFonts w:ascii="宋体" w:hAnsi="宋体" w:eastAsia="宋体" w:cs="宋体"/>
          <w:spacing w:val="13"/>
          <w:sz w:val="18"/>
          <w:szCs w:val="18"/>
        </w:rPr>
        <w:t>4.项目十一</w:t>
      </w:r>
      <w:r>
        <w:rPr>
          <w:rFonts w:ascii="宋体" w:hAnsi="宋体" w:eastAsia="宋体" w:cs="宋体"/>
          <w:spacing w:val="-29"/>
          <w:sz w:val="18"/>
          <w:szCs w:val="18"/>
        </w:rPr>
        <w:t xml:space="preserve"> </w:t>
      </w:r>
      <w:r>
        <w:rPr>
          <w:rFonts w:ascii="宋体" w:hAnsi="宋体" w:eastAsia="宋体" w:cs="宋体"/>
          <w:spacing w:val="13"/>
          <w:sz w:val="18"/>
          <w:szCs w:val="18"/>
        </w:rPr>
        <w:t>(中式面点基本功)(100分)+项目</w:t>
      </w:r>
      <w:r>
        <w:rPr>
          <w:rFonts w:ascii="宋体" w:hAnsi="宋体" w:eastAsia="宋体" w:cs="宋体"/>
          <w:sz w:val="18"/>
          <w:szCs w:val="18"/>
        </w:rPr>
        <w:t xml:space="preserve"> </w:t>
      </w:r>
      <w:r>
        <w:rPr>
          <w:rFonts w:ascii="宋体" w:hAnsi="宋体" w:eastAsia="宋体" w:cs="宋体"/>
          <w:spacing w:val="11"/>
          <w:sz w:val="18"/>
          <w:szCs w:val="18"/>
        </w:rPr>
        <w:t>十二(中式面点点心制作)(150分)</w:t>
      </w:r>
    </w:p>
    <w:p w14:paraId="437B5275">
      <w:pPr>
        <w:spacing w:before="13" w:line="220" w:lineRule="auto"/>
        <w:ind w:left="3"/>
        <w:rPr>
          <w:rFonts w:ascii="宋体" w:hAnsi="宋体" w:eastAsia="宋体" w:cs="宋体"/>
          <w:sz w:val="23"/>
          <w:szCs w:val="23"/>
        </w:rPr>
      </w:pPr>
      <w:r>
        <w:rPr>
          <w:rFonts w:ascii="宋体" w:hAnsi="宋体" w:eastAsia="宋体" w:cs="宋体"/>
          <w:b/>
          <w:bCs/>
          <w:spacing w:val="-2"/>
          <w:sz w:val="23"/>
          <w:szCs w:val="23"/>
        </w:rPr>
        <w:t>三、测试项目</w:t>
      </w:r>
    </w:p>
    <w:p w14:paraId="31DACCFB">
      <w:pPr>
        <w:spacing w:line="220" w:lineRule="auto"/>
        <w:rPr>
          <w:rFonts w:ascii="宋体" w:hAnsi="宋体" w:eastAsia="宋体" w:cs="宋体"/>
          <w:sz w:val="23"/>
          <w:szCs w:val="23"/>
        </w:rPr>
        <w:sectPr>
          <w:type w:val="continuous"/>
          <w:pgSz w:w="10660" w:h="15080"/>
          <w:pgMar w:top="400" w:right="1025" w:bottom="905" w:left="819" w:header="0" w:footer="743" w:gutter="0"/>
          <w:cols w:equalWidth="0" w:num="2">
            <w:col w:w="4561" w:space="100"/>
            <w:col w:w="4155"/>
          </w:cols>
        </w:sectPr>
      </w:pPr>
    </w:p>
    <w:p w14:paraId="0F70FABB">
      <w:pPr>
        <w:spacing w:before="46"/>
      </w:pPr>
    </w:p>
    <w:tbl>
      <w:tblPr>
        <w:tblStyle w:val="5"/>
        <w:tblW w:w="8709"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74"/>
        <w:gridCol w:w="839"/>
        <w:gridCol w:w="1348"/>
        <w:gridCol w:w="859"/>
        <w:gridCol w:w="2647"/>
        <w:gridCol w:w="2142"/>
      </w:tblGrid>
      <w:tr w14:paraId="63AB78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10" w:hRule="atLeast"/>
        </w:trPr>
        <w:tc>
          <w:tcPr>
            <w:tcW w:w="874" w:type="dxa"/>
            <w:tcBorders>
              <w:top w:val="single" w:color="000000" w:sz="2" w:space="0"/>
              <w:bottom w:val="single" w:color="000000" w:sz="2" w:space="0"/>
            </w:tcBorders>
            <w:vAlign w:val="top"/>
          </w:tcPr>
          <w:p w14:paraId="2ACCE383">
            <w:pPr>
              <w:pStyle w:val="6"/>
              <w:spacing w:before="165" w:line="220" w:lineRule="auto"/>
              <w:ind w:left="47"/>
              <w:rPr>
                <w:sz w:val="19"/>
                <w:szCs w:val="19"/>
              </w:rPr>
            </w:pPr>
            <w:r>
              <w:rPr>
                <w:b/>
                <w:bCs/>
                <w:spacing w:val="5"/>
                <w:sz w:val="19"/>
                <w:szCs w:val="19"/>
              </w:rPr>
              <w:t>测试项目</w:t>
            </w:r>
          </w:p>
        </w:tc>
        <w:tc>
          <w:tcPr>
            <w:tcW w:w="839" w:type="dxa"/>
            <w:tcBorders>
              <w:top w:val="single" w:color="000000" w:sz="2" w:space="0"/>
              <w:bottom w:val="single" w:color="000000" w:sz="2" w:space="0"/>
            </w:tcBorders>
            <w:vAlign w:val="top"/>
          </w:tcPr>
          <w:p w14:paraId="1BCBBE3A">
            <w:pPr>
              <w:pStyle w:val="6"/>
              <w:spacing w:before="166" w:line="221" w:lineRule="auto"/>
              <w:ind w:left="33"/>
              <w:rPr>
                <w:sz w:val="19"/>
                <w:szCs w:val="19"/>
              </w:rPr>
            </w:pPr>
            <w:r>
              <w:rPr>
                <w:b/>
                <w:bCs/>
                <w:spacing w:val="-4"/>
                <w:sz w:val="19"/>
                <w:szCs w:val="19"/>
              </w:rPr>
              <w:t>测试用具</w:t>
            </w:r>
          </w:p>
        </w:tc>
        <w:tc>
          <w:tcPr>
            <w:tcW w:w="1348" w:type="dxa"/>
            <w:tcBorders>
              <w:top w:val="single" w:color="000000" w:sz="2" w:space="0"/>
              <w:bottom w:val="single" w:color="000000" w:sz="2" w:space="0"/>
            </w:tcBorders>
            <w:vAlign w:val="top"/>
          </w:tcPr>
          <w:p w14:paraId="7B17098F">
            <w:pPr>
              <w:pStyle w:val="6"/>
              <w:spacing w:before="165" w:line="219" w:lineRule="auto"/>
              <w:ind w:left="344"/>
              <w:rPr>
                <w:sz w:val="19"/>
                <w:szCs w:val="19"/>
              </w:rPr>
            </w:pPr>
            <w:r>
              <w:rPr>
                <w:b/>
                <w:bCs/>
                <w:spacing w:val="-4"/>
                <w:sz w:val="19"/>
                <w:szCs w:val="19"/>
              </w:rPr>
              <w:t>测试内容</w:t>
            </w:r>
          </w:p>
        </w:tc>
        <w:tc>
          <w:tcPr>
            <w:tcW w:w="859" w:type="dxa"/>
            <w:tcBorders>
              <w:top w:val="single" w:color="000000" w:sz="2" w:space="0"/>
              <w:bottom w:val="single" w:color="000000" w:sz="2" w:space="0"/>
            </w:tcBorders>
            <w:vAlign w:val="top"/>
          </w:tcPr>
          <w:p w14:paraId="595FFB3B">
            <w:pPr>
              <w:pStyle w:val="6"/>
              <w:spacing w:before="166" w:line="221" w:lineRule="auto"/>
              <w:ind w:left="46"/>
              <w:rPr>
                <w:sz w:val="19"/>
                <w:szCs w:val="19"/>
              </w:rPr>
            </w:pPr>
            <w:r>
              <w:rPr>
                <w:b/>
                <w:bCs/>
                <w:spacing w:val="-4"/>
                <w:sz w:val="19"/>
                <w:szCs w:val="19"/>
              </w:rPr>
              <w:t>测试方法</w:t>
            </w:r>
          </w:p>
        </w:tc>
        <w:tc>
          <w:tcPr>
            <w:tcW w:w="2647" w:type="dxa"/>
            <w:tcBorders>
              <w:top w:val="single" w:color="000000" w:sz="2" w:space="0"/>
              <w:bottom w:val="single" w:color="000000" w:sz="2" w:space="0"/>
            </w:tcBorders>
            <w:vAlign w:val="top"/>
          </w:tcPr>
          <w:p w14:paraId="543AE939">
            <w:pPr>
              <w:pStyle w:val="6"/>
              <w:spacing w:before="166" w:line="221" w:lineRule="auto"/>
              <w:ind w:left="1007"/>
              <w:rPr>
                <w:sz w:val="19"/>
                <w:szCs w:val="19"/>
              </w:rPr>
            </w:pPr>
            <w:r>
              <w:rPr>
                <w:b/>
                <w:bCs/>
                <w:spacing w:val="-4"/>
                <w:sz w:val="19"/>
                <w:szCs w:val="19"/>
              </w:rPr>
              <w:t>测试要求</w:t>
            </w:r>
          </w:p>
        </w:tc>
        <w:tc>
          <w:tcPr>
            <w:tcW w:w="2142" w:type="dxa"/>
            <w:tcBorders>
              <w:top w:val="single" w:color="000000" w:sz="2" w:space="0"/>
              <w:bottom w:val="single" w:color="000000" w:sz="2" w:space="0"/>
            </w:tcBorders>
            <w:vAlign w:val="top"/>
          </w:tcPr>
          <w:p w14:paraId="3810C291">
            <w:pPr>
              <w:pStyle w:val="6"/>
              <w:spacing w:before="165" w:line="219" w:lineRule="auto"/>
              <w:ind w:left="730"/>
              <w:rPr>
                <w:sz w:val="19"/>
                <w:szCs w:val="19"/>
              </w:rPr>
            </w:pPr>
            <w:r>
              <w:rPr>
                <w:b/>
                <w:bCs/>
                <w:spacing w:val="-4"/>
                <w:sz w:val="19"/>
                <w:szCs w:val="19"/>
              </w:rPr>
              <w:t>赋分参考</w:t>
            </w:r>
          </w:p>
        </w:tc>
      </w:tr>
      <w:tr w14:paraId="08A2E7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33" w:hRule="atLeast"/>
        </w:trPr>
        <w:tc>
          <w:tcPr>
            <w:tcW w:w="874" w:type="dxa"/>
            <w:tcBorders>
              <w:top w:val="single" w:color="000000" w:sz="2" w:space="0"/>
              <w:bottom w:val="single" w:color="000000" w:sz="2" w:space="0"/>
            </w:tcBorders>
            <w:vAlign w:val="top"/>
          </w:tcPr>
          <w:p w14:paraId="3B275F4B">
            <w:pPr>
              <w:spacing w:line="275" w:lineRule="auto"/>
              <w:rPr>
                <w:rFonts w:ascii="Arial"/>
                <w:sz w:val="21"/>
              </w:rPr>
            </w:pPr>
          </w:p>
          <w:p w14:paraId="68919D61">
            <w:pPr>
              <w:spacing w:line="275" w:lineRule="auto"/>
              <w:rPr>
                <w:rFonts w:ascii="Arial"/>
                <w:sz w:val="21"/>
              </w:rPr>
            </w:pPr>
          </w:p>
          <w:p w14:paraId="18B0A819">
            <w:pPr>
              <w:spacing w:line="276" w:lineRule="auto"/>
              <w:rPr>
                <w:rFonts w:ascii="Arial"/>
                <w:sz w:val="21"/>
              </w:rPr>
            </w:pPr>
          </w:p>
          <w:p w14:paraId="6E958ECE">
            <w:pPr>
              <w:pStyle w:val="6"/>
              <w:spacing w:before="62" w:line="216" w:lineRule="auto"/>
              <w:ind w:left="44" w:right="14" w:firstLine="49"/>
              <w:rPr>
                <w:sz w:val="19"/>
                <w:szCs w:val="19"/>
              </w:rPr>
            </w:pPr>
            <w:r>
              <w:rPr>
                <w:spacing w:val="-2"/>
                <w:sz w:val="19"/>
                <w:szCs w:val="19"/>
              </w:rPr>
              <w:t>项目一：</w:t>
            </w:r>
            <w:r>
              <w:rPr>
                <w:spacing w:val="1"/>
                <w:sz w:val="19"/>
                <w:szCs w:val="19"/>
              </w:rPr>
              <w:t xml:space="preserve"> </w:t>
            </w:r>
            <w:r>
              <w:rPr>
                <w:spacing w:val="-2"/>
                <w:sz w:val="19"/>
                <w:szCs w:val="19"/>
              </w:rPr>
              <w:t>礼仪展示</w:t>
            </w:r>
          </w:p>
        </w:tc>
        <w:tc>
          <w:tcPr>
            <w:tcW w:w="839" w:type="dxa"/>
            <w:tcBorders>
              <w:top w:val="single" w:color="000000" w:sz="2" w:space="0"/>
              <w:bottom w:val="single" w:color="000000" w:sz="2" w:space="0"/>
            </w:tcBorders>
            <w:vAlign w:val="top"/>
          </w:tcPr>
          <w:p w14:paraId="13728099">
            <w:pPr>
              <w:spacing w:line="308" w:lineRule="auto"/>
              <w:rPr>
                <w:rFonts w:ascii="Arial"/>
                <w:sz w:val="21"/>
              </w:rPr>
            </w:pPr>
          </w:p>
          <w:p w14:paraId="01BA4CE4">
            <w:pPr>
              <w:spacing w:line="308" w:lineRule="auto"/>
              <w:rPr>
                <w:rFonts w:ascii="Arial"/>
                <w:sz w:val="21"/>
              </w:rPr>
            </w:pPr>
          </w:p>
          <w:p w14:paraId="2BB660DA">
            <w:pPr>
              <w:spacing w:line="308" w:lineRule="auto"/>
              <w:rPr>
                <w:rFonts w:ascii="Arial"/>
                <w:sz w:val="21"/>
              </w:rPr>
            </w:pPr>
          </w:p>
          <w:p w14:paraId="1F87152B">
            <w:pPr>
              <w:pStyle w:val="6"/>
              <w:spacing w:before="62" w:line="205" w:lineRule="auto"/>
              <w:ind w:left="121"/>
              <w:rPr>
                <w:sz w:val="19"/>
                <w:szCs w:val="19"/>
              </w:rPr>
            </w:pPr>
            <w:r>
              <w:rPr>
                <w:spacing w:val="-3"/>
                <w:sz w:val="19"/>
                <w:szCs w:val="19"/>
              </w:rPr>
              <w:t>工号牌</w:t>
            </w:r>
          </w:p>
          <w:p w14:paraId="3C4007BA">
            <w:pPr>
              <w:pStyle w:val="6"/>
              <w:spacing w:line="220" w:lineRule="auto"/>
              <w:ind w:left="221"/>
              <w:rPr>
                <w:sz w:val="19"/>
                <w:szCs w:val="19"/>
              </w:rPr>
            </w:pPr>
            <w:r>
              <w:rPr>
                <w:spacing w:val="7"/>
                <w:sz w:val="19"/>
                <w:szCs w:val="19"/>
              </w:rPr>
              <w:t>名片</w:t>
            </w:r>
          </w:p>
        </w:tc>
        <w:tc>
          <w:tcPr>
            <w:tcW w:w="1348" w:type="dxa"/>
            <w:tcBorders>
              <w:top w:val="single" w:color="000000" w:sz="2" w:space="0"/>
              <w:bottom w:val="single" w:color="000000" w:sz="2" w:space="0"/>
            </w:tcBorders>
            <w:vAlign w:val="top"/>
          </w:tcPr>
          <w:p w14:paraId="6EADDD11">
            <w:pPr>
              <w:spacing w:line="259" w:lineRule="auto"/>
              <w:rPr>
                <w:rFonts w:ascii="Arial"/>
                <w:sz w:val="21"/>
              </w:rPr>
            </w:pPr>
          </w:p>
          <w:p w14:paraId="7B46F044">
            <w:pPr>
              <w:pStyle w:val="6"/>
              <w:spacing w:before="62" w:line="214" w:lineRule="auto"/>
              <w:ind w:left="12" w:firstLine="74"/>
              <w:rPr>
                <w:sz w:val="19"/>
                <w:szCs w:val="19"/>
              </w:rPr>
            </w:pPr>
            <w:r>
              <w:rPr>
                <w:spacing w:val="-20"/>
                <w:sz w:val="19"/>
                <w:szCs w:val="19"/>
              </w:rPr>
              <w:t>(1)仪容、仪表、</w:t>
            </w:r>
            <w:r>
              <w:rPr>
                <w:spacing w:val="5"/>
                <w:sz w:val="19"/>
                <w:szCs w:val="19"/>
              </w:rPr>
              <w:t xml:space="preserve"> </w:t>
            </w:r>
            <w:r>
              <w:rPr>
                <w:spacing w:val="-9"/>
                <w:sz w:val="19"/>
                <w:szCs w:val="19"/>
              </w:rPr>
              <w:t>鞠躬礼、问候用</w:t>
            </w:r>
            <w:r>
              <w:rPr>
                <w:sz w:val="19"/>
                <w:szCs w:val="19"/>
              </w:rPr>
              <w:t xml:space="preserve"> </w:t>
            </w:r>
            <w:r>
              <w:rPr>
                <w:spacing w:val="1"/>
                <w:sz w:val="19"/>
                <w:szCs w:val="19"/>
              </w:rPr>
              <w:t>语和自我介绍</w:t>
            </w:r>
          </w:p>
          <w:p w14:paraId="2C85085E">
            <w:pPr>
              <w:pStyle w:val="6"/>
              <w:spacing w:line="220" w:lineRule="auto"/>
              <w:ind w:left="81"/>
              <w:rPr>
                <w:sz w:val="19"/>
                <w:szCs w:val="19"/>
              </w:rPr>
            </w:pPr>
            <w:r>
              <w:rPr>
                <w:spacing w:val="2"/>
                <w:sz w:val="19"/>
                <w:szCs w:val="19"/>
              </w:rPr>
              <w:t>(2)走姿</w:t>
            </w:r>
          </w:p>
          <w:p w14:paraId="5E9FCA2E">
            <w:pPr>
              <w:pStyle w:val="6"/>
              <w:spacing w:before="12" w:line="204" w:lineRule="auto"/>
              <w:ind w:left="81"/>
              <w:rPr>
                <w:sz w:val="19"/>
                <w:szCs w:val="19"/>
              </w:rPr>
            </w:pPr>
            <w:r>
              <w:rPr>
                <w:spacing w:val="2"/>
                <w:sz w:val="19"/>
                <w:szCs w:val="19"/>
              </w:rPr>
              <w:t>(3)站姿</w:t>
            </w:r>
          </w:p>
          <w:p w14:paraId="1DA4C6FA">
            <w:pPr>
              <w:pStyle w:val="6"/>
              <w:spacing w:line="202" w:lineRule="auto"/>
              <w:ind w:left="81"/>
              <w:rPr>
                <w:sz w:val="19"/>
                <w:szCs w:val="19"/>
              </w:rPr>
            </w:pPr>
            <w:r>
              <w:rPr>
                <w:spacing w:val="2"/>
                <w:sz w:val="19"/>
                <w:szCs w:val="19"/>
              </w:rPr>
              <w:t>(4)坐姿</w:t>
            </w:r>
          </w:p>
          <w:p w14:paraId="30BD4355">
            <w:pPr>
              <w:pStyle w:val="6"/>
              <w:spacing w:before="1" w:line="219" w:lineRule="auto"/>
              <w:ind w:left="81"/>
              <w:rPr>
                <w:sz w:val="19"/>
                <w:szCs w:val="19"/>
              </w:rPr>
            </w:pPr>
            <w:r>
              <w:rPr>
                <w:spacing w:val="2"/>
                <w:sz w:val="19"/>
                <w:szCs w:val="19"/>
              </w:rPr>
              <w:t>(5)蹲姿</w:t>
            </w:r>
          </w:p>
          <w:p w14:paraId="00B7322D">
            <w:pPr>
              <w:pStyle w:val="6"/>
              <w:spacing w:before="5" w:line="221" w:lineRule="auto"/>
              <w:ind w:right="6"/>
              <w:jc w:val="right"/>
              <w:rPr>
                <w:sz w:val="19"/>
                <w:szCs w:val="19"/>
              </w:rPr>
            </w:pPr>
            <w:r>
              <w:rPr>
                <w:spacing w:val="1"/>
                <w:sz w:val="19"/>
                <w:szCs w:val="19"/>
              </w:rPr>
              <w:t>(6)递物和接物</w:t>
            </w:r>
          </w:p>
        </w:tc>
        <w:tc>
          <w:tcPr>
            <w:tcW w:w="859" w:type="dxa"/>
            <w:tcBorders>
              <w:top w:val="single" w:color="000000" w:sz="2" w:space="0"/>
              <w:bottom w:val="single" w:color="000000" w:sz="2" w:space="0"/>
            </w:tcBorders>
            <w:vAlign w:val="top"/>
          </w:tcPr>
          <w:p w14:paraId="777B7FA4">
            <w:pPr>
              <w:spacing w:line="308" w:lineRule="auto"/>
              <w:rPr>
                <w:rFonts w:ascii="Arial"/>
                <w:sz w:val="21"/>
              </w:rPr>
            </w:pPr>
          </w:p>
          <w:p w14:paraId="4E5264E6">
            <w:pPr>
              <w:spacing w:line="308" w:lineRule="auto"/>
              <w:rPr>
                <w:rFonts w:ascii="Arial"/>
                <w:sz w:val="21"/>
              </w:rPr>
            </w:pPr>
          </w:p>
          <w:p w14:paraId="5EEAB4BE">
            <w:pPr>
              <w:spacing w:line="308" w:lineRule="auto"/>
              <w:rPr>
                <w:rFonts w:ascii="Arial"/>
                <w:sz w:val="21"/>
              </w:rPr>
            </w:pPr>
          </w:p>
          <w:p w14:paraId="6B1B361B">
            <w:pPr>
              <w:pStyle w:val="6"/>
              <w:spacing w:before="61" w:line="212" w:lineRule="auto"/>
              <w:ind w:left="233" w:right="32" w:hanging="190"/>
              <w:rPr>
                <w:sz w:val="19"/>
                <w:szCs w:val="19"/>
              </w:rPr>
            </w:pPr>
            <w:r>
              <w:rPr>
                <w:spacing w:val="3"/>
                <w:sz w:val="19"/>
                <w:szCs w:val="19"/>
              </w:rPr>
              <w:t>现场操作</w:t>
            </w:r>
            <w:r>
              <w:rPr>
                <w:sz w:val="19"/>
                <w:szCs w:val="19"/>
              </w:rPr>
              <w:t xml:space="preserve"> </w:t>
            </w:r>
            <w:r>
              <w:rPr>
                <w:spacing w:val="-2"/>
                <w:sz w:val="19"/>
                <w:szCs w:val="19"/>
              </w:rPr>
              <w:t>考试</w:t>
            </w:r>
          </w:p>
        </w:tc>
        <w:tc>
          <w:tcPr>
            <w:tcW w:w="2647" w:type="dxa"/>
            <w:tcBorders>
              <w:top w:val="single" w:color="000000" w:sz="2" w:space="0"/>
              <w:bottom w:val="single" w:color="000000" w:sz="2" w:space="0"/>
            </w:tcBorders>
            <w:vAlign w:val="top"/>
          </w:tcPr>
          <w:p w14:paraId="5A99E831">
            <w:pPr>
              <w:pStyle w:val="6"/>
              <w:spacing w:before="102" w:line="214" w:lineRule="auto"/>
              <w:ind w:left="24" w:right="152" w:firstLine="70"/>
              <w:rPr>
                <w:sz w:val="19"/>
                <w:szCs w:val="19"/>
              </w:rPr>
            </w:pPr>
            <w:r>
              <w:rPr>
                <w:sz w:val="19"/>
                <w:szCs w:val="19"/>
              </w:rPr>
              <w:t>(1)考试时间：5分钟，准备1</w:t>
            </w:r>
            <w:r>
              <w:rPr>
                <w:spacing w:val="13"/>
                <w:sz w:val="19"/>
                <w:szCs w:val="19"/>
              </w:rPr>
              <w:t xml:space="preserve"> </w:t>
            </w:r>
            <w:r>
              <w:rPr>
                <w:spacing w:val="-1"/>
                <w:sz w:val="19"/>
                <w:szCs w:val="19"/>
              </w:rPr>
              <w:t>分钟(不计入考核时间)。</w:t>
            </w:r>
          </w:p>
          <w:p w14:paraId="7BE70F76">
            <w:pPr>
              <w:pStyle w:val="6"/>
              <w:spacing w:line="213" w:lineRule="auto"/>
              <w:ind w:left="24" w:right="177" w:firstLine="49"/>
              <w:rPr>
                <w:sz w:val="19"/>
                <w:szCs w:val="19"/>
              </w:rPr>
            </w:pPr>
            <w:r>
              <w:rPr>
                <w:sz w:val="19"/>
                <w:szCs w:val="19"/>
              </w:rPr>
              <w:t>(2)考生必须携带准考证和身</w:t>
            </w:r>
            <w:r>
              <w:rPr>
                <w:spacing w:val="8"/>
                <w:sz w:val="19"/>
                <w:szCs w:val="19"/>
              </w:rPr>
              <w:t xml:space="preserve"> </w:t>
            </w:r>
            <w:r>
              <w:rPr>
                <w:spacing w:val="-1"/>
                <w:sz w:val="19"/>
                <w:szCs w:val="19"/>
              </w:rPr>
              <w:t>份证参加考试。</w:t>
            </w:r>
          </w:p>
          <w:p w14:paraId="0BDFCC4A">
            <w:pPr>
              <w:pStyle w:val="6"/>
              <w:spacing w:line="218" w:lineRule="auto"/>
              <w:ind w:left="74"/>
              <w:rPr>
                <w:sz w:val="19"/>
                <w:szCs w:val="19"/>
              </w:rPr>
            </w:pPr>
            <w:r>
              <w:rPr>
                <w:sz w:val="19"/>
                <w:szCs w:val="19"/>
              </w:rPr>
              <w:t>(3)礼仪展示技能考试采用集</w:t>
            </w:r>
          </w:p>
          <w:p w14:paraId="14385AF7">
            <w:pPr>
              <w:pStyle w:val="6"/>
              <w:spacing w:before="6" w:line="210" w:lineRule="auto"/>
              <w:ind w:left="14"/>
              <w:rPr>
                <w:sz w:val="19"/>
                <w:szCs w:val="19"/>
              </w:rPr>
            </w:pPr>
            <w:r>
              <w:rPr>
                <w:spacing w:val="-8"/>
                <w:sz w:val="19"/>
                <w:szCs w:val="19"/>
              </w:rPr>
              <w:t>体展示与个人依次展示相结合的</w:t>
            </w:r>
            <w:r>
              <w:rPr>
                <w:spacing w:val="10"/>
                <w:sz w:val="19"/>
                <w:szCs w:val="19"/>
              </w:rPr>
              <w:t xml:space="preserve"> </w:t>
            </w:r>
            <w:r>
              <w:rPr>
                <w:spacing w:val="-9"/>
                <w:sz w:val="19"/>
                <w:szCs w:val="19"/>
              </w:rPr>
              <w:t>形式，以抽签号为序，8人一组。</w:t>
            </w:r>
            <w:r>
              <w:rPr>
                <w:spacing w:val="1"/>
                <w:sz w:val="19"/>
                <w:szCs w:val="19"/>
              </w:rPr>
              <w:t xml:space="preserve"> </w:t>
            </w:r>
            <w:r>
              <w:rPr>
                <w:spacing w:val="-1"/>
                <w:sz w:val="19"/>
                <w:szCs w:val="19"/>
              </w:rPr>
              <w:t>(4)站姿礼仪采用集体展示，</w:t>
            </w:r>
          </w:p>
          <w:p w14:paraId="269F8D98">
            <w:pPr>
              <w:pStyle w:val="6"/>
              <w:spacing w:before="1" w:line="221" w:lineRule="auto"/>
              <w:ind w:left="24" w:firstLine="9"/>
              <w:rPr>
                <w:sz w:val="19"/>
                <w:szCs w:val="19"/>
              </w:rPr>
            </w:pPr>
            <w:r>
              <w:rPr>
                <w:spacing w:val="-5"/>
                <w:sz w:val="19"/>
                <w:szCs w:val="19"/>
              </w:rPr>
              <w:t>并采用“侧放式”手位站姿。其</w:t>
            </w:r>
            <w:r>
              <w:rPr>
                <w:spacing w:val="11"/>
                <w:sz w:val="19"/>
                <w:szCs w:val="19"/>
              </w:rPr>
              <w:t xml:space="preserve"> </w:t>
            </w:r>
            <w:r>
              <w:rPr>
                <w:spacing w:val="-1"/>
                <w:sz w:val="19"/>
                <w:szCs w:val="19"/>
              </w:rPr>
              <w:t>他礼仪均为个人展示。</w:t>
            </w:r>
          </w:p>
        </w:tc>
        <w:tc>
          <w:tcPr>
            <w:tcW w:w="2142" w:type="dxa"/>
            <w:tcBorders>
              <w:top w:val="single" w:color="000000" w:sz="2" w:space="0"/>
              <w:bottom w:val="single" w:color="000000" w:sz="2" w:space="0"/>
            </w:tcBorders>
            <w:vAlign w:val="top"/>
          </w:tcPr>
          <w:p w14:paraId="4DAE0E16">
            <w:pPr>
              <w:pStyle w:val="6"/>
              <w:spacing w:before="222" w:line="194" w:lineRule="auto"/>
              <w:ind w:left="78"/>
              <w:rPr>
                <w:sz w:val="19"/>
                <w:szCs w:val="19"/>
              </w:rPr>
            </w:pPr>
            <w:r>
              <w:rPr>
                <w:spacing w:val="-2"/>
                <w:sz w:val="19"/>
                <w:szCs w:val="19"/>
              </w:rPr>
              <w:t>满分30分</w:t>
            </w:r>
          </w:p>
          <w:p w14:paraId="121CD0D7">
            <w:pPr>
              <w:pStyle w:val="6"/>
              <w:spacing w:line="224" w:lineRule="auto"/>
              <w:ind w:left="18" w:firstLine="28"/>
              <w:rPr>
                <w:sz w:val="19"/>
                <w:szCs w:val="19"/>
              </w:rPr>
            </w:pPr>
            <w:r>
              <w:rPr>
                <w:spacing w:val="-8"/>
                <w:sz w:val="19"/>
                <w:szCs w:val="19"/>
              </w:rPr>
              <w:t>(1)仪容、仪表、鞠躬礼、</w:t>
            </w:r>
            <w:r>
              <w:rPr>
                <w:spacing w:val="3"/>
                <w:sz w:val="19"/>
                <w:szCs w:val="19"/>
              </w:rPr>
              <w:t xml:space="preserve"> </w:t>
            </w:r>
            <w:r>
              <w:rPr>
                <w:spacing w:val="-6"/>
                <w:sz w:val="19"/>
                <w:szCs w:val="19"/>
              </w:rPr>
              <w:t>问候用语和自我介绍(5</w:t>
            </w:r>
          </w:p>
          <w:p w14:paraId="322B71BB">
            <w:pPr>
              <w:pStyle w:val="6"/>
              <w:spacing w:line="213" w:lineRule="auto"/>
              <w:ind w:left="78"/>
              <w:rPr>
                <w:sz w:val="19"/>
                <w:szCs w:val="19"/>
              </w:rPr>
            </w:pPr>
            <w:r>
              <w:rPr>
                <w:spacing w:val="-5"/>
                <w:sz w:val="19"/>
                <w:szCs w:val="19"/>
              </w:rPr>
              <w:t>分</w:t>
            </w:r>
            <w:r>
              <w:rPr>
                <w:spacing w:val="-31"/>
                <w:sz w:val="19"/>
                <w:szCs w:val="19"/>
              </w:rPr>
              <w:t xml:space="preserve"> </w:t>
            </w:r>
            <w:r>
              <w:rPr>
                <w:spacing w:val="-5"/>
                <w:sz w:val="19"/>
                <w:szCs w:val="19"/>
              </w:rPr>
              <w:t>)</w:t>
            </w:r>
          </w:p>
          <w:p w14:paraId="383A300D">
            <w:pPr>
              <w:pStyle w:val="6"/>
              <w:spacing w:line="194" w:lineRule="auto"/>
              <w:ind w:left="78"/>
              <w:rPr>
                <w:sz w:val="19"/>
                <w:szCs w:val="19"/>
              </w:rPr>
            </w:pPr>
            <w:r>
              <w:rPr>
                <w:spacing w:val="29"/>
                <w:sz w:val="19"/>
                <w:szCs w:val="19"/>
              </w:rPr>
              <w:t>(2)走姿(5分)</w:t>
            </w:r>
          </w:p>
          <w:p w14:paraId="6473CCE7">
            <w:pPr>
              <w:pStyle w:val="6"/>
              <w:spacing w:line="220" w:lineRule="auto"/>
              <w:ind w:left="78"/>
              <w:rPr>
                <w:sz w:val="19"/>
                <w:szCs w:val="19"/>
              </w:rPr>
            </w:pPr>
            <w:r>
              <w:rPr>
                <w:spacing w:val="29"/>
                <w:sz w:val="19"/>
                <w:szCs w:val="19"/>
              </w:rPr>
              <w:t>(3)站姿(5分)</w:t>
            </w:r>
          </w:p>
          <w:p w14:paraId="0FE75F5F">
            <w:pPr>
              <w:pStyle w:val="6"/>
              <w:spacing w:before="12" w:line="194" w:lineRule="auto"/>
              <w:ind w:left="78"/>
              <w:rPr>
                <w:sz w:val="19"/>
                <w:szCs w:val="19"/>
              </w:rPr>
            </w:pPr>
            <w:r>
              <w:rPr>
                <w:spacing w:val="29"/>
                <w:sz w:val="19"/>
                <w:szCs w:val="19"/>
              </w:rPr>
              <w:t>(4)坐姿(5分)</w:t>
            </w:r>
          </w:p>
          <w:p w14:paraId="00D82D93">
            <w:pPr>
              <w:pStyle w:val="6"/>
              <w:spacing w:line="219" w:lineRule="auto"/>
              <w:ind w:left="78"/>
              <w:rPr>
                <w:sz w:val="19"/>
                <w:szCs w:val="19"/>
              </w:rPr>
            </w:pPr>
            <w:r>
              <w:rPr>
                <w:spacing w:val="29"/>
                <w:sz w:val="19"/>
                <w:szCs w:val="19"/>
              </w:rPr>
              <w:t>(5)蹲姿(5分)</w:t>
            </w:r>
          </w:p>
          <w:p w14:paraId="46FA3176">
            <w:pPr>
              <w:pStyle w:val="6"/>
              <w:spacing w:before="16" w:line="220" w:lineRule="auto"/>
              <w:ind w:left="78"/>
              <w:rPr>
                <w:sz w:val="19"/>
                <w:szCs w:val="19"/>
              </w:rPr>
            </w:pPr>
            <w:r>
              <w:rPr>
                <w:spacing w:val="3"/>
                <w:sz w:val="19"/>
                <w:szCs w:val="19"/>
              </w:rPr>
              <w:t>(6)递物和接物(5分)</w:t>
            </w:r>
          </w:p>
        </w:tc>
      </w:tr>
      <w:tr w14:paraId="17E267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61" w:hRule="atLeast"/>
        </w:trPr>
        <w:tc>
          <w:tcPr>
            <w:tcW w:w="874" w:type="dxa"/>
            <w:tcBorders>
              <w:top w:val="single" w:color="000000" w:sz="2" w:space="0"/>
              <w:bottom w:val="single" w:color="000000" w:sz="2" w:space="0"/>
            </w:tcBorders>
            <w:vAlign w:val="top"/>
          </w:tcPr>
          <w:p w14:paraId="34FD0A44">
            <w:pPr>
              <w:spacing w:line="256" w:lineRule="auto"/>
              <w:rPr>
                <w:rFonts w:ascii="Arial"/>
                <w:sz w:val="21"/>
              </w:rPr>
            </w:pPr>
          </w:p>
          <w:p w14:paraId="6CB35194">
            <w:pPr>
              <w:spacing w:line="256" w:lineRule="auto"/>
              <w:rPr>
                <w:rFonts w:ascii="Arial"/>
                <w:sz w:val="21"/>
              </w:rPr>
            </w:pPr>
          </w:p>
          <w:p w14:paraId="5099D386">
            <w:pPr>
              <w:spacing w:line="256" w:lineRule="auto"/>
              <w:rPr>
                <w:rFonts w:ascii="Arial"/>
                <w:sz w:val="21"/>
              </w:rPr>
            </w:pPr>
          </w:p>
          <w:p w14:paraId="3BBF37F4">
            <w:pPr>
              <w:spacing w:line="256" w:lineRule="auto"/>
              <w:rPr>
                <w:rFonts w:ascii="Arial"/>
                <w:sz w:val="21"/>
              </w:rPr>
            </w:pPr>
          </w:p>
          <w:p w14:paraId="4DF4A728">
            <w:pPr>
              <w:spacing w:line="257" w:lineRule="auto"/>
              <w:rPr>
                <w:rFonts w:ascii="Arial"/>
                <w:sz w:val="21"/>
              </w:rPr>
            </w:pPr>
          </w:p>
          <w:p w14:paraId="7D0FC282">
            <w:pPr>
              <w:spacing w:line="257" w:lineRule="auto"/>
              <w:rPr>
                <w:rFonts w:ascii="Arial"/>
                <w:sz w:val="21"/>
              </w:rPr>
            </w:pPr>
          </w:p>
          <w:p w14:paraId="5BF9BFE2">
            <w:pPr>
              <w:spacing w:line="257" w:lineRule="auto"/>
              <w:rPr>
                <w:rFonts w:ascii="Arial"/>
                <w:sz w:val="21"/>
              </w:rPr>
            </w:pPr>
          </w:p>
          <w:p w14:paraId="09CB20A0">
            <w:pPr>
              <w:spacing w:line="257" w:lineRule="auto"/>
              <w:rPr>
                <w:rFonts w:ascii="Arial"/>
                <w:sz w:val="21"/>
              </w:rPr>
            </w:pPr>
          </w:p>
          <w:p w14:paraId="5C89877C">
            <w:pPr>
              <w:spacing w:line="257" w:lineRule="auto"/>
              <w:rPr>
                <w:rFonts w:ascii="Arial"/>
                <w:sz w:val="21"/>
              </w:rPr>
            </w:pPr>
          </w:p>
          <w:p w14:paraId="3D733EA3">
            <w:pPr>
              <w:pStyle w:val="6"/>
              <w:spacing w:before="62" w:line="206" w:lineRule="auto"/>
              <w:ind w:left="44" w:right="14" w:firstLine="49"/>
              <w:rPr>
                <w:sz w:val="19"/>
                <w:szCs w:val="19"/>
              </w:rPr>
            </w:pPr>
            <w:r>
              <w:rPr>
                <w:spacing w:val="-2"/>
                <w:sz w:val="19"/>
                <w:szCs w:val="19"/>
              </w:rPr>
              <w:t>项目二：</w:t>
            </w:r>
            <w:r>
              <w:rPr>
                <w:spacing w:val="1"/>
                <w:sz w:val="19"/>
                <w:szCs w:val="19"/>
              </w:rPr>
              <w:t xml:space="preserve"> </w:t>
            </w:r>
            <w:r>
              <w:rPr>
                <w:spacing w:val="2"/>
                <w:sz w:val="19"/>
                <w:szCs w:val="19"/>
              </w:rPr>
              <w:t>中式铺床</w:t>
            </w:r>
          </w:p>
        </w:tc>
        <w:tc>
          <w:tcPr>
            <w:tcW w:w="839" w:type="dxa"/>
            <w:tcBorders>
              <w:top w:val="single" w:color="000000" w:sz="2" w:space="0"/>
              <w:bottom w:val="single" w:color="000000" w:sz="2" w:space="0"/>
            </w:tcBorders>
            <w:vAlign w:val="top"/>
          </w:tcPr>
          <w:p w14:paraId="2EB1BB32">
            <w:pPr>
              <w:spacing w:line="253" w:lineRule="auto"/>
              <w:rPr>
                <w:rFonts w:ascii="Arial"/>
                <w:sz w:val="21"/>
              </w:rPr>
            </w:pPr>
          </w:p>
          <w:p w14:paraId="78FEB378">
            <w:pPr>
              <w:spacing w:line="253" w:lineRule="auto"/>
              <w:rPr>
                <w:rFonts w:ascii="Arial"/>
                <w:sz w:val="21"/>
              </w:rPr>
            </w:pPr>
          </w:p>
          <w:p w14:paraId="13741D66">
            <w:pPr>
              <w:spacing w:line="253" w:lineRule="auto"/>
              <w:rPr>
                <w:rFonts w:ascii="Arial"/>
                <w:sz w:val="21"/>
              </w:rPr>
            </w:pPr>
          </w:p>
          <w:p w14:paraId="7FB1F919">
            <w:pPr>
              <w:spacing w:line="253" w:lineRule="auto"/>
              <w:rPr>
                <w:rFonts w:ascii="Arial"/>
                <w:sz w:val="21"/>
              </w:rPr>
            </w:pPr>
          </w:p>
          <w:p w14:paraId="5C057025">
            <w:pPr>
              <w:spacing w:line="253" w:lineRule="auto"/>
              <w:rPr>
                <w:rFonts w:ascii="Arial"/>
                <w:sz w:val="21"/>
              </w:rPr>
            </w:pPr>
          </w:p>
          <w:p w14:paraId="4C9F10A7">
            <w:pPr>
              <w:spacing w:line="253" w:lineRule="auto"/>
              <w:rPr>
                <w:rFonts w:ascii="Arial"/>
                <w:sz w:val="21"/>
              </w:rPr>
            </w:pPr>
          </w:p>
          <w:p w14:paraId="1ADC7EBD">
            <w:pPr>
              <w:spacing w:line="254" w:lineRule="auto"/>
              <w:rPr>
                <w:rFonts w:ascii="Arial"/>
                <w:sz w:val="21"/>
              </w:rPr>
            </w:pPr>
          </w:p>
          <w:p w14:paraId="0AC9F331">
            <w:pPr>
              <w:pStyle w:val="6"/>
              <w:spacing w:before="62" w:line="203" w:lineRule="auto"/>
              <w:ind w:left="121"/>
              <w:rPr>
                <w:sz w:val="19"/>
                <w:szCs w:val="19"/>
              </w:rPr>
            </w:pPr>
            <w:r>
              <w:rPr>
                <w:spacing w:val="6"/>
                <w:sz w:val="19"/>
                <w:szCs w:val="19"/>
              </w:rPr>
              <w:t>工作台</w:t>
            </w:r>
          </w:p>
          <w:p w14:paraId="24052893">
            <w:pPr>
              <w:pStyle w:val="6"/>
              <w:spacing w:line="215" w:lineRule="auto"/>
              <w:ind w:left="171" w:right="146" w:firstLine="49"/>
              <w:jc w:val="both"/>
              <w:rPr>
                <w:sz w:val="19"/>
                <w:szCs w:val="19"/>
              </w:rPr>
            </w:pPr>
            <w:r>
              <w:rPr>
                <w:spacing w:val="-3"/>
                <w:sz w:val="19"/>
                <w:szCs w:val="19"/>
              </w:rPr>
              <w:t>床垫</w:t>
            </w:r>
            <w:r>
              <w:rPr>
                <w:sz w:val="19"/>
                <w:szCs w:val="19"/>
              </w:rPr>
              <w:t xml:space="preserve">  </w:t>
            </w:r>
            <w:r>
              <w:rPr>
                <w:spacing w:val="22"/>
                <w:sz w:val="19"/>
                <w:szCs w:val="19"/>
              </w:rPr>
              <w:t>床架</w:t>
            </w:r>
            <w:r>
              <w:rPr>
                <w:sz w:val="19"/>
                <w:szCs w:val="19"/>
              </w:rPr>
              <w:t xml:space="preserve">  </w:t>
            </w:r>
            <w:r>
              <w:rPr>
                <w:spacing w:val="22"/>
                <w:sz w:val="19"/>
                <w:szCs w:val="19"/>
              </w:rPr>
              <w:t>床单</w:t>
            </w:r>
            <w:r>
              <w:rPr>
                <w:sz w:val="19"/>
                <w:szCs w:val="19"/>
              </w:rPr>
              <w:t xml:space="preserve">  </w:t>
            </w:r>
            <w:r>
              <w:rPr>
                <w:spacing w:val="21"/>
                <w:sz w:val="19"/>
                <w:szCs w:val="19"/>
              </w:rPr>
              <w:t>被套</w:t>
            </w:r>
            <w:r>
              <w:rPr>
                <w:sz w:val="19"/>
                <w:szCs w:val="19"/>
              </w:rPr>
              <w:t xml:space="preserve">  </w:t>
            </w:r>
            <w:r>
              <w:rPr>
                <w:spacing w:val="21"/>
                <w:sz w:val="19"/>
                <w:szCs w:val="19"/>
              </w:rPr>
              <w:t>被芯</w:t>
            </w:r>
            <w:r>
              <w:rPr>
                <w:sz w:val="19"/>
                <w:szCs w:val="19"/>
              </w:rPr>
              <w:t xml:space="preserve">  </w:t>
            </w:r>
            <w:r>
              <w:rPr>
                <w:spacing w:val="20"/>
                <w:sz w:val="19"/>
                <w:szCs w:val="19"/>
              </w:rPr>
              <w:t>枕芯</w:t>
            </w:r>
            <w:r>
              <w:rPr>
                <w:sz w:val="19"/>
                <w:szCs w:val="19"/>
              </w:rPr>
              <w:t xml:space="preserve">  </w:t>
            </w:r>
            <w:r>
              <w:rPr>
                <w:spacing w:val="9"/>
                <w:sz w:val="19"/>
                <w:szCs w:val="19"/>
              </w:rPr>
              <w:t>(2只)</w:t>
            </w:r>
            <w:r>
              <w:rPr>
                <w:sz w:val="19"/>
                <w:szCs w:val="19"/>
              </w:rPr>
              <w:t xml:space="preserve"> </w:t>
            </w:r>
            <w:r>
              <w:rPr>
                <w:spacing w:val="20"/>
                <w:sz w:val="19"/>
                <w:szCs w:val="19"/>
              </w:rPr>
              <w:t>枕套</w:t>
            </w:r>
            <w:r>
              <w:rPr>
                <w:sz w:val="19"/>
                <w:szCs w:val="19"/>
              </w:rPr>
              <w:t xml:space="preserve">  </w:t>
            </w:r>
            <w:r>
              <w:rPr>
                <w:spacing w:val="9"/>
                <w:sz w:val="19"/>
                <w:szCs w:val="19"/>
              </w:rPr>
              <w:t>(2只)</w:t>
            </w:r>
          </w:p>
        </w:tc>
        <w:tc>
          <w:tcPr>
            <w:tcW w:w="1348" w:type="dxa"/>
            <w:tcBorders>
              <w:top w:val="single" w:color="000000" w:sz="2" w:space="0"/>
              <w:bottom w:val="single" w:color="000000" w:sz="2" w:space="0"/>
            </w:tcBorders>
            <w:vAlign w:val="top"/>
          </w:tcPr>
          <w:p w14:paraId="41E47F0C">
            <w:pPr>
              <w:spacing w:line="256" w:lineRule="auto"/>
              <w:rPr>
                <w:rFonts w:ascii="Arial"/>
                <w:sz w:val="21"/>
              </w:rPr>
            </w:pPr>
          </w:p>
          <w:p w14:paraId="6ED6F962">
            <w:pPr>
              <w:spacing w:line="256" w:lineRule="auto"/>
              <w:rPr>
                <w:rFonts w:ascii="Arial"/>
                <w:sz w:val="21"/>
              </w:rPr>
            </w:pPr>
          </w:p>
          <w:p w14:paraId="2431BBE5">
            <w:pPr>
              <w:spacing w:line="256" w:lineRule="auto"/>
              <w:rPr>
                <w:rFonts w:ascii="Arial"/>
                <w:sz w:val="21"/>
              </w:rPr>
            </w:pPr>
          </w:p>
          <w:p w14:paraId="0CD4F2BD">
            <w:pPr>
              <w:spacing w:line="256" w:lineRule="auto"/>
              <w:rPr>
                <w:rFonts w:ascii="Arial"/>
                <w:sz w:val="21"/>
              </w:rPr>
            </w:pPr>
          </w:p>
          <w:p w14:paraId="2C1BCB0A">
            <w:pPr>
              <w:spacing w:line="256" w:lineRule="auto"/>
              <w:rPr>
                <w:rFonts w:ascii="Arial"/>
                <w:sz w:val="21"/>
              </w:rPr>
            </w:pPr>
          </w:p>
          <w:p w14:paraId="4DFB30F2">
            <w:pPr>
              <w:spacing w:line="257" w:lineRule="auto"/>
              <w:rPr>
                <w:rFonts w:ascii="Arial"/>
                <w:sz w:val="21"/>
              </w:rPr>
            </w:pPr>
          </w:p>
          <w:p w14:paraId="23C13DE6">
            <w:pPr>
              <w:spacing w:line="257" w:lineRule="auto"/>
              <w:rPr>
                <w:rFonts w:ascii="Arial"/>
                <w:sz w:val="21"/>
              </w:rPr>
            </w:pPr>
          </w:p>
          <w:p w14:paraId="27E2FB29">
            <w:pPr>
              <w:spacing w:line="257" w:lineRule="auto"/>
              <w:rPr>
                <w:rFonts w:ascii="Arial"/>
                <w:sz w:val="21"/>
              </w:rPr>
            </w:pPr>
          </w:p>
          <w:p w14:paraId="1A51AA86">
            <w:pPr>
              <w:spacing w:line="257" w:lineRule="auto"/>
              <w:rPr>
                <w:rFonts w:ascii="Arial"/>
                <w:sz w:val="21"/>
              </w:rPr>
            </w:pPr>
          </w:p>
          <w:p w14:paraId="0793F61F">
            <w:pPr>
              <w:pStyle w:val="6"/>
              <w:spacing w:before="62" w:line="194" w:lineRule="auto"/>
              <w:ind w:left="112"/>
              <w:rPr>
                <w:sz w:val="19"/>
                <w:szCs w:val="19"/>
              </w:rPr>
            </w:pPr>
            <w:r>
              <w:rPr>
                <w:sz w:val="19"/>
                <w:szCs w:val="19"/>
              </w:rPr>
              <w:t>(1)整理床垫</w:t>
            </w:r>
          </w:p>
          <w:p w14:paraId="5D60BFBC">
            <w:pPr>
              <w:pStyle w:val="6"/>
              <w:spacing w:line="219" w:lineRule="auto"/>
              <w:ind w:left="91"/>
              <w:rPr>
                <w:sz w:val="19"/>
                <w:szCs w:val="19"/>
              </w:rPr>
            </w:pPr>
            <w:r>
              <w:rPr>
                <w:sz w:val="19"/>
                <w:szCs w:val="19"/>
              </w:rPr>
              <w:t>(2)抛铺床单</w:t>
            </w:r>
          </w:p>
          <w:p w14:paraId="7C4CA863">
            <w:pPr>
              <w:pStyle w:val="6"/>
              <w:spacing w:before="14" w:line="195" w:lineRule="auto"/>
              <w:ind w:left="81"/>
              <w:rPr>
                <w:sz w:val="19"/>
                <w:szCs w:val="19"/>
              </w:rPr>
            </w:pPr>
            <w:r>
              <w:rPr>
                <w:spacing w:val="2"/>
                <w:sz w:val="19"/>
                <w:szCs w:val="19"/>
              </w:rPr>
              <w:t>(3)套被套</w:t>
            </w:r>
          </w:p>
          <w:p w14:paraId="25B2D0E1">
            <w:pPr>
              <w:pStyle w:val="6"/>
              <w:spacing w:line="220" w:lineRule="auto"/>
              <w:ind w:left="81"/>
              <w:rPr>
                <w:sz w:val="19"/>
                <w:szCs w:val="19"/>
              </w:rPr>
            </w:pPr>
            <w:r>
              <w:rPr>
                <w:spacing w:val="2"/>
                <w:sz w:val="19"/>
                <w:szCs w:val="19"/>
              </w:rPr>
              <w:t>(4)套枕套</w:t>
            </w:r>
          </w:p>
          <w:p w14:paraId="30DDB8EF">
            <w:pPr>
              <w:pStyle w:val="6"/>
              <w:spacing w:before="13" w:line="219" w:lineRule="auto"/>
              <w:ind w:left="81"/>
              <w:rPr>
                <w:sz w:val="19"/>
                <w:szCs w:val="19"/>
              </w:rPr>
            </w:pPr>
            <w:r>
              <w:rPr>
                <w:spacing w:val="2"/>
                <w:sz w:val="19"/>
                <w:szCs w:val="19"/>
              </w:rPr>
              <w:t>(5)放枕头</w:t>
            </w:r>
          </w:p>
        </w:tc>
        <w:tc>
          <w:tcPr>
            <w:tcW w:w="859" w:type="dxa"/>
            <w:tcBorders>
              <w:top w:val="single" w:color="000000" w:sz="2" w:space="0"/>
              <w:bottom w:val="single" w:color="000000" w:sz="2" w:space="0"/>
            </w:tcBorders>
            <w:vAlign w:val="top"/>
          </w:tcPr>
          <w:p w14:paraId="41F56433">
            <w:pPr>
              <w:spacing w:line="263" w:lineRule="auto"/>
              <w:rPr>
                <w:rFonts w:ascii="Arial"/>
                <w:sz w:val="21"/>
              </w:rPr>
            </w:pPr>
          </w:p>
          <w:p w14:paraId="39450CA3">
            <w:pPr>
              <w:spacing w:line="263" w:lineRule="auto"/>
              <w:rPr>
                <w:rFonts w:ascii="Arial"/>
                <w:sz w:val="21"/>
              </w:rPr>
            </w:pPr>
          </w:p>
          <w:p w14:paraId="3B066213">
            <w:pPr>
              <w:spacing w:line="263" w:lineRule="auto"/>
              <w:rPr>
                <w:rFonts w:ascii="Arial"/>
                <w:sz w:val="21"/>
              </w:rPr>
            </w:pPr>
          </w:p>
          <w:p w14:paraId="628AF7C5">
            <w:pPr>
              <w:spacing w:line="263" w:lineRule="auto"/>
              <w:rPr>
                <w:rFonts w:ascii="Arial"/>
                <w:sz w:val="21"/>
              </w:rPr>
            </w:pPr>
          </w:p>
          <w:p w14:paraId="549CB968">
            <w:pPr>
              <w:spacing w:line="263" w:lineRule="auto"/>
              <w:rPr>
                <w:rFonts w:ascii="Arial"/>
                <w:sz w:val="21"/>
              </w:rPr>
            </w:pPr>
          </w:p>
          <w:p w14:paraId="6122ED8C">
            <w:pPr>
              <w:spacing w:line="264" w:lineRule="auto"/>
              <w:rPr>
                <w:rFonts w:ascii="Arial"/>
                <w:sz w:val="21"/>
              </w:rPr>
            </w:pPr>
          </w:p>
          <w:p w14:paraId="4EB936BA">
            <w:pPr>
              <w:spacing w:line="264" w:lineRule="auto"/>
              <w:rPr>
                <w:rFonts w:ascii="Arial"/>
                <w:sz w:val="21"/>
              </w:rPr>
            </w:pPr>
          </w:p>
          <w:p w14:paraId="2E1D2ABE">
            <w:pPr>
              <w:spacing w:line="264" w:lineRule="auto"/>
              <w:rPr>
                <w:rFonts w:ascii="Arial"/>
                <w:sz w:val="21"/>
              </w:rPr>
            </w:pPr>
          </w:p>
          <w:p w14:paraId="445EB618">
            <w:pPr>
              <w:spacing w:line="264" w:lineRule="auto"/>
              <w:rPr>
                <w:rFonts w:ascii="Arial"/>
                <w:sz w:val="21"/>
              </w:rPr>
            </w:pPr>
          </w:p>
          <w:p w14:paraId="0D2C4AE0">
            <w:pPr>
              <w:spacing w:line="264" w:lineRule="auto"/>
              <w:rPr>
                <w:rFonts w:ascii="Arial"/>
                <w:sz w:val="21"/>
              </w:rPr>
            </w:pPr>
          </w:p>
          <w:p w14:paraId="1D4EA154">
            <w:pPr>
              <w:pStyle w:val="6"/>
              <w:spacing w:before="62" w:line="207" w:lineRule="auto"/>
              <w:ind w:left="233" w:right="32" w:hanging="190"/>
              <w:rPr>
                <w:sz w:val="19"/>
                <w:szCs w:val="19"/>
              </w:rPr>
            </w:pPr>
            <w:r>
              <w:rPr>
                <w:spacing w:val="3"/>
                <w:sz w:val="19"/>
                <w:szCs w:val="19"/>
              </w:rPr>
              <w:t>现场操作</w:t>
            </w:r>
            <w:r>
              <w:rPr>
                <w:sz w:val="19"/>
                <w:szCs w:val="19"/>
              </w:rPr>
              <w:t xml:space="preserve"> </w:t>
            </w:r>
            <w:r>
              <w:rPr>
                <w:spacing w:val="-2"/>
                <w:sz w:val="19"/>
                <w:szCs w:val="19"/>
              </w:rPr>
              <w:t>考试</w:t>
            </w:r>
          </w:p>
        </w:tc>
        <w:tc>
          <w:tcPr>
            <w:tcW w:w="2647" w:type="dxa"/>
            <w:tcBorders>
              <w:top w:val="single" w:color="000000" w:sz="2" w:space="0"/>
              <w:bottom w:val="single" w:color="000000" w:sz="2" w:space="0"/>
            </w:tcBorders>
            <w:vAlign w:val="top"/>
          </w:tcPr>
          <w:p w14:paraId="086101F3">
            <w:pPr>
              <w:pStyle w:val="6"/>
              <w:spacing w:before="73" w:line="214" w:lineRule="auto"/>
              <w:ind w:left="44" w:right="35" w:firstLine="49"/>
              <w:rPr>
                <w:sz w:val="19"/>
                <w:szCs w:val="19"/>
              </w:rPr>
            </w:pPr>
            <w:r>
              <w:rPr>
                <w:sz w:val="19"/>
                <w:szCs w:val="19"/>
              </w:rPr>
              <w:t>(1)考试时间：4分钟(提前完</w:t>
            </w:r>
            <w:r>
              <w:rPr>
                <w:spacing w:val="1"/>
                <w:sz w:val="19"/>
                <w:szCs w:val="19"/>
              </w:rPr>
              <w:t xml:space="preserve">  </w:t>
            </w:r>
            <w:r>
              <w:rPr>
                <w:spacing w:val="-1"/>
                <w:sz w:val="19"/>
                <w:szCs w:val="19"/>
              </w:rPr>
              <w:t>成不加分；若4分钟后还未操作</w:t>
            </w:r>
            <w:r>
              <w:rPr>
                <w:spacing w:val="4"/>
                <w:sz w:val="19"/>
                <w:szCs w:val="19"/>
              </w:rPr>
              <w:t xml:space="preserve"> </w:t>
            </w:r>
            <w:r>
              <w:rPr>
                <w:sz w:val="19"/>
                <w:szCs w:val="19"/>
              </w:rPr>
              <w:t>完，每超过5秒扣5分，不足5</w:t>
            </w:r>
          </w:p>
          <w:p w14:paraId="618ACC6A">
            <w:pPr>
              <w:pStyle w:val="6"/>
              <w:spacing w:before="2" w:line="213" w:lineRule="auto"/>
              <w:ind w:left="34" w:firstLine="9"/>
              <w:rPr>
                <w:sz w:val="19"/>
                <w:szCs w:val="19"/>
              </w:rPr>
            </w:pPr>
            <w:r>
              <w:rPr>
                <w:spacing w:val="-1"/>
                <w:sz w:val="19"/>
                <w:szCs w:val="19"/>
              </w:rPr>
              <w:t>秒按5秒计算，超过1分钟不予</w:t>
            </w:r>
            <w:r>
              <w:rPr>
                <w:sz w:val="19"/>
                <w:szCs w:val="19"/>
              </w:rPr>
              <w:t xml:space="preserve">  </w:t>
            </w:r>
            <w:r>
              <w:rPr>
                <w:spacing w:val="-5"/>
                <w:sz w:val="19"/>
                <w:szCs w:val="19"/>
              </w:rPr>
              <w:t>继续考试，考评人员根据选手完</w:t>
            </w:r>
            <w:r>
              <w:rPr>
                <w:spacing w:val="11"/>
                <w:sz w:val="19"/>
                <w:szCs w:val="19"/>
              </w:rPr>
              <w:t xml:space="preserve"> </w:t>
            </w:r>
            <w:r>
              <w:rPr>
                <w:spacing w:val="-1"/>
                <w:sz w:val="19"/>
                <w:szCs w:val="19"/>
              </w:rPr>
              <w:t>成部分进行评判计分),准备2</w:t>
            </w:r>
          </w:p>
          <w:p w14:paraId="1F52C23A">
            <w:pPr>
              <w:pStyle w:val="6"/>
              <w:spacing w:line="194" w:lineRule="auto"/>
              <w:ind w:left="24"/>
              <w:rPr>
                <w:sz w:val="19"/>
                <w:szCs w:val="19"/>
              </w:rPr>
            </w:pPr>
            <w:r>
              <w:rPr>
                <w:spacing w:val="-1"/>
                <w:sz w:val="19"/>
                <w:szCs w:val="19"/>
              </w:rPr>
              <w:t>分钟(不计入考核时间)。</w:t>
            </w:r>
          </w:p>
          <w:p w14:paraId="72ED6EAC">
            <w:pPr>
              <w:pStyle w:val="6"/>
              <w:spacing w:line="219" w:lineRule="auto"/>
              <w:ind w:left="74"/>
              <w:rPr>
                <w:sz w:val="19"/>
                <w:szCs w:val="19"/>
              </w:rPr>
            </w:pPr>
            <w:r>
              <w:rPr>
                <w:sz w:val="19"/>
                <w:szCs w:val="19"/>
              </w:rPr>
              <w:t>(2)考生必须携带准考证和身</w:t>
            </w:r>
          </w:p>
          <w:p w14:paraId="39FB1DAD">
            <w:pPr>
              <w:pStyle w:val="6"/>
              <w:spacing w:before="13" w:line="209" w:lineRule="auto"/>
              <w:ind w:left="24" w:firstLine="19"/>
              <w:rPr>
                <w:sz w:val="19"/>
                <w:szCs w:val="19"/>
              </w:rPr>
            </w:pPr>
            <w:r>
              <w:rPr>
                <w:spacing w:val="-11"/>
                <w:sz w:val="19"/>
                <w:szCs w:val="19"/>
              </w:rPr>
              <w:t>份证进入考场参加考试，考评人</w:t>
            </w:r>
            <w:r>
              <w:rPr>
                <w:sz w:val="19"/>
                <w:szCs w:val="19"/>
              </w:rPr>
              <w:t xml:space="preserve">  </w:t>
            </w:r>
            <w:r>
              <w:rPr>
                <w:spacing w:val="-16"/>
                <w:sz w:val="19"/>
                <w:szCs w:val="19"/>
              </w:rPr>
              <w:t>员提示“开始准备”后进行准备，</w:t>
            </w:r>
            <w:r>
              <w:rPr>
                <w:spacing w:val="1"/>
                <w:sz w:val="19"/>
                <w:szCs w:val="19"/>
              </w:rPr>
              <w:t xml:space="preserve"> </w:t>
            </w:r>
            <w:r>
              <w:rPr>
                <w:spacing w:val="-6"/>
                <w:sz w:val="19"/>
                <w:szCs w:val="19"/>
              </w:rPr>
              <w:t>准备时间2分钟。考生准备就绪</w:t>
            </w:r>
            <w:r>
              <w:rPr>
                <w:spacing w:val="2"/>
                <w:sz w:val="19"/>
                <w:szCs w:val="19"/>
              </w:rPr>
              <w:t xml:space="preserve">  </w:t>
            </w:r>
            <w:r>
              <w:rPr>
                <w:spacing w:val="-6"/>
                <w:sz w:val="19"/>
                <w:szCs w:val="19"/>
              </w:rPr>
              <w:t>后，举手示意。</w:t>
            </w:r>
          </w:p>
          <w:p w14:paraId="75F1D2C5">
            <w:pPr>
              <w:pStyle w:val="6"/>
              <w:spacing w:before="1" w:line="216" w:lineRule="auto"/>
              <w:ind w:left="14" w:firstLine="74"/>
              <w:rPr>
                <w:sz w:val="19"/>
                <w:szCs w:val="19"/>
              </w:rPr>
            </w:pPr>
            <w:r>
              <w:rPr>
                <w:spacing w:val="-13"/>
                <w:sz w:val="19"/>
                <w:szCs w:val="19"/>
              </w:rPr>
              <w:t>(3)考生在考评人员宣布“开始”</w:t>
            </w:r>
            <w:r>
              <w:rPr>
                <w:sz w:val="19"/>
                <w:szCs w:val="19"/>
              </w:rPr>
              <w:t xml:space="preserve"> </w:t>
            </w:r>
            <w:r>
              <w:rPr>
                <w:spacing w:val="-11"/>
                <w:sz w:val="19"/>
                <w:szCs w:val="19"/>
              </w:rPr>
              <w:t>后开始操作。</w:t>
            </w:r>
          </w:p>
          <w:p w14:paraId="0E8D29DA">
            <w:pPr>
              <w:pStyle w:val="6"/>
              <w:spacing w:before="3" w:line="204" w:lineRule="auto"/>
              <w:ind w:left="74"/>
              <w:rPr>
                <w:sz w:val="19"/>
                <w:szCs w:val="19"/>
              </w:rPr>
            </w:pPr>
            <w:r>
              <w:rPr>
                <w:sz w:val="19"/>
                <w:szCs w:val="19"/>
              </w:rPr>
              <w:t>(4)操作结束后，考生立于工</w:t>
            </w:r>
          </w:p>
          <w:p w14:paraId="73A1685A">
            <w:pPr>
              <w:pStyle w:val="6"/>
              <w:spacing w:before="1" w:line="207" w:lineRule="auto"/>
              <w:ind w:left="14" w:firstLine="19"/>
              <w:rPr>
                <w:sz w:val="19"/>
                <w:szCs w:val="19"/>
              </w:rPr>
            </w:pPr>
            <w:r>
              <w:rPr>
                <w:spacing w:val="-5"/>
                <w:sz w:val="19"/>
                <w:szCs w:val="19"/>
              </w:rPr>
              <w:t>作台左前侧，举手示意“操作完</w:t>
            </w:r>
            <w:r>
              <w:rPr>
                <w:spacing w:val="11"/>
                <w:sz w:val="19"/>
                <w:szCs w:val="19"/>
              </w:rPr>
              <w:t xml:space="preserve"> </w:t>
            </w:r>
            <w:r>
              <w:rPr>
                <w:spacing w:val="-2"/>
                <w:sz w:val="19"/>
                <w:szCs w:val="19"/>
              </w:rPr>
              <w:t>毕”。</w:t>
            </w:r>
          </w:p>
          <w:p w14:paraId="1136922B">
            <w:pPr>
              <w:pStyle w:val="6"/>
              <w:spacing w:before="13" w:line="219" w:lineRule="auto"/>
              <w:ind w:left="64" w:right="159" w:firstLine="20"/>
              <w:rPr>
                <w:sz w:val="19"/>
                <w:szCs w:val="19"/>
              </w:rPr>
            </w:pPr>
            <w:r>
              <w:rPr>
                <w:spacing w:val="1"/>
                <w:sz w:val="19"/>
                <w:szCs w:val="19"/>
              </w:rPr>
              <w:t>(5)床头朝向及床头柜位置由</w:t>
            </w:r>
            <w:r>
              <w:rPr>
                <w:spacing w:val="2"/>
                <w:sz w:val="19"/>
                <w:szCs w:val="19"/>
              </w:rPr>
              <w:t xml:space="preserve"> </w:t>
            </w:r>
            <w:r>
              <w:rPr>
                <w:spacing w:val="-1"/>
                <w:sz w:val="19"/>
                <w:szCs w:val="19"/>
              </w:rPr>
              <w:t>考场人员规定。</w:t>
            </w:r>
          </w:p>
          <w:p w14:paraId="53D94888">
            <w:pPr>
              <w:pStyle w:val="6"/>
              <w:spacing w:before="2" w:line="213" w:lineRule="auto"/>
              <w:ind w:left="24" w:firstLine="48"/>
              <w:rPr>
                <w:sz w:val="19"/>
                <w:szCs w:val="19"/>
              </w:rPr>
            </w:pPr>
            <w:r>
              <w:rPr>
                <w:spacing w:val="-12"/>
                <w:sz w:val="19"/>
                <w:szCs w:val="19"/>
              </w:rPr>
              <w:t>(6)操作过程中，考生不能跑动、</w:t>
            </w:r>
            <w:r>
              <w:rPr>
                <w:sz w:val="19"/>
                <w:szCs w:val="19"/>
              </w:rPr>
              <w:t xml:space="preserve"> </w:t>
            </w:r>
            <w:r>
              <w:rPr>
                <w:spacing w:val="-10"/>
                <w:sz w:val="19"/>
                <w:szCs w:val="19"/>
              </w:rPr>
              <w:t>绕床头、跪床、手臂撑床或在床</w:t>
            </w:r>
            <w:r>
              <w:rPr>
                <w:spacing w:val="3"/>
                <w:sz w:val="19"/>
                <w:szCs w:val="19"/>
              </w:rPr>
              <w:t xml:space="preserve">  </w:t>
            </w:r>
            <w:r>
              <w:rPr>
                <w:spacing w:val="-6"/>
                <w:sz w:val="19"/>
                <w:szCs w:val="19"/>
              </w:rPr>
              <w:t>头操作，每违例一次扣2分。</w:t>
            </w:r>
          </w:p>
          <w:p w14:paraId="6741E050">
            <w:pPr>
              <w:pStyle w:val="6"/>
              <w:spacing w:before="1" w:line="219" w:lineRule="auto"/>
              <w:ind w:left="94"/>
              <w:rPr>
                <w:sz w:val="19"/>
                <w:szCs w:val="19"/>
              </w:rPr>
            </w:pPr>
            <w:r>
              <w:rPr>
                <w:spacing w:val="-1"/>
                <w:sz w:val="19"/>
                <w:szCs w:val="19"/>
              </w:rPr>
              <w:t>(7)备考棉织品的折叠方法：</w:t>
            </w:r>
          </w:p>
          <w:p w14:paraId="502FFAD5">
            <w:pPr>
              <w:pStyle w:val="6"/>
              <w:spacing w:before="4" w:line="200" w:lineRule="auto"/>
              <w:ind w:left="34"/>
              <w:jc w:val="both"/>
              <w:rPr>
                <w:sz w:val="19"/>
                <w:szCs w:val="19"/>
              </w:rPr>
            </w:pPr>
            <w:r>
              <w:rPr>
                <w:spacing w:val="-5"/>
                <w:sz w:val="19"/>
                <w:szCs w:val="19"/>
              </w:rPr>
              <w:t>床单和被套叠法为正面朝里，沿</w:t>
            </w:r>
            <w:r>
              <w:rPr>
                <w:spacing w:val="11"/>
                <w:sz w:val="19"/>
                <w:szCs w:val="19"/>
              </w:rPr>
              <w:t xml:space="preserve"> </w:t>
            </w:r>
            <w:r>
              <w:rPr>
                <w:spacing w:val="-5"/>
                <w:sz w:val="19"/>
                <w:szCs w:val="19"/>
              </w:rPr>
              <w:t>长边对折两次，再沿宽边对折两</w:t>
            </w:r>
            <w:r>
              <w:rPr>
                <w:spacing w:val="11"/>
                <w:sz w:val="19"/>
                <w:szCs w:val="19"/>
              </w:rPr>
              <w:t xml:space="preserve"> </w:t>
            </w:r>
            <w:r>
              <w:rPr>
                <w:spacing w:val="-1"/>
                <w:sz w:val="19"/>
                <w:szCs w:val="19"/>
              </w:rPr>
              <w:t>次；被芯折叠法：S型折叠。</w:t>
            </w:r>
          </w:p>
        </w:tc>
        <w:tc>
          <w:tcPr>
            <w:tcW w:w="2142" w:type="dxa"/>
            <w:tcBorders>
              <w:top w:val="single" w:color="000000" w:sz="2" w:space="0"/>
              <w:bottom w:val="single" w:color="000000" w:sz="2" w:space="0"/>
            </w:tcBorders>
            <w:vAlign w:val="top"/>
          </w:tcPr>
          <w:p w14:paraId="612FBEEF">
            <w:pPr>
              <w:spacing w:line="244" w:lineRule="auto"/>
              <w:rPr>
                <w:rFonts w:ascii="Arial"/>
                <w:sz w:val="21"/>
              </w:rPr>
            </w:pPr>
          </w:p>
          <w:p w14:paraId="1173B4C8">
            <w:pPr>
              <w:spacing w:line="244" w:lineRule="auto"/>
              <w:rPr>
                <w:rFonts w:ascii="Arial"/>
                <w:sz w:val="21"/>
              </w:rPr>
            </w:pPr>
          </w:p>
          <w:p w14:paraId="44E3F9C2">
            <w:pPr>
              <w:spacing w:line="244" w:lineRule="auto"/>
              <w:rPr>
                <w:rFonts w:ascii="Arial"/>
                <w:sz w:val="21"/>
              </w:rPr>
            </w:pPr>
          </w:p>
          <w:p w14:paraId="5DF1F211">
            <w:pPr>
              <w:spacing w:line="244" w:lineRule="auto"/>
              <w:rPr>
                <w:rFonts w:ascii="Arial"/>
                <w:sz w:val="21"/>
              </w:rPr>
            </w:pPr>
          </w:p>
          <w:p w14:paraId="20E94ED2">
            <w:pPr>
              <w:spacing w:line="244" w:lineRule="auto"/>
              <w:rPr>
                <w:rFonts w:ascii="Arial"/>
                <w:sz w:val="21"/>
              </w:rPr>
            </w:pPr>
          </w:p>
          <w:p w14:paraId="37F86AB3">
            <w:pPr>
              <w:spacing w:line="244" w:lineRule="auto"/>
              <w:rPr>
                <w:rFonts w:ascii="Arial"/>
                <w:sz w:val="21"/>
              </w:rPr>
            </w:pPr>
          </w:p>
          <w:p w14:paraId="01862056">
            <w:pPr>
              <w:spacing w:line="244" w:lineRule="auto"/>
              <w:rPr>
                <w:rFonts w:ascii="Arial"/>
                <w:sz w:val="21"/>
              </w:rPr>
            </w:pPr>
          </w:p>
          <w:p w14:paraId="22FC39CD">
            <w:pPr>
              <w:spacing w:line="245" w:lineRule="auto"/>
              <w:rPr>
                <w:rFonts w:ascii="Arial"/>
                <w:sz w:val="21"/>
              </w:rPr>
            </w:pPr>
          </w:p>
          <w:p w14:paraId="5E459A6D">
            <w:pPr>
              <w:spacing w:line="245" w:lineRule="auto"/>
              <w:rPr>
                <w:rFonts w:ascii="Arial"/>
                <w:sz w:val="21"/>
              </w:rPr>
            </w:pPr>
          </w:p>
          <w:p w14:paraId="56A18E01">
            <w:pPr>
              <w:pStyle w:val="6"/>
              <w:spacing w:before="62" w:line="195" w:lineRule="auto"/>
              <w:ind w:left="78"/>
              <w:rPr>
                <w:sz w:val="19"/>
                <w:szCs w:val="19"/>
              </w:rPr>
            </w:pPr>
            <w:r>
              <w:rPr>
                <w:spacing w:val="2"/>
                <w:sz w:val="19"/>
                <w:szCs w:val="19"/>
              </w:rPr>
              <w:t>满分100分</w:t>
            </w:r>
          </w:p>
          <w:p w14:paraId="314983E9">
            <w:pPr>
              <w:pStyle w:val="6"/>
              <w:spacing w:line="220" w:lineRule="auto"/>
              <w:ind w:left="78"/>
              <w:rPr>
                <w:sz w:val="19"/>
                <w:szCs w:val="19"/>
              </w:rPr>
            </w:pPr>
            <w:r>
              <w:rPr>
                <w:spacing w:val="4"/>
                <w:sz w:val="19"/>
                <w:szCs w:val="19"/>
              </w:rPr>
              <w:t>(1)垫单(20分)</w:t>
            </w:r>
          </w:p>
          <w:p w14:paraId="60781BBC">
            <w:pPr>
              <w:pStyle w:val="6"/>
              <w:spacing w:before="12" w:line="204" w:lineRule="auto"/>
              <w:ind w:left="78"/>
              <w:rPr>
                <w:sz w:val="19"/>
                <w:szCs w:val="19"/>
              </w:rPr>
            </w:pPr>
            <w:r>
              <w:rPr>
                <w:spacing w:val="4"/>
                <w:sz w:val="19"/>
                <w:szCs w:val="19"/>
              </w:rPr>
              <w:t>(2)被套(15分)</w:t>
            </w:r>
          </w:p>
          <w:p w14:paraId="3097E019">
            <w:pPr>
              <w:pStyle w:val="6"/>
              <w:spacing w:line="213" w:lineRule="auto"/>
              <w:ind w:left="78"/>
              <w:rPr>
                <w:sz w:val="19"/>
                <w:szCs w:val="19"/>
              </w:rPr>
            </w:pPr>
            <w:r>
              <w:rPr>
                <w:spacing w:val="4"/>
                <w:sz w:val="19"/>
                <w:szCs w:val="19"/>
              </w:rPr>
              <w:t>(3)羽绒被(20分)</w:t>
            </w:r>
          </w:p>
          <w:p w14:paraId="549572DE">
            <w:pPr>
              <w:pStyle w:val="6"/>
              <w:spacing w:line="213" w:lineRule="auto"/>
              <w:ind w:left="78"/>
              <w:rPr>
                <w:sz w:val="19"/>
                <w:szCs w:val="19"/>
              </w:rPr>
            </w:pPr>
            <w:r>
              <w:rPr>
                <w:spacing w:val="4"/>
                <w:sz w:val="19"/>
                <w:szCs w:val="19"/>
              </w:rPr>
              <w:t>(4)枕头(15分)</w:t>
            </w:r>
          </w:p>
          <w:p w14:paraId="6E4B4FAD">
            <w:pPr>
              <w:pStyle w:val="6"/>
              <w:spacing w:before="1" w:line="219" w:lineRule="auto"/>
              <w:ind w:left="78"/>
              <w:rPr>
                <w:sz w:val="19"/>
                <w:szCs w:val="19"/>
              </w:rPr>
            </w:pPr>
            <w:r>
              <w:rPr>
                <w:spacing w:val="3"/>
                <w:sz w:val="19"/>
                <w:szCs w:val="19"/>
              </w:rPr>
              <w:t>(5)综合印象(30分)</w:t>
            </w:r>
          </w:p>
        </w:tc>
      </w:tr>
      <w:tr w14:paraId="307621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989" w:hRule="atLeast"/>
        </w:trPr>
        <w:tc>
          <w:tcPr>
            <w:tcW w:w="874" w:type="dxa"/>
            <w:tcBorders>
              <w:top w:val="single" w:color="000000" w:sz="2" w:space="0"/>
              <w:bottom w:val="single" w:color="000000" w:sz="2" w:space="0"/>
            </w:tcBorders>
            <w:vAlign w:val="top"/>
          </w:tcPr>
          <w:p w14:paraId="46EC412C">
            <w:pPr>
              <w:spacing w:line="250" w:lineRule="auto"/>
              <w:rPr>
                <w:rFonts w:ascii="Arial"/>
                <w:sz w:val="21"/>
              </w:rPr>
            </w:pPr>
          </w:p>
          <w:p w14:paraId="2E0A0D68">
            <w:pPr>
              <w:spacing w:line="250" w:lineRule="auto"/>
              <w:rPr>
                <w:rFonts w:ascii="Arial"/>
                <w:sz w:val="21"/>
              </w:rPr>
            </w:pPr>
          </w:p>
          <w:p w14:paraId="7C592B6B">
            <w:pPr>
              <w:spacing w:line="251" w:lineRule="auto"/>
              <w:rPr>
                <w:rFonts w:ascii="Arial"/>
                <w:sz w:val="21"/>
              </w:rPr>
            </w:pPr>
          </w:p>
          <w:p w14:paraId="580C274A">
            <w:pPr>
              <w:pStyle w:val="6"/>
              <w:spacing w:before="62" w:line="220" w:lineRule="auto"/>
              <w:ind w:right="12"/>
              <w:jc w:val="right"/>
              <w:rPr>
                <w:sz w:val="19"/>
                <w:szCs w:val="19"/>
              </w:rPr>
            </w:pPr>
            <w:r>
              <w:rPr>
                <w:spacing w:val="-1"/>
                <w:sz w:val="19"/>
                <w:szCs w:val="19"/>
              </w:rPr>
              <w:t>项目三：</w:t>
            </w:r>
          </w:p>
          <w:p w14:paraId="7B4B3C1C">
            <w:pPr>
              <w:pStyle w:val="6"/>
              <w:spacing w:before="12" w:line="204" w:lineRule="auto"/>
              <w:ind w:left="44"/>
              <w:rPr>
                <w:sz w:val="19"/>
                <w:szCs w:val="19"/>
              </w:rPr>
            </w:pPr>
            <w:r>
              <w:rPr>
                <w:spacing w:val="-2"/>
                <w:sz w:val="19"/>
                <w:szCs w:val="19"/>
              </w:rPr>
              <w:t>楼层迎送</w:t>
            </w:r>
          </w:p>
          <w:p w14:paraId="6A9DAC4C">
            <w:pPr>
              <w:pStyle w:val="6"/>
              <w:spacing w:line="219" w:lineRule="auto"/>
              <w:ind w:left="234"/>
              <w:rPr>
                <w:sz w:val="19"/>
                <w:szCs w:val="19"/>
              </w:rPr>
            </w:pPr>
            <w:r>
              <w:rPr>
                <w:spacing w:val="-2"/>
                <w:sz w:val="19"/>
                <w:szCs w:val="19"/>
              </w:rPr>
              <w:t>服务</w:t>
            </w:r>
          </w:p>
        </w:tc>
        <w:tc>
          <w:tcPr>
            <w:tcW w:w="839" w:type="dxa"/>
            <w:tcBorders>
              <w:top w:val="single" w:color="000000" w:sz="2" w:space="0"/>
              <w:bottom w:val="single" w:color="000000" w:sz="2" w:space="0"/>
            </w:tcBorders>
            <w:vAlign w:val="top"/>
          </w:tcPr>
          <w:p w14:paraId="239D4E75">
            <w:pPr>
              <w:spacing w:line="261" w:lineRule="auto"/>
              <w:rPr>
                <w:rFonts w:ascii="Arial"/>
                <w:sz w:val="21"/>
              </w:rPr>
            </w:pPr>
          </w:p>
          <w:p w14:paraId="0E100648">
            <w:pPr>
              <w:spacing w:line="261" w:lineRule="auto"/>
              <w:rPr>
                <w:rFonts w:ascii="Arial"/>
                <w:sz w:val="21"/>
              </w:rPr>
            </w:pPr>
          </w:p>
          <w:p w14:paraId="4B4A5AE5">
            <w:pPr>
              <w:pStyle w:val="6"/>
              <w:spacing w:before="61" w:line="218" w:lineRule="auto"/>
              <w:ind w:left="30" w:right="24"/>
              <w:jc w:val="both"/>
              <w:rPr>
                <w:sz w:val="19"/>
                <w:szCs w:val="19"/>
              </w:rPr>
            </w:pPr>
            <w:r>
              <w:rPr>
                <w:spacing w:val="-3"/>
                <w:sz w:val="19"/>
                <w:szCs w:val="19"/>
              </w:rPr>
              <w:t>房卡若干</w:t>
            </w:r>
            <w:r>
              <w:rPr>
                <w:spacing w:val="2"/>
                <w:sz w:val="19"/>
                <w:szCs w:val="19"/>
              </w:rPr>
              <w:t xml:space="preserve"> </w:t>
            </w:r>
            <w:r>
              <w:rPr>
                <w:spacing w:val="-3"/>
                <w:sz w:val="19"/>
                <w:szCs w:val="19"/>
              </w:rPr>
              <w:t>行李若干</w:t>
            </w:r>
            <w:r>
              <w:rPr>
                <w:sz w:val="19"/>
                <w:szCs w:val="19"/>
              </w:rPr>
              <w:t xml:space="preserve"> </w:t>
            </w:r>
            <w:r>
              <w:rPr>
                <w:spacing w:val="3"/>
                <w:sz w:val="19"/>
                <w:szCs w:val="19"/>
              </w:rPr>
              <w:t>标准客房</w:t>
            </w:r>
            <w:r>
              <w:rPr>
                <w:sz w:val="19"/>
                <w:szCs w:val="19"/>
              </w:rPr>
              <w:t xml:space="preserve"> </w:t>
            </w:r>
            <w:r>
              <w:rPr>
                <w:spacing w:val="32"/>
                <w:sz w:val="19"/>
                <w:szCs w:val="19"/>
              </w:rPr>
              <w:t>(空房)</w:t>
            </w:r>
          </w:p>
        </w:tc>
        <w:tc>
          <w:tcPr>
            <w:tcW w:w="1348" w:type="dxa"/>
            <w:tcBorders>
              <w:top w:val="single" w:color="000000" w:sz="2" w:space="0"/>
              <w:bottom w:val="single" w:color="000000" w:sz="2" w:space="0"/>
            </w:tcBorders>
            <w:vAlign w:val="top"/>
          </w:tcPr>
          <w:p w14:paraId="56C8E0A9">
            <w:pPr>
              <w:pStyle w:val="6"/>
              <w:spacing w:before="49" w:line="202" w:lineRule="auto"/>
              <w:ind w:left="81"/>
              <w:rPr>
                <w:sz w:val="19"/>
                <w:szCs w:val="19"/>
              </w:rPr>
            </w:pPr>
            <w:r>
              <w:rPr>
                <w:spacing w:val="2"/>
                <w:sz w:val="19"/>
                <w:szCs w:val="19"/>
              </w:rPr>
              <w:t>(1)站位</w:t>
            </w:r>
          </w:p>
          <w:p w14:paraId="683CA3F8">
            <w:pPr>
              <w:pStyle w:val="6"/>
              <w:spacing w:line="219" w:lineRule="auto"/>
              <w:ind w:left="91"/>
              <w:rPr>
                <w:sz w:val="19"/>
                <w:szCs w:val="19"/>
              </w:rPr>
            </w:pPr>
            <w:r>
              <w:rPr>
                <w:sz w:val="19"/>
                <w:szCs w:val="19"/>
              </w:rPr>
              <w:t>(2)楼层迎客</w:t>
            </w:r>
          </w:p>
          <w:p w14:paraId="5FD333D6">
            <w:pPr>
              <w:pStyle w:val="6"/>
              <w:spacing w:before="5" w:line="207" w:lineRule="auto"/>
              <w:ind w:left="81" w:right="197" w:firstLine="10"/>
              <w:rPr>
                <w:sz w:val="19"/>
                <w:szCs w:val="19"/>
              </w:rPr>
            </w:pPr>
            <w:r>
              <w:rPr>
                <w:sz w:val="19"/>
                <w:szCs w:val="19"/>
              </w:rPr>
              <w:t>(3)引领客人</w:t>
            </w:r>
            <w:r>
              <w:rPr>
                <w:spacing w:val="2"/>
                <w:sz w:val="19"/>
                <w:szCs w:val="19"/>
              </w:rPr>
              <w:t xml:space="preserve"> </w:t>
            </w:r>
            <w:r>
              <w:rPr>
                <w:spacing w:val="-2"/>
                <w:sz w:val="19"/>
                <w:szCs w:val="19"/>
              </w:rPr>
              <w:t>入房</w:t>
            </w:r>
          </w:p>
          <w:p w14:paraId="7E557662">
            <w:pPr>
              <w:pStyle w:val="6"/>
              <w:spacing w:before="12" w:line="214" w:lineRule="auto"/>
              <w:ind w:left="72"/>
              <w:rPr>
                <w:sz w:val="19"/>
                <w:szCs w:val="19"/>
              </w:rPr>
            </w:pPr>
            <w:r>
              <w:rPr>
                <w:spacing w:val="1"/>
                <w:sz w:val="19"/>
                <w:szCs w:val="19"/>
              </w:rPr>
              <w:t>(4)介绍房间</w:t>
            </w:r>
          </w:p>
          <w:p w14:paraId="04F0090E">
            <w:pPr>
              <w:pStyle w:val="6"/>
              <w:spacing w:line="214" w:lineRule="auto"/>
              <w:ind w:left="81" w:right="6" w:hanging="69"/>
              <w:rPr>
                <w:sz w:val="19"/>
                <w:szCs w:val="19"/>
              </w:rPr>
            </w:pPr>
            <w:r>
              <w:rPr>
                <w:spacing w:val="-2"/>
                <w:sz w:val="19"/>
                <w:szCs w:val="19"/>
              </w:rPr>
              <w:t>设施设备与服务</w:t>
            </w:r>
            <w:r>
              <w:rPr>
                <w:spacing w:val="2"/>
                <w:sz w:val="19"/>
                <w:szCs w:val="19"/>
              </w:rPr>
              <w:t xml:space="preserve"> </w:t>
            </w:r>
            <w:r>
              <w:rPr>
                <w:spacing w:val="-5"/>
                <w:sz w:val="19"/>
                <w:szCs w:val="19"/>
              </w:rPr>
              <w:t>项 目</w:t>
            </w:r>
          </w:p>
          <w:p w14:paraId="44155E9F">
            <w:pPr>
              <w:pStyle w:val="6"/>
              <w:spacing w:line="194" w:lineRule="auto"/>
              <w:ind w:left="81"/>
              <w:rPr>
                <w:sz w:val="19"/>
                <w:szCs w:val="19"/>
              </w:rPr>
            </w:pPr>
            <w:r>
              <w:rPr>
                <w:spacing w:val="1"/>
                <w:sz w:val="19"/>
                <w:szCs w:val="19"/>
              </w:rPr>
              <w:t>(5)退出房间</w:t>
            </w:r>
          </w:p>
          <w:p w14:paraId="79D9595B">
            <w:pPr>
              <w:pStyle w:val="6"/>
              <w:spacing w:line="185" w:lineRule="auto"/>
              <w:ind w:left="81"/>
              <w:rPr>
                <w:sz w:val="19"/>
                <w:szCs w:val="19"/>
              </w:rPr>
            </w:pPr>
            <w:r>
              <w:rPr>
                <w:spacing w:val="2"/>
                <w:sz w:val="19"/>
                <w:szCs w:val="19"/>
              </w:rPr>
              <w:t>(6)送客</w:t>
            </w:r>
          </w:p>
        </w:tc>
        <w:tc>
          <w:tcPr>
            <w:tcW w:w="859" w:type="dxa"/>
            <w:tcBorders>
              <w:top w:val="single" w:color="000000" w:sz="2" w:space="0"/>
              <w:bottom w:val="single" w:color="000000" w:sz="2" w:space="0"/>
            </w:tcBorders>
            <w:vAlign w:val="top"/>
          </w:tcPr>
          <w:p w14:paraId="241EF19D">
            <w:pPr>
              <w:spacing w:line="250" w:lineRule="auto"/>
              <w:rPr>
                <w:rFonts w:ascii="Arial"/>
                <w:sz w:val="21"/>
              </w:rPr>
            </w:pPr>
          </w:p>
          <w:p w14:paraId="4B809BB4">
            <w:pPr>
              <w:spacing w:line="250" w:lineRule="auto"/>
              <w:rPr>
                <w:rFonts w:ascii="Arial"/>
                <w:sz w:val="21"/>
              </w:rPr>
            </w:pPr>
          </w:p>
          <w:p w14:paraId="5FC4EBCC">
            <w:pPr>
              <w:spacing w:line="251" w:lineRule="auto"/>
              <w:rPr>
                <w:rFonts w:ascii="Arial"/>
                <w:sz w:val="21"/>
              </w:rPr>
            </w:pPr>
          </w:p>
          <w:p w14:paraId="70D3B956">
            <w:pPr>
              <w:pStyle w:val="6"/>
              <w:spacing w:before="62" w:line="221" w:lineRule="auto"/>
              <w:ind w:left="233" w:right="32" w:hanging="190"/>
              <w:rPr>
                <w:sz w:val="19"/>
                <w:szCs w:val="19"/>
              </w:rPr>
            </w:pPr>
            <w:r>
              <w:rPr>
                <w:spacing w:val="3"/>
                <w:sz w:val="19"/>
                <w:szCs w:val="19"/>
              </w:rPr>
              <w:t>现场操作</w:t>
            </w:r>
            <w:r>
              <w:rPr>
                <w:sz w:val="19"/>
                <w:szCs w:val="19"/>
              </w:rPr>
              <w:t xml:space="preserve"> </w:t>
            </w:r>
            <w:r>
              <w:rPr>
                <w:spacing w:val="-2"/>
                <w:sz w:val="19"/>
                <w:szCs w:val="19"/>
              </w:rPr>
              <w:t>考试</w:t>
            </w:r>
          </w:p>
        </w:tc>
        <w:tc>
          <w:tcPr>
            <w:tcW w:w="2647" w:type="dxa"/>
            <w:tcBorders>
              <w:top w:val="single" w:color="000000" w:sz="2" w:space="0"/>
              <w:bottom w:val="single" w:color="000000" w:sz="2" w:space="0"/>
            </w:tcBorders>
            <w:vAlign w:val="top"/>
          </w:tcPr>
          <w:p w14:paraId="33817D7C">
            <w:pPr>
              <w:pStyle w:val="6"/>
              <w:spacing w:before="156" w:line="214" w:lineRule="auto"/>
              <w:ind w:left="44" w:right="142" w:firstLine="60"/>
              <w:rPr>
                <w:sz w:val="19"/>
                <w:szCs w:val="19"/>
              </w:rPr>
            </w:pPr>
            <w:r>
              <w:rPr>
                <w:sz w:val="19"/>
                <w:szCs w:val="19"/>
              </w:rPr>
              <w:t>(1)考试时间：5分钟，准备1</w:t>
            </w:r>
            <w:r>
              <w:rPr>
                <w:spacing w:val="13"/>
                <w:sz w:val="19"/>
                <w:szCs w:val="19"/>
              </w:rPr>
              <w:t xml:space="preserve"> </w:t>
            </w:r>
            <w:r>
              <w:rPr>
                <w:spacing w:val="-1"/>
                <w:sz w:val="19"/>
                <w:szCs w:val="19"/>
              </w:rPr>
              <w:t>分钟(不计入考核时间)。</w:t>
            </w:r>
          </w:p>
          <w:p w14:paraId="6B0301A7">
            <w:pPr>
              <w:pStyle w:val="6"/>
              <w:spacing w:before="1" w:line="216" w:lineRule="auto"/>
              <w:ind w:left="14" w:right="177" w:firstLine="60"/>
              <w:rPr>
                <w:sz w:val="19"/>
                <w:szCs w:val="19"/>
              </w:rPr>
            </w:pPr>
            <w:r>
              <w:rPr>
                <w:sz w:val="19"/>
                <w:szCs w:val="19"/>
              </w:rPr>
              <w:t>(2)考生必须携带准考证和身</w:t>
            </w:r>
            <w:r>
              <w:rPr>
                <w:spacing w:val="8"/>
                <w:sz w:val="19"/>
                <w:szCs w:val="19"/>
              </w:rPr>
              <w:t xml:space="preserve"> </w:t>
            </w:r>
            <w:r>
              <w:rPr>
                <w:spacing w:val="-1"/>
                <w:sz w:val="19"/>
                <w:szCs w:val="19"/>
              </w:rPr>
              <w:t>份证参加考试。</w:t>
            </w:r>
          </w:p>
          <w:p w14:paraId="216276BF">
            <w:pPr>
              <w:pStyle w:val="6"/>
              <w:spacing w:before="3" w:line="219" w:lineRule="auto"/>
              <w:jc w:val="right"/>
              <w:rPr>
                <w:sz w:val="19"/>
                <w:szCs w:val="19"/>
              </w:rPr>
            </w:pPr>
            <w:r>
              <w:rPr>
                <w:spacing w:val="-2"/>
                <w:sz w:val="19"/>
                <w:szCs w:val="19"/>
              </w:rPr>
              <w:t>(3)服务到位，举止规范准确。</w:t>
            </w:r>
          </w:p>
          <w:p w14:paraId="0FA6E8DD">
            <w:pPr>
              <w:pStyle w:val="6"/>
              <w:spacing w:before="15" w:line="194" w:lineRule="auto"/>
              <w:ind w:left="105"/>
              <w:rPr>
                <w:sz w:val="19"/>
                <w:szCs w:val="19"/>
              </w:rPr>
            </w:pPr>
            <w:r>
              <w:rPr>
                <w:spacing w:val="-1"/>
                <w:sz w:val="19"/>
                <w:szCs w:val="19"/>
              </w:rPr>
              <w:t>(4)使用敬语。</w:t>
            </w:r>
          </w:p>
          <w:p w14:paraId="2F97194D">
            <w:pPr>
              <w:pStyle w:val="6"/>
              <w:spacing w:line="227" w:lineRule="auto"/>
              <w:ind w:left="34" w:right="163" w:firstLine="60"/>
              <w:rPr>
                <w:sz w:val="19"/>
                <w:szCs w:val="19"/>
              </w:rPr>
            </w:pPr>
            <w:r>
              <w:rPr>
                <w:sz w:val="19"/>
                <w:szCs w:val="19"/>
              </w:rPr>
              <w:t>(5)介绍房间设施设备与服务</w:t>
            </w:r>
            <w:r>
              <w:rPr>
                <w:spacing w:val="2"/>
                <w:sz w:val="19"/>
                <w:szCs w:val="19"/>
              </w:rPr>
              <w:t xml:space="preserve"> </w:t>
            </w:r>
            <w:r>
              <w:rPr>
                <w:spacing w:val="-1"/>
                <w:sz w:val="19"/>
                <w:szCs w:val="19"/>
              </w:rPr>
              <w:t>项目2—3分钟。</w:t>
            </w:r>
          </w:p>
        </w:tc>
        <w:tc>
          <w:tcPr>
            <w:tcW w:w="2142" w:type="dxa"/>
            <w:tcBorders>
              <w:top w:val="single" w:color="000000" w:sz="2" w:space="0"/>
              <w:bottom w:val="single" w:color="000000" w:sz="2" w:space="0"/>
            </w:tcBorders>
            <w:vAlign w:val="top"/>
          </w:tcPr>
          <w:p w14:paraId="37B6FCB6">
            <w:pPr>
              <w:pStyle w:val="6"/>
              <w:spacing w:before="168" w:line="214" w:lineRule="auto"/>
              <w:ind w:left="78"/>
              <w:rPr>
                <w:sz w:val="19"/>
                <w:szCs w:val="19"/>
              </w:rPr>
            </w:pPr>
            <w:r>
              <w:rPr>
                <w:spacing w:val="-2"/>
                <w:sz w:val="19"/>
                <w:szCs w:val="19"/>
              </w:rPr>
              <w:t>满分70分</w:t>
            </w:r>
          </w:p>
          <w:p w14:paraId="0E696FAD">
            <w:pPr>
              <w:pStyle w:val="6"/>
              <w:spacing w:line="203" w:lineRule="auto"/>
              <w:ind w:left="78"/>
              <w:rPr>
                <w:sz w:val="19"/>
                <w:szCs w:val="19"/>
              </w:rPr>
            </w:pPr>
            <w:r>
              <w:rPr>
                <w:spacing w:val="4"/>
                <w:sz w:val="19"/>
                <w:szCs w:val="19"/>
              </w:rPr>
              <w:t>(1)站位(10分)</w:t>
            </w:r>
          </w:p>
          <w:p w14:paraId="1909AF22">
            <w:pPr>
              <w:pStyle w:val="6"/>
              <w:spacing w:line="214" w:lineRule="auto"/>
              <w:ind w:left="78"/>
              <w:rPr>
                <w:sz w:val="19"/>
                <w:szCs w:val="19"/>
              </w:rPr>
            </w:pPr>
            <w:r>
              <w:rPr>
                <w:spacing w:val="3"/>
                <w:sz w:val="19"/>
                <w:szCs w:val="19"/>
              </w:rPr>
              <w:t>(2)楼层迎客(10分)</w:t>
            </w:r>
          </w:p>
          <w:p w14:paraId="40896DA3">
            <w:pPr>
              <w:pStyle w:val="6"/>
              <w:spacing w:line="220" w:lineRule="auto"/>
              <w:ind w:left="68"/>
              <w:rPr>
                <w:sz w:val="19"/>
                <w:szCs w:val="19"/>
              </w:rPr>
            </w:pPr>
            <w:r>
              <w:rPr>
                <w:spacing w:val="2"/>
                <w:sz w:val="19"/>
                <w:szCs w:val="19"/>
              </w:rPr>
              <w:t>(3)引领客人入房(20分)</w:t>
            </w:r>
          </w:p>
          <w:p w14:paraId="1F68E445">
            <w:pPr>
              <w:pStyle w:val="6"/>
              <w:spacing w:before="2" w:line="214" w:lineRule="auto"/>
              <w:ind w:left="78" w:right="58" w:hanging="10"/>
              <w:rPr>
                <w:sz w:val="19"/>
                <w:szCs w:val="19"/>
              </w:rPr>
            </w:pPr>
            <w:r>
              <w:rPr>
                <w:sz w:val="19"/>
                <w:szCs w:val="19"/>
              </w:rPr>
              <w:t>(4)介绍房间设施设备与</w:t>
            </w:r>
            <w:r>
              <w:rPr>
                <w:spacing w:val="9"/>
                <w:sz w:val="19"/>
                <w:szCs w:val="19"/>
              </w:rPr>
              <w:t xml:space="preserve"> </w:t>
            </w:r>
            <w:r>
              <w:rPr>
                <w:spacing w:val="4"/>
                <w:sz w:val="19"/>
                <w:szCs w:val="19"/>
              </w:rPr>
              <w:t>服务项目(20分)</w:t>
            </w:r>
          </w:p>
          <w:p w14:paraId="2A1BFE1C">
            <w:pPr>
              <w:pStyle w:val="6"/>
              <w:spacing w:line="213" w:lineRule="auto"/>
              <w:ind w:left="78"/>
              <w:rPr>
                <w:sz w:val="19"/>
                <w:szCs w:val="19"/>
              </w:rPr>
            </w:pPr>
            <w:r>
              <w:rPr>
                <w:spacing w:val="3"/>
                <w:sz w:val="19"/>
                <w:szCs w:val="19"/>
              </w:rPr>
              <w:t>(5)退出房间(5分)</w:t>
            </w:r>
          </w:p>
          <w:p w14:paraId="20C32E5E">
            <w:pPr>
              <w:pStyle w:val="6"/>
              <w:spacing w:line="220" w:lineRule="auto"/>
              <w:ind w:left="78"/>
              <w:rPr>
                <w:sz w:val="19"/>
                <w:szCs w:val="19"/>
              </w:rPr>
            </w:pPr>
            <w:r>
              <w:rPr>
                <w:spacing w:val="29"/>
                <w:sz w:val="19"/>
                <w:szCs w:val="19"/>
              </w:rPr>
              <w:t>(6)送客(5分)</w:t>
            </w:r>
          </w:p>
        </w:tc>
      </w:tr>
    </w:tbl>
    <w:p w14:paraId="5F5D8BB5">
      <w:pPr>
        <w:pStyle w:val="2"/>
        <w:spacing w:line="14" w:lineRule="auto"/>
        <w:rPr>
          <w:sz w:val="2"/>
        </w:rPr>
      </w:pPr>
    </w:p>
    <w:p w14:paraId="25CEE782">
      <w:pPr>
        <w:spacing w:line="14" w:lineRule="auto"/>
        <w:rPr>
          <w:sz w:val="2"/>
          <w:szCs w:val="2"/>
        </w:rPr>
        <w:sectPr>
          <w:type w:val="continuous"/>
          <w:pgSz w:w="10660" w:h="15080"/>
          <w:pgMar w:top="400" w:right="1025" w:bottom="905" w:left="819" w:header="0" w:footer="743" w:gutter="0"/>
          <w:cols w:equalWidth="0" w:num="1">
            <w:col w:w="8815"/>
          </w:cols>
        </w:sectPr>
      </w:pPr>
    </w:p>
    <w:p w14:paraId="3B0D60A8">
      <w:pPr>
        <w:spacing w:before="18"/>
      </w:pPr>
    </w:p>
    <w:p w14:paraId="15C878B6">
      <w:pPr>
        <w:spacing w:before="17"/>
      </w:pPr>
    </w:p>
    <w:p w14:paraId="73184E0E">
      <w:pPr>
        <w:spacing w:before="17"/>
      </w:pPr>
    </w:p>
    <w:p w14:paraId="4565E5A9">
      <w:pPr>
        <w:spacing w:before="17"/>
      </w:pPr>
    </w:p>
    <w:tbl>
      <w:tblPr>
        <w:tblStyle w:val="5"/>
        <w:tblW w:w="871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04"/>
        <w:gridCol w:w="809"/>
        <w:gridCol w:w="1358"/>
        <w:gridCol w:w="859"/>
        <w:gridCol w:w="2637"/>
        <w:gridCol w:w="2143"/>
      </w:tblGrid>
      <w:tr w14:paraId="4F1638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5" w:hRule="atLeast"/>
        </w:trPr>
        <w:tc>
          <w:tcPr>
            <w:tcW w:w="904" w:type="dxa"/>
            <w:vAlign w:val="top"/>
          </w:tcPr>
          <w:p w14:paraId="5FFA4975">
            <w:pPr>
              <w:pStyle w:val="6"/>
              <w:spacing w:before="150" w:line="220" w:lineRule="auto"/>
              <w:ind w:left="67"/>
              <w:rPr>
                <w:sz w:val="19"/>
                <w:szCs w:val="19"/>
              </w:rPr>
            </w:pPr>
            <w:r>
              <w:rPr>
                <w:b/>
                <w:bCs/>
                <w:spacing w:val="5"/>
                <w:sz w:val="19"/>
                <w:szCs w:val="19"/>
              </w:rPr>
              <w:t>测试项目</w:t>
            </w:r>
          </w:p>
        </w:tc>
        <w:tc>
          <w:tcPr>
            <w:tcW w:w="809" w:type="dxa"/>
            <w:vAlign w:val="top"/>
          </w:tcPr>
          <w:p w14:paraId="617F7CC3">
            <w:pPr>
              <w:pStyle w:val="6"/>
              <w:spacing w:before="151" w:line="221" w:lineRule="auto"/>
              <w:ind w:left="13"/>
              <w:rPr>
                <w:sz w:val="19"/>
                <w:szCs w:val="19"/>
              </w:rPr>
            </w:pPr>
            <w:r>
              <w:rPr>
                <w:b/>
                <w:bCs/>
                <w:spacing w:val="-4"/>
                <w:sz w:val="19"/>
                <w:szCs w:val="19"/>
              </w:rPr>
              <w:t>测试用具</w:t>
            </w:r>
          </w:p>
        </w:tc>
        <w:tc>
          <w:tcPr>
            <w:tcW w:w="1358" w:type="dxa"/>
            <w:vAlign w:val="top"/>
          </w:tcPr>
          <w:p w14:paraId="168F988F">
            <w:pPr>
              <w:pStyle w:val="6"/>
              <w:spacing w:before="150" w:line="219" w:lineRule="auto"/>
              <w:ind w:left="294"/>
              <w:rPr>
                <w:sz w:val="19"/>
                <w:szCs w:val="19"/>
              </w:rPr>
            </w:pPr>
            <w:r>
              <w:rPr>
                <w:b/>
                <w:bCs/>
                <w:spacing w:val="-4"/>
                <w:sz w:val="19"/>
                <w:szCs w:val="19"/>
              </w:rPr>
              <w:t>测试内容</w:t>
            </w:r>
          </w:p>
        </w:tc>
        <w:tc>
          <w:tcPr>
            <w:tcW w:w="859" w:type="dxa"/>
            <w:vAlign w:val="top"/>
          </w:tcPr>
          <w:p w14:paraId="0C8BD609">
            <w:pPr>
              <w:pStyle w:val="6"/>
              <w:spacing w:before="151" w:line="221" w:lineRule="auto"/>
              <w:ind w:left="46"/>
              <w:rPr>
                <w:sz w:val="19"/>
                <w:szCs w:val="19"/>
              </w:rPr>
            </w:pPr>
            <w:r>
              <w:rPr>
                <w:b/>
                <w:bCs/>
                <w:spacing w:val="-4"/>
                <w:sz w:val="19"/>
                <w:szCs w:val="19"/>
              </w:rPr>
              <w:t>测试方法</w:t>
            </w:r>
          </w:p>
        </w:tc>
        <w:tc>
          <w:tcPr>
            <w:tcW w:w="2637" w:type="dxa"/>
            <w:vAlign w:val="top"/>
          </w:tcPr>
          <w:p w14:paraId="1C2F20BA">
            <w:pPr>
              <w:pStyle w:val="6"/>
              <w:spacing w:before="151" w:line="221" w:lineRule="auto"/>
              <w:ind w:left="987"/>
              <w:rPr>
                <w:sz w:val="19"/>
                <w:szCs w:val="19"/>
              </w:rPr>
            </w:pPr>
            <w:r>
              <w:rPr>
                <w:b/>
                <w:bCs/>
                <w:spacing w:val="-4"/>
                <w:sz w:val="19"/>
                <w:szCs w:val="19"/>
              </w:rPr>
              <w:t>测试要求</w:t>
            </w:r>
          </w:p>
        </w:tc>
        <w:tc>
          <w:tcPr>
            <w:tcW w:w="2143" w:type="dxa"/>
            <w:vAlign w:val="top"/>
          </w:tcPr>
          <w:p w14:paraId="194D6256">
            <w:pPr>
              <w:pStyle w:val="6"/>
              <w:spacing w:before="150" w:line="219" w:lineRule="auto"/>
              <w:ind w:left="750"/>
              <w:rPr>
                <w:sz w:val="19"/>
                <w:szCs w:val="19"/>
              </w:rPr>
            </w:pPr>
            <w:r>
              <w:rPr>
                <w:b/>
                <w:bCs/>
                <w:spacing w:val="-4"/>
                <w:sz w:val="19"/>
                <w:szCs w:val="19"/>
              </w:rPr>
              <w:t>赋分参考</w:t>
            </w:r>
          </w:p>
        </w:tc>
      </w:tr>
      <w:tr w14:paraId="4D5FE9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86" w:hRule="atLeast"/>
        </w:trPr>
        <w:tc>
          <w:tcPr>
            <w:tcW w:w="904" w:type="dxa"/>
            <w:vAlign w:val="top"/>
          </w:tcPr>
          <w:p w14:paraId="3A31FE33">
            <w:pPr>
              <w:spacing w:line="253" w:lineRule="auto"/>
              <w:rPr>
                <w:rFonts w:ascii="Arial"/>
                <w:sz w:val="21"/>
              </w:rPr>
            </w:pPr>
          </w:p>
          <w:p w14:paraId="6F12AD17">
            <w:pPr>
              <w:spacing w:line="253" w:lineRule="auto"/>
              <w:rPr>
                <w:rFonts w:ascii="Arial"/>
                <w:sz w:val="21"/>
              </w:rPr>
            </w:pPr>
          </w:p>
          <w:p w14:paraId="5CEF48D7">
            <w:pPr>
              <w:spacing w:line="253" w:lineRule="auto"/>
              <w:rPr>
                <w:rFonts w:ascii="Arial"/>
                <w:sz w:val="21"/>
              </w:rPr>
            </w:pPr>
          </w:p>
          <w:p w14:paraId="3CA5D6B9">
            <w:pPr>
              <w:spacing w:line="254" w:lineRule="auto"/>
              <w:rPr>
                <w:rFonts w:ascii="Arial"/>
                <w:sz w:val="21"/>
              </w:rPr>
            </w:pPr>
          </w:p>
          <w:p w14:paraId="051D64A4">
            <w:pPr>
              <w:spacing w:line="254" w:lineRule="auto"/>
              <w:rPr>
                <w:rFonts w:ascii="Arial"/>
                <w:sz w:val="21"/>
              </w:rPr>
            </w:pPr>
          </w:p>
          <w:p w14:paraId="5DF64E2E">
            <w:pPr>
              <w:spacing w:line="254" w:lineRule="auto"/>
              <w:rPr>
                <w:rFonts w:ascii="Arial"/>
                <w:sz w:val="21"/>
              </w:rPr>
            </w:pPr>
          </w:p>
          <w:p w14:paraId="689D14FE">
            <w:pPr>
              <w:spacing w:line="254" w:lineRule="auto"/>
              <w:rPr>
                <w:rFonts w:ascii="Arial"/>
                <w:sz w:val="21"/>
              </w:rPr>
            </w:pPr>
          </w:p>
          <w:p w14:paraId="0C2BD3F1">
            <w:pPr>
              <w:pStyle w:val="6"/>
              <w:spacing w:before="62" w:line="216" w:lineRule="auto"/>
              <w:ind w:left="154" w:right="23" w:hanging="49"/>
              <w:rPr>
                <w:sz w:val="19"/>
                <w:szCs w:val="19"/>
              </w:rPr>
            </w:pPr>
            <w:r>
              <w:rPr>
                <w:spacing w:val="1"/>
                <w:sz w:val="19"/>
                <w:szCs w:val="19"/>
              </w:rPr>
              <w:t>项目四：</w:t>
            </w:r>
            <w:r>
              <w:rPr>
                <w:sz w:val="19"/>
                <w:szCs w:val="19"/>
              </w:rPr>
              <w:t xml:space="preserve"> </w:t>
            </w:r>
            <w:r>
              <w:rPr>
                <w:spacing w:val="-2"/>
                <w:sz w:val="19"/>
                <w:szCs w:val="19"/>
              </w:rPr>
              <w:t>开夜床</w:t>
            </w:r>
          </w:p>
        </w:tc>
        <w:tc>
          <w:tcPr>
            <w:tcW w:w="809" w:type="dxa"/>
            <w:vAlign w:val="top"/>
          </w:tcPr>
          <w:p w14:paraId="7BB5CE99">
            <w:pPr>
              <w:spacing w:line="265" w:lineRule="auto"/>
              <w:rPr>
                <w:rFonts w:ascii="Arial"/>
                <w:sz w:val="21"/>
              </w:rPr>
            </w:pPr>
          </w:p>
          <w:p w14:paraId="57317A7D">
            <w:pPr>
              <w:spacing w:line="265" w:lineRule="auto"/>
              <w:rPr>
                <w:rFonts w:ascii="Arial"/>
                <w:sz w:val="21"/>
              </w:rPr>
            </w:pPr>
          </w:p>
          <w:p w14:paraId="08DA3BF8">
            <w:pPr>
              <w:spacing w:line="265" w:lineRule="auto"/>
              <w:rPr>
                <w:rFonts w:ascii="Arial"/>
                <w:sz w:val="21"/>
              </w:rPr>
            </w:pPr>
          </w:p>
          <w:p w14:paraId="190E58CE">
            <w:pPr>
              <w:spacing w:line="266" w:lineRule="auto"/>
              <w:rPr>
                <w:rFonts w:ascii="Arial"/>
                <w:sz w:val="21"/>
              </w:rPr>
            </w:pPr>
          </w:p>
          <w:p w14:paraId="1F5846A8">
            <w:pPr>
              <w:spacing w:line="266" w:lineRule="auto"/>
              <w:rPr>
                <w:rFonts w:ascii="Arial"/>
                <w:sz w:val="21"/>
              </w:rPr>
            </w:pPr>
          </w:p>
          <w:p w14:paraId="488FCB12">
            <w:pPr>
              <w:pStyle w:val="6"/>
              <w:spacing w:before="62" w:line="214" w:lineRule="auto"/>
              <w:ind w:left="111"/>
              <w:rPr>
                <w:sz w:val="19"/>
                <w:szCs w:val="19"/>
              </w:rPr>
            </w:pPr>
            <w:r>
              <w:rPr>
                <w:spacing w:val="-2"/>
                <w:sz w:val="19"/>
                <w:szCs w:val="19"/>
              </w:rPr>
              <w:t>作品床</w:t>
            </w:r>
          </w:p>
          <w:p w14:paraId="175F1837">
            <w:pPr>
              <w:pStyle w:val="6"/>
              <w:spacing w:line="194" w:lineRule="auto"/>
              <w:ind w:left="11"/>
              <w:rPr>
                <w:sz w:val="19"/>
                <w:szCs w:val="19"/>
              </w:rPr>
            </w:pPr>
            <w:r>
              <w:rPr>
                <w:spacing w:val="-2"/>
                <w:sz w:val="19"/>
                <w:szCs w:val="19"/>
              </w:rPr>
              <w:t>瓶装矿泉</w:t>
            </w:r>
          </w:p>
          <w:p w14:paraId="53A7BC8B">
            <w:pPr>
              <w:pStyle w:val="6"/>
              <w:spacing w:line="219" w:lineRule="auto"/>
              <w:ind w:left="301"/>
              <w:rPr>
                <w:sz w:val="19"/>
                <w:szCs w:val="19"/>
              </w:rPr>
            </w:pPr>
            <w:r>
              <w:rPr>
                <w:sz w:val="19"/>
                <w:szCs w:val="19"/>
              </w:rPr>
              <w:t>水</w:t>
            </w:r>
          </w:p>
          <w:p w14:paraId="03ECA65A">
            <w:pPr>
              <w:pStyle w:val="6"/>
              <w:spacing w:before="3" w:line="219" w:lineRule="auto"/>
              <w:ind w:left="201"/>
              <w:rPr>
                <w:sz w:val="19"/>
                <w:szCs w:val="19"/>
              </w:rPr>
            </w:pPr>
            <w:r>
              <w:rPr>
                <w:spacing w:val="-2"/>
                <w:sz w:val="19"/>
                <w:szCs w:val="19"/>
              </w:rPr>
              <w:t>杯垫</w:t>
            </w:r>
          </w:p>
          <w:p w14:paraId="1907654B">
            <w:pPr>
              <w:pStyle w:val="6"/>
              <w:spacing w:before="4" w:line="205" w:lineRule="auto"/>
              <w:ind w:left="201"/>
              <w:rPr>
                <w:sz w:val="19"/>
                <w:szCs w:val="19"/>
              </w:rPr>
            </w:pPr>
            <w:r>
              <w:rPr>
                <w:spacing w:val="-2"/>
                <w:sz w:val="19"/>
                <w:szCs w:val="19"/>
              </w:rPr>
              <w:t>杯盖</w:t>
            </w:r>
          </w:p>
          <w:p w14:paraId="46A5DE32">
            <w:pPr>
              <w:pStyle w:val="6"/>
              <w:spacing w:line="219" w:lineRule="auto"/>
              <w:ind w:left="11"/>
              <w:rPr>
                <w:sz w:val="19"/>
                <w:szCs w:val="19"/>
              </w:rPr>
            </w:pPr>
            <w:r>
              <w:rPr>
                <w:spacing w:val="-2"/>
                <w:sz w:val="19"/>
                <w:szCs w:val="19"/>
              </w:rPr>
              <w:t>地巾提篮</w:t>
            </w:r>
          </w:p>
          <w:p w14:paraId="71365096">
            <w:pPr>
              <w:pStyle w:val="6"/>
              <w:spacing w:before="4" w:line="195" w:lineRule="auto"/>
              <w:ind w:left="201"/>
              <w:rPr>
                <w:sz w:val="19"/>
                <w:szCs w:val="19"/>
              </w:rPr>
            </w:pPr>
            <w:r>
              <w:rPr>
                <w:spacing w:val="13"/>
                <w:sz w:val="19"/>
                <w:szCs w:val="19"/>
              </w:rPr>
              <w:t>地巾</w:t>
            </w:r>
          </w:p>
          <w:p w14:paraId="6C364929">
            <w:pPr>
              <w:pStyle w:val="6"/>
              <w:spacing w:line="220" w:lineRule="auto"/>
              <w:ind w:left="201"/>
              <w:rPr>
                <w:sz w:val="19"/>
                <w:szCs w:val="19"/>
              </w:rPr>
            </w:pPr>
            <w:r>
              <w:rPr>
                <w:spacing w:val="-3"/>
                <w:sz w:val="19"/>
                <w:szCs w:val="19"/>
              </w:rPr>
              <w:t>拖鞋</w:t>
            </w:r>
          </w:p>
          <w:p w14:paraId="45733102">
            <w:pPr>
              <w:pStyle w:val="6"/>
              <w:spacing w:before="4" w:line="194" w:lineRule="auto"/>
              <w:ind w:left="11"/>
              <w:rPr>
                <w:sz w:val="19"/>
                <w:szCs w:val="19"/>
              </w:rPr>
            </w:pPr>
            <w:r>
              <w:rPr>
                <w:spacing w:val="-2"/>
                <w:sz w:val="19"/>
                <w:szCs w:val="19"/>
              </w:rPr>
              <w:t>环保卡及</w:t>
            </w:r>
          </w:p>
          <w:p w14:paraId="4AFB8EAA">
            <w:pPr>
              <w:pStyle w:val="6"/>
              <w:spacing w:line="220" w:lineRule="auto"/>
              <w:ind w:left="111"/>
              <w:rPr>
                <w:sz w:val="19"/>
                <w:szCs w:val="19"/>
              </w:rPr>
            </w:pPr>
            <w:r>
              <w:rPr>
                <w:spacing w:val="3"/>
                <w:sz w:val="19"/>
                <w:szCs w:val="19"/>
              </w:rPr>
              <w:t>晚安卡</w:t>
            </w:r>
          </w:p>
        </w:tc>
        <w:tc>
          <w:tcPr>
            <w:tcW w:w="1358" w:type="dxa"/>
            <w:vAlign w:val="top"/>
          </w:tcPr>
          <w:p w14:paraId="5460CFC8">
            <w:pPr>
              <w:spacing w:line="267" w:lineRule="auto"/>
              <w:rPr>
                <w:rFonts w:ascii="Arial"/>
                <w:sz w:val="21"/>
              </w:rPr>
            </w:pPr>
          </w:p>
          <w:p w14:paraId="6A37C3C1">
            <w:pPr>
              <w:spacing w:line="267" w:lineRule="auto"/>
              <w:rPr>
                <w:rFonts w:ascii="Arial"/>
                <w:sz w:val="21"/>
              </w:rPr>
            </w:pPr>
          </w:p>
          <w:p w14:paraId="631C2C8D">
            <w:pPr>
              <w:spacing w:line="267" w:lineRule="auto"/>
              <w:rPr>
                <w:rFonts w:ascii="Arial"/>
                <w:sz w:val="21"/>
              </w:rPr>
            </w:pPr>
          </w:p>
          <w:p w14:paraId="6C3F3BDA">
            <w:pPr>
              <w:spacing w:line="267" w:lineRule="auto"/>
              <w:rPr>
                <w:rFonts w:ascii="Arial"/>
                <w:sz w:val="21"/>
              </w:rPr>
            </w:pPr>
          </w:p>
          <w:p w14:paraId="0137DFDD">
            <w:pPr>
              <w:spacing w:line="268" w:lineRule="auto"/>
              <w:rPr>
                <w:rFonts w:ascii="Arial"/>
                <w:sz w:val="21"/>
              </w:rPr>
            </w:pPr>
          </w:p>
          <w:p w14:paraId="7B70BF8E">
            <w:pPr>
              <w:pStyle w:val="6"/>
              <w:spacing w:before="62" w:line="213" w:lineRule="auto"/>
              <w:ind w:left="1" w:firstLine="48"/>
              <w:rPr>
                <w:sz w:val="19"/>
                <w:szCs w:val="19"/>
              </w:rPr>
            </w:pPr>
            <w:r>
              <w:rPr>
                <w:spacing w:val="7"/>
                <w:sz w:val="19"/>
                <w:szCs w:val="19"/>
              </w:rPr>
              <w:t>(1)整理床铺、</w:t>
            </w:r>
            <w:r>
              <w:rPr>
                <w:spacing w:val="5"/>
                <w:sz w:val="19"/>
                <w:szCs w:val="19"/>
              </w:rPr>
              <w:t xml:space="preserve"> </w:t>
            </w:r>
            <w:r>
              <w:rPr>
                <w:spacing w:val="2"/>
                <w:sz w:val="19"/>
                <w:szCs w:val="19"/>
              </w:rPr>
              <w:t>准备物品(准备</w:t>
            </w:r>
            <w:r>
              <w:rPr>
                <w:sz w:val="19"/>
                <w:szCs w:val="19"/>
              </w:rPr>
              <w:t xml:space="preserve">  </w:t>
            </w:r>
            <w:r>
              <w:rPr>
                <w:spacing w:val="9"/>
                <w:sz w:val="19"/>
                <w:szCs w:val="19"/>
              </w:rPr>
              <w:t>工作时):位置</w:t>
            </w:r>
            <w:r>
              <w:rPr>
                <w:sz w:val="19"/>
                <w:szCs w:val="19"/>
              </w:rPr>
              <w:t xml:space="preserve">  </w:t>
            </w:r>
            <w:r>
              <w:rPr>
                <w:spacing w:val="-3"/>
                <w:sz w:val="19"/>
                <w:szCs w:val="19"/>
              </w:rPr>
              <w:t>正确，操作规范</w:t>
            </w:r>
          </w:p>
          <w:p w14:paraId="5C7CB490">
            <w:pPr>
              <w:pStyle w:val="6"/>
              <w:spacing w:before="3" w:line="196" w:lineRule="auto"/>
              <w:ind w:left="142"/>
              <w:rPr>
                <w:sz w:val="19"/>
                <w:szCs w:val="19"/>
              </w:rPr>
            </w:pPr>
            <w:r>
              <w:rPr>
                <w:spacing w:val="4"/>
                <w:sz w:val="19"/>
                <w:szCs w:val="19"/>
              </w:rPr>
              <w:t>(2)被子折角</w:t>
            </w:r>
          </w:p>
          <w:p w14:paraId="47069861">
            <w:pPr>
              <w:pStyle w:val="6"/>
              <w:spacing w:before="2" w:line="214" w:lineRule="auto"/>
              <w:ind w:left="101" w:right="10" w:firstLine="40"/>
              <w:rPr>
                <w:sz w:val="19"/>
                <w:szCs w:val="19"/>
              </w:rPr>
            </w:pPr>
            <w:r>
              <w:rPr>
                <w:spacing w:val="2"/>
                <w:sz w:val="19"/>
                <w:szCs w:val="19"/>
              </w:rPr>
              <w:t>(3)摆放晚安</w:t>
            </w:r>
            <w:r>
              <w:rPr>
                <w:sz w:val="19"/>
                <w:szCs w:val="19"/>
              </w:rPr>
              <w:t xml:space="preserve">  </w:t>
            </w:r>
            <w:r>
              <w:rPr>
                <w:spacing w:val="13"/>
                <w:sz w:val="19"/>
                <w:szCs w:val="19"/>
              </w:rPr>
              <w:t>卡(环保卡)、</w:t>
            </w:r>
            <w:r>
              <w:rPr>
                <w:spacing w:val="3"/>
                <w:sz w:val="19"/>
                <w:szCs w:val="19"/>
              </w:rPr>
              <w:t xml:space="preserve"> </w:t>
            </w:r>
            <w:r>
              <w:rPr>
                <w:spacing w:val="-1"/>
                <w:sz w:val="19"/>
                <w:szCs w:val="19"/>
              </w:rPr>
              <w:t>矿泉水及水杯</w:t>
            </w:r>
          </w:p>
          <w:p w14:paraId="59D82B5B">
            <w:pPr>
              <w:pStyle w:val="6"/>
              <w:spacing w:before="6" w:line="212" w:lineRule="auto"/>
              <w:ind w:left="22" w:right="60" w:firstLine="120"/>
              <w:rPr>
                <w:sz w:val="19"/>
                <w:szCs w:val="19"/>
              </w:rPr>
            </w:pPr>
            <w:r>
              <w:rPr>
                <w:spacing w:val="14"/>
                <w:sz w:val="19"/>
                <w:szCs w:val="19"/>
              </w:rPr>
              <w:t>(4)铺地巾、</w:t>
            </w:r>
            <w:r>
              <w:rPr>
                <w:sz w:val="19"/>
                <w:szCs w:val="19"/>
              </w:rPr>
              <w:t xml:space="preserve"> </w:t>
            </w:r>
            <w:r>
              <w:rPr>
                <w:spacing w:val="-2"/>
                <w:sz w:val="19"/>
                <w:szCs w:val="19"/>
              </w:rPr>
              <w:t>放拖鞋</w:t>
            </w:r>
          </w:p>
        </w:tc>
        <w:tc>
          <w:tcPr>
            <w:tcW w:w="859" w:type="dxa"/>
            <w:vAlign w:val="top"/>
          </w:tcPr>
          <w:p w14:paraId="5A8FB20D">
            <w:pPr>
              <w:spacing w:line="244" w:lineRule="auto"/>
              <w:rPr>
                <w:rFonts w:ascii="Arial"/>
                <w:sz w:val="21"/>
              </w:rPr>
            </w:pPr>
          </w:p>
          <w:p w14:paraId="1D3A1677">
            <w:pPr>
              <w:spacing w:line="244" w:lineRule="auto"/>
              <w:rPr>
                <w:rFonts w:ascii="Arial"/>
                <w:sz w:val="21"/>
              </w:rPr>
            </w:pPr>
          </w:p>
          <w:p w14:paraId="409BEF7A">
            <w:pPr>
              <w:spacing w:line="244" w:lineRule="auto"/>
              <w:rPr>
                <w:rFonts w:ascii="Arial"/>
                <w:sz w:val="21"/>
              </w:rPr>
            </w:pPr>
          </w:p>
          <w:p w14:paraId="1CA36662">
            <w:pPr>
              <w:spacing w:line="244" w:lineRule="auto"/>
              <w:rPr>
                <w:rFonts w:ascii="Arial"/>
                <w:sz w:val="21"/>
              </w:rPr>
            </w:pPr>
          </w:p>
          <w:p w14:paraId="4C7F5D15">
            <w:pPr>
              <w:spacing w:line="245" w:lineRule="auto"/>
              <w:rPr>
                <w:rFonts w:ascii="Arial"/>
                <w:sz w:val="21"/>
              </w:rPr>
            </w:pPr>
          </w:p>
          <w:p w14:paraId="45C871D4">
            <w:pPr>
              <w:spacing w:line="245" w:lineRule="auto"/>
              <w:rPr>
                <w:rFonts w:ascii="Arial"/>
                <w:sz w:val="21"/>
              </w:rPr>
            </w:pPr>
          </w:p>
          <w:p w14:paraId="6C7AFACE">
            <w:pPr>
              <w:spacing w:line="245" w:lineRule="auto"/>
              <w:rPr>
                <w:rFonts w:ascii="Arial"/>
                <w:sz w:val="21"/>
              </w:rPr>
            </w:pPr>
          </w:p>
          <w:p w14:paraId="6ABF43F6">
            <w:pPr>
              <w:spacing w:line="245" w:lineRule="auto"/>
              <w:rPr>
                <w:rFonts w:ascii="Arial"/>
                <w:sz w:val="21"/>
              </w:rPr>
            </w:pPr>
          </w:p>
          <w:p w14:paraId="28C4C13B">
            <w:pPr>
              <w:spacing w:line="245" w:lineRule="auto"/>
              <w:rPr>
                <w:rFonts w:ascii="Arial"/>
                <w:sz w:val="21"/>
              </w:rPr>
            </w:pPr>
          </w:p>
          <w:p w14:paraId="4F990D22">
            <w:pPr>
              <w:pStyle w:val="6"/>
              <w:spacing w:before="62" w:line="207" w:lineRule="auto"/>
              <w:ind w:left="233" w:right="32" w:hanging="189"/>
              <w:rPr>
                <w:sz w:val="19"/>
                <w:szCs w:val="19"/>
              </w:rPr>
            </w:pPr>
            <w:r>
              <w:rPr>
                <w:spacing w:val="3"/>
                <w:sz w:val="19"/>
                <w:szCs w:val="19"/>
              </w:rPr>
              <w:t>现场操作</w:t>
            </w:r>
            <w:r>
              <w:rPr>
                <w:sz w:val="19"/>
                <w:szCs w:val="19"/>
              </w:rPr>
              <w:t xml:space="preserve"> </w:t>
            </w:r>
            <w:r>
              <w:rPr>
                <w:spacing w:val="-2"/>
                <w:sz w:val="19"/>
                <w:szCs w:val="19"/>
              </w:rPr>
              <w:t>考试</w:t>
            </w:r>
          </w:p>
        </w:tc>
        <w:tc>
          <w:tcPr>
            <w:tcW w:w="2637" w:type="dxa"/>
            <w:vAlign w:val="top"/>
          </w:tcPr>
          <w:p w14:paraId="4C29749C">
            <w:pPr>
              <w:pStyle w:val="6"/>
              <w:spacing w:before="67" w:line="214" w:lineRule="auto"/>
              <w:ind w:left="34" w:right="152" w:firstLine="49"/>
              <w:rPr>
                <w:sz w:val="19"/>
                <w:szCs w:val="19"/>
              </w:rPr>
            </w:pPr>
            <w:r>
              <w:rPr>
                <w:sz w:val="19"/>
                <w:szCs w:val="19"/>
              </w:rPr>
              <w:t>(1)考试时间：2分钟，准备1</w:t>
            </w:r>
            <w:r>
              <w:rPr>
                <w:spacing w:val="13"/>
                <w:sz w:val="19"/>
                <w:szCs w:val="19"/>
              </w:rPr>
              <w:t xml:space="preserve"> </w:t>
            </w:r>
            <w:r>
              <w:rPr>
                <w:spacing w:val="-1"/>
                <w:sz w:val="19"/>
                <w:szCs w:val="19"/>
              </w:rPr>
              <w:t>分钟(不计入考试时间)。</w:t>
            </w:r>
          </w:p>
          <w:p w14:paraId="70B29810">
            <w:pPr>
              <w:pStyle w:val="6"/>
              <w:spacing w:line="213" w:lineRule="auto"/>
              <w:ind w:left="34" w:right="273" w:firstLine="30"/>
              <w:rPr>
                <w:sz w:val="19"/>
                <w:szCs w:val="19"/>
              </w:rPr>
            </w:pPr>
            <w:r>
              <w:rPr>
                <w:sz w:val="19"/>
                <w:szCs w:val="19"/>
              </w:rPr>
              <w:t>(2)整理床铺、准备物品(准</w:t>
            </w:r>
            <w:r>
              <w:rPr>
                <w:spacing w:val="7"/>
                <w:sz w:val="19"/>
                <w:szCs w:val="19"/>
              </w:rPr>
              <w:t xml:space="preserve"> </w:t>
            </w:r>
            <w:r>
              <w:rPr>
                <w:spacing w:val="6"/>
                <w:sz w:val="19"/>
                <w:szCs w:val="19"/>
              </w:rPr>
              <w:t>备工作时):</w:t>
            </w:r>
          </w:p>
          <w:p w14:paraId="02BBA33E">
            <w:pPr>
              <w:pStyle w:val="6"/>
              <w:spacing w:before="3" w:line="210" w:lineRule="auto"/>
              <w:ind w:left="25" w:firstLine="59"/>
              <w:rPr>
                <w:sz w:val="19"/>
                <w:szCs w:val="19"/>
              </w:rPr>
            </w:pPr>
            <w:r>
              <w:rPr>
                <w:spacing w:val="-1"/>
                <w:sz w:val="19"/>
                <w:szCs w:val="19"/>
              </w:rPr>
              <w:t>(3)被子折角：将被子翻折于</w:t>
            </w:r>
            <w:r>
              <w:rPr>
                <w:spacing w:val="6"/>
                <w:sz w:val="19"/>
                <w:szCs w:val="19"/>
              </w:rPr>
              <w:t xml:space="preserve">  </w:t>
            </w:r>
            <w:r>
              <w:rPr>
                <w:spacing w:val="-5"/>
                <w:sz w:val="19"/>
                <w:szCs w:val="19"/>
              </w:rPr>
              <w:t>床上一侧的直角边与被子中线重</w:t>
            </w:r>
            <w:r>
              <w:rPr>
                <w:spacing w:val="10"/>
                <w:sz w:val="19"/>
                <w:szCs w:val="19"/>
              </w:rPr>
              <w:t xml:space="preserve"> </w:t>
            </w:r>
            <w:r>
              <w:rPr>
                <w:spacing w:val="-1"/>
                <w:sz w:val="19"/>
                <w:szCs w:val="19"/>
              </w:rPr>
              <w:t>合。折角平整，下垂自然。</w:t>
            </w:r>
          </w:p>
          <w:p w14:paraId="2BE3F53F">
            <w:pPr>
              <w:pStyle w:val="6"/>
              <w:spacing w:line="220" w:lineRule="auto"/>
              <w:ind w:left="84"/>
              <w:rPr>
                <w:sz w:val="19"/>
                <w:szCs w:val="19"/>
              </w:rPr>
            </w:pPr>
            <w:r>
              <w:rPr>
                <w:spacing w:val="6"/>
                <w:sz w:val="19"/>
                <w:szCs w:val="19"/>
              </w:rPr>
              <w:t>(4)摆放晚安卡(环保卡)、</w:t>
            </w:r>
          </w:p>
          <w:p w14:paraId="0295E3C7">
            <w:pPr>
              <w:pStyle w:val="6"/>
              <w:spacing w:before="12" w:line="212" w:lineRule="auto"/>
              <w:ind w:left="15" w:firstLine="28"/>
              <w:rPr>
                <w:sz w:val="19"/>
                <w:szCs w:val="19"/>
              </w:rPr>
            </w:pPr>
            <w:r>
              <w:rPr>
                <w:spacing w:val="-12"/>
                <w:sz w:val="19"/>
                <w:szCs w:val="19"/>
              </w:rPr>
              <w:t>矿泉水及水杯：在床头柜上摆放</w:t>
            </w:r>
            <w:r>
              <w:rPr>
                <w:spacing w:val="2"/>
                <w:sz w:val="19"/>
                <w:szCs w:val="19"/>
              </w:rPr>
              <w:t xml:space="preserve">  </w:t>
            </w:r>
            <w:r>
              <w:rPr>
                <w:spacing w:val="-6"/>
                <w:sz w:val="19"/>
                <w:szCs w:val="19"/>
              </w:rPr>
              <w:t>晚安卡(环保卡)、矿泉水及水</w:t>
            </w:r>
            <w:r>
              <w:rPr>
                <w:spacing w:val="2"/>
                <w:sz w:val="19"/>
                <w:szCs w:val="19"/>
              </w:rPr>
              <w:t xml:space="preserve">   </w:t>
            </w:r>
            <w:r>
              <w:rPr>
                <w:spacing w:val="-7"/>
                <w:sz w:val="19"/>
                <w:szCs w:val="19"/>
              </w:rPr>
              <w:t>杯(含杯垫、杯盖)。物品摆放</w:t>
            </w:r>
            <w:r>
              <w:rPr>
                <w:spacing w:val="1"/>
                <w:sz w:val="19"/>
                <w:szCs w:val="19"/>
              </w:rPr>
              <w:t xml:space="preserve">   </w:t>
            </w:r>
            <w:r>
              <w:rPr>
                <w:spacing w:val="-16"/>
                <w:sz w:val="19"/>
                <w:szCs w:val="19"/>
              </w:rPr>
              <w:t>位置合理，方便客人使用，卫生。</w:t>
            </w:r>
            <w:r>
              <w:rPr>
                <w:sz w:val="19"/>
                <w:szCs w:val="19"/>
              </w:rPr>
              <w:t xml:space="preserve"> </w:t>
            </w:r>
            <w:r>
              <w:rPr>
                <w:spacing w:val="-3"/>
                <w:sz w:val="19"/>
                <w:szCs w:val="19"/>
              </w:rPr>
              <w:t>(4)铺地巾、放拖鞋：将地巾摆</w:t>
            </w:r>
            <w:r>
              <w:rPr>
                <w:spacing w:val="3"/>
                <w:sz w:val="19"/>
                <w:szCs w:val="19"/>
              </w:rPr>
              <w:t xml:space="preserve">  </w:t>
            </w:r>
            <w:r>
              <w:rPr>
                <w:spacing w:val="-19"/>
                <w:w w:val="98"/>
                <w:sz w:val="19"/>
                <w:szCs w:val="19"/>
              </w:rPr>
              <w:t>放于折角一侧，地巾短边靠床头边</w:t>
            </w:r>
            <w:r>
              <w:rPr>
                <w:spacing w:val="8"/>
                <w:sz w:val="19"/>
                <w:szCs w:val="19"/>
              </w:rPr>
              <w:t xml:space="preserve">  </w:t>
            </w:r>
            <w:r>
              <w:rPr>
                <w:spacing w:val="-6"/>
                <w:sz w:val="19"/>
                <w:szCs w:val="19"/>
              </w:rPr>
              <w:t>与被子翻折45厘米(靠近床头一</w:t>
            </w:r>
            <w:r>
              <w:rPr>
                <w:sz w:val="19"/>
                <w:szCs w:val="19"/>
              </w:rPr>
              <w:t xml:space="preserve">  </w:t>
            </w:r>
            <w:r>
              <w:rPr>
                <w:spacing w:val="-16"/>
                <w:sz w:val="19"/>
                <w:szCs w:val="19"/>
              </w:rPr>
              <w:t>侧)齐平；地巾长边靠床体边与被</w:t>
            </w:r>
            <w:r>
              <w:rPr>
                <w:spacing w:val="5"/>
                <w:sz w:val="19"/>
                <w:szCs w:val="19"/>
              </w:rPr>
              <w:t xml:space="preserve">  </w:t>
            </w:r>
            <w:r>
              <w:rPr>
                <w:spacing w:val="-16"/>
                <w:w w:val="97"/>
                <w:sz w:val="19"/>
                <w:szCs w:val="19"/>
              </w:rPr>
              <w:t>子下垂边沿垂直齐平；拖鞋摆放于</w:t>
            </w:r>
            <w:r>
              <w:rPr>
                <w:spacing w:val="2"/>
                <w:sz w:val="19"/>
                <w:szCs w:val="19"/>
              </w:rPr>
              <w:t xml:space="preserve">  </w:t>
            </w:r>
            <w:r>
              <w:rPr>
                <w:spacing w:val="-22"/>
                <w:sz w:val="19"/>
                <w:szCs w:val="19"/>
              </w:rPr>
              <w:t>地巾之上，鞋头朝外。物品摆放位</w:t>
            </w:r>
            <w:r>
              <w:rPr>
                <w:spacing w:val="2"/>
                <w:sz w:val="19"/>
                <w:szCs w:val="19"/>
              </w:rPr>
              <w:t xml:space="preserve">  </w:t>
            </w:r>
            <w:r>
              <w:rPr>
                <w:spacing w:val="-5"/>
                <w:sz w:val="19"/>
                <w:szCs w:val="19"/>
              </w:rPr>
              <w:t>置合理，方便客人使用，卫生。</w:t>
            </w:r>
          </w:p>
          <w:p w14:paraId="2FE5B8F5">
            <w:pPr>
              <w:pStyle w:val="6"/>
              <w:spacing w:before="2" w:line="206" w:lineRule="auto"/>
              <w:ind w:left="15" w:firstLine="67"/>
              <w:rPr>
                <w:sz w:val="19"/>
                <w:szCs w:val="19"/>
              </w:rPr>
            </w:pPr>
            <w:r>
              <w:rPr>
                <w:spacing w:val="-6"/>
                <w:sz w:val="19"/>
                <w:szCs w:val="19"/>
              </w:rPr>
              <w:t>(5)整体效果：三线对齐，床</w:t>
            </w:r>
            <w:r>
              <w:rPr>
                <w:spacing w:val="1"/>
                <w:sz w:val="19"/>
                <w:szCs w:val="19"/>
              </w:rPr>
              <w:t xml:space="preserve">   </w:t>
            </w:r>
            <w:r>
              <w:rPr>
                <w:spacing w:val="-4"/>
                <w:sz w:val="19"/>
                <w:szCs w:val="19"/>
              </w:rPr>
              <w:t>品清洁，平整美观，方便使用；</w:t>
            </w:r>
            <w:r>
              <w:rPr>
                <w:spacing w:val="6"/>
                <w:sz w:val="19"/>
                <w:szCs w:val="19"/>
              </w:rPr>
              <w:t xml:space="preserve"> </w:t>
            </w:r>
            <w:r>
              <w:rPr>
                <w:spacing w:val="-16"/>
                <w:sz w:val="19"/>
                <w:szCs w:val="19"/>
              </w:rPr>
              <w:t>操作过程动作规范、娴熟、敏捷。</w:t>
            </w:r>
          </w:p>
        </w:tc>
        <w:tc>
          <w:tcPr>
            <w:tcW w:w="2143" w:type="dxa"/>
            <w:vAlign w:val="top"/>
          </w:tcPr>
          <w:p w14:paraId="0FF841E4">
            <w:pPr>
              <w:spacing w:line="287" w:lineRule="auto"/>
              <w:rPr>
                <w:rFonts w:ascii="Arial"/>
                <w:sz w:val="21"/>
              </w:rPr>
            </w:pPr>
          </w:p>
          <w:p w14:paraId="590E2F39">
            <w:pPr>
              <w:spacing w:line="287" w:lineRule="auto"/>
              <w:rPr>
                <w:rFonts w:ascii="Arial"/>
                <w:sz w:val="21"/>
              </w:rPr>
            </w:pPr>
          </w:p>
          <w:p w14:paraId="29E2C71A">
            <w:pPr>
              <w:spacing w:line="287" w:lineRule="auto"/>
              <w:rPr>
                <w:rFonts w:ascii="Arial"/>
                <w:sz w:val="21"/>
              </w:rPr>
            </w:pPr>
          </w:p>
          <w:p w14:paraId="7C1640FB">
            <w:pPr>
              <w:spacing w:line="287" w:lineRule="auto"/>
              <w:rPr>
                <w:rFonts w:ascii="Arial"/>
                <w:sz w:val="21"/>
              </w:rPr>
            </w:pPr>
          </w:p>
          <w:p w14:paraId="2BB5B03F">
            <w:pPr>
              <w:spacing w:line="288" w:lineRule="auto"/>
              <w:rPr>
                <w:rFonts w:ascii="Arial"/>
                <w:sz w:val="21"/>
              </w:rPr>
            </w:pPr>
          </w:p>
          <w:p w14:paraId="2705C6F8">
            <w:pPr>
              <w:pStyle w:val="6"/>
              <w:spacing w:before="62" w:line="214" w:lineRule="auto"/>
              <w:ind w:left="88"/>
              <w:rPr>
                <w:sz w:val="19"/>
                <w:szCs w:val="19"/>
              </w:rPr>
            </w:pPr>
            <w:r>
              <w:rPr>
                <w:spacing w:val="-2"/>
                <w:sz w:val="19"/>
                <w:szCs w:val="19"/>
              </w:rPr>
              <w:t>满分50分</w:t>
            </w:r>
          </w:p>
          <w:p w14:paraId="0EB2602A">
            <w:pPr>
              <w:pStyle w:val="6"/>
              <w:spacing w:line="212" w:lineRule="auto"/>
              <w:ind w:left="88" w:right="35"/>
              <w:rPr>
                <w:sz w:val="19"/>
                <w:szCs w:val="19"/>
              </w:rPr>
            </w:pPr>
            <w:r>
              <w:rPr>
                <w:spacing w:val="1"/>
                <w:sz w:val="19"/>
                <w:szCs w:val="19"/>
              </w:rPr>
              <w:t xml:space="preserve">(1)整理床铺、准备物品 </w:t>
            </w:r>
            <w:r>
              <w:rPr>
                <w:spacing w:val="4"/>
                <w:sz w:val="19"/>
                <w:szCs w:val="19"/>
              </w:rPr>
              <w:t>(准备工作时)(5分)</w:t>
            </w:r>
          </w:p>
          <w:p w14:paraId="1659BF4A">
            <w:pPr>
              <w:pStyle w:val="6"/>
              <w:spacing w:before="1" w:line="196" w:lineRule="auto"/>
              <w:ind w:left="88"/>
              <w:rPr>
                <w:sz w:val="19"/>
                <w:szCs w:val="19"/>
              </w:rPr>
            </w:pPr>
            <w:r>
              <w:rPr>
                <w:spacing w:val="3"/>
                <w:sz w:val="19"/>
                <w:szCs w:val="19"/>
              </w:rPr>
              <w:t>(2)被子折角(15分)</w:t>
            </w:r>
          </w:p>
          <w:p w14:paraId="393F4C7E">
            <w:pPr>
              <w:pStyle w:val="6"/>
              <w:spacing w:before="1" w:line="220" w:lineRule="auto"/>
              <w:ind w:left="18" w:firstLine="68"/>
              <w:rPr>
                <w:sz w:val="19"/>
                <w:szCs w:val="19"/>
              </w:rPr>
            </w:pPr>
            <w:r>
              <w:rPr>
                <w:spacing w:val="27"/>
                <w:sz w:val="19"/>
                <w:szCs w:val="19"/>
              </w:rPr>
              <w:t>(3)摆放晚安卡(环保</w:t>
            </w:r>
            <w:r>
              <w:rPr>
                <w:spacing w:val="4"/>
                <w:sz w:val="19"/>
                <w:szCs w:val="19"/>
              </w:rPr>
              <w:t xml:space="preserve"> </w:t>
            </w:r>
            <w:r>
              <w:rPr>
                <w:spacing w:val="-6"/>
                <w:sz w:val="19"/>
                <w:szCs w:val="19"/>
              </w:rPr>
              <w:t>卡)、矿泉水及水杯(10分)</w:t>
            </w:r>
          </w:p>
          <w:p w14:paraId="03676784">
            <w:pPr>
              <w:pStyle w:val="6"/>
              <w:spacing w:before="6" w:line="209" w:lineRule="auto"/>
              <w:ind w:left="88" w:right="135"/>
              <w:rPr>
                <w:sz w:val="19"/>
                <w:szCs w:val="19"/>
              </w:rPr>
            </w:pPr>
            <w:r>
              <w:rPr>
                <w:sz w:val="19"/>
                <w:szCs w:val="19"/>
              </w:rPr>
              <w:t>(4)铺地巾、放拖鞋(10</w:t>
            </w:r>
            <w:r>
              <w:rPr>
                <w:spacing w:val="8"/>
                <w:sz w:val="19"/>
                <w:szCs w:val="19"/>
              </w:rPr>
              <w:t xml:space="preserve"> </w:t>
            </w:r>
            <w:r>
              <w:rPr>
                <w:spacing w:val="-5"/>
                <w:sz w:val="19"/>
                <w:szCs w:val="19"/>
              </w:rPr>
              <w:t>分</w:t>
            </w:r>
            <w:r>
              <w:rPr>
                <w:spacing w:val="-31"/>
                <w:sz w:val="19"/>
                <w:szCs w:val="19"/>
              </w:rPr>
              <w:t xml:space="preserve"> </w:t>
            </w:r>
            <w:r>
              <w:rPr>
                <w:spacing w:val="-5"/>
                <w:sz w:val="19"/>
                <w:szCs w:val="19"/>
              </w:rPr>
              <w:t>)</w:t>
            </w:r>
          </w:p>
          <w:p w14:paraId="1E3529B3">
            <w:pPr>
              <w:pStyle w:val="6"/>
              <w:spacing w:line="220" w:lineRule="auto"/>
              <w:ind w:left="88"/>
              <w:rPr>
                <w:sz w:val="19"/>
                <w:szCs w:val="19"/>
              </w:rPr>
            </w:pPr>
            <w:r>
              <w:rPr>
                <w:spacing w:val="3"/>
                <w:sz w:val="19"/>
                <w:szCs w:val="19"/>
              </w:rPr>
              <w:t>(5)整体效果(10分)</w:t>
            </w:r>
          </w:p>
        </w:tc>
      </w:tr>
      <w:tr w14:paraId="59A3C4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079" w:hRule="atLeast"/>
        </w:trPr>
        <w:tc>
          <w:tcPr>
            <w:tcW w:w="904" w:type="dxa"/>
            <w:vAlign w:val="top"/>
          </w:tcPr>
          <w:p w14:paraId="6AEE8A07">
            <w:pPr>
              <w:spacing w:line="251" w:lineRule="auto"/>
              <w:rPr>
                <w:rFonts w:ascii="Arial"/>
                <w:sz w:val="21"/>
              </w:rPr>
            </w:pPr>
          </w:p>
          <w:p w14:paraId="6CC1F0EF">
            <w:pPr>
              <w:spacing w:line="251" w:lineRule="auto"/>
              <w:rPr>
                <w:rFonts w:ascii="Arial"/>
                <w:sz w:val="21"/>
              </w:rPr>
            </w:pPr>
          </w:p>
          <w:p w14:paraId="1D3CA6E6">
            <w:pPr>
              <w:spacing w:line="251" w:lineRule="auto"/>
              <w:rPr>
                <w:rFonts w:ascii="Arial"/>
                <w:sz w:val="21"/>
              </w:rPr>
            </w:pPr>
          </w:p>
          <w:p w14:paraId="1CB69A41">
            <w:pPr>
              <w:spacing w:line="251" w:lineRule="auto"/>
              <w:rPr>
                <w:rFonts w:ascii="Arial"/>
                <w:sz w:val="21"/>
              </w:rPr>
            </w:pPr>
          </w:p>
          <w:p w14:paraId="6D91728F">
            <w:pPr>
              <w:spacing w:line="251" w:lineRule="auto"/>
              <w:rPr>
                <w:rFonts w:ascii="Arial"/>
                <w:sz w:val="21"/>
              </w:rPr>
            </w:pPr>
          </w:p>
          <w:p w14:paraId="356E91A6">
            <w:pPr>
              <w:spacing w:line="251" w:lineRule="auto"/>
              <w:rPr>
                <w:rFonts w:ascii="Arial"/>
                <w:sz w:val="21"/>
              </w:rPr>
            </w:pPr>
          </w:p>
          <w:p w14:paraId="679481C4">
            <w:pPr>
              <w:spacing w:line="252" w:lineRule="auto"/>
              <w:rPr>
                <w:rFonts w:ascii="Arial"/>
                <w:sz w:val="21"/>
              </w:rPr>
            </w:pPr>
          </w:p>
          <w:p w14:paraId="2F385E52">
            <w:pPr>
              <w:spacing w:line="252" w:lineRule="auto"/>
              <w:rPr>
                <w:rFonts w:ascii="Arial"/>
                <w:sz w:val="21"/>
              </w:rPr>
            </w:pPr>
          </w:p>
          <w:p w14:paraId="6CE698E8">
            <w:pPr>
              <w:spacing w:line="252" w:lineRule="auto"/>
              <w:rPr>
                <w:rFonts w:ascii="Arial"/>
                <w:sz w:val="21"/>
              </w:rPr>
            </w:pPr>
          </w:p>
          <w:p w14:paraId="433E61FA">
            <w:pPr>
              <w:spacing w:line="252" w:lineRule="auto"/>
              <w:rPr>
                <w:rFonts w:ascii="Arial"/>
                <w:sz w:val="21"/>
              </w:rPr>
            </w:pPr>
          </w:p>
          <w:p w14:paraId="229E98BA">
            <w:pPr>
              <w:spacing w:line="252" w:lineRule="auto"/>
              <w:rPr>
                <w:rFonts w:ascii="Arial"/>
                <w:sz w:val="21"/>
              </w:rPr>
            </w:pPr>
          </w:p>
          <w:p w14:paraId="5EFA4047">
            <w:pPr>
              <w:spacing w:line="252" w:lineRule="auto"/>
              <w:rPr>
                <w:rFonts w:ascii="Arial"/>
                <w:sz w:val="21"/>
              </w:rPr>
            </w:pPr>
          </w:p>
          <w:p w14:paraId="35D1155E">
            <w:pPr>
              <w:spacing w:line="252" w:lineRule="auto"/>
              <w:rPr>
                <w:rFonts w:ascii="Arial"/>
                <w:sz w:val="21"/>
              </w:rPr>
            </w:pPr>
          </w:p>
          <w:p w14:paraId="71B5C8C1">
            <w:pPr>
              <w:pStyle w:val="6"/>
              <w:spacing w:before="62" w:line="220" w:lineRule="auto"/>
              <w:ind w:left="105"/>
              <w:rPr>
                <w:sz w:val="19"/>
                <w:szCs w:val="19"/>
              </w:rPr>
            </w:pPr>
            <w:r>
              <w:rPr>
                <w:spacing w:val="1"/>
                <w:sz w:val="19"/>
                <w:szCs w:val="19"/>
              </w:rPr>
              <w:t>项目五：</w:t>
            </w:r>
          </w:p>
          <w:p w14:paraId="4FA48D6A">
            <w:pPr>
              <w:pStyle w:val="6"/>
              <w:spacing w:before="1" w:line="219" w:lineRule="auto"/>
              <w:ind w:left="65"/>
              <w:rPr>
                <w:sz w:val="19"/>
                <w:szCs w:val="19"/>
              </w:rPr>
            </w:pPr>
            <w:r>
              <w:rPr>
                <w:spacing w:val="2"/>
                <w:sz w:val="19"/>
                <w:szCs w:val="19"/>
              </w:rPr>
              <w:t>中餐宴会</w:t>
            </w:r>
          </w:p>
          <w:p w14:paraId="1FDE0B7F">
            <w:pPr>
              <w:pStyle w:val="6"/>
              <w:spacing w:before="8" w:line="221" w:lineRule="auto"/>
              <w:ind w:left="254"/>
              <w:rPr>
                <w:sz w:val="19"/>
                <w:szCs w:val="19"/>
              </w:rPr>
            </w:pPr>
            <w:r>
              <w:rPr>
                <w:spacing w:val="10"/>
                <w:sz w:val="19"/>
                <w:szCs w:val="19"/>
              </w:rPr>
              <w:t>摆台</w:t>
            </w:r>
          </w:p>
        </w:tc>
        <w:tc>
          <w:tcPr>
            <w:tcW w:w="809" w:type="dxa"/>
            <w:vAlign w:val="top"/>
          </w:tcPr>
          <w:p w14:paraId="7B1B1B55">
            <w:pPr>
              <w:spacing w:line="260" w:lineRule="auto"/>
              <w:rPr>
                <w:rFonts w:ascii="Arial"/>
                <w:sz w:val="21"/>
              </w:rPr>
            </w:pPr>
          </w:p>
          <w:p w14:paraId="4BAD8960">
            <w:pPr>
              <w:spacing w:line="260" w:lineRule="auto"/>
              <w:rPr>
                <w:rFonts w:ascii="Arial"/>
                <w:sz w:val="21"/>
              </w:rPr>
            </w:pPr>
          </w:p>
          <w:p w14:paraId="6532AE5A">
            <w:pPr>
              <w:spacing w:line="260" w:lineRule="auto"/>
              <w:rPr>
                <w:rFonts w:ascii="Arial"/>
                <w:sz w:val="21"/>
              </w:rPr>
            </w:pPr>
          </w:p>
          <w:p w14:paraId="5D640B3D">
            <w:pPr>
              <w:spacing w:line="261" w:lineRule="auto"/>
              <w:rPr>
                <w:rFonts w:ascii="Arial"/>
                <w:sz w:val="21"/>
              </w:rPr>
            </w:pPr>
          </w:p>
          <w:p w14:paraId="345D0126">
            <w:pPr>
              <w:spacing w:line="261" w:lineRule="auto"/>
              <w:rPr>
                <w:rFonts w:ascii="Arial"/>
                <w:sz w:val="21"/>
              </w:rPr>
            </w:pPr>
          </w:p>
          <w:p w14:paraId="720D9902">
            <w:pPr>
              <w:pStyle w:val="6"/>
              <w:spacing w:before="61" w:line="219" w:lineRule="auto"/>
              <w:ind w:left="61"/>
              <w:rPr>
                <w:sz w:val="19"/>
                <w:szCs w:val="19"/>
              </w:rPr>
            </w:pPr>
            <w:r>
              <w:rPr>
                <w:sz w:val="19"/>
                <w:szCs w:val="19"/>
              </w:rPr>
              <w:t>(按照10</w:t>
            </w:r>
          </w:p>
          <w:p w14:paraId="5048F320">
            <w:pPr>
              <w:pStyle w:val="6"/>
              <w:spacing w:before="18" w:line="214" w:lineRule="auto"/>
              <w:ind w:left="200" w:right="126" w:hanging="89"/>
              <w:rPr>
                <w:sz w:val="19"/>
                <w:szCs w:val="19"/>
              </w:rPr>
            </w:pPr>
            <w:r>
              <w:rPr>
                <w:spacing w:val="-3"/>
                <w:sz w:val="19"/>
                <w:szCs w:val="19"/>
              </w:rPr>
              <w:t>人位配</w:t>
            </w:r>
            <w:r>
              <w:rPr>
                <w:sz w:val="19"/>
                <w:szCs w:val="19"/>
              </w:rPr>
              <w:t xml:space="preserve"> </w:t>
            </w:r>
            <w:r>
              <w:rPr>
                <w:spacing w:val="16"/>
                <w:sz w:val="19"/>
                <w:szCs w:val="19"/>
              </w:rPr>
              <w:t>备</w:t>
            </w:r>
            <w:r>
              <w:rPr>
                <w:spacing w:val="-41"/>
                <w:sz w:val="19"/>
                <w:szCs w:val="19"/>
              </w:rPr>
              <w:t xml:space="preserve"> </w:t>
            </w:r>
            <w:r>
              <w:rPr>
                <w:spacing w:val="16"/>
                <w:sz w:val="19"/>
                <w:szCs w:val="19"/>
              </w:rPr>
              <w:t>)</w:t>
            </w:r>
            <w:r>
              <w:rPr>
                <w:sz w:val="19"/>
                <w:szCs w:val="19"/>
              </w:rPr>
              <w:t xml:space="preserve">  </w:t>
            </w:r>
            <w:r>
              <w:rPr>
                <w:spacing w:val="4"/>
                <w:sz w:val="19"/>
                <w:szCs w:val="19"/>
              </w:rPr>
              <w:t>台布</w:t>
            </w:r>
            <w:r>
              <w:rPr>
                <w:sz w:val="19"/>
                <w:szCs w:val="19"/>
              </w:rPr>
              <w:t xml:space="preserve">  </w:t>
            </w:r>
            <w:r>
              <w:rPr>
                <w:spacing w:val="4"/>
                <w:sz w:val="19"/>
                <w:szCs w:val="19"/>
              </w:rPr>
              <w:t>圆桌</w:t>
            </w:r>
            <w:r>
              <w:rPr>
                <w:sz w:val="19"/>
                <w:szCs w:val="19"/>
              </w:rPr>
              <w:t xml:space="preserve">  </w:t>
            </w:r>
            <w:r>
              <w:rPr>
                <w:spacing w:val="-5"/>
                <w:sz w:val="19"/>
                <w:szCs w:val="19"/>
              </w:rPr>
              <w:t>餐椅</w:t>
            </w:r>
            <w:r>
              <w:rPr>
                <w:sz w:val="19"/>
                <w:szCs w:val="19"/>
              </w:rPr>
              <w:t xml:space="preserve">  </w:t>
            </w:r>
            <w:r>
              <w:rPr>
                <w:spacing w:val="-5"/>
                <w:sz w:val="19"/>
                <w:szCs w:val="19"/>
              </w:rPr>
              <w:t>骨碟</w:t>
            </w:r>
            <w:r>
              <w:rPr>
                <w:sz w:val="19"/>
                <w:szCs w:val="19"/>
              </w:rPr>
              <w:t xml:space="preserve">  </w:t>
            </w:r>
            <w:r>
              <w:rPr>
                <w:spacing w:val="4"/>
                <w:sz w:val="19"/>
                <w:szCs w:val="19"/>
              </w:rPr>
              <w:t>味碟</w:t>
            </w:r>
            <w:r>
              <w:rPr>
                <w:sz w:val="19"/>
                <w:szCs w:val="19"/>
              </w:rPr>
              <w:t xml:space="preserve">  </w:t>
            </w:r>
            <w:r>
              <w:rPr>
                <w:spacing w:val="-6"/>
                <w:sz w:val="19"/>
                <w:szCs w:val="19"/>
              </w:rPr>
              <w:t>汤碗</w:t>
            </w:r>
            <w:r>
              <w:rPr>
                <w:sz w:val="19"/>
                <w:szCs w:val="19"/>
              </w:rPr>
              <w:t xml:space="preserve">  </w:t>
            </w:r>
            <w:r>
              <w:rPr>
                <w:spacing w:val="9"/>
                <w:sz w:val="19"/>
                <w:szCs w:val="19"/>
              </w:rPr>
              <w:t>汤勺</w:t>
            </w:r>
            <w:r>
              <w:rPr>
                <w:sz w:val="19"/>
                <w:szCs w:val="19"/>
              </w:rPr>
              <w:t xml:space="preserve"> </w:t>
            </w:r>
            <w:r>
              <w:rPr>
                <w:spacing w:val="-5"/>
                <w:sz w:val="19"/>
                <w:szCs w:val="19"/>
              </w:rPr>
              <w:t>筷子</w:t>
            </w:r>
            <w:r>
              <w:rPr>
                <w:sz w:val="19"/>
                <w:szCs w:val="19"/>
              </w:rPr>
              <w:t xml:space="preserve">  </w:t>
            </w:r>
            <w:r>
              <w:rPr>
                <w:spacing w:val="5"/>
                <w:sz w:val="19"/>
                <w:szCs w:val="19"/>
              </w:rPr>
              <w:t>筷架</w:t>
            </w:r>
          </w:p>
          <w:p w14:paraId="51F36ADD">
            <w:pPr>
              <w:pStyle w:val="6"/>
              <w:spacing w:before="2" w:line="204" w:lineRule="auto"/>
              <w:ind w:left="11"/>
              <w:rPr>
                <w:sz w:val="19"/>
                <w:szCs w:val="19"/>
              </w:rPr>
            </w:pPr>
            <w:r>
              <w:rPr>
                <w:spacing w:val="-2"/>
                <w:sz w:val="19"/>
                <w:szCs w:val="19"/>
              </w:rPr>
              <w:t>葡萄酒杯</w:t>
            </w:r>
          </w:p>
          <w:p w14:paraId="51D8E233">
            <w:pPr>
              <w:pStyle w:val="6"/>
              <w:spacing w:before="1" w:line="209" w:lineRule="auto"/>
              <w:ind w:left="200" w:right="108" w:hanging="89"/>
              <w:rPr>
                <w:sz w:val="19"/>
                <w:szCs w:val="19"/>
              </w:rPr>
            </w:pPr>
            <w:r>
              <w:rPr>
                <w:spacing w:val="3"/>
                <w:sz w:val="19"/>
                <w:szCs w:val="19"/>
              </w:rPr>
              <w:t>白酒杯</w:t>
            </w:r>
            <w:r>
              <w:rPr>
                <w:sz w:val="19"/>
                <w:szCs w:val="19"/>
              </w:rPr>
              <w:t xml:space="preserve"> </w:t>
            </w:r>
            <w:r>
              <w:rPr>
                <w:spacing w:val="-5"/>
                <w:sz w:val="19"/>
                <w:szCs w:val="19"/>
              </w:rPr>
              <w:t>水杯</w:t>
            </w:r>
            <w:r>
              <w:rPr>
                <w:sz w:val="19"/>
                <w:szCs w:val="19"/>
              </w:rPr>
              <w:t xml:space="preserve">  </w:t>
            </w:r>
            <w:r>
              <w:rPr>
                <w:spacing w:val="13"/>
                <w:sz w:val="19"/>
                <w:szCs w:val="19"/>
              </w:rPr>
              <w:t>餐巾</w:t>
            </w:r>
          </w:p>
          <w:p w14:paraId="76DCC327">
            <w:pPr>
              <w:pStyle w:val="6"/>
              <w:spacing w:before="13" w:line="207" w:lineRule="auto"/>
              <w:ind w:left="200" w:right="17" w:hanging="189"/>
              <w:rPr>
                <w:sz w:val="19"/>
                <w:szCs w:val="19"/>
              </w:rPr>
            </w:pPr>
            <w:r>
              <w:rPr>
                <w:spacing w:val="2"/>
                <w:sz w:val="19"/>
                <w:szCs w:val="19"/>
              </w:rPr>
              <w:t>公用餐具</w:t>
            </w:r>
            <w:r>
              <w:rPr>
                <w:spacing w:val="1"/>
                <w:sz w:val="19"/>
                <w:szCs w:val="19"/>
              </w:rPr>
              <w:t xml:space="preserve"> </w:t>
            </w:r>
            <w:r>
              <w:rPr>
                <w:spacing w:val="-2"/>
                <w:sz w:val="19"/>
                <w:szCs w:val="19"/>
              </w:rPr>
              <w:t>菜单</w:t>
            </w:r>
          </w:p>
          <w:p w14:paraId="09AA6AFF">
            <w:pPr>
              <w:pStyle w:val="6"/>
              <w:spacing w:before="6" w:line="223" w:lineRule="auto"/>
              <w:ind w:left="201" w:right="225"/>
              <w:rPr>
                <w:sz w:val="19"/>
                <w:szCs w:val="19"/>
              </w:rPr>
            </w:pPr>
            <w:r>
              <w:rPr>
                <w:spacing w:val="-5"/>
                <w:sz w:val="19"/>
                <w:szCs w:val="19"/>
              </w:rPr>
              <w:t>花瓶</w:t>
            </w:r>
            <w:r>
              <w:rPr>
                <w:sz w:val="19"/>
                <w:szCs w:val="19"/>
              </w:rPr>
              <w:t xml:space="preserve"> </w:t>
            </w:r>
            <w:r>
              <w:rPr>
                <w:spacing w:val="-4"/>
                <w:sz w:val="19"/>
                <w:szCs w:val="19"/>
              </w:rPr>
              <w:t>托盘</w:t>
            </w:r>
          </w:p>
        </w:tc>
        <w:tc>
          <w:tcPr>
            <w:tcW w:w="1358" w:type="dxa"/>
            <w:vAlign w:val="top"/>
          </w:tcPr>
          <w:p w14:paraId="6C761977">
            <w:pPr>
              <w:spacing w:line="251" w:lineRule="auto"/>
              <w:rPr>
                <w:rFonts w:ascii="Arial"/>
                <w:sz w:val="21"/>
              </w:rPr>
            </w:pPr>
          </w:p>
          <w:p w14:paraId="2702391A">
            <w:pPr>
              <w:spacing w:line="251" w:lineRule="auto"/>
              <w:rPr>
                <w:rFonts w:ascii="Arial"/>
                <w:sz w:val="21"/>
              </w:rPr>
            </w:pPr>
          </w:p>
          <w:p w14:paraId="0A4ED3C7">
            <w:pPr>
              <w:spacing w:line="251" w:lineRule="auto"/>
              <w:rPr>
                <w:rFonts w:ascii="Arial"/>
                <w:sz w:val="21"/>
              </w:rPr>
            </w:pPr>
          </w:p>
          <w:p w14:paraId="295B6AEB">
            <w:pPr>
              <w:spacing w:line="251" w:lineRule="auto"/>
              <w:rPr>
                <w:rFonts w:ascii="Arial"/>
                <w:sz w:val="21"/>
              </w:rPr>
            </w:pPr>
          </w:p>
          <w:p w14:paraId="73E275F5">
            <w:pPr>
              <w:spacing w:line="251" w:lineRule="auto"/>
              <w:rPr>
                <w:rFonts w:ascii="Arial"/>
                <w:sz w:val="21"/>
              </w:rPr>
            </w:pPr>
          </w:p>
          <w:p w14:paraId="4BAE6184">
            <w:pPr>
              <w:spacing w:line="252" w:lineRule="auto"/>
              <w:rPr>
                <w:rFonts w:ascii="Arial"/>
                <w:sz w:val="21"/>
              </w:rPr>
            </w:pPr>
          </w:p>
          <w:p w14:paraId="64F5D93F">
            <w:pPr>
              <w:spacing w:line="252" w:lineRule="auto"/>
              <w:rPr>
                <w:rFonts w:ascii="Arial"/>
                <w:sz w:val="21"/>
              </w:rPr>
            </w:pPr>
          </w:p>
          <w:p w14:paraId="382239D9">
            <w:pPr>
              <w:pStyle w:val="6"/>
              <w:spacing w:before="62" w:line="219" w:lineRule="auto"/>
              <w:ind w:left="142"/>
              <w:rPr>
                <w:sz w:val="19"/>
                <w:szCs w:val="19"/>
              </w:rPr>
            </w:pPr>
            <w:r>
              <w:rPr>
                <w:spacing w:val="1"/>
                <w:sz w:val="19"/>
                <w:szCs w:val="19"/>
              </w:rPr>
              <w:t>(1)餐碟定位</w:t>
            </w:r>
          </w:p>
          <w:p w14:paraId="2F4FD4E8">
            <w:pPr>
              <w:pStyle w:val="6"/>
              <w:spacing w:before="5" w:line="199" w:lineRule="auto"/>
              <w:ind w:left="51"/>
              <w:rPr>
                <w:sz w:val="19"/>
                <w:szCs w:val="19"/>
              </w:rPr>
            </w:pPr>
            <w:r>
              <w:rPr>
                <w:spacing w:val="7"/>
                <w:sz w:val="19"/>
                <w:szCs w:val="19"/>
              </w:rPr>
              <w:t>(2)摆放味碟、</w:t>
            </w:r>
            <w:r>
              <w:rPr>
                <w:spacing w:val="4"/>
                <w:sz w:val="19"/>
                <w:szCs w:val="19"/>
              </w:rPr>
              <w:t xml:space="preserve"> </w:t>
            </w:r>
            <w:r>
              <w:rPr>
                <w:spacing w:val="-1"/>
                <w:sz w:val="19"/>
                <w:szCs w:val="19"/>
              </w:rPr>
              <w:t>汤碗、汤勺</w:t>
            </w:r>
          </w:p>
          <w:p w14:paraId="1B9720F8">
            <w:pPr>
              <w:pStyle w:val="6"/>
              <w:spacing w:before="1" w:line="213" w:lineRule="auto"/>
              <w:ind w:left="51"/>
              <w:rPr>
                <w:sz w:val="19"/>
                <w:szCs w:val="19"/>
              </w:rPr>
            </w:pPr>
            <w:r>
              <w:rPr>
                <w:spacing w:val="7"/>
                <w:sz w:val="19"/>
                <w:szCs w:val="19"/>
              </w:rPr>
              <w:t>(3)摆放筷架、</w:t>
            </w:r>
            <w:r>
              <w:rPr>
                <w:spacing w:val="4"/>
                <w:sz w:val="19"/>
                <w:szCs w:val="19"/>
              </w:rPr>
              <w:t xml:space="preserve"> </w:t>
            </w:r>
            <w:r>
              <w:rPr>
                <w:spacing w:val="-5"/>
                <w:sz w:val="19"/>
                <w:szCs w:val="19"/>
              </w:rPr>
              <w:t>筷子、牙签</w:t>
            </w:r>
          </w:p>
          <w:p w14:paraId="5F88478D">
            <w:pPr>
              <w:pStyle w:val="6"/>
              <w:spacing w:before="1" w:line="221" w:lineRule="auto"/>
              <w:ind w:left="1" w:firstLine="47"/>
              <w:rPr>
                <w:sz w:val="19"/>
                <w:szCs w:val="19"/>
              </w:rPr>
            </w:pPr>
            <w:r>
              <w:rPr>
                <w:spacing w:val="20"/>
                <w:sz w:val="19"/>
                <w:szCs w:val="19"/>
              </w:rPr>
              <w:t>(4)摆放葡萄</w:t>
            </w:r>
            <w:r>
              <w:rPr>
                <w:sz w:val="19"/>
                <w:szCs w:val="19"/>
              </w:rPr>
              <w:t xml:space="preserve">  </w:t>
            </w:r>
            <w:r>
              <w:rPr>
                <w:spacing w:val="2"/>
                <w:sz w:val="19"/>
                <w:szCs w:val="19"/>
              </w:rPr>
              <w:t>酒杯、白酒杯、</w:t>
            </w:r>
            <w:r>
              <w:rPr>
                <w:spacing w:val="1"/>
                <w:sz w:val="19"/>
                <w:szCs w:val="19"/>
              </w:rPr>
              <w:t xml:space="preserve"> </w:t>
            </w:r>
            <w:r>
              <w:rPr>
                <w:spacing w:val="3"/>
                <w:sz w:val="19"/>
                <w:szCs w:val="19"/>
              </w:rPr>
              <w:t>水杯</w:t>
            </w:r>
          </w:p>
          <w:p w14:paraId="404F62AA">
            <w:pPr>
              <w:pStyle w:val="6"/>
              <w:spacing w:before="6" w:line="211" w:lineRule="auto"/>
              <w:ind w:left="42" w:right="132" w:firstLine="99"/>
              <w:rPr>
                <w:sz w:val="19"/>
                <w:szCs w:val="19"/>
              </w:rPr>
            </w:pPr>
            <w:r>
              <w:rPr>
                <w:spacing w:val="4"/>
                <w:sz w:val="19"/>
                <w:szCs w:val="19"/>
              </w:rPr>
              <w:t>(5)摆放公用</w:t>
            </w:r>
            <w:r>
              <w:rPr>
                <w:sz w:val="19"/>
                <w:szCs w:val="19"/>
              </w:rPr>
              <w:t xml:space="preserve"> </w:t>
            </w:r>
            <w:r>
              <w:rPr>
                <w:spacing w:val="-3"/>
                <w:sz w:val="19"/>
                <w:szCs w:val="19"/>
              </w:rPr>
              <w:t>餐具</w:t>
            </w:r>
          </w:p>
          <w:p w14:paraId="605A9D78">
            <w:pPr>
              <w:pStyle w:val="6"/>
              <w:spacing w:before="4" w:line="214" w:lineRule="auto"/>
              <w:ind w:left="142"/>
              <w:rPr>
                <w:sz w:val="19"/>
                <w:szCs w:val="19"/>
              </w:rPr>
            </w:pPr>
            <w:r>
              <w:rPr>
                <w:spacing w:val="1"/>
                <w:sz w:val="19"/>
                <w:szCs w:val="19"/>
              </w:rPr>
              <w:t>(6)餐巾折花</w:t>
            </w:r>
          </w:p>
          <w:p w14:paraId="33EABB17">
            <w:pPr>
              <w:pStyle w:val="6"/>
              <w:spacing w:before="1" w:line="199" w:lineRule="auto"/>
              <w:ind w:left="99" w:hanging="48"/>
              <w:rPr>
                <w:sz w:val="19"/>
                <w:szCs w:val="19"/>
              </w:rPr>
            </w:pPr>
            <w:r>
              <w:rPr>
                <w:spacing w:val="7"/>
                <w:sz w:val="19"/>
                <w:szCs w:val="19"/>
              </w:rPr>
              <w:t>(7)摆放菜单、</w:t>
            </w:r>
            <w:r>
              <w:rPr>
                <w:spacing w:val="4"/>
                <w:sz w:val="19"/>
                <w:szCs w:val="19"/>
              </w:rPr>
              <w:t xml:space="preserve"> </w:t>
            </w:r>
            <w:r>
              <w:rPr>
                <w:spacing w:val="-5"/>
                <w:sz w:val="19"/>
                <w:szCs w:val="19"/>
              </w:rPr>
              <w:t>花瓶和桌号牌</w:t>
            </w:r>
          </w:p>
          <w:p w14:paraId="1AE99195">
            <w:pPr>
              <w:pStyle w:val="6"/>
              <w:spacing w:line="220" w:lineRule="auto"/>
              <w:ind w:left="142"/>
              <w:rPr>
                <w:sz w:val="19"/>
                <w:szCs w:val="19"/>
              </w:rPr>
            </w:pPr>
            <w:r>
              <w:rPr>
                <w:spacing w:val="1"/>
                <w:sz w:val="19"/>
                <w:szCs w:val="19"/>
              </w:rPr>
              <w:t>(8)拉椅让座</w:t>
            </w:r>
          </w:p>
        </w:tc>
        <w:tc>
          <w:tcPr>
            <w:tcW w:w="859" w:type="dxa"/>
            <w:vAlign w:val="top"/>
          </w:tcPr>
          <w:p w14:paraId="4A5A386E">
            <w:pPr>
              <w:spacing w:line="251" w:lineRule="auto"/>
              <w:rPr>
                <w:rFonts w:ascii="Arial"/>
                <w:sz w:val="21"/>
              </w:rPr>
            </w:pPr>
          </w:p>
          <w:p w14:paraId="331DB9D9">
            <w:pPr>
              <w:spacing w:line="251" w:lineRule="auto"/>
              <w:rPr>
                <w:rFonts w:ascii="Arial"/>
                <w:sz w:val="21"/>
              </w:rPr>
            </w:pPr>
          </w:p>
          <w:p w14:paraId="7AC67AFE">
            <w:pPr>
              <w:spacing w:line="251" w:lineRule="auto"/>
              <w:rPr>
                <w:rFonts w:ascii="Arial"/>
                <w:sz w:val="21"/>
              </w:rPr>
            </w:pPr>
          </w:p>
          <w:p w14:paraId="32CDAF78">
            <w:pPr>
              <w:spacing w:line="251" w:lineRule="auto"/>
              <w:rPr>
                <w:rFonts w:ascii="Arial"/>
                <w:sz w:val="21"/>
              </w:rPr>
            </w:pPr>
          </w:p>
          <w:p w14:paraId="0C5C3575">
            <w:pPr>
              <w:spacing w:line="251" w:lineRule="auto"/>
              <w:rPr>
                <w:rFonts w:ascii="Arial"/>
                <w:sz w:val="21"/>
              </w:rPr>
            </w:pPr>
          </w:p>
          <w:p w14:paraId="0B377B85">
            <w:pPr>
              <w:spacing w:line="251" w:lineRule="auto"/>
              <w:rPr>
                <w:rFonts w:ascii="Arial"/>
                <w:sz w:val="21"/>
              </w:rPr>
            </w:pPr>
          </w:p>
          <w:p w14:paraId="7EB897FA">
            <w:pPr>
              <w:spacing w:line="252" w:lineRule="auto"/>
              <w:rPr>
                <w:rFonts w:ascii="Arial"/>
                <w:sz w:val="21"/>
              </w:rPr>
            </w:pPr>
          </w:p>
          <w:p w14:paraId="13648C82">
            <w:pPr>
              <w:spacing w:line="252" w:lineRule="auto"/>
              <w:rPr>
                <w:rFonts w:ascii="Arial"/>
                <w:sz w:val="21"/>
              </w:rPr>
            </w:pPr>
          </w:p>
          <w:p w14:paraId="66AB2426">
            <w:pPr>
              <w:spacing w:line="252" w:lineRule="auto"/>
              <w:rPr>
                <w:rFonts w:ascii="Arial"/>
                <w:sz w:val="21"/>
              </w:rPr>
            </w:pPr>
          </w:p>
          <w:p w14:paraId="4F688F83">
            <w:pPr>
              <w:spacing w:line="252" w:lineRule="auto"/>
              <w:rPr>
                <w:rFonts w:ascii="Arial"/>
                <w:sz w:val="21"/>
              </w:rPr>
            </w:pPr>
          </w:p>
          <w:p w14:paraId="44CBCE96">
            <w:pPr>
              <w:spacing w:line="252" w:lineRule="auto"/>
              <w:rPr>
                <w:rFonts w:ascii="Arial"/>
                <w:sz w:val="21"/>
              </w:rPr>
            </w:pPr>
          </w:p>
          <w:p w14:paraId="05A61F96">
            <w:pPr>
              <w:spacing w:line="252" w:lineRule="auto"/>
              <w:rPr>
                <w:rFonts w:ascii="Arial"/>
                <w:sz w:val="21"/>
              </w:rPr>
            </w:pPr>
          </w:p>
          <w:p w14:paraId="23C4F202">
            <w:pPr>
              <w:spacing w:line="252" w:lineRule="auto"/>
              <w:rPr>
                <w:rFonts w:ascii="Arial"/>
                <w:sz w:val="21"/>
              </w:rPr>
            </w:pPr>
          </w:p>
          <w:p w14:paraId="0BE13C86">
            <w:pPr>
              <w:pStyle w:val="6"/>
              <w:spacing w:before="61" w:line="226" w:lineRule="auto"/>
              <w:ind w:left="233" w:right="32" w:hanging="189"/>
              <w:rPr>
                <w:sz w:val="19"/>
                <w:szCs w:val="19"/>
              </w:rPr>
            </w:pPr>
            <w:r>
              <w:rPr>
                <w:spacing w:val="3"/>
                <w:sz w:val="19"/>
                <w:szCs w:val="19"/>
              </w:rPr>
              <w:t>现场操作</w:t>
            </w:r>
            <w:r>
              <w:rPr>
                <w:sz w:val="19"/>
                <w:szCs w:val="19"/>
              </w:rPr>
              <w:t xml:space="preserve"> </w:t>
            </w:r>
            <w:r>
              <w:rPr>
                <w:spacing w:val="-2"/>
                <w:sz w:val="19"/>
                <w:szCs w:val="19"/>
              </w:rPr>
              <w:t>考试</w:t>
            </w:r>
          </w:p>
        </w:tc>
        <w:tc>
          <w:tcPr>
            <w:tcW w:w="2637" w:type="dxa"/>
            <w:vAlign w:val="top"/>
          </w:tcPr>
          <w:p w14:paraId="736E1961">
            <w:pPr>
              <w:pStyle w:val="6"/>
              <w:spacing w:before="70" w:line="205" w:lineRule="auto"/>
              <w:ind w:left="115"/>
              <w:rPr>
                <w:sz w:val="19"/>
                <w:szCs w:val="19"/>
              </w:rPr>
            </w:pPr>
            <w:r>
              <w:rPr>
                <w:sz w:val="19"/>
                <w:szCs w:val="19"/>
              </w:rPr>
              <w:t>(1)按中餐正式宴会摆台。</w:t>
            </w:r>
          </w:p>
          <w:p w14:paraId="74D812B2">
            <w:pPr>
              <w:pStyle w:val="6"/>
              <w:spacing w:line="213" w:lineRule="auto"/>
              <w:ind w:left="84"/>
              <w:rPr>
                <w:sz w:val="19"/>
                <w:szCs w:val="19"/>
              </w:rPr>
            </w:pPr>
            <w:r>
              <w:rPr>
                <w:sz w:val="19"/>
                <w:szCs w:val="19"/>
              </w:rPr>
              <w:t>(2)考试时间：16分钟(提前</w:t>
            </w:r>
          </w:p>
          <w:p w14:paraId="4800A3F0">
            <w:pPr>
              <w:pStyle w:val="6"/>
              <w:spacing w:before="3" w:line="213" w:lineRule="auto"/>
              <w:ind w:left="15" w:firstLine="9"/>
              <w:rPr>
                <w:sz w:val="19"/>
                <w:szCs w:val="19"/>
              </w:rPr>
            </w:pPr>
            <w:r>
              <w:rPr>
                <w:spacing w:val="-10"/>
                <w:sz w:val="19"/>
                <w:szCs w:val="19"/>
              </w:rPr>
              <w:t>完成不加分，每超过30秒扣5分，</w:t>
            </w:r>
            <w:r>
              <w:rPr>
                <w:spacing w:val="6"/>
                <w:sz w:val="19"/>
                <w:szCs w:val="19"/>
              </w:rPr>
              <w:t xml:space="preserve"> </w:t>
            </w:r>
            <w:r>
              <w:rPr>
                <w:spacing w:val="-5"/>
                <w:sz w:val="19"/>
                <w:szCs w:val="19"/>
              </w:rPr>
              <w:t>不足30秒按照30秒计算，超时</w:t>
            </w:r>
            <w:r>
              <w:rPr>
                <w:sz w:val="19"/>
                <w:szCs w:val="19"/>
              </w:rPr>
              <w:t xml:space="preserve">   </w:t>
            </w:r>
            <w:r>
              <w:rPr>
                <w:spacing w:val="-7"/>
                <w:sz w:val="19"/>
                <w:szCs w:val="19"/>
              </w:rPr>
              <w:t>2分钟停止考试),准备2分钟(不</w:t>
            </w:r>
            <w:r>
              <w:rPr>
                <w:spacing w:val="2"/>
                <w:sz w:val="19"/>
                <w:szCs w:val="19"/>
              </w:rPr>
              <w:t xml:space="preserve">  </w:t>
            </w:r>
            <w:r>
              <w:rPr>
                <w:spacing w:val="-6"/>
                <w:sz w:val="19"/>
                <w:szCs w:val="19"/>
              </w:rPr>
              <w:t>计入考核时间)。</w:t>
            </w:r>
          </w:p>
          <w:p w14:paraId="4AE484B1">
            <w:pPr>
              <w:pStyle w:val="6"/>
              <w:spacing w:line="211" w:lineRule="auto"/>
              <w:ind w:left="15" w:firstLine="48"/>
              <w:rPr>
                <w:sz w:val="19"/>
                <w:szCs w:val="19"/>
              </w:rPr>
            </w:pPr>
            <w:r>
              <w:rPr>
                <w:spacing w:val="-6"/>
                <w:sz w:val="19"/>
                <w:szCs w:val="19"/>
              </w:rPr>
              <w:t>(3)考生必须携带准考证和身份</w:t>
            </w:r>
            <w:r>
              <w:rPr>
                <w:spacing w:val="1"/>
                <w:sz w:val="19"/>
                <w:szCs w:val="19"/>
              </w:rPr>
              <w:t xml:space="preserve">  </w:t>
            </w:r>
            <w:r>
              <w:rPr>
                <w:spacing w:val="-17"/>
                <w:w w:val="97"/>
                <w:sz w:val="19"/>
                <w:szCs w:val="19"/>
              </w:rPr>
              <w:t>证进入考场参加考试，考评人员提</w:t>
            </w:r>
            <w:r>
              <w:rPr>
                <w:spacing w:val="8"/>
                <w:sz w:val="19"/>
                <w:szCs w:val="19"/>
              </w:rPr>
              <w:t xml:space="preserve">  </w:t>
            </w:r>
            <w:r>
              <w:rPr>
                <w:spacing w:val="-22"/>
                <w:sz w:val="19"/>
                <w:szCs w:val="19"/>
              </w:rPr>
              <w:t>示“开始准备”进行准备，准备时</w:t>
            </w:r>
            <w:r>
              <w:rPr>
                <w:spacing w:val="4"/>
                <w:sz w:val="19"/>
                <w:szCs w:val="19"/>
              </w:rPr>
              <w:t xml:space="preserve">  </w:t>
            </w:r>
            <w:r>
              <w:rPr>
                <w:spacing w:val="-21"/>
                <w:sz w:val="19"/>
                <w:szCs w:val="19"/>
              </w:rPr>
              <w:t>间2分钟。准备就绪后，举手示意。</w:t>
            </w:r>
          </w:p>
          <w:p w14:paraId="67F7FFA0">
            <w:pPr>
              <w:pStyle w:val="6"/>
              <w:spacing w:before="2" w:line="216" w:lineRule="auto"/>
              <w:ind w:left="15" w:firstLine="65"/>
              <w:rPr>
                <w:sz w:val="19"/>
                <w:szCs w:val="19"/>
              </w:rPr>
            </w:pPr>
            <w:r>
              <w:rPr>
                <w:spacing w:val="-14"/>
                <w:sz w:val="19"/>
                <w:szCs w:val="19"/>
              </w:rPr>
              <w:t>(4)考生在考评人员宣布“开始”</w:t>
            </w:r>
            <w:r>
              <w:rPr>
                <w:spacing w:val="14"/>
                <w:sz w:val="19"/>
                <w:szCs w:val="19"/>
              </w:rPr>
              <w:t xml:space="preserve"> </w:t>
            </w:r>
            <w:r>
              <w:rPr>
                <w:spacing w:val="-11"/>
                <w:sz w:val="19"/>
                <w:szCs w:val="19"/>
              </w:rPr>
              <w:t>后开始操作。</w:t>
            </w:r>
          </w:p>
          <w:p w14:paraId="7AA9066A">
            <w:pPr>
              <w:pStyle w:val="6"/>
              <w:spacing w:before="2" w:line="211" w:lineRule="auto"/>
              <w:ind w:left="15" w:firstLine="79"/>
              <w:rPr>
                <w:sz w:val="19"/>
                <w:szCs w:val="19"/>
              </w:rPr>
            </w:pPr>
            <w:r>
              <w:rPr>
                <w:spacing w:val="-1"/>
                <w:sz w:val="19"/>
                <w:szCs w:val="19"/>
              </w:rPr>
              <w:t>(5)操作开始时，考生站在考</w:t>
            </w:r>
            <w:r>
              <w:rPr>
                <w:spacing w:val="3"/>
                <w:sz w:val="19"/>
                <w:szCs w:val="19"/>
              </w:rPr>
              <w:t xml:space="preserve">  </w:t>
            </w:r>
            <w:r>
              <w:rPr>
                <w:spacing w:val="-4"/>
                <w:sz w:val="19"/>
                <w:szCs w:val="19"/>
              </w:rPr>
              <w:t>场标识的主人位后侧。所有操作</w:t>
            </w:r>
            <w:r>
              <w:rPr>
                <w:spacing w:val="6"/>
                <w:sz w:val="19"/>
                <w:szCs w:val="19"/>
              </w:rPr>
              <w:t xml:space="preserve"> </w:t>
            </w:r>
            <w:r>
              <w:rPr>
                <w:spacing w:val="-2"/>
                <w:sz w:val="19"/>
                <w:szCs w:val="19"/>
              </w:rPr>
              <w:t>必须按顺时针方向进行。</w:t>
            </w:r>
          </w:p>
          <w:p w14:paraId="3EB80446">
            <w:pPr>
              <w:pStyle w:val="6"/>
              <w:spacing w:before="1" w:line="219" w:lineRule="auto"/>
              <w:ind w:left="15" w:firstLine="67"/>
              <w:rPr>
                <w:sz w:val="18"/>
                <w:szCs w:val="18"/>
              </w:rPr>
            </w:pPr>
            <w:r>
              <w:rPr>
                <w:spacing w:val="-6"/>
                <w:sz w:val="19"/>
                <w:szCs w:val="19"/>
              </w:rPr>
              <w:t>(6)所有操作结束后，考生应回</w:t>
            </w:r>
            <w:r>
              <w:rPr>
                <w:spacing w:val="1"/>
                <w:sz w:val="19"/>
                <w:szCs w:val="19"/>
              </w:rPr>
              <w:t xml:space="preserve"> </w:t>
            </w:r>
            <w:r>
              <w:rPr>
                <w:spacing w:val="-23"/>
                <w:w w:val="98"/>
                <w:sz w:val="18"/>
                <w:szCs w:val="18"/>
              </w:rPr>
              <w:t>到工作台前，举手示意“操作完毕”。</w:t>
            </w:r>
          </w:p>
          <w:p w14:paraId="416943F1">
            <w:pPr>
              <w:pStyle w:val="6"/>
              <w:spacing w:before="1" w:line="218" w:lineRule="auto"/>
              <w:ind w:left="84"/>
              <w:rPr>
                <w:sz w:val="19"/>
                <w:szCs w:val="19"/>
              </w:rPr>
            </w:pPr>
            <w:r>
              <w:rPr>
                <w:spacing w:val="6"/>
                <w:sz w:val="19"/>
                <w:szCs w:val="19"/>
              </w:rPr>
              <w:t>(7)除台布、桌裙或装饰布、</w:t>
            </w:r>
          </w:p>
          <w:p w14:paraId="1866232D">
            <w:pPr>
              <w:pStyle w:val="6"/>
              <w:spacing w:before="14" w:line="214" w:lineRule="auto"/>
              <w:ind w:left="15"/>
              <w:rPr>
                <w:sz w:val="19"/>
                <w:szCs w:val="19"/>
              </w:rPr>
            </w:pPr>
            <w:r>
              <w:rPr>
                <w:spacing w:val="-2"/>
                <w:sz w:val="19"/>
                <w:szCs w:val="19"/>
              </w:rPr>
              <w:t>花瓶(花篮或其他装饰物)和桌</w:t>
            </w:r>
            <w:r>
              <w:rPr>
                <w:spacing w:val="4"/>
                <w:sz w:val="19"/>
                <w:szCs w:val="19"/>
              </w:rPr>
              <w:t xml:space="preserve">  </w:t>
            </w:r>
            <w:r>
              <w:rPr>
                <w:spacing w:val="-4"/>
                <w:sz w:val="19"/>
                <w:szCs w:val="19"/>
              </w:rPr>
              <w:t>号牌可徒手操作外，其他物品均</w:t>
            </w:r>
            <w:r>
              <w:rPr>
                <w:spacing w:val="6"/>
                <w:sz w:val="19"/>
                <w:szCs w:val="19"/>
              </w:rPr>
              <w:t xml:space="preserve"> </w:t>
            </w:r>
            <w:r>
              <w:rPr>
                <w:spacing w:val="-2"/>
                <w:sz w:val="19"/>
                <w:szCs w:val="19"/>
              </w:rPr>
              <w:t>须使用托盘操作。</w:t>
            </w:r>
          </w:p>
          <w:p w14:paraId="3C4FCF15">
            <w:pPr>
              <w:pStyle w:val="6"/>
              <w:spacing w:before="2" w:line="210" w:lineRule="auto"/>
              <w:ind w:left="15" w:firstLine="67"/>
              <w:rPr>
                <w:sz w:val="19"/>
                <w:szCs w:val="19"/>
              </w:rPr>
            </w:pPr>
            <w:r>
              <w:rPr>
                <w:spacing w:val="-7"/>
                <w:sz w:val="19"/>
                <w:szCs w:val="19"/>
              </w:rPr>
              <w:t>(8)餐巾准备无任何折痕；10个</w:t>
            </w:r>
            <w:r>
              <w:rPr>
                <w:spacing w:val="3"/>
                <w:sz w:val="19"/>
                <w:szCs w:val="19"/>
              </w:rPr>
              <w:t xml:space="preserve">  </w:t>
            </w:r>
            <w:r>
              <w:rPr>
                <w:spacing w:val="-16"/>
                <w:sz w:val="19"/>
                <w:szCs w:val="19"/>
              </w:rPr>
              <w:t>杯花花型不限，但花型不得重复，</w:t>
            </w:r>
            <w:r>
              <w:rPr>
                <w:sz w:val="19"/>
                <w:szCs w:val="19"/>
              </w:rPr>
              <w:t xml:space="preserve"> </w:t>
            </w:r>
            <w:r>
              <w:rPr>
                <w:spacing w:val="-24"/>
                <w:w w:val="98"/>
                <w:sz w:val="19"/>
                <w:szCs w:val="19"/>
              </w:rPr>
              <w:t>须突出主位花型，整体挺括、和谐。</w:t>
            </w:r>
          </w:p>
          <w:p w14:paraId="4D0C2E2D">
            <w:pPr>
              <w:pStyle w:val="6"/>
              <w:spacing w:line="219" w:lineRule="auto"/>
              <w:jc w:val="right"/>
              <w:rPr>
                <w:sz w:val="19"/>
                <w:szCs w:val="19"/>
              </w:rPr>
            </w:pPr>
            <w:r>
              <w:rPr>
                <w:spacing w:val="-21"/>
                <w:w w:val="98"/>
                <w:sz w:val="19"/>
                <w:szCs w:val="19"/>
              </w:rPr>
              <w:t>(9)餐巾折花和摆台先后顺序不限。</w:t>
            </w:r>
          </w:p>
          <w:p w14:paraId="0F1535E8">
            <w:pPr>
              <w:pStyle w:val="6"/>
              <w:spacing w:before="5" w:line="219" w:lineRule="auto"/>
              <w:jc w:val="right"/>
              <w:rPr>
                <w:sz w:val="19"/>
                <w:szCs w:val="19"/>
              </w:rPr>
            </w:pPr>
            <w:r>
              <w:rPr>
                <w:spacing w:val="-8"/>
                <w:sz w:val="19"/>
                <w:szCs w:val="19"/>
              </w:rPr>
              <w:t>(10)操作中允许使用装饰盘垫。</w:t>
            </w:r>
          </w:p>
          <w:p w14:paraId="3BBC1BB4">
            <w:pPr>
              <w:pStyle w:val="6"/>
              <w:spacing w:before="14" w:line="206" w:lineRule="auto"/>
              <w:ind w:left="25" w:firstLine="79"/>
              <w:rPr>
                <w:sz w:val="19"/>
                <w:szCs w:val="19"/>
              </w:rPr>
            </w:pPr>
            <w:r>
              <w:rPr>
                <w:spacing w:val="-1"/>
                <w:sz w:val="19"/>
                <w:szCs w:val="19"/>
              </w:rPr>
              <w:t>(11)评分标准中的项目顺序并</w:t>
            </w:r>
            <w:r>
              <w:rPr>
                <w:spacing w:val="8"/>
                <w:sz w:val="19"/>
                <w:szCs w:val="19"/>
              </w:rPr>
              <w:t xml:space="preserve"> </w:t>
            </w:r>
            <w:r>
              <w:rPr>
                <w:spacing w:val="-5"/>
                <w:sz w:val="19"/>
                <w:szCs w:val="19"/>
              </w:rPr>
              <w:t>不是规定的操作顺序，考生可以</w:t>
            </w:r>
            <w:r>
              <w:rPr>
                <w:spacing w:val="10"/>
                <w:sz w:val="19"/>
                <w:szCs w:val="19"/>
              </w:rPr>
              <w:t xml:space="preserve"> </w:t>
            </w:r>
            <w:r>
              <w:rPr>
                <w:sz w:val="19"/>
                <w:szCs w:val="19"/>
              </w:rPr>
              <w:t>自行选择完成各个实操项目。</w:t>
            </w:r>
          </w:p>
          <w:p w14:paraId="0360189F">
            <w:pPr>
              <w:pStyle w:val="6"/>
              <w:spacing w:before="4" w:line="200" w:lineRule="auto"/>
              <w:ind w:left="15" w:firstLine="47"/>
              <w:rPr>
                <w:sz w:val="19"/>
                <w:szCs w:val="19"/>
              </w:rPr>
            </w:pPr>
            <w:r>
              <w:rPr>
                <w:spacing w:val="-6"/>
                <w:sz w:val="19"/>
                <w:szCs w:val="19"/>
              </w:rPr>
              <w:t>(12)物品落地每件扣10分，物</w:t>
            </w:r>
            <w:r>
              <w:rPr>
                <w:spacing w:val="1"/>
                <w:sz w:val="19"/>
                <w:szCs w:val="19"/>
              </w:rPr>
              <w:t xml:space="preserve">   </w:t>
            </w:r>
            <w:r>
              <w:rPr>
                <w:spacing w:val="-8"/>
                <w:sz w:val="19"/>
                <w:szCs w:val="19"/>
              </w:rPr>
              <w:t>品碰倒每件扣4分；物品遗漏每</w:t>
            </w:r>
            <w:r>
              <w:rPr>
                <w:spacing w:val="5"/>
                <w:sz w:val="19"/>
                <w:szCs w:val="19"/>
              </w:rPr>
              <w:t xml:space="preserve">  </w:t>
            </w:r>
            <w:r>
              <w:rPr>
                <w:spacing w:val="-9"/>
                <w:sz w:val="19"/>
                <w:szCs w:val="19"/>
              </w:rPr>
              <w:t>件扣6分。逆时针操作扣2分/次。</w:t>
            </w:r>
          </w:p>
        </w:tc>
        <w:tc>
          <w:tcPr>
            <w:tcW w:w="2143" w:type="dxa"/>
            <w:vAlign w:val="top"/>
          </w:tcPr>
          <w:p w14:paraId="657025C1">
            <w:pPr>
              <w:spacing w:line="263" w:lineRule="auto"/>
              <w:rPr>
                <w:rFonts w:ascii="Arial"/>
                <w:sz w:val="21"/>
              </w:rPr>
            </w:pPr>
          </w:p>
          <w:p w14:paraId="4C22917A">
            <w:pPr>
              <w:spacing w:line="263" w:lineRule="auto"/>
              <w:rPr>
                <w:rFonts w:ascii="Arial"/>
                <w:sz w:val="21"/>
              </w:rPr>
            </w:pPr>
          </w:p>
          <w:p w14:paraId="038A2672">
            <w:pPr>
              <w:spacing w:line="263" w:lineRule="auto"/>
              <w:rPr>
                <w:rFonts w:ascii="Arial"/>
                <w:sz w:val="21"/>
              </w:rPr>
            </w:pPr>
          </w:p>
          <w:p w14:paraId="1CDA633F">
            <w:pPr>
              <w:spacing w:line="263" w:lineRule="auto"/>
              <w:rPr>
                <w:rFonts w:ascii="Arial"/>
                <w:sz w:val="21"/>
              </w:rPr>
            </w:pPr>
          </w:p>
          <w:p w14:paraId="72CE53BE">
            <w:pPr>
              <w:spacing w:line="263" w:lineRule="auto"/>
              <w:rPr>
                <w:rFonts w:ascii="Arial"/>
                <w:sz w:val="21"/>
              </w:rPr>
            </w:pPr>
          </w:p>
          <w:p w14:paraId="7E0FFBDD">
            <w:pPr>
              <w:spacing w:line="263" w:lineRule="auto"/>
              <w:rPr>
                <w:rFonts w:ascii="Arial"/>
                <w:sz w:val="21"/>
              </w:rPr>
            </w:pPr>
          </w:p>
          <w:p w14:paraId="4EDA14D0">
            <w:pPr>
              <w:spacing w:line="263" w:lineRule="auto"/>
              <w:rPr>
                <w:rFonts w:ascii="Arial"/>
                <w:sz w:val="21"/>
              </w:rPr>
            </w:pPr>
          </w:p>
          <w:p w14:paraId="03E5B0AF">
            <w:pPr>
              <w:spacing w:line="264" w:lineRule="auto"/>
              <w:rPr>
                <w:rFonts w:ascii="Arial"/>
                <w:sz w:val="21"/>
              </w:rPr>
            </w:pPr>
          </w:p>
          <w:p w14:paraId="5FED910E">
            <w:pPr>
              <w:spacing w:line="264" w:lineRule="auto"/>
              <w:rPr>
                <w:rFonts w:ascii="Arial"/>
                <w:sz w:val="21"/>
              </w:rPr>
            </w:pPr>
          </w:p>
          <w:p w14:paraId="6877B3C7">
            <w:pPr>
              <w:spacing w:line="264" w:lineRule="auto"/>
              <w:rPr>
                <w:rFonts w:ascii="Arial"/>
                <w:sz w:val="21"/>
              </w:rPr>
            </w:pPr>
          </w:p>
          <w:p w14:paraId="513ACDE4">
            <w:pPr>
              <w:pStyle w:val="6"/>
              <w:spacing w:before="62" w:line="219" w:lineRule="auto"/>
              <w:ind w:left="88"/>
              <w:rPr>
                <w:sz w:val="19"/>
                <w:szCs w:val="19"/>
              </w:rPr>
            </w:pPr>
            <w:r>
              <w:rPr>
                <w:spacing w:val="2"/>
                <w:sz w:val="19"/>
                <w:szCs w:val="19"/>
              </w:rPr>
              <w:t>满分100分</w:t>
            </w:r>
          </w:p>
          <w:p w14:paraId="331A2C95">
            <w:pPr>
              <w:pStyle w:val="6"/>
              <w:spacing w:before="5" w:line="194" w:lineRule="auto"/>
              <w:ind w:left="88"/>
              <w:rPr>
                <w:sz w:val="19"/>
                <w:szCs w:val="19"/>
              </w:rPr>
            </w:pPr>
            <w:r>
              <w:rPr>
                <w:spacing w:val="3"/>
                <w:sz w:val="19"/>
                <w:szCs w:val="19"/>
              </w:rPr>
              <w:t>(1)托盘技能(5分)</w:t>
            </w:r>
          </w:p>
          <w:p w14:paraId="1E779252">
            <w:pPr>
              <w:pStyle w:val="6"/>
              <w:spacing w:line="213" w:lineRule="auto"/>
              <w:ind w:left="88"/>
              <w:rPr>
                <w:sz w:val="19"/>
                <w:szCs w:val="19"/>
              </w:rPr>
            </w:pPr>
            <w:r>
              <w:rPr>
                <w:spacing w:val="3"/>
                <w:sz w:val="19"/>
                <w:szCs w:val="19"/>
              </w:rPr>
              <w:t>(2)台面铺设(10分)</w:t>
            </w:r>
          </w:p>
          <w:p w14:paraId="506BCD3D">
            <w:pPr>
              <w:pStyle w:val="6"/>
              <w:spacing w:line="219" w:lineRule="auto"/>
              <w:ind w:left="88"/>
              <w:rPr>
                <w:sz w:val="19"/>
                <w:szCs w:val="19"/>
              </w:rPr>
            </w:pPr>
            <w:r>
              <w:rPr>
                <w:spacing w:val="3"/>
                <w:sz w:val="19"/>
                <w:szCs w:val="19"/>
              </w:rPr>
              <w:t>(3)餐具摆放(35分)</w:t>
            </w:r>
          </w:p>
          <w:p w14:paraId="24711D80">
            <w:pPr>
              <w:pStyle w:val="6"/>
              <w:spacing w:before="3" w:line="215" w:lineRule="auto"/>
              <w:ind w:left="98"/>
              <w:rPr>
                <w:sz w:val="19"/>
                <w:szCs w:val="19"/>
              </w:rPr>
            </w:pPr>
            <w:r>
              <w:rPr>
                <w:spacing w:val="2"/>
                <w:sz w:val="19"/>
                <w:szCs w:val="19"/>
              </w:rPr>
              <w:t>(4)餐巾花折叠(20分)</w:t>
            </w:r>
          </w:p>
          <w:p w14:paraId="54B43BB5">
            <w:pPr>
              <w:pStyle w:val="6"/>
              <w:spacing w:line="213" w:lineRule="auto"/>
              <w:ind w:left="88"/>
              <w:rPr>
                <w:sz w:val="19"/>
                <w:szCs w:val="19"/>
              </w:rPr>
            </w:pPr>
            <w:r>
              <w:rPr>
                <w:spacing w:val="3"/>
                <w:sz w:val="19"/>
                <w:szCs w:val="19"/>
              </w:rPr>
              <w:t>(5)公用物品(5分)</w:t>
            </w:r>
          </w:p>
          <w:p w14:paraId="27EE5AE2">
            <w:pPr>
              <w:pStyle w:val="6"/>
              <w:spacing w:before="1" w:line="203" w:lineRule="auto"/>
              <w:ind w:left="88"/>
              <w:rPr>
                <w:sz w:val="19"/>
                <w:szCs w:val="19"/>
              </w:rPr>
            </w:pPr>
            <w:r>
              <w:rPr>
                <w:spacing w:val="3"/>
                <w:sz w:val="19"/>
                <w:szCs w:val="19"/>
              </w:rPr>
              <w:t>(6)拉椅让座(5分)</w:t>
            </w:r>
          </w:p>
          <w:p w14:paraId="17AC7F35">
            <w:pPr>
              <w:pStyle w:val="6"/>
              <w:spacing w:line="219" w:lineRule="auto"/>
              <w:ind w:left="88"/>
              <w:rPr>
                <w:sz w:val="19"/>
                <w:szCs w:val="19"/>
              </w:rPr>
            </w:pPr>
            <w:r>
              <w:rPr>
                <w:spacing w:val="3"/>
                <w:sz w:val="19"/>
                <w:szCs w:val="19"/>
              </w:rPr>
              <w:t>(7)综合印象(20分)</w:t>
            </w:r>
          </w:p>
        </w:tc>
      </w:tr>
    </w:tbl>
    <w:p w14:paraId="0163BCCA">
      <w:pPr>
        <w:pStyle w:val="2"/>
        <w:spacing w:line="222" w:lineRule="exact"/>
        <w:rPr>
          <w:sz w:val="19"/>
        </w:rPr>
      </w:pPr>
    </w:p>
    <w:p w14:paraId="70086B66">
      <w:pPr>
        <w:spacing w:line="222" w:lineRule="exact"/>
        <w:rPr>
          <w:sz w:val="19"/>
          <w:szCs w:val="19"/>
        </w:rPr>
        <w:sectPr>
          <w:footerReference r:id="rId127" w:type="default"/>
          <w:pgSz w:w="10660" w:h="15080"/>
          <w:pgMar w:top="400" w:right="914" w:bottom="912" w:left="1024" w:header="0" w:footer="741" w:gutter="0"/>
          <w:cols w:space="720" w:num="1"/>
        </w:sectPr>
      </w:pPr>
    </w:p>
    <w:p w14:paraId="2F8B05A7">
      <w:pPr>
        <w:spacing w:before="10"/>
      </w:pPr>
    </w:p>
    <w:p w14:paraId="2CD2C1F1">
      <w:pPr>
        <w:spacing w:before="10"/>
      </w:pPr>
    </w:p>
    <w:p w14:paraId="5483992D">
      <w:pPr>
        <w:spacing w:before="10"/>
      </w:pPr>
    </w:p>
    <w:p w14:paraId="639049AF">
      <w:pPr>
        <w:spacing w:before="9"/>
      </w:pPr>
    </w:p>
    <w:tbl>
      <w:tblPr>
        <w:tblStyle w:val="5"/>
        <w:tblW w:w="8730" w:type="dxa"/>
        <w:tblInd w:w="6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04"/>
        <w:gridCol w:w="829"/>
        <w:gridCol w:w="1338"/>
        <w:gridCol w:w="879"/>
        <w:gridCol w:w="2617"/>
        <w:gridCol w:w="2163"/>
      </w:tblGrid>
      <w:tr w14:paraId="2526FB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5" w:hRule="atLeast"/>
        </w:trPr>
        <w:tc>
          <w:tcPr>
            <w:tcW w:w="904" w:type="dxa"/>
            <w:vAlign w:val="top"/>
          </w:tcPr>
          <w:p w14:paraId="00AC9B64">
            <w:pPr>
              <w:pStyle w:val="6"/>
              <w:spacing w:before="150" w:line="220" w:lineRule="auto"/>
              <w:ind w:left="67"/>
              <w:rPr>
                <w:sz w:val="19"/>
                <w:szCs w:val="19"/>
              </w:rPr>
            </w:pPr>
            <w:r>
              <w:rPr>
                <w:b/>
                <w:bCs/>
                <w:spacing w:val="5"/>
                <w:sz w:val="19"/>
                <w:szCs w:val="19"/>
              </w:rPr>
              <w:t>测试项目</w:t>
            </w:r>
          </w:p>
        </w:tc>
        <w:tc>
          <w:tcPr>
            <w:tcW w:w="829" w:type="dxa"/>
            <w:vAlign w:val="top"/>
          </w:tcPr>
          <w:p w14:paraId="6C26885E">
            <w:pPr>
              <w:pStyle w:val="6"/>
              <w:spacing w:before="151" w:line="221" w:lineRule="auto"/>
              <w:ind w:left="23"/>
              <w:rPr>
                <w:sz w:val="19"/>
                <w:szCs w:val="19"/>
              </w:rPr>
            </w:pPr>
            <w:r>
              <w:rPr>
                <w:b/>
                <w:bCs/>
                <w:spacing w:val="-4"/>
                <w:sz w:val="19"/>
                <w:szCs w:val="19"/>
              </w:rPr>
              <w:t>测试用具</w:t>
            </w:r>
          </w:p>
        </w:tc>
        <w:tc>
          <w:tcPr>
            <w:tcW w:w="1338" w:type="dxa"/>
            <w:vAlign w:val="top"/>
          </w:tcPr>
          <w:p w14:paraId="237E9105">
            <w:pPr>
              <w:pStyle w:val="6"/>
              <w:spacing w:before="150" w:line="219" w:lineRule="auto"/>
              <w:ind w:left="344"/>
              <w:rPr>
                <w:sz w:val="19"/>
                <w:szCs w:val="19"/>
              </w:rPr>
            </w:pPr>
            <w:r>
              <w:rPr>
                <w:b/>
                <w:bCs/>
                <w:spacing w:val="-4"/>
                <w:sz w:val="19"/>
                <w:szCs w:val="19"/>
              </w:rPr>
              <w:t>测试内容</w:t>
            </w:r>
          </w:p>
        </w:tc>
        <w:tc>
          <w:tcPr>
            <w:tcW w:w="879" w:type="dxa"/>
            <w:vAlign w:val="top"/>
          </w:tcPr>
          <w:p w14:paraId="74BE5098">
            <w:pPr>
              <w:pStyle w:val="6"/>
              <w:spacing w:before="151" w:line="221" w:lineRule="auto"/>
              <w:ind w:left="56"/>
              <w:rPr>
                <w:sz w:val="19"/>
                <w:szCs w:val="19"/>
              </w:rPr>
            </w:pPr>
            <w:r>
              <w:rPr>
                <w:b/>
                <w:bCs/>
                <w:spacing w:val="-4"/>
                <w:sz w:val="19"/>
                <w:szCs w:val="19"/>
              </w:rPr>
              <w:t>测试方法</w:t>
            </w:r>
          </w:p>
        </w:tc>
        <w:tc>
          <w:tcPr>
            <w:tcW w:w="2617" w:type="dxa"/>
            <w:vAlign w:val="top"/>
          </w:tcPr>
          <w:p w14:paraId="32DC9D57">
            <w:pPr>
              <w:pStyle w:val="6"/>
              <w:spacing w:before="151" w:line="221" w:lineRule="auto"/>
              <w:ind w:left="987"/>
              <w:rPr>
                <w:sz w:val="19"/>
                <w:szCs w:val="19"/>
              </w:rPr>
            </w:pPr>
            <w:r>
              <w:rPr>
                <w:b/>
                <w:bCs/>
                <w:spacing w:val="-4"/>
                <w:sz w:val="19"/>
                <w:szCs w:val="19"/>
              </w:rPr>
              <w:t>测试要求</w:t>
            </w:r>
          </w:p>
        </w:tc>
        <w:tc>
          <w:tcPr>
            <w:tcW w:w="2163" w:type="dxa"/>
            <w:vAlign w:val="top"/>
          </w:tcPr>
          <w:p w14:paraId="1B8EFA83">
            <w:pPr>
              <w:pStyle w:val="6"/>
              <w:spacing w:before="150" w:line="219" w:lineRule="auto"/>
              <w:ind w:left="760"/>
              <w:rPr>
                <w:sz w:val="19"/>
                <w:szCs w:val="19"/>
              </w:rPr>
            </w:pPr>
            <w:r>
              <w:rPr>
                <w:b/>
                <w:bCs/>
                <w:spacing w:val="-4"/>
                <w:sz w:val="19"/>
                <w:szCs w:val="19"/>
              </w:rPr>
              <w:t>赋分参考</w:t>
            </w:r>
          </w:p>
        </w:tc>
      </w:tr>
      <w:tr w14:paraId="03A48D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95" w:hRule="atLeast"/>
        </w:trPr>
        <w:tc>
          <w:tcPr>
            <w:tcW w:w="904" w:type="dxa"/>
            <w:vAlign w:val="top"/>
          </w:tcPr>
          <w:p w14:paraId="2AF1B22D">
            <w:pPr>
              <w:spacing w:line="255" w:lineRule="auto"/>
              <w:rPr>
                <w:rFonts w:ascii="Arial"/>
                <w:sz w:val="21"/>
              </w:rPr>
            </w:pPr>
          </w:p>
          <w:p w14:paraId="5C85B6F4">
            <w:pPr>
              <w:spacing w:line="255" w:lineRule="auto"/>
              <w:rPr>
                <w:rFonts w:ascii="Arial"/>
                <w:sz w:val="21"/>
              </w:rPr>
            </w:pPr>
          </w:p>
          <w:p w14:paraId="6909A5C2">
            <w:pPr>
              <w:spacing w:line="255" w:lineRule="auto"/>
              <w:rPr>
                <w:rFonts w:ascii="Arial"/>
                <w:sz w:val="21"/>
              </w:rPr>
            </w:pPr>
          </w:p>
          <w:p w14:paraId="1707D39D">
            <w:pPr>
              <w:spacing w:line="255" w:lineRule="auto"/>
              <w:rPr>
                <w:rFonts w:ascii="Arial"/>
                <w:sz w:val="21"/>
              </w:rPr>
            </w:pPr>
          </w:p>
          <w:p w14:paraId="0DAD81A7">
            <w:pPr>
              <w:spacing w:line="255" w:lineRule="auto"/>
              <w:rPr>
                <w:rFonts w:ascii="Arial"/>
                <w:sz w:val="21"/>
              </w:rPr>
            </w:pPr>
          </w:p>
          <w:p w14:paraId="351912E3">
            <w:pPr>
              <w:spacing w:line="255" w:lineRule="auto"/>
              <w:rPr>
                <w:rFonts w:ascii="Arial"/>
                <w:sz w:val="21"/>
              </w:rPr>
            </w:pPr>
          </w:p>
          <w:p w14:paraId="606A6E77">
            <w:pPr>
              <w:spacing w:line="255" w:lineRule="auto"/>
              <w:rPr>
                <w:rFonts w:ascii="Arial"/>
                <w:sz w:val="21"/>
              </w:rPr>
            </w:pPr>
          </w:p>
          <w:p w14:paraId="297CE15B">
            <w:pPr>
              <w:spacing w:line="255" w:lineRule="auto"/>
              <w:rPr>
                <w:rFonts w:ascii="Arial"/>
                <w:sz w:val="21"/>
              </w:rPr>
            </w:pPr>
          </w:p>
          <w:p w14:paraId="49CAEAEC">
            <w:pPr>
              <w:spacing w:line="256" w:lineRule="auto"/>
              <w:rPr>
                <w:rFonts w:ascii="Arial"/>
                <w:sz w:val="21"/>
              </w:rPr>
            </w:pPr>
          </w:p>
          <w:p w14:paraId="02E1D283">
            <w:pPr>
              <w:spacing w:line="256" w:lineRule="auto"/>
              <w:rPr>
                <w:rFonts w:ascii="Arial"/>
                <w:sz w:val="21"/>
              </w:rPr>
            </w:pPr>
          </w:p>
          <w:p w14:paraId="5BD72366">
            <w:pPr>
              <w:pStyle w:val="6"/>
              <w:spacing w:before="61" w:line="215" w:lineRule="auto"/>
              <w:ind w:left="65" w:right="23" w:firstLine="39"/>
              <w:jc w:val="both"/>
              <w:rPr>
                <w:sz w:val="19"/>
                <w:szCs w:val="19"/>
              </w:rPr>
            </w:pPr>
            <w:r>
              <w:rPr>
                <w:spacing w:val="1"/>
                <w:sz w:val="19"/>
                <w:szCs w:val="19"/>
              </w:rPr>
              <w:t>项目六：</w:t>
            </w:r>
            <w:r>
              <w:rPr>
                <w:sz w:val="19"/>
                <w:szCs w:val="19"/>
              </w:rPr>
              <w:t xml:space="preserve"> </w:t>
            </w:r>
            <w:r>
              <w:rPr>
                <w:spacing w:val="2"/>
                <w:sz w:val="19"/>
                <w:szCs w:val="19"/>
              </w:rPr>
              <w:t>中餐托盘</w:t>
            </w:r>
            <w:r>
              <w:rPr>
                <w:sz w:val="19"/>
                <w:szCs w:val="19"/>
              </w:rPr>
              <w:t xml:space="preserve"> </w:t>
            </w:r>
            <w:r>
              <w:rPr>
                <w:spacing w:val="-2"/>
                <w:sz w:val="19"/>
                <w:szCs w:val="19"/>
              </w:rPr>
              <w:t>斟酒服务</w:t>
            </w:r>
          </w:p>
        </w:tc>
        <w:tc>
          <w:tcPr>
            <w:tcW w:w="829" w:type="dxa"/>
            <w:vAlign w:val="top"/>
          </w:tcPr>
          <w:p w14:paraId="3991BD18">
            <w:pPr>
              <w:spacing w:line="271" w:lineRule="auto"/>
              <w:rPr>
                <w:rFonts w:ascii="Arial"/>
                <w:sz w:val="21"/>
              </w:rPr>
            </w:pPr>
          </w:p>
          <w:p w14:paraId="3F524237">
            <w:pPr>
              <w:spacing w:line="271" w:lineRule="auto"/>
              <w:rPr>
                <w:rFonts w:ascii="Arial"/>
                <w:sz w:val="21"/>
              </w:rPr>
            </w:pPr>
          </w:p>
          <w:p w14:paraId="308B26C0">
            <w:pPr>
              <w:spacing w:line="272" w:lineRule="auto"/>
              <w:rPr>
                <w:rFonts w:ascii="Arial"/>
                <w:sz w:val="21"/>
              </w:rPr>
            </w:pPr>
          </w:p>
          <w:p w14:paraId="2FD4A4B0">
            <w:pPr>
              <w:spacing w:line="272" w:lineRule="auto"/>
              <w:rPr>
                <w:rFonts w:ascii="Arial"/>
                <w:sz w:val="21"/>
              </w:rPr>
            </w:pPr>
          </w:p>
          <w:p w14:paraId="7186F35D">
            <w:pPr>
              <w:spacing w:line="272" w:lineRule="auto"/>
              <w:rPr>
                <w:rFonts w:ascii="Arial"/>
                <w:sz w:val="21"/>
              </w:rPr>
            </w:pPr>
          </w:p>
          <w:p w14:paraId="201D327E">
            <w:pPr>
              <w:pStyle w:val="6"/>
              <w:spacing w:before="62" w:line="193" w:lineRule="auto"/>
              <w:ind w:left="20"/>
              <w:rPr>
                <w:sz w:val="19"/>
                <w:szCs w:val="19"/>
              </w:rPr>
            </w:pPr>
            <w:r>
              <w:rPr>
                <w:spacing w:val="2"/>
                <w:sz w:val="19"/>
                <w:szCs w:val="19"/>
              </w:rPr>
              <w:t>圆形托盘</w:t>
            </w:r>
          </w:p>
          <w:p w14:paraId="25D09E36">
            <w:pPr>
              <w:pStyle w:val="6"/>
              <w:spacing w:line="219" w:lineRule="auto"/>
              <w:ind w:left="20"/>
              <w:rPr>
                <w:sz w:val="19"/>
                <w:szCs w:val="19"/>
              </w:rPr>
            </w:pPr>
            <w:r>
              <w:rPr>
                <w:spacing w:val="-2"/>
                <w:sz w:val="19"/>
                <w:szCs w:val="19"/>
              </w:rPr>
              <w:t>透明玻璃</w:t>
            </w:r>
          </w:p>
          <w:p w14:paraId="21EC72F3">
            <w:pPr>
              <w:pStyle w:val="6"/>
              <w:spacing w:before="15" w:line="206" w:lineRule="auto"/>
              <w:ind w:left="20"/>
              <w:rPr>
                <w:sz w:val="19"/>
                <w:szCs w:val="19"/>
              </w:rPr>
            </w:pPr>
            <w:r>
              <w:rPr>
                <w:spacing w:val="1"/>
                <w:sz w:val="19"/>
                <w:szCs w:val="19"/>
              </w:rPr>
              <w:t>敞口酒瓶</w:t>
            </w:r>
          </w:p>
          <w:p w14:paraId="55D1441F">
            <w:pPr>
              <w:pStyle w:val="6"/>
              <w:spacing w:line="191" w:lineRule="auto"/>
              <w:ind w:left="161"/>
              <w:rPr>
                <w:sz w:val="19"/>
                <w:szCs w:val="19"/>
              </w:rPr>
            </w:pPr>
            <w:r>
              <w:rPr>
                <w:spacing w:val="11"/>
                <w:sz w:val="19"/>
                <w:szCs w:val="19"/>
              </w:rPr>
              <w:t>(1只)</w:t>
            </w:r>
          </w:p>
          <w:p w14:paraId="1C47EDE4">
            <w:pPr>
              <w:pStyle w:val="6"/>
              <w:spacing w:line="219" w:lineRule="auto"/>
              <w:ind w:left="20"/>
              <w:rPr>
                <w:sz w:val="19"/>
                <w:szCs w:val="19"/>
              </w:rPr>
            </w:pPr>
            <w:r>
              <w:rPr>
                <w:spacing w:val="3"/>
                <w:sz w:val="19"/>
                <w:szCs w:val="19"/>
              </w:rPr>
              <w:t>非透明陶</w:t>
            </w:r>
          </w:p>
          <w:p w14:paraId="1AEDB6C1">
            <w:pPr>
              <w:pStyle w:val="6"/>
              <w:spacing w:before="15" w:line="195" w:lineRule="auto"/>
              <w:ind w:left="20"/>
              <w:rPr>
                <w:sz w:val="19"/>
                <w:szCs w:val="19"/>
              </w:rPr>
            </w:pPr>
            <w:r>
              <w:rPr>
                <w:spacing w:val="2"/>
                <w:sz w:val="19"/>
                <w:szCs w:val="19"/>
              </w:rPr>
              <w:t>瓷敞口酒</w:t>
            </w:r>
          </w:p>
          <w:p w14:paraId="78449A9E">
            <w:pPr>
              <w:pStyle w:val="6"/>
              <w:spacing w:line="220" w:lineRule="auto"/>
              <w:ind w:left="70"/>
              <w:rPr>
                <w:sz w:val="19"/>
                <w:szCs w:val="19"/>
              </w:rPr>
            </w:pPr>
            <w:r>
              <w:rPr>
                <w:spacing w:val="7"/>
                <w:sz w:val="19"/>
                <w:szCs w:val="19"/>
              </w:rPr>
              <w:t>瓶(1只)</w:t>
            </w:r>
          </w:p>
          <w:p w14:paraId="6670A98D">
            <w:pPr>
              <w:pStyle w:val="6"/>
              <w:spacing w:before="11" w:line="198" w:lineRule="auto"/>
              <w:ind w:left="211"/>
              <w:rPr>
                <w:sz w:val="19"/>
                <w:szCs w:val="19"/>
              </w:rPr>
            </w:pPr>
            <w:r>
              <w:rPr>
                <w:spacing w:val="-3"/>
                <w:sz w:val="19"/>
                <w:szCs w:val="19"/>
              </w:rPr>
              <w:t>水杯</w:t>
            </w:r>
          </w:p>
          <w:p w14:paraId="5E991150">
            <w:pPr>
              <w:pStyle w:val="6"/>
              <w:spacing w:line="222" w:lineRule="auto"/>
              <w:ind w:left="120"/>
              <w:rPr>
                <w:sz w:val="19"/>
                <w:szCs w:val="19"/>
              </w:rPr>
            </w:pPr>
            <w:r>
              <w:rPr>
                <w:spacing w:val="8"/>
                <w:sz w:val="19"/>
                <w:szCs w:val="19"/>
              </w:rPr>
              <w:t>(10只)</w:t>
            </w:r>
          </w:p>
          <w:p w14:paraId="4A6F6F5B">
            <w:pPr>
              <w:pStyle w:val="6"/>
              <w:spacing w:before="8" w:line="198" w:lineRule="auto"/>
              <w:ind w:left="120"/>
              <w:rPr>
                <w:sz w:val="19"/>
                <w:szCs w:val="19"/>
              </w:rPr>
            </w:pPr>
            <w:r>
              <w:rPr>
                <w:spacing w:val="3"/>
                <w:sz w:val="19"/>
                <w:szCs w:val="19"/>
              </w:rPr>
              <w:t>红酒杯</w:t>
            </w:r>
          </w:p>
          <w:p w14:paraId="2DB8133F">
            <w:pPr>
              <w:pStyle w:val="6"/>
              <w:spacing w:line="222" w:lineRule="auto"/>
              <w:ind w:left="120"/>
              <w:rPr>
                <w:sz w:val="19"/>
                <w:szCs w:val="19"/>
              </w:rPr>
            </w:pPr>
            <w:r>
              <w:rPr>
                <w:spacing w:val="8"/>
                <w:sz w:val="19"/>
                <w:szCs w:val="19"/>
              </w:rPr>
              <w:t>(10只)</w:t>
            </w:r>
          </w:p>
          <w:p w14:paraId="24DCC26B">
            <w:pPr>
              <w:pStyle w:val="6"/>
              <w:spacing w:before="7" w:line="198" w:lineRule="auto"/>
              <w:ind w:left="120"/>
              <w:rPr>
                <w:sz w:val="19"/>
                <w:szCs w:val="19"/>
              </w:rPr>
            </w:pPr>
            <w:r>
              <w:rPr>
                <w:spacing w:val="3"/>
                <w:sz w:val="19"/>
                <w:szCs w:val="19"/>
              </w:rPr>
              <w:t>白酒杯</w:t>
            </w:r>
          </w:p>
          <w:p w14:paraId="1ED180ED">
            <w:pPr>
              <w:pStyle w:val="6"/>
              <w:spacing w:before="1" w:line="222" w:lineRule="auto"/>
              <w:ind w:left="120"/>
              <w:rPr>
                <w:sz w:val="19"/>
                <w:szCs w:val="19"/>
              </w:rPr>
            </w:pPr>
            <w:r>
              <w:rPr>
                <w:spacing w:val="8"/>
                <w:sz w:val="19"/>
                <w:szCs w:val="19"/>
              </w:rPr>
              <w:t>(10只)</w:t>
            </w:r>
          </w:p>
        </w:tc>
        <w:tc>
          <w:tcPr>
            <w:tcW w:w="1338" w:type="dxa"/>
            <w:vAlign w:val="top"/>
          </w:tcPr>
          <w:p w14:paraId="286ADC4A">
            <w:pPr>
              <w:spacing w:line="256" w:lineRule="auto"/>
              <w:rPr>
                <w:rFonts w:ascii="Arial"/>
                <w:sz w:val="21"/>
              </w:rPr>
            </w:pPr>
          </w:p>
          <w:p w14:paraId="4E98D88C">
            <w:pPr>
              <w:spacing w:line="256" w:lineRule="auto"/>
              <w:rPr>
                <w:rFonts w:ascii="Arial"/>
                <w:sz w:val="21"/>
              </w:rPr>
            </w:pPr>
          </w:p>
          <w:p w14:paraId="7171869E">
            <w:pPr>
              <w:spacing w:line="256" w:lineRule="auto"/>
              <w:rPr>
                <w:rFonts w:ascii="Arial"/>
                <w:sz w:val="21"/>
              </w:rPr>
            </w:pPr>
          </w:p>
          <w:p w14:paraId="1625C9C2">
            <w:pPr>
              <w:spacing w:line="256" w:lineRule="auto"/>
              <w:rPr>
                <w:rFonts w:ascii="Arial"/>
                <w:sz w:val="21"/>
              </w:rPr>
            </w:pPr>
          </w:p>
          <w:p w14:paraId="4328D37A">
            <w:pPr>
              <w:spacing w:line="256" w:lineRule="auto"/>
              <w:rPr>
                <w:rFonts w:ascii="Arial"/>
                <w:sz w:val="21"/>
              </w:rPr>
            </w:pPr>
          </w:p>
          <w:p w14:paraId="30CB59E9">
            <w:pPr>
              <w:spacing w:line="256" w:lineRule="auto"/>
              <w:rPr>
                <w:rFonts w:ascii="Arial"/>
                <w:sz w:val="21"/>
              </w:rPr>
            </w:pPr>
          </w:p>
          <w:p w14:paraId="732EADFF">
            <w:pPr>
              <w:spacing w:line="256" w:lineRule="auto"/>
              <w:rPr>
                <w:rFonts w:ascii="Arial"/>
                <w:sz w:val="21"/>
              </w:rPr>
            </w:pPr>
          </w:p>
          <w:p w14:paraId="00A1E3E2">
            <w:pPr>
              <w:spacing w:line="256" w:lineRule="auto"/>
              <w:rPr>
                <w:rFonts w:ascii="Arial"/>
                <w:sz w:val="21"/>
              </w:rPr>
            </w:pPr>
          </w:p>
          <w:p w14:paraId="76D6CDB2">
            <w:pPr>
              <w:spacing w:line="256" w:lineRule="auto"/>
              <w:rPr>
                <w:rFonts w:ascii="Arial"/>
                <w:sz w:val="21"/>
              </w:rPr>
            </w:pPr>
          </w:p>
          <w:p w14:paraId="7037F926">
            <w:pPr>
              <w:spacing w:line="256" w:lineRule="auto"/>
              <w:rPr>
                <w:rFonts w:ascii="Arial"/>
                <w:sz w:val="21"/>
              </w:rPr>
            </w:pPr>
          </w:p>
          <w:p w14:paraId="302A3BB0">
            <w:pPr>
              <w:pStyle w:val="6"/>
              <w:spacing w:before="62" w:line="204" w:lineRule="auto"/>
              <w:jc w:val="right"/>
              <w:rPr>
                <w:sz w:val="19"/>
                <w:szCs w:val="19"/>
              </w:rPr>
            </w:pPr>
            <w:r>
              <w:rPr>
                <w:sz w:val="19"/>
                <w:szCs w:val="19"/>
              </w:rPr>
              <w:t>(1)托盘斟白酒</w:t>
            </w:r>
          </w:p>
          <w:p w14:paraId="2477C936">
            <w:pPr>
              <w:pStyle w:val="6"/>
              <w:spacing w:line="220" w:lineRule="auto"/>
              <w:jc w:val="right"/>
              <w:rPr>
                <w:sz w:val="19"/>
                <w:szCs w:val="19"/>
              </w:rPr>
            </w:pPr>
            <w:r>
              <w:rPr>
                <w:sz w:val="19"/>
                <w:szCs w:val="19"/>
              </w:rPr>
              <w:t>(2)托盘斟红酒</w:t>
            </w:r>
          </w:p>
        </w:tc>
        <w:tc>
          <w:tcPr>
            <w:tcW w:w="879" w:type="dxa"/>
            <w:vAlign w:val="top"/>
          </w:tcPr>
          <w:p w14:paraId="57AF5E71">
            <w:pPr>
              <w:spacing w:line="254" w:lineRule="auto"/>
              <w:rPr>
                <w:rFonts w:ascii="Arial"/>
                <w:sz w:val="21"/>
              </w:rPr>
            </w:pPr>
          </w:p>
          <w:p w14:paraId="28500AD6">
            <w:pPr>
              <w:spacing w:line="255" w:lineRule="auto"/>
              <w:rPr>
                <w:rFonts w:ascii="Arial"/>
                <w:sz w:val="21"/>
              </w:rPr>
            </w:pPr>
          </w:p>
          <w:p w14:paraId="5D7DDB09">
            <w:pPr>
              <w:spacing w:line="255" w:lineRule="auto"/>
              <w:rPr>
                <w:rFonts w:ascii="Arial"/>
                <w:sz w:val="21"/>
              </w:rPr>
            </w:pPr>
          </w:p>
          <w:p w14:paraId="5C4DFE69">
            <w:pPr>
              <w:spacing w:line="255" w:lineRule="auto"/>
              <w:rPr>
                <w:rFonts w:ascii="Arial"/>
                <w:sz w:val="21"/>
              </w:rPr>
            </w:pPr>
          </w:p>
          <w:p w14:paraId="17F46F08">
            <w:pPr>
              <w:spacing w:line="255" w:lineRule="auto"/>
              <w:rPr>
                <w:rFonts w:ascii="Arial"/>
                <w:sz w:val="21"/>
              </w:rPr>
            </w:pPr>
          </w:p>
          <w:p w14:paraId="059BB781">
            <w:pPr>
              <w:spacing w:line="255" w:lineRule="auto"/>
              <w:rPr>
                <w:rFonts w:ascii="Arial"/>
                <w:sz w:val="21"/>
              </w:rPr>
            </w:pPr>
          </w:p>
          <w:p w14:paraId="3B727457">
            <w:pPr>
              <w:spacing w:line="255" w:lineRule="auto"/>
              <w:rPr>
                <w:rFonts w:ascii="Arial"/>
                <w:sz w:val="21"/>
              </w:rPr>
            </w:pPr>
          </w:p>
          <w:p w14:paraId="4536EE4C">
            <w:pPr>
              <w:spacing w:line="255" w:lineRule="auto"/>
              <w:rPr>
                <w:rFonts w:ascii="Arial"/>
                <w:sz w:val="21"/>
              </w:rPr>
            </w:pPr>
          </w:p>
          <w:p w14:paraId="3FF35846">
            <w:pPr>
              <w:spacing w:line="255" w:lineRule="auto"/>
              <w:rPr>
                <w:rFonts w:ascii="Arial"/>
                <w:sz w:val="21"/>
              </w:rPr>
            </w:pPr>
          </w:p>
          <w:p w14:paraId="1A68A8B3">
            <w:pPr>
              <w:spacing w:line="255" w:lineRule="auto"/>
              <w:rPr>
                <w:rFonts w:ascii="Arial"/>
                <w:sz w:val="21"/>
              </w:rPr>
            </w:pPr>
          </w:p>
          <w:p w14:paraId="19E70213">
            <w:pPr>
              <w:pStyle w:val="6"/>
              <w:spacing w:before="62" w:line="207" w:lineRule="auto"/>
              <w:ind w:left="243" w:right="42" w:hanging="190"/>
              <w:rPr>
                <w:sz w:val="19"/>
                <w:szCs w:val="19"/>
              </w:rPr>
            </w:pPr>
            <w:r>
              <w:rPr>
                <w:spacing w:val="3"/>
                <w:sz w:val="19"/>
                <w:szCs w:val="19"/>
              </w:rPr>
              <w:t>现场操作</w:t>
            </w:r>
            <w:r>
              <w:rPr>
                <w:sz w:val="19"/>
                <w:szCs w:val="19"/>
              </w:rPr>
              <w:t xml:space="preserve"> </w:t>
            </w:r>
            <w:r>
              <w:rPr>
                <w:spacing w:val="-2"/>
                <w:sz w:val="19"/>
                <w:szCs w:val="19"/>
              </w:rPr>
              <w:t>考试</w:t>
            </w:r>
          </w:p>
        </w:tc>
        <w:tc>
          <w:tcPr>
            <w:tcW w:w="2617" w:type="dxa"/>
            <w:vAlign w:val="top"/>
          </w:tcPr>
          <w:p w14:paraId="2F421A7A">
            <w:pPr>
              <w:spacing w:line="259" w:lineRule="auto"/>
              <w:rPr>
                <w:rFonts w:ascii="Arial"/>
                <w:sz w:val="21"/>
              </w:rPr>
            </w:pPr>
          </w:p>
          <w:p w14:paraId="7A76B9F4">
            <w:pPr>
              <w:spacing w:line="259" w:lineRule="auto"/>
              <w:rPr>
                <w:rFonts w:ascii="Arial"/>
                <w:sz w:val="21"/>
              </w:rPr>
            </w:pPr>
          </w:p>
          <w:p w14:paraId="5D593A96">
            <w:pPr>
              <w:spacing w:line="259" w:lineRule="auto"/>
              <w:rPr>
                <w:rFonts w:ascii="Arial"/>
                <w:sz w:val="21"/>
              </w:rPr>
            </w:pPr>
          </w:p>
          <w:p w14:paraId="188A5A4B">
            <w:pPr>
              <w:spacing w:line="259" w:lineRule="auto"/>
              <w:rPr>
                <w:rFonts w:ascii="Arial"/>
                <w:sz w:val="21"/>
              </w:rPr>
            </w:pPr>
          </w:p>
          <w:p w14:paraId="27A797E9">
            <w:pPr>
              <w:spacing w:line="259" w:lineRule="auto"/>
              <w:rPr>
                <w:rFonts w:ascii="Arial"/>
                <w:sz w:val="21"/>
              </w:rPr>
            </w:pPr>
          </w:p>
          <w:p w14:paraId="6CBF0548">
            <w:pPr>
              <w:spacing w:line="260" w:lineRule="auto"/>
              <w:rPr>
                <w:rFonts w:ascii="Arial"/>
                <w:sz w:val="21"/>
              </w:rPr>
            </w:pPr>
          </w:p>
          <w:p w14:paraId="7DF387C5">
            <w:pPr>
              <w:pStyle w:val="6"/>
              <w:spacing w:before="62" w:line="214" w:lineRule="auto"/>
              <w:ind w:left="54" w:right="132" w:firstLine="30"/>
              <w:rPr>
                <w:sz w:val="19"/>
                <w:szCs w:val="19"/>
              </w:rPr>
            </w:pPr>
            <w:r>
              <w:rPr>
                <w:sz w:val="19"/>
                <w:szCs w:val="19"/>
              </w:rPr>
              <w:t>(1)考试时间：5分钟，准备1</w:t>
            </w:r>
            <w:r>
              <w:rPr>
                <w:spacing w:val="13"/>
                <w:sz w:val="19"/>
                <w:szCs w:val="19"/>
              </w:rPr>
              <w:t xml:space="preserve"> </w:t>
            </w:r>
            <w:r>
              <w:rPr>
                <w:spacing w:val="3"/>
                <w:sz w:val="19"/>
                <w:szCs w:val="19"/>
              </w:rPr>
              <w:t>分钟(不计入考核时间)</w:t>
            </w:r>
          </w:p>
          <w:p w14:paraId="13F9FB1B">
            <w:pPr>
              <w:pStyle w:val="6"/>
              <w:spacing w:before="1" w:line="213" w:lineRule="auto"/>
              <w:ind w:left="35" w:right="137" w:firstLine="49"/>
              <w:rPr>
                <w:sz w:val="19"/>
                <w:szCs w:val="19"/>
              </w:rPr>
            </w:pPr>
            <w:r>
              <w:rPr>
                <w:sz w:val="19"/>
                <w:szCs w:val="19"/>
              </w:rPr>
              <w:t>(2)考生必须携带准考证和身</w:t>
            </w:r>
            <w:r>
              <w:rPr>
                <w:spacing w:val="8"/>
                <w:sz w:val="19"/>
                <w:szCs w:val="19"/>
              </w:rPr>
              <w:t xml:space="preserve"> </w:t>
            </w:r>
            <w:r>
              <w:rPr>
                <w:spacing w:val="-1"/>
                <w:sz w:val="19"/>
                <w:szCs w:val="19"/>
              </w:rPr>
              <w:t>份证参加考试。</w:t>
            </w:r>
          </w:p>
          <w:p w14:paraId="5C96EAD0">
            <w:pPr>
              <w:pStyle w:val="6"/>
              <w:spacing w:line="213" w:lineRule="auto"/>
              <w:jc w:val="right"/>
              <w:rPr>
                <w:sz w:val="19"/>
                <w:szCs w:val="19"/>
              </w:rPr>
            </w:pPr>
            <w:r>
              <w:rPr>
                <w:spacing w:val="-1"/>
                <w:sz w:val="19"/>
                <w:szCs w:val="19"/>
              </w:rPr>
              <w:t>(3)操作中允许使用装饰盘垫</w:t>
            </w:r>
          </w:p>
          <w:p w14:paraId="66258CAF">
            <w:pPr>
              <w:pStyle w:val="6"/>
              <w:spacing w:before="1" w:line="213" w:lineRule="auto"/>
              <w:ind w:left="35" w:right="143" w:firstLine="49"/>
              <w:rPr>
                <w:sz w:val="19"/>
                <w:szCs w:val="19"/>
              </w:rPr>
            </w:pPr>
            <w:r>
              <w:rPr>
                <w:sz w:val="19"/>
                <w:szCs w:val="19"/>
              </w:rPr>
              <w:t>(4)所有操作必须按照顺时针</w:t>
            </w:r>
            <w:r>
              <w:rPr>
                <w:spacing w:val="2"/>
                <w:sz w:val="19"/>
                <w:szCs w:val="19"/>
              </w:rPr>
              <w:t xml:space="preserve"> </w:t>
            </w:r>
            <w:r>
              <w:rPr>
                <w:spacing w:val="-1"/>
                <w:sz w:val="19"/>
                <w:szCs w:val="19"/>
              </w:rPr>
              <w:t>方向进行，先斟主宾。</w:t>
            </w:r>
          </w:p>
          <w:p w14:paraId="113C43E2">
            <w:pPr>
              <w:pStyle w:val="6"/>
              <w:spacing w:line="219" w:lineRule="auto"/>
              <w:ind w:left="14" w:firstLine="128"/>
              <w:rPr>
                <w:sz w:val="19"/>
                <w:szCs w:val="19"/>
              </w:rPr>
            </w:pPr>
            <w:r>
              <w:rPr>
                <w:spacing w:val="-1"/>
                <w:sz w:val="19"/>
                <w:szCs w:val="19"/>
              </w:rPr>
              <w:t>(5)酒杯碰倒每件扣3分；遗漏</w:t>
            </w:r>
            <w:r>
              <w:rPr>
                <w:spacing w:val="2"/>
                <w:sz w:val="19"/>
                <w:szCs w:val="19"/>
              </w:rPr>
              <w:t xml:space="preserve"> </w:t>
            </w:r>
            <w:r>
              <w:rPr>
                <w:spacing w:val="1"/>
                <w:sz w:val="19"/>
                <w:szCs w:val="19"/>
              </w:rPr>
              <w:t>斟酒每杯扣4分。逆时针操作扣</w:t>
            </w:r>
            <w:r>
              <w:rPr>
                <w:spacing w:val="12"/>
                <w:sz w:val="19"/>
                <w:szCs w:val="19"/>
              </w:rPr>
              <w:t xml:space="preserve"> </w:t>
            </w:r>
            <w:r>
              <w:rPr>
                <w:spacing w:val="-2"/>
                <w:sz w:val="19"/>
                <w:szCs w:val="19"/>
              </w:rPr>
              <w:t>2分/次。</w:t>
            </w:r>
          </w:p>
        </w:tc>
        <w:tc>
          <w:tcPr>
            <w:tcW w:w="2163" w:type="dxa"/>
            <w:vAlign w:val="top"/>
          </w:tcPr>
          <w:p w14:paraId="103597EB">
            <w:pPr>
              <w:spacing w:line="257" w:lineRule="auto"/>
              <w:rPr>
                <w:rFonts w:ascii="Arial"/>
                <w:sz w:val="21"/>
              </w:rPr>
            </w:pPr>
          </w:p>
          <w:p w14:paraId="7C24A426">
            <w:pPr>
              <w:spacing w:line="257" w:lineRule="auto"/>
              <w:rPr>
                <w:rFonts w:ascii="Arial"/>
                <w:sz w:val="21"/>
              </w:rPr>
            </w:pPr>
          </w:p>
          <w:p w14:paraId="0975071A">
            <w:pPr>
              <w:spacing w:line="257" w:lineRule="auto"/>
              <w:rPr>
                <w:rFonts w:ascii="Arial"/>
                <w:sz w:val="21"/>
              </w:rPr>
            </w:pPr>
          </w:p>
          <w:p w14:paraId="6B90591E">
            <w:pPr>
              <w:spacing w:line="258" w:lineRule="auto"/>
              <w:rPr>
                <w:rFonts w:ascii="Arial"/>
                <w:sz w:val="21"/>
              </w:rPr>
            </w:pPr>
          </w:p>
          <w:p w14:paraId="729F173F">
            <w:pPr>
              <w:pStyle w:val="6"/>
              <w:spacing w:before="62" w:line="205" w:lineRule="auto"/>
              <w:ind w:left="47"/>
              <w:rPr>
                <w:sz w:val="19"/>
                <w:szCs w:val="19"/>
              </w:rPr>
            </w:pPr>
            <w:r>
              <w:rPr>
                <w:spacing w:val="-2"/>
                <w:sz w:val="19"/>
                <w:szCs w:val="19"/>
              </w:rPr>
              <w:t>满分70分</w:t>
            </w:r>
          </w:p>
          <w:p w14:paraId="07A4BDBA">
            <w:pPr>
              <w:pStyle w:val="6"/>
              <w:spacing w:before="1" w:line="213" w:lineRule="auto"/>
              <w:ind w:left="57" w:right="65" w:firstLine="30"/>
              <w:rPr>
                <w:sz w:val="19"/>
                <w:szCs w:val="19"/>
              </w:rPr>
            </w:pPr>
            <w:r>
              <w:rPr>
                <w:sz w:val="19"/>
                <w:szCs w:val="19"/>
              </w:rPr>
              <w:t>(1)左手托盘，右手自然</w:t>
            </w:r>
            <w:r>
              <w:rPr>
                <w:spacing w:val="3"/>
                <w:sz w:val="19"/>
                <w:szCs w:val="19"/>
              </w:rPr>
              <w:t xml:space="preserve"> </w:t>
            </w:r>
            <w:r>
              <w:rPr>
                <w:spacing w:val="6"/>
                <w:sz w:val="19"/>
                <w:szCs w:val="19"/>
              </w:rPr>
              <w:t>打开(5分)</w:t>
            </w:r>
          </w:p>
          <w:p w14:paraId="4C0A954B">
            <w:pPr>
              <w:pStyle w:val="6"/>
              <w:spacing w:line="212" w:lineRule="auto"/>
              <w:ind w:left="88"/>
              <w:rPr>
                <w:sz w:val="19"/>
                <w:szCs w:val="19"/>
              </w:rPr>
            </w:pPr>
            <w:r>
              <w:rPr>
                <w:spacing w:val="3"/>
                <w:sz w:val="19"/>
                <w:szCs w:val="19"/>
              </w:rPr>
              <w:t>(2)装盘合理美观(5分)</w:t>
            </w:r>
          </w:p>
          <w:p w14:paraId="4481C19D">
            <w:pPr>
              <w:pStyle w:val="6"/>
              <w:spacing w:before="1" w:line="208" w:lineRule="auto"/>
              <w:ind w:left="18" w:right="45" w:firstLine="89"/>
              <w:rPr>
                <w:sz w:val="19"/>
                <w:szCs w:val="19"/>
              </w:rPr>
            </w:pPr>
            <w:r>
              <w:rPr>
                <w:sz w:val="19"/>
                <w:szCs w:val="19"/>
              </w:rPr>
              <w:t>(3)右手握瓶下半部，酒</w:t>
            </w:r>
            <w:r>
              <w:rPr>
                <w:spacing w:val="3"/>
                <w:sz w:val="19"/>
                <w:szCs w:val="19"/>
              </w:rPr>
              <w:t xml:space="preserve"> </w:t>
            </w:r>
            <w:r>
              <w:rPr>
                <w:spacing w:val="4"/>
                <w:sz w:val="19"/>
                <w:szCs w:val="19"/>
              </w:rPr>
              <w:t>标朝向客人(5分)</w:t>
            </w:r>
          </w:p>
          <w:p w14:paraId="6737B3FC">
            <w:pPr>
              <w:pStyle w:val="6"/>
              <w:spacing w:line="219" w:lineRule="auto"/>
              <w:jc w:val="right"/>
              <w:rPr>
                <w:sz w:val="19"/>
                <w:szCs w:val="19"/>
              </w:rPr>
            </w:pPr>
            <w:r>
              <w:rPr>
                <w:spacing w:val="-2"/>
                <w:sz w:val="19"/>
                <w:szCs w:val="19"/>
              </w:rPr>
              <w:t>(4)从客人右侧斟倒(5分)</w:t>
            </w:r>
          </w:p>
          <w:p w14:paraId="740484BC">
            <w:pPr>
              <w:pStyle w:val="6"/>
              <w:spacing w:before="4" w:line="194" w:lineRule="auto"/>
              <w:ind w:left="98"/>
              <w:rPr>
                <w:sz w:val="19"/>
                <w:szCs w:val="19"/>
              </w:rPr>
            </w:pPr>
            <w:r>
              <w:rPr>
                <w:sz w:val="19"/>
                <w:szCs w:val="19"/>
              </w:rPr>
              <w:t>(5)瓶口距杯口2厘米每</w:t>
            </w:r>
          </w:p>
          <w:p w14:paraId="44494615">
            <w:pPr>
              <w:pStyle w:val="6"/>
              <w:spacing w:before="3" w:line="217" w:lineRule="auto"/>
              <w:ind w:left="47" w:hanging="19"/>
              <w:rPr>
                <w:sz w:val="19"/>
                <w:szCs w:val="19"/>
              </w:rPr>
            </w:pPr>
            <w:r>
              <w:rPr>
                <w:spacing w:val="-5"/>
                <w:sz w:val="19"/>
                <w:szCs w:val="19"/>
              </w:rPr>
              <w:t>斟完一杯旋转1/4圈(10分)</w:t>
            </w:r>
            <w:r>
              <w:rPr>
                <w:spacing w:val="13"/>
                <w:sz w:val="19"/>
                <w:szCs w:val="19"/>
              </w:rPr>
              <w:t xml:space="preserve"> </w:t>
            </w:r>
            <w:r>
              <w:rPr>
                <w:sz w:val="19"/>
                <w:szCs w:val="19"/>
              </w:rPr>
              <w:t>(6)从主宾开始、顺时针</w:t>
            </w:r>
            <w:r>
              <w:rPr>
                <w:spacing w:val="1"/>
                <w:sz w:val="19"/>
                <w:szCs w:val="19"/>
              </w:rPr>
              <w:t xml:space="preserve">  </w:t>
            </w:r>
            <w:r>
              <w:rPr>
                <w:spacing w:val="-1"/>
                <w:sz w:val="19"/>
                <w:szCs w:val="19"/>
              </w:rPr>
              <w:t>方向依次进行(10分)</w:t>
            </w:r>
          </w:p>
          <w:p w14:paraId="7C96C61C">
            <w:pPr>
              <w:pStyle w:val="6"/>
              <w:spacing w:before="1" w:line="211" w:lineRule="auto"/>
              <w:ind w:left="98" w:right="57"/>
              <w:rPr>
                <w:sz w:val="19"/>
                <w:szCs w:val="19"/>
              </w:rPr>
            </w:pPr>
            <w:r>
              <w:rPr>
                <w:sz w:val="19"/>
                <w:szCs w:val="19"/>
              </w:rPr>
              <w:t>(7)不滴不洒，不少不溢</w:t>
            </w:r>
            <w:r>
              <w:rPr>
                <w:spacing w:val="1"/>
                <w:sz w:val="19"/>
                <w:szCs w:val="19"/>
              </w:rPr>
              <w:t xml:space="preserve"> </w:t>
            </w:r>
            <w:r>
              <w:rPr>
                <w:spacing w:val="8"/>
                <w:sz w:val="19"/>
                <w:szCs w:val="19"/>
              </w:rPr>
              <w:t>(15分)</w:t>
            </w:r>
          </w:p>
          <w:p w14:paraId="03A7655E">
            <w:pPr>
              <w:pStyle w:val="6"/>
              <w:spacing w:before="3" w:line="215" w:lineRule="auto"/>
              <w:ind w:left="28" w:firstLine="68"/>
              <w:rPr>
                <w:sz w:val="19"/>
                <w:szCs w:val="19"/>
              </w:rPr>
            </w:pPr>
            <w:r>
              <w:rPr>
                <w:spacing w:val="-3"/>
                <w:sz w:val="19"/>
                <w:szCs w:val="19"/>
              </w:rPr>
              <w:t>(8)红酒斟酒至酒杯容量</w:t>
            </w:r>
            <w:r>
              <w:rPr>
                <w:spacing w:val="2"/>
                <w:sz w:val="19"/>
                <w:szCs w:val="19"/>
              </w:rPr>
              <w:t xml:space="preserve">  </w:t>
            </w:r>
            <w:r>
              <w:rPr>
                <w:spacing w:val="-17"/>
                <w:sz w:val="19"/>
                <w:szCs w:val="19"/>
              </w:rPr>
              <w:t>的二分之一；白酒斟酒至酒</w:t>
            </w:r>
            <w:r>
              <w:rPr>
                <w:spacing w:val="9"/>
                <w:sz w:val="19"/>
                <w:szCs w:val="19"/>
              </w:rPr>
              <w:t xml:space="preserve"> </w:t>
            </w:r>
            <w:r>
              <w:rPr>
                <w:spacing w:val="-12"/>
                <w:sz w:val="19"/>
                <w:szCs w:val="19"/>
              </w:rPr>
              <w:t>杯八分满。酒量均匀(15分)</w:t>
            </w:r>
          </w:p>
        </w:tc>
      </w:tr>
      <w:tr w14:paraId="375258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360" w:hRule="atLeast"/>
        </w:trPr>
        <w:tc>
          <w:tcPr>
            <w:tcW w:w="904" w:type="dxa"/>
            <w:vAlign w:val="top"/>
          </w:tcPr>
          <w:p w14:paraId="4CDE6B16">
            <w:pPr>
              <w:spacing w:line="252" w:lineRule="auto"/>
              <w:rPr>
                <w:rFonts w:ascii="Arial"/>
                <w:sz w:val="21"/>
              </w:rPr>
            </w:pPr>
          </w:p>
          <w:p w14:paraId="6AEA69AF">
            <w:pPr>
              <w:spacing w:line="252" w:lineRule="auto"/>
              <w:rPr>
                <w:rFonts w:ascii="Arial"/>
                <w:sz w:val="21"/>
              </w:rPr>
            </w:pPr>
          </w:p>
          <w:p w14:paraId="3F1EA362">
            <w:pPr>
              <w:spacing w:line="252" w:lineRule="auto"/>
              <w:rPr>
                <w:rFonts w:ascii="Arial"/>
                <w:sz w:val="21"/>
              </w:rPr>
            </w:pPr>
          </w:p>
          <w:p w14:paraId="157C34DD">
            <w:pPr>
              <w:spacing w:line="252" w:lineRule="auto"/>
              <w:rPr>
                <w:rFonts w:ascii="Arial"/>
                <w:sz w:val="21"/>
              </w:rPr>
            </w:pPr>
          </w:p>
          <w:p w14:paraId="7778961F">
            <w:pPr>
              <w:spacing w:line="252" w:lineRule="auto"/>
              <w:rPr>
                <w:rFonts w:ascii="Arial"/>
                <w:sz w:val="21"/>
              </w:rPr>
            </w:pPr>
          </w:p>
          <w:p w14:paraId="1C3640EB">
            <w:pPr>
              <w:spacing w:line="252" w:lineRule="auto"/>
              <w:rPr>
                <w:rFonts w:ascii="Arial"/>
                <w:sz w:val="21"/>
              </w:rPr>
            </w:pPr>
          </w:p>
          <w:p w14:paraId="26BFD741">
            <w:pPr>
              <w:pStyle w:val="6"/>
              <w:spacing w:before="62" w:line="211" w:lineRule="auto"/>
              <w:ind w:left="65" w:right="77" w:firstLine="89"/>
              <w:rPr>
                <w:sz w:val="19"/>
                <w:szCs w:val="19"/>
              </w:rPr>
            </w:pPr>
            <w:r>
              <w:rPr>
                <w:spacing w:val="-4"/>
                <w:sz w:val="19"/>
                <w:szCs w:val="19"/>
              </w:rPr>
              <w:t>项目七</w:t>
            </w:r>
            <w:r>
              <w:rPr>
                <w:sz w:val="19"/>
                <w:szCs w:val="19"/>
              </w:rPr>
              <w:t xml:space="preserve">  </w:t>
            </w:r>
            <w:r>
              <w:rPr>
                <w:spacing w:val="-3"/>
                <w:sz w:val="19"/>
                <w:szCs w:val="19"/>
              </w:rPr>
              <w:t>上菜分菜</w:t>
            </w:r>
          </w:p>
        </w:tc>
        <w:tc>
          <w:tcPr>
            <w:tcW w:w="829" w:type="dxa"/>
            <w:vAlign w:val="top"/>
          </w:tcPr>
          <w:p w14:paraId="398C15AB">
            <w:pPr>
              <w:spacing w:line="259" w:lineRule="auto"/>
              <w:rPr>
                <w:rFonts w:ascii="Arial"/>
                <w:sz w:val="21"/>
              </w:rPr>
            </w:pPr>
          </w:p>
          <w:p w14:paraId="24890F58">
            <w:pPr>
              <w:spacing w:line="260" w:lineRule="auto"/>
              <w:rPr>
                <w:rFonts w:ascii="Arial"/>
                <w:sz w:val="21"/>
              </w:rPr>
            </w:pPr>
          </w:p>
          <w:p w14:paraId="374B2A7C">
            <w:pPr>
              <w:spacing w:line="260" w:lineRule="auto"/>
              <w:rPr>
                <w:rFonts w:ascii="Arial"/>
                <w:sz w:val="21"/>
              </w:rPr>
            </w:pPr>
          </w:p>
          <w:p w14:paraId="295CB193">
            <w:pPr>
              <w:spacing w:line="260" w:lineRule="auto"/>
              <w:rPr>
                <w:rFonts w:ascii="Arial"/>
                <w:sz w:val="21"/>
              </w:rPr>
            </w:pPr>
          </w:p>
          <w:p w14:paraId="6803E95A">
            <w:pPr>
              <w:spacing w:line="260" w:lineRule="auto"/>
              <w:rPr>
                <w:rFonts w:ascii="Arial"/>
                <w:sz w:val="21"/>
              </w:rPr>
            </w:pPr>
          </w:p>
          <w:p w14:paraId="5C158BD8">
            <w:pPr>
              <w:spacing w:line="260" w:lineRule="auto"/>
              <w:rPr>
                <w:rFonts w:ascii="Arial"/>
                <w:sz w:val="21"/>
              </w:rPr>
            </w:pPr>
          </w:p>
          <w:p w14:paraId="0267E64F">
            <w:pPr>
              <w:spacing w:line="260" w:lineRule="auto"/>
              <w:rPr>
                <w:rFonts w:ascii="Arial"/>
                <w:sz w:val="21"/>
              </w:rPr>
            </w:pPr>
          </w:p>
          <w:p w14:paraId="04B7F2AD">
            <w:pPr>
              <w:pStyle w:val="6"/>
              <w:spacing w:before="62" w:line="219" w:lineRule="auto"/>
              <w:ind w:left="120"/>
              <w:rPr>
                <w:sz w:val="19"/>
                <w:szCs w:val="19"/>
              </w:rPr>
            </w:pPr>
            <w:r>
              <w:rPr>
                <w:spacing w:val="-3"/>
                <w:sz w:val="19"/>
                <w:szCs w:val="19"/>
              </w:rPr>
              <w:t>备餐车</w:t>
            </w:r>
          </w:p>
          <w:p w14:paraId="242AD0CE">
            <w:pPr>
              <w:pStyle w:val="6"/>
              <w:spacing w:before="5" w:line="205" w:lineRule="auto"/>
              <w:ind w:left="70"/>
              <w:rPr>
                <w:sz w:val="19"/>
                <w:szCs w:val="19"/>
              </w:rPr>
            </w:pPr>
            <w:r>
              <w:rPr>
                <w:spacing w:val="1"/>
                <w:sz w:val="19"/>
                <w:szCs w:val="19"/>
              </w:rPr>
              <w:t>(或工作</w:t>
            </w:r>
          </w:p>
          <w:p w14:paraId="484313D0">
            <w:pPr>
              <w:pStyle w:val="6"/>
              <w:spacing w:line="221" w:lineRule="auto"/>
              <w:ind w:left="261"/>
              <w:rPr>
                <w:sz w:val="19"/>
                <w:szCs w:val="19"/>
              </w:rPr>
            </w:pPr>
            <w:r>
              <w:rPr>
                <w:spacing w:val="-12"/>
                <w:sz w:val="19"/>
                <w:szCs w:val="19"/>
              </w:rPr>
              <w:t>台</w:t>
            </w:r>
            <w:r>
              <w:rPr>
                <w:spacing w:val="-28"/>
                <w:sz w:val="19"/>
                <w:szCs w:val="19"/>
              </w:rPr>
              <w:t xml:space="preserve"> </w:t>
            </w:r>
            <w:r>
              <w:rPr>
                <w:spacing w:val="-12"/>
                <w:sz w:val="19"/>
                <w:szCs w:val="19"/>
              </w:rPr>
              <w:t>)</w:t>
            </w:r>
          </w:p>
          <w:p w14:paraId="50C9CBD1">
            <w:pPr>
              <w:pStyle w:val="6"/>
              <w:spacing w:before="19" w:line="214" w:lineRule="auto"/>
              <w:ind w:left="120" w:right="107"/>
              <w:rPr>
                <w:sz w:val="19"/>
                <w:szCs w:val="19"/>
              </w:rPr>
            </w:pPr>
            <w:r>
              <w:rPr>
                <w:spacing w:val="-4"/>
                <w:sz w:val="19"/>
                <w:szCs w:val="19"/>
              </w:rPr>
              <w:t>备餐盘</w:t>
            </w:r>
            <w:r>
              <w:rPr>
                <w:spacing w:val="1"/>
                <w:sz w:val="19"/>
                <w:szCs w:val="19"/>
              </w:rPr>
              <w:t xml:space="preserve"> </w:t>
            </w:r>
            <w:r>
              <w:rPr>
                <w:spacing w:val="41"/>
                <w:sz w:val="19"/>
                <w:szCs w:val="19"/>
              </w:rPr>
              <w:t>菜盘</w:t>
            </w:r>
            <w:r>
              <w:rPr>
                <w:sz w:val="19"/>
                <w:szCs w:val="19"/>
              </w:rPr>
              <w:t xml:space="preserve">  </w:t>
            </w:r>
            <w:r>
              <w:rPr>
                <w:spacing w:val="40"/>
                <w:sz w:val="19"/>
                <w:szCs w:val="19"/>
              </w:rPr>
              <w:t>餐盘</w:t>
            </w:r>
            <w:r>
              <w:rPr>
                <w:sz w:val="19"/>
                <w:szCs w:val="19"/>
              </w:rPr>
              <w:t xml:space="preserve">  </w:t>
            </w:r>
            <w:r>
              <w:rPr>
                <w:spacing w:val="41"/>
                <w:sz w:val="19"/>
                <w:szCs w:val="19"/>
              </w:rPr>
              <w:t>菜叉</w:t>
            </w:r>
            <w:r>
              <w:rPr>
                <w:sz w:val="19"/>
                <w:szCs w:val="19"/>
              </w:rPr>
              <w:t xml:space="preserve">  </w:t>
            </w:r>
            <w:r>
              <w:rPr>
                <w:spacing w:val="6"/>
                <w:sz w:val="19"/>
                <w:szCs w:val="19"/>
              </w:rPr>
              <w:t>分菜勺</w:t>
            </w:r>
          </w:p>
          <w:p w14:paraId="5CBA7258">
            <w:pPr>
              <w:pStyle w:val="6"/>
              <w:spacing w:line="215" w:lineRule="auto"/>
              <w:ind w:left="20"/>
              <w:rPr>
                <w:sz w:val="19"/>
                <w:szCs w:val="19"/>
              </w:rPr>
            </w:pPr>
            <w:r>
              <w:rPr>
                <w:spacing w:val="-2"/>
                <w:sz w:val="19"/>
                <w:szCs w:val="19"/>
              </w:rPr>
              <w:t>凉拌双椒</w:t>
            </w:r>
          </w:p>
          <w:p w14:paraId="3762C042">
            <w:pPr>
              <w:pStyle w:val="6"/>
              <w:spacing w:before="1" w:line="191" w:lineRule="auto"/>
              <w:ind w:left="120"/>
              <w:rPr>
                <w:sz w:val="19"/>
                <w:szCs w:val="19"/>
              </w:rPr>
            </w:pPr>
            <w:r>
              <w:rPr>
                <w:spacing w:val="-2"/>
                <w:sz w:val="19"/>
                <w:szCs w:val="19"/>
              </w:rPr>
              <w:t>土豆丝</w:t>
            </w:r>
          </w:p>
          <w:p w14:paraId="1EDDC559">
            <w:pPr>
              <w:pStyle w:val="6"/>
              <w:spacing w:line="219" w:lineRule="auto"/>
              <w:ind w:left="70"/>
              <w:rPr>
                <w:sz w:val="19"/>
                <w:szCs w:val="19"/>
              </w:rPr>
            </w:pPr>
            <w:r>
              <w:rPr>
                <w:sz w:val="19"/>
                <w:szCs w:val="19"/>
              </w:rPr>
              <w:t>(盐水泡</w:t>
            </w:r>
          </w:p>
          <w:p w14:paraId="283D1431">
            <w:pPr>
              <w:pStyle w:val="6"/>
              <w:spacing w:before="5" w:line="220" w:lineRule="auto"/>
              <w:ind w:left="261"/>
              <w:rPr>
                <w:sz w:val="19"/>
                <w:szCs w:val="19"/>
              </w:rPr>
            </w:pPr>
            <w:r>
              <w:rPr>
                <w:spacing w:val="-5"/>
                <w:sz w:val="19"/>
                <w:szCs w:val="19"/>
              </w:rPr>
              <w:t>后</w:t>
            </w:r>
            <w:r>
              <w:rPr>
                <w:spacing w:val="-42"/>
                <w:sz w:val="19"/>
                <w:szCs w:val="19"/>
              </w:rPr>
              <w:t xml:space="preserve"> </w:t>
            </w:r>
            <w:r>
              <w:rPr>
                <w:spacing w:val="-5"/>
                <w:sz w:val="19"/>
                <w:szCs w:val="19"/>
              </w:rPr>
              <w:t>)</w:t>
            </w:r>
          </w:p>
        </w:tc>
        <w:tc>
          <w:tcPr>
            <w:tcW w:w="1338" w:type="dxa"/>
            <w:vAlign w:val="top"/>
          </w:tcPr>
          <w:p w14:paraId="0BE84B2F">
            <w:pPr>
              <w:spacing w:line="246" w:lineRule="auto"/>
              <w:rPr>
                <w:rFonts w:ascii="Arial"/>
                <w:sz w:val="21"/>
              </w:rPr>
            </w:pPr>
          </w:p>
          <w:p w14:paraId="6015EC3E">
            <w:pPr>
              <w:spacing w:line="246" w:lineRule="auto"/>
              <w:rPr>
                <w:rFonts w:ascii="Arial"/>
                <w:sz w:val="21"/>
              </w:rPr>
            </w:pPr>
          </w:p>
          <w:p w14:paraId="2D1A6236">
            <w:pPr>
              <w:spacing w:line="246" w:lineRule="auto"/>
              <w:rPr>
                <w:rFonts w:ascii="Arial"/>
                <w:sz w:val="21"/>
              </w:rPr>
            </w:pPr>
          </w:p>
          <w:p w14:paraId="58308B93">
            <w:pPr>
              <w:spacing w:line="247" w:lineRule="auto"/>
              <w:rPr>
                <w:rFonts w:ascii="Arial"/>
                <w:sz w:val="21"/>
              </w:rPr>
            </w:pPr>
          </w:p>
          <w:p w14:paraId="1EAD4007">
            <w:pPr>
              <w:spacing w:line="247" w:lineRule="auto"/>
              <w:rPr>
                <w:rFonts w:ascii="Arial"/>
                <w:sz w:val="21"/>
              </w:rPr>
            </w:pPr>
          </w:p>
          <w:p w14:paraId="0A2BA1E5">
            <w:pPr>
              <w:spacing w:line="247" w:lineRule="auto"/>
              <w:rPr>
                <w:rFonts w:ascii="Arial"/>
                <w:sz w:val="21"/>
              </w:rPr>
            </w:pPr>
          </w:p>
          <w:p w14:paraId="0538EF64">
            <w:pPr>
              <w:spacing w:line="247" w:lineRule="auto"/>
              <w:rPr>
                <w:rFonts w:ascii="Arial"/>
                <w:sz w:val="21"/>
              </w:rPr>
            </w:pPr>
          </w:p>
          <w:p w14:paraId="17933D1A">
            <w:pPr>
              <w:spacing w:line="247" w:lineRule="auto"/>
              <w:rPr>
                <w:rFonts w:ascii="Arial"/>
                <w:sz w:val="21"/>
              </w:rPr>
            </w:pPr>
          </w:p>
          <w:p w14:paraId="1160BE00">
            <w:pPr>
              <w:spacing w:line="247" w:lineRule="auto"/>
              <w:rPr>
                <w:rFonts w:ascii="Arial"/>
                <w:sz w:val="21"/>
              </w:rPr>
            </w:pPr>
          </w:p>
          <w:p w14:paraId="03780CD9">
            <w:pPr>
              <w:spacing w:line="247" w:lineRule="auto"/>
              <w:rPr>
                <w:rFonts w:ascii="Arial"/>
                <w:sz w:val="21"/>
              </w:rPr>
            </w:pPr>
          </w:p>
          <w:p w14:paraId="3C725B02">
            <w:pPr>
              <w:spacing w:line="247" w:lineRule="auto"/>
              <w:rPr>
                <w:rFonts w:ascii="Arial"/>
                <w:sz w:val="21"/>
              </w:rPr>
            </w:pPr>
          </w:p>
          <w:p w14:paraId="6F127FB6">
            <w:pPr>
              <w:pStyle w:val="6"/>
              <w:spacing w:before="62" w:line="217" w:lineRule="auto"/>
              <w:ind w:left="42" w:firstLine="237"/>
              <w:rPr>
                <w:sz w:val="19"/>
                <w:szCs w:val="19"/>
              </w:rPr>
            </w:pPr>
            <w:r>
              <w:rPr>
                <w:sz w:val="19"/>
                <w:szCs w:val="19"/>
              </w:rPr>
              <w:t>(1)上菜：上</w:t>
            </w:r>
            <w:r>
              <w:rPr>
                <w:spacing w:val="2"/>
                <w:sz w:val="19"/>
                <w:szCs w:val="19"/>
              </w:rPr>
              <w:t xml:space="preserve"> </w:t>
            </w:r>
            <w:r>
              <w:rPr>
                <w:spacing w:val="-7"/>
                <w:sz w:val="19"/>
                <w:szCs w:val="19"/>
              </w:rPr>
              <w:t>凉拌双椒土豆丝</w:t>
            </w:r>
          </w:p>
          <w:p w14:paraId="5D9AEAC2">
            <w:pPr>
              <w:pStyle w:val="6"/>
              <w:spacing w:before="3" w:line="217" w:lineRule="auto"/>
              <w:ind w:left="21" w:firstLine="257"/>
              <w:rPr>
                <w:sz w:val="19"/>
                <w:szCs w:val="19"/>
              </w:rPr>
            </w:pPr>
            <w:r>
              <w:rPr>
                <w:sz w:val="19"/>
                <w:szCs w:val="19"/>
              </w:rPr>
              <w:t xml:space="preserve">(2)分菜：分 </w:t>
            </w:r>
            <w:r>
              <w:rPr>
                <w:spacing w:val="-4"/>
                <w:sz w:val="19"/>
                <w:szCs w:val="19"/>
              </w:rPr>
              <w:t>凉拌双椒土豆丝</w:t>
            </w:r>
          </w:p>
        </w:tc>
        <w:tc>
          <w:tcPr>
            <w:tcW w:w="879" w:type="dxa"/>
            <w:vAlign w:val="top"/>
          </w:tcPr>
          <w:p w14:paraId="72DD1F5A">
            <w:pPr>
              <w:spacing w:line="243" w:lineRule="auto"/>
              <w:rPr>
                <w:rFonts w:ascii="Arial"/>
                <w:sz w:val="21"/>
              </w:rPr>
            </w:pPr>
          </w:p>
          <w:p w14:paraId="5E93C6E7">
            <w:pPr>
              <w:spacing w:line="243" w:lineRule="auto"/>
              <w:rPr>
                <w:rFonts w:ascii="Arial"/>
                <w:sz w:val="21"/>
              </w:rPr>
            </w:pPr>
          </w:p>
          <w:p w14:paraId="7508F4CF">
            <w:pPr>
              <w:spacing w:line="243" w:lineRule="auto"/>
              <w:rPr>
                <w:rFonts w:ascii="Arial"/>
                <w:sz w:val="21"/>
              </w:rPr>
            </w:pPr>
          </w:p>
          <w:p w14:paraId="7FFA2F0E">
            <w:pPr>
              <w:spacing w:line="243" w:lineRule="auto"/>
              <w:rPr>
                <w:rFonts w:ascii="Arial"/>
                <w:sz w:val="21"/>
              </w:rPr>
            </w:pPr>
          </w:p>
          <w:p w14:paraId="36176DD2">
            <w:pPr>
              <w:spacing w:line="243" w:lineRule="auto"/>
              <w:rPr>
                <w:rFonts w:ascii="Arial"/>
                <w:sz w:val="21"/>
              </w:rPr>
            </w:pPr>
          </w:p>
          <w:p w14:paraId="4E61823D">
            <w:pPr>
              <w:spacing w:line="244" w:lineRule="auto"/>
              <w:rPr>
                <w:rFonts w:ascii="Arial"/>
                <w:sz w:val="21"/>
              </w:rPr>
            </w:pPr>
          </w:p>
          <w:p w14:paraId="26A360A6">
            <w:pPr>
              <w:spacing w:line="244" w:lineRule="auto"/>
              <w:rPr>
                <w:rFonts w:ascii="Arial"/>
                <w:sz w:val="21"/>
              </w:rPr>
            </w:pPr>
          </w:p>
          <w:p w14:paraId="01533697">
            <w:pPr>
              <w:spacing w:line="244" w:lineRule="auto"/>
              <w:rPr>
                <w:rFonts w:ascii="Arial"/>
                <w:sz w:val="21"/>
              </w:rPr>
            </w:pPr>
          </w:p>
          <w:p w14:paraId="68D79CA2">
            <w:pPr>
              <w:spacing w:line="244" w:lineRule="auto"/>
              <w:rPr>
                <w:rFonts w:ascii="Arial"/>
                <w:sz w:val="21"/>
              </w:rPr>
            </w:pPr>
          </w:p>
          <w:p w14:paraId="5BEB6AFE">
            <w:pPr>
              <w:spacing w:line="244" w:lineRule="auto"/>
              <w:rPr>
                <w:rFonts w:ascii="Arial"/>
                <w:sz w:val="21"/>
              </w:rPr>
            </w:pPr>
          </w:p>
          <w:p w14:paraId="61ACE061">
            <w:pPr>
              <w:spacing w:line="244" w:lineRule="auto"/>
              <w:rPr>
                <w:rFonts w:ascii="Arial"/>
                <w:sz w:val="21"/>
              </w:rPr>
            </w:pPr>
          </w:p>
          <w:p w14:paraId="79206468">
            <w:pPr>
              <w:spacing w:line="244" w:lineRule="auto"/>
              <w:rPr>
                <w:rFonts w:ascii="Arial"/>
                <w:sz w:val="21"/>
              </w:rPr>
            </w:pPr>
          </w:p>
          <w:p w14:paraId="748534AC">
            <w:pPr>
              <w:pStyle w:val="6"/>
              <w:spacing w:before="62" w:line="221" w:lineRule="auto"/>
              <w:ind w:left="243" w:right="42" w:hanging="190"/>
              <w:rPr>
                <w:sz w:val="19"/>
                <w:szCs w:val="19"/>
              </w:rPr>
            </w:pPr>
            <w:r>
              <w:rPr>
                <w:spacing w:val="3"/>
                <w:sz w:val="19"/>
                <w:szCs w:val="19"/>
              </w:rPr>
              <w:t>现场操作</w:t>
            </w:r>
            <w:r>
              <w:rPr>
                <w:sz w:val="19"/>
                <w:szCs w:val="19"/>
              </w:rPr>
              <w:t xml:space="preserve"> </w:t>
            </w:r>
            <w:r>
              <w:rPr>
                <w:spacing w:val="-2"/>
                <w:sz w:val="19"/>
                <w:szCs w:val="19"/>
              </w:rPr>
              <w:t>考试</w:t>
            </w:r>
          </w:p>
        </w:tc>
        <w:tc>
          <w:tcPr>
            <w:tcW w:w="2617" w:type="dxa"/>
            <w:vAlign w:val="top"/>
          </w:tcPr>
          <w:p w14:paraId="49D506DE">
            <w:pPr>
              <w:spacing w:line="278" w:lineRule="auto"/>
              <w:rPr>
                <w:rFonts w:ascii="Arial"/>
                <w:sz w:val="21"/>
              </w:rPr>
            </w:pPr>
          </w:p>
          <w:p w14:paraId="20072906">
            <w:pPr>
              <w:spacing w:line="278" w:lineRule="auto"/>
              <w:rPr>
                <w:rFonts w:ascii="Arial"/>
                <w:sz w:val="21"/>
              </w:rPr>
            </w:pPr>
          </w:p>
          <w:p w14:paraId="655DACAC">
            <w:pPr>
              <w:spacing w:line="278" w:lineRule="auto"/>
              <w:rPr>
                <w:rFonts w:ascii="Arial"/>
                <w:sz w:val="21"/>
              </w:rPr>
            </w:pPr>
          </w:p>
          <w:p w14:paraId="6A7D541C">
            <w:pPr>
              <w:spacing w:line="278" w:lineRule="auto"/>
              <w:rPr>
                <w:rFonts w:ascii="Arial"/>
                <w:sz w:val="21"/>
              </w:rPr>
            </w:pPr>
          </w:p>
          <w:p w14:paraId="230428D0">
            <w:pPr>
              <w:spacing w:line="279" w:lineRule="auto"/>
              <w:rPr>
                <w:rFonts w:ascii="Arial"/>
                <w:sz w:val="21"/>
              </w:rPr>
            </w:pPr>
          </w:p>
          <w:p w14:paraId="2C74FFD7">
            <w:pPr>
              <w:pStyle w:val="6"/>
              <w:spacing w:before="62" w:line="214" w:lineRule="auto"/>
              <w:ind w:left="35" w:firstLine="109"/>
              <w:rPr>
                <w:sz w:val="19"/>
                <w:szCs w:val="19"/>
              </w:rPr>
            </w:pPr>
            <w:r>
              <w:rPr>
                <w:spacing w:val="-1"/>
                <w:sz w:val="19"/>
                <w:szCs w:val="19"/>
              </w:rPr>
              <w:t>(1)考试时间：5分钟，准备时</w:t>
            </w:r>
            <w:r>
              <w:rPr>
                <w:spacing w:val="6"/>
                <w:sz w:val="19"/>
                <w:szCs w:val="19"/>
              </w:rPr>
              <w:t xml:space="preserve"> </w:t>
            </w:r>
            <w:r>
              <w:rPr>
                <w:spacing w:val="-2"/>
                <w:sz w:val="19"/>
                <w:szCs w:val="19"/>
              </w:rPr>
              <w:t>间1分钟(不计入考核时间)。</w:t>
            </w:r>
          </w:p>
          <w:p w14:paraId="43F97156">
            <w:pPr>
              <w:pStyle w:val="6"/>
              <w:spacing w:before="3" w:line="215" w:lineRule="auto"/>
              <w:ind w:left="14" w:firstLine="67"/>
              <w:rPr>
                <w:sz w:val="19"/>
                <w:szCs w:val="19"/>
              </w:rPr>
            </w:pPr>
            <w:r>
              <w:rPr>
                <w:spacing w:val="-6"/>
                <w:sz w:val="19"/>
                <w:szCs w:val="19"/>
              </w:rPr>
              <w:t>(2)上菜要求：站在副主人位</w:t>
            </w:r>
            <w:r>
              <w:rPr>
                <w:sz w:val="19"/>
                <w:szCs w:val="19"/>
              </w:rPr>
              <w:t xml:space="preserve">   </w:t>
            </w:r>
            <w:r>
              <w:rPr>
                <w:spacing w:val="-18"/>
                <w:sz w:val="19"/>
                <w:szCs w:val="19"/>
              </w:rPr>
              <w:t>左侧或者右侧上菜，上菜时姿势、</w:t>
            </w:r>
            <w:r>
              <w:rPr>
                <w:spacing w:val="11"/>
                <w:sz w:val="19"/>
                <w:szCs w:val="19"/>
              </w:rPr>
              <w:t xml:space="preserve"> </w:t>
            </w:r>
            <w:r>
              <w:rPr>
                <w:spacing w:val="-11"/>
                <w:sz w:val="19"/>
                <w:szCs w:val="19"/>
              </w:rPr>
              <w:t>动作正确、自然；菜名或菜肴介</w:t>
            </w:r>
            <w:r>
              <w:rPr>
                <w:spacing w:val="1"/>
                <w:sz w:val="19"/>
                <w:szCs w:val="19"/>
              </w:rPr>
              <w:t xml:space="preserve">  </w:t>
            </w:r>
            <w:r>
              <w:rPr>
                <w:spacing w:val="-11"/>
                <w:sz w:val="19"/>
                <w:szCs w:val="19"/>
              </w:rPr>
              <w:t>绍准确，音量适中，上菜过程讲</w:t>
            </w:r>
            <w:r>
              <w:rPr>
                <w:sz w:val="19"/>
                <w:szCs w:val="19"/>
              </w:rPr>
              <w:t xml:space="preserve">  </w:t>
            </w:r>
            <w:r>
              <w:rPr>
                <w:spacing w:val="-5"/>
                <w:sz w:val="19"/>
                <w:szCs w:val="19"/>
              </w:rPr>
              <w:t>究卫生、礼貌。</w:t>
            </w:r>
          </w:p>
          <w:p w14:paraId="5927545E">
            <w:pPr>
              <w:pStyle w:val="6"/>
              <w:spacing w:line="216" w:lineRule="auto"/>
              <w:ind w:left="25" w:right="130" w:firstLine="70"/>
              <w:rPr>
                <w:sz w:val="19"/>
                <w:szCs w:val="19"/>
              </w:rPr>
            </w:pPr>
            <w:r>
              <w:rPr>
                <w:sz w:val="19"/>
                <w:szCs w:val="19"/>
              </w:rPr>
              <w:t>(3)分菜要求：从副主人位右</w:t>
            </w:r>
            <w:r>
              <w:rPr>
                <w:spacing w:val="5"/>
                <w:sz w:val="19"/>
                <w:szCs w:val="19"/>
              </w:rPr>
              <w:t xml:space="preserve"> </w:t>
            </w:r>
            <w:r>
              <w:rPr>
                <w:spacing w:val="-1"/>
                <w:sz w:val="19"/>
                <w:szCs w:val="19"/>
              </w:rPr>
              <w:t>侧将菜盘撤回备餐车(或工作</w:t>
            </w:r>
          </w:p>
          <w:p w14:paraId="423078D9">
            <w:pPr>
              <w:pStyle w:val="6"/>
              <w:spacing w:before="1" w:line="207" w:lineRule="auto"/>
              <w:ind w:left="45"/>
              <w:rPr>
                <w:sz w:val="19"/>
                <w:szCs w:val="19"/>
              </w:rPr>
            </w:pPr>
            <w:r>
              <w:rPr>
                <w:sz w:val="19"/>
                <w:szCs w:val="19"/>
              </w:rPr>
              <w:t>台),用分菜叉、勺分菜，分5</w:t>
            </w:r>
          </w:p>
          <w:p w14:paraId="6FA98BC3">
            <w:pPr>
              <w:pStyle w:val="6"/>
              <w:spacing w:before="1" w:line="216" w:lineRule="auto"/>
              <w:ind w:left="14" w:firstLine="19"/>
              <w:rPr>
                <w:sz w:val="19"/>
                <w:szCs w:val="19"/>
              </w:rPr>
            </w:pPr>
            <w:r>
              <w:rPr>
                <w:spacing w:val="-2"/>
                <w:sz w:val="19"/>
                <w:szCs w:val="19"/>
              </w:rPr>
              <w:t>人分量，剩余1人分量，分量均</w:t>
            </w:r>
            <w:r>
              <w:rPr>
                <w:spacing w:val="11"/>
                <w:sz w:val="19"/>
                <w:szCs w:val="19"/>
              </w:rPr>
              <w:t xml:space="preserve"> </w:t>
            </w:r>
            <w:r>
              <w:rPr>
                <w:spacing w:val="-5"/>
                <w:sz w:val="19"/>
                <w:szCs w:val="19"/>
              </w:rPr>
              <w:t>匀；从第一主宾位开始，从客人</w:t>
            </w:r>
            <w:r>
              <w:rPr>
                <w:sz w:val="19"/>
                <w:szCs w:val="19"/>
              </w:rPr>
              <w:t xml:space="preserve"> </w:t>
            </w:r>
            <w:r>
              <w:rPr>
                <w:spacing w:val="-5"/>
                <w:sz w:val="19"/>
                <w:szCs w:val="19"/>
              </w:rPr>
              <w:t>右侧，按照顺时针方向，连续五</w:t>
            </w:r>
            <w:r>
              <w:rPr>
                <w:sz w:val="19"/>
                <w:szCs w:val="19"/>
              </w:rPr>
              <w:t xml:space="preserve"> </w:t>
            </w:r>
            <w:r>
              <w:rPr>
                <w:spacing w:val="-5"/>
                <w:sz w:val="19"/>
                <w:szCs w:val="19"/>
              </w:rPr>
              <w:t>个餐位，为客人上菜；分菜、上</w:t>
            </w:r>
            <w:r>
              <w:rPr>
                <w:sz w:val="19"/>
                <w:szCs w:val="19"/>
              </w:rPr>
              <w:t xml:space="preserve"> </w:t>
            </w:r>
            <w:r>
              <w:rPr>
                <w:spacing w:val="-5"/>
                <w:sz w:val="19"/>
                <w:szCs w:val="19"/>
              </w:rPr>
              <w:t>菜姿势、动作正确、自然，干净</w:t>
            </w:r>
            <w:r>
              <w:rPr>
                <w:spacing w:val="1"/>
                <w:sz w:val="19"/>
                <w:szCs w:val="19"/>
              </w:rPr>
              <w:t xml:space="preserve"> </w:t>
            </w:r>
            <w:r>
              <w:rPr>
                <w:sz w:val="19"/>
                <w:szCs w:val="19"/>
              </w:rPr>
              <w:t>利落，讲究卫生、礼貌。</w:t>
            </w:r>
          </w:p>
        </w:tc>
        <w:tc>
          <w:tcPr>
            <w:tcW w:w="2163" w:type="dxa"/>
            <w:vAlign w:val="top"/>
          </w:tcPr>
          <w:p w14:paraId="46AD0FF5">
            <w:pPr>
              <w:spacing w:line="258" w:lineRule="auto"/>
              <w:rPr>
                <w:rFonts w:ascii="Arial"/>
                <w:sz w:val="21"/>
              </w:rPr>
            </w:pPr>
          </w:p>
          <w:p w14:paraId="56941215">
            <w:pPr>
              <w:spacing w:line="259" w:lineRule="auto"/>
              <w:rPr>
                <w:rFonts w:ascii="Arial"/>
                <w:sz w:val="21"/>
              </w:rPr>
            </w:pPr>
          </w:p>
          <w:p w14:paraId="50A73F05">
            <w:pPr>
              <w:pStyle w:val="6"/>
              <w:spacing w:before="62" w:line="214" w:lineRule="auto"/>
              <w:ind w:left="28"/>
              <w:rPr>
                <w:sz w:val="19"/>
                <w:szCs w:val="19"/>
              </w:rPr>
            </w:pPr>
            <w:r>
              <w:rPr>
                <w:spacing w:val="-2"/>
                <w:sz w:val="19"/>
                <w:szCs w:val="19"/>
              </w:rPr>
              <w:t>满分50分</w:t>
            </w:r>
          </w:p>
          <w:p w14:paraId="0916CDDF">
            <w:pPr>
              <w:pStyle w:val="6"/>
              <w:spacing w:before="1" w:line="213" w:lineRule="auto"/>
              <w:ind w:left="47" w:firstLine="47"/>
              <w:rPr>
                <w:sz w:val="19"/>
                <w:szCs w:val="19"/>
              </w:rPr>
            </w:pPr>
            <w:r>
              <w:rPr>
                <w:spacing w:val="-8"/>
                <w:sz w:val="19"/>
                <w:szCs w:val="19"/>
              </w:rPr>
              <w:t>(1)站在副主人位左侧或</w:t>
            </w:r>
            <w:r>
              <w:rPr>
                <w:spacing w:val="4"/>
                <w:sz w:val="19"/>
                <w:szCs w:val="19"/>
              </w:rPr>
              <w:t xml:space="preserve">  </w:t>
            </w:r>
            <w:r>
              <w:rPr>
                <w:spacing w:val="1"/>
                <w:sz w:val="19"/>
                <w:szCs w:val="19"/>
              </w:rPr>
              <w:t>右侧上菜，上菜时姿势、</w:t>
            </w:r>
            <w:r>
              <w:rPr>
                <w:spacing w:val="3"/>
                <w:sz w:val="19"/>
                <w:szCs w:val="19"/>
              </w:rPr>
              <w:t xml:space="preserve"> </w:t>
            </w:r>
            <w:r>
              <w:rPr>
                <w:spacing w:val="-5"/>
                <w:sz w:val="19"/>
                <w:szCs w:val="19"/>
              </w:rPr>
              <w:t>动作正确、自然(5分)</w:t>
            </w:r>
          </w:p>
          <w:p w14:paraId="7789C89A">
            <w:pPr>
              <w:pStyle w:val="6"/>
              <w:spacing w:before="2" w:line="213" w:lineRule="auto"/>
              <w:ind w:left="47" w:right="12" w:firstLine="50"/>
              <w:rPr>
                <w:sz w:val="19"/>
                <w:szCs w:val="19"/>
              </w:rPr>
            </w:pPr>
            <w:r>
              <w:rPr>
                <w:sz w:val="19"/>
                <w:szCs w:val="19"/>
              </w:rPr>
              <w:t>(2)报菜名或菜肴介绍准</w:t>
            </w:r>
            <w:r>
              <w:rPr>
                <w:spacing w:val="2"/>
                <w:sz w:val="19"/>
                <w:szCs w:val="19"/>
              </w:rPr>
              <w:t xml:space="preserve"> </w:t>
            </w:r>
            <w:r>
              <w:rPr>
                <w:sz w:val="19"/>
                <w:szCs w:val="19"/>
              </w:rPr>
              <w:t>确，音量适中，上菜过程</w:t>
            </w:r>
            <w:r>
              <w:rPr>
                <w:spacing w:val="1"/>
                <w:sz w:val="19"/>
                <w:szCs w:val="19"/>
              </w:rPr>
              <w:t xml:space="preserve"> </w:t>
            </w:r>
            <w:r>
              <w:rPr>
                <w:spacing w:val="3"/>
                <w:sz w:val="19"/>
                <w:szCs w:val="19"/>
              </w:rPr>
              <w:t>讲究卫生、礼貌(5分)</w:t>
            </w:r>
          </w:p>
          <w:p w14:paraId="068E65F2">
            <w:pPr>
              <w:pStyle w:val="6"/>
              <w:spacing w:before="3" w:line="213" w:lineRule="auto"/>
              <w:ind w:left="28" w:firstLine="67"/>
              <w:rPr>
                <w:sz w:val="19"/>
                <w:szCs w:val="19"/>
              </w:rPr>
            </w:pPr>
            <w:r>
              <w:rPr>
                <w:spacing w:val="-7"/>
                <w:sz w:val="19"/>
                <w:szCs w:val="19"/>
              </w:rPr>
              <w:t>(3)将菜盘撤回，在备餐</w:t>
            </w:r>
            <w:r>
              <w:rPr>
                <w:spacing w:val="2"/>
                <w:sz w:val="19"/>
                <w:szCs w:val="19"/>
              </w:rPr>
              <w:t xml:space="preserve">  </w:t>
            </w:r>
            <w:r>
              <w:rPr>
                <w:spacing w:val="-12"/>
                <w:sz w:val="19"/>
                <w:szCs w:val="19"/>
              </w:rPr>
              <w:t>车(或工作台)上用分菜叉、</w:t>
            </w:r>
            <w:r>
              <w:rPr>
                <w:sz w:val="19"/>
                <w:szCs w:val="19"/>
              </w:rPr>
              <w:t xml:space="preserve"> </w:t>
            </w:r>
            <w:r>
              <w:rPr>
                <w:spacing w:val="-8"/>
                <w:sz w:val="19"/>
                <w:szCs w:val="19"/>
              </w:rPr>
              <w:t>勺分菜，分5人分量，一</w:t>
            </w:r>
            <w:r>
              <w:rPr>
                <w:spacing w:val="2"/>
                <w:sz w:val="19"/>
                <w:szCs w:val="19"/>
              </w:rPr>
              <w:t xml:space="preserve">   </w:t>
            </w:r>
            <w:r>
              <w:rPr>
                <w:spacing w:val="-13"/>
                <w:sz w:val="19"/>
                <w:szCs w:val="19"/>
              </w:rPr>
              <w:t>次性全部分完，分量均匀。</w:t>
            </w:r>
            <w:r>
              <w:rPr>
                <w:sz w:val="19"/>
                <w:szCs w:val="19"/>
              </w:rPr>
              <w:t xml:space="preserve"> </w:t>
            </w:r>
            <w:r>
              <w:rPr>
                <w:spacing w:val="7"/>
                <w:sz w:val="19"/>
                <w:szCs w:val="19"/>
              </w:rPr>
              <w:t>(10分)</w:t>
            </w:r>
          </w:p>
          <w:p w14:paraId="1F6800F1">
            <w:pPr>
              <w:pStyle w:val="6"/>
              <w:spacing w:before="4" w:line="213" w:lineRule="auto"/>
              <w:ind w:left="47" w:firstLine="48"/>
              <w:rPr>
                <w:sz w:val="19"/>
                <w:szCs w:val="19"/>
              </w:rPr>
            </w:pPr>
            <w:r>
              <w:rPr>
                <w:spacing w:val="-4"/>
                <w:sz w:val="19"/>
                <w:szCs w:val="19"/>
              </w:rPr>
              <w:t>(4)从第一主宾位开始，</w:t>
            </w:r>
            <w:r>
              <w:rPr>
                <w:spacing w:val="4"/>
                <w:sz w:val="19"/>
                <w:szCs w:val="19"/>
              </w:rPr>
              <w:t xml:space="preserve">  </w:t>
            </w:r>
            <w:r>
              <w:rPr>
                <w:spacing w:val="-20"/>
                <w:w w:val="95"/>
                <w:sz w:val="19"/>
                <w:szCs w:val="19"/>
              </w:rPr>
              <w:t>连续五个餐位，为客人上菜，</w:t>
            </w:r>
            <w:r>
              <w:rPr>
                <w:spacing w:val="17"/>
                <w:sz w:val="19"/>
                <w:szCs w:val="19"/>
              </w:rPr>
              <w:t xml:space="preserve"> </w:t>
            </w:r>
            <w:r>
              <w:rPr>
                <w:spacing w:val="-25"/>
                <w:w w:val="98"/>
                <w:sz w:val="19"/>
                <w:szCs w:val="19"/>
              </w:rPr>
              <w:t>上菜姿势、动作正确、自然，</w:t>
            </w:r>
            <w:r>
              <w:rPr>
                <w:spacing w:val="8"/>
                <w:sz w:val="19"/>
                <w:szCs w:val="19"/>
              </w:rPr>
              <w:t xml:space="preserve"> </w:t>
            </w:r>
            <w:r>
              <w:rPr>
                <w:spacing w:val="-4"/>
                <w:sz w:val="19"/>
                <w:szCs w:val="19"/>
              </w:rPr>
              <w:t>讲究卫生、礼貌(10分)</w:t>
            </w:r>
          </w:p>
          <w:p w14:paraId="5E0DCE95">
            <w:pPr>
              <w:pStyle w:val="6"/>
              <w:spacing w:line="216" w:lineRule="auto"/>
              <w:ind w:left="47" w:right="22" w:firstLine="50"/>
              <w:rPr>
                <w:sz w:val="19"/>
                <w:szCs w:val="19"/>
              </w:rPr>
            </w:pPr>
            <w:r>
              <w:rPr>
                <w:sz w:val="19"/>
                <w:szCs w:val="19"/>
              </w:rPr>
              <w:t>(5)用左手胸前托法将托</w:t>
            </w:r>
            <w:r>
              <w:rPr>
                <w:spacing w:val="1"/>
                <w:sz w:val="19"/>
                <w:szCs w:val="19"/>
              </w:rPr>
              <w:t xml:space="preserve"> </w:t>
            </w:r>
            <w:r>
              <w:rPr>
                <w:spacing w:val="-1"/>
                <w:sz w:val="19"/>
                <w:szCs w:val="19"/>
              </w:rPr>
              <w:t>盘托起，托盘位置高于选</w:t>
            </w:r>
            <w:r>
              <w:rPr>
                <w:spacing w:val="2"/>
                <w:sz w:val="19"/>
                <w:szCs w:val="19"/>
              </w:rPr>
              <w:t xml:space="preserve"> </w:t>
            </w:r>
            <w:r>
              <w:rPr>
                <w:spacing w:val="-1"/>
                <w:sz w:val="19"/>
                <w:szCs w:val="19"/>
              </w:rPr>
              <w:t>手腰部，姿势正确，托送</w:t>
            </w:r>
            <w:r>
              <w:rPr>
                <w:spacing w:val="2"/>
                <w:sz w:val="19"/>
                <w:szCs w:val="19"/>
              </w:rPr>
              <w:t xml:space="preserve"> </w:t>
            </w:r>
            <w:r>
              <w:rPr>
                <w:spacing w:val="7"/>
                <w:sz w:val="19"/>
                <w:szCs w:val="19"/>
              </w:rPr>
              <w:t>自如、灵活(10分)</w:t>
            </w:r>
          </w:p>
          <w:p w14:paraId="4C14B659">
            <w:pPr>
              <w:pStyle w:val="6"/>
              <w:spacing w:before="1" w:line="213" w:lineRule="auto"/>
              <w:ind w:left="18" w:firstLine="76"/>
              <w:rPr>
                <w:sz w:val="19"/>
                <w:szCs w:val="19"/>
              </w:rPr>
            </w:pPr>
            <w:r>
              <w:rPr>
                <w:spacing w:val="-7"/>
                <w:sz w:val="19"/>
                <w:szCs w:val="19"/>
              </w:rPr>
              <w:t>(6)综合印象：操作过程</w:t>
            </w:r>
            <w:r>
              <w:rPr>
                <w:sz w:val="19"/>
                <w:szCs w:val="19"/>
              </w:rPr>
              <w:t xml:space="preserve">  </w:t>
            </w:r>
            <w:r>
              <w:rPr>
                <w:spacing w:val="-13"/>
                <w:sz w:val="19"/>
                <w:szCs w:val="19"/>
              </w:rPr>
              <w:t>中动作规范、娴熟、敏捷、</w:t>
            </w:r>
            <w:r>
              <w:rPr>
                <w:spacing w:val="9"/>
                <w:sz w:val="19"/>
                <w:szCs w:val="19"/>
              </w:rPr>
              <w:t xml:space="preserve"> </w:t>
            </w:r>
            <w:r>
              <w:rPr>
                <w:spacing w:val="-9"/>
                <w:sz w:val="19"/>
                <w:szCs w:val="19"/>
              </w:rPr>
              <w:t>声轻，姿态优美，能体现</w:t>
            </w:r>
            <w:r>
              <w:rPr>
                <w:sz w:val="19"/>
                <w:szCs w:val="19"/>
              </w:rPr>
              <w:t xml:space="preserve">  </w:t>
            </w:r>
            <w:r>
              <w:rPr>
                <w:spacing w:val="-2"/>
                <w:sz w:val="19"/>
                <w:szCs w:val="19"/>
              </w:rPr>
              <w:t>岗位气质。10分)</w:t>
            </w:r>
          </w:p>
        </w:tc>
      </w:tr>
    </w:tbl>
    <w:p w14:paraId="0BA4707C">
      <w:pPr>
        <w:pStyle w:val="2"/>
      </w:pPr>
    </w:p>
    <w:p w14:paraId="5764E547">
      <w:pPr>
        <w:sectPr>
          <w:footerReference r:id="rId128" w:type="default"/>
          <w:pgSz w:w="10660" w:h="15080"/>
          <w:pgMar w:top="400" w:right="1045" w:bottom="912" w:left="819" w:header="0" w:footer="741" w:gutter="0"/>
          <w:cols w:space="720" w:num="1"/>
        </w:sectPr>
      </w:pPr>
    </w:p>
    <w:p w14:paraId="19898A14">
      <w:pPr>
        <w:spacing w:before="13"/>
      </w:pPr>
    </w:p>
    <w:p w14:paraId="68998CE8">
      <w:pPr>
        <w:spacing w:before="12"/>
      </w:pPr>
    </w:p>
    <w:p w14:paraId="3A81488A">
      <w:pPr>
        <w:spacing w:before="12"/>
      </w:pPr>
    </w:p>
    <w:p w14:paraId="6D34BD3D">
      <w:pPr>
        <w:spacing w:before="12"/>
      </w:pPr>
    </w:p>
    <w:tbl>
      <w:tblPr>
        <w:tblStyle w:val="5"/>
        <w:tblW w:w="8726"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04"/>
        <w:gridCol w:w="829"/>
        <w:gridCol w:w="1328"/>
        <w:gridCol w:w="879"/>
        <w:gridCol w:w="2637"/>
        <w:gridCol w:w="2149"/>
      </w:tblGrid>
      <w:tr w14:paraId="15F8B7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5" w:hRule="atLeast"/>
        </w:trPr>
        <w:tc>
          <w:tcPr>
            <w:tcW w:w="904" w:type="dxa"/>
            <w:vAlign w:val="top"/>
          </w:tcPr>
          <w:p w14:paraId="583815F6">
            <w:pPr>
              <w:pStyle w:val="6"/>
              <w:spacing w:before="150" w:line="220" w:lineRule="auto"/>
              <w:ind w:left="67"/>
              <w:rPr>
                <w:sz w:val="19"/>
                <w:szCs w:val="19"/>
              </w:rPr>
            </w:pPr>
            <w:r>
              <w:rPr>
                <w:b/>
                <w:bCs/>
                <w:spacing w:val="5"/>
                <w:sz w:val="19"/>
                <w:szCs w:val="19"/>
              </w:rPr>
              <w:t>测试项目</w:t>
            </w:r>
          </w:p>
        </w:tc>
        <w:tc>
          <w:tcPr>
            <w:tcW w:w="829" w:type="dxa"/>
            <w:vAlign w:val="top"/>
          </w:tcPr>
          <w:p w14:paraId="11CC9A18">
            <w:pPr>
              <w:pStyle w:val="6"/>
              <w:spacing w:before="151" w:line="221" w:lineRule="auto"/>
              <w:ind w:left="23"/>
              <w:rPr>
                <w:sz w:val="19"/>
                <w:szCs w:val="19"/>
              </w:rPr>
            </w:pPr>
            <w:r>
              <w:rPr>
                <w:b/>
                <w:bCs/>
                <w:spacing w:val="-4"/>
                <w:sz w:val="19"/>
                <w:szCs w:val="19"/>
              </w:rPr>
              <w:t>测试用具</w:t>
            </w:r>
          </w:p>
        </w:tc>
        <w:tc>
          <w:tcPr>
            <w:tcW w:w="1328" w:type="dxa"/>
            <w:vAlign w:val="top"/>
          </w:tcPr>
          <w:p w14:paraId="2F2D8086">
            <w:pPr>
              <w:pStyle w:val="6"/>
              <w:spacing w:before="150" w:line="219" w:lineRule="auto"/>
              <w:ind w:left="274"/>
              <w:rPr>
                <w:sz w:val="19"/>
                <w:szCs w:val="19"/>
              </w:rPr>
            </w:pPr>
            <w:r>
              <w:rPr>
                <w:b/>
                <w:bCs/>
                <w:spacing w:val="-4"/>
                <w:sz w:val="19"/>
                <w:szCs w:val="19"/>
              </w:rPr>
              <w:t>测试内容</w:t>
            </w:r>
          </w:p>
        </w:tc>
        <w:tc>
          <w:tcPr>
            <w:tcW w:w="879" w:type="dxa"/>
            <w:vAlign w:val="top"/>
          </w:tcPr>
          <w:p w14:paraId="33C6AD3F">
            <w:pPr>
              <w:pStyle w:val="6"/>
              <w:spacing w:before="151" w:line="221" w:lineRule="auto"/>
              <w:ind w:left="56"/>
              <w:rPr>
                <w:sz w:val="19"/>
                <w:szCs w:val="19"/>
              </w:rPr>
            </w:pPr>
            <w:r>
              <w:rPr>
                <w:b/>
                <w:bCs/>
                <w:spacing w:val="-4"/>
                <w:sz w:val="19"/>
                <w:szCs w:val="19"/>
              </w:rPr>
              <w:t>测试方法</w:t>
            </w:r>
          </w:p>
        </w:tc>
        <w:tc>
          <w:tcPr>
            <w:tcW w:w="2637" w:type="dxa"/>
            <w:vAlign w:val="top"/>
          </w:tcPr>
          <w:p w14:paraId="2A7117FD">
            <w:pPr>
              <w:pStyle w:val="6"/>
              <w:spacing w:before="151" w:line="221" w:lineRule="auto"/>
              <w:ind w:left="987"/>
              <w:rPr>
                <w:sz w:val="19"/>
                <w:szCs w:val="19"/>
              </w:rPr>
            </w:pPr>
            <w:r>
              <w:rPr>
                <w:b/>
                <w:bCs/>
                <w:spacing w:val="-4"/>
                <w:sz w:val="19"/>
                <w:szCs w:val="19"/>
              </w:rPr>
              <w:t>测试要求</w:t>
            </w:r>
          </w:p>
        </w:tc>
        <w:tc>
          <w:tcPr>
            <w:tcW w:w="2149" w:type="dxa"/>
            <w:vAlign w:val="top"/>
          </w:tcPr>
          <w:p w14:paraId="24EDFC9B">
            <w:pPr>
              <w:pStyle w:val="6"/>
              <w:spacing w:before="150" w:line="219" w:lineRule="auto"/>
              <w:ind w:left="740"/>
              <w:rPr>
                <w:sz w:val="19"/>
                <w:szCs w:val="19"/>
              </w:rPr>
            </w:pPr>
            <w:r>
              <w:rPr>
                <w:b/>
                <w:bCs/>
                <w:spacing w:val="-4"/>
                <w:sz w:val="19"/>
                <w:szCs w:val="19"/>
              </w:rPr>
              <w:t>赋分参考</w:t>
            </w:r>
          </w:p>
        </w:tc>
      </w:tr>
      <w:tr w14:paraId="3F87E5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924" w:hRule="atLeast"/>
        </w:trPr>
        <w:tc>
          <w:tcPr>
            <w:tcW w:w="904" w:type="dxa"/>
            <w:vAlign w:val="top"/>
          </w:tcPr>
          <w:p w14:paraId="74990B76">
            <w:pPr>
              <w:spacing w:line="247" w:lineRule="auto"/>
              <w:rPr>
                <w:rFonts w:ascii="Arial"/>
                <w:sz w:val="21"/>
              </w:rPr>
            </w:pPr>
          </w:p>
          <w:p w14:paraId="5EA4BBA7">
            <w:pPr>
              <w:spacing w:line="247" w:lineRule="auto"/>
              <w:rPr>
                <w:rFonts w:ascii="Arial"/>
                <w:sz w:val="21"/>
              </w:rPr>
            </w:pPr>
          </w:p>
          <w:p w14:paraId="51E199E0">
            <w:pPr>
              <w:spacing w:line="247" w:lineRule="auto"/>
              <w:rPr>
                <w:rFonts w:ascii="Arial"/>
                <w:sz w:val="21"/>
              </w:rPr>
            </w:pPr>
          </w:p>
          <w:p w14:paraId="76A921B6">
            <w:pPr>
              <w:spacing w:line="247" w:lineRule="auto"/>
              <w:rPr>
                <w:rFonts w:ascii="Arial"/>
                <w:sz w:val="21"/>
              </w:rPr>
            </w:pPr>
          </w:p>
          <w:p w14:paraId="1C97C7A0">
            <w:pPr>
              <w:spacing w:line="247" w:lineRule="auto"/>
              <w:rPr>
                <w:rFonts w:ascii="Arial"/>
                <w:sz w:val="21"/>
              </w:rPr>
            </w:pPr>
          </w:p>
          <w:p w14:paraId="77DB5CAE">
            <w:pPr>
              <w:spacing w:line="247" w:lineRule="auto"/>
              <w:rPr>
                <w:rFonts w:ascii="Arial"/>
                <w:sz w:val="21"/>
              </w:rPr>
            </w:pPr>
          </w:p>
          <w:p w14:paraId="05F01B7E">
            <w:pPr>
              <w:spacing w:line="247" w:lineRule="auto"/>
              <w:rPr>
                <w:rFonts w:ascii="Arial"/>
                <w:sz w:val="21"/>
              </w:rPr>
            </w:pPr>
          </w:p>
          <w:p w14:paraId="3212C640">
            <w:pPr>
              <w:spacing w:line="247" w:lineRule="auto"/>
              <w:rPr>
                <w:rFonts w:ascii="Arial"/>
                <w:sz w:val="21"/>
              </w:rPr>
            </w:pPr>
          </w:p>
          <w:p w14:paraId="4C449623">
            <w:pPr>
              <w:spacing w:line="248" w:lineRule="auto"/>
              <w:rPr>
                <w:rFonts w:ascii="Arial"/>
                <w:sz w:val="21"/>
              </w:rPr>
            </w:pPr>
          </w:p>
          <w:p w14:paraId="2C4C38D7">
            <w:pPr>
              <w:spacing w:line="248" w:lineRule="auto"/>
              <w:rPr>
                <w:rFonts w:ascii="Arial"/>
                <w:sz w:val="21"/>
              </w:rPr>
            </w:pPr>
          </w:p>
          <w:p w14:paraId="3F92D9DD">
            <w:pPr>
              <w:spacing w:line="248" w:lineRule="auto"/>
              <w:rPr>
                <w:rFonts w:ascii="Arial"/>
                <w:sz w:val="21"/>
              </w:rPr>
            </w:pPr>
          </w:p>
          <w:p w14:paraId="2A31398B">
            <w:pPr>
              <w:spacing w:line="248" w:lineRule="auto"/>
              <w:rPr>
                <w:rFonts w:ascii="Arial"/>
                <w:sz w:val="21"/>
              </w:rPr>
            </w:pPr>
          </w:p>
          <w:p w14:paraId="33B54BB6">
            <w:pPr>
              <w:spacing w:line="248" w:lineRule="auto"/>
              <w:rPr>
                <w:rFonts w:ascii="Arial"/>
                <w:sz w:val="21"/>
              </w:rPr>
            </w:pPr>
          </w:p>
          <w:p w14:paraId="30F9BB0F">
            <w:pPr>
              <w:pStyle w:val="6"/>
              <w:spacing w:before="62" w:line="194" w:lineRule="auto"/>
              <w:ind w:left="105"/>
              <w:rPr>
                <w:sz w:val="19"/>
                <w:szCs w:val="19"/>
              </w:rPr>
            </w:pPr>
            <w:r>
              <w:rPr>
                <w:spacing w:val="1"/>
                <w:sz w:val="19"/>
                <w:szCs w:val="19"/>
              </w:rPr>
              <w:t>项目八：</w:t>
            </w:r>
          </w:p>
          <w:p w14:paraId="4CA5F51E">
            <w:pPr>
              <w:pStyle w:val="6"/>
              <w:spacing w:line="219" w:lineRule="auto"/>
              <w:ind w:left="65"/>
              <w:rPr>
                <w:sz w:val="19"/>
                <w:szCs w:val="19"/>
              </w:rPr>
            </w:pPr>
            <w:r>
              <w:rPr>
                <w:spacing w:val="4"/>
                <w:sz w:val="19"/>
                <w:szCs w:val="19"/>
              </w:rPr>
              <w:t>导游景点</w:t>
            </w:r>
          </w:p>
          <w:p w14:paraId="449F1874">
            <w:pPr>
              <w:pStyle w:val="6"/>
              <w:spacing w:before="4" w:line="219" w:lineRule="auto"/>
              <w:ind w:left="255"/>
              <w:rPr>
                <w:sz w:val="19"/>
                <w:szCs w:val="19"/>
              </w:rPr>
            </w:pPr>
            <w:r>
              <w:rPr>
                <w:spacing w:val="-2"/>
                <w:sz w:val="19"/>
                <w:szCs w:val="19"/>
              </w:rPr>
              <w:t>讲解</w:t>
            </w:r>
          </w:p>
        </w:tc>
        <w:tc>
          <w:tcPr>
            <w:tcW w:w="829" w:type="dxa"/>
            <w:vAlign w:val="top"/>
          </w:tcPr>
          <w:p w14:paraId="1C998E61">
            <w:pPr>
              <w:spacing w:line="247" w:lineRule="auto"/>
              <w:rPr>
                <w:rFonts w:ascii="Arial"/>
                <w:sz w:val="21"/>
              </w:rPr>
            </w:pPr>
          </w:p>
          <w:p w14:paraId="70823906">
            <w:pPr>
              <w:spacing w:line="247" w:lineRule="auto"/>
              <w:rPr>
                <w:rFonts w:ascii="Arial"/>
                <w:sz w:val="21"/>
              </w:rPr>
            </w:pPr>
          </w:p>
          <w:p w14:paraId="75197C88">
            <w:pPr>
              <w:spacing w:line="247" w:lineRule="auto"/>
              <w:rPr>
                <w:rFonts w:ascii="Arial"/>
                <w:sz w:val="21"/>
              </w:rPr>
            </w:pPr>
          </w:p>
          <w:p w14:paraId="48D42D45">
            <w:pPr>
              <w:spacing w:line="247" w:lineRule="auto"/>
              <w:rPr>
                <w:rFonts w:ascii="Arial"/>
                <w:sz w:val="21"/>
              </w:rPr>
            </w:pPr>
          </w:p>
          <w:p w14:paraId="09DE363B">
            <w:pPr>
              <w:spacing w:line="247" w:lineRule="auto"/>
              <w:rPr>
                <w:rFonts w:ascii="Arial"/>
                <w:sz w:val="21"/>
              </w:rPr>
            </w:pPr>
          </w:p>
          <w:p w14:paraId="4B9C0649">
            <w:pPr>
              <w:spacing w:line="247" w:lineRule="auto"/>
              <w:rPr>
                <w:rFonts w:ascii="Arial"/>
                <w:sz w:val="21"/>
              </w:rPr>
            </w:pPr>
          </w:p>
          <w:p w14:paraId="7CEE4EAE">
            <w:pPr>
              <w:spacing w:line="247" w:lineRule="auto"/>
              <w:rPr>
                <w:rFonts w:ascii="Arial"/>
                <w:sz w:val="21"/>
              </w:rPr>
            </w:pPr>
          </w:p>
          <w:p w14:paraId="2BB6C6AB">
            <w:pPr>
              <w:spacing w:line="247" w:lineRule="auto"/>
              <w:rPr>
                <w:rFonts w:ascii="Arial"/>
                <w:sz w:val="21"/>
              </w:rPr>
            </w:pPr>
          </w:p>
          <w:p w14:paraId="378ED8FB">
            <w:pPr>
              <w:spacing w:line="247" w:lineRule="auto"/>
              <w:rPr>
                <w:rFonts w:ascii="Arial"/>
                <w:sz w:val="21"/>
              </w:rPr>
            </w:pPr>
          </w:p>
          <w:p w14:paraId="0AE3719E">
            <w:pPr>
              <w:spacing w:line="248" w:lineRule="auto"/>
              <w:rPr>
                <w:rFonts w:ascii="Arial"/>
                <w:sz w:val="21"/>
              </w:rPr>
            </w:pPr>
          </w:p>
          <w:p w14:paraId="1012AA9A">
            <w:pPr>
              <w:spacing w:line="248" w:lineRule="auto"/>
              <w:rPr>
                <w:rFonts w:ascii="Arial"/>
                <w:sz w:val="21"/>
              </w:rPr>
            </w:pPr>
          </w:p>
          <w:p w14:paraId="08EDEFA6">
            <w:pPr>
              <w:spacing w:line="248" w:lineRule="auto"/>
              <w:rPr>
                <w:rFonts w:ascii="Arial"/>
                <w:sz w:val="21"/>
              </w:rPr>
            </w:pPr>
          </w:p>
          <w:p w14:paraId="124A1A9C">
            <w:pPr>
              <w:spacing w:line="248" w:lineRule="auto"/>
              <w:rPr>
                <w:rFonts w:ascii="Arial"/>
                <w:sz w:val="21"/>
              </w:rPr>
            </w:pPr>
          </w:p>
          <w:p w14:paraId="58CAEEF7">
            <w:pPr>
              <w:pStyle w:val="6"/>
              <w:spacing w:before="62" w:line="216" w:lineRule="auto"/>
              <w:ind w:left="21"/>
              <w:rPr>
                <w:sz w:val="19"/>
                <w:szCs w:val="19"/>
              </w:rPr>
            </w:pPr>
            <w:r>
              <w:rPr>
                <w:spacing w:val="2"/>
                <w:sz w:val="19"/>
                <w:szCs w:val="19"/>
              </w:rPr>
              <w:t>多媒体设</w:t>
            </w:r>
          </w:p>
          <w:p w14:paraId="728AD8B2">
            <w:pPr>
              <w:pStyle w:val="6"/>
              <w:spacing w:line="220" w:lineRule="auto"/>
              <w:ind w:left="121"/>
              <w:rPr>
                <w:sz w:val="19"/>
                <w:szCs w:val="19"/>
              </w:rPr>
            </w:pPr>
            <w:r>
              <w:rPr>
                <w:spacing w:val="-2"/>
                <w:sz w:val="19"/>
                <w:szCs w:val="19"/>
              </w:rPr>
              <w:t>施设备</w:t>
            </w:r>
          </w:p>
        </w:tc>
        <w:tc>
          <w:tcPr>
            <w:tcW w:w="1328" w:type="dxa"/>
            <w:vAlign w:val="top"/>
          </w:tcPr>
          <w:p w14:paraId="718C3B4E">
            <w:pPr>
              <w:spacing w:line="245" w:lineRule="auto"/>
              <w:rPr>
                <w:rFonts w:ascii="Arial"/>
                <w:sz w:val="21"/>
              </w:rPr>
            </w:pPr>
          </w:p>
          <w:p w14:paraId="32109A0C">
            <w:pPr>
              <w:spacing w:line="245" w:lineRule="auto"/>
              <w:rPr>
                <w:rFonts w:ascii="Arial"/>
                <w:sz w:val="21"/>
              </w:rPr>
            </w:pPr>
          </w:p>
          <w:p w14:paraId="1A02F8EF">
            <w:pPr>
              <w:spacing w:line="245" w:lineRule="auto"/>
              <w:rPr>
                <w:rFonts w:ascii="Arial"/>
                <w:sz w:val="21"/>
              </w:rPr>
            </w:pPr>
          </w:p>
          <w:p w14:paraId="72CFFE6C">
            <w:pPr>
              <w:spacing w:line="245" w:lineRule="auto"/>
              <w:rPr>
                <w:rFonts w:ascii="Arial"/>
                <w:sz w:val="21"/>
              </w:rPr>
            </w:pPr>
          </w:p>
          <w:p w14:paraId="45A20B41">
            <w:pPr>
              <w:spacing w:line="245" w:lineRule="auto"/>
              <w:rPr>
                <w:rFonts w:ascii="Arial"/>
                <w:sz w:val="21"/>
              </w:rPr>
            </w:pPr>
          </w:p>
          <w:p w14:paraId="67BC1561">
            <w:pPr>
              <w:spacing w:line="245" w:lineRule="auto"/>
              <w:rPr>
                <w:rFonts w:ascii="Arial"/>
                <w:sz w:val="21"/>
              </w:rPr>
            </w:pPr>
          </w:p>
          <w:p w14:paraId="26959559">
            <w:pPr>
              <w:spacing w:line="245" w:lineRule="auto"/>
              <w:rPr>
                <w:rFonts w:ascii="Arial"/>
                <w:sz w:val="21"/>
              </w:rPr>
            </w:pPr>
          </w:p>
          <w:p w14:paraId="7EC4703A">
            <w:pPr>
              <w:spacing w:line="245" w:lineRule="auto"/>
              <w:rPr>
                <w:rFonts w:ascii="Arial"/>
                <w:sz w:val="21"/>
              </w:rPr>
            </w:pPr>
          </w:p>
          <w:p w14:paraId="29295BC9">
            <w:pPr>
              <w:spacing w:line="245" w:lineRule="auto"/>
              <w:rPr>
                <w:rFonts w:ascii="Arial"/>
                <w:sz w:val="21"/>
              </w:rPr>
            </w:pPr>
          </w:p>
          <w:p w14:paraId="4B20289A">
            <w:pPr>
              <w:spacing w:line="246" w:lineRule="auto"/>
              <w:rPr>
                <w:rFonts w:ascii="Arial"/>
                <w:sz w:val="21"/>
              </w:rPr>
            </w:pPr>
          </w:p>
          <w:p w14:paraId="4796EAE6">
            <w:pPr>
              <w:pStyle w:val="6"/>
              <w:spacing w:before="62" w:line="211" w:lineRule="auto"/>
              <w:ind w:left="12" w:firstLine="112"/>
              <w:rPr>
                <w:sz w:val="19"/>
                <w:szCs w:val="19"/>
              </w:rPr>
            </w:pPr>
            <w:r>
              <w:rPr>
                <w:spacing w:val="-8"/>
                <w:sz w:val="19"/>
                <w:szCs w:val="19"/>
              </w:rPr>
              <w:t>(1)导游景点</w:t>
            </w:r>
            <w:r>
              <w:rPr>
                <w:spacing w:val="1"/>
                <w:sz w:val="19"/>
                <w:szCs w:val="19"/>
              </w:rPr>
              <w:t xml:space="preserve">   </w:t>
            </w:r>
            <w:r>
              <w:rPr>
                <w:spacing w:val="-15"/>
                <w:sz w:val="19"/>
                <w:szCs w:val="19"/>
              </w:rPr>
              <w:t>讲解(从“黄山、</w:t>
            </w:r>
            <w:r>
              <w:rPr>
                <w:sz w:val="19"/>
                <w:szCs w:val="19"/>
              </w:rPr>
              <w:t xml:space="preserve"> </w:t>
            </w:r>
            <w:r>
              <w:rPr>
                <w:spacing w:val="-14"/>
                <w:sz w:val="19"/>
                <w:szCs w:val="19"/>
              </w:rPr>
              <w:t>九华山、新四军</w:t>
            </w:r>
            <w:r>
              <w:rPr>
                <w:spacing w:val="5"/>
                <w:sz w:val="19"/>
                <w:szCs w:val="19"/>
              </w:rPr>
              <w:t xml:space="preserve"> </w:t>
            </w:r>
            <w:r>
              <w:rPr>
                <w:spacing w:val="-13"/>
                <w:sz w:val="19"/>
                <w:szCs w:val="19"/>
              </w:rPr>
              <w:t>军部旧址、西递</w:t>
            </w:r>
            <w:r>
              <w:rPr>
                <w:sz w:val="19"/>
                <w:szCs w:val="19"/>
              </w:rPr>
              <w:t xml:space="preserve"> </w:t>
            </w:r>
            <w:r>
              <w:rPr>
                <w:spacing w:val="-13"/>
                <w:sz w:val="19"/>
                <w:szCs w:val="19"/>
              </w:rPr>
              <w:t>宏村”等四个景</w:t>
            </w:r>
            <w:r>
              <w:rPr>
                <w:spacing w:val="2"/>
                <w:sz w:val="19"/>
                <w:szCs w:val="19"/>
              </w:rPr>
              <w:t xml:space="preserve"> </w:t>
            </w:r>
            <w:r>
              <w:rPr>
                <w:spacing w:val="-14"/>
                <w:sz w:val="19"/>
                <w:szCs w:val="19"/>
              </w:rPr>
              <w:t>点中随机抽取一</w:t>
            </w:r>
            <w:r>
              <w:rPr>
                <w:sz w:val="19"/>
                <w:szCs w:val="19"/>
              </w:rPr>
              <w:t xml:space="preserve"> </w:t>
            </w:r>
            <w:r>
              <w:rPr>
                <w:spacing w:val="-2"/>
                <w:sz w:val="19"/>
                <w:szCs w:val="19"/>
              </w:rPr>
              <w:t>个景点)</w:t>
            </w:r>
          </w:p>
          <w:p w14:paraId="4B84FA33">
            <w:pPr>
              <w:pStyle w:val="6"/>
              <w:spacing w:line="220" w:lineRule="auto"/>
              <w:ind w:left="132"/>
              <w:rPr>
                <w:sz w:val="19"/>
                <w:szCs w:val="19"/>
              </w:rPr>
            </w:pPr>
            <w:r>
              <w:rPr>
                <w:sz w:val="19"/>
                <w:szCs w:val="19"/>
              </w:rPr>
              <w:t>(2)知识问答</w:t>
            </w:r>
          </w:p>
        </w:tc>
        <w:tc>
          <w:tcPr>
            <w:tcW w:w="879" w:type="dxa"/>
            <w:vAlign w:val="top"/>
          </w:tcPr>
          <w:p w14:paraId="2C7E24BD">
            <w:pPr>
              <w:spacing w:line="252" w:lineRule="auto"/>
              <w:rPr>
                <w:rFonts w:ascii="Arial"/>
                <w:sz w:val="21"/>
              </w:rPr>
            </w:pPr>
          </w:p>
          <w:p w14:paraId="5865D51A">
            <w:pPr>
              <w:spacing w:line="252" w:lineRule="auto"/>
              <w:rPr>
                <w:rFonts w:ascii="Arial"/>
                <w:sz w:val="21"/>
              </w:rPr>
            </w:pPr>
          </w:p>
          <w:p w14:paraId="0BE47D6F">
            <w:pPr>
              <w:spacing w:line="252" w:lineRule="auto"/>
              <w:rPr>
                <w:rFonts w:ascii="Arial"/>
                <w:sz w:val="21"/>
              </w:rPr>
            </w:pPr>
          </w:p>
          <w:p w14:paraId="272BA514">
            <w:pPr>
              <w:spacing w:line="253" w:lineRule="auto"/>
              <w:rPr>
                <w:rFonts w:ascii="Arial"/>
                <w:sz w:val="21"/>
              </w:rPr>
            </w:pPr>
          </w:p>
          <w:p w14:paraId="5CE53861">
            <w:pPr>
              <w:spacing w:line="253" w:lineRule="auto"/>
              <w:rPr>
                <w:rFonts w:ascii="Arial"/>
                <w:sz w:val="21"/>
              </w:rPr>
            </w:pPr>
          </w:p>
          <w:p w14:paraId="3389B77A">
            <w:pPr>
              <w:spacing w:line="253" w:lineRule="auto"/>
              <w:rPr>
                <w:rFonts w:ascii="Arial"/>
                <w:sz w:val="21"/>
              </w:rPr>
            </w:pPr>
          </w:p>
          <w:p w14:paraId="2F2F1ECA">
            <w:pPr>
              <w:spacing w:line="253" w:lineRule="auto"/>
              <w:rPr>
                <w:rFonts w:ascii="Arial"/>
                <w:sz w:val="21"/>
              </w:rPr>
            </w:pPr>
          </w:p>
          <w:p w14:paraId="722F30B7">
            <w:pPr>
              <w:spacing w:line="253" w:lineRule="auto"/>
              <w:rPr>
                <w:rFonts w:ascii="Arial"/>
                <w:sz w:val="21"/>
              </w:rPr>
            </w:pPr>
          </w:p>
          <w:p w14:paraId="26E4A71E">
            <w:pPr>
              <w:spacing w:line="253" w:lineRule="auto"/>
              <w:rPr>
                <w:rFonts w:ascii="Arial"/>
                <w:sz w:val="21"/>
              </w:rPr>
            </w:pPr>
          </w:p>
          <w:p w14:paraId="60E30E41">
            <w:pPr>
              <w:spacing w:line="253" w:lineRule="auto"/>
              <w:rPr>
                <w:rFonts w:ascii="Arial"/>
                <w:sz w:val="21"/>
              </w:rPr>
            </w:pPr>
          </w:p>
          <w:p w14:paraId="37A19E71">
            <w:pPr>
              <w:spacing w:line="253" w:lineRule="auto"/>
              <w:rPr>
                <w:rFonts w:ascii="Arial"/>
                <w:sz w:val="21"/>
              </w:rPr>
            </w:pPr>
          </w:p>
          <w:p w14:paraId="077057BF">
            <w:pPr>
              <w:spacing w:line="253" w:lineRule="auto"/>
              <w:rPr>
                <w:rFonts w:ascii="Arial"/>
                <w:sz w:val="21"/>
              </w:rPr>
            </w:pPr>
          </w:p>
          <w:p w14:paraId="3A20363C">
            <w:pPr>
              <w:spacing w:line="253" w:lineRule="auto"/>
              <w:rPr>
                <w:rFonts w:ascii="Arial"/>
                <w:sz w:val="21"/>
              </w:rPr>
            </w:pPr>
          </w:p>
          <w:p w14:paraId="12B79D7D">
            <w:pPr>
              <w:pStyle w:val="6"/>
              <w:spacing w:before="62" w:line="221" w:lineRule="auto"/>
              <w:ind w:left="244"/>
              <w:rPr>
                <w:sz w:val="19"/>
                <w:szCs w:val="19"/>
              </w:rPr>
            </w:pPr>
            <w:r>
              <w:rPr>
                <w:spacing w:val="-3"/>
                <w:sz w:val="19"/>
                <w:szCs w:val="19"/>
              </w:rPr>
              <w:t>面试</w:t>
            </w:r>
          </w:p>
        </w:tc>
        <w:tc>
          <w:tcPr>
            <w:tcW w:w="2637" w:type="dxa"/>
            <w:vAlign w:val="top"/>
          </w:tcPr>
          <w:p w14:paraId="4F6B3771">
            <w:pPr>
              <w:spacing w:line="257" w:lineRule="auto"/>
              <w:rPr>
                <w:rFonts w:ascii="Arial"/>
                <w:sz w:val="21"/>
              </w:rPr>
            </w:pPr>
          </w:p>
          <w:p w14:paraId="0FA8AFFC">
            <w:pPr>
              <w:spacing w:line="257" w:lineRule="auto"/>
              <w:rPr>
                <w:rFonts w:ascii="Arial"/>
                <w:sz w:val="21"/>
              </w:rPr>
            </w:pPr>
          </w:p>
          <w:p w14:paraId="62BA6CF5">
            <w:pPr>
              <w:spacing w:line="257" w:lineRule="auto"/>
              <w:rPr>
                <w:rFonts w:ascii="Arial"/>
                <w:sz w:val="21"/>
              </w:rPr>
            </w:pPr>
          </w:p>
          <w:p w14:paraId="7D92A3EE">
            <w:pPr>
              <w:spacing w:line="258" w:lineRule="auto"/>
              <w:rPr>
                <w:rFonts w:ascii="Arial"/>
                <w:sz w:val="21"/>
              </w:rPr>
            </w:pPr>
          </w:p>
          <w:p w14:paraId="7F5A6CAE">
            <w:pPr>
              <w:pStyle w:val="6"/>
              <w:spacing w:before="62" w:line="204" w:lineRule="auto"/>
              <w:ind w:left="95"/>
              <w:rPr>
                <w:sz w:val="19"/>
                <w:szCs w:val="19"/>
              </w:rPr>
            </w:pPr>
            <w:r>
              <w:rPr>
                <w:spacing w:val="-1"/>
                <w:sz w:val="19"/>
                <w:szCs w:val="19"/>
              </w:rPr>
              <w:t>(1)考试时间：总体8分钟，</w:t>
            </w:r>
          </w:p>
          <w:p w14:paraId="7D1383A1">
            <w:pPr>
              <w:pStyle w:val="6"/>
              <w:spacing w:line="219" w:lineRule="auto"/>
              <w:ind w:left="25"/>
              <w:rPr>
                <w:sz w:val="19"/>
                <w:szCs w:val="19"/>
              </w:rPr>
            </w:pPr>
            <w:r>
              <w:rPr>
                <w:spacing w:val="-1"/>
                <w:sz w:val="19"/>
                <w:szCs w:val="19"/>
              </w:rPr>
              <w:t>其中景点讲解5分钟(不足4分</w:t>
            </w:r>
          </w:p>
          <w:p w14:paraId="1082CF0B">
            <w:pPr>
              <w:pStyle w:val="6"/>
              <w:spacing w:line="208" w:lineRule="auto"/>
              <w:ind w:left="15"/>
              <w:rPr>
                <w:sz w:val="19"/>
                <w:szCs w:val="19"/>
              </w:rPr>
            </w:pPr>
            <w:r>
              <w:rPr>
                <w:spacing w:val="-1"/>
                <w:sz w:val="19"/>
                <w:szCs w:val="19"/>
              </w:rPr>
              <w:t>钟者扣分),知识问答2分钟，</w:t>
            </w:r>
          </w:p>
          <w:p w14:paraId="5414D800">
            <w:pPr>
              <w:pStyle w:val="6"/>
              <w:spacing w:line="203" w:lineRule="auto"/>
              <w:ind w:left="15"/>
              <w:rPr>
                <w:sz w:val="19"/>
                <w:szCs w:val="19"/>
              </w:rPr>
            </w:pPr>
            <w:r>
              <w:rPr>
                <w:spacing w:val="-1"/>
                <w:sz w:val="19"/>
                <w:szCs w:val="19"/>
              </w:rPr>
              <w:t>准备问答1分钟。</w:t>
            </w:r>
          </w:p>
          <w:p w14:paraId="559DE1E2">
            <w:pPr>
              <w:pStyle w:val="6"/>
              <w:spacing w:before="4" w:line="213" w:lineRule="auto"/>
              <w:ind w:left="15" w:right="34" w:firstLine="49"/>
              <w:rPr>
                <w:sz w:val="19"/>
                <w:szCs w:val="19"/>
              </w:rPr>
            </w:pPr>
            <w:r>
              <w:rPr>
                <w:sz w:val="19"/>
                <w:szCs w:val="19"/>
              </w:rPr>
              <w:t xml:space="preserve">(2)景点讲解环节，考生讲解  </w:t>
            </w:r>
            <w:r>
              <w:rPr>
                <w:spacing w:val="-1"/>
                <w:sz w:val="19"/>
                <w:szCs w:val="19"/>
              </w:rPr>
              <w:t>景点范围为4个全国导游资格证</w:t>
            </w:r>
            <w:r>
              <w:rPr>
                <w:spacing w:val="12"/>
                <w:sz w:val="19"/>
                <w:szCs w:val="19"/>
              </w:rPr>
              <w:t xml:space="preserve"> </w:t>
            </w:r>
            <w:r>
              <w:rPr>
                <w:sz w:val="19"/>
                <w:szCs w:val="19"/>
              </w:rPr>
              <w:t>现场导游考试景点。考生现场</w:t>
            </w:r>
            <w:r>
              <w:rPr>
                <w:spacing w:val="5"/>
                <w:sz w:val="19"/>
                <w:szCs w:val="19"/>
              </w:rPr>
              <w:t xml:space="preserve">  </w:t>
            </w:r>
            <w:r>
              <w:rPr>
                <w:spacing w:val="-1"/>
                <w:sz w:val="19"/>
                <w:szCs w:val="19"/>
              </w:rPr>
              <w:t>抽取讲解景点，准备5分钟后开</w:t>
            </w:r>
            <w:r>
              <w:rPr>
                <w:spacing w:val="6"/>
                <w:sz w:val="19"/>
                <w:szCs w:val="19"/>
              </w:rPr>
              <w:t xml:space="preserve"> </w:t>
            </w:r>
            <w:r>
              <w:rPr>
                <w:sz w:val="19"/>
                <w:szCs w:val="19"/>
              </w:rPr>
              <w:t>始讲解，讲解时间8分钟，分值</w:t>
            </w:r>
            <w:r>
              <w:rPr>
                <w:spacing w:val="11"/>
                <w:sz w:val="19"/>
                <w:szCs w:val="19"/>
              </w:rPr>
              <w:t xml:space="preserve"> </w:t>
            </w:r>
            <w:r>
              <w:rPr>
                <w:sz w:val="19"/>
                <w:szCs w:val="19"/>
              </w:rPr>
              <w:t>180分。</w:t>
            </w:r>
          </w:p>
          <w:p w14:paraId="0AA52A60">
            <w:pPr>
              <w:pStyle w:val="6"/>
              <w:spacing w:before="1" w:line="223" w:lineRule="auto"/>
              <w:ind w:left="15" w:firstLine="58"/>
              <w:rPr>
                <w:sz w:val="19"/>
                <w:szCs w:val="19"/>
              </w:rPr>
            </w:pPr>
            <w:r>
              <w:rPr>
                <w:spacing w:val="-4"/>
                <w:sz w:val="19"/>
                <w:szCs w:val="19"/>
              </w:rPr>
              <w:t>(3)现场知识问答考查内容为</w:t>
            </w:r>
            <w:r>
              <w:rPr>
                <w:spacing w:val="4"/>
                <w:sz w:val="19"/>
                <w:szCs w:val="19"/>
              </w:rPr>
              <w:t xml:space="preserve">   </w:t>
            </w:r>
            <w:r>
              <w:rPr>
                <w:spacing w:val="-4"/>
                <w:sz w:val="19"/>
                <w:szCs w:val="19"/>
              </w:rPr>
              <w:t>导游实践工作中相关业务知识，</w:t>
            </w:r>
          </w:p>
          <w:p w14:paraId="0A8BDAB0">
            <w:pPr>
              <w:pStyle w:val="6"/>
              <w:spacing w:before="3" w:line="213" w:lineRule="auto"/>
              <w:ind w:left="15"/>
              <w:rPr>
                <w:sz w:val="19"/>
                <w:szCs w:val="19"/>
              </w:rPr>
            </w:pPr>
            <w:r>
              <w:rPr>
                <w:spacing w:val="-7"/>
                <w:sz w:val="19"/>
                <w:szCs w:val="19"/>
              </w:rPr>
              <w:t>如：旅游中常见问题和事故的预</w:t>
            </w:r>
            <w:r>
              <w:rPr>
                <w:spacing w:val="2"/>
                <w:sz w:val="19"/>
                <w:szCs w:val="19"/>
              </w:rPr>
              <w:t xml:space="preserve"> </w:t>
            </w:r>
            <w:r>
              <w:rPr>
                <w:spacing w:val="-7"/>
                <w:sz w:val="19"/>
                <w:szCs w:val="19"/>
              </w:rPr>
              <w:t>防和处理、旅游安全事故的预防</w:t>
            </w:r>
            <w:r>
              <w:rPr>
                <w:spacing w:val="5"/>
                <w:sz w:val="19"/>
                <w:szCs w:val="19"/>
              </w:rPr>
              <w:t xml:space="preserve"> </w:t>
            </w:r>
            <w:r>
              <w:rPr>
                <w:spacing w:val="-4"/>
                <w:sz w:val="19"/>
                <w:szCs w:val="19"/>
              </w:rPr>
              <w:t>和处理、游客个别要求的处理。</w:t>
            </w:r>
            <w:r>
              <w:rPr>
                <w:spacing w:val="6"/>
                <w:sz w:val="19"/>
                <w:szCs w:val="19"/>
              </w:rPr>
              <w:t xml:space="preserve"> </w:t>
            </w:r>
            <w:r>
              <w:rPr>
                <w:spacing w:val="-3"/>
                <w:sz w:val="19"/>
                <w:szCs w:val="19"/>
              </w:rPr>
              <w:t>共1题，分值40分。限时2分</w:t>
            </w:r>
          </w:p>
          <w:p w14:paraId="33C25EE4">
            <w:pPr>
              <w:pStyle w:val="6"/>
              <w:spacing w:before="1" w:line="194" w:lineRule="auto"/>
              <w:ind w:left="15"/>
              <w:rPr>
                <w:sz w:val="19"/>
                <w:szCs w:val="19"/>
              </w:rPr>
            </w:pPr>
            <w:r>
              <w:rPr>
                <w:sz w:val="19"/>
                <w:szCs w:val="19"/>
              </w:rPr>
              <w:t>钟内完成(不包括准备时间)。</w:t>
            </w:r>
          </w:p>
          <w:p w14:paraId="4C808256">
            <w:pPr>
              <w:pStyle w:val="6"/>
              <w:spacing w:line="213" w:lineRule="auto"/>
              <w:ind w:left="65"/>
              <w:rPr>
                <w:sz w:val="19"/>
                <w:szCs w:val="19"/>
              </w:rPr>
            </w:pPr>
            <w:r>
              <w:rPr>
                <w:sz w:val="19"/>
                <w:szCs w:val="19"/>
              </w:rPr>
              <w:t>(4)主要考查旅游管理类专业</w:t>
            </w:r>
          </w:p>
          <w:p w14:paraId="77C60135">
            <w:pPr>
              <w:pStyle w:val="6"/>
              <w:spacing w:before="2" w:line="225" w:lineRule="auto"/>
              <w:ind w:left="15" w:firstLine="9"/>
              <w:rPr>
                <w:sz w:val="19"/>
                <w:szCs w:val="19"/>
              </w:rPr>
            </w:pPr>
            <w:r>
              <w:rPr>
                <w:spacing w:val="-5"/>
                <w:sz w:val="19"/>
                <w:szCs w:val="19"/>
              </w:rPr>
              <w:t>学生应具备的普通话水平、语言</w:t>
            </w:r>
            <w:r>
              <w:rPr>
                <w:spacing w:val="10"/>
                <w:sz w:val="19"/>
                <w:szCs w:val="19"/>
              </w:rPr>
              <w:t xml:space="preserve"> </w:t>
            </w:r>
            <w:r>
              <w:rPr>
                <w:spacing w:val="-4"/>
                <w:sz w:val="19"/>
                <w:szCs w:val="19"/>
              </w:rPr>
              <w:t>表达能力、逻辑思维能力和现场</w:t>
            </w:r>
            <w:r>
              <w:rPr>
                <w:spacing w:val="4"/>
                <w:sz w:val="19"/>
                <w:szCs w:val="19"/>
              </w:rPr>
              <w:t xml:space="preserve"> </w:t>
            </w:r>
            <w:r>
              <w:rPr>
                <w:spacing w:val="-1"/>
                <w:sz w:val="19"/>
                <w:szCs w:val="19"/>
              </w:rPr>
              <w:t>应变处理能力。</w:t>
            </w:r>
          </w:p>
        </w:tc>
        <w:tc>
          <w:tcPr>
            <w:tcW w:w="2149" w:type="dxa"/>
            <w:vAlign w:val="top"/>
          </w:tcPr>
          <w:p w14:paraId="26FAC253">
            <w:pPr>
              <w:spacing w:line="269" w:lineRule="auto"/>
              <w:rPr>
                <w:rFonts w:ascii="Arial"/>
                <w:sz w:val="21"/>
              </w:rPr>
            </w:pPr>
          </w:p>
          <w:p w14:paraId="29E0418F">
            <w:pPr>
              <w:spacing w:line="269" w:lineRule="auto"/>
              <w:rPr>
                <w:rFonts w:ascii="Arial"/>
                <w:sz w:val="21"/>
              </w:rPr>
            </w:pPr>
          </w:p>
          <w:p w14:paraId="00DD5076">
            <w:pPr>
              <w:spacing w:line="269" w:lineRule="auto"/>
              <w:rPr>
                <w:rFonts w:ascii="Arial"/>
                <w:sz w:val="21"/>
              </w:rPr>
            </w:pPr>
          </w:p>
          <w:p w14:paraId="54CA2A0C">
            <w:pPr>
              <w:spacing w:line="270" w:lineRule="auto"/>
              <w:rPr>
                <w:rFonts w:ascii="Arial"/>
                <w:sz w:val="21"/>
              </w:rPr>
            </w:pPr>
          </w:p>
          <w:p w14:paraId="445431ED">
            <w:pPr>
              <w:spacing w:line="270" w:lineRule="auto"/>
              <w:rPr>
                <w:rFonts w:ascii="Arial"/>
                <w:sz w:val="21"/>
              </w:rPr>
            </w:pPr>
          </w:p>
          <w:p w14:paraId="5A442081">
            <w:pPr>
              <w:pStyle w:val="6"/>
              <w:spacing w:before="62" w:line="214" w:lineRule="auto"/>
              <w:ind w:left="18" w:right="125"/>
              <w:rPr>
                <w:sz w:val="19"/>
                <w:szCs w:val="19"/>
              </w:rPr>
            </w:pPr>
            <w:r>
              <w:rPr>
                <w:sz w:val="19"/>
                <w:szCs w:val="19"/>
              </w:rPr>
              <w:t xml:space="preserve">满分220分(讲解180分， </w:t>
            </w:r>
            <w:r>
              <w:rPr>
                <w:spacing w:val="6"/>
                <w:sz w:val="19"/>
                <w:szCs w:val="19"/>
              </w:rPr>
              <w:t>问答40分)</w:t>
            </w:r>
          </w:p>
          <w:p w14:paraId="48F7AD33">
            <w:pPr>
              <w:pStyle w:val="6"/>
              <w:spacing w:before="1" w:line="212" w:lineRule="auto"/>
              <w:ind w:left="38" w:firstLine="38"/>
              <w:rPr>
                <w:sz w:val="19"/>
                <w:szCs w:val="19"/>
              </w:rPr>
            </w:pPr>
            <w:r>
              <w:rPr>
                <w:spacing w:val="-10"/>
                <w:sz w:val="19"/>
                <w:szCs w:val="19"/>
              </w:rPr>
              <w:t>(1)语音语调、语法正确，</w:t>
            </w:r>
            <w:r>
              <w:rPr>
                <w:spacing w:val="6"/>
                <w:sz w:val="19"/>
                <w:szCs w:val="19"/>
              </w:rPr>
              <w:t xml:space="preserve"> </w:t>
            </w:r>
            <w:r>
              <w:rPr>
                <w:spacing w:val="-7"/>
                <w:sz w:val="19"/>
                <w:szCs w:val="19"/>
              </w:rPr>
              <w:t>口齿清楚，肢体语言规范</w:t>
            </w:r>
            <w:r>
              <w:rPr>
                <w:spacing w:val="3"/>
                <w:sz w:val="19"/>
                <w:szCs w:val="19"/>
              </w:rPr>
              <w:t xml:space="preserve">  </w:t>
            </w:r>
            <w:r>
              <w:rPr>
                <w:spacing w:val="9"/>
                <w:sz w:val="19"/>
                <w:szCs w:val="19"/>
              </w:rPr>
              <w:t>(40分)</w:t>
            </w:r>
          </w:p>
          <w:p w14:paraId="2E0CB203">
            <w:pPr>
              <w:pStyle w:val="6"/>
              <w:spacing w:before="1" w:line="216" w:lineRule="auto"/>
              <w:ind w:left="18" w:firstLine="67"/>
              <w:rPr>
                <w:sz w:val="19"/>
                <w:szCs w:val="19"/>
              </w:rPr>
            </w:pPr>
            <w:r>
              <w:rPr>
                <w:spacing w:val="-11"/>
                <w:sz w:val="19"/>
                <w:szCs w:val="19"/>
              </w:rPr>
              <w:t>(2)讲解内容健康、完整、</w:t>
            </w:r>
            <w:r>
              <w:rPr>
                <w:spacing w:val="10"/>
                <w:sz w:val="19"/>
                <w:szCs w:val="19"/>
              </w:rPr>
              <w:t xml:space="preserve"> </w:t>
            </w:r>
            <w:r>
              <w:rPr>
                <w:spacing w:val="-7"/>
                <w:sz w:val="19"/>
                <w:szCs w:val="19"/>
              </w:rPr>
              <w:t>准确，内容与时俱进、主</w:t>
            </w:r>
            <w:r>
              <w:rPr>
                <w:spacing w:val="2"/>
                <w:sz w:val="19"/>
                <w:szCs w:val="19"/>
              </w:rPr>
              <w:t xml:space="preserve">  </w:t>
            </w:r>
            <w:r>
              <w:rPr>
                <w:spacing w:val="-2"/>
                <w:sz w:val="19"/>
                <w:szCs w:val="19"/>
              </w:rPr>
              <w:t>题突出、通俗易懂(70分)</w:t>
            </w:r>
          </w:p>
          <w:p w14:paraId="4D81CB51">
            <w:pPr>
              <w:pStyle w:val="6"/>
              <w:spacing w:before="4" w:line="209" w:lineRule="auto"/>
              <w:ind w:left="18" w:firstLine="67"/>
              <w:rPr>
                <w:sz w:val="19"/>
                <w:szCs w:val="19"/>
              </w:rPr>
            </w:pPr>
            <w:r>
              <w:rPr>
                <w:spacing w:val="-11"/>
                <w:sz w:val="19"/>
                <w:szCs w:val="19"/>
              </w:rPr>
              <w:t>(3)讲解生动，角度新颖，</w:t>
            </w:r>
            <w:r>
              <w:rPr>
                <w:spacing w:val="10"/>
                <w:sz w:val="19"/>
                <w:szCs w:val="19"/>
              </w:rPr>
              <w:t xml:space="preserve"> </w:t>
            </w:r>
            <w:r>
              <w:rPr>
                <w:spacing w:val="-2"/>
                <w:sz w:val="19"/>
                <w:szCs w:val="19"/>
              </w:rPr>
              <w:t>有一定深度(30分)</w:t>
            </w:r>
          </w:p>
          <w:p w14:paraId="138B713F">
            <w:pPr>
              <w:pStyle w:val="6"/>
              <w:spacing w:before="1" w:line="221" w:lineRule="auto"/>
              <w:ind w:left="28" w:right="63" w:firstLine="49"/>
              <w:rPr>
                <w:sz w:val="19"/>
                <w:szCs w:val="19"/>
              </w:rPr>
            </w:pPr>
            <w:r>
              <w:rPr>
                <w:sz w:val="19"/>
                <w:szCs w:val="19"/>
              </w:rPr>
              <w:t>(4)讲解结构清晰、层次</w:t>
            </w:r>
            <w:r>
              <w:rPr>
                <w:spacing w:val="1"/>
                <w:sz w:val="19"/>
                <w:szCs w:val="19"/>
              </w:rPr>
              <w:t xml:space="preserve"> </w:t>
            </w:r>
            <w:r>
              <w:rPr>
                <w:spacing w:val="3"/>
                <w:sz w:val="19"/>
                <w:szCs w:val="19"/>
              </w:rPr>
              <w:t>分明、逻辑性强(40分)</w:t>
            </w:r>
          </w:p>
          <w:p w14:paraId="732EE1CE">
            <w:pPr>
              <w:pStyle w:val="6"/>
              <w:spacing w:before="14" w:line="204" w:lineRule="auto"/>
              <w:ind w:left="18" w:firstLine="89"/>
              <w:rPr>
                <w:sz w:val="19"/>
                <w:szCs w:val="19"/>
              </w:rPr>
            </w:pPr>
            <w:r>
              <w:rPr>
                <w:sz w:val="19"/>
                <w:szCs w:val="19"/>
              </w:rPr>
              <w:t xml:space="preserve">(5)面对突发情况，能迅 </w:t>
            </w:r>
            <w:r>
              <w:rPr>
                <w:spacing w:val="2"/>
                <w:sz w:val="19"/>
                <w:szCs w:val="19"/>
              </w:rPr>
              <w:t>速找到解决办法，考虑周</w:t>
            </w:r>
            <w:r>
              <w:rPr>
                <w:spacing w:val="7"/>
                <w:sz w:val="19"/>
                <w:szCs w:val="19"/>
              </w:rPr>
              <w:t xml:space="preserve"> </w:t>
            </w:r>
            <w:r>
              <w:rPr>
                <w:spacing w:val="-6"/>
                <w:sz w:val="19"/>
                <w:szCs w:val="19"/>
              </w:rPr>
              <w:t>到细致，方法合理有效(20</w:t>
            </w:r>
            <w:r>
              <w:rPr>
                <w:spacing w:val="10"/>
                <w:sz w:val="19"/>
                <w:szCs w:val="19"/>
              </w:rPr>
              <w:t xml:space="preserve"> </w:t>
            </w:r>
            <w:r>
              <w:rPr>
                <w:spacing w:val="-5"/>
                <w:sz w:val="19"/>
                <w:szCs w:val="19"/>
              </w:rPr>
              <w:t>分</w:t>
            </w:r>
            <w:r>
              <w:rPr>
                <w:spacing w:val="-41"/>
                <w:sz w:val="19"/>
                <w:szCs w:val="19"/>
              </w:rPr>
              <w:t xml:space="preserve"> </w:t>
            </w:r>
            <w:r>
              <w:rPr>
                <w:spacing w:val="-5"/>
                <w:sz w:val="19"/>
                <w:szCs w:val="19"/>
              </w:rPr>
              <w:t>)</w:t>
            </w:r>
          </w:p>
          <w:p w14:paraId="0166DD7F">
            <w:pPr>
              <w:pStyle w:val="6"/>
              <w:spacing w:line="216" w:lineRule="auto"/>
              <w:ind w:left="18" w:firstLine="67"/>
              <w:rPr>
                <w:sz w:val="19"/>
                <w:szCs w:val="19"/>
              </w:rPr>
            </w:pPr>
            <w:r>
              <w:rPr>
                <w:spacing w:val="-11"/>
                <w:sz w:val="19"/>
                <w:szCs w:val="19"/>
              </w:rPr>
              <w:t>(6)思维反应灵敏、积极，</w:t>
            </w:r>
            <w:r>
              <w:rPr>
                <w:spacing w:val="10"/>
                <w:sz w:val="19"/>
                <w:szCs w:val="19"/>
              </w:rPr>
              <w:t xml:space="preserve"> </w:t>
            </w:r>
            <w:r>
              <w:rPr>
                <w:spacing w:val="-14"/>
                <w:sz w:val="19"/>
                <w:szCs w:val="19"/>
              </w:rPr>
              <w:t>敏锐把握事件的潜在影响，</w:t>
            </w:r>
            <w:r>
              <w:rPr>
                <w:spacing w:val="7"/>
                <w:sz w:val="19"/>
                <w:szCs w:val="19"/>
              </w:rPr>
              <w:t xml:space="preserve"> </w:t>
            </w:r>
            <w:r>
              <w:rPr>
                <w:spacing w:val="-3"/>
                <w:sz w:val="19"/>
                <w:szCs w:val="19"/>
              </w:rPr>
              <w:t>有序应对突发情况(20分)</w:t>
            </w:r>
          </w:p>
        </w:tc>
      </w:tr>
      <w:tr w14:paraId="07ECC5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31" w:hRule="atLeast"/>
        </w:trPr>
        <w:tc>
          <w:tcPr>
            <w:tcW w:w="904" w:type="dxa"/>
            <w:vAlign w:val="top"/>
          </w:tcPr>
          <w:p w14:paraId="00A0C4AF">
            <w:pPr>
              <w:spacing w:line="241" w:lineRule="auto"/>
              <w:rPr>
                <w:rFonts w:ascii="Arial"/>
                <w:sz w:val="21"/>
              </w:rPr>
            </w:pPr>
          </w:p>
          <w:p w14:paraId="66A290CB">
            <w:pPr>
              <w:spacing w:line="242" w:lineRule="auto"/>
              <w:rPr>
                <w:rFonts w:ascii="Arial"/>
                <w:sz w:val="21"/>
              </w:rPr>
            </w:pPr>
          </w:p>
          <w:p w14:paraId="0D2BFADF">
            <w:pPr>
              <w:spacing w:line="242" w:lineRule="auto"/>
              <w:rPr>
                <w:rFonts w:ascii="Arial"/>
                <w:sz w:val="21"/>
              </w:rPr>
            </w:pPr>
          </w:p>
          <w:p w14:paraId="20C4285C">
            <w:pPr>
              <w:spacing w:line="242" w:lineRule="auto"/>
              <w:rPr>
                <w:rFonts w:ascii="Arial"/>
                <w:sz w:val="21"/>
              </w:rPr>
            </w:pPr>
          </w:p>
          <w:p w14:paraId="4C4C54A0">
            <w:pPr>
              <w:spacing w:line="242" w:lineRule="auto"/>
              <w:rPr>
                <w:rFonts w:ascii="Arial"/>
                <w:sz w:val="21"/>
              </w:rPr>
            </w:pPr>
          </w:p>
          <w:p w14:paraId="0DD12D0D">
            <w:pPr>
              <w:spacing w:line="242" w:lineRule="auto"/>
              <w:rPr>
                <w:rFonts w:ascii="Arial"/>
                <w:sz w:val="21"/>
              </w:rPr>
            </w:pPr>
          </w:p>
          <w:p w14:paraId="59FF882F">
            <w:pPr>
              <w:spacing w:line="242" w:lineRule="auto"/>
              <w:rPr>
                <w:rFonts w:ascii="Arial"/>
                <w:sz w:val="21"/>
              </w:rPr>
            </w:pPr>
          </w:p>
          <w:p w14:paraId="45B1FED7">
            <w:pPr>
              <w:spacing w:line="242" w:lineRule="auto"/>
              <w:rPr>
                <w:rFonts w:ascii="Arial"/>
                <w:sz w:val="21"/>
              </w:rPr>
            </w:pPr>
          </w:p>
          <w:p w14:paraId="0F8483C5">
            <w:pPr>
              <w:spacing w:line="242" w:lineRule="auto"/>
              <w:rPr>
                <w:rFonts w:ascii="Arial"/>
                <w:sz w:val="21"/>
              </w:rPr>
            </w:pPr>
          </w:p>
          <w:p w14:paraId="6D3C9799">
            <w:pPr>
              <w:pStyle w:val="6"/>
              <w:spacing w:before="62" w:line="209" w:lineRule="auto"/>
              <w:ind w:left="65" w:right="23" w:firstLine="39"/>
              <w:jc w:val="both"/>
              <w:rPr>
                <w:sz w:val="19"/>
                <w:szCs w:val="19"/>
              </w:rPr>
            </w:pPr>
            <w:r>
              <w:rPr>
                <w:spacing w:val="1"/>
                <w:sz w:val="19"/>
                <w:szCs w:val="19"/>
              </w:rPr>
              <w:t>项目九：</w:t>
            </w:r>
            <w:r>
              <w:rPr>
                <w:sz w:val="19"/>
                <w:szCs w:val="19"/>
              </w:rPr>
              <w:t xml:space="preserve"> </w:t>
            </w:r>
            <w:r>
              <w:rPr>
                <w:spacing w:val="2"/>
                <w:sz w:val="19"/>
                <w:szCs w:val="19"/>
              </w:rPr>
              <w:t>中式烹饪</w:t>
            </w:r>
            <w:r>
              <w:rPr>
                <w:sz w:val="19"/>
                <w:szCs w:val="19"/>
              </w:rPr>
              <w:t xml:space="preserve"> </w:t>
            </w:r>
            <w:r>
              <w:rPr>
                <w:spacing w:val="34"/>
                <w:sz w:val="19"/>
                <w:szCs w:val="19"/>
              </w:rPr>
              <w:t>基本功</w:t>
            </w:r>
          </w:p>
        </w:tc>
        <w:tc>
          <w:tcPr>
            <w:tcW w:w="829" w:type="dxa"/>
            <w:vAlign w:val="top"/>
          </w:tcPr>
          <w:p w14:paraId="733A5070">
            <w:pPr>
              <w:spacing w:line="285" w:lineRule="auto"/>
              <w:rPr>
                <w:rFonts w:ascii="Arial"/>
                <w:sz w:val="21"/>
              </w:rPr>
            </w:pPr>
          </w:p>
          <w:p w14:paraId="6E18C530">
            <w:pPr>
              <w:spacing w:line="285" w:lineRule="auto"/>
              <w:rPr>
                <w:rFonts w:ascii="Arial"/>
                <w:sz w:val="21"/>
              </w:rPr>
            </w:pPr>
          </w:p>
          <w:p w14:paraId="731AA1D5">
            <w:pPr>
              <w:spacing w:line="285" w:lineRule="auto"/>
              <w:rPr>
                <w:rFonts w:ascii="Arial"/>
                <w:sz w:val="21"/>
              </w:rPr>
            </w:pPr>
          </w:p>
          <w:p w14:paraId="78F3211F">
            <w:pPr>
              <w:pStyle w:val="6"/>
              <w:spacing w:before="61" w:line="213" w:lineRule="auto"/>
              <w:ind w:left="121" w:right="86" w:firstLine="89"/>
              <w:rPr>
                <w:sz w:val="19"/>
                <w:szCs w:val="19"/>
              </w:rPr>
            </w:pPr>
            <w:r>
              <w:rPr>
                <w:spacing w:val="8"/>
                <w:sz w:val="19"/>
                <w:szCs w:val="19"/>
              </w:rPr>
              <w:t>菜刀</w:t>
            </w:r>
            <w:r>
              <w:rPr>
                <w:sz w:val="19"/>
                <w:szCs w:val="19"/>
              </w:rPr>
              <w:t xml:space="preserve">  </w:t>
            </w:r>
            <w:r>
              <w:rPr>
                <w:spacing w:val="21"/>
                <w:sz w:val="19"/>
                <w:szCs w:val="19"/>
              </w:rPr>
              <w:t>(1把)</w:t>
            </w:r>
            <w:r>
              <w:rPr>
                <w:spacing w:val="1"/>
                <w:sz w:val="19"/>
                <w:szCs w:val="19"/>
              </w:rPr>
              <w:t xml:space="preserve"> </w:t>
            </w:r>
            <w:r>
              <w:rPr>
                <w:spacing w:val="41"/>
                <w:sz w:val="19"/>
                <w:szCs w:val="19"/>
              </w:rPr>
              <w:t>砧板</w:t>
            </w:r>
            <w:r>
              <w:rPr>
                <w:sz w:val="19"/>
                <w:szCs w:val="19"/>
              </w:rPr>
              <w:t xml:space="preserve">  </w:t>
            </w:r>
            <w:r>
              <w:rPr>
                <w:spacing w:val="21"/>
                <w:sz w:val="19"/>
                <w:szCs w:val="19"/>
              </w:rPr>
              <w:t>(1个)</w:t>
            </w:r>
            <w:r>
              <w:rPr>
                <w:spacing w:val="1"/>
                <w:sz w:val="19"/>
                <w:szCs w:val="19"/>
              </w:rPr>
              <w:t xml:space="preserve"> </w:t>
            </w:r>
            <w:r>
              <w:rPr>
                <w:spacing w:val="41"/>
                <w:sz w:val="19"/>
                <w:szCs w:val="19"/>
              </w:rPr>
              <w:t>炒锅</w:t>
            </w:r>
            <w:r>
              <w:rPr>
                <w:sz w:val="19"/>
                <w:szCs w:val="19"/>
              </w:rPr>
              <w:t xml:space="preserve">  </w:t>
            </w:r>
            <w:r>
              <w:rPr>
                <w:spacing w:val="21"/>
                <w:sz w:val="19"/>
                <w:szCs w:val="19"/>
              </w:rPr>
              <w:t>(1个)</w:t>
            </w:r>
            <w:r>
              <w:rPr>
                <w:spacing w:val="1"/>
                <w:sz w:val="19"/>
                <w:szCs w:val="19"/>
              </w:rPr>
              <w:t xml:space="preserve"> </w:t>
            </w:r>
            <w:r>
              <w:rPr>
                <w:spacing w:val="4"/>
                <w:sz w:val="19"/>
                <w:szCs w:val="19"/>
              </w:rPr>
              <w:t>垃圾桶</w:t>
            </w:r>
            <w:r>
              <w:rPr>
                <w:spacing w:val="1"/>
                <w:sz w:val="19"/>
                <w:szCs w:val="19"/>
              </w:rPr>
              <w:t xml:space="preserve"> </w:t>
            </w:r>
            <w:r>
              <w:rPr>
                <w:spacing w:val="21"/>
                <w:sz w:val="19"/>
                <w:szCs w:val="19"/>
              </w:rPr>
              <w:t>(1个)</w:t>
            </w:r>
            <w:r>
              <w:rPr>
                <w:spacing w:val="1"/>
                <w:sz w:val="19"/>
                <w:szCs w:val="19"/>
              </w:rPr>
              <w:t xml:space="preserve"> </w:t>
            </w:r>
            <w:r>
              <w:rPr>
                <w:spacing w:val="41"/>
                <w:sz w:val="19"/>
                <w:szCs w:val="19"/>
              </w:rPr>
              <w:t>盘子</w:t>
            </w:r>
            <w:r>
              <w:rPr>
                <w:sz w:val="19"/>
                <w:szCs w:val="19"/>
              </w:rPr>
              <w:t xml:space="preserve">  </w:t>
            </w:r>
            <w:r>
              <w:rPr>
                <w:spacing w:val="10"/>
                <w:sz w:val="19"/>
                <w:szCs w:val="19"/>
              </w:rPr>
              <w:t>(若干)</w:t>
            </w:r>
          </w:p>
          <w:p w14:paraId="3F494406">
            <w:pPr>
              <w:pStyle w:val="6"/>
              <w:spacing w:line="213" w:lineRule="auto"/>
              <w:ind w:left="21" w:right="26" w:firstLine="49"/>
              <w:rPr>
                <w:sz w:val="19"/>
                <w:szCs w:val="19"/>
              </w:rPr>
            </w:pPr>
            <w:r>
              <w:rPr>
                <w:spacing w:val="1"/>
                <w:sz w:val="19"/>
                <w:szCs w:val="19"/>
              </w:rPr>
              <w:t>(所有工</w:t>
            </w:r>
            <w:r>
              <w:rPr>
                <w:sz w:val="19"/>
                <w:szCs w:val="19"/>
              </w:rPr>
              <w:t xml:space="preserve"> </w:t>
            </w:r>
            <w:r>
              <w:rPr>
                <w:spacing w:val="2"/>
                <w:sz w:val="19"/>
                <w:szCs w:val="19"/>
              </w:rPr>
              <w:t>具由承办</w:t>
            </w:r>
          </w:p>
          <w:p w14:paraId="0A98FC3B">
            <w:pPr>
              <w:pStyle w:val="6"/>
              <w:spacing w:line="218" w:lineRule="auto"/>
              <w:jc w:val="right"/>
              <w:rPr>
                <w:sz w:val="19"/>
                <w:szCs w:val="19"/>
              </w:rPr>
            </w:pPr>
            <w:r>
              <w:rPr>
                <w:spacing w:val="-4"/>
                <w:sz w:val="19"/>
                <w:szCs w:val="19"/>
              </w:rPr>
              <w:t>方提供，</w:t>
            </w:r>
          </w:p>
          <w:p w14:paraId="1DEA2AF8">
            <w:pPr>
              <w:pStyle w:val="6"/>
              <w:spacing w:before="15" w:line="196" w:lineRule="auto"/>
              <w:ind w:left="121"/>
              <w:rPr>
                <w:sz w:val="19"/>
                <w:szCs w:val="19"/>
              </w:rPr>
            </w:pPr>
            <w:r>
              <w:rPr>
                <w:spacing w:val="5"/>
                <w:sz w:val="19"/>
                <w:szCs w:val="19"/>
              </w:rPr>
              <w:t>用后归</w:t>
            </w:r>
          </w:p>
          <w:p w14:paraId="2A7B3D76">
            <w:pPr>
              <w:pStyle w:val="6"/>
              <w:spacing w:before="1" w:line="220" w:lineRule="auto"/>
              <w:ind w:left="261"/>
              <w:rPr>
                <w:sz w:val="19"/>
                <w:szCs w:val="19"/>
              </w:rPr>
            </w:pPr>
            <w:r>
              <w:rPr>
                <w:spacing w:val="-4"/>
                <w:sz w:val="19"/>
                <w:szCs w:val="19"/>
              </w:rPr>
              <w:t>位</w:t>
            </w:r>
            <w:r>
              <w:rPr>
                <w:spacing w:val="-43"/>
                <w:sz w:val="19"/>
                <w:szCs w:val="19"/>
              </w:rPr>
              <w:t xml:space="preserve"> </w:t>
            </w:r>
            <w:r>
              <w:rPr>
                <w:spacing w:val="-4"/>
                <w:sz w:val="19"/>
                <w:szCs w:val="19"/>
              </w:rPr>
              <w:t>)</w:t>
            </w:r>
          </w:p>
        </w:tc>
        <w:tc>
          <w:tcPr>
            <w:tcW w:w="1328" w:type="dxa"/>
            <w:vAlign w:val="top"/>
          </w:tcPr>
          <w:p w14:paraId="6B1F83B8">
            <w:pPr>
              <w:spacing w:line="245" w:lineRule="auto"/>
              <w:rPr>
                <w:rFonts w:ascii="Arial"/>
                <w:sz w:val="21"/>
              </w:rPr>
            </w:pPr>
          </w:p>
          <w:p w14:paraId="3F11727E">
            <w:pPr>
              <w:spacing w:line="245" w:lineRule="auto"/>
              <w:rPr>
                <w:rFonts w:ascii="Arial"/>
                <w:sz w:val="21"/>
              </w:rPr>
            </w:pPr>
          </w:p>
          <w:p w14:paraId="65708F64">
            <w:pPr>
              <w:spacing w:line="245" w:lineRule="auto"/>
              <w:rPr>
                <w:rFonts w:ascii="Arial"/>
                <w:sz w:val="21"/>
              </w:rPr>
            </w:pPr>
          </w:p>
          <w:p w14:paraId="1CAD5D7F">
            <w:pPr>
              <w:spacing w:line="245" w:lineRule="auto"/>
              <w:rPr>
                <w:rFonts w:ascii="Arial"/>
                <w:sz w:val="21"/>
              </w:rPr>
            </w:pPr>
          </w:p>
          <w:p w14:paraId="35252A56">
            <w:pPr>
              <w:spacing w:line="245" w:lineRule="auto"/>
              <w:rPr>
                <w:rFonts w:ascii="Arial"/>
                <w:sz w:val="21"/>
              </w:rPr>
            </w:pPr>
          </w:p>
          <w:p w14:paraId="10991FE4">
            <w:pPr>
              <w:spacing w:line="245" w:lineRule="auto"/>
              <w:rPr>
                <w:rFonts w:ascii="Arial"/>
                <w:sz w:val="21"/>
              </w:rPr>
            </w:pPr>
          </w:p>
          <w:p w14:paraId="2F07F617">
            <w:pPr>
              <w:spacing w:line="245" w:lineRule="auto"/>
              <w:rPr>
                <w:rFonts w:ascii="Arial"/>
                <w:sz w:val="21"/>
              </w:rPr>
            </w:pPr>
          </w:p>
          <w:p w14:paraId="744F983C">
            <w:pPr>
              <w:spacing w:line="246" w:lineRule="auto"/>
              <w:rPr>
                <w:rFonts w:ascii="Arial"/>
                <w:sz w:val="21"/>
              </w:rPr>
            </w:pPr>
          </w:p>
          <w:p w14:paraId="0B374BD4">
            <w:pPr>
              <w:pStyle w:val="6"/>
              <w:spacing w:before="61" w:line="210" w:lineRule="auto"/>
              <w:ind w:left="12"/>
              <w:jc w:val="both"/>
              <w:rPr>
                <w:sz w:val="19"/>
                <w:szCs w:val="19"/>
              </w:rPr>
            </w:pPr>
            <w:r>
              <w:rPr>
                <w:spacing w:val="-4"/>
                <w:sz w:val="19"/>
                <w:szCs w:val="19"/>
              </w:rPr>
              <w:t>从“姜丝、蓑衣</w:t>
            </w:r>
            <w:r>
              <w:rPr>
                <w:spacing w:val="2"/>
                <w:sz w:val="19"/>
                <w:szCs w:val="19"/>
              </w:rPr>
              <w:t xml:space="preserve"> </w:t>
            </w:r>
            <w:r>
              <w:rPr>
                <w:spacing w:val="3"/>
                <w:sz w:val="19"/>
                <w:szCs w:val="19"/>
              </w:rPr>
              <w:t>花刀"二个刀工</w:t>
            </w:r>
            <w:r>
              <w:rPr>
                <w:sz w:val="19"/>
                <w:szCs w:val="19"/>
              </w:rPr>
              <w:t xml:space="preserve"> </w:t>
            </w:r>
            <w:r>
              <w:rPr>
                <w:spacing w:val="-4"/>
                <w:sz w:val="19"/>
                <w:szCs w:val="19"/>
              </w:rPr>
              <w:t>项目中随机抽取</w:t>
            </w:r>
            <w:r>
              <w:rPr>
                <w:spacing w:val="2"/>
                <w:sz w:val="19"/>
                <w:szCs w:val="19"/>
              </w:rPr>
              <w:t xml:space="preserve"> </w:t>
            </w:r>
            <w:r>
              <w:rPr>
                <w:spacing w:val="6"/>
                <w:sz w:val="19"/>
                <w:szCs w:val="19"/>
              </w:rPr>
              <w:t>一个项目</w:t>
            </w:r>
          </w:p>
        </w:tc>
        <w:tc>
          <w:tcPr>
            <w:tcW w:w="879" w:type="dxa"/>
            <w:vAlign w:val="top"/>
          </w:tcPr>
          <w:p w14:paraId="7B17403D">
            <w:pPr>
              <w:spacing w:line="252" w:lineRule="auto"/>
              <w:rPr>
                <w:rFonts w:ascii="Arial"/>
                <w:sz w:val="21"/>
              </w:rPr>
            </w:pPr>
          </w:p>
          <w:p w14:paraId="69FC1ABC">
            <w:pPr>
              <w:spacing w:line="252" w:lineRule="auto"/>
              <w:rPr>
                <w:rFonts w:ascii="Arial"/>
                <w:sz w:val="21"/>
              </w:rPr>
            </w:pPr>
          </w:p>
          <w:p w14:paraId="075D59E0">
            <w:pPr>
              <w:spacing w:line="252" w:lineRule="auto"/>
              <w:rPr>
                <w:rFonts w:ascii="Arial"/>
                <w:sz w:val="21"/>
              </w:rPr>
            </w:pPr>
          </w:p>
          <w:p w14:paraId="3F92B13A">
            <w:pPr>
              <w:spacing w:line="252" w:lineRule="auto"/>
              <w:rPr>
                <w:rFonts w:ascii="Arial"/>
                <w:sz w:val="21"/>
              </w:rPr>
            </w:pPr>
          </w:p>
          <w:p w14:paraId="368244D1">
            <w:pPr>
              <w:spacing w:line="252" w:lineRule="auto"/>
              <w:rPr>
                <w:rFonts w:ascii="Arial"/>
                <w:sz w:val="21"/>
              </w:rPr>
            </w:pPr>
          </w:p>
          <w:p w14:paraId="72727D02">
            <w:pPr>
              <w:spacing w:line="252" w:lineRule="auto"/>
              <w:rPr>
                <w:rFonts w:ascii="Arial"/>
                <w:sz w:val="21"/>
              </w:rPr>
            </w:pPr>
          </w:p>
          <w:p w14:paraId="033ADAD4">
            <w:pPr>
              <w:spacing w:line="252" w:lineRule="auto"/>
              <w:rPr>
                <w:rFonts w:ascii="Arial"/>
                <w:sz w:val="21"/>
              </w:rPr>
            </w:pPr>
          </w:p>
          <w:p w14:paraId="0487FBB6">
            <w:pPr>
              <w:spacing w:line="252" w:lineRule="auto"/>
              <w:rPr>
                <w:rFonts w:ascii="Arial"/>
                <w:sz w:val="21"/>
              </w:rPr>
            </w:pPr>
          </w:p>
          <w:p w14:paraId="03B1A959">
            <w:pPr>
              <w:spacing w:line="252" w:lineRule="auto"/>
              <w:rPr>
                <w:rFonts w:ascii="Arial"/>
                <w:sz w:val="21"/>
              </w:rPr>
            </w:pPr>
          </w:p>
          <w:p w14:paraId="01C88F1A">
            <w:pPr>
              <w:pStyle w:val="6"/>
              <w:spacing w:before="62" w:line="221" w:lineRule="auto"/>
              <w:ind w:left="243" w:right="42" w:hanging="189"/>
              <w:rPr>
                <w:sz w:val="19"/>
                <w:szCs w:val="19"/>
              </w:rPr>
            </w:pPr>
            <w:r>
              <w:rPr>
                <w:spacing w:val="3"/>
                <w:sz w:val="19"/>
                <w:szCs w:val="19"/>
              </w:rPr>
              <w:t>现场操作</w:t>
            </w:r>
            <w:r>
              <w:rPr>
                <w:sz w:val="19"/>
                <w:szCs w:val="19"/>
              </w:rPr>
              <w:t xml:space="preserve"> </w:t>
            </w:r>
            <w:r>
              <w:rPr>
                <w:spacing w:val="-2"/>
                <w:sz w:val="19"/>
                <w:szCs w:val="19"/>
              </w:rPr>
              <w:t>考试</w:t>
            </w:r>
          </w:p>
        </w:tc>
        <w:tc>
          <w:tcPr>
            <w:tcW w:w="2637" w:type="dxa"/>
            <w:vAlign w:val="top"/>
          </w:tcPr>
          <w:p w14:paraId="3F45CC78">
            <w:pPr>
              <w:spacing w:line="276" w:lineRule="auto"/>
              <w:rPr>
                <w:rFonts w:ascii="Arial"/>
                <w:sz w:val="21"/>
              </w:rPr>
            </w:pPr>
          </w:p>
          <w:p w14:paraId="068F3952">
            <w:pPr>
              <w:spacing w:line="277" w:lineRule="auto"/>
              <w:rPr>
                <w:rFonts w:ascii="Arial"/>
                <w:sz w:val="21"/>
              </w:rPr>
            </w:pPr>
          </w:p>
          <w:p w14:paraId="1012DFF1">
            <w:pPr>
              <w:spacing w:line="277" w:lineRule="auto"/>
              <w:rPr>
                <w:rFonts w:ascii="Arial"/>
                <w:sz w:val="21"/>
              </w:rPr>
            </w:pPr>
          </w:p>
          <w:p w14:paraId="17DA4E1B">
            <w:pPr>
              <w:spacing w:line="277" w:lineRule="auto"/>
              <w:rPr>
                <w:rFonts w:ascii="Arial"/>
                <w:sz w:val="21"/>
              </w:rPr>
            </w:pPr>
          </w:p>
          <w:p w14:paraId="24D2D005">
            <w:pPr>
              <w:spacing w:line="277" w:lineRule="auto"/>
              <w:rPr>
                <w:rFonts w:ascii="Arial"/>
                <w:sz w:val="21"/>
              </w:rPr>
            </w:pPr>
          </w:p>
          <w:p w14:paraId="4FBDA00C">
            <w:pPr>
              <w:pStyle w:val="6"/>
              <w:spacing w:before="61" w:line="220" w:lineRule="auto"/>
              <w:ind w:left="15"/>
              <w:rPr>
                <w:sz w:val="19"/>
                <w:szCs w:val="19"/>
              </w:rPr>
            </w:pPr>
            <w:r>
              <w:rPr>
                <w:spacing w:val="-2"/>
                <w:sz w:val="19"/>
                <w:szCs w:val="19"/>
              </w:rPr>
              <w:t>质量标准</w:t>
            </w:r>
          </w:p>
          <w:p w14:paraId="16C3CDD4">
            <w:pPr>
              <w:pStyle w:val="6"/>
              <w:spacing w:before="12" w:line="214" w:lineRule="auto"/>
              <w:ind w:left="65"/>
              <w:rPr>
                <w:sz w:val="19"/>
                <w:szCs w:val="19"/>
              </w:rPr>
            </w:pPr>
            <w:r>
              <w:rPr>
                <w:spacing w:val="-13"/>
                <w:sz w:val="19"/>
                <w:szCs w:val="19"/>
              </w:rPr>
              <w:t>(1)姜丝：细如棉线，粗细均匀。</w:t>
            </w:r>
            <w:r>
              <w:rPr>
                <w:spacing w:val="13"/>
                <w:sz w:val="19"/>
                <w:szCs w:val="19"/>
              </w:rPr>
              <w:t xml:space="preserve"> </w:t>
            </w:r>
            <w:r>
              <w:rPr>
                <w:spacing w:val="-6"/>
                <w:sz w:val="19"/>
                <w:szCs w:val="19"/>
              </w:rPr>
              <w:t>(2)蓑衣花刀：刀工均匀，成</w:t>
            </w:r>
          </w:p>
          <w:p w14:paraId="6E6732F3">
            <w:pPr>
              <w:pStyle w:val="6"/>
              <w:spacing w:line="219" w:lineRule="auto"/>
              <w:ind w:left="15"/>
              <w:rPr>
                <w:sz w:val="19"/>
                <w:szCs w:val="19"/>
              </w:rPr>
            </w:pPr>
            <w:r>
              <w:rPr>
                <w:sz w:val="19"/>
                <w:szCs w:val="19"/>
              </w:rPr>
              <w:t>品完成后可以拉伸一倍以上。</w:t>
            </w:r>
          </w:p>
          <w:p w14:paraId="2DE5EFA7">
            <w:pPr>
              <w:pStyle w:val="6"/>
              <w:spacing w:before="3" w:line="213" w:lineRule="auto"/>
              <w:ind w:left="15"/>
              <w:rPr>
                <w:sz w:val="19"/>
                <w:szCs w:val="19"/>
              </w:rPr>
            </w:pPr>
            <w:r>
              <w:rPr>
                <w:spacing w:val="-15"/>
                <w:sz w:val="19"/>
                <w:szCs w:val="19"/>
              </w:rPr>
              <w:t>2.操作时间：切配时间为15分钟。</w:t>
            </w:r>
            <w:r>
              <w:rPr>
                <w:spacing w:val="15"/>
                <w:sz w:val="19"/>
                <w:szCs w:val="19"/>
              </w:rPr>
              <w:t xml:space="preserve"> </w:t>
            </w:r>
            <w:r>
              <w:rPr>
                <w:spacing w:val="-9"/>
                <w:sz w:val="19"/>
                <w:szCs w:val="19"/>
              </w:rPr>
              <w:t>3.考生自行准备烹饪工作服、工</w:t>
            </w:r>
            <w:r>
              <w:rPr>
                <w:spacing w:val="2"/>
                <w:sz w:val="19"/>
                <w:szCs w:val="19"/>
              </w:rPr>
              <w:t xml:space="preserve">  </w:t>
            </w:r>
            <w:r>
              <w:rPr>
                <w:spacing w:val="-10"/>
                <w:sz w:val="19"/>
                <w:szCs w:val="19"/>
              </w:rPr>
              <w:t>作帽、围裙和领巾，并在考核过</w:t>
            </w:r>
            <w:r>
              <w:rPr>
                <w:spacing w:val="3"/>
                <w:sz w:val="19"/>
                <w:szCs w:val="19"/>
              </w:rPr>
              <w:t xml:space="preserve">  </w:t>
            </w:r>
            <w:r>
              <w:rPr>
                <w:spacing w:val="-6"/>
                <w:sz w:val="19"/>
                <w:szCs w:val="19"/>
              </w:rPr>
              <w:t>程中穿戴整齐，否则扣10分。</w:t>
            </w:r>
          </w:p>
          <w:p w14:paraId="632918B4">
            <w:pPr>
              <w:pStyle w:val="6"/>
              <w:spacing w:before="13" w:line="208" w:lineRule="auto"/>
              <w:ind w:left="15"/>
              <w:rPr>
                <w:sz w:val="19"/>
                <w:szCs w:val="19"/>
              </w:rPr>
            </w:pPr>
            <w:r>
              <w:rPr>
                <w:spacing w:val="-4"/>
                <w:sz w:val="19"/>
                <w:szCs w:val="19"/>
              </w:rPr>
              <w:t>4.操作完毕，做到抹布干净，台</w:t>
            </w:r>
            <w:r>
              <w:rPr>
                <w:spacing w:val="10"/>
                <w:sz w:val="19"/>
                <w:szCs w:val="19"/>
              </w:rPr>
              <w:t xml:space="preserve"> </w:t>
            </w:r>
            <w:r>
              <w:rPr>
                <w:spacing w:val="-1"/>
                <w:sz w:val="19"/>
                <w:szCs w:val="19"/>
              </w:rPr>
              <w:t>面清洁，否则扣10分。</w:t>
            </w:r>
          </w:p>
        </w:tc>
        <w:tc>
          <w:tcPr>
            <w:tcW w:w="2149" w:type="dxa"/>
            <w:vAlign w:val="top"/>
          </w:tcPr>
          <w:p w14:paraId="04F2E947">
            <w:pPr>
              <w:spacing w:line="315" w:lineRule="auto"/>
              <w:rPr>
                <w:rFonts w:ascii="Arial"/>
                <w:sz w:val="21"/>
              </w:rPr>
            </w:pPr>
          </w:p>
          <w:p w14:paraId="2AB5BDA8">
            <w:pPr>
              <w:spacing w:line="315" w:lineRule="auto"/>
              <w:rPr>
                <w:rFonts w:ascii="Arial"/>
                <w:sz w:val="21"/>
              </w:rPr>
            </w:pPr>
          </w:p>
          <w:p w14:paraId="325040EB">
            <w:pPr>
              <w:spacing w:line="316" w:lineRule="auto"/>
              <w:rPr>
                <w:rFonts w:ascii="Arial"/>
                <w:sz w:val="21"/>
              </w:rPr>
            </w:pPr>
          </w:p>
          <w:p w14:paraId="0E52F504">
            <w:pPr>
              <w:pStyle w:val="6"/>
              <w:spacing w:before="61" w:line="219" w:lineRule="auto"/>
              <w:ind w:left="18" w:right="959" w:firstLine="80"/>
              <w:rPr>
                <w:sz w:val="19"/>
                <w:szCs w:val="19"/>
              </w:rPr>
            </w:pPr>
            <w:r>
              <w:rPr>
                <w:spacing w:val="4"/>
                <w:sz w:val="19"/>
                <w:szCs w:val="19"/>
              </w:rPr>
              <w:t>(满分100分)</w:t>
            </w:r>
            <w:r>
              <w:rPr>
                <w:spacing w:val="3"/>
                <w:sz w:val="19"/>
                <w:szCs w:val="19"/>
              </w:rPr>
              <w:t xml:space="preserve"> </w:t>
            </w:r>
            <w:r>
              <w:rPr>
                <w:spacing w:val="2"/>
                <w:sz w:val="19"/>
                <w:szCs w:val="19"/>
              </w:rPr>
              <w:t>1.姜丝</w:t>
            </w:r>
          </w:p>
          <w:p w14:paraId="4D6218E0">
            <w:pPr>
              <w:pStyle w:val="6"/>
              <w:spacing w:before="2" w:line="215" w:lineRule="auto"/>
              <w:ind w:left="18"/>
              <w:rPr>
                <w:sz w:val="19"/>
                <w:szCs w:val="19"/>
              </w:rPr>
            </w:pPr>
            <w:r>
              <w:rPr>
                <w:spacing w:val="-3"/>
                <w:sz w:val="19"/>
                <w:szCs w:val="19"/>
              </w:rPr>
              <w:t>技法熟练、准确(40分)</w:t>
            </w:r>
            <w:r>
              <w:rPr>
                <w:sz w:val="19"/>
                <w:szCs w:val="19"/>
              </w:rPr>
              <w:t xml:space="preserve">   </w:t>
            </w:r>
            <w:r>
              <w:rPr>
                <w:spacing w:val="-14"/>
                <w:sz w:val="19"/>
                <w:szCs w:val="19"/>
              </w:rPr>
              <w:t>刀工精细，姜丝细如棉线，</w:t>
            </w:r>
            <w:r>
              <w:rPr>
                <w:spacing w:val="7"/>
                <w:sz w:val="19"/>
                <w:szCs w:val="19"/>
              </w:rPr>
              <w:t xml:space="preserve"> </w:t>
            </w:r>
            <w:r>
              <w:rPr>
                <w:spacing w:val="-2"/>
                <w:sz w:val="19"/>
                <w:szCs w:val="19"/>
              </w:rPr>
              <w:t>粗细均匀(40分)</w:t>
            </w:r>
          </w:p>
          <w:p w14:paraId="25C0FA52">
            <w:pPr>
              <w:pStyle w:val="6"/>
              <w:spacing w:before="3" w:line="212" w:lineRule="auto"/>
              <w:ind w:left="38" w:right="1"/>
              <w:rPr>
                <w:sz w:val="19"/>
                <w:szCs w:val="19"/>
              </w:rPr>
            </w:pPr>
            <w:r>
              <w:rPr>
                <w:spacing w:val="-7"/>
                <w:sz w:val="19"/>
                <w:szCs w:val="19"/>
              </w:rPr>
              <w:t>卫生及安全性处理得当(20</w:t>
            </w:r>
            <w:r>
              <w:rPr>
                <w:spacing w:val="4"/>
                <w:sz w:val="19"/>
                <w:szCs w:val="19"/>
              </w:rPr>
              <w:t xml:space="preserve"> </w:t>
            </w:r>
            <w:r>
              <w:rPr>
                <w:spacing w:val="-5"/>
                <w:sz w:val="19"/>
                <w:szCs w:val="19"/>
              </w:rPr>
              <w:t>分</w:t>
            </w:r>
            <w:r>
              <w:rPr>
                <w:spacing w:val="-41"/>
                <w:sz w:val="19"/>
                <w:szCs w:val="19"/>
              </w:rPr>
              <w:t xml:space="preserve"> </w:t>
            </w:r>
            <w:r>
              <w:rPr>
                <w:spacing w:val="-5"/>
                <w:sz w:val="19"/>
                <w:szCs w:val="19"/>
              </w:rPr>
              <w:t>)</w:t>
            </w:r>
          </w:p>
          <w:p w14:paraId="383A2AB5">
            <w:pPr>
              <w:pStyle w:val="6"/>
              <w:spacing w:before="4" w:line="194" w:lineRule="auto"/>
              <w:ind w:left="28"/>
              <w:rPr>
                <w:sz w:val="19"/>
                <w:szCs w:val="19"/>
              </w:rPr>
            </w:pPr>
            <w:r>
              <w:rPr>
                <w:spacing w:val="2"/>
                <w:sz w:val="19"/>
                <w:szCs w:val="19"/>
              </w:rPr>
              <w:t>2.蓑衣花刀</w:t>
            </w:r>
          </w:p>
          <w:p w14:paraId="0C8BCE44">
            <w:pPr>
              <w:pStyle w:val="6"/>
              <w:spacing w:before="1" w:line="222" w:lineRule="auto"/>
              <w:ind w:left="18" w:right="141" w:firstLine="70"/>
              <w:rPr>
                <w:sz w:val="19"/>
                <w:szCs w:val="19"/>
              </w:rPr>
            </w:pPr>
            <w:r>
              <w:rPr>
                <w:sz w:val="19"/>
                <w:szCs w:val="19"/>
              </w:rPr>
              <w:t>(1)技法熟练、准确(40</w:t>
            </w:r>
            <w:r>
              <w:rPr>
                <w:spacing w:val="8"/>
                <w:sz w:val="19"/>
                <w:szCs w:val="19"/>
              </w:rPr>
              <w:t xml:space="preserve"> </w:t>
            </w:r>
            <w:r>
              <w:rPr>
                <w:spacing w:val="-5"/>
                <w:sz w:val="19"/>
                <w:szCs w:val="19"/>
              </w:rPr>
              <w:t>分</w:t>
            </w:r>
            <w:r>
              <w:rPr>
                <w:spacing w:val="-41"/>
                <w:sz w:val="19"/>
                <w:szCs w:val="19"/>
              </w:rPr>
              <w:t xml:space="preserve"> </w:t>
            </w:r>
            <w:r>
              <w:rPr>
                <w:spacing w:val="-5"/>
                <w:sz w:val="19"/>
                <w:szCs w:val="19"/>
              </w:rPr>
              <w:t>)</w:t>
            </w:r>
          </w:p>
          <w:p w14:paraId="5ECCF1CA">
            <w:pPr>
              <w:pStyle w:val="6"/>
              <w:spacing w:before="2" w:line="207" w:lineRule="auto"/>
              <w:ind w:left="88" w:right="42"/>
              <w:rPr>
                <w:sz w:val="19"/>
                <w:szCs w:val="19"/>
              </w:rPr>
            </w:pPr>
            <w:r>
              <w:rPr>
                <w:spacing w:val="1"/>
                <w:sz w:val="19"/>
                <w:szCs w:val="19"/>
              </w:rPr>
              <w:t>(2)刀工精细，间隔均匀</w:t>
            </w:r>
            <w:r>
              <w:rPr>
                <w:sz w:val="19"/>
                <w:szCs w:val="19"/>
              </w:rPr>
              <w:t xml:space="preserve"> </w:t>
            </w:r>
            <w:r>
              <w:rPr>
                <w:spacing w:val="8"/>
                <w:sz w:val="19"/>
                <w:szCs w:val="19"/>
              </w:rPr>
              <w:t>(40分)</w:t>
            </w:r>
          </w:p>
          <w:p w14:paraId="7928F654">
            <w:pPr>
              <w:pStyle w:val="6"/>
              <w:spacing w:before="13" w:line="222" w:lineRule="auto"/>
              <w:ind w:left="58" w:right="43" w:firstLine="40"/>
              <w:rPr>
                <w:sz w:val="19"/>
                <w:szCs w:val="19"/>
              </w:rPr>
            </w:pPr>
            <w:r>
              <w:rPr>
                <w:sz w:val="19"/>
                <w:szCs w:val="19"/>
              </w:rPr>
              <w:t>(3)卫生及安全性处理得</w:t>
            </w:r>
            <w:r>
              <w:rPr>
                <w:spacing w:val="1"/>
                <w:sz w:val="19"/>
                <w:szCs w:val="19"/>
              </w:rPr>
              <w:t xml:space="preserve"> </w:t>
            </w:r>
            <w:r>
              <w:rPr>
                <w:spacing w:val="6"/>
                <w:sz w:val="19"/>
                <w:szCs w:val="19"/>
              </w:rPr>
              <w:t>当(20分)</w:t>
            </w:r>
          </w:p>
        </w:tc>
      </w:tr>
    </w:tbl>
    <w:p w14:paraId="6DD87BA6">
      <w:pPr>
        <w:pStyle w:val="2"/>
      </w:pPr>
    </w:p>
    <w:p w14:paraId="20E16F99">
      <w:pPr>
        <w:sectPr>
          <w:footerReference r:id="rId129" w:type="default"/>
          <w:pgSz w:w="10660" w:h="15080"/>
          <w:pgMar w:top="400" w:right="908" w:bottom="912" w:left="1014" w:header="0" w:footer="741" w:gutter="0"/>
          <w:cols w:space="720" w:num="1"/>
        </w:sectPr>
      </w:pPr>
    </w:p>
    <w:p w14:paraId="32CE5232">
      <w:pPr>
        <w:spacing w:before="13"/>
      </w:pPr>
    </w:p>
    <w:p w14:paraId="4E86F6B9">
      <w:pPr>
        <w:spacing w:before="12"/>
      </w:pPr>
    </w:p>
    <w:p w14:paraId="14B84E03">
      <w:pPr>
        <w:spacing w:before="12"/>
      </w:pPr>
    </w:p>
    <w:p w14:paraId="4C481770">
      <w:pPr>
        <w:spacing w:before="12"/>
      </w:pPr>
    </w:p>
    <w:tbl>
      <w:tblPr>
        <w:tblStyle w:val="5"/>
        <w:tblW w:w="8719" w:type="dxa"/>
        <w:tblInd w:w="9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74"/>
        <w:gridCol w:w="839"/>
        <w:gridCol w:w="1338"/>
        <w:gridCol w:w="879"/>
        <w:gridCol w:w="2617"/>
        <w:gridCol w:w="2172"/>
      </w:tblGrid>
      <w:tr w14:paraId="70D184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5" w:hRule="atLeast"/>
        </w:trPr>
        <w:tc>
          <w:tcPr>
            <w:tcW w:w="874" w:type="dxa"/>
            <w:vAlign w:val="top"/>
          </w:tcPr>
          <w:p w14:paraId="745B0B6B">
            <w:pPr>
              <w:pStyle w:val="6"/>
              <w:spacing w:before="150" w:line="220" w:lineRule="auto"/>
              <w:ind w:left="47"/>
              <w:rPr>
                <w:sz w:val="19"/>
                <w:szCs w:val="19"/>
              </w:rPr>
            </w:pPr>
            <w:r>
              <w:rPr>
                <w:b/>
                <w:bCs/>
                <w:spacing w:val="5"/>
                <w:sz w:val="19"/>
                <w:szCs w:val="19"/>
              </w:rPr>
              <w:t>测试项目</w:t>
            </w:r>
          </w:p>
        </w:tc>
        <w:tc>
          <w:tcPr>
            <w:tcW w:w="839" w:type="dxa"/>
            <w:vAlign w:val="top"/>
          </w:tcPr>
          <w:p w14:paraId="23D868BA">
            <w:pPr>
              <w:pStyle w:val="6"/>
              <w:spacing w:before="151" w:line="221" w:lineRule="auto"/>
              <w:ind w:left="33"/>
              <w:rPr>
                <w:sz w:val="19"/>
                <w:szCs w:val="19"/>
              </w:rPr>
            </w:pPr>
            <w:r>
              <w:rPr>
                <w:b/>
                <w:bCs/>
                <w:spacing w:val="-4"/>
                <w:sz w:val="19"/>
                <w:szCs w:val="19"/>
              </w:rPr>
              <w:t>测试用具</w:t>
            </w:r>
          </w:p>
        </w:tc>
        <w:tc>
          <w:tcPr>
            <w:tcW w:w="1338" w:type="dxa"/>
            <w:vAlign w:val="top"/>
          </w:tcPr>
          <w:p w14:paraId="0FED3732">
            <w:pPr>
              <w:pStyle w:val="6"/>
              <w:spacing w:before="150" w:line="219" w:lineRule="auto"/>
              <w:ind w:left="284"/>
              <w:rPr>
                <w:sz w:val="19"/>
                <w:szCs w:val="19"/>
              </w:rPr>
            </w:pPr>
            <w:r>
              <w:rPr>
                <w:b/>
                <w:bCs/>
                <w:spacing w:val="-4"/>
                <w:sz w:val="19"/>
                <w:szCs w:val="19"/>
              </w:rPr>
              <w:t>测试内容</w:t>
            </w:r>
          </w:p>
        </w:tc>
        <w:tc>
          <w:tcPr>
            <w:tcW w:w="879" w:type="dxa"/>
            <w:vAlign w:val="top"/>
          </w:tcPr>
          <w:p w14:paraId="1F9B2137">
            <w:pPr>
              <w:pStyle w:val="6"/>
              <w:spacing w:before="151" w:line="221" w:lineRule="auto"/>
              <w:ind w:left="56"/>
              <w:rPr>
                <w:sz w:val="19"/>
                <w:szCs w:val="19"/>
              </w:rPr>
            </w:pPr>
            <w:r>
              <w:rPr>
                <w:b/>
                <w:bCs/>
                <w:spacing w:val="-4"/>
                <w:sz w:val="19"/>
                <w:szCs w:val="19"/>
              </w:rPr>
              <w:t>测试方法</w:t>
            </w:r>
          </w:p>
        </w:tc>
        <w:tc>
          <w:tcPr>
            <w:tcW w:w="2617" w:type="dxa"/>
            <w:vAlign w:val="top"/>
          </w:tcPr>
          <w:p w14:paraId="3096715A">
            <w:pPr>
              <w:pStyle w:val="6"/>
              <w:spacing w:before="151" w:line="221" w:lineRule="auto"/>
              <w:ind w:left="927"/>
              <w:rPr>
                <w:sz w:val="19"/>
                <w:szCs w:val="19"/>
              </w:rPr>
            </w:pPr>
            <w:r>
              <w:rPr>
                <w:b/>
                <w:bCs/>
                <w:spacing w:val="-4"/>
                <w:sz w:val="19"/>
                <w:szCs w:val="19"/>
              </w:rPr>
              <w:t>测试要求</w:t>
            </w:r>
          </w:p>
        </w:tc>
        <w:tc>
          <w:tcPr>
            <w:tcW w:w="2172" w:type="dxa"/>
            <w:vAlign w:val="top"/>
          </w:tcPr>
          <w:p w14:paraId="3DE51471">
            <w:pPr>
              <w:pStyle w:val="6"/>
              <w:spacing w:before="150" w:line="219" w:lineRule="auto"/>
              <w:ind w:left="760"/>
              <w:rPr>
                <w:sz w:val="19"/>
                <w:szCs w:val="19"/>
              </w:rPr>
            </w:pPr>
            <w:r>
              <w:rPr>
                <w:b/>
                <w:bCs/>
                <w:spacing w:val="-4"/>
                <w:sz w:val="19"/>
                <w:szCs w:val="19"/>
              </w:rPr>
              <w:t>赋分参考</w:t>
            </w:r>
          </w:p>
        </w:tc>
      </w:tr>
      <w:tr w14:paraId="04C778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904" w:hRule="atLeast"/>
        </w:trPr>
        <w:tc>
          <w:tcPr>
            <w:tcW w:w="874" w:type="dxa"/>
            <w:vAlign w:val="top"/>
          </w:tcPr>
          <w:p w14:paraId="6299F454">
            <w:pPr>
              <w:spacing w:line="246" w:lineRule="auto"/>
              <w:rPr>
                <w:rFonts w:ascii="Arial"/>
                <w:sz w:val="21"/>
              </w:rPr>
            </w:pPr>
          </w:p>
          <w:p w14:paraId="3BE49420">
            <w:pPr>
              <w:spacing w:line="246" w:lineRule="auto"/>
              <w:rPr>
                <w:rFonts w:ascii="Arial"/>
                <w:sz w:val="21"/>
              </w:rPr>
            </w:pPr>
          </w:p>
          <w:p w14:paraId="745A0D79">
            <w:pPr>
              <w:spacing w:line="246" w:lineRule="auto"/>
              <w:rPr>
                <w:rFonts w:ascii="Arial"/>
                <w:sz w:val="21"/>
              </w:rPr>
            </w:pPr>
          </w:p>
          <w:p w14:paraId="3454F656">
            <w:pPr>
              <w:spacing w:line="246" w:lineRule="auto"/>
              <w:rPr>
                <w:rFonts w:ascii="Arial"/>
                <w:sz w:val="21"/>
              </w:rPr>
            </w:pPr>
          </w:p>
          <w:p w14:paraId="20445E5B">
            <w:pPr>
              <w:spacing w:line="247" w:lineRule="auto"/>
              <w:rPr>
                <w:rFonts w:ascii="Arial"/>
                <w:sz w:val="21"/>
              </w:rPr>
            </w:pPr>
          </w:p>
          <w:p w14:paraId="47432CFD">
            <w:pPr>
              <w:spacing w:line="247" w:lineRule="auto"/>
              <w:rPr>
                <w:rFonts w:ascii="Arial"/>
                <w:sz w:val="21"/>
              </w:rPr>
            </w:pPr>
          </w:p>
          <w:p w14:paraId="73E756A3">
            <w:pPr>
              <w:spacing w:line="247" w:lineRule="auto"/>
              <w:rPr>
                <w:rFonts w:ascii="Arial"/>
                <w:sz w:val="21"/>
              </w:rPr>
            </w:pPr>
          </w:p>
          <w:p w14:paraId="6277B947">
            <w:pPr>
              <w:spacing w:line="247" w:lineRule="auto"/>
              <w:rPr>
                <w:rFonts w:ascii="Arial"/>
                <w:sz w:val="21"/>
              </w:rPr>
            </w:pPr>
          </w:p>
          <w:p w14:paraId="647287A2">
            <w:pPr>
              <w:spacing w:line="247" w:lineRule="auto"/>
              <w:rPr>
                <w:rFonts w:ascii="Arial"/>
                <w:sz w:val="21"/>
              </w:rPr>
            </w:pPr>
          </w:p>
          <w:p w14:paraId="4249BAD5">
            <w:pPr>
              <w:spacing w:line="247" w:lineRule="auto"/>
              <w:rPr>
                <w:rFonts w:ascii="Arial"/>
                <w:sz w:val="21"/>
              </w:rPr>
            </w:pPr>
          </w:p>
          <w:p w14:paraId="2F713B80">
            <w:pPr>
              <w:spacing w:line="247" w:lineRule="auto"/>
              <w:rPr>
                <w:rFonts w:ascii="Arial"/>
                <w:sz w:val="21"/>
              </w:rPr>
            </w:pPr>
          </w:p>
          <w:p w14:paraId="3C879705">
            <w:pPr>
              <w:spacing w:line="247" w:lineRule="auto"/>
              <w:rPr>
                <w:rFonts w:ascii="Arial"/>
                <w:sz w:val="21"/>
              </w:rPr>
            </w:pPr>
          </w:p>
          <w:p w14:paraId="1E4C73A8">
            <w:pPr>
              <w:spacing w:line="247" w:lineRule="auto"/>
              <w:rPr>
                <w:rFonts w:ascii="Arial"/>
                <w:sz w:val="21"/>
              </w:rPr>
            </w:pPr>
          </w:p>
          <w:p w14:paraId="0BF39108">
            <w:pPr>
              <w:spacing w:line="247" w:lineRule="auto"/>
              <w:rPr>
                <w:rFonts w:ascii="Arial"/>
                <w:sz w:val="21"/>
              </w:rPr>
            </w:pPr>
          </w:p>
          <w:p w14:paraId="62794A94">
            <w:pPr>
              <w:pStyle w:val="6"/>
              <w:spacing w:before="62" w:line="219" w:lineRule="auto"/>
              <w:ind w:left="44" w:right="14" w:firstLine="49"/>
              <w:jc w:val="both"/>
              <w:rPr>
                <w:sz w:val="19"/>
                <w:szCs w:val="19"/>
              </w:rPr>
            </w:pPr>
            <w:r>
              <w:rPr>
                <w:spacing w:val="-2"/>
                <w:sz w:val="19"/>
                <w:szCs w:val="19"/>
              </w:rPr>
              <w:t>项目十：</w:t>
            </w:r>
            <w:r>
              <w:rPr>
                <w:spacing w:val="1"/>
                <w:sz w:val="19"/>
                <w:szCs w:val="19"/>
              </w:rPr>
              <w:t xml:space="preserve"> </w:t>
            </w:r>
            <w:r>
              <w:rPr>
                <w:spacing w:val="2"/>
                <w:sz w:val="19"/>
                <w:szCs w:val="19"/>
              </w:rPr>
              <w:t>中式烹饪</w:t>
            </w:r>
            <w:r>
              <w:rPr>
                <w:sz w:val="19"/>
                <w:szCs w:val="19"/>
              </w:rPr>
              <w:t xml:space="preserve"> </w:t>
            </w:r>
            <w:r>
              <w:rPr>
                <w:spacing w:val="3"/>
                <w:sz w:val="19"/>
                <w:szCs w:val="19"/>
              </w:rPr>
              <w:t>热菜制作</w:t>
            </w:r>
          </w:p>
        </w:tc>
        <w:tc>
          <w:tcPr>
            <w:tcW w:w="839" w:type="dxa"/>
            <w:vAlign w:val="top"/>
          </w:tcPr>
          <w:p w14:paraId="57AE364D">
            <w:pPr>
              <w:spacing w:line="267" w:lineRule="auto"/>
              <w:rPr>
                <w:rFonts w:ascii="Arial"/>
                <w:sz w:val="21"/>
              </w:rPr>
            </w:pPr>
          </w:p>
          <w:p w14:paraId="7C82B175">
            <w:pPr>
              <w:spacing w:line="268" w:lineRule="auto"/>
              <w:rPr>
                <w:rFonts w:ascii="Arial"/>
                <w:sz w:val="21"/>
              </w:rPr>
            </w:pPr>
          </w:p>
          <w:p w14:paraId="29C99681">
            <w:pPr>
              <w:spacing w:line="268" w:lineRule="auto"/>
              <w:rPr>
                <w:rFonts w:ascii="Arial"/>
                <w:sz w:val="21"/>
              </w:rPr>
            </w:pPr>
          </w:p>
          <w:p w14:paraId="7B920575">
            <w:pPr>
              <w:spacing w:line="268" w:lineRule="auto"/>
              <w:rPr>
                <w:rFonts w:ascii="Arial"/>
                <w:sz w:val="21"/>
              </w:rPr>
            </w:pPr>
          </w:p>
          <w:p w14:paraId="26795137">
            <w:pPr>
              <w:spacing w:line="268" w:lineRule="auto"/>
              <w:rPr>
                <w:rFonts w:ascii="Arial"/>
                <w:sz w:val="21"/>
              </w:rPr>
            </w:pPr>
          </w:p>
          <w:p w14:paraId="2B75F828">
            <w:pPr>
              <w:spacing w:line="268" w:lineRule="auto"/>
              <w:rPr>
                <w:rFonts w:ascii="Arial"/>
                <w:sz w:val="21"/>
              </w:rPr>
            </w:pPr>
          </w:p>
          <w:p w14:paraId="104ECFB3">
            <w:pPr>
              <w:pStyle w:val="6"/>
              <w:spacing w:before="62" w:line="212" w:lineRule="auto"/>
              <w:ind w:left="171" w:right="146" w:firstLine="49"/>
              <w:jc w:val="both"/>
              <w:rPr>
                <w:sz w:val="19"/>
                <w:szCs w:val="19"/>
              </w:rPr>
            </w:pPr>
            <w:r>
              <w:rPr>
                <w:spacing w:val="8"/>
                <w:sz w:val="19"/>
                <w:szCs w:val="19"/>
              </w:rPr>
              <w:t>菜刀</w:t>
            </w:r>
            <w:r>
              <w:rPr>
                <w:sz w:val="19"/>
                <w:szCs w:val="19"/>
              </w:rPr>
              <w:t xml:space="preserve"> </w:t>
            </w:r>
            <w:r>
              <w:rPr>
                <w:spacing w:val="9"/>
                <w:sz w:val="19"/>
                <w:szCs w:val="19"/>
              </w:rPr>
              <w:t>(1把)</w:t>
            </w:r>
            <w:r>
              <w:rPr>
                <w:sz w:val="19"/>
                <w:szCs w:val="19"/>
              </w:rPr>
              <w:t xml:space="preserve"> </w:t>
            </w:r>
            <w:r>
              <w:rPr>
                <w:spacing w:val="21"/>
                <w:sz w:val="19"/>
                <w:szCs w:val="19"/>
              </w:rPr>
              <w:t>砧板</w:t>
            </w:r>
            <w:r>
              <w:rPr>
                <w:sz w:val="19"/>
                <w:szCs w:val="19"/>
              </w:rPr>
              <w:t xml:space="preserve">  </w:t>
            </w:r>
            <w:r>
              <w:rPr>
                <w:spacing w:val="9"/>
                <w:sz w:val="19"/>
                <w:szCs w:val="19"/>
              </w:rPr>
              <w:t>(1个)</w:t>
            </w:r>
            <w:r>
              <w:rPr>
                <w:sz w:val="19"/>
                <w:szCs w:val="19"/>
              </w:rPr>
              <w:t xml:space="preserve"> </w:t>
            </w:r>
            <w:r>
              <w:rPr>
                <w:spacing w:val="21"/>
                <w:sz w:val="19"/>
                <w:szCs w:val="19"/>
              </w:rPr>
              <w:t>炒锅</w:t>
            </w:r>
            <w:r>
              <w:rPr>
                <w:sz w:val="19"/>
                <w:szCs w:val="19"/>
              </w:rPr>
              <w:t xml:space="preserve">  </w:t>
            </w:r>
            <w:r>
              <w:rPr>
                <w:spacing w:val="9"/>
                <w:sz w:val="19"/>
                <w:szCs w:val="19"/>
              </w:rPr>
              <w:t>(1个)</w:t>
            </w:r>
          </w:p>
          <w:p w14:paraId="4F4EF7D1">
            <w:pPr>
              <w:pStyle w:val="6"/>
              <w:spacing w:line="220" w:lineRule="auto"/>
              <w:ind w:left="30"/>
              <w:rPr>
                <w:sz w:val="19"/>
                <w:szCs w:val="19"/>
              </w:rPr>
            </w:pPr>
            <w:r>
              <w:rPr>
                <w:spacing w:val="4"/>
                <w:sz w:val="19"/>
                <w:szCs w:val="19"/>
              </w:rPr>
              <w:t>厨房用油</w:t>
            </w:r>
          </w:p>
          <w:p w14:paraId="554A2DFF">
            <w:pPr>
              <w:pStyle w:val="6"/>
              <w:spacing w:before="3" w:line="214" w:lineRule="auto"/>
              <w:ind w:left="71"/>
              <w:rPr>
                <w:sz w:val="19"/>
                <w:szCs w:val="19"/>
              </w:rPr>
            </w:pPr>
            <w:r>
              <w:rPr>
                <w:spacing w:val="9"/>
                <w:sz w:val="19"/>
                <w:szCs w:val="19"/>
              </w:rPr>
              <w:t>罐(1个)</w:t>
            </w:r>
          </w:p>
          <w:p w14:paraId="439460C3">
            <w:pPr>
              <w:pStyle w:val="6"/>
              <w:spacing w:line="203" w:lineRule="auto"/>
              <w:ind w:left="221"/>
              <w:rPr>
                <w:sz w:val="19"/>
                <w:szCs w:val="19"/>
              </w:rPr>
            </w:pPr>
            <w:r>
              <w:rPr>
                <w:spacing w:val="9"/>
                <w:sz w:val="19"/>
                <w:szCs w:val="19"/>
              </w:rPr>
              <w:t>手勺</w:t>
            </w:r>
          </w:p>
          <w:p w14:paraId="656B7AFB">
            <w:pPr>
              <w:pStyle w:val="6"/>
              <w:spacing w:line="219" w:lineRule="auto"/>
              <w:ind w:left="171"/>
              <w:rPr>
                <w:sz w:val="19"/>
                <w:szCs w:val="19"/>
              </w:rPr>
            </w:pPr>
            <w:r>
              <w:rPr>
                <w:spacing w:val="9"/>
                <w:sz w:val="19"/>
                <w:szCs w:val="19"/>
              </w:rPr>
              <w:t>(1个)</w:t>
            </w:r>
          </w:p>
          <w:p w14:paraId="20D8C7EF">
            <w:pPr>
              <w:pStyle w:val="6"/>
              <w:spacing w:before="15" w:line="203" w:lineRule="auto"/>
              <w:ind w:left="221"/>
              <w:rPr>
                <w:sz w:val="19"/>
                <w:szCs w:val="19"/>
              </w:rPr>
            </w:pPr>
            <w:r>
              <w:rPr>
                <w:spacing w:val="9"/>
                <w:sz w:val="19"/>
                <w:szCs w:val="19"/>
              </w:rPr>
              <w:t>漏勺</w:t>
            </w:r>
          </w:p>
          <w:p w14:paraId="759AD2D6">
            <w:pPr>
              <w:pStyle w:val="6"/>
              <w:spacing w:line="219" w:lineRule="auto"/>
              <w:ind w:left="171"/>
              <w:rPr>
                <w:sz w:val="19"/>
                <w:szCs w:val="19"/>
              </w:rPr>
            </w:pPr>
            <w:r>
              <w:rPr>
                <w:spacing w:val="9"/>
                <w:sz w:val="19"/>
                <w:szCs w:val="19"/>
              </w:rPr>
              <w:t>(1个)</w:t>
            </w:r>
          </w:p>
          <w:p w14:paraId="485B7C6B">
            <w:pPr>
              <w:pStyle w:val="6"/>
              <w:spacing w:before="4" w:line="204" w:lineRule="auto"/>
              <w:ind w:left="121"/>
              <w:rPr>
                <w:sz w:val="19"/>
                <w:szCs w:val="19"/>
              </w:rPr>
            </w:pPr>
            <w:r>
              <w:rPr>
                <w:spacing w:val="4"/>
                <w:sz w:val="19"/>
                <w:szCs w:val="19"/>
              </w:rPr>
              <w:t>垃圾桶</w:t>
            </w:r>
          </w:p>
          <w:p w14:paraId="1F5E50A9">
            <w:pPr>
              <w:pStyle w:val="6"/>
              <w:spacing w:line="214" w:lineRule="auto"/>
              <w:ind w:left="171"/>
              <w:rPr>
                <w:sz w:val="19"/>
                <w:szCs w:val="19"/>
              </w:rPr>
            </w:pPr>
            <w:r>
              <w:rPr>
                <w:spacing w:val="9"/>
                <w:sz w:val="19"/>
                <w:szCs w:val="19"/>
              </w:rPr>
              <w:t>(1个)</w:t>
            </w:r>
          </w:p>
          <w:p w14:paraId="6186B4E1">
            <w:pPr>
              <w:pStyle w:val="6"/>
              <w:spacing w:before="1" w:line="212" w:lineRule="auto"/>
              <w:ind w:left="221"/>
              <w:rPr>
                <w:sz w:val="19"/>
                <w:szCs w:val="19"/>
              </w:rPr>
            </w:pPr>
            <w:r>
              <w:rPr>
                <w:spacing w:val="-2"/>
                <w:sz w:val="19"/>
                <w:szCs w:val="19"/>
              </w:rPr>
              <w:t>盘子</w:t>
            </w:r>
          </w:p>
          <w:p w14:paraId="4345D485">
            <w:pPr>
              <w:pStyle w:val="6"/>
              <w:spacing w:before="1" w:line="214" w:lineRule="auto"/>
              <w:ind w:left="121"/>
              <w:rPr>
                <w:sz w:val="19"/>
                <w:szCs w:val="19"/>
              </w:rPr>
            </w:pPr>
            <w:r>
              <w:rPr>
                <w:spacing w:val="10"/>
                <w:sz w:val="19"/>
                <w:szCs w:val="19"/>
              </w:rPr>
              <w:t>(若干)</w:t>
            </w:r>
          </w:p>
          <w:p w14:paraId="193CC5DA">
            <w:pPr>
              <w:pStyle w:val="6"/>
              <w:spacing w:before="2" w:line="222" w:lineRule="auto"/>
              <w:ind w:left="30" w:right="26" w:firstLine="99"/>
              <w:rPr>
                <w:sz w:val="19"/>
                <w:szCs w:val="19"/>
              </w:rPr>
            </w:pPr>
            <w:r>
              <w:rPr>
                <w:spacing w:val="1"/>
                <w:sz w:val="19"/>
                <w:szCs w:val="19"/>
              </w:rPr>
              <w:t>(所有工</w:t>
            </w:r>
            <w:r>
              <w:rPr>
                <w:sz w:val="19"/>
                <w:szCs w:val="19"/>
              </w:rPr>
              <w:t xml:space="preserve"> </w:t>
            </w:r>
            <w:r>
              <w:rPr>
                <w:spacing w:val="2"/>
                <w:sz w:val="19"/>
                <w:szCs w:val="19"/>
              </w:rPr>
              <w:t>具由承办</w:t>
            </w:r>
          </w:p>
          <w:p w14:paraId="40E6C36D">
            <w:pPr>
              <w:pStyle w:val="6"/>
              <w:spacing w:line="204" w:lineRule="auto"/>
              <w:jc w:val="right"/>
              <w:rPr>
                <w:sz w:val="19"/>
                <w:szCs w:val="19"/>
              </w:rPr>
            </w:pPr>
            <w:r>
              <w:rPr>
                <w:spacing w:val="-1"/>
                <w:sz w:val="19"/>
                <w:szCs w:val="19"/>
              </w:rPr>
              <w:t>方提供，</w:t>
            </w:r>
          </w:p>
          <w:p w14:paraId="4448AAE8">
            <w:pPr>
              <w:pStyle w:val="6"/>
              <w:spacing w:before="1" w:line="215" w:lineRule="auto"/>
              <w:ind w:left="121"/>
              <w:rPr>
                <w:sz w:val="19"/>
                <w:szCs w:val="19"/>
              </w:rPr>
            </w:pPr>
            <w:r>
              <w:rPr>
                <w:spacing w:val="5"/>
                <w:sz w:val="19"/>
                <w:szCs w:val="19"/>
              </w:rPr>
              <w:t>用后归</w:t>
            </w:r>
          </w:p>
          <w:p w14:paraId="70A959FA">
            <w:pPr>
              <w:pStyle w:val="6"/>
              <w:spacing w:line="220" w:lineRule="auto"/>
              <w:ind w:left="260"/>
              <w:rPr>
                <w:sz w:val="19"/>
                <w:szCs w:val="19"/>
              </w:rPr>
            </w:pPr>
            <w:r>
              <w:rPr>
                <w:spacing w:val="-4"/>
                <w:sz w:val="19"/>
                <w:szCs w:val="19"/>
              </w:rPr>
              <w:t>位</w:t>
            </w:r>
            <w:r>
              <w:rPr>
                <w:spacing w:val="-33"/>
                <w:sz w:val="19"/>
                <w:szCs w:val="19"/>
              </w:rPr>
              <w:t xml:space="preserve"> </w:t>
            </w:r>
            <w:r>
              <w:rPr>
                <w:spacing w:val="-4"/>
                <w:sz w:val="19"/>
                <w:szCs w:val="19"/>
              </w:rPr>
              <w:t>)</w:t>
            </w:r>
          </w:p>
        </w:tc>
        <w:tc>
          <w:tcPr>
            <w:tcW w:w="1338" w:type="dxa"/>
            <w:vAlign w:val="top"/>
          </w:tcPr>
          <w:p w14:paraId="16CC2686">
            <w:pPr>
              <w:spacing w:line="250" w:lineRule="auto"/>
              <w:rPr>
                <w:rFonts w:ascii="Arial"/>
                <w:sz w:val="21"/>
              </w:rPr>
            </w:pPr>
          </w:p>
          <w:p w14:paraId="1AAFD89F">
            <w:pPr>
              <w:spacing w:line="250" w:lineRule="auto"/>
              <w:rPr>
                <w:rFonts w:ascii="Arial"/>
                <w:sz w:val="21"/>
              </w:rPr>
            </w:pPr>
          </w:p>
          <w:p w14:paraId="613BAA06">
            <w:pPr>
              <w:spacing w:line="250" w:lineRule="auto"/>
              <w:rPr>
                <w:rFonts w:ascii="Arial"/>
                <w:sz w:val="21"/>
              </w:rPr>
            </w:pPr>
          </w:p>
          <w:p w14:paraId="52B762DD">
            <w:pPr>
              <w:spacing w:line="250" w:lineRule="auto"/>
              <w:rPr>
                <w:rFonts w:ascii="Arial"/>
                <w:sz w:val="21"/>
              </w:rPr>
            </w:pPr>
          </w:p>
          <w:p w14:paraId="04C797B2">
            <w:pPr>
              <w:spacing w:line="250" w:lineRule="auto"/>
              <w:rPr>
                <w:rFonts w:ascii="Arial"/>
                <w:sz w:val="21"/>
              </w:rPr>
            </w:pPr>
          </w:p>
          <w:p w14:paraId="629DB7DF">
            <w:pPr>
              <w:spacing w:line="250" w:lineRule="auto"/>
              <w:rPr>
                <w:rFonts w:ascii="Arial"/>
                <w:sz w:val="21"/>
              </w:rPr>
            </w:pPr>
          </w:p>
          <w:p w14:paraId="36ED8C1E">
            <w:pPr>
              <w:spacing w:line="250" w:lineRule="auto"/>
              <w:rPr>
                <w:rFonts w:ascii="Arial"/>
                <w:sz w:val="21"/>
              </w:rPr>
            </w:pPr>
          </w:p>
          <w:p w14:paraId="779259E1">
            <w:pPr>
              <w:spacing w:line="250" w:lineRule="auto"/>
              <w:rPr>
                <w:rFonts w:ascii="Arial"/>
                <w:sz w:val="21"/>
              </w:rPr>
            </w:pPr>
          </w:p>
          <w:p w14:paraId="3BBAE6E5">
            <w:pPr>
              <w:spacing w:line="251" w:lineRule="auto"/>
              <w:rPr>
                <w:rFonts w:ascii="Arial"/>
                <w:sz w:val="21"/>
              </w:rPr>
            </w:pPr>
          </w:p>
          <w:p w14:paraId="072FFC44">
            <w:pPr>
              <w:spacing w:line="251" w:lineRule="auto"/>
              <w:rPr>
                <w:rFonts w:ascii="Arial"/>
                <w:sz w:val="21"/>
              </w:rPr>
            </w:pPr>
          </w:p>
          <w:p w14:paraId="3F690B7D">
            <w:pPr>
              <w:spacing w:line="251" w:lineRule="auto"/>
              <w:rPr>
                <w:rFonts w:ascii="Arial"/>
                <w:sz w:val="21"/>
              </w:rPr>
            </w:pPr>
          </w:p>
          <w:p w14:paraId="52F66869">
            <w:pPr>
              <w:spacing w:line="251" w:lineRule="auto"/>
              <w:rPr>
                <w:rFonts w:ascii="Arial"/>
                <w:sz w:val="21"/>
              </w:rPr>
            </w:pPr>
          </w:p>
          <w:p w14:paraId="14D78316">
            <w:pPr>
              <w:spacing w:line="251" w:lineRule="auto"/>
              <w:rPr>
                <w:rFonts w:ascii="Arial"/>
                <w:sz w:val="21"/>
              </w:rPr>
            </w:pPr>
          </w:p>
          <w:p w14:paraId="05D2C6C2">
            <w:pPr>
              <w:pStyle w:val="6"/>
              <w:spacing w:before="62" w:line="215" w:lineRule="auto"/>
              <w:ind w:left="12"/>
              <w:jc w:val="both"/>
              <w:rPr>
                <w:sz w:val="19"/>
                <w:szCs w:val="19"/>
              </w:rPr>
            </w:pPr>
            <w:r>
              <w:rPr>
                <w:spacing w:val="-3"/>
                <w:sz w:val="19"/>
                <w:szCs w:val="19"/>
              </w:rPr>
              <w:t>从“青椒肉丝、</w:t>
            </w:r>
            <w:r>
              <w:rPr>
                <w:spacing w:val="5"/>
                <w:sz w:val="19"/>
                <w:szCs w:val="19"/>
              </w:rPr>
              <w:t xml:space="preserve"> </w:t>
            </w:r>
            <w:r>
              <w:rPr>
                <w:spacing w:val="-14"/>
                <w:sz w:val="19"/>
                <w:szCs w:val="19"/>
              </w:rPr>
              <w:t>滑炒鱼片、清炒</w:t>
            </w:r>
            <w:r>
              <w:rPr>
                <w:spacing w:val="2"/>
                <w:sz w:val="19"/>
                <w:szCs w:val="19"/>
              </w:rPr>
              <w:t xml:space="preserve">  </w:t>
            </w:r>
            <w:r>
              <w:rPr>
                <w:spacing w:val="-13"/>
                <w:sz w:val="19"/>
                <w:szCs w:val="19"/>
              </w:rPr>
              <w:t>鸡丝”三个菜品</w:t>
            </w:r>
            <w:r>
              <w:rPr>
                <w:sz w:val="19"/>
                <w:szCs w:val="19"/>
              </w:rPr>
              <w:t xml:space="preserve">  </w:t>
            </w:r>
            <w:r>
              <w:rPr>
                <w:spacing w:val="-16"/>
                <w:sz w:val="19"/>
                <w:szCs w:val="19"/>
              </w:rPr>
              <w:t>中随机抽取一个</w:t>
            </w:r>
            <w:r>
              <w:rPr>
                <w:spacing w:val="1"/>
                <w:sz w:val="19"/>
                <w:szCs w:val="19"/>
              </w:rPr>
              <w:t xml:space="preserve">  </w:t>
            </w:r>
            <w:r>
              <w:rPr>
                <w:spacing w:val="11"/>
                <w:sz w:val="19"/>
                <w:szCs w:val="19"/>
              </w:rPr>
              <w:t>菜品</w:t>
            </w:r>
          </w:p>
        </w:tc>
        <w:tc>
          <w:tcPr>
            <w:tcW w:w="879" w:type="dxa"/>
            <w:vAlign w:val="top"/>
          </w:tcPr>
          <w:p w14:paraId="0492377F">
            <w:pPr>
              <w:spacing w:line="246" w:lineRule="auto"/>
              <w:rPr>
                <w:rFonts w:ascii="Arial"/>
                <w:sz w:val="21"/>
              </w:rPr>
            </w:pPr>
          </w:p>
          <w:p w14:paraId="50A38EA3">
            <w:pPr>
              <w:spacing w:line="246" w:lineRule="auto"/>
              <w:rPr>
                <w:rFonts w:ascii="Arial"/>
                <w:sz w:val="21"/>
              </w:rPr>
            </w:pPr>
          </w:p>
          <w:p w14:paraId="240766EA">
            <w:pPr>
              <w:spacing w:line="246" w:lineRule="auto"/>
              <w:rPr>
                <w:rFonts w:ascii="Arial"/>
                <w:sz w:val="21"/>
              </w:rPr>
            </w:pPr>
          </w:p>
          <w:p w14:paraId="7AF6718D">
            <w:pPr>
              <w:spacing w:line="246" w:lineRule="auto"/>
              <w:rPr>
                <w:rFonts w:ascii="Arial"/>
                <w:sz w:val="21"/>
              </w:rPr>
            </w:pPr>
          </w:p>
          <w:p w14:paraId="1E8EB281">
            <w:pPr>
              <w:spacing w:line="246" w:lineRule="auto"/>
              <w:rPr>
                <w:rFonts w:ascii="Arial"/>
                <w:sz w:val="21"/>
              </w:rPr>
            </w:pPr>
          </w:p>
          <w:p w14:paraId="412582EA">
            <w:pPr>
              <w:spacing w:line="246" w:lineRule="auto"/>
              <w:rPr>
                <w:rFonts w:ascii="Arial"/>
                <w:sz w:val="21"/>
              </w:rPr>
            </w:pPr>
          </w:p>
          <w:p w14:paraId="4ECDA64F">
            <w:pPr>
              <w:spacing w:line="246" w:lineRule="auto"/>
              <w:rPr>
                <w:rFonts w:ascii="Arial"/>
                <w:sz w:val="21"/>
              </w:rPr>
            </w:pPr>
          </w:p>
          <w:p w14:paraId="237E1E2D">
            <w:pPr>
              <w:spacing w:line="246" w:lineRule="auto"/>
              <w:rPr>
                <w:rFonts w:ascii="Arial"/>
                <w:sz w:val="21"/>
              </w:rPr>
            </w:pPr>
          </w:p>
          <w:p w14:paraId="7BEC9028">
            <w:pPr>
              <w:spacing w:line="246" w:lineRule="auto"/>
              <w:rPr>
                <w:rFonts w:ascii="Arial"/>
                <w:sz w:val="21"/>
              </w:rPr>
            </w:pPr>
          </w:p>
          <w:p w14:paraId="79E54A24">
            <w:pPr>
              <w:spacing w:line="246" w:lineRule="auto"/>
              <w:rPr>
                <w:rFonts w:ascii="Arial"/>
                <w:sz w:val="21"/>
              </w:rPr>
            </w:pPr>
          </w:p>
          <w:p w14:paraId="6B68B52D">
            <w:pPr>
              <w:spacing w:line="246" w:lineRule="auto"/>
              <w:rPr>
                <w:rFonts w:ascii="Arial"/>
                <w:sz w:val="21"/>
              </w:rPr>
            </w:pPr>
          </w:p>
          <w:p w14:paraId="69C7EB26">
            <w:pPr>
              <w:spacing w:line="246" w:lineRule="auto"/>
              <w:rPr>
                <w:rFonts w:ascii="Arial"/>
                <w:sz w:val="21"/>
              </w:rPr>
            </w:pPr>
          </w:p>
          <w:p w14:paraId="1B698094">
            <w:pPr>
              <w:spacing w:line="246" w:lineRule="auto"/>
              <w:rPr>
                <w:rFonts w:ascii="Arial"/>
                <w:sz w:val="21"/>
              </w:rPr>
            </w:pPr>
          </w:p>
          <w:p w14:paraId="3530AF33">
            <w:pPr>
              <w:spacing w:line="247" w:lineRule="auto"/>
              <w:rPr>
                <w:rFonts w:ascii="Arial"/>
                <w:sz w:val="21"/>
              </w:rPr>
            </w:pPr>
          </w:p>
          <w:p w14:paraId="64CA0637">
            <w:pPr>
              <w:spacing w:line="247" w:lineRule="auto"/>
              <w:rPr>
                <w:rFonts w:ascii="Arial"/>
                <w:sz w:val="21"/>
              </w:rPr>
            </w:pPr>
          </w:p>
          <w:p w14:paraId="63893CA7">
            <w:pPr>
              <w:pStyle w:val="6"/>
              <w:spacing w:before="62" w:line="207" w:lineRule="auto"/>
              <w:ind w:left="243" w:right="42" w:hanging="190"/>
              <w:rPr>
                <w:sz w:val="19"/>
                <w:szCs w:val="19"/>
              </w:rPr>
            </w:pPr>
            <w:r>
              <w:rPr>
                <w:spacing w:val="3"/>
                <w:sz w:val="19"/>
                <w:szCs w:val="19"/>
              </w:rPr>
              <w:t>现场操作</w:t>
            </w:r>
            <w:r>
              <w:rPr>
                <w:sz w:val="19"/>
                <w:szCs w:val="19"/>
              </w:rPr>
              <w:t xml:space="preserve"> </w:t>
            </w:r>
            <w:r>
              <w:rPr>
                <w:spacing w:val="-2"/>
                <w:sz w:val="19"/>
                <w:szCs w:val="19"/>
              </w:rPr>
              <w:t>考试</w:t>
            </w:r>
          </w:p>
        </w:tc>
        <w:tc>
          <w:tcPr>
            <w:tcW w:w="2617" w:type="dxa"/>
            <w:vAlign w:val="top"/>
          </w:tcPr>
          <w:p w14:paraId="37AB2589">
            <w:pPr>
              <w:spacing w:line="264" w:lineRule="auto"/>
              <w:rPr>
                <w:rFonts w:ascii="Arial"/>
                <w:sz w:val="21"/>
              </w:rPr>
            </w:pPr>
          </w:p>
          <w:p w14:paraId="2490D88B">
            <w:pPr>
              <w:spacing w:line="264" w:lineRule="auto"/>
              <w:rPr>
                <w:rFonts w:ascii="Arial"/>
                <w:sz w:val="21"/>
              </w:rPr>
            </w:pPr>
          </w:p>
          <w:p w14:paraId="6A8BCDC3">
            <w:pPr>
              <w:spacing w:line="264" w:lineRule="auto"/>
              <w:rPr>
                <w:rFonts w:ascii="Arial"/>
                <w:sz w:val="21"/>
              </w:rPr>
            </w:pPr>
          </w:p>
          <w:p w14:paraId="2BC59852">
            <w:pPr>
              <w:spacing w:line="265" w:lineRule="auto"/>
              <w:rPr>
                <w:rFonts w:ascii="Arial"/>
                <w:sz w:val="21"/>
              </w:rPr>
            </w:pPr>
          </w:p>
          <w:p w14:paraId="3E2ACFE2">
            <w:pPr>
              <w:spacing w:line="265" w:lineRule="auto"/>
              <w:rPr>
                <w:rFonts w:ascii="Arial"/>
                <w:sz w:val="21"/>
              </w:rPr>
            </w:pPr>
          </w:p>
          <w:p w14:paraId="2A0CAE6E">
            <w:pPr>
              <w:spacing w:line="265" w:lineRule="auto"/>
              <w:rPr>
                <w:rFonts w:ascii="Arial"/>
                <w:sz w:val="21"/>
              </w:rPr>
            </w:pPr>
          </w:p>
          <w:p w14:paraId="3707EF75">
            <w:pPr>
              <w:spacing w:line="265" w:lineRule="auto"/>
              <w:rPr>
                <w:rFonts w:ascii="Arial"/>
                <w:sz w:val="21"/>
              </w:rPr>
            </w:pPr>
          </w:p>
          <w:p w14:paraId="62794B88">
            <w:pPr>
              <w:spacing w:line="265" w:lineRule="auto"/>
              <w:rPr>
                <w:rFonts w:ascii="Arial"/>
                <w:sz w:val="21"/>
              </w:rPr>
            </w:pPr>
          </w:p>
          <w:p w14:paraId="78C95C8C">
            <w:pPr>
              <w:spacing w:line="265" w:lineRule="auto"/>
              <w:rPr>
                <w:rFonts w:ascii="Arial"/>
                <w:sz w:val="21"/>
              </w:rPr>
            </w:pPr>
          </w:p>
          <w:p w14:paraId="394F6C24">
            <w:pPr>
              <w:pStyle w:val="6"/>
              <w:spacing w:before="61" w:line="193" w:lineRule="auto"/>
              <w:ind w:left="24"/>
              <w:rPr>
                <w:sz w:val="19"/>
                <w:szCs w:val="19"/>
              </w:rPr>
            </w:pPr>
            <w:r>
              <w:rPr>
                <w:spacing w:val="-2"/>
                <w:sz w:val="19"/>
                <w:szCs w:val="19"/>
              </w:rPr>
              <w:t>质量标准</w:t>
            </w:r>
          </w:p>
          <w:p w14:paraId="631C67F9">
            <w:pPr>
              <w:pStyle w:val="6"/>
              <w:spacing w:before="3" w:line="213" w:lineRule="auto"/>
              <w:ind w:left="14"/>
              <w:rPr>
                <w:sz w:val="19"/>
                <w:szCs w:val="19"/>
              </w:rPr>
            </w:pPr>
            <w:r>
              <w:rPr>
                <w:spacing w:val="-11"/>
                <w:sz w:val="19"/>
                <w:szCs w:val="19"/>
              </w:rPr>
              <w:t>青椒肉丝：刀工精细，成菜肉丝</w:t>
            </w:r>
            <w:r>
              <w:rPr>
                <w:spacing w:val="1"/>
                <w:sz w:val="19"/>
                <w:szCs w:val="19"/>
              </w:rPr>
              <w:t xml:space="preserve">  </w:t>
            </w:r>
            <w:r>
              <w:rPr>
                <w:spacing w:val="-18"/>
                <w:sz w:val="19"/>
                <w:szCs w:val="19"/>
              </w:rPr>
              <w:t>粗细均匀，口味咸鲜，亮油包芡。</w:t>
            </w:r>
            <w:r>
              <w:rPr>
                <w:spacing w:val="11"/>
                <w:sz w:val="19"/>
                <w:szCs w:val="19"/>
              </w:rPr>
              <w:t xml:space="preserve"> </w:t>
            </w:r>
            <w:r>
              <w:rPr>
                <w:spacing w:val="-5"/>
                <w:sz w:val="19"/>
                <w:szCs w:val="19"/>
              </w:rPr>
              <w:t>滑炒鱼片：鱼片厚薄大小均匀，</w:t>
            </w:r>
            <w:r>
              <w:rPr>
                <w:spacing w:val="1"/>
                <w:sz w:val="19"/>
                <w:szCs w:val="19"/>
              </w:rPr>
              <w:t xml:space="preserve"> </w:t>
            </w:r>
            <w:r>
              <w:rPr>
                <w:spacing w:val="-7"/>
                <w:sz w:val="19"/>
                <w:szCs w:val="19"/>
              </w:rPr>
              <w:t>口味咸鲜，亮油包芡。</w:t>
            </w:r>
          </w:p>
          <w:p w14:paraId="6A2E52D9">
            <w:pPr>
              <w:pStyle w:val="6"/>
              <w:spacing w:before="3" w:line="218" w:lineRule="auto"/>
              <w:ind w:left="14"/>
              <w:rPr>
                <w:sz w:val="19"/>
                <w:szCs w:val="19"/>
              </w:rPr>
            </w:pPr>
            <w:r>
              <w:rPr>
                <w:spacing w:val="-11"/>
                <w:sz w:val="19"/>
                <w:szCs w:val="19"/>
              </w:rPr>
              <w:t>清炒鸡丝：刀工精细，成菜鸡丝</w:t>
            </w:r>
            <w:r>
              <w:rPr>
                <w:spacing w:val="1"/>
                <w:sz w:val="19"/>
                <w:szCs w:val="19"/>
              </w:rPr>
              <w:t xml:space="preserve">  </w:t>
            </w:r>
            <w:r>
              <w:rPr>
                <w:spacing w:val="-18"/>
                <w:sz w:val="19"/>
                <w:szCs w:val="19"/>
              </w:rPr>
              <w:t>粗细均匀，口味咸鲜，亮油包芡。</w:t>
            </w:r>
            <w:r>
              <w:rPr>
                <w:spacing w:val="11"/>
                <w:sz w:val="19"/>
                <w:szCs w:val="19"/>
              </w:rPr>
              <w:t xml:space="preserve"> </w:t>
            </w:r>
            <w:r>
              <w:rPr>
                <w:spacing w:val="-5"/>
                <w:sz w:val="19"/>
                <w:szCs w:val="19"/>
              </w:rPr>
              <w:t>操作时间：切配时间为15分钟，</w:t>
            </w:r>
            <w:r>
              <w:rPr>
                <w:spacing w:val="6"/>
                <w:sz w:val="19"/>
                <w:szCs w:val="19"/>
              </w:rPr>
              <w:t xml:space="preserve"> </w:t>
            </w:r>
            <w:r>
              <w:rPr>
                <w:spacing w:val="-7"/>
                <w:sz w:val="19"/>
                <w:szCs w:val="19"/>
              </w:rPr>
              <w:t>制作时间现场操作考核另计。</w:t>
            </w:r>
          </w:p>
          <w:p w14:paraId="5DCF82CF">
            <w:pPr>
              <w:pStyle w:val="6"/>
              <w:spacing w:line="207" w:lineRule="auto"/>
              <w:ind w:left="14"/>
              <w:rPr>
                <w:sz w:val="19"/>
                <w:szCs w:val="19"/>
              </w:rPr>
            </w:pPr>
            <w:r>
              <w:rPr>
                <w:spacing w:val="-5"/>
                <w:sz w:val="19"/>
                <w:szCs w:val="19"/>
              </w:rPr>
              <w:t>考生自行准备烹饪工作服、工作</w:t>
            </w:r>
            <w:r>
              <w:rPr>
                <w:spacing w:val="1"/>
                <w:sz w:val="19"/>
                <w:szCs w:val="19"/>
              </w:rPr>
              <w:t xml:space="preserve"> </w:t>
            </w:r>
            <w:r>
              <w:rPr>
                <w:spacing w:val="-6"/>
                <w:sz w:val="19"/>
                <w:szCs w:val="19"/>
              </w:rPr>
              <w:t>帽、围裙和领巾，并在考核过程</w:t>
            </w:r>
            <w:r>
              <w:rPr>
                <w:spacing w:val="9"/>
                <w:sz w:val="19"/>
                <w:szCs w:val="19"/>
              </w:rPr>
              <w:t xml:space="preserve"> </w:t>
            </w:r>
            <w:r>
              <w:rPr>
                <w:spacing w:val="-1"/>
                <w:sz w:val="19"/>
                <w:szCs w:val="19"/>
              </w:rPr>
              <w:t>中穿戴整齐，否则扣10分。</w:t>
            </w:r>
          </w:p>
          <w:p w14:paraId="7A0D8FEA">
            <w:pPr>
              <w:pStyle w:val="6"/>
              <w:spacing w:line="222" w:lineRule="auto"/>
              <w:ind w:left="14"/>
              <w:rPr>
                <w:sz w:val="19"/>
                <w:szCs w:val="19"/>
              </w:rPr>
            </w:pPr>
            <w:r>
              <w:rPr>
                <w:spacing w:val="-5"/>
                <w:sz w:val="19"/>
                <w:szCs w:val="19"/>
              </w:rPr>
              <w:t>操作完毕，做到抹布干净，台面</w:t>
            </w:r>
            <w:r>
              <w:rPr>
                <w:spacing w:val="1"/>
                <w:sz w:val="19"/>
                <w:szCs w:val="19"/>
              </w:rPr>
              <w:t xml:space="preserve"> </w:t>
            </w:r>
            <w:r>
              <w:rPr>
                <w:spacing w:val="-1"/>
                <w:sz w:val="19"/>
                <w:szCs w:val="19"/>
              </w:rPr>
              <w:t>清洁，否则扣10分。</w:t>
            </w:r>
          </w:p>
        </w:tc>
        <w:tc>
          <w:tcPr>
            <w:tcW w:w="2172" w:type="dxa"/>
            <w:vAlign w:val="top"/>
          </w:tcPr>
          <w:p w14:paraId="4AB92B19">
            <w:pPr>
              <w:spacing w:line="413" w:lineRule="auto"/>
              <w:rPr>
                <w:rFonts w:ascii="Arial"/>
                <w:sz w:val="21"/>
              </w:rPr>
            </w:pPr>
          </w:p>
          <w:p w14:paraId="682234CB">
            <w:pPr>
              <w:pStyle w:val="6"/>
              <w:spacing w:before="62" w:line="209" w:lineRule="auto"/>
              <w:ind w:left="38" w:right="962" w:firstLine="79"/>
              <w:rPr>
                <w:sz w:val="19"/>
                <w:szCs w:val="19"/>
              </w:rPr>
            </w:pPr>
            <w:r>
              <w:rPr>
                <w:spacing w:val="4"/>
                <w:sz w:val="19"/>
                <w:szCs w:val="19"/>
              </w:rPr>
              <w:t>(满分150分)</w:t>
            </w:r>
            <w:r>
              <w:rPr>
                <w:spacing w:val="3"/>
                <w:sz w:val="19"/>
                <w:szCs w:val="19"/>
              </w:rPr>
              <w:t xml:space="preserve"> </w:t>
            </w:r>
            <w:r>
              <w:rPr>
                <w:spacing w:val="1"/>
                <w:sz w:val="19"/>
                <w:szCs w:val="19"/>
              </w:rPr>
              <w:t>1.青椒肉丝</w:t>
            </w:r>
          </w:p>
          <w:p w14:paraId="43155595">
            <w:pPr>
              <w:pStyle w:val="6"/>
              <w:spacing w:line="213" w:lineRule="auto"/>
              <w:ind w:left="17" w:right="144" w:firstLine="89"/>
              <w:rPr>
                <w:sz w:val="19"/>
                <w:szCs w:val="19"/>
              </w:rPr>
            </w:pPr>
            <w:r>
              <w:rPr>
                <w:sz w:val="19"/>
                <w:szCs w:val="19"/>
              </w:rPr>
              <w:t>(1)技法熟练、准确(20</w:t>
            </w:r>
            <w:r>
              <w:rPr>
                <w:spacing w:val="8"/>
                <w:sz w:val="19"/>
                <w:szCs w:val="19"/>
              </w:rPr>
              <w:t xml:space="preserve"> </w:t>
            </w:r>
            <w:r>
              <w:rPr>
                <w:spacing w:val="-5"/>
                <w:sz w:val="19"/>
                <w:szCs w:val="19"/>
              </w:rPr>
              <w:t>分</w:t>
            </w:r>
            <w:r>
              <w:rPr>
                <w:spacing w:val="-41"/>
                <w:sz w:val="19"/>
                <w:szCs w:val="19"/>
              </w:rPr>
              <w:t xml:space="preserve"> </w:t>
            </w:r>
            <w:r>
              <w:rPr>
                <w:spacing w:val="-5"/>
                <w:sz w:val="19"/>
                <w:szCs w:val="19"/>
              </w:rPr>
              <w:t>)</w:t>
            </w:r>
          </w:p>
          <w:p w14:paraId="7F259A31">
            <w:pPr>
              <w:pStyle w:val="6"/>
              <w:spacing w:line="209" w:lineRule="auto"/>
              <w:ind w:left="47" w:right="52" w:firstLine="60"/>
              <w:rPr>
                <w:sz w:val="19"/>
                <w:szCs w:val="19"/>
              </w:rPr>
            </w:pPr>
            <w:r>
              <w:rPr>
                <w:sz w:val="19"/>
                <w:szCs w:val="19"/>
              </w:rPr>
              <w:t>(2)刀工精细，肉丝粗细</w:t>
            </w:r>
            <w:r>
              <w:rPr>
                <w:spacing w:val="5"/>
                <w:sz w:val="19"/>
                <w:szCs w:val="19"/>
              </w:rPr>
              <w:t xml:space="preserve"> 均匀(40分)</w:t>
            </w:r>
          </w:p>
          <w:p w14:paraId="19D43D70">
            <w:pPr>
              <w:pStyle w:val="6"/>
              <w:spacing w:before="3" w:line="214" w:lineRule="auto"/>
              <w:ind w:left="38" w:firstLine="59"/>
              <w:rPr>
                <w:sz w:val="19"/>
                <w:szCs w:val="19"/>
              </w:rPr>
            </w:pPr>
            <w:r>
              <w:rPr>
                <w:spacing w:val="-1"/>
                <w:sz w:val="19"/>
                <w:szCs w:val="19"/>
              </w:rPr>
              <w:t>(3)卫生及安全性处理得</w:t>
            </w:r>
            <w:r>
              <w:rPr>
                <w:spacing w:val="8"/>
                <w:sz w:val="19"/>
                <w:szCs w:val="19"/>
              </w:rPr>
              <w:t xml:space="preserve"> </w:t>
            </w:r>
            <w:r>
              <w:rPr>
                <w:spacing w:val="-16"/>
                <w:sz w:val="19"/>
                <w:szCs w:val="19"/>
              </w:rPr>
              <w:t>当 (</w:t>
            </w:r>
            <w:r>
              <w:rPr>
                <w:spacing w:val="-29"/>
                <w:sz w:val="19"/>
                <w:szCs w:val="19"/>
              </w:rPr>
              <w:t xml:space="preserve"> </w:t>
            </w:r>
            <w:r>
              <w:rPr>
                <w:spacing w:val="-16"/>
                <w:sz w:val="19"/>
                <w:szCs w:val="19"/>
              </w:rPr>
              <w:t>1</w:t>
            </w:r>
            <w:r>
              <w:rPr>
                <w:spacing w:val="-42"/>
                <w:sz w:val="19"/>
                <w:szCs w:val="19"/>
              </w:rPr>
              <w:t xml:space="preserve"> </w:t>
            </w:r>
            <w:r>
              <w:rPr>
                <w:spacing w:val="-16"/>
                <w:sz w:val="19"/>
                <w:szCs w:val="19"/>
              </w:rPr>
              <w:t>0</w:t>
            </w:r>
            <w:r>
              <w:rPr>
                <w:spacing w:val="-41"/>
                <w:sz w:val="19"/>
                <w:szCs w:val="19"/>
              </w:rPr>
              <w:t xml:space="preserve"> </w:t>
            </w:r>
            <w:r>
              <w:rPr>
                <w:spacing w:val="-16"/>
                <w:sz w:val="19"/>
                <w:szCs w:val="19"/>
              </w:rPr>
              <w:t>分</w:t>
            </w:r>
            <w:r>
              <w:rPr>
                <w:spacing w:val="-42"/>
                <w:sz w:val="19"/>
                <w:szCs w:val="19"/>
              </w:rPr>
              <w:t xml:space="preserve"> </w:t>
            </w:r>
            <w:r>
              <w:rPr>
                <w:spacing w:val="-16"/>
                <w:sz w:val="19"/>
                <w:szCs w:val="19"/>
              </w:rPr>
              <w:t>) (</w:t>
            </w:r>
            <w:r>
              <w:rPr>
                <w:spacing w:val="-44"/>
                <w:sz w:val="19"/>
                <w:szCs w:val="19"/>
              </w:rPr>
              <w:t xml:space="preserve"> </w:t>
            </w:r>
            <w:r>
              <w:rPr>
                <w:spacing w:val="-16"/>
                <w:sz w:val="19"/>
                <w:szCs w:val="19"/>
              </w:rPr>
              <w:t>4</w:t>
            </w:r>
            <w:r>
              <w:rPr>
                <w:spacing w:val="-42"/>
                <w:sz w:val="19"/>
                <w:szCs w:val="19"/>
              </w:rPr>
              <w:t xml:space="preserve"> </w:t>
            </w:r>
            <w:r>
              <w:rPr>
                <w:spacing w:val="-16"/>
                <w:sz w:val="19"/>
                <w:szCs w:val="19"/>
              </w:rPr>
              <w:t>) 口</w:t>
            </w:r>
            <w:r>
              <w:rPr>
                <w:spacing w:val="-36"/>
                <w:sz w:val="19"/>
                <w:szCs w:val="19"/>
              </w:rPr>
              <w:t xml:space="preserve"> </w:t>
            </w:r>
            <w:r>
              <w:rPr>
                <w:spacing w:val="-16"/>
                <w:sz w:val="19"/>
                <w:szCs w:val="19"/>
              </w:rPr>
              <w:t>味</w:t>
            </w:r>
            <w:r>
              <w:rPr>
                <w:spacing w:val="-43"/>
                <w:sz w:val="19"/>
                <w:szCs w:val="19"/>
              </w:rPr>
              <w:t xml:space="preserve"> </w:t>
            </w:r>
            <w:r>
              <w:rPr>
                <w:spacing w:val="-16"/>
                <w:sz w:val="19"/>
                <w:szCs w:val="19"/>
              </w:rPr>
              <w:t>咸</w:t>
            </w:r>
            <w:r>
              <w:rPr>
                <w:sz w:val="19"/>
                <w:szCs w:val="19"/>
              </w:rPr>
              <w:t xml:space="preserve"> </w:t>
            </w:r>
            <w:r>
              <w:rPr>
                <w:spacing w:val="2"/>
                <w:sz w:val="19"/>
                <w:szCs w:val="19"/>
              </w:rPr>
              <w:t>鲜，调味得当(40分)(5)</w:t>
            </w:r>
            <w:r>
              <w:rPr>
                <w:spacing w:val="1"/>
                <w:sz w:val="19"/>
                <w:szCs w:val="19"/>
              </w:rPr>
              <w:t xml:space="preserve">  </w:t>
            </w:r>
            <w:r>
              <w:rPr>
                <w:spacing w:val="-5"/>
                <w:sz w:val="19"/>
                <w:szCs w:val="19"/>
              </w:rPr>
              <w:t>芡汁处理要求亮油包芡(30</w:t>
            </w:r>
            <w:r>
              <w:rPr>
                <w:spacing w:val="2"/>
                <w:sz w:val="19"/>
                <w:szCs w:val="19"/>
              </w:rPr>
              <w:t xml:space="preserve"> 分)(6)装盘恰当(10分)</w:t>
            </w:r>
          </w:p>
          <w:p w14:paraId="751A160C">
            <w:pPr>
              <w:pStyle w:val="6"/>
              <w:spacing w:before="16" w:line="194" w:lineRule="auto"/>
              <w:ind w:left="17"/>
              <w:rPr>
                <w:sz w:val="19"/>
                <w:szCs w:val="19"/>
              </w:rPr>
            </w:pPr>
            <w:r>
              <w:rPr>
                <w:spacing w:val="2"/>
                <w:sz w:val="19"/>
                <w:szCs w:val="19"/>
              </w:rPr>
              <w:t>2.滑炒鱼片</w:t>
            </w:r>
          </w:p>
          <w:p w14:paraId="1C4EF73B">
            <w:pPr>
              <w:pStyle w:val="6"/>
              <w:spacing w:line="213" w:lineRule="auto"/>
              <w:ind w:left="17" w:right="144" w:firstLine="89"/>
              <w:rPr>
                <w:sz w:val="19"/>
                <w:szCs w:val="19"/>
              </w:rPr>
            </w:pPr>
            <w:r>
              <w:rPr>
                <w:sz w:val="19"/>
                <w:szCs w:val="19"/>
              </w:rPr>
              <w:t>(1)技法熟练、准确(20</w:t>
            </w:r>
            <w:r>
              <w:rPr>
                <w:spacing w:val="8"/>
                <w:sz w:val="19"/>
                <w:szCs w:val="19"/>
              </w:rPr>
              <w:t xml:space="preserve"> </w:t>
            </w:r>
            <w:r>
              <w:rPr>
                <w:spacing w:val="-5"/>
                <w:sz w:val="19"/>
                <w:szCs w:val="19"/>
              </w:rPr>
              <w:t>分</w:t>
            </w:r>
            <w:r>
              <w:rPr>
                <w:spacing w:val="-41"/>
                <w:sz w:val="19"/>
                <w:szCs w:val="19"/>
              </w:rPr>
              <w:t xml:space="preserve"> </w:t>
            </w:r>
            <w:r>
              <w:rPr>
                <w:spacing w:val="-5"/>
                <w:sz w:val="19"/>
                <w:szCs w:val="19"/>
              </w:rPr>
              <w:t>)</w:t>
            </w:r>
          </w:p>
          <w:p w14:paraId="12E70F92">
            <w:pPr>
              <w:pStyle w:val="6"/>
              <w:spacing w:before="2" w:line="213" w:lineRule="auto"/>
              <w:ind w:left="47" w:right="54" w:firstLine="60"/>
              <w:rPr>
                <w:sz w:val="19"/>
                <w:szCs w:val="19"/>
              </w:rPr>
            </w:pPr>
            <w:r>
              <w:rPr>
                <w:sz w:val="19"/>
                <w:szCs w:val="19"/>
              </w:rPr>
              <w:t>(2)刀工精细，鱼片厚薄</w:t>
            </w:r>
            <w:r>
              <w:rPr>
                <w:spacing w:val="3"/>
                <w:sz w:val="19"/>
                <w:szCs w:val="19"/>
              </w:rPr>
              <w:t xml:space="preserve"> </w:t>
            </w:r>
            <w:r>
              <w:rPr>
                <w:spacing w:val="4"/>
                <w:sz w:val="19"/>
                <w:szCs w:val="19"/>
              </w:rPr>
              <w:t>大小均匀(40分)</w:t>
            </w:r>
          </w:p>
          <w:p w14:paraId="71F35607">
            <w:pPr>
              <w:pStyle w:val="6"/>
              <w:spacing w:before="1" w:line="223" w:lineRule="auto"/>
              <w:ind w:left="67" w:right="56" w:firstLine="39"/>
              <w:rPr>
                <w:sz w:val="19"/>
                <w:szCs w:val="19"/>
              </w:rPr>
            </w:pPr>
            <w:r>
              <w:rPr>
                <w:sz w:val="19"/>
                <w:szCs w:val="19"/>
              </w:rPr>
              <w:t>(3)卫生及安全性处理得</w:t>
            </w:r>
            <w:r>
              <w:rPr>
                <w:spacing w:val="1"/>
                <w:sz w:val="19"/>
                <w:szCs w:val="19"/>
              </w:rPr>
              <w:t xml:space="preserve"> </w:t>
            </w:r>
            <w:r>
              <w:rPr>
                <w:spacing w:val="6"/>
                <w:sz w:val="19"/>
                <w:szCs w:val="19"/>
              </w:rPr>
              <w:t>当(10分)</w:t>
            </w:r>
          </w:p>
          <w:p w14:paraId="3AA71EA0">
            <w:pPr>
              <w:pStyle w:val="6"/>
              <w:spacing w:before="1" w:line="209" w:lineRule="auto"/>
              <w:ind w:left="38" w:right="27" w:firstLine="69"/>
              <w:rPr>
                <w:sz w:val="19"/>
                <w:szCs w:val="19"/>
              </w:rPr>
            </w:pPr>
            <w:r>
              <w:rPr>
                <w:spacing w:val="1"/>
                <w:sz w:val="19"/>
                <w:szCs w:val="19"/>
              </w:rPr>
              <w:t>(4)口味咸鲜，调味得当</w:t>
            </w:r>
            <w:r>
              <w:rPr>
                <w:sz w:val="19"/>
                <w:szCs w:val="19"/>
              </w:rPr>
              <w:t xml:space="preserve"> </w:t>
            </w:r>
            <w:r>
              <w:rPr>
                <w:spacing w:val="17"/>
                <w:w w:val="117"/>
                <w:sz w:val="19"/>
                <w:szCs w:val="19"/>
              </w:rPr>
              <w:t>(40分)(5)芡汁处理</w:t>
            </w:r>
            <w:r>
              <w:rPr>
                <w:spacing w:val="2"/>
                <w:sz w:val="19"/>
                <w:szCs w:val="19"/>
              </w:rPr>
              <w:t xml:space="preserve"> 要求亮油包芡(30分)(6)</w:t>
            </w:r>
            <w:r>
              <w:rPr>
                <w:spacing w:val="7"/>
                <w:sz w:val="19"/>
                <w:szCs w:val="19"/>
              </w:rPr>
              <w:t xml:space="preserve"> </w:t>
            </w:r>
            <w:r>
              <w:rPr>
                <w:spacing w:val="4"/>
                <w:sz w:val="19"/>
                <w:szCs w:val="19"/>
              </w:rPr>
              <w:t>装盘恰当(10分)</w:t>
            </w:r>
          </w:p>
          <w:p w14:paraId="37955D11">
            <w:pPr>
              <w:pStyle w:val="6"/>
              <w:spacing w:line="220" w:lineRule="auto"/>
              <w:ind w:left="17"/>
              <w:rPr>
                <w:sz w:val="19"/>
                <w:szCs w:val="19"/>
              </w:rPr>
            </w:pPr>
            <w:r>
              <w:rPr>
                <w:spacing w:val="1"/>
                <w:sz w:val="19"/>
                <w:szCs w:val="19"/>
              </w:rPr>
              <w:t>3.清炒鸡丝</w:t>
            </w:r>
          </w:p>
          <w:p w14:paraId="66D7B47E">
            <w:pPr>
              <w:pStyle w:val="6"/>
              <w:spacing w:before="13" w:line="212" w:lineRule="auto"/>
              <w:ind w:left="17" w:right="144" w:firstLine="89"/>
              <w:rPr>
                <w:sz w:val="19"/>
                <w:szCs w:val="19"/>
              </w:rPr>
            </w:pPr>
            <w:r>
              <w:rPr>
                <w:sz w:val="19"/>
                <w:szCs w:val="19"/>
              </w:rPr>
              <w:t>(1)技法熟练、准确(20</w:t>
            </w:r>
            <w:r>
              <w:rPr>
                <w:spacing w:val="8"/>
                <w:sz w:val="19"/>
                <w:szCs w:val="19"/>
              </w:rPr>
              <w:t xml:space="preserve"> </w:t>
            </w:r>
            <w:r>
              <w:rPr>
                <w:spacing w:val="-5"/>
                <w:sz w:val="19"/>
                <w:szCs w:val="19"/>
              </w:rPr>
              <w:t>分</w:t>
            </w:r>
            <w:r>
              <w:rPr>
                <w:spacing w:val="-41"/>
                <w:sz w:val="19"/>
                <w:szCs w:val="19"/>
              </w:rPr>
              <w:t xml:space="preserve"> </w:t>
            </w:r>
            <w:r>
              <w:rPr>
                <w:spacing w:val="-5"/>
                <w:sz w:val="19"/>
                <w:szCs w:val="19"/>
              </w:rPr>
              <w:t>)</w:t>
            </w:r>
          </w:p>
          <w:p w14:paraId="10906C67">
            <w:pPr>
              <w:pStyle w:val="6"/>
              <w:spacing w:before="23" w:line="199" w:lineRule="auto"/>
              <w:ind w:left="47" w:right="52" w:firstLine="60"/>
              <w:rPr>
                <w:sz w:val="19"/>
                <w:szCs w:val="19"/>
              </w:rPr>
            </w:pPr>
            <w:r>
              <w:rPr>
                <w:sz w:val="19"/>
                <w:szCs w:val="19"/>
              </w:rPr>
              <w:t>(2)刀工精细，鸡丝粗细</w:t>
            </w:r>
            <w:r>
              <w:rPr>
                <w:spacing w:val="5"/>
                <w:sz w:val="19"/>
                <w:szCs w:val="19"/>
              </w:rPr>
              <w:t xml:space="preserve"> 均匀(40分)</w:t>
            </w:r>
          </w:p>
          <w:p w14:paraId="5FFAD15B">
            <w:pPr>
              <w:pStyle w:val="6"/>
              <w:spacing w:before="2" w:line="213" w:lineRule="auto"/>
              <w:ind w:left="67" w:right="66" w:firstLine="30"/>
              <w:rPr>
                <w:sz w:val="19"/>
                <w:szCs w:val="19"/>
              </w:rPr>
            </w:pPr>
            <w:r>
              <w:rPr>
                <w:sz w:val="19"/>
                <w:szCs w:val="19"/>
              </w:rPr>
              <w:t>(3)卫生及安全性处理得</w:t>
            </w:r>
            <w:r>
              <w:rPr>
                <w:spacing w:val="1"/>
                <w:sz w:val="19"/>
                <w:szCs w:val="19"/>
              </w:rPr>
              <w:t xml:space="preserve"> </w:t>
            </w:r>
            <w:r>
              <w:rPr>
                <w:sz w:val="19"/>
                <w:szCs w:val="19"/>
              </w:rPr>
              <w:t>当(10分)(4)口味咸鲜，</w:t>
            </w:r>
          </w:p>
          <w:p w14:paraId="2133A4DE">
            <w:pPr>
              <w:pStyle w:val="6"/>
              <w:spacing w:before="3" w:line="211" w:lineRule="auto"/>
              <w:ind w:left="36" w:hanging="9"/>
              <w:jc w:val="both"/>
              <w:rPr>
                <w:sz w:val="19"/>
                <w:szCs w:val="19"/>
              </w:rPr>
            </w:pPr>
            <w:r>
              <w:rPr>
                <w:spacing w:val="32"/>
                <w:sz w:val="19"/>
                <w:szCs w:val="19"/>
              </w:rPr>
              <w:t>调味得当(40分);(5)</w:t>
            </w:r>
            <w:r>
              <w:rPr>
                <w:spacing w:val="7"/>
                <w:sz w:val="19"/>
                <w:szCs w:val="19"/>
              </w:rPr>
              <w:t xml:space="preserve"> </w:t>
            </w:r>
            <w:r>
              <w:rPr>
                <w:spacing w:val="-7"/>
                <w:sz w:val="19"/>
                <w:szCs w:val="19"/>
              </w:rPr>
              <w:t>芡汁处理要求亮油包芡(30</w:t>
            </w:r>
            <w:r>
              <w:rPr>
                <w:spacing w:val="7"/>
                <w:sz w:val="19"/>
                <w:szCs w:val="19"/>
              </w:rPr>
              <w:t xml:space="preserve"> </w:t>
            </w:r>
            <w:r>
              <w:rPr>
                <w:spacing w:val="1"/>
                <w:sz w:val="19"/>
                <w:szCs w:val="19"/>
              </w:rPr>
              <w:t>分)(6)装盘恰当(10分)</w:t>
            </w:r>
          </w:p>
        </w:tc>
      </w:tr>
      <w:tr w14:paraId="1C6008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91" w:hRule="atLeast"/>
        </w:trPr>
        <w:tc>
          <w:tcPr>
            <w:tcW w:w="874" w:type="dxa"/>
            <w:vAlign w:val="top"/>
          </w:tcPr>
          <w:p w14:paraId="4FA9353B">
            <w:pPr>
              <w:spacing w:line="272" w:lineRule="auto"/>
              <w:rPr>
                <w:rFonts w:ascii="Arial"/>
                <w:sz w:val="21"/>
              </w:rPr>
            </w:pPr>
          </w:p>
          <w:p w14:paraId="33E607EF">
            <w:pPr>
              <w:spacing w:line="272" w:lineRule="auto"/>
              <w:rPr>
                <w:rFonts w:ascii="Arial"/>
                <w:sz w:val="21"/>
              </w:rPr>
            </w:pPr>
          </w:p>
          <w:p w14:paraId="2F2F678E">
            <w:pPr>
              <w:spacing w:line="273" w:lineRule="auto"/>
              <w:rPr>
                <w:rFonts w:ascii="Arial"/>
                <w:sz w:val="21"/>
              </w:rPr>
            </w:pPr>
          </w:p>
          <w:p w14:paraId="2D5589DD">
            <w:pPr>
              <w:spacing w:line="273" w:lineRule="auto"/>
              <w:rPr>
                <w:rFonts w:ascii="Arial"/>
                <w:sz w:val="21"/>
              </w:rPr>
            </w:pPr>
          </w:p>
          <w:p w14:paraId="143E28C7">
            <w:pPr>
              <w:spacing w:line="273" w:lineRule="auto"/>
              <w:rPr>
                <w:rFonts w:ascii="Arial"/>
                <w:sz w:val="21"/>
              </w:rPr>
            </w:pPr>
          </w:p>
          <w:p w14:paraId="43DBF1EC">
            <w:pPr>
              <w:pStyle w:val="6"/>
              <w:spacing w:before="62" w:line="215" w:lineRule="auto"/>
              <w:ind w:left="234"/>
              <w:rPr>
                <w:sz w:val="19"/>
                <w:szCs w:val="19"/>
              </w:rPr>
            </w:pPr>
            <w:r>
              <w:rPr>
                <w:spacing w:val="-5"/>
                <w:sz w:val="19"/>
                <w:szCs w:val="19"/>
              </w:rPr>
              <w:t>项 目</w:t>
            </w:r>
          </w:p>
          <w:p w14:paraId="11A46673">
            <w:pPr>
              <w:pStyle w:val="6"/>
              <w:spacing w:line="193" w:lineRule="auto"/>
              <w:ind w:left="184"/>
              <w:rPr>
                <w:sz w:val="19"/>
                <w:szCs w:val="19"/>
              </w:rPr>
            </w:pPr>
            <w:r>
              <w:rPr>
                <w:spacing w:val="16"/>
                <w:sz w:val="19"/>
                <w:szCs w:val="19"/>
              </w:rPr>
              <w:t>十一：</w:t>
            </w:r>
          </w:p>
          <w:p w14:paraId="4FF46BBE">
            <w:pPr>
              <w:pStyle w:val="6"/>
              <w:spacing w:line="220" w:lineRule="auto"/>
              <w:ind w:left="44"/>
              <w:rPr>
                <w:sz w:val="19"/>
                <w:szCs w:val="19"/>
              </w:rPr>
            </w:pPr>
            <w:r>
              <w:rPr>
                <w:spacing w:val="4"/>
                <w:sz w:val="19"/>
                <w:szCs w:val="19"/>
              </w:rPr>
              <w:t>中式面点</w:t>
            </w:r>
          </w:p>
          <w:p w14:paraId="285DBED5">
            <w:pPr>
              <w:pStyle w:val="6"/>
              <w:spacing w:before="1" w:line="219" w:lineRule="auto"/>
              <w:ind w:left="144"/>
              <w:rPr>
                <w:sz w:val="19"/>
                <w:szCs w:val="19"/>
              </w:rPr>
            </w:pPr>
            <w:r>
              <w:rPr>
                <w:spacing w:val="-2"/>
                <w:sz w:val="19"/>
                <w:szCs w:val="19"/>
              </w:rPr>
              <w:t>基本功</w:t>
            </w:r>
          </w:p>
        </w:tc>
        <w:tc>
          <w:tcPr>
            <w:tcW w:w="839" w:type="dxa"/>
            <w:vAlign w:val="top"/>
          </w:tcPr>
          <w:p w14:paraId="78E10A1F">
            <w:pPr>
              <w:spacing w:line="389" w:lineRule="auto"/>
              <w:rPr>
                <w:rFonts w:ascii="Arial"/>
                <w:sz w:val="21"/>
              </w:rPr>
            </w:pPr>
          </w:p>
          <w:p w14:paraId="588114A6">
            <w:pPr>
              <w:pStyle w:val="6"/>
              <w:spacing w:before="61" w:line="215" w:lineRule="auto"/>
              <w:ind w:left="121"/>
              <w:rPr>
                <w:sz w:val="19"/>
                <w:szCs w:val="19"/>
              </w:rPr>
            </w:pPr>
            <w:r>
              <w:rPr>
                <w:spacing w:val="-2"/>
                <w:sz w:val="19"/>
                <w:szCs w:val="19"/>
              </w:rPr>
              <w:t>擀面杖</w:t>
            </w:r>
          </w:p>
          <w:p w14:paraId="24F95502">
            <w:pPr>
              <w:pStyle w:val="6"/>
              <w:spacing w:line="212" w:lineRule="auto"/>
              <w:ind w:left="171"/>
              <w:rPr>
                <w:sz w:val="19"/>
                <w:szCs w:val="19"/>
              </w:rPr>
            </w:pPr>
            <w:r>
              <w:rPr>
                <w:spacing w:val="9"/>
                <w:sz w:val="19"/>
                <w:szCs w:val="19"/>
              </w:rPr>
              <w:t>(1根)</w:t>
            </w:r>
          </w:p>
          <w:p w14:paraId="2385C46F">
            <w:pPr>
              <w:pStyle w:val="6"/>
              <w:spacing w:line="214" w:lineRule="auto"/>
              <w:ind w:left="221"/>
              <w:rPr>
                <w:sz w:val="19"/>
                <w:szCs w:val="19"/>
              </w:rPr>
            </w:pPr>
            <w:r>
              <w:rPr>
                <w:spacing w:val="-2"/>
                <w:sz w:val="19"/>
                <w:szCs w:val="19"/>
              </w:rPr>
              <w:t>刮板</w:t>
            </w:r>
          </w:p>
          <w:p w14:paraId="3A00D8B8">
            <w:pPr>
              <w:pStyle w:val="6"/>
              <w:spacing w:line="204" w:lineRule="auto"/>
              <w:ind w:left="171"/>
              <w:rPr>
                <w:sz w:val="19"/>
                <w:szCs w:val="19"/>
              </w:rPr>
            </w:pPr>
            <w:r>
              <w:rPr>
                <w:spacing w:val="9"/>
                <w:sz w:val="19"/>
                <w:szCs w:val="19"/>
              </w:rPr>
              <w:t>(1个)</w:t>
            </w:r>
          </w:p>
          <w:p w14:paraId="5FF4C5D7">
            <w:pPr>
              <w:pStyle w:val="6"/>
              <w:spacing w:line="206" w:lineRule="auto"/>
              <w:ind w:left="221"/>
              <w:rPr>
                <w:sz w:val="19"/>
                <w:szCs w:val="19"/>
              </w:rPr>
            </w:pPr>
            <w:r>
              <w:rPr>
                <w:spacing w:val="-3"/>
                <w:sz w:val="19"/>
                <w:szCs w:val="19"/>
              </w:rPr>
              <w:t>筷子</w:t>
            </w:r>
          </w:p>
          <w:p w14:paraId="5A582795">
            <w:pPr>
              <w:pStyle w:val="6"/>
              <w:spacing w:line="222" w:lineRule="auto"/>
              <w:ind w:left="171"/>
              <w:rPr>
                <w:sz w:val="19"/>
                <w:szCs w:val="19"/>
              </w:rPr>
            </w:pPr>
            <w:r>
              <w:rPr>
                <w:spacing w:val="9"/>
                <w:sz w:val="19"/>
                <w:szCs w:val="19"/>
              </w:rPr>
              <w:t>(1双)</w:t>
            </w:r>
          </w:p>
          <w:p w14:paraId="79E95A2C">
            <w:pPr>
              <w:pStyle w:val="6"/>
              <w:spacing w:before="8" w:line="196" w:lineRule="auto"/>
              <w:ind w:left="221"/>
              <w:rPr>
                <w:sz w:val="19"/>
                <w:szCs w:val="19"/>
              </w:rPr>
            </w:pPr>
            <w:r>
              <w:rPr>
                <w:spacing w:val="-2"/>
                <w:sz w:val="19"/>
                <w:szCs w:val="19"/>
              </w:rPr>
              <w:t>抹布</w:t>
            </w:r>
          </w:p>
          <w:p w14:paraId="3B7B1583">
            <w:pPr>
              <w:pStyle w:val="6"/>
              <w:spacing w:line="213" w:lineRule="auto"/>
              <w:ind w:left="171"/>
              <w:rPr>
                <w:sz w:val="19"/>
                <w:szCs w:val="19"/>
              </w:rPr>
            </w:pPr>
            <w:r>
              <w:rPr>
                <w:spacing w:val="9"/>
                <w:sz w:val="19"/>
                <w:szCs w:val="19"/>
              </w:rPr>
              <w:t>(1块)</w:t>
            </w:r>
          </w:p>
          <w:p w14:paraId="4907D6A7">
            <w:pPr>
              <w:pStyle w:val="6"/>
              <w:spacing w:line="213" w:lineRule="auto"/>
              <w:ind w:left="221"/>
              <w:rPr>
                <w:sz w:val="19"/>
                <w:szCs w:val="19"/>
              </w:rPr>
            </w:pPr>
            <w:r>
              <w:rPr>
                <w:spacing w:val="-2"/>
                <w:sz w:val="19"/>
                <w:szCs w:val="19"/>
              </w:rPr>
              <w:t>盘子</w:t>
            </w:r>
          </w:p>
          <w:p w14:paraId="3EA606EB">
            <w:pPr>
              <w:pStyle w:val="6"/>
              <w:spacing w:before="1" w:line="214" w:lineRule="auto"/>
              <w:ind w:left="171"/>
              <w:rPr>
                <w:sz w:val="19"/>
                <w:szCs w:val="19"/>
              </w:rPr>
            </w:pPr>
            <w:r>
              <w:rPr>
                <w:spacing w:val="9"/>
                <w:sz w:val="19"/>
                <w:szCs w:val="19"/>
              </w:rPr>
              <w:t>(1个)</w:t>
            </w:r>
          </w:p>
          <w:p w14:paraId="3D6D0C49">
            <w:pPr>
              <w:pStyle w:val="6"/>
              <w:spacing w:before="2" w:line="222" w:lineRule="auto"/>
              <w:ind w:left="30" w:right="26" w:firstLine="99"/>
              <w:rPr>
                <w:sz w:val="19"/>
                <w:szCs w:val="19"/>
              </w:rPr>
            </w:pPr>
            <w:r>
              <w:rPr>
                <w:spacing w:val="1"/>
                <w:sz w:val="19"/>
                <w:szCs w:val="19"/>
              </w:rPr>
              <w:t>(所有工</w:t>
            </w:r>
            <w:r>
              <w:rPr>
                <w:sz w:val="19"/>
                <w:szCs w:val="19"/>
              </w:rPr>
              <w:t xml:space="preserve"> </w:t>
            </w:r>
            <w:r>
              <w:rPr>
                <w:spacing w:val="2"/>
                <w:sz w:val="19"/>
                <w:szCs w:val="19"/>
              </w:rPr>
              <w:t>具由承办</w:t>
            </w:r>
          </w:p>
          <w:p w14:paraId="4DAEB9E5">
            <w:pPr>
              <w:pStyle w:val="6"/>
              <w:spacing w:before="1" w:line="194" w:lineRule="auto"/>
              <w:jc w:val="right"/>
              <w:rPr>
                <w:sz w:val="19"/>
                <w:szCs w:val="19"/>
              </w:rPr>
            </w:pPr>
            <w:r>
              <w:rPr>
                <w:spacing w:val="-1"/>
                <w:sz w:val="19"/>
                <w:szCs w:val="19"/>
              </w:rPr>
              <w:t>方提供，</w:t>
            </w:r>
          </w:p>
          <w:p w14:paraId="03AA546C">
            <w:pPr>
              <w:pStyle w:val="6"/>
              <w:spacing w:before="1" w:line="195" w:lineRule="auto"/>
              <w:ind w:left="121"/>
              <w:rPr>
                <w:sz w:val="19"/>
                <w:szCs w:val="19"/>
              </w:rPr>
            </w:pPr>
            <w:r>
              <w:rPr>
                <w:spacing w:val="5"/>
                <w:sz w:val="19"/>
                <w:szCs w:val="19"/>
              </w:rPr>
              <w:t>用后归</w:t>
            </w:r>
          </w:p>
          <w:p w14:paraId="1D524282">
            <w:pPr>
              <w:pStyle w:val="6"/>
              <w:spacing w:line="220" w:lineRule="auto"/>
              <w:ind w:left="260"/>
              <w:rPr>
                <w:sz w:val="19"/>
                <w:szCs w:val="19"/>
              </w:rPr>
            </w:pPr>
            <w:r>
              <w:rPr>
                <w:spacing w:val="-4"/>
                <w:sz w:val="19"/>
                <w:szCs w:val="19"/>
              </w:rPr>
              <w:t>位</w:t>
            </w:r>
            <w:r>
              <w:rPr>
                <w:spacing w:val="-33"/>
                <w:sz w:val="19"/>
                <w:szCs w:val="19"/>
              </w:rPr>
              <w:t xml:space="preserve"> </w:t>
            </w:r>
            <w:r>
              <w:rPr>
                <w:spacing w:val="-4"/>
                <w:sz w:val="19"/>
                <w:szCs w:val="19"/>
              </w:rPr>
              <w:t>)</w:t>
            </w:r>
          </w:p>
        </w:tc>
        <w:tc>
          <w:tcPr>
            <w:tcW w:w="1338" w:type="dxa"/>
            <w:vAlign w:val="top"/>
          </w:tcPr>
          <w:p w14:paraId="15B934FB">
            <w:pPr>
              <w:spacing w:line="243" w:lineRule="auto"/>
              <w:rPr>
                <w:rFonts w:ascii="Arial"/>
                <w:sz w:val="21"/>
              </w:rPr>
            </w:pPr>
          </w:p>
          <w:p w14:paraId="7BD06763">
            <w:pPr>
              <w:spacing w:line="243" w:lineRule="auto"/>
              <w:rPr>
                <w:rFonts w:ascii="Arial"/>
                <w:sz w:val="21"/>
              </w:rPr>
            </w:pPr>
          </w:p>
          <w:p w14:paraId="28B54959">
            <w:pPr>
              <w:spacing w:line="243" w:lineRule="auto"/>
              <w:rPr>
                <w:rFonts w:ascii="Arial"/>
                <w:sz w:val="21"/>
              </w:rPr>
            </w:pPr>
          </w:p>
          <w:p w14:paraId="100CDAC3">
            <w:pPr>
              <w:spacing w:line="243" w:lineRule="auto"/>
              <w:rPr>
                <w:rFonts w:ascii="Arial"/>
                <w:sz w:val="21"/>
              </w:rPr>
            </w:pPr>
          </w:p>
          <w:p w14:paraId="2A9A2156">
            <w:pPr>
              <w:spacing w:line="243" w:lineRule="auto"/>
              <w:rPr>
                <w:rFonts w:ascii="Arial"/>
                <w:sz w:val="21"/>
              </w:rPr>
            </w:pPr>
          </w:p>
          <w:p w14:paraId="199EB29B">
            <w:pPr>
              <w:spacing w:line="243" w:lineRule="auto"/>
              <w:rPr>
                <w:rFonts w:ascii="Arial"/>
                <w:sz w:val="21"/>
              </w:rPr>
            </w:pPr>
          </w:p>
          <w:p w14:paraId="35F9DA5A">
            <w:pPr>
              <w:spacing w:line="243" w:lineRule="auto"/>
              <w:rPr>
                <w:rFonts w:ascii="Arial"/>
                <w:sz w:val="21"/>
              </w:rPr>
            </w:pPr>
          </w:p>
          <w:p w14:paraId="2FB20E24">
            <w:pPr>
              <w:pStyle w:val="6"/>
              <w:spacing w:before="62" w:line="216" w:lineRule="auto"/>
              <w:ind w:left="21" w:firstLine="19"/>
              <w:rPr>
                <w:sz w:val="19"/>
                <w:szCs w:val="19"/>
              </w:rPr>
            </w:pPr>
            <w:r>
              <w:rPr>
                <w:spacing w:val="-7"/>
                <w:sz w:val="19"/>
                <w:szCs w:val="19"/>
              </w:rPr>
              <w:t>调制水调面团，</w:t>
            </w:r>
            <w:r>
              <w:rPr>
                <w:spacing w:val="4"/>
                <w:sz w:val="19"/>
                <w:szCs w:val="19"/>
              </w:rPr>
              <w:t xml:space="preserve"> </w:t>
            </w:r>
            <w:r>
              <w:rPr>
                <w:spacing w:val="-6"/>
                <w:sz w:val="19"/>
                <w:szCs w:val="19"/>
              </w:rPr>
              <w:t>分剂、擀皮</w:t>
            </w:r>
          </w:p>
        </w:tc>
        <w:tc>
          <w:tcPr>
            <w:tcW w:w="879" w:type="dxa"/>
            <w:vAlign w:val="top"/>
          </w:tcPr>
          <w:p w14:paraId="04B0FACB">
            <w:pPr>
              <w:spacing w:line="257" w:lineRule="auto"/>
              <w:rPr>
                <w:rFonts w:ascii="Arial"/>
                <w:sz w:val="21"/>
              </w:rPr>
            </w:pPr>
          </w:p>
          <w:p w14:paraId="28762507">
            <w:pPr>
              <w:spacing w:line="257" w:lineRule="auto"/>
              <w:rPr>
                <w:rFonts w:ascii="Arial"/>
                <w:sz w:val="21"/>
              </w:rPr>
            </w:pPr>
          </w:p>
          <w:p w14:paraId="7612DBEA">
            <w:pPr>
              <w:spacing w:line="257" w:lineRule="auto"/>
              <w:rPr>
                <w:rFonts w:ascii="Arial"/>
                <w:sz w:val="21"/>
              </w:rPr>
            </w:pPr>
          </w:p>
          <w:p w14:paraId="189776F3">
            <w:pPr>
              <w:spacing w:line="257" w:lineRule="auto"/>
              <w:rPr>
                <w:rFonts w:ascii="Arial"/>
                <w:sz w:val="21"/>
              </w:rPr>
            </w:pPr>
          </w:p>
          <w:p w14:paraId="06B8D04E">
            <w:pPr>
              <w:spacing w:line="257" w:lineRule="auto"/>
              <w:rPr>
                <w:rFonts w:ascii="Arial"/>
                <w:sz w:val="21"/>
              </w:rPr>
            </w:pPr>
          </w:p>
          <w:p w14:paraId="38295C5E">
            <w:pPr>
              <w:spacing w:line="257" w:lineRule="auto"/>
              <w:rPr>
                <w:rFonts w:ascii="Arial"/>
                <w:sz w:val="21"/>
              </w:rPr>
            </w:pPr>
          </w:p>
          <w:p w14:paraId="7B0A8402">
            <w:pPr>
              <w:spacing w:line="258" w:lineRule="auto"/>
              <w:rPr>
                <w:rFonts w:ascii="Arial"/>
                <w:sz w:val="21"/>
              </w:rPr>
            </w:pPr>
          </w:p>
          <w:p w14:paraId="5C78D4D6">
            <w:pPr>
              <w:pStyle w:val="6"/>
              <w:spacing w:before="61" w:line="212" w:lineRule="auto"/>
              <w:ind w:left="243" w:right="42" w:hanging="190"/>
              <w:rPr>
                <w:sz w:val="19"/>
                <w:szCs w:val="19"/>
              </w:rPr>
            </w:pPr>
            <w:r>
              <w:rPr>
                <w:spacing w:val="3"/>
                <w:sz w:val="19"/>
                <w:szCs w:val="19"/>
              </w:rPr>
              <w:t>现场操作</w:t>
            </w:r>
            <w:r>
              <w:rPr>
                <w:sz w:val="19"/>
                <w:szCs w:val="19"/>
              </w:rPr>
              <w:t xml:space="preserve"> </w:t>
            </w:r>
            <w:r>
              <w:rPr>
                <w:spacing w:val="-2"/>
                <w:sz w:val="19"/>
                <w:szCs w:val="19"/>
              </w:rPr>
              <w:t>考试</w:t>
            </w:r>
          </w:p>
        </w:tc>
        <w:tc>
          <w:tcPr>
            <w:tcW w:w="2617" w:type="dxa"/>
            <w:vAlign w:val="top"/>
          </w:tcPr>
          <w:p w14:paraId="7106F897">
            <w:pPr>
              <w:spacing w:line="259" w:lineRule="auto"/>
              <w:rPr>
                <w:rFonts w:ascii="Arial"/>
                <w:sz w:val="21"/>
              </w:rPr>
            </w:pPr>
          </w:p>
          <w:p w14:paraId="48041DEA">
            <w:pPr>
              <w:pStyle w:val="6"/>
              <w:spacing w:before="62" w:line="209" w:lineRule="auto"/>
              <w:ind w:left="14"/>
              <w:rPr>
                <w:sz w:val="19"/>
                <w:szCs w:val="19"/>
              </w:rPr>
            </w:pPr>
            <w:r>
              <w:rPr>
                <w:spacing w:val="-5"/>
                <w:sz w:val="19"/>
                <w:szCs w:val="19"/>
              </w:rPr>
              <w:t>1.质量标准：选手一律使用现场</w:t>
            </w:r>
            <w:r>
              <w:rPr>
                <w:spacing w:val="6"/>
                <w:sz w:val="19"/>
                <w:szCs w:val="19"/>
              </w:rPr>
              <w:t xml:space="preserve"> </w:t>
            </w:r>
            <w:r>
              <w:rPr>
                <w:sz w:val="19"/>
                <w:szCs w:val="19"/>
              </w:rPr>
              <w:t>提供的干面粉(300克),其中</w:t>
            </w:r>
          </w:p>
          <w:p w14:paraId="318616D8">
            <w:pPr>
              <w:pStyle w:val="6"/>
              <w:spacing w:before="2" w:line="216" w:lineRule="auto"/>
              <w:ind w:left="14"/>
              <w:rPr>
                <w:sz w:val="19"/>
                <w:szCs w:val="19"/>
              </w:rPr>
            </w:pPr>
            <w:r>
              <w:rPr>
                <w:spacing w:val="-10"/>
                <w:sz w:val="19"/>
                <w:szCs w:val="19"/>
              </w:rPr>
              <w:t>250克调制面团，50克用作干粉；</w:t>
            </w:r>
            <w:r>
              <w:rPr>
                <w:spacing w:val="6"/>
                <w:sz w:val="19"/>
                <w:szCs w:val="19"/>
              </w:rPr>
              <w:t xml:space="preserve"> </w:t>
            </w:r>
            <w:r>
              <w:rPr>
                <w:spacing w:val="-7"/>
                <w:sz w:val="19"/>
                <w:szCs w:val="19"/>
              </w:rPr>
              <w:t>剂子、饺子皮要求一次成型(不</w:t>
            </w:r>
            <w:r>
              <w:rPr>
                <w:spacing w:val="4"/>
                <w:sz w:val="19"/>
                <w:szCs w:val="19"/>
              </w:rPr>
              <w:t xml:space="preserve">  </w:t>
            </w:r>
            <w:r>
              <w:rPr>
                <w:spacing w:val="-5"/>
                <w:sz w:val="19"/>
                <w:szCs w:val="19"/>
              </w:rPr>
              <w:t>得修整),形圆均匀，大小一致，</w:t>
            </w:r>
            <w:r>
              <w:rPr>
                <w:spacing w:val="6"/>
                <w:sz w:val="19"/>
                <w:szCs w:val="19"/>
              </w:rPr>
              <w:t xml:space="preserve"> </w:t>
            </w:r>
            <w:r>
              <w:rPr>
                <w:spacing w:val="-1"/>
                <w:sz w:val="19"/>
                <w:szCs w:val="19"/>
              </w:rPr>
              <w:t>边缘光滑，饺子皮直径7厘米，</w:t>
            </w:r>
            <w:r>
              <w:rPr>
                <w:spacing w:val="12"/>
                <w:sz w:val="19"/>
                <w:szCs w:val="19"/>
              </w:rPr>
              <w:t xml:space="preserve"> </w:t>
            </w:r>
            <w:r>
              <w:rPr>
                <w:spacing w:val="-4"/>
                <w:sz w:val="19"/>
                <w:szCs w:val="19"/>
              </w:rPr>
              <w:t>中间略厚于周边；成品需15个</w:t>
            </w:r>
            <w:r>
              <w:rPr>
                <w:spacing w:val="5"/>
                <w:sz w:val="19"/>
                <w:szCs w:val="19"/>
              </w:rPr>
              <w:t xml:space="preserve">  </w:t>
            </w:r>
            <w:r>
              <w:rPr>
                <w:spacing w:val="-4"/>
                <w:sz w:val="19"/>
                <w:szCs w:val="19"/>
              </w:rPr>
              <w:t>剂子、15个饺子皮，按照7887</w:t>
            </w:r>
            <w:r>
              <w:rPr>
                <w:spacing w:val="1"/>
                <w:sz w:val="19"/>
                <w:szCs w:val="19"/>
              </w:rPr>
              <w:t xml:space="preserve">   </w:t>
            </w:r>
            <w:r>
              <w:rPr>
                <w:spacing w:val="-12"/>
                <w:sz w:val="19"/>
                <w:szCs w:val="19"/>
              </w:rPr>
              <w:t>的排列方式，用现场提供的直径</w:t>
            </w:r>
            <w:r>
              <w:rPr>
                <w:sz w:val="19"/>
                <w:szCs w:val="19"/>
              </w:rPr>
              <w:t xml:space="preserve">  </w:t>
            </w:r>
            <w:r>
              <w:rPr>
                <w:spacing w:val="-7"/>
                <w:sz w:val="19"/>
                <w:szCs w:val="19"/>
              </w:rPr>
              <w:t>35厘米的平盘盛装。</w:t>
            </w:r>
          </w:p>
          <w:p w14:paraId="580897C9">
            <w:pPr>
              <w:pStyle w:val="6"/>
              <w:spacing w:before="2" w:line="213" w:lineRule="auto"/>
              <w:ind w:left="14"/>
              <w:rPr>
                <w:sz w:val="19"/>
                <w:szCs w:val="19"/>
              </w:rPr>
            </w:pPr>
            <w:r>
              <w:rPr>
                <w:spacing w:val="-16"/>
                <w:sz w:val="19"/>
                <w:szCs w:val="19"/>
              </w:rPr>
              <w:t>2.操作时间：制作时间为25分钟。</w:t>
            </w:r>
            <w:r>
              <w:rPr>
                <w:spacing w:val="13"/>
                <w:sz w:val="19"/>
                <w:szCs w:val="19"/>
              </w:rPr>
              <w:t xml:space="preserve"> </w:t>
            </w:r>
            <w:r>
              <w:rPr>
                <w:spacing w:val="-10"/>
                <w:sz w:val="19"/>
                <w:szCs w:val="19"/>
              </w:rPr>
              <w:t>3.考生自行准备烹饪工作服、工</w:t>
            </w:r>
            <w:r>
              <w:rPr>
                <w:sz w:val="19"/>
                <w:szCs w:val="19"/>
              </w:rPr>
              <w:t xml:space="preserve">  </w:t>
            </w:r>
            <w:r>
              <w:rPr>
                <w:spacing w:val="-11"/>
                <w:sz w:val="19"/>
                <w:szCs w:val="19"/>
              </w:rPr>
              <w:t>作帽、围裙和领巾，并在考核过</w:t>
            </w:r>
            <w:r>
              <w:rPr>
                <w:sz w:val="19"/>
                <w:szCs w:val="19"/>
              </w:rPr>
              <w:t xml:space="preserve">  </w:t>
            </w:r>
            <w:r>
              <w:rPr>
                <w:spacing w:val="-6"/>
                <w:sz w:val="19"/>
                <w:szCs w:val="19"/>
              </w:rPr>
              <w:t>程中穿戴整齐，否则扣10分。</w:t>
            </w:r>
          </w:p>
          <w:p w14:paraId="20A19DD5">
            <w:pPr>
              <w:pStyle w:val="6"/>
              <w:spacing w:before="1" w:line="212" w:lineRule="auto"/>
              <w:ind w:left="14"/>
              <w:rPr>
                <w:sz w:val="19"/>
                <w:szCs w:val="19"/>
              </w:rPr>
            </w:pPr>
            <w:r>
              <w:rPr>
                <w:spacing w:val="-5"/>
                <w:sz w:val="19"/>
                <w:szCs w:val="19"/>
              </w:rPr>
              <w:t>4.操作完毕，做到抹布干净，台</w:t>
            </w:r>
            <w:r>
              <w:rPr>
                <w:spacing w:val="6"/>
                <w:sz w:val="19"/>
                <w:szCs w:val="19"/>
              </w:rPr>
              <w:t xml:space="preserve"> </w:t>
            </w:r>
            <w:r>
              <w:rPr>
                <w:spacing w:val="-2"/>
                <w:sz w:val="19"/>
                <w:szCs w:val="19"/>
              </w:rPr>
              <w:t>面清洁，否则扣10分。</w:t>
            </w:r>
          </w:p>
        </w:tc>
        <w:tc>
          <w:tcPr>
            <w:tcW w:w="2172" w:type="dxa"/>
            <w:vAlign w:val="top"/>
          </w:tcPr>
          <w:p w14:paraId="27D678DF">
            <w:pPr>
              <w:spacing w:line="275" w:lineRule="auto"/>
              <w:rPr>
                <w:rFonts w:ascii="Arial"/>
                <w:sz w:val="21"/>
              </w:rPr>
            </w:pPr>
          </w:p>
          <w:p w14:paraId="5E083C02">
            <w:pPr>
              <w:spacing w:line="275" w:lineRule="auto"/>
              <w:rPr>
                <w:rFonts w:ascii="Arial"/>
                <w:sz w:val="21"/>
              </w:rPr>
            </w:pPr>
          </w:p>
          <w:p w14:paraId="56F4B809">
            <w:pPr>
              <w:spacing w:line="276" w:lineRule="auto"/>
              <w:rPr>
                <w:rFonts w:ascii="Arial"/>
                <w:sz w:val="21"/>
              </w:rPr>
            </w:pPr>
          </w:p>
          <w:p w14:paraId="666874A7">
            <w:pPr>
              <w:pStyle w:val="6"/>
              <w:spacing w:before="62" w:line="195" w:lineRule="auto"/>
              <w:ind w:left="117"/>
              <w:rPr>
                <w:sz w:val="19"/>
                <w:szCs w:val="19"/>
              </w:rPr>
            </w:pPr>
            <w:r>
              <w:rPr>
                <w:spacing w:val="4"/>
                <w:sz w:val="19"/>
                <w:szCs w:val="19"/>
              </w:rPr>
              <w:t>(满分100分)</w:t>
            </w:r>
          </w:p>
          <w:p w14:paraId="273BB8F1">
            <w:pPr>
              <w:pStyle w:val="6"/>
              <w:spacing w:line="213" w:lineRule="auto"/>
              <w:ind w:left="98" w:right="49" w:firstLine="9"/>
              <w:rPr>
                <w:sz w:val="19"/>
                <w:szCs w:val="19"/>
              </w:rPr>
            </w:pPr>
            <w:r>
              <w:rPr>
                <w:sz w:val="19"/>
                <w:szCs w:val="19"/>
              </w:rPr>
              <w:t>(1)技法熟练、技巧正确</w:t>
            </w:r>
            <w:r>
              <w:rPr>
                <w:spacing w:val="8"/>
                <w:sz w:val="19"/>
                <w:szCs w:val="19"/>
              </w:rPr>
              <w:t xml:space="preserve"> (40分)</w:t>
            </w:r>
          </w:p>
          <w:p w14:paraId="1FC2E476">
            <w:pPr>
              <w:pStyle w:val="6"/>
              <w:spacing w:line="214" w:lineRule="auto"/>
              <w:ind w:left="57" w:right="53" w:firstLine="49"/>
              <w:rPr>
                <w:sz w:val="19"/>
                <w:szCs w:val="19"/>
              </w:rPr>
            </w:pPr>
            <w:r>
              <w:rPr>
                <w:sz w:val="19"/>
                <w:szCs w:val="19"/>
              </w:rPr>
              <w:t>(2)剂子、饺子皮要求一</w:t>
            </w:r>
            <w:r>
              <w:rPr>
                <w:spacing w:val="4"/>
                <w:sz w:val="19"/>
                <w:szCs w:val="19"/>
              </w:rPr>
              <w:t xml:space="preserve"> </w:t>
            </w:r>
            <w:r>
              <w:rPr>
                <w:spacing w:val="-2"/>
                <w:sz w:val="19"/>
                <w:szCs w:val="19"/>
              </w:rPr>
              <w:t>次成型(不得修整),形</w:t>
            </w:r>
          </w:p>
          <w:p w14:paraId="39B84680">
            <w:pPr>
              <w:pStyle w:val="6"/>
              <w:spacing w:before="1" w:line="213" w:lineRule="auto"/>
              <w:ind w:left="27" w:firstLine="38"/>
              <w:rPr>
                <w:sz w:val="19"/>
                <w:szCs w:val="19"/>
              </w:rPr>
            </w:pPr>
            <w:r>
              <w:rPr>
                <w:spacing w:val="-7"/>
                <w:sz w:val="19"/>
                <w:szCs w:val="19"/>
              </w:rPr>
              <w:t>圆均匀，大小一致，边缘</w:t>
            </w:r>
            <w:r>
              <w:rPr>
                <w:spacing w:val="7"/>
                <w:sz w:val="19"/>
                <w:szCs w:val="19"/>
              </w:rPr>
              <w:t xml:space="preserve"> </w:t>
            </w:r>
            <w:r>
              <w:rPr>
                <w:spacing w:val="-5"/>
                <w:sz w:val="19"/>
                <w:szCs w:val="19"/>
              </w:rPr>
              <w:t>光滑；饺子皮直径7厘米，</w:t>
            </w:r>
            <w:r>
              <w:rPr>
                <w:spacing w:val="8"/>
                <w:sz w:val="19"/>
                <w:szCs w:val="19"/>
              </w:rPr>
              <w:t xml:space="preserve"> </w:t>
            </w:r>
            <w:r>
              <w:rPr>
                <w:spacing w:val="-3"/>
                <w:sz w:val="19"/>
                <w:szCs w:val="19"/>
              </w:rPr>
              <w:t>中间略厚于周边(40分)</w:t>
            </w:r>
          </w:p>
          <w:p w14:paraId="3540BB33">
            <w:pPr>
              <w:pStyle w:val="6"/>
              <w:spacing w:before="2" w:line="226" w:lineRule="auto"/>
              <w:ind w:left="67" w:right="56" w:firstLine="39"/>
              <w:rPr>
                <w:sz w:val="19"/>
                <w:szCs w:val="19"/>
              </w:rPr>
            </w:pPr>
            <w:r>
              <w:rPr>
                <w:sz w:val="19"/>
                <w:szCs w:val="19"/>
              </w:rPr>
              <w:t>(3)卫生及安全性处理得</w:t>
            </w:r>
            <w:r>
              <w:rPr>
                <w:spacing w:val="1"/>
                <w:sz w:val="19"/>
                <w:szCs w:val="19"/>
              </w:rPr>
              <w:t xml:space="preserve"> </w:t>
            </w:r>
            <w:r>
              <w:rPr>
                <w:spacing w:val="6"/>
                <w:sz w:val="19"/>
                <w:szCs w:val="19"/>
              </w:rPr>
              <w:t>当(20分)</w:t>
            </w:r>
          </w:p>
        </w:tc>
      </w:tr>
    </w:tbl>
    <w:p w14:paraId="5E87C478">
      <w:pPr>
        <w:pStyle w:val="2"/>
        <w:spacing w:line="222" w:lineRule="exact"/>
        <w:rPr>
          <w:sz w:val="19"/>
        </w:rPr>
      </w:pPr>
    </w:p>
    <w:p w14:paraId="557429A9">
      <w:pPr>
        <w:spacing w:line="222" w:lineRule="exact"/>
        <w:rPr>
          <w:sz w:val="19"/>
          <w:szCs w:val="19"/>
        </w:rPr>
        <w:sectPr>
          <w:footerReference r:id="rId130" w:type="default"/>
          <w:pgSz w:w="10660" w:h="15080"/>
          <w:pgMar w:top="400" w:right="1034" w:bottom="912" w:left="809" w:header="0" w:footer="741" w:gutter="0"/>
          <w:cols w:space="720" w:num="1"/>
        </w:sectPr>
      </w:pPr>
    </w:p>
    <w:p w14:paraId="6EE0C593">
      <w:pPr>
        <w:spacing w:before="10"/>
      </w:pPr>
    </w:p>
    <w:p w14:paraId="1D1646A3">
      <w:pPr>
        <w:spacing w:before="10"/>
      </w:pPr>
    </w:p>
    <w:p w14:paraId="70533227">
      <w:pPr>
        <w:spacing w:before="10"/>
      </w:pPr>
    </w:p>
    <w:p w14:paraId="73E3D688">
      <w:pPr>
        <w:spacing w:before="9"/>
      </w:pPr>
    </w:p>
    <w:tbl>
      <w:tblPr>
        <w:tblStyle w:val="5"/>
        <w:tblW w:w="872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94"/>
        <w:gridCol w:w="839"/>
        <w:gridCol w:w="1348"/>
        <w:gridCol w:w="859"/>
        <w:gridCol w:w="2647"/>
        <w:gridCol w:w="2133"/>
      </w:tblGrid>
      <w:tr w14:paraId="4F874B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4" w:hRule="atLeast"/>
        </w:trPr>
        <w:tc>
          <w:tcPr>
            <w:tcW w:w="894" w:type="dxa"/>
            <w:vAlign w:val="top"/>
          </w:tcPr>
          <w:p w14:paraId="3E04297E">
            <w:pPr>
              <w:pStyle w:val="6"/>
              <w:spacing w:before="150" w:line="220" w:lineRule="auto"/>
              <w:ind w:left="57"/>
              <w:rPr>
                <w:sz w:val="19"/>
                <w:szCs w:val="19"/>
              </w:rPr>
            </w:pPr>
            <w:r>
              <w:rPr>
                <w:b/>
                <w:bCs/>
                <w:spacing w:val="5"/>
                <w:sz w:val="19"/>
                <w:szCs w:val="19"/>
              </w:rPr>
              <w:t>测试项目</w:t>
            </w:r>
          </w:p>
        </w:tc>
        <w:tc>
          <w:tcPr>
            <w:tcW w:w="839" w:type="dxa"/>
            <w:vAlign w:val="top"/>
          </w:tcPr>
          <w:p w14:paraId="709283D2">
            <w:pPr>
              <w:pStyle w:val="6"/>
              <w:spacing w:before="151" w:line="221" w:lineRule="auto"/>
              <w:ind w:left="33"/>
              <w:rPr>
                <w:sz w:val="19"/>
                <w:szCs w:val="19"/>
              </w:rPr>
            </w:pPr>
            <w:r>
              <w:rPr>
                <w:b/>
                <w:bCs/>
                <w:spacing w:val="-4"/>
                <w:sz w:val="19"/>
                <w:szCs w:val="19"/>
              </w:rPr>
              <w:t>测试用具</w:t>
            </w:r>
          </w:p>
        </w:tc>
        <w:tc>
          <w:tcPr>
            <w:tcW w:w="1348" w:type="dxa"/>
            <w:vAlign w:val="top"/>
          </w:tcPr>
          <w:p w14:paraId="3B99CE38">
            <w:pPr>
              <w:pStyle w:val="6"/>
              <w:spacing w:before="150" w:line="219" w:lineRule="auto"/>
              <w:ind w:left="284"/>
              <w:rPr>
                <w:sz w:val="19"/>
                <w:szCs w:val="19"/>
              </w:rPr>
            </w:pPr>
            <w:r>
              <w:rPr>
                <w:b/>
                <w:bCs/>
                <w:spacing w:val="-4"/>
                <w:sz w:val="19"/>
                <w:szCs w:val="19"/>
              </w:rPr>
              <w:t>测试内容</w:t>
            </w:r>
          </w:p>
        </w:tc>
        <w:tc>
          <w:tcPr>
            <w:tcW w:w="859" w:type="dxa"/>
            <w:vAlign w:val="top"/>
          </w:tcPr>
          <w:p w14:paraId="39744B05">
            <w:pPr>
              <w:pStyle w:val="6"/>
              <w:spacing w:before="151" w:line="221" w:lineRule="auto"/>
              <w:ind w:left="46"/>
              <w:rPr>
                <w:sz w:val="19"/>
                <w:szCs w:val="19"/>
              </w:rPr>
            </w:pPr>
            <w:r>
              <w:rPr>
                <w:b/>
                <w:bCs/>
                <w:spacing w:val="-4"/>
                <w:sz w:val="19"/>
                <w:szCs w:val="19"/>
              </w:rPr>
              <w:t>测试方法</w:t>
            </w:r>
          </w:p>
        </w:tc>
        <w:tc>
          <w:tcPr>
            <w:tcW w:w="2647" w:type="dxa"/>
            <w:vAlign w:val="top"/>
          </w:tcPr>
          <w:p w14:paraId="7055CAE3">
            <w:pPr>
              <w:pStyle w:val="6"/>
              <w:spacing w:before="151" w:line="221" w:lineRule="auto"/>
              <w:ind w:left="937"/>
              <w:rPr>
                <w:sz w:val="19"/>
                <w:szCs w:val="19"/>
              </w:rPr>
            </w:pPr>
            <w:r>
              <w:rPr>
                <w:b/>
                <w:bCs/>
                <w:spacing w:val="-4"/>
                <w:sz w:val="19"/>
                <w:szCs w:val="19"/>
              </w:rPr>
              <w:t>测试要求</w:t>
            </w:r>
          </w:p>
        </w:tc>
        <w:tc>
          <w:tcPr>
            <w:tcW w:w="2133" w:type="dxa"/>
            <w:vAlign w:val="top"/>
          </w:tcPr>
          <w:p w14:paraId="16774BBC">
            <w:pPr>
              <w:pStyle w:val="6"/>
              <w:spacing w:before="150" w:line="219" w:lineRule="auto"/>
              <w:ind w:left="730"/>
              <w:rPr>
                <w:sz w:val="19"/>
                <w:szCs w:val="19"/>
              </w:rPr>
            </w:pPr>
            <w:r>
              <w:rPr>
                <w:b/>
                <w:bCs/>
                <w:spacing w:val="-4"/>
                <w:sz w:val="19"/>
                <w:szCs w:val="19"/>
              </w:rPr>
              <w:t>赋分参考</w:t>
            </w:r>
          </w:p>
        </w:tc>
      </w:tr>
      <w:tr w14:paraId="79F005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135" w:hRule="atLeast"/>
        </w:trPr>
        <w:tc>
          <w:tcPr>
            <w:tcW w:w="894" w:type="dxa"/>
            <w:vAlign w:val="top"/>
          </w:tcPr>
          <w:p w14:paraId="7AF7C6F4">
            <w:pPr>
              <w:rPr>
                <w:rFonts w:ascii="Arial"/>
                <w:sz w:val="21"/>
              </w:rPr>
            </w:pPr>
          </w:p>
          <w:p w14:paraId="6723DD69">
            <w:pPr>
              <w:rPr>
                <w:rFonts w:ascii="Arial"/>
                <w:sz w:val="21"/>
              </w:rPr>
            </w:pPr>
          </w:p>
          <w:p w14:paraId="098576AB">
            <w:pPr>
              <w:rPr>
                <w:rFonts w:ascii="Arial"/>
                <w:sz w:val="21"/>
              </w:rPr>
            </w:pPr>
          </w:p>
          <w:p w14:paraId="61BD4BE6">
            <w:pPr>
              <w:rPr>
                <w:rFonts w:ascii="Arial"/>
                <w:sz w:val="21"/>
              </w:rPr>
            </w:pPr>
          </w:p>
          <w:p w14:paraId="045523DA">
            <w:pPr>
              <w:rPr>
                <w:rFonts w:ascii="Arial"/>
                <w:sz w:val="21"/>
              </w:rPr>
            </w:pPr>
          </w:p>
          <w:p w14:paraId="2E308FD4">
            <w:pPr>
              <w:rPr>
                <w:rFonts w:ascii="Arial"/>
                <w:sz w:val="21"/>
              </w:rPr>
            </w:pPr>
          </w:p>
          <w:p w14:paraId="02FD6653">
            <w:pPr>
              <w:rPr>
                <w:rFonts w:ascii="Arial"/>
                <w:sz w:val="21"/>
              </w:rPr>
            </w:pPr>
          </w:p>
          <w:p w14:paraId="6AEDD7D2">
            <w:pPr>
              <w:spacing w:line="241" w:lineRule="auto"/>
              <w:rPr>
                <w:rFonts w:ascii="Arial"/>
                <w:sz w:val="21"/>
              </w:rPr>
            </w:pPr>
          </w:p>
          <w:p w14:paraId="558C1AFB">
            <w:pPr>
              <w:spacing w:line="241" w:lineRule="auto"/>
              <w:rPr>
                <w:rFonts w:ascii="Arial"/>
                <w:sz w:val="21"/>
              </w:rPr>
            </w:pPr>
          </w:p>
          <w:p w14:paraId="18ED35B5">
            <w:pPr>
              <w:spacing w:line="241" w:lineRule="auto"/>
              <w:rPr>
                <w:rFonts w:ascii="Arial"/>
                <w:sz w:val="21"/>
              </w:rPr>
            </w:pPr>
          </w:p>
          <w:p w14:paraId="47917EDF">
            <w:pPr>
              <w:spacing w:line="241" w:lineRule="auto"/>
              <w:rPr>
                <w:rFonts w:ascii="Arial"/>
                <w:sz w:val="21"/>
              </w:rPr>
            </w:pPr>
          </w:p>
          <w:p w14:paraId="02BE3444">
            <w:pPr>
              <w:spacing w:line="241" w:lineRule="auto"/>
              <w:rPr>
                <w:rFonts w:ascii="Arial"/>
                <w:sz w:val="21"/>
              </w:rPr>
            </w:pPr>
          </w:p>
          <w:p w14:paraId="4F4976FA">
            <w:pPr>
              <w:spacing w:line="241" w:lineRule="auto"/>
              <w:rPr>
                <w:rFonts w:ascii="Arial"/>
                <w:sz w:val="21"/>
              </w:rPr>
            </w:pPr>
          </w:p>
          <w:p w14:paraId="5CE9102D">
            <w:pPr>
              <w:spacing w:line="241" w:lineRule="auto"/>
              <w:rPr>
                <w:rFonts w:ascii="Arial"/>
                <w:sz w:val="21"/>
              </w:rPr>
            </w:pPr>
          </w:p>
          <w:p w14:paraId="4DF7E347">
            <w:pPr>
              <w:spacing w:line="241" w:lineRule="auto"/>
              <w:rPr>
                <w:rFonts w:ascii="Arial"/>
                <w:sz w:val="21"/>
              </w:rPr>
            </w:pPr>
          </w:p>
          <w:p w14:paraId="3DC4570B">
            <w:pPr>
              <w:spacing w:line="241" w:lineRule="auto"/>
              <w:rPr>
                <w:rFonts w:ascii="Arial"/>
                <w:sz w:val="21"/>
              </w:rPr>
            </w:pPr>
          </w:p>
          <w:p w14:paraId="56F3E0CB">
            <w:pPr>
              <w:spacing w:line="241" w:lineRule="auto"/>
              <w:rPr>
                <w:rFonts w:ascii="Arial"/>
                <w:sz w:val="21"/>
              </w:rPr>
            </w:pPr>
          </w:p>
          <w:p w14:paraId="463A5C92">
            <w:pPr>
              <w:pStyle w:val="6"/>
              <w:spacing w:before="61" w:line="214" w:lineRule="auto"/>
              <w:ind w:left="247"/>
              <w:rPr>
                <w:sz w:val="19"/>
                <w:szCs w:val="19"/>
              </w:rPr>
            </w:pPr>
            <w:r>
              <w:rPr>
                <w:b/>
                <w:bCs/>
                <w:spacing w:val="13"/>
                <w:sz w:val="19"/>
                <w:szCs w:val="19"/>
              </w:rPr>
              <w:t>项目</w:t>
            </w:r>
          </w:p>
          <w:p w14:paraId="52626CF6">
            <w:pPr>
              <w:pStyle w:val="6"/>
              <w:spacing w:line="209" w:lineRule="auto"/>
              <w:ind w:left="57" w:right="54" w:firstLine="140"/>
              <w:rPr>
                <w:sz w:val="19"/>
                <w:szCs w:val="19"/>
              </w:rPr>
            </w:pPr>
            <w:r>
              <w:rPr>
                <w:b/>
                <w:bCs/>
                <w:spacing w:val="-3"/>
                <w:sz w:val="19"/>
                <w:szCs w:val="19"/>
              </w:rPr>
              <w:t>十二：</w:t>
            </w:r>
            <w:r>
              <w:rPr>
                <w:spacing w:val="1"/>
                <w:sz w:val="19"/>
                <w:szCs w:val="19"/>
              </w:rPr>
              <w:t xml:space="preserve"> </w:t>
            </w:r>
            <w:r>
              <w:rPr>
                <w:b/>
                <w:bCs/>
                <w:sz w:val="19"/>
                <w:szCs w:val="19"/>
              </w:rPr>
              <w:t>中式面点</w:t>
            </w:r>
            <w:r>
              <w:rPr>
                <w:spacing w:val="2"/>
                <w:sz w:val="19"/>
                <w:szCs w:val="19"/>
              </w:rPr>
              <w:t xml:space="preserve"> </w:t>
            </w:r>
            <w:r>
              <w:rPr>
                <w:b/>
                <w:bCs/>
                <w:spacing w:val="-1"/>
                <w:sz w:val="19"/>
                <w:szCs w:val="19"/>
              </w:rPr>
              <w:t>点心制作</w:t>
            </w:r>
          </w:p>
        </w:tc>
        <w:tc>
          <w:tcPr>
            <w:tcW w:w="839" w:type="dxa"/>
            <w:vAlign w:val="top"/>
          </w:tcPr>
          <w:p w14:paraId="5611488D">
            <w:pPr>
              <w:spacing w:line="244" w:lineRule="auto"/>
              <w:rPr>
                <w:rFonts w:ascii="Arial"/>
                <w:sz w:val="21"/>
              </w:rPr>
            </w:pPr>
          </w:p>
          <w:p w14:paraId="3F0B264B">
            <w:pPr>
              <w:spacing w:line="245" w:lineRule="auto"/>
              <w:rPr>
                <w:rFonts w:ascii="Arial"/>
                <w:sz w:val="21"/>
              </w:rPr>
            </w:pPr>
          </w:p>
          <w:p w14:paraId="6DB4AFF6">
            <w:pPr>
              <w:spacing w:line="245" w:lineRule="auto"/>
              <w:rPr>
                <w:rFonts w:ascii="Arial"/>
                <w:sz w:val="21"/>
              </w:rPr>
            </w:pPr>
          </w:p>
          <w:p w14:paraId="3067381B">
            <w:pPr>
              <w:spacing w:line="245" w:lineRule="auto"/>
              <w:rPr>
                <w:rFonts w:ascii="Arial"/>
                <w:sz w:val="21"/>
              </w:rPr>
            </w:pPr>
          </w:p>
          <w:p w14:paraId="310D0627">
            <w:pPr>
              <w:spacing w:line="245" w:lineRule="auto"/>
              <w:rPr>
                <w:rFonts w:ascii="Arial"/>
                <w:sz w:val="21"/>
              </w:rPr>
            </w:pPr>
          </w:p>
          <w:p w14:paraId="1A07709E">
            <w:pPr>
              <w:spacing w:line="245" w:lineRule="auto"/>
              <w:rPr>
                <w:rFonts w:ascii="Arial"/>
                <w:sz w:val="21"/>
              </w:rPr>
            </w:pPr>
          </w:p>
          <w:p w14:paraId="17392DE2">
            <w:pPr>
              <w:spacing w:line="245" w:lineRule="auto"/>
              <w:rPr>
                <w:rFonts w:ascii="Arial"/>
                <w:sz w:val="21"/>
              </w:rPr>
            </w:pPr>
          </w:p>
          <w:p w14:paraId="3268536A">
            <w:pPr>
              <w:spacing w:line="245" w:lineRule="auto"/>
              <w:rPr>
                <w:rFonts w:ascii="Arial"/>
                <w:sz w:val="21"/>
              </w:rPr>
            </w:pPr>
          </w:p>
          <w:p w14:paraId="7F438A13">
            <w:pPr>
              <w:spacing w:line="245" w:lineRule="auto"/>
              <w:rPr>
                <w:rFonts w:ascii="Arial"/>
                <w:sz w:val="21"/>
              </w:rPr>
            </w:pPr>
          </w:p>
          <w:p w14:paraId="7FA2CDB0">
            <w:pPr>
              <w:spacing w:line="245" w:lineRule="auto"/>
              <w:rPr>
                <w:rFonts w:ascii="Arial"/>
                <w:sz w:val="21"/>
              </w:rPr>
            </w:pPr>
          </w:p>
          <w:p w14:paraId="27A3EA1D">
            <w:pPr>
              <w:pStyle w:val="6"/>
              <w:spacing w:before="62" w:line="214" w:lineRule="auto"/>
              <w:ind w:left="223"/>
              <w:rPr>
                <w:sz w:val="19"/>
                <w:szCs w:val="19"/>
              </w:rPr>
            </w:pPr>
            <w:r>
              <w:rPr>
                <w:b/>
                <w:bCs/>
                <w:spacing w:val="-5"/>
                <w:sz w:val="19"/>
                <w:szCs w:val="19"/>
              </w:rPr>
              <w:t>蒸笼</w:t>
            </w:r>
          </w:p>
          <w:p w14:paraId="54311276">
            <w:pPr>
              <w:pStyle w:val="6"/>
              <w:spacing w:line="220" w:lineRule="auto"/>
              <w:ind w:left="173"/>
              <w:rPr>
                <w:sz w:val="19"/>
                <w:szCs w:val="19"/>
              </w:rPr>
            </w:pPr>
            <w:r>
              <w:rPr>
                <w:b/>
                <w:bCs/>
                <w:spacing w:val="5"/>
                <w:sz w:val="19"/>
                <w:szCs w:val="19"/>
              </w:rPr>
              <w:t>(1套)</w:t>
            </w:r>
          </w:p>
          <w:p w14:paraId="2363C9E4">
            <w:pPr>
              <w:pStyle w:val="6"/>
              <w:spacing w:before="2" w:line="205" w:lineRule="auto"/>
              <w:ind w:left="123"/>
              <w:rPr>
                <w:sz w:val="19"/>
                <w:szCs w:val="19"/>
              </w:rPr>
            </w:pPr>
            <w:r>
              <w:rPr>
                <w:b/>
                <w:bCs/>
                <w:spacing w:val="-4"/>
                <w:sz w:val="19"/>
                <w:szCs w:val="19"/>
              </w:rPr>
              <w:t>擀面杖</w:t>
            </w:r>
          </w:p>
          <w:p w14:paraId="40B0CF77">
            <w:pPr>
              <w:pStyle w:val="6"/>
              <w:spacing w:line="212" w:lineRule="auto"/>
              <w:ind w:left="173"/>
              <w:rPr>
                <w:sz w:val="19"/>
                <w:szCs w:val="19"/>
              </w:rPr>
            </w:pPr>
            <w:r>
              <w:rPr>
                <w:b/>
                <w:bCs/>
                <w:spacing w:val="5"/>
                <w:sz w:val="19"/>
                <w:szCs w:val="19"/>
              </w:rPr>
              <w:t>(1根)</w:t>
            </w:r>
          </w:p>
          <w:p w14:paraId="328CBC0E">
            <w:pPr>
              <w:pStyle w:val="6"/>
              <w:spacing w:line="214" w:lineRule="auto"/>
              <w:ind w:left="223"/>
              <w:rPr>
                <w:sz w:val="19"/>
                <w:szCs w:val="19"/>
              </w:rPr>
            </w:pPr>
            <w:r>
              <w:rPr>
                <w:b/>
                <w:bCs/>
                <w:spacing w:val="-4"/>
                <w:sz w:val="19"/>
                <w:szCs w:val="19"/>
              </w:rPr>
              <w:t>刮板</w:t>
            </w:r>
          </w:p>
          <w:p w14:paraId="610A5BB1">
            <w:pPr>
              <w:pStyle w:val="6"/>
              <w:spacing w:line="214" w:lineRule="auto"/>
              <w:ind w:left="173"/>
              <w:rPr>
                <w:sz w:val="19"/>
                <w:szCs w:val="19"/>
              </w:rPr>
            </w:pPr>
            <w:r>
              <w:rPr>
                <w:b/>
                <w:bCs/>
                <w:spacing w:val="5"/>
                <w:sz w:val="19"/>
                <w:szCs w:val="19"/>
              </w:rPr>
              <w:t>(1个)</w:t>
            </w:r>
          </w:p>
          <w:p w14:paraId="3ACB1838">
            <w:pPr>
              <w:pStyle w:val="6"/>
              <w:spacing w:before="1" w:line="215" w:lineRule="auto"/>
              <w:ind w:left="223"/>
              <w:rPr>
                <w:sz w:val="19"/>
                <w:szCs w:val="19"/>
              </w:rPr>
            </w:pPr>
            <w:r>
              <w:rPr>
                <w:b/>
                <w:bCs/>
                <w:spacing w:val="-5"/>
                <w:sz w:val="19"/>
                <w:szCs w:val="19"/>
              </w:rPr>
              <w:t>筷子</w:t>
            </w:r>
          </w:p>
          <w:p w14:paraId="30C45070">
            <w:pPr>
              <w:pStyle w:val="6"/>
              <w:spacing w:line="221" w:lineRule="auto"/>
              <w:ind w:left="173"/>
              <w:rPr>
                <w:sz w:val="19"/>
                <w:szCs w:val="19"/>
              </w:rPr>
            </w:pPr>
            <w:r>
              <w:rPr>
                <w:b/>
                <w:bCs/>
                <w:spacing w:val="5"/>
                <w:sz w:val="19"/>
                <w:szCs w:val="19"/>
              </w:rPr>
              <w:t>(1双)</w:t>
            </w:r>
          </w:p>
          <w:p w14:paraId="4A207CCD">
            <w:pPr>
              <w:pStyle w:val="6"/>
              <w:spacing w:before="2" w:line="211" w:lineRule="auto"/>
              <w:ind w:left="172" w:right="42" w:hanging="139"/>
              <w:rPr>
                <w:sz w:val="19"/>
                <w:szCs w:val="19"/>
              </w:rPr>
            </w:pPr>
            <w:r>
              <w:rPr>
                <w:b/>
                <w:bCs/>
                <w:spacing w:val="-4"/>
                <w:sz w:val="19"/>
                <w:szCs w:val="19"/>
              </w:rPr>
              <w:t>馅料勺子</w:t>
            </w:r>
            <w:r>
              <w:rPr>
                <w:sz w:val="19"/>
                <w:szCs w:val="19"/>
              </w:rPr>
              <w:t xml:space="preserve"> </w:t>
            </w:r>
            <w:r>
              <w:rPr>
                <w:b/>
                <w:bCs/>
                <w:spacing w:val="5"/>
                <w:sz w:val="19"/>
                <w:szCs w:val="19"/>
              </w:rPr>
              <w:t>(1个)</w:t>
            </w:r>
            <w:r>
              <w:rPr>
                <w:spacing w:val="1"/>
                <w:sz w:val="19"/>
                <w:szCs w:val="19"/>
              </w:rPr>
              <w:t xml:space="preserve">  </w:t>
            </w:r>
            <w:r>
              <w:rPr>
                <w:b/>
                <w:bCs/>
                <w:spacing w:val="19"/>
                <w:sz w:val="19"/>
                <w:szCs w:val="19"/>
              </w:rPr>
              <w:t>抹布</w:t>
            </w:r>
          </w:p>
          <w:p w14:paraId="33E0F953">
            <w:pPr>
              <w:pStyle w:val="6"/>
              <w:spacing w:before="7" w:line="204" w:lineRule="auto"/>
              <w:ind w:left="173" w:right="149"/>
              <w:rPr>
                <w:sz w:val="19"/>
                <w:szCs w:val="19"/>
              </w:rPr>
            </w:pPr>
            <w:r>
              <w:rPr>
                <w:b/>
                <w:bCs/>
                <w:spacing w:val="5"/>
                <w:sz w:val="19"/>
                <w:szCs w:val="19"/>
              </w:rPr>
              <w:t>(1块)</w:t>
            </w:r>
            <w:r>
              <w:rPr>
                <w:spacing w:val="2"/>
                <w:sz w:val="19"/>
                <w:szCs w:val="19"/>
              </w:rPr>
              <w:t xml:space="preserve"> </w:t>
            </w:r>
            <w:r>
              <w:rPr>
                <w:b/>
                <w:bCs/>
                <w:spacing w:val="19"/>
                <w:sz w:val="19"/>
                <w:szCs w:val="19"/>
              </w:rPr>
              <w:t>盘子</w:t>
            </w:r>
            <w:r>
              <w:rPr>
                <w:sz w:val="19"/>
                <w:szCs w:val="19"/>
              </w:rPr>
              <w:t xml:space="preserve">  </w:t>
            </w:r>
            <w:r>
              <w:rPr>
                <w:b/>
                <w:bCs/>
                <w:spacing w:val="5"/>
                <w:sz w:val="19"/>
                <w:szCs w:val="19"/>
              </w:rPr>
              <w:t>(1个)</w:t>
            </w:r>
          </w:p>
          <w:p w14:paraId="2B95ED2A">
            <w:pPr>
              <w:pStyle w:val="6"/>
              <w:spacing w:line="213" w:lineRule="auto"/>
              <w:ind w:left="33" w:right="46" w:firstLine="39"/>
              <w:rPr>
                <w:sz w:val="19"/>
                <w:szCs w:val="19"/>
              </w:rPr>
            </w:pPr>
            <w:r>
              <w:rPr>
                <w:b/>
                <w:bCs/>
                <w:sz w:val="19"/>
                <w:szCs w:val="19"/>
              </w:rPr>
              <w:t>(所有工</w:t>
            </w:r>
            <w:r>
              <w:rPr>
                <w:sz w:val="19"/>
                <w:szCs w:val="19"/>
              </w:rPr>
              <w:t xml:space="preserve"> </w:t>
            </w:r>
            <w:r>
              <w:rPr>
                <w:b/>
                <w:bCs/>
                <w:spacing w:val="-5"/>
                <w:sz w:val="19"/>
                <w:szCs w:val="19"/>
              </w:rPr>
              <w:t>具由承办</w:t>
            </w:r>
          </w:p>
          <w:p w14:paraId="7118399A">
            <w:pPr>
              <w:pStyle w:val="6"/>
              <w:spacing w:before="1" w:line="218" w:lineRule="auto"/>
              <w:jc w:val="right"/>
              <w:rPr>
                <w:sz w:val="19"/>
                <w:szCs w:val="19"/>
              </w:rPr>
            </w:pPr>
            <w:r>
              <w:rPr>
                <w:b/>
                <w:bCs/>
                <w:spacing w:val="-4"/>
                <w:sz w:val="19"/>
                <w:szCs w:val="19"/>
              </w:rPr>
              <w:t>方提供，</w:t>
            </w:r>
          </w:p>
          <w:p w14:paraId="28F0A8D7">
            <w:pPr>
              <w:pStyle w:val="6"/>
              <w:spacing w:before="25" w:line="196" w:lineRule="auto"/>
              <w:ind w:left="123"/>
              <w:rPr>
                <w:sz w:val="19"/>
                <w:szCs w:val="19"/>
              </w:rPr>
            </w:pPr>
            <w:r>
              <w:rPr>
                <w:b/>
                <w:bCs/>
                <w:spacing w:val="-4"/>
                <w:sz w:val="19"/>
                <w:szCs w:val="19"/>
              </w:rPr>
              <w:t>用后归</w:t>
            </w:r>
          </w:p>
          <w:p w14:paraId="2F2D11E2">
            <w:pPr>
              <w:pStyle w:val="6"/>
              <w:spacing w:before="1" w:line="220" w:lineRule="auto"/>
              <w:ind w:left="263"/>
              <w:rPr>
                <w:sz w:val="19"/>
                <w:szCs w:val="19"/>
              </w:rPr>
            </w:pPr>
            <w:r>
              <w:rPr>
                <w:b/>
                <w:bCs/>
                <w:spacing w:val="-6"/>
                <w:sz w:val="19"/>
                <w:szCs w:val="19"/>
              </w:rPr>
              <w:t>位</w:t>
            </w:r>
            <w:r>
              <w:rPr>
                <w:spacing w:val="-39"/>
                <w:sz w:val="19"/>
                <w:szCs w:val="19"/>
              </w:rPr>
              <w:t xml:space="preserve"> </w:t>
            </w:r>
            <w:r>
              <w:rPr>
                <w:b/>
                <w:bCs/>
                <w:spacing w:val="-6"/>
                <w:sz w:val="19"/>
                <w:szCs w:val="19"/>
              </w:rPr>
              <w:t>)</w:t>
            </w:r>
          </w:p>
        </w:tc>
        <w:tc>
          <w:tcPr>
            <w:tcW w:w="1348" w:type="dxa"/>
            <w:vAlign w:val="top"/>
          </w:tcPr>
          <w:p w14:paraId="7D358856">
            <w:pPr>
              <w:rPr>
                <w:rFonts w:ascii="Arial"/>
                <w:sz w:val="21"/>
              </w:rPr>
            </w:pPr>
          </w:p>
          <w:p w14:paraId="4D49123D">
            <w:pPr>
              <w:rPr>
                <w:rFonts w:ascii="Arial"/>
                <w:sz w:val="21"/>
              </w:rPr>
            </w:pPr>
          </w:p>
          <w:p w14:paraId="66CB5244">
            <w:pPr>
              <w:rPr>
                <w:rFonts w:ascii="Arial"/>
                <w:sz w:val="21"/>
              </w:rPr>
            </w:pPr>
          </w:p>
          <w:p w14:paraId="76C1A0E6">
            <w:pPr>
              <w:rPr>
                <w:rFonts w:ascii="Arial"/>
                <w:sz w:val="21"/>
              </w:rPr>
            </w:pPr>
          </w:p>
          <w:p w14:paraId="1699C22A">
            <w:pPr>
              <w:rPr>
                <w:rFonts w:ascii="Arial"/>
                <w:sz w:val="21"/>
              </w:rPr>
            </w:pPr>
          </w:p>
          <w:p w14:paraId="780EF466">
            <w:pPr>
              <w:rPr>
                <w:rFonts w:ascii="Arial"/>
                <w:sz w:val="21"/>
              </w:rPr>
            </w:pPr>
          </w:p>
          <w:p w14:paraId="116D97A8">
            <w:pPr>
              <w:rPr>
                <w:rFonts w:ascii="Arial"/>
                <w:sz w:val="21"/>
              </w:rPr>
            </w:pPr>
          </w:p>
          <w:p w14:paraId="453D24DB">
            <w:pPr>
              <w:rPr>
                <w:rFonts w:ascii="Arial"/>
                <w:sz w:val="21"/>
              </w:rPr>
            </w:pPr>
          </w:p>
          <w:p w14:paraId="53157914">
            <w:pPr>
              <w:rPr>
                <w:rFonts w:ascii="Arial"/>
                <w:sz w:val="21"/>
              </w:rPr>
            </w:pPr>
          </w:p>
          <w:p w14:paraId="1B11C601">
            <w:pPr>
              <w:spacing w:line="241" w:lineRule="auto"/>
              <w:rPr>
                <w:rFonts w:ascii="Arial"/>
                <w:sz w:val="21"/>
              </w:rPr>
            </w:pPr>
          </w:p>
          <w:p w14:paraId="6F765806">
            <w:pPr>
              <w:spacing w:line="241" w:lineRule="auto"/>
              <w:rPr>
                <w:rFonts w:ascii="Arial"/>
                <w:sz w:val="21"/>
              </w:rPr>
            </w:pPr>
          </w:p>
          <w:p w14:paraId="2517B353">
            <w:pPr>
              <w:spacing w:line="241" w:lineRule="auto"/>
              <w:rPr>
                <w:rFonts w:ascii="Arial"/>
                <w:sz w:val="21"/>
              </w:rPr>
            </w:pPr>
          </w:p>
          <w:p w14:paraId="5E7C61E2">
            <w:pPr>
              <w:spacing w:line="241" w:lineRule="auto"/>
              <w:rPr>
                <w:rFonts w:ascii="Arial"/>
                <w:sz w:val="21"/>
              </w:rPr>
            </w:pPr>
          </w:p>
          <w:p w14:paraId="75396ADB">
            <w:pPr>
              <w:spacing w:line="241" w:lineRule="auto"/>
              <w:rPr>
                <w:rFonts w:ascii="Arial"/>
                <w:sz w:val="21"/>
              </w:rPr>
            </w:pPr>
          </w:p>
          <w:p w14:paraId="6693119D">
            <w:pPr>
              <w:spacing w:line="241" w:lineRule="auto"/>
              <w:rPr>
                <w:rFonts w:ascii="Arial"/>
                <w:sz w:val="21"/>
              </w:rPr>
            </w:pPr>
          </w:p>
          <w:p w14:paraId="5E66FFAD">
            <w:pPr>
              <w:spacing w:line="241" w:lineRule="auto"/>
              <w:rPr>
                <w:rFonts w:ascii="Arial"/>
                <w:sz w:val="21"/>
              </w:rPr>
            </w:pPr>
          </w:p>
          <w:p w14:paraId="5774CFFC">
            <w:pPr>
              <w:spacing w:line="241" w:lineRule="auto"/>
              <w:rPr>
                <w:rFonts w:ascii="Arial"/>
                <w:sz w:val="21"/>
              </w:rPr>
            </w:pPr>
          </w:p>
          <w:p w14:paraId="66AAC2A4">
            <w:pPr>
              <w:pStyle w:val="6"/>
              <w:spacing w:before="62" w:line="215" w:lineRule="auto"/>
              <w:ind w:left="14" w:firstLine="29"/>
              <w:jc w:val="both"/>
              <w:rPr>
                <w:sz w:val="19"/>
                <w:szCs w:val="19"/>
              </w:rPr>
            </w:pPr>
            <w:r>
              <w:rPr>
                <w:b/>
                <w:bCs/>
                <w:sz w:val="19"/>
                <w:szCs w:val="19"/>
              </w:rPr>
              <w:t>从"提褶包、月</w:t>
            </w:r>
            <w:r>
              <w:rPr>
                <w:spacing w:val="2"/>
                <w:sz w:val="19"/>
                <w:szCs w:val="19"/>
              </w:rPr>
              <w:t xml:space="preserve"> </w:t>
            </w:r>
            <w:r>
              <w:rPr>
                <w:b/>
                <w:bCs/>
                <w:spacing w:val="-7"/>
                <w:sz w:val="19"/>
                <w:szCs w:val="19"/>
              </w:rPr>
              <w:t>牙蒸饺、葱油花</w:t>
            </w:r>
            <w:r>
              <w:rPr>
                <w:spacing w:val="4"/>
                <w:sz w:val="19"/>
                <w:szCs w:val="19"/>
              </w:rPr>
              <w:t xml:space="preserve"> </w:t>
            </w:r>
            <w:r>
              <w:rPr>
                <w:b/>
                <w:bCs/>
                <w:spacing w:val="-3"/>
                <w:sz w:val="19"/>
                <w:szCs w:val="19"/>
              </w:rPr>
              <w:t>卷”三个点心中</w:t>
            </w:r>
            <w:r>
              <w:rPr>
                <w:sz w:val="19"/>
                <w:szCs w:val="19"/>
              </w:rPr>
              <w:t xml:space="preserve"> </w:t>
            </w:r>
            <w:r>
              <w:rPr>
                <w:b/>
                <w:bCs/>
                <w:spacing w:val="-4"/>
                <w:sz w:val="19"/>
                <w:szCs w:val="19"/>
              </w:rPr>
              <w:t>随机抽取一个</w:t>
            </w:r>
          </w:p>
        </w:tc>
        <w:tc>
          <w:tcPr>
            <w:tcW w:w="859" w:type="dxa"/>
            <w:vAlign w:val="top"/>
          </w:tcPr>
          <w:p w14:paraId="68AD44D0">
            <w:pPr>
              <w:spacing w:line="252" w:lineRule="auto"/>
              <w:rPr>
                <w:rFonts w:ascii="Arial"/>
                <w:sz w:val="21"/>
              </w:rPr>
            </w:pPr>
          </w:p>
          <w:p w14:paraId="0CC07DCE">
            <w:pPr>
              <w:spacing w:line="252" w:lineRule="auto"/>
              <w:rPr>
                <w:rFonts w:ascii="Arial"/>
                <w:sz w:val="21"/>
              </w:rPr>
            </w:pPr>
          </w:p>
          <w:p w14:paraId="772C9C87">
            <w:pPr>
              <w:spacing w:line="252" w:lineRule="auto"/>
              <w:rPr>
                <w:rFonts w:ascii="Arial"/>
                <w:sz w:val="21"/>
              </w:rPr>
            </w:pPr>
          </w:p>
          <w:p w14:paraId="53BCB7C0">
            <w:pPr>
              <w:spacing w:line="252" w:lineRule="auto"/>
              <w:rPr>
                <w:rFonts w:ascii="Arial"/>
                <w:sz w:val="21"/>
              </w:rPr>
            </w:pPr>
          </w:p>
          <w:p w14:paraId="5BE1AACA">
            <w:pPr>
              <w:spacing w:line="252" w:lineRule="auto"/>
              <w:rPr>
                <w:rFonts w:ascii="Arial"/>
                <w:sz w:val="21"/>
              </w:rPr>
            </w:pPr>
          </w:p>
          <w:p w14:paraId="0FFCB144">
            <w:pPr>
              <w:spacing w:line="252" w:lineRule="auto"/>
              <w:rPr>
                <w:rFonts w:ascii="Arial"/>
                <w:sz w:val="21"/>
              </w:rPr>
            </w:pPr>
          </w:p>
          <w:p w14:paraId="65CD16AF">
            <w:pPr>
              <w:spacing w:line="252" w:lineRule="auto"/>
              <w:rPr>
                <w:rFonts w:ascii="Arial"/>
                <w:sz w:val="21"/>
              </w:rPr>
            </w:pPr>
          </w:p>
          <w:p w14:paraId="76CCCAD7">
            <w:pPr>
              <w:spacing w:line="252" w:lineRule="auto"/>
              <w:rPr>
                <w:rFonts w:ascii="Arial"/>
                <w:sz w:val="21"/>
              </w:rPr>
            </w:pPr>
          </w:p>
          <w:p w14:paraId="1392A878">
            <w:pPr>
              <w:spacing w:line="252" w:lineRule="auto"/>
              <w:rPr>
                <w:rFonts w:ascii="Arial"/>
                <w:sz w:val="21"/>
              </w:rPr>
            </w:pPr>
          </w:p>
          <w:p w14:paraId="29BD6A0F">
            <w:pPr>
              <w:spacing w:line="252" w:lineRule="auto"/>
              <w:rPr>
                <w:rFonts w:ascii="Arial"/>
                <w:sz w:val="21"/>
              </w:rPr>
            </w:pPr>
          </w:p>
          <w:p w14:paraId="7318A451">
            <w:pPr>
              <w:spacing w:line="252" w:lineRule="auto"/>
              <w:rPr>
                <w:rFonts w:ascii="Arial"/>
                <w:sz w:val="21"/>
              </w:rPr>
            </w:pPr>
          </w:p>
          <w:p w14:paraId="524BA39D">
            <w:pPr>
              <w:spacing w:line="252" w:lineRule="auto"/>
              <w:rPr>
                <w:rFonts w:ascii="Arial"/>
                <w:sz w:val="21"/>
              </w:rPr>
            </w:pPr>
          </w:p>
          <w:p w14:paraId="1915EA1C">
            <w:pPr>
              <w:spacing w:line="252" w:lineRule="auto"/>
              <w:rPr>
                <w:rFonts w:ascii="Arial"/>
                <w:sz w:val="21"/>
              </w:rPr>
            </w:pPr>
          </w:p>
          <w:p w14:paraId="1D6DE789">
            <w:pPr>
              <w:spacing w:line="252" w:lineRule="auto"/>
              <w:rPr>
                <w:rFonts w:ascii="Arial"/>
                <w:sz w:val="21"/>
              </w:rPr>
            </w:pPr>
          </w:p>
          <w:p w14:paraId="39CD2C53">
            <w:pPr>
              <w:spacing w:line="252" w:lineRule="auto"/>
              <w:rPr>
                <w:rFonts w:ascii="Arial"/>
                <w:sz w:val="21"/>
              </w:rPr>
            </w:pPr>
          </w:p>
          <w:p w14:paraId="50C183FD">
            <w:pPr>
              <w:spacing w:line="253" w:lineRule="auto"/>
              <w:rPr>
                <w:rFonts w:ascii="Arial"/>
                <w:sz w:val="21"/>
              </w:rPr>
            </w:pPr>
          </w:p>
          <w:p w14:paraId="4B9B8B6C">
            <w:pPr>
              <w:spacing w:line="253" w:lineRule="auto"/>
              <w:rPr>
                <w:rFonts w:ascii="Arial"/>
                <w:sz w:val="21"/>
              </w:rPr>
            </w:pPr>
          </w:p>
          <w:p w14:paraId="1235DB3A">
            <w:pPr>
              <w:pStyle w:val="6"/>
              <w:spacing w:before="62" w:line="217" w:lineRule="auto"/>
              <w:ind w:left="16" w:right="51" w:firstLine="30"/>
              <w:rPr>
                <w:sz w:val="19"/>
                <w:szCs w:val="19"/>
              </w:rPr>
            </w:pPr>
            <w:r>
              <w:rPr>
                <w:b/>
                <w:bCs/>
                <w:spacing w:val="-5"/>
                <w:sz w:val="19"/>
                <w:szCs w:val="19"/>
              </w:rPr>
              <w:t>现场操作</w:t>
            </w:r>
            <w:r>
              <w:rPr>
                <w:spacing w:val="2"/>
                <w:sz w:val="19"/>
                <w:szCs w:val="19"/>
              </w:rPr>
              <w:t xml:space="preserve"> </w:t>
            </w:r>
            <w:r>
              <w:rPr>
                <w:b/>
                <w:bCs/>
                <w:spacing w:val="-4"/>
                <w:sz w:val="19"/>
                <w:szCs w:val="19"/>
              </w:rPr>
              <w:t>考试</w:t>
            </w:r>
          </w:p>
        </w:tc>
        <w:tc>
          <w:tcPr>
            <w:tcW w:w="2647" w:type="dxa"/>
            <w:vAlign w:val="top"/>
          </w:tcPr>
          <w:p w14:paraId="3FE64040">
            <w:pPr>
              <w:spacing w:line="256" w:lineRule="auto"/>
              <w:rPr>
                <w:rFonts w:ascii="Arial"/>
                <w:sz w:val="21"/>
              </w:rPr>
            </w:pPr>
          </w:p>
          <w:p w14:paraId="2F42B75C">
            <w:pPr>
              <w:spacing w:line="257" w:lineRule="auto"/>
              <w:rPr>
                <w:rFonts w:ascii="Arial"/>
                <w:sz w:val="21"/>
              </w:rPr>
            </w:pPr>
          </w:p>
          <w:p w14:paraId="226AF60D">
            <w:pPr>
              <w:spacing w:line="257" w:lineRule="auto"/>
              <w:rPr>
                <w:rFonts w:ascii="Arial"/>
                <w:sz w:val="21"/>
              </w:rPr>
            </w:pPr>
          </w:p>
          <w:p w14:paraId="055D7E5A">
            <w:pPr>
              <w:spacing w:line="257" w:lineRule="auto"/>
              <w:rPr>
                <w:rFonts w:ascii="Arial"/>
                <w:sz w:val="21"/>
              </w:rPr>
            </w:pPr>
          </w:p>
          <w:p w14:paraId="7404A9F4">
            <w:pPr>
              <w:spacing w:line="257" w:lineRule="auto"/>
              <w:rPr>
                <w:rFonts w:ascii="Arial"/>
                <w:sz w:val="21"/>
              </w:rPr>
            </w:pPr>
          </w:p>
          <w:p w14:paraId="5C2D0888">
            <w:pPr>
              <w:spacing w:line="257" w:lineRule="auto"/>
              <w:rPr>
                <w:rFonts w:ascii="Arial"/>
                <w:sz w:val="21"/>
              </w:rPr>
            </w:pPr>
          </w:p>
          <w:p w14:paraId="45450CB5">
            <w:pPr>
              <w:spacing w:line="257" w:lineRule="auto"/>
              <w:rPr>
                <w:rFonts w:ascii="Arial"/>
                <w:sz w:val="21"/>
              </w:rPr>
            </w:pPr>
          </w:p>
          <w:p w14:paraId="786D2771">
            <w:pPr>
              <w:spacing w:line="257" w:lineRule="auto"/>
              <w:rPr>
                <w:rFonts w:ascii="Arial"/>
                <w:sz w:val="21"/>
              </w:rPr>
            </w:pPr>
          </w:p>
          <w:p w14:paraId="09367984">
            <w:pPr>
              <w:spacing w:line="257" w:lineRule="auto"/>
              <w:rPr>
                <w:rFonts w:ascii="Arial"/>
                <w:sz w:val="21"/>
              </w:rPr>
            </w:pPr>
          </w:p>
          <w:p w14:paraId="3CC2F12A">
            <w:pPr>
              <w:spacing w:line="257" w:lineRule="auto"/>
              <w:rPr>
                <w:rFonts w:ascii="Arial"/>
                <w:sz w:val="21"/>
              </w:rPr>
            </w:pPr>
          </w:p>
          <w:p w14:paraId="4C5C7EA3">
            <w:pPr>
              <w:pStyle w:val="6"/>
              <w:spacing w:before="61" w:line="220" w:lineRule="auto"/>
              <w:ind w:left="27"/>
              <w:rPr>
                <w:sz w:val="19"/>
                <w:szCs w:val="19"/>
              </w:rPr>
            </w:pPr>
            <w:r>
              <w:rPr>
                <w:b/>
                <w:bCs/>
                <w:spacing w:val="-4"/>
                <w:sz w:val="19"/>
                <w:szCs w:val="19"/>
              </w:rPr>
              <w:t>质量标准</w:t>
            </w:r>
          </w:p>
          <w:p w14:paraId="39E42836">
            <w:pPr>
              <w:pStyle w:val="6"/>
              <w:spacing w:before="2" w:line="201" w:lineRule="auto"/>
              <w:ind w:left="17" w:firstLine="19"/>
              <w:jc w:val="both"/>
              <w:rPr>
                <w:sz w:val="19"/>
                <w:szCs w:val="19"/>
              </w:rPr>
            </w:pPr>
            <w:r>
              <w:rPr>
                <w:b/>
                <w:bCs/>
                <w:spacing w:val="-9"/>
                <w:sz w:val="19"/>
                <w:szCs w:val="19"/>
              </w:rPr>
              <w:t>提褶包：成品5只，每只用酵面</w:t>
            </w:r>
            <w:r>
              <w:rPr>
                <w:spacing w:val="1"/>
                <w:sz w:val="19"/>
                <w:szCs w:val="19"/>
              </w:rPr>
              <w:t xml:space="preserve">  </w:t>
            </w:r>
            <w:r>
              <w:rPr>
                <w:b/>
                <w:bCs/>
                <w:spacing w:val="-17"/>
                <w:sz w:val="19"/>
                <w:szCs w:val="19"/>
              </w:rPr>
              <w:t>35克，要求大小均匀、褶纹清晰、</w:t>
            </w:r>
            <w:r>
              <w:rPr>
                <w:spacing w:val="8"/>
                <w:sz w:val="19"/>
                <w:szCs w:val="19"/>
              </w:rPr>
              <w:t xml:space="preserve"> </w:t>
            </w:r>
            <w:r>
              <w:rPr>
                <w:b/>
                <w:bCs/>
                <w:spacing w:val="-8"/>
                <w:sz w:val="19"/>
                <w:szCs w:val="19"/>
              </w:rPr>
              <w:t>表皮光亮、收口美观一致。</w:t>
            </w:r>
          </w:p>
          <w:p w14:paraId="3EF417B1">
            <w:pPr>
              <w:pStyle w:val="6"/>
              <w:spacing w:line="219" w:lineRule="auto"/>
              <w:ind w:left="177"/>
              <w:rPr>
                <w:sz w:val="19"/>
                <w:szCs w:val="19"/>
              </w:rPr>
            </w:pPr>
            <w:r>
              <w:rPr>
                <w:b/>
                <w:bCs/>
                <w:spacing w:val="-2"/>
                <w:sz w:val="19"/>
                <w:szCs w:val="19"/>
              </w:rPr>
              <w:t>(2)三鲜蒸饺：成品5只，每</w:t>
            </w:r>
          </w:p>
          <w:p w14:paraId="65708EC6">
            <w:pPr>
              <w:pStyle w:val="6"/>
              <w:spacing w:before="33" w:line="201" w:lineRule="auto"/>
              <w:ind w:left="17"/>
              <w:rPr>
                <w:sz w:val="19"/>
                <w:szCs w:val="19"/>
              </w:rPr>
            </w:pPr>
            <w:r>
              <w:rPr>
                <w:b/>
                <w:bCs/>
                <w:spacing w:val="-5"/>
                <w:sz w:val="19"/>
                <w:szCs w:val="19"/>
              </w:rPr>
              <w:t>只用水面20克，要求大小均匀、</w:t>
            </w:r>
            <w:r>
              <w:rPr>
                <w:spacing w:val="3"/>
                <w:sz w:val="19"/>
                <w:szCs w:val="19"/>
              </w:rPr>
              <w:t xml:space="preserve"> </w:t>
            </w:r>
            <w:r>
              <w:rPr>
                <w:b/>
                <w:bCs/>
                <w:spacing w:val="-11"/>
                <w:sz w:val="19"/>
                <w:szCs w:val="19"/>
              </w:rPr>
              <w:t>褶纹清晰、表皮光亮、收口美观</w:t>
            </w:r>
            <w:r>
              <w:rPr>
                <w:sz w:val="19"/>
                <w:szCs w:val="19"/>
              </w:rPr>
              <w:t xml:space="preserve">  </w:t>
            </w:r>
            <w:r>
              <w:rPr>
                <w:b/>
                <w:bCs/>
                <w:spacing w:val="-3"/>
                <w:sz w:val="19"/>
                <w:szCs w:val="19"/>
              </w:rPr>
              <w:t>一致。</w:t>
            </w:r>
          </w:p>
          <w:p w14:paraId="51C321A1">
            <w:pPr>
              <w:pStyle w:val="6"/>
              <w:spacing w:line="219" w:lineRule="auto"/>
              <w:ind w:left="177"/>
              <w:rPr>
                <w:sz w:val="19"/>
                <w:szCs w:val="19"/>
              </w:rPr>
            </w:pPr>
            <w:r>
              <w:rPr>
                <w:b/>
                <w:bCs/>
                <w:spacing w:val="-2"/>
                <w:sz w:val="19"/>
                <w:szCs w:val="19"/>
              </w:rPr>
              <w:t>(3)葱油花卷：成品5只，每</w:t>
            </w:r>
          </w:p>
          <w:p w14:paraId="3E006CDB">
            <w:pPr>
              <w:pStyle w:val="6"/>
              <w:spacing w:before="26" w:line="211" w:lineRule="auto"/>
              <w:ind w:left="17"/>
              <w:rPr>
                <w:sz w:val="19"/>
                <w:szCs w:val="19"/>
              </w:rPr>
            </w:pPr>
            <w:r>
              <w:rPr>
                <w:b/>
                <w:bCs/>
                <w:spacing w:val="-5"/>
                <w:sz w:val="19"/>
                <w:szCs w:val="19"/>
              </w:rPr>
              <w:t>只用酵面35克，要求大小均匀、</w:t>
            </w:r>
            <w:r>
              <w:rPr>
                <w:spacing w:val="3"/>
                <w:sz w:val="19"/>
                <w:szCs w:val="19"/>
              </w:rPr>
              <w:t xml:space="preserve"> </w:t>
            </w:r>
            <w:r>
              <w:rPr>
                <w:b/>
                <w:bCs/>
                <w:spacing w:val="-18"/>
                <w:sz w:val="19"/>
                <w:szCs w:val="19"/>
              </w:rPr>
              <w:t>纹理清晰、表皮光亮、美观一致。</w:t>
            </w:r>
            <w:r>
              <w:rPr>
                <w:spacing w:val="8"/>
                <w:sz w:val="19"/>
                <w:szCs w:val="19"/>
              </w:rPr>
              <w:t xml:space="preserve"> </w:t>
            </w:r>
            <w:r>
              <w:rPr>
                <w:b/>
                <w:bCs/>
                <w:spacing w:val="-16"/>
                <w:sz w:val="19"/>
                <w:szCs w:val="19"/>
              </w:rPr>
              <w:t>2.操作时间：制作时间为30分钟，</w:t>
            </w:r>
            <w:r>
              <w:rPr>
                <w:spacing w:val="6"/>
                <w:sz w:val="19"/>
                <w:szCs w:val="19"/>
              </w:rPr>
              <w:t xml:space="preserve"> </w:t>
            </w:r>
            <w:r>
              <w:rPr>
                <w:b/>
                <w:bCs/>
                <w:spacing w:val="-6"/>
                <w:sz w:val="19"/>
                <w:szCs w:val="19"/>
              </w:rPr>
              <w:t>蒸制时间另计。</w:t>
            </w:r>
          </w:p>
          <w:p w14:paraId="509FD324">
            <w:pPr>
              <w:pStyle w:val="6"/>
              <w:spacing w:before="1" w:line="210" w:lineRule="auto"/>
              <w:ind w:left="17"/>
              <w:rPr>
                <w:sz w:val="19"/>
                <w:szCs w:val="19"/>
              </w:rPr>
            </w:pPr>
            <w:r>
              <w:rPr>
                <w:b/>
                <w:bCs/>
                <w:spacing w:val="-5"/>
                <w:sz w:val="19"/>
                <w:szCs w:val="19"/>
              </w:rPr>
              <w:t>3.考生自行准备烹饪工作服、工</w:t>
            </w:r>
            <w:r>
              <w:rPr>
                <w:spacing w:val="3"/>
                <w:sz w:val="19"/>
                <w:szCs w:val="19"/>
              </w:rPr>
              <w:t xml:space="preserve"> </w:t>
            </w:r>
            <w:r>
              <w:rPr>
                <w:b/>
                <w:bCs/>
                <w:spacing w:val="-6"/>
                <w:sz w:val="19"/>
                <w:szCs w:val="19"/>
              </w:rPr>
              <w:t>作帽、围裙和领巾，并在考核过</w:t>
            </w:r>
            <w:r>
              <w:rPr>
                <w:spacing w:val="11"/>
                <w:sz w:val="19"/>
                <w:szCs w:val="19"/>
              </w:rPr>
              <w:t xml:space="preserve"> </w:t>
            </w:r>
            <w:r>
              <w:rPr>
                <w:b/>
                <w:bCs/>
                <w:spacing w:val="-3"/>
                <w:sz w:val="19"/>
                <w:szCs w:val="19"/>
              </w:rPr>
              <w:t>程中穿戴整齐，否则扣10分。</w:t>
            </w:r>
          </w:p>
          <w:p w14:paraId="362B4B3F">
            <w:pPr>
              <w:pStyle w:val="6"/>
              <w:spacing w:line="222" w:lineRule="auto"/>
              <w:ind w:left="36" w:hanging="19"/>
              <w:rPr>
                <w:sz w:val="19"/>
                <w:szCs w:val="19"/>
              </w:rPr>
            </w:pPr>
            <w:r>
              <w:rPr>
                <w:b/>
                <w:bCs/>
                <w:spacing w:val="-5"/>
                <w:sz w:val="19"/>
                <w:szCs w:val="19"/>
              </w:rPr>
              <w:t>4.操作完毕，做到抹布干净，台</w:t>
            </w:r>
            <w:r>
              <w:rPr>
                <w:spacing w:val="3"/>
                <w:sz w:val="19"/>
                <w:szCs w:val="19"/>
              </w:rPr>
              <w:t xml:space="preserve"> </w:t>
            </w:r>
            <w:r>
              <w:rPr>
                <w:b/>
                <w:bCs/>
                <w:spacing w:val="-5"/>
                <w:sz w:val="19"/>
                <w:szCs w:val="19"/>
              </w:rPr>
              <w:t>面清洁，否则扣10分。</w:t>
            </w:r>
          </w:p>
        </w:tc>
        <w:tc>
          <w:tcPr>
            <w:tcW w:w="2133" w:type="dxa"/>
            <w:vAlign w:val="top"/>
          </w:tcPr>
          <w:p w14:paraId="65768587">
            <w:pPr>
              <w:pStyle w:val="6"/>
              <w:spacing w:before="116" w:line="195" w:lineRule="auto"/>
              <w:ind w:left="40"/>
              <w:rPr>
                <w:sz w:val="19"/>
                <w:szCs w:val="19"/>
              </w:rPr>
            </w:pPr>
            <w:r>
              <w:rPr>
                <w:b/>
                <w:bCs/>
                <w:spacing w:val="3"/>
                <w:sz w:val="19"/>
                <w:szCs w:val="19"/>
              </w:rPr>
              <w:t>(满分150分)</w:t>
            </w:r>
          </w:p>
          <w:p w14:paraId="5171273F">
            <w:pPr>
              <w:pStyle w:val="6"/>
              <w:spacing w:line="220" w:lineRule="auto"/>
              <w:ind w:left="40"/>
              <w:rPr>
                <w:sz w:val="19"/>
                <w:szCs w:val="19"/>
              </w:rPr>
            </w:pPr>
            <w:r>
              <w:rPr>
                <w:b/>
                <w:bCs/>
                <w:spacing w:val="-2"/>
                <w:sz w:val="19"/>
                <w:szCs w:val="19"/>
              </w:rPr>
              <w:t>1.提褶包</w:t>
            </w:r>
          </w:p>
          <w:p w14:paraId="6D69DBAD">
            <w:pPr>
              <w:pStyle w:val="6"/>
              <w:spacing w:before="3" w:line="212" w:lineRule="auto"/>
              <w:ind w:left="40" w:right="137" w:firstLine="39"/>
              <w:rPr>
                <w:sz w:val="19"/>
                <w:szCs w:val="19"/>
              </w:rPr>
            </w:pPr>
            <w:r>
              <w:rPr>
                <w:b/>
                <w:bCs/>
                <w:spacing w:val="-2"/>
                <w:sz w:val="19"/>
                <w:szCs w:val="19"/>
              </w:rPr>
              <w:t>(1)技法熟练、准确(20</w:t>
            </w:r>
            <w:r>
              <w:rPr>
                <w:spacing w:val="3"/>
                <w:sz w:val="19"/>
                <w:szCs w:val="19"/>
              </w:rPr>
              <w:t xml:space="preserve"> </w:t>
            </w:r>
            <w:r>
              <w:rPr>
                <w:b/>
                <w:bCs/>
                <w:spacing w:val="-7"/>
                <w:sz w:val="19"/>
                <w:szCs w:val="19"/>
              </w:rPr>
              <w:t>分</w:t>
            </w:r>
            <w:r>
              <w:rPr>
                <w:spacing w:val="-37"/>
                <w:sz w:val="19"/>
                <w:szCs w:val="19"/>
              </w:rPr>
              <w:t xml:space="preserve"> </w:t>
            </w:r>
            <w:r>
              <w:rPr>
                <w:b/>
                <w:bCs/>
                <w:spacing w:val="-7"/>
                <w:sz w:val="19"/>
                <w:szCs w:val="19"/>
              </w:rPr>
              <w:t>)</w:t>
            </w:r>
          </w:p>
          <w:p w14:paraId="5E47BDBA">
            <w:pPr>
              <w:pStyle w:val="6"/>
              <w:spacing w:before="2" w:line="209" w:lineRule="auto"/>
              <w:ind w:left="40" w:right="72"/>
              <w:rPr>
                <w:sz w:val="19"/>
                <w:szCs w:val="19"/>
              </w:rPr>
            </w:pPr>
            <w:r>
              <w:rPr>
                <w:b/>
                <w:bCs/>
                <w:spacing w:val="-1"/>
                <w:sz w:val="19"/>
                <w:szCs w:val="19"/>
              </w:rPr>
              <w:t>(2)熟制时间及技巧正确</w:t>
            </w:r>
            <w:r>
              <w:rPr>
                <w:spacing w:val="1"/>
                <w:sz w:val="19"/>
                <w:szCs w:val="19"/>
              </w:rPr>
              <w:t xml:space="preserve"> </w:t>
            </w:r>
            <w:r>
              <w:rPr>
                <w:b/>
                <w:bCs/>
                <w:spacing w:val="5"/>
                <w:sz w:val="19"/>
                <w:szCs w:val="19"/>
              </w:rPr>
              <w:t>(30分)</w:t>
            </w:r>
          </w:p>
          <w:p w14:paraId="75E4D659">
            <w:pPr>
              <w:pStyle w:val="6"/>
              <w:spacing w:before="2" w:line="218" w:lineRule="auto"/>
              <w:ind w:left="40" w:right="40" w:firstLine="49"/>
              <w:rPr>
                <w:sz w:val="19"/>
                <w:szCs w:val="19"/>
              </w:rPr>
            </w:pPr>
            <w:r>
              <w:rPr>
                <w:b/>
                <w:bCs/>
                <w:spacing w:val="-3"/>
                <w:sz w:val="19"/>
                <w:szCs w:val="19"/>
              </w:rPr>
              <w:t>(3)卫生及安全性处理得</w:t>
            </w:r>
            <w:r>
              <w:rPr>
                <w:spacing w:val="8"/>
                <w:sz w:val="19"/>
                <w:szCs w:val="19"/>
              </w:rPr>
              <w:t xml:space="preserve"> </w:t>
            </w:r>
            <w:r>
              <w:rPr>
                <w:b/>
                <w:bCs/>
                <w:spacing w:val="4"/>
                <w:sz w:val="19"/>
                <w:szCs w:val="19"/>
              </w:rPr>
              <w:t>当(10分)</w:t>
            </w:r>
          </w:p>
          <w:p w14:paraId="38CA859D">
            <w:pPr>
              <w:pStyle w:val="6"/>
              <w:spacing w:line="213" w:lineRule="auto"/>
              <w:ind w:left="20" w:firstLine="39"/>
              <w:jc w:val="both"/>
              <w:rPr>
                <w:sz w:val="19"/>
                <w:szCs w:val="19"/>
              </w:rPr>
            </w:pPr>
            <w:r>
              <w:rPr>
                <w:b/>
                <w:bCs/>
                <w:spacing w:val="-2"/>
                <w:sz w:val="19"/>
                <w:szCs w:val="19"/>
              </w:rPr>
              <w:t>(4)成品大小均匀(20分)</w:t>
            </w:r>
            <w:r>
              <w:rPr>
                <w:spacing w:val="7"/>
                <w:sz w:val="19"/>
                <w:szCs w:val="19"/>
              </w:rPr>
              <w:t xml:space="preserve"> </w:t>
            </w:r>
            <w:r>
              <w:rPr>
                <w:b/>
                <w:bCs/>
                <w:spacing w:val="1"/>
                <w:sz w:val="19"/>
                <w:szCs w:val="19"/>
              </w:rPr>
              <w:t>(5)饱满无塌陷，褶纹清</w:t>
            </w:r>
            <w:r>
              <w:rPr>
                <w:spacing w:val="8"/>
                <w:sz w:val="19"/>
                <w:szCs w:val="19"/>
              </w:rPr>
              <w:t xml:space="preserve"> </w:t>
            </w:r>
            <w:r>
              <w:rPr>
                <w:b/>
                <w:bCs/>
                <w:spacing w:val="-2"/>
                <w:sz w:val="19"/>
                <w:szCs w:val="19"/>
              </w:rPr>
              <w:t>晰，收口美观一致(30分)</w:t>
            </w:r>
            <w:r>
              <w:rPr>
                <w:spacing w:val="11"/>
                <w:sz w:val="19"/>
                <w:szCs w:val="19"/>
              </w:rPr>
              <w:t xml:space="preserve"> </w:t>
            </w:r>
            <w:r>
              <w:rPr>
                <w:b/>
                <w:bCs/>
                <w:spacing w:val="1"/>
                <w:sz w:val="19"/>
                <w:szCs w:val="19"/>
              </w:rPr>
              <w:t>(6)表皮光亮、色白蓬松</w:t>
            </w:r>
            <w:r>
              <w:rPr>
                <w:sz w:val="19"/>
                <w:szCs w:val="19"/>
              </w:rPr>
              <w:t xml:space="preserve"> </w:t>
            </w:r>
            <w:r>
              <w:rPr>
                <w:b/>
                <w:bCs/>
                <w:spacing w:val="7"/>
                <w:sz w:val="19"/>
                <w:szCs w:val="19"/>
              </w:rPr>
              <w:t>(20分)</w:t>
            </w:r>
          </w:p>
          <w:p w14:paraId="596F6A32">
            <w:pPr>
              <w:pStyle w:val="6"/>
              <w:spacing w:before="3" w:line="214" w:lineRule="auto"/>
              <w:ind w:left="40" w:right="425"/>
              <w:rPr>
                <w:sz w:val="19"/>
                <w:szCs w:val="19"/>
              </w:rPr>
            </w:pPr>
            <w:r>
              <w:rPr>
                <w:b/>
                <w:bCs/>
                <w:spacing w:val="1"/>
                <w:sz w:val="19"/>
                <w:szCs w:val="19"/>
              </w:rPr>
              <w:t>(7)调味得当(20分)</w:t>
            </w:r>
            <w:r>
              <w:rPr>
                <w:spacing w:val="4"/>
                <w:sz w:val="19"/>
                <w:szCs w:val="19"/>
              </w:rPr>
              <w:t xml:space="preserve"> </w:t>
            </w:r>
            <w:r>
              <w:rPr>
                <w:b/>
                <w:bCs/>
                <w:spacing w:val="-4"/>
                <w:sz w:val="19"/>
                <w:szCs w:val="19"/>
              </w:rPr>
              <w:t>2.月牙蒸饺</w:t>
            </w:r>
          </w:p>
          <w:p w14:paraId="4E4B6C22">
            <w:pPr>
              <w:pStyle w:val="6"/>
              <w:spacing w:before="1" w:line="213" w:lineRule="auto"/>
              <w:ind w:left="40" w:right="137" w:firstLine="39"/>
              <w:rPr>
                <w:sz w:val="19"/>
                <w:szCs w:val="19"/>
              </w:rPr>
            </w:pPr>
            <w:r>
              <w:rPr>
                <w:b/>
                <w:bCs/>
                <w:spacing w:val="-2"/>
                <w:sz w:val="19"/>
                <w:szCs w:val="19"/>
              </w:rPr>
              <w:t>(1)技法熟练、准确(20</w:t>
            </w:r>
            <w:r>
              <w:rPr>
                <w:spacing w:val="3"/>
                <w:sz w:val="19"/>
                <w:szCs w:val="19"/>
              </w:rPr>
              <w:t xml:space="preserve"> </w:t>
            </w:r>
            <w:r>
              <w:rPr>
                <w:b/>
                <w:bCs/>
                <w:spacing w:val="-7"/>
                <w:sz w:val="19"/>
                <w:szCs w:val="19"/>
              </w:rPr>
              <w:t>分</w:t>
            </w:r>
            <w:r>
              <w:rPr>
                <w:spacing w:val="-37"/>
                <w:sz w:val="19"/>
                <w:szCs w:val="19"/>
              </w:rPr>
              <w:t xml:space="preserve"> </w:t>
            </w:r>
            <w:r>
              <w:rPr>
                <w:b/>
                <w:bCs/>
                <w:spacing w:val="-7"/>
                <w:sz w:val="19"/>
                <w:szCs w:val="19"/>
              </w:rPr>
              <w:t>)</w:t>
            </w:r>
          </w:p>
          <w:p w14:paraId="00F99255">
            <w:pPr>
              <w:pStyle w:val="6"/>
              <w:spacing w:line="212" w:lineRule="auto"/>
              <w:ind w:left="40" w:right="52" w:firstLine="29"/>
              <w:rPr>
                <w:sz w:val="19"/>
                <w:szCs w:val="19"/>
              </w:rPr>
            </w:pPr>
            <w:r>
              <w:rPr>
                <w:b/>
                <w:bCs/>
                <w:spacing w:val="-2"/>
                <w:sz w:val="19"/>
                <w:szCs w:val="19"/>
              </w:rPr>
              <w:t>(2)熟制时间及技巧正确</w:t>
            </w:r>
            <w:r>
              <w:rPr>
                <w:spacing w:val="3"/>
                <w:sz w:val="19"/>
                <w:szCs w:val="19"/>
              </w:rPr>
              <w:t xml:space="preserve"> </w:t>
            </w:r>
            <w:r>
              <w:rPr>
                <w:b/>
                <w:bCs/>
                <w:spacing w:val="5"/>
                <w:sz w:val="19"/>
                <w:szCs w:val="19"/>
              </w:rPr>
              <w:t>(30分)</w:t>
            </w:r>
          </w:p>
          <w:p w14:paraId="3890DA8E">
            <w:pPr>
              <w:pStyle w:val="6"/>
              <w:spacing w:before="2" w:line="214" w:lineRule="auto"/>
              <w:ind w:left="40" w:right="40" w:firstLine="49"/>
              <w:rPr>
                <w:sz w:val="19"/>
                <w:szCs w:val="19"/>
              </w:rPr>
            </w:pPr>
            <w:r>
              <w:rPr>
                <w:b/>
                <w:bCs/>
                <w:spacing w:val="-3"/>
                <w:sz w:val="19"/>
                <w:szCs w:val="19"/>
              </w:rPr>
              <w:t>(3)卫生及安全性处理得</w:t>
            </w:r>
            <w:r>
              <w:rPr>
                <w:spacing w:val="8"/>
                <w:sz w:val="19"/>
                <w:szCs w:val="19"/>
              </w:rPr>
              <w:t xml:space="preserve"> </w:t>
            </w:r>
            <w:r>
              <w:rPr>
                <w:b/>
                <w:bCs/>
                <w:spacing w:val="4"/>
                <w:sz w:val="19"/>
                <w:szCs w:val="19"/>
              </w:rPr>
              <w:t>当(10分)</w:t>
            </w:r>
          </w:p>
          <w:p w14:paraId="3D187FE2">
            <w:pPr>
              <w:pStyle w:val="6"/>
              <w:spacing w:before="2" w:line="213" w:lineRule="auto"/>
              <w:ind w:left="40" w:right="37" w:firstLine="49"/>
              <w:rPr>
                <w:sz w:val="19"/>
                <w:szCs w:val="19"/>
              </w:rPr>
            </w:pPr>
            <w:r>
              <w:rPr>
                <w:b/>
                <w:bCs/>
                <w:spacing w:val="-2"/>
                <w:sz w:val="19"/>
                <w:szCs w:val="19"/>
              </w:rPr>
              <w:t>(4)面皮厚薄均匀，底部</w:t>
            </w:r>
            <w:r>
              <w:rPr>
                <w:sz w:val="19"/>
                <w:szCs w:val="19"/>
              </w:rPr>
              <w:t xml:space="preserve"> </w:t>
            </w:r>
            <w:r>
              <w:rPr>
                <w:b/>
                <w:bCs/>
                <w:spacing w:val="2"/>
                <w:sz w:val="19"/>
                <w:szCs w:val="19"/>
              </w:rPr>
              <w:t>不板结(20分)</w:t>
            </w:r>
          </w:p>
          <w:p w14:paraId="5B528298">
            <w:pPr>
              <w:pStyle w:val="6"/>
              <w:spacing w:before="1" w:line="212" w:lineRule="auto"/>
              <w:ind w:left="40" w:right="48" w:firstLine="39"/>
              <w:rPr>
                <w:sz w:val="19"/>
                <w:szCs w:val="19"/>
              </w:rPr>
            </w:pPr>
            <w:r>
              <w:rPr>
                <w:b/>
                <w:bCs/>
                <w:spacing w:val="-3"/>
                <w:sz w:val="19"/>
                <w:szCs w:val="19"/>
              </w:rPr>
              <w:t>(5)表面光滑，成形美观</w:t>
            </w:r>
            <w:r>
              <w:rPr>
                <w:spacing w:val="10"/>
                <w:sz w:val="19"/>
                <w:szCs w:val="19"/>
              </w:rPr>
              <w:t xml:space="preserve"> </w:t>
            </w:r>
            <w:r>
              <w:rPr>
                <w:b/>
                <w:bCs/>
                <w:spacing w:val="5"/>
                <w:sz w:val="19"/>
                <w:szCs w:val="19"/>
              </w:rPr>
              <w:t>(20分)</w:t>
            </w:r>
          </w:p>
          <w:p w14:paraId="1CFFC306">
            <w:pPr>
              <w:pStyle w:val="6"/>
              <w:spacing w:before="4" w:line="213" w:lineRule="auto"/>
              <w:ind w:left="40" w:right="48" w:firstLine="29"/>
              <w:rPr>
                <w:sz w:val="19"/>
                <w:szCs w:val="19"/>
              </w:rPr>
            </w:pPr>
            <w:r>
              <w:rPr>
                <w:b/>
                <w:bCs/>
                <w:spacing w:val="-2"/>
                <w:sz w:val="19"/>
                <w:szCs w:val="19"/>
              </w:rPr>
              <w:t>(6)褶纹均匀清晰，成品</w:t>
            </w:r>
            <w:r>
              <w:rPr>
                <w:spacing w:val="7"/>
                <w:sz w:val="19"/>
                <w:szCs w:val="19"/>
              </w:rPr>
              <w:t xml:space="preserve"> </w:t>
            </w:r>
            <w:r>
              <w:rPr>
                <w:b/>
                <w:bCs/>
                <w:spacing w:val="2"/>
                <w:sz w:val="19"/>
                <w:szCs w:val="19"/>
              </w:rPr>
              <w:t>大小一致(30分)</w:t>
            </w:r>
          </w:p>
          <w:p w14:paraId="171F6564">
            <w:pPr>
              <w:pStyle w:val="6"/>
              <w:spacing w:before="1" w:line="209" w:lineRule="auto"/>
              <w:ind w:left="40" w:right="425"/>
              <w:rPr>
                <w:sz w:val="19"/>
                <w:szCs w:val="19"/>
              </w:rPr>
            </w:pPr>
            <w:r>
              <w:rPr>
                <w:b/>
                <w:bCs/>
                <w:spacing w:val="1"/>
                <w:sz w:val="19"/>
                <w:szCs w:val="19"/>
              </w:rPr>
              <w:t>(7)调味得当(20分)</w:t>
            </w:r>
            <w:r>
              <w:rPr>
                <w:spacing w:val="4"/>
                <w:sz w:val="19"/>
                <w:szCs w:val="19"/>
              </w:rPr>
              <w:t xml:space="preserve"> </w:t>
            </w:r>
            <w:r>
              <w:rPr>
                <w:b/>
                <w:bCs/>
                <w:spacing w:val="-4"/>
                <w:sz w:val="19"/>
                <w:szCs w:val="19"/>
              </w:rPr>
              <w:t>3.葱油花卷</w:t>
            </w:r>
          </w:p>
          <w:p w14:paraId="7DEA152E">
            <w:pPr>
              <w:pStyle w:val="6"/>
              <w:spacing w:before="1" w:line="213" w:lineRule="auto"/>
              <w:ind w:left="40" w:right="137" w:firstLine="39"/>
              <w:rPr>
                <w:sz w:val="19"/>
                <w:szCs w:val="19"/>
              </w:rPr>
            </w:pPr>
            <w:r>
              <w:rPr>
                <w:b/>
                <w:bCs/>
                <w:spacing w:val="-2"/>
                <w:sz w:val="19"/>
                <w:szCs w:val="19"/>
              </w:rPr>
              <w:t>(1)技法熟练、准确(20</w:t>
            </w:r>
            <w:r>
              <w:rPr>
                <w:spacing w:val="3"/>
                <w:sz w:val="19"/>
                <w:szCs w:val="19"/>
              </w:rPr>
              <w:t xml:space="preserve"> </w:t>
            </w:r>
            <w:r>
              <w:rPr>
                <w:b/>
                <w:bCs/>
                <w:spacing w:val="-7"/>
                <w:sz w:val="19"/>
                <w:szCs w:val="19"/>
              </w:rPr>
              <w:t>分</w:t>
            </w:r>
            <w:r>
              <w:rPr>
                <w:spacing w:val="-37"/>
                <w:sz w:val="19"/>
                <w:szCs w:val="19"/>
              </w:rPr>
              <w:t xml:space="preserve"> </w:t>
            </w:r>
            <w:r>
              <w:rPr>
                <w:b/>
                <w:bCs/>
                <w:spacing w:val="-7"/>
                <w:sz w:val="19"/>
                <w:szCs w:val="19"/>
              </w:rPr>
              <w:t>)</w:t>
            </w:r>
          </w:p>
          <w:p w14:paraId="2C792C87">
            <w:pPr>
              <w:pStyle w:val="6"/>
              <w:spacing w:before="1" w:line="213" w:lineRule="auto"/>
              <w:ind w:left="40" w:right="32" w:firstLine="49"/>
              <w:rPr>
                <w:sz w:val="19"/>
                <w:szCs w:val="19"/>
              </w:rPr>
            </w:pPr>
            <w:r>
              <w:rPr>
                <w:b/>
                <w:bCs/>
                <w:spacing w:val="-2"/>
                <w:sz w:val="19"/>
                <w:szCs w:val="19"/>
              </w:rPr>
              <w:t>(2)熟制时间及技巧正确</w:t>
            </w:r>
            <w:r>
              <w:rPr>
                <w:spacing w:val="3"/>
                <w:sz w:val="19"/>
                <w:szCs w:val="19"/>
              </w:rPr>
              <w:t xml:space="preserve"> </w:t>
            </w:r>
            <w:r>
              <w:rPr>
                <w:b/>
                <w:bCs/>
                <w:spacing w:val="5"/>
                <w:sz w:val="19"/>
                <w:szCs w:val="19"/>
              </w:rPr>
              <w:t>(30分)</w:t>
            </w:r>
          </w:p>
          <w:p w14:paraId="521F973B">
            <w:pPr>
              <w:pStyle w:val="6"/>
              <w:spacing w:line="227" w:lineRule="auto"/>
              <w:ind w:left="40" w:right="40" w:firstLine="49"/>
              <w:rPr>
                <w:sz w:val="19"/>
                <w:szCs w:val="19"/>
              </w:rPr>
            </w:pPr>
            <w:r>
              <w:rPr>
                <w:b/>
                <w:bCs/>
                <w:spacing w:val="-3"/>
                <w:sz w:val="19"/>
                <w:szCs w:val="19"/>
              </w:rPr>
              <w:t>(3)卫生及安全性处理得</w:t>
            </w:r>
            <w:r>
              <w:rPr>
                <w:spacing w:val="8"/>
                <w:sz w:val="19"/>
                <w:szCs w:val="19"/>
              </w:rPr>
              <w:t xml:space="preserve"> </w:t>
            </w:r>
            <w:r>
              <w:rPr>
                <w:b/>
                <w:bCs/>
                <w:spacing w:val="4"/>
                <w:sz w:val="19"/>
                <w:szCs w:val="19"/>
              </w:rPr>
              <w:t>当(10分)</w:t>
            </w:r>
          </w:p>
          <w:p w14:paraId="3A9FE31C">
            <w:pPr>
              <w:pStyle w:val="6"/>
              <w:spacing w:before="2" w:line="201" w:lineRule="auto"/>
              <w:ind w:left="40" w:right="16" w:firstLine="39"/>
              <w:jc w:val="both"/>
              <w:rPr>
                <w:sz w:val="19"/>
                <w:szCs w:val="19"/>
              </w:rPr>
            </w:pPr>
            <w:r>
              <w:rPr>
                <w:b/>
                <w:bCs/>
                <w:sz w:val="19"/>
                <w:szCs w:val="19"/>
              </w:rPr>
              <w:t>(4)成品大小均匀(20分)</w:t>
            </w:r>
            <w:r>
              <w:rPr>
                <w:spacing w:val="2"/>
                <w:sz w:val="19"/>
                <w:szCs w:val="19"/>
              </w:rPr>
              <w:t xml:space="preserve"> </w:t>
            </w:r>
            <w:r>
              <w:rPr>
                <w:b/>
                <w:bCs/>
                <w:spacing w:val="1"/>
                <w:sz w:val="19"/>
                <w:szCs w:val="19"/>
              </w:rPr>
              <w:t>(5)褶纹清晰，形状美观</w:t>
            </w:r>
            <w:r>
              <w:rPr>
                <w:spacing w:val="2"/>
                <w:sz w:val="19"/>
                <w:szCs w:val="19"/>
              </w:rPr>
              <w:t xml:space="preserve"> </w:t>
            </w:r>
            <w:r>
              <w:rPr>
                <w:b/>
                <w:bCs/>
                <w:spacing w:val="3"/>
                <w:sz w:val="19"/>
                <w:szCs w:val="19"/>
              </w:rPr>
              <w:t>一致(30分)</w:t>
            </w:r>
          </w:p>
          <w:p w14:paraId="1F7A6571">
            <w:pPr>
              <w:pStyle w:val="6"/>
              <w:spacing w:line="222" w:lineRule="auto"/>
              <w:ind w:left="40" w:right="37" w:firstLine="49"/>
              <w:rPr>
                <w:sz w:val="19"/>
                <w:szCs w:val="19"/>
              </w:rPr>
            </w:pPr>
            <w:r>
              <w:rPr>
                <w:b/>
                <w:bCs/>
                <w:spacing w:val="-2"/>
                <w:sz w:val="19"/>
                <w:szCs w:val="19"/>
              </w:rPr>
              <w:t>(6)表皮光亮、色白蓬松</w:t>
            </w:r>
            <w:r>
              <w:rPr>
                <w:sz w:val="19"/>
                <w:szCs w:val="19"/>
              </w:rPr>
              <w:t xml:space="preserve"> </w:t>
            </w:r>
            <w:r>
              <w:rPr>
                <w:b/>
                <w:bCs/>
                <w:spacing w:val="5"/>
                <w:sz w:val="19"/>
                <w:szCs w:val="19"/>
              </w:rPr>
              <w:t>(20分)</w:t>
            </w:r>
          </w:p>
          <w:p w14:paraId="650F5E70">
            <w:pPr>
              <w:pStyle w:val="6"/>
              <w:spacing w:before="3" w:line="213" w:lineRule="auto"/>
              <w:ind w:left="40"/>
              <w:rPr>
                <w:sz w:val="19"/>
                <w:szCs w:val="19"/>
              </w:rPr>
            </w:pPr>
            <w:r>
              <w:rPr>
                <w:b/>
                <w:bCs/>
                <w:spacing w:val="1"/>
                <w:sz w:val="19"/>
                <w:szCs w:val="19"/>
              </w:rPr>
              <w:t>(7)调味得当(20分)</w:t>
            </w:r>
          </w:p>
        </w:tc>
      </w:tr>
    </w:tbl>
    <w:p w14:paraId="0AF62997">
      <w:pPr>
        <w:pStyle w:val="2"/>
      </w:pPr>
    </w:p>
    <w:p w14:paraId="7F575F28">
      <w:pPr>
        <w:spacing w:line="65" w:lineRule="exact"/>
      </w:pPr>
    </w:p>
    <w:p w14:paraId="38B9F1BC">
      <w:pPr>
        <w:spacing w:line="65" w:lineRule="exact"/>
        <w:sectPr>
          <w:footerReference r:id="rId131" w:type="default"/>
          <w:pgSz w:w="10660" w:h="15080"/>
          <w:pgMar w:top="400" w:right="831" w:bottom="896" w:left="1014" w:header="0" w:footer="743" w:gutter="0"/>
          <w:cols w:equalWidth="0" w:num="1">
            <w:col w:w="8814"/>
          </w:cols>
        </w:sectPr>
      </w:pPr>
    </w:p>
    <w:p w14:paraId="599BCD6D">
      <w:pPr>
        <w:spacing w:before="184" w:line="248" w:lineRule="auto"/>
        <w:ind w:left="1537" w:right="603" w:hanging="1239"/>
        <w:outlineLvl w:val="0"/>
        <w:rPr>
          <w:rFonts w:ascii="宋体" w:hAnsi="宋体" w:eastAsia="宋体" w:cs="宋体"/>
          <w:sz w:val="27"/>
          <w:szCs w:val="27"/>
        </w:rPr>
      </w:pPr>
      <w:bookmarkStart w:id="62" w:name="bookmark22"/>
      <w:bookmarkEnd w:id="62"/>
      <w:r>
        <w:rPr>
          <w:rFonts w:ascii="黑体" w:hAnsi="黑体" w:eastAsia="黑体" w:cs="黑体"/>
          <w:b/>
          <w:bCs/>
          <w:spacing w:val="2"/>
          <w:sz w:val="27"/>
          <w:szCs w:val="27"/>
        </w:rPr>
        <w:t>公共管理与服务大类专业技能</w:t>
      </w:r>
      <w:r>
        <w:rPr>
          <w:rFonts w:ascii="黑体" w:hAnsi="黑体" w:eastAsia="黑体" w:cs="黑体"/>
          <w:spacing w:val="3"/>
          <w:sz w:val="27"/>
          <w:szCs w:val="27"/>
        </w:rPr>
        <w:t xml:space="preserve"> </w:t>
      </w:r>
      <w:bookmarkStart w:id="63" w:name="bookmark22"/>
      <w:bookmarkEnd w:id="63"/>
      <w:r>
        <w:rPr>
          <w:rFonts w:ascii="宋体" w:hAnsi="宋体" w:eastAsia="宋体" w:cs="宋体"/>
          <w:b/>
          <w:bCs/>
          <w:spacing w:val="1"/>
          <w:sz w:val="27"/>
          <w:szCs w:val="27"/>
        </w:rPr>
        <w:t>测试纲要</w:t>
      </w:r>
    </w:p>
    <w:p w14:paraId="13FB1358">
      <w:pPr>
        <w:pStyle w:val="2"/>
        <w:spacing w:line="394" w:lineRule="auto"/>
      </w:pPr>
    </w:p>
    <w:p w14:paraId="2A1844F8">
      <w:pPr>
        <w:spacing w:before="75" w:line="221" w:lineRule="auto"/>
        <w:ind w:left="8"/>
        <w:rPr>
          <w:rFonts w:ascii="黑体" w:hAnsi="黑体" w:eastAsia="黑体" w:cs="黑体"/>
          <w:sz w:val="23"/>
          <w:szCs w:val="23"/>
        </w:rPr>
      </w:pPr>
      <w:r>
        <w:rPr>
          <w:rFonts w:ascii="黑体" w:hAnsi="黑体" w:eastAsia="黑体" w:cs="黑体"/>
          <w:b/>
          <w:bCs/>
          <w:spacing w:val="-4"/>
          <w:sz w:val="23"/>
          <w:szCs w:val="23"/>
        </w:rPr>
        <w:t>一、测试依据</w:t>
      </w:r>
    </w:p>
    <w:p w14:paraId="77921DC8">
      <w:pPr>
        <w:spacing w:before="96" w:line="271" w:lineRule="auto"/>
        <w:ind w:left="5" w:right="269" w:firstLine="370"/>
        <w:jc w:val="both"/>
        <w:rPr>
          <w:rFonts w:ascii="宋体" w:hAnsi="宋体" w:eastAsia="宋体" w:cs="宋体"/>
          <w:sz w:val="17"/>
          <w:szCs w:val="17"/>
        </w:rPr>
      </w:pPr>
      <w:r>
        <w:rPr>
          <w:rFonts w:ascii="宋体" w:hAnsi="宋体" w:eastAsia="宋体" w:cs="宋体"/>
          <w:spacing w:val="8"/>
          <w:sz w:val="17"/>
          <w:szCs w:val="17"/>
        </w:rPr>
        <w:t>以上项目设计是基于教育部2009年颁布的《中等</w:t>
      </w:r>
      <w:r>
        <w:rPr>
          <w:rFonts w:ascii="宋体" w:hAnsi="宋体" w:eastAsia="宋体" w:cs="宋体"/>
          <w:spacing w:val="1"/>
          <w:sz w:val="17"/>
          <w:szCs w:val="17"/>
        </w:rPr>
        <w:t xml:space="preserve">  </w:t>
      </w:r>
      <w:r>
        <w:rPr>
          <w:rFonts w:ascii="宋体" w:hAnsi="宋体" w:eastAsia="宋体" w:cs="宋体"/>
          <w:spacing w:val="2"/>
          <w:sz w:val="17"/>
          <w:szCs w:val="17"/>
        </w:rPr>
        <w:t>职业学校计算机应用基础教学大纲》和《中等职</w:t>
      </w:r>
      <w:r>
        <w:rPr>
          <w:rFonts w:ascii="宋体" w:hAnsi="宋体" w:eastAsia="宋体" w:cs="宋体"/>
          <w:spacing w:val="1"/>
          <w:sz w:val="17"/>
          <w:szCs w:val="17"/>
        </w:rPr>
        <w:t>业学校</w:t>
      </w:r>
      <w:r>
        <w:rPr>
          <w:rFonts w:ascii="宋体" w:hAnsi="宋体" w:eastAsia="宋体" w:cs="宋体"/>
          <w:sz w:val="17"/>
          <w:szCs w:val="17"/>
        </w:rPr>
        <w:t xml:space="preserve">  </w:t>
      </w:r>
      <w:r>
        <w:rPr>
          <w:rFonts w:ascii="宋体" w:hAnsi="宋体" w:eastAsia="宋体" w:cs="宋体"/>
          <w:spacing w:val="-5"/>
          <w:sz w:val="17"/>
          <w:szCs w:val="17"/>
        </w:rPr>
        <w:t>文秘专业教学指导方案》,根据《文书拟写与档案管理》、</w:t>
      </w:r>
    </w:p>
    <w:p w14:paraId="10F5F155">
      <w:pPr>
        <w:pStyle w:val="2"/>
        <w:spacing w:line="14" w:lineRule="auto"/>
        <w:rPr>
          <w:sz w:val="2"/>
        </w:rPr>
      </w:pPr>
      <w:r>
        <w:rPr>
          <w:sz w:val="2"/>
          <w:szCs w:val="2"/>
        </w:rPr>
        <w:br w:type="column"/>
      </w:r>
    </w:p>
    <w:p w14:paraId="05E05EFA">
      <w:pPr>
        <w:spacing w:before="52" w:line="306" w:lineRule="auto"/>
        <w:ind w:left="15" w:hanging="15"/>
        <w:jc w:val="both"/>
        <w:rPr>
          <w:rFonts w:ascii="宋体" w:hAnsi="宋体" w:eastAsia="宋体" w:cs="宋体"/>
          <w:sz w:val="17"/>
          <w:szCs w:val="17"/>
        </w:rPr>
      </w:pPr>
      <w:r>
        <w:rPr>
          <w:rFonts w:ascii="宋体" w:hAnsi="宋体" w:eastAsia="宋体" w:cs="宋体"/>
          <w:spacing w:val="2"/>
          <w:sz w:val="17"/>
          <w:szCs w:val="17"/>
        </w:rPr>
        <w:t>《计算机应用基础》和《秘书基础》教材中基本的重要</w:t>
      </w:r>
      <w:r>
        <w:rPr>
          <w:rFonts w:ascii="宋体" w:hAnsi="宋体" w:eastAsia="宋体" w:cs="宋体"/>
          <w:spacing w:val="7"/>
          <w:sz w:val="17"/>
          <w:szCs w:val="17"/>
        </w:rPr>
        <w:t xml:space="preserve">  </w:t>
      </w:r>
      <w:r>
        <w:rPr>
          <w:rFonts w:ascii="宋体" w:hAnsi="宋体" w:eastAsia="宋体" w:cs="宋体"/>
          <w:spacing w:val="2"/>
          <w:sz w:val="17"/>
          <w:szCs w:val="17"/>
        </w:rPr>
        <w:t>的技能训练项目，是中职文秘等专业学生应知应会的基</w:t>
      </w:r>
      <w:r>
        <w:rPr>
          <w:rFonts w:ascii="宋体" w:hAnsi="宋体" w:eastAsia="宋体" w:cs="宋体"/>
          <w:spacing w:val="4"/>
          <w:sz w:val="17"/>
          <w:szCs w:val="17"/>
        </w:rPr>
        <w:t xml:space="preserve">  </w:t>
      </w:r>
      <w:r>
        <w:rPr>
          <w:rFonts w:ascii="宋体" w:hAnsi="宋体" w:eastAsia="宋体" w:cs="宋体"/>
          <w:spacing w:val="-2"/>
          <w:sz w:val="17"/>
          <w:szCs w:val="17"/>
        </w:rPr>
        <w:t>本功，也是高等学校专业发展要求学生掌握的基本技能。</w:t>
      </w:r>
    </w:p>
    <w:p w14:paraId="62F87900">
      <w:pPr>
        <w:spacing w:before="22" w:line="221" w:lineRule="auto"/>
        <w:ind w:left="18"/>
        <w:rPr>
          <w:rFonts w:ascii="黑体" w:hAnsi="黑体" w:eastAsia="黑体" w:cs="黑体"/>
          <w:sz w:val="23"/>
          <w:szCs w:val="23"/>
        </w:rPr>
      </w:pPr>
      <w:r>
        <w:rPr>
          <w:rFonts w:ascii="黑体" w:hAnsi="黑体" w:eastAsia="黑体" w:cs="黑体"/>
          <w:b/>
          <w:bCs/>
          <w:spacing w:val="-5"/>
          <w:sz w:val="23"/>
          <w:szCs w:val="23"/>
        </w:rPr>
        <w:t>二、测试方法</w:t>
      </w:r>
    </w:p>
    <w:p w14:paraId="10BD39C3">
      <w:pPr>
        <w:spacing w:before="86" w:line="312" w:lineRule="auto"/>
        <w:ind w:left="15" w:right="79" w:firstLine="370"/>
        <w:rPr>
          <w:rFonts w:ascii="宋体" w:hAnsi="宋体" w:eastAsia="宋体" w:cs="宋体"/>
          <w:sz w:val="17"/>
          <w:szCs w:val="17"/>
        </w:rPr>
      </w:pPr>
      <w:r>
        <w:rPr>
          <w:rFonts w:ascii="宋体" w:hAnsi="宋体" w:eastAsia="宋体" w:cs="宋体"/>
          <w:spacing w:val="-7"/>
          <w:sz w:val="17"/>
          <w:szCs w:val="17"/>
        </w:rPr>
        <w:t>现场操作。每位考生须测试两个项目，其中项目一为</w:t>
      </w:r>
      <w:r>
        <w:rPr>
          <w:rFonts w:ascii="宋体" w:hAnsi="宋体" w:eastAsia="宋体" w:cs="宋体"/>
          <w:spacing w:val="18"/>
          <w:sz w:val="17"/>
          <w:szCs w:val="17"/>
        </w:rPr>
        <w:t xml:space="preserve"> </w:t>
      </w:r>
      <w:r>
        <w:rPr>
          <w:rFonts w:ascii="宋体" w:hAnsi="宋体" w:eastAsia="宋体" w:cs="宋体"/>
          <w:spacing w:val="-7"/>
          <w:sz w:val="17"/>
          <w:szCs w:val="17"/>
        </w:rPr>
        <w:t>必测项目——计算机基础运用，后七个项目中任选一个。</w:t>
      </w:r>
    </w:p>
    <w:p w14:paraId="6A650492">
      <w:pPr>
        <w:spacing w:before="4" w:line="221" w:lineRule="auto"/>
        <w:ind w:left="18"/>
        <w:rPr>
          <w:rFonts w:ascii="黑体" w:hAnsi="黑体" w:eastAsia="黑体" w:cs="黑体"/>
          <w:sz w:val="23"/>
          <w:szCs w:val="23"/>
        </w:rPr>
      </w:pPr>
      <w:r>
        <w:rPr>
          <w:rFonts w:ascii="黑体" w:hAnsi="黑体" w:eastAsia="黑体" w:cs="黑体"/>
          <w:b/>
          <w:bCs/>
          <w:spacing w:val="-9"/>
          <w:sz w:val="23"/>
          <w:szCs w:val="23"/>
        </w:rPr>
        <w:t>三、测试时间</w:t>
      </w:r>
    </w:p>
    <w:p w14:paraId="649190E7">
      <w:pPr>
        <w:spacing w:before="97" w:line="219" w:lineRule="auto"/>
        <w:ind w:left="375"/>
        <w:rPr>
          <w:rFonts w:ascii="宋体" w:hAnsi="宋体" w:eastAsia="宋体" w:cs="宋体"/>
          <w:sz w:val="17"/>
          <w:szCs w:val="17"/>
        </w:rPr>
      </w:pPr>
      <w:r>
        <w:rPr>
          <w:rFonts w:ascii="宋体" w:hAnsi="宋体" w:eastAsia="宋体" w:cs="宋体"/>
          <w:spacing w:val="7"/>
          <w:sz w:val="17"/>
          <w:szCs w:val="17"/>
        </w:rPr>
        <w:t>项目一时间为60分钟，任选项目时间为40分钟。</w:t>
      </w:r>
    </w:p>
    <w:p w14:paraId="04DE008A">
      <w:pPr>
        <w:spacing w:line="219" w:lineRule="auto"/>
        <w:rPr>
          <w:rFonts w:ascii="宋体" w:hAnsi="宋体" w:eastAsia="宋体" w:cs="宋体"/>
          <w:sz w:val="17"/>
          <w:szCs w:val="17"/>
        </w:rPr>
        <w:sectPr>
          <w:type w:val="continuous"/>
          <w:pgSz w:w="10660" w:h="15080"/>
          <w:pgMar w:top="400" w:right="831" w:bottom="896" w:left="1014" w:header="0" w:footer="743" w:gutter="0"/>
          <w:cols w:equalWidth="0" w:num="2">
            <w:col w:w="4481" w:space="100"/>
            <w:col w:w="4234"/>
          </w:cols>
        </w:sectPr>
      </w:pPr>
    </w:p>
    <w:p w14:paraId="1F5D5E8D">
      <w:pPr>
        <w:spacing w:before="1"/>
      </w:pPr>
    </w:p>
    <w:p w14:paraId="0D464AFA">
      <w:pPr>
        <w:spacing w:before="1"/>
      </w:pPr>
    </w:p>
    <w:p w14:paraId="46015961">
      <w:pPr>
        <w:spacing w:before="1"/>
      </w:pPr>
    </w:p>
    <w:p w14:paraId="799BF7D5"/>
    <w:p w14:paraId="26BE4BC9">
      <w:pPr>
        <w:sectPr>
          <w:footerReference r:id="rId132" w:type="default"/>
          <w:pgSz w:w="10660" w:h="15080"/>
          <w:pgMar w:top="400" w:right="1034" w:bottom="910" w:left="809" w:header="0" w:footer="738" w:gutter="0"/>
          <w:cols w:equalWidth="0" w:num="1">
            <w:col w:w="8816"/>
          </w:cols>
        </w:sectPr>
      </w:pPr>
    </w:p>
    <w:p w14:paraId="132EC8A1">
      <w:pPr>
        <w:spacing w:before="44" w:line="221" w:lineRule="auto"/>
        <w:ind w:left="103"/>
        <w:rPr>
          <w:rFonts w:ascii="黑体" w:hAnsi="黑体" w:eastAsia="黑体" w:cs="黑体"/>
          <w:sz w:val="22"/>
          <w:szCs w:val="22"/>
        </w:rPr>
      </w:pPr>
      <w:r>
        <w:rPr>
          <w:rFonts w:ascii="黑体" w:hAnsi="黑体" w:eastAsia="黑体" w:cs="黑体"/>
          <w:b/>
          <w:bCs/>
          <w:spacing w:val="1"/>
          <w:sz w:val="22"/>
          <w:szCs w:val="22"/>
        </w:rPr>
        <w:t>四、测试分值</w:t>
      </w:r>
    </w:p>
    <w:p w14:paraId="106D18B7">
      <w:pPr>
        <w:spacing w:before="70" w:line="293" w:lineRule="auto"/>
        <w:ind w:left="80" w:right="388" w:firstLine="359"/>
        <w:rPr>
          <w:rFonts w:ascii="黑体" w:hAnsi="黑体" w:eastAsia="黑体" w:cs="黑体"/>
          <w:sz w:val="17"/>
          <w:szCs w:val="17"/>
        </w:rPr>
      </w:pPr>
      <w:r>
        <w:rPr>
          <w:rFonts w:ascii="黑体" w:hAnsi="黑体" w:eastAsia="黑体" w:cs="黑体"/>
          <w:spacing w:val="7"/>
          <w:sz w:val="17"/>
          <w:szCs w:val="17"/>
        </w:rPr>
        <w:t>测试总分为250分。其中，项目一满分为150分，</w:t>
      </w:r>
      <w:r>
        <w:rPr>
          <w:rFonts w:ascii="黑体" w:hAnsi="黑体" w:eastAsia="黑体" w:cs="黑体"/>
          <w:spacing w:val="5"/>
          <w:sz w:val="17"/>
          <w:szCs w:val="17"/>
        </w:rPr>
        <w:t xml:space="preserve"> </w:t>
      </w:r>
      <w:r>
        <w:rPr>
          <w:rFonts w:ascii="黑体" w:hAnsi="黑体" w:eastAsia="黑体" w:cs="黑体"/>
          <w:spacing w:val="4"/>
          <w:sz w:val="17"/>
          <w:szCs w:val="17"/>
        </w:rPr>
        <w:t>任选项目分值为100分。</w:t>
      </w:r>
    </w:p>
    <w:p w14:paraId="3F3EE527">
      <w:pPr>
        <w:pStyle w:val="2"/>
        <w:spacing w:line="14" w:lineRule="auto"/>
        <w:rPr>
          <w:sz w:val="2"/>
        </w:rPr>
      </w:pPr>
      <w:r>
        <w:rPr>
          <w:sz w:val="2"/>
          <w:szCs w:val="2"/>
        </w:rPr>
        <w:br w:type="column"/>
      </w:r>
    </w:p>
    <w:p w14:paraId="037B3720">
      <w:pPr>
        <w:spacing w:before="43" w:line="221" w:lineRule="auto"/>
        <w:ind w:left="10"/>
        <w:rPr>
          <w:rFonts w:ascii="黑体" w:hAnsi="黑体" w:eastAsia="黑体" w:cs="黑体"/>
          <w:sz w:val="22"/>
          <w:szCs w:val="22"/>
        </w:rPr>
      </w:pPr>
      <w:r>
        <w:rPr>
          <w:rFonts w:ascii="黑体" w:hAnsi="黑体" w:eastAsia="黑体" w:cs="黑体"/>
          <w:b/>
          <w:bCs/>
          <w:spacing w:val="1"/>
          <w:sz w:val="22"/>
          <w:szCs w:val="22"/>
        </w:rPr>
        <w:t>五、测试要求</w:t>
      </w:r>
    </w:p>
    <w:p w14:paraId="4ED362F3">
      <w:pPr>
        <w:spacing w:before="98" w:line="221" w:lineRule="auto"/>
        <w:ind w:left="376"/>
        <w:rPr>
          <w:rFonts w:ascii="黑体" w:hAnsi="黑体" w:eastAsia="黑体" w:cs="黑体"/>
          <w:sz w:val="17"/>
          <w:szCs w:val="17"/>
        </w:rPr>
      </w:pPr>
      <w:r>
        <w:rPr>
          <w:rFonts w:ascii="黑体" w:hAnsi="黑体" w:eastAsia="黑体" w:cs="黑体"/>
          <w:spacing w:val="-2"/>
          <w:sz w:val="17"/>
          <w:szCs w:val="17"/>
        </w:rPr>
        <w:t>基本要求：操作规范、思路清晰、原理科学。</w:t>
      </w:r>
    </w:p>
    <w:p w14:paraId="20B4AC66">
      <w:pPr>
        <w:spacing w:before="85" w:line="187" w:lineRule="auto"/>
        <w:rPr>
          <w:rFonts w:ascii="黑体" w:hAnsi="黑体" w:eastAsia="黑体" w:cs="黑体"/>
          <w:sz w:val="22"/>
          <w:szCs w:val="22"/>
        </w:rPr>
      </w:pPr>
      <w:r>
        <w:rPr>
          <w:rFonts w:ascii="黑体" w:hAnsi="黑体" w:eastAsia="黑体" w:cs="黑体"/>
          <w:b/>
          <w:bCs/>
          <w:spacing w:val="7"/>
          <w:sz w:val="22"/>
          <w:szCs w:val="22"/>
        </w:rPr>
        <w:t>六、测试项目</w:t>
      </w:r>
    </w:p>
    <w:p w14:paraId="6A8061B8">
      <w:pPr>
        <w:spacing w:line="187" w:lineRule="auto"/>
        <w:rPr>
          <w:rFonts w:ascii="黑体" w:hAnsi="黑体" w:eastAsia="黑体" w:cs="黑体"/>
          <w:sz w:val="22"/>
          <w:szCs w:val="22"/>
        </w:rPr>
        <w:sectPr>
          <w:type w:val="continuous"/>
          <w:pgSz w:w="10660" w:h="15080"/>
          <w:pgMar w:top="400" w:right="1034" w:bottom="910" w:left="809" w:header="0" w:footer="738" w:gutter="0"/>
          <w:cols w:equalWidth="0" w:num="2">
            <w:col w:w="4574" w:space="100"/>
            <w:col w:w="4142"/>
          </w:cols>
        </w:sectPr>
      </w:pPr>
    </w:p>
    <w:p w14:paraId="2160F4AB">
      <w:pPr>
        <w:spacing w:before="86"/>
      </w:pPr>
    </w:p>
    <w:tbl>
      <w:tblPr>
        <w:tblStyle w:val="5"/>
        <w:tblW w:w="8719" w:type="dxa"/>
        <w:tblInd w:w="9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24"/>
        <w:gridCol w:w="769"/>
        <w:gridCol w:w="1198"/>
        <w:gridCol w:w="1578"/>
        <w:gridCol w:w="3616"/>
        <w:gridCol w:w="834"/>
      </w:tblGrid>
      <w:tr w14:paraId="6B0D08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9" w:hRule="atLeast"/>
        </w:trPr>
        <w:tc>
          <w:tcPr>
            <w:tcW w:w="724" w:type="dxa"/>
            <w:tcBorders>
              <w:top w:val="single" w:color="000000" w:sz="2" w:space="0"/>
              <w:bottom w:val="single" w:color="000000" w:sz="2" w:space="0"/>
            </w:tcBorders>
            <w:vAlign w:val="top"/>
          </w:tcPr>
          <w:p w14:paraId="4E838E0E">
            <w:pPr>
              <w:pStyle w:val="6"/>
              <w:spacing w:before="175" w:line="220" w:lineRule="auto"/>
              <w:jc w:val="right"/>
              <w:rPr>
                <w:sz w:val="18"/>
                <w:szCs w:val="18"/>
              </w:rPr>
            </w:pPr>
            <w:r>
              <w:rPr>
                <w:b/>
                <w:bCs/>
                <w:spacing w:val="-8"/>
                <w:sz w:val="18"/>
                <w:szCs w:val="18"/>
              </w:rPr>
              <w:t>测试项目</w:t>
            </w:r>
          </w:p>
        </w:tc>
        <w:tc>
          <w:tcPr>
            <w:tcW w:w="769" w:type="dxa"/>
            <w:tcBorders>
              <w:top w:val="single" w:color="000000" w:sz="2" w:space="0"/>
              <w:bottom w:val="single" w:color="000000" w:sz="2" w:space="0"/>
            </w:tcBorders>
            <w:vAlign w:val="top"/>
          </w:tcPr>
          <w:p w14:paraId="63775A25">
            <w:pPr>
              <w:pStyle w:val="6"/>
              <w:spacing w:before="65" w:line="221" w:lineRule="auto"/>
              <w:ind w:left="13"/>
              <w:rPr>
                <w:sz w:val="18"/>
                <w:szCs w:val="18"/>
              </w:rPr>
            </w:pPr>
            <w:r>
              <w:rPr>
                <w:b/>
                <w:bCs/>
                <w:spacing w:val="-4"/>
                <w:sz w:val="18"/>
                <w:szCs w:val="18"/>
              </w:rPr>
              <w:t>测试用具</w:t>
            </w:r>
          </w:p>
          <w:p w14:paraId="7BFD4214">
            <w:pPr>
              <w:pStyle w:val="6"/>
              <w:spacing w:before="23" w:line="209" w:lineRule="auto"/>
              <w:ind w:left="103"/>
              <w:rPr>
                <w:sz w:val="18"/>
                <w:szCs w:val="18"/>
              </w:rPr>
            </w:pPr>
            <w:r>
              <w:rPr>
                <w:b/>
                <w:bCs/>
                <w:spacing w:val="6"/>
                <w:sz w:val="18"/>
                <w:szCs w:val="18"/>
              </w:rPr>
              <w:t>(场地)</w:t>
            </w:r>
          </w:p>
        </w:tc>
        <w:tc>
          <w:tcPr>
            <w:tcW w:w="1198" w:type="dxa"/>
            <w:tcBorders>
              <w:top w:val="single" w:color="000000" w:sz="2" w:space="0"/>
              <w:bottom w:val="single" w:color="000000" w:sz="2" w:space="0"/>
            </w:tcBorders>
            <w:vAlign w:val="top"/>
          </w:tcPr>
          <w:p w14:paraId="6BA0F4E6">
            <w:pPr>
              <w:pStyle w:val="6"/>
              <w:spacing w:before="175" w:line="221" w:lineRule="auto"/>
              <w:ind w:left="264"/>
              <w:rPr>
                <w:sz w:val="18"/>
                <w:szCs w:val="18"/>
              </w:rPr>
            </w:pPr>
            <w:r>
              <w:rPr>
                <w:b/>
                <w:bCs/>
                <w:spacing w:val="-4"/>
                <w:sz w:val="18"/>
                <w:szCs w:val="18"/>
              </w:rPr>
              <w:t>测试方法</w:t>
            </w:r>
          </w:p>
        </w:tc>
        <w:tc>
          <w:tcPr>
            <w:tcW w:w="1578" w:type="dxa"/>
            <w:tcBorders>
              <w:top w:val="single" w:color="000000" w:sz="2" w:space="0"/>
              <w:bottom w:val="single" w:color="000000" w:sz="2" w:space="0"/>
            </w:tcBorders>
            <w:vAlign w:val="top"/>
          </w:tcPr>
          <w:p w14:paraId="169056E5">
            <w:pPr>
              <w:pStyle w:val="6"/>
              <w:spacing w:before="174" w:line="219" w:lineRule="auto"/>
              <w:ind w:left="456"/>
              <w:rPr>
                <w:sz w:val="18"/>
                <w:szCs w:val="18"/>
              </w:rPr>
            </w:pPr>
            <w:r>
              <w:rPr>
                <w:b/>
                <w:bCs/>
                <w:spacing w:val="-4"/>
                <w:sz w:val="18"/>
                <w:szCs w:val="18"/>
              </w:rPr>
              <w:t>测试内容</w:t>
            </w:r>
          </w:p>
        </w:tc>
        <w:tc>
          <w:tcPr>
            <w:tcW w:w="3616" w:type="dxa"/>
            <w:tcBorders>
              <w:top w:val="single" w:color="000000" w:sz="2" w:space="0"/>
              <w:bottom w:val="single" w:color="000000" w:sz="2" w:space="0"/>
            </w:tcBorders>
            <w:vAlign w:val="top"/>
          </w:tcPr>
          <w:p w14:paraId="4742FD57">
            <w:pPr>
              <w:pStyle w:val="6"/>
              <w:spacing w:before="173" w:line="218" w:lineRule="auto"/>
              <w:ind w:left="1328"/>
              <w:rPr>
                <w:sz w:val="18"/>
                <w:szCs w:val="18"/>
              </w:rPr>
            </w:pPr>
            <w:r>
              <w:rPr>
                <w:b/>
                <w:bCs/>
                <w:spacing w:val="-3"/>
                <w:sz w:val="18"/>
                <w:szCs w:val="18"/>
              </w:rPr>
              <w:t>测试评价要点</w:t>
            </w:r>
          </w:p>
        </w:tc>
        <w:tc>
          <w:tcPr>
            <w:tcW w:w="834" w:type="dxa"/>
            <w:tcBorders>
              <w:top w:val="single" w:color="000000" w:sz="2" w:space="0"/>
              <w:bottom w:val="single" w:color="000000" w:sz="2" w:space="0"/>
            </w:tcBorders>
            <w:vAlign w:val="top"/>
          </w:tcPr>
          <w:p w14:paraId="2486B436">
            <w:pPr>
              <w:pStyle w:val="6"/>
              <w:spacing w:before="83" w:line="218" w:lineRule="auto"/>
              <w:ind w:left="231" w:right="60" w:hanging="179"/>
              <w:rPr>
                <w:sz w:val="18"/>
                <w:szCs w:val="18"/>
              </w:rPr>
            </w:pPr>
            <w:r>
              <w:rPr>
                <w:b/>
                <w:bCs/>
                <w:spacing w:val="-5"/>
                <w:sz w:val="18"/>
                <w:szCs w:val="18"/>
              </w:rPr>
              <w:t>分值参考</w:t>
            </w:r>
            <w:r>
              <w:rPr>
                <w:spacing w:val="2"/>
                <w:sz w:val="18"/>
                <w:szCs w:val="18"/>
              </w:rPr>
              <w:t xml:space="preserve"> </w:t>
            </w:r>
            <w:r>
              <w:rPr>
                <w:b/>
                <w:bCs/>
                <w:spacing w:val="9"/>
                <w:sz w:val="18"/>
                <w:szCs w:val="18"/>
              </w:rPr>
              <w:t>(分)</w:t>
            </w:r>
          </w:p>
        </w:tc>
      </w:tr>
      <w:tr w14:paraId="47B521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5" w:hRule="atLeast"/>
        </w:trPr>
        <w:tc>
          <w:tcPr>
            <w:tcW w:w="724" w:type="dxa"/>
            <w:vMerge w:val="restart"/>
            <w:tcBorders>
              <w:top w:val="single" w:color="000000" w:sz="2" w:space="0"/>
              <w:bottom w:val="nil"/>
            </w:tcBorders>
            <w:vAlign w:val="top"/>
          </w:tcPr>
          <w:p w14:paraId="6603AEE1">
            <w:pPr>
              <w:spacing w:line="241" w:lineRule="auto"/>
              <w:rPr>
                <w:rFonts w:ascii="Arial"/>
                <w:sz w:val="21"/>
              </w:rPr>
            </w:pPr>
          </w:p>
          <w:p w14:paraId="008CA9BF">
            <w:pPr>
              <w:spacing w:line="241" w:lineRule="auto"/>
              <w:rPr>
                <w:rFonts w:ascii="Arial"/>
                <w:sz w:val="21"/>
              </w:rPr>
            </w:pPr>
          </w:p>
          <w:p w14:paraId="1B47E2CB">
            <w:pPr>
              <w:spacing w:line="241" w:lineRule="auto"/>
              <w:rPr>
                <w:rFonts w:ascii="Arial"/>
                <w:sz w:val="21"/>
              </w:rPr>
            </w:pPr>
          </w:p>
          <w:p w14:paraId="5292CDBE">
            <w:pPr>
              <w:spacing w:line="241" w:lineRule="auto"/>
              <w:rPr>
                <w:rFonts w:ascii="Arial"/>
                <w:sz w:val="21"/>
              </w:rPr>
            </w:pPr>
          </w:p>
          <w:p w14:paraId="421E8DE0">
            <w:pPr>
              <w:spacing w:line="241" w:lineRule="auto"/>
              <w:rPr>
                <w:rFonts w:ascii="Arial"/>
                <w:sz w:val="21"/>
              </w:rPr>
            </w:pPr>
          </w:p>
          <w:p w14:paraId="67BBC20C">
            <w:pPr>
              <w:spacing w:line="241" w:lineRule="auto"/>
              <w:rPr>
                <w:rFonts w:ascii="Arial"/>
                <w:sz w:val="21"/>
              </w:rPr>
            </w:pPr>
          </w:p>
          <w:p w14:paraId="1E0D101C">
            <w:pPr>
              <w:spacing w:line="241" w:lineRule="auto"/>
              <w:rPr>
                <w:rFonts w:ascii="Arial"/>
                <w:sz w:val="21"/>
              </w:rPr>
            </w:pPr>
          </w:p>
          <w:p w14:paraId="2EF44A4F">
            <w:pPr>
              <w:spacing w:line="241" w:lineRule="auto"/>
              <w:rPr>
                <w:rFonts w:ascii="Arial"/>
                <w:sz w:val="21"/>
              </w:rPr>
            </w:pPr>
          </w:p>
          <w:p w14:paraId="2AC2575B">
            <w:pPr>
              <w:spacing w:line="242" w:lineRule="auto"/>
              <w:rPr>
                <w:rFonts w:ascii="Arial"/>
                <w:sz w:val="21"/>
              </w:rPr>
            </w:pPr>
          </w:p>
          <w:p w14:paraId="1078FE84">
            <w:pPr>
              <w:spacing w:line="242" w:lineRule="auto"/>
              <w:rPr>
                <w:rFonts w:ascii="Arial"/>
                <w:sz w:val="21"/>
              </w:rPr>
            </w:pPr>
          </w:p>
          <w:p w14:paraId="0DD44EBC">
            <w:pPr>
              <w:spacing w:line="242" w:lineRule="auto"/>
              <w:rPr>
                <w:rFonts w:ascii="Arial"/>
                <w:sz w:val="21"/>
              </w:rPr>
            </w:pPr>
          </w:p>
          <w:p w14:paraId="00B31B5F">
            <w:pPr>
              <w:spacing w:line="242" w:lineRule="auto"/>
              <w:rPr>
                <w:rFonts w:ascii="Arial"/>
                <w:sz w:val="21"/>
              </w:rPr>
            </w:pPr>
          </w:p>
          <w:p w14:paraId="6A925AE0">
            <w:pPr>
              <w:spacing w:line="242" w:lineRule="auto"/>
              <w:rPr>
                <w:rFonts w:ascii="Arial"/>
                <w:sz w:val="21"/>
              </w:rPr>
            </w:pPr>
          </w:p>
          <w:p w14:paraId="6B0A63D7">
            <w:pPr>
              <w:spacing w:line="242" w:lineRule="auto"/>
              <w:rPr>
                <w:rFonts w:ascii="Arial"/>
                <w:sz w:val="21"/>
              </w:rPr>
            </w:pPr>
          </w:p>
          <w:p w14:paraId="40340FB0">
            <w:pPr>
              <w:spacing w:line="242" w:lineRule="auto"/>
              <w:rPr>
                <w:rFonts w:ascii="Arial"/>
                <w:sz w:val="21"/>
              </w:rPr>
            </w:pPr>
          </w:p>
          <w:p w14:paraId="4883F40D">
            <w:pPr>
              <w:pStyle w:val="6"/>
              <w:spacing w:before="59" w:line="214" w:lineRule="auto"/>
              <w:jc w:val="right"/>
              <w:rPr>
                <w:sz w:val="18"/>
                <w:szCs w:val="18"/>
              </w:rPr>
            </w:pPr>
            <w:r>
              <w:rPr>
                <w:spacing w:val="-11"/>
                <w:sz w:val="18"/>
                <w:szCs w:val="18"/>
              </w:rPr>
              <w:t>项目一：</w:t>
            </w:r>
          </w:p>
          <w:p w14:paraId="0E40AE94">
            <w:pPr>
              <w:pStyle w:val="6"/>
              <w:spacing w:line="218" w:lineRule="auto"/>
              <w:ind w:left="84"/>
              <w:rPr>
                <w:sz w:val="18"/>
                <w:szCs w:val="18"/>
              </w:rPr>
            </w:pPr>
            <w:r>
              <w:rPr>
                <w:spacing w:val="-2"/>
                <w:sz w:val="18"/>
                <w:szCs w:val="18"/>
              </w:rPr>
              <w:t>计算机</w:t>
            </w:r>
          </w:p>
          <w:p w14:paraId="6FEDC079">
            <w:pPr>
              <w:pStyle w:val="6"/>
              <w:spacing w:before="17" w:line="219" w:lineRule="auto"/>
              <w:ind w:left="174"/>
              <w:rPr>
                <w:sz w:val="18"/>
                <w:szCs w:val="18"/>
              </w:rPr>
            </w:pPr>
            <w:r>
              <w:rPr>
                <w:spacing w:val="-2"/>
                <w:sz w:val="18"/>
                <w:szCs w:val="18"/>
              </w:rPr>
              <w:t>操作</w:t>
            </w:r>
          </w:p>
        </w:tc>
        <w:tc>
          <w:tcPr>
            <w:tcW w:w="769" w:type="dxa"/>
            <w:vMerge w:val="restart"/>
            <w:tcBorders>
              <w:top w:val="single" w:color="000000" w:sz="2" w:space="0"/>
              <w:bottom w:val="nil"/>
            </w:tcBorders>
            <w:vAlign w:val="top"/>
          </w:tcPr>
          <w:p w14:paraId="685A706F">
            <w:pPr>
              <w:spacing w:line="265" w:lineRule="auto"/>
              <w:rPr>
                <w:rFonts w:ascii="Arial"/>
                <w:sz w:val="21"/>
              </w:rPr>
            </w:pPr>
          </w:p>
          <w:p w14:paraId="7475D037">
            <w:pPr>
              <w:spacing w:line="265" w:lineRule="auto"/>
              <w:rPr>
                <w:rFonts w:ascii="Arial"/>
                <w:sz w:val="21"/>
              </w:rPr>
            </w:pPr>
          </w:p>
          <w:p w14:paraId="108B6380">
            <w:pPr>
              <w:spacing w:line="265" w:lineRule="auto"/>
              <w:rPr>
                <w:rFonts w:ascii="Arial"/>
                <w:sz w:val="21"/>
              </w:rPr>
            </w:pPr>
          </w:p>
          <w:p w14:paraId="2D2056AB">
            <w:pPr>
              <w:spacing w:line="265" w:lineRule="auto"/>
              <w:rPr>
                <w:rFonts w:ascii="Arial"/>
                <w:sz w:val="21"/>
              </w:rPr>
            </w:pPr>
          </w:p>
          <w:p w14:paraId="3ED41C9A">
            <w:pPr>
              <w:spacing w:line="265" w:lineRule="auto"/>
              <w:rPr>
                <w:rFonts w:ascii="Arial"/>
                <w:sz w:val="21"/>
              </w:rPr>
            </w:pPr>
          </w:p>
          <w:p w14:paraId="21A6B129">
            <w:pPr>
              <w:pStyle w:val="6"/>
              <w:spacing w:before="58" w:line="219" w:lineRule="auto"/>
              <w:ind w:left="100"/>
              <w:rPr>
                <w:sz w:val="18"/>
                <w:szCs w:val="18"/>
              </w:rPr>
            </w:pPr>
            <w:r>
              <w:rPr>
                <w:spacing w:val="-2"/>
                <w:sz w:val="18"/>
                <w:szCs w:val="18"/>
              </w:rPr>
              <w:t>计算机</w:t>
            </w:r>
          </w:p>
          <w:p w14:paraId="6DD37EED">
            <w:pPr>
              <w:pStyle w:val="6"/>
              <w:spacing w:before="7" w:line="205" w:lineRule="auto"/>
              <w:ind w:left="100"/>
              <w:rPr>
                <w:sz w:val="18"/>
                <w:szCs w:val="18"/>
              </w:rPr>
            </w:pPr>
            <w:r>
              <w:rPr>
                <w:spacing w:val="-2"/>
                <w:sz w:val="18"/>
                <w:szCs w:val="18"/>
              </w:rPr>
              <w:t>房计算</w:t>
            </w:r>
          </w:p>
          <w:p w14:paraId="71741078">
            <w:pPr>
              <w:pStyle w:val="6"/>
              <w:spacing w:line="218" w:lineRule="auto"/>
              <w:ind w:left="280"/>
              <w:rPr>
                <w:sz w:val="18"/>
                <w:szCs w:val="18"/>
              </w:rPr>
            </w:pPr>
            <w:r>
              <w:rPr>
                <w:sz w:val="18"/>
                <w:szCs w:val="18"/>
              </w:rPr>
              <w:t>机</w:t>
            </w:r>
          </w:p>
        </w:tc>
        <w:tc>
          <w:tcPr>
            <w:tcW w:w="1198" w:type="dxa"/>
            <w:vMerge w:val="restart"/>
            <w:tcBorders>
              <w:top w:val="single" w:color="000000" w:sz="2" w:space="0"/>
              <w:bottom w:val="nil"/>
            </w:tcBorders>
            <w:vAlign w:val="top"/>
          </w:tcPr>
          <w:p w14:paraId="58D8067F">
            <w:pPr>
              <w:spacing w:line="250" w:lineRule="auto"/>
              <w:rPr>
                <w:rFonts w:ascii="Arial"/>
                <w:sz w:val="21"/>
              </w:rPr>
            </w:pPr>
          </w:p>
          <w:p w14:paraId="56505E9B">
            <w:pPr>
              <w:spacing w:line="250" w:lineRule="auto"/>
              <w:rPr>
                <w:rFonts w:ascii="Arial"/>
                <w:sz w:val="21"/>
              </w:rPr>
            </w:pPr>
          </w:p>
          <w:p w14:paraId="126B8E2C">
            <w:pPr>
              <w:spacing w:line="250" w:lineRule="auto"/>
              <w:rPr>
                <w:rFonts w:ascii="Arial"/>
                <w:sz w:val="21"/>
              </w:rPr>
            </w:pPr>
          </w:p>
          <w:p w14:paraId="736E81ED">
            <w:pPr>
              <w:spacing w:line="250" w:lineRule="auto"/>
              <w:rPr>
                <w:rFonts w:ascii="Arial"/>
                <w:sz w:val="21"/>
              </w:rPr>
            </w:pPr>
          </w:p>
          <w:p w14:paraId="69CEBCC9">
            <w:pPr>
              <w:pStyle w:val="6"/>
              <w:spacing w:before="59" w:line="221" w:lineRule="auto"/>
              <w:ind w:left="22"/>
              <w:rPr>
                <w:sz w:val="18"/>
                <w:szCs w:val="18"/>
              </w:rPr>
            </w:pPr>
            <w:r>
              <w:rPr>
                <w:spacing w:val="-2"/>
                <w:sz w:val="18"/>
                <w:szCs w:val="18"/>
              </w:rPr>
              <w:t>在Word</w:t>
            </w:r>
            <w:r>
              <w:rPr>
                <w:spacing w:val="12"/>
                <w:sz w:val="18"/>
                <w:szCs w:val="18"/>
              </w:rPr>
              <w:t xml:space="preserve"> </w:t>
            </w:r>
            <w:r>
              <w:rPr>
                <w:spacing w:val="-2"/>
                <w:sz w:val="18"/>
                <w:szCs w:val="18"/>
              </w:rPr>
              <w:t>2016</w:t>
            </w:r>
          </w:p>
          <w:p w14:paraId="3DC737CF">
            <w:pPr>
              <w:pStyle w:val="6"/>
              <w:spacing w:before="1" w:line="222" w:lineRule="auto"/>
              <w:ind w:left="11" w:firstLine="9"/>
              <w:rPr>
                <w:sz w:val="18"/>
                <w:szCs w:val="18"/>
              </w:rPr>
            </w:pPr>
            <w:r>
              <w:rPr>
                <w:spacing w:val="-2"/>
                <w:sz w:val="18"/>
                <w:szCs w:val="18"/>
              </w:rPr>
              <w:t>文档窗口中输</w:t>
            </w:r>
            <w:r>
              <w:rPr>
                <w:sz w:val="18"/>
                <w:szCs w:val="18"/>
              </w:rPr>
              <w:t xml:space="preserve">  </w:t>
            </w:r>
            <w:r>
              <w:rPr>
                <w:spacing w:val="-9"/>
                <w:sz w:val="18"/>
                <w:szCs w:val="18"/>
              </w:rPr>
              <w:t>入</w:t>
            </w:r>
            <w:r>
              <w:rPr>
                <w:spacing w:val="-10"/>
                <w:sz w:val="18"/>
                <w:szCs w:val="18"/>
              </w:rPr>
              <w:t xml:space="preserve"> </w:t>
            </w:r>
            <w:r>
              <w:rPr>
                <w:spacing w:val="-9"/>
                <w:sz w:val="18"/>
                <w:szCs w:val="18"/>
              </w:rPr>
              <w:t>给 定 的</w:t>
            </w:r>
            <w:r>
              <w:rPr>
                <w:spacing w:val="-12"/>
                <w:sz w:val="18"/>
                <w:szCs w:val="18"/>
              </w:rPr>
              <w:t xml:space="preserve"> </w:t>
            </w:r>
            <w:r>
              <w:rPr>
                <w:spacing w:val="-9"/>
                <w:sz w:val="18"/>
                <w:szCs w:val="18"/>
              </w:rPr>
              <w:t>文</w:t>
            </w:r>
            <w:r>
              <w:rPr>
                <w:sz w:val="18"/>
                <w:szCs w:val="18"/>
              </w:rPr>
              <w:t xml:space="preserve"> </w:t>
            </w:r>
            <w:r>
              <w:rPr>
                <w:spacing w:val="1"/>
                <w:sz w:val="18"/>
                <w:szCs w:val="18"/>
              </w:rPr>
              <w:t>字，插入给定</w:t>
            </w:r>
            <w:r>
              <w:rPr>
                <w:sz w:val="18"/>
                <w:szCs w:val="18"/>
              </w:rPr>
              <w:t xml:space="preserve">  </w:t>
            </w:r>
            <w:r>
              <w:rPr>
                <w:spacing w:val="4"/>
                <w:sz w:val="18"/>
                <w:szCs w:val="18"/>
              </w:rPr>
              <w:t>的图片，并按</w:t>
            </w:r>
            <w:r>
              <w:rPr>
                <w:spacing w:val="1"/>
                <w:sz w:val="18"/>
                <w:szCs w:val="18"/>
              </w:rPr>
              <w:t xml:space="preserve"> </w:t>
            </w:r>
            <w:r>
              <w:rPr>
                <w:spacing w:val="-2"/>
                <w:sz w:val="18"/>
                <w:szCs w:val="18"/>
              </w:rPr>
              <w:t>要求进行图文</w:t>
            </w:r>
            <w:r>
              <w:rPr>
                <w:sz w:val="18"/>
                <w:szCs w:val="18"/>
              </w:rPr>
              <w:t xml:space="preserve">  </w:t>
            </w:r>
            <w:r>
              <w:rPr>
                <w:spacing w:val="-1"/>
                <w:sz w:val="18"/>
                <w:szCs w:val="18"/>
              </w:rPr>
              <w:t>混排。</w:t>
            </w:r>
          </w:p>
        </w:tc>
        <w:tc>
          <w:tcPr>
            <w:tcW w:w="1578" w:type="dxa"/>
            <w:tcBorders>
              <w:top w:val="single" w:color="000000" w:sz="2" w:space="0"/>
              <w:bottom w:val="single" w:color="000000" w:sz="2" w:space="0"/>
            </w:tcBorders>
            <w:vAlign w:val="top"/>
          </w:tcPr>
          <w:p w14:paraId="48CB05C5">
            <w:pPr>
              <w:pStyle w:val="6"/>
              <w:spacing w:before="133" w:line="219" w:lineRule="auto"/>
              <w:ind w:left="3"/>
              <w:rPr>
                <w:sz w:val="18"/>
                <w:szCs w:val="18"/>
              </w:rPr>
            </w:pPr>
            <w:r>
              <w:rPr>
                <w:spacing w:val="1"/>
                <w:sz w:val="18"/>
                <w:szCs w:val="18"/>
              </w:rPr>
              <w:t>1.汉字输入</w:t>
            </w:r>
          </w:p>
        </w:tc>
        <w:tc>
          <w:tcPr>
            <w:tcW w:w="3616" w:type="dxa"/>
            <w:tcBorders>
              <w:top w:val="single" w:color="000000" w:sz="2" w:space="0"/>
              <w:bottom w:val="single" w:color="000000" w:sz="2" w:space="0"/>
            </w:tcBorders>
            <w:vAlign w:val="top"/>
          </w:tcPr>
          <w:p w14:paraId="3E218CC2">
            <w:pPr>
              <w:pStyle w:val="6"/>
              <w:spacing w:before="62" w:line="191" w:lineRule="auto"/>
              <w:ind w:left="16"/>
              <w:rPr>
                <w:sz w:val="18"/>
                <w:szCs w:val="18"/>
              </w:rPr>
            </w:pPr>
            <w:r>
              <w:rPr>
                <w:spacing w:val="-1"/>
                <w:sz w:val="18"/>
                <w:szCs w:val="18"/>
              </w:rPr>
              <w:t>要点：使用搜狗输入法正确输入给定的汉字，</w:t>
            </w:r>
            <w:r>
              <w:rPr>
                <w:spacing w:val="8"/>
                <w:sz w:val="18"/>
                <w:szCs w:val="18"/>
              </w:rPr>
              <w:t xml:space="preserve"> </w:t>
            </w:r>
            <w:r>
              <w:rPr>
                <w:spacing w:val="-1"/>
                <w:sz w:val="18"/>
                <w:szCs w:val="18"/>
              </w:rPr>
              <w:t>录入速度不低于50个汉字/分钟。</w:t>
            </w:r>
          </w:p>
        </w:tc>
        <w:tc>
          <w:tcPr>
            <w:tcW w:w="834" w:type="dxa"/>
            <w:tcBorders>
              <w:top w:val="single" w:color="000000" w:sz="2" w:space="0"/>
              <w:bottom w:val="single" w:color="000000" w:sz="2" w:space="0"/>
            </w:tcBorders>
            <w:vAlign w:val="top"/>
          </w:tcPr>
          <w:p w14:paraId="4F4B9F47">
            <w:pPr>
              <w:pStyle w:val="6"/>
              <w:spacing w:before="179" w:line="183" w:lineRule="auto"/>
              <w:ind w:left="320"/>
              <w:rPr>
                <w:sz w:val="18"/>
                <w:szCs w:val="18"/>
              </w:rPr>
            </w:pPr>
            <w:r>
              <w:rPr>
                <w:spacing w:val="-3"/>
                <w:sz w:val="18"/>
                <w:szCs w:val="18"/>
              </w:rPr>
              <w:t>60</w:t>
            </w:r>
          </w:p>
        </w:tc>
      </w:tr>
      <w:tr w14:paraId="58763E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5" w:hRule="atLeast"/>
        </w:trPr>
        <w:tc>
          <w:tcPr>
            <w:tcW w:w="724" w:type="dxa"/>
            <w:vMerge w:val="continue"/>
            <w:tcBorders>
              <w:top w:val="nil"/>
              <w:bottom w:val="nil"/>
            </w:tcBorders>
            <w:vAlign w:val="top"/>
          </w:tcPr>
          <w:p w14:paraId="2AB22E61">
            <w:pPr>
              <w:rPr>
                <w:rFonts w:ascii="Arial"/>
                <w:sz w:val="21"/>
              </w:rPr>
            </w:pPr>
          </w:p>
        </w:tc>
        <w:tc>
          <w:tcPr>
            <w:tcW w:w="769" w:type="dxa"/>
            <w:vMerge w:val="continue"/>
            <w:tcBorders>
              <w:top w:val="nil"/>
              <w:bottom w:val="nil"/>
            </w:tcBorders>
            <w:vAlign w:val="top"/>
          </w:tcPr>
          <w:p w14:paraId="13B9EE22">
            <w:pPr>
              <w:rPr>
                <w:rFonts w:ascii="Arial"/>
                <w:sz w:val="21"/>
              </w:rPr>
            </w:pPr>
          </w:p>
        </w:tc>
        <w:tc>
          <w:tcPr>
            <w:tcW w:w="1198" w:type="dxa"/>
            <w:vMerge w:val="continue"/>
            <w:tcBorders>
              <w:top w:val="nil"/>
              <w:bottom w:val="nil"/>
            </w:tcBorders>
            <w:vAlign w:val="top"/>
          </w:tcPr>
          <w:p w14:paraId="45D75B0F">
            <w:pPr>
              <w:rPr>
                <w:rFonts w:ascii="Arial"/>
                <w:sz w:val="21"/>
              </w:rPr>
            </w:pPr>
          </w:p>
        </w:tc>
        <w:tc>
          <w:tcPr>
            <w:tcW w:w="1578" w:type="dxa"/>
            <w:tcBorders>
              <w:top w:val="single" w:color="000000" w:sz="2" w:space="0"/>
              <w:bottom w:val="single" w:color="000000" w:sz="2" w:space="0"/>
            </w:tcBorders>
            <w:vAlign w:val="top"/>
          </w:tcPr>
          <w:p w14:paraId="59D317D0">
            <w:pPr>
              <w:pStyle w:val="6"/>
              <w:spacing w:before="153" w:line="219" w:lineRule="auto"/>
              <w:ind w:left="3"/>
              <w:rPr>
                <w:sz w:val="18"/>
                <w:szCs w:val="18"/>
              </w:rPr>
            </w:pPr>
            <w:r>
              <w:rPr>
                <w:spacing w:val="-1"/>
                <w:sz w:val="18"/>
                <w:szCs w:val="18"/>
              </w:rPr>
              <w:t>2.设置字符格式</w:t>
            </w:r>
          </w:p>
        </w:tc>
        <w:tc>
          <w:tcPr>
            <w:tcW w:w="3616" w:type="dxa"/>
            <w:tcBorders>
              <w:top w:val="single" w:color="000000" w:sz="2" w:space="0"/>
              <w:bottom w:val="single" w:color="000000" w:sz="2" w:space="0"/>
            </w:tcBorders>
            <w:vAlign w:val="top"/>
          </w:tcPr>
          <w:p w14:paraId="64DA2995">
            <w:pPr>
              <w:pStyle w:val="6"/>
              <w:spacing w:before="53" w:line="211" w:lineRule="auto"/>
              <w:ind w:left="16"/>
              <w:rPr>
                <w:sz w:val="18"/>
                <w:szCs w:val="18"/>
              </w:rPr>
            </w:pPr>
            <w:r>
              <w:rPr>
                <w:spacing w:val="-17"/>
                <w:sz w:val="18"/>
                <w:szCs w:val="18"/>
              </w:rPr>
              <w:t>要点：设置字体、字形、字号、字符边框和底纹、</w:t>
            </w:r>
            <w:r>
              <w:rPr>
                <w:spacing w:val="2"/>
                <w:sz w:val="18"/>
                <w:szCs w:val="18"/>
              </w:rPr>
              <w:t xml:space="preserve"> </w:t>
            </w:r>
            <w:r>
              <w:rPr>
                <w:spacing w:val="-5"/>
                <w:sz w:val="18"/>
                <w:szCs w:val="18"/>
              </w:rPr>
              <w:t>字符效果</w:t>
            </w:r>
          </w:p>
        </w:tc>
        <w:tc>
          <w:tcPr>
            <w:tcW w:w="834" w:type="dxa"/>
            <w:tcBorders>
              <w:top w:val="single" w:color="000000" w:sz="2" w:space="0"/>
              <w:bottom w:val="single" w:color="000000" w:sz="2" w:space="0"/>
            </w:tcBorders>
            <w:vAlign w:val="top"/>
          </w:tcPr>
          <w:p w14:paraId="4EF8010B">
            <w:pPr>
              <w:pStyle w:val="6"/>
              <w:spacing w:before="200" w:line="182" w:lineRule="auto"/>
              <w:ind w:left="370"/>
              <w:rPr>
                <w:sz w:val="18"/>
                <w:szCs w:val="18"/>
              </w:rPr>
            </w:pPr>
            <w:r>
              <w:rPr>
                <w:sz w:val="18"/>
                <w:szCs w:val="18"/>
              </w:rPr>
              <w:t>7</w:t>
            </w:r>
          </w:p>
        </w:tc>
      </w:tr>
      <w:tr w14:paraId="4011CA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44" w:hRule="atLeast"/>
        </w:trPr>
        <w:tc>
          <w:tcPr>
            <w:tcW w:w="724" w:type="dxa"/>
            <w:vMerge w:val="continue"/>
            <w:tcBorders>
              <w:top w:val="nil"/>
              <w:bottom w:val="nil"/>
            </w:tcBorders>
            <w:vAlign w:val="top"/>
          </w:tcPr>
          <w:p w14:paraId="751F9CE6">
            <w:pPr>
              <w:rPr>
                <w:rFonts w:ascii="Arial"/>
                <w:sz w:val="21"/>
              </w:rPr>
            </w:pPr>
          </w:p>
        </w:tc>
        <w:tc>
          <w:tcPr>
            <w:tcW w:w="769" w:type="dxa"/>
            <w:vMerge w:val="continue"/>
            <w:tcBorders>
              <w:top w:val="nil"/>
              <w:bottom w:val="nil"/>
            </w:tcBorders>
            <w:vAlign w:val="top"/>
          </w:tcPr>
          <w:p w14:paraId="36798E8F">
            <w:pPr>
              <w:rPr>
                <w:rFonts w:ascii="Arial"/>
                <w:sz w:val="21"/>
              </w:rPr>
            </w:pPr>
          </w:p>
        </w:tc>
        <w:tc>
          <w:tcPr>
            <w:tcW w:w="1198" w:type="dxa"/>
            <w:vMerge w:val="continue"/>
            <w:tcBorders>
              <w:top w:val="nil"/>
              <w:bottom w:val="nil"/>
            </w:tcBorders>
            <w:vAlign w:val="top"/>
          </w:tcPr>
          <w:p w14:paraId="67AF3668">
            <w:pPr>
              <w:rPr>
                <w:rFonts w:ascii="Arial"/>
                <w:sz w:val="21"/>
              </w:rPr>
            </w:pPr>
          </w:p>
        </w:tc>
        <w:tc>
          <w:tcPr>
            <w:tcW w:w="1578" w:type="dxa"/>
            <w:tcBorders>
              <w:top w:val="single" w:color="000000" w:sz="2" w:space="0"/>
              <w:bottom w:val="single" w:color="000000" w:sz="2" w:space="0"/>
            </w:tcBorders>
            <w:vAlign w:val="top"/>
          </w:tcPr>
          <w:p w14:paraId="669EDDD2">
            <w:pPr>
              <w:spacing w:line="422" w:lineRule="auto"/>
              <w:rPr>
                <w:rFonts w:ascii="Arial"/>
                <w:sz w:val="21"/>
              </w:rPr>
            </w:pPr>
          </w:p>
          <w:p w14:paraId="0E50ADE9">
            <w:pPr>
              <w:pStyle w:val="6"/>
              <w:spacing w:before="58" w:line="219" w:lineRule="auto"/>
              <w:ind w:left="3"/>
              <w:rPr>
                <w:sz w:val="18"/>
                <w:szCs w:val="18"/>
              </w:rPr>
            </w:pPr>
            <w:r>
              <w:rPr>
                <w:spacing w:val="-2"/>
                <w:sz w:val="18"/>
                <w:szCs w:val="18"/>
              </w:rPr>
              <w:t>3.设置段落格式</w:t>
            </w:r>
          </w:p>
        </w:tc>
        <w:tc>
          <w:tcPr>
            <w:tcW w:w="3616" w:type="dxa"/>
            <w:tcBorders>
              <w:top w:val="single" w:color="000000" w:sz="2" w:space="0"/>
              <w:bottom w:val="single" w:color="000000" w:sz="2" w:space="0"/>
            </w:tcBorders>
            <w:vAlign w:val="top"/>
          </w:tcPr>
          <w:p w14:paraId="504F1BF1">
            <w:pPr>
              <w:pStyle w:val="6"/>
              <w:spacing w:before="76" w:line="210" w:lineRule="auto"/>
              <w:ind w:left="16"/>
              <w:rPr>
                <w:sz w:val="18"/>
                <w:szCs w:val="18"/>
              </w:rPr>
            </w:pPr>
            <w:r>
              <w:rPr>
                <w:spacing w:val="-1"/>
                <w:sz w:val="18"/>
                <w:szCs w:val="18"/>
              </w:rPr>
              <w:t>要点：</w:t>
            </w:r>
          </w:p>
          <w:p w14:paraId="056BE571">
            <w:pPr>
              <w:pStyle w:val="6"/>
              <w:spacing w:before="1" w:line="224" w:lineRule="auto"/>
              <w:ind w:left="16" w:right="155"/>
              <w:rPr>
                <w:sz w:val="18"/>
                <w:szCs w:val="18"/>
              </w:rPr>
            </w:pPr>
            <w:r>
              <w:rPr>
                <w:sz w:val="18"/>
                <w:szCs w:val="18"/>
              </w:rPr>
              <w:t>①设置段落缩进、段落对齐方式、行间距和</w:t>
            </w:r>
            <w:r>
              <w:rPr>
                <w:spacing w:val="13"/>
                <w:sz w:val="18"/>
                <w:szCs w:val="18"/>
              </w:rPr>
              <w:t xml:space="preserve"> </w:t>
            </w:r>
            <w:r>
              <w:rPr>
                <w:spacing w:val="-2"/>
                <w:sz w:val="18"/>
                <w:szCs w:val="18"/>
              </w:rPr>
              <w:t>段落间距</w:t>
            </w:r>
          </w:p>
          <w:p w14:paraId="3533EA58">
            <w:pPr>
              <w:pStyle w:val="6"/>
              <w:spacing w:before="1" w:line="205" w:lineRule="auto"/>
              <w:ind w:left="16"/>
              <w:rPr>
                <w:sz w:val="18"/>
                <w:szCs w:val="18"/>
              </w:rPr>
            </w:pPr>
            <w:r>
              <w:rPr>
                <w:spacing w:val="-1"/>
                <w:sz w:val="18"/>
                <w:szCs w:val="18"/>
              </w:rPr>
              <w:t>②设置首字下沉</w:t>
            </w:r>
          </w:p>
          <w:p w14:paraId="35870333">
            <w:pPr>
              <w:pStyle w:val="6"/>
              <w:spacing w:line="217" w:lineRule="auto"/>
              <w:ind w:left="16"/>
              <w:rPr>
                <w:sz w:val="18"/>
                <w:szCs w:val="18"/>
              </w:rPr>
            </w:pPr>
            <w:r>
              <w:rPr>
                <w:spacing w:val="-1"/>
                <w:sz w:val="18"/>
                <w:szCs w:val="18"/>
              </w:rPr>
              <w:t>③设置段落边框和底纹</w:t>
            </w:r>
          </w:p>
        </w:tc>
        <w:tc>
          <w:tcPr>
            <w:tcW w:w="834" w:type="dxa"/>
            <w:tcBorders>
              <w:top w:val="single" w:color="000000" w:sz="2" w:space="0"/>
              <w:bottom w:val="single" w:color="000000" w:sz="2" w:space="0"/>
            </w:tcBorders>
            <w:vAlign w:val="top"/>
          </w:tcPr>
          <w:p w14:paraId="37E37418">
            <w:pPr>
              <w:spacing w:line="469" w:lineRule="auto"/>
              <w:rPr>
                <w:rFonts w:ascii="Arial"/>
                <w:sz w:val="21"/>
              </w:rPr>
            </w:pPr>
          </w:p>
          <w:p w14:paraId="11428CD5">
            <w:pPr>
              <w:pStyle w:val="6"/>
              <w:spacing w:before="58" w:line="182" w:lineRule="auto"/>
              <w:ind w:left="370"/>
              <w:rPr>
                <w:sz w:val="18"/>
                <w:szCs w:val="18"/>
              </w:rPr>
            </w:pPr>
            <w:r>
              <w:rPr>
                <w:sz w:val="18"/>
                <w:szCs w:val="18"/>
              </w:rPr>
              <w:t>7</w:t>
            </w:r>
          </w:p>
        </w:tc>
      </w:tr>
      <w:tr w14:paraId="00B158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5" w:hRule="atLeast"/>
        </w:trPr>
        <w:tc>
          <w:tcPr>
            <w:tcW w:w="724" w:type="dxa"/>
            <w:vMerge w:val="continue"/>
            <w:tcBorders>
              <w:top w:val="nil"/>
              <w:bottom w:val="nil"/>
            </w:tcBorders>
            <w:vAlign w:val="top"/>
          </w:tcPr>
          <w:p w14:paraId="598E44C6">
            <w:pPr>
              <w:rPr>
                <w:rFonts w:ascii="Arial"/>
                <w:sz w:val="21"/>
              </w:rPr>
            </w:pPr>
          </w:p>
        </w:tc>
        <w:tc>
          <w:tcPr>
            <w:tcW w:w="769" w:type="dxa"/>
            <w:vMerge w:val="continue"/>
            <w:tcBorders>
              <w:top w:val="nil"/>
              <w:bottom w:val="nil"/>
            </w:tcBorders>
            <w:vAlign w:val="top"/>
          </w:tcPr>
          <w:p w14:paraId="0ACDD387">
            <w:pPr>
              <w:rPr>
                <w:rFonts w:ascii="Arial"/>
                <w:sz w:val="21"/>
              </w:rPr>
            </w:pPr>
          </w:p>
        </w:tc>
        <w:tc>
          <w:tcPr>
            <w:tcW w:w="1198" w:type="dxa"/>
            <w:vMerge w:val="continue"/>
            <w:tcBorders>
              <w:top w:val="nil"/>
              <w:bottom w:val="nil"/>
            </w:tcBorders>
            <w:vAlign w:val="top"/>
          </w:tcPr>
          <w:p w14:paraId="2FE71C9B">
            <w:pPr>
              <w:rPr>
                <w:rFonts w:ascii="Arial"/>
                <w:sz w:val="21"/>
              </w:rPr>
            </w:pPr>
          </w:p>
        </w:tc>
        <w:tc>
          <w:tcPr>
            <w:tcW w:w="1578" w:type="dxa"/>
            <w:tcBorders>
              <w:top w:val="single" w:color="000000" w:sz="2" w:space="0"/>
              <w:bottom w:val="single" w:color="000000" w:sz="2" w:space="0"/>
            </w:tcBorders>
            <w:vAlign w:val="top"/>
          </w:tcPr>
          <w:p w14:paraId="30F532E4">
            <w:pPr>
              <w:pStyle w:val="6"/>
              <w:spacing w:before="84" w:line="219" w:lineRule="auto"/>
              <w:ind w:left="3"/>
              <w:rPr>
                <w:sz w:val="18"/>
                <w:szCs w:val="18"/>
              </w:rPr>
            </w:pPr>
            <w:r>
              <w:rPr>
                <w:spacing w:val="-1"/>
                <w:sz w:val="18"/>
                <w:szCs w:val="18"/>
              </w:rPr>
              <w:t>4.设置页面格式</w:t>
            </w:r>
          </w:p>
        </w:tc>
        <w:tc>
          <w:tcPr>
            <w:tcW w:w="3616" w:type="dxa"/>
            <w:tcBorders>
              <w:top w:val="single" w:color="000000" w:sz="2" w:space="0"/>
              <w:bottom w:val="single" w:color="000000" w:sz="2" w:space="0"/>
            </w:tcBorders>
            <w:vAlign w:val="top"/>
          </w:tcPr>
          <w:p w14:paraId="5D693DFD">
            <w:pPr>
              <w:pStyle w:val="6"/>
              <w:spacing w:before="84" w:line="220" w:lineRule="auto"/>
              <w:ind w:left="16"/>
              <w:rPr>
                <w:sz w:val="18"/>
                <w:szCs w:val="18"/>
              </w:rPr>
            </w:pPr>
            <w:r>
              <w:rPr>
                <w:spacing w:val="-1"/>
                <w:sz w:val="18"/>
                <w:szCs w:val="18"/>
              </w:rPr>
              <w:t>要点：设置页边距、纸张大小、版面效果</w:t>
            </w:r>
          </w:p>
        </w:tc>
        <w:tc>
          <w:tcPr>
            <w:tcW w:w="834" w:type="dxa"/>
            <w:tcBorders>
              <w:top w:val="single" w:color="000000" w:sz="2" w:space="0"/>
              <w:bottom w:val="single" w:color="000000" w:sz="2" w:space="0"/>
            </w:tcBorders>
            <w:vAlign w:val="top"/>
          </w:tcPr>
          <w:p w14:paraId="41A38034">
            <w:pPr>
              <w:pStyle w:val="6"/>
              <w:spacing w:before="131" w:line="182" w:lineRule="auto"/>
              <w:ind w:left="370"/>
              <w:rPr>
                <w:sz w:val="18"/>
                <w:szCs w:val="18"/>
              </w:rPr>
            </w:pPr>
            <w:r>
              <w:rPr>
                <w:sz w:val="18"/>
                <w:szCs w:val="18"/>
              </w:rPr>
              <w:t>7</w:t>
            </w:r>
          </w:p>
        </w:tc>
      </w:tr>
      <w:tr w14:paraId="235012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5" w:hRule="atLeast"/>
        </w:trPr>
        <w:tc>
          <w:tcPr>
            <w:tcW w:w="724" w:type="dxa"/>
            <w:vMerge w:val="continue"/>
            <w:tcBorders>
              <w:top w:val="nil"/>
              <w:bottom w:val="nil"/>
            </w:tcBorders>
            <w:vAlign w:val="top"/>
          </w:tcPr>
          <w:p w14:paraId="7479E447">
            <w:pPr>
              <w:rPr>
                <w:rFonts w:ascii="Arial"/>
                <w:sz w:val="21"/>
              </w:rPr>
            </w:pPr>
          </w:p>
        </w:tc>
        <w:tc>
          <w:tcPr>
            <w:tcW w:w="769" w:type="dxa"/>
            <w:vMerge w:val="continue"/>
            <w:tcBorders>
              <w:top w:val="nil"/>
              <w:bottom w:val="nil"/>
            </w:tcBorders>
            <w:vAlign w:val="top"/>
          </w:tcPr>
          <w:p w14:paraId="2A8F1470">
            <w:pPr>
              <w:rPr>
                <w:rFonts w:ascii="Arial"/>
                <w:sz w:val="21"/>
              </w:rPr>
            </w:pPr>
          </w:p>
        </w:tc>
        <w:tc>
          <w:tcPr>
            <w:tcW w:w="1198" w:type="dxa"/>
            <w:vMerge w:val="continue"/>
            <w:tcBorders>
              <w:top w:val="nil"/>
              <w:bottom w:val="nil"/>
            </w:tcBorders>
            <w:vAlign w:val="top"/>
          </w:tcPr>
          <w:p w14:paraId="20698B55">
            <w:pPr>
              <w:rPr>
                <w:rFonts w:ascii="Arial"/>
                <w:sz w:val="21"/>
              </w:rPr>
            </w:pPr>
          </w:p>
        </w:tc>
        <w:tc>
          <w:tcPr>
            <w:tcW w:w="1578" w:type="dxa"/>
            <w:tcBorders>
              <w:top w:val="single" w:color="000000" w:sz="2" w:space="0"/>
              <w:bottom w:val="single" w:color="000000" w:sz="2" w:space="0"/>
            </w:tcBorders>
            <w:vAlign w:val="top"/>
          </w:tcPr>
          <w:p w14:paraId="493C9E8F">
            <w:pPr>
              <w:pStyle w:val="6"/>
              <w:spacing w:before="84" w:line="219" w:lineRule="auto"/>
              <w:ind w:left="3"/>
              <w:rPr>
                <w:sz w:val="18"/>
                <w:szCs w:val="18"/>
              </w:rPr>
            </w:pPr>
            <w:r>
              <w:rPr>
                <w:spacing w:val="2"/>
                <w:sz w:val="18"/>
                <w:szCs w:val="18"/>
              </w:rPr>
              <w:t>5.编辑图片</w:t>
            </w:r>
          </w:p>
        </w:tc>
        <w:tc>
          <w:tcPr>
            <w:tcW w:w="3616" w:type="dxa"/>
            <w:tcBorders>
              <w:top w:val="single" w:color="000000" w:sz="2" w:space="0"/>
              <w:bottom w:val="single" w:color="000000" w:sz="2" w:space="0"/>
            </w:tcBorders>
            <w:vAlign w:val="top"/>
          </w:tcPr>
          <w:p w14:paraId="39D9CA08">
            <w:pPr>
              <w:pStyle w:val="6"/>
              <w:spacing w:before="82" w:line="219" w:lineRule="auto"/>
              <w:ind w:left="16"/>
              <w:rPr>
                <w:sz w:val="18"/>
                <w:szCs w:val="18"/>
              </w:rPr>
            </w:pPr>
            <w:r>
              <w:rPr>
                <w:spacing w:val="-1"/>
                <w:sz w:val="18"/>
                <w:szCs w:val="18"/>
              </w:rPr>
              <w:t>要点：插入与编辑图片、艺术字、文本框等</w:t>
            </w:r>
          </w:p>
        </w:tc>
        <w:tc>
          <w:tcPr>
            <w:tcW w:w="834" w:type="dxa"/>
            <w:tcBorders>
              <w:top w:val="single" w:color="000000" w:sz="2" w:space="0"/>
              <w:bottom w:val="single" w:color="000000" w:sz="2" w:space="0"/>
            </w:tcBorders>
            <w:vAlign w:val="top"/>
          </w:tcPr>
          <w:p w14:paraId="59E2B12A">
            <w:pPr>
              <w:pStyle w:val="6"/>
              <w:spacing w:before="131" w:line="182" w:lineRule="auto"/>
              <w:ind w:left="370"/>
              <w:rPr>
                <w:sz w:val="18"/>
                <w:szCs w:val="18"/>
              </w:rPr>
            </w:pPr>
            <w:r>
              <w:rPr>
                <w:sz w:val="18"/>
                <w:szCs w:val="18"/>
              </w:rPr>
              <w:t>7</w:t>
            </w:r>
          </w:p>
        </w:tc>
      </w:tr>
      <w:tr w14:paraId="1E902F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94" w:hRule="atLeast"/>
        </w:trPr>
        <w:tc>
          <w:tcPr>
            <w:tcW w:w="724" w:type="dxa"/>
            <w:vMerge w:val="continue"/>
            <w:tcBorders>
              <w:top w:val="nil"/>
              <w:bottom w:val="nil"/>
            </w:tcBorders>
            <w:vAlign w:val="top"/>
          </w:tcPr>
          <w:p w14:paraId="3F694FD9">
            <w:pPr>
              <w:rPr>
                <w:rFonts w:ascii="Arial"/>
                <w:sz w:val="21"/>
              </w:rPr>
            </w:pPr>
          </w:p>
        </w:tc>
        <w:tc>
          <w:tcPr>
            <w:tcW w:w="769" w:type="dxa"/>
            <w:vMerge w:val="continue"/>
            <w:tcBorders>
              <w:top w:val="nil"/>
              <w:bottom w:val="single" w:color="000000" w:sz="2" w:space="0"/>
            </w:tcBorders>
            <w:vAlign w:val="top"/>
          </w:tcPr>
          <w:p w14:paraId="4DF650C5">
            <w:pPr>
              <w:rPr>
                <w:rFonts w:ascii="Arial"/>
                <w:sz w:val="21"/>
              </w:rPr>
            </w:pPr>
          </w:p>
        </w:tc>
        <w:tc>
          <w:tcPr>
            <w:tcW w:w="1198" w:type="dxa"/>
            <w:vMerge w:val="continue"/>
            <w:tcBorders>
              <w:top w:val="nil"/>
              <w:bottom w:val="single" w:color="000000" w:sz="2" w:space="0"/>
            </w:tcBorders>
            <w:vAlign w:val="top"/>
          </w:tcPr>
          <w:p w14:paraId="5C6C6FAD">
            <w:pPr>
              <w:rPr>
                <w:rFonts w:ascii="Arial"/>
                <w:sz w:val="21"/>
              </w:rPr>
            </w:pPr>
          </w:p>
        </w:tc>
        <w:tc>
          <w:tcPr>
            <w:tcW w:w="1578" w:type="dxa"/>
            <w:tcBorders>
              <w:top w:val="single" w:color="000000" w:sz="2" w:space="0"/>
              <w:bottom w:val="single" w:color="000000" w:sz="2" w:space="0"/>
            </w:tcBorders>
            <w:vAlign w:val="top"/>
          </w:tcPr>
          <w:p w14:paraId="08CDF51F">
            <w:pPr>
              <w:spacing w:line="253" w:lineRule="auto"/>
              <w:rPr>
                <w:rFonts w:ascii="Arial"/>
                <w:sz w:val="21"/>
              </w:rPr>
            </w:pPr>
          </w:p>
          <w:p w14:paraId="657C8DE2">
            <w:pPr>
              <w:pStyle w:val="6"/>
              <w:spacing w:before="59" w:line="219" w:lineRule="auto"/>
              <w:ind w:left="3"/>
              <w:rPr>
                <w:sz w:val="18"/>
                <w:szCs w:val="18"/>
              </w:rPr>
            </w:pPr>
            <w:r>
              <w:rPr>
                <w:spacing w:val="-2"/>
                <w:sz w:val="18"/>
                <w:szCs w:val="18"/>
              </w:rPr>
              <w:t>6.其他格式设置</w:t>
            </w:r>
          </w:p>
        </w:tc>
        <w:tc>
          <w:tcPr>
            <w:tcW w:w="3616" w:type="dxa"/>
            <w:tcBorders>
              <w:top w:val="single" w:color="000000" w:sz="2" w:space="0"/>
              <w:bottom w:val="single" w:color="000000" w:sz="2" w:space="0"/>
            </w:tcBorders>
            <w:vAlign w:val="top"/>
          </w:tcPr>
          <w:p w14:paraId="1B33B4F4">
            <w:pPr>
              <w:pStyle w:val="6"/>
              <w:spacing w:before="112" w:line="215" w:lineRule="auto"/>
              <w:ind w:left="16"/>
              <w:rPr>
                <w:sz w:val="18"/>
                <w:szCs w:val="18"/>
              </w:rPr>
            </w:pPr>
            <w:r>
              <w:rPr>
                <w:spacing w:val="-1"/>
                <w:sz w:val="18"/>
                <w:szCs w:val="18"/>
              </w:rPr>
              <w:t>要点：①设置分栏</w:t>
            </w:r>
          </w:p>
          <w:p w14:paraId="55DFAD38">
            <w:pPr>
              <w:pStyle w:val="6"/>
              <w:spacing w:line="217" w:lineRule="auto"/>
              <w:ind w:left="16"/>
              <w:rPr>
                <w:sz w:val="18"/>
                <w:szCs w:val="18"/>
              </w:rPr>
            </w:pPr>
            <w:r>
              <w:rPr>
                <w:spacing w:val="1"/>
                <w:sz w:val="18"/>
                <w:szCs w:val="18"/>
              </w:rPr>
              <w:t>②设置页眉、页脚、水印</w:t>
            </w:r>
          </w:p>
          <w:p w14:paraId="09302230">
            <w:pPr>
              <w:pStyle w:val="6"/>
              <w:spacing w:before="18" w:line="217" w:lineRule="auto"/>
              <w:ind w:left="16"/>
              <w:rPr>
                <w:sz w:val="18"/>
                <w:szCs w:val="18"/>
              </w:rPr>
            </w:pPr>
            <w:r>
              <w:rPr>
                <w:spacing w:val="-1"/>
                <w:sz w:val="18"/>
                <w:szCs w:val="18"/>
              </w:rPr>
              <w:t>③表格的制作与美化</w:t>
            </w:r>
          </w:p>
        </w:tc>
        <w:tc>
          <w:tcPr>
            <w:tcW w:w="834" w:type="dxa"/>
            <w:tcBorders>
              <w:top w:val="single" w:color="000000" w:sz="2" w:space="0"/>
              <w:bottom w:val="single" w:color="000000" w:sz="2" w:space="0"/>
            </w:tcBorders>
            <w:vAlign w:val="top"/>
          </w:tcPr>
          <w:p w14:paraId="72C24280">
            <w:pPr>
              <w:spacing w:line="301" w:lineRule="auto"/>
              <w:rPr>
                <w:rFonts w:ascii="Arial"/>
                <w:sz w:val="21"/>
              </w:rPr>
            </w:pPr>
          </w:p>
          <w:p w14:paraId="7D26CC9C">
            <w:pPr>
              <w:pStyle w:val="6"/>
              <w:spacing w:before="58" w:line="182" w:lineRule="auto"/>
              <w:ind w:left="370"/>
              <w:rPr>
                <w:sz w:val="18"/>
                <w:szCs w:val="18"/>
              </w:rPr>
            </w:pPr>
            <w:r>
              <w:rPr>
                <w:sz w:val="18"/>
                <w:szCs w:val="18"/>
              </w:rPr>
              <w:t>7</w:t>
            </w:r>
          </w:p>
        </w:tc>
      </w:tr>
      <w:tr w14:paraId="03AC6B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94" w:hRule="atLeast"/>
        </w:trPr>
        <w:tc>
          <w:tcPr>
            <w:tcW w:w="724" w:type="dxa"/>
            <w:vMerge w:val="continue"/>
            <w:tcBorders>
              <w:top w:val="nil"/>
              <w:bottom w:val="nil"/>
            </w:tcBorders>
            <w:vAlign w:val="top"/>
          </w:tcPr>
          <w:p w14:paraId="5734D9ED">
            <w:pPr>
              <w:rPr>
                <w:rFonts w:ascii="Arial"/>
                <w:sz w:val="21"/>
              </w:rPr>
            </w:pPr>
          </w:p>
        </w:tc>
        <w:tc>
          <w:tcPr>
            <w:tcW w:w="769" w:type="dxa"/>
            <w:vMerge w:val="restart"/>
            <w:tcBorders>
              <w:top w:val="single" w:color="000000" w:sz="2" w:space="0"/>
              <w:bottom w:val="nil"/>
            </w:tcBorders>
            <w:vAlign w:val="top"/>
          </w:tcPr>
          <w:p w14:paraId="69A48B0E">
            <w:pPr>
              <w:spacing w:line="293" w:lineRule="auto"/>
              <w:rPr>
                <w:rFonts w:ascii="Arial"/>
                <w:sz w:val="21"/>
              </w:rPr>
            </w:pPr>
          </w:p>
          <w:p w14:paraId="4ED501F4">
            <w:pPr>
              <w:spacing w:line="293" w:lineRule="auto"/>
              <w:rPr>
                <w:rFonts w:ascii="Arial"/>
                <w:sz w:val="21"/>
              </w:rPr>
            </w:pPr>
          </w:p>
          <w:p w14:paraId="57599C93">
            <w:pPr>
              <w:spacing w:line="293" w:lineRule="auto"/>
              <w:rPr>
                <w:rFonts w:ascii="Arial"/>
                <w:sz w:val="21"/>
              </w:rPr>
            </w:pPr>
          </w:p>
          <w:p w14:paraId="5B56F8AB">
            <w:pPr>
              <w:pStyle w:val="6"/>
              <w:spacing w:before="59" w:line="219" w:lineRule="auto"/>
              <w:ind w:left="100"/>
              <w:rPr>
                <w:sz w:val="18"/>
                <w:szCs w:val="18"/>
              </w:rPr>
            </w:pPr>
            <w:r>
              <w:rPr>
                <w:spacing w:val="-2"/>
                <w:sz w:val="18"/>
                <w:szCs w:val="18"/>
              </w:rPr>
              <w:t>计算机</w:t>
            </w:r>
          </w:p>
          <w:p w14:paraId="7AB1CB5C">
            <w:pPr>
              <w:pStyle w:val="6"/>
              <w:spacing w:before="26" w:line="205" w:lineRule="auto"/>
              <w:ind w:left="100"/>
              <w:rPr>
                <w:sz w:val="18"/>
                <w:szCs w:val="18"/>
              </w:rPr>
            </w:pPr>
            <w:r>
              <w:rPr>
                <w:spacing w:val="-2"/>
                <w:sz w:val="18"/>
                <w:szCs w:val="18"/>
              </w:rPr>
              <w:t>房计算</w:t>
            </w:r>
          </w:p>
          <w:p w14:paraId="576E5764">
            <w:pPr>
              <w:pStyle w:val="6"/>
              <w:spacing w:line="218" w:lineRule="auto"/>
              <w:ind w:left="280"/>
              <w:rPr>
                <w:sz w:val="18"/>
                <w:szCs w:val="18"/>
              </w:rPr>
            </w:pPr>
            <w:r>
              <w:rPr>
                <w:sz w:val="18"/>
                <w:szCs w:val="18"/>
              </w:rPr>
              <w:t>机</w:t>
            </w:r>
          </w:p>
        </w:tc>
        <w:tc>
          <w:tcPr>
            <w:tcW w:w="1198" w:type="dxa"/>
            <w:vMerge w:val="restart"/>
            <w:tcBorders>
              <w:top w:val="single" w:color="000000" w:sz="2" w:space="0"/>
              <w:bottom w:val="nil"/>
            </w:tcBorders>
            <w:vAlign w:val="top"/>
          </w:tcPr>
          <w:p w14:paraId="64F69487">
            <w:pPr>
              <w:spacing w:line="339" w:lineRule="auto"/>
              <w:rPr>
                <w:rFonts w:ascii="Arial"/>
                <w:sz w:val="21"/>
              </w:rPr>
            </w:pPr>
          </w:p>
          <w:p w14:paraId="35735A68">
            <w:pPr>
              <w:pStyle w:val="6"/>
              <w:spacing w:before="58" w:line="228" w:lineRule="auto"/>
              <w:ind w:left="22"/>
              <w:rPr>
                <w:sz w:val="18"/>
                <w:szCs w:val="18"/>
              </w:rPr>
            </w:pPr>
            <w:r>
              <w:rPr>
                <w:spacing w:val="-2"/>
                <w:sz w:val="18"/>
                <w:szCs w:val="18"/>
              </w:rPr>
              <w:t>在Excel</w:t>
            </w:r>
            <w:r>
              <w:rPr>
                <w:spacing w:val="9"/>
                <w:sz w:val="18"/>
                <w:szCs w:val="18"/>
              </w:rPr>
              <w:t xml:space="preserve"> </w:t>
            </w:r>
            <w:r>
              <w:rPr>
                <w:spacing w:val="-2"/>
                <w:sz w:val="18"/>
                <w:szCs w:val="18"/>
              </w:rPr>
              <w:t>2016</w:t>
            </w:r>
            <w:r>
              <w:rPr>
                <w:sz w:val="18"/>
                <w:szCs w:val="18"/>
              </w:rPr>
              <w:t xml:space="preserve">  </w:t>
            </w:r>
            <w:r>
              <w:rPr>
                <w:spacing w:val="1"/>
                <w:sz w:val="18"/>
                <w:szCs w:val="18"/>
              </w:rPr>
              <w:t>窗口中打开指</w:t>
            </w:r>
            <w:r>
              <w:rPr>
                <w:sz w:val="18"/>
                <w:szCs w:val="18"/>
              </w:rPr>
              <w:t xml:space="preserve">  </w:t>
            </w:r>
            <w:r>
              <w:rPr>
                <w:spacing w:val="-12"/>
                <w:sz w:val="18"/>
                <w:szCs w:val="18"/>
              </w:rPr>
              <w:t>定</w:t>
            </w:r>
            <w:r>
              <w:rPr>
                <w:spacing w:val="-11"/>
                <w:sz w:val="18"/>
                <w:szCs w:val="18"/>
              </w:rPr>
              <w:t xml:space="preserve"> 的 工 作 </w:t>
            </w:r>
            <w:r>
              <w:rPr>
                <w:spacing w:val="-10"/>
                <w:sz w:val="18"/>
                <w:szCs w:val="18"/>
              </w:rPr>
              <w:t>薄</w:t>
            </w:r>
            <w:r>
              <w:rPr>
                <w:spacing w:val="3"/>
                <w:sz w:val="18"/>
                <w:szCs w:val="18"/>
              </w:rPr>
              <w:t xml:space="preserve"> </w:t>
            </w:r>
            <w:r>
              <w:rPr>
                <w:spacing w:val="-2"/>
                <w:sz w:val="18"/>
                <w:szCs w:val="18"/>
              </w:rPr>
              <w:t>文件，并按要</w:t>
            </w:r>
            <w:r>
              <w:rPr>
                <w:sz w:val="18"/>
                <w:szCs w:val="18"/>
              </w:rPr>
              <w:t xml:space="preserve">  </w:t>
            </w:r>
            <w:r>
              <w:rPr>
                <w:spacing w:val="2"/>
                <w:sz w:val="18"/>
                <w:szCs w:val="18"/>
              </w:rPr>
              <w:t>求对工作表中</w:t>
            </w:r>
            <w:r>
              <w:rPr>
                <w:spacing w:val="3"/>
                <w:sz w:val="18"/>
                <w:szCs w:val="18"/>
              </w:rPr>
              <w:t xml:space="preserve"> </w:t>
            </w:r>
            <w:r>
              <w:rPr>
                <w:sz w:val="18"/>
                <w:szCs w:val="18"/>
              </w:rPr>
              <w:t>的数据进行处</w:t>
            </w:r>
            <w:r>
              <w:rPr>
                <w:spacing w:val="1"/>
                <w:sz w:val="18"/>
                <w:szCs w:val="18"/>
              </w:rPr>
              <w:t xml:space="preserve">  </w:t>
            </w:r>
            <w:r>
              <w:rPr>
                <w:spacing w:val="-2"/>
                <w:sz w:val="18"/>
                <w:szCs w:val="18"/>
              </w:rPr>
              <w:t>理，以及对表</w:t>
            </w:r>
            <w:r>
              <w:rPr>
                <w:sz w:val="18"/>
                <w:szCs w:val="18"/>
              </w:rPr>
              <w:t xml:space="preserve">  格进行格式化</w:t>
            </w:r>
          </w:p>
        </w:tc>
        <w:tc>
          <w:tcPr>
            <w:tcW w:w="1578" w:type="dxa"/>
            <w:tcBorders>
              <w:top w:val="single" w:color="000000" w:sz="2" w:space="0"/>
              <w:bottom w:val="single" w:color="000000" w:sz="2" w:space="0"/>
            </w:tcBorders>
            <w:vAlign w:val="top"/>
          </w:tcPr>
          <w:p w14:paraId="600BC42B">
            <w:pPr>
              <w:pStyle w:val="6"/>
              <w:spacing w:before="264" w:line="219" w:lineRule="auto"/>
              <w:ind w:left="3"/>
              <w:rPr>
                <w:sz w:val="18"/>
                <w:szCs w:val="18"/>
              </w:rPr>
            </w:pPr>
            <w:r>
              <w:rPr>
                <w:spacing w:val="-2"/>
                <w:sz w:val="18"/>
                <w:szCs w:val="18"/>
              </w:rPr>
              <w:t>7.数据处理</w:t>
            </w:r>
          </w:p>
        </w:tc>
        <w:tc>
          <w:tcPr>
            <w:tcW w:w="3616" w:type="dxa"/>
            <w:tcBorders>
              <w:top w:val="single" w:color="000000" w:sz="2" w:space="0"/>
              <w:bottom w:val="single" w:color="000000" w:sz="2" w:space="0"/>
            </w:tcBorders>
            <w:vAlign w:val="top"/>
          </w:tcPr>
          <w:p w14:paraId="34A2A48F">
            <w:pPr>
              <w:pStyle w:val="6"/>
              <w:spacing w:before="55" w:line="219" w:lineRule="auto"/>
              <w:ind w:left="16"/>
              <w:rPr>
                <w:sz w:val="18"/>
                <w:szCs w:val="18"/>
              </w:rPr>
            </w:pPr>
            <w:r>
              <w:rPr>
                <w:spacing w:val="6"/>
                <w:sz w:val="18"/>
                <w:szCs w:val="18"/>
              </w:rPr>
              <w:t>要点：使用公式或函数(</w:t>
            </w:r>
            <w:r>
              <w:rPr>
                <w:sz w:val="18"/>
                <w:szCs w:val="18"/>
              </w:rPr>
              <w:t>SUM</w:t>
            </w:r>
            <w:r>
              <w:rPr>
                <w:spacing w:val="6"/>
                <w:sz w:val="18"/>
                <w:szCs w:val="18"/>
              </w:rPr>
              <w:t>、</w:t>
            </w:r>
            <w:r>
              <w:rPr>
                <w:sz w:val="18"/>
                <w:szCs w:val="18"/>
              </w:rPr>
              <w:t>AVERAGE</w:t>
            </w:r>
            <w:r>
              <w:rPr>
                <w:spacing w:val="6"/>
                <w:sz w:val="18"/>
                <w:szCs w:val="18"/>
              </w:rPr>
              <w:t>、</w:t>
            </w:r>
          </w:p>
          <w:p w14:paraId="78654E19">
            <w:pPr>
              <w:pStyle w:val="6"/>
              <w:spacing w:before="68" w:line="178" w:lineRule="auto"/>
              <w:ind w:left="16" w:right="1011"/>
              <w:rPr>
                <w:sz w:val="18"/>
                <w:szCs w:val="18"/>
              </w:rPr>
            </w:pPr>
            <w:r>
              <w:rPr>
                <w:spacing w:val="-2"/>
                <w:sz w:val="18"/>
                <w:szCs w:val="18"/>
              </w:rPr>
              <w:t>COUNTIF、MAX、MIN、IF、DATE、</w:t>
            </w:r>
            <w:r>
              <w:rPr>
                <w:spacing w:val="15"/>
                <w:sz w:val="18"/>
                <w:szCs w:val="18"/>
              </w:rPr>
              <w:t xml:space="preserve"> </w:t>
            </w:r>
            <w:r>
              <w:rPr>
                <w:spacing w:val="-1"/>
                <w:sz w:val="18"/>
                <w:szCs w:val="18"/>
              </w:rPr>
              <w:t>PRODUCT)处理工作表中数据</w:t>
            </w:r>
          </w:p>
        </w:tc>
        <w:tc>
          <w:tcPr>
            <w:tcW w:w="834" w:type="dxa"/>
            <w:tcBorders>
              <w:top w:val="single" w:color="000000" w:sz="2" w:space="0"/>
              <w:bottom w:val="single" w:color="000000" w:sz="2" w:space="0"/>
            </w:tcBorders>
            <w:vAlign w:val="top"/>
          </w:tcPr>
          <w:p w14:paraId="615C2259">
            <w:pPr>
              <w:spacing w:line="251" w:lineRule="auto"/>
              <w:rPr>
                <w:rFonts w:ascii="Arial"/>
                <w:sz w:val="21"/>
              </w:rPr>
            </w:pPr>
          </w:p>
          <w:p w14:paraId="7E4B6C79">
            <w:pPr>
              <w:pStyle w:val="6"/>
              <w:spacing w:before="58" w:line="183" w:lineRule="auto"/>
              <w:ind w:left="370"/>
              <w:rPr>
                <w:sz w:val="18"/>
                <w:szCs w:val="18"/>
              </w:rPr>
            </w:pPr>
            <w:r>
              <w:rPr>
                <w:sz w:val="18"/>
                <w:szCs w:val="18"/>
              </w:rPr>
              <w:t>6</w:t>
            </w:r>
          </w:p>
        </w:tc>
      </w:tr>
      <w:tr w14:paraId="50D5EE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4" w:hRule="atLeast"/>
        </w:trPr>
        <w:tc>
          <w:tcPr>
            <w:tcW w:w="724" w:type="dxa"/>
            <w:vMerge w:val="continue"/>
            <w:tcBorders>
              <w:top w:val="nil"/>
              <w:bottom w:val="nil"/>
            </w:tcBorders>
            <w:vAlign w:val="top"/>
          </w:tcPr>
          <w:p w14:paraId="6226D283">
            <w:pPr>
              <w:rPr>
                <w:rFonts w:ascii="Arial"/>
                <w:sz w:val="21"/>
              </w:rPr>
            </w:pPr>
          </w:p>
        </w:tc>
        <w:tc>
          <w:tcPr>
            <w:tcW w:w="769" w:type="dxa"/>
            <w:vMerge w:val="continue"/>
            <w:tcBorders>
              <w:top w:val="nil"/>
              <w:bottom w:val="nil"/>
            </w:tcBorders>
            <w:vAlign w:val="top"/>
          </w:tcPr>
          <w:p w14:paraId="01A566B8">
            <w:pPr>
              <w:rPr>
                <w:rFonts w:ascii="Arial"/>
                <w:sz w:val="21"/>
              </w:rPr>
            </w:pPr>
          </w:p>
        </w:tc>
        <w:tc>
          <w:tcPr>
            <w:tcW w:w="1198" w:type="dxa"/>
            <w:vMerge w:val="continue"/>
            <w:tcBorders>
              <w:top w:val="nil"/>
              <w:bottom w:val="nil"/>
            </w:tcBorders>
            <w:vAlign w:val="top"/>
          </w:tcPr>
          <w:p w14:paraId="4D1578D5">
            <w:pPr>
              <w:rPr>
                <w:rFonts w:ascii="Arial"/>
                <w:sz w:val="21"/>
              </w:rPr>
            </w:pPr>
          </w:p>
        </w:tc>
        <w:tc>
          <w:tcPr>
            <w:tcW w:w="1578" w:type="dxa"/>
            <w:tcBorders>
              <w:top w:val="single" w:color="000000" w:sz="2" w:space="0"/>
              <w:bottom w:val="single" w:color="000000" w:sz="2" w:space="0"/>
            </w:tcBorders>
            <w:vAlign w:val="top"/>
          </w:tcPr>
          <w:p w14:paraId="4D78D03F">
            <w:pPr>
              <w:pStyle w:val="6"/>
              <w:spacing w:before="85" w:line="219" w:lineRule="auto"/>
              <w:ind w:left="3"/>
              <w:rPr>
                <w:sz w:val="18"/>
                <w:szCs w:val="18"/>
              </w:rPr>
            </w:pPr>
            <w:r>
              <w:rPr>
                <w:spacing w:val="-2"/>
                <w:sz w:val="18"/>
                <w:szCs w:val="18"/>
              </w:rPr>
              <w:t>8.数据排序</w:t>
            </w:r>
          </w:p>
        </w:tc>
        <w:tc>
          <w:tcPr>
            <w:tcW w:w="3616" w:type="dxa"/>
            <w:tcBorders>
              <w:top w:val="single" w:color="000000" w:sz="2" w:space="0"/>
              <w:bottom w:val="single" w:color="000000" w:sz="2" w:space="0"/>
            </w:tcBorders>
            <w:vAlign w:val="top"/>
          </w:tcPr>
          <w:p w14:paraId="5AC2A19C">
            <w:pPr>
              <w:pStyle w:val="6"/>
              <w:spacing w:before="85" w:line="219" w:lineRule="auto"/>
              <w:ind w:left="16"/>
              <w:rPr>
                <w:sz w:val="18"/>
                <w:szCs w:val="18"/>
              </w:rPr>
            </w:pPr>
            <w:r>
              <w:rPr>
                <w:spacing w:val="-1"/>
                <w:sz w:val="18"/>
                <w:szCs w:val="18"/>
              </w:rPr>
              <w:t>要点：按指定的字段值对所选记录进行排序</w:t>
            </w:r>
          </w:p>
        </w:tc>
        <w:tc>
          <w:tcPr>
            <w:tcW w:w="834" w:type="dxa"/>
            <w:tcBorders>
              <w:top w:val="single" w:color="000000" w:sz="2" w:space="0"/>
              <w:bottom w:val="single" w:color="000000" w:sz="2" w:space="0"/>
            </w:tcBorders>
            <w:vAlign w:val="top"/>
          </w:tcPr>
          <w:p w14:paraId="1140A3CF">
            <w:pPr>
              <w:pStyle w:val="6"/>
              <w:spacing w:before="132" w:line="183" w:lineRule="auto"/>
              <w:ind w:left="370"/>
              <w:rPr>
                <w:sz w:val="18"/>
                <w:szCs w:val="18"/>
              </w:rPr>
            </w:pPr>
            <w:r>
              <w:rPr>
                <w:sz w:val="18"/>
                <w:szCs w:val="18"/>
              </w:rPr>
              <w:t>6</w:t>
            </w:r>
          </w:p>
        </w:tc>
      </w:tr>
      <w:tr w14:paraId="4AA484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5" w:hRule="atLeast"/>
        </w:trPr>
        <w:tc>
          <w:tcPr>
            <w:tcW w:w="724" w:type="dxa"/>
            <w:vMerge w:val="continue"/>
            <w:tcBorders>
              <w:top w:val="nil"/>
              <w:bottom w:val="nil"/>
            </w:tcBorders>
            <w:vAlign w:val="top"/>
          </w:tcPr>
          <w:p w14:paraId="6D52E370">
            <w:pPr>
              <w:rPr>
                <w:rFonts w:ascii="Arial"/>
                <w:sz w:val="21"/>
              </w:rPr>
            </w:pPr>
          </w:p>
        </w:tc>
        <w:tc>
          <w:tcPr>
            <w:tcW w:w="769" w:type="dxa"/>
            <w:vMerge w:val="continue"/>
            <w:tcBorders>
              <w:top w:val="nil"/>
              <w:bottom w:val="nil"/>
            </w:tcBorders>
            <w:vAlign w:val="top"/>
          </w:tcPr>
          <w:p w14:paraId="3A45D11F">
            <w:pPr>
              <w:rPr>
                <w:rFonts w:ascii="Arial"/>
                <w:sz w:val="21"/>
              </w:rPr>
            </w:pPr>
          </w:p>
        </w:tc>
        <w:tc>
          <w:tcPr>
            <w:tcW w:w="1198" w:type="dxa"/>
            <w:vMerge w:val="continue"/>
            <w:tcBorders>
              <w:top w:val="nil"/>
              <w:bottom w:val="nil"/>
            </w:tcBorders>
            <w:vAlign w:val="top"/>
          </w:tcPr>
          <w:p w14:paraId="46C13DFE">
            <w:pPr>
              <w:rPr>
                <w:rFonts w:ascii="Arial"/>
                <w:sz w:val="21"/>
              </w:rPr>
            </w:pPr>
          </w:p>
        </w:tc>
        <w:tc>
          <w:tcPr>
            <w:tcW w:w="1578" w:type="dxa"/>
            <w:tcBorders>
              <w:top w:val="single" w:color="000000" w:sz="2" w:space="0"/>
              <w:bottom w:val="single" w:color="000000" w:sz="2" w:space="0"/>
            </w:tcBorders>
            <w:vAlign w:val="top"/>
          </w:tcPr>
          <w:p w14:paraId="18D3479A">
            <w:pPr>
              <w:pStyle w:val="6"/>
              <w:spacing w:before="86" w:line="219" w:lineRule="auto"/>
              <w:ind w:left="3"/>
              <w:rPr>
                <w:sz w:val="18"/>
                <w:szCs w:val="18"/>
              </w:rPr>
            </w:pPr>
            <w:r>
              <w:rPr>
                <w:spacing w:val="-2"/>
                <w:sz w:val="18"/>
                <w:szCs w:val="18"/>
              </w:rPr>
              <w:t>9.表格属性</w:t>
            </w:r>
          </w:p>
        </w:tc>
        <w:tc>
          <w:tcPr>
            <w:tcW w:w="3616" w:type="dxa"/>
            <w:tcBorders>
              <w:top w:val="single" w:color="000000" w:sz="2" w:space="0"/>
              <w:bottom w:val="single" w:color="000000" w:sz="2" w:space="0"/>
            </w:tcBorders>
            <w:vAlign w:val="top"/>
          </w:tcPr>
          <w:p w14:paraId="7A6FB8EC">
            <w:pPr>
              <w:pStyle w:val="6"/>
              <w:spacing w:before="86" w:line="219" w:lineRule="auto"/>
              <w:ind w:left="16"/>
              <w:rPr>
                <w:sz w:val="18"/>
                <w:szCs w:val="18"/>
              </w:rPr>
            </w:pPr>
            <w:r>
              <w:rPr>
                <w:sz w:val="18"/>
                <w:szCs w:val="18"/>
              </w:rPr>
              <w:t>要点：调整工作表的行高与列宽</w:t>
            </w:r>
          </w:p>
        </w:tc>
        <w:tc>
          <w:tcPr>
            <w:tcW w:w="834" w:type="dxa"/>
            <w:tcBorders>
              <w:top w:val="single" w:color="000000" w:sz="2" w:space="0"/>
              <w:bottom w:val="single" w:color="000000" w:sz="2" w:space="0"/>
            </w:tcBorders>
            <w:vAlign w:val="top"/>
          </w:tcPr>
          <w:p w14:paraId="2C39E915">
            <w:pPr>
              <w:pStyle w:val="6"/>
              <w:spacing w:before="133" w:line="183" w:lineRule="auto"/>
              <w:ind w:left="370"/>
              <w:rPr>
                <w:sz w:val="18"/>
                <w:szCs w:val="18"/>
              </w:rPr>
            </w:pPr>
            <w:r>
              <w:rPr>
                <w:sz w:val="18"/>
                <w:szCs w:val="18"/>
              </w:rPr>
              <w:t>6</w:t>
            </w:r>
          </w:p>
        </w:tc>
      </w:tr>
      <w:tr w14:paraId="7A17A4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4" w:hRule="atLeast"/>
        </w:trPr>
        <w:tc>
          <w:tcPr>
            <w:tcW w:w="724" w:type="dxa"/>
            <w:vMerge w:val="continue"/>
            <w:tcBorders>
              <w:top w:val="nil"/>
              <w:bottom w:val="nil"/>
            </w:tcBorders>
            <w:vAlign w:val="top"/>
          </w:tcPr>
          <w:p w14:paraId="7777078F">
            <w:pPr>
              <w:rPr>
                <w:rFonts w:ascii="Arial"/>
                <w:sz w:val="21"/>
              </w:rPr>
            </w:pPr>
          </w:p>
        </w:tc>
        <w:tc>
          <w:tcPr>
            <w:tcW w:w="769" w:type="dxa"/>
            <w:vMerge w:val="continue"/>
            <w:tcBorders>
              <w:top w:val="nil"/>
              <w:bottom w:val="nil"/>
            </w:tcBorders>
            <w:vAlign w:val="top"/>
          </w:tcPr>
          <w:p w14:paraId="7815B4C3">
            <w:pPr>
              <w:rPr>
                <w:rFonts w:ascii="Arial"/>
                <w:sz w:val="21"/>
              </w:rPr>
            </w:pPr>
          </w:p>
        </w:tc>
        <w:tc>
          <w:tcPr>
            <w:tcW w:w="1198" w:type="dxa"/>
            <w:vMerge w:val="continue"/>
            <w:tcBorders>
              <w:top w:val="nil"/>
              <w:bottom w:val="nil"/>
            </w:tcBorders>
            <w:vAlign w:val="top"/>
          </w:tcPr>
          <w:p w14:paraId="4269674C">
            <w:pPr>
              <w:rPr>
                <w:rFonts w:ascii="Arial"/>
                <w:sz w:val="21"/>
              </w:rPr>
            </w:pPr>
          </w:p>
        </w:tc>
        <w:tc>
          <w:tcPr>
            <w:tcW w:w="1578" w:type="dxa"/>
            <w:tcBorders>
              <w:top w:val="single" w:color="000000" w:sz="2" w:space="0"/>
              <w:bottom w:val="single" w:color="000000" w:sz="2" w:space="0"/>
            </w:tcBorders>
            <w:vAlign w:val="top"/>
          </w:tcPr>
          <w:p w14:paraId="7EFDE4C2">
            <w:pPr>
              <w:pStyle w:val="6"/>
              <w:spacing w:before="126" w:line="219" w:lineRule="auto"/>
              <w:ind w:left="3"/>
              <w:rPr>
                <w:sz w:val="18"/>
                <w:szCs w:val="18"/>
              </w:rPr>
            </w:pPr>
            <w:r>
              <w:rPr>
                <w:spacing w:val="1"/>
                <w:sz w:val="18"/>
                <w:szCs w:val="18"/>
              </w:rPr>
              <w:t>10.表格属性</w:t>
            </w:r>
          </w:p>
        </w:tc>
        <w:tc>
          <w:tcPr>
            <w:tcW w:w="3616" w:type="dxa"/>
            <w:tcBorders>
              <w:top w:val="single" w:color="000000" w:sz="2" w:space="0"/>
              <w:bottom w:val="single" w:color="000000" w:sz="2" w:space="0"/>
            </w:tcBorders>
            <w:vAlign w:val="top"/>
          </w:tcPr>
          <w:p w14:paraId="517CB4C5">
            <w:pPr>
              <w:pStyle w:val="6"/>
              <w:spacing w:before="47" w:line="188" w:lineRule="auto"/>
              <w:ind w:left="16" w:right="177"/>
              <w:rPr>
                <w:sz w:val="18"/>
                <w:szCs w:val="18"/>
              </w:rPr>
            </w:pPr>
            <w:r>
              <w:rPr>
                <w:spacing w:val="-1"/>
                <w:sz w:val="18"/>
                <w:szCs w:val="18"/>
              </w:rPr>
              <w:t>要点：设置单元格的字体、字号、字形和数</w:t>
            </w:r>
            <w:r>
              <w:rPr>
                <w:spacing w:val="10"/>
                <w:sz w:val="18"/>
                <w:szCs w:val="18"/>
              </w:rPr>
              <w:t xml:space="preserve"> </w:t>
            </w:r>
            <w:r>
              <w:rPr>
                <w:spacing w:val="-2"/>
                <w:sz w:val="18"/>
                <w:szCs w:val="18"/>
              </w:rPr>
              <w:t>据对齐方式</w:t>
            </w:r>
          </w:p>
        </w:tc>
        <w:tc>
          <w:tcPr>
            <w:tcW w:w="834" w:type="dxa"/>
            <w:tcBorders>
              <w:top w:val="single" w:color="000000" w:sz="2" w:space="0"/>
              <w:bottom w:val="single" w:color="000000" w:sz="2" w:space="0"/>
            </w:tcBorders>
            <w:vAlign w:val="top"/>
          </w:tcPr>
          <w:p w14:paraId="46496B64">
            <w:pPr>
              <w:pStyle w:val="6"/>
              <w:spacing w:before="173" w:line="183" w:lineRule="auto"/>
              <w:ind w:left="370"/>
              <w:rPr>
                <w:sz w:val="18"/>
                <w:szCs w:val="18"/>
              </w:rPr>
            </w:pPr>
            <w:r>
              <w:rPr>
                <w:sz w:val="18"/>
                <w:szCs w:val="18"/>
              </w:rPr>
              <w:t>6</w:t>
            </w:r>
          </w:p>
        </w:tc>
      </w:tr>
      <w:tr w14:paraId="321160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5" w:hRule="atLeast"/>
        </w:trPr>
        <w:tc>
          <w:tcPr>
            <w:tcW w:w="724" w:type="dxa"/>
            <w:vMerge w:val="continue"/>
            <w:tcBorders>
              <w:top w:val="nil"/>
              <w:bottom w:val="nil"/>
            </w:tcBorders>
            <w:vAlign w:val="top"/>
          </w:tcPr>
          <w:p w14:paraId="26A77002">
            <w:pPr>
              <w:rPr>
                <w:rFonts w:ascii="Arial"/>
                <w:sz w:val="21"/>
              </w:rPr>
            </w:pPr>
          </w:p>
        </w:tc>
        <w:tc>
          <w:tcPr>
            <w:tcW w:w="769" w:type="dxa"/>
            <w:vMerge w:val="continue"/>
            <w:tcBorders>
              <w:top w:val="nil"/>
              <w:bottom w:val="nil"/>
            </w:tcBorders>
            <w:vAlign w:val="top"/>
          </w:tcPr>
          <w:p w14:paraId="582D138E">
            <w:pPr>
              <w:rPr>
                <w:rFonts w:ascii="Arial"/>
                <w:sz w:val="21"/>
              </w:rPr>
            </w:pPr>
          </w:p>
        </w:tc>
        <w:tc>
          <w:tcPr>
            <w:tcW w:w="1198" w:type="dxa"/>
            <w:vMerge w:val="continue"/>
            <w:tcBorders>
              <w:top w:val="nil"/>
              <w:bottom w:val="nil"/>
            </w:tcBorders>
            <w:vAlign w:val="top"/>
          </w:tcPr>
          <w:p w14:paraId="75492738">
            <w:pPr>
              <w:rPr>
                <w:rFonts w:ascii="Arial"/>
                <w:sz w:val="21"/>
              </w:rPr>
            </w:pPr>
          </w:p>
        </w:tc>
        <w:tc>
          <w:tcPr>
            <w:tcW w:w="1578" w:type="dxa"/>
            <w:tcBorders>
              <w:top w:val="single" w:color="000000" w:sz="2" w:space="0"/>
              <w:bottom w:val="single" w:color="000000" w:sz="2" w:space="0"/>
            </w:tcBorders>
            <w:vAlign w:val="top"/>
          </w:tcPr>
          <w:p w14:paraId="7CA23AF8">
            <w:pPr>
              <w:pStyle w:val="6"/>
              <w:spacing w:before="87" w:line="219" w:lineRule="auto"/>
              <w:ind w:left="3"/>
              <w:rPr>
                <w:sz w:val="18"/>
                <w:szCs w:val="18"/>
              </w:rPr>
            </w:pPr>
            <w:r>
              <w:rPr>
                <w:spacing w:val="1"/>
                <w:sz w:val="18"/>
                <w:szCs w:val="18"/>
              </w:rPr>
              <w:t>11.表格属性</w:t>
            </w:r>
          </w:p>
        </w:tc>
        <w:tc>
          <w:tcPr>
            <w:tcW w:w="3616" w:type="dxa"/>
            <w:tcBorders>
              <w:top w:val="single" w:color="000000" w:sz="2" w:space="0"/>
              <w:bottom w:val="single" w:color="000000" w:sz="2" w:space="0"/>
            </w:tcBorders>
            <w:vAlign w:val="top"/>
          </w:tcPr>
          <w:p w14:paraId="7748FA8F">
            <w:pPr>
              <w:pStyle w:val="6"/>
              <w:spacing w:before="127" w:line="203" w:lineRule="auto"/>
              <w:ind w:left="16"/>
              <w:rPr>
                <w:sz w:val="18"/>
                <w:szCs w:val="18"/>
              </w:rPr>
            </w:pPr>
            <w:r>
              <w:rPr>
                <w:spacing w:val="-1"/>
                <w:sz w:val="18"/>
                <w:szCs w:val="18"/>
              </w:rPr>
              <w:t>要点：设置单元格的边框线和数字格式</w:t>
            </w:r>
          </w:p>
        </w:tc>
        <w:tc>
          <w:tcPr>
            <w:tcW w:w="834" w:type="dxa"/>
            <w:tcBorders>
              <w:top w:val="single" w:color="000000" w:sz="2" w:space="0"/>
              <w:bottom w:val="single" w:color="000000" w:sz="2" w:space="0"/>
            </w:tcBorders>
            <w:vAlign w:val="top"/>
          </w:tcPr>
          <w:p w14:paraId="1EBE558B">
            <w:pPr>
              <w:pStyle w:val="6"/>
              <w:spacing w:before="185" w:line="140" w:lineRule="exact"/>
              <w:ind w:left="370"/>
              <w:rPr>
                <w:sz w:val="18"/>
                <w:szCs w:val="18"/>
              </w:rPr>
            </w:pPr>
            <w:r>
              <w:rPr>
                <w:position w:val="-2"/>
                <w:sz w:val="18"/>
                <w:szCs w:val="18"/>
              </w:rPr>
              <w:t>5</w:t>
            </w:r>
          </w:p>
        </w:tc>
      </w:tr>
      <w:tr w14:paraId="44F0FD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5" w:hRule="atLeast"/>
        </w:trPr>
        <w:tc>
          <w:tcPr>
            <w:tcW w:w="724" w:type="dxa"/>
            <w:vMerge w:val="continue"/>
            <w:tcBorders>
              <w:top w:val="nil"/>
              <w:bottom w:val="nil"/>
            </w:tcBorders>
            <w:vAlign w:val="top"/>
          </w:tcPr>
          <w:p w14:paraId="371D7DF2">
            <w:pPr>
              <w:rPr>
                <w:rFonts w:ascii="Arial"/>
                <w:sz w:val="21"/>
              </w:rPr>
            </w:pPr>
          </w:p>
        </w:tc>
        <w:tc>
          <w:tcPr>
            <w:tcW w:w="769" w:type="dxa"/>
            <w:vMerge w:val="continue"/>
            <w:tcBorders>
              <w:top w:val="nil"/>
              <w:bottom w:val="single" w:color="000000" w:sz="2" w:space="0"/>
            </w:tcBorders>
            <w:vAlign w:val="top"/>
          </w:tcPr>
          <w:p w14:paraId="732ECA40">
            <w:pPr>
              <w:rPr>
                <w:rFonts w:ascii="Arial"/>
                <w:sz w:val="21"/>
              </w:rPr>
            </w:pPr>
          </w:p>
        </w:tc>
        <w:tc>
          <w:tcPr>
            <w:tcW w:w="1198" w:type="dxa"/>
            <w:vMerge w:val="continue"/>
            <w:tcBorders>
              <w:top w:val="nil"/>
              <w:bottom w:val="single" w:color="000000" w:sz="2" w:space="0"/>
            </w:tcBorders>
            <w:vAlign w:val="top"/>
          </w:tcPr>
          <w:p w14:paraId="22C2EC29">
            <w:pPr>
              <w:rPr>
                <w:rFonts w:ascii="Arial"/>
                <w:sz w:val="21"/>
              </w:rPr>
            </w:pPr>
          </w:p>
        </w:tc>
        <w:tc>
          <w:tcPr>
            <w:tcW w:w="1578" w:type="dxa"/>
            <w:tcBorders>
              <w:top w:val="single" w:color="000000" w:sz="2" w:space="0"/>
              <w:bottom w:val="single" w:color="000000" w:sz="2" w:space="0"/>
            </w:tcBorders>
            <w:vAlign w:val="top"/>
          </w:tcPr>
          <w:p w14:paraId="4C04AA37">
            <w:pPr>
              <w:pStyle w:val="6"/>
              <w:spacing w:before="88" w:line="221" w:lineRule="auto"/>
              <w:ind w:left="3"/>
              <w:rPr>
                <w:sz w:val="18"/>
                <w:szCs w:val="18"/>
              </w:rPr>
            </w:pPr>
            <w:r>
              <w:rPr>
                <w:spacing w:val="1"/>
                <w:sz w:val="18"/>
                <w:szCs w:val="18"/>
              </w:rPr>
              <w:t>12.创建图表</w:t>
            </w:r>
          </w:p>
        </w:tc>
        <w:tc>
          <w:tcPr>
            <w:tcW w:w="3616" w:type="dxa"/>
            <w:tcBorders>
              <w:top w:val="single" w:color="000000" w:sz="2" w:space="0"/>
              <w:bottom w:val="single" w:color="000000" w:sz="2" w:space="0"/>
            </w:tcBorders>
            <w:vAlign w:val="top"/>
          </w:tcPr>
          <w:p w14:paraId="1538A01F">
            <w:pPr>
              <w:pStyle w:val="6"/>
              <w:spacing w:before="87" w:line="219" w:lineRule="auto"/>
              <w:ind w:left="16"/>
              <w:rPr>
                <w:sz w:val="18"/>
                <w:szCs w:val="18"/>
              </w:rPr>
            </w:pPr>
            <w:r>
              <w:rPr>
                <w:spacing w:val="-1"/>
                <w:sz w:val="18"/>
                <w:szCs w:val="18"/>
              </w:rPr>
              <w:t>要点：按工作表中指定的数据进行图表创建</w:t>
            </w:r>
          </w:p>
        </w:tc>
        <w:tc>
          <w:tcPr>
            <w:tcW w:w="834" w:type="dxa"/>
            <w:tcBorders>
              <w:top w:val="single" w:color="000000" w:sz="2" w:space="0"/>
              <w:bottom w:val="single" w:color="000000" w:sz="2" w:space="0"/>
            </w:tcBorders>
            <w:vAlign w:val="top"/>
          </w:tcPr>
          <w:p w14:paraId="177C0571">
            <w:pPr>
              <w:pStyle w:val="6"/>
              <w:spacing w:before="134" w:line="183" w:lineRule="auto"/>
              <w:ind w:left="370"/>
              <w:rPr>
                <w:sz w:val="18"/>
                <w:szCs w:val="18"/>
              </w:rPr>
            </w:pPr>
            <w:r>
              <w:rPr>
                <w:sz w:val="18"/>
                <w:szCs w:val="18"/>
              </w:rPr>
              <w:t>6</w:t>
            </w:r>
          </w:p>
        </w:tc>
      </w:tr>
      <w:tr w14:paraId="62AD07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5" w:hRule="atLeast"/>
        </w:trPr>
        <w:tc>
          <w:tcPr>
            <w:tcW w:w="724" w:type="dxa"/>
            <w:vMerge w:val="continue"/>
            <w:tcBorders>
              <w:top w:val="nil"/>
              <w:bottom w:val="nil"/>
            </w:tcBorders>
            <w:vAlign w:val="top"/>
          </w:tcPr>
          <w:p w14:paraId="107B57C9">
            <w:pPr>
              <w:rPr>
                <w:rFonts w:ascii="Arial"/>
                <w:sz w:val="21"/>
              </w:rPr>
            </w:pPr>
          </w:p>
        </w:tc>
        <w:tc>
          <w:tcPr>
            <w:tcW w:w="769" w:type="dxa"/>
            <w:vMerge w:val="restart"/>
            <w:tcBorders>
              <w:top w:val="single" w:color="000000" w:sz="2" w:space="0"/>
              <w:bottom w:val="nil"/>
            </w:tcBorders>
            <w:vAlign w:val="top"/>
          </w:tcPr>
          <w:p w14:paraId="2405ACA7">
            <w:pPr>
              <w:spacing w:line="244" w:lineRule="auto"/>
              <w:rPr>
                <w:rFonts w:ascii="Arial"/>
                <w:sz w:val="21"/>
              </w:rPr>
            </w:pPr>
          </w:p>
          <w:p w14:paraId="0D62E3D3">
            <w:pPr>
              <w:spacing w:line="244" w:lineRule="auto"/>
              <w:rPr>
                <w:rFonts w:ascii="Arial"/>
                <w:sz w:val="21"/>
              </w:rPr>
            </w:pPr>
          </w:p>
          <w:p w14:paraId="31C9531F">
            <w:pPr>
              <w:spacing w:line="245" w:lineRule="auto"/>
              <w:rPr>
                <w:rFonts w:ascii="Arial"/>
                <w:sz w:val="21"/>
              </w:rPr>
            </w:pPr>
          </w:p>
          <w:p w14:paraId="6B846120">
            <w:pPr>
              <w:pStyle w:val="6"/>
              <w:spacing w:before="58" w:line="206" w:lineRule="auto"/>
              <w:ind w:left="100"/>
              <w:rPr>
                <w:sz w:val="18"/>
                <w:szCs w:val="18"/>
              </w:rPr>
            </w:pPr>
            <w:r>
              <w:rPr>
                <w:spacing w:val="-2"/>
                <w:sz w:val="18"/>
                <w:szCs w:val="18"/>
              </w:rPr>
              <w:t>计算机</w:t>
            </w:r>
          </w:p>
          <w:p w14:paraId="2175D3ED">
            <w:pPr>
              <w:pStyle w:val="6"/>
              <w:spacing w:line="219" w:lineRule="auto"/>
              <w:ind w:left="100"/>
              <w:rPr>
                <w:sz w:val="18"/>
                <w:szCs w:val="18"/>
              </w:rPr>
            </w:pPr>
            <w:r>
              <w:rPr>
                <w:spacing w:val="-2"/>
                <w:sz w:val="18"/>
                <w:szCs w:val="18"/>
              </w:rPr>
              <w:t>房计算</w:t>
            </w:r>
          </w:p>
          <w:p w14:paraId="07E4114A">
            <w:pPr>
              <w:pStyle w:val="6"/>
              <w:spacing w:before="5" w:line="219" w:lineRule="auto"/>
              <w:ind w:left="280"/>
              <w:rPr>
                <w:sz w:val="18"/>
                <w:szCs w:val="18"/>
              </w:rPr>
            </w:pPr>
            <w:r>
              <w:rPr>
                <w:sz w:val="18"/>
                <w:szCs w:val="18"/>
              </w:rPr>
              <w:t>机</w:t>
            </w:r>
          </w:p>
        </w:tc>
        <w:tc>
          <w:tcPr>
            <w:tcW w:w="1198" w:type="dxa"/>
            <w:vMerge w:val="restart"/>
            <w:tcBorders>
              <w:top w:val="single" w:color="000000" w:sz="2" w:space="0"/>
              <w:bottom w:val="nil"/>
            </w:tcBorders>
            <w:vAlign w:val="top"/>
          </w:tcPr>
          <w:p w14:paraId="4D82CB4C">
            <w:pPr>
              <w:spacing w:line="387" w:lineRule="auto"/>
              <w:rPr>
                <w:rFonts w:ascii="Arial"/>
                <w:sz w:val="21"/>
              </w:rPr>
            </w:pPr>
          </w:p>
          <w:p w14:paraId="6A456195">
            <w:pPr>
              <w:pStyle w:val="6"/>
              <w:spacing w:before="59" w:line="228" w:lineRule="auto"/>
              <w:ind w:left="11" w:right="72"/>
              <w:jc w:val="both"/>
              <w:rPr>
                <w:sz w:val="18"/>
                <w:szCs w:val="18"/>
              </w:rPr>
            </w:pPr>
            <w:r>
              <w:rPr>
                <w:spacing w:val="-1"/>
                <w:sz w:val="18"/>
                <w:szCs w:val="18"/>
              </w:rPr>
              <w:t>在PowerPoint</w:t>
            </w:r>
            <w:r>
              <w:rPr>
                <w:spacing w:val="3"/>
                <w:sz w:val="18"/>
                <w:szCs w:val="18"/>
              </w:rPr>
              <w:t xml:space="preserve"> 窗口新建、编</w:t>
            </w:r>
            <w:r>
              <w:rPr>
                <w:spacing w:val="4"/>
                <w:sz w:val="18"/>
                <w:szCs w:val="18"/>
              </w:rPr>
              <w:t xml:space="preserve"> </w:t>
            </w:r>
            <w:r>
              <w:rPr>
                <w:spacing w:val="2"/>
                <w:sz w:val="18"/>
                <w:szCs w:val="18"/>
              </w:rPr>
              <w:t>辑、格式化幻</w:t>
            </w:r>
            <w:r>
              <w:rPr>
                <w:sz w:val="18"/>
                <w:szCs w:val="18"/>
              </w:rPr>
              <w:t xml:space="preserve"> 灯片，设置幻</w:t>
            </w:r>
            <w:r>
              <w:rPr>
                <w:spacing w:val="1"/>
                <w:sz w:val="18"/>
                <w:szCs w:val="18"/>
              </w:rPr>
              <w:t xml:space="preserve"> </w:t>
            </w:r>
            <w:r>
              <w:rPr>
                <w:spacing w:val="-2"/>
                <w:sz w:val="18"/>
                <w:szCs w:val="18"/>
              </w:rPr>
              <w:t>灯片背景和放</w:t>
            </w:r>
            <w:r>
              <w:rPr>
                <w:spacing w:val="3"/>
                <w:sz w:val="18"/>
                <w:szCs w:val="18"/>
              </w:rPr>
              <w:t xml:space="preserve"> </w:t>
            </w:r>
            <w:r>
              <w:rPr>
                <w:sz w:val="18"/>
                <w:szCs w:val="18"/>
              </w:rPr>
              <w:t>映效果。</w:t>
            </w:r>
          </w:p>
        </w:tc>
        <w:tc>
          <w:tcPr>
            <w:tcW w:w="1578" w:type="dxa"/>
            <w:tcBorders>
              <w:top w:val="single" w:color="000000" w:sz="2" w:space="0"/>
              <w:bottom w:val="single" w:color="000000" w:sz="2" w:space="0"/>
            </w:tcBorders>
            <w:vAlign w:val="top"/>
          </w:tcPr>
          <w:p w14:paraId="63E627C0">
            <w:pPr>
              <w:pStyle w:val="6"/>
              <w:spacing w:before="87" w:line="219" w:lineRule="auto"/>
              <w:ind w:left="3"/>
              <w:rPr>
                <w:sz w:val="18"/>
                <w:szCs w:val="18"/>
              </w:rPr>
            </w:pPr>
            <w:r>
              <w:rPr>
                <w:spacing w:val="1"/>
                <w:sz w:val="18"/>
                <w:szCs w:val="18"/>
              </w:rPr>
              <w:t>13.新建编辑幻灯片</w:t>
            </w:r>
          </w:p>
        </w:tc>
        <w:tc>
          <w:tcPr>
            <w:tcW w:w="3616" w:type="dxa"/>
            <w:tcBorders>
              <w:top w:val="single" w:color="000000" w:sz="2" w:space="0"/>
              <w:bottom w:val="single" w:color="000000" w:sz="2" w:space="0"/>
            </w:tcBorders>
            <w:vAlign w:val="top"/>
          </w:tcPr>
          <w:p w14:paraId="075FA3AD">
            <w:pPr>
              <w:pStyle w:val="6"/>
              <w:spacing w:before="86" w:line="219" w:lineRule="auto"/>
              <w:ind w:left="16"/>
              <w:rPr>
                <w:sz w:val="18"/>
                <w:szCs w:val="18"/>
              </w:rPr>
            </w:pPr>
            <w:r>
              <w:rPr>
                <w:spacing w:val="-1"/>
                <w:sz w:val="18"/>
                <w:szCs w:val="18"/>
              </w:rPr>
              <w:t>要点：编辑幻灯片内容，格式化文本</w:t>
            </w:r>
          </w:p>
        </w:tc>
        <w:tc>
          <w:tcPr>
            <w:tcW w:w="834" w:type="dxa"/>
            <w:tcBorders>
              <w:top w:val="single" w:color="000000" w:sz="2" w:space="0"/>
              <w:bottom w:val="single" w:color="000000" w:sz="2" w:space="0"/>
            </w:tcBorders>
            <w:vAlign w:val="top"/>
          </w:tcPr>
          <w:p w14:paraId="5C7E6300">
            <w:pPr>
              <w:pStyle w:val="6"/>
              <w:spacing w:before="134" w:line="183" w:lineRule="auto"/>
              <w:ind w:left="370"/>
              <w:rPr>
                <w:sz w:val="18"/>
                <w:szCs w:val="18"/>
              </w:rPr>
            </w:pPr>
            <w:r>
              <w:rPr>
                <w:sz w:val="18"/>
                <w:szCs w:val="18"/>
              </w:rPr>
              <w:t>4</w:t>
            </w:r>
          </w:p>
        </w:tc>
      </w:tr>
      <w:tr w14:paraId="3FF929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5" w:hRule="atLeast"/>
        </w:trPr>
        <w:tc>
          <w:tcPr>
            <w:tcW w:w="724" w:type="dxa"/>
            <w:vMerge w:val="continue"/>
            <w:tcBorders>
              <w:top w:val="nil"/>
              <w:bottom w:val="nil"/>
            </w:tcBorders>
            <w:vAlign w:val="top"/>
          </w:tcPr>
          <w:p w14:paraId="6E39105C">
            <w:pPr>
              <w:rPr>
                <w:rFonts w:ascii="Arial"/>
                <w:sz w:val="21"/>
              </w:rPr>
            </w:pPr>
          </w:p>
        </w:tc>
        <w:tc>
          <w:tcPr>
            <w:tcW w:w="769" w:type="dxa"/>
            <w:vMerge w:val="continue"/>
            <w:tcBorders>
              <w:top w:val="nil"/>
              <w:bottom w:val="nil"/>
            </w:tcBorders>
            <w:vAlign w:val="top"/>
          </w:tcPr>
          <w:p w14:paraId="54E73D6A">
            <w:pPr>
              <w:rPr>
                <w:rFonts w:ascii="Arial"/>
                <w:sz w:val="21"/>
              </w:rPr>
            </w:pPr>
          </w:p>
        </w:tc>
        <w:tc>
          <w:tcPr>
            <w:tcW w:w="1198" w:type="dxa"/>
            <w:vMerge w:val="continue"/>
            <w:tcBorders>
              <w:top w:val="nil"/>
              <w:bottom w:val="nil"/>
            </w:tcBorders>
            <w:vAlign w:val="top"/>
          </w:tcPr>
          <w:p w14:paraId="3C5B2B67">
            <w:pPr>
              <w:rPr>
                <w:rFonts w:ascii="Arial"/>
                <w:sz w:val="21"/>
              </w:rPr>
            </w:pPr>
          </w:p>
        </w:tc>
        <w:tc>
          <w:tcPr>
            <w:tcW w:w="1578" w:type="dxa"/>
            <w:tcBorders>
              <w:top w:val="single" w:color="000000" w:sz="2" w:space="0"/>
              <w:bottom w:val="single" w:color="000000" w:sz="2" w:space="0"/>
            </w:tcBorders>
            <w:vAlign w:val="top"/>
          </w:tcPr>
          <w:p w14:paraId="793383DC">
            <w:pPr>
              <w:pStyle w:val="6"/>
              <w:spacing w:before="136" w:line="219" w:lineRule="auto"/>
              <w:ind w:left="3"/>
              <w:rPr>
                <w:sz w:val="18"/>
                <w:szCs w:val="18"/>
              </w:rPr>
            </w:pPr>
            <w:r>
              <w:rPr>
                <w:spacing w:val="1"/>
                <w:sz w:val="18"/>
                <w:szCs w:val="18"/>
              </w:rPr>
              <w:t>14.幻灯片基本操作</w:t>
            </w:r>
          </w:p>
        </w:tc>
        <w:tc>
          <w:tcPr>
            <w:tcW w:w="3616" w:type="dxa"/>
            <w:tcBorders>
              <w:top w:val="single" w:color="000000" w:sz="2" w:space="0"/>
              <w:bottom w:val="single" w:color="000000" w:sz="2" w:space="0"/>
            </w:tcBorders>
            <w:vAlign w:val="top"/>
          </w:tcPr>
          <w:p w14:paraId="07A79F03">
            <w:pPr>
              <w:pStyle w:val="6"/>
              <w:spacing w:before="68" w:line="188" w:lineRule="auto"/>
              <w:ind w:left="16" w:right="167" w:firstLine="9"/>
              <w:rPr>
                <w:sz w:val="18"/>
                <w:szCs w:val="18"/>
              </w:rPr>
            </w:pPr>
            <w:r>
              <w:rPr>
                <w:spacing w:val="-1"/>
                <w:sz w:val="18"/>
                <w:szCs w:val="18"/>
              </w:rPr>
              <w:t>要点：幻灯片版式、插入、移动、复制和删</w:t>
            </w:r>
            <w:r>
              <w:rPr>
                <w:spacing w:val="10"/>
                <w:sz w:val="18"/>
                <w:szCs w:val="18"/>
              </w:rPr>
              <w:t xml:space="preserve"> </w:t>
            </w:r>
            <w:r>
              <w:rPr>
                <w:spacing w:val="3"/>
                <w:sz w:val="18"/>
                <w:szCs w:val="18"/>
              </w:rPr>
              <w:t>除操作</w:t>
            </w:r>
          </w:p>
        </w:tc>
        <w:tc>
          <w:tcPr>
            <w:tcW w:w="834" w:type="dxa"/>
            <w:tcBorders>
              <w:top w:val="single" w:color="000000" w:sz="2" w:space="0"/>
              <w:bottom w:val="single" w:color="000000" w:sz="2" w:space="0"/>
            </w:tcBorders>
            <w:vAlign w:val="top"/>
          </w:tcPr>
          <w:p w14:paraId="35CCF79E">
            <w:pPr>
              <w:pStyle w:val="6"/>
              <w:spacing w:before="183" w:line="183" w:lineRule="auto"/>
              <w:ind w:left="370"/>
              <w:rPr>
                <w:sz w:val="18"/>
                <w:szCs w:val="18"/>
              </w:rPr>
            </w:pPr>
            <w:r>
              <w:rPr>
                <w:sz w:val="18"/>
                <w:szCs w:val="18"/>
              </w:rPr>
              <w:t>4</w:t>
            </w:r>
          </w:p>
        </w:tc>
      </w:tr>
      <w:tr w14:paraId="467F3E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5" w:hRule="atLeast"/>
        </w:trPr>
        <w:tc>
          <w:tcPr>
            <w:tcW w:w="724" w:type="dxa"/>
            <w:vMerge w:val="continue"/>
            <w:tcBorders>
              <w:top w:val="nil"/>
              <w:bottom w:val="nil"/>
            </w:tcBorders>
            <w:vAlign w:val="top"/>
          </w:tcPr>
          <w:p w14:paraId="7CEAE780">
            <w:pPr>
              <w:rPr>
                <w:rFonts w:ascii="Arial"/>
                <w:sz w:val="21"/>
              </w:rPr>
            </w:pPr>
          </w:p>
        </w:tc>
        <w:tc>
          <w:tcPr>
            <w:tcW w:w="769" w:type="dxa"/>
            <w:vMerge w:val="continue"/>
            <w:tcBorders>
              <w:top w:val="nil"/>
              <w:bottom w:val="nil"/>
            </w:tcBorders>
            <w:vAlign w:val="top"/>
          </w:tcPr>
          <w:p w14:paraId="146B96FD">
            <w:pPr>
              <w:rPr>
                <w:rFonts w:ascii="Arial"/>
                <w:sz w:val="21"/>
              </w:rPr>
            </w:pPr>
          </w:p>
        </w:tc>
        <w:tc>
          <w:tcPr>
            <w:tcW w:w="1198" w:type="dxa"/>
            <w:vMerge w:val="continue"/>
            <w:tcBorders>
              <w:top w:val="nil"/>
              <w:bottom w:val="nil"/>
            </w:tcBorders>
            <w:vAlign w:val="top"/>
          </w:tcPr>
          <w:p w14:paraId="2A99F2D1">
            <w:pPr>
              <w:rPr>
                <w:rFonts w:ascii="Arial"/>
                <w:sz w:val="21"/>
              </w:rPr>
            </w:pPr>
          </w:p>
        </w:tc>
        <w:tc>
          <w:tcPr>
            <w:tcW w:w="1578" w:type="dxa"/>
            <w:tcBorders>
              <w:top w:val="single" w:color="000000" w:sz="2" w:space="0"/>
              <w:bottom w:val="single" w:color="000000" w:sz="2" w:space="0"/>
            </w:tcBorders>
            <w:vAlign w:val="top"/>
          </w:tcPr>
          <w:p w14:paraId="1CDF035C">
            <w:pPr>
              <w:pStyle w:val="6"/>
              <w:spacing w:before="156" w:line="219" w:lineRule="auto"/>
              <w:ind w:left="13"/>
              <w:rPr>
                <w:sz w:val="18"/>
                <w:szCs w:val="18"/>
              </w:rPr>
            </w:pPr>
            <w:r>
              <w:rPr>
                <w:spacing w:val="1"/>
                <w:sz w:val="18"/>
                <w:szCs w:val="18"/>
              </w:rPr>
              <w:t>15.幻灯片基本制作</w:t>
            </w:r>
          </w:p>
        </w:tc>
        <w:tc>
          <w:tcPr>
            <w:tcW w:w="3616" w:type="dxa"/>
            <w:tcBorders>
              <w:top w:val="single" w:color="000000" w:sz="2" w:space="0"/>
              <w:bottom w:val="single" w:color="000000" w:sz="2" w:space="0"/>
            </w:tcBorders>
            <w:vAlign w:val="top"/>
          </w:tcPr>
          <w:p w14:paraId="2803D179">
            <w:pPr>
              <w:pStyle w:val="6"/>
              <w:spacing w:before="76" w:line="199" w:lineRule="auto"/>
              <w:ind w:left="16" w:right="167" w:firstLine="9"/>
              <w:rPr>
                <w:sz w:val="18"/>
                <w:szCs w:val="18"/>
              </w:rPr>
            </w:pPr>
            <w:r>
              <w:rPr>
                <w:spacing w:val="-1"/>
                <w:sz w:val="18"/>
                <w:szCs w:val="18"/>
              </w:rPr>
              <w:t>要点：图片、艺术字、表格、形状等插入及</w:t>
            </w:r>
            <w:r>
              <w:rPr>
                <w:spacing w:val="10"/>
                <w:sz w:val="18"/>
                <w:szCs w:val="18"/>
              </w:rPr>
              <w:t xml:space="preserve"> </w:t>
            </w:r>
            <w:r>
              <w:rPr>
                <w:spacing w:val="-2"/>
                <w:sz w:val="18"/>
                <w:szCs w:val="18"/>
              </w:rPr>
              <w:t>其格式化</w:t>
            </w:r>
          </w:p>
        </w:tc>
        <w:tc>
          <w:tcPr>
            <w:tcW w:w="834" w:type="dxa"/>
            <w:tcBorders>
              <w:top w:val="single" w:color="000000" w:sz="2" w:space="0"/>
              <w:bottom w:val="single" w:color="000000" w:sz="2" w:space="0"/>
            </w:tcBorders>
            <w:vAlign w:val="top"/>
          </w:tcPr>
          <w:p w14:paraId="359C82E3">
            <w:pPr>
              <w:pStyle w:val="6"/>
              <w:spacing w:before="203" w:line="183" w:lineRule="auto"/>
              <w:ind w:left="370"/>
              <w:rPr>
                <w:sz w:val="18"/>
                <w:szCs w:val="18"/>
              </w:rPr>
            </w:pPr>
            <w:r>
              <w:rPr>
                <w:sz w:val="18"/>
                <w:szCs w:val="18"/>
              </w:rPr>
              <w:t>4</w:t>
            </w:r>
          </w:p>
        </w:tc>
      </w:tr>
      <w:tr w14:paraId="76F0DB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724" w:type="dxa"/>
            <w:vMerge w:val="continue"/>
            <w:tcBorders>
              <w:top w:val="nil"/>
              <w:bottom w:val="nil"/>
            </w:tcBorders>
            <w:vAlign w:val="top"/>
          </w:tcPr>
          <w:p w14:paraId="61C8CAD2">
            <w:pPr>
              <w:rPr>
                <w:rFonts w:ascii="Arial"/>
                <w:sz w:val="21"/>
              </w:rPr>
            </w:pPr>
          </w:p>
        </w:tc>
        <w:tc>
          <w:tcPr>
            <w:tcW w:w="769" w:type="dxa"/>
            <w:vMerge w:val="continue"/>
            <w:tcBorders>
              <w:top w:val="nil"/>
              <w:bottom w:val="nil"/>
            </w:tcBorders>
            <w:vAlign w:val="top"/>
          </w:tcPr>
          <w:p w14:paraId="1FD0A3C7">
            <w:pPr>
              <w:rPr>
                <w:rFonts w:ascii="Arial"/>
                <w:sz w:val="21"/>
              </w:rPr>
            </w:pPr>
          </w:p>
        </w:tc>
        <w:tc>
          <w:tcPr>
            <w:tcW w:w="1198" w:type="dxa"/>
            <w:vMerge w:val="continue"/>
            <w:tcBorders>
              <w:top w:val="nil"/>
              <w:bottom w:val="nil"/>
            </w:tcBorders>
            <w:vAlign w:val="top"/>
          </w:tcPr>
          <w:p w14:paraId="0F223262">
            <w:pPr>
              <w:rPr>
                <w:rFonts w:ascii="Arial"/>
                <w:sz w:val="21"/>
              </w:rPr>
            </w:pPr>
          </w:p>
        </w:tc>
        <w:tc>
          <w:tcPr>
            <w:tcW w:w="1578" w:type="dxa"/>
            <w:tcBorders>
              <w:top w:val="single" w:color="000000" w:sz="2" w:space="0"/>
              <w:bottom w:val="single" w:color="000000" w:sz="2" w:space="0"/>
            </w:tcBorders>
            <w:vAlign w:val="top"/>
          </w:tcPr>
          <w:p w14:paraId="37756A35">
            <w:pPr>
              <w:pStyle w:val="6"/>
              <w:spacing w:before="117" w:line="219" w:lineRule="auto"/>
              <w:ind w:left="3"/>
              <w:rPr>
                <w:sz w:val="18"/>
                <w:szCs w:val="18"/>
              </w:rPr>
            </w:pPr>
            <w:r>
              <w:rPr>
                <w:sz w:val="18"/>
                <w:szCs w:val="18"/>
              </w:rPr>
              <w:t>16.幻灯片背景设置</w:t>
            </w:r>
          </w:p>
        </w:tc>
        <w:tc>
          <w:tcPr>
            <w:tcW w:w="3616" w:type="dxa"/>
            <w:tcBorders>
              <w:top w:val="single" w:color="000000" w:sz="2" w:space="0"/>
              <w:bottom w:val="single" w:color="000000" w:sz="2" w:space="0"/>
            </w:tcBorders>
            <w:vAlign w:val="top"/>
          </w:tcPr>
          <w:p w14:paraId="669DD2EF">
            <w:pPr>
              <w:pStyle w:val="6"/>
              <w:spacing w:before="117" w:line="219" w:lineRule="auto"/>
              <w:ind w:left="16"/>
              <w:rPr>
                <w:sz w:val="18"/>
                <w:szCs w:val="18"/>
              </w:rPr>
            </w:pPr>
            <w:r>
              <w:rPr>
                <w:spacing w:val="-1"/>
                <w:sz w:val="18"/>
                <w:szCs w:val="18"/>
              </w:rPr>
              <w:t>要点：主题选用和背景格式化</w:t>
            </w:r>
          </w:p>
        </w:tc>
        <w:tc>
          <w:tcPr>
            <w:tcW w:w="834" w:type="dxa"/>
            <w:tcBorders>
              <w:top w:val="single" w:color="000000" w:sz="2" w:space="0"/>
              <w:bottom w:val="single" w:color="000000" w:sz="2" w:space="0"/>
            </w:tcBorders>
            <w:vAlign w:val="top"/>
          </w:tcPr>
          <w:p w14:paraId="729F9F26">
            <w:pPr>
              <w:pStyle w:val="6"/>
              <w:spacing w:before="163" w:line="183" w:lineRule="auto"/>
              <w:ind w:left="370"/>
              <w:rPr>
                <w:sz w:val="18"/>
                <w:szCs w:val="18"/>
              </w:rPr>
            </w:pPr>
            <w:r>
              <w:rPr>
                <w:sz w:val="18"/>
                <w:szCs w:val="18"/>
              </w:rPr>
              <w:t>4</w:t>
            </w:r>
          </w:p>
        </w:tc>
      </w:tr>
      <w:tr w14:paraId="17FC5D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5" w:hRule="atLeast"/>
        </w:trPr>
        <w:tc>
          <w:tcPr>
            <w:tcW w:w="724" w:type="dxa"/>
            <w:vMerge w:val="continue"/>
            <w:tcBorders>
              <w:top w:val="nil"/>
              <w:bottom w:val="single" w:color="000000" w:sz="2" w:space="0"/>
            </w:tcBorders>
            <w:vAlign w:val="top"/>
          </w:tcPr>
          <w:p w14:paraId="73577A22">
            <w:pPr>
              <w:rPr>
                <w:rFonts w:ascii="Arial"/>
                <w:sz w:val="21"/>
              </w:rPr>
            </w:pPr>
          </w:p>
        </w:tc>
        <w:tc>
          <w:tcPr>
            <w:tcW w:w="769" w:type="dxa"/>
            <w:vMerge w:val="continue"/>
            <w:tcBorders>
              <w:top w:val="nil"/>
              <w:bottom w:val="single" w:color="000000" w:sz="2" w:space="0"/>
            </w:tcBorders>
            <w:vAlign w:val="top"/>
          </w:tcPr>
          <w:p w14:paraId="6CEEEB6E">
            <w:pPr>
              <w:rPr>
                <w:rFonts w:ascii="Arial"/>
                <w:sz w:val="21"/>
              </w:rPr>
            </w:pPr>
          </w:p>
        </w:tc>
        <w:tc>
          <w:tcPr>
            <w:tcW w:w="1198" w:type="dxa"/>
            <w:vMerge w:val="continue"/>
            <w:tcBorders>
              <w:top w:val="nil"/>
              <w:bottom w:val="single" w:color="000000" w:sz="2" w:space="0"/>
            </w:tcBorders>
            <w:vAlign w:val="top"/>
          </w:tcPr>
          <w:p w14:paraId="4656238A">
            <w:pPr>
              <w:rPr>
                <w:rFonts w:ascii="Arial"/>
                <w:sz w:val="21"/>
              </w:rPr>
            </w:pPr>
          </w:p>
        </w:tc>
        <w:tc>
          <w:tcPr>
            <w:tcW w:w="1578" w:type="dxa"/>
            <w:tcBorders>
              <w:top w:val="single" w:color="000000" w:sz="2" w:space="0"/>
              <w:bottom w:val="single" w:color="000000" w:sz="2" w:space="0"/>
            </w:tcBorders>
            <w:vAlign w:val="top"/>
          </w:tcPr>
          <w:p w14:paraId="1B0B99E0">
            <w:pPr>
              <w:pStyle w:val="6"/>
              <w:spacing w:before="66" w:line="189" w:lineRule="auto"/>
              <w:ind w:left="3" w:right="176" w:firstLine="30"/>
              <w:rPr>
                <w:sz w:val="18"/>
                <w:szCs w:val="18"/>
              </w:rPr>
            </w:pPr>
            <w:r>
              <w:rPr>
                <w:sz w:val="18"/>
                <w:szCs w:val="18"/>
              </w:rPr>
              <w:t>17.演示文稿的放</w:t>
            </w:r>
            <w:r>
              <w:rPr>
                <w:spacing w:val="6"/>
                <w:sz w:val="18"/>
                <w:szCs w:val="18"/>
              </w:rPr>
              <w:t xml:space="preserve"> </w:t>
            </w:r>
            <w:r>
              <w:rPr>
                <w:spacing w:val="2"/>
                <w:sz w:val="18"/>
                <w:szCs w:val="18"/>
              </w:rPr>
              <w:t>映设置</w:t>
            </w:r>
          </w:p>
        </w:tc>
        <w:tc>
          <w:tcPr>
            <w:tcW w:w="3616" w:type="dxa"/>
            <w:tcBorders>
              <w:top w:val="single" w:color="000000" w:sz="2" w:space="0"/>
              <w:bottom w:val="single" w:color="000000" w:sz="2" w:space="0"/>
            </w:tcBorders>
            <w:vAlign w:val="top"/>
          </w:tcPr>
          <w:p w14:paraId="56A4A027">
            <w:pPr>
              <w:pStyle w:val="6"/>
              <w:spacing w:before="66" w:line="189" w:lineRule="auto"/>
              <w:ind w:left="16" w:right="177"/>
              <w:rPr>
                <w:sz w:val="18"/>
                <w:szCs w:val="18"/>
              </w:rPr>
            </w:pPr>
            <w:r>
              <w:rPr>
                <w:spacing w:val="-1"/>
                <w:sz w:val="18"/>
                <w:szCs w:val="18"/>
              </w:rPr>
              <w:t>要点：超级链接、动作按钮、动画效果和幻</w:t>
            </w:r>
            <w:r>
              <w:rPr>
                <w:spacing w:val="10"/>
                <w:sz w:val="18"/>
                <w:szCs w:val="18"/>
              </w:rPr>
              <w:t xml:space="preserve"> </w:t>
            </w:r>
            <w:r>
              <w:rPr>
                <w:spacing w:val="-2"/>
                <w:sz w:val="18"/>
                <w:szCs w:val="18"/>
              </w:rPr>
              <w:t>灯片切换</w:t>
            </w:r>
          </w:p>
        </w:tc>
        <w:tc>
          <w:tcPr>
            <w:tcW w:w="834" w:type="dxa"/>
            <w:tcBorders>
              <w:top w:val="single" w:color="000000" w:sz="2" w:space="0"/>
              <w:bottom w:val="single" w:color="000000" w:sz="2" w:space="0"/>
            </w:tcBorders>
            <w:vAlign w:val="top"/>
          </w:tcPr>
          <w:p w14:paraId="74141AB4">
            <w:pPr>
              <w:pStyle w:val="6"/>
              <w:spacing w:before="183" w:line="183" w:lineRule="auto"/>
              <w:ind w:left="370"/>
              <w:rPr>
                <w:sz w:val="18"/>
                <w:szCs w:val="18"/>
              </w:rPr>
            </w:pPr>
            <w:r>
              <w:rPr>
                <w:sz w:val="18"/>
                <w:szCs w:val="18"/>
              </w:rPr>
              <w:t>4</w:t>
            </w:r>
          </w:p>
        </w:tc>
      </w:tr>
      <w:tr w14:paraId="7D78F4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5" w:hRule="atLeast"/>
        </w:trPr>
        <w:tc>
          <w:tcPr>
            <w:tcW w:w="724" w:type="dxa"/>
            <w:vMerge w:val="restart"/>
            <w:tcBorders>
              <w:top w:val="single" w:color="000000" w:sz="2" w:space="0"/>
              <w:bottom w:val="nil"/>
            </w:tcBorders>
            <w:vAlign w:val="top"/>
          </w:tcPr>
          <w:p w14:paraId="05B3BEB7">
            <w:pPr>
              <w:spacing w:line="304" w:lineRule="auto"/>
              <w:rPr>
                <w:rFonts w:ascii="Arial"/>
                <w:sz w:val="21"/>
              </w:rPr>
            </w:pPr>
          </w:p>
          <w:p w14:paraId="42118CC8">
            <w:pPr>
              <w:spacing w:line="304" w:lineRule="auto"/>
              <w:rPr>
                <w:rFonts w:ascii="Arial"/>
                <w:sz w:val="21"/>
              </w:rPr>
            </w:pPr>
          </w:p>
          <w:p w14:paraId="1DCCD58C">
            <w:pPr>
              <w:spacing w:line="305" w:lineRule="auto"/>
              <w:rPr>
                <w:rFonts w:ascii="Arial"/>
                <w:sz w:val="21"/>
              </w:rPr>
            </w:pPr>
          </w:p>
          <w:p w14:paraId="41B60A8E">
            <w:pPr>
              <w:pStyle w:val="6"/>
              <w:spacing w:before="59" w:line="220" w:lineRule="auto"/>
              <w:jc w:val="right"/>
              <w:rPr>
                <w:sz w:val="18"/>
                <w:szCs w:val="18"/>
              </w:rPr>
            </w:pPr>
            <w:r>
              <w:rPr>
                <w:spacing w:val="-11"/>
                <w:sz w:val="18"/>
                <w:szCs w:val="18"/>
              </w:rPr>
              <w:t>项目二：</w:t>
            </w:r>
          </w:p>
          <w:p w14:paraId="0C6053D8">
            <w:pPr>
              <w:pStyle w:val="6"/>
              <w:spacing w:before="5" w:line="219" w:lineRule="auto"/>
              <w:ind w:left="84"/>
              <w:rPr>
                <w:sz w:val="18"/>
                <w:szCs w:val="18"/>
              </w:rPr>
            </w:pPr>
            <w:r>
              <w:rPr>
                <w:spacing w:val="3"/>
                <w:sz w:val="18"/>
                <w:szCs w:val="18"/>
              </w:rPr>
              <w:t>收文办</w:t>
            </w:r>
          </w:p>
          <w:p w14:paraId="7F5CAB73">
            <w:pPr>
              <w:pStyle w:val="6"/>
              <w:spacing w:before="6" w:line="229" w:lineRule="auto"/>
              <w:ind w:left="265"/>
              <w:rPr>
                <w:sz w:val="18"/>
                <w:szCs w:val="18"/>
              </w:rPr>
            </w:pPr>
            <w:r>
              <w:rPr>
                <w:sz w:val="18"/>
                <w:szCs w:val="18"/>
              </w:rPr>
              <w:t>理</w:t>
            </w:r>
          </w:p>
        </w:tc>
        <w:tc>
          <w:tcPr>
            <w:tcW w:w="769" w:type="dxa"/>
            <w:vMerge w:val="restart"/>
            <w:tcBorders>
              <w:top w:val="single" w:color="000000" w:sz="2" w:space="0"/>
              <w:bottom w:val="nil"/>
            </w:tcBorders>
            <w:vAlign w:val="top"/>
          </w:tcPr>
          <w:p w14:paraId="75639A9D">
            <w:pPr>
              <w:spacing w:line="352" w:lineRule="auto"/>
              <w:rPr>
                <w:rFonts w:ascii="Arial"/>
                <w:sz w:val="21"/>
              </w:rPr>
            </w:pPr>
          </w:p>
          <w:p w14:paraId="47DA1B44">
            <w:pPr>
              <w:spacing w:line="352" w:lineRule="auto"/>
              <w:rPr>
                <w:rFonts w:ascii="Arial"/>
                <w:sz w:val="21"/>
              </w:rPr>
            </w:pPr>
          </w:p>
          <w:p w14:paraId="2B94CE46">
            <w:pPr>
              <w:pStyle w:val="6"/>
              <w:spacing w:before="58" w:line="216" w:lineRule="auto"/>
              <w:ind w:left="100"/>
              <w:rPr>
                <w:sz w:val="18"/>
                <w:szCs w:val="18"/>
              </w:rPr>
            </w:pPr>
            <w:r>
              <w:rPr>
                <w:spacing w:val="-2"/>
                <w:sz w:val="18"/>
                <w:szCs w:val="18"/>
              </w:rPr>
              <w:t>文秘专</w:t>
            </w:r>
          </w:p>
          <w:p w14:paraId="25038C7B">
            <w:pPr>
              <w:pStyle w:val="6"/>
              <w:spacing w:line="220" w:lineRule="auto"/>
              <w:ind w:left="100"/>
              <w:rPr>
                <w:sz w:val="18"/>
                <w:szCs w:val="18"/>
              </w:rPr>
            </w:pPr>
            <w:r>
              <w:rPr>
                <w:spacing w:val="-2"/>
                <w:sz w:val="18"/>
                <w:szCs w:val="18"/>
              </w:rPr>
              <w:t>业实验</w:t>
            </w:r>
          </w:p>
          <w:p w14:paraId="293F98D6">
            <w:pPr>
              <w:pStyle w:val="6"/>
              <w:spacing w:before="15" w:line="196" w:lineRule="auto"/>
              <w:ind w:left="11"/>
              <w:rPr>
                <w:sz w:val="18"/>
                <w:szCs w:val="18"/>
              </w:rPr>
            </w:pPr>
            <w:r>
              <w:rPr>
                <w:spacing w:val="-2"/>
                <w:sz w:val="18"/>
                <w:szCs w:val="18"/>
              </w:rPr>
              <w:t>室、实验</w:t>
            </w:r>
          </w:p>
          <w:p w14:paraId="7445914B">
            <w:pPr>
              <w:pStyle w:val="6"/>
              <w:spacing w:line="221" w:lineRule="auto"/>
              <w:ind w:left="280"/>
              <w:rPr>
                <w:sz w:val="18"/>
                <w:szCs w:val="18"/>
              </w:rPr>
            </w:pPr>
            <w:r>
              <w:rPr>
                <w:sz w:val="18"/>
                <w:szCs w:val="18"/>
              </w:rPr>
              <w:t>台</w:t>
            </w:r>
          </w:p>
        </w:tc>
        <w:tc>
          <w:tcPr>
            <w:tcW w:w="1198" w:type="dxa"/>
            <w:vMerge w:val="restart"/>
            <w:tcBorders>
              <w:top w:val="single" w:color="000000" w:sz="2" w:space="0"/>
              <w:bottom w:val="nil"/>
            </w:tcBorders>
            <w:vAlign w:val="top"/>
          </w:tcPr>
          <w:p w14:paraId="283E0DD1">
            <w:pPr>
              <w:spacing w:line="352" w:lineRule="auto"/>
              <w:rPr>
                <w:rFonts w:ascii="Arial"/>
                <w:sz w:val="21"/>
              </w:rPr>
            </w:pPr>
          </w:p>
          <w:p w14:paraId="09922A99">
            <w:pPr>
              <w:spacing w:line="353" w:lineRule="auto"/>
              <w:rPr>
                <w:rFonts w:ascii="Arial"/>
                <w:sz w:val="21"/>
              </w:rPr>
            </w:pPr>
          </w:p>
          <w:p w14:paraId="28A67EA8">
            <w:pPr>
              <w:pStyle w:val="6"/>
              <w:spacing w:before="59" w:line="222" w:lineRule="auto"/>
              <w:ind w:left="11" w:right="50" w:firstLine="10"/>
              <w:jc w:val="both"/>
              <w:rPr>
                <w:sz w:val="18"/>
                <w:szCs w:val="18"/>
              </w:rPr>
            </w:pPr>
            <w:r>
              <w:rPr>
                <w:spacing w:val="-2"/>
                <w:sz w:val="18"/>
                <w:szCs w:val="18"/>
              </w:rPr>
              <w:t>根据一段情境</w:t>
            </w:r>
            <w:r>
              <w:rPr>
                <w:spacing w:val="3"/>
                <w:sz w:val="18"/>
                <w:szCs w:val="18"/>
              </w:rPr>
              <w:t xml:space="preserve"> </w:t>
            </w:r>
            <w:r>
              <w:rPr>
                <w:spacing w:val="-2"/>
                <w:sz w:val="18"/>
                <w:szCs w:val="18"/>
              </w:rPr>
              <w:t>描述，按要求</w:t>
            </w:r>
            <w:r>
              <w:rPr>
                <w:spacing w:val="2"/>
                <w:sz w:val="18"/>
                <w:szCs w:val="18"/>
              </w:rPr>
              <w:t xml:space="preserve"> </w:t>
            </w:r>
            <w:r>
              <w:rPr>
                <w:spacing w:val="7"/>
                <w:sz w:val="18"/>
                <w:szCs w:val="18"/>
              </w:rPr>
              <w:t>对一叠信函完</w:t>
            </w:r>
            <w:r>
              <w:rPr>
                <w:spacing w:val="2"/>
                <w:sz w:val="18"/>
                <w:szCs w:val="18"/>
              </w:rPr>
              <w:t xml:space="preserve"> </w:t>
            </w:r>
            <w:r>
              <w:rPr>
                <w:spacing w:val="4"/>
                <w:sz w:val="18"/>
                <w:szCs w:val="18"/>
              </w:rPr>
              <w:t>成收文办理的</w:t>
            </w:r>
            <w:r>
              <w:rPr>
                <w:sz w:val="18"/>
                <w:szCs w:val="18"/>
              </w:rPr>
              <w:t xml:space="preserve"> </w:t>
            </w:r>
            <w:r>
              <w:rPr>
                <w:spacing w:val="4"/>
                <w:sz w:val="18"/>
                <w:szCs w:val="18"/>
              </w:rPr>
              <w:t>工作任务。</w:t>
            </w:r>
          </w:p>
        </w:tc>
        <w:tc>
          <w:tcPr>
            <w:tcW w:w="1578" w:type="dxa"/>
            <w:tcBorders>
              <w:top w:val="single" w:color="000000" w:sz="2" w:space="0"/>
              <w:bottom w:val="single" w:color="000000" w:sz="2" w:space="0"/>
            </w:tcBorders>
            <w:vAlign w:val="top"/>
          </w:tcPr>
          <w:p w14:paraId="79067E45">
            <w:pPr>
              <w:pStyle w:val="6"/>
              <w:spacing w:before="137" w:line="219" w:lineRule="auto"/>
              <w:ind w:left="3"/>
              <w:rPr>
                <w:sz w:val="18"/>
                <w:szCs w:val="18"/>
              </w:rPr>
            </w:pPr>
            <w:r>
              <w:rPr>
                <w:spacing w:val="1"/>
                <w:sz w:val="18"/>
                <w:szCs w:val="18"/>
              </w:rPr>
              <w:t>1.签收</w:t>
            </w:r>
          </w:p>
        </w:tc>
        <w:tc>
          <w:tcPr>
            <w:tcW w:w="3616" w:type="dxa"/>
            <w:tcBorders>
              <w:top w:val="single" w:color="000000" w:sz="2" w:space="0"/>
              <w:bottom w:val="single" w:color="000000" w:sz="2" w:space="0"/>
            </w:tcBorders>
            <w:vAlign w:val="top"/>
          </w:tcPr>
          <w:p w14:paraId="790977C2">
            <w:pPr>
              <w:pStyle w:val="6"/>
              <w:spacing w:before="66" w:line="189" w:lineRule="auto"/>
              <w:ind w:left="16" w:right="177"/>
              <w:rPr>
                <w:sz w:val="18"/>
                <w:szCs w:val="18"/>
              </w:rPr>
            </w:pPr>
            <w:r>
              <w:rPr>
                <w:spacing w:val="-1"/>
                <w:sz w:val="18"/>
                <w:szCs w:val="18"/>
              </w:rPr>
              <w:t>要点：逐件清点，核对无误后签字，注明签</w:t>
            </w:r>
            <w:r>
              <w:rPr>
                <w:spacing w:val="10"/>
                <w:sz w:val="18"/>
                <w:szCs w:val="18"/>
              </w:rPr>
              <w:t xml:space="preserve"> </w:t>
            </w:r>
            <w:r>
              <w:rPr>
                <w:spacing w:val="5"/>
                <w:sz w:val="18"/>
                <w:szCs w:val="18"/>
              </w:rPr>
              <w:t>字时间</w:t>
            </w:r>
          </w:p>
        </w:tc>
        <w:tc>
          <w:tcPr>
            <w:tcW w:w="834" w:type="dxa"/>
            <w:tcBorders>
              <w:top w:val="single" w:color="000000" w:sz="2" w:space="0"/>
              <w:bottom w:val="single" w:color="000000" w:sz="2" w:space="0"/>
            </w:tcBorders>
            <w:vAlign w:val="top"/>
          </w:tcPr>
          <w:p w14:paraId="1DE1F0E2">
            <w:pPr>
              <w:pStyle w:val="6"/>
              <w:spacing w:before="182" w:line="184" w:lineRule="auto"/>
              <w:ind w:left="320"/>
              <w:rPr>
                <w:sz w:val="18"/>
                <w:szCs w:val="18"/>
              </w:rPr>
            </w:pPr>
            <w:r>
              <w:rPr>
                <w:spacing w:val="-6"/>
                <w:sz w:val="18"/>
                <w:szCs w:val="18"/>
              </w:rPr>
              <w:t>10</w:t>
            </w:r>
          </w:p>
        </w:tc>
      </w:tr>
      <w:tr w14:paraId="50B1DA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5" w:hRule="atLeast"/>
        </w:trPr>
        <w:tc>
          <w:tcPr>
            <w:tcW w:w="724" w:type="dxa"/>
            <w:vMerge w:val="continue"/>
            <w:tcBorders>
              <w:top w:val="nil"/>
              <w:bottom w:val="nil"/>
            </w:tcBorders>
            <w:vAlign w:val="top"/>
          </w:tcPr>
          <w:p w14:paraId="6AFE65FF">
            <w:pPr>
              <w:rPr>
                <w:rFonts w:ascii="Arial"/>
                <w:sz w:val="21"/>
              </w:rPr>
            </w:pPr>
          </w:p>
        </w:tc>
        <w:tc>
          <w:tcPr>
            <w:tcW w:w="769" w:type="dxa"/>
            <w:vMerge w:val="continue"/>
            <w:tcBorders>
              <w:top w:val="nil"/>
              <w:bottom w:val="nil"/>
            </w:tcBorders>
            <w:vAlign w:val="top"/>
          </w:tcPr>
          <w:p w14:paraId="71ED3E86">
            <w:pPr>
              <w:rPr>
                <w:rFonts w:ascii="Arial"/>
                <w:sz w:val="21"/>
              </w:rPr>
            </w:pPr>
          </w:p>
        </w:tc>
        <w:tc>
          <w:tcPr>
            <w:tcW w:w="1198" w:type="dxa"/>
            <w:vMerge w:val="continue"/>
            <w:tcBorders>
              <w:top w:val="nil"/>
              <w:bottom w:val="nil"/>
            </w:tcBorders>
            <w:vAlign w:val="top"/>
          </w:tcPr>
          <w:p w14:paraId="47ED49D7">
            <w:pPr>
              <w:rPr>
                <w:rFonts w:ascii="Arial"/>
                <w:sz w:val="21"/>
              </w:rPr>
            </w:pPr>
          </w:p>
        </w:tc>
        <w:tc>
          <w:tcPr>
            <w:tcW w:w="1578" w:type="dxa"/>
            <w:tcBorders>
              <w:top w:val="single" w:color="000000" w:sz="2" w:space="0"/>
              <w:bottom w:val="single" w:color="000000" w:sz="2" w:space="0"/>
            </w:tcBorders>
            <w:vAlign w:val="top"/>
          </w:tcPr>
          <w:p w14:paraId="3C04155B">
            <w:pPr>
              <w:pStyle w:val="6"/>
              <w:spacing w:before="92" w:line="225" w:lineRule="auto"/>
              <w:ind w:left="3"/>
              <w:rPr>
                <w:sz w:val="18"/>
                <w:szCs w:val="18"/>
              </w:rPr>
            </w:pPr>
            <w:r>
              <w:rPr>
                <w:spacing w:val="-1"/>
                <w:sz w:val="18"/>
                <w:szCs w:val="18"/>
              </w:rPr>
              <w:t>2.登记</w:t>
            </w:r>
          </w:p>
        </w:tc>
        <w:tc>
          <w:tcPr>
            <w:tcW w:w="3616" w:type="dxa"/>
            <w:tcBorders>
              <w:top w:val="single" w:color="000000" w:sz="2" w:space="0"/>
              <w:bottom w:val="single" w:color="000000" w:sz="2" w:space="0"/>
            </w:tcBorders>
            <w:vAlign w:val="top"/>
          </w:tcPr>
          <w:p w14:paraId="06210A46">
            <w:pPr>
              <w:pStyle w:val="6"/>
              <w:spacing w:before="87" w:line="220" w:lineRule="auto"/>
              <w:ind w:left="16"/>
              <w:rPr>
                <w:sz w:val="18"/>
                <w:szCs w:val="18"/>
              </w:rPr>
            </w:pPr>
            <w:r>
              <w:rPr>
                <w:spacing w:val="-1"/>
                <w:sz w:val="18"/>
                <w:szCs w:val="18"/>
              </w:rPr>
              <w:t>要点：详细记载公文有关情况</w:t>
            </w:r>
          </w:p>
        </w:tc>
        <w:tc>
          <w:tcPr>
            <w:tcW w:w="834" w:type="dxa"/>
            <w:tcBorders>
              <w:top w:val="single" w:color="000000" w:sz="2" w:space="0"/>
              <w:bottom w:val="single" w:color="000000" w:sz="2" w:space="0"/>
            </w:tcBorders>
            <w:vAlign w:val="top"/>
          </w:tcPr>
          <w:p w14:paraId="5F0F20B0">
            <w:pPr>
              <w:pStyle w:val="6"/>
              <w:spacing w:before="132" w:line="184" w:lineRule="auto"/>
              <w:ind w:left="320"/>
              <w:rPr>
                <w:sz w:val="18"/>
                <w:szCs w:val="18"/>
              </w:rPr>
            </w:pPr>
            <w:r>
              <w:rPr>
                <w:spacing w:val="-6"/>
                <w:sz w:val="18"/>
                <w:szCs w:val="18"/>
              </w:rPr>
              <w:t>10</w:t>
            </w:r>
          </w:p>
        </w:tc>
      </w:tr>
      <w:tr w14:paraId="085C01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5" w:hRule="atLeast"/>
        </w:trPr>
        <w:tc>
          <w:tcPr>
            <w:tcW w:w="724" w:type="dxa"/>
            <w:vMerge w:val="continue"/>
            <w:tcBorders>
              <w:top w:val="nil"/>
              <w:bottom w:val="nil"/>
            </w:tcBorders>
            <w:vAlign w:val="top"/>
          </w:tcPr>
          <w:p w14:paraId="50E00DB8">
            <w:pPr>
              <w:rPr>
                <w:rFonts w:ascii="Arial"/>
                <w:sz w:val="21"/>
              </w:rPr>
            </w:pPr>
          </w:p>
        </w:tc>
        <w:tc>
          <w:tcPr>
            <w:tcW w:w="769" w:type="dxa"/>
            <w:vMerge w:val="continue"/>
            <w:tcBorders>
              <w:top w:val="nil"/>
              <w:bottom w:val="nil"/>
            </w:tcBorders>
            <w:vAlign w:val="top"/>
          </w:tcPr>
          <w:p w14:paraId="18BEBF85">
            <w:pPr>
              <w:rPr>
                <w:rFonts w:ascii="Arial"/>
                <w:sz w:val="21"/>
              </w:rPr>
            </w:pPr>
          </w:p>
        </w:tc>
        <w:tc>
          <w:tcPr>
            <w:tcW w:w="1198" w:type="dxa"/>
            <w:vMerge w:val="continue"/>
            <w:tcBorders>
              <w:top w:val="nil"/>
              <w:bottom w:val="nil"/>
            </w:tcBorders>
            <w:vAlign w:val="top"/>
          </w:tcPr>
          <w:p w14:paraId="4AF99D50">
            <w:pPr>
              <w:rPr>
                <w:rFonts w:ascii="Arial"/>
                <w:sz w:val="21"/>
              </w:rPr>
            </w:pPr>
          </w:p>
        </w:tc>
        <w:tc>
          <w:tcPr>
            <w:tcW w:w="1578" w:type="dxa"/>
            <w:tcBorders>
              <w:top w:val="single" w:color="000000" w:sz="2" w:space="0"/>
              <w:bottom w:val="single" w:color="000000" w:sz="2" w:space="0"/>
            </w:tcBorders>
            <w:vAlign w:val="top"/>
          </w:tcPr>
          <w:p w14:paraId="74230E2F">
            <w:pPr>
              <w:pStyle w:val="6"/>
              <w:spacing w:before="87" w:line="220" w:lineRule="auto"/>
              <w:ind w:left="3"/>
              <w:rPr>
                <w:sz w:val="18"/>
                <w:szCs w:val="18"/>
              </w:rPr>
            </w:pPr>
            <w:r>
              <w:rPr>
                <w:spacing w:val="3"/>
                <w:sz w:val="18"/>
                <w:szCs w:val="18"/>
              </w:rPr>
              <w:t>3.初审</w:t>
            </w:r>
          </w:p>
        </w:tc>
        <w:tc>
          <w:tcPr>
            <w:tcW w:w="3616" w:type="dxa"/>
            <w:tcBorders>
              <w:top w:val="single" w:color="000000" w:sz="2" w:space="0"/>
              <w:bottom w:val="single" w:color="000000" w:sz="2" w:space="0"/>
            </w:tcBorders>
            <w:vAlign w:val="top"/>
          </w:tcPr>
          <w:p w14:paraId="291682F8">
            <w:pPr>
              <w:pStyle w:val="6"/>
              <w:spacing w:before="87" w:line="220" w:lineRule="auto"/>
              <w:ind w:left="16"/>
              <w:rPr>
                <w:sz w:val="18"/>
                <w:szCs w:val="18"/>
              </w:rPr>
            </w:pPr>
            <w:r>
              <w:rPr>
                <w:spacing w:val="1"/>
                <w:sz w:val="18"/>
                <w:szCs w:val="18"/>
              </w:rPr>
              <w:t>要点：应把握初审的重点</w:t>
            </w:r>
          </w:p>
        </w:tc>
        <w:tc>
          <w:tcPr>
            <w:tcW w:w="834" w:type="dxa"/>
            <w:tcBorders>
              <w:top w:val="single" w:color="000000" w:sz="2" w:space="0"/>
              <w:bottom w:val="single" w:color="000000" w:sz="2" w:space="0"/>
            </w:tcBorders>
            <w:vAlign w:val="top"/>
          </w:tcPr>
          <w:p w14:paraId="00CCFBD3">
            <w:pPr>
              <w:pStyle w:val="6"/>
              <w:spacing w:before="133" w:line="183" w:lineRule="auto"/>
              <w:ind w:left="320"/>
              <w:rPr>
                <w:sz w:val="18"/>
                <w:szCs w:val="18"/>
              </w:rPr>
            </w:pPr>
            <w:r>
              <w:rPr>
                <w:spacing w:val="-3"/>
                <w:sz w:val="18"/>
                <w:szCs w:val="18"/>
              </w:rPr>
              <w:t>20</w:t>
            </w:r>
          </w:p>
        </w:tc>
      </w:tr>
      <w:tr w14:paraId="3CAE80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5" w:hRule="atLeast"/>
        </w:trPr>
        <w:tc>
          <w:tcPr>
            <w:tcW w:w="724" w:type="dxa"/>
            <w:vMerge w:val="continue"/>
            <w:tcBorders>
              <w:top w:val="nil"/>
              <w:bottom w:val="nil"/>
            </w:tcBorders>
            <w:vAlign w:val="top"/>
          </w:tcPr>
          <w:p w14:paraId="1AA92FFF">
            <w:pPr>
              <w:rPr>
                <w:rFonts w:ascii="Arial"/>
                <w:sz w:val="21"/>
              </w:rPr>
            </w:pPr>
          </w:p>
        </w:tc>
        <w:tc>
          <w:tcPr>
            <w:tcW w:w="769" w:type="dxa"/>
            <w:vMerge w:val="continue"/>
            <w:tcBorders>
              <w:top w:val="nil"/>
              <w:bottom w:val="nil"/>
            </w:tcBorders>
            <w:vAlign w:val="top"/>
          </w:tcPr>
          <w:p w14:paraId="0DAEB1B9">
            <w:pPr>
              <w:rPr>
                <w:rFonts w:ascii="Arial"/>
                <w:sz w:val="21"/>
              </w:rPr>
            </w:pPr>
          </w:p>
        </w:tc>
        <w:tc>
          <w:tcPr>
            <w:tcW w:w="1198" w:type="dxa"/>
            <w:vMerge w:val="continue"/>
            <w:tcBorders>
              <w:top w:val="nil"/>
              <w:bottom w:val="nil"/>
            </w:tcBorders>
            <w:vAlign w:val="top"/>
          </w:tcPr>
          <w:p w14:paraId="1F7E7106">
            <w:pPr>
              <w:rPr>
                <w:rFonts w:ascii="Arial"/>
                <w:sz w:val="21"/>
              </w:rPr>
            </w:pPr>
          </w:p>
        </w:tc>
        <w:tc>
          <w:tcPr>
            <w:tcW w:w="1578" w:type="dxa"/>
            <w:tcBorders>
              <w:top w:val="single" w:color="000000" w:sz="2" w:space="0"/>
              <w:bottom w:val="single" w:color="000000" w:sz="2" w:space="0"/>
            </w:tcBorders>
            <w:vAlign w:val="top"/>
          </w:tcPr>
          <w:p w14:paraId="3AD4154A">
            <w:pPr>
              <w:pStyle w:val="6"/>
              <w:spacing w:before="87" w:line="219" w:lineRule="auto"/>
              <w:ind w:left="3"/>
              <w:rPr>
                <w:sz w:val="18"/>
                <w:szCs w:val="18"/>
              </w:rPr>
            </w:pPr>
            <w:r>
              <w:rPr>
                <w:spacing w:val="-2"/>
                <w:sz w:val="18"/>
                <w:szCs w:val="18"/>
              </w:rPr>
              <w:t>4.承办</w:t>
            </w:r>
          </w:p>
        </w:tc>
        <w:tc>
          <w:tcPr>
            <w:tcW w:w="3616" w:type="dxa"/>
            <w:tcBorders>
              <w:top w:val="single" w:color="000000" w:sz="2" w:space="0"/>
              <w:bottom w:val="single" w:color="000000" w:sz="2" w:space="0"/>
            </w:tcBorders>
            <w:vAlign w:val="top"/>
          </w:tcPr>
          <w:p w14:paraId="2C854006">
            <w:pPr>
              <w:pStyle w:val="6"/>
              <w:spacing w:before="87" w:line="219" w:lineRule="auto"/>
              <w:ind w:left="16"/>
              <w:rPr>
                <w:sz w:val="18"/>
                <w:szCs w:val="18"/>
              </w:rPr>
            </w:pPr>
            <w:r>
              <w:rPr>
                <w:spacing w:val="-1"/>
                <w:sz w:val="18"/>
                <w:szCs w:val="18"/>
              </w:rPr>
              <w:t>要点：准确确定分送范围，填写文件处理单</w:t>
            </w:r>
          </w:p>
        </w:tc>
        <w:tc>
          <w:tcPr>
            <w:tcW w:w="834" w:type="dxa"/>
            <w:tcBorders>
              <w:top w:val="single" w:color="000000" w:sz="2" w:space="0"/>
              <w:bottom w:val="single" w:color="000000" w:sz="2" w:space="0"/>
            </w:tcBorders>
            <w:vAlign w:val="top"/>
          </w:tcPr>
          <w:p w14:paraId="4DEA2A0C">
            <w:pPr>
              <w:pStyle w:val="6"/>
              <w:spacing w:before="133" w:line="183" w:lineRule="auto"/>
              <w:ind w:left="320"/>
              <w:rPr>
                <w:sz w:val="18"/>
                <w:szCs w:val="18"/>
              </w:rPr>
            </w:pPr>
            <w:r>
              <w:rPr>
                <w:spacing w:val="-3"/>
                <w:sz w:val="18"/>
                <w:szCs w:val="18"/>
              </w:rPr>
              <w:t>20</w:t>
            </w:r>
          </w:p>
        </w:tc>
      </w:tr>
      <w:tr w14:paraId="45EAB6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5" w:hRule="atLeast"/>
        </w:trPr>
        <w:tc>
          <w:tcPr>
            <w:tcW w:w="724" w:type="dxa"/>
            <w:vMerge w:val="continue"/>
            <w:tcBorders>
              <w:top w:val="nil"/>
              <w:bottom w:val="nil"/>
            </w:tcBorders>
            <w:vAlign w:val="top"/>
          </w:tcPr>
          <w:p w14:paraId="58AE2CFA">
            <w:pPr>
              <w:rPr>
                <w:rFonts w:ascii="Arial"/>
                <w:sz w:val="21"/>
              </w:rPr>
            </w:pPr>
          </w:p>
        </w:tc>
        <w:tc>
          <w:tcPr>
            <w:tcW w:w="769" w:type="dxa"/>
            <w:vMerge w:val="continue"/>
            <w:tcBorders>
              <w:top w:val="nil"/>
              <w:bottom w:val="nil"/>
            </w:tcBorders>
            <w:vAlign w:val="top"/>
          </w:tcPr>
          <w:p w14:paraId="13E4B2C5">
            <w:pPr>
              <w:rPr>
                <w:rFonts w:ascii="Arial"/>
                <w:sz w:val="21"/>
              </w:rPr>
            </w:pPr>
          </w:p>
        </w:tc>
        <w:tc>
          <w:tcPr>
            <w:tcW w:w="1198" w:type="dxa"/>
            <w:vMerge w:val="continue"/>
            <w:tcBorders>
              <w:top w:val="nil"/>
              <w:bottom w:val="nil"/>
            </w:tcBorders>
            <w:vAlign w:val="top"/>
          </w:tcPr>
          <w:p w14:paraId="6AA595D8">
            <w:pPr>
              <w:rPr>
                <w:rFonts w:ascii="Arial"/>
                <w:sz w:val="21"/>
              </w:rPr>
            </w:pPr>
          </w:p>
        </w:tc>
        <w:tc>
          <w:tcPr>
            <w:tcW w:w="1578" w:type="dxa"/>
            <w:tcBorders>
              <w:top w:val="single" w:color="000000" w:sz="2" w:space="0"/>
              <w:bottom w:val="single" w:color="000000" w:sz="2" w:space="0"/>
            </w:tcBorders>
            <w:vAlign w:val="top"/>
          </w:tcPr>
          <w:p w14:paraId="3C170011">
            <w:pPr>
              <w:pStyle w:val="6"/>
              <w:spacing w:before="85" w:line="219" w:lineRule="auto"/>
              <w:ind w:left="3"/>
              <w:rPr>
                <w:sz w:val="18"/>
                <w:szCs w:val="18"/>
              </w:rPr>
            </w:pPr>
            <w:r>
              <w:rPr>
                <w:spacing w:val="4"/>
                <w:sz w:val="18"/>
                <w:szCs w:val="18"/>
              </w:rPr>
              <w:t>5.传阅</w:t>
            </w:r>
          </w:p>
        </w:tc>
        <w:tc>
          <w:tcPr>
            <w:tcW w:w="3616" w:type="dxa"/>
            <w:tcBorders>
              <w:top w:val="single" w:color="000000" w:sz="2" w:space="0"/>
              <w:bottom w:val="single" w:color="000000" w:sz="2" w:space="0"/>
            </w:tcBorders>
            <w:vAlign w:val="top"/>
          </w:tcPr>
          <w:p w14:paraId="7B0895BA">
            <w:pPr>
              <w:pStyle w:val="6"/>
              <w:spacing w:before="85" w:line="219" w:lineRule="auto"/>
              <w:ind w:left="16"/>
              <w:rPr>
                <w:sz w:val="18"/>
                <w:szCs w:val="18"/>
              </w:rPr>
            </w:pPr>
            <w:r>
              <w:rPr>
                <w:spacing w:val="-1"/>
                <w:sz w:val="18"/>
                <w:szCs w:val="18"/>
              </w:rPr>
              <w:t>要点：填写文件传阅登记单</w:t>
            </w:r>
          </w:p>
        </w:tc>
        <w:tc>
          <w:tcPr>
            <w:tcW w:w="834" w:type="dxa"/>
            <w:tcBorders>
              <w:top w:val="single" w:color="000000" w:sz="2" w:space="0"/>
              <w:bottom w:val="single" w:color="000000" w:sz="2" w:space="0"/>
            </w:tcBorders>
            <w:vAlign w:val="top"/>
          </w:tcPr>
          <w:p w14:paraId="694D1EF1">
            <w:pPr>
              <w:pStyle w:val="6"/>
              <w:spacing w:before="133" w:line="183" w:lineRule="auto"/>
              <w:ind w:left="320"/>
              <w:rPr>
                <w:sz w:val="18"/>
                <w:szCs w:val="18"/>
              </w:rPr>
            </w:pPr>
            <w:r>
              <w:rPr>
                <w:spacing w:val="-3"/>
                <w:sz w:val="18"/>
                <w:szCs w:val="18"/>
              </w:rPr>
              <w:t>20</w:t>
            </w:r>
          </w:p>
        </w:tc>
      </w:tr>
      <w:tr w14:paraId="0510B2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5" w:hRule="atLeast"/>
        </w:trPr>
        <w:tc>
          <w:tcPr>
            <w:tcW w:w="724" w:type="dxa"/>
            <w:vMerge w:val="continue"/>
            <w:tcBorders>
              <w:top w:val="nil"/>
              <w:bottom w:val="nil"/>
            </w:tcBorders>
            <w:vAlign w:val="top"/>
          </w:tcPr>
          <w:p w14:paraId="4DA1F8E3">
            <w:pPr>
              <w:rPr>
                <w:rFonts w:ascii="Arial"/>
                <w:sz w:val="21"/>
              </w:rPr>
            </w:pPr>
          </w:p>
        </w:tc>
        <w:tc>
          <w:tcPr>
            <w:tcW w:w="769" w:type="dxa"/>
            <w:vMerge w:val="continue"/>
            <w:tcBorders>
              <w:top w:val="nil"/>
              <w:bottom w:val="nil"/>
            </w:tcBorders>
            <w:vAlign w:val="top"/>
          </w:tcPr>
          <w:p w14:paraId="2897EE29">
            <w:pPr>
              <w:rPr>
                <w:rFonts w:ascii="Arial"/>
                <w:sz w:val="21"/>
              </w:rPr>
            </w:pPr>
          </w:p>
        </w:tc>
        <w:tc>
          <w:tcPr>
            <w:tcW w:w="1198" w:type="dxa"/>
            <w:vMerge w:val="continue"/>
            <w:tcBorders>
              <w:top w:val="nil"/>
              <w:bottom w:val="nil"/>
            </w:tcBorders>
            <w:vAlign w:val="top"/>
          </w:tcPr>
          <w:p w14:paraId="1226DF3F">
            <w:pPr>
              <w:rPr>
                <w:rFonts w:ascii="Arial"/>
                <w:sz w:val="21"/>
              </w:rPr>
            </w:pPr>
          </w:p>
        </w:tc>
        <w:tc>
          <w:tcPr>
            <w:tcW w:w="1578" w:type="dxa"/>
            <w:tcBorders>
              <w:top w:val="single" w:color="000000" w:sz="2" w:space="0"/>
              <w:bottom w:val="single" w:color="000000" w:sz="2" w:space="0"/>
            </w:tcBorders>
            <w:vAlign w:val="top"/>
          </w:tcPr>
          <w:p w14:paraId="1F897B6C">
            <w:pPr>
              <w:pStyle w:val="6"/>
              <w:spacing w:before="87" w:line="219" w:lineRule="auto"/>
              <w:ind w:left="3"/>
              <w:rPr>
                <w:sz w:val="18"/>
                <w:szCs w:val="18"/>
              </w:rPr>
            </w:pPr>
            <w:r>
              <w:rPr>
                <w:spacing w:val="-3"/>
                <w:sz w:val="18"/>
                <w:szCs w:val="18"/>
              </w:rPr>
              <w:t>6.催办</w:t>
            </w:r>
          </w:p>
        </w:tc>
        <w:tc>
          <w:tcPr>
            <w:tcW w:w="3616" w:type="dxa"/>
            <w:tcBorders>
              <w:top w:val="single" w:color="000000" w:sz="2" w:space="0"/>
              <w:bottom w:val="single" w:color="000000" w:sz="2" w:space="0"/>
            </w:tcBorders>
            <w:vAlign w:val="top"/>
          </w:tcPr>
          <w:p w14:paraId="6FBA78D4">
            <w:pPr>
              <w:pStyle w:val="6"/>
              <w:spacing w:before="87" w:line="219" w:lineRule="auto"/>
              <w:ind w:left="16"/>
              <w:rPr>
                <w:sz w:val="18"/>
                <w:szCs w:val="18"/>
              </w:rPr>
            </w:pPr>
            <w:r>
              <w:rPr>
                <w:spacing w:val="1"/>
                <w:sz w:val="18"/>
                <w:szCs w:val="18"/>
              </w:rPr>
              <w:t>要点：掌握催办的范围</w:t>
            </w:r>
          </w:p>
        </w:tc>
        <w:tc>
          <w:tcPr>
            <w:tcW w:w="834" w:type="dxa"/>
            <w:tcBorders>
              <w:top w:val="single" w:color="000000" w:sz="2" w:space="0"/>
              <w:bottom w:val="single" w:color="000000" w:sz="2" w:space="0"/>
            </w:tcBorders>
            <w:vAlign w:val="top"/>
          </w:tcPr>
          <w:p w14:paraId="07701118">
            <w:pPr>
              <w:pStyle w:val="6"/>
              <w:spacing w:before="132" w:line="184" w:lineRule="auto"/>
              <w:ind w:left="320"/>
              <w:rPr>
                <w:sz w:val="18"/>
                <w:szCs w:val="18"/>
              </w:rPr>
            </w:pPr>
            <w:r>
              <w:rPr>
                <w:spacing w:val="-6"/>
                <w:sz w:val="18"/>
                <w:szCs w:val="18"/>
              </w:rPr>
              <w:t>10</w:t>
            </w:r>
          </w:p>
        </w:tc>
      </w:tr>
      <w:tr w14:paraId="560A2C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9" w:hRule="atLeast"/>
        </w:trPr>
        <w:tc>
          <w:tcPr>
            <w:tcW w:w="724" w:type="dxa"/>
            <w:vMerge w:val="continue"/>
            <w:tcBorders>
              <w:top w:val="nil"/>
              <w:bottom w:val="single" w:color="000000" w:sz="2" w:space="0"/>
            </w:tcBorders>
            <w:vAlign w:val="top"/>
          </w:tcPr>
          <w:p w14:paraId="7925DCFF">
            <w:pPr>
              <w:rPr>
                <w:rFonts w:ascii="Arial"/>
                <w:sz w:val="21"/>
              </w:rPr>
            </w:pPr>
          </w:p>
        </w:tc>
        <w:tc>
          <w:tcPr>
            <w:tcW w:w="769" w:type="dxa"/>
            <w:vMerge w:val="continue"/>
            <w:tcBorders>
              <w:top w:val="nil"/>
              <w:bottom w:val="single" w:color="000000" w:sz="2" w:space="0"/>
            </w:tcBorders>
            <w:vAlign w:val="top"/>
          </w:tcPr>
          <w:p w14:paraId="33257EFE">
            <w:pPr>
              <w:rPr>
                <w:rFonts w:ascii="Arial"/>
                <w:sz w:val="21"/>
              </w:rPr>
            </w:pPr>
          </w:p>
        </w:tc>
        <w:tc>
          <w:tcPr>
            <w:tcW w:w="1198" w:type="dxa"/>
            <w:vMerge w:val="continue"/>
            <w:tcBorders>
              <w:top w:val="nil"/>
              <w:bottom w:val="single" w:color="000000" w:sz="2" w:space="0"/>
            </w:tcBorders>
            <w:vAlign w:val="top"/>
          </w:tcPr>
          <w:p w14:paraId="6C90988C">
            <w:pPr>
              <w:rPr>
                <w:rFonts w:ascii="Arial"/>
                <w:sz w:val="21"/>
              </w:rPr>
            </w:pPr>
          </w:p>
        </w:tc>
        <w:tc>
          <w:tcPr>
            <w:tcW w:w="1578" w:type="dxa"/>
            <w:tcBorders>
              <w:top w:val="single" w:color="000000" w:sz="2" w:space="0"/>
              <w:bottom w:val="single" w:color="000000" w:sz="2" w:space="0"/>
            </w:tcBorders>
            <w:vAlign w:val="top"/>
          </w:tcPr>
          <w:p w14:paraId="141AD0BF">
            <w:pPr>
              <w:pStyle w:val="6"/>
              <w:spacing w:before="87" w:line="220" w:lineRule="auto"/>
              <w:ind w:left="3"/>
              <w:rPr>
                <w:sz w:val="18"/>
                <w:szCs w:val="18"/>
              </w:rPr>
            </w:pPr>
            <w:r>
              <w:rPr>
                <w:spacing w:val="-3"/>
                <w:sz w:val="18"/>
                <w:szCs w:val="18"/>
              </w:rPr>
              <w:t>7.答复</w:t>
            </w:r>
          </w:p>
        </w:tc>
        <w:tc>
          <w:tcPr>
            <w:tcW w:w="3616" w:type="dxa"/>
            <w:tcBorders>
              <w:top w:val="single" w:color="000000" w:sz="2" w:space="0"/>
              <w:bottom w:val="single" w:color="000000" w:sz="2" w:space="0"/>
            </w:tcBorders>
            <w:vAlign w:val="top"/>
          </w:tcPr>
          <w:p w14:paraId="6F8C1454">
            <w:pPr>
              <w:pStyle w:val="6"/>
              <w:spacing w:before="87" w:line="219" w:lineRule="auto"/>
              <w:ind w:left="16"/>
              <w:rPr>
                <w:sz w:val="18"/>
                <w:szCs w:val="18"/>
              </w:rPr>
            </w:pPr>
            <w:r>
              <w:rPr>
                <w:spacing w:val="-1"/>
                <w:sz w:val="18"/>
                <w:szCs w:val="18"/>
              </w:rPr>
              <w:t>要点：写出公文办理结果</w:t>
            </w:r>
          </w:p>
        </w:tc>
        <w:tc>
          <w:tcPr>
            <w:tcW w:w="834" w:type="dxa"/>
            <w:tcBorders>
              <w:top w:val="single" w:color="000000" w:sz="2" w:space="0"/>
              <w:bottom w:val="single" w:color="000000" w:sz="2" w:space="0"/>
            </w:tcBorders>
            <w:vAlign w:val="top"/>
          </w:tcPr>
          <w:p w14:paraId="51710FE0">
            <w:pPr>
              <w:pStyle w:val="6"/>
              <w:spacing w:before="132" w:line="184" w:lineRule="auto"/>
              <w:ind w:left="320"/>
              <w:rPr>
                <w:sz w:val="18"/>
                <w:szCs w:val="18"/>
              </w:rPr>
            </w:pPr>
            <w:r>
              <w:rPr>
                <w:spacing w:val="-6"/>
                <w:sz w:val="18"/>
                <w:szCs w:val="18"/>
              </w:rPr>
              <w:t>10</w:t>
            </w:r>
          </w:p>
        </w:tc>
      </w:tr>
    </w:tbl>
    <w:p w14:paraId="4A7276FE">
      <w:pPr>
        <w:pStyle w:val="2"/>
        <w:spacing w:line="14" w:lineRule="auto"/>
        <w:rPr>
          <w:sz w:val="2"/>
        </w:rPr>
      </w:pPr>
    </w:p>
    <w:p w14:paraId="5818C4F1">
      <w:pPr>
        <w:spacing w:line="14" w:lineRule="auto"/>
        <w:rPr>
          <w:sz w:val="2"/>
          <w:szCs w:val="2"/>
        </w:rPr>
        <w:sectPr>
          <w:type w:val="continuous"/>
          <w:pgSz w:w="10660" w:h="15080"/>
          <w:pgMar w:top="400" w:right="1034" w:bottom="910" w:left="809" w:header="0" w:footer="738" w:gutter="0"/>
          <w:cols w:equalWidth="0" w:num="1">
            <w:col w:w="8816"/>
          </w:cols>
        </w:sectPr>
      </w:pPr>
    </w:p>
    <w:p w14:paraId="7C02F74F">
      <w:pPr>
        <w:spacing w:before="13"/>
      </w:pPr>
    </w:p>
    <w:p w14:paraId="5ED27A0A">
      <w:pPr>
        <w:spacing w:before="12"/>
      </w:pPr>
    </w:p>
    <w:p w14:paraId="2D827A17">
      <w:pPr>
        <w:spacing w:before="12"/>
      </w:pPr>
    </w:p>
    <w:p w14:paraId="2DBB5CEB">
      <w:pPr>
        <w:spacing w:before="12"/>
      </w:pPr>
    </w:p>
    <w:tbl>
      <w:tblPr>
        <w:tblStyle w:val="5"/>
        <w:tblW w:w="872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34"/>
        <w:gridCol w:w="759"/>
        <w:gridCol w:w="1199"/>
        <w:gridCol w:w="1588"/>
        <w:gridCol w:w="3616"/>
        <w:gridCol w:w="824"/>
      </w:tblGrid>
      <w:tr w14:paraId="20451F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4" w:hRule="atLeast"/>
        </w:trPr>
        <w:tc>
          <w:tcPr>
            <w:tcW w:w="734" w:type="dxa"/>
            <w:vAlign w:val="top"/>
          </w:tcPr>
          <w:p w14:paraId="56E8D2F7">
            <w:pPr>
              <w:pStyle w:val="6"/>
              <w:spacing w:before="160" w:line="220" w:lineRule="auto"/>
              <w:jc w:val="right"/>
              <w:rPr>
                <w:sz w:val="18"/>
                <w:szCs w:val="18"/>
              </w:rPr>
            </w:pPr>
            <w:r>
              <w:rPr>
                <w:b/>
                <w:bCs/>
                <w:spacing w:val="-6"/>
                <w:sz w:val="18"/>
                <w:szCs w:val="18"/>
              </w:rPr>
              <w:t>测试项目</w:t>
            </w:r>
          </w:p>
        </w:tc>
        <w:tc>
          <w:tcPr>
            <w:tcW w:w="759" w:type="dxa"/>
            <w:vAlign w:val="top"/>
          </w:tcPr>
          <w:p w14:paraId="41847444">
            <w:pPr>
              <w:pStyle w:val="6"/>
              <w:spacing w:before="60" w:line="221" w:lineRule="auto"/>
              <w:ind w:left="13"/>
              <w:rPr>
                <w:sz w:val="18"/>
                <w:szCs w:val="18"/>
              </w:rPr>
            </w:pPr>
            <w:r>
              <w:rPr>
                <w:b/>
                <w:bCs/>
                <w:spacing w:val="-4"/>
                <w:sz w:val="18"/>
                <w:szCs w:val="18"/>
              </w:rPr>
              <w:t>测试用具</w:t>
            </w:r>
          </w:p>
          <w:p w14:paraId="17A117B9">
            <w:pPr>
              <w:pStyle w:val="6"/>
              <w:spacing w:before="13" w:line="209" w:lineRule="auto"/>
              <w:ind w:left="103"/>
              <w:rPr>
                <w:sz w:val="18"/>
                <w:szCs w:val="18"/>
              </w:rPr>
            </w:pPr>
            <w:r>
              <w:rPr>
                <w:b/>
                <w:bCs/>
                <w:spacing w:val="6"/>
                <w:sz w:val="18"/>
                <w:szCs w:val="18"/>
              </w:rPr>
              <w:t>(场地)</w:t>
            </w:r>
          </w:p>
        </w:tc>
        <w:tc>
          <w:tcPr>
            <w:tcW w:w="1199" w:type="dxa"/>
            <w:vAlign w:val="top"/>
          </w:tcPr>
          <w:p w14:paraId="0418D52D">
            <w:pPr>
              <w:pStyle w:val="6"/>
              <w:spacing w:before="160" w:line="221" w:lineRule="auto"/>
              <w:ind w:left="264"/>
              <w:rPr>
                <w:sz w:val="18"/>
                <w:szCs w:val="18"/>
              </w:rPr>
            </w:pPr>
            <w:r>
              <w:rPr>
                <w:b/>
                <w:bCs/>
                <w:spacing w:val="-4"/>
                <w:sz w:val="18"/>
                <w:szCs w:val="18"/>
              </w:rPr>
              <w:t>测试方法</w:t>
            </w:r>
          </w:p>
        </w:tc>
        <w:tc>
          <w:tcPr>
            <w:tcW w:w="1588" w:type="dxa"/>
            <w:vAlign w:val="top"/>
          </w:tcPr>
          <w:p w14:paraId="481644F2">
            <w:pPr>
              <w:pStyle w:val="6"/>
              <w:spacing w:before="160" w:line="219" w:lineRule="auto"/>
              <w:ind w:left="425"/>
              <w:rPr>
                <w:sz w:val="18"/>
                <w:szCs w:val="18"/>
              </w:rPr>
            </w:pPr>
            <w:r>
              <w:rPr>
                <w:b/>
                <w:bCs/>
                <w:spacing w:val="-4"/>
                <w:sz w:val="18"/>
                <w:szCs w:val="18"/>
              </w:rPr>
              <w:t>测试内容</w:t>
            </w:r>
          </w:p>
        </w:tc>
        <w:tc>
          <w:tcPr>
            <w:tcW w:w="3616" w:type="dxa"/>
            <w:vAlign w:val="top"/>
          </w:tcPr>
          <w:p w14:paraId="6C78E3D4">
            <w:pPr>
              <w:pStyle w:val="6"/>
              <w:spacing w:before="158" w:line="218" w:lineRule="auto"/>
              <w:ind w:left="1307"/>
              <w:rPr>
                <w:sz w:val="18"/>
                <w:szCs w:val="18"/>
              </w:rPr>
            </w:pPr>
            <w:r>
              <w:rPr>
                <w:b/>
                <w:bCs/>
                <w:spacing w:val="-3"/>
                <w:sz w:val="18"/>
                <w:szCs w:val="18"/>
              </w:rPr>
              <w:t>测试评价要点</w:t>
            </w:r>
          </w:p>
        </w:tc>
        <w:tc>
          <w:tcPr>
            <w:tcW w:w="824" w:type="dxa"/>
            <w:vAlign w:val="top"/>
          </w:tcPr>
          <w:p w14:paraId="7FE53CD1">
            <w:pPr>
              <w:pStyle w:val="6"/>
              <w:spacing w:before="59" w:line="223" w:lineRule="auto"/>
              <w:ind w:left="231" w:right="51" w:hanging="180"/>
              <w:rPr>
                <w:sz w:val="18"/>
                <w:szCs w:val="18"/>
              </w:rPr>
            </w:pPr>
            <w:r>
              <w:rPr>
                <w:b/>
                <w:bCs/>
                <w:spacing w:val="-5"/>
                <w:sz w:val="18"/>
                <w:szCs w:val="18"/>
              </w:rPr>
              <w:t>分值参考</w:t>
            </w:r>
            <w:r>
              <w:rPr>
                <w:spacing w:val="2"/>
                <w:sz w:val="18"/>
                <w:szCs w:val="18"/>
              </w:rPr>
              <w:t xml:space="preserve"> </w:t>
            </w:r>
            <w:r>
              <w:rPr>
                <w:b/>
                <w:bCs/>
                <w:spacing w:val="9"/>
                <w:sz w:val="18"/>
                <w:szCs w:val="18"/>
              </w:rPr>
              <w:t>(分)</w:t>
            </w:r>
          </w:p>
        </w:tc>
      </w:tr>
      <w:tr w14:paraId="7A7587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9" w:hRule="atLeast"/>
        </w:trPr>
        <w:tc>
          <w:tcPr>
            <w:tcW w:w="734" w:type="dxa"/>
            <w:vMerge w:val="restart"/>
            <w:tcBorders>
              <w:bottom w:val="nil"/>
            </w:tcBorders>
            <w:vAlign w:val="top"/>
          </w:tcPr>
          <w:p w14:paraId="78B0EEA2">
            <w:pPr>
              <w:spacing w:line="253" w:lineRule="auto"/>
              <w:rPr>
                <w:rFonts w:ascii="Arial"/>
                <w:sz w:val="21"/>
              </w:rPr>
            </w:pPr>
          </w:p>
          <w:p w14:paraId="34FC1F79">
            <w:pPr>
              <w:spacing w:line="253" w:lineRule="auto"/>
              <w:rPr>
                <w:rFonts w:ascii="Arial"/>
                <w:sz w:val="21"/>
              </w:rPr>
            </w:pPr>
          </w:p>
          <w:p w14:paraId="66A864AB">
            <w:pPr>
              <w:pStyle w:val="6"/>
              <w:spacing w:before="58" w:line="219" w:lineRule="auto"/>
              <w:ind w:left="83" w:hanging="68"/>
              <w:jc w:val="both"/>
              <w:rPr>
                <w:sz w:val="18"/>
                <w:szCs w:val="18"/>
              </w:rPr>
            </w:pPr>
            <w:r>
              <w:rPr>
                <w:spacing w:val="-3"/>
                <w:sz w:val="18"/>
                <w:szCs w:val="18"/>
              </w:rPr>
              <w:t>项目三：</w:t>
            </w:r>
            <w:r>
              <w:rPr>
                <w:sz w:val="18"/>
                <w:szCs w:val="18"/>
              </w:rPr>
              <w:t xml:space="preserve"> </w:t>
            </w:r>
            <w:r>
              <w:rPr>
                <w:spacing w:val="-6"/>
                <w:sz w:val="18"/>
                <w:szCs w:val="18"/>
              </w:rPr>
              <w:t>纸质文</w:t>
            </w:r>
            <w:r>
              <w:rPr>
                <w:sz w:val="18"/>
                <w:szCs w:val="18"/>
              </w:rPr>
              <w:t xml:space="preserve">  </w:t>
            </w:r>
            <w:r>
              <w:rPr>
                <w:spacing w:val="-5"/>
                <w:sz w:val="18"/>
                <w:szCs w:val="18"/>
              </w:rPr>
              <w:t>件整理</w:t>
            </w:r>
            <w:r>
              <w:rPr>
                <w:sz w:val="18"/>
                <w:szCs w:val="18"/>
              </w:rPr>
              <w:t xml:space="preserve">  </w:t>
            </w:r>
            <w:r>
              <w:rPr>
                <w:spacing w:val="1"/>
                <w:sz w:val="18"/>
                <w:szCs w:val="18"/>
              </w:rPr>
              <w:t>与归档</w:t>
            </w:r>
          </w:p>
        </w:tc>
        <w:tc>
          <w:tcPr>
            <w:tcW w:w="759" w:type="dxa"/>
            <w:vMerge w:val="restart"/>
            <w:tcBorders>
              <w:bottom w:val="nil"/>
            </w:tcBorders>
            <w:vAlign w:val="top"/>
          </w:tcPr>
          <w:p w14:paraId="17A27F57">
            <w:pPr>
              <w:spacing w:line="248" w:lineRule="auto"/>
              <w:rPr>
                <w:rFonts w:ascii="Arial"/>
                <w:sz w:val="21"/>
              </w:rPr>
            </w:pPr>
          </w:p>
          <w:p w14:paraId="13A15CA9">
            <w:pPr>
              <w:spacing w:line="249" w:lineRule="auto"/>
              <w:rPr>
                <w:rFonts w:ascii="Arial"/>
                <w:sz w:val="21"/>
              </w:rPr>
            </w:pPr>
          </w:p>
          <w:p w14:paraId="13A1EF96">
            <w:pPr>
              <w:pStyle w:val="6"/>
              <w:spacing w:before="58" w:line="219" w:lineRule="auto"/>
              <w:ind w:left="101"/>
              <w:rPr>
                <w:sz w:val="18"/>
                <w:szCs w:val="18"/>
              </w:rPr>
            </w:pPr>
            <w:r>
              <w:rPr>
                <w:spacing w:val="-2"/>
                <w:sz w:val="18"/>
                <w:szCs w:val="18"/>
              </w:rPr>
              <w:t>文秘专</w:t>
            </w:r>
          </w:p>
          <w:p w14:paraId="3B9D4C6C">
            <w:pPr>
              <w:pStyle w:val="6"/>
              <w:spacing w:before="16" w:line="202" w:lineRule="auto"/>
              <w:ind w:left="101"/>
              <w:rPr>
                <w:sz w:val="18"/>
                <w:szCs w:val="18"/>
              </w:rPr>
            </w:pPr>
            <w:r>
              <w:rPr>
                <w:spacing w:val="-2"/>
                <w:sz w:val="18"/>
                <w:szCs w:val="18"/>
              </w:rPr>
              <w:t>业实验</w:t>
            </w:r>
          </w:p>
          <w:p w14:paraId="0574CDFE">
            <w:pPr>
              <w:pStyle w:val="6"/>
              <w:spacing w:line="227" w:lineRule="auto"/>
              <w:ind w:left="191"/>
              <w:rPr>
                <w:sz w:val="18"/>
                <w:szCs w:val="18"/>
              </w:rPr>
            </w:pPr>
            <w:r>
              <w:rPr>
                <w:spacing w:val="-5"/>
                <w:sz w:val="18"/>
                <w:szCs w:val="18"/>
              </w:rPr>
              <w:t>室</w:t>
            </w:r>
            <w:r>
              <w:rPr>
                <w:spacing w:val="35"/>
                <w:w w:val="101"/>
                <w:sz w:val="18"/>
                <w:szCs w:val="18"/>
              </w:rPr>
              <w:t xml:space="preserve"> </w:t>
            </w:r>
            <w:r>
              <w:rPr>
                <w:spacing w:val="-5"/>
                <w:sz w:val="18"/>
                <w:szCs w:val="18"/>
              </w:rPr>
              <w:t>、</w:t>
            </w:r>
          </w:p>
          <w:p w14:paraId="0A1A6F1F">
            <w:pPr>
              <w:pStyle w:val="6"/>
              <w:spacing w:before="31" w:line="220" w:lineRule="auto"/>
              <w:ind w:left="101"/>
              <w:rPr>
                <w:sz w:val="18"/>
                <w:szCs w:val="18"/>
              </w:rPr>
            </w:pPr>
            <w:r>
              <w:rPr>
                <w:spacing w:val="6"/>
                <w:sz w:val="18"/>
                <w:szCs w:val="18"/>
              </w:rPr>
              <w:t>实验台</w:t>
            </w:r>
          </w:p>
        </w:tc>
        <w:tc>
          <w:tcPr>
            <w:tcW w:w="1199" w:type="dxa"/>
            <w:vMerge w:val="restart"/>
            <w:tcBorders>
              <w:bottom w:val="nil"/>
            </w:tcBorders>
            <w:vAlign w:val="top"/>
          </w:tcPr>
          <w:p w14:paraId="0AE72EFB">
            <w:pPr>
              <w:spacing w:line="398" w:lineRule="auto"/>
              <w:rPr>
                <w:rFonts w:ascii="Arial"/>
                <w:sz w:val="21"/>
              </w:rPr>
            </w:pPr>
          </w:p>
          <w:p w14:paraId="254C12F3">
            <w:pPr>
              <w:pStyle w:val="6"/>
              <w:spacing w:before="59" w:line="220" w:lineRule="auto"/>
              <w:ind w:left="12" w:right="72"/>
              <w:jc w:val="both"/>
              <w:rPr>
                <w:sz w:val="18"/>
                <w:szCs w:val="18"/>
              </w:rPr>
            </w:pPr>
            <w:r>
              <w:rPr>
                <w:spacing w:val="-2"/>
                <w:sz w:val="18"/>
                <w:szCs w:val="18"/>
              </w:rPr>
              <w:t>根据一段情境</w:t>
            </w:r>
            <w:r>
              <w:rPr>
                <w:spacing w:val="3"/>
                <w:sz w:val="18"/>
                <w:szCs w:val="18"/>
              </w:rPr>
              <w:t xml:space="preserve"> </w:t>
            </w:r>
            <w:r>
              <w:rPr>
                <w:spacing w:val="-2"/>
                <w:sz w:val="18"/>
                <w:szCs w:val="18"/>
              </w:rPr>
              <w:t>描述，按要求</w:t>
            </w:r>
            <w:r>
              <w:rPr>
                <w:spacing w:val="2"/>
                <w:sz w:val="18"/>
                <w:szCs w:val="18"/>
              </w:rPr>
              <w:t xml:space="preserve"> </w:t>
            </w:r>
            <w:r>
              <w:rPr>
                <w:spacing w:val="4"/>
                <w:sz w:val="18"/>
                <w:szCs w:val="18"/>
              </w:rPr>
              <w:t>对一组散放的</w:t>
            </w:r>
            <w:r>
              <w:rPr>
                <w:sz w:val="18"/>
                <w:szCs w:val="18"/>
              </w:rPr>
              <w:t xml:space="preserve"> 文件进行整理 </w:t>
            </w:r>
            <w:r>
              <w:rPr>
                <w:spacing w:val="6"/>
                <w:sz w:val="18"/>
                <w:szCs w:val="18"/>
              </w:rPr>
              <w:t>归档。</w:t>
            </w:r>
          </w:p>
        </w:tc>
        <w:tc>
          <w:tcPr>
            <w:tcW w:w="1588" w:type="dxa"/>
            <w:vAlign w:val="top"/>
          </w:tcPr>
          <w:p w14:paraId="58F6B6B4">
            <w:pPr>
              <w:pStyle w:val="6"/>
              <w:spacing w:before="48" w:line="195" w:lineRule="auto"/>
              <w:ind w:left="602" w:right="157" w:hanging="449"/>
              <w:rPr>
                <w:sz w:val="18"/>
                <w:szCs w:val="18"/>
              </w:rPr>
            </w:pPr>
            <w:r>
              <w:rPr>
                <w:sz w:val="18"/>
                <w:szCs w:val="18"/>
              </w:rPr>
              <w:t>1.确定“件”并</w:t>
            </w:r>
            <w:r>
              <w:rPr>
                <w:spacing w:val="6"/>
                <w:sz w:val="18"/>
                <w:szCs w:val="18"/>
              </w:rPr>
              <w:t xml:space="preserve"> </w:t>
            </w:r>
            <w:r>
              <w:rPr>
                <w:spacing w:val="-2"/>
                <w:sz w:val="18"/>
                <w:szCs w:val="18"/>
              </w:rPr>
              <w:t>装订</w:t>
            </w:r>
          </w:p>
        </w:tc>
        <w:tc>
          <w:tcPr>
            <w:tcW w:w="3616" w:type="dxa"/>
            <w:vAlign w:val="top"/>
          </w:tcPr>
          <w:p w14:paraId="2A71D356">
            <w:pPr>
              <w:pStyle w:val="6"/>
              <w:spacing w:before="128" w:line="219" w:lineRule="auto"/>
              <w:ind w:left="15"/>
              <w:rPr>
                <w:sz w:val="18"/>
                <w:szCs w:val="18"/>
              </w:rPr>
            </w:pPr>
            <w:r>
              <w:rPr>
                <w:spacing w:val="-1"/>
                <w:sz w:val="18"/>
                <w:szCs w:val="18"/>
              </w:rPr>
              <w:t>要点：应正确确定归档文件的整理保管单位</w:t>
            </w:r>
          </w:p>
        </w:tc>
        <w:tc>
          <w:tcPr>
            <w:tcW w:w="824" w:type="dxa"/>
            <w:vAlign w:val="top"/>
          </w:tcPr>
          <w:p w14:paraId="3A07FD66">
            <w:pPr>
              <w:pStyle w:val="6"/>
              <w:spacing w:before="174" w:line="183" w:lineRule="auto"/>
              <w:ind w:left="319"/>
              <w:rPr>
                <w:sz w:val="18"/>
                <w:szCs w:val="18"/>
              </w:rPr>
            </w:pPr>
            <w:r>
              <w:rPr>
                <w:spacing w:val="-3"/>
                <w:sz w:val="18"/>
                <w:szCs w:val="18"/>
              </w:rPr>
              <w:t>20</w:t>
            </w:r>
          </w:p>
        </w:tc>
      </w:tr>
      <w:tr w14:paraId="008790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0" w:hRule="atLeast"/>
        </w:trPr>
        <w:tc>
          <w:tcPr>
            <w:tcW w:w="734" w:type="dxa"/>
            <w:vMerge w:val="continue"/>
            <w:tcBorders>
              <w:top w:val="nil"/>
              <w:bottom w:val="nil"/>
            </w:tcBorders>
            <w:vAlign w:val="top"/>
          </w:tcPr>
          <w:p w14:paraId="0336DC54">
            <w:pPr>
              <w:rPr>
                <w:rFonts w:ascii="Arial"/>
                <w:sz w:val="21"/>
              </w:rPr>
            </w:pPr>
          </w:p>
        </w:tc>
        <w:tc>
          <w:tcPr>
            <w:tcW w:w="759" w:type="dxa"/>
            <w:vMerge w:val="continue"/>
            <w:tcBorders>
              <w:top w:val="nil"/>
              <w:bottom w:val="nil"/>
            </w:tcBorders>
            <w:vAlign w:val="top"/>
          </w:tcPr>
          <w:p w14:paraId="1BC712EF">
            <w:pPr>
              <w:rPr>
                <w:rFonts w:ascii="Arial"/>
                <w:sz w:val="21"/>
              </w:rPr>
            </w:pPr>
          </w:p>
        </w:tc>
        <w:tc>
          <w:tcPr>
            <w:tcW w:w="1199" w:type="dxa"/>
            <w:vMerge w:val="continue"/>
            <w:tcBorders>
              <w:top w:val="nil"/>
              <w:bottom w:val="nil"/>
            </w:tcBorders>
            <w:vAlign w:val="top"/>
          </w:tcPr>
          <w:p w14:paraId="6310F91E">
            <w:pPr>
              <w:rPr>
                <w:rFonts w:ascii="Arial"/>
                <w:sz w:val="21"/>
              </w:rPr>
            </w:pPr>
          </w:p>
        </w:tc>
        <w:tc>
          <w:tcPr>
            <w:tcW w:w="1588" w:type="dxa"/>
            <w:vAlign w:val="top"/>
          </w:tcPr>
          <w:p w14:paraId="50EED0C1">
            <w:pPr>
              <w:pStyle w:val="6"/>
              <w:spacing w:before="79" w:line="219" w:lineRule="auto"/>
              <w:ind w:left="243"/>
              <w:rPr>
                <w:sz w:val="18"/>
                <w:szCs w:val="18"/>
              </w:rPr>
            </w:pPr>
            <w:r>
              <w:rPr>
                <w:spacing w:val="2"/>
                <w:sz w:val="18"/>
                <w:szCs w:val="18"/>
              </w:rPr>
              <w:t>2.分类与排列</w:t>
            </w:r>
          </w:p>
        </w:tc>
        <w:tc>
          <w:tcPr>
            <w:tcW w:w="3616" w:type="dxa"/>
            <w:vAlign w:val="top"/>
          </w:tcPr>
          <w:p w14:paraId="191DF319">
            <w:pPr>
              <w:pStyle w:val="6"/>
              <w:spacing w:before="79" w:line="219" w:lineRule="auto"/>
              <w:ind w:left="15"/>
              <w:rPr>
                <w:sz w:val="18"/>
                <w:szCs w:val="18"/>
              </w:rPr>
            </w:pPr>
            <w:r>
              <w:rPr>
                <w:spacing w:val="-1"/>
                <w:sz w:val="18"/>
                <w:szCs w:val="18"/>
              </w:rPr>
              <w:t>要点：分类应合理，排列应有顺序</w:t>
            </w:r>
          </w:p>
        </w:tc>
        <w:tc>
          <w:tcPr>
            <w:tcW w:w="824" w:type="dxa"/>
            <w:vAlign w:val="top"/>
          </w:tcPr>
          <w:p w14:paraId="67EF4D3C">
            <w:pPr>
              <w:pStyle w:val="6"/>
              <w:spacing w:before="125" w:line="183" w:lineRule="auto"/>
              <w:ind w:left="319"/>
              <w:rPr>
                <w:sz w:val="18"/>
                <w:szCs w:val="18"/>
              </w:rPr>
            </w:pPr>
            <w:r>
              <w:rPr>
                <w:spacing w:val="-3"/>
                <w:sz w:val="18"/>
                <w:szCs w:val="18"/>
              </w:rPr>
              <w:t>30</w:t>
            </w:r>
          </w:p>
        </w:tc>
      </w:tr>
      <w:tr w14:paraId="417A0E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734" w:type="dxa"/>
            <w:vMerge w:val="continue"/>
            <w:tcBorders>
              <w:top w:val="nil"/>
              <w:bottom w:val="nil"/>
            </w:tcBorders>
            <w:vAlign w:val="top"/>
          </w:tcPr>
          <w:p w14:paraId="15B7C760">
            <w:pPr>
              <w:rPr>
                <w:rFonts w:ascii="Arial"/>
                <w:sz w:val="21"/>
              </w:rPr>
            </w:pPr>
          </w:p>
        </w:tc>
        <w:tc>
          <w:tcPr>
            <w:tcW w:w="759" w:type="dxa"/>
            <w:vMerge w:val="continue"/>
            <w:tcBorders>
              <w:top w:val="nil"/>
              <w:bottom w:val="nil"/>
            </w:tcBorders>
            <w:vAlign w:val="top"/>
          </w:tcPr>
          <w:p w14:paraId="090D4FFF">
            <w:pPr>
              <w:rPr>
                <w:rFonts w:ascii="Arial"/>
                <w:sz w:val="21"/>
              </w:rPr>
            </w:pPr>
          </w:p>
        </w:tc>
        <w:tc>
          <w:tcPr>
            <w:tcW w:w="1199" w:type="dxa"/>
            <w:vMerge w:val="continue"/>
            <w:tcBorders>
              <w:top w:val="nil"/>
              <w:bottom w:val="nil"/>
            </w:tcBorders>
            <w:vAlign w:val="top"/>
          </w:tcPr>
          <w:p w14:paraId="4E573E9E">
            <w:pPr>
              <w:rPr>
                <w:rFonts w:ascii="Arial"/>
                <w:sz w:val="21"/>
              </w:rPr>
            </w:pPr>
          </w:p>
        </w:tc>
        <w:tc>
          <w:tcPr>
            <w:tcW w:w="1588" w:type="dxa"/>
            <w:vAlign w:val="top"/>
          </w:tcPr>
          <w:p w14:paraId="441CA3F3">
            <w:pPr>
              <w:pStyle w:val="6"/>
              <w:spacing w:before="138" w:line="219" w:lineRule="auto"/>
              <w:jc w:val="right"/>
              <w:rPr>
                <w:sz w:val="18"/>
                <w:szCs w:val="18"/>
              </w:rPr>
            </w:pPr>
            <w:r>
              <w:rPr>
                <w:spacing w:val="-6"/>
                <w:sz w:val="18"/>
                <w:szCs w:val="18"/>
              </w:rPr>
              <w:t>3.编号与加盖归档章</w:t>
            </w:r>
          </w:p>
        </w:tc>
        <w:tc>
          <w:tcPr>
            <w:tcW w:w="3616" w:type="dxa"/>
            <w:vAlign w:val="top"/>
          </w:tcPr>
          <w:p w14:paraId="2524770E">
            <w:pPr>
              <w:pStyle w:val="6"/>
              <w:spacing w:before="39" w:line="205" w:lineRule="auto"/>
              <w:ind w:left="15" w:right="178"/>
              <w:rPr>
                <w:sz w:val="18"/>
                <w:szCs w:val="18"/>
              </w:rPr>
            </w:pPr>
            <w:r>
              <w:rPr>
                <w:spacing w:val="-1"/>
                <w:sz w:val="18"/>
                <w:szCs w:val="18"/>
              </w:rPr>
              <w:t>要点：编号应正确，归档章盖章位置的确定</w:t>
            </w:r>
            <w:r>
              <w:rPr>
                <w:spacing w:val="10"/>
                <w:sz w:val="18"/>
                <w:szCs w:val="18"/>
              </w:rPr>
              <w:t xml:space="preserve"> </w:t>
            </w:r>
            <w:r>
              <w:rPr>
                <w:spacing w:val="-2"/>
                <w:sz w:val="18"/>
                <w:szCs w:val="18"/>
              </w:rPr>
              <w:t>及正确填写</w:t>
            </w:r>
          </w:p>
        </w:tc>
        <w:tc>
          <w:tcPr>
            <w:tcW w:w="824" w:type="dxa"/>
            <w:vAlign w:val="top"/>
          </w:tcPr>
          <w:p w14:paraId="32F6789E">
            <w:pPr>
              <w:pStyle w:val="6"/>
              <w:spacing w:before="185" w:line="183" w:lineRule="auto"/>
              <w:ind w:left="319"/>
              <w:rPr>
                <w:sz w:val="18"/>
                <w:szCs w:val="18"/>
              </w:rPr>
            </w:pPr>
            <w:r>
              <w:rPr>
                <w:spacing w:val="-3"/>
                <w:sz w:val="18"/>
                <w:szCs w:val="18"/>
              </w:rPr>
              <w:t>20</w:t>
            </w:r>
          </w:p>
        </w:tc>
      </w:tr>
      <w:tr w14:paraId="2AABC2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734" w:type="dxa"/>
            <w:vMerge w:val="continue"/>
            <w:tcBorders>
              <w:top w:val="nil"/>
              <w:bottom w:val="nil"/>
            </w:tcBorders>
            <w:vAlign w:val="top"/>
          </w:tcPr>
          <w:p w14:paraId="311AFCCF">
            <w:pPr>
              <w:rPr>
                <w:rFonts w:ascii="Arial"/>
                <w:sz w:val="21"/>
              </w:rPr>
            </w:pPr>
          </w:p>
        </w:tc>
        <w:tc>
          <w:tcPr>
            <w:tcW w:w="759" w:type="dxa"/>
            <w:vMerge w:val="continue"/>
            <w:tcBorders>
              <w:top w:val="nil"/>
              <w:bottom w:val="nil"/>
            </w:tcBorders>
            <w:vAlign w:val="top"/>
          </w:tcPr>
          <w:p w14:paraId="1E0235C5">
            <w:pPr>
              <w:rPr>
                <w:rFonts w:ascii="Arial"/>
                <w:sz w:val="21"/>
              </w:rPr>
            </w:pPr>
          </w:p>
        </w:tc>
        <w:tc>
          <w:tcPr>
            <w:tcW w:w="1199" w:type="dxa"/>
            <w:vMerge w:val="continue"/>
            <w:tcBorders>
              <w:top w:val="nil"/>
              <w:bottom w:val="nil"/>
            </w:tcBorders>
            <w:vAlign w:val="top"/>
          </w:tcPr>
          <w:p w14:paraId="45644798">
            <w:pPr>
              <w:rPr>
                <w:rFonts w:ascii="Arial"/>
                <w:sz w:val="21"/>
              </w:rPr>
            </w:pPr>
          </w:p>
        </w:tc>
        <w:tc>
          <w:tcPr>
            <w:tcW w:w="1588" w:type="dxa"/>
            <w:vAlign w:val="top"/>
          </w:tcPr>
          <w:p w14:paraId="023F2B19">
            <w:pPr>
              <w:pStyle w:val="6"/>
              <w:spacing w:before="70" w:line="219" w:lineRule="auto"/>
              <w:ind w:left="513"/>
              <w:rPr>
                <w:sz w:val="18"/>
                <w:szCs w:val="18"/>
              </w:rPr>
            </w:pPr>
            <w:r>
              <w:rPr>
                <w:spacing w:val="8"/>
                <w:sz w:val="18"/>
                <w:szCs w:val="18"/>
              </w:rPr>
              <w:t>4.编目</w:t>
            </w:r>
          </w:p>
        </w:tc>
        <w:tc>
          <w:tcPr>
            <w:tcW w:w="3616" w:type="dxa"/>
            <w:vAlign w:val="top"/>
          </w:tcPr>
          <w:p w14:paraId="5864453A">
            <w:pPr>
              <w:pStyle w:val="6"/>
              <w:spacing w:before="70" w:line="219" w:lineRule="auto"/>
              <w:ind w:left="15"/>
              <w:rPr>
                <w:sz w:val="18"/>
                <w:szCs w:val="18"/>
              </w:rPr>
            </w:pPr>
            <w:r>
              <w:rPr>
                <w:spacing w:val="-1"/>
                <w:sz w:val="18"/>
                <w:szCs w:val="18"/>
              </w:rPr>
              <w:t>要点：正确填写归档文件目录</w:t>
            </w:r>
          </w:p>
        </w:tc>
        <w:tc>
          <w:tcPr>
            <w:tcW w:w="824" w:type="dxa"/>
            <w:vAlign w:val="top"/>
          </w:tcPr>
          <w:p w14:paraId="0511B6CC">
            <w:pPr>
              <w:pStyle w:val="6"/>
              <w:spacing w:before="116" w:line="183" w:lineRule="auto"/>
              <w:ind w:left="319"/>
              <w:rPr>
                <w:sz w:val="18"/>
                <w:szCs w:val="18"/>
              </w:rPr>
            </w:pPr>
            <w:r>
              <w:rPr>
                <w:spacing w:val="-3"/>
                <w:sz w:val="18"/>
                <w:szCs w:val="18"/>
              </w:rPr>
              <w:t>20</w:t>
            </w:r>
          </w:p>
        </w:tc>
      </w:tr>
      <w:tr w14:paraId="403115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0" w:hRule="atLeast"/>
        </w:trPr>
        <w:tc>
          <w:tcPr>
            <w:tcW w:w="734" w:type="dxa"/>
            <w:vMerge w:val="continue"/>
            <w:tcBorders>
              <w:top w:val="nil"/>
            </w:tcBorders>
            <w:vAlign w:val="top"/>
          </w:tcPr>
          <w:p w14:paraId="76DE7556">
            <w:pPr>
              <w:rPr>
                <w:rFonts w:ascii="Arial"/>
                <w:sz w:val="21"/>
              </w:rPr>
            </w:pPr>
          </w:p>
        </w:tc>
        <w:tc>
          <w:tcPr>
            <w:tcW w:w="759" w:type="dxa"/>
            <w:vMerge w:val="continue"/>
            <w:tcBorders>
              <w:top w:val="nil"/>
            </w:tcBorders>
            <w:vAlign w:val="top"/>
          </w:tcPr>
          <w:p w14:paraId="26221F6C">
            <w:pPr>
              <w:rPr>
                <w:rFonts w:ascii="Arial"/>
                <w:sz w:val="21"/>
              </w:rPr>
            </w:pPr>
          </w:p>
        </w:tc>
        <w:tc>
          <w:tcPr>
            <w:tcW w:w="1199" w:type="dxa"/>
            <w:vMerge w:val="continue"/>
            <w:tcBorders>
              <w:top w:val="nil"/>
            </w:tcBorders>
            <w:vAlign w:val="top"/>
          </w:tcPr>
          <w:p w14:paraId="7642BCFC">
            <w:pPr>
              <w:rPr>
                <w:rFonts w:ascii="Arial"/>
                <w:sz w:val="21"/>
              </w:rPr>
            </w:pPr>
          </w:p>
        </w:tc>
        <w:tc>
          <w:tcPr>
            <w:tcW w:w="1588" w:type="dxa"/>
            <w:vAlign w:val="top"/>
          </w:tcPr>
          <w:p w14:paraId="653494FA">
            <w:pPr>
              <w:pStyle w:val="6"/>
              <w:spacing w:before="82" w:line="220" w:lineRule="auto"/>
              <w:ind w:left="513"/>
              <w:rPr>
                <w:sz w:val="18"/>
                <w:szCs w:val="18"/>
              </w:rPr>
            </w:pPr>
            <w:r>
              <w:rPr>
                <w:spacing w:val="-3"/>
                <w:sz w:val="18"/>
                <w:szCs w:val="18"/>
              </w:rPr>
              <w:t>5.装盒</w:t>
            </w:r>
          </w:p>
        </w:tc>
        <w:tc>
          <w:tcPr>
            <w:tcW w:w="3616" w:type="dxa"/>
            <w:vAlign w:val="top"/>
          </w:tcPr>
          <w:p w14:paraId="6E9B80E6">
            <w:pPr>
              <w:pStyle w:val="6"/>
              <w:spacing w:before="81" w:line="219" w:lineRule="auto"/>
              <w:ind w:left="15"/>
              <w:rPr>
                <w:sz w:val="18"/>
                <w:szCs w:val="18"/>
              </w:rPr>
            </w:pPr>
            <w:r>
              <w:rPr>
                <w:spacing w:val="2"/>
                <w:sz w:val="18"/>
                <w:szCs w:val="18"/>
              </w:rPr>
              <w:t>要点：装盒与正确填写档案盒相关项目</w:t>
            </w:r>
          </w:p>
        </w:tc>
        <w:tc>
          <w:tcPr>
            <w:tcW w:w="824" w:type="dxa"/>
            <w:vAlign w:val="top"/>
          </w:tcPr>
          <w:p w14:paraId="75E4A829">
            <w:pPr>
              <w:pStyle w:val="6"/>
              <w:spacing w:before="126" w:line="184" w:lineRule="auto"/>
              <w:ind w:left="319"/>
              <w:rPr>
                <w:sz w:val="18"/>
                <w:szCs w:val="18"/>
              </w:rPr>
            </w:pPr>
            <w:r>
              <w:rPr>
                <w:spacing w:val="-6"/>
                <w:sz w:val="18"/>
                <w:szCs w:val="18"/>
              </w:rPr>
              <w:t>10</w:t>
            </w:r>
          </w:p>
        </w:tc>
      </w:tr>
      <w:tr w14:paraId="628DA4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734" w:type="dxa"/>
            <w:vMerge w:val="restart"/>
            <w:tcBorders>
              <w:bottom w:val="nil"/>
            </w:tcBorders>
            <w:vAlign w:val="top"/>
          </w:tcPr>
          <w:p w14:paraId="6CED312A">
            <w:pPr>
              <w:spacing w:line="401" w:lineRule="auto"/>
              <w:rPr>
                <w:rFonts w:ascii="Arial"/>
                <w:sz w:val="21"/>
              </w:rPr>
            </w:pPr>
          </w:p>
          <w:p w14:paraId="04463EF9">
            <w:pPr>
              <w:pStyle w:val="6"/>
              <w:spacing w:before="58" w:line="220" w:lineRule="auto"/>
              <w:jc w:val="right"/>
              <w:rPr>
                <w:sz w:val="18"/>
                <w:szCs w:val="18"/>
              </w:rPr>
            </w:pPr>
            <w:r>
              <w:rPr>
                <w:spacing w:val="-3"/>
                <w:sz w:val="18"/>
                <w:szCs w:val="18"/>
              </w:rPr>
              <w:t>项目四：</w:t>
            </w:r>
          </w:p>
          <w:p w14:paraId="32ECED6C">
            <w:pPr>
              <w:pStyle w:val="6"/>
              <w:spacing w:before="4" w:line="196" w:lineRule="auto"/>
              <w:ind w:left="85"/>
              <w:rPr>
                <w:sz w:val="18"/>
                <w:szCs w:val="18"/>
              </w:rPr>
            </w:pPr>
            <w:r>
              <w:rPr>
                <w:spacing w:val="-2"/>
                <w:sz w:val="18"/>
                <w:szCs w:val="18"/>
              </w:rPr>
              <w:t>布置会</w:t>
            </w:r>
          </w:p>
          <w:p w14:paraId="399DB72D">
            <w:pPr>
              <w:pStyle w:val="6"/>
              <w:spacing w:line="220" w:lineRule="auto"/>
              <w:ind w:left="265"/>
              <w:rPr>
                <w:sz w:val="18"/>
                <w:szCs w:val="18"/>
              </w:rPr>
            </w:pPr>
            <w:r>
              <w:rPr>
                <w:sz w:val="18"/>
                <w:szCs w:val="18"/>
              </w:rPr>
              <w:t>场</w:t>
            </w:r>
          </w:p>
        </w:tc>
        <w:tc>
          <w:tcPr>
            <w:tcW w:w="759" w:type="dxa"/>
            <w:vMerge w:val="restart"/>
            <w:tcBorders>
              <w:bottom w:val="nil"/>
            </w:tcBorders>
            <w:vAlign w:val="top"/>
          </w:tcPr>
          <w:p w14:paraId="38F31B9A">
            <w:pPr>
              <w:spacing w:line="300" w:lineRule="auto"/>
              <w:rPr>
                <w:rFonts w:ascii="Arial"/>
                <w:sz w:val="21"/>
              </w:rPr>
            </w:pPr>
          </w:p>
          <w:p w14:paraId="59118312">
            <w:pPr>
              <w:pStyle w:val="6"/>
              <w:spacing w:before="59" w:line="206" w:lineRule="auto"/>
              <w:ind w:left="101"/>
              <w:rPr>
                <w:sz w:val="18"/>
                <w:szCs w:val="18"/>
              </w:rPr>
            </w:pPr>
            <w:r>
              <w:rPr>
                <w:spacing w:val="-2"/>
                <w:sz w:val="18"/>
                <w:szCs w:val="18"/>
              </w:rPr>
              <w:t>文秘专</w:t>
            </w:r>
          </w:p>
          <w:p w14:paraId="152269C3">
            <w:pPr>
              <w:pStyle w:val="6"/>
              <w:spacing w:line="220" w:lineRule="auto"/>
              <w:ind w:left="101"/>
              <w:rPr>
                <w:sz w:val="18"/>
                <w:szCs w:val="18"/>
              </w:rPr>
            </w:pPr>
            <w:r>
              <w:rPr>
                <w:spacing w:val="-2"/>
                <w:sz w:val="18"/>
                <w:szCs w:val="18"/>
              </w:rPr>
              <w:t>业实验</w:t>
            </w:r>
          </w:p>
          <w:p w14:paraId="1828083D">
            <w:pPr>
              <w:pStyle w:val="6"/>
              <w:spacing w:before="12" w:line="218" w:lineRule="auto"/>
              <w:ind w:left="191"/>
              <w:rPr>
                <w:sz w:val="18"/>
                <w:szCs w:val="18"/>
              </w:rPr>
            </w:pPr>
            <w:r>
              <w:rPr>
                <w:spacing w:val="-5"/>
                <w:sz w:val="18"/>
                <w:szCs w:val="18"/>
              </w:rPr>
              <w:t>室</w:t>
            </w:r>
            <w:r>
              <w:rPr>
                <w:spacing w:val="35"/>
                <w:w w:val="101"/>
                <w:sz w:val="18"/>
                <w:szCs w:val="18"/>
              </w:rPr>
              <w:t xml:space="preserve"> </w:t>
            </w:r>
            <w:r>
              <w:rPr>
                <w:spacing w:val="-5"/>
                <w:sz w:val="18"/>
                <w:szCs w:val="18"/>
              </w:rPr>
              <w:t>、</w:t>
            </w:r>
          </w:p>
          <w:p w14:paraId="1299697C">
            <w:pPr>
              <w:pStyle w:val="6"/>
              <w:spacing w:line="220" w:lineRule="auto"/>
              <w:ind w:left="101"/>
              <w:rPr>
                <w:sz w:val="18"/>
                <w:szCs w:val="18"/>
              </w:rPr>
            </w:pPr>
            <w:r>
              <w:rPr>
                <w:spacing w:val="6"/>
                <w:sz w:val="18"/>
                <w:szCs w:val="18"/>
              </w:rPr>
              <w:t>实验台</w:t>
            </w:r>
          </w:p>
        </w:tc>
        <w:tc>
          <w:tcPr>
            <w:tcW w:w="1199" w:type="dxa"/>
            <w:vMerge w:val="restart"/>
            <w:tcBorders>
              <w:bottom w:val="nil"/>
            </w:tcBorders>
            <w:vAlign w:val="top"/>
          </w:tcPr>
          <w:p w14:paraId="402357C1">
            <w:pPr>
              <w:spacing w:line="289" w:lineRule="auto"/>
              <w:rPr>
                <w:rFonts w:ascii="Arial"/>
                <w:sz w:val="21"/>
              </w:rPr>
            </w:pPr>
          </w:p>
          <w:p w14:paraId="190FCA84">
            <w:pPr>
              <w:pStyle w:val="6"/>
              <w:spacing w:before="59" w:line="217" w:lineRule="auto"/>
              <w:ind w:left="12" w:right="103"/>
              <w:jc w:val="both"/>
              <w:rPr>
                <w:sz w:val="18"/>
                <w:szCs w:val="18"/>
              </w:rPr>
            </w:pPr>
            <w:r>
              <w:rPr>
                <w:spacing w:val="-2"/>
                <w:sz w:val="18"/>
                <w:szCs w:val="18"/>
              </w:rPr>
              <w:t>根据一段情境</w:t>
            </w:r>
            <w:r>
              <w:rPr>
                <w:spacing w:val="3"/>
                <w:sz w:val="18"/>
                <w:szCs w:val="18"/>
              </w:rPr>
              <w:t xml:space="preserve"> </w:t>
            </w:r>
            <w:r>
              <w:rPr>
                <w:spacing w:val="-2"/>
                <w:sz w:val="18"/>
                <w:szCs w:val="18"/>
              </w:rPr>
              <w:t>描述，按要求</w:t>
            </w:r>
            <w:r>
              <w:rPr>
                <w:spacing w:val="2"/>
                <w:sz w:val="18"/>
                <w:szCs w:val="18"/>
              </w:rPr>
              <w:t xml:space="preserve"> </w:t>
            </w:r>
            <w:r>
              <w:rPr>
                <w:spacing w:val="-2"/>
                <w:sz w:val="18"/>
                <w:szCs w:val="18"/>
              </w:rPr>
              <w:t>做好会场布置</w:t>
            </w:r>
            <w:r>
              <w:rPr>
                <w:spacing w:val="3"/>
                <w:sz w:val="18"/>
                <w:szCs w:val="18"/>
              </w:rPr>
              <w:t xml:space="preserve"> </w:t>
            </w:r>
            <w:r>
              <w:rPr>
                <w:spacing w:val="15"/>
                <w:sz w:val="18"/>
                <w:szCs w:val="18"/>
              </w:rPr>
              <w:t>工作</w:t>
            </w:r>
          </w:p>
        </w:tc>
        <w:tc>
          <w:tcPr>
            <w:tcW w:w="1588" w:type="dxa"/>
            <w:vAlign w:val="top"/>
          </w:tcPr>
          <w:p w14:paraId="4B7E57F3">
            <w:pPr>
              <w:pStyle w:val="6"/>
              <w:spacing w:before="140" w:line="219" w:lineRule="auto"/>
              <w:ind w:left="332"/>
              <w:rPr>
                <w:sz w:val="18"/>
                <w:szCs w:val="18"/>
              </w:rPr>
            </w:pPr>
            <w:r>
              <w:rPr>
                <w:spacing w:val="1"/>
                <w:sz w:val="18"/>
                <w:szCs w:val="18"/>
              </w:rPr>
              <w:t>1.会场座次</w:t>
            </w:r>
          </w:p>
        </w:tc>
        <w:tc>
          <w:tcPr>
            <w:tcW w:w="3616" w:type="dxa"/>
            <w:vAlign w:val="top"/>
          </w:tcPr>
          <w:p w14:paraId="44C486F4">
            <w:pPr>
              <w:pStyle w:val="6"/>
              <w:spacing w:before="70" w:line="189" w:lineRule="auto"/>
              <w:ind w:left="15"/>
              <w:rPr>
                <w:sz w:val="18"/>
                <w:szCs w:val="18"/>
              </w:rPr>
            </w:pPr>
            <w:r>
              <w:rPr>
                <w:spacing w:val="-1"/>
                <w:sz w:val="18"/>
                <w:szCs w:val="18"/>
              </w:rPr>
              <w:t>要点：  根据会议规模、主题选择恰当的会场</w:t>
            </w:r>
            <w:r>
              <w:rPr>
                <w:spacing w:val="10"/>
                <w:sz w:val="18"/>
                <w:szCs w:val="18"/>
              </w:rPr>
              <w:t xml:space="preserve"> </w:t>
            </w:r>
            <w:r>
              <w:rPr>
                <w:spacing w:val="-2"/>
                <w:sz w:val="18"/>
                <w:szCs w:val="18"/>
              </w:rPr>
              <w:t>座位摆放的方式</w:t>
            </w:r>
          </w:p>
        </w:tc>
        <w:tc>
          <w:tcPr>
            <w:tcW w:w="824" w:type="dxa"/>
            <w:vAlign w:val="top"/>
          </w:tcPr>
          <w:p w14:paraId="46E82BBB">
            <w:pPr>
              <w:pStyle w:val="6"/>
              <w:spacing w:before="187" w:line="183" w:lineRule="auto"/>
              <w:ind w:left="319"/>
              <w:rPr>
                <w:sz w:val="18"/>
                <w:szCs w:val="18"/>
              </w:rPr>
            </w:pPr>
            <w:r>
              <w:rPr>
                <w:spacing w:val="-3"/>
                <w:sz w:val="18"/>
                <w:szCs w:val="18"/>
              </w:rPr>
              <w:t>25</w:t>
            </w:r>
          </w:p>
        </w:tc>
      </w:tr>
      <w:tr w14:paraId="001FAA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0" w:hRule="atLeast"/>
        </w:trPr>
        <w:tc>
          <w:tcPr>
            <w:tcW w:w="734" w:type="dxa"/>
            <w:vMerge w:val="continue"/>
            <w:tcBorders>
              <w:top w:val="nil"/>
              <w:bottom w:val="nil"/>
            </w:tcBorders>
            <w:vAlign w:val="top"/>
          </w:tcPr>
          <w:p w14:paraId="2686D8CE">
            <w:pPr>
              <w:rPr>
                <w:rFonts w:ascii="Arial"/>
                <w:sz w:val="21"/>
              </w:rPr>
            </w:pPr>
          </w:p>
        </w:tc>
        <w:tc>
          <w:tcPr>
            <w:tcW w:w="759" w:type="dxa"/>
            <w:vMerge w:val="continue"/>
            <w:tcBorders>
              <w:top w:val="nil"/>
              <w:bottom w:val="nil"/>
            </w:tcBorders>
            <w:vAlign w:val="top"/>
          </w:tcPr>
          <w:p w14:paraId="02740E31">
            <w:pPr>
              <w:rPr>
                <w:rFonts w:ascii="Arial"/>
                <w:sz w:val="21"/>
              </w:rPr>
            </w:pPr>
          </w:p>
        </w:tc>
        <w:tc>
          <w:tcPr>
            <w:tcW w:w="1199" w:type="dxa"/>
            <w:vMerge w:val="continue"/>
            <w:tcBorders>
              <w:top w:val="nil"/>
              <w:bottom w:val="nil"/>
            </w:tcBorders>
            <w:vAlign w:val="top"/>
          </w:tcPr>
          <w:p w14:paraId="45786A25">
            <w:pPr>
              <w:rPr>
                <w:rFonts w:ascii="Arial"/>
                <w:sz w:val="21"/>
              </w:rPr>
            </w:pPr>
          </w:p>
        </w:tc>
        <w:tc>
          <w:tcPr>
            <w:tcW w:w="1588" w:type="dxa"/>
            <w:vAlign w:val="top"/>
          </w:tcPr>
          <w:p w14:paraId="47C00E68">
            <w:pPr>
              <w:pStyle w:val="6"/>
              <w:spacing w:before="82" w:line="219" w:lineRule="auto"/>
              <w:ind w:left="243"/>
              <w:rPr>
                <w:sz w:val="18"/>
                <w:szCs w:val="18"/>
              </w:rPr>
            </w:pPr>
            <w:r>
              <w:rPr>
                <w:spacing w:val="-2"/>
                <w:sz w:val="18"/>
                <w:szCs w:val="18"/>
              </w:rPr>
              <w:t>2.主席台座次</w:t>
            </w:r>
          </w:p>
        </w:tc>
        <w:tc>
          <w:tcPr>
            <w:tcW w:w="3616" w:type="dxa"/>
            <w:vAlign w:val="top"/>
          </w:tcPr>
          <w:p w14:paraId="484DF6C1">
            <w:pPr>
              <w:pStyle w:val="6"/>
              <w:spacing w:before="82" w:line="219" w:lineRule="auto"/>
              <w:ind w:left="15"/>
              <w:rPr>
                <w:sz w:val="18"/>
                <w:szCs w:val="18"/>
              </w:rPr>
            </w:pPr>
            <w:r>
              <w:rPr>
                <w:spacing w:val="-1"/>
                <w:sz w:val="18"/>
                <w:szCs w:val="18"/>
              </w:rPr>
              <w:t>要点：主席台座次的安排</w:t>
            </w:r>
          </w:p>
        </w:tc>
        <w:tc>
          <w:tcPr>
            <w:tcW w:w="824" w:type="dxa"/>
            <w:vAlign w:val="top"/>
          </w:tcPr>
          <w:p w14:paraId="5E952979">
            <w:pPr>
              <w:pStyle w:val="6"/>
              <w:spacing w:before="128" w:line="183" w:lineRule="auto"/>
              <w:ind w:left="319"/>
              <w:rPr>
                <w:sz w:val="18"/>
                <w:szCs w:val="18"/>
              </w:rPr>
            </w:pPr>
            <w:r>
              <w:rPr>
                <w:spacing w:val="-3"/>
                <w:sz w:val="18"/>
                <w:szCs w:val="18"/>
              </w:rPr>
              <w:t>25</w:t>
            </w:r>
          </w:p>
        </w:tc>
      </w:tr>
      <w:tr w14:paraId="063DDB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734" w:type="dxa"/>
            <w:vMerge w:val="continue"/>
            <w:tcBorders>
              <w:top w:val="nil"/>
              <w:bottom w:val="nil"/>
            </w:tcBorders>
            <w:vAlign w:val="top"/>
          </w:tcPr>
          <w:p w14:paraId="7B2264C5">
            <w:pPr>
              <w:rPr>
                <w:rFonts w:ascii="Arial"/>
                <w:sz w:val="21"/>
              </w:rPr>
            </w:pPr>
          </w:p>
        </w:tc>
        <w:tc>
          <w:tcPr>
            <w:tcW w:w="759" w:type="dxa"/>
            <w:vMerge w:val="continue"/>
            <w:tcBorders>
              <w:top w:val="nil"/>
              <w:bottom w:val="nil"/>
            </w:tcBorders>
            <w:vAlign w:val="top"/>
          </w:tcPr>
          <w:p w14:paraId="02CF442D">
            <w:pPr>
              <w:rPr>
                <w:rFonts w:ascii="Arial"/>
                <w:sz w:val="21"/>
              </w:rPr>
            </w:pPr>
          </w:p>
        </w:tc>
        <w:tc>
          <w:tcPr>
            <w:tcW w:w="1199" w:type="dxa"/>
            <w:vMerge w:val="continue"/>
            <w:tcBorders>
              <w:top w:val="nil"/>
              <w:bottom w:val="nil"/>
            </w:tcBorders>
            <w:vAlign w:val="top"/>
          </w:tcPr>
          <w:p w14:paraId="3AB1ABDC">
            <w:pPr>
              <w:rPr>
                <w:rFonts w:ascii="Arial"/>
                <w:sz w:val="21"/>
              </w:rPr>
            </w:pPr>
          </w:p>
        </w:tc>
        <w:tc>
          <w:tcPr>
            <w:tcW w:w="1588" w:type="dxa"/>
            <w:vAlign w:val="top"/>
          </w:tcPr>
          <w:p w14:paraId="1F696701">
            <w:pPr>
              <w:pStyle w:val="6"/>
              <w:spacing w:before="72" w:line="219" w:lineRule="auto"/>
              <w:ind w:left="153"/>
              <w:rPr>
                <w:sz w:val="18"/>
                <w:szCs w:val="18"/>
              </w:rPr>
            </w:pPr>
            <w:r>
              <w:rPr>
                <w:spacing w:val="-2"/>
                <w:sz w:val="18"/>
                <w:szCs w:val="18"/>
              </w:rPr>
              <w:t>3.其他人员座次</w:t>
            </w:r>
          </w:p>
        </w:tc>
        <w:tc>
          <w:tcPr>
            <w:tcW w:w="3616" w:type="dxa"/>
            <w:vAlign w:val="top"/>
          </w:tcPr>
          <w:p w14:paraId="3FB55AAC">
            <w:pPr>
              <w:pStyle w:val="6"/>
              <w:spacing w:before="72" w:line="219" w:lineRule="auto"/>
              <w:ind w:left="15"/>
              <w:rPr>
                <w:sz w:val="18"/>
                <w:szCs w:val="18"/>
              </w:rPr>
            </w:pPr>
            <w:r>
              <w:rPr>
                <w:spacing w:val="-1"/>
                <w:sz w:val="18"/>
                <w:szCs w:val="18"/>
              </w:rPr>
              <w:t>要点：场内其他人员座位安排</w:t>
            </w:r>
          </w:p>
        </w:tc>
        <w:tc>
          <w:tcPr>
            <w:tcW w:w="824" w:type="dxa"/>
            <w:vAlign w:val="top"/>
          </w:tcPr>
          <w:p w14:paraId="28A9081B">
            <w:pPr>
              <w:pStyle w:val="6"/>
              <w:spacing w:before="117" w:line="184" w:lineRule="auto"/>
              <w:ind w:left="319"/>
              <w:rPr>
                <w:sz w:val="18"/>
                <w:szCs w:val="18"/>
              </w:rPr>
            </w:pPr>
            <w:r>
              <w:rPr>
                <w:spacing w:val="-6"/>
                <w:sz w:val="18"/>
                <w:szCs w:val="18"/>
              </w:rPr>
              <w:t>10</w:t>
            </w:r>
          </w:p>
        </w:tc>
      </w:tr>
      <w:tr w14:paraId="4F3265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0" w:hRule="atLeast"/>
        </w:trPr>
        <w:tc>
          <w:tcPr>
            <w:tcW w:w="734" w:type="dxa"/>
            <w:vMerge w:val="continue"/>
            <w:tcBorders>
              <w:top w:val="nil"/>
            </w:tcBorders>
            <w:vAlign w:val="top"/>
          </w:tcPr>
          <w:p w14:paraId="1CF1574D">
            <w:pPr>
              <w:rPr>
                <w:rFonts w:ascii="Arial"/>
                <w:sz w:val="21"/>
              </w:rPr>
            </w:pPr>
          </w:p>
        </w:tc>
        <w:tc>
          <w:tcPr>
            <w:tcW w:w="759" w:type="dxa"/>
            <w:vMerge w:val="continue"/>
            <w:tcBorders>
              <w:top w:val="nil"/>
            </w:tcBorders>
            <w:vAlign w:val="top"/>
          </w:tcPr>
          <w:p w14:paraId="5C542126">
            <w:pPr>
              <w:rPr>
                <w:rFonts w:ascii="Arial"/>
                <w:sz w:val="21"/>
              </w:rPr>
            </w:pPr>
          </w:p>
        </w:tc>
        <w:tc>
          <w:tcPr>
            <w:tcW w:w="1199" w:type="dxa"/>
            <w:vMerge w:val="continue"/>
            <w:tcBorders>
              <w:top w:val="nil"/>
            </w:tcBorders>
            <w:vAlign w:val="top"/>
          </w:tcPr>
          <w:p w14:paraId="2FB9C23C">
            <w:pPr>
              <w:rPr>
                <w:rFonts w:ascii="Arial"/>
                <w:sz w:val="21"/>
              </w:rPr>
            </w:pPr>
          </w:p>
        </w:tc>
        <w:tc>
          <w:tcPr>
            <w:tcW w:w="1588" w:type="dxa"/>
            <w:vAlign w:val="top"/>
          </w:tcPr>
          <w:p w14:paraId="63E83A4A">
            <w:pPr>
              <w:pStyle w:val="6"/>
              <w:spacing w:before="82" w:line="219" w:lineRule="auto"/>
              <w:ind w:left="332"/>
              <w:rPr>
                <w:sz w:val="18"/>
                <w:szCs w:val="18"/>
              </w:rPr>
            </w:pPr>
            <w:r>
              <w:rPr>
                <w:spacing w:val="-2"/>
                <w:sz w:val="18"/>
                <w:szCs w:val="18"/>
              </w:rPr>
              <w:t>4.会场美饰</w:t>
            </w:r>
          </w:p>
        </w:tc>
        <w:tc>
          <w:tcPr>
            <w:tcW w:w="3616" w:type="dxa"/>
            <w:vAlign w:val="top"/>
          </w:tcPr>
          <w:p w14:paraId="0C7D3F1A">
            <w:pPr>
              <w:pStyle w:val="6"/>
              <w:spacing w:before="82" w:line="219" w:lineRule="auto"/>
              <w:ind w:left="15"/>
              <w:rPr>
                <w:sz w:val="18"/>
                <w:szCs w:val="18"/>
              </w:rPr>
            </w:pPr>
            <w:r>
              <w:rPr>
                <w:spacing w:val="1"/>
                <w:sz w:val="18"/>
                <w:szCs w:val="18"/>
              </w:rPr>
              <w:t>要点：会场装饰要求、装饰物的恰当使用</w:t>
            </w:r>
          </w:p>
        </w:tc>
        <w:tc>
          <w:tcPr>
            <w:tcW w:w="824" w:type="dxa"/>
            <w:vAlign w:val="top"/>
          </w:tcPr>
          <w:p w14:paraId="0ABE73D5">
            <w:pPr>
              <w:pStyle w:val="6"/>
              <w:spacing w:before="129" w:line="183" w:lineRule="auto"/>
              <w:ind w:left="319"/>
              <w:rPr>
                <w:sz w:val="18"/>
                <w:szCs w:val="18"/>
              </w:rPr>
            </w:pPr>
            <w:r>
              <w:rPr>
                <w:spacing w:val="-2"/>
                <w:sz w:val="18"/>
                <w:szCs w:val="18"/>
              </w:rPr>
              <w:t>40</w:t>
            </w:r>
          </w:p>
        </w:tc>
      </w:tr>
      <w:tr w14:paraId="7D4005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9" w:hRule="atLeast"/>
        </w:trPr>
        <w:tc>
          <w:tcPr>
            <w:tcW w:w="734" w:type="dxa"/>
            <w:vMerge w:val="restart"/>
            <w:tcBorders>
              <w:bottom w:val="nil"/>
            </w:tcBorders>
            <w:vAlign w:val="top"/>
          </w:tcPr>
          <w:p w14:paraId="3433BC65">
            <w:pPr>
              <w:spacing w:line="244" w:lineRule="auto"/>
              <w:rPr>
                <w:rFonts w:ascii="Arial"/>
                <w:sz w:val="21"/>
              </w:rPr>
            </w:pPr>
          </w:p>
          <w:p w14:paraId="4730BB43">
            <w:pPr>
              <w:pStyle w:val="6"/>
              <w:spacing w:before="58" w:line="220" w:lineRule="auto"/>
              <w:jc w:val="right"/>
              <w:rPr>
                <w:sz w:val="18"/>
                <w:szCs w:val="18"/>
              </w:rPr>
            </w:pPr>
            <w:r>
              <w:rPr>
                <w:spacing w:val="-3"/>
                <w:sz w:val="18"/>
                <w:szCs w:val="18"/>
              </w:rPr>
              <w:t>项目五：</w:t>
            </w:r>
          </w:p>
          <w:p w14:paraId="148263D4">
            <w:pPr>
              <w:pStyle w:val="6"/>
              <w:spacing w:before="4" w:line="195" w:lineRule="auto"/>
              <w:ind w:left="85"/>
              <w:rPr>
                <w:sz w:val="18"/>
                <w:szCs w:val="18"/>
              </w:rPr>
            </w:pPr>
            <w:r>
              <w:rPr>
                <w:spacing w:val="10"/>
                <w:sz w:val="18"/>
                <w:szCs w:val="18"/>
              </w:rPr>
              <w:t>秘书日</w:t>
            </w:r>
          </w:p>
          <w:p w14:paraId="5636B6AD">
            <w:pPr>
              <w:pStyle w:val="6"/>
              <w:spacing w:line="219" w:lineRule="auto"/>
              <w:ind w:left="85"/>
              <w:rPr>
                <w:sz w:val="18"/>
                <w:szCs w:val="18"/>
              </w:rPr>
            </w:pPr>
            <w:r>
              <w:rPr>
                <w:spacing w:val="-3"/>
                <w:sz w:val="18"/>
                <w:szCs w:val="18"/>
              </w:rPr>
              <w:t>常事务</w:t>
            </w:r>
          </w:p>
          <w:p w14:paraId="07BB0D7E">
            <w:pPr>
              <w:pStyle w:val="6"/>
              <w:spacing w:before="30" w:line="224" w:lineRule="auto"/>
              <w:ind w:left="175"/>
              <w:rPr>
                <w:sz w:val="18"/>
                <w:szCs w:val="18"/>
              </w:rPr>
            </w:pPr>
            <w:r>
              <w:rPr>
                <w:spacing w:val="-3"/>
                <w:sz w:val="18"/>
                <w:szCs w:val="18"/>
              </w:rPr>
              <w:t>处理</w:t>
            </w:r>
          </w:p>
        </w:tc>
        <w:tc>
          <w:tcPr>
            <w:tcW w:w="759" w:type="dxa"/>
            <w:vMerge w:val="restart"/>
            <w:tcBorders>
              <w:bottom w:val="nil"/>
            </w:tcBorders>
            <w:vAlign w:val="top"/>
          </w:tcPr>
          <w:p w14:paraId="63283E2E">
            <w:pPr>
              <w:spacing w:line="322" w:lineRule="auto"/>
              <w:rPr>
                <w:rFonts w:ascii="Arial"/>
                <w:sz w:val="21"/>
              </w:rPr>
            </w:pPr>
          </w:p>
          <w:p w14:paraId="4417FCC8">
            <w:pPr>
              <w:pStyle w:val="6"/>
              <w:spacing w:before="59" w:line="227" w:lineRule="auto"/>
              <w:ind w:left="101" w:right="100"/>
              <w:jc w:val="both"/>
              <w:rPr>
                <w:sz w:val="18"/>
                <w:szCs w:val="18"/>
              </w:rPr>
            </w:pPr>
            <w:r>
              <w:rPr>
                <w:spacing w:val="2"/>
                <w:sz w:val="18"/>
                <w:szCs w:val="18"/>
              </w:rPr>
              <w:t>多媒体</w:t>
            </w:r>
            <w:r>
              <w:rPr>
                <w:sz w:val="18"/>
                <w:szCs w:val="18"/>
              </w:rPr>
              <w:t xml:space="preserve"> </w:t>
            </w:r>
            <w:r>
              <w:rPr>
                <w:spacing w:val="-4"/>
                <w:sz w:val="18"/>
                <w:szCs w:val="18"/>
              </w:rPr>
              <w:t>实验室</w:t>
            </w:r>
            <w:r>
              <w:rPr>
                <w:sz w:val="18"/>
                <w:szCs w:val="18"/>
              </w:rPr>
              <w:t xml:space="preserve"> </w:t>
            </w:r>
            <w:r>
              <w:rPr>
                <w:spacing w:val="-3"/>
                <w:sz w:val="18"/>
                <w:szCs w:val="18"/>
              </w:rPr>
              <w:t>或教室</w:t>
            </w:r>
          </w:p>
        </w:tc>
        <w:tc>
          <w:tcPr>
            <w:tcW w:w="1199" w:type="dxa"/>
            <w:vMerge w:val="restart"/>
            <w:tcBorders>
              <w:bottom w:val="nil"/>
            </w:tcBorders>
            <w:vAlign w:val="top"/>
          </w:tcPr>
          <w:p w14:paraId="0E1E5211">
            <w:pPr>
              <w:pStyle w:val="6"/>
              <w:spacing w:before="75" w:line="216" w:lineRule="auto"/>
              <w:ind w:left="12"/>
              <w:rPr>
                <w:sz w:val="18"/>
                <w:szCs w:val="18"/>
              </w:rPr>
            </w:pPr>
            <w:r>
              <w:rPr>
                <w:spacing w:val="-11"/>
                <w:sz w:val="18"/>
                <w:szCs w:val="18"/>
              </w:rPr>
              <w:t xml:space="preserve">播 </w:t>
            </w:r>
            <w:r>
              <w:rPr>
                <w:spacing w:val="-10"/>
                <w:sz w:val="18"/>
                <w:szCs w:val="18"/>
              </w:rPr>
              <w:t>放</w:t>
            </w:r>
            <w:r>
              <w:rPr>
                <w:spacing w:val="-5"/>
                <w:sz w:val="18"/>
                <w:szCs w:val="18"/>
              </w:rPr>
              <w:t xml:space="preserve"> </w:t>
            </w:r>
            <w:r>
              <w:rPr>
                <w:spacing w:val="-10"/>
                <w:sz w:val="18"/>
                <w:szCs w:val="18"/>
              </w:rPr>
              <w:t>一</w:t>
            </w:r>
            <w:r>
              <w:rPr>
                <w:spacing w:val="-9"/>
                <w:sz w:val="18"/>
                <w:szCs w:val="18"/>
              </w:rPr>
              <w:t xml:space="preserve"> </w:t>
            </w:r>
            <w:r>
              <w:rPr>
                <w:spacing w:val="-10"/>
                <w:sz w:val="18"/>
                <w:szCs w:val="18"/>
              </w:rPr>
              <w:t>段</w:t>
            </w:r>
            <w:r>
              <w:rPr>
                <w:spacing w:val="-11"/>
                <w:sz w:val="18"/>
                <w:szCs w:val="18"/>
              </w:rPr>
              <w:t xml:space="preserve"> </w:t>
            </w:r>
            <w:r>
              <w:rPr>
                <w:spacing w:val="-8"/>
                <w:sz w:val="18"/>
                <w:szCs w:val="18"/>
              </w:rPr>
              <w:t>视</w:t>
            </w:r>
            <w:r>
              <w:rPr>
                <w:sz w:val="18"/>
                <w:szCs w:val="18"/>
              </w:rPr>
              <w:t xml:space="preserve"> </w:t>
            </w:r>
            <w:r>
              <w:rPr>
                <w:spacing w:val="-3"/>
                <w:sz w:val="18"/>
                <w:szCs w:val="18"/>
              </w:rPr>
              <w:t>频，要求学生</w:t>
            </w:r>
            <w:r>
              <w:rPr>
                <w:sz w:val="18"/>
                <w:szCs w:val="18"/>
              </w:rPr>
              <w:t xml:space="preserve">  </w:t>
            </w:r>
            <w:r>
              <w:rPr>
                <w:spacing w:val="-2"/>
                <w:sz w:val="18"/>
                <w:szCs w:val="18"/>
              </w:rPr>
              <w:t>观看后找出秘</w:t>
            </w:r>
            <w:r>
              <w:rPr>
                <w:spacing w:val="2"/>
                <w:sz w:val="18"/>
                <w:szCs w:val="18"/>
              </w:rPr>
              <w:t xml:space="preserve">  </w:t>
            </w:r>
            <w:r>
              <w:rPr>
                <w:spacing w:val="1"/>
                <w:sz w:val="18"/>
                <w:szCs w:val="18"/>
              </w:rPr>
              <w:t xml:space="preserve">书工作中的不  妥之处并说明  </w:t>
            </w:r>
            <w:r>
              <w:rPr>
                <w:spacing w:val="13"/>
                <w:sz w:val="18"/>
                <w:szCs w:val="18"/>
              </w:rPr>
              <w:t>理由</w:t>
            </w:r>
          </w:p>
        </w:tc>
        <w:tc>
          <w:tcPr>
            <w:tcW w:w="1588" w:type="dxa"/>
            <w:vAlign w:val="top"/>
          </w:tcPr>
          <w:p w14:paraId="71600B46">
            <w:pPr>
              <w:pStyle w:val="6"/>
              <w:spacing w:before="84" w:line="220" w:lineRule="auto"/>
              <w:ind w:left="332"/>
              <w:rPr>
                <w:sz w:val="18"/>
                <w:szCs w:val="18"/>
              </w:rPr>
            </w:pPr>
            <w:r>
              <w:rPr>
                <w:spacing w:val="1"/>
                <w:sz w:val="18"/>
                <w:szCs w:val="18"/>
              </w:rPr>
              <w:t>1.接打电话</w:t>
            </w:r>
          </w:p>
        </w:tc>
        <w:tc>
          <w:tcPr>
            <w:tcW w:w="3616" w:type="dxa"/>
            <w:vAlign w:val="top"/>
          </w:tcPr>
          <w:p w14:paraId="08BF2B92">
            <w:pPr>
              <w:pStyle w:val="6"/>
              <w:spacing w:before="82" w:line="219" w:lineRule="auto"/>
              <w:ind w:left="15"/>
              <w:rPr>
                <w:sz w:val="18"/>
                <w:szCs w:val="18"/>
              </w:rPr>
            </w:pPr>
            <w:r>
              <w:rPr>
                <w:spacing w:val="-1"/>
                <w:sz w:val="18"/>
                <w:szCs w:val="18"/>
              </w:rPr>
              <w:t>要点：接打电话基本原则、注意的问题</w:t>
            </w:r>
          </w:p>
        </w:tc>
        <w:tc>
          <w:tcPr>
            <w:tcW w:w="824" w:type="dxa"/>
            <w:vAlign w:val="top"/>
          </w:tcPr>
          <w:p w14:paraId="04E7EB44">
            <w:pPr>
              <w:pStyle w:val="6"/>
              <w:spacing w:before="129" w:line="183" w:lineRule="auto"/>
              <w:ind w:left="319"/>
              <w:rPr>
                <w:sz w:val="18"/>
                <w:szCs w:val="18"/>
              </w:rPr>
            </w:pPr>
            <w:r>
              <w:rPr>
                <w:spacing w:val="-3"/>
                <w:sz w:val="18"/>
                <w:szCs w:val="18"/>
              </w:rPr>
              <w:t>30</w:t>
            </w:r>
          </w:p>
        </w:tc>
      </w:tr>
      <w:tr w14:paraId="3BB8D1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0" w:hRule="atLeast"/>
        </w:trPr>
        <w:tc>
          <w:tcPr>
            <w:tcW w:w="734" w:type="dxa"/>
            <w:vMerge w:val="continue"/>
            <w:tcBorders>
              <w:top w:val="nil"/>
              <w:bottom w:val="nil"/>
            </w:tcBorders>
            <w:vAlign w:val="top"/>
          </w:tcPr>
          <w:p w14:paraId="1160A44C">
            <w:pPr>
              <w:rPr>
                <w:rFonts w:ascii="Arial"/>
                <w:sz w:val="21"/>
              </w:rPr>
            </w:pPr>
          </w:p>
        </w:tc>
        <w:tc>
          <w:tcPr>
            <w:tcW w:w="759" w:type="dxa"/>
            <w:vMerge w:val="continue"/>
            <w:tcBorders>
              <w:top w:val="nil"/>
              <w:bottom w:val="nil"/>
            </w:tcBorders>
            <w:vAlign w:val="top"/>
          </w:tcPr>
          <w:p w14:paraId="0F0A692B">
            <w:pPr>
              <w:rPr>
                <w:rFonts w:ascii="Arial"/>
                <w:sz w:val="21"/>
              </w:rPr>
            </w:pPr>
          </w:p>
        </w:tc>
        <w:tc>
          <w:tcPr>
            <w:tcW w:w="1199" w:type="dxa"/>
            <w:vMerge w:val="continue"/>
            <w:tcBorders>
              <w:top w:val="nil"/>
              <w:bottom w:val="nil"/>
            </w:tcBorders>
            <w:vAlign w:val="top"/>
          </w:tcPr>
          <w:p w14:paraId="25135FB8">
            <w:pPr>
              <w:rPr>
                <w:rFonts w:ascii="Arial"/>
                <w:sz w:val="21"/>
              </w:rPr>
            </w:pPr>
          </w:p>
        </w:tc>
        <w:tc>
          <w:tcPr>
            <w:tcW w:w="1588" w:type="dxa"/>
            <w:vAlign w:val="top"/>
          </w:tcPr>
          <w:p w14:paraId="5F900062">
            <w:pPr>
              <w:pStyle w:val="6"/>
              <w:spacing w:before="84" w:line="219" w:lineRule="auto"/>
              <w:ind w:left="332"/>
              <w:rPr>
                <w:sz w:val="18"/>
                <w:szCs w:val="18"/>
              </w:rPr>
            </w:pPr>
            <w:r>
              <w:rPr>
                <w:spacing w:val="-2"/>
                <w:sz w:val="18"/>
                <w:szCs w:val="18"/>
              </w:rPr>
              <w:t>2.来客接待</w:t>
            </w:r>
          </w:p>
        </w:tc>
        <w:tc>
          <w:tcPr>
            <w:tcW w:w="3616" w:type="dxa"/>
            <w:vAlign w:val="top"/>
          </w:tcPr>
          <w:p w14:paraId="0042F083">
            <w:pPr>
              <w:pStyle w:val="6"/>
              <w:spacing w:before="84" w:line="219" w:lineRule="auto"/>
              <w:ind w:left="15"/>
              <w:rPr>
                <w:sz w:val="18"/>
                <w:szCs w:val="18"/>
              </w:rPr>
            </w:pPr>
            <w:r>
              <w:rPr>
                <w:spacing w:val="1"/>
                <w:sz w:val="18"/>
                <w:szCs w:val="18"/>
              </w:rPr>
              <w:t>要点：来客接待要求、原则</w:t>
            </w:r>
          </w:p>
        </w:tc>
        <w:tc>
          <w:tcPr>
            <w:tcW w:w="824" w:type="dxa"/>
            <w:vAlign w:val="top"/>
          </w:tcPr>
          <w:p w14:paraId="34F78514">
            <w:pPr>
              <w:pStyle w:val="6"/>
              <w:spacing w:before="130" w:line="183" w:lineRule="auto"/>
              <w:ind w:left="319"/>
              <w:rPr>
                <w:sz w:val="18"/>
                <w:szCs w:val="18"/>
              </w:rPr>
            </w:pPr>
            <w:r>
              <w:rPr>
                <w:spacing w:val="-3"/>
                <w:sz w:val="18"/>
                <w:szCs w:val="18"/>
              </w:rPr>
              <w:t>30</w:t>
            </w:r>
          </w:p>
        </w:tc>
      </w:tr>
      <w:tr w14:paraId="03C1D3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0" w:hRule="atLeast"/>
        </w:trPr>
        <w:tc>
          <w:tcPr>
            <w:tcW w:w="734" w:type="dxa"/>
            <w:vMerge w:val="continue"/>
            <w:tcBorders>
              <w:top w:val="nil"/>
              <w:bottom w:val="nil"/>
            </w:tcBorders>
            <w:vAlign w:val="top"/>
          </w:tcPr>
          <w:p w14:paraId="732EA5AA">
            <w:pPr>
              <w:rPr>
                <w:rFonts w:ascii="Arial"/>
                <w:sz w:val="21"/>
              </w:rPr>
            </w:pPr>
          </w:p>
        </w:tc>
        <w:tc>
          <w:tcPr>
            <w:tcW w:w="759" w:type="dxa"/>
            <w:vMerge w:val="continue"/>
            <w:tcBorders>
              <w:top w:val="nil"/>
              <w:bottom w:val="nil"/>
            </w:tcBorders>
            <w:vAlign w:val="top"/>
          </w:tcPr>
          <w:p w14:paraId="44B41C02">
            <w:pPr>
              <w:rPr>
                <w:rFonts w:ascii="Arial"/>
                <w:sz w:val="21"/>
              </w:rPr>
            </w:pPr>
          </w:p>
        </w:tc>
        <w:tc>
          <w:tcPr>
            <w:tcW w:w="1199" w:type="dxa"/>
            <w:vMerge w:val="continue"/>
            <w:tcBorders>
              <w:top w:val="nil"/>
              <w:bottom w:val="nil"/>
            </w:tcBorders>
            <w:vAlign w:val="top"/>
          </w:tcPr>
          <w:p w14:paraId="4824A031">
            <w:pPr>
              <w:rPr>
                <w:rFonts w:ascii="Arial"/>
                <w:sz w:val="21"/>
              </w:rPr>
            </w:pPr>
          </w:p>
        </w:tc>
        <w:tc>
          <w:tcPr>
            <w:tcW w:w="1588" w:type="dxa"/>
            <w:vAlign w:val="top"/>
          </w:tcPr>
          <w:p w14:paraId="080B0301">
            <w:pPr>
              <w:pStyle w:val="6"/>
              <w:spacing w:before="73" w:line="219" w:lineRule="auto"/>
              <w:ind w:left="332"/>
              <w:rPr>
                <w:sz w:val="18"/>
                <w:szCs w:val="18"/>
              </w:rPr>
            </w:pPr>
            <w:r>
              <w:rPr>
                <w:spacing w:val="-1"/>
                <w:sz w:val="18"/>
                <w:szCs w:val="18"/>
              </w:rPr>
              <w:t>3.印章管理</w:t>
            </w:r>
          </w:p>
        </w:tc>
        <w:tc>
          <w:tcPr>
            <w:tcW w:w="3616" w:type="dxa"/>
            <w:vAlign w:val="top"/>
          </w:tcPr>
          <w:p w14:paraId="53AF639E">
            <w:pPr>
              <w:pStyle w:val="6"/>
              <w:spacing w:before="73" w:line="219" w:lineRule="auto"/>
              <w:ind w:left="15"/>
              <w:rPr>
                <w:sz w:val="18"/>
                <w:szCs w:val="18"/>
              </w:rPr>
            </w:pPr>
            <w:r>
              <w:rPr>
                <w:spacing w:val="1"/>
                <w:sz w:val="18"/>
                <w:szCs w:val="18"/>
              </w:rPr>
              <w:t>要点：印章的保管与使用</w:t>
            </w:r>
          </w:p>
        </w:tc>
        <w:tc>
          <w:tcPr>
            <w:tcW w:w="824" w:type="dxa"/>
            <w:vAlign w:val="top"/>
          </w:tcPr>
          <w:p w14:paraId="74209F87">
            <w:pPr>
              <w:pStyle w:val="6"/>
              <w:spacing w:before="120" w:line="183" w:lineRule="auto"/>
              <w:ind w:left="319"/>
              <w:rPr>
                <w:sz w:val="18"/>
                <w:szCs w:val="18"/>
              </w:rPr>
            </w:pPr>
            <w:r>
              <w:rPr>
                <w:spacing w:val="-3"/>
                <w:sz w:val="18"/>
                <w:szCs w:val="18"/>
              </w:rPr>
              <w:t>30</w:t>
            </w:r>
          </w:p>
        </w:tc>
      </w:tr>
      <w:tr w14:paraId="5037F8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0" w:hRule="atLeast"/>
        </w:trPr>
        <w:tc>
          <w:tcPr>
            <w:tcW w:w="734" w:type="dxa"/>
            <w:vMerge w:val="continue"/>
            <w:tcBorders>
              <w:top w:val="nil"/>
            </w:tcBorders>
            <w:vAlign w:val="top"/>
          </w:tcPr>
          <w:p w14:paraId="33DDABFC">
            <w:pPr>
              <w:rPr>
                <w:rFonts w:ascii="Arial"/>
                <w:sz w:val="21"/>
              </w:rPr>
            </w:pPr>
          </w:p>
        </w:tc>
        <w:tc>
          <w:tcPr>
            <w:tcW w:w="759" w:type="dxa"/>
            <w:vMerge w:val="continue"/>
            <w:tcBorders>
              <w:top w:val="nil"/>
            </w:tcBorders>
            <w:vAlign w:val="top"/>
          </w:tcPr>
          <w:p w14:paraId="6CA4084A">
            <w:pPr>
              <w:rPr>
                <w:rFonts w:ascii="Arial"/>
                <w:sz w:val="21"/>
              </w:rPr>
            </w:pPr>
          </w:p>
        </w:tc>
        <w:tc>
          <w:tcPr>
            <w:tcW w:w="1199" w:type="dxa"/>
            <w:vMerge w:val="continue"/>
            <w:tcBorders>
              <w:top w:val="nil"/>
            </w:tcBorders>
            <w:vAlign w:val="top"/>
          </w:tcPr>
          <w:p w14:paraId="4B443224">
            <w:pPr>
              <w:rPr>
                <w:rFonts w:ascii="Arial"/>
                <w:sz w:val="21"/>
              </w:rPr>
            </w:pPr>
          </w:p>
        </w:tc>
        <w:tc>
          <w:tcPr>
            <w:tcW w:w="1588" w:type="dxa"/>
            <w:vAlign w:val="top"/>
          </w:tcPr>
          <w:p w14:paraId="42804116">
            <w:pPr>
              <w:pStyle w:val="6"/>
              <w:spacing w:before="83" w:line="219" w:lineRule="auto"/>
              <w:ind w:left="423"/>
              <w:rPr>
                <w:sz w:val="18"/>
                <w:szCs w:val="18"/>
              </w:rPr>
            </w:pPr>
            <w:r>
              <w:rPr>
                <w:spacing w:val="-2"/>
                <w:sz w:val="18"/>
                <w:szCs w:val="18"/>
              </w:rPr>
              <w:t>4.介绍信</w:t>
            </w:r>
          </w:p>
        </w:tc>
        <w:tc>
          <w:tcPr>
            <w:tcW w:w="3616" w:type="dxa"/>
            <w:vAlign w:val="top"/>
          </w:tcPr>
          <w:p w14:paraId="0BF2EEA7">
            <w:pPr>
              <w:pStyle w:val="6"/>
              <w:spacing w:before="83" w:line="219" w:lineRule="auto"/>
              <w:ind w:left="15"/>
              <w:rPr>
                <w:sz w:val="18"/>
                <w:szCs w:val="18"/>
              </w:rPr>
            </w:pPr>
            <w:r>
              <w:rPr>
                <w:spacing w:val="-1"/>
                <w:sz w:val="18"/>
                <w:szCs w:val="18"/>
              </w:rPr>
              <w:t>要点：开具介绍信的要求</w:t>
            </w:r>
          </w:p>
        </w:tc>
        <w:tc>
          <w:tcPr>
            <w:tcW w:w="824" w:type="dxa"/>
            <w:vAlign w:val="top"/>
          </w:tcPr>
          <w:p w14:paraId="0CC15784">
            <w:pPr>
              <w:pStyle w:val="6"/>
              <w:spacing w:before="130" w:line="184" w:lineRule="auto"/>
              <w:ind w:left="319"/>
              <w:rPr>
                <w:sz w:val="18"/>
                <w:szCs w:val="18"/>
              </w:rPr>
            </w:pPr>
            <w:r>
              <w:rPr>
                <w:spacing w:val="-6"/>
                <w:sz w:val="18"/>
                <w:szCs w:val="18"/>
              </w:rPr>
              <w:t>10</w:t>
            </w:r>
          </w:p>
        </w:tc>
      </w:tr>
      <w:tr w14:paraId="4570C8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734" w:type="dxa"/>
            <w:vMerge w:val="restart"/>
            <w:tcBorders>
              <w:bottom w:val="nil"/>
            </w:tcBorders>
            <w:vAlign w:val="top"/>
          </w:tcPr>
          <w:p w14:paraId="1ACEE501">
            <w:pPr>
              <w:spacing w:line="245" w:lineRule="auto"/>
              <w:rPr>
                <w:rFonts w:ascii="Arial"/>
                <w:sz w:val="21"/>
              </w:rPr>
            </w:pPr>
          </w:p>
          <w:p w14:paraId="2D042127">
            <w:pPr>
              <w:pStyle w:val="6"/>
              <w:spacing w:before="58" w:line="214" w:lineRule="auto"/>
              <w:ind w:left="83" w:hanging="68"/>
              <w:jc w:val="both"/>
              <w:rPr>
                <w:sz w:val="18"/>
                <w:szCs w:val="18"/>
              </w:rPr>
            </w:pPr>
            <w:r>
              <w:rPr>
                <w:spacing w:val="-3"/>
                <w:sz w:val="18"/>
                <w:szCs w:val="18"/>
              </w:rPr>
              <w:t>项目六：</w:t>
            </w:r>
            <w:r>
              <w:rPr>
                <w:sz w:val="18"/>
                <w:szCs w:val="18"/>
              </w:rPr>
              <w:t xml:space="preserve"> </w:t>
            </w:r>
            <w:r>
              <w:rPr>
                <w:spacing w:val="-1"/>
                <w:sz w:val="18"/>
                <w:szCs w:val="18"/>
              </w:rPr>
              <w:t>口头语</w:t>
            </w:r>
            <w:r>
              <w:rPr>
                <w:sz w:val="18"/>
                <w:szCs w:val="18"/>
              </w:rPr>
              <w:t xml:space="preserve">  </w:t>
            </w:r>
            <w:r>
              <w:rPr>
                <w:spacing w:val="-1"/>
                <w:sz w:val="18"/>
                <w:szCs w:val="18"/>
              </w:rPr>
              <w:t>言表达</w:t>
            </w:r>
          </w:p>
        </w:tc>
        <w:tc>
          <w:tcPr>
            <w:tcW w:w="759" w:type="dxa"/>
            <w:vMerge w:val="restart"/>
            <w:tcBorders>
              <w:bottom w:val="nil"/>
            </w:tcBorders>
            <w:vAlign w:val="top"/>
          </w:tcPr>
          <w:p w14:paraId="7833D977">
            <w:pPr>
              <w:spacing w:line="342" w:lineRule="auto"/>
              <w:rPr>
                <w:rFonts w:ascii="Arial"/>
                <w:sz w:val="21"/>
              </w:rPr>
            </w:pPr>
          </w:p>
          <w:p w14:paraId="53DC3C65">
            <w:pPr>
              <w:pStyle w:val="6"/>
              <w:spacing w:before="58" w:line="224" w:lineRule="auto"/>
              <w:ind w:left="101" w:right="100"/>
              <w:jc w:val="both"/>
              <w:rPr>
                <w:sz w:val="18"/>
                <w:szCs w:val="18"/>
              </w:rPr>
            </w:pPr>
            <w:r>
              <w:rPr>
                <w:spacing w:val="2"/>
                <w:sz w:val="18"/>
                <w:szCs w:val="18"/>
              </w:rPr>
              <w:t>多媒体</w:t>
            </w:r>
            <w:r>
              <w:rPr>
                <w:sz w:val="18"/>
                <w:szCs w:val="18"/>
              </w:rPr>
              <w:t xml:space="preserve"> </w:t>
            </w:r>
            <w:r>
              <w:rPr>
                <w:spacing w:val="-4"/>
                <w:sz w:val="18"/>
                <w:szCs w:val="18"/>
              </w:rPr>
              <w:t>实验室</w:t>
            </w:r>
            <w:r>
              <w:rPr>
                <w:sz w:val="18"/>
                <w:szCs w:val="18"/>
              </w:rPr>
              <w:t xml:space="preserve"> </w:t>
            </w:r>
            <w:r>
              <w:rPr>
                <w:spacing w:val="-3"/>
                <w:sz w:val="18"/>
                <w:szCs w:val="18"/>
              </w:rPr>
              <w:t>或教室</w:t>
            </w:r>
          </w:p>
        </w:tc>
        <w:tc>
          <w:tcPr>
            <w:tcW w:w="1199" w:type="dxa"/>
            <w:vMerge w:val="restart"/>
            <w:tcBorders>
              <w:bottom w:val="nil"/>
            </w:tcBorders>
            <w:vAlign w:val="top"/>
          </w:tcPr>
          <w:p w14:paraId="31830AD0">
            <w:pPr>
              <w:spacing w:line="243" w:lineRule="auto"/>
              <w:rPr>
                <w:rFonts w:ascii="Arial"/>
                <w:sz w:val="21"/>
              </w:rPr>
            </w:pPr>
          </w:p>
          <w:p w14:paraId="78F0977C">
            <w:pPr>
              <w:pStyle w:val="6"/>
              <w:spacing w:before="58" w:line="217" w:lineRule="auto"/>
              <w:ind w:left="12" w:right="62" w:firstLine="19"/>
              <w:jc w:val="both"/>
              <w:rPr>
                <w:sz w:val="18"/>
                <w:szCs w:val="18"/>
              </w:rPr>
            </w:pPr>
            <w:r>
              <w:rPr>
                <w:spacing w:val="2"/>
                <w:sz w:val="18"/>
                <w:szCs w:val="18"/>
              </w:rPr>
              <w:t>出示一组图片</w:t>
            </w:r>
            <w:r>
              <w:rPr>
                <w:spacing w:val="1"/>
                <w:sz w:val="18"/>
                <w:szCs w:val="18"/>
              </w:rPr>
              <w:t xml:space="preserve"> </w:t>
            </w:r>
            <w:r>
              <w:rPr>
                <w:sz w:val="18"/>
                <w:szCs w:val="18"/>
              </w:rPr>
              <w:t xml:space="preserve">或资料，要求 </w:t>
            </w:r>
            <w:r>
              <w:rPr>
                <w:spacing w:val="-1"/>
                <w:sz w:val="18"/>
                <w:szCs w:val="18"/>
              </w:rPr>
              <w:t>学生表达自己</w:t>
            </w:r>
            <w:r>
              <w:rPr>
                <w:spacing w:val="4"/>
                <w:sz w:val="18"/>
                <w:szCs w:val="18"/>
              </w:rPr>
              <w:t xml:space="preserve"> </w:t>
            </w:r>
            <w:r>
              <w:rPr>
                <w:sz w:val="18"/>
                <w:szCs w:val="18"/>
              </w:rPr>
              <w:t>的观点。</w:t>
            </w:r>
          </w:p>
        </w:tc>
        <w:tc>
          <w:tcPr>
            <w:tcW w:w="1588" w:type="dxa"/>
            <w:vAlign w:val="top"/>
          </w:tcPr>
          <w:p w14:paraId="58821C84">
            <w:pPr>
              <w:pStyle w:val="6"/>
              <w:spacing w:before="85" w:line="220" w:lineRule="auto"/>
              <w:ind w:left="513"/>
              <w:rPr>
                <w:sz w:val="18"/>
                <w:szCs w:val="18"/>
              </w:rPr>
            </w:pPr>
            <w:r>
              <w:rPr>
                <w:spacing w:val="4"/>
                <w:sz w:val="18"/>
                <w:szCs w:val="18"/>
              </w:rPr>
              <w:t>1.观点</w:t>
            </w:r>
          </w:p>
        </w:tc>
        <w:tc>
          <w:tcPr>
            <w:tcW w:w="3616" w:type="dxa"/>
            <w:vAlign w:val="top"/>
          </w:tcPr>
          <w:p w14:paraId="5EC7707E">
            <w:pPr>
              <w:pStyle w:val="6"/>
              <w:spacing w:before="84" w:line="219" w:lineRule="auto"/>
              <w:ind w:left="15"/>
              <w:rPr>
                <w:sz w:val="18"/>
                <w:szCs w:val="18"/>
              </w:rPr>
            </w:pPr>
            <w:r>
              <w:rPr>
                <w:spacing w:val="-1"/>
                <w:sz w:val="18"/>
                <w:szCs w:val="18"/>
              </w:rPr>
              <w:t>要点：观点鲜明、准确理解</w:t>
            </w:r>
          </w:p>
        </w:tc>
        <w:tc>
          <w:tcPr>
            <w:tcW w:w="824" w:type="dxa"/>
            <w:vAlign w:val="top"/>
          </w:tcPr>
          <w:p w14:paraId="41944440">
            <w:pPr>
              <w:pStyle w:val="6"/>
              <w:spacing w:before="130" w:line="183" w:lineRule="auto"/>
              <w:ind w:left="319"/>
              <w:rPr>
                <w:sz w:val="18"/>
                <w:szCs w:val="18"/>
              </w:rPr>
            </w:pPr>
            <w:r>
              <w:rPr>
                <w:spacing w:val="-2"/>
                <w:sz w:val="18"/>
                <w:szCs w:val="18"/>
              </w:rPr>
              <w:t>40</w:t>
            </w:r>
          </w:p>
        </w:tc>
      </w:tr>
      <w:tr w14:paraId="7184B6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0" w:hRule="atLeast"/>
        </w:trPr>
        <w:tc>
          <w:tcPr>
            <w:tcW w:w="734" w:type="dxa"/>
            <w:vMerge w:val="continue"/>
            <w:tcBorders>
              <w:top w:val="nil"/>
              <w:bottom w:val="nil"/>
            </w:tcBorders>
            <w:vAlign w:val="top"/>
          </w:tcPr>
          <w:p w14:paraId="4A6E0D03">
            <w:pPr>
              <w:rPr>
                <w:rFonts w:ascii="Arial"/>
                <w:sz w:val="21"/>
              </w:rPr>
            </w:pPr>
          </w:p>
        </w:tc>
        <w:tc>
          <w:tcPr>
            <w:tcW w:w="759" w:type="dxa"/>
            <w:vMerge w:val="continue"/>
            <w:tcBorders>
              <w:top w:val="nil"/>
              <w:bottom w:val="nil"/>
            </w:tcBorders>
            <w:vAlign w:val="top"/>
          </w:tcPr>
          <w:p w14:paraId="0CFCA580">
            <w:pPr>
              <w:rPr>
                <w:rFonts w:ascii="Arial"/>
                <w:sz w:val="21"/>
              </w:rPr>
            </w:pPr>
          </w:p>
        </w:tc>
        <w:tc>
          <w:tcPr>
            <w:tcW w:w="1199" w:type="dxa"/>
            <w:vMerge w:val="continue"/>
            <w:tcBorders>
              <w:top w:val="nil"/>
              <w:bottom w:val="nil"/>
            </w:tcBorders>
            <w:vAlign w:val="top"/>
          </w:tcPr>
          <w:p w14:paraId="2846C745">
            <w:pPr>
              <w:rPr>
                <w:rFonts w:ascii="Arial"/>
                <w:sz w:val="21"/>
              </w:rPr>
            </w:pPr>
          </w:p>
        </w:tc>
        <w:tc>
          <w:tcPr>
            <w:tcW w:w="1588" w:type="dxa"/>
            <w:vAlign w:val="top"/>
          </w:tcPr>
          <w:p w14:paraId="09675BB1">
            <w:pPr>
              <w:pStyle w:val="6"/>
              <w:spacing w:before="85" w:line="221" w:lineRule="auto"/>
              <w:ind w:left="513"/>
              <w:rPr>
                <w:sz w:val="18"/>
                <w:szCs w:val="18"/>
              </w:rPr>
            </w:pPr>
            <w:r>
              <w:rPr>
                <w:spacing w:val="3"/>
                <w:sz w:val="18"/>
                <w:szCs w:val="18"/>
              </w:rPr>
              <w:t>2.语言</w:t>
            </w:r>
          </w:p>
        </w:tc>
        <w:tc>
          <w:tcPr>
            <w:tcW w:w="3616" w:type="dxa"/>
            <w:vAlign w:val="top"/>
          </w:tcPr>
          <w:p w14:paraId="3D21A0E9">
            <w:pPr>
              <w:pStyle w:val="6"/>
              <w:spacing w:before="84" w:line="219" w:lineRule="auto"/>
              <w:ind w:left="15"/>
              <w:rPr>
                <w:sz w:val="18"/>
                <w:szCs w:val="18"/>
              </w:rPr>
            </w:pPr>
            <w:r>
              <w:rPr>
                <w:spacing w:val="-1"/>
                <w:sz w:val="18"/>
                <w:szCs w:val="18"/>
              </w:rPr>
              <w:t>要点：使用普通话</w:t>
            </w:r>
          </w:p>
        </w:tc>
        <w:tc>
          <w:tcPr>
            <w:tcW w:w="824" w:type="dxa"/>
            <w:vAlign w:val="top"/>
          </w:tcPr>
          <w:p w14:paraId="7F235908">
            <w:pPr>
              <w:pStyle w:val="6"/>
              <w:spacing w:before="130" w:line="183" w:lineRule="auto"/>
              <w:ind w:left="319"/>
              <w:rPr>
                <w:sz w:val="18"/>
                <w:szCs w:val="18"/>
              </w:rPr>
            </w:pPr>
            <w:r>
              <w:rPr>
                <w:spacing w:val="-3"/>
                <w:sz w:val="18"/>
                <w:szCs w:val="18"/>
              </w:rPr>
              <w:t>25</w:t>
            </w:r>
          </w:p>
        </w:tc>
      </w:tr>
      <w:tr w14:paraId="4D0F0E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734" w:type="dxa"/>
            <w:vMerge w:val="continue"/>
            <w:tcBorders>
              <w:top w:val="nil"/>
              <w:bottom w:val="nil"/>
            </w:tcBorders>
            <w:vAlign w:val="top"/>
          </w:tcPr>
          <w:p w14:paraId="21214531">
            <w:pPr>
              <w:rPr>
                <w:rFonts w:ascii="Arial"/>
                <w:sz w:val="21"/>
              </w:rPr>
            </w:pPr>
          </w:p>
        </w:tc>
        <w:tc>
          <w:tcPr>
            <w:tcW w:w="759" w:type="dxa"/>
            <w:vMerge w:val="continue"/>
            <w:tcBorders>
              <w:top w:val="nil"/>
              <w:bottom w:val="nil"/>
            </w:tcBorders>
            <w:vAlign w:val="top"/>
          </w:tcPr>
          <w:p w14:paraId="7DD920E7">
            <w:pPr>
              <w:rPr>
                <w:rFonts w:ascii="Arial"/>
                <w:sz w:val="21"/>
              </w:rPr>
            </w:pPr>
          </w:p>
        </w:tc>
        <w:tc>
          <w:tcPr>
            <w:tcW w:w="1199" w:type="dxa"/>
            <w:vMerge w:val="continue"/>
            <w:tcBorders>
              <w:top w:val="nil"/>
              <w:bottom w:val="nil"/>
            </w:tcBorders>
            <w:vAlign w:val="top"/>
          </w:tcPr>
          <w:p w14:paraId="2D9AECC4">
            <w:pPr>
              <w:rPr>
                <w:rFonts w:ascii="Arial"/>
                <w:sz w:val="21"/>
              </w:rPr>
            </w:pPr>
          </w:p>
        </w:tc>
        <w:tc>
          <w:tcPr>
            <w:tcW w:w="1588" w:type="dxa"/>
            <w:vAlign w:val="top"/>
          </w:tcPr>
          <w:p w14:paraId="2BC99AF5">
            <w:pPr>
              <w:pStyle w:val="6"/>
              <w:spacing w:before="85" w:line="221" w:lineRule="auto"/>
              <w:ind w:left="513"/>
              <w:rPr>
                <w:sz w:val="18"/>
                <w:szCs w:val="18"/>
              </w:rPr>
            </w:pPr>
            <w:r>
              <w:rPr>
                <w:spacing w:val="-3"/>
                <w:sz w:val="18"/>
                <w:szCs w:val="18"/>
              </w:rPr>
              <w:t>3.表达</w:t>
            </w:r>
          </w:p>
        </w:tc>
        <w:tc>
          <w:tcPr>
            <w:tcW w:w="3616" w:type="dxa"/>
            <w:vAlign w:val="top"/>
          </w:tcPr>
          <w:p w14:paraId="098DA674">
            <w:pPr>
              <w:pStyle w:val="6"/>
              <w:spacing w:before="83" w:line="219" w:lineRule="auto"/>
              <w:ind w:left="15"/>
              <w:rPr>
                <w:sz w:val="18"/>
                <w:szCs w:val="18"/>
              </w:rPr>
            </w:pPr>
            <w:r>
              <w:rPr>
                <w:spacing w:val="-1"/>
                <w:sz w:val="18"/>
                <w:szCs w:val="18"/>
              </w:rPr>
              <w:t>要点：语言精练、思路清晰</w:t>
            </w:r>
          </w:p>
        </w:tc>
        <w:tc>
          <w:tcPr>
            <w:tcW w:w="824" w:type="dxa"/>
            <w:vAlign w:val="top"/>
          </w:tcPr>
          <w:p w14:paraId="0D9C9020">
            <w:pPr>
              <w:pStyle w:val="6"/>
              <w:spacing w:before="130" w:line="183" w:lineRule="auto"/>
              <w:ind w:left="319"/>
              <w:rPr>
                <w:sz w:val="18"/>
                <w:szCs w:val="18"/>
              </w:rPr>
            </w:pPr>
            <w:r>
              <w:rPr>
                <w:spacing w:val="-3"/>
                <w:sz w:val="18"/>
                <w:szCs w:val="18"/>
              </w:rPr>
              <w:t>25</w:t>
            </w:r>
          </w:p>
        </w:tc>
      </w:tr>
      <w:tr w14:paraId="489581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0" w:hRule="atLeast"/>
        </w:trPr>
        <w:tc>
          <w:tcPr>
            <w:tcW w:w="734" w:type="dxa"/>
            <w:vMerge w:val="continue"/>
            <w:tcBorders>
              <w:top w:val="nil"/>
            </w:tcBorders>
            <w:vAlign w:val="top"/>
          </w:tcPr>
          <w:p w14:paraId="6D53B93A">
            <w:pPr>
              <w:rPr>
                <w:rFonts w:ascii="Arial"/>
                <w:sz w:val="21"/>
              </w:rPr>
            </w:pPr>
          </w:p>
        </w:tc>
        <w:tc>
          <w:tcPr>
            <w:tcW w:w="759" w:type="dxa"/>
            <w:vMerge w:val="continue"/>
            <w:tcBorders>
              <w:top w:val="nil"/>
            </w:tcBorders>
            <w:vAlign w:val="top"/>
          </w:tcPr>
          <w:p w14:paraId="107E675C">
            <w:pPr>
              <w:rPr>
                <w:rFonts w:ascii="Arial"/>
                <w:sz w:val="21"/>
              </w:rPr>
            </w:pPr>
          </w:p>
        </w:tc>
        <w:tc>
          <w:tcPr>
            <w:tcW w:w="1199" w:type="dxa"/>
            <w:vMerge w:val="continue"/>
            <w:tcBorders>
              <w:top w:val="nil"/>
            </w:tcBorders>
            <w:vAlign w:val="top"/>
          </w:tcPr>
          <w:p w14:paraId="2BC3415E">
            <w:pPr>
              <w:rPr>
                <w:rFonts w:ascii="Arial"/>
                <w:sz w:val="21"/>
              </w:rPr>
            </w:pPr>
          </w:p>
        </w:tc>
        <w:tc>
          <w:tcPr>
            <w:tcW w:w="1588" w:type="dxa"/>
            <w:vAlign w:val="top"/>
          </w:tcPr>
          <w:p w14:paraId="7B12D704">
            <w:pPr>
              <w:pStyle w:val="6"/>
              <w:spacing w:before="74" w:line="219" w:lineRule="auto"/>
              <w:ind w:left="513"/>
              <w:rPr>
                <w:sz w:val="18"/>
                <w:szCs w:val="18"/>
              </w:rPr>
            </w:pPr>
            <w:r>
              <w:rPr>
                <w:spacing w:val="-1"/>
                <w:sz w:val="18"/>
                <w:szCs w:val="18"/>
              </w:rPr>
              <w:t>4.形象</w:t>
            </w:r>
          </w:p>
        </w:tc>
        <w:tc>
          <w:tcPr>
            <w:tcW w:w="3616" w:type="dxa"/>
            <w:vAlign w:val="top"/>
          </w:tcPr>
          <w:p w14:paraId="52554B56">
            <w:pPr>
              <w:pStyle w:val="6"/>
              <w:spacing w:before="73" w:line="219" w:lineRule="auto"/>
              <w:ind w:left="15"/>
              <w:rPr>
                <w:sz w:val="18"/>
                <w:szCs w:val="18"/>
              </w:rPr>
            </w:pPr>
            <w:r>
              <w:rPr>
                <w:spacing w:val="-1"/>
                <w:sz w:val="18"/>
                <w:szCs w:val="18"/>
              </w:rPr>
              <w:t>要点：举止得体大方，注意仪容仪表</w:t>
            </w:r>
          </w:p>
        </w:tc>
        <w:tc>
          <w:tcPr>
            <w:tcW w:w="824" w:type="dxa"/>
            <w:vAlign w:val="top"/>
          </w:tcPr>
          <w:p w14:paraId="2AF4229B">
            <w:pPr>
              <w:pStyle w:val="6"/>
              <w:spacing w:before="119" w:line="184" w:lineRule="auto"/>
              <w:ind w:left="319"/>
              <w:rPr>
                <w:sz w:val="18"/>
                <w:szCs w:val="18"/>
              </w:rPr>
            </w:pPr>
            <w:r>
              <w:rPr>
                <w:spacing w:val="-6"/>
                <w:sz w:val="18"/>
                <w:szCs w:val="18"/>
              </w:rPr>
              <w:t>10</w:t>
            </w:r>
          </w:p>
        </w:tc>
      </w:tr>
      <w:tr w14:paraId="1F9600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9" w:hRule="atLeast"/>
        </w:trPr>
        <w:tc>
          <w:tcPr>
            <w:tcW w:w="734" w:type="dxa"/>
            <w:vMerge w:val="restart"/>
            <w:tcBorders>
              <w:bottom w:val="nil"/>
            </w:tcBorders>
            <w:vAlign w:val="top"/>
          </w:tcPr>
          <w:p w14:paraId="7325B9CD">
            <w:pPr>
              <w:spacing w:line="394" w:lineRule="auto"/>
              <w:rPr>
                <w:rFonts w:ascii="Arial"/>
                <w:sz w:val="21"/>
              </w:rPr>
            </w:pPr>
          </w:p>
          <w:p w14:paraId="4DF0FD55">
            <w:pPr>
              <w:pStyle w:val="6"/>
              <w:spacing w:before="58" w:line="220" w:lineRule="auto"/>
              <w:ind w:left="175"/>
              <w:rPr>
                <w:sz w:val="18"/>
                <w:szCs w:val="18"/>
              </w:rPr>
            </w:pPr>
            <w:r>
              <w:rPr>
                <w:spacing w:val="-5"/>
                <w:sz w:val="18"/>
                <w:szCs w:val="18"/>
              </w:rPr>
              <w:t>项 目</w:t>
            </w:r>
          </w:p>
          <w:p w14:paraId="3BDFF6B1">
            <w:pPr>
              <w:pStyle w:val="6"/>
              <w:spacing w:before="5" w:line="224" w:lineRule="auto"/>
              <w:ind w:left="225"/>
              <w:rPr>
                <w:sz w:val="18"/>
                <w:szCs w:val="18"/>
              </w:rPr>
            </w:pPr>
            <w:r>
              <w:rPr>
                <w:spacing w:val="-4"/>
                <w:sz w:val="18"/>
                <w:szCs w:val="18"/>
              </w:rPr>
              <w:t>七</w:t>
            </w:r>
            <w:r>
              <w:rPr>
                <w:spacing w:val="-42"/>
                <w:sz w:val="18"/>
                <w:szCs w:val="18"/>
              </w:rPr>
              <w:t xml:space="preserve"> </w:t>
            </w:r>
            <w:r>
              <w:rPr>
                <w:spacing w:val="-4"/>
                <w:sz w:val="18"/>
                <w:szCs w:val="18"/>
              </w:rPr>
              <w:t>：</w:t>
            </w:r>
          </w:p>
          <w:p w14:paraId="38B92FDE">
            <w:pPr>
              <w:pStyle w:val="6"/>
              <w:spacing w:line="217" w:lineRule="auto"/>
              <w:ind w:left="85"/>
              <w:rPr>
                <w:sz w:val="18"/>
                <w:szCs w:val="18"/>
              </w:rPr>
            </w:pPr>
            <w:r>
              <w:rPr>
                <w:spacing w:val="-3"/>
                <w:sz w:val="18"/>
                <w:szCs w:val="18"/>
              </w:rPr>
              <w:t>书面语</w:t>
            </w:r>
          </w:p>
          <w:p w14:paraId="24E161B6">
            <w:pPr>
              <w:pStyle w:val="6"/>
              <w:spacing w:line="220" w:lineRule="auto"/>
              <w:ind w:left="85"/>
              <w:rPr>
                <w:sz w:val="18"/>
                <w:szCs w:val="18"/>
              </w:rPr>
            </w:pPr>
            <w:r>
              <w:rPr>
                <w:spacing w:val="2"/>
                <w:sz w:val="18"/>
                <w:szCs w:val="18"/>
              </w:rPr>
              <w:t>言表达</w:t>
            </w:r>
          </w:p>
        </w:tc>
        <w:tc>
          <w:tcPr>
            <w:tcW w:w="759" w:type="dxa"/>
            <w:vMerge w:val="restart"/>
            <w:tcBorders>
              <w:bottom w:val="nil"/>
            </w:tcBorders>
            <w:vAlign w:val="top"/>
          </w:tcPr>
          <w:p w14:paraId="359956B8">
            <w:pPr>
              <w:spacing w:line="350" w:lineRule="auto"/>
              <w:rPr>
                <w:rFonts w:ascii="Arial"/>
                <w:sz w:val="21"/>
              </w:rPr>
            </w:pPr>
          </w:p>
          <w:p w14:paraId="74F9580B">
            <w:pPr>
              <w:spacing w:line="351" w:lineRule="auto"/>
              <w:rPr>
                <w:rFonts w:ascii="Arial"/>
                <w:sz w:val="21"/>
              </w:rPr>
            </w:pPr>
          </w:p>
          <w:p w14:paraId="2A245215">
            <w:pPr>
              <w:pStyle w:val="6"/>
              <w:spacing w:before="59" w:line="219" w:lineRule="auto"/>
              <w:ind w:left="191"/>
              <w:rPr>
                <w:sz w:val="18"/>
                <w:szCs w:val="18"/>
              </w:rPr>
            </w:pPr>
            <w:r>
              <w:rPr>
                <w:spacing w:val="-3"/>
                <w:sz w:val="18"/>
                <w:szCs w:val="18"/>
              </w:rPr>
              <w:t>教室</w:t>
            </w:r>
          </w:p>
        </w:tc>
        <w:tc>
          <w:tcPr>
            <w:tcW w:w="1199" w:type="dxa"/>
            <w:vMerge w:val="restart"/>
            <w:tcBorders>
              <w:bottom w:val="nil"/>
            </w:tcBorders>
            <w:vAlign w:val="top"/>
          </w:tcPr>
          <w:p w14:paraId="264E1B32">
            <w:pPr>
              <w:pStyle w:val="6"/>
              <w:spacing w:before="235" w:line="211" w:lineRule="auto"/>
              <w:ind w:left="32" w:right="42" w:firstLine="20"/>
              <w:rPr>
                <w:sz w:val="18"/>
                <w:szCs w:val="18"/>
              </w:rPr>
            </w:pPr>
            <w:r>
              <w:rPr>
                <w:spacing w:val="2"/>
                <w:sz w:val="18"/>
                <w:szCs w:val="18"/>
              </w:rPr>
              <w:t>出示一组图片</w:t>
            </w:r>
            <w:r>
              <w:rPr>
                <w:spacing w:val="1"/>
                <w:sz w:val="18"/>
                <w:szCs w:val="18"/>
              </w:rPr>
              <w:t xml:space="preserve"> </w:t>
            </w:r>
            <w:r>
              <w:rPr>
                <w:spacing w:val="-1"/>
                <w:sz w:val="18"/>
                <w:szCs w:val="18"/>
              </w:rPr>
              <w:t>或文字材料，</w:t>
            </w:r>
          </w:p>
          <w:p w14:paraId="53E3281A">
            <w:pPr>
              <w:pStyle w:val="6"/>
              <w:spacing w:before="27" w:line="215" w:lineRule="auto"/>
              <w:ind w:left="12"/>
              <w:rPr>
                <w:sz w:val="18"/>
                <w:szCs w:val="18"/>
              </w:rPr>
            </w:pPr>
            <w:r>
              <w:rPr>
                <w:spacing w:val="-10"/>
                <w:sz w:val="18"/>
                <w:szCs w:val="18"/>
              </w:rPr>
              <w:t>要 求 学 生 能</w:t>
            </w:r>
            <w:r>
              <w:rPr>
                <w:spacing w:val="5"/>
                <w:sz w:val="18"/>
                <w:szCs w:val="18"/>
              </w:rPr>
              <w:t xml:space="preserve"> </w:t>
            </w:r>
            <w:r>
              <w:rPr>
                <w:spacing w:val="1"/>
                <w:sz w:val="18"/>
                <w:szCs w:val="18"/>
              </w:rPr>
              <w:t xml:space="preserve">根据要求写出  </w:t>
            </w:r>
            <w:r>
              <w:rPr>
                <w:spacing w:val="-1"/>
                <w:sz w:val="18"/>
                <w:szCs w:val="18"/>
              </w:rPr>
              <w:t>一篇或两篇短</w:t>
            </w:r>
            <w:r>
              <w:rPr>
                <w:spacing w:val="1"/>
                <w:sz w:val="18"/>
                <w:szCs w:val="18"/>
              </w:rPr>
              <w:t xml:space="preserve">  </w:t>
            </w:r>
            <w:r>
              <w:rPr>
                <w:spacing w:val="8"/>
                <w:sz w:val="18"/>
                <w:szCs w:val="18"/>
              </w:rPr>
              <w:t>文。</w:t>
            </w:r>
          </w:p>
        </w:tc>
        <w:tc>
          <w:tcPr>
            <w:tcW w:w="1588" w:type="dxa"/>
            <w:vAlign w:val="top"/>
          </w:tcPr>
          <w:p w14:paraId="5B6BE743">
            <w:pPr>
              <w:pStyle w:val="6"/>
              <w:spacing w:before="135" w:line="221" w:lineRule="auto"/>
              <w:ind w:left="513"/>
              <w:rPr>
                <w:sz w:val="18"/>
                <w:szCs w:val="18"/>
              </w:rPr>
            </w:pPr>
            <w:r>
              <w:rPr>
                <w:spacing w:val="5"/>
                <w:sz w:val="18"/>
                <w:szCs w:val="18"/>
              </w:rPr>
              <w:t>1.主旨</w:t>
            </w:r>
          </w:p>
        </w:tc>
        <w:tc>
          <w:tcPr>
            <w:tcW w:w="3616" w:type="dxa"/>
            <w:vAlign w:val="top"/>
          </w:tcPr>
          <w:p w14:paraId="473199BC">
            <w:pPr>
              <w:pStyle w:val="6"/>
              <w:spacing w:before="44" w:line="197" w:lineRule="auto"/>
              <w:ind w:left="15"/>
              <w:rPr>
                <w:sz w:val="18"/>
                <w:szCs w:val="18"/>
              </w:rPr>
            </w:pPr>
            <w:r>
              <w:rPr>
                <w:spacing w:val="-1"/>
                <w:sz w:val="18"/>
                <w:szCs w:val="18"/>
              </w:rPr>
              <w:t>要点：能准确表达图片或资料要说明的问题，</w:t>
            </w:r>
            <w:r>
              <w:rPr>
                <w:spacing w:val="9"/>
                <w:sz w:val="18"/>
                <w:szCs w:val="18"/>
              </w:rPr>
              <w:t xml:space="preserve"> </w:t>
            </w:r>
            <w:r>
              <w:rPr>
                <w:spacing w:val="1"/>
                <w:sz w:val="18"/>
                <w:szCs w:val="18"/>
              </w:rPr>
              <w:t>主旨把握正确</w:t>
            </w:r>
          </w:p>
        </w:tc>
        <w:tc>
          <w:tcPr>
            <w:tcW w:w="824" w:type="dxa"/>
            <w:vAlign w:val="top"/>
          </w:tcPr>
          <w:p w14:paraId="15F09DB3">
            <w:pPr>
              <w:pStyle w:val="6"/>
              <w:spacing w:before="180" w:line="183" w:lineRule="auto"/>
              <w:ind w:left="319"/>
              <w:rPr>
                <w:sz w:val="18"/>
                <w:szCs w:val="18"/>
              </w:rPr>
            </w:pPr>
            <w:r>
              <w:rPr>
                <w:spacing w:val="-3"/>
                <w:sz w:val="18"/>
                <w:szCs w:val="18"/>
              </w:rPr>
              <w:t>30</w:t>
            </w:r>
          </w:p>
        </w:tc>
      </w:tr>
      <w:tr w14:paraId="2B421C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734" w:type="dxa"/>
            <w:vMerge w:val="continue"/>
            <w:tcBorders>
              <w:top w:val="nil"/>
              <w:bottom w:val="nil"/>
            </w:tcBorders>
            <w:vAlign w:val="top"/>
          </w:tcPr>
          <w:p w14:paraId="2AE2EA77">
            <w:pPr>
              <w:rPr>
                <w:rFonts w:ascii="Arial"/>
                <w:sz w:val="21"/>
              </w:rPr>
            </w:pPr>
          </w:p>
        </w:tc>
        <w:tc>
          <w:tcPr>
            <w:tcW w:w="759" w:type="dxa"/>
            <w:vMerge w:val="continue"/>
            <w:tcBorders>
              <w:top w:val="nil"/>
              <w:bottom w:val="nil"/>
            </w:tcBorders>
            <w:vAlign w:val="top"/>
          </w:tcPr>
          <w:p w14:paraId="0EA59AAD">
            <w:pPr>
              <w:rPr>
                <w:rFonts w:ascii="Arial"/>
                <w:sz w:val="21"/>
              </w:rPr>
            </w:pPr>
          </w:p>
        </w:tc>
        <w:tc>
          <w:tcPr>
            <w:tcW w:w="1199" w:type="dxa"/>
            <w:vMerge w:val="continue"/>
            <w:tcBorders>
              <w:top w:val="nil"/>
              <w:bottom w:val="nil"/>
            </w:tcBorders>
            <w:vAlign w:val="top"/>
          </w:tcPr>
          <w:p w14:paraId="52546586">
            <w:pPr>
              <w:rPr>
                <w:rFonts w:ascii="Arial"/>
                <w:sz w:val="21"/>
              </w:rPr>
            </w:pPr>
          </w:p>
        </w:tc>
        <w:tc>
          <w:tcPr>
            <w:tcW w:w="1588" w:type="dxa"/>
            <w:vAlign w:val="top"/>
          </w:tcPr>
          <w:p w14:paraId="224C7220">
            <w:pPr>
              <w:pStyle w:val="6"/>
              <w:spacing w:before="146" w:line="221" w:lineRule="auto"/>
              <w:ind w:left="513"/>
              <w:rPr>
                <w:sz w:val="18"/>
                <w:szCs w:val="18"/>
              </w:rPr>
            </w:pPr>
            <w:r>
              <w:rPr>
                <w:spacing w:val="3"/>
                <w:sz w:val="18"/>
                <w:szCs w:val="18"/>
              </w:rPr>
              <w:t>2.语言</w:t>
            </w:r>
          </w:p>
        </w:tc>
        <w:tc>
          <w:tcPr>
            <w:tcW w:w="3616" w:type="dxa"/>
            <w:vAlign w:val="top"/>
          </w:tcPr>
          <w:p w14:paraId="2C997F54">
            <w:pPr>
              <w:pStyle w:val="6"/>
              <w:spacing w:before="54" w:line="197" w:lineRule="auto"/>
              <w:ind w:left="15" w:right="178"/>
              <w:rPr>
                <w:sz w:val="18"/>
                <w:szCs w:val="18"/>
              </w:rPr>
            </w:pPr>
            <w:r>
              <w:rPr>
                <w:spacing w:val="-1"/>
                <w:sz w:val="18"/>
                <w:szCs w:val="18"/>
              </w:rPr>
              <w:t>要点：能用较规范的概念、语言和清晰的逻</w:t>
            </w:r>
            <w:r>
              <w:rPr>
                <w:spacing w:val="10"/>
                <w:sz w:val="18"/>
                <w:szCs w:val="18"/>
              </w:rPr>
              <w:t xml:space="preserve"> </w:t>
            </w:r>
            <w:r>
              <w:rPr>
                <w:spacing w:val="2"/>
                <w:sz w:val="18"/>
                <w:szCs w:val="18"/>
              </w:rPr>
              <w:t>辑阐述自己的观点</w:t>
            </w:r>
          </w:p>
        </w:tc>
        <w:tc>
          <w:tcPr>
            <w:tcW w:w="824" w:type="dxa"/>
            <w:vAlign w:val="top"/>
          </w:tcPr>
          <w:p w14:paraId="6EE95374">
            <w:pPr>
              <w:pStyle w:val="6"/>
              <w:spacing w:before="191" w:line="183" w:lineRule="auto"/>
              <w:ind w:left="319"/>
              <w:rPr>
                <w:sz w:val="18"/>
                <w:szCs w:val="18"/>
              </w:rPr>
            </w:pPr>
            <w:r>
              <w:rPr>
                <w:spacing w:val="-2"/>
                <w:sz w:val="18"/>
                <w:szCs w:val="18"/>
              </w:rPr>
              <w:t>40</w:t>
            </w:r>
          </w:p>
        </w:tc>
      </w:tr>
      <w:tr w14:paraId="7074EB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0" w:hRule="atLeast"/>
        </w:trPr>
        <w:tc>
          <w:tcPr>
            <w:tcW w:w="734" w:type="dxa"/>
            <w:vMerge w:val="continue"/>
            <w:tcBorders>
              <w:top w:val="nil"/>
              <w:bottom w:val="nil"/>
            </w:tcBorders>
            <w:vAlign w:val="top"/>
          </w:tcPr>
          <w:p w14:paraId="47166D7C">
            <w:pPr>
              <w:rPr>
                <w:rFonts w:ascii="Arial"/>
                <w:sz w:val="21"/>
              </w:rPr>
            </w:pPr>
          </w:p>
        </w:tc>
        <w:tc>
          <w:tcPr>
            <w:tcW w:w="759" w:type="dxa"/>
            <w:vMerge w:val="continue"/>
            <w:tcBorders>
              <w:top w:val="nil"/>
              <w:bottom w:val="nil"/>
            </w:tcBorders>
            <w:vAlign w:val="top"/>
          </w:tcPr>
          <w:p w14:paraId="53EBE2E5">
            <w:pPr>
              <w:rPr>
                <w:rFonts w:ascii="Arial"/>
                <w:sz w:val="21"/>
              </w:rPr>
            </w:pPr>
          </w:p>
        </w:tc>
        <w:tc>
          <w:tcPr>
            <w:tcW w:w="1199" w:type="dxa"/>
            <w:vMerge w:val="continue"/>
            <w:tcBorders>
              <w:top w:val="nil"/>
              <w:bottom w:val="nil"/>
            </w:tcBorders>
            <w:vAlign w:val="top"/>
          </w:tcPr>
          <w:p w14:paraId="4F3259A3">
            <w:pPr>
              <w:rPr>
                <w:rFonts w:ascii="Arial"/>
                <w:sz w:val="21"/>
              </w:rPr>
            </w:pPr>
          </w:p>
        </w:tc>
        <w:tc>
          <w:tcPr>
            <w:tcW w:w="1588" w:type="dxa"/>
            <w:vAlign w:val="top"/>
          </w:tcPr>
          <w:p w14:paraId="708D19F4">
            <w:pPr>
              <w:pStyle w:val="6"/>
              <w:spacing w:before="136" w:line="219" w:lineRule="auto"/>
              <w:ind w:left="513"/>
              <w:rPr>
                <w:sz w:val="18"/>
                <w:szCs w:val="18"/>
              </w:rPr>
            </w:pPr>
            <w:r>
              <w:rPr>
                <w:sz w:val="18"/>
                <w:szCs w:val="18"/>
              </w:rPr>
              <w:t>3.内容</w:t>
            </w:r>
          </w:p>
        </w:tc>
        <w:tc>
          <w:tcPr>
            <w:tcW w:w="3616" w:type="dxa"/>
            <w:vAlign w:val="top"/>
          </w:tcPr>
          <w:p w14:paraId="47756B9E">
            <w:pPr>
              <w:pStyle w:val="6"/>
              <w:spacing w:before="36" w:line="202" w:lineRule="auto"/>
              <w:ind w:left="15" w:right="178"/>
              <w:rPr>
                <w:sz w:val="18"/>
                <w:szCs w:val="18"/>
              </w:rPr>
            </w:pPr>
            <w:r>
              <w:rPr>
                <w:spacing w:val="-1"/>
                <w:sz w:val="18"/>
                <w:szCs w:val="18"/>
              </w:rPr>
              <w:t>要点：内容充实，有自己独到的见解，感情</w:t>
            </w:r>
            <w:r>
              <w:rPr>
                <w:spacing w:val="10"/>
                <w:sz w:val="18"/>
                <w:szCs w:val="18"/>
              </w:rPr>
              <w:t xml:space="preserve"> </w:t>
            </w:r>
            <w:r>
              <w:rPr>
                <w:spacing w:val="5"/>
                <w:sz w:val="18"/>
                <w:szCs w:val="18"/>
              </w:rPr>
              <w:t>真挚</w:t>
            </w:r>
          </w:p>
        </w:tc>
        <w:tc>
          <w:tcPr>
            <w:tcW w:w="824" w:type="dxa"/>
            <w:vAlign w:val="top"/>
          </w:tcPr>
          <w:p w14:paraId="1D244608">
            <w:pPr>
              <w:pStyle w:val="6"/>
              <w:spacing w:before="182" w:line="183" w:lineRule="auto"/>
              <w:ind w:left="319"/>
              <w:rPr>
                <w:sz w:val="18"/>
                <w:szCs w:val="18"/>
              </w:rPr>
            </w:pPr>
            <w:r>
              <w:rPr>
                <w:spacing w:val="-3"/>
                <w:sz w:val="18"/>
                <w:szCs w:val="18"/>
              </w:rPr>
              <w:t>20</w:t>
            </w:r>
          </w:p>
        </w:tc>
      </w:tr>
      <w:tr w14:paraId="3CC968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4" w:hRule="atLeast"/>
        </w:trPr>
        <w:tc>
          <w:tcPr>
            <w:tcW w:w="734" w:type="dxa"/>
            <w:vMerge w:val="continue"/>
            <w:tcBorders>
              <w:top w:val="nil"/>
            </w:tcBorders>
            <w:vAlign w:val="top"/>
          </w:tcPr>
          <w:p w14:paraId="76C1C9B8">
            <w:pPr>
              <w:rPr>
                <w:rFonts w:ascii="Arial"/>
                <w:sz w:val="21"/>
              </w:rPr>
            </w:pPr>
          </w:p>
        </w:tc>
        <w:tc>
          <w:tcPr>
            <w:tcW w:w="759" w:type="dxa"/>
            <w:vMerge w:val="continue"/>
            <w:tcBorders>
              <w:top w:val="nil"/>
            </w:tcBorders>
            <w:vAlign w:val="top"/>
          </w:tcPr>
          <w:p w14:paraId="226BE201">
            <w:pPr>
              <w:rPr>
                <w:rFonts w:ascii="Arial"/>
                <w:sz w:val="21"/>
              </w:rPr>
            </w:pPr>
          </w:p>
        </w:tc>
        <w:tc>
          <w:tcPr>
            <w:tcW w:w="1199" w:type="dxa"/>
            <w:vMerge w:val="continue"/>
            <w:tcBorders>
              <w:top w:val="nil"/>
            </w:tcBorders>
            <w:vAlign w:val="top"/>
          </w:tcPr>
          <w:p w14:paraId="1209D8C6">
            <w:pPr>
              <w:rPr>
                <w:rFonts w:ascii="Arial"/>
                <w:sz w:val="21"/>
              </w:rPr>
            </w:pPr>
          </w:p>
        </w:tc>
        <w:tc>
          <w:tcPr>
            <w:tcW w:w="1588" w:type="dxa"/>
            <w:vAlign w:val="top"/>
          </w:tcPr>
          <w:p w14:paraId="236EB585">
            <w:pPr>
              <w:pStyle w:val="6"/>
              <w:spacing w:before="88" w:line="221" w:lineRule="auto"/>
              <w:ind w:left="513"/>
              <w:rPr>
                <w:sz w:val="18"/>
                <w:szCs w:val="18"/>
              </w:rPr>
            </w:pPr>
            <w:r>
              <w:rPr>
                <w:spacing w:val="-1"/>
                <w:sz w:val="18"/>
                <w:szCs w:val="18"/>
              </w:rPr>
              <w:t>4.文笔</w:t>
            </w:r>
          </w:p>
        </w:tc>
        <w:tc>
          <w:tcPr>
            <w:tcW w:w="3616" w:type="dxa"/>
            <w:vAlign w:val="top"/>
          </w:tcPr>
          <w:p w14:paraId="66D088E9">
            <w:pPr>
              <w:pStyle w:val="6"/>
              <w:spacing w:before="85" w:line="219" w:lineRule="auto"/>
              <w:ind w:left="15"/>
              <w:rPr>
                <w:sz w:val="18"/>
                <w:szCs w:val="18"/>
              </w:rPr>
            </w:pPr>
            <w:r>
              <w:rPr>
                <w:spacing w:val="-1"/>
                <w:sz w:val="18"/>
                <w:szCs w:val="18"/>
              </w:rPr>
              <w:t>要点：字迹干净整洁，文笔优美</w:t>
            </w:r>
          </w:p>
        </w:tc>
        <w:tc>
          <w:tcPr>
            <w:tcW w:w="824" w:type="dxa"/>
            <w:vAlign w:val="top"/>
          </w:tcPr>
          <w:p w14:paraId="5FDA2A1A">
            <w:pPr>
              <w:pStyle w:val="6"/>
              <w:spacing w:before="131" w:line="184" w:lineRule="auto"/>
              <w:ind w:left="319"/>
              <w:rPr>
                <w:sz w:val="18"/>
                <w:szCs w:val="18"/>
              </w:rPr>
            </w:pPr>
            <w:r>
              <w:rPr>
                <w:spacing w:val="-6"/>
                <w:sz w:val="18"/>
                <w:szCs w:val="18"/>
              </w:rPr>
              <w:t>10</w:t>
            </w:r>
          </w:p>
        </w:tc>
      </w:tr>
    </w:tbl>
    <w:p w14:paraId="7F743191">
      <w:pPr>
        <w:pStyle w:val="2"/>
      </w:pPr>
    </w:p>
    <w:p w14:paraId="5CC3B048">
      <w:pPr>
        <w:sectPr>
          <w:footerReference r:id="rId133" w:type="default"/>
          <w:pgSz w:w="10660" w:h="15080"/>
          <w:pgMar w:top="400" w:right="914" w:bottom="912" w:left="1014" w:header="0" w:footer="741" w:gutter="0"/>
          <w:cols w:space="720" w:num="1"/>
        </w:sectPr>
      </w:pPr>
    </w:p>
    <w:p w14:paraId="47CC71B5">
      <w:pPr>
        <w:pStyle w:val="2"/>
        <w:spacing w:line="263" w:lineRule="auto"/>
      </w:pPr>
    </w:p>
    <w:p w14:paraId="5BCBEE02">
      <w:pPr>
        <w:pStyle w:val="2"/>
        <w:spacing w:line="263" w:lineRule="auto"/>
      </w:pPr>
    </w:p>
    <w:p w14:paraId="2ADD1CD2">
      <w:pPr>
        <w:pStyle w:val="2"/>
        <w:spacing w:line="264" w:lineRule="auto"/>
      </w:pPr>
    </w:p>
    <w:p w14:paraId="3088B8DC">
      <w:pPr>
        <w:pStyle w:val="2"/>
        <w:spacing w:line="264" w:lineRule="auto"/>
      </w:pPr>
    </w:p>
    <w:p w14:paraId="456FD00C">
      <w:pPr>
        <w:pStyle w:val="2"/>
        <w:spacing w:line="264" w:lineRule="auto"/>
      </w:pPr>
    </w:p>
    <w:p w14:paraId="498097F3">
      <w:pPr>
        <w:spacing w:before="88" w:line="221" w:lineRule="auto"/>
        <w:ind w:left="2593"/>
        <w:outlineLvl w:val="0"/>
        <w:rPr>
          <w:rFonts w:ascii="黑体" w:hAnsi="黑体" w:eastAsia="黑体" w:cs="黑体"/>
          <w:sz w:val="27"/>
          <w:szCs w:val="27"/>
        </w:rPr>
      </w:pPr>
      <w:bookmarkStart w:id="64" w:name="bookmark23"/>
      <w:bookmarkEnd w:id="64"/>
      <w:r>
        <w:rPr>
          <w:rFonts w:ascii="黑体" w:hAnsi="黑体" w:eastAsia="黑体" w:cs="黑体"/>
          <w:b/>
          <w:bCs/>
          <w:sz w:val="27"/>
          <w:szCs w:val="27"/>
        </w:rPr>
        <w:t>医药卫生大类专业技能测试纲要</w:t>
      </w:r>
    </w:p>
    <w:p w14:paraId="50B7022F">
      <w:pPr>
        <w:pStyle w:val="2"/>
        <w:spacing w:line="378" w:lineRule="auto"/>
      </w:pPr>
    </w:p>
    <w:p w14:paraId="23B98153">
      <w:pPr>
        <w:spacing w:before="75" w:line="221" w:lineRule="auto"/>
        <w:ind w:left="83"/>
        <w:rPr>
          <w:rFonts w:ascii="黑体" w:hAnsi="黑体" w:eastAsia="黑体" w:cs="黑体"/>
          <w:sz w:val="23"/>
          <w:szCs w:val="23"/>
        </w:rPr>
      </w:pPr>
      <w:r>
        <w:rPr>
          <w:rFonts w:ascii="黑体" w:hAnsi="黑体" w:eastAsia="黑体" w:cs="黑体"/>
          <w:b/>
          <w:bCs/>
          <w:spacing w:val="-5"/>
          <w:sz w:val="23"/>
          <w:szCs w:val="23"/>
        </w:rPr>
        <w:t>一、测试范围和内容</w:t>
      </w:r>
    </w:p>
    <w:p w14:paraId="6524D260">
      <w:pPr>
        <w:spacing w:before="86" w:line="219" w:lineRule="auto"/>
        <w:ind w:left="430"/>
        <w:rPr>
          <w:rFonts w:ascii="宋体" w:hAnsi="宋体" w:eastAsia="宋体" w:cs="宋体"/>
          <w:sz w:val="17"/>
          <w:szCs w:val="17"/>
        </w:rPr>
      </w:pPr>
      <w:r>
        <w:rPr>
          <w:rFonts w:ascii="宋体" w:hAnsi="宋体" w:eastAsia="宋体" w:cs="宋体"/>
          <w:sz w:val="17"/>
          <w:szCs w:val="17"/>
        </w:rPr>
        <w:t>本测试纲要以教育部中等职业学校专业教学标准及进入高等院校继续学习所具备的专业基础</w:t>
      </w:r>
      <w:r>
        <w:rPr>
          <w:rFonts w:ascii="宋体" w:hAnsi="宋体" w:eastAsia="宋体" w:cs="宋体"/>
          <w:spacing w:val="-1"/>
          <w:sz w:val="17"/>
          <w:szCs w:val="17"/>
        </w:rPr>
        <w:t>技能为依据。</w:t>
      </w:r>
    </w:p>
    <w:p w14:paraId="297FFD80">
      <w:pPr>
        <w:spacing w:before="89" w:line="326" w:lineRule="auto"/>
        <w:ind w:left="80" w:right="18" w:firstLine="349"/>
        <w:rPr>
          <w:rFonts w:ascii="宋体" w:hAnsi="宋体" w:eastAsia="宋体" w:cs="宋体"/>
          <w:sz w:val="15"/>
          <w:szCs w:val="15"/>
        </w:rPr>
      </w:pPr>
      <w:r>
        <w:rPr>
          <w:rFonts w:ascii="宋体" w:hAnsi="宋体" w:eastAsia="宋体" w:cs="宋体"/>
          <w:spacing w:val="3"/>
          <w:sz w:val="17"/>
          <w:szCs w:val="17"/>
        </w:rPr>
        <w:t>专业技能测试项目共十项，每项操作分值为1</w:t>
      </w:r>
      <w:r>
        <w:rPr>
          <w:rFonts w:ascii="宋体" w:hAnsi="宋体" w:eastAsia="宋体" w:cs="宋体"/>
          <w:spacing w:val="2"/>
          <w:sz w:val="17"/>
          <w:szCs w:val="17"/>
        </w:rPr>
        <w:t>25分。任选两项进行考核，其中前五项为公共选项，后五项为护理</w:t>
      </w:r>
      <w:r>
        <w:rPr>
          <w:rFonts w:ascii="宋体" w:hAnsi="宋体" w:eastAsia="宋体" w:cs="宋体"/>
          <w:sz w:val="17"/>
          <w:szCs w:val="17"/>
        </w:rPr>
        <w:t xml:space="preserve"> </w:t>
      </w:r>
      <w:r>
        <w:rPr>
          <w:rFonts w:ascii="宋体" w:hAnsi="宋体" w:eastAsia="宋体" w:cs="宋体"/>
          <w:spacing w:val="13"/>
          <w:sz w:val="15"/>
          <w:szCs w:val="15"/>
        </w:rPr>
        <w:t>专业选项。</w:t>
      </w:r>
    </w:p>
    <w:p w14:paraId="00FC6BA5">
      <w:pPr>
        <w:spacing w:before="12" w:line="216" w:lineRule="auto"/>
        <w:ind w:left="430"/>
        <w:rPr>
          <w:rFonts w:ascii="宋体" w:hAnsi="宋体" w:eastAsia="宋体" w:cs="宋体"/>
          <w:sz w:val="17"/>
          <w:szCs w:val="17"/>
        </w:rPr>
      </w:pPr>
      <w:r>
        <w:rPr>
          <w:rFonts w:ascii="宋体" w:hAnsi="宋体" w:eastAsia="宋体" w:cs="宋体"/>
          <w:spacing w:val="5"/>
          <w:sz w:val="17"/>
          <w:szCs w:val="17"/>
        </w:rPr>
        <w:t>护理专业大类考生采取"1+1组合测试”,任选一项“公共选项”和一项“护</w:t>
      </w:r>
      <w:r>
        <w:rPr>
          <w:rFonts w:ascii="宋体" w:hAnsi="宋体" w:eastAsia="宋体" w:cs="宋体"/>
          <w:spacing w:val="4"/>
          <w:sz w:val="17"/>
          <w:szCs w:val="17"/>
        </w:rPr>
        <w:t>理专业选项。</w:t>
      </w:r>
    </w:p>
    <w:p w14:paraId="0067EEC3">
      <w:pPr>
        <w:spacing w:before="91" w:line="221" w:lineRule="auto"/>
        <w:ind w:left="83"/>
        <w:rPr>
          <w:rFonts w:ascii="黑体" w:hAnsi="黑体" w:eastAsia="黑体" w:cs="黑体"/>
          <w:sz w:val="23"/>
          <w:szCs w:val="23"/>
        </w:rPr>
      </w:pPr>
      <w:r>
        <w:rPr>
          <w:rFonts w:ascii="黑体" w:hAnsi="黑体" w:eastAsia="黑体" w:cs="黑体"/>
          <w:b/>
          <w:bCs/>
          <w:spacing w:val="-6"/>
          <w:sz w:val="23"/>
          <w:szCs w:val="23"/>
        </w:rPr>
        <w:t>二、测试内容及评分标准</w:t>
      </w:r>
    </w:p>
    <w:p w14:paraId="7FF19A3C">
      <w:pPr>
        <w:spacing w:line="106" w:lineRule="exact"/>
      </w:pPr>
    </w:p>
    <w:tbl>
      <w:tblPr>
        <w:tblStyle w:val="5"/>
        <w:tblW w:w="8740" w:type="dxa"/>
        <w:tblInd w:w="7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495"/>
        <w:gridCol w:w="499"/>
        <w:gridCol w:w="1049"/>
        <w:gridCol w:w="3566"/>
        <w:gridCol w:w="2287"/>
        <w:gridCol w:w="844"/>
      </w:tblGrid>
      <w:tr w14:paraId="76C755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4" w:hRule="atLeast"/>
        </w:trPr>
        <w:tc>
          <w:tcPr>
            <w:tcW w:w="495" w:type="dxa"/>
            <w:shd w:val="clear" w:color="auto" w:fill="231F20"/>
            <w:vAlign w:val="top"/>
          </w:tcPr>
          <w:p w14:paraId="1D475810">
            <w:pPr>
              <w:pStyle w:val="6"/>
              <w:spacing w:before="81" w:line="222" w:lineRule="auto"/>
              <w:ind w:left="57" w:right="38"/>
              <w:rPr>
                <w:sz w:val="18"/>
                <w:szCs w:val="18"/>
              </w:rPr>
            </w:pPr>
            <w:r>
              <w:rPr>
                <w:b/>
                <w:bCs/>
                <w:color w:val="FFFFFF"/>
                <w:spacing w:val="-6"/>
                <w:sz w:val="18"/>
                <w:szCs w:val="18"/>
              </w:rPr>
              <w:t>测试</w:t>
            </w:r>
            <w:r>
              <w:rPr>
                <w:color w:val="FFFFFF"/>
                <w:sz w:val="18"/>
                <w:szCs w:val="18"/>
              </w:rPr>
              <w:t xml:space="preserve"> </w:t>
            </w:r>
            <w:r>
              <w:rPr>
                <w:b/>
                <w:bCs/>
                <w:color w:val="FFFFFF"/>
                <w:spacing w:val="12"/>
                <w:sz w:val="18"/>
                <w:szCs w:val="18"/>
              </w:rPr>
              <w:t>项目</w:t>
            </w:r>
          </w:p>
        </w:tc>
        <w:tc>
          <w:tcPr>
            <w:tcW w:w="499" w:type="dxa"/>
            <w:vAlign w:val="top"/>
          </w:tcPr>
          <w:p w14:paraId="7C22E474">
            <w:pPr>
              <w:pStyle w:val="6"/>
              <w:spacing w:before="100" w:line="213" w:lineRule="auto"/>
              <w:ind w:left="62" w:right="74"/>
              <w:rPr>
                <w:sz w:val="18"/>
                <w:szCs w:val="18"/>
              </w:rPr>
            </w:pPr>
            <w:r>
              <w:rPr>
                <w:b/>
                <w:bCs/>
                <w:spacing w:val="-6"/>
                <w:sz w:val="18"/>
                <w:szCs w:val="18"/>
              </w:rPr>
              <w:t>测试</w:t>
            </w:r>
            <w:r>
              <w:rPr>
                <w:sz w:val="18"/>
                <w:szCs w:val="18"/>
              </w:rPr>
              <w:t xml:space="preserve"> </w:t>
            </w:r>
            <w:r>
              <w:rPr>
                <w:b/>
                <w:bCs/>
                <w:spacing w:val="-7"/>
                <w:sz w:val="18"/>
                <w:szCs w:val="18"/>
              </w:rPr>
              <w:t>用具</w:t>
            </w:r>
          </w:p>
        </w:tc>
        <w:tc>
          <w:tcPr>
            <w:tcW w:w="1049" w:type="dxa"/>
            <w:vAlign w:val="top"/>
          </w:tcPr>
          <w:p w14:paraId="764D2FA7">
            <w:pPr>
              <w:pStyle w:val="6"/>
              <w:spacing w:before="199" w:line="219" w:lineRule="auto"/>
              <w:ind w:left="213"/>
              <w:rPr>
                <w:sz w:val="18"/>
                <w:szCs w:val="18"/>
              </w:rPr>
            </w:pPr>
            <w:r>
              <w:rPr>
                <w:b/>
                <w:bCs/>
                <w:spacing w:val="-4"/>
                <w:sz w:val="18"/>
                <w:szCs w:val="18"/>
              </w:rPr>
              <w:t>测试内容</w:t>
            </w:r>
          </w:p>
        </w:tc>
        <w:tc>
          <w:tcPr>
            <w:tcW w:w="3566" w:type="dxa"/>
            <w:vAlign w:val="top"/>
          </w:tcPr>
          <w:p w14:paraId="52BD75DF">
            <w:pPr>
              <w:pStyle w:val="6"/>
              <w:spacing w:before="200" w:line="221" w:lineRule="auto"/>
              <w:ind w:left="1464"/>
              <w:rPr>
                <w:sz w:val="18"/>
                <w:szCs w:val="18"/>
              </w:rPr>
            </w:pPr>
            <w:r>
              <w:rPr>
                <w:b/>
                <w:bCs/>
                <w:spacing w:val="-4"/>
                <w:sz w:val="18"/>
                <w:szCs w:val="18"/>
              </w:rPr>
              <w:t>测试方法</w:t>
            </w:r>
          </w:p>
        </w:tc>
        <w:tc>
          <w:tcPr>
            <w:tcW w:w="2287" w:type="dxa"/>
            <w:vAlign w:val="top"/>
          </w:tcPr>
          <w:p w14:paraId="3A282ABC">
            <w:pPr>
              <w:pStyle w:val="6"/>
              <w:spacing w:before="199" w:line="219" w:lineRule="auto"/>
              <w:ind w:left="808"/>
              <w:rPr>
                <w:sz w:val="18"/>
                <w:szCs w:val="18"/>
              </w:rPr>
            </w:pPr>
            <w:r>
              <w:rPr>
                <w:b/>
                <w:bCs/>
                <w:spacing w:val="-4"/>
                <w:sz w:val="18"/>
                <w:szCs w:val="18"/>
              </w:rPr>
              <w:t>赋分参考</w:t>
            </w:r>
          </w:p>
        </w:tc>
        <w:tc>
          <w:tcPr>
            <w:tcW w:w="844" w:type="dxa"/>
            <w:vAlign w:val="top"/>
          </w:tcPr>
          <w:p w14:paraId="3736C889">
            <w:pPr>
              <w:pStyle w:val="6"/>
              <w:spacing w:before="81" w:line="223" w:lineRule="auto"/>
              <w:ind w:left="241" w:right="240"/>
              <w:rPr>
                <w:sz w:val="18"/>
                <w:szCs w:val="18"/>
              </w:rPr>
            </w:pPr>
            <w:r>
              <w:rPr>
                <w:b/>
                <w:bCs/>
                <w:spacing w:val="-6"/>
                <w:sz w:val="18"/>
                <w:szCs w:val="18"/>
              </w:rPr>
              <w:t>测试</w:t>
            </w:r>
            <w:r>
              <w:rPr>
                <w:sz w:val="18"/>
                <w:szCs w:val="18"/>
              </w:rPr>
              <w:t xml:space="preserve"> </w:t>
            </w:r>
            <w:r>
              <w:rPr>
                <w:b/>
                <w:bCs/>
                <w:spacing w:val="-6"/>
                <w:sz w:val="18"/>
                <w:szCs w:val="18"/>
              </w:rPr>
              <w:t>要求</w:t>
            </w:r>
          </w:p>
        </w:tc>
      </w:tr>
      <w:tr w14:paraId="6871D8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845" w:hRule="atLeast"/>
        </w:trPr>
        <w:tc>
          <w:tcPr>
            <w:tcW w:w="495" w:type="dxa"/>
            <w:vAlign w:val="top"/>
          </w:tcPr>
          <w:p w14:paraId="146E7588">
            <w:pPr>
              <w:pStyle w:val="6"/>
              <w:spacing w:before="16" w:line="220" w:lineRule="auto"/>
              <w:ind w:left="57"/>
              <w:rPr>
                <w:sz w:val="18"/>
                <w:szCs w:val="18"/>
              </w:rPr>
            </w:pPr>
            <w:r>
              <w:rPr>
                <w:b/>
                <w:bCs/>
                <w:spacing w:val="12"/>
                <w:sz w:val="18"/>
                <w:szCs w:val="18"/>
              </w:rPr>
              <w:t>项目</w:t>
            </w:r>
          </w:p>
          <w:p w14:paraId="7AF88B43">
            <w:pPr>
              <w:pStyle w:val="6"/>
              <w:spacing w:before="57" w:line="48" w:lineRule="exact"/>
              <w:ind w:left="57"/>
              <w:rPr>
                <w:sz w:val="18"/>
                <w:szCs w:val="18"/>
              </w:rPr>
            </w:pPr>
            <w:r>
              <w:rPr>
                <w:b/>
                <w:bCs/>
                <w:spacing w:val="-2"/>
                <w:position w:val="-6"/>
                <w:sz w:val="18"/>
                <w:szCs w:val="18"/>
              </w:rPr>
              <w:t>一</w:t>
            </w:r>
          </w:p>
          <w:p w14:paraId="6979C582">
            <w:pPr>
              <w:pStyle w:val="6"/>
              <w:spacing w:line="91" w:lineRule="exact"/>
              <w:jc w:val="right"/>
              <w:rPr>
                <w:sz w:val="18"/>
                <w:szCs w:val="18"/>
              </w:rPr>
            </w:pPr>
            <w:r>
              <w:rPr>
                <w:b/>
                <w:bCs/>
                <w:spacing w:val="-31"/>
                <w:w w:val="81"/>
                <w:position w:val="1"/>
                <w:sz w:val="18"/>
                <w:szCs w:val="18"/>
              </w:rPr>
              <w:t>、</w:t>
            </w:r>
          </w:p>
          <w:p w14:paraId="304BD386">
            <w:pPr>
              <w:pStyle w:val="6"/>
              <w:spacing w:before="38" w:line="220" w:lineRule="auto"/>
              <w:ind w:left="57"/>
              <w:rPr>
                <w:sz w:val="18"/>
                <w:szCs w:val="18"/>
              </w:rPr>
            </w:pPr>
            <w:r>
              <w:rPr>
                <w:b/>
                <w:bCs/>
                <w:spacing w:val="-5"/>
                <w:sz w:val="18"/>
                <w:szCs w:val="18"/>
              </w:rPr>
              <w:t>生命</w:t>
            </w:r>
          </w:p>
          <w:p w14:paraId="08293BEB">
            <w:pPr>
              <w:pStyle w:val="6"/>
              <w:spacing w:before="15" w:line="219" w:lineRule="auto"/>
              <w:ind w:left="57"/>
              <w:rPr>
                <w:sz w:val="18"/>
                <w:szCs w:val="18"/>
              </w:rPr>
            </w:pPr>
            <w:r>
              <w:rPr>
                <w:b/>
                <w:bCs/>
                <w:spacing w:val="-4"/>
                <w:sz w:val="18"/>
                <w:szCs w:val="18"/>
              </w:rPr>
              <w:t>体征</w:t>
            </w:r>
          </w:p>
          <w:p w14:paraId="1B95F902">
            <w:pPr>
              <w:pStyle w:val="6"/>
              <w:spacing w:before="7" w:line="220" w:lineRule="auto"/>
              <w:ind w:left="57"/>
              <w:rPr>
                <w:sz w:val="18"/>
                <w:szCs w:val="18"/>
              </w:rPr>
            </w:pPr>
            <w:r>
              <w:rPr>
                <w:b/>
                <w:bCs/>
                <w:spacing w:val="2"/>
                <w:sz w:val="18"/>
                <w:szCs w:val="18"/>
              </w:rPr>
              <w:t>的测</w:t>
            </w:r>
          </w:p>
          <w:p w14:paraId="55010F2F">
            <w:pPr>
              <w:pStyle w:val="6"/>
              <w:spacing w:line="225" w:lineRule="auto"/>
              <w:ind w:left="147"/>
              <w:rPr>
                <w:sz w:val="18"/>
                <w:szCs w:val="18"/>
              </w:rPr>
            </w:pPr>
            <w:r>
              <w:rPr>
                <w:b/>
                <w:bCs/>
                <w:spacing w:val="-2"/>
                <w:sz w:val="18"/>
                <w:szCs w:val="18"/>
              </w:rPr>
              <w:t>量</w:t>
            </w:r>
          </w:p>
        </w:tc>
        <w:tc>
          <w:tcPr>
            <w:tcW w:w="499" w:type="dxa"/>
            <w:vAlign w:val="top"/>
          </w:tcPr>
          <w:p w14:paraId="4F2E9BA3">
            <w:pPr>
              <w:pStyle w:val="6"/>
              <w:spacing w:before="16" w:line="220" w:lineRule="auto"/>
              <w:jc w:val="right"/>
              <w:rPr>
                <w:sz w:val="18"/>
                <w:szCs w:val="18"/>
              </w:rPr>
            </w:pPr>
            <w:r>
              <w:rPr>
                <w:b/>
                <w:bCs/>
                <w:spacing w:val="-20"/>
                <w:w w:val="98"/>
                <w:sz w:val="18"/>
                <w:szCs w:val="18"/>
              </w:rPr>
              <w:t>腋表、</w:t>
            </w:r>
          </w:p>
          <w:p w14:paraId="0A277CEC">
            <w:pPr>
              <w:pStyle w:val="6"/>
              <w:spacing w:before="15" w:line="220" w:lineRule="auto"/>
              <w:ind w:left="62"/>
              <w:rPr>
                <w:sz w:val="18"/>
                <w:szCs w:val="18"/>
              </w:rPr>
            </w:pPr>
            <w:r>
              <w:rPr>
                <w:b/>
                <w:bCs/>
                <w:spacing w:val="-4"/>
                <w:sz w:val="18"/>
                <w:szCs w:val="18"/>
              </w:rPr>
              <w:t>汞柱</w:t>
            </w:r>
          </w:p>
          <w:p w14:paraId="1B560702">
            <w:pPr>
              <w:pStyle w:val="6"/>
              <w:spacing w:before="18" w:line="203" w:lineRule="auto"/>
              <w:ind w:left="62"/>
              <w:rPr>
                <w:sz w:val="18"/>
                <w:szCs w:val="18"/>
              </w:rPr>
            </w:pPr>
            <w:r>
              <w:rPr>
                <w:b/>
                <w:bCs/>
                <w:spacing w:val="-5"/>
                <w:sz w:val="18"/>
                <w:szCs w:val="18"/>
              </w:rPr>
              <w:t>血压</w:t>
            </w:r>
          </w:p>
          <w:p w14:paraId="6F3D95BD">
            <w:pPr>
              <w:pStyle w:val="6"/>
              <w:spacing w:line="220" w:lineRule="auto"/>
              <w:jc w:val="right"/>
              <w:rPr>
                <w:sz w:val="18"/>
                <w:szCs w:val="18"/>
              </w:rPr>
            </w:pPr>
            <w:r>
              <w:rPr>
                <w:b/>
                <w:bCs/>
                <w:spacing w:val="-25"/>
                <w:sz w:val="18"/>
                <w:szCs w:val="18"/>
              </w:rPr>
              <w:t>计</w:t>
            </w:r>
            <w:r>
              <w:rPr>
                <w:spacing w:val="22"/>
                <w:sz w:val="18"/>
                <w:szCs w:val="18"/>
              </w:rPr>
              <w:t xml:space="preserve"> </w:t>
            </w:r>
            <w:r>
              <w:rPr>
                <w:b/>
                <w:bCs/>
                <w:spacing w:val="-25"/>
                <w:sz w:val="18"/>
                <w:szCs w:val="18"/>
              </w:rPr>
              <w:t>、</w:t>
            </w:r>
          </w:p>
          <w:p w14:paraId="54EE23EE">
            <w:pPr>
              <w:pStyle w:val="6"/>
              <w:spacing w:before="25" w:line="221" w:lineRule="auto"/>
              <w:ind w:left="62"/>
              <w:rPr>
                <w:sz w:val="18"/>
                <w:szCs w:val="18"/>
              </w:rPr>
            </w:pPr>
            <w:r>
              <w:rPr>
                <w:b/>
                <w:bCs/>
                <w:sz w:val="18"/>
                <w:szCs w:val="18"/>
              </w:rPr>
              <w:t>听诊</w:t>
            </w:r>
          </w:p>
          <w:p w14:paraId="73DCE00D">
            <w:pPr>
              <w:pStyle w:val="6"/>
              <w:spacing w:before="7" w:line="223" w:lineRule="auto"/>
              <w:jc w:val="right"/>
              <w:rPr>
                <w:sz w:val="18"/>
                <w:szCs w:val="18"/>
              </w:rPr>
            </w:pPr>
            <w:r>
              <w:rPr>
                <w:b/>
                <w:bCs/>
                <w:spacing w:val="-25"/>
                <w:sz w:val="18"/>
                <w:szCs w:val="18"/>
              </w:rPr>
              <w:t>器</w:t>
            </w:r>
            <w:r>
              <w:rPr>
                <w:spacing w:val="22"/>
                <w:sz w:val="18"/>
                <w:szCs w:val="18"/>
              </w:rPr>
              <w:t xml:space="preserve"> </w:t>
            </w:r>
            <w:r>
              <w:rPr>
                <w:b/>
                <w:bCs/>
                <w:spacing w:val="-25"/>
                <w:sz w:val="18"/>
                <w:szCs w:val="18"/>
              </w:rPr>
              <w:t>、</w:t>
            </w:r>
          </w:p>
          <w:p w14:paraId="3D7B01A4">
            <w:pPr>
              <w:pStyle w:val="6"/>
              <w:spacing w:line="221" w:lineRule="auto"/>
              <w:ind w:left="62"/>
              <w:rPr>
                <w:sz w:val="18"/>
                <w:szCs w:val="18"/>
              </w:rPr>
            </w:pPr>
            <w:r>
              <w:rPr>
                <w:b/>
                <w:bCs/>
                <w:spacing w:val="-4"/>
                <w:sz w:val="18"/>
                <w:szCs w:val="18"/>
              </w:rPr>
              <w:t>记录</w:t>
            </w:r>
          </w:p>
          <w:p w14:paraId="2EF2A4DF">
            <w:pPr>
              <w:pStyle w:val="6"/>
              <w:spacing w:before="6" w:line="196" w:lineRule="auto"/>
              <w:ind w:left="62"/>
              <w:rPr>
                <w:sz w:val="18"/>
                <w:szCs w:val="18"/>
              </w:rPr>
            </w:pPr>
            <w:r>
              <w:rPr>
                <w:b/>
                <w:bCs/>
                <w:spacing w:val="-5"/>
                <w:sz w:val="18"/>
                <w:szCs w:val="18"/>
              </w:rPr>
              <w:t>纸和</w:t>
            </w:r>
          </w:p>
          <w:p w14:paraId="11938034">
            <w:pPr>
              <w:pStyle w:val="6"/>
              <w:spacing w:line="223" w:lineRule="auto"/>
              <w:jc w:val="right"/>
              <w:rPr>
                <w:sz w:val="18"/>
                <w:szCs w:val="18"/>
              </w:rPr>
            </w:pPr>
            <w:r>
              <w:rPr>
                <w:b/>
                <w:bCs/>
                <w:spacing w:val="-27"/>
                <w:sz w:val="18"/>
                <w:szCs w:val="18"/>
              </w:rPr>
              <w:t>笔</w:t>
            </w:r>
            <w:r>
              <w:rPr>
                <w:spacing w:val="25"/>
                <w:sz w:val="18"/>
                <w:szCs w:val="18"/>
              </w:rPr>
              <w:t xml:space="preserve"> </w:t>
            </w:r>
            <w:r>
              <w:rPr>
                <w:b/>
                <w:bCs/>
                <w:spacing w:val="-27"/>
                <w:sz w:val="18"/>
                <w:szCs w:val="18"/>
              </w:rPr>
              <w:t>、</w:t>
            </w:r>
          </w:p>
          <w:p w14:paraId="67667ACB">
            <w:pPr>
              <w:pStyle w:val="6"/>
              <w:spacing w:before="8" w:line="219" w:lineRule="auto"/>
              <w:ind w:left="62"/>
              <w:rPr>
                <w:sz w:val="18"/>
                <w:szCs w:val="18"/>
              </w:rPr>
            </w:pPr>
            <w:r>
              <w:rPr>
                <w:b/>
                <w:bCs/>
                <w:spacing w:val="-5"/>
                <w:sz w:val="18"/>
                <w:szCs w:val="18"/>
              </w:rPr>
              <w:t>带秒</w:t>
            </w:r>
          </w:p>
          <w:p w14:paraId="0791E8F8">
            <w:pPr>
              <w:pStyle w:val="6"/>
              <w:spacing w:before="18" w:line="205" w:lineRule="auto"/>
              <w:ind w:left="62"/>
              <w:rPr>
                <w:sz w:val="18"/>
                <w:szCs w:val="18"/>
              </w:rPr>
            </w:pPr>
            <w:r>
              <w:rPr>
                <w:b/>
                <w:bCs/>
                <w:spacing w:val="-4"/>
                <w:sz w:val="18"/>
                <w:szCs w:val="18"/>
              </w:rPr>
              <w:t>针的</w:t>
            </w:r>
          </w:p>
          <w:p w14:paraId="13526829">
            <w:pPr>
              <w:pStyle w:val="6"/>
              <w:spacing w:before="1" w:line="220" w:lineRule="auto"/>
              <w:ind w:left="152"/>
              <w:rPr>
                <w:sz w:val="18"/>
                <w:szCs w:val="18"/>
              </w:rPr>
            </w:pPr>
            <w:r>
              <w:rPr>
                <w:b/>
                <w:bCs/>
                <w:spacing w:val="-2"/>
                <w:sz w:val="18"/>
                <w:szCs w:val="18"/>
              </w:rPr>
              <w:t>表</w:t>
            </w:r>
          </w:p>
        </w:tc>
        <w:tc>
          <w:tcPr>
            <w:tcW w:w="1049" w:type="dxa"/>
            <w:vAlign w:val="top"/>
          </w:tcPr>
          <w:p w14:paraId="69C33609">
            <w:pPr>
              <w:pStyle w:val="6"/>
              <w:spacing w:before="36" w:line="206" w:lineRule="auto"/>
              <w:ind w:left="13"/>
              <w:rPr>
                <w:sz w:val="18"/>
                <w:szCs w:val="18"/>
              </w:rPr>
            </w:pPr>
            <w:r>
              <w:rPr>
                <w:b/>
                <w:bCs/>
                <w:spacing w:val="-2"/>
                <w:sz w:val="18"/>
                <w:szCs w:val="18"/>
              </w:rPr>
              <w:t>1.核对</w:t>
            </w:r>
          </w:p>
          <w:p w14:paraId="5EA6516C">
            <w:pPr>
              <w:pStyle w:val="6"/>
              <w:spacing w:line="220" w:lineRule="auto"/>
              <w:ind w:left="13"/>
              <w:rPr>
                <w:sz w:val="18"/>
                <w:szCs w:val="18"/>
              </w:rPr>
            </w:pPr>
            <w:r>
              <w:rPr>
                <w:b/>
                <w:bCs/>
                <w:spacing w:val="-4"/>
                <w:sz w:val="18"/>
                <w:szCs w:val="18"/>
              </w:rPr>
              <w:t>2.摆体位</w:t>
            </w:r>
          </w:p>
          <w:p w14:paraId="769C2A65">
            <w:pPr>
              <w:pStyle w:val="6"/>
              <w:spacing w:before="4" w:line="222" w:lineRule="auto"/>
              <w:ind w:left="13" w:right="136"/>
              <w:rPr>
                <w:sz w:val="18"/>
                <w:szCs w:val="18"/>
              </w:rPr>
            </w:pPr>
            <w:r>
              <w:rPr>
                <w:b/>
                <w:bCs/>
                <w:spacing w:val="-4"/>
                <w:sz w:val="18"/>
                <w:szCs w:val="18"/>
              </w:rPr>
              <w:t>3.放体温计</w:t>
            </w:r>
            <w:r>
              <w:rPr>
                <w:spacing w:val="1"/>
                <w:sz w:val="18"/>
                <w:szCs w:val="18"/>
              </w:rPr>
              <w:t xml:space="preserve"> </w:t>
            </w:r>
            <w:r>
              <w:rPr>
                <w:b/>
                <w:bCs/>
                <w:spacing w:val="-4"/>
                <w:sz w:val="18"/>
                <w:szCs w:val="18"/>
              </w:rPr>
              <w:t>4.测脉搏</w:t>
            </w:r>
          </w:p>
          <w:p w14:paraId="4AFB87E3">
            <w:pPr>
              <w:pStyle w:val="6"/>
              <w:spacing w:before="27" w:line="218" w:lineRule="auto"/>
              <w:ind w:left="13" w:right="313"/>
              <w:rPr>
                <w:sz w:val="18"/>
                <w:szCs w:val="18"/>
              </w:rPr>
            </w:pPr>
            <w:r>
              <w:rPr>
                <w:b/>
                <w:bCs/>
                <w:spacing w:val="-5"/>
                <w:sz w:val="18"/>
                <w:szCs w:val="18"/>
              </w:rPr>
              <w:t>5.测呼吸</w:t>
            </w:r>
            <w:r>
              <w:rPr>
                <w:spacing w:val="3"/>
                <w:sz w:val="18"/>
                <w:szCs w:val="18"/>
              </w:rPr>
              <w:t xml:space="preserve"> </w:t>
            </w:r>
            <w:r>
              <w:rPr>
                <w:b/>
                <w:bCs/>
                <w:spacing w:val="-4"/>
                <w:sz w:val="18"/>
                <w:szCs w:val="18"/>
              </w:rPr>
              <w:t>6.测血压</w:t>
            </w:r>
          </w:p>
          <w:p w14:paraId="43984778">
            <w:pPr>
              <w:pStyle w:val="6"/>
              <w:spacing w:before="15" w:line="211" w:lineRule="auto"/>
              <w:ind w:left="13" w:right="3"/>
              <w:rPr>
                <w:sz w:val="18"/>
                <w:szCs w:val="18"/>
              </w:rPr>
            </w:pPr>
            <w:r>
              <w:rPr>
                <w:b/>
                <w:bCs/>
                <w:spacing w:val="-11"/>
                <w:sz w:val="18"/>
                <w:szCs w:val="18"/>
              </w:rPr>
              <w:t>7.取测体温计</w:t>
            </w:r>
            <w:r>
              <w:rPr>
                <w:spacing w:val="5"/>
                <w:sz w:val="18"/>
                <w:szCs w:val="18"/>
              </w:rPr>
              <w:t xml:space="preserve"> </w:t>
            </w:r>
            <w:r>
              <w:rPr>
                <w:b/>
                <w:bCs/>
                <w:spacing w:val="-4"/>
                <w:sz w:val="18"/>
                <w:szCs w:val="18"/>
              </w:rPr>
              <w:t>8.读数</w:t>
            </w:r>
          </w:p>
          <w:p w14:paraId="14A5B8E2">
            <w:pPr>
              <w:pStyle w:val="6"/>
              <w:spacing w:before="27" w:line="214" w:lineRule="auto"/>
              <w:ind w:left="13" w:right="133"/>
              <w:rPr>
                <w:sz w:val="18"/>
                <w:szCs w:val="18"/>
              </w:rPr>
            </w:pPr>
            <w:r>
              <w:rPr>
                <w:b/>
                <w:bCs/>
                <w:spacing w:val="-4"/>
                <w:sz w:val="18"/>
                <w:szCs w:val="18"/>
              </w:rPr>
              <w:t>9.恢复体位</w:t>
            </w:r>
            <w:r>
              <w:rPr>
                <w:spacing w:val="3"/>
                <w:sz w:val="18"/>
                <w:szCs w:val="18"/>
              </w:rPr>
              <w:t xml:space="preserve"> </w:t>
            </w:r>
            <w:r>
              <w:rPr>
                <w:b/>
                <w:bCs/>
                <w:spacing w:val="-2"/>
                <w:sz w:val="18"/>
                <w:szCs w:val="18"/>
              </w:rPr>
              <w:t>10.记录</w:t>
            </w:r>
          </w:p>
        </w:tc>
        <w:tc>
          <w:tcPr>
            <w:tcW w:w="3566" w:type="dxa"/>
            <w:vAlign w:val="top"/>
          </w:tcPr>
          <w:p w14:paraId="655B8D81">
            <w:pPr>
              <w:pStyle w:val="6"/>
              <w:spacing w:before="15" w:line="222" w:lineRule="auto"/>
              <w:ind w:left="4"/>
              <w:rPr>
                <w:sz w:val="18"/>
                <w:szCs w:val="18"/>
              </w:rPr>
            </w:pPr>
            <w:r>
              <w:rPr>
                <w:b/>
                <w:bCs/>
                <w:spacing w:val="-5"/>
                <w:sz w:val="18"/>
                <w:szCs w:val="18"/>
              </w:rPr>
              <w:t>1.操作者着装整洁，洗手(可口述)、剪指甲，</w:t>
            </w:r>
            <w:r>
              <w:rPr>
                <w:spacing w:val="18"/>
                <w:sz w:val="18"/>
                <w:szCs w:val="18"/>
              </w:rPr>
              <w:t xml:space="preserve"> </w:t>
            </w:r>
            <w:r>
              <w:rPr>
                <w:b/>
                <w:bCs/>
                <w:spacing w:val="-5"/>
                <w:sz w:val="18"/>
                <w:szCs w:val="18"/>
              </w:rPr>
              <w:t>戴口罩、帽子。</w:t>
            </w:r>
          </w:p>
          <w:p w14:paraId="42EE7F6C">
            <w:pPr>
              <w:pStyle w:val="6"/>
              <w:spacing w:before="5" w:line="224" w:lineRule="auto"/>
              <w:ind w:left="4" w:right="46"/>
              <w:rPr>
                <w:sz w:val="18"/>
                <w:szCs w:val="18"/>
              </w:rPr>
            </w:pPr>
            <w:r>
              <w:rPr>
                <w:b/>
                <w:bCs/>
                <w:spacing w:val="2"/>
                <w:sz w:val="18"/>
                <w:szCs w:val="18"/>
              </w:rPr>
              <w:t>2.评估病人：了解病情，评估病人的意识、</w:t>
            </w:r>
            <w:r>
              <w:rPr>
                <w:spacing w:val="6"/>
                <w:sz w:val="18"/>
                <w:szCs w:val="18"/>
              </w:rPr>
              <w:t xml:space="preserve"> </w:t>
            </w:r>
            <w:r>
              <w:rPr>
                <w:b/>
                <w:bCs/>
                <w:spacing w:val="-3"/>
                <w:sz w:val="18"/>
                <w:szCs w:val="18"/>
              </w:rPr>
              <w:t>合作程度。</w:t>
            </w:r>
          </w:p>
          <w:p w14:paraId="1C454627">
            <w:pPr>
              <w:pStyle w:val="6"/>
              <w:spacing w:before="23" w:line="219" w:lineRule="auto"/>
              <w:ind w:left="4"/>
              <w:rPr>
                <w:sz w:val="18"/>
                <w:szCs w:val="18"/>
              </w:rPr>
            </w:pPr>
            <w:r>
              <w:rPr>
                <w:b/>
                <w:bCs/>
                <w:spacing w:val="-3"/>
                <w:sz w:val="18"/>
                <w:szCs w:val="18"/>
              </w:rPr>
              <w:t>3.物品准备齐全并检查(体温计清洁干燥，</w:t>
            </w:r>
          </w:p>
          <w:p w14:paraId="2142136E">
            <w:pPr>
              <w:pStyle w:val="6"/>
              <w:spacing w:before="8" w:line="222" w:lineRule="auto"/>
              <w:ind w:left="4" w:right="46"/>
              <w:rPr>
                <w:sz w:val="18"/>
                <w:szCs w:val="18"/>
              </w:rPr>
            </w:pPr>
            <w:r>
              <w:rPr>
                <w:b/>
                <w:bCs/>
                <w:spacing w:val="-3"/>
                <w:sz w:val="18"/>
                <w:szCs w:val="18"/>
              </w:rPr>
              <w:t>甩至35℃以下；血压计水银柱对准“0”点，</w:t>
            </w:r>
            <w:r>
              <w:rPr>
                <w:spacing w:val="16"/>
                <w:sz w:val="18"/>
                <w:szCs w:val="18"/>
              </w:rPr>
              <w:t xml:space="preserve"> </w:t>
            </w:r>
            <w:r>
              <w:rPr>
                <w:b/>
                <w:bCs/>
                <w:spacing w:val="-3"/>
                <w:sz w:val="18"/>
                <w:szCs w:val="18"/>
              </w:rPr>
              <w:t>无水银外漏)。</w:t>
            </w:r>
          </w:p>
          <w:p w14:paraId="2D9E1A1F">
            <w:pPr>
              <w:pStyle w:val="6"/>
              <w:spacing w:before="15" w:line="216" w:lineRule="auto"/>
              <w:ind w:left="4"/>
              <w:rPr>
                <w:sz w:val="18"/>
                <w:szCs w:val="18"/>
              </w:rPr>
            </w:pPr>
            <w:r>
              <w:rPr>
                <w:b/>
                <w:bCs/>
                <w:spacing w:val="-3"/>
                <w:sz w:val="18"/>
                <w:szCs w:val="18"/>
              </w:rPr>
              <w:t>4.环境清洁、安静，光线适宜。</w:t>
            </w:r>
          </w:p>
          <w:p w14:paraId="5D8F28AB">
            <w:pPr>
              <w:pStyle w:val="6"/>
              <w:spacing w:before="1" w:line="212" w:lineRule="auto"/>
              <w:ind w:left="4" w:right="142"/>
              <w:rPr>
                <w:sz w:val="18"/>
                <w:szCs w:val="18"/>
              </w:rPr>
            </w:pPr>
            <w:r>
              <w:rPr>
                <w:b/>
                <w:bCs/>
                <w:spacing w:val="-3"/>
                <w:sz w:val="18"/>
                <w:szCs w:val="18"/>
              </w:rPr>
              <w:t>5.核对解释：携带用物至床旁，核对并向病</w:t>
            </w:r>
            <w:r>
              <w:rPr>
                <w:spacing w:val="10"/>
                <w:sz w:val="18"/>
                <w:szCs w:val="18"/>
              </w:rPr>
              <w:t xml:space="preserve"> </w:t>
            </w:r>
            <w:r>
              <w:rPr>
                <w:b/>
                <w:bCs/>
                <w:spacing w:val="-3"/>
                <w:sz w:val="18"/>
                <w:szCs w:val="18"/>
              </w:rPr>
              <w:t>人解释。</w:t>
            </w:r>
          </w:p>
          <w:p w14:paraId="2DD8A4B9">
            <w:pPr>
              <w:pStyle w:val="6"/>
              <w:spacing w:before="15" w:line="219" w:lineRule="auto"/>
              <w:ind w:left="4"/>
              <w:rPr>
                <w:sz w:val="18"/>
                <w:szCs w:val="18"/>
              </w:rPr>
            </w:pPr>
            <w:r>
              <w:rPr>
                <w:b/>
                <w:bCs/>
                <w:spacing w:val="-3"/>
                <w:sz w:val="18"/>
                <w:szCs w:val="18"/>
              </w:rPr>
              <w:t>6.安置体位：协助病人采取坐位或卧位。</w:t>
            </w:r>
          </w:p>
          <w:p w14:paraId="28CF5087">
            <w:pPr>
              <w:pStyle w:val="6"/>
              <w:spacing w:before="226" w:line="227" w:lineRule="auto"/>
              <w:ind w:left="4" w:firstLine="9"/>
              <w:rPr>
                <w:sz w:val="18"/>
                <w:szCs w:val="18"/>
              </w:rPr>
            </w:pPr>
            <w:r>
              <w:rPr>
                <w:b/>
                <w:bCs/>
                <w:spacing w:val="-5"/>
                <w:sz w:val="18"/>
                <w:szCs w:val="18"/>
              </w:rPr>
              <w:t>7.测腋温：擦干腋下的汗液，将体温计水银</w:t>
            </w:r>
            <w:r>
              <w:rPr>
                <w:spacing w:val="2"/>
                <w:sz w:val="18"/>
                <w:szCs w:val="18"/>
              </w:rPr>
              <w:t xml:space="preserve">   </w:t>
            </w:r>
            <w:r>
              <w:rPr>
                <w:b/>
                <w:bCs/>
                <w:spacing w:val="-7"/>
                <w:sz w:val="18"/>
                <w:szCs w:val="18"/>
              </w:rPr>
              <w:t>端放于腋窝深处并紧贴皮肤。嘱病人屈臂过胸</w:t>
            </w:r>
            <w:r>
              <w:rPr>
                <w:spacing w:val="15"/>
                <w:sz w:val="18"/>
                <w:szCs w:val="18"/>
              </w:rPr>
              <w:t xml:space="preserve"> </w:t>
            </w:r>
            <w:r>
              <w:rPr>
                <w:b/>
                <w:bCs/>
                <w:spacing w:val="-5"/>
                <w:sz w:val="18"/>
                <w:szCs w:val="18"/>
              </w:rPr>
              <w:t>夹紧，必要时托扶病人手臂，10分钟后读数。</w:t>
            </w:r>
          </w:p>
          <w:p w14:paraId="0A64CA75">
            <w:pPr>
              <w:pStyle w:val="6"/>
              <w:spacing w:before="229" w:line="221" w:lineRule="auto"/>
              <w:ind w:left="4"/>
              <w:rPr>
                <w:sz w:val="18"/>
                <w:szCs w:val="18"/>
              </w:rPr>
            </w:pPr>
            <w:r>
              <w:rPr>
                <w:b/>
                <w:bCs/>
                <w:spacing w:val="-2"/>
                <w:sz w:val="18"/>
                <w:szCs w:val="18"/>
              </w:rPr>
              <w:t>8.测血压：</w:t>
            </w:r>
          </w:p>
          <w:p w14:paraId="5120170D">
            <w:pPr>
              <w:pStyle w:val="6"/>
              <w:spacing w:before="2" w:line="219" w:lineRule="auto"/>
              <w:ind w:left="74"/>
              <w:rPr>
                <w:sz w:val="18"/>
                <w:szCs w:val="18"/>
              </w:rPr>
            </w:pPr>
            <w:r>
              <w:rPr>
                <w:b/>
                <w:bCs/>
                <w:spacing w:val="-2"/>
                <w:sz w:val="18"/>
                <w:szCs w:val="18"/>
              </w:rPr>
              <w:t>(1)将病人衣袖卷至肩部露出上臂，伸直</w:t>
            </w:r>
          </w:p>
          <w:p w14:paraId="1056D09A">
            <w:pPr>
              <w:pStyle w:val="6"/>
              <w:spacing w:before="14" w:line="217" w:lineRule="auto"/>
              <w:ind w:left="4" w:firstLine="48"/>
              <w:rPr>
                <w:sz w:val="18"/>
                <w:szCs w:val="18"/>
              </w:rPr>
            </w:pPr>
            <w:r>
              <w:rPr>
                <w:b/>
                <w:bCs/>
                <w:spacing w:val="-3"/>
                <w:sz w:val="18"/>
                <w:szCs w:val="18"/>
              </w:rPr>
              <w:t>肘部，手掌向上外展15°,保持血压计零点、</w:t>
            </w:r>
            <w:r>
              <w:rPr>
                <w:spacing w:val="14"/>
                <w:sz w:val="18"/>
                <w:szCs w:val="18"/>
              </w:rPr>
              <w:t xml:space="preserve"> </w:t>
            </w:r>
            <w:r>
              <w:rPr>
                <w:b/>
                <w:bCs/>
                <w:spacing w:val="-6"/>
                <w:sz w:val="18"/>
                <w:szCs w:val="18"/>
              </w:rPr>
              <w:t>肱动脉与心脏在同一水平。</w:t>
            </w:r>
          </w:p>
          <w:p w14:paraId="63625886">
            <w:pPr>
              <w:pStyle w:val="6"/>
              <w:spacing w:before="3" w:line="226" w:lineRule="auto"/>
              <w:ind w:left="4" w:right="51" w:firstLine="89"/>
              <w:rPr>
                <w:sz w:val="18"/>
                <w:szCs w:val="18"/>
              </w:rPr>
            </w:pPr>
            <w:r>
              <w:rPr>
                <w:b/>
                <w:bCs/>
                <w:spacing w:val="-2"/>
                <w:sz w:val="18"/>
                <w:szCs w:val="18"/>
              </w:rPr>
              <w:t>(2)放平血压计，排尽袖带内空气，平整无</w:t>
            </w:r>
            <w:r>
              <w:rPr>
                <w:spacing w:val="1"/>
                <w:sz w:val="18"/>
                <w:szCs w:val="18"/>
              </w:rPr>
              <w:t xml:space="preserve">  </w:t>
            </w:r>
            <w:r>
              <w:rPr>
                <w:b/>
                <w:bCs/>
                <w:spacing w:val="1"/>
                <w:sz w:val="18"/>
                <w:szCs w:val="18"/>
              </w:rPr>
              <w:t>折地缠于病人上臂中部，下缘距肘窝2-3</w:t>
            </w:r>
            <w:r>
              <w:rPr>
                <w:b/>
                <w:bCs/>
                <w:sz w:val="18"/>
                <w:szCs w:val="18"/>
              </w:rPr>
              <w:t>cm</w:t>
            </w:r>
            <w:r>
              <w:rPr>
                <w:b/>
                <w:bCs/>
                <w:spacing w:val="1"/>
                <w:sz w:val="18"/>
                <w:szCs w:val="18"/>
              </w:rPr>
              <w:t>,</w:t>
            </w:r>
            <w:r>
              <w:rPr>
                <w:spacing w:val="17"/>
                <w:sz w:val="18"/>
                <w:szCs w:val="18"/>
              </w:rPr>
              <w:t xml:space="preserve"> </w:t>
            </w:r>
            <w:r>
              <w:rPr>
                <w:b/>
                <w:bCs/>
                <w:spacing w:val="-3"/>
                <w:sz w:val="18"/>
                <w:szCs w:val="18"/>
              </w:rPr>
              <w:t>松紧以能放入一指为宜。打开水银槽开关。</w:t>
            </w:r>
          </w:p>
          <w:p w14:paraId="692432A6">
            <w:pPr>
              <w:pStyle w:val="6"/>
              <w:spacing w:before="7" w:line="219" w:lineRule="auto"/>
              <w:ind w:left="94"/>
              <w:rPr>
                <w:sz w:val="18"/>
                <w:szCs w:val="18"/>
              </w:rPr>
            </w:pPr>
            <w:r>
              <w:rPr>
                <w:b/>
                <w:bCs/>
                <w:spacing w:val="-2"/>
                <w:sz w:val="18"/>
                <w:szCs w:val="18"/>
              </w:rPr>
              <w:t>(3)戴好听诊器，将听诊器胸件置于肱动</w:t>
            </w:r>
          </w:p>
          <w:p w14:paraId="74C5328E">
            <w:pPr>
              <w:pStyle w:val="6"/>
              <w:spacing w:before="5" w:line="217" w:lineRule="auto"/>
              <w:ind w:left="34" w:right="109"/>
              <w:rPr>
                <w:sz w:val="18"/>
                <w:szCs w:val="18"/>
              </w:rPr>
            </w:pPr>
            <w:r>
              <w:rPr>
                <w:b/>
                <w:bCs/>
                <w:spacing w:val="-3"/>
                <w:sz w:val="18"/>
                <w:szCs w:val="18"/>
              </w:rPr>
              <w:t>脉搏动明显处，关闭气门，打气至肱动脉搏</w:t>
            </w:r>
            <w:r>
              <w:rPr>
                <w:spacing w:val="11"/>
                <w:sz w:val="18"/>
                <w:szCs w:val="18"/>
              </w:rPr>
              <w:t xml:space="preserve"> </w:t>
            </w:r>
            <w:r>
              <w:rPr>
                <w:b/>
                <w:bCs/>
                <w:spacing w:val="-3"/>
                <w:sz w:val="18"/>
                <w:szCs w:val="18"/>
              </w:rPr>
              <w:t>动音消失，再上升4kPa(30mmHg);然后</w:t>
            </w:r>
          </w:p>
          <w:p w14:paraId="6F86B8E5">
            <w:pPr>
              <w:pStyle w:val="6"/>
              <w:spacing w:before="12" w:line="214" w:lineRule="auto"/>
              <w:ind w:left="4"/>
              <w:rPr>
                <w:sz w:val="18"/>
                <w:szCs w:val="18"/>
              </w:rPr>
            </w:pPr>
            <w:r>
              <w:rPr>
                <w:b/>
                <w:bCs/>
                <w:spacing w:val="-2"/>
                <w:sz w:val="18"/>
                <w:szCs w:val="18"/>
              </w:rPr>
              <w:t>以每秒0.5kPa(4mmHg)的速度缓</w:t>
            </w:r>
            <w:r>
              <w:rPr>
                <w:b/>
                <w:bCs/>
                <w:spacing w:val="-3"/>
                <w:sz w:val="18"/>
                <w:szCs w:val="18"/>
              </w:rPr>
              <w:t>慢放气，</w:t>
            </w:r>
          </w:p>
          <w:p w14:paraId="2FAC6CBC">
            <w:pPr>
              <w:pStyle w:val="6"/>
              <w:spacing w:before="18" w:line="222" w:lineRule="auto"/>
              <w:ind w:left="4" w:right="88" w:firstLine="49"/>
              <w:rPr>
                <w:sz w:val="18"/>
                <w:szCs w:val="18"/>
              </w:rPr>
            </w:pPr>
            <w:r>
              <w:rPr>
                <w:b/>
                <w:bCs/>
                <w:spacing w:val="-3"/>
                <w:sz w:val="18"/>
                <w:szCs w:val="18"/>
              </w:rPr>
              <w:t>注意肱动脉搏动声音和水银柱刻度变化，视</w:t>
            </w:r>
            <w:r>
              <w:rPr>
                <w:spacing w:val="13"/>
                <w:sz w:val="18"/>
                <w:szCs w:val="18"/>
              </w:rPr>
              <w:t xml:space="preserve"> </w:t>
            </w:r>
            <w:r>
              <w:rPr>
                <w:b/>
                <w:bCs/>
                <w:spacing w:val="-2"/>
                <w:sz w:val="18"/>
                <w:szCs w:val="18"/>
              </w:rPr>
              <w:t>线应与水银柱所指刻度保持同一高度。</w:t>
            </w:r>
          </w:p>
          <w:p w14:paraId="14F3FB50">
            <w:pPr>
              <w:pStyle w:val="6"/>
              <w:spacing w:before="6" w:line="215" w:lineRule="auto"/>
              <w:ind w:left="94"/>
              <w:rPr>
                <w:sz w:val="18"/>
                <w:szCs w:val="18"/>
              </w:rPr>
            </w:pPr>
            <w:r>
              <w:rPr>
                <w:b/>
                <w:bCs/>
                <w:spacing w:val="-2"/>
                <w:sz w:val="18"/>
                <w:szCs w:val="18"/>
              </w:rPr>
              <w:t>(4)当听到第一声搏动音时水银柱所指刻</w:t>
            </w:r>
          </w:p>
          <w:p w14:paraId="5022575A">
            <w:pPr>
              <w:pStyle w:val="6"/>
              <w:spacing w:before="2" w:line="227" w:lineRule="auto"/>
              <w:ind w:left="4" w:right="107" w:firstLine="29"/>
              <w:rPr>
                <w:sz w:val="18"/>
                <w:szCs w:val="18"/>
              </w:rPr>
            </w:pPr>
            <w:r>
              <w:rPr>
                <w:b/>
                <w:bCs/>
                <w:spacing w:val="-3"/>
                <w:sz w:val="18"/>
                <w:szCs w:val="18"/>
              </w:rPr>
              <w:t>度为收缩压；当搏动音突然减弱或消失，此</w:t>
            </w:r>
            <w:r>
              <w:rPr>
                <w:spacing w:val="13"/>
                <w:sz w:val="18"/>
                <w:szCs w:val="18"/>
              </w:rPr>
              <w:t xml:space="preserve"> </w:t>
            </w:r>
            <w:r>
              <w:rPr>
                <w:b/>
                <w:bCs/>
                <w:spacing w:val="-3"/>
                <w:sz w:val="18"/>
                <w:szCs w:val="18"/>
              </w:rPr>
              <w:t>时水银柱所指刻度为舒张压。</w:t>
            </w:r>
          </w:p>
          <w:p w14:paraId="46FD53C9">
            <w:pPr>
              <w:pStyle w:val="6"/>
              <w:spacing w:before="6" w:line="219" w:lineRule="auto"/>
              <w:ind w:left="114"/>
              <w:rPr>
                <w:sz w:val="18"/>
                <w:szCs w:val="18"/>
              </w:rPr>
            </w:pPr>
            <w:r>
              <w:rPr>
                <w:b/>
                <w:bCs/>
                <w:spacing w:val="-2"/>
                <w:sz w:val="18"/>
                <w:szCs w:val="18"/>
              </w:rPr>
              <w:t>(5)测量完毕，排尽袖带内余气，整理袖</w:t>
            </w:r>
          </w:p>
          <w:p w14:paraId="6570481D">
            <w:pPr>
              <w:pStyle w:val="6"/>
              <w:spacing w:before="5" w:line="221" w:lineRule="auto"/>
              <w:ind w:left="4" w:right="93" w:firstLine="49"/>
              <w:rPr>
                <w:sz w:val="18"/>
                <w:szCs w:val="18"/>
              </w:rPr>
            </w:pPr>
            <w:r>
              <w:rPr>
                <w:b/>
                <w:bCs/>
                <w:spacing w:val="-3"/>
                <w:sz w:val="18"/>
                <w:szCs w:val="18"/>
              </w:rPr>
              <w:t>带放入盒内，将血压计右倾45°关闭水银槽</w:t>
            </w:r>
            <w:r>
              <w:rPr>
                <w:spacing w:val="9"/>
                <w:sz w:val="18"/>
                <w:szCs w:val="18"/>
              </w:rPr>
              <w:t xml:space="preserve"> </w:t>
            </w:r>
            <w:r>
              <w:rPr>
                <w:b/>
                <w:bCs/>
                <w:spacing w:val="-3"/>
                <w:sz w:val="18"/>
                <w:szCs w:val="18"/>
              </w:rPr>
              <w:t>开关，整理妥当，盖盒。</w:t>
            </w:r>
          </w:p>
          <w:p w14:paraId="43DCC342">
            <w:pPr>
              <w:pStyle w:val="6"/>
              <w:spacing w:before="1" w:line="219" w:lineRule="auto"/>
              <w:ind w:left="4"/>
              <w:rPr>
                <w:sz w:val="18"/>
                <w:szCs w:val="18"/>
              </w:rPr>
            </w:pPr>
            <w:r>
              <w:rPr>
                <w:b/>
                <w:bCs/>
                <w:spacing w:val="-2"/>
                <w:sz w:val="18"/>
                <w:szCs w:val="18"/>
              </w:rPr>
              <w:t>9.测脉搏：</w:t>
            </w:r>
          </w:p>
          <w:p w14:paraId="60535A0A">
            <w:pPr>
              <w:pStyle w:val="6"/>
              <w:spacing w:before="15" w:line="223" w:lineRule="auto"/>
              <w:ind w:left="4" w:right="306" w:firstLine="89"/>
              <w:rPr>
                <w:sz w:val="18"/>
                <w:szCs w:val="18"/>
              </w:rPr>
            </w:pPr>
            <w:r>
              <w:rPr>
                <w:b/>
                <w:bCs/>
                <w:spacing w:val="-2"/>
                <w:sz w:val="18"/>
                <w:szCs w:val="18"/>
              </w:rPr>
              <w:t>(1)协助病人采取舒适的姿势，手臂轻松</w:t>
            </w:r>
            <w:r>
              <w:rPr>
                <w:spacing w:val="5"/>
                <w:sz w:val="18"/>
                <w:szCs w:val="18"/>
              </w:rPr>
              <w:t xml:space="preserve"> </w:t>
            </w:r>
            <w:r>
              <w:rPr>
                <w:b/>
                <w:bCs/>
                <w:spacing w:val="-3"/>
                <w:sz w:val="18"/>
                <w:szCs w:val="18"/>
              </w:rPr>
              <w:t>置于床上或桌面。</w:t>
            </w:r>
          </w:p>
        </w:tc>
        <w:tc>
          <w:tcPr>
            <w:tcW w:w="2287" w:type="dxa"/>
            <w:vAlign w:val="top"/>
          </w:tcPr>
          <w:p w14:paraId="18E6D820">
            <w:pPr>
              <w:pStyle w:val="6"/>
              <w:spacing w:before="25" w:line="218" w:lineRule="auto"/>
              <w:ind w:left="8" w:firstLine="19"/>
              <w:rPr>
                <w:sz w:val="18"/>
                <w:szCs w:val="18"/>
              </w:rPr>
            </w:pPr>
            <w:r>
              <w:rPr>
                <w:b/>
                <w:bCs/>
                <w:spacing w:val="-14"/>
                <w:sz w:val="18"/>
                <w:szCs w:val="18"/>
              </w:rPr>
              <w:t>1.分值5分(一项未做到扣1分，</w:t>
            </w:r>
            <w:r>
              <w:rPr>
                <w:spacing w:val="11"/>
                <w:sz w:val="18"/>
                <w:szCs w:val="18"/>
              </w:rPr>
              <w:t xml:space="preserve"> </w:t>
            </w:r>
            <w:r>
              <w:rPr>
                <w:b/>
                <w:bCs/>
                <w:spacing w:val="-3"/>
                <w:sz w:val="18"/>
                <w:szCs w:val="18"/>
              </w:rPr>
              <w:t>未洗手扣2分)</w:t>
            </w:r>
          </w:p>
          <w:p w14:paraId="1FF67098">
            <w:pPr>
              <w:pStyle w:val="6"/>
              <w:spacing w:before="22" w:line="214" w:lineRule="auto"/>
              <w:ind w:left="8" w:right="203"/>
              <w:rPr>
                <w:sz w:val="18"/>
                <w:szCs w:val="18"/>
              </w:rPr>
            </w:pPr>
            <w:r>
              <w:rPr>
                <w:b/>
                <w:bCs/>
                <w:spacing w:val="-3"/>
                <w:sz w:val="18"/>
                <w:szCs w:val="18"/>
              </w:rPr>
              <w:t>2.分值5分(未评估扣2分，</w:t>
            </w:r>
            <w:r>
              <w:rPr>
                <w:spacing w:val="9"/>
                <w:sz w:val="18"/>
                <w:szCs w:val="18"/>
              </w:rPr>
              <w:t xml:space="preserve"> </w:t>
            </w:r>
            <w:r>
              <w:rPr>
                <w:b/>
                <w:bCs/>
                <w:spacing w:val="3"/>
                <w:sz w:val="18"/>
                <w:szCs w:val="18"/>
              </w:rPr>
              <w:t>缺一项扣1分)</w:t>
            </w:r>
          </w:p>
          <w:p w14:paraId="36863543">
            <w:pPr>
              <w:pStyle w:val="6"/>
              <w:spacing w:before="3" w:line="228" w:lineRule="auto"/>
              <w:ind w:left="8" w:firstLine="9"/>
              <w:rPr>
                <w:sz w:val="18"/>
                <w:szCs w:val="18"/>
              </w:rPr>
            </w:pPr>
            <w:r>
              <w:rPr>
                <w:b/>
                <w:bCs/>
                <w:spacing w:val="-13"/>
                <w:sz w:val="18"/>
                <w:szCs w:val="18"/>
              </w:rPr>
              <w:t>3.分值5分(物品缺一样扣1分，</w:t>
            </w:r>
            <w:r>
              <w:rPr>
                <w:spacing w:val="5"/>
                <w:sz w:val="18"/>
                <w:szCs w:val="18"/>
              </w:rPr>
              <w:t xml:space="preserve"> </w:t>
            </w:r>
            <w:r>
              <w:rPr>
                <w:b/>
                <w:bCs/>
                <w:spacing w:val="-3"/>
                <w:sz w:val="18"/>
                <w:szCs w:val="18"/>
              </w:rPr>
              <w:t>未检查扣1分)</w:t>
            </w:r>
          </w:p>
          <w:p w14:paraId="565DD02B">
            <w:pPr>
              <w:pStyle w:val="6"/>
              <w:spacing w:before="235" w:line="223" w:lineRule="auto"/>
              <w:ind w:left="8" w:firstLine="9"/>
              <w:rPr>
                <w:sz w:val="18"/>
                <w:szCs w:val="18"/>
              </w:rPr>
            </w:pPr>
            <w:r>
              <w:rPr>
                <w:b/>
                <w:bCs/>
                <w:spacing w:val="-7"/>
                <w:sz w:val="18"/>
                <w:szCs w:val="18"/>
              </w:rPr>
              <w:t>4.分值5分(未评估环境扣5分)</w:t>
            </w:r>
            <w:r>
              <w:rPr>
                <w:sz w:val="18"/>
                <w:szCs w:val="18"/>
              </w:rPr>
              <w:t xml:space="preserve"> </w:t>
            </w:r>
            <w:r>
              <w:rPr>
                <w:b/>
                <w:bCs/>
                <w:spacing w:val="-2"/>
                <w:sz w:val="18"/>
                <w:szCs w:val="18"/>
              </w:rPr>
              <w:t>5.分值5分(未核对扣2分)</w:t>
            </w:r>
          </w:p>
          <w:p w14:paraId="1ADFE2C2">
            <w:pPr>
              <w:pStyle w:val="6"/>
              <w:spacing w:before="206" w:line="231" w:lineRule="auto"/>
              <w:ind w:left="8" w:right="84" w:firstLine="9"/>
              <w:rPr>
                <w:sz w:val="18"/>
                <w:szCs w:val="18"/>
              </w:rPr>
            </w:pPr>
            <w:r>
              <w:rPr>
                <w:b/>
                <w:bCs/>
                <w:spacing w:val="-1"/>
                <w:sz w:val="18"/>
                <w:szCs w:val="18"/>
              </w:rPr>
              <w:t>6.分值5分(未解释、不说明</w:t>
            </w:r>
            <w:r>
              <w:rPr>
                <w:sz w:val="18"/>
                <w:szCs w:val="18"/>
              </w:rPr>
              <w:t xml:space="preserve"> </w:t>
            </w:r>
            <w:r>
              <w:rPr>
                <w:b/>
                <w:bCs/>
                <w:spacing w:val="2"/>
                <w:sz w:val="18"/>
                <w:szCs w:val="18"/>
              </w:rPr>
              <w:t>注意事项扣3分)</w:t>
            </w:r>
          </w:p>
          <w:p w14:paraId="23BFF606">
            <w:pPr>
              <w:pStyle w:val="6"/>
              <w:spacing w:before="1" w:line="228" w:lineRule="auto"/>
              <w:ind w:left="8" w:firstLine="9"/>
              <w:jc w:val="both"/>
              <w:rPr>
                <w:sz w:val="18"/>
                <w:szCs w:val="18"/>
              </w:rPr>
            </w:pPr>
            <w:r>
              <w:rPr>
                <w:b/>
                <w:bCs/>
                <w:spacing w:val="-9"/>
                <w:sz w:val="18"/>
                <w:szCs w:val="18"/>
              </w:rPr>
              <w:t>7.分值10分(体温计放置位置</w:t>
            </w:r>
            <w:r>
              <w:rPr>
                <w:spacing w:val="5"/>
                <w:sz w:val="18"/>
                <w:szCs w:val="18"/>
              </w:rPr>
              <w:t xml:space="preserve">  </w:t>
            </w:r>
            <w:r>
              <w:rPr>
                <w:b/>
                <w:bCs/>
                <w:spacing w:val="-8"/>
                <w:sz w:val="18"/>
                <w:szCs w:val="18"/>
              </w:rPr>
              <w:t>不当扣5分；时间不足扣2分；</w:t>
            </w:r>
            <w:r>
              <w:rPr>
                <w:spacing w:val="12"/>
                <w:sz w:val="18"/>
                <w:szCs w:val="18"/>
              </w:rPr>
              <w:t xml:space="preserve"> </w:t>
            </w:r>
            <w:r>
              <w:rPr>
                <w:b/>
                <w:bCs/>
                <w:spacing w:val="-20"/>
                <w:w w:val="97"/>
                <w:sz w:val="18"/>
                <w:szCs w:val="18"/>
              </w:rPr>
              <w:t>不擦干腋下扣1分；不屈臂过胸、</w:t>
            </w:r>
            <w:r>
              <w:rPr>
                <w:spacing w:val="7"/>
                <w:sz w:val="18"/>
                <w:szCs w:val="18"/>
              </w:rPr>
              <w:t xml:space="preserve"> </w:t>
            </w:r>
            <w:r>
              <w:rPr>
                <w:b/>
                <w:bCs/>
                <w:spacing w:val="-5"/>
                <w:sz w:val="18"/>
                <w:szCs w:val="18"/>
              </w:rPr>
              <w:t>不紧贴皮肤各扣1分)</w:t>
            </w:r>
          </w:p>
          <w:p w14:paraId="0750C666">
            <w:pPr>
              <w:pStyle w:val="6"/>
              <w:spacing w:line="225" w:lineRule="auto"/>
              <w:ind w:left="8"/>
              <w:rPr>
                <w:sz w:val="18"/>
                <w:szCs w:val="18"/>
              </w:rPr>
            </w:pPr>
            <w:r>
              <w:rPr>
                <w:b/>
                <w:bCs/>
                <w:spacing w:val="-8"/>
                <w:sz w:val="18"/>
                <w:szCs w:val="18"/>
              </w:rPr>
              <w:t>8.分值20分(卧位不舒适、姿</w:t>
            </w:r>
            <w:r>
              <w:rPr>
                <w:sz w:val="18"/>
                <w:szCs w:val="18"/>
              </w:rPr>
              <w:t xml:space="preserve">  </w:t>
            </w:r>
            <w:r>
              <w:rPr>
                <w:b/>
                <w:bCs/>
                <w:spacing w:val="-8"/>
                <w:sz w:val="18"/>
                <w:szCs w:val="18"/>
              </w:rPr>
              <w:t>式不正确、上臂暴露不充分、</w:t>
            </w:r>
            <w:r>
              <w:rPr>
                <w:spacing w:val="6"/>
                <w:sz w:val="18"/>
                <w:szCs w:val="18"/>
              </w:rPr>
              <w:t xml:space="preserve"> </w:t>
            </w:r>
            <w:r>
              <w:rPr>
                <w:b/>
                <w:bCs/>
                <w:spacing w:val="-9"/>
                <w:sz w:val="18"/>
                <w:szCs w:val="18"/>
              </w:rPr>
              <w:t>卷袖口过紧各扣2分；不检查</w:t>
            </w:r>
            <w:r>
              <w:rPr>
                <w:spacing w:val="5"/>
                <w:sz w:val="18"/>
                <w:szCs w:val="18"/>
              </w:rPr>
              <w:t xml:space="preserve">  </w:t>
            </w:r>
            <w:r>
              <w:rPr>
                <w:b/>
                <w:bCs/>
                <w:spacing w:val="-14"/>
                <w:sz w:val="18"/>
                <w:szCs w:val="18"/>
              </w:rPr>
              <w:t>血压计、袖带不平整、松紧不</w:t>
            </w:r>
            <w:r>
              <w:rPr>
                <w:spacing w:val="3"/>
                <w:sz w:val="18"/>
                <w:szCs w:val="18"/>
              </w:rPr>
              <w:t xml:space="preserve">  </w:t>
            </w:r>
            <w:r>
              <w:rPr>
                <w:b/>
                <w:bCs/>
                <w:spacing w:val="-19"/>
                <w:w w:val="96"/>
                <w:sz w:val="18"/>
                <w:szCs w:val="18"/>
              </w:rPr>
              <w:t>符合要求、部位不正确各扣2分；</w:t>
            </w:r>
            <w:r>
              <w:rPr>
                <w:spacing w:val="18"/>
                <w:sz w:val="18"/>
                <w:szCs w:val="18"/>
              </w:rPr>
              <w:t xml:space="preserve"> </w:t>
            </w:r>
            <w:r>
              <w:rPr>
                <w:b/>
                <w:bCs/>
                <w:spacing w:val="-8"/>
                <w:sz w:val="18"/>
                <w:szCs w:val="18"/>
              </w:rPr>
              <w:t>充气过快扣2分，数值误差&gt;</w:t>
            </w:r>
            <w:r>
              <w:rPr>
                <w:sz w:val="18"/>
                <w:szCs w:val="18"/>
              </w:rPr>
              <w:t xml:space="preserve">   </w:t>
            </w:r>
            <w:r>
              <w:rPr>
                <w:b/>
                <w:bCs/>
                <w:spacing w:val="-8"/>
                <w:sz w:val="18"/>
                <w:szCs w:val="18"/>
              </w:rPr>
              <w:t>0.6Kpa扣5分；重复测量时水</w:t>
            </w:r>
            <w:r>
              <w:rPr>
                <w:spacing w:val="2"/>
                <w:sz w:val="18"/>
                <w:szCs w:val="18"/>
              </w:rPr>
              <w:t xml:space="preserve">  </w:t>
            </w:r>
            <w:r>
              <w:rPr>
                <w:b/>
                <w:bCs/>
                <w:spacing w:val="-14"/>
                <w:sz w:val="18"/>
                <w:szCs w:val="18"/>
              </w:rPr>
              <w:t>银柱未降至零点即充气扣2分；</w:t>
            </w:r>
            <w:r>
              <w:rPr>
                <w:spacing w:val="6"/>
                <w:sz w:val="18"/>
                <w:szCs w:val="18"/>
              </w:rPr>
              <w:t xml:space="preserve"> </w:t>
            </w:r>
            <w:r>
              <w:rPr>
                <w:b/>
                <w:bCs/>
                <w:spacing w:val="-14"/>
                <w:sz w:val="18"/>
                <w:szCs w:val="18"/>
              </w:rPr>
              <w:t>气未排尽，袖带不平整，装盒</w:t>
            </w:r>
            <w:r>
              <w:rPr>
                <w:spacing w:val="1"/>
                <w:sz w:val="18"/>
                <w:szCs w:val="18"/>
              </w:rPr>
              <w:t xml:space="preserve">  </w:t>
            </w:r>
            <w:r>
              <w:rPr>
                <w:b/>
                <w:bCs/>
                <w:spacing w:val="-11"/>
                <w:sz w:val="18"/>
                <w:szCs w:val="18"/>
              </w:rPr>
              <w:t>不符合要求，不记录各扣2分)</w:t>
            </w:r>
          </w:p>
          <w:p w14:paraId="15ED34BB">
            <w:pPr>
              <w:spacing w:line="273" w:lineRule="auto"/>
              <w:rPr>
                <w:rFonts w:ascii="Arial"/>
                <w:sz w:val="21"/>
              </w:rPr>
            </w:pPr>
          </w:p>
          <w:p w14:paraId="4034F51E">
            <w:pPr>
              <w:spacing w:line="273" w:lineRule="auto"/>
              <w:rPr>
                <w:rFonts w:ascii="Arial"/>
                <w:sz w:val="21"/>
              </w:rPr>
            </w:pPr>
          </w:p>
          <w:p w14:paraId="671D6B9D">
            <w:pPr>
              <w:spacing w:line="274" w:lineRule="auto"/>
              <w:rPr>
                <w:rFonts w:ascii="Arial"/>
                <w:sz w:val="21"/>
              </w:rPr>
            </w:pPr>
          </w:p>
          <w:p w14:paraId="438A161D">
            <w:pPr>
              <w:spacing w:line="274" w:lineRule="auto"/>
              <w:rPr>
                <w:rFonts w:ascii="Arial"/>
                <w:sz w:val="21"/>
              </w:rPr>
            </w:pPr>
          </w:p>
          <w:p w14:paraId="0BFE3FA3">
            <w:pPr>
              <w:spacing w:line="274" w:lineRule="auto"/>
              <w:rPr>
                <w:rFonts w:ascii="Arial"/>
                <w:sz w:val="21"/>
              </w:rPr>
            </w:pPr>
          </w:p>
          <w:p w14:paraId="5753FB67">
            <w:pPr>
              <w:spacing w:line="274" w:lineRule="auto"/>
              <w:rPr>
                <w:rFonts w:ascii="Arial"/>
                <w:sz w:val="21"/>
              </w:rPr>
            </w:pPr>
          </w:p>
          <w:p w14:paraId="511300D9">
            <w:pPr>
              <w:spacing w:line="274" w:lineRule="auto"/>
              <w:rPr>
                <w:rFonts w:ascii="Arial"/>
                <w:sz w:val="21"/>
              </w:rPr>
            </w:pPr>
          </w:p>
          <w:p w14:paraId="686117FF">
            <w:pPr>
              <w:pStyle w:val="6"/>
              <w:spacing w:before="59" w:line="220" w:lineRule="auto"/>
              <w:ind w:left="8"/>
              <w:rPr>
                <w:sz w:val="18"/>
                <w:szCs w:val="18"/>
              </w:rPr>
            </w:pPr>
            <w:r>
              <w:rPr>
                <w:b/>
                <w:bCs/>
                <w:spacing w:val="20"/>
                <w:sz w:val="18"/>
                <w:szCs w:val="18"/>
              </w:rPr>
              <w:t>9</w:t>
            </w:r>
            <w:r>
              <w:rPr>
                <w:spacing w:val="-39"/>
                <w:sz w:val="18"/>
                <w:szCs w:val="18"/>
              </w:rPr>
              <w:t xml:space="preserve"> </w:t>
            </w:r>
            <w:r>
              <w:rPr>
                <w:b/>
                <w:bCs/>
                <w:spacing w:val="20"/>
                <w:sz w:val="18"/>
                <w:szCs w:val="18"/>
              </w:rPr>
              <w:t>.</w:t>
            </w:r>
            <w:r>
              <w:rPr>
                <w:spacing w:val="-49"/>
                <w:sz w:val="18"/>
                <w:szCs w:val="18"/>
              </w:rPr>
              <w:t xml:space="preserve"> </w:t>
            </w:r>
            <w:r>
              <w:rPr>
                <w:b/>
                <w:bCs/>
                <w:spacing w:val="20"/>
                <w:sz w:val="18"/>
                <w:szCs w:val="18"/>
              </w:rPr>
              <w:t>分值15分(姿势不符合</w:t>
            </w:r>
            <w:r>
              <w:rPr>
                <w:sz w:val="18"/>
                <w:szCs w:val="18"/>
              </w:rPr>
              <w:t xml:space="preserve"> </w:t>
            </w:r>
            <w:r>
              <w:rPr>
                <w:b/>
                <w:bCs/>
                <w:spacing w:val="-3"/>
                <w:sz w:val="18"/>
                <w:szCs w:val="18"/>
              </w:rPr>
              <w:t>要求扣2分；时间不足、次</w:t>
            </w:r>
          </w:p>
          <w:p w14:paraId="37779D02">
            <w:pPr>
              <w:pStyle w:val="6"/>
              <w:spacing w:line="218" w:lineRule="auto"/>
              <w:ind w:left="8" w:right="926"/>
              <w:rPr>
                <w:sz w:val="18"/>
                <w:szCs w:val="18"/>
              </w:rPr>
            </w:pPr>
            <w:r>
              <w:rPr>
                <w:b/>
                <w:bCs/>
                <w:spacing w:val="-3"/>
                <w:sz w:val="18"/>
                <w:szCs w:val="18"/>
              </w:rPr>
              <w:t>数误差超过2次以</w:t>
            </w:r>
            <w:r>
              <w:rPr>
                <w:sz w:val="18"/>
                <w:szCs w:val="18"/>
              </w:rPr>
              <w:t xml:space="preserve"> </w:t>
            </w:r>
            <w:r>
              <w:rPr>
                <w:b/>
                <w:bCs/>
                <w:spacing w:val="3"/>
                <w:sz w:val="18"/>
                <w:szCs w:val="18"/>
              </w:rPr>
              <w:t>上者各扣2分)</w:t>
            </w:r>
          </w:p>
        </w:tc>
        <w:tc>
          <w:tcPr>
            <w:tcW w:w="844" w:type="dxa"/>
            <w:vAlign w:val="top"/>
          </w:tcPr>
          <w:p w14:paraId="08CC7EC1">
            <w:pPr>
              <w:pStyle w:val="6"/>
              <w:spacing w:before="35" w:line="224" w:lineRule="auto"/>
              <w:ind w:left="11" w:firstLine="8"/>
              <w:jc w:val="both"/>
              <w:rPr>
                <w:sz w:val="18"/>
                <w:szCs w:val="18"/>
              </w:rPr>
            </w:pPr>
            <w:r>
              <w:rPr>
                <w:b/>
                <w:bCs/>
                <w:spacing w:val="-24"/>
                <w:w w:val="96"/>
                <w:sz w:val="18"/>
                <w:szCs w:val="18"/>
              </w:rPr>
              <w:t>1.安全、准</w:t>
            </w:r>
            <w:r>
              <w:rPr>
                <w:spacing w:val="3"/>
                <w:sz w:val="18"/>
                <w:szCs w:val="18"/>
              </w:rPr>
              <w:t xml:space="preserve">  </w:t>
            </w:r>
            <w:r>
              <w:rPr>
                <w:b/>
                <w:bCs/>
                <w:spacing w:val="-18"/>
                <w:w w:val="92"/>
                <w:sz w:val="18"/>
                <w:szCs w:val="18"/>
              </w:rPr>
              <w:t>确、及时测</w:t>
            </w:r>
            <w:r>
              <w:rPr>
                <w:spacing w:val="4"/>
                <w:sz w:val="18"/>
                <w:szCs w:val="18"/>
              </w:rPr>
              <w:t xml:space="preserve"> </w:t>
            </w:r>
            <w:r>
              <w:rPr>
                <w:b/>
                <w:bCs/>
                <w:spacing w:val="-9"/>
                <w:sz w:val="18"/>
                <w:szCs w:val="18"/>
              </w:rPr>
              <w:t>量入院病</w:t>
            </w:r>
            <w:r>
              <w:rPr>
                <w:sz w:val="18"/>
                <w:szCs w:val="18"/>
              </w:rPr>
              <w:t xml:space="preserve">  </w:t>
            </w:r>
            <w:r>
              <w:rPr>
                <w:b/>
                <w:bCs/>
                <w:spacing w:val="-18"/>
                <w:sz w:val="18"/>
                <w:szCs w:val="18"/>
              </w:rPr>
              <w:t>人的体温、</w:t>
            </w:r>
            <w:r>
              <w:rPr>
                <w:spacing w:val="1"/>
                <w:sz w:val="18"/>
                <w:szCs w:val="18"/>
              </w:rPr>
              <w:t xml:space="preserve"> </w:t>
            </w:r>
            <w:r>
              <w:rPr>
                <w:b/>
                <w:bCs/>
                <w:spacing w:val="-9"/>
                <w:sz w:val="18"/>
                <w:szCs w:val="18"/>
              </w:rPr>
              <w:t>脉搏、呼</w:t>
            </w:r>
            <w:r>
              <w:rPr>
                <w:sz w:val="18"/>
                <w:szCs w:val="18"/>
              </w:rPr>
              <w:t xml:space="preserve">  </w:t>
            </w:r>
            <w:r>
              <w:rPr>
                <w:b/>
                <w:bCs/>
                <w:spacing w:val="-18"/>
                <w:sz w:val="18"/>
                <w:szCs w:val="18"/>
              </w:rPr>
              <w:t>吸和血压，</w:t>
            </w:r>
            <w:r>
              <w:rPr>
                <w:spacing w:val="1"/>
                <w:sz w:val="18"/>
                <w:szCs w:val="18"/>
              </w:rPr>
              <w:t xml:space="preserve"> </w:t>
            </w:r>
            <w:r>
              <w:rPr>
                <w:b/>
                <w:bCs/>
                <w:spacing w:val="-12"/>
                <w:w w:val="88"/>
                <w:sz w:val="18"/>
                <w:szCs w:val="18"/>
              </w:rPr>
              <w:t>为疾病诊疗</w:t>
            </w:r>
            <w:r>
              <w:rPr>
                <w:spacing w:val="2"/>
                <w:sz w:val="18"/>
                <w:szCs w:val="18"/>
              </w:rPr>
              <w:t xml:space="preserve">  </w:t>
            </w:r>
            <w:r>
              <w:rPr>
                <w:b/>
                <w:bCs/>
                <w:spacing w:val="-14"/>
                <w:w w:val="89"/>
                <w:sz w:val="18"/>
                <w:szCs w:val="18"/>
              </w:rPr>
              <w:t>和制定护理</w:t>
            </w:r>
            <w:r>
              <w:rPr>
                <w:spacing w:val="2"/>
                <w:sz w:val="18"/>
                <w:szCs w:val="18"/>
              </w:rPr>
              <w:t xml:space="preserve">  </w:t>
            </w:r>
            <w:r>
              <w:rPr>
                <w:b/>
                <w:bCs/>
                <w:spacing w:val="-12"/>
                <w:w w:val="88"/>
                <w:sz w:val="18"/>
                <w:szCs w:val="18"/>
              </w:rPr>
              <w:t>措施提供依</w:t>
            </w:r>
            <w:r>
              <w:rPr>
                <w:spacing w:val="3"/>
                <w:sz w:val="18"/>
                <w:szCs w:val="18"/>
              </w:rPr>
              <w:t xml:space="preserve">  </w:t>
            </w:r>
            <w:r>
              <w:rPr>
                <w:b/>
                <w:bCs/>
                <w:spacing w:val="-7"/>
                <w:sz w:val="18"/>
                <w:szCs w:val="18"/>
              </w:rPr>
              <w:t>据。</w:t>
            </w:r>
          </w:p>
          <w:p w14:paraId="60B71BDC">
            <w:pPr>
              <w:pStyle w:val="6"/>
              <w:spacing w:before="7" w:line="224" w:lineRule="auto"/>
              <w:ind w:left="31" w:right="61" w:firstLine="30"/>
              <w:jc w:val="both"/>
              <w:rPr>
                <w:sz w:val="18"/>
                <w:szCs w:val="18"/>
              </w:rPr>
            </w:pPr>
            <w:r>
              <w:rPr>
                <w:b/>
                <w:bCs/>
                <w:spacing w:val="-4"/>
                <w:sz w:val="18"/>
                <w:szCs w:val="18"/>
              </w:rPr>
              <w:t>2.建议20</w:t>
            </w:r>
            <w:r>
              <w:rPr>
                <w:spacing w:val="2"/>
                <w:sz w:val="18"/>
                <w:szCs w:val="18"/>
              </w:rPr>
              <w:t xml:space="preserve"> </w:t>
            </w:r>
            <w:r>
              <w:rPr>
                <w:b/>
                <w:bCs/>
                <w:spacing w:val="3"/>
                <w:sz w:val="18"/>
                <w:szCs w:val="18"/>
              </w:rPr>
              <w:t>分钟内完</w:t>
            </w:r>
            <w:r>
              <w:rPr>
                <w:sz w:val="18"/>
                <w:szCs w:val="18"/>
              </w:rPr>
              <w:t xml:space="preserve"> </w:t>
            </w:r>
            <w:r>
              <w:rPr>
                <w:b/>
                <w:bCs/>
                <w:spacing w:val="-4"/>
                <w:sz w:val="18"/>
                <w:szCs w:val="18"/>
              </w:rPr>
              <w:t>成。</w:t>
            </w:r>
          </w:p>
        </w:tc>
      </w:tr>
    </w:tbl>
    <w:p w14:paraId="5391F5BF">
      <w:pPr>
        <w:pStyle w:val="2"/>
        <w:spacing w:line="204" w:lineRule="exact"/>
        <w:rPr>
          <w:sz w:val="17"/>
        </w:rPr>
      </w:pPr>
    </w:p>
    <w:p w14:paraId="4B3B85F7">
      <w:pPr>
        <w:spacing w:line="204" w:lineRule="exact"/>
        <w:rPr>
          <w:sz w:val="17"/>
          <w:szCs w:val="17"/>
        </w:rPr>
        <w:sectPr>
          <w:footerReference r:id="rId134" w:type="default"/>
          <w:pgSz w:w="10660" w:h="15080"/>
          <w:pgMar w:top="400" w:right="1034" w:bottom="920" w:left="809" w:header="0" w:footer="748" w:gutter="0"/>
          <w:cols w:space="720" w:num="1"/>
        </w:sectPr>
      </w:pPr>
    </w:p>
    <w:p w14:paraId="227D3BB7">
      <w:pPr>
        <w:spacing w:before="8"/>
      </w:pPr>
    </w:p>
    <w:p w14:paraId="450BB25F">
      <w:pPr>
        <w:spacing w:before="7"/>
      </w:pPr>
    </w:p>
    <w:p w14:paraId="135E37A5">
      <w:pPr>
        <w:spacing w:before="7"/>
      </w:pPr>
    </w:p>
    <w:p w14:paraId="260C9716">
      <w:pPr>
        <w:spacing w:before="7"/>
      </w:pPr>
    </w:p>
    <w:tbl>
      <w:tblPr>
        <w:tblStyle w:val="5"/>
        <w:tblW w:w="87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474"/>
        <w:gridCol w:w="499"/>
        <w:gridCol w:w="1059"/>
        <w:gridCol w:w="3546"/>
        <w:gridCol w:w="2287"/>
        <w:gridCol w:w="854"/>
      </w:tblGrid>
      <w:tr w14:paraId="17114A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5" w:hRule="atLeast"/>
        </w:trPr>
        <w:tc>
          <w:tcPr>
            <w:tcW w:w="474" w:type="dxa"/>
            <w:shd w:val="clear" w:color="auto" w:fill="231F20"/>
            <w:vAlign w:val="top"/>
          </w:tcPr>
          <w:p w14:paraId="1EDFFCD2">
            <w:pPr>
              <w:pStyle w:val="6"/>
              <w:spacing w:before="91" w:line="207" w:lineRule="auto"/>
              <w:ind w:left="37" w:right="15"/>
              <w:rPr>
                <w:sz w:val="19"/>
                <w:szCs w:val="19"/>
              </w:rPr>
            </w:pPr>
            <w:r>
              <w:rPr>
                <w:b/>
                <w:bCs/>
                <w:color w:val="FFFFFF"/>
                <w:spacing w:val="-7"/>
                <w:sz w:val="19"/>
                <w:szCs w:val="19"/>
              </w:rPr>
              <w:t>测试</w:t>
            </w:r>
            <w:r>
              <w:rPr>
                <w:color w:val="FFFFFF"/>
                <w:sz w:val="19"/>
                <w:szCs w:val="19"/>
              </w:rPr>
              <w:t xml:space="preserve"> </w:t>
            </w:r>
            <w:r>
              <w:rPr>
                <w:b/>
                <w:bCs/>
                <w:color w:val="FFFFFF"/>
                <w:spacing w:val="13"/>
                <w:sz w:val="19"/>
                <w:szCs w:val="19"/>
              </w:rPr>
              <w:t>项目</w:t>
            </w:r>
          </w:p>
        </w:tc>
        <w:tc>
          <w:tcPr>
            <w:tcW w:w="499" w:type="dxa"/>
            <w:vAlign w:val="top"/>
          </w:tcPr>
          <w:p w14:paraId="3A03DBDF">
            <w:pPr>
              <w:pStyle w:val="6"/>
              <w:spacing w:before="102" w:line="212" w:lineRule="auto"/>
              <w:ind w:left="53" w:right="63"/>
              <w:rPr>
                <w:sz w:val="19"/>
                <w:szCs w:val="19"/>
              </w:rPr>
            </w:pPr>
            <w:r>
              <w:rPr>
                <w:b/>
                <w:bCs/>
                <w:spacing w:val="-7"/>
                <w:sz w:val="19"/>
                <w:szCs w:val="19"/>
              </w:rPr>
              <w:t>测试</w:t>
            </w:r>
            <w:r>
              <w:rPr>
                <w:sz w:val="19"/>
                <w:szCs w:val="19"/>
              </w:rPr>
              <w:t xml:space="preserve"> </w:t>
            </w:r>
            <w:r>
              <w:rPr>
                <w:b/>
                <w:bCs/>
                <w:spacing w:val="-7"/>
                <w:sz w:val="19"/>
                <w:szCs w:val="19"/>
              </w:rPr>
              <w:t>用具</w:t>
            </w:r>
          </w:p>
        </w:tc>
        <w:tc>
          <w:tcPr>
            <w:tcW w:w="1059" w:type="dxa"/>
            <w:vAlign w:val="top"/>
          </w:tcPr>
          <w:p w14:paraId="6CDCAC41">
            <w:pPr>
              <w:pStyle w:val="6"/>
              <w:spacing w:before="200" w:line="219" w:lineRule="auto"/>
              <w:ind w:left="194"/>
              <w:rPr>
                <w:sz w:val="19"/>
                <w:szCs w:val="19"/>
              </w:rPr>
            </w:pPr>
            <w:r>
              <w:rPr>
                <w:b/>
                <w:bCs/>
                <w:spacing w:val="-4"/>
                <w:sz w:val="19"/>
                <w:szCs w:val="19"/>
              </w:rPr>
              <w:t>测试内容</w:t>
            </w:r>
          </w:p>
        </w:tc>
        <w:tc>
          <w:tcPr>
            <w:tcW w:w="3546" w:type="dxa"/>
            <w:vAlign w:val="top"/>
          </w:tcPr>
          <w:p w14:paraId="76F58728">
            <w:pPr>
              <w:pStyle w:val="6"/>
              <w:spacing w:before="201" w:line="221" w:lineRule="auto"/>
              <w:ind w:left="1385"/>
              <w:rPr>
                <w:sz w:val="19"/>
                <w:szCs w:val="19"/>
              </w:rPr>
            </w:pPr>
            <w:r>
              <w:rPr>
                <w:b/>
                <w:bCs/>
                <w:spacing w:val="-4"/>
                <w:sz w:val="19"/>
                <w:szCs w:val="19"/>
              </w:rPr>
              <w:t>测试方法</w:t>
            </w:r>
          </w:p>
        </w:tc>
        <w:tc>
          <w:tcPr>
            <w:tcW w:w="2287" w:type="dxa"/>
            <w:vAlign w:val="top"/>
          </w:tcPr>
          <w:p w14:paraId="39E52AAC">
            <w:pPr>
              <w:pStyle w:val="6"/>
              <w:spacing w:before="200" w:line="219" w:lineRule="auto"/>
              <w:ind w:left="759"/>
              <w:rPr>
                <w:sz w:val="19"/>
                <w:szCs w:val="19"/>
              </w:rPr>
            </w:pPr>
            <w:r>
              <w:rPr>
                <w:b/>
                <w:bCs/>
                <w:spacing w:val="-4"/>
                <w:sz w:val="19"/>
                <w:szCs w:val="19"/>
              </w:rPr>
              <w:t>赋分参考</w:t>
            </w:r>
          </w:p>
        </w:tc>
        <w:tc>
          <w:tcPr>
            <w:tcW w:w="854" w:type="dxa"/>
            <w:vAlign w:val="top"/>
          </w:tcPr>
          <w:p w14:paraId="1D8C034F">
            <w:pPr>
              <w:pStyle w:val="6"/>
              <w:spacing w:before="102" w:line="212" w:lineRule="auto"/>
              <w:ind w:left="232" w:right="239"/>
              <w:rPr>
                <w:sz w:val="19"/>
                <w:szCs w:val="19"/>
              </w:rPr>
            </w:pPr>
            <w:r>
              <w:rPr>
                <w:b/>
                <w:bCs/>
                <w:spacing w:val="-7"/>
                <w:sz w:val="19"/>
                <w:szCs w:val="19"/>
              </w:rPr>
              <w:t>测试</w:t>
            </w:r>
            <w:r>
              <w:rPr>
                <w:sz w:val="19"/>
                <w:szCs w:val="19"/>
              </w:rPr>
              <w:t xml:space="preserve"> </w:t>
            </w:r>
            <w:r>
              <w:rPr>
                <w:b/>
                <w:bCs/>
                <w:spacing w:val="-7"/>
                <w:sz w:val="19"/>
                <w:szCs w:val="19"/>
              </w:rPr>
              <w:t>要求</w:t>
            </w:r>
          </w:p>
        </w:tc>
      </w:tr>
      <w:tr w14:paraId="3A5F14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135" w:hRule="atLeast"/>
        </w:trPr>
        <w:tc>
          <w:tcPr>
            <w:tcW w:w="474" w:type="dxa"/>
            <w:vAlign w:val="top"/>
          </w:tcPr>
          <w:p w14:paraId="4E76FC6A">
            <w:pPr>
              <w:rPr>
                <w:rFonts w:ascii="Arial"/>
                <w:sz w:val="21"/>
              </w:rPr>
            </w:pPr>
          </w:p>
        </w:tc>
        <w:tc>
          <w:tcPr>
            <w:tcW w:w="499" w:type="dxa"/>
            <w:vAlign w:val="top"/>
          </w:tcPr>
          <w:p w14:paraId="22B4D7A5">
            <w:pPr>
              <w:rPr>
                <w:rFonts w:ascii="Arial"/>
                <w:sz w:val="21"/>
              </w:rPr>
            </w:pPr>
          </w:p>
        </w:tc>
        <w:tc>
          <w:tcPr>
            <w:tcW w:w="1059" w:type="dxa"/>
            <w:vAlign w:val="top"/>
          </w:tcPr>
          <w:p w14:paraId="6C57FC97">
            <w:pPr>
              <w:rPr>
                <w:rFonts w:ascii="Arial"/>
                <w:sz w:val="21"/>
              </w:rPr>
            </w:pPr>
          </w:p>
        </w:tc>
        <w:tc>
          <w:tcPr>
            <w:tcW w:w="3546" w:type="dxa"/>
            <w:vAlign w:val="top"/>
          </w:tcPr>
          <w:p w14:paraId="13ECAF94">
            <w:pPr>
              <w:pStyle w:val="6"/>
              <w:spacing w:before="46" w:line="214" w:lineRule="auto"/>
              <w:ind w:left="3" w:firstLine="97"/>
              <w:rPr>
                <w:sz w:val="19"/>
                <w:szCs w:val="19"/>
              </w:rPr>
            </w:pPr>
            <w:r>
              <w:rPr>
                <w:spacing w:val="-4"/>
                <w:sz w:val="19"/>
                <w:szCs w:val="19"/>
              </w:rPr>
              <w:t>(2)操作者以食指、中指、无名指的指端</w:t>
            </w:r>
            <w:r>
              <w:rPr>
                <w:spacing w:val="1"/>
                <w:sz w:val="19"/>
                <w:szCs w:val="19"/>
              </w:rPr>
              <w:t xml:space="preserve">   </w:t>
            </w:r>
            <w:r>
              <w:rPr>
                <w:spacing w:val="-9"/>
                <w:sz w:val="19"/>
                <w:szCs w:val="19"/>
              </w:rPr>
              <w:t>按压桡动脉，力度适中，以能感觉到脉搏搏</w:t>
            </w:r>
            <w:r>
              <w:rPr>
                <w:spacing w:val="8"/>
                <w:sz w:val="19"/>
                <w:szCs w:val="19"/>
              </w:rPr>
              <w:t xml:space="preserve">  </w:t>
            </w:r>
            <w:r>
              <w:rPr>
                <w:spacing w:val="-2"/>
                <w:sz w:val="19"/>
                <w:szCs w:val="19"/>
              </w:rPr>
              <w:t>动为宜。一般病人可以测量30秒，将所得</w:t>
            </w:r>
            <w:r>
              <w:rPr>
                <w:sz w:val="19"/>
                <w:szCs w:val="19"/>
              </w:rPr>
              <w:t xml:space="preserve">  </w:t>
            </w:r>
            <w:r>
              <w:rPr>
                <w:spacing w:val="-4"/>
                <w:sz w:val="19"/>
                <w:szCs w:val="19"/>
              </w:rPr>
              <w:t>的数值乘以2,即为脉率。脉搏异常的病人，</w:t>
            </w:r>
            <w:r>
              <w:rPr>
                <w:spacing w:val="1"/>
                <w:sz w:val="19"/>
                <w:szCs w:val="19"/>
              </w:rPr>
              <w:t xml:space="preserve"> </w:t>
            </w:r>
            <w:r>
              <w:rPr>
                <w:spacing w:val="-2"/>
                <w:sz w:val="19"/>
                <w:szCs w:val="19"/>
              </w:rPr>
              <w:t>测量1分钟。</w:t>
            </w:r>
          </w:p>
          <w:p w14:paraId="5F9CDE2F">
            <w:pPr>
              <w:pStyle w:val="6"/>
              <w:spacing w:line="214" w:lineRule="auto"/>
              <w:ind w:firstLine="64"/>
              <w:rPr>
                <w:sz w:val="19"/>
                <w:szCs w:val="19"/>
              </w:rPr>
            </w:pPr>
            <w:r>
              <w:rPr>
                <w:spacing w:val="-3"/>
                <w:sz w:val="19"/>
                <w:szCs w:val="19"/>
              </w:rPr>
              <w:t>(3)出现脉搏短绌时由两名护士同时测量，</w:t>
            </w:r>
            <w:r>
              <w:rPr>
                <w:spacing w:val="15"/>
                <w:sz w:val="19"/>
                <w:szCs w:val="19"/>
              </w:rPr>
              <w:t xml:space="preserve"> </w:t>
            </w:r>
            <w:r>
              <w:rPr>
                <w:spacing w:val="-5"/>
                <w:sz w:val="19"/>
                <w:szCs w:val="19"/>
              </w:rPr>
              <w:t>一人听心率，一人听脉率，由听心率者发出</w:t>
            </w:r>
            <w:r>
              <w:rPr>
                <w:spacing w:val="7"/>
                <w:sz w:val="19"/>
                <w:szCs w:val="19"/>
              </w:rPr>
              <w:t xml:space="preserve"> </w:t>
            </w:r>
            <w:r>
              <w:rPr>
                <w:spacing w:val="3"/>
                <w:sz w:val="19"/>
                <w:szCs w:val="19"/>
              </w:rPr>
              <w:t>“开始”和"停止"口令，计时1分钟。</w:t>
            </w:r>
          </w:p>
          <w:p w14:paraId="504E147E">
            <w:pPr>
              <w:pStyle w:val="6"/>
              <w:spacing w:line="213" w:lineRule="auto"/>
              <w:ind w:left="13"/>
              <w:rPr>
                <w:sz w:val="19"/>
                <w:szCs w:val="19"/>
              </w:rPr>
            </w:pPr>
            <w:r>
              <w:rPr>
                <w:sz w:val="19"/>
                <w:szCs w:val="19"/>
              </w:rPr>
              <w:t>10.测呼吸：</w:t>
            </w:r>
          </w:p>
          <w:p w14:paraId="48EA2DA9">
            <w:pPr>
              <w:pStyle w:val="6"/>
              <w:spacing w:before="4" w:line="211" w:lineRule="auto"/>
              <w:ind w:left="13" w:firstLine="89"/>
              <w:rPr>
                <w:sz w:val="19"/>
                <w:szCs w:val="19"/>
              </w:rPr>
            </w:pPr>
            <w:r>
              <w:rPr>
                <w:spacing w:val="-1"/>
                <w:sz w:val="19"/>
                <w:szCs w:val="19"/>
              </w:rPr>
              <w:t>(1)操作者将手放在病人的诊脉部位似诊</w:t>
            </w:r>
            <w:r>
              <w:rPr>
                <w:spacing w:val="7"/>
                <w:sz w:val="19"/>
                <w:szCs w:val="19"/>
              </w:rPr>
              <w:t xml:space="preserve">  </w:t>
            </w:r>
            <w:r>
              <w:rPr>
                <w:spacing w:val="-5"/>
                <w:sz w:val="19"/>
                <w:szCs w:val="19"/>
              </w:rPr>
              <w:t>脉状，眼晴观察胸部或腹部的起伏，一起一</w:t>
            </w:r>
            <w:r>
              <w:rPr>
                <w:spacing w:val="6"/>
                <w:sz w:val="19"/>
                <w:szCs w:val="19"/>
              </w:rPr>
              <w:t xml:space="preserve"> </w:t>
            </w:r>
            <w:r>
              <w:rPr>
                <w:spacing w:val="1"/>
                <w:sz w:val="19"/>
                <w:szCs w:val="19"/>
              </w:rPr>
              <w:t>伏为一次呼吸，测量30秒，将所得的数值</w:t>
            </w:r>
            <w:r>
              <w:rPr>
                <w:spacing w:val="2"/>
                <w:sz w:val="19"/>
                <w:szCs w:val="19"/>
              </w:rPr>
              <w:t xml:space="preserve">  乘以2,即为呼吸频率。如病人呼吸不规则</w:t>
            </w:r>
            <w:r>
              <w:rPr>
                <w:spacing w:val="10"/>
                <w:sz w:val="19"/>
                <w:szCs w:val="19"/>
              </w:rPr>
              <w:t xml:space="preserve"> </w:t>
            </w:r>
            <w:r>
              <w:rPr>
                <w:spacing w:val="-1"/>
                <w:sz w:val="19"/>
                <w:szCs w:val="19"/>
              </w:rPr>
              <w:t>或婴儿应测量1分钟。</w:t>
            </w:r>
          </w:p>
          <w:p w14:paraId="0A083AB7">
            <w:pPr>
              <w:pStyle w:val="6"/>
              <w:spacing w:before="1" w:line="215" w:lineRule="auto"/>
              <w:ind w:left="13" w:firstLine="89"/>
              <w:rPr>
                <w:sz w:val="19"/>
                <w:szCs w:val="19"/>
              </w:rPr>
            </w:pPr>
            <w:r>
              <w:rPr>
                <w:sz w:val="19"/>
                <w:szCs w:val="19"/>
              </w:rPr>
              <w:t>(2)危重病人呼吸不易观察时，用少许棉</w:t>
            </w:r>
            <w:r>
              <w:rPr>
                <w:spacing w:val="1"/>
                <w:sz w:val="19"/>
                <w:szCs w:val="19"/>
              </w:rPr>
              <w:t xml:space="preserve">  </w:t>
            </w:r>
            <w:r>
              <w:rPr>
                <w:spacing w:val="-5"/>
                <w:sz w:val="19"/>
                <w:szCs w:val="19"/>
              </w:rPr>
              <w:t>絮置于病人鼻孔前，观察棉花吹动情况，计</w:t>
            </w:r>
            <w:r>
              <w:rPr>
                <w:spacing w:val="6"/>
                <w:sz w:val="19"/>
                <w:szCs w:val="19"/>
              </w:rPr>
              <w:t xml:space="preserve"> </w:t>
            </w:r>
            <w:r>
              <w:rPr>
                <w:spacing w:val="-1"/>
                <w:sz w:val="19"/>
                <w:szCs w:val="19"/>
              </w:rPr>
              <w:t>数1分钟。</w:t>
            </w:r>
          </w:p>
          <w:p w14:paraId="493B368B">
            <w:pPr>
              <w:pStyle w:val="6"/>
              <w:spacing w:before="4" w:line="216" w:lineRule="auto"/>
              <w:ind w:left="13" w:right="4" w:hanging="10"/>
              <w:rPr>
                <w:sz w:val="19"/>
                <w:szCs w:val="19"/>
              </w:rPr>
            </w:pPr>
            <w:r>
              <w:rPr>
                <w:sz w:val="19"/>
                <w:szCs w:val="19"/>
              </w:rPr>
              <w:t>11.记录体温、脉搏、呼吸、血压的数值并</w:t>
            </w:r>
            <w:r>
              <w:rPr>
                <w:spacing w:val="12"/>
                <w:sz w:val="19"/>
                <w:szCs w:val="19"/>
              </w:rPr>
              <w:t xml:space="preserve"> </w:t>
            </w:r>
            <w:r>
              <w:rPr>
                <w:spacing w:val="-1"/>
                <w:sz w:val="19"/>
                <w:szCs w:val="19"/>
              </w:rPr>
              <w:t>向病人作简要解释。</w:t>
            </w:r>
          </w:p>
          <w:p w14:paraId="2DF58437">
            <w:pPr>
              <w:spacing w:line="372" w:lineRule="auto"/>
              <w:rPr>
                <w:rFonts w:ascii="Arial"/>
                <w:sz w:val="21"/>
              </w:rPr>
            </w:pPr>
          </w:p>
          <w:p w14:paraId="3B6E5CFA">
            <w:pPr>
              <w:pStyle w:val="6"/>
              <w:spacing w:before="61" w:line="217" w:lineRule="auto"/>
              <w:ind w:left="13"/>
              <w:rPr>
                <w:sz w:val="19"/>
                <w:szCs w:val="19"/>
              </w:rPr>
            </w:pPr>
            <w:r>
              <w:rPr>
                <w:spacing w:val="-9"/>
                <w:sz w:val="19"/>
                <w:szCs w:val="19"/>
              </w:rPr>
              <w:t>12.清理用物，整理床单位，交待注意事项，</w:t>
            </w:r>
            <w:r>
              <w:rPr>
                <w:spacing w:val="5"/>
                <w:sz w:val="19"/>
                <w:szCs w:val="19"/>
              </w:rPr>
              <w:t xml:space="preserve"> </w:t>
            </w:r>
            <w:r>
              <w:rPr>
                <w:spacing w:val="-5"/>
                <w:sz w:val="19"/>
                <w:szCs w:val="19"/>
              </w:rPr>
              <w:t>确认病人无其他需要后离开病室。</w:t>
            </w:r>
          </w:p>
        </w:tc>
        <w:tc>
          <w:tcPr>
            <w:tcW w:w="2287" w:type="dxa"/>
            <w:vAlign w:val="top"/>
          </w:tcPr>
          <w:p w14:paraId="12981695">
            <w:pPr>
              <w:spacing w:line="250" w:lineRule="auto"/>
              <w:rPr>
                <w:rFonts w:ascii="Arial"/>
                <w:sz w:val="21"/>
              </w:rPr>
            </w:pPr>
          </w:p>
          <w:p w14:paraId="5AEE28B9">
            <w:pPr>
              <w:spacing w:line="250" w:lineRule="auto"/>
              <w:rPr>
                <w:rFonts w:ascii="Arial"/>
                <w:sz w:val="21"/>
              </w:rPr>
            </w:pPr>
          </w:p>
          <w:p w14:paraId="4B1BB26B">
            <w:pPr>
              <w:spacing w:line="250" w:lineRule="auto"/>
              <w:rPr>
                <w:rFonts w:ascii="Arial"/>
                <w:sz w:val="21"/>
              </w:rPr>
            </w:pPr>
          </w:p>
          <w:p w14:paraId="021A378D">
            <w:pPr>
              <w:spacing w:line="251" w:lineRule="auto"/>
              <w:rPr>
                <w:rFonts w:ascii="Arial"/>
                <w:sz w:val="21"/>
              </w:rPr>
            </w:pPr>
          </w:p>
          <w:p w14:paraId="65C4B708">
            <w:pPr>
              <w:spacing w:line="251" w:lineRule="auto"/>
              <w:rPr>
                <w:rFonts w:ascii="Arial"/>
                <w:sz w:val="21"/>
              </w:rPr>
            </w:pPr>
          </w:p>
          <w:p w14:paraId="2A2DB950">
            <w:pPr>
              <w:spacing w:line="251" w:lineRule="auto"/>
              <w:rPr>
                <w:rFonts w:ascii="Arial"/>
                <w:sz w:val="21"/>
              </w:rPr>
            </w:pPr>
          </w:p>
          <w:p w14:paraId="6A25DDB1">
            <w:pPr>
              <w:spacing w:line="251" w:lineRule="auto"/>
              <w:rPr>
                <w:rFonts w:ascii="Arial"/>
                <w:sz w:val="21"/>
              </w:rPr>
            </w:pPr>
          </w:p>
          <w:p w14:paraId="18CD42BD">
            <w:pPr>
              <w:pStyle w:val="6"/>
              <w:spacing w:before="62" w:line="212" w:lineRule="auto"/>
              <w:ind w:left="36" w:hanging="19"/>
              <w:rPr>
                <w:sz w:val="19"/>
                <w:szCs w:val="19"/>
              </w:rPr>
            </w:pPr>
            <w:r>
              <w:rPr>
                <w:spacing w:val="-4"/>
                <w:sz w:val="19"/>
                <w:szCs w:val="19"/>
              </w:rPr>
              <w:t>10.分值10分(未做诊脉状观</w:t>
            </w:r>
            <w:r>
              <w:rPr>
                <w:spacing w:val="1"/>
                <w:sz w:val="19"/>
                <w:szCs w:val="19"/>
              </w:rPr>
              <w:t xml:space="preserve"> </w:t>
            </w:r>
            <w:r>
              <w:rPr>
                <w:spacing w:val="-21"/>
                <w:sz w:val="19"/>
                <w:szCs w:val="19"/>
              </w:rPr>
              <w:t>察扣5分；时间未达30秒扣5分)</w:t>
            </w:r>
          </w:p>
          <w:p w14:paraId="0794D353">
            <w:pPr>
              <w:spacing w:line="245" w:lineRule="auto"/>
              <w:rPr>
                <w:rFonts w:ascii="Arial"/>
                <w:sz w:val="21"/>
              </w:rPr>
            </w:pPr>
          </w:p>
          <w:p w14:paraId="09D7DDD4">
            <w:pPr>
              <w:spacing w:line="245" w:lineRule="auto"/>
              <w:rPr>
                <w:rFonts w:ascii="Arial"/>
                <w:sz w:val="21"/>
              </w:rPr>
            </w:pPr>
          </w:p>
          <w:p w14:paraId="2CDDACC4">
            <w:pPr>
              <w:spacing w:line="245" w:lineRule="auto"/>
              <w:rPr>
                <w:rFonts w:ascii="Arial"/>
                <w:sz w:val="21"/>
              </w:rPr>
            </w:pPr>
          </w:p>
          <w:p w14:paraId="767644E6">
            <w:pPr>
              <w:spacing w:line="245" w:lineRule="auto"/>
              <w:rPr>
                <w:rFonts w:ascii="Arial"/>
                <w:sz w:val="21"/>
              </w:rPr>
            </w:pPr>
          </w:p>
          <w:p w14:paraId="33283FC8">
            <w:pPr>
              <w:spacing w:line="245" w:lineRule="auto"/>
              <w:rPr>
                <w:rFonts w:ascii="Arial"/>
                <w:sz w:val="21"/>
              </w:rPr>
            </w:pPr>
          </w:p>
          <w:p w14:paraId="2298EB03">
            <w:pPr>
              <w:pStyle w:val="6"/>
              <w:spacing w:before="62" w:line="219" w:lineRule="auto"/>
              <w:ind w:left="27"/>
              <w:rPr>
                <w:sz w:val="19"/>
                <w:szCs w:val="19"/>
              </w:rPr>
            </w:pPr>
            <w:r>
              <w:rPr>
                <w:sz w:val="19"/>
                <w:szCs w:val="19"/>
              </w:rPr>
              <w:t>11.分值15分(不记录扣5</w:t>
            </w:r>
          </w:p>
          <w:p w14:paraId="1C3FA107">
            <w:pPr>
              <w:pStyle w:val="6"/>
              <w:spacing w:before="14" w:line="217" w:lineRule="auto"/>
              <w:ind w:left="17" w:right="54" w:firstLine="30"/>
              <w:rPr>
                <w:sz w:val="19"/>
                <w:szCs w:val="19"/>
              </w:rPr>
            </w:pPr>
            <w:r>
              <w:rPr>
                <w:spacing w:val="-1"/>
                <w:sz w:val="19"/>
                <w:szCs w:val="19"/>
              </w:rPr>
              <w:t>分；不解释扣5分，记录格</w:t>
            </w:r>
            <w:r>
              <w:rPr>
                <w:spacing w:val="1"/>
                <w:sz w:val="19"/>
                <w:szCs w:val="19"/>
              </w:rPr>
              <w:t xml:space="preserve"> </w:t>
            </w:r>
            <w:r>
              <w:rPr>
                <w:spacing w:val="5"/>
                <w:sz w:val="19"/>
                <w:szCs w:val="19"/>
              </w:rPr>
              <w:t>式错误扣5分)</w:t>
            </w:r>
          </w:p>
          <w:p w14:paraId="7F80451B">
            <w:pPr>
              <w:pStyle w:val="6"/>
              <w:spacing w:before="203" w:line="210" w:lineRule="auto"/>
              <w:ind w:left="27" w:firstLine="68"/>
              <w:rPr>
                <w:sz w:val="19"/>
                <w:szCs w:val="19"/>
              </w:rPr>
            </w:pPr>
            <w:r>
              <w:rPr>
                <w:spacing w:val="-3"/>
                <w:sz w:val="19"/>
                <w:szCs w:val="19"/>
              </w:rPr>
              <w:t>12.分值10分(未交代注意</w:t>
            </w:r>
            <w:r>
              <w:rPr>
                <w:spacing w:val="6"/>
                <w:sz w:val="19"/>
                <w:szCs w:val="19"/>
              </w:rPr>
              <w:t xml:space="preserve">  </w:t>
            </w:r>
            <w:r>
              <w:rPr>
                <w:spacing w:val="5"/>
                <w:sz w:val="19"/>
                <w:szCs w:val="19"/>
              </w:rPr>
              <w:t>事项扣5分；未清理用物、</w:t>
            </w:r>
            <w:r>
              <w:rPr>
                <w:spacing w:val="3"/>
                <w:sz w:val="19"/>
                <w:szCs w:val="19"/>
              </w:rPr>
              <w:t xml:space="preserve"> </w:t>
            </w:r>
            <w:r>
              <w:rPr>
                <w:spacing w:val="-4"/>
                <w:sz w:val="19"/>
                <w:szCs w:val="19"/>
              </w:rPr>
              <w:t>整理床单位扣5分)13.操</w:t>
            </w:r>
          </w:p>
          <w:p w14:paraId="566B96DE">
            <w:pPr>
              <w:pStyle w:val="6"/>
              <w:spacing w:line="219" w:lineRule="auto"/>
              <w:ind w:left="47" w:right="51"/>
              <w:rPr>
                <w:sz w:val="19"/>
                <w:szCs w:val="19"/>
              </w:rPr>
            </w:pPr>
            <w:r>
              <w:rPr>
                <w:spacing w:val="-1"/>
                <w:sz w:val="19"/>
                <w:szCs w:val="19"/>
              </w:rPr>
              <w:t>作后评价：分值15分。(程</w:t>
            </w:r>
            <w:r>
              <w:rPr>
                <w:spacing w:val="3"/>
                <w:sz w:val="19"/>
                <w:szCs w:val="19"/>
              </w:rPr>
              <w:t xml:space="preserve"> </w:t>
            </w:r>
            <w:r>
              <w:rPr>
                <w:spacing w:val="-1"/>
                <w:sz w:val="19"/>
                <w:szCs w:val="19"/>
              </w:rPr>
              <w:t>序不熟练酌情扣5-8分；测</w:t>
            </w:r>
          </w:p>
          <w:p w14:paraId="0DD3C91D">
            <w:pPr>
              <w:pStyle w:val="6"/>
              <w:spacing w:line="212" w:lineRule="auto"/>
              <w:ind w:left="17" w:right="1105"/>
              <w:rPr>
                <w:sz w:val="19"/>
                <w:szCs w:val="19"/>
              </w:rPr>
            </w:pPr>
            <w:r>
              <w:rPr>
                <w:spacing w:val="2"/>
                <w:sz w:val="19"/>
                <w:szCs w:val="19"/>
              </w:rPr>
              <w:t>量数值不准确</w:t>
            </w:r>
            <w:r>
              <w:rPr>
                <w:spacing w:val="1"/>
                <w:sz w:val="19"/>
                <w:szCs w:val="19"/>
              </w:rPr>
              <w:t xml:space="preserve"> </w:t>
            </w:r>
            <w:r>
              <w:rPr>
                <w:spacing w:val="6"/>
                <w:sz w:val="19"/>
                <w:szCs w:val="19"/>
              </w:rPr>
              <w:t>扣5-7分)</w:t>
            </w:r>
          </w:p>
        </w:tc>
        <w:tc>
          <w:tcPr>
            <w:tcW w:w="854" w:type="dxa"/>
            <w:vAlign w:val="top"/>
          </w:tcPr>
          <w:p w14:paraId="55F6D026">
            <w:pPr>
              <w:rPr>
                <w:rFonts w:ascii="Arial"/>
                <w:sz w:val="21"/>
              </w:rPr>
            </w:pPr>
          </w:p>
        </w:tc>
      </w:tr>
      <w:tr w14:paraId="2413DC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70" w:hRule="atLeast"/>
        </w:trPr>
        <w:tc>
          <w:tcPr>
            <w:tcW w:w="474" w:type="dxa"/>
            <w:vAlign w:val="top"/>
          </w:tcPr>
          <w:p w14:paraId="5E675CC1">
            <w:pPr>
              <w:pStyle w:val="6"/>
              <w:spacing w:before="63" w:line="220" w:lineRule="auto"/>
              <w:jc w:val="right"/>
              <w:rPr>
                <w:sz w:val="19"/>
                <w:szCs w:val="19"/>
              </w:rPr>
            </w:pPr>
            <w:r>
              <w:rPr>
                <w:spacing w:val="-28"/>
                <w:sz w:val="19"/>
                <w:szCs w:val="19"/>
              </w:rPr>
              <w:t>项</w:t>
            </w:r>
            <w:r>
              <w:rPr>
                <w:spacing w:val="-4"/>
                <w:sz w:val="19"/>
                <w:szCs w:val="19"/>
              </w:rPr>
              <w:t xml:space="preserve"> </w:t>
            </w:r>
            <w:r>
              <w:rPr>
                <w:spacing w:val="-28"/>
                <w:sz w:val="19"/>
                <w:szCs w:val="19"/>
              </w:rPr>
              <w:t>目</w:t>
            </w:r>
          </w:p>
          <w:p w14:paraId="5B9EA8A4">
            <w:pPr>
              <w:pStyle w:val="6"/>
              <w:spacing w:before="34" w:line="159" w:lineRule="exact"/>
              <w:jc w:val="right"/>
              <w:rPr>
                <w:sz w:val="19"/>
                <w:szCs w:val="19"/>
              </w:rPr>
            </w:pPr>
            <w:r>
              <w:rPr>
                <w:spacing w:val="-30"/>
                <w:w w:val="97"/>
                <w:position w:val="-1"/>
                <w:sz w:val="19"/>
                <w:szCs w:val="19"/>
              </w:rPr>
              <w:t>二</w:t>
            </w:r>
            <w:r>
              <w:rPr>
                <w:spacing w:val="24"/>
                <w:position w:val="-1"/>
                <w:sz w:val="19"/>
                <w:szCs w:val="19"/>
              </w:rPr>
              <w:t xml:space="preserve"> </w:t>
            </w:r>
            <w:r>
              <w:rPr>
                <w:spacing w:val="-30"/>
                <w:w w:val="97"/>
                <w:position w:val="-1"/>
                <w:sz w:val="19"/>
                <w:szCs w:val="19"/>
              </w:rPr>
              <w:t>、</w:t>
            </w:r>
          </w:p>
          <w:p w14:paraId="2DA48F7A">
            <w:pPr>
              <w:pStyle w:val="6"/>
              <w:spacing w:line="213" w:lineRule="auto"/>
              <w:ind w:left="35"/>
              <w:rPr>
                <w:sz w:val="19"/>
                <w:szCs w:val="19"/>
              </w:rPr>
            </w:pPr>
            <w:r>
              <w:rPr>
                <w:spacing w:val="-3"/>
                <w:sz w:val="19"/>
                <w:szCs w:val="19"/>
              </w:rPr>
              <w:t>单人</w:t>
            </w:r>
          </w:p>
          <w:p w14:paraId="38554DBD">
            <w:pPr>
              <w:pStyle w:val="6"/>
              <w:spacing w:line="215" w:lineRule="auto"/>
              <w:ind w:left="35"/>
              <w:rPr>
                <w:sz w:val="19"/>
                <w:szCs w:val="19"/>
              </w:rPr>
            </w:pPr>
            <w:r>
              <w:rPr>
                <w:spacing w:val="-3"/>
                <w:sz w:val="19"/>
                <w:szCs w:val="19"/>
              </w:rPr>
              <w:t>徒手</w:t>
            </w:r>
          </w:p>
          <w:p w14:paraId="7F4F7CDC">
            <w:pPr>
              <w:pStyle w:val="6"/>
              <w:spacing w:line="220" w:lineRule="auto"/>
              <w:ind w:left="35"/>
              <w:rPr>
                <w:sz w:val="19"/>
                <w:szCs w:val="19"/>
              </w:rPr>
            </w:pPr>
            <w:r>
              <w:rPr>
                <w:spacing w:val="4"/>
                <w:sz w:val="19"/>
                <w:szCs w:val="19"/>
              </w:rPr>
              <w:t>心肺</w:t>
            </w:r>
          </w:p>
          <w:p w14:paraId="24A6162A">
            <w:pPr>
              <w:pStyle w:val="6"/>
              <w:spacing w:before="11" w:line="194" w:lineRule="auto"/>
              <w:ind w:left="35"/>
              <w:rPr>
                <w:sz w:val="19"/>
                <w:szCs w:val="19"/>
              </w:rPr>
            </w:pPr>
            <w:r>
              <w:rPr>
                <w:spacing w:val="5"/>
                <w:sz w:val="19"/>
                <w:szCs w:val="19"/>
              </w:rPr>
              <w:t>复苏</w:t>
            </w:r>
          </w:p>
          <w:p w14:paraId="4ADEFF41">
            <w:pPr>
              <w:pStyle w:val="6"/>
              <w:spacing w:line="219" w:lineRule="auto"/>
              <w:ind w:left="135"/>
              <w:rPr>
                <w:sz w:val="19"/>
                <w:szCs w:val="19"/>
              </w:rPr>
            </w:pPr>
            <w:r>
              <w:rPr>
                <w:sz w:val="19"/>
                <w:szCs w:val="19"/>
              </w:rPr>
              <w:t>术</w:t>
            </w:r>
          </w:p>
        </w:tc>
        <w:tc>
          <w:tcPr>
            <w:tcW w:w="499" w:type="dxa"/>
            <w:vAlign w:val="top"/>
          </w:tcPr>
          <w:p w14:paraId="2EEF585E">
            <w:pPr>
              <w:pStyle w:val="6"/>
              <w:spacing w:before="64" w:line="203" w:lineRule="auto"/>
              <w:ind w:left="51"/>
              <w:rPr>
                <w:sz w:val="19"/>
                <w:szCs w:val="19"/>
              </w:rPr>
            </w:pPr>
            <w:r>
              <w:rPr>
                <w:spacing w:val="4"/>
                <w:sz w:val="19"/>
                <w:szCs w:val="19"/>
              </w:rPr>
              <w:t>心肺</w:t>
            </w:r>
          </w:p>
          <w:p w14:paraId="265F003E">
            <w:pPr>
              <w:pStyle w:val="6"/>
              <w:spacing w:line="220" w:lineRule="auto"/>
              <w:ind w:left="51"/>
              <w:rPr>
                <w:sz w:val="19"/>
                <w:szCs w:val="19"/>
              </w:rPr>
            </w:pPr>
            <w:r>
              <w:rPr>
                <w:spacing w:val="5"/>
                <w:sz w:val="19"/>
                <w:szCs w:val="19"/>
              </w:rPr>
              <w:t>复苏</w:t>
            </w:r>
          </w:p>
          <w:p w14:paraId="59F2E838">
            <w:pPr>
              <w:pStyle w:val="6"/>
              <w:spacing w:before="1" w:line="208" w:lineRule="auto"/>
              <w:ind w:left="51"/>
              <w:rPr>
                <w:sz w:val="19"/>
                <w:szCs w:val="19"/>
              </w:rPr>
            </w:pPr>
            <w:r>
              <w:rPr>
                <w:spacing w:val="-2"/>
                <w:sz w:val="19"/>
                <w:szCs w:val="19"/>
              </w:rPr>
              <w:t>模拟</w:t>
            </w:r>
          </w:p>
          <w:p w14:paraId="3B21197A">
            <w:pPr>
              <w:pStyle w:val="6"/>
              <w:spacing w:line="219" w:lineRule="auto"/>
              <w:jc w:val="right"/>
              <w:rPr>
                <w:sz w:val="19"/>
                <w:szCs w:val="19"/>
              </w:rPr>
            </w:pPr>
            <w:r>
              <w:rPr>
                <w:spacing w:val="-28"/>
                <w:w w:val="98"/>
                <w:sz w:val="19"/>
                <w:szCs w:val="19"/>
              </w:rPr>
              <w:t>人</w:t>
            </w:r>
            <w:r>
              <w:rPr>
                <w:spacing w:val="25"/>
                <w:sz w:val="19"/>
                <w:szCs w:val="19"/>
              </w:rPr>
              <w:t xml:space="preserve"> </w:t>
            </w:r>
            <w:r>
              <w:rPr>
                <w:spacing w:val="-28"/>
                <w:w w:val="98"/>
                <w:sz w:val="19"/>
                <w:szCs w:val="19"/>
              </w:rPr>
              <w:t>、</w:t>
            </w:r>
          </w:p>
          <w:p w14:paraId="23F2F11E">
            <w:pPr>
              <w:pStyle w:val="6"/>
              <w:spacing w:line="217" w:lineRule="auto"/>
              <w:ind w:left="51"/>
              <w:rPr>
                <w:sz w:val="19"/>
                <w:szCs w:val="19"/>
              </w:rPr>
            </w:pPr>
            <w:r>
              <w:rPr>
                <w:spacing w:val="4"/>
                <w:sz w:val="19"/>
                <w:szCs w:val="19"/>
              </w:rPr>
              <w:t>纱布</w:t>
            </w:r>
          </w:p>
          <w:p w14:paraId="408C7269">
            <w:pPr>
              <w:pStyle w:val="6"/>
              <w:spacing w:before="1" w:line="201" w:lineRule="auto"/>
              <w:ind w:left="121"/>
              <w:rPr>
                <w:sz w:val="19"/>
                <w:szCs w:val="19"/>
              </w:rPr>
            </w:pPr>
            <w:r>
              <w:rPr>
                <w:spacing w:val="6"/>
                <w:sz w:val="19"/>
                <w:szCs w:val="19"/>
              </w:rPr>
              <w:t>(或</w:t>
            </w:r>
          </w:p>
          <w:p w14:paraId="09C63132">
            <w:pPr>
              <w:pStyle w:val="6"/>
              <w:spacing w:line="220" w:lineRule="auto"/>
              <w:ind w:left="51"/>
              <w:rPr>
                <w:sz w:val="19"/>
                <w:szCs w:val="19"/>
              </w:rPr>
            </w:pPr>
            <w:r>
              <w:rPr>
                <w:spacing w:val="5"/>
                <w:sz w:val="19"/>
                <w:szCs w:val="19"/>
              </w:rPr>
              <w:t>隔离</w:t>
            </w:r>
          </w:p>
          <w:p w14:paraId="5909EEC4">
            <w:pPr>
              <w:pStyle w:val="6"/>
              <w:spacing w:before="3" w:line="207" w:lineRule="auto"/>
              <w:jc w:val="right"/>
              <w:rPr>
                <w:sz w:val="19"/>
                <w:szCs w:val="19"/>
              </w:rPr>
            </w:pPr>
            <w:r>
              <w:rPr>
                <w:spacing w:val="-21"/>
                <w:w w:val="92"/>
                <w:sz w:val="19"/>
                <w:szCs w:val="19"/>
              </w:rPr>
              <w:t>膜</w:t>
            </w:r>
            <w:r>
              <w:rPr>
                <w:spacing w:val="-33"/>
                <w:sz w:val="19"/>
                <w:szCs w:val="19"/>
              </w:rPr>
              <w:t xml:space="preserve"> </w:t>
            </w:r>
            <w:r>
              <w:rPr>
                <w:spacing w:val="-21"/>
                <w:w w:val="92"/>
                <w:sz w:val="19"/>
                <w:szCs w:val="19"/>
              </w:rPr>
              <w:t>)</w:t>
            </w:r>
            <w:r>
              <w:rPr>
                <w:spacing w:val="-45"/>
                <w:sz w:val="19"/>
                <w:szCs w:val="19"/>
              </w:rPr>
              <w:t xml:space="preserve"> </w:t>
            </w:r>
            <w:r>
              <w:rPr>
                <w:spacing w:val="-21"/>
                <w:w w:val="92"/>
                <w:sz w:val="19"/>
                <w:szCs w:val="19"/>
              </w:rPr>
              <w:t>、</w:t>
            </w:r>
          </w:p>
          <w:p w14:paraId="4EF8CC81">
            <w:pPr>
              <w:pStyle w:val="6"/>
              <w:spacing w:before="1" w:line="211" w:lineRule="auto"/>
              <w:ind w:left="51"/>
              <w:rPr>
                <w:sz w:val="19"/>
                <w:szCs w:val="19"/>
              </w:rPr>
            </w:pPr>
            <w:r>
              <w:rPr>
                <w:spacing w:val="-3"/>
                <w:sz w:val="19"/>
                <w:szCs w:val="19"/>
              </w:rPr>
              <w:t>血压</w:t>
            </w:r>
          </w:p>
          <w:p w14:paraId="37EE3B4B">
            <w:pPr>
              <w:pStyle w:val="6"/>
              <w:spacing w:before="1" w:line="204" w:lineRule="auto"/>
              <w:jc w:val="right"/>
              <w:rPr>
                <w:sz w:val="19"/>
                <w:szCs w:val="19"/>
              </w:rPr>
            </w:pPr>
            <w:r>
              <w:rPr>
                <w:spacing w:val="-27"/>
                <w:w w:val="98"/>
                <w:sz w:val="19"/>
                <w:szCs w:val="19"/>
              </w:rPr>
              <w:t>计</w:t>
            </w:r>
            <w:r>
              <w:rPr>
                <w:spacing w:val="23"/>
                <w:sz w:val="19"/>
                <w:szCs w:val="19"/>
              </w:rPr>
              <w:t xml:space="preserve"> </w:t>
            </w:r>
            <w:r>
              <w:rPr>
                <w:spacing w:val="-27"/>
                <w:w w:val="98"/>
                <w:sz w:val="19"/>
                <w:szCs w:val="19"/>
              </w:rPr>
              <w:t>、</w:t>
            </w:r>
          </w:p>
          <w:p w14:paraId="7153FA99">
            <w:pPr>
              <w:pStyle w:val="6"/>
              <w:spacing w:line="221" w:lineRule="auto"/>
              <w:ind w:left="51"/>
              <w:rPr>
                <w:sz w:val="19"/>
                <w:szCs w:val="19"/>
              </w:rPr>
            </w:pPr>
            <w:r>
              <w:rPr>
                <w:spacing w:val="4"/>
                <w:sz w:val="19"/>
                <w:szCs w:val="19"/>
              </w:rPr>
              <w:t>听诊</w:t>
            </w:r>
          </w:p>
          <w:p w14:paraId="4DDAA97A">
            <w:pPr>
              <w:pStyle w:val="6"/>
              <w:spacing w:before="5" w:line="199" w:lineRule="auto"/>
              <w:jc w:val="right"/>
              <w:rPr>
                <w:sz w:val="19"/>
                <w:szCs w:val="19"/>
              </w:rPr>
            </w:pPr>
            <w:r>
              <w:rPr>
                <w:spacing w:val="-27"/>
                <w:w w:val="98"/>
                <w:sz w:val="19"/>
                <w:szCs w:val="19"/>
              </w:rPr>
              <w:t>器</w:t>
            </w:r>
            <w:r>
              <w:rPr>
                <w:spacing w:val="23"/>
                <w:sz w:val="19"/>
                <w:szCs w:val="19"/>
              </w:rPr>
              <w:t xml:space="preserve"> </w:t>
            </w:r>
            <w:r>
              <w:rPr>
                <w:spacing w:val="-27"/>
                <w:w w:val="98"/>
                <w:sz w:val="19"/>
                <w:szCs w:val="19"/>
              </w:rPr>
              <w:t>、</w:t>
            </w:r>
          </w:p>
          <w:p w14:paraId="59D92884">
            <w:pPr>
              <w:pStyle w:val="6"/>
              <w:spacing w:before="1" w:line="215" w:lineRule="auto"/>
              <w:ind w:left="51"/>
              <w:rPr>
                <w:sz w:val="19"/>
                <w:szCs w:val="19"/>
              </w:rPr>
            </w:pPr>
            <w:r>
              <w:rPr>
                <w:spacing w:val="-2"/>
                <w:sz w:val="19"/>
                <w:szCs w:val="19"/>
              </w:rPr>
              <w:t>抢救</w:t>
            </w:r>
          </w:p>
          <w:p w14:paraId="7BBA4784">
            <w:pPr>
              <w:pStyle w:val="6"/>
              <w:spacing w:before="1" w:line="202" w:lineRule="auto"/>
              <w:ind w:left="51"/>
              <w:rPr>
                <w:sz w:val="19"/>
                <w:szCs w:val="19"/>
              </w:rPr>
            </w:pPr>
            <w:r>
              <w:rPr>
                <w:spacing w:val="-2"/>
                <w:sz w:val="19"/>
                <w:szCs w:val="19"/>
              </w:rPr>
              <w:t>记录</w:t>
            </w:r>
          </w:p>
          <w:p w14:paraId="4F6F3B56">
            <w:pPr>
              <w:pStyle w:val="6"/>
              <w:spacing w:line="220" w:lineRule="auto"/>
              <w:jc w:val="right"/>
              <w:rPr>
                <w:sz w:val="19"/>
                <w:szCs w:val="19"/>
              </w:rPr>
            </w:pPr>
            <w:r>
              <w:rPr>
                <w:spacing w:val="-28"/>
                <w:w w:val="98"/>
                <w:sz w:val="19"/>
                <w:szCs w:val="19"/>
              </w:rPr>
              <w:t>单</w:t>
            </w:r>
            <w:r>
              <w:rPr>
                <w:spacing w:val="25"/>
                <w:sz w:val="19"/>
                <w:szCs w:val="19"/>
              </w:rPr>
              <w:t xml:space="preserve"> </w:t>
            </w:r>
            <w:r>
              <w:rPr>
                <w:spacing w:val="-28"/>
                <w:w w:val="98"/>
                <w:sz w:val="19"/>
                <w:szCs w:val="19"/>
              </w:rPr>
              <w:t>、</w:t>
            </w:r>
          </w:p>
          <w:p w14:paraId="63ABD5EA">
            <w:pPr>
              <w:pStyle w:val="6"/>
              <w:spacing w:before="3" w:line="215" w:lineRule="auto"/>
              <w:ind w:left="81"/>
              <w:rPr>
                <w:sz w:val="19"/>
                <w:szCs w:val="19"/>
              </w:rPr>
            </w:pPr>
            <w:r>
              <w:rPr>
                <w:spacing w:val="5"/>
                <w:sz w:val="19"/>
                <w:szCs w:val="19"/>
              </w:rPr>
              <w:t>带秒</w:t>
            </w:r>
          </w:p>
          <w:p w14:paraId="6F6D1026">
            <w:pPr>
              <w:pStyle w:val="6"/>
              <w:spacing w:line="194" w:lineRule="auto"/>
              <w:ind w:left="51"/>
              <w:rPr>
                <w:sz w:val="19"/>
                <w:szCs w:val="19"/>
              </w:rPr>
            </w:pPr>
            <w:r>
              <w:rPr>
                <w:spacing w:val="7"/>
                <w:sz w:val="19"/>
                <w:szCs w:val="19"/>
              </w:rPr>
              <w:t>针的</w:t>
            </w:r>
          </w:p>
          <w:p w14:paraId="70572325">
            <w:pPr>
              <w:pStyle w:val="6"/>
              <w:spacing w:before="1" w:line="220" w:lineRule="auto"/>
              <w:jc w:val="right"/>
              <w:rPr>
                <w:sz w:val="19"/>
                <w:szCs w:val="19"/>
              </w:rPr>
            </w:pPr>
            <w:r>
              <w:rPr>
                <w:spacing w:val="-26"/>
                <w:w w:val="98"/>
                <w:sz w:val="19"/>
                <w:szCs w:val="19"/>
              </w:rPr>
              <w:t>表</w:t>
            </w:r>
            <w:r>
              <w:rPr>
                <w:spacing w:val="22"/>
                <w:sz w:val="19"/>
                <w:szCs w:val="19"/>
              </w:rPr>
              <w:t xml:space="preserve"> </w:t>
            </w:r>
            <w:r>
              <w:rPr>
                <w:spacing w:val="-26"/>
                <w:w w:val="98"/>
                <w:sz w:val="19"/>
                <w:szCs w:val="19"/>
              </w:rPr>
              <w:t>、</w:t>
            </w:r>
          </w:p>
          <w:p w14:paraId="2016EF99">
            <w:pPr>
              <w:pStyle w:val="6"/>
              <w:spacing w:before="21" w:line="204" w:lineRule="auto"/>
              <w:ind w:left="51"/>
              <w:rPr>
                <w:sz w:val="19"/>
                <w:szCs w:val="19"/>
              </w:rPr>
            </w:pPr>
            <w:r>
              <w:rPr>
                <w:spacing w:val="-2"/>
                <w:sz w:val="19"/>
                <w:szCs w:val="19"/>
              </w:rPr>
              <w:t>脚踏</w:t>
            </w:r>
          </w:p>
          <w:p w14:paraId="68F9B4A2">
            <w:pPr>
              <w:pStyle w:val="6"/>
              <w:spacing w:line="218" w:lineRule="auto"/>
              <w:jc w:val="right"/>
              <w:rPr>
                <w:sz w:val="19"/>
                <w:szCs w:val="19"/>
              </w:rPr>
            </w:pPr>
            <w:r>
              <w:rPr>
                <w:spacing w:val="-26"/>
                <w:sz w:val="19"/>
                <w:szCs w:val="19"/>
              </w:rPr>
              <w:t>板</w:t>
            </w:r>
            <w:r>
              <w:rPr>
                <w:spacing w:val="-39"/>
                <w:sz w:val="19"/>
                <w:szCs w:val="19"/>
              </w:rPr>
              <w:t xml:space="preserve"> </w:t>
            </w:r>
            <w:r>
              <w:rPr>
                <w:spacing w:val="-26"/>
                <w:sz w:val="19"/>
                <w:szCs w:val="19"/>
              </w:rPr>
              <w:t>，</w:t>
            </w:r>
          </w:p>
          <w:p w14:paraId="18F8A9F9">
            <w:pPr>
              <w:pStyle w:val="6"/>
              <w:spacing w:before="9" w:line="203" w:lineRule="auto"/>
              <w:ind w:left="51"/>
              <w:rPr>
                <w:sz w:val="19"/>
                <w:szCs w:val="19"/>
              </w:rPr>
            </w:pPr>
            <w:r>
              <w:rPr>
                <w:spacing w:val="4"/>
                <w:sz w:val="19"/>
                <w:szCs w:val="19"/>
              </w:rPr>
              <w:t>必要</w:t>
            </w:r>
          </w:p>
          <w:p w14:paraId="14D2E39F">
            <w:pPr>
              <w:pStyle w:val="6"/>
              <w:spacing w:line="193" w:lineRule="auto"/>
              <w:ind w:left="51"/>
              <w:rPr>
                <w:sz w:val="19"/>
                <w:szCs w:val="19"/>
              </w:rPr>
            </w:pPr>
            <w:r>
              <w:rPr>
                <w:spacing w:val="4"/>
                <w:sz w:val="19"/>
                <w:szCs w:val="19"/>
              </w:rPr>
              <w:t>时备</w:t>
            </w:r>
          </w:p>
          <w:p w14:paraId="187F002A">
            <w:pPr>
              <w:pStyle w:val="6"/>
              <w:spacing w:line="220" w:lineRule="auto"/>
              <w:ind w:left="51"/>
              <w:rPr>
                <w:sz w:val="19"/>
                <w:szCs w:val="19"/>
              </w:rPr>
            </w:pPr>
            <w:r>
              <w:rPr>
                <w:spacing w:val="-2"/>
                <w:sz w:val="19"/>
                <w:szCs w:val="19"/>
              </w:rPr>
              <w:t>胸外</w:t>
            </w:r>
          </w:p>
          <w:p w14:paraId="00807A0C">
            <w:pPr>
              <w:pStyle w:val="6"/>
              <w:spacing w:before="13" w:line="213" w:lineRule="auto"/>
              <w:ind w:left="51"/>
              <w:rPr>
                <w:sz w:val="19"/>
                <w:szCs w:val="19"/>
              </w:rPr>
            </w:pPr>
            <w:r>
              <w:rPr>
                <w:spacing w:val="-3"/>
                <w:sz w:val="19"/>
                <w:szCs w:val="19"/>
              </w:rPr>
              <w:t>按压</w:t>
            </w:r>
          </w:p>
          <w:p w14:paraId="29A2E056">
            <w:pPr>
              <w:pStyle w:val="6"/>
              <w:spacing w:before="1" w:line="218" w:lineRule="auto"/>
              <w:ind w:left="140"/>
              <w:rPr>
                <w:sz w:val="19"/>
                <w:szCs w:val="19"/>
              </w:rPr>
            </w:pPr>
            <w:r>
              <w:rPr>
                <w:sz w:val="19"/>
                <w:szCs w:val="19"/>
              </w:rPr>
              <w:t>板</w:t>
            </w:r>
          </w:p>
        </w:tc>
        <w:tc>
          <w:tcPr>
            <w:tcW w:w="1059" w:type="dxa"/>
            <w:vAlign w:val="top"/>
          </w:tcPr>
          <w:p w14:paraId="6138C382">
            <w:pPr>
              <w:pStyle w:val="6"/>
              <w:spacing w:before="43" w:line="218" w:lineRule="auto"/>
              <w:ind w:left="11" w:right="78"/>
              <w:jc w:val="both"/>
              <w:rPr>
                <w:sz w:val="19"/>
                <w:szCs w:val="19"/>
              </w:rPr>
            </w:pPr>
            <w:r>
              <w:rPr>
                <w:spacing w:val="1"/>
                <w:sz w:val="19"/>
                <w:szCs w:val="19"/>
              </w:rPr>
              <w:t xml:space="preserve">1.判断病情 </w:t>
            </w:r>
            <w:r>
              <w:rPr>
                <w:spacing w:val="-2"/>
                <w:sz w:val="19"/>
                <w:szCs w:val="19"/>
              </w:rPr>
              <w:t>2.求助呼救</w:t>
            </w:r>
            <w:r>
              <w:rPr>
                <w:spacing w:val="1"/>
                <w:sz w:val="19"/>
                <w:szCs w:val="19"/>
              </w:rPr>
              <w:t xml:space="preserve"> </w:t>
            </w:r>
            <w:r>
              <w:rPr>
                <w:spacing w:val="-2"/>
                <w:sz w:val="19"/>
                <w:szCs w:val="19"/>
              </w:rPr>
              <w:t>3.安置体位</w:t>
            </w:r>
            <w:r>
              <w:rPr>
                <w:sz w:val="19"/>
                <w:szCs w:val="19"/>
              </w:rPr>
              <w:t xml:space="preserve"> </w:t>
            </w:r>
            <w:r>
              <w:rPr>
                <w:spacing w:val="-2"/>
                <w:sz w:val="19"/>
                <w:szCs w:val="19"/>
              </w:rPr>
              <w:t>4.心脏按压</w:t>
            </w:r>
            <w:r>
              <w:rPr>
                <w:spacing w:val="4"/>
                <w:sz w:val="19"/>
                <w:szCs w:val="19"/>
              </w:rPr>
              <w:t xml:space="preserve"> </w:t>
            </w:r>
            <w:r>
              <w:rPr>
                <w:spacing w:val="1"/>
                <w:sz w:val="19"/>
                <w:szCs w:val="19"/>
              </w:rPr>
              <w:t xml:space="preserve">5.开放气道 </w:t>
            </w:r>
            <w:r>
              <w:rPr>
                <w:spacing w:val="-2"/>
                <w:sz w:val="19"/>
                <w:szCs w:val="19"/>
              </w:rPr>
              <w:t>6.人工呼吸</w:t>
            </w:r>
          </w:p>
        </w:tc>
        <w:tc>
          <w:tcPr>
            <w:tcW w:w="3546" w:type="dxa"/>
            <w:vAlign w:val="top"/>
          </w:tcPr>
          <w:p w14:paraId="4FAEDF7A">
            <w:pPr>
              <w:pStyle w:val="6"/>
              <w:spacing w:before="62" w:line="204" w:lineRule="auto"/>
              <w:jc w:val="right"/>
              <w:rPr>
                <w:sz w:val="19"/>
                <w:szCs w:val="19"/>
              </w:rPr>
            </w:pPr>
            <w:r>
              <w:rPr>
                <w:spacing w:val="-20"/>
                <w:w w:val="99"/>
                <w:sz w:val="19"/>
                <w:szCs w:val="19"/>
              </w:rPr>
              <w:t>1.操作者服装整洁。用物准备齐全，放置合理。</w:t>
            </w:r>
          </w:p>
          <w:p w14:paraId="519F0F6E">
            <w:pPr>
              <w:pStyle w:val="6"/>
              <w:spacing w:line="221" w:lineRule="auto"/>
              <w:ind w:left="13" w:right="868"/>
              <w:rPr>
                <w:sz w:val="19"/>
                <w:szCs w:val="19"/>
              </w:rPr>
            </w:pPr>
            <w:r>
              <w:rPr>
                <w:spacing w:val="-1"/>
                <w:sz w:val="19"/>
                <w:szCs w:val="19"/>
              </w:rPr>
              <w:t>2.判断现场安全(可口述说明)。</w:t>
            </w:r>
            <w:r>
              <w:rPr>
                <w:spacing w:val="9"/>
                <w:sz w:val="19"/>
                <w:szCs w:val="19"/>
              </w:rPr>
              <w:t xml:space="preserve"> </w:t>
            </w:r>
            <w:r>
              <w:rPr>
                <w:spacing w:val="-1"/>
                <w:sz w:val="19"/>
                <w:szCs w:val="19"/>
              </w:rPr>
              <w:t>3.抢救者立于病人右侧。</w:t>
            </w:r>
          </w:p>
          <w:p w14:paraId="50E03B1E">
            <w:pPr>
              <w:pStyle w:val="6"/>
              <w:spacing w:before="205" w:line="220" w:lineRule="auto"/>
              <w:ind w:left="3" w:right="5" w:firstLine="49"/>
              <w:jc w:val="both"/>
              <w:rPr>
                <w:sz w:val="19"/>
                <w:szCs w:val="19"/>
              </w:rPr>
            </w:pPr>
            <w:r>
              <w:rPr>
                <w:spacing w:val="-1"/>
                <w:sz w:val="19"/>
                <w:szCs w:val="19"/>
              </w:rPr>
              <w:t>4.判断意识：呼叫病人，轻拍病人肩部并</w:t>
            </w:r>
            <w:r>
              <w:rPr>
                <w:spacing w:val="11"/>
                <w:sz w:val="19"/>
                <w:szCs w:val="19"/>
              </w:rPr>
              <w:t xml:space="preserve"> </w:t>
            </w:r>
            <w:r>
              <w:rPr>
                <w:sz w:val="19"/>
                <w:szCs w:val="19"/>
              </w:rPr>
              <w:t>大声呼唤病人：“你怎么了?能听见我说话</w:t>
            </w:r>
            <w:r>
              <w:rPr>
                <w:spacing w:val="11"/>
                <w:sz w:val="19"/>
                <w:szCs w:val="19"/>
              </w:rPr>
              <w:t xml:space="preserve"> </w:t>
            </w:r>
            <w:r>
              <w:rPr>
                <w:spacing w:val="-15"/>
                <w:sz w:val="19"/>
                <w:szCs w:val="19"/>
              </w:rPr>
              <w:t>吗</w:t>
            </w:r>
            <w:r>
              <w:rPr>
                <w:spacing w:val="-34"/>
                <w:sz w:val="19"/>
                <w:szCs w:val="19"/>
              </w:rPr>
              <w:t xml:space="preserve"> </w:t>
            </w:r>
            <w:r>
              <w:rPr>
                <w:spacing w:val="-15"/>
                <w:sz w:val="19"/>
                <w:szCs w:val="19"/>
              </w:rPr>
              <w:t>?</w:t>
            </w:r>
            <w:r>
              <w:rPr>
                <w:spacing w:val="-30"/>
                <w:sz w:val="19"/>
                <w:szCs w:val="19"/>
              </w:rPr>
              <w:t xml:space="preserve"> </w:t>
            </w:r>
            <w:r>
              <w:rPr>
                <w:spacing w:val="-15"/>
                <w:sz w:val="19"/>
                <w:szCs w:val="19"/>
              </w:rPr>
              <w:t>" (</w:t>
            </w:r>
            <w:r>
              <w:rPr>
                <w:spacing w:val="-7"/>
                <w:sz w:val="19"/>
                <w:szCs w:val="19"/>
              </w:rPr>
              <w:t xml:space="preserve"> </w:t>
            </w:r>
            <w:r>
              <w:rPr>
                <w:spacing w:val="-15"/>
                <w:sz w:val="19"/>
                <w:szCs w:val="19"/>
              </w:rPr>
              <w:t>口</w:t>
            </w:r>
            <w:r>
              <w:rPr>
                <w:spacing w:val="-36"/>
                <w:sz w:val="19"/>
                <w:szCs w:val="19"/>
              </w:rPr>
              <w:t xml:space="preserve"> </w:t>
            </w:r>
            <w:r>
              <w:rPr>
                <w:spacing w:val="-15"/>
                <w:sz w:val="19"/>
                <w:szCs w:val="19"/>
              </w:rPr>
              <w:t>述</w:t>
            </w:r>
            <w:r>
              <w:rPr>
                <w:spacing w:val="-35"/>
                <w:sz w:val="19"/>
                <w:szCs w:val="19"/>
              </w:rPr>
              <w:t xml:space="preserve"> </w:t>
            </w:r>
            <w:r>
              <w:rPr>
                <w:spacing w:val="-15"/>
                <w:sz w:val="19"/>
                <w:szCs w:val="19"/>
              </w:rPr>
              <w:t>)</w:t>
            </w:r>
          </w:p>
          <w:p w14:paraId="1F562A66">
            <w:pPr>
              <w:pStyle w:val="6"/>
              <w:spacing w:line="194" w:lineRule="auto"/>
              <w:ind w:left="13"/>
              <w:rPr>
                <w:sz w:val="19"/>
                <w:szCs w:val="19"/>
              </w:rPr>
            </w:pPr>
            <w:r>
              <w:rPr>
                <w:spacing w:val="1"/>
                <w:sz w:val="19"/>
                <w:szCs w:val="19"/>
              </w:rPr>
              <w:t>5.判断动脉搏动</w:t>
            </w:r>
          </w:p>
          <w:p w14:paraId="3946FFAF">
            <w:pPr>
              <w:pStyle w:val="6"/>
              <w:spacing w:line="216" w:lineRule="auto"/>
              <w:ind w:left="13" w:right="49" w:firstLine="89"/>
              <w:rPr>
                <w:sz w:val="19"/>
                <w:szCs w:val="19"/>
              </w:rPr>
            </w:pPr>
            <w:r>
              <w:rPr>
                <w:sz w:val="19"/>
                <w:szCs w:val="19"/>
              </w:rPr>
              <w:t>(1)操作者食指和中指指尖触及病人气管</w:t>
            </w:r>
            <w:r>
              <w:rPr>
                <w:spacing w:val="4"/>
                <w:sz w:val="19"/>
                <w:szCs w:val="19"/>
              </w:rPr>
              <w:t xml:space="preserve"> </w:t>
            </w:r>
            <w:r>
              <w:rPr>
                <w:spacing w:val="2"/>
                <w:sz w:val="19"/>
                <w:szCs w:val="19"/>
              </w:rPr>
              <w:t>正中部(相当于喉结部位)旁开两指，至胸</w:t>
            </w:r>
            <w:r>
              <w:rPr>
                <w:spacing w:val="14"/>
                <w:sz w:val="19"/>
                <w:szCs w:val="19"/>
              </w:rPr>
              <w:t xml:space="preserve"> </w:t>
            </w:r>
            <w:r>
              <w:rPr>
                <w:spacing w:val="-1"/>
                <w:sz w:val="19"/>
                <w:szCs w:val="19"/>
              </w:rPr>
              <w:t>锁乳突肌前缘凹陷处。</w:t>
            </w:r>
          </w:p>
          <w:p w14:paraId="77845DDC">
            <w:pPr>
              <w:pStyle w:val="6"/>
              <w:spacing w:before="2" w:line="212" w:lineRule="auto"/>
              <w:ind w:left="13" w:firstLine="38"/>
              <w:rPr>
                <w:sz w:val="19"/>
                <w:szCs w:val="19"/>
              </w:rPr>
            </w:pPr>
            <w:r>
              <w:rPr>
                <w:spacing w:val="-2"/>
                <w:sz w:val="19"/>
                <w:szCs w:val="19"/>
              </w:rPr>
              <w:t>(2)判断时间为10秒，确定无颈动脉搏动。</w:t>
            </w:r>
            <w:r>
              <w:rPr>
                <w:spacing w:val="10"/>
                <w:sz w:val="19"/>
                <w:szCs w:val="19"/>
              </w:rPr>
              <w:t xml:space="preserve"> </w:t>
            </w:r>
            <w:r>
              <w:rPr>
                <w:spacing w:val="-21"/>
                <w:sz w:val="19"/>
                <w:szCs w:val="19"/>
              </w:rPr>
              <w:t>6.无反应，寻求帮助(此步骤计抢救开始时间)。</w:t>
            </w:r>
          </w:p>
          <w:p w14:paraId="06236365">
            <w:pPr>
              <w:pStyle w:val="6"/>
              <w:spacing w:before="214" w:line="213" w:lineRule="auto"/>
              <w:ind w:left="3"/>
              <w:jc w:val="both"/>
              <w:rPr>
                <w:sz w:val="19"/>
                <w:szCs w:val="19"/>
              </w:rPr>
            </w:pPr>
            <w:r>
              <w:rPr>
                <w:spacing w:val="-4"/>
                <w:sz w:val="19"/>
                <w:szCs w:val="19"/>
              </w:rPr>
              <w:t>7.迅速将病人去枕仰卧于硬板床上(如卧于</w:t>
            </w:r>
            <w:r>
              <w:rPr>
                <w:spacing w:val="7"/>
                <w:sz w:val="19"/>
                <w:szCs w:val="19"/>
              </w:rPr>
              <w:t xml:space="preserve">  </w:t>
            </w:r>
            <w:r>
              <w:rPr>
                <w:spacing w:val="-4"/>
                <w:sz w:val="19"/>
                <w:szCs w:val="19"/>
              </w:rPr>
              <w:t>软床上的病人胸下垫胸外按压板),头后仰，</w:t>
            </w:r>
            <w:r>
              <w:rPr>
                <w:spacing w:val="1"/>
                <w:sz w:val="19"/>
                <w:szCs w:val="19"/>
              </w:rPr>
              <w:t xml:space="preserve"> </w:t>
            </w:r>
            <w:r>
              <w:rPr>
                <w:spacing w:val="-9"/>
                <w:sz w:val="19"/>
                <w:szCs w:val="19"/>
              </w:rPr>
              <w:t>头颈躯干无扭曲，双手放于躯干两侧；解开</w:t>
            </w:r>
            <w:r>
              <w:rPr>
                <w:spacing w:val="8"/>
                <w:sz w:val="19"/>
                <w:szCs w:val="19"/>
              </w:rPr>
              <w:t xml:space="preserve">  </w:t>
            </w:r>
            <w:r>
              <w:rPr>
                <w:sz w:val="19"/>
                <w:szCs w:val="19"/>
              </w:rPr>
              <w:t xml:space="preserve">衣领、腰带，暴露胸腹部。(1)按压部位： </w:t>
            </w:r>
            <w:r>
              <w:rPr>
                <w:spacing w:val="-2"/>
                <w:sz w:val="19"/>
                <w:szCs w:val="19"/>
              </w:rPr>
              <w:t>胸骨中下1/3处。</w:t>
            </w:r>
          </w:p>
          <w:p w14:paraId="45E472D9">
            <w:pPr>
              <w:pStyle w:val="6"/>
              <w:spacing w:before="4" w:line="212" w:lineRule="auto"/>
              <w:ind w:left="13" w:firstLine="39"/>
              <w:rPr>
                <w:sz w:val="19"/>
                <w:szCs w:val="19"/>
              </w:rPr>
            </w:pPr>
            <w:r>
              <w:rPr>
                <w:spacing w:val="-2"/>
                <w:sz w:val="19"/>
                <w:szCs w:val="19"/>
              </w:rPr>
              <w:t>(2)按压手法：一手掌跟部放于按压部位，</w:t>
            </w:r>
            <w:r>
              <w:rPr>
                <w:spacing w:val="4"/>
                <w:sz w:val="19"/>
                <w:szCs w:val="19"/>
              </w:rPr>
              <w:t xml:space="preserve"> </w:t>
            </w:r>
            <w:r>
              <w:rPr>
                <w:spacing w:val="-7"/>
                <w:sz w:val="19"/>
                <w:szCs w:val="19"/>
              </w:rPr>
              <w:t>另一手压在此手背上，双手指互扣，仅以掌</w:t>
            </w:r>
            <w:r>
              <w:rPr>
                <w:spacing w:val="17"/>
                <w:sz w:val="19"/>
                <w:szCs w:val="19"/>
              </w:rPr>
              <w:t xml:space="preserve"> </w:t>
            </w:r>
            <w:r>
              <w:rPr>
                <w:spacing w:val="-7"/>
                <w:sz w:val="19"/>
                <w:szCs w:val="19"/>
              </w:rPr>
              <w:t>根部接触按压部，双臂位于病人胸骨的正上</w:t>
            </w:r>
            <w:r>
              <w:rPr>
                <w:spacing w:val="14"/>
                <w:sz w:val="19"/>
                <w:szCs w:val="19"/>
              </w:rPr>
              <w:t xml:space="preserve"> </w:t>
            </w:r>
            <w:r>
              <w:rPr>
                <w:spacing w:val="-7"/>
                <w:sz w:val="19"/>
                <w:szCs w:val="19"/>
              </w:rPr>
              <w:t>方，双肘关节伸直，利用上身重量垂直的有</w:t>
            </w:r>
            <w:r>
              <w:rPr>
                <w:spacing w:val="15"/>
                <w:sz w:val="19"/>
                <w:szCs w:val="19"/>
              </w:rPr>
              <w:t xml:space="preserve"> </w:t>
            </w:r>
            <w:r>
              <w:rPr>
                <w:spacing w:val="-12"/>
                <w:sz w:val="19"/>
                <w:szCs w:val="19"/>
              </w:rPr>
              <w:t>节奏下压；按压时间与放松时间比为1:1。</w:t>
            </w:r>
            <w:r>
              <w:rPr>
                <w:spacing w:val="-13"/>
                <w:sz w:val="19"/>
                <w:szCs w:val="19"/>
              </w:rPr>
              <w:t>(3)</w:t>
            </w:r>
            <w:r>
              <w:rPr>
                <w:sz w:val="19"/>
                <w:szCs w:val="19"/>
              </w:rPr>
              <w:t xml:space="preserve"> </w:t>
            </w:r>
            <w:r>
              <w:rPr>
                <w:spacing w:val="-1"/>
                <w:sz w:val="19"/>
                <w:szCs w:val="19"/>
              </w:rPr>
              <w:t>按压幅度：使胸骨下陷至少5cm,然后迅速</w:t>
            </w:r>
            <w:r>
              <w:rPr>
                <w:spacing w:val="7"/>
                <w:sz w:val="19"/>
                <w:szCs w:val="19"/>
              </w:rPr>
              <w:t xml:space="preserve">  </w:t>
            </w:r>
            <w:r>
              <w:rPr>
                <w:spacing w:val="-3"/>
                <w:sz w:val="19"/>
                <w:szCs w:val="19"/>
              </w:rPr>
              <w:t>放松，解除压力，使胸骨自然复位。</w:t>
            </w:r>
          </w:p>
        </w:tc>
        <w:tc>
          <w:tcPr>
            <w:tcW w:w="2287" w:type="dxa"/>
            <w:vAlign w:val="top"/>
          </w:tcPr>
          <w:p w14:paraId="79235E9E">
            <w:pPr>
              <w:pStyle w:val="6"/>
              <w:spacing w:before="62" w:line="204" w:lineRule="auto"/>
              <w:ind w:left="17"/>
              <w:rPr>
                <w:sz w:val="19"/>
                <w:szCs w:val="19"/>
              </w:rPr>
            </w:pPr>
            <w:r>
              <w:rPr>
                <w:spacing w:val="3"/>
                <w:sz w:val="19"/>
                <w:szCs w:val="19"/>
              </w:rPr>
              <w:t>1.分值5分(酌情扣分)</w:t>
            </w:r>
          </w:p>
          <w:p w14:paraId="3CDDBF8D">
            <w:pPr>
              <w:pStyle w:val="6"/>
              <w:spacing w:before="2" w:line="213" w:lineRule="auto"/>
              <w:ind w:left="17" w:right="48" w:firstLine="80"/>
              <w:jc w:val="both"/>
              <w:rPr>
                <w:sz w:val="19"/>
                <w:szCs w:val="19"/>
              </w:rPr>
            </w:pPr>
            <w:r>
              <w:rPr>
                <w:spacing w:val="2"/>
                <w:sz w:val="19"/>
                <w:szCs w:val="19"/>
              </w:rPr>
              <w:t>2.分值5分(未判断扣5分)</w:t>
            </w:r>
            <w:r>
              <w:rPr>
                <w:spacing w:val="12"/>
                <w:sz w:val="19"/>
                <w:szCs w:val="19"/>
              </w:rPr>
              <w:t xml:space="preserve"> </w:t>
            </w:r>
            <w:r>
              <w:rPr>
                <w:spacing w:val="6"/>
                <w:sz w:val="19"/>
                <w:szCs w:val="19"/>
              </w:rPr>
              <w:t>3.分值5分(操作者位置不</w:t>
            </w:r>
            <w:r>
              <w:rPr>
                <w:spacing w:val="11"/>
                <w:sz w:val="19"/>
                <w:szCs w:val="19"/>
              </w:rPr>
              <w:t xml:space="preserve"> </w:t>
            </w:r>
            <w:r>
              <w:rPr>
                <w:spacing w:val="6"/>
                <w:sz w:val="19"/>
                <w:szCs w:val="19"/>
              </w:rPr>
              <w:t>正确扣5分)</w:t>
            </w:r>
          </w:p>
          <w:p w14:paraId="409187F7">
            <w:pPr>
              <w:pStyle w:val="6"/>
              <w:spacing w:line="222" w:lineRule="auto"/>
              <w:ind w:left="27" w:right="71" w:firstLine="70"/>
              <w:rPr>
                <w:sz w:val="19"/>
                <w:szCs w:val="19"/>
              </w:rPr>
            </w:pPr>
            <w:r>
              <w:rPr>
                <w:spacing w:val="1"/>
                <w:sz w:val="19"/>
                <w:szCs w:val="19"/>
              </w:rPr>
              <w:t>4.分值5分(判断意识时拍</w:t>
            </w:r>
            <w:r>
              <w:rPr>
                <w:spacing w:val="4"/>
                <w:sz w:val="19"/>
                <w:szCs w:val="19"/>
              </w:rPr>
              <w:t xml:space="preserve"> </w:t>
            </w:r>
            <w:r>
              <w:rPr>
                <w:spacing w:val="5"/>
                <w:sz w:val="19"/>
                <w:szCs w:val="19"/>
              </w:rPr>
              <w:t>打过重扣2分)</w:t>
            </w:r>
          </w:p>
          <w:p w14:paraId="50BBA7B6">
            <w:pPr>
              <w:pStyle w:val="6"/>
              <w:spacing w:before="193" w:line="219" w:lineRule="auto"/>
              <w:ind w:left="27"/>
              <w:rPr>
                <w:sz w:val="19"/>
                <w:szCs w:val="19"/>
              </w:rPr>
            </w:pPr>
            <w:r>
              <w:rPr>
                <w:spacing w:val="-1"/>
                <w:sz w:val="19"/>
                <w:szCs w:val="19"/>
              </w:rPr>
              <w:t>5.分值10分(未测定动脉</w:t>
            </w:r>
          </w:p>
          <w:p w14:paraId="6B3C8350">
            <w:pPr>
              <w:pStyle w:val="6"/>
              <w:spacing w:before="4" w:line="222" w:lineRule="auto"/>
              <w:ind w:left="17" w:right="52" w:firstLine="30"/>
              <w:rPr>
                <w:sz w:val="19"/>
                <w:szCs w:val="19"/>
              </w:rPr>
            </w:pPr>
            <w:r>
              <w:rPr>
                <w:spacing w:val="-1"/>
                <w:sz w:val="19"/>
                <w:szCs w:val="19"/>
              </w:rPr>
              <w:t>搏动扣5分；位置不正确扣</w:t>
            </w:r>
            <w:r>
              <w:rPr>
                <w:spacing w:val="3"/>
                <w:sz w:val="19"/>
                <w:szCs w:val="19"/>
              </w:rPr>
              <w:t xml:space="preserve"> 3分；时间不正确扣2分)</w:t>
            </w:r>
          </w:p>
          <w:p w14:paraId="00CE6DF3">
            <w:pPr>
              <w:spacing w:line="359" w:lineRule="auto"/>
              <w:rPr>
                <w:rFonts w:ascii="Arial"/>
                <w:sz w:val="21"/>
              </w:rPr>
            </w:pPr>
          </w:p>
          <w:p w14:paraId="0559A52D">
            <w:pPr>
              <w:pStyle w:val="6"/>
              <w:spacing w:before="62" w:line="210" w:lineRule="auto"/>
              <w:ind w:left="17" w:firstLine="29"/>
              <w:rPr>
                <w:sz w:val="19"/>
                <w:szCs w:val="19"/>
              </w:rPr>
            </w:pPr>
            <w:r>
              <w:rPr>
                <w:spacing w:val="-2"/>
                <w:sz w:val="19"/>
                <w:szCs w:val="19"/>
              </w:rPr>
              <w:t>6.分值2分(未寻求帮助扣1</w:t>
            </w:r>
            <w:r>
              <w:rPr>
                <w:spacing w:val="1"/>
                <w:sz w:val="19"/>
                <w:szCs w:val="19"/>
              </w:rPr>
              <w:t xml:space="preserve"> </w:t>
            </w:r>
            <w:r>
              <w:rPr>
                <w:spacing w:val="-2"/>
                <w:sz w:val="19"/>
                <w:szCs w:val="19"/>
              </w:rPr>
              <w:t>分，未记录抢救时间扣1分)</w:t>
            </w:r>
            <w:r>
              <w:rPr>
                <w:spacing w:val="4"/>
                <w:sz w:val="19"/>
                <w:szCs w:val="19"/>
              </w:rPr>
              <w:t xml:space="preserve"> </w:t>
            </w:r>
            <w:r>
              <w:rPr>
                <w:spacing w:val="-2"/>
                <w:sz w:val="19"/>
                <w:szCs w:val="19"/>
              </w:rPr>
              <w:t>7.分值25分(安置卧位不</w:t>
            </w:r>
          </w:p>
          <w:p w14:paraId="58E8C717">
            <w:pPr>
              <w:pStyle w:val="6"/>
              <w:spacing w:before="4" w:line="214" w:lineRule="auto"/>
              <w:ind w:left="17" w:firstLine="28"/>
              <w:rPr>
                <w:sz w:val="19"/>
                <w:szCs w:val="19"/>
              </w:rPr>
            </w:pPr>
            <w:r>
              <w:rPr>
                <w:spacing w:val="-7"/>
                <w:sz w:val="19"/>
                <w:szCs w:val="19"/>
              </w:rPr>
              <w:t>当扣1分，未暴露胸腹部扣</w:t>
            </w:r>
            <w:r>
              <w:rPr>
                <w:spacing w:val="2"/>
                <w:sz w:val="19"/>
                <w:szCs w:val="19"/>
              </w:rPr>
              <w:t xml:space="preserve">  </w:t>
            </w:r>
            <w:r>
              <w:rPr>
                <w:spacing w:val="-2"/>
                <w:sz w:val="19"/>
                <w:szCs w:val="19"/>
              </w:rPr>
              <w:t>1分。定位错误每次扣2分；</w:t>
            </w:r>
            <w:r>
              <w:rPr>
                <w:spacing w:val="4"/>
                <w:sz w:val="19"/>
                <w:szCs w:val="19"/>
              </w:rPr>
              <w:t xml:space="preserve"> </w:t>
            </w:r>
            <w:r>
              <w:rPr>
                <w:spacing w:val="-6"/>
                <w:sz w:val="19"/>
                <w:szCs w:val="19"/>
              </w:rPr>
              <w:t>肘关节弯曲每次扣2分；放</w:t>
            </w:r>
            <w:r>
              <w:rPr>
                <w:spacing w:val="2"/>
                <w:sz w:val="19"/>
                <w:szCs w:val="19"/>
              </w:rPr>
              <w:t xml:space="preserve">  </w:t>
            </w:r>
            <w:r>
              <w:rPr>
                <w:spacing w:val="-6"/>
                <w:sz w:val="19"/>
                <w:szCs w:val="19"/>
              </w:rPr>
              <w:t>松时掌根离开胸壁每次扣2</w:t>
            </w:r>
            <w:r>
              <w:rPr>
                <w:spacing w:val="1"/>
                <w:sz w:val="19"/>
                <w:szCs w:val="19"/>
              </w:rPr>
              <w:t xml:space="preserve">  </w:t>
            </w:r>
            <w:r>
              <w:rPr>
                <w:spacing w:val="-9"/>
                <w:sz w:val="19"/>
                <w:szCs w:val="19"/>
              </w:rPr>
              <w:t>分；按压时四指尖仍贴胸壁</w:t>
            </w:r>
            <w:r>
              <w:rPr>
                <w:spacing w:val="2"/>
                <w:sz w:val="19"/>
                <w:szCs w:val="19"/>
              </w:rPr>
              <w:t xml:space="preserve">  </w:t>
            </w:r>
            <w:r>
              <w:rPr>
                <w:spacing w:val="-6"/>
                <w:sz w:val="19"/>
                <w:szCs w:val="19"/>
              </w:rPr>
              <w:t>每次扣1分；手掌未重叠每</w:t>
            </w:r>
            <w:r>
              <w:rPr>
                <w:spacing w:val="2"/>
                <w:sz w:val="19"/>
                <w:szCs w:val="19"/>
              </w:rPr>
              <w:t xml:space="preserve">  </w:t>
            </w:r>
            <w:r>
              <w:rPr>
                <w:spacing w:val="-6"/>
                <w:sz w:val="19"/>
                <w:szCs w:val="19"/>
              </w:rPr>
              <w:t>次扣2分；冲击式按压每次</w:t>
            </w:r>
            <w:r>
              <w:rPr>
                <w:sz w:val="19"/>
                <w:szCs w:val="19"/>
              </w:rPr>
              <w:t xml:space="preserve">  </w:t>
            </w:r>
            <w:r>
              <w:rPr>
                <w:spacing w:val="-6"/>
                <w:sz w:val="19"/>
                <w:szCs w:val="19"/>
              </w:rPr>
              <w:t>扣2分；按压次数不正确每</w:t>
            </w:r>
            <w:r>
              <w:rPr>
                <w:sz w:val="19"/>
                <w:szCs w:val="19"/>
              </w:rPr>
              <w:t xml:space="preserve">  </w:t>
            </w:r>
            <w:r>
              <w:rPr>
                <w:spacing w:val="-5"/>
                <w:sz w:val="19"/>
                <w:szCs w:val="19"/>
              </w:rPr>
              <w:t>次扣2分。按压时未观察病</w:t>
            </w:r>
            <w:r>
              <w:rPr>
                <w:spacing w:val="3"/>
                <w:sz w:val="19"/>
                <w:szCs w:val="19"/>
              </w:rPr>
              <w:t xml:space="preserve">  </w:t>
            </w:r>
            <w:r>
              <w:rPr>
                <w:spacing w:val="-2"/>
                <w:sz w:val="19"/>
                <w:szCs w:val="19"/>
              </w:rPr>
              <w:t>人每次扣1分。)</w:t>
            </w:r>
          </w:p>
        </w:tc>
        <w:tc>
          <w:tcPr>
            <w:tcW w:w="854" w:type="dxa"/>
            <w:vAlign w:val="top"/>
          </w:tcPr>
          <w:p w14:paraId="34CB2BEC">
            <w:pPr>
              <w:pStyle w:val="6"/>
              <w:spacing w:before="45" w:line="214" w:lineRule="auto"/>
              <w:ind w:left="19" w:firstLine="18"/>
              <w:jc w:val="both"/>
              <w:rPr>
                <w:sz w:val="19"/>
                <w:szCs w:val="19"/>
              </w:rPr>
            </w:pPr>
            <w:r>
              <w:rPr>
                <w:spacing w:val="-14"/>
                <w:sz w:val="19"/>
                <w:szCs w:val="19"/>
              </w:rPr>
              <w:t>1.在最短</w:t>
            </w:r>
            <w:r>
              <w:rPr>
                <w:sz w:val="19"/>
                <w:szCs w:val="19"/>
              </w:rPr>
              <w:t xml:space="preserve">  </w:t>
            </w:r>
            <w:r>
              <w:rPr>
                <w:spacing w:val="-2"/>
                <w:sz w:val="19"/>
                <w:szCs w:val="19"/>
              </w:rPr>
              <w:t>时间内，</w:t>
            </w:r>
            <w:r>
              <w:rPr>
                <w:sz w:val="19"/>
                <w:szCs w:val="19"/>
              </w:rPr>
              <w:t xml:space="preserve"> </w:t>
            </w:r>
            <w:r>
              <w:rPr>
                <w:spacing w:val="-12"/>
                <w:sz w:val="19"/>
                <w:szCs w:val="19"/>
              </w:rPr>
              <w:t>最大限度</w:t>
            </w:r>
            <w:r>
              <w:rPr>
                <w:sz w:val="19"/>
                <w:szCs w:val="19"/>
              </w:rPr>
              <w:t xml:space="preserve">  </w:t>
            </w:r>
            <w:r>
              <w:rPr>
                <w:spacing w:val="-13"/>
                <w:sz w:val="19"/>
                <w:szCs w:val="19"/>
              </w:rPr>
              <w:t>的恢复猝</w:t>
            </w:r>
            <w:r>
              <w:rPr>
                <w:sz w:val="19"/>
                <w:szCs w:val="19"/>
              </w:rPr>
              <w:t xml:space="preserve">  </w:t>
            </w:r>
            <w:r>
              <w:rPr>
                <w:spacing w:val="-12"/>
                <w:sz w:val="19"/>
                <w:szCs w:val="19"/>
              </w:rPr>
              <w:t>死病人的</w:t>
            </w:r>
            <w:r>
              <w:rPr>
                <w:spacing w:val="1"/>
                <w:sz w:val="19"/>
                <w:szCs w:val="19"/>
              </w:rPr>
              <w:t xml:space="preserve">  </w:t>
            </w:r>
            <w:r>
              <w:rPr>
                <w:spacing w:val="-17"/>
                <w:sz w:val="19"/>
                <w:szCs w:val="19"/>
              </w:rPr>
              <w:t>循环、呼</w:t>
            </w:r>
            <w:r>
              <w:rPr>
                <w:spacing w:val="1"/>
                <w:sz w:val="19"/>
                <w:szCs w:val="19"/>
              </w:rPr>
              <w:t xml:space="preserve">  </w:t>
            </w:r>
            <w:r>
              <w:rPr>
                <w:spacing w:val="-2"/>
                <w:sz w:val="19"/>
                <w:szCs w:val="19"/>
              </w:rPr>
              <w:t>吸功能，</w:t>
            </w:r>
            <w:r>
              <w:rPr>
                <w:sz w:val="19"/>
                <w:szCs w:val="19"/>
              </w:rPr>
              <w:t xml:space="preserve"> </w:t>
            </w:r>
            <w:r>
              <w:rPr>
                <w:spacing w:val="-12"/>
                <w:sz w:val="19"/>
                <w:szCs w:val="19"/>
              </w:rPr>
              <w:t>用人工的</w:t>
            </w:r>
            <w:r>
              <w:rPr>
                <w:spacing w:val="1"/>
                <w:sz w:val="19"/>
                <w:szCs w:val="19"/>
              </w:rPr>
              <w:t xml:space="preserve">  </w:t>
            </w:r>
            <w:r>
              <w:rPr>
                <w:spacing w:val="-13"/>
                <w:w w:val="98"/>
                <w:sz w:val="19"/>
                <w:szCs w:val="19"/>
              </w:rPr>
              <w:t>方法保证</w:t>
            </w:r>
            <w:r>
              <w:rPr>
                <w:sz w:val="19"/>
                <w:szCs w:val="19"/>
              </w:rPr>
              <w:t xml:space="preserve">  </w:t>
            </w:r>
            <w:r>
              <w:rPr>
                <w:spacing w:val="-14"/>
                <w:w w:val="98"/>
                <w:sz w:val="19"/>
                <w:szCs w:val="19"/>
              </w:rPr>
              <w:t>重要脏器</w:t>
            </w:r>
            <w:r>
              <w:rPr>
                <w:spacing w:val="2"/>
                <w:sz w:val="19"/>
                <w:szCs w:val="19"/>
              </w:rPr>
              <w:t xml:space="preserve">  </w:t>
            </w:r>
            <w:r>
              <w:rPr>
                <w:spacing w:val="-13"/>
                <w:sz w:val="19"/>
                <w:szCs w:val="19"/>
              </w:rPr>
              <w:t>的血、氧</w:t>
            </w:r>
            <w:r>
              <w:rPr>
                <w:sz w:val="19"/>
                <w:szCs w:val="19"/>
              </w:rPr>
              <w:t xml:space="preserve">  </w:t>
            </w:r>
            <w:r>
              <w:rPr>
                <w:spacing w:val="-17"/>
                <w:sz w:val="19"/>
                <w:szCs w:val="19"/>
              </w:rPr>
              <w:t>供给。要</w:t>
            </w:r>
            <w:r>
              <w:rPr>
                <w:spacing w:val="1"/>
                <w:sz w:val="19"/>
                <w:szCs w:val="19"/>
              </w:rPr>
              <w:t xml:space="preserve">  </w:t>
            </w:r>
            <w:r>
              <w:rPr>
                <w:spacing w:val="-17"/>
                <w:sz w:val="19"/>
                <w:szCs w:val="19"/>
              </w:rPr>
              <w:t>求定位准</w:t>
            </w:r>
            <w:r>
              <w:rPr>
                <w:sz w:val="19"/>
                <w:szCs w:val="19"/>
              </w:rPr>
              <w:t xml:space="preserve">  </w:t>
            </w:r>
            <w:r>
              <w:rPr>
                <w:spacing w:val="-17"/>
                <w:sz w:val="19"/>
                <w:szCs w:val="19"/>
              </w:rPr>
              <w:t>确，按压</w:t>
            </w:r>
            <w:r>
              <w:rPr>
                <w:spacing w:val="1"/>
                <w:sz w:val="19"/>
                <w:szCs w:val="19"/>
              </w:rPr>
              <w:t xml:space="preserve">  </w:t>
            </w:r>
            <w:r>
              <w:rPr>
                <w:spacing w:val="-21"/>
                <w:w w:val="97"/>
                <w:sz w:val="19"/>
                <w:szCs w:val="19"/>
              </w:rPr>
              <w:t>手法正确，</w:t>
            </w:r>
            <w:r>
              <w:rPr>
                <w:spacing w:val="6"/>
                <w:sz w:val="19"/>
                <w:szCs w:val="19"/>
              </w:rPr>
              <w:t xml:space="preserve"> </w:t>
            </w:r>
            <w:r>
              <w:rPr>
                <w:spacing w:val="-19"/>
                <w:w w:val="96"/>
                <w:sz w:val="19"/>
                <w:szCs w:val="19"/>
              </w:rPr>
              <w:t>按压深度、</w:t>
            </w:r>
            <w:r>
              <w:rPr>
                <w:spacing w:val="6"/>
                <w:sz w:val="19"/>
                <w:szCs w:val="19"/>
              </w:rPr>
              <w:t xml:space="preserve"> </w:t>
            </w:r>
            <w:r>
              <w:rPr>
                <w:spacing w:val="-16"/>
                <w:w w:val="99"/>
                <w:sz w:val="19"/>
                <w:szCs w:val="19"/>
              </w:rPr>
              <w:t>频率符合</w:t>
            </w:r>
            <w:r>
              <w:rPr>
                <w:spacing w:val="2"/>
                <w:sz w:val="19"/>
                <w:szCs w:val="19"/>
              </w:rPr>
              <w:t xml:space="preserve">  </w:t>
            </w:r>
            <w:r>
              <w:rPr>
                <w:spacing w:val="-17"/>
                <w:sz w:val="19"/>
                <w:szCs w:val="19"/>
              </w:rPr>
              <w:t>标准，操</w:t>
            </w:r>
            <w:r>
              <w:rPr>
                <w:spacing w:val="1"/>
                <w:sz w:val="19"/>
                <w:szCs w:val="19"/>
              </w:rPr>
              <w:t xml:space="preserve">  </w:t>
            </w:r>
            <w:r>
              <w:rPr>
                <w:spacing w:val="-2"/>
                <w:sz w:val="19"/>
                <w:szCs w:val="19"/>
              </w:rPr>
              <w:t>作规范，</w:t>
            </w:r>
            <w:r>
              <w:rPr>
                <w:sz w:val="19"/>
                <w:szCs w:val="19"/>
              </w:rPr>
              <w:t xml:space="preserve"> </w:t>
            </w:r>
            <w:r>
              <w:rPr>
                <w:spacing w:val="-22"/>
                <w:w w:val="98"/>
                <w:sz w:val="19"/>
                <w:szCs w:val="19"/>
              </w:rPr>
              <w:t>判断准确。</w:t>
            </w:r>
            <w:r>
              <w:rPr>
                <w:spacing w:val="2"/>
                <w:sz w:val="19"/>
                <w:szCs w:val="19"/>
              </w:rPr>
              <w:t xml:space="preserve"> </w:t>
            </w:r>
            <w:r>
              <w:rPr>
                <w:spacing w:val="-12"/>
                <w:sz w:val="19"/>
                <w:szCs w:val="19"/>
              </w:rPr>
              <w:t>2.建议10</w:t>
            </w:r>
            <w:r>
              <w:rPr>
                <w:spacing w:val="2"/>
                <w:sz w:val="19"/>
                <w:szCs w:val="19"/>
              </w:rPr>
              <w:t xml:space="preserve">  </w:t>
            </w:r>
            <w:r>
              <w:rPr>
                <w:spacing w:val="-17"/>
                <w:sz w:val="19"/>
                <w:szCs w:val="19"/>
              </w:rPr>
              <w:t>分钟内完</w:t>
            </w:r>
            <w:r>
              <w:rPr>
                <w:sz w:val="19"/>
                <w:szCs w:val="19"/>
              </w:rPr>
              <w:t xml:space="preserve">  </w:t>
            </w:r>
            <w:r>
              <w:rPr>
                <w:spacing w:val="-6"/>
                <w:sz w:val="19"/>
                <w:szCs w:val="19"/>
              </w:rPr>
              <w:t>成。</w:t>
            </w:r>
          </w:p>
        </w:tc>
      </w:tr>
    </w:tbl>
    <w:p w14:paraId="0DB3CA5B">
      <w:pPr>
        <w:pStyle w:val="2"/>
        <w:spacing w:line="232" w:lineRule="exact"/>
        <w:rPr>
          <w:sz w:val="20"/>
        </w:rPr>
      </w:pPr>
    </w:p>
    <w:p w14:paraId="2123D422">
      <w:pPr>
        <w:spacing w:line="232" w:lineRule="exact"/>
        <w:rPr>
          <w:sz w:val="20"/>
          <w:szCs w:val="20"/>
        </w:rPr>
        <w:sectPr>
          <w:footerReference r:id="rId135" w:type="default"/>
          <w:pgSz w:w="10660" w:h="15080"/>
          <w:pgMar w:top="400" w:right="905" w:bottom="912" w:left="1024" w:header="0" w:footer="741" w:gutter="0"/>
          <w:cols w:space="720" w:num="1"/>
        </w:sectPr>
      </w:pPr>
    </w:p>
    <w:p w14:paraId="4DA4F08E">
      <w:pPr>
        <w:spacing w:before="13"/>
      </w:pPr>
    </w:p>
    <w:p w14:paraId="578B0877">
      <w:pPr>
        <w:spacing w:before="12"/>
      </w:pPr>
    </w:p>
    <w:p w14:paraId="746D2DBE">
      <w:pPr>
        <w:spacing w:before="12"/>
      </w:pPr>
    </w:p>
    <w:p w14:paraId="06CD3B1E">
      <w:pPr>
        <w:spacing w:before="12"/>
      </w:pPr>
    </w:p>
    <w:tbl>
      <w:tblPr>
        <w:tblStyle w:val="5"/>
        <w:tblW w:w="8730" w:type="dxa"/>
        <w:tblInd w:w="6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475"/>
        <w:gridCol w:w="529"/>
        <w:gridCol w:w="1029"/>
        <w:gridCol w:w="3576"/>
        <w:gridCol w:w="2287"/>
        <w:gridCol w:w="834"/>
      </w:tblGrid>
      <w:tr w14:paraId="38B724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5" w:hRule="atLeast"/>
        </w:trPr>
        <w:tc>
          <w:tcPr>
            <w:tcW w:w="475" w:type="dxa"/>
            <w:shd w:val="clear" w:color="auto" w:fill="231F20"/>
            <w:vAlign w:val="top"/>
          </w:tcPr>
          <w:p w14:paraId="4EFF2D81">
            <w:pPr>
              <w:pStyle w:val="6"/>
              <w:spacing w:before="81" w:line="207" w:lineRule="auto"/>
              <w:ind w:left="37" w:right="16"/>
              <w:rPr>
                <w:sz w:val="19"/>
                <w:szCs w:val="19"/>
              </w:rPr>
            </w:pPr>
            <w:r>
              <w:rPr>
                <w:b/>
                <w:bCs/>
                <w:color w:val="FFFFFF"/>
                <w:spacing w:val="-7"/>
                <w:sz w:val="19"/>
                <w:szCs w:val="19"/>
              </w:rPr>
              <w:t>测试</w:t>
            </w:r>
            <w:r>
              <w:rPr>
                <w:color w:val="FFFFFF"/>
                <w:sz w:val="19"/>
                <w:szCs w:val="19"/>
              </w:rPr>
              <w:t xml:space="preserve"> </w:t>
            </w:r>
            <w:r>
              <w:rPr>
                <w:b/>
                <w:bCs/>
                <w:color w:val="FFFFFF"/>
                <w:spacing w:val="13"/>
                <w:sz w:val="19"/>
                <w:szCs w:val="19"/>
              </w:rPr>
              <w:t>项目</w:t>
            </w:r>
          </w:p>
        </w:tc>
        <w:tc>
          <w:tcPr>
            <w:tcW w:w="529" w:type="dxa"/>
            <w:vAlign w:val="top"/>
          </w:tcPr>
          <w:p w14:paraId="1037F5DE">
            <w:pPr>
              <w:pStyle w:val="6"/>
              <w:spacing w:before="82" w:line="217" w:lineRule="auto"/>
              <w:ind w:left="62" w:right="84"/>
              <w:rPr>
                <w:sz w:val="19"/>
                <w:szCs w:val="19"/>
              </w:rPr>
            </w:pPr>
            <w:r>
              <w:rPr>
                <w:b/>
                <w:bCs/>
                <w:spacing w:val="-7"/>
                <w:sz w:val="19"/>
                <w:szCs w:val="19"/>
              </w:rPr>
              <w:t>测试</w:t>
            </w:r>
            <w:r>
              <w:rPr>
                <w:sz w:val="19"/>
                <w:szCs w:val="19"/>
              </w:rPr>
              <w:t xml:space="preserve"> </w:t>
            </w:r>
            <w:r>
              <w:rPr>
                <w:b/>
                <w:bCs/>
                <w:spacing w:val="-7"/>
                <w:sz w:val="19"/>
                <w:szCs w:val="19"/>
              </w:rPr>
              <w:t>用具</w:t>
            </w:r>
          </w:p>
        </w:tc>
        <w:tc>
          <w:tcPr>
            <w:tcW w:w="1029" w:type="dxa"/>
            <w:vAlign w:val="top"/>
          </w:tcPr>
          <w:p w14:paraId="6BB385B1">
            <w:pPr>
              <w:pStyle w:val="6"/>
              <w:spacing w:before="190" w:line="219" w:lineRule="auto"/>
              <w:ind w:left="173"/>
              <w:rPr>
                <w:sz w:val="19"/>
                <w:szCs w:val="19"/>
              </w:rPr>
            </w:pPr>
            <w:r>
              <w:rPr>
                <w:b/>
                <w:bCs/>
                <w:spacing w:val="-4"/>
                <w:sz w:val="19"/>
                <w:szCs w:val="19"/>
              </w:rPr>
              <w:t>测试内容</w:t>
            </w:r>
          </w:p>
        </w:tc>
        <w:tc>
          <w:tcPr>
            <w:tcW w:w="3576" w:type="dxa"/>
            <w:vAlign w:val="top"/>
          </w:tcPr>
          <w:p w14:paraId="7C507A61">
            <w:pPr>
              <w:pStyle w:val="6"/>
              <w:spacing w:before="191" w:line="221" w:lineRule="auto"/>
              <w:ind w:left="1454"/>
              <w:rPr>
                <w:sz w:val="19"/>
                <w:szCs w:val="19"/>
              </w:rPr>
            </w:pPr>
            <w:r>
              <w:rPr>
                <w:b/>
                <w:bCs/>
                <w:spacing w:val="-4"/>
                <w:sz w:val="19"/>
                <w:szCs w:val="19"/>
              </w:rPr>
              <w:t>测试方法</w:t>
            </w:r>
          </w:p>
        </w:tc>
        <w:tc>
          <w:tcPr>
            <w:tcW w:w="2287" w:type="dxa"/>
            <w:vAlign w:val="top"/>
          </w:tcPr>
          <w:p w14:paraId="1990A5AB">
            <w:pPr>
              <w:pStyle w:val="6"/>
              <w:spacing w:before="190" w:line="219" w:lineRule="auto"/>
              <w:ind w:left="758"/>
              <w:rPr>
                <w:sz w:val="19"/>
                <w:szCs w:val="19"/>
              </w:rPr>
            </w:pPr>
            <w:r>
              <w:rPr>
                <w:b/>
                <w:bCs/>
                <w:spacing w:val="-4"/>
                <w:sz w:val="19"/>
                <w:szCs w:val="19"/>
              </w:rPr>
              <w:t>赋分参考</w:t>
            </w:r>
          </w:p>
        </w:tc>
        <w:tc>
          <w:tcPr>
            <w:tcW w:w="834" w:type="dxa"/>
            <w:vAlign w:val="top"/>
          </w:tcPr>
          <w:p w14:paraId="255F8BAF">
            <w:pPr>
              <w:pStyle w:val="6"/>
              <w:spacing w:before="80" w:line="208" w:lineRule="auto"/>
              <w:ind w:left="221" w:right="230"/>
              <w:rPr>
                <w:sz w:val="19"/>
                <w:szCs w:val="19"/>
              </w:rPr>
            </w:pPr>
            <w:r>
              <w:rPr>
                <w:b/>
                <w:bCs/>
                <w:spacing w:val="-7"/>
                <w:sz w:val="19"/>
                <w:szCs w:val="19"/>
              </w:rPr>
              <w:t>测试</w:t>
            </w:r>
            <w:r>
              <w:rPr>
                <w:sz w:val="19"/>
                <w:szCs w:val="19"/>
              </w:rPr>
              <w:t xml:space="preserve"> </w:t>
            </w:r>
            <w:r>
              <w:rPr>
                <w:b/>
                <w:bCs/>
                <w:spacing w:val="-7"/>
                <w:sz w:val="19"/>
                <w:szCs w:val="19"/>
              </w:rPr>
              <w:t>要求</w:t>
            </w:r>
          </w:p>
        </w:tc>
      </w:tr>
      <w:tr w14:paraId="0C0B2C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573" w:hRule="atLeast"/>
        </w:trPr>
        <w:tc>
          <w:tcPr>
            <w:tcW w:w="475" w:type="dxa"/>
            <w:vAlign w:val="top"/>
          </w:tcPr>
          <w:p w14:paraId="7E3FEE2F">
            <w:pPr>
              <w:rPr>
                <w:rFonts w:ascii="Arial"/>
                <w:sz w:val="21"/>
              </w:rPr>
            </w:pPr>
          </w:p>
        </w:tc>
        <w:tc>
          <w:tcPr>
            <w:tcW w:w="529" w:type="dxa"/>
            <w:vAlign w:val="top"/>
          </w:tcPr>
          <w:p w14:paraId="5FDF2057">
            <w:pPr>
              <w:rPr>
                <w:rFonts w:ascii="Arial"/>
                <w:sz w:val="21"/>
              </w:rPr>
            </w:pPr>
          </w:p>
        </w:tc>
        <w:tc>
          <w:tcPr>
            <w:tcW w:w="1029" w:type="dxa"/>
            <w:vAlign w:val="top"/>
          </w:tcPr>
          <w:p w14:paraId="20C7F5AD">
            <w:pPr>
              <w:rPr>
                <w:rFonts w:ascii="Arial"/>
                <w:sz w:val="21"/>
              </w:rPr>
            </w:pPr>
          </w:p>
        </w:tc>
        <w:tc>
          <w:tcPr>
            <w:tcW w:w="3576" w:type="dxa"/>
            <w:vAlign w:val="top"/>
          </w:tcPr>
          <w:p w14:paraId="23391024">
            <w:pPr>
              <w:pStyle w:val="6"/>
              <w:spacing w:before="48" w:line="206" w:lineRule="auto"/>
              <w:ind w:left="41" w:hanging="9"/>
              <w:rPr>
                <w:sz w:val="19"/>
                <w:szCs w:val="19"/>
              </w:rPr>
            </w:pPr>
            <w:r>
              <w:rPr>
                <w:spacing w:val="-5"/>
                <w:sz w:val="19"/>
                <w:szCs w:val="19"/>
              </w:rPr>
              <w:t>放松时手掌跟部不离开胸壁，保证每次按压</w:t>
            </w:r>
            <w:r>
              <w:rPr>
                <w:spacing w:val="17"/>
                <w:sz w:val="19"/>
                <w:szCs w:val="19"/>
              </w:rPr>
              <w:t xml:space="preserve"> </w:t>
            </w:r>
            <w:r>
              <w:rPr>
                <w:spacing w:val="-1"/>
                <w:sz w:val="19"/>
                <w:szCs w:val="19"/>
              </w:rPr>
              <w:t>后胸廓回弹，反复进行。</w:t>
            </w:r>
          </w:p>
          <w:p w14:paraId="1E5B099D">
            <w:pPr>
              <w:pStyle w:val="6"/>
              <w:spacing w:before="16" w:line="213" w:lineRule="auto"/>
              <w:ind w:left="41" w:right="436" w:firstLine="40"/>
              <w:rPr>
                <w:sz w:val="19"/>
                <w:szCs w:val="19"/>
              </w:rPr>
            </w:pPr>
            <w:r>
              <w:rPr>
                <w:sz w:val="19"/>
                <w:szCs w:val="19"/>
              </w:rPr>
              <w:t>(4)按压频率：&gt;100次/分，但不超过</w:t>
            </w:r>
            <w:r>
              <w:rPr>
                <w:spacing w:val="6"/>
                <w:sz w:val="19"/>
                <w:szCs w:val="19"/>
              </w:rPr>
              <w:t xml:space="preserve"> </w:t>
            </w:r>
            <w:r>
              <w:rPr>
                <w:spacing w:val="-1"/>
                <w:sz w:val="19"/>
                <w:szCs w:val="19"/>
              </w:rPr>
              <w:t>120次/分。</w:t>
            </w:r>
          </w:p>
          <w:p w14:paraId="6CF61D5F">
            <w:pPr>
              <w:pStyle w:val="6"/>
              <w:spacing w:line="214" w:lineRule="auto"/>
              <w:ind w:left="41" w:right="199"/>
              <w:rPr>
                <w:sz w:val="19"/>
                <w:szCs w:val="19"/>
              </w:rPr>
            </w:pPr>
            <w:r>
              <w:rPr>
                <w:sz w:val="19"/>
                <w:szCs w:val="19"/>
              </w:rPr>
              <w:t xml:space="preserve">(5)按压时眼睛的余光观察病人颜面部。 </w:t>
            </w:r>
            <w:r>
              <w:rPr>
                <w:spacing w:val="-1"/>
                <w:sz w:val="19"/>
                <w:szCs w:val="19"/>
              </w:rPr>
              <w:t>8.畅通气道</w:t>
            </w:r>
          </w:p>
          <w:p w14:paraId="47A4D205">
            <w:pPr>
              <w:pStyle w:val="6"/>
              <w:spacing w:before="1" w:line="208" w:lineRule="auto"/>
              <w:ind w:left="41" w:right="147" w:firstLine="49"/>
              <w:rPr>
                <w:sz w:val="19"/>
                <w:szCs w:val="19"/>
              </w:rPr>
            </w:pPr>
            <w:r>
              <w:rPr>
                <w:sz w:val="19"/>
                <w:szCs w:val="19"/>
              </w:rPr>
              <w:t xml:space="preserve">(1)按压之后，将病人头偏向一侧，清理 </w:t>
            </w:r>
            <w:r>
              <w:rPr>
                <w:spacing w:val="-1"/>
                <w:sz w:val="19"/>
                <w:szCs w:val="19"/>
              </w:rPr>
              <w:t>口腔、鼻腔分泌物，取下活动义齿。</w:t>
            </w:r>
          </w:p>
          <w:p w14:paraId="6DFF981B">
            <w:pPr>
              <w:pStyle w:val="6"/>
              <w:spacing w:before="1" w:line="216" w:lineRule="auto"/>
              <w:ind w:left="32" w:firstLine="59"/>
              <w:rPr>
                <w:sz w:val="19"/>
                <w:szCs w:val="19"/>
              </w:rPr>
            </w:pPr>
            <w:r>
              <w:rPr>
                <w:spacing w:val="-1"/>
                <w:sz w:val="19"/>
                <w:szCs w:val="19"/>
              </w:rPr>
              <w:t>(2)头、颈部无损伤者可用仰头抬颏法打</w:t>
            </w:r>
            <w:r>
              <w:rPr>
                <w:spacing w:val="2"/>
                <w:sz w:val="19"/>
                <w:szCs w:val="19"/>
              </w:rPr>
              <w:t xml:space="preserve">  </w:t>
            </w:r>
            <w:r>
              <w:rPr>
                <w:spacing w:val="-5"/>
                <w:sz w:val="19"/>
                <w:szCs w:val="19"/>
              </w:rPr>
              <w:t>开气道：抢救者以左手小鱼际置于前额，用</w:t>
            </w:r>
            <w:r>
              <w:rPr>
                <w:spacing w:val="17"/>
                <w:sz w:val="19"/>
                <w:szCs w:val="19"/>
              </w:rPr>
              <w:t xml:space="preserve"> </w:t>
            </w:r>
            <w:r>
              <w:rPr>
                <w:spacing w:val="-5"/>
                <w:sz w:val="19"/>
                <w:szCs w:val="19"/>
              </w:rPr>
              <w:t>力向后压，使头向后仰；右手食指、中指置</w:t>
            </w:r>
            <w:r>
              <w:rPr>
                <w:spacing w:val="1"/>
                <w:sz w:val="19"/>
                <w:szCs w:val="19"/>
              </w:rPr>
              <w:t xml:space="preserve"> </w:t>
            </w:r>
            <w:r>
              <w:rPr>
                <w:spacing w:val="-2"/>
                <w:sz w:val="19"/>
                <w:szCs w:val="19"/>
              </w:rPr>
              <w:t>于下颌角下方，旁开中点2cm,抬起下颏，</w:t>
            </w:r>
          </w:p>
          <w:p w14:paraId="3BD4DC64">
            <w:pPr>
              <w:pStyle w:val="6"/>
              <w:spacing w:before="19" w:line="199" w:lineRule="auto"/>
              <w:ind w:left="41" w:right="489"/>
              <w:rPr>
                <w:sz w:val="19"/>
                <w:szCs w:val="19"/>
              </w:rPr>
            </w:pPr>
            <w:r>
              <w:rPr>
                <w:spacing w:val="-1"/>
                <w:sz w:val="19"/>
                <w:szCs w:val="19"/>
              </w:rPr>
              <w:t>使下颌角与耳垂的连线和地面垂直。</w:t>
            </w:r>
            <w:r>
              <w:rPr>
                <w:spacing w:val="9"/>
                <w:sz w:val="19"/>
                <w:szCs w:val="19"/>
              </w:rPr>
              <w:t xml:space="preserve"> </w:t>
            </w:r>
            <w:r>
              <w:rPr>
                <w:spacing w:val="-1"/>
                <w:sz w:val="19"/>
                <w:szCs w:val="19"/>
              </w:rPr>
              <w:t>9.人工呼吸</w:t>
            </w:r>
          </w:p>
          <w:p w14:paraId="4CB233CA">
            <w:pPr>
              <w:pStyle w:val="6"/>
              <w:spacing w:line="218" w:lineRule="auto"/>
              <w:ind w:left="82"/>
              <w:rPr>
                <w:sz w:val="19"/>
                <w:szCs w:val="19"/>
              </w:rPr>
            </w:pPr>
            <w:r>
              <w:rPr>
                <w:spacing w:val="-1"/>
                <w:sz w:val="19"/>
                <w:szCs w:val="19"/>
              </w:rPr>
              <w:t>(1)在病人口鼻部盖单层纱布或隔离膜，</w:t>
            </w:r>
          </w:p>
          <w:p w14:paraId="41C70C78">
            <w:pPr>
              <w:pStyle w:val="6"/>
              <w:spacing w:before="6" w:line="209" w:lineRule="auto"/>
              <w:ind w:left="41" w:hanging="9"/>
              <w:rPr>
                <w:sz w:val="19"/>
                <w:szCs w:val="19"/>
              </w:rPr>
            </w:pPr>
            <w:r>
              <w:rPr>
                <w:spacing w:val="-5"/>
                <w:sz w:val="19"/>
                <w:szCs w:val="19"/>
              </w:rPr>
              <w:t>深吸气后屏气，捏紧鼻翼，双唇包住病人口</w:t>
            </w:r>
            <w:r>
              <w:rPr>
                <w:spacing w:val="17"/>
                <w:sz w:val="19"/>
                <w:szCs w:val="19"/>
              </w:rPr>
              <w:t xml:space="preserve"> </w:t>
            </w:r>
            <w:r>
              <w:rPr>
                <w:spacing w:val="-2"/>
                <w:sz w:val="19"/>
                <w:szCs w:val="19"/>
              </w:rPr>
              <w:t>部(不留空隙),用力吹气，使胸廓扩张。</w:t>
            </w:r>
          </w:p>
          <w:p w14:paraId="446F8C0C">
            <w:pPr>
              <w:pStyle w:val="6"/>
              <w:spacing w:before="10" w:line="214" w:lineRule="auto"/>
              <w:ind w:left="41"/>
              <w:rPr>
                <w:sz w:val="19"/>
                <w:szCs w:val="19"/>
              </w:rPr>
            </w:pPr>
            <w:r>
              <w:rPr>
                <w:spacing w:val="-1"/>
                <w:sz w:val="19"/>
                <w:szCs w:val="19"/>
              </w:rPr>
              <w:t>(2)每次吹气时间不超过2秒。</w:t>
            </w:r>
          </w:p>
          <w:p w14:paraId="3A4D712F">
            <w:pPr>
              <w:pStyle w:val="6"/>
              <w:spacing w:before="1" w:line="209" w:lineRule="auto"/>
              <w:ind w:left="41" w:firstLine="59"/>
              <w:rPr>
                <w:sz w:val="19"/>
                <w:szCs w:val="19"/>
              </w:rPr>
            </w:pPr>
            <w:r>
              <w:rPr>
                <w:spacing w:val="-1"/>
                <w:sz w:val="19"/>
                <w:szCs w:val="19"/>
              </w:rPr>
              <w:t>(3)吹气毕，放松捏鼻翼的手，抢救者头</w:t>
            </w:r>
            <w:r>
              <w:rPr>
                <w:spacing w:val="6"/>
                <w:sz w:val="19"/>
                <w:szCs w:val="19"/>
              </w:rPr>
              <w:t xml:space="preserve">  </w:t>
            </w:r>
            <w:r>
              <w:rPr>
                <w:spacing w:val="-5"/>
                <w:sz w:val="19"/>
                <w:szCs w:val="19"/>
              </w:rPr>
              <w:t>稍抬起，侧转换气，同时注意观察胸部复原</w:t>
            </w:r>
            <w:r>
              <w:rPr>
                <w:spacing w:val="8"/>
                <w:sz w:val="19"/>
                <w:szCs w:val="19"/>
              </w:rPr>
              <w:t xml:space="preserve"> </w:t>
            </w:r>
            <w:r>
              <w:rPr>
                <w:spacing w:val="-2"/>
                <w:sz w:val="19"/>
                <w:szCs w:val="19"/>
              </w:rPr>
              <w:t>情况。</w:t>
            </w:r>
          </w:p>
          <w:p w14:paraId="7D5B7259">
            <w:pPr>
              <w:pStyle w:val="6"/>
              <w:spacing w:before="13" w:line="214" w:lineRule="auto"/>
              <w:ind w:left="41"/>
              <w:rPr>
                <w:sz w:val="19"/>
                <w:szCs w:val="19"/>
              </w:rPr>
            </w:pPr>
            <w:r>
              <w:rPr>
                <w:spacing w:val="-1"/>
                <w:sz w:val="19"/>
                <w:szCs w:val="19"/>
              </w:rPr>
              <w:t>(4)连续吹气两次。</w:t>
            </w:r>
          </w:p>
          <w:p w14:paraId="69796EAF">
            <w:pPr>
              <w:pStyle w:val="6"/>
              <w:spacing w:before="1" w:line="213" w:lineRule="auto"/>
              <w:ind w:left="91"/>
              <w:rPr>
                <w:sz w:val="19"/>
                <w:szCs w:val="19"/>
              </w:rPr>
            </w:pPr>
            <w:r>
              <w:rPr>
                <w:sz w:val="19"/>
                <w:szCs w:val="19"/>
              </w:rPr>
              <w:t>(5)胸外心脏按压与人工呼吸比为30:2。</w:t>
            </w:r>
          </w:p>
          <w:p w14:paraId="73CF3C3E">
            <w:pPr>
              <w:pStyle w:val="6"/>
              <w:spacing w:line="209" w:lineRule="auto"/>
              <w:ind w:left="41"/>
              <w:rPr>
                <w:sz w:val="19"/>
                <w:szCs w:val="19"/>
              </w:rPr>
            </w:pPr>
            <w:r>
              <w:rPr>
                <w:spacing w:val="-9"/>
                <w:sz w:val="19"/>
                <w:szCs w:val="19"/>
              </w:rPr>
              <w:t>10.胸外心脏按压与人工呼吸反复循环进行，</w:t>
            </w:r>
            <w:r>
              <w:rPr>
                <w:spacing w:val="7"/>
                <w:sz w:val="19"/>
                <w:szCs w:val="19"/>
              </w:rPr>
              <w:t xml:space="preserve"> </w:t>
            </w:r>
            <w:r>
              <w:rPr>
                <w:spacing w:val="-6"/>
                <w:sz w:val="19"/>
                <w:szCs w:val="19"/>
              </w:rPr>
              <w:t>每5个循环为一周期。五个循环后判断有无</w:t>
            </w:r>
            <w:r>
              <w:rPr>
                <w:spacing w:val="8"/>
                <w:sz w:val="19"/>
                <w:szCs w:val="19"/>
              </w:rPr>
              <w:t xml:space="preserve">  </w:t>
            </w:r>
            <w:r>
              <w:rPr>
                <w:spacing w:val="-5"/>
                <w:sz w:val="19"/>
                <w:szCs w:val="19"/>
              </w:rPr>
              <w:t>脉搏、呼吸。</w:t>
            </w:r>
          </w:p>
          <w:p w14:paraId="7E115D3A">
            <w:pPr>
              <w:pStyle w:val="6"/>
              <w:spacing w:before="225" w:line="216" w:lineRule="auto"/>
              <w:ind w:left="41" w:hanging="9"/>
              <w:rPr>
                <w:sz w:val="19"/>
                <w:szCs w:val="19"/>
              </w:rPr>
            </w:pPr>
            <w:r>
              <w:rPr>
                <w:spacing w:val="-5"/>
                <w:sz w:val="19"/>
                <w:szCs w:val="19"/>
              </w:rPr>
              <w:t>11.复苏有效判断：病人出现自主呼吸、可</w:t>
            </w:r>
            <w:r>
              <w:rPr>
                <w:spacing w:val="6"/>
                <w:sz w:val="19"/>
                <w:szCs w:val="19"/>
              </w:rPr>
              <w:t xml:space="preserve">  </w:t>
            </w:r>
            <w:r>
              <w:rPr>
                <w:sz w:val="19"/>
                <w:szCs w:val="19"/>
              </w:rPr>
              <w:t>扪及大动脉搏动，收缩压在60mmHg以上；</w:t>
            </w:r>
            <w:r>
              <w:rPr>
                <w:spacing w:val="4"/>
                <w:sz w:val="19"/>
                <w:szCs w:val="19"/>
              </w:rPr>
              <w:t xml:space="preserve">  </w:t>
            </w:r>
            <w:r>
              <w:rPr>
                <w:spacing w:val="-14"/>
                <w:sz w:val="19"/>
                <w:szCs w:val="19"/>
              </w:rPr>
              <w:t>皮肤、黏膜色泽转为红润；散大的瞳孔缩小，</w:t>
            </w:r>
            <w:r>
              <w:rPr>
                <w:spacing w:val="3"/>
                <w:sz w:val="19"/>
                <w:szCs w:val="19"/>
              </w:rPr>
              <w:t xml:space="preserve"> </w:t>
            </w:r>
            <w:r>
              <w:rPr>
                <w:spacing w:val="-4"/>
                <w:sz w:val="19"/>
                <w:szCs w:val="19"/>
              </w:rPr>
              <w:t>昏迷变浅，神经反射出现(口述)。(记录</w:t>
            </w:r>
          </w:p>
          <w:p w14:paraId="41A3FC9A">
            <w:pPr>
              <w:pStyle w:val="6"/>
              <w:spacing w:before="1" w:line="214" w:lineRule="auto"/>
              <w:ind w:left="41"/>
              <w:rPr>
                <w:sz w:val="19"/>
                <w:szCs w:val="19"/>
              </w:rPr>
            </w:pPr>
            <w:r>
              <w:rPr>
                <w:spacing w:val="5"/>
                <w:sz w:val="19"/>
                <w:szCs w:val="19"/>
              </w:rPr>
              <w:t>抢救结束时间)</w:t>
            </w:r>
          </w:p>
          <w:p w14:paraId="30745A0C">
            <w:pPr>
              <w:pStyle w:val="6"/>
              <w:spacing w:line="216" w:lineRule="auto"/>
              <w:ind w:left="41" w:right="7"/>
              <w:rPr>
                <w:sz w:val="19"/>
                <w:szCs w:val="19"/>
              </w:rPr>
            </w:pPr>
            <w:r>
              <w:rPr>
                <w:sz w:val="19"/>
                <w:szCs w:val="19"/>
              </w:rPr>
              <w:t xml:space="preserve">12.复苏成功后协助病人取合适卧位，整理 </w:t>
            </w:r>
            <w:r>
              <w:rPr>
                <w:spacing w:val="-1"/>
                <w:sz w:val="19"/>
                <w:szCs w:val="19"/>
              </w:rPr>
              <w:t>床单位及用物，进行进一步生命支持。</w:t>
            </w:r>
          </w:p>
        </w:tc>
        <w:tc>
          <w:tcPr>
            <w:tcW w:w="2287" w:type="dxa"/>
            <w:vAlign w:val="top"/>
          </w:tcPr>
          <w:p w14:paraId="5D739766">
            <w:pPr>
              <w:spacing w:line="269" w:lineRule="auto"/>
              <w:rPr>
                <w:rFonts w:ascii="Arial"/>
                <w:sz w:val="21"/>
              </w:rPr>
            </w:pPr>
          </w:p>
          <w:p w14:paraId="19DE148B">
            <w:pPr>
              <w:spacing w:line="270" w:lineRule="auto"/>
              <w:rPr>
                <w:rFonts w:ascii="Arial"/>
                <w:sz w:val="21"/>
              </w:rPr>
            </w:pPr>
          </w:p>
          <w:p w14:paraId="05AC28B6">
            <w:pPr>
              <w:spacing w:line="270" w:lineRule="auto"/>
              <w:rPr>
                <w:rFonts w:ascii="Arial"/>
                <w:sz w:val="21"/>
              </w:rPr>
            </w:pPr>
          </w:p>
          <w:p w14:paraId="04E84A8D">
            <w:pPr>
              <w:spacing w:line="270" w:lineRule="auto"/>
              <w:rPr>
                <w:rFonts w:ascii="Arial"/>
                <w:sz w:val="21"/>
              </w:rPr>
            </w:pPr>
          </w:p>
          <w:p w14:paraId="1EE1D690">
            <w:pPr>
              <w:pStyle w:val="6"/>
              <w:spacing w:before="61" w:line="214" w:lineRule="auto"/>
              <w:ind w:left="15"/>
              <w:rPr>
                <w:sz w:val="19"/>
                <w:szCs w:val="19"/>
              </w:rPr>
            </w:pPr>
            <w:r>
              <w:rPr>
                <w:spacing w:val="-1"/>
                <w:sz w:val="19"/>
                <w:szCs w:val="19"/>
              </w:rPr>
              <w:t>8.分值15分(未清理口鼻</w:t>
            </w:r>
          </w:p>
          <w:p w14:paraId="6491F209">
            <w:pPr>
              <w:pStyle w:val="6"/>
              <w:spacing w:line="222" w:lineRule="auto"/>
              <w:ind w:left="15" w:right="55" w:firstLine="30"/>
              <w:rPr>
                <w:sz w:val="19"/>
                <w:szCs w:val="19"/>
              </w:rPr>
            </w:pPr>
            <w:r>
              <w:rPr>
                <w:spacing w:val="-1"/>
                <w:sz w:val="19"/>
                <w:szCs w:val="19"/>
              </w:rPr>
              <w:t>异物扣5分，打开气道手法</w:t>
            </w:r>
            <w:r>
              <w:rPr>
                <w:spacing w:val="1"/>
                <w:sz w:val="19"/>
                <w:szCs w:val="19"/>
              </w:rPr>
              <w:t xml:space="preserve"> </w:t>
            </w:r>
            <w:r>
              <w:rPr>
                <w:spacing w:val="5"/>
                <w:sz w:val="19"/>
                <w:szCs w:val="19"/>
              </w:rPr>
              <w:t>不正确扣5分)</w:t>
            </w:r>
          </w:p>
          <w:p w14:paraId="34ACB722">
            <w:pPr>
              <w:spacing w:line="253" w:lineRule="auto"/>
              <w:rPr>
                <w:rFonts w:ascii="Arial"/>
                <w:sz w:val="21"/>
              </w:rPr>
            </w:pPr>
          </w:p>
          <w:p w14:paraId="28C2A21C">
            <w:pPr>
              <w:spacing w:line="253" w:lineRule="auto"/>
              <w:rPr>
                <w:rFonts w:ascii="Arial"/>
                <w:sz w:val="21"/>
              </w:rPr>
            </w:pPr>
          </w:p>
          <w:p w14:paraId="526346E6">
            <w:pPr>
              <w:spacing w:line="254" w:lineRule="auto"/>
              <w:rPr>
                <w:rFonts w:ascii="Arial"/>
                <w:sz w:val="21"/>
              </w:rPr>
            </w:pPr>
          </w:p>
          <w:p w14:paraId="4105426B">
            <w:pPr>
              <w:spacing w:line="254" w:lineRule="auto"/>
              <w:rPr>
                <w:rFonts w:ascii="Arial"/>
                <w:sz w:val="21"/>
              </w:rPr>
            </w:pPr>
          </w:p>
          <w:p w14:paraId="58AEE231">
            <w:pPr>
              <w:pStyle w:val="6"/>
              <w:spacing w:before="62" w:line="204" w:lineRule="auto"/>
              <w:ind w:left="15"/>
              <w:rPr>
                <w:sz w:val="19"/>
                <w:szCs w:val="19"/>
              </w:rPr>
            </w:pPr>
            <w:r>
              <w:rPr>
                <w:spacing w:val="-1"/>
                <w:sz w:val="19"/>
                <w:szCs w:val="19"/>
              </w:rPr>
              <w:t>9.分值15分(未捏鼻每次</w:t>
            </w:r>
          </w:p>
          <w:p w14:paraId="607BCE5F">
            <w:pPr>
              <w:pStyle w:val="6"/>
              <w:spacing w:before="3" w:line="217" w:lineRule="auto"/>
              <w:ind w:left="15" w:right="53" w:firstLine="30"/>
              <w:rPr>
                <w:sz w:val="19"/>
                <w:szCs w:val="19"/>
              </w:rPr>
            </w:pPr>
            <w:r>
              <w:rPr>
                <w:spacing w:val="-1"/>
                <w:sz w:val="19"/>
                <w:szCs w:val="19"/>
              </w:rPr>
              <w:t>扣2分。吹气后未放开鼻腔</w:t>
            </w:r>
            <w:r>
              <w:rPr>
                <w:sz w:val="19"/>
                <w:szCs w:val="19"/>
              </w:rPr>
              <w:t xml:space="preserve"> </w:t>
            </w:r>
            <w:r>
              <w:rPr>
                <w:spacing w:val="1"/>
                <w:sz w:val="19"/>
                <w:szCs w:val="19"/>
              </w:rPr>
              <w:t>每次扣2分。吹气无效或漏</w:t>
            </w:r>
            <w:r>
              <w:rPr>
                <w:spacing w:val="9"/>
                <w:sz w:val="19"/>
                <w:szCs w:val="19"/>
              </w:rPr>
              <w:t xml:space="preserve"> </w:t>
            </w:r>
            <w:r>
              <w:rPr>
                <w:spacing w:val="5"/>
                <w:sz w:val="19"/>
                <w:szCs w:val="19"/>
              </w:rPr>
              <w:t>气1次扣2分。吹气与按压</w:t>
            </w:r>
            <w:r>
              <w:rPr>
                <w:spacing w:val="10"/>
                <w:sz w:val="19"/>
                <w:szCs w:val="19"/>
              </w:rPr>
              <w:t xml:space="preserve"> </w:t>
            </w:r>
            <w:r>
              <w:rPr>
                <w:spacing w:val="5"/>
                <w:sz w:val="19"/>
                <w:szCs w:val="19"/>
              </w:rPr>
              <w:t>比不正确扣2分)</w:t>
            </w:r>
          </w:p>
          <w:p w14:paraId="0BEEA165">
            <w:pPr>
              <w:spacing w:line="256" w:lineRule="auto"/>
              <w:rPr>
                <w:rFonts w:ascii="Arial"/>
                <w:sz w:val="21"/>
              </w:rPr>
            </w:pPr>
          </w:p>
          <w:p w14:paraId="1750C836">
            <w:pPr>
              <w:spacing w:line="256" w:lineRule="auto"/>
              <w:rPr>
                <w:rFonts w:ascii="Arial"/>
                <w:sz w:val="21"/>
              </w:rPr>
            </w:pPr>
          </w:p>
          <w:p w14:paraId="7599D9D4">
            <w:pPr>
              <w:spacing w:line="256" w:lineRule="auto"/>
              <w:rPr>
                <w:rFonts w:ascii="Arial"/>
                <w:sz w:val="21"/>
              </w:rPr>
            </w:pPr>
          </w:p>
          <w:p w14:paraId="4769A5A9">
            <w:pPr>
              <w:spacing w:line="257" w:lineRule="auto"/>
              <w:rPr>
                <w:rFonts w:ascii="Arial"/>
                <w:sz w:val="21"/>
              </w:rPr>
            </w:pPr>
          </w:p>
          <w:p w14:paraId="5CBBAAF4">
            <w:pPr>
              <w:pStyle w:val="6"/>
              <w:spacing w:before="62" w:line="209" w:lineRule="auto"/>
              <w:ind w:left="15" w:right="56" w:firstLine="80"/>
              <w:jc w:val="both"/>
              <w:rPr>
                <w:sz w:val="19"/>
                <w:szCs w:val="19"/>
              </w:rPr>
            </w:pPr>
            <w:r>
              <w:rPr>
                <w:spacing w:val="1"/>
                <w:sz w:val="19"/>
                <w:szCs w:val="19"/>
              </w:rPr>
              <w:t>10.分值10分(按压多或少 一循环扣2分。五循环后未</w:t>
            </w:r>
            <w:r>
              <w:rPr>
                <w:spacing w:val="6"/>
                <w:sz w:val="19"/>
                <w:szCs w:val="19"/>
              </w:rPr>
              <w:t xml:space="preserve"> 判断扣2分)</w:t>
            </w:r>
          </w:p>
          <w:p w14:paraId="22764CAA">
            <w:pPr>
              <w:pStyle w:val="6"/>
              <w:spacing w:before="224" w:line="219" w:lineRule="auto"/>
              <w:ind w:left="25"/>
              <w:rPr>
                <w:sz w:val="19"/>
                <w:szCs w:val="19"/>
              </w:rPr>
            </w:pPr>
            <w:r>
              <w:rPr>
                <w:sz w:val="19"/>
                <w:szCs w:val="19"/>
              </w:rPr>
              <w:t>11.分值9分(未判断复苏</w:t>
            </w:r>
          </w:p>
          <w:p w14:paraId="6A450B27">
            <w:pPr>
              <w:pStyle w:val="6"/>
              <w:spacing w:before="7" w:line="215" w:lineRule="auto"/>
              <w:ind w:left="25" w:right="55" w:firstLine="20"/>
              <w:rPr>
                <w:sz w:val="19"/>
                <w:szCs w:val="19"/>
              </w:rPr>
            </w:pPr>
            <w:r>
              <w:rPr>
                <w:spacing w:val="-1"/>
                <w:sz w:val="19"/>
                <w:szCs w:val="19"/>
              </w:rPr>
              <w:t>是否成功扣3分；复苏成功</w:t>
            </w:r>
            <w:r>
              <w:rPr>
                <w:sz w:val="19"/>
                <w:szCs w:val="19"/>
              </w:rPr>
              <w:t xml:space="preserve"> 指征缺一项扣1分；未记录</w:t>
            </w:r>
            <w:r>
              <w:rPr>
                <w:spacing w:val="9"/>
                <w:sz w:val="19"/>
                <w:szCs w:val="19"/>
              </w:rPr>
              <w:t xml:space="preserve"> </w:t>
            </w:r>
            <w:r>
              <w:rPr>
                <w:spacing w:val="4"/>
                <w:sz w:val="19"/>
                <w:szCs w:val="19"/>
              </w:rPr>
              <w:t>抢救结束时间扣2分)</w:t>
            </w:r>
          </w:p>
          <w:p w14:paraId="4466D05E">
            <w:pPr>
              <w:pStyle w:val="6"/>
              <w:spacing w:before="213" w:line="215" w:lineRule="auto"/>
              <w:ind w:left="25"/>
              <w:rPr>
                <w:sz w:val="19"/>
                <w:szCs w:val="19"/>
              </w:rPr>
            </w:pPr>
            <w:r>
              <w:rPr>
                <w:sz w:val="19"/>
                <w:szCs w:val="19"/>
              </w:rPr>
              <w:t>12.分值4分(未协助病人</w:t>
            </w:r>
          </w:p>
          <w:p w14:paraId="3E631B91">
            <w:pPr>
              <w:pStyle w:val="6"/>
              <w:spacing w:before="1" w:line="207" w:lineRule="auto"/>
              <w:ind w:left="15" w:right="27" w:firstLine="30"/>
              <w:rPr>
                <w:sz w:val="19"/>
                <w:szCs w:val="19"/>
              </w:rPr>
            </w:pPr>
            <w:r>
              <w:rPr>
                <w:spacing w:val="1"/>
                <w:sz w:val="19"/>
                <w:szCs w:val="19"/>
              </w:rPr>
              <w:t>安置卧位扣2分；未处理用</w:t>
            </w:r>
            <w:r>
              <w:rPr>
                <w:spacing w:val="5"/>
                <w:sz w:val="19"/>
                <w:szCs w:val="19"/>
              </w:rPr>
              <w:t xml:space="preserve"> </w:t>
            </w:r>
            <w:r>
              <w:rPr>
                <w:spacing w:val="6"/>
                <w:sz w:val="19"/>
                <w:szCs w:val="19"/>
              </w:rPr>
              <w:t>物扣2分。)</w:t>
            </w:r>
          </w:p>
          <w:p w14:paraId="0861A41A">
            <w:pPr>
              <w:pStyle w:val="6"/>
              <w:spacing w:before="10" w:line="204" w:lineRule="auto"/>
              <w:ind w:left="15"/>
              <w:jc w:val="both"/>
              <w:rPr>
                <w:sz w:val="18"/>
                <w:szCs w:val="18"/>
              </w:rPr>
            </w:pPr>
            <w:r>
              <w:rPr>
                <w:spacing w:val="-8"/>
                <w:sz w:val="19"/>
                <w:szCs w:val="19"/>
              </w:rPr>
              <w:t>13.操作后评价：分值15分。</w:t>
            </w:r>
            <w:r>
              <w:rPr>
                <w:spacing w:val="5"/>
                <w:sz w:val="19"/>
                <w:szCs w:val="19"/>
              </w:rPr>
              <w:t xml:space="preserve"> </w:t>
            </w:r>
            <w:r>
              <w:rPr>
                <w:spacing w:val="-5"/>
                <w:sz w:val="19"/>
                <w:szCs w:val="19"/>
              </w:rPr>
              <w:t>(操作规范熟练，抢救中病</w:t>
            </w:r>
            <w:r>
              <w:rPr>
                <w:spacing w:val="4"/>
                <w:sz w:val="19"/>
                <w:szCs w:val="19"/>
              </w:rPr>
              <w:t xml:space="preserve">  </w:t>
            </w:r>
            <w:r>
              <w:rPr>
                <w:spacing w:val="4"/>
                <w:sz w:val="18"/>
                <w:szCs w:val="18"/>
              </w:rPr>
              <w:t>人无损伤；关心体贴病人。</w:t>
            </w:r>
            <w:r>
              <w:rPr>
                <w:spacing w:val="2"/>
                <w:sz w:val="18"/>
                <w:szCs w:val="18"/>
              </w:rPr>
              <w:t xml:space="preserve"> </w:t>
            </w:r>
            <w:r>
              <w:rPr>
                <w:spacing w:val="5"/>
                <w:sz w:val="18"/>
                <w:szCs w:val="18"/>
              </w:rPr>
              <w:t>操作动作粗暴扣5分)</w:t>
            </w:r>
          </w:p>
        </w:tc>
        <w:tc>
          <w:tcPr>
            <w:tcW w:w="834" w:type="dxa"/>
            <w:vAlign w:val="top"/>
          </w:tcPr>
          <w:p w14:paraId="479A68B8">
            <w:pPr>
              <w:rPr>
                <w:rFonts w:ascii="Arial"/>
                <w:sz w:val="21"/>
              </w:rPr>
            </w:pPr>
          </w:p>
        </w:tc>
      </w:tr>
      <w:tr w14:paraId="423DBE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32" w:hRule="atLeast"/>
        </w:trPr>
        <w:tc>
          <w:tcPr>
            <w:tcW w:w="475" w:type="dxa"/>
            <w:vAlign w:val="top"/>
          </w:tcPr>
          <w:p w14:paraId="17EAF6CD">
            <w:pPr>
              <w:pStyle w:val="6"/>
              <w:spacing w:before="55" w:line="219" w:lineRule="auto"/>
              <w:jc w:val="right"/>
              <w:rPr>
                <w:sz w:val="19"/>
                <w:szCs w:val="19"/>
              </w:rPr>
            </w:pPr>
            <w:r>
              <w:rPr>
                <w:spacing w:val="-28"/>
                <w:sz w:val="19"/>
                <w:szCs w:val="19"/>
              </w:rPr>
              <w:t>项</w:t>
            </w:r>
            <w:r>
              <w:rPr>
                <w:spacing w:val="-4"/>
                <w:sz w:val="19"/>
                <w:szCs w:val="19"/>
              </w:rPr>
              <w:t xml:space="preserve"> </w:t>
            </w:r>
            <w:r>
              <w:rPr>
                <w:spacing w:val="-28"/>
                <w:sz w:val="19"/>
                <w:szCs w:val="19"/>
              </w:rPr>
              <w:t>目</w:t>
            </w:r>
          </w:p>
          <w:p w14:paraId="77717C3B">
            <w:pPr>
              <w:pStyle w:val="6"/>
              <w:spacing w:line="199" w:lineRule="auto"/>
              <w:jc w:val="right"/>
              <w:rPr>
                <w:sz w:val="19"/>
                <w:szCs w:val="19"/>
              </w:rPr>
            </w:pPr>
            <w:r>
              <w:rPr>
                <w:spacing w:val="-27"/>
                <w:w w:val="96"/>
                <w:sz w:val="19"/>
                <w:szCs w:val="19"/>
              </w:rPr>
              <w:t>三</w:t>
            </w:r>
            <w:r>
              <w:rPr>
                <w:spacing w:val="23"/>
                <w:sz w:val="19"/>
                <w:szCs w:val="19"/>
              </w:rPr>
              <w:t xml:space="preserve"> </w:t>
            </w:r>
            <w:r>
              <w:rPr>
                <w:spacing w:val="-27"/>
                <w:w w:val="96"/>
                <w:sz w:val="19"/>
                <w:szCs w:val="19"/>
              </w:rPr>
              <w:t>、</w:t>
            </w:r>
          </w:p>
          <w:p w14:paraId="7A87A0D2">
            <w:pPr>
              <w:pStyle w:val="6"/>
              <w:spacing w:line="213" w:lineRule="auto"/>
              <w:jc w:val="right"/>
              <w:rPr>
                <w:sz w:val="19"/>
                <w:szCs w:val="19"/>
              </w:rPr>
            </w:pPr>
            <w:r>
              <w:rPr>
                <w:sz w:val="19"/>
                <w:szCs w:val="19"/>
              </w:rPr>
              <w:t>穿脱</w:t>
            </w:r>
          </w:p>
          <w:p w14:paraId="51F09F45">
            <w:pPr>
              <w:pStyle w:val="6"/>
              <w:spacing w:line="214" w:lineRule="auto"/>
              <w:ind w:left="34"/>
              <w:rPr>
                <w:sz w:val="19"/>
                <w:szCs w:val="19"/>
              </w:rPr>
            </w:pPr>
            <w:r>
              <w:rPr>
                <w:spacing w:val="5"/>
                <w:sz w:val="19"/>
                <w:szCs w:val="19"/>
              </w:rPr>
              <w:t>隔离</w:t>
            </w:r>
          </w:p>
          <w:p w14:paraId="4382F7D6">
            <w:pPr>
              <w:pStyle w:val="6"/>
              <w:spacing w:line="220" w:lineRule="auto"/>
              <w:ind w:left="134"/>
              <w:rPr>
                <w:sz w:val="19"/>
                <w:szCs w:val="19"/>
              </w:rPr>
            </w:pPr>
            <w:r>
              <w:rPr>
                <w:sz w:val="19"/>
                <w:szCs w:val="19"/>
              </w:rPr>
              <w:t>衣</w:t>
            </w:r>
          </w:p>
        </w:tc>
        <w:tc>
          <w:tcPr>
            <w:tcW w:w="529" w:type="dxa"/>
            <w:vAlign w:val="top"/>
          </w:tcPr>
          <w:p w14:paraId="65ECD91B">
            <w:pPr>
              <w:pStyle w:val="6"/>
              <w:spacing w:before="66" w:line="212" w:lineRule="auto"/>
              <w:ind w:left="60"/>
              <w:jc w:val="both"/>
              <w:rPr>
                <w:sz w:val="19"/>
                <w:szCs w:val="19"/>
              </w:rPr>
            </w:pPr>
            <w:r>
              <w:rPr>
                <w:spacing w:val="-1"/>
                <w:sz w:val="19"/>
                <w:szCs w:val="19"/>
              </w:rPr>
              <w:t>隔离</w:t>
            </w:r>
            <w:r>
              <w:rPr>
                <w:sz w:val="19"/>
                <w:szCs w:val="19"/>
              </w:rPr>
              <w:t xml:space="preserve">  </w:t>
            </w:r>
            <w:r>
              <w:rPr>
                <w:spacing w:val="-23"/>
                <w:sz w:val="19"/>
                <w:szCs w:val="19"/>
              </w:rPr>
              <w:t>衣</w:t>
            </w:r>
            <w:r>
              <w:rPr>
                <w:spacing w:val="29"/>
                <w:sz w:val="19"/>
                <w:szCs w:val="19"/>
              </w:rPr>
              <w:t xml:space="preserve"> </w:t>
            </w:r>
            <w:r>
              <w:rPr>
                <w:spacing w:val="-23"/>
                <w:sz w:val="19"/>
                <w:szCs w:val="19"/>
              </w:rPr>
              <w:t>、</w:t>
            </w:r>
            <w:r>
              <w:rPr>
                <w:sz w:val="19"/>
                <w:szCs w:val="19"/>
              </w:rPr>
              <w:t xml:space="preserve"> </w:t>
            </w:r>
            <w:r>
              <w:rPr>
                <w:spacing w:val="-11"/>
                <w:sz w:val="19"/>
                <w:szCs w:val="19"/>
              </w:rPr>
              <w:t>挂衣</w:t>
            </w:r>
            <w:r>
              <w:rPr>
                <w:sz w:val="19"/>
                <w:szCs w:val="19"/>
              </w:rPr>
              <w:t xml:space="preserve">  </w:t>
            </w:r>
            <w:r>
              <w:rPr>
                <w:spacing w:val="-24"/>
                <w:sz w:val="19"/>
                <w:szCs w:val="19"/>
              </w:rPr>
              <w:t>架</w:t>
            </w:r>
            <w:r>
              <w:rPr>
                <w:spacing w:val="30"/>
                <w:w w:val="101"/>
                <w:sz w:val="19"/>
                <w:szCs w:val="19"/>
              </w:rPr>
              <w:t xml:space="preserve"> </w:t>
            </w:r>
            <w:r>
              <w:rPr>
                <w:spacing w:val="-24"/>
                <w:sz w:val="19"/>
                <w:szCs w:val="19"/>
              </w:rPr>
              <w:t>、</w:t>
            </w:r>
            <w:r>
              <w:rPr>
                <w:sz w:val="19"/>
                <w:szCs w:val="19"/>
              </w:rPr>
              <w:t xml:space="preserve"> </w:t>
            </w:r>
            <w:r>
              <w:rPr>
                <w:spacing w:val="-2"/>
                <w:sz w:val="19"/>
                <w:szCs w:val="19"/>
              </w:rPr>
              <w:t>消毒</w:t>
            </w:r>
            <w:r>
              <w:rPr>
                <w:sz w:val="19"/>
                <w:szCs w:val="19"/>
              </w:rPr>
              <w:t xml:space="preserve">  手的  </w:t>
            </w:r>
            <w:r>
              <w:rPr>
                <w:spacing w:val="-6"/>
                <w:sz w:val="19"/>
                <w:szCs w:val="19"/>
              </w:rPr>
              <w:t>设备</w:t>
            </w:r>
          </w:p>
        </w:tc>
        <w:tc>
          <w:tcPr>
            <w:tcW w:w="1029" w:type="dxa"/>
            <w:vAlign w:val="top"/>
          </w:tcPr>
          <w:p w14:paraId="74F967AA">
            <w:pPr>
              <w:pStyle w:val="6"/>
              <w:spacing w:before="65" w:line="204" w:lineRule="auto"/>
              <w:ind w:left="30"/>
              <w:rPr>
                <w:sz w:val="19"/>
                <w:szCs w:val="19"/>
              </w:rPr>
            </w:pPr>
            <w:r>
              <w:rPr>
                <w:spacing w:val="1"/>
                <w:sz w:val="19"/>
                <w:szCs w:val="19"/>
              </w:rPr>
              <w:t>1.穿隔离衣</w:t>
            </w:r>
          </w:p>
          <w:p w14:paraId="600FE869">
            <w:pPr>
              <w:pStyle w:val="6"/>
              <w:spacing w:line="203" w:lineRule="auto"/>
              <w:jc w:val="right"/>
              <w:rPr>
                <w:sz w:val="19"/>
                <w:szCs w:val="19"/>
              </w:rPr>
            </w:pPr>
            <w:r>
              <w:rPr>
                <w:spacing w:val="-18"/>
                <w:sz w:val="19"/>
                <w:szCs w:val="19"/>
              </w:rPr>
              <w:t>(1)准</w:t>
            </w:r>
            <w:r>
              <w:rPr>
                <w:spacing w:val="-17"/>
                <w:sz w:val="19"/>
                <w:szCs w:val="19"/>
              </w:rPr>
              <w:t>备工</w:t>
            </w:r>
            <w:r>
              <w:rPr>
                <w:spacing w:val="-13"/>
                <w:sz w:val="19"/>
                <w:szCs w:val="19"/>
              </w:rPr>
              <w:t>作</w:t>
            </w:r>
          </w:p>
          <w:p w14:paraId="3397E423">
            <w:pPr>
              <w:pStyle w:val="6"/>
              <w:spacing w:line="220" w:lineRule="auto"/>
              <w:jc w:val="right"/>
              <w:rPr>
                <w:sz w:val="19"/>
                <w:szCs w:val="19"/>
              </w:rPr>
            </w:pPr>
            <w:r>
              <w:rPr>
                <w:spacing w:val="-17"/>
                <w:sz w:val="19"/>
                <w:szCs w:val="19"/>
              </w:rPr>
              <w:t>(2)取</w:t>
            </w:r>
            <w:r>
              <w:rPr>
                <w:spacing w:val="-16"/>
                <w:sz w:val="19"/>
                <w:szCs w:val="19"/>
              </w:rPr>
              <w:t>表挽</w:t>
            </w:r>
            <w:r>
              <w:rPr>
                <w:spacing w:val="-12"/>
                <w:sz w:val="19"/>
                <w:szCs w:val="19"/>
              </w:rPr>
              <w:t>袖</w:t>
            </w:r>
          </w:p>
          <w:p w14:paraId="52E27C23">
            <w:pPr>
              <w:pStyle w:val="6"/>
              <w:spacing w:before="12" w:line="195" w:lineRule="auto"/>
              <w:jc w:val="right"/>
              <w:rPr>
                <w:sz w:val="19"/>
                <w:szCs w:val="19"/>
              </w:rPr>
            </w:pPr>
            <w:r>
              <w:rPr>
                <w:spacing w:val="-19"/>
                <w:sz w:val="19"/>
                <w:szCs w:val="19"/>
              </w:rPr>
              <w:t>(3</w:t>
            </w:r>
            <w:r>
              <w:rPr>
                <w:spacing w:val="-18"/>
                <w:sz w:val="19"/>
                <w:szCs w:val="19"/>
              </w:rPr>
              <w:t>)持领取</w:t>
            </w:r>
            <w:r>
              <w:rPr>
                <w:spacing w:val="-9"/>
                <w:sz w:val="19"/>
                <w:szCs w:val="19"/>
              </w:rPr>
              <w:t>衣</w:t>
            </w:r>
          </w:p>
          <w:p w14:paraId="0DD7692F">
            <w:pPr>
              <w:pStyle w:val="6"/>
              <w:spacing w:line="220" w:lineRule="auto"/>
              <w:jc w:val="right"/>
              <w:rPr>
                <w:sz w:val="19"/>
                <w:szCs w:val="19"/>
              </w:rPr>
            </w:pPr>
            <w:r>
              <w:rPr>
                <w:spacing w:val="-17"/>
                <w:sz w:val="19"/>
                <w:szCs w:val="19"/>
              </w:rPr>
              <w:t>(4)穿</w:t>
            </w:r>
            <w:r>
              <w:rPr>
                <w:spacing w:val="-16"/>
                <w:sz w:val="19"/>
                <w:szCs w:val="19"/>
              </w:rPr>
              <w:t>左右</w:t>
            </w:r>
            <w:r>
              <w:rPr>
                <w:spacing w:val="-12"/>
                <w:sz w:val="19"/>
                <w:szCs w:val="19"/>
              </w:rPr>
              <w:t>袖</w:t>
            </w:r>
          </w:p>
          <w:p w14:paraId="09854C74">
            <w:pPr>
              <w:pStyle w:val="6"/>
              <w:spacing w:before="13" w:line="194" w:lineRule="auto"/>
              <w:jc w:val="right"/>
              <w:rPr>
                <w:sz w:val="19"/>
                <w:szCs w:val="19"/>
              </w:rPr>
            </w:pPr>
            <w:r>
              <w:rPr>
                <w:spacing w:val="-17"/>
                <w:sz w:val="19"/>
                <w:szCs w:val="19"/>
              </w:rPr>
              <w:t>(5)扣好领扣</w:t>
            </w:r>
          </w:p>
          <w:p w14:paraId="791074B3">
            <w:pPr>
              <w:pStyle w:val="6"/>
              <w:spacing w:before="1" w:line="213" w:lineRule="auto"/>
              <w:jc w:val="right"/>
              <w:rPr>
                <w:sz w:val="19"/>
                <w:szCs w:val="19"/>
              </w:rPr>
            </w:pPr>
            <w:r>
              <w:rPr>
                <w:spacing w:val="-17"/>
                <w:sz w:val="19"/>
                <w:szCs w:val="19"/>
              </w:rPr>
              <w:t>(6)扣好袖口</w:t>
            </w:r>
          </w:p>
          <w:p w14:paraId="7581A5ED">
            <w:pPr>
              <w:pStyle w:val="6"/>
              <w:spacing w:line="219" w:lineRule="auto"/>
              <w:jc w:val="right"/>
              <w:rPr>
                <w:sz w:val="19"/>
                <w:szCs w:val="19"/>
              </w:rPr>
            </w:pPr>
            <w:r>
              <w:rPr>
                <w:spacing w:val="-15"/>
                <w:sz w:val="19"/>
                <w:szCs w:val="19"/>
              </w:rPr>
              <w:t>(7)折</w:t>
            </w:r>
            <w:r>
              <w:rPr>
                <w:spacing w:val="-14"/>
                <w:sz w:val="19"/>
                <w:szCs w:val="19"/>
              </w:rPr>
              <w:t>襟系</w:t>
            </w:r>
            <w:r>
              <w:rPr>
                <w:spacing w:val="-10"/>
                <w:sz w:val="19"/>
                <w:szCs w:val="19"/>
              </w:rPr>
              <w:t>带</w:t>
            </w:r>
          </w:p>
        </w:tc>
        <w:tc>
          <w:tcPr>
            <w:tcW w:w="3576" w:type="dxa"/>
            <w:vAlign w:val="top"/>
          </w:tcPr>
          <w:p w14:paraId="7D6AE907">
            <w:pPr>
              <w:pStyle w:val="6"/>
              <w:spacing w:before="45" w:line="415" w:lineRule="auto"/>
              <w:ind w:left="41"/>
              <w:rPr>
                <w:sz w:val="19"/>
                <w:szCs w:val="19"/>
              </w:rPr>
            </w:pPr>
            <w:r>
              <w:rPr>
                <w:spacing w:val="-14"/>
                <w:sz w:val="19"/>
                <w:szCs w:val="19"/>
              </w:rPr>
              <w:t>1.用物准备齐全，放置合理，符合隔离要求。</w:t>
            </w:r>
            <w:r>
              <w:rPr>
                <w:spacing w:val="17"/>
                <w:sz w:val="19"/>
                <w:szCs w:val="19"/>
              </w:rPr>
              <w:t xml:space="preserve"> </w:t>
            </w:r>
            <w:r>
              <w:rPr>
                <w:spacing w:val="-5"/>
                <w:sz w:val="19"/>
                <w:szCs w:val="19"/>
              </w:rPr>
              <w:t>2.取下手表、卷袖过肘。</w:t>
            </w:r>
          </w:p>
          <w:p w14:paraId="5BA695FB">
            <w:pPr>
              <w:pStyle w:val="6"/>
              <w:spacing w:before="24" w:line="219" w:lineRule="auto"/>
              <w:ind w:left="41"/>
              <w:rPr>
                <w:sz w:val="19"/>
                <w:szCs w:val="19"/>
              </w:rPr>
            </w:pPr>
            <w:r>
              <w:rPr>
                <w:spacing w:val="-1"/>
                <w:sz w:val="19"/>
                <w:szCs w:val="19"/>
              </w:rPr>
              <w:t>3.操作者洗手，戴口罩、帽子。</w:t>
            </w:r>
          </w:p>
          <w:p w14:paraId="69591F5F">
            <w:pPr>
              <w:pStyle w:val="6"/>
              <w:spacing w:before="216" w:line="220" w:lineRule="auto"/>
              <w:ind w:left="41"/>
              <w:rPr>
                <w:sz w:val="19"/>
                <w:szCs w:val="19"/>
              </w:rPr>
            </w:pPr>
            <w:r>
              <w:rPr>
                <w:sz w:val="19"/>
                <w:szCs w:val="19"/>
              </w:rPr>
              <w:t>4.穿隔离衣：</w:t>
            </w:r>
          </w:p>
          <w:p w14:paraId="2465857F">
            <w:pPr>
              <w:pStyle w:val="6"/>
              <w:spacing w:before="3" w:line="209" w:lineRule="auto"/>
              <w:ind w:left="32" w:firstLine="39"/>
              <w:rPr>
                <w:sz w:val="19"/>
                <w:szCs w:val="19"/>
              </w:rPr>
            </w:pPr>
            <w:r>
              <w:rPr>
                <w:sz w:val="19"/>
                <w:szCs w:val="19"/>
              </w:rPr>
              <w:t xml:space="preserve">(1)手持衣领取下隔离衣，两手将衣领的  </w:t>
            </w:r>
            <w:r>
              <w:rPr>
                <w:spacing w:val="-5"/>
                <w:sz w:val="19"/>
                <w:szCs w:val="19"/>
              </w:rPr>
              <w:t>两端向外折，使内面向着操作者，并露出袖</w:t>
            </w:r>
            <w:r>
              <w:rPr>
                <w:spacing w:val="17"/>
                <w:sz w:val="19"/>
                <w:szCs w:val="19"/>
              </w:rPr>
              <w:t xml:space="preserve"> </w:t>
            </w:r>
            <w:r>
              <w:rPr>
                <w:sz w:val="19"/>
                <w:szCs w:val="19"/>
              </w:rPr>
              <w:t>子内口。</w:t>
            </w:r>
          </w:p>
          <w:p w14:paraId="43D4D05D">
            <w:pPr>
              <w:pStyle w:val="6"/>
              <w:spacing w:before="3" w:line="214" w:lineRule="auto"/>
              <w:ind w:left="41" w:firstLine="39"/>
              <w:rPr>
                <w:sz w:val="19"/>
                <w:szCs w:val="19"/>
              </w:rPr>
            </w:pPr>
            <w:r>
              <w:rPr>
                <w:spacing w:val="-2"/>
                <w:sz w:val="19"/>
                <w:szCs w:val="19"/>
              </w:rPr>
              <w:t>(2)将左臂入袖，举起手臂，使衣袖上抖，</w:t>
            </w:r>
            <w:r>
              <w:rPr>
                <w:spacing w:val="8"/>
                <w:sz w:val="19"/>
                <w:szCs w:val="19"/>
              </w:rPr>
              <w:t xml:space="preserve"> </w:t>
            </w:r>
            <w:r>
              <w:rPr>
                <w:spacing w:val="-2"/>
                <w:sz w:val="19"/>
                <w:szCs w:val="19"/>
              </w:rPr>
              <w:t>用左手持衣领，同法穿右臂衣袖。</w:t>
            </w:r>
          </w:p>
          <w:p w14:paraId="2B26B4F7">
            <w:pPr>
              <w:pStyle w:val="6"/>
              <w:spacing w:line="204" w:lineRule="auto"/>
              <w:ind w:left="41" w:right="135" w:firstLine="60"/>
              <w:rPr>
                <w:sz w:val="19"/>
                <w:szCs w:val="19"/>
              </w:rPr>
            </w:pPr>
            <w:r>
              <w:rPr>
                <w:sz w:val="19"/>
                <w:szCs w:val="19"/>
              </w:rPr>
              <w:t>(3)两手持领子中央，沿着领边向后将领</w:t>
            </w:r>
            <w:r>
              <w:rPr>
                <w:spacing w:val="2"/>
                <w:sz w:val="19"/>
                <w:szCs w:val="19"/>
              </w:rPr>
              <w:t xml:space="preserve"> </w:t>
            </w:r>
            <w:r>
              <w:rPr>
                <w:spacing w:val="-1"/>
                <w:sz w:val="19"/>
                <w:szCs w:val="19"/>
              </w:rPr>
              <w:t>扣扣好。</w:t>
            </w:r>
          </w:p>
          <w:p w14:paraId="2261906F">
            <w:pPr>
              <w:pStyle w:val="6"/>
              <w:spacing w:before="1" w:line="210" w:lineRule="auto"/>
              <w:ind w:left="41"/>
              <w:rPr>
                <w:sz w:val="19"/>
                <w:szCs w:val="19"/>
              </w:rPr>
            </w:pPr>
            <w:r>
              <w:rPr>
                <w:sz w:val="19"/>
                <w:szCs w:val="19"/>
              </w:rPr>
              <w:t>(4)扣袖扣。</w:t>
            </w:r>
          </w:p>
        </w:tc>
        <w:tc>
          <w:tcPr>
            <w:tcW w:w="2287" w:type="dxa"/>
            <w:vAlign w:val="top"/>
          </w:tcPr>
          <w:p w14:paraId="49F9F0E0">
            <w:pPr>
              <w:pStyle w:val="6"/>
              <w:spacing w:before="44" w:line="214" w:lineRule="auto"/>
              <w:ind w:left="15" w:right="81" w:firstLine="80"/>
              <w:rPr>
                <w:sz w:val="19"/>
                <w:szCs w:val="19"/>
              </w:rPr>
            </w:pPr>
            <w:r>
              <w:rPr>
                <w:sz w:val="19"/>
                <w:szCs w:val="19"/>
              </w:rPr>
              <w:t>1.分值8分(物品少一件或</w:t>
            </w:r>
            <w:r>
              <w:rPr>
                <w:spacing w:val="8"/>
                <w:sz w:val="19"/>
                <w:szCs w:val="19"/>
              </w:rPr>
              <w:t xml:space="preserve"> </w:t>
            </w:r>
            <w:r>
              <w:rPr>
                <w:spacing w:val="3"/>
                <w:sz w:val="19"/>
                <w:szCs w:val="19"/>
              </w:rPr>
              <w:t>一件不符合要求扣1分)</w:t>
            </w:r>
          </w:p>
          <w:p w14:paraId="2BC6E3F5">
            <w:pPr>
              <w:pStyle w:val="6"/>
              <w:spacing w:before="1" w:line="213" w:lineRule="auto"/>
              <w:ind w:left="15" w:right="74" w:firstLine="80"/>
              <w:rPr>
                <w:sz w:val="19"/>
                <w:szCs w:val="19"/>
              </w:rPr>
            </w:pPr>
            <w:r>
              <w:rPr>
                <w:spacing w:val="1"/>
                <w:sz w:val="19"/>
                <w:szCs w:val="19"/>
              </w:rPr>
              <w:t>2.分值6分(未卷袖过肘扣</w:t>
            </w:r>
            <w:r>
              <w:rPr>
                <w:spacing w:val="2"/>
                <w:sz w:val="19"/>
                <w:szCs w:val="19"/>
              </w:rPr>
              <w:t xml:space="preserve"> </w:t>
            </w:r>
            <w:r>
              <w:rPr>
                <w:spacing w:val="13"/>
                <w:sz w:val="19"/>
                <w:szCs w:val="19"/>
              </w:rPr>
              <w:t>3分)</w:t>
            </w:r>
          </w:p>
          <w:p w14:paraId="0DE6043F">
            <w:pPr>
              <w:pStyle w:val="6"/>
              <w:spacing w:before="1" w:line="216" w:lineRule="auto"/>
              <w:ind w:left="25" w:right="76" w:hanging="10"/>
              <w:rPr>
                <w:sz w:val="19"/>
                <w:szCs w:val="19"/>
              </w:rPr>
            </w:pPr>
            <w:r>
              <w:rPr>
                <w:spacing w:val="-1"/>
                <w:sz w:val="19"/>
                <w:szCs w:val="19"/>
              </w:rPr>
              <w:t>3.分值6分(未洗手扣3分，</w:t>
            </w:r>
            <w:r>
              <w:rPr>
                <w:spacing w:val="12"/>
                <w:sz w:val="19"/>
                <w:szCs w:val="19"/>
              </w:rPr>
              <w:t xml:space="preserve"> </w:t>
            </w:r>
            <w:r>
              <w:rPr>
                <w:spacing w:val="5"/>
                <w:sz w:val="19"/>
                <w:szCs w:val="19"/>
              </w:rPr>
              <w:t>未戴口罩扣3分)</w:t>
            </w:r>
          </w:p>
          <w:p w14:paraId="32EC5FE5">
            <w:pPr>
              <w:pStyle w:val="6"/>
              <w:spacing w:before="14" w:line="211" w:lineRule="auto"/>
              <w:ind w:left="15" w:firstLine="78"/>
              <w:rPr>
                <w:sz w:val="19"/>
                <w:szCs w:val="19"/>
              </w:rPr>
            </w:pPr>
            <w:r>
              <w:rPr>
                <w:spacing w:val="-1"/>
                <w:sz w:val="19"/>
                <w:szCs w:val="19"/>
              </w:rPr>
              <w:t>4.分值45分(穿隔离衣时：</w:t>
            </w:r>
            <w:r>
              <w:rPr>
                <w:spacing w:val="10"/>
                <w:sz w:val="19"/>
                <w:szCs w:val="19"/>
              </w:rPr>
              <w:t xml:space="preserve"> </w:t>
            </w:r>
            <w:r>
              <w:rPr>
                <w:spacing w:val="-2"/>
                <w:sz w:val="19"/>
                <w:szCs w:val="19"/>
              </w:rPr>
              <w:t>污染工作服扣5分；隔离衣</w:t>
            </w:r>
            <w:r>
              <w:rPr>
                <w:spacing w:val="2"/>
                <w:sz w:val="19"/>
                <w:szCs w:val="19"/>
              </w:rPr>
              <w:t xml:space="preserve">  </w:t>
            </w:r>
            <w:r>
              <w:rPr>
                <w:spacing w:val="-2"/>
                <w:sz w:val="19"/>
                <w:szCs w:val="19"/>
              </w:rPr>
              <w:t>污染一处扣5分；漏扣一侧</w:t>
            </w:r>
            <w:r>
              <w:rPr>
                <w:spacing w:val="2"/>
                <w:sz w:val="19"/>
                <w:szCs w:val="19"/>
              </w:rPr>
              <w:t xml:space="preserve">  袖扣扣5分；未解腰带扣2</w:t>
            </w:r>
            <w:r>
              <w:rPr>
                <w:spacing w:val="5"/>
                <w:sz w:val="19"/>
                <w:szCs w:val="19"/>
              </w:rPr>
              <w:t xml:space="preserve">  </w:t>
            </w:r>
            <w:r>
              <w:rPr>
                <w:spacing w:val="-2"/>
                <w:sz w:val="19"/>
                <w:szCs w:val="19"/>
              </w:rPr>
              <w:t>分；隔离衣内面外露扣5分)</w:t>
            </w:r>
          </w:p>
        </w:tc>
        <w:tc>
          <w:tcPr>
            <w:tcW w:w="834" w:type="dxa"/>
            <w:vAlign w:val="top"/>
          </w:tcPr>
          <w:p w14:paraId="755AB80D">
            <w:pPr>
              <w:pStyle w:val="6"/>
              <w:spacing w:before="34" w:line="218" w:lineRule="auto"/>
              <w:ind w:left="19"/>
              <w:jc w:val="both"/>
              <w:rPr>
                <w:sz w:val="19"/>
                <w:szCs w:val="19"/>
              </w:rPr>
            </w:pPr>
            <w:r>
              <w:rPr>
                <w:spacing w:val="-18"/>
                <w:w w:val="86"/>
                <w:sz w:val="19"/>
                <w:szCs w:val="19"/>
              </w:rPr>
              <w:t>1.严格执行</w:t>
            </w:r>
            <w:r>
              <w:rPr>
                <w:spacing w:val="1"/>
                <w:sz w:val="19"/>
                <w:szCs w:val="19"/>
              </w:rPr>
              <w:t xml:space="preserve">  </w:t>
            </w:r>
            <w:r>
              <w:rPr>
                <w:spacing w:val="-18"/>
                <w:w w:val="89"/>
                <w:sz w:val="18"/>
                <w:szCs w:val="18"/>
              </w:rPr>
              <w:t>消毒隔离原</w:t>
            </w:r>
            <w:r>
              <w:rPr>
                <w:spacing w:val="2"/>
                <w:sz w:val="18"/>
                <w:szCs w:val="18"/>
              </w:rPr>
              <w:t xml:space="preserve">  </w:t>
            </w:r>
            <w:r>
              <w:rPr>
                <w:spacing w:val="-23"/>
                <w:w w:val="91"/>
                <w:sz w:val="18"/>
                <w:szCs w:val="18"/>
              </w:rPr>
              <w:t>则，隔离观</w:t>
            </w:r>
            <w:r>
              <w:rPr>
                <w:spacing w:val="3"/>
                <w:sz w:val="18"/>
                <w:szCs w:val="18"/>
              </w:rPr>
              <w:t xml:space="preserve">  </w:t>
            </w:r>
            <w:r>
              <w:rPr>
                <w:spacing w:val="-17"/>
                <w:w w:val="84"/>
                <w:sz w:val="19"/>
                <w:szCs w:val="19"/>
              </w:rPr>
              <w:t>念强，操作</w:t>
            </w:r>
            <w:r>
              <w:rPr>
                <w:sz w:val="19"/>
                <w:szCs w:val="19"/>
              </w:rPr>
              <w:t xml:space="preserve">  </w:t>
            </w:r>
            <w:r>
              <w:rPr>
                <w:spacing w:val="-25"/>
                <w:w w:val="97"/>
                <w:sz w:val="19"/>
                <w:szCs w:val="19"/>
              </w:rPr>
              <w:t>者、环境、</w:t>
            </w:r>
            <w:r>
              <w:rPr>
                <w:spacing w:val="7"/>
                <w:sz w:val="19"/>
                <w:szCs w:val="19"/>
              </w:rPr>
              <w:t xml:space="preserve"> </w:t>
            </w:r>
            <w:r>
              <w:rPr>
                <w:spacing w:val="-22"/>
                <w:w w:val="99"/>
                <w:sz w:val="19"/>
                <w:szCs w:val="19"/>
              </w:rPr>
              <w:t>物品无污</w:t>
            </w:r>
            <w:r>
              <w:rPr>
                <w:spacing w:val="3"/>
                <w:sz w:val="19"/>
                <w:szCs w:val="19"/>
              </w:rPr>
              <w:t xml:space="preserve">  </w:t>
            </w:r>
            <w:r>
              <w:rPr>
                <w:spacing w:val="-1"/>
                <w:sz w:val="19"/>
                <w:szCs w:val="19"/>
              </w:rPr>
              <w:t>染。</w:t>
            </w:r>
          </w:p>
          <w:p w14:paraId="16B18C51">
            <w:pPr>
              <w:pStyle w:val="6"/>
              <w:spacing w:before="13" w:line="210" w:lineRule="auto"/>
              <w:ind w:left="28" w:right="44"/>
              <w:jc w:val="both"/>
              <w:rPr>
                <w:sz w:val="19"/>
                <w:szCs w:val="19"/>
              </w:rPr>
            </w:pPr>
            <w:r>
              <w:rPr>
                <w:spacing w:val="-2"/>
                <w:sz w:val="19"/>
                <w:szCs w:val="19"/>
              </w:rPr>
              <w:t>2.建议20</w:t>
            </w:r>
            <w:r>
              <w:rPr>
                <w:spacing w:val="1"/>
                <w:sz w:val="19"/>
                <w:szCs w:val="19"/>
              </w:rPr>
              <w:t xml:space="preserve"> </w:t>
            </w:r>
            <w:r>
              <w:rPr>
                <w:spacing w:val="-3"/>
                <w:sz w:val="19"/>
                <w:szCs w:val="19"/>
              </w:rPr>
              <w:t>分钟内完</w:t>
            </w:r>
            <w:r>
              <w:rPr>
                <w:spacing w:val="1"/>
                <w:sz w:val="19"/>
                <w:szCs w:val="19"/>
              </w:rPr>
              <w:t xml:space="preserve"> </w:t>
            </w:r>
            <w:r>
              <w:rPr>
                <w:spacing w:val="-2"/>
                <w:sz w:val="19"/>
                <w:szCs w:val="19"/>
              </w:rPr>
              <w:t>成。</w:t>
            </w:r>
          </w:p>
        </w:tc>
      </w:tr>
    </w:tbl>
    <w:p w14:paraId="02CBC8A9">
      <w:pPr>
        <w:pStyle w:val="2"/>
        <w:spacing w:line="232" w:lineRule="exact"/>
        <w:rPr>
          <w:sz w:val="20"/>
        </w:rPr>
      </w:pPr>
    </w:p>
    <w:p w14:paraId="54E25D5C">
      <w:pPr>
        <w:spacing w:line="232" w:lineRule="exact"/>
        <w:rPr>
          <w:sz w:val="20"/>
          <w:szCs w:val="20"/>
        </w:rPr>
        <w:sectPr>
          <w:footerReference r:id="rId136" w:type="default"/>
          <w:pgSz w:w="10660" w:h="15080"/>
          <w:pgMar w:top="400" w:right="1045" w:bottom="912" w:left="819" w:header="0" w:footer="741" w:gutter="0"/>
          <w:cols w:space="720" w:num="1"/>
        </w:sectPr>
      </w:pPr>
    </w:p>
    <w:p w14:paraId="58903B6B">
      <w:pPr>
        <w:spacing w:before="8"/>
      </w:pPr>
    </w:p>
    <w:p w14:paraId="22E688C8">
      <w:pPr>
        <w:spacing w:before="7"/>
      </w:pPr>
    </w:p>
    <w:p w14:paraId="2930EEAC">
      <w:pPr>
        <w:spacing w:before="7"/>
      </w:pPr>
    </w:p>
    <w:p w14:paraId="11471827">
      <w:pPr>
        <w:spacing w:before="7"/>
      </w:pPr>
    </w:p>
    <w:tbl>
      <w:tblPr>
        <w:tblStyle w:val="5"/>
        <w:tblW w:w="873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474"/>
        <w:gridCol w:w="510"/>
        <w:gridCol w:w="1059"/>
        <w:gridCol w:w="3546"/>
        <w:gridCol w:w="2307"/>
        <w:gridCol w:w="834"/>
      </w:tblGrid>
      <w:tr w14:paraId="57982A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4" w:hRule="atLeast"/>
        </w:trPr>
        <w:tc>
          <w:tcPr>
            <w:tcW w:w="474" w:type="dxa"/>
            <w:shd w:val="clear" w:color="auto" w:fill="231F20"/>
            <w:vAlign w:val="top"/>
          </w:tcPr>
          <w:p w14:paraId="7BBDF73A">
            <w:pPr>
              <w:pStyle w:val="6"/>
              <w:spacing w:before="100" w:line="207" w:lineRule="auto"/>
              <w:ind w:left="37" w:right="15"/>
              <w:rPr>
                <w:sz w:val="19"/>
                <w:szCs w:val="19"/>
              </w:rPr>
            </w:pPr>
            <w:r>
              <w:rPr>
                <w:b/>
                <w:bCs/>
                <w:color w:val="FFFFFF"/>
                <w:spacing w:val="-7"/>
                <w:sz w:val="19"/>
                <w:szCs w:val="19"/>
              </w:rPr>
              <w:t>测试</w:t>
            </w:r>
            <w:r>
              <w:rPr>
                <w:color w:val="FFFFFF"/>
                <w:sz w:val="19"/>
                <w:szCs w:val="19"/>
              </w:rPr>
              <w:t xml:space="preserve"> </w:t>
            </w:r>
            <w:r>
              <w:rPr>
                <w:b/>
                <w:bCs/>
                <w:color w:val="FFFFFF"/>
                <w:spacing w:val="13"/>
                <w:sz w:val="19"/>
                <w:szCs w:val="19"/>
              </w:rPr>
              <w:t>项目</w:t>
            </w:r>
          </w:p>
        </w:tc>
        <w:tc>
          <w:tcPr>
            <w:tcW w:w="510" w:type="dxa"/>
            <w:vAlign w:val="top"/>
          </w:tcPr>
          <w:p w14:paraId="06327396">
            <w:pPr>
              <w:pStyle w:val="6"/>
              <w:spacing w:before="91" w:line="217" w:lineRule="auto"/>
              <w:ind w:left="53" w:right="74"/>
              <w:rPr>
                <w:sz w:val="19"/>
                <w:szCs w:val="19"/>
              </w:rPr>
            </w:pPr>
            <w:r>
              <w:rPr>
                <w:b/>
                <w:bCs/>
                <w:spacing w:val="-7"/>
                <w:sz w:val="19"/>
                <w:szCs w:val="19"/>
              </w:rPr>
              <w:t>测试</w:t>
            </w:r>
            <w:r>
              <w:rPr>
                <w:sz w:val="19"/>
                <w:szCs w:val="19"/>
              </w:rPr>
              <w:t xml:space="preserve"> </w:t>
            </w:r>
            <w:r>
              <w:rPr>
                <w:b/>
                <w:bCs/>
                <w:spacing w:val="-7"/>
                <w:sz w:val="19"/>
                <w:szCs w:val="19"/>
              </w:rPr>
              <w:t>用具</w:t>
            </w:r>
          </w:p>
        </w:tc>
        <w:tc>
          <w:tcPr>
            <w:tcW w:w="1059" w:type="dxa"/>
            <w:vAlign w:val="top"/>
          </w:tcPr>
          <w:p w14:paraId="41D0D285">
            <w:pPr>
              <w:pStyle w:val="6"/>
              <w:spacing w:before="190" w:line="219" w:lineRule="auto"/>
              <w:ind w:left="143"/>
              <w:rPr>
                <w:sz w:val="19"/>
                <w:szCs w:val="19"/>
              </w:rPr>
            </w:pPr>
            <w:r>
              <w:rPr>
                <w:b/>
                <w:bCs/>
                <w:spacing w:val="-4"/>
                <w:sz w:val="19"/>
                <w:szCs w:val="19"/>
              </w:rPr>
              <w:t>测试内容</w:t>
            </w:r>
          </w:p>
        </w:tc>
        <w:tc>
          <w:tcPr>
            <w:tcW w:w="3546" w:type="dxa"/>
            <w:vAlign w:val="top"/>
          </w:tcPr>
          <w:p w14:paraId="7F5BFBAF">
            <w:pPr>
              <w:pStyle w:val="6"/>
              <w:spacing w:before="191" w:line="221" w:lineRule="auto"/>
              <w:ind w:left="1434"/>
              <w:rPr>
                <w:sz w:val="19"/>
                <w:szCs w:val="19"/>
              </w:rPr>
            </w:pPr>
            <w:r>
              <w:rPr>
                <w:b/>
                <w:bCs/>
                <w:spacing w:val="-4"/>
                <w:sz w:val="19"/>
                <w:szCs w:val="19"/>
              </w:rPr>
              <w:t>测试方法</w:t>
            </w:r>
          </w:p>
        </w:tc>
        <w:tc>
          <w:tcPr>
            <w:tcW w:w="2307" w:type="dxa"/>
            <w:vAlign w:val="top"/>
          </w:tcPr>
          <w:p w14:paraId="32D859C5">
            <w:pPr>
              <w:pStyle w:val="6"/>
              <w:spacing w:before="190" w:line="219" w:lineRule="auto"/>
              <w:ind w:left="808"/>
              <w:rPr>
                <w:sz w:val="19"/>
                <w:szCs w:val="19"/>
              </w:rPr>
            </w:pPr>
            <w:r>
              <w:rPr>
                <w:b/>
                <w:bCs/>
                <w:spacing w:val="-4"/>
                <w:sz w:val="19"/>
                <w:szCs w:val="19"/>
              </w:rPr>
              <w:t>赋分参考</w:t>
            </w:r>
          </w:p>
        </w:tc>
        <w:tc>
          <w:tcPr>
            <w:tcW w:w="834" w:type="dxa"/>
            <w:vAlign w:val="top"/>
          </w:tcPr>
          <w:p w14:paraId="77DDDE6F">
            <w:pPr>
              <w:pStyle w:val="6"/>
              <w:spacing w:before="100" w:line="208" w:lineRule="auto"/>
              <w:ind w:left="221" w:right="230"/>
              <w:rPr>
                <w:sz w:val="19"/>
                <w:szCs w:val="19"/>
              </w:rPr>
            </w:pPr>
            <w:r>
              <w:rPr>
                <w:b/>
                <w:bCs/>
                <w:spacing w:val="-7"/>
                <w:sz w:val="19"/>
                <w:szCs w:val="19"/>
              </w:rPr>
              <w:t>测试</w:t>
            </w:r>
            <w:r>
              <w:rPr>
                <w:sz w:val="19"/>
                <w:szCs w:val="19"/>
              </w:rPr>
              <w:t xml:space="preserve"> </w:t>
            </w:r>
            <w:r>
              <w:rPr>
                <w:b/>
                <w:bCs/>
                <w:spacing w:val="-7"/>
                <w:sz w:val="19"/>
                <w:szCs w:val="19"/>
              </w:rPr>
              <w:t>要求</w:t>
            </w:r>
          </w:p>
        </w:tc>
      </w:tr>
      <w:tr w14:paraId="672467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75" w:hRule="atLeast"/>
        </w:trPr>
        <w:tc>
          <w:tcPr>
            <w:tcW w:w="474" w:type="dxa"/>
            <w:vAlign w:val="top"/>
          </w:tcPr>
          <w:p w14:paraId="336EDCCE">
            <w:pPr>
              <w:rPr>
                <w:rFonts w:ascii="Arial"/>
                <w:sz w:val="21"/>
              </w:rPr>
            </w:pPr>
          </w:p>
        </w:tc>
        <w:tc>
          <w:tcPr>
            <w:tcW w:w="510" w:type="dxa"/>
            <w:vAlign w:val="top"/>
          </w:tcPr>
          <w:p w14:paraId="456E6589">
            <w:pPr>
              <w:rPr>
                <w:rFonts w:ascii="Arial"/>
                <w:sz w:val="21"/>
              </w:rPr>
            </w:pPr>
          </w:p>
        </w:tc>
        <w:tc>
          <w:tcPr>
            <w:tcW w:w="1059" w:type="dxa"/>
            <w:vAlign w:val="top"/>
          </w:tcPr>
          <w:p w14:paraId="7CB42058">
            <w:pPr>
              <w:pStyle w:val="6"/>
              <w:spacing w:before="49" w:line="220" w:lineRule="auto"/>
              <w:ind w:left="41"/>
              <w:rPr>
                <w:sz w:val="19"/>
                <w:szCs w:val="19"/>
              </w:rPr>
            </w:pPr>
            <w:r>
              <w:rPr>
                <w:spacing w:val="-2"/>
                <w:sz w:val="19"/>
                <w:szCs w:val="19"/>
              </w:rPr>
              <w:t>2.脱隔离衣</w:t>
            </w:r>
          </w:p>
          <w:p w14:paraId="5661DA3F">
            <w:pPr>
              <w:pStyle w:val="6"/>
              <w:spacing w:before="12" w:line="195" w:lineRule="auto"/>
              <w:jc w:val="right"/>
              <w:rPr>
                <w:sz w:val="19"/>
                <w:szCs w:val="19"/>
              </w:rPr>
            </w:pPr>
            <w:r>
              <w:rPr>
                <w:spacing w:val="-2"/>
                <w:sz w:val="19"/>
                <w:szCs w:val="19"/>
              </w:rPr>
              <w:t>(1)松带打结</w:t>
            </w:r>
          </w:p>
          <w:p w14:paraId="5DE58712">
            <w:pPr>
              <w:pStyle w:val="6"/>
              <w:spacing w:line="213" w:lineRule="auto"/>
              <w:jc w:val="right"/>
              <w:rPr>
                <w:sz w:val="19"/>
                <w:szCs w:val="19"/>
              </w:rPr>
            </w:pPr>
            <w:r>
              <w:rPr>
                <w:spacing w:val="-2"/>
                <w:sz w:val="19"/>
                <w:szCs w:val="19"/>
              </w:rPr>
              <w:t>(2)解扣塞袖</w:t>
            </w:r>
          </w:p>
          <w:p w14:paraId="2AFB3CAE">
            <w:pPr>
              <w:pStyle w:val="6"/>
              <w:spacing w:line="214" w:lineRule="auto"/>
              <w:jc w:val="right"/>
              <w:rPr>
                <w:sz w:val="19"/>
                <w:szCs w:val="19"/>
              </w:rPr>
            </w:pPr>
            <w:r>
              <w:rPr>
                <w:spacing w:val="-2"/>
                <w:sz w:val="19"/>
                <w:szCs w:val="19"/>
              </w:rPr>
              <w:t>(3)消毒双手</w:t>
            </w:r>
          </w:p>
          <w:p w14:paraId="272499EF">
            <w:pPr>
              <w:pStyle w:val="6"/>
              <w:spacing w:line="213" w:lineRule="auto"/>
              <w:jc w:val="right"/>
              <w:rPr>
                <w:sz w:val="19"/>
                <w:szCs w:val="19"/>
              </w:rPr>
            </w:pPr>
            <w:r>
              <w:rPr>
                <w:spacing w:val="-2"/>
                <w:sz w:val="19"/>
                <w:szCs w:val="19"/>
              </w:rPr>
              <w:t>(4)解开领扣</w:t>
            </w:r>
          </w:p>
          <w:p w14:paraId="52C408E7">
            <w:pPr>
              <w:pStyle w:val="6"/>
              <w:spacing w:line="220" w:lineRule="auto"/>
              <w:jc w:val="right"/>
              <w:rPr>
                <w:sz w:val="19"/>
                <w:szCs w:val="19"/>
              </w:rPr>
            </w:pPr>
            <w:r>
              <w:rPr>
                <w:spacing w:val="-2"/>
                <w:sz w:val="19"/>
                <w:szCs w:val="19"/>
              </w:rPr>
              <w:t>(5)脱袖退手</w:t>
            </w:r>
          </w:p>
        </w:tc>
        <w:tc>
          <w:tcPr>
            <w:tcW w:w="3546" w:type="dxa"/>
            <w:vAlign w:val="top"/>
          </w:tcPr>
          <w:p w14:paraId="18F9413C">
            <w:pPr>
              <w:pStyle w:val="6"/>
              <w:spacing w:before="58" w:line="204" w:lineRule="auto"/>
              <w:ind w:left="72"/>
              <w:rPr>
                <w:sz w:val="19"/>
                <w:szCs w:val="19"/>
              </w:rPr>
            </w:pPr>
            <w:r>
              <w:rPr>
                <w:spacing w:val="-1"/>
                <w:sz w:val="19"/>
                <w:szCs w:val="19"/>
              </w:rPr>
              <w:t>(5)解开腰带活结。</w:t>
            </w:r>
          </w:p>
          <w:p w14:paraId="473C7F8A">
            <w:pPr>
              <w:pStyle w:val="6"/>
              <w:spacing w:before="2" w:line="215" w:lineRule="auto"/>
              <w:ind w:left="12" w:firstLine="58"/>
              <w:rPr>
                <w:sz w:val="19"/>
                <w:szCs w:val="19"/>
              </w:rPr>
            </w:pPr>
            <w:r>
              <w:rPr>
                <w:spacing w:val="-4"/>
                <w:sz w:val="19"/>
                <w:szCs w:val="19"/>
              </w:rPr>
              <w:t>(6)将隔离衣的一边渐向前拉，直至触到</w:t>
            </w:r>
            <w:r>
              <w:rPr>
                <w:spacing w:val="2"/>
                <w:sz w:val="19"/>
                <w:szCs w:val="19"/>
              </w:rPr>
              <w:t xml:space="preserve">   </w:t>
            </w:r>
            <w:r>
              <w:rPr>
                <w:spacing w:val="-9"/>
                <w:sz w:val="19"/>
                <w:szCs w:val="19"/>
              </w:rPr>
              <w:t>边缘后用手捏住，同法捏住另一侧，两手在</w:t>
            </w:r>
            <w:r>
              <w:rPr>
                <w:spacing w:val="10"/>
                <w:sz w:val="19"/>
                <w:szCs w:val="19"/>
              </w:rPr>
              <w:t xml:space="preserve"> </w:t>
            </w:r>
            <w:r>
              <w:rPr>
                <w:spacing w:val="-9"/>
                <w:sz w:val="19"/>
                <w:szCs w:val="19"/>
              </w:rPr>
              <w:t>背后将两侧边缘对齐，向一侧折叠，以一手</w:t>
            </w:r>
            <w:r>
              <w:rPr>
                <w:spacing w:val="4"/>
                <w:sz w:val="19"/>
                <w:szCs w:val="19"/>
              </w:rPr>
              <w:t xml:space="preserve">  </w:t>
            </w:r>
            <w:r>
              <w:rPr>
                <w:spacing w:val="-5"/>
                <w:sz w:val="19"/>
                <w:szCs w:val="19"/>
              </w:rPr>
              <w:t>按住，另一手将腰带拉至背后压住折叠处，</w:t>
            </w:r>
            <w:r>
              <w:rPr>
                <w:spacing w:val="7"/>
                <w:sz w:val="19"/>
                <w:szCs w:val="19"/>
              </w:rPr>
              <w:t xml:space="preserve"> </w:t>
            </w:r>
            <w:r>
              <w:rPr>
                <w:spacing w:val="-5"/>
                <w:sz w:val="19"/>
                <w:szCs w:val="19"/>
              </w:rPr>
              <w:t>将腰带在背后交叉，再回到前面打一活结。</w:t>
            </w:r>
            <w:r>
              <w:rPr>
                <w:spacing w:val="7"/>
                <w:sz w:val="19"/>
                <w:szCs w:val="19"/>
              </w:rPr>
              <w:t xml:space="preserve"> </w:t>
            </w:r>
            <w:r>
              <w:rPr>
                <w:spacing w:val="-3"/>
                <w:sz w:val="19"/>
                <w:szCs w:val="19"/>
              </w:rPr>
              <w:t>5.脱隔离衣：</w:t>
            </w:r>
          </w:p>
          <w:p w14:paraId="507315F1">
            <w:pPr>
              <w:pStyle w:val="6"/>
              <w:spacing w:before="1" w:line="213" w:lineRule="auto"/>
              <w:ind w:left="12" w:right="315" w:firstLine="60"/>
              <w:rPr>
                <w:sz w:val="19"/>
                <w:szCs w:val="19"/>
              </w:rPr>
            </w:pPr>
            <w:r>
              <w:rPr>
                <w:sz w:val="19"/>
                <w:szCs w:val="19"/>
              </w:rPr>
              <w:t>(1)洗手(无流动水时用手消毒液3-5ml</w:t>
            </w:r>
            <w:r>
              <w:rPr>
                <w:spacing w:val="12"/>
                <w:sz w:val="19"/>
                <w:szCs w:val="19"/>
              </w:rPr>
              <w:t xml:space="preserve"> </w:t>
            </w:r>
            <w:r>
              <w:rPr>
                <w:sz w:val="19"/>
                <w:szCs w:val="19"/>
              </w:rPr>
              <w:t>搓擦消毒双手)(可口述)。</w:t>
            </w:r>
          </w:p>
          <w:p w14:paraId="5A1DA6BC">
            <w:pPr>
              <w:pStyle w:val="6"/>
              <w:spacing w:line="204" w:lineRule="auto"/>
              <w:ind w:left="82"/>
              <w:rPr>
                <w:sz w:val="19"/>
                <w:szCs w:val="19"/>
              </w:rPr>
            </w:pPr>
            <w:r>
              <w:rPr>
                <w:sz w:val="19"/>
                <w:szCs w:val="19"/>
              </w:rPr>
              <w:t>(2)解腰带、在前面打一活结。</w:t>
            </w:r>
          </w:p>
          <w:p w14:paraId="42CF2B5F">
            <w:pPr>
              <w:pStyle w:val="6"/>
              <w:spacing w:before="1" w:line="213" w:lineRule="auto"/>
              <w:ind w:left="32" w:right="135" w:firstLine="39"/>
              <w:rPr>
                <w:sz w:val="19"/>
                <w:szCs w:val="19"/>
              </w:rPr>
            </w:pPr>
            <w:r>
              <w:rPr>
                <w:sz w:val="19"/>
                <w:szCs w:val="19"/>
              </w:rPr>
              <w:t>(3)解开两袖扣，在肘部将部分袖子塞入</w:t>
            </w:r>
            <w:r>
              <w:rPr>
                <w:spacing w:val="2"/>
                <w:sz w:val="19"/>
                <w:szCs w:val="19"/>
              </w:rPr>
              <w:t xml:space="preserve"> </w:t>
            </w:r>
            <w:r>
              <w:rPr>
                <w:spacing w:val="-1"/>
                <w:sz w:val="19"/>
                <w:szCs w:val="19"/>
              </w:rPr>
              <w:t>工作服衣袖下，使两手露出。</w:t>
            </w:r>
          </w:p>
          <w:p w14:paraId="41E6F847">
            <w:pPr>
              <w:pStyle w:val="6"/>
              <w:spacing w:before="2" w:line="218" w:lineRule="auto"/>
              <w:ind w:left="12" w:right="415" w:firstLine="60"/>
              <w:rPr>
                <w:sz w:val="19"/>
                <w:szCs w:val="19"/>
              </w:rPr>
            </w:pPr>
            <w:r>
              <w:rPr>
                <w:sz w:val="19"/>
                <w:szCs w:val="19"/>
              </w:rPr>
              <w:t>(4)二次洗手(无流动水时用手消毒液</w:t>
            </w:r>
            <w:r>
              <w:rPr>
                <w:spacing w:val="7"/>
                <w:sz w:val="19"/>
                <w:szCs w:val="19"/>
              </w:rPr>
              <w:t xml:space="preserve"> </w:t>
            </w:r>
            <w:r>
              <w:rPr>
                <w:spacing w:val="-1"/>
                <w:sz w:val="19"/>
                <w:szCs w:val="19"/>
              </w:rPr>
              <w:t>3-5ml搓擦消毒双手(可口述)。</w:t>
            </w:r>
          </w:p>
          <w:p w14:paraId="616E313D">
            <w:pPr>
              <w:pStyle w:val="6"/>
              <w:spacing w:line="220" w:lineRule="auto"/>
              <w:ind w:left="72"/>
              <w:rPr>
                <w:sz w:val="19"/>
                <w:szCs w:val="19"/>
              </w:rPr>
            </w:pPr>
            <w:r>
              <w:rPr>
                <w:sz w:val="19"/>
                <w:szCs w:val="19"/>
              </w:rPr>
              <w:t>(5)解衣领。</w:t>
            </w:r>
          </w:p>
          <w:p w14:paraId="4C419957">
            <w:pPr>
              <w:pStyle w:val="6"/>
              <w:spacing w:before="3" w:line="195" w:lineRule="auto"/>
              <w:ind w:left="82"/>
              <w:rPr>
                <w:sz w:val="19"/>
                <w:szCs w:val="19"/>
              </w:rPr>
            </w:pPr>
            <w:r>
              <w:rPr>
                <w:spacing w:val="-1"/>
                <w:sz w:val="19"/>
                <w:szCs w:val="19"/>
              </w:rPr>
              <w:t>(6)左手伸入右手袖口内拉下衣袖过手，</w:t>
            </w:r>
          </w:p>
          <w:p w14:paraId="3ABEF863">
            <w:pPr>
              <w:pStyle w:val="6"/>
              <w:spacing w:before="5" w:line="216" w:lineRule="auto"/>
              <w:ind w:left="12"/>
              <w:rPr>
                <w:sz w:val="19"/>
                <w:szCs w:val="19"/>
              </w:rPr>
            </w:pPr>
            <w:r>
              <w:rPr>
                <w:spacing w:val="-9"/>
                <w:sz w:val="19"/>
                <w:szCs w:val="19"/>
              </w:rPr>
              <w:t>再用衣袖遮住右手在衣袖外面拉下左手衣袖</w:t>
            </w:r>
            <w:r>
              <w:rPr>
                <w:spacing w:val="12"/>
                <w:sz w:val="19"/>
                <w:szCs w:val="19"/>
              </w:rPr>
              <w:t xml:space="preserve"> </w:t>
            </w:r>
            <w:r>
              <w:rPr>
                <w:spacing w:val="-5"/>
                <w:sz w:val="19"/>
                <w:szCs w:val="19"/>
              </w:rPr>
              <w:t>过手，双手轮换握住袖子，手臂逐渐退出。</w:t>
            </w:r>
            <w:r>
              <w:rPr>
                <w:spacing w:val="7"/>
                <w:sz w:val="19"/>
                <w:szCs w:val="19"/>
              </w:rPr>
              <w:t xml:space="preserve"> </w:t>
            </w:r>
            <w:r>
              <w:rPr>
                <w:spacing w:val="-2"/>
                <w:sz w:val="19"/>
                <w:szCs w:val="19"/>
              </w:rPr>
              <w:t>(7)一手自衣内握住肩缝，随即用另一手</w:t>
            </w:r>
            <w:r>
              <w:rPr>
                <w:spacing w:val="1"/>
                <w:sz w:val="19"/>
                <w:szCs w:val="19"/>
              </w:rPr>
              <w:t xml:space="preserve">   </w:t>
            </w:r>
            <w:r>
              <w:rPr>
                <w:spacing w:val="-9"/>
                <w:sz w:val="19"/>
                <w:szCs w:val="19"/>
              </w:rPr>
              <w:t>拉住衣领，使隔离衣外面向内两边对齐，挂</w:t>
            </w:r>
            <w:r>
              <w:rPr>
                <w:spacing w:val="4"/>
                <w:sz w:val="19"/>
                <w:szCs w:val="19"/>
              </w:rPr>
              <w:t xml:space="preserve">  </w:t>
            </w:r>
            <w:r>
              <w:rPr>
                <w:spacing w:val="-9"/>
                <w:sz w:val="19"/>
                <w:szCs w:val="19"/>
              </w:rPr>
              <w:t>在衣架上。不再穿的隔离衣将清洁面向外卷</w:t>
            </w:r>
            <w:r>
              <w:rPr>
                <w:spacing w:val="4"/>
                <w:sz w:val="19"/>
                <w:szCs w:val="19"/>
              </w:rPr>
              <w:t xml:space="preserve">  </w:t>
            </w:r>
            <w:r>
              <w:rPr>
                <w:spacing w:val="-5"/>
                <w:sz w:val="19"/>
                <w:szCs w:val="19"/>
              </w:rPr>
              <w:t>好，投入污衣桶。</w:t>
            </w:r>
          </w:p>
          <w:p w14:paraId="77D5CD50">
            <w:pPr>
              <w:pStyle w:val="6"/>
              <w:spacing w:before="2" w:line="212" w:lineRule="auto"/>
              <w:ind w:left="32" w:firstLine="19"/>
              <w:rPr>
                <w:sz w:val="19"/>
                <w:szCs w:val="19"/>
              </w:rPr>
            </w:pPr>
            <w:r>
              <w:rPr>
                <w:spacing w:val="-1"/>
                <w:sz w:val="19"/>
                <w:szCs w:val="19"/>
              </w:rPr>
              <w:t>(8)三次洗手：流动水下用皂液或洗手液</w:t>
            </w:r>
            <w:r>
              <w:rPr>
                <w:spacing w:val="8"/>
                <w:sz w:val="19"/>
                <w:szCs w:val="19"/>
              </w:rPr>
              <w:t xml:space="preserve">  </w:t>
            </w:r>
            <w:r>
              <w:rPr>
                <w:spacing w:val="-1"/>
                <w:sz w:val="19"/>
                <w:szCs w:val="19"/>
              </w:rPr>
              <w:t>洗手，冲净，小毛巾或纸巾擦干双手。(可</w:t>
            </w:r>
            <w:r>
              <w:rPr>
                <w:spacing w:val="6"/>
                <w:sz w:val="19"/>
                <w:szCs w:val="19"/>
              </w:rPr>
              <w:t xml:space="preserve"> </w:t>
            </w:r>
            <w:r>
              <w:rPr>
                <w:spacing w:val="11"/>
                <w:sz w:val="19"/>
                <w:szCs w:val="19"/>
              </w:rPr>
              <w:t>口述)</w:t>
            </w:r>
          </w:p>
        </w:tc>
        <w:tc>
          <w:tcPr>
            <w:tcW w:w="2307" w:type="dxa"/>
            <w:vAlign w:val="top"/>
          </w:tcPr>
          <w:p w14:paraId="5007995A">
            <w:pPr>
              <w:spacing w:line="264" w:lineRule="auto"/>
              <w:rPr>
                <w:rFonts w:ascii="Arial"/>
                <w:sz w:val="21"/>
              </w:rPr>
            </w:pPr>
          </w:p>
          <w:p w14:paraId="05AF5356">
            <w:pPr>
              <w:spacing w:line="264" w:lineRule="auto"/>
              <w:rPr>
                <w:rFonts w:ascii="Arial"/>
                <w:sz w:val="21"/>
              </w:rPr>
            </w:pPr>
          </w:p>
          <w:p w14:paraId="4A728913">
            <w:pPr>
              <w:spacing w:line="264" w:lineRule="auto"/>
              <w:rPr>
                <w:rFonts w:ascii="Arial"/>
                <w:sz w:val="21"/>
              </w:rPr>
            </w:pPr>
          </w:p>
          <w:p w14:paraId="69947F37">
            <w:pPr>
              <w:spacing w:line="264" w:lineRule="auto"/>
              <w:rPr>
                <w:rFonts w:ascii="Arial"/>
                <w:sz w:val="21"/>
              </w:rPr>
            </w:pPr>
          </w:p>
          <w:p w14:paraId="5F2F24AF">
            <w:pPr>
              <w:spacing w:line="264" w:lineRule="auto"/>
              <w:rPr>
                <w:rFonts w:ascii="Arial"/>
                <w:sz w:val="21"/>
              </w:rPr>
            </w:pPr>
          </w:p>
          <w:p w14:paraId="0EBF6C0C">
            <w:pPr>
              <w:pStyle w:val="6"/>
              <w:spacing w:before="61" w:line="211" w:lineRule="auto"/>
              <w:ind w:left="16" w:right="96"/>
              <w:jc w:val="both"/>
              <w:rPr>
                <w:sz w:val="19"/>
                <w:szCs w:val="19"/>
              </w:rPr>
            </w:pPr>
            <w:r>
              <w:rPr>
                <w:spacing w:val="-1"/>
                <w:sz w:val="19"/>
                <w:szCs w:val="19"/>
              </w:rPr>
              <w:t>5.分值45分(脱隔离衣时：</w:t>
            </w:r>
            <w:r>
              <w:rPr>
                <w:spacing w:val="12"/>
                <w:sz w:val="19"/>
                <w:szCs w:val="19"/>
              </w:rPr>
              <w:t xml:space="preserve"> </w:t>
            </w:r>
            <w:r>
              <w:rPr>
                <w:sz w:val="19"/>
                <w:szCs w:val="19"/>
              </w:rPr>
              <w:t xml:space="preserve">方法不正确扣10分；活结  </w:t>
            </w:r>
            <w:r>
              <w:rPr>
                <w:spacing w:val="-1"/>
                <w:sz w:val="19"/>
                <w:szCs w:val="19"/>
              </w:rPr>
              <w:t>脱落、打死结各扣5分；不</w:t>
            </w:r>
            <w:r>
              <w:rPr>
                <w:spacing w:val="2"/>
                <w:sz w:val="19"/>
                <w:szCs w:val="19"/>
              </w:rPr>
              <w:t xml:space="preserve"> </w:t>
            </w:r>
            <w:r>
              <w:rPr>
                <w:spacing w:val="-1"/>
                <w:sz w:val="19"/>
                <w:szCs w:val="19"/>
              </w:rPr>
              <w:t>洗手解衣领或不解衣领扣5</w:t>
            </w:r>
            <w:r>
              <w:rPr>
                <w:spacing w:val="4"/>
                <w:sz w:val="19"/>
                <w:szCs w:val="19"/>
              </w:rPr>
              <w:t xml:space="preserve"> </w:t>
            </w:r>
            <w:r>
              <w:rPr>
                <w:spacing w:val="5"/>
                <w:sz w:val="19"/>
                <w:szCs w:val="19"/>
              </w:rPr>
              <w:t>分一处污染扣5分)</w:t>
            </w:r>
          </w:p>
          <w:p w14:paraId="3BAEF724">
            <w:pPr>
              <w:pStyle w:val="6"/>
              <w:spacing w:before="212" w:line="214" w:lineRule="auto"/>
              <w:ind w:left="16"/>
              <w:rPr>
                <w:sz w:val="19"/>
                <w:szCs w:val="19"/>
              </w:rPr>
            </w:pPr>
            <w:r>
              <w:rPr>
                <w:spacing w:val="-7"/>
                <w:sz w:val="19"/>
                <w:szCs w:val="19"/>
              </w:rPr>
              <w:t>6.操作后评价：分值15分(按</w:t>
            </w:r>
            <w:r>
              <w:rPr>
                <w:spacing w:val="5"/>
                <w:sz w:val="19"/>
                <w:szCs w:val="19"/>
              </w:rPr>
              <w:t xml:space="preserve"> </w:t>
            </w:r>
            <w:r>
              <w:rPr>
                <w:sz w:val="19"/>
                <w:szCs w:val="19"/>
              </w:rPr>
              <w:t xml:space="preserve">消毒技术规范要求处理用后 </w:t>
            </w:r>
            <w:r>
              <w:rPr>
                <w:spacing w:val="-2"/>
                <w:sz w:val="19"/>
                <w:szCs w:val="19"/>
              </w:rPr>
              <w:t>物品，一处不符合要求扣5</w:t>
            </w:r>
            <w:r>
              <w:rPr>
                <w:spacing w:val="1"/>
                <w:sz w:val="19"/>
                <w:szCs w:val="19"/>
              </w:rPr>
              <w:t xml:space="preserve">  分。</w:t>
            </w:r>
          </w:p>
          <w:p w14:paraId="6B90A6A0">
            <w:pPr>
              <w:pStyle w:val="6"/>
              <w:spacing w:before="1" w:line="226" w:lineRule="auto"/>
              <w:ind w:left="16" w:firstLine="9"/>
              <w:rPr>
                <w:sz w:val="19"/>
                <w:szCs w:val="19"/>
              </w:rPr>
            </w:pPr>
            <w:r>
              <w:rPr>
                <w:spacing w:val="-1"/>
                <w:sz w:val="19"/>
                <w:szCs w:val="19"/>
              </w:rPr>
              <w:t>全过程动作熟练、规范，动</w:t>
            </w:r>
            <w:r>
              <w:rPr>
                <w:spacing w:val="2"/>
                <w:sz w:val="19"/>
                <w:szCs w:val="19"/>
              </w:rPr>
              <w:t xml:space="preserve"> </w:t>
            </w:r>
            <w:r>
              <w:rPr>
                <w:spacing w:val="3"/>
                <w:sz w:val="19"/>
                <w:szCs w:val="19"/>
              </w:rPr>
              <w:t>作不熟练扣5分)</w:t>
            </w:r>
          </w:p>
        </w:tc>
        <w:tc>
          <w:tcPr>
            <w:tcW w:w="834" w:type="dxa"/>
            <w:vAlign w:val="top"/>
          </w:tcPr>
          <w:p w14:paraId="688B99CC">
            <w:pPr>
              <w:rPr>
                <w:rFonts w:ascii="Arial"/>
                <w:sz w:val="21"/>
              </w:rPr>
            </w:pPr>
          </w:p>
        </w:tc>
      </w:tr>
      <w:tr w14:paraId="639C01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360" w:hRule="atLeast"/>
        </w:trPr>
        <w:tc>
          <w:tcPr>
            <w:tcW w:w="474" w:type="dxa"/>
            <w:vAlign w:val="top"/>
          </w:tcPr>
          <w:p w14:paraId="125920FB">
            <w:pPr>
              <w:pStyle w:val="6"/>
              <w:spacing w:before="44" w:line="220" w:lineRule="auto"/>
              <w:jc w:val="right"/>
              <w:rPr>
                <w:sz w:val="19"/>
                <w:szCs w:val="19"/>
              </w:rPr>
            </w:pPr>
            <w:r>
              <w:rPr>
                <w:spacing w:val="-28"/>
                <w:sz w:val="19"/>
                <w:szCs w:val="19"/>
              </w:rPr>
              <w:t>项</w:t>
            </w:r>
            <w:r>
              <w:rPr>
                <w:spacing w:val="-4"/>
                <w:sz w:val="19"/>
                <w:szCs w:val="19"/>
              </w:rPr>
              <w:t xml:space="preserve"> </w:t>
            </w:r>
            <w:r>
              <w:rPr>
                <w:spacing w:val="-28"/>
                <w:sz w:val="19"/>
                <w:szCs w:val="19"/>
              </w:rPr>
              <w:t>目</w:t>
            </w:r>
          </w:p>
          <w:p w14:paraId="025C7EA6">
            <w:pPr>
              <w:pStyle w:val="6"/>
              <w:spacing w:before="15" w:line="202" w:lineRule="auto"/>
              <w:jc w:val="right"/>
              <w:rPr>
                <w:sz w:val="19"/>
                <w:szCs w:val="19"/>
              </w:rPr>
            </w:pPr>
            <w:r>
              <w:rPr>
                <w:spacing w:val="-41"/>
                <w:w w:val="99"/>
                <w:sz w:val="19"/>
                <w:szCs w:val="19"/>
              </w:rPr>
              <w:t>四</w:t>
            </w:r>
            <w:r>
              <w:rPr>
                <w:spacing w:val="38"/>
                <w:sz w:val="19"/>
                <w:szCs w:val="19"/>
              </w:rPr>
              <w:t xml:space="preserve"> </w:t>
            </w:r>
            <w:r>
              <w:rPr>
                <w:spacing w:val="-41"/>
                <w:w w:val="99"/>
                <w:sz w:val="19"/>
                <w:szCs w:val="19"/>
              </w:rPr>
              <w:t>、</w:t>
            </w:r>
          </w:p>
          <w:p w14:paraId="301A3FC5">
            <w:pPr>
              <w:pStyle w:val="6"/>
              <w:spacing w:line="204" w:lineRule="auto"/>
              <w:ind w:left="35"/>
              <w:rPr>
                <w:sz w:val="19"/>
                <w:szCs w:val="19"/>
              </w:rPr>
            </w:pPr>
            <w:r>
              <w:rPr>
                <w:spacing w:val="-3"/>
                <w:sz w:val="19"/>
                <w:szCs w:val="19"/>
              </w:rPr>
              <w:t>卫生</w:t>
            </w:r>
          </w:p>
          <w:p w14:paraId="5B5F8D4E">
            <w:pPr>
              <w:pStyle w:val="6"/>
              <w:spacing w:line="199" w:lineRule="auto"/>
              <w:ind w:left="35"/>
              <w:rPr>
                <w:sz w:val="19"/>
                <w:szCs w:val="19"/>
              </w:rPr>
            </w:pPr>
            <w:r>
              <w:rPr>
                <w:spacing w:val="-2"/>
                <w:sz w:val="19"/>
                <w:szCs w:val="19"/>
              </w:rPr>
              <w:t>洗手</w:t>
            </w:r>
          </w:p>
          <w:p w14:paraId="679DA68A">
            <w:pPr>
              <w:pStyle w:val="6"/>
              <w:spacing w:line="225" w:lineRule="auto"/>
              <w:ind w:left="135"/>
              <w:rPr>
                <w:sz w:val="19"/>
                <w:szCs w:val="19"/>
              </w:rPr>
            </w:pPr>
            <w:r>
              <w:rPr>
                <w:sz w:val="19"/>
                <w:szCs w:val="19"/>
              </w:rPr>
              <w:t>法</w:t>
            </w:r>
          </w:p>
        </w:tc>
        <w:tc>
          <w:tcPr>
            <w:tcW w:w="510" w:type="dxa"/>
            <w:vAlign w:val="top"/>
          </w:tcPr>
          <w:p w14:paraId="0F92B916">
            <w:pPr>
              <w:pStyle w:val="6"/>
              <w:spacing w:before="43" w:line="212" w:lineRule="auto"/>
              <w:ind w:left="51" w:right="23"/>
              <w:jc w:val="both"/>
              <w:rPr>
                <w:sz w:val="19"/>
                <w:szCs w:val="19"/>
              </w:rPr>
            </w:pPr>
            <w:r>
              <w:rPr>
                <w:spacing w:val="-4"/>
                <w:sz w:val="19"/>
                <w:szCs w:val="19"/>
              </w:rPr>
              <w:t>洗手</w:t>
            </w:r>
            <w:r>
              <w:rPr>
                <w:sz w:val="19"/>
                <w:szCs w:val="19"/>
              </w:rPr>
              <w:t xml:space="preserve"> </w:t>
            </w:r>
            <w:r>
              <w:rPr>
                <w:spacing w:val="-5"/>
                <w:sz w:val="19"/>
                <w:szCs w:val="19"/>
              </w:rPr>
              <w:t>液或</w:t>
            </w:r>
            <w:r>
              <w:rPr>
                <w:sz w:val="19"/>
                <w:szCs w:val="19"/>
              </w:rPr>
              <w:t xml:space="preserve"> </w:t>
            </w:r>
            <w:r>
              <w:rPr>
                <w:spacing w:val="-4"/>
                <w:sz w:val="19"/>
                <w:szCs w:val="19"/>
              </w:rPr>
              <w:t>肥皂</w:t>
            </w:r>
            <w:r>
              <w:rPr>
                <w:sz w:val="19"/>
                <w:szCs w:val="19"/>
              </w:rPr>
              <w:t xml:space="preserve"> </w:t>
            </w:r>
            <w:r>
              <w:rPr>
                <w:spacing w:val="-1"/>
                <w:sz w:val="19"/>
                <w:szCs w:val="19"/>
              </w:rPr>
              <w:t>液</w:t>
            </w:r>
            <w:r>
              <w:rPr>
                <w:spacing w:val="-49"/>
                <w:sz w:val="19"/>
                <w:szCs w:val="19"/>
              </w:rPr>
              <w:t xml:space="preserve"> </w:t>
            </w:r>
            <w:r>
              <w:rPr>
                <w:spacing w:val="-1"/>
                <w:sz w:val="19"/>
                <w:szCs w:val="19"/>
              </w:rPr>
              <w:t>，</w:t>
            </w:r>
          </w:p>
          <w:p w14:paraId="121CE287">
            <w:pPr>
              <w:pStyle w:val="6"/>
              <w:tabs>
                <w:tab w:val="left" w:pos="128"/>
              </w:tabs>
              <w:spacing w:before="10" w:line="213" w:lineRule="auto"/>
              <w:ind w:left="1" w:firstLine="42"/>
              <w:jc w:val="right"/>
              <w:rPr>
                <w:sz w:val="19"/>
                <w:szCs w:val="19"/>
              </w:rPr>
            </w:pPr>
            <w:r>
              <w:rPr>
                <w:spacing w:val="-19"/>
                <w:w w:val="97"/>
                <w:sz w:val="19"/>
                <w:szCs w:val="19"/>
              </w:rPr>
              <w:t>小毛</w:t>
            </w:r>
            <w:r>
              <w:rPr>
                <w:sz w:val="19"/>
                <w:szCs w:val="19"/>
              </w:rPr>
              <w:t xml:space="preserve">  </w:t>
            </w:r>
            <w:r>
              <w:rPr>
                <w:spacing w:val="-3"/>
                <w:sz w:val="19"/>
                <w:szCs w:val="19"/>
              </w:rPr>
              <w:t>巾或</w:t>
            </w:r>
            <w:r>
              <w:rPr>
                <w:sz w:val="19"/>
                <w:szCs w:val="19"/>
              </w:rPr>
              <w:t xml:space="preserve">  </w:t>
            </w:r>
            <w:r>
              <w:rPr>
                <w:spacing w:val="-24"/>
                <w:sz w:val="19"/>
                <w:szCs w:val="19"/>
              </w:rPr>
              <w:t>纸巾，</w:t>
            </w:r>
            <w:r>
              <w:rPr>
                <w:sz w:val="19"/>
                <w:szCs w:val="19"/>
              </w:rPr>
              <w:t xml:space="preserve"> </w:t>
            </w:r>
            <w:r>
              <w:rPr>
                <w:spacing w:val="-11"/>
                <w:sz w:val="19"/>
                <w:szCs w:val="19"/>
              </w:rPr>
              <w:t>流洗</w:t>
            </w:r>
            <w:r>
              <w:rPr>
                <w:sz w:val="19"/>
                <w:szCs w:val="19"/>
              </w:rPr>
              <w:t xml:space="preserve">  </w:t>
            </w:r>
            <w:r>
              <w:rPr>
                <w:spacing w:val="-10"/>
                <w:sz w:val="19"/>
                <w:szCs w:val="19"/>
              </w:rPr>
              <w:t>手池</w:t>
            </w:r>
            <w:r>
              <w:rPr>
                <w:sz w:val="19"/>
                <w:szCs w:val="19"/>
              </w:rPr>
              <w:t xml:space="preserve">  </w:t>
            </w:r>
            <w:r>
              <w:rPr>
                <w:spacing w:val="-12"/>
                <w:sz w:val="19"/>
                <w:szCs w:val="19"/>
              </w:rPr>
              <w:t>设备</w:t>
            </w:r>
            <w:r>
              <w:rPr>
                <w:sz w:val="19"/>
                <w:szCs w:val="19"/>
              </w:rPr>
              <w:t xml:space="preserve">  </w:t>
            </w:r>
            <w:r>
              <w:rPr>
                <w:sz w:val="19"/>
                <w:szCs w:val="19"/>
              </w:rPr>
              <w:tab/>
            </w:r>
            <w:r>
              <w:rPr>
                <w:spacing w:val="-16"/>
                <w:w w:val="97"/>
                <w:sz w:val="19"/>
                <w:szCs w:val="19"/>
              </w:rPr>
              <w:t>(无</w:t>
            </w:r>
            <w:r>
              <w:rPr>
                <w:sz w:val="19"/>
                <w:szCs w:val="19"/>
              </w:rPr>
              <w:t xml:space="preserve">  </w:t>
            </w:r>
            <w:r>
              <w:rPr>
                <w:spacing w:val="-11"/>
                <w:sz w:val="19"/>
                <w:szCs w:val="19"/>
              </w:rPr>
              <w:t>此设</w:t>
            </w:r>
            <w:r>
              <w:rPr>
                <w:sz w:val="19"/>
                <w:szCs w:val="19"/>
              </w:rPr>
              <w:t xml:space="preserve">  </w:t>
            </w:r>
            <w:r>
              <w:rPr>
                <w:spacing w:val="-11"/>
                <w:sz w:val="19"/>
                <w:szCs w:val="19"/>
              </w:rPr>
              <w:t>备可</w:t>
            </w:r>
            <w:r>
              <w:rPr>
                <w:sz w:val="19"/>
                <w:szCs w:val="19"/>
              </w:rPr>
              <w:t xml:space="preserve">  </w:t>
            </w:r>
            <w:r>
              <w:rPr>
                <w:spacing w:val="1"/>
                <w:sz w:val="19"/>
                <w:szCs w:val="19"/>
              </w:rPr>
              <w:t>备消</w:t>
            </w:r>
            <w:r>
              <w:rPr>
                <w:sz w:val="19"/>
                <w:szCs w:val="19"/>
              </w:rPr>
              <w:t xml:space="preserve">  </w:t>
            </w:r>
            <w:r>
              <w:rPr>
                <w:spacing w:val="-24"/>
                <w:sz w:val="19"/>
                <w:szCs w:val="19"/>
              </w:rPr>
              <w:t>毒液、</w:t>
            </w:r>
            <w:r>
              <w:rPr>
                <w:sz w:val="19"/>
                <w:szCs w:val="19"/>
              </w:rPr>
              <w:t xml:space="preserve"> </w:t>
            </w:r>
            <w:r>
              <w:rPr>
                <w:spacing w:val="-10"/>
                <w:sz w:val="19"/>
                <w:szCs w:val="19"/>
              </w:rPr>
              <w:t>清水</w:t>
            </w:r>
            <w:r>
              <w:rPr>
                <w:sz w:val="19"/>
                <w:szCs w:val="19"/>
              </w:rPr>
              <w:t xml:space="preserve">  </w:t>
            </w:r>
            <w:r>
              <w:rPr>
                <w:spacing w:val="-3"/>
                <w:sz w:val="19"/>
                <w:szCs w:val="19"/>
              </w:rPr>
              <w:t>各一</w:t>
            </w:r>
            <w:r>
              <w:rPr>
                <w:sz w:val="19"/>
                <w:szCs w:val="19"/>
              </w:rPr>
              <w:t xml:space="preserve">  </w:t>
            </w:r>
            <w:r>
              <w:rPr>
                <w:spacing w:val="5"/>
                <w:sz w:val="19"/>
                <w:szCs w:val="19"/>
              </w:rPr>
              <w:t>盆)</w:t>
            </w:r>
          </w:p>
        </w:tc>
        <w:tc>
          <w:tcPr>
            <w:tcW w:w="1059" w:type="dxa"/>
            <w:vAlign w:val="top"/>
          </w:tcPr>
          <w:p w14:paraId="5773A4EC">
            <w:pPr>
              <w:pStyle w:val="6"/>
              <w:spacing w:before="24" w:line="215" w:lineRule="auto"/>
              <w:ind w:left="41" w:right="49"/>
              <w:jc w:val="both"/>
              <w:rPr>
                <w:sz w:val="19"/>
                <w:szCs w:val="19"/>
              </w:rPr>
            </w:pPr>
            <w:r>
              <w:rPr>
                <w:spacing w:val="1"/>
                <w:sz w:val="19"/>
                <w:szCs w:val="19"/>
              </w:rPr>
              <w:t xml:space="preserve">1.湿润双手 </w:t>
            </w:r>
            <w:r>
              <w:rPr>
                <w:spacing w:val="-2"/>
                <w:sz w:val="19"/>
                <w:szCs w:val="19"/>
              </w:rPr>
              <w:t>2.揉搓冲净</w:t>
            </w:r>
            <w:r>
              <w:rPr>
                <w:spacing w:val="1"/>
                <w:sz w:val="19"/>
                <w:szCs w:val="19"/>
              </w:rPr>
              <w:t xml:space="preserve"> </w:t>
            </w:r>
            <w:r>
              <w:rPr>
                <w:spacing w:val="-2"/>
                <w:sz w:val="19"/>
                <w:szCs w:val="19"/>
              </w:rPr>
              <w:t>3.擦干双手</w:t>
            </w:r>
          </w:p>
        </w:tc>
        <w:tc>
          <w:tcPr>
            <w:tcW w:w="3546" w:type="dxa"/>
            <w:vAlign w:val="top"/>
          </w:tcPr>
          <w:p w14:paraId="6DC48B95">
            <w:pPr>
              <w:pStyle w:val="6"/>
              <w:spacing w:before="43" w:line="194" w:lineRule="auto"/>
              <w:ind w:left="12"/>
              <w:rPr>
                <w:sz w:val="19"/>
                <w:szCs w:val="19"/>
              </w:rPr>
            </w:pPr>
            <w:r>
              <w:rPr>
                <w:spacing w:val="-1"/>
                <w:sz w:val="19"/>
                <w:szCs w:val="19"/>
              </w:rPr>
              <w:t>1.操作者着装整洁，修剪指甲。</w:t>
            </w:r>
          </w:p>
          <w:p w14:paraId="7EDBB49A">
            <w:pPr>
              <w:pStyle w:val="6"/>
              <w:spacing w:line="219" w:lineRule="auto"/>
              <w:jc w:val="right"/>
              <w:rPr>
                <w:sz w:val="19"/>
                <w:szCs w:val="19"/>
              </w:rPr>
            </w:pPr>
            <w:r>
              <w:rPr>
                <w:spacing w:val="-14"/>
                <w:sz w:val="19"/>
                <w:szCs w:val="19"/>
              </w:rPr>
              <w:t>2.用物准备齐全，摆放合理，符合操作要求。</w:t>
            </w:r>
          </w:p>
          <w:p w14:paraId="4368BD1B">
            <w:pPr>
              <w:pStyle w:val="6"/>
              <w:spacing w:before="235" w:line="211" w:lineRule="auto"/>
              <w:ind w:left="12"/>
              <w:jc w:val="both"/>
              <w:rPr>
                <w:sz w:val="19"/>
                <w:szCs w:val="19"/>
              </w:rPr>
            </w:pPr>
            <w:r>
              <w:rPr>
                <w:spacing w:val="-5"/>
                <w:sz w:val="19"/>
                <w:szCs w:val="19"/>
              </w:rPr>
              <w:t>3.洗手前取下手表、卷袖过肘，用肘或适宜</w:t>
            </w:r>
            <w:r>
              <w:rPr>
                <w:spacing w:val="9"/>
                <w:sz w:val="19"/>
                <w:szCs w:val="19"/>
              </w:rPr>
              <w:t xml:space="preserve"> </w:t>
            </w:r>
            <w:r>
              <w:rPr>
                <w:spacing w:val="-5"/>
                <w:sz w:val="19"/>
                <w:szCs w:val="19"/>
              </w:rPr>
              <w:t>方法打开水龙头，湿润双手、取洁净肥皂或</w:t>
            </w:r>
            <w:r>
              <w:rPr>
                <w:spacing w:val="1"/>
                <w:sz w:val="19"/>
                <w:szCs w:val="19"/>
              </w:rPr>
              <w:t xml:space="preserve"> </w:t>
            </w:r>
            <w:r>
              <w:rPr>
                <w:spacing w:val="-5"/>
                <w:sz w:val="19"/>
                <w:szCs w:val="19"/>
              </w:rPr>
              <w:t>洗手液均匀涂抹至整个手掌、手背、手指和</w:t>
            </w:r>
            <w:r>
              <w:rPr>
                <w:spacing w:val="7"/>
                <w:sz w:val="19"/>
                <w:szCs w:val="19"/>
              </w:rPr>
              <w:t xml:space="preserve"> </w:t>
            </w:r>
            <w:r>
              <w:rPr>
                <w:spacing w:val="-2"/>
                <w:sz w:val="19"/>
                <w:szCs w:val="19"/>
              </w:rPr>
              <w:t>指缝。</w:t>
            </w:r>
          </w:p>
          <w:p w14:paraId="30FC4F35">
            <w:pPr>
              <w:pStyle w:val="6"/>
              <w:spacing w:before="1" w:line="218" w:lineRule="auto"/>
              <w:ind w:left="12"/>
              <w:rPr>
                <w:sz w:val="19"/>
                <w:szCs w:val="19"/>
              </w:rPr>
            </w:pPr>
            <w:r>
              <w:rPr>
                <w:spacing w:val="-5"/>
                <w:sz w:val="19"/>
                <w:szCs w:val="19"/>
              </w:rPr>
              <w:t>4.掌心对掌心，手指并拢，互相揉搓使肥皂</w:t>
            </w:r>
            <w:r>
              <w:rPr>
                <w:spacing w:val="12"/>
                <w:sz w:val="19"/>
                <w:szCs w:val="19"/>
              </w:rPr>
              <w:t xml:space="preserve"> </w:t>
            </w:r>
            <w:r>
              <w:rPr>
                <w:spacing w:val="-2"/>
                <w:sz w:val="19"/>
                <w:szCs w:val="19"/>
              </w:rPr>
              <w:t>起沫。</w:t>
            </w:r>
          </w:p>
          <w:p w14:paraId="105D5F66">
            <w:pPr>
              <w:pStyle w:val="6"/>
              <w:spacing w:before="1" w:line="206" w:lineRule="auto"/>
              <w:ind w:left="12"/>
              <w:rPr>
                <w:sz w:val="19"/>
                <w:szCs w:val="19"/>
              </w:rPr>
            </w:pPr>
            <w:r>
              <w:rPr>
                <w:spacing w:val="-5"/>
                <w:sz w:val="19"/>
                <w:szCs w:val="19"/>
              </w:rPr>
              <w:t>5.掌心对掌背，双手交叉指缝相互揉搓，两</w:t>
            </w:r>
            <w:r>
              <w:rPr>
                <w:spacing w:val="12"/>
                <w:sz w:val="19"/>
                <w:szCs w:val="19"/>
              </w:rPr>
              <w:t xml:space="preserve"> </w:t>
            </w:r>
            <w:r>
              <w:rPr>
                <w:spacing w:val="-2"/>
                <w:sz w:val="19"/>
                <w:szCs w:val="19"/>
              </w:rPr>
              <w:t>手交替。</w:t>
            </w:r>
          </w:p>
          <w:p w14:paraId="5C058425">
            <w:pPr>
              <w:pStyle w:val="6"/>
              <w:spacing w:before="15" w:line="219" w:lineRule="auto"/>
              <w:ind w:left="12"/>
              <w:rPr>
                <w:sz w:val="19"/>
                <w:szCs w:val="19"/>
              </w:rPr>
            </w:pPr>
            <w:r>
              <w:rPr>
                <w:spacing w:val="-1"/>
                <w:sz w:val="19"/>
                <w:szCs w:val="19"/>
              </w:rPr>
              <w:t>6.掌心相对，双手交叉指缝相互揉搓。</w:t>
            </w:r>
          </w:p>
          <w:p w14:paraId="12FCE67C">
            <w:pPr>
              <w:pStyle w:val="6"/>
              <w:spacing w:before="214" w:line="214" w:lineRule="auto"/>
              <w:ind w:left="12"/>
              <w:rPr>
                <w:sz w:val="19"/>
                <w:szCs w:val="19"/>
              </w:rPr>
            </w:pPr>
            <w:r>
              <w:rPr>
                <w:spacing w:val="-5"/>
                <w:sz w:val="19"/>
                <w:szCs w:val="19"/>
              </w:rPr>
              <w:t>7.弯曲手指使关节在另一手掌心旋转揉搓，</w:t>
            </w:r>
            <w:r>
              <w:rPr>
                <w:spacing w:val="12"/>
                <w:sz w:val="19"/>
                <w:szCs w:val="19"/>
              </w:rPr>
              <w:t xml:space="preserve"> </w:t>
            </w:r>
            <w:r>
              <w:rPr>
                <w:spacing w:val="-4"/>
                <w:sz w:val="19"/>
                <w:szCs w:val="19"/>
              </w:rPr>
              <w:t>两手交替。</w:t>
            </w:r>
          </w:p>
          <w:p w14:paraId="7CC21758">
            <w:pPr>
              <w:pStyle w:val="6"/>
              <w:spacing w:line="219" w:lineRule="auto"/>
              <w:jc w:val="right"/>
              <w:rPr>
                <w:sz w:val="19"/>
                <w:szCs w:val="19"/>
              </w:rPr>
            </w:pPr>
            <w:r>
              <w:rPr>
                <w:spacing w:val="-14"/>
                <w:sz w:val="19"/>
                <w:szCs w:val="19"/>
              </w:rPr>
              <w:t>8.右手握住左手大拇指旋转揉搓，两手交替。</w:t>
            </w:r>
          </w:p>
          <w:p w14:paraId="0C194DF7">
            <w:pPr>
              <w:pStyle w:val="6"/>
              <w:spacing w:before="214" w:line="214" w:lineRule="auto"/>
              <w:ind w:left="12" w:right="112"/>
              <w:rPr>
                <w:sz w:val="19"/>
                <w:szCs w:val="19"/>
              </w:rPr>
            </w:pPr>
            <w:r>
              <w:rPr>
                <w:spacing w:val="-1"/>
                <w:sz w:val="19"/>
                <w:szCs w:val="19"/>
              </w:rPr>
              <w:t>9.将五个手指尖并拢放在另一掌心旋转揉</w:t>
            </w:r>
            <w:r>
              <w:rPr>
                <w:spacing w:val="9"/>
                <w:sz w:val="19"/>
                <w:szCs w:val="19"/>
              </w:rPr>
              <w:t xml:space="preserve"> </w:t>
            </w:r>
            <w:r>
              <w:rPr>
                <w:spacing w:val="-1"/>
                <w:sz w:val="19"/>
                <w:szCs w:val="19"/>
              </w:rPr>
              <w:t>搓，双手交替。</w:t>
            </w:r>
          </w:p>
          <w:p w14:paraId="1399E5B4">
            <w:pPr>
              <w:pStyle w:val="6"/>
              <w:spacing w:line="413" w:lineRule="auto"/>
              <w:ind w:left="12" w:right="769"/>
              <w:rPr>
                <w:sz w:val="19"/>
                <w:szCs w:val="19"/>
              </w:rPr>
            </w:pPr>
            <w:r>
              <w:rPr>
                <w:spacing w:val="-1"/>
                <w:sz w:val="19"/>
                <w:szCs w:val="19"/>
              </w:rPr>
              <w:t>10.螺旋式擦洗手腕，双手交替。</w:t>
            </w:r>
            <w:r>
              <w:rPr>
                <w:spacing w:val="14"/>
                <w:sz w:val="19"/>
                <w:szCs w:val="19"/>
              </w:rPr>
              <w:t xml:space="preserve"> </w:t>
            </w:r>
            <w:r>
              <w:rPr>
                <w:sz w:val="19"/>
                <w:szCs w:val="19"/>
              </w:rPr>
              <w:t>11.流动水冲洗干净。</w:t>
            </w:r>
          </w:p>
          <w:p w14:paraId="0318F04B">
            <w:pPr>
              <w:pStyle w:val="6"/>
              <w:spacing w:before="249" w:line="219" w:lineRule="auto"/>
              <w:ind w:left="12"/>
              <w:rPr>
                <w:sz w:val="19"/>
                <w:szCs w:val="19"/>
              </w:rPr>
            </w:pPr>
            <w:r>
              <w:rPr>
                <w:spacing w:val="-1"/>
                <w:sz w:val="19"/>
                <w:szCs w:val="19"/>
              </w:rPr>
              <w:t>12.用毛巾或一次性纸巾擦干双手。</w:t>
            </w:r>
          </w:p>
        </w:tc>
        <w:tc>
          <w:tcPr>
            <w:tcW w:w="2307" w:type="dxa"/>
            <w:vAlign w:val="top"/>
          </w:tcPr>
          <w:p w14:paraId="16736D35">
            <w:pPr>
              <w:pStyle w:val="6"/>
              <w:spacing w:before="43" w:line="194" w:lineRule="auto"/>
              <w:ind w:left="16"/>
              <w:rPr>
                <w:sz w:val="19"/>
                <w:szCs w:val="19"/>
              </w:rPr>
            </w:pPr>
            <w:r>
              <w:rPr>
                <w:spacing w:val="3"/>
                <w:sz w:val="19"/>
                <w:szCs w:val="19"/>
              </w:rPr>
              <w:t>1.分值5分(酌情扣分)</w:t>
            </w:r>
          </w:p>
          <w:p w14:paraId="36572D91">
            <w:pPr>
              <w:pStyle w:val="6"/>
              <w:spacing w:before="2" w:line="215" w:lineRule="auto"/>
              <w:ind w:left="16" w:right="149"/>
              <w:rPr>
                <w:sz w:val="19"/>
                <w:szCs w:val="19"/>
              </w:rPr>
            </w:pPr>
            <w:r>
              <w:rPr>
                <w:spacing w:val="-1"/>
                <w:sz w:val="19"/>
                <w:szCs w:val="19"/>
              </w:rPr>
              <w:t>2.分值10分(物品少一件</w:t>
            </w:r>
            <w:r>
              <w:rPr>
                <w:spacing w:val="1"/>
                <w:sz w:val="19"/>
                <w:szCs w:val="19"/>
              </w:rPr>
              <w:t xml:space="preserve">  </w:t>
            </w:r>
            <w:r>
              <w:rPr>
                <w:spacing w:val="3"/>
                <w:sz w:val="19"/>
                <w:szCs w:val="19"/>
              </w:rPr>
              <w:t>或一件不符合要求扣1分)</w:t>
            </w:r>
            <w:r>
              <w:rPr>
                <w:spacing w:val="4"/>
                <w:sz w:val="19"/>
                <w:szCs w:val="19"/>
              </w:rPr>
              <w:t xml:space="preserve"> </w:t>
            </w:r>
            <w:r>
              <w:rPr>
                <w:spacing w:val="-1"/>
                <w:sz w:val="19"/>
                <w:szCs w:val="19"/>
              </w:rPr>
              <w:t>3.分值10分(一处不符合</w:t>
            </w:r>
            <w:r>
              <w:rPr>
                <w:spacing w:val="5"/>
                <w:sz w:val="19"/>
                <w:szCs w:val="19"/>
              </w:rPr>
              <w:t xml:space="preserve">  </w:t>
            </w:r>
            <w:r>
              <w:rPr>
                <w:spacing w:val="6"/>
                <w:sz w:val="19"/>
                <w:szCs w:val="19"/>
              </w:rPr>
              <w:t>要求扣1分)</w:t>
            </w:r>
          </w:p>
          <w:p w14:paraId="1C36B07D">
            <w:pPr>
              <w:spacing w:line="377" w:lineRule="auto"/>
              <w:rPr>
                <w:rFonts w:ascii="Arial"/>
                <w:sz w:val="21"/>
              </w:rPr>
            </w:pPr>
          </w:p>
          <w:p w14:paraId="6F603C59">
            <w:pPr>
              <w:pStyle w:val="6"/>
              <w:spacing w:before="62" w:line="219" w:lineRule="auto"/>
              <w:ind w:left="16" w:right="282" w:firstLine="10"/>
              <w:rPr>
                <w:sz w:val="19"/>
                <w:szCs w:val="19"/>
              </w:rPr>
            </w:pPr>
            <w:r>
              <w:rPr>
                <w:spacing w:val="-1"/>
                <w:sz w:val="19"/>
                <w:szCs w:val="19"/>
              </w:rPr>
              <w:t>4.分值10分(一处不符合</w:t>
            </w:r>
            <w:r>
              <w:rPr>
                <w:spacing w:val="5"/>
                <w:sz w:val="19"/>
                <w:szCs w:val="19"/>
              </w:rPr>
              <w:t xml:space="preserve"> </w:t>
            </w:r>
            <w:r>
              <w:rPr>
                <w:spacing w:val="6"/>
                <w:sz w:val="19"/>
                <w:szCs w:val="19"/>
              </w:rPr>
              <w:t>要求扣5分)</w:t>
            </w:r>
          </w:p>
          <w:p w14:paraId="4220C761">
            <w:pPr>
              <w:pStyle w:val="6"/>
              <w:spacing w:before="1" w:line="207" w:lineRule="auto"/>
              <w:ind w:left="26" w:right="159" w:firstLine="10"/>
              <w:rPr>
                <w:sz w:val="19"/>
                <w:szCs w:val="19"/>
              </w:rPr>
            </w:pPr>
            <w:r>
              <w:rPr>
                <w:sz w:val="19"/>
                <w:szCs w:val="19"/>
              </w:rPr>
              <w:t>5.分值10分(漏洗一侧扣5</w:t>
            </w:r>
            <w:r>
              <w:rPr>
                <w:spacing w:val="10"/>
                <w:sz w:val="19"/>
                <w:szCs w:val="19"/>
              </w:rPr>
              <w:t xml:space="preserve"> </w:t>
            </w:r>
            <w:r>
              <w:rPr>
                <w:spacing w:val="-5"/>
                <w:sz w:val="19"/>
                <w:szCs w:val="19"/>
              </w:rPr>
              <w:t>分</w:t>
            </w:r>
            <w:r>
              <w:rPr>
                <w:spacing w:val="-41"/>
                <w:sz w:val="19"/>
                <w:szCs w:val="19"/>
              </w:rPr>
              <w:t xml:space="preserve"> </w:t>
            </w:r>
            <w:r>
              <w:rPr>
                <w:spacing w:val="-5"/>
                <w:sz w:val="19"/>
                <w:szCs w:val="19"/>
              </w:rPr>
              <w:t>)</w:t>
            </w:r>
          </w:p>
          <w:p w14:paraId="1E1D00AB">
            <w:pPr>
              <w:pStyle w:val="6"/>
              <w:spacing w:before="12" w:line="214" w:lineRule="auto"/>
              <w:ind w:left="16" w:right="284" w:firstLine="10"/>
              <w:rPr>
                <w:sz w:val="19"/>
                <w:szCs w:val="19"/>
              </w:rPr>
            </w:pPr>
            <w:r>
              <w:rPr>
                <w:spacing w:val="-1"/>
                <w:sz w:val="19"/>
                <w:szCs w:val="19"/>
              </w:rPr>
              <w:t>6.分值10分(一处不符合</w:t>
            </w:r>
            <w:r>
              <w:rPr>
                <w:spacing w:val="3"/>
                <w:sz w:val="19"/>
                <w:szCs w:val="19"/>
              </w:rPr>
              <w:t xml:space="preserve"> </w:t>
            </w:r>
            <w:r>
              <w:rPr>
                <w:spacing w:val="6"/>
                <w:sz w:val="19"/>
                <w:szCs w:val="19"/>
              </w:rPr>
              <w:t>要求扣5分)</w:t>
            </w:r>
          </w:p>
          <w:p w14:paraId="7798DD83">
            <w:pPr>
              <w:pStyle w:val="6"/>
              <w:spacing w:before="1" w:line="212" w:lineRule="auto"/>
              <w:ind w:left="26" w:right="169"/>
              <w:rPr>
                <w:sz w:val="19"/>
                <w:szCs w:val="19"/>
              </w:rPr>
            </w:pPr>
            <w:r>
              <w:rPr>
                <w:sz w:val="19"/>
                <w:szCs w:val="19"/>
              </w:rPr>
              <w:t>7.分值10分(漏洗一侧扣5</w:t>
            </w:r>
            <w:r>
              <w:rPr>
                <w:spacing w:val="10"/>
                <w:sz w:val="19"/>
                <w:szCs w:val="19"/>
              </w:rPr>
              <w:t xml:space="preserve"> </w:t>
            </w:r>
            <w:r>
              <w:rPr>
                <w:spacing w:val="-5"/>
                <w:sz w:val="19"/>
                <w:szCs w:val="19"/>
              </w:rPr>
              <w:t>分</w:t>
            </w:r>
            <w:r>
              <w:rPr>
                <w:spacing w:val="-41"/>
                <w:sz w:val="19"/>
                <w:szCs w:val="19"/>
              </w:rPr>
              <w:t xml:space="preserve"> </w:t>
            </w:r>
            <w:r>
              <w:rPr>
                <w:spacing w:val="-5"/>
                <w:sz w:val="19"/>
                <w:szCs w:val="19"/>
              </w:rPr>
              <w:t>)</w:t>
            </w:r>
          </w:p>
          <w:p w14:paraId="7A7F38CD">
            <w:pPr>
              <w:pStyle w:val="6"/>
              <w:spacing w:before="1" w:line="208" w:lineRule="auto"/>
              <w:ind w:left="36" w:right="199" w:hanging="20"/>
              <w:rPr>
                <w:sz w:val="19"/>
                <w:szCs w:val="19"/>
              </w:rPr>
            </w:pPr>
            <w:r>
              <w:rPr>
                <w:spacing w:val="-1"/>
                <w:sz w:val="19"/>
                <w:szCs w:val="19"/>
              </w:rPr>
              <w:t>8.分值10分(漏洗一侧扣5</w:t>
            </w:r>
            <w:r>
              <w:rPr>
                <w:spacing w:val="4"/>
                <w:sz w:val="19"/>
                <w:szCs w:val="19"/>
              </w:rPr>
              <w:t xml:space="preserve"> </w:t>
            </w:r>
            <w:r>
              <w:rPr>
                <w:spacing w:val="-5"/>
                <w:sz w:val="19"/>
                <w:szCs w:val="19"/>
              </w:rPr>
              <w:t>分</w:t>
            </w:r>
            <w:r>
              <w:rPr>
                <w:spacing w:val="-41"/>
                <w:sz w:val="19"/>
                <w:szCs w:val="19"/>
              </w:rPr>
              <w:t xml:space="preserve"> </w:t>
            </w:r>
            <w:r>
              <w:rPr>
                <w:spacing w:val="-5"/>
                <w:sz w:val="19"/>
                <w:szCs w:val="19"/>
              </w:rPr>
              <w:t>)</w:t>
            </w:r>
          </w:p>
          <w:p w14:paraId="4A0A3767">
            <w:pPr>
              <w:pStyle w:val="6"/>
              <w:spacing w:before="13" w:line="214" w:lineRule="auto"/>
              <w:ind w:left="26" w:right="189"/>
              <w:rPr>
                <w:sz w:val="19"/>
                <w:szCs w:val="19"/>
              </w:rPr>
            </w:pPr>
            <w:r>
              <w:rPr>
                <w:spacing w:val="-1"/>
                <w:sz w:val="19"/>
                <w:szCs w:val="19"/>
              </w:rPr>
              <w:t>9.分值10分(漏洗一侧扣5</w:t>
            </w:r>
            <w:r>
              <w:rPr>
                <w:spacing w:val="4"/>
                <w:sz w:val="19"/>
                <w:szCs w:val="19"/>
              </w:rPr>
              <w:t xml:space="preserve"> </w:t>
            </w:r>
            <w:r>
              <w:rPr>
                <w:spacing w:val="-5"/>
                <w:sz w:val="19"/>
                <w:szCs w:val="19"/>
              </w:rPr>
              <w:t>分</w:t>
            </w:r>
            <w:r>
              <w:rPr>
                <w:spacing w:val="-41"/>
                <w:sz w:val="19"/>
                <w:szCs w:val="19"/>
              </w:rPr>
              <w:t xml:space="preserve"> </w:t>
            </w:r>
            <w:r>
              <w:rPr>
                <w:spacing w:val="-5"/>
                <w:sz w:val="19"/>
                <w:szCs w:val="19"/>
              </w:rPr>
              <w:t>)</w:t>
            </w:r>
          </w:p>
          <w:p w14:paraId="4437F518">
            <w:pPr>
              <w:pStyle w:val="6"/>
              <w:spacing w:before="1" w:line="207" w:lineRule="auto"/>
              <w:ind w:left="16" w:right="154" w:firstLine="20"/>
              <w:rPr>
                <w:sz w:val="19"/>
                <w:szCs w:val="19"/>
              </w:rPr>
            </w:pPr>
            <w:r>
              <w:rPr>
                <w:spacing w:val="1"/>
                <w:sz w:val="19"/>
                <w:szCs w:val="19"/>
              </w:rPr>
              <w:t xml:space="preserve">10.分值10分(漏洗一侧扣 </w:t>
            </w:r>
            <w:r>
              <w:rPr>
                <w:spacing w:val="13"/>
                <w:sz w:val="19"/>
                <w:szCs w:val="19"/>
              </w:rPr>
              <w:t>5分)</w:t>
            </w:r>
          </w:p>
          <w:p w14:paraId="678E9A04">
            <w:pPr>
              <w:pStyle w:val="6"/>
              <w:spacing w:before="13" w:line="212" w:lineRule="auto"/>
              <w:ind w:left="16" w:right="104"/>
              <w:jc w:val="both"/>
              <w:rPr>
                <w:sz w:val="19"/>
                <w:szCs w:val="19"/>
              </w:rPr>
            </w:pPr>
            <w:r>
              <w:rPr>
                <w:sz w:val="19"/>
                <w:szCs w:val="19"/>
              </w:rPr>
              <w:t>11.分值10分(未用流动水</w:t>
            </w:r>
            <w:r>
              <w:rPr>
                <w:spacing w:val="3"/>
                <w:sz w:val="19"/>
                <w:szCs w:val="19"/>
              </w:rPr>
              <w:t xml:space="preserve">  </w:t>
            </w:r>
            <w:r>
              <w:rPr>
                <w:spacing w:val="-1"/>
                <w:sz w:val="19"/>
                <w:szCs w:val="19"/>
              </w:rPr>
              <w:t>冲洗扣5分；有泡沫未冲洗</w:t>
            </w:r>
            <w:r>
              <w:rPr>
                <w:spacing w:val="2"/>
                <w:sz w:val="19"/>
                <w:szCs w:val="19"/>
              </w:rPr>
              <w:t xml:space="preserve"> </w:t>
            </w:r>
            <w:r>
              <w:rPr>
                <w:spacing w:val="4"/>
                <w:sz w:val="19"/>
                <w:szCs w:val="19"/>
              </w:rPr>
              <w:t>干净酌情扣1-3分)</w:t>
            </w:r>
          </w:p>
          <w:p w14:paraId="5387D3F9">
            <w:pPr>
              <w:pStyle w:val="6"/>
              <w:spacing w:before="4" w:line="208" w:lineRule="auto"/>
              <w:ind w:left="16" w:right="282"/>
              <w:rPr>
                <w:sz w:val="19"/>
                <w:szCs w:val="19"/>
              </w:rPr>
            </w:pPr>
            <w:r>
              <w:rPr>
                <w:sz w:val="19"/>
                <w:szCs w:val="19"/>
              </w:rPr>
              <w:t>12.分值5分(未擦干双手</w:t>
            </w:r>
            <w:r>
              <w:rPr>
                <w:spacing w:val="2"/>
                <w:sz w:val="19"/>
                <w:szCs w:val="19"/>
              </w:rPr>
              <w:t xml:space="preserve"> </w:t>
            </w:r>
            <w:r>
              <w:rPr>
                <w:spacing w:val="10"/>
                <w:sz w:val="19"/>
                <w:szCs w:val="19"/>
              </w:rPr>
              <w:t>扣2分)</w:t>
            </w:r>
          </w:p>
          <w:p w14:paraId="679F4C92">
            <w:pPr>
              <w:pStyle w:val="6"/>
              <w:spacing w:before="12" w:line="197" w:lineRule="auto"/>
              <w:ind w:left="16" w:right="92"/>
              <w:jc w:val="both"/>
              <w:rPr>
                <w:sz w:val="18"/>
                <w:szCs w:val="18"/>
              </w:rPr>
            </w:pPr>
            <w:r>
              <w:rPr>
                <w:sz w:val="19"/>
                <w:szCs w:val="19"/>
              </w:rPr>
              <w:t>13.操作后评价：分值15分</w:t>
            </w:r>
            <w:r>
              <w:rPr>
                <w:spacing w:val="2"/>
                <w:sz w:val="19"/>
                <w:szCs w:val="19"/>
              </w:rPr>
              <w:t xml:space="preserve"> </w:t>
            </w:r>
            <w:r>
              <w:rPr>
                <w:spacing w:val="15"/>
                <w:sz w:val="18"/>
                <w:szCs w:val="18"/>
              </w:rPr>
              <w:t>(动作不熟练扣5分；操作</w:t>
            </w:r>
            <w:r>
              <w:rPr>
                <w:sz w:val="18"/>
                <w:szCs w:val="18"/>
              </w:rPr>
              <w:t xml:space="preserve"> </w:t>
            </w:r>
            <w:r>
              <w:rPr>
                <w:spacing w:val="13"/>
                <w:sz w:val="18"/>
                <w:szCs w:val="18"/>
              </w:rPr>
              <w:t>顺序错误扣5分)</w:t>
            </w:r>
          </w:p>
        </w:tc>
        <w:tc>
          <w:tcPr>
            <w:tcW w:w="834" w:type="dxa"/>
            <w:vAlign w:val="top"/>
          </w:tcPr>
          <w:p w14:paraId="28FA21A8">
            <w:pPr>
              <w:pStyle w:val="6"/>
              <w:spacing w:before="22" w:line="215" w:lineRule="auto"/>
              <w:ind w:left="19" w:right="25" w:firstLine="10"/>
              <w:rPr>
                <w:sz w:val="19"/>
                <w:szCs w:val="19"/>
              </w:rPr>
            </w:pPr>
            <w:r>
              <w:rPr>
                <w:spacing w:val="1"/>
                <w:sz w:val="19"/>
                <w:szCs w:val="19"/>
              </w:rPr>
              <w:t>1.手的清</w:t>
            </w:r>
            <w:r>
              <w:rPr>
                <w:spacing w:val="3"/>
                <w:sz w:val="19"/>
                <w:szCs w:val="19"/>
              </w:rPr>
              <w:t xml:space="preserve"> </w:t>
            </w:r>
            <w:r>
              <w:rPr>
                <w:sz w:val="19"/>
                <w:szCs w:val="19"/>
              </w:rPr>
              <w:t>洗方法正</w:t>
            </w:r>
            <w:r>
              <w:rPr>
                <w:spacing w:val="2"/>
                <w:sz w:val="19"/>
                <w:szCs w:val="19"/>
              </w:rPr>
              <w:t xml:space="preserve"> </w:t>
            </w:r>
            <w:r>
              <w:rPr>
                <w:sz w:val="19"/>
                <w:szCs w:val="19"/>
              </w:rPr>
              <w:t>确，按规</w:t>
            </w:r>
            <w:r>
              <w:rPr>
                <w:spacing w:val="1"/>
                <w:sz w:val="19"/>
                <w:szCs w:val="19"/>
              </w:rPr>
              <w:t xml:space="preserve"> </w:t>
            </w:r>
            <w:r>
              <w:rPr>
                <w:spacing w:val="-1"/>
                <w:sz w:val="19"/>
                <w:szCs w:val="19"/>
              </w:rPr>
              <w:t>定步骤进</w:t>
            </w:r>
            <w:r>
              <w:rPr>
                <w:spacing w:val="1"/>
                <w:sz w:val="19"/>
                <w:szCs w:val="19"/>
              </w:rPr>
              <w:t xml:space="preserve"> </w:t>
            </w:r>
            <w:r>
              <w:rPr>
                <w:spacing w:val="-1"/>
                <w:sz w:val="19"/>
                <w:szCs w:val="19"/>
              </w:rPr>
              <w:t>行。冲洗</w:t>
            </w:r>
            <w:r>
              <w:rPr>
                <w:spacing w:val="2"/>
                <w:sz w:val="19"/>
                <w:szCs w:val="19"/>
              </w:rPr>
              <w:t xml:space="preserve"> </w:t>
            </w:r>
            <w:r>
              <w:rPr>
                <w:sz w:val="19"/>
                <w:szCs w:val="19"/>
              </w:rPr>
              <w:t xml:space="preserve">彻底，符 合医务人 </w:t>
            </w:r>
            <w:r>
              <w:rPr>
                <w:spacing w:val="4"/>
                <w:sz w:val="19"/>
                <w:szCs w:val="19"/>
              </w:rPr>
              <w:t>员手卫生</w:t>
            </w:r>
            <w:r>
              <w:rPr>
                <w:spacing w:val="1"/>
                <w:sz w:val="19"/>
                <w:szCs w:val="19"/>
              </w:rPr>
              <w:t xml:space="preserve"> </w:t>
            </w:r>
            <w:r>
              <w:rPr>
                <w:spacing w:val="-2"/>
                <w:sz w:val="19"/>
                <w:szCs w:val="19"/>
              </w:rPr>
              <w:t>规范。</w:t>
            </w:r>
          </w:p>
          <w:p w14:paraId="248A62F2">
            <w:pPr>
              <w:pStyle w:val="6"/>
              <w:spacing w:before="11" w:line="216" w:lineRule="auto"/>
              <w:ind w:left="29" w:right="44"/>
              <w:rPr>
                <w:sz w:val="19"/>
                <w:szCs w:val="19"/>
              </w:rPr>
            </w:pPr>
            <w:r>
              <w:rPr>
                <w:spacing w:val="-2"/>
                <w:sz w:val="19"/>
                <w:szCs w:val="19"/>
              </w:rPr>
              <w:t>2.建议10</w:t>
            </w:r>
            <w:r>
              <w:rPr>
                <w:spacing w:val="1"/>
                <w:sz w:val="19"/>
                <w:szCs w:val="19"/>
              </w:rPr>
              <w:t xml:space="preserve"> </w:t>
            </w:r>
            <w:r>
              <w:rPr>
                <w:spacing w:val="-3"/>
                <w:sz w:val="19"/>
                <w:szCs w:val="19"/>
              </w:rPr>
              <w:t>分钟内完</w:t>
            </w:r>
            <w:r>
              <w:rPr>
                <w:spacing w:val="1"/>
                <w:sz w:val="19"/>
                <w:szCs w:val="19"/>
              </w:rPr>
              <w:t xml:space="preserve"> </w:t>
            </w:r>
            <w:r>
              <w:rPr>
                <w:spacing w:val="2"/>
                <w:sz w:val="19"/>
                <w:szCs w:val="19"/>
              </w:rPr>
              <w:t>成。</w:t>
            </w:r>
          </w:p>
        </w:tc>
      </w:tr>
    </w:tbl>
    <w:p w14:paraId="28E44963">
      <w:pPr>
        <w:pStyle w:val="2"/>
        <w:spacing w:line="222" w:lineRule="exact"/>
        <w:rPr>
          <w:sz w:val="19"/>
        </w:rPr>
      </w:pPr>
    </w:p>
    <w:p w14:paraId="048E129D">
      <w:pPr>
        <w:spacing w:line="222" w:lineRule="exact"/>
        <w:rPr>
          <w:sz w:val="19"/>
          <w:szCs w:val="19"/>
        </w:rPr>
        <w:sectPr>
          <w:footerReference r:id="rId137" w:type="default"/>
          <w:pgSz w:w="10660" w:h="15080"/>
          <w:pgMar w:top="400" w:right="905" w:bottom="912" w:left="1014" w:header="0" w:footer="741" w:gutter="0"/>
          <w:cols w:space="720" w:num="1"/>
        </w:sectPr>
      </w:pPr>
    </w:p>
    <w:p w14:paraId="6355E2A6">
      <w:pPr>
        <w:spacing w:before="13"/>
      </w:pPr>
    </w:p>
    <w:p w14:paraId="451963C1">
      <w:pPr>
        <w:spacing w:before="12"/>
      </w:pPr>
    </w:p>
    <w:p w14:paraId="1BE49570">
      <w:pPr>
        <w:spacing w:before="12"/>
      </w:pPr>
    </w:p>
    <w:p w14:paraId="581AF711">
      <w:pPr>
        <w:spacing w:before="12"/>
      </w:pPr>
    </w:p>
    <w:tbl>
      <w:tblPr>
        <w:tblStyle w:val="5"/>
        <w:tblW w:w="8723"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474"/>
        <w:gridCol w:w="509"/>
        <w:gridCol w:w="1059"/>
        <w:gridCol w:w="3546"/>
        <w:gridCol w:w="2297"/>
        <w:gridCol w:w="838"/>
      </w:tblGrid>
      <w:tr w14:paraId="53CDA3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5" w:hRule="atLeast"/>
        </w:trPr>
        <w:tc>
          <w:tcPr>
            <w:tcW w:w="474" w:type="dxa"/>
            <w:shd w:val="clear" w:color="auto" w:fill="231F20"/>
            <w:vAlign w:val="top"/>
          </w:tcPr>
          <w:p w14:paraId="78CDFC74">
            <w:pPr>
              <w:pStyle w:val="6"/>
              <w:spacing w:before="81" w:line="207" w:lineRule="auto"/>
              <w:ind w:left="37" w:right="15"/>
              <w:rPr>
                <w:sz w:val="19"/>
                <w:szCs w:val="19"/>
              </w:rPr>
            </w:pPr>
            <w:bookmarkStart w:id="65" w:name="bookmark48"/>
            <w:bookmarkEnd w:id="65"/>
            <w:r>
              <w:rPr>
                <w:b/>
                <w:bCs/>
                <w:color w:val="FFFFFF"/>
                <w:spacing w:val="-7"/>
                <w:sz w:val="19"/>
                <w:szCs w:val="19"/>
              </w:rPr>
              <w:t>测试</w:t>
            </w:r>
            <w:r>
              <w:rPr>
                <w:color w:val="FFFFFF"/>
                <w:sz w:val="19"/>
                <w:szCs w:val="19"/>
              </w:rPr>
              <w:t xml:space="preserve"> </w:t>
            </w:r>
            <w:r>
              <w:rPr>
                <w:b/>
                <w:bCs/>
                <w:color w:val="FFFFFF"/>
                <w:spacing w:val="13"/>
                <w:sz w:val="19"/>
                <w:szCs w:val="19"/>
              </w:rPr>
              <w:t>项目</w:t>
            </w:r>
          </w:p>
        </w:tc>
        <w:tc>
          <w:tcPr>
            <w:tcW w:w="509" w:type="dxa"/>
            <w:vAlign w:val="top"/>
          </w:tcPr>
          <w:p w14:paraId="51276917">
            <w:pPr>
              <w:pStyle w:val="6"/>
              <w:spacing w:before="81" w:line="222" w:lineRule="auto"/>
              <w:ind w:left="53" w:right="73"/>
              <w:rPr>
                <w:sz w:val="19"/>
                <w:szCs w:val="19"/>
              </w:rPr>
            </w:pPr>
            <w:r>
              <w:rPr>
                <w:b/>
                <w:bCs/>
                <w:spacing w:val="-7"/>
                <w:sz w:val="19"/>
                <w:szCs w:val="19"/>
              </w:rPr>
              <w:t>测试</w:t>
            </w:r>
            <w:r>
              <w:rPr>
                <w:sz w:val="19"/>
                <w:szCs w:val="19"/>
              </w:rPr>
              <w:t xml:space="preserve"> </w:t>
            </w:r>
            <w:r>
              <w:rPr>
                <w:b/>
                <w:bCs/>
                <w:spacing w:val="-7"/>
                <w:sz w:val="19"/>
                <w:szCs w:val="19"/>
              </w:rPr>
              <w:t>用具</w:t>
            </w:r>
          </w:p>
        </w:tc>
        <w:tc>
          <w:tcPr>
            <w:tcW w:w="1059" w:type="dxa"/>
            <w:vAlign w:val="top"/>
          </w:tcPr>
          <w:p w14:paraId="10AEB9EC">
            <w:pPr>
              <w:pStyle w:val="6"/>
              <w:spacing w:before="190" w:line="219" w:lineRule="auto"/>
              <w:ind w:left="144"/>
              <w:rPr>
                <w:sz w:val="19"/>
                <w:szCs w:val="19"/>
              </w:rPr>
            </w:pPr>
            <w:r>
              <w:rPr>
                <w:b/>
                <w:bCs/>
                <w:spacing w:val="-4"/>
                <w:sz w:val="19"/>
                <w:szCs w:val="19"/>
              </w:rPr>
              <w:t>测试内容</w:t>
            </w:r>
          </w:p>
        </w:tc>
        <w:tc>
          <w:tcPr>
            <w:tcW w:w="3546" w:type="dxa"/>
            <w:vAlign w:val="top"/>
          </w:tcPr>
          <w:p w14:paraId="5B89E026">
            <w:pPr>
              <w:pStyle w:val="6"/>
              <w:spacing w:before="191" w:line="221" w:lineRule="auto"/>
              <w:ind w:left="1435"/>
              <w:rPr>
                <w:sz w:val="19"/>
                <w:szCs w:val="19"/>
              </w:rPr>
            </w:pPr>
            <w:r>
              <w:rPr>
                <w:b/>
                <w:bCs/>
                <w:spacing w:val="-4"/>
                <w:sz w:val="19"/>
                <w:szCs w:val="19"/>
              </w:rPr>
              <w:t>测试方法</w:t>
            </w:r>
          </w:p>
        </w:tc>
        <w:tc>
          <w:tcPr>
            <w:tcW w:w="2297" w:type="dxa"/>
            <w:vAlign w:val="top"/>
          </w:tcPr>
          <w:p w14:paraId="1CDC85BA">
            <w:pPr>
              <w:pStyle w:val="6"/>
              <w:spacing w:before="190" w:line="219" w:lineRule="auto"/>
              <w:ind w:left="809"/>
              <w:rPr>
                <w:sz w:val="19"/>
                <w:szCs w:val="19"/>
              </w:rPr>
            </w:pPr>
            <w:r>
              <w:rPr>
                <w:b/>
                <w:bCs/>
                <w:spacing w:val="-4"/>
                <w:sz w:val="19"/>
                <w:szCs w:val="19"/>
              </w:rPr>
              <w:t>赋分参考</w:t>
            </w:r>
          </w:p>
        </w:tc>
        <w:tc>
          <w:tcPr>
            <w:tcW w:w="838" w:type="dxa"/>
            <w:vAlign w:val="top"/>
          </w:tcPr>
          <w:p w14:paraId="10D884EF">
            <w:pPr>
              <w:pStyle w:val="6"/>
              <w:spacing w:before="80" w:line="208" w:lineRule="auto"/>
              <w:ind w:left="222" w:right="233"/>
              <w:rPr>
                <w:sz w:val="19"/>
                <w:szCs w:val="19"/>
              </w:rPr>
            </w:pPr>
            <w:r>
              <w:rPr>
                <w:b/>
                <w:bCs/>
                <w:spacing w:val="-7"/>
                <w:sz w:val="19"/>
                <w:szCs w:val="19"/>
              </w:rPr>
              <w:t>测试</w:t>
            </w:r>
            <w:r>
              <w:rPr>
                <w:sz w:val="19"/>
                <w:szCs w:val="19"/>
              </w:rPr>
              <w:t xml:space="preserve"> </w:t>
            </w:r>
            <w:r>
              <w:rPr>
                <w:b/>
                <w:bCs/>
                <w:spacing w:val="-7"/>
                <w:sz w:val="19"/>
                <w:szCs w:val="19"/>
              </w:rPr>
              <w:t>要求</w:t>
            </w:r>
          </w:p>
        </w:tc>
      </w:tr>
      <w:tr w14:paraId="069EC7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44" w:hRule="atLeast"/>
        </w:trPr>
        <w:tc>
          <w:tcPr>
            <w:tcW w:w="474" w:type="dxa"/>
            <w:vAlign w:val="top"/>
          </w:tcPr>
          <w:p w14:paraId="0E95A06F">
            <w:pPr>
              <w:pStyle w:val="6"/>
              <w:spacing w:before="37" w:line="214" w:lineRule="auto"/>
              <w:jc w:val="right"/>
              <w:rPr>
                <w:sz w:val="19"/>
                <w:szCs w:val="19"/>
              </w:rPr>
            </w:pPr>
            <w:r>
              <w:rPr>
                <w:spacing w:val="-28"/>
                <w:sz w:val="19"/>
                <w:szCs w:val="19"/>
              </w:rPr>
              <w:t>项</w:t>
            </w:r>
            <w:r>
              <w:rPr>
                <w:spacing w:val="-4"/>
                <w:sz w:val="19"/>
                <w:szCs w:val="19"/>
              </w:rPr>
              <w:t xml:space="preserve"> </w:t>
            </w:r>
            <w:r>
              <w:rPr>
                <w:spacing w:val="-28"/>
                <w:sz w:val="19"/>
                <w:szCs w:val="19"/>
              </w:rPr>
              <w:t>目</w:t>
            </w:r>
          </w:p>
          <w:p w14:paraId="18CA93C6">
            <w:pPr>
              <w:pStyle w:val="6"/>
              <w:spacing w:line="204" w:lineRule="auto"/>
              <w:jc w:val="right"/>
              <w:rPr>
                <w:sz w:val="19"/>
                <w:szCs w:val="19"/>
              </w:rPr>
            </w:pPr>
            <w:r>
              <w:rPr>
                <w:spacing w:val="-28"/>
                <w:w w:val="96"/>
                <w:sz w:val="19"/>
                <w:szCs w:val="19"/>
              </w:rPr>
              <w:t>五</w:t>
            </w:r>
            <w:r>
              <w:rPr>
                <w:spacing w:val="24"/>
                <w:sz w:val="19"/>
                <w:szCs w:val="19"/>
              </w:rPr>
              <w:t xml:space="preserve"> </w:t>
            </w:r>
            <w:r>
              <w:rPr>
                <w:spacing w:val="-28"/>
                <w:w w:val="96"/>
                <w:sz w:val="19"/>
                <w:szCs w:val="19"/>
              </w:rPr>
              <w:t>、</w:t>
            </w:r>
          </w:p>
          <w:p w14:paraId="06DB72BE">
            <w:pPr>
              <w:pStyle w:val="6"/>
              <w:spacing w:line="220" w:lineRule="auto"/>
              <w:ind w:left="34"/>
              <w:rPr>
                <w:sz w:val="19"/>
                <w:szCs w:val="19"/>
              </w:rPr>
            </w:pPr>
            <w:r>
              <w:rPr>
                <w:spacing w:val="-3"/>
                <w:sz w:val="19"/>
                <w:szCs w:val="19"/>
              </w:rPr>
              <w:t>戴无</w:t>
            </w:r>
          </w:p>
          <w:p w14:paraId="5163CAD9">
            <w:pPr>
              <w:pStyle w:val="6"/>
              <w:spacing w:before="2" w:line="195" w:lineRule="auto"/>
              <w:ind w:left="34"/>
              <w:rPr>
                <w:sz w:val="19"/>
                <w:szCs w:val="19"/>
              </w:rPr>
            </w:pPr>
            <w:r>
              <w:rPr>
                <w:spacing w:val="-3"/>
                <w:sz w:val="19"/>
                <w:szCs w:val="19"/>
              </w:rPr>
              <w:t>菌手</w:t>
            </w:r>
          </w:p>
          <w:p w14:paraId="79B507B2">
            <w:pPr>
              <w:pStyle w:val="6"/>
              <w:spacing w:line="220" w:lineRule="auto"/>
              <w:ind w:left="134"/>
              <w:rPr>
                <w:sz w:val="19"/>
                <w:szCs w:val="19"/>
              </w:rPr>
            </w:pPr>
            <w:r>
              <w:rPr>
                <w:sz w:val="19"/>
                <w:szCs w:val="19"/>
              </w:rPr>
              <w:t>套</w:t>
            </w:r>
          </w:p>
        </w:tc>
        <w:tc>
          <w:tcPr>
            <w:tcW w:w="509" w:type="dxa"/>
            <w:vAlign w:val="top"/>
          </w:tcPr>
          <w:p w14:paraId="7BDD8A45">
            <w:pPr>
              <w:pStyle w:val="6"/>
              <w:spacing w:before="38" w:line="213" w:lineRule="auto"/>
              <w:ind w:left="11" w:firstLine="33"/>
              <w:jc w:val="both"/>
              <w:rPr>
                <w:sz w:val="19"/>
                <w:szCs w:val="19"/>
              </w:rPr>
            </w:pPr>
            <w:r>
              <w:rPr>
                <w:spacing w:val="-16"/>
                <w:w w:val="90"/>
                <w:sz w:val="19"/>
                <w:szCs w:val="19"/>
              </w:rPr>
              <w:t>一次</w:t>
            </w:r>
            <w:r>
              <w:rPr>
                <w:spacing w:val="1"/>
                <w:sz w:val="19"/>
                <w:szCs w:val="19"/>
              </w:rPr>
              <w:t xml:space="preserve">  </w:t>
            </w:r>
            <w:r>
              <w:rPr>
                <w:spacing w:val="-15"/>
                <w:w w:val="99"/>
                <w:sz w:val="19"/>
                <w:szCs w:val="19"/>
              </w:rPr>
              <w:t>性无</w:t>
            </w:r>
            <w:r>
              <w:rPr>
                <w:sz w:val="19"/>
                <w:szCs w:val="19"/>
              </w:rPr>
              <w:t xml:space="preserve">  </w:t>
            </w:r>
            <w:r>
              <w:rPr>
                <w:spacing w:val="-17"/>
                <w:sz w:val="19"/>
                <w:szCs w:val="19"/>
              </w:rPr>
              <w:t>菌手</w:t>
            </w:r>
            <w:r>
              <w:rPr>
                <w:sz w:val="19"/>
                <w:szCs w:val="19"/>
              </w:rPr>
              <w:t xml:space="preserve">  </w:t>
            </w:r>
            <w:r>
              <w:rPr>
                <w:spacing w:val="-11"/>
                <w:sz w:val="19"/>
                <w:szCs w:val="19"/>
              </w:rPr>
              <w:t>套</w:t>
            </w:r>
            <w:r>
              <w:rPr>
                <w:spacing w:val="33"/>
                <w:w w:val="101"/>
                <w:sz w:val="19"/>
                <w:szCs w:val="19"/>
              </w:rPr>
              <w:t xml:space="preserve"> </w:t>
            </w:r>
            <w:r>
              <w:rPr>
                <w:spacing w:val="-11"/>
                <w:sz w:val="19"/>
                <w:szCs w:val="19"/>
              </w:rPr>
              <w:t>、</w:t>
            </w:r>
            <w:r>
              <w:rPr>
                <w:sz w:val="19"/>
                <w:szCs w:val="19"/>
              </w:rPr>
              <w:t xml:space="preserve"> </w:t>
            </w:r>
            <w:r>
              <w:rPr>
                <w:spacing w:val="-25"/>
                <w:w w:val="98"/>
                <w:sz w:val="19"/>
                <w:szCs w:val="19"/>
              </w:rPr>
              <w:t>弯盘、</w:t>
            </w:r>
            <w:r>
              <w:rPr>
                <w:spacing w:val="3"/>
                <w:sz w:val="19"/>
                <w:szCs w:val="19"/>
              </w:rPr>
              <w:t xml:space="preserve"> </w:t>
            </w:r>
            <w:r>
              <w:rPr>
                <w:spacing w:val="-4"/>
                <w:sz w:val="19"/>
                <w:szCs w:val="19"/>
              </w:rPr>
              <w:t>手消</w:t>
            </w:r>
            <w:r>
              <w:rPr>
                <w:sz w:val="19"/>
                <w:szCs w:val="19"/>
              </w:rPr>
              <w:t xml:space="preserve">  </w:t>
            </w:r>
            <w:r>
              <w:rPr>
                <w:spacing w:val="-8"/>
                <w:sz w:val="19"/>
                <w:szCs w:val="19"/>
              </w:rPr>
              <w:t>毒液</w:t>
            </w:r>
          </w:p>
        </w:tc>
        <w:tc>
          <w:tcPr>
            <w:tcW w:w="1059" w:type="dxa"/>
            <w:vAlign w:val="top"/>
          </w:tcPr>
          <w:p w14:paraId="4E477BAA">
            <w:pPr>
              <w:pStyle w:val="6"/>
              <w:spacing w:before="47" w:line="215" w:lineRule="auto"/>
              <w:ind w:left="41" w:right="47"/>
              <w:jc w:val="both"/>
              <w:rPr>
                <w:sz w:val="19"/>
                <w:szCs w:val="19"/>
              </w:rPr>
            </w:pPr>
            <w:r>
              <w:rPr>
                <w:spacing w:val="1"/>
                <w:sz w:val="19"/>
                <w:szCs w:val="19"/>
              </w:rPr>
              <w:t>1.核对检查</w:t>
            </w:r>
            <w:r>
              <w:rPr>
                <w:spacing w:val="2"/>
                <w:sz w:val="19"/>
                <w:szCs w:val="19"/>
              </w:rPr>
              <w:t xml:space="preserve"> </w:t>
            </w:r>
            <w:r>
              <w:rPr>
                <w:spacing w:val="-2"/>
                <w:sz w:val="19"/>
                <w:szCs w:val="19"/>
              </w:rPr>
              <w:t>2.涂滑石粉</w:t>
            </w:r>
            <w:r>
              <w:rPr>
                <w:spacing w:val="1"/>
                <w:sz w:val="19"/>
                <w:szCs w:val="19"/>
              </w:rPr>
              <w:t xml:space="preserve"> 3.取出手套</w:t>
            </w:r>
            <w:r>
              <w:rPr>
                <w:spacing w:val="2"/>
                <w:sz w:val="19"/>
                <w:szCs w:val="19"/>
              </w:rPr>
              <w:t xml:space="preserve"> </w:t>
            </w:r>
            <w:r>
              <w:rPr>
                <w:spacing w:val="-2"/>
                <w:sz w:val="19"/>
                <w:szCs w:val="19"/>
              </w:rPr>
              <w:t>4.戴上手套</w:t>
            </w:r>
            <w:r>
              <w:rPr>
                <w:spacing w:val="4"/>
                <w:sz w:val="19"/>
                <w:szCs w:val="19"/>
              </w:rPr>
              <w:t xml:space="preserve"> </w:t>
            </w:r>
            <w:r>
              <w:rPr>
                <w:spacing w:val="1"/>
                <w:sz w:val="19"/>
                <w:szCs w:val="19"/>
              </w:rPr>
              <w:t>5.调整手套</w:t>
            </w:r>
            <w:r>
              <w:rPr>
                <w:spacing w:val="2"/>
                <w:sz w:val="19"/>
                <w:szCs w:val="19"/>
              </w:rPr>
              <w:t xml:space="preserve"> </w:t>
            </w:r>
            <w:r>
              <w:rPr>
                <w:spacing w:val="-2"/>
                <w:sz w:val="19"/>
                <w:szCs w:val="19"/>
              </w:rPr>
              <w:t>6.脱去手套</w:t>
            </w:r>
          </w:p>
        </w:tc>
        <w:tc>
          <w:tcPr>
            <w:tcW w:w="3546" w:type="dxa"/>
            <w:vAlign w:val="top"/>
          </w:tcPr>
          <w:p w14:paraId="64DB6648">
            <w:pPr>
              <w:pStyle w:val="6"/>
              <w:spacing w:before="37" w:line="219" w:lineRule="auto"/>
              <w:ind w:left="13"/>
              <w:rPr>
                <w:sz w:val="19"/>
                <w:szCs w:val="19"/>
              </w:rPr>
            </w:pPr>
            <w:r>
              <w:rPr>
                <w:spacing w:val="-1"/>
                <w:sz w:val="19"/>
                <w:szCs w:val="19"/>
              </w:rPr>
              <w:t>1.着装整洁，洗手、修剪指甲、戴口罩。</w:t>
            </w:r>
          </w:p>
          <w:p w14:paraId="17111055">
            <w:pPr>
              <w:pStyle w:val="6"/>
              <w:spacing w:before="212" w:line="211" w:lineRule="auto"/>
              <w:ind w:left="13"/>
              <w:rPr>
                <w:sz w:val="19"/>
                <w:szCs w:val="19"/>
              </w:rPr>
            </w:pPr>
            <w:r>
              <w:rPr>
                <w:spacing w:val="-5"/>
                <w:sz w:val="19"/>
                <w:szCs w:val="19"/>
              </w:rPr>
              <w:t>2.评估：操作环境清洁、宽敞，操作前30</w:t>
            </w:r>
            <w:r>
              <w:rPr>
                <w:spacing w:val="3"/>
                <w:sz w:val="19"/>
                <w:szCs w:val="19"/>
              </w:rPr>
              <w:t xml:space="preserve">   </w:t>
            </w:r>
            <w:r>
              <w:rPr>
                <w:spacing w:val="-5"/>
                <w:sz w:val="19"/>
                <w:szCs w:val="19"/>
              </w:rPr>
              <w:t>分钟停止清扫地面。操作台面清洁、干燥，</w:t>
            </w:r>
            <w:r>
              <w:rPr>
                <w:spacing w:val="6"/>
                <w:sz w:val="19"/>
                <w:szCs w:val="19"/>
              </w:rPr>
              <w:t xml:space="preserve"> </w:t>
            </w:r>
            <w:r>
              <w:rPr>
                <w:spacing w:val="-5"/>
                <w:sz w:val="19"/>
                <w:szCs w:val="19"/>
              </w:rPr>
              <w:t>符合无菌操作要求。</w:t>
            </w:r>
          </w:p>
          <w:p w14:paraId="4771A160">
            <w:pPr>
              <w:pStyle w:val="6"/>
              <w:spacing w:before="1" w:line="218" w:lineRule="auto"/>
              <w:ind w:left="13" w:right="19"/>
              <w:rPr>
                <w:sz w:val="19"/>
                <w:szCs w:val="19"/>
              </w:rPr>
            </w:pPr>
            <w:r>
              <w:rPr>
                <w:spacing w:val="-1"/>
                <w:sz w:val="19"/>
                <w:szCs w:val="19"/>
              </w:rPr>
              <w:t>3.用物准备齐全并检查(无菌物品均在有效</w:t>
            </w:r>
            <w:r>
              <w:rPr>
                <w:spacing w:val="7"/>
                <w:sz w:val="19"/>
                <w:szCs w:val="19"/>
              </w:rPr>
              <w:t xml:space="preserve"> </w:t>
            </w:r>
            <w:r>
              <w:rPr>
                <w:spacing w:val="-1"/>
                <w:sz w:val="19"/>
                <w:szCs w:val="19"/>
              </w:rPr>
              <w:t>期内),摆放合理。</w:t>
            </w:r>
          </w:p>
          <w:p w14:paraId="0DDE6F92">
            <w:pPr>
              <w:spacing w:line="376" w:lineRule="auto"/>
              <w:rPr>
                <w:rFonts w:ascii="Arial"/>
                <w:sz w:val="21"/>
              </w:rPr>
            </w:pPr>
          </w:p>
          <w:p w14:paraId="29874819">
            <w:pPr>
              <w:pStyle w:val="6"/>
              <w:spacing w:before="62" w:line="212" w:lineRule="auto"/>
              <w:ind w:left="13"/>
              <w:rPr>
                <w:sz w:val="19"/>
                <w:szCs w:val="19"/>
              </w:rPr>
            </w:pPr>
            <w:r>
              <w:rPr>
                <w:spacing w:val="-5"/>
                <w:sz w:val="19"/>
                <w:szCs w:val="19"/>
              </w:rPr>
              <w:t>4.戴无菌手套：检查包装、有效期、批号、</w:t>
            </w:r>
            <w:r>
              <w:rPr>
                <w:spacing w:val="11"/>
                <w:sz w:val="19"/>
                <w:szCs w:val="19"/>
              </w:rPr>
              <w:t xml:space="preserve"> </w:t>
            </w:r>
            <w:r>
              <w:rPr>
                <w:spacing w:val="-5"/>
                <w:sz w:val="19"/>
                <w:szCs w:val="19"/>
              </w:rPr>
              <w:t>手套型号。</w:t>
            </w:r>
          </w:p>
          <w:p w14:paraId="418219F7">
            <w:pPr>
              <w:pStyle w:val="6"/>
              <w:spacing w:before="2" w:line="212" w:lineRule="auto"/>
              <w:ind w:left="13"/>
              <w:rPr>
                <w:sz w:val="19"/>
                <w:szCs w:val="19"/>
              </w:rPr>
            </w:pPr>
            <w:r>
              <w:rPr>
                <w:spacing w:val="-5"/>
                <w:sz w:val="19"/>
                <w:szCs w:val="19"/>
              </w:rPr>
              <w:t>5.打开手套包，用滑石粉涂擦双手，将用后</w:t>
            </w:r>
            <w:r>
              <w:rPr>
                <w:spacing w:val="11"/>
                <w:sz w:val="19"/>
                <w:szCs w:val="19"/>
              </w:rPr>
              <w:t xml:space="preserve"> </w:t>
            </w:r>
            <w:r>
              <w:rPr>
                <w:spacing w:val="-1"/>
                <w:sz w:val="19"/>
                <w:szCs w:val="19"/>
              </w:rPr>
              <w:t>滑石粉包放于弯盘内。</w:t>
            </w:r>
          </w:p>
          <w:p w14:paraId="6EB342CE">
            <w:pPr>
              <w:pStyle w:val="6"/>
              <w:spacing w:before="4" w:line="209" w:lineRule="auto"/>
              <w:ind w:left="13"/>
              <w:rPr>
                <w:sz w:val="19"/>
                <w:szCs w:val="19"/>
              </w:rPr>
            </w:pPr>
            <w:r>
              <w:rPr>
                <w:spacing w:val="-5"/>
                <w:sz w:val="19"/>
                <w:szCs w:val="19"/>
              </w:rPr>
              <w:t>6.一手捏住手套袋开口处外面，另一手捏住</w:t>
            </w:r>
            <w:r>
              <w:rPr>
                <w:spacing w:val="11"/>
                <w:sz w:val="19"/>
                <w:szCs w:val="19"/>
              </w:rPr>
              <w:t xml:space="preserve"> </w:t>
            </w:r>
            <w:r>
              <w:rPr>
                <w:spacing w:val="-1"/>
                <w:sz w:val="19"/>
                <w:szCs w:val="19"/>
              </w:rPr>
              <w:t>一只手套的返折部分(手套内面),取出手</w:t>
            </w:r>
          </w:p>
          <w:p w14:paraId="39AFC07A">
            <w:pPr>
              <w:pStyle w:val="6"/>
              <w:spacing w:before="11" w:line="203" w:lineRule="auto"/>
              <w:ind w:left="13"/>
              <w:rPr>
                <w:sz w:val="19"/>
                <w:szCs w:val="19"/>
              </w:rPr>
            </w:pPr>
            <w:r>
              <w:rPr>
                <w:spacing w:val="-1"/>
                <w:sz w:val="19"/>
                <w:szCs w:val="19"/>
              </w:rPr>
              <w:t>套，对准五指戴上。</w:t>
            </w:r>
          </w:p>
          <w:p w14:paraId="7D6A0A7A">
            <w:pPr>
              <w:pStyle w:val="6"/>
              <w:spacing w:before="2" w:line="218" w:lineRule="auto"/>
              <w:ind w:left="13"/>
              <w:rPr>
                <w:sz w:val="19"/>
                <w:szCs w:val="19"/>
              </w:rPr>
            </w:pPr>
            <w:r>
              <w:rPr>
                <w:spacing w:val="-5"/>
                <w:sz w:val="19"/>
                <w:szCs w:val="19"/>
              </w:rPr>
              <w:t>7.再用戴好手套的手插入另一手套返折面内</w:t>
            </w:r>
            <w:r>
              <w:rPr>
                <w:spacing w:val="11"/>
                <w:sz w:val="19"/>
                <w:szCs w:val="19"/>
              </w:rPr>
              <w:t xml:space="preserve"> </w:t>
            </w:r>
            <w:r>
              <w:rPr>
                <w:spacing w:val="-1"/>
                <w:sz w:val="19"/>
                <w:szCs w:val="19"/>
              </w:rPr>
              <w:t>(手套外面),同法将手套戴好。翻手套边</w:t>
            </w:r>
          </w:p>
          <w:p w14:paraId="274E6D2C">
            <w:pPr>
              <w:pStyle w:val="6"/>
              <w:spacing w:before="1" w:line="216" w:lineRule="auto"/>
              <w:ind w:left="13"/>
              <w:rPr>
                <w:sz w:val="19"/>
                <w:szCs w:val="19"/>
              </w:rPr>
            </w:pPr>
            <w:r>
              <w:rPr>
                <w:spacing w:val="-5"/>
                <w:sz w:val="19"/>
                <w:szCs w:val="19"/>
              </w:rPr>
              <w:t>扣套在衣袖外面，双手交叉对合检查是否漏</w:t>
            </w:r>
            <w:r>
              <w:rPr>
                <w:spacing w:val="6"/>
                <w:sz w:val="19"/>
                <w:szCs w:val="19"/>
              </w:rPr>
              <w:t xml:space="preserve"> </w:t>
            </w:r>
            <w:r>
              <w:rPr>
                <w:spacing w:val="-1"/>
                <w:sz w:val="19"/>
                <w:szCs w:val="19"/>
              </w:rPr>
              <w:t>气，并调整手套位置。</w:t>
            </w:r>
          </w:p>
          <w:p w14:paraId="048A81D9">
            <w:pPr>
              <w:pStyle w:val="6"/>
              <w:spacing w:before="204" w:line="216" w:lineRule="auto"/>
              <w:ind w:left="13"/>
              <w:jc w:val="both"/>
              <w:rPr>
                <w:sz w:val="19"/>
                <w:szCs w:val="19"/>
              </w:rPr>
            </w:pPr>
            <w:r>
              <w:rPr>
                <w:spacing w:val="-5"/>
                <w:sz w:val="19"/>
                <w:szCs w:val="19"/>
              </w:rPr>
              <w:t>8.脱手套：戴手套的手捏住另一手套腕部外</w:t>
            </w:r>
            <w:r>
              <w:rPr>
                <w:spacing w:val="11"/>
                <w:sz w:val="19"/>
                <w:szCs w:val="19"/>
              </w:rPr>
              <w:t xml:space="preserve"> </w:t>
            </w:r>
            <w:r>
              <w:rPr>
                <w:spacing w:val="-5"/>
                <w:sz w:val="19"/>
                <w:szCs w:val="19"/>
              </w:rPr>
              <w:t>面，翻转脱下。再以脱下手套的手插入另一</w:t>
            </w:r>
            <w:r>
              <w:rPr>
                <w:spacing w:val="5"/>
                <w:sz w:val="19"/>
                <w:szCs w:val="19"/>
              </w:rPr>
              <w:t xml:space="preserve"> </w:t>
            </w:r>
            <w:r>
              <w:rPr>
                <w:spacing w:val="-5"/>
                <w:sz w:val="19"/>
                <w:szCs w:val="19"/>
              </w:rPr>
              <w:t>手套内面，将其往下翻转脱下。将用过的手</w:t>
            </w:r>
            <w:r>
              <w:rPr>
                <w:spacing w:val="3"/>
                <w:sz w:val="19"/>
                <w:szCs w:val="19"/>
              </w:rPr>
              <w:t xml:space="preserve"> </w:t>
            </w:r>
            <w:r>
              <w:rPr>
                <w:spacing w:val="-5"/>
                <w:sz w:val="19"/>
                <w:szCs w:val="19"/>
              </w:rPr>
              <w:t>套放入医疗垃圾袋内按医疗废物处理。洗手</w:t>
            </w:r>
            <w:r>
              <w:rPr>
                <w:spacing w:val="3"/>
                <w:sz w:val="19"/>
                <w:szCs w:val="19"/>
              </w:rPr>
              <w:t xml:space="preserve"> </w:t>
            </w:r>
            <w:r>
              <w:rPr>
                <w:spacing w:val="-1"/>
                <w:sz w:val="19"/>
                <w:szCs w:val="19"/>
              </w:rPr>
              <w:t>(可口述)。</w:t>
            </w:r>
          </w:p>
        </w:tc>
        <w:tc>
          <w:tcPr>
            <w:tcW w:w="2297" w:type="dxa"/>
            <w:vAlign w:val="top"/>
          </w:tcPr>
          <w:p w14:paraId="281531A7">
            <w:pPr>
              <w:pStyle w:val="6"/>
              <w:spacing w:before="37" w:line="213" w:lineRule="auto"/>
              <w:ind w:left="17"/>
              <w:rPr>
                <w:sz w:val="19"/>
                <w:szCs w:val="19"/>
              </w:rPr>
            </w:pPr>
            <w:r>
              <w:rPr>
                <w:spacing w:val="6"/>
                <w:sz w:val="19"/>
                <w:szCs w:val="19"/>
              </w:rPr>
              <w:t>1.分值8分(不洗手扣3分；</w:t>
            </w:r>
            <w:r>
              <w:rPr>
                <w:sz w:val="19"/>
                <w:szCs w:val="19"/>
              </w:rPr>
              <w:t xml:space="preserve"> </w:t>
            </w:r>
            <w:r>
              <w:rPr>
                <w:spacing w:val="5"/>
                <w:sz w:val="19"/>
                <w:szCs w:val="19"/>
              </w:rPr>
              <w:t>指甲长扣2分)</w:t>
            </w:r>
          </w:p>
          <w:p w14:paraId="56ED1B2B">
            <w:pPr>
              <w:pStyle w:val="6"/>
              <w:spacing w:before="1" w:line="215" w:lineRule="auto"/>
              <w:ind w:left="17"/>
              <w:rPr>
                <w:sz w:val="19"/>
                <w:szCs w:val="19"/>
              </w:rPr>
            </w:pPr>
            <w:r>
              <w:rPr>
                <w:spacing w:val="6"/>
                <w:sz w:val="19"/>
                <w:szCs w:val="19"/>
              </w:rPr>
              <w:t>2.分值7分(未评估扣2分；</w:t>
            </w:r>
            <w:r>
              <w:rPr>
                <w:sz w:val="19"/>
                <w:szCs w:val="19"/>
              </w:rPr>
              <w:t xml:space="preserve"> </w:t>
            </w:r>
            <w:r>
              <w:rPr>
                <w:spacing w:val="3"/>
                <w:sz w:val="19"/>
                <w:szCs w:val="19"/>
              </w:rPr>
              <w:t>评估不全一处扣1分)</w:t>
            </w:r>
          </w:p>
          <w:p w14:paraId="11D1D0B2">
            <w:pPr>
              <w:pStyle w:val="6"/>
              <w:spacing w:before="207" w:line="219" w:lineRule="auto"/>
              <w:ind w:left="17"/>
              <w:rPr>
                <w:sz w:val="19"/>
                <w:szCs w:val="19"/>
              </w:rPr>
            </w:pPr>
            <w:r>
              <w:rPr>
                <w:spacing w:val="-1"/>
                <w:sz w:val="19"/>
                <w:szCs w:val="19"/>
              </w:rPr>
              <w:t>3.分值10分(物品少一件</w:t>
            </w:r>
          </w:p>
          <w:p w14:paraId="409E9696">
            <w:pPr>
              <w:pStyle w:val="6"/>
              <w:spacing w:before="15" w:line="207" w:lineRule="auto"/>
              <w:ind w:left="17"/>
              <w:rPr>
                <w:sz w:val="19"/>
                <w:szCs w:val="19"/>
              </w:rPr>
            </w:pPr>
            <w:r>
              <w:rPr>
                <w:spacing w:val="-1"/>
                <w:sz w:val="19"/>
                <w:szCs w:val="19"/>
              </w:rPr>
              <w:t>或一件不符合要求或无菌物</w:t>
            </w:r>
            <w:r>
              <w:rPr>
                <w:sz w:val="19"/>
                <w:szCs w:val="19"/>
              </w:rPr>
              <w:t xml:space="preserve"> </w:t>
            </w:r>
            <w:r>
              <w:rPr>
                <w:spacing w:val="1"/>
                <w:sz w:val="19"/>
                <w:szCs w:val="19"/>
              </w:rPr>
              <w:t>品无标志扣2分，摆放不合</w:t>
            </w:r>
            <w:r>
              <w:rPr>
                <w:sz w:val="19"/>
                <w:szCs w:val="19"/>
              </w:rPr>
              <w:t xml:space="preserve"> </w:t>
            </w:r>
            <w:r>
              <w:rPr>
                <w:spacing w:val="4"/>
                <w:sz w:val="19"/>
                <w:szCs w:val="19"/>
              </w:rPr>
              <w:t>理酌情扣3-5分)</w:t>
            </w:r>
          </w:p>
          <w:p w14:paraId="420E9BE7">
            <w:pPr>
              <w:pStyle w:val="6"/>
              <w:spacing w:before="2" w:line="218" w:lineRule="auto"/>
              <w:ind w:left="17" w:right="48"/>
              <w:jc w:val="both"/>
              <w:rPr>
                <w:sz w:val="19"/>
                <w:szCs w:val="19"/>
              </w:rPr>
            </w:pPr>
            <w:r>
              <w:rPr>
                <w:spacing w:val="-1"/>
                <w:sz w:val="19"/>
                <w:szCs w:val="19"/>
              </w:rPr>
              <w:t>4.分值20分(漏检查一项各</w:t>
            </w:r>
            <w:r>
              <w:rPr>
                <w:spacing w:val="6"/>
                <w:sz w:val="19"/>
                <w:szCs w:val="19"/>
              </w:rPr>
              <w:t xml:space="preserve"> </w:t>
            </w:r>
            <w:r>
              <w:rPr>
                <w:spacing w:val="2"/>
                <w:sz w:val="19"/>
                <w:szCs w:val="19"/>
              </w:rPr>
              <w:t>扣5分。手套不合适扣5分)</w:t>
            </w:r>
            <w:r>
              <w:rPr>
                <w:spacing w:val="9"/>
                <w:sz w:val="19"/>
                <w:szCs w:val="19"/>
              </w:rPr>
              <w:t xml:space="preserve"> </w:t>
            </w:r>
            <w:r>
              <w:rPr>
                <w:spacing w:val="-1"/>
                <w:sz w:val="19"/>
                <w:szCs w:val="19"/>
              </w:rPr>
              <w:t>5.分值10分(取出手套时</w:t>
            </w:r>
          </w:p>
          <w:p w14:paraId="6B2FA0A4">
            <w:pPr>
              <w:pStyle w:val="6"/>
              <w:spacing w:before="15" w:line="194" w:lineRule="auto"/>
              <w:ind w:left="17"/>
              <w:rPr>
                <w:sz w:val="19"/>
                <w:szCs w:val="19"/>
              </w:rPr>
            </w:pPr>
            <w:r>
              <w:rPr>
                <w:spacing w:val="4"/>
                <w:sz w:val="19"/>
                <w:szCs w:val="19"/>
              </w:rPr>
              <w:t>方法不正确扣5分)</w:t>
            </w:r>
          </w:p>
          <w:p w14:paraId="1CCC9884">
            <w:pPr>
              <w:pStyle w:val="6"/>
              <w:spacing w:before="1" w:line="212" w:lineRule="auto"/>
              <w:ind w:left="26" w:right="283" w:hanging="9"/>
              <w:rPr>
                <w:sz w:val="19"/>
                <w:szCs w:val="19"/>
              </w:rPr>
            </w:pPr>
            <w:r>
              <w:rPr>
                <w:spacing w:val="-1"/>
                <w:sz w:val="19"/>
                <w:szCs w:val="19"/>
              </w:rPr>
              <w:t>6.分值20分(取手套污染</w:t>
            </w:r>
            <w:r>
              <w:rPr>
                <w:spacing w:val="3"/>
                <w:sz w:val="19"/>
                <w:szCs w:val="19"/>
              </w:rPr>
              <w:t xml:space="preserve"> </w:t>
            </w:r>
            <w:r>
              <w:rPr>
                <w:spacing w:val="7"/>
                <w:sz w:val="19"/>
                <w:szCs w:val="19"/>
              </w:rPr>
              <w:t>扣20分)</w:t>
            </w:r>
          </w:p>
          <w:p w14:paraId="703BEF5F">
            <w:pPr>
              <w:pStyle w:val="6"/>
              <w:spacing w:before="211" w:line="216" w:lineRule="auto"/>
              <w:ind w:left="17"/>
              <w:rPr>
                <w:sz w:val="19"/>
                <w:szCs w:val="19"/>
              </w:rPr>
            </w:pPr>
            <w:r>
              <w:rPr>
                <w:spacing w:val="-3"/>
                <w:sz w:val="19"/>
                <w:szCs w:val="19"/>
              </w:rPr>
              <w:t>7.分值20分(戴手套方法不</w:t>
            </w:r>
            <w:r>
              <w:rPr>
                <w:spacing w:val="4"/>
                <w:sz w:val="19"/>
                <w:szCs w:val="19"/>
              </w:rPr>
              <w:t xml:space="preserve">  </w:t>
            </w:r>
            <w:r>
              <w:rPr>
                <w:spacing w:val="-3"/>
                <w:sz w:val="19"/>
                <w:szCs w:val="19"/>
              </w:rPr>
              <w:t>正确、戴不好各扣5分；未</w:t>
            </w:r>
            <w:r>
              <w:rPr>
                <w:spacing w:val="1"/>
                <w:sz w:val="19"/>
                <w:szCs w:val="19"/>
              </w:rPr>
              <w:t xml:space="preserve">  </w:t>
            </w:r>
            <w:r>
              <w:rPr>
                <w:spacing w:val="-2"/>
                <w:sz w:val="19"/>
                <w:szCs w:val="19"/>
              </w:rPr>
              <w:t>翻手套边扣在衣袖外面扣5</w:t>
            </w:r>
            <w:r>
              <w:rPr>
                <w:spacing w:val="3"/>
                <w:sz w:val="19"/>
                <w:szCs w:val="19"/>
              </w:rPr>
              <w:t xml:space="preserve">  </w:t>
            </w:r>
            <w:r>
              <w:rPr>
                <w:spacing w:val="-1"/>
                <w:sz w:val="19"/>
                <w:szCs w:val="19"/>
              </w:rPr>
              <w:t>分；撕破手套、污染手套外</w:t>
            </w:r>
            <w:r>
              <w:rPr>
                <w:sz w:val="19"/>
                <w:szCs w:val="19"/>
              </w:rPr>
              <w:t xml:space="preserve"> </w:t>
            </w:r>
            <w:r>
              <w:rPr>
                <w:spacing w:val="5"/>
                <w:sz w:val="19"/>
                <w:szCs w:val="19"/>
              </w:rPr>
              <w:t>面各扣5分)</w:t>
            </w:r>
          </w:p>
          <w:p w14:paraId="4E4D07E2">
            <w:pPr>
              <w:pStyle w:val="6"/>
              <w:spacing w:line="216" w:lineRule="auto"/>
              <w:ind w:left="17" w:right="190"/>
              <w:jc w:val="both"/>
              <w:rPr>
                <w:sz w:val="19"/>
                <w:szCs w:val="19"/>
              </w:rPr>
            </w:pPr>
            <w:r>
              <w:rPr>
                <w:spacing w:val="-1"/>
                <w:sz w:val="19"/>
                <w:szCs w:val="19"/>
              </w:rPr>
              <w:t>8.分值20分(脱手套方法</w:t>
            </w:r>
            <w:r>
              <w:rPr>
                <w:spacing w:val="1"/>
                <w:sz w:val="19"/>
                <w:szCs w:val="19"/>
              </w:rPr>
              <w:t xml:space="preserve">  </w:t>
            </w:r>
            <w:r>
              <w:rPr>
                <w:spacing w:val="-1"/>
                <w:sz w:val="19"/>
                <w:szCs w:val="19"/>
              </w:rPr>
              <w:t>不正确扣15分。未处理手</w:t>
            </w:r>
            <w:r>
              <w:rPr>
                <w:sz w:val="19"/>
                <w:szCs w:val="19"/>
              </w:rPr>
              <w:t xml:space="preserve"> </w:t>
            </w:r>
            <w:r>
              <w:rPr>
                <w:spacing w:val="3"/>
                <w:sz w:val="19"/>
                <w:szCs w:val="19"/>
              </w:rPr>
              <w:t>套扣2分，未洗手扣3分)</w:t>
            </w:r>
          </w:p>
          <w:p w14:paraId="15FB413F">
            <w:pPr>
              <w:spacing w:line="367" w:lineRule="auto"/>
              <w:rPr>
                <w:rFonts w:ascii="Arial"/>
                <w:sz w:val="21"/>
              </w:rPr>
            </w:pPr>
          </w:p>
          <w:p w14:paraId="20F0B52F">
            <w:pPr>
              <w:pStyle w:val="6"/>
              <w:spacing w:before="63" w:line="218" w:lineRule="auto"/>
              <w:ind w:left="17"/>
              <w:rPr>
                <w:sz w:val="19"/>
                <w:szCs w:val="19"/>
              </w:rPr>
            </w:pPr>
            <w:r>
              <w:rPr>
                <w:spacing w:val="-1"/>
                <w:sz w:val="19"/>
                <w:szCs w:val="19"/>
              </w:rPr>
              <w:t>9.操作后评价：分值10分</w:t>
            </w:r>
          </w:p>
          <w:p w14:paraId="4380A4EB">
            <w:pPr>
              <w:pStyle w:val="6"/>
              <w:spacing w:before="17" w:line="203" w:lineRule="auto"/>
              <w:ind w:left="17" w:right="11" w:firstLine="69"/>
              <w:rPr>
                <w:sz w:val="19"/>
                <w:szCs w:val="19"/>
              </w:rPr>
            </w:pPr>
            <w:r>
              <w:rPr>
                <w:sz w:val="19"/>
                <w:szCs w:val="19"/>
              </w:rPr>
              <w:t>(未按消毒技术规范要求处</w:t>
            </w:r>
            <w:r>
              <w:rPr>
                <w:spacing w:val="2"/>
                <w:sz w:val="19"/>
                <w:szCs w:val="19"/>
              </w:rPr>
              <w:t xml:space="preserve"> </w:t>
            </w:r>
            <w:r>
              <w:rPr>
                <w:spacing w:val="-1"/>
                <w:sz w:val="19"/>
                <w:szCs w:val="19"/>
              </w:rPr>
              <w:t>理使用后物品扣2分。无菌</w:t>
            </w:r>
            <w:r>
              <w:rPr>
                <w:sz w:val="19"/>
                <w:szCs w:val="19"/>
              </w:rPr>
              <w:t xml:space="preserve">  </w:t>
            </w:r>
            <w:r>
              <w:rPr>
                <w:spacing w:val="-1"/>
                <w:sz w:val="19"/>
                <w:szCs w:val="19"/>
              </w:rPr>
              <w:t>观念不强扣5分。操作不熟</w:t>
            </w:r>
            <w:r>
              <w:rPr>
                <w:spacing w:val="1"/>
                <w:sz w:val="19"/>
                <w:szCs w:val="19"/>
              </w:rPr>
              <w:t xml:space="preserve">  </w:t>
            </w:r>
            <w:r>
              <w:rPr>
                <w:spacing w:val="8"/>
                <w:sz w:val="19"/>
                <w:szCs w:val="19"/>
              </w:rPr>
              <w:t>练扣3分)</w:t>
            </w:r>
          </w:p>
        </w:tc>
        <w:tc>
          <w:tcPr>
            <w:tcW w:w="838" w:type="dxa"/>
            <w:vAlign w:val="top"/>
          </w:tcPr>
          <w:p w14:paraId="7CC2CCB2">
            <w:pPr>
              <w:pStyle w:val="6"/>
              <w:spacing w:before="23" w:line="215" w:lineRule="auto"/>
              <w:ind w:left="20" w:firstLine="9"/>
              <w:rPr>
                <w:sz w:val="19"/>
                <w:szCs w:val="19"/>
              </w:rPr>
            </w:pPr>
            <w:r>
              <w:rPr>
                <w:sz w:val="19"/>
                <w:szCs w:val="19"/>
              </w:rPr>
              <w:t xml:space="preserve">1.严格执 </w:t>
            </w:r>
            <w:r>
              <w:rPr>
                <w:spacing w:val="3"/>
                <w:sz w:val="19"/>
                <w:szCs w:val="19"/>
              </w:rPr>
              <w:t>行无菌操</w:t>
            </w:r>
            <w:r>
              <w:rPr>
                <w:sz w:val="19"/>
                <w:szCs w:val="19"/>
              </w:rPr>
              <w:t xml:space="preserve"> </w:t>
            </w:r>
            <w:r>
              <w:rPr>
                <w:spacing w:val="11"/>
                <w:sz w:val="19"/>
                <w:szCs w:val="19"/>
              </w:rPr>
              <w:t>作原则。</w:t>
            </w:r>
            <w:r>
              <w:rPr>
                <w:spacing w:val="2"/>
                <w:sz w:val="19"/>
                <w:szCs w:val="19"/>
              </w:rPr>
              <w:t xml:space="preserve"> </w:t>
            </w:r>
            <w:r>
              <w:rPr>
                <w:spacing w:val="-2"/>
                <w:sz w:val="19"/>
                <w:szCs w:val="19"/>
              </w:rPr>
              <w:t>戴、脱手</w:t>
            </w:r>
            <w:r>
              <w:rPr>
                <w:sz w:val="19"/>
                <w:szCs w:val="19"/>
              </w:rPr>
              <w:t xml:space="preserve"> </w:t>
            </w:r>
            <w:r>
              <w:rPr>
                <w:spacing w:val="-2"/>
                <w:sz w:val="19"/>
                <w:szCs w:val="19"/>
              </w:rPr>
              <w:t>套方法正</w:t>
            </w:r>
            <w:r>
              <w:rPr>
                <w:spacing w:val="2"/>
                <w:sz w:val="19"/>
                <w:szCs w:val="19"/>
              </w:rPr>
              <w:t xml:space="preserve"> </w:t>
            </w:r>
            <w:r>
              <w:rPr>
                <w:spacing w:val="-2"/>
                <w:sz w:val="19"/>
                <w:szCs w:val="19"/>
              </w:rPr>
              <w:t>确，手套</w:t>
            </w:r>
            <w:r>
              <w:rPr>
                <w:spacing w:val="2"/>
                <w:sz w:val="19"/>
                <w:szCs w:val="19"/>
              </w:rPr>
              <w:t xml:space="preserve"> </w:t>
            </w:r>
            <w:r>
              <w:rPr>
                <w:spacing w:val="-3"/>
                <w:sz w:val="19"/>
                <w:szCs w:val="19"/>
              </w:rPr>
              <w:t>无破损。</w:t>
            </w:r>
            <w:r>
              <w:rPr>
                <w:sz w:val="19"/>
                <w:szCs w:val="19"/>
              </w:rPr>
              <w:t xml:space="preserve"> </w:t>
            </w:r>
            <w:r>
              <w:rPr>
                <w:spacing w:val="-2"/>
                <w:sz w:val="19"/>
                <w:szCs w:val="19"/>
              </w:rPr>
              <w:t>2.建议10</w:t>
            </w:r>
            <w:r>
              <w:rPr>
                <w:spacing w:val="4"/>
                <w:sz w:val="19"/>
                <w:szCs w:val="19"/>
              </w:rPr>
              <w:t xml:space="preserve"> </w:t>
            </w:r>
            <w:r>
              <w:rPr>
                <w:spacing w:val="-2"/>
                <w:sz w:val="19"/>
                <w:szCs w:val="19"/>
              </w:rPr>
              <w:t>分钟内完</w:t>
            </w:r>
            <w:r>
              <w:rPr>
                <w:sz w:val="19"/>
                <w:szCs w:val="19"/>
              </w:rPr>
              <w:t xml:space="preserve"> </w:t>
            </w:r>
            <w:r>
              <w:rPr>
                <w:spacing w:val="-2"/>
                <w:sz w:val="19"/>
                <w:szCs w:val="19"/>
              </w:rPr>
              <w:t>成。</w:t>
            </w:r>
          </w:p>
        </w:tc>
      </w:tr>
      <w:tr w14:paraId="43AFDA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61" w:hRule="atLeast"/>
        </w:trPr>
        <w:tc>
          <w:tcPr>
            <w:tcW w:w="474" w:type="dxa"/>
            <w:vAlign w:val="top"/>
          </w:tcPr>
          <w:p w14:paraId="0EB9B9E0">
            <w:pPr>
              <w:pStyle w:val="6"/>
              <w:spacing w:before="52" w:line="213" w:lineRule="auto"/>
              <w:ind w:left="34"/>
              <w:jc w:val="both"/>
              <w:rPr>
                <w:sz w:val="19"/>
                <w:szCs w:val="19"/>
              </w:rPr>
            </w:pPr>
            <w:r>
              <w:rPr>
                <w:spacing w:val="-2"/>
                <w:sz w:val="19"/>
                <w:szCs w:val="19"/>
              </w:rPr>
              <w:t>项目</w:t>
            </w:r>
            <w:r>
              <w:rPr>
                <w:sz w:val="19"/>
                <w:szCs w:val="19"/>
              </w:rPr>
              <w:t xml:space="preserve"> </w:t>
            </w:r>
            <w:r>
              <w:rPr>
                <w:spacing w:val="-28"/>
                <w:w w:val="96"/>
                <w:sz w:val="19"/>
                <w:szCs w:val="19"/>
              </w:rPr>
              <w:t>六</w:t>
            </w:r>
            <w:r>
              <w:rPr>
                <w:spacing w:val="24"/>
                <w:sz w:val="19"/>
                <w:szCs w:val="19"/>
              </w:rPr>
              <w:t xml:space="preserve"> </w:t>
            </w:r>
            <w:r>
              <w:rPr>
                <w:spacing w:val="-28"/>
                <w:w w:val="96"/>
                <w:sz w:val="19"/>
                <w:szCs w:val="19"/>
              </w:rPr>
              <w:t>、</w:t>
            </w:r>
            <w:r>
              <w:rPr>
                <w:sz w:val="19"/>
                <w:szCs w:val="19"/>
              </w:rPr>
              <w:t xml:space="preserve"> </w:t>
            </w:r>
            <w:r>
              <w:rPr>
                <w:spacing w:val="-14"/>
                <w:w w:val="96"/>
                <w:sz w:val="19"/>
                <w:szCs w:val="19"/>
              </w:rPr>
              <w:t>铺备</w:t>
            </w:r>
            <w:r>
              <w:rPr>
                <w:sz w:val="19"/>
                <w:szCs w:val="19"/>
              </w:rPr>
              <w:t xml:space="preserve">  </w:t>
            </w:r>
            <w:r>
              <w:rPr>
                <w:spacing w:val="-12"/>
                <w:sz w:val="19"/>
                <w:szCs w:val="19"/>
              </w:rPr>
              <w:t>用床</w:t>
            </w:r>
          </w:p>
        </w:tc>
        <w:tc>
          <w:tcPr>
            <w:tcW w:w="509" w:type="dxa"/>
            <w:vAlign w:val="top"/>
          </w:tcPr>
          <w:p w14:paraId="18ACCCBA">
            <w:pPr>
              <w:pStyle w:val="6"/>
              <w:spacing w:before="61" w:line="212" w:lineRule="auto"/>
              <w:ind w:left="11"/>
              <w:jc w:val="both"/>
              <w:rPr>
                <w:sz w:val="19"/>
                <w:szCs w:val="19"/>
              </w:rPr>
            </w:pPr>
            <w:r>
              <w:rPr>
                <w:spacing w:val="-21"/>
                <w:w w:val="96"/>
                <w:sz w:val="19"/>
                <w:szCs w:val="19"/>
              </w:rPr>
              <w:t>床褥、</w:t>
            </w:r>
            <w:r>
              <w:rPr>
                <w:spacing w:val="2"/>
                <w:sz w:val="19"/>
                <w:szCs w:val="19"/>
              </w:rPr>
              <w:t xml:space="preserve"> </w:t>
            </w:r>
            <w:r>
              <w:rPr>
                <w:spacing w:val="-24"/>
                <w:w w:val="98"/>
                <w:sz w:val="19"/>
                <w:szCs w:val="19"/>
              </w:rPr>
              <w:t>大单、</w:t>
            </w:r>
            <w:r>
              <w:rPr>
                <w:sz w:val="19"/>
                <w:szCs w:val="19"/>
              </w:rPr>
              <w:t xml:space="preserve"> </w:t>
            </w:r>
            <w:r>
              <w:rPr>
                <w:spacing w:val="-23"/>
                <w:w w:val="97"/>
                <w:sz w:val="19"/>
                <w:szCs w:val="19"/>
              </w:rPr>
              <w:t>棉胎、</w:t>
            </w:r>
            <w:r>
              <w:rPr>
                <w:spacing w:val="3"/>
                <w:sz w:val="19"/>
                <w:szCs w:val="19"/>
              </w:rPr>
              <w:t xml:space="preserve"> </w:t>
            </w:r>
            <w:r>
              <w:rPr>
                <w:spacing w:val="-23"/>
                <w:w w:val="97"/>
                <w:sz w:val="19"/>
                <w:szCs w:val="19"/>
              </w:rPr>
              <w:t>被套、</w:t>
            </w:r>
            <w:r>
              <w:rPr>
                <w:spacing w:val="3"/>
                <w:sz w:val="19"/>
                <w:szCs w:val="19"/>
              </w:rPr>
              <w:t xml:space="preserve"> </w:t>
            </w:r>
            <w:r>
              <w:rPr>
                <w:spacing w:val="-24"/>
                <w:w w:val="98"/>
                <w:sz w:val="19"/>
                <w:szCs w:val="19"/>
              </w:rPr>
              <w:t>枕芯、</w:t>
            </w:r>
            <w:r>
              <w:rPr>
                <w:sz w:val="19"/>
                <w:szCs w:val="19"/>
              </w:rPr>
              <w:t xml:space="preserve"> </w:t>
            </w:r>
            <w:r>
              <w:rPr>
                <w:spacing w:val="-8"/>
                <w:sz w:val="19"/>
                <w:szCs w:val="19"/>
              </w:rPr>
              <w:t>枕套</w:t>
            </w:r>
          </w:p>
        </w:tc>
        <w:tc>
          <w:tcPr>
            <w:tcW w:w="1059" w:type="dxa"/>
            <w:vAlign w:val="top"/>
          </w:tcPr>
          <w:p w14:paraId="449A52AC">
            <w:pPr>
              <w:pStyle w:val="6"/>
              <w:spacing w:before="54" w:line="213" w:lineRule="auto"/>
              <w:ind w:left="141" w:right="137"/>
              <w:jc w:val="both"/>
              <w:rPr>
                <w:sz w:val="19"/>
                <w:szCs w:val="19"/>
              </w:rPr>
            </w:pPr>
            <w:r>
              <w:rPr>
                <w:spacing w:val="1"/>
                <w:sz w:val="19"/>
                <w:szCs w:val="19"/>
              </w:rPr>
              <w:t xml:space="preserve">1.铺床褥 </w:t>
            </w:r>
            <w:r>
              <w:rPr>
                <w:spacing w:val="-2"/>
                <w:sz w:val="19"/>
                <w:szCs w:val="19"/>
              </w:rPr>
              <w:t>2.铺大单</w:t>
            </w:r>
            <w:r>
              <w:rPr>
                <w:sz w:val="19"/>
                <w:szCs w:val="19"/>
              </w:rPr>
              <w:t xml:space="preserve"> </w:t>
            </w:r>
            <w:r>
              <w:rPr>
                <w:spacing w:val="1"/>
                <w:sz w:val="19"/>
                <w:szCs w:val="19"/>
              </w:rPr>
              <w:t>3.套被套</w:t>
            </w:r>
            <w:r>
              <w:rPr>
                <w:spacing w:val="3"/>
                <w:sz w:val="19"/>
                <w:szCs w:val="19"/>
              </w:rPr>
              <w:t xml:space="preserve"> </w:t>
            </w:r>
            <w:r>
              <w:rPr>
                <w:spacing w:val="-2"/>
                <w:sz w:val="19"/>
                <w:szCs w:val="19"/>
              </w:rPr>
              <w:t>4.套枕套</w:t>
            </w:r>
          </w:p>
        </w:tc>
        <w:tc>
          <w:tcPr>
            <w:tcW w:w="3546" w:type="dxa"/>
            <w:vAlign w:val="top"/>
          </w:tcPr>
          <w:p w14:paraId="529134E8">
            <w:pPr>
              <w:pStyle w:val="6"/>
              <w:spacing w:before="42" w:line="211" w:lineRule="auto"/>
              <w:ind w:left="13"/>
              <w:rPr>
                <w:sz w:val="19"/>
                <w:szCs w:val="19"/>
              </w:rPr>
            </w:pPr>
            <w:r>
              <w:rPr>
                <w:spacing w:val="-1"/>
                <w:sz w:val="19"/>
                <w:szCs w:val="19"/>
              </w:rPr>
              <w:t>1.护士衣帽整洁，洗手(可口述),戴口罩。</w:t>
            </w:r>
            <w:r>
              <w:rPr>
                <w:spacing w:val="7"/>
                <w:sz w:val="19"/>
                <w:szCs w:val="19"/>
              </w:rPr>
              <w:t xml:space="preserve"> </w:t>
            </w:r>
            <w:r>
              <w:rPr>
                <w:spacing w:val="-5"/>
                <w:sz w:val="19"/>
                <w:szCs w:val="19"/>
              </w:rPr>
              <w:t>2.周围环境清洁、整洁，病人进餐或进行治</w:t>
            </w:r>
            <w:r>
              <w:rPr>
                <w:spacing w:val="11"/>
                <w:sz w:val="19"/>
                <w:szCs w:val="19"/>
              </w:rPr>
              <w:t xml:space="preserve"> </w:t>
            </w:r>
            <w:r>
              <w:rPr>
                <w:spacing w:val="-2"/>
                <w:sz w:val="19"/>
                <w:szCs w:val="19"/>
              </w:rPr>
              <w:t>疗时不应铺床。</w:t>
            </w:r>
          </w:p>
          <w:p w14:paraId="40324087">
            <w:pPr>
              <w:pStyle w:val="6"/>
              <w:spacing w:line="219" w:lineRule="auto"/>
              <w:jc w:val="right"/>
              <w:rPr>
                <w:sz w:val="19"/>
                <w:szCs w:val="19"/>
              </w:rPr>
            </w:pPr>
            <w:r>
              <w:rPr>
                <w:spacing w:val="-14"/>
                <w:sz w:val="19"/>
                <w:szCs w:val="19"/>
              </w:rPr>
              <w:t>3.用物准备齐全，按使用顺序放于治疗车上。</w:t>
            </w:r>
          </w:p>
          <w:p w14:paraId="135DA751">
            <w:pPr>
              <w:spacing w:line="379" w:lineRule="auto"/>
              <w:rPr>
                <w:rFonts w:ascii="Arial"/>
                <w:sz w:val="21"/>
              </w:rPr>
            </w:pPr>
          </w:p>
          <w:p w14:paraId="7735DCFF">
            <w:pPr>
              <w:pStyle w:val="6"/>
              <w:spacing w:before="61" w:line="208" w:lineRule="auto"/>
              <w:ind w:left="13"/>
              <w:rPr>
                <w:sz w:val="19"/>
                <w:szCs w:val="19"/>
              </w:rPr>
            </w:pPr>
            <w:r>
              <w:rPr>
                <w:spacing w:val="-5"/>
                <w:sz w:val="19"/>
                <w:szCs w:val="19"/>
              </w:rPr>
              <w:t>4.推车至床旁，再次评估病室环境，向同室</w:t>
            </w:r>
            <w:r>
              <w:rPr>
                <w:spacing w:val="11"/>
                <w:sz w:val="19"/>
                <w:szCs w:val="19"/>
              </w:rPr>
              <w:t xml:space="preserve"> </w:t>
            </w:r>
            <w:r>
              <w:rPr>
                <w:spacing w:val="-1"/>
                <w:sz w:val="19"/>
                <w:szCs w:val="19"/>
              </w:rPr>
              <w:t>病人及家属说明目的，作好解释。</w:t>
            </w:r>
          </w:p>
          <w:p w14:paraId="7536116D">
            <w:pPr>
              <w:pStyle w:val="6"/>
              <w:spacing w:line="216" w:lineRule="auto"/>
              <w:ind w:left="13"/>
              <w:rPr>
                <w:sz w:val="19"/>
                <w:szCs w:val="19"/>
              </w:rPr>
            </w:pPr>
            <w:r>
              <w:rPr>
                <w:sz w:val="19"/>
                <w:szCs w:val="19"/>
              </w:rPr>
              <w:t>5.移床旁桌离床约20cm,移椅至床尾正中</w:t>
            </w:r>
          </w:p>
          <w:p w14:paraId="4892C550">
            <w:pPr>
              <w:pStyle w:val="6"/>
              <w:spacing w:before="8" w:line="211" w:lineRule="auto"/>
              <w:ind w:left="13"/>
              <w:rPr>
                <w:sz w:val="19"/>
                <w:szCs w:val="19"/>
              </w:rPr>
            </w:pPr>
            <w:r>
              <w:rPr>
                <w:spacing w:val="-9"/>
                <w:sz w:val="19"/>
                <w:szCs w:val="19"/>
              </w:rPr>
              <w:t>处，距床约15cm,用物按使用顺序放于椅上。</w:t>
            </w:r>
            <w:r>
              <w:rPr>
                <w:spacing w:val="14"/>
                <w:sz w:val="19"/>
                <w:szCs w:val="19"/>
              </w:rPr>
              <w:t xml:space="preserve"> </w:t>
            </w:r>
            <w:r>
              <w:rPr>
                <w:spacing w:val="-9"/>
                <w:sz w:val="19"/>
                <w:szCs w:val="19"/>
              </w:rPr>
              <w:t>6.检查床垫，必要时翻转床垫、扫床，床垫</w:t>
            </w:r>
            <w:r>
              <w:rPr>
                <w:spacing w:val="4"/>
                <w:sz w:val="19"/>
                <w:szCs w:val="19"/>
              </w:rPr>
              <w:t xml:space="preserve">  </w:t>
            </w:r>
            <w:r>
              <w:rPr>
                <w:spacing w:val="-5"/>
                <w:sz w:val="19"/>
                <w:szCs w:val="19"/>
              </w:rPr>
              <w:t>上缘齐床头。</w:t>
            </w:r>
          </w:p>
          <w:p w14:paraId="4956CF4F">
            <w:pPr>
              <w:pStyle w:val="6"/>
              <w:spacing w:before="1" w:line="216" w:lineRule="auto"/>
              <w:ind w:left="13"/>
              <w:jc w:val="both"/>
              <w:rPr>
                <w:sz w:val="19"/>
                <w:szCs w:val="19"/>
              </w:rPr>
            </w:pPr>
            <w:r>
              <w:rPr>
                <w:spacing w:val="-17"/>
                <w:w w:val="98"/>
                <w:sz w:val="19"/>
                <w:szCs w:val="19"/>
              </w:rPr>
              <w:t>7.将床褥齐床头平铺于床垫上(先床头后床尾)。</w:t>
            </w:r>
            <w:r>
              <w:rPr>
                <w:spacing w:val="2"/>
                <w:sz w:val="19"/>
                <w:szCs w:val="19"/>
              </w:rPr>
              <w:t xml:space="preserve"> </w:t>
            </w:r>
            <w:r>
              <w:rPr>
                <w:spacing w:val="-9"/>
                <w:sz w:val="19"/>
                <w:szCs w:val="19"/>
              </w:rPr>
              <w:t>8.将大单横、纵中线对齐床横、纵中线，将</w:t>
            </w:r>
            <w:r>
              <w:rPr>
                <w:spacing w:val="3"/>
                <w:sz w:val="19"/>
                <w:szCs w:val="19"/>
              </w:rPr>
              <w:t xml:space="preserve">  </w:t>
            </w:r>
            <w:r>
              <w:rPr>
                <w:spacing w:val="-9"/>
                <w:sz w:val="19"/>
                <w:szCs w:val="19"/>
              </w:rPr>
              <w:t>大单分别向床头、床尾散开，再将大单向护</w:t>
            </w:r>
            <w:r>
              <w:rPr>
                <w:spacing w:val="1"/>
                <w:sz w:val="19"/>
                <w:szCs w:val="19"/>
              </w:rPr>
              <w:t xml:space="preserve">  </w:t>
            </w:r>
            <w:r>
              <w:rPr>
                <w:spacing w:val="-5"/>
                <w:sz w:val="19"/>
                <w:szCs w:val="19"/>
              </w:rPr>
              <w:t>士近侧、远侧散开。</w:t>
            </w:r>
          </w:p>
          <w:p w14:paraId="55E365F8">
            <w:pPr>
              <w:pStyle w:val="6"/>
              <w:spacing w:before="1" w:line="208" w:lineRule="auto"/>
              <w:ind w:left="13"/>
              <w:rPr>
                <w:sz w:val="19"/>
                <w:szCs w:val="19"/>
              </w:rPr>
            </w:pPr>
            <w:r>
              <w:rPr>
                <w:spacing w:val="-5"/>
                <w:sz w:val="19"/>
                <w:szCs w:val="19"/>
              </w:rPr>
              <w:t>9.铺床头，右手将床头的床垫托起，左手伸</w:t>
            </w:r>
            <w:r>
              <w:rPr>
                <w:spacing w:val="11"/>
                <w:sz w:val="19"/>
                <w:szCs w:val="19"/>
              </w:rPr>
              <w:t xml:space="preserve"> </w:t>
            </w:r>
            <w:r>
              <w:rPr>
                <w:spacing w:val="-1"/>
                <w:sz w:val="19"/>
                <w:szCs w:val="19"/>
              </w:rPr>
              <w:t>过床中线将大单塞于床垫下。</w:t>
            </w:r>
          </w:p>
          <w:p w14:paraId="0FE335F3">
            <w:pPr>
              <w:pStyle w:val="6"/>
              <w:spacing w:before="4" w:line="219" w:lineRule="auto"/>
              <w:ind w:left="13" w:firstLine="9"/>
              <w:jc w:val="both"/>
              <w:rPr>
                <w:sz w:val="19"/>
                <w:szCs w:val="19"/>
              </w:rPr>
            </w:pPr>
            <w:r>
              <w:rPr>
                <w:spacing w:val="-4"/>
                <w:sz w:val="19"/>
                <w:szCs w:val="19"/>
              </w:rPr>
              <w:t>10.做角：右手在距床头约30cm处，将大单</w:t>
            </w:r>
            <w:r>
              <w:rPr>
                <w:sz w:val="19"/>
                <w:szCs w:val="19"/>
              </w:rPr>
              <w:t xml:space="preserve">  </w:t>
            </w:r>
            <w:r>
              <w:rPr>
                <w:spacing w:val="-10"/>
                <w:sz w:val="19"/>
                <w:szCs w:val="19"/>
              </w:rPr>
              <w:t>边缘向上提起，使其同床边垂直，呈一等边</w:t>
            </w:r>
            <w:r>
              <w:rPr>
                <w:spacing w:val="7"/>
                <w:sz w:val="19"/>
                <w:szCs w:val="19"/>
              </w:rPr>
              <w:t xml:space="preserve">  </w:t>
            </w:r>
            <w:r>
              <w:rPr>
                <w:spacing w:val="-10"/>
                <w:sz w:val="19"/>
                <w:szCs w:val="19"/>
              </w:rPr>
              <w:t>三角形；以床沿为界，将三角形分为两等边</w:t>
            </w:r>
            <w:r>
              <w:rPr>
                <w:spacing w:val="7"/>
                <w:sz w:val="19"/>
                <w:szCs w:val="19"/>
              </w:rPr>
              <w:t xml:space="preserve">  </w:t>
            </w:r>
            <w:r>
              <w:rPr>
                <w:spacing w:val="-5"/>
                <w:sz w:val="19"/>
                <w:szCs w:val="19"/>
              </w:rPr>
              <w:t>三角形；以床沿为界，将三角形分为两半；</w:t>
            </w:r>
          </w:p>
        </w:tc>
        <w:tc>
          <w:tcPr>
            <w:tcW w:w="2297" w:type="dxa"/>
            <w:vAlign w:val="top"/>
          </w:tcPr>
          <w:p w14:paraId="63E912FF">
            <w:pPr>
              <w:pStyle w:val="6"/>
              <w:spacing w:before="43" w:line="219" w:lineRule="auto"/>
              <w:ind w:left="17"/>
              <w:rPr>
                <w:sz w:val="19"/>
                <w:szCs w:val="19"/>
              </w:rPr>
            </w:pPr>
            <w:r>
              <w:rPr>
                <w:spacing w:val="2"/>
                <w:sz w:val="19"/>
                <w:szCs w:val="19"/>
              </w:rPr>
              <w:t>1.分值5分(未洗手扣2分)</w:t>
            </w:r>
          </w:p>
          <w:p w14:paraId="3C309657">
            <w:pPr>
              <w:pStyle w:val="6"/>
              <w:spacing w:before="3" w:line="204" w:lineRule="auto"/>
              <w:ind w:left="17"/>
              <w:rPr>
                <w:sz w:val="19"/>
                <w:szCs w:val="19"/>
              </w:rPr>
            </w:pPr>
            <w:r>
              <w:rPr>
                <w:spacing w:val="1"/>
                <w:sz w:val="19"/>
                <w:szCs w:val="19"/>
              </w:rPr>
              <w:t>2.分值5分(未评估环境扣</w:t>
            </w:r>
          </w:p>
          <w:p w14:paraId="69403DB7">
            <w:pPr>
              <w:pStyle w:val="6"/>
              <w:spacing w:before="1" w:line="209" w:lineRule="auto"/>
              <w:ind w:left="17" w:right="48"/>
              <w:rPr>
                <w:sz w:val="19"/>
                <w:szCs w:val="19"/>
              </w:rPr>
            </w:pPr>
            <w:r>
              <w:rPr>
                <w:spacing w:val="2"/>
                <w:sz w:val="19"/>
                <w:szCs w:val="19"/>
              </w:rPr>
              <w:t>3分；评估不全一处扣1分)</w:t>
            </w:r>
            <w:r>
              <w:rPr>
                <w:spacing w:val="9"/>
                <w:sz w:val="19"/>
                <w:szCs w:val="19"/>
              </w:rPr>
              <w:t xml:space="preserve"> </w:t>
            </w:r>
            <w:r>
              <w:rPr>
                <w:sz w:val="19"/>
                <w:szCs w:val="19"/>
              </w:rPr>
              <w:t>3.分值5分(物品少一件或</w:t>
            </w:r>
          </w:p>
          <w:p w14:paraId="46BA29A6">
            <w:pPr>
              <w:pStyle w:val="6"/>
              <w:spacing w:before="1" w:line="213" w:lineRule="auto"/>
              <w:ind w:left="17"/>
              <w:rPr>
                <w:sz w:val="19"/>
                <w:szCs w:val="19"/>
              </w:rPr>
            </w:pPr>
            <w:r>
              <w:rPr>
                <w:spacing w:val="-1"/>
                <w:sz w:val="19"/>
                <w:szCs w:val="19"/>
              </w:rPr>
              <w:t>折叠方法不正确，未按使用</w:t>
            </w:r>
            <w:r>
              <w:rPr>
                <w:sz w:val="19"/>
                <w:szCs w:val="19"/>
              </w:rPr>
              <w:t xml:space="preserve"> </w:t>
            </w:r>
            <w:r>
              <w:rPr>
                <w:spacing w:val="2"/>
                <w:sz w:val="19"/>
                <w:szCs w:val="19"/>
              </w:rPr>
              <w:t>顺序放置扣1分)</w:t>
            </w:r>
          </w:p>
          <w:p w14:paraId="01B78A20">
            <w:pPr>
              <w:pStyle w:val="6"/>
              <w:spacing w:before="1" w:line="218" w:lineRule="auto"/>
              <w:ind w:left="26" w:right="74"/>
              <w:rPr>
                <w:sz w:val="19"/>
                <w:szCs w:val="19"/>
              </w:rPr>
            </w:pPr>
            <w:r>
              <w:rPr>
                <w:sz w:val="19"/>
                <w:szCs w:val="19"/>
              </w:rPr>
              <w:t xml:space="preserve">4.分值6分(未解释扣3分， </w:t>
            </w:r>
            <w:r>
              <w:rPr>
                <w:spacing w:val="4"/>
                <w:sz w:val="19"/>
                <w:szCs w:val="19"/>
              </w:rPr>
              <w:t>未再次评估扣3分)</w:t>
            </w:r>
          </w:p>
          <w:p w14:paraId="45A593FB">
            <w:pPr>
              <w:pStyle w:val="6"/>
              <w:spacing w:before="1" w:line="213" w:lineRule="auto"/>
              <w:ind w:left="17"/>
              <w:rPr>
                <w:sz w:val="19"/>
                <w:szCs w:val="19"/>
              </w:rPr>
            </w:pPr>
            <w:r>
              <w:rPr>
                <w:spacing w:val="-1"/>
                <w:sz w:val="19"/>
                <w:szCs w:val="19"/>
              </w:rPr>
              <w:t>5.分值6分(未移开床旁桌、</w:t>
            </w:r>
            <w:r>
              <w:rPr>
                <w:spacing w:val="2"/>
                <w:sz w:val="19"/>
                <w:szCs w:val="19"/>
              </w:rPr>
              <w:t xml:space="preserve"> </w:t>
            </w:r>
            <w:r>
              <w:rPr>
                <w:spacing w:val="-3"/>
                <w:sz w:val="19"/>
                <w:szCs w:val="19"/>
              </w:rPr>
              <w:t>床尾椅各扣3分)</w:t>
            </w:r>
          </w:p>
          <w:p w14:paraId="6DE2AC6E">
            <w:pPr>
              <w:pStyle w:val="6"/>
              <w:spacing w:line="219" w:lineRule="auto"/>
              <w:ind w:left="17"/>
              <w:rPr>
                <w:sz w:val="19"/>
                <w:szCs w:val="19"/>
              </w:rPr>
            </w:pPr>
            <w:r>
              <w:rPr>
                <w:spacing w:val="1"/>
                <w:sz w:val="19"/>
                <w:szCs w:val="19"/>
              </w:rPr>
              <w:t>6.分值6分(未翻转床垫扣</w:t>
            </w:r>
          </w:p>
          <w:p w14:paraId="52592D15">
            <w:pPr>
              <w:pStyle w:val="6"/>
              <w:spacing w:before="5" w:line="194" w:lineRule="auto"/>
              <w:ind w:left="17"/>
              <w:rPr>
                <w:sz w:val="19"/>
                <w:szCs w:val="19"/>
              </w:rPr>
            </w:pPr>
            <w:r>
              <w:rPr>
                <w:spacing w:val="3"/>
                <w:sz w:val="19"/>
                <w:szCs w:val="19"/>
              </w:rPr>
              <w:t>3分，未检查床垫扣3分)</w:t>
            </w:r>
          </w:p>
          <w:p w14:paraId="2A45785F">
            <w:pPr>
              <w:pStyle w:val="6"/>
              <w:spacing w:before="2" w:line="218" w:lineRule="auto"/>
              <w:ind w:left="17"/>
              <w:rPr>
                <w:sz w:val="19"/>
                <w:szCs w:val="19"/>
              </w:rPr>
            </w:pPr>
            <w:r>
              <w:rPr>
                <w:spacing w:val="-1"/>
                <w:sz w:val="19"/>
                <w:szCs w:val="19"/>
              </w:rPr>
              <w:t>7.分值4分(未铺床褥扣4分)</w:t>
            </w:r>
            <w:r>
              <w:rPr>
                <w:spacing w:val="3"/>
                <w:sz w:val="19"/>
                <w:szCs w:val="19"/>
              </w:rPr>
              <w:t xml:space="preserve"> </w:t>
            </w:r>
            <w:r>
              <w:rPr>
                <w:spacing w:val="-3"/>
                <w:sz w:val="19"/>
                <w:szCs w:val="19"/>
              </w:rPr>
              <w:t>8.分值4分(大单正面未朝</w:t>
            </w:r>
          </w:p>
          <w:p w14:paraId="550AE7B7">
            <w:pPr>
              <w:pStyle w:val="6"/>
              <w:spacing w:line="220" w:lineRule="auto"/>
              <w:ind w:left="26"/>
              <w:rPr>
                <w:sz w:val="19"/>
                <w:szCs w:val="19"/>
              </w:rPr>
            </w:pPr>
            <w:r>
              <w:rPr>
                <w:spacing w:val="8"/>
                <w:sz w:val="19"/>
                <w:szCs w:val="19"/>
              </w:rPr>
              <w:t>上扣2分)</w:t>
            </w:r>
          </w:p>
          <w:p w14:paraId="7E2EB1C5">
            <w:pPr>
              <w:pStyle w:val="6"/>
              <w:spacing w:before="213" w:line="227" w:lineRule="auto"/>
              <w:ind w:left="17" w:right="188"/>
              <w:rPr>
                <w:sz w:val="19"/>
                <w:szCs w:val="19"/>
              </w:rPr>
            </w:pPr>
            <w:r>
              <w:rPr>
                <w:spacing w:val="-1"/>
                <w:sz w:val="19"/>
                <w:szCs w:val="19"/>
              </w:rPr>
              <w:t>9.分值6分(操作手法不正</w:t>
            </w:r>
            <w:r>
              <w:rPr>
                <w:spacing w:val="3"/>
                <w:sz w:val="19"/>
                <w:szCs w:val="19"/>
              </w:rPr>
              <w:t xml:space="preserve"> </w:t>
            </w:r>
            <w:r>
              <w:rPr>
                <w:spacing w:val="8"/>
                <w:sz w:val="19"/>
                <w:szCs w:val="19"/>
              </w:rPr>
              <w:t>确扣6分)</w:t>
            </w:r>
          </w:p>
        </w:tc>
        <w:tc>
          <w:tcPr>
            <w:tcW w:w="838" w:type="dxa"/>
            <w:vAlign w:val="top"/>
          </w:tcPr>
          <w:p w14:paraId="4F926D0B">
            <w:pPr>
              <w:pStyle w:val="6"/>
              <w:spacing w:before="46" w:line="215" w:lineRule="auto"/>
              <w:ind w:left="20" w:firstLine="8"/>
              <w:rPr>
                <w:sz w:val="19"/>
                <w:szCs w:val="19"/>
              </w:rPr>
            </w:pPr>
            <w:r>
              <w:rPr>
                <w:spacing w:val="-16"/>
                <w:sz w:val="19"/>
                <w:szCs w:val="19"/>
              </w:rPr>
              <w:t>1.操作熟</w:t>
            </w:r>
            <w:r>
              <w:rPr>
                <w:sz w:val="19"/>
                <w:szCs w:val="19"/>
              </w:rPr>
              <w:t xml:space="preserve">  </w:t>
            </w:r>
            <w:r>
              <w:rPr>
                <w:spacing w:val="-19"/>
                <w:w w:val="85"/>
                <w:sz w:val="19"/>
                <w:szCs w:val="19"/>
              </w:rPr>
              <w:t>练，方法正</w:t>
            </w:r>
            <w:r>
              <w:rPr>
                <w:spacing w:val="1"/>
                <w:sz w:val="19"/>
                <w:szCs w:val="19"/>
              </w:rPr>
              <w:t xml:space="preserve">  </w:t>
            </w:r>
            <w:r>
              <w:rPr>
                <w:spacing w:val="-18"/>
                <w:w w:val="84"/>
                <w:sz w:val="19"/>
                <w:szCs w:val="19"/>
              </w:rPr>
              <w:t>确，用物顺</w:t>
            </w:r>
            <w:r>
              <w:rPr>
                <w:spacing w:val="2"/>
                <w:sz w:val="19"/>
                <w:szCs w:val="19"/>
              </w:rPr>
              <w:t xml:space="preserve">  </w:t>
            </w:r>
            <w:r>
              <w:rPr>
                <w:spacing w:val="-15"/>
                <w:w w:val="96"/>
                <w:sz w:val="19"/>
                <w:szCs w:val="19"/>
              </w:rPr>
              <w:t>序摆放正</w:t>
            </w:r>
            <w:r>
              <w:rPr>
                <w:spacing w:val="2"/>
                <w:sz w:val="19"/>
                <w:szCs w:val="19"/>
              </w:rPr>
              <w:t xml:space="preserve">  </w:t>
            </w:r>
            <w:r>
              <w:rPr>
                <w:spacing w:val="-16"/>
                <w:w w:val="83"/>
                <w:sz w:val="19"/>
                <w:szCs w:val="19"/>
              </w:rPr>
              <w:t>确，遵循节</w:t>
            </w:r>
            <w:r>
              <w:rPr>
                <w:spacing w:val="2"/>
                <w:sz w:val="19"/>
                <w:szCs w:val="19"/>
              </w:rPr>
              <w:t xml:space="preserve">  </w:t>
            </w:r>
            <w:r>
              <w:rPr>
                <w:spacing w:val="-23"/>
                <w:w w:val="92"/>
                <w:sz w:val="18"/>
                <w:szCs w:val="18"/>
              </w:rPr>
              <w:t>力原则。病</w:t>
            </w:r>
            <w:r>
              <w:rPr>
                <w:spacing w:val="1"/>
                <w:sz w:val="18"/>
                <w:szCs w:val="18"/>
              </w:rPr>
              <w:t xml:space="preserve">  </w:t>
            </w:r>
            <w:r>
              <w:rPr>
                <w:spacing w:val="-16"/>
                <w:w w:val="83"/>
                <w:sz w:val="19"/>
                <w:szCs w:val="19"/>
              </w:rPr>
              <w:t>床整洁、美</w:t>
            </w:r>
            <w:r>
              <w:rPr>
                <w:spacing w:val="2"/>
                <w:sz w:val="19"/>
                <w:szCs w:val="19"/>
              </w:rPr>
              <w:t xml:space="preserve">  </w:t>
            </w:r>
            <w:r>
              <w:rPr>
                <w:spacing w:val="-17"/>
                <w:w w:val="84"/>
                <w:sz w:val="19"/>
                <w:szCs w:val="19"/>
              </w:rPr>
              <w:t>观，符合使</w:t>
            </w:r>
            <w:r>
              <w:rPr>
                <w:sz w:val="19"/>
                <w:szCs w:val="19"/>
              </w:rPr>
              <w:t xml:space="preserve">  </w:t>
            </w:r>
            <w:r>
              <w:rPr>
                <w:spacing w:val="-25"/>
                <w:w w:val="98"/>
                <w:sz w:val="19"/>
                <w:szCs w:val="19"/>
              </w:rPr>
              <w:t>用、耐用、</w:t>
            </w:r>
            <w:r>
              <w:rPr>
                <w:sz w:val="19"/>
                <w:szCs w:val="19"/>
              </w:rPr>
              <w:t xml:space="preserve"> </w:t>
            </w:r>
            <w:r>
              <w:rPr>
                <w:spacing w:val="-18"/>
                <w:w w:val="84"/>
                <w:sz w:val="19"/>
                <w:szCs w:val="19"/>
              </w:rPr>
              <w:t>舒适、安全</w:t>
            </w:r>
            <w:r>
              <w:rPr>
                <w:spacing w:val="2"/>
                <w:sz w:val="19"/>
                <w:szCs w:val="19"/>
              </w:rPr>
              <w:t xml:space="preserve">  </w:t>
            </w:r>
            <w:r>
              <w:rPr>
                <w:sz w:val="19"/>
                <w:szCs w:val="19"/>
              </w:rPr>
              <w:t xml:space="preserve">的原则。 </w:t>
            </w:r>
            <w:r>
              <w:rPr>
                <w:spacing w:val="-12"/>
                <w:sz w:val="19"/>
                <w:szCs w:val="19"/>
              </w:rPr>
              <w:t>2.建议15</w:t>
            </w:r>
            <w:r>
              <w:rPr>
                <w:spacing w:val="1"/>
                <w:sz w:val="19"/>
                <w:szCs w:val="19"/>
              </w:rPr>
              <w:t xml:space="preserve">  </w:t>
            </w:r>
            <w:r>
              <w:rPr>
                <w:spacing w:val="-22"/>
                <w:sz w:val="19"/>
                <w:szCs w:val="19"/>
              </w:rPr>
              <w:t>分钟内完</w:t>
            </w:r>
            <w:r>
              <w:rPr>
                <w:sz w:val="19"/>
                <w:szCs w:val="19"/>
              </w:rPr>
              <w:t xml:space="preserve">  </w:t>
            </w:r>
            <w:r>
              <w:rPr>
                <w:spacing w:val="-8"/>
                <w:sz w:val="19"/>
                <w:szCs w:val="19"/>
              </w:rPr>
              <w:t>成。</w:t>
            </w:r>
          </w:p>
        </w:tc>
      </w:tr>
    </w:tbl>
    <w:p w14:paraId="267F97FF">
      <w:pPr>
        <w:pStyle w:val="2"/>
        <w:spacing w:line="232" w:lineRule="exact"/>
        <w:rPr>
          <w:sz w:val="20"/>
        </w:rPr>
      </w:pPr>
    </w:p>
    <w:p w14:paraId="5633064A">
      <w:pPr>
        <w:spacing w:line="232" w:lineRule="exact"/>
        <w:rPr>
          <w:sz w:val="20"/>
          <w:szCs w:val="20"/>
        </w:rPr>
        <w:sectPr>
          <w:footerReference r:id="rId138" w:type="default"/>
          <w:pgSz w:w="10660" w:h="15080"/>
          <w:pgMar w:top="400" w:right="1041" w:bottom="912" w:left="809" w:header="0" w:footer="741" w:gutter="0"/>
          <w:cols w:space="720" w:num="1"/>
        </w:sectPr>
      </w:pPr>
    </w:p>
    <w:p w14:paraId="28BC0BC4">
      <w:pPr>
        <w:spacing w:before="10"/>
      </w:pPr>
    </w:p>
    <w:p w14:paraId="46D58B99">
      <w:pPr>
        <w:spacing w:before="10"/>
      </w:pPr>
    </w:p>
    <w:p w14:paraId="4E8569F0">
      <w:pPr>
        <w:spacing w:before="10"/>
      </w:pPr>
    </w:p>
    <w:p w14:paraId="467BD5A6">
      <w:pPr>
        <w:spacing w:before="9"/>
      </w:pPr>
    </w:p>
    <w:tbl>
      <w:tblPr>
        <w:tblStyle w:val="5"/>
        <w:tblW w:w="87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474"/>
        <w:gridCol w:w="499"/>
        <w:gridCol w:w="1049"/>
        <w:gridCol w:w="3566"/>
        <w:gridCol w:w="2287"/>
        <w:gridCol w:w="844"/>
      </w:tblGrid>
      <w:tr w14:paraId="6DB40D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4" w:hRule="atLeast"/>
        </w:trPr>
        <w:tc>
          <w:tcPr>
            <w:tcW w:w="474" w:type="dxa"/>
            <w:shd w:val="clear" w:color="auto" w:fill="231F20"/>
            <w:vAlign w:val="top"/>
          </w:tcPr>
          <w:p w14:paraId="77914185">
            <w:pPr>
              <w:pStyle w:val="6"/>
              <w:spacing w:before="91" w:line="207" w:lineRule="auto"/>
              <w:ind w:left="37" w:right="15"/>
              <w:rPr>
                <w:sz w:val="19"/>
                <w:szCs w:val="19"/>
              </w:rPr>
            </w:pPr>
            <w:r>
              <w:rPr>
                <w:b/>
                <w:bCs/>
                <w:color w:val="FFFFFF"/>
                <w:spacing w:val="-7"/>
                <w:sz w:val="19"/>
                <w:szCs w:val="19"/>
              </w:rPr>
              <w:t>测试</w:t>
            </w:r>
            <w:r>
              <w:rPr>
                <w:color w:val="FFFFFF"/>
                <w:sz w:val="19"/>
                <w:szCs w:val="19"/>
              </w:rPr>
              <w:t xml:space="preserve"> </w:t>
            </w:r>
            <w:r>
              <w:rPr>
                <w:b/>
                <w:bCs/>
                <w:color w:val="FFFFFF"/>
                <w:spacing w:val="13"/>
                <w:sz w:val="19"/>
                <w:szCs w:val="19"/>
              </w:rPr>
              <w:t>项目</w:t>
            </w:r>
          </w:p>
        </w:tc>
        <w:tc>
          <w:tcPr>
            <w:tcW w:w="499" w:type="dxa"/>
            <w:vAlign w:val="top"/>
          </w:tcPr>
          <w:p w14:paraId="7FF9F11D">
            <w:pPr>
              <w:pStyle w:val="6"/>
              <w:spacing w:before="92" w:line="217" w:lineRule="auto"/>
              <w:ind w:left="53" w:right="63"/>
              <w:rPr>
                <w:sz w:val="19"/>
                <w:szCs w:val="19"/>
              </w:rPr>
            </w:pPr>
            <w:r>
              <w:rPr>
                <w:b/>
                <w:bCs/>
                <w:spacing w:val="-7"/>
                <w:sz w:val="19"/>
                <w:szCs w:val="19"/>
              </w:rPr>
              <w:t>测试</w:t>
            </w:r>
            <w:r>
              <w:rPr>
                <w:sz w:val="19"/>
                <w:szCs w:val="19"/>
              </w:rPr>
              <w:t xml:space="preserve"> </w:t>
            </w:r>
            <w:r>
              <w:rPr>
                <w:b/>
                <w:bCs/>
                <w:spacing w:val="-7"/>
                <w:sz w:val="19"/>
                <w:szCs w:val="19"/>
              </w:rPr>
              <w:t>用具</w:t>
            </w:r>
          </w:p>
        </w:tc>
        <w:tc>
          <w:tcPr>
            <w:tcW w:w="1049" w:type="dxa"/>
            <w:vAlign w:val="top"/>
          </w:tcPr>
          <w:p w14:paraId="38D8CD36">
            <w:pPr>
              <w:pStyle w:val="6"/>
              <w:spacing w:before="190" w:line="219" w:lineRule="auto"/>
              <w:ind w:left="194"/>
              <w:rPr>
                <w:sz w:val="19"/>
                <w:szCs w:val="19"/>
              </w:rPr>
            </w:pPr>
            <w:r>
              <w:rPr>
                <w:b/>
                <w:bCs/>
                <w:spacing w:val="-4"/>
                <w:sz w:val="19"/>
                <w:szCs w:val="19"/>
              </w:rPr>
              <w:t>测试内容</w:t>
            </w:r>
          </w:p>
        </w:tc>
        <w:tc>
          <w:tcPr>
            <w:tcW w:w="3566" w:type="dxa"/>
            <w:vAlign w:val="top"/>
          </w:tcPr>
          <w:p w14:paraId="63462A87">
            <w:pPr>
              <w:pStyle w:val="6"/>
              <w:spacing w:before="191" w:line="221" w:lineRule="auto"/>
              <w:ind w:left="1455"/>
              <w:rPr>
                <w:sz w:val="19"/>
                <w:szCs w:val="19"/>
              </w:rPr>
            </w:pPr>
            <w:r>
              <w:rPr>
                <w:b/>
                <w:bCs/>
                <w:spacing w:val="-4"/>
                <w:sz w:val="19"/>
                <w:szCs w:val="19"/>
              </w:rPr>
              <w:t>测试方法</w:t>
            </w:r>
          </w:p>
        </w:tc>
        <w:tc>
          <w:tcPr>
            <w:tcW w:w="2287" w:type="dxa"/>
            <w:vAlign w:val="top"/>
          </w:tcPr>
          <w:p w14:paraId="1A81C470">
            <w:pPr>
              <w:pStyle w:val="6"/>
              <w:spacing w:before="190" w:line="219" w:lineRule="auto"/>
              <w:ind w:left="759"/>
              <w:rPr>
                <w:sz w:val="19"/>
                <w:szCs w:val="19"/>
              </w:rPr>
            </w:pPr>
            <w:r>
              <w:rPr>
                <w:b/>
                <w:bCs/>
                <w:spacing w:val="-4"/>
                <w:sz w:val="19"/>
                <w:szCs w:val="19"/>
              </w:rPr>
              <w:t>赋分参考</w:t>
            </w:r>
          </w:p>
        </w:tc>
        <w:tc>
          <w:tcPr>
            <w:tcW w:w="844" w:type="dxa"/>
            <w:vAlign w:val="top"/>
          </w:tcPr>
          <w:p w14:paraId="374315C5">
            <w:pPr>
              <w:pStyle w:val="6"/>
              <w:spacing w:before="90" w:line="208" w:lineRule="auto"/>
              <w:ind w:left="232" w:right="229"/>
              <w:rPr>
                <w:sz w:val="19"/>
                <w:szCs w:val="19"/>
              </w:rPr>
            </w:pPr>
            <w:r>
              <w:rPr>
                <w:b/>
                <w:bCs/>
                <w:spacing w:val="-7"/>
                <w:sz w:val="19"/>
                <w:szCs w:val="19"/>
              </w:rPr>
              <w:t>测试</w:t>
            </w:r>
            <w:r>
              <w:rPr>
                <w:sz w:val="19"/>
                <w:szCs w:val="19"/>
              </w:rPr>
              <w:t xml:space="preserve"> </w:t>
            </w:r>
            <w:r>
              <w:rPr>
                <w:b/>
                <w:bCs/>
                <w:spacing w:val="-7"/>
                <w:sz w:val="19"/>
                <w:szCs w:val="19"/>
              </w:rPr>
              <w:t>要求</w:t>
            </w:r>
          </w:p>
        </w:tc>
      </w:tr>
      <w:tr w14:paraId="03E379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74" w:hRule="atLeast"/>
        </w:trPr>
        <w:tc>
          <w:tcPr>
            <w:tcW w:w="474" w:type="dxa"/>
            <w:vAlign w:val="top"/>
          </w:tcPr>
          <w:p w14:paraId="49247B02">
            <w:pPr>
              <w:rPr>
                <w:rFonts w:ascii="Arial"/>
                <w:sz w:val="21"/>
              </w:rPr>
            </w:pPr>
          </w:p>
        </w:tc>
        <w:tc>
          <w:tcPr>
            <w:tcW w:w="499" w:type="dxa"/>
            <w:vAlign w:val="top"/>
          </w:tcPr>
          <w:p w14:paraId="4AB75C29">
            <w:pPr>
              <w:rPr>
                <w:rFonts w:ascii="Arial"/>
                <w:sz w:val="21"/>
              </w:rPr>
            </w:pPr>
          </w:p>
        </w:tc>
        <w:tc>
          <w:tcPr>
            <w:tcW w:w="1049" w:type="dxa"/>
            <w:vAlign w:val="top"/>
          </w:tcPr>
          <w:p w14:paraId="1CF3E5C4">
            <w:pPr>
              <w:rPr>
                <w:rFonts w:ascii="Arial"/>
                <w:sz w:val="21"/>
              </w:rPr>
            </w:pPr>
          </w:p>
        </w:tc>
        <w:tc>
          <w:tcPr>
            <w:tcW w:w="3566" w:type="dxa"/>
            <w:vAlign w:val="top"/>
          </w:tcPr>
          <w:p w14:paraId="7F80D819">
            <w:pPr>
              <w:pStyle w:val="6"/>
              <w:spacing w:before="67" w:line="211" w:lineRule="auto"/>
              <w:ind w:left="2" w:firstLine="9"/>
              <w:jc w:val="both"/>
              <w:rPr>
                <w:sz w:val="19"/>
                <w:szCs w:val="19"/>
              </w:rPr>
            </w:pPr>
            <w:r>
              <w:rPr>
                <w:spacing w:val="-7"/>
                <w:sz w:val="19"/>
                <w:szCs w:val="19"/>
              </w:rPr>
              <w:t>上半三角形暂时覆盖于床上，将下半三角形</w:t>
            </w:r>
            <w:r>
              <w:rPr>
                <w:spacing w:val="10"/>
                <w:sz w:val="19"/>
                <w:szCs w:val="19"/>
              </w:rPr>
              <w:t xml:space="preserve"> </w:t>
            </w:r>
            <w:r>
              <w:rPr>
                <w:spacing w:val="-3"/>
                <w:sz w:val="19"/>
                <w:szCs w:val="19"/>
              </w:rPr>
              <w:t>平整地塞于床垫下，再将上半三角形翻下，</w:t>
            </w:r>
            <w:r>
              <w:rPr>
                <w:sz w:val="19"/>
                <w:szCs w:val="19"/>
              </w:rPr>
              <w:t xml:space="preserve"> </w:t>
            </w:r>
            <w:r>
              <w:rPr>
                <w:spacing w:val="-2"/>
                <w:sz w:val="19"/>
                <w:szCs w:val="19"/>
              </w:rPr>
              <w:t>塞于床垫下。</w:t>
            </w:r>
          </w:p>
          <w:p w14:paraId="2408364F">
            <w:pPr>
              <w:pStyle w:val="6"/>
              <w:spacing w:line="219" w:lineRule="auto"/>
              <w:jc w:val="right"/>
              <w:rPr>
                <w:sz w:val="19"/>
                <w:szCs w:val="19"/>
              </w:rPr>
            </w:pPr>
            <w:r>
              <w:rPr>
                <w:spacing w:val="-8"/>
                <w:sz w:val="19"/>
                <w:szCs w:val="19"/>
              </w:rPr>
              <w:t>11.护士移至床尾，拉紧大单。同法铺床尾。</w:t>
            </w:r>
          </w:p>
          <w:p w14:paraId="4CE34955">
            <w:pPr>
              <w:spacing w:line="380" w:lineRule="auto"/>
              <w:rPr>
                <w:rFonts w:ascii="Arial"/>
                <w:sz w:val="21"/>
              </w:rPr>
            </w:pPr>
          </w:p>
          <w:p w14:paraId="04F862FC">
            <w:pPr>
              <w:pStyle w:val="6"/>
              <w:spacing w:before="62" w:line="204" w:lineRule="auto"/>
              <w:ind w:left="2" w:right="1" w:firstLine="30"/>
              <w:rPr>
                <w:sz w:val="19"/>
                <w:szCs w:val="19"/>
              </w:rPr>
            </w:pPr>
            <w:r>
              <w:rPr>
                <w:sz w:val="19"/>
                <w:szCs w:val="19"/>
              </w:rPr>
              <w:t>12.拉紧大单中部，双手掌心向上，平塞于</w:t>
            </w:r>
            <w:r>
              <w:rPr>
                <w:spacing w:val="5"/>
                <w:sz w:val="19"/>
                <w:szCs w:val="19"/>
              </w:rPr>
              <w:t xml:space="preserve"> </w:t>
            </w:r>
            <w:r>
              <w:rPr>
                <w:spacing w:val="1"/>
                <w:sz w:val="19"/>
                <w:szCs w:val="19"/>
              </w:rPr>
              <w:t>床垫下。</w:t>
            </w:r>
          </w:p>
          <w:p w14:paraId="20888A77">
            <w:pPr>
              <w:pStyle w:val="6"/>
              <w:spacing w:line="219" w:lineRule="auto"/>
              <w:jc w:val="right"/>
              <w:rPr>
                <w:sz w:val="19"/>
                <w:szCs w:val="19"/>
              </w:rPr>
            </w:pPr>
            <w:r>
              <w:rPr>
                <w:spacing w:val="-16"/>
                <w:sz w:val="19"/>
                <w:szCs w:val="19"/>
              </w:rPr>
              <w:t>13.转至对侧同法铺对侧床头、床尾及床中</w:t>
            </w:r>
            <w:r>
              <w:rPr>
                <w:spacing w:val="-17"/>
                <w:sz w:val="19"/>
                <w:szCs w:val="19"/>
              </w:rPr>
              <w:t>部。</w:t>
            </w:r>
          </w:p>
          <w:p w14:paraId="4F9E4AA3">
            <w:pPr>
              <w:spacing w:line="293" w:lineRule="auto"/>
              <w:rPr>
                <w:rFonts w:ascii="Arial"/>
                <w:sz w:val="21"/>
              </w:rPr>
            </w:pPr>
          </w:p>
          <w:p w14:paraId="689F4509">
            <w:pPr>
              <w:spacing w:line="294" w:lineRule="auto"/>
              <w:rPr>
                <w:rFonts w:ascii="Arial"/>
                <w:sz w:val="21"/>
              </w:rPr>
            </w:pPr>
          </w:p>
          <w:p w14:paraId="4AB2C134">
            <w:pPr>
              <w:pStyle w:val="6"/>
              <w:spacing w:before="62" w:line="216" w:lineRule="auto"/>
              <w:ind w:left="2"/>
              <w:rPr>
                <w:sz w:val="19"/>
                <w:szCs w:val="19"/>
              </w:rPr>
            </w:pPr>
            <w:r>
              <w:rPr>
                <w:spacing w:val="-1"/>
                <w:sz w:val="19"/>
                <w:szCs w:val="19"/>
              </w:rPr>
              <w:t>14.被套中线与床中线对齐，齐床头放置，</w:t>
            </w:r>
            <w:r>
              <w:rPr>
                <w:spacing w:val="14"/>
                <w:sz w:val="19"/>
                <w:szCs w:val="19"/>
              </w:rPr>
              <w:t xml:space="preserve"> </w:t>
            </w:r>
            <w:r>
              <w:rPr>
                <w:spacing w:val="-3"/>
                <w:sz w:val="19"/>
                <w:szCs w:val="19"/>
              </w:rPr>
              <w:t>被头向上，被套正面向外平铺床上，被套尾</w:t>
            </w:r>
            <w:r>
              <w:rPr>
                <w:sz w:val="19"/>
                <w:szCs w:val="19"/>
              </w:rPr>
              <w:t xml:space="preserve"> </w:t>
            </w:r>
            <w:r>
              <w:rPr>
                <w:spacing w:val="-1"/>
                <w:sz w:val="19"/>
                <w:szCs w:val="19"/>
              </w:rPr>
              <w:t>部开口端上层打开1/3。</w:t>
            </w:r>
          </w:p>
          <w:p w14:paraId="2E536078">
            <w:pPr>
              <w:pStyle w:val="6"/>
              <w:spacing w:before="3" w:line="212" w:lineRule="auto"/>
              <w:ind w:left="2"/>
              <w:rPr>
                <w:sz w:val="19"/>
                <w:szCs w:val="19"/>
              </w:rPr>
            </w:pPr>
            <w:r>
              <w:rPr>
                <w:spacing w:val="-3"/>
                <w:sz w:val="19"/>
                <w:szCs w:val="19"/>
              </w:rPr>
              <w:t>15.将折成“s”形的棉胎放人被套开口处，</w:t>
            </w:r>
            <w:r>
              <w:rPr>
                <w:spacing w:val="5"/>
                <w:sz w:val="19"/>
                <w:szCs w:val="19"/>
              </w:rPr>
              <w:t xml:space="preserve"> </w:t>
            </w:r>
            <w:r>
              <w:rPr>
                <w:spacing w:val="-3"/>
                <w:sz w:val="19"/>
                <w:szCs w:val="19"/>
              </w:rPr>
              <w:t>将棉胎上缘拉至被套封口处，充实被头。</w:t>
            </w:r>
          </w:p>
          <w:p w14:paraId="02216AEF">
            <w:pPr>
              <w:pStyle w:val="6"/>
              <w:spacing w:before="3" w:line="216" w:lineRule="auto"/>
              <w:ind w:left="2" w:firstLine="9"/>
              <w:rPr>
                <w:sz w:val="19"/>
                <w:szCs w:val="19"/>
              </w:rPr>
            </w:pPr>
            <w:r>
              <w:rPr>
                <w:spacing w:val="-3"/>
                <w:sz w:val="19"/>
                <w:szCs w:val="19"/>
              </w:rPr>
              <w:t>16.远侧棉胎角置于被套顶角处，展开对侧</w:t>
            </w:r>
            <w:r>
              <w:rPr>
                <w:spacing w:val="3"/>
                <w:sz w:val="19"/>
                <w:szCs w:val="19"/>
              </w:rPr>
              <w:t xml:space="preserve">  </w:t>
            </w:r>
            <w:r>
              <w:rPr>
                <w:spacing w:val="-3"/>
                <w:sz w:val="19"/>
                <w:szCs w:val="19"/>
              </w:rPr>
              <w:t>棉胎，平铺于被套内。同法展开近侧棉胎。</w:t>
            </w:r>
            <w:r>
              <w:rPr>
                <w:sz w:val="19"/>
                <w:szCs w:val="19"/>
              </w:rPr>
              <w:t xml:space="preserve"> </w:t>
            </w:r>
            <w:r>
              <w:rPr>
                <w:spacing w:val="-3"/>
                <w:sz w:val="19"/>
                <w:szCs w:val="19"/>
              </w:rPr>
              <w:t>17.至床尾拉平棉胎和被套，系带。</w:t>
            </w:r>
          </w:p>
          <w:p w14:paraId="4EE670D5">
            <w:pPr>
              <w:pStyle w:val="6"/>
              <w:spacing w:before="224" w:line="209" w:lineRule="auto"/>
              <w:ind w:left="2" w:right="4" w:firstLine="30"/>
              <w:rPr>
                <w:sz w:val="19"/>
                <w:szCs w:val="19"/>
              </w:rPr>
            </w:pPr>
            <w:r>
              <w:rPr>
                <w:sz w:val="19"/>
                <w:szCs w:val="19"/>
              </w:rPr>
              <w:t>18.将盖被两侧向内折叠与床沿平齐，将尾</w:t>
            </w:r>
            <w:r>
              <w:rPr>
                <w:spacing w:val="2"/>
                <w:sz w:val="19"/>
                <w:szCs w:val="19"/>
              </w:rPr>
              <w:t xml:space="preserve"> </w:t>
            </w:r>
            <w:r>
              <w:rPr>
                <w:sz w:val="19"/>
                <w:szCs w:val="19"/>
              </w:rPr>
              <w:t>端向内折叠，与床尾平齐。</w:t>
            </w:r>
          </w:p>
          <w:p w14:paraId="4A789195">
            <w:pPr>
              <w:pStyle w:val="6"/>
              <w:spacing w:before="1" w:line="216" w:lineRule="auto"/>
              <w:ind w:left="2" w:right="38"/>
              <w:rPr>
                <w:sz w:val="19"/>
                <w:szCs w:val="19"/>
              </w:rPr>
            </w:pPr>
            <w:r>
              <w:rPr>
                <w:spacing w:val="-1"/>
                <w:sz w:val="19"/>
                <w:szCs w:val="19"/>
              </w:rPr>
              <w:t>19.于床尾处套好枕套，系带，开口背门，</w:t>
            </w:r>
            <w:r>
              <w:rPr>
                <w:spacing w:val="18"/>
                <w:sz w:val="19"/>
                <w:szCs w:val="19"/>
              </w:rPr>
              <w:t xml:space="preserve"> </w:t>
            </w:r>
            <w:r>
              <w:rPr>
                <w:sz w:val="19"/>
                <w:szCs w:val="19"/>
              </w:rPr>
              <w:t>平放于床头盖被上。</w:t>
            </w:r>
          </w:p>
          <w:p w14:paraId="74E3C258">
            <w:pPr>
              <w:pStyle w:val="6"/>
              <w:spacing w:before="214" w:line="214" w:lineRule="auto"/>
              <w:ind w:left="2"/>
              <w:rPr>
                <w:sz w:val="19"/>
                <w:szCs w:val="19"/>
              </w:rPr>
            </w:pPr>
            <w:r>
              <w:rPr>
                <w:spacing w:val="1"/>
                <w:sz w:val="19"/>
                <w:szCs w:val="19"/>
              </w:rPr>
              <w:t>20.移回床旁桌床尾椅，保持床单位整洁、</w:t>
            </w:r>
            <w:r>
              <w:rPr>
                <w:spacing w:val="17"/>
                <w:sz w:val="19"/>
                <w:szCs w:val="19"/>
              </w:rPr>
              <w:t xml:space="preserve"> </w:t>
            </w:r>
            <w:r>
              <w:rPr>
                <w:spacing w:val="-1"/>
                <w:sz w:val="19"/>
                <w:szCs w:val="19"/>
              </w:rPr>
              <w:t>美观。</w:t>
            </w:r>
          </w:p>
          <w:p w14:paraId="08D08379">
            <w:pPr>
              <w:pStyle w:val="6"/>
              <w:spacing w:line="220" w:lineRule="auto"/>
              <w:ind w:left="2"/>
              <w:rPr>
                <w:sz w:val="19"/>
                <w:szCs w:val="19"/>
              </w:rPr>
            </w:pPr>
            <w:r>
              <w:rPr>
                <w:sz w:val="19"/>
                <w:szCs w:val="19"/>
              </w:rPr>
              <w:t>21.洗手(可口述)。</w:t>
            </w:r>
          </w:p>
        </w:tc>
        <w:tc>
          <w:tcPr>
            <w:tcW w:w="2287" w:type="dxa"/>
            <w:vAlign w:val="top"/>
          </w:tcPr>
          <w:p w14:paraId="37DB3C28">
            <w:pPr>
              <w:spacing w:line="326" w:lineRule="auto"/>
              <w:rPr>
                <w:rFonts w:ascii="Arial"/>
                <w:sz w:val="21"/>
              </w:rPr>
            </w:pPr>
          </w:p>
          <w:p w14:paraId="799D6F61">
            <w:pPr>
              <w:spacing w:line="326" w:lineRule="auto"/>
              <w:rPr>
                <w:rFonts w:ascii="Arial"/>
                <w:sz w:val="21"/>
              </w:rPr>
            </w:pPr>
          </w:p>
          <w:p w14:paraId="766EE18E">
            <w:pPr>
              <w:pStyle w:val="6"/>
              <w:spacing w:before="62" w:line="215" w:lineRule="auto"/>
              <w:ind w:left="17"/>
              <w:rPr>
                <w:sz w:val="19"/>
                <w:szCs w:val="19"/>
              </w:rPr>
            </w:pPr>
            <w:r>
              <w:rPr>
                <w:sz w:val="19"/>
                <w:szCs w:val="19"/>
              </w:rPr>
              <w:t>11.分值8分(一个床角不</w:t>
            </w:r>
          </w:p>
          <w:p w14:paraId="709C1D76">
            <w:pPr>
              <w:pStyle w:val="6"/>
              <w:spacing w:before="1" w:line="208" w:lineRule="auto"/>
              <w:ind w:left="17" w:right="33" w:firstLine="29"/>
              <w:rPr>
                <w:sz w:val="19"/>
                <w:szCs w:val="19"/>
              </w:rPr>
            </w:pPr>
            <w:r>
              <w:rPr>
                <w:sz w:val="19"/>
                <w:szCs w:val="19"/>
              </w:rPr>
              <w:t>美观扣4分，手法不正确扣</w:t>
            </w:r>
            <w:r>
              <w:rPr>
                <w:spacing w:val="10"/>
                <w:sz w:val="19"/>
                <w:szCs w:val="19"/>
              </w:rPr>
              <w:t xml:space="preserve"> </w:t>
            </w:r>
            <w:r>
              <w:rPr>
                <w:spacing w:val="13"/>
                <w:sz w:val="19"/>
                <w:szCs w:val="19"/>
              </w:rPr>
              <w:t>4分)</w:t>
            </w:r>
          </w:p>
          <w:p w14:paraId="3F376D4B">
            <w:pPr>
              <w:pStyle w:val="6"/>
              <w:spacing w:before="1" w:line="213" w:lineRule="auto"/>
              <w:ind w:left="17" w:right="251" w:firstLine="10"/>
              <w:rPr>
                <w:sz w:val="19"/>
                <w:szCs w:val="19"/>
              </w:rPr>
            </w:pPr>
            <w:r>
              <w:rPr>
                <w:sz w:val="19"/>
                <w:szCs w:val="19"/>
              </w:rPr>
              <w:t>12.分值4分(未拉紧大单</w:t>
            </w:r>
            <w:r>
              <w:rPr>
                <w:spacing w:val="2"/>
                <w:sz w:val="19"/>
                <w:szCs w:val="19"/>
              </w:rPr>
              <w:t xml:space="preserve"> </w:t>
            </w:r>
            <w:r>
              <w:rPr>
                <w:spacing w:val="10"/>
                <w:sz w:val="19"/>
                <w:szCs w:val="19"/>
              </w:rPr>
              <w:t>扣2分)</w:t>
            </w:r>
          </w:p>
          <w:p w14:paraId="797C8FBD">
            <w:pPr>
              <w:pStyle w:val="6"/>
              <w:spacing w:line="218" w:lineRule="auto"/>
              <w:ind w:left="17"/>
              <w:rPr>
                <w:sz w:val="19"/>
                <w:szCs w:val="19"/>
              </w:rPr>
            </w:pPr>
            <w:r>
              <w:rPr>
                <w:sz w:val="19"/>
                <w:szCs w:val="19"/>
              </w:rPr>
              <w:t>13.分值8分(一个床角不</w:t>
            </w:r>
          </w:p>
          <w:p w14:paraId="0ACC831F">
            <w:pPr>
              <w:pStyle w:val="6"/>
              <w:spacing w:before="6" w:line="212" w:lineRule="auto"/>
              <w:ind w:left="17" w:right="33" w:firstLine="29"/>
              <w:rPr>
                <w:sz w:val="19"/>
                <w:szCs w:val="19"/>
              </w:rPr>
            </w:pPr>
            <w:r>
              <w:rPr>
                <w:sz w:val="19"/>
                <w:szCs w:val="19"/>
              </w:rPr>
              <w:t>美观扣4分，手法不正确扣</w:t>
            </w:r>
            <w:r>
              <w:rPr>
                <w:spacing w:val="10"/>
                <w:sz w:val="19"/>
                <w:szCs w:val="19"/>
              </w:rPr>
              <w:t xml:space="preserve"> </w:t>
            </w:r>
            <w:r>
              <w:rPr>
                <w:spacing w:val="13"/>
                <w:sz w:val="19"/>
                <w:szCs w:val="19"/>
              </w:rPr>
              <w:t>4分)</w:t>
            </w:r>
          </w:p>
          <w:p w14:paraId="79D0EAE3">
            <w:pPr>
              <w:pStyle w:val="6"/>
              <w:spacing w:before="213" w:line="226" w:lineRule="auto"/>
              <w:ind w:left="17" w:right="250" w:firstLine="10"/>
              <w:rPr>
                <w:sz w:val="19"/>
                <w:szCs w:val="19"/>
              </w:rPr>
            </w:pPr>
            <w:r>
              <w:rPr>
                <w:sz w:val="19"/>
                <w:szCs w:val="19"/>
              </w:rPr>
              <w:t>14.分值4分(被套正面未</w:t>
            </w:r>
            <w:r>
              <w:rPr>
                <w:spacing w:val="3"/>
                <w:sz w:val="19"/>
                <w:szCs w:val="19"/>
              </w:rPr>
              <w:t xml:space="preserve"> </w:t>
            </w:r>
            <w:r>
              <w:rPr>
                <w:spacing w:val="6"/>
                <w:sz w:val="19"/>
                <w:szCs w:val="19"/>
              </w:rPr>
              <w:t>朝上扣2分)</w:t>
            </w:r>
          </w:p>
          <w:p w14:paraId="3B58B0AD">
            <w:pPr>
              <w:pStyle w:val="6"/>
              <w:spacing w:before="203" w:line="209" w:lineRule="auto"/>
              <w:ind w:left="17" w:right="259"/>
              <w:rPr>
                <w:sz w:val="19"/>
                <w:szCs w:val="19"/>
              </w:rPr>
            </w:pPr>
            <w:r>
              <w:rPr>
                <w:sz w:val="19"/>
                <w:szCs w:val="19"/>
              </w:rPr>
              <w:t>15.分值4分(被套前端不</w:t>
            </w:r>
            <w:r>
              <w:rPr>
                <w:spacing w:val="4"/>
                <w:sz w:val="19"/>
                <w:szCs w:val="19"/>
              </w:rPr>
              <w:t xml:space="preserve"> </w:t>
            </w:r>
            <w:r>
              <w:rPr>
                <w:spacing w:val="6"/>
                <w:sz w:val="19"/>
                <w:szCs w:val="19"/>
              </w:rPr>
              <w:t>充实扣2分)</w:t>
            </w:r>
          </w:p>
          <w:p w14:paraId="76563C20">
            <w:pPr>
              <w:pStyle w:val="6"/>
              <w:spacing w:line="209" w:lineRule="auto"/>
              <w:ind w:left="17" w:right="249" w:firstLine="10"/>
              <w:rPr>
                <w:sz w:val="19"/>
                <w:szCs w:val="19"/>
              </w:rPr>
            </w:pPr>
            <w:r>
              <w:rPr>
                <w:sz w:val="19"/>
                <w:szCs w:val="19"/>
              </w:rPr>
              <w:t>16.分值4分(两侧被角不</w:t>
            </w:r>
            <w:r>
              <w:rPr>
                <w:spacing w:val="4"/>
                <w:sz w:val="19"/>
                <w:szCs w:val="19"/>
              </w:rPr>
              <w:t xml:space="preserve"> </w:t>
            </w:r>
            <w:r>
              <w:rPr>
                <w:spacing w:val="5"/>
                <w:sz w:val="19"/>
                <w:szCs w:val="19"/>
              </w:rPr>
              <w:t>充实各扣2分)</w:t>
            </w:r>
          </w:p>
          <w:p w14:paraId="52C01EEB">
            <w:pPr>
              <w:pStyle w:val="6"/>
              <w:spacing w:before="1" w:line="228" w:lineRule="auto"/>
              <w:ind w:left="17" w:right="250" w:firstLine="10"/>
              <w:rPr>
                <w:sz w:val="19"/>
                <w:szCs w:val="19"/>
              </w:rPr>
            </w:pPr>
            <w:r>
              <w:rPr>
                <w:sz w:val="19"/>
                <w:szCs w:val="19"/>
              </w:rPr>
              <w:t>17.分值4分(被套尾端未</w:t>
            </w:r>
            <w:r>
              <w:rPr>
                <w:spacing w:val="3"/>
                <w:sz w:val="19"/>
                <w:szCs w:val="19"/>
              </w:rPr>
              <w:t xml:space="preserve"> </w:t>
            </w:r>
            <w:r>
              <w:rPr>
                <w:spacing w:val="6"/>
                <w:sz w:val="19"/>
                <w:szCs w:val="19"/>
              </w:rPr>
              <w:t>系带扣2分)</w:t>
            </w:r>
          </w:p>
          <w:p w14:paraId="5F059778">
            <w:pPr>
              <w:pStyle w:val="6"/>
              <w:spacing w:before="1" w:line="211" w:lineRule="auto"/>
              <w:ind w:left="17" w:right="254"/>
              <w:rPr>
                <w:sz w:val="19"/>
                <w:szCs w:val="19"/>
              </w:rPr>
            </w:pPr>
            <w:r>
              <w:rPr>
                <w:sz w:val="19"/>
                <w:szCs w:val="19"/>
              </w:rPr>
              <w:t>18.分值8分(盖被两侧与</w:t>
            </w:r>
            <w:r>
              <w:rPr>
                <w:spacing w:val="9"/>
                <w:sz w:val="19"/>
                <w:szCs w:val="19"/>
              </w:rPr>
              <w:t xml:space="preserve"> </w:t>
            </w:r>
            <w:r>
              <w:rPr>
                <w:spacing w:val="4"/>
                <w:sz w:val="19"/>
                <w:szCs w:val="19"/>
              </w:rPr>
              <w:t>床沿不平齐各扣4分)</w:t>
            </w:r>
          </w:p>
          <w:p w14:paraId="7CAC6A4D">
            <w:pPr>
              <w:pStyle w:val="6"/>
              <w:spacing w:before="3" w:line="205" w:lineRule="auto"/>
              <w:ind w:left="17"/>
              <w:rPr>
                <w:sz w:val="19"/>
                <w:szCs w:val="19"/>
              </w:rPr>
            </w:pPr>
            <w:r>
              <w:rPr>
                <w:sz w:val="19"/>
                <w:szCs w:val="19"/>
              </w:rPr>
              <w:t>19.分值6分(枕角一只不</w:t>
            </w:r>
          </w:p>
          <w:p w14:paraId="1898297F">
            <w:pPr>
              <w:pStyle w:val="6"/>
              <w:spacing w:before="1" w:line="212" w:lineRule="auto"/>
              <w:ind w:left="17" w:right="51" w:firstLine="29"/>
              <w:rPr>
                <w:sz w:val="19"/>
                <w:szCs w:val="19"/>
              </w:rPr>
            </w:pPr>
            <w:r>
              <w:rPr>
                <w:spacing w:val="-1"/>
                <w:sz w:val="19"/>
                <w:szCs w:val="19"/>
              </w:rPr>
              <w:t>饱满扣2分，开口放置错误</w:t>
            </w:r>
            <w:r>
              <w:rPr>
                <w:spacing w:val="4"/>
                <w:sz w:val="19"/>
                <w:szCs w:val="19"/>
              </w:rPr>
              <w:t xml:space="preserve"> </w:t>
            </w:r>
            <w:r>
              <w:rPr>
                <w:spacing w:val="10"/>
                <w:sz w:val="19"/>
                <w:szCs w:val="19"/>
              </w:rPr>
              <w:t>扣4分)</w:t>
            </w:r>
          </w:p>
          <w:p w14:paraId="5C266A09">
            <w:pPr>
              <w:pStyle w:val="6"/>
              <w:spacing w:before="3" w:line="219" w:lineRule="auto"/>
              <w:ind w:left="17"/>
              <w:rPr>
                <w:sz w:val="19"/>
                <w:szCs w:val="19"/>
              </w:rPr>
            </w:pPr>
            <w:r>
              <w:rPr>
                <w:spacing w:val="-1"/>
                <w:sz w:val="19"/>
                <w:szCs w:val="19"/>
              </w:rPr>
              <w:t>20.分值8分(未将床旁桌</w:t>
            </w:r>
          </w:p>
          <w:p w14:paraId="33978933">
            <w:pPr>
              <w:pStyle w:val="6"/>
              <w:spacing w:before="15" w:line="194" w:lineRule="auto"/>
              <w:ind w:left="17"/>
              <w:rPr>
                <w:sz w:val="19"/>
                <w:szCs w:val="19"/>
              </w:rPr>
            </w:pPr>
            <w:r>
              <w:rPr>
                <w:spacing w:val="4"/>
                <w:sz w:val="19"/>
                <w:szCs w:val="19"/>
              </w:rPr>
              <w:t>椅移回原处各扣4分)</w:t>
            </w:r>
          </w:p>
          <w:p w14:paraId="6DC71DD4">
            <w:pPr>
              <w:pStyle w:val="6"/>
              <w:spacing w:before="4" w:line="201" w:lineRule="auto"/>
              <w:ind w:left="17" w:firstLine="29"/>
              <w:rPr>
                <w:sz w:val="19"/>
                <w:szCs w:val="19"/>
              </w:rPr>
            </w:pPr>
            <w:r>
              <w:rPr>
                <w:spacing w:val="1"/>
                <w:sz w:val="19"/>
                <w:szCs w:val="19"/>
              </w:rPr>
              <w:t>21.分值4分(未洗手扣4分)</w:t>
            </w:r>
            <w:r>
              <w:rPr>
                <w:spacing w:val="7"/>
                <w:sz w:val="19"/>
                <w:szCs w:val="19"/>
              </w:rPr>
              <w:t xml:space="preserve"> </w:t>
            </w:r>
            <w:r>
              <w:rPr>
                <w:spacing w:val="4"/>
                <w:sz w:val="19"/>
                <w:szCs w:val="19"/>
              </w:rPr>
              <w:t>22.操作后评价：分值8分</w:t>
            </w:r>
            <w:r>
              <w:rPr>
                <w:spacing w:val="2"/>
                <w:sz w:val="19"/>
                <w:szCs w:val="19"/>
              </w:rPr>
              <w:t xml:space="preserve">  </w:t>
            </w:r>
            <w:r>
              <w:rPr>
                <w:spacing w:val="6"/>
                <w:sz w:val="19"/>
                <w:szCs w:val="19"/>
              </w:rPr>
              <w:t>(操作不熟练扣2分；未注</w:t>
            </w:r>
            <w:r>
              <w:rPr>
                <w:spacing w:val="1"/>
                <w:sz w:val="19"/>
                <w:szCs w:val="19"/>
              </w:rPr>
              <w:t xml:space="preserve">  </w:t>
            </w:r>
            <w:r>
              <w:rPr>
                <w:sz w:val="19"/>
                <w:szCs w:val="19"/>
              </w:rPr>
              <w:t>意节力原则扣2分。床单位</w:t>
            </w:r>
            <w:r>
              <w:rPr>
                <w:spacing w:val="3"/>
                <w:sz w:val="19"/>
                <w:szCs w:val="19"/>
              </w:rPr>
              <w:t xml:space="preserve"> </w:t>
            </w:r>
            <w:r>
              <w:rPr>
                <w:spacing w:val="-2"/>
                <w:sz w:val="19"/>
                <w:szCs w:val="19"/>
              </w:rPr>
              <w:t>平整、舒适、美观，未达到</w:t>
            </w:r>
            <w:r>
              <w:rPr>
                <w:spacing w:val="2"/>
                <w:sz w:val="19"/>
                <w:szCs w:val="19"/>
              </w:rPr>
              <w:t xml:space="preserve"> </w:t>
            </w:r>
            <w:r>
              <w:rPr>
                <w:spacing w:val="5"/>
                <w:sz w:val="19"/>
                <w:szCs w:val="19"/>
              </w:rPr>
              <w:t>要求扣3分)</w:t>
            </w:r>
          </w:p>
        </w:tc>
        <w:tc>
          <w:tcPr>
            <w:tcW w:w="844" w:type="dxa"/>
            <w:vAlign w:val="top"/>
          </w:tcPr>
          <w:p w14:paraId="151CCD8E">
            <w:pPr>
              <w:rPr>
                <w:rFonts w:ascii="Arial"/>
                <w:sz w:val="21"/>
              </w:rPr>
            </w:pPr>
          </w:p>
        </w:tc>
      </w:tr>
      <w:tr w14:paraId="6CFF0E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72" w:hRule="atLeast"/>
        </w:trPr>
        <w:tc>
          <w:tcPr>
            <w:tcW w:w="474" w:type="dxa"/>
            <w:vAlign w:val="top"/>
          </w:tcPr>
          <w:p w14:paraId="6EE917E8">
            <w:pPr>
              <w:pStyle w:val="6"/>
              <w:spacing w:before="65" w:line="220" w:lineRule="auto"/>
              <w:jc w:val="right"/>
              <w:rPr>
                <w:sz w:val="19"/>
                <w:szCs w:val="19"/>
              </w:rPr>
            </w:pPr>
            <w:r>
              <w:rPr>
                <w:spacing w:val="-28"/>
                <w:sz w:val="19"/>
                <w:szCs w:val="19"/>
              </w:rPr>
              <w:t>项</w:t>
            </w:r>
            <w:r>
              <w:rPr>
                <w:spacing w:val="-4"/>
                <w:sz w:val="19"/>
                <w:szCs w:val="19"/>
              </w:rPr>
              <w:t xml:space="preserve"> </w:t>
            </w:r>
            <w:r>
              <w:rPr>
                <w:spacing w:val="-28"/>
                <w:sz w:val="19"/>
                <w:szCs w:val="19"/>
              </w:rPr>
              <w:t>目</w:t>
            </w:r>
          </w:p>
          <w:p w14:paraId="69366AAC">
            <w:pPr>
              <w:pStyle w:val="6"/>
              <w:spacing w:before="4" w:line="192" w:lineRule="auto"/>
              <w:jc w:val="right"/>
              <w:rPr>
                <w:sz w:val="19"/>
                <w:szCs w:val="19"/>
              </w:rPr>
            </w:pPr>
            <w:r>
              <w:rPr>
                <w:spacing w:val="-25"/>
                <w:w w:val="95"/>
                <w:sz w:val="19"/>
                <w:szCs w:val="19"/>
              </w:rPr>
              <w:t>七</w:t>
            </w:r>
            <w:r>
              <w:rPr>
                <w:spacing w:val="21"/>
                <w:sz w:val="19"/>
                <w:szCs w:val="19"/>
              </w:rPr>
              <w:t xml:space="preserve"> </w:t>
            </w:r>
            <w:r>
              <w:rPr>
                <w:spacing w:val="-25"/>
                <w:w w:val="95"/>
                <w:sz w:val="19"/>
                <w:szCs w:val="19"/>
              </w:rPr>
              <w:t>、</w:t>
            </w:r>
          </w:p>
          <w:p w14:paraId="37E9BD7A">
            <w:pPr>
              <w:pStyle w:val="6"/>
              <w:spacing w:line="204" w:lineRule="auto"/>
              <w:ind w:left="35"/>
              <w:rPr>
                <w:sz w:val="19"/>
                <w:szCs w:val="19"/>
              </w:rPr>
            </w:pPr>
            <w:r>
              <w:rPr>
                <w:spacing w:val="6"/>
                <w:sz w:val="19"/>
                <w:szCs w:val="19"/>
              </w:rPr>
              <w:t>氧气</w:t>
            </w:r>
          </w:p>
          <w:p w14:paraId="40BA1001">
            <w:pPr>
              <w:pStyle w:val="6"/>
              <w:spacing w:line="219" w:lineRule="auto"/>
              <w:ind w:left="35"/>
              <w:rPr>
                <w:sz w:val="19"/>
                <w:szCs w:val="19"/>
              </w:rPr>
            </w:pPr>
            <w:r>
              <w:rPr>
                <w:spacing w:val="-3"/>
                <w:sz w:val="19"/>
                <w:szCs w:val="19"/>
              </w:rPr>
              <w:t>筒单</w:t>
            </w:r>
          </w:p>
          <w:p w14:paraId="4ADEE154">
            <w:pPr>
              <w:pStyle w:val="6"/>
              <w:spacing w:before="4" w:line="211" w:lineRule="auto"/>
              <w:ind w:left="35"/>
              <w:rPr>
                <w:sz w:val="19"/>
                <w:szCs w:val="19"/>
              </w:rPr>
            </w:pPr>
            <w:r>
              <w:rPr>
                <w:spacing w:val="-2"/>
                <w:sz w:val="19"/>
                <w:szCs w:val="19"/>
              </w:rPr>
              <w:t>侧鼻</w:t>
            </w:r>
          </w:p>
          <w:p w14:paraId="5CC5347F">
            <w:pPr>
              <w:pStyle w:val="6"/>
              <w:spacing w:before="1" w:line="226" w:lineRule="auto"/>
              <w:ind w:left="135"/>
              <w:rPr>
                <w:sz w:val="19"/>
                <w:szCs w:val="19"/>
              </w:rPr>
            </w:pPr>
            <w:r>
              <w:rPr>
                <w:sz w:val="19"/>
                <w:szCs w:val="19"/>
              </w:rPr>
              <w:t>塞</w:t>
            </w:r>
          </w:p>
          <w:p w14:paraId="161F55A8">
            <w:pPr>
              <w:pStyle w:val="6"/>
              <w:spacing w:line="193" w:lineRule="auto"/>
              <w:ind w:left="35"/>
              <w:rPr>
                <w:sz w:val="19"/>
                <w:szCs w:val="19"/>
              </w:rPr>
            </w:pPr>
            <w:r>
              <w:rPr>
                <w:spacing w:val="-3"/>
                <w:sz w:val="19"/>
                <w:szCs w:val="19"/>
              </w:rPr>
              <w:t>法给</w:t>
            </w:r>
          </w:p>
          <w:p w14:paraId="5D011469">
            <w:pPr>
              <w:pStyle w:val="6"/>
              <w:spacing w:line="218" w:lineRule="auto"/>
              <w:ind w:left="135"/>
              <w:rPr>
                <w:sz w:val="19"/>
                <w:szCs w:val="19"/>
              </w:rPr>
            </w:pPr>
            <w:r>
              <w:rPr>
                <w:sz w:val="19"/>
                <w:szCs w:val="19"/>
              </w:rPr>
              <w:t>氧</w:t>
            </w:r>
          </w:p>
        </w:tc>
        <w:tc>
          <w:tcPr>
            <w:tcW w:w="499" w:type="dxa"/>
            <w:vAlign w:val="top"/>
          </w:tcPr>
          <w:p w14:paraId="38484595">
            <w:pPr>
              <w:pStyle w:val="6"/>
              <w:tabs>
                <w:tab w:val="left" w:pos="121"/>
              </w:tabs>
              <w:spacing w:before="49" w:line="215" w:lineRule="auto"/>
              <w:ind w:left="11" w:firstLine="34"/>
              <w:jc w:val="right"/>
              <w:rPr>
                <w:sz w:val="19"/>
                <w:szCs w:val="19"/>
              </w:rPr>
            </w:pPr>
            <w:r>
              <w:rPr>
                <w:spacing w:val="-17"/>
                <w:sz w:val="19"/>
                <w:szCs w:val="19"/>
              </w:rPr>
              <w:t>1.氧</w:t>
            </w:r>
            <w:r>
              <w:rPr>
                <w:sz w:val="19"/>
                <w:szCs w:val="19"/>
              </w:rPr>
              <w:t xml:space="preserve">  </w:t>
            </w:r>
            <w:r>
              <w:rPr>
                <w:spacing w:val="-15"/>
                <w:sz w:val="19"/>
                <w:szCs w:val="19"/>
              </w:rPr>
              <w:t>气筒</w:t>
            </w:r>
            <w:r>
              <w:rPr>
                <w:sz w:val="19"/>
                <w:szCs w:val="19"/>
              </w:rPr>
              <w:t xml:space="preserve">  </w:t>
            </w:r>
            <w:r>
              <w:rPr>
                <w:spacing w:val="-14"/>
                <w:sz w:val="19"/>
                <w:szCs w:val="19"/>
              </w:rPr>
              <w:t>及氧</w:t>
            </w:r>
            <w:r>
              <w:rPr>
                <w:sz w:val="19"/>
                <w:szCs w:val="19"/>
              </w:rPr>
              <w:t xml:space="preserve">  </w:t>
            </w:r>
            <w:r>
              <w:rPr>
                <w:spacing w:val="-15"/>
                <w:sz w:val="19"/>
                <w:szCs w:val="19"/>
              </w:rPr>
              <w:t>气表</w:t>
            </w:r>
            <w:r>
              <w:rPr>
                <w:sz w:val="19"/>
                <w:szCs w:val="19"/>
              </w:rPr>
              <w:t xml:space="preserve">  </w:t>
            </w:r>
            <w:r>
              <w:rPr>
                <w:spacing w:val="-13"/>
                <w:w w:val="99"/>
                <w:sz w:val="19"/>
                <w:szCs w:val="19"/>
              </w:rPr>
              <w:t>装置</w:t>
            </w:r>
            <w:r>
              <w:rPr>
                <w:sz w:val="19"/>
                <w:szCs w:val="19"/>
              </w:rPr>
              <w:t xml:space="preserve">  </w:t>
            </w:r>
            <w:r>
              <w:rPr>
                <w:spacing w:val="19"/>
                <w:sz w:val="19"/>
                <w:szCs w:val="19"/>
              </w:rPr>
              <w:t>1套</w:t>
            </w:r>
            <w:r>
              <w:rPr>
                <w:sz w:val="19"/>
                <w:szCs w:val="19"/>
              </w:rPr>
              <w:t xml:space="preserve">  </w:t>
            </w:r>
            <w:r>
              <w:rPr>
                <w:sz w:val="19"/>
                <w:szCs w:val="19"/>
              </w:rPr>
              <w:tab/>
            </w:r>
            <w:r>
              <w:rPr>
                <w:spacing w:val="-16"/>
                <w:w w:val="97"/>
                <w:sz w:val="19"/>
                <w:szCs w:val="19"/>
              </w:rPr>
              <w:t>(流</w:t>
            </w:r>
            <w:r>
              <w:rPr>
                <w:sz w:val="19"/>
                <w:szCs w:val="19"/>
              </w:rPr>
              <w:t xml:space="preserve">  </w:t>
            </w:r>
            <w:r>
              <w:rPr>
                <w:spacing w:val="-21"/>
                <w:sz w:val="18"/>
                <w:szCs w:val="18"/>
              </w:rPr>
              <w:t>量表、</w:t>
            </w:r>
            <w:r>
              <w:rPr>
                <w:sz w:val="18"/>
                <w:szCs w:val="18"/>
              </w:rPr>
              <w:t xml:space="preserve"> </w:t>
            </w:r>
            <w:r>
              <w:rPr>
                <w:spacing w:val="-14"/>
                <w:sz w:val="19"/>
                <w:szCs w:val="19"/>
              </w:rPr>
              <w:t>湿化</w:t>
            </w:r>
            <w:r>
              <w:rPr>
                <w:sz w:val="19"/>
                <w:szCs w:val="19"/>
              </w:rPr>
              <w:t xml:space="preserve">  </w:t>
            </w:r>
            <w:r>
              <w:rPr>
                <w:spacing w:val="-14"/>
                <w:sz w:val="19"/>
                <w:szCs w:val="19"/>
              </w:rPr>
              <w:t>瓶及</w:t>
            </w:r>
            <w:r>
              <w:rPr>
                <w:sz w:val="19"/>
                <w:szCs w:val="19"/>
              </w:rPr>
              <w:t xml:space="preserve">  </w:t>
            </w:r>
            <w:r>
              <w:rPr>
                <w:spacing w:val="-16"/>
                <w:sz w:val="19"/>
                <w:szCs w:val="19"/>
              </w:rPr>
              <w:t>通气</w:t>
            </w:r>
          </w:p>
          <w:p w14:paraId="581CB2A0">
            <w:pPr>
              <w:pStyle w:val="6"/>
              <w:spacing w:before="1" w:line="215" w:lineRule="auto"/>
              <w:ind w:left="1" w:firstLine="47"/>
              <w:rPr>
                <w:sz w:val="19"/>
                <w:szCs w:val="19"/>
              </w:rPr>
            </w:pPr>
            <w:r>
              <w:rPr>
                <w:spacing w:val="12"/>
                <w:sz w:val="19"/>
                <w:szCs w:val="19"/>
              </w:rPr>
              <w:t>管),</w:t>
            </w:r>
            <w:r>
              <w:rPr>
                <w:spacing w:val="1"/>
                <w:sz w:val="19"/>
                <w:szCs w:val="19"/>
              </w:rPr>
              <w:t xml:space="preserve"> </w:t>
            </w:r>
            <w:r>
              <w:rPr>
                <w:spacing w:val="10"/>
                <w:sz w:val="19"/>
                <w:szCs w:val="19"/>
              </w:rPr>
              <w:t>一次</w:t>
            </w:r>
            <w:r>
              <w:rPr>
                <w:sz w:val="19"/>
                <w:szCs w:val="19"/>
              </w:rPr>
              <w:t xml:space="preserve">  </w:t>
            </w:r>
            <w:r>
              <w:rPr>
                <w:spacing w:val="10"/>
                <w:sz w:val="19"/>
                <w:szCs w:val="19"/>
              </w:rPr>
              <w:t>性吸</w:t>
            </w:r>
            <w:r>
              <w:rPr>
                <w:sz w:val="19"/>
                <w:szCs w:val="19"/>
              </w:rPr>
              <w:t xml:space="preserve">  </w:t>
            </w:r>
            <w:r>
              <w:rPr>
                <w:spacing w:val="11"/>
                <w:sz w:val="19"/>
                <w:szCs w:val="19"/>
              </w:rPr>
              <w:t>氧管</w:t>
            </w:r>
            <w:r>
              <w:rPr>
                <w:sz w:val="19"/>
                <w:szCs w:val="19"/>
              </w:rPr>
              <w:t xml:space="preserve">  </w:t>
            </w:r>
            <w:r>
              <w:rPr>
                <w:spacing w:val="10"/>
                <w:sz w:val="19"/>
                <w:szCs w:val="19"/>
              </w:rPr>
              <w:t>(</w:t>
            </w:r>
            <w:r>
              <w:rPr>
                <w:spacing w:val="-30"/>
                <w:sz w:val="19"/>
                <w:szCs w:val="19"/>
              </w:rPr>
              <w:t xml:space="preserve"> </w:t>
            </w:r>
            <w:r>
              <w:rPr>
                <w:spacing w:val="10"/>
                <w:sz w:val="19"/>
                <w:szCs w:val="19"/>
              </w:rPr>
              <w:t>带</w:t>
            </w:r>
            <w:r>
              <w:rPr>
                <w:sz w:val="19"/>
                <w:szCs w:val="19"/>
              </w:rPr>
              <w:t xml:space="preserve">  </w:t>
            </w:r>
            <w:r>
              <w:rPr>
                <w:spacing w:val="4"/>
                <w:sz w:val="19"/>
                <w:szCs w:val="19"/>
              </w:rPr>
              <w:t>鼻塞)</w:t>
            </w:r>
            <w:r>
              <w:rPr>
                <w:sz w:val="19"/>
                <w:szCs w:val="19"/>
              </w:rPr>
              <w:t xml:space="preserve"> </w:t>
            </w:r>
            <w:r>
              <w:rPr>
                <w:spacing w:val="-2"/>
                <w:sz w:val="19"/>
                <w:szCs w:val="19"/>
              </w:rPr>
              <w:t>2根。</w:t>
            </w:r>
          </w:p>
        </w:tc>
        <w:tc>
          <w:tcPr>
            <w:tcW w:w="1049" w:type="dxa"/>
            <w:vAlign w:val="top"/>
          </w:tcPr>
          <w:p w14:paraId="258F4C36">
            <w:pPr>
              <w:pStyle w:val="6"/>
              <w:spacing w:before="63" w:line="196" w:lineRule="auto"/>
              <w:ind w:left="22"/>
              <w:rPr>
                <w:sz w:val="19"/>
                <w:szCs w:val="19"/>
              </w:rPr>
            </w:pPr>
            <w:r>
              <w:rPr>
                <w:spacing w:val="2"/>
                <w:sz w:val="19"/>
                <w:szCs w:val="19"/>
              </w:rPr>
              <w:t>1.输氧</w:t>
            </w:r>
          </w:p>
          <w:p w14:paraId="53287335">
            <w:pPr>
              <w:pStyle w:val="6"/>
              <w:spacing w:line="220" w:lineRule="auto"/>
              <w:ind w:left="82"/>
              <w:rPr>
                <w:sz w:val="19"/>
                <w:szCs w:val="19"/>
              </w:rPr>
            </w:pPr>
            <w:r>
              <w:rPr>
                <w:sz w:val="19"/>
                <w:szCs w:val="19"/>
              </w:rPr>
              <w:t>(1)清洁</w:t>
            </w:r>
          </w:p>
          <w:p w14:paraId="20DD92D9">
            <w:pPr>
              <w:pStyle w:val="6"/>
              <w:spacing w:before="14" w:line="195" w:lineRule="auto"/>
              <w:ind w:left="102"/>
              <w:rPr>
                <w:sz w:val="19"/>
                <w:szCs w:val="19"/>
              </w:rPr>
            </w:pPr>
            <w:r>
              <w:rPr>
                <w:sz w:val="19"/>
                <w:szCs w:val="19"/>
              </w:rPr>
              <w:t>(2)连接</w:t>
            </w:r>
          </w:p>
          <w:p w14:paraId="211F3959">
            <w:pPr>
              <w:pStyle w:val="6"/>
              <w:spacing w:before="2" w:line="214" w:lineRule="auto"/>
              <w:ind w:left="102" w:right="77" w:hanging="10"/>
              <w:rPr>
                <w:sz w:val="19"/>
                <w:szCs w:val="19"/>
              </w:rPr>
            </w:pPr>
            <w:r>
              <w:rPr>
                <w:sz w:val="19"/>
                <w:szCs w:val="19"/>
              </w:rPr>
              <w:t>(3)调流量</w:t>
            </w:r>
            <w:r>
              <w:rPr>
                <w:spacing w:val="1"/>
                <w:sz w:val="19"/>
                <w:szCs w:val="19"/>
              </w:rPr>
              <w:t xml:space="preserve"> </w:t>
            </w:r>
            <w:r>
              <w:rPr>
                <w:sz w:val="19"/>
                <w:szCs w:val="19"/>
              </w:rPr>
              <w:t>(4)接鼻塞</w:t>
            </w:r>
            <w:r>
              <w:rPr>
                <w:spacing w:val="3"/>
                <w:sz w:val="19"/>
                <w:szCs w:val="19"/>
              </w:rPr>
              <w:t xml:space="preserve"> </w:t>
            </w:r>
            <w:r>
              <w:rPr>
                <w:spacing w:val="1"/>
                <w:sz w:val="19"/>
                <w:szCs w:val="19"/>
              </w:rPr>
              <w:t>(5)插管</w:t>
            </w:r>
          </w:p>
          <w:p w14:paraId="35962D54">
            <w:pPr>
              <w:pStyle w:val="6"/>
              <w:spacing w:before="4" w:line="206" w:lineRule="auto"/>
              <w:ind w:left="92"/>
              <w:rPr>
                <w:sz w:val="19"/>
                <w:szCs w:val="19"/>
              </w:rPr>
            </w:pPr>
            <w:r>
              <w:rPr>
                <w:spacing w:val="1"/>
                <w:sz w:val="19"/>
                <w:szCs w:val="19"/>
              </w:rPr>
              <w:t>(6)固定</w:t>
            </w:r>
          </w:p>
          <w:p w14:paraId="0E66A997">
            <w:pPr>
              <w:pStyle w:val="6"/>
              <w:spacing w:line="221" w:lineRule="auto"/>
              <w:ind w:left="22"/>
              <w:rPr>
                <w:sz w:val="19"/>
                <w:szCs w:val="19"/>
              </w:rPr>
            </w:pPr>
            <w:r>
              <w:rPr>
                <w:sz w:val="19"/>
                <w:szCs w:val="19"/>
              </w:rPr>
              <w:t>(7)记录</w:t>
            </w:r>
          </w:p>
          <w:p w14:paraId="5C44C330">
            <w:pPr>
              <w:pStyle w:val="6"/>
              <w:spacing w:before="10" w:line="194" w:lineRule="auto"/>
              <w:ind w:left="82"/>
              <w:rPr>
                <w:sz w:val="19"/>
                <w:szCs w:val="19"/>
              </w:rPr>
            </w:pPr>
            <w:r>
              <w:rPr>
                <w:spacing w:val="1"/>
                <w:sz w:val="19"/>
                <w:szCs w:val="19"/>
              </w:rPr>
              <w:t>(8)交待</w:t>
            </w:r>
          </w:p>
          <w:p w14:paraId="21D2C477">
            <w:pPr>
              <w:pStyle w:val="6"/>
              <w:spacing w:before="1" w:line="218" w:lineRule="auto"/>
              <w:ind w:left="11"/>
              <w:rPr>
                <w:sz w:val="19"/>
                <w:szCs w:val="19"/>
              </w:rPr>
            </w:pPr>
            <w:r>
              <w:rPr>
                <w:spacing w:val="-2"/>
                <w:sz w:val="19"/>
                <w:szCs w:val="19"/>
              </w:rPr>
              <w:t>2.停止用氧</w:t>
            </w:r>
          </w:p>
          <w:p w14:paraId="315A0E0D">
            <w:pPr>
              <w:pStyle w:val="6"/>
              <w:spacing w:before="16" w:line="193" w:lineRule="auto"/>
              <w:ind w:left="82"/>
              <w:rPr>
                <w:sz w:val="19"/>
                <w:szCs w:val="19"/>
              </w:rPr>
            </w:pPr>
            <w:r>
              <w:rPr>
                <w:sz w:val="19"/>
                <w:szCs w:val="19"/>
              </w:rPr>
              <w:t>(1)备物</w:t>
            </w:r>
          </w:p>
          <w:p w14:paraId="73CA06D7">
            <w:pPr>
              <w:pStyle w:val="6"/>
              <w:spacing w:before="1" w:line="213" w:lineRule="auto"/>
              <w:ind w:left="92"/>
              <w:rPr>
                <w:sz w:val="19"/>
                <w:szCs w:val="19"/>
              </w:rPr>
            </w:pPr>
            <w:r>
              <w:rPr>
                <w:sz w:val="19"/>
                <w:szCs w:val="19"/>
              </w:rPr>
              <w:t>(2)拔鼻塞</w:t>
            </w:r>
          </w:p>
          <w:p w14:paraId="1B76C2F3">
            <w:pPr>
              <w:pStyle w:val="6"/>
              <w:spacing w:before="1" w:line="219" w:lineRule="auto"/>
              <w:ind w:left="92"/>
              <w:rPr>
                <w:sz w:val="19"/>
                <w:szCs w:val="19"/>
              </w:rPr>
            </w:pPr>
            <w:r>
              <w:rPr>
                <w:sz w:val="19"/>
                <w:szCs w:val="19"/>
              </w:rPr>
              <w:t>(3)擦鼻部</w:t>
            </w:r>
          </w:p>
          <w:p w14:paraId="2988C875">
            <w:pPr>
              <w:pStyle w:val="6"/>
              <w:spacing w:before="15" w:line="193" w:lineRule="auto"/>
              <w:jc w:val="right"/>
              <w:rPr>
                <w:sz w:val="19"/>
                <w:szCs w:val="19"/>
              </w:rPr>
            </w:pPr>
            <w:r>
              <w:rPr>
                <w:spacing w:val="-19"/>
                <w:sz w:val="19"/>
                <w:szCs w:val="19"/>
              </w:rPr>
              <w:t>(4</w:t>
            </w:r>
            <w:r>
              <w:rPr>
                <w:spacing w:val="-18"/>
                <w:sz w:val="19"/>
                <w:szCs w:val="19"/>
              </w:rPr>
              <w:t>)关总开</w:t>
            </w:r>
            <w:r>
              <w:rPr>
                <w:spacing w:val="-9"/>
                <w:sz w:val="19"/>
                <w:szCs w:val="19"/>
              </w:rPr>
              <w:t>关</w:t>
            </w:r>
          </w:p>
          <w:p w14:paraId="52FD3CF6">
            <w:pPr>
              <w:pStyle w:val="6"/>
              <w:spacing w:line="218" w:lineRule="auto"/>
              <w:ind w:left="92"/>
              <w:rPr>
                <w:sz w:val="19"/>
                <w:szCs w:val="19"/>
              </w:rPr>
            </w:pPr>
            <w:r>
              <w:rPr>
                <w:sz w:val="19"/>
                <w:szCs w:val="19"/>
              </w:rPr>
              <w:t>(5)放余氧</w:t>
            </w:r>
          </w:p>
          <w:p w14:paraId="03FE3136">
            <w:pPr>
              <w:pStyle w:val="6"/>
              <w:spacing w:before="16" w:line="196" w:lineRule="auto"/>
              <w:jc w:val="right"/>
              <w:rPr>
                <w:sz w:val="19"/>
                <w:szCs w:val="19"/>
              </w:rPr>
            </w:pPr>
            <w:r>
              <w:rPr>
                <w:spacing w:val="-16"/>
                <w:sz w:val="19"/>
                <w:szCs w:val="19"/>
              </w:rPr>
              <w:t>(6)关小开</w:t>
            </w:r>
            <w:r>
              <w:rPr>
                <w:spacing w:val="-9"/>
                <w:sz w:val="19"/>
                <w:szCs w:val="19"/>
              </w:rPr>
              <w:t>关</w:t>
            </w:r>
          </w:p>
          <w:p w14:paraId="0C84C908">
            <w:pPr>
              <w:pStyle w:val="6"/>
              <w:spacing w:before="1" w:line="221" w:lineRule="auto"/>
              <w:ind w:left="82"/>
              <w:rPr>
                <w:sz w:val="19"/>
                <w:szCs w:val="19"/>
              </w:rPr>
            </w:pPr>
            <w:r>
              <w:rPr>
                <w:sz w:val="19"/>
                <w:szCs w:val="19"/>
              </w:rPr>
              <w:t>(7)记录</w:t>
            </w:r>
          </w:p>
          <w:p w14:paraId="7D06AD32">
            <w:pPr>
              <w:pStyle w:val="6"/>
              <w:spacing w:before="13" w:line="222" w:lineRule="auto"/>
              <w:ind w:left="102"/>
              <w:rPr>
                <w:sz w:val="19"/>
                <w:szCs w:val="19"/>
              </w:rPr>
            </w:pPr>
            <w:r>
              <w:rPr>
                <w:sz w:val="19"/>
                <w:szCs w:val="19"/>
              </w:rPr>
              <w:t>(8)整理</w:t>
            </w:r>
          </w:p>
        </w:tc>
        <w:tc>
          <w:tcPr>
            <w:tcW w:w="3566" w:type="dxa"/>
            <w:vAlign w:val="top"/>
          </w:tcPr>
          <w:p w14:paraId="4CA614F6">
            <w:pPr>
              <w:pStyle w:val="6"/>
              <w:spacing w:before="53" w:line="219" w:lineRule="auto"/>
              <w:ind w:left="2" w:right="698"/>
              <w:rPr>
                <w:sz w:val="19"/>
                <w:szCs w:val="19"/>
              </w:rPr>
            </w:pPr>
            <w:r>
              <w:rPr>
                <w:sz w:val="19"/>
                <w:szCs w:val="19"/>
              </w:rPr>
              <w:t>1.护士着装整洁，洗手，戴口罩。</w:t>
            </w:r>
            <w:r>
              <w:rPr>
                <w:spacing w:val="3"/>
                <w:sz w:val="19"/>
                <w:szCs w:val="19"/>
              </w:rPr>
              <w:t xml:space="preserve"> </w:t>
            </w:r>
            <w:r>
              <w:rPr>
                <w:spacing w:val="2"/>
                <w:sz w:val="19"/>
                <w:szCs w:val="19"/>
              </w:rPr>
              <w:t>2.评估：</w:t>
            </w:r>
          </w:p>
          <w:p w14:paraId="3ADACDA3">
            <w:pPr>
              <w:pStyle w:val="6"/>
              <w:spacing w:line="212" w:lineRule="auto"/>
              <w:ind w:left="2"/>
              <w:rPr>
                <w:sz w:val="19"/>
                <w:szCs w:val="19"/>
              </w:rPr>
            </w:pPr>
            <w:r>
              <w:rPr>
                <w:spacing w:val="-1"/>
                <w:sz w:val="19"/>
                <w:szCs w:val="19"/>
              </w:rPr>
              <w:t>(1)询问、了解病人的身体状况。</w:t>
            </w:r>
          </w:p>
          <w:p w14:paraId="5FA97275">
            <w:pPr>
              <w:pStyle w:val="6"/>
              <w:spacing w:line="203" w:lineRule="auto"/>
              <w:ind w:left="2"/>
              <w:rPr>
                <w:sz w:val="19"/>
                <w:szCs w:val="19"/>
              </w:rPr>
            </w:pPr>
            <w:r>
              <w:rPr>
                <w:sz w:val="19"/>
                <w:szCs w:val="19"/>
              </w:rPr>
              <w:t>(2)评估病人鼻腔情况。</w:t>
            </w:r>
          </w:p>
          <w:p w14:paraId="6DB4CEDC">
            <w:pPr>
              <w:pStyle w:val="6"/>
              <w:spacing w:line="213" w:lineRule="auto"/>
              <w:ind w:left="2" w:right="143" w:firstLine="80"/>
              <w:rPr>
                <w:sz w:val="19"/>
                <w:szCs w:val="19"/>
              </w:rPr>
            </w:pPr>
            <w:r>
              <w:rPr>
                <w:sz w:val="19"/>
                <w:szCs w:val="19"/>
              </w:rPr>
              <w:t>(3)评估氧气装置是否完好，操作环境是</w:t>
            </w:r>
            <w:r>
              <w:rPr>
                <w:spacing w:val="3"/>
                <w:sz w:val="19"/>
                <w:szCs w:val="19"/>
              </w:rPr>
              <w:t xml:space="preserve"> </w:t>
            </w:r>
            <w:r>
              <w:rPr>
                <w:spacing w:val="1"/>
                <w:sz w:val="19"/>
                <w:szCs w:val="19"/>
              </w:rPr>
              <w:t>否安全。</w:t>
            </w:r>
          </w:p>
          <w:p w14:paraId="1AA5BA42">
            <w:pPr>
              <w:pStyle w:val="6"/>
              <w:spacing w:before="3" w:line="214" w:lineRule="auto"/>
              <w:ind w:left="2"/>
              <w:rPr>
                <w:sz w:val="19"/>
                <w:szCs w:val="19"/>
              </w:rPr>
            </w:pPr>
            <w:r>
              <w:rPr>
                <w:spacing w:val="-1"/>
                <w:sz w:val="19"/>
                <w:szCs w:val="19"/>
              </w:rPr>
              <w:t>(4)解释操作目的取得病人配合。</w:t>
            </w:r>
          </w:p>
          <w:p w14:paraId="4F496970">
            <w:pPr>
              <w:pStyle w:val="6"/>
              <w:spacing w:line="219" w:lineRule="auto"/>
              <w:jc w:val="right"/>
              <w:rPr>
                <w:sz w:val="19"/>
                <w:szCs w:val="19"/>
              </w:rPr>
            </w:pPr>
            <w:r>
              <w:rPr>
                <w:spacing w:val="-13"/>
                <w:sz w:val="19"/>
                <w:szCs w:val="19"/>
              </w:rPr>
              <w:t>3.用物准备齐全，摆放合理，符合操作要求。</w:t>
            </w:r>
          </w:p>
          <w:p w14:paraId="56BE8A44">
            <w:pPr>
              <w:pStyle w:val="6"/>
              <w:spacing w:before="213" w:line="214" w:lineRule="auto"/>
              <w:ind w:left="2" w:firstLine="10"/>
              <w:jc w:val="both"/>
              <w:rPr>
                <w:sz w:val="19"/>
                <w:szCs w:val="19"/>
              </w:rPr>
            </w:pPr>
            <w:r>
              <w:rPr>
                <w:spacing w:val="-4"/>
                <w:sz w:val="19"/>
                <w:szCs w:val="19"/>
              </w:rPr>
              <w:t>4.装表：打开氧气筒上总开关清洁气门，立</w:t>
            </w:r>
            <w:r>
              <w:rPr>
                <w:spacing w:val="9"/>
                <w:sz w:val="19"/>
                <w:szCs w:val="19"/>
              </w:rPr>
              <w:t xml:space="preserve"> </w:t>
            </w:r>
            <w:r>
              <w:rPr>
                <w:spacing w:val="-3"/>
                <w:sz w:val="19"/>
                <w:szCs w:val="19"/>
              </w:rPr>
              <w:t>即关好。接上氧气表并旋紧，检查小开关是</w:t>
            </w:r>
            <w:r>
              <w:rPr>
                <w:sz w:val="19"/>
                <w:szCs w:val="19"/>
              </w:rPr>
              <w:t xml:space="preserve"> </w:t>
            </w:r>
            <w:r>
              <w:rPr>
                <w:spacing w:val="-4"/>
                <w:sz w:val="19"/>
                <w:szCs w:val="19"/>
              </w:rPr>
              <w:t>否关闭。开总开关检查装表后有无漏气。通</w:t>
            </w:r>
            <w:r>
              <w:rPr>
                <w:spacing w:val="15"/>
                <w:sz w:val="19"/>
                <w:szCs w:val="19"/>
              </w:rPr>
              <w:t xml:space="preserve"> </w:t>
            </w:r>
            <w:r>
              <w:rPr>
                <w:spacing w:val="-1"/>
                <w:sz w:val="19"/>
                <w:szCs w:val="19"/>
              </w:rPr>
              <w:t>气管、湿化瓶分别与氧气表连接。</w:t>
            </w:r>
          </w:p>
          <w:p w14:paraId="177026F8">
            <w:pPr>
              <w:pStyle w:val="6"/>
              <w:spacing w:before="2" w:line="211" w:lineRule="auto"/>
              <w:ind w:left="2" w:firstLine="19"/>
              <w:rPr>
                <w:sz w:val="19"/>
                <w:szCs w:val="19"/>
              </w:rPr>
            </w:pPr>
            <w:r>
              <w:rPr>
                <w:spacing w:val="-21"/>
                <w:sz w:val="19"/>
                <w:szCs w:val="19"/>
              </w:rPr>
              <w:t>5.携用物至床旁，查对床号、姓名，做好解释。</w:t>
            </w:r>
            <w:r>
              <w:rPr>
                <w:spacing w:val="4"/>
                <w:sz w:val="19"/>
                <w:szCs w:val="19"/>
              </w:rPr>
              <w:t xml:space="preserve"> </w:t>
            </w:r>
            <w:r>
              <w:rPr>
                <w:spacing w:val="-12"/>
                <w:sz w:val="19"/>
                <w:szCs w:val="19"/>
              </w:rPr>
              <w:t>6.协助病人取舒适体位，用湿棉签清洁鼻腔。</w:t>
            </w:r>
          </w:p>
          <w:p w14:paraId="107738C5">
            <w:pPr>
              <w:pStyle w:val="6"/>
              <w:spacing w:before="234" w:line="213" w:lineRule="auto"/>
              <w:ind w:left="2"/>
              <w:rPr>
                <w:sz w:val="19"/>
                <w:szCs w:val="19"/>
              </w:rPr>
            </w:pPr>
            <w:r>
              <w:rPr>
                <w:spacing w:val="-3"/>
                <w:sz w:val="19"/>
                <w:szCs w:val="19"/>
              </w:rPr>
              <w:t>7.检查一次性吸氧管密封效果及有效日期，</w:t>
            </w:r>
            <w:r>
              <w:rPr>
                <w:spacing w:val="2"/>
                <w:sz w:val="19"/>
                <w:szCs w:val="19"/>
              </w:rPr>
              <w:t xml:space="preserve"> </w:t>
            </w:r>
            <w:r>
              <w:rPr>
                <w:spacing w:val="-3"/>
                <w:sz w:val="19"/>
                <w:szCs w:val="19"/>
              </w:rPr>
              <w:t>与湿化瓶的出口相连接。</w:t>
            </w:r>
          </w:p>
        </w:tc>
        <w:tc>
          <w:tcPr>
            <w:tcW w:w="2287" w:type="dxa"/>
            <w:vAlign w:val="top"/>
          </w:tcPr>
          <w:p w14:paraId="3FA77AA4">
            <w:pPr>
              <w:pStyle w:val="6"/>
              <w:spacing w:before="54" w:line="213" w:lineRule="auto"/>
              <w:ind w:left="37" w:firstLine="59"/>
              <w:jc w:val="both"/>
              <w:rPr>
                <w:sz w:val="19"/>
                <w:szCs w:val="19"/>
              </w:rPr>
            </w:pPr>
            <w:r>
              <w:rPr>
                <w:spacing w:val="2"/>
                <w:sz w:val="19"/>
                <w:szCs w:val="19"/>
              </w:rPr>
              <w:t>1.分值2分(未洗手扣2分)</w:t>
            </w:r>
            <w:r>
              <w:rPr>
                <w:spacing w:val="8"/>
                <w:sz w:val="19"/>
                <w:szCs w:val="19"/>
              </w:rPr>
              <w:t xml:space="preserve"> </w:t>
            </w:r>
            <w:r>
              <w:rPr>
                <w:spacing w:val="3"/>
                <w:sz w:val="19"/>
                <w:szCs w:val="19"/>
              </w:rPr>
              <w:t>2.分值8分(未评估扣4分，</w:t>
            </w:r>
            <w:r>
              <w:rPr>
                <w:spacing w:val="11"/>
                <w:sz w:val="19"/>
                <w:szCs w:val="19"/>
              </w:rPr>
              <w:t xml:space="preserve"> </w:t>
            </w:r>
            <w:r>
              <w:rPr>
                <w:spacing w:val="-1"/>
                <w:sz w:val="19"/>
                <w:szCs w:val="19"/>
              </w:rPr>
              <w:t>少评估一项扣2分，未解释</w:t>
            </w:r>
            <w:r>
              <w:rPr>
                <w:spacing w:val="7"/>
                <w:sz w:val="19"/>
                <w:szCs w:val="19"/>
              </w:rPr>
              <w:t xml:space="preserve"> </w:t>
            </w:r>
            <w:r>
              <w:rPr>
                <w:spacing w:val="10"/>
                <w:sz w:val="19"/>
                <w:szCs w:val="19"/>
              </w:rPr>
              <w:t>扣2分)</w:t>
            </w:r>
          </w:p>
          <w:p w14:paraId="39ED1FC8">
            <w:pPr>
              <w:spacing w:line="298" w:lineRule="auto"/>
              <w:rPr>
                <w:rFonts w:ascii="Arial"/>
                <w:sz w:val="21"/>
              </w:rPr>
            </w:pPr>
          </w:p>
          <w:p w14:paraId="0118A1C4">
            <w:pPr>
              <w:spacing w:line="298" w:lineRule="auto"/>
              <w:rPr>
                <w:rFonts w:ascii="Arial"/>
                <w:sz w:val="21"/>
              </w:rPr>
            </w:pPr>
          </w:p>
          <w:p w14:paraId="0B773312">
            <w:pPr>
              <w:pStyle w:val="6"/>
              <w:spacing w:before="62" w:line="214" w:lineRule="auto"/>
              <w:ind w:left="17" w:right="81" w:firstLine="79"/>
              <w:rPr>
                <w:sz w:val="19"/>
                <w:szCs w:val="19"/>
              </w:rPr>
            </w:pPr>
            <w:r>
              <w:rPr>
                <w:sz w:val="19"/>
                <w:szCs w:val="19"/>
              </w:rPr>
              <w:t>3.分值5分(物品少一件或</w:t>
            </w:r>
            <w:r>
              <w:rPr>
                <w:spacing w:val="7"/>
                <w:sz w:val="19"/>
                <w:szCs w:val="19"/>
              </w:rPr>
              <w:t xml:space="preserve"> </w:t>
            </w:r>
            <w:r>
              <w:rPr>
                <w:spacing w:val="3"/>
                <w:sz w:val="19"/>
                <w:szCs w:val="19"/>
              </w:rPr>
              <w:t>一件不符合要求扣1分)</w:t>
            </w:r>
          </w:p>
          <w:p w14:paraId="131CFC8D">
            <w:pPr>
              <w:pStyle w:val="6"/>
              <w:spacing w:line="222" w:lineRule="auto"/>
              <w:ind w:left="17" w:right="271"/>
              <w:rPr>
                <w:sz w:val="19"/>
                <w:szCs w:val="19"/>
              </w:rPr>
            </w:pPr>
            <w:r>
              <w:rPr>
                <w:spacing w:val="-1"/>
                <w:sz w:val="19"/>
                <w:szCs w:val="19"/>
              </w:rPr>
              <w:t>4.分值10分(一处不符合</w:t>
            </w:r>
            <w:r>
              <w:rPr>
                <w:spacing w:val="5"/>
                <w:sz w:val="19"/>
                <w:szCs w:val="19"/>
              </w:rPr>
              <w:t xml:space="preserve"> </w:t>
            </w:r>
            <w:r>
              <w:rPr>
                <w:spacing w:val="6"/>
                <w:sz w:val="19"/>
                <w:szCs w:val="19"/>
              </w:rPr>
              <w:t>要求扣2分)</w:t>
            </w:r>
          </w:p>
          <w:p w14:paraId="39C61B1D">
            <w:pPr>
              <w:spacing w:line="359" w:lineRule="auto"/>
              <w:rPr>
                <w:rFonts w:ascii="Arial"/>
                <w:sz w:val="21"/>
              </w:rPr>
            </w:pPr>
          </w:p>
          <w:p w14:paraId="74518C9A">
            <w:pPr>
              <w:pStyle w:val="6"/>
              <w:spacing w:before="62" w:line="210" w:lineRule="auto"/>
              <w:ind w:left="17" w:right="73"/>
              <w:rPr>
                <w:sz w:val="19"/>
                <w:szCs w:val="19"/>
              </w:rPr>
            </w:pPr>
            <w:r>
              <w:rPr>
                <w:spacing w:val="2"/>
                <w:sz w:val="19"/>
                <w:szCs w:val="19"/>
              </w:rPr>
              <w:t>5.分值5分(不核对扣5分)</w:t>
            </w:r>
            <w:r>
              <w:rPr>
                <w:spacing w:val="12"/>
                <w:sz w:val="19"/>
                <w:szCs w:val="19"/>
              </w:rPr>
              <w:t xml:space="preserve"> </w:t>
            </w:r>
            <w:r>
              <w:rPr>
                <w:spacing w:val="7"/>
                <w:sz w:val="19"/>
                <w:szCs w:val="19"/>
              </w:rPr>
              <w:t>6.分值6分(体位不舒适扣</w:t>
            </w:r>
            <w:r>
              <w:rPr>
                <w:spacing w:val="4"/>
                <w:sz w:val="19"/>
                <w:szCs w:val="19"/>
              </w:rPr>
              <w:t xml:space="preserve"> </w:t>
            </w:r>
            <w:r>
              <w:rPr>
                <w:spacing w:val="3"/>
                <w:sz w:val="19"/>
                <w:szCs w:val="19"/>
              </w:rPr>
              <w:t>3分。不清洁鼻腔扣3分)</w:t>
            </w:r>
          </w:p>
          <w:p w14:paraId="3760E9BC">
            <w:pPr>
              <w:pStyle w:val="6"/>
              <w:spacing w:before="1" w:line="216" w:lineRule="auto"/>
              <w:ind w:left="17" w:right="33" w:firstLine="79"/>
              <w:rPr>
                <w:sz w:val="19"/>
                <w:szCs w:val="19"/>
              </w:rPr>
            </w:pPr>
            <w:r>
              <w:rPr>
                <w:sz w:val="19"/>
                <w:szCs w:val="19"/>
              </w:rPr>
              <w:t>7.分值6分(不检查吸氧管</w:t>
            </w:r>
            <w:r>
              <w:rPr>
                <w:spacing w:val="9"/>
                <w:sz w:val="19"/>
                <w:szCs w:val="19"/>
              </w:rPr>
              <w:t xml:space="preserve"> </w:t>
            </w:r>
            <w:r>
              <w:rPr>
                <w:spacing w:val="3"/>
                <w:sz w:val="19"/>
                <w:szCs w:val="19"/>
              </w:rPr>
              <w:t>扣2分；一处不符合要求扣</w:t>
            </w:r>
            <w:r>
              <w:rPr>
                <w:spacing w:val="4"/>
                <w:sz w:val="19"/>
                <w:szCs w:val="19"/>
              </w:rPr>
              <w:t xml:space="preserve"> </w:t>
            </w:r>
            <w:r>
              <w:rPr>
                <w:spacing w:val="13"/>
                <w:sz w:val="19"/>
                <w:szCs w:val="19"/>
              </w:rPr>
              <w:t>1分)</w:t>
            </w:r>
          </w:p>
        </w:tc>
        <w:tc>
          <w:tcPr>
            <w:tcW w:w="844" w:type="dxa"/>
            <w:vAlign w:val="top"/>
          </w:tcPr>
          <w:p w14:paraId="6370C9AD">
            <w:pPr>
              <w:pStyle w:val="6"/>
              <w:spacing w:before="71" w:line="214" w:lineRule="auto"/>
              <w:ind w:left="20" w:firstLine="17"/>
              <w:jc w:val="both"/>
              <w:rPr>
                <w:sz w:val="19"/>
                <w:szCs w:val="19"/>
              </w:rPr>
            </w:pPr>
            <w:r>
              <w:rPr>
                <w:spacing w:val="-16"/>
                <w:sz w:val="19"/>
                <w:szCs w:val="19"/>
              </w:rPr>
              <w:t>1.通过给</w:t>
            </w:r>
            <w:r>
              <w:rPr>
                <w:spacing w:val="1"/>
                <w:sz w:val="19"/>
                <w:szCs w:val="19"/>
              </w:rPr>
              <w:t xml:space="preserve">  </w:t>
            </w:r>
            <w:r>
              <w:rPr>
                <w:spacing w:val="-19"/>
                <w:w w:val="87"/>
                <w:sz w:val="19"/>
                <w:szCs w:val="19"/>
              </w:rPr>
              <w:t>氧，改善病</w:t>
            </w:r>
            <w:r>
              <w:rPr>
                <w:sz w:val="19"/>
                <w:szCs w:val="19"/>
              </w:rPr>
              <w:t xml:space="preserve">  </w:t>
            </w:r>
            <w:r>
              <w:rPr>
                <w:spacing w:val="-14"/>
                <w:w w:val="97"/>
                <w:sz w:val="19"/>
                <w:szCs w:val="19"/>
              </w:rPr>
              <w:t>人缺氧症</w:t>
            </w:r>
            <w:r>
              <w:rPr>
                <w:spacing w:val="2"/>
                <w:sz w:val="19"/>
                <w:szCs w:val="19"/>
              </w:rPr>
              <w:t xml:space="preserve">  </w:t>
            </w:r>
            <w:r>
              <w:rPr>
                <w:spacing w:val="-20"/>
                <w:w w:val="92"/>
                <w:sz w:val="18"/>
                <w:szCs w:val="18"/>
              </w:rPr>
              <w:t>状。操作步</w:t>
            </w:r>
            <w:r>
              <w:rPr>
                <w:sz w:val="18"/>
                <w:szCs w:val="18"/>
              </w:rPr>
              <w:t xml:space="preserve">  </w:t>
            </w:r>
            <w:r>
              <w:rPr>
                <w:spacing w:val="-20"/>
                <w:w w:val="87"/>
                <w:sz w:val="19"/>
                <w:szCs w:val="19"/>
              </w:rPr>
              <w:t>骤正确，严</w:t>
            </w:r>
            <w:r>
              <w:rPr>
                <w:sz w:val="19"/>
                <w:szCs w:val="19"/>
              </w:rPr>
              <w:t xml:space="preserve">  </w:t>
            </w:r>
            <w:r>
              <w:rPr>
                <w:spacing w:val="-17"/>
                <w:w w:val="99"/>
                <w:sz w:val="19"/>
                <w:szCs w:val="19"/>
              </w:rPr>
              <w:t>格执行查</w:t>
            </w:r>
            <w:r>
              <w:rPr>
                <w:spacing w:val="1"/>
                <w:sz w:val="19"/>
                <w:szCs w:val="19"/>
              </w:rPr>
              <w:t xml:space="preserve">  </w:t>
            </w:r>
            <w:r>
              <w:rPr>
                <w:spacing w:val="-4"/>
                <w:sz w:val="19"/>
                <w:szCs w:val="19"/>
              </w:rPr>
              <w:t>对制度。</w:t>
            </w:r>
            <w:r>
              <w:rPr>
                <w:sz w:val="19"/>
                <w:szCs w:val="19"/>
              </w:rPr>
              <w:t xml:space="preserve"> </w:t>
            </w:r>
            <w:r>
              <w:rPr>
                <w:spacing w:val="-18"/>
                <w:w w:val="99"/>
                <w:sz w:val="19"/>
                <w:szCs w:val="19"/>
              </w:rPr>
              <w:t>未见呼吸</w:t>
            </w:r>
            <w:r>
              <w:rPr>
                <w:spacing w:val="2"/>
                <w:sz w:val="19"/>
                <w:szCs w:val="19"/>
              </w:rPr>
              <w:t xml:space="preserve">  </w:t>
            </w:r>
            <w:r>
              <w:rPr>
                <w:spacing w:val="-14"/>
                <w:w w:val="98"/>
                <w:sz w:val="19"/>
                <w:szCs w:val="19"/>
              </w:rPr>
              <w:t>道损伤或</w:t>
            </w:r>
            <w:r>
              <w:rPr>
                <w:sz w:val="19"/>
                <w:szCs w:val="19"/>
              </w:rPr>
              <w:t xml:space="preserve">  </w:t>
            </w:r>
            <w:r>
              <w:rPr>
                <w:spacing w:val="-19"/>
                <w:sz w:val="19"/>
                <w:szCs w:val="19"/>
              </w:rPr>
              <w:t>其他意外</w:t>
            </w:r>
            <w:r>
              <w:rPr>
                <w:spacing w:val="1"/>
                <w:sz w:val="19"/>
                <w:szCs w:val="19"/>
              </w:rPr>
              <w:t xml:space="preserve">  </w:t>
            </w:r>
            <w:r>
              <w:rPr>
                <w:spacing w:val="-18"/>
                <w:w w:val="86"/>
                <w:sz w:val="19"/>
                <w:szCs w:val="19"/>
              </w:rPr>
              <w:t>发生，保证</w:t>
            </w:r>
            <w:r>
              <w:rPr>
                <w:sz w:val="19"/>
                <w:szCs w:val="19"/>
              </w:rPr>
              <w:t xml:space="preserve">  </w:t>
            </w:r>
            <w:r>
              <w:rPr>
                <w:spacing w:val="-23"/>
                <w:w w:val="97"/>
                <w:sz w:val="19"/>
                <w:szCs w:val="19"/>
              </w:rPr>
              <w:t>用氧安全。</w:t>
            </w:r>
            <w:r>
              <w:rPr>
                <w:spacing w:val="6"/>
                <w:sz w:val="19"/>
                <w:szCs w:val="19"/>
              </w:rPr>
              <w:t xml:space="preserve"> </w:t>
            </w:r>
            <w:r>
              <w:rPr>
                <w:spacing w:val="-10"/>
                <w:sz w:val="19"/>
                <w:szCs w:val="19"/>
              </w:rPr>
              <w:t>2.建议15</w:t>
            </w:r>
            <w:r>
              <w:rPr>
                <w:spacing w:val="2"/>
                <w:sz w:val="19"/>
                <w:szCs w:val="19"/>
              </w:rPr>
              <w:t xml:space="preserve">  </w:t>
            </w:r>
            <w:r>
              <w:rPr>
                <w:spacing w:val="-19"/>
                <w:sz w:val="19"/>
                <w:szCs w:val="19"/>
              </w:rPr>
              <w:t>分钟内完</w:t>
            </w:r>
            <w:r>
              <w:rPr>
                <w:sz w:val="19"/>
                <w:szCs w:val="19"/>
              </w:rPr>
              <w:t xml:space="preserve">  </w:t>
            </w:r>
            <w:r>
              <w:rPr>
                <w:spacing w:val="-5"/>
                <w:sz w:val="19"/>
                <w:szCs w:val="19"/>
              </w:rPr>
              <w:t>成。</w:t>
            </w:r>
          </w:p>
        </w:tc>
      </w:tr>
    </w:tbl>
    <w:p w14:paraId="20419877">
      <w:pPr>
        <w:pStyle w:val="2"/>
      </w:pPr>
    </w:p>
    <w:p w14:paraId="0A911648">
      <w:pPr>
        <w:sectPr>
          <w:footerReference r:id="rId139" w:type="default"/>
          <w:pgSz w:w="10660" w:h="15080"/>
          <w:pgMar w:top="400" w:right="905" w:bottom="912" w:left="1024" w:header="0" w:footer="741" w:gutter="0"/>
          <w:cols w:space="720" w:num="1"/>
        </w:sectPr>
      </w:pPr>
    </w:p>
    <w:p w14:paraId="7F50E4C0">
      <w:pPr>
        <w:spacing w:before="13"/>
      </w:pPr>
    </w:p>
    <w:p w14:paraId="5894DCF5">
      <w:pPr>
        <w:spacing w:before="12"/>
      </w:pPr>
    </w:p>
    <w:p w14:paraId="17F17B47">
      <w:pPr>
        <w:spacing w:before="12"/>
      </w:pPr>
    </w:p>
    <w:p w14:paraId="4749660F">
      <w:pPr>
        <w:spacing w:before="12"/>
      </w:pPr>
    </w:p>
    <w:tbl>
      <w:tblPr>
        <w:tblStyle w:val="5"/>
        <w:tblW w:w="8712"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484"/>
        <w:gridCol w:w="499"/>
        <w:gridCol w:w="1039"/>
        <w:gridCol w:w="3556"/>
        <w:gridCol w:w="2297"/>
        <w:gridCol w:w="837"/>
      </w:tblGrid>
      <w:tr w14:paraId="3E8227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5" w:hRule="atLeast"/>
        </w:trPr>
        <w:tc>
          <w:tcPr>
            <w:tcW w:w="484" w:type="dxa"/>
            <w:shd w:val="clear" w:color="auto" w:fill="231F20"/>
            <w:vAlign w:val="top"/>
          </w:tcPr>
          <w:p w14:paraId="0C851BE5">
            <w:pPr>
              <w:pStyle w:val="6"/>
              <w:spacing w:before="81" w:line="207" w:lineRule="auto"/>
              <w:ind w:left="47" w:right="15"/>
              <w:rPr>
                <w:sz w:val="19"/>
                <w:szCs w:val="19"/>
              </w:rPr>
            </w:pPr>
            <w:r>
              <w:rPr>
                <w:b/>
                <w:bCs/>
                <w:color w:val="FFFFFF"/>
                <w:spacing w:val="-7"/>
                <w:sz w:val="19"/>
                <w:szCs w:val="19"/>
              </w:rPr>
              <w:t>测试</w:t>
            </w:r>
            <w:r>
              <w:rPr>
                <w:color w:val="FFFFFF"/>
                <w:sz w:val="19"/>
                <w:szCs w:val="19"/>
              </w:rPr>
              <w:t xml:space="preserve"> </w:t>
            </w:r>
            <w:r>
              <w:rPr>
                <w:b/>
                <w:bCs/>
                <w:color w:val="FFFFFF"/>
                <w:spacing w:val="13"/>
                <w:sz w:val="19"/>
                <w:szCs w:val="19"/>
              </w:rPr>
              <w:t>项目</w:t>
            </w:r>
          </w:p>
        </w:tc>
        <w:tc>
          <w:tcPr>
            <w:tcW w:w="499" w:type="dxa"/>
            <w:vAlign w:val="top"/>
          </w:tcPr>
          <w:p w14:paraId="65FE0BA4">
            <w:pPr>
              <w:pStyle w:val="6"/>
              <w:spacing w:before="80" w:line="208" w:lineRule="auto"/>
              <w:ind w:left="53" w:right="63"/>
              <w:rPr>
                <w:sz w:val="19"/>
                <w:szCs w:val="19"/>
              </w:rPr>
            </w:pPr>
            <w:r>
              <w:rPr>
                <w:b/>
                <w:bCs/>
                <w:spacing w:val="-7"/>
                <w:sz w:val="19"/>
                <w:szCs w:val="19"/>
              </w:rPr>
              <w:t>测试</w:t>
            </w:r>
            <w:r>
              <w:rPr>
                <w:sz w:val="19"/>
                <w:szCs w:val="19"/>
              </w:rPr>
              <w:t xml:space="preserve"> </w:t>
            </w:r>
            <w:r>
              <w:rPr>
                <w:b/>
                <w:bCs/>
                <w:spacing w:val="-7"/>
                <w:sz w:val="19"/>
                <w:szCs w:val="19"/>
              </w:rPr>
              <w:t>用具</w:t>
            </w:r>
          </w:p>
        </w:tc>
        <w:tc>
          <w:tcPr>
            <w:tcW w:w="1039" w:type="dxa"/>
            <w:vAlign w:val="top"/>
          </w:tcPr>
          <w:p w14:paraId="7364CA36">
            <w:pPr>
              <w:pStyle w:val="6"/>
              <w:spacing w:before="190" w:line="219" w:lineRule="auto"/>
              <w:ind w:left="134"/>
              <w:rPr>
                <w:sz w:val="19"/>
                <w:szCs w:val="19"/>
              </w:rPr>
            </w:pPr>
            <w:r>
              <w:rPr>
                <w:b/>
                <w:bCs/>
                <w:spacing w:val="-4"/>
                <w:sz w:val="19"/>
                <w:szCs w:val="19"/>
              </w:rPr>
              <w:t>测试内容</w:t>
            </w:r>
          </w:p>
        </w:tc>
        <w:tc>
          <w:tcPr>
            <w:tcW w:w="3556" w:type="dxa"/>
            <w:vAlign w:val="top"/>
          </w:tcPr>
          <w:p w14:paraId="71F410C1">
            <w:pPr>
              <w:pStyle w:val="6"/>
              <w:spacing w:before="191" w:line="221" w:lineRule="auto"/>
              <w:ind w:left="1455"/>
              <w:rPr>
                <w:sz w:val="19"/>
                <w:szCs w:val="19"/>
              </w:rPr>
            </w:pPr>
            <w:r>
              <w:rPr>
                <w:b/>
                <w:bCs/>
                <w:spacing w:val="-4"/>
                <w:sz w:val="19"/>
                <w:szCs w:val="19"/>
              </w:rPr>
              <w:t>测试方法</w:t>
            </w:r>
          </w:p>
        </w:tc>
        <w:tc>
          <w:tcPr>
            <w:tcW w:w="2297" w:type="dxa"/>
            <w:vAlign w:val="top"/>
          </w:tcPr>
          <w:p w14:paraId="062F949F">
            <w:pPr>
              <w:pStyle w:val="6"/>
              <w:spacing w:before="190" w:line="219" w:lineRule="auto"/>
              <w:ind w:left="769"/>
              <w:rPr>
                <w:sz w:val="19"/>
                <w:szCs w:val="19"/>
              </w:rPr>
            </w:pPr>
            <w:r>
              <w:rPr>
                <w:b/>
                <w:bCs/>
                <w:spacing w:val="-4"/>
                <w:sz w:val="19"/>
                <w:szCs w:val="19"/>
              </w:rPr>
              <w:t>赋分参考</w:t>
            </w:r>
          </w:p>
        </w:tc>
        <w:tc>
          <w:tcPr>
            <w:tcW w:w="837" w:type="dxa"/>
            <w:vAlign w:val="top"/>
          </w:tcPr>
          <w:p w14:paraId="74A8A263">
            <w:pPr>
              <w:pStyle w:val="6"/>
              <w:spacing w:before="80" w:line="208" w:lineRule="auto"/>
              <w:ind w:left="262" w:right="192" w:hanging="10"/>
              <w:rPr>
                <w:sz w:val="19"/>
                <w:szCs w:val="19"/>
              </w:rPr>
            </w:pPr>
            <w:r>
              <w:rPr>
                <w:b/>
                <w:bCs/>
                <w:spacing w:val="-7"/>
                <w:sz w:val="19"/>
                <w:szCs w:val="19"/>
              </w:rPr>
              <w:t>测试</w:t>
            </w:r>
            <w:r>
              <w:rPr>
                <w:sz w:val="19"/>
                <w:szCs w:val="19"/>
              </w:rPr>
              <w:t xml:space="preserve"> </w:t>
            </w:r>
            <w:r>
              <w:rPr>
                <w:b/>
                <w:bCs/>
                <w:spacing w:val="-7"/>
                <w:sz w:val="19"/>
                <w:szCs w:val="19"/>
              </w:rPr>
              <w:t>要求</w:t>
            </w:r>
          </w:p>
        </w:tc>
      </w:tr>
      <w:tr w14:paraId="1AE622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54" w:hRule="atLeast"/>
        </w:trPr>
        <w:tc>
          <w:tcPr>
            <w:tcW w:w="484" w:type="dxa"/>
            <w:vAlign w:val="top"/>
          </w:tcPr>
          <w:p w14:paraId="02FE6A73">
            <w:pPr>
              <w:rPr>
                <w:rFonts w:ascii="Arial"/>
                <w:sz w:val="21"/>
              </w:rPr>
            </w:pPr>
          </w:p>
        </w:tc>
        <w:tc>
          <w:tcPr>
            <w:tcW w:w="499" w:type="dxa"/>
            <w:vAlign w:val="top"/>
          </w:tcPr>
          <w:p w14:paraId="4AD363FA">
            <w:pPr>
              <w:pStyle w:val="6"/>
              <w:spacing w:before="50" w:line="214" w:lineRule="auto"/>
              <w:ind w:left="1" w:firstLine="42"/>
              <w:rPr>
                <w:sz w:val="19"/>
                <w:szCs w:val="19"/>
              </w:rPr>
            </w:pPr>
            <w:r>
              <w:rPr>
                <w:spacing w:val="-14"/>
                <w:sz w:val="19"/>
                <w:szCs w:val="19"/>
              </w:rPr>
              <w:t>2.治</w:t>
            </w:r>
            <w:r>
              <w:rPr>
                <w:sz w:val="19"/>
                <w:szCs w:val="19"/>
              </w:rPr>
              <w:t xml:space="preserve">  </w:t>
            </w:r>
            <w:r>
              <w:rPr>
                <w:spacing w:val="-9"/>
                <w:sz w:val="19"/>
                <w:szCs w:val="19"/>
              </w:rPr>
              <w:t>疗盘</w:t>
            </w:r>
            <w:r>
              <w:rPr>
                <w:sz w:val="19"/>
                <w:szCs w:val="19"/>
              </w:rPr>
              <w:t xml:space="preserve">  </w:t>
            </w:r>
            <w:r>
              <w:rPr>
                <w:spacing w:val="-3"/>
                <w:sz w:val="19"/>
                <w:szCs w:val="19"/>
              </w:rPr>
              <w:t>内放</w:t>
            </w:r>
            <w:r>
              <w:rPr>
                <w:sz w:val="19"/>
                <w:szCs w:val="19"/>
              </w:rPr>
              <w:t xml:space="preserve">  </w:t>
            </w:r>
            <w:r>
              <w:rPr>
                <w:spacing w:val="20"/>
                <w:sz w:val="19"/>
                <w:szCs w:val="19"/>
              </w:rPr>
              <w:t>置</w:t>
            </w:r>
            <w:r>
              <w:rPr>
                <w:spacing w:val="-28"/>
                <w:sz w:val="19"/>
                <w:szCs w:val="19"/>
              </w:rPr>
              <w:t xml:space="preserve"> </w:t>
            </w:r>
            <w:r>
              <w:rPr>
                <w:spacing w:val="20"/>
                <w:sz w:val="19"/>
                <w:szCs w:val="19"/>
              </w:rPr>
              <w:t>：</w:t>
            </w:r>
            <w:r>
              <w:rPr>
                <w:sz w:val="19"/>
                <w:szCs w:val="19"/>
              </w:rPr>
              <w:t xml:space="preserve"> </w:t>
            </w:r>
            <w:r>
              <w:rPr>
                <w:spacing w:val="-3"/>
                <w:sz w:val="19"/>
                <w:szCs w:val="19"/>
              </w:rPr>
              <w:t>治疗</w:t>
            </w:r>
            <w:r>
              <w:rPr>
                <w:sz w:val="19"/>
                <w:szCs w:val="19"/>
              </w:rPr>
              <w:t xml:space="preserve">  </w:t>
            </w:r>
            <w:r>
              <w:rPr>
                <w:spacing w:val="28"/>
                <w:sz w:val="19"/>
                <w:szCs w:val="19"/>
              </w:rPr>
              <w:t>碗1</w:t>
            </w:r>
            <w:r>
              <w:rPr>
                <w:sz w:val="19"/>
                <w:szCs w:val="19"/>
              </w:rPr>
              <w:t xml:space="preserve">  </w:t>
            </w:r>
            <w:r>
              <w:rPr>
                <w:spacing w:val="-17"/>
                <w:sz w:val="19"/>
                <w:szCs w:val="19"/>
              </w:rPr>
              <w:t>个(内</w:t>
            </w:r>
            <w:r>
              <w:rPr>
                <w:sz w:val="19"/>
                <w:szCs w:val="19"/>
              </w:rPr>
              <w:t xml:space="preserve"> </w:t>
            </w:r>
            <w:r>
              <w:rPr>
                <w:spacing w:val="-9"/>
                <w:sz w:val="19"/>
                <w:szCs w:val="19"/>
              </w:rPr>
              <w:t>置纱</w:t>
            </w:r>
            <w:r>
              <w:rPr>
                <w:sz w:val="19"/>
                <w:szCs w:val="19"/>
              </w:rPr>
              <w:t xml:space="preserve">  </w:t>
            </w:r>
            <w:r>
              <w:rPr>
                <w:spacing w:val="25"/>
                <w:sz w:val="19"/>
                <w:szCs w:val="19"/>
              </w:rPr>
              <w:t>布2</w:t>
            </w:r>
            <w:r>
              <w:rPr>
                <w:sz w:val="19"/>
                <w:szCs w:val="19"/>
              </w:rPr>
              <w:t xml:space="preserve">  </w:t>
            </w:r>
            <w:r>
              <w:rPr>
                <w:spacing w:val="-22"/>
                <w:w w:val="93"/>
                <w:sz w:val="19"/>
                <w:szCs w:val="19"/>
              </w:rPr>
              <w:t>块</w:t>
            </w:r>
            <w:r>
              <w:rPr>
                <w:spacing w:val="-35"/>
                <w:sz w:val="19"/>
                <w:szCs w:val="19"/>
              </w:rPr>
              <w:t xml:space="preserve"> </w:t>
            </w:r>
            <w:r>
              <w:rPr>
                <w:spacing w:val="-22"/>
                <w:w w:val="93"/>
                <w:sz w:val="19"/>
                <w:szCs w:val="19"/>
              </w:rPr>
              <w:t>)</w:t>
            </w:r>
            <w:r>
              <w:rPr>
                <w:spacing w:val="-44"/>
                <w:sz w:val="19"/>
                <w:szCs w:val="19"/>
              </w:rPr>
              <w:t xml:space="preserve"> </w:t>
            </w:r>
            <w:r>
              <w:rPr>
                <w:spacing w:val="-22"/>
                <w:w w:val="93"/>
                <w:sz w:val="19"/>
                <w:szCs w:val="19"/>
              </w:rPr>
              <w:t>、</w:t>
            </w:r>
            <w:r>
              <w:rPr>
                <w:sz w:val="19"/>
                <w:szCs w:val="19"/>
              </w:rPr>
              <w:t xml:space="preserve"> </w:t>
            </w:r>
            <w:r>
              <w:rPr>
                <w:spacing w:val="-3"/>
                <w:sz w:val="19"/>
                <w:szCs w:val="19"/>
              </w:rPr>
              <w:t>小药</w:t>
            </w:r>
            <w:r>
              <w:rPr>
                <w:sz w:val="19"/>
                <w:szCs w:val="19"/>
              </w:rPr>
              <w:t xml:space="preserve">  </w:t>
            </w:r>
            <w:r>
              <w:rPr>
                <w:spacing w:val="-17"/>
                <w:sz w:val="19"/>
                <w:szCs w:val="19"/>
              </w:rPr>
              <w:t>杯(内</w:t>
            </w:r>
            <w:r>
              <w:rPr>
                <w:sz w:val="19"/>
                <w:szCs w:val="19"/>
              </w:rPr>
              <w:t xml:space="preserve"> </w:t>
            </w:r>
            <w:r>
              <w:rPr>
                <w:spacing w:val="-10"/>
                <w:sz w:val="19"/>
                <w:szCs w:val="19"/>
              </w:rPr>
              <w:t>盛开</w:t>
            </w:r>
            <w:r>
              <w:rPr>
                <w:sz w:val="19"/>
                <w:szCs w:val="19"/>
              </w:rPr>
              <w:t xml:space="preserve">  </w:t>
            </w:r>
            <w:r>
              <w:rPr>
                <w:spacing w:val="-23"/>
                <w:w w:val="93"/>
                <w:sz w:val="19"/>
                <w:szCs w:val="19"/>
              </w:rPr>
              <w:t>水</w:t>
            </w:r>
            <w:r>
              <w:rPr>
                <w:spacing w:val="-33"/>
                <w:sz w:val="19"/>
                <w:szCs w:val="19"/>
              </w:rPr>
              <w:t xml:space="preserve"> </w:t>
            </w:r>
            <w:r>
              <w:rPr>
                <w:spacing w:val="-23"/>
                <w:w w:val="93"/>
                <w:sz w:val="19"/>
                <w:szCs w:val="19"/>
              </w:rPr>
              <w:t>)</w:t>
            </w:r>
            <w:r>
              <w:rPr>
                <w:spacing w:val="-43"/>
                <w:sz w:val="19"/>
                <w:szCs w:val="19"/>
              </w:rPr>
              <w:t xml:space="preserve"> </w:t>
            </w:r>
            <w:r>
              <w:rPr>
                <w:spacing w:val="-23"/>
                <w:w w:val="93"/>
                <w:sz w:val="19"/>
                <w:szCs w:val="19"/>
              </w:rPr>
              <w:t>、</w:t>
            </w:r>
            <w:r>
              <w:rPr>
                <w:sz w:val="19"/>
                <w:szCs w:val="19"/>
              </w:rPr>
              <w:t xml:space="preserve"> </w:t>
            </w:r>
            <w:r>
              <w:rPr>
                <w:spacing w:val="-18"/>
                <w:sz w:val="18"/>
                <w:szCs w:val="18"/>
              </w:rPr>
              <w:t>弯盘、</w:t>
            </w:r>
            <w:r>
              <w:rPr>
                <w:sz w:val="18"/>
                <w:szCs w:val="18"/>
              </w:rPr>
              <w:t xml:space="preserve"> </w:t>
            </w:r>
            <w:r>
              <w:rPr>
                <w:spacing w:val="-18"/>
                <w:sz w:val="18"/>
                <w:szCs w:val="18"/>
              </w:rPr>
              <w:t>棉签、</w:t>
            </w:r>
            <w:r>
              <w:rPr>
                <w:sz w:val="18"/>
                <w:szCs w:val="18"/>
              </w:rPr>
              <w:t xml:space="preserve"> </w:t>
            </w:r>
            <w:r>
              <w:rPr>
                <w:spacing w:val="-10"/>
                <w:sz w:val="19"/>
                <w:szCs w:val="19"/>
              </w:rPr>
              <w:t>手电</w:t>
            </w:r>
            <w:r>
              <w:rPr>
                <w:sz w:val="19"/>
                <w:szCs w:val="19"/>
              </w:rPr>
              <w:t xml:space="preserve">  </w:t>
            </w:r>
            <w:r>
              <w:rPr>
                <w:spacing w:val="-2"/>
                <w:sz w:val="19"/>
                <w:szCs w:val="19"/>
              </w:rPr>
              <w:t>筒</w:t>
            </w:r>
            <w:r>
              <w:rPr>
                <w:spacing w:val="15"/>
                <w:sz w:val="19"/>
                <w:szCs w:val="19"/>
              </w:rPr>
              <w:t xml:space="preserve"> </w:t>
            </w:r>
            <w:r>
              <w:rPr>
                <w:spacing w:val="-2"/>
                <w:sz w:val="19"/>
                <w:szCs w:val="19"/>
              </w:rPr>
              <w:t>、</w:t>
            </w:r>
            <w:r>
              <w:rPr>
                <w:sz w:val="19"/>
                <w:szCs w:val="19"/>
              </w:rPr>
              <w:t xml:space="preserve"> </w:t>
            </w:r>
            <w:r>
              <w:rPr>
                <w:spacing w:val="-10"/>
                <w:sz w:val="19"/>
                <w:szCs w:val="19"/>
              </w:rPr>
              <w:t>用氧</w:t>
            </w:r>
            <w:r>
              <w:rPr>
                <w:sz w:val="19"/>
                <w:szCs w:val="19"/>
              </w:rPr>
              <w:t xml:space="preserve">  </w:t>
            </w:r>
            <w:r>
              <w:rPr>
                <w:spacing w:val="8"/>
                <w:sz w:val="19"/>
                <w:szCs w:val="19"/>
              </w:rPr>
              <w:t>记录</w:t>
            </w:r>
            <w:r>
              <w:rPr>
                <w:sz w:val="19"/>
                <w:szCs w:val="19"/>
              </w:rPr>
              <w:t xml:space="preserve">  </w:t>
            </w:r>
            <w:r>
              <w:rPr>
                <w:spacing w:val="-1"/>
                <w:sz w:val="19"/>
                <w:szCs w:val="19"/>
              </w:rPr>
              <w:t>单</w:t>
            </w:r>
            <w:r>
              <w:rPr>
                <w:spacing w:val="14"/>
                <w:sz w:val="19"/>
                <w:szCs w:val="19"/>
              </w:rPr>
              <w:t xml:space="preserve"> </w:t>
            </w:r>
            <w:r>
              <w:rPr>
                <w:spacing w:val="-1"/>
                <w:sz w:val="19"/>
                <w:szCs w:val="19"/>
              </w:rPr>
              <w:t>、</w:t>
            </w:r>
            <w:r>
              <w:rPr>
                <w:sz w:val="19"/>
                <w:szCs w:val="19"/>
              </w:rPr>
              <w:t xml:space="preserve"> </w:t>
            </w:r>
            <w:r>
              <w:rPr>
                <w:spacing w:val="-1"/>
                <w:sz w:val="19"/>
                <w:szCs w:val="19"/>
              </w:rPr>
              <w:t>无菌</w:t>
            </w:r>
            <w:r>
              <w:rPr>
                <w:sz w:val="19"/>
                <w:szCs w:val="19"/>
              </w:rPr>
              <w:t xml:space="preserve">  </w:t>
            </w:r>
            <w:r>
              <w:rPr>
                <w:spacing w:val="-11"/>
                <w:sz w:val="19"/>
                <w:szCs w:val="19"/>
              </w:rPr>
              <w:t>蒸馏</w:t>
            </w:r>
            <w:r>
              <w:rPr>
                <w:sz w:val="19"/>
                <w:szCs w:val="19"/>
              </w:rPr>
              <w:t xml:space="preserve">  </w:t>
            </w:r>
            <w:r>
              <w:rPr>
                <w:spacing w:val="20"/>
                <w:sz w:val="19"/>
                <w:szCs w:val="19"/>
              </w:rPr>
              <w:t>水。</w:t>
            </w:r>
          </w:p>
          <w:p w14:paraId="05A9D985">
            <w:pPr>
              <w:pStyle w:val="6"/>
              <w:spacing w:before="22" w:line="206" w:lineRule="auto"/>
              <w:ind w:left="51" w:right="13"/>
              <w:rPr>
                <w:sz w:val="19"/>
                <w:szCs w:val="19"/>
              </w:rPr>
            </w:pPr>
            <w:r>
              <w:rPr>
                <w:spacing w:val="5"/>
                <w:sz w:val="19"/>
                <w:szCs w:val="19"/>
              </w:rPr>
              <w:t>3.治</w:t>
            </w:r>
            <w:r>
              <w:rPr>
                <w:sz w:val="19"/>
                <w:szCs w:val="19"/>
              </w:rPr>
              <w:t xml:space="preserve"> </w:t>
            </w:r>
            <w:r>
              <w:rPr>
                <w:spacing w:val="-4"/>
                <w:sz w:val="19"/>
                <w:szCs w:val="19"/>
              </w:rPr>
              <w:t>疗车</w:t>
            </w:r>
            <w:r>
              <w:rPr>
                <w:sz w:val="19"/>
                <w:szCs w:val="19"/>
              </w:rPr>
              <w:t xml:space="preserve"> </w:t>
            </w:r>
            <w:r>
              <w:rPr>
                <w:spacing w:val="5"/>
                <w:sz w:val="19"/>
                <w:szCs w:val="19"/>
              </w:rPr>
              <w:t>下层</w:t>
            </w:r>
            <w:r>
              <w:rPr>
                <w:sz w:val="19"/>
                <w:szCs w:val="19"/>
              </w:rPr>
              <w:t xml:space="preserve"> </w:t>
            </w:r>
            <w:r>
              <w:rPr>
                <w:spacing w:val="7"/>
                <w:sz w:val="19"/>
                <w:szCs w:val="19"/>
              </w:rPr>
              <w:t>放小</w:t>
            </w:r>
            <w:r>
              <w:rPr>
                <w:sz w:val="19"/>
                <w:szCs w:val="19"/>
              </w:rPr>
              <w:t xml:space="preserve"> </w:t>
            </w:r>
            <w:r>
              <w:rPr>
                <w:spacing w:val="12"/>
                <w:sz w:val="19"/>
                <w:szCs w:val="19"/>
              </w:rPr>
              <w:t>桶内</w:t>
            </w:r>
            <w:r>
              <w:rPr>
                <w:sz w:val="19"/>
                <w:szCs w:val="19"/>
              </w:rPr>
              <w:t xml:space="preserve"> </w:t>
            </w:r>
            <w:r>
              <w:rPr>
                <w:spacing w:val="-5"/>
                <w:sz w:val="19"/>
                <w:szCs w:val="19"/>
              </w:rPr>
              <w:t>套黄</w:t>
            </w:r>
            <w:r>
              <w:rPr>
                <w:sz w:val="19"/>
                <w:szCs w:val="19"/>
              </w:rPr>
              <w:t xml:space="preserve"> </w:t>
            </w:r>
            <w:r>
              <w:rPr>
                <w:spacing w:val="-5"/>
                <w:sz w:val="19"/>
                <w:szCs w:val="19"/>
              </w:rPr>
              <w:t>色垃</w:t>
            </w:r>
            <w:r>
              <w:rPr>
                <w:sz w:val="19"/>
                <w:szCs w:val="19"/>
              </w:rPr>
              <w:t xml:space="preserve"> </w:t>
            </w:r>
            <w:r>
              <w:rPr>
                <w:spacing w:val="32"/>
                <w:w w:val="126"/>
                <w:sz w:val="19"/>
                <w:szCs w:val="19"/>
              </w:rPr>
              <w:t>圾</w:t>
            </w:r>
            <w:r>
              <w:rPr>
                <w:sz w:val="19"/>
                <w:szCs w:val="19"/>
              </w:rPr>
              <w:t xml:space="preserve">  </w:t>
            </w:r>
            <w:r>
              <w:rPr>
                <w:spacing w:val="22"/>
                <w:sz w:val="19"/>
                <w:szCs w:val="19"/>
              </w:rPr>
              <w:t>袋。</w:t>
            </w:r>
          </w:p>
        </w:tc>
        <w:tc>
          <w:tcPr>
            <w:tcW w:w="1039" w:type="dxa"/>
            <w:vAlign w:val="top"/>
          </w:tcPr>
          <w:p w14:paraId="3B9A706D">
            <w:pPr>
              <w:rPr>
                <w:rFonts w:ascii="Arial"/>
                <w:sz w:val="21"/>
              </w:rPr>
            </w:pPr>
          </w:p>
        </w:tc>
        <w:tc>
          <w:tcPr>
            <w:tcW w:w="3556" w:type="dxa"/>
            <w:vAlign w:val="top"/>
          </w:tcPr>
          <w:p w14:paraId="20E07EAC">
            <w:pPr>
              <w:pStyle w:val="6"/>
              <w:spacing w:before="37" w:line="211" w:lineRule="auto"/>
              <w:ind w:left="22" w:hanging="9"/>
              <w:rPr>
                <w:sz w:val="19"/>
                <w:szCs w:val="19"/>
              </w:rPr>
            </w:pPr>
            <w:r>
              <w:rPr>
                <w:spacing w:val="-4"/>
                <w:sz w:val="19"/>
                <w:szCs w:val="19"/>
              </w:rPr>
              <w:t>8.打开流量表开关，根据病情调节氧流量，</w:t>
            </w:r>
            <w:r>
              <w:rPr>
                <w:spacing w:val="1"/>
                <w:sz w:val="19"/>
                <w:szCs w:val="19"/>
              </w:rPr>
              <w:t xml:space="preserve"> </w:t>
            </w:r>
            <w:r>
              <w:rPr>
                <w:spacing w:val="-4"/>
                <w:sz w:val="19"/>
                <w:szCs w:val="19"/>
              </w:rPr>
              <w:t>确定氧气流出通畅，无漏气。</w:t>
            </w:r>
          </w:p>
          <w:p w14:paraId="01BCAB3A">
            <w:pPr>
              <w:spacing w:line="370" w:lineRule="auto"/>
              <w:rPr>
                <w:rFonts w:ascii="Arial"/>
                <w:sz w:val="21"/>
              </w:rPr>
            </w:pPr>
          </w:p>
          <w:p w14:paraId="6E4CFC67">
            <w:pPr>
              <w:pStyle w:val="6"/>
              <w:spacing w:before="62" w:line="217" w:lineRule="auto"/>
              <w:ind w:left="23"/>
              <w:jc w:val="both"/>
              <w:rPr>
                <w:sz w:val="19"/>
                <w:szCs w:val="19"/>
              </w:rPr>
            </w:pPr>
            <w:r>
              <w:rPr>
                <w:spacing w:val="-5"/>
                <w:sz w:val="19"/>
                <w:szCs w:val="19"/>
              </w:rPr>
              <w:t>9.将一次性吸氧管前端放入小药杯冷开水中</w:t>
            </w:r>
            <w:r>
              <w:rPr>
                <w:spacing w:val="11"/>
                <w:sz w:val="19"/>
                <w:szCs w:val="19"/>
              </w:rPr>
              <w:t xml:space="preserve"> </w:t>
            </w:r>
            <w:r>
              <w:rPr>
                <w:spacing w:val="-6"/>
                <w:sz w:val="19"/>
                <w:szCs w:val="19"/>
              </w:rPr>
              <w:t>湿润，并检查吸氧管和鼻塞是否通畅。将鼻</w:t>
            </w:r>
            <w:r>
              <w:rPr>
                <w:spacing w:val="14"/>
                <w:sz w:val="19"/>
                <w:szCs w:val="19"/>
              </w:rPr>
              <w:t xml:space="preserve"> </w:t>
            </w:r>
            <w:r>
              <w:rPr>
                <w:spacing w:val="-2"/>
                <w:sz w:val="19"/>
                <w:szCs w:val="19"/>
              </w:rPr>
              <w:t>塞轻轻置入鼻孔，妥善固定。</w:t>
            </w:r>
          </w:p>
          <w:p w14:paraId="799A9883">
            <w:pPr>
              <w:pStyle w:val="6"/>
              <w:spacing w:before="2" w:line="210" w:lineRule="auto"/>
              <w:ind w:left="23" w:firstLine="29"/>
              <w:jc w:val="both"/>
              <w:rPr>
                <w:sz w:val="19"/>
                <w:szCs w:val="19"/>
              </w:rPr>
            </w:pPr>
            <w:r>
              <w:rPr>
                <w:spacing w:val="-2"/>
                <w:sz w:val="19"/>
                <w:szCs w:val="19"/>
              </w:rPr>
              <w:t>10.指导进行有效呼吸，告知不可自行摘除</w:t>
            </w:r>
            <w:r>
              <w:rPr>
                <w:spacing w:val="10"/>
                <w:sz w:val="19"/>
                <w:szCs w:val="19"/>
              </w:rPr>
              <w:t xml:space="preserve"> </w:t>
            </w:r>
            <w:r>
              <w:rPr>
                <w:spacing w:val="-5"/>
                <w:sz w:val="19"/>
                <w:szCs w:val="19"/>
              </w:rPr>
              <w:t>鼻塞和调节氧流量，放置呼叫器于病人可及</w:t>
            </w:r>
            <w:r>
              <w:rPr>
                <w:spacing w:val="6"/>
                <w:sz w:val="19"/>
                <w:szCs w:val="19"/>
              </w:rPr>
              <w:t xml:space="preserve"> </w:t>
            </w:r>
            <w:r>
              <w:rPr>
                <w:spacing w:val="-1"/>
                <w:sz w:val="19"/>
                <w:szCs w:val="19"/>
              </w:rPr>
              <w:t>处，密切观察缺氧改善情况。</w:t>
            </w:r>
          </w:p>
          <w:p w14:paraId="3259D4A0">
            <w:pPr>
              <w:pStyle w:val="6"/>
              <w:spacing w:line="219" w:lineRule="auto"/>
              <w:ind w:left="33"/>
              <w:rPr>
                <w:sz w:val="19"/>
                <w:szCs w:val="19"/>
              </w:rPr>
            </w:pPr>
            <w:r>
              <w:rPr>
                <w:spacing w:val="-1"/>
                <w:sz w:val="19"/>
                <w:szCs w:val="19"/>
              </w:rPr>
              <w:t>11.协助病人取舒适体位，整理床单位。</w:t>
            </w:r>
          </w:p>
          <w:p w14:paraId="7068F395">
            <w:pPr>
              <w:pStyle w:val="6"/>
              <w:spacing w:before="215" w:line="220" w:lineRule="auto"/>
              <w:ind w:left="33"/>
              <w:rPr>
                <w:sz w:val="19"/>
                <w:szCs w:val="19"/>
              </w:rPr>
            </w:pPr>
            <w:r>
              <w:rPr>
                <w:sz w:val="19"/>
                <w:szCs w:val="19"/>
              </w:rPr>
              <w:t>12.洗手。</w:t>
            </w:r>
          </w:p>
          <w:p w14:paraId="3561DE75">
            <w:pPr>
              <w:pStyle w:val="6"/>
              <w:spacing w:before="1" w:line="219" w:lineRule="auto"/>
              <w:ind w:left="33"/>
              <w:rPr>
                <w:sz w:val="19"/>
                <w:szCs w:val="19"/>
              </w:rPr>
            </w:pPr>
            <w:r>
              <w:rPr>
                <w:spacing w:val="-1"/>
                <w:sz w:val="19"/>
                <w:szCs w:val="19"/>
              </w:rPr>
              <w:t>13.签名，记录用氧时间及氧流量。</w:t>
            </w:r>
          </w:p>
          <w:p w14:paraId="1C6669B6">
            <w:pPr>
              <w:pStyle w:val="6"/>
              <w:spacing w:before="216" w:line="219" w:lineRule="auto"/>
              <w:ind w:left="23" w:firstLine="9"/>
              <w:jc w:val="both"/>
              <w:rPr>
                <w:sz w:val="19"/>
                <w:szCs w:val="19"/>
              </w:rPr>
            </w:pPr>
            <w:r>
              <w:rPr>
                <w:spacing w:val="-18"/>
                <w:sz w:val="19"/>
                <w:szCs w:val="19"/>
              </w:rPr>
              <w:t>14.停吸氧时，核对床号、姓名，向病人解释，</w:t>
            </w:r>
            <w:r>
              <w:rPr>
                <w:spacing w:val="13"/>
                <w:sz w:val="19"/>
                <w:szCs w:val="19"/>
              </w:rPr>
              <w:t xml:space="preserve"> </w:t>
            </w:r>
            <w:r>
              <w:rPr>
                <w:spacing w:val="-10"/>
                <w:sz w:val="19"/>
                <w:szCs w:val="19"/>
              </w:rPr>
              <w:t>取下鼻塞，擦净鼻部。关总开关，再放出流</w:t>
            </w:r>
            <w:r>
              <w:rPr>
                <w:spacing w:val="8"/>
                <w:sz w:val="19"/>
                <w:szCs w:val="19"/>
              </w:rPr>
              <w:t xml:space="preserve">  </w:t>
            </w:r>
            <w:r>
              <w:rPr>
                <w:spacing w:val="-4"/>
                <w:sz w:val="19"/>
                <w:szCs w:val="19"/>
              </w:rPr>
              <w:t>量表内余气，取下流量表。</w:t>
            </w:r>
          </w:p>
          <w:p w14:paraId="48470A83">
            <w:pPr>
              <w:pStyle w:val="6"/>
              <w:spacing w:before="213" w:line="219" w:lineRule="auto"/>
              <w:jc w:val="right"/>
              <w:rPr>
                <w:sz w:val="19"/>
                <w:szCs w:val="19"/>
              </w:rPr>
            </w:pPr>
            <w:r>
              <w:rPr>
                <w:spacing w:val="-9"/>
                <w:sz w:val="19"/>
                <w:szCs w:val="19"/>
              </w:rPr>
              <w:t>15.询问病人对操作的感受，观察吸氧效果。</w:t>
            </w:r>
          </w:p>
          <w:p w14:paraId="30ABCDAD">
            <w:pPr>
              <w:pStyle w:val="6"/>
              <w:spacing w:before="195" w:line="223" w:lineRule="auto"/>
              <w:ind w:left="13" w:firstLine="20"/>
              <w:rPr>
                <w:sz w:val="19"/>
                <w:szCs w:val="19"/>
              </w:rPr>
            </w:pPr>
            <w:r>
              <w:rPr>
                <w:spacing w:val="-1"/>
                <w:sz w:val="19"/>
                <w:szCs w:val="19"/>
              </w:rPr>
              <w:t>16.协助病人取舒适体位，整理床单位，整</w:t>
            </w:r>
            <w:r>
              <w:rPr>
                <w:spacing w:val="16"/>
                <w:sz w:val="19"/>
                <w:szCs w:val="19"/>
              </w:rPr>
              <w:t xml:space="preserve"> </w:t>
            </w:r>
            <w:r>
              <w:rPr>
                <w:spacing w:val="-2"/>
                <w:sz w:val="19"/>
                <w:szCs w:val="19"/>
              </w:rPr>
              <w:t>理用物。</w:t>
            </w:r>
          </w:p>
          <w:p w14:paraId="0AD9C189">
            <w:pPr>
              <w:pStyle w:val="6"/>
              <w:spacing w:before="220" w:line="219" w:lineRule="auto"/>
              <w:ind w:left="23"/>
              <w:rPr>
                <w:sz w:val="19"/>
                <w:szCs w:val="19"/>
              </w:rPr>
            </w:pPr>
            <w:r>
              <w:rPr>
                <w:spacing w:val="-1"/>
                <w:sz w:val="19"/>
                <w:szCs w:val="19"/>
              </w:rPr>
              <w:t>17.洗手，记录停氧时间。</w:t>
            </w:r>
          </w:p>
        </w:tc>
        <w:tc>
          <w:tcPr>
            <w:tcW w:w="2297" w:type="dxa"/>
            <w:vAlign w:val="top"/>
          </w:tcPr>
          <w:p w14:paraId="59698630">
            <w:pPr>
              <w:pStyle w:val="6"/>
              <w:spacing w:before="37" w:line="205" w:lineRule="auto"/>
              <w:ind w:left="36"/>
              <w:rPr>
                <w:sz w:val="19"/>
                <w:szCs w:val="19"/>
              </w:rPr>
            </w:pPr>
            <w:r>
              <w:rPr>
                <w:spacing w:val="-1"/>
                <w:sz w:val="19"/>
                <w:szCs w:val="19"/>
              </w:rPr>
              <w:t>8.分值10分(不检查氧气</w:t>
            </w:r>
          </w:p>
          <w:p w14:paraId="08A41B82">
            <w:pPr>
              <w:pStyle w:val="6"/>
              <w:spacing w:before="3" w:line="219" w:lineRule="auto"/>
              <w:ind w:left="17" w:right="39" w:firstLine="29"/>
              <w:rPr>
                <w:sz w:val="19"/>
                <w:szCs w:val="19"/>
              </w:rPr>
            </w:pPr>
            <w:r>
              <w:rPr>
                <w:spacing w:val="1"/>
                <w:sz w:val="19"/>
                <w:szCs w:val="19"/>
              </w:rPr>
              <w:t xml:space="preserve">流出是否通畅扣3分；调节 </w:t>
            </w:r>
            <w:r>
              <w:rPr>
                <w:spacing w:val="3"/>
                <w:sz w:val="19"/>
                <w:szCs w:val="19"/>
              </w:rPr>
              <w:t>流量不准确扣2分；先插管</w:t>
            </w:r>
            <w:r>
              <w:rPr>
                <w:spacing w:val="8"/>
                <w:sz w:val="19"/>
                <w:szCs w:val="19"/>
              </w:rPr>
              <w:t xml:space="preserve"> </w:t>
            </w:r>
            <w:r>
              <w:rPr>
                <w:spacing w:val="5"/>
                <w:sz w:val="19"/>
                <w:szCs w:val="19"/>
              </w:rPr>
              <w:t>后调流量扣5分)</w:t>
            </w:r>
          </w:p>
          <w:p w14:paraId="79DE6200">
            <w:pPr>
              <w:pStyle w:val="6"/>
              <w:spacing w:line="210" w:lineRule="auto"/>
              <w:ind w:left="17" w:firstLine="29"/>
              <w:jc w:val="both"/>
              <w:rPr>
                <w:sz w:val="19"/>
                <w:szCs w:val="19"/>
              </w:rPr>
            </w:pPr>
            <w:r>
              <w:rPr>
                <w:spacing w:val="3"/>
                <w:sz w:val="19"/>
                <w:szCs w:val="19"/>
              </w:rPr>
              <w:t>9.分值6分(不固定扣3分；</w:t>
            </w:r>
            <w:r>
              <w:rPr>
                <w:spacing w:val="12"/>
                <w:sz w:val="19"/>
                <w:szCs w:val="19"/>
              </w:rPr>
              <w:t xml:space="preserve"> </w:t>
            </w:r>
            <w:r>
              <w:rPr>
                <w:sz w:val="19"/>
                <w:szCs w:val="19"/>
              </w:rPr>
              <w:t xml:space="preserve">固定不牢扣2分；未湿润鼻  </w:t>
            </w:r>
            <w:r>
              <w:rPr>
                <w:spacing w:val="5"/>
                <w:sz w:val="19"/>
                <w:szCs w:val="19"/>
              </w:rPr>
              <w:t>塞扣1分)</w:t>
            </w:r>
          </w:p>
          <w:p w14:paraId="71FBC7E8">
            <w:pPr>
              <w:pStyle w:val="6"/>
              <w:spacing w:before="2" w:line="210" w:lineRule="auto"/>
              <w:ind w:left="17" w:right="41" w:firstLine="79"/>
              <w:jc w:val="both"/>
              <w:rPr>
                <w:sz w:val="19"/>
                <w:szCs w:val="19"/>
              </w:rPr>
            </w:pPr>
            <w:r>
              <w:rPr>
                <w:sz w:val="19"/>
                <w:szCs w:val="19"/>
              </w:rPr>
              <w:t>10.分值10分(未告知注意</w:t>
            </w:r>
            <w:r>
              <w:rPr>
                <w:spacing w:val="11"/>
                <w:sz w:val="19"/>
                <w:szCs w:val="19"/>
              </w:rPr>
              <w:t xml:space="preserve"> </w:t>
            </w:r>
            <w:r>
              <w:rPr>
                <w:spacing w:val="3"/>
                <w:sz w:val="19"/>
                <w:szCs w:val="19"/>
              </w:rPr>
              <w:t>事项扣5分；告知不全酌情</w:t>
            </w:r>
            <w:r>
              <w:rPr>
                <w:spacing w:val="6"/>
                <w:sz w:val="19"/>
                <w:szCs w:val="19"/>
              </w:rPr>
              <w:t xml:space="preserve"> 扣1-5分)</w:t>
            </w:r>
          </w:p>
          <w:p w14:paraId="71F6F222">
            <w:pPr>
              <w:pStyle w:val="6"/>
              <w:spacing w:before="1" w:line="213" w:lineRule="auto"/>
              <w:ind w:left="17" w:right="251" w:firstLine="19"/>
              <w:rPr>
                <w:sz w:val="19"/>
                <w:szCs w:val="19"/>
              </w:rPr>
            </w:pPr>
            <w:r>
              <w:rPr>
                <w:sz w:val="19"/>
                <w:szCs w:val="19"/>
              </w:rPr>
              <w:t>11.分值5分(未整理床单</w:t>
            </w:r>
            <w:r>
              <w:rPr>
                <w:spacing w:val="2"/>
                <w:sz w:val="19"/>
                <w:szCs w:val="19"/>
              </w:rPr>
              <w:t xml:space="preserve"> </w:t>
            </w:r>
            <w:r>
              <w:rPr>
                <w:spacing w:val="10"/>
                <w:sz w:val="19"/>
                <w:szCs w:val="19"/>
              </w:rPr>
              <w:t>扣2分)</w:t>
            </w:r>
          </w:p>
          <w:p w14:paraId="2A1128AE">
            <w:pPr>
              <w:pStyle w:val="6"/>
              <w:spacing w:line="217" w:lineRule="auto"/>
              <w:ind w:left="17" w:firstLine="28"/>
              <w:jc w:val="both"/>
              <w:rPr>
                <w:sz w:val="19"/>
                <w:szCs w:val="19"/>
              </w:rPr>
            </w:pPr>
            <w:r>
              <w:rPr>
                <w:spacing w:val="-4"/>
                <w:sz w:val="19"/>
                <w:szCs w:val="19"/>
              </w:rPr>
              <w:t>12.分值2分(未洗手扣2分)</w:t>
            </w:r>
            <w:r>
              <w:rPr>
                <w:spacing w:val="3"/>
                <w:sz w:val="19"/>
                <w:szCs w:val="19"/>
              </w:rPr>
              <w:t xml:space="preserve">  </w:t>
            </w:r>
            <w:r>
              <w:rPr>
                <w:spacing w:val="-1"/>
                <w:sz w:val="19"/>
                <w:szCs w:val="19"/>
              </w:rPr>
              <w:t>13.分值6分(未签名扣3分；</w:t>
            </w:r>
            <w:r>
              <w:rPr>
                <w:spacing w:val="3"/>
                <w:sz w:val="19"/>
                <w:szCs w:val="19"/>
              </w:rPr>
              <w:t xml:space="preserve"> </w:t>
            </w:r>
            <w:r>
              <w:rPr>
                <w:spacing w:val="-2"/>
                <w:sz w:val="19"/>
                <w:szCs w:val="19"/>
              </w:rPr>
              <w:t>未记录扣3分)</w:t>
            </w:r>
          </w:p>
          <w:p w14:paraId="3D6180C5">
            <w:pPr>
              <w:pStyle w:val="6"/>
              <w:spacing w:before="1" w:line="203" w:lineRule="auto"/>
              <w:ind w:left="36"/>
              <w:rPr>
                <w:sz w:val="19"/>
                <w:szCs w:val="19"/>
              </w:rPr>
            </w:pPr>
            <w:r>
              <w:rPr>
                <w:sz w:val="19"/>
                <w:szCs w:val="19"/>
              </w:rPr>
              <w:t>14.分值15分(不核对扣5</w:t>
            </w:r>
          </w:p>
          <w:p w14:paraId="0B818FA0">
            <w:pPr>
              <w:pStyle w:val="6"/>
              <w:spacing w:line="220" w:lineRule="auto"/>
              <w:ind w:left="17" w:right="41" w:firstLine="29"/>
              <w:rPr>
                <w:sz w:val="19"/>
                <w:szCs w:val="19"/>
              </w:rPr>
            </w:pPr>
            <w:r>
              <w:rPr>
                <w:spacing w:val="1"/>
                <w:sz w:val="19"/>
                <w:szCs w:val="19"/>
              </w:rPr>
              <w:t>分；不解释扣3分；先关流</w:t>
            </w:r>
            <w:r>
              <w:rPr>
                <w:sz w:val="19"/>
                <w:szCs w:val="19"/>
              </w:rPr>
              <w:t xml:space="preserve"> </w:t>
            </w:r>
            <w:r>
              <w:rPr>
                <w:spacing w:val="1"/>
                <w:sz w:val="19"/>
                <w:szCs w:val="19"/>
              </w:rPr>
              <w:t>量开关后拔管扣5分；不擦</w:t>
            </w:r>
            <w:r>
              <w:rPr>
                <w:spacing w:val="9"/>
                <w:sz w:val="19"/>
                <w:szCs w:val="19"/>
              </w:rPr>
              <w:t xml:space="preserve"> </w:t>
            </w:r>
            <w:r>
              <w:rPr>
                <w:spacing w:val="4"/>
                <w:sz w:val="19"/>
                <w:szCs w:val="19"/>
              </w:rPr>
              <w:t>净鼻腔分泌物扣2分)</w:t>
            </w:r>
          </w:p>
          <w:p w14:paraId="7D5E61D0">
            <w:pPr>
              <w:pStyle w:val="6"/>
              <w:spacing w:before="1" w:line="204" w:lineRule="auto"/>
              <w:ind w:left="17" w:right="271"/>
              <w:rPr>
                <w:sz w:val="19"/>
                <w:szCs w:val="19"/>
              </w:rPr>
            </w:pPr>
            <w:r>
              <w:rPr>
                <w:sz w:val="19"/>
                <w:szCs w:val="19"/>
              </w:rPr>
              <w:t>15.分值5分(未观察氧疗</w:t>
            </w:r>
            <w:r>
              <w:rPr>
                <w:spacing w:val="2"/>
                <w:sz w:val="19"/>
                <w:szCs w:val="19"/>
              </w:rPr>
              <w:t xml:space="preserve"> </w:t>
            </w:r>
            <w:r>
              <w:rPr>
                <w:spacing w:val="6"/>
                <w:sz w:val="19"/>
                <w:szCs w:val="19"/>
              </w:rPr>
              <w:t>效果扣5分)</w:t>
            </w:r>
          </w:p>
          <w:p w14:paraId="13BDD00A">
            <w:pPr>
              <w:pStyle w:val="6"/>
              <w:spacing w:line="219" w:lineRule="auto"/>
              <w:ind w:left="36"/>
              <w:rPr>
                <w:sz w:val="19"/>
                <w:szCs w:val="19"/>
              </w:rPr>
            </w:pPr>
            <w:r>
              <w:rPr>
                <w:sz w:val="19"/>
                <w:szCs w:val="19"/>
              </w:rPr>
              <w:t>16.分值6分(体位不舒适</w:t>
            </w:r>
          </w:p>
          <w:p w14:paraId="5370B4FD">
            <w:pPr>
              <w:pStyle w:val="6"/>
              <w:spacing w:before="14" w:line="208" w:lineRule="auto"/>
              <w:ind w:left="17" w:right="40" w:firstLine="29"/>
              <w:rPr>
                <w:sz w:val="19"/>
                <w:szCs w:val="19"/>
              </w:rPr>
            </w:pPr>
            <w:r>
              <w:rPr>
                <w:spacing w:val="1"/>
                <w:sz w:val="19"/>
                <w:szCs w:val="19"/>
              </w:rPr>
              <w:t xml:space="preserve">扣2分；未整理床单元及物 </w:t>
            </w:r>
            <w:r>
              <w:rPr>
                <w:spacing w:val="6"/>
                <w:sz w:val="19"/>
                <w:szCs w:val="19"/>
              </w:rPr>
              <w:t>品各扣2分)</w:t>
            </w:r>
          </w:p>
          <w:p w14:paraId="4241B649">
            <w:pPr>
              <w:pStyle w:val="6"/>
              <w:spacing w:before="13" w:line="213" w:lineRule="auto"/>
              <w:ind w:left="36" w:firstLine="9"/>
              <w:rPr>
                <w:sz w:val="19"/>
                <w:szCs w:val="19"/>
              </w:rPr>
            </w:pPr>
            <w:r>
              <w:rPr>
                <w:spacing w:val="-3"/>
                <w:sz w:val="19"/>
                <w:szCs w:val="19"/>
              </w:rPr>
              <w:t>17.分值4分(未洗手扣2分，</w:t>
            </w:r>
            <w:r>
              <w:rPr>
                <w:spacing w:val="4"/>
                <w:sz w:val="19"/>
                <w:szCs w:val="19"/>
              </w:rPr>
              <w:t xml:space="preserve"> </w:t>
            </w:r>
            <w:r>
              <w:rPr>
                <w:sz w:val="19"/>
                <w:szCs w:val="19"/>
              </w:rPr>
              <w:t>未记录停氧时间扣2分)</w:t>
            </w:r>
          </w:p>
          <w:p w14:paraId="27CDC9E0">
            <w:pPr>
              <w:pStyle w:val="6"/>
              <w:spacing w:before="3" w:line="212" w:lineRule="auto"/>
              <w:ind w:left="17" w:right="38" w:firstLine="29"/>
              <w:rPr>
                <w:sz w:val="19"/>
                <w:szCs w:val="19"/>
              </w:rPr>
            </w:pPr>
            <w:r>
              <w:rPr>
                <w:sz w:val="19"/>
                <w:szCs w:val="19"/>
              </w:rPr>
              <w:t>18.操作后评价：分值14分</w:t>
            </w:r>
            <w:r>
              <w:rPr>
                <w:spacing w:val="12"/>
                <w:sz w:val="19"/>
                <w:szCs w:val="19"/>
              </w:rPr>
              <w:t xml:space="preserve"> </w:t>
            </w:r>
            <w:r>
              <w:rPr>
                <w:spacing w:val="7"/>
                <w:sz w:val="19"/>
                <w:szCs w:val="19"/>
              </w:rPr>
              <w:t>(操作流程错误扣4分；关</w:t>
            </w:r>
            <w:r>
              <w:rPr>
                <w:spacing w:val="3"/>
                <w:sz w:val="19"/>
                <w:szCs w:val="19"/>
              </w:rPr>
              <w:t xml:space="preserve"> 心病人不够扣2-4分；未掌</w:t>
            </w:r>
            <w:r>
              <w:rPr>
                <w:spacing w:val="6"/>
                <w:sz w:val="19"/>
                <w:szCs w:val="19"/>
              </w:rPr>
              <w:t xml:space="preserve"> </w:t>
            </w:r>
            <w:r>
              <w:rPr>
                <w:spacing w:val="3"/>
                <w:sz w:val="19"/>
                <w:szCs w:val="19"/>
              </w:rPr>
              <w:t>握安全用氧原则扣6分)</w:t>
            </w:r>
          </w:p>
        </w:tc>
        <w:tc>
          <w:tcPr>
            <w:tcW w:w="837" w:type="dxa"/>
            <w:vAlign w:val="top"/>
          </w:tcPr>
          <w:p w14:paraId="5B015FAF">
            <w:pPr>
              <w:rPr>
                <w:rFonts w:ascii="Arial"/>
                <w:sz w:val="21"/>
              </w:rPr>
            </w:pPr>
          </w:p>
        </w:tc>
      </w:tr>
      <w:tr w14:paraId="6A29C8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61" w:hRule="atLeast"/>
        </w:trPr>
        <w:tc>
          <w:tcPr>
            <w:tcW w:w="484" w:type="dxa"/>
            <w:vAlign w:val="top"/>
          </w:tcPr>
          <w:p w14:paraId="3D0CCBB1">
            <w:pPr>
              <w:pStyle w:val="6"/>
              <w:spacing w:before="55" w:line="215" w:lineRule="auto"/>
              <w:ind w:left="44"/>
              <w:jc w:val="both"/>
              <w:rPr>
                <w:sz w:val="19"/>
                <w:szCs w:val="19"/>
              </w:rPr>
            </w:pPr>
            <w:r>
              <w:rPr>
                <w:spacing w:val="-3"/>
                <w:sz w:val="19"/>
                <w:szCs w:val="19"/>
              </w:rPr>
              <w:t>项目</w:t>
            </w:r>
            <w:r>
              <w:rPr>
                <w:sz w:val="19"/>
                <w:szCs w:val="19"/>
              </w:rPr>
              <w:t xml:space="preserve"> </w:t>
            </w:r>
            <w:r>
              <w:rPr>
                <w:spacing w:val="-28"/>
                <w:w w:val="96"/>
                <w:sz w:val="19"/>
                <w:szCs w:val="19"/>
              </w:rPr>
              <w:t>八</w:t>
            </w:r>
            <w:r>
              <w:rPr>
                <w:spacing w:val="24"/>
                <w:sz w:val="19"/>
                <w:szCs w:val="19"/>
              </w:rPr>
              <w:t xml:space="preserve"> </w:t>
            </w:r>
            <w:r>
              <w:rPr>
                <w:spacing w:val="-28"/>
                <w:w w:val="96"/>
                <w:sz w:val="19"/>
                <w:szCs w:val="19"/>
              </w:rPr>
              <w:t>、</w:t>
            </w:r>
            <w:r>
              <w:rPr>
                <w:sz w:val="19"/>
                <w:szCs w:val="19"/>
              </w:rPr>
              <w:t xml:space="preserve"> </w:t>
            </w:r>
            <w:r>
              <w:rPr>
                <w:spacing w:val="-14"/>
                <w:w w:val="95"/>
                <w:sz w:val="19"/>
                <w:szCs w:val="19"/>
              </w:rPr>
              <w:t>静脉</w:t>
            </w:r>
            <w:r>
              <w:rPr>
                <w:sz w:val="19"/>
                <w:szCs w:val="19"/>
              </w:rPr>
              <w:t xml:space="preserve">  </w:t>
            </w:r>
            <w:r>
              <w:rPr>
                <w:spacing w:val="-14"/>
                <w:w w:val="95"/>
                <w:sz w:val="19"/>
                <w:szCs w:val="19"/>
              </w:rPr>
              <w:t>注射</w:t>
            </w:r>
            <w:r>
              <w:rPr>
                <w:spacing w:val="1"/>
                <w:sz w:val="19"/>
                <w:szCs w:val="19"/>
              </w:rPr>
              <w:t xml:space="preserve">  </w:t>
            </w:r>
            <w:r>
              <w:rPr>
                <w:spacing w:val="13"/>
                <w:w w:val="122"/>
                <w:sz w:val="19"/>
                <w:szCs w:val="19"/>
              </w:rPr>
              <w:t>法</w:t>
            </w:r>
          </w:p>
        </w:tc>
        <w:tc>
          <w:tcPr>
            <w:tcW w:w="499" w:type="dxa"/>
            <w:vAlign w:val="top"/>
          </w:tcPr>
          <w:p w14:paraId="1F9B8133">
            <w:pPr>
              <w:pStyle w:val="6"/>
              <w:spacing w:before="67" w:line="214" w:lineRule="auto"/>
              <w:ind w:left="1" w:firstLine="42"/>
              <w:rPr>
                <w:sz w:val="19"/>
                <w:szCs w:val="19"/>
              </w:rPr>
            </w:pPr>
            <w:r>
              <w:rPr>
                <w:spacing w:val="-13"/>
                <w:w w:val="90"/>
                <w:sz w:val="19"/>
                <w:szCs w:val="19"/>
              </w:rPr>
              <w:t>注射</w:t>
            </w:r>
            <w:r>
              <w:rPr>
                <w:spacing w:val="1"/>
                <w:sz w:val="19"/>
                <w:szCs w:val="19"/>
              </w:rPr>
              <w:t xml:space="preserve">  </w:t>
            </w:r>
            <w:r>
              <w:rPr>
                <w:spacing w:val="-17"/>
                <w:sz w:val="19"/>
                <w:szCs w:val="19"/>
              </w:rPr>
              <w:t>盘(内</w:t>
            </w:r>
            <w:r>
              <w:rPr>
                <w:sz w:val="19"/>
                <w:szCs w:val="19"/>
              </w:rPr>
              <w:t xml:space="preserve"> </w:t>
            </w:r>
            <w:r>
              <w:rPr>
                <w:spacing w:val="-9"/>
                <w:sz w:val="19"/>
                <w:szCs w:val="19"/>
              </w:rPr>
              <w:t>置无</w:t>
            </w:r>
            <w:r>
              <w:rPr>
                <w:sz w:val="19"/>
                <w:szCs w:val="19"/>
              </w:rPr>
              <w:t xml:space="preserve">  </w:t>
            </w:r>
            <w:r>
              <w:rPr>
                <w:spacing w:val="-11"/>
                <w:sz w:val="19"/>
                <w:szCs w:val="19"/>
              </w:rPr>
              <w:t>菌持</w:t>
            </w:r>
            <w:r>
              <w:rPr>
                <w:sz w:val="19"/>
                <w:szCs w:val="19"/>
              </w:rPr>
              <w:t xml:space="preserve">  </w:t>
            </w:r>
            <w:r>
              <w:rPr>
                <w:spacing w:val="-18"/>
                <w:sz w:val="18"/>
                <w:szCs w:val="18"/>
              </w:rPr>
              <w:t>物镊、</w:t>
            </w:r>
            <w:r>
              <w:rPr>
                <w:sz w:val="18"/>
                <w:szCs w:val="18"/>
              </w:rPr>
              <w:t xml:space="preserve"> </w:t>
            </w:r>
            <w:r>
              <w:rPr>
                <w:spacing w:val="-11"/>
                <w:sz w:val="19"/>
                <w:szCs w:val="19"/>
              </w:rPr>
              <w:t>皮肤</w:t>
            </w:r>
            <w:r>
              <w:rPr>
                <w:sz w:val="19"/>
                <w:szCs w:val="19"/>
              </w:rPr>
              <w:t xml:space="preserve">  </w:t>
            </w:r>
            <w:r>
              <w:rPr>
                <w:spacing w:val="-2"/>
                <w:sz w:val="19"/>
                <w:szCs w:val="19"/>
              </w:rPr>
              <w:t>消毒</w:t>
            </w:r>
            <w:r>
              <w:rPr>
                <w:sz w:val="19"/>
                <w:szCs w:val="19"/>
              </w:rPr>
              <w:t xml:space="preserve">  </w:t>
            </w:r>
            <w:r>
              <w:rPr>
                <w:spacing w:val="-1"/>
                <w:sz w:val="19"/>
                <w:szCs w:val="19"/>
              </w:rPr>
              <w:t>液</w:t>
            </w:r>
            <w:r>
              <w:rPr>
                <w:spacing w:val="14"/>
                <w:sz w:val="19"/>
                <w:szCs w:val="19"/>
              </w:rPr>
              <w:t xml:space="preserve"> </w:t>
            </w:r>
            <w:r>
              <w:rPr>
                <w:spacing w:val="-1"/>
                <w:sz w:val="19"/>
                <w:szCs w:val="19"/>
              </w:rPr>
              <w:t>、</w:t>
            </w:r>
            <w:r>
              <w:rPr>
                <w:sz w:val="19"/>
                <w:szCs w:val="19"/>
              </w:rPr>
              <w:t xml:space="preserve"> </w:t>
            </w:r>
            <w:r>
              <w:rPr>
                <w:spacing w:val="-1"/>
                <w:sz w:val="19"/>
                <w:szCs w:val="19"/>
              </w:rPr>
              <w:t>无菌</w:t>
            </w:r>
            <w:r>
              <w:rPr>
                <w:sz w:val="19"/>
                <w:szCs w:val="19"/>
              </w:rPr>
              <w:t xml:space="preserve">  </w:t>
            </w:r>
            <w:r>
              <w:rPr>
                <w:spacing w:val="-18"/>
                <w:sz w:val="18"/>
                <w:szCs w:val="18"/>
              </w:rPr>
              <w:t>棉签、</w:t>
            </w:r>
            <w:r>
              <w:rPr>
                <w:sz w:val="18"/>
                <w:szCs w:val="18"/>
              </w:rPr>
              <w:t xml:space="preserve"> </w:t>
            </w:r>
            <w:r>
              <w:rPr>
                <w:spacing w:val="-18"/>
                <w:sz w:val="18"/>
                <w:szCs w:val="18"/>
              </w:rPr>
              <w:t>砂轮、</w:t>
            </w:r>
            <w:r>
              <w:rPr>
                <w:sz w:val="18"/>
                <w:szCs w:val="18"/>
              </w:rPr>
              <w:t xml:space="preserve"> </w:t>
            </w:r>
            <w:r>
              <w:rPr>
                <w:spacing w:val="-18"/>
                <w:sz w:val="18"/>
                <w:szCs w:val="18"/>
              </w:rPr>
              <w:t>弯盘、</w:t>
            </w:r>
            <w:r>
              <w:rPr>
                <w:sz w:val="18"/>
                <w:szCs w:val="18"/>
              </w:rPr>
              <w:t xml:space="preserve"> </w:t>
            </w:r>
            <w:r>
              <w:rPr>
                <w:spacing w:val="-11"/>
                <w:sz w:val="19"/>
                <w:szCs w:val="19"/>
              </w:rPr>
              <w:t>启瓶</w:t>
            </w:r>
            <w:r>
              <w:rPr>
                <w:sz w:val="19"/>
                <w:szCs w:val="19"/>
              </w:rPr>
              <w:t xml:space="preserve">  </w:t>
            </w:r>
            <w:r>
              <w:rPr>
                <w:spacing w:val="11"/>
                <w:sz w:val="19"/>
                <w:szCs w:val="19"/>
              </w:rPr>
              <w:t>器</w:t>
            </w:r>
            <w:r>
              <w:rPr>
                <w:spacing w:val="-42"/>
                <w:sz w:val="19"/>
                <w:szCs w:val="19"/>
              </w:rPr>
              <w:t xml:space="preserve"> </w:t>
            </w:r>
            <w:r>
              <w:rPr>
                <w:spacing w:val="11"/>
                <w:sz w:val="19"/>
                <w:szCs w:val="19"/>
              </w:rPr>
              <w:t>)</w:t>
            </w:r>
            <w:r>
              <w:rPr>
                <w:sz w:val="19"/>
                <w:szCs w:val="19"/>
              </w:rPr>
              <w:t xml:space="preserve">  </w:t>
            </w:r>
            <w:r>
              <w:rPr>
                <w:spacing w:val="-10"/>
                <w:sz w:val="19"/>
                <w:szCs w:val="19"/>
              </w:rPr>
              <w:t>合适</w:t>
            </w:r>
            <w:r>
              <w:rPr>
                <w:sz w:val="19"/>
                <w:szCs w:val="19"/>
              </w:rPr>
              <w:t xml:space="preserve">  </w:t>
            </w:r>
            <w:r>
              <w:rPr>
                <w:spacing w:val="-10"/>
                <w:sz w:val="19"/>
                <w:szCs w:val="19"/>
              </w:rPr>
              <w:t>注射</w:t>
            </w:r>
            <w:r>
              <w:rPr>
                <w:sz w:val="19"/>
                <w:szCs w:val="19"/>
              </w:rPr>
              <w:t xml:space="preserve">  </w:t>
            </w:r>
            <w:r>
              <w:rPr>
                <w:spacing w:val="-1"/>
                <w:sz w:val="19"/>
                <w:szCs w:val="19"/>
              </w:rPr>
              <w:t>器</w:t>
            </w:r>
            <w:r>
              <w:rPr>
                <w:spacing w:val="13"/>
                <w:sz w:val="19"/>
                <w:szCs w:val="19"/>
              </w:rPr>
              <w:t xml:space="preserve"> </w:t>
            </w:r>
            <w:r>
              <w:rPr>
                <w:spacing w:val="-1"/>
                <w:sz w:val="19"/>
                <w:szCs w:val="19"/>
              </w:rPr>
              <w:t>、</w:t>
            </w:r>
            <w:r>
              <w:rPr>
                <w:sz w:val="19"/>
                <w:szCs w:val="19"/>
              </w:rPr>
              <w:t xml:space="preserve"> </w:t>
            </w:r>
            <w:r>
              <w:rPr>
                <w:spacing w:val="14"/>
                <w:sz w:val="19"/>
                <w:szCs w:val="19"/>
              </w:rPr>
              <w:t>6-9</w:t>
            </w:r>
          </w:p>
          <w:p w14:paraId="59863C02">
            <w:pPr>
              <w:pStyle w:val="6"/>
              <w:spacing w:before="2" w:line="218" w:lineRule="auto"/>
              <w:ind w:left="10" w:firstLine="34"/>
              <w:rPr>
                <w:sz w:val="18"/>
                <w:szCs w:val="18"/>
              </w:rPr>
            </w:pPr>
            <w:r>
              <w:rPr>
                <w:spacing w:val="-18"/>
                <w:w w:val="96"/>
                <w:sz w:val="19"/>
                <w:szCs w:val="19"/>
              </w:rPr>
              <w:t>号针</w:t>
            </w:r>
            <w:r>
              <w:rPr>
                <w:sz w:val="19"/>
                <w:szCs w:val="19"/>
              </w:rPr>
              <w:t xml:space="preserve">  </w:t>
            </w:r>
            <w:r>
              <w:rPr>
                <w:spacing w:val="-16"/>
                <w:sz w:val="19"/>
                <w:szCs w:val="19"/>
              </w:rPr>
              <w:t>头或</w:t>
            </w:r>
            <w:r>
              <w:rPr>
                <w:sz w:val="19"/>
                <w:szCs w:val="19"/>
              </w:rPr>
              <w:t xml:space="preserve">  </w:t>
            </w:r>
            <w:r>
              <w:rPr>
                <w:spacing w:val="-21"/>
                <w:sz w:val="18"/>
                <w:szCs w:val="18"/>
              </w:rPr>
              <w:t>皮针、</w:t>
            </w:r>
          </w:p>
        </w:tc>
        <w:tc>
          <w:tcPr>
            <w:tcW w:w="1039" w:type="dxa"/>
            <w:vAlign w:val="top"/>
          </w:tcPr>
          <w:p w14:paraId="63F76ACE">
            <w:pPr>
              <w:pStyle w:val="6"/>
              <w:spacing w:before="62" w:line="213" w:lineRule="auto"/>
              <w:ind w:left="12" w:firstLine="19"/>
              <w:jc w:val="both"/>
              <w:rPr>
                <w:sz w:val="19"/>
                <w:szCs w:val="19"/>
              </w:rPr>
            </w:pPr>
            <w:r>
              <w:rPr>
                <w:sz w:val="19"/>
                <w:szCs w:val="19"/>
              </w:rPr>
              <w:t>1.护士准备</w:t>
            </w:r>
            <w:r>
              <w:rPr>
                <w:spacing w:val="1"/>
                <w:sz w:val="19"/>
                <w:szCs w:val="19"/>
              </w:rPr>
              <w:t xml:space="preserve"> </w:t>
            </w:r>
            <w:r>
              <w:rPr>
                <w:sz w:val="19"/>
                <w:szCs w:val="19"/>
              </w:rPr>
              <w:t>2.核对解释</w:t>
            </w:r>
            <w:r>
              <w:rPr>
                <w:spacing w:val="3"/>
                <w:sz w:val="19"/>
                <w:szCs w:val="19"/>
              </w:rPr>
              <w:t xml:space="preserve"> </w:t>
            </w:r>
            <w:r>
              <w:rPr>
                <w:sz w:val="19"/>
                <w:szCs w:val="19"/>
              </w:rPr>
              <w:t>3.选择静脉</w:t>
            </w:r>
            <w:r>
              <w:rPr>
                <w:spacing w:val="1"/>
                <w:sz w:val="19"/>
                <w:szCs w:val="19"/>
              </w:rPr>
              <w:t xml:space="preserve"> 4.扎止血带</w:t>
            </w:r>
            <w:r>
              <w:rPr>
                <w:sz w:val="19"/>
                <w:szCs w:val="19"/>
              </w:rPr>
              <w:t xml:space="preserve"> 5.消毒皮肤</w:t>
            </w:r>
            <w:r>
              <w:rPr>
                <w:spacing w:val="1"/>
                <w:sz w:val="19"/>
                <w:szCs w:val="19"/>
              </w:rPr>
              <w:t xml:space="preserve"> </w:t>
            </w:r>
            <w:r>
              <w:rPr>
                <w:spacing w:val="4"/>
                <w:sz w:val="19"/>
                <w:szCs w:val="19"/>
              </w:rPr>
              <w:t>6.核对排气</w:t>
            </w:r>
            <w:r>
              <w:rPr>
                <w:spacing w:val="1"/>
                <w:sz w:val="19"/>
                <w:szCs w:val="19"/>
              </w:rPr>
              <w:t xml:space="preserve"> </w:t>
            </w:r>
            <w:r>
              <w:rPr>
                <w:spacing w:val="3"/>
                <w:sz w:val="19"/>
                <w:szCs w:val="19"/>
              </w:rPr>
              <w:t>7.穿刺静脉</w:t>
            </w:r>
            <w:r>
              <w:rPr>
                <w:spacing w:val="2"/>
                <w:sz w:val="19"/>
                <w:szCs w:val="19"/>
              </w:rPr>
              <w:t xml:space="preserve"> </w:t>
            </w:r>
            <w:r>
              <w:rPr>
                <w:spacing w:val="4"/>
                <w:sz w:val="19"/>
                <w:szCs w:val="19"/>
              </w:rPr>
              <w:t>8.两松固定</w:t>
            </w:r>
            <w:r>
              <w:rPr>
                <w:spacing w:val="1"/>
                <w:sz w:val="19"/>
                <w:szCs w:val="19"/>
              </w:rPr>
              <w:t xml:space="preserve"> </w:t>
            </w:r>
            <w:r>
              <w:rPr>
                <w:sz w:val="19"/>
                <w:szCs w:val="19"/>
              </w:rPr>
              <w:t>9.注药观察</w:t>
            </w:r>
            <w:r>
              <w:rPr>
                <w:spacing w:val="4"/>
                <w:sz w:val="19"/>
                <w:szCs w:val="19"/>
              </w:rPr>
              <w:t xml:space="preserve"> </w:t>
            </w:r>
            <w:r>
              <w:rPr>
                <w:spacing w:val="-5"/>
                <w:sz w:val="19"/>
                <w:szCs w:val="19"/>
              </w:rPr>
              <w:t>10.拔针按压</w:t>
            </w:r>
            <w:r>
              <w:rPr>
                <w:spacing w:val="5"/>
                <w:sz w:val="19"/>
                <w:szCs w:val="19"/>
              </w:rPr>
              <w:t xml:space="preserve"> </w:t>
            </w:r>
            <w:r>
              <w:rPr>
                <w:spacing w:val="-5"/>
                <w:sz w:val="19"/>
                <w:szCs w:val="19"/>
              </w:rPr>
              <w:t>11.整理记录</w:t>
            </w:r>
          </w:p>
        </w:tc>
        <w:tc>
          <w:tcPr>
            <w:tcW w:w="3556" w:type="dxa"/>
            <w:vAlign w:val="top"/>
          </w:tcPr>
          <w:p w14:paraId="76938237">
            <w:pPr>
              <w:pStyle w:val="6"/>
              <w:spacing w:before="53" w:line="203" w:lineRule="auto"/>
              <w:ind w:left="33"/>
              <w:rPr>
                <w:sz w:val="19"/>
                <w:szCs w:val="19"/>
              </w:rPr>
            </w:pPr>
            <w:r>
              <w:rPr>
                <w:spacing w:val="-1"/>
                <w:sz w:val="19"/>
                <w:szCs w:val="19"/>
              </w:rPr>
              <w:t>1.护士仪表整洁、戴口罩、洗手。</w:t>
            </w:r>
          </w:p>
          <w:p w14:paraId="701C2973">
            <w:pPr>
              <w:pStyle w:val="6"/>
              <w:spacing w:line="214" w:lineRule="auto"/>
              <w:ind w:left="13"/>
              <w:jc w:val="both"/>
              <w:rPr>
                <w:sz w:val="19"/>
                <w:szCs w:val="19"/>
              </w:rPr>
            </w:pPr>
            <w:r>
              <w:rPr>
                <w:spacing w:val="-5"/>
                <w:sz w:val="19"/>
                <w:szCs w:val="19"/>
              </w:rPr>
              <w:t>2.态度和蔼、评估病人：了解病人病情，评</w:t>
            </w:r>
            <w:r>
              <w:rPr>
                <w:spacing w:val="7"/>
                <w:sz w:val="19"/>
                <w:szCs w:val="19"/>
              </w:rPr>
              <w:t xml:space="preserve"> </w:t>
            </w:r>
            <w:r>
              <w:rPr>
                <w:spacing w:val="-5"/>
                <w:sz w:val="19"/>
                <w:szCs w:val="19"/>
              </w:rPr>
              <w:t>估注射部位皮肤、血管情况，特殊药物询问</w:t>
            </w:r>
            <w:r>
              <w:rPr>
                <w:spacing w:val="16"/>
                <w:sz w:val="19"/>
                <w:szCs w:val="19"/>
              </w:rPr>
              <w:t xml:space="preserve"> </w:t>
            </w:r>
            <w:r>
              <w:rPr>
                <w:spacing w:val="-2"/>
                <w:sz w:val="19"/>
                <w:szCs w:val="19"/>
              </w:rPr>
              <w:t>过敏史。</w:t>
            </w:r>
          </w:p>
          <w:p w14:paraId="1A34F41A">
            <w:pPr>
              <w:pStyle w:val="6"/>
              <w:spacing w:before="1" w:line="218" w:lineRule="auto"/>
              <w:ind w:left="13" w:right="18" w:firstLine="10"/>
              <w:jc w:val="both"/>
              <w:rPr>
                <w:sz w:val="19"/>
                <w:szCs w:val="19"/>
              </w:rPr>
            </w:pPr>
            <w:r>
              <w:rPr>
                <w:spacing w:val="-1"/>
                <w:sz w:val="19"/>
                <w:szCs w:val="19"/>
              </w:rPr>
              <w:t>3.物品准备齐全并检查(无菌物品均在有效</w:t>
            </w:r>
            <w:r>
              <w:rPr>
                <w:spacing w:val="7"/>
                <w:sz w:val="19"/>
                <w:szCs w:val="19"/>
              </w:rPr>
              <w:t xml:space="preserve"> </w:t>
            </w:r>
            <w:r>
              <w:rPr>
                <w:spacing w:val="-1"/>
                <w:sz w:val="19"/>
                <w:szCs w:val="19"/>
              </w:rPr>
              <w:t>期内)、注射器大小合适，符合操作要求。</w:t>
            </w:r>
            <w:r>
              <w:rPr>
                <w:spacing w:val="17"/>
                <w:sz w:val="19"/>
                <w:szCs w:val="19"/>
              </w:rPr>
              <w:t xml:space="preserve"> </w:t>
            </w:r>
            <w:r>
              <w:rPr>
                <w:spacing w:val="-1"/>
                <w:sz w:val="19"/>
                <w:szCs w:val="19"/>
              </w:rPr>
              <w:t>4.空气清新、安静、整洁、光线适宜。</w:t>
            </w:r>
          </w:p>
          <w:p w14:paraId="5B87AA01">
            <w:pPr>
              <w:pStyle w:val="6"/>
              <w:spacing w:before="205" w:line="216" w:lineRule="auto"/>
              <w:ind w:left="13" w:firstLine="9"/>
              <w:rPr>
                <w:sz w:val="19"/>
                <w:szCs w:val="19"/>
              </w:rPr>
            </w:pPr>
            <w:r>
              <w:rPr>
                <w:spacing w:val="-9"/>
                <w:sz w:val="19"/>
                <w:szCs w:val="19"/>
              </w:rPr>
              <w:t>5.核对医嘱，注射卡，按无菌技术操作原则</w:t>
            </w:r>
            <w:r>
              <w:rPr>
                <w:spacing w:val="8"/>
                <w:sz w:val="19"/>
                <w:szCs w:val="19"/>
              </w:rPr>
              <w:t xml:space="preserve">  </w:t>
            </w:r>
            <w:r>
              <w:rPr>
                <w:spacing w:val="-14"/>
                <w:sz w:val="19"/>
                <w:szCs w:val="19"/>
              </w:rPr>
              <w:t>抽吸药液。药物的剂量准确、抽吸方法规范。</w:t>
            </w:r>
          </w:p>
          <w:p w14:paraId="28B41A57">
            <w:pPr>
              <w:spacing w:line="299" w:lineRule="auto"/>
              <w:rPr>
                <w:rFonts w:ascii="Arial"/>
                <w:sz w:val="21"/>
              </w:rPr>
            </w:pPr>
          </w:p>
          <w:p w14:paraId="614ADDB9">
            <w:pPr>
              <w:spacing w:line="300" w:lineRule="auto"/>
              <w:rPr>
                <w:rFonts w:ascii="Arial"/>
                <w:sz w:val="21"/>
              </w:rPr>
            </w:pPr>
          </w:p>
          <w:p w14:paraId="3C16BBF7">
            <w:pPr>
              <w:pStyle w:val="6"/>
              <w:spacing w:before="61" w:line="214" w:lineRule="auto"/>
              <w:ind w:left="23"/>
              <w:rPr>
                <w:sz w:val="19"/>
                <w:szCs w:val="19"/>
              </w:rPr>
            </w:pPr>
            <w:r>
              <w:rPr>
                <w:spacing w:val="-5"/>
                <w:sz w:val="19"/>
                <w:szCs w:val="19"/>
              </w:rPr>
              <w:t>6.备齐用物到床旁，核对床号、姓名，解释</w:t>
            </w:r>
            <w:r>
              <w:rPr>
                <w:spacing w:val="11"/>
                <w:sz w:val="19"/>
                <w:szCs w:val="19"/>
              </w:rPr>
              <w:t xml:space="preserve"> </w:t>
            </w:r>
            <w:r>
              <w:rPr>
                <w:spacing w:val="-2"/>
                <w:sz w:val="19"/>
                <w:szCs w:val="19"/>
              </w:rPr>
              <w:t>操作目的。</w:t>
            </w:r>
          </w:p>
          <w:p w14:paraId="6D7AABA1">
            <w:pPr>
              <w:pStyle w:val="6"/>
              <w:spacing w:before="4" w:line="214" w:lineRule="auto"/>
              <w:ind w:left="13"/>
              <w:jc w:val="both"/>
              <w:rPr>
                <w:sz w:val="19"/>
                <w:szCs w:val="19"/>
              </w:rPr>
            </w:pPr>
            <w:r>
              <w:rPr>
                <w:spacing w:val="-2"/>
                <w:sz w:val="19"/>
                <w:szCs w:val="19"/>
              </w:rPr>
              <w:t>7.协助病人取合适卧位，选择合适静脉(粗</w:t>
            </w:r>
            <w:r>
              <w:rPr>
                <w:spacing w:val="13"/>
                <w:sz w:val="19"/>
                <w:szCs w:val="19"/>
              </w:rPr>
              <w:t xml:space="preserve"> </w:t>
            </w:r>
            <w:r>
              <w:rPr>
                <w:spacing w:val="-5"/>
                <w:sz w:val="19"/>
                <w:szCs w:val="19"/>
              </w:rPr>
              <w:t>直、弹性好、易于固定的静脉，避开关节及</w:t>
            </w:r>
            <w:r>
              <w:rPr>
                <w:spacing w:val="10"/>
                <w:sz w:val="19"/>
                <w:szCs w:val="19"/>
              </w:rPr>
              <w:t xml:space="preserve"> </w:t>
            </w:r>
            <w:r>
              <w:rPr>
                <w:spacing w:val="-4"/>
                <w:sz w:val="19"/>
                <w:szCs w:val="19"/>
              </w:rPr>
              <w:t>静脉瓣),手指探明静脉方向和深浅，在穿刺</w:t>
            </w:r>
            <w:r>
              <w:rPr>
                <w:sz w:val="19"/>
                <w:szCs w:val="19"/>
              </w:rPr>
              <w:t xml:space="preserve"> </w:t>
            </w:r>
            <w:r>
              <w:rPr>
                <w:spacing w:val="-5"/>
                <w:sz w:val="19"/>
                <w:szCs w:val="19"/>
              </w:rPr>
              <w:t>部位的肢体下垫小软枕，在穿刺部位上方约</w:t>
            </w:r>
            <w:r>
              <w:rPr>
                <w:spacing w:val="16"/>
                <w:sz w:val="19"/>
                <w:szCs w:val="19"/>
              </w:rPr>
              <w:t xml:space="preserve"> </w:t>
            </w:r>
            <w:r>
              <w:rPr>
                <w:spacing w:val="-1"/>
                <w:sz w:val="19"/>
                <w:szCs w:val="19"/>
              </w:rPr>
              <w:t>6cm处扎止血带，消毒皮肤，待干。</w:t>
            </w:r>
          </w:p>
        </w:tc>
        <w:tc>
          <w:tcPr>
            <w:tcW w:w="2297" w:type="dxa"/>
            <w:vAlign w:val="top"/>
          </w:tcPr>
          <w:p w14:paraId="4FC7474E">
            <w:pPr>
              <w:pStyle w:val="6"/>
              <w:spacing w:before="52" w:line="215" w:lineRule="auto"/>
              <w:ind w:left="17" w:right="58" w:firstLine="79"/>
              <w:jc w:val="both"/>
              <w:rPr>
                <w:sz w:val="19"/>
                <w:szCs w:val="19"/>
              </w:rPr>
            </w:pPr>
            <w:r>
              <w:rPr>
                <w:spacing w:val="2"/>
                <w:sz w:val="19"/>
                <w:szCs w:val="19"/>
              </w:rPr>
              <w:t>1.分值4分(未洗手扣2分)</w:t>
            </w:r>
            <w:r>
              <w:rPr>
                <w:spacing w:val="12"/>
                <w:sz w:val="19"/>
                <w:szCs w:val="19"/>
              </w:rPr>
              <w:t xml:space="preserve"> </w:t>
            </w:r>
            <w:r>
              <w:rPr>
                <w:spacing w:val="7"/>
                <w:sz w:val="19"/>
                <w:szCs w:val="19"/>
              </w:rPr>
              <w:t>2.分值6分(未评估病人扣</w:t>
            </w:r>
            <w:r>
              <w:rPr>
                <w:spacing w:val="4"/>
                <w:sz w:val="19"/>
                <w:szCs w:val="19"/>
              </w:rPr>
              <w:t xml:space="preserve"> </w:t>
            </w:r>
            <w:r>
              <w:rPr>
                <w:spacing w:val="3"/>
                <w:sz w:val="19"/>
                <w:szCs w:val="19"/>
              </w:rPr>
              <w:t>6分，评估少一项扣1分)</w:t>
            </w:r>
          </w:p>
          <w:p w14:paraId="038EA4F8">
            <w:pPr>
              <w:pStyle w:val="6"/>
              <w:spacing w:before="207" w:line="212" w:lineRule="auto"/>
              <w:ind w:left="46" w:right="83" w:firstLine="49"/>
              <w:rPr>
                <w:sz w:val="19"/>
                <w:szCs w:val="19"/>
              </w:rPr>
            </w:pPr>
            <w:r>
              <w:rPr>
                <w:spacing w:val="1"/>
                <w:sz w:val="19"/>
                <w:szCs w:val="19"/>
              </w:rPr>
              <w:t>3.分值5分(用物缺一项扣</w:t>
            </w:r>
            <w:r>
              <w:rPr>
                <w:spacing w:val="2"/>
                <w:sz w:val="19"/>
                <w:szCs w:val="19"/>
              </w:rPr>
              <w:t xml:space="preserve"> </w:t>
            </w:r>
            <w:r>
              <w:rPr>
                <w:spacing w:val="13"/>
                <w:sz w:val="19"/>
                <w:szCs w:val="19"/>
              </w:rPr>
              <w:t>1分)</w:t>
            </w:r>
          </w:p>
          <w:p w14:paraId="75342FDA">
            <w:pPr>
              <w:pStyle w:val="6"/>
              <w:spacing w:before="1" w:line="218" w:lineRule="auto"/>
              <w:ind w:left="27" w:right="83" w:firstLine="69"/>
              <w:rPr>
                <w:sz w:val="19"/>
                <w:szCs w:val="19"/>
              </w:rPr>
            </w:pPr>
            <w:r>
              <w:rPr>
                <w:spacing w:val="1"/>
                <w:sz w:val="19"/>
                <w:szCs w:val="19"/>
              </w:rPr>
              <w:t>4.分值2分(未评估环境扣</w:t>
            </w:r>
            <w:r>
              <w:rPr>
                <w:spacing w:val="2"/>
                <w:sz w:val="19"/>
                <w:szCs w:val="19"/>
              </w:rPr>
              <w:t xml:space="preserve"> </w:t>
            </w:r>
            <w:r>
              <w:rPr>
                <w:spacing w:val="13"/>
                <w:sz w:val="19"/>
                <w:szCs w:val="19"/>
              </w:rPr>
              <w:t>2分)</w:t>
            </w:r>
          </w:p>
          <w:p w14:paraId="465889BA">
            <w:pPr>
              <w:pStyle w:val="6"/>
              <w:spacing w:before="14" w:line="211" w:lineRule="auto"/>
              <w:ind w:left="36" w:firstLine="9"/>
              <w:jc w:val="both"/>
              <w:rPr>
                <w:sz w:val="19"/>
                <w:szCs w:val="19"/>
              </w:rPr>
            </w:pPr>
            <w:r>
              <w:rPr>
                <w:spacing w:val="3"/>
                <w:sz w:val="19"/>
                <w:szCs w:val="19"/>
              </w:rPr>
              <w:t>5.分值20分(未核对医嘱、</w:t>
            </w:r>
            <w:r>
              <w:rPr>
                <w:spacing w:val="12"/>
                <w:sz w:val="19"/>
                <w:szCs w:val="19"/>
              </w:rPr>
              <w:t xml:space="preserve"> </w:t>
            </w:r>
            <w:r>
              <w:rPr>
                <w:spacing w:val="-2"/>
                <w:sz w:val="19"/>
                <w:szCs w:val="19"/>
              </w:rPr>
              <w:t>注射卡各扣5分，药液抽吸</w:t>
            </w:r>
            <w:r>
              <w:rPr>
                <w:spacing w:val="1"/>
                <w:sz w:val="19"/>
                <w:szCs w:val="19"/>
              </w:rPr>
              <w:t xml:space="preserve">  </w:t>
            </w:r>
            <w:r>
              <w:rPr>
                <w:spacing w:val="-2"/>
                <w:sz w:val="19"/>
                <w:szCs w:val="19"/>
              </w:rPr>
              <w:t>方法不正确扣2分，药液计</w:t>
            </w:r>
            <w:r>
              <w:rPr>
                <w:spacing w:val="1"/>
                <w:sz w:val="19"/>
                <w:szCs w:val="19"/>
              </w:rPr>
              <w:t xml:space="preserve">  </w:t>
            </w:r>
            <w:r>
              <w:rPr>
                <w:spacing w:val="-2"/>
                <w:sz w:val="19"/>
                <w:szCs w:val="19"/>
              </w:rPr>
              <w:t>量不准确扣3分，药液污染</w:t>
            </w:r>
            <w:r>
              <w:rPr>
                <w:spacing w:val="1"/>
                <w:sz w:val="19"/>
                <w:szCs w:val="19"/>
              </w:rPr>
              <w:t xml:space="preserve">  </w:t>
            </w:r>
            <w:r>
              <w:rPr>
                <w:spacing w:val="7"/>
                <w:sz w:val="19"/>
                <w:szCs w:val="19"/>
              </w:rPr>
              <w:t>扣5分)</w:t>
            </w:r>
          </w:p>
          <w:p w14:paraId="2DB78EA9">
            <w:pPr>
              <w:pStyle w:val="6"/>
              <w:spacing w:before="2" w:line="212" w:lineRule="auto"/>
              <w:ind w:left="36" w:right="83" w:firstLine="60"/>
              <w:rPr>
                <w:sz w:val="19"/>
                <w:szCs w:val="19"/>
              </w:rPr>
            </w:pPr>
            <w:r>
              <w:rPr>
                <w:spacing w:val="1"/>
                <w:sz w:val="19"/>
                <w:szCs w:val="19"/>
              </w:rPr>
              <w:t>6.分值5分(未核对病人扣</w:t>
            </w:r>
            <w:r>
              <w:rPr>
                <w:spacing w:val="2"/>
                <w:sz w:val="19"/>
                <w:szCs w:val="19"/>
              </w:rPr>
              <w:t xml:space="preserve"> </w:t>
            </w:r>
            <w:r>
              <w:rPr>
                <w:spacing w:val="3"/>
                <w:sz w:val="19"/>
                <w:szCs w:val="19"/>
              </w:rPr>
              <w:t>3分，未解释扣2分)</w:t>
            </w:r>
          </w:p>
          <w:p w14:paraId="714F2115">
            <w:pPr>
              <w:pStyle w:val="6"/>
              <w:spacing w:before="3" w:line="205" w:lineRule="auto"/>
              <w:ind w:left="17"/>
              <w:rPr>
                <w:sz w:val="19"/>
                <w:szCs w:val="19"/>
              </w:rPr>
            </w:pPr>
            <w:r>
              <w:rPr>
                <w:spacing w:val="-1"/>
                <w:sz w:val="19"/>
                <w:szCs w:val="19"/>
              </w:rPr>
              <w:t>7.分值20分(静脉选择不</w:t>
            </w:r>
          </w:p>
          <w:p w14:paraId="3592A7E3">
            <w:pPr>
              <w:pStyle w:val="6"/>
              <w:spacing w:before="2" w:line="215" w:lineRule="auto"/>
              <w:ind w:left="17" w:right="41" w:firstLine="79"/>
              <w:rPr>
                <w:sz w:val="19"/>
                <w:szCs w:val="19"/>
              </w:rPr>
            </w:pPr>
            <w:r>
              <w:rPr>
                <w:sz w:val="19"/>
                <w:szCs w:val="19"/>
              </w:rPr>
              <w:t>当扣5分，未消毒皮肤扣5</w:t>
            </w:r>
            <w:r>
              <w:rPr>
                <w:spacing w:val="10"/>
                <w:sz w:val="19"/>
                <w:szCs w:val="19"/>
              </w:rPr>
              <w:t xml:space="preserve"> </w:t>
            </w:r>
            <w:r>
              <w:rPr>
                <w:spacing w:val="3"/>
                <w:sz w:val="19"/>
                <w:szCs w:val="19"/>
              </w:rPr>
              <w:t>分，消毒不规范扣5分，止</w:t>
            </w:r>
            <w:r>
              <w:rPr>
                <w:spacing w:val="6"/>
                <w:sz w:val="19"/>
                <w:szCs w:val="19"/>
              </w:rPr>
              <w:t xml:space="preserve"> </w:t>
            </w:r>
            <w:r>
              <w:rPr>
                <w:spacing w:val="3"/>
                <w:sz w:val="19"/>
                <w:szCs w:val="19"/>
              </w:rPr>
              <w:t>血带位置不正确扣5分)</w:t>
            </w:r>
          </w:p>
        </w:tc>
        <w:tc>
          <w:tcPr>
            <w:tcW w:w="837" w:type="dxa"/>
            <w:vAlign w:val="top"/>
          </w:tcPr>
          <w:p w14:paraId="7576C42A">
            <w:pPr>
              <w:pStyle w:val="6"/>
              <w:spacing w:before="53" w:line="211" w:lineRule="auto"/>
              <w:ind w:left="20" w:firstLine="26"/>
              <w:jc w:val="right"/>
              <w:rPr>
                <w:sz w:val="19"/>
                <w:szCs w:val="19"/>
              </w:rPr>
            </w:pPr>
            <w:r>
              <w:rPr>
                <w:spacing w:val="-17"/>
                <w:sz w:val="19"/>
                <w:szCs w:val="19"/>
              </w:rPr>
              <w:t>1.严格执</w:t>
            </w:r>
            <w:r>
              <w:rPr>
                <w:spacing w:val="1"/>
                <w:sz w:val="19"/>
                <w:szCs w:val="19"/>
              </w:rPr>
              <w:t xml:space="preserve">  </w:t>
            </w:r>
            <w:r>
              <w:rPr>
                <w:spacing w:val="-14"/>
                <w:sz w:val="19"/>
                <w:szCs w:val="19"/>
              </w:rPr>
              <w:t>行无菌操</w:t>
            </w:r>
            <w:r>
              <w:rPr>
                <w:spacing w:val="1"/>
                <w:sz w:val="19"/>
                <w:szCs w:val="19"/>
              </w:rPr>
              <w:t xml:space="preserve">  </w:t>
            </w:r>
            <w:r>
              <w:rPr>
                <w:spacing w:val="-12"/>
                <w:sz w:val="19"/>
                <w:szCs w:val="19"/>
              </w:rPr>
              <w:t>作原则和</w:t>
            </w:r>
            <w:r>
              <w:rPr>
                <w:sz w:val="19"/>
                <w:szCs w:val="19"/>
              </w:rPr>
              <w:t xml:space="preserve">  </w:t>
            </w:r>
            <w:r>
              <w:rPr>
                <w:spacing w:val="-22"/>
                <w:w w:val="96"/>
                <w:sz w:val="19"/>
                <w:szCs w:val="19"/>
              </w:rPr>
              <w:t>查对制度。</w:t>
            </w:r>
            <w:r>
              <w:rPr>
                <w:spacing w:val="3"/>
                <w:sz w:val="19"/>
                <w:szCs w:val="19"/>
              </w:rPr>
              <w:t xml:space="preserve"> </w:t>
            </w:r>
            <w:r>
              <w:rPr>
                <w:spacing w:val="-14"/>
                <w:w w:val="98"/>
                <w:sz w:val="19"/>
                <w:szCs w:val="19"/>
              </w:rPr>
              <w:t>选择合适</w:t>
            </w:r>
            <w:r>
              <w:rPr>
                <w:spacing w:val="1"/>
                <w:sz w:val="19"/>
                <w:szCs w:val="19"/>
              </w:rPr>
              <w:t xml:space="preserve">  </w:t>
            </w:r>
            <w:r>
              <w:rPr>
                <w:spacing w:val="8"/>
                <w:sz w:val="19"/>
                <w:szCs w:val="19"/>
              </w:rPr>
              <w:t>的静脉，</w:t>
            </w:r>
            <w:r>
              <w:rPr>
                <w:sz w:val="19"/>
                <w:szCs w:val="19"/>
              </w:rPr>
              <w:t xml:space="preserve"> </w:t>
            </w:r>
            <w:r>
              <w:rPr>
                <w:spacing w:val="-12"/>
                <w:w w:val="96"/>
                <w:sz w:val="19"/>
                <w:szCs w:val="19"/>
              </w:rPr>
              <w:t>进针手法</w:t>
            </w:r>
            <w:r>
              <w:rPr>
                <w:sz w:val="19"/>
                <w:szCs w:val="19"/>
              </w:rPr>
              <w:t xml:space="preserve">  </w:t>
            </w:r>
            <w:r>
              <w:rPr>
                <w:spacing w:val="-20"/>
                <w:sz w:val="19"/>
                <w:szCs w:val="19"/>
              </w:rPr>
              <w:t>正确，一</w:t>
            </w:r>
          </w:p>
          <w:p w14:paraId="7AEAB913">
            <w:pPr>
              <w:pStyle w:val="6"/>
              <w:spacing w:before="12" w:line="216" w:lineRule="auto"/>
              <w:ind w:left="39" w:right="26" w:hanging="9"/>
              <w:rPr>
                <w:sz w:val="19"/>
                <w:szCs w:val="19"/>
              </w:rPr>
            </w:pPr>
            <w:r>
              <w:rPr>
                <w:spacing w:val="-2"/>
                <w:sz w:val="19"/>
                <w:szCs w:val="19"/>
              </w:rPr>
              <w:t>针见血。</w:t>
            </w:r>
            <w:r>
              <w:rPr>
                <w:spacing w:val="1"/>
                <w:sz w:val="19"/>
                <w:szCs w:val="19"/>
              </w:rPr>
              <w:t xml:space="preserve"> </w:t>
            </w:r>
            <w:r>
              <w:rPr>
                <w:sz w:val="19"/>
                <w:szCs w:val="19"/>
              </w:rPr>
              <w:t xml:space="preserve">2.建议20 分钟内完 </w:t>
            </w:r>
            <w:r>
              <w:rPr>
                <w:spacing w:val="-2"/>
                <w:sz w:val="19"/>
                <w:szCs w:val="19"/>
              </w:rPr>
              <w:t>成。</w:t>
            </w:r>
          </w:p>
        </w:tc>
      </w:tr>
    </w:tbl>
    <w:p w14:paraId="0B0C9724">
      <w:pPr>
        <w:pStyle w:val="2"/>
        <w:spacing w:line="222" w:lineRule="exact"/>
        <w:rPr>
          <w:sz w:val="19"/>
        </w:rPr>
      </w:pPr>
    </w:p>
    <w:p w14:paraId="326BB5FE">
      <w:pPr>
        <w:spacing w:line="222" w:lineRule="exact"/>
        <w:rPr>
          <w:sz w:val="19"/>
          <w:szCs w:val="19"/>
        </w:rPr>
        <w:sectPr>
          <w:footerReference r:id="rId140" w:type="default"/>
          <w:pgSz w:w="10660" w:h="15080"/>
          <w:pgMar w:top="400" w:right="1052" w:bottom="912" w:left="809" w:header="0" w:footer="741" w:gutter="0"/>
          <w:cols w:space="720" w:num="1"/>
        </w:sectPr>
      </w:pPr>
    </w:p>
    <w:p w14:paraId="76C615B7">
      <w:pPr>
        <w:spacing w:before="8"/>
      </w:pPr>
    </w:p>
    <w:p w14:paraId="043B7B10">
      <w:pPr>
        <w:spacing w:before="7"/>
      </w:pPr>
    </w:p>
    <w:p w14:paraId="04DA1439">
      <w:pPr>
        <w:spacing w:before="7"/>
      </w:pPr>
    </w:p>
    <w:p w14:paraId="23B2B9DA">
      <w:pPr>
        <w:spacing w:before="7"/>
      </w:pPr>
    </w:p>
    <w:tbl>
      <w:tblPr>
        <w:tblStyle w:val="5"/>
        <w:tblW w:w="87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474"/>
        <w:gridCol w:w="509"/>
        <w:gridCol w:w="1059"/>
        <w:gridCol w:w="3556"/>
        <w:gridCol w:w="2267"/>
        <w:gridCol w:w="854"/>
      </w:tblGrid>
      <w:tr w14:paraId="2C8376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4" w:hRule="atLeast"/>
        </w:trPr>
        <w:tc>
          <w:tcPr>
            <w:tcW w:w="474" w:type="dxa"/>
            <w:vAlign w:val="top"/>
          </w:tcPr>
          <w:p w14:paraId="2F04550D">
            <w:pPr>
              <w:pStyle w:val="6"/>
              <w:spacing w:before="91" w:line="207" w:lineRule="auto"/>
              <w:ind w:left="37" w:right="15"/>
              <w:rPr>
                <w:sz w:val="19"/>
                <w:szCs w:val="19"/>
              </w:rPr>
            </w:pPr>
            <w:bookmarkStart w:id="66" w:name="bookmark49"/>
            <w:bookmarkEnd w:id="66"/>
            <w:r>
              <w:rPr>
                <w:b/>
                <w:bCs/>
                <w:spacing w:val="-7"/>
                <w:sz w:val="19"/>
                <w:szCs w:val="19"/>
              </w:rPr>
              <w:t>测试</w:t>
            </w:r>
            <w:r>
              <w:rPr>
                <w:sz w:val="19"/>
                <w:szCs w:val="19"/>
              </w:rPr>
              <w:t xml:space="preserve"> </w:t>
            </w:r>
            <w:r>
              <w:rPr>
                <w:b/>
                <w:bCs/>
                <w:spacing w:val="13"/>
                <w:sz w:val="19"/>
                <w:szCs w:val="19"/>
              </w:rPr>
              <w:t>项目</w:t>
            </w:r>
          </w:p>
        </w:tc>
        <w:tc>
          <w:tcPr>
            <w:tcW w:w="509" w:type="dxa"/>
            <w:vAlign w:val="top"/>
          </w:tcPr>
          <w:p w14:paraId="6942C6A9">
            <w:pPr>
              <w:pStyle w:val="6"/>
              <w:spacing w:before="92" w:line="212" w:lineRule="auto"/>
              <w:ind w:left="53" w:right="73"/>
              <w:rPr>
                <w:sz w:val="19"/>
                <w:szCs w:val="19"/>
              </w:rPr>
            </w:pPr>
            <w:r>
              <w:rPr>
                <w:b/>
                <w:bCs/>
                <w:spacing w:val="-7"/>
                <w:sz w:val="19"/>
                <w:szCs w:val="19"/>
              </w:rPr>
              <w:t>测试</w:t>
            </w:r>
            <w:r>
              <w:rPr>
                <w:sz w:val="19"/>
                <w:szCs w:val="19"/>
              </w:rPr>
              <w:t xml:space="preserve"> </w:t>
            </w:r>
            <w:r>
              <w:rPr>
                <w:b/>
                <w:bCs/>
                <w:spacing w:val="-7"/>
                <w:sz w:val="19"/>
                <w:szCs w:val="19"/>
              </w:rPr>
              <w:t>用具</w:t>
            </w:r>
          </w:p>
        </w:tc>
        <w:tc>
          <w:tcPr>
            <w:tcW w:w="1059" w:type="dxa"/>
            <w:vAlign w:val="top"/>
          </w:tcPr>
          <w:p w14:paraId="586E09B6">
            <w:pPr>
              <w:pStyle w:val="6"/>
              <w:spacing w:before="190" w:line="219" w:lineRule="auto"/>
              <w:ind w:left="144"/>
              <w:rPr>
                <w:sz w:val="19"/>
                <w:szCs w:val="19"/>
              </w:rPr>
            </w:pPr>
            <w:r>
              <w:rPr>
                <w:b/>
                <w:bCs/>
                <w:spacing w:val="-4"/>
                <w:sz w:val="19"/>
                <w:szCs w:val="19"/>
              </w:rPr>
              <w:t>测试内容</w:t>
            </w:r>
          </w:p>
        </w:tc>
        <w:tc>
          <w:tcPr>
            <w:tcW w:w="3556" w:type="dxa"/>
            <w:vAlign w:val="top"/>
          </w:tcPr>
          <w:p w14:paraId="5279DD9B">
            <w:pPr>
              <w:pStyle w:val="6"/>
              <w:spacing w:before="191" w:line="221" w:lineRule="auto"/>
              <w:ind w:left="1445"/>
              <w:rPr>
                <w:sz w:val="19"/>
                <w:szCs w:val="19"/>
              </w:rPr>
            </w:pPr>
            <w:r>
              <w:rPr>
                <w:b/>
                <w:bCs/>
                <w:spacing w:val="-4"/>
                <w:sz w:val="19"/>
                <w:szCs w:val="19"/>
              </w:rPr>
              <w:t>测试方法</w:t>
            </w:r>
          </w:p>
        </w:tc>
        <w:tc>
          <w:tcPr>
            <w:tcW w:w="2267" w:type="dxa"/>
            <w:vAlign w:val="top"/>
          </w:tcPr>
          <w:p w14:paraId="545EDF15">
            <w:pPr>
              <w:pStyle w:val="6"/>
              <w:spacing w:before="190" w:line="219" w:lineRule="auto"/>
              <w:ind w:left="799"/>
              <w:rPr>
                <w:sz w:val="19"/>
                <w:szCs w:val="19"/>
              </w:rPr>
            </w:pPr>
            <w:r>
              <w:rPr>
                <w:b/>
                <w:bCs/>
                <w:spacing w:val="-4"/>
                <w:sz w:val="19"/>
                <w:szCs w:val="19"/>
              </w:rPr>
              <w:t>赋分参考</w:t>
            </w:r>
          </w:p>
        </w:tc>
        <w:tc>
          <w:tcPr>
            <w:tcW w:w="854" w:type="dxa"/>
            <w:vAlign w:val="top"/>
          </w:tcPr>
          <w:p w14:paraId="7EC111D4">
            <w:pPr>
              <w:pStyle w:val="6"/>
              <w:spacing w:before="100" w:line="208" w:lineRule="auto"/>
              <w:ind w:left="232" w:right="239"/>
              <w:rPr>
                <w:sz w:val="19"/>
                <w:szCs w:val="19"/>
              </w:rPr>
            </w:pPr>
            <w:r>
              <w:rPr>
                <w:b/>
                <w:bCs/>
                <w:spacing w:val="-7"/>
                <w:sz w:val="19"/>
                <w:szCs w:val="19"/>
              </w:rPr>
              <w:t>测试</w:t>
            </w:r>
            <w:r>
              <w:rPr>
                <w:sz w:val="19"/>
                <w:szCs w:val="19"/>
              </w:rPr>
              <w:t xml:space="preserve"> </w:t>
            </w:r>
            <w:r>
              <w:rPr>
                <w:b/>
                <w:bCs/>
                <w:spacing w:val="-7"/>
                <w:sz w:val="19"/>
                <w:szCs w:val="19"/>
              </w:rPr>
              <w:t>要求</w:t>
            </w:r>
          </w:p>
        </w:tc>
      </w:tr>
      <w:tr w14:paraId="6854E5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96" w:hRule="atLeast"/>
        </w:trPr>
        <w:tc>
          <w:tcPr>
            <w:tcW w:w="474" w:type="dxa"/>
            <w:vAlign w:val="top"/>
          </w:tcPr>
          <w:p w14:paraId="7A978E18">
            <w:pPr>
              <w:pStyle w:val="6"/>
              <w:spacing w:before="38" w:line="211" w:lineRule="auto"/>
              <w:ind w:left="35"/>
              <w:rPr>
                <w:sz w:val="19"/>
                <w:szCs w:val="19"/>
              </w:rPr>
            </w:pPr>
            <w:r>
              <w:rPr>
                <w:spacing w:val="-15"/>
                <w:w w:val="96"/>
                <w:sz w:val="19"/>
                <w:szCs w:val="19"/>
              </w:rPr>
              <w:t>止血</w:t>
            </w:r>
            <w:r>
              <w:rPr>
                <w:sz w:val="19"/>
                <w:szCs w:val="19"/>
              </w:rPr>
              <w:t xml:space="preserve">  </w:t>
            </w:r>
            <w:r>
              <w:rPr>
                <w:spacing w:val="-29"/>
                <w:w w:val="96"/>
                <w:sz w:val="19"/>
                <w:szCs w:val="19"/>
              </w:rPr>
              <w:t>带</w:t>
            </w:r>
            <w:r>
              <w:rPr>
                <w:spacing w:val="26"/>
                <w:sz w:val="19"/>
                <w:szCs w:val="19"/>
              </w:rPr>
              <w:t xml:space="preserve"> </w:t>
            </w:r>
            <w:r>
              <w:rPr>
                <w:spacing w:val="-29"/>
                <w:w w:val="96"/>
                <w:sz w:val="19"/>
                <w:szCs w:val="19"/>
              </w:rPr>
              <w:t>、</w:t>
            </w:r>
            <w:r>
              <w:rPr>
                <w:sz w:val="19"/>
                <w:szCs w:val="19"/>
              </w:rPr>
              <w:t xml:space="preserve"> </w:t>
            </w:r>
            <w:r>
              <w:rPr>
                <w:spacing w:val="-15"/>
                <w:sz w:val="19"/>
                <w:szCs w:val="19"/>
              </w:rPr>
              <w:t>小垫</w:t>
            </w:r>
            <w:r>
              <w:rPr>
                <w:sz w:val="19"/>
                <w:szCs w:val="19"/>
              </w:rPr>
              <w:t xml:space="preserve">  </w:t>
            </w:r>
            <w:r>
              <w:rPr>
                <w:spacing w:val="-27"/>
                <w:w w:val="96"/>
                <w:sz w:val="19"/>
                <w:szCs w:val="19"/>
              </w:rPr>
              <w:t>枕</w:t>
            </w:r>
            <w:r>
              <w:rPr>
                <w:spacing w:val="22"/>
                <w:sz w:val="19"/>
                <w:szCs w:val="19"/>
              </w:rPr>
              <w:t xml:space="preserve"> </w:t>
            </w:r>
            <w:r>
              <w:rPr>
                <w:spacing w:val="-27"/>
                <w:w w:val="96"/>
                <w:sz w:val="19"/>
                <w:szCs w:val="19"/>
              </w:rPr>
              <w:t>、</w:t>
            </w:r>
            <w:r>
              <w:rPr>
                <w:sz w:val="19"/>
                <w:szCs w:val="19"/>
              </w:rPr>
              <w:t xml:space="preserve"> </w:t>
            </w:r>
            <w:r>
              <w:rPr>
                <w:spacing w:val="-14"/>
                <w:w w:val="96"/>
                <w:sz w:val="19"/>
                <w:szCs w:val="19"/>
              </w:rPr>
              <w:t>输液</w:t>
            </w:r>
            <w:r>
              <w:rPr>
                <w:sz w:val="19"/>
                <w:szCs w:val="19"/>
              </w:rPr>
              <w:t xml:space="preserve">  </w:t>
            </w:r>
            <w:r>
              <w:rPr>
                <w:spacing w:val="-28"/>
                <w:w w:val="96"/>
                <w:sz w:val="19"/>
                <w:szCs w:val="19"/>
              </w:rPr>
              <w:t>贴</w:t>
            </w:r>
            <w:r>
              <w:rPr>
                <w:spacing w:val="24"/>
                <w:sz w:val="19"/>
                <w:szCs w:val="19"/>
              </w:rPr>
              <w:t xml:space="preserve"> </w:t>
            </w:r>
            <w:r>
              <w:rPr>
                <w:spacing w:val="-28"/>
                <w:w w:val="96"/>
                <w:sz w:val="19"/>
                <w:szCs w:val="19"/>
              </w:rPr>
              <w:t>、</w:t>
            </w:r>
            <w:r>
              <w:rPr>
                <w:sz w:val="19"/>
                <w:szCs w:val="19"/>
              </w:rPr>
              <w:t xml:space="preserve"> </w:t>
            </w:r>
            <w:r>
              <w:rPr>
                <w:spacing w:val="-14"/>
                <w:sz w:val="19"/>
                <w:szCs w:val="19"/>
              </w:rPr>
              <w:t>按医</w:t>
            </w:r>
            <w:r>
              <w:rPr>
                <w:sz w:val="19"/>
                <w:szCs w:val="19"/>
              </w:rPr>
              <w:t xml:space="preserve">  </w:t>
            </w:r>
            <w:r>
              <w:rPr>
                <w:spacing w:val="3"/>
                <w:sz w:val="19"/>
                <w:szCs w:val="19"/>
              </w:rPr>
              <w:t>嘱备</w:t>
            </w:r>
            <w:r>
              <w:rPr>
                <w:sz w:val="19"/>
                <w:szCs w:val="19"/>
              </w:rPr>
              <w:t xml:space="preserve"> </w:t>
            </w:r>
            <w:r>
              <w:rPr>
                <w:spacing w:val="4"/>
                <w:sz w:val="19"/>
                <w:szCs w:val="19"/>
              </w:rPr>
              <w:t>药</w:t>
            </w:r>
            <w:r>
              <w:rPr>
                <w:spacing w:val="-55"/>
                <w:sz w:val="19"/>
                <w:szCs w:val="19"/>
              </w:rPr>
              <w:t xml:space="preserve"> </w:t>
            </w:r>
            <w:r>
              <w:rPr>
                <w:spacing w:val="4"/>
                <w:sz w:val="19"/>
                <w:szCs w:val="19"/>
              </w:rPr>
              <w:t>，</w:t>
            </w:r>
            <w:r>
              <w:rPr>
                <w:sz w:val="19"/>
                <w:szCs w:val="19"/>
              </w:rPr>
              <w:t xml:space="preserve"> </w:t>
            </w:r>
            <w:r>
              <w:rPr>
                <w:spacing w:val="-5"/>
                <w:sz w:val="19"/>
                <w:szCs w:val="19"/>
              </w:rPr>
              <w:t>注射</w:t>
            </w:r>
          </w:p>
          <w:p w14:paraId="7F4DCE19">
            <w:pPr>
              <w:pStyle w:val="6"/>
              <w:spacing w:line="220" w:lineRule="auto"/>
              <w:ind w:left="135"/>
              <w:rPr>
                <w:sz w:val="19"/>
                <w:szCs w:val="19"/>
              </w:rPr>
            </w:pPr>
            <w:r>
              <w:rPr>
                <w:sz w:val="19"/>
                <w:szCs w:val="19"/>
              </w:rPr>
              <w:t>卡</w:t>
            </w:r>
          </w:p>
        </w:tc>
        <w:tc>
          <w:tcPr>
            <w:tcW w:w="509" w:type="dxa"/>
            <w:vAlign w:val="top"/>
          </w:tcPr>
          <w:p w14:paraId="7333D02C">
            <w:pPr>
              <w:rPr>
                <w:rFonts w:ascii="Arial"/>
                <w:sz w:val="21"/>
              </w:rPr>
            </w:pPr>
          </w:p>
        </w:tc>
        <w:tc>
          <w:tcPr>
            <w:tcW w:w="1059" w:type="dxa"/>
            <w:vAlign w:val="top"/>
          </w:tcPr>
          <w:p w14:paraId="6B1D917E">
            <w:pPr>
              <w:rPr>
                <w:rFonts w:ascii="Arial"/>
                <w:sz w:val="21"/>
              </w:rPr>
            </w:pPr>
          </w:p>
        </w:tc>
        <w:tc>
          <w:tcPr>
            <w:tcW w:w="3556" w:type="dxa"/>
            <w:vAlign w:val="top"/>
          </w:tcPr>
          <w:p w14:paraId="22C2F27A">
            <w:pPr>
              <w:pStyle w:val="6"/>
              <w:spacing w:before="48" w:line="219" w:lineRule="auto"/>
              <w:jc w:val="right"/>
              <w:rPr>
                <w:sz w:val="19"/>
                <w:szCs w:val="19"/>
              </w:rPr>
            </w:pPr>
            <w:r>
              <w:rPr>
                <w:spacing w:val="-13"/>
                <w:sz w:val="19"/>
                <w:szCs w:val="19"/>
              </w:rPr>
              <w:t>8.嘱病人握拳，再次核对，接头皮针并排气。</w:t>
            </w:r>
          </w:p>
          <w:p w14:paraId="515B6067">
            <w:pPr>
              <w:pStyle w:val="6"/>
              <w:spacing w:before="224" w:line="203" w:lineRule="auto"/>
              <w:ind w:left="13"/>
              <w:rPr>
                <w:sz w:val="19"/>
                <w:szCs w:val="19"/>
              </w:rPr>
            </w:pPr>
            <w:r>
              <w:rPr>
                <w:spacing w:val="-1"/>
                <w:sz w:val="19"/>
                <w:szCs w:val="19"/>
              </w:rPr>
              <w:t>9.绷紧皮肤、正确持针、针尖与皮肤呈</w:t>
            </w:r>
          </w:p>
          <w:p w14:paraId="6B07B208">
            <w:pPr>
              <w:pStyle w:val="6"/>
              <w:spacing w:before="2" w:line="210" w:lineRule="auto"/>
              <w:ind w:left="13"/>
              <w:rPr>
                <w:sz w:val="19"/>
                <w:szCs w:val="19"/>
              </w:rPr>
            </w:pPr>
            <w:r>
              <w:rPr>
                <w:sz w:val="19"/>
                <w:szCs w:val="19"/>
              </w:rPr>
              <w:t>15-30度角自静脉上方或侧方刺入皮下</w:t>
            </w:r>
            <w:r>
              <w:rPr>
                <w:spacing w:val="-1"/>
                <w:sz w:val="19"/>
                <w:szCs w:val="19"/>
              </w:rPr>
              <w:t>，再</w:t>
            </w:r>
            <w:r>
              <w:rPr>
                <w:sz w:val="19"/>
                <w:szCs w:val="19"/>
              </w:rPr>
              <w:t xml:space="preserve"> </w:t>
            </w:r>
            <w:r>
              <w:rPr>
                <w:spacing w:val="-5"/>
                <w:sz w:val="19"/>
                <w:szCs w:val="19"/>
              </w:rPr>
              <w:t>沿静脉方向潜行刺入静脉，见回血，再沿静</w:t>
            </w:r>
            <w:r>
              <w:rPr>
                <w:spacing w:val="16"/>
                <w:sz w:val="19"/>
                <w:szCs w:val="19"/>
              </w:rPr>
              <w:t xml:space="preserve"> </w:t>
            </w:r>
            <w:r>
              <w:rPr>
                <w:spacing w:val="-1"/>
                <w:sz w:val="19"/>
                <w:szCs w:val="19"/>
              </w:rPr>
              <w:t>脉进针少许。</w:t>
            </w:r>
          </w:p>
          <w:p w14:paraId="4E41F5A5">
            <w:pPr>
              <w:pStyle w:val="6"/>
              <w:spacing w:before="1" w:line="213" w:lineRule="auto"/>
              <w:ind w:left="13" w:right="10"/>
              <w:rPr>
                <w:sz w:val="19"/>
                <w:szCs w:val="19"/>
              </w:rPr>
            </w:pPr>
            <w:r>
              <w:rPr>
                <w:sz w:val="19"/>
                <w:szCs w:val="19"/>
              </w:rPr>
              <w:t>10.松开止血带，嘱病人松拳，输液贴固定</w:t>
            </w:r>
            <w:r>
              <w:rPr>
                <w:spacing w:val="6"/>
                <w:sz w:val="19"/>
                <w:szCs w:val="19"/>
              </w:rPr>
              <w:t xml:space="preserve"> </w:t>
            </w:r>
            <w:r>
              <w:rPr>
                <w:spacing w:val="-1"/>
                <w:sz w:val="19"/>
                <w:szCs w:val="19"/>
              </w:rPr>
              <w:t>针头，缓慢注入药物。</w:t>
            </w:r>
          </w:p>
          <w:p w14:paraId="629784F8">
            <w:pPr>
              <w:pStyle w:val="6"/>
              <w:spacing w:line="219" w:lineRule="auto"/>
              <w:jc w:val="right"/>
              <w:rPr>
                <w:sz w:val="19"/>
                <w:szCs w:val="19"/>
              </w:rPr>
            </w:pPr>
            <w:r>
              <w:rPr>
                <w:spacing w:val="-9"/>
                <w:sz w:val="19"/>
                <w:szCs w:val="19"/>
              </w:rPr>
              <w:t>11.注射过程中，观察病人局部和全身反应。</w:t>
            </w:r>
          </w:p>
          <w:p w14:paraId="10C5C1EE">
            <w:pPr>
              <w:pStyle w:val="6"/>
              <w:spacing w:before="214" w:line="219" w:lineRule="auto"/>
              <w:ind w:left="23"/>
              <w:rPr>
                <w:sz w:val="19"/>
                <w:szCs w:val="19"/>
              </w:rPr>
            </w:pPr>
            <w:r>
              <w:rPr>
                <w:sz w:val="19"/>
                <w:szCs w:val="19"/>
              </w:rPr>
              <w:t>12.注射完毕，干棉签放入穿刺点上方，迅</w:t>
            </w:r>
          </w:p>
          <w:p w14:paraId="77A876BA">
            <w:pPr>
              <w:pStyle w:val="6"/>
              <w:spacing w:before="5" w:line="212" w:lineRule="auto"/>
              <w:ind w:left="13" w:right="1447"/>
              <w:rPr>
                <w:sz w:val="19"/>
                <w:szCs w:val="19"/>
              </w:rPr>
            </w:pPr>
            <w:r>
              <w:rPr>
                <w:spacing w:val="-1"/>
                <w:sz w:val="19"/>
                <w:szCs w:val="19"/>
              </w:rPr>
              <w:t>速拔出针头，按压片刻。</w:t>
            </w:r>
            <w:r>
              <w:rPr>
                <w:spacing w:val="5"/>
                <w:sz w:val="19"/>
                <w:szCs w:val="19"/>
              </w:rPr>
              <w:t xml:space="preserve"> </w:t>
            </w:r>
            <w:r>
              <w:rPr>
                <w:sz w:val="19"/>
                <w:szCs w:val="19"/>
              </w:rPr>
              <w:t>13.再次核对。</w:t>
            </w:r>
          </w:p>
          <w:p w14:paraId="2821AE86">
            <w:pPr>
              <w:pStyle w:val="6"/>
              <w:spacing w:before="14" w:line="219" w:lineRule="auto"/>
              <w:ind w:left="13"/>
              <w:rPr>
                <w:sz w:val="19"/>
                <w:szCs w:val="19"/>
              </w:rPr>
            </w:pPr>
            <w:r>
              <w:rPr>
                <w:spacing w:val="-1"/>
                <w:sz w:val="19"/>
                <w:szCs w:val="19"/>
              </w:rPr>
              <w:t>14.协助病人取舒适卧位，整理床单位。</w:t>
            </w:r>
          </w:p>
          <w:p w14:paraId="4AB18CB3">
            <w:pPr>
              <w:spacing w:line="391" w:lineRule="auto"/>
              <w:rPr>
                <w:rFonts w:ascii="Arial"/>
                <w:sz w:val="21"/>
              </w:rPr>
            </w:pPr>
          </w:p>
          <w:p w14:paraId="7CFB3390">
            <w:pPr>
              <w:pStyle w:val="6"/>
              <w:spacing w:before="62" w:line="220" w:lineRule="auto"/>
              <w:ind w:left="13"/>
              <w:rPr>
                <w:sz w:val="19"/>
                <w:szCs w:val="19"/>
              </w:rPr>
            </w:pPr>
            <w:r>
              <w:rPr>
                <w:spacing w:val="-1"/>
                <w:sz w:val="19"/>
                <w:szCs w:val="19"/>
              </w:rPr>
              <w:t>15.处理用物，洗手、记录。</w:t>
            </w:r>
          </w:p>
        </w:tc>
        <w:tc>
          <w:tcPr>
            <w:tcW w:w="2267" w:type="dxa"/>
            <w:vAlign w:val="top"/>
          </w:tcPr>
          <w:p w14:paraId="50B8E5B6">
            <w:pPr>
              <w:pStyle w:val="6"/>
              <w:spacing w:before="57" w:line="208" w:lineRule="auto"/>
              <w:ind w:left="17" w:right="133"/>
              <w:rPr>
                <w:sz w:val="19"/>
                <w:szCs w:val="19"/>
              </w:rPr>
            </w:pPr>
            <w:r>
              <w:rPr>
                <w:spacing w:val="1"/>
                <w:sz w:val="19"/>
                <w:szCs w:val="19"/>
              </w:rPr>
              <w:t>8.分值6分(未再次核对扣</w:t>
            </w:r>
            <w:r>
              <w:rPr>
                <w:spacing w:val="2"/>
                <w:sz w:val="19"/>
                <w:szCs w:val="19"/>
              </w:rPr>
              <w:t xml:space="preserve"> </w:t>
            </w:r>
            <w:r>
              <w:rPr>
                <w:spacing w:val="3"/>
                <w:sz w:val="19"/>
                <w:szCs w:val="19"/>
              </w:rPr>
              <w:t>3分，未排气扣3分)</w:t>
            </w:r>
          </w:p>
          <w:p w14:paraId="1674BF46">
            <w:pPr>
              <w:pStyle w:val="6"/>
              <w:spacing w:before="11" w:line="210" w:lineRule="auto"/>
              <w:ind w:left="17" w:right="61"/>
              <w:rPr>
                <w:sz w:val="19"/>
                <w:szCs w:val="19"/>
              </w:rPr>
            </w:pPr>
            <w:r>
              <w:rPr>
                <w:spacing w:val="1"/>
                <w:sz w:val="19"/>
                <w:szCs w:val="19"/>
              </w:rPr>
              <w:t>9.分值15分(针头刺入角</w:t>
            </w:r>
            <w:r>
              <w:rPr>
                <w:spacing w:val="2"/>
                <w:sz w:val="19"/>
                <w:szCs w:val="19"/>
              </w:rPr>
              <w:t xml:space="preserve">  </w:t>
            </w:r>
            <w:r>
              <w:rPr>
                <w:spacing w:val="-1"/>
                <w:sz w:val="19"/>
                <w:szCs w:val="19"/>
              </w:rPr>
              <w:t>度不正确扣5分，穿刺失败</w:t>
            </w:r>
            <w:r>
              <w:rPr>
                <w:spacing w:val="4"/>
                <w:sz w:val="19"/>
                <w:szCs w:val="19"/>
              </w:rPr>
              <w:t xml:space="preserve"> </w:t>
            </w:r>
            <w:r>
              <w:rPr>
                <w:spacing w:val="7"/>
                <w:sz w:val="19"/>
                <w:szCs w:val="19"/>
              </w:rPr>
              <w:t>扣10分)</w:t>
            </w:r>
          </w:p>
          <w:p w14:paraId="4E8E693F">
            <w:pPr>
              <w:pStyle w:val="6"/>
              <w:spacing w:before="232" w:line="214" w:lineRule="auto"/>
              <w:ind w:left="27"/>
              <w:rPr>
                <w:sz w:val="19"/>
                <w:szCs w:val="19"/>
              </w:rPr>
            </w:pPr>
            <w:r>
              <w:rPr>
                <w:sz w:val="19"/>
                <w:szCs w:val="19"/>
              </w:rPr>
              <w:t>10.分值6分(针头未固定</w:t>
            </w:r>
          </w:p>
          <w:p w14:paraId="66922398">
            <w:pPr>
              <w:pStyle w:val="6"/>
              <w:spacing w:before="1" w:line="206" w:lineRule="auto"/>
              <w:ind w:left="17" w:right="18"/>
              <w:rPr>
                <w:sz w:val="19"/>
                <w:szCs w:val="19"/>
              </w:rPr>
            </w:pPr>
            <w:r>
              <w:rPr>
                <w:spacing w:val="2"/>
                <w:sz w:val="19"/>
                <w:szCs w:val="19"/>
              </w:rPr>
              <w:t>扣3分，未松止血带扣3分)</w:t>
            </w:r>
            <w:r>
              <w:rPr>
                <w:spacing w:val="9"/>
                <w:sz w:val="19"/>
                <w:szCs w:val="19"/>
              </w:rPr>
              <w:t xml:space="preserve"> </w:t>
            </w:r>
            <w:r>
              <w:rPr>
                <w:sz w:val="19"/>
                <w:szCs w:val="19"/>
              </w:rPr>
              <w:t>11.分值5分(未观察病人</w:t>
            </w:r>
          </w:p>
          <w:p w14:paraId="1022F9B3">
            <w:pPr>
              <w:pStyle w:val="6"/>
              <w:spacing w:before="15" w:line="194" w:lineRule="auto"/>
              <w:ind w:left="17"/>
              <w:rPr>
                <w:sz w:val="19"/>
                <w:szCs w:val="19"/>
              </w:rPr>
            </w:pPr>
            <w:r>
              <w:rPr>
                <w:spacing w:val="6"/>
                <w:sz w:val="19"/>
                <w:szCs w:val="19"/>
              </w:rPr>
              <w:t>反应扣5分)</w:t>
            </w:r>
          </w:p>
          <w:p w14:paraId="4674EFE8">
            <w:pPr>
              <w:pStyle w:val="6"/>
              <w:spacing w:line="219" w:lineRule="auto"/>
              <w:ind w:left="17"/>
              <w:rPr>
                <w:sz w:val="19"/>
                <w:szCs w:val="19"/>
              </w:rPr>
            </w:pPr>
            <w:r>
              <w:rPr>
                <w:spacing w:val="2"/>
                <w:sz w:val="19"/>
                <w:szCs w:val="19"/>
              </w:rPr>
              <w:t>12.分值3分(未按压扣3分)</w:t>
            </w:r>
          </w:p>
          <w:p w14:paraId="28F2A44F">
            <w:pPr>
              <w:pStyle w:val="6"/>
              <w:spacing w:before="224" w:line="214" w:lineRule="auto"/>
              <w:ind w:left="17" w:right="18"/>
              <w:rPr>
                <w:sz w:val="19"/>
                <w:szCs w:val="19"/>
              </w:rPr>
            </w:pPr>
            <w:r>
              <w:rPr>
                <w:spacing w:val="2"/>
                <w:sz w:val="19"/>
                <w:szCs w:val="19"/>
              </w:rPr>
              <w:t>13.分值2分(未核对扣2分)</w:t>
            </w:r>
            <w:r>
              <w:rPr>
                <w:spacing w:val="5"/>
                <w:sz w:val="19"/>
                <w:szCs w:val="19"/>
              </w:rPr>
              <w:t xml:space="preserve"> </w:t>
            </w:r>
            <w:r>
              <w:rPr>
                <w:sz w:val="19"/>
                <w:szCs w:val="19"/>
              </w:rPr>
              <w:t>14.分值5分(病人卧位不</w:t>
            </w:r>
          </w:p>
          <w:p w14:paraId="2EB95927">
            <w:pPr>
              <w:pStyle w:val="6"/>
              <w:spacing w:line="217" w:lineRule="auto"/>
              <w:ind w:left="17" w:right="63"/>
              <w:rPr>
                <w:sz w:val="19"/>
                <w:szCs w:val="19"/>
              </w:rPr>
            </w:pPr>
            <w:r>
              <w:rPr>
                <w:spacing w:val="-1"/>
                <w:sz w:val="19"/>
                <w:szCs w:val="19"/>
              </w:rPr>
              <w:t>舒适扣3分，未整理床单位</w:t>
            </w:r>
            <w:r>
              <w:rPr>
                <w:spacing w:val="2"/>
                <w:sz w:val="19"/>
                <w:szCs w:val="19"/>
              </w:rPr>
              <w:t xml:space="preserve"> </w:t>
            </w:r>
            <w:r>
              <w:rPr>
                <w:spacing w:val="10"/>
                <w:sz w:val="19"/>
                <w:szCs w:val="19"/>
              </w:rPr>
              <w:t>扣2分)</w:t>
            </w:r>
          </w:p>
          <w:p w14:paraId="2E369F25">
            <w:pPr>
              <w:pStyle w:val="6"/>
              <w:spacing w:before="23" w:line="195" w:lineRule="auto"/>
              <w:ind w:left="17"/>
              <w:rPr>
                <w:sz w:val="19"/>
                <w:szCs w:val="19"/>
              </w:rPr>
            </w:pPr>
            <w:r>
              <w:rPr>
                <w:sz w:val="19"/>
                <w:szCs w:val="19"/>
              </w:rPr>
              <w:t>15.分值6分(处理用物不</w:t>
            </w:r>
          </w:p>
          <w:p w14:paraId="36F91916">
            <w:pPr>
              <w:pStyle w:val="6"/>
              <w:spacing w:line="220" w:lineRule="auto"/>
              <w:ind w:left="17"/>
              <w:rPr>
                <w:sz w:val="19"/>
                <w:szCs w:val="19"/>
              </w:rPr>
            </w:pPr>
            <w:r>
              <w:rPr>
                <w:spacing w:val="3"/>
                <w:sz w:val="19"/>
                <w:szCs w:val="19"/>
              </w:rPr>
              <w:t>当扣3分，未记录扣3分)</w:t>
            </w:r>
          </w:p>
          <w:p w14:paraId="63B58EAD">
            <w:pPr>
              <w:pStyle w:val="6"/>
              <w:spacing w:before="13" w:line="202" w:lineRule="auto"/>
              <w:ind w:left="17"/>
              <w:rPr>
                <w:sz w:val="19"/>
                <w:szCs w:val="19"/>
              </w:rPr>
            </w:pPr>
            <w:r>
              <w:rPr>
                <w:spacing w:val="-6"/>
                <w:sz w:val="19"/>
                <w:szCs w:val="19"/>
              </w:rPr>
              <w:t>16.操作后评价：分值15分</w:t>
            </w:r>
            <w:r>
              <w:rPr>
                <w:spacing w:val="1"/>
                <w:sz w:val="19"/>
                <w:szCs w:val="19"/>
              </w:rPr>
              <w:t xml:space="preserve">  </w:t>
            </w:r>
            <w:r>
              <w:rPr>
                <w:spacing w:val="-7"/>
                <w:sz w:val="19"/>
                <w:szCs w:val="19"/>
              </w:rPr>
              <w:t>(严格三查七对。查对不严</w:t>
            </w:r>
            <w:r>
              <w:rPr>
                <w:spacing w:val="1"/>
                <w:sz w:val="19"/>
                <w:szCs w:val="19"/>
              </w:rPr>
              <w:t xml:space="preserve">  </w:t>
            </w:r>
            <w:r>
              <w:rPr>
                <w:spacing w:val="-8"/>
                <w:sz w:val="19"/>
                <w:szCs w:val="19"/>
              </w:rPr>
              <w:t>格扣5分。操作不熟练酌情</w:t>
            </w:r>
            <w:r>
              <w:rPr>
                <w:spacing w:val="2"/>
                <w:sz w:val="19"/>
                <w:szCs w:val="19"/>
              </w:rPr>
              <w:t xml:space="preserve">  </w:t>
            </w:r>
            <w:r>
              <w:rPr>
                <w:spacing w:val="-8"/>
                <w:sz w:val="19"/>
                <w:szCs w:val="19"/>
              </w:rPr>
              <w:t>扣1-2分。注射部位选择不</w:t>
            </w:r>
            <w:r>
              <w:rPr>
                <w:spacing w:val="5"/>
                <w:sz w:val="19"/>
                <w:szCs w:val="19"/>
              </w:rPr>
              <w:t xml:space="preserve">  </w:t>
            </w:r>
            <w:r>
              <w:rPr>
                <w:spacing w:val="-11"/>
                <w:sz w:val="19"/>
                <w:szCs w:val="19"/>
              </w:rPr>
              <w:t>当，未注意保护血管扣2分。</w:t>
            </w:r>
            <w:r>
              <w:rPr>
                <w:spacing w:val="6"/>
                <w:sz w:val="19"/>
                <w:szCs w:val="19"/>
              </w:rPr>
              <w:t xml:space="preserve"> </w:t>
            </w:r>
            <w:r>
              <w:rPr>
                <w:spacing w:val="-2"/>
                <w:sz w:val="19"/>
                <w:szCs w:val="19"/>
              </w:rPr>
              <w:t>无菌观念不强扣5分)</w:t>
            </w:r>
          </w:p>
        </w:tc>
        <w:tc>
          <w:tcPr>
            <w:tcW w:w="854" w:type="dxa"/>
            <w:vAlign w:val="top"/>
          </w:tcPr>
          <w:p w14:paraId="68C1466C">
            <w:pPr>
              <w:rPr>
                <w:rFonts w:ascii="Arial"/>
                <w:sz w:val="21"/>
              </w:rPr>
            </w:pPr>
          </w:p>
        </w:tc>
      </w:tr>
      <w:tr w14:paraId="597EA4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629" w:hRule="atLeast"/>
        </w:trPr>
        <w:tc>
          <w:tcPr>
            <w:tcW w:w="474" w:type="dxa"/>
            <w:vAlign w:val="top"/>
          </w:tcPr>
          <w:p w14:paraId="4B79A7AC">
            <w:pPr>
              <w:pStyle w:val="6"/>
              <w:spacing w:before="43" w:line="213" w:lineRule="auto"/>
              <w:ind w:left="35"/>
              <w:jc w:val="both"/>
              <w:rPr>
                <w:sz w:val="19"/>
                <w:szCs w:val="19"/>
              </w:rPr>
            </w:pPr>
            <w:r>
              <w:rPr>
                <w:spacing w:val="-3"/>
                <w:sz w:val="19"/>
                <w:szCs w:val="19"/>
              </w:rPr>
              <w:t>项目</w:t>
            </w:r>
            <w:r>
              <w:rPr>
                <w:sz w:val="19"/>
                <w:szCs w:val="19"/>
              </w:rPr>
              <w:t xml:space="preserve"> </w:t>
            </w:r>
            <w:r>
              <w:rPr>
                <w:spacing w:val="-27"/>
                <w:w w:val="95"/>
                <w:sz w:val="19"/>
                <w:szCs w:val="19"/>
              </w:rPr>
              <w:t>九</w:t>
            </w:r>
            <w:r>
              <w:rPr>
                <w:spacing w:val="25"/>
                <w:sz w:val="19"/>
                <w:szCs w:val="19"/>
              </w:rPr>
              <w:t xml:space="preserve"> </w:t>
            </w:r>
            <w:r>
              <w:rPr>
                <w:spacing w:val="-27"/>
                <w:w w:val="95"/>
                <w:sz w:val="19"/>
                <w:szCs w:val="19"/>
              </w:rPr>
              <w:t>、</w:t>
            </w:r>
            <w:r>
              <w:rPr>
                <w:sz w:val="19"/>
                <w:szCs w:val="19"/>
              </w:rPr>
              <w:t xml:space="preserve"> </w:t>
            </w:r>
            <w:r>
              <w:rPr>
                <w:spacing w:val="-14"/>
                <w:sz w:val="19"/>
                <w:szCs w:val="19"/>
              </w:rPr>
              <w:t>口腔</w:t>
            </w:r>
            <w:r>
              <w:rPr>
                <w:sz w:val="19"/>
                <w:szCs w:val="19"/>
              </w:rPr>
              <w:t xml:space="preserve">  </w:t>
            </w:r>
            <w:r>
              <w:rPr>
                <w:spacing w:val="-12"/>
                <w:sz w:val="19"/>
                <w:szCs w:val="19"/>
              </w:rPr>
              <w:t>护理</w:t>
            </w:r>
          </w:p>
        </w:tc>
        <w:tc>
          <w:tcPr>
            <w:tcW w:w="509" w:type="dxa"/>
            <w:vAlign w:val="top"/>
          </w:tcPr>
          <w:p w14:paraId="38871D5B">
            <w:pPr>
              <w:pStyle w:val="6"/>
              <w:spacing w:before="51" w:line="213" w:lineRule="auto"/>
              <w:ind w:left="1" w:firstLine="42"/>
              <w:rPr>
                <w:sz w:val="19"/>
                <w:szCs w:val="19"/>
              </w:rPr>
            </w:pPr>
            <w:r>
              <w:rPr>
                <w:spacing w:val="-17"/>
                <w:w w:val="95"/>
                <w:sz w:val="19"/>
                <w:szCs w:val="19"/>
              </w:rPr>
              <w:t>治疗</w:t>
            </w:r>
            <w:r>
              <w:rPr>
                <w:spacing w:val="1"/>
                <w:sz w:val="19"/>
                <w:szCs w:val="19"/>
              </w:rPr>
              <w:t xml:space="preserve">  </w:t>
            </w:r>
            <w:r>
              <w:rPr>
                <w:spacing w:val="-15"/>
                <w:sz w:val="19"/>
                <w:szCs w:val="19"/>
              </w:rPr>
              <w:t>碗(内</w:t>
            </w:r>
            <w:r>
              <w:rPr>
                <w:sz w:val="19"/>
                <w:szCs w:val="19"/>
              </w:rPr>
              <w:t xml:space="preserve"> </w:t>
            </w:r>
            <w:r>
              <w:rPr>
                <w:spacing w:val="-11"/>
                <w:sz w:val="19"/>
                <w:szCs w:val="19"/>
              </w:rPr>
              <w:t>盛含</w:t>
            </w:r>
            <w:r>
              <w:rPr>
                <w:sz w:val="19"/>
                <w:szCs w:val="19"/>
              </w:rPr>
              <w:t xml:space="preserve">  </w:t>
            </w:r>
            <w:r>
              <w:rPr>
                <w:spacing w:val="-11"/>
                <w:sz w:val="19"/>
                <w:szCs w:val="19"/>
              </w:rPr>
              <w:t>有漱</w:t>
            </w:r>
            <w:r>
              <w:rPr>
                <w:sz w:val="19"/>
                <w:szCs w:val="19"/>
              </w:rPr>
              <w:t xml:space="preserve">  </w:t>
            </w:r>
            <w:r>
              <w:rPr>
                <w:spacing w:val="-4"/>
                <w:sz w:val="19"/>
                <w:szCs w:val="19"/>
              </w:rPr>
              <w:t>口溶</w:t>
            </w:r>
            <w:r>
              <w:rPr>
                <w:sz w:val="19"/>
                <w:szCs w:val="19"/>
              </w:rPr>
              <w:t xml:space="preserve">  </w:t>
            </w:r>
            <w:r>
              <w:rPr>
                <w:spacing w:val="-1"/>
                <w:sz w:val="19"/>
                <w:szCs w:val="19"/>
              </w:rPr>
              <w:t>液的</w:t>
            </w:r>
            <w:r>
              <w:rPr>
                <w:sz w:val="19"/>
                <w:szCs w:val="19"/>
              </w:rPr>
              <w:t xml:space="preserve">  </w:t>
            </w:r>
            <w:r>
              <w:rPr>
                <w:spacing w:val="-11"/>
                <w:sz w:val="19"/>
                <w:szCs w:val="19"/>
              </w:rPr>
              <w:t>棉球</w:t>
            </w:r>
            <w:r>
              <w:rPr>
                <w:sz w:val="19"/>
                <w:szCs w:val="19"/>
              </w:rPr>
              <w:t xml:space="preserve">  </w:t>
            </w:r>
            <w:r>
              <w:rPr>
                <w:spacing w:val="-1"/>
                <w:sz w:val="19"/>
                <w:szCs w:val="19"/>
              </w:rPr>
              <w:t>不少</w:t>
            </w:r>
            <w:r>
              <w:rPr>
                <w:sz w:val="19"/>
                <w:szCs w:val="19"/>
              </w:rPr>
              <w:t xml:space="preserve">  </w:t>
            </w:r>
            <w:r>
              <w:rPr>
                <w:spacing w:val="-2"/>
                <w:sz w:val="19"/>
                <w:szCs w:val="19"/>
              </w:rPr>
              <w:t>于16</w:t>
            </w:r>
            <w:r>
              <w:rPr>
                <w:sz w:val="19"/>
                <w:szCs w:val="19"/>
              </w:rPr>
              <w:t xml:space="preserve">  </w:t>
            </w:r>
            <w:r>
              <w:rPr>
                <w:spacing w:val="-6"/>
                <w:sz w:val="19"/>
                <w:szCs w:val="19"/>
              </w:rPr>
              <w:t>个</w:t>
            </w:r>
            <w:r>
              <w:rPr>
                <w:spacing w:val="33"/>
                <w:w w:val="101"/>
                <w:sz w:val="19"/>
                <w:szCs w:val="19"/>
              </w:rPr>
              <w:t xml:space="preserve"> </w:t>
            </w:r>
            <w:r>
              <w:rPr>
                <w:spacing w:val="-6"/>
                <w:sz w:val="19"/>
                <w:szCs w:val="19"/>
              </w:rPr>
              <w:t>、</w:t>
            </w:r>
            <w:r>
              <w:rPr>
                <w:sz w:val="19"/>
                <w:szCs w:val="19"/>
              </w:rPr>
              <w:t xml:space="preserve"> </w:t>
            </w:r>
            <w:r>
              <w:rPr>
                <w:spacing w:val="-4"/>
                <w:sz w:val="19"/>
                <w:szCs w:val="19"/>
              </w:rPr>
              <w:t>弯血</w:t>
            </w:r>
            <w:r>
              <w:rPr>
                <w:sz w:val="19"/>
                <w:szCs w:val="19"/>
              </w:rPr>
              <w:t xml:space="preserve">  </w:t>
            </w:r>
            <w:r>
              <w:rPr>
                <w:spacing w:val="-25"/>
                <w:sz w:val="19"/>
                <w:szCs w:val="19"/>
              </w:rPr>
              <w:t>管钳、</w:t>
            </w:r>
            <w:r>
              <w:rPr>
                <w:spacing w:val="1"/>
                <w:sz w:val="19"/>
                <w:szCs w:val="19"/>
              </w:rPr>
              <w:t xml:space="preserve"> </w:t>
            </w:r>
            <w:r>
              <w:rPr>
                <w:spacing w:val="-21"/>
                <w:w w:val="93"/>
                <w:sz w:val="19"/>
                <w:szCs w:val="19"/>
              </w:rPr>
              <w:t>镊</w:t>
            </w:r>
            <w:r>
              <w:rPr>
                <w:spacing w:val="-31"/>
                <w:sz w:val="19"/>
                <w:szCs w:val="19"/>
              </w:rPr>
              <w:t xml:space="preserve"> </w:t>
            </w:r>
            <w:r>
              <w:rPr>
                <w:spacing w:val="-21"/>
                <w:w w:val="93"/>
                <w:sz w:val="19"/>
                <w:szCs w:val="19"/>
              </w:rPr>
              <w:t>)</w:t>
            </w:r>
            <w:r>
              <w:rPr>
                <w:spacing w:val="-41"/>
                <w:sz w:val="19"/>
                <w:szCs w:val="19"/>
              </w:rPr>
              <w:t xml:space="preserve"> </w:t>
            </w:r>
            <w:r>
              <w:rPr>
                <w:spacing w:val="-21"/>
                <w:w w:val="93"/>
                <w:sz w:val="19"/>
                <w:szCs w:val="19"/>
              </w:rPr>
              <w:t>、</w:t>
            </w:r>
            <w:r>
              <w:rPr>
                <w:sz w:val="19"/>
                <w:szCs w:val="19"/>
              </w:rPr>
              <w:t xml:space="preserve"> </w:t>
            </w:r>
            <w:r>
              <w:rPr>
                <w:spacing w:val="-11"/>
                <w:sz w:val="19"/>
                <w:szCs w:val="19"/>
              </w:rPr>
              <w:t>压舌</w:t>
            </w:r>
            <w:r>
              <w:rPr>
                <w:sz w:val="19"/>
                <w:szCs w:val="19"/>
              </w:rPr>
              <w:t xml:space="preserve">  </w:t>
            </w:r>
            <w:r>
              <w:rPr>
                <w:spacing w:val="-6"/>
                <w:sz w:val="19"/>
                <w:szCs w:val="19"/>
              </w:rPr>
              <w:t>板</w:t>
            </w:r>
            <w:r>
              <w:rPr>
                <w:spacing w:val="33"/>
                <w:w w:val="101"/>
                <w:sz w:val="19"/>
                <w:szCs w:val="19"/>
              </w:rPr>
              <w:t xml:space="preserve"> </w:t>
            </w:r>
            <w:r>
              <w:rPr>
                <w:spacing w:val="-6"/>
                <w:sz w:val="19"/>
                <w:szCs w:val="19"/>
              </w:rPr>
              <w:t>、</w:t>
            </w:r>
            <w:r>
              <w:rPr>
                <w:sz w:val="19"/>
                <w:szCs w:val="19"/>
              </w:rPr>
              <w:t xml:space="preserve"> </w:t>
            </w:r>
            <w:r>
              <w:rPr>
                <w:spacing w:val="-4"/>
                <w:sz w:val="19"/>
                <w:szCs w:val="19"/>
              </w:rPr>
              <w:t>治疗</w:t>
            </w:r>
            <w:r>
              <w:rPr>
                <w:sz w:val="19"/>
                <w:szCs w:val="19"/>
              </w:rPr>
              <w:t xml:space="preserve">  </w:t>
            </w:r>
            <w:r>
              <w:rPr>
                <w:spacing w:val="-17"/>
                <w:sz w:val="19"/>
                <w:szCs w:val="19"/>
              </w:rPr>
              <w:t>巾</w:t>
            </w:r>
            <w:r>
              <w:rPr>
                <w:spacing w:val="56"/>
                <w:sz w:val="19"/>
                <w:szCs w:val="19"/>
              </w:rPr>
              <w:t xml:space="preserve"> </w:t>
            </w:r>
            <w:r>
              <w:rPr>
                <w:spacing w:val="-17"/>
                <w:sz w:val="19"/>
                <w:szCs w:val="19"/>
              </w:rPr>
              <w:t>、</w:t>
            </w:r>
            <w:r>
              <w:rPr>
                <w:sz w:val="19"/>
                <w:szCs w:val="19"/>
              </w:rPr>
              <w:t xml:space="preserve"> </w:t>
            </w:r>
            <w:r>
              <w:rPr>
                <w:spacing w:val="-25"/>
                <w:sz w:val="19"/>
                <w:szCs w:val="19"/>
              </w:rPr>
              <w:t>纱布、</w:t>
            </w:r>
            <w:r>
              <w:rPr>
                <w:spacing w:val="1"/>
                <w:sz w:val="19"/>
                <w:szCs w:val="19"/>
              </w:rPr>
              <w:t xml:space="preserve"> </w:t>
            </w:r>
            <w:r>
              <w:rPr>
                <w:spacing w:val="-25"/>
                <w:sz w:val="19"/>
                <w:szCs w:val="19"/>
              </w:rPr>
              <w:t>弯盘、</w:t>
            </w:r>
            <w:r>
              <w:rPr>
                <w:spacing w:val="1"/>
                <w:sz w:val="19"/>
                <w:szCs w:val="19"/>
              </w:rPr>
              <w:t xml:space="preserve"> </w:t>
            </w:r>
            <w:r>
              <w:rPr>
                <w:spacing w:val="4"/>
                <w:sz w:val="19"/>
                <w:szCs w:val="19"/>
              </w:rPr>
              <w:t>漱口</w:t>
            </w:r>
            <w:r>
              <w:rPr>
                <w:sz w:val="19"/>
                <w:szCs w:val="19"/>
              </w:rPr>
              <w:t xml:space="preserve">  </w:t>
            </w:r>
            <w:r>
              <w:rPr>
                <w:spacing w:val="-5"/>
                <w:sz w:val="19"/>
                <w:szCs w:val="19"/>
              </w:rPr>
              <w:t>杯</w:t>
            </w:r>
            <w:r>
              <w:rPr>
                <w:spacing w:val="32"/>
                <w:sz w:val="19"/>
                <w:szCs w:val="19"/>
              </w:rPr>
              <w:t xml:space="preserve"> </w:t>
            </w:r>
            <w:r>
              <w:rPr>
                <w:spacing w:val="-5"/>
                <w:sz w:val="19"/>
                <w:szCs w:val="19"/>
              </w:rPr>
              <w:t>、</w:t>
            </w:r>
            <w:r>
              <w:rPr>
                <w:sz w:val="19"/>
                <w:szCs w:val="19"/>
              </w:rPr>
              <w:t xml:space="preserve"> </w:t>
            </w:r>
            <w:r>
              <w:rPr>
                <w:spacing w:val="-4"/>
                <w:sz w:val="19"/>
                <w:szCs w:val="19"/>
              </w:rPr>
              <w:t>吸水</w:t>
            </w:r>
            <w:r>
              <w:rPr>
                <w:sz w:val="19"/>
                <w:szCs w:val="19"/>
              </w:rPr>
              <w:t xml:space="preserve">  </w:t>
            </w:r>
            <w:r>
              <w:rPr>
                <w:spacing w:val="-8"/>
                <w:sz w:val="19"/>
                <w:szCs w:val="19"/>
              </w:rPr>
              <w:t>管</w:t>
            </w:r>
            <w:r>
              <w:rPr>
                <w:spacing w:val="37"/>
                <w:w w:val="101"/>
                <w:sz w:val="19"/>
                <w:szCs w:val="19"/>
              </w:rPr>
              <w:t xml:space="preserve"> </w:t>
            </w:r>
            <w:r>
              <w:rPr>
                <w:spacing w:val="-8"/>
                <w:sz w:val="19"/>
                <w:szCs w:val="19"/>
              </w:rPr>
              <w:t>、</w:t>
            </w:r>
            <w:r>
              <w:rPr>
                <w:sz w:val="19"/>
                <w:szCs w:val="19"/>
              </w:rPr>
              <w:t xml:space="preserve"> </w:t>
            </w:r>
            <w:r>
              <w:rPr>
                <w:spacing w:val="-25"/>
                <w:sz w:val="19"/>
                <w:szCs w:val="19"/>
              </w:rPr>
              <w:t>棉签、</w:t>
            </w:r>
            <w:r>
              <w:rPr>
                <w:spacing w:val="1"/>
                <w:sz w:val="19"/>
                <w:szCs w:val="19"/>
              </w:rPr>
              <w:t xml:space="preserve"> </w:t>
            </w:r>
            <w:r>
              <w:rPr>
                <w:spacing w:val="-11"/>
                <w:sz w:val="19"/>
                <w:szCs w:val="19"/>
              </w:rPr>
              <w:t>手电</w:t>
            </w:r>
            <w:r>
              <w:rPr>
                <w:sz w:val="19"/>
                <w:szCs w:val="19"/>
              </w:rPr>
              <w:t xml:space="preserve">  </w:t>
            </w:r>
            <w:r>
              <w:rPr>
                <w:spacing w:val="-7"/>
                <w:sz w:val="19"/>
                <w:szCs w:val="19"/>
              </w:rPr>
              <w:t>筒</w:t>
            </w:r>
            <w:r>
              <w:rPr>
                <w:spacing w:val="35"/>
                <w:w w:val="101"/>
                <w:sz w:val="19"/>
                <w:szCs w:val="19"/>
              </w:rPr>
              <w:t xml:space="preserve"> </w:t>
            </w:r>
            <w:r>
              <w:rPr>
                <w:spacing w:val="-7"/>
                <w:sz w:val="19"/>
                <w:szCs w:val="19"/>
              </w:rPr>
              <w:t>、</w:t>
            </w:r>
            <w:r>
              <w:rPr>
                <w:sz w:val="19"/>
                <w:szCs w:val="19"/>
              </w:rPr>
              <w:t xml:space="preserve"> </w:t>
            </w:r>
            <w:r>
              <w:rPr>
                <w:spacing w:val="-10"/>
                <w:sz w:val="19"/>
                <w:szCs w:val="19"/>
              </w:rPr>
              <w:t>模拟</w:t>
            </w:r>
            <w:r>
              <w:rPr>
                <w:sz w:val="19"/>
                <w:szCs w:val="19"/>
              </w:rPr>
              <w:t xml:space="preserve">  </w:t>
            </w:r>
            <w:r>
              <w:rPr>
                <w:spacing w:val="-16"/>
                <w:w w:val="97"/>
                <w:sz w:val="19"/>
                <w:szCs w:val="19"/>
              </w:rPr>
              <w:t>人(或</w:t>
            </w:r>
            <w:r>
              <w:rPr>
                <w:spacing w:val="1"/>
                <w:sz w:val="19"/>
                <w:szCs w:val="19"/>
              </w:rPr>
              <w:t xml:space="preserve">  </w:t>
            </w:r>
            <w:r>
              <w:rPr>
                <w:spacing w:val="-9"/>
                <w:sz w:val="19"/>
                <w:szCs w:val="19"/>
              </w:rPr>
              <w:t>牙模)</w:t>
            </w:r>
          </w:p>
        </w:tc>
        <w:tc>
          <w:tcPr>
            <w:tcW w:w="1059" w:type="dxa"/>
            <w:vAlign w:val="top"/>
          </w:tcPr>
          <w:p w14:paraId="32BD7725">
            <w:pPr>
              <w:pStyle w:val="6"/>
              <w:spacing w:before="42" w:line="217" w:lineRule="auto"/>
              <w:ind w:left="42" w:right="46"/>
              <w:jc w:val="both"/>
              <w:rPr>
                <w:sz w:val="19"/>
                <w:szCs w:val="19"/>
              </w:rPr>
            </w:pPr>
            <w:r>
              <w:rPr>
                <w:spacing w:val="1"/>
                <w:sz w:val="19"/>
                <w:szCs w:val="19"/>
              </w:rPr>
              <w:t>1.核对解释</w:t>
            </w:r>
            <w:r>
              <w:rPr>
                <w:spacing w:val="2"/>
                <w:sz w:val="19"/>
                <w:szCs w:val="19"/>
              </w:rPr>
              <w:t xml:space="preserve"> </w:t>
            </w:r>
            <w:r>
              <w:rPr>
                <w:spacing w:val="-2"/>
                <w:sz w:val="19"/>
                <w:szCs w:val="19"/>
              </w:rPr>
              <w:t>2.安置体位</w:t>
            </w:r>
            <w:r>
              <w:rPr>
                <w:spacing w:val="1"/>
                <w:sz w:val="19"/>
                <w:szCs w:val="19"/>
              </w:rPr>
              <w:t xml:space="preserve"> 3.观察口腔</w:t>
            </w:r>
            <w:r>
              <w:rPr>
                <w:spacing w:val="3"/>
                <w:sz w:val="19"/>
                <w:szCs w:val="19"/>
              </w:rPr>
              <w:t xml:space="preserve"> </w:t>
            </w:r>
            <w:r>
              <w:rPr>
                <w:spacing w:val="-2"/>
                <w:sz w:val="19"/>
                <w:szCs w:val="19"/>
              </w:rPr>
              <w:t>4.擦洗口腔</w:t>
            </w:r>
            <w:r>
              <w:rPr>
                <w:spacing w:val="4"/>
                <w:sz w:val="19"/>
                <w:szCs w:val="19"/>
              </w:rPr>
              <w:t xml:space="preserve"> </w:t>
            </w:r>
            <w:r>
              <w:rPr>
                <w:spacing w:val="1"/>
                <w:sz w:val="19"/>
                <w:szCs w:val="19"/>
              </w:rPr>
              <w:t xml:space="preserve">5.漱口涂药 </w:t>
            </w:r>
            <w:r>
              <w:rPr>
                <w:spacing w:val="-2"/>
                <w:sz w:val="19"/>
                <w:szCs w:val="19"/>
              </w:rPr>
              <w:t>6.整理记录</w:t>
            </w:r>
          </w:p>
        </w:tc>
        <w:tc>
          <w:tcPr>
            <w:tcW w:w="3556" w:type="dxa"/>
            <w:vAlign w:val="top"/>
          </w:tcPr>
          <w:p w14:paraId="2418D727">
            <w:pPr>
              <w:pStyle w:val="6"/>
              <w:spacing w:before="42" w:line="219" w:lineRule="auto"/>
              <w:ind w:left="13"/>
              <w:rPr>
                <w:sz w:val="19"/>
                <w:szCs w:val="19"/>
              </w:rPr>
            </w:pPr>
            <w:r>
              <w:rPr>
                <w:spacing w:val="-1"/>
                <w:sz w:val="19"/>
                <w:szCs w:val="19"/>
              </w:rPr>
              <w:t>1.护士着装整洁，洗手，戴口罩。</w:t>
            </w:r>
          </w:p>
          <w:p w14:paraId="38DB5756">
            <w:pPr>
              <w:pStyle w:val="6"/>
              <w:spacing w:before="213" w:line="205" w:lineRule="auto"/>
              <w:ind w:left="13"/>
              <w:rPr>
                <w:sz w:val="19"/>
                <w:szCs w:val="19"/>
              </w:rPr>
            </w:pPr>
            <w:r>
              <w:rPr>
                <w:sz w:val="19"/>
                <w:szCs w:val="19"/>
              </w:rPr>
              <w:t>2.评估：</w:t>
            </w:r>
          </w:p>
          <w:p w14:paraId="2C0F74E2">
            <w:pPr>
              <w:pStyle w:val="6"/>
              <w:spacing w:line="213" w:lineRule="auto"/>
              <w:ind w:left="13"/>
              <w:rPr>
                <w:sz w:val="19"/>
                <w:szCs w:val="19"/>
              </w:rPr>
            </w:pPr>
            <w:r>
              <w:rPr>
                <w:spacing w:val="-9"/>
                <w:sz w:val="19"/>
                <w:szCs w:val="19"/>
              </w:rPr>
              <w:t>(1)询问、了解病人身体状况，如意识、有无</w:t>
            </w:r>
            <w:r>
              <w:rPr>
                <w:spacing w:val="15"/>
                <w:sz w:val="19"/>
                <w:szCs w:val="19"/>
              </w:rPr>
              <w:t xml:space="preserve"> </w:t>
            </w:r>
            <w:r>
              <w:rPr>
                <w:spacing w:val="-1"/>
                <w:sz w:val="19"/>
                <w:szCs w:val="19"/>
              </w:rPr>
              <w:t>吞咽障碍。</w:t>
            </w:r>
          </w:p>
          <w:p w14:paraId="392A1AF0">
            <w:pPr>
              <w:pStyle w:val="6"/>
              <w:spacing w:before="2" w:line="220" w:lineRule="auto"/>
              <w:ind w:left="13"/>
              <w:jc w:val="both"/>
              <w:rPr>
                <w:sz w:val="19"/>
                <w:szCs w:val="19"/>
              </w:rPr>
            </w:pPr>
            <w:r>
              <w:rPr>
                <w:spacing w:val="-9"/>
                <w:sz w:val="19"/>
                <w:szCs w:val="19"/>
              </w:rPr>
              <w:t>(2)重点评估口腔情况，如有无义齿，口腔黏</w:t>
            </w:r>
            <w:r>
              <w:rPr>
                <w:spacing w:val="15"/>
                <w:sz w:val="19"/>
                <w:szCs w:val="19"/>
              </w:rPr>
              <w:t xml:space="preserve"> </w:t>
            </w:r>
            <w:r>
              <w:rPr>
                <w:spacing w:val="-5"/>
                <w:sz w:val="19"/>
                <w:szCs w:val="19"/>
              </w:rPr>
              <w:t>膜有无出血、溃疡等，解释操作目的，取得</w:t>
            </w:r>
            <w:r>
              <w:rPr>
                <w:spacing w:val="15"/>
                <w:sz w:val="19"/>
                <w:szCs w:val="19"/>
              </w:rPr>
              <w:t xml:space="preserve"> </w:t>
            </w:r>
            <w:r>
              <w:rPr>
                <w:spacing w:val="-2"/>
                <w:sz w:val="19"/>
                <w:szCs w:val="19"/>
              </w:rPr>
              <w:t>病人配合。</w:t>
            </w:r>
          </w:p>
          <w:p w14:paraId="58CA617B">
            <w:pPr>
              <w:pStyle w:val="6"/>
              <w:spacing w:line="219" w:lineRule="auto"/>
              <w:jc w:val="right"/>
              <w:rPr>
                <w:sz w:val="19"/>
                <w:szCs w:val="19"/>
              </w:rPr>
            </w:pPr>
            <w:r>
              <w:rPr>
                <w:spacing w:val="-4"/>
                <w:sz w:val="19"/>
                <w:szCs w:val="19"/>
              </w:rPr>
              <w:t>3.用物准备齐全，无遗漏，放置合理美观。</w:t>
            </w:r>
          </w:p>
          <w:p w14:paraId="0CF9E6C2">
            <w:pPr>
              <w:spacing w:line="360" w:lineRule="auto"/>
              <w:rPr>
                <w:rFonts w:ascii="Arial"/>
                <w:sz w:val="21"/>
              </w:rPr>
            </w:pPr>
          </w:p>
          <w:p w14:paraId="73C1AE42">
            <w:pPr>
              <w:pStyle w:val="6"/>
              <w:spacing w:before="62" w:line="219" w:lineRule="auto"/>
              <w:ind w:left="13"/>
              <w:rPr>
                <w:sz w:val="19"/>
                <w:szCs w:val="19"/>
              </w:rPr>
            </w:pPr>
            <w:r>
              <w:rPr>
                <w:spacing w:val="-1"/>
                <w:sz w:val="19"/>
                <w:szCs w:val="19"/>
              </w:rPr>
              <w:t>4.携用物至病人床旁，核对床号、姓名。</w:t>
            </w:r>
          </w:p>
          <w:p w14:paraId="4DB22816">
            <w:pPr>
              <w:pStyle w:val="6"/>
              <w:spacing w:before="213" w:line="214" w:lineRule="auto"/>
              <w:ind w:left="13"/>
              <w:rPr>
                <w:sz w:val="19"/>
                <w:szCs w:val="19"/>
              </w:rPr>
            </w:pPr>
            <w:r>
              <w:rPr>
                <w:spacing w:val="-4"/>
                <w:sz w:val="19"/>
                <w:szCs w:val="19"/>
              </w:rPr>
              <w:t>5.告知病人配合方法，协助病人取侧卧位或</w:t>
            </w:r>
            <w:r>
              <w:rPr>
                <w:spacing w:val="1"/>
                <w:sz w:val="19"/>
                <w:szCs w:val="19"/>
              </w:rPr>
              <w:t xml:space="preserve"> </w:t>
            </w:r>
            <w:r>
              <w:rPr>
                <w:spacing w:val="-2"/>
                <w:sz w:val="19"/>
                <w:szCs w:val="19"/>
              </w:rPr>
              <w:t>面向护士。</w:t>
            </w:r>
          </w:p>
          <w:p w14:paraId="19892A26">
            <w:pPr>
              <w:pStyle w:val="6"/>
              <w:spacing w:before="1" w:line="213" w:lineRule="auto"/>
              <w:ind w:left="13"/>
              <w:rPr>
                <w:sz w:val="19"/>
                <w:szCs w:val="19"/>
              </w:rPr>
            </w:pPr>
            <w:r>
              <w:rPr>
                <w:spacing w:val="-4"/>
                <w:sz w:val="19"/>
                <w:szCs w:val="19"/>
              </w:rPr>
              <w:t>6.颌下铺治疗巾，弯盘放于口角旁，如有活</w:t>
            </w:r>
            <w:r>
              <w:rPr>
                <w:spacing w:val="1"/>
                <w:sz w:val="19"/>
                <w:szCs w:val="19"/>
              </w:rPr>
              <w:t xml:space="preserve"> </w:t>
            </w:r>
            <w:r>
              <w:rPr>
                <w:spacing w:val="-1"/>
                <w:sz w:val="19"/>
                <w:szCs w:val="19"/>
              </w:rPr>
              <w:t>动义齿先取下。</w:t>
            </w:r>
          </w:p>
          <w:p w14:paraId="34FDB309">
            <w:pPr>
              <w:pStyle w:val="6"/>
              <w:spacing w:before="1" w:line="218" w:lineRule="auto"/>
              <w:ind w:left="13"/>
              <w:rPr>
                <w:sz w:val="19"/>
                <w:szCs w:val="19"/>
              </w:rPr>
            </w:pPr>
            <w:r>
              <w:rPr>
                <w:spacing w:val="-1"/>
                <w:sz w:val="19"/>
                <w:szCs w:val="19"/>
              </w:rPr>
              <w:t>7.湿润口唇、口角。</w:t>
            </w:r>
          </w:p>
          <w:p w14:paraId="1FA96C1F">
            <w:pPr>
              <w:pStyle w:val="6"/>
              <w:spacing w:before="215" w:line="212" w:lineRule="auto"/>
              <w:ind w:left="13" w:right="121"/>
              <w:rPr>
                <w:sz w:val="19"/>
                <w:szCs w:val="19"/>
              </w:rPr>
            </w:pPr>
            <w:r>
              <w:rPr>
                <w:spacing w:val="-1"/>
                <w:sz w:val="19"/>
                <w:szCs w:val="19"/>
              </w:rPr>
              <w:t>8.协助并指导病人正确漱口(清醒病人)观</w:t>
            </w:r>
            <w:r>
              <w:rPr>
                <w:spacing w:val="10"/>
                <w:sz w:val="19"/>
                <w:szCs w:val="19"/>
              </w:rPr>
              <w:t xml:space="preserve"> </w:t>
            </w:r>
            <w:r>
              <w:rPr>
                <w:spacing w:val="-1"/>
                <w:sz w:val="19"/>
                <w:szCs w:val="19"/>
              </w:rPr>
              <w:t>察口腔情况。</w:t>
            </w:r>
          </w:p>
          <w:p w14:paraId="6EB788D3">
            <w:pPr>
              <w:spacing w:line="389" w:lineRule="auto"/>
              <w:rPr>
                <w:rFonts w:ascii="Arial"/>
                <w:sz w:val="21"/>
              </w:rPr>
            </w:pPr>
          </w:p>
          <w:p w14:paraId="3E658A62">
            <w:pPr>
              <w:pStyle w:val="6"/>
              <w:spacing w:before="63" w:line="209" w:lineRule="auto"/>
              <w:ind w:left="13"/>
              <w:rPr>
                <w:sz w:val="19"/>
                <w:szCs w:val="19"/>
              </w:rPr>
            </w:pPr>
            <w:r>
              <w:rPr>
                <w:spacing w:val="-4"/>
                <w:sz w:val="19"/>
                <w:szCs w:val="19"/>
              </w:rPr>
              <w:t>9.压舌板撑开对侧颊部，弯血管钳夹取含漱</w:t>
            </w:r>
            <w:r>
              <w:rPr>
                <w:spacing w:val="1"/>
                <w:sz w:val="19"/>
                <w:szCs w:val="19"/>
              </w:rPr>
              <w:t xml:space="preserve"> </w:t>
            </w:r>
            <w:r>
              <w:rPr>
                <w:spacing w:val="3"/>
                <w:sz w:val="19"/>
                <w:szCs w:val="19"/>
              </w:rPr>
              <w:t>口液的棉球(每次一个，以不滴水为度),</w:t>
            </w:r>
            <w:r>
              <w:rPr>
                <w:spacing w:val="5"/>
                <w:sz w:val="19"/>
                <w:szCs w:val="19"/>
              </w:rPr>
              <w:t xml:space="preserve">  </w:t>
            </w:r>
            <w:r>
              <w:rPr>
                <w:spacing w:val="-5"/>
                <w:sz w:val="19"/>
                <w:szCs w:val="19"/>
              </w:rPr>
              <w:t>嘱病人上下牙齿咬合，由内向门齿纵向擦洗</w:t>
            </w:r>
            <w:r>
              <w:rPr>
                <w:spacing w:val="16"/>
                <w:sz w:val="19"/>
                <w:szCs w:val="19"/>
              </w:rPr>
              <w:t xml:space="preserve"> </w:t>
            </w:r>
            <w:r>
              <w:rPr>
                <w:spacing w:val="-1"/>
                <w:sz w:val="19"/>
                <w:szCs w:val="19"/>
              </w:rPr>
              <w:t>牙齿的外侧面。</w:t>
            </w:r>
          </w:p>
          <w:p w14:paraId="7239D1D2">
            <w:pPr>
              <w:pStyle w:val="6"/>
              <w:spacing w:line="219" w:lineRule="auto"/>
              <w:ind w:left="13"/>
              <w:rPr>
                <w:sz w:val="19"/>
                <w:szCs w:val="19"/>
              </w:rPr>
            </w:pPr>
            <w:r>
              <w:rPr>
                <w:sz w:val="19"/>
                <w:szCs w:val="19"/>
              </w:rPr>
              <w:t>10.同法擦洗另一外侧面。</w:t>
            </w:r>
          </w:p>
        </w:tc>
        <w:tc>
          <w:tcPr>
            <w:tcW w:w="2267" w:type="dxa"/>
            <w:vAlign w:val="top"/>
          </w:tcPr>
          <w:p w14:paraId="33EAA09D">
            <w:pPr>
              <w:pStyle w:val="6"/>
              <w:spacing w:before="32" w:line="218" w:lineRule="auto"/>
              <w:ind w:left="17" w:right="142"/>
              <w:rPr>
                <w:sz w:val="19"/>
                <w:szCs w:val="19"/>
              </w:rPr>
            </w:pPr>
            <w:r>
              <w:rPr>
                <w:sz w:val="19"/>
                <w:szCs w:val="19"/>
              </w:rPr>
              <w:t>1.分值3分(未洗手戴口罩</w:t>
            </w:r>
            <w:r>
              <w:rPr>
                <w:spacing w:val="6"/>
                <w:sz w:val="19"/>
                <w:szCs w:val="19"/>
              </w:rPr>
              <w:t xml:space="preserve"> </w:t>
            </w:r>
            <w:r>
              <w:rPr>
                <w:spacing w:val="8"/>
                <w:sz w:val="19"/>
                <w:szCs w:val="19"/>
              </w:rPr>
              <w:t>各扣1分)</w:t>
            </w:r>
          </w:p>
          <w:p w14:paraId="45622263">
            <w:pPr>
              <w:pStyle w:val="6"/>
              <w:spacing w:before="2" w:line="212" w:lineRule="auto"/>
              <w:ind w:left="17"/>
              <w:jc w:val="both"/>
              <w:rPr>
                <w:sz w:val="19"/>
                <w:szCs w:val="19"/>
              </w:rPr>
            </w:pPr>
            <w:r>
              <w:rPr>
                <w:spacing w:val="3"/>
                <w:sz w:val="19"/>
                <w:szCs w:val="19"/>
              </w:rPr>
              <w:t>2.分值8分(未评估扣6分；</w:t>
            </w:r>
            <w:r>
              <w:rPr>
                <w:spacing w:val="11"/>
                <w:sz w:val="19"/>
                <w:szCs w:val="19"/>
              </w:rPr>
              <w:t xml:space="preserve"> </w:t>
            </w:r>
            <w:r>
              <w:rPr>
                <w:spacing w:val="-4"/>
                <w:sz w:val="19"/>
                <w:szCs w:val="19"/>
              </w:rPr>
              <w:t>评估不全一项扣2分；未解</w:t>
            </w:r>
            <w:r>
              <w:rPr>
                <w:spacing w:val="3"/>
                <w:sz w:val="19"/>
                <w:szCs w:val="19"/>
              </w:rPr>
              <w:t xml:space="preserve">  </w:t>
            </w:r>
            <w:r>
              <w:rPr>
                <w:spacing w:val="5"/>
                <w:sz w:val="19"/>
                <w:szCs w:val="19"/>
              </w:rPr>
              <w:t>释扣2分)</w:t>
            </w:r>
          </w:p>
          <w:p w14:paraId="0AD1C18A">
            <w:pPr>
              <w:spacing w:line="294" w:lineRule="auto"/>
              <w:rPr>
                <w:rFonts w:ascii="Arial"/>
                <w:sz w:val="21"/>
              </w:rPr>
            </w:pPr>
          </w:p>
          <w:p w14:paraId="3CE9E4D4">
            <w:pPr>
              <w:spacing w:line="295" w:lineRule="auto"/>
              <w:rPr>
                <w:rFonts w:ascii="Arial"/>
                <w:sz w:val="21"/>
              </w:rPr>
            </w:pPr>
          </w:p>
          <w:p w14:paraId="0BD81D8B">
            <w:pPr>
              <w:pStyle w:val="6"/>
              <w:spacing w:before="62" w:line="221" w:lineRule="auto"/>
              <w:ind w:left="17" w:right="140"/>
              <w:rPr>
                <w:sz w:val="19"/>
                <w:szCs w:val="19"/>
              </w:rPr>
            </w:pPr>
            <w:r>
              <w:rPr>
                <w:sz w:val="19"/>
                <w:szCs w:val="19"/>
              </w:rPr>
              <w:t>3.分值4分(物品少一件或</w:t>
            </w:r>
            <w:r>
              <w:rPr>
                <w:spacing w:val="7"/>
                <w:sz w:val="19"/>
                <w:szCs w:val="19"/>
              </w:rPr>
              <w:t xml:space="preserve"> </w:t>
            </w:r>
            <w:r>
              <w:rPr>
                <w:spacing w:val="3"/>
                <w:sz w:val="19"/>
                <w:szCs w:val="19"/>
              </w:rPr>
              <w:t>一件不符合要求扣1分)</w:t>
            </w:r>
          </w:p>
          <w:p w14:paraId="116E35D7">
            <w:pPr>
              <w:pStyle w:val="6"/>
              <w:spacing w:before="213" w:line="214" w:lineRule="auto"/>
              <w:ind w:left="17" w:right="55"/>
              <w:rPr>
                <w:sz w:val="19"/>
                <w:szCs w:val="19"/>
              </w:rPr>
            </w:pPr>
            <w:r>
              <w:rPr>
                <w:spacing w:val="7"/>
                <w:sz w:val="19"/>
                <w:szCs w:val="19"/>
              </w:rPr>
              <w:t>4.分值4分(未核对床号、</w:t>
            </w:r>
            <w:r>
              <w:rPr>
                <w:spacing w:val="2"/>
                <w:sz w:val="19"/>
                <w:szCs w:val="19"/>
              </w:rPr>
              <w:t xml:space="preserve"> </w:t>
            </w:r>
            <w:r>
              <w:rPr>
                <w:spacing w:val="5"/>
                <w:sz w:val="19"/>
                <w:szCs w:val="19"/>
              </w:rPr>
              <w:t>姓名各扣2分)</w:t>
            </w:r>
          </w:p>
          <w:p w14:paraId="56214704">
            <w:pPr>
              <w:pStyle w:val="6"/>
              <w:spacing w:before="1" w:line="211" w:lineRule="auto"/>
              <w:ind w:left="17" w:right="133"/>
              <w:rPr>
                <w:sz w:val="19"/>
                <w:szCs w:val="19"/>
              </w:rPr>
            </w:pPr>
            <w:r>
              <w:rPr>
                <w:spacing w:val="1"/>
                <w:sz w:val="19"/>
                <w:szCs w:val="19"/>
              </w:rPr>
              <w:t>5.分值4分(体位不舒适扣</w:t>
            </w:r>
            <w:r>
              <w:rPr>
                <w:spacing w:val="2"/>
                <w:sz w:val="19"/>
                <w:szCs w:val="19"/>
              </w:rPr>
              <w:t xml:space="preserve"> </w:t>
            </w:r>
            <w:r>
              <w:rPr>
                <w:spacing w:val="3"/>
                <w:sz w:val="19"/>
                <w:szCs w:val="19"/>
              </w:rPr>
              <w:t>2分，未解释扣2分)</w:t>
            </w:r>
          </w:p>
          <w:p w14:paraId="5E397EA3">
            <w:pPr>
              <w:pStyle w:val="6"/>
              <w:spacing w:before="5" w:line="212" w:lineRule="auto"/>
              <w:ind w:left="17" w:right="158"/>
              <w:rPr>
                <w:sz w:val="19"/>
                <w:szCs w:val="19"/>
              </w:rPr>
            </w:pPr>
            <w:r>
              <w:rPr>
                <w:spacing w:val="-1"/>
                <w:sz w:val="19"/>
                <w:szCs w:val="19"/>
              </w:rPr>
              <w:t>6.分值3分(一处不符合要</w:t>
            </w:r>
            <w:r>
              <w:rPr>
                <w:spacing w:val="3"/>
                <w:sz w:val="19"/>
                <w:szCs w:val="19"/>
              </w:rPr>
              <w:t xml:space="preserve"> </w:t>
            </w:r>
            <w:r>
              <w:rPr>
                <w:spacing w:val="8"/>
                <w:sz w:val="19"/>
                <w:szCs w:val="19"/>
              </w:rPr>
              <w:t>求扣1分)</w:t>
            </w:r>
          </w:p>
          <w:p w14:paraId="65CF3D51">
            <w:pPr>
              <w:pStyle w:val="6"/>
              <w:spacing w:before="2" w:line="219" w:lineRule="auto"/>
              <w:ind w:left="17" w:right="141"/>
              <w:rPr>
                <w:sz w:val="19"/>
                <w:szCs w:val="19"/>
              </w:rPr>
            </w:pPr>
            <w:r>
              <w:rPr>
                <w:sz w:val="19"/>
                <w:szCs w:val="19"/>
              </w:rPr>
              <w:t>7.分值2分(口角干裂未湿</w:t>
            </w:r>
            <w:r>
              <w:rPr>
                <w:spacing w:val="7"/>
                <w:sz w:val="19"/>
                <w:szCs w:val="19"/>
              </w:rPr>
              <w:t xml:space="preserve"> </w:t>
            </w:r>
            <w:r>
              <w:rPr>
                <w:spacing w:val="8"/>
                <w:sz w:val="19"/>
                <w:szCs w:val="19"/>
              </w:rPr>
              <w:t>润扣2分)</w:t>
            </w:r>
          </w:p>
          <w:p w14:paraId="3709330A">
            <w:pPr>
              <w:pStyle w:val="6"/>
              <w:spacing w:before="4" w:line="208" w:lineRule="auto"/>
              <w:ind w:left="17"/>
              <w:jc w:val="both"/>
              <w:rPr>
                <w:sz w:val="19"/>
                <w:szCs w:val="19"/>
              </w:rPr>
            </w:pPr>
            <w:r>
              <w:rPr>
                <w:spacing w:val="3"/>
                <w:sz w:val="19"/>
                <w:szCs w:val="19"/>
              </w:rPr>
              <w:t>8.分值4分(未漱口扣1分；</w:t>
            </w:r>
            <w:r>
              <w:rPr>
                <w:spacing w:val="11"/>
                <w:sz w:val="19"/>
                <w:szCs w:val="19"/>
              </w:rPr>
              <w:t xml:space="preserve"> </w:t>
            </w:r>
            <w:r>
              <w:rPr>
                <w:spacing w:val="-4"/>
                <w:sz w:val="19"/>
                <w:szCs w:val="19"/>
              </w:rPr>
              <w:t>未协助未指导扣1分；未观</w:t>
            </w:r>
            <w:r>
              <w:rPr>
                <w:spacing w:val="1"/>
                <w:sz w:val="19"/>
                <w:szCs w:val="19"/>
              </w:rPr>
              <w:t xml:space="preserve">  </w:t>
            </w:r>
            <w:r>
              <w:rPr>
                <w:spacing w:val="-4"/>
                <w:sz w:val="19"/>
                <w:szCs w:val="19"/>
              </w:rPr>
              <w:t>察口腔情况扣1分；观察方</w:t>
            </w:r>
            <w:r>
              <w:rPr>
                <w:spacing w:val="1"/>
                <w:sz w:val="19"/>
                <w:szCs w:val="19"/>
              </w:rPr>
              <w:t xml:space="preserve">  </w:t>
            </w:r>
            <w:r>
              <w:rPr>
                <w:spacing w:val="2"/>
                <w:sz w:val="19"/>
                <w:szCs w:val="19"/>
              </w:rPr>
              <w:t>法不正确扣1分)</w:t>
            </w:r>
          </w:p>
          <w:p w14:paraId="0E4BF4B9">
            <w:pPr>
              <w:pStyle w:val="6"/>
              <w:spacing w:before="3" w:line="212" w:lineRule="auto"/>
              <w:ind w:left="17" w:right="60"/>
              <w:rPr>
                <w:sz w:val="19"/>
                <w:szCs w:val="19"/>
              </w:rPr>
            </w:pPr>
            <w:r>
              <w:rPr>
                <w:spacing w:val="-1"/>
                <w:sz w:val="19"/>
                <w:szCs w:val="19"/>
              </w:rPr>
              <w:t>9.分值8分(擦洗过程中漏</w:t>
            </w:r>
            <w:r>
              <w:rPr>
                <w:spacing w:val="1"/>
                <w:sz w:val="19"/>
                <w:szCs w:val="19"/>
              </w:rPr>
              <w:t xml:space="preserve">  </w:t>
            </w:r>
            <w:r>
              <w:rPr>
                <w:spacing w:val="-1"/>
                <w:sz w:val="19"/>
                <w:szCs w:val="19"/>
              </w:rPr>
              <w:t>擦洗一处扣4分；擦洗方法</w:t>
            </w:r>
            <w:r>
              <w:rPr>
                <w:spacing w:val="5"/>
                <w:sz w:val="19"/>
                <w:szCs w:val="19"/>
              </w:rPr>
              <w:t xml:space="preserve"> 不正确扣2分)</w:t>
            </w:r>
          </w:p>
          <w:p w14:paraId="37AF35C4">
            <w:pPr>
              <w:pStyle w:val="6"/>
              <w:spacing w:before="224" w:line="209" w:lineRule="auto"/>
              <w:ind w:left="17" w:right="62"/>
              <w:rPr>
                <w:sz w:val="19"/>
                <w:szCs w:val="19"/>
              </w:rPr>
            </w:pPr>
            <w:r>
              <w:rPr>
                <w:spacing w:val="1"/>
                <w:sz w:val="19"/>
                <w:szCs w:val="19"/>
              </w:rPr>
              <w:t>10.分值8分(擦洗过程中</w:t>
            </w:r>
            <w:r>
              <w:rPr>
                <w:sz w:val="19"/>
                <w:szCs w:val="19"/>
              </w:rPr>
              <w:t xml:space="preserve">  </w:t>
            </w:r>
            <w:r>
              <w:rPr>
                <w:spacing w:val="-1"/>
                <w:sz w:val="19"/>
                <w:szCs w:val="19"/>
              </w:rPr>
              <w:t>漏擦洗一处扣4分；擦洗方</w:t>
            </w:r>
            <w:r>
              <w:rPr>
                <w:spacing w:val="3"/>
                <w:sz w:val="19"/>
                <w:szCs w:val="19"/>
              </w:rPr>
              <w:t xml:space="preserve"> </w:t>
            </w:r>
            <w:r>
              <w:rPr>
                <w:spacing w:val="5"/>
                <w:sz w:val="19"/>
                <w:szCs w:val="19"/>
              </w:rPr>
              <w:t>法不正确扣2分)</w:t>
            </w:r>
          </w:p>
        </w:tc>
        <w:tc>
          <w:tcPr>
            <w:tcW w:w="854" w:type="dxa"/>
            <w:vAlign w:val="top"/>
          </w:tcPr>
          <w:p w14:paraId="59FF2297">
            <w:pPr>
              <w:pStyle w:val="6"/>
              <w:spacing w:before="33" w:line="217" w:lineRule="auto"/>
              <w:ind w:left="19" w:firstLine="27"/>
              <w:jc w:val="both"/>
              <w:rPr>
                <w:sz w:val="19"/>
                <w:szCs w:val="19"/>
              </w:rPr>
            </w:pPr>
            <w:r>
              <w:rPr>
                <w:spacing w:val="-19"/>
                <w:w w:val="93"/>
                <w:sz w:val="18"/>
                <w:szCs w:val="18"/>
              </w:rPr>
              <w:t>1.用物准备</w:t>
            </w:r>
            <w:r>
              <w:rPr>
                <w:spacing w:val="6"/>
                <w:sz w:val="18"/>
                <w:szCs w:val="18"/>
              </w:rPr>
              <w:t xml:space="preserve"> </w:t>
            </w:r>
            <w:r>
              <w:rPr>
                <w:spacing w:val="-14"/>
                <w:sz w:val="19"/>
                <w:szCs w:val="19"/>
              </w:rPr>
              <w:t>齐全无遗</w:t>
            </w:r>
            <w:r>
              <w:rPr>
                <w:spacing w:val="1"/>
                <w:sz w:val="19"/>
                <w:szCs w:val="19"/>
              </w:rPr>
              <w:t xml:space="preserve">  </w:t>
            </w:r>
            <w:r>
              <w:rPr>
                <w:spacing w:val="-19"/>
                <w:w w:val="94"/>
                <w:sz w:val="18"/>
                <w:szCs w:val="18"/>
              </w:rPr>
              <w:t>漏，和病人</w:t>
            </w:r>
            <w:r>
              <w:rPr>
                <w:spacing w:val="4"/>
                <w:sz w:val="18"/>
                <w:szCs w:val="18"/>
              </w:rPr>
              <w:t xml:space="preserve"> </w:t>
            </w:r>
            <w:r>
              <w:rPr>
                <w:spacing w:val="-13"/>
                <w:sz w:val="19"/>
                <w:szCs w:val="19"/>
              </w:rPr>
              <w:t>进行有效</w:t>
            </w:r>
            <w:r>
              <w:rPr>
                <w:sz w:val="19"/>
                <w:szCs w:val="19"/>
              </w:rPr>
              <w:t xml:space="preserve">  </w:t>
            </w:r>
            <w:r>
              <w:rPr>
                <w:spacing w:val="-14"/>
                <w:sz w:val="19"/>
                <w:szCs w:val="19"/>
              </w:rPr>
              <w:t>沟通。操</w:t>
            </w:r>
            <w:r>
              <w:rPr>
                <w:spacing w:val="1"/>
                <w:sz w:val="19"/>
                <w:szCs w:val="19"/>
              </w:rPr>
              <w:t xml:space="preserve">  </w:t>
            </w:r>
            <w:r>
              <w:rPr>
                <w:spacing w:val="-14"/>
                <w:sz w:val="19"/>
                <w:szCs w:val="19"/>
              </w:rPr>
              <w:t>作顺序正</w:t>
            </w:r>
            <w:r>
              <w:rPr>
                <w:sz w:val="19"/>
                <w:szCs w:val="19"/>
              </w:rPr>
              <w:t xml:space="preserve">  </w:t>
            </w:r>
            <w:r>
              <w:rPr>
                <w:spacing w:val="-20"/>
                <w:w w:val="97"/>
                <w:sz w:val="19"/>
                <w:szCs w:val="19"/>
              </w:rPr>
              <w:t>确无遗漏，</w:t>
            </w:r>
            <w:r>
              <w:rPr>
                <w:spacing w:val="1"/>
                <w:sz w:val="19"/>
                <w:szCs w:val="19"/>
              </w:rPr>
              <w:t xml:space="preserve"> </w:t>
            </w:r>
            <w:r>
              <w:rPr>
                <w:spacing w:val="-14"/>
                <w:sz w:val="19"/>
                <w:szCs w:val="19"/>
              </w:rPr>
              <w:t>病人口腔</w:t>
            </w:r>
            <w:r>
              <w:rPr>
                <w:spacing w:val="1"/>
                <w:sz w:val="19"/>
                <w:szCs w:val="19"/>
              </w:rPr>
              <w:t xml:space="preserve">  </w:t>
            </w:r>
            <w:r>
              <w:rPr>
                <w:spacing w:val="-14"/>
                <w:sz w:val="19"/>
                <w:szCs w:val="19"/>
              </w:rPr>
              <w:t>清洁无异</w:t>
            </w:r>
            <w:r>
              <w:rPr>
                <w:spacing w:val="1"/>
                <w:sz w:val="19"/>
                <w:szCs w:val="19"/>
              </w:rPr>
              <w:t xml:space="preserve">  </w:t>
            </w:r>
            <w:r>
              <w:rPr>
                <w:spacing w:val="-8"/>
                <w:sz w:val="19"/>
                <w:szCs w:val="19"/>
              </w:rPr>
              <w:t>味。</w:t>
            </w:r>
          </w:p>
          <w:p w14:paraId="39EEB868">
            <w:pPr>
              <w:pStyle w:val="6"/>
              <w:spacing w:line="213" w:lineRule="auto"/>
              <w:ind w:left="40" w:right="32"/>
              <w:jc w:val="both"/>
              <w:rPr>
                <w:sz w:val="19"/>
                <w:szCs w:val="19"/>
              </w:rPr>
            </w:pPr>
            <w:r>
              <w:rPr>
                <w:spacing w:val="1"/>
                <w:sz w:val="19"/>
                <w:szCs w:val="19"/>
              </w:rPr>
              <w:t>2.建议15</w:t>
            </w:r>
            <w:r>
              <w:rPr>
                <w:spacing w:val="4"/>
                <w:sz w:val="19"/>
                <w:szCs w:val="19"/>
              </w:rPr>
              <w:t xml:space="preserve"> </w:t>
            </w:r>
            <w:r>
              <w:rPr>
                <w:spacing w:val="-3"/>
                <w:sz w:val="19"/>
                <w:szCs w:val="19"/>
              </w:rPr>
              <w:t>分钟内完</w:t>
            </w:r>
            <w:r>
              <w:rPr>
                <w:spacing w:val="1"/>
                <w:sz w:val="19"/>
                <w:szCs w:val="19"/>
              </w:rPr>
              <w:t xml:space="preserve"> </w:t>
            </w:r>
            <w:r>
              <w:rPr>
                <w:spacing w:val="2"/>
                <w:sz w:val="19"/>
                <w:szCs w:val="19"/>
              </w:rPr>
              <w:t>成。</w:t>
            </w:r>
          </w:p>
        </w:tc>
      </w:tr>
    </w:tbl>
    <w:p w14:paraId="287C4E0B">
      <w:pPr>
        <w:pStyle w:val="2"/>
        <w:spacing w:line="222" w:lineRule="exact"/>
        <w:rPr>
          <w:sz w:val="19"/>
        </w:rPr>
      </w:pPr>
    </w:p>
    <w:p w14:paraId="7EC9E602">
      <w:pPr>
        <w:spacing w:line="222" w:lineRule="exact"/>
        <w:rPr>
          <w:sz w:val="19"/>
          <w:szCs w:val="19"/>
        </w:rPr>
        <w:sectPr>
          <w:footerReference r:id="rId141" w:type="default"/>
          <w:pgSz w:w="10660" w:h="15080"/>
          <w:pgMar w:top="400" w:right="905" w:bottom="912" w:left="1024" w:header="0" w:footer="741" w:gutter="0"/>
          <w:cols w:space="720" w:num="1"/>
        </w:sectPr>
      </w:pPr>
    </w:p>
    <w:p w14:paraId="20B26295">
      <w:pPr>
        <w:spacing w:before="13"/>
      </w:pPr>
    </w:p>
    <w:p w14:paraId="742F4498">
      <w:pPr>
        <w:spacing w:before="12"/>
      </w:pPr>
    </w:p>
    <w:p w14:paraId="19A88247">
      <w:pPr>
        <w:spacing w:before="12"/>
      </w:pPr>
    </w:p>
    <w:p w14:paraId="3FD33CAC">
      <w:pPr>
        <w:spacing w:before="12"/>
      </w:pPr>
    </w:p>
    <w:tbl>
      <w:tblPr>
        <w:tblStyle w:val="5"/>
        <w:tblW w:w="8719"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474"/>
        <w:gridCol w:w="509"/>
        <w:gridCol w:w="1059"/>
        <w:gridCol w:w="3546"/>
        <w:gridCol w:w="2297"/>
        <w:gridCol w:w="834"/>
      </w:tblGrid>
      <w:tr w14:paraId="1A67A6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5" w:hRule="atLeast"/>
        </w:trPr>
        <w:tc>
          <w:tcPr>
            <w:tcW w:w="474" w:type="dxa"/>
            <w:shd w:val="clear" w:color="auto" w:fill="231F20"/>
            <w:vAlign w:val="top"/>
          </w:tcPr>
          <w:p w14:paraId="1F18F6FE">
            <w:pPr>
              <w:pStyle w:val="6"/>
              <w:spacing w:before="81" w:line="207" w:lineRule="auto"/>
              <w:ind w:left="37" w:right="15"/>
              <w:rPr>
                <w:sz w:val="19"/>
                <w:szCs w:val="19"/>
              </w:rPr>
            </w:pPr>
            <w:r>
              <w:rPr>
                <w:b/>
                <w:bCs/>
                <w:color w:val="FFFFFF"/>
                <w:spacing w:val="-7"/>
                <w:sz w:val="19"/>
                <w:szCs w:val="19"/>
              </w:rPr>
              <w:t>测试</w:t>
            </w:r>
            <w:r>
              <w:rPr>
                <w:color w:val="FFFFFF"/>
                <w:sz w:val="19"/>
                <w:szCs w:val="19"/>
              </w:rPr>
              <w:t xml:space="preserve"> </w:t>
            </w:r>
            <w:r>
              <w:rPr>
                <w:b/>
                <w:bCs/>
                <w:color w:val="FFFFFF"/>
                <w:spacing w:val="13"/>
                <w:sz w:val="19"/>
                <w:szCs w:val="19"/>
              </w:rPr>
              <w:t>项目</w:t>
            </w:r>
          </w:p>
        </w:tc>
        <w:tc>
          <w:tcPr>
            <w:tcW w:w="509" w:type="dxa"/>
            <w:vAlign w:val="top"/>
          </w:tcPr>
          <w:p w14:paraId="4F16719B">
            <w:pPr>
              <w:pStyle w:val="6"/>
              <w:spacing w:before="82" w:line="212" w:lineRule="auto"/>
              <w:ind w:left="53" w:right="73"/>
              <w:rPr>
                <w:sz w:val="19"/>
                <w:szCs w:val="19"/>
              </w:rPr>
            </w:pPr>
            <w:r>
              <w:rPr>
                <w:b/>
                <w:bCs/>
                <w:spacing w:val="-7"/>
                <w:sz w:val="19"/>
                <w:szCs w:val="19"/>
              </w:rPr>
              <w:t>测试</w:t>
            </w:r>
            <w:r>
              <w:rPr>
                <w:sz w:val="19"/>
                <w:szCs w:val="19"/>
              </w:rPr>
              <w:t xml:space="preserve"> </w:t>
            </w:r>
            <w:r>
              <w:rPr>
                <w:b/>
                <w:bCs/>
                <w:spacing w:val="-7"/>
                <w:sz w:val="19"/>
                <w:szCs w:val="19"/>
              </w:rPr>
              <w:t>用具</w:t>
            </w:r>
          </w:p>
        </w:tc>
        <w:tc>
          <w:tcPr>
            <w:tcW w:w="1059" w:type="dxa"/>
            <w:vAlign w:val="top"/>
          </w:tcPr>
          <w:p w14:paraId="083B17DA">
            <w:pPr>
              <w:pStyle w:val="6"/>
              <w:spacing w:before="190" w:line="219" w:lineRule="auto"/>
              <w:ind w:left="144"/>
              <w:rPr>
                <w:sz w:val="19"/>
                <w:szCs w:val="19"/>
              </w:rPr>
            </w:pPr>
            <w:r>
              <w:rPr>
                <w:b/>
                <w:bCs/>
                <w:spacing w:val="-4"/>
                <w:sz w:val="19"/>
                <w:szCs w:val="19"/>
              </w:rPr>
              <w:t>测试内容</w:t>
            </w:r>
          </w:p>
        </w:tc>
        <w:tc>
          <w:tcPr>
            <w:tcW w:w="3546" w:type="dxa"/>
            <w:vAlign w:val="top"/>
          </w:tcPr>
          <w:p w14:paraId="104CBE8B">
            <w:pPr>
              <w:pStyle w:val="6"/>
              <w:spacing w:before="191" w:line="221" w:lineRule="auto"/>
              <w:ind w:left="1435"/>
              <w:rPr>
                <w:sz w:val="19"/>
                <w:szCs w:val="19"/>
              </w:rPr>
            </w:pPr>
            <w:r>
              <w:rPr>
                <w:b/>
                <w:bCs/>
                <w:spacing w:val="-4"/>
                <w:sz w:val="19"/>
                <w:szCs w:val="19"/>
              </w:rPr>
              <w:t>测试方法</w:t>
            </w:r>
          </w:p>
        </w:tc>
        <w:tc>
          <w:tcPr>
            <w:tcW w:w="2297" w:type="dxa"/>
            <w:vAlign w:val="top"/>
          </w:tcPr>
          <w:p w14:paraId="1E5584F4">
            <w:pPr>
              <w:pStyle w:val="6"/>
              <w:spacing w:before="190" w:line="219" w:lineRule="auto"/>
              <w:ind w:left="769"/>
              <w:rPr>
                <w:sz w:val="19"/>
                <w:szCs w:val="19"/>
              </w:rPr>
            </w:pPr>
            <w:r>
              <w:rPr>
                <w:b/>
                <w:bCs/>
                <w:spacing w:val="-4"/>
                <w:sz w:val="19"/>
                <w:szCs w:val="19"/>
              </w:rPr>
              <w:t>赋分参考</w:t>
            </w:r>
          </w:p>
        </w:tc>
        <w:tc>
          <w:tcPr>
            <w:tcW w:w="834" w:type="dxa"/>
            <w:vAlign w:val="top"/>
          </w:tcPr>
          <w:p w14:paraId="73093E84">
            <w:pPr>
              <w:pStyle w:val="6"/>
              <w:spacing w:before="80" w:line="208" w:lineRule="auto"/>
              <w:ind w:left="222" w:right="229"/>
              <w:rPr>
                <w:sz w:val="19"/>
                <w:szCs w:val="19"/>
              </w:rPr>
            </w:pPr>
            <w:r>
              <w:rPr>
                <w:b/>
                <w:bCs/>
                <w:spacing w:val="-7"/>
                <w:sz w:val="19"/>
                <w:szCs w:val="19"/>
              </w:rPr>
              <w:t>测试</w:t>
            </w:r>
            <w:r>
              <w:rPr>
                <w:sz w:val="19"/>
                <w:szCs w:val="19"/>
              </w:rPr>
              <w:t xml:space="preserve"> </w:t>
            </w:r>
            <w:r>
              <w:rPr>
                <w:b/>
                <w:bCs/>
                <w:spacing w:val="-7"/>
                <w:sz w:val="19"/>
                <w:szCs w:val="19"/>
              </w:rPr>
              <w:t>要求</w:t>
            </w:r>
          </w:p>
        </w:tc>
      </w:tr>
      <w:tr w14:paraId="472912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54" w:hRule="atLeast"/>
        </w:trPr>
        <w:tc>
          <w:tcPr>
            <w:tcW w:w="474" w:type="dxa"/>
            <w:vAlign w:val="top"/>
          </w:tcPr>
          <w:p w14:paraId="160A1098">
            <w:pPr>
              <w:rPr>
                <w:rFonts w:ascii="Arial"/>
                <w:sz w:val="21"/>
              </w:rPr>
            </w:pPr>
          </w:p>
        </w:tc>
        <w:tc>
          <w:tcPr>
            <w:tcW w:w="509" w:type="dxa"/>
            <w:vAlign w:val="top"/>
          </w:tcPr>
          <w:p w14:paraId="7A6738C5">
            <w:pPr>
              <w:rPr>
                <w:rFonts w:ascii="Arial"/>
                <w:sz w:val="21"/>
              </w:rPr>
            </w:pPr>
          </w:p>
        </w:tc>
        <w:tc>
          <w:tcPr>
            <w:tcW w:w="1059" w:type="dxa"/>
            <w:vAlign w:val="top"/>
          </w:tcPr>
          <w:p w14:paraId="6A84A200">
            <w:pPr>
              <w:rPr>
                <w:rFonts w:ascii="Arial"/>
                <w:sz w:val="21"/>
              </w:rPr>
            </w:pPr>
          </w:p>
        </w:tc>
        <w:tc>
          <w:tcPr>
            <w:tcW w:w="3546" w:type="dxa"/>
            <w:vAlign w:val="top"/>
          </w:tcPr>
          <w:p w14:paraId="56F459A7">
            <w:pPr>
              <w:pStyle w:val="6"/>
              <w:spacing w:before="47" w:line="207" w:lineRule="auto"/>
              <w:ind w:left="13" w:firstLine="9"/>
              <w:rPr>
                <w:sz w:val="19"/>
                <w:szCs w:val="19"/>
              </w:rPr>
            </w:pPr>
            <w:r>
              <w:rPr>
                <w:spacing w:val="-5"/>
                <w:sz w:val="19"/>
                <w:szCs w:val="19"/>
              </w:rPr>
              <w:t>11.嘱病人张开上下齿，依次擦洗一侧牙齿</w:t>
            </w:r>
            <w:r>
              <w:rPr>
                <w:spacing w:val="7"/>
                <w:sz w:val="19"/>
                <w:szCs w:val="19"/>
              </w:rPr>
              <w:t xml:space="preserve">  </w:t>
            </w:r>
            <w:r>
              <w:rPr>
                <w:spacing w:val="-14"/>
                <w:sz w:val="19"/>
                <w:szCs w:val="19"/>
              </w:rPr>
              <w:t>上内侧面、上咬合面、下内侧面、下咬合面。</w:t>
            </w:r>
          </w:p>
          <w:p w14:paraId="1C599140">
            <w:pPr>
              <w:pStyle w:val="6"/>
              <w:spacing w:before="224" w:line="219" w:lineRule="auto"/>
              <w:ind w:left="13"/>
              <w:rPr>
                <w:sz w:val="19"/>
                <w:szCs w:val="19"/>
              </w:rPr>
            </w:pPr>
            <w:r>
              <w:rPr>
                <w:spacing w:val="-1"/>
                <w:sz w:val="19"/>
                <w:szCs w:val="19"/>
              </w:rPr>
              <w:t>12.“z”字型擦洗一侧颊部。</w:t>
            </w:r>
          </w:p>
          <w:p w14:paraId="1C990A4E">
            <w:pPr>
              <w:spacing w:line="370" w:lineRule="auto"/>
              <w:rPr>
                <w:rFonts w:ascii="Arial"/>
                <w:sz w:val="21"/>
              </w:rPr>
            </w:pPr>
          </w:p>
          <w:p w14:paraId="3E02488C">
            <w:pPr>
              <w:pStyle w:val="6"/>
              <w:spacing w:before="62" w:line="219" w:lineRule="auto"/>
              <w:ind w:left="13"/>
              <w:rPr>
                <w:sz w:val="19"/>
                <w:szCs w:val="19"/>
              </w:rPr>
            </w:pPr>
            <w:r>
              <w:rPr>
                <w:sz w:val="19"/>
                <w:szCs w:val="19"/>
              </w:rPr>
              <w:t>13.同法擦洗另一侧。</w:t>
            </w:r>
          </w:p>
          <w:p w14:paraId="06CAAFA8">
            <w:pPr>
              <w:spacing w:line="370" w:lineRule="auto"/>
              <w:rPr>
                <w:rFonts w:ascii="Arial"/>
                <w:sz w:val="21"/>
              </w:rPr>
            </w:pPr>
          </w:p>
          <w:p w14:paraId="7D9A2878">
            <w:pPr>
              <w:pStyle w:val="6"/>
              <w:spacing w:before="62" w:line="226" w:lineRule="auto"/>
              <w:ind w:left="13" w:right="9" w:firstLine="19"/>
              <w:rPr>
                <w:sz w:val="19"/>
                <w:szCs w:val="19"/>
              </w:rPr>
            </w:pPr>
            <w:r>
              <w:rPr>
                <w:spacing w:val="-2"/>
                <w:sz w:val="19"/>
                <w:szCs w:val="19"/>
              </w:rPr>
              <w:t>14.由内向外擦洗硬腭部、舌面、舌下，注</w:t>
            </w:r>
            <w:r>
              <w:rPr>
                <w:spacing w:val="17"/>
                <w:sz w:val="19"/>
                <w:szCs w:val="19"/>
              </w:rPr>
              <w:t xml:space="preserve"> </w:t>
            </w:r>
            <w:r>
              <w:rPr>
                <w:spacing w:val="-1"/>
                <w:sz w:val="19"/>
                <w:szCs w:val="19"/>
              </w:rPr>
              <w:t>意勿触及咽部，以免引起恶心。</w:t>
            </w:r>
          </w:p>
          <w:p w14:paraId="11009466">
            <w:pPr>
              <w:pStyle w:val="6"/>
              <w:spacing w:before="184" w:line="219" w:lineRule="auto"/>
              <w:ind w:left="13"/>
              <w:rPr>
                <w:sz w:val="19"/>
                <w:szCs w:val="19"/>
              </w:rPr>
            </w:pPr>
            <w:r>
              <w:rPr>
                <w:spacing w:val="-1"/>
                <w:sz w:val="19"/>
                <w:szCs w:val="19"/>
              </w:rPr>
              <w:t>15.协助并指导病人漱口。</w:t>
            </w:r>
          </w:p>
          <w:p w14:paraId="1F13CF20">
            <w:pPr>
              <w:spacing w:line="381" w:lineRule="auto"/>
              <w:rPr>
                <w:rFonts w:ascii="Arial"/>
                <w:sz w:val="21"/>
              </w:rPr>
            </w:pPr>
          </w:p>
          <w:p w14:paraId="3C1BE319">
            <w:pPr>
              <w:pStyle w:val="6"/>
              <w:spacing w:before="62" w:line="404" w:lineRule="auto"/>
              <w:ind w:left="13" w:right="1717"/>
              <w:rPr>
                <w:sz w:val="19"/>
                <w:szCs w:val="19"/>
              </w:rPr>
            </w:pPr>
            <w:r>
              <w:rPr>
                <w:spacing w:val="-1"/>
                <w:sz w:val="19"/>
                <w:szCs w:val="19"/>
              </w:rPr>
              <w:t>16.擦净口周围及唇。</w:t>
            </w:r>
            <w:r>
              <w:rPr>
                <w:spacing w:val="9"/>
                <w:sz w:val="19"/>
                <w:szCs w:val="19"/>
              </w:rPr>
              <w:t xml:space="preserve"> </w:t>
            </w:r>
            <w:r>
              <w:rPr>
                <w:sz w:val="19"/>
                <w:szCs w:val="19"/>
              </w:rPr>
              <w:t>17.清点棉球数量。</w:t>
            </w:r>
          </w:p>
          <w:p w14:paraId="12B6AE65">
            <w:pPr>
              <w:pStyle w:val="6"/>
              <w:spacing w:before="37" w:line="220" w:lineRule="auto"/>
              <w:ind w:left="13" w:firstLine="9"/>
              <w:jc w:val="both"/>
              <w:rPr>
                <w:sz w:val="19"/>
                <w:szCs w:val="19"/>
              </w:rPr>
            </w:pPr>
            <w:r>
              <w:rPr>
                <w:spacing w:val="-5"/>
                <w:sz w:val="19"/>
                <w:szCs w:val="19"/>
              </w:rPr>
              <w:t>18.询问病人对操作的感受，观察口腔情况</w:t>
            </w:r>
            <w:r>
              <w:rPr>
                <w:spacing w:val="6"/>
                <w:sz w:val="19"/>
                <w:szCs w:val="19"/>
              </w:rPr>
              <w:t xml:space="preserve">  </w:t>
            </w:r>
            <w:r>
              <w:rPr>
                <w:spacing w:val="-7"/>
                <w:sz w:val="19"/>
                <w:szCs w:val="19"/>
              </w:rPr>
              <w:t>(如是否擦洗干净、有无出血、溃疡等情况)</w:t>
            </w:r>
            <w:r>
              <w:rPr>
                <w:spacing w:val="7"/>
                <w:sz w:val="19"/>
                <w:szCs w:val="19"/>
              </w:rPr>
              <w:t xml:space="preserve"> </w:t>
            </w:r>
            <w:r>
              <w:rPr>
                <w:spacing w:val="-14"/>
                <w:sz w:val="19"/>
                <w:szCs w:val="19"/>
              </w:rPr>
              <w:t>酌情涂药于患处，口唇干裂可涂液状石蜡油。</w:t>
            </w:r>
            <w:r>
              <w:rPr>
                <w:spacing w:val="1"/>
                <w:sz w:val="19"/>
                <w:szCs w:val="19"/>
              </w:rPr>
              <w:t xml:space="preserve"> </w:t>
            </w:r>
            <w:r>
              <w:rPr>
                <w:spacing w:val="-4"/>
                <w:sz w:val="19"/>
                <w:szCs w:val="19"/>
              </w:rPr>
              <w:t>19.撤去弯盘和治疗巾。</w:t>
            </w:r>
          </w:p>
          <w:p w14:paraId="09BBF9F0">
            <w:pPr>
              <w:pStyle w:val="6"/>
              <w:spacing w:before="215" w:line="425" w:lineRule="auto"/>
              <w:ind w:left="13" w:right="198"/>
              <w:rPr>
                <w:sz w:val="19"/>
                <w:szCs w:val="19"/>
              </w:rPr>
            </w:pPr>
            <w:r>
              <w:rPr>
                <w:spacing w:val="-1"/>
                <w:sz w:val="19"/>
                <w:szCs w:val="19"/>
              </w:rPr>
              <w:t>20.协助病人取舒适体位，整理床单位。</w:t>
            </w:r>
            <w:r>
              <w:rPr>
                <w:spacing w:val="17"/>
                <w:sz w:val="19"/>
                <w:szCs w:val="19"/>
              </w:rPr>
              <w:t xml:space="preserve"> </w:t>
            </w:r>
            <w:r>
              <w:rPr>
                <w:sz w:val="19"/>
                <w:szCs w:val="19"/>
              </w:rPr>
              <w:t>21.洗手、记录。</w:t>
            </w:r>
          </w:p>
        </w:tc>
        <w:tc>
          <w:tcPr>
            <w:tcW w:w="2297" w:type="dxa"/>
            <w:vAlign w:val="top"/>
          </w:tcPr>
          <w:p w14:paraId="7C4B2ED0">
            <w:pPr>
              <w:pStyle w:val="6"/>
              <w:spacing w:before="37" w:line="213" w:lineRule="auto"/>
              <w:ind w:left="26" w:right="33" w:firstLine="70"/>
              <w:jc w:val="both"/>
              <w:rPr>
                <w:sz w:val="19"/>
                <w:szCs w:val="19"/>
              </w:rPr>
            </w:pPr>
            <w:r>
              <w:rPr>
                <w:sz w:val="19"/>
                <w:szCs w:val="19"/>
              </w:rPr>
              <w:t>11.分值15分(漏擦洗一处</w:t>
            </w:r>
            <w:r>
              <w:rPr>
                <w:spacing w:val="7"/>
                <w:sz w:val="19"/>
                <w:szCs w:val="19"/>
              </w:rPr>
              <w:t xml:space="preserve"> </w:t>
            </w:r>
            <w:r>
              <w:rPr>
                <w:spacing w:val="3"/>
                <w:sz w:val="19"/>
                <w:szCs w:val="19"/>
              </w:rPr>
              <w:t>扣5分；擦洗方法不正确扣</w:t>
            </w:r>
            <w:r>
              <w:rPr>
                <w:spacing w:val="4"/>
                <w:sz w:val="19"/>
                <w:szCs w:val="19"/>
              </w:rPr>
              <w:t xml:space="preserve"> </w:t>
            </w:r>
            <w:r>
              <w:rPr>
                <w:spacing w:val="13"/>
                <w:sz w:val="19"/>
                <w:szCs w:val="19"/>
              </w:rPr>
              <w:t>2分)</w:t>
            </w:r>
          </w:p>
          <w:p w14:paraId="2B0EF47A">
            <w:pPr>
              <w:pStyle w:val="6"/>
              <w:spacing w:before="2" w:line="214" w:lineRule="auto"/>
              <w:ind w:left="26"/>
              <w:rPr>
                <w:sz w:val="19"/>
                <w:szCs w:val="19"/>
              </w:rPr>
            </w:pPr>
            <w:r>
              <w:rPr>
                <w:sz w:val="19"/>
                <w:szCs w:val="19"/>
              </w:rPr>
              <w:t>12.分值3分(漏擦洗一处</w:t>
            </w:r>
          </w:p>
          <w:p w14:paraId="04B9E0E4">
            <w:pPr>
              <w:pStyle w:val="6"/>
              <w:spacing w:line="212" w:lineRule="auto"/>
              <w:ind w:left="36" w:right="33" w:firstLine="10"/>
              <w:rPr>
                <w:sz w:val="19"/>
                <w:szCs w:val="19"/>
              </w:rPr>
            </w:pPr>
            <w:r>
              <w:rPr>
                <w:spacing w:val="1"/>
                <w:sz w:val="19"/>
                <w:szCs w:val="19"/>
              </w:rPr>
              <w:t>扣2分；擦洗方法不正确扣</w:t>
            </w:r>
            <w:r>
              <w:rPr>
                <w:spacing w:val="8"/>
                <w:sz w:val="19"/>
                <w:szCs w:val="19"/>
              </w:rPr>
              <w:t xml:space="preserve"> </w:t>
            </w:r>
            <w:r>
              <w:rPr>
                <w:spacing w:val="13"/>
                <w:sz w:val="19"/>
                <w:szCs w:val="19"/>
              </w:rPr>
              <w:t>1分)</w:t>
            </w:r>
          </w:p>
          <w:p w14:paraId="030CDF09">
            <w:pPr>
              <w:pStyle w:val="6"/>
              <w:spacing w:before="11" w:line="211" w:lineRule="auto"/>
              <w:ind w:left="17" w:right="33" w:firstLine="79"/>
              <w:jc w:val="both"/>
              <w:rPr>
                <w:sz w:val="19"/>
                <w:szCs w:val="19"/>
              </w:rPr>
            </w:pPr>
            <w:r>
              <w:rPr>
                <w:sz w:val="19"/>
                <w:szCs w:val="19"/>
              </w:rPr>
              <w:t>13.分值15分(漏擦洗一处</w:t>
            </w:r>
            <w:r>
              <w:rPr>
                <w:spacing w:val="7"/>
                <w:sz w:val="19"/>
                <w:szCs w:val="19"/>
              </w:rPr>
              <w:t xml:space="preserve"> </w:t>
            </w:r>
            <w:r>
              <w:rPr>
                <w:spacing w:val="4"/>
                <w:sz w:val="19"/>
                <w:szCs w:val="19"/>
              </w:rPr>
              <w:t>扣5分；擦洗方法不正确扣</w:t>
            </w:r>
            <w:r>
              <w:rPr>
                <w:spacing w:val="2"/>
                <w:sz w:val="19"/>
                <w:szCs w:val="19"/>
              </w:rPr>
              <w:t xml:space="preserve"> </w:t>
            </w:r>
            <w:r>
              <w:rPr>
                <w:spacing w:val="13"/>
                <w:sz w:val="19"/>
                <w:szCs w:val="19"/>
              </w:rPr>
              <w:t>2分)</w:t>
            </w:r>
          </w:p>
          <w:p w14:paraId="74498FD0">
            <w:pPr>
              <w:pStyle w:val="6"/>
              <w:spacing w:line="204" w:lineRule="auto"/>
              <w:ind w:left="26"/>
              <w:rPr>
                <w:sz w:val="19"/>
                <w:szCs w:val="19"/>
              </w:rPr>
            </w:pPr>
            <w:r>
              <w:rPr>
                <w:sz w:val="19"/>
                <w:szCs w:val="19"/>
              </w:rPr>
              <w:t>14.分值9分(漏擦洗一处</w:t>
            </w:r>
          </w:p>
          <w:p w14:paraId="24EA6ED5">
            <w:pPr>
              <w:pStyle w:val="6"/>
              <w:spacing w:before="1" w:line="213" w:lineRule="auto"/>
              <w:ind w:left="26" w:right="33" w:firstLine="20"/>
              <w:rPr>
                <w:sz w:val="19"/>
                <w:szCs w:val="19"/>
              </w:rPr>
            </w:pPr>
            <w:r>
              <w:rPr>
                <w:spacing w:val="1"/>
                <w:sz w:val="19"/>
                <w:szCs w:val="19"/>
              </w:rPr>
              <w:t>扣3分；擦洗方法不正确扣</w:t>
            </w:r>
            <w:r>
              <w:rPr>
                <w:spacing w:val="8"/>
                <w:sz w:val="19"/>
                <w:szCs w:val="19"/>
              </w:rPr>
              <w:t xml:space="preserve"> </w:t>
            </w:r>
            <w:r>
              <w:rPr>
                <w:spacing w:val="13"/>
                <w:sz w:val="19"/>
                <w:szCs w:val="19"/>
              </w:rPr>
              <w:t>2分)</w:t>
            </w:r>
          </w:p>
          <w:p w14:paraId="5C9E920F">
            <w:pPr>
              <w:pStyle w:val="6"/>
              <w:spacing w:line="219" w:lineRule="auto"/>
              <w:ind w:left="26"/>
              <w:rPr>
                <w:sz w:val="19"/>
                <w:szCs w:val="19"/>
              </w:rPr>
            </w:pPr>
            <w:r>
              <w:rPr>
                <w:sz w:val="19"/>
                <w:szCs w:val="19"/>
              </w:rPr>
              <w:t>15.分值3分(擦洗完毕未</w:t>
            </w:r>
          </w:p>
          <w:p w14:paraId="4BC02402">
            <w:pPr>
              <w:pStyle w:val="6"/>
              <w:spacing w:before="6" w:line="212" w:lineRule="auto"/>
              <w:ind w:left="17" w:right="37" w:firstLine="29"/>
              <w:rPr>
                <w:sz w:val="19"/>
                <w:szCs w:val="19"/>
              </w:rPr>
            </w:pPr>
            <w:r>
              <w:rPr>
                <w:spacing w:val="1"/>
                <w:sz w:val="19"/>
                <w:szCs w:val="19"/>
              </w:rPr>
              <w:t>漱口扣1分；未协助、未指</w:t>
            </w:r>
            <w:r>
              <w:rPr>
                <w:spacing w:val="4"/>
                <w:sz w:val="19"/>
                <w:szCs w:val="19"/>
              </w:rPr>
              <w:t xml:space="preserve"> </w:t>
            </w:r>
            <w:r>
              <w:rPr>
                <w:spacing w:val="5"/>
                <w:sz w:val="19"/>
                <w:szCs w:val="19"/>
              </w:rPr>
              <w:t>导病人各扣1分)</w:t>
            </w:r>
          </w:p>
          <w:p w14:paraId="65330B55">
            <w:pPr>
              <w:pStyle w:val="6"/>
              <w:spacing w:before="2" w:line="219" w:lineRule="auto"/>
              <w:ind w:left="17" w:right="251" w:firstLine="19"/>
              <w:rPr>
                <w:sz w:val="19"/>
                <w:szCs w:val="19"/>
              </w:rPr>
            </w:pPr>
            <w:r>
              <w:rPr>
                <w:sz w:val="19"/>
                <w:szCs w:val="19"/>
              </w:rPr>
              <w:t>16.分值2分(一处不符合</w:t>
            </w:r>
            <w:r>
              <w:rPr>
                <w:spacing w:val="2"/>
                <w:sz w:val="19"/>
                <w:szCs w:val="19"/>
              </w:rPr>
              <w:t xml:space="preserve"> </w:t>
            </w:r>
            <w:r>
              <w:rPr>
                <w:spacing w:val="6"/>
                <w:sz w:val="19"/>
                <w:szCs w:val="19"/>
              </w:rPr>
              <w:t>要求扣1分)</w:t>
            </w:r>
          </w:p>
          <w:p w14:paraId="5612E594">
            <w:pPr>
              <w:pStyle w:val="6"/>
              <w:spacing w:line="203" w:lineRule="auto"/>
              <w:ind w:left="17" w:right="271"/>
              <w:rPr>
                <w:sz w:val="19"/>
                <w:szCs w:val="19"/>
              </w:rPr>
            </w:pPr>
            <w:r>
              <w:rPr>
                <w:sz w:val="19"/>
                <w:szCs w:val="19"/>
              </w:rPr>
              <w:t>17.分值2分(未清点棉球</w:t>
            </w:r>
            <w:r>
              <w:rPr>
                <w:spacing w:val="2"/>
                <w:sz w:val="19"/>
                <w:szCs w:val="19"/>
              </w:rPr>
              <w:t xml:space="preserve"> </w:t>
            </w:r>
            <w:r>
              <w:rPr>
                <w:spacing w:val="6"/>
                <w:sz w:val="19"/>
                <w:szCs w:val="19"/>
              </w:rPr>
              <w:t>个数扣2分)</w:t>
            </w:r>
          </w:p>
          <w:p w14:paraId="2F6E3F16">
            <w:pPr>
              <w:pStyle w:val="6"/>
              <w:spacing w:before="2" w:line="222" w:lineRule="auto"/>
              <w:ind w:left="26" w:hanging="9"/>
              <w:rPr>
                <w:sz w:val="19"/>
                <w:szCs w:val="19"/>
              </w:rPr>
            </w:pPr>
            <w:r>
              <w:rPr>
                <w:spacing w:val="-1"/>
                <w:sz w:val="19"/>
                <w:szCs w:val="19"/>
              </w:rPr>
              <w:t>18.分值6分(未评估扣4分；</w:t>
            </w:r>
            <w:r>
              <w:rPr>
                <w:spacing w:val="3"/>
                <w:sz w:val="19"/>
                <w:szCs w:val="19"/>
              </w:rPr>
              <w:t xml:space="preserve"> </w:t>
            </w:r>
            <w:r>
              <w:rPr>
                <w:spacing w:val="-3"/>
                <w:sz w:val="19"/>
                <w:szCs w:val="19"/>
              </w:rPr>
              <w:t>方法不正确扣2分)</w:t>
            </w:r>
          </w:p>
          <w:p w14:paraId="13C6513C">
            <w:pPr>
              <w:pStyle w:val="6"/>
              <w:spacing w:before="222" w:line="214" w:lineRule="auto"/>
              <w:ind w:left="26" w:right="261"/>
              <w:rPr>
                <w:sz w:val="19"/>
                <w:szCs w:val="19"/>
              </w:rPr>
            </w:pPr>
            <w:r>
              <w:rPr>
                <w:sz w:val="19"/>
                <w:szCs w:val="19"/>
              </w:rPr>
              <w:t>19.分值2分(一处不符合</w:t>
            </w:r>
            <w:r>
              <w:rPr>
                <w:spacing w:val="2"/>
                <w:sz w:val="19"/>
                <w:szCs w:val="19"/>
              </w:rPr>
              <w:t xml:space="preserve"> </w:t>
            </w:r>
            <w:r>
              <w:rPr>
                <w:spacing w:val="6"/>
                <w:sz w:val="19"/>
                <w:szCs w:val="19"/>
              </w:rPr>
              <w:t>要求扣1分)</w:t>
            </w:r>
          </w:p>
          <w:p w14:paraId="754F2727">
            <w:pPr>
              <w:pStyle w:val="6"/>
              <w:spacing w:before="2" w:line="213" w:lineRule="auto"/>
              <w:ind w:left="26" w:right="284" w:hanging="9"/>
              <w:rPr>
                <w:sz w:val="19"/>
                <w:szCs w:val="19"/>
              </w:rPr>
            </w:pPr>
            <w:r>
              <w:rPr>
                <w:spacing w:val="-1"/>
                <w:sz w:val="19"/>
                <w:szCs w:val="19"/>
              </w:rPr>
              <w:t>20.分值4分(未协助病人</w:t>
            </w:r>
            <w:r>
              <w:rPr>
                <w:spacing w:val="2"/>
                <w:sz w:val="19"/>
                <w:szCs w:val="19"/>
              </w:rPr>
              <w:t xml:space="preserve"> </w:t>
            </w:r>
            <w:r>
              <w:rPr>
                <w:spacing w:val="4"/>
                <w:sz w:val="19"/>
                <w:szCs w:val="19"/>
              </w:rPr>
              <w:t>取舒适卧位扣2分)</w:t>
            </w:r>
          </w:p>
          <w:p w14:paraId="5935EAA2">
            <w:pPr>
              <w:pStyle w:val="6"/>
              <w:spacing w:line="213" w:lineRule="auto"/>
              <w:ind w:left="45" w:hanging="28"/>
              <w:rPr>
                <w:sz w:val="19"/>
                <w:szCs w:val="19"/>
              </w:rPr>
            </w:pPr>
            <w:r>
              <w:rPr>
                <w:spacing w:val="-1"/>
                <w:sz w:val="19"/>
                <w:szCs w:val="19"/>
              </w:rPr>
              <w:t>21.分值3分(未洗手扣1分；</w:t>
            </w:r>
            <w:r>
              <w:rPr>
                <w:spacing w:val="3"/>
                <w:sz w:val="19"/>
                <w:szCs w:val="19"/>
              </w:rPr>
              <w:t xml:space="preserve"> </w:t>
            </w:r>
            <w:r>
              <w:rPr>
                <w:spacing w:val="-2"/>
                <w:sz w:val="19"/>
                <w:szCs w:val="19"/>
              </w:rPr>
              <w:t>未记录扣2分)</w:t>
            </w:r>
          </w:p>
          <w:p w14:paraId="43EE07F6">
            <w:pPr>
              <w:pStyle w:val="6"/>
              <w:spacing w:before="1" w:line="217" w:lineRule="auto"/>
              <w:ind w:left="46"/>
              <w:rPr>
                <w:sz w:val="19"/>
                <w:szCs w:val="19"/>
              </w:rPr>
            </w:pPr>
            <w:r>
              <w:rPr>
                <w:sz w:val="19"/>
                <w:szCs w:val="19"/>
              </w:rPr>
              <w:t>22.操作后评价：分值13分</w:t>
            </w:r>
          </w:p>
          <w:p w14:paraId="5239CF45">
            <w:pPr>
              <w:pStyle w:val="6"/>
              <w:spacing w:before="19" w:line="193" w:lineRule="auto"/>
              <w:ind w:left="36" w:right="39" w:firstLine="110"/>
              <w:rPr>
                <w:sz w:val="19"/>
                <w:szCs w:val="19"/>
              </w:rPr>
            </w:pPr>
            <w:r>
              <w:rPr>
                <w:spacing w:val="-1"/>
                <w:sz w:val="19"/>
                <w:szCs w:val="19"/>
              </w:rPr>
              <w:t>(操作不熟练酌情扣5分，</w:t>
            </w:r>
            <w:r>
              <w:rPr>
                <w:spacing w:val="6"/>
                <w:sz w:val="19"/>
                <w:szCs w:val="19"/>
              </w:rPr>
              <w:t xml:space="preserve"> </w:t>
            </w:r>
            <w:r>
              <w:rPr>
                <w:spacing w:val="2"/>
                <w:sz w:val="19"/>
                <w:szCs w:val="19"/>
              </w:rPr>
              <w:t>口腔黏膜损伤扣5分。口腔</w:t>
            </w:r>
            <w:r>
              <w:rPr>
                <w:sz w:val="19"/>
                <w:szCs w:val="19"/>
              </w:rPr>
              <w:t xml:space="preserve"> </w:t>
            </w:r>
            <w:r>
              <w:rPr>
                <w:spacing w:val="2"/>
                <w:sz w:val="19"/>
                <w:szCs w:val="19"/>
              </w:rPr>
              <w:t>清洁不彻底扣2分；棉球使</w:t>
            </w:r>
            <w:r>
              <w:rPr>
                <w:sz w:val="19"/>
                <w:szCs w:val="19"/>
              </w:rPr>
              <w:t xml:space="preserve"> </w:t>
            </w:r>
            <w:r>
              <w:rPr>
                <w:spacing w:val="5"/>
                <w:sz w:val="19"/>
                <w:szCs w:val="19"/>
              </w:rPr>
              <w:t>用有误扣1分)</w:t>
            </w:r>
          </w:p>
        </w:tc>
        <w:tc>
          <w:tcPr>
            <w:tcW w:w="834" w:type="dxa"/>
            <w:vAlign w:val="top"/>
          </w:tcPr>
          <w:p w14:paraId="299FC705">
            <w:pPr>
              <w:rPr>
                <w:rFonts w:ascii="Arial"/>
                <w:sz w:val="21"/>
              </w:rPr>
            </w:pPr>
          </w:p>
        </w:tc>
      </w:tr>
      <w:tr w14:paraId="0FF8D9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51" w:hRule="atLeast"/>
        </w:trPr>
        <w:tc>
          <w:tcPr>
            <w:tcW w:w="474" w:type="dxa"/>
            <w:vAlign w:val="top"/>
          </w:tcPr>
          <w:p w14:paraId="36BCEA2B">
            <w:pPr>
              <w:pStyle w:val="6"/>
              <w:spacing w:before="54" w:line="205" w:lineRule="auto"/>
              <w:jc w:val="right"/>
              <w:rPr>
                <w:sz w:val="19"/>
                <w:szCs w:val="19"/>
              </w:rPr>
            </w:pPr>
            <w:r>
              <w:rPr>
                <w:spacing w:val="-28"/>
                <w:sz w:val="19"/>
                <w:szCs w:val="19"/>
              </w:rPr>
              <w:t>项</w:t>
            </w:r>
            <w:r>
              <w:rPr>
                <w:spacing w:val="-4"/>
                <w:sz w:val="19"/>
                <w:szCs w:val="19"/>
              </w:rPr>
              <w:t xml:space="preserve"> </w:t>
            </w:r>
            <w:r>
              <w:rPr>
                <w:spacing w:val="-28"/>
                <w:sz w:val="19"/>
                <w:szCs w:val="19"/>
              </w:rPr>
              <w:t>目</w:t>
            </w:r>
          </w:p>
          <w:p w14:paraId="50857902">
            <w:pPr>
              <w:pStyle w:val="6"/>
              <w:spacing w:line="220" w:lineRule="auto"/>
              <w:jc w:val="right"/>
              <w:rPr>
                <w:sz w:val="19"/>
                <w:szCs w:val="19"/>
              </w:rPr>
            </w:pPr>
            <w:r>
              <w:rPr>
                <w:spacing w:val="-28"/>
                <w:w w:val="97"/>
                <w:sz w:val="19"/>
                <w:szCs w:val="19"/>
              </w:rPr>
              <w:t>十</w:t>
            </w:r>
            <w:r>
              <w:rPr>
                <w:spacing w:val="21"/>
                <w:sz w:val="19"/>
                <w:szCs w:val="19"/>
              </w:rPr>
              <w:t xml:space="preserve"> </w:t>
            </w:r>
            <w:r>
              <w:rPr>
                <w:spacing w:val="-28"/>
                <w:w w:val="97"/>
                <w:sz w:val="19"/>
                <w:szCs w:val="19"/>
              </w:rPr>
              <w:t>、</w:t>
            </w:r>
          </w:p>
          <w:p w14:paraId="652A56ED">
            <w:pPr>
              <w:pStyle w:val="6"/>
              <w:spacing w:before="1" w:line="205" w:lineRule="auto"/>
              <w:ind w:left="34"/>
              <w:rPr>
                <w:sz w:val="19"/>
                <w:szCs w:val="19"/>
              </w:rPr>
            </w:pPr>
            <w:r>
              <w:rPr>
                <w:spacing w:val="13"/>
                <w:sz w:val="19"/>
                <w:szCs w:val="19"/>
              </w:rPr>
              <w:t>肌内</w:t>
            </w:r>
          </w:p>
          <w:p w14:paraId="227A5F6E">
            <w:pPr>
              <w:pStyle w:val="6"/>
              <w:spacing w:line="218" w:lineRule="auto"/>
              <w:ind w:left="34"/>
              <w:rPr>
                <w:sz w:val="19"/>
                <w:szCs w:val="19"/>
              </w:rPr>
            </w:pPr>
            <w:r>
              <w:rPr>
                <w:spacing w:val="-2"/>
                <w:sz w:val="19"/>
                <w:szCs w:val="19"/>
              </w:rPr>
              <w:t>注射</w:t>
            </w:r>
          </w:p>
          <w:p w14:paraId="0C5B7C2B">
            <w:pPr>
              <w:pStyle w:val="6"/>
              <w:spacing w:line="225" w:lineRule="auto"/>
              <w:ind w:left="134"/>
              <w:rPr>
                <w:sz w:val="19"/>
                <w:szCs w:val="19"/>
              </w:rPr>
            </w:pPr>
            <w:r>
              <w:rPr>
                <w:sz w:val="19"/>
                <w:szCs w:val="19"/>
              </w:rPr>
              <w:t>法</w:t>
            </w:r>
          </w:p>
        </w:tc>
        <w:tc>
          <w:tcPr>
            <w:tcW w:w="509" w:type="dxa"/>
            <w:vAlign w:val="top"/>
          </w:tcPr>
          <w:p w14:paraId="4DF0B090">
            <w:pPr>
              <w:pStyle w:val="6"/>
              <w:spacing w:before="64" w:line="194" w:lineRule="auto"/>
              <w:ind w:left="51"/>
              <w:rPr>
                <w:sz w:val="19"/>
                <w:szCs w:val="19"/>
              </w:rPr>
            </w:pPr>
            <w:r>
              <w:rPr>
                <w:spacing w:val="-2"/>
                <w:sz w:val="19"/>
                <w:szCs w:val="19"/>
              </w:rPr>
              <w:t>注射</w:t>
            </w:r>
          </w:p>
          <w:p w14:paraId="7F51E432">
            <w:pPr>
              <w:pStyle w:val="6"/>
              <w:spacing w:line="219" w:lineRule="auto"/>
              <w:jc w:val="right"/>
              <w:rPr>
                <w:sz w:val="19"/>
                <w:szCs w:val="19"/>
              </w:rPr>
            </w:pPr>
            <w:r>
              <w:rPr>
                <w:spacing w:val="7"/>
                <w:sz w:val="19"/>
                <w:szCs w:val="19"/>
              </w:rPr>
              <w:t>盘(内</w:t>
            </w:r>
          </w:p>
          <w:p w14:paraId="648CCC1A">
            <w:pPr>
              <w:pStyle w:val="6"/>
              <w:spacing w:before="14" w:line="194" w:lineRule="auto"/>
              <w:ind w:left="51"/>
              <w:rPr>
                <w:sz w:val="19"/>
                <w:szCs w:val="19"/>
              </w:rPr>
            </w:pPr>
            <w:r>
              <w:rPr>
                <w:spacing w:val="-2"/>
                <w:sz w:val="19"/>
                <w:szCs w:val="19"/>
              </w:rPr>
              <w:t>置无</w:t>
            </w:r>
          </w:p>
          <w:p w14:paraId="5EFCA3F0">
            <w:pPr>
              <w:pStyle w:val="6"/>
              <w:spacing w:line="215" w:lineRule="auto"/>
              <w:ind w:left="51"/>
              <w:rPr>
                <w:sz w:val="19"/>
                <w:szCs w:val="19"/>
              </w:rPr>
            </w:pPr>
            <w:r>
              <w:rPr>
                <w:spacing w:val="-3"/>
                <w:sz w:val="19"/>
                <w:szCs w:val="19"/>
              </w:rPr>
              <w:t>菌持</w:t>
            </w:r>
          </w:p>
          <w:p w14:paraId="594B564F">
            <w:pPr>
              <w:pStyle w:val="6"/>
              <w:spacing w:line="212" w:lineRule="auto"/>
              <w:jc w:val="right"/>
              <w:rPr>
                <w:sz w:val="19"/>
                <w:szCs w:val="19"/>
              </w:rPr>
            </w:pPr>
            <w:r>
              <w:rPr>
                <w:spacing w:val="-21"/>
                <w:w w:val="96"/>
                <w:sz w:val="19"/>
                <w:szCs w:val="19"/>
              </w:rPr>
              <w:t>物镊、</w:t>
            </w:r>
          </w:p>
          <w:p w14:paraId="05CBE8CE">
            <w:pPr>
              <w:pStyle w:val="6"/>
              <w:spacing w:line="220" w:lineRule="auto"/>
              <w:ind w:left="51"/>
              <w:rPr>
                <w:sz w:val="19"/>
                <w:szCs w:val="19"/>
              </w:rPr>
            </w:pPr>
            <w:r>
              <w:rPr>
                <w:spacing w:val="-3"/>
                <w:sz w:val="19"/>
                <w:szCs w:val="19"/>
              </w:rPr>
              <w:t>皮肤</w:t>
            </w:r>
          </w:p>
          <w:p w14:paraId="7DE95E81">
            <w:pPr>
              <w:pStyle w:val="6"/>
              <w:spacing w:before="2" w:line="205" w:lineRule="auto"/>
              <w:ind w:left="51"/>
              <w:rPr>
                <w:sz w:val="19"/>
                <w:szCs w:val="19"/>
              </w:rPr>
            </w:pPr>
            <w:r>
              <w:rPr>
                <w:spacing w:val="5"/>
                <w:sz w:val="19"/>
                <w:szCs w:val="19"/>
              </w:rPr>
              <w:t>消毒</w:t>
            </w:r>
          </w:p>
          <w:p w14:paraId="10CFF968">
            <w:pPr>
              <w:pStyle w:val="6"/>
              <w:spacing w:line="220" w:lineRule="auto"/>
              <w:jc w:val="right"/>
              <w:rPr>
                <w:sz w:val="19"/>
                <w:szCs w:val="19"/>
              </w:rPr>
            </w:pPr>
            <w:r>
              <w:rPr>
                <w:spacing w:val="-28"/>
                <w:sz w:val="19"/>
                <w:szCs w:val="19"/>
              </w:rPr>
              <w:t>液</w:t>
            </w:r>
            <w:r>
              <w:rPr>
                <w:spacing w:val="27"/>
                <w:w w:val="101"/>
                <w:sz w:val="19"/>
                <w:szCs w:val="19"/>
              </w:rPr>
              <w:t xml:space="preserve"> </w:t>
            </w:r>
            <w:r>
              <w:rPr>
                <w:spacing w:val="-28"/>
                <w:sz w:val="19"/>
                <w:szCs w:val="19"/>
              </w:rPr>
              <w:t>、</w:t>
            </w:r>
          </w:p>
          <w:p w14:paraId="65F6C6E9">
            <w:pPr>
              <w:pStyle w:val="6"/>
              <w:spacing w:before="14" w:line="194" w:lineRule="auto"/>
              <w:ind w:left="51"/>
              <w:rPr>
                <w:sz w:val="19"/>
                <w:szCs w:val="19"/>
              </w:rPr>
            </w:pPr>
            <w:r>
              <w:rPr>
                <w:spacing w:val="5"/>
                <w:sz w:val="19"/>
                <w:szCs w:val="19"/>
              </w:rPr>
              <w:t>无菌</w:t>
            </w:r>
          </w:p>
          <w:p w14:paraId="205D9253">
            <w:pPr>
              <w:pStyle w:val="6"/>
              <w:spacing w:line="215" w:lineRule="auto"/>
              <w:jc w:val="right"/>
              <w:rPr>
                <w:sz w:val="19"/>
                <w:szCs w:val="19"/>
              </w:rPr>
            </w:pPr>
            <w:r>
              <w:rPr>
                <w:spacing w:val="-23"/>
                <w:w w:val="97"/>
                <w:sz w:val="19"/>
                <w:szCs w:val="19"/>
              </w:rPr>
              <w:t>棉签、</w:t>
            </w:r>
          </w:p>
          <w:p w14:paraId="11360127">
            <w:pPr>
              <w:pStyle w:val="6"/>
              <w:spacing w:line="213" w:lineRule="auto"/>
              <w:jc w:val="right"/>
              <w:rPr>
                <w:sz w:val="19"/>
                <w:szCs w:val="19"/>
              </w:rPr>
            </w:pPr>
            <w:r>
              <w:rPr>
                <w:spacing w:val="-22"/>
                <w:w w:val="97"/>
                <w:sz w:val="19"/>
                <w:szCs w:val="19"/>
              </w:rPr>
              <w:t>砂轮、</w:t>
            </w:r>
          </w:p>
          <w:p w14:paraId="2C6FAFB4">
            <w:pPr>
              <w:pStyle w:val="6"/>
              <w:spacing w:line="214" w:lineRule="auto"/>
              <w:jc w:val="right"/>
              <w:rPr>
                <w:sz w:val="19"/>
                <w:szCs w:val="19"/>
              </w:rPr>
            </w:pPr>
            <w:r>
              <w:rPr>
                <w:spacing w:val="-25"/>
                <w:w w:val="98"/>
                <w:sz w:val="19"/>
                <w:szCs w:val="19"/>
              </w:rPr>
              <w:t>弯盘、</w:t>
            </w:r>
          </w:p>
          <w:p w14:paraId="7A6EA931">
            <w:pPr>
              <w:pStyle w:val="6"/>
              <w:spacing w:before="1" w:line="220" w:lineRule="auto"/>
              <w:ind w:left="51"/>
              <w:rPr>
                <w:sz w:val="19"/>
                <w:szCs w:val="19"/>
              </w:rPr>
            </w:pPr>
            <w:r>
              <w:rPr>
                <w:spacing w:val="-3"/>
                <w:sz w:val="19"/>
                <w:szCs w:val="19"/>
              </w:rPr>
              <w:t>启瓶</w:t>
            </w:r>
          </w:p>
          <w:p w14:paraId="14A12CAD">
            <w:pPr>
              <w:pStyle w:val="6"/>
              <w:spacing w:before="5" w:line="202" w:lineRule="auto"/>
              <w:jc w:val="right"/>
              <w:rPr>
                <w:sz w:val="19"/>
                <w:szCs w:val="19"/>
              </w:rPr>
            </w:pPr>
            <w:r>
              <w:rPr>
                <w:spacing w:val="-22"/>
                <w:w w:val="93"/>
                <w:sz w:val="19"/>
                <w:szCs w:val="19"/>
              </w:rPr>
              <w:t>器</w:t>
            </w:r>
            <w:r>
              <w:rPr>
                <w:spacing w:val="-30"/>
                <w:sz w:val="19"/>
                <w:szCs w:val="19"/>
              </w:rPr>
              <w:t xml:space="preserve"> </w:t>
            </w:r>
            <w:r>
              <w:rPr>
                <w:spacing w:val="-22"/>
                <w:w w:val="93"/>
                <w:sz w:val="19"/>
                <w:szCs w:val="19"/>
              </w:rPr>
              <w:t>)</w:t>
            </w:r>
            <w:r>
              <w:rPr>
                <w:spacing w:val="-39"/>
                <w:sz w:val="19"/>
                <w:szCs w:val="19"/>
              </w:rPr>
              <w:t xml:space="preserve"> </w:t>
            </w:r>
            <w:r>
              <w:rPr>
                <w:spacing w:val="-22"/>
                <w:w w:val="93"/>
                <w:sz w:val="19"/>
                <w:szCs w:val="19"/>
              </w:rPr>
              <w:t>、</w:t>
            </w:r>
          </w:p>
          <w:p w14:paraId="6D4BC7C8">
            <w:pPr>
              <w:pStyle w:val="6"/>
              <w:spacing w:before="1" w:line="220" w:lineRule="auto"/>
              <w:ind w:left="51"/>
              <w:rPr>
                <w:sz w:val="19"/>
                <w:szCs w:val="19"/>
              </w:rPr>
            </w:pPr>
            <w:r>
              <w:rPr>
                <w:spacing w:val="4"/>
                <w:sz w:val="19"/>
                <w:szCs w:val="19"/>
              </w:rPr>
              <w:t>另备</w:t>
            </w:r>
          </w:p>
          <w:p w14:paraId="2EB1D8AC">
            <w:pPr>
              <w:pStyle w:val="6"/>
              <w:spacing w:before="31" w:line="180" w:lineRule="auto"/>
              <w:ind w:left="1"/>
              <w:rPr>
                <w:sz w:val="19"/>
                <w:szCs w:val="19"/>
              </w:rPr>
            </w:pPr>
            <w:r>
              <w:rPr>
                <w:spacing w:val="-2"/>
                <w:sz w:val="19"/>
                <w:szCs w:val="19"/>
              </w:rPr>
              <w:t>2-5ml</w:t>
            </w:r>
          </w:p>
          <w:p w14:paraId="4D0BBD3B">
            <w:pPr>
              <w:pStyle w:val="6"/>
              <w:spacing w:line="214" w:lineRule="auto"/>
              <w:ind w:left="51"/>
              <w:rPr>
                <w:sz w:val="19"/>
                <w:szCs w:val="19"/>
              </w:rPr>
            </w:pPr>
            <w:r>
              <w:rPr>
                <w:spacing w:val="-2"/>
                <w:sz w:val="19"/>
                <w:szCs w:val="19"/>
              </w:rPr>
              <w:t>注射</w:t>
            </w:r>
          </w:p>
          <w:p w14:paraId="6D9E0703">
            <w:pPr>
              <w:pStyle w:val="6"/>
              <w:spacing w:line="224" w:lineRule="auto"/>
              <w:jc w:val="right"/>
              <w:rPr>
                <w:sz w:val="19"/>
                <w:szCs w:val="19"/>
              </w:rPr>
            </w:pPr>
            <w:r>
              <w:rPr>
                <w:spacing w:val="-27"/>
                <w:sz w:val="19"/>
                <w:szCs w:val="19"/>
              </w:rPr>
              <w:t>器</w:t>
            </w:r>
            <w:r>
              <w:rPr>
                <w:spacing w:val="26"/>
                <w:sz w:val="19"/>
                <w:szCs w:val="19"/>
              </w:rPr>
              <w:t xml:space="preserve"> </w:t>
            </w:r>
            <w:r>
              <w:rPr>
                <w:spacing w:val="-27"/>
                <w:sz w:val="19"/>
                <w:szCs w:val="19"/>
              </w:rPr>
              <w:t>、</w:t>
            </w:r>
          </w:p>
          <w:p w14:paraId="43544CCE">
            <w:pPr>
              <w:pStyle w:val="6"/>
              <w:spacing w:before="53" w:line="153" w:lineRule="exact"/>
              <w:ind w:left="101"/>
              <w:rPr>
                <w:sz w:val="19"/>
                <w:szCs w:val="19"/>
              </w:rPr>
            </w:pPr>
            <w:r>
              <w:rPr>
                <w:spacing w:val="-3"/>
                <w:position w:val="-2"/>
                <w:sz w:val="19"/>
                <w:szCs w:val="19"/>
              </w:rPr>
              <w:t>6-7</w:t>
            </w:r>
          </w:p>
          <w:p w14:paraId="10E0C87D">
            <w:pPr>
              <w:pStyle w:val="6"/>
              <w:spacing w:line="212" w:lineRule="auto"/>
              <w:ind w:left="51"/>
              <w:rPr>
                <w:sz w:val="19"/>
                <w:szCs w:val="19"/>
              </w:rPr>
            </w:pPr>
            <w:r>
              <w:rPr>
                <w:spacing w:val="4"/>
                <w:sz w:val="19"/>
                <w:szCs w:val="19"/>
              </w:rPr>
              <w:t>号针</w:t>
            </w:r>
          </w:p>
          <w:p w14:paraId="33BD960C">
            <w:pPr>
              <w:pStyle w:val="6"/>
              <w:spacing w:before="1" w:line="191" w:lineRule="auto"/>
              <w:jc w:val="right"/>
              <w:rPr>
                <w:sz w:val="19"/>
                <w:szCs w:val="19"/>
              </w:rPr>
            </w:pPr>
            <w:r>
              <w:rPr>
                <w:spacing w:val="-29"/>
                <w:sz w:val="19"/>
                <w:szCs w:val="19"/>
              </w:rPr>
              <w:t>头</w:t>
            </w:r>
            <w:r>
              <w:rPr>
                <w:spacing w:val="29"/>
                <w:w w:val="101"/>
                <w:sz w:val="19"/>
                <w:szCs w:val="19"/>
              </w:rPr>
              <w:t xml:space="preserve"> </w:t>
            </w:r>
            <w:r>
              <w:rPr>
                <w:spacing w:val="-29"/>
                <w:sz w:val="19"/>
                <w:szCs w:val="19"/>
              </w:rPr>
              <w:t>、</w:t>
            </w:r>
          </w:p>
        </w:tc>
        <w:tc>
          <w:tcPr>
            <w:tcW w:w="1059" w:type="dxa"/>
            <w:vAlign w:val="top"/>
          </w:tcPr>
          <w:p w14:paraId="11C10C5A">
            <w:pPr>
              <w:pStyle w:val="6"/>
              <w:spacing w:before="68" w:line="212" w:lineRule="auto"/>
              <w:ind w:left="12" w:right="44" w:firstLine="29"/>
              <w:jc w:val="both"/>
              <w:rPr>
                <w:sz w:val="19"/>
                <w:szCs w:val="19"/>
              </w:rPr>
            </w:pPr>
            <w:r>
              <w:rPr>
                <w:spacing w:val="1"/>
                <w:sz w:val="19"/>
                <w:szCs w:val="19"/>
              </w:rPr>
              <w:t xml:space="preserve">1.护士准备 </w:t>
            </w:r>
            <w:r>
              <w:rPr>
                <w:spacing w:val="3"/>
                <w:sz w:val="19"/>
                <w:szCs w:val="19"/>
              </w:rPr>
              <w:t>2.核对解释</w:t>
            </w:r>
            <w:r>
              <w:rPr>
                <w:spacing w:val="1"/>
                <w:sz w:val="19"/>
                <w:szCs w:val="19"/>
              </w:rPr>
              <w:t xml:space="preserve"> </w:t>
            </w:r>
            <w:r>
              <w:rPr>
                <w:spacing w:val="6"/>
                <w:sz w:val="19"/>
                <w:szCs w:val="19"/>
              </w:rPr>
              <w:t>3.抽吸药物</w:t>
            </w:r>
            <w:r>
              <w:rPr>
                <w:spacing w:val="2"/>
                <w:sz w:val="19"/>
                <w:szCs w:val="19"/>
              </w:rPr>
              <w:t xml:space="preserve"> </w:t>
            </w:r>
            <w:r>
              <w:rPr>
                <w:spacing w:val="3"/>
                <w:sz w:val="19"/>
                <w:szCs w:val="19"/>
              </w:rPr>
              <w:t>4.安置体位</w:t>
            </w:r>
            <w:r>
              <w:rPr>
                <w:spacing w:val="4"/>
                <w:sz w:val="19"/>
                <w:szCs w:val="19"/>
              </w:rPr>
              <w:t xml:space="preserve"> </w:t>
            </w:r>
            <w:r>
              <w:rPr>
                <w:spacing w:val="6"/>
                <w:sz w:val="19"/>
                <w:szCs w:val="19"/>
              </w:rPr>
              <w:t>5.定位消毒</w:t>
            </w:r>
            <w:r>
              <w:rPr>
                <w:spacing w:val="3"/>
                <w:sz w:val="19"/>
                <w:szCs w:val="19"/>
              </w:rPr>
              <w:t xml:space="preserve"> </w:t>
            </w:r>
            <w:r>
              <w:rPr>
                <w:spacing w:val="7"/>
                <w:sz w:val="19"/>
                <w:szCs w:val="19"/>
              </w:rPr>
              <w:t>6.核对排气</w:t>
            </w:r>
            <w:r>
              <w:rPr>
                <w:sz w:val="19"/>
                <w:szCs w:val="19"/>
              </w:rPr>
              <w:t xml:space="preserve"> </w:t>
            </w:r>
            <w:r>
              <w:rPr>
                <w:spacing w:val="6"/>
                <w:sz w:val="19"/>
                <w:szCs w:val="19"/>
              </w:rPr>
              <w:t>7.进针推药</w:t>
            </w:r>
            <w:r>
              <w:rPr>
                <w:spacing w:val="1"/>
                <w:sz w:val="19"/>
                <w:szCs w:val="19"/>
              </w:rPr>
              <w:t xml:space="preserve"> </w:t>
            </w:r>
            <w:r>
              <w:rPr>
                <w:spacing w:val="-2"/>
                <w:sz w:val="19"/>
                <w:szCs w:val="19"/>
              </w:rPr>
              <w:t>8.拔针按压</w:t>
            </w:r>
            <w:r>
              <w:rPr>
                <w:spacing w:val="2"/>
                <w:sz w:val="19"/>
                <w:szCs w:val="19"/>
              </w:rPr>
              <w:t xml:space="preserve"> </w:t>
            </w:r>
            <w:r>
              <w:rPr>
                <w:spacing w:val="-2"/>
                <w:sz w:val="19"/>
                <w:szCs w:val="19"/>
              </w:rPr>
              <w:t>9.整理用物</w:t>
            </w:r>
          </w:p>
        </w:tc>
        <w:tc>
          <w:tcPr>
            <w:tcW w:w="3546" w:type="dxa"/>
            <w:vAlign w:val="top"/>
          </w:tcPr>
          <w:p w14:paraId="1A7F3F8F">
            <w:pPr>
              <w:pStyle w:val="6"/>
              <w:spacing w:before="54" w:line="210" w:lineRule="auto"/>
              <w:ind w:left="13" w:right="677"/>
              <w:rPr>
                <w:sz w:val="19"/>
                <w:szCs w:val="19"/>
              </w:rPr>
            </w:pPr>
            <w:r>
              <w:rPr>
                <w:spacing w:val="-1"/>
                <w:sz w:val="19"/>
                <w:szCs w:val="19"/>
              </w:rPr>
              <w:t>1.护士着装整洁，洗手，戴口罩。</w:t>
            </w:r>
            <w:r>
              <w:rPr>
                <w:spacing w:val="10"/>
                <w:sz w:val="19"/>
                <w:szCs w:val="19"/>
              </w:rPr>
              <w:t xml:space="preserve"> </w:t>
            </w:r>
            <w:r>
              <w:rPr>
                <w:sz w:val="19"/>
                <w:szCs w:val="19"/>
              </w:rPr>
              <w:t>2.评估：</w:t>
            </w:r>
          </w:p>
          <w:p w14:paraId="09E17D66">
            <w:pPr>
              <w:pStyle w:val="6"/>
              <w:spacing w:before="7" w:line="204" w:lineRule="auto"/>
              <w:ind w:left="13"/>
              <w:rPr>
                <w:sz w:val="19"/>
                <w:szCs w:val="19"/>
              </w:rPr>
            </w:pPr>
            <w:r>
              <w:rPr>
                <w:spacing w:val="-1"/>
                <w:sz w:val="19"/>
                <w:szCs w:val="19"/>
              </w:rPr>
              <w:t>(1)了解药物使用注意事项。</w:t>
            </w:r>
          </w:p>
          <w:p w14:paraId="364426A4">
            <w:pPr>
              <w:pStyle w:val="6"/>
              <w:spacing w:before="1" w:line="213" w:lineRule="auto"/>
              <w:ind w:left="13" w:right="192"/>
              <w:rPr>
                <w:sz w:val="19"/>
                <w:szCs w:val="19"/>
              </w:rPr>
            </w:pPr>
            <w:r>
              <w:rPr>
                <w:sz w:val="19"/>
                <w:szCs w:val="19"/>
              </w:rPr>
              <w:t>(2)询问、了解病人的身体状况及注射部</w:t>
            </w:r>
            <w:r>
              <w:rPr>
                <w:spacing w:val="4"/>
                <w:sz w:val="19"/>
                <w:szCs w:val="19"/>
              </w:rPr>
              <w:t xml:space="preserve"> </w:t>
            </w:r>
            <w:r>
              <w:rPr>
                <w:spacing w:val="-1"/>
                <w:sz w:val="19"/>
                <w:szCs w:val="19"/>
              </w:rPr>
              <w:t>位状况。</w:t>
            </w:r>
          </w:p>
          <w:p w14:paraId="3FE86052">
            <w:pPr>
              <w:pStyle w:val="6"/>
              <w:spacing w:line="219" w:lineRule="auto"/>
              <w:ind w:left="13"/>
              <w:rPr>
                <w:sz w:val="19"/>
                <w:szCs w:val="19"/>
              </w:rPr>
            </w:pPr>
            <w:r>
              <w:rPr>
                <w:sz w:val="19"/>
                <w:szCs w:val="19"/>
              </w:rPr>
              <w:t>(3)解释操作目的，取得病人配合。</w:t>
            </w:r>
          </w:p>
          <w:p w14:paraId="4C5F40B3">
            <w:pPr>
              <w:pStyle w:val="6"/>
              <w:spacing w:before="14" w:line="215" w:lineRule="auto"/>
              <w:ind w:left="13"/>
              <w:jc w:val="both"/>
              <w:rPr>
                <w:sz w:val="19"/>
                <w:szCs w:val="19"/>
              </w:rPr>
            </w:pPr>
            <w:r>
              <w:rPr>
                <w:spacing w:val="-6"/>
                <w:sz w:val="19"/>
                <w:szCs w:val="19"/>
              </w:rPr>
              <w:t>3.物品准备齐全并检查(无菌物品均在有效</w:t>
            </w:r>
            <w:r>
              <w:rPr>
                <w:spacing w:val="9"/>
                <w:sz w:val="19"/>
                <w:szCs w:val="19"/>
              </w:rPr>
              <w:t xml:space="preserve">  </w:t>
            </w:r>
            <w:r>
              <w:rPr>
                <w:spacing w:val="-14"/>
                <w:sz w:val="19"/>
                <w:szCs w:val="19"/>
              </w:rPr>
              <w:t>期内),注射器大小合适、符合无菌操作要求。</w:t>
            </w:r>
            <w:r>
              <w:rPr>
                <w:spacing w:val="15"/>
                <w:sz w:val="19"/>
                <w:szCs w:val="19"/>
              </w:rPr>
              <w:t xml:space="preserve"> </w:t>
            </w:r>
            <w:r>
              <w:rPr>
                <w:spacing w:val="-5"/>
                <w:sz w:val="19"/>
                <w:szCs w:val="19"/>
              </w:rPr>
              <w:t>4.空气清新、安静、整洁、光线适宜。</w:t>
            </w:r>
          </w:p>
          <w:p w14:paraId="67DC484C">
            <w:pPr>
              <w:pStyle w:val="6"/>
              <w:spacing w:before="216" w:line="206" w:lineRule="auto"/>
              <w:ind w:left="13"/>
              <w:rPr>
                <w:sz w:val="19"/>
                <w:szCs w:val="19"/>
              </w:rPr>
            </w:pPr>
            <w:r>
              <w:rPr>
                <w:spacing w:val="-9"/>
                <w:sz w:val="19"/>
                <w:szCs w:val="19"/>
              </w:rPr>
              <w:t>5.核对医嘱、注射卡，按无菌技术操作原则</w:t>
            </w:r>
            <w:r>
              <w:rPr>
                <w:spacing w:val="7"/>
                <w:sz w:val="19"/>
                <w:szCs w:val="19"/>
              </w:rPr>
              <w:t xml:space="preserve">  </w:t>
            </w:r>
            <w:r>
              <w:rPr>
                <w:spacing w:val="-14"/>
                <w:sz w:val="19"/>
                <w:szCs w:val="19"/>
              </w:rPr>
              <w:t>抽吸药液。药物的剂量准确、抽吸方法规范。</w:t>
            </w:r>
          </w:p>
          <w:p w14:paraId="61FB1325">
            <w:pPr>
              <w:spacing w:line="372" w:lineRule="auto"/>
              <w:rPr>
                <w:rFonts w:ascii="Arial"/>
                <w:sz w:val="21"/>
              </w:rPr>
            </w:pPr>
          </w:p>
          <w:p w14:paraId="242FE20E">
            <w:pPr>
              <w:pStyle w:val="6"/>
              <w:spacing w:before="62" w:line="226" w:lineRule="auto"/>
              <w:ind w:left="13"/>
              <w:rPr>
                <w:sz w:val="19"/>
                <w:szCs w:val="19"/>
              </w:rPr>
            </w:pPr>
            <w:r>
              <w:rPr>
                <w:spacing w:val="-5"/>
                <w:sz w:val="19"/>
                <w:szCs w:val="19"/>
              </w:rPr>
              <w:t>6.携用物至病人床旁，核对病人并解释，为</w:t>
            </w:r>
            <w:r>
              <w:rPr>
                <w:spacing w:val="11"/>
                <w:sz w:val="19"/>
                <w:szCs w:val="19"/>
              </w:rPr>
              <w:t xml:space="preserve"> </w:t>
            </w:r>
            <w:r>
              <w:rPr>
                <w:spacing w:val="-1"/>
                <w:sz w:val="19"/>
                <w:szCs w:val="19"/>
              </w:rPr>
              <w:t>患者进行遮挡。</w:t>
            </w:r>
          </w:p>
          <w:p w14:paraId="2D71566A">
            <w:pPr>
              <w:pStyle w:val="6"/>
              <w:spacing w:before="194" w:line="216" w:lineRule="auto"/>
              <w:ind w:left="13"/>
              <w:jc w:val="both"/>
              <w:rPr>
                <w:sz w:val="19"/>
                <w:szCs w:val="19"/>
              </w:rPr>
            </w:pPr>
            <w:r>
              <w:rPr>
                <w:spacing w:val="-9"/>
                <w:sz w:val="19"/>
                <w:szCs w:val="19"/>
              </w:rPr>
              <w:t>7.选择注射部位(臀大肌、臀中肌、臀小肌、</w:t>
            </w:r>
            <w:r>
              <w:rPr>
                <w:spacing w:val="5"/>
                <w:sz w:val="19"/>
                <w:szCs w:val="19"/>
              </w:rPr>
              <w:t xml:space="preserve"> </w:t>
            </w:r>
            <w:r>
              <w:rPr>
                <w:spacing w:val="-6"/>
                <w:sz w:val="19"/>
                <w:szCs w:val="19"/>
              </w:rPr>
              <w:t>股外侧肌、上臂三角肌)并能正确叙述一种</w:t>
            </w:r>
            <w:r>
              <w:rPr>
                <w:spacing w:val="8"/>
                <w:sz w:val="19"/>
                <w:szCs w:val="19"/>
              </w:rPr>
              <w:t xml:space="preserve">  </w:t>
            </w:r>
            <w:r>
              <w:rPr>
                <w:spacing w:val="-5"/>
                <w:sz w:val="19"/>
                <w:szCs w:val="19"/>
              </w:rPr>
              <w:t>定位方法。</w:t>
            </w:r>
          </w:p>
        </w:tc>
        <w:tc>
          <w:tcPr>
            <w:tcW w:w="2297" w:type="dxa"/>
            <w:vAlign w:val="top"/>
          </w:tcPr>
          <w:p w14:paraId="58A97422">
            <w:pPr>
              <w:pStyle w:val="6"/>
              <w:spacing w:before="54" w:line="215" w:lineRule="auto"/>
              <w:ind w:left="17" w:firstLine="78"/>
              <w:jc w:val="both"/>
              <w:rPr>
                <w:sz w:val="19"/>
                <w:szCs w:val="19"/>
              </w:rPr>
            </w:pPr>
            <w:r>
              <w:rPr>
                <w:sz w:val="19"/>
                <w:szCs w:val="19"/>
              </w:rPr>
              <w:t xml:space="preserve">1.分值2分(未洗手扣1分)  </w:t>
            </w:r>
            <w:r>
              <w:rPr>
                <w:spacing w:val="6"/>
                <w:sz w:val="19"/>
                <w:szCs w:val="19"/>
              </w:rPr>
              <w:t>2.分值6分(未评估扣4分；</w:t>
            </w:r>
            <w:r>
              <w:rPr>
                <w:sz w:val="19"/>
                <w:szCs w:val="19"/>
              </w:rPr>
              <w:t xml:space="preserve"> </w:t>
            </w:r>
            <w:r>
              <w:rPr>
                <w:spacing w:val="-2"/>
                <w:sz w:val="19"/>
                <w:szCs w:val="19"/>
              </w:rPr>
              <w:t>评估不全一项扣2分；未解</w:t>
            </w:r>
            <w:r>
              <w:rPr>
                <w:spacing w:val="1"/>
                <w:sz w:val="19"/>
                <w:szCs w:val="19"/>
              </w:rPr>
              <w:t xml:space="preserve">  </w:t>
            </w:r>
            <w:r>
              <w:rPr>
                <w:spacing w:val="5"/>
                <w:sz w:val="19"/>
                <w:szCs w:val="19"/>
              </w:rPr>
              <w:t>释扣2分)</w:t>
            </w:r>
          </w:p>
          <w:p w14:paraId="746A6FCA">
            <w:pPr>
              <w:spacing w:line="379" w:lineRule="auto"/>
              <w:rPr>
                <w:rFonts w:ascii="Arial"/>
                <w:sz w:val="21"/>
              </w:rPr>
            </w:pPr>
          </w:p>
          <w:p w14:paraId="14E2F35E">
            <w:pPr>
              <w:pStyle w:val="6"/>
              <w:spacing w:before="62" w:line="207" w:lineRule="auto"/>
              <w:ind w:left="17" w:right="91" w:firstLine="79"/>
              <w:rPr>
                <w:sz w:val="19"/>
                <w:szCs w:val="19"/>
              </w:rPr>
            </w:pPr>
            <w:r>
              <w:rPr>
                <w:sz w:val="19"/>
                <w:szCs w:val="19"/>
              </w:rPr>
              <w:t>3.分值5分(物品少一件或</w:t>
            </w:r>
            <w:r>
              <w:rPr>
                <w:spacing w:val="7"/>
                <w:sz w:val="19"/>
                <w:szCs w:val="19"/>
              </w:rPr>
              <w:t xml:space="preserve"> </w:t>
            </w:r>
            <w:r>
              <w:rPr>
                <w:spacing w:val="3"/>
                <w:sz w:val="19"/>
                <w:szCs w:val="19"/>
              </w:rPr>
              <w:t>一件不符合要求扣1分)</w:t>
            </w:r>
          </w:p>
          <w:p w14:paraId="27AD2DE1">
            <w:pPr>
              <w:pStyle w:val="6"/>
              <w:spacing w:before="3" w:line="213" w:lineRule="auto"/>
              <w:ind w:left="17" w:right="83" w:firstLine="79"/>
              <w:rPr>
                <w:sz w:val="19"/>
                <w:szCs w:val="19"/>
              </w:rPr>
            </w:pPr>
            <w:r>
              <w:rPr>
                <w:spacing w:val="1"/>
                <w:sz w:val="19"/>
                <w:szCs w:val="19"/>
              </w:rPr>
              <w:t>4.分值3分(未评估环境扣</w:t>
            </w:r>
            <w:r>
              <w:rPr>
                <w:spacing w:val="2"/>
                <w:sz w:val="19"/>
                <w:szCs w:val="19"/>
              </w:rPr>
              <w:t xml:space="preserve"> </w:t>
            </w:r>
            <w:r>
              <w:rPr>
                <w:spacing w:val="13"/>
                <w:sz w:val="19"/>
                <w:szCs w:val="19"/>
              </w:rPr>
              <w:t>3分)</w:t>
            </w:r>
          </w:p>
          <w:p w14:paraId="25E1975D">
            <w:pPr>
              <w:pStyle w:val="6"/>
              <w:spacing w:before="12" w:line="209" w:lineRule="auto"/>
              <w:ind w:left="26" w:right="33" w:firstLine="70"/>
              <w:rPr>
                <w:sz w:val="19"/>
                <w:szCs w:val="19"/>
              </w:rPr>
            </w:pPr>
            <w:r>
              <w:rPr>
                <w:spacing w:val="1"/>
                <w:sz w:val="19"/>
                <w:szCs w:val="19"/>
              </w:rPr>
              <w:t>5.分值8分(未核对医嘱扣</w:t>
            </w:r>
            <w:r>
              <w:rPr>
                <w:spacing w:val="2"/>
                <w:sz w:val="19"/>
                <w:szCs w:val="19"/>
              </w:rPr>
              <w:t xml:space="preserve"> </w:t>
            </w:r>
            <w:r>
              <w:rPr>
                <w:spacing w:val="3"/>
                <w:sz w:val="19"/>
                <w:szCs w:val="19"/>
              </w:rPr>
              <w:t>3分，未严格执行无菌操作</w:t>
            </w:r>
            <w:r>
              <w:rPr>
                <w:sz w:val="19"/>
                <w:szCs w:val="19"/>
              </w:rPr>
              <w:t xml:space="preserve"> </w:t>
            </w:r>
            <w:r>
              <w:rPr>
                <w:spacing w:val="3"/>
                <w:sz w:val="19"/>
                <w:szCs w:val="19"/>
              </w:rPr>
              <w:t>扣2分，抽吸计量不准确扣</w:t>
            </w:r>
            <w:r>
              <w:rPr>
                <w:spacing w:val="4"/>
                <w:sz w:val="19"/>
                <w:szCs w:val="19"/>
              </w:rPr>
              <w:t xml:space="preserve"> </w:t>
            </w:r>
            <w:r>
              <w:rPr>
                <w:spacing w:val="3"/>
                <w:sz w:val="19"/>
                <w:szCs w:val="19"/>
              </w:rPr>
              <w:t>2分，方法不规范扣1分)</w:t>
            </w:r>
          </w:p>
          <w:p w14:paraId="6B9A6377">
            <w:pPr>
              <w:pStyle w:val="6"/>
              <w:spacing w:line="212" w:lineRule="auto"/>
              <w:ind w:left="26" w:right="108" w:firstLine="70"/>
              <w:rPr>
                <w:sz w:val="19"/>
                <w:szCs w:val="19"/>
              </w:rPr>
            </w:pPr>
            <w:r>
              <w:rPr>
                <w:spacing w:val="-1"/>
                <w:sz w:val="19"/>
                <w:szCs w:val="19"/>
              </w:rPr>
              <w:t>6.分值5分(操作前未核对</w:t>
            </w:r>
            <w:r>
              <w:rPr>
                <w:spacing w:val="3"/>
                <w:sz w:val="19"/>
                <w:szCs w:val="19"/>
              </w:rPr>
              <w:t xml:space="preserve"> </w:t>
            </w:r>
            <w:r>
              <w:rPr>
                <w:spacing w:val="10"/>
                <w:sz w:val="19"/>
                <w:szCs w:val="19"/>
              </w:rPr>
              <w:t>扣5分)</w:t>
            </w:r>
          </w:p>
          <w:p w14:paraId="2E039381">
            <w:pPr>
              <w:pStyle w:val="6"/>
              <w:spacing w:before="222" w:line="215" w:lineRule="auto"/>
              <w:ind w:left="17"/>
              <w:rPr>
                <w:sz w:val="19"/>
                <w:szCs w:val="19"/>
              </w:rPr>
            </w:pPr>
            <w:r>
              <w:rPr>
                <w:spacing w:val="-1"/>
                <w:sz w:val="19"/>
                <w:szCs w:val="19"/>
              </w:rPr>
              <w:t>7.分值10分(选择注射部</w:t>
            </w:r>
          </w:p>
          <w:p w14:paraId="52FEDDEB">
            <w:pPr>
              <w:pStyle w:val="6"/>
              <w:spacing w:before="1" w:line="206" w:lineRule="auto"/>
              <w:ind w:left="17" w:right="41" w:firstLine="29"/>
              <w:rPr>
                <w:sz w:val="19"/>
                <w:szCs w:val="19"/>
              </w:rPr>
            </w:pPr>
            <w:r>
              <w:rPr>
                <w:spacing w:val="1"/>
                <w:sz w:val="19"/>
                <w:szCs w:val="19"/>
              </w:rPr>
              <w:t>位不正确扣4分；定位不准</w:t>
            </w:r>
            <w:r>
              <w:rPr>
                <w:sz w:val="19"/>
                <w:szCs w:val="19"/>
              </w:rPr>
              <w:t xml:space="preserve"> </w:t>
            </w:r>
            <w:r>
              <w:rPr>
                <w:spacing w:val="1"/>
                <w:sz w:val="19"/>
                <w:szCs w:val="19"/>
              </w:rPr>
              <w:t>确扣4分；不能叙述定位方</w:t>
            </w:r>
            <w:r>
              <w:rPr>
                <w:spacing w:val="9"/>
                <w:sz w:val="19"/>
                <w:szCs w:val="19"/>
              </w:rPr>
              <w:t xml:space="preserve"> </w:t>
            </w:r>
            <w:r>
              <w:rPr>
                <w:spacing w:val="8"/>
                <w:sz w:val="19"/>
                <w:szCs w:val="19"/>
              </w:rPr>
              <w:t>法扣2分)</w:t>
            </w:r>
          </w:p>
        </w:tc>
        <w:tc>
          <w:tcPr>
            <w:tcW w:w="834" w:type="dxa"/>
            <w:vAlign w:val="top"/>
          </w:tcPr>
          <w:p w14:paraId="669D7B9A">
            <w:pPr>
              <w:rPr>
                <w:rFonts w:ascii="Arial"/>
                <w:sz w:val="21"/>
              </w:rPr>
            </w:pPr>
          </w:p>
        </w:tc>
      </w:tr>
    </w:tbl>
    <w:p w14:paraId="6C95C2B5">
      <w:pPr>
        <w:pStyle w:val="2"/>
        <w:spacing w:line="232" w:lineRule="exact"/>
        <w:rPr>
          <w:sz w:val="20"/>
        </w:rPr>
      </w:pPr>
    </w:p>
    <w:p w14:paraId="2B8C25C5">
      <w:pPr>
        <w:spacing w:line="232" w:lineRule="exact"/>
        <w:rPr>
          <w:sz w:val="20"/>
          <w:szCs w:val="20"/>
        </w:rPr>
        <w:sectPr>
          <w:footerReference r:id="rId142" w:type="default"/>
          <w:pgSz w:w="10660" w:h="15080"/>
          <w:pgMar w:top="400" w:right="1045" w:bottom="912" w:left="809" w:header="0" w:footer="741" w:gutter="0"/>
          <w:cols w:space="720" w:num="1"/>
        </w:sectPr>
      </w:pPr>
    </w:p>
    <w:p w14:paraId="2F72023F">
      <w:pPr>
        <w:spacing w:before="8"/>
      </w:pPr>
    </w:p>
    <w:p w14:paraId="51C8F1B7">
      <w:pPr>
        <w:spacing w:before="7"/>
      </w:pPr>
    </w:p>
    <w:p w14:paraId="498CE780">
      <w:pPr>
        <w:spacing w:before="7"/>
      </w:pPr>
    </w:p>
    <w:p w14:paraId="7F1AEC79">
      <w:pPr>
        <w:spacing w:before="7"/>
      </w:pPr>
    </w:p>
    <w:tbl>
      <w:tblPr>
        <w:tblStyle w:val="5"/>
        <w:tblW w:w="871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474"/>
        <w:gridCol w:w="509"/>
        <w:gridCol w:w="1049"/>
        <w:gridCol w:w="3566"/>
        <w:gridCol w:w="2277"/>
        <w:gridCol w:w="844"/>
      </w:tblGrid>
      <w:tr w14:paraId="6C5B56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4" w:hRule="atLeast"/>
        </w:trPr>
        <w:tc>
          <w:tcPr>
            <w:tcW w:w="474" w:type="dxa"/>
            <w:shd w:val="clear" w:color="auto" w:fill="231F20"/>
            <w:vAlign w:val="top"/>
          </w:tcPr>
          <w:p w14:paraId="471471A0">
            <w:pPr>
              <w:pStyle w:val="6"/>
              <w:spacing w:before="91" w:line="207" w:lineRule="auto"/>
              <w:ind w:left="47" w:right="5" w:firstLine="20"/>
              <w:rPr>
                <w:sz w:val="19"/>
                <w:szCs w:val="19"/>
              </w:rPr>
            </w:pPr>
            <w:r>
              <w:rPr>
                <w:b/>
                <w:bCs/>
                <w:color w:val="FFFFFF"/>
                <w:spacing w:val="-7"/>
                <w:sz w:val="19"/>
                <w:szCs w:val="19"/>
              </w:rPr>
              <w:t>测试</w:t>
            </w:r>
            <w:r>
              <w:rPr>
                <w:color w:val="FFFFFF"/>
                <w:sz w:val="19"/>
                <w:szCs w:val="19"/>
              </w:rPr>
              <w:t xml:space="preserve"> </w:t>
            </w:r>
            <w:r>
              <w:rPr>
                <w:b/>
                <w:bCs/>
                <w:color w:val="FFFFFF"/>
                <w:spacing w:val="13"/>
                <w:sz w:val="19"/>
                <w:szCs w:val="19"/>
              </w:rPr>
              <w:t>项目</w:t>
            </w:r>
          </w:p>
        </w:tc>
        <w:tc>
          <w:tcPr>
            <w:tcW w:w="509" w:type="dxa"/>
            <w:vAlign w:val="top"/>
          </w:tcPr>
          <w:p w14:paraId="4148D13F">
            <w:pPr>
              <w:pStyle w:val="6"/>
              <w:spacing w:before="90" w:line="208" w:lineRule="auto"/>
              <w:ind w:left="53" w:right="73"/>
              <w:rPr>
                <w:sz w:val="19"/>
                <w:szCs w:val="19"/>
              </w:rPr>
            </w:pPr>
            <w:r>
              <w:rPr>
                <w:b/>
                <w:bCs/>
                <w:spacing w:val="-7"/>
                <w:sz w:val="19"/>
                <w:szCs w:val="19"/>
              </w:rPr>
              <w:t>测试</w:t>
            </w:r>
            <w:r>
              <w:rPr>
                <w:sz w:val="19"/>
                <w:szCs w:val="19"/>
              </w:rPr>
              <w:t xml:space="preserve"> </w:t>
            </w:r>
            <w:r>
              <w:rPr>
                <w:b/>
                <w:bCs/>
                <w:spacing w:val="-7"/>
                <w:sz w:val="19"/>
                <w:szCs w:val="19"/>
              </w:rPr>
              <w:t>用具</w:t>
            </w:r>
          </w:p>
        </w:tc>
        <w:tc>
          <w:tcPr>
            <w:tcW w:w="1049" w:type="dxa"/>
            <w:vAlign w:val="top"/>
          </w:tcPr>
          <w:p w14:paraId="036C7A2E">
            <w:pPr>
              <w:pStyle w:val="6"/>
              <w:spacing w:before="190" w:line="219" w:lineRule="auto"/>
              <w:ind w:left="194"/>
              <w:rPr>
                <w:sz w:val="19"/>
                <w:szCs w:val="19"/>
              </w:rPr>
            </w:pPr>
            <w:r>
              <w:rPr>
                <w:b/>
                <w:bCs/>
                <w:spacing w:val="-4"/>
                <w:sz w:val="19"/>
                <w:szCs w:val="19"/>
              </w:rPr>
              <w:t>测试内容</w:t>
            </w:r>
          </w:p>
        </w:tc>
        <w:tc>
          <w:tcPr>
            <w:tcW w:w="3566" w:type="dxa"/>
            <w:vAlign w:val="top"/>
          </w:tcPr>
          <w:p w14:paraId="01FCB794">
            <w:pPr>
              <w:pStyle w:val="6"/>
              <w:spacing w:before="191" w:line="221" w:lineRule="auto"/>
              <w:ind w:left="1455"/>
              <w:rPr>
                <w:sz w:val="19"/>
                <w:szCs w:val="19"/>
              </w:rPr>
            </w:pPr>
            <w:r>
              <w:rPr>
                <w:b/>
                <w:bCs/>
                <w:spacing w:val="-4"/>
                <w:sz w:val="19"/>
                <w:szCs w:val="19"/>
              </w:rPr>
              <w:t>测试方法</w:t>
            </w:r>
          </w:p>
        </w:tc>
        <w:tc>
          <w:tcPr>
            <w:tcW w:w="2277" w:type="dxa"/>
            <w:vAlign w:val="top"/>
          </w:tcPr>
          <w:p w14:paraId="06B4CBA8">
            <w:pPr>
              <w:pStyle w:val="6"/>
              <w:spacing w:before="190" w:line="219" w:lineRule="auto"/>
              <w:ind w:left="809"/>
              <w:rPr>
                <w:sz w:val="19"/>
                <w:szCs w:val="19"/>
              </w:rPr>
            </w:pPr>
            <w:r>
              <w:rPr>
                <w:b/>
                <w:bCs/>
                <w:spacing w:val="-4"/>
                <w:sz w:val="19"/>
                <w:szCs w:val="19"/>
              </w:rPr>
              <w:t>赋分参考</w:t>
            </w:r>
          </w:p>
        </w:tc>
        <w:tc>
          <w:tcPr>
            <w:tcW w:w="844" w:type="dxa"/>
            <w:vAlign w:val="top"/>
          </w:tcPr>
          <w:p w14:paraId="2CFABC24">
            <w:pPr>
              <w:pStyle w:val="6"/>
              <w:spacing w:before="100" w:line="208" w:lineRule="auto"/>
              <w:ind w:left="232" w:right="229"/>
              <w:rPr>
                <w:sz w:val="19"/>
                <w:szCs w:val="19"/>
              </w:rPr>
            </w:pPr>
            <w:r>
              <w:rPr>
                <w:b/>
                <w:bCs/>
                <w:spacing w:val="-7"/>
                <w:sz w:val="19"/>
                <w:szCs w:val="19"/>
              </w:rPr>
              <w:t>测试</w:t>
            </w:r>
            <w:r>
              <w:rPr>
                <w:sz w:val="19"/>
                <w:szCs w:val="19"/>
              </w:rPr>
              <w:t xml:space="preserve"> </w:t>
            </w:r>
            <w:r>
              <w:rPr>
                <w:b/>
                <w:bCs/>
                <w:spacing w:val="-7"/>
                <w:sz w:val="19"/>
                <w:szCs w:val="19"/>
              </w:rPr>
              <w:t>要求</w:t>
            </w:r>
          </w:p>
        </w:tc>
      </w:tr>
      <w:tr w14:paraId="02C6D8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915" w:hRule="atLeast"/>
        </w:trPr>
        <w:tc>
          <w:tcPr>
            <w:tcW w:w="474" w:type="dxa"/>
            <w:vAlign w:val="top"/>
          </w:tcPr>
          <w:p w14:paraId="2279B6CF">
            <w:pPr>
              <w:rPr>
                <w:rFonts w:ascii="Arial"/>
                <w:sz w:val="21"/>
              </w:rPr>
            </w:pPr>
          </w:p>
        </w:tc>
        <w:tc>
          <w:tcPr>
            <w:tcW w:w="509" w:type="dxa"/>
            <w:vAlign w:val="top"/>
          </w:tcPr>
          <w:p w14:paraId="514C4506">
            <w:pPr>
              <w:pStyle w:val="6"/>
              <w:spacing w:before="55" w:line="195" w:lineRule="auto"/>
              <w:ind w:left="53"/>
              <w:rPr>
                <w:sz w:val="19"/>
                <w:szCs w:val="19"/>
              </w:rPr>
            </w:pPr>
            <w:r>
              <w:rPr>
                <w:b/>
                <w:bCs/>
                <w:spacing w:val="-5"/>
                <w:sz w:val="19"/>
                <w:szCs w:val="19"/>
              </w:rPr>
              <w:t>按医</w:t>
            </w:r>
          </w:p>
          <w:p w14:paraId="691DC8B9">
            <w:pPr>
              <w:pStyle w:val="6"/>
              <w:spacing w:line="213" w:lineRule="auto"/>
              <w:ind w:left="53"/>
              <w:rPr>
                <w:sz w:val="19"/>
                <w:szCs w:val="19"/>
              </w:rPr>
            </w:pPr>
            <w:r>
              <w:rPr>
                <w:b/>
                <w:bCs/>
                <w:spacing w:val="-1"/>
                <w:sz w:val="19"/>
                <w:szCs w:val="19"/>
              </w:rPr>
              <w:t>嘱备</w:t>
            </w:r>
          </w:p>
          <w:p w14:paraId="6D1CA1A8">
            <w:pPr>
              <w:pStyle w:val="6"/>
              <w:spacing w:line="220" w:lineRule="auto"/>
              <w:jc w:val="right"/>
              <w:rPr>
                <w:sz w:val="19"/>
                <w:szCs w:val="19"/>
              </w:rPr>
            </w:pPr>
            <w:r>
              <w:rPr>
                <w:b/>
                <w:bCs/>
                <w:spacing w:val="-29"/>
                <w:sz w:val="19"/>
                <w:szCs w:val="19"/>
              </w:rPr>
              <w:t>药</w:t>
            </w:r>
            <w:r>
              <w:rPr>
                <w:spacing w:val="24"/>
                <w:sz w:val="19"/>
                <w:szCs w:val="19"/>
              </w:rPr>
              <w:t xml:space="preserve"> </w:t>
            </w:r>
            <w:r>
              <w:rPr>
                <w:b/>
                <w:bCs/>
                <w:spacing w:val="-29"/>
                <w:sz w:val="19"/>
                <w:szCs w:val="19"/>
              </w:rPr>
              <w:t>、</w:t>
            </w:r>
          </w:p>
          <w:p w14:paraId="164E7A41">
            <w:pPr>
              <w:pStyle w:val="6"/>
              <w:spacing w:before="3" w:line="205" w:lineRule="auto"/>
              <w:ind w:left="53"/>
              <w:rPr>
                <w:sz w:val="19"/>
                <w:szCs w:val="19"/>
              </w:rPr>
            </w:pPr>
            <w:r>
              <w:rPr>
                <w:b/>
                <w:bCs/>
                <w:spacing w:val="-4"/>
                <w:sz w:val="19"/>
                <w:szCs w:val="19"/>
              </w:rPr>
              <w:t>注射</w:t>
            </w:r>
          </w:p>
          <w:p w14:paraId="7B27F000">
            <w:pPr>
              <w:pStyle w:val="6"/>
              <w:spacing w:line="220" w:lineRule="auto"/>
              <w:ind w:left="153"/>
              <w:rPr>
                <w:sz w:val="19"/>
                <w:szCs w:val="19"/>
              </w:rPr>
            </w:pPr>
            <w:r>
              <w:rPr>
                <w:b/>
                <w:bCs/>
                <w:spacing w:val="-2"/>
                <w:sz w:val="19"/>
                <w:szCs w:val="19"/>
              </w:rPr>
              <w:t>卡</w:t>
            </w:r>
          </w:p>
        </w:tc>
        <w:tc>
          <w:tcPr>
            <w:tcW w:w="1049" w:type="dxa"/>
            <w:vAlign w:val="top"/>
          </w:tcPr>
          <w:p w14:paraId="4A0CB724">
            <w:pPr>
              <w:rPr>
                <w:rFonts w:ascii="Arial"/>
                <w:sz w:val="21"/>
              </w:rPr>
            </w:pPr>
          </w:p>
        </w:tc>
        <w:tc>
          <w:tcPr>
            <w:tcW w:w="3566" w:type="dxa"/>
            <w:vAlign w:val="top"/>
          </w:tcPr>
          <w:p w14:paraId="6C0F7184">
            <w:pPr>
              <w:pStyle w:val="6"/>
              <w:spacing w:before="46" w:line="414" w:lineRule="auto"/>
              <w:ind w:left="15"/>
              <w:rPr>
                <w:sz w:val="19"/>
                <w:szCs w:val="19"/>
              </w:rPr>
            </w:pPr>
            <w:r>
              <w:rPr>
                <w:b/>
                <w:bCs/>
                <w:spacing w:val="-19"/>
                <w:w w:val="98"/>
                <w:sz w:val="19"/>
                <w:szCs w:val="19"/>
              </w:rPr>
              <w:t>8.协助病人取合适体位，使注射部位肌肉放松。</w:t>
            </w:r>
            <w:r>
              <w:rPr>
                <w:spacing w:val="3"/>
                <w:sz w:val="19"/>
                <w:szCs w:val="19"/>
              </w:rPr>
              <w:t xml:space="preserve"> </w:t>
            </w:r>
            <w:r>
              <w:rPr>
                <w:b/>
                <w:bCs/>
                <w:spacing w:val="-6"/>
                <w:sz w:val="19"/>
                <w:szCs w:val="19"/>
              </w:rPr>
              <w:t>9.常规消毒皮肤，范围直径大于5cm。</w:t>
            </w:r>
          </w:p>
          <w:p w14:paraId="123BBDAC">
            <w:pPr>
              <w:pStyle w:val="6"/>
              <w:spacing w:before="36" w:line="212" w:lineRule="auto"/>
              <w:ind w:left="15" w:right="26" w:firstLine="20"/>
              <w:rPr>
                <w:sz w:val="19"/>
                <w:szCs w:val="19"/>
              </w:rPr>
            </w:pPr>
            <w:r>
              <w:rPr>
                <w:b/>
                <w:bCs/>
                <w:spacing w:val="-4"/>
                <w:sz w:val="19"/>
                <w:szCs w:val="19"/>
              </w:rPr>
              <w:t>10.注射前查对，确认无误，并排尽注射器</w:t>
            </w:r>
            <w:r>
              <w:rPr>
                <w:spacing w:val="17"/>
                <w:sz w:val="19"/>
                <w:szCs w:val="19"/>
              </w:rPr>
              <w:t xml:space="preserve"> </w:t>
            </w:r>
            <w:r>
              <w:rPr>
                <w:b/>
                <w:bCs/>
                <w:spacing w:val="-4"/>
                <w:sz w:val="19"/>
                <w:szCs w:val="19"/>
              </w:rPr>
              <w:t>内空气。</w:t>
            </w:r>
          </w:p>
          <w:p w14:paraId="39D086F7">
            <w:pPr>
              <w:spacing w:line="381" w:lineRule="auto"/>
              <w:rPr>
                <w:rFonts w:ascii="Arial"/>
                <w:sz w:val="21"/>
              </w:rPr>
            </w:pPr>
          </w:p>
          <w:p w14:paraId="3DAB59BE">
            <w:pPr>
              <w:pStyle w:val="6"/>
              <w:spacing w:before="61" w:line="208" w:lineRule="auto"/>
              <w:ind w:left="15" w:firstLine="19"/>
              <w:rPr>
                <w:sz w:val="19"/>
                <w:szCs w:val="19"/>
              </w:rPr>
            </w:pPr>
            <w:r>
              <w:rPr>
                <w:b/>
                <w:bCs/>
                <w:spacing w:val="-3"/>
                <w:sz w:val="19"/>
                <w:szCs w:val="19"/>
              </w:rPr>
              <w:t>11.进针：指导病人放松，左手拇指、食指</w:t>
            </w:r>
            <w:r>
              <w:rPr>
                <w:spacing w:val="6"/>
                <w:sz w:val="19"/>
                <w:szCs w:val="19"/>
              </w:rPr>
              <w:t xml:space="preserve"> </w:t>
            </w:r>
            <w:r>
              <w:rPr>
                <w:b/>
                <w:bCs/>
                <w:spacing w:val="-6"/>
                <w:sz w:val="19"/>
                <w:szCs w:val="19"/>
              </w:rPr>
              <w:t>绷紧局部皮肤，右手以持笔式持注射器，中</w:t>
            </w:r>
            <w:r>
              <w:rPr>
                <w:spacing w:val="5"/>
                <w:sz w:val="19"/>
                <w:szCs w:val="19"/>
              </w:rPr>
              <w:t xml:space="preserve"> </w:t>
            </w:r>
            <w:r>
              <w:rPr>
                <w:b/>
                <w:bCs/>
                <w:spacing w:val="-2"/>
                <w:sz w:val="19"/>
                <w:szCs w:val="19"/>
              </w:rPr>
              <w:t>指固定针栓，用前臂带动腕部的力量，将</w:t>
            </w:r>
            <w:r>
              <w:rPr>
                <w:spacing w:val="2"/>
                <w:sz w:val="19"/>
                <w:szCs w:val="19"/>
              </w:rPr>
              <w:t xml:space="preserve">  </w:t>
            </w:r>
            <w:r>
              <w:rPr>
                <w:b/>
                <w:bCs/>
                <w:spacing w:val="-3"/>
                <w:sz w:val="19"/>
                <w:szCs w:val="19"/>
              </w:rPr>
              <w:t>针头迅速垂直刺入肌内2.5-3cm(针梗的</w:t>
            </w:r>
          </w:p>
          <w:p w14:paraId="53F1AA71">
            <w:pPr>
              <w:pStyle w:val="6"/>
              <w:spacing w:line="216" w:lineRule="auto"/>
              <w:ind w:left="15"/>
              <w:rPr>
                <w:sz w:val="19"/>
                <w:szCs w:val="19"/>
              </w:rPr>
            </w:pPr>
            <w:r>
              <w:rPr>
                <w:b/>
                <w:bCs/>
                <w:spacing w:val="-3"/>
                <w:sz w:val="19"/>
                <w:szCs w:val="19"/>
              </w:rPr>
              <w:t>2/3,消瘦者及小儿酌减)。</w:t>
            </w:r>
          </w:p>
          <w:p w14:paraId="7901FB4E">
            <w:pPr>
              <w:pStyle w:val="6"/>
              <w:spacing w:before="11" w:line="226" w:lineRule="auto"/>
              <w:ind w:left="15" w:right="3" w:firstLine="20"/>
              <w:rPr>
                <w:sz w:val="19"/>
                <w:szCs w:val="19"/>
              </w:rPr>
            </w:pPr>
            <w:r>
              <w:rPr>
                <w:b/>
                <w:bCs/>
                <w:spacing w:val="-2"/>
                <w:sz w:val="19"/>
                <w:szCs w:val="19"/>
              </w:rPr>
              <w:t>12.注药：松开左手，抽动活塞，右手固定</w:t>
            </w:r>
            <w:r>
              <w:rPr>
                <w:spacing w:val="1"/>
                <w:sz w:val="19"/>
                <w:szCs w:val="19"/>
              </w:rPr>
              <w:t xml:space="preserve"> </w:t>
            </w:r>
            <w:r>
              <w:rPr>
                <w:b/>
                <w:bCs/>
                <w:spacing w:val="-3"/>
                <w:sz w:val="19"/>
                <w:szCs w:val="19"/>
              </w:rPr>
              <w:t>针栓，回抽无回血，缓慢注入药物。</w:t>
            </w:r>
          </w:p>
          <w:p w14:paraId="5468050F">
            <w:pPr>
              <w:spacing w:line="359" w:lineRule="auto"/>
              <w:rPr>
                <w:rFonts w:ascii="Arial"/>
                <w:sz w:val="21"/>
              </w:rPr>
            </w:pPr>
          </w:p>
          <w:p w14:paraId="4BE8DFBD">
            <w:pPr>
              <w:pStyle w:val="6"/>
              <w:spacing w:before="62" w:line="214" w:lineRule="auto"/>
              <w:ind w:left="15" w:firstLine="20"/>
              <w:jc w:val="both"/>
              <w:rPr>
                <w:sz w:val="19"/>
                <w:szCs w:val="19"/>
              </w:rPr>
            </w:pPr>
            <w:r>
              <w:rPr>
                <w:b/>
                <w:bCs/>
                <w:spacing w:val="-4"/>
                <w:sz w:val="19"/>
                <w:szCs w:val="19"/>
              </w:rPr>
              <w:t>13.拔针：注射完毕左手用干无菌棉签轻压</w:t>
            </w:r>
            <w:r>
              <w:rPr>
                <w:spacing w:val="13"/>
                <w:sz w:val="19"/>
                <w:szCs w:val="19"/>
              </w:rPr>
              <w:t xml:space="preserve"> </w:t>
            </w:r>
            <w:r>
              <w:rPr>
                <w:b/>
                <w:bCs/>
                <w:spacing w:val="-6"/>
                <w:sz w:val="19"/>
                <w:szCs w:val="19"/>
              </w:rPr>
              <w:t>进针处，右手快速拔针。轻压片刻，压迫至</w:t>
            </w:r>
            <w:r>
              <w:rPr>
                <w:spacing w:val="5"/>
                <w:sz w:val="19"/>
                <w:szCs w:val="19"/>
              </w:rPr>
              <w:t xml:space="preserve"> </w:t>
            </w:r>
            <w:r>
              <w:rPr>
                <w:b/>
                <w:bCs/>
                <w:spacing w:val="-4"/>
                <w:sz w:val="19"/>
                <w:szCs w:val="19"/>
              </w:rPr>
              <w:t>不出血即可。</w:t>
            </w:r>
          </w:p>
          <w:p w14:paraId="6BBE755A">
            <w:pPr>
              <w:pStyle w:val="6"/>
              <w:spacing w:line="219" w:lineRule="auto"/>
              <w:ind w:left="15"/>
              <w:rPr>
                <w:sz w:val="19"/>
                <w:szCs w:val="19"/>
              </w:rPr>
            </w:pPr>
            <w:r>
              <w:rPr>
                <w:b/>
                <w:bCs/>
                <w:spacing w:val="-3"/>
                <w:sz w:val="19"/>
                <w:szCs w:val="19"/>
              </w:rPr>
              <w:t>14.再次核对，确认无误。</w:t>
            </w:r>
          </w:p>
          <w:p w14:paraId="2A49185B">
            <w:pPr>
              <w:pStyle w:val="6"/>
              <w:spacing w:before="215" w:line="219" w:lineRule="auto"/>
              <w:ind w:left="15"/>
              <w:rPr>
                <w:sz w:val="19"/>
                <w:szCs w:val="19"/>
              </w:rPr>
            </w:pPr>
            <w:r>
              <w:rPr>
                <w:b/>
                <w:bCs/>
                <w:spacing w:val="-3"/>
                <w:sz w:val="19"/>
                <w:szCs w:val="19"/>
              </w:rPr>
              <w:t>15.询问病人对操作的感受。</w:t>
            </w:r>
          </w:p>
          <w:p w14:paraId="04E0014A">
            <w:pPr>
              <w:pStyle w:val="6"/>
              <w:spacing w:before="203" w:line="435" w:lineRule="auto"/>
              <w:ind w:left="15" w:firstLine="19"/>
              <w:rPr>
                <w:sz w:val="19"/>
                <w:szCs w:val="19"/>
              </w:rPr>
            </w:pPr>
            <w:r>
              <w:rPr>
                <w:b/>
                <w:bCs/>
                <w:spacing w:val="-19"/>
                <w:sz w:val="19"/>
                <w:szCs w:val="19"/>
              </w:rPr>
              <w:t>16.协助病人取舒适体位，整理床单位和用</w:t>
            </w:r>
            <w:r>
              <w:rPr>
                <w:b/>
                <w:bCs/>
                <w:spacing w:val="-20"/>
                <w:sz w:val="19"/>
                <w:szCs w:val="19"/>
              </w:rPr>
              <w:t>物。</w:t>
            </w:r>
            <w:r>
              <w:rPr>
                <w:sz w:val="19"/>
                <w:szCs w:val="19"/>
              </w:rPr>
              <w:t xml:space="preserve"> </w:t>
            </w:r>
            <w:r>
              <w:rPr>
                <w:b/>
                <w:bCs/>
                <w:spacing w:val="-6"/>
                <w:sz w:val="19"/>
                <w:szCs w:val="19"/>
              </w:rPr>
              <w:t>17.洗手、记录。</w:t>
            </w:r>
          </w:p>
        </w:tc>
        <w:tc>
          <w:tcPr>
            <w:tcW w:w="2277" w:type="dxa"/>
            <w:vAlign w:val="top"/>
          </w:tcPr>
          <w:p w14:paraId="2CBE99CC">
            <w:pPr>
              <w:pStyle w:val="6"/>
              <w:spacing w:before="46" w:line="219" w:lineRule="auto"/>
              <w:ind w:left="19"/>
              <w:rPr>
                <w:sz w:val="19"/>
                <w:szCs w:val="19"/>
              </w:rPr>
            </w:pPr>
            <w:r>
              <w:rPr>
                <w:b/>
                <w:bCs/>
                <w:spacing w:val="-3"/>
                <w:sz w:val="19"/>
                <w:szCs w:val="19"/>
              </w:rPr>
              <w:t>8.分值3分(体位不舒适，</w:t>
            </w:r>
          </w:p>
          <w:p w14:paraId="52E4D1A6">
            <w:pPr>
              <w:pStyle w:val="6"/>
              <w:spacing w:before="14" w:line="194" w:lineRule="auto"/>
              <w:ind w:left="19"/>
              <w:rPr>
                <w:sz w:val="19"/>
                <w:szCs w:val="19"/>
              </w:rPr>
            </w:pPr>
            <w:r>
              <w:rPr>
                <w:b/>
                <w:bCs/>
                <w:spacing w:val="1"/>
                <w:sz w:val="19"/>
                <w:szCs w:val="19"/>
              </w:rPr>
              <w:t>不利于肌肉放松扣2分)</w:t>
            </w:r>
          </w:p>
          <w:p w14:paraId="5E158F0A">
            <w:pPr>
              <w:pStyle w:val="6"/>
              <w:spacing w:line="217" w:lineRule="auto"/>
              <w:ind w:left="19" w:right="144"/>
              <w:rPr>
                <w:sz w:val="19"/>
                <w:szCs w:val="19"/>
              </w:rPr>
            </w:pPr>
            <w:r>
              <w:rPr>
                <w:b/>
                <w:bCs/>
                <w:spacing w:val="-2"/>
                <w:sz w:val="19"/>
                <w:szCs w:val="19"/>
              </w:rPr>
              <w:t>9.分值4分(消毒皮肤范围</w:t>
            </w:r>
            <w:r>
              <w:rPr>
                <w:spacing w:val="11"/>
                <w:sz w:val="19"/>
                <w:szCs w:val="19"/>
              </w:rPr>
              <w:t xml:space="preserve"> </w:t>
            </w:r>
            <w:r>
              <w:rPr>
                <w:b/>
                <w:bCs/>
                <w:spacing w:val="1"/>
                <w:sz w:val="19"/>
                <w:szCs w:val="19"/>
              </w:rPr>
              <w:t>及方法不正确各扣2分)</w:t>
            </w:r>
          </w:p>
          <w:p w14:paraId="53EE1CF3">
            <w:pPr>
              <w:pStyle w:val="6"/>
              <w:spacing w:before="3" w:line="213" w:lineRule="auto"/>
              <w:ind w:left="19" w:right="65"/>
              <w:rPr>
                <w:sz w:val="19"/>
                <w:szCs w:val="19"/>
              </w:rPr>
            </w:pPr>
            <w:r>
              <w:rPr>
                <w:b/>
                <w:bCs/>
                <w:spacing w:val="-2"/>
                <w:sz w:val="19"/>
                <w:szCs w:val="19"/>
              </w:rPr>
              <w:t>10.分值12分(未再次核对</w:t>
            </w:r>
            <w:r>
              <w:rPr>
                <w:sz w:val="19"/>
                <w:szCs w:val="19"/>
              </w:rPr>
              <w:t xml:space="preserve">  </w:t>
            </w:r>
            <w:r>
              <w:rPr>
                <w:b/>
                <w:bCs/>
                <w:spacing w:val="-3"/>
                <w:sz w:val="19"/>
                <w:szCs w:val="19"/>
              </w:rPr>
              <w:t>扣5分。排气方法不正确或</w:t>
            </w:r>
            <w:r>
              <w:rPr>
                <w:sz w:val="19"/>
                <w:szCs w:val="19"/>
              </w:rPr>
              <w:t xml:space="preserve"> </w:t>
            </w:r>
            <w:r>
              <w:rPr>
                <w:b/>
                <w:bCs/>
                <w:spacing w:val="-3"/>
                <w:sz w:val="19"/>
                <w:szCs w:val="19"/>
              </w:rPr>
              <w:t>空气未排尽各扣3分；污染</w:t>
            </w:r>
            <w:r>
              <w:rPr>
                <w:spacing w:val="7"/>
                <w:sz w:val="19"/>
                <w:szCs w:val="19"/>
              </w:rPr>
              <w:t xml:space="preserve"> </w:t>
            </w:r>
            <w:r>
              <w:rPr>
                <w:b/>
                <w:bCs/>
                <w:spacing w:val="1"/>
                <w:sz w:val="19"/>
                <w:szCs w:val="19"/>
              </w:rPr>
              <w:t>和浪费药液各扣2分)</w:t>
            </w:r>
          </w:p>
          <w:p w14:paraId="34AB9F2F">
            <w:pPr>
              <w:pStyle w:val="6"/>
              <w:spacing w:before="2" w:line="211" w:lineRule="auto"/>
              <w:ind w:left="19"/>
              <w:rPr>
                <w:sz w:val="19"/>
                <w:szCs w:val="19"/>
              </w:rPr>
            </w:pPr>
            <w:r>
              <w:rPr>
                <w:b/>
                <w:bCs/>
                <w:spacing w:val="-5"/>
                <w:sz w:val="19"/>
                <w:szCs w:val="19"/>
              </w:rPr>
              <w:t>11.分值15分(未绷紧皮肤、</w:t>
            </w:r>
            <w:r>
              <w:rPr>
                <w:spacing w:val="11"/>
                <w:sz w:val="19"/>
                <w:szCs w:val="19"/>
              </w:rPr>
              <w:t xml:space="preserve"> </w:t>
            </w:r>
            <w:r>
              <w:rPr>
                <w:b/>
                <w:bCs/>
                <w:spacing w:val="-11"/>
                <w:sz w:val="19"/>
                <w:szCs w:val="19"/>
              </w:rPr>
              <w:t>进针角度、手法不正确、进</w:t>
            </w:r>
          </w:p>
          <w:p w14:paraId="04CCEFB1">
            <w:pPr>
              <w:pStyle w:val="6"/>
              <w:spacing w:before="7" w:line="207" w:lineRule="auto"/>
              <w:ind w:left="19" w:right="924"/>
              <w:rPr>
                <w:sz w:val="19"/>
                <w:szCs w:val="19"/>
              </w:rPr>
            </w:pPr>
            <w:r>
              <w:rPr>
                <w:b/>
                <w:bCs/>
                <w:spacing w:val="-4"/>
                <w:sz w:val="19"/>
                <w:szCs w:val="19"/>
              </w:rPr>
              <w:t>针过深或过浅各</w:t>
            </w:r>
            <w:r>
              <w:rPr>
                <w:spacing w:val="5"/>
                <w:sz w:val="19"/>
                <w:szCs w:val="19"/>
              </w:rPr>
              <w:t xml:space="preserve"> </w:t>
            </w:r>
            <w:r>
              <w:rPr>
                <w:b/>
                <w:bCs/>
                <w:spacing w:val="7"/>
                <w:sz w:val="19"/>
                <w:szCs w:val="19"/>
              </w:rPr>
              <w:t>扣3分)</w:t>
            </w:r>
          </w:p>
          <w:p w14:paraId="057F650A">
            <w:pPr>
              <w:pStyle w:val="6"/>
              <w:spacing w:before="223" w:line="213" w:lineRule="auto"/>
              <w:ind w:left="19" w:right="50"/>
              <w:jc w:val="both"/>
              <w:rPr>
                <w:sz w:val="19"/>
                <w:szCs w:val="19"/>
              </w:rPr>
            </w:pPr>
            <w:r>
              <w:rPr>
                <w:b/>
                <w:bCs/>
                <w:spacing w:val="-1"/>
                <w:sz w:val="19"/>
                <w:szCs w:val="19"/>
              </w:rPr>
              <w:t>12.分值12分(注药前不回</w:t>
            </w:r>
            <w:r>
              <w:rPr>
                <w:sz w:val="19"/>
                <w:szCs w:val="19"/>
              </w:rPr>
              <w:t xml:space="preserve">  </w:t>
            </w:r>
            <w:r>
              <w:rPr>
                <w:b/>
                <w:bCs/>
                <w:spacing w:val="-3"/>
                <w:sz w:val="19"/>
                <w:szCs w:val="19"/>
              </w:rPr>
              <w:t>抽或回抽有血各扣3分；不</w:t>
            </w:r>
            <w:r>
              <w:rPr>
                <w:spacing w:val="4"/>
                <w:sz w:val="19"/>
                <w:szCs w:val="19"/>
              </w:rPr>
              <w:t xml:space="preserve"> </w:t>
            </w:r>
            <w:r>
              <w:rPr>
                <w:b/>
                <w:bCs/>
                <w:spacing w:val="-2"/>
                <w:sz w:val="19"/>
                <w:szCs w:val="19"/>
              </w:rPr>
              <w:t>固定针栓，速度不当各扣3</w:t>
            </w:r>
            <w:r>
              <w:rPr>
                <w:spacing w:val="10"/>
                <w:sz w:val="19"/>
                <w:szCs w:val="19"/>
              </w:rPr>
              <w:t xml:space="preserve"> </w:t>
            </w:r>
            <w:r>
              <w:rPr>
                <w:b/>
                <w:bCs/>
                <w:spacing w:val="18"/>
                <w:sz w:val="19"/>
                <w:szCs w:val="19"/>
              </w:rPr>
              <w:t>分)</w:t>
            </w:r>
          </w:p>
          <w:p w14:paraId="6A209122">
            <w:pPr>
              <w:pStyle w:val="6"/>
              <w:spacing w:before="12" w:line="217" w:lineRule="auto"/>
              <w:ind w:left="19" w:right="39" w:firstLine="10"/>
              <w:rPr>
                <w:sz w:val="19"/>
                <w:szCs w:val="19"/>
              </w:rPr>
            </w:pPr>
            <w:r>
              <w:rPr>
                <w:b/>
                <w:bCs/>
                <w:spacing w:val="-2"/>
                <w:sz w:val="19"/>
                <w:szCs w:val="19"/>
              </w:rPr>
              <w:t>13.分值8分(拔针慢、不用</w:t>
            </w:r>
            <w:r>
              <w:rPr>
                <w:spacing w:val="11"/>
                <w:sz w:val="19"/>
                <w:szCs w:val="19"/>
              </w:rPr>
              <w:t xml:space="preserve"> </w:t>
            </w:r>
            <w:r>
              <w:rPr>
                <w:b/>
                <w:bCs/>
                <w:spacing w:val="1"/>
                <w:sz w:val="19"/>
                <w:szCs w:val="19"/>
              </w:rPr>
              <w:t>棉签按压进针处各扣4分)</w:t>
            </w:r>
          </w:p>
          <w:p w14:paraId="2374B129">
            <w:pPr>
              <w:pStyle w:val="6"/>
              <w:spacing w:before="214" w:line="213" w:lineRule="auto"/>
              <w:ind w:left="19" w:right="253"/>
              <w:rPr>
                <w:sz w:val="19"/>
                <w:szCs w:val="19"/>
              </w:rPr>
            </w:pPr>
            <w:r>
              <w:rPr>
                <w:b/>
                <w:bCs/>
                <w:spacing w:val="-3"/>
                <w:sz w:val="19"/>
                <w:szCs w:val="19"/>
              </w:rPr>
              <w:t>14.分值5分(操作后不查</w:t>
            </w:r>
            <w:r>
              <w:rPr>
                <w:spacing w:val="11"/>
                <w:sz w:val="19"/>
                <w:szCs w:val="19"/>
              </w:rPr>
              <w:t xml:space="preserve"> </w:t>
            </w:r>
            <w:r>
              <w:rPr>
                <w:b/>
                <w:bCs/>
                <w:spacing w:val="5"/>
                <w:sz w:val="19"/>
                <w:szCs w:val="19"/>
              </w:rPr>
              <w:t>对扣5分)</w:t>
            </w:r>
          </w:p>
          <w:p w14:paraId="7B5521E9">
            <w:pPr>
              <w:pStyle w:val="6"/>
              <w:spacing w:before="2" w:line="209" w:lineRule="auto"/>
              <w:ind w:left="19" w:right="31"/>
              <w:rPr>
                <w:sz w:val="19"/>
                <w:szCs w:val="19"/>
              </w:rPr>
            </w:pPr>
            <w:r>
              <w:rPr>
                <w:b/>
                <w:bCs/>
                <w:sz w:val="19"/>
                <w:szCs w:val="19"/>
              </w:rPr>
              <w:t>15.分值5分(未评估扣5分)</w:t>
            </w:r>
            <w:r>
              <w:rPr>
                <w:sz w:val="19"/>
                <w:szCs w:val="19"/>
              </w:rPr>
              <w:t xml:space="preserve"> </w:t>
            </w:r>
            <w:r>
              <w:rPr>
                <w:b/>
                <w:bCs/>
                <w:spacing w:val="-4"/>
                <w:sz w:val="19"/>
                <w:szCs w:val="19"/>
              </w:rPr>
              <w:t>16.分值4分(体位不舒适</w:t>
            </w:r>
          </w:p>
          <w:p w14:paraId="44869BB9">
            <w:pPr>
              <w:pStyle w:val="6"/>
              <w:spacing w:line="212" w:lineRule="auto"/>
              <w:ind w:left="19" w:right="167"/>
              <w:rPr>
                <w:sz w:val="19"/>
                <w:szCs w:val="19"/>
              </w:rPr>
            </w:pPr>
            <w:r>
              <w:rPr>
                <w:b/>
                <w:bCs/>
                <w:spacing w:val="-3"/>
                <w:sz w:val="19"/>
                <w:szCs w:val="19"/>
              </w:rPr>
              <w:t>扣2分，用物处理不当扣2</w:t>
            </w:r>
            <w:r>
              <w:rPr>
                <w:sz w:val="19"/>
                <w:szCs w:val="19"/>
              </w:rPr>
              <w:t xml:space="preserve"> </w:t>
            </w:r>
            <w:r>
              <w:rPr>
                <w:b/>
                <w:bCs/>
                <w:spacing w:val="13"/>
                <w:sz w:val="19"/>
                <w:szCs w:val="19"/>
              </w:rPr>
              <w:t>分)</w:t>
            </w:r>
          </w:p>
          <w:p w14:paraId="41BFB617">
            <w:pPr>
              <w:pStyle w:val="6"/>
              <w:spacing w:before="3" w:line="218" w:lineRule="auto"/>
              <w:ind w:left="19" w:firstLine="9"/>
              <w:rPr>
                <w:sz w:val="19"/>
                <w:szCs w:val="19"/>
              </w:rPr>
            </w:pPr>
            <w:r>
              <w:rPr>
                <w:b/>
                <w:bCs/>
                <w:spacing w:val="-5"/>
                <w:sz w:val="19"/>
                <w:szCs w:val="19"/>
              </w:rPr>
              <w:t>17.分值5分(未洗手扣3分。</w:t>
            </w:r>
            <w:r>
              <w:rPr>
                <w:spacing w:val="1"/>
                <w:sz w:val="19"/>
                <w:szCs w:val="19"/>
              </w:rPr>
              <w:t xml:space="preserve"> </w:t>
            </w:r>
            <w:r>
              <w:rPr>
                <w:b/>
                <w:bCs/>
                <w:sz w:val="19"/>
                <w:szCs w:val="19"/>
              </w:rPr>
              <w:t>未记录扣2分)</w:t>
            </w:r>
          </w:p>
          <w:p w14:paraId="69DBAA1E">
            <w:pPr>
              <w:pStyle w:val="6"/>
              <w:spacing w:before="1" w:line="216" w:lineRule="auto"/>
              <w:ind w:left="19" w:right="80"/>
              <w:jc w:val="both"/>
              <w:rPr>
                <w:sz w:val="19"/>
                <w:szCs w:val="19"/>
              </w:rPr>
            </w:pPr>
            <w:r>
              <w:rPr>
                <w:b/>
                <w:bCs/>
                <w:spacing w:val="-4"/>
                <w:sz w:val="19"/>
                <w:szCs w:val="19"/>
              </w:rPr>
              <w:t>18.操作后评价：分值13分</w:t>
            </w:r>
            <w:r>
              <w:rPr>
                <w:spacing w:val="5"/>
                <w:sz w:val="19"/>
                <w:szCs w:val="19"/>
              </w:rPr>
              <w:t xml:space="preserve"> </w:t>
            </w:r>
            <w:r>
              <w:rPr>
                <w:b/>
                <w:bCs/>
                <w:spacing w:val="4"/>
                <w:sz w:val="19"/>
                <w:szCs w:val="19"/>
              </w:rPr>
              <w:t>(查对不严格扣7分；无菌</w:t>
            </w:r>
            <w:r>
              <w:rPr>
                <w:spacing w:val="3"/>
                <w:sz w:val="19"/>
                <w:szCs w:val="19"/>
              </w:rPr>
              <w:t xml:space="preserve"> </w:t>
            </w:r>
            <w:r>
              <w:rPr>
                <w:b/>
                <w:bCs/>
                <w:spacing w:val="2"/>
                <w:sz w:val="19"/>
                <w:szCs w:val="19"/>
              </w:rPr>
              <w:t>观念不强扣6分)</w:t>
            </w:r>
          </w:p>
        </w:tc>
        <w:tc>
          <w:tcPr>
            <w:tcW w:w="844" w:type="dxa"/>
            <w:vAlign w:val="top"/>
          </w:tcPr>
          <w:p w14:paraId="0B14EE62">
            <w:pPr>
              <w:rPr>
                <w:rFonts w:ascii="Arial"/>
                <w:sz w:val="21"/>
              </w:rPr>
            </w:pPr>
          </w:p>
        </w:tc>
      </w:tr>
    </w:tbl>
    <w:p w14:paraId="0C6DDF68">
      <w:pPr>
        <w:pStyle w:val="2"/>
      </w:pPr>
    </w:p>
    <w:p w14:paraId="6719E9B1">
      <w:pPr>
        <w:sectPr>
          <w:footerReference r:id="rId143" w:type="default"/>
          <w:pgSz w:w="10660" w:h="15080"/>
          <w:pgMar w:top="400" w:right="905" w:bottom="912" w:left="1024" w:header="0" w:footer="741" w:gutter="0"/>
          <w:cols w:space="720" w:num="1"/>
        </w:sectPr>
      </w:pPr>
    </w:p>
    <w:p w14:paraId="689314C9">
      <w:pPr>
        <w:spacing w:before="76"/>
      </w:pPr>
    </w:p>
    <w:p w14:paraId="44C68C4E">
      <w:pPr>
        <w:spacing w:before="76"/>
      </w:pPr>
    </w:p>
    <w:p w14:paraId="7C137701">
      <w:pPr>
        <w:spacing w:before="75"/>
      </w:pPr>
    </w:p>
    <w:p w14:paraId="6B0C302A">
      <w:pPr>
        <w:sectPr>
          <w:footerReference r:id="rId144" w:type="default"/>
          <w:pgSz w:w="10660" w:h="15080"/>
          <w:pgMar w:top="400" w:right="1045" w:bottom="898" w:left="809" w:header="0" w:footer="745" w:gutter="0"/>
          <w:cols w:equalWidth="0" w:num="1">
            <w:col w:w="8806"/>
          </w:cols>
        </w:sectPr>
      </w:pPr>
    </w:p>
    <w:p w14:paraId="344F1900">
      <w:pPr>
        <w:spacing w:before="55" w:line="219" w:lineRule="auto"/>
        <w:ind w:left="413"/>
        <w:rPr>
          <w:rFonts w:ascii="宋体" w:hAnsi="宋体" w:eastAsia="宋体" w:cs="宋体"/>
          <w:sz w:val="27"/>
          <w:szCs w:val="27"/>
        </w:rPr>
      </w:pPr>
      <w:r>
        <w:rPr>
          <w:rFonts w:ascii="宋体" w:hAnsi="宋体" w:eastAsia="宋体" w:cs="宋体"/>
          <w:b/>
          <w:bCs/>
          <w:spacing w:val="18"/>
          <w:sz w:val="27"/>
          <w:szCs w:val="27"/>
        </w:rPr>
        <w:t>文化艺术大类(表演艺术类)</w:t>
      </w:r>
    </w:p>
    <w:p w14:paraId="7836461E">
      <w:pPr>
        <w:spacing w:before="77" w:line="221" w:lineRule="auto"/>
        <w:ind w:left="1113"/>
        <w:outlineLvl w:val="0"/>
        <w:rPr>
          <w:rFonts w:ascii="黑体" w:hAnsi="黑体" w:eastAsia="黑体" w:cs="黑体"/>
          <w:sz w:val="27"/>
          <w:szCs w:val="27"/>
        </w:rPr>
      </w:pPr>
      <w:bookmarkStart w:id="67" w:name="bookmark24"/>
      <w:bookmarkEnd w:id="67"/>
      <w:r>
        <w:rPr>
          <w:rFonts w:ascii="黑体" w:hAnsi="黑体" w:eastAsia="黑体" w:cs="黑体"/>
          <w:b/>
          <w:bCs/>
          <w:spacing w:val="1"/>
          <w:sz w:val="27"/>
          <w:szCs w:val="27"/>
        </w:rPr>
        <w:t>专业技能测试纲要</w:t>
      </w:r>
    </w:p>
    <w:p w14:paraId="635F3A0A">
      <w:pPr>
        <w:pStyle w:val="2"/>
        <w:spacing w:line="309" w:lineRule="auto"/>
      </w:pPr>
    </w:p>
    <w:p w14:paraId="4510AB83">
      <w:pPr>
        <w:spacing w:before="75" w:line="221" w:lineRule="auto"/>
        <w:ind w:left="713"/>
        <w:rPr>
          <w:rFonts w:ascii="黑体" w:hAnsi="黑体" w:eastAsia="黑体" w:cs="黑体"/>
          <w:sz w:val="23"/>
          <w:szCs w:val="23"/>
        </w:rPr>
      </w:pPr>
      <w:r>
        <w:rPr>
          <w:rFonts w:ascii="黑体" w:hAnsi="黑体" w:eastAsia="黑体" w:cs="黑体"/>
          <w:b/>
          <w:bCs/>
          <w:spacing w:val="7"/>
          <w:sz w:val="23"/>
          <w:szCs w:val="23"/>
        </w:rPr>
        <w:t>第一部分戏剧影视表演方向</w:t>
      </w:r>
    </w:p>
    <w:p w14:paraId="4A4C521C">
      <w:pPr>
        <w:pStyle w:val="2"/>
        <w:spacing w:line="268" w:lineRule="auto"/>
      </w:pPr>
    </w:p>
    <w:p w14:paraId="62AFCA6C">
      <w:pPr>
        <w:pStyle w:val="2"/>
        <w:spacing w:line="268" w:lineRule="auto"/>
      </w:pPr>
    </w:p>
    <w:p w14:paraId="374664D2">
      <w:pPr>
        <w:pStyle w:val="2"/>
        <w:spacing w:line="268" w:lineRule="auto"/>
      </w:pPr>
    </w:p>
    <w:p w14:paraId="064B4E06">
      <w:pPr>
        <w:spacing w:before="75" w:line="221" w:lineRule="auto"/>
        <w:ind w:left="73"/>
        <w:rPr>
          <w:rFonts w:ascii="黑体" w:hAnsi="黑体" w:eastAsia="黑体" w:cs="黑体"/>
          <w:sz w:val="23"/>
          <w:szCs w:val="23"/>
        </w:rPr>
      </w:pPr>
      <w:r>
        <w:rPr>
          <w:rFonts w:ascii="黑体" w:hAnsi="黑体" w:eastAsia="黑体" w:cs="黑体"/>
          <w:b/>
          <w:bCs/>
          <w:spacing w:val="-6"/>
          <w:sz w:val="23"/>
          <w:szCs w:val="23"/>
        </w:rPr>
        <w:t>一、测试范围与内容</w:t>
      </w:r>
    </w:p>
    <w:p w14:paraId="3EB21594">
      <w:pPr>
        <w:spacing w:before="88" w:line="301" w:lineRule="auto"/>
        <w:ind w:left="70" w:right="362" w:firstLine="340"/>
        <w:rPr>
          <w:rFonts w:ascii="宋体" w:hAnsi="宋体" w:eastAsia="宋体" w:cs="宋体"/>
          <w:sz w:val="17"/>
          <w:szCs w:val="17"/>
        </w:rPr>
      </w:pPr>
      <w:r>
        <w:rPr>
          <w:rFonts w:ascii="宋体" w:hAnsi="宋体" w:eastAsia="宋体" w:cs="宋体"/>
          <w:spacing w:val="9"/>
          <w:sz w:val="17"/>
          <w:szCs w:val="17"/>
        </w:rPr>
        <w:t>戏剧影视表演(对口招生)专业不单独设置专业基</w:t>
      </w:r>
      <w:r>
        <w:rPr>
          <w:rFonts w:ascii="宋体" w:hAnsi="宋体" w:eastAsia="宋体" w:cs="宋体"/>
          <w:spacing w:val="18"/>
          <w:sz w:val="17"/>
          <w:szCs w:val="17"/>
        </w:rPr>
        <w:t xml:space="preserve"> </w:t>
      </w:r>
      <w:r>
        <w:rPr>
          <w:rFonts w:ascii="宋体" w:hAnsi="宋体" w:eastAsia="宋体" w:cs="宋体"/>
          <w:spacing w:val="-2"/>
          <w:sz w:val="17"/>
          <w:szCs w:val="17"/>
        </w:rPr>
        <w:t>础理论知识考试，统一为专业实践技能测试。</w:t>
      </w:r>
    </w:p>
    <w:p w14:paraId="2797C39B">
      <w:pPr>
        <w:spacing w:before="22" w:line="221" w:lineRule="auto"/>
        <w:ind w:left="73"/>
        <w:rPr>
          <w:rFonts w:ascii="黑体" w:hAnsi="黑体" w:eastAsia="黑体" w:cs="黑体"/>
          <w:sz w:val="23"/>
          <w:szCs w:val="23"/>
        </w:rPr>
      </w:pPr>
      <w:r>
        <w:rPr>
          <w:rFonts w:ascii="黑体" w:hAnsi="黑体" w:eastAsia="黑体" w:cs="黑体"/>
          <w:b/>
          <w:bCs/>
          <w:spacing w:val="-9"/>
          <w:sz w:val="23"/>
          <w:szCs w:val="23"/>
        </w:rPr>
        <w:t>二、测试形式</w:t>
      </w:r>
    </w:p>
    <w:p w14:paraId="46352E73">
      <w:pPr>
        <w:spacing w:before="88" w:line="220" w:lineRule="auto"/>
        <w:ind w:left="410"/>
        <w:rPr>
          <w:rFonts w:ascii="宋体" w:hAnsi="宋体" w:eastAsia="宋体" w:cs="宋体"/>
          <w:sz w:val="17"/>
          <w:szCs w:val="17"/>
        </w:rPr>
      </w:pPr>
      <w:r>
        <w:rPr>
          <w:rFonts w:ascii="宋体" w:hAnsi="宋体" w:eastAsia="宋体" w:cs="宋体"/>
          <w:spacing w:val="15"/>
          <w:sz w:val="17"/>
          <w:szCs w:val="17"/>
        </w:rPr>
        <w:t>现场面试(一试)</w:t>
      </w:r>
    </w:p>
    <w:p w14:paraId="1C5C804C">
      <w:pPr>
        <w:spacing w:before="74" w:line="221" w:lineRule="auto"/>
        <w:ind w:left="73"/>
        <w:rPr>
          <w:rFonts w:ascii="黑体" w:hAnsi="黑体" w:eastAsia="黑体" w:cs="黑体"/>
          <w:sz w:val="23"/>
          <w:szCs w:val="23"/>
        </w:rPr>
      </w:pPr>
      <w:r>
        <w:rPr>
          <w:rFonts w:ascii="黑体" w:hAnsi="黑体" w:eastAsia="黑体" w:cs="黑体"/>
          <w:b/>
          <w:bCs/>
          <w:spacing w:val="-9"/>
          <w:sz w:val="23"/>
          <w:szCs w:val="23"/>
        </w:rPr>
        <w:t>三、测试安排</w:t>
      </w:r>
    </w:p>
    <w:p w14:paraId="3F4597F5">
      <w:pPr>
        <w:spacing w:before="88" w:line="219" w:lineRule="auto"/>
        <w:ind w:left="410"/>
        <w:rPr>
          <w:rFonts w:ascii="宋体" w:hAnsi="宋体" w:eastAsia="宋体" w:cs="宋体"/>
          <w:sz w:val="17"/>
          <w:szCs w:val="17"/>
        </w:rPr>
      </w:pPr>
      <w:r>
        <w:rPr>
          <w:rFonts w:ascii="宋体" w:hAnsi="宋体" w:eastAsia="宋体" w:cs="宋体"/>
          <w:spacing w:val="9"/>
          <w:sz w:val="17"/>
          <w:szCs w:val="17"/>
        </w:rPr>
        <w:t>测试共5项，总分为450分，主要考查考生表演基</w:t>
      </w:r>
    </w:p>
    <w:p w14:paraId="4F09BAB2">
      <w:pPr>
        <w:pStyle w:val="2"/>
        <w:spacing w:line="14" w:lineRule="auto"/>
        <w:rPr>
          <w:sz w:val="2"/>
        </w:rPr>
      </w:pPr>
      <w:r>
        <w:rPr>
          <w:sz w:val="2"/>
          <w:szCs w:val="2"/>
        </w:rPr>
        <w:br w:type="column"/>
      </w:r>
    </w:p>
    <w:p w14:paraId="72051104">
      <w:pPr>
        <w:spacing w:before="53" w:line="306" w:lineRule="auto"/>
        <w:ind w:right="10"/>
        <w:jc w:val="both"/>
        <w:rPr>
          <w:rFonts w:ascii="宋体" w:hAnsi="宋体" w:eastAsia="宋体" w:cs="宋体"/>
          <w:sz w:val="17"/>
          <w:szCs w:val="17"/>
        </w:rPr>
      </w:pPr>
      <w:r>
        <w:rPr>
          <w:rFonts w:ascii="宋体" w:hAnsi="宋体" w:eastAsia="宋体" w:cs="宋体"/>
          <w:spacing w:val="8"/>
          <w:sz w:val="17"/>
          <w:szCs w:val="17"/>
        </w:rPr>
        <w:t>本能力及综合素质，具体为目测(20分)、台词语言能</w:t>
      </w:r>
      <w:r>
        <w:rPr>
          <w:rFonts w:ascii="宋体" w:hAnsi="宋体" w:eastAsia="宋体" w:cs="宋体"/>
          <w:spacing w:val="17"/>
          <w:sz w:val="17"/>
          <w:szCs w:val="17"/>
        </w:rPr>
        <w:t xml:space="preserve"> </w:t>
      </w:r>
      <w:r>
        <w:rPr>
          <w:rFonts w:ascii="宋体" w:hAnsi="宋体" w:eastAsia="宋体" w:cs="宋体"/>
          <w:spacing w:val="18"/>
          <w:sz w:val="17"/>
          <w:szCs w:val="17"/>
        </w:rPr>
        <w:t>力测试(120分)、形体能力测试(80分)、声乐能力</w:t>
      </w:r>
      <w:r>
        <w:rPr>
          <w:rFonts w:ascii="宋体" w:hAnsi="宋体" w:eastAsia="宋体" w:cs="宋体"/>
          <w:spacing w:val="10"/>
          <w:sz w:val="17"/>
          <w:szCs w:val="17"/>
        </w:rPr>
        <w:t xml:space="preserve"> </w:t>
      </w:r>
      <w:r>
        <w:rPr>
          <w:rFonts w:ascii="宋体" w:hAnsi="宋体" w:eastAsia="宋体" w:cs="宋体"/>
          <w:spacing w:val="16"/>
          <w:sz w:val="17"/>
          <w:szCs w:val="17"/>
        </w:rPr>
        <w:t>测试(80分)、表演命题小品能力测试(150分)。</w:t>
      </w:r>
    </w:p>
    <w:p w14:paraId="5BF4B738">
      <w:pPr>
        <w:spacing w:before="21" w:line="221" w:lineRule="auto"/>
        <w:ind w:left="3"/>
        <w:rPr>
          <w:rFonts w:ascii="黑体" w:hAnsi="黑体" w:eastAsia="黑体" w:cs="黑体"/>
          <w:sz w:val="23"/>
          <w:szCs w:val="23"/>
        </w:rPr>
      </w:pPr>
      <w:r>
        <w:rPr>
          <w:rFonts w:ascii="黑体" w:hAnsi="黑体" w:eastAsia="黑体" w:cs="黑体"/>
          <w:b/>
          <w:bCs/>
          <w:spacing w:val="-9"/>
          <w:sz w:val="23"/>
          <w:szCs w:val="23"/>
        </w:rPr>
        <w:t>四、测试时间</w:t>
      </w:r>
    </w:p>
    <w:p w14:paraId="1F1BDB18">
      <w:pPr>
        <w:spacing w:before="97" w:line="219" w:lineRule="auto"/>
        <w:ind w:left="340"/>
        <w:rPr>
          <w:rFonts w:ascii="宋体" w:hAnsi="宋体" w:eastAsia="宋体" w:cs="宋体"/>
          <w:sz w:val="17"/>
          <w:szCs w:val="17"/>
        </w:rPr>
      </w:pPr>
      <w:r>
        <w:rPr>
          <w:rFonts w:ascii="宋体" w:hAnsi="宋体" w:eastAsia="宋体" w:cs="宋体"/>
          <w:spacing w:val="3"/>
          <w:sz w:val="17"/>
          <w:szCs w:val="17"/>
        </w:rPr>
        <w:t>每位考生测试时间一般为13分钟左右。</w:t>
      </w:r>
    </w:p>
    <w:p w14:paraId="22836277">
      <w:pPr>
        <w:spacing w:before="78" w:line="222" w:lineRule="auto"/>
        <w:ind w:left="3"/>
        <w:rPr>
          <w:rFonts w:ascii="黑体" w:hAnsi="黑体" w:eastAsia="黑体" w:cs="黑体"/>
          <w:sz w:val="23"/>
          <w:szCs w:val="23"/>
        </w:rPr>
      </w:pPr>
      <w:r>
        <w:rPr>
          <w:rFonts w:ascii="黑体" w:hAnsi="黑体" w:eastAsia="黑体" w:cs="黑体"/>
          <w:b/>
          <w:bCs/>
          <w:spacing w:val="-9"/>
          <w:sz w:val="23"/>
          <w:szCs w:val="23"/>
        </w:rPr>
        <w:t>五、相关要求</w:t>
      </w:r>
    </w:p>
    <w:p w14:paraId="2A77678C">
      <w:pPr>
        <w:spacing w:before="83" w:line="314" w:lineRule="auto"/>
        <w:ind w:right="49" w:firstLine="340"/>
        <w:rPr>
          <w:rFonts w:ascii="宋体" w:hAnsi="宋体" w:eastAsia="宋体" w:cs="宋体"/>
          <w:sz w:val="17"/>
          <w:szCs w:val="17"/>
        </w:rPr>
      </w:pPr>
      <w:r>
        <w:rPr>
          <w:rFonts w:ascii="宋体" w:hAnsi="宋体" w:eastAsia="宋体" w:cs="宋体"/>
          <w:sz w:val="17"/>
          <w:szCs w:val="17"/>
        </w:rPr>
        <w:t>1.除钢琴、音响设备由考点提供，考生自备音乐、</w:t>
      </w:r>
      <w:r>
        <w:rPr>
          <w:rFonts w:ascii="宋体" w:hAnsi="宋体" w:eastAsia="宋体" w:cs="宋体"/>
          <w:spacing w:val="14"/>
          <w:sz w:val="17"/>
          <w:szCs w:val="17"/>
        </w:rPr>
        <w:t xml:space="preserve"> </w:t>
      </w:r>
      <w:r>
        <w:rPr>
          <w:rFonts w:ascii="宋体" w:hAnsi="宋体" w:eastAsia="宋体" w:cs="宋体"/>
          <w:spacing w:val="-4"/>
          <w:sz w:val="17"/>
          <w:szCs w:val="17"/>
        </w:rPr>
        <w:t>器乐及表演服装。</w:t>
      </w:r>
    </w:p>
    <w:p w14:paraId="36DEE373">
      <w:pPr>
        <w:spacing w:before="1" w:line="306" w:lineRule="auto"/>
        <w:ind w:right="18" w:firstLine="340"/>
        <w:rPr>
          <w:rFonts w:ascii="宋体" w:hAnsi="宋体" w:eastAsia="宋体" w:cs="宋体"/>
          <w:sz w:val="17"/>
          <w:szCs w:val="17"/>
        </w:rPr>
      </w:pPr>
      <w:r>
        <w:rPr>
          <w:rFonts w:ascii="Times New Roman" w:hAnsi="Times New Roman" w:eastAsia="Times New Roman" w:cs="Times New Roman"/>
          <w:spacing w:val="1"/>
          <w:sz w:val="17"/>
          <w:szCs w:val="17"/>
        </w:rPr>
        <w:t xml:space="preserve">2. </w:t>
      </w:r>
      <w:r>
        <w:rPr>
          <w:rFonts w:ascii="宋体" w:hAnsi="宋体" w:eastAsia="宋体" w:cs="宋体"/>
          <w:spacing w:val="1"/>
          <w:sz w:val="17"/>
          <w:szCs w:val="17"/>
        </w:rPr>
        <w:t>测试用伴奏音乐由考生自备</w:t>
      </w:r>
      <w:r>
        <w:rPr>
          <w:rFonts w:ascii="Times New Roman" w:hAnsi="Times New Roman" w:eastAsia="Times New Roman" w:cs="Times New Roman"/>
          <w:spacing w:val="1"/>
          <w:sz w:val="17"/>
          <w:szCs w:val="17"/>
        </w:rPr>
        <w:t xml:space="preserve">U </w:t>
      </w:r>
      <w:r>
        <w:rPr>
          <w:rFonts w:ascii="宋体" w:hAnsi="宋体" w:eastAsia="宋体" w:cs="宋体"/>
          <w:spacing w:val="1"/>
          <w:sz w:val="17"/>
          <w:szCs w:val="17"/>
        </w:rPr>
        <w:t>盘，测试中如发生</w:t>
      </w:r>
      <w:r>
        <w:rPr>
          <w:rFonts w:ascii="宋体" w:hAnsi="宋体" w:eastAsia="宋体" w:cs="宋体"/>
          <w:spacing w:val="12"/>
          <w:sz w:val="17"/>
          <w:szCs w:val="17"/>
        </w:rPr>
        <w:t xml:space="preserve"> </w:t>
      </w:r>
      <w:r>
        <w:rPr>
          <w:rFonts w:ascii="宋体" w:hAnsi="宋体" w:eastAsia="宋体" w:cs="宋体"/>
          <w:sz w:val="17"/>
          <w:szCs w:val="17"/>
        </w:rPr>
        <w:t>考生自带伴奏无法播放或音质不清楚等问题，</w:t>
      </w:r>
      <w:r>
        <w:rPr>
          <w:rFonts w:ascii="宋体" w:hAnsi="宋体" w:eastAsia="宋体" w:cs="宋体"/>
          <w:spacing w:val="-36"/>
          <w:sz w:val="17"/>
          <w:szCs w:val="17"/>
        </w:rPr>
        <w:t xml:space="preserve"> </w:t>
      </w:r>
      <w:r>
        <w:rPr>
          <w:rFonts w:ascii="宋体" w:hAnsi="宋体" w:eastAsia="宋体" w:cs="宋体"/>
          <w:spacing w:val="-1"/>
          <w:sz w:val="17"/>
          <w:szCs w:val="17"/>
        </w:rPr>
        <w:t>一律由考</w:t>
      </w:r>
      <w:r>
        <w:rPr>
          <w:rFonts w:ascii="宋体" w:hAnsi="宋体" w:eastAsia="宋体" w:cs="宋体"/>
          <w:sz w:val="17"/>
          <w:szCs w:val="17"/>
        </w:rPr>
        <w:t xml:space="preserve"> </w:t>
      </w:r>
      <w:r>
        <w:rPr>
          <w:rFonts w:ascii="宋体" w:hAnsi="宋体" w:eastAsia="宋体" w:cs="宋体"/>
          <w:spacing w:val="-1"/>
          <w:sz w:val="17"/>
          <w:szCs w:val="17"/>
        </w:rPr>
        <w:t>生本人负责。</w:t>
      </w:r>
    </w:p>
    <w:p w14:paraId="73D2AA84">
      <w:pPr>
        <w:spacing w:before="26" w:line="219" w:lineRule="auto"/>
        <w:ind w:left="340"/>
        <w:rPr>
          <w:rFonts w:ascii="宋体" w:hAnsi="宋体" w:eastAsia="宋体" w:cs="宋体"/>
          <w:sz w:val="17"/>
          <w:szCs w:val="17"/>
        </w:rPr>
      </w:pPr>
      <w:r>
        <w:rPr>
          <w:rFonts w:ascii="宋体" w:hAnsi="宋体" w:eastAsia="宋体" w:cs="宋体"/>
          <w:spacing w:val="-1"/>
          <w:sz w:val="17"/>
          <w:szCs w:val="17"/>
        </w:rPr>
        <w:t>3.考生现场测试独立完成，不得携带搭档。</w:t>
      </w:r>
    </w:p>
    <w:p w14:paraId="44BFF1CE">
      <w:pPr>
        <w:spacing w:before="88" w:line="313" w:lineRule="auto"/>
        <w:ind w:right="17" w:firstLine="340"/>
        <w:rPr>
          <w:rFonts w:ascii="宋体" w:hAnsi="宋体" w:eastAsia="宋体" w:cs="宋体"/>
          <w:sz w:val="17"/>
          <w:szCs w:val="17"/>
        </w:rPr>
      </w:pPr>
      <w:r>
        <w:rPr>
          <w:rFonts w:ascii="宋体" w:hAnsi="宋体" w:eastAsia="宋体" w:cs="宋体"/>
          <w:spacing w:val="2"/>
          <w:sz w:val="17"/>
          <w:szCs w:val="17"/>
        </w:rPr>
        <w:t>4.每位考生只有一次测试机会，因自身原因中断或</w:t>
      </w:r>
      <w:r>
        <w:rPr>
          <w:rFonts w:ascii="宋体" w:hAnsi="宋体" w:eastAsia="宋体" w:cs="宋体"/>
          <w:sz w:val="17"/>
          <w:szCs w:val="17"/>
        </w:rPr>
        <w:t xml:space="preserve"> </w:t>
      </w:r>
      <w:r>
        <w:rPr>
          <w:rFonts w:ascii="宋体" w:hAnsi="宋体" w:eastAsia="宋体" w:cs="宋体"/>
          <w:spacing w:val="-4"/>
          <w:sz w:val="17"/>
          <w:szCs w:val="17"/>
        </w:rPr>
        <w:t>失误，不得重考。</w:t>
      </w:r>
    </w:p>
    <w:p w14:paraId="3C930423">
      <w:pPr>
        <w:spacing w:before="2" w:line="187" w:lineRule="auto"/>
        <w:ind w:left="3"/>
        <w:rPr>
          <w:rFonts w:ascii="黑体" w:hAnsi="黑体" w:eastAsia="黑体" w:cs="黑体"/>
          <w:sz w:val="23"/>
          <w:szCs w:val="23"/>
        </w:rPr>
      </w:pPr>
      <w:r>
        <w:rPr>
          <w:rFonts w:ascii="黑体" w:hAnsi="黑体" w:eastAsia="黑体" w:cs="黑体"/>
          <w:b/>
          <w:bCs/>
          <w:spacing w:val="-5"/>
          <w:sz w:val="23"/>
          <w:szCs w:val="23"/>
        </w:rPr>
        <w:t>六、测试项目</w:t>
      </w:r>
    </w:p>
    <w:p w14:paraId="615AC28B">
      <w:pPr>
        <w:spacing w:line="187" w:lineRule="auto"/>
        <w:rPr>
          <w:rFonts w:ascii="黑体" w:hAnsi="黑体" w:eastAsia="黑体" w:cs="黑体"/>
          <w:sz w:val="23"/>
          <w:szCs w:val="23"/>
        </w:rPr>
        <w:sectPr>
          <w:type w:val="continuous"/>
          <w:pgSz w:w="10660" w:h="15080"/>
          <w:pgMar w:top="400" w:right="1045" w:bottom="898" w:left="809" w:header="0" w:footer="745" w:gutter="0"/>
          <w:cols w:equalWidth="0" w:num="2">
            <w:col w:w="4561" w:space="100"/>
            <w:col w:w="4146"/>
          </w:cols>
        </w:sectPr>
      </w:pPr>
    </w:p>
    <w:p w14:paraId="6AC67A66">
      <w:pPr>
        <w:spacing w:line="177" w:lineRule="exact"/>
      </w:pPr>
    </w:p>
    <w:tbl>
      <w:tblPr>
        <w:tblStyle w:val="5"/>
        <w:tblW w:w="8730" w:type="dxa"/>
        <w:tblInd w:w="7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94"/>
        <w:gridCol w:w="959"/>
        <w:gridCol w:w="1149"/>
        <w:gridCol w:w="929"/>
        <w:gridCol w:w="2417"/>
        <w:gridCol w:w="2482"/>
      </w:tblGrid>
      <w:tr w14:paraId="526D60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4" w:hRule="atLeast"/>
        </w:trPr>
        <w:tc>
          <w:tcPr>
            <w:tcW w:w="794" w:type="dxa"/>
            <w:vAlign w:val="top"/>
          </w:tcPr>
          <w:p w14:paraId="382BA4FA">
            <w:pPr>
              <w:pStyle w:val="6"/>
              <w:spacing w:before="110" w:line="220" w:lineRule="auto"/>
              <w:ind w:left="27"/>
              <w:rPr>
                <w:sz w:val="18"/>
                <w:szCs w:val="18"/>
              </w:rPr>
            </w:pPr>
            <w:r>
              <w:rPr>
                <w:b/>
                <w:bCs/>
                <w:spacing w:val="5"/>
                <w:sz w:val="18"/>
                <w:szCs w:val="18"/>
              </w:rPr>
              <w:t>测试项目</w:t>
            </w:r>
          </w:p>
        </w:tc>
        <w:tc>
          <w:tcPr>
            <w:tcW w:w="959" w:type="dxa"/>
            <w:vAlign w:val="top"/>
          </w:tcPr>
          <w:p w14:paraId="15B7CDDD">
            <w:pPr>
              <w:pStyle w:val="6"/>
              <w:spacing w:before="110" w:line="221" w:lineRule="auto"/>
              <w:ind w:left="113"/>
              <w:rPr>
                <w:sz w:val="18"/>
                <w:szCs w:val="18"/>
              </w:rPr>
            </w:pPr>
            <w:r>
              <w:rPr>
                <w:b/>
                <w:bCs/>
                <w:spacing w:val="-4"/>
                <w:sz w:val="18"/>
                <w:szCs w:val="18"/>
              </w:rPr>
              <w:t>测试用具</w:t>
            </w:r>
          </w:p>
        </w:tc>
        <w:tc>
          <w:tcPr>
            <w:tcW w:w="1149" w:type="dxa"/>
            <w:vAlign w:val="top"/>
          </w:tcPr>
          <w:p w14:paraId="7EEBDF18">
            <w:pPr>
              <w:pStyle w:val="6"/>
              <w:spacing w:before="110" w:line="219" w:lineRule="auto"/>
              <w:ind w:left="254"/>
              <w:rPr>
                <w:sz w:val="18"/>
                <w:szCs w:val="18"/>
              </w:rPr>
            </w:pPr>
            <w:r>
              <w:rPr>
                <w:b/>
                <w:bCs/>
                <w:spacing w:val="-4"/>
                <w:sz w:val="18"/>
                <w:szCs w:val="18"/>
              </w:rPr>
              <w:t>测试内容</w:t>
            </w:r>
          </w:p>
        </w:tc>
        <w:tc>
          <w:tcPr>
            <w:tcW w:w="929" w:type="dxa"/>
            <w:vAlign w:val="top"/>
          </w:tcPr>
          <w:p w14:paraId="518BFA57">
            <w:pPr>
              <w:pStyle w:val="6"/>
              <w:spacing w:before="110" w:line="221" w:lineRule="auto"/>
              <w:ind w:left="95"/>
              <w:rPr>
                <w:sz w:val="18"/>
                <w:szCs w:val="18"/>
              </w:rPr>
            </w:pPr>
            <w:r>
              <w:rPr>
                <w:b/>
                <w:bCs/>
                <w:spacing w:val="-4"/>
                <w:sz w:val="18"/>
                <w:szCs w:val="18"/>
              </w:rPr>
              <w:t>测试方法</w:t>
            </w:r>
          </w:p>
        </w:tc>
        <w:tc>
          <w:tcPr>
            <w:tcW w:w="2417" w:type="dxa"/>
            <w:vAlign w:val="top"/>
          </w:tcPr>
          <w:p w14:paraId="2D96A415">
            <w:pPr>
              <w:pStyle w:val="6"/>
              <w:spacing w:before="110" w:line="221" w:lineRule="auto"/>
              <w:ind w:left="886"/>
              <w:rPr>
                <w:sz w:val="18"/>
                <w:szCs w:val="18"/>
              </w:rPr>
            </w:pPr>
            <w:r>
              <w:rPr>
                <w:b/>
                <w:bCs/>
                <w:spacing w:val="-4"/>
                <w:sz w:val="18"/>
                <w:szCs w:val="18"/>
              </w:rPr>
              <w:t>测试要求</w:t>
            </w:r>
          </w:p>
        </w:tc>
        <w:tc>
          <w:tcPr>
            <w:tcW w:w="2482" w:type="dxa"/>
            <w:vAlign w:val="top"/>
          </w:tcPr>
          <w:p w14:paraId="371CBEA0">
            <w:pPr>
              <w:pStyle w:val="6"/>
              <w:spacing w:before="110" w:line="219" w:lineRule="auto"/>
              <w:ind w:left="879"/>
              <w:rPr>
                <w:sz w:val="18"/>
                <w:szCs w:val="18"/>
              </w:rPr>
            </w:pPr>
            <w:r>
              <w:rPr>
                <w:b/>
                <w:bCs/>
                <w:spacing w:val="-4"/>
                <w:sz w:val="18"/>
                <w:szCs w:val="18"/>
              </w:rPr>
              <w:t>赋分参考</w:t>
            </w:r>
          </w:p>
        </w:tc>
      </w:tr>
      <w:tr w14:paraId="1A0E00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66" w:hRule="atLeast"/>
        </w:trPr>
        <w:tc>
          <w:tcPr>
            <w:tcW w:w="794" w:type="dxa"/>
            <w:vAlign w:val="top"/>
          </w:tcPr>
          <w:p w14:paraId="229712ED">
            <w:pPr>
              <w:pStyle w:val="6"/>
              <w:spacing w:before="289" w:line="216" w:lineRule="auto"/>
              <w:jc w:val="right"/>
              <w:rPr>
                <w:sz w:val="18"/>
                <w:szCs w:val="18"/>
              </w:rPr>
            </w:pPr>
            <w:r>
              <w:rPr>
                <w:spacing w:val="-3"/>
                <w:sz w:val="18"/>
                <w:szCs w:val="18"/>
              </w:rPr>
              <w:t>项目一：</w:t>
            </w:r>
          </w:p>
          <w:p w14:paraId="0B398603">
            <w:pPr>
              <w:pStyle w:val="6"/>
              <w:spacing w:line="220" w:lineRule="auto"/>
              <w:ind w:left="205"/>
              <w:rPr>
                <w:sz w:val="18"/>
                <w:szCs w:val="18"/>
              </w:rPr>
            </w:pPr>
            <w:r>
              <w:rPr>
                <w:spacing w:val="-21"/>
                <w:sz w:val="18"/>
                <w:szCs w:val="18"/>
              </w:rPr>
              <w:t>目</w:t>
            </w:r>
            <w:r>
              <w:rPr>
                <w:spacing w:val="-27"/>
                <w:sz w:val="18"/>
                <w:szCs w:val="18"/>
              </w:rPr>
              <w:t xml:space="preserve"> </w:t>
            </w:r>
            <w:r>
              <w:rPr>
                <w:spacing w:val="-21"/>
                <w:sz w:val="18"/>
                <w:szCs w:val="18"/>
              </w:rPr>
              <w:t>测</w:t>
            </w:r>
          </w:p>
          <w:p w14:paraId="32193D95">
            <w:pPr>
              <w:pStyle w:val="6"/>
              <w:spacing w:before="4" w:line="220" w:lineRule="auto"/>
              <w:ind w:left="115"/>
              <w:rPr>
                <w:sz w:val="18"/>
                <w:szCs w:val="18"/>
              </w:rPr>
            </w:pPr>
            <w:r>
              <w:rPr>
                <w:spacing w:val="7"/>
                <w:sz w:val="18"/>
                <w:szCs w:val="18"/>
              </w:rPr>
              <w:t>(20分)</w:t>
            </w:r>
          </w:p>
        </w:tc>
        <w:tc>
          <w:tcPr>
            <w:tcW w:w="959" w:type="dxa"/>
            <w:vMerge w:val="restart"/>
            <w:tcBorders>
              <w:bottom w:val="nil"/>
            </w:tcBorders>
            <w:vAlign w:val="top"/>
          </w:tcPr>
          <w:p w14:paraId="6C1A57CE">
            <w:pPr>
              <w:spacing w:line="255" w:lineRule="auto"/>
              <w:rPr>
                <w:rFonts w:ascii="Arial"/>
                <w:sz w:val="21"/>
              </w:rPr>
            </w:pPr>
          </w:p>
          <w:p w14:paraId="3F23B51F">
            <w:pPr>
              <w:spacing w:line="255" w:lineRule="auto"/>
              <w:rPr>
                <w:rFonts w:ascii="Arial"/>
                <w:sz w:val="21"/>
              </w:rPr>
            </w:pPr>
          </w:p>
          <w:p w14:paraId="3D013946">
            <w:pPr>
              <w:spacing w:line="256" w:lineRule="auto"/>
              <w:rPr>
                <w:rFonts w:ascii="Arial"/>
                <w:sz w:val="21"/>
              </w:rPr>
            </w:pPr>
          </w:p>
          <w:p w14:paraId="0A4C5290">
            <w:pPr>
              <w:pStyle w:val="6"/>
              <w:spacing w:before="58" w:line="204" w:lineRule="auto"/>
              <w:ind w:left="20"/>
              <w:rPr>
                <w:sz w:val="18"/>
                <w:szCs w:val="18"/>
              </w:rPr>
            </w:pPr>
            <w:r>
              <w:rPr>
                <w:spacing w:val="2"/>
                <w:sz w:val="18"/>
                <w:szCs w:val="18"/>
              </w:rPr>
              <w:t>钢琴、音响</w:t>
            </w:r>
          </w:p>
          <w:p w14:paraId="369D117A">
            <w:pPr>
              <w:pStyle w:val="6"/>
              <w:spacing w:line="219" w:lineRule="auto"/>
              <w:ind w:left="61"/>
              <w:rPr>
                <w:sz w:val="18"/>
                <w:szCs w:val="18"/>
              </w:rPr>
            </w:pPr>
            <w:r>
              <w:rPr>
                <w:spacing w:val="-2"/>
                <w:sz w:val="18"/>
                <w:szCs w:val="18"/>
              </w:rPr>
              <w:t>设备(考生</w:t>
            </w:r>
          </w:p>
          <w:p w14:paraId="341E5ACB">
            <w:pPr>
              <w:pStyle w:val="6"/>
              <w:spacing w:before="26" w:line="206" w:lineRule="auto"/>
              <w:ind w:left="20"/>
              <w:rPr>
                <w:sz w:val="18"/>
                <w:szCs w:val="18"/>
              </w:rPr>
            </w:pPr>
            <w:r>
              <w:rPr>
                <w:spacing w:val="-2"/>
                <w:sz w:val="18"/>
                <w:szCs w:val="18"/>
              </w:rPr>
              <w:t>形体伴奏音</w:t>
            </w:r>
          </w:p>
          <w:p w14:paraId="16344091">
            <w:pPr>
              <w:pStyle w:val="6"/>
              <w:spacing w:line="220" w:lineRule="auto"/>
              <w:ind w:left="151"/>
              <w:rPr>
                <w:sz w:val="18"/>
                <w:szCs w:val="18"/>
              </w:rPr>
            </w:pPr>
            <w:r>
              <w:rPr>
                <w:spacing w:val="-3"/>
                <w:sz w:val="18"/>
                <w:szCs w:val="18"/>
              </w:rPr>
              <w:t>乐自备U</w:t>
            </w:r>
          </w:p>
          <w:p w14:paraId="2517D35B">
            <w:pPr>
              <w:pStyle w:val="6"/>
              <w:spacing w:before="7" w:line="222" w:lineRule="auto"/>
              <w:ind w:left="331"/>
              <w:rPr>
                <w:sz w:val="18"/>
                <w:szCs w:val="18"/>
              </w:rPr>
            </w:pPr>
            <w:r>
              <w:rPr>
                <w:spacing w:val="-4"/>
                <w:sz w:val="18"/>
                <w:szCs w:val="18"/>
              </w:rPr>
              <w:t>盘</w:t>
            </w:r>
            <w:r>
              <w:rPr>
                <w:spacing w:val="-36"/>
                <w:sz w:val="18"/>
                <w:szCs w:val="18"/>
              </w:rPr>
              <w:t xml:space="preserve"> </w:t>
            </w:r>
            <w:r>
              <w:rPr>
                <w:spacing w:val="-4"/>
                <w:sz w:val="18"/>
                <w:szCs w:val="18"/>
              </w:rPr>
              <w:t>)</w:t>
            </w:r>
          </w:p>
        </w:tc>
        <w:tc>
          <w:tcPr>
            <w:tcW w:w="1149" w:type="dxa"/>
            <w:vAlign w:val="top"/>
          </w:tcPr>
          <w:p w14:paraId="75DFC341">
            <w:pPr>
              <w:pStyle w:val="6"/>
              <w:spacing w:before="278" w:line="224" w:lineRule="auto"/>
              <w:ind w:left="11"/>
              <w:jc w:val="both"/>
              <w:rPr>
                <w:sz w:val="18"/>
                <w:szCs w:val="18"/>
              </w:rPr>
            </w:pPr>
            <w:r>
              <w:rPr>
                <w:spacing w:val="7"/>
                <w:sz w:val="18"/>
                <w:szCs w:val="18"/>
              </w:rPr>
              <w:t>考生的五官、</w:t>
            </w:r>
            <w:r>
              <w:rPr>
                <w:spacing w:val="4"/>
                <w:sz w:val="18"/>
                <w:szCs w:val="18"/>
              </w:rPr>
              <w:t xml:space="preserve"> </w:t>
            </w:r>
            <w:r>
              <w:rPr>
                <w:spacing w:val="7"/>
                <w:sz w:val="18"/>
                <w:szCs w:val="18"/>
              </w:rPr>
              <w:t>身材、形象、</w:t>
            </w:r>
            <w:r>
              <w:rPr>
                <w:spacing w:val="4"/>
                <w:sz w:val="18"/>
                <w:szCs w:val="18"/>
              </w:rPr>
              <w:t xml:space="preserve"> </w:t>
            </w:r>
            <w:r>
              <w:rPr>
                <w:spacing w:val="3"/>
                <w:sz w:val="18"/>
                <w:szCs w:val="18"/>
              </w:rPr>
              <w:t>气质</w:t>
            </w:r>
          </w:p>
        </w:tc>
        <w:tc>
          <w:tcPr>
            <w:tcW w:w="929" w:type="dxa"/>
            <w:vAlign w:val="top"/>
          </w:tcPr>
          <w:p w14:paraId="551898ED">
            <w:pPr>
              <w:spacing w:line="437" w:lineRule="auto"/>
              <w:rPr>
                <w:rFonts w:ascii="Arial"/>
                <w:sz w:val="21"/>
              </w:rPr>
            </w:pPr>
          </w:p>
          <w:p w14:paraId="0137D2D8">
            <w:pPr>
              <w:pStyle w:val="6"/>
              <w:spacing w:before="59" w:line="220" w:lineRule="auto"/>
              <w:ind w:left="93"/>
              <w:rPr>
                <w:sz w:val="18"/>
                <w:szCs w:val="18"/>
              </w:rPr>
            </w:pPr>
            <w:r>
              <w:rPr>
                <w:spacing w:val="-2"/>
                <w:sz w:val="18"/>
                <w:szCs w:val="18"/>
              </w:rPr>
              <w:t>现场测试</w:t>
            </w:r>
          </w:p>
        </w:tc>
        <w:tc>
          <w:tcPr>
            <w:tcW w:w="2417" w:type="dxa"/>
            <w:vAlign w:val="top"/>
          </w:tcPr>
          <w:p w14:paraId="03EB3B3D">
            <w:pPr>
              <w:pStyle w:val="6"/>
              <w:spacing w:before="297" w:line="220" w:lineRule="auto"/>
              <w:ind w:left="13"/>
              <w:jc w:val="both"/>
              <w:rPr>
                <w:sz w:val="18"/>
                <w:szCs w:val="18"/>
              </w:rPr>
            </w:pPr>
            <w:r>
              <w:rPr>
                <w:spacing w:val="4"/>
                <w:sz w:val="18"/>
                <w:szCs w:val="18"/>
              </w:rPr>
              <w:t>通过目测考生的五官、身材、</w:t>
            </w:r>
            <w:r>
              <w:rPr>
                <w:sz w:val="18"/>
                <w:szCs w:val="18"/>
              </w:rPr>
              <w:t xml:space="preserve"> </w:t>
            </w:r>
            <w:r>
              <w:rPr>
                <w:spacing w:val="-1"/>
                <w:sz w:val="18"/>
                <w:szCs w:val="18"/>
              </w:rPr>
              <w:t>形象、气质等，判断学生是否</w:t>
            </w:r>
            <w:r>
              <w:rPr>
                <w:sz w:val="18"/>
                <w:szCs w:val="18"/>
              </w:rPr>
              <w:t xml:space="preserve"> </w:t>
            </w:r>
            <w:r>
              <w:rPr>
                <w:spacing w:val="-4"/>
                <w:sz w:val="18"/>
                <w:szCs w:val="18"/>
              </w:rPr>
              <w:t>符合本专业学习基本要求</w:t>
            </w:r>
          </w:p>
        </w:tc>
        <w:tc>
          <w:tcPr>
            <w:tcW w:w="2482" w:type="dxa"/>
            <w:vAlign w:val="top"/>
          </w:tcPr>
          <w:p w14:paraId="777248A5">
            <w:pPr>
              <w:pStyle w:val="6"/>
              <w:spacing w:before="188" w:line="219" w:lineRule="auto"/>
              <w:ind w:left="66" w:right="71"/>
              <w:rPr>
                <w:sz w:val="18"/>
                <w:szCs w:val="18"/>
              </w:rPr>
            </w:pPr>
            <w:r>
              <w:rPr>
                <w:spacing w:val="-1"/>
                <w:sz w:val="18"/>
                <w:szCs w:val="18"/>
              </w:rPr>
              <w:t>身材匀称、比例协调，五官健</w:t>
            </w:r>
            <w:r>
              <w:rPr>
                <w:sz w:val="18"/>
                <w:szCs w:val="18"/>
              </w:rPr>
              <w:t xml:space="preserve"> </w:t>
            </w:r>
            <w:r>
              <w:rPr>
                <w:spacing w:val="-1"/>
                <w:sz w:val="18"/>
                <w:szCs w:val="18"/>
              </w:rPr>
              <w:t>康正常，气质较好，大方得体</w:t>
            </w:r>
          </w:p>
          <w:p w14:paraId="464F5B97">
            <w:pPr>
              <w:pStyle w:val="6"/>
              <w:spacing w:line="219" w:lineRule="auto"/>
              <w:ind w:left="116" w:right="193" w:firstLine="80"/>
              <w:rPr>
                <w:sz w:val="18"/>
                <w:szCs w:val="18"/>
              </w:rPr>
            </w:pPr>
            <w:r>
              <w:rPr>
                <w:sz w:val="18"/>
                <w:szCs w:val="18"/>
              </w:rPr>
              <w:t>(10分),生理心理状态稳定</w:t>
            </w:r>
            <w:r>
              <w:rPr>
                <w:spacing w:val="10"/>
                <w:sz w:val="18"/>
                <w:szCs w:val="18"/>
              </w:rPr>
              <w:t xml:space="preserve"> </w:t>
            </w:r>
            <w:r>
              <w:rPr>
                <w:spacing w:val="7"/>
                <w:sz w:val="18"/>
                <w:szCs w:val="18"/>
              </w:rPr>
              <w:t>(10分)</w:t>
            </w:r>
          </w:p>
        </w:tc>
      </w:tr>
      <w:tr w14:paraId="281840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70" w:hRule="atLeast"/>
        </w:trPr>
        <w:tc>
          <w:tcPr>
            <w:tcW w:w="794" w:type="dxa"/>
            <w:vAlign w:val="top"/>
          </w:tcPr>
          <w:p w14:paraId="41318DEB">
            <w:pPr>
              <w:spacing w:line="283" w:lineRule="auto"/>
              <w:rPr>
                <w:rFonts w:ascii="Arial"/>
                <w:sz w:val="21"/>
              </w:rPr>
            </w:pPr>
          </w:p>
          <w:p w14:paraId="630E6707">
            <w:pPr>
              <w:pStyle w:val="6"/>
              <w:spacing w:before="58" w:line="204" w:lineRule="auto"/>
              <w:jc w:val="right"/>
              <w:rPr>
                <w:sz w:val="18"/>
                <w:szCs w:val="18"/>
              </w:rPr>
            </w:pPr>
            <w:r>
              <w:rPr>
                <w:spacing w:val="-3"/>
                <w:sz w:val="18"/>
                <w:szCs w:val="18"/>
              </w:rPr>
              <w:t>项目二：</w:t>
            </w:r>
          </w:p>
          <w:p w14:paraId="1C8F988B">
            <w:pPr>
              <w:pStyle w:val="6"/>
              <w:spacing w:line="219" w:lineRule="auto"/>
              <w:ind w:left="25"/>
              <w:rPr>
                <w:sz w:val="18"/>
                <w:szCs w:val="18"/>
              </w:rPr>
            </w:pPr>
            <w:r>
              <w:rPr>
                <w:spacing w:val="3"/>
                <w:sz w:val="18"/>
                <w:szCs w:val="18"/>
              </w:rPr>
              <w:t>声乐能力</w:t>
            </w:r>
          </w:p>
          <w:p w14:paraId="66357B8E">
            <w:pPr>
              <w:pStyle w:val="6"/>
              <w:spacing w:before="17" w:line="215" w:lineRule="auto"/>
              <w:ind w:left="205"/>
              <w:rPr>
                <w:sz w:val="18"/>
                <w:szCs w:val="18"/>
              </w:rPr>
            </w:pPr>
            <w:r>
              <w:rPr>
                <w:spacing w:val="-2"/>
                <w:sz w:val="18"/>
                <w:szCs w:val="18"/>
              </w:rPr>
              <w:t>测试</w:t>
            </w:r>
          </w:p>
          <w:p w14:paraId="271764E7">
            <w:pPr>
              <w:pStyle w:val="6"/>
              <w:spacing w:line="220" w:lineRule="auto"/>
              <w:ind w:left="115"/>
              <w:rPr>
                <w:sz w:val="18"/>
                <w:szCs w:val="18"/>
              </w:rPr>
            </w:pPr>
            <w:r>
              <w:rPr>
                <w:spacing w:val="7"/>
                <w:sz w:val="18"/>
                <w:szCs w:val="18"/>
              </w:rPr>
              <w:t>(80分)</w:t>
            </w:r>
          </w:p>
        </w:tc>
        <w:tc>
          <w:tcPr>
            <w:tcW w:w="959" w:type="dxa"/>
            <w:vMerge w:val="continue"/>
            <w:tcBorders>
              <w:top w:val="nil"/>
            </w:tcBorders>
            <w:vAlign w:val="top"/>
          </w:tcPr>
          <w:p w14:paraId="68F3BEE8">
            <w:pPr>
              <w:rPr>
                <w:rFonts w:ascii="Arial"/>
                <w:sz w:val="21"/>
              </w:rPr>
            </w:pPr>
          </w:p>
        </w:tc>
        <w:tc>
          <w:tcPr>
            <w:tcW w:w="1149" w:type="dxa"/>
            <w:vAlign w:val="top"/>
          </w:tcPr>
          <w:p w14:paraId="65798CB4">
            <w:pPr>
              <w:spacing w:line="290" w:lineRule="auto"/>
              <w:rPr>
                <w:rFonts w:ascii="Arial"/>
                <w:sz w:val="21"/>
              </w:rPr>
            </w:pPr>
          </w:p>
          <w:p w14:paraId="0505F702">
            <w:pPr>
              <w:pStyle w:val="6"/>
              <w:spacing w:before="59" w:line="219" w:lineRule="auto"/>
              <w:ind w:left="11"/>
              <w:rPr>
                <w:sz w:val="18"/>
                <w:szCs w:val="18"/>
              </w:rPr>
            </w:pPr>
            <w:r>
              <w:rPr>
                <w:spacing w:val="-2"/>
                <w:sz w:val="18"/>
                <w:szCs w:val="18"/>
              </w:rPr>
              <w:t>清唱自选歌</w:t>
            </w:r>
          </w:p>
          <w:p w14:paraId="2DAB812B">
            <w:pPr>
              <w:pStyle w:val="6"/>
              <w:spacing w:before="6" w:line="214" w:lineRule="auto"/>
              <w:ind w:left="11" w:right="36"/>
              <w:rPr>
                <w:sz w:val="18"/>
                <w:szCs w:val="18"/>
              </w:rPr>
            </w:pPr>
            <w:r>
              <w:rPr>
                <w:spacing w:val="1"/>
                <w:sz w:val="18"/>
                <w:szCs w:val="18"/>
              </w:rPr>
              <w:t>曲、戏曲唱腔</w:t>
            </w:r>
            <w:r>
              <w:rPr>
                <w:spacing w:val="3"/>
                <w:sz w:val="18"/>
                <w:szCs w:val="18"/>
              </w:rPr>
              <w:t xml:space="preserve"> </w:t>
            </w:r>
            <w:r>
              <w:rPr>
                <w:spacing w:val="-2"/>
                <w:sz w:val="18"/>
                <w:szCs w:val="18"/>
              </w:rPr>
              <w:t>或曲艺作品一</w:t>
            </w:r>
            <w:r>
              <w:rPr>
                <w:spacing w:val="1"/>
                <w:sz w:val="18"/>
                <w:szCs w:val="18"/>
              </w:rPr>
              <w:t xml:space="preserve"> </w:t>
            </w:r>
            <w:r>
              <w:rPr>
                <w:sz w:val="18"/>
                <w:szCs w:val="18"/>
              </w:rPr>
              <w:t>首</w:t>
            </w:r>
          </w:p>
        </w:tc>
        <w:tc>
          <w:tcPr>
            <w:tcW w:w="929" w:type="dxa"/>
            <w:vAlign w:val="top"/>
          </w:tcPr>
          <w:p w14:paraId="15933F50">
            <w:pPr>
              <w:spacing w:line="255" w:lineRule="auto"/>
              <w:rPr>
                <w:rFonts w:ascii="Arial"/>
                <w:sz w:val="21"/>
              </w:rPr>
            </w:pPr>
          </w:p>
          <w:p w14:paraId="7D2AD0FF">
            <w:pPr>
              <w:spacing w:line="256" w:lineRule="auto"/>
              <w:rPr>
                <w:rFonts w:ascii="Arial"/>
                <w:sz w:val="21"/>
              </w:rPr>
            </w:pPr>
          </w:p>
          <w:p w14:paraId="4EBE2318">
            <w:pPr>
              <w:pStyle w:val="6"/>
              <w:spacing w:before="58" w:line="212" w:lineRule="auto"/>
              <w:ind w:left="142" w:right="106" w:hanging="49"/>
              <w:rPr>
                <w:sz w:val="18"/>
                <w:szCs w:val="18"/>
              </w:rPr>
            </w:pPr>
            <w:r>
              <w:rPr>
                <w:spacing w:val="-2"/>
                <w:sz w:val="18"/>
                <w:szCs w:val="18"/>
              </w:rPr>
              <w:t>清唱(2分</w:t>
            </w:r>
            <w:r>
              <w:rPr>
                <w:spacing w:val="1"/>
                <w:sz w:val="18"/>
                <w:szCs w:val="18"/>
              </w:rPr>
              <w:t xml:space="preserve"> </w:t>
            </w:r>
            <w:r>
              <w:rPr>
                <w:spacing w:val="9"/>
                <w:sz w:val="18"/>
                <w:szCs w:val="18"/>
              </w:rPr>
              <w:t>钟以内)</w:t>
            </w:r>
          </w:p>
        </w:tc>
        <w:tc>
          <w:tcPr>
            <w:tcW w:w="2417" w:type="dxa"/>
            <w:vAlign w:val="top"/>
          </w:tcPr>
          <w:p w14:paraId="6076D6BB">
            <w:pPr>
              <w:spacing w:line="249" w:lineRule="auto"/>
              <w:rPr>
                <w:rFonts w:ascii="Arial"/>
                <w:sz w:val="21"/>
              </w:rPr>
            </w:pPr>
          </w:p>
          <w:p w14:paraId="78A4CF40">
            <w:pPr>
              <w:spacing w:line="250" w:lineRule="auto"/>
              <w:rPr>
                <w:rFonts w:ascii="Arial"/>
                <w:sz w:val="21"/>
              </w:rPr>
            </w:pPr>
          </w:p>
          <w:p w14:paraId="33C037ED">
            <w:pPr>
              <w:pStyle w:val="6"/>
              <w:spacing w:before="59" w:line="228" w:lineRule="auto"/>
              <w:ind w:left="13" w:right="11" w:firstLine="20"/>
              <w:rPr>
                <w:sz w:val="18"/>
                <w:szCs w:val="18"/>
              </w:rPr>
            </w:pPr>
            <w:r>
              <w:rPr>
                <w:spacing w:val="1"/>
                <w:sz w:val="18"/>
                <w:szCs w:val="18"/>
              </w:rPr>
              <w:t>清唱自选歌曲、戏曲唱腔或曲</w:t>
            </w:r>
            <w:r>
              <w:rPr>
                <w:spacing w:val="7"/>
                <w:sz w:val="18"/>
                <w:szCs w:val="18"/>
              </w:rPr>
              <w:t xml:space="preserve"> </w:t>
            </w:r>
            <w:r>
              <w:rPr>
                <w:sz w:val="18"/>
                <w:szCs w:val="18"/>
              </w:rPr>
              <w:t>艺作品一首，风格不限</w:t>
            </w:r>
          </w:p>
        </w:tc>
        <w:tc>
          <w:tcPr>
            <w:tcW w:w="2482" w:type="dxa"/>
            <w:vAlign w:val="top"/>
          </w:tcPr>
          <w:p w14:paraId="4A54F573">
            <w:pPr>
              <w:spacing w:line="272" w:lineRule="auto"/>
              <w:rPr>
                <w:rFonts w:ascii="Arial"/>
                <w:sz w:val="21"/>
              </w:rPr>
            </w:pPr>
          </w:p>
          <w:p w14:paraId="52A74E62">
            <w:pPr>
              <w:pStyle w:val="6"/>
              <w:spacing w:before="59" w:line="224" w:lineRule="auto"/>
              <w:ind w:left="155" w:right="105" w:hanging="49"/>
              <w:rPr>
                <w:sz w:val="18"/>
                <w:szCs w:val="18"/>
              </w:rPr>
            </w:pPr>
            <w:r>
              <w:rPr>
                <w:sz w:val="18"/>
                <w:szCs w:val="18"/>
              </w:rPr>
              <w:t>嗓音条件优秀、音色优美(30</w:t>
            </w:r>
            <w:r>
              <w:rPr>
                <w:spacing w:val="8"/>
                <w:sz w:val="18"/>
                <w:szCs w:val="18"/>
              </w:rPr>
              <w:t xml:space="preserve"> </w:t>
            </w:r>
            <w:r>
              <w:rPr>
                <w:spacing w:val="-1"/>
                <w:sz w:val="18"/>
                <w:szCs w:val="18"/>
              </w:rPr>
              <w:t>分),吐字清晰、音准、节奏</w:t>
            </w:r>
          </w:p>
          <w:p w14:paraId="07122BD3">
            <w:pPr>
              <w:pStyle w:val="6"/>
              <w:spacing w:before="1" w:line="228" w:lineRule="auto"/>
              <w:ind w:left="17" w:right="211" w:firstLine="180"/>
              <w:rPr>
                <w:sz w:val="18"/>
                <w:szCs w:val="18"/>
              </w:rPr>
            </w:pPr>
            <w:r>
              <w:rPr>
                <w:spacing w:val="-1"/>
                <w:sz w:val="18"/>
                <w:szCs w:val="18"/>
              </w:rPr>
              <w:t>把握准确、稳定(30分),音</w:t>
            </w:r>
            <w:r>
              <w:rPr>
                <w:spacing w:val="5"/>
                <w:sz w:val="18"/>
                <w:szCs w:val="18"/>
              </w:rPr>
              <w:t xml:space="preserve"> </w:t>
            </w:r>
            <w:r>
              <w:rPr>
                <w:spacing w:val="3"/>
                <w:sz w:val="18"/>
                <w:szCs w:val="18"/>
              </w:rPr>
              <w:t>乐表现力较强(20分)</w:t>
            </w:r>
          </w:p>
        </w:tc>
      </w:tr>
    </w:tbl>
    <w:p w14:paraId="126F1100">
      <w:pPr>
        <w:spacing w:before="28"/>
      </w:pPr>
    </w:p>
    <w:tbl>
      <w:tblPr>
        <w:tblStyle w:val="5"/>
        <w:tblW w:w="8719" w:type="dxa"/>
        <w:tblInd w:w="8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94"/>
        <w:gridCol w:w="969"/>
        <w:gridCol w:w="1128"/>
        <w:gridCol w:w="799"/>
        <w:gridCol w:w="2427"/>
        <w:gridCol w:w="2602"/>
      </w:tblGrid>
      <w:tr w14:paraId="27E027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9" w:hRule="atLeast"/>
        </w:trPr>
        <w:tc>
          <w:tcPr>
            <w:tcW w:w="794" w:type="dxa"/>
            <w:tcBorders>
              <w:top w:val="single" w:color="000000" w:sz="2" w:space="0"/>
              <w:bottom w:val="single" w:color="000000" w:sz="2" w:space="0"/>
            </w:tcBorders>
            <w:vAlign w:val="top"/>
          </w:tcPr>
          <w:p w14:paraId="797C9AD3">
            <w:pPr>
              <w:pStyle w:val="6"/>
              <w:spacing w:before="115" w:line="220" w:lineRule="auto"/>
              <w:ind w:left="27"/>
              <w:rPr>
                <w:sz w:val="18"/>
                <w:szCs w:val="18"/>
              </w:rPr>
            </w:pPr>
            <w:r>
              <w:rPr>
                <w:b/>
                <w:bCs/>
                <w:spacing w:val="5"/>
                <w:sz w:val="18"/>
                <w:szCs w:val="18"/>
              </w:rPr>
              <w:t>测试项目</w:t>
            </w:r>
          </w:p>
        </w:tc>
        <w:tc>
          <w:tcPr>
            <w:tcW w:w="969" w:type="dxa"/>
            <w:tcBorders>
              <w:top w:val="single" w:color="000000" w:sz="2" w:space="0"/>
              <w:bottom w:val="single" w:color="000000" w:sz="2" w:space="0"/>
            </w:tcBorders>
            <w:vAlign w:val="top"/>
          </w:tcPr>
          <w:p w14:paraId="280A0809">
            <w:pPr>
              <w:pStyle w:val="6"/>
              <w:spacing w:before="115" w:line="221" w:lineRule="auto"/>
              <w:ind w:left="113"/>
              <w:rPr>
                <w:sz w:val="18"/>
                <w:szCs w:val="18"/>
              </w:rPr>
            </w:pPr>
            <w:r>
              <w:rPr>
                <w:b/>
                <w:bCs/>
                <w:spacing w:val="-4"/>
                <w:sz w:val="18"/>
                <w:szCs w:val="18"/>
              </w:rPr>
              <w:t>测试用具</w:t>
            </w:r>
          </w:p>
        </w:tc>
        <w:tc>
          <w:tcPr>
            <w:tcW w:w="1128" w:type="dxa"/>
            <w:tcBorders>
              <w:top w:val="single" w:color="000000" w:sz="2" w:space="0"/>
              <w:bottom w:val="single" w:color="000000" w:sz="2" w:space="0"/>
            </w:tcBorders>
            <w:vAlign w:val="top"/>
          </w:tcPr>
          <w:p w14:paraId="1308DC04">
            <w:pPr>
              <w:pStyle w:val="6"/>
              <w:spacing w:before="114" w:line="219" w:lineRule="auto"/>
              <w:ind w:left="234"/>
              <w:rPr>
                <w:sz w:val="18"/>
                <w:szCs w:val="18"/>
              </w:rPr>
            </w:pPr>
            <w:r>
              <w:rPr>
                <w:b/>
                <w:bCs/>
                <w:spacing w:val="-4"/>
                <w:sz w:val="18"/>
                <w:szCs w:val="18"/>
              </w:rPr>
              <w:t>测试内容</w:t>
            </w:r>
          </w:p>
        </w:tc>
        <w:tc>
          <w:tcPr>
            <w:tcW w:w="799" w:type="dxa"/>
            <w:tcBorders>
              <w:top w:val="single" w:color="000000" w:sz="2" w:space="0"/>
              <w:bottom w:val="single" w:color="000000" w:sz="2" w:space="0"/>
            </w:tcBorders>
            <w:vAlign w:val="top"/>
          </w:tcPr>
          <w:p w14:paraId="404912BF">
            <w:pPr>
              <w:pStyle w:val="6"/>
              <w:spacing w:before="115" w:line="221" w:lineRule="auto"/>
              <w:ind w:left="36"/>
              <w:rPr>
                <w:sz w:val="18"/>
                <w:szCs w:val="18"/>
              </w:rPr>
            </w:pPr>
            <w:r>
              <w:rPr>
                <w:b/>
                <w:bCs/>
                <w:spacing w:val="-4"/>
                <w:sz w:val="18"/>
                <w:szCs w:val="18"/>
              </w:rPr>
              <w:t>测试方法</w:t>
            </w:r>
          </w:p>
        </w:tc>
        <w:tc>
          <w:tcPr>
            <w:tcW w:w="2427" w:type="dxa"/>
            <w:tcBorders>
              <w:top w:val="single" w:color="000000" w:sz="2" w:space="0"/>
              <w:bottom w:val="single" w:color="000000" w:sz="2" w:space="0"/>
            </w:tcBorders>
            <w:vAlign w:val="top"/>
          </w:tcPr>
          <w:p w14:paraId="7C266B98">
            <w:pPr>
              <w:pStyle w:val="6"/>
              <w:spacing w:before="115" w:line="221" w:lineRule="auto"/>
              <w:ind w:left="847"/>
              <w:rPr>
                <w:sz w:val="18"/>
                <w:szCs w:val="18"/>
              </w:rPr>
            </w:pPr>
            <w:r>
              <w:rPr>
                <w:b/>
                <w:bCs/>
                <w:spacing w:val="-4"/>
                <w:sz w:val="18"/>
                <w:szCs w:val="18"/>
              </w:rPr>
              <w:t>测试要求</w:t>
            </w:r>
          </w:p>
        </w:tc>
        <w:tc>
          <w:tcPr>
            <w:tcW w:w="2602" w:type="dxa"/>
            <w:tcBorders>
              <w:top w:val="single" w:color="000000" w:sz="2" w:space="0"/>
              <w:bottom w:val="single" w:color="000000" w:sz="2" w:space="0"/>
            </w:tcBorders>
            <w:vAlign w:val="top"/>
          </w:tcPr>
          <w:p w14:paraId="07B1D0B8">
            <w:pPr>
              <w:pStyle w:val="6"/>
              <w:spacing w:before="114" w:line="219" w:lineRule="auto"/>
              <w:ind w:left="980"/>
              <w:rPr>
                <w:sz w:val="18"/>
                <w:szCs w:val="18"/>
              </w:rPr>
            </w:pPr>
            <w:r>
              <w:rPr>
                <w:b/>
                <w:bCs/>
                <w:spacing w:val="-4"/>
                <w:sz w:val="18"/>
                <w:szCs w:val="18"/>
              </w:rPr>
              <w:t>赋分参考</w:t>
            </w:r>
          </w:p>
        </w:tc>
      </w:tr>
      <w:tr w14:paraId="68ABCE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3" w:hRule="atLeast"/>
        </w:trPr>
        <w:tc>
          <w:tcPr>
            <w:tcW w:w="794" w:type="dxa"/>
            <w:tcBorders>
              <w:top w:val="single" w:color="000000" w:sz="2" w:space="0"/>
              <w:bottom w:val="single" w:color="000000" w:sz="2" w:space="0"/>
            </w:tcBorders>
            <w:vAlign w:val="top"/>
          </w:tcPr>
          <w:p w14:paraId="1E6B534D">
            <w:pPr>
              <w:pStyle w:val="6"/>
              <w:spacing w:before="73" w:line="210" w:lineRule="auto"/>
              <w:ind w:left="24" w:firstLine="49"/>
              <w:jc w:val="both"/>
              <w:rPr>
                <w:sz w:val="18"/>
                <w:szCs w:val="18"/>
              </w:rPr>
            </w:pPr>
            <w:r>
              <w:rPr>
                <w:spacing w:val="-3"/>
                <w:sz w:val="18"/>
                <w:szCs w:val="18"/>
              </w:rPr>
              <w:t>项目三：</w:t>
            </w:r>
            <w:r>
              <w:rPr>
                <w:sz w:val="18"/>
                <w:szCs w:val="18"/>
              </w:rPr>
              <w:t xml:space="preserve"> 台词语言</w:t>
            </w:r>
            <w:r>
              <w:rPr>
                <w:spacing w:val="1"/>
                <w:sz w:val="18"/>
                <w:szCs w:val="18"/>
              </w:rPr>
              <w:t xml:space="preserve"> </w:t>
            </w:r>
            <w:r>
              <w:rPr>
                <w:spacing w:val="-1"/>
                <w:sz w:val="18"/>
                <w:szCs w:val="18"/>
              </w:rPr>
              <w:t>能力测试</w:t>
            </w:r>
            <w:r>
              <w:rPr>
                <w:sz w:val="18"/>
                <w:szCs w:val="18"/>
              </w:rPr>
              <w:t xml:space="preserve"> </w:t>
            </w:r>
            <w:r>
              <w:rPr>
                <w:spacing w:val="13"/>
                <w:sz w:val="18"/>
                <w:szCs w:val="18"/>
              </w:rPr>
              <w:t>(120分)</w:t>
            </w:r>
          </w:p>
        </w:tc>
        <w:tc>
          <w:tcPr>
            <w:tcW w:w="969" w:type="dxa"/>
            <w:vMerge w:val="restart"/>
            <w:tcBorders>
              <w:top w:val="single" w:color="000000" w:sz="2" w:space="0"/>
              <w:bottom w:val="nil"/>
            </w:tcBorders>
            <w:vAlign w:val="top"/>
          </w:tcPr>
          <w:p w14:paraId="6F492E64">
            <w:pPr>
              <w:spacing w:line="299" w:lineRule="auto"/>
              <w:rPr>
                <w:rFonts w:ascii="Arial"/>
                <w:sz w:val="21"/>
              </w:rPr>
            </w:pPr>
          </w:p>
          <w:p w14:paraId="3A689443">
            <w:pPr>
              <w:spacing w:line="300" w:lineRule="auto"/>
              <w:rPr>
                <w:rFonts w:ascii="Arial"/>
                <w:sz w:val="21"/>
              </w:rPr>
            </w:pPr>
          </w:p>
          <w:p w14:paraId="19AC9BC9">
            <w:pPr>
              <w:spacing w:line="300" w:lineRule="auto"/>
              <w:rPr>
                <w:rFonts w:ascii="Arial"/>
                <w:sz w:val="21"/>
              </w:rPr>
            </w:pPr>
          </w:p>
          <w:p w14:paraId="7896E063">
            <w:pPr>
              <w:pStyle w:val="6"/>
              <w:spacing w:before="58" w:line="220" w:lineRule="auto"/>
              <w:ind w:left="20"/>
              <w:rPr>
                <w:sz w:val="18"/>
                <w:szCs w:val="18"/>
              </w:rPr>
            </w:pPr>
            <w:r>
              <w:rPr>
                <w:spacing w:val="2"/>
                <w:sz w:val="18"/>
                <w:szCs w:val="18"/>
              </w:rPr>
              <w:t>钢琴、音响</w:t>
            </w:r>
          </w:p>
          <w:p w14:paraId="49FC53AF">
            <w:pPr>
              <w:pStyle w:val="6"/>
              <w:spacing w:before="24" w:line="205" w:lineRule="auto"/>
              <w:ind w:left="70"/>
              <w:rPr>
                <w:sz w:val="18"/>
                <w:szCs w:val="18"/>
              </w:rPr>
            </w:pPr>
            <w:r>
              <w:rPr>
                <w:spacing w:val="-2"/>
                <w:sz w:val="18"/>
                <w:szCs w:val="18"/>
              </w:rPr>
              <w:t>设备(考生</w:t>
            </w:r>
          </w:p>
          <w:p w14:paraId="00E5985D">
            <w:pPr>
              <w:pStyle w:val="6"/>
              <w:spacing w:line="219" w:lineRule="auto"/>
              <w:ind w:left="20"/>
              <w:rPr>
                <w:sz w:val="18"/>
                <w:szCs w:val="18"/>
              </w:rPr>
            </w:pPr>
            <w:r>
              <w:rPr>
                <w:spacing w:val="-2"/>
                <w:sz w:val="18"/>
                <w:szCs w:val="18"/>
              </w:rPr>
              <w:t>形体伴奏音</w:t>
            </w:r>
          </w:p>
          <w:p w14:paraId="31387EFE">
            <w:pPr>
              <w:pStyle w:val="6"/>
              <w:spacing w:before="36" w:line="197" w:lineRule="auto"/>
              <w:ind w:left="161"/>
              <w:rPr>
                <w:sz w:val="18"/>
                <w:szCs w:val="18"/>
              </w:rPr>
            </w:pPr>
            <w:r>
              <w:rPr>
                <w:spacing w:val="-3"/>
                <w:sz w:val="18"/>
                <w:szCs w:val="18"/>
              </w:rPr>
              <w:t>乐自备U</w:t>
            </w:r>
          </w:p>
          <w:p w14:paraId="48BEF378">
            <w:pPr>
              <w:pStyle w:val="6"/>
              <w:spacing w:line="222" w:lineRule="auto"/>
              <w:ind w:left="340"/>
              <w:rPr>
                <w:sz w:val="18"/>
                <w:szCs w:val="18"/>
              </w:rPr>
            </w:pPr>
            <w:r>
              <w:rPr>
                <w:spacing w:val="-4"/>
                <w:sz w:val="18"/>
                <w:szCs w:val="18"/>
              </w:rPr>
              <w:t>盘</w:t>
            </w:r>
            <w:r>
              <w:rPr>
                <w:spacing w:val="-36"/>
                <w:sz w:val="18"/>
                <w:szCs w:val="18"/>
              </w:rPr>
              <w:t xml:space="preserve"> </w:t>
            </w:r>
            <w:r>
              <w:rPr>
                <w:spacing w:val="-4"/>
                <w:sz w:val="18"/>
                <w:szCs w:val="18"/>
              </w:rPr>
              <w:t>)</w:t>
            </w:r>
          </w:p>
        </w:tc>
        <w:tc>
          <w:tcPr>
            <w:tcW w:w="1128" w:type="dxa"/>
            <w:tcBorders>
              <w:top w:val="single" w:color="000000" w:sz="2" w:space="0"/>
              <w:bottom w:val="single" w:color="000000" w:sz="2" w:space="0"/>
            </w:tcBorders>
            <w:vAlign w:val="top"/>
          </w:tcPr>
          <w:p w14:paraId="24F1CE3F">
            <w:pPr>
              <w:pStyle w:val="6"/>
              <w:spacing w:before="73" w:line="210" w:lineRule="auto"/>
              <w:ind w:left="1" w:right="12" w:firstLine="10"/>
              <w:jc w:val="both"/>
              <w:rPr>
                <w:sz w:val="18"/>
                <w:szCs w:val="18"/>
              </w:rPr>
            </w:pPr>
            <w:r>
              <w:rPr>
                <w:spacing w:val="-1"/>
                <w:sz w:val="18"/>
                <w:szCs w:val="18"/>
              </w:rPr>
              <w:t>仅限影视剧人</w:t>
            </w:r>
            <w:r>
              <w:rPr>
                <w:sz w:val="18"/>
                <w:szCs w:val="18"/>
              </w:rPr>
              <w:t xml:space="preserve"> </w:t>
            </w:r>
            <w:r>
              <w:rPr>
                <w:spacing w:val="3"/>
                <w:sz w:val="18"/>
                <w:szCs w:val="18"/>
              </w:rPr>
              <w:t>物独白、戏剧</w:t>
            </w:r>
            <w:r>
              <w:rPr>
                <w:spacing w:val="4"/>
                <w:sz w:val="18"/>
                <w:szCs w:val="18"/>
              </w:rPr>
              <w:t xml:space="preserve"> </w:t>
            </w:r>
            <w:r>
              <w:rPr>
                <w:sz w:val="18"/>
                <w:szCs w:val="18"/>
              </w:rPr>
              <w:t xml:space="preserve">人物独白、散 </w:t>
            </w:r>
            <w:r>
              <w:rPr>
                <w:spacing w:val="-2"/>
                <w:sz w:val="18"/>
                <w:szCs w:val="18"/>
              </w:rPr>
              <w:t>文或小说</w:t>
            </w:r>
          </w:p>
        </w:tc>
        <w:tc>
          <w:tcPr>
            <w:tcW w:w="799" w:type="dxa"/>
            <w:tcBorders>
              <w:top w:val="single" w:color="000000" w:sz="2" w:space="0"/>
              <w:bottom w:val="single" w:color="000000" w:sz="2" w:space="0"/>
            </w:tcBorders>
            <w:vAlign w:val="top"/>
          </w:tcPr>
          <w:p w14:paraId="2CA9B5EF">
            <w:pPr>
              <w:pStyle w:val="6"/>
              <w:spacing w:before="183" w:line="205" w:lineRule="auto"/>
              <w:ind w:left="34"/>
              <w:rPr>
                <w:sz w:val="18"/>
                <w:szCs w:val="18"/>
              </w:rPr>
            </w:pPr>
            <w:r>
              <w:rPr>
                <w:spacing w:val="-2"/>
                <w:sz w:val="18"/>
                <w:szCs w:val="18"/>
              </w:rPr>
              <w:t>现场测试</w:t>
            </w:r>
          </w:p>
          <w:p w14:paraId="02584C47">
            <w:pPr>
              <w:pStyle w:val="6"/>
              <w:spacing w:line="232" w:lineRule="auto"/>
              <w:ind w:left="162" w:right="110" w:hanging="39"/>
              <w:rPr>
                <w:sz w:val="18"/>
                <w:szCs w:val="18"/>
              </w:rPr>
            </w:pPr>
            <w:r>
              <w:rPr>
                <w:spacing w:val="3"/>
                <w:sz w:val="18"/>
                <w:szCs w:val="18"/>
              </w:rPr>
              <w:t>(3分钟</w:t>
            </w:r>
            <w:r>
              <w:rPr>
                <w:spacing w:val="1"/>
                <w:sz w:val="18"/>
                <w:szCs w:val="18"/>
              </w:rPr>
              <w:t xml:space="preserve"> </w:t>
            </w:r>
            <w:r>
              <w:rPr>
                <w:spacing w:val="13"/>
                <w:sz w:val="18"/>
                <w:szCs w:val="18"/>
              </w:rPr>
              <w:t>以内)</w:t>
            </w:r>
          </w:p>
        </w:tc>
        <w:tc>
          <w:tcPr>
            <w:tcW w:w="2427" w:type="dxa"/>
            <w:tcBorders>
              <w:top w:val="single" w:color="000000" w:sz="2" w:space="0"/>
              <w:bottom w:val="single" w:color="000000" w:sz="2" w:space="0"/>
            </w:tcBorders>
            <w:vAlign w:val="top"/>
          </w:tcPr>
          <w:p w14:paraId="1B6F1263">
            <w:pPr>
              <w:pStyle w:val="6"/>
              <w:spacing w:before="162" w:line="231" w:lineRule="auto"/>
              <w:ind w:left="14" w:right="28" w:firstLine="20"/>
              <w:jc w:val="both"/>
              <w:rPr>
                <w:sz w:val="18"/>
                <w:szCs w:val="18"/>
              </w:rPr>
            </w:pPr>
            <w:r>
              <w:rPr>
                <w:spacing w:val="1"/>
                <w:sz w:val="18"/>
                <w:szCs w:val="18"/>
              </w:rPr>
              <w:t>脱稿朗诵自备诗歌、散文、寓</w:t>
            </w:r>
            <w:r>
              <w:rPr>
                <w:sz w:val="18"/>
                <w:szCs w:val="18"/>
              </w:rPr>
              <w:t xml:space="preserve"> </w:t>
            </w:r>
            <w:r>
              <w:rPr>
                <w:spacing w:val="2"/>
                <w:sz w:val="18"/>
                <w:szCs w:val="18"/>
              </w:rPr>
              <w:t>言、小说等文学作品或戏剧影</w:t>
            </w:r>
            <w:r>
              <w:rPr>
                <w:sz w:val="18"/>
                <w:szCs w:val="18"/>
              </w:rPr>
              <w:t xml:space="preserve"> </w:t>
            </w:r>
            <w:r>
              <w:rPr>
                <w:spacing w:val="-2"/>
                <w:sz w:val="18"/>
                <w:szCs w:val="18"/>
              </w:rPr>
              <w:t>视台词片段</w:t>
            </w:r>
          </w:p>
        </w:tc>
        <w:tc>
          <w:tcPr>
            <w:tcW w:w="2602" w:type="dxa"/>
            <w:tcBorders>
              <w:top w:val="single" w:color="000000" w:sz="2" w:space="0"/>
              <w:bottom w:val="single" w:color="000000" w:sz="2" w:space="0"/>
            </w:tcBorders>
            <w:vAlign w:val="top"/>
          </w:tcPr>
          <w:p w14:paraId="41BDDAE7">
            <w:pPr>
              <w:pStyle w:val="6"/>
              <w:spacing w:before="63" w:line="219" w:lineRule="auto"/>
              <w:jc w:val="right"/>
              <w:rPr>
                <w:sz w:val="18"/>
                <w:szCs w:val="18"/>
              </w:rPr>
            </w:pPr>
            <w:r>
              <w:rPr>
                <w:spacing w:val="-1"/>
                <w:sz w:val="18"/>
                <w:szCs w:val="18"/>
              </w:rPr>
              <w:t>普通话标准，朗诵自然真实(40</w:t>
            </w:r>
          </w:p>
          <w:p w14:paraId="17702E33">
            <w:pPr>
              <w:pStyle w:val="6"/>
              <w:spacing w:before="4" w:line="209" w:lineRule="auto"/>
              <w:ind w:left="48" w:firstLine="208"/>
              <w:jc w:val="both"/>
              <w:rPr>
                <w:sz w:val="18"/>
                <w:szCs w:val="18"/>
              </w:rPr>
            </w:pPr>
            <w:r>
              <w:rPr>
                <w:spacing w:val="-1"/>
                <w:sz w:val="18"/>
                <w:szCs w:val="18"/>
              </w:rPr>
              <w:t>分);具有良好的作品理解能力</w:t>
            </w:r>
            <w:r>
              <w:rPr>
                <w:spacing w:val="8"/>
                <w:sz w:val="18"/>
                <w:szCs w:val="18"/>
              </w:rPr>
              <w:t xml:space="preserve"> </w:t>
            </w:r>
            <w:r>
              <w:rPr>
                <w:spacing w:val="33"/>
                <w:sz w:val="18"/>
                <w:szCs w:val="18"/>
              </w:rPr>
              <w:t>(30分);感受能力和表达能</w:t>
            </w:r>
            <w:r>
              <w:rPr>
                <w:spacing w:val="4"/>
                <w:sz w:val="18"/>
                <w:szCs w:val="18"/>
              </w:rPr>
              <w:t xml:space="preserve"> </w:t>
            </w:r>
            <w:r>
              <w:rPr>
                <w:spacing w:val="3"/>
                <w:sz w:val="18"/>
                <w:szCs w:val="18"/>
              </w:rPr>
              <w:t>力良好(50分)</w:t>
            </w:r>
          </w:p>
        </w:tc>
      </w:tr>
      <w:tr w14:paraId="1C7A78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93" w:hRule="atLeast"/>
        </w:trPr>
        <w:tc>
          <w:tcPr>
            <w:tcW w:w="794" w:type="dxa"/>
            <w:tcBorders>
              <w:top w:val="single" w:color="000000" w:sz="2" w:space="0"/>
              <w:bottom w:val="single" w:color="000000" w:sz="2" w:space="0"/>
            </w:tcBorders>
            <w:vAlign w:val="top"/>
          </w:tcPr>
          <w:p w14:paraId="556C8CB8">
            <w:pPr>
              <w:pStyle w:val="6"/>
              <w:spacing w:before="64" w:line="217" w:lineRule="auto"/>
              <w:ind w:left="15" w:firstLine="59"/>
              <w:jc w:val="both"/>
              <w:rPr>
                <w:sz w:val="18"/>
                <w:szCs w:val="18"/>
              </w:rPr>
            </w:pPr>
            <w:r>
              <w:rPr>
                <w:spacing w:val="-3"/>
                <w:sz w:val="18"/>
                <w:szCs w:val="18"/>
              </w:rPr>
              <w:t>项目四：</w:t>
            </w:r>
            <w:r>
              <w:rPr>
                <w:sz w:val="18"/>
                <w:szCs w:val="18"/>
              </w:rPr>
              <w:t xml:space="preserve"> </w:t>
            </w:r>
            <w:r>
              <w:rPr>
                <w:spacing w:val="-15"/>
                <w:w w:val="92"/>
                <w:sz w:val="18"/>
                <w:szCs w:val="18"/>
              </w:rPr>
              <w:t>形体能力测</w:t>
            </w:r>
            <w:r>
              <w:rPr>
                <w:spacing w:val="7"/>
                <w:sz w:val="18"/>
                <w:szCs w:val="18"/>
              </w:rPr>
              <w:t xml:space="preserve"> </w:t>
            </w:r>
            <w:r>
              <w:rPr>
                <w:spacing w:val="6"/>
                <w:sz w:val="18"/>
                <w:szCs w:val="18"/>
              </w:rPr>
              <w:t>试(80分)</w:t>
            </w:r>
          </w:p>
        </w:tc>
        <w:tc>
          <w:tcPr>
            <w:tcW w:w="969" w:type="dxa"/>
            <w:vMerge w:val="continue"/>
            <w:tcBorders>
              <w:top w:val="nil"/>
              <w:bottom w:val="nil"/>
            </w:tcBorders>
            <w:vAlign w:val="top"/>
          </w:tcPr>
          <w:p w14:paraId="30D78650">
            <w:pPr>
              <w:rPr>
                <w:rFonts w:ascii="Arial"/>
                <w:sz w:val="21"/>
              </w:rPr>
            </w:pPr>
          </w:p>
        </w:tc>
        <w:tc>
          <w:tcPr>
            <w:tcW w:w="1128" w:type="dxa"/>
            <w:tcBorders>
              <w:top w:val="single" w:color="000000" w:sz="2" w:space="0"/>
              <w:bottom w:val="single" w:color="000000" w:sz="2" w:space="0"/>
            </w:tcBorders>
            <w:vAlign w:val="top"/>
          </w:tcPr>
          <w:p w14:paraId="2E27DC2C">
            <w:pPr>
              <w:pStyle w:val="6"/>
              <w:spacing w:before="145" w:line="227" w:lineRule="auto"/>
              <w:ind w:left="1" w:right="35"/>
              <w:jc w:val="both"/>
              <w:rPr>
                <w:sz w:val="18"/>
                <w:szCs w:val="18"/>
              </w:rPr>
            </w:pPr>
            <w:r>
              <w:rPr>
                <w:spacing w:val="-2"/>
                <w:sz w:val="18"/>
                <w:szCs w:val="18"/>
              </w:rPr>
              <w:t>表演自选舞蹈</w:t>
            </w:r>
            <w:r>
              <w:rPr>
                <w:spacing w:val="4"/>
                <w:sz w:val="18"/>
                <w:szCs w:val="18"/>
              </w:rPr>
              <w:t xml:space="preserve"> </w:t>
            </w:r>
            <w:r>
              <w:rPr>
                <w:sz w:val="18"/>
                <w:szCs w:val="18"/>
              </w:rPr>
              <w:t xml:space="preserve">或武术等形体 </w:t>
            </w:r>
            <w:r>
              <w:rPr>
                <w:spacing w:val="-3"/>
                <w:sz w:val="18"/>
                <w:szCs w:val="18"/>
              </w:rPr>
              <w:t>片段</w:t>
            </w:r>
          </w:p>
        </w:tc>
        <w:tc>
          <w:tcPr>
            <w:tcW w:w="799" w:type="dxa"/>
            <w:tcBorders>
              <w:top w:val="single" w:color="000000" w:sz="2" w:space="0"/>
              <w:bottom w:val="single" w:color="000000" w:sz="2" w:space="0"/>
            </w:tcBorders>
            <w:vAlign w:val="top"/>
          </w:tcPr>
          <w:p w14:paraId="65A01E5D">
            <w:pPr>
              <w:pStyle w:val="6"/>
              <w:spacing w:before="145" w:line="223" w:lineRule="auto"/>
              <w:ind w:left="13" w:firstLine="19"/>
              <w:rPr>
                <w:sz w:val="18"/>
                <w:szCs w:val="18"/>
              </w:rPr>
            </w:pPr>
            <w:r>
              <w:rPr>
                <w:spacing w:val="-8"/>
                <w:sz w:val="18"/>
                <w:szCs w:val="18"/>
              </w:rPr>
              <w:t>伴奏自带</w:t>
            </w:r>
            <w:r>
              <w:rPr>
                <w:sz w:val="18"/>
                <w:szCs w:val="18"/>
              </w:rPr>
              <w:t xml:space="preserve"> </w:t>
            </w:r>
            <w:r>
              <w:rPr>
                <w:spacing w:val="1"/>
                <w:sz w:val="18"/>
                <w:szCs w:val="18"/>
              </w:rPr>
              <w:t>U</w:t>
            </w:r>
            <w:r>
              <w:rPr>
                <w:spacing w:val="-29"/>
                <w:sz w:val="18"/>
                <w:szCs w:val="18"/>
              </w:rPr>
              <w:t xml:space="preserve"> </w:t>
            </w:r>
            <w:r>
              <w:rPr>
                <w:spacing w:val="1"/>
                <w:sz w:val="18"/>
                <w:szCs w:val="18"/>
              </w:rPr>
              <w:t>盘 (</w:t>
            </w:r>
            <w:r>
              <w:rPr>
                <w:spacing w:val="-29"/>
                <w:sz w:val="18"/>
                <w:szCs w:val="18"/>
              </w:rPr>
              <w:t xml:space="preserve"> </w:t>
            </w:r>
            <w:r>
              <w:rPr>
                <w:spacing w:val="1"/>
                <w:sz w:val="18"/>
                <w:szCs w:val="18"/>
              </w:rPr>
              <w:t>2</w:t>
            </w:r>
            <w:r>
              <w:rPr>
                <w:sz w:val="18"/>
                <w:szCs w:val="18"/>
              </w:rPr>
              <w:t xml:space="preserve">  </w:t>
            </w:r>
            <w:r>
              <w:rPr>
                <w:spacing w:val="-7"/>
                <w:sz w:val="18"/>
                <w:szCs w:val="18"/>
              </w:rPr>
              <w:t>分钟以内)</w:t>
            </w:r>
          </w:p>
        </w:tc>
        <w:tc>
          <w:tcPr>
            <w:tcW w:w="2427" w:type="dxa"/>
            <w:tcBorders>
              <w:top w:val="single" w:color="000000" w:sz="2" w:space="0"/>
              <w:bottom w:val="single" w:color="000000" w:sz="2" w:space="0"/>
            </w:tcBorders>
            <w:vAlign w:val="top"/>
          </w:tcPr>
          <w:p w14:paraId="09DD2B6D">
            <w:pPr>
              <w:pStyle w:val="6"/>
              <w:spacing w:before="263" w:line="228" w:lineRule="auto"/>
              <w:ind w:left="25" w:firstLine="9"/>
              <w:rPr>
                <w:sz w:val="18"/>
                <w:szCs w:val="18"/>
              </w:rPr>
            </w:pPr>
            <w:r>
              <w:rPr>
                <w:spacing w:val="3"/>
                <w:sz w:val="18"/>
                <w:szCs w:val="18"/>
              </w:rPr>
              <w:t>自选舞蹈、戏曲身段、武术、</w:t>
            </w:r>
            <w:r>
              <w:rPr>
                <w:spacing w:val="2"/>
                <w:sz w:val="18"/>
                <w:szCs w:val="18"/>
              </w:rPr>
              <w:t xml:space="preserve"> </w:t>
            </w:r>
            <w:r>
              <w:rPr>
                <w:spacing w:val="-4"/>
                <w:sz w:val="18"/>
                <w:szCs w:val="18"/>
              </w:rPr>
              <w:t>体操等形体片段均可</w:t>
            </w:r>
          </w:p>
        </w:tc>
        <w:tc>
          <w:tcPr>
            <w:tcW w:w="2602" w:type="dxa"/>
            <w:tcBorders>
              <w:top w:val="single" w:color="000000" w:sz="2" w:space="0"/>
              <w:bottom w:val="single" w:color="000000" w:sz="2" w:space="0"/>
            </w:tcBorders>
            <w:vAlign w:val="top"/>
          </w:tcPr>
          <w:p w14:paraId="64B83BB2">
            <w:pPr>
              <w:pStyle w:val="6"/>
              <w:spacing w:before="164" w:line="219" w:lineRule="auto"/>
              <w:ind w:right="1"/>
              <w:jc w:val="right"/>
              <w:rPr>
                <w:sz w:val="18"/>
                <w:szCs w:val="18"/>
              </w:rPr>
            </w:pPr>
            <w:r>
              <w:rPr>
                <w:spacing w:val="-1"/>
                <w:sz w:val="18"/>
                <w:szCs w:val="18"/>
              </w:rPr>
              <w:t>肢体运动协调、韵律感强(40</w:t>
            </w:r>
          </w:p>
          <w:p w14:paraId="6F867C21">
            <w:pPr>
              <w:pStyle w:val="6"/>
              <w:spacing w:before="6" w:line="212" w:lineRule="auto"/>
              <w:ind w:left="27" w:right="3" w:firstLine="230"/>
              <w:rPr>
                <w:sz w:val="18"/>
                <w:szCs w:val="18"/>
              </w:rPr>
            </w:pPr>
            <w:r>
              <w:rPr>
                <w:spacing w:val="-1"/>
                <w:sz w:val="18"/>
                <w:szCs w:val="18"/>
              </w:rPr>
              <w:t>分);形体的可塑性和情感表达</w:t>
            </w:r>
            <w:r>
              <w:rPr>
                <w:spacing w:val="3"/>
                <w:sz w:val="18"/>
                <w:szCs w:val="18"/>
              </w:rPr>
              <w:t xml:space="preserve"> </w:t>
            </w:r>
            <w:r>
              <w:rPr>
                <w:spacing w:val="-15"/>
                <w:sz w:val="18"/>
                <w:szCs w:val="18"/>
              </w:rPr>
              <w:t>良</w:t>
            </w:r>
            <w:r>
              <w:rPr>
                <w:spacing w:val="-36"/>
                <w:sz w:val="18"/>
                <w:szCs w:val="18"/>
              </w:rPr>
              <w:t xml:space="preserve"> </w:t>
            </w:r>
            <w:r>
              <w:rPr>
                <w:spacing w:val="-15"/>
                <w:sz w:val="18"/>
                <w:szCs w:val="18"/>
              </w:rPr>
              <w:t>好 (</w:t>
            </w:r>
            <w:r>
              <w:rPr>
                <w:spacing w:val="-41"/>
                <w:sz w:val="18"/>
                <w:szCs w:val="18"/>
              </w:rPr>
              <w:t xml:space="preserve"> </w:t>
            </w:r>
            <w:r>
              <w:rPr>
                <w:spacing w:val="-15"/>
                <w:sz w:val="18"/>
                <w:szCs w:val="18"/>
              </w:rPr>
              <w:t>4</w:t>
            </w:r>
            <w:r>
              <w:rPr>
                <w:spacing w:val="-39"/>
                <w:sz w:val="18"/>
                <w:szCs w:val="18"/>
              </w:rPr>
              <w:t xml:space="preserve"> </w:t>
            </w:r>
            <w:r>
              <w:rPr>
                <w:spacing w:val="-15"/>
                <w:sz w:val="18"/>
                <w:szCs w:val="18"/>
              </w:rPr>
              <w:t>0</w:t>
            </w:r>
            <w:r>
              <w:rPr>
                <w:spacing w:val="-39"/>
                <w:sz w:val="18"/>
                <w:szCs w:val="18"/>
              </w:rPr>
              <w:t xml:space="preserve"> </w:t>
            </w:r>
            <w:r>
              <w:rPr>
                <w:spacing w:val="-15"/>
                <w:sz w:val="18"/>
                <w:szCs w:val="18"/>
              </w:rPr>
              <w:t>分</w:t>
            </w:r>
            <w:r>
              <w:rPr>
                <w:spacing w:val="-39"/>
                <w:sz w:val="18"/>
                <w:szCs w:val="18"/>
              </w:rPr>
              <w:t xml:space="preserve"> </w:t>
            </w:r>
            <w:r>
              <w:rPr>
                <w:spacing w:val="-15"/>
                <w:sz w:val="18"/>
                <w:szCs w:val="18"/>
              </w:rPr>
              <w:t>)</w:t>
            </w:r>
          </w:p>
        </w:tc>
      </w:tr>
      <w:tr w14:paraId="1F33B8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48" w:hRule="atLeast"/>
        </w:trPr>
        <w:tc>
          <w:tcPr>
            <w:tcW w:w="794" w:type="dxa"/>
            <w:tcBorders>
              <w:top w:val="single" w:color="000000" w:sz="2" w:space="0"/>
              <w:bottom w:val="single" w:color="000000" w:sz="2" w:space="0"/>
            </w:tcBorders>
            <w:vAlign w:val="top"/>
          </w:tcPr>
          <w:p w14:paraId="1CE50A37">
            <w:pPr>
              <w:pStyle w:val="6"/>
              <w:spacing w:before="55" w:line="222" w:lineRule="auto"/>
              <w:ind w:left="15" w:firstLine="59"/>
              <w:jc w:val="both"/>
              <w:rPr>
                <w:sz w:val="18"/>
                <w:szCs w:val="18"/>
              </w:rPr>
            </w:pPr>
            <w:r>
              <w:rPr>
                <w:spacing w:val="-3"/>
                <w:sz w:val="18"/>
                <w:szCs w:val="18"/>
              </w:rPr>
              <w:t>项目五：</w:t>
            </w:r>
            <w:r>
              <w:rPr>
                <w:sz w:val="18"/>
                <w:szCs w:val="18"/>
              </w:rPr>
              <w:t xml:space="preserve"> </w:t>
            </w:r>
            <w:r>
              <w:rPr>
                <w:spacing w:val="-2"/>
                <w:sz w:val="18"/>
                <w:szCs w:val="18"/>
              </w:rPr>
              <w:t>表演命题</w:t>
            </w:r>
            <w:r>
              <w:rPr>
                <w:sz w:val="18"/>
                <w:szCs w:val="18"/>
              </w:rPr>
              <w:t xml:space="preserve"> </w:t>
            </w:r>
            <w:r>
              <w:rPr>
                <w:spacing w:val="3"/>
                <w:sz w:val="18"/>
                <w:szCs w:val="18"/>
              </w:rPr>
              <w:t>小品能力</w:t>
            </w:r>
            <w:r>
              <w:rPr>
                <w:spacing w:val="1"/>
                <w:sz w:val="18"/>
                <w:szCs w:val="18"/>
              </w:rPr>
              <w:t xml:space="preserve"> </w:t>
            </w:r>
            <w:r>
              <w:rPr>
                <w:spacing w:val="-2"/>
                <w:sz w:val="18"/>
                <w:szCs w:val="18"/>
              </w:rPr>
              <w:t>测试(150</w:t>
            </w:r>
            <w:r>
              <w:rPr>
                <w:spacing w:val="3"/>
                <w:sz w:val="18"/>
                <w:szCs w:val="18"/>
              </w:rPr>
              <w:t xml:space="preserve"> </w:t>
            </w:r>
            <w:r>
              <w:rPr>
                <w:spacing w:val="-6"/>
                <w:sz w:val="18"/>
                <w:szCs w:val="18"/>
              </w:rPr>
              <w:t>分</w:t>
            </w:r>
            <w:r>
              <w:rPr>
                <w:spacing w:val="-35"/>
                <w:sz w:val="18"/>
                <w:szCs w:val="18"/>
              </w:rPr>
              <w:t xml:space="preserve"> </w:t>
            </w:r>
            <w:r>
              <w:rPr>
                <w:spacing w:val="-6"/>
                <w:sz w:val="18"/>
                <w:szCs w:val="18"/>
              </w:rPr>
              <w:t>)</w:t>
            </w:r>
          </w:p>
        </w:tc>
        <w:tc>
          <w:tcPr>
            <w:tcW w:w="969" w:type="dxa"/>
            <w:vMerge w:val="continue"/>
            <w:tcBorders>
              <w:top w:val="nil"/>
              <w:bottom w:val="single" w:color="000000" w:sz="2" w:space="0"/>
            </w:tcBorders>
            <w:vAlign w:val="top"/>
          </w:tcPr>
          <w:p w14:paraId="3433B4E0">
            <w:pPr>
              <w:rPr>
                <w:rFonts w:ascii="Arial"/>
                <w:sz w:val="21"/>
              </w:rPr>
            </w:pPr>
          </w:p>
        </w:tc>
        <w:tc>
          <w:tcPr>
            <w:tcW w:w="1128" w:type="dxa"/>
            <w:tcBorders>
              <w:top w:val="single" w:color="000000" w:sz="2" w:space="0"/>
              <w:bottom w:val="single" w:color="000000" w:sz="2" w:space="0"/>
            </w:tcBorders>
            <w:vAlign w:val="top"/>
          </w:tcPr>
          <w:p w14:paraId="237E3CEB">
            <w:pPr>
              <w:spacing w:line="325" w:lineRule="auto"/>
              <w:rPr>
                <w:rFonts w:ascii="Arial"/>
                <w:sz w:val="21"/>
              </w:rPr>
            </w:pPr>
          </w:p>
          <w:p w14:paraId="68EF7E29">
            <w:pPr>
              <w:pStyle w:val="6"/>
              <w:spacing w:before="59" w:line="244" w:lineRule="auto"/>
              <w:ind w:left="1" w:right="43"/>
              <w:rPr>
                <w:sz w:val="18"/>
                <w:szCs w:val="18"/>
              </w:rPr>
            </w:pPr>
            <w:r>
              <w:rPr>
                <w:spacing w:val="-2"/>
                <w:sz w:val="18"/>
                <w:szCs w:val="18"/>
              </w:rPr>
              <w:t>根据命题编演</w:t>
            </w:r>
            <w:r>
              <w:rPr>
                <w:spacing w:val="3"/>
                <w:sz w:val="18"/>
                <w:szCs w:val="18"/>
              </w:rPr>
              <w:t xml:space="preserve"> </w:t>
            </w:r>
            <w:r>
              <w:rPr>
                <w:spacing w:val="4"/>
                <w:sz w:val="18"/>
                <w:szCs w:val="18"/>
              </w:rPr>
              <w:t>即兴小品</w:t>
            </w:r>
          </w:p>
        </w:tc>
        <w:tc>
          <w:tcPr>
            <w:tcW w:w="799" w:type="dxa"/>
            <w:tcBorders>
              <w:top w:val="single" w:color="000000" w:sz="2" w:space="0"/>
              <w:bottom w:val="single" w:color="000000" w:sz="2" w:space="0"/>
            </w:tcBorders>
            <w:vAlign w:val="top"/>
          </w:tcPr>
          <w:p w14:paraId="6033C7FD">
            <w:pPr>
              <w:pStyle w:val="6"/>
              <w:spacing w:before="185" w:line="219" w:lineRule="auto"/>
              <w:ind w:left="13" w:firstLine="19"/>
              <w:jc w:val="both"/>
              <w:rPr>
                <w:sz w:val="18"/>
                <w:szCs w:val="18"/>
              </w:rPr>
            </w:pPr>
            <w:r>
              <w:rPr>
                <w:spacing w:val="-8"/>
                <w:sz w:val="18"/>
                <w:szCs w:val="18"/>
              </w:rPr>
              <w:t>现场抽题</w:t>
            </w:r>
            <w:r>
              <w:rPr>
                <w:sz w:val="18"/>
                <w:szCs w:val="18"/>
              </w:rPr>
              <w:t xml:space="preserve"> </w:t>
            </w:r>
            <w:r>
              <w:rPr>
                <w:spacing w:val="-3"/>
                <w:sz w:val="18"/>
                <w:szCs w:val="18"/>
              </w:rPr>
              <w:t>测试，集</w:t>
            </w:r>
            <w:r>
              <w:rPr>
                <w:sz w:val="18"/>
                <w:szCs w:val="18"/>
              </w:rPr>
              <w:t xml:space="preserve"> </w:t>
            </w:r>
            <w:r>
              <w:rPr>
                <w:spacing w:val="-3"/>
                <w:sz w:val="18"/>
                <w:szCs w:val="18"/>
              </w:rPr>
              <w:t>体小品(5</w:t>
            </w:r>
            <w:r>
              <w:rPr>
                <w:spacing w:val="3"/>
                <w:sz w:val="18"/>
                <w:szCs w:val="18"/>
              </w:rPr>
              <w:t xml:space="preserve"> </w:t>
            </w:r>
            <w:r>
              <w:rPr>
                <w:spacing w:val="-7"/>
                <w:sz w:val="18"/>
                <w:szCs w:val="18"/>
              </w:rPr>
              <w:t>分钟以内)</w:t>
            </w:r>
          </w:p>
        </w:tc>
        <w:tc>
          <w:tcPr>
            <w:tcW w:w="2427" w:type="dxa"/>
            <w:tcBorders>
              <w:top w:val="single" w:color="000000" w:sz="2" w:space="0"/>
              <w:bottom w:val="single" w:color="000000" w:sz="2" w:space="0"/>
            </w:tcBorders>
            <w:vAlign w:val="top"/>
          </w:tcPr>
          <w:p w14:paraId="4ABBA6EB">
            <w:pPr>
              <w:spacing w:line="324" w:lineRule="auto"/>
              <w:rPr>
                <w:rFonts w:ascii="Arial"/>
                <w:sz w:val="21"/>
              </w:rPr>
            </w:pPr>
          </w:p>
          <w:p w14:paraId="68EA2A90">
            <w:pPr>
              <w:pStyle w:val="6"/>
              <w:spacing w:before="59" w:line="228" w:lineRule="auto"/>
              <w:ind w:left="25" w:right="32" w:firstLine="10"/>
              <w:rPr>
                <w:sz w:val="18"/>
                <w:szCs w:val="18"/>
              </w:rPr>
            </w:pPr>
            <w:r>
              <w:rPr>
                <w:sz w:val="18"/>
                <w:szCs w:val="18"/>
              </w:rPr>
              <w:t>随机抽取试题，根据试题内容</w:t>
            </w:r>
            <w:r>
              <w:rPr>
                <w:spacing w:val="8"/>
                <w:sz w:val="18"/>
                <w:szCs w:val="18"/>
              </w:rPr>
              <w:t xml:space="preserve"> </w:t>
            </w:r>
            <w:r>
              <w:rPr>
                <w:spacing w:val="2"/>
                <w:sz w:val="18"/>
                <w:szCs w:val="18"/>
              </w:rPr>
              <w:t>集体编演即兴小品</w:t>
            </w:r>
          </w:p>
        </w:tc>
        <w:tc>
          <w:tcPr>
            <w:tcW w:w="2602" w:type="dxa"/>
            <w:tcBorders>
              <w:top w:val="single" w:color="000000" w:sz="2" w:space="0"/>
              <w:bottom w:val="single" w:color="000000" w:sz="2" w:space="0"/>
            </w:tcBorders>
            <w:vAlign w:val="top"/>
          </w:tcPr>
          <w:p w14:paraId="5512A4C0">
            <w:pPr>
              <w:pStyle w:val="6"/>
              <w:spacing w:before="56" w:line="229" w:lineRule="auto"/>
              <w:ind w:left="168" w:right="3"/>
              <w:jc w:val="right"/>
              <w:rPr>
                <w:sz w:val="18"/>
                <w:szCs w:val="18"/>
              </w:rPr>
            </w:pPr>
            <w:r>
              <w:rPr>
                <w:spacing w:val="-1"/>
                <w:sz w:val="18"/>
                <w:szCs w:val="18"/>
              </w:rPr>
              <w:t>建立适当的环境和人物关系(30</w:t>
            </w:r>
            <w:r>
              <w:rPr>
                <w:spacing w:val="4"/>
                <w:sz w:val="18"/>
                <w:szCs w:val="18"/>
              </w:rPr>
              <w:t xml:space="preserve"> </w:t>
            </w:r>
            <w:r>
              <w:rPr>
                <w:spacing w:val="11"/>
                <w:sz w:val="18"/>
                <w:szCs w:val="18"/>
              </w:rPr>
              <w:t>分),各自角色和任务明确(30</w:t>
            </w:r>
            <w:r>
              <w:rPr>
                <w:spacing w:val="4"/>
                <w:sz w:val="18"/>
                <w:szCs w:val="18"/>
              </w:rPr>
              <w:t xml:space="preserve"> </w:t>
            </w:r>
            <w:r>
              <w:rPr>
                <w:spacing w:val="-1"/>
                <w:sz w:val="18"/>
                <w:szCs w:val="18"/>
              </w:rPr>
              <w:t>分),考生的想象力、理解力(30</w:t>
            </w:r>
          </w:p>
          <w:p w14:paraId="7C20736E">
            <w:pPr>
              <w:pStyle w:val="6"/>
              <w:spacing w:line="211" w:lineRule="auto"/>
              <w:ind w:left="17" w:firstLine="238"/>
              <w:rPr>
                <w:sz w:val="18"/>
                <w:szCs w:val="18"/>
              </w:rPr>
            </w:pPr>
            <w:r>
              <w:rPr>
                <w:spacing w:val="-1"/>
                <w:sz w:val="18"/>
                <w:szCs w:val="18"/>
              </w:rPr>
              <w:t>分);考生的表现力和应变能力</w:t>
            </w:r>
            <w:r>
              <w:rPr>
                <w:spacing w:val="8"/>
                <w:sz w:val="18"/>
                <w:szCs w:val="18"/>
              </w:rPr>
              <w:t xml:space="preserve"> </w:t>
            </w:r>
            <w:r>
              <w:rPr>
                <w:spacing w:val="2"/>
                <w:sz w:val="18"/>
                <w:szCs w:val="18"/>
              </w:rPr>
              <w:t>等内在素质(60分)</w:t>
            </w:r>
          </w:p>
        </w:tc>
      </w:tr>
    </w:tbl>
    <w:p w14:paraId="0137C142">
      <w:pPr>
        <w:pStyle w:val="2"/>
        <w:spacing w:line="14" w:lineRule="auto"/>
        <w:rPr>
          <w:sz w:val="2"/>
        </w:rPr>
      </w:pPr>
    </w:p>
    <w:p w14:paraId="3FECA2F5">
      <w:pPr>
        <w:spacing w:line="14" w:lineRule="auto"/>
        <w:rPr>
          <w:sz w:val="2"/>
          <w:szCs w:val="2"/>
        </w:rPr>
        <w:sectPr>
          <w:type w:val="continuous"/>
          <w:pgSz w:w="10660" w:h="15080"/>
          <w:pgMar w:top="400" w:right="1045" w:bottom="898" w:left="809" w:header="0" w:footer="745" w:gutter="0"/>
          <w:cols w:equalWidth="0" w:num="1">
            <w:col w:w="8806"/>
          </w:cols>
        </w:sectPr>
      </w:pPr>
    </w:p>
    <w:p w14:paraId="1405632D">
      <w:pPr>
        <w:spacing w:before="2"/>
      </w:pPr>
    </w:p>
    <w:p w14:paraId="1C49CC47">
      <w:pPr>
        <w:spacing w:before="2"/>
      </w:pPr>
    </w:p>
    <w:p w14:paraId="3DDF657D">
      <w:pPr>
        <w:spacing w:before="1"/>
      </w:pPr>
    </w:p>
    <w:p w14:paraId="448AD68D">
      <w:pPr>
        <w:spacing w:before="1"/>
      </w:pPr>
    </w:p>
    <w:p w14:paraId="465EE80E">
      <w:pPr>
        <w:sectPr>
          <w:footerReference r:id="rId145" w:type="default"/>
          <w:pgSz w:w="10660" w:h="15080"/>
          <w:pgMar w:top="400" w:right="910" w:bottom="912" w:left="1010" w:header="0" w:footer="741" w:gutter="0"/>
          <w:cols w:equalWidth="0" w:num="1">
            <w:col w:w="8740"/>
          </w:cols>
        </w:sectPr>
      </w:pPr>
    </w:p>
    <w:p w14:paraId="03B15065">
      <w:pPr>
        <w:pStyle w:val="2"/>
        <w:spacing w:line="362" w:lineRule="auto"/>
      </w:pPr>
    </w:p>
    <w:p w14:paraId="28624C55">
      <w:pPr>
        <w:spacing w:before="88" w:line="221" w:lineRule="auto"/>
        <w:ind w:left="713"/>
        <w:rPr>
          <w:rFonts w:ascii="黑体" w:hAnsi="黑体" w:eastAsia="黑体" w:cs="黑体"/>
          <w:sz w:val="27"/>
          <w:szCs w:val="27"/>
        </w:rPr>
      </w:pPr>
      <w:r>
        <w:rPr>
          <w:rFonts w:ascii="黑体" w:hAnsi="黑体" w:eastAsia="黑体" w:cs="黑体"/>
          <w:b/>
          <w:bCs/>
          <w:spacing w:val="5"/>
          <w:sz w:val="27"/>
          <w:szCs w:val="27"/>
        </w:rPr>
        <w:t>第二部分戏曲表演方向</w:t>
      </w:r>
    </w:p>
    <w:p w14:paraId="48B63ED5">
      <w:pPr>
        <w:pStyle w:val="2"/>
        <w:spacing w:line="266" w:lineRule="auto"/>
      </w:pPr>
    </w:p>
    <w:p w14:paraId="48832A47">
      <w:pPr>
        <w:pStyle w:val="2"/>
        <w:spacing w:line="266" w:lineRule="auto"/>
      </w:pPr>
    </w:p>
    <w:p w14:paraId="64C2C20A">
      <w:pPr>
        <w:pStyle w:val="2"/>
        <w:spacing w:line="266" w:lineRule="auto"/>
      </w:pPr>
    </w:p>
    <w:p w14:paraId="4BAA64FF">
      <w:pPr>
        <w:spacing w:before="75" w:line="219" w:lineRule="auto"/>
        <w:ind w:left="3"/>
        <w:rPr>
          <w:rFonts w:ascii="宋体" w:hAnsi="宋体" w:eastAsia="宋体" w:cs="宋体"/>
          <w:sz w:val="23"/>
          <w:szCs w:val="23"/>
        </w:rPr>
      </w:pPr>
      <w:r>
        <w:rPr>
          <w:rFonts w:ascii="宋体" w:hAnsi="宋体" w:eastAsia="宋体" w:cs="宋体"/>
          <w:b/>
          <w:bCs/>
          <w:spacing w:val="-6"/>
          <w:sz w:val="23"/>
          <w:szCs w:val="23"/>
        </w:rPr>
        <w:t>一、测试范围与内容</w:t>
      </w:r>
    </w:p>
    <w:p w14:paraId="18AFB1E9">
      <w:pPr>
        <w:spacing w:before="97" w:line="322" w:lineRule="auto"/>
        <w:ind w:left="119" w:right="362" w:firstLine="230"/>
        <w:rPr>
          <w:rFonts w:ascii="宋体" w:hAnsi="宋体" w:eastAsia="宋体" w:cs="宋体"/>
          <w:sz w:val="16"/>
          <w:szCs w:val="16"/>
        </w:rPr>
      </w:pPr>
      <w:r>
        <w:rPr>
          <w:rFonts w:ascii="宋体" w:hAnsi="宋体" w:eastAsia="宋体" w:cs="宋体"/>
          <w:spacing w:val="12"/>
          <w:sz w:val="16"/>
          <w:szCs w:val="16"/>
        </w:rPr>
        <w:t>戏曲表演类专业不单独设置专业基础知识考试，统</w:t>
      </w:r>
      <w:r>
        <w:rPr>
          <w:rFonts w:ascii="宋体" w:hAnsi="宋体" w:eastAsia="宋体" w:cs="宋体"/>
          <w:spacing w:val="2"/>
          <w:sz w:val="16"/>
          <w:szCs w:val="16"/>
        </w:rPr>
        <w:t xml:space="preserve"> </w:t>
      </w:r>
      <w:r>
        <w:rPr>
          <w:rFonts w:ascii="宋体" w:hAnsi="宋体" w:eastAsia="宋体" w:cs="宋体"/>
          <w:spacing w:val="-4"/>
          <w:sz w:val="16"/>
          <w:szCs w:val="16"/>
        </w:rPr>
        <w:t>一为专业技能测试。</w:t>
      </w:r>
    </w:p>
    <w:p w14:paraId="4973C3EB">
      <w:pPr>
        <w:spacing w:before="12" w:line="221" w:lineRule="auto"/>
        <w:ind w:left="3"/>
        <w:rPr>
          <w:rFonts w:ascii="宋体" w:hAnsi="宋体" w:eastAsia="宋体" w:cs="宋体"/>
          <w:sz w:val="23"/>
          <w:szCs w:val="23"/>
        </w:rPr>
      </w:pPr>
      <w:r>
        <w:rPr>
          <w:rFonts w:ascii="宋体" w:hAnsi="宋体" w:eastAsia="宋体" w:cs="宋体"/>
          <w:b/>
          <w:bCs/>
          <w:spacing w:val="-7"/>
          <w:sz w:val="23"/>
          <w:szCs w:val="23"/>
        </w:rPr>
        <w:t>二、测试形式</w:t>
      </w:r>
    </w:p>
    <w:p w14:paraId="6CD5FEFE">
      <w:pPr>
        <w:spacing w:before="94" w:line="220" w:lineRule="auto"/>
        <w:ind w:left="349"/>
        <w:rPr>
          <w:rFonts w:ascii="宋体" w:hAnsi="宋体" w:eastAsia="宋体" w:cs="宋体"/>
          <w:sz w:val="16"/>
          <w:szCs w:val="16"/>
        </w:rPr>
      </w:pPr>
      <w:r>
        <w:rPr>
          <w:rFonts w:ascii="宋体" w:hAnsi="宋体" w:eastAsia="宋体" w:cs="宋体"/>
          <w:spacing w:val="6"/>
          <w:sz w:val="16"/>
          <w:szCs w:val="16"/>
        </w:rPr>
        <w:t>现场面试。</w:t>
      </w:r>
    </w:p>
    <w:p w14:paraId="07729CE5">
      <w:pPr>
        <w:spacing w:before="90" w:line="221" w:lineRule="auto"/>
        <w:ind w:left="3"/>
        <w:rPr>
          <w:rFonts w:ascii="宋体" w:hAnsi="宋体" w:eastAsia="宋体" w:cs="宋体"/>
          <w:sz w:val="23"/>
          <w:szCs w:val="23"/>
        </w:rPr>
      </w:pPr>
      <w:r>
        <w:rPr>
          <w:rFonts w:ascii="宋体" w:hAnsi="宋体" w:eastAsia="宋体" w:cs="宋体"/>
          <w:b/>
          <w:bCs/>
          <w:spacing w:val="-7"/>
          <w:sz w:val="23"/>
          <w:szCs w:val="23"/>
        </w:rPr>
        <w:t>三、测试安排</w:t>
      </w:r>
    </w:p>
    <w:p w14:paraId="22A7D440">
      <w:pPr>
        <w:spacing w:before="94" w:line="320" w:lineRule="auto"/>
        <w:ind w:right="362" w:firstLine="349"/>
        <w:rPr>
          <w:rFonts w:ascii="宋体" w:hAnsi="宋体" w:eastAsia="宋体" w:cs="宋体"/>
          <w:sz w:val="16"/>
          <w:szCs w:val="16"/>
        </w:rPr>
      </w:pPr>
      <w:r>
        <w:rPr>
          <w:rFonts w:ascii="宋体" w:hAnsi="宋体" w:eastAsia="宋体" w:cs="宋体"/>
          <w:spacing w:val="18"/>
          <w:sz w:val="16"/>
          <w:szCs w:val="16"/>
        </w:rPr>
        <w:t>测试共3项，总分为450分，主要考查考生戏曲表</w:t>
      </w:r>
      <w:r>
        <w:rPr>
          <w:rFonts w:ascii="宋体" w:hAnsi="宋体" w:eastAsia="宋体" w:cs="宋体"/>
          <w:spacing w:val="12"/>
          <w:sz w:val="16"/>
          <w:szCs w:val="16"/>
        </w:rPr>
        <w:t xml:space="preserve"> </w:t>
      </w:r>
      <w:r>
        <w:rPr>
          <w:rFonts w:ascii="宋体" w:hAnsi="宋体" w:eastAsia="宋体" w:cs="宋体"/>
          <w:spacing w:val="21"/>
          <w:sz w:val="16"/>
          <w:szCs w:val="16"/>
        </w:rPr>
        <w:t>演基本能力及综合素质，具体为唱念测试(</w:t>
      </w:r>
      <w:r>
        <w:rPr>
          <w:rFonts w:ascii="宋体" w:hAnsi="宋体" w:eastAsia="宋体" w:cs="宋体"/>
          <w:spacing w:val="20"/>
          <w:sz w:val="16"/>
          <w:szCs w:val="16"/>
        </w:rPr>
        <w:t>150分)、</w:t>
      </w:r>
    </w:p>
    <w:p w14:paraId="684929EE">
      <w:pPr>
        <w:pStyle w:val="2"/>
        <w:spacing w:line="14" w:lineRule="auto"/>
        <w:rPr>
          <w:sz w:val="2"/>
        </w:rPr>
      </w:pPr>
      <w:r>
        <w:rPr>
          <w:sz w:val="2"/>
          <w:szCs w:val="2"/>
        </w:rPr>
        <w:br w:type="column"/>
      </w:r>
    </w:p>
    <w:p w14:paraId="3DE837FD">
      <w:pPr>
        <w:spacing w:before="53" w:line="220" w:lineRule="auto"/>
        <w:rPr>
          <w:rFonts w:ascii="宋体" w:hAnsi="宋体" w:eastAsia="宋体" w:cs="宋体"/>
          <w:sz w:val="16"/>
          <w:szCs w:val="16"/>
        </w:rPr>
      </w:pPr>
      <w:r>
        <w:rPr>
          <w:rFonts w:ascii="宋体" w:hAnsi="宋体" w:eastAsia="宋体" w:cs="宋体"/>
          <w:spacing w:val="26"/>
          <w:sz w:val="16"/>
          <w:szCs w:val="16"/>
        </w:rPr>
        <w:t>形体测试(120分)、剧目测试(180</w:t>
      </w:r>
      <w:r>
        <w:rPr>
          <w:rFonts w:ascii="宋体" w:hAnsi="宋体" w:eastAsia="宋体" w:cs="宋体"/>
          <w:spacing w:val="25"/>
          <w:sz w:val="16"/>
          <w:szCs w:val="16"/>
        </w:rPr>
        <w:t>分)。</w:t>
      </w:r>
    </w:p>
    <w:p w14:paraId="15F485E2">
      <w:pPr>
        <w:spacing w:before="89" w:line="221" w:lineRule="auto"/>
        <w:ind w:left="3"/>
        <w:rPr>
          <w:rFonts w:ascii="宋体" w:hAnsi="宋体" w:eastAsia="宋体" w:cs="宋体"/>
          <w:sz w:val="23"/>
          <w:szCs w:val="23"/>
        </w:rPr>
      </w:pPr>
      <w:r>
        <w:rPr>
          <w:rFonts w:ascii="宋体" w:hAnsi="宋体" w:eastAsia="宋体" w:cs="宋体"/>
          <w:b/>
          <w:bCs/>
          <w:spacing w:val="-9"/>
          <w:sz w:val="23"/>
          <w:szCs w:val="23"/>
        </w:rPr>
        <w:t>四、测试时间</w:t>
      </w:r>
    </w:p>
    <w:p w14:paraId="16056F7D">
      <w:pPr>
        <w:spacing w:before="93" w:line="219" w:lineRule="auto"/>
        <w:ind w:left="349"/>
        <w:rPr>
          <w:rFonts w:ascii="宋体" w:hAnsi="宋体" w:eastAsia="宋体" w:cs="宋体"/>
          <w:sz w:val="16"/>
          <w:szCs w:val="16"/>
        </w:rPr>
      </w:pPr>
      <w:r>
        <w:rPr>
          <w:rFonts w:ascii="宋体" w:hAnsi="宋体" w:eastAsia="宋体" w:cs="宋体"/>
          <w:spacing w:val="12"/>
          <w:sz w:val="16"/>
          <w:szCs w:val="16"/>
        </w:rPr>
        <w:t>每位考生测试时间一般为10分钟左右。</w:t>
      </w:r>
    </w:p>
    <w:p w14:paraId="23299441">
      <w:pPr>
        <w:spacing w:before="90" w:line="220" w:lineRule="auto"/>
        <w:ind w:left="3"/>
        <w:rPr>
          <w:rFonts w:ascii="宋体" w:hAnsi="宋体" w:eastAsia="宋体" w:cs="宋体"/>
          <w:sz w:val="23"/>
          <w:szCs w:val="23"/>
        </w:rPr>
      </w:pPr>
      <w:r>
        <w:rPr>
          <w:rFonts w:ascii="宋体" w:hAnsi="宋体" w:eastAsia="宋体" w:cs="宋体"/>
          <w:b/>
          <w:bCs/>
          <w:spacing w:val="-9"/>
          <w:sz w:val="23"/>
          <w:szCs w:val="23"/>
        </w:rPr>
        <w:t>五、相关要求</w:t>
      </w:r>
    </w:p>
    <w:p w14:paraId="45A12ED2">
      <w:pPr>
        <w:spacing w:before="106" w:line="219" w:lineRule="auto"/>
        <w:ind w:left="349"/>
        <w:rPr>
          <w:rFonts w:ascii="宋体" w:hAnsi="宋体" w:eastAsia="宋体" w:cs="宋体"/>
          <w:sz w:val="16"/>
          <w:szCs w:val="16"/>
        </w:rPr>
      </w:pPr>
      <w:r>
        <w:rPr>
          <w:rFonts w:ascii="宋体" w:hAnsi="宋体" w:eastAsia="宋体" w:cs="宋体"/>
          <w:spacing w:val="2"/>
          <w:sz w:val="16"/>
          <w:szCs w:val="16"/>
        </w:rPr>
        <w:t>1.考生素颜应试。</w:t>
      </w:r>
    </w:p>
    <w:p w14:paraId="44DE9115">
      <w:pPr>
        <w:spacing w:before="89" w:line="278" w:lineRule="auto"/>
        <w:ind w:right="25" w:firstLine="349"/>
        <w:rPr>
          <w:rFonts w:ascii="宋体" w:hAnsi="宋体" w:eastAsia="宋体" w:cs="宋体"/>
          <w:sz w:val="16"/>
          <w:szCs w:val="16"/>
        </w:rPr>
      </w:pPr>
      <w:r>
        <w:rPr>
          <w:rFonts w:ascii="Times New Roman" w:hAnsi="Times New Roman" w:eastAsia="Times New Roman" w:cs="Times New Roman"/>
          <w:spacing w:val="9"/>
          <w:sz w:val="16"/>
          <w:szCs w:val="16"/>
        </w:rPr>
        <w:t xml:space="preserve">2. </w:t>
      </w:r>
      <w:r>
        <w:rPr>
          <w:rFonts w:ascii="宋体" w:hAnsi="宋体" w:eastAsia="宋体" w:cs="宋体"/>
          <w:spacing w:val="9"/>
          <w:sz w:val="16"/>
          <w:szCs w:val="16"/>
        </w:rPr>
        <w:t>音响设备由考点提供，考生自备道具、伴奏</w:t>
      </w:r>
      <w:r>
        <w:rPr>
          <w:rFonts w:ascii="Times New Roman" w:hAnsi="Times New Roman" w:eastAsia="Times New Roman" w:cs="Times New Roman"/>
          <w:spacing w:val="9"/>
          <w:sz w:val="16"/>
          <w:szCs w:val="16"/>
        </w:rPr>
        <w:t>U</w:t>
      </w:r>
      <w:r>
        <w:rPr>
          <w:rFonts w:ascii="Times New Roman" w:hAnsi="Times New Roman" w:eastAsia="Times New Roman" w:cs="Times New Roman"/>
          <w:spacing w:val="31"/>
          <w:sz w:val="16"/>
          <w:szCs w:val="16"/>
        </w:rPr>
        <w:t xml:space="preserve"> </w:t>
      </w:r>
      <w:r>
        <w:rPr>
          <w:rFonts w:ascii="宋体" w:hAnsi="宋体" w:eastAsia="宋体" w:cs="宋体"/>
          <w:spacing w:val="9"/>
          <w:sz w:val="16"/>
          <w:szCs w:val="16"/>
        </w:rPr>
        <w:t>盘</w:t>
      </w:r>
      <w:r>
        <w:rPr>
          <w:rFonts w:ascii="宋体" w:hAnsi="宋体" w:eastAsia="宋体" w:cs="宋体"/>
          <w:sz w:val="16"/>
          <w:szCs w:val="16"/>
        </w:rPr>
        <w:t xml:space="preserve"> </w:t>
      </w:r>
      <w:r>
        <w:rPr>
          <w:rFonts w:ascii="宋体" w:hAnsi="宋体" w:eastAsia="宋体" w:cs="宋体"/>
          <w:spacing w:val="6"/>
          <w:sz w:val="16"/>
          <w:szCs w:val="16"/>
        </w:rPr>
        <w:t>及表演服装。</w:t>
      </w:r>
    </w:p>
    <w:p w14:paraId="11425D22">
      <w:pPr>
        <w:spacing w:before="99" w:line="296" w:lineRule="auto"/>
        <w:ind w:right="2" w:firstLine="349"/>
        <w:rPr>
          <w:rFonts w:ascii="宋体" w:hAnsi="宋体" w:eastAsia="宋体" w:cs="宋体"/>
          <w:sz w:val="16"/>
          <w:szCs w:val="16"/>
        </w:rPr>
      </w:pPr>
      <w:r>
        <w:rPr>
          <w:rFonts w:ascii="Times New Roman" w:hAnsi="Times New Roman" w:eastAsia="Times New Roman" w:cs="Times New Roman"/>
          <w:spacing w:val="10"/>
          <w:sz w:val="16"/>
          <w:szCs w:val="16"/>
        </w:rPr>
        <w:t>3.</w:t>
      </w:r>
      <w:r>
        <w:rPr>
          <w:rFonts w:ascii="Times New Roman" w:hAnsi="Times New Roman" w:eastAsia="Times New Roman" w:cs="Times New Roman"/>
          <w:spacing w:val="30"/>
          <w:w w:val="102"/>
          <w:sz w:val="16"/>
          <w:szCs w:val="16"/>
        </w:rPr>
        <w:t xml:space="preserve"> </w:t>
      </w:r>
      <w:r>
        <w:rPr>
          <w:rFonts w:ascii="宋体" w:hAnsi="宋体" w:eastAsia="宋体" w:cs="宋体"/>
          <w:spacing w:val="10"/>
          <w:sz w:val="16"/>
          <w:szCs w:val="16"/>
        </w:rPr>
        <w:t>考生提供的</w:t>
      </w:r>
      <w:r>
        <w:rPr>
          <w:rFonts w:ascii="Times New Roman" w:hAnsi="Times New Roman" w:eastAsia="Times New Roman" w:cs="Times New Roman"/>
          <w:spacing w:val="10"/>
          <w:sz w:val="16"/>
          <w:szCs w:val="16"/>
        </w:rPr>
        <w:t xml:space="preserve">U </w:t>
      </w:r>
      <w:r>
        <w:rPr>
          <w:rFonts w:ascii="宋体" w:hAnsi="宋体" w:eastAsia="宋体" w:cs="宋体"/>
          <w:spacing w:val="10"/>
          <w:sz w:val="16"/>
          <w:szCs w:val="16"/>
        </w:rPr>
        <w:t>盘只得存放相关测试项目需要的伴</w:t>
      </w:r>
      <w:r>
        <w:rPr>
          <w:rFonts w:ascii="宋体" w:hAnsi="宋体" w:eastAsia="宋体" w:cs="宋体"/>
          <w:sz w:val="16"/>
          <w:szCs w:val="16"/>
        </w:rPr>
        <w:t xml:space="preserve"> </w:t>
      </w:r>
      <w:r>
        <w:rPr>
          <w:rFonts w:ascii="宋体" w:hAnsi="宋体" w:eastAsia="宋体" w:cs="宋体"/>
          <w:spacing w:val="12"/>
          <w:sz w:val="16"/>
          <w:szCs w:val="16"/>
        </w:rPr>
        <w:t>奏音乐，不得存放其他资料。测试中如发生考生自带伴</w:t>
      </w:r>
      <w:r>
        <w:rPr>
          <w:rFonts w:ascii="宋体" w:hAnsi="宋体" w:eastAsia="宋体" w:cs="宋体"/>
          <w:spacing w:val="8"/>
          <w:sz w:val="16"/>
          <w:szCs w:val="16"/>
        </w:rPr>
        <w:t xml:space="preserve"> </w:t>
      </w:r>
      <w:r>
        <w:rPr>
          <w:rFonts w:ascii="宋体" w:hAnsi="宋体" w:eastAsia="宋体" w:cs="宋体"/>
          <w:spacing w:val="3"/>
          <w:sz w:val="16"/>
          <w:szCs w:val="16"/>
        </w:rPr>
        <w:t>奏无法播放或音质不清等问题，</w:t>
      </w:r>
      <w:r>
        <w:rPr>
          <w:rFonts w:ascii="宋体" w:hAnsi="宋体" w:eastAsia="宋体" w:cs="宋体"/>
          <w:spacing w:val="57"/>
          <w:sz w:val="16"/>
          <w:szCs w:val="16"/>
        </w:rPr>
        <w:t xml:space="preserve"> </w:t>
      </w:r>
      <w:r>
        <w:rPr>
          <w:rFonts w:ascii="宋体" w:hAnsi="宋体" w:eastAsia="宋体" w:cs="宋体"/>
          <w:spacing w:val="3"/>
          <w:sz w:val="16"/>
          <w:szCs w:val="16"/>
        </w:rPr>
        <w:t>一律由考生本人负责。</w:t>
      </w:r>
    </w:p>
    <w:p w14:paraId="774D9D3C">
      <w:pPr>
        <w:spacing w:before="101" w:line="219" w:lineRule="auto"/>
        <w:ind w:left="349"/>
        <w:rPr>
          <w:rFonts w:ascii="宋体" w:hAnsi="宋体" w:eastAsia="宋体" w:cs="宋体"/>
          <w:sz w:val="16"/>
          <w:szCs w:val="16"/>
        </w:rPr>
      </w:pPr>
      <w:r>
        <w:rPr>
          <w:rFonts w:ascii="宋体" w:hAnsi="宋体" w:eastAsia="宋体" w:cs="宋体"/>
          <w:spacing w:val="8"/>
          <w:sz w:val="16"/>
          <w:szCs w:val="16"/>
        </w:rPr>
        <w:t>4.考生现场测试独立完成，不得携带搭档。</w:t>
      </w:r>
    </w:p>
    <w:p w14:paraId="5DF0D2E8">
      <w:pPr>
        <w:spacing w:before="99" w:line="322" w:lineRule="auto"/>
        <w:ind w:right="2" w:firstLine="349"/>
        <w:rPr>
          <w:rFonts w:ascii="宋体" w:hAnsi="宋体" w:eastAsia="宋体" w:cs="宋体"/>
          <w:sz w:val="16"/>
          <w:szCs w:val="16"/>
        </w:rPr>
      </w:pPr>
      <w:r>
        <w:rPr>
          <w:rFonts w:ascii="宋体" w:hAnsi="宋体" w:eastAsia="宋体" w:cs="宋体"/>
          <w:spacing w:val="11"/>
          <w:sz w:val="16"/>
          <w:szCs w:val="16"/>
        </w:rPr>
        <w:t>5.每位考生只有一次测试机会，因自身原因中断或</w:t>
      </w:r>
      <w:r>
        <w:rPr>
          <w:rFonts w:ascii="宋体" w:hAnsi="宋体" w:eastAsia="宋体" w:cs="宋体"/>
          <w:spacing w:val="13"/>
          <w:sz w:val="16"/>
          <w:szCs w:val="16"/>
        </w:rPr>
        <w:t xml:space="preserve"> </w:t>
      </w:r>
      <w:r>
        <w:rPr>
          <w:rFonts w:ascii="宋体" w:hAnsi="宋体" w:eastAsia="宋体" w:cs="宋体"/>
          <w:spacing w:val="6"/>
          <w:sz w:val="16"/>
          <w:szCs w:val="16"/>
        </w:rPr>
        <w:t>失误，不得重测。</w:t>
      </w:r>
    </w:p>
    <w:p w14:paraId="3A8A8228">
      <w:pPr>
        <w:spacing w:before="14" w:line="184" w:lineRule="auto"/>
        <w:ind w:left="3"/>
        <w:rPr>
          <w:rFonts w:ascii="宋体" w:hAnsi="宋体" w:eastAsia="宋体" w:cs="宋体"/>
          <w:sz w:val="23"/>
          <w:szCs w:val="23"/>
        </w:rPr>
      </w:pPr>
      <w:r>
        <w:rPr>
          <w:rFonts w:ascii="宋体" w:hAnsi="宋体" w:eastAsia="宋体" w:cs="宋体"/>
          <w:b/>
          <w:bCs/>
          <w:spacing w:val="-3"/>
          <w:sz w:val="23"/>
          <w:szCs w:val="23"/>
        </w:rPr>
        <w:t>六、测试项目</w:t>
      </w:r>
    </w:p>
    <w:p w14:paraId="2D079571">
      <w:pPr>
        <w:spacing w:line="184" w:lineRule="auto"/>
        <w:rPr>
          <w:rFonts w:ascii="宋体" w:hAnsi="宋体" w:eastAsia="宋体" w:cs="宋体"/>
          <w:sz w:val="23"/>
          <w:szCs w:val="23"/>
        </w:rPr>
        <w:sectPr>
          <w:type w:val="continuous"/>
          <w:pgSz w:w="10660" w:h="15080"/>
          <w:pgMar w:top="400" w:right="910" w:bottom="912" w:left="1010" w:header="0" w:footer="741" w:gutter="0"/>
          <w:cols w:equalWidth="0" w:num="2">
            <w:col w:w="4501" w:space="100"/>
            <w:col w:w="4140"/>
          </w:cols>
        </w:sectPr>
      </w:pPr>
    </w:p>
    <w:p w14:paraId="4EAB0090">
      <w:pPr>
        <w:spacing w:line="218" w:lineRule="exact"/>
      </w:pPr>
    </w:p>
    <w:tbl>
      <w:tblPr>
        <w:tblStyle w:val="5"/>
        <w:tblW w:w="8710" w:type="dxa"/>
        <w:tblInd w:w="1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44"/>
        <w:gridCol w:w="959"/>
        <w:gridCol w:w="1319"/>
        <w:gridCol w:w="1438"/>
        <w:gridCol w:w="1868"/>
        <w:gridCol w:w="2282"/>
      </w:tblGrid>
      <w:tr w14:paraId="74E5DD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4" w:hRule="atLeast"/>
        </w:trPr>
        <w:tc>
          <w:tcPr>
            <w:tcW w:w="844" w:type="dxa"/>
            <w:vAlign w:val="top"/>
          </w:tcPr>
          <w:p w14:paraId="3AA3BB9E">
            <w:pPr>
              <w:pStyle w:val="6"/>
              <w:spacing w:before="110" w:line="220" w:lineRule="auto"/>
              <w:ind w:left="77"/>
            </w:pPr>
            <w:r>
              <w:rPr>
                <w:b/>
                <w:bCs/>
                <w:spacing w:val="5"/>
              </w:rPr>
              <w:t>测试项目</w:t>
            </w:r>
          </w:p>
        </w:tc>
        <w:tc>
          <w:tcPr>
            <w:tcW w:w="959" w:type="dxa"/>
            <w:vAlign w:val="top"/>
          </w:tcPr>
          <w:p w14:paraId="740CE86C">
            <w:pPr>
              <w:pStyle w:val="6"/>
              <w:spacing w:before="110" w:line="221" w:lineRule="auto"/>
              <w:ind w:left="143"/>
            </w:pPr>
            <w:r>
              <w:rPr>
                <w:b/>
                <w:bCs/>
                <w:spacing w:val="-4"/>
              </w:rPr>
              <w:t>测试用具</w:t>
            </w:r>
          </w:p>
        </w:tc>
        <w:tc>
          <w:tcPr>
            <w:tcW w:w="1319" w:type="dxa"/>
            <w:vAlign w:val="top"/>
          </w:tcPr>
          <w:p w14:paraId="2CC57A61">
            <w:pPr>
              <w:pStyle w:val="6"/>
              <w:spacing w:before="109" w:line="219" w:lineRule="auto"/>
              <w:ind w:left="314"/>
            </w:pPr>
            <w:r>
              <w:rPr>
                <w:b/>
                <w:bCs/>
                <w:spacing w:val="-4"/>
              </w:rPr>
              <w:t>测试内容</w:t>
            </w:r>
          </w:p>
        </w:tc>
        <w:tc>
          <w:tcPr>
            <w:tcW w:w="1438" w:type="dxa"/>
            <w:vAlign w:val="top"/>
          </w:tcPr>
          <w:p w14:paraId="79934F10">
            <w:pPr>
              <w:pStyle w:val="6"/>
              <w:spacing w:before="110" w:line="221" w:lineRule="auto"/>
              <w:ind w:left="375"/>
            </w:pPr>
            <w:r>
              <w:rPr>
                <w:b/>
                <w:bCs/>
                <w:spacing w:val="-4"/>
              </w:rPr>
              <w:t>测试方法</w:t>
            </w:r>
          </w:p>
        </w:tc>
        <w:tc>
          <w:tcPr>
            <w:tcW w:w="1868" w:type="dxa"/>
            <w:vAlign w:val="top"/>
          </w:tcPr>
          <w:p w14:paraId="5CB7DE8D">
            <w:pPr>
              <w:pStyle w:val="6"/>
              <w:spacing w:before="110" w:line="221" w:lineRule="auto"/>
              <w:ind w:left="607"/>
            </w:pPr>
            <w:r>
              <w:rPr>
                <w:b/>
                <w:bCs/>
                <w:spacing w:val="-4"/>
              </w:rPr>
              <w:t>测试要求</w:t>
            </w:r>
          </w:p>
        </w:tc>
        <w:tc>
          <w:tcPr>
            <w:tcW w:w="2282" w:type="dxa"/>
            <w:vAlign w:val="top"/>
          </w:tcPr>
          <w:p w14:paraId="34A12B3F">
            <w:pPr>
              <w:pStyle w:val="6"/>
              <w:spacing w:before="109" w:line="219" w:lineRule="auto"/>
              <w:ind w:left="809"/>
            </w:pPr>
            <w:r>
              <w:rPr>
                <w:b/>
                <w:bCs/>
                <w:spacing w:val="-4"/>
              </w:rPr>
              <w:t>赋分参考</w:t>
            </w:r>
          </w:p>
        </w:tc>
      </w:tr>
      <w:tr w14:paraId="07A7E6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18" w:hRule="atLeast"/>
        </w:trPr>
        <w:tc>
          <w:tcPr>
            <w:tcW w:w="844" w:type="dxa"/>
            <w:vAlign w:val="top"/>
          </w:tcPr>
          <w:p w14:paraId="1F1646C6">
            <w:pPr>
              <w:pStyle w:val="6"/>
              <w:spacing w:before="258" w:line="220" w:lineRule="auto"/>
              <w:ind w:left="15"/>
            </w:pPr>
            <w:r>
              <w:rPr>
                <w:spacing w:val="4"/>
              </w:rPr>
              <w:t>项目一：</w:t>
            </w:r>
          </w:p>
          <w:p w14:paraId="49DDB0CD">
            <w:pPr>
              <w:pStyle w:val="6"/>
              <w:spacing w:before="7" w:line="221" w:lineRule="auto"/>
              <w:ind w:left="15"/>
            </w:pPr>
            <w:r>
              <w:rPr>
                <w:spacing w:val="33"/>
              </w:rPr>
              <w:t>唱念测试</w:t>
            </w:r>
          </w:p>
          <w:p w14:paraId="1D25D3F7">
            <w:pPr>
              <w:pStyle w:val="6"/>
              <w:spacing w:before="36" w:line="220" w:lineRule="auto"/>
              <w:ind w:left="115"/>
            </w:pPr>
            <w:r>
              <w:rPr>
                <w:spacing w:val="5"/>
              </w:rPr>
              <w:t>(150分)</w:t>
            </w:r>
          </w:p>
        </w:tc>
        <w:tc>
          <w:tcPr>
            <w:tcW w:w="959" w:type="dxa"/>
            <w:vAlign w:val="top"/>
          </w:tcPr>
          <w:p w14:paraId="3063766D">
            <w:pPr>
              <w:pStyle w:val="6"/>
              <w:spacing w:before="149" w:line="234" w:lineRule="auto"/>
              <w:ind w:left="11" w:right="68"/>
            </w:pPr>
            <w:r>
              <w:rPr>
                <w:spacing w:val="3"/>
              </w:rPr>
              <w:t xml:space="preserve">音响设备由 </w:t>
            </w:r>
            <w:r>
              <w:rPr>
                <w:spacing w:val="-1"/>
              </w:rPr>
              <w:t>考点提供，</w:t>
            </w:r>
          </w:p>
          <w:p w14:paraId="5B026328">
            <w:pPr>
              <w:pStyle w:val="6"/>
              <w:spacing w:before="6" w:line="224" w:lineRule="auto"/>
              <w:ind w:left="11" w:right="9"/>
            </w:pPr>
            <w:r>
              <w:rPr>
                <w:spacing w:val="3"/>
              </w:rPr>
              <w:t xml:space="preserve">伴奏音乐由 </w:t>
            </w:r>
            <w:r>
              <w:rPr>
                <w:spacing w:val="-2"/>
              </w:rPr>
              <w:t>考生自备U盘</w:t>
            </w:r>
          </w:p>
        </w:tc>
        <w:tc>
          <w:tcPr>
            <w:tcW w:w="1319" w:type="dxa"/>
            <w:vAlign w:val="top"/>
          </w:tcPr>
          <w:p w14:paraId="5610B47C">
            <w:pPr>
              <w:pStyle w:val="6"/>
              <w:spacing w:before="58" w:line="221" w:lineRule="auto"/>
              <w:ind w:left="11" w:right="55" w:firstLine="40"/>
              <w:jc w:val="both"/>
            </w:pPr>
            <w:r>
              <w:t>1.戏曲戏剧唱段</w:t>
            </w:r>
            <w:r>
              <w:rPr>
                <w:spacing w:val="5"/>
              </w:rPr>
              <w:t xml:space="preserve"> </w:t>
            </w:r>
            <w:r>
              <w:rPr>
                <w:spacing w:val="7"/>
              </w:rPr>
              <w:t>一首或民族声乐</w:t>
            </w:r>
            <w:r>
              <w:rPr>
                <w:spacing w:val="1"/>
              </w:rPr>
              <w:t xml:space="preserve"> </w:t>
            </w:r>
            <w:r>
              <w:rPr>
                <w:spacing w:val="-2"/>
              </w:rPr>
              <w:t>歌曲一首</w:t>
            </w:r>
          </w:p>
          <w:p w14:paraId="76A5E837">
            <w:pPr>
              <w:pStyle w:val="6"/>
              <w:spacing w:before="30" w:line="222" w:lineRule="auto"/>
              <w:ind w:left="11" w:right="75" w:firstLine="40"/>
            </w:pPr>
            <w:r>
              <w:rPr>
                <w:spacing w:val="-2"/>
              </w:rPr>
              <w:t>2.戏曲或话剧念</w:t>
            </w:r>
            <w:r>
              <w:rPr>
                <w:spacing w:val="6"/>
              </w:rPr>
              <w:t xml:space="preserve"> </w:t>
            </w:r>
            <w:r>
              <w:rPr>
                <w:spacing w:val="2"/>
              </w:rPr>
              <w:t>白一段</w:t>
            </w:r>
          </w:p>
        </w:tc>
        <w:tc>
          <w:tcPr>
            <w:tcW w:w="1438" w:type="dxa"/>
            <w:vAlign w:val="top"/>
          </w:tcPr>
          <w:p w14:paraId="33D9C24D">
            <w:pPr>
              <w:pStyle w:val="6"/>
              <w:spacing w:before="258" w:line="232" w:lineRule="auto"/>
              <w:ind w:left="13" w:firstLine="19"/>
              <w:jc w:val="both"/>
            </w:pPr>
            <w:r>
              <w:rPr>
                <w:spacing w:val="-3"/>
              </w:rPr>
              <w:t>现场测试，自带伴</w:t>
            </w:r>
            <w:r>
              <w:rPr>
                <w:spacing w:val="5"/>
              </w:rPr>
              <w:t xml:space="preserve"> </w:t>
            </w:r>
            <w:r>
              <w:rPr>
                <w:spacing w:val="-13"/>
              </w:rPr>
              <w:t>奏</w:t>
            </w:r>
            <w:r>
              <w:rPr>
                <w:spacing w:val="-34"/>
              </w:rPr>
              <w:t xml:space="preserve"> </w:t>
            </w:r>
            <w:r>
              <w:rPr>
                <w:spacing w:val="-13"/>
              </w:rPr>
              <w:t>U</w:t>
            </w:r>
            <w:r>
              <w:rPr>
                <w:spacing w:val="-32"/>
              </w:rPr>
              <w:t xml:space="preserve"> </w:t>
            </w:r>
            <w:r>
              <w:rPr>
                <w:spacing w:val="-13"/>
              </w:rPr>
              <w:t>盘 (</w:t>
            </w:r>
            <w:r>
              <w:rPr>
                <w:spacing w:val="-29"/>
              </w:rPr>
              <w:t xml:space="preserve"> </w:t>
            </w:r>
            <w:r>
              <w:rPr>
                <w:spacing w:val="-13"/>
              </w:rPr>
              <w:t>3</w:t>
            </w:r>
            <w:r>
              <w:rPr>
                <w:spacing w:val="-30"/>
              </w:rPr>
              <w:t xml:space="preserve"> </w:t>
            </w:r>
            <w:r>
              <w:rPr>
                <w:spacing w:val="-13"/>
              </w:rPr>
              <w:t>分</w:t>
            </w:r>
            <w:r>
              <w:rPr>
                <w:spacing w:val="-32"/>
              </w:rPr>
              <w:t xml:space="preserve"> </w:t>
            </w:r>
            <w:r>
              <w:rPr>
                <w:spacing w:val="-13"/>
              </w:rPr>
              <w:t>钟 以</w:t>
            </w:r>
            <w:r>
              <w:t xml:space="preserve"> 内</w:t>
            </w:r>
            <w:r>
              <w:rPr>
                <w:spacing w:val="-19"/>
              </w:rPr>
              <w:t xml:space="preserve"> </w:t>
            </w:r>
            <w:r>
              <w:t>)</w:t>
            </w:r>
          </w:p>
        </w:tc>
        <w:tc>
          <w:tcPr>
            <w:tcW w:w="1868" w:type="dxa"/>
            <w:vAlign w:val="top"/>
          </w:tcPr>
          <w:p w14:paraId="030ADDAF">
            <w:pPr>
              <w:pStyle w:val="6"/>
              <w:spacing w:before="169" w:line="215" w:lineRule="auto"/>
              <w:ind w:left="15"/>
            </w:pPr>
            <w:r>
              <w:t>演唱或念白：</w:t>
            </w:r>
          </w:p>
          <w:p w14:paraId="2AA32693">
            <w:pPr>
              <w:pStyle w:val="6"/>
              <w:spacing w:line="236" w:lineRule="auto"/>
              <w:ind w:left="15" w:right="130"/>
            </w:pPr>
            <w:r>
              <w:t>1.吐字清晰，依字行腔</w:t>
            </w:r>
            <w:r>
              <w:rPr>
                <w:spacing w:val="8"/>
              </w:rPr>
              <w:t xml:space="preserve"> </w:t>
            </w:r>
            <w:r>
              <w:rPr>
                <w:spacing w:val="1"/>
              </w:rPr>
              <w:t>2.板式稳健，润腔自如</w:t>
            </w:r>
            <w:r>
              <w:t xml:space="preserve"> </w:t>
            </w:r>
            <w:r>
              <w:rPr>
                <w:spacing w:val="1"/>
              </w:rPr>
              <w:t>3.以情带声，声情并茂</w:t>
            </w:r>
          </w:p>
        </w:tc>
        <w:tc>
          <w:tcPr>
            <w:tcW w:w="2282" w:type="dxa"/>
            <w:vAlign w:val="top"/>
          </w:tcPr>
          <w:p w14:paraId="6B4B9B11">
            <w:pPr>
              <w:pStyle w:val="6"/>
              <w:spacing w:before="277" w:line="223" w:lineRule="auto"/>
              <w:ind w:left="56" w:right="197" w:hanging="29"/>
            </w:pPr>
            <w:r>
              <w:t>1.戏曲戏剧唱段一首或民族</w:t>
            </w:r>
            <w:r>
              <w:rPr>
                <w:spacing w:val="6"/>
              </w:rPr>
              <w:t xml:space="preserve"> </w:t>
            </w:r>
            <w:r>
              <w:rPr>
                <w:spacing w:val="3"/>
              </w:rPr>
              <w:t>声乐歌曲一首(80分)</w:t>
            </w:r>
          </w:p>
          <w:p w14:paraId="0D2B76AB">
            <w:pPr>
              <w:pStyle w:val="6"/>
              <w:spacing w:before="29" w:line="220" w:lineRule="auto"/>
              <w:ind w:left="57"/>
            </w:pPr>
            <w:r>
              <w:rPr>
                <w:spacing w:val="2"/>
              </w:rPr>
              <w:t>2.戏曲或话剧念白(70分)</w:t>
            </w:r>
          </w:p>
        </w:tc>
      </w:tr>
      <w:tr w14:paraId="425095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06" w:hRule="atLeast"/>
        </w:trPr>
        <w:tc>
          <w:tcPr>
            <w:tcW w:w="844" w:type="dxa"/>
            <w:vAlign w:val="top"/>
          </w:tcPr>
          <w:p w14:paraId="7A033F7E">
            <w:pPr>
              <w:spacing w:line="462" w:lineRule="auto"/>
              <w:rPr>
                <w:rFonts w:ascii="Arial"/>
                <w:sz w:val="21"/>
              </w:rPr>
            </w:pPr>
          </w:p>
          <w:p w14:paraId="505A2C81">
            <w:pPr>
              <w:pStyle w:val="6"/>
              <w:spacing w:before="55" w:line="218" w:lineRule="auto"/>
              <w:ind w:left="15"/>
            </w:pPr>
            <w:r>
              <w:rPr>
                <w:spacing w:val="-1"/>
              </w:rPr>
              <w:t>项目二：</w:t>
            </w:r>
          </w:p>
          <w:p w14:paraId="527AA88A">
            <w:pPr>
              <w:pStyle w:val="6"/>
              <w:spacing w:line="236" w:lineRule="auto"/>
              <w:ind w:left="114" w:right="87" w:hanging="39"/>
            </w:pPr>
            <w:r>
              <w:rPr>
                <w:spacing w:val="-3"/>
              </w:rPr>
              <w:t>形体测试</w:t>
            </w:r>
            <w:r>
              <w:rPr>
                <w:spacing w:val="2"/>
              </w:rPr>
              <w:t xml:space="preserve"> </w:t>
            </w:r>
            <w:r>
              <w:rPr>
                <w:spacing w:val="5"/>
              </w:rPr>
              <w:t>(120分)</w:t>
            </w:r>
          </w:p>
        </w:tc>
        <w:tc>
          <w:tcPr>
            <w:tcW w:w="959" w:type="dxa"/>
            <w:vAlign w:val="top"/>
          </w:tcPr>
          <w:p w14:paraId="72DC407C">
            <w:pPr>
              <w:spacing w:line="245" w:lineRule="auto"/>
              <w:rPr>
                <w:rFonts w:ascii="Arial"/>
                <w:sz w:val="21"/>
              </w:rPr>
            </w:pPr>
          </w:p>
          <w:p w14:paraId="1055B072">
            <w:pPr>
              <w:pStyle w:val="6"/>
              <w:spacing w:before="55" w:line="235" w:lineRule="auto"/>
              <w:ind w:left="11" w:firstLine="9"/>
              <w:jc w:val="both"/>
            </w:pPr>
            <w:r>
              <w:rPr>
                <w:spacing w:val="-16"/>
              </w:rPr>
              <w:t>地毯或硬毯，</w:t>
            </w:r>
            <w:r>
              <w:rPr>
                <w:spacing w:val="3"/>
              </w:rPr>
              <w:t xml:space="preserve"> </w:t>
            </w:r>
            <w:r>
              <w:rPr>
                <w:spacing w:val="-20"/>
                <w:w w:val="96"/>
              </w:rPr>
              <w:t>音响设备由考</w:t>
            </w:r>
            <w:r>
              <w:rPr>
                <w:spacing w:val="2"/>
              </w:rPr>
              <w:t xml:space="preserve">  </w:t>
            </w:r>
            <w:r>
              <w:rPr>
                <w:spacing w:val="-20"/>
                <w:w w:val="96"/>
              </w:rPr>
              <w:t>点提供，伴奏</w:t>
            </w:r>
            <w:r>
              <w:rPr>
                <w:spacing w:val="2"/>
              </w:rPr>
              <w:t xml:space="preserve">  </w:t>
            </w:r>
            <w:r>
              <w:rPr>
                <w:spacing w:val="-23"/>
              </w:rPr>
              <w:t>音乐由考生自</w:t>
            </w:r>
            <w:r>
              <w:rPr>
                <w:spacing w:val="1"/>
              </w:rPr>
              <w:t xml:space="preserve"> </w:t>
            </w:r>
            <w:r>
              <w:rPr>
                <w:spacing w:val="-9"/>
              </w:rPr>
              <w:t>备U盘</w:t>
            </w:r>
          </w:p>
        </w:tc>
        <w:tc>
          <w:tcPr>
            <w:tcW w:w="1319" w:type="dxa"/>
            <w:vAlign w:val="top"/>
          </w:tcPr>
          <w:p w14:paraId="455B5925">
            <w:pPr>
              <w:spacing w:line="351" w:lineRule="auto"/>
              <w:rPr>
                <w:rFonts w:ascii="Arial"/>
                <w:sz w:val="21"/>
              </w:rPr>
            </w:pPr>
          </w:p>
          <w:p w14:paraId="33B17563">
            <w:pPr>
              <w:pStyle w:val="6"/>
              <w:spacing w:before="55" w:line="214" w:lineRule="auto"/>
              <w:ind w:left="31" w:hanging="20"/>
            </w:pPr>
            <w:r>
              <w:rPr>
                <w:spacing w:val="-7"/>
              </w:rPr>
              <w:t>1.戏曲基本功组合</w:t>
            </w:r>
            <w:r>
              <w:t xml:space="preserve"> </w:t>
            </w:r>
            <w:r>
              <w:rPr>
                <w:spacing w:val="-5"/>
              </w:rPr>
              <w:t>一套</w:t>
            </w:r>
          </w:p>
          <w:p w14:paraId="3AB477DC">
            <w:pPr>
              <w:pStyle w:val="6"/>
              <w:spacing w:before="36" w:line="230" w:lineRule="auto"/>
              <w:ind w:left="11"/>
            </w:pPr>
            <w:r>
              <w:rPr>
                <w:spacing w:val="-7"/>
              </w:rPr>
              <w:t>2.戏曲身段组合或</w:t>
            </w:r>
            <w:r>
              <w:t xml:space="preserve"> </w:t>
            </w:r>
            <w:r>
              <w:rPr>
                <w:spacing w:val="-2"/>
              </w:rPr>
              <w:t>舞蹈组合一套</w:t>
            </w:r>
          </w:p>
        </w:tc>
        <w:tc>
          <w:tcPr>
            <w:tcW w:w="1438" w:type="dxa"/>
            <w:vAlign w:val="top"/>
          </w:tcPr>
          <w:p w14:paraId="47635321">
            <w:pPr>
              <w:spacing w:line="280" w:lineRule="auto"/>
              <w:rPr>
                <w:rFonts w:ascii="Arial"/>
                <w:sz w:val="21"/>
              </w:rPr>
            </w:pPr>
          </w:p>
          <w:p w14:paraId="3386A97B">
            <w:pPr>
              <w:spacing w:line="281" w:lineRule="auto"/>
              <w:rPr>
                <w:rFonts w:ascii="Arial"/>
                <w:sz w:val="21"/>
              </w:rPr>
            </w:pPr>
          </w:p>
          <w:p w14:paraId="0BCA47E6">
            <w:pPr>
              <w:pStyle w:val="6"/>
              <w:spacing w:before="55" w:line="229" w:lineRule="auto"/>
              <w:ind w:left="33"/>
            </w:pPr>
            <w:r>
              <w:rPr>
                <w:spacing w:val="-2"/>
              </w:rPr>
              <w:t>现场测试，自带伴</w:t>
            </w:r>
            <w:r>
              <w:rPr>
                <w:spacing w:val="4"/>
              </w:rPr>
              <w:t xml:space="preserve"> </w:t>
            </w:r>
            <w:r>
              <w:rPr>
                <w:spacing w:val="3"/>
              </w:rPr>
              <w:t>奏U盘(3分钟以内)</w:t>
            </w:r>
          </w:p>
        </w:tc>
        <w:tc>
          <w:tcPr>
            <w:tcW w:w="1868" w:type="dxa"/>
            <w:vAlign w:val="top"/>
          </w:tcPr>
          <w:p w14:paraId="5FE2C3EB">
            <w:pPr>
              <w:pStyle w:val="6"/>
              <w:spacing w:before="78" w:line="219" w:lineRule="auto"/>
              <w:ind w:left="15"/>
            </w:pPr>
            <w:r>
              <w:rPr>
                <w:spacing w:val="1"/>
              </w:rPr>
              <w:t>基本功：</w:t>
            </w:r>
          </w:p>
          <w:p w14:paraId="69525BD0">
            <w:pPr>
              <w:pStyle w:val="6"/>
              <w:spacing w:before="18" w:line="232" w:lineRule="auto"/>
              <w:ind w:left="15" w:right="57"/>
              <w:jc w:val="both"/>
            </w:pPr>
            <w:r>
              <w:rPr>
                <w:spacing w:val="8"/>
              </w:rPr>
              <w:t>力度、软度、控制度、</w:t>
            </w:r>
            <w:r>
              <w:rPr>
                <w:spacing w:val="3"/>
              </w:rPr>
              <w:t xml:space="preserve"> </w:t>
            </w:r>
            <w:r>
              <w:rPr>
                <w:spacing w:val="-1"/>
              </w:rPr>
              <w:t>弹跳力测试戏曲身段组</w:t>
            </w:r>
            <w:r>
              <w:t xml:space="preserve">  合或舞蹈组合：</w:t>
            </w:r>
          </w:p>
          <w:p w14:paraId="3B2BC626">
            <w:pPr>
              <w:pStyle w:val="6"/>
              <w:spacing w:before="1" w:line="237" w:lineRule="auto"/>
              <w:ind w:left="15" w:right="57"/>
              <w:jc w:val="both"/>
            </w:pPr>
            <w:r>
              <w:rPr>
                <w:spacing w:val="8"/>
              </w:rPr>
              <w:t>功架到位，亮相有神；</w:t>
            </w:r>
            <w:r>
              <w:rPr>
                <w:spacing w:val="3"/>
              </w:rPr>
              <w:t xml:space="preserve"> </w:t>
            </w:r>
            <w:r>
              <w:rPr>
                <w:spacing w:val="8"/>
              </w:rPr>
              <w:t>手眼身步，运用协调；</w:t>
            </w:r>
            <w:r>
              <w:rPr>
                <w:spacing w:val="3"/>
              </w:rPr>
              <w:t xml:space="preserve"> </w:t>
            </w:r>
            <w:r>
              <w:rPr>
                <w:spacing w:val="-2"/>
              </w:rPr>
              <w:t>身姿优美，干净利落</w:t>
            </w:r>
          </w:p>
        </w:tc>
        <w:tc>
          <w:tcPr>
            <w:tcW w:w="2282" w:type="dxa"/>
            <w:vAlign w:val="top"/>
          </w:tcPr>
          <w:p w14:paraId="0EDA5CC7">
            <w:pPr>
              <w:spacing w:line="441" w:lineRule="auto"/>
              <w:rPr>
                <w:rFonts w:ascii="Arial"/>
                <w:sz w:val="21"/>
              </w:rPr>
            </w:pPr>
          </w:p>
          <w:p w14:paraId="72EFAB19">
            <w:pPr>
              <w:pStyle w:val="6"/>
              <w:spacing w:before="55" w:line="233" w:lineRule="auto"/>
              <w:ind w:left="17" w:right="223" w:firstLine="39"/>
              <w:jc w:val="both"/>
            </w:pPr>
            <w:r>
              <w:rPr>
                <w:spacing w:val="2"/>
              </w:rPr>
              <w:t>1.戏曲基本功组合(70分)</w:t>
            </w:r>
            <w:r>
              <w:rPr>
                <w:spacing w:val="4"/>
              </w:rPr>
              <w:t xml:space="preserve">  </w:t>
            </w:r>
            <w:r>
              <w:rPr>
                <w:spacing w:val="-1"/>
              </w:rPr>
              <w:t>2.戏曲身段组合或舞蹈组合</w:t>
            </w:r>
            <w:r>
              <w:rPr>
                <w:spacing w:val="3"/>
              </w:rPr>
              <w:t xml:space="preserve"> </w:t>
            </w:r>
            <w:r>
              <w:rPr>
                <w:spacing w:val="15"/>
              </w:rPr>
              <w:t>(50分)</w:t>
            </w:r>
          </w:p>
        </w:tc>
      </w:tr>
      <w:tr w14:paraId="6DCE62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82" w:hRule="atLeast"/>
        </w:trPr>
        <w:tc>
          <w:tcPr>
            <w:tcW w:w="844" w:type="dxa"/>
            <w:vAlign w:val="top"/>
          </w:tcPr>
          <w:p w14:paraId="0A76A1E3">
            <w:pPr>
              <w:spacing w:line="307" w:lineRule="auto"/>
              <w:rPr>
                <w:rFonts w:ascii="Arial"/>
                <w:sz w:val="21"/>
              </w:rPr>
            </w:pPr>
          </w:p>
          <w:p w14:paraId="4E3560FB">
            <w:pPr>
              <w:pStyle w:val="6"/>
              <w:spacing w:before="55" w:line="220" w:lineRule="auto"/>
              <w:ind w:left="15"/>
            </w:pPr>
            <w:r>
              <w:rPr>
                <w:spacing w:val="-1"/>
              </w:rPr>
              <w:t>项目三：</w:t>
            </w:r>
          </w:p>
          <w:p w14:paraId="5FB8768C">
            <w:pPr>
              <w:pStyle w:val="6"/>
              <w:spacing w:before="27" w:line="213" w:lineRule="auto"/>
              <w:ind w:left="114" w:right="86" w:hanging="39"/>
            </w:pPr>
            <w:r>
              <w:rPr>
                <w:spacing w:val="-2"/>
              </w:rPr>
              <w:t>剧目测试</w:t>
            </w:r>
            <w:r>
              <w:t xml:space="preserve"> </w:t>
            </w:r>
            <w:r>
              <w:rPr>
                <w:spacing w:val="5"/>
              </w:rPr>
              <w:t>(180分)</w:t>
            </w:r>
          </w:p>
        </w:tc>
        <w:tc>
          <w:tcPr>
            <w:tcW w:w="959" w:type="dxa"/>
            <w:vAlign w:val="top"/>
          </w:tcPr>
          <w:p w14:paraId="52B271CD">
            <w:pPr>
              <w:pStyle w:val="6"/>
              <w:spacing w:before="242" w:line="235" w:lineRule="auto"/>
              <w:ind w:left="11"/>
              <w:jc w:val="both"/>
            </w:pPr>
            <w:r>
              <w:rPr>
                <w:spacing w:val="-18"/>
              </w:rPr>
              <w:t>音响设备由考</w:t>
            </w:r>
            <w:r>
              <w:rPr>
                <w:spacing w:val="4"/>
              </w:rPr>
              <w:t xml:space="preserve"> </w:t>
            </w:r>
            <w:r>
              <w:rPr>
                <w:spacing w:val="-18"/>
              </w:rPr>
              <w:t>点提供，伴奏</w:t>
            </w:r>
            <w:r>
              <w:rPr>
                <w:spacing w:val="4"/>
              </w:rPr>
              <w:t xml:space="preserve"> </w:t>
            </w:r>
            <w:r>
              <w:rPr>
                <w:spacing w:val="-14"/>
              </w:rPr>
              <w:t>音乐由考生自</w:t>
            </w:r>
            <w:r>
              <w:t xml:space="preserve"> </w:t>
            </w:r>
            <w:r>
              <w:rPr>
                <w:spacing w:val="-4"/>
              </w:rPr>
              <w:t>备U盘</w:t>
            </w:r>
          </w:p>
        </w:tc>
        <w:tc>
          <w:tcPr>
            <w:tcW w:w="1319" w:type="dxa"/>
            <w:vAlign w:val="top"/>
          </w:tcPr>
          <w:p w14:paraId="103FF126">
            <w:pPr>
              <w:spacing w:line="406" w:lineRule="auto"/>
              <w:rPr>
                <w:rFonts w:ascii="Arial"/>
                <w:sz w:val="21"/>
              </w:rPr>
            </w:pPr>
          </w:p>
          <w:p w14:paraId="0F8C2751">
            <w:pPr>
              <w:pStyle w:val="6"/>
              <w:spacing w:before="56" w:line="247" w:lineRule="auto"/>
              <w:ind w:left="51" w:hanging="40"/>
            </w:pPr>
            <w:r>
              <w:rPr>
                <w:spacing w:val="-8"/>
              </w:rPr>
              <w:t>戏曲类折子戏片段</w:t>
            </w:r>
            <w:r>
              <w:t xml:space="preserve"> </w:t>
            </w:r>
            <w:r>
              <w:rPr>
                <w:spacing w:val="-2"/>
              </w:rPr>
              <w:t>或戏剧片断表演</w:t>
            </w:r>
          </w:p>
        </w:tc>
        <w:tc>
          <w:tcPr>
            <w:tcW w:w="1438" w:type="dxa"/>
            <w:vAlign w:val="top"/>
          </w:tcPr>
          <w:p w14:paraId="47BC4204">
            <w:pPr>
              <w:spacing w:line="406" w:lineRule="auto"/>
              <w:rPr>
                <w:rFonts w:ascii="Arial"/>
                <w:sz w:val="21"/>
              </w:rPr>
            </w:pPr>
          </w:p>
          <w:p w14:paraId="6D58DA1C">
            <w:pPr>
              <w:pStyle w:val="6"/>
              <w:spacing w:before="56" w:line="236" w:lineRule="auto"/>
              <w:ind w:left="33"/>
            </w:pPr>
            <w:r>
              <w:rPr>
                <w:spacing w:val="-2"/>
              </w:rPr>
              <w:t>现场测试，自带伴</w:t>
            </w:r>
            <w:r>
              <w:rPr>
                <w:spacing w:val="4"/>
              </w:rPr>
              <w:t xml:space="preserve"> </w:t>
            </w:r>
            <w:r>
              <w:rPr>
                <w:spacing w:val="3"/>
              </w:rPr>
              <w:t>奏U盘(4分钟以内)</w:t>
            </w:r>
          </w:p>
        </w:tc>
        <w:tc>
          <w:tcPr>
            <w:tcW w:w="1868" w:type="dxa"/>
            <w:vAlign w:val="top"/>
          </w:tcPr>
          <w:p w14:paraId="3DAB414B">
            <w:pPr>
              <w:pStyle w:val="6"/>
              <w:spacing w:before="154" w:line="220" w:lineRule="auto"/>
              <w:ind w:left="15"/>
            </w:pPr>
            <w:r>
              <w:t>戏曲戏剧表演：</w:t>
            </w:r>
          </w:p>
          <w:p w14:paraId="12A3B4D9">
            <w:pPr>
              <w:pStyle w:val="6"/>
              <w:spacing w:before="6" w:line="234" w:lineRule="auto"/>
              <w:ind w:left="15" w:right="130"/>
            </w:pPr>
            <w:r>
              <w:t>1.唱念做打，运用娴熟</w:t>
            </w:r>
            <w:r>
              <w:rPr>
                <w:spacing w:val="8"/>
              </w:rPr>
              <w:t xml:space="preserve"> </w:t>
            </w:r>
            <w:r>
              <w:rPr>
                <w:spacing w:val="-1"/>
              </w:rPr>
              <w:t>2.深入情景，积极感受</w:t>
            </w:r>
            <w:r>
              <w:rPr>
                <w:spacing w:val="1"/>
              </w:rPr>
              <w:t xml:space="preserve"> 3.准确清晰，自然贴切</w:t>
            </w:r>
            <w:r>
              <w:t xml:space="preserve"> </w:t>
            </w:r>
            <w:r>
              <w:rPr>
                <w:spacing w:val="-1"/>
              </w:rPr>
              <w:t>4.感情饱满，表现力强</w:t>
            </w:r>
          </w:p>
        </w:tc>
        <w:tc>
          <w:tcPr>
            <w:tcW w:w="2282" w:type="dxa"/>
            <w:vAlign w:val="top"/>
          </w:tcPr>
          <w:p w14:paraId="3E774533">
            <w:pPr>
              <w:spacing w:line="406" w:lineRule="auto"/>
              <w:rPr>
                <w:rFonts w:ascii="Arial"/>
                <w:sz w:val="21"/>
              </w:rPr>
            </w:pPr>
          </w:p>
          <w:p w14:paraId="6E0E21F5">
            <w:pPr>
              <w:pStyle w:val="6"/>
              <w:spacing w:before="56" w:line="224" w:lineRule="auto"/>
              <w:ind w:left="56" w:right="40" w:hanging="29"/>
            </w:pPr>
            <w:r>
              <w:rPr>
                <w:spacing w:val="-1"/>
              </w:rPr>
              <w:t>戏曲类折子戏片段或戏剧片断</w:t>
            </w:r>
            <w:r>
              <w:rPr>
                <w:spacing w:val="6"/>
              </w:rPr>
              <w:t xml:space="preserve"> </w:t>
            </w:r>
            <w:r>
              <w:rPr>
                <w:spacing w:val="4"/>
              </w:rPr>
              <w:t>表演(180分)</w:t>
            </w:r>
          </w:p>
        </w:tc>
      </w:tr>
    </w:tbl>
    <w:p w14:paraId="4779BF60">
      <w:pPr>
        <w:pStyle w:val="2"/>
        <w:spacing w:line="219" w:lineRule="exact"/>
        <w:rPr>
          <w:sz w:val="19"/>
        </w:rPr>
      </w:pPr>
    </w:p>
    <w:p w14:paraId="69173865">
      <w:pPr>
        <w:spacing w:line="219" w:lineRule="exact"/>
        <w:rPr>
          <w:sz w:val="19"/>
          <w:szCs w:val="19"/>
        </w:rPr>
        <w:sectPr>
          <w:type w:val="continuous"/>
          <w:pgSz w:w="10660" w:h="15080"/>
          <w:pgMar w:top="400" w:right="910" w:bottom="912" w:left="1010" w:header="0" w:footer="741" w:gutter="0"/>
          <w:cols w:equalWidth="0" w:num="1">
            <w:col w:w="8740"/>
          </w:cols>
        </w:sectPr>
      </w:pPr>
    </w:p>
    <w:p w14:paraId="1262F7F4">
      <w:pPr>
        <w:pStyle w:val="2"/>
        <w:spacing w:line="373" w:lineRule="auto"/>
      </w:pPr>
    </w:p>
    <w:p w14:paraId="15F06D33">
      <w:pPr>
        <w:spacing w:before="88" w:line="219" w:lineRule="auto"/>
        <w:ind w:left="823"/>
        <w:rPr>
          <w:rFonts w:ascii="宋体" w:hAnsi="宋体" w:eastAsia="宋体" w:cs="宋体"/>
          <w:sz w:val="27"/>
          <w:szCs w:val="27"/>
        </w:rPr>
      </w:pPr>
      <w:r>
        <w:rPr>
          <w:rFonts w:ascii="宋体" w:hAnsi="宋体" w:eastAsia="宋体" w:cs="宋体"/>
          <w:b/>
          <w:bCs/>
          <w:spacing w:val="14"/>
          <w:sz w:val="27"/>
          <w:szCs w:val="27"/>
        </w:rPr>
        <w:t>第三部分音乐表演方向</w:t>
      </w:r>
    </w:p>
    <w:p w14:paraId="39035DAB">
      <w:pPr>
        <w:pStyle w:val="2"/>
        <w:spacing w:line="421" w:lineRule="auto"/>
      </w:pPr>
    </w:p>
    <w:p w14:paraId="2FAB9EAF">
      <w:pPr>
        <w:spacing w:before="75" w:line="219" w:lineRule="auto"/>
        <w:ind w:left="3"/>
        <w:rPr>
          <w:rFonts w:ascii="宋体" w:hAnsi="宋体" w:eastAsia="宋体" w:cs="宋体"/>
          <w:sz w:val="23"/>
          <w:szCs w:val="23"/>
        </w:rPr>
      </w:pPr>
      <w:r>
        <w:rPr>
          <w:rFonts w:ascii="宋体" w:hAnsi="宋体" w:eastAsia="宋体" w:cs="宋体"/>
          <w:b/>
          <w:bCs/>
          <w:spacing w:val="-6"/>
          <w:sz w:val="23"/>
          <w:szCs w:val="23"/>
        </w:rPr>
        <w:t>一、测试范围与内容</w:t>
      </w:r>
    </w:p>
    <w:p w14:paraId="76E3F6B5">
      <w:pPr>
        <w:spacing w:before="127" w:line="299" w:lineRule="auto"/>
        <w:ind w:right="290" w:firstLine="349"/>
        <w:rPr>
          <w:rFonts w:ascii="宋体" w:hAnsi="宋体" w:eastAsia="宋体" w:cs="宋体"/>
          <w:sz w:val="16"/>
          <w:szCs w:val="16"/>
        </w:rPr>
      </w:pPr>
      <w:r>
        <w:rPr>
          <w:rFonts w:ascii="宋体" w:hAnsi="宋体" w:eastAsia="宋体" w:cs="宋体"/>
          <w:spacing w:val="22"/>
          <w:sz w:val="16"/>
          <w:szCs w:val="16"/>
        </w:rPr>
        <w:t>1.音乐表演方向不单独设置专业基础知识笔试，</w:t>
      </w:r>
      <w:r>
        <w:rPr>
          <w:rFonts w:ascii="宋体" w:hAnsi="宋体" w:eastAsia="宋体" w:cs="宋体"/>
          <w:spacing w:val="14"/>
          <w:sz w:val="16"/>
          <w:szCs w:val="16"/>
        </w:rPr>
        <w:t xml:space="preserve"> </w:t>
      </w:r>
      <w:r>
        <w:rPr>
          <w:rFonts w:ascii="宋体" w:hAnsi="宋体" w:eastAsia="宋体" w:cs="宋体"/>
          <w:spacing w:val="15"/>
          <w:sz w:val="16"/>
          <w:szCs w:val="16"/>
        </w:rPr>
        <w:t>统</w:t>
      </w:r>
      <w:r>
        <w:rPr>
          <w:rFonts w:ascii="宋体" w:hAnsi="宋体" w:eastAsia="宋体" w:cs="宋体"/>
          <w:spacing w:val="-39"/>
          <w:sz w:val="16"/>
          <w:szCs w:val="16"/>
        </w:rPr>
        <w:t xml:space="preserve"> </w:t>
      </w:r>
      <w:r>
        <w:rPr>
          <w:rFonts w:ascii="宋体" w:hAnsi="宋体" w:eastAsia="宋体" w:cs="宋体"/>
          <w:spacing w:val="15"/>
          <w:sz w:val="16"/>
          <w:szCs w:val="16"/>
        </w:rPr>
        <w:t>一</w:t>
      </w:r>
      <w:r>
        <w:rPr>
          <w:rFonts w:ascii="宋体" w:hAnsi="宋体" w:eastAsia="宋体" w:cs="宋体"/>
          <w:spacing w:val="-43"/>
          <w:sz w:val="16"/>
          <w:szCs w:val="16"/>
        </w:rPr>
        <w:t xml:space="preserve"> </w:t>
      </w:r>
      <w:r>
        <w:rPr>
          <w:rFonts w:ascii="宋体" w:hAnsi="宋体" w:eastAsia="宋体" w:cs="宋体"/>
          <w:spacing w:val="15"/>
          <w:sz w:val="16"/>
          <w:szCs w:val="16"/>
        </w:rPr>
        <w:t>为专业技能面试。</w:t>
      </w:r>
    </w:p>
    <w:p w14:paraId="747DF224">
      <w:pPr>
        <w:spacing w:before="33" w:line="321" w:lineRule="auto"/>
        <w:ind w:right="289" w:firstLine="349"/>
        <w:rPr>
          <w:rFonts w:ascii="宋体" w:hAnsi="宋体" w:eastAsia="宋体" w:cs="宋体"/>
          <w:sz w:val="16"/>
          <w:szCs w:val="16"/>
        </w:rPr>
      </w:pPr>
      <w:r>
        <w:rPr>
          <w:rFonts w:ascii="宋体" w:hAnsi="宋体" w:eastAsia="宋体" w:cs="宋体"/>
          <w:spacing w:val="19"/>
          <w:sz w:val="16"/>
          <w:szCs w:val="16"/>
        </w:rPr>
        <w:t>2</w:t>
      </w:r>
      <w:r>
        <w:rPr>
          <w:rFonts w:ascii="宋体" w:hAnsi="宋体" w:eastAsia="宋体" w:cs="宋体"/>
          <w:spacing w:val="-33"/>
          <w:sz w:val="16"/>
          <w:szCs w:val="16"/>
        </w:rPr>
        <w:t xml:space="preserve"> </w:t>
      </w:r>
      <w:r>
        <w:rPr>
          <w:rFonts w:ascii="宋体" w:hAnsi="宋体" w:eastAsia="宋体" w:cs="宋体"/>
          <w:spacing w:val="19"/>
          <w:sz w:val="16"/>
          <w:szCs w:val="16"/>
        </w:rPr>
        <w:t>.</w:t>
      </w:r>
      <w:r>
        <w:rPr>
          <w:rFonts w:ascii="宋体" w:hAnsi="宋体" w:eastAsia="宋体" w:cs="宋体"/>
          <w:spacing w:val="-46"/>
          <w:sz w:val="16"/>
          <w:szCs w:val="16"/>
        </w:rPr>
        <w:t xml:space="preserve"> </w:t>
      </w:r>
      <w:r>
        <w:rPr>
          <w:rFonts w:ascii="宋体" w:hAnsi="宋体" w:eastAsia="宋体" w:cs="宋体"/>
          <w:spacing w:val="19"/>
          <w:sz w:val="16"/>
          <w:szCs w:val="16"/>
        </w:rPr>
        <w:t>音乐表演方向设舞蹈、声乐和器乐三个方向，</w:t>
      </w:r>
      <w:r>
        <w:rPr>
          <w:rFonts w:ascii="宋体" w:hAnsi="宋体" w:eastAsia="宋体" w:cs="宋体"/>
          <w:sz w:val="16"/>
          <w:szCs w:val="16"/>
        </w:rPr>
        <w:t xml:space="preserve"> </w:t>
      </w:r>
      <w:r>
        <w:rPr>
          <w:rFonts w:ascii="宋体" w:hAnsi="宋体" w:eastAsia="宋体" w:cs="宋体"/>
          <w:spacing w:val="16"/>
          <w:sz w:val="16"/>
          <w:szCs w:val="16"/>
        </w:rPr>
        <w:t>考生可任选其</w:t>
      </w:r>
      <w:r>
        <w:rPr>
          <w:rFonts w:ascii="宋体" w:hAnsi="宋体" w:eastAsia="宋体" w:cs="宋体"/>
          <w:spacing w:val="-38"/>
          <w:sz w:val="16"/>
          <w:szCs w:val="16"/>
        </w:rPr>
        <w:t xml:space="preserve"> </w:t>
      </w:r>
      <w:r>
        <w:rPr>
          <w:rFonts w:ascii="宋体" w:hAnsi="宋体" w:eastAsia="宋体" w:cs="宋体"/>
          <w:spacing w:val="16"/>
          <w:sz w:val="16"/>
          <w:szCs w:val="16"/>
        </w:rPr>
        <w:t>一</w:t>
      </w:r>
      <w:r>
        <w:rPr>
          <w:rFonts w:ascii="宋体" w:hAnsi="宋体" w:eastAsia="宋体" w:cs="宋体"/>
          <w:spacing w:val="-46"/>
          <w:sz w:val="16"/>
          <w:szCs w:val="16"/>
        </w:rPr>
        <w:t xml:space="preserve"> </w:t>
      </w:r>
      <w:r>
        <w:rPr>
          <w:rFonts w:ascii="宋体" w:hAnsi="宋体" w:eastAsia="宋体" w:cs="宋体"/>
          <w:spacing w:val="16"/>
          <w:sz w:val="16"/>
          <w:szCs w:val="16"/>
        </w:rPr>
        <w:t>参加考试。</w:t>
      </w:r>
    </w:p>
    <w:p w14:paraId="1A6E8841">
      <w:pPr>
        <w:spacing w:before="14" w:line="221" w:lineRule="auto"/>
        <w:ind w:left="3"/>
        <w:rPr>
          <w:rFonts w:ascii="宋体" w:hAnsi="宋体" w:eastAsia="宋体" w:cs="宋体"/>
          <w:sz w:val="23"/>
          <w:szCs w:val="23"/>
        </w:rPr>
      </w:pPr>
      <w:r>
        <w:rPr>
          <w:rFonts w:ascii="宋体" w:hAnsi="宋体" w:eastAsia="宋体" w:cs="宋体"/>
          <w:b/>
          <w:bCs/>
          <w:spacing w:val="-7"/>
          <w:sz w:val="23"/>
          <w:szCs w:val="23"/>
        </w:rPr>
        <w:t>二、测试形式</w:t>
      </w:r>
    </w:p>
    <w:p w14:paraId="30E1F856">
      <w:pPr>
        <w:spacing w:before="94" w:line="184" w:lineRule="auto"/>
        <w:ind w:left="349"/>
        <w:rPr>
          <w:rFonts w:ascii="宋体" w:hAnsi="宋体" w:eastAsia="宋体" w:cs="宋体"/>
          <w:sz w:val="16"/>
          <w:szCs w:val="16"/>
        </w:rPr>
      </w:pPr>
      <w:r>
        <w:rPr>
          <w:rFonts w:ascii="宋体" w:hAnsi="宋体" w:eastAsia="宋体" w:cs="宋体"/>
          <w:spacing w:val="11"/>
          <w:sz w:val="16"/>
          <w:szCs w:val="16"/>
        </w:rPr>
        <w:t>现场面试</w:t>
      </w:r>
    </w:p>
    <w:p w14:paraId="0E2530B8">
      <w:pPr>
        <w:pStyle w:val="2"/>
        <w:spacing w:line="14" w:lineRule="auto"/>
        <w:rPr>
          <w:sz w:val="2"/>
        </w:rPr>
      </w:pPr>
      <w:r>
        <w:rPr>
          <w:sz w:val="2"/>
          <w:szCs w:val="2"/>
        </w:rPr>
        <w:br w:type="column"/>
      </w:r>
    </w:p>
    <w:p w14:paraId="44B83339">
      <w:pPr>
        <w:spacing w:before="52" w:line="221" w:lineRule="auto"/>
        <w:ind w:left="3"/>
        <w:rPr>
          <w:rFonts w:ascii="宋体" w:hAnsi="宋体" w:eastAsia="宋体" w:cs="宋体"/>
          <w:sz w:val="23"/>
          <w:szCs w:val="23"/>
        </w:rPr>
      </w:pPr>
      <w:r>
        <w:rPr>
          <w:rFonts w:ascii="宋体" w:hAnsi="宋体" w:eastAsia="宋体" w:cs="宋体"/>
          <w:b/>
          <w:bCs/>
          <w:spacing w:val="-9"/>
          <w:sz w:val="23"/>
          <w:szCs w:val="23"/>
        </w:rPr>
        <w:t>三、测试安排</w:t>
      </w:r>
    </w:p>
    <w:p w14:paraId="0280E89A">
      <w:pPr>
        <w:spacing w:before="113" w:line="287" w:lineRule="auto"/>
        <w:ind w:firstLine="349"/>
        <w:rPr>
          <w:rFonts w:ascii="宋体" w:hAnsi="宋体" w:eastAsia="宋体" w:cs="宋体"/>
          <w:sz w:val="16"/>
          <w:szCs w:val="16"/>
        </w:rPr>
      </w:pPr>
      <w:r>
        <w:rPr>
          <w:rFonts w:ascii="宋体" w:hAnsi="宋体" w:eastAsia="宋体" w:cs="宋体"/>
          <w:spacing w:val="18"/>
          <w:sz w:val="16"/>
          <w:szCs w:val="16"/>
        </w:rPr>
        <w:t>测试共5项，总分为450分，主要考查考生音乐学</w:t>
      </w:r>
      <w:r>
        <w:rPr>
          <w:rFonts w:ascii="宋体" w:hAnsi="宋体" w:eastAsia="宋体" w:cs="宋体"/>
          <w:spacing w:val="13"/>
          <w:sz w:val="16"/>
          <w:szCs w:val="16"/>
        </w:rPr>
        <w:t xml:space="preserve"> </w:t>
      </w:r>
      <w:r>
        <w:rPr>
          <w:rFonts w:ascii="宋体" w:hAnsi="宋体" w:eastAsia="宋体" w:cs="宋体"/>
          <w:spacing w:val="17"/>
          <w:sz w:val="16"/>
          <w:szCs w:val="16"/>
        </w:rPr>
        <w:t>基本能力及综合素质，具体为唱念能力测试(60分)、</w:t>
      </w:r>
      <w:r>
        <w:rPr>
          <w:rFonts w:ascii="宋体" w:hAnsi="宋体" w:eastAsia="宋体" w:cs="宋体"/>
          <w:spacing w:val="13"/>
          <w:sz w:val="16"/>
          <w:szCs w:val="16"/>
        </w:rPr>
        <w:t xml:space="preserve"> </w:t>
      </w:r>
      <w:r>
        <w:rPr>
          <w:rFonts w:ascii="宋体" w:hAnsi="宋体" w:eastAsia="宋体" w:cs="宋体"/>
          <w:spacing w:val="6"/>
          <w:sz w:val="19"/>
          <w:szCs w:val="19"/>
        </w:rPr>
        <w:t>听辨测试(50分)、基本功测试(50分)、基本</w:t>
      </w:r>
      <w:r>
        <w:rPr>
          <w:rFonts w:ascii="宋体" w:hAnsi="宋体" w:eastAsia="宋体" w:cs="宋体"/>
          <w:spacing w:val="5"/>
          <w:sz w:val="19"/>
          <w:szCs w:val="19"/>
        </w:rPr>
        <w:t>技能</w:t>
      </w:r>
      <w:r>
        <w:rPr>
          <w:rFonts w:ascii="宋体" w:hAnsi="宋体" w:eastAsia="宋体" w:cs="宋体"/>
          <w:sz w:val="19"/>
          <w:szCs w:val="19"/>
        </w:rPr>
        <w:t xml:space="preserve"> </w:t>
      </w:r>
      <w:r>
        <w:rPr>
          <w:rFonts w:ascii="宋体" w:hAnsi="宋体" w:eastAsia="宋体" w:cs="宋体"/>
          <w:spacing w:val="26"/>
          <w:sz w:val="16"/>
          <w:szCs w:val="16"/>
        </w:rPr>
        <w:t>测试(90分)、综合能力测试(200分)。</w:t>
      </w:r>
    </w:p>
    <w:p w14:paraId="542BC168">
      <w:pPr>
        <w:spacing w:before="60" w:line="221" w:lineRule="auto"/>
        <w:ind w:left="3"/>
        <w:rPr>
          <w:rFonts w:ascii="宋体" w:hAnsi="宋体" w:eastAsia="宋体" w:cs="宋体"/>
          <w:sz w:val="23"/>
          <w:szCs w:val="23"/>
        </w:rPr>
      </w:pPr>
      <w:r>
        <w:rPr>
          <w:rFonts w:ascii="宋体" w:hAnsi="宋体" w:eastAsia="宋体" w:cs="宋体"/>
          <w:b/>
          <w:bCs/>
          <w:spacing w:val="-9"/>
          <w:sz w:val="23"/>
          <w:szCs w:val="23"/>
        </w:rPr>
        <w:t>四、测试时间</w:t>
      </w:r>
    </w:p>
    <w:p w14:paraId="321CAE5D">
      <w:pPr>
        <w:spacing w:before="94" w:line="219" w:lineRule="auto"/>
        <w:ind w:left="349"/>
        <w:rPr>
          <w:rFonts w:ascii="宋体" w:hAnsi="宋体" w:eastAsia="宋体" w:cs="宋体"/>
          <w:sz w:val="16"/>
          <w:szCs w:val="16"/>
        </w:rPr>
      </w:pPr>
      <w:r>
        <w:rPr>
          <w:rFonts w:ascii="宋体" w:hAnsi="宋体" w:eastAsia="宋体" w:cs="宋体"/>
          <w:spacing w:val="12"/>
          <w:sz w:val="16"/>
          <w:szCs w:val="16"/>
        </w:rPr>
        <w:t>每位考生测试时间一般为13分钟左右。</w:t>
      </w:r>
    </w:p>
    <w:p w14:paraId="72EEBA8A">
      <w:pPr>
        <w:spacing w:before="80" w:line="220" w:lineRule="auto"/>
        <w:ind w:left="3"/>
        <w:rPr>
          <w:rFonts w:ascii="宋体" w:hAnsi="宋体" w:eastAsia="宋体" w:cs="宋体"/>
          <w:sz w:val="23"/>
          <w:szCs w:val="23"/>
        </w:rPr>
      </w:pPr>
      <w:r>
        <w:rPr>
          <w:rFonts w:ascii="宋体" w:hAnsi="宋体" w:eastAsia="宋体" w:cs="宋体"/>
          <w:b/>
          <w:bCs/>
          <w:spacing w:val="-7"/>
          <w:sz w:val="23"/>
          <w:szCs w:val="23"/>
        </w:rPr>
        <w:t>五、相关要求</w:t>
      </w:r>
    </w:p>
    <w:p w14:paraId="376FEAF4">
      <w:pPr>
        <w:spacing w:before="105" w:line="323" w:lineRule="auto"/>
        <w:ind w:right="39" w:firstLine="349"/>
        <w:rPr>
          <w:rFonts w:ascii="宋体" w:hAnsi="宋体" w:eastAsia="宋体" w:cs="宋体"/>
          <w:sz w:val="16"/>
          <w:szCs w:val="16"/>
        </w:rPr>
      </w:pPr>
      <w:r>
        <w:rPr>
          <w:rFonts w:ascii="宋体" w:hAnsi="宋体" w:eastAsia="宋体" w:cs="宋体"/>
          <w:spacing w:val="10"/>
          <w:sz w:val="16"/>
          <w:szCs w:val="16"/>
        </w:rPr>
        <w:t>1.除钢琴、音响设备由考点提供，考生自备道</w:t>
      </w:r>
      <w:r>
        <w:rPr>
          <w:rFonts w:ascii="宋体" w:hAnsi="宋体" w:eastAsia="宋体" w:cs="宋体"/>
          <w:spacing w:val="9"/>
          <w:sz w:val="16"/>
          <w:szCs w:val="16"/>
        </w:rPr>
        <w:t>具、</w:t>
      </w:r>
      <w:r>
        <w:rPr>
          <w:rFonts w:ascii="宋体" w:hAnsi="宋体" w:eastAsia="宋体" w:cs="宋体"/>
          <w:sz w:val="16"/>
          <w:szCs w:val="16"/>
        </w:rPr>
        <w:t xml:space="preserve"> </w:t>
      </w:r>
      <w:r>
        <w:rPr>
          <w:rFonts w:ascii="宋体" w:hAnsi="宋体" w:eastAsia="宋体" w:cs="宋体"/>
          <w:spacing w:val="6"/>
          <w:sz w:val="16"/>
          <w:szCs w:val="16"/>
        </w:rPr>
        <w:t>器乐及表演服装。</w:t>
      </w:r>
    </w:p>
    <w:p w14:paraId="489F2324">
      <w:pPr>
        <w:spacing w:line="323" w:lineRule="auto"/>
        <w:rPr>
          <w:rFonts w:ascii="宋体" w:hAnsi="宋体" w:eastAsia="宋体" w:cs="宋体"/>
          <w:sz w:val="16"/>
          <w:szCs w:val="16"/>
        </w:rPr>
        <w:sectPr>
          <w:type w:val="continuous"/>
          <w:pgSz w:w="10660" w:h="15080"/>
          <w:pgMar w:top="400" w:right="910" w:bottom="912" w:left="1010" w:header="0" w:footer="741" w:gutter="0"/>
          <w:cols w:equalWidth="0" w:num="2">
            <w:col w:w="4501" w:space="100"/>
            <w:col w:w="4140"/>
          </w:cols>
        </w:sectPr>
      </w:pPr>
    </w:p>
    <w:p w14:paraId="04027527">
      <w:pPr>
        <w:pStyle w:val="2"/>
        <w:spacing w:line="312" w:lineRule="auto"/>
      </w:pPr>
    </w:p>
    <w:p w14:paraId="65BB88A0">
      <w:pPr>
        <w:pStyle w:val="2"/>
        <w:spacing w:line="312" w:lineRule="auto"/>
      </w:pPr>
    </w:p>
    <w:p w14:paraId="0668C170">
      <w:pPr>
        <w:pStyle w:val="2"/>
        <w:spacing w:line="313" w:lineRule="auto"/>
      </w:pPr>
    </w:p>
    <w:p w14:paraId="39CF586C">
      <w:pPr>
        <w:spacing w:before="52" w:line="337" w:lineRule="auto"/>
        <w:ind w:left="40" w:right="4647" w:firstLine="349"/>
        <w:rPr>
          <w:rFonts w:ascii="宋体" w:hAnsi="宋体" w:eastAsia="宋体" w:cs="宋体"/>
          <w:sz w:val="16"/>
          <w:szCs w:val="16"/>
        </w:rPr>
      </w:pPr>
      <w:r>
        <w:rPr>
          <w:rFonts w:ascii="Times New Roman" w:hAnsi="Times New Roman" w:eastAsia="Times New Roman" w:cs="Times New Roman"/>
          <w:spacing w:val="11"/>
          <w:sz w:val="16"/>
          <w:szCs w:val="16"/>
        </w:rPr>
        <w:t xml:space="preserve">2. </w:t>
      </w:r>
      <w:r>
        <w:rPr>
          <w:rFonts w:ascii="宋体" w:hAnsi="宋体" w:eastAsia="宋体" w:cs="宋体"/>
          <w:spacing w:val="11"/>
          <w:sz w:val="16"/>
          <w:szCs w:val="16"/>
        </w:rPr>
        <w:t>测试用伴奏音乐由考生自备</w:t>
      </w:r>
      <w:r>
        <w:rPr>
          <w:rFonts w:ascii="Times New Roman" w:hAnsi="Times New Roman" w:eastAsia="Times New Roman" w:cs="Times New Roman"/>
          <w:spacing w:val="11"/>
          <w:sz w:val="16"/>
          <w:szCs w:val="16"/>
        </w:rPr>
        <w:t xml:space="preserve">U </w:t>
      </w:r>
      <w:r>
        <w:rPr>
          <w:rFonts w:ascii="宋体" w:hAnsi="宋体" w:eastAsia="宋体" w:cs="宋体"/>
          <w:spacing w:val="11"/>
          <w:sz w:val="16"/>
          <w:szCs w:val="16"/>
        </w:rPr>
        <w:t>盘，测试</w:t>
      </w:r>
      <w:r>
        <w:rPr>
          <w:rFonts w:ascii="宋体" w:hAnsi="宋体" w:eastAsia="宋体" w:cs="宋体"/>
          <w:spacing w:val="10"/>
          <w:sz w:val="16"/>
          <w:szCs w:val="16"/>
        </w:rPr>
        <w:t>中如发生</w:t>
      </w:r>
      <w:r>
        <w:rPr>
          <w:rFonts w:ascii="宋体" w:hAnsi="宋体" w:eastAsia="宋体" w:cs="宋体"/>
          <w:sz w:val="16"/>
          <w:szCs w:val="16"/>
        </w:rPr>
        <w:t xml:space="preserve"> </w:t>
      </w:r>
      <w:r>
        <w:rPr>
          <w:rFonts w:ascii="宋体" w:hAnsi="宋体" w:eastAsia="宋体" w:cs="宋体"/>
          <w:spacing w:val="6"/>
          <w:sz w:val="16"/>
          <w:szCs w:val="16"/>
        </w:rPr>
        <w:t>考生自带伴奏无法播放或音质不清等问题，</w:t>
      </w:r>
      <w:r>
        <w:rPr>
          <w:rFonts w:ascii="宋体" w:hAnsi="宋体" w:eastAsia="宋体" w:cs="宋体"/>
          <w:spacing w:val="72"/>
          <w:sz w:val="16"/>
          <w:szCs w:val="16"/>
        </w:rPr>
        <w:t xml:space="preserve"> </w:t>
      </w:r>
      <w:r>
        <w:rPr>
          <w:rFonts w:ascii="宋体" w:hAnsi="宋体" w:eastAsia="宋体" w:cs="宋体"/>
          <w:spacing w:val="6"/>
          <w:sz w:val="16"/>
          <w:szCs w:val="16"/>
        </w:rPr>
        <w:t>一律由考生</w:t>
      </w:r>
      <w:r>
        <w:rPr>
          <w:rFonts w:ascii="宋体" w:hAnsi="宋体" w:eastAsia="宋体" w:cs="宋体"/>
          <w:sz w:val="16"/>
          <w:szCs w:val="16"/>
        </w:rPr>
        <w:t xml:space="preserve"> </w:t>
      </w:r>
      <w:r>
        <w:rPr>
          <w:rFonts w:ascii="宋体" w:hAnsi="宋体" w:eastAsia="宋体" w:cs="宋体"/>
          <w:spacing w:val="7"/>
          <w:sz w:val="16"/>
          <w:szCs w:val="16"/>
        </w:rPr>
        <w:t>本人负责。</w:t>
      </w:r>
    </w:p>
    <w:p w14:paraId="0B6C05F5">
      <w:pPr>
        <w:spacing w:before="34" w:line="219" w:lineRule="auto"/>
        <w:ind w:left="390"/>
        <w:rPr>
          <w:rFonts w:ascii="宋体" w:hAnsi="宋体" w:eastAsia="宋体" w:cs="宋体"/>
          <w:sz w:val="16"/>
          <w:szCs w:val="16"/>
        </w:rPr>
      </w:pPr>
      <w:r>
        <w:rPr>
          <w:rFonts w:ascii="宋体" w:hAnsi="宋体" w:eastAsia="宋体" w:cs="宋体"/>
          <w:spacing w:val="9"/>
          <w:sz w:val="16"/>
          <w:szCs w:val="16"/>
        </w:rPr>
        <w:t>3.考生现场测试独立完成，不得携带搭档。</w:t>
      </w:r>
    </w:p>
    <w:p w14:paraId="61602DC4">
      <w:pPr>
        <w:spacing w:before="90" w:line="333" w:lineRule="auto"/>
        <w:ind w:left="40" w:right="4647" w:firstLine="349"/>
        <w:rPr>
          <w:rFonts w:ascii="宋体" w:hAnsi="宋体" w:eastAsia="宋体" w:cs="宋体"/>
          <w:sz w:val="16"/>
          <w:szCs w:val="16"/>
        </w:rPr>
      </w:pPr>
      <w:r>
        <w:rPr>
          <w:rFonts w:ascii="宋体" w:hAnsi="宋体" w:eastAsia="宋体" w:cs="宋体"/>
          <w:spacing w:val="11"/>
          <w:sz w:val="16"/>
          <w:szCs w:val="16"/>
        </w:rPr>
        <w:t>4.每位考生只有一次测试机会，因自身原因中断或</w:t>
      </w:r>
      <w:r>
        <w:rPr>
          <w:rFonts w:ascii="宋体" w:hAnsi="宋体" w:eastAsia="宋体" w:cs="宋体"/>
          <w:spacing w:val="13"/>
          <w:sz w:val="16"/>
          <w:szCs w:val="16"/>
        </w:rPr>
        <w:t xml:space="preserve"> </w:t>
      </w:r>
      <w:r>
        <w:rPr>
          <w:rFonts w:ascii="宋体" w:hAnsi="宋体" w:eastAsia="宋体" w:cs="宋体"/>
          <w:spacing w:val="7"/>
          <w:sz w:val="16"/>
          <w:szCs w:val="16"/>
        </w:rPr>
        <w:t>失误，不得重测。</w:t>
      </w:r>
    </w:p>
    <w:p w14:paraId="5B06EEAA">
      <w:pPr>
        <w:spacing w:before="10" w:line="221" w:lineRule="auto"/>
        <w:ind w:left="43"/>
        <w:rPr>
          <w:rFonts w:ascii="黑体" w:hAnsi="黑体" w:eastAsia="黑体" w:cs="黑体"/>
          <w:sz w:val="22"/>
          <w:szCs w:val="22"/>
        </w:rPr>
      </w:pPr>
      <w:r>
        <w:rPr>
          <w:rFonts w:ascii="黑体" w:hAnsi="黑体" w:eastAsia="黑体" w:cs="黑体"/>
          <w:b/>
          <w:bCs/>
          <w:spacing w:val="4"/>
          <w:sz w:val="22"/>
          <w:szCs w:val="22"/>
        </w:rPr>
        <w:t>六、测试项目</w:t>
      </w:r>
    </w:p>
    <w:p w14:paraId="52273E9E">
      <w:pPr>
        <w:spacing w:line="177" w:lineRule="exact"/>
      </w:pPr>
    </w:p>
    <w:tbl>
      <w:tblPr>
        <w:tblStyle w:val="5"/>
        <w:tblW w:w="8730" w:type="dxa"/>
        <w:tblInd w:w="9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024"/>
        <w:gridCol w:w="879"/>
        <w:gridCol w:w="1408"/>
        <w:gridCol w:w="1918"/>
        <w:gridCol w:w="1848"/>
        <w:gridCol w:w="1653"/>
      </w:tblGrid>
      <w:tr w14:paraId="6EBA13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4" w:hRule="atLeast"/>
        </w:trPr>
        <w:tc>
          <w:tcPr>
            <w:tcW w:w="1024" w:type="dxa"/>
            <w:vAlign w:val="top"/>
          </w:tcPr>
          <w:p w14:paraId="65AED3F5">
            <w:pPr>
              <w:pStyle w:val="6"/>
              <w:spacing w:before="100" w:line="220" w:lineRule="auto"/>
              <w:ind w:left="147"/>
              <w:rPr>
                <w:sz w:val="18"/>
                <w:szCs w:val="18"/>
              </w:rPr>
            </w:pPr>
            <w:r>
              <w:rPr>
                <w:b/>
                <w:bCs/>
                <w:spacing w:val="5"/>
                <w:sz w:val="18"/>
                <w:szCs w:val="18"/>
              </w:rPr>
              <w:t>测试项目</w:t>
            </w:r>
          </w:p>
        </w:tc>
        <w:tc>
          <w:tcPr>
            <w:tcW w:w="879" w:type="dxa"/>
            <w:vAlign w:val="top"/>
          </w:tcPr>
          <w:p w14:paraId="67A4263F">
            <w:pPr>
              <w:pStyle w:val="6"/>
              <w:spacing w:before="100" w:line="221" w:lineRule="auto"/>
              <w:ind w:left="73"/>
              <w:rPr>
                <w:sz w:val="18"/>
                <w:szCs w:val="18"/>
              </w:rPr>
            </w:pPr>
            <w:r>
              <w:rPr>
                <w:b/>
                <w:bCs/>
                <w:spacing w:val="-4"/>
                <w:sz w:val="18"/>
                <w:szCs w:val="18"/>
              </w:rPr>
              <w:t>测试用具</w:t>
            </w:r>
          </w:p>
        </w:tc>
        <w:tc>
          <w:tcPr>
            <w:tcW w:w="1408" w:type="dxa"/>
            <w:vAlign w:val="top"/>
          </w:tcPr>
          <w:p w14:paraId="2E27EB45">
            <w:pPr>
              <w:pStyle w:val="6"/>
              <w:spacing w:before="99" w:line="219" w:lineRule="auto"/>
              <w:ind w:left="334"/>
              <w:rPr>
                <w:sz w:val="18"/>
                <w:szCs w:val="18"/>
              </w:rPr>
            </w:pPr>
            <w:r>
              <w:rPr>
                <w:b/>
                <w:bCs/>
                <w:spacing w:val="-4"/>
                <w:sz w:val="18"/>
                <w:szCs w:val="18"/>
              </w:rPr>
              <w:t>测试内容</w:t>
            </w:r>
          </w:p>
        </w:tc>
        <w:tc>
          <w:tcPr>
            <w:tcW w:w="1918" w:type="dxa"/>
            <w:vAlign w:val="top"/>
          </w:tcPr>
          <w:p w14:paraId="0495991B">
            <w:pPr>
              <w:pStyle w:val="6"/>
              <w:spacing w:before="100" w:line="221" w:lineRule="auto"/>
              <w:ind w:left="626"/>
              <w:rPr>
                <w:sz w:val="18"/>
                <w:szCs w:val="18"/>
              </w:rPr>
            </w:pPr>
            <w:r>
              <w:rPr>
                <w:b/>
                <w:bCs/>
                <w:spacing w:val="-4"/>
                <w:sz w:val="18"/>
                <w:szCs w:val="18"/>
              </w:rPr>
              <w:t>测试方法</w:t>
            </w:r>
          </w:p>
        </w:tc>
        <w:tc>
          <w:tcPr>
            <w:tcW w:w="1848" w:type="dxa"/>
            <w:vAlign w:val="top"/>
          </w:tcPr>
          <w:p w14:paraId="32B2B522">
            <w:pPr>
              <w:pStyle w:val="6"/>
              <w:spacing w:before="100" w:line="221" w:lineRule="auto"/>
              <w:ind w:left="598"/>
              <w:rPr>
                <w:sz w:val="18"/>
                <w:szCs w:val="18"/>
              </w:rPr>
            </w:pPr>
            <w:r>
              <w:rPr>
                <w:b/>
                <w:bCs/>
                <w:spacing w:val="-4"/>
                <w:sz w:val="18"/>
                <w:szCs w:val="18"/>
              </w:rPr>
              <w:t>测试要求</w:t>
            </w:r>
          </w:p>
        </w:tc>
        <w:tc>
          <w:tcPr>
            <w:tcW w:w="1653" w:type="dxa"/>
            <w:vAlign w:val="top"/>
          </w:tcPr>
          <w:p w14:paraId="06C19219">
            <w:pPr>
              <w:pStyle w:val="6"/>
              <w:spacing w:before="99" w:line="219" w:lineRule="auto"/>
              <w:ind w:left="460"/>
              <w:rPr>
                <w:sz w:val="18"/>
                <w:szCs w:val="18"/>
              </w:rPr>
            </w:pPr>
            <w:r>
              <w:rPr>
                <w:b/>
                <w:bCs/>
                <w:spacing w:val="-4"/>
                <w:sz w:val="18"/>
                <w:szCs w:val="18"/>
              </w:rPr>
              <w:t>赋分参考</w:t>
            </w:r>
          </w:p>
        </w:tc>
      </w:tr>
      <w:tr w14:paraId="5892B4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79" w:hRule="atLeast"/>
        </w:trPr>
        <w:tc>
          <w:tcPr>
            <w:tcW w:w="1024" w:type="dxa"/>
            <w:vAlign w:val="top"/>
          </w:tcPr>
          <w:p w14:paraId="435E1899">
            <w:pPr>
              <w:pStyle w:val="6"/>
              <w:spacing w:before="168" w:line="215" w:lineRule="auto"/>
              <w:ind w:left="55"/>
              <w:rPr>
                <w:sz w:val="18"/>
                <w:szCs w:val="18"/>
              </w:rPr>
            </w:pPr>
            <w:r>
              <w:rPr>
                <w:sz w:val="18"/>
                <w:szCs w:val="18"/>
              </w:rPr>
              <w:t>项目一：唱</w:t>
            </w:r>
          </w:p>
          <w:p w14:paraId="517B3DCF">
            <w:pPr>
              <w:pStyle w:val="6"/>
              <w:spacing w:line="219" w:lineRule="auto"/>
              <w:jc w:val="right"/>
              <w:rPr>
                <w:sz w:val="18"/>
                <w:szCs w:val="18"/>
              </w:rPr>
            </w:pPr>
            <w:r>
              <w:rPr>
                <w:spacing w:val="-12"/>
                <w:sz w:val="18"/>
                <w:szCs w:val="18"/>
              </w:rPr>
              <w:t>念能力测试：</w:t>
            </w:r>
          </w:p>
          <w:p w14:paraId="4FACCBA0">
            <w:pPr>
              <w:pStyle w:val="6"/>
              <w:spacing w:before="6" w:line="220" w:lineRule="auto"/>
              <w:ind w:left="234"/>
              <w:rPr>
                <w:sz w:val="18"/>
                <w:szCs w:val="18"/>
              </w:rPr>
            </w:pPr>
            <w:r>
              <w:rPr>
                <w:spacing w:val="7"/>
                <w:sz w:val="18"/>
                <w:szCs w:val="18"/>
              </w:rPr>
              <w:t>(60分)</w:t>
            </w:r>
          </w:p>
        </w:tc>
        <w:tc>
          <w:tcPr>
            <w:tcW w:w="879" w:type="dxa"/>
            <w:vAlign w:val="top"/>
          </w:tcPr>
          <w:p w14:paraId="7C3AE6ED">
            <w:pPr>
              <w:rPr>
                <w:rFonts w:ascii="Arial"/>
                <w:sz w:val="21"/>
              </w:rPr>
            </w:pPr>
          </w:p>
        </w:tc>
        <w:tc>
          <w:tcPr>
            <w:tcW w:w="1408" w:type="dxa"/>
            <w:vAlign w:val="top"/>
          </w:tcPr>
          <w:p w14:paraId="3E9AD078">
            <w:pPr>
              <w:spacing w:line="288" w:lineRule="auto"/>
              <w:rPr>
                <w:rFonts w:ascii="Arial"/>
                <w:sz w:val="21"/>
              </w:rPr>
            </w:pPr>
          </w:p>
          <w:p w14:paraId="331F17C5">
            <w:pPr>
              <w:pStyle w:val="6"/>
              <w:spacing w:before="59" w:line="220" w:lineRule="auto"/>
              <w:ind w:left="511"/>
              <w:rPr>
                <w:sz w:val="18"/>
                <w:szCs w:val="18"/>
              </w:rPr>
            </w:pPr>
            <w:r>
              <w:rPr>
                <w:spacing w:val="7"/>
                <w:sz w:val="18"/>
                <w:szCs w:val="18"/>
              </w:rPr>
              <w:t>视唱</w:t>
            </w:r>
          </w:p>
        </w:tc>
        <w:tc>
          <w:tcPr>
            <w:tcW w:w="1918" w:type="dxa"/>
            <w:vAlign w:val="top"/>
          </w:tcPr>
          <w:p w14:paraId="72891246">
            <w:pPr>
              <w:pStyle w:val="6"/>
              <w:spacing w:before="257" w:line="218" w:lineRule="auto"/>
              <w:ind w:left="93" w:right="74" w:hanging="50"/>
              <w:rPr>
                <w:sz w:val="18"/>
                <w:szCs w:val="18"/>
              </w:rPr>
            </w:pPr>
            <w:r>
              <w:rPr>
                <w:spacing w:val="-2"/>
                <w:sz w:val="18"/>
                <w:szCs w:val="18"/>
              </w:rPr>
              <w:t>简谱及线谱视唱各一条</w:t>
            </w:r>
            <w:r>
              <w:rPr>
                <w:spacing w:val="8"/>
                <w:sz w:val="18"/>
                <w:szCs w:val="18"/>
              </w:rPr>
              <w:t xml:space="preserve"> </w:t>
            </w:r>
            <w:r>
              <w:rPr>
                <w:spacing w:val="5"/>
                <w:sz w:val="18"/>
                <w:szCs w:val="18"/>
              </w:rPr>
              <w:t>(2分钟之内)</w:t>
            </w:r>
          </w:p>
        </w:tc>
        <w:tc>
          <w:tcPr>
            <w:tcW w:w="1848" w:type="dxa"/>
            <w:vAlign w:val="top"/>
          </w:tcPr>
          <w:p w14:paraId="01FEAEEF">
            <w:pPr>
              <w:pStyle w:val="6"/>
              <w:spacing w:before="49" w:line="215" w:lineRule="auto"/>
              <w:ind w:left="15"/>
              <w:rPr>
                <w:sz w:val="18"/>
                <w:szCs w:val="18"/>
              </w:rPr>
            </w:pPr>
            <w:r>
              <w:rPr>
                <w:spacing w:val="7"/>
                <w:sz w:val="18"/>
                <w:szCs w:val="18"/>
              </w:rPr>
              <w:t>视唱</w:t>
            </w:r>
          </w:p>
          <w:p w14:paraId="5C16379E">
            <w:pPr>
              <w:pStyle w:val="6"/>
              <w:spacing w:line="215" w:lineRule="auto"/>
              <w:ind w:left="15" w:right="907"/>
              <w:rPr>
                <w:sz w:val="18"/>
                <w:szCs w:val="18"/>
              </w:rPr>
            </w:pPr>
            <w:r>
              <w:rPr>
                <w:spacing w:val="2"/>
                <w:sz w:val="18"/>
                <w:szCs w:val="18"/>
              </w:rPr>
              <w:t>1.音准准确</w:t>
            </w:r>
            <w:r>
              <w:rPr>
                <w:spacing w:val="1"/>
                <w:sz w:val="18"/>
                <w:szCs w:val="18"/>
              </w:rPr>
              <w:t xml:space="preserve"> 2.速度稳定</w:t>
            </w:r>
          </w:p>
          <w:p w14:paraId="7C513B8F">
            <w:pPr>
              <w:pStyle w:val="6"/>
              <w:spacing w:line="194" w:lineRule="auto"/>
              <w:ind w:left="15"/>
              <w:rPr>
                <w:sz w:val="18"/>
                <w:szCs w:val="18"/>
              </w:rPr>
            </w:pPr>
            <w:r>
              <w:rPr>
                <w:spacing w:val="-1"/>
                <w:sz w:val="18"/>
                <w:szCs w:val="18"/>
              </w:rPr>
              <w:t>3.音乐表情生动合理</w:t>
            </w:r>
          </w:p>
        </w:tc>
        <w:tc>
          <w:tcPr>
            <w:tcW w:w="1653" w:type="dxa"/>
            <w:vAlign w:val="top"/>
          </w:tcPr>
          <w:p w14:paraId="2D6F8E51">
            <w:pPr>
              <w:spacing w:line="288" w:lineRule="auto"/>
              <w:rPr>
                <w:rFonts w:ascii="Arial"/>
                <w:sz w:val="21"/>
              </w:rPr>
            </w:pPr>
          </w:p>
          <w:p w14:paraId="5FAD428B">
            <w:pPr>
              <w:pStyle w:val="6"/>
              <w:spacing w:before="59" w:line="220" w:lineRule="auto"/>
              <w:ind w:left="367"/>
              <w:rPr>
                <w:sz w:val="18"/>
                <w:szCs w:val="18"/>
              </w:rPr>
            </w:pPr>
            <w:r>
              <w:rPr>
                <w:spacing w:val="5"/>
                <w:sz w:val="18"/>
                <w:szCs w:val="18"/>
              </w:rPr>
              <w:t>视唱(60分)</w:t>
            </w:r>
          </w:p>
        </w:tc>
      </w:tr>
      <w:tr w14:paraId="35F896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59" w:hRule="atLeast"/>
        </w:trPr>
        <w:tc>
          <w:tcPr>
            <w:tcW w:w="1024" w:type="dxa"/>
            <w:vAlign w:val="top"/>
          </w:tcPr>
          <w:p w14:paraId="29932B55">
            <w:pPr>
              <w:pStyle w:val="6"/>
              <w:spacing w:before="50" w:line="210" w:lineRule="auto"/>
              <w:ind w:left="94" w:right="19" w:firstLine="89"/>
              <w:rPr>
                <w:sz w:val="18"/>
                <w:szCs w:val="18"/>
              </w:rPr>
            </w:pPr>
            <w:r>
              <w:rPr>
                <w:sz w:val="18"/>
                <w:szCs w:val="18"/>
              </w:rPr>
              <w:t xml:space="preserve">项目二：  </w:t>
            </w:r>
            <w:r>
              <w:rPr>
                <w:spacing w:val="-1"/>
                <w:sz w:val="18"/>
                <w:szCs w:val="18"/>
              </w:rPr>
              <w:t>听辨测试：</w:t>
            </w:r>
          </w:p>
          <w:p w14:paraId="0124055C">
            <w:pPr>
              <w:pStyle w:val="6"/>
              <w:spacing w:line="193" w:lineRule="auto"/>
              <w:ind w:left="234"/>
              <w:rPr>
                <w:sz w:val="18"/>
                <w:szCs w:val="18"/>
              </w:rPr>
            </w:pPr>
            <w:r>
              <w:rPr>
                <w:spacing w:val="7"/>
                <w:sz w:val="18"/>
                <w:szCs w:val="18"/>
              </w:rPr>
              <w:t>(50分)</w:t>
            </w:r>
          </w:p>
        </w:tc>
        <w:tc>
          <w:tcPr>
            <w:tcW w:w="879" w:type="dxa"/>
            <w:vAlign w:val="top"/>
          </w:tcPr>
          <w:p w14:paraId="58CD186E">
            <w:pPr>
              <w:pStyle w:val="6"/>
              <w:spacing w:before="170" w:line="208" w:lineRule="auto"/>
              <w:ind w:left="71" w:right="77" w:firstLine="89"/>
              <w:rPr>
                <w:sz w:val="18"/>
                <w:szCs w:val="18"/>
              </w:rPr>
            </w:pPr>
            <w:r>
              <w:rPr>
                <w:spacing w:val="-14"/>
                <w:sz w:val="18"/>
                <w:szCs w:val="18"/>
              </w:rPr>
              <w:t>钢</w:t>
            </w:r>
            <w:r>
              <w:rPr>
                <w:spacing w:val="-20"/>
                <w:sz w:val="18"/>
                <w:szCs w:val="18"/>
              </w:rPr>
              <w:t xml:space="preserve"> </w:t>
            </w:r>
            <w:r>
              <w:rPr>
                <w:spacing w:val="-14"/>
                <w:sz w:val="18"/>
                <w:szCs w:val="18"/>
              </w:rPr>
              <w:t>琴</w:t>
            </w:r>
            <w:r>
              <w:rPr>
                <w:spacing w:val="-29"/>
                <w:sz w:val="18"/>
                <w:szCs w:val="18"/>
              </w:rPr>
              <w:t xml:space="preserve"> </w:t>
            </w:r>
            <w:r>
              <w:rPr>
                <w:spacing w:val="-14"/>
                <w:sz w:val="18"/>
                <w:szCs w:val="18"/>
              </w:rPr>
              <w:t>、</w:t>
            </w:r>
            <w:r>
              <w:rPr>
                <w:sz w:val="18"/>
                <w:szCs w:val="18"/>
              </w:rPr>
              <w:t xml:space="preserve"> </w:t>
            </w:r>
            <w:r>
              <w:rPr>
                <w:spacing w:val="-2"/>
                <w:sz w:val="18"/>
                <w:szCs w:val="18"/>
              </w:rPr>
              <w:t>音响设备</w:t>
            </w:r>
          </w:p>
        </w:tc>
        <w:tc>
          <w:tcPr>
            <w:tcW w:w="1408" w:type="dxa"/>
            <w:vAlign w:val="top"/>
          </w:tcPr>
          <w:p w14:paraId="2C8F9A68">
            <w:pPr>
              <w:pStyle w:val="6"/>
              <w:spacing w:before="159" w:line="212" w:lineRule="auto"/>
              <w:ind w:left="331" w:right="331" w:firstLine="89"/>
              <w:rPr>
                <w:sz w:val="18"/>
                <w:szCs w:val="18"/>
              </w:rPr>
            </w:pPr>
            <w:r>
              <w:rPr>
                <w:spacing w:val="-9"/>
                <w:sz w:val="18"/>
                <w:szCs w:val="18"/>
              </w:rPr>
              <w:t>节</w:t>
            </w:r>
            <w:r>
              <w:rPr>
                <w:spacing w:val="-22"/>
                <w:sz w:val="18"/>
                <w:szCs w:val="18"/>
              </w:rPr>
              <w:t xml:space="preserve"> </w:t>
            </w:r>
            <w:r>
              <w:rPr>
                <w:spacing w:val="-9"/>
                <w:sz w:val="18"/>
                <w:szCs w:val="18"/>
              </w:rPr>
              <w:t>奏</w:t>
            </w:r>
            <w:r>
              <w:rPr>
                <w:spacing w:val="-28"/>
                <w:sz w:val="18"/>
                <w:szCs w:val="18"/>
              </w:rPr>
              <w:t xml:space="preserve"> </w:t>
            </w:r>
            <w:r>
              <w:rPr>
                <w:spacing w:val="-9"/>
                <w:sz w:val="18"/>
                <w:szCs w:val="18"/>
              </w:rPr>
              <w:t>、</w:t>
            </w:r>
            <w:r>
              <w:rPr>
                <w:sz w:val="18"/>
                <w:szCs w:val="18"/>
              </w:rPr>
              <w:t xml:space="preserve"> </w:t>
            </w:r>
            <w:r>
              <w:rPr>
                <w:spacing w:val="3"/>
                <w:sz w:val="18"/>
                <w:szCs w:val="18"/>
              </w:rPr>
              <w:t>旋律模唱</w:t>
            </w:r>
          </w:p>
        </w:tc>
        <w:tc>
          <w:tcPr>
            <w:tcW w:w="1918" w:type="dxa"/>
            <w:vAlign w:val="top"/>
          </w:tcPr>
          <w:p w14:paraId="6877FE4C">
            <w:pPr>
              <w:pStyle w:val="6"/>
              <w:spacing w:before="149" w:line="217" w:lineRule="auto"/>
              <w:ind w:left="13" w:right="71" w:firstLine="29"/>
              <w:rPr>
                <w:sz w:val="18"/>
                <w:szCs w:val="18"/>
              </w:rPr>
            </w:pPr>
            <w:r>
              <w:rPr>
                <w:spacing w:val="-1"/>
                <w:sz w:val="18"/>
                <w:szCs w:val="18"/>
              </w:rPr>
              <w:t>节奏模唱和旋律模唱各</w:t>
            </w:r>
            <w:r>
              <w:rPr>
                <w:spacing w:val="1"/>
                <w:sz w:val="18"/>
                <w:szCs w:val="18"/>
              </w:rPr>
              <w:t xml:space="preserve"> </w:t>
            </w:r>
            <w:r>
              <w:rPr>
                <w:spacing w:val="4"/>
                <w:sz w:val="18"/>
                <w:szCs w:val="18"/>
              </w:rPr>
              <w:t>一条(3分钟之内)</w:t>
            </w:r>
          </w:p>
        </w:tc>
        <w:tc>
          <w:tcPr>
            <w:tcW w:w="1848" w:type="dxa"/>
            <w:vAlign w:val="top"/>
          </w:tcPr>
          <w:p w14:paraId="15987E8E">
            <w:pPr>
              <w:pStyle w:val="6"/>
              <w:spacing w:before="150" w:line="222" w:lineRule="auto"/>
              <w:ind w:left="15" w:right="4" w:firstLine="10"/>
              <w:rPr>
                <w:sz w:val="18"/>
                <w:szCs w:val="18"/>
              </w:rPr>
            </w:pPr>
            <w:r>
              <w:rPr>
                <w:sz w:val="18"/>
                <w:szCs w:val="18"/>
              </w:rPr>
              <w:t>听辨现场抽试；随着播</w:t>
            </w:r>
            <w:r>
              <w:rPr>
                <w:spacing w:val="6"/>
                <w:sz w:val="18"/>
                <w:szCs w:val="18"/>
              </w:rPr>
              <w:t xml:space="preserve"> </w:t>
            </w:r>
            <w:r>
              <w:rPr>
                <w:spacing w:val="-1"/>
                <w:sz w:val="18"/>
                <w:szCs w:val="18"/>
              </w:rPr>
              <w:t>放音乐现场模唱。</w:t>
            </w:r>
          </w:p>
        </w:tc>
        <w:tc>
          <w:tcPr>
            <w:tcW w:w="1653" w:type="dxa"/>
            <w:vAlign w:val="top"/>
          </w:tcPr>
          <w:p w14:paraId="13160A1D">
            <w:pPr>
              <w:pStyle w:val="6"/>
              <w:spacing w:before="149" w:line="216" w:lineRule="auto"/>
              <w:ind w:left="7"/>
              <w:rPr>
                <w:sz w:val="18"/>
                <w:szCs w:val="18"/>
              </w:rPr>
            </w:pPr>
            <w:r>
              <w:rPr>
                <w:spacing w:val="-1"/>
                <w:sz w:val="18"/>
                <w:szCs w:val="18"/>
              </w:rPr>
              <w:t>节奏、旋律模唱测试</w:t>
            </w:r>
          </w:p>
          <w:p w14:paraId="5C2EDB2D">
            <w:pPr>
              <w:pStyle w:val="6"/>
              <w:spacing w:line="220" w:lineRule="auto"/>
              <w:ind w:left="548"/>
              <w:rPr>
                <w:sz w:val="18"/>
                <w:szCs w:val="18"/>
              </w:rPr>
            </w:pPr>
            <w:r>
              <w:rPr>
                <w:spacing w:val="7"/>
                <w:sz w:val="18"/>
                <w:szCs w:val="18"/>
              </w:rPr>
              <w:t>(50分)</w:t>
            </w:r>
          </w:p>
        </w:tc>
      </w:tr>
      <w:tr w14:paraId="4A3B63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49" w:hRule="atLeast"/>
        </w:trPr>
        <w:tc>
          <w:tcPr>
            <w:tcW w:w="1024" w:type="dxa"/>
            <w:vMerge w:val="restart"/>
            <w:tcBorders>
              <w:bottom w:val="nil"/>
            </w:tcBorders>
            <w:vAlign w:val="top"/>
          </w:tcPr>
          <w:p w14:paraId="01F99E85">
            <w:pPr>
              <w:spacing w:line="280" w:lineRule="auto"/>
              <w:rPr>
                <w:rFonts w:ascii="Arial"/>
                <w:sz w:val="21"/>
              </w:rPr>
            </w:pPr>
          </w:p>
          <w:p w14:paraId="37711982">
            <w:pPr>
              <w:pStyle w:val="6"/>
              <w:spacing w:before="59" w:line="220" w:lineRule="auto"/>
              <w:ind w:left="55"/>
              <w:rPr>
                <w:sz w:val="18"/>
                <w:szCs w:val="18"/>
              </w:rPr>
            </w:pPr>
            <w:r>
              <w:rPr>
                <w:spacing w:val="-2"/>
                <w:sz w:val="18"/>
                <w:szCs w:val="18"/>
              </w:rPr>
              <w:t>项目三：基</w:t>
            </w:r>
          </w:p>
          <w:p w14:paraId="4DFC06CF">
            <w:pPr>
              <w:pStyle w:val="6"/>
              <w:spacing w:before="23" w:line="217" w:lineRule="auto"/>
              <w:ind w:left="94"/>
              <w:rPr>
                <w:sz w:val="18"/>
                <w:szCs w:val="18"/>
              </w:rPr>
            </w:pPr>
            <w:r>
              <w:rPr>
                <w:spacing w:val="-1"/>
                <w:sz w:val="18"/>
                <w:szCs w:val="18"/>
              </w:rPr>
              <w:t>本功测试：</w:t>
            </w:r>
          </w:p>
          <w:p w14:paraId="2A0BFDB5">
            <w:pPr>
              <w:pStyle w:val="6"/>
              <w:spacing w:line="220" w:lineRule="auto"/>
              <w:ind w:left="234"/>
              <w:rPr>
                <w:sz w:val="18"/>
                <w:szCs w:val="18"/>
              </w:rPr>
            </w:pPr>
            <w:r>
              <w:rPr>
                <w:spacing w:val="7"/>
                <w:sz w:val="18"/>
                <w:szCs w:val="18"/>
              </w:rPr>
              <w:t>(50分)</w:t>
            </w:r>
          </w:p>
        </w:tc>
        <w:tc>
          <w:tcPr>
            <w:tcW w:w="879" w:type="dxa"/>
            <w:vAlign w:val="top"/>
          </w:tcPr>
          <w:p w14:paraId="3AA9F81B">
            <w:pPr>
              <w:rPr>
                <w:rFonts w:ascii="Arial"/>
                <w:sz w:val="21"/>
              </w:rPr>
            </w:pPr>
          </w:p>
        </w:tc>
        <w:tc>
          <w:tcPr>
            <w:tcW w:w="1408" w:type="dxa"/>
            <w:vAlign w:val="top"/>
          </w:tcPr>
          <w:p w14:paraId="48667B12">
            <w:pPr>
              <w:pStyle w:val="6"/>
              <w:spacing w:before="161" w:line="221" w:lineRule="auto"/>
              <w:ind w:left="11" w:right="26" w:firstLine="99"/>
              <w:rPr>
                <w:sz w:val="18"/>
                <w:szCs w:val="18"/>
              </w:rPr>
            </w:pPr>
            <w:r>
              <w:rPr>
                <w:sz w:val="18"/>
                <w:szCs w:val="18"/>
              </w:rPr>
              <w:t xml:space="preserve">舞蹈方向测试： </w:t>
            </w:r>
            <w:r>
              <w:rPr>
                <w:spacing w:val="-2"/>
                <w:sz w:val="18"/>
                <w:szCs w:val="18"/>
              </w:rPr>
              <w:t>基本功</w:t>
            </w:r>
          </w:p>
        </w:tc>
        <w:tc>
          <w:tcPr>
            <w:tcW w:w="1918" w:type="dxa"/>
            <w:vAlign w:val="top"/>
          </w:tcPr>
          <w:p w14:paraId="2F59A1B6">
            <w:pPr>
              <w:pStyle w:val="6"/>
              <w:spacing w:before="150" w:line="212" w:lineRule="auto"/>
              <w:ind w:left="423" w:right="454" w:firstLine="190"/>
              <w:rPr>
                <w:sz w:val="18"/>
                <w:szCs w:val="18"/>
              </w:rPr>
            </w:pPr>
            <w:r>
              <w:rPr>
                <w:spacing w:val="-3"/>
                <w:sz w:val="18"/>
                <w:szCs w:val="18"/>
              </w:rPr>
              <w:t>现场测试</w:t>
            </w:r>
            <w:r>
              <w:rPr>
                <w:spacing w:val="1"/>
                <w:sz w:val="18"/>
                <w:szCs w:val="18"/>
              </w:rPr>
              <w:t xml:space="preserve">  </w:t>
            </w:r>
            <w:r>
              <w:rPr>
                <w:spacing w:val="5"/>
                <w:sz w:val="18"/>
                <w:szCs w:val="18"/>
              </w:rPr>
              <w:t>(2分钟之内)</w:t>
            </w:r>
          </w:p>
        </w:tc>
        <w:tc>
          <w:tcPr>
            <w:tcW w:w="1848" w:type="dxa"/>
            <w:vAlign w:val="top"/>
          </w:tcPr>
          <w:p w14:paraId="08A30EE9">
            <w:pPr>
              <w:pStyle w:val="6"/>
              <w:spacing w:before="51" w:line="201" w:lineRule="auto"/>
              <w:ind w:left="15" w:right="14" w:firstLine="10"/>
              <w:jc w:val="both"/>
              <w:rPr>
                <w:sz w:val="18"/>
                <w:szCs w:val="18"/>
              </w:rPr>
            </w:pPr>
            <w:r>
              <w:rPr>
                <w:spacing w:val="-1"/>
                <w:sz w:val="18"/>
                <w:szCs w:val="18"/>
              </w:rPr>
              <w:t>基本功：跳、转、翻技</w:t>
            </w:r>
            <w:r>
              <w:rPr>
                <w:spacing w:val="1"/>
                <w:sz w:val="18"/>
                <w:szCs w:val="18"/>
              </w:rPr>
              <w:t xml:space="preserve"> </w:t>
            </w:r>
            <w:r>
              <w:rPr>
                <w:spacing w:val="19"/>
                <w:sz w:val="18"/>
                <w:szCs w:val="18"/>
              </w:rPr>
              <w:t>巧(任选</w:t>
            </w:r>
            <w:r>
              <w:rPr>
                <w:spacing w:val="-46"/>
                <w:sz w:val="18"/>
                <w:szCs w:val="18"/>
              </w:rPr>
              <w:t xml:space="preserve"> </w:t>
            </w:r>
            <w:r>
              <w:rPr>
                <w:spacing w:val="19"/>
                <w:sz w:val="18"/>
                <w:szCs w:val="18"/>
              </w:rPr>
              <w:t>一</w:t>
            </w:r>
            <w:r>
              <w:rPr>
                <w:spacing w:val="-48"/>
                <w:sz w:val="18"/>
                <w:szCs w:val="18"/>
              </w:rPr>
              <w:t xml:space="preserve"> </w:t>
            </w:r>
            <w:r>
              <w:rPr>
                <w:spacing w:val="19"/>
                <w:sz w:val="18"/>
                <w:szCs w:val="18"/>
              </w:rPr>
              <w:t>项),软开</w:t>
            </w:r>
            <w:r>
              <w:rPr>
                <w:sz w:val="18"/>
                <w:szCs w:val="18"/>
              </w:rPr>
              <w:t xml:space="preserve"> 度</w:t>
            </w:r>
          </w:p>
        </w:tc>
        <w:tc>
          <w:tcPr>
            <w:tcW w:w="1653" w:type="dxa"/>
            <w:vAlign w:val="top"/>
          </w:tcPr>
          <w:p w14:paraId="40835BFE">
            <w:pPr>
              <w:pStyle w:val="6"/>
              <w:spacing w:before="150" w:line="218" w:lineRule="auto"/>
              <w:ind w:left="548" w:right="515"/>
              <w:rPr>
                <w:sz w:val="18"/>
                <w:szCs w:val="18"/>
              </w:rPr>
            </w:pPr>
            <w:r>
              <w:rPr>
                <w:spacing w:val="-3"/>
                <w:sz w:val="18"/>
                <w:szCs w:val="18"/>
              </w:rPr>
              <w:t>基本功</w:t>
            </w:r>
            <w:r>
              <w:rPr>
                <w:sz w:val="18"/>
                <w:szCs w:val="18"/>
              </w:rPr>
              <w:t xml:space="preserve"> </w:t>
            </w:r>
            <w:r>
              <w:rPr>
                <w:spacing w:val="7"/>
                <w:sz w:val="18"/>
                <w:szCs w:val="18"/>
              </w:rPr>
              <w:t>(50分)</w:t>
            </w:r>
          </w:p>
        </w:tc>
      </w:tr>
      <w:tr w14:paraId="2B0F11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9" w:hRule="atLeast"/>
        </w:trPr>
        <w:tc>
          <w:tcPr>
            <w:tcW w:w="1024" w:type="dxa"/>
            <w:vMerge w:val="continue"/>
            <w:tcBorders>
              <w:top w:val="nil"/>
            </w:tcBorders>
            <w:vAlign w:val="top"/>
          </w:tcPr>
          <w:p w14:paraId="42F4D24E">
            <w:pPr>
              <w:rPr>
                <w:rFonts w:ascii="Arial"/>
                <w:sz w:val="21"/>
              </w:rPr>
            </w:pPr>
          </w:p>
        </w:tc>
        <w:tc>
          <w:tcPr>
            <w:tcW w:w="879" w:type="dxa"/>
            <w:vAlign w:val="top"/>
          </w:tcPr>
          <w:p w14:paraId="1E371E5B">
            <w:pPr>
              <w:rPr>
                <w:rFonts w:ascii="Arial"/>
                <w:sz w:val="21"/>
              </w:rPr>
            </w:pPr>
          </w:p>
        </w:tc>
        <w:tc>
          <w:tcPr>
            <w:tcW w:w="1408" w:type="dxa"/>
            <w:vAlign w:val="top"/>
          </w:tcPr>
          <w:p w14:paraId="453C1EF5">
            <w:pPr>
              <w:pStyle w:val="6"/>
              <w:spacing w:before="131" w:line="228" w:lineRule="auto"/>
              <w:ind w:left="61" w:right="57"/>
              <w:rPr>
                <w:sz w:val="18"/>
                <w:szCs w:val="18"/>
              </w:rPr>
            </w:pPr>
            <w:r>
              <w:rPr>
                <w:spacing w:val="2"/>
                <w:sz w:val="18"/>
                <w:szCs w:val="18"/>
              </w:rPr>
              <w:t>声乐、器乐方向</w:t>
            </w:r>
            <w:r>
              <w:rPr>
                <w:spacing w:val="3"/>
                <w:sz w:val="18"/>
                <w:szCs w:val="18"/>
              </w:rPr>
              <w:t xml:space="preserve"> </w:t>
            </w:r>
            <w:r>
              <w:rPr>
                <w:spacing w:val="-1"/>
                <w:sz w:val="18"/>
                <w:szCs w:val="18"/>
              </w:rPr>
              <w:t>测试：基础乐理</w:t>
            </w:r>
          </w:p>
        </w:tc>
        <w:tc>
          <w:tcPr>
            <w:tcW w:w="1918" w:type="dxa"/>
            <w:vAlign w:val="top"/>
          </w:tcPr>
          <w:p w14:paraId="4138646A">
            <w:pPr>
              <w:pStyle w:val="6"/>
              <w:spacing w:before="131" w:line="217" w:lineRule="auto"/>
              <w:ind w:left="423" w:right="221" w:hanging="170"/>
              <w:rPr>
                <w:sz w:val="18"/>
                <w:szCs w:val="18"/>
              </w:rPr>
            </w:pPr>
            <w:r>
              <w:rPr>
                <w:spacing w:val="-1"/>
                <w:sz w:val="18"/>
                <w:szCs w:val="18"/>
              </w:rPr>
              <w:t>考生现场抽题回答</w:t>
            </w:r>
            <w:r>
              <w:rPr>
                <w:sz w:val="18"/>
                <w:szCs w:val="18"/>
              </w:rPr>
              <w:t xml:space="preserve"> </w:t>
            </w:r>
            <w:r>
              <w:rPr>
                <w:spacing w:val="5"/>
                <w:sz w:val="18"/>
                <w:szCs w:val="18"/>
              </w:rPr>
              <w:t>(2分钟之内)</w:t>
            </w:r>
          </w:p>
        </w:tc>
        <w:tc>
          <w:tcPr>
            <w:tcW w:w="1848" w:type="dxa"/>
            <w:vAlign w:val="top"/>
          </w:tcPr>
          <w:p w14:paraId="2E5BC538">
            <w:pPr>
              <w:pStyle w:val="6"/>
              <w:spacing w:before="232" w:line="220" w:lineRule="auto"/>
              <w:ind w:left="15"/>
              <w:rPr>
                <w:sz w:val="18"/>
                <w:szCs w:val="18"/>
              </w:rPr>
            </w:pPr>
            <w:r>
              <w:rPr>
                <w:spacing w:val="-1"/>
                <w:sz w:val="18"/>
                <w:szCs w:val="18"/>
              </w:rPr>
              <w:t>基础乐理测试</w:t>
            </w:r>
          </w:p>
        </w:tc>
        <w:tc>
          <w:tcPr>
            <w:tcW w:w="1653" w:type="dxa"/>
            <w:vAlign w:val="top"/>
          </w:tcPr>
          <w:p w14:paraId="0A0FDC8E">
            <w:pPr>
              <w:pStyle w:val="6"/>
              <w:spacing w:before="141" w:line="213" w:lineRule="auto"/>
              <w:ind w:left="547" w:right="363" w:hanging="180"/>
              <w:rPr>
                <w:sz w:val="18"/>
                <w:szCs w:val="18"/>
              </w:rPr>
            </w:pPr>
            <w:r>
              <w:rPr>
                <w:spacing w:val="2"/>
                <w:sz w:val="18"/>
                <w:szCs w:val="18"/>
              </w:rPr>
              <w:t>乐理基本功</w:t>
            </w:r>
            <w:r>
              <w:rPr>
                <w:sz w:val="18"/>
                <w:szCs w:val="18"/>
              </w:rPr>
              <w:t xml:space="preserve"> </w:t>
            </w:r>
            <w:r>
              <w:rPr>
                <w:spacing w:val="7"/>
                <w:sz w:val="18"/>
                <w:szCs w:val="18"/>
              </w:rPr>
              <w:t>(50分)</w:t>
            </w:r>
          </w:p>
        </w:tc>
      </w:tr>
      <w:tr w14:paraId="17FBB7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9" w:hRule="atLeast"/>
        </w:trPr>
        <w:tc>
          <w:tcPr>
            <w:tcW w:w="1024" w:type="dxa"/>
            <w:vMerge w:val="restart"/>
            <w:tcBorders>
              <w:bottom w:val="nil"/>
            </w:tcBorders>
            <w:vAlign w:val="top"/>
          </w:tcPr>
          <w:p w14:paraId="6E4C4AF1">
            <w:pPr>
              <w:spacing w:line="310" w:lineRule="auto"/>
              <w:rPr>
                <w:rFonts w:ascii="Arial"/>
                <w:sz w:val="21"/>
              </w:rPr>
            </w:pPr>
          </w:p>
          <w:p w14:paraId="6A45710B">
            <w:pPr>
              <w:spacing w:line="310" w:lineRule="auto"/>
              <w:rPr>
                <w:rFonts w:ascii="Arial"/>
                <w:sz w:val="21"/>
              </w:rPr>
            </w:pPr>
          </w:p>
          <w:p w14:paraId="7B5AB2C1">
            <w:pPr>
              <w:pStyle w:val="6"/>
              <w:spacing w:before="59" w:line="220" w:lineRule="auto"/>
              <w:ind w:left="55"/>
              <w:rPr>
                <w:sz w:val="18"/>
                <w:szCs w:val="18"/>
              </w:rPr>
            </w:pPr>
            <w:r>
              <w:rPr>
                <w:spacing w:val="-2"/>
                <w:sz w:val="18"/>
                <w:szCs w:val="18"/>
              </w:rPr>
              <w:t>项目四：单</w:t>
            </w:r>
          </w:p>
          <w:p w14:paraId="1CC01238">
            <w:pPr>
              <w:pStyle w:val="6"/>
              <w:spacing w:before="25" w:line="220" w:lineRule="auto"/>
              <w:jc w:val="right"/>
              <w:rPr>
                <w:sz w:val="18"/>
                <w:szCs w:val="18"/>
              </w:rPr>
            </w:pPr>
            <w:r>
              <w:rPr>
                <w:spacing w:val="-12"/>
                <w:sz w:val="18"/>
                <w:szCs w:val="18"/>
              </w:rPr>
              <w:t>项技能测试：</w:t>
            </w:r>
          </w:p>
          <w:p w14:paraId="4EFAD6FF">
            <w:pPr>
              <w:pStyle w:val="6"/>
              <w:spacing w:before="15" w:line="220" w:lineRule="auto"/>
              <w:ind w:left="234"/>
              <w:rPr>
                <w:sz w:val="18"/>
                <w:szCs w:val="18"/>
              </w:rPr>
            </w:pPr>
            <w:r>
              <w:rPr>
                <w:spacing w:val="7"/>
                <w:sz w:val="18"/>
                <w:szCs w:val="18"/>
              </w:rPr>
              <w:t>(90分)</w:t>
            </w:r>
          </w:p>
        </w:tc>
        <w:tc>
          <w:tcPr>
            <w:tcW w:w="879" w:type="dxa"/>
            <w:vAlign w:val="top"/>
          </w:tcPr>
          <w:p w14:paraId="779C87BF">
            <w:pPr>
              <w:rPr>
                <w:rFonts w:ascii="Arial"/>
                <w:sz w:val="21"/>
              </w:rPr>
            </w:pPr>
          </w:p>
        </w:tc>
        <w:tc>
          <w:tcPr>
            <w:tcW w:w="1408" w:type="dxa"/>
            <w:vAlign w:val="top"/>
          </w:tcPr>
          <w:p w14:paraId="7543144D">
            <w:pPr>
              <w:pStyle w:val="6"/>
              <w:spacing w:before="202" w:line="218" w:lineRule="auto"/>
              <w:ind w:left="11" w:right="126"/>
              <w:rPr>
                <w:sz w:val="18"/>
                <w:szCs w:val="18"/>
              </w:rPr>
            </w:pPr>
            <w:r>
              <w:rPr>
                <w:sz w:val="18"/>
                <w:szCs w:val="18"/>
              </w:rPr>
              <w:t xml:space="preserve">舞蹈方向测试： </w:t>
            </w:r>
            <w:r>
              <w:rPr>
                <w:spacing w:val="-2"/>
                <w:sz w:val="18"/>
                <w:szCs w:val="18"/>
              </w:rPr>
              <w:t>舞蹈组合测试</w:t>
            </w:r>
          </w:p>
        </w:tc>
        <w:tc>
          <w:tcPr>
            <w:tcW w:w="1918" w:type="dxa"/>
            <w:vAlign w:val="top"/>
          </w:tcPr>
          <w:p w14:paraId="630A1F03">
            <w:pPr>
              <w:pStyle w:val="6"/>
              <w:spacing w:before="72" w:line="221" w:lineRule="auto"/>
              <w:ind w:left="13" w:right="59"/>
              <w:jc w:val="both"/>
              <w:rPr>
                <w:sz w:val="18"/>
                <w:szCs w:val="18"/>
              </w:rPr>
            </w:pPr>
            <w:r>
              <w:rPr>
                <w:spacing w:val="3"/>
                <w:sz w:val="18"/>
                <w:szCs w:val="18"/>
              </w:rPr>
              <w:t xml:space="preserve">舞蹈组合，融合在项目 </w:t>
            </w:r>
            <w:r>
              <w:rPr>
                <w:spacing w:val="-1"/>
                <w:sz w:val="18"/>
                <w:szCs w:val="18"/>
              </w:rPr>
              <w:t>五成品舞表演中，不单</w:t>
            </w:r>
            <w:r>
              <w:rPr>
                <w:sz w:val="18"/>
                <w:szCs w:val="18"/>
              </w:rPr>
              <w:t xml:space="preserve"> 独测试。</w:t>
            </w:r>
          </w:p>
        </w:tc>
        <w:tc>
          <w:tcPr>
            <w:tcW w:w="1848" w:type="dxa"/>
            <w:vAlign w:val="top"/>
          </w:tcPr>
          <w:p w14:paraId="5F45CEEF">
            <w:pPr>
              <w:pStyle w:val="6"/>
              <w:spacing w:before="82" w:line="215" w:lineRule="auto"/>
              <w:ind w:left="15"/>
              <w:rPr>
                <w:sz w:val="18"/>
                <w:szCs w:val="18"/>
              </w:rPr>
            </w:pPr>
            <w:r>
              <w:rPr>
                <w:sz w:val="18"/>
                <w:szCs w:val="18"/>
              </w:rPr>
              <w:t>舞蹈组合：</w:t>
            </w:r>
          </w:p>
          <w:p w14:paraId="4300EBD8">
            <w:pPr>
              <w:pStyle w:val="6"/>
              <w:spacing w:before="1" w:line="216" w:lineRule="auto"/>
              <w:ind w:left="15"/>
              <w:rPr>
                <w:sz w:val="18"/>
                <w:szCs w:val="18"/>
              </w:rPr>
            </w:pPr>
            <w:r>
              <w:rPr>
                <w:spacing w:val="-7"/>
                <w:sz w:val="18"/>
                <w:szCs w:val="18"/>
              </w:rPr>
              <w:t>1.手眼身步，运用协调</w:t>
            </w:r>
            <w:r>
              <w:rPr>
                <w:spacing w:val="3"/>
                <w:sz w:val="18"/>
                <w:szCs w:val="18"/>
              </w:rPr>
              <w:t xml:space="preserve">  </w:t>
            </w:r>
            <w:r>
              <w:rPr>
                <w:spacing w:val="-14"/>
                <w:sz w:val="18"/>
                <w:szCs w:val="18"/>
              </w:rPr>
              <w:t>2.身姿优美，干净利落。</w:t>
            </w:r>
          </w:p>
        </w:tc>
        <w:tc>
          <w:tcPr>
            <w:tcW w:w="1653" w:type="dxa"/>
            <w:vAlign w:val="top"/>
          </w:tcPr>
          <w:p w14:paraId="66A02402">
            <w:pPr>
              <w:pStyle w:val="6"/>
              <w:spacing w:before="173" w:line="220" w:lineRule="auto"/>
              <w:ind w:left="457"/>
              <w:rPr>
                <w:sz w:val="18"/>
                <w:szCs w:val="18"/>
              </w:rPr>
            </w:pPr>
            <w:r>
              <w:rPr>
                <w:spacing w:val="-3"/>
                <w:sz w:val="18"/>
                <w:szCs w:val="18"/>
              </w:rPr>
              <w:t>舞蹈组合</w:t>
            </w:r>
          </w:p>
          <w:p w14:paraId="35BE0475">
            <w:pPr>
              <w:pStyle w:val="6"/>
              <w:spacing w:before="5" w:line="220" w:lineRule="auto"/>
              <w:ind w:left="548"/>
              <w:rPr>
                <w:sz w:val="18"/>
                <w:szCs w:val="18"/>
              </w:rPr>
            </w:pPr>
            <w:r>
              <w:rPr>
                <w:spacing w:val="7"/>
                <w:sz w:val="18"/>
                <w:szCs w:val="18"/>
              </w:rPr>
              <w:t>(90分)</w:t>
            </w:r>
          </w:p>
        </w:tc>
      </w:tr>
      <w:tr w14:paraId="442E46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28" w:hRule="atLeast"/>
        </w:trPr>
        <w:tc>
          <w:tcPr>
            <w:tcW w:w="1024" w:type="dxa"/>
            <w:vMerge w:val="continue"/>
            <w:tcBorders>
              <w:top w:val="nil"/>
            </w:tcBorders>
            <w:vAlign w:val="top"/>
          </w:tcPr>
          <w:p w14:paraId="0307A997">
            <w:pPr>
              <w:rPr>
                <w:rFonts w:ascii="Arial"/>
                <w:sz w:val="21"/>
              </w:rPr>
            </w:pPr>
          </w:p>
        </w:tc>
        <w:tc>
          <w:tcPr>
            <w:tcW w:w="879" w:type="dxa"/>
            <w:vAlign w:val="top"/>
          </w:tcPr>
          <w:p w14:paraId="74A35EE0">
            <w:pPr>
              <w:rPr>
                <w:rFonts w:ascii="Arial"/>
                <w:sz w:val="21"/>
              </w:rPr>
            </w:pPr>
          </w:p>
        </w:tc>
        <w:tc>
          <w:tcPr>
            <w:tcW w:w="1408" w:type="dxa"/>
            <w:vAlign w:val="top"/>
          </w:tcPr>
          <w:p w14:paraId="59EC81B8">
            <w:pPr>
              <w:spacing w:line="262" w:lineRule="auto"/>
              <w:rPr>
                <w:rFonts w:ascii="Arial"/>
                <w:sz w:val="21"/>
              </w:rPr>
            </w:pPr>
          </w:p>
          <w:p w14:paraId="1000366A">
            <w:pPr>
              <w:pStyle w:val="6"/>
              <w:spacing w:before="59" w:line="231" w:lineRule="auto"/>
              <w:ind w:left="11" w:right="57" w:firstLine="49"/>
              <w:jc w:val="both"/>
              <w:rPr>
                <w:sz w:val="18"/>
                <w:szCs w:val="18"/>
              </w:rPr>
            </w:pPr>
            <w:r>
              <w:rPr>
                <w:spacing w:val="2"/>
                <w:sz w:val="18"/>
                <w:szCs w:val="18"/>
              </w:rPr>
              <w:t>声乐、器乐方向</w:t>
            </w:r>
            <w:r>
              <w:rPr>
                <w:spacing w:val="3"/>
                <w:sz w:val="18"/>
                <w:szCs w:val="18"/>
              </w:rPr>
              <w:t xml:space="preserve"> </w:t>
            </w:r>
            <w:r>
              <w:rPr>
                <w:spacing w:val="6"/>
                <w:sz w:val="18"/>
                <w:szCs w:val="18"/>
              </w:rPr>
              <w:t>测试：自选加试</w:t>
            </w:r>
            <w:r>
              <w:rPr>
                <w:sz w:val="18"/>
                <w:szCs w:val="18"/>
              </w:rPr>
              <w:t xml:space="preserve"> </w:t>
            </w:r>
            <w:r>
              <w:rPr>
                <w:spacing w:val="-2"/>
                <w:sz w:val="18"/>
                <w:szCs w:val="18"/>
              </w:rPr>
              <w:t>项目测试</w:t>
            </w:r>
          </w:p>
        </w:tc>
        <w:tc>
          <w:tcPr>
            <w:tcW w:w="1918" w:type="dxa"/>
            <w:vAlign w:val="top"/>
          </w:tcPr>
          <w:p w14:paraId="169FBFE3">
            <w:pPr>
              <w:pStyle w:val="6"/>
              <w:spacing w:before="93" w:line="228" w:lineRule="auto"/>
              <w:ind w:left="13" w:firstLine="9"/>
              <w:rPr>
                <w:sz w:val="18"/>
                <w:szCs w:val="18"/>
              </w:rPr>
            </w:pPr>
            <w:r>
              <w:rPr>
                <w:spacing w:val="-9"/>
                <w:sz w:val="18"/>
                <w:szCs w:val="18"/>
              </w:rPr>
              <w:t>声乐方向：器乐、舞蹈、</w:t>
            </w:r>
            <w:r>
              <w:rPr>
                <w:spacing w:val="2"/>
                <w:sz w:val="18"/>
                <w:szCs w:val="18"/>
              </w:rPr>
              <w:t xml:space="preserve"> </w:t>
            </w:r>
            <w:r>
              <w:rPr>
                <w:spacing w:val="-2"/>
                <w:sz w:val="18"/>
                <w:szCs w:val="18"/>
              </w:rPr>
              <w:t>朗诵(三选一);</w:t>
            </w:r>
          </w:p>
          <w:p w14:paraId="1D4C2C59">
            <w:pPr>
              <w:pStyle w:val="6"/>
              <w:spacing w:before="15" w:line="220" w:lineRule="auto"/>
              <w:ind w:left="23"/>
              <w:rPr>
                <w:sz w:val="18"/>
                <w:szCs w:val="18"/>
              </w:rPr>
            </w:pPr>
            <w:r>
              <w:rPr>
                <w:spacing w:val="-9"/>
                <w:sz w:val="18"/>
                <w:szCs w:val="18"/>
              </w:rPr>
              <w:t>器乐方向：声乐、舞蹈、</w:t>
            </w:r>
            <w:r>
              <w:rPr>
                <w:spacing w:val="2"/>
                <w:sz w:val="18"/>
                <w:szCs w:val="18"/>
              </w:rPr>
              <w:t xml:space="preserve"> </w:t>
            </w:r>
            <w:r>
              <w:rPr>
                <w:spacing w:val="-5"/>
                <w:sz w:val="18"/>
                <w:szCs w:val="18"/>
              </w:rPr>
              <w:t>朗诵(三选一)。</w:t>
            </w:r>
          </w:p>
          <w:p w14:paraId="62E25308">
            <w:pPr>
              <w:pStyle w:val="6"/>
              <w:spacing w:line="219" w:lineRule="auto"/>
              <w:ind w:left="94"/>
              <w:rPr>
                <w:sz w:val="18"/>
                <w:szCs w:val="18"/>
              </w:rPr>
            </w:pPr>
            <w:r>
              <w:rPr>
                <w:spacing w:val="5"/>
                <w:sz w:val="18"/>
                <w:szCs w:val="18"/>
              </w:rPr>
              <w:t>(3分钟之内)</w:t>
            </w:r>
          </w:p>
        </w:tc>
        <w:tc>
          <w:tcPr>
            <w:tcW w:w="1848" w:type="dxa"/>
            <w:vAlign w:val="top"/>
          </w:tcPr>
          <w:p w14:paraId="33605FD6">
            <w:pPr>
              <w:spacing w:line="472" w:lineRule="auto"/>
              <w:rPr>
                <w:rFonts w:ascii="Arial"/>
                <w:sz w:val="21"/>
              </w:rPr>
            </w:pPr>
          </w:p>
          <w:p w14:paraId="4DA31B6A">
            <w:pPr>
              <w:pStyle w:val="6"/>
              <w:spacing w:before="59" w:line="220" w:lineRule="auto"/>
              <w:ind w:left="15"/>
              <w:rPr>
                <w:sz w:val="18"/>
                <w:szCs w:val="18"/>
              </w:rPr>
            </w:pPr>
            <w:r>
              <w:rPr>
                <w:sz w:val="18"/>
                <w:szCs w:val="18"/>
              </w:rPr>
              <w:t>自选加试项目测试。</w:t>
            </w:r>
          </w:p>
        </w:tc>
        <w:tc>
          <w:tcPr>
            <w:tcW w:w="1653" w:type="dxa"/>
            <w:vAlign w:val="top"/>
          </w:tcPr>
          <w:p w14:paraId="1EA0406F">
            <w:pPr>
              <w:spacing w:line="373" w:lineRule="auto"/>
              <w:rPr>
                <w:rFonts w:ascii="Arial"/>
                <w:sz w:val="21"/>
              </w:rPr>
            </w:pPr>
          </w:p>
          <w:p w14:paraId="34CCF439">
            <w:pPr>
              <w:pStyle w:val="6"/>
              <w:spacing w:before="58" w:line="220" w:lineRule="auto"/>
              <w:ind w:left="97"/>
              <w:rPr>
                <w:sz w:val="18"/>
                <w:szCs w:val="18"/>
              </w:rPr>
            </w:pPr>
            <w:r>
              <w:rPr>
                <w:sz w:val="18"/>
                <w:szCs w:val="18"/>
              </w:rPr>
              <w:t>自选加试项目测试</w:t>
            </w:r>
          </w:p>
          <w:p w14:paraId="2CAADD47">
            <w:pPr>
              <w:pStyle w:val="6"/>
              <w:spacing w:before="5" w:line="220" w:lineRule="auto"/>
              <w:ind w:left="548"/>
              <w:rPr>
                <w:sz w:val="18"/>
                <w:szCs w:val="18"/>
              </w:rPr>
            </w:pPr>
            <w:r>
              <w:rPr>
                <w:spacing w:val="7"/>
                <w:sz w:val="18"/>
                <w:szCs w:val="18"/>
              </w:rPr>
              <w:t>(90分)</w:t>
            </w:r>
          </w:p>
        </w:tc>
      </w:tr>
      <w:tr w14:paraId="4C9EE7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79" w:hRule="atLeast"/>
        </w:trPr>
        <w:tc>
          <w:tcPr>
            <w:tcW w:w="1024" w:type="dxa"/>
            <w:vMerge w:val="restart"/>
            <w:tcBorders>
              <w:bottom w:val="nil"/>
            </w:tcBorders>
            <w:vAlign w:val="top"/>
          </w:tcPr>
          <w:p w14:paraId="6C0B3F7A">
            <w:pPr>
              <w:rPr>
                <w:rFonts w:ascii="Arial"/>
                <w:sz w:val="21"/>
              </w:rPr>
            </w:pPr>
          </w:p>
          <w:p w14:paraId="72EEE08F">
            <w:pPr>
              <w:rPr>
                <w:rFonts w:ascii="Arial"/>
                <w:sz w:val="21"/>
              </w:rPr>
            </w:pPr>
          </w:p>
          <w:p w14:paraId="3293153B">
            <w:pPr>
              <w:rPr>
                <w:rFonts w:ascii="Arial"/>
                <w:sz w:val="21"/>
              </w:rPr>
            </w:pPr>
          </w:p>
          <w:p w14:paraId="69CA8ECF">
            <w:pPr>
              <w:rPr>
                <w:rFonts w:ascii="Arial"/>
                <w:sz w:val="21"/>
              </w:rPr>
            </w:pPr>
          </w:p>
          <w:p w14:paraId="69DCE341">
            <w:pPr>
              <w:pStyle w:val="6"/>
              <w:spacing w:before="59" w:line="224" w:lineRule="auto"/>
              <w:ind w:left="5" w:firstLine="46"/>
              <w:jc w:val="both"/>
              <w:rPr>
                <w:sz w:val="18"/>
                <w:szCs w:val="18"/>
              </w:rPr>
            </w:pPr>
            <w:r>
              <w:rPr>
                <w:spacing w:val="-14"/>
                <w:sz w:val="18"/>
                <w:szCs w:val="18"/>
              </w:rPr>
              <w:t>项目五：综</w:t>
            </w:r>
            <w:r>
              <w:rPr>
                <w:sz w:val="18"/>
                <w:szCs w:val="18"/>
              </w:rPr>
              <w:t xml:space="preserve">  </w:t>
            </w:r>
            <w:r>
              <w:rPr>
                <w:spacing w:val="-12"/>
                <w:sz w:val="18"/>
                <w:szCs w:val="18"/>
              </w:rPr>
              <w:t>合能力测试：</w:t>
            </w:r>
            <w:r>
              <w:rPr>
                <w:sz w:val="18"/>
                <w:szCs w:val="18"/>
              </w:rPr>
              <w:t xml:space="preserve"> </w:t>
            </w:r>
            <w:r>
              <w:rPr>
                <w:spacing w:val="11"/>
                <w:sz w:val="18"/>
                <w:szCs w:val="18"/>
              </w:rPr>
              <w:t>(200分)</w:t>
            </w:r>
          </w:p>
        </w:tc>
        <w:tc>
          <w:tcPr>
            <w:tcW w:w="879" w:type="dxa"/>
            <w:vMerge w:val="restart"/>
            <w:tcBorders>
              <w:bottom w:val="nil"/>
            </w:tcBorders>
            <w:vAlign w:val="top"/>
          </w:tcPr>
          <w:p w14:paraId="22C06A84">
            <w:pPr>
              <w:spacing w:line="262" w:lineRule="auto"/>
              <w:rPr>
                <w:rFonts w:ascii="Arial"/>
                <w:sz w:val="21"/>
              </w:rPr>
            </w:pPr>
          </w:p>
          <w:p w14:paraId="7ED30C34">
            <w:pPr>
              <w:spacing w:line="263" w:lineRule="auto"/>
              <w:rPr>
                <w:rFonts w:ascii="Arial"/>
                <w:sz w:val="21"/>
              </w:rPr>
            </w:pPr>
          </w:p>
          <w:p w14:paraId="2A66D7F1">
            <w:pPr>
              <w:pStyle w:val="6"/>
              <w:spacing w:before="58" w:line="223" w:lineRule="auto"/>
              <w:ind w:left="10" w:firstLine="59"/>
              <w:rPr>
                <w:sz w:val="18"/>
                <w:szCs w:val="18"/>
              </w:rPr>
            </w:pPr>
            <w:r>
              <w:rPr>
                <w:spacing w:val="-4"/>
                <w:sz w:val="18"/>
                <w:szCs w:val="18"/>
              </w:rPr>
              <w:t>钢琴、音</w:t>
            </w:r>
            <w:r>
              <w:rPr>
                <w:sz w:val="18"/>
                <w:szCs w:val="18"/>
              </w:rPr>
              <w:t xml:space="preserve">  </w:t>
            </w:r>
            <w:r>
              <w:rPr>
                <w:spacing w:val="1"/>
                <w:sz w:val="18"/>
                <w:szCs w:val="18"/>
              </w:rPr>
              <w:t>响设备(音</w:t>
            </w:r>
            <w:r>
              <w:rPr>
                <w:spacing w:val="3"/>
                <w:sz w:val="18"/>
                <w:szCs w:val="18"/>
              </w:rPr>
              <w:t xml:space="preserve"> </w:t>
            </w:r>
            <w:r>
              <w:rPr>
                <w:spacing w:val="34"/>
                <w:sz w:val="18"/>
                <w:szCs w:val="18"/>
              </w:rPr>
              <w:t>乐学方向</w:t>
            </w:r>
            <w:r>
              <w:rPr>
                <w:spacing w:val="1"/>
                <w:sz w:val="18"/>
                <w:szCs w:val="18"/>
              </w:rPr>
              <w:t xml:space="preserve"> </w:t>
            </w:r>
            <w:r>
              <w:rPr>
                <w:spacing w:val="10"/>
                <w:sz w:val="18"/>
                <w:szCs w:val="18"/>
              </w:rPr>
              <w:t>考生伴奏</w:t>
            </w:r>
            <w:r>
              <w:rPr>
                <w:spacing w:val="1"/>
                <w:sz w:val="18"/>
                <w:szCs w:val="18"/>
              </w:rPr>
              <w:t xml:space="preserve">  </w:t>
            </w:r>
            <w:r>
              <w:rPr>
                <w:spacing w:val="10"/>
                <w:sz w:val="18"/>
                <w:szCs w:val="18"/>
              </w:rPr>
              <w:t>音乐自备</w:t>
            </w:r>
            <w:r>
              <w:rPr>
                <w:sz w:val="18"/>
                <w:szCs w:val="18"/>
              </w:rPr>
              <w:t xml:space="preserve">  </w:t>
            </w:r>
            <w:r>
              <w:rPr>
                <w:spacing w:val="-1"/>
                <w:sz w:val="18"/>
                <w:szCs w:val="18"/>
              </w:rPr>
              <w:t>U盘，不予</w:t>
            </w:r>
            <w:r>
              <w:rPr>
                <w:sz w:val="18"/>
                <w:szCs w:val="18"/>
              </w:rPr>
              <w:t xml:space="preserve"> </w:t>
            </w:r>
            <w:r>
              <w:rPr>
                <w:spacing w:val="7"/>
                <w:sz w:val="18"/>
                <w:szCs w:val="18"/>
              </w:rPr>
              <w:t>现场伴奏)</w:t>
            </w:r>
          </w:p>
        </w:tc>
        <w:tc>
          <w:tcPr>
            <w:tcW w:w="1408" w:type="dxa"/>
            <w:vAlign w:val="top"/>
          </w:tcPr>
          <w:p w14:paraId="00CDC9F8">
            <w:pPr>
              <w:spacing w:line="295" w:lineRule="auto"/>
              <w:rPr>
                <w:rFonts w:ascii="Arial"/>
                <w:sz w:val="21"/>
              </w:rPr>
            </w:pPr>
          </w:p>
          <w:p w14:paraId="590A5718">
            <w:pPr>
              <w:pStyle w:val="6"/>
              <w:spacing w:before="58" w:line="223" w:lineRule="auto"/>
              <w:ind w:left="11"/>
              <w:rPr>
                <w:sz w:val="18"/>
                <w:szCs w:val="18"/>
              </w:rPr>
            </w:pPr>
            <w:r>
              <w:rPr>
                <w:spacing w:val="-7"/>
                <w:sz w:val="18"/>
                <w:szCs w:val="18"/>
              </w:rPr>
              <w:t>舞蹈方向测试：成</w:t>
            </w:r>
            <w:r>
              <w:rPr>
                <w:spacing w:val="1"/>
                <w:sz w:val="18"/>
                <w:szCs w:val="18"/>
              </w:rPr>
              <w:t xml:space="preserve"> </w:t>
            </w:r>
            <w:r>
              <w:rPr>
                <w:spacing w:val="2"/>
                <w:sz w:val="18"/>
                <w:szCs w:val="18"/>
              </w:rPr>
              <w:t>品舞表演</w:t>
            </w:r>
          </w:p>
        </w:tc>
        <w:tc>
          <w:tcPr>
            <w:tcW w:w="1918" w:type="dxa"/>
            <w:vAlign w:val="top"/>
          </w:tcPr>
          <w:p w14:paraId="63EA318A">
            <w:pPr>
              <w:spacing w:line="294" w:lineRule="auto"/>
              <w:rPr>
                <w:rFonts w:ascii="Arial"/>
                <w:sz w:val="21"/>
              </w:rPr>
            </w:pPr>
          </w:p>
          <w:p w14:paraId="0B3601EB">
            <w:pPr>
              <w:pStyle w:val="6"/>
              <w:spacing w:before="58" w:line="228" w:lineRule="auto"/>
              <w:ind w:left="473" w:right="404" w:hanging="19"/>
              <w:rPr>
                <w:sz w:val="18"/>
                <w:szCs w:val="18"/>
              </w:rPr>
            </w:pPr>
            <w:r>
              <w:rPr>
                <w:spacing w:val="-2"/>
                <w:sz w:val="18"/>
                <w:szCs w:val="18"/>
              </w:rPr>
              <w:t>伴奏自带u盘</w:t>
            </w:r>
            <w:r>
              <w:rPr>
                <w:spacing w:val="2"/>
                <w:sz w:val="18"/>
                <w:szCs w:val="18"/>
              </w:rPr>
              <w:t xml:space="preserve"> </w:t>
            </w:r>
            <w:r>
              <w:rPr>
                <w:spacing w:val="5"/>
                <w:sz w:val="18"/>
                <w:szCs w:val="18"/>
              </w:rPr>
              <w:t>(6分钟以内)</w:t>
            </w:r>
          </w:p>
        </w:tc>
        <w:tc>
          <w:tcPr>
            <w:tcW w:w="1848" w:type="dxa"/>
            <w:vAlign w:val="top"/>
          </w:tcPr>
          <w:p w14:paraId="0834F8ED">
            <w:pPr>
              <w:pStyle w:val="6"/>
              <w:spacing w:before="156" w:line="220" w:lineRule="auto"/>
              <w:ind w:left="15"/>
              <w:rPr>
                <w:sz w:val="18"/>
                <w:szCs w:val="18"/>
              </w:rPr>
            </w:pPr>
            <w:r>
              <w:rPr>
                <w:sz w:val="18"/>
                <w:szCs w:val="18"/>
              </w:rPr>
              <w:t>成品舞表演：</w:t>
            </w:r>
          </w:p>
          <w:p w14:paraId="3AC6C054">
            <w:pPr>
              <w:pStyle w:val="6"/>
              <w:spacing w:before="14" w:line="214" w:lineRule="auto"/>
              <w:ind w:left="15" w:firstLine="19"/>
              <w:jc w:val="both"/>
              <w:rPr>
                <w:sz w:val="18"/>
                <w:szCs w:val="18"/>
              </w:rPr>
            </w:pPr>
            <w:r>
              <w:rPr>
                <w:spacing w:val="-10"/>
                <w:sz w:val="18"/>
                <w:szCs w:val="18"/>
              </w:rPr>
              <w:t>舞蹈作品风格特点把握</w:t>
            </w:r>
            <w:r>
              <w:rPr>
                <w:spacing w:val="2"/>
                <w:sz w:val="18"/>
                <w:szCs w:val="18"/>
              </w:rPr>
              <w:t xml:space="preserve">  </w:t>
            </w:r>
            <w:r>
              <w:rPr>
                <w:spacing w:val="-15"/>
                <w:sz w:val="18"/>
                <w:szCs w:val="18"/>
              </w:rPr>
              <w:t>准确，动作娴熟、规范、</w:t>
            </w:r>
            <w:r>
              <w:rPr>
                <w:spacing w:val="6"/>
                <w:sz w:val="18"/>
                <w:szCs w:val="18"/>
              </w:rPr>
              <w:t xml:space="preserve"> </w:t>
            </w:r>
            <w:r>
              <w:rPr>
                <w:spacing w:val="-5"/>
                <w:sz w:val="18"/>
                <w:szCs w:val="18"/>
              </w:rPr>
              <w:t>流畅。</w:t>
            </w:r>
          </w:p>
        </w:tc>
        <w:tc>
          <w:tcPr>
            <w:tcW w:w="1653" w:type="dxa"/>
            <w:vAlign w:val="top"/>
          </w:tcPr>
          <w:p w14:paraId="3AE03997">
            <w:pPr>
              <w:spacing w:line="295" w:lineRule="auto"/>
              <w:rPr>
                <w:rFonts w:ascii="Arial"/>
                <w:sz w:val="21"/>
              </w:rPr>
            </w:pPr>
          </w:p>
          <w:p w14:paraId="0063ACA6">
            <w:pPr>
              <w:pStyle w:val="6"/>
              <w:spacing w:before="58" w:line="223" w:lineRule="auto"/>
              <w:ind w:left="507" w:right="383" w:hanging="140"/>
              <w:rPr>
                <w:sz w:val="18"/>
                <w:szCs w:val="18"/>
              </w:rPr>
            </w:pPr>
            <w:r>
              <w:rPr>
                <w:spacing w:val="-2"/>
                <w:sz w:val="18"/>
                <w:szCs w:val="18"/>
              </w:rPr>
              <w:t>成品舞表演</w:t>
            </w:r>
            <w:r>
              <w:rPr>
                <w:sz w:val="18"/>
                <w:szCs w:val="18"/>
              </w:rPr>
              <w:t xml:space="preserve"> </w:t>
            </w:r>
            <w:r>
              <w:rPr>
                <w:spacing w:val="6"/>
                <w:sz w:val="18"/>
                <w:szCs w:val="18"/>
              </w:rPr>
              <w:t>(200分)</w:t>
            </w:r>
          </w:p>
        </w:tc>
      </w:tr>
      <w:tr w14:paraId="4E33AF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43" w:hRule="atLeast"/>
        </w:trPr>
        <w:tc>
          <w:tcPr>
            <w:tcW w:w="1024" w:type="dxa"/>
            <w:vMerge w:val="continue"/>
            <w:tcBorders>
              <w:top w:val="nil"/>
            </w:tcBorders>
            <w:vAlign w:val="top"/>
          </w:tcPr>
          <w:p w14:paraId="6302DDD1">
            <w:pPr>
              <w:rPr>
                <w:rFonts w:ascii="Arial"/>
                <w:sz w:val="21"/>
              </w:rPr>
            </w:pPr>
          </w:p>
        </w:tc>
        <w:tc>
          <w:tcPr>
            <w:tcW w:w="879" w:type="dxa"/>
            <w:vMerge w:val="continue"/>
            <w:tcBorders>
              <w:top w:val="nil"/>
            </w:tcBorders>
            <w:vAlign w:val="top"/>
          </w:tcPr>
          <w:p w14:paraId="5A3C2AE8">
            <w:pPr>
              <w:rPr>
                <w:rFonts w:ascii="Arial"/>
                <w:sz w:val="21"/>
              </w:rPr>
            </w:pPr>
          </w:p>
        </w:tc>
        <w:tc>
          <w:tcPr>
            <w:tcW w:w="1408" w:type="dxa"/>
            <w:vAlign w:val="top"/>
          </w:tcPr>
          <w:p w14:paraId="1DE4C2B9">
            <w:pPr>
              <w:spacing w:line="416" w:lineRule="auto"/>
              <w:rPr>
                <w:rFonts w:ascii="Arial"/>
                <w:sz w:val="21"/>
              </w:rPr>
            </w:pPr>
          </w:p>
          <w:p w14:paraId="1BCB8DEF">
            <w:pPr>
              <w:pStyle w:val="6"/>
              <w:spacing w:before="58" w:line="234" w:lineRule="auto"/>
              <w:ind w:left="11"/>
              <w:jc w:val="both"/>
              <w:rPr>
                <w:sz w:val="18"/>
                <w:szCs w:val="18"/>
              </w:rPr>
            </w:pPr>
            <w:r>
              <w:rPr>
                <w:spacing w:val="-9"/>
                <w:sz w:val="18"/>
                <w:szCs w:val="18"/>
              </w:rPr>
              <w:t>声乐、器乐方向测</w:t>
            </w:r>
            <w:r>
              <w:rPr>
                <w:spacing w:val="1"/>
                <w:sz w:val="18"/>
                <w:szCs w:val="18"/>
              </w:rPr>
              <w:t xml:space="preserve"> </w:t>
            </w:r>
            <w:r>
              <w:rPr>
                <w:spacing w:val="-7"/>
                <w:sz w:val="18"/>
                <w:szCs w:val="18"/>
              </w:rPr>
              <w:t>试：声乐、器乐自</w:t>
            </w:r>
            <w:r>
              <w:rPr>
                <w:spacing w:val="1"/>
                <w:sz w:val="18"/>
                <w:szCs w:val="18"/>
              </w:rPr>
              <w:t xml:space="preserve"> </w:t>
            </w:r>
            <w:r>
              <w:rPr>
                <w:spacing w:val="-2"/>
                <w:sz w:val="18"/>
                <w:szCs w:val="18"/>
              </w:rPr>
              <w:t>选一项。</w:t>
            </w:r>
          </w:p>
        </w:tc>
        <w:tc>
          <w:tcPr>
            <w:tcW w:w="1918" w:type="dxa"/>
            <w:vAlign w:val="top"/>
          </w:tcPr>
          <w:p w14:paraId="2EB62C23">
            <w:pPr>
              <w:pStyle w:val="6"/>
              <w:spacing w:before="156" w:line="222" w:lineRule="auto"/>
              <w:ind w:left="13" w:firstLine="19"/>
              <w:rPr>
                <w:sz w:val="18"/>
                <w:szCs w:val="18"/>
              </w:rPr>
            </w:pPr>
            <w:r>
              <w:rPr>
                <w:spacing w:val="-10"/>
                <w:sz w:val="18"/>
                <w:szCs w:val="18"/>
              </w:rPr>
              <w:t>声乐方向：自选演唱一首</w:t>
            </w:r>
            <w:r>
              <w:rPr>
                <w:spacing w:val="2"/>
                <w:sz w:val="18"/>
                <w:szCs w:val="18"/>
              </w:rPr>
              <w:t xml:space="preserve"> </w:t>
            </w:r>
            <w:r>
              <w:rPr>
                <w:sz w:val="18"/>
                <w:szCs w:val="18"/>
              </w:rPr>
              <w:t>声乐作品(美声或民族唱</w:t>
            </w:r>
            <w:r>
              <w:rPr>
                <w:spacing w:val="3"/>
                <w:sz w:val="18"/>
                <w:szCs w:val="18"/>
              </w:rPr>
              <w:t xml:space="preserve"> </w:t>
            </w:r>
            <w:r>
              <w:rPr>
                <w:spacing w:val="-5"/>
                <w:sz w:val="18"/>
                <w:szCs w:val="18"/>
              </w:rPr>
              <w:t>法</w:t>
            </w:r>
            <w:r>
              <w:rPr>
                <w:spacing w:val="-35"/>
                <w:sz w:val="18"/>
                <w:szCs w:val="18"/>
              </w:rPr>
              <w:t xml:space="preserve"> </w:t>
            </w:r>
            <w:r>
              <w:rPr>
                <w:spacing w:val="-5"/>
                <w:sz w:val="18"/>
                <w:szCs w:val="18"/>
              </w:rPr>
              <w:t>)</w:t>
            </w:r>
          </w:p>
          <w:p w14:paraId="1D456291">
            <w:pPr>
              <w:pStyle w:val="6"/>
              <w:spacing w:line="227" w:lineRule="auto"/>
              <w:ind w:left="13" w:firstLine="9"/>
              <w:rPr>
                <w:sz w:val="18"/>
                <w:szCs w:val="18"/>
              </w:rPr>
            </w:pPr>
            <w:r>
              <w:rPr>
                <w:spacing w:val="-9"/>
                <w:sz w:val="18"/>
                <w:szCs w:val="18"/>
              </w:rPr>
              <w:t>器乐方向：演奏一首难度</w:t>
            </w:r>
            <w:r>
              <w:rPr>
                <w:spacing w:val="2"/>
                <w:sz w:val="18"/>
                <w:szCs w:val="18"/>
              </w:rPr>
              <w:t xml:space="preserve"> </w:t>
            </w:r>
            <w:r>
              <w:rPr>
                <w:spacing w:val="-8"/>
                <w:sz w:val="18"/>
                <w:szCs w:val="18"/>
              </w:rPr>
              <w:t>不低于业余考级六级水平</w:t>
            </w:r>
            <w:r>
              <w:rPr>
                <w:sz w:val="18"/>
                <w:szCs w:val="18"/>
              </w:rPr>
              <w:t xml:space="preserve"> </w:t>
            </w:r>
            <w:r>
              <w:rPr>
                <w:spacing w:val="3"/>
                <w:sz w:val="18"/>
                <w:szCs w:val="18"/>
              </w:rPr>
              <w:t>作品(3分钟之内)</w:t>
            </w:r>
          </w:p>
        </w:tc>
        <w:tc>
          <w:tcPr>
            <w:tcW w:w="1848" w:type="dxa"/>
            <w:vAlign w:val="top"/>
          </w:tcPr>
          <w:p w14:paraId="6B4874D2">
            <w:pPr>
              <w:spacing w:line="415" w:lineRule="auto"/>
              <w:rPr>
                <w:rFonts w:ascii="Arial"/>
                <w:sz w:val="21"/>
              </w:rPr>
            </w:pPr>
          </w:p>
          <w:p w14:paraId="296E241E">
            <w:pPr>
              <w:pStyle w:val="6"/>
              <w:spacing w:before="58" w:line="227" w:lineRule="auto"/>
              <w:ind w:left="15" w:right="22"/>
              <w:jc w:val="both"/>
              <w:rPr>
                <w:sz w:val="18"/>
                <w:szCs w:val="18"/>
              </w:rPr>
            </w:pPr>
            <w:r>
              <w:rPr>
                <w:sz w:val="18"/>
                <w:szCs w:val="18"/>
              </w:rPr>
              <w:t xml:space="preserve">声乐、器乐演奏测试： </w:t>
            </w:r>
            <w:r>
              <w:rPr>
                <w:spacing w:val="-1"/>
                <w:sz w:val="18"/>
                <w:szCs w:val="18"/>
              </w:rPr>
              <w:t>要求融合音乐；掌握演</w:t>
            </w:r>
            <w:r>
              <w:rPr>
                <w:spacing w:val="1"/>
                <w:sz w:val="18"/>
                <w:szCs w:val="18"/>
              </w:rPr>
              <w:t xml:space="preserve"> </w:t>
            </w:r>
            <w:r>
              <w:rPr>
                <w:spacing w:val="-1"/>
                <w:sz w:val="18"/>
                <w:szCs w:val="18"/>
              </w:rPr>
              <w:t>奏风格技能。</w:t>
            </w:r>
          </w:p>
        </w:tc>
        <w:tc>
          <w:tcPr>
            <w:tcW w:w="1653" w:type="dxa"/>
            <w:vAlign w:val="top"/>
          </w:tcPr>
          <w:p w14:paraId="58B75DA2">
            <w:pPr>
              <w:spacing w:line="262" w:lineRule="auto"/>
              <w:rPr>
                <w:rFonts w:ascii="Arial"/>
                <w:sz w:val="21"/>
              </w:rPr>
            </w:pPr>
          </w:p>
          <w:p w14:paraId="32FF6A92">
            <w:pPr>
              <w:spacing w:line="262" w:lineRule="auto"/>
              <w:rPr>
                <w:rFonts w:ascii="Arial"/>
                <w:sz w:val="21"/>
              </w:rPr>
            </w:pPr>
          </w:p>
          <w:p w14:paraId="5DA7D3FE">
            <w:pPr>
              <w:pStyle w:val="6"/>
              <w:spacing w:before="59" w:line="216" w:lineRule="auto"/>
              <w:ind w:left="188"/>
              <w:rPr>
                <w:sz w:val="18"/>
                <w:szCs w:val="18"/>
              </w:rPr>
            </w:pPr>
            <w:r>
              <w:rPr>
                <w:spacing w:val="-2"/>
                <w:sz w:val="18"/>
                <w:szCs w:val="18"/>
              </w:rPr>
              <w:t>声乐、器乐演奏</w:t>
            </w:r>
          </w:p>
          <w:p w14:paraId="27BFF567">
            <w:pPr>
              <w:pStyle w:val="6"/>
              <w:spacing w:line="220" w:lineRule="auto"/>
              <w:ind w:left="508"/>
              <w:rPr>
                <w:sz w:val="18"/>
                <w:szCs w:val="18"/>
              </w:rPr>
            </w:pPr>
            <w:r>
              <w:rPr>
                <w:spacing w:val="6"/>
                <w:sz w:val="18"/>
                <w:szCs w:val="18"/>
              </w:rPr>
              <w:t>(200分)</w:t>
            </w:r>
          </w:p>
        </w:tc>
      </w:tr>
    </w:tbl>
    <w:p w14:paraId="3FF39391">
      <w:pPr>
        <w:pStyle w:val="2"/>
      </w:pPr>
    </w:p>
    <w:p w14:paraId="1B2AD431">
      <w:pPr>
        <w:sectPr>
          <w:footerReference r:id="rId146" w:type="default"/>
          <w:pgSz w:w="10660" w:h="15080"/>
          <w:pgMar w:top="400" w:right="1024" w:bottom="912" w:left="809" w:header="0" w:footer="741" w:gutter="0"/>
          <w:cols w:space="720" w:num="1"/>
        </w:sectPr>
      </w:pPr>
    </w:p>
    <w:p w14:paraId="7E5E244A">
      <w:pPr>
        <w:spacing w:before="79"/>
      </w:pPr>
    </w:p>
    <w:p w14:paraId="7A04A679">
      <w:pPr>
        <w:spacing w:before="79"/>
      </w:pPr>
    </w:p>
    <w:p w14:paraId="48EED996">
      <w:pPr>
        <w:spacing w:before="79"/>
      </w:pPr>
    </w:p>
    <w:p w14:paraId="2A0DD004">
      <w:pPr>
        <w:sectPr>
          <w:footerReference r:id="rId147" w:type="default"/>
          <w:pgSz w:w="10660" w:h="15080"/>
          <w:pgMar w:top="400" w:right="858" w:bottom="912" w:left="969" w:header="0" w:footer="741" w:gutter="0"/>
          <w:cols w:equalWidth="0" w:num="1">
            <w:col w:w="8832"/>
          </w:cols>
        </w:sectPr>
      </w:pPr>
    </w:p>
    <w:p w14:paraId="6A84DD87">
      <w:pPr>
        <w:pStyle w:val="2"/>
        <w:spacing w:line="363" w:lineRule="auto"/>
      </w:pPr>
    </w:p>
    <w:p w14:paraId="73D49B9A">
      <w:pPr>
        <w:spacing w:before="88" w:line="221" w:lineRule="auto"/>
        <w:ind w:left="3"/>
        <w:rPr>
          <w:rFonts w:ascii="黑体" w:hAnsi="黑体" w:eastAsia="黑体" w:cs="黑体"/>
          <w:sz w:val="27"/>
          <w:szCs w:val="27"/>
        </w:rPr>
      </w:pPr>
      <w:r>
        <w:rPr>
          <w:rFonts w:ascii="黑体" w:hAnsi="黑体" w:eastAsia="黑体" w:cs="黑体"/>
          <w:b/>
          <w:bCs/>
          <w:spacing w:val="20"/>
          <w:sz w:val="27"/>
          <w:szCs w:val="27"/>
        </w:rPr>
        <w:t>文化艺术大类(文化服务类)专业</w:t>
      </w:r>
    </w:p>
    <w:p w14:paraId="40EB4B5F">
      <w:pPr>
        <w:spacing w:before="76" w:line="221" w:lineRule="auto"/>
        <w:ind w:left="1273"/>
        <w:outlineLvl w:val="0"/>
        <w:rPr>
          <w:rFonts w:ascii="黑体" w:hAnsi="黑体" w:eastAsia="黑体" w:cs="黑体"/>
          <w:sz w:val="27"/>
          <w:szCs w:val="27"/>
        </w:rPr>
      </w:pPr>
      <w:bookmarkStart w:id="68" w:name="bookmark25"/>
      <w:bookmarkEnd w:id="68"/>
      <w:r>
        <w:rPr>
          <w:rFonts w:ascii="黑体" w:hAnsi="黑体" w:eastAsia="黑体" w:cs="黑体"/>
          <w:b/>
          <w:bCs/>
          <w:spacing w:val="-1"/>
          <w:sz w:val="27"/>
          <w:szCs w:val="27"/>
        </w:rPr>
        <w:t>技能测试纲要</w:t>
      </w:r>
    </w:p>
    <w:p w14:paraId="7850F9DD">
      <w:pPr>
        <w:pStyle w:val="2"/>
        <w:spacing w:line="391" w:lineRule="auto"/>
      </w:pPr>
    </w:p>
    <w:p w14:paraId="03414B80">
      <w:pPr>
        <w:spacing w:before="74" w:line="219" w:lineRule="auto"/>
        <w:ind w:left="3"/>
        <w:rPr>
          <w:rFonts w:ascii="宋体" w:hAnsi="宋体" w:eastAsia="宋体" w:cs="宋体"/>
          <w:sz w:val="23"/>
          <w:szCs w:val="23"/>
        </w:rPr>
      </w:pPr>
      <w:r>
        <w:rPr>
          <w:rFonts w:ascii="宋体" w:hAnsi="宋体" w:eastAsia="宋体" w:cs="宋体"/>
          <w:b/>
          <w:bCs/>
          <w:spacing w:val="-5"/>
          <w:sz w:val="23"/>
          <w:szCs w:val="23"/>
        </w:rPr>
        <w:t>一、测试范围与内容</w:t>
      </w:r>
    </w:p>
    <w:p w14:paraId="1CF6E3CA">
      <w:pPr>
        <w:spacing w:before="88" w:line="291" w:lineRule="auto"/>
        <w:ind w:right="360" w:firstLine="410"/>
        <w:rPr>
          <w:rFonts w:ascii="宋体" w:hAnsi="宋体" w:eastAsia="宋体" w:cs="宋体"/>
          <w:sz w:val="16"/>
          <w:szCs w:val="16"/>
        </w:rPr>
      </w:pPr>
      <w:r>
        <w:rPr>
          <w:rFonts w:ascii="宋体" w:hAnsi="宋体" w:eastAsia="宋体" w:cs="宋体"/>
          <w:spacing w:val="-5"/>
          <w:sz w:val="19"/>
          <w:szCs w:val="19"/>
        </w:rPr>
        <w:t>文化服务类不设置专业基础知识考试，统一为</w:t>
      </w:r>
      <w:r>
        <w:rPr>
          <w:rFonts w:ascii="宋体" w:hAnsi="宋体" w:eastAsia="宋体" w:cs="宋体"/>
          <w:spacing w:val="18"/>
          <w:sz w:val="19"/>
          <w:szCs w:val="19"/>
        </w:rPr>
        <w:t xml:space="preserve"> </w:t>
      </w:r>
      <w:r>
        <w:rPr>
          <w:rFonts w:ascii="宋体" w:hAnsi="宋体" w:eastAsia="宋体" w:cs="宋体"/>
          <w:spacing w:val="20"/>
          <w:sz w:val="16"/>
          <w:szCs w:val="16"/>
        </w:rPr>
        <w:t>专业技能测试。</w:t>
      </w:r>
    </w:p>
    <w:p w14:paraId="532EF1EC">
      <w:pPr>
        <w:spacing w:before="38" w:line="221" w:lineRule="auto"/>
        <w:ind w:left="3"/>
        <w:rPr>
          <w:rFonts w:ascii="宋体" w:hAnsi="宋体" w:eastAsia="宋体" w:cs="宋体"/>
          <w:sz w:val="23"/>
          <w:szCs w:val="23"/>
        </w:rPr>
      </w:pPr>
      <w:r>
        <w:rPr>
          <w:rFonts w:ascii="宋体" w:hAnsi="宋体" w:eastAsia="宋体" w:cs="宋体"/>
          <w:b/>
          <w:bCs/>
          <w:spacing w:val="-4"/>
          <w:sz w:val="23"/>
          <w:szCs w:val="23"/>
        </w:rPr>
        <w:t>二、测试形式</w:t>
      </w:r>
    </w:p>
    <w:p w14:paraId="6CF22228">
      <w:pPr>
        <w:spacing w:before="104" w:line="220" w:lineRule="auto"/>
        <w:ind w:left="350"/>
        <w:rPr>
          <w:rFonts w:ascii="宋体" w:hAnsi="宋体" w:eastAsia="宋体" w:cs="宋体"/>
          <w:sz w:val="16"/>
          <w:szCs w:val="16"/>
        </w:rPr>
      </w:pPr>
      <w:r>
        <w:rPr>
          <w:rFonts w:ascii="宋体" w:hAnsi="宋体" w:eastAsia="宋体" w:cs="宋体"/>
          <w:spacing w:val="7"/>
          <w:sz w:val="16"/>
          <w:szCs w:val="16"/>
        </w:rPr>
        <w:t>现场测试。</w:t>
      </w:r>
    </w:p>
    <w:p w14:paraId="33C4601E">
      <w:pPr>
        <w:spacing w:before="80" w:line="221" w:lineRule="auto"/>
        <w:ind w:left="3"/>
        <w:rPr>
          <w:rFonts w:ascii="宋体" w:hAnsi="宋体" w:eastAsia="宋体" w:cs="宋体"/>
          <w:sz w:val="23"/>
          <w:szCs w:val="23"/>
        </w:rPr>
      </w:pPr>
      <w:r>
        <w:rPr>
          <w:rFonts w:ascii="宋体" w:hAnsi="宋体" w:eastAsia="宋体" w:cs="宋体"/>
          <w:b/>
          <w:bCs/>
          <w:spacing w:val="-9"/>
          <w:sz w:val="23"/>
          <w:szCs w:val="23"/>
        </w:rPr>
        <w:t>三、测试安排</w:t>
      </w:r>
    </w:p>
    <w:p w14:paraId="540749AC">
      <w:pPr>
        <w:spacing w:before="113" w:line="312" w:lineRule="auto"/>
        <w:ind w:right="363" w:firstLine="350"/>
        <w:jc w:val="both"/>
        <w:rPr>
          <w:rFonts w:ascii="宋体" w:hAnsi="宋体" w:eastAsia="宋体" w:cs="宋体"/>
          <w:sz w:val="16"/>
          <w:szCs w:val="16"/>
        </w:rPr>
      </w:pPr>
      <w:r>
        <w:rPr>
          <w:rFonts w:ascii="宋体" w:hAnsi="宋体" w:eastAsia="宋体" w:cs="宋体"/>
          <w:spacing w:val="18"/>
          <w:sz w:val="16"/>
          <w:szCs w:val="16"/>
        </w:rPr>
        <w:t>测试共1项，总分为450分，主要考查考生非遗手</w:t>
      </w:r>
      <w:r>
        <w:rPr>
          <w:rFonts w:ascii="宋体" w:hAnsi="宋体" w:eastAsia="宋体" w:cs="宋体"/>
          <w:spacing w:val="1"/>
          <w:sz w:val="16"/>
          <w:szCs w:val="16"/>
        </w:rPr>
        <w:t xml:space="preserve"> </w:t>
      </w:r>
      <w:r>
        <w:rPr>
          <w:rFonts w:ascii="宋体" w:hAnsi="宋体" w:eastAsia="宋体" w:cs="宋体"/>
          <w:spacing w:val="12"/>
          <w:sz w:val="16"/>
          <w:szCs w:val="16"/>
        </w:rPr>
        <w:t>工技艺实践的基本能力及综合素质，测试项目为</w:t>
      </w:r>
      <w:r>
        <w:rPr>
          <w:rFonts w:ascii="宋体" w:hAnsi="宋体" w:eastAsia="宋体" w:cs="宋体"/>
          <w:spacing w:val="11"/>
          <w:sz w:val="16"/>
          <w:szCs w:val="16"/>
        </w:rPr>
        <w:t>泥塑造</w:t>
      </w:r>
      <w:r>
        <w:rPr>
          <w:rFonts w:ascii="宋体" w:hAnsi="宋体" w:eastAsia="宋体" w:cs="宋体"/>
          <w:sz w:val="16"/>
          <w:szCs w:val="16"/>
        </w:rPr>
        <w:t xml:space="preserve"> </w:t>
      </w:r>
      <w:r>
        <w:rPr>
          <w:rFonts w:ascii="宋体" w:hAnsi="宋体" w:eastAsia="宋体" w:cs="宋体"/>
          <w:spacing w:val="19"/>
          <w:sz w:val="16"/>
          <w:szCs w:val="16"/>
        </w:rPr>
        <w:t>型(浮雕、圆雕等),尺寸为30*30*30厘米以内。</w:t>
      </w:r>
    </w:p>
    <w:p w14:paraId="35C29575">
      <w:pPr>
        <w:spacing w:before="30" w:line="221" w:lineRule="auto"/>
        <w:ind w:left="3"/>
        <w:rPr>
          <w:rFonts w:ascii="宋体" w:hAnsi="宋体" w:eastAsia="宋体" w:cs="宋体"/>
          <w:sz w:val="23"/>
          <w:szCs w:val="23"/>
        </w:rPr>
      </w:pPr>
      <w:r>
        <w:rPr>
          <w:rFonts w:ascii="宋体" w:hAnsi="宋体" w:eastAsia="宋体" w:cs="宋体"/>
          <w:b/>
          <w:bCs/>
          <w:spacing w:val="-9"/>
          <w:sz w:val="23"/>
          <w:szCs w:val="23"/>
        </w:rPr>
        <w:t>四、测试时间</w:t>
      </w:r>
    </w:p>
    <w:p w14:paraId="0EDEF794">
      <w:pPr>
        <w:spacing w:before="96" w:line="221" w:lineRule="auto"/>
        <w:ind w:left="350"/>
        <w:rPr>
          <w:rFonts w:ascii="宋体" w:hAnsi="宋体" w:eastAsia="宋体" w:cs="宋体"/>
          <w:sz w:val="16"/>
          <w:szCs w:val="16"/>
        </w:rPr>
      </w:pPr>
      <w:r>
        <w:rPr>
          <w:rFonts w:ascii="宋体" w:hAnsi="宋体" w:eastAsia="宋体" w:cs="宋体"/>
          <w:spacing w:val="17"/>
          <w:sz w:val="16"/>
          <w:szCs w:val="16"/>
        </w:rPr>
        <w:t>3小时。</w:t>
      </w:r>
    </w:p>
    <w:p w14:paraId="25A1731D">
      <w:pPr>
        <w:spacing w:before="87" w:line="220" w:lineRule="auto"/>
        <w:ind w:left="3"/>
        <w:rPr>
          <w:rFonts w:ascii="宋体" w:hAnsi="宋体" w:eastAsia="宋体" w:cs="宋体"/>
          <w:sz w:val="23"/>
          <w:szCs w:val="23"/>
        </w:rPr>
      </w:pPr>
      <w:r>
        <w:rPr>
          <w:rFonts w:ascii="宋体" w:hAnsi="宋体" w:eastAsia="宋体" w:cs="宋体"/>
          <w:b/>
          <w:bCs/>
          <w:spacing w:val="-9"/>
          <w:sz w:val="23"/>
          <w:szCs w:val="23"/>
        </w:rPr>
        <w:t>五、相关要求</w:t>
      </w:r>
    </w:p>
    <w:p w14:paraId="485366B0">
      <w:pPr>
        <w:spacing w:before="95" w:line="326" w:lineRule="auto"/>
        <w:ind w:right="361" w:firstLine="350"/>
        <w:jc w:val="both"/>
        <w:rPr>
          <w:rFonts w:ascii="宋体" w:hAnsi="宋体" w:eastAsia="宋体" w:cs="宋体"/>
          <w:sz w:val="16"/>
          <w:szCs w:val="16"/>
        </w:rPr>
      </w:pPr>
      <w:r>
        <w:rPr>
          <w:rFonts w:ascii="宋体" w:hAnsi="宋体" w:eastAsia="宋体" w:cs="宋体"/>
          <w:spacing w:val="24"/>
          <w:sz w:val="16"/>
          <w:szCs w:val="16"/>
        </w:rPr>
        <w:t>1.泥塑材料(水性)由考点提供，考生自备泥塑</w:t>
      </w:r>
      <w:r>
        <w:rPr>
          <w:rFonts w:ascii="宋体" w:hAnsi="宋体" w:eastAsia="宋体" w:cs="宋体"/>
          <w:spacing w:val="18"/>
          <w:sz w:val="16"/>
          <w:szCs w:val="16"/>
        </w:rPr>
        <w:t xml:space="preserve"> </w:t>
      </w:r>
      <w:r>
        <w:rPr>
          <w:rFonts w:ascii="宋体" w:hAnsi="宋体" w:eastAsia="宋体" w:cs="宋体"/>
          <w:spacing w:val="12"/>
          <w:sz w:val="16"/>
          <w:szCs w:val="16"/>
        </w:rPr>
        <w:t>工具。因不带工具造成无法参加考试的，责任考生自行</w:t>
      </w:r>
      <w:r>
        <w:rPr>
          <w:rFonts w:ascii="宋体" w:hAnsi="宋体" w:eastAsia="宋体" w:cs="宋体"/>
          <w:sz w:val="16"/>
          <w:szCs w:val="16"/>
        </w:rPr>
        <w:t xml:space="preserve"> </w:t>
      </w:r>
      <w:r>
        <w:rPr>
          <w:rFonts w:ascii="宋体" w:hAnsi="宋体" w:eastAsia="宋体" w:cs="宋体"/>
          <w:spacing w:val="3"/>
          <w:sz w:val="16"/>
          <w:szCs w:val="16"/>
        </w:rPr>
        <w:t>承担。</w:t>
      </w:r>
    </w:p>
    <w:p w14:paraId="157D45C5">
      <w:pPr>
        <w:spacing w:before="33" w:line="219" w:lineRule="auto"/>
        <w:ind w:left="350"/>
        <w:rPr>
          <w:rFonts w:ascii="宋体" w:hAnsi="宋体" w:eastAsia="宋体" w:cs="宋体"/>
          <w:sz w:val="16"/>
          <w:szCs w:val="16"/>
        </w:rPr>
      </w:pPr>
      <w:r>
        <w:rPr>
          <w:rFonts w:ascii="宋体" w:hAnsi="宋体" w:eastAsia="宋体" w:cs="宋体"/>
          <w:spacing w:val="8"/>
          <w:sz w:val="16"/>
          <w:szCs w:val="16"/>
        </w:rPr>
        <w:t>2.考生现场测试独立完成，不得携带参考资料。</w:t>
      </w:r>
    </w:p>
    <w:p w14:paraId="7FA58A78">
      <w:pPr>
        <w:spacing w:before="81" w:line="220" w:lineRule="auto"/>
        <w:ind w:left="3"/>
        <w:rPr>
          <w:rFonts w:ascii="宋体" w:hAnsi="宋体" w:eastAsia="宋体" w:cs="宋体"/>
          <w:sz w:val="23"/>
          <w:szCs w:val="23"/>
        </w:rPr>
      </w:pPr>
      <w:r>
        <w:rPr>
          <w:rFonts w:ascii="宋体" w:hAnsi="宋体" w:eastAsia="宋体" w:cs="宋体"/>
          <w:b/>
          <w:bCs/>
          <w:spacing w:val="-3"/>
          <w:sz w:val="23"/>
          <w:szCs w:val="23"/>
        </w:rPr>
        <w:t>六、测试项目</w:t>
      </w:r>
    </w:p>
    <w:p w14:paraId="5472C78F">
      <w:pPr>
        <w:spacing w:line="84" w:lineRule="exact"/>
      </w:pPr>
    </w:p>
    <w:tbl>
      <w:tblPr>
        <w:tblStyle w:val="5"/>
        <w:tblW w:w="4142" w:type="dxa"/>
        <w:tblInd w:w="1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404"/>
        <w:gridCol w:w="629"/>
        <w:gridCol w:w="609"/>
        <w:gridCol w:w="549"/>
        <w:gridCol w:w="888"/>
        <w:gridCol w:w="1063"/>
      </w:tblGrid>
      <w:tr w14:paraId="796689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43" w:hRule="atLeast"/>
        </w:trPr>
        <w:tc>
          <w:tcPr>
            <w:tcW w:w="404" w:type="dxa"/>
            <w:vAlign w:val="top"/>
          </w:tcPr>
          <w:p w14:paraId="58AE137E">
            <w:pPr>
              <w:pStyle w:val="6"/>
              <w:spacing w:before="120" w:line="247" w:lineRule="auto"/>
              <w:ind w:left="27"/>
            </w:pPr>
            <w:r>
              <w:rPr>
                <w:b/>
                <w:bCs/>
                <w:spacing w:val="-6"/>
              </w:rPr>
              <w:t>测试</w:t>
            </w:r>
            <w:r>
              <w:t xml:space="preserve"> </w:t>
            </w:r>
            <w:r>
              <w:rPr>
                <w:b/>
                <w:bCs/>
                <w:spacing w:val="11"/>
              </w:rPr>
              <w:t>项目</w:t>
            </w:r>
          </w:p>
        </w:tc>
        <w:tc>
          <w:tcPr>
            <w:tcW w:w="629" w:type="dxa"/>
            <w:vAlign w:val="top"/>
          </w:tcPr>
          <w:p w14:paraId="4DC5FE7D">
            <w:pPr>
              <w:pStyle w:val="6"/>
              <w:spacing w:before="131" w:line="224" w:lineRule="auto"/>
              <w:ind w:left="133" w:right="152"/>
            </w:pPr>
            <w:r>
              <w:rPr>
                <w:b/>
                <w:bCs/>
                <w:spacing w:val="-6"/>
              </w:rPr>
              <w:t>测试</w:t>
            </w:r>
            <w:r>
              <w:t xml:space="preserve"> </w:t>
            </w:r>
            <w:r>
              <w:rPr>
                <w:b/>
                <w:bCs/>
                <w:spacing w:val="-6"/>
              </w:rPr>
              <w:t>用具</w:t>
            </w:r>
          </w:p>
        </w:tc>
        <w:tc>
          <w:tcPr>
            <w:tcW w:w="609" w:type="dxa"/>
            <w:vAlign w:val="top"/>
          </w:tcPr>
          <w:p w14:paraId="521F22A5">
            <w:pPr>
              <w:pStyle w:val="6"/>
              <w:spacing w:before="130" w:line="223" w:lineRule="auto"/>
              <w:ind w:left="124" w:right="130"/>
            </w:pPr>
            <w:r>
              <w:rPr>
                <w:b/>
                <w:bCs/>
                <w:spacing w:val="-6"/>
              </w:rPr>
              <w:t>测试</w:t>
            </w:r>
            <w:r>
              <w:t xml:space="preserve"> </w:t>
            </w:r>
            <w:r>
              <w:rPr>
                <w:b/>
                <w:bCs/>
              </w:rPr>
              <w:t>内容</w:t>
            </w:r>
          </w:p>
        </w:tc>
        <w:tc>
          <w:tcPr>
            <w:tcW w:w="549" w:type="dxa"/>
            <w:vAlign w:val="top"/>
          </w:tcPr>
          <w:p w14:paraId="4A9320AB">
            <w:pPr>
              <w:pStyle w:val="6"/>
              <w:spacing w:before="131" w:line="224" w:lineRule="auto"/>
              <w:ind w:left="95" w:right="110"/>
            </w:pPr>
            <w:r>
              <w:rPr>
                <w:b/>
                <w:bCs/>
                <w:spacing w:val="-6"/>
              </w:rPr>
              <w:t>测试</w:t>
            </w:r>
            <w:r>
              <w:t xml:space="preserve"> </w:t>
            </w:r>
            <w:r>
              <w:rPr>
                <w:b/>
                <w:bCs/>
                <w:spacing w:val="-6"/>
              </w:rPr>
              <w:t>方法</w:t>
            </w:r>
          </w:p>
        </w:tc>
        <w:tc>
          <w:tcPr>
            <w:tcW w:w="888" w:type="dxa"/>
            <w:vAlign w:val="top"/>
          </w:tcPr>
          <w:p w14:paraId="1BB55131">
            <w:pPr>
              <w:pStyle w:val="6"/>
              <w:spacing w:before="131" w:line="224" w:lineRule="auto"/>
              <w:ind w:left="276" w:right="258" w:firstLine="10"/>
            </w:pPr>
            <w:r>
              <w:rPr>
                <w:b/>
                <w:bCs/>
                <w:spacing w:val="-6"/>
              </w:rPr>
              <w:t>测试</w:t>
            </w:r>
            <w:r>
              <w:t xml:space="preserve"> </w:t>
            </w:r>
            <w:r>
              <w:rPr>
                <w:b/>
                <w:bCs/>
                <w:spacing w:val="-4"/>
              </w:rPr>
              <w:t>要求</w:t>
            </w:r>
          </w:p>
        </w:tc>
        <w:tc>
          <w:tcPr>
            <w:tcW w:w="1063" w:type="dxa"/>
            <w:tcBorders>
              <w:right w:val="single" w:color="000000" w:sz="2" w:space="0"/>
            </w:tcBorders>
            <w:vAlign w:val="top"/>
          </w:tcPr>
          <w:p w14:paraId="42FFEB6E">
            <w:pPr>
              <w:pStyle w:val="6"/>
              <w:spacing w:before="239" w:line="219" w:lineRule="auto"/>
              <w:ind w:left="198"/>
            </w:pPr>
            <w:r>
              <w:rPr>
                <w:b/>
                <w:bCs/>
                <w:spacing w:val="-4"/>
              </w:rPr>
              <w:t>赋分参考</w:t>
            </w:r>
          </w:p>
        </w:tc>
      </w:tr>
      <w:tr w14:paraId="18B022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47" w:hRule="atLeast"/>
        </w:trPr>
        <w:tc>
          <w:tcPr>
            <w:tcW w:w="404" w:type="dxa"/>
            <w:vAlign w:val="top"/>
          </w:tcPr>
          <w:p w14:paraId="6B561CC0">
            <w:pPr>
              <w:spacing w:line="256" w:lineRule="auto"/>
              <w:rPr>
                <w:rFonts w:ascii="Arial"/>
                <w:sz w:val="21"/>
              </w:rPr>
            </w:pPr>
          </w:p>
          <w:p w14:paraId="3AF19B23">
            <w:pPr>
              <w:spacing w:line="256" w:lineRule="auto"/>
              <w:rPr>
                <w:rFonts w:ascii="Arial"/>
                <w:sz w:val="21"/>
              </w:rPr>
            </w:pPr>
          </w:p>
          <w:p w14:paraId="2197BE40">
            <w:pPr>
              <w:spacing w:line="257" w:lineRule="auto"/>
              <w:rPr>
                <w:rFonts w:ascii="Arial"/>
                <w:sz w:val="21"/>
              </w:rPr>
            </w:pPr>
          </w:p>
          <w:p w14:paraId="2FEC45E2">
            <w:pPr>
              <w:spacing w:line="257" w:lineRule="auto"/>
              <w:rPr>
                <w:rFonts w:ascii="Arial"/>
                <w:sz w:val="21"/>
              </w:rPr>
            </w:pPr>
          </w:p>
          <w:p w14:paraId="0352D377">
            <w:pPr>
              <w:pStyle w:val="6"/>
              <w:spacing w:before="55" w:line="225" w:lineRule="auto"/>
              <w:ind w:left="27" w:right="34"/>
              <w:jc w:val="both"/>
            </w:pPr>
            <w:r>
              <w:rPr>
                <w:b/>
                <w:bCs/>
                <w:spacing w:val="-6"/>
              </w:rPr>
              <w:t>泥塑</w:t>
            </w:r>
            <w:r>
              <w:t xml:space="preserve"> </w:t>
            </w:r>
            <w:r>
              <w:rPr>
                <w:b/>
                <w:bCs/>
                <w:spacing w:val="-11"/>
              </w:rPr>
              <w:t>(450</w:t>
            </w:r>
            <w:r>
              <w:t xml:space="preserve"> </w:t>
            </w:r>
            <w:r>
              <w:rPr>
                <w:b/>
                <w:bCs/>
                <w:spacing w:val="14"/>
                <w:w w:val="114"/>
              </w:rPr>
              <w:t>分)</w:t>
            </w:r>
          </w:p>
        </w:tc>
        <w:tc>
          <w:tcPr>
            <w:tcW w:w="629" w:type="dxa"/>
            <w:vAlign w:val="top"/>
          </w:tcPr>
          <w:p w14:paraId="5C1A43BD">
            <w:pPr>
              <w:spacing w:line="349" w:lineRule="auto"/>
              <w:rPr>
                <w:rFonts w:ascii="Arial"/>
                <w:sz w:val="21"/>
              </w:rPr>
            </w:pPr>
          </w:p>
          <w:p w14:paraId="589956D0">
            <w:pPr>
              <w:spacing w:line="349" w:lineRule="auto"/>
              <w:rPr>
                <w:rFonts w:ascii="Arial"/>
                <w:sz w:val="21"/>
              </w:rPr>
            </w:pPr>
          </w:p>
          <w:p w14:paraId="6677D7B5">
            <w:pPr>
              <w:pStyle w:val="6"/>
              <w:spacing w:before="55" w:line="232" w:lineRule="auto"/>
              <w:ind w:left="3"/>
            </w:pPr>
            <w:r>
              <w:rPr>
                <w:b/>
                <w:bCs/>
                <w:spacing w:val="-15"/>
                <w:w w:val="95"/>
              </w:rPr>
              <w:t>泥塑工</w:t>
            </w:r>
            <w:r>
              <w:t xml:space="preserve">   </w:t>
            </w:r>
            <w:r>
              <w:rPr>
                <w:b/>
                <w:bCs/>
                <w:spacing w:val="-18"/>
              </w:rPr>
              <w:t>具自备；</w:t>
            </w:r>
            <w:r>
              <w:t xml:space="preserve"> </w:t>
            </w:r>
            <w:r>
              <w:rPr>
                <w:b/>
                <w:bCs/>
                <w:spacing w:val="-13"/>
                <w:w w:val="96"/>
              </w:rPr>
              <w:t>泥塑材</w:t>
            </w:r>
            <w:r>
              <w:t xml:space="preserve">   </w:t>
            </w:r>
            <w:r>
              <w:rPr>
                <w:b/>
                <w:bCs/>
                <w:spacing w:val="-13"/>
                <w:w w:val="95"/>
              </w:rPr>
              <w:t>料(水性</w:t>
            </w:r>
            <w:r>
              <w:rPr>
                <w:spacing w:val="1"/>
              </w:rPr>
              <w:t xml:space="preserve">  </w:t>
            </w:r>
            <w:r>
              <w:rPr>
                <w:b/>
                <w:bCs/>
                <w:spacing w:val="-11"/>
              </w:rPr>
              <w:t>),统一</w:t>
            </w:r>
            <w:r>
              <w:t xml:space="preserve">  </w:t>
            </w:r>
            <w:r>
              <w:rPr>
                <w:b/>
                <w:bCs/>
                <w:spacing w:val="-12"/>
              </w:rPr>
              <w:t>发放。</w:t>
            </w:r>
          </w:p>
        </w:tc>
        <w:tc>
          <w:tcPr>
            <w:tcW w:w="609" w:type="dxa"/>
            <w:vAlign w:val="top"/>
          </w:tcPr>
          <w:p w14:paraId="274065DC">
            <w:pPr>
              <w:spacing w:line="293" w:lineRule="auto"/>
              <w:rPr>
                <w:rFonts w:ascii="Arial"/>
                <w:sz w:val="21"/>
              </w:rPr>
            </w:pPr>
          </w:p>
          <w:p w14:paraId="39C71BFC">
            <w:pPr>
              <w:spacing w:line="294" w:lineRule="auto"/>
              <w:rPr>
                <w:rFonts w:ascii="Arial"/>
                <w:sz w:val="21"/>
              </w:rPr>
            </w:pPr>
          </w:p>
          <w:p w14:paraId="5BE69BB8">
            <w:pPr>
              <w:pStyle w:val="6"/>
              <w:spacing w:before="55" w:line="233" w:lineRule="auto"/>
              <w:ind w:left="14" w:firstLine="28"/>
              <w:jc w:val="both"/>
            </w:pPr>
            <w:r>
              <w:rPr>
                <w:b/>
                <w:bCs/>
                <w:spacing w:val="-15"/>
              </w:rPr>
              <w:t>按试题</w:t>
            </w:r>
            <w:r>
              <w:t xml:space="preserve">  </w:t>
            </w:r>
            <w:r>
              <w:rPr>
                <w:b/>
                <w:bCs/>
                <w:spacing w:val="-2"/>
              </w:rPr>
              <w:t>内容设</w:t>
            </w:r>
            <w:r>
              <w:t xml:space="preserve">  </w:t>
            </w:r>
            <w:r>
              <w:rPr>
                <w:b/>
                <w:bCs/>
                <w:spacing w:val="-5"/>
              </w:rPr>
              <w:t>计制作</w:t>
            </w:r>
            <w:r>
              <w:t xml:space="preserve">  </w:t>
            </w:r>
            <w:r>
              <w:rPr>
                <w:b/>
                <w:bCs/>
                <w:spacing w:val="-5"/>
              </w:rPr>
              <w:t>泥塑造</w:t>
            </w:r>
            <w:r>
              <w:t xml:space="preserve">  </w:t>
            </w:r>
            <w:r>
              <w:rPr>
                <w:b/>
                <w:bCs/>
                <w:spacing w:val="-16"/>
                <w:w w:val="91"/>
              </w:rPr>
              <w:t>型</w:t>
            </w:r>
            <w:r>
              <w:rPr>
                <w:spacing w:val="22"/>
              </w:rPr>
              <w:t xml:space="preserve"> </w:t>
            </w:r>
            <w:r>
              <w:rPr>
                <w:b/>
                <w:bCs/>
                <w:spacing w:val="-16"/>
                <w:w w:val="91"/>
              </w:rPr>
              <w:t>(</w:t>
            </w:r>
            <w:r>
              <w:rPr>
                <w:spacing w:val="-7"/>
              </w:rPr>
              <w:t xml:space="preserve"> </w:t>
            </w:r>
            <w:r>
              <w:rPr>
                <w:b/>
                <w:bCs/>
                <w:spacing w:val="-16"/>
                <w:w w:val="91"/>
              </w:rPr>
              <w:t>浮</w:t>
            </w:r>
            <w:r>
              <w:t xml:space="preserve"> </w:t>
            </w:r>
            <w:r>
              <w:rPr>
                <w:b/>
                <w:bCs/>
                <w:spacing w:val="-4"/>
              </w:rPr>
              <w:t>雕、圆</w:t>
            </w:r>
            <w:r>
              <w:t xml:space="preserve">  </w:t>
            </w:r>
            <w:r>
              <w:rPr>
                <w:b/>
                <w:bCs/>
                <w:spacing w:val="-5"/>
              </w:rPr>
              <w:t>雕等)。</w:t>
            </w:r>
          </w:p>
        </w:tc>
        <w:tc>
          <w:tcPr>
            <w:tcW w:w="549" w:type="dxa"/>
            <w:vAlign w:val="top"/>
          </w:tcPr>
          <w:p w14:paraId="3BBE802C">
            <w:pPr>
              <w:spacing w:line="256" w:lineRule="auto"/>
              <w:rPr>
                <w:rFonts w:ascii="Arial"/>
                <w:sz w:val="21"/>
              </w:rPr>
            </w:pPr>
          </w:p>
          <w:p w14:paraId="0CF73DFB">
            <w:pPr>
              <w:spacing w:line="256" w:lineRule="auto"/>
              <w:rPr>
                <w:rFonts w:ascii="Arial"/>
                <w:sz w:val="21"/>
              </w:rPr>
            </w:pPr>
          </w:p>
          <w:p w14:paraId="7A3B6551">
            <w:pPr>
              <w:spacing w:line="257" w:lineRule="auto"/>
              <w:rPr>
                <w:rFonts w:ascii="Arial"/>
                <w:sz w:val="21"/>
              </w:rPr>
            </w:pPr>
          </w:p>
          <w:p w14:paraId="37FA6237">
            <w:pPr>
              <w:spacing w:line="257" w:lineRule="auto"/>
              <w:rPr>
                <w:rFonts w:ascii="Arial"/>
                <w:sz w:val="21"/>
              </w:rPr>
            </w:pPr>
          </w:p>
          <w:p w14:paraId="43BD50DF">
            <w:pPr>
              <w:pStyle w:val="6"/>
              <w:spacing w:before="55" w:line="226" w:lineRule="auto"/>
              <w:ind w:left="15" w:right="3"/>
              <w:jc w:val="both"/>
            </w:pPr>
            <w:r>
              <w:rPr>
                <w:b/>
                <w:bCs/>
                <w:spacing w:val="-5"/>
              </w:rPr>
              <w:t>现场设</w:t>
            </w:r>
            <w:r>
              <w:t xml:space="preserve"> </w:t>
            </w:r>
            <w:r>
              <w:rPr>
                <w:b/>
                <w:bCs/>
                <w:spacing w:val="-4"/>
              </w:rPr>
              <w:t>计制作</w:t>
            </w:r>
            <w:r>
              <w:t xml:space="preserve"> </w:t>
            </w:r>
            <w:r>
              <w:rPr>
                <w:b/>
                <w:bCs/>
                <w:spacing w:val="1"/>
              </w:rPr>
              <w:t>泥塑。</w:t>
            </w:r>
          </w:p>
        </w:tc>
        <w:tc>
          <w:tcPr>
            <w:tcW w:w="888" w:type="dxa"/>
            <w:vAlign w:val="top"/>
          </w:tcPr>
          <w:p w14:paraId="351C4821">
            <w:pPr>
              <w:spacing w:line="454" w:lineRule="auto"/>
              <w:rPr>
                <w:rFonts w:ascii="Arial"/>
                <w:sz w:val="21"/>
              </w:rPr>
            </w:pPr>
          </w:p>
          <w:p w14:paraId="12ED7398">
            <w:pPr>
              <w:pStyle w:val="6"/>
              <w:spacing w:before="56" w:line="239" w:lineRule="auto"/>
              <w:ind w:left="16"/>
              <w:jc w:val="both"/>
            </w:pPr>
            <w:r>
              <w:rPr>
                <w:b/>
                <w:bCs/>
                <w:spacing w:val="-25"/>
              </w:rPr>
              <w:t>1.主题明确，</w:t>
            </w:r>
            <w:r>
              <w:rPr>
                <w:spacing w:val="3"/>
              </w:rPr>
              <w:t xml:space="preserve"> </w:t>
            </w:r>
            <w:r>
              <w:rPr>
                <w:b/>
                <w:bCs/>
              </w:rPr>
              <w:t>构图完整；</w:t>
            </w:r>
            <w:r>
              <w:t xml:space="preserve"> </w:t>
            </w:r>
            <w:r>
              <w:rPr>
                <w:b/>
                <w:bCs/>
                <w:spacing w:val="-15"/>
              </w:rPr>
              <w:t>2艺术表现、</w:t>
            </w:r>
            <w:r>
              <w:rPr>
                <w:spacing w:val="4"/>
              </w:rPr>
              <w:t xml:space="preserve"> </w:t>
            </w:r>
            <w:r>
              <w:rPr>
                <w:b/>
                <w:bCs/>
              </w:rPr>
              <w:t>创意新颖；</w:t>
            </w:r>
            <w:r>
              <w:t xml:space="preserve"> </w:t>
            </w:r>
            <w:r>
              <w:rPr>
                <w:b/>
                <w:bCs/>
                <w:spacing w:val="-25"/>
              </w:rPr>
              <w:t>3.形体明确，</w:t>
            </w:r>
            <w:r>
              <w:rPr>
                <w:spacing w:val="3"/>
              </w:rPr>
              <w:t xml:space="preserve"> </w:t>
            </w:r>
            <w:r>
              <w:rPr>
                <w:b/>
                <w:bCs/>
              </w:rPr>
              <w:t>层次清晰；</w:t>
            </w:r>
            <w:r>
              <w:t xml:space="preserve"> </w:t>
            </w:r>
            <w:r>
              <w:rPr>
                <w:b/>
                <w:bCs/>
                <w:spacing w:val="-15"/>
              </w:rPr>
              <w:t>4形象生动，</w:t>
            </w:r>
            <w:r>
              <w:rPr>
                <w:spacing w:val="4"/>
              </w:rPr>
              <w:t xml:space="preserve"> </w:t>
            </w:r>
            <w:r>
              <w:rPr>
                <w:b/>
                <w:bCs/>
                <w:spacing w:val="-14"/>
              </w:rPr>
              <w:t>塑造深入。</w:t>
            </w:r>
          </w:p>
        </w:tc>
        <w:tc>
          <w:tcPr>
            <w:tcW w:w="1063" w:type="dxa"/>
            <w:tcBorders>
              <w:right w:val="single" w:color="000000" w:sz="2" w:space="0"/>
            </w:tcBorders>
            <w:vAlign w:val="top"/>
          </w:tcPr>
          <w:p w14:paraId="2D2AB2F2">
            <w:pPr>
              <w:pStyle w:val="6"/>
              <w:spacing w:before="97" w:line="229" w:lineRule="auto"/>
              <w:ind w:left="18" w:right="5"/>
            </w:pPr>
            <w:r>
              <w:rPr>
                <w:b/>
                <w:bCs/>
                <w:spacing w:val="-4"/>
              </w:rPr>
              <w:t>3.主题明确，</w:t>
            </w:r>
            <w:r>
              <w:rPr>
                <w:spacing w:val="4"/>
              </w:rPr>
              <w:t xml:space="preserve"> </w:t>
            </w:r>
            <w:r>
              <w:rPr>
                <w:b/>
                <w:bCs/>
                <w:spacing w:val="-1"/>
              </w:rPr>
              <w:t>构图完整(100</w:t>
            </w:r>
            <w:r>
              <w:rPr>
                <w:spacing w:val="4"/>
              </w:rPr>
              <w:t xml:space="preserve"> </w:t>
            </w:r>
            <w:r>
              <w:rPr>
                <w:b/>
                <w:bCs/>
                <w:spacing w:val="8"/>
              </w:rPr>
              <w:t>分);</w:t>
            </w:r>
          </w:p>
          <w:p w14:paraId="0767233D">
            <w:pPr>
              <w:pStyle w:val="6"/>
              <w:spacing w:before="8" w:line="236" w:lineRule="auto"/>
              <w:ind w:left="18"/>
              <w:jc w:val="both"/>
            </w:pPr>
            <w:r>
              <w:rPr>
                <w:b/>
                <w:bCs/>
              </w:rPr>
              <w:t>4.艺术表现、</w:t>
            </w:r>
            <w:r>
              <w:rPr>
                <w:spacing w:val="3"/>
              </w:rPr>
              <w:t xml:space="preserve"> </w:t>
            </w:r>
            <w:r>
              <w:rPr>
                <w:b/>
                <w:bCs/>
                <w:spacing w:val="-9"/>
              </w:rPr>
              <w:t>创意新颖(125</w:t>
            </w:r>
            <w:r>
              <w:t xml:space="preserve">  </w:t>
            </w:r>
            <w:r>
              <w:rPr>
                <w:b/>
                <w:bCs/>
                <w:spacing w:val="1"/>
              </w:rPr>
              <w:t>分);</w:t>
            </w:r>
          </w:p>
          <w:p w14:paraId="4FAB6A66">
            <w:pPr>
              <w:pStyle w:val="6"/>
              <w:spacing w:before="25" w:line="232" w:lineRule="auto"/>
              <w:ind w:left="18" w:right="3"/>
            </w:pPr>
            <w:r>
              <w:rPr>
                <w:b/>
                <w:bCs/>
                <w:spacing w:val="-4"/>
              </w:rPr>
              <w:t>3.形体明确，</w:t>
            </w:r>
            <w:r>
              <w:rPr>
                <w:spacing w:val="4"/>
              </w:rPr>
              <w:t xml:space="preserve"> </w:t>
            </w:r>
            <w:r>
              <w:rPr>
                <w:b/>
                <w:bCs/>
                <w:spacing w:val="-1"/>
              </w:rPr>
              <w:t>层次清晰(100</w:t>
            </w:r>
            <w:r>
              <w:rPr>
                <w:spacing w:val="6"/>
              </w:rPr>
              <w:t xml:space="preserve"> </w:t>
            </w:r>
            <w:r>
              <w:rPr>
                <w:b/>
                <w:bCs/>
                <w:spacing w:val="8"/>
              </w:rPr>
              <w:t>分);</w:t>
            </w:r>
          </w:p>
          <w:p w14:paraId="11F4E079">
            <w:pPr>
              <w:pStyle w:val="6"/>
              <w:spacing w:before="1" w:line="236" w:lineRule="auto"/>
              <w:ind w:left="18" w:right="7"/>
            </w:pPr>
            <w:r>
              <w:rPr>
                <w:b/>
                <w:bCs/>
                <w:spacing w:val="-4"/>
              </w:rPr>
              <w:t>4.形象生动，</w:t>
            </w:r>
            <w:r>
              <w:rPr>
                <w:spacing w:val="4"/>
              </w:rPr>
              <w:t xml:space="preserve"> </w:t>
            </w:r>
            <w:r>
              <w:rPr>
                <w:b/>
                <w:bCs/>
                <w:spacing w:val="-1"/>
              </w:rPr>
              <w:t>塑造深入(125</w:t>
            </w:r>
            <w:r>
              <w:rPr>
                <w:spacing w:val="2"/>
              </w:rPr>
              <w:t xml:space="preserve"> </w:t>
            </w:r>
            <w:r>
              <w:rPr>
                <w:b/>
                <w:bCs/>
                <w:spacing w:val="-3"/>
              </w:rPr>
              <w:t>分)。</w:t>
            </w:r>
          </w:p>
        </w:tc>
      </w:tr>
    </w:tbl>
    <w:p w14:paraId="2E74072A">
      <w:pPr>
        <w:spacing w:before="302" w:line="269" w:lineRule="auto"/>
        <w:ind w:left="1262" w:right="484" w:hanging="1109"/>
        <w:rPr>
          <w:rFonts w:ascii="宋体" w:hAnsi="宋体" w:eastAsia="宋体" w:cs="宋体"/>
          <w:sz w:val="27"/>
          <w:szCs w:val="27"/>
        </w:rPr>
      </w:pPr>
      <w:r>
        <w:rPr>
          <w:rFonts w:ascii="宋体" w:hAnsi="宋体" w:eastAsia="宋体" w:cs="宋体"/>
          <w:b/>
          <w:bCs/>
          <w:spacing w:val="21"/>
          <w:sz w:val="27"/>
          <w:szCs w:val="27"/>
        </w:rPr>
        <w:t>教育与体育大类(教育类)专业</w:t>
      </w:r>
      <w:r>
        <w:rPr>
          <w:rFonts w:ascii="宋体" w:hAnsi="宋体" w:eastAsia="宋体" w:cs="宋体"/>
          <w:spacing w:val="6"/>
          <w:sz w:val="27"/>
          <w:szCs w:val="27"/>
        </w:rPr>
        <w:t xml:space="preserve"> </w:t>
      </w:r>
      <w:r>
        <w:rPr>
          <w:rFonts w:ascii="宋体" w:hAnsi="宋体" w:eastAsia="宋体" w:cs="宋体"/>
          <w:b/>
          <w:bCs/>
          <w:spacing w:val="1"/>
          <w:sz w:val="27"/>
          <w:szCs w:val="27"/>
        </w:rPr>
        <w:t>技能测试纲要</w:t>
      </w:r>
    </w:p>
    <w:p w14:paraId="4C502957">
      <w:pPr>
        <w:spacing w:before="192" w:line="219" w:lineRule="auto"/>
        <w:ind w:left="3"/>
        <w:rPr>
          <w:rFonts w:ascii="宋体" w:hAnsi="宋体" w:eastAsia="宋体" w:cs="宋体"/>
          <w:sz w:val="23"/>
          <w:szCs w:val="23"/>
        </w:rPr>
      </w:pPr>
      <w:r>
        <w:rPr>
          <w:rFonts w:ascii="宋体" w:hAnsi="宋体" w:eastAsia="宋体" w:cs="宋体"/>
          <w:b/>
          <w:bCs/>
          <w:spacing w:val="-5"/>
          <w:sz w:val="23"/>
          <w:szCs w:val="23"/>
        </w:rPr>
        <w:t>一、测试范围和内容</w:t>
      </w:r>
    </w:p>
    <w:p w14:paraId="534159FE">
      <w:pPr>
        <w:spacing w:before="87" w:line="226" w:lineRule="auto"/>
        <w:ind w:right="393" w:firstLine="350"/>
        <w:jc w:val="both"/>
        <w:rPr>
          <w:rFonts w:ascii="宋体" w:hAnsi="宋体" w:eastAsia="宋体" w:cs="宋体"/>
          <w:sz w:val="19"/>
          <w:szCs w:val="19"/>
        </w:rPr>
      </w:pPr>
      <w:r>
        <w:rPr>
          <w:rFonts w:ascii="宋体" w:hAnsi="宋体" w:eastAsia="宋体" w:cs="宋体"/>
          <w:spacing w:val="-4"/>
          <w:sz w:val="19"/>
          <w:szCs w:val="19"/>
        </w:rPr>
        <w:t>教育类幼儿保育专业技能综合测试主要考查学</w:t>
      </w:r>
      <w:r>
        <w:rPr>
          <w:rFonts w:ascii="宋体" w:hAnsi="宋体" w:eastAsia="宋体" w:cs="宋体"/>
          <w:sz w:val="19"/>
          <w:szCs w:val="19"/>
        </w:rPr>
        <w:t xml:space="preserve"> </w:t>
      </w:r>
      <w:r>
        <w:rPr>
          <w:rFonts w:ascii="宋体" w:hAnsi="宋体" w:eastAsia="宋体" w:cs="宋体"/>
          <w:spacing w:val="26"/>
          <w:sz w:val="16"/>
          <w:szCs w:val="16"/>
        </w:rPr>
        <w:t>生从事学前教育应知应会的基础知识和技能。具体</w:t>
      </w:r>
      <w:r>
        <w:rPr>
          <w:rFonts w:ascii="宋体" w:hAnsi="宋体" w:eastAsia="宋体" w:cs="宋体"/>
          <w:spacing w:val="3"/>
          <w:sz w:val="16"/>
          <w:szCs w:val="16"/>
        </w:rPr>
        <w:t xml:space="preserve"> </w:t>
      </w:r>
      <w:r>
        <w:rPr>
          <w:rFonts w:ascii="宋体" w:hAnsi="宋体" w:eastAsia="宋体" w:cs="宋体"/>
          <w:spacing w:val="-2"/>
          <w:sz w:val="19"/>
          <w:szCs w:val="19"/>
        </w:rPr>
        <w:t>内容包括：第一，语言类50分(包括讲故事、命题</w:t>
      </w:r>
    </w:p>
    <w:p w14:paraId="10A73405">
      <w:pPr>
        <w:pStyle w:val="2"/>
        <w:spacing w:line="14" w:lineRule="auto"/>
        <w:rPr>
          <w:sz w:val="2"/>
        </w:rPr>
      </w:pPr>
      <w:r>
        <w:rPr>
          <w:sz w:val="2"/>
          <w:szCs w:val="2"/>
        </w:rPr>
        <w:br w:type="column"/>
      </w:r>
    </w:p>
    <w:p w14:paraId="2B7E6F47">
      <w:pPr>
        <w:spacing w:before="50" w:line="383" w:lineRule="auto"/>
        <w:rPr>
          <w:rFonts w:ascii="宋体" w:hAnsi="宋体" w:eastAsia="宋体" w:cs="宋体"/>
          <w:sz w:val="16"/>
          <w:szCs w:val="16"/>
        </w:rPr>
      </w:pPr>
      <w:r>
        <w:rPr>
          <w:rFonts w:ascii="宋体" w:hAnsi="宋体" w:eastAsia="宋体" w:cs="宋体"/>
          <w:spacing w:val="13"/>
          <w:sz w:val="16"/>
          <w:szCs w:val="16"/>
        </w:rPr>
        <w:t>即兴说话，其中命题即兴说话的命题范围为幼儿口教师</w:t>
      </w:r>
      <w:r>
        <w:rPr>
          <w:rFonts w:ascii="宋体" w:hAnsi="宋体" w:eastAsia="宋体" w:cs="宋体"/>
          <w:spacing w:val="2"/>
          <w:sz w:val="16"/>
          <w:szCs w:val="16"/>
        </w:rPr>
        <w:t xml:space="preserve">  </w:t>
      </w:r>
      <w:r>
        <w:rPr>
          <w:rFonts w:ascii="宋体" w:hAnsi="宋体" w:eastAsia="宋体" w:cs="宋体"/>
          <w:spacing w:val="12"/>
          <w:sz w:val="16"/>
          <w:szCs w:val="16"/>
        </w:rPr>
        <w:t>职业道德规范和《幼儿口教育指导纲要(试行)》《</w:t>
      </w:r>
      <w:r>
        <w:rPr>
          <w:rFonts w:ascii="宋体" w:hAnsi="宋体" w:eastAsia="宋体" w:cs="宋体"/>
          <w:spacing w:val="11"/>
          <w:sz w:val="16"/>
          <w:szCs w:val="16"/>
        </w:rPr>
        <w:t>3-6岁</w:t>
      </w:r>
      <w:r>
        <w:rPr>
          <w:rFonts w:ascii="宋体" w:hAnsi="宋体" w:eastAsia="宋体" w:cs="宋体"/>
          <w:sz w:val="16"/>
          <w:szCs w:val="16"/>
        </w:rPr>
        <w:t xml:space="preserve"> </w:t>
      </w:r>
      <w:r>
        <w:rPr>
          <w:rFonts w:ascii="宋体" w:hAnsi="宋体" w:eastAsia="宋体" w:cs="宋体"/>
          <w:spacing w:val="8"/>
          <w:sz w:val="16"/>
          <w:szCs w:val="16"/>
        </w:rPr>
        <w:t>儿童学习与发展指南》  《幼儿教师专业标准(试行)》政</w:t>
      </w:r>
      <w:r>
        <w:rPr>
          <w:rFonts w:ascii="宋体" w:hAnsi="宋体" w:eastAsia="宋体" w:cs="宋体"/>
          <w:spacing w:val="2"/>
          <w:sz w:val="16"/>
          <w:szCs w:val="16"/>
        </w:rPr>
        <w:t xml:space="preserve"> </w:t>
      </w:r>
      <w:r>
        <w:rPr>
          <w:rFonts w:ascii="宋体" w:hAnsi="宋体" w:eastAsia="宋体" w:cs="宋体"/>
          <w:spacing w:val="18"/>
          <w:sz w:val="16"/>
          <w:szCs w:val="16"/>
        </w:rPr>
        <w:t>策法规；第二，音乐类70 分，包括钢琴弹唱、钢琴独</w:t>
      </w:r>
      <w:r>
        <w:rPr>
          <w:rFonts w:ascii="宋体" w:hAnsi="宋体" w:eastAsia="宋体" w:cs="宋体"/>
          <w:spacing w:val="17"/>
          <w:sz w:val="16"/>
          <w:szCs w:val="16"/>
        </w:rPr>
        <w:t xml:space="preserve"> </w:t>
      </w:r>
      <w:r>
        <w:rPr>
          <w:rFonts w:ascii="宋体" w:hAnsi="宋体" w:eastAsia="宋体" w:cs="宋体"/>
          <w:spacing w:val="9"/>
          <w:sz w:val="16"/>
          <w:szCs w:val="16"/>
        </w:rPr>
        <w:t>奏；第三，舞蹈类</w:t>
      </w:r>
      <w:r>
        <w:rPr>
          <w:rFonts w:ascii="宋体" w:hAnsi="宋体" w:eastAsia="宋体" w:cs="宋体"/>
          <w:spacing w:val="3"/>
          <w:sz w:val="16"/>
          <w:szCs w:val="16"/>
        </w:rPr>
        <w:t xml:space="preserve">  </w:t>
      </w:r>
      <w:r>
        <w:rPr>
          <w:rFonts w:ascii="宋体" w:hAnsi="宋体" w:eastAsia="宋体" w:cs="宋体"/>
          <w:spacing w:val="9"/>
          <w:sz w:val="16"/>
          <w:szCs w:val="16"/>
        </w:rPr>
        <w:t>60分，包括自选舞蹈作品表演、创编</w:t>
      </w:r>
      <w:r>
        <w:rPr>
          <w:rFonts w:ascii="宋体" w:hAnsi="宋体" w:eastAsia="宋体" w:cs="宋体"/>
          <w:sz w:val="16"/>
          <w:szCs w:val="16"/>
        </w:rPr>
        <w:t xml:space="preserve"> </w:t>
      </w:r>
      <w:r>
        <w:rPr>
          <w:rFonts w:ascii="宋体" w:hAnsi="宋体" w:eastAsia="宋体" w:cs="宋体"/>
          <w:spacing w:val="15"/>
          <w:sz w:val="16"/>
          <w:szCs w:val="16"/>
        </w:rPr>
        <w:t>幼儿舞蹈第四，美术类70分，包括命题儿童绘画、微型</w:t>
      </w:r>
      <w:r>
        <w:rPr>
          <w:rFonts w:ascii="宋体" w:hAnsi="宋体" w:eastAsia="宋体" w:cs="宋体"/>
          <w:spacing w:val="14"/>
          <w:sz w:val="16"/>
          <w:szCs w:val="16"/>
        </w:rPr>
        <w:t xml:space="preserve"> </w:t>
      </w:r>
      <w:r>
        <w:rPr>
          <w:rFonts w:ascii="宋体" w:hAnsi="宋体" w:eastAsia="宋体" w:cs="宋体"/>
          <w:spacing w:val="12"/>
          <w:sz w:val="16"/>
          <w:szCs w:val="16"/>
        </w:rPr>
        <w:t>幼儿园主题墙饰设计与制作。</w:t>
      </w:r>
    </w:p>
    <w:p w14:paraId="657BE886">
      <w:pPr>
        <w:spacing w:before="2" w:line="308" w:lineRule="auto"/>
        <w:ind w:right="77" w:firstLine="359"/>
        <w:rPr>
          <w:rFonts w:ascii="宋体" w:hAnsi="宋体" w:eastAsia="宋体" w:cs="宋体"/>
          <w:sz w:val="16"/>
          <w:szCs w:val="16"/>
        </w:rPr>
      </w:pPr>
      <w:r>
        <w:rPr>
          <w:rFonts w:ascii="宋体" w:hAnsi="宋体" w:eastAsia="宋体" w:cs="宋体"/>
          <w:spacing w:val="11"/>
          <w:sz w:val="16"/>
          <w:szCs w:val="16"/>
        </w:rPr>
        <w:t>实际测试时，招生单位分别从语言、音乐、</w:t>
      </w:r>
      <w:r>
        <w:rPr>
          <w:rFonts w:ascii="宋体" w:hAnsi="宋体" w:eastAsia="宋体" w:cs="宋体"/>
          <w:spacing w:val="10"/>
          <w:sz w:val="16"/>
          <w:szCs w:val="16"/>
        </w:rPr>
        <w:t>舞蹈、</w:t>
      </w:r>
      <w:r>
        <w:rPr>
          <w:rFonts w:ascii="宋体" w:hAnsi="宋体" w:eastAsia="宋体" w:cs="宋体"/>
          <w:sz w:val="16"/>
          <w:szCs w:val="16"/>
        </w:rPr>
        <w:t xml:space="preserve"> </w:t>
      </w:r>
      <w:r>
        <w:rPr>
          <w:rFonts w:ascii="宋体" w:hAnsi="宋体" w:eastAsia="宋体" w:cs="宋体"/>
          <w:spacing w:val="19"/>
          <w:sz w:val="16"/>
          <w:szCs w:val="16"/>
        </w:rPr>
        <w:t>美术四大类中各抽取1项进行测试，计4项，分别为语</w:t>
      </w:r>
      <w:r>
        <w:rPr>
          <w:rFonts w:ascii="宋体" w:hAnsi="宋体" w:eastAsia="宋体" w:cs="宋体"/>
          <w:sz w:val="16"/>
          <w:szCs w:val="16"/>
        </w:rPr>
        <w:t xml:space="preserve"> </w:t>
      </w:r>
      <w:r>
        <w:rPr>
          <w:rFonts w:ascii="宋体" w:hAnsi="宋体" w:eastAsia="宋体" w:cs="宋体"/>
          <w:spacing w:val="-1"/>
          <w:sz w:val="19"/>
          <w:szCs w:val="19"/>
        </w:rPr>
        <w:t>言50分、音乐70分、舞蹈60分、美术70分，技能测</w:t>
      </w:r>
      <w:r>
        <w:rPr>
          <w:rFonts w:ascii="宋体" w:hAnsi="宋体" w:eastAsia="宋体" w:cs="宋体"/>
          <w:spacing w:val="9"/>
          <w:sz w:val="19"/>
          <w:szCs w:val="19"/>
        </w:rPr>
        <w:t xml:space="preserve"> </w:t>
      </w:r>
      <w:r>
        <w:rPr>
          <w:rFonts w:ascii="宋体" w:hAnsi="宋体" w:eastAsia="宋体" w:cs="宋体"/>
          <w:spacing w:val="13"/>
          <w:sz w:val="16"/>
          <w:szCs w:val="16"/>
        </w:rPr>
        <w:t>试合计总分为250分。</w:t>
      </w:r>
    </w:p>
    <w:p w14:paraId="05FE5756">
      <w:pPr>
        <w:spacing w:before="29" w:line="221" w:lineRule="auto"/>
        <w:ind w:left="3"/>
        <w:rPr>
          <w:rFonts w:ascii="宋体" w:hAnsi="宋体" w:eastAsia="宋体" w:cs="宋体"/>
          <w:sz w:val="23"/>
          <w:szCs w:val="23"/>
        </w:rPr>
      </w:pPr>
      <w:r>
        <w:rPr>
          <w:rFonts w:ascii="宋体" w:hAnsi="宋体" w:eastAsia="宋体" w:cs="宋体"/>
          <w:b/>
          <w:bCs/>
          <w:spacing w:val="-7"/>
          <w:sz w:val="23"/>
          <w:szCs w:val="23"/>
        </w:rPr>
        <w:t>二、测试要求</w:t>
      </w:r>
    </w:p>
    <w:p w14:paraId="30CA92AF">
      <w:pPr>
        <w:spacing w:before="90" w:line="332" w:lineRule="auto"/>
        <w:ind w:right="31" w:firstLine="359"/>
        <w:jc w:val="both"/>
        <w:rPr>
          <w:rFonts w:ascii="宋体" w:hAnsi="宋体" w:eastAsia="宋体" w:cs="宋体"/>
          <w:sz w:val="16"/>
          <w:szCs w:val="16"/>
        </w:rPr>
      </w:pPr>
      <w:r>
        <w:rPr>
          <w:rFonts w:ascii="宋体" w:hAnsi="宋体" w:eastAsia="宋体" w:cs="宋体"/>
          <w:spacing w:val="11"/>
          <w:sz w:val="16"/>
          <w:szCs w:val="16"/>
        </w:rPr>
        <w:t>音乐方面要求考生能演唱简单的艺术歌曲、儿童歌</w:t>
      </w:r>
      <w:r>
        <w:rPr>
          <w:rFonts w:ascii="宋体" w:hAnsi="宋体" w:eastAsia="宋体" w:cs="宋体"/>
          <w:spacing w:val="7"/>
          <w:sz w:val="16"/>
          <w:szCs w:val="16"/>
        </w:rPr>
        <w:t xml:space="preserve">  曲及民歌，节奏正确、音准良好、音色甜美、音量适中，</w:t>
      </w:r>
      <w:r>
        <w:rPr>
          <w:rFonts w:ascii="宋体" w:hAnsi="宋体" w:eastAsia="宋体" w:cs="宋体"/>
          <w:spacing w:val="13"/>
          <w:sz w:val="16"/>
          <w:szCs w:val="16"/>
        </w:rPr>
        <w:t xml:space="preserve"> </w:t>
      </w:r>
      <w:r>
        <w:rPr>
          <w:rFonts w:ascii="宋体" w:hAnsi="宋体" w:eastAsia="宋体" w:cs="宋体"/>
          <w:spacing w:val="12"/>
          <w:sz w:val="16"/>
          <w:szCs w:val="16"/>
        </w:rPr>
        <w:t>演唱自然大方；钢琴弹奏方面要求考生能够演奏较为简</w:t>
      </w:r>
      <w:r>
        <w:rPr>
          <w:rFonts w:ascii="宋体" w:hAnsi="宋体" w:eastAsia="宋体" w:cs="宋体"/>
          <w:spacing w:val="6"/>
          <w:sz w:val="16"/>
          <w:szCs w:val="16"/>
        </w:rPr>
        <w:t xml:space="preserve">  </w:t>
      </w:r>
      <w:r>
        <w:rPr>
          <w:rFonts w:ascii="宋体" w:hAnsi="宋体" w:eastAsia="宋体" w:cs="宋体"/>
          <w:spacing w:val="18"/>
          <w:sz w:val="16"/>
          <w:szCs w:val="16"/>
        </w:rPr>
        <w:t>单的乐曲(难度相当于钢琴业余考级三级水平),流畅、</w:t>
      </w:r>
      <w:r>
        <w:rPr>
          <w:rFonts w:ascii="宋体" w:hAnsi="宋体" w:eastAsia="宋体" w:cs="宋体"/>
          <w:sz w:val="16"/>
          <w:szCs w:val="16"/>
        </w:rPr>
        <w:t xml:space="preserve"> </w:t>
      </w:r>
      <w:r>
        <w:rPr>
          <w:rFonts w:ascii="宋体" w:hAnsi="宋体" w:eastAsia="宋体" w:cs="宋体"/>
          <w:spacing w:val="12"/>
          <w:sz w:val="16"/>
          <w:szCs w:val="16"/>
        </w:rPr>
        <w:t>完整，并且有一定的表现力；钢琴弹唱要求考生在弹奏</w:t>
      </w:r>
      <w:r>
        <w:rPr>
          <w:rFonts w:ascii="宋体" w:hAnsi="宋体" w:eastAsia="宋体" w:cs="宋体"/>
          <w:spacing w:val="3"/>
          <w:sz w:val="16"/>
          <w:szCs w:val="16"/>
        </w:rPr>
        <w:t xml:space="preserve">  </w:t>
      </w:r>
      <w:r>
        <w:rPr>
          <w:rFonts w:ascii="宋体" w:hAnsi="宋体" w:eastAsia="宋体" w:cs="宋体"/>
          <w:spacing w:val="12"/>
          <w:sz w:val="16"/>
          <w:szCs w:val="16"/>
        </w:rPr>
        <w:t>钢琴的同时能以恰当的音量完成儿童歌曲的演唱，节奏</w:t>
      </w:r>
      <w:r>
        <w:rPr>
          <w:rFonts w:ascii="宋体" w:hAnsi="宋体" w:eastAsia="宋体" w:cs="宋体"/>
          <w:spacing w:val="3"/>
          <w:sz w:val="16"/>
          <w:szCs w:val="16"/>
        </w:rPr>
        <w:t xml:space="preserve">  </w:t>
      </w:r>
      <w:r>
        <w:rPr>
          <w:rFonts w:ascii="宋体" w:hAnsi="宋体" w:eastAsia="宋体" w:cs="宋体"/>
          <w:spacing w:val="12"/>
          <w:sz w:val="16"/>
          <w:szCs w:val="16"/>
        </w:rPr>
        <w:t>正确、音准良好、音色甜美、音量适中，能达到教学所</w:t>
      </w:r>
      <w:r>
        <w:rPr>
          <w:rFonts w:ascii="宋体" w:hAnsi="宋体" w:eastAsia="宋体" w:cs="宋体"/>
          <w:spacing w:val="3"/>
          <w:sz w:val="16"/>
          <w:szCs w:val="16"/>
        </w:rPr>
        <w:t xml:space="preserve">  </w:t>
      </w:r>
      <w:r>
        <w:rPr>
          <w:rFonts w:ascii="宋体" w:hAnsi="宋体" w:eastAsia="宋体" w:cs="宋体"/>
          <w:spacing w:val="9"/>
          <w:sz w:val="16"/>
          <w:szCs w:val="16"/>
        </w:rPr>
        <w:t>需要求。</w:t>
      </w:r>
    </w:p>
    <w:p w14:paraId="4412526A">
      <w:pPr>
        <w:spacing w:before="23" w:line="331" w:lineRule="auto"/>
        <w:ind w:right="104" w:firstLine="359"/>
        <w:rPr>
          <w:rFonts w:ascii="宋体" w:hAnsi="宋体" w:eastAsia="宋体" w:cs="宋体"/>
          <w:sz w:val="16"/>
          <w:szCs w:val="16"/>
        </w:rPr>
      </w:pPr>
      <w:r>
        <w:rPr>
          <w:rFonts w:ascii="宋体" w:hAnsi="宋体" w:eastAsia="宋体" w:cs="宋体"/>
          <w:spacing w:val="11"/>
          <w:sz w:val="16"/>
          <w:szCs w:val="16"/>
        </w:rPr>
        <w:t>舞蹈方面要求考生在考自选舞蹈时，能体现出较好</w:t>
      </w:r>
      <w:r>
        <w:rPr>
          <w:rFonts w:ascii="宋体" w:hAnsi="宋体" w:eastAsia="宋体" w:cs="宋体"/>
          <w:spacing w:val="13"/>
          <w:sz w:val="16"/>
          <w:szCs w:val="16"/>
        </w:rPr>
        <w:t xml:space="preserve"> </w:t>
      </w:r>
      <w:r>
        <w:rPr>
          <w:rFonts w:ascii="宋体" w:hAnsi="宋体" w:eastAsia="宋体" w:cs="宋体"/>
          <w:spacing w:val="10"/>
          <w:sz w:val="16"/>
          <w:szCs w:val="16"/>
        </w:rPr>
        <w:t>的舞蹈素质，表演时动作熟练、舞姿优美、情绪饱满；</w:t>
      </w:r>
      <w:r>
        <w:rPr>
          <w:rFonts w:ascii="宋体" w:hAnsi="宋体" w:eastAsia="宋体" w:cs="宋体"/>
          <w:spacing w:val="9"/>
          <w:sz w:val="16"/>
          <w:szCs w:val="16"/>
        </w:rPr>
        <w:t xml:space="preserve"> </w:t>
      </w:r>
      <w:r>
        <w:rPr>
          <w:rFonts w:ascii="宋体" w:hAnsi="宋体" w:eastAsia="宋体" w:cs="宋体"/>
          <w:spacing w:val="12"/>
          <w:sz w:val="16"/>
          <w:szCs w:val="16"/>
        </w:rPr>
        <w:t>在考创编幼儿舞蹈时，能体现出较好的舞蹈素质，能根</w:t>
      </w:r>
      <w:r>
        <w:rPr>
          <w:rFonts w:ascii="宋体" w:hAnsi="宋体" w:eastAsia="宋体" w:cs="宋体"/>
          <w:spacing w:val="7"/>
          <w:sz w:val="16"/>
          <w:szCs w:val="16"/>
        </w:rPr>
        <w:t xml:space="preserve"> </w:t>
      </w:r>
      <w:r>
        <w:rPr>
          <w:rFonts w:ascii="宋体" w:hAnsi="宋体" w:eastAsia="宋体" w:cs="宋体"/>
          <w:spacing w:val="12"/>
          <w:sz w:val="16"/>
          <w:szCs w:val="16"/>
        </w:rPr>
        <w:t>据音乐形象即兴创编儿童舞蹈，且动作连贯，具有童真</w:t>
      </w:r>
      <w:r>
        <w:rPr>
          <w:rFonts w:ascii="宋体" w:hAnsi="宋体" w:eastAsia="宋体" w:cs="宋体"/>
          <w:spacing w:val="8"/>
          <w:sz w:val="16"/>
          <w:szCs w:val="16"/>
        </w:rPr>
        <w:t xml:space="preserve"> </w:t>
      </w:r>
      <w:r>
        <w:rPr>
          <w:rFonts w:ascii="宋体" w:hAnsi="宋体" w:eastAsia="宋体" w:cs="宋体"/>
          <w:spacing w:val="3"/>
          <w:sz w:val="16"/>
          <w:szCs w:val="16"/>
        </w:rPr>
        <w:t>童趣。</w:t>
      </w:r>
    </w:p>
    <w:p w14:paraId="6ACEE640">
      <w:pPr>
        <w:spacing w:before="14" w:line="328" w:lineRule="auto"/>
        <w:ind w:right="101" w:firstLine="359"/>
        <w:rPr>
          <w:rFonts w:ascii="宋体" w:hAnsi="宋体" w:eastAsia="宋体" w:cs="宋体"/>
          <w:sz w:val="16"/>
          <w:szCs w:val="16"/>
        </w:rPr>
      </w:pPr>
      <w:r>
        <w:rPr>
          <w:rFonts w:ascii="宋体" w:hAnsi="宋体" w:eastAsia="宋体" w:cs="宋体"/>
          <w:spacing w:val="10"/>
          <w:sz w:val="16"/>
          <w:szCs w:val="16"/>
        </w:rPr>
        <w:t>美术方面要求考生用不同的材料完成命题儿童画、</w:t>
      </w:r>
      <w:r>
        <w:rPr>
          <w:rFonts w:ascii="宋体" w:hAnsi="宋体" w:eastAsia="宋体" w:cs="宋体"/>
          <w:spacing w:val="18"/>
          <w:sz w:val="16"/>
          <w:szCs w:val="16"/>
        </w:rPr>
        <w:t xml:space="preserve"> </w:t>
      </w:r>
      <w:r>
        <w:rPr>
          <w:rFonts w:ascii="宋体" w:hAnsi="宋体" w:eastAsia="宋体" w:cs="宋体"/>
          <w:spacing w:val="12"/>
          <w:sz w:val="16"/>
          <w:szCs w:val="16"/>
        </w:rPr>
        <w:t>微型幼儿园主题墙饰设计与制作等项目。考查考生的美</w:t>
      </w:r>
      <w:r>
        <w:rPr>
          <w:rFonts w:ascii="宋体" w:hAnsi="宋体" w:eastAsia="宋体" w:cs="宋体"/>
          <w:spacing w:val="9"/>
          <w:sz w:val="16"/>
          <w:szCs w:val="16"/>
        </w:rPr>
        <w:t xml:space="preserve"> </w:t>
      </w:r>
      <w:r>
        <w:rPr>
          <w:rFonts w:ascii="宋体" w:hAnsi="宋体" w:eastAsia="宋体" w:cs="宋体"/>
          <w:spacing w:val="12"/>
          <w:sz w:val="16"/>
          <w:szCs w:val="16"/>
        </w:rPr>
        <w:t>术基本素养及对主题的理解能力、构图能力、动手操作</w:t>
      </w:r>
      <w:r>
        <w:rPr>
          <w:rFonts w:ascii="宋体" w:hAnsi="宋体" w:eastAsia="宋体" w:cs="宋体"/>
          <w:spacing w:val="11"/>
          <w:sz w:val="16"/>
          <w:szCs w:val="16"/>
        </w:rPr>
        <w:t xml:space="preserve"> </w:t>
      </w:r>
      <w:r>
        <w:rPr>
          <w:rFonts w:ascii="宋体" w:hAnsi="宋体" w:eastAsia="宋体" w:cs="宋体"/>
          <w:spacing w:val="7"/>
          <w:sz w:val="16"/>
          <w:szCs w:val="16"/>
        </w:rPr>
        <w:t>及表现能力等。</w:t>
      </w:r>
    </w:p>
    <w:p w14:paraId="2D13C820">
      <w:pPr>
        <w:spacing w:before="21" w:line="323" w:lineRule="auto"/>
        <w:ind w:right="78" w:firstLine="360"/>
        <w:rPr>
          <w:rFonts w:ascii="宋体" w:hAnsi="宋体" w:eastAsia="宋体" w:cs="宋体"/>
          <w:sz w:val="16"/>
          <w:szCs w:val="16"/>
        </w:rPr>
      </w:pPr>
      <w:r>
        <w:rPr>
          <w:rFonts w:ascii="宋体" w:hAnsi="宋体" w:eastAsia="宋体" w:cs="宋体"/>
          <w:spacing w:val="10"/>
          <w:sz w:val="16"/>
          <w:szCs w:val="16"/>
        </w:rPr>
        <w:t>语言类测试以讲故事、命题即兴说话的形式开展，</w:t>
      </w:r>
      <w:r>
        <w:rPr>
          <w:rFonts w:ascii="宋体" w:hAnsi="宋体" w:eastAsia="宋体" w:cs="宋体"/>
          <w:spacing w:val="18"/>
          <w:sz w:val="16"/>
          <w:szCs w:val="16"/>
        </w:rPr>
        <w:t xml:space="preserve"> </w:t>
      </w:r>
      <w:r>
        <w:rPr>
          <w:rFonts w:ascii="宋体" w:hAnsi="宋体" w:eastAsia="宋体" w:cs="宋体"/>
          <w:spacing w:val="-2"/>
          <w:sz w:val="19"/>
          <w:szCs w:val="19"/>
        </w:rPr>
        <w:t>命题即兴说话的命题范围为幼儿园教师职业道德和</w:t>
      </w:r>
      <w:r>
        <w:rPr>
          <w:rFonts w:ascii="宋体" w:hAnsi="宋体" w:eastAsia="宋体" w:cs="宋体"/>
          <w:spacing w:val="8"/>
          <w:sz w:val="19"/>
          <w:szCs w:val="19"/>
        </w:rPr>
        <w:t xml:space="preserve"> </w:t>
      </w:r>
      <w:r>
        <w:rPr>
          <w:rFonts w:ascii="宋体" w:hAnsi="宋体" w:eastAsia="宋体" w:cs="宋体"/>
          <w:spacing w:val="21"/>
          <w:sz w:val="16"/>
          <w:szCs w:val="16"/>
        </w:rPr>
        <w:t>《幼儿园教育指导纲要(试行)》《3</w:t>
      </w:r>
      <w:r>
        <w:rPr>
          <w:rFonts w:ascii="宋体" w:hAnsi="宋体" w:eastAsia="宋体" w:cs="宋体"/>
          <w:spacing w:val="-42"/>
          <w:sz w:val="16"/>
          <w:szCs w:val="16"/>
        </w:rPr>
        <w:t xml:space="preserve"> </w:t>
      </w:r>
      <w:r>
        <w:rPr>
          <w:rFonts w:ascii="宋体" w:hAnsi="宋体" w:eastAsia="宋体" w:cs="宋体"/>
          <w:spacing w:val="21"/>
          <w:sz w:val="16"/>
          <w:szCs w:val="16"/>
        </w:rPr>
        <w:t>-6岁儿童学</w:t>
      </w:r>
      <w:r>
        <w:rPr>
          <w:rFonts w:ascii="宋体" w:hAnsi="宋体" w:eastAsia="宋体" w:cs="宋体"/>
          <w:spacing w:val="20"/>
          <w:sz w:val="16"/>
          <w:szCs w:val="16"/>
        </w:rPr>
        <w:t>习与</w:t>
      </w:r>
      <w:r>
        <w:rPr>
          <w:rFonts w:ascii="宋体" w:hAnsi="宋体" w:eastAsia="宋体" w:cs="宋体"/>
          <w:sz w:val="16"/>
          <w:szCs w:val="16"/>
        </w:rPr>
        <w:t xml:space="preserve"> </w:t>
      </w:r>
      <w:r>
        <w:rPr>
          <w:rFonts w:ascii="宋体" w:hAnsi="宋体" w:eastAsia="宋体" w:cs="宋体"/>
          <w:spacing w:val="18"/>
          <w:sz w:val="16"/>
          <w:szCs w:val="16"/>
        </w:rPr>
        <w:t>发展指南》《幼儿教师专业标准(试行)》政策法规。</w:t>
      </w:r>
      <w:r>
        <w:rPr>
          <w:rFonts w:ascii="宋体" w:hAnsi="宋体" w:eastAsia="宋体" w:cs="宋体"/>
          <w:spacing w:val="7"/>
          <w:sz w:val="16"/>
          <w:szCs w:val="16"/>
        </w:rPr>
        <w:t xml:space="preserve"> </w:t>
      </w:r>
      <w:r>
        <w:rPr>
          <w:rFonts w:ascii="宋体" w:hAnsi="宋体" w:eastAsia="宋体" w:cs="宋体"/>
          <w:spacing w:val="12"/>
          <w:sz w:val="16"/>
          <w:szCs w:val="16"/>
        </w:rPr>
        <w:t>考查考生普通话水平、语言表达能力、儿童文学水平及</w:t>
      </w:r>
      <w:r>
        <w:rPr>
          <w:rFonts w:ascii="宋体" w:hAnsi="宋体" w:eastAsia="宋体" w:cs="宋体"/>
          <w:spacing w:val="9"/>
          <w:sz w:val="16"/>
          <w:szCs w:val="16"/>
        </w:rPr>
        <w:t xml:space="preserve"> </w:t>
      </w:r>
      <w:r>
        <w:rPr>
          <w:rFonts w:ascii="宋体" w:hAnsi="宋体" w:eastAsia="宋体" w:cs="宋体"/>
          <w:spacing w:val="20"/>
          <w:sz w:val="16"/>
          <w:szCs w:val="16"/>
        </w:rPr>
        <w:t>分析理解能力，儿童观、教师观、发展观、</w:t>
      </w:r>
      <w:r>
        <w:rPr>
          <w:rFonts w:ascii="宋体" w:hAnsi="宋体" w:eastAsia="宋体" w:cs="宋体"/>
          <w:spacing w:val="19"/>
          <w:sz w:val="16"/>
          <w:szCs w:val="16"/>
        </w:rPr>
        <w:t>教育观等</w:t>
      </w:r>
      <w:r>
        <w:rPr>
          <w:rFonts w:ascii="宋体" w:hAnsi="宋体" w:eastAsia="宋体" w:cs="宋体"/>
          <w:sz w:val="16"/>
          <w:szCs w:val="16"/>
        </w:rPr>
        <w:t xml:space="preserve"> </w:t>
      </w:r>
      <w:r>
        <w:rPr>
          <w:rFonts w:ascii="宋体" w:hAnsi="宋体" w:eastAsia="宋体" w:cs="宋体"/>
          <w:spacing w:val="12"/>
          <w:sz w:val="16"/>
          <w:szCs w:val="16"/>
        </w:rPr>
        <w:t>教育理念，以及综合运用多种手段于幼儿教育实践的能</w:t>
      </w:r>
      <w:r>
        <w:rPr>
          <w:rFonts w:ascii="宋体" w:hAnsi="宋体" w:eastAsia="宋体" w:cs="宋体"/>
          <w:spacing w:val="9"/>
          <w:sz w:val="16"/>
          <w:szCs w:val="16"/>
        </w:rPr>
        <w:t xml:space="preserve"> </w:t>
      </w:r>
      <w:r>
        <w:rPr>
          <w:rFonts w:ascii="宋体" w:hAnsi="宋体" w:eastAsia="宋体" w:cs="宋体"/>
          <w:spacing w:val="3"/>
          <w:sz w:val="16"/>
          <w:szCs w:val="16"/>
        </w:rPr>
        <w:t>力等。</w:t>
      </w:r>
    </w:p>
    <w:p w14:paraId="5D0176E3">
      <w:pPr>
        <w:spacing w:before="21" w:line="221" w:lineRule="auto"/>
        <w:ind w:left="3"/>
        <w:rPr>
          <w:rFonts w:ascii="宋体" w:hAnsi="宋体" w:eastAsia="宋体" w:cs="宋体"/>
          <w:sz w:val="23"/>
          <w:szCs w:val="23"/>
        </w:rPr>
      </w:pPr>
      <w:r>
        <w:rPr>
          <w:rFonts w:ascii="宋体" w:hAnsi="宋体" w:eastAsia="宋体" w:cs="宋体"/>
          <w:b/>
          <w:bCs/>
          <w:spacing w:val="-6"/>
          <w:sz w:val="23"/>
          <w:szCs w:val="23"/>
        </w:rPr>
        <w:t>三、测试形式</w:t>
      </w:r>
    </w:p>
    <w:p w14:paraId="1B457B18">
      <w:pPr>
        <w:spacing w:before="93" w:line="324" w:lineRule="auto"/>
        <w:ind w:right="103" w:firstLine="359"/>
        <w:rPr>
          <w:rFonts w:ascii="宋体" w:hAnsi="宋体" w:eastAsia="宋体" w:cs="宋体"/>
          <w:sz w:val="16"/>
          <w:szCs w:val="16"/>
        </w:rPr>
      </w:pPr>
      <w:r>
        <w:rPr>
          <w:rFonts w:ascii="宋体" w:hAnsi="宋体" w:eastAsia="宋体" w:cs="宋体"/>
          <w:spacing w:val="11"/>
          <w:sz w:val="16"/>
          <w:szCs w:val="16"/>
        </w:rPr>
        <w:t>语言、音乐、舞蹈三大类测试，以现场面试为主要</w:t>
      </w:r>
      <w:r>
        <w:rPr>
          <w:rFonts w:ascii="宋体" w:hAnsi="宋体" w:eastAsia="宋体" w:cs="宋体"/>
          <w:spacing w:val="15"/>
          <w:sz w:val="16"/>
          <w:szCs w:val="16"/>
        </w:rPr>
        <w:t xml:space="preserve"> </w:t>
      </w:r>
      <w:r>
        <w:rPr>
          <w:rFonts w:ascii="宋体" w:hAnsi="宋体" w:eastAsia="宋体" w:cs="宋体"/>
          <w:spacing w:val="7"/>
          <w:sz w:val="16"/>
          <w:szCs w:val="16"/>
        </w:rPr>
        <w:t>测试形式。</w:t>
      </w:r>
    </w:p>
    <w:p w14:paraId="6E35FCB8">
      <w:pPr>
        <w:spacing w:before="39" w:line="309" w:lineRule="auto"/>
        <w:ind w:right="101" w:firstLine="359"/>
        <w:rPr>
          <w:rFonts w:ascii="宋体" w:hAnsi="宋体" w:eastAsia="宋体" w:cs="宋体"/>
          <w:sz w:val="16"/>
          <w:szCs w:val="16"/>
        </w:rPr>
      </w:pPr>
      <w:r>
        <w:rPr>
          <w:rFonts w:ascii="宋体" w:hAnsi="宋体" w:eastAsia="宋体" w:cs="宋体"/>
          <w:spacing w:val="11"/>
          <w:sz w:val="16"/>
          <w:szCs w:val="16"/>
        </w:rPr>
        <w:t>语言类讲股市测试须脱稿讲演，命题即兴说话由主</w:t>
      </w:r>
      <w:r>
        <w:rPr>
          <w:rFonts w:ascii="宋体" w:hAnsi="宋体" w:eastAsia="宋体" w:cs="宋体"/>
          <w:spacing w:val="15"/>
          <w:sz w:val="16"/>
          <w:szCs w:val="16"/>
        </w:rPr>
        <w:t xml:space="preserve"> </w:t>
      </w:r>
      <w:r>
        <w:rPr>
          <w:rFonts w:ascii="宋体" w:hAnsi="宋体" w:eastAsia="宋体" w:cs="宋体"/>
          <w:spacing w:val="12"/>
          <w:sz w:val="16"/>
          <w:szCs w:val="16"/>
        </w:rPr>
        <w:t>考教师考前确定。钢琴独奏及钢琴弹奏可以视谱。舞蹈</w:t>
      </w:r>
    </w:p>
    <w:p w14:paraId="156C03CE">
      <w:pPr>
        <w:spacing w:line="309" w:lineRule="auto"/>
        <w:rPr>
          <w:rFonts w:ascii="宋体" w:hAnsi="宋体" w:eastAsia="宋体" w:cs="宋体"/>
          <w:sz w:val="16"/>
          <w:szCs w:val="16"/>
        </w:rPr>
        <w:sectPr>
          <w:type w:val="continuous"/>
          <w:pgSz w:w="10660" w:h="15080"/>
          <w:pgMar w:top="400" w:right="858" w:bottom="912" w:left="969" w:header="0" w:footer="741" w:gutter="0"/>
          <w:cols w:equalWidth="0" w:num="2">
            <w:col w:w="4491" w:space="100"/>
            <w:col w:w="4242"/>
          </w:cols>
        </w:sectPr>
      </w:pPr>
    </w:p>
    <w:p w14:paraId="208533A2">
      <w:pPr>
        <w:spacing w:before="79"/>
      </w:pPr>
    </w:p>
    <w:p w14:paraId="330BAB2A">
      <w:pPr>
        <w:spacing w:before="78"/>
      </w:pPr>
    </w:p>
    <w:p w14:paraId="17D07A86">
      <w:pPr>
        <w:spacing w:before="78"/>
      </w:pPr>
    </w:p>
    <w:p w14:paraId="65E70148">
      <w:pPr>
        <w:sectPr>
          <w:footerReference r:id="rId148" w:type="default"/>
          <w:pgSz w:w="10660" w:h="15080"/>
          <w:pgMar w:top="400" w:right="1045" w:bottom="898" w:left="819" w:header="0" w:footer="745" w:gutter="0"/>
          <w:cols w:equalWidth="0" w:num="1">
            <w:col w:w="8796"/>
          </w:cols>
        </w:sectPr>
      </w:pPr>
    </w:p>
    <w:p w14:paraId="3D1F4BEC">
      <w:pPr>
        <w:spacing w:before="35" w:line="297" w:lineRule="auto"/>
        <w:ind w:left="72" w:right="351"/>
        <w:jc w:val="both"/>
        <w:rPr>
          <w:rFonts w:ascii="宋体" w:hAnsi="宋体" w:eastAsia="宋体" w:cs="宋体"/>
          <w:sz w:val="17"/>
          <w:szCs w:val="17"/>
        </w:rPr>
      </w:pPr>
      <w:r>
        <w:rPr>
          <w:rFonts w:ascii="宋体" w:hAnsi="宋体" w:eastAsia="宋体" w:cs="宋体"/>
          <w:b/>
          <w:bCs/>
          <w:sz w:val="17"/>
          <w:szCs w:val="17"/>
        </w:rPr>
        <w:t>测试中的自选舞蹈作品表演可用伴奏音乐，创编幼儿舞</w:t>
      </w:r>
      <w:r>
        <w:rPr>
          <w:rFonts w:ascii="宋体" w:hAnsi="宋体" w:eastAsia="宋体" w:cs="宋体"/>
          <w:spacing w:val="1"/>
          <w:sz w:val="17"/>
          <w:szCs w:val="17"/>
        </w:rPr>
        <w:t xml:space="preserve"> </w:t>
      </w:r>
      <w:r>
        <w:rPr>
          <w:rFonts w:ascii="宋体" w:hAnsi="宋体" w:eastAsia="宋体" w:cs="宋体"/>
          <w:b/>
          <w:bCs/>
          <w:spacing w:val="6"/>
          <w:sz w:val="17"/>
          <w:szCs w:val="17"/>
        </w:rPr>
        <w:t>蹈的音乐为1-2分钟的少儿歌曲或歌舞曲(由主考教师</w:t>
      </w:r>
      <w:r>
        <w:rPr>
          <w:rFonts w:ascii="宋体" w:hAnsi="宋体" w:eastAsia="宋体" w:cs="宋体"/>
          <w:spacing w:val="17"/>
          <w:sz w:val="17"/>
          <w:szCs w:val="17"/>
        </w:rPr>
        <w:t xml:space="preserve"> </w:t>
      </w:r>
      <w:r>
        <w:rPr>
          <w:rFonts w:ascii="宋体" w:hAnsi="宋体" w:eastAsia="宋体" w:cs="宋体"/>
          <w:b/>
          <w:bCs/>
          <w:spacing w:val="3"/>
          <w:sz w:val="17"/>
          <w:szCs w:val="17"/>
        </w:rPr>
        <w:t>准备)。美术类测试要求在指定时间内完成，根据考场</w:t>
      </w:r>
    </w:p>
    <w:p w14:paraId="0D9C760E">
      <w:pPr>
        <w:pStyle w:val="2"/>
        <w:spacing w:line="14" w:lineRule="auto"/>
        <w:rPr>
          <w:sz w:val="2"/>
        </w:rPr>
      </w:pPr>
      <w:r>
        <w:rPr>
          <w:sz w:val="2"/>
          <w:szCs w:val="2"/>
        </w:rPr>
        <w:br w:type="column"/>
      </w:r>
    </w:p>
    <w:p w14:paraId="1BB912C8">
      <w:pPr>
        <w:spacing w:before="32" w:line="219" w:lineRule="auto"/>
        <w:ind w:left="2"/>
        <w:rPr>
          <w:rFonts w:ascii="宋体" w:hAnsi="宋体" w:eastAsia="宋体" w:cs="宋体"/>
          <w:sz w:val="17"/>
          <w:szCs w:val="17"/>
        </w:rPr>
      </w:pPr>
      <w:r>
        <w:rPr>
          <w:rFonts w:ascii="宋体" w:hAnsi="宋体" w:eastAsia="宋体" w:cs="宋体"/>
          <w:b/>
          <w:bCs/>
          <w:sz w:val="17"/>
          <w:szCs w:val="17"/>
        </w:rPr>
        <w:t>条件，由主考教师确定每个考场可以有多少考生同时参</w:t>
      </w:r>
    </w:p>
    <w:p w14:paraId="3B51C909">
      <w:pPr>
        <w:spacing w:before="130" w:line="221" w:lineRule="auto"/>
        <w:rPr>
          <w:rFonts w:ascii="宋体" w:hAnsi="宋体" w:eastAsia="宋体" w:cs="宋体"/>
          <w:sz w:val="15"/>
          <w:szCs w:val="15"/>
        </w:rPr>
      </w:pPr>
      <w:r>
        <w:rPr>
          <w:rFonts w:ascii="宋体" w:hAnsi="宋体" w:eastAsia="宋体" w:cs="宋体"/>
          <w:spacing w:val="13"/>
          <w:sz w:val="15"/>
          <w:szCs w:val="15"/>
        </w:rPr>
        <w:t>加测试。</w:t>
      </w:r>
    </w:p>
    <w:p w14:paraId="18CCBB7A">
      <w:pPr>
        <w:spacing w:before="100" w:line="184" w:lineRule="auto"/>
        <w:ind w:left="3"/>
        <w:rPr>
          <w:rFonts w:ascii="宋体" w:hAnsi="宋体" w:eastAsia="宋体" w:cs="宋体"/>
          <w:sz w:val="21"/>
          <w:szCs w:val="21"/>
        </w:rPr>
      </w:pPr>
      <w:r>
        <w:rPr>
          <w:rFonts w:ascii="宋体" w:hAnsi="宋体" w:eastAsia="宋体" w:cs="宋体"/>
          <w:b/>
          <w:bCs/>
          <w:spacing w:val="3"/>
          <w:sz w:val="21"/>
          <w:szCs w:val="21"/>
        </w:rPr>
        <w:t>四</w:t>
      </w:r>
      <w:r>
        <w:rPr>
          <w:rFonts w:ascii="宋体" w:hAnsi="宋体" w:eastAsia="宋体" w:cs="宋体"/>
          <w:spacing w:val="-44"/>
          <w:sz w:val="21"/>
          <w:szCs w:val="21"/>
        </w:rPr>
        <w:t xml:space="preserve"> </w:t>
      </w:r>
      <w:r>
        <w:rPr>
          <w:rFonts w:ascii="宋体" w:hAnsi="宋体" w:eastAsia="宋体" w:cs="宋体"/>
          <w:b/>
          <w:bCs/>
          <w:spacing w:val="3"/>
          <w:sz w:val="21"/>
          <w:szCs w:val="21"/>
        </w:rPr>
        <w:t>、测试项目</w:t>
      </w:r>
    </w:p>
    <w:p w14:paraId="187DF885">
      <w:pPr>
        <w:spacing w:line="184" w:lineRule="auto"/>
        <w:rPr>
          <w:rFonts w:ascii="宋体" w:hAnsi="宋体" w:eastAsia="宋体" w:cs="宋体"/>
          <w:sz w:val="21"/>
          <w:szCs w:val="21"/>
        </w:rPr>
        <w:sectPr>
          <w:type w:val="continuous"/>
          <w:pgSz w:w="10660" w:h="15080"/>
          <w:pgMar w:top="400" w:right="1045" w:bottom="898" w:left="819" w:header="0" w:footer="745" w:gutter="0"/>
          <w:cols w:equalWidth="0" w:num="2">
            <w:col w:w="4550" w:space="100"/>
            <w:col w:w="4146"/>
          </w:cols>
        </w:sectPr>
      </w:pPr>
    </w:p>
    <w:p w14:paraId="01345686">
      <w:pPr>
        <w:spacing w:line="148" w:lineRule="exact"/>
      </w:pPr>
    </w:p>
    <w:tbl>
      <w:tblPr>
        <w:tblStyle w:val="5"/>
        <w:tblW w:w="8719" w:type="dxa"/>
        <w:tblInd w:w="7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474"/>
        <w:gridCol w:w="769"/>
        <w:gridCol w:w="799"/>
        <w:gridCol w:w="1788"/>
        <w:gridCol w:w="2187"/>
        <w:gridCol w:w="2702"/>
      </w:tblGrid>
      <w:tr w14:paraId="4DB1F5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9" w:hRule="atLeast"/>
        </w:trPr>
        <w:tc>
          <w:tcPr>
            <w:tcW w:w="474" w:type="dxa"/>
            <w:tcBorders>
              <w:top w:val="single" w:color="000000" w:sz="2" w:space="0"/>
              <w:bottom w:val="single" w:color="000000" w:sz="2" w:space="0"/>
            </w:tcBorders>
            <w:shd w:val="clear" w:color="auto" w:fill="231F20"/>
            <w:vAlign w:val="top"/>
          </w:tcPr>
          <w:p w14:paraId="1F1FB946">
            <w:pPr>
              <w:pStyle w:val="6"/>
              <w:spacing w:before="106" w:line="207" w:lineRule="auto"/>
              <w:ind w:left="37" w:right="15"/>
              <w:rPr>
                <w:sz w:val="19"/>
                <w:szCs w:val="19"/>
              </w:rPr>
            </w:pPr>
            <w:r>
              <w:rPr>
                <w:b/>
                <w:bCs/>
                <w:color w:val="FFFFFF"/>
                <w:spacing w:val="-7"/>
                <w:sz w:val="19"/>
                <w:szCs w:val="19"/>
              </w:rPr>
              <w:t>测试</w:t>
            </w:r>
            <w:r>
              <w:rPr>
                <w:color w:val="FFFFFF"/>
                <w:sz w:val="19"/>
                <w:szCs w:val="19"/>
              </w:rPr>
              <w:t xml:space="preserve"> </w:t>
            </w:r>
            <w:r>
              <w:rPr>
                <w:b/>
                <w:bCs/>
                <w:color w:val="FFFFFF"/>
                <w:spacing w:val="13"/>
                <w:sz w:val="19"/>
                <w:szCs w:val="19"/>
              </w:rPr>
              <w:t>项目</w:t>
            </w:r>
          </w:p>
        </w:tc>
        <w:tc>
          <w:tcPr>
            <w:tcW w:w="769" w:type="dxa"/>
            <w:tcBorders>
              <w:top w:val="single" w:color="000000" w:sz="2" w:space="0"/>
              <w:bottom w:val="single" w:color="000000" w:sz="2" w:space="0"/>
            </w:tcBorders>
            <w:vAlign w:val="top"/>
          </w:tcPr>
          <w:p w14:paraId="7A7C6872">
            <w:pPr>
              <w:pStyle w:val="6"/>
              <w:spacing w:before="196" w:line="221" w:lineRule="auto"/>
              <w:jc w:val="right"/>
              <w:rPr>
                <w:sz w:val="19"/>
                <w:szCs w:val="19"/>
              </w:rPr>
            </w:pPr>
            <w:r>
              <w:rPr>
                <w:b/>
                <w:bCs/>
                <w:spacing w:val="-6"/>
                <w:sz w:val="19"/>
                <w:szCs w:val="19"/>
              </w:rPr>
              <w:t>测试用具</w:t>
            </w:r>
          </w:p>
        </w:tc>
        <w:tc>
          <w:tcPr>
            <w:tcW w:w="799" w:type="dxa"/>
            <w:tcBorders>
              <w:top w:val="single" w:color="000000" w:sz="2" w:space="0"/>
              <w:bottom w:val="single" w:color="000000" w:sz="2" w:space="0"/>
            </w:tcBorders>
            <w:vAlign w:val="top"/>
          </w:tcPr>
          <w:p w14:paraId="44FD6B11">
            <w:pPr>
              <w:pStyle w:val="6"/>
              <w:spacing w:before="195" w:line="219" w:lineRule="auto"/>
              <w:ind w:left="14"/>
              <w:rPr>
                <w:sz w:val="19"/>
                <w:szCs w:val="19"/>
              </w:rPr>
            </w:pPr>
            <w:r>
              <w:rPr>
                <w:b/>
                <w:bCs/>
                <w:spacing w:val="-4"/>
                <w:sz w:val="19"/>
                <w:szCs w:val="19"/>
              </w:rPr>
              <w:t>测试内容</w:t>
            </w:r>
          </w:p>
        </w:tc>
        <w:tc>
          <w:tcPr>
            <w:tcW w:w="1788" w:type="dxa"/>
            <w:tcBorders>
              <w:top w:val="single" w:color="000000" w:sz="2" w:space="0"/>
              <w:bottom w:val="single" w:color="000000" w:sz="2" w:space="0"/>
            </w:tcBorders>
            <w:vAlign w:val="top"/>
          </w:tcPr>
          <w:p w14:paraId="232A56FA">
            <w:pPr>
              <w:pStyle w:val="6"/>
              <w:spacing w:before="196" w:line="221" w:lineRule="auto"/>
              <w:ind w:left="565"/>
              <w:rPr>
                <w:sz w:val="19"/>
                <w:szCs w:val="19"/>
              </w:rPr>
            </w:pPr>
            <w:r>
              <w:rPr>
                <w:b/>
                <w:bCs/>
                <w:spacing w:val="-4"/>
                <w:sz w:val="19"/>
                <w:szCs w:val="19"/>
              </w:rPr>
              <w:t>测试方法</w:t>
            </w:r>
          </w:p>
        </w:tc>
        <w:tc>
          <w:tcPr>
            <w:tcW w:w="2187" w:type="dxa"/>
            <w:tcBorders>
              <w:top w:val="single" w:color="000000" w:sz="2" w:space="0"/>
              <w:bottom w:val="single" w:color="000000" w:sz="2" w:space="0"/>
            </w:tcBorders>
            <w:vAlign w:val="top"/>
          </w:tcPr>
          <w:p w14:paraId="2E4C6B8A">
            <w:pPr>
              <w:pStyle w:val="6"/>
              <w:spacing w:before="196" w:line="221" w:lineRule="auto"/>
              <w:ind w:left="777"/>
              <w:rPr>
                <w:sz w:val="19"/>
                <w:szCs w:val="19"/>
              </w:rPr>
            </w:pPr>
            <w:r>
              <w:rPr>
                <w:b/>
                <w:bCs/>
                <w:spacing w:val="-4"/>
                <w:sz w:val="19"/>
                <w:szCs w:val="19"/>
              </w:rPr>
              <w:t>测试要求</w:t>
            </w:r>
          </w:p>
        </w:tc>
        <w:tc>
          <w:tcPr>
            <w:tcW w:w="2702" w:type="dxa"/>
            <w:tcBorders>
              <w:top w:val="single" w:color="000000" w:sz="2" w:space="0"/>
              <w:bottom w:val="single" w:color="000000" w:sz="2" w:space="0"/>
            </w:tcBorders>
            <w:vAlign w:val="top"/>
          </w:tcPr>
          <w:p w14:paraId="1A4C0060">
            <w:pPr>
              <w:pStyle w:val="6"/>
              <w:spacing w:before="195" w:line="219" w:lineRule="auto"/>
              <w:ind w:left="1030"/>
              <w:rPr>
                <w:sz w:val="19"/>
                <w:szCs w:val="19"/>
              </w:rPr>
            </w:pPr>
            <w:r>
              <w:rPr>
                <w:b/>
                <w:bCs/>
                <w:spacing w:val="-4"/>
                <w:sz w:val="19"/>
                <w:szCs w:val="19"/>
              </w:rPr>
              <w:t>赋分参考</w:t>
            </w:r>
          </w:p>
        </w:tc>
      </w:tr>
      <w:tr w14:paraId="787B8A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73" w:hRule="atLeast"/>
        </w:trPr>
        <w:tc>
          <w:tcPr>
            <w:tcW w:w="474" w:type="dxa"/>
            <w:tcBorders>
              <w:top w:val="single" w:color="000000" w:sz="2" w:space="0"/>
              <w:bottom w:val="single" w:color="000000" w:sz="2" w:space="0"/>
            </w:tcBorders>
            <w:vAlign w:val="top"/>
          </w:tcPr>
          <w:p w14:paraId="3AC58E9F">
            <w:pPr>
              <w:pStyle w:val="6"/>
              <w:spacing w:before="45" w:line="201" w:lineRule="auto"/>
              <w:ind w:left="34"/>
              <w:jc w:val="both"/>
              <w:rPr>
                <w:sz w:val="19"/>
                <w:szCs w:val="19"/>
              </w:rPr>
            </w:pPr>
            <w:r>
              <w:rPr>
                <w:spacing w:val="-14"/>
                <w:sz w:val="19"/>
                <w:szCs w:val="19"/>
              </w:rPr>
              <w:t>项目</w:t>
            </w:r>
            <w:r>
              <w:rPr>
                <w:sz w:val="19"/>
                <w:szCs w:val="19"/>
              </w:rPr>
              <w:t xml:space="preserve">  </w:t>
            </w:r>
            <w:r>
              <w:rPr>
                <w:spacing w:val="-40"/>
                <w:w w:val="89"/>
                <w:sz w:val="25"/>
                <w:szCs w:val="25"/>
              </w:rPr>
              <w:t>一</w:t>
            </w:r>
            <w:r>
              <w:rPr>
                <w:spacing w:val="-62"/>
                <w:sz w:val="25"/>
                <w:szCs w:val="25"/>
              </w:rPr>
              <w:t xml:space="preserve"> </w:t>
            </w:r>
            <w:r>
              <w:rPr>
                <w:spacing w:val="-40"/>
                <w:w w:val="89"/>
                <w:sz w:val="25"/>
                <w:szCs w:val="25"/>
              </w:rPr>
              <w:t>：</w:t>
            </w:r>
            <w:r>
              <w:rPr>
                <w:sz w:val="25"/>
                <w:szCs w:val="25"/>
              </w:rPr>
              <w:t xml:space="preserve"> </w:t>
            </w:r>
            <w:r>
              <w:rPr>
                <w:spacing w:val="-11"/>
                <w:w w:val="89"/>
                <w:sz w:val="19"/>
                <w:szCs w:val="19"/>
              </w:rPr>
              <w:t>钢琴</w:t>
            </w:r>
            <w:r>
              <w:rPr>
                <w:sz w:val="19"/>
                <w:szCs w:val="19"/>
              </w:rPr>
              <w:t xml:space="preserve">  </w:t>
            </w:r>
            <w:r>
              <w:rPr>
                <w:spacing w:val="-12"/>
                <w:sz w:val="19"/>
                <w:szCs w:val="19"/>
              </w:rPr>
              <w:t>弹唱</w:t>
            </w:r>
          </w:p>
        </w:tc>
        <w:tc>
          <w:tcPr>
            <w:tcW w:w="769" w:type="dxa"/>
            <w:tcBorders>
              <w:top w:val="single" w:color="000000" w:sz="2" w:space="0"/>
              <w:bottom w:val="single" w:color="000000" w:sz="2" w:space="0"/>
            </w:tcBorders>
            <w:vAlign w:val="top"/>
          </w:tcPr>
          <w:p w14:paraId="0D76E750">
            <w:pPr>
              <w:pStyle w:val="6"/>
              <w:spacing w:before="53" w:line="215" w:lineRule="auto"/>
              <w:ind w:left="90"/>
              <w:rPr>
                <w:sz w:val="19"/>
                <w:szCs w:val="19"/>
              </w:rPr>
            </w:pPr>
            <w:r>
              <w:rPr>
                <w:spacing w:val="4"/>
                <w:sz w:val="19"/>
                <w:szCs w:val="19"/>
              </w:rPr>
              <w:t>提供钢</w:t>
            </w:r>
          </w:p>
          <w:p w14:paraId="2AD3A86D">
            <w:pPr>
              <w:pStyle w:val="6"/>
              <w:spacing w:line="194" w:lineRule="auto"/>
              <w:ind w:left="130"/>
              <w:rPr>
                <w:sz w:val="19"/>
                <w:szCs w:val="19"/>
              </w:rPr>
            </w:pPr>
            <w:r>
              <w:rPr>
                <w:spacing w:val="5"/>
                <w:sz w:val="19"/>
                <w:szCs w:val="19"/>
              </w:rPr>
              <w:t>琴(电</w:t>
            </w:r>
          </w:p>
          <w:p w14:paraId="4E607C6D">
            <w:pPr>
              <w:pStyle w:val="6"/>
              <w:spacing w:line="214" w:lineRule="auto"/>
              <w:ind w:left="40"/>
              <w:rPr>
                <w:sz w:val="19"/>
                <w:szCs w:val="19"/>
              </w:rPr>
            </w:pPr>
            <w:r>
              <w:rPr>
                <w:spacing w:val="-2"/>
                <w:sz w:val="19"/>
                <w:szCs w:val="19"/>
              </w:rPr>
              <w:t>钢琴)设</w:t>
            </w:r>
          </w:p>
          <w:p w14:paraId="7FE44DD0">
            <w:pPr>
              <w:pStyle w:val="6"/>
              <w:spacing w:line="220" w:lineRule="auto"/>
              <w:ind w:left="230"/>
              <w:rPr>
                <w:sz w:val="19"/>
                <w:szCs w:val="19"/>
              </w:rPr>
            </w:pPr>
            <w:r>
              <w:rPr>
                <w:spacing w:val="-2"/>
                <w:sz w:val="19"/>
                <w:szCs w:val="19"/>
              </w:rPr>
              <w:t>备。</w:t>
            </w:r>
          </w:p>
        </w:tc>
        <w:tc>
          <w:tcPr>
            <w:tcW w:w="799" w:type="dxa"/>
            <w:tcBorders>
              <w:top w:val="single" w:color="000000" w:sz="2" w:space="0"/>
              <w:bottom w:val="single" w:color="000000" w:sz="2" w:space="0"/>
            </w:tcBorders>
            <w:vAlign w:val="top"/>
          </w:tcPr>
          <w:p w14:paraId="68CCD8B3">
            <w:pPr>
              <w:pStyle w:val="6"/>
              <w:spacing w:before="52" w:line="195" w:lineRule="auto"/>
              <w:ind w:left="12"/>
              <w:rPr>
                <w:sz w:val="19"/>
                <w:szCs w:val="19"/>
              </w:rPr>
            </w:pPr>
            <w:r>
              <w:rPr>
                <w:spacing w:val="3"/>
                <w:sz w:val="19"/>
                <w:szCs w:val="19"/>
              </w:rPr>
              <w:t>自弹自唱</w:t>
            </w:r>
          </w:p>
          <w:p w14:paraId="57F8BC3D">
            <w:pPr>
              <w:pStyle w:val="6"/>
              <w:spacing w:line="219" w:lineRule="auto"/>
              <w:ind w:left="12"/>
              <w:rPr>
                <w:sz w:val="19"/>
                <w:szCs w:val="19"/>
              </w:rPr>
            </w:pPr>
            <w:r>
              <w:rPr>
                <w:spacing w:val="-3"/>
                <w:sz w:val="19"/>
                <w:szCs w:val="19"/>
              </w:rPr>
              <w:t>一首儿童</w:t>
            </w:r>
          </w:p>
          <w:p w14:paraId="3CE27A63">
            <w:pPr>
              <w:pStyle w:val="6"/>
              <w:spacing w:before="3" w:line="219" w:lineRule="auto"/>
              <w:ind w:left="151"/>
              <w:rPr>
                <w:sz w:val="19"/>
                <w:szCs w:val="19"/>
              </w:rPr>
            </w:pPr>
            <w:r>
              <w:rPr>
                <w:spacing w:val="-2"/>
                <w:sz w:val="19"/>
                <w:szCs w:val="19"/>
              </w:rPr>
              <w:t>歌曲。</w:t>
            </w:r>
          </w:p>
          <w:p w14:paraId="21DC3E88">
            <w:pPr>
              <w:pStyle w:val="6"/>
              <w:spacing w:before="6" w:line="220" w:lineRule="auto"/>
              <w:ind w:left="101"/>
              <w:rPr>
                <w:sz w:val="19"/>
                <w:szCs w:val="19"/>
              </w:rPr>
            </w:pPr>
            <w:r>
              <w:rPr>
                <w:spacing w:val="8"/>
                <w:sz w:val="19"/>
                <w:szCs w:val="19"/>
              </w:rPr>
              <w:t>(70分)</w:t>
            </w:r>
          </w:p>
        </w:tc>
        <w:tc>
          <w:tcPr>
            <w:tcW w:w="1788" w:type="dxa"/>
            <w:tcBorders>
              <w:top w:val="single" w:color="000000" w:sz="2" w:space="0"/>
              <w:bottom w:val="single" w:color="000000" w:sz="2" w:space="0"/>
            </w:tcBorders>
            <w:vAlign w:val="top"/>
          </w:tcPr>
          <w:p w14:paraId="321D9A71">
            <w:pPr>
              <w:pStyle w:val="6"/>
              <w:spacing w:before="42" w:line="214" w:lineRule="auto"/>
              <w:ind w:left="13" w:right="15"/>
              <w:rPr>
                <w:sz w:val="19"/>
                <w:szCs w:val="19"/>
              </w:rPr>
            </w:pPr>
            <w:r>
              <w:rPr>
                <w:sz w:val="19"/>
                <w:szCs w:val="19"/>
              </w:rPr>
              <w:t>1.弹唱曲目由命题单</w:t>
            </w:r>
            <w:r>
              <w:rPr>
                <w:spacing w:val="7"/>
                <w:sz w:val="19"/>
                <w:szCs w:val="19"/>
              </w:rPr>
              <w:t xml:space="preserve"> </w:t>
            </w:r>
            <w:r>
              <w:rPr>
                <w:sz w:val="19"/>
                <w:szCs w:val="19"/>
              </w:rPr>
              <w:t>位考前一周左右公布</w:t>
            </w:r>
            <w:r>
              <w:rPr>
                <w:spacing w:val="1"/>
                <w:sz w:val="19"/>
                <w:szCs w:val="19"/>
              </w:rPr>
              <w:t xml:space="preserve"> </w:t>
            </w:r>
            <w:r>
              <w:rPr>
                <w:spacing w:val="4"/>
                <w:sz w:val="19"/>
                <w:szCs w:val="19"/>
              </w:rPr>
              <w:t>曲目范围，歌曲考前</w:t>
            </w:r>
            <w:r>
              <w:rPr>
                <w:spacing w:val="2"/>
                <w:sz w:val="19"/>
                <w:szCs w:val="19"/>
              </w:rPr>
              <w:t xml:space="preserve"> </w:t>
            </w:r>
            <w:r>
              <w:rPr>
                <w:spacing w:val="-1"/>
                <w:sz w:val="19"/>
                <w:szCs w:val="19"/>
              </w:rPr>
              <w:t>抽签决定，提前30分</w:t>
            </w:r>
            <w:r>
              <w:rPr>
                <w:spacing w:val="2"/>
                <w:sz w:val="19"/>
                <w:szCs w:val="19"/>
              </w:rPr>
              <w:t xml:space="preserve"> </w:t>
            </w:r>
            <w:r>
              <w:rPr>
                <w:sz w:val="19"/>
                <w:szCs w:val="19"/>
              </w:rPr>
              <w:t>钟通知考生准备。</w:t>
            </w:r>
          </w:p>
          <w:p w14:paraId="422D6046">
            <w:pPr>
              <w:pStyle w:val="6"/>
              <w:spacing w:before="1" w:line="215" w:lineRule="auto"/>
              <w:ind w:left="22" w:right="14" w:hanging="9"/>
              <w:rPr>
                <w:sz w:val="19"/>
                <w:szCs w:val="19"/>
              </w:rPr>
            </w:pPr>
            <w:r>
              <w:rPr>
                <w:spacing w:val="-1"/>
                <w:sz w:val="19"/>
                <w:szCs w:val="19"/>
              </w:rPr>
              <w:t>2.化妆、服装自备，</w:t>
            </w:r>
            <w:r>
              <w:rPr>
                <w:spacing w:val="3"/>
                <w:sz w:val="19"/>
                <w:szCs w:val="19"/>
              </w:rPr>
              <w:t xml:space="preserve"> 自己用钢琴伴奏，不</w:t>
            </w:r>
            <w:r>
              <w:rPr>
                <w:spacing w:val="2"/>
                <w:sz w:val="19"/>
                <w:szCs w:val="19"/>
              </w:rPr>
              <w:t xml:space="preserve"> </w:t>
            </w:r>
            <w:r>
              <w:rPr>
                <w:spacing w:val="-1"/>
                <w:sz w:val="19"/>
                <w:szCs w:val="19"/>
              </w:rPr>
              <w:t>允许有其他伴奏。</w:t>
            </w:r>
          </w:p>
          <w:p w14:paraId="224F1EA8">
            <w:pPr>
              <w:pStyle w:val="6"/>
              <w:spacing w:before="4" w:line="219" w:lineRule="auto"/>
              <w:jc w:val="right"/>
              <w:rPr>
                <w:sz w:val="19"/>
                <w:szCs w:val="19"/>
              </w:rPr>
            </w:pPr>
            <w:r>
              <w:rPr>
                <w:spacing w:val="-20"/>
                <w:sz w:val="19"/>
                <w:szCs w:val="19"/>
              </w:rPr>
              <w:t>3.测试时间5分钟以内。</w:t>
            </w:r>
          </w:p>
        </w:tc>
        <w:tc>
          <w:tcPr>
            <w:tcW w:w="2187" w:type="dxa"/>
            <w:tcBorders>
              <w:top w:val="single" w:color="000000" w:sz="2" w:space="0"/>
              <w:bottom w:val="single" w:color="000000" w:sz="2" w:space="0"/>
            </w:tcBorders>
            <w:vAlign w:val="top"/>
          </w:tcPr>
          <w:p w14:paraId="611CF96D">
            <w:pPr>
              <w:pStyle w:val="6"/>
              <w:spacing w:before="42" w:line="214" w:lineRule="auto"/>
              <w:ind w:left="14" w:right="34" w:firstLine="30"/>
              <w:jc w:val="both"/>
              <w:rPr>
                <w:sz w:val="19"/>
                <w:szCs w:val="19"/>
              </w:rPr>
            </w:pPr>
            <w:r>
              <w:rPr>
                <w:sz w:val="19"/>
                <w:szCs w:val="19"/>
              </w:rPr>
              <w:t>1.钢琴弹奏和歌唱同步进</w:t>
            </w:r>
            <w:r>
              <w:rPr>
                <w:spacing w:val="6"/>
                <w:sz w:val="19"/>
                <w:szCs w:val="19"/>
              </w:rPr>
              <w:t xml:space="preserve"> </w:t>
            </w:r>
            <w:r>
              <w:rPr>
                <w:sz w:val="19"/>
                <w:szCs w:val="19"/>
              </w:rPr>
              <w:t>行，能运用正确的歌唱方</w:t>
            </w:r>
            <w:r>
              <w:rPr>
                <w:spacing w:val="8"/>
                <w:sz w:val="19"/>
                <w:szCs w:val="19"/>
              </w:rPr>
              <w:t xml:space="preserve"> </w:t>
            </w:r>
            <w:r>
              <w:rPr>
                <w:spacing w:val="-1"/>
                <w:sz w:val="19"/>
                <w:szCs w:val="19"/>
              </w:rPr>
              <w:t>法，独立演唱歌曲。</w:t>
            </w:r>
          </w:p>
          <w:p w14:paraId="0128D300">
            <w:pPr>
              <w:pStyle w:val="6"/>
              <w:spacing w:before="1" w:line="216" w:lineRule="auto"/>
              <w:ind w:left="14"/>
              <w:rPr>
                <w:sz w:val="19"/>
                <w:szCs w:val="19"/>
              </w:rPr>
            </w:pPr>
            <w:r>
              <w:rPr>
                <w:spacing w:val="-10"/>
                <w:sz w:val="19"/>
                <w:szCs w:val="19"/>
              </w:rPr>
              <w:t>2.音高、节奏准确，咬字、</w:t>
            </w:r>
            <w:r>
              <w:rPr>
                <w:spacing w:val="11"/>
                <w:sz w:val="19"/>
                <w:szCs w:val="19"/>
              </w:rPr>
              <w:t xml:space="preserve"> </w:t>
            </w:r>
            <w:r>
              <w:rPr>
                <w:spacing w:val="-6"/>
                <w:sz w:val="19"/>
                <w:szCs w:val="19"/>
              </w:rPr>
              <w:t>吐字清晰。</w:t>
            </w:r>
          </w:p>
          <w:p w14:paraId="32266D78">
            <w:pPr>
              <w:pStyle w:val="6"/>
              <w:spacing w:before="2" w:line="212" w:lineRule="auto"/>
              <w:ind w:left="14"/>
              <w:rPr>
                <w:sz w:val="19"/>
                <w:szCs w:val="19"/>
              </w:rPr>
            </w:pPr>
            <w:r>
              <w:rPr>
                <w:spacing w:val="-10"/>
                <w:sz w:val="19"/>
                <w:szCs w:val="19"/>
              </w:rPr>
              <w:t>3.能较准确把握作品风格，</w:t>
            </w:r>
            <w:r>
              <w:rPr>
                <w:spacing w:val="11"/>
                <w:sz w:val="19"/>
                <w:szCs w:val="19"/>
              </w:rPr>
              <w:t xml:space="preserve"> </w:t>
            </w:r>
            <w:r>
              <w:rPr>
                <w:sz w:val="19"/>
                <w:szCs w:val="19"/>
              </w:rPr>
              <w:t xml:space="preserve">能运用正确的弹奏方法， </w:t>
            </w:r>
            <w:r>
              <w:rPr>
                <w:spacing w:val="-5"/>
                <w:sz w:val="19"/>
                <w:szCs w:val="19"/>
              </w:rPr>
              <w:t>流畅、连贯、完整地弹唱</w:t>
            </w:r>
            <w:r>
              <w:rPr>
                <w:sz w:val="19"/>
                <w:szCs w:val="19"/>
              </w:rPr>
              <w:t xml:space="preserve">  </w:t>
            </w:r>
            <w:r>
              <w:rPr>
                <w:spacing w:val="-10"/>
                <w:sz w:val="19"/>
                <w:szCs w:val="19"/>
              </w:rPr>
              <w:t>歌曲，有一定处理及表现。</w:t>
            </w:r>
            <w:r>
              <w:rPr>
                <w:spacing w:val="1"/>
                <w:sz w:val="19"/>
                <w:szCs w:val="19"/>
              </w:rPr>
              <w:t xml:space="preserve"> </w:t>
            </w:r>
            <w:r>
              <w:rPr>
                <w:spacing w:val="-9"/>
                <w:sz w:val="19"/>
                <w:szCs w:val="19"/>
              </w:rPr>
              <w:t>4.弹唱配合协调统一，声</w:t>
            </w:r>
            <w:r>
              <w:rPr>
                <w:sz w:val="19"/>
                <w:szCs w:val="19"/>
              </w:rPr>
              <w:t xml:space="preserve">   </w:t>
            </w:r>
            <w:r>
              <w:rPr>
                <w:spacing w:val="-10"/>
                <w:sz w:val="19"/>
                <w:szCs w:val="19"/>
              </w:rPr>
              <w:t>音明亮，圆润，吐字清晰，</w:t>
            </w:r>
            <w:r>
              <w:rPr>
                <w:spacing w:val="1"/>
                <w:sz w:val="19"/>
                <w:szCs w:val="19"/>
              </w:rPr>
              <w:t xml:space="preserve"> </w:t>
            </w:r>
            <w:r>
              <w:rPr>
                <w:spacing w:val="-7"/>
                <w:sz w:val="19"/>
                <w:szCs w:val="19"/>
              </w:rPr>
              <w:t>富有表现力。</w:t>
            </w:r>
          </w:p>
          <w:p w14:paraId="694A937E">
            <w:pPr>
              <w:pStyle w:val="6"/>
              <w:spacing w:before="14" w:line="217" w:lineRule="auto"/>
              <w:ind w:left="14"/>
              <w:jc w:val="both"/>
              <w:rPr>
                <w:sz w:val="19"/>
                <w:szCs w:val="19"/>
              </w:rPr>
            </w:pPr>
            <w:r>
              <w:rPr>
                <w:spacing w:val="-8"/>
                <w:sz w:val="19"/>
                <w:szCs w:val="19"/>
              </w:rPr>
              <w:t>5.配置简易伴奏，钢琴伴</w:t>
            </w:r>
            <w:r>
              <w:rPr>
                <w:spacing w:val="4"/>
                <w:sz w:val="19"/>
                <w:szCs w:val="19"/>
              </w:rPr>
              <w:t xml:space="preserve">  </w:t>
            </w:r>
            <w:r>
              <w:rPr>
                <w:spacing w:val="-10"/>
                <w:sz w:val="19"/>
                <w:szCs w:val="19"/>
              </w:rPr>
              <w:t>奏的和声符合歌曲的题材、</w:t>
            </w:r>
            <w:r>
              <w:rPr>
                <w:spacing w:val="1"/>
                <w:sz w:val="19"/>
                <w:szCs w:val="19"/>
              </w:rPr>
              <w:t xml:space="preserve"> </w:t>
            </w:r>
            <w:r>
              <w:rPr>
                <w:spacing w:val="-6"/>
                <w:sz w:val="19"/>
                <w:szCs w:val="19"/>
              </w:rPr>
              <w:t>风格。</w:t>
            </w:r>
          </w:p>
        </w:tc>
        <w:tc>
          <w:tcPr>
            <w:tcW w:w="2702" w:type="dxa"/>
            <w:tcBorders>
              <w:top w:val="single" w:color="000000" w:sz="2" w:space="0"/>
              <w:bottom w:val="single" w:color="000000" w:sz="2" w:space="0"/>
            </w:tcBorders>
            <w:vAlign w:val="top"/>
          </w:tcPr>
          <w:p w14:paraId="64C347E3">
            <w:pPr>
              <w:pStyle w:val="6"/>
              <w:spacing w:before="43" w:line="211" w:lineRule="auto"/>
              <w:ind w:left="17"/>
              <w:rPr>
                <w:sz w:val="19"/>
                <w:szCs w:val="19"/>
              </w:rPr>
            </w:pPr>
            <w:r>
              <w:rPr>
                <w:sz w:val="19"/>
                <w:szCs w:val="19"/>
              </w:rPr>
              <w:t>1.能够运用科学的发声方法演唱</w:t>
            </w:r>
            <w:r>
              <w:rPr>
                <w:spacing w:val="13"/>
                <w:sz w:val="19"/>
                <w:szCs w:val="19"/>
              </w:rPr>
              <w:t xml:space="preserve"> </w:t>
            </w:r>
            <w:r>
              <w:rPr>
                <w:spacing w:val="5"/>
                <w:sz w:val="19"/>
                <w:szCs w:val="19"/>
              </w:rPr>
              <w:t>歌曲。(5分)</w:t>
            </w:r>
          </w:p>
          <w:p w14:paraId="24EFA4A9">
            <w:pPr>
              <w:pStyle w:val="6"/>
              <w:spacing w:before="5" w:line="219" w:lineRule="auto"/>
              <w:ind w:left="17"/>
              <w:rPr>
                <w:sz w:val="19"/>
                <w:szCs w:val="19"/>
              </w:rPr>
            </w:pPr>
            <w:r>
              <w:rPr>
                <w:spacing w:val="2"/>
                <w:sz w:val="19"/>
                <w:szCs w:val="19"/>
              </w:rPr>
              <w:t>2.音准、节奏正确。(5分)</w:t>
            </w:r>
          </w:p>
          <w:p w14:paraId="697FCE81">
            <w:pPr>
              <w:pStyle w:val="6"/>
              <w:spacing w:before="3" w:line="210" w:lineRule="auto"/>
              <w:ind w:left="17" w:firstLine="9"/>
              <w:jc w:val="both"/>
              <w:rPr>
                <w:sz w:val="19"/>
                <w:szCs w:val="19"/>
              </w:rPr>
            </w:pPr>
            <w:r>
              <w:rPr>
                <w:spacing w:val="-6"/>
                <w:sz w:val="19"/>
                <w:szCs w:val="19"/>
              </w:rPr>
              <w:t>3.歌唱声音洪亮，吐字清晰，音</w:t>
            </w:r>
            <w:r>
              <w:rPr>
                <w:spacing w:val="5"/>
                <w:sz w:val="19"/>
                <w:szCs w:val="19"/>
              </w:rPr>
              <w:t xml:space="preserve">  </w:t>
            </w:r>
            <w:r>
              <w:rPr>
                <w:spacing w:val="-23"/>
                <w:sz w:val="19"/>
                <w:szCs w:val="19"/>
              </w:rPr>
              <w:t>色圆润统一，流畅，演唱作品完整。</w:t>
            </w:r>
            <w:r>
              <w:rPr>
                <w:spacing w:val="1"/>
                <w:sz w:val="19"/>
                <w:szCs w:val="19"/>
              </w:rPr>
              <w:t xml:space="preserve"> </w:t>
            </w:r>
            <w:r>
              <w:rPr>
                <w:spacing w:val="4"/>
                <w:sz w:val="19"/>
                <w:szCs w:val="19"/>
              </w:rPr>
              <w:t>(10分)</w:t>
            </w:r>
          </w:p>
          <w:p w14:paraId="33084A79">
            <w:pPr>
              <w:pStyle w:val="6"/>
              <w:spacing w:before="1" w:line="219" w:lineRule="auto"/>
              <w:ind w:left="17" w:right="20"/>
              <w:rPr>
                <w:sz w:val="19"/>
                <w:szCs w:val="19"/>
              </w:rPr>
            </w:pPr>
            <w:r>
              <w:rPr>
                <w:spacing w:val="-1"/>
                <w:sz w:val="19"/>
                <w:szCs w:val="19"/>
              </w:rPr>
              <w:t>4.歌曲的处理恰到好处，准确地</w:t>
            </w:r>
            <w:r>
              <w:rPr>
                <w:spacing w:val="7"/>
                <w:sz w:val="19"/>
                <w:szCs w:val="19"/>
              </w:rPr>
              <w:t xml:space="preserve"> </w:t>
            </w:r>
            <w:r>
              <w:rPr>
                <w:spacing w:val="2"/>
                <w:sz w:val="19"/>
                <w:szCs w:val="19"/>
              </w:rPr>
              <w:t>把握作品的演唱风格。(15分)</w:t>
            </w:r>
          </w:p>
          <w:p w14:paraId="03E07458">
            <w:pPr>
              <w:pStyle w:val="6"/>
              <w:spacing w:before="2" w:line="213" w:lineRule="auto"/>
              <w:ind w:left="17" w:firstLine="9"/>
              <w:rPr>
                <w:sz w:val="19"/>
                <w:szCs w:val="19"/>
              </w:rPr>
            </w:pPr>
            <w:r>
              <w:rPr>
                <w:spacing w:val="-23"/>
                <w:sz w:val="19"/>
                <w:szCs w:val="19"/>
              </w:rPr>
              <w:t>5.弹奏连贯流畅，姿势正确。(15分)</w:t>
            </w:r>
            <w:r>
              <w:rPr>
                <w:spacing w:val="4"/>
                <w:sz w:val="19"/>
                <w:szCs w:val="19"/>
              </w:rPr>
              <w:t xml:space="preserve"> </w:t>
            </w:r>
            <w:r>
              <w:rPr>
                <w:spacing w:val="-11"/>
                <w:sz w:val="19"/>
                <w:szCs w:val="19"/>
              </w:rPr>
              <w:t>6.弹唱配合协调统一，演奏完整，</w:t>
            </w:r>
            <w:r>
              <w:rPr>
                <w:sz w:val="19"/>
                <w:szCs w:val="19"/>
              </w:rPr>
              <w:t xml:space="preserve"> </w:t>
            </w:r>
            <w:r>
              <w:rPr>
                <w:spacing w:val="-3"/>
                <w:sz w:val="19"/>
                <w:szCs w:val="19"/>
              </w:rPr>
              <w:t>有一定的艺术表现力。(15分)</w:t>
            </w:r>
          </w:p>
          <w:p w14:paraId="3F111C95">
            <w:pPr>
              <w:pStyle w:val="6"/>
              <w:spacing w:before="1" w:line="217" w:lineRule="auto"/>
              <w:ind w:left="17" w:right="121"/>
              <w:rPr>
                <w:sz w:val="19"/>
                <w:szCs w:val="19"/>
              </w:rPr>
            </w:pPr>
            <w:r>
              <w:rPr>
                <w:spacing w:val="-1"/>
                <w:sz w:val="19"/>
                <w:szCs w:val="19"/>
              </w:rPr>
              <w:t>7.弹唱同时能观察旁边观众3次</w:t>
            </w:r>
            <w:r>
              <w:rPr>
                <w:spacing w:val="2"/>
                <w:sz w:val="19"/>
                <w:szCs w:val="19"/>
              </w:rPr>
              <w:t xml:space="preserve"> 以上或不少于10秒。(5分)</w:t>
            </w:r>
          </w:p>
        </w:tc>
      </w:tr>
      <w:tr w14:paraId="421C08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824" w:hRule="atLeast"/>
        </w:trPr>
        <w:tc>
          <w:tcPr>
            <w:tcW w:w="474" w:type="dxa"/>
            <w:tcBorders>
              <w:top w:val="single" w:color="000000" w:sz="2" w:space="0"/>
              <w:bottom w:val="single" w:color="000000" w:sz="2" w:space="0"/>
            </w:tcBorders>
            <w:vAlign w:val="top"/>
          </w:tcPr>
          <w:p w14:paraId="73FC040D">
            <w:pPr>
              <w:pStyle w:val="6"/>
              <w:spacing w:before="55" w:line="215" w:lineRule="auto"/>
              <w:ind w:left="34" w:right="3"/>
              <w:jc w:val="both"/>
              <w:rPr>
                <w:sz w:val="19"/>
                <w:szCs w:val="19"/>
              </w:rPr>
            </w:pPr>
            <w:r>
              <w:rPr>
                <w:spacing w:val="-28"/>
                <w:sz w:val="19"/>
                <w:szCs w:val="19"/>
              </w:rPr>
              <w:t>项</w:t>
            </w:r>
            <w:r>
              <w:rPr>
                <w:spacing w:val="-4"/>
                <w:sz w:val="19"/>
                <w:szCs w:val="19"/>
              </w:rPr>
              <w:t xml:space="preserve"> </w:t>
            </w:r>
            <w:r>
              <w:rPr>
                <w:spacing w:val="-28"/>
                <w:sz w:val="19"/>
                <w:szCs w:val="19"/>
              </w:rPr>
              <w:t>目</w:t>
            </w:r>
            <w:r>
              <w:rPr>
                <w:sz w:val="19"/>
                <w:szCs w:val="19"/>
              </w:rPr>
              <w:t xml:space="preserve"> </w:t>
            </w:r>
            <w:r>
              <w:rPr>
                <w:spacing w:val="-3"/>
                <w:sz w:val="19"/>
                <w:szCs w:val="19"/>
              </w:rPr>
              <w:t>二</w:t>
            </w:r>
            <w:r>
              <w:rPr>
                <w:spacing w:val="-45"/>
                <w:sz w:val="19"/>
                <w:szCs w:val="19"/>
              </w:rPr>
              <w:t xml:space="preserve"> </w:t>
            </w:r>
            <w:r>
              <w:rPr>
                <w:spacing w:val="-3"/>
                <w:sz w:val="19"/>
                <w:szCs w:val="19"/>
              </w:rPr>
              <w:t>：</w:t>
            </w:r>
            <w:r>
              <w:rPr>
                <w:sz w:val="19"/>
                <w:szCs w:val="19"/>
              </w:rPr>
              <w:t xml:space="preserve"> </w:t>
            </w:r>
            <w:r>
              <w:rPr>
                <w:spacing w:val="-3"/>
                <w:sz w:val="19"/>
                <w:szCs w:val="19"/>
              </w:rPr>
              <w:t>钢琴</w:t>
            </w:r>
            <w:r>
              <w:rPr>
                <w:sz w:val="19"/>
                <w:szCs w:val="19"/>
              </w:rPr>
              <w:t xml:space="preserve"> </w:t>
            </w:r>
            <w:r>
              <w:rPr>
                <w:spacing w:val="-2"/>
                <w:sz w:val="19"/>
                <w:szCs w:val="19"/>
              </w:rPr>
              <w:t>独奏</w:t>
            </w:r>
          </w:p>
        </w:tc>
        <w:tc>
          <w:tcPr>
            <w:tcW w:w="769" w:type="dxa"/>
            <w:tcBorders>
              <w:top w:val="single" w:color="000000" w:sz="2" w:space="0"/>
              <w:bottom w:val="single" w:color="000000" w:sz="2" w:space="0"/>
            </w:tcBorders>
            <w:vAlign w:val="top"/>
          </w:tcPr>
          <w:p w14:paraId="194FAB0E">
            <w:pPr>
              <w:pStyle w:val="6"/>
              <w:spacing w:before="63" w:line="218" w:lineRule="auto"/>
              <w:ind w:left="40" w:firstLine="47"/>
              <w:rPr>
                <w:sz w:val="19"/>
                <w:szCs w:val="19"/>
              </w:rPr>
            </w:pPr>
            <w:r>
              <w:rPr>
                <w:spacing w:val="-6"/>
                <w:sz w:val="19"/>
                <w:szCs w:val="19"/>
              </w:rPr>
              <w:t>提供钢</w:t>
            </w:r>
            <w:r>
              <w:rPr>
                <w:sz w:val="19"/>
                <w:szCs w:val="19"/>
              </w:rPr>
              <w:t xml:space="preserve">  </w:t>
            </w:r>
            <w:r>
              <w:rPr>
                <w:spacing w:val="-11"/>
                <w:sz w:val="19"/>
                <w:szCs w:val="19"/>
              </w:rPr>
              <w:t>琴设备。</w:t>
            </w:r>
          </w:p>
        </w:tc>
        <w:tc>
          <w:tcPr>
            <w:tcW w:w="799" w:type="dxa"/>
            <w:tcBorders>
              <w:top w:val="single" w:color="000000" w:sz="2" w:space="0"/>
              <w:bottom w:val="single" w:color="000000" w:sz="2" w:space="0"/>
            </w:tcBorders>
            <w:vAlign w:val="top"/>
          </w:tcPr>
          <w:p w14:paraId="4B855EBA">
            <w:pPr>
              <w:pStyle w:val="6"/>
              <w:spacing w:before="45" w:line="220" w:lineRule="auto"/>
              <w:ind w:left="12"/>
              <w:rPr>
                <w:sz w:val="19"/>
                <w:szCs w:val="19"/>
              </w:rPr>
            </w:pPr>
            <w:r>
              <w:rPr>
                <w:spacing w:val="1"/>
                <w:sz w:val="19"/>
                <w:szCs w:val="19"/>
              </w:rPr>
              <w:t>自选钢琴</w:t>
            </w:r>
          </w:p>
          <w:p w14:paraId="600E3D39">
            <w:pPr>
              <w:pStyle w:val="6"/>
              <w:spacing w:before="12" w:line="195" w:lineRule="auto"/>
              <w:jc w:val="right"/>
              <w:rPr>
                <w:sz w:val="19"/>
                <w:szCs w:val="19"/>
              </w:rPr>
            </w:pPr>
            <w:r>
              <w:rPr>
                <w:spacing w:val="4"/>
                <w:sz w:val="19"/>
                <w:szCs w:val="19"/>
              </w:rPr>
              <w:t>独奏乐曲</w:t>
            </w:r>
          </w:p>
          <w:p w14:paraId="37720285">
            <w:pPr>
              <w:pStyle w:val="6"/>
              <w:spacing w:line="213" w:lineRule="auto"/>
              <w:ind w:left="151"/>
              <w:rPr>
                <w:sz w:val="19"/>
                <w:szCs w:val="19"/>
              </w:rPr>
            </w:pPr>
            <w:r>
              <w:rPr>
                <w:spacing w:val="-2"/>
                <w:sz w:val="19"/>
                <w:szCs w:val="19"/>
              </w:rPr>
              <w:t>一首。</w:t>
            </w:r>
          </w:p>
          <w:p w14:paraId="4269636F">
            <w:pPr>
              <w:pStyle w:val="6"/>
              <w:spacing w:line="220" w:lineRule="auto"/>
              <w:ind w:left="101"/>
              <w:rPr>
                <w:sz w:val="19"/>
                <w:szCs w:val="19"/>
              </w:rPr>
            </w:pPr>
            <w:r>
              <w:rPr>
                <w:spacing w:val="8"/>
                <w:sz w:val="19"/>
                <w:szCs w:val="19"/>
              </w:rPr>
              <w:t>(70分)</w:t>
            </w:r>
          </w:p>
        </w:tc>
        <w:tc>
          <w:tcPr>
            <w:tcW w:w="1788" w:type="dxa"/>
            <w:tcBorders>
              <w:top w:val="single" w:color="000000" w:sz="2" w:space="0"/>
              <w:bottom w:val="single" w:color="000000" w:sz="2" w:space="0"/>
            </w:tcBorders>
            <w:vAlign w:val="top"/>
          </w:tcPr>
          <w:p w14:paraId="672ABE48">
            <w:pPr>
              <w:pStyle w:val="6"/>
              <w:spacing w:before="54" w:line="218" w:lineRule="auto"/>
              <w:ind w:left="13" w:right="35" w:firstLine="9"/>
              <w:rPr>
                <w:sz w:val="19"/>
                <w:szCs w:val="19"/>
              </w:rPr>
            </w:pPr>
            <w:r>
              <w:rPr>
                <w:spacing w:val="-3"/>
                <w:sz w:val="19"/>
                <w:szCs w:val="19"/>
              </w:rPr>
              <w:t>1.</w:t>
            </w:r>
            <w:r>
              <w:rPr>
                <w:spacing w:val="-54"/>
                <w:sz w:val="19"/>
                <w:szCs w:val="19"/>
              </w:rPr>
              <w:t xml:space="preserve"> </w:t>
            </w:r>
            <w:r>
              <w:rPr>
                <w:spacing w:val="-3"/>
                <w:sz w:val="19"/>
                <w:szCs w:val="19"/>
              </w:rPr>
              <w:t>自选乐曲名提前30</w:t>
            </w:r>
            <w:r>
              <w:rPr>
                <w:sz w:val="19"/>
                <w:szCs w:val="19"/>
              </w:rPr>
              <w:t xml:space="preserve"> </w:t>
            </w:r>
            <w:r>
              <w:rPr>
                <w:spacing w:val="-1"/>
                <w:sz w:val="19"/>
                <w:szCs w:val="19"/>
              </w:rPr>
              <w:t>分钟报给测试老师。</w:t>
            </w:r>
            <w:r>
              <w:rPr>
                <w:spacing w:val="2"/>
                <w:sz w:val="19"/>
                <w:szCs w:val="19"/>
              </w:rPr>
              <w:t xml:space="preserve"> </w:t>
            </w:r>
            <w:r>
              <w:rPr>
                <w:spacing w:val="-1"/>
                <w:sz w:val="19"/>
                <w:szCs w:val="19"/>
              </w:rPr>
              <w:t>2.化妆、服装自备。</w:t>
            </w:r>
            <w:r>
              <w:rPr>
                <w:spacing w:val="3"/>
                <w:sz w:val="19"/>
                <w:szCs w:val="19"/>
              </w:rPr>
              <w:t xml:space="preserve"> </w:t>
            </w:r>
            <w:r>
              <w:rPr>
                <w:spacing w:val="-1"/>
                <w:sz w:val="19"/>
                <w:szCs w:val="19"/>
              </w:rPr>
              <w:t>3.测试时间10分钟。</w:t>
            </w:r>
          </w:p>
        </w:tc>
        <w:tc>
          <w:tcPr>
            <w:tcW w:w="2187" w:type="dxa"/>
            <w:tcBorders>
              <w:top w:val="single" w:color="000000" w:sz="2" w:space="0"/>
              <w:bottom w:val="single" w:color="000000" w:sz="2" w:space="0"/>
            </w:tcBorders>
            <w:vAlign w:val="top"/>
          </w:tcPr>
          <w:p w14:paraId="7CC20C90">
            <w:pPr>
              <w:pStyle w:val="6"/>
              <w:spacing w:before="53" w:line="222" w:lineRule="auto"/>
              <w:ind w:left="24" w:right="30" w:firstLine="20"/>
              <w:rPr>
                <w:sz w:val="19"/>
                <w:szCs w:val="19"/>
              </w:rPr>
            </w:pPr>
            <w:r>
              <w:rPr>
                <w:spacing w:val="1"/>
                <w:sz w:val="19"/>
                <w:szCs w:val="19"/>
              </w:rPr>
              <w:t>弹奏相当于钢琴业余三级</w:t>
            </w:r>
            <w:r>
              <w:rPr>
                <w:sz w:val="19"/>
                <w:szCs w:val="19"/>
              </w:rPr>
              <w:t xml:space="preserve"> </w:t>
            </w:r>
            <w:r>
              <w:rPr>
                <w:spacing w:val="-1"/>
                <w:sz w:val="19"/>
                <w:szCs w:val="19"/>
              </w:rPr>
              <w:t>水平的乐曲或练习曲。</w:t>
            </w:r>
          </w:p>
          <w:p w14:paraId="20A98F23">
            <w:pPr>
              <w:pStyle w:val="6"/>
              <w:spacing w:before="4" w:line="209" w:lineRule="auto"/>
              <w:ind w:left="14" w:firstLine="19"/>
              <w:rPr>
                <w:sz w:val="19"/>
                <w:szCs w:val="19"/>
              </w:rPr>
            </w:pPr>
            <w:r>
              <w:rPr>
                <w:spacing w:val="-9"/>
                <w:sz w:val="19"/>
                <w:szCs w:val="19"/>
              </w:rPr>
              <w:t>手型、指法正确，旋律流</w:t>
            </w:r>
            <w:r>
              <w:rPr>
                <w:spacing w:val="2"/>
                <w:sz w:val="19"/>
                <w:szCs w:val="19"/>
              </w:rPr>
              <w:t xml:space="preserve">  </w:t>
            </w:r>
            <w:r>
              <w:rPr>
                <w:spacing w:val="-10"/>
                <w:sz w:val="19"/>
                <w:szCs w:val="19"/>
              </w:rPr>
              <w:t>畅、句段清晰、层次分明，</w:t>
            </w:r>
            <w:r>
              <w:rPr>
                <w:spacing w:val="1"/>
                <w:sz w:val="19"/>
                <w:szCs w:val="19"/>
              </w:rPr>
              <w:t xml:space="preserve"> </w:t>
            </w:r>
            <w:r>
              <w:rPr>
                <w:spacing w:val="-8"/>
                <w:sz w:val="19"/>
                <w:szCs w:val="19"/>
              </w:rPr>
              <w:t>有一定的表现力。</w:t>
            </w:r>
          </w:p>
        </w:tc>
        <w:tc>
          <w:tcPr>
            <w:tcW w:w="2702" w:type="dxa"/>
            <w:tcBorders>
              <w:top w:val="single" w:color="000000" w:sz="2" w:space="0"/>
              <w:bottom w:val="single" w:color="000000" w:sz="2" w:space="0"/>
            </w:tcBorders>
            <w:vAlign w:val="top"/>
          </w:tcPr>
          <w:p w14:paraId="34B74DD2">
            <w:pPr>
              <w:pStyle w:val="6"/>
              <w:spacing w:before="55" w:line="203" w:lineRule="auto"/>
              <w:ind w:left="17"/>
              <w:rPr>
                <w:sz w:val="19"/>
                <w:szCs w:val="19"/>
              </w:rPr>
            </w:pPr>
            <w:r>
              <w:rPr>
                <w:spacing w:val="3"/>
                <w:sz w:val="19"/>
                <w:szCs w:val="19"/>
              </w:rPr>
              <w:t>1.节奏正确。(15分)</w:t>
            </w:r>
          </w:p>
          <w:p w14:paraId="085C2C85">
            <w:pPr>
              <w:pStyle w:val="6"/>
              <w:spacing w:before="1" w:line="218" w:lineRule="auto"/>
              <w:ind w:left="17" w:right="88" w:firstLine="30"/>
              <w:rPr>
                <w:sz w:val="19"/>
                <w:szCs w:val="19"/>
              </w:rPr>
            </w:pPr>
            <w:r>
              <w:rPr>
                <w:spacing w:val="-1"/>
                <w:sz w:val="19"/>
                <w:szCs w:val="19"/>
              </w:rPr>
              <w:t>2.弹奏连贯流畅姿势正确。(15</w:t>
            </w:r>
            <w:r>
              <w:rPr>
                <w:spacing w:val="5"/>
                <w:sz w:val="19"/>
                <w:szCs w:val="19"/>
              </w:rPr>
              <w:t xml:space="preserve"> </w:t>
            </w:r>
            <w:r>
              <w:rPr>
                <w:spacing w:val="-5"/>
                <w:sz w:val="19"/>
                <w:szCs w:val="19"/>
              </w:rPr>
              <w:t>分</w:t>
            </w:r>
            <w:r>
              <w:rPr>
                <w:spacing w:val="-41"/>
                <w:sz w:val="19"/>
                <w:szCs w:val="19"/>
              </w:rPr>
              <w:t xml:space="preserve"> </w:t>
            </w:r>
            <w:r>
              <w:rPr>
                <w:spacing w:val="-5"/>
                <w:sz w:val="19"/>
                <w:szCs w:val="19"/>
              </w:rPr>
              <w:t>)</w:t>
            </w:r>
          </w:p>
          <w:p w14:paraId="3850F8DF">
            <w:pPr>
              <w:pStyle w:val="6"/>
              <w:spacing w:before="3" w:line="213" w:lineRule="auto"/>
              <w:ind w:left="17"/>
              <w:jc w:val="both"/>
              <w:rPr>
                <w:sz w:val="19"/>
                <w:szCs w:val="19"/>
              </w:rPr>
            </w:pPr>
            <w:r>
              <w:rPr>
                <w:spacing w:val="-1"/>
                <w:sz w:val="19"/>
                <w:szCs w:val="19"/>
              </w:rPr>
              <w:t>3.对歌曲的处理恰到好处，准确</w:t>
            </w:r>
            <w:r>
              <w:rPr>
                <w:spacing w:val="1"/>
                <w:sz w:val="19"/>
                <w:szCs w:val="19"/>
              </w:rPr>
              <w:t xml:space="preserve"> </w:t>
            </w:r>
            <w:r>
              <w:rPr>
                <w:sz w:val="19"/>
                <w:szCs w:val="19"/>
              </w:rPr>
              <w:t>地把握作品的弹奏风格。(30分)</w:t>
            </w:r>
            <w:r>
              <w:rPr>
                <w:spacing w:val="13"/>
                <w:sz w:val="19"/>
                <w:szCs w:val="19"/>
              </w:rPr>
              <w:t xml:space="preserve"> </w:t>
            </w:r>
            <w:r>
              <w:rPr>
                <w:spacing w:val="-1"/>
                <w:sz w:val="19"/>
                <w:szCs w:val="19"/>
              </w:rPr>
              <w:t>4.演奏完整，有一定的艺术表现</w:t>
            </w:r>
            <w:r>
              <w:rPr>
                <w:sz w:val="19"/>
                <w:szCs w:val="19"/>
              </w:rPr>
              <w:t xml:space="preserve"> </w:t>
            </w:r>
            <w:r>
              <w:rPr>
                <w:spacing w:val="4"/>
                <w:sz w:val="19"/>
                <w:szCs w:val="19"/>
              </w:rPr>
              <w:t>力。(5分)</w:t>
            </w:r>
          </w:p>
          <w:p w14:paraId="7739E60A">
            <w:pPr>
              <w:pStyle w:val="6"/>
              <w:spacing w:line="213" w:lineRule="auto"/>
              <w:ind w:left="17"/>
              <w:rPr>
                <w:sz w:val="19"/>
                <w:szCs w:val="19"/>
              </w:rPr>
            </w:pPr>
            <w:r>
              <w:rPr>
                <w:spacing w:val="2"/>
                <w:sz w:val="19"/>
                <w:szCs w:val="19"/>
              </w:rPr>
              <w:t>5.乐曲难度和弹奏水平。(5分)</w:t>
            </w:r>
          </w:p>
        </w:tc>
      </w:tr>
      <w:tr w14:paraId="2C6CA5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824" w:hRule="atLeast"/>
        </w:trPr>
        <w:tc>
          <w:tcPr>
            <w:tcW w:w="474" w:type="dxa"/>
            <w:tcBorders>
              <w:top w:val="single" w:color="000000" w:sz="2" w:space="0"/>
              <w:bottom w:val="single" w:color="000000" w:sz="2" w:space="0"/>
            </w:tcBorders>
            <w:vAlign w:val="top"/>
          </w:tcPr>
          <w:p w14:paraId="3EC2FE79">
            <w:pPr>
              <w:pStyle w:val="6"/>
              <w:spacing w:before="65" w:line="212" w:lineRule="auto"/>
              <w:ind w:left="34" w:right="4"/>
              <w:jc w:val="both"/>
              <w:rPr>
                <w:sz w:val="19"/>
                <w:szCs w:val="19"/>
              </w:rPr>
            </w:pPr>
            <w:r>
              <w:rPr>
                <w:spacing w:val="-28"/>
                <w:sz w:val="19"/>
                <w:szCs w:val="19"/>
              </w:rPr>
              <w:t>项</w:t>
            </w:r>
            <w:r>
              <w:rPr>
                <w:spacing w:val="-4"/>
                <w:sz w:val="19"/>
                <w:szCs w:val="19"/>
              </w:rPr>
              <w:t xml:space="preserve"> </w:t>
            </w:r>
            <w:r>
              <w:rPr>
                <w:spacing w:val="-28"/>
                <w:sz w:val="19"/>
                <w:szCs w:val="19"/>
              </w:rPr>
              <w:t>目</w:t>
            </w:r>
            <w:r>
              <w:rPr>
                <w:sz w:val="19"/>
                <w:szCs w:val="19"/>
              </w:rPr>
              <w:t xml:space="preserve"> </w:t>
            </w:r>
            <w:r>
              <w:rPr>
                <w:spacing w:val="-1"/>
                <w:sz w:val="19"/>
                <w:szCs w:val="19"/>
              </w:rPr>
              <w:t>三</w:t>
            </w:r>
            <w:r>
              <w:rPr>
                <w:spacing w:val="-49"/>
                <w:sz w:val="19"/>
                <w:szCs w:val="19"/>
              </w:rPr>
              <w:t xml:space="preserve"> </w:t>
            </w:r>
            <w:r>
              <w:rPr>
                <w:spacing w:val="-1"/>
                <w:sz w:val="19"/>
                <w:szCs w:val="19"/>
              </w:rPr>
              <w:t>：</w:t>
            </w:r>
            <w:r>
              <w:rPr>
                <w:sz w:val="19"/>
                <w:szCs w:val="19"/>
              </w:rPr>
              <w:t xml:space="preserve"> </w:t>
            </w:r>
            <w:r>
              <w:rPr>
                <w:spacing w:val="3"/>
                <w:sz w:val="19"/>
                <w:szCs w:val="19"/>
              </w:rPr>
              <w:t>自选</w:t>
            </w:r>
            <w:r>
              <w:rPr>
                <w:sz w:val="19"/>
                <w:szCs w:val="19"/>
              </w:rPr>
              <w:t xml:space="preserve"> </w:t>
            </w:r>
            <w:r>
              <w:rPr>
                <w:spacing w:val="5"/>
                <w:sz w:val="19"/>
                <w:szCs w:val="19"/>
              </w:rPr>
              <w:t>舞蹈</w:t>
            </w:r>
            <w:r>
              <w:rPr>
                <w:sz w:val="19"/>
                <w:szCs w:val="19"/>
              </w:rPr>
              <w:t xml:space="preserve"> </w:t>
            </w:r>
            <w:r>
              <w:rPr>
                <w:spacing w:val="9"/>
                <w:sz w:val="19"/>
                <w:szCs w:val="19"/>
              </w:rPr>
              <w:t>作品</w:t>
            </w:r>
            <w:r>
              <w:rPr>
                <w:sz w:val="19"/>
                <w:szCs w:val="19"/>
              </w:rPr>
              <w:t xml:space="preserve"> </w:t>
            </w:r>
            <w:r>
              <w:rPr>
                <w:spacing w:val="-2"/>
                <w:sz w:val="19"/>
                <w:szCs w:val="19"/>
              </w:rPr>
              <w:t>表演</w:t>
            </w:r>
          </w:p>
        </w:tc>
        <w:tc>
          <w:tcPr>
            <w:tcW w:w="769" w:type="dxa"/>
            <w:tcBorders>
              <w:top w:val="single" w:color="000000" w:sz="2" w:space="0"/>
              <w:bottom w:val="single" w:color="000000" w:sz="2" w:space="0"/>
            </w:tcBorders>
            <w:vAlign w:val="top"/>
          </w:tcPr>
          <w:p w14:paraId="3A97D106">
            <w:pPr>
              <w:pStyle w:val="6"/>
              <w:spacing w:before="76" w:line="213" w:lineRule="auto"/>
              <w:ind w:left="40" w:firstLine="47"/>
              <w:rPr>
                <w:sz w:val="19"/>
                <w:szCs w:val="19"/>
              </w:rPr>
            </w:pPr>
            <w:r>
              <w:rPr>
                <w:spacing w:val="-12"/>
                <w:sz w:val="19"/>
                <w:szCs w:val="19"/>
              </w:rPr>
              <w:t>提供音</w:t>
            </w:r>
            <w:r>
              <w:rPr>
                <w:sz w:val="19"/>
                <w:szCs w:val="19"/>
              </w:rPr>
              <w:t xml:space="preserve">  </w:t>
            </w:r>
            <w:r>
              <w:rPr>
                <w:spacing w:val="-11"/>
                <w:sz w:val="19"/>
                <w:szCs w:val="19"/>
              </w:rPr>
              <w:t>响设备。</w:t>
            </w:r>
          </w:p>
        </w:tc>
        <w:tc>
          <w:tcPr>
            <w:tcW w:w="799" w:type="dxa"/>
            <w:tcBorders>
              <w:top w:val="single" w:color="000000" w:sz="2" w:space="0"/>
              <w:bottom w:val="single" w:color="000000" w:sz="2" w:space="0"/>
            </w:tcBorders>
            <w:vAlign w:val="top"/>
          </w:tcPr>
          <w:p w14:paraId="09C36841">
            <w:pPr>
              <w:pStyle w:val="6"/>
              <w:spacing w:before="65" w:line="213" w:lineRule="auto"/>
              <w:ind w:left="12"/>
              <w:jc w:val="both"/>
              <w:rPr>
                <w:sz w:val="19"/>
                <w:szCs w:val="19"/>
              </w:rPr>
            </w:pPr>
            <w:r>
              <w:rPr>
                <w:spacing w:val="-17"/>
                <w:sz w:val="19"/>
                <w:szCs w:val="19"/>
              </w:rPr>
              <w:t>自选舞蹈</w:t>
            </w:r>
            <w:r>
              <w:rPr>
                <w:sz w:val="19"/>
                <w:szCs w:val="19"/>
              </w:rPr>
              <w:t xml:space="preserve">  </w:t>
            </w:r>
            <w:r>
              <w:rPr>
                <w:spacing w:val="-25"/>
                <w:w w:val="94"/>
                <w:sz w:val="19"/>
                <w:szCs w:val="19"/>
              </w:rPr>
              <w:t>作品表演。</w:t>
            </w:r>
            <w:r>
              <w:rPr>
                <w:spacing w:val="7"/>
                <w:sz w:val="19"/>
                <w:szCs w:val="19"/>
              </w:rPr>
              <w:t xml:space="preserve"> </w:t>
            </w:r>
            <w:r>
              <w:rPr>
                <w:spacing w:val="12"/>
                <w:sz w:val="19"/>
                <w:szCs w:val="19"/>
              </w:rPr>
              <w:t>(60分)</w:t>
            </w:r>
          </w:p>
        </w:tc>
        <w:tc>
          <w:tcPr>
            <w:tcW w:w="1788" w:type="dxa"/>
            <w:tcBorders>
              <w:top w:val="single" w:color="000000" w:sz="2" w:space="0"/>
              <w:bottom w:val="single" w:color="000000" w:sz="2" w:space="0"/>
            </w:tcBorders>
            <w:vAlign w:val="top"/>
          </w:tcPr>
          <w:p w14:paraId="12E99D6C">
            <w:pPr>
              <w:pStyle w:val="6"/>
              <w:spacing w:before="73" w:line="212" w:lineRule="auto"/>
              <w:ind w:left="13"/>
              <w:jc w:val="both"/>
              <w:rPr>
                <w:sz w:val="19"/>
                <w:szCs w:val="19"/>
              </w:rPr>
            </w:pPr>
            <w:r>
              <w:rPr>
                <w:spacing w:val="-11"/>
                <w:sz w:val="19"/>
                <w:szCs w:val="19"/>
              </w:rPr>
              <w:t>1.</w:t>
            </w:r>
            <w:r>
              <w:rPr>
                <w:spacing w:val="-54"/>
                <w:sz w:val="19"/>
                <w:szCs w:val="19"/>
              </w:rPr>
              <w:t xml:space="preserve"> </w:t>
            </w:r>
            <w:r>
              <w:rPr>
                <w:spacing w:val="-11"/>
                <w:sz w:val="19"/>
                <w:szCs w:val="19"/>
              </w:rPr>
              <w:t>自选一个中国民族</w:t>
            </w:r>
            <w:r>
              <w:rPr>
                <w:sz w:val="19"/>
                <w:szCs w:val="19"/>
              </w:rPr>
              <w:t xml:space="preserve">  </w:t>
            </w:r>
            <w:r>
              <w:rPr>
                <w:spacing w:val="-14"/>
                <w:sz w:val="19"/>
                <w:szCs w:val="19"/>
              </w:rPr>
              <w:t>民间舞或古典舞作品。</w:t>
            </w:r>
            <w:r>
              <w:rPr>
                <w:spacing w:val="3"/>
                <w:sz w:val="19"/>
                <w:szCs w:val="19"/>
              </w:rPr>
              <w:t xml:space="preserve"> </w:t>
            </w:r>
            <w:r>
              <w:rPr>
                <w:spacing w:val="-4"/>
                <w:sz w:val="19"/>
                <w:szCs w:val="19"/>
              </w:rPr>
              <w:t>2.</w:t>
            </w:r>
            <w:r>
              <w:rPr>
                <w:spacing w:val="-37"/>
                <w:sz w:val="19"/>
                <w:szCs w:val="19"/>
              </w:rPr>
              <w:t xml:space="preserve"> </w:t>
            </w:r>
            <w:r>
              <w:rPr>
                <w:spacing w:val="-4"/>
                <w:sz w:val="19"/>
                <w:szCs w:val="19"/>
              </w:rPr>
              <w:t>自备服装、道具、</w:t>
            </w:r>
            <w:r>
              <w:rPr>
                <w:sz w:val="19"/>
                <w:szCs w:val="19"/>
              </w:rPr>
              <w:t xml:space="preserve"> </w:t>
            </w:r>
            <w:r>
              <w:rPr>
                <w:spacing w:val="-16"/>
                <w:sz w:val="19"/>
                <w:szCs w:val="19"/>
              </w:rPr>
              <w:t>伴</w:t>
            </w:r>
            <w:r>
              <w:rPr>
                <w:spacing w:val="-37"/>
                <w:sz w:val="19"/>
                <w:szCs w:val="19"/>
              </w:rPr>
              <w:t xml:space="preserve"> </w:t>
            </w:r>
            <w:r>
              <w:rPr>
                <w:spacing w:val="-16"/>
                <w:sz w:val="19"/>
                <w:szCs w:val="19"/>
              </w:rPr>
              <w:t>奏</w:t>
            </w:r>
            <w:r>
              <w:rPr>
                <w:spacing w:val="-37"/>
                <w:sz w:val="19"/>
                <w:szCs w:val="19"/>
              </w:rPr>
              <w:t xml:space="preserve"> </w:t>
            </w:r>
            <w:r>
              <w:rPr>
                <w:spacing w:val="-16"/>
                <w:sz w:val="19"/>
                <w:szCs w:val="19"/>
              </w:rPr>
              <w:t>音</w:t>
            </w:r>
            <w:r>
              <w:rPr>
                <w:spacing w:val="-34"/>
                <w:sz w:val="19"/>
                <w:szCs w:val="19"/>
              </w:rPr>
              <w:t xml:space="preserve"> </w:t>
            </w:r>
            <w:r>
              <w:rPr>
                <w:spacing w:val="-16"/>
                <w:sz w:val="19"/>
                <w:szCs w:val="19"/>
              </w:rPr>
              <w:t>乐 (</w:t>
            </w:r>
            <w:r>
              <w:rPr>
                <w:spacing w:val="-45"/>
                <w:sz w:val="19"/>
                <w:szCs w:val="19"/>
              </w:rPr>
              <w:t xml:space="preserve"> </w:t>
            </w:r>
            <w:r>
              <w:rPr>
                <w:spacing w:val="-16"/>
                <w:sz w:val="19"/>
                <w:szCs w:val="19"/>
              </w:rPr>
              <w:t>M</w:t>
            </w:r>
            <w:r>
              <w:rPr>
                <w:spacing w:val="-42"/>
                <w:sz w:val="19"/>
                <w:szCs w:val="19"/>
              </w:rPr>
              <w:t xml:space="preserve"> </w:t>
            </w:r>
            <w:r>
              <w:rPr>
                <w:spacing w:val="-16"/>
                <w:sz w:val="19"/>
                <w:szCs w:val="19"/>
              </w:rPr>
              <w:t>P</w:t>
            </w:r>
            <w:r>
              <w:rPr>
                <w:spacing w:val="-36"/>
                <w:sz w:val="19"/>
                <w:szCs w:val="19"/>
              </w:rPr>
              <w:t xml:space="preserve"> </w:t>
            </w:r>
            <w:r>
              <w:rPr>
                <w:spacing w:val="-16"/>
                <w:sz w:val="19"/>
                <w:szCs w:val="19"/>
              </w:rPr>
              <w:t>3</w:t>
            </w:r>
            <w:r>
              <w:rPr>
                <w:spacing w:val="-39"/>
                <w:sz w:val="19"/>
                <w:szCs w:val="19"/>
              </w:rPr>
              <w:t xml:space="preserve"> </w:t>
            </w:r>
            <w:r>
              <w:rPr>
                <w:spacing w:val="-16"/>
                <w:sz w:val="19"/>
                <w:szCs w:val="19"/>
              </w:rPr>
              <w:t>格</w:t>
            </w:r>
            <w:r>
              <w:rPr>
                <w:sz w:val="19"/>
                <w:szCs w:val="19"/>
              </w:rPr>
              <w:t xml:space="preserve">  </w:t>
            </w:r>
            <w:r>
              <w:rPr>
                <w:spacing w:val="-11"/>
                <w:sz w:val="19"/>
                <w:szCs w:val="19"/>
              </w:rPr>
              <w:t>式</w:t>
            </w:r>
            <w:r>
              <w:rPr>
                <w:spacing w:val="-21"/>
                <w:sz w:val="19"/>
                <w:szCs w:val="19"/>
              </w:rPr>
              <w:t xml:space="preserve"> </w:t>
            </w:r>
            <w:r>
              <w:rPr>
                <w:spacing w:val="-11"/>
                <w:sz w:val="19"/>
                <w:szCs w:val="19"/>
              </w:rPr>
              <w:t>)</w:t>
            </w:r>
            <w:r>
              <w:rPr>
                <w:spacing w:val="-29"/>
                <w:sz w:val="19"/>
                <w:szCs w:val="19"/>
              </w:rPr>
              <w:t xml:space="preserve"> </w:t>
            </w:r>
            <w:r>
              <w:rPr>
                <w:spacing w:val="-11"/>
                <w:sz w:val="19"/>
                <w:szCs w:val="19"/>
              </w:rPr>
              <w:t>。</w:t>
            </w:r>
          </w:p>
          <w:p w14:paraId="760E0B0F">
            <w:pPr>
              <w:pStyle w:val="6"/>
              <w:spacing w:before="1" w:line="219" w:lineRule="auto"/>
              <w:ind w:left="13"/>
              <w:rPr>
                <w:sz w:val="19"/>
                <w:szCs w:val="19"/>
              </w:rPr>
            </w:pPr>
            <w:r>
              <w:rPr>
                <w:sz w:val="19"/>
                <w:szCs w:val="19"/>
              </w:rPr>
              <w:t>3.时间5分钟以内。</w:t>
            </w:r>
          </w:p>
        </w:tc>
        <w:tc>
          <w:tcPr>
            <w:tcW w:w="2187" w:type="dxa"/>
            <w:tcBorders>
              <w:top w:val="single" w:color="000000" w:sz="2" w:space="0"/>
              <w:bottom w:val="single" w:color="000000" w:sz="2" w:space="0"/>
            </w:tcBorders>
            <w:vAlign w:val="top"/>
          </w:tcPr>
          <w:p w14:paraId="131BED67">
            <w:pPr>
              <w:pStyle w:val="6"/>
              <w:spacing w:before="54" w:line="218" w:lineRule="auto"/>
              <w:ind w:left="14"/>
              <w:jc w:val="both"/>
              <w:rPr>
                <w:sz w:val="19"/>
                <w:szCs w:val="19"/>
              </w:rPr>
            </w:pPr>
            <w:r>
              <w:rPr>
                <w:spacing w:val="-10"/>
                <w:sz w:val="19"/>
                <w:szCs w:val="19"/>
              </w:rPr>
              <w:t>舞蹈动作规范、风格鲜明、</w:t>
            </w:r>
            <w:r>
              <w:rPr>
                <w:spacing w:val="1"/>
                <w:sz w:val="19"/>
                <w:szCs w:val="19"/>
              </w:rPr>
              <w:t xml:space="preserve"> </w:t>
            </w:r>
            <w:r>
              <w:rPr>
                <w:spacing w:val="-8"/>
                <w:sz w:val="19"/>
                <w:szCs w:val="19"/>
              </w:rPr>
              <w:t>韵律准确，有较强的节奏</w:t>
            </w:r>
            <w:r>
              <w:rPr>
                <w:spacing w:val="3"/>
                <w:sz w:val="19"/>
                <w:szCs w:val="19"/>
              </w:rPr>
              <w:t xml:space="preserve">  </w:t>
            </w:r>
            <w:r>
              <w:rPr>
                <w:spacing w:val="-6"/>
                <w:sz w:val="19"/>
                <w:szCs w:val="19"/>
              </w:rPr>
              <w:t>感和一定的表现力，能够</w:t>
            </w:r>
            <w:r>
              <w:rPr>
                <w:spacing w:val="1"/>
                <w:sz w:val="19"/>
                <w:szCs w:val="19"/>
              </w:rPr>
              <w:t xml:space="preserve">  </w:t>
            </w:r>
            <w:r>
              <w:rPr>
                <w:spacing w:val="-5"/>
                <w:sz w:val="19"/>
                <w:szCs w:val="19"/>
              </w:rPr>
              <w:t>熟练的完成作品。</w:t>
            </w:r>
          </w:p>
        </w:tc>
        <w:tc>
          <w:tcPr>
            <w:tcW w:w="2702" w:type="dxa"/>
            <w:tcBorders>
              <w:top w:val="single" w:color="000000" w:sz="2" w:space="0"/>
              <w:bottom w:val="single" w:color="000000" w:sz="2" w:space="0"/>
            </w:tcBorders>
            <w:vAlign w:val="top"/>
          </w:tcPr>
          <w:p w14:paraId="14FC8C01">
            <w:pPr>
              <w:pStyle w:val="6"/>
              <w:spacing w:before="55" w:line="214" w:lineRule="auto"/>
              <w:ind w:left="17" w:right="4"/>
              <w:rPr>
                <w:sz w:val="19"/>
                <w:szCs w:val="19"/>
              </w:rPr>
            </w:pPr>
            <w:r>
              <w:rPr>
                <w:sz w:val="19"/>
                <w:szCs w:val="19"/>
              </w:rPr>
              <w:t>1.作品主题鲜明，内容健康，风</w:t>
            </w:r>
            <w:r>
              <w:rPr>
                <w:spacing w:val="8"/>
                <w:sz w:val="19"/>
                <w:szCs w:val="19"/>
              </w:rPr>
              <w:t xml:space="preserve"> </w:t>
            </w:r>
            <w:r>
              <w:rPr>
                <w:spacing w:val="3"/>
                <w:sz w:val="19"/>
                <w:szCs w:val="19"/>
              </w:rPr>
              <w:t>格特征突出。(10分)</w:t>
            </w:r>
          </w:p>
          <w:p w14:paraId="39B02F2C">
            <w:pPr>
              <w:pStyle w:val="6"/>
              <w:spacing w:before="1" w:line="213" w:lineRule="auto"/>
              <w:ind w:left="17" w:firstLine="9"/>
              <w:rPr>
                <w:sz w:val="19"/>
                <w:szCs w:val="19"/>
              </w:rPr>
            </w:pPr>
            <w:r>
              <w:rPr>
                <w:sz w:val="19"/>
                <w:szCs w:val="19"/>
              </w:rPr>
              <w:t>2.作品风格韵律把握准确，动作</w:t>
            </w:r>
            <w:r>
              <w:rPr>
                <w:spacing w:val="3"/>
                <w:sz w:val="19"/>
                <w:szCs w:val="19"/>
              </w:rPr>
              <w:t xml:space="preserve"> 规范、流畅。(20分)</w:t>
            </w:r>
          </w:p>
          <w:p w14:paraId="0EDC0236">
            <w:pPr>
              <w:pStyle w:val="6"/>
              <w:spacing w:line="212" w:lineRule="auto"/>
              <w:ind w:left="17"/>
              <w:rPr>
                <w:sz w:val="19"/>
                <w:szCs w:val="19"/>
              </w:rPr>
            </w:pPr>
            <w:r>
              <w:rPr>
                <w:spacing w:val="-11"/>
                <w:sz w:val="19"/>
                <w:szCs w:val="19"/>
              </w:rPr>
              <w:t>3.表现力强，舞蹈形象生动鲜明。</w:t>
            </w:r>
            <w:r>
              <w:rPr>
                <w:sz w:val="19"/>
                <w:szCs w:val="19"/>
              </w:rPr>
              <w:t xml:space="preserve"> </w:t>
            </w:r>
            <w:r>
              <w:rPr>
                <w:spacing w:val="4"/>
                <w:sz w:val="19"/>
                <w:szCs w:val="19"/>
              </w:rPr>
              <w:t>(10分)</w:t>
            </w:r>
          </w:p>
          <w:p w14:paraId="0D025E34">
            <w:pPr>
              <w:pStyle w:val="6"/>
              <w:spacing w:before="2" w:line="213" w:lineRule="auto"/>
              <w:ind w:left="17"/>
              <w:rPr>
                <w:sz w:val="19"/>
                <w:szCs w:val="19"/>
              </w:rPr>
            </w:pPr>
            <w:r>
              <w:rPr>
                <w:sz w:val="19"/>
                <w:szCs w:val="19"/>
              </w:rPr>
              <w:t>4.有较扎实的舞蹈基本功，舞台</w:t>
            </w:r>
            <w:r>
              <w:rPr>
                <w:spacing w:val="13"/>
                <w:sz w:val="19"/>
                <w:szCs w:val="19"/>
              </w:rPr>
              <w:t xml:space="preserve"> </w:t>
            </w:r>
            <w:r>
              <w:rPr>
                <w:spacing w:val="4"/>
                <w:sz w:val="19"/>
                <w:szCs w:val="19"/>
              </w:rPr>
              <w:t>效果好。(20分)</w:t>
            </w:r>
          </w:p>
        </w:tc>
      </w:tr>
      <w:tr w14:paraId="5093DC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54" w:hRule="atLeast"/>
        </w:trPr>
        <w:tc>
          <w:tcPr>
            <w:tcW w:w="474" w:type="dxa"/>
            <w:tcBorders>
              <w:top w:val="single" w:color="000000" w:sz="2" w:space="0"/>
              <w:bottom w:val="single" w:color="000000" w:sz="2" w:space="0"/>
            </w:tcBorders>
            <w:vAlign w:val="top"/>
          </w:tcPr>
          <w:p w14:paraId="4FAFA28B">
            <w:pPr>
              <w:pStyle w:val="6"/>
              <w:spacing w:before="67" w:line="211" w:lineRule="auto"/>
              <w:ind w:left="34" w:right="4"/>
              <w:jc w:val="both"/>
              <w:rPr>
                <w:sz w:val="19"/>
                <w:szCs w:val="19"/>
              </w:rPr>
            </w:pPr>
            <w:r>
              <w:rPr>
                <w:spacing w:val="-28"/>
                <w:sz w:val="19"/>
                <w:szCs w:val="19"/>
              </w:rPr>
              <w:t>项</w:t>
            </w:r>
            <w:r>
              <w:rPr>
                <w:spacing w:val="-4"/>
                <w:sz w:val="19"/>
                <w:szCs w:val="19"/>
              </w:rPr>
              <w:t xml:space="preserve"> </w:t>
            </w:r>
            <w:r>
              <w:rPr>
                <w:spacing w:val="-28"/>
                <w:sz w:val="19"/>
                <w:szCs w:val="19"/>
              </w:rPr>
              <w:t>目</w:t>
            </w:r>
            <w:r>
              <w:rPr>
                <w:sz w:val="19"/>
                <w:szCs w:val="19"/>
              </w:rPr>
              <w:t xml:space="preserve"> </w:t>
            </w:r>
            <w:r>
              <w:rPr>
                <w:spacing w:val="-10"/>
                <w:sz w:val="19"/>
                <w:szCs w:val="19"/>
              </w:rPr>
              <w:t>四</w:t>
            </w:r>
            <w:r>
              <w:rPr>
                <w:spacing w:val="-31"/>
                <w:sz w:val="19"/>
                <w:szCs w:val="19"/>
              </w:rPr>
              <w:t xml:space="preserve"> </w:t>
            </w:r>
            <w:r>
              <w:rPr>
                <w:spacing w:val="-10"/>
                <w:sz w:val="19"/>
                <w:szCs w:val="19"/>
              </w:rPr>
              <w:t>：</w:t>
            </w:r>
            <w:r>
              <w:rPr>
                <w:sz w:val="19"/>
                <w:szCs w:val="19"/>
              </w:rPr>
              <w:t xml:space="preserve"> </w:t>
            </w:r>
            <w:r>
              <w:rPr>
                <w:spacing w:val="7"/>
                <w:sz w:val="19"/>
                <w:szCs w:val="19"/>
              </w:rPr>
              <w:t>创编</w:t>
            </w:r>
            <w:r>
              <w:rPr>
                <w:sz w:val="19"/>
                <w:szCs w:val="19"/>
              </w:rPr>
              <w:t xml:space="preserve"> </w:t>
            </w:r>
            <w:r>
              <w:rPr>
                <w:spacing w:val="-5"/>
                <w:sz w:val="19"/>
                <w:szCs w:val="19"/>
              </w:rPr>
              <w:t>幼儿</w:t>
            </w:r>
            <w:r>
              <w:rPr>
                <w:sz w:val="19"/>
                <w:szCs w:val="19"/>
              </w:rPr>
              <w:t xml:space="preserve"> </w:t>
            </w:r>
            <w:r>
              <w:rPr>
                <w:spacing w:val="5"/>
                <w:sz w:val="19"/>
                <w:szCs w:val="19"/>
              </w:rPr>
              <w:t>舞蹈</w:t>
            </w:r>
          </w:p>
        </w:tc>
        <w:tc>
          <w:tcPr>
            <w:tcW w:w="769" w:type="dxa"/>
            <w:tcBorders>
              <w:top w:val="single" w:color="000000" w:sz="2" w:space="0"/>
              <w:bottom w:val="single" w:color="000000" w:sz="2" w:space="0"/>
            </w:tcBorders>
            <w:vAlign w:val="top"/>
          </w:tcPr>
          <w:p w14:paraId="2E14BD93">
            <w:pPr>
              <w:pStyle w:val="6"/>
              <w:spacing w:before="66" w:line="213" w:lineRule="auto"/>
              <w:ind w:left="40" w:firstLine="47"/>
              <w:rPr>
                <w:sz w:val="19"/>
                <w:szCs w:val="19"/>
              </w:rPr>
            </w:pPr>
            <w:r>
              <w:rPr>
                <w:spacing w:val="-12"/>
                <w:sz w:val="19"/>
                <w:szCs w:val="19"/>
              </w:rPr>
              <w:t>提供音</w:t>
            </w:r>
            <w:r>
              <w:rPr>
                <w:sz w:val="19"/>
                <w:szCs w:val="19"/>
              </w:rPr>
              <w:t xml:space="preserve">  </w:t>
            </w:r>
            <w:r>
              <w:rPr>
                <w:spacing w:val="-11"/>
                <w:sz w:val="19"/>
                <w:szCs w:val="19"/>
              </w:rPr>
              <w:t>响设备。</w:t>
            </w:r>
          </w:p>
        </w:tc>
        <w:tc>
          <w:tcPr>
            <w:tcW w:w="799" w:type="dxa"/>
            <w:tcBorders>
              <w:top w:val="single" w:color="000000" w:sz="2" w:space="0"/>
              <w:bottom w:val="single" w:color="000000" w:sz="2" w:space="0"/>
            </w:tcBorders>
            <w:vAlign w:val="top"/>
          </w:tcPr>
          <w:p w14:paraId="306225C8">
            <w:pPr>
              <w:pStyle w:val="6"/>
              <w:spacing w:before="48" w:line="217" w:lineRule="auto"/>
              <w:ind w:left="12"/>
              <w:jc w:val="both"/>
              <w:rPr>
                <w:sz w:val="19"/>
                <w:szCs w:val="19"/>
              </w:rPr>
            </w:pPr>
            <w:r>
              <w:rPr>
                <w:spacing w:val="-9"/>
                <w:sz w:val="19"/>
                <w:szCs w:val="19"/>
              </w:rPr>
              <w:t>根据播放</w:t>
            </w:r>
            <w:r>
              <w:rPr>
                <w:spacing w:val="1"/>
                <w:sz w:val="19"/>
                <w:szCs w:val="19"/>
              </w:rPr>
              <w:t xml:space="preserve"> </w:t>
            </w:r>
            <w:r>
              <w:rPr>
                <w:spacing w:val="-21"/>
                <w:w w:val="95"/>
                <w:sz w:val="18"/>
                <w:szCs w:val="18"/>
              </w:rPr>
              <w:t>音乐即兴创</w:t>
            </w:r>
            <w:r>
              <w:rPr>
                <w:spacing w:val="3"/>
                <w:sz w:val="18"/>
                <w:szCs w:val="18"/>
              </w:rPr>
              <w:t xml:space="preserve"> </w:t>
            </w:r>
            <w:r>
              <w:rPr>
                <w:spacing w:val="-4"/>
                <w:sz w:val="19"/>
                <w:szCs w:val="19"/>
              </w:rPr>
              <w:t>编幼儿舞</w:t>
            </w:r>
            <w:r>
              <w:rPr>
                <w:sz w:val="19"/>
                <w:szCs w:val="19"/>
              </w:rPr>
              <w:t xml:space="preserve"> </w:t>
            </w:r>
            <w:r>
              <w:rPr>
                <w:spacing w:val="4"/>
                <w:sz w:val="19"/>
                <w:szCs w:val="19"/>
              </w:rPr>
              <w:t>蹈一段。</w:t>
            </w:r>
            <w:r>
              <w:rPr>
                <w:sz w:val="19"/>
                <w:szCs w:val="19"/>
              </w:rPr>
              <w:t xml:space="preserve"> </w:t>
            </w:r>
            <w:r>
              <w:rPr>
                <w:spacing w:val="21"/>
                <w:sz w:val="19"/>
                <w:szCs w:val="19"/>
              </w:rPr>
              <w:t>(60分)</w:t>
            </w:r>
          </w:p>
        </w:tc>
        <w:tc>
          <w:tcPr>
            <w:tcW w:w="1788" w:type="dxa"/>
            <w:tcBorders>
              <w:top w:val="single" w:color="000000" w:sz="2" w:space="0"/>
              <w:bottom w:val="single" w:color="000000" w:sz="2" w:space="0"/>
            </w:tcBorders>
            <w:vAlign w:val="top"/>
          </w:tcPr>
          <w:p w14:paraId="6FE40A28">
            <w:pPr>
              <w:pStyle w:val="6"/>
              <w:spacing w:before="67" w:line="209" w:lineRule="auto"/>
              <w:ind w:left="13" w:right="46"/>
              <w:jc w:val="both"/>
              <w:rPr>
                <w:sz w:val="19"/>
                <w:szCs w:val="19"/>
              </w:rPr>
            </w:pPr>
            <w:r>
              <w:rPr>
                <w:sz w:val="19"/>
                <w:szCs w:val="19"/>
              </w:rPr>
              <w:t>1.现场抽签，根据播</w:t>
            </w:r>
            <w:r>
              <w:rPr>
                <w:spacing w:val="7"/>
                <w:sz w:val="19"/>
                <w:szCs w:val="19"/>
              </w:rPr>
              <w:t xml:space="preserve"> </w:t>
            </w:r>
            <w:r>
              <w:rPr>
                <w:sz w:val="19"/>
                <w:szCs w:val="19"/>
              </w:rPr>
              <w:t>放的音乐即兴创编一</w:t>
            </w:r>
            <w:r>
              <w:rPr>
                <w:spacing w:val="1"/>
                <w:sz w:val="19"/>
                <w:szCs w:val="19"/>
              </w:rPr>
              <w:t xml:space="preserve"> </w:t>
            </w:r>
            <w:r>
              <w:rPr>
                <w:spacing w:val="-1"/>
                <w:sz w:val="19"/>
                <w:szCs w:val="19"/>
              </w:rPr>
              <w:t>段幼儿舞蹈。</w:t>
            </w:r>
          </w:p>
          <w:p w14:paraId="427EFA4A">
            <w:pPr>
              <w:pStyle w:val="6"/>
              <w:spacing w:before="5" w:line="208" w:lineRule="auto"/>
              <w:ind w:left="22" w:right="26"/>
              <w:rPr>
                <w:sz w:val="19"/>
                <w:szCs w:val="19"/>
              </w:rPr>
            </w:pPr>
            <w:r>
              <w:rPr>
                <w:spacing w:val="1"/>
                <w:sz w:val="19"/>
                <w:szCs w:val="19"/>
              </w:rPr>
              <w:t>2.听音乐及准备时间</w:t>
            </w:r>
            <w:r>
              <w:rPr>
                <w:spacing w:val="7"/>
                <w:sz w:val="19"/>
                <w:szCs w:val="19"/>
              </w:rPr>
              <w:t xml:space="preserve"> </w:t>
            </w:r>
            <w:r>
              <w:rPr>
                <w:sz w:val="19"/>
                <w:szCs w:val="19"/>
              </w:rPr>
              <w:t>5分钟。</w:t>
            </w:r>
          </w:p>
          <w:p w14:paraId="1EF40447">
            <w:pPr>
              <w:pStyle w:val="6"/>
              <w:spacing w:line="227" w:lineRule="auto"/>
              <w:ind w:left="22" w:right="125"/>
              <w:rPr>
                <w:sz w:val="19"/>
                <w:szCs w:val="19"/>
              </w:rPr>
            </w:pPr>
            <w:r>
              <w:rPr>
                <w:spacing w:val="1"/>
                <w:sz w:val="19"/>
                <w:szCs w:val="19"/>
              </w:rPr>
              <w:t>3.创编舞蹈时间在1</w:t>
            </w:r>
            <w:r>
              <w:rPr>
                <w:spacing w:val="3"/>
                <w:sz w:val="19"/>
                <w:szCs w:val="19"/>
              </w:rPr>
              <w:t xml:space="preserve"> </w:t>
            </w:r>
            <w:r>
              <w:rPr>
                <w:spacing w:val="-1"/>
                <w:sz w:val="19"/>
                <w:szCs w:val="19"/>
              </w:rPr>
              <w:t>分钟左右。</w:t>
            </w:r>
          </w:p>
        </w:tc>
        <w:tc>
          <w:tcPr>
            <w:tcW w:w="2187" w:type="dxa"/>
            <w:tcBorders>
              <w:top w:val="single" w:color="000000" w:sz="2" w:space="0"/>
              <w:bottom w:val="single" w:color="000000" w:sz="2" w:space="0"/>
            </w:tcBorders>
            <w:vAlign w:val="top"/>
          </w:tcPr>
          <w:p w14:paraId="16279DC9">
            <w:pPr>
              <w:pStyle w:val="6"/>
              <w:spacing w:before="65" w:line="213" w:lineRule="auto"/>
              <w:ind w:left="34" w:right="39" w:hanging="20"/>
              <w:rPr>
                <w:sz w:val="19"/>
                <w:szCs w:val="19"/>
              </w:rPr>
            </w:pPr>
            <w:r>
              <w:rPr>
                <w:spacing w:val="-1"/>
                <w:sz w:val="19"/>
                <w:szCs w:val="19"/>
              </w:rPr>
              <w:t>即兴创编舞蹈编排合理，</w:t>
            </w:r>
            <w:r>
              <w:rPr>
                <w:spacing w:val="4"/>
                <w:sz w:val="19"/>
                <w:szCs w:val="19"/>
              </w:rPr>
              <w:t xml:space="preserve"> </w:t>
            </w:r>
            <w:r>
              <w:rPr>
                <w:spacing w:val="1"/>
                <w:sz w:val="19"/>
                <w:szCs w:val="19"/>
              </w:rPr>
              <w:t>音乐形象捕捉准确，有幼</w:t>
            </w:r>
            <w:r>
              <w:rPr>
                <w:sz w:val="19"/>
                <w:szCs w:val="19"/>
              </w:rPr>
              <w:t xml:space="preserve"> </w:t>
            </w:r>
            <w:r>
              <w:rPr>
                <w:spacing w:val="1"/>
                <w:sz w:val="19"/>
                <w:szCs w:val="19"/>
              </w:rPr>
              <w:t>儿情趣，符合幼儿生理心</w:t>
            </w:r>
            <w:r>
              <w:rPr>
                <w:sz w:val="19"/>
                <w:szCs w:val="19"/>
              </w:rPr>
              <w:t xml:space="preserve"> </w:t>
            </w:r>
            <w:r>
              <w:rPr>
                <w:spacing w:val="-1"/>
                <w:sz w:val="19"/>
                <w:szCs w:val="19"/>
              </w:rPr>
              <w:t>理特点，有一定表现力。</w:t>
            </w:r>
          </w:p>
        </w:tc>
        <w:tc>
          <w:tcPr>
            <w:tcW w:w="2702" w:type="dxa"/>
            <w:tcBorders>
              <w:top w:val="single" w:color="000000" w:sz="2" w:space="0"/>
              <w:bottom w:val="single" w:color="000000" w:sz="2" w:space="0"/>
            </w:tcBorders>
            <w:vAlign w:val="top"/>
          </w:tcPr>
          <w:p w14:paraId="496521CF">
            <w:pPr>
              <w:pStyle w:val="6"/>
              <w:spacing w:before="66" w:line="212" w:lineRule="auto"/>
              <w:ind w:left="17" w:firstLine="9"/>
              <w:rPr>
                <w:sz w:val="19"/>
                <w:szCs w:val="19"/>
              </w:rPr>
            </w:pPr>
            <w:r>
              <w:rPr>
                <w:sz w:val="19"/>
                <w:szCs w:val="19"/>
              </w:rPr>
              <w:t>1.有较扎实的舞蹈基本功，舞台</w:t>
            </w:r>
            <w:r>
              <w:rPr>
                <w:spacing w:val="3"/>
                <w:sz w:val="19"/>
                <w:szCs w:val="19"/>
              </w:rPr>
              <w:t xml:space="preserve"> 效果好。(20分)</w:t>
            </w:r>
          </w:p>
          <w:p w14:paraId="46547274">
            <w:pPr>
              <w:pStyle w:val="6"/>
              <w:spacing w:before="4" w:line="209" w:lineRule="auto"/>
              <w:ind w:left="17" w:firstLine="19"/>
              <w:rPr>
                <w:sz w:val="19"/>
                <w:szCs w:val="19"/>
              </w:rPr>
            </w:pPr>
            <w:r>
              <w:rPr>
                <w:spacing w:val="-1"/>
                <w:sz w:val="19"/>
                <w:szCs w:val="19"/>
              </w:rPr>
              <w:t>2.舞蹈形象生动鲜明，有较强的</w:t>
            </w:r>
            <w:r>
              <w:rPr>
                <w:spacing w:val="8"/>
                <w:sz w:val="19"/>
                <w:szCs w:val="19"/>
              </w:rPr>
              <w:t xml:space="preserve"> </w:t>
            </w:r>
            <w:r>
              <w:rPr>
                <w:spacing w:val="1"/>
                <w:sz w:val="19"/>
                <w:szCs w:val="19"/>
              </w:rPr>
              <w:t>节奏感及表现力。(10分)</w:t>
            </w:r>
          </w:p>
          <w:p w14:paraId="156F8D92">
            <w:pPr>
              <w:pStyle w:val="6"/>
              <w:spacing w:before="2" w:line="212" w:lineRule="auto"/>
              <w:ind w:left="17" w:right="19"/>
              <w:jc w:val="both"/>
              <w:rPr>
                <w:sz w:val="19"/>
                <w:szCs w:val="19"/>
              </w:rPr>
            </w:pPr>
            <w:r>
              <w:rPr>
                <w:spacing w:val="-1"/>
                <w:sz w:val="19"/>
                <w:szCs w:val="19"/>
              </w:rPr>
              <w:t>3.即兴创编的幼儿舞蹈音乐形象</w:t>
            </w:r>
            <w:r>
              <w:rPr>
                <w:spacing w:val="2"/>
                <w:sz w:val="19"/>
                <w:szCs w:val="19"/>
              </w:rPr>
              <w:t xml:space="preserve"> </w:t>
            </w:r>
            <w:r>
              <w:rPr>
                <w:spacing w:val="-1"/>
                <w:sz w:val="19"/>
                <w:szCs w:val="19"/>
              </w:rPr>
              <w:t>捕捉准确，动作具有童真童趣。</w:t>
            </w:r>
            <w:r>
              <w:rPr>
                <w:spacing w:val="7"/>
                <w:sz w:val="19"/>
                <w:szCs w:val="19"/>
              </w:rPr>
              <w:t xml:space="preserve"> </w:t>
            </w:r>
            <w:r>
              <w:rPr>
                <w:spacing w:val="8"/>
                <w:sz w:val="19"/>
                <w:szCs w:val="19"/>
              </w:rPr>
              <w:t>(30分)</w:t>
            </w:r>
          </w:p>
        </w:tc>
      </w:tr>
      <w:tr w14:paraId="0AA2FC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69" w:hRule="atLeast"/>
        </w:trPr>
        <w:tc>
          <w:tcPr>
            <w:tcW w:w="474" w:type="dxa"/>
            <w:tcBorders>
              <w:top w:val="single" w:color="000000" w:sz="2" w:space="0"/>
              <w:bottom w:val="single" w:color="000000" w:sz="2" w:space="0"/>
            </w:tcBorders>
            <w:vAlign w:val="top"/>
          </w:tcPr>
          <w:p w14:paraId="665FC6A7">
            <w:pPr>
              <w:pStyle w:val="6"/>
              <w:spacing w:before="77" w:line="204" w:lineRule="auto"/>
              <w:jc w:val="right"/>
              <w:rPr>
                <w:sz w:val="19"/>
                <w:szCs w:val="19"/>
              </w:rPr>
            </w:pPr>
            <w:r>
              <w:rPr>
                <w:spacing w:val="-28"/>
                <w:sz w:val="19"/>
                <w:szCs w:val="19"/>
              </w:rPr>
              <w:t>项</w:t>
            </w:r>
            <w:r>
              <w:rPr>
                <w:spacing w:val="-4"/>
                <w:sz w:val="19"/>
                <w:szCs w:val="19"/>
              </w:rPr>
              <w:t xml:space="preserve"> </w:t>
            </w:r>
            <w:r>
              <w:rPr>
                <w:spacing w:val="-28"/>
                <w:sz w:val="19"/>
                <w:szCs w:val="19"/>
              </w:rPr>
              <w:t>目</w:t>
            </w:r>
          </w:p>
          <w:p w14:paraId="58A3B1A5">
            <w:pPr>
              <w:pStyle w:val="6"/>
              <w:spacing w:line="194" w:lineRule="auto"/>
              <w:jc w:val="right"/>
              <w:rPr>
                <w:sz w:val="19"/>
                <w:szCs w:val="19"/>
              </w:rPr>
            </w:pPr>
            <w:r>
              <w:rPr>
                <w:spacing w:val="-28"/>
                <w:sz w:val="19"/>
                <w:szCs w:val="19"/>
              </w:rPr>
              <w:t>五</w:t>
            </w:r>
            <w:r>
              <w:rPr>
                <w:spacing w:val="-45"/>
                <w:sz w:val="19"/>
                <w:szCs w:val="19"/>
              </w:rPr>
              <w:t xml:space="preserve"> </w:t>
            </w:r>
            <w:r>
              <w:rPr>
                <w:spacing w:val="-28"/>
                <w:sz w:val="19"/>
                <w:szCs w:val="19"/>
              </w:rPr>
              <w:t>：</w:t>
            </w:r>
          </w:p>
          <w:p w14:paraId="08BE2FD8">
            <w:pPr>
              <w:pStyle w:val="6"/>
              <w:spacing w:line="212" w:lineRule="auto"/>
              <w:ind w:left="34"/>
              <w:rPr>
                <w:sz w:val="19"/>
                <w:szCs w:val="19"/>
              </w:rPr>
            </w:pPr>
            <w:r>
              <w:rPr>
                <w:spacing w:val="-2"/>
                <w:sz w:val="19"/>
                <w:szCs w:val="19"/>
              </w:rPr>
              <w:t>命题</w:t>
            </w:r>
          </w:p>
          <w:p w14:paraId="64CC4C32">
            <w:pPr>
              <w:pStyle w:val="6"/>
              <w:spacing w:line="219" w:lineRule="auto"/>
              <w:ind w:left="34"/>
              <w:rPr>
                <w:sz w:val="19"/>
                <w:szCs w:val="19"/>
              </w:rPr>
            </w:pPr>
            <w:r>
              <w:rPr>
                <w:spacing w:val="4"/>
                <w:sz w:val="19"/>
                <w:szCs w:val="19"/>
              </w:rPr>
              <w:t>儿童</w:t>
            </w:r>
          </w:p>
          <w:p w14:paraId="14CBF349">
            <w:pPr>
              <w:pStyle w:val="6"/>
              <w:spacing w:before="1" w:line="226" w:lineRule="auto"/>
              <w:ind w:left="134"/>
              <w:rPr>
                <w:sz w:val="19"/>
                <w:szCs w:val="19"/>
              </w:rPr>
            </w:pPr>
            <w:r>
              <w:rPr>
                <w:sz w:val="19"/>
                <w:szCs w:val="19"/>
              </w:rPr>
              <w:t>画</w:t>
            </w:r>
          </w:p>
        </w:tc>
        <w:tc>
          <w:tcPr>
            <w:tcW w:w="769" w:type="dxa"/>
            <w:tcBorders>
              <w:top w:val="single" w:color="000000" w:sz="2" w:space="0"/>
              <w:bottom w:val="single" w:color="000000" w:sz="2" w:space="0"/>
            </w:tcBorders>
            <w:vAlign w:val="top"/>
          </w:tcPr>
          <w:p w14:paraId="4B3F6C9E">
            <w:pPr>
              <w:pStyle w:val="6"/>
              <w:spacing w:before="56" w:line="224" w:lineRule="auto"/>
              <w:ind w:left="180" w:right="206"/>
              <w:rPr>
                <w:sz w:val="19"/>
                <w:szCs w:val="19"/>
              </w:rPr>
            </w:pPr>
            <w:r>
              <w:rPr>
                <w:spacing w:val="-5"/>
                <w:sz w:val="19"/>
                <w:szCs w:val="19"/>
              </w:rPr>
              <w:t>提供</w:t>
            </w:r>
            <w:r>
              <w:rPr>
                <w:sz w:val="19"/>
                <w:szCs w:val="19"/>
              </w:rPr>
              <w:t xml:space="preserve"> </w:t>
            </w:r>
            <w:r>
              <w:rPr>
                <w:spacing w:val="-5"/>
                <w:sz w:val="19"/>
                <w:szCs w:val="19"/>
              </w:rPr>
              <w:t>纸张</w:t>
            </w:r>
          </w:p>
        </w:tc>
        <w:tc>
          <w:tcPr>
            <w:tcW w:w="799" w:type="dxa"/>
            <w:tcBorders>
              <w:top w:val="single" w:color="000000" w:sz="2" w:space="0"/>
              <w:bottom w:val="single" w:color="000000" w:sz="2" w:space="0"/>
            </w:tcBorders>
            <w:vAlign w:val="top"/>
          </w:tcPr>
          <w:p w14:paraId="5032FF78">
            <w:pPr>
              <w:pStyle w:val="6"/>
              <w:spacing w:before="68" w:line="194" w:lineRule="auto"/>
              <w:ind w:left="51"/>
              <w:rPr>
                <w:sz w:val="19"/>
                <w:szCs w:val="19"/>
              </w:rPr>
            </w:pPr>
            <w:r>
              <w:rPr>
                <w:sz w:val="19"/>
                <w:szCs w:val="19"/>
              </w:rPr>
              <w:t>命题</w:t>
            </w:r>
            <w:r>
              <w:rPr>
                <w:spacing w:val="25"/>
                <w:sz w:val="19"/>
                <w:szCs w:val="19"/>
              </w:rPr>
              <w:t xml:space="preserve"> </w:t>
            </w:r>
            <w:r>
              <w:rPr>
                <w:sz w:val="19"/>
                <w:szCs w:val="19"/>
              </w:rPr>
              <w:t>创</w:t>
            </w:r>
          </w:p>
          <w:p w14:paraId="2447C4BF">
            <w:pPr>
              <w:pStyle w:val="6"/>
              <w:spacing w:line="220" w:lineRule="auto"/>
              <w:ind w:left="12"/>
              <w:rPr>
                <w:sz w:val="19"/>
                <w:szCs w:val="19"/>
              </w:rPr>
            </w:pPr>
            <w:r>
              <w:rPr>
                <w:sz w:val="19"/>
                <w:szCs w:val="19"/>
              </w:rPr>
              <w:t>作，在一</w:t>
            </w:r>
          </w:p>
          <w:p w14:paraId="50FEB08F">
            <w:pPr>
              <w:pStyle w:val="6"/>
              <w:spacing w:before="13" w:line="193" w:lineRule="auto"/>
              <w:ind w:left="51"/>
              <w:rPr>
                <w:sz w:val="19"/>
                <w:szCs w:val="19"/>
              </w:rPr>
            </w:pPr>
            <w:r>
              <w:rPr>
                <w:spacing w:val="3"/>
                <w:sz w:val="19"/>
                <w:szCs w:val="19"/>
              </w:rPr>
              <w:t>张8开或</w:t>
            </w:r>
          </w:p>
          <w:p w14:paraId="26821DC8">
            <w:pPr>
              <w:pStyle w:val="6"/>
              <w:spacing w:line="219" w:lineRule="auto"/>
              <w:ind w:left="51"/>
              <w:rPr>
                <w:sz w:val="19"/>
                <w:szCs w:val="19"/>
              </w:rPr>
            </w:pPr>
            <w:r>
              <w:rPr>
                <w:spacing w:val="3"/>
                <w:sz w:val="19"/>
                <w:szCs w:val="19"/>
              </w:rPr>
              <w:t>4开素描</w:t>
            </w:r>
          </w:p>
          <w:p w14:paraId="70EBB2EC">
            <w:pPr>
              <w:pStyle w:val="6"/>
              <w:spacing w:before="15" w:line="192" w:lineRule="auto"/>
              <w:ind w:left="12"/>
              <w:rPr>
                <w:sz w:val="19"/>
                <w:szCs w:val="19"/>
              </w:rPr>
            </w:pPr>
            <w:r>
              <w:rPr>
                <w:spacing w:val="3"/>
                <w:sz w:val="19"/>
                <w:szCs w:val="19"/>
              </w:rPr>
              <w:t>纸上创作</w:t>
            </w:r>
          </w:p>
          <w:p w14:paraId="6AD9005E">
            <w:pPr>
              <w:pStyle w:val="6"/>
              <w:spacing w:line="215" w:lineRule="auto"/>
              <w:ind w:left="12"/>
              <w:rPr>
                <w:sz w:val="19"/>
                <w:szCs w:val="19"/>
              </w:rPr>
            </w:pPr>
            <w:r>
              <w:rPr>
                <w:spacing w:val="-3"/>
                <w:sz w:val="19"/>
                <w:szCs w:val="19"/>
              </w:rPr>
              <w:t>一幅彩色</w:t>
            </w:r>
          </w:p>
          <w:p w14:paraId="42EA2F02">
            <w:pPr>
              <w:pStyle w:val="6"/>
              <w:spacing w:before="1" w:line="216" w:lineRule="auto"/>
              <w:ind w:left="12"/>
              <w:rPr>
                <w:sz w:val="19"/>
                <w:szCs w:val="19"/>
              </w:rPr>
            </w:pPr>
            <w:r>
              <w:rPr>
                <w:spacing w:val="-3"/>
                <w:sz w:val="19"/>
                <w:szCs w:val="19"/>
              </w:rPr>
              <w:t>儿童装饰</w:t>
            </w:r>
          </w:p>
          <w:p w14:paraId="65B67DC0">
            <w:pPr>
              <w:pStyle w:val="6"/>
              <w:spacing w:line="211" w:lineRule="auto"/>
              <w:ind w:left="51"/>
              <w:rPr>
                <w:sz w:val="19"/>
                <w:szCs w:val="19"/>
              </w:rPr>
            </w:pPr>
            <w:r>
              <w:rPr>
                <w:spacing w:val="2"/>
                <w:sz w:val="19"/>
                <w:szCs w:val="19"/>
              </w:rPr>
              <w:t>画。(70</w:t>
            </w:r>
          </w:p>
          <w:p w14:paraId="2FF9877B">
            <w:pPr>
              <w:pStyle w:val="6"/>
              <w:spacing w:line="220" w:lineRule="auto"/>
              <w:ind w:left="241"/>
              <w:rPr>
                <w:sz w:val="19"/>
                <w:szCs w:val="19"/>
              </w:rPr>
            </w:pPr>
            <w:r>
              <w:rPr>
                <w:spacing w:val="-5"/>
                <w:sz w:val="19"/>
                <w:szCs w:val="19"/>
              </w:rPr>
              <w:t>分</w:t>
            </w:r>
            <w:r>
              <w:rPr>
                <w:spacing w:val="-31"/>
                <w:sz w:val="19"/>
                <w:szCs w:val="19"/>
              </w:rPr>
              <w:t xml:space="preserve"> </w:t>
            </w:r>
            <w:r>
              <w:rPr>
                <w:spacing w:val="-5"/>
                <w:sz w:val="19"/>
                <w:szCs w:val="19"/>
              </w:rPr>
              <w:t>)</w:t>
            </w:r>
          </w:p>
        </w:tc>
        <w:tc>
          <w:tcPr>
            <w:tcW w:w="1788" w:type="dxa"/>
            <w:tcBorders>
              <w:top w:val="single" w:color="000000" w:sz="2" w:space="0"/>
              <w:bottom w:val="single" w:color="000000" w:sz="2" w:space="0"/>
            </w:tcBorders>
            <w:vAlign w:val="top"/>
          </w:tcPr>
          <w:p w14:paraId="0DB4A03C">
            <w:pPr>
              <w:pStyle w:val="6"/>
              <w:spacing w:before="56" w:line="212" w:lineRule="auto"/>
              <w:ind w:left="13"/>
              <w:rPr>
                <w:sz w:val="19"/>
                <w:szCs w:val="19"/>
              </w:rPr>
            </w:pPr>
            <w:r>
              <w:rPr>
                <w:spacing w:val="-13"/>
                <w:sz w:val="19"/>
                <w:szCs w:val="19"/>
              </w:rPr>
              <w:t>1.题目现场抽签确定。</w:t>
            </w:r>
            <w:r>
              <w:rPr>
                <w:spacing w:val="6"/>
                <w:sz w:val="19"/>
                <w:szCs w:val="19"/>
              </w:rPr>
              <w:t xml:space="preserve"> </w:t>
            </w:r>
            <w:r>
              <w:rPr>
                <w:spacing w:val="-8"/>
                <w:sz w:val="19"/>
                <w:szCs w:val="19"/>
              </w:rPr>
              <w:t>2.考生自备画板、水</w:t>
            </w:r>
            <w:r>
              <w:rPr>
                <w:sz w:val="19"/>
                <w:szCs w:val="19"/>
              </w:rPr>
              <w:t xml:space="preserve">  </w:t>
            </w:r>
            <w:r>
              <w:rPr>
                <w:spacing w:val="-10"/>
                <w:sz w:val="19"/>
                <w:szCs w:val="19"/>
              </w:rPr>
              <w:t>彩笔、马克笔、彩色</w:t>
            </w:r>
            <w:r>
              <w:rPr>
                <w:sz w:val="19"/>
                <w:szCs w:val="19"/>
              </w:rPr>
              <w:t xml:space="preserve">  </w:t>
            </w:r>
            <w:r>
              <w:rPr>
                <w:spacing w:val="-7"/>
                <w:sz w:val="19"/>
                <w:szCs w:val="19"/>
              </w:rPr>
              <w:t>铅笔、油画棒、水粉</w:t>
            </w:r>
            <w:r>
              <w:rPr>
                <w:spacing w:val="2"/>
                <w:sz w:val="19"/>
                <w:szCs w:val="19"/>
              </w:rPr>
              <w:t xml:space="preserve">  </w:t>
            </w:r>
            <w:r>
              <w:rPr>
                <w:spacing w:val="-7"/>
                <w:sz w:val="19"/>
                <w:szCs w:val="19"/>
              </w:rPr>
              <w:t>等绘画工具作画。</w:t>
            </w:r>
          </w:p>
          <w:p w14:paraId="6FF46B45">
            <w:pPr>
              <w:pStyle w:val="6"/>
              <w:spacing w:before="1" w:line="213" w:lineRule="auto"/>
              <w:ind w:left="32" w:right="236" w:hanging="19"/>
              <w:rPr>
                <w:sz w:val="19"/>
                <w:szCs w:val="19"/>
              </w:rPr>
            </w:pPr>
            <w:r>
              <w:rPr>
                <w:sz w:val="19"/>
                <w:szCs w:val="19"/>
              </w:rPr>
              <w:t>3.考试时间：90或</w:t>
            </w:r>
            <w:r>
              <w:rPr>
                <w:spacing w:val="7"/>
                <w:sz w:val="19"/>
                <w:szCs w:val="19"/>
              </w:rPr>
              <w:t xml:space="preserve"> </w:t>
            </w:r>
            <w:r>
              <w:rPr>
                <w:sz w:val="19"/>
                <w:szCs w:val="19"/>
              </w:rPr>
              <w:t>120分钟。</w:t>
            </w:r>
          </w:p>
          <w:p w14:paraId="1485657B">
            <w:pPr>
              <w:pStyle w:val="6"/>
              <w:spacing w:before="1" w:line="217" w:lineRule="auto"/>
              <w:ind w:left="13" w:right="42" w:firstLine="9"/>
              <w:jc w:val="both"/>
              <w:rPr>
                <w:sz w:val="19"/>
                <w:szCs w:val="19"/>
              </w:rPr>
            </w:pPr>
            <w:r>
              <w:rPr>
                <w:spacing w:val="-1"/>
                <w:sz w:val="19"/>
                <w:szCs w:val="19"/>
              </w:rPr>
              <w:t>4.根据考场条件，主</w:t>
            </w:r>
            <w:r>
              <w:rPr>
                <w:spacing w:val="2"/>
                <w:sz w:val="19"/>
                <w:szCs w:val="19"/>
              </w:rPr>
              <w:t xml:space="preserve"> </w:t>
            </w:r>
            <w:r>
              <w:rPr>
                <w:spacing w:val="1"/>
                <w:sz w:val="19"/>
                <w:szCs w:val="19"/>
              </w:rPr>
              <w:t>考方可安排多人同时</w:t>
            </w:r>
            <w:r>
              <w:rPr>
                <w:spacing w:val="2"/>
                <w:sz w:val="19"/>
                <w:szCs w:val="19"/>
              </w:rPr>
              <w:t xml:space="preserve"> </w:t>
            </w:r>
            <w:r>
              <w:rPr>
                <w:spacing w:val="-2"/>
                <w:sz w:val="19"/>
                <w:szCs w:val="19"/>
              </w:rPr>
              <w:t>进行。</w:t>
            </w:r>
          </w:p>
        </w:tc>
        <w:tc>
          <w:tcPr>
            <w:tcW w:w="2187" w:type="dxa"/>
            <w:tcBorders>
              <w:top w:val="single" w:color="000000" w:sz="2" w:space="0"/>
              <w:bottom w:val="single" w:color="000000" w:sz="2" w:space="0"/>
            </w:tcBorders>
            <w:vAlign w:val="top"/>
          </w:tcPr>
          <w:p w14:paraId="2A1D3D3A">
            <w:pPr>
              <w:pStyle w:val="6"/>
              <w:spacing w:before="56" w:line="214" w:lineRule="auto"/>
              <w:ind w:left="14" w:right="36" w:firstLine="20"/>
              <w:rPr>
                <w:sz w:val="19"/>
                <w:szCs w:val="19"/>
              </w:rPr>
            </w:pPr>
            <w:r>
              <w:rPr>
                <w:spacing w:val="1"/>
                <w:sz w:val="19"/>
                <w:szCs w:val="19"/>
              </w:rPr>
              <w:t>1.利用考场提供的材料和</w:t>
            </w:r>
            <w:r>
              <w:rPr>
                <w:spacing w:val="2"/>
                <w:sz w:val="19"/>
                <w:szCs w:val="19"/>
              </w:rPr>
              <w:t xml:space="preserve"> </w:t>
            </w:r>
            <w:r>
              <w:rPr>
                <w:spacing w:val="-1"/>
                <w:sz w:val="19"/>
                <w:szCs w:val="19"/>
              </w:rPr>
              <w:t>允许带的工具创作。</w:t>
            </w:r>
          </w:p>
          <w:p w14:paraId="2AC9BEB4">
            <w:pPr>
              <w:pStyle w:val="6"/>
              <w:spacing w:before="3" w:line="214" w:lineRule="auto"/>
              <w:ind w:left="14" w:right="29" w:firstLine="10"/>
              <w:jc w:val="both"/>
              <w:rPr>
                <w:sz w:val="19"/>
                <w:szCs w:val="19"/>
              </w:rPr>
            </w:pPr>
            <w:r>
              <w:rPr>
                <w:spacing w:val="-1"/>
                <w:sz w:val="19"/>
                <w:szCs w:val="19"/>
              </w:rPr>
              <w:t>2.作品造型完整，主题鲜</w:t>
            </w:r>
            <w:r>
              <w:rPr>
                <w:spacing w:val="1"/>
                <w:sz w:val="19"/>
                <w:szCs w:val="19"/>
              </w:rPr>
              <w:t xml:space="preserve"> </w:t>
            </w:r>
            <w:r>
              <w:rPr>
                <w:spacing w:val="3"/>
                <w:sz w:val="19"/>
                <w:szCs w:val="19"/>
              </w:rPr>
              <w:t>明，趣味性强，具有一定</w:t>
            </w:r>
            <w:r>
              <w:rPr>
                <w:spacing w:val="8"/>
                <w:sz w:val="19"/>
                <w:szCs w:val="19"/>
              </w:rPr>
              <w:t xml:space="preserve"> </w:t>
            </w:r>
            <w:r>
              <w:rPr>
                <w:spacing w:val="1"/>
                <w:sz w:val="19"/>
                <w:szCs w:val="19"/>
              </w:rPr>
              <w:t>创造性和教育性，富有童</w:t>
            </w:r>
            <w:r>
              <w:rPr>
                <w:sz w:val="19"/>
                <w:szCs w:val="19"/>
              </w:rPr>
              <w:t xml:space="preserve"> </w:t>
            </w:r>
            <w:r>
              <w:rPr>
                <w:spacing w:val="-2"/>
                <w:sz w:val="19"/>
                <w:szCs w:val="19"/>
              </w:rPr>
              <w:t>趣。</w:t>
            </w:r>
          </w:p>
        </w:tc>
        <w:tc>
          <w:tcPr>
            <w:tcW w:w="2702" w:type="dxa"/>
            <w:tcBorders>
              <w:top w:val="single" w:color="000000" w:sz="2" w:space="0"/>
              <w:bottom w:val="single" w:color="000000" w:sz="2" w:space="0"/>
            </w:tcBorders>
            <w:vAlign w:val="top"/>
          </w:tcPr>
          <w:p w14:paraId="7E6496D6">
            <w:pPr>
              <w:pStyle w:val="6"/>
              <w:spacing w:before="56" w:line="212" w:lineRule="auto"/>
              <w:ind w:left="17" w:right="6"/>
              <w:rPr>
                <w:sz w:val="19"/>
                <w:szCs w:val="19"/>
              </w:rPr>
            </w:pPr>
            <w:r>
              <w:rPr>
                <w:sz w:val="19"/>
                <w:szCs w:val="19"/>
              </w:rPr>
              <w:t>1.作品主题鲜明，内容完整，教</w:t>
            </w:r>
            <w:r>
              <w:rPr>
                <w:spacing w:val="6"/>
                <w:sz w:val="19"/>
                <w:szCs w:val="19"/>
              </w:rPr>
              <w:t xml:space="preserve"> </w:t>
            </w:r>
            <w:r>
              <w:rPr>
                <w:spacing w:val="4"/>
                <w:sz w:val="19"/>
                <w:szCs w:val="19"/>
              </w:rPr>
              <w:t>育性突出。(10分)</w:t>
            </w:r>
          </w:p>
          <w:p w14:paraId="76600A58">
            <w:pPr>
              <w:pStyle w:val="6"/>
              <w:spacing w:before="4" w:line="213" w:lineRule="auto"/>
              <w:ind w:left="17"/>
              <w:jc w:val="both"/>
              <w:rPr>
                <w:sz w:val="19"/>
                <w:szCs w:val="19"/>
              </w:rPr>
            </w:pPr>
            <w:r>
              <w:rPr>
                <w:sz w:val="19"/>
                <w:szCs w:val="19"/>
              </w:rPr>
              <w:t>2.构图完整，画面美观大方，具</w:t>
            </w:r>
            <w:r>
              <w:rPr>
                <w:spacing w:val="2"/>
                <w:sz w:val="19"/>
                <w:szCs w:val="19"/>
              </w:rPr>
              <w:t xml:space="preserve"> </w:t>
            </w:r>
            <w:r>
              <w:rPr>
                <w:sz w:val="19"/>
                <w:szCs w:val="19"/>
              </w:rPr>
              <w:t>有艺术表现力，能体现作者一定</w:t>
            </w:r>
            <w:r>
              <w:rPr>
                <w:spacing w:val="4"/>
                <w:sz w:val="19"/>
                <w:szCs w:val="19"/>
              </w:rPr>
              <w:t xml:space="preserve"> </w:t>
            </w:r>
            <w:r>
              <w:rPr>
                <w:spacing w:val="-6"/>
                <w:sz w:val="19"/>
                <w:szCs w:val="19"/>
              </w:rPr>
              <w:t>的审美能力和丰富的想象力。(25</w:t>
            </w:r>
            <w:r>
              <w:rPr>
                <w:spacing w:val="14"/>
                <w:sz w:val="19"/>
                <w:szCs w:val="19"/>
              </w:rPr>
              <w:t xml:space="preserve"> </w:t>
            </w:r>
            <w:r>
              <w:rPr>
                <w:spacing w:val="-6"/>
                <w:sz w:val="19"/>
                <w:szCs w:val="19"/>
              </w:rPr>
              <w:t>分</w:t>
            </w:r>
            <w:r>
              <w:rPr>
                <w:spacing w:val="-40"/>
                <w:sz w:val="19"/>
                <w:szCs w:val="19"/>
              </w:rPr>
              <w:t xml:space="preserve"> </w:t>
            </w:r>
            <w:r>
              <w:rPr>
                <w:spacing w:val="-6"/>
                <w:sz w:val="19"/>
                <w:szCs w:val="19"/>
              </w:rPr>
              <w:t>)</w:t>
            </w:r>
          </w:p>
          <w:p w14:paraId="226CF780">
            <w:pPr>
              <w:pStyle w:val="6"/>
              <w:spacing w:before="2" w:line="214" w:lineRule="auto"/>
              <w:ind w:left="17" w:right="19"/>
              <w:rPr>
                <w:sz w:val="19"/>
                <w:szCs w:val="19"/>
              </w:rPr>
            </w:pPr>
            <w:r>
              <w:rPr>
                <w:spacing w:val="-1"/>
                <w:sz w:val="19"/>
                <w:szCs w:val="19"/>
              </w:rPr>
              <w:t>3.造型工整、准确，特征明显，</w:t>
            </w:r>
            <w:r>
              <w:rPr>
                <w:spacing w:val="8"/>
                <w:sz w:val="19"/>
                <w:szCs w:val="19"/>
              </w:rPr>
              <w:t xml:space="preserve"> </w:t>
            </w:r>
            <w:r>
              <w:rPr>
                <w:spacing w:val="3"/>
                <w:sz w:val="19"/>
                <w:szCs w:val="19"/>
              </w:rPr>
              <w:t>整体比例协调。(25分)</w:t>
            </w:r>
          </w:p>
          <w:p w14:paraId="4B448326">
            <w:pPr>
              <w:pStyle w:val="6"/>
              <w:spacing w:line="212" w:lineRule="auto"/>
              <w:ind w:left="17"/>
              <w:rPr>
                <w:sz w:val="19"/>
                <w:szCs w:val="19"/>
              </w:rPr>
            </w:pPr>
            <w:r>
              <w:rPr>
                <w:spacing w:val="-11"/>
                <w:sz w:val="19"/>
                <w:szCs w:val="19"/>
              </w:rPr>
              <w:t>4.作品富有创造性和艺术感染力。</w:t>
            </w:r>
            <w:r>
              <w:rPr>
                <w:sz w:val="19"/>
                <w:szCs w:val="19"/>
              </w:rPr>
              <w:t xml:space="preserve"> </w:t>
            </w:r>
            <w:r>
              <w:rPr>
                <w:spacing w:val="4"/>
                <w:sz w:val="19"/>
                <w:szCs w:val="19"/>
              </w:rPr>
              <w:t>(10分)</w:t>
            </w:r>
          </w:p>
        </w:tc>
      </w:tr>
    </w:tbl>
    <w:p w14:paraId="1117F7AA">
      <w:pPr>
        <w:pStyle w:val="2"/>
        <w:spacing w:line="14" w:lineRule="auto"/>
        <w:rPr>
          <w:sz w:val="2"/>
        </w:rPr>
      </w:pPr>
    </w:p>
    <w:p w14:paraId="1D349C36">
      <w:pPr>
        <w:spacing w:line="14" w:lineRule="auto"/>
        <w:rPr>
          <w:sz w:val="2"/>
          <w:szCs w:val="2"/>
        </w:rPr>
        <w:sectPr>
          <w:type w:val="continuous"/>
          <w:pgSz w:w="10660" w:h="15080"/>
          <w:pgMar w:top="400" w:right="1045" w:bottom="898" w:left="819" w:header="0" w:footer="745" w:gutter="0"/>
          <w:cols w:equalWidth="0" w:num="1">
            <w:col w:w="8796"/>
          </w:cols>
        </w:sectPr>
      </w:pPr>
    </w:p>
    <w:p w14:paraId="13AEA9FC">
      <w:pPr>
        <w:spacing w:before="10"/>
      </w:pPr>
    </w:p>
    <w:p w14:paraId="5C8B0AAB">
      <w:pPr>
        <w:spacing w:before="10"/>
      </w:pPr>
    </w:p>
    <w:p w14:paraId="7CE47292">
      <w:pPr>
        <w:spacing w:before="10"/>
      </w:pPr>
    </w:p>
    <w:p w14:paraId="6A5600A4">
      <w:pPr>
        <w:spacing w:before="9"/>
      </w:pPr>
    </w:p>
    <w:tbl>
      <w:tblPr>
        <w:tblStyle w:val="5"/>
        <w:tblW w:w="8753"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474"/>
        <w:gridCol w:w="769"/>
        <w:gridCol w:w="809"/>
        <w:gridCol w:w="1788"/>
        <w:gridCol w:w="2188"/>
        <w:gridCol w:w="2725"/>
      </w:tblGrid>
      <w:tr w14:paraId="54A9E9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5" w:hRule="atLeast"/>
        </w:trPr>
        <w:tc>
          <w:tcPr>
            <w:tcW w:w="474" w:type="dxa"/>
            <w:shd w:val="clear" w:color="auto" w:fill="231F20"/>
            <w:vAlign w:val="top"/>
          </w:tcPr>
          <w:p w14:paraId="35C19620">
            <w:pPr>
              <w:pStyle w:val="6"/>
              <w:spacing w:before="91" w:line="212" w:lineRule="auto"/>
              <w:ind w:left="47" w:right="27"/>
              <w:rPr>
                <w:sz w:val="18"/>
                <w:szCs w:val="18"/>
              </w:rPr>
            </w:pPr>
            <w:r>
              <w:rPr>
                <w:b/>
                <w:bCs/>
                <w:color w:val="FFFFFF"/>
                <w:spacing w:val="-6"/>
                <w:sz w:val="18"/>
                <w:szCs w:val="18"/>
              </w:rPr>
              <w:t>测试</w:t>
            </w:r>
            <w:r>
              <w:rPr>
                <w:color w:val="FFFFFF"/>
                <w:sz w:val="18"/>
                <w:szCs w:val="18"/>
              </w:rPr>
              <w:t xml:space="preserve"> </w:t>
            </w:r>
            <w:r>
              <w:rPr>
                <w:b/>
                <w:bCs/>
                <w:color w:val="FFFFFF"/>
                <w:spacing w:val="12"/>
                <w:sz w:val="18"/>
                <w:szCs w:val="18"/>
              </w:rPr>
              <w:t>项目</w:t>
            </w:r>
          </w:p>
        </w:tc>
        <w:tc>
          <w:tcPr>
            <w:tcW w:w="769" w:type="dxa"/>
            <w:vAlign w:val="top"/>
          </w:tcPr>
          <w:p w14:paraId="0355EF47">
            <w:pPr>
              <w:pStyle w:val="6"/>
              <w:spacing w:before="190" w:line="221" w:lineRule="auto"/>
              <w:ind w:left="13"/>
              <w:rPr>
                <w:sz w:val="18"/>
                <w:szCs w:val="18"/>
              </w:rPr>
            </w:pPr>
            <w:r>
              <w:rPr>
                <w:b/>
                <w:bCs/>
                <w:spacing w:val="-4"/>
                <w:sz w:val="18"/>
                <w:szCs w:val="18"/>
              </w:rPr>
              <w:t>测试用具</w:t>
            </w:r>
          </w:p>
        </w:tc>
        <w:tc>
          <w:tcPr>
            <w:tcW w:w="809" w:type="dxa"/>
            <w:vAlign w:val="top"/>
          </w:tcPr>
          <w:p w14:paraId="676BAEDD">
            <w:pPr>
              <w:pStyle w:val="6"/>
              <w:spacing w:before="190" w:line="219" w:lineRule="auto"/>
              <w:ind w:left="34"/>
              <w:rPr>
                <w:sz w:val="18"/>
                <w:szCs w:val="18"/>
              </w:rPr>
            </w:pPr>
            <w:r>
              <w:rPr>
                <w:b/>
                <w:bCs/>
                <w:spacing w:val="-4"/>
                <w:sz w:val="18"/>
                <w:szCs w:val="18"/>
              </w:rPr>
              <w:t>测试内容</w:t>
            </w:r>
          </w:p>
        </w:tc>
        <w:tc>
          <w:tcPr>
            <w:tcW w:w="1788" w:type="dxa"/>
            <w:vAlign w:val="top"/>
          </w:tcPr>
          <w:p w14:paraId="6E9F0367">
            <w:pPr>
              <w:pStyle w:val="6"/>
              <w:spacing w:before="190" w:line="221" w:lineRule="auto"/>
              <w:ind w:left="565"/>
              <w:rPr>
                <w:sz w:val="18"/>
                <w:szCs w:val="18"/>
              </w:rPr>
            </w:pPr>
            <w:r>
              <w:rPr>
                <w:b/>
                <w:bCs/>
                <w:spacing w:val="-4"/>
                <w:sz w:val="18"/>
                <w:szCs w:val="18"/>
              </w:rPr>
              <w:t>测试方法</w:t>
            </w:r>
          </w:p>
        </w:tc>
        <w:tc>
          <w:tcPr>
            <w:tcW w:w="2188" w:type="dxa"/>
            <w:vAlign w:val="top"/>
          </w:tcPr>
          <w:p w14:paraId="64418C64">
            <w:pPr>
              <w:pStyle w:val="6"/>
              <w:spacing w:before="190" w:line="221" w:lineRule="auto"/>
              <w:ind w:left="757"/>
              <w:rPr>
                <w:sz w:val="18"/>
                <w:szCs w:val="18"/>
              </w:rPr>
            </w:pPr>
            <w:r>
              <w:rPr>
                <w:b/>
                <w:bCs/>
                <w:spacing w:val="-4"/>
                <w:sz w:val="18"/>
                <w:szCs w:val="18"/>
              </w:rPr>
              <w:t>测试要求</w:t>
            </w:r>
          </w:p>
        </w:tc>
        <w:tc>
          <w:tcPr>
            <w:tcW w:w="2725" w:type="dxa"/>
            <w:vAlign w:val="top"/>
          </w:tcPr>
          <w:p w14:paraId="366A330F">
            <w:pPr>
              <w:pStyle w:val="6"/>
              <w:spacing w:before="190" w:line="219" w:lineRule="auto"/>
              <w:ind w:left="1019"/>
              <w:rPr>
                <w:sz w:val="18"/>
                <w:szCs w:val="18"/>
              </w:rPr>
            </w:pPr>
            <w:r>
              <w:rPr>
                <w:b/>
                <w:bCs/>
                <w:spacing w:val="-4"/>
                <w:sz w:val="18"/>
                <w:szCs w:val="18"/>
              </w:rPr>
              <w:t>赋分参考</w:t>
            </w:r>
          </w:p>
        </w:tc>
      </w:tr>
      <w:tr w14:paraId="1B7A8C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37" w:hRule="atLeast"/>
        </w:trPr>
        <w:tc>
          <w:tcPr>
            <w:tcW w:w="474" w:type="dxa"/>
            <w:vAlign w:val="top"/>
          </w:tcPr>
          <w:p w14:paraId="4337CF34">
            <w:pPr>
              <w:pStyle w:val="6"/>
              <w:spacing w:before="58" w:line="225" w:lineRule="auto"/>
              <w:ind w:left="45" w:right="8"/>
              <w:jc w:val="both"/>
              <w:rPr>
                <w:sz w:val="18"/>
                <w:szCs w:val="18"/>
              </w:rPr>
            </w:pPr>
            <w:r>
              <w:rPr>
                <w:spacing w:val="-26"/>
                <w:sz w:val="18"/>
                <w:szCs w:val="18"/>
              </w:rPr>
              <w:t>项</w:t>
            </w:r>
            <w:r>
              <w:rPr>
                <w:spacing w:val="-5"/>
                <w:sz w:val="18"/>
                <w:szCs w:val="18"/>
              </w:rPr>
              <w:t xml:space="preserve"> </w:t>
            </w:r>
            <w:r>
              <w:rPr>
                <w:spacing w:val="-26"/>
                <w:sz w:val="18"/>
                <w:szCs w:val="18"/>
              </w:rPr>
              <w:t>目</w:t>
            </w:r>
            <w:r>
              <w:rPr>
                <w:sz w:val="18"/>
                <w:szCs w:val="18"/>
              </w:rPr>
              <w:t xml:space="preserve"> 六</w:t>
            </w:r>
            <w:r>
              <w:rPr>
                <w:spacing w:val="-41"/>
                <w:sz w:val="18"/>
                <w:szCs w:val="18"/>
              </w:rPr>
              <w:t xml:space="preserve"> </w:t>
            </w:r>
            <w:r>
              <w:rPr>
                <w:sz w:val="18"/>
                <w:szCs w:val="18"/>
              </w:rPr>
              <w:t xml:space="preserve">： </w:t>
            </w:r>
            <w:r>
              <w:rPr>
                <w:spacing w:val="-4"/>
                <w:sz w:val="18"/>
                <w:szCs w:val="18"/>
              </w:rPr>
              <w:t>微型</w:t>
            </w:r>
            <w:r>
              <w:rPr>
                <w:sz w:val="18"/>
                <w:szCs w:val="18"/>
              </w:rPr>
              <w:t xml:space="preserve"> </w:t>
            </w:r>
            <w:r>
              <w:rPr>
                <w:spacing w:val="-5"/>
                <w:sz w:val="18"/>
                <w:szCs w:val="18"/>
              </w:rPr>
              <w:t>幼儿</w:t>
            </w:r>
            <w:r>
              <w:rPr>
                <w:sz w:val="18"/>
                <w:szCs w:val="18"/>
              </w:rPr>
              <w:t xml:space="preserve"> </w:t>
            </w:r>
            <w:r>
              <w:rPr>
                <w:spacing w:val="4"/>
                <w:sz w:val="18"/>
                <w:szCs w:val="18"/>
              </w:rPr>
              <w:t>园主</w:t>
            </w:r>
            <w:r>
              <w:rPr>
                <w:sz w:val="18"/>
                <w:szCs w:val="18"/>
              </w:rPr>
              <w:t xml:space="preserve"> </w:t>
            </w:r>
            <w:r>
              <w:rPr>
                <w:spacing w:val="-4"/>
                <w:sz w:val="18"/>
                <w:szCs w:val="18"/>
              </w:rPr>
              <w:t>题墙</w:t>
            </w:r>
            <w:r>
              <w:rPr>
                <w:sz w:val="18"/>
                <w:szCs w:val="18"/>
              </w:rPr>
              <w:t xml:space="preserve"> </w:t>
            </w:r>
            <w:r>
              <w:rPr>
                <w:spacing w:val="-4"/>
                <w:sz w:val="18"/>
                <w:szCs w:val="18"/>
              </w:rPr>
              <w:t>饰设</w:t>
            </w:r>
            <w:r>
              <w:rPr>
                <w:sz w:val="18"/>
                <w:szCs w:val="18"/>
              </w:rPr>
              <w:t xml:space="preserve"> </w:t>
            </w:r>
            <w:r>
              <w:rPr>
                <w:spacing w:val="7"/>
                <w:sz w:val="18"/>
                <w:szCs w:val="18"/>
              </w:rPr>
              <w:t>计与</w:t>
            </w:r>
            <w:r>
              <w:rPr>
                <w:sz w:val="18"/>
                <w:szCs w:val="18"/>
              </w:rPr>
              <w:t xml:space="preserve"> </w:t>
            </w:r>
            <w:r>
              <w:rPr>
                <w:spacing w:val="-2"/>
                <w:sz w:val="18"/>
                <w:szCs w:val="18"/>
              </w:rPr>
              <w:t>制作</w:t>
            </w:r>
          </w:p>
        </w:tc>
        <w:tc>
          <w:tcPr>
            <w:tcW w:w="769" w:type="dxa"/>
            <w:vAlign w:val="top"/>
          </w:tcPr>
          <w:p w14:paraId="17DA8A43">
            <w:pPr>
              <w:pStyle w:val="6"/>
              <w:spacing w:before="56" w:line="224" w:lineRule="auto"/>
              <w:ind w:left="101" w:right="67" w:firstLine="49"/>
              <w:jc w:val="both"/>
              <w:rPr>
                <w:sz w:val="18"/>
                <w:szCs w:val="18"/>
              </w:rPr>
            </w:pPr>
            <w:r>
              <w:rPr>
                <w:sz w:val="18"/>
                <w:szCs w:val="18"/>
              </w:rPr>
              <w:t xml:space="preserve">自备。 </w:t>
            </w:r>
            <w:r>
              <w:rPr>
                <w:spacing w:val="19"/>
                <w:sz w:val="18"/>
                <w:szCs w:val="18"/>
              </w:rPr>
              <w:t>(主考</w:t>
            </w:r>
            <w:r>
              <w:rPr>
                <w:sz w:val="18"/>
                <w:szCs w:val="18"/>
              </w:rPr>
              <w:t xml:space="preserve">  </w:t>
            </w:r>
            <w:r>
              <w:rPr>
                <w:spacing w:val="5"/>
                <w:sz w:val="18"/>
                <w:szCs w:val="18"/>
              </w:rPr>
              <w:t>方可以</w:t>
            </w:r>
            <w:r>
              <w:rPr>
                <w:sz w:val="18"/>
                <w:szCs w:val="18"/>
              </w:rPr>
              <w:t xml:space="preserve"> </w:t>
            </w:r>
            <w:r>
              <w:rPr>
                <w:spacing w:val="-3"/>
                <w:sz w:val="18"/>
                <w:szCs w:val="18"/>
              </w:rPr>
              <w:t>根据本</w:t>
            </w:r>
            <w:r>
              <w:rPr>
                <w:sz w:val="18"/>
                <w:szCs w:val="18"/>
              </w:rPr>
              <w:t xml:space="preserve"> </w:t>
            </w:r>
            <w:r>
              <w:rPr>
                <w:spacing w:val="-2"/>
                <w:sz w:val="18"/>
                <w:szCs w:val="18"/>
              </w:rPr>
              <w:t>校考试</w:t>
            </w:r>
          </w:p>
          <w:p w14:paraId="11F10229">
            <w:pPr>
              <w:pStyle w:val="6"/>
              <w:spacing w:line="220" w:lineRule="auto"/>
              <w:ind w:left="11"/>
              <w:rPr>
                <w:sz w:val="18"/>
                <w:szCs w:val="18"/>
              </w:rPr>
            </w:pPr>
            <w:r>
              <w:rPr>
                <w:spacing w:val="-2"/>
                <w:sz w:val="18"/>
                <w:szCs w:val="18"/>
              </w:rPr>
              <w:t>要求，规</w:t>
            </w:r>
          </w:p>
          <w:p w14:paraId="1B5A73C5">
            <w:pPr>
              <w:pStyle w:val="6"/>
              <w:spacing w:before="11" w:line="219" w:lineRule="auto"/>
              <w:ind w:left="61" w:right="28" w:firstLine="39"/>
              <w:rPr>
                <w:sz w:val="18"/>
                <w:szCs w:val="18"/>
              </w:rPr>
            </w:pPr>
            <w:r>
              <w:rPr>
                <w:spacing w:val="-4"/>
                <w:sz w:val="18"/>
                <w:szCs w:val="18"/>
              </w:rPr>
              <w:t>定考生</w:t>
            </w:r>
            <w:r>
              <w:rPr>
                <w:sz w:val="18"/>
                <w:szCs w:val="18"/>
              </w:rPr>
              <w:t xml:space="preserve">  </w:t>
            </w:r>
            <w:r>
              <w:rPr>
                <w:spacing w:val="16"/>
                <w:sz w:val="18"/>
                <w:szCs w:val="18"/>
              </w:rPr>
              <w:t>自备统</w:t>
            </w:r>
            <w:r>
              <w:rPr>
                <w:sz w:val="18"/>
                <w:szCs w:val="18"/>
              </w:rPr>
              <w:t xml:space="preserve">  </w:t>
            </w:r>
            <w:r>
              <w:rPr>
                <w:spacing w:val="10"/>
                <w:sz w:val="18"/>
                <w:szCs w:val="18"/>
              </w:rPr>
              <w:t>一底板</w:t>
            </w:r>
            <w:r>
              <w:rPr>
                <w:sz w:val="18"/>
                <w:szCs w:val="18"/>
              </w:rPr>
              <w:t xml:space="preserve">  </w:t>
            </w:r>
            <w:r>
              <w:rPr>
                <w:spacing w:val="9"/>
                <w:sz w:val="18"/>
                <w:szCs w:val="18"/>
              </w:rPr>
              <w:t>材料。)</w:t>
            </w:r>
          </w:p>
        </w:tc>
        <w:tc>
          <w:tcPr>
            <w:tcW w:w="809" w:type="dxa"/>
            <w:vAlign w:val="top"/>
          </w:tcPr>
          <w:p w14:paraId="5D610807">
            <w:pPr>
              <w:pStyle w:val="6"/>
              <w:spacing w:before="47" w:line="220" w:lineRule="auto"/>
              <w:ind w:left="12"/>
              <w:rPr>
                <w:sz w:val="18"/>
                <w:szCs w:val="18"/>
              </w:rPr>
            </w:pPr>
            <w:r>
              <w:rPr>
                <w:spacing w:val="-5"/>
                <w:sz w:val="18"/>
                <w:szCs w:val="18"/>
              </w:rPr>
              <w:t>命</w:t>
            </w:r>
            <w:r>
              <w:rPr>
                <w:spacing w:val="37"/>
                <w:sz w:val="18"/>
                <w:szCs w:val="18"/>
              </w:rPr>
              <w:t xml:space="preserve"> </w:t>
            </w:r>
            <w:r>
              <w:rPr>
                <w:spacing w:val="-5"/>
                <w:sz w:val="18"/>
                <w:szCs w:val="18"/>
              </w:rPr>
              <w:t>题</w:t>
            </w:r>
            <w:r>
              <w:rPr>
                <w:spacing w:val="37"/>
                <w:sz w:val="18"/>
                <w:szCs w:val="18"/>
              </w:rPr>
              <w:t xml:space="preserve"> </w:t>
            </w:r>
            <w:r>
              <w:rPr>
                <w:spacing w:val="-5"/>
                <w:sz w:val="18"/>
                <w:szCs w:val="18"/>
              </w:rPr>
              <w:t>创</w:t>
            </w:r>
          </w:p>
          <w:p w14:paraId="268AC96D">
            <w:pPr>
              <w:pStyle w:val="6"/>
              <w:spacing w:before="5" w:line="220" w:lineRule="auto"/>
              <w:ind w:left="32"/>
              <w:rPr>
                <w:sz w:val="18"/>
                <w:szCs w:val="18"/>
              </w:rPr>
            </w:pPr>
            <w:r>
              <w:rPr>
                <w:sz w:val="18"/>
                <w:szCs w:val="18"/>
              </w:rPr>
              <w:t>作，在一</w:t>
            </w:r>
          </w:p>
          <w:p w14:paraId="0E40DF63">
            <w:pPr>
              <w:pStyle w:val="6"/>
              <w:spacing w:before="26" w:line="214" w:lineRule="auto"/>
              <w:ind w:left="12"/>
              <w:rPr>
                <w:sz w:val="18"/>
                <w:szCs w:val="18"/>
              </w:rPr>
            </w:pPr>
            <w:r>
              <w:rPr>
                <w:spacing w:val="-7"/>
                <w:sz w:val="18"/>
                <w:szCs w:val="18"/>
              </w:rPr>
              <w:t>张</w:t>
            </w:r>
            <w:r>
              <w:rPr>
                <w:spacing w:val="-33"/>
                <w:sz w:val="18"/>
                <w:szCs w:val="18"/>
              </w:rPr>
              <w:t xml:space="preserve"> </w:t>
            </w:r>
            <w:r>
              <w:rPr>
                <w:spacing w:val="-7"/>
                <w:sz w:val="18"/>
                <w:szCs w:val="18"/>
              </w:rPr>
              <w:t>4</w:t>
            </w:r>
            <w:r>
              <w:rPr>
                <w:spacing w:val="-32"/>
                <w:sz w:val="18"/>
                <w:szCs w:val="18"/>
              </w:rPr>
              <w:t xml:space="preserve"> </w:t>
            </w:r>
            <w:r>
              <w:rPr>
                <w:spacing w:val="-7"/>
                <w:sz w:val="18"/>
                <w:szCs w:val="18"/>
              </w:rPr>
              <w:t>开</w:t>
            </w:r>
            <w:r>
              <w:rPr>
                <w:spacing w:val="-34"/>
                <w:sz w:val="18"/>
                <w:szCs w:val="18"/>
              </w:rPr>
              <w:t xml:space="preserve"> </w:t>
            </w:r>
            <w:r>
              <w:rPr>
                <w:spacing w:val="-7"/>
                <w:sz w:val="18"/>
                <w:szCs w:val="18"/>
              </w:rPr>
              <w:t>较</w:t>
            </w:r>
          </w:p>
          <w:p w14:paraId="59507519">
            <w:pPr>
              <w:pStyle w:val="6"/>
              <w:spacing w:line="204" w:lineRule="auto"/>
              <w:ind w:left="32"/>
              <w:rPr>
                <w:sz w:val="18"/>
                <w:szCs w:val="18"/>
              </w:rPr>
            </w:pPr>
            <w:r>
              <w:rPr>
                <w:spacing w:val="2"/>
                <w:sz w:val="18"/>
                <w:szCs w:val="18"/>
              </w:rPr>
              <w:t>厚的泡沫</w:t>
            </w:r>
          </w:p>
          <w:p w14:paraId="3AE7D13C">
            <w:pPr>
              <w:pStyle w:val="6"/>
              <w:spacing w:line="218" w:lineRule="auto"/>
              <w:ind w:left="32"/>
              <w:rPr>
                <w:sz w:val="18"/>
                <w:szCs w:val="18"/>
              </w:rPr>
            </w:pPr>
            <w:r>
              <w:rPr>
                <w:spacing w:val="-2"/>
                <w:sz w:val="18"/>
                <w:szCs w:val="18"/>
              </w:rPr>
              <w:t>板或卡纸</w:t>
            </w:r>
          </w:p>
          <w:p w14:paraId="7E9EB1D8">
            <w:pPr>
              <w:pStyle w:val="6"/>
              <w:spacing w:before="19" w:line="213" w:lineRule="auto"/>
              <w:ind w:left="32"/>
              <w:rPr>
                <w:sz w:val="18"/>
                <w:szCs w:val="18"/>
              </w:rPr>
            </w:pPr>
            <w:r>
              <w:rPr>
                <w:sz w:val="18"/>
                <w:szCs w:val="18"/>
              </w:rPr>
              <w:t>上创作一</w:t>
            </w:r>
          </w:p>
          <w:p w14:paraId="251CA0EC">
            <w:pPr>
              <w:pStyle w:val="6"/>
              <w:spacing w:before="1" w:line="217" w:lineRule="auto"/>
              <w:ind w:left="32"/>
              <w:rPr>
                <w:sz w:val="18"/>
                <w:szCs w:val="18"/>
              </w:rPr>
            </w:pPr>
            <w:r>
              <w:rPr>
                <w:spacing w:val="2"/>
                <w:sz w:val="18"/>
                <w:szCs w:val="18"/>
              </w:rPr>
              <w:t>幅微型幼</w:t>
            </w:r>
          </w:p>
          <w:p w14:paraId="6FD09625">
            <w:pPr>
              <w:pStyle w:val="6"/>
              <w:spacing w:before="19" w:line="216" w:lineRule="auto"/>
              <w:ind w:left="32"/>
              <w:rPr>
                <w:sz w:val="18"/>
                <w:szCs w:val="18"/>
              </w:rPr>
            </w:pPr>
            <w:r>
              <w:rPr>
                <w:spacing w:val="-2"/>
                <w:sz w:val="18"/>
                <w:szCs w:val="18"/>
              </w:rPr>
              <w:t>儿园主题</w:t>
            </w:r>
          </w:p>
          <w:p w14:paraId="1703C611">
            <w:pPr>
              <w:pStyle w:val="6"/>
              <w:spacing w:line="220" w:lineRule="auto"/>
              <w:ind w:left="12"/>
              <w:rPr>
                <w:sz w:val="18"/>
                <w:szCs w:val="18"/>
              </w:rPr>
            </w:pPr>
            <w:r>
              <w:rPr>
                <w:spacing w:val="-5"/>
                <w:sz w:val="18"/>
                <w:szCs w:val="18"/>
              </w:rPr>
              <w:t>墙</w:t>
            </w:r>
            <w:r>
              <w:rPr>
                <w:spacing w:val="36"/>
                <w:sz w:val="18"/>
                <w:szCs w:val="18"/>
              </w:rPr>
              <w:t xml:space="preserve"> </w:t>
            </w:r>
            <w:r>
              <w:rPr>
                <w:spacing w:val="-5"/>
                <w:sz w:val="18"/>
                <w:szCs w:val="18"/>
              </w:rPr>
              <w:t>饰</w:t>
            </w:r>
            <w:r>
              <w:rPr>
                <w:spacing w:val="37"/>
                <w:sz w:val="18"/>
                <w:szCs w:val="18"/>
              </w:rPr>
              <w:t xml:space="preserve"> </w:t>
            </w:r>
            <w:r>
              <w:rPr>
                <w:spacing w:val="-5"/>
                <w:sz w:val="18"/>
                <w:szCs w:val="18"/>
              </w:rPr>
              <w:t>作</w:t>
            </w:r>
          </w:p>
          <w:p w14:paraId="08EB8149">
            <w:pPr>
              <w:pStyle w:val="6"/>
              <w:spacing w:before="17" w:line="213" w:lineRule="auto"/>
              <w:ind w:left="82"/>
              <w:rPr>
                <w:sz w:val="18"/>
                <w:szCs w:val="18"/>
              </w:rPr>
            </w:pPr>
            <w:r>
              <w:rPr>
                <w:spacing w:val="1"/>
                <w:sz w:val="18"/>
                <w:szCs w:val="18"/>
              </w:rPr>
              <w:t>品。(70</w:t>
            </w:r>
          </w:p>
          <w:p w14:paraId="3E11D06F">
            <w:pPr>
              <w:pStyle w:val="6"/>
              <w:spacing w:line="220" w:lineRule="auto"/>
              <w:ind w:left="262"/>
              <w:rPr>
                <w:sz w:val="18"/>
                <w:szCs w:val="18"/>
              </w:rPr>
            </w:pPr>
            <w:r>
              <w:rPr>
                <w:spacing w:val="-5"/>
                <w:sz w:val="18"/>
                <w:szCs w:val="18"/>
              </w:rPr>
              <w:t>分</w:t>
            </w:r>
            <w:r>
              <w:rPr>
                <w:spacing w:val="-34"/>
                <w:sz w:val="18"/>
                <w:szCs w:val="18"/>
              </w:rPr>
              <w:t xml:space="preserve"> </w:t>
            </w:r>
            <w:r>
              <w:rPr>
                <w:spacing w:val="-5"/>
                <w:sz w:val="18"/>
                <w:szCs w:val="18"/>
              </w:rPr>
              <w:t>)</w:t>
            </w:r>
          </w:p>
        </w:tc>
        <w:tc>
          <w:tcPr>
            <w:tcW w:w="1788" w:type="dxa"/>
            <w:vAlign w:val="top"/>
          </w:tcPr>
          <w:p w14:paraId="6D2250CC">
            <w:pPr>
              <w:pStyle w:val="6"/>
              <w:spacing w:before="47" w:line="223" w:lineRule="auto"/>
              <w:ind w:left="13"/>
              <w:rPr>
                <w:sz w:val="18"/>
                <w:szCs w:val="18"/>
              </w:rPr>
            </w:pPr>
            <w:r>
              <w:rPr>
                <w:spacing w:val="-4"/>
                <w:sz w:val="18"/>
                <w:szCs w:val="18"/>
              </w:rPr>
              <w:t>1.题目现场抽签确定。</w:t>
            </w:r>
            <w:r>
              <w:rPr>
                <w:spacing w:val="7"/>
                <w:sz w:val="18"/>
                <w:szCs w:val="18"/>
              </w:rPr>
              <w:t xml:space="preserve"> </w:t>
            </w:r>
            <w:r>
              <w:rPr>
                <w:spacing w:val="-7"/>
                <w:sz w:val="18"/>
                <w:szCs w:val="18"/>
              </w:rPr>
              <w:t>2.考生自备制作的底板</w:t>
            </w:r>
            <w:r>
              <w:rPr>
                <w:spacing w:val="9"/>
                <w:sz w:val="18"/>
                <w:szCs w:val="18"/>
              </w:rPr>
              <w:t xml:space="preserve"> </w:t>
            </w:r>
            <w:r>
              <w:rPr>
                <w:spacing w:val="-7"/>
                <w:sz w:val="18"/>
                <w:szCs w:val="18"/>
              </w:rPr>
              <w:t>材料、绘画材料、手工</w:t>
            </w:r>
            <w:r>
              <w:rPr>
                <w:spacing w:val="4"/>
                <w:sz w:val="18"/>
                <w:szCs w:val="18"/>
              </w:rPr>
              <w:t xml:space="preserve"> </w:t>
            </w:r>
            <w:r>
              <w:rPr>
                <w:spacing w:val="-3"/>
                <w:sz w:val="18"/>
                <w:szCs w:val="18"/>
              </w:rPr>
              <w:t>制作辅助材料不限。</w:t>
            </w:r>
          </w:p>
          <w:p w14:paraId="725B3FB0">
            <w:pPr>
              <w:pStyle w:val="6"/>
              <w:spacing w:before="2" w:line="225" w:lineRule="auto"/>
              <w:ind w:left="13"/>
              <w:rPr>
                <w:sz w:val="18"/>
                <w:szCs w:val="18"/>
              </w:rPr>
            </w:pPr>
            <w:r>
              <w:rPr>
                <w:spacing w:val="-10"/>
                <w:sz w:val="18"/>
                <w:szCs w:val="18"/>
              </w:rPr>
              <w:t>3.考试时间：120分钟。</w:t>
            </w:r>
            <w:r>
              <w:rPr>
                <w:spacing w:val="3"/>
                <w:sz w:val="18"/>
                <w:szCs w:val="18"/>
              </w:rPr>
              <w:t xml:space="preserve"> </w:t>
            </w:r>
            <w:r>
              <w:rPr>
                <w:spacing w:val="-9"/>
                <w:sz w:val="18"/>
                <w:szCs w:val="18"/>
              </w:rPr>
              <w:t>4.根据考场条件，主</w:t>
            </w:r>
            <w:r>
              <w:rPr>
                <w:spacing w:val="1"/>
                <w:sz w:val="18"/>
                <w:szCs w:val="18"/>
              </w:rPr>
              <w:t xml:space="preserve">   </w:t>
            </w:r>
            <w:r>
              <w:rPr>
                <w:spacing w:val="-9"/>
                <w:sz w:val="18"/>
                <w:szCs w:val="18"/>
              </w:rPr>
              <w:t>考方可安排多人同时</w:t>
            </w:r>
            <w:r>
              <w:rPr>
                <w:spacing w:val="1"/>
                <w:sz w:val="18"/>
                <w:szCs w:val="18"/>
              </w:rPr>
              <w:t xml:space="preserve">   </w:t>
            </w:r>
            <w:r>
              <w:rPr>
                <w:spacing w:val="-5"/>
                <w:sz w:val="18"/>
                <w:szCs w:val="18"/>
              </w:rPr>
              <w:t>进行。</w:t>
            </w:r>
          </w:p>
          <w:p w14:paraId="46C79D14">
            <w:pPr>
              <w:pStyle w:val="6"/>
              <w:spacing w:before="2" w:line="226" w:lineRule="auto"/>
              <w:ind w:left="13" w:right="121"/>
              <w:jc w:val="both"/>
              <w:rPr>
                <w:sz w:val="18"/>
                <w:szCs w:val="18"/>
              </w:rPr>
            </w:pPr>
            <w:r>
              <w:rPr>
                <w:spacing w:val="1"/>
                <w:sz w:val="18"/>
                <w:szCs w:val="18"/>
              </w:rPr>
              <w:t>5.杜绝携带半成品制</w:t>
            </w:r>
            <w:r>
              <w:rPr>
                <w:spacing w:val="4"/>
                <w:sz w:val="18"/>
                <w:szCs w:val="18"/>
              </w:rPr>
              <w:t xml:space="preserve"> </w:t>
            </w:r>
            <w:r>
              <w:rPr>
                <w:spacing w:val="2"/>
                <w:sz w:val="18"/>
                <w:szCs w:val="18"/>
              </w:rPr>
              <w:t>作材料进入考场，如</w:t>
            </w:r>
            <w:r>
              <w:rPr>
                <w:spacing w:val="4"/>
                <w:sz w:val="18"/>
                <w:szCs w:val="18"/>
              </w:rPr>
              <w:t xml:space="preserve"> </w:t>
            </w:r>
            <w:r>
              <w:rPr>
                <w:spacing w:val="1"/>
                <w:sz w:val="18"/>
                <w:szCs w:val="18"/>
              </w:rPr>
              <w:t>违反考试规定，取消</w:t>
            </w:r>
            <w:r>
              <w:rPr>
                <w:spacing w:val="7"/>
                <w:sz w:val="18"/>
                <w:szCs w:val="18"/>
              </w:rPr>
              <w:t xml:space="preserve"> </w:t>
            </w:r>
            <w:r>
              <w:rPr>
                <w:spacing w:val="-1"/>
                <w:sz w:val="18"/>
                <w:szCs w:val="18"/>
              </w:rPr>
              <w:t>考试资格。</w:t>
            </w:r>
          </w:p>
        </w:tc>
        <w:tc>
          <w:tcPr>
            <w:tcW w:w="2188" w:type="dxa"/>
            <w:vAlign w:val="top"/>
          </w:tcPr>
          <w:p w14:paraId="563D3588">
            <w:pPr>
              <w:pStyle w:val="6"/>
              <w:spacing w:before="56" w:line="222" w:lineRule="auto"/>
              <w:ind w:left="15" w:right="168"/>
              <w:rPr>
                <w:sz w:val="18"/>
                <w:szCs w:val="18"/>
              </w:rPr>
            </w:pPr>
            <w:r>
              <w:rPr>
                <w:spacing w:val="1"/>
                <w:sz w:val="18"/>
                <w:szCs w:val="18"/>
              </w:rPr>
              <w:t xml:space="preserve">1.利用允许携带的工具和 </w:t>
            </w:r>
            <w:r>
              <w:rPr>
                <w:spacing w:val="-1"/>
                <w:sz w:val="18"/>
                <w:szCs w:val="18"/>
              </w:rPr>
              <w:t>材料设计制作。</w:t>
            </w:r>
          </w:p>
          <w:p w14:paraId="34620A00">
            <w:pPr>
              <w:pStyle w:val="6"/>
              <w:spacing w:before="6" w:line="229" w:lineRule="auto"/>
              <w:ind w:left="15" w:right="171"/>
              <w:jc w:val="both"/>
              <w:rPr>
                <w:sz w:val="18"/>
                <w:szCs w:val="18"/>
              </w:rPr>
            </w:pPr>
            <w:r>
              <w:rPr>
                <w:spacing w:val="-1"/>
                <w:sz w:val="18"/>
                <w:szCs w:val="18"/>
              </w:rPr>
              <w:t>2.作品造型完整，主题鲜</w:t>
            </w:r>
            <w:r>
              <w:rPr>
                <w:spacing w:val="1"/>
                <w:sz w:val="18"/>
                <w:szCs w:val="18"/>
              </w:rPr>
              <w:t xml:space="preserve"> 明，趣味性强，具有一定</w:t>
            </w:r>
            <w:r>
              <w:rPr>
                <w:sz w:val="18"/>
                <w:szCs w:val="18"/>
              </w:rPr>
              <w:t xml:space="preserve"> </w:t>
            </w:r>
            <w:r>
              <w:rPr>
                <w:spacing w:val="-1"/>
                <w:sz w:val="18"/>
                <w:szCs w:val="18"/>
              </w:rPr>
              <w:t>创造性和教育性，富有童</w:t>
            </w:r>
            <w:r>
              <w:rPr>
                <w:spacing w:val="2"/>
                <w:sz w:val="18"/>
                <w:szCs w:val="18"/>
              </w:rPr>
              <w:t xml:space="preserve"> </w:t>
            </w:r>
            <w:r>
              <w:rPr>
                <w:spacing w:val="-1"/>
                <w:sz w:val="18"/>
                <w:szCs w:val="18"/>
              </w:rPr>
              <w:t>趣。</w:t>
            </w:r>
          </w:p>
        </w:tc>
        <w:tc>
          <w:tcPr>
            <w:tcW w:w="2725" w:type="dxa"/>
            <w:vAlign w:val="top"/>
          </w:tcPr>
          <w:p w14:paraId="5E4EC8DB">
            <w:pPr>
              <w:pStyle w:val="6"/>
              <w:spacing w:before="56" w:line="226" w:lineRule="auto"/>
              <w:ind w:left="27" w:right="136" w:hanging="10"/>
              <w:jc w:val="both"/>
              <w:rPr>
                <w:sz w:val="18"/>
                <w:szCs w:val="18"/>
              </w:rPr>
            </w:pPr>
            <w:r>
              <w:rPr>
                <w:spacing w:val="1"/>
                <w:sz w:val="18"/>
                <w:szCs w:val="18"/>
              </w:rPr>
              <w:t>1.主题突出，季节或节日的特点</w:t>
            </w:r>
            <w:r>
              <w:rPr>
                <w:sz w:val="18"/>
                <w:szCs w:val="18"/>
              </w:rPr>
              <w:t xml:space="preserve"> </w:t>
            </w:r>
            <w:r>
              <w:rPr>
                <w:spacing w:val="2"/>
                <w:sz w:val="18"/>
                <w:szCs w:val="18"/>
              </w:rPr>
              <w:t xml:space="preserve">明显，符合幼儿园的实际环境需 </w:t>
            </w:r>
            <w:r>
              <w:rPr>
                <w:spacing w:val="5"/>
                <w:sz w:val="18"/>
                <w:szCs w:val="18"/>
              </w:rPr>
              <w:t>求。(10分)</w:t>
            </w:r>
          </w:p>
          <w:p w14:paraId="1C9A9030">
            <w:pPr>
              <w:pStyle w:val="6"/>
              <w:spacing w:before="1" w:line="223" w:lineRule="auto"/>
              <w:ind w:left="17" w:right="146"/>
              <w:jc w:val="both"/>
              <w:rPr>
                <w:sz w:val="18"/>
                <w:szCs w:val="18"/>
              </w:rPr>
            </w:pPr>
            <w:r>
              <w:rPr>
                <w:spacing w:val="-1"/>
                <w:sz w:val="18"/>
                <w:szCs w:val="18"/>
              </w:rPr>
              <w:t>2.有明显情景体现，能够激发幼</w:t>
            </w:r>
            <w:r>
              <w:rPr>
                <w:spacing w:val="4"/>
                <w:sz w:val="18"/>
                <w:szCs w:val="18"/>
              </w:rPr>
              <w:t xml:space="preserve"> </w:t>
            </w:r>
            <w:r>
              <w:rPr>
                <w:spacing w:val="2"/>
                <w:sz w:val="18"/>
                <w:szCs w:val="18"/>
              </w:rPr>
              <w:t>儿的兴趣，有教育意义，能够引</w:t>
            </w:r>
            <w:r>
              <w:rPr>
                <w:spacing w:val="1"/>
                <w:sz w:val="18"/>
                <w:szCs w:val="18"/>
              </w:rPr>
              <w:t xml:space="preserve"> </w:t>
            </w:r>
            <w:r>
              <w:rPr>
                <w:spacing w:val="3"/>
                <w:sz w:val="18"/>
                <w:szCs w:val="18"/>
              </w:rPr>
              <w:t>发幼儿的互动。(20分)</w:t>
            </w:r>
          </w:p>
          <w:p w14:paraId="32972C8D">
            <w:pPr>
              <w:pStyle w:val="6"/>
              <w:spacing w:before="6" w:line="217" w:lineRule="auto"/>
              <w:ind w:left="17" w:firstLine="10"/>
              <w:jc w:val="both"/>
              <w:rPr>
                <w:sz w:val="18"/>
                <w:szCs w:val="18"/>
              </w:rPr>
            </w:pPr>
            <w:r>
              <w:rPr>
                <w:spacing w:val="1"/>
                <w:sz w:val="18"/>
                <w:szCs w:val="18"/>
              </w:rPr>
              <w:t>3.造型很适合幼儿认知，特征明</w:t>
            </w:r>
            <w:r>
              <w:rPr>
                <w:sz w:val="18"/>
                <w:szCs w:val="18"/>
              </w:rPr>
              <w:t xml:space="preserve">  </w:t>
            </w:r>
            <w:r>
              <w:rPr>
                <w:spacing w:val="-1"/>
                <w:sz w:val="18"/>
                <w:szCs w:val="18"/>
              </w:rPr>
              <w:t>显，符合手工造型规律，有创意。</w:t>
            </w:r>
            <w:r>
              <w:rPr>
                <w:spacing w:val="11"/>
                <w:sz w:val="18"/>
                <w:szCs w:val="18"/>
              </w:rPr>
              <w:t xml:space="preserve"> </w:t>
            </w:r>
            <w:r>
              <w:rPr>
                <w:spacing w:val="19"/>
                <w:sz w:val="18"/>
                <w:szCs w:val="18"/>
              </w:rPr>
              <w:t>(20分)</w:t>
            </w:r>
          </w:p>
          <w:p w14:paraId="6C4069B4">
            <w:pPr>
              <w:pStyle w:val="6"/>
              <w:spacing w:before="15" w:line="221" w:lineRule="auto"/>
              <w:ind w:left="17"/>
              <w:rPr>
                <w:sz w:val="18"/>
                <w:szCs w:val="18"/>
              </w:rPr>
            </w:pPr>
            <w:r>
              <w:rPr>
                <w:spacing w:val="-11"/>
                <w:sz w:val="18"/>
                <w:szCs w:val="18"/>
              </w:rPr>
              <w:t>4.做工精致，粘贴牢固，边缘整齐，</w:t>
            </w:r>
            <w:r>
              <w:rPr>
                <w:spacing w:val="3"/>
                <w:sz w:val="18"/>
                <w:szCs w:val="18"/>
              </w:rPr>
              <w:t xml:space="preserve"> </w:t>
            </w:r>
            <w:r>
              <w:rPr>
                <w:spacing w:val="-4"/>
                <w:sz w:val="18"/>
                <w:szCs w:val="18"/>
              </w:rPr>
              <w:t>连接点处理巧妙，能够应用结合</w:t>
            </w:r>
            <w:r>
              <w:rPr>
                <w:sz w:val="18"/>
                <w:szCs w:val="18"/>
              </w:rPr>
              <w:t xml:space="preserve">   </w:t>
            </w:r>
            <w:r>
              <w:rPr>
                <w:spacing w:val="-1"/>
                <w:sz w:val="18"/>
                <w:szCs w:val="18"/>
              </w:rPr>
              <w:t>废旧物材料特点。色彩搭配和谐，</w:t>
            </w:r>
            <w:r>
              <w:rPr>
                <w:spacing w:val="11"/>
                <w:sz w:val="18"/>
                <w:szCs w:val="18"/>
              </w:rPr>
              <w:t xml:space="preserve"> </w:t>
            </w:r>
            <w:r>
              <w:rPr>
                <w:spacing w:val="-1"/>
                <w:sz w:val="18"/>
                <w:szCs w:val="18"/>
              </w:rPr>
              <w:t>材料干净整洁。(15分)</w:t>
            </w:r>
          </w:p>
          <w:p w14:paraId="7D8F0A9A">
            <w:pPr>
              <w:pStyle w:val="6"/>
              <w:spacing w:before="18" w:line="210" w:lineRule="auto"/>
              <w:ind w:left="36" w:hanging="19"/>
              <w:rPr>
                <w:sz w:val="18"/>
                <w:szCs w:val="18"/>
              </w:rPr>
            </w:pPr>
            <w:r>
              <w:rPr>
                <w:spacing w:val="-5"/>
                <w:sz w:val="18"/>
                <w:szCs w:val="18"/>
              </w:rPr>
              <w:t>5.文字说明：能清晰准确表达设</w:t>
            </w:r>
            <w:r>
              <w:rPr>
                <w:spacing w:val="2"/>
                <w:sz w:val="18"/>
                <w:szCs w:val="18"/>
              </w:rPr>
              <w:t xml:space="preserve">   </w:t>
            </w:r>
            <w:r>
              <w:rPr>
                <w:spacing w:val="-13"/>
                <w:sz w:val="18"/>
                <w:szCs w:val="18"/>
              </w:rPr>
              <w:t>计意图，方案有创意、整体效果好。</w:t>
            </w:r>
            <w:r>
              <w:rPr>
                <w:spacing w:val="5"/>
                <w:sz w:val="18"/>
                <w:szCs w:val="18"/>
              </w:rPr>
              <w:t xml:space="preserve"> </w:t>
            </w:r>
            <w:r>
              <w:rPr>
                <w:spacing w:val="-2"/>
                <w:sz w:val="18"/>
                <w:szCs w:val="18"/>
              </w:rPr>
              <w:t>能很好的紧扣主题阐述设计意图。</w:t>
            </w:r>
            <w:r>
              <w:rPr>
                <w:spacing w:val="7"/>
                <w:sz w:val="18"/>
                <w:szCs w:val="18"/>
              </w:rPr>
              <w:t xml:space="preserve"> </w:t>
            </w:r>
            <w:r>
              <w:rPr>
                <w:spacing w:val="-5"/>
                <w:sz w:val="18"/>
                <w:szCs w:val="18"/>
              </w:rPr>
              <w:t>(</w:t>
            </w:r>
            <w:r>
              <w:rPr>
                <w:spacing w:val="-16"/>
                <w:sz w:val="18"/>
                <w:szCs w:val="18"/>
              </w:rPr>
              <w:t xml:space="preserve"> </w:t>
            </w:r>
            <w:r>
              <w:rPr>
                <w:spacing w:val="-5"/>
                <w:sz w:val="18"/>
                <w:szCs w:val="18"/>
              </w:rPr>
              <w:t>5</w:t>
            </w:r>
            <w:r>
              <w:rPr>
                <w:spacing w:val="-20"/>
                <w:sz w:val="18"/>
                <w:szCs w:val="18"/>
              </w:rPr>
              <w:t xml:space="preserve"> </w:t>
            </w:r>
            <w:r>
              <w:rPr>
                <w:spacing w:val="-5"/>
                <w:sz w:val="18"/>
                <w:szCs w:val="18"/>
              </w:rPr>
              <w:t>分</w:t>
            </w:r>
            <w:r>
              <w:rPr>
                <w:spacing w:val="-21"/>
                <w:sz w:val="18"/>
                <w:szCs w:val="18"/>
              </w:rPr>
              <w:t xml:space="preserve"> </w:t>
            </w:r>
            <w:r>
              <w:rPr>
                <w:spacing w:val="-5"/>
                <w:sz w:val="18"/>
                <w:szCs w:val="18"/>
              </w:rPr>
              <w:t>)</w:t>
            </w:r>
          </w:p>
        </w:tc>
      </w:tr>
      <w:tr w14:paraId="531737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16" w:hRule="atLeast"/>
        </w:trPr>
        <w:tc>
          <w:tcPr>
            <w:tcW w:w="474" w:type="dxa"/>
            <w:vAlign w:val="top"/>
          </w:tcPr>
          <w:p w14:paraId="16BAECA1">
            <w:pPr>
              <w:pStyle w:val="6"/>
              <w:spacing w:before="61" w:line="224" w:lineRule="auto"/>
              <w:ind w:left="45" w:right="8"/>
              <w:jc w:val="both"/>
              <w:rPr>
                <w:sz w:val="18"/>
                <w:szCs w:val="18"/>
              </w:rPr>
            </w:pPr>
            <w:r>
              <w:rPr>
                <w:spacing w:val="-26"/>
                <w:sz w:val="18"/>
                <w:szCs w:val="18"/>
              </w:rPr>
              <w:t>项</w:t>
            </w:r>
            <w:r>
              <w:rPr>
                <w:spacing w:val="-5"/>
                <w:sz w:val="18"/>
                <w:szCs w:val="18"/>
              </w:rPr>
              <w:t xml:space="preserve"> </w:t>
            </w:r>
            <w:r>
              <w:rPr>
                <w:spacing w:val="-26"/>
                <w:sz w:val="18"/>
                <w:szCs w:val="18"/>
              </w:rPr>
              <w:t>目</w:t>
            </w:r>
            <w:r>
              <w:rPr>
                <w:sz w:val="18"/>
                <w:szCs w:val="18"/>
              </w:rPr>
              <w:t xml:space="preserve"> </w:t>
            </w:r>
            <w:r>
              <w:rPr>
                <w:spacing w:val="1"/>
                <w:sz w:val="18"/>
                <w:szCs w:val="18"/>
              </w:rPr>
              <w:t>七</w:t>
            </w:r>
            <w:r>
              <w:rPr>
                <w:spacing w:val="-43"/>
                <w:sz w:val="18"/>
                <w:szCs w:val="18"/>
              </w:rPr>
              <w:t xml:space="preserve"> </w:t>
            </w:r>
            <w:r>
              <w:rPr>
                <w:spacing w:val="1"/>
                <w:sz w:val="18"/>
                <w:szCs w:val="18"/>
              </w:rPr>
              <w:t>：</w:t>
            </w:r>
            <w:r>
              <w:rPr>
                <w:sz w:val="18"/>
                <w:szCs w:val="18"/>
              </w:rPr>
              <w:t xml:space="preserve"> </w:t>
            </w:r>
            <w:r>
              <w:rPr>
                <w:spacing w:val="4"/>
                <w:sz w:val="18"/>
                <w:szCs w:val="18"/>
              </w:rPr>
              <w:t>即兴</w:t>
            </w:r>
            <w:r>
              <w:rPr>
                <w:sz w:val="18"/>
                <w:szCs w:val="18"/>
              </w:rPr>
              <w:t xml:space="preserve"> </w:t>
            </w:r>
            <w:r>
              <w:rPr>
                <w:spacing w:val="-3"/>
                <w:sz w:val="18"/>
                <w:szCs w:val="18"/>
              </w:rPr>
              <w:t>说话</w:t>
            </w:r>
          </w:p>
        </w:tc>
        <w:tc>
          <w:tcPr>
            <w:tcW w:w="769" w:type="dxa"/>
            <w:vAlign w:val="top"/>
          </w:tcPr>
          <w:p w14:paraId="5C5438A2">
            <w:pPr>
              <w:pStyle w:val="6"/>
              <w:spacing w:before="48" w:line="229" w:lineRule="auto"/>
              <w:ind w:left="11" w:right="11" w:firstLine="89"/>
              <w:rPr>
                <w:sz w:val="18"/>
                <w:szCs w:val="18"/>
              </w:rPr>
            </w:pPr>
            <w:r>
              <w:rPr>
                <w:spacing w:val="-3"/>
                <w:sz w:val="18"/>
                <w:szCs w:val="18"/>
              </w:rPr>
              <w:t>提供命</w:t>
            </w:r>
            <w:r>
              <w:rPr>
                <w:sz w:val="18"/>
                <w:szCs w:val="18"/>
              </w:rPr>
              <w:t xml:space="preserve">  </w:t>
            </w:r>
            <w:r>
              <w:rPr>
                <w:spacing w:val="4"/>
                <w:sz w:val="18"/>
                <w:szCs w:val="18"/>
              </w:rPr>
              <w:t>题，范围</w:t>
            </w:r>
          </w:p>
          <w:p w14:paraId="49F89ABE">
            <w:pPr>
              <w:pStyle w:val="6"/>
              <w:spacing w:before="5" w:line="219" w:lineRule="auto"/>
              <w:ind w:left="101"/>
              <w:rPr>
                <w:sz w:val="18"/>
                <w:szCs w:val="18"/>
              </w:rPr>
            </w:pPr>
            <w:r>
              <w:rPr>
                <w:spacing w:val="-3"/>
                <w:sz w:val="18"/>
                <w:szCs w:val="18"/>
              </w:rPr>
              <w:t>为幼儿</w:t>
            </w:r>
          </w:p>
          <w:p w14:paraId="2263F0F4">
            <w:pPr>
              <w:pStyle w:val="6"/>
              <w:spacing w:before="6" w:line="219" w:lineRule="auto"/>
              <w:ind w:left="101"/>
              <w:rPr>
                <w:sz w:val="18"/>
                <w:szCs w:val="18"/>
              </w:rPr>
            </w:pPr>
            <w:r>
              <w:rPr>
                <w:spacing w:val="3"/>
                <w:sz w:val="18"/>
                <w:szCs w:val="18"/>
              </w:rPr>
              <w:t>园教师</w:t>
            </w:r>
          </w:p>
          <w:p w14:paraId="5D2A0FFD">
            <w:pPr>
              <w:pStyle w:val="6"/>
              <w:spacing w:line="222" w:lineRule="auto"/>
              <w:ind w:left="101"/>
              <w:rPr>
                <w:sz w:val="18"/>
                <w:szCs w:val="18"/>
              </w:rPr>
            </w:pPr>
            <w:r>
              <w:rPr>
                <w:spacing w:val="-2"/>
                <w:sz w:val="18"/>
                <w:szCs w:val="18"/>
              </w:rPr>
              <w:t>职业道</w:t>
            </w:r>
          </w:p>
          <w:p w14:paraId="36996CA8">
            <w:pPr>
              <w:pStyle w:val="6"/>
              <w:spacing w:before="11" w:line="213" w:lineRule="auto"/>
              <w:ind w:left="191"/>
              <w:rPr>
                <w:sz w:val="18"/>
                <w:szCs w:val="18"/>
              </w:rPr>
            </w:pPr>
            <w:r>
              <w:rPr>
                <w:spacing w:val="-2"/>
                <w:sz w:val="18"/>
                <w:szCs w:val="18"/>
              </w:rPr>
              <w:t>德规</w:t>
            </w:r>
          </w:p>
          <w:p w14:paraId="4ED7E2D4">
            <w:pPr>
              <w:pStyle w:val="6"/>
              <w:spacing w:line="219" w:lineRule="auto"/>
              <w:ind w:left="11"/>
              <w:rPr>
                <w:sz w:val="18"/>
                <w:szCs w:val="18"/>
              </w:rPr>
            </w:pPr>
            <w:r>
              <w:rPr>
                <w:spacing w:val="2"/>
                <w:sz w:val="18"/>
                <w:szCs w:val="18"/>
              </w:rPr>
              <w:t>范和《幼</w:t>
            </w:r>
          </w:p>
          <w:p w14:paraId="0530FEA7">
            <w:pPr>
              <w:pStyle w:val="6"/>
              <w:spacing w:before="17" w:line="205" w:lineRule="auto"/>
              <w:ind w:left="101"/>
              <w:rPr>
                <w:sz w:val="18"/>
                <w:szCs w:val="18"/>
              </w:rPr>
            </w:pPr>
            <w:r>
              <w:rPr>
                <w:spacing w:val="-3"/>
                <w:sz w:val="18"/>
                <w:szCs w:val="18"/>
              </w:rPr>
              <w:t>儿园教</w:t>
            </w:r>
          </w:p>
          <w:p w14:paraId="03C0B7D8">
            <w:pPr>
              <w:pStyle w:val="6"/>
              <w:spacing w:line="219" w:lineRule="auto"/>
              <w:ind w:left="101"/>
              <w:rPr>
                <w:sz w:val="18"/>
                <w:szCs w:val="18"/>
              </w:rPr>
            </w:pPr>
            <w:r>
              <w:rPr>
                <w:spacing w:val="3"/>
                <w:sz w:val="18"/>
                <w:szCs w:val="18"/>
              </w:rPr>
              <w:t>育指导</w:t>
            </w:r>
          </w:p>
          <w:p w14:paraId="4B7D6148">
            <w:pPr>
              <w:pStyle w:val="6"/>
              <w:spacing w:before="17" w:line="215" w:lineRule="auto"/>
              <w:ind w:left="61"/>
              <w:rPr>
                <w:sz w:val="18"/>
                <w:szCs w:val="18"/>
              </w:rPr>
            </w:pPr>
            <w:r>
              <w:rPr>
                <w:spacing w:val="-2"/>
                <w:sz w:val="18"/>
                <w:szCs w:val="18"/>
              </w:rPr>
              <w:t>纲要(试</w:t>
            </w:r>
          </w:p>
          <w:p w14:paraId="389E59B6">
            <w:pPr>
              <w:pStyle w:val="6"/>
              <w:spacing w:line="220" w:lineRule="auto"/>
              <w:ind w:right="14"/>
              <w:jc w:val="right"/>
              <w:rPr>
                <w:sz w:val="18"/>
                <w:szCs w:val="18"/>
              </w:rPr>
            </w:pPr>
            <w:r>
              <w:rPr>
                <w:spacing w:val="-6"/>
                <w:sz w:val="18"/>
                <w:szCs w:val="18"/>
              </w:rPr>
              <w:t>行</w:t>
            </w:r>
            <w:r>
              <w:rPr>
                <w:spacing w:val="6"/>
                <w:sz w:val="18"/>
                <w:szCs w:val="18"/>
              </w:rPr>
              <w:t xml:space="preserve"> </w:t>
            </w:r>
            <w:r>
              <w:rPr>
                <w:spacing w:val="-6"/>
                <w:sz w:val="18"/>
                <w:szCs w:val="18"/>
              </w:rPr>
              <w:t>)</w:t>
            </w:r>
            <w:r>
              <w:rPr>
                <w:spacing w:val="15"/>
                <w:sz w:val="18"/>
                <w:szCs w:val="18"/>
              </w:rPr>
              <w:t xml:space="preserve"> </w:t>
            </w:r>
            <w:r>
              <w:rPr>
                <w:spacing w:val="-6"/>
                <w:sz w:val="18"/>
                <w:szCs w:val="18"/>
              </w:rPr>
              <w:t>》</w:t>
            </w:r>
          </w:p>
          <w:p w14:paraId="5C96A7F5">
            <w:pPr>
              <w:pStyle w:val="6"/>
              <w:spacing w:before="5" w:line="229" w:lineRule="auto"/>
              <w:ind w:left="101"/>
              <w:rPr>
                <w:sz w:val="18"/>
                <w:szCs w:val="18"/>
              </w:rPr>
            </w:pPr>
            <w:r>
              <w:rPr>
                <w:spacing w:val="-2"/>
                <w:sz w:val="18"/>
                <w:szCs w:val="18"/>
              </w:rPr>
              <w:t>《3-6</w:t>
            </w:r>
          </w:p>
          <w:p w14:paraId="30DBF71F">
            <w:pPr>
              <w:pStyle w:val="6"/>
              <w:spacing w:before="7" w:line="219" w:lineRule="auto"/>
              <w:ind w:left="101"/>
              <w:rPr>
                <w:sz w:val="18"/>
                <w:szCs w:val="18"/>
              </w:rPr>
            </w:pPr>
            <w:r>
              <w:rPr>
                <w:spacing w:val="2"/>
                <w:sz w:val="18"/>
                <w:szCs w:val="18"/>
              </w:rPr>
              <w:t>岁儿童</w:t>
            </w:r>
          </w:p>
          <w:p w14:paraId="19112BB4">
            <w:pPr>
              <w:pStyle w:val="6"/>
              <w:spacing w:before="17" w:line="221" w:lineRule="auto"/>
              <w:ind w:left="101"/>
              <w:rPr>
                <w:sz w:val="18"/>
                <w:szCs w:val="18"/>
              </w:rPr>
            </w:pPr>
            <w:r>
              <w:rPr>
                <w:spacing w:val="4"/>
                <w:sz w:val="18"/>
                <w:szCs w:val="18"/>
              </w:rPr>
              <w:t>学习与</w:t>
            </w:r>
          </w:p>
          <w:p w14:paraId="17579E78">
            <w:pPr>
              <w:pStyle w:val="6"/>
              <w:spacing w:before="4" w:line="205" w:lineRule="auto"/>
              <w:ind w:left="101"/>
              <w:rPr>
                <w:sz w:val="18"/>
                <w:szCs w:val="18"/>
              </w:rPr>
            </w:pPr>
            <w:r>
              <w:rPr>
                <w:spacing w:val="3"/>
                <w:sz w:val="18"/>
                <w:szCs w:val="18"/>
              </w:rPr>
              <w:t>发展指</w:t>
            </w:r>
          </w:p>
          <w:p w14:paraId="37570013">
            <w:pPr>
              <w:pStyle w:val="6"/>
              <w:spacing w:line="219" w:lineRule="auto"/>
              <w:ind w:left="11"/>
              <w:rPr>
                <w:sz w:val="18"/>
                <w:szCs w:val="18"/>
              </w:rPr>
            </w:pPr>
            <w:r>
              <w:rPr>
                <w:spacing w:val="-2"/>
                <w:sz w:val="18"/>
                <w:szCs w:val="18"/>
              </w:rPr>
              <w:t>南》《幼</w:t>
            </w:r>
          </w:p>
          <w:p w14:paraId="15DF7923">
            <w:pPr>
              <w:pStyle w:val="6"/>
              <w:spacing w:before="27" w:line="219" w:lineRule="auto"/>
              <w:ind w:left="101"/>
              <w:rPr>
                <w:sz w:val="18"/>
                <w:szCs w:val="18"/>
              </w:rPr>
            </w:pPr>
            <w:r>
              <w:rPr>
                <w:spacing w:val="-3"/>
                <w:sz w:val="18"/>
                <w:szCs w:val="18"/>
              </w:rPr>
              <w:t>儿教师</w:t>
            </w:r>
          </w:p>
          <w:p w14:paraId="0E148264">
            <w:pPr>
              <w:pStyle w:val="6"/>
              <w:spacing w:before="7" w:line="220" w:lineRule="auto"/>
              <w:ind w:left="101"/>
              <w:rPr>
                <w:sz w:val="18"/>
                <w:szCs w:val="18"/>
              </w:rPr>
            </w:pPr>
            <w:r>
              <w:rPr>
                <w:spacing w:val="-2"/>
                <w:sz w:val="18"/>
                <w:szCs w:val="18"/>
              </w:rPr>
              <w:t>专业标</w:t>
            </w:r>
          </w:p>
          <w:p w14:paraId="46473344">
            <w:pPr>
              <w:pStyle w:val="6"/>
              <w:spacing w:before="6" w:line="204" w:lineRule="auto"/>
              <w:ind w:left="151"/>
              <w:rPr>
                <w:sz w:val="18"/>
                <w:szCs w:val="18"/>
              </w:rPr>
            </w:pPr>
            <w:r>
              <w:rPr>
                <w:spacing w:val="-2"/>
                <w:sz w:val="18"/>
                <w:szCs w:val="18"/>
              </w:rPr>
              <w:t>准(试</w:t>
            </w:r>
          </w:p>
          <w:p w14:paraId="193F9188">
            <w:pPr>
              <w:pStyle w:val="6"/>
              <w:spacing w:line="205" w:lineRule="auto"/>
              <w:ind w:left="61"/>
              <w:rPr>
                <w:sz w:val="18"/>
                <w:szCs w:val="18"/>
              </w:rPr>
            </w:pPr>
            <w:r>
              <w:rPr>
                <w:spacing w:val="-2"/>
                <w:sz w:val="18"/>
                <w:szCs w:val="18"/>
              </w:rPr>
              <w:t>行)》政</w:t>
            </w:r>
          </w:p>
          <w:p w14:paraId="016999EB">
            <w:pPr>
              <w:pStyle w:val="6"/>
              <w:spacing w:before="1" w:line="189" w:lineRule="auto"/>
              <w:jc w:val="right"/>
              <w:rPr>
                <w:sz w:val="18"/>
                <w:szCs w:val="18"/>
              </w:rPr>
            </w:pPr>
            <w:r>
              <w:rPr>
                <w:spacing w:val="-6"/>
                <w:sz w:val="18"/>
                <w:szCs w:val="18"/>
              </w:rPr>
              <w:t>策法规。</w:t>
            </w:r>
          </w:p>
        </w:tc>
        <w:tc>
          <w:tcPr>
            <w:tcW w:w="809" w:type="dxa"/>
            <w:vAlign w:val="top"/>
          </w:tcPr>
          <w:p w14:paraId="06EBCDB3">
            <w:pPr>
              <w:pStyle w:val="6"/>
              <w:spacing w:before="51" w:line="220" w:lineRule="auto"/>
              <w:ind w:left="32"/>
              <w:rPr>
                <w:sz w:val="18"/>
                <w:szCs w:val="18"/>
              </w:rPr>
            </w:pPr>
            <w:r>
              <w:rPr>
                <w:spacing w:val="1"/>
                <w:sz w:val="18"/>
                <w:szCs w:val="18"/>
              </w:rPr>
              <w:t>即兴说话</w:t>
            </w:r>
          </w:p>
          <w:p w14:paraId="32321AF1">
            <w:pPr>
              <w:pStyle w:val="6"/>
              <w:spacing w:before="15" w:line="220" w:lineRule="auto"/>
              <w:ind w:left="122"/>
              <w:rPr>
                <w:sz w:val="18"/>
                <w:szCs w:val="18"/>
              </w:rPr>
            </w:pPr>
            <w:r>
              <w:rPr>
                <w:spacing w:val="7"/>
                <w:sz w:val="18"/>
                <w:szCs w:val="18"/>
              </w:rPr>
              <w:t>(50分)</w:t>
            </w:r>
          </w:p>
        </w:tc>
        <w:tc>
          <w:tcPr>
            <w:tcW w:w="1788" w:type="dxa"/>
            <w:vAlign w:val="top"/>
          </w:tcPr>
          <w:p w14:paraId="3D85E889">
            <w:pPr>
              <w:pStyle w:val="6"/>
              <w:spacing w:before="61" w:line="220" w:lineRule="auto"/>
              <w:ind w:left="13"/>
              <w:rPr>
                <w:sz w:val="18"/>
                <w:szCs w:val="18"/>
              </w:rPr>
            </w:pPr>
            <w:r>
              <w:rPr>
                <w:spacing w:val="-4"/>
                <w:sz w:val="18"/>
                <w:szCs w:val="18"/>
              </w:rPr>
              <w:t>1.题目现场抽签确定。</w:t>
            </w:r>
            <w:r>
              <w:rPr>
                <w:spacing w:val="7"/>
                <w:sz w:val="18"/>
                <w:szCs w:val="18"/>
              </w:rPr>
              <w:t xml:space="preserve"> </w:t>
            </w:r>
            <w:r>
              <w:rPr>
                <w:spacing w:val="-5"/>
                <w:sz w:val="18"/>
                <w:szCs w:val="18"/>
              </w:rPr>
              <w:t>2.考生现场抽题，准</w:t>
            </w:r>
            <w:r>
              <w:rPr>
                <w:spacing w:val="2"/>
                <w:sz w:val="18"/>
                <w:szCs w:val="18"/>
              </w:rPr>
              <w:t xml:space="preserve">   </w:t>
            </w:r>
            <w:r>
              <w:rPr>
                <w:spacing w:val="-3"/>
                <w:sz w:val="18"/>
                <w:szCs w:val="18"/>
              </w:rPr>
              <w:t>备时间为5分钟。</w:t>
            </w:r>
          </w:p>
          <w:p w14:paraId="6700EB4E">
            <w:pPr>
              <w:pStyle w:val="6"/>
              <w:spacing w:before="5" w:line="227" w:lineRule="auto"/>
              <w:ind w:left="13" w:right="220"/>
              <w:rPr>
                <w:sz w:val="18"/>
                <w:szCs w:val="18"/>
              </w:rPr>
            </w:pPr>
            <w:r>
              <w:rPr>
                <w:spacing w:val="1"/>
                <w:sz w:val="18"/>
                <w:szCs w:val="18"/>
              </w:rPr>
              <w:t>3.说话时间为3分钟</w:t>
            </w:r>
            <w:r>
              <w:rPr>
                <w:spacing w:val="3"/>
                <w:sz w:val="18"/>
                <w:szCs w:val="18"/>
              </w:rPr>
              <w:t xml:space="preserve"> </w:t>
            </w:r>
            <w:r>
              <w:rPr>
                <w:spacing w:val="-1"/>
                <w:sz w:val="18"/>
                <w:szCs w:val="18"/>
              </w:rPr>
              <w:t>以内。</w:t>
            </w:r>
          </w:p>
        </w:tc>
        <w:tc>
          <w:tcPr>
            <w:tcW w:w="2188" w:type="dxa"/>
            <w:vAlign w:val="top"/>
          </w:tcPr>
          <w:p w14:paraId="08464202">
            <w:pPr>
              <w:pStyle w:val="6"/>
              <w:spacing w:before="41" w:line="225" w:lineRule="auto"/>
              <w:ind w:left="15" w:right="165" w:firstLine="9"/>
              <w:rPr>
                <w:sz w:val="18"/>
                <w:szCs w:val="18"/>
              </w:rPr>
            </w:pPr>
            <w:r>
              <w:rPr>
                <w:sz w:val="18"/>
                <w:szCs w:val="18"/>
              </w:rPr>
              <w:t>1.语言表达比较准确、流</w:t>
            </w:r>
            <w:r>
              <w:rPr>
                <w:spacing w:val="6"/>
                <w:sz w:val="18"/>
                <w:szCs w:val="18"/>
              </w:rPr>
              <w:t xml:space="preserve"> </w:t>
            </w:r>
            <w:r>
              <w:rPr>
                <w:spacing w:val="-1"/>
                <w:sz w:val="18"/>
                <w:szCs w:val="18"/>
              </w:rPr>
              <w:t>畅、语速适中。</w:t>
            </w:r>
          </w:p>
          <w:p w14:paraId="197E581C">
            <w:pPr>
              <w:pStyle w:val="6"/>
              <w:spacing w:before="1" w:line="225" w:lineRule="auto"/>
              <w:ind w:left="15" w:right="192"/>
              <w:rPr>
                <w:sz w:val="18"/>
                <w:szCs w:val="18"/>
              </w:rPr>
            </w:pPr>
            <w:r>
              <w:rPr>
                <w:spacing w:val="-1"/>
                <w:sz w:val="18"/>
                <w:szCs w:val="18"/>
              </w:rPr>
              <w:t>2.条理清晰，有一定的交</w:t>
            </w:r>
            <w:r>
              <w:rPr>
                <w:spacing w:val="1"/>
                <w:sz w:val="18"/>
                <w:szCs w:val="18"/>
              </w:rPr>
              <w:t xml:space="preserve"> </w:t>
            </w:r>
            <w:r>
              <w:rPr>
                <w:sz w:val="18"/>
                <w:szCs w:val="18"/>
              </w:rPr>
              <w:t>流、沟通、应变能力。</w:t>
            </w:r>
          </w:p>
          <w:p w14:paraId="790561C3">
            <w:pPr>
              <w:pStyle w:val="6"/>
              <w:spacing w:before="1" w:line="223" w:lineRule="auto"/>
              <w:ind w:left="15" w:right="2"/>
              <w:rPr>
                <w:sz w:val="18"/>
                <w:szCs w:val="18"/>
              </w:rPr>
            </w:pPr>
            <w:r>
              <w:rPr>
                <w:spacing w:val="1"/>
                <w:sz w:val="18"/>
                <w:szCs w:val="18"/>
              </w:rPr>
              <w:t>3.内容表达能体现正确的</w:t>
            </w:r>
            <w:r>
              <w:rPr>
                <w:sz w:val="18"/>
                <w:szCs w:val="18"/>
              </w:rPr>
              <w:t xml:space="preserve">   </w:t>
            </w:r>
            <w:r>
              <w:rPr>
                <w:spacing w:val="-1"/>
                <w:sz w:val="18"/>
                <w:szCs w:val="18"/>
              </w:rPr>
              <w:t>教育观、儿童观、职业观。</w:t>
            </w:r>
            <w:r>
              <w:rPr>
                <w:spacing w:val="10"/>
                <w:sz w:val="18"/>
                <w:szCs w:val="18"/>
              </w:rPr>
              <w:t xml:space="preserve"> </w:t>
            </w:r>
            <w:r>
              <w:rPr>
                <w:sz w:val="18"/>
                <w:szCs w:val="18"/>
              </w:rPr>
              <w:t>4.仪表得当，仪态得体，</w:t>
            </w:r>
          </w:p>
          <w:p w14:paraId="6E6C2EDE">
            <w:pPr>
              <w:pStyle w:val="6"/>
              <w:spacing w:before="5" w:line="219" w:lineRule="auto"/>
              <w:ind w:left="15"/>
              <w:rPr>
                <w:sz w:val="18"/>
                <w:szCs w:val="18"/>
              </w:rPr>
            </w:pPr>
            <w:r>
              <w:rPr>
                <w:spacing w:val="-1"/>
                <w:sz w:val="18"/>
                <w:szCs w:val="18"/>
              </w:rPr>
              <w:t>举止自然大方，精神饱满。</w:t>
            </w:r>
          </w:p>
        </w:tc>
        <w:tc>
          <w:tcPr>
            <w:tcW w:w="2725" w:type="dxa"/>
            <w:vAlign w:val="top"/>
          </w:tcPr>
          <w:p w14:paraId="1E6720A3">
            <w:pPr>
              <w:pStyle w:val="6"/>
              <w:spacing w:before="38" w:line="224" w:lineRule="auto"/>
              <w:ind w:left="27" w:firstLine="9"/>
              <w:rPr>
                <w:sz w:val="18"/>
                <w:szCs w:val="18"/>
              </w:rPr>
            </w:pPr>
            <w:r>
              <w:rPr>
                <w:spacing w:val="2"/>
                <w:sz w:val="18"/>
                <w:szCs w:val="18"/>
              </w:rPr>
              <w:t>1.仪表形象：着装大方、自然、</w:t>
            </w:r>
            <w:r>
              <w:rPr>
                <w:spacing w:val="1"/>
                <w:sz w:val="18"/>
                <w:szCs w:val="18"/>
              </w:rPr>
              <w:t xml:space="preserve">  </w:t>
            </w:r>
            <w:r>
              <w:rPr>
                <w:spacing w:val="-13"/>
                <w:sz w:val="18"/>
                <w:szCs w:val="18"/>
              </w:rPr>
              <w:t>得体；举止从容、端正；精神饱满、</w:t>
            </w:r>
            <w:r>
              <w:rPr>
                <w:spacing w:val="14"/>
                <w:sz w:val="18"/>
                <w:szCs w:val="18"/>
              </w:rPr>
              <w:t xml:space="preserve"> </w:t>
            </w:r>
            <w:r>
              <w:rPr>
                <w:sz w:val="18"/>
                <w:szCs w:val="18"/>
              </w:rPr>
              <w:t>态度亲切。(5分)</w:t>
            </w:r>
          </w:p>
          <w:p w14:paraId="2B0A6180">
            <w:pPr>
              <w:pStyle w:val="6"/>
              <w:spacing w:before="16" w:line="217" w:lineRule="auto"/>
              <w:ind w:left="36" w:hanging="19"/>
              <w:rPr>
                <w:sz w:val="18"/>
                <w:szCs w:val="18"/>
              </w:rPr>
            </w:pPr>
            <w:r>
              <w:rPr>
                <w:spacing w:val="-11"/>
                <w:sz w:val="18"/>
                <w:szCs w:val="18"/>
              </w:rPr>
              <w:t>2.内容要求：紧扣主题，构思新颖，</w:t>
            </w:r>
            <w:r>
              <w:rPr>
                <w:spacing w:val="3"/>
                <w:sz w:val="18"/>
                <w:szCs w:val="18"/>
              </w:rPr>
              <w:t xml:space="preserve"> </w:t>
            </w:r>
            <w:r>
              <w:rPr>
                <w:spacing w:val="-1"/>
                <w:sz w:val="18"/>
                <w:szCs w:val="18"/>
              </w:rPr>
              <w:t>层次分明，条理清晰(10分)</w:t>
            </w:r>
          </w:p>
          <w:p w14:paraId="312AE6D8">
            <w:pPr>
              <w:pStyle w:val="6"/>
              <w:spacing w:before="16" w:line="217" w:lineRule="auto"/>
              <w:ind w:left="17" w:right="163"/>
              <w:rPr>
                <w:sz w:val="18"/>
                <w:szCs w:val="18"/>
              </w:rPr>
            </w:pPr>
            <w:r>
              <w:rPr>
                <w:sz w:val="18"/>
                <w:szCs w:val="18"/>
              </w:rPr>
              <w:t>3.内容表达：能体现正确的教育</w:t>
            </w:r>
            <w:r>
              <w:rPr>
                <w:spacing w:val="13"/>
                <w:sz w:val="18"/>
                <w:szCs w:val="18"/>
              </w:rPr>
              <w:t xml:space="preserve"> </w:t>
            </w:r>
            <w:r>
              <w:rPr>
                <w:spacing w:val="2"/>
                <w:sz w:val="18"/>
                <w:szCs w:val="18"/>
              </w:rPr>
              <w:t>观、儿童观、职业观。(10分)</w:t>
            </w:r>
          </w:p>
          <w:p w14:paraId="47215543">
            <w:pPr>
              <w:pStyle w:val="6"/>
              <w:spacing w:before="18" w:line="222" w:lineRule="auto"/>
              <w:ind w:left="17" w:firstLine="9"/>
              <w:rPr>
                <w:sz w:val="18"/>
                <w:szCs w:val="18"/>
              </w:rPr>
            </w:pPr>
            <w:r>
              <w:rPr>
                <w:spacing w:val="-5"/>
                <w:sz w:val="18"/>
                <w:szCs w:val="18"/>
              </w:rPr>
              <w:t>4.语言表达：普通话标准，发音</w:t>
            </w:r>
            <w:r>
              <w:rPr>
                <w:spacing w:val="3"/>
                <w:sz w:val="18"/>
                <w:szCs w:val="18"/>
              </w:rPr>
              <w:t xml:space="preserve">   </w:t>
            </w:r>
            <w:r>
              <w:rPr>
                <w:spacing w:val="-12"/>
                <w:sz w:val="18"/>
                <w:szCs w:val="18"/>
              </w:rPr>
              <w:t>准确，语言规范、准确，语速适中，</w:t>
            </w:r>
            <w:r>
              <w:rPr>
                <w:spacing w:val="8"/>
                <w:sz w:val="18"/>
                <w:szCs w:val="18"/>
              </w:rPr>
              <w:t xml:space="preserve"> </w:t>
            </w:r>
            <w:r>
              <w:rPr>
                <w:sz w:val="18"/>
                <w:szCs w:val="18"/>
              </w:rPr>
              <w:t>表达流畅。(15分)</w:t>
            </w:r>
          </w:p>
          <w:p w14:paraId="6D7DEE7F">
            <w:pPr>
              <w:pStyle w:val="6"/>
              <w:spacing w:line="232" w:lineRule="auto"/>
              <w:ind w:left="36" w:right="178" w:hanging="9"/>
              <w:rPr>
                <w:sz w:val="18"/>
                <w:szCs w:val="18"/>
              </w:rPr>
            </w:pPr>
            <w:r>
              <w:rPr>
                <w:spacing w:val="-1"/>
                <w:sz w:val="18"/>
                <w:szCs w:val="18"/>
              </w:rPr>
              <w:t>5.表达效果：表述流畅，语言极</w:t>
            </w:r>
            <w:r>
              <w:rPr>
                <w:spacing w:val="3"/>
                <w:sz w:val="18"/>
                <w:szCs w:val="18"/>
              </w:rPr>
              <w:t xml:space="preserve"> </w:t>
            </w:r>
            <w:r>
              <w:rPr>
                <w:spacing w:val="2"/>
                <w:sz w:val="18"/>
                <w:szCs w:val="18"/>
              </w:rPr>
              <w:t>具感染力和表现力。(10分)</w:t>
            </w:r>
          </w:p>
        </w:tc>
      </w:tr>
      <w:tr w14:paraId="020EE1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62" w:hRule="atLeast"/>
        </w:trPr>
        <w:tc>
          <w:tcPr>
            <w:tcW w:w="474" w:type="dxa"/>
            <w:vAlign w:val="top"/>
          </w:tcPr>
          <w:p w14:paraId="29AAE748">
            <w:pPr>
              <w:pStyle w:val="6"/>
              <w:spacing w:before="56" w:line="220" w:lineRule="auto"/>
              <w:ind w:left="45" w:right="8"/>
              <w:jc w:val="both"/>
              <w:rPr>
                <w:sz w:val="18"/>
                <w:szCs w:val="18"/>
              </w:rPr>
            </w:pPr>
            <w:r>
              <w:rPr>
                <w:spacing w:val="-26"/>
                <w:sz w:val="18"/>
                <w:szCs w:val="18"/>
              </w:rPr>
              <w:t>项</w:t>
            </w:r>
            <w:r>
              <w:rPr>
                <w:spacing w:val="-5"/>
                <w:sz w:val="18"/>
                <w:szCs w:val="18"/>
              </w:rPr>
              <w:t xml:space="preserve"> </w:t>
            </w:r>
            <w:r>
              <w:rPr>
                <w:spacing w:val="-26"/>
                <w:sz w:val="18"/>
                <w:szCs w:val="18"/>
              </w:rPr>
              <w:t>目</w:t>
            </w:r>
            <w:r>
              <w:rPr>
                <w:sz w:val="18"/>
                <w:szCs w:val="18"/>
              </w:rPr>
              <w:t xml:space="preserve"> </w:t>
            </w:r>
            <w:r>
              <w:rPr>
                <w:spacing w:val="-1"/>
                <w:sz w:val="18"/>
                <w:szCs w:val="18"/>
              </w:rPr>
              <w:t>八</w:t>
            </w:r>
            <w:r>
              <w:rPr>
                <w:spacing w:val="-39"/>
                <w:sz w:val="18"/>
                <w:szCs w:val="18"/>
              </w:rPr>
              <w:t xml:space="preserve"> </w:t>
            </w:r>
            <w:r>
              <w:rPr>
                <w:spacing w:val="-1"/>
                <w:sz w:val="18"/>
                <w:szCs w:val="18"/>
              </w:rPr>
              <w:t>：</w:t>
            </w:r>
            <w:r>
              <w:rPr>
                <w:sz w:val="18"/>
                <w:szCs w:val="18"/>
              </w:rPr>
              <w:t xml:space="preserve"> </w:t>
            </w:r>
            <w:r>
              <w:rPr>
                <w:spacing w:val="-4"/>
                <w:sz w:val="18"/>
                <w:szCs w:val="18"/>
              </w:rPr>
              <w:t>讲演</w:t>
            </w:r>
            <w:r>
              <w:rPr>
                <w:sz w:val="18"/>
                <w:szCs w:val="18"/>
              </w:rPr>
              <w:t xml:space="preserve"> </w:t>
            </w:r>
            <w:r>
              <w:rPr>
                <w:spacing w:val="-6"/>
                <w:sz w:val="18"/>
                <w:szCs w:val="18"/>
              </w:rPr>
              <w:t>儿童</w:t>
            </w:r>
            <w:r>
              <w:rPr>
                <w:sz w:val="18"/>
                <w:szCs w:val="18"/>
              </w:rPr>
              <w:t xml:space="preserve"> </w:t>
            </w:r>
            <w:r>
              <w:rPr>
                <w:spacing w:val="-3"/>
                <w:sz w:val="18"/>
                <w:szCs w:val="18"/>
              </w:rPr>
              <w:t>故事</w:t>
            </w:r>
          </w:p>
        </w:tc>
        <w:tc>
          <w:tcPr>
            <w:tcW w:w="769" w:type="dxa"/>
            <w:vAlign w:val="top"/>
          </w:tcPr>
          <w:p w14:paraId="15818919">
            <w:pPr>
              <w:pStyle w:val="6"/>
              <w:spacing w:before="53" w:line="219" w:lineRule="auto"/>
              <w:ind w:left="61" w:firstLine="38"/>
              <w:rPr>
                <w:sz w:val="18"/>
                <w:szCs w:val="18"/>
              </w:rPr>
            </w:pPr>
            <w:r>
              <w:rPr>
                <w:spacing w:val="-9"/>
                <w:sz w:val="18"/>
                <w:szCs w:val="18"/>
              </w:rPr>
              <w:t>提供音</w:t>
            </w:r>
            <w:r>
              <w:rPr>
                <w:sz w:val="18"/>
                <w:szCs w:val="18"/>
              </w:rPr>
              <w:t xml:space="preserve">  </w:t>
            </w:r>
            <w:r>
              <w:rPr>
                <w:spacing w:val="-6"/>
                <w:sz w:val="18"/>
                <w:szCs w:val="18"/>
              </w:rPr>
              <w:t>响设备。</w:t>
            </w:r>
          </w:p>
        </w:tc>
        <w:tc>
          <w:tcPr>
            <w:tcW w:w="809" w:type="dxa"/>
            <w:vAlign w:val="top"/>
          </w:tcPr>
          <w:p w14:paraId="6C37CC91">
            <w:pPr>
              <w:pStyle w:val="6"/>
              <w:spacing w:before="34" w:line="219" w:lineRule="auto"/>
              <w:ind w:left="32"/>
              <w:rPr>
                <w:sz w:val="18"/>
                <w:szCs w:val="18"/>
              </w:rPr>
            </w:pPr>
            <w:r>
              <w:rPr>
                <w:spacing w:val="-2"/>
                <w:sz w:val="18"/>
                <w:szCs w:val="18"/>
              </w:rPr>
              <w:t>讲演儿童</w:t>
            </w:r>
          </w:p>
          <w:p w14:paraId="18654E9B">
            <w:pPr>
              <w:pStyle w:val="6"/>
              <w:spacing w:before="17" w:line="215" w:lineRule="auto"/>
              <w:ind w:left="212"/>
              <w:rPr>
                <w:sz w:val="18"/>
                <w:szCs w:val="18"/>
              </w:rPr>
            </w:pPr>
            <w:r>
              <w:rPr>
                <w:spacing w:val="-3"/>
                <w:sz w:val="18"/>
                <w:szCs w:val="18"/>
              </w:rPr>
              <w:t>故事</w:t>
            </w:r>
          </w:p>
          <w:p w14:paraId="119862CC">
            <w:pPr>
              <w:pStyle w:val="6"/>
              <w:spacing w:line="220" w:lineRule="auto"/>
              <w:ind w:left="122"/>
              <w:rPr>
                <w:sz w:val="18"/>
                <w:szCs w:val="18"/>
              </w:rPr>
            </w:pPr>
            <w:r>
              <w:rPr>
                <w:spacing w:val="7"/>
                <w:sz w:val="18"/>
                <w:szCs w:val="18"/>
              </w:rPr>
              <w:t>(50分)</w:t>
            </w:r>
          </w:p>
        </w:tc>
        <w:tc>
          <w:tcPr>
            <w:tcW w:w="1788" w:type="dxa"/>
            <w:vAlign w:val="top"/>
          </w:tcPr>
          <w:p w14:paraId="69C8B4E4">
            <w:pPr>
              <w:pStyle w:val="6"/>
              <w:spacing w:before="34" w:line="223" w:lineRule="auto"/>
              <w:ind w:left="13" w:right="117" w:firstLine="10"/>
              <w:jc w:val="both"/>
              <w:rPr>
                <w:sz w:val="18"/>
                <w:szCs w:val="18"/>
              </w:rPr>
            </w:pPr>
            <w:r>
              <w:rPr>
                <w:spacing w:val="1"/>
                <w:sz w:val="18"/>
                <w:szCs w:val="18"/>
              </w:rPr>
              <w:t>1.儿童故事测试范围</w:t>
            </w:r>
            <w:r>
              <w:rPr>
                <w:spacing w:val="5"/>
                <w:sz w:val="18"/>
                <w:szCs w:val="18"/>
              </w:rPr>
              <w:t xml:space="preserve"> </w:t>
            </w:r>
            <w:r>
              <w:rPr>
                <w:spacing w:val="2"/>
                <w:sz w:val="18"/>
                <w:szCs w:val="18"/>
              </w:rPr>
              <w:t xml:space="preserve">由命题单位提前一周 </w:t>
            </w:r>
            <w:r>
              <w:rPr>
                <w:spacing w:val="-1"/>
                <w:sz w:val="18"/>
                <w:szCs w:val="18"/>
              </w:rPr>
              <w:t>左右公布。</w:t>
            </w:r>
          </w:p>
          <w:p w14:paraId="7FDD73B8">
            <w:pPr>
              <w:pStyle w:val="6"/>
              <w:spacing w:before="18" w:line="225" w:lineRule="auto"/>
              <w:ind w:left="13" w:right="54"/>
              <w:rPr>
                <w:sz w:val="18"/>
                <w:szCs w:val="18"/>
              </w:rPr>
            </w:pPr>
            <w:r>
              <w:rPr>
                <w:spacing w:val="3"/>
                <w:sz w:val="18"/>
                <w:szCs w:val="18"/>
              </w:rPr>
              <w:t>2.</w:t>
            </w:r>
            <w:r>
              <w:rPr>
                <w:spacing w:val="-32"/>
                <w:sz w:val="18"/>
                <w:szCs w:val="18"/>
              </w:rPr>
              <w:t xml:space="preserve"> </w:t>
            </w:r>
            <w:r>
              <w:rPr>
                <w:spacing w:val="3"/>
                <w:sz w:val="18"/>
                <w:szCs w:val="18"/>
              </w:rPr>
              <w:t>自备服装、道具、</w:t>
            </w:r>
            <w:r>
              <w:rPr>
                <w:sz w:val="18"/>
                <w:szCs w:val="18"/>
              </w:rPr>
              <w:t xml:space="preserve"> </w:t>
            </w:r>
            <w:r>
              <w:rPr>
                <w:spacing w:val="-1"/>
                <w:sz w:val="18"/>
                <w:szCs w:val="18"/>
              </w:rPr>
              <w:t>配套音乐。</w:t>
            </w:r>
          </w:p>
          <w:p w14:paraId="7A38DFC9">
            <w:pPr>
              <w:pStyle w:val="6"/>
              <w:spacing w:line="219" w:lineRule="auto"/>
              <w:ind w:left="13"/>
              <w:rPr>
                <w:sz w:val="18"/>
                <w:szCs w:val="18"/>
              </w:rPr>
            </w:pPr>
            <w:r>
              <w:rPr>
                <w:sz w:val="18"/>
                <w:szCs w:val="18"/>
              </w:rPr>
              <w:t>3.时间3-5分钟以内。</w:t>
            </w:r>
          </w:p>
        </w:tc>
        <w:tc>
          <w:tcPr>
            <w:tcW w:w="2188" w:type="dxa"/>
            <w:vAlign w:val="top"/>
          </w:tcPr>
          <w:p w14:paraId="72FE0AB5">
            <w:pPr>
              <w:pStyle w:val="6"/>
              <w:spacing w:before="43" w:line="221" w:lineRule="auto"/>
              <w:ind w:left="15"/>
              <w:rPr>
                <w:sz w:val="18"/>
                <w:szCs w:val="18"/>
              </w:rPr>
            </w:pPr>
            <w:r>
              <w:rPr>
                <w:sz w:val="18"/>
                <w:szCs w:val="18"/>
              </w:rPr>
              <w:t>1.普通话标准，吐字清晰、</w:t>
            </w:r>
            <w:r>
              <w:rPr>
                <w:spacing w:val="1"/>
                <w:sz w:val="18"/>
                <w:szCs w:val="18"/>
              </w:rPr>
              <w:t xml:space="preserve"> </w:t>
            </w:r>
            <w:r>
              <w:rPr>
                <w:spacing w:val="-4"/>
                <w:sz w:val="18"/>
                <w:szCs w:val="18"/>
              </w:rPr>
              <w:t>准确。</w:t>
            </w:r>
          </w:p>
          <w:p w14:paraId="7A9BAF02">
            <w:pPr>
              <w:pStyle w:val="6"/>
              <w:spacing w:line="229" w:lineRule="auto"/>
              <w:ind w:left="15"/>
              <w:rPr>
                <w:sz w:val="18"/>
                <w:szCs w:val="18"/>
              </w:rPr>
            </w:pPr>
            <w:r>
              <w:rPr>
                <w:spacing w:val="-2"/>
                <w:sz w:val="18"/>
                <w:szCs w:val="18"/>
              </w:rPr>
              <w:t>2.语言生动形象，符合幼儿</w:t>
            </w:r>
            <w:r>
              <w:rPr>
                <w:spacing w:val="3"/>
                <w:sz w:val="18"/>
                <w:szCs w:val="18"/>
              </w:rPr>
              <w:t xml:space="preserve"> </w:t>
            </w:r>
            <w:r>
              <w:rPr>
                <w:sz w:val="18"/>
                <w:szCs w:val="18"/>
              </w:rPr>
              <w:t>年龄特点，讲述富有感染力</w:t>
            </w:r>
            <w:r>
              <w:rPr>
                <w:spacing w:val="1"/>
                <w:sz w:val="18"/>
                <w:szCs w:val="18"/>
              </w:rPr>
              <w:t xml:space="preserve"> </w:t>
            </w:r>
            <w:r>
              <w:rPr>
                <w:spacing w:val="-1"/>
                <w:sz w:val="18"/>
                <w:szCs w:val="18"/>
              </w:rPr>
              <w:t>和表现力，且绘声绘色。</w:t>
            </w:r>
          </w:p>
          <w:p w14:paraId="26E57AE0">
            <w:pPr>
              <w:pStyle w:val="6"/>
              <w:spacing w:line="219" w:lineRule="auto"/>
              <w:ind w:left="15"/>
              <w:rPr>
                <w:sz w:val="18"/>
                <w:szCs w:val="18"/>
              </w:rPr>
            </w:pPr>
            <w:r>
              <w:rPr>
                <w:sz w:val="18"/>
                <w:szCs w:val="18"/>
              </w:rPr>
              <w:t>3.讲述形式富有创意。</w:t>
            </w:r>
          </w:p>
          <w:p w14:paraId="2554E0FB">
            <w:pPr>
              <w:pStyle w:val="6"/>
              <w:spacing w:before="16" w:line="219" w:lineRule="auto"/>
              <w:jc w:val="right"/>
              <w:rPr>
                <w:sz w:val="18"/>
                <w:szCs w:val="18"/>
              </w:rPr>
            </w:pPr>
            <w:r>
              <w:rPr>
                <w:spacing w:val="-13"/>
                <w:sz w:val="18"/>
                <w:szCs w:val="18"/>
              </w:rPr>
              <w:t>4.仪表、仪态自然大方得体。</w:t>
            </w:r>
          </w:p>
        </w:tc>
        <w:tc>
          <w:tcPr>
            <w:tcW w:w="2725" w:type="dxa"/>
            <w:vAlign w:val="top"/>
          </w:tcPr>
          <w:p w14:paraId="2A29F96D">
            <w:pPr>
              <w:pStyle w:val="6"/>
              <w:spacing w:before="44" w:line="220" w:lineRule="auto"/>
              <w:ind w:left="17" w:firstLine="29"/>
              <w:rPr>
                <w:sz w:val="18"/>
                <w:szCs w:val="18"/>
              </w:rPr>
            </w:pPr>
            <w:r>
              <w:rPr>
                <w:spacing w:val="-4"/>
                <w:sz w:val="18"/>
                <w:szCs w:val="18"/>
              </w:rPr>
              <w:t>1.仪表形象：着装大方得体；举止</w:t>
            </w:r>
            <w:r>
              <w:rPr>
                <w:spacing w:val="1"/>
                <w:sz w:val="18"/>
                <w:szCs w:val="18"/>
              </w:rPr>
              <w:t xml:space="preserve"> </w:t>
            </w:r>
            <w:r>
              <w:rPr>
                <w:spacing w:val="-6"/>
                <w:sz w:val="18"/>
                <w:szCs w:val="18"/>
              </w:rPr>
              <w:t>从容，精神饱满、态度亲切。(5分)</w:t>
            </w:r>
            <w:r>
              <w:rPr>
                <w:spacing w:val="8"/>
                <w:sz w:val="18"/>
                <w:szCs w:val="18"/>
              </w:rPr>
              <w:t xml:space="preserve"> </w:t>
            </w:r>
            <w:r>
              <w:rPr>
                <w:spacing w:val="-1"/>
                <w:sz w:val="18"/>
                <w:szCs w:val="18"/>
              </w:rPr>
              <w:t>2.语言表达：普通话标准，吐字</w:t>
            </w:r>
          </w:p>
          <w:p w14:paraId="16D9C042">
            <w:pPr>
              <w:pStyle w:val="6"/>
              <w:spacing w:before="19" w:line="222" w:lineRule="auto"/>
              <w:ind w:left="17" w:right="88"/>
              <w:rPr>
                <w:sz w:val="18"/>
                <w:szCs w:val="18"/>
              </w:rPr>
            </w:pPr>
            <w:r>
              <w:rPr>
                <w:spacing w:val="6"/>
                <w:sz w:val="18"/>
                <w:szCs w:val="18"/>
              </w:rPr>
              <w:t>清晰、准确，语言生动，语气、</w:t>
            </w:r>
            <w:r>
              <w:rPr>
                <w:spacing w:val="4"/>
                <w:sz w:val="18"/>
                <w:szCs w:val="18"/>
              </w:rPr>
              <w:t xml:space="preserve"> </w:t>
            </w:r>
            <w:r>
              <w:rPr>
                <w:sz w:val="18"/>
                <w:szCs w:val="18"/>
              </w:rPr>
              <w:t>语调、声音、节奏富于变化，轻</w:t>
            </w:r>
            <w:r>
              <w:rPr>
                <w:spacing w:val="1"/>
                <w:sz w:val="18"/>
                <w:szCs w:val="18"/>
              </w:rPr>
              <w:t xml:space="preserve">  </w:t>
            </w:r>
            <w:r>
              <w:rPr>
                <w:spacing w:val="3"/>
                <w:sz w:val="18"/>
                <w:szCs w:val="18"/>
              </w:rPr>
              <w:t>重缓急、抑扬顿挫，切合故事的</w:t>
            </w:r>
            <w:r>
              <w:rPr>
                <w:spacing w:val="1"/>
                <w:sz w:val="18"/>
                <w:szCs w:val="18"/>
              </w:rPr>
              <w:t xml:space="preserve"> </w:t>
            </w:r>
            <w:r>
              <w:rPr>
                <w:spacing w:val="-1"/>
                <w:sz w:val="18"/>
                <w:szCs w:val="18"/>
              </w:rPr>
              <w:t>内容、能准确恰当地表情达意。</w:t>
            </w:r>
            <w:r>
              <w:rPr>
                <w:spacing w:val="6"/>
                <w:sz w:val="18"/>
                <w:szCs w:val="18"/>
              </w:rPr>
              <w:t xml:space="preserve">  </w:t>
            </w:r>
            <w:r>
              <w:rPr>
                <w:spacing w:val="17"/>
                <w:sz w:val="18"/>
                <w:szCs w:val="18"/>
              </w:rPr>
              <w:t>(15分)</w:t>
            </w:r>
          </w:p>
          <w:p w14:paraId="412BF6F1">
            <w:pPr>
              <w:pStyle w:val="6"/>
              <w:spacing w:before="36" w:line="222" w:lineRule="auto"/>
              <w:ind w:left="17"/>
              <w:rPr>
                <w:sz w:val="18"/>
                <w:szCs w:val="18"/>
              </w:rPr>
            </w:pPr>
            <w:r>
              <w:rPr>
                <w:spacing w:val="-1"/>
                <w:sz w:val="18"/>
                <w:szCs w:val="18"/>
              </w:rPr>
              <w:t>3.态势神情：姿态、动作、手势、</w:t>
            </w:r>
            <w:r>
              <w:rPr>
                <w:spacing w:val="12"/>
                <w:sz w:val="18"/>
                <w:szCs w:val="18"/>
              </w:rPr>
              <w:t xml:space="preserve"> </w:t>
            </w:r>
            <w:r>
              <w:rPr>
                <w:spacing w:val="-1"/>
                <w:sz w:val="18"/>
                <w:szCs w:val="18"/>
              </w:rPr>
              <w:t>表情、眼神能准确、鲜明、自然、</w:t>
            </w:r>
            <w:r>
              <w:rPr>
                <w:spacing w:val="11"/>
                <w:sz w:val="18"/>
                <w:szCs w:val="18"/>
              </w:rPr>
              <w:t xml:space="preserve"> </w:t>
            </w:r>
            <w:r>
              <w:rPr>
                <w:spacing w:val="-1"/>
                <w:sz w:val="18"/>
                <w:szCs w:val="18"/>
              </w:rPr>
              <w:t>形象地表达故事内容和思想感情、</w:t>
            </w:r>
            <w:r>
              <w:rPr>
                <w:spacing w:val="11"/>
                <w:sz w:val="18"/>
                <w:szCs w:val="18"/>
              </w:rPr>
              <w:t xml:space="preserve"> </w:t>
            </w:r>
            <w:r>
              <w:rPr>
                <w:spacing w:val="-4"/>
                <w:sz w:val="18"/>
                <w:szCs w:val="18"/>
              </w:rPr>
              <w:t>渲染气氛，增强表达效果。(10分)</w:t>
            </w:r>
            <w:r>
              <w:rPr>
                <w:spacing w:val="8"/>
                <w:sz w:val="18"/>
                <w:szCs w:val="18"/>
              </w:rPr>
              <w:t xml:space="preserve"> </w:t>
            </w:r>
            <w:r>
              <w:rPr>
                <w:spacing w:val="-4"/>
                <w:sz w:val="18"/>
                <w:szCs w:val="18"/>
              </w:rPr>
              <w:t>4.讲述效果：语言生动形象，符</w:t>
            </w:r>
          </w:p>
          <w:p w14:paraId="19577AEE">
            <w:pPr>
              <w:pStyle w:val="6"/>
              <w:spacing w:before="6" w:line="219" w:lineRule="auto"/>
              <w:ind w:left="27"/>
              <w:rPr>
                <w:sz w:val="18"/>
                <w:szCs w:val="18"/>
              </w:rPr>
            </w:pPr>
            <w:r>
              <w:rPr>
                <w:spacing w:val="-1"/>
                <w:sz w:val="18"/>
                <w:szCs w:val="18"/>
              </w:rPr>
              <w:t>合幼儿年龄特点，讲述富有感染</w:t>
            </w:r>
          </w:p>
          <w:p w14:paraId="6CE85506">
            <w:pPr>
              <w:pStyle w:val="6"/>
              <w:spacing w:before="6" w:line="219" w:lineRule="auto"/>
              <w:ind w:left="17"/>
              <w:rPr>
                <w:sz w:val="18"/>
                <w:szCs w:val="18"/>
              </w:rPr>
            </w:pPr>
            <w:r>
              <w:rPr>
                <w:spacing w:val="-1"/>
                <w:sz w:val="18"/>
                <w:szCs w:val="18"/>
              </w:rPr>
              <w:t>力和表现力，且绘声绘色。(10分)</w:t>
            </w:r>
          </w:p>
        </w:tc>
      </w:tr>
    </w:tbl>
    <w:p w14:paraId="2A110391">
      <w:pPr>
        <w:pStyle w:val="2"/>
        <w:spacing w:line="222" w:lineRule="exact"/>
        <w:rPr>
          <w:sz w:val="19"/>
        </w:rPr>
      </w:pPr>
    </w:p>
    <w:p w14:paraId="768A2408">
      <w:pPr>
        <w:spacing w:line="222" w:lineRule="exact"/>
        <w:rPr>
          <w:sz w:val="19"/>
          <w:szCs w:val="19"/>
        </w:rPr>
        <w:sectPr>
          <w:footerReference r:id="rId149" w:type="default"/>
          <w:pgSz w:w="10660" w:h="15080"/>
          <w:pgMar w:top="400" w:right="881" w:bottom="912" w:left="1014" w:header="0" w:footer="741" w:gutter="0"/>
          <w:cols w:space="720" w:num="1"/>
        </w:sectPr>
      </w:pPr>
    </w:p>
    <w:p w14:paraId="102CCC00">
      <w:pPr>
        <w:spacing w:before="79"/>
      </w:pPr>
    </w:p>
    <w:p w14:paraId="2F8E2EB0">
      <w:pPr>
        <w:spacing w:before="78"/>
      </w:pPr>
    </w:p>
    <w:p w14:paraId="7AD0A86D">
      <w:pPr>
        <w:spacing w:before="78"/>
      </w:pPr>
    </w:p>
    <w:p w14:paraId="605CEF12">
      <w:pPr>
        <w:sectPr>
          <w:footerReference r:id="rId150" w:type="default"/>
          <w:pgSz w:w="10660" w:h="15080"/>
          <w:pgMar w:top="400" w:right="975" w:bottom="898" w:left="819" w:header="0" w:footer="745" w:gutter="0"/>
          <w:cols w:equalWidth="0" w:num="1">
            <w:col w:w="8865"/>
          </w:cols>
        </w:sectPr>
      </w:pPr>
    </w:p>
    <w:p w14:paraId="4112D2AB">
      <w:pPr>
        <w:pStyle w:val="2"/>
        <w:spacing w:line="306" w:lineRule="auto"/>
      </w:pPr>
    </w:p>
    <w:p w14:paraId="466BB0EE">
      <w:pPr>
        <w:spacing w:before="87" w:line="260" w:lineRule="auto"/>
        <w:ind w:left="1102" w:right="744" w:hanging="559"/>
        <w:rPr>
          <w:rFonts w:ascii="黑体" w:hAnsi="黑体" w:eastAsia="黑体" w:cs="黑体"/>
          <w:sz w:val="27"/>
          <w:szCs w:val="27"/>
        </w:rPr>
      </w:pPr>
      <w:bookmarkStart w:id="69" w:name="bookmark50"/>
      <w:bookmarkEnd w:id="69"/>
      <w:r>
        <w:rPr>
          <w:rFonts w:ascii="宋体" w:hAnsi="宋体" w:eastAsia="宋体" w:cs="宋体"/>
          <w:b/>
          <w:bCs/>
          <w:spacing w:val="21"/>
          <w:sz w:val="27"/>
          <w:szCs w:val="27"/>
        </w:rPr>
        <w:t>教育与体育大类(体育类)</w:t>
      </w:r>
      <w:r>
        <w:rPr>
          <w:rFonts w:ascii="宋体" w:hAnsi="宋体" w:eastAsia="宋体" w:cs="宋体"/>
          <w:spacing w:val="4"/>
          <w:sz w:val="27"/>
          <w:szCs w:val="27"/>
        </w:rPr>
        <w:t xml:space="preserve"> </w:t>
      </w:r>
      <w:r>
        <w:rPr>
          <w:rFonts w:ascii="黑体" w:hAnsi="黑体" w:eastAsia="黑体" w:cs="黑体"/>
          <w:b/>
          <w:bCs/>
          <w:spacing w:val="1"/>
          <w:sz w:val="27"/>
          <w:szCs w:val="27"/>
        </w:rPr>
        <w:t>专业技能测试纲要</w:t>
      </w:r>
    </w:p>
    <w:p w14:paraId="7FEBD6AC">
      <w:pPr>
        <w:spacing w:before="180" w:line="308" w:lineRule="auto"/>
        <w:ind w:left="49" w:right="364" w:firstLine="359"/>
        <w:jc w:val="both"/>
        <w:rPr>
          <w:rFonts w:ascii="宋体" w:hAnsi="宋体" w:eastAsia="宋体" w:cs="宋体"/>
          <w:sz w:val="17"/>
          <w:szCs w:val="17"/>
        </w:rPr>
      </w:pPr>
      <w:r>
        <w:rPr>
          <w:rFonts w:ascii="宋体" w:hAnsi="宋体" w:eastAsia="宋体" w:cs="宋体"/>
          <w:spacing w:val="1"/>
          <w:sz w:val="17"/>
          <w:szCs w:val="17"/>
        </w:rPr>
        <w:t>本考试纲要是以“普通高等学校运动训练、民族传</w:t>
      </w:r>
      <w:r>
        <w:rPr>
          <w:rFonts w:ascii="宋体" w:hAnsi="宋体" w:eastAsia="宋体" w:cs="宋体"/>
          <w:spacing w:val="5"/>
          <w:sz w:val="17"/>
          <w:szCs w:val="17"/>
        </w:rPr>
        <w:t xml:space="preserve"> </w:t>
      </w:r>
      <w:r>
        <w:rPr>
          <w:rFonts w:ascii="宋体" w:hAnsi="宋体" w:eastAsia="宋体" w:cs="宋体"/>
          <w:spacing w:val="2"/>
          <w:sz w:val="17"/>
          <w:szCs w:val="17"/>
        </w:rPr>
        <w:t>统体育专业专项测试方法”和“安徽省普通高等学</w:t>
      </w:r>
      <w:r>
        <w:rPr>
          <w:rFonts w:ascii="宋体" w:hAnsi="宋体" w:eastAsia="宋体" w:cs="宋体"/>
          <w:spacing w:val="1"/>
          <w:sz w:val="17"/>
          <w:szCs w:val="17"/>
        </w:rPr>
        <w:t>校体</w:t>
      </w:r>
      <w:r>
        <w:rPr>
          <w:rFonts w:ascii="宋体" w:hAnsi="宋体" w:eastAsia="宋体" w:cs="宋体"/>
          <w:sz w:val="17"/>
          <w:szCs w:val="17"/>
        </w:rPr>
        <w:t xml:space="preserve"> </w:t>
      </w:r>
      <w:r>
        <w:rPr>
          <w:rFonts w:ascii="宋体" w:hAnsi="宋体" w:eastAsia="宋体" w:cs="宋体"/>
          <w:spacing w:val="2"/>
          <w:sz w:val="17"/>
          <w:szCs w:val="17"/>
        </w:rPr>
        <w:t>育专业招生考试科目”为依据，结合高等院校体</w:t>
      </w:r>
      <w:r>
        <w:rPr>
          <w:rFonts w:ascii="宋体" w:hAnsi="宋体" w:eastAsia="宋体" w:cs="宋体"/>
          <w:spacing w:val="1"/>
          <w:sz w:val="17"/>
          <w:szCs w:val="17"/>
        </w:rPr>
        <w:t>育专业</w:t>
      </w:r>
      <w:r>
        <w:rPr>
          <w:rFonts w:ascii="宋体" w:hAnsi="宋体" w:eastAsia="宋体" w:cs="宋体"/>
          <w:sz w:val="17"/>
          <w:szCs w:val="17"/>
        </w:rPr>
        <w:t xml:space="preserve"> </w:t>
      </w:r>
      <w:r>
        <w:rPr>
          <w:rFonts w:ascii="宋体" w:hAnsi="宋体" w:eastAsia="宋体" w:cs="宋体"/>
          <w:spacing w:val="2"/>
          <w:sz w:val="17"/>
          <w:szCs w:val="17"/>
        </w:rPr>
        <w:t>人才培养所必须具备的专项素质与专项技能进行制定。</w:t>
      </w:r>
    </w:p>
    <w:p w14:paraId="59BADFA0">
      <w:pPr>
        <w:spacing w:before="24" w:line="309" w:lineRule="auto"/>
        <w:ind w:left="49" w:right="371" w:firstLine="359"/>
        <w:jc w:val="both"/>
        <w:rPr>
          <w:rFonts w:ascii="宋体" w:hAnsi="宋体" w:eastAsia="宋体" w:cs="宋体"/>
          <w:sz w:val="17"/>
          <w:szCs w:val="17"/>
        </w:rPr>
      </w:pPr>
      <w:r>
        <w:rPr>
          <w:rFonts w:ascii="宋体" w:hAnsi="宋体" w:eastAsia="宋体" w:cs="宋体"/>
          <w:spacing w:val="9"/>
          <w:sz w:val="17"/>
          <w:szCs w:val="17"/>
        </w:rPr>
        <w:t>学生可在纲要规定的项目范围内结合所报考院校</w:t>
      </w:r>
      <w:r>
        <w:rPr>
          <w:rFonts w:ascii="宋体" w:hAnsi="宋体" w:eastAsia="宋体" w:cs="宋体"/>
          <w:spacing w:val="6"/>
          <w:sz w:val="17"/>
          <w:szCs w:val="17"/>
        </w:rPr>
        <w:t xml:space="preserve"> </w:t>
      </w:r>
      <w:r>
        <w:rPr>
          <w:rFonts w:ascii="宋体" w:hAnsi="宋体" w:eastAsia="宋体" w:cs="宋体"/>
          <w:spacing w:val="9"/>
          <w:sz w:val="17"/>
          <w:szCs w:val="17"/>
        </w:rPr>
        <w:t xml:space="preserve">的具体项目设置情况选择其中一项进行测试，测试分 </w:t>
      </w:r>
      <w:r>
        <w:rPr>
          <w:rFonts w:ascii="宋体" w:hAnsi="宋体" w:eastAsia="宋体" w:cs="宋体"/>
          <w:spacing w:val="8"/>
          <w:sz w:val="17"/>
          <w:szCs w:val="17"/>
        </w:rPr>
        <w:t>值满分为450分，其中专项素质为300分，专项技能为</w:t>
      </w:r>
      <w:r>
        <w:rPr>
          <w:rFonts w:ascii="宋体" w:hAnsi="宋体" w:eastAsia="宋体" w:cs="宋体"/>
          <w:spacing w:val="9"/>
          <w:sz w:val="17"/>
          <w:szCs w:val="17"/>
        </w:rPr>
        <w:t xml:space="preserve"> </w:t>
      </w:r>
      <w:r>
        <w:rPr>
          <w:rFonts w:ascii="宋体" w:hAnsi="宋体" w:eastAsia="宋体" w:cs="宋体"/>
          <w:spacing w:val="1"/>
          <w:sz w:val="17"/>
          <w:szCs w:val="17"/>
        </w:rPr>
        <w:t>150分。</w:t>
      </w:r>
    </w:p>
    <w:p w14:paraId="64673CBC">
      <w:pPr>
        <w:spacing w:before="310" w:line="221" w:lineRule="auto"/>
        <w:ind w:left="1123"/>
        <w:rPr>
          <w:rFonts w:ascii="黑体" w:hAnsi="黑体" w:eastAsia="黑体" w:cs="黑体"/>
          <w:sz w:val="23"/>
          <w:szCs w:val="23"/>
        </w:rPr>
      </w:pPr>
      <w:r>
        <w:rPr>
          <w:rFonts w:ascii="黑体" w:hAnsi="黑体" w:eastAsia="黑体" w:cs="黑体"/>
          <w:b/>
          <w:bCs/>
          <w:spacing w:val="-5"/>
          <w:sz w:val="23"/>
          <w:szCs w:val="23"/>
        </w:rPr>
        <w:t>第一部分</w:t>
      </w:r>
      <w:r>
        <w:rPr>
          <w:rFonts w:ascii="黑体" w:hAnsi="黑体" w:eastAsia="黑体" w:cs="黑体"/>
          <w:spacing w:val="-5"/>
          <w:sz w:val="23"/>
          <w:szCs w:val="23"/>
        </w:rPr>
        <w:t xml:space="preserve">  </w:t>
      </w:r>
      <w:r>
        <w:rPr>
          <w:rFonts w:ascii="黑体" w:hAnsi="黑体" w:eastAsia="黑体" w:cs="黑体"/>
          <w:b/>
          <w:bCs/>
          <w:spacing w:val="-5"/>
          <w:sz w:val="23"/>
          <w:szCs w:val="23"/>
        </w:rPr>
        <w:t>测试内容</w:t>
      </w:r>
    </w:p>
    <w:p w14:paraId="5D4C5E09">
      <w:pPr>
        <w:pStyle w:val="2"/>
        <w:spacing w:line="241" w:lineRule="auto"/>
      </w:pPr>
    </w:p>
    <w:p w14:paraId="0F46C4A8">
      <w:pPr>
        <w:spacing w:before="76" w:line="224" w:lineRule="auto"/>
        <w:ind w:left="53"/>
        <w:rPr>
          <w:rFonts w:ascii="黑体" w:hAnsi="黑体" w:eastAsia="黑体" w:cs="黑体"/>
          <w:sz w:val="23"/>
          <w:szCs w:val="23"/>
        </w:rPr>
      </w:pPr>
      <w:r>
        <w:rPr>
          <w:rFonts w:ascii="黑体" w:hAnsi="黑体" w:eastAsia="黑体" w:cs="黑体"/>
          <w:b/>
          <w:bCs/>
          <w:spacing w:val="-18"/>
          <w:sz w:val="23"/>
          <w:szCs w:val="23"/>
        </w:rPr>
        <w:t>一</w:t>
      </w:r>
      <w:r>
        <w:rPr>
          <w:rFonts w:ascii="黑体" w:hAnsi="黑体" w:eastAsia="黑体" w:cs="黑体"/>
          <w:spacing w:val="-57"/>
          <w:sz w:val="23"/>
          <w:szCs w:val="23"/>
        </w:rPr>
        <w:t xml:space="preserve"> </w:t>
      </w:r>
      <w:r>
        <w:rPr>
          <w:rFonts w:ascii="黑体" w:hAnsi="黑体" w:eastAsia="黑体" w:cs="黑体"/>
          <w:b/>
          <w:bCs/>
          <w:spacing w:val="-18"/>
          <w:sz w:val="23"/>
          <w:szCs w:val="23"/>
        </w:rPr>
        <w:t>、田径</w:t>
      </w:r>
    </w:p>
    <w:p w14:paraId="254D5C82">
      <w:pPr>
        <w:spacing w:before="80" w:line="219" w:lineRule="auto"/>
        <w:ind w:left="480"/>
        <w:rPr>
          <w:rFonts w:ascii="宋体" w:hAnsi="宋体" w:eastAsia="宋体" w:cs="宋体"/>
          <w:sz w:val="17"/>
          <w:szCs w:val="17"/>
        </w:rPr>
      </w:pPr>
      <w:r>
        <w:rPr>
          <w:rFonts w:ascii="宋体" w:hAnsi="宋体" w:eastAsia="宋体" w:cs="宋体"/>
          <w:spacing w:val="15"/>
          <w:sz w:val="17"/>
          <w:szCs w:val="17"/>
        </w:rPr>
        <w:t>(一)专项素质</w:t>
      </w:r>
    </w:p>
    <w:p w14:paraId="0E155FAD">
      <w:pPr>
        <w:spacing w:before="89" w:line="219" w:lineRule="auto"/>
        <w:ind w:left="409"/>
        <w:rPr>
          <w:rFonts w:ascii="宋体" w:hAnsi="宋体" w:eastAsia="宋体" w:cs="宋体"/>
          <w:sz w:val="17"/>
          <w:szCs w:val="17"/>
        </w:rPr>
      </w:pPr>
      <w:r>
        <w:rPr>
          <w:rFonts w:ascii="宋体" w:hAnsi="宋体" w:eastAsia="宋体" w:cs="宋体"/>
          <w:spacing w:val="-4"/>
          <w:sz w:val="17"/>
          <w:szCs w:val="17"/>
        </w:rPr>
        <w:t>1、测试内容及分值</w:t>
      </w:r>
    </w:p>
    <w:p w14:paraId="65BFBCBB">
      <w:pPr>
        <w:spacing w:before="97" w:line="296" w:lineRule="auto"/>
        <w:ind w:left="49" w:right="294" w:firstLine="359"/>
        <w:rPr>
          <w:rFonts w:ascii="宋体" w:hAnsi="宋体" w:eastAsia="宋体" w:cs="宋体"/>
          <w:sz w:val="17"/>
          <w:szCs w:val="17"/>
        </w:rPr>
      </w:pPr>
      <w:r>
        <w:rPr>
          <w:rFonts w:ascii="宋体" w:hAnsi="宋体" w:eastAsia="宋体" w:cs="宋体"/>
          <w:spacing w:val="-3"/>
          <w:sz w:val="17"/>
          <w:szCs w:val="17"/>
        </w:rPr>
        <w:t>100米、800米、立定三级跳、原地掷铅球(男5公斤、</w:t>
      </w:r>
      <w:r>
        <w:rPr>
          <w:rFonts w:ascii="宋体" w:hAnsi="宋体" w:eastAsia="宋体" w:cs="宋体"/>
          <w:spacing w:val="15"/>
          <w:sz w:val="17"/>
          <w:szCs w:val="17"/>
        </w:rPr>
        <w:t xml:space="preserve"> </w:t>
      </w:r>
      <w:r>
        <w:rPr>
          <w:rFonts w:ascii="宋体" w:hAnsi="宋体" w:eastAsia="宋体" w:cs="宋体"/>
          <w:spacing w:val="12"/>
          <w:sz w:val="17"/>
          <w:szCs w:val="17"/>
        </w:rPr>
        <w:t>女4公斤),考生可在四项素质中选测其中两项，每项</w:t>
      </w:r>
      <w:r>
        <w:rPr>
          <w:rFonts w:ascii="宋体" w:hAnsi="宋体" w:eastAsia="宋体" w:cs="宋体"/>
          <w:spacing w:val="8"/>
          <w:sz w:val="17"/>
          <w:szCs w:val="17"/>
        </w:rPr>
        <w:t xml:space="preserve">  </w:t>
      </w:r>
      <w:r>
        <w:rPr>
          <w:rFonts w:ascii="宋体" w:hAnsi="宋体" w:eastAsia="宋体" w:cs="宋体"/>
          <w:spacing w:val="1"/>
          <w:sz w:val="17"/>
          <w:szCs w:val="17"/>
        </w:rPr>
        <w:t>150分。</w:t>
      </w:r>
    </w:p>
    <w:p w14:paraId="1D85E544">
      <w:pPr>
        <w:spacing w:before="34" w:line="221" w:lineRule="auto"/>
        <w:ind w:left="409"/>
        <w:rPr>
          <w:rFonts w:ascii="宋体" w:hAnsi="宋体" w:eastAsia="宋体" w:cs="宋体"/>
          <w:sz w:val="17"/>
          <w:szCs w:val="17"/>
        </w:rPr>
      </w:pPr>
      <w:r>
        <w:rPr>
          <w:rFonts w:ascii="宋体" w:hAnsi="宋体" w:eastAsia="宋体" w:cs="宋体"/>
          <w:spacing w:val="1"/>
          <w:sz w:val="17"/>
          <w:szCs w:val="17"/>
        </w:rPr>
        <w:t>2、测试方法</w:t>
      </w:r>
    </w:p>
    <w:p w14:paraId="1B1B5820">
      <w:pPr>
        <w:spacing w:before="84" w:line="310" w:lineRule="auto"/>
        <w:ind w:left="49" w:right="296" w:firstLine="359"/>
        <w:rPr>
          <w:rFonts w:ascii="宋体" w:hAnsi="宋体" w:eastAsia="宋体" w:cs="宋体"/>
          <w:sz w:val="17"/>
          <w:szCs w:val="17"/>
        </w:rPr>
      </w:pPr>
      <w:r>
        <w:rPr>
          <w:rFonts w:ascii="宋体" w:hAnsi="宋体" w:eastAsia="宋体" w:cs="宋体"/>
          <w:spacing w:val="5"/>
          <w:sz w:val="17"/>
          <w:szCs w:val="17"/>
        </w:rPr>
        <w:t>100米测试方法：每组8人以内，</w:t>
      </w:r>
      <w:r>
        <w:rPr>
          <w:rFonts w:ascii="宋体" w:hAnsi="宋体" w:eastAsia="宋体" w:cs="宋体"/>
          <w:spacing w:val="77"/>
          <w:w w:val="101"/>
          <w:sz w:val="17"/>
          <w:szCs w:val="17"/>
        </w:rPr>
        <w:t xml:space="preserve"> </w:t>
      </w:r>
      <w:r>
        <w:rPr>
          <w:rFonts w:ascii="宋体" w:hAnsi="宋体" w:eastAsia="宋体" w:cs="宋体"/>
          <w:spacing w:val="5"/>
          <w:sz w:val="17"/>
          <w:szCs w:val="17"/>
        </w:rPr>
        <w:t>一次机会。800</w:t>
      </w:r>
      <w:r>
        <w:rPr>
          <w:rFonts w:ascii="宋体" w:hAnsi="宋体" w:eastAsia="宋体" w:cs="宋体"/>
          <w:sz w:val="17"/>
          <w:szCs w:val="17"/>
        </w:rPr>
        <w:t xml:space="preserve">  </w:t>
      </w:r>
      <w:r>
        <w:rPr>
          <w:rFonts w:ascii="宋体" w:hAnsi="宋体" w:eastAsia="宋体" w:cs="宋体"/>
          <w:spacing w:val="4"/>
          <w:sz w:val="17"/>
          <w:szCs w:val="17"/>
        </w:rPr>
        <w:t>米测试方法：每组限16人以内，100米弯道后可抢道，</w:t>
      </w:r>
      <w:r>
        <w:rPr>
          <w:rFonts w:ascii="宋体" w:hAnsi="宋体" w:eastAsia="宋体" w:cs="宋体"/>
          <w:spacing w:val="2"/>
          <w:sz w:val="17"/>
          <w:szCs w:val="17"/>
        </w:rPr>
        <w:t xml:space="preserve">  </w:t>
      </w:r>
      <w:r>
        <w:rPr>
          <w:rFonts w:ascii="宋体" w:hAnsi="宋体" w:eastAsia="宋体" w:cs="宋体"/>
          <w:spacing w:val="1"/>
          <w:sz w:val="17"/>
          <w:szCs w:val="17"/>
        </w:rPr>
        <w:t>一次机会。立定三级跳测试方法：每人三次试跳机会，</w:t>
      </w:r>
      <w:r>
        <w:rPr>
          <w:rFonts w:ascii="宋体" w:hAnsi="宋体" w:eastAsia="宋体" w:cs="宋体"/>
          <w:sz w:val="17"/>
          <w:szCs w:val="17"/>
        </w:rPr>
        <w:t xml:space="preserve">  </w:t>
      </w:r>
      <w:r>
        <w:rPr>
          <w:rFonts w:ascii="宋体" w:hAnsi="宋体" w:eastAsia="宋体" w:cs="宋体"/>
          <w:spacing w:val="-2"/>
          <w:sz w:val="17"/>
          <w:szCs w:val="17"/>
        </w:rPr>
        <w:t>取最好成绩。原地掷铅球测试方法：每人三次试掷机会，</w:t>
      </w:r>
      <w:r>
        <w:rPr>
          <w:rFonts w:ascii="宋体" w:hAnsi="宋体" w:eastAsia="宋体" w:cs="宋体"/>
          <w:spacing w:val="2"/>
          <w:sz w:val="17"/>
          <w:szCs w:val="17"/>
        </w:rPr>
        <w:t xml:space="preserve"> </w:t>
      </w:r>
      <w:r>
        <w:rPr>
          <w:rFonts w:ascii="宋体" w:hAnsi="宋体" w:eastAsia="宋体" w:cs="宋体"/>
          <w:spacing w:val="-1"/>
          <w:sz w:val="17"/>
          <w:szCs w:val="17"/>
        </w:rPr>
        <w:t>取最好成绩。</w:t>
      </w:r>
    </w:p>
    <w:p w14:paraId="6CE3BA53">
      <w:pPr>
        <w:spacing w:before="22" w:line="225" w:lineRule="auto"/>
        <w:ind w:left="480"/>
        <w:rPr>
          <w:rFonts w:ascii="楷体" w:hAnsi="楷体" w:eastAsia="楷体" w:cs="楷体"/>
          <w:sz w:val="17"/>
          <w:szCs w:val="17"/>
        </w:rPr>
      </w:pPr>
      <w:r>
        <w:rPr>
          <w:rFonts w:ascii="楷体" w:hAnsi="楷体" w:eastAsia="楷体" w:cs="楷体"/>
          <w:spacing w:val="14"/>
          <w:sz w:val="17"/>
          <w:szCs w:val="17"/>
        </w:rPr>
        <w:t>(二)专项技能</w:t>
      </w:r>
    </w:p>
    <w:p w14:paraId="77DC2832">
      <w:pPr>
        <w:spacing w:before="85" w:line="219" w:lineRule="auto"/>
        <w:ind w:left="409"/>
        <w:rPr>
          <w:rFonts w:ascii="宋体" w:hAnsi="宋体" w:eastAsia="宋体" w:cs="宋体"/>
          <w:sz w:val="17"/>
          <w:szCs w:val="17"/>
        </w:rPr>
      </w:pPr>
      <w:r>
        <w:rPr>
          <w:rFonts w:ascii="宋体" w:hAnsi="宋体" w:eastAsia="宋体" w:cs="宋体"/>
          <w:spacing w:val="-3"/>
          <w:sz w:val="17"/>
          <w:szCs w:val="17"/>
        </w:rPr>
        <w:t>1、测试内容及分值</w:t>
      </w:r>
    </w:p>
    <w:p w14:paraId="6E554804">
      <w:pPr>
        <w:spacing w:before="89" w:line="219" w:lineRule="auto"/>
        <w:ind w:left="409"/>
        <w:rPr>
          <w:rFonts w:ascii="宋体" w:hAnsi="宋体" w:eastAsia="宋体" w:cs="宋体"/>
          <w:sz w:val="17"/>
          <w:szCs w:val="17"/>
        </w:rPr>
      </w:pPr>
      <w:r>
        <w:rPr>
          <w:rFonts w:ascii="宋体" w:hAnsi="宋体" w:eastAsia="宋体" w:cs="宋体"/>
          <w:spacing w:val="18"/>
          <w:sz w:val="17"/>
          <w:szCs w:val="17"/>
        </w:rPr>
        <w:t>田径专项的考生可在100米、200米、40</w:t>
      </w:r>
      <w:r>
        <w:rPr>
          <w:rFonts w:ascii="宋体" w:hAnsi="宋体" w:eastAsia="宋体" w:cs="宋体"/>
          <w:spacing w:val="17"/>
          <w:sz w:val="17"/>
          <w:szCs w:val="17"/>
        </w:rPr>
        <w:t>0米、</w:t>
      </w:r>
    </w:p>
    <w:p w14:paraId="02D9D344">
      <w:pPr>
        <w:spacing w:before="97" w:line="303" w:lineRule="auto"/>
        <w:ind w:left="49" w:right="349"/>
        <w:rPr>
          <w:rFonts w:ascii="Times New Roman" w:hAnsi="Times New Roman" w:eastAsia="Times New Roman" w:cs="Times New Roman"/>
          <w:sz w:val="17"/>
          <w:szCs w:val="17"/>
        </w:rPr>
      </w:pPr>
      <w:r>
        <w:rPr>
          <w:rFonts w:ascii="宋体" w:hAnsi="宋体" w:eastAsia="宋体" w:cs="宋体"/>
          <w:spacing w:val="18"/>
          <w:sz w:val="17"/>
          <w:szCs w:val="17"/>
        </w:rPr>
        <w:t>800米、1500米、3000米(女)、5000米(男)、110</w:t>
      </w:r>
      <w:r>
        <w:rPr>
          <w:rFonts w:ascii="宋体" w:hAnsi="宋体" w:eastAsia="宋体" w:cs="宋体"/>
          <w:spacing w:val="1"/>
          <w:sz w:val="17"/>
          <w:szCs w:val="17"/>
        </w:rPr>
        <w:t xml:space="preserve"> </w:t>
      </w:r>
      <w:r>
        <w:rPr>
          <w:rFonts w:ascii="宋体" w:hAnsi="宋体" w:eastAsia="宋体" w:cs="宋体"/>
          <w:spacing w:val="-3"/>
          <w:sz w:val="17"/>
          <w:szCs w:val="17"/>
        </w:rPr>
        <w:t>米栏(106.7</w:t>
      </w:r>
      <w:r>
        <w:rPr>
          <w:rFonts w:ascii="Times New Roman" w:hAnsi="Times New Roman" w:eastAsia="Times New Roman" w:cs="Times New Roman"/>
          <w:spacing w:val="-3"/>
          <w:sz w:val="17"/>
          <w:szCs w:val="17"/>
        </w:rPr>
        <w:t>cm)</w:t>
      </w:r>
      <w:r>
        <w:rPr>
          <w:rFonts w:ascii="Times New Roman" w:hAnsi="Times New Roman" w:eastAsia="Times New Roman" w:cs="Times New Roman"/>
          <w:spacing w:val="-17"/>
          <w:sz w:val="17"/>
          <w:szCs w:val="17"/>
        </w:rPr>
        <w:t xml:space="preserve"> </w:t>
      </w:r>
      <w:r>
        <w:rPr>
          <w:rFonts w:ascii="宋体" w:hAnsi="宋体" w:eastAsia="宋体" w:cs="宋体"/>
          <w:spacing w:val="-3"/>
          <w:sz w:val="17"/>
          <w:szCs w:val="17"/>
        </w:rPr>
        <w:t>、</w:t>
      </w:r>
      <w:r>
        <w:rPr>
          <w:rFonts w:ascii="Times New Roman" w:hAnsi="Times New Roman" w:eastAsia="Times New Roman" w:cs="Times New Roman"/>
          <w:spacing w:val="-3"/>
          <w:sz w:val="17"/>
          <w:szCs w:val="17"/>
        </w:rPr>
        <w:t xml:space="preserve">100   </w:t>
      </w:r>
      <w:r>
        <w:rPr>
          <w:rFonts w:ascii="宋体" w:hAnsi="宋体" w:eastAsia="宋体" w:cs="宋体"/>
          <w:spacing w:val="-3"/>
          <w:sz w:val="17"/>
          <w:szCs w:val="17"/>
        </w:rPr>
        <w:t>米</w:t>
      </w:r>
      <w:r>
        <w:rPr>
          <w:rFonts w:ascii="宋体" w:hAnsi="宋体" w:eastAsia="宋体" w:cs="宋体"/>
          <w:spacing w:val="-39"/>
          <w:sz w:val="17"/>
          <w:szCs w:val="17"/>
        </w:rPr>
        <w:t xml:space="preserve"> </w:t>
      </w:r>
      <w:r>
        <w:rPr>
          <w:rFonts w:ascii="宋体" w:hAnsi="宋体" w:eastAsia="宋体" w:cs="宋体"/>
          <w:spacing w:val="-3"/>
          <w:sz w:val="17"/>
          <w:szCs w:val="17"/>
        </w:rPr>
        <w:t>栏 (</w:t>
      </w:r>
      <w:r>
        <w:rPr>
          <w:rFonts w:ascii="宋体" w:hAnsi="宋体" w:eastAsia="宋体" w:cs="宋体"/>
          <w:spacing w:val="-38"/>
          <w:sz w:val="17"/>
          <w:szCs w:val="17"/>
        </w:rPr>
        <w:t xml:space="preserve"> </w:t>
      </w:r>
      <w:r>
        <w:rPr>
          <w:rFonts w:ascii="宋体" w:hAnsi="宋体" w:eastAsia="宋体" w:cs="宋体"/>
          <w:spacing w:val="-3"/>
          <w:sz w:val="17"/>
          <w:szCs w:val="17"/>
        </w:rPr>
        <w:t>8</w:t>
      </w:r>
      <w:r>
        <w:rPr>
          <w:rFonts w:ascii="宋体" w:hAnsi="宋体" w:eastAsia="宋体" w:cs="宋体"/>
          <w:spacing w:val="-40"/>
          <w:sz w:val="17"/>
          <w:szCs w:val="17"/>
        </w:rPr>
        <w:t xml:space="preserve"> </w:t>
      </w:r>
      <w:r>
        <w:rPr>
          <w:rFonts w:ascii="宋体" w:hAnsi="宋体" w:eastAsia="宋体" w:cs="宋体"/>
          <w:spacing w:val="-3"/>
          <w:sz w:val="17"/>
          <w:szCs w:val="17"/>
        </w:rPr>
        <w:t>4</w:t>
      </w:r>
      <w:r>
        <w:rPr>
          <w:rFonts w:ascii="Times New Roman" w:hAnsi="Times New Roman" w:eastAsia="Times New Roman" w:cs="Times New Roman"/>
          <w:spacing w:val="-3"/>
          <w:sz w:val="17"/>
          <w:szCs w:val="17"/>
        </w:rPr>
        <w:t>cm)</w:t>
      </w:r>
      <w:r>
        <w:rPr>
          <w:rFonts w:ascii="Times New Roman" w:hAnsi="Times New Roman" w:eastAsia="Times New Roman" w:cs="Times New Roman"/>
          <w:spacing w:val="-24"/>
          <w:sz w:val="17"/>
          <w:szCs w:val="17"/>
        </w:rPr>
        <w:t xml:space="preserve"> </w:t>
      </w:r>
      <w:r>
        <w:rPr>
          <w:rFonts w:ascii="宋体" w:hAnsi="宋体" w:eastAsia="宋体" w:cs="宋体"/>
          <w:spacing w:val="-3"/>
          <w:sz w:val="17"/>
          <w:szCs w:val="17"/>
        </w:rPr>
        <w:t>、</w:t>
      </w:r>
      <w:r>
        <w:rPr>
          <w:rFonts w:ascii="Times New Roman" w:hAnsi="Times New Roman" w:eastAsia="Times New Roman" w:cs="Times New Roman"/>
          <w:spacing w:val="-3"/>
          <w:sz w:val="17"/>
          <w:szCs w:val="17"/>
        </w:rPr>
        <w:t xml:space="preserve">400    </w:t>
      </w:r>
      <w:r>
        <w:rPr>
          <w:rFonts w:ascii="宋体" w:hAnsi="宋体" w:eastAsia="宋体" w:cs="宋体"/>
          <w:spacing w:val="-3"/>
          <w:sz w:val="17"/>
          <w:szCs w:val="17"/>
        </w:rPr>
        <w:t>米 栏</w:t>
      </w:r>
      <w:r>
        <w:rPr>
          <w:rFonts w:ascii="宋体" w:hAnsi="宋体" w:eastAsia="宋体" w:cs="宋体"/>
          <w:spacing w:val="22"/>
          <w:sz w:val="17"/>
          <w:szCs w:val="17"/>
        </w:rPr>
        <w:t xml:space="preserve"> </w:t>
      </w:r>
      <w:r>
        <w:rPr>
          <w:rFonts w:ascii="宋体" w:hAnsi="宋体" w:eastAsia="宋体" w:cs="宋体"/>
          <w:spacing w:val="-3"/>
          <w:sz w:val="17"/>
          <w:szCs w:val="17"/>
        </w:rPr>
        <w:t>( 男</w:t>
      </w:r>
      <w:r>
        <w:rPr>
          <w:rFonts w:ascii="宋体" w:hAnsi="宋体" w:eastAsia="宋体" w:cs="宋体"/>
          <w:sz w:val="17"/>
          <w:szCs w:val="17"/>
        </w:rPr>
        <w:t xml:space="preserve"> </w:t>
      </w:r>
      <w:r>
        <w:rPr>
          <w:rFonts w:ascii="Times New Roman" w:hAnsi="Times New Roman" w:eastAsia="Times New Roman" w:cs="Times New Roman"/>
          <w:spacing w:val="7"/>
          <w:sz w:val="17"/>
          <w:szCs w:val="17"/>
        </w:rPr>
        <w:t>91.4</w:t>
      </w:r>
      <w:r>
        <w:rPr>
          <w:rFonts w:ascii="Times New Roman" w:hAnsi="Times New Roman" w:eastAsia="Times New Roman" w:cs="Times New Roman"/>
          <w:sz w:val="17"/>
          <w:szCs w:val="17"/>
        </w:rPr>
        <w:t>cm</w:t>
      </w:r>
      <w:r>
        <w:rPr>
          <w:rFonts w:ascii="Times New Roman" w:hAnsi="Times New Roman" w:eastAsia="Times New Roman" w:cs="Times New Roman"/>
          <w:spacing w:val="7"/>
          <w:sz w:val="17"/>
          <w:szCs w:val="17"/>
        </w:rPr>
        <w:t>,</w:t>
      </w:r>
      <w:r>
        <w:rPr>
          <w:rFonts w:ascii="Times New Roman" w:hAnsi="Times New Roman" w:eastAsia="Times New Roman" w:cs="Times New Roman"/>
          <w:spacing w:val="45"/>
          <w:w w:val="101"/>
          <w:sz w:val="17"/>
          <w:szCs w:val="17"/>
        </w:rPr>
        <w:t xml:space="preserve"> </w:t>
      </w:r>
      <w:r>
        <w:rPr>
          <w:rFonts w:ascii="宋体" w:hAnsi="宋体" w:eastAsia="宋体" w:cs="宋体"/>
          <w:spacing w:val="7"/>
          <w:sz w:val="17"/>
          <w:szCs w:val="17"/>
        </w:rPr>
        <w:t>女76</w:t>
      </w:r>
      <w:r>
        <w:rPr>
          <w:rFonts w:ascii="宋体" w:hAnsi="宋体" w:eastAsia="宋体" w:cs="宋体"/>
          <w:spacing w:val="-51"/>
          <w:sz w:val="17"/>
          <w:szCs w:val="17"/>
        </w:rPr>
        <w:t xml:space="preserve"> </w:t>
      </w:r>
      <w:r>
        <w:rPr>
          <w:rFonts w:ascii="宋体" w:hAnsi="宋体" w:eastAsia="宋体" w:cs="宋体"/>
          <w:spacing w:val="7"/>
          <w:sz w:val="17"/>
          <w:szCs w:val="17"/>
        </w:rPr>
        <w:t>.2</w:t>
      </w:r>
      <w:r>
        <w:rPr>
          <w:rFonts w:ascii="Times New Roman" w:hAnsi="Times New Roman" w:eastAsia="Times New Roman" w:cs="Times New Roman"/>
          <w:sz w:val="17"/>
          <w:szCs w:val="17"/>
        </w:rPr>
        <w:t>cm</w:t>
      </w:r>
      <w:r>
        <w:rPr>
          <w:rFonts w:ascii="Times New Roman" w:hAnsi="Times New Roman" w:eastAsia="Times New Roman" w:cs="Times New Roman"/>
          <w:spacing w:val="7"/>
          <w:sz w:val="17"/>
          <w:szCs w:val="17"/>
        </w:rPr>
        <w:t>)</w:t>
      </w:r>
      <w:r>
        <w:rPr>
          <w:rFonts w:ascii="Times New Roman" w:hAnsi="Times New Roman" w:eastAsia="Times New Roman" w:cs="Times New Roman"/>
          <w:spacing w:val="-24"/>
          <w:sz w:val="17"/>
          <w:szCs w:val="17"/>
        </w:rPr>
        <w:t xml:space="preserve"> </w:t>
      </w:r>
      <w:r>
        <w:rPr>
          <w:rFonts w:ascii="宋体" w:hAnsi="宋体" w:eastAsia="宋体" w:cs="宋体"/>
          <w:spacing w:val="7"/>
          <w:sz w:val="17"/>
          <w:szCs w:val="17"/>
        </w:rPr>
        <w:t>、</w:t>
      </w:r>
      <w:r>
        <w:rPr>
          <w:rFonts w:ascii="宋体" w:hAnsi="宋体" w:eastAsia="宋体" w:cs="宋体"/>
          <w:spacing w:val="47"/>
          <w:sz w:val="17"/>
          <w:szCs w:val="17"/>
        </w:rPr>
        <w:t xml:space="preserve"> </w:t>
      </w:r>
      <w:r>
        <w:rPr>
          <w:rFonts w:ascii="宋体" w:hAnsi="宋体" w:eastAsia="宋体" w:cs="宋体"/>
          <w:spacing w:val="7"/>
          <w:sz w:val="17"/>
          <w:szCs w:val="17"/>
        </w:rPr>
        <w:t>跳高、撑竿跳高、跳远、三级</w:t>
      </w:r>
      <w:r>
        <w:rPr>
          <w:rFonts w:ascii="宋体" w:hAnsi="宋体" w:eastAsia="宋体" w:cs="宋体"/>
          <w:sz w:val="17"/>
          <w:szCs w:val="17"/>
        </w:rPr>
        <w:t xml:space="preserve"> </w:t>
      </w:r>
      <w:r>
        <w:rPr>
          <w:rFonts w:ascii="宋体" w:hAnsi="宋体" w:eastAsia="宋体" w:cs="宋体"/>
          <w:spacing w:val="1"/>
          <w:sz w:val="17"/>
          <w:szCs w:val="17"/>
        </w:rPr>
        <w:t>跳远、铅球(男7.26</w:t>
      </w:r>
      <w:r>
        <w:rPr>
          <w:rFonts w:ascii="Times New Roman" w:hAnsi="Times New Roman" w:eastAsia="Times New Roman" w:cs="Times New Roman"/>
          <w:sz w:val="17"/>
          <w:szCs w:val="17"/>
        </w:rPr>
        <w:t>kg</w:t>
      </w:r>
      <w:r>
        <w:rPr>
          <w:rFonts w:ascii="Times New Roman" w:hAnsi="Times New Roman" w:eastAsia="Times New Roman" w:cs="Times New Roman"/>
          <w:spacing w:val="1"/>
          <w:sz w:val="17"/>
          <w:szCs w:val="17"/>
        </w:rPr>
        <w:t xml:space="preserve">,   </w:t>
      </w:r>
      <w:r>
        <w:rPr>
          <w:rFonts w:ascii="宋体" w:hAnsi="宋体" w:eastAsia="宋体" w:cs="宋体"/>
          <w:spacing w:val="1"/>
          <w:sz w:val="17"/>
          <w:szCs w:val="17"/>
        </w:rPr>
        <w:t>女 4</w:t>
      </w:r>
      <w:r>
        <w:rPr>
          <w:rFonts w:ascii="Times New Roman" w:hAnsi="Times New Roman" w:eastAsia="Times New Roman" w:cs="Times New Roman"/>
          <w:sz w:val="17"/>
          <w:szCs w:val="17"/>
        </w:rPr>
        <w:t>kg</w:t>
      </w:r>
      <w:r>
        <w:rPr>
          <w:rFonts w:ascii="Times New Roman" w:hAnsi="Times New Roman" w:eastAsia="Times New Roman" w:cs="Times New Roman"/>
          <w:spacing w:val="1"/>
          <w:sz w:val="17"/>
          <w:szCs w:val="17"/>
        </w:rPr>
        <w:t>)</w:t>
      </w:r>
      <w:r>
        <w:rPr>
          <w:rFonts w:ascii="Times New Roman" w:hAnsi="Times New Roman" w:eastAsia="Times New Roman" w:cs="Times New Roman"/>
          <w:spacing w:val="-24"/>
          <w:sz w:val="17"/>
          <w:szCs w:val="17"/>
        </w:rPr>
        <w:t xml:space="preserve"> </w:t>
      </w:r>
      <w:r>
        <w:rPr>
          <w:rFonts w:ascii="宋体" w:hAnsi="宋体" w:eastAsia="宋体" w:cs="宋体"/>
          <w:spacing w:val="1"/>
          <w:sz w:val="17"/>
          <w:szCs w:val="17"/>
        </w:rPr>
        <w:t>、 铁</w:t>
      </w:r>
      <w:r>
        <w:rPr>
          <w:rFonts w:ascii="宋体" w:hAnsi="宋体" w:eastAsia="宋体" w:cs="宋体"/>
          <w:spacing w:val="-30"/>
          <w:sz w:val="17"/>
          <w:szCs w:val="17"/>
        </w:rPr>
        <w:t xml:space="preserve"> </w:t>
      </w:r>
      <w:r>
        <w:rPr>
          <w:rFonts w:ascii="宋体" w:hAnsi="宋体" w:eastAsia="宋体" w:cs="宋体"/>
          <w:spacing w:val="1"/>
          <w:sz w:val="17"/>
          <w:szCs w:val="17"/>
        </w:rPr>
        <w:t>饼 (</w:t>
      </w:r>
      <w:r>
        <w:rPr>
          <w:rFonts w:ascii="宋体" w:hAnsi="宋体" w:eastAsia="宋体" w:cs="宋体"/>
          <w:spacing w:val="-23"/>
          <w:sz w:val="17"/>
          <w:szCs w:val="17"/>
        </w:rPr>
        <w:t xml:space="preserve"> </w:t>
      </w:r>
      <w:r>
        <w:rPr>
          <w:rFonts w:ascii="宋体" w:hAnsi="宋体" w:eastAsia="宋体" w:cs="宋体"/>
          <w:spacing w:val="1"/>
          <w:sz w:val="17"/>
          <w:szCs w:val="17"/>
        </w:rPr>
        <w:t>男</w:t>
      </w:r>
      <w:r>
        <w:rPr>
          <w:rFonts w:ascii="宋体" w:hAnsi="宋体" w:eastAsia="宋体" w:cs="宋体"/>
          <w:spacing w:val="-27"/>
          <w:sz w:val="17"/>
          <w:szCs w:val="17"/>
        </w:rPr>
        <w:t xml:space="preserve"> </w:t>
      </w:r>
      <w:r>
        <w:rPr>
          <w:rFonts w:ascii="宋体" w:hAnsi="宋体" w:eastAsia="宋体" w:cs="宋体"/>
          <w:spacing w:val="1"/>
          <w:sz w:val="17"/>
          <w:szCs w:val="17"/>
        </w:rPr>
        <w:t>2</w:t>
      </w:r>
      <w:r>
        <w:rPr>
          <w:rFonts w:ascii="Times New Roman" w:hAnsi="Times New Roman" w:eastAsia="Times New Roman" w:cs="Times New Roman"/>
          <w:sz w:val="17"/>
          <w:szCs w:val="17"/>
        </w:rPr>
        <w:t>kg</w:t>
      </w:r>
      <w:r>
        <w:rPr>
          <w:rFonts w:ascii="Times New Roman" w:hAnsi="Times New Roman" w:eastAsia="Times New Roman" w:cs="Times New Roman"/>
          <w:spacing w:val="1"/>
          <w:sz w:val="17"/>
          <w:szCs w:val="17"/>
        </w:rPr>
        <w:t xml:space="preserve">,   </w:t>
      </w:r>
      <w:r>
        <w:rPr>
          <w:rFonts w:ascii="宋体" w:hAnsi="宋体" w:eastAsia="宋体" w:cs="宋体"/>
          <w:spacing w:val="1"/>
          <w:sz w:val="17"/>
          <w:szCs w:val="17"/>
        </w:rPr>
        <w:t>女</w:t>
      </w:r>
      <w:r>
        <w:rPr>
          <w:rFonts w:ascii="宋体" w:hAnsi="宋体" w:eastAsia="宋体" w:cs="宋体"/>
          <w:sz w:val="17"/>
          <w:szCs w:val="17"/>
        </w:rPr>
        <w:t xml:space="preserve"> </w:t>
      </w:r>
      <w:r>
        <w:rPr>
          <w:rFonts w:ascii="Times New Roman" w:hAnsi="Times New Roman" w:eastAsia="Times New Roman" w:cs="Times New Roman"/>
          <w:spacing w:val="10"/>
          <w:sz w:val="17"/>
          <w:szCs w:val="17"/>
        </w:rPr>
        <w:t>1</w:t>
      </w:r>
      <w:r>
        <w:rPr>
          <w:rFonts w:ascii="Times New Roman" w:hAnsi="Times New Roman" w:eastAsia="Times New Roman" w:cs="Times New Roman"/>
          <w:sz w:val="17"/>
          <w:szCs w:val="17"/>
        </w:rPr>
        <w:t>kg</w:t>
      </w:r>
      <w:r>
        <w:rPr>
          <w:rFonts w:ascii="Times New Roman" w:hAnsi="Times New Roman" w:eastAsia="Times New Roman" w:cs="Times New Roman"/>
          <w:spacing w:val="10"/>
          <w:sz w:val="17"/>
          <w:szCs w:val="17"/>
        </w:rPr>
        <w:t>)</w:t>
      </w:r>
      <w:r>
        <w:rPr>
          <w:rFonts w:ascii="Times New Roman" w:hAnsi="Times New Roman" w:eastAsia="Times New Roman" w:cs="Times New Roman"/>
          <w:spacing w:val="-10"/>
          <w:sz w:val="17"/>
          <w:szCs w:val="17"/>
        </w:rPr>
        <w:t xml:space="preserve"> </w:t>
      </w:r>
      <w:r>
        <w:rPr>
          <w:rFonts w:ascii="宋体" w:hAnsi="宋体" w:eastAsia="宋体" w:cs="宋体"/>
          <w:spacing w:val="10"/>
          <w:sz w:val="17"/>
          <w:szCs w:val="17"/>
        </w:rPr>
        <w:t>、 标枪(男800</w:t>
      </w:r>
      <w:r>
        <w:rPr>
          <w:rFonts w:ascii="Times New Roman" w:hAnsi="Times New Roman" w:eastAsia="Times New Roman" w:cs="Times New Roman"/>
          <w:spacing w:val="10"/>
          <w:sz w:val="17"/>
          <w:szCs w:val="17"/>
        </w:rPr>
        <w:t>g,</w:t>
      </w:r>
      <w:r>
        <w:rPr>
          <w:rFonts w:ascii="Times New Roman" w:hAnsi="Times New Roman" w:eastAsia="Times New Roman" w:cs="Times New Roman"/>
          <w:sz w:val="17"/>
          <w:szCs w:val="17"/>
        </w:rPr>
        <w:t xml:space="preserve">   </w:t>
      </w:r>
      <w:r>
        <w:rPr>
          <w:rFonts w:ascii="宋体" w:hAnsi="宋体" w:eastAsia="宋体" w:cs="宋体"/>
          <w:spacing w:val="10"/>
          <w:sz w:val="17"/>
          <w:szCs w:val="17"/>
        </w:rPr>
        <w:t>女600</w:t>
      </w:r>
      <w:r>
        <w:rPr>
          <w:rFonts w:ascii="Times New Roman" w:hAnsi="Times New Roman" w:eastAsia="Times New Roman" w:cs="Times New Roman"/>
          <w:spacing w:val="10"/>
          <w:sz w:val="17"/>
          <w:szCs w:val="17"/>
        </w:rPr>
        <w:t>g)</w:t>
      </w:r>
      <w:r>
        <w:rPr>
          <w:rFonts w:ascii="Times New Roman" w:hAnsi="Times New Roman" w:eastAsia="Times New Roman" w:cs="Times New Roman"/>
          <w:spacing w:val="-24"/>
          <w:sz w:val="17"/>
          <w:szCs w:val="17"/>
        </w:rPr>
        <w:t xml:space="preserve"> </w:t>
      </w:r>
      <w:r>
        <w:rPr>
          <w:rFonts w:ascii="宋体" w:hAnsi="宋体" w:eastAsia="宋体" w:cs="宋体"/>
          <w:spacing w:val="10"/>
          <w:sz w:val="17"/>
          <w:szCs w:val="17"/>
        </w:rPr>
        <w:t>、 链球(男7.26</w:t>
      </w:r>
      <w:r>
        <w:rPr>
          <w:rFonts w:ascii="Times New Roman" w:hAnsi="Times New Roman" w:eastAsia="Times New Roman" w:cs="Times New Roman"/>
          <w:sz w:val="17"/>
          <w:szCs w:val="17"/>
        </w:rPr>
        <w:t>kg</w:t>
      </w:r>
      <w:r>
        <w:rPr>
          <w:rFonts w:ascii="Times New Roman" w:hAnsi="Times New Roman" w:eastAsia="Times New Roman" w:cs="Times New Roman"/>
          <w:spacing w:val="10"/>
          <w:sz w:val="17"/>
          <w:szCs w:val="17"/>
        </w:rPr>
        <w:t>,</w:t>
      </w:r>
    </w:p>
    <w:p w14:paraId="54749709">
      <w:pPr>
        <w:spacing w:before="37" w:line="302" w:lineRule="auto"/>
        <w:ind w:left="49" w:right="295"/>
        <w:rPr>
          <w:rFonts w:ascii="宋体" w:hAnsi="宋体" w:eastAsia="宋体" w:cs="宋体"/>
          <w:sz w:val="17"/>
          <w:szCs w:val="17"/>
        </w:rPr>
      </w:pPr>
      <w:r>
        <w:rPr>
          <w:rFonts w:ascii="宋体" w:hAnsi="宋体" w:eastAsia="宋体" w:cs="宋体"/>
          <w:spacing w:val="10"/>
          <w:sz w:val="17"/>
          <w:szCs w:val="17"/>
        </w:rPr>
        <w:t>女</w:t>
      </w:r>
      <w:r>
        <w:rPr>
          <w:rFonts w:ascii="宋体" w:hAnsi="宋体" w:eastAsia="宋体" w:cs="宋体"/>
          <w:spacing w:val="-37"/>
          <w:sz w:val="17"/>
          <w:szCs w:val="17"/>
        </w:rPr>
        <w:t xml:space="preserve"> </w:t>
      </w:r>
      <w:r>
        <w:rPr>
          <w:rFonts w:ascii="宋体" w:hAnsi="宋体" w:eastAsia="宋体" w:cs="宋体"/>
          <w:spacing w:val="10"/>
          <w:sz w:val="17"/>
          <w:szCs w:val="17"/>
        </w:rPr>
        <w:t>4</w:t>
      </w:r>
      <w:r>
        <w:rPr>
          <w:rFonts w:ascii="Times New Roman" w:hAnsi="Times New Roman" w:eastAsia="Times New Roman" w:cs="Times New Roman"/>
          <w:sz w:val="17"/>
          <w:szCs w:val="17"/>
        </w:rPr>
        <w:t>kg</w:t>
      </w:r>
      <w:r>
        <w:rPr>
          <w:rFonts w:ascii="Times New Roman" w:hAnsi="Times New Roman" w:eastAsia="Times New Roman" w:cs="Times New Roman"/>
          <w:spacing w:val="10"/>
          <w:sz w:val="17"/>
          <w:szCs w:val="17"/>
        </w:rPr>
        <w:t>)</w:t>
      </w:r>
      <w:r>
        <w:rPr>
          <w:rFonts w:ascii="Times New Roman" w:hAnsi="Times New Roman" w:eastAsia="Times New Roman" w:cs="Times New Roman"/>
          <w:spacing w:val="-24"/>
          <w:sz w:val="17"/>
          <w:szCs w:val="17"/>
        </w:rPr>
        <w:t xml:space="preserve"> </w:t>
      </w:r>
      <w:r>
        <w:rPr>
          <w:rFonts w:ascii="宋体" w:hAnsi="宋体" w:eastAsia="宋体" w:cs="宋体"/>
          <w:spacing w:val="10"/>
          <w:sz w:val="17"/>
          <w:szCs w:val="17"/>
        </w:rPr>
        <w:t>、</w:t>
      </w:r>
      <w:r>
        <w:rPr>
          <w:rFonts w:ascii="宋体" w:hAnsi="宋体" w:eastAsia="宋体" w:cs="宋体"/>
          <w:spacing w:val="-40"/>
          <w:sz w:val="17"/>
          <w:szCs w:val="17"/>
        </w:rPr>
        <w:t xml:space="preserve"> </w:t>
      </w:r>
      <w:r>
        <w:rPr>
          <w:rFonts w:ascii="宋体" w:hAnsi="宋体" w:eastAsia="宋体" w:cs="宋体"/>
          <w:spacing w:val="10"/>
          <w:sz w:val="17"/>
          <w:szCs w:val="17"/>
        </w:rPr>
        <w:t>全能和10000米(男)场地竞走、5000米(</w:t>
      </w:r>
      <w:r>
        <w:rPr>
          <w:rFonts w:ascii="宋体" w:hAnsi="宋体" w:eastAsia="宋体" w:cs="宋体"/>
          <w:spacing w:val="9"/>
          <w:sz w:val="17"/>
          <w:szCs w:val="17"/>
        </w:rPr>
        <w:t>女)</w:t>
      </w:r>
      <w:r>
        <w:rPr>
          <w:rFonts w:ascii="宋体" w:hAnsi="宋体" w:eastAsia="宋体" w:cs="宋体"/>
          <w:sz w:val="17"/>
          <w:szCs w:val="17"/>
        </w:rPr>
        <w:t xml:space="preserve"> </w:t>
      </w:r>
      <w:r>
        <w:rPr>
          <w:rFonts w:ascii="宋体" w:hAnsi="宋体" w:eastAsia="宋体" w:cs="宋体"/>
          <w:spacing w:val="1"/>
          <w:sz w:val="17"/>
          <w:szCs w:val="17"/>
        </w:rPr>
        <w:t>场地竞走中选择一个项目进行考试。专项技能为150分。</w:t>
      </w:r>
      <w:r>
        <w:rPr>
          <w:rFonts w:ascii="宋体" w:hAnsi="宋体" w:eastAsia="宋体" w:cs="宋体"/>
          <w:spacing w:val="12"/>
          <w:sz w:val="17"/>
          <w:szCs w:val="17"/>
        </w:rPr>
        <w:t xml:space="preserve"> </w:t>
      </w:r>
      <w:r>
        <w:rPr>
          <w:rFonts w:ascii="宋体" w:hAnsi="宋体" w:eastAsia="宋体" w:cs="宋体"/>
          <w:spacing w:val="-1"/>
          <w:sz w:val="17"/>
          <w:szCs w:val="17"/>
        </w:rPr>
        <w:t>田径专项技能与专项素质测试项目不得重复。</w:t>
      </w:r>
    </w:p>
    <w:p w14:paraId="71191FBF">
      <w:pPr>
        <w:spacing w:before="45" w:line="221" w:lineRule="auto"/>
        <w:ind w:left="409"/>
        <w:rPr>
          <w:rFonts w:ascii="宋体" w:hAnsi="宋体" w:eastAsia="宋体" w:cs="宋体"/>
          <w:sz w:val="17"/>
          <w:szCs w:val="17"/>
        </w:rPr>
      </w:pPr>
      <w:r>
        <w:rPr>
          <w:rFonts w:ascii="宋体" w:hAnsi="宋体" w:eastAsia="宋体" w:cs="宋体"/>
          <w:spacing w:val="1"/>
          <w:sz w:val="17"/>
          <w:szCs w:val="17"/>
        </w:rPr>
        <w:t>2、测试方法</w:t>
      </w:r>
    </w:p>
    <w:p w14:paraId="206B5398">
      <w:pPr>
        <w:spacing w:before="94" w:line="219" w:lineRule="auto"/>
        <w:ind w:left="412"/>
        <w:rPr>
          <w:rFonts w:ascii="宋体" w:hAnsi="宋体" w:eastAsia="宋体" w:cs="宋体"/>
          <w:sz w:val="17"/>
          <w:szCs w:val="17"/>
        </w:rPr>
      </w:pPr>
      <w:r>
        <w:rPr>
          <w:rFonts w:ascii="宋体" w:hAnsi="宋体" w:eastAsia="宋体" w:cs="宋体"/>
          <w:b/>
          <w:bCs/>
          <w:spacing w:val="-5"/>
          <w:sz w:val="17"/>
          <w:szCs w:val="17"/>
        </w:rPr>
        <w:t>根据国际田联最新规则执行。</w:t>
      </w:r>
    </w:p>
    <w:p w14:paraId="4C691CA0">
      <w:pPr>
        <w:spacing w:before="80" w:line="222" w:lineRule="auto"/>
        <w:ind w:left="53"/>
        <w:rPr>
          <w:rFonts w:ascii="黑体" w:hAnsi="黑体" w:eastAsia="黑体" w:cs="黑体"/>
          <w:sz w:val="23"/>
          <w:szCs w:val="23"/>
        </w:rPr>
      </w:pPr>
      <w:r>
        <w:rPr>
          <w:rFonts w:ascii="黑体" w:hAnsi="黑体" w:eastAsia="黑体" w:cs="黑体"/>
          <w:b/>
          <w:bCs/>
          <w:spacing w:val="-15"/>
          <w:sz w:val="23"/>
          <w:szCs w:val="23"/>
        </w:rPr>
        <w:t>二、足球</w:t>
      </w:r>
    </w:p>
    <w:p w14:paraId="7E52084E">
      <w:pPr>
        <w:spacing w:before="81" w:line="219" w:lineRule="auto"/>
        <w:ind w:left="482"/>
        <w:rPr>
          <w:rFonts w:ascii="宋体" w:hAnsi="宋体" w:eastAsia="宋体" w:cs="宋体"/>
          <w:sz w:val="17"/>
          <w:szCs w:val="17"/>
        </w:rPr>
      </w:pPr>
      <w:r>
        <w:rPr>
          <w:rFonts w:ascii="宋体" w:hAnsi="宋体" w:eastAsia="宋体" w:cs="宋体"/>
          <w:b/>
          <w:bCs/>
          <w:spacing w:val="13"/>
          <w:sz w:val="17"/>
          <w:szCs w:val="17"/>
        </w:rPr>
        <w:t>(一)专项素质</w:t>
      </w:r>
    </w:p>
    <w:p w14:paraId="0044CE78">
      <w:pPr>
        <w:pStyle w:val="2"/>
        <w:spacing w:line="14" w:lineRule="auto"/>
        <w:rPr>
          <w:sz w:val="2"/>
        </w:rPr>
      </w:pPr>
      <w:r>
        <w:rPr>
          <w:sz w:val="2"/>
          <w:szCs w:val="2"/>
        </w:rPr>
        <w:br w:type="column"/>
      </w:r>
    </w:p>
    <w:p w14:paraId="4ED87BBE">
      <w:pPr>
        <w:spacing w:before="52" w:line="219" w:lineRule="auto"/>
        <w:ind w:left="352"/>
        <w:rPr>
          <w:rFonts w:ascii="宋体" w:hAnsi="宋体" w:eastAsia="宋体" w:cs="宋体"/>
          <w:sz w:val="17"/>
          <w:szCs w:val="17"/>
        </w:rPr>
      </w:pPr>
      <w:r>
        <w:rPr>
          <w:rFonts w:ascii="宋体" w:hAnsi="宋体" w:eastAsia="宋体" w:cs="宋体"/>
          <w:b/>
          <w:bCs/>
          <w:spacing w:val="-4"/>
          <w:sz w:val="17"/>
          <w:szCs w:val="17"/>
        </w:rPr>
        <w:t>1、测试内容及分值</w:t>
      </w:r>
    </w:p>
    <w:p w14:paraId="3E259D60">
      <w:pPr>
        <w:spacing w:before="77" w:line="219" w:lineRule="auto"/>
        <w:ind w:left="352"/>
        <w:rPr>
          <w:rFonts w:ascii="宋体" w:hAnsi="宋体" w:eastAsia="宋体" w:cs="宋体"/>
          <w:sz w:val="17"/>
          <w:szCs w:val="17"/>
        </w:rPr>
      </w:pPr>
      <w:r>
        <w:rPr>
          <w:rFonts w:ascii="宋体" w:hAnsi="宋体" w:eastAsia="宋体" w:cs="宋体"/>
          <w:b/>
          <w:bCs/>
          <w:spacing w:val="18"/>
          <w:sz w:val="17"/>
          <w:szCs w:val="17"/>
        </w:rPr>
        <w:t>5×25米折返跑(80分);传准(80分);运射(80</w:t>
      </w:r>
    </w:p>
    <w:p w14:paraId="3A83F31E">
      <w:pPr>
        <w:spacing w:before="100" w:line="219" w:lineRule="auto"/>
        <w:rPr>
          <w:rFonts w:ascii="宋体" w:hAnsi="宋体" w:eastAsia="宋体" w:cs="宋体"/>
          <w:sz w:val="17"/>
          <w:szCs w:val="17"/>
        </w:rPr>
      </w:pPr>
      <w:r>
        <w:rPr>
          <w:rFonts w:ascii="宋体" w:hAnsi="宋体" w:eastAsia="宋体" w:cs="宋体"/>
          <w:spacing w:val="-12"/>
          <w:sz w:val="17"/>
          <w:szCs w:val="17"/>
        </w:rPr>
        <w:t>分</w:t>
      </w:r>
      <w:r>
        <w:rPr>
          <w:rFonts w:ascii="宋体" w:hAnsi="宋体" w:eastAsia="宋体" w:cs="宋体"/>
          <w:spacing w:val="-30"/>
          <w:sz w:val="17"/>
          <w:szCs w:val="17"/>
        </w:rPr>
        <w:t xml:space="preserve"> </w:t>
      </w:r>
      <w:r>
        <w:rPr>
          <w:rFonts w:ascii="宋体" w:hAnsi="宋体" w:eastAsia="宋体" w:cs="宋体"/>
          <w:spacing w:val="-12"/>
          <w:sz w:val="17"/>
          <w:szCs w:val="17"/>
        </w:rPr>
        <w:t>) ;</w:t>
      </w:r>
      <w:r>
        <w:rPr>
          <w:rFonts w:ascii="宋体" w:hAnsi="宋体" w:eastAsia="宋体" w:cs="宋体"/>
          <w:spacing w:val="-35"/>
          <w:sz w:val="17"/>
          <w:szCs w:val="17"/>
        </w:rPr>
        <w:t xml:space="preserve"> </w:t>
      </w:r>
      <w:r>
        <w:rPr>
          <w:rFonts w:ascii="宋体" w:hAnsi="宋体" w:eastAsia="宋体" w:cs="宋体"/>
          <w:spacing w:val="-12"/>
          <w:sz w:val="17"/>
          <w:szCs w:val="17"/>
        </w:rPr>
        <w:t>颠</w:t>
      </w:r>
      <w:r>
        <w:rPr>
          <w:rFonts w:ascii="宋体" w:hAnsi="宋体" w:eastAsia="宋体" w:cs="宋体"/>
          <w:spacing w:val="-37"/>
          <w:sz w:val="17"/>
          <w:szCs w:val="17"/>
        </w:rPr>
        <w:t xml:space="preserve"> </w:t>
      </w:r>
      <w:r>
        <w:rPr>
          <w:rFonts w:ascii="宋体" w:hAnsi="宋体" w:eastAsia="宋体" w:cs="宋体"/>
          <w:spacing w:val="-12"/>
          <w:sz w:val="17"/>
          <w:szCs w:val="17"/>
        </w:rPr>
        <w:t>球 (</w:t>
      </w:r>
      <w:r>
        <w:rPr>
          <w:rFonts w:ascii="宋体" w:hAnsi="宋体" w:eastAsia="宋体" w:cs="宋体"/>
          <w:spacing w:val="-35"/>
          <w:sz w:val="17"/>
          <w:szCs w:val="17"/>
        </w:rPr>
        <w:t xml:space="preserve"> </w:t>
      </w:r>
      <w:r>
        <w:rPr>
          <w:rFonts w:ascii="宋体" w:hAnsi="宋体" w:eastAsia="宋体" w:cs="宋体"/>
          <w:spacing w:val="-12"/>
          <w:sz w:val="17"/>
          <w:szCs w:val="17"/>
        </w:rPr>
        <w:t>6</w:t>
      </w:r>
      <w:r>
        <w:rPr>
          <w:rFonts w:ascii="宋体" w:hAnsi="宋体" w:eastAsia="宋体" w:cs="宋体"/>
          <w:spacing w:val="-35"/>
          <w:sz w:val="17"/>
          <w:szCs w:val="17"/>
        </w:rPr>
        <w:t xml:space="preserve"> </w:t>
      </w:r>
      <w:r>
        <w:rPr>
          <w:rFonts w:ascii="宋体" w:hAnsi="宋体" w:eastAsia="宋体" w:cs="宋体"/>
          <w:spacing w:val="-12"/>
          <w:sz w:val="17"/>
          <w:szCs w:val="17"/>
        </w:rPr>
        <w:t>0</w:t>
      </w:r>
      <w:r>
        <w:rPr>
          <w:rFonts w:ascii="宋体" w:hAnsi="宋体" w:eastAsia="宋体" w:cs="宋体"/>
          <w:spacing w:val="-35"/>
          <w:sz w:val="17"/>
          <w:szCs w:val="17"/>
        </w:rPr>
        <w:t xml:space="preserve"> </w:t>
      </w:r>
      <w:r>
        <w:rPr>
          <w:rFonts w:ascii="宋体" w:hAnsi="宋体" w:eastAsia="宋体" w:cs="宋体"/>
          <w:spacing w:val="-12"/>
          <w:sz w:val="17"/>
          <w:szCs w:val="17"/>
        </w:rPr>
        <w:t>分</w:t>
      </w:r>
      <w:r>
        <w:rPr>
          <w:rFonts w:ascii="宋体" w:hAnsi="宋体" w:eastAsia="宋体" w:cs="宋体"/>
          <w:spacing w:val="-36"/>
          <w:sz w:val="17"/>
          <w:szCs w:val="17"/>
        </w:rPr>
        <w:t xml:space="preserve"> </w:t>
      </w:r>
      <w:r>
        <w:rPr>
          <w:rFonts w:ascii="宋体" w:hAnsi="宋体" w:eastAsia="宋体" w:cs="宋体"/>
          <w:spacing w:val="-12"/>
          <w:sz w:val="17"/>
          <w:szCs w:val="17"/>
        </w:rPr>
        <w:t>)</w:t>
      </w:r>
      <w:r>
        <w:rPr>
          <w:rFonts w:ascii="宋体" w:hAnsi="宋体" w:eastAsia="宋体" w:cs="宋体"/>
          <w:spacing w:val="-43"/>
          <w:sz w:val="17"/>
          <w:szCs w:val="17"/>
        </w:rPr>
        <w:t xml:space="preserve"> </w:t>
      </w:r>
      <w:r>
        <w:rPr>
          <w:rFonts w:ascii="宋体" w:hAnsi="宋体" w:eastAsia="宋体" w:cs="宋体"/>
          <w:spacing w:val="-12"/>
          <w:sz w:val="17"/>
          <w:szCs w:val="17"/>
        </w:rPr>
        <w:t>。</w:t>
      </w:r>
    </w:p>
    <w:p w14:paraId="0F3BAEE7">
      <w:pPr>
        <w:spacing w:before="81" w:line="221" w:lineRule="auto"/>
        <w:ind w:left="350"/>
        <w:rPr>
          <w:rFonts w:ascii="宋体" w:hAnsi="宋体" w:eastAsia="宋体" w:cs="宋体"/>
          <w:sz w:val="17"/>
          <w:szCs w:val="17"/>
        </w:rPr>
      </w:pPr>
      <w:r>
        <w:rPr>
          <w:rFonts w:ascii="宋体" w:hAnsi="宋体" w:eastAsia="宋体" w:cs="宋体"/>
          <w:spacing w:val="-2"/>
          <w:sz w:val="17"/>
          <w:szCs w:val="17"/>
        </w:rPr>
        <w:t>2、测试方法</w:t>
      </w:r>
    </w:p>
    <w:p w14:paraId="68B20A54">
      <w:pPr>
        <w:spacing w:before="85" w:line="306" w:lineRule="auto"/>
        <w:ind w:right="78" w:firstLine="350"/>
        <w:rPr>
          <w:rFonts w:ascii="宋体" w:hAnsi="宋体" w:eastAsia="宋体" w:cs="宋体"/>
          <w:sz w:val="17"/>
          <w:szCs w:val="17"/>
        </w:rPr>
      </w:pPr>
      <w:r>
        <w:rPr>
          <w:rFonts w:ascii="宋体" w:hAnsi="宋体" w:eastAsia="宋体" w:cs="宋体"/>
          <w:spacing w:val="5"/>
          <w:sz w:val="17"/>
          <w:szCs w:val="17"/>
        </w:rPr>
        <w:t>5×25米折返跑测试方法：从起跑线向场内垂直方</w:t>
      </w:r>
      <w:r>
        <w:rPr>
          <w:rFonts w:ascii="宋体" w:hAnsi="宋体" w:eastAsia="宋体" w:cs="宋体"/>
          <w:spacing w:val="15"/>
          <w:sz w:val="17"/>
          <w:szCs w:val="17"/>
        </w:rPr>
        <w:t xml:space="preserve"> </w:t>
      </w:r>
      <w:r>
        <w:rPr>
          <w:rFonts w:ascii="宋体" w:hAnsi="宋体" w:eastAsia="宋体" w:cs="宋体"/>
          <w:spacing w:val="12"/>
          <w:sz w:val="17"/>
          <w:szCs w:val="17"/>
        </w:rPr>
        <w:t>向快跑，在跑动中用手击倒位于5米、10米、15</w:t>
      </w:r>
      <w:r>
        <w:rPr>
          <w:rFonts w:ascii="宋体" w:hAnsi="宋体" w:eastAsia="宋体" w:cs="宋体"/>
          <w:spacing w:val="11"/>
          <w:sz w:val="17"/>
          <w:szCs w:val="17"/>
        </w:rPr>
        <w:t>米、</w:t>
      </w:r>
      <w:r>
        <w:rPr>
          <w:rFonts w:ascii="宋体" w:hAnsi="宋体" w:eastAsia="宋体" w:cs="宋体"/>
          <w:sz w:val="17"/>
          <w:szCs w:val="17"/>
        </w:rPr>
        <w:t xml:space="preserve"> </w:t>
      </w:r>
      <w:r>
        <w:rPr>
          <w:rFonts w:ascii="宋体" w:hAnsi="宋体" w:eastAsia="宋体" w:cs="宋体"/>
          <w:spacing w:val="5"/>
          <w:sz w:val="17"/>
          <w:szCs w:val="17"/>
        </w:rPr>
        <w:t>20米和25米各处的标识物后返回起跑线。</w:t>
      </w:r>
    </w:p>
    <w:p w14:paraId="1593568A">
      <w:pPr>
        <w:spacing w:before="26" w:line="310" w:lineRule="auto"/>
        <w:ind w:right="29" w:firstLine="350"/>
        <w:rPr>
          <w:rFonts w:ascii="宋体" w:hAnsi="宋体" w:eastAsia="宋体" w:cs="宋体"/>
          <w:sz w:val="17"/>
          <w:szCs w:val="17"/>
        </w:rPr>
      </w:pPr>
      <w:r>
        <w:rPr>
          <w:rFonts w:ascii="宋体" w:hAnsi="宋体" w:eastAsia="宋体" w:cs="宋体"/>
          <w:spacing w:val="14"/>
          <w:sz w:val="17"/>
          <w:szCs w:val="17"/>
        </w:rPr>
        <w:t>传准测试方法：从长5米，宽10厘米的起点线中</w:t>
      </w:r>
      <w:r>
        <w:rPr>
          <w:rFonts w:ascii="宋体" w:hAnsi="宋体" w:eastAsia="宋体" w:cs="宋体"/>
          <w:spacing w:val="4"/>
          <w:sz w:val="17"/>
          <w:szCs w:val="17"/>
        </w:rPr>
        <w:t xml:space="preserve"> </w:t>
      </w:r>
      <w:r>
        <w:rPr>
          <w:rFonts w:ascii="宋体" w:hAnsi="宋体" w:eastAsia="宋体" w:cs="宋体"/>
          <w:spacing w:val="19"/>
          <w:sz w:val="17"/>
          <w:szCs w:val="17"/>
        </w:rPr>
        <w:t>心点垂直向前分别以20米、26米、32米处(女子为</w:t>
      </w:r>
      <w:r>
        <w:rPr>
          <w:rFonts w:ascii="宋体" w:hAnsi="宋体" w:eastAsia="宋体" w:cs="宋体"/>
          <w:spacing w:val="7"/>
          <w:sz w:val="17"/>
          <w:szCs w:val="17"/>
        </w:rPr>
        <w:t xml:space="preserve"> </w:t>
      </w:r>
      <w:r>
        <w:rPr>
          <w:rFonts w:ascii="宋体" w:hAnsi="宋体" w:eastAsia="宋体" w:cs="宋体"/>
          <w:spacing w:val="1"/>
          <w:sz w:val="17"/>
          <w:szCs w:val="17"/>
        </w:rPr>
        <w:t>18米、24米、30米)为圆心各画三个</w:t>
      </w:r>
      <w:r>
        <w:rPr>
          <w:rFonts w:ascii="宋体" w:hAnsi="宋体" w:eastAsia="宋体" w:cs="宋体"/>
          <w:sz w:val="17"/>
          <w:szCs w:val="17"/>
        </w:rPr>
        <w:t xml:space="preserve">同心圆为传准目标， </w:t>
      </w:r>
      <w:r>
        <w:rPr>
          <w:rFonts w:ascii="宋体" w:hAnsi="宋体" w:eastAsia="宋体" w:cs="宋体"/>
          <w:spacing w:val="13"/>
          <w:sz w:val="17"/>
          <w:szCs w:val="17"/>
        </w:rPr>
        <w:t>每个同心圆的半径分别为1米、2米、3米。考生从限</w:t>
      </w:r>
      <w:r>
        <w:rPr>
          <w:rFonts w:ascii="宋体" w:hAnsi="宋体" w:eastAsia="宋体" w:cs="宋体"/>
          <w:spacing w:val="1"/>
          <w:sz w:val="17"/>
          <w:szCs w:val="17"/>
        </w:rPr>
        <w:t xml:space="preserve"> </w:t>
      </w:r>
      <w:r>
        <w:rPr>
          <w:rFonts w:ascii="宋体" w:hAnsi="宋体" w:eastAsia="宋体" w:cs="宋体"/>
          <w:spacing w:val="2"/>
          <w:sz w:val="17"/>
          <w:szCs w:val="17"/>
        </w:rPr>
        <w:t>制线上或线后，按由近到远的顺序，向各同心圆连续传</w:t>
      </w:r>
      <w:r>
        <w:rPr>
          <w:rFonts w:ascii="宋体" w:hAnsi="宋体" w:eastAsia="宋体" w:cs="宋体"/>
          <w:spacing w:val="9"/>
          <w:sz w:val="17"/>
          <w:szCs w:val="17"/>
        </w:rPr>
        <w:t xml:space="preserve"> </w:t>
      </w:r>
      <w:r>
        <w:rPr>
          <w:rFonts w:ascii="宋体" w:hAnsi="宋体" w:eastAsia="宋体" w:cs="宋体"/>
          <w:spacing w:val="7"/>
          <w:sz w:val="17"/>
          <w:szCs w:val="17"/>
        </w:rPr>
        <w:t>球2次，脚法不限。</w:t>
      </w:r>
    </w:p>
    <w:p w14:paraId="17B6F123">
      <w:pPr>
        <w:spacing w:before="23" w:line="311" w:lineRule="auto"/>
        <w:ind w:right="75" w:firstLine="350"/>
        <w:jc w:val="both"/>
        <w:rPr>
          <w:rFonts w:ascii="宋体" w:hAnsi="宋体" w:eastAsia="宋体" w:cs="宋体"/>
          <w:sz w:val="17"/>
          <w:szCs w:val="17"/>
        </w:rPr>
      </w:pPr>
      <w:r>
        <w:rPr>
          <w:rFonts w:ascii="宋体" w:hAnsi="宋体" w:eastAsia="宋体" w:cs="宋体"/>
          <w:spacing w:val="2"/>
          <w:sz w:val="17"/>
          <w:szCs w:val="17"/>
        </w:rPr>
        <w:t>运射测试方法：从罚球区线中点垂直向场内延伸至</w:t>
      </w:r>
      <w:r>
        <w:rPr>
          <w:rFonts w:ascii="宋体" w:hAnsi="宋体" w:eastAsia="宋体" w:cs="宋体"/>
          <w:spacing w:val="3"/>
          <w:sz w:val="17"/>
          <w:szCs w:val="17"/>
        </w:rPr>
        <w:t xml:space="preserve"> </w:t>
      </w:r>
      <w:r>
        <w:rPr>
          <w:rFonts w:ascii="宋体" w:hAnsi="宋体" w:eastAsia="宋体" w:cs="宋体"/>
          <w:spacing w:val="2"/>
          <w:sz w:val="17"/>
          <w:szCs w:val="17"/>
        </w:rPr>
        <w:t>20米处画一条平行于球门线的横线作为起始线，考生先</w:t>
      </w:r>
      <w:r>
        <w:rPr>
          <w:rFonts w:ascii="宋体" w:hAnsi="宋体" w:eastAsia="宋体" w:cs="宋体"/>
          <w:spacing w:val="8"/>
          <w:sz w:val="17"/>
          <w:szCs w:val="17"/>
        </w:rPr>
        <w:t xml:space="preserve"> </w:t>
      </w:r>
      <w:r>
        <w:rPr>
          <w:rFonts w:ascii="宋体" w:hAnsi="宋体" w:eastAsia="宋体" w:cs="宋体"/>
          <w:spacing w:val="4"/>
          <w:sz w:val="17"/>
          <w:szCs w:val="17"/>
        </w:rPr>
        <w:t>将球放在起始线上，然后运球依次绕过8根标志杆后起</w:t>
      </w:r>
      <w:r>
        <w:rPr>
          <w:rFonts w:ascii="宋体" w:hAnsi="宋体" w:eastAsia="宋体" w:cs="宋体"/>
          <w:spacing w:val="15"/>
          <w:sz w:val="17"/>
          <w:szCs w:val="17"/>
        </w:rPr>
        <w:t xml:space="preserve"> </w:t>
      </w:r>
      <w:r>
        <w:rPr>
          <w:rFonts w:ascii="宋体" w:hAnsi="宋体" w:eastAsia="宋体" w:cs="宋体"/>
          <w:spacing w:val="9"/>
          <w:sz w:val="17"/>
          <w:szCs w:val="17"/>
        </w:rPr>
        <w:t xml:space="preserve">脚射门(起点到第一标志杆为5米，第一到第二标志杆 </w:t>
      </w:r>
      <w:r>
        <w:rPr>
          <w:rFonts w:ascii="宋体" w:hAnsi="宋体" w:eastAsia="宋体" w:cs="宋体"/>
          <w:spacing w:val="8"/>
          <w:sz w:val="17"/>
          <w:szCs w:val="17"/>
        </w:rPr>
        <w:t>为1米，第二到第三标志杆为3米，第八标志杆到射门</w:t>
      </w:r>
      <w:r>
        <w:rPr>
          <w:rFonts w:ascii="宋体" w:hAnsi="宋体" w:eastAsia="宋体" w:cs="宋体"/>
          <w:spacing w:val="16"/>
          <w:sz w:val="17"/>
          <w:szCs w:val="17"/>
        </w:rPr>
        <w:t xml:space="preserve"> </w:t>
      </w:r>
      <w:r>
        <w:rPr>
          <w:rFonts w:ascii="宋体" w:hAnsi="宋体" w:eastAsia="宋体" w:cs="宋体"/>
          <w:spacing w:val="27"/>
          <w:sz w:val="17"/>
          <w:szCs w:val="17"/>
        </w:rPr>
        <w:t>线为2米)</w:t>
      </w:r>
    </w:p>
    <w:p w14:paraId="435F632B">
      <w:pPr>
        <w:spacing w:before="24" w:line="312" w:lineRule="auto"/>
        <w:ind w:right="29" w:firstLine="350"/>
        <w:rPr>
          <w:rFonts w:ascii="宋体" w:hAnsi="宋体" w:eastAsia="宋体" w:cs="宋体"/>
          <w:sz w:val="17"/>
          <w:szCs w:val="17"/>
        </w:rPr>
      </w:pPr>
      <w:r>
        <w:rPr>
          <w:rFonts w:ascii="宋体" w:hAnsi="宋体" w:eastAsia="宋体" w:cs="宋体"/>
          <w:spacing w:val="-4"/>
          <w:sz w:val="17"/>
          <w:szCs w:val="17"/>
        </w:rPr>
        <w:t>颠球测试方法：头部连续击球，大腿左右交替颠球，</w:t>
      </w:r>
      <w:r>
        <w:rPr>
          <w:rFonts w:ascii="宋体" w:hAnsi="宋体" w:eastAsia="宋体" w:cs="宋体"/>
          <w:spacing w:val="15"/>
          <w:sz w:val="17"/>
          <w:szCs w:val="17"/>
        </w:rPr>
        <w:t xml:space="preserve"> </w:t>
      </w:r>
      <w:r>
        <w:rPr>
          <w:rFonts w:ascii="宋体" w:hAnsi="宋体" w:eastAsia="宋体" w:cs="宋体"/>
          <w:spacing w:val="-1"/>
          <w:sz w:val="17"/>
          <w:szCs w:val="17"/>
        </w:rPr>
        <w:t>脚背正面左右交替颠球。</w:t>
      </w:r>
    </w:p>
    <w:p w14:paraId="4C539E0B">
      <w:pPr>
        <w:spacing w:before="7" w:line="220" w:lineRule="auto"/>
        <w:ind w:left="440"/>
        <w:rPr>
          <w:rFonts w:ascii="宋体" w:hAnsi="宋体" w:eastAsia="宋体" w:cs="宋体"/>
          <w:sz w:val="17"/>
          <w:szCs w:val="17"/>
        </w:rPr>
      </w:pPr>
      <w:r>
        <w:rPr>
          <w:rFonts w:ascii="宋体" w:hAnsi="宋体" w:eastAsia="宋体" w:cs="宋体"/>
          <w:spacing w:val="14"/>
          <w:sz w:val="17"/>
          <w:szCs w:val="17"/>
        </w:rPr>
        <w:t>(二)专项技能</w:t>
      </w:r>
    </w:p>
    <w:p w14:paraId="607F3824">
      <w:pPr>
        <w:spacing w:before="86" w:line="314" w:lineRule="auto"/>
        <w:ind w:left="350" w:right="2428"/>
        <w:rPr>
          <w:rFonts w:ascii="宋体" w:hAnsi="宋体" w:eastAsia="宋体" w:cs="宋体"/>
          <w:sz w:val="17"/>
          <w:szCs w:val="17"/>
        </w:rPr>
      </w:pPr>
      <w:r>
        <w:rPr>
          <w:rFonts w:ascii="宋体" w:hAnsi="宋体" w:eastAsia="宋体" w:cs="宋体"/>
          <w:spacing w:val="-1"/>
          <w:sz w:val="17"/>
          <w:szCs w:val="17"/>
        </w:rPr>
        <w:t>1、测试内容及分值</w:t>
      </w:r>
      <w:r>
        <w:rPr>
          <w:rFonts w:ascii="宋体" w:hAnsi="宋体" w:eastAsia="宋体" w:cs="宋体"/>
          <w:sz w:val="17"/>
          <w:szCs w:val="17"/>
        </w:rPr>
        <w:t xml:space="preserve"> </w:t>
      </w:r>
      <w:r>
        <w:rPr>
          <w:rFonts w:ascii="宋体" w:hAnsi="宋体" w:eastAsia="宋体" w:cs="宋体"/>
          <w:spacing w:val="22"/>
          <w:sz w:val="17"/>
          <w:szCs w:val="17"/>
        </w:rPr>
        <w:t>实战(150分)</w:t>
      </w:r>
    </w:p>
    <w:p w14:paraId="5FAB8FFA">
      <w:pPr>
        <w:spacing w:before="3" w:line="221" w:lineRule="auto"/>
        <w:ind w:left="350"/>
        <w:rPr>
          <w:rFonts w:ascii="宋体" w:hAnsi="宋体" w:eastAsia="宋体" w:cs="宋体"/>
          <w:sz w:val="17"/>
          <w:szCs w:val="17"/>
        </w:rPr>
      </w:pPr>
      <w:r>
        <w:rPr>
          <w:rFonts w:ascii="宋体" w:hAnsi="宋体" w:eastAsia="宋体" w:cs="宋体"/>
          <w:spacing w:val="-6"/>
          <w:sz w:val="17"/>
          <w:szCs w:val="17"/>
        </w:rPr>
        <w:t>2、测试方法</w:t>
      </w:r>
    </w:p>
    <w:p w14:paraId="4B467D3C">
      <w:pPr>
        <w:spacing w:before="96" w:line="219" w:lineRule="auto"/>
        <w:ind w:left="350"/>
        <w:rPr>
          <w:rFonts w:ascii="宋体" w:hAnsi="宋体" w:eastAsia="宋体" w:cs="宋体"/>
          <w:sz w:val="17"/>
          <w:szCs w:val="17"/>
        </w:rPr>
      </w:pPr>
      <w:r>
        <w:rPr>
          <w:rFonts w:ascii="宋体" w:hAnsi="宋体" w:eastAsia="宋体" w:cs="宋体"/>
          <w:spacing w:val="-1"/>
          <w:sz w:val="17"/>
          <w:szCs w:val="17"/>
        </w:rPr>
        <w:t>实战比赛：视考生人数分组进行比赛。</w:t>
      </w:r>
    </w:p>
    <w:p w14:paraId="42F1B0DC">
      <w:pPr>
        <w:spacing w:before="77" w:line="222" w:lineRule="auto"/>
        <w:ind w:left="3"/>
        <w:rPr>
          <w:rFonts w:ascii="黑体" w:hAnsi="黑体" w:eastAsia="黑体" w:cs="黑体"/>
          <w:sz w:val="23"/>
          <w:szCs w:val="23"/>
        </w:rPr>
      </w:pPr>
      <w:r>
        <w:rPr>
          <w:rFonts w:ascii="黑体" w:hAnsi="黑体" w:eastAsia="黑体" w:cs="黑体"/>
          <w:b/>
          <w:bCs/>
          <w:spacing w:val="-11"/>
          <w:sz w:val="23"/>
          <w:szCs w:val="23"/>
        </w:rPr>
        <w:t>三、篮球</w:t>
      </w:r>
    </w:p>
    <w:p w14:paraId="72AC409B">
      <w:pPr>
        <w:spacing w:before="93" w:line="225" w:lineRule="auto"/>
        <w:ind w:left="420"/>
        <w:rPr>
          <w:rFonts w:ascii="楷体" w:hAnsi="楷体" w:eastAsia="楷体" w:cs="楷体"/>
          <w:sz w:val="17"/>
          <w:szCs w:val="17"/>
        </w:rPr>
      </w:pPr>
      <w:r>
        <w:rPr>
          <w:rFonts w:ascii="楷体" w:hAnsi="楷体" w:eastAsia="楷体" w:cs="楷体"/>
          <w:spacing w:val="10"/>
          <w:sz w:val="17"/>
          <w:szCs w:val="17"/>
        </w:rPr>
        <w:t>(</w:t>
      </w:r>
      <w:r>
        <w:rPr>
          <w:rFonts w:ascii="楷体" w:hAnsi="楷体" w:eastAsia="楷体" w:cs="楷体"/>
          <w:spacing w:val="-45"/>
          <w:sz w:val="17"/>
          <w:szCs w:val="17"/>
        </w:rPr>
        <w:t xml:space="preserve"> </w:t>
      </w:r>
      <w:r>
        <w:rPr>
          <w:rFonts w:ascii="楷体" w:hAnsi="楷体" w:eastAsia="楷体" w:cs="楷体"/>
          <w:spacing w:val="10"/>
          <w:sz w:val="17"/>
          <w:szCs w:val="17"/>
        </w:rPr>
        <w:t>一)专项素质</w:t>
      </w:r>
    </w:p>
    <w:p w14:paraId="32377482">
      <w:pPr>
        <w:spacing w:before="85" w:line="219" w:lineRule="auto"/>
        <w:ind w:left="350"/>
        <w:rPr>
          <w:rFonts w:ascii="宋体" w:hAnsi="宋体" w:eastAsia="宋体" w:cs="宋体"/>
          <w:sz w:val="17"/>
          <w:szCs w:val="17"/>
        </w:rPr>
      </w:pPr>
      <w:r>
        <w:rPr>
          <w:rFonts w:ascii="宋体" w:hAnsi="宋体" w:eastAsia="宋体" w:cs="宋体"/>
          <w:spacing w:val="-1"/>
          <w:sz w:val="17"/>
          <w:szCs w:val="17"/>
        </w:rPr>
        <w:t>1、测试内容及分值</w:t>
      </w:r>
    </w:p>
    <w:p w14:paraId="58DFF569">
      <w:pPr>
        <w:spacing w:before="77" w:line="303" w:lineRule="auto"/>
        <w:ind w:right="67" w:firstLine="350"/>
        <w:rPr>
          <w:rFonts w:ascii="宋体" w:hAnsi="宋体" w:eastAsia="宋体" w:cs="宋体"/>
          <w:sz w:val="17"/>
          <w:szCs w:val="17"/>
        </w:rPr>
      </w:pPr>
      <w:r>
        <w:rPr>
          <w:rFonts w:ascii="宋体" w:hAnsi="宋体" w:eastAsia="宋体" w:cs="宋体"/>
          <w:spacing w:val="30"/>
          <w:sz w:val="17"/>
          <w:szCs w:val="17"/>
        </w:rPr>
        <w:t>助跑摸高(100分);投篮(100分);多种变向</w:t>
      </w:r>
      <w:r>
        <w:rPr>
          <w:rFonts w:ascii="宋体" w:hAnsi="宋体" w:eastAsia="宋体" w:cs="宋体"/>
          <w:spacing w:val="16"/>
          <w:sz w:val="17"/>
          <w:szCs w:val="17"/>
        </w:rPr>
        <w:t xml:space="preserve"> </w:t>
      </w:r>
      <w:r>
        <w:rPr>
          <w:rFonts w:ascii="宋体" w:hAnsi="宋体" w:eastAsia="宋体" w:cs="宋体"/>
          <w:spacing w:val="17"/>
          <w:sz w:val="17"/>
          <w:szCs w:val="17"/>
        </w:rPr>
        <w:t>运球上篮(100分)。</w:t>
      </w:r>
    </w:p>
    <w:p w14:paraId="6FAE41BF">
      <w:pPr>
        <w:spacing w:before="24" w:line="221" w:lineRule="auto"/>
        <w:ind w:left="350"/>
        <w:rPr>
          <w:rFonts w:ascii="宋体" w:hAnsi="宋体" w:eastAsia="宋体" w:cs="宋体"/>
          <w:sz w:val="17"/>
          <w:szCs w:val="17"/>
        </w:rPr>
      </w:pPr>
      <w:r>
        <w:rPr>
          <w:rFonts w:ascii="宋体" w:hAnsi="宋体" w:eastAsia="宋体" w:cs="宋体"/>
          <w:spacing w:val="-6"/>
          <w:sz w:val="17"/>
          <w:szCs w:val="17"/>
        </w:rPr>
        <w:t>2、测试方法</w:t>
      </w:r>
    </w:p>
    <w:p w14:paraId="0AB44622">
      <w:pPr>
        <w:spacing w:before="84" w:line="307" w:lineRule="auto"/>
        <w:ind w:firstLine="350"/>
        <w:rPr>
          <w:rFonts w:ascii="宋体" w:hAnsi="宋体" w:eastAsia="宋体" w:cs="宋体"/>
          <w:sz w:val="17"/>
          <w:szCs w:val="17"/>
        </w:rPr>
      </w:pPr>
      <w:r>
        <w:rPr>
          <w:rFonts w:ascii="宋体" w:hAnsi="宋体" w:eastAsia="宋体" w:cs="宋体"/>
          <w:spacing w:val="2"/>
          <w:sz w:val="17"/>
          <w:szCs w:val="17"/>
        </w:rPr>
        <w:t>助跑摸高测试方法：助跑起跳摸高，摸最高点计其</w:t>
      </w:r>
      <w:r>
        <w:rPr>
          <w:rFonts w:ascii="宋体" w:hAnsi="宋体" w:eastAsia="宋体" w:cs="宋体"/>
          <w:spacing w:val="1"/>
          <w:sz w:val="17"/>
          <w:szCs w:val="17"/>
        </w:rPr>
        <w:t xml:space="preserve">  </w:t>
      </w:r>
      <w:r>
        <w:rPr>
          <w:rFonts w:ascii="宋体" w:hAnsi="宋体" w:eastAsia="宋体" w:cs="宋体"/>
          <w:spacing w:val="5"/>
          <w:sz w:val="17"/>
          <w:szCs w:val="17"/>
        </w:rPr>
        <w:t>成绩，每人测2次，计其中1次最佳成绩(精确到厘米)。</w:t>
      </w:r>
      <w:r>
        <w:rPr>
          <w:rFonts w:ascii="宋体" w:hAnsi="宋体" w:eastAsia="宋体" w:cs="宋体"/>
          <w:spacing w:val="3"/>
          <w:sz w:val="17"/>
          <w:szCs w:val="17"/>
        </w:rPr>
        <w:t xml:space="preserve"> </w:t>
      </w:r>
      <w:r>
        <w:rPr>
          <w:rFonts w:ascii="宋体" w:hAnsi="宋体" w:eastAsia="宋体" w:cs="宋体"/>
          <w:spacing w:val="-1"/>
          <w:sz w:val="17"/>
          <w:szCs w:val="17"/>
        </w:rPr>
        <w:t>助跑距离和助跑方法不限。</w:t>
      </w:r>
    </w:p>
    <w:p w14:paraId="60961184">
      <w:pPr>
        <w:spacing w:before="42" w:line="295" w:lineRule="auto"/>
        <w:ind w:right="70" w:firstLine="350"/>
        <w:rPr>
          <w:rFonts w:ascii="宋体" w:hAnsi="宋体" w:eastAsia="宋体" w:cs="宋体"/>
          <w:sz w:val="17"/>
          <w:szCs w:val="17"/>
        </w:rPr>
      </w:pPr>
      <w:r>
        <w:rPr>
          <w:rFonts w:ascii="宋体" w:hAnsi="宋体" w:eastAsia="宋体" w:cs="宋体"/>
          <w:spacing w:val="6"/>
          <w:sz w:val="17"/>
          <w:szCs w:val="17"/>
        </w:rPr>
        <w:t>投篮测试方法：以篮圈中心投影点为中心，5米为</w:t>
      </w:r>
      <w:r>
        <w:rPr>
          <w:rFonts w:ascii="宋体" w:hAnsi="宋体" w:eastAsia="宋体" w:cs="宋体"/>
          <w:sz w:val="17"/>
          <w:szCs w:val="17"/>
        </w:rPr>
        <w:t xml:space="preserve"> </w:t>
      </w:r>
      <w:r>
        <w:rPr>
          <w:rFonts w:ascii="宋体" w:hAnsi="宋体" w:eastAsia="宋体" w:cs="宋体"/>
          <w:spacing w:val="6"/>
          <w:sz w:val="17"/>
          <w:szCs w:val="17"/>
        </w:rPr>
        <w:t>半径画弧，考生在弧线外进行1分钟自投自抢。每人测</w:t>
      </w:r>
      <w:r>
        <w:rPr>
          <w:rFonts w:ascii="宋体" w:hAnsi="宋体" w:eastAsia="宋体" w:cs="宋体"/>
          <w:spacing w:val="3"/>
          <w:sz w:val="17"/>
          <w:szCs w:val="17"/>
        </w:rPr>
        <w:t xml:space="preserve"> </w:t>
      </w:r>
      <w:r>
        <w:rPr>
          <w:rFonts w:ascii="宋体" w:hAnsi="宋体" w:eastAsia="宋体" w:cs="宋体"/>
          <w:spacing w:val="-1"/>
          <w:sz w:val="17"/>
          <w:szCs w:val="17"/>
        </w:rPr>
        <w:t>两次，取其中一次最佳成绩。</w:t>
      </w:r>
    </w:p>
    <w:p w14:paraId="5A5EE6C7">
      <w:pPr>
        <w:spacing w:before="57" w:line="280" w:lineRule="auto"/>
        <w:ind w:right="66" w:firstLine="350"/>
        <w:rPr>
          <w:rFonts w:ascii="宋体" w:hAnsi="宋体" w:eastAsia="宋体" w:cs="宋体"/>
          <w:sz w:val="17"/>
          <w:szCs w:val="17"/>
        </w:rPr>
      </w:pPr>
      <w:r>
        <w:rPr>
          <w:rFonts w:ascii="宋体" w:hAnsi="宋体" w:eastAsia="宋体" w:cs="宋体"/>
          <w:spacing w:val="1"/>
          <w:sz w:val="17"/>
          <w:szCs w:val="17"/>
        </w:rPr>
        <w:t>多种变向运球上篮测试方法：考生在球场端线中点</w:t>
      </w:r>
      <w:r>
        <w:rPr>
          <w:rFonts w:ascii="宋体" w:hAnsi="宋体" w:eastAsia="宋体" w:cs="宋体"/>
          <w:spacing w:val="2"/>
          <w:sz w:val="17"/>
          <w:szCs w:val="17"/>
        </w:rPr>
        <w:t xml:space="preserve"> </w:t>
      </w:r>
      <w:r>
        <w:rPr>
          <w:rFonts w:ascii="宋体" w:hAnsi="宋体" w:eastAsia="宋体" w:cs="宋体"/>
          <w:spacing w:val="1"/>
          <w:sz w:val="17"/>
          <w:szCs w:val="17"/>
        </w:rPr>
        <w:t>站立，面向前场，用右手运球至①处，以考生起动跑开</w:t>
      </w:r>
      <w:r>
        <w:rPr>
          <w:rFonts w:ascii="宋体" w:hAnsi="宋体" w:eastAsia="宋体" w:cs="宋体"/>
          <w:spacing w:val="2"/>
          <w:sz w:val="17"/>
          <w:szCs w:val="17"/>
        </w:rPr>
        <w:t xml:space="preserve"> 始计时，在①处做背后运球变向，换左手向</w:t>
      </w:r>
      <w:r>
        <w:rPr>
          <w:rFonts w:ascii="宋体" w:hAnsi="宋体" w:eastAsia="宋体" w:cs="宋体"/>
          <w:spacing w:val="1"/>
          <w:sz w:val="17"/>
          <w:szCs w:val="17"/>
        </w:rPr>
        <w:t>②处运球，</w:t>
      </w:r>
      <w:r>
        <w:rPr>
          <w:rFonts w:ascii="宋体" w:hAnsi="宋体" w:eastAsia="宋体" w:cs="宋体"/>
          <w:sz w:val="17"/>
          <w:szCs w:val="17"/>
        </w:rPr>
        <w:t xml:space="preserve"> </w:t>
      </w:r>
      <w:r>
        <w:rPr>
          <w:rFonts w:ascii="宋体" w:hAnsi="宋体" w:eastAsia="宋体" w:cs="宋体"/>
          <w:spacing w:val="2"/>
          <w:sz w:val="17"/>
          <w:szCs w:val="17"/>
        </w:rPr>
        <w:t>至②处做左手后转身运球变向，换右手运球至③处，右</w:t>
      </w:r>
      <w:r>
        <w:rPr>
          <w:rFonts w:ascii="宋体" w:hAnsi="宋体" w:eastAsia="宋体" w:cs="宋体"/>
          <w:spacing w:val="11"/>
          <w:sz w:val="17"/>
          <w:szCs w:val="17"/>
        </w:rPr>
        <w:t xml:space="preserve"> </w:t>
      </w:r>
      <w:r>
        <w:rPr>
          <w:rFonts w:ascii="宋体" w:hAnsi="宋体" w:eastAsia="宋体" w:cs="宋体"/>
          <w:spacing w:val="3"/>
          <w:sz w:val="17"/>
          <w:szCs w:val="17"/>
        </w:rPr>
        <w:t>手跨下运球后右手上篮。球中篮后方可用左</w:t>
      </w:r>
      <w:r>
        <w:rPr>
          <w:rFonts w:ascii="宋体" w:hAnsi="宋体" w:eastAsia="宋体" w:cs="宋体"/>
          <w:spacing w:val="2"/>
          <w:sz w:val="17"/>
          <w:szCs w:val="17"/>
        </w:rPr>
        <w:t>手运球返回</w:t>
      </w:r>
    </w:p>
    <w:p w14:paraId="0AEF7069">
      <w:pPr>
        <w:spacing w:line="280" w:lineRule="auto"/>
        <w:rPr>
          <w:rFonts w:ascii="宋体" w:hAnsi="宋体" w:eastAsia="宋体" w:cs="宋体"/>
          <w:sz w:val="17"/>
          <w:szCs w:val="17"/>
        </w:rPr>
        <w:sectPr>
          <w:type w:val="continuous"/>
          <w:pgSz w:w="10660" w:h="15080"/>
          <w:pgMar w:top="400" w:right="975" w:bottom="898" w:left="819" w:header="0" w:footer="745" w:gutter="0"/>
          <w:cols w:equalWidth="0" w:num="2">
            <w:col w:w="4550" w:space="100"/>
            <w:col w:w="4215"/>
          </w:cols>
        </w:sectPr>
      </w:pPr>
    </w:p>
    <w:p w14:paraId="2090DC9B">
      <w:pPr>
        <w:spacing w:before="2"/>
      </w:pPr>
    </w:p>
    <w:p w14:paraId="620F25F6">
      <w:pPr>
        <w:spacing w:before="1"/>
      </w:pPr>
    </w:p>
    <w:p w14:paraId="6E0D2D7B">
      <w:pPr>
        <w:spacing w:before="1"/>
      </w:pPr>
    </w:p>
    <w:p w14:paraId="13656076">
      <w:pPr>
        <w:spacing w:before="1"/>
      </w:pPr>
    </w:p>
    <w:p w14:paraId="583BAEB0">
      <w:pPr>
        <w:sectPr>
          <w:footerReference r:id="rId151" w:type="default"/>
          <w:pgSz w:w="10660" w:h="15080"/>
          <w:pgMar w:top="400" w:right="844" w:bottom="896" w:left="1019" w:header="0" w:footer="743" w:gutter="0"/>
          <w:cols w:equalWidth="0" w:num="1">
            <w:col w:w="8796"/>
          </w:cols>
        </w:sectPr>
      </w:pPr>
    </w:p>
    <w:p w14:paraId="2DFC975A">
      <w:pPr>
        <w:spacing w:before="31" w:line="314" w:lineRule="auto"/>
        <w:ind w:right="284"/>
        <w:jc w:val="both"/>
        <w:rPr>
          <w:rFonts w:ascii="宋体" w:hAnsi="宋体" w:eastAsia="宋体" w:cs="宋体"/>
          <w:sz w:val="17"/>
          <w:szCs w:val="17"/>
        </w:rPr>
      </w:pPr>
      <w:r>
        <w:rPr>
          <w:rFonts w:ascii="宋体" w:hAnsi="宋体" w:eastAsia="宋体" w:cs="宋体"/>
          <w:spacing w:val="2"/>
          <w:sz w:val="17"/>
          <w:szCs w:val="17"/>
        </w:rPr>
        <w:t>③处，做背后运球，换右手运球至②处做右手后</w:t>
      </w:r>
      <w:r>
        <w:rPr>
          <w:rFonts w:ascii="宋体" w:hAnsi="宋体" w:eastAsia="宋体" w:cs="宋体"/>
          <w:spacing w:val="1"/>
          <w:sz w:val="17"/>
          <w:szCs w:val="17"/>
        </w:rPr>
        <w:t>转身运</w:t>
      </w:r>
      <w:r>
        <w:rPr>
          <w:rFonts w:ascii="宋体" w:hAnsi="宋体" w:eastAsia="宋体" w:cs="宋体"/>
          <w:sz w:val="17"/>
          <w:szCs w:val="17"/>
        </w:rPr>
        <w:t xml:space="preserve">  </w:t>
      </w:r>
      <w:r>
        <w:rPr>
          <w:rFonts w:ascii="宋体" w:hAnsi="宋体" w:eastAsia="宋体" w:cs="宋体"/>
          <w:spacing w:val="2"/>
          <w:sz w:val="17"/>
          <w:szCs w:val="17"/>
        </w:rPr>
        <w:t>球变向，运球至①处左手跨下运球后左手上篮。球中后</w:t>
      </w:r>
      <w:r>
        <w:rPr>
          <w:rFonts w:ascii="宋体" w:hAnsi="宋体" w:eastAsia="宋体" w:cs="宋体"/>
          <w:spacing w:val="1"/>
          <w:sz w:val="17"/>
          <w:szCs w:val="17"/>
        </w:rPr>
        <w:t xml:space="preserve">  </w:t>
      </w:r>
      <w:r>
        <w:rPr>
          <w:rFonts w:ascii="宋体" w:hAnsi="宋体" w:eastAsia="宋体" w:cs="宋体"/>
          <w:spacing w:val="2"/>
          <w:sz w:val="17"/>
          <w:szCs w:val="17"/>
        </w:rPr>
        <w:t xml:space="preserve">做同样动作再重复一次，回到原处停表。篮球场地上的  </w:t>
      </w:r>
      <w:r>
        <w:rPr>
          <w:rFonts w:ascii="宋体" w:hAnsi="宋体" w:eastAsia="宋体" w:cs="宋体"/>
          <w:spacing w:val="9"/>
          <w:sz w:val="17"/>
          <w:szCs w:val="17"/>
        </w:rPr>
        <w:t>标志①、②、③为以40厘米为半径的圆圈，①、③到</w:t>
      </w:r>
      <w:r>
        <w:rPr>
          <w:rFonts w:ascii="宋体" w:hAnsi="宋体" w:eastAsia="宋体" w:cs="宋体"/>
          <w:spacing w:val="2"/>
          <w:sz w:val="17"/>
          <w:szCs w:val="17"/>
        </w:rPr>
        <w:t xml:space="preserve">  </w:t>
      </w:r>
      <w:r>
        <w:rPr>
          <w:rFonts w:ascii="宋体" w:hAnsi="宋体" w:eastAsia="宋体" w:cs="宋体"/>
          <w:spacing w:val="9"/>
          <w:sz w:val="17"/>
          <w:szCs w:val="17"/>
        </w:rPr>
        <w:t>端线的距离为6米、到边线的距离为2米。②在中线上</w:t>
      </w:r>
      <w:r>
        <w:rPr>
          <w:rFonts w:ascii="宋体" w:hAnsi="宋体" w:eastAsia="宋体" w:cs="宋体"/>
          <w:sz w:val="17"/>
          <w:szCs w:val="17"/>
        </w:rPr>
        <w:t xml:space="preserve">  </w:t>
      </w:r>
      <w:r>
        <w:rPr>
          <w:rFonts w:ascii="宋体" w:hAnsi="宋体" w:eastAsia="宋体" w:cs="宋体"/>
          <w:spacing w:val="5"/>
          <w:sz w:val="17"/>
          <w:szCs w:val="17"/>
        </w:rPr>
        <w:t>位于①③异侧，并到中圈中心距离为2.8米。要求考生</w:t>
      </w:r>
      <w:r>
        <w:rPr>
          <w:rFonts w:ascii="宋体" w:hAnsi="宋体" w:eastAsia="宋体" w:cs="宋体"/>
          <w:spacing w:val="3"/>
          <w:sz w:val="17"/>
          <w:szCs w:val="17"/>
        </w:rPr>
        <w:t xml:space="preserve">  </w:t>
      </w:r>
      <w:r>
        <w:rPr>
          <w:rFonts w:ascii="宋体" w:hAnsi="宋体" w:eastAsia="宋体" w:cs="宋体"/>
          <w:spacing w:val="2"/>
          <w:sz w:val="17"/>
          <w:szCs w:val="17"/>
        </w:rPr>
        <w:t>在考试时必须任意一脚踩到圆圈线或圆圈内地面，</w:t>
      </w:r>
      <w:r>
        <w:rPr>
          <w:rFonts w:ascii="宋体" w:hAnsi="宋体" w:eastAsia="宋体" w:cs="宋体"/>
          <w:spacing w:val="1"/>
          <w:sz w:val="17"/>
          <w:szCs w:val="17"/>
        </w:rPr>
        <w:t>方可</w:t>
      </w:r>
      <w:r>
        <w:rPr>
          <w:rFonts w:ascii="宋体" w:hAnsi="宋体" w:eastAsia="宋体" w:cs="宋体"/>
          <w:sz w:val="17"/>
          <w:szCs w:val="17"/>
        </w:rPr>
        <w:t xml:space="preserve">  </w:t>
      </w:r>
      <w:r>
        <w:rPr>
          <w:rFonts w:ascii="宋体" w:hAnsi="宋体" w:eastAsia="宋体" w:cs="宋体"/>
          <w:spacing w:val="-2"/>
          <w:sz w:val="17"/>
          <w:szCs w:val="17"/>
        </w:rPr>
        <w:t>变向，否则视为无效，不予计分；运球上篮时球须投中，</w:t>
      </w:r>
      <w:r>
        <w:rPr>
          <w:rFonts w:ascii="宋体" w:hAnsi="宋体" w:eastAsia="宋体" w:cs="宋体"/>
          <w:spacing w:val="4"/>
          <w:sz w:val="17"/>
          <w:szCs w:val="17"/>
        </w:rPr>
        <w:t xml:space="preserve"> </w:t>
      </w:r>
      <w:r>
        <w:rPr>
          <w:rFonts w:ascii="宋体" w:hAnsi="宋体" w:eastAsia="宋体" w:cs="宋体"/>
          <w:spacing w:val="2"/>
          <w:sz w:val="17"/>
          <w:szCs w:val="17"/>
        </w:rPr>
        <w:t>投不进可进行补投，若球不中仍继续带球前进，视</w:t>
      </w:r>
      <w:r>
        <w:rPr>
          <w:rFonts w:ascii="宋体" w:hAnsi="宋体" w:eastAsia="宋体" w:cs="宋体"/>
          <w:spacing w:val="1"/>
          <w:sz w:val="17"/>
          <w:szCs w:val="17"/>
        </w:rPr>
        <w:t>为无</w:t>
      </w:r>
      <w:r>
        <w:rPr>
          <w:rFonts w:ascii="宋体" w:hAnsi="宋体" w:eastAsia="宋体" w:cs="宋体"/>
          <w:sz w:val="17"/>
          <w:szCs w:val="17"/>
        </w:rPr>
        <w:t xml:space="preserve">  </w:t>
      </w:r>
      <w:r>
        <w:rPr>
          <w:rFonts w:ascii="宋体" w:hAnsi="宋体" w:eastAsia="宋体" w:cs="宋体"/>
          <w:spacing w:val="2"/>
          <w:sz w:val="17"/>
          <w:szCs w:val="17"/>
        </w:rPr>
        <w:t>效，也不予计分。运球后转身时不得持球转身，否则计</w:t>
      </w:r>
      <w:r>
        <w:rPr>
          <w:rFonts w:ascii="宋体" w:hAnsi="宋体" w:eastAsia="宋体" w:cs="宋体"/>
          <w:spacing w:val="18"/>
          <w:sz w:val="17"/>
          <w:szCs w:val="17"/>
        </w:rPr>
        <w:t xml:space="preserve"> </w:t>
      </w:r>
      <w:r>
        <w:rPr>
          <w:rFonts w:ascii="宋体" w:hAnsi="宋体" w:eastAsia="宋体" w:cs="宋体"/>
          <w:spacing w:val="-2"/>
          <w:sz w:val="17"/>
          <w:szCs w:val="17"/>
        </w:rPr>
        <w:t>时加0.5秒。原则上考生左右手各上篮2次，若违反规则，</w:t>
      </w:r>
      <w:r>
        <w:rPr>
          <w:rFonts w:ascii="宋体" w:hAnsi="宋体" w:eastAsia="宋体" w:cs="宋体"/>
          <w:spacing w:val="8"/>
          <w:sz w:val="17"/>
          <w:szCs w:val="17"/>
        </w:rPr>
        <w:t xml:space="preserve"> </w:t>
      </w:r>
      <w:r>
        <w:rPr>
          <w:rFonts w:ascii="宋体" w:hAnsi="宋体" w:eastAsia="宋体" w:cs="宋体"/>
          <w:spacing w:val="4"/>
          <w:sz w:val="17"/>
          <w:szCs w:val="17"/>
        </w:rPr>
        <w:t>错1次追加0.5秒。每人测试2次，取其中1次最佳成绩。</w:t>
      </w:r>
    </w:p>
    <w:p w14:paraId="120AEE0B">
      <w:pPr>
        <w:spacing w:before="14" w:line="220" w:lineRule="auto"/>
        <w:ind w:left="113"/>
        <w:rPr>
          <w:rFonts w:ascii="宋体" w:hAnsi="宋体" w:eastAsia="宋体" w:cs="宋体"/>
          <w:sz w:val="23"/>
          <w:szCs w:val="23"/>
        </w:rPr>
      </w:pPr>
      <w:r>
        <w:rPr>
          <w:rFonts w:ascii="宋体" w:hAnsi="宋体" w:eastAsia="宋体" w:cs="宋体"/>
          <w:b/>
          <w:bCs/>
          <w:spacing w:val="14"/>
          <w:sz w:val="23"/>
          <w:szCs w:val="23"/>
        </w:rPr>
        <w:t>(二)专项技能</w:t>
      </w:r>
    </w:p>
    <w:p w14:paraId="50C1F29C">
      <w:pPr>
        <w:spacing w:before="85" w:line="268" w:lineRule="auto"/>
        <w:ind w:left="360" w:right="2693"/>
        <w:rPr>
          <w:rFonts w:ascii="宋体" w:hAnsi="宋体" w:eastAsia="宋体" w:cs="宋体"/>
          <w:sz w:val="17"/>
          <w:szCs w:val="17"/>
        </w:rPr>
      </w:pPr>
      <w:r>
        <w:rPr>
          <w:rFonts w:ascii="宋体" w:hAnsi="宋体" w:eastAsia="宋体" w:cs="宋体"/>
          <w:spacing w:val="-1"/>
          <w:sz w:val="17"/>
          <w:szCs w:val="17"/>
        </w:rPr>
        <w:t>1、测试内容及分值</w:t>
      </w:r>
      <w:r>
        <w:rPr>
          <w:rFonts w:ascii="宋体" w:hAnsi="宋体" w:eastAsia="宋体" w:cs="宋体"/>
          <w:sz w:val="17"/>
          <w:szCs w:val="17"/>
        </w:rPr>
        <w:t xml:space="preserve"> </w:t>
      </w:r>
      <w:r>
        <w:rPr>
          <w:rFonts w:ascii="宋体" w:hAnsi="宋体" w:eastAsia="宋体" w:cs="宋体"/>
          <w:spacing w:val="19"/>
          <w:sz w:val="17"/>
          <w:szCs w:val="17"/>
        </w:rPr>
        <w:t>实战(150分)</w:t>
      </w:r>
    </w:p>
    <w:p w14:paraId="19663343">
      <w:pPr>
        <w:spacing w:before="87" w:line="221" w:lineRule="auto"/>
        <w:ind w:left="360"/>
        <w:rPr>
          <w:rFonts w:ascii="宋体" w:hAnsi="宋体" w:eastAsia="宋体" w:cs="宋体"/>
          <w:sz w:val="17"/>
          <w:szCs w:val="17"/>
        </w:rPr>
      </w:pPr>
      <w:r>
        <w:rPr>
          <w:rFonts w:ascii="宋体" w:hAnsi="宋体" w:eastAsia="宋体" w:cs="宋体"/>
          <w:spacing w:val="-4"/>
          <w:sz w:val="17"/>
          <w:szCs w:val="17"/>
        </w:rPr>
        <w:t>2、测试方法</w:t>
      </w:r>
    </w:p>
    <w:p w14:paraId="3CC65337">
      <w:pPr>
        <w:spacing w:before="86" w:line="219" w:lineRule="auto"/>
        <w:ind w:left="360"/>
        <w:rPr>
          <w:rFonts w:ascii="宋体" w:hAnsi="宋体" w:eastAsia="宋体" w:cs="宋体"/>
          <w:sz w:val="17"/>
          <w:szCs w:val="17"/>
        </w:rPr>
      </w:pPr>
      <w:r>
        <w:rPr>
          <w:rFonts w:ascii="宋体" w:hAnsi="宋体" w:eastAsia="宋体" w:cs="宋体"/>
          <w:spacing w:val="-2"/>
          <w:sz w:val="17"/>
          <w:szCs w:val="17"/>
        </w:rPr>
        <w:t>实战比赛：视考生人数分组进行比赛。</w:t>
      </w:r>
    </w:p>
    <w:p w14:paraId="483B033E">
      <w:pPr>
        <w:spacing w:before="89" w:line="221" w:lineRule="auto"/>
        <w:ind w:left="3"/>
        <w:rPr>
          <w:rFonts w:ascii="宋体" w:hAnsi="宋体" w:eastAsia="宋体" w:cs="宋体"/>
          <w:sz w:val="23"/>
          <w:szCs w:val="23"/>
        </w:rPr>
      </w:pPr>
      <w:r>
        <w:rPr>
          <w:rFonts w:ascii="宋体" w:hAnsi="宋体" w:eastAsia="宋体" w:cs="宋体"/>
          <w:b/>
          <w:bCs/>
          <w:spacing w:val="-12"/>
          <w:sz w:val="23"/>
          <w:szCs w:val="23"/>
        </w:rPr>
        <w:t>四、排球</w:t>
      </w:r>
    </w:p>
    <w:p w14:paraId="33F02220">
      <w:pPr>
        <w:spacing w:before="94" w:line="219" w:lineRule="auto"/>
        <w:ind w:left="440"/>
        <w:rPr>
          <w:rFonts w:ascii="宋体" w:hAnsi="宋体" w:eastAsia="宋体" w:cs="宋体"/>
          <w:sz w:val="17"/>
          <w:szCs w:val="17"/>
        </w:rPr>
      </w:pPr>
      <w:r>
        <w:rPr>
          <w:rFonts w:ascii="宋体" w:hAnsi="宋体" w:eastAsia="宋体" w:cs="宋体"/>
          <w:spacing w:val="12"/>
          <w:sz w:val="17"/>
          <w:szCs w:val="17"/>
        </w:rPr>
        <w:t>(一)专项素质</w:t>
      </w:r>
    </w:p>
    <w:p w14:paraId="2448EE58">
      <w:pPr>
        <w:spacing w:before="88" w:line="219" w:lineRule="auto"/>
        <w:ind w:left="360"/>
        <w:rPr>
          <w:rFonts w:ascii="宋体" w:hAnsi="宋体" w:eastAsia="宋体" w:cs="宋体"/>
          <w:sz w:val="17"/>
          <w:szCs w:val="17"/>
        </w:rPr>
      </w:pPr>
      <w:r>
        <w:rPr>
          <w:rFonts w:ascii="宋体" w:hAnsi="宋体" w:eastAsia="宋体" w:cs="宋体"/>
          <w:spacing w:val="-1"/>
          <w:sz w:val="17"/>
          <w:szCs w:val="17"/>
        </w:rPr>
        <w:t>1、测试内容及分值</w:t>
      </w:r>
    </w:p>
    <w:p w14:paraId="5F75B2BF">
      <w:pPr>
        <w:spacing w:before="77" w:line="314" w:lineRule="auto"/>
        <w:ind w:right="343" w:firstLine="360"/>
        <w:rPr>
          <w:rFonts w:ascii="宋体" w:hAnsi="宋体" w:eastAsia="宋体" w:cs="宋体"/>
          <w:sz w:val="17"/>
          <w:szCs w:val="17"/>
        </w:rPr>
      </w:pPr>
      <w:r>
        <w:rPr>
          <w:rFonts w:ascii="宋体" w:hAnsi="宋体" w:eastAsia="宋体" w:cs="宋体"/>
          <w:spacing w:val="25"/>
          <w:sz w:val="17"/>
          <w:szCs w:val="17"/>
        </w:rPr>
        <w:t>助跑摸高(100分);上手发球(100分);4号位</w:t>
      </w:r>
      <w:r>
        <w:rPr>
          <w:rFonts w:ascii="宋体" w:hAnsi="宋体" w:eastAsia="宋体" w:cs="宋体"/>
          <w:spacing w:val="15"/>
          <w:sz w:val="17"/>
          <w:szCs w:val="17"/>
        </w:rPr>
        <w:t xml:space="preserve"> </w:t>
      </w:r>
      <w:r>
        <w:rPr>
          <w:rFonts w:ascii="宋体" w:hAnsi="宋体" w:eastAsia="宋体" w:cs="宋体"/>
          <w:spacing w:val="22"/>
          <w:sz w:val="17"/>
          <w:szCs w:val="17"/>
        </w:rPr>
        <w:t>扣球(100分)。</w:t>
      </w:r>
    </w:p>
    <w:p w14:paraId="69D3296B">
      <w:pPr>
        <w:spacing w:before="4" w:line="221" w:lineRule="auto"/>
        <w:ind w:left="360"/>
        <w:rPr>
          <w:rFonts w:ascii="宋体" w:hAnsi="宋体" w:eastAsia="宋体" w:cs="宋体"/>
          <w:sz w:val="17"/>
          <w:szCs w:val="17"/>
        </w:rPr>
      </w:pPr>
      <w:r>
        <w:rPr>
          <w:rFonts w:ascii="宋体" w:hAnsi="宋体" w:eastAsia="宋体" w:cs="宋体"/>
          <w:spacing w:val="-6"/>
          <w:sz w:val="17"/>
          <w:szCs w:val="17"/>
        </w:rPr>
        <w:t>2、测试方法</w:t>
      </w:r>
    </w:p>
    <w:p w14:paraId="632BADEB">
      <w:pPr>
        <w:spacing w:before="84" w:line="307" w:lineRule="auto"/>
        <w:ind w:right="285" w:firstLine="360"/>
        <w:rPr>
          <w:rFonts w:ascii="宋体" w:hAnsi="宋体" w:eastAsia="宋体" w:cs="宋体"/>
          <w:sz w:val="17"/>
          <w:szCs w:val="17"/>
        </w:rPr>
      </w:pPr>
      <w:r>
        <w:rPr>
          <w:rFonts w:ascii="宋体" w:hAnsi="宋体" w:eastAsia="宋体" w:cs="宋体"/>
          <w:spacing w:val="1"/>
          <w:sz w:val="17"/>
          <w:szCs w:val="17"/>
        </w:rPr>
        <w:t>助跑摸高测试方法：助跑起跳摸高，摸最高点计其</w:t>
      </w:r>
      <w:r>
        <w:rPr>
          <w:rFonts w:ascii="宋体" w:hAnsi="宋体" w:eastAsia="宋体" w:cs="宋体"/>
          <w:spacing w:val="2"/>
          <w:sz w:val="17"/>
          <w:szCs w:val="17"/>
        </w:rPr>
        <w:t xml:space="preserve">  </w:t>
      </w:r>
      <w:r>
        <w:rPr>
          <w:rFonts w:ascii="宋体" w:hAnsi="宋体" w:eastAsia="宋体" w:cs="宋体"/>
          <w:spacing w:val="5"/>
          <w:sz w:val="17"/>
          <w:szCs w:val="17"/>
        </w:rPr>
        <w:t>成绩，每人测2次，计其中1次最佳成绩(</w:t>
      </w:r>
      <w:r>
        <w:rPr>
          <w:rFonts w:ascii="宋体" w:hAnsi="宋体" w:eastAsia="宋体" w:cs="宋体"/>
          <w:spacing w:val="4"/>
          <w:sz w:val="17"/>
          <w:szCs w:val="17"/>
        </w:rPr>
        <w:t>精确到厘米)。</w:t>
      </w:r>
      <w:r>
        <w:rPr>
          <w:rFonts w:ascii="宋体" w:hAnsi="宋体" w:eastAsia="宋体" w:cs="宋体"/>
          <w:sz w:val="17"/>
          <w:szCs w:val="17"/>
        </w:rPr>
        <w:t xml:space="preserve"> </w:t>
      </w:r>
      <w:r>
        <w:rPr>
          <w:rFonts w:ascii="宋体" w:hAnsi="宋体" w:eastAsia="宋体" w:cs="宋体"/>
          <w:spacing w:val="5"/>
          <w:sz w:val="17"/>
          <w:szCs w:val="17"/>
        </w:rPr>
        <w:t>助跑距离和助跑方法不限。</w:t>
      </w:r>
    </w:p>
    <w:p w14:paraId="0EF6BD77">
      <w:pPr>
        <w:spacing w:before="26" w:line="310" w:lineRule="auto"/>
        <w:ind w:right="284" w:firstLine="360"/>
        <w:rPr>
          <w:rFonts w:ascii="宋体" w:hAnsi="宋体" w:eastAsia="宋体" w:cs="宋体"/>
          <w:sz w:val="17"/>
          <w:szCs w:val="17"/>
        </w:rPr>
      </w:pPr>
      <w:r>
        <w:rPr>
          <w:rFonts w:ascii="宋体" w:hAnsi="宋体" w:eastAsia="宋体" w:cs="宋体"/>
          <w:sz w:val="17"/>
          <w:szCs w:val="17"/>
        </w:rPr>
        <w:t>上手发球测试方法：考生持球在端线后固定区域，</w:t>
      </w:r>
      <w:r>
        <w:rPr>
          <w:rFonts w:ascii="宋体" w:hAnsi="宋体" w:eastAsia="宋体" w:cs="宋体"/>
          <w:spacing w:val="6"/>
          <w:sz w:val="17"/>
          <w:szCs w:val="17"/>
        </w:rPr>
        <w:t xml:space="preserve">  </w:t>
      </w:r>
      <w:r>
        <w:rPr>
          <w:rFonts w:ascii="宋体" w:hAnsi="宋体" w:eastAsia="宋体" w:cs="宋体"/>
          <w:spacing w:val="-2"/>
          <w:sz w:val="17"/>
          <w:szCs w:val="17"/>
        </w:rPr>
        <w:t>每人连续发球10次。要求发球有速度、有力量、效果好，</w:t>
      </w:r>
      <w:r>
        <w:rPr>
          <w:rFonts w:ascii="宋体" w:hAnsi="宋体" w:eastAsia="宋体" w:cs="宋体"/>
          <w:spacing w:val="6"/>
          <w:sz w:val="17"/>
          <w:szCs w:val="17"/>
        </w:rPr>
        <w:t xml:space="preserve"> </w:t>
      </w:r>
      <w:r>
        <w:rPr>
          <w:rFonts w:ascii="宋体" w:hAnsi="宋体" w:eastAsia="宋体" w:cs="宋体"/>
          <w:spacing w:val="2"/>
          <w:sz w:val="17"/>
          <w:szCs w:val="17"/>
        </w:rPr>
        <w:t xml:space="preserve">每个球考生需提前告知评委落点区域，落点在对方场区  </w:t>
      </w:r>
      <w:r>
        <w:rPr>
          <w:rFonts w:ascii="宋体" w:hAnsi="宋体" w:eastAsia="宋体" w:cs="宋体"/>
          <w:spacing w:val="19"/>
          <w:sz w:val="17"/>
          <w:szCs w:val="17"/>
        </w:rPr>
        <w:t>指定区域内有效(每个区域为长2米，宽3米),记录</w:t>
      </w:r>
      <w:r>
        <w:rPr>
          <w:rFonts w:ascii="宋体" w:hAnsi="宋体" w:eastAsia="宋体" w:cs="宋体"/>
          <w:spacing w:val="7"/>
          <w:sz w:val="17"/>
          <w:szCs w:val="17"/>
        </w:rPr>
        <w:t xml:space="preserve">  </w:t>
      </w:r>
      <w:r>
        <w:rPr>
          <w:rFonts w:ascii="宋体" w:hAnsi="宋体" w:eastAsia="宋体" w:cs="宋体"/>
          <w:spacing w:val="5"/>
          <w:sz w:val="17"/>
          <w:szCs w:val="17"/>
        </w:rPr>
        <w:t>符合要求的发球总次数(不符合到位要求的次数扣除)。</w:t>
      </w:r>
      <w:r>
        <w:rPr>
          <w:rFonts w:ascii="宋体" w:hAnsi="宋体" w:eastAsia="宋体" w:cs="宋体"/>
          <w:sz w:val="17"/>
          <w:szCs w:val="17"/>
        </w:rPr>
        <w:t xml:space="preserve"> </w:t>
      </w:r>
      <w:r>
        <w:rPr>
          <w:rFonts w:ascii="宋体" w:hAnsi="宋体" w:eastAsia="宋体" w:cs="宋体"/>
          <w:spacing w:val="-2"/>
          <w:sz w:val="17"/>
          <w:szCs w:val="17"/>
        </w:rPr>
        <w:t>球体任何部位的垂直面搭线即可判定界内。</w:t>
      </w:r>
    </w:p>
    <w:p w14:paraId="2D4A6B66">
      <w:pPr>
        <w:spacing w:before="45" w:line="310" w:lineRule="auto"/>
        <w:ind w:right="340" w:firstLine="360"/>
        <w:rPr>
          <w:rFonts w:ascii="宋体" w:hAnsi="宋体" w:eastAsia="宋体" w:cs="宋体"/>
          <w:sz w:val="17"/>
          <w:szCs w:val="17"/>
        </w:rPr>
      </w:pPr>
      <w:r>
        <w:rPr>
          <w:rFonts w:ascii="宋体" w:hAnsi="宋体" w:eastAsia="宋体" w:cs="宋体"/>
          <w:spacing w:val="5"/>
          <w:sz w:val="17"/>
          <w:szCs w:val="17"/>
        </w:rPr>
        <w:t>4号位扣球测试方法：考生自己选定扣球位置。由</w:t>
      </w:r>
      <w:r>
        <w:rPr>
          <w:rFonts w:ascii="宋体" w:hAnsi="宋体" w:eastAsia="宋体" w:cs="宋体"/>
          <w:spacing w:val="14"/>
          <w:sz w:val="17"/>
          <w:szCs w:val="17"/>
        </w:rPr>
        <w:t xml:space="preserve"> </w:t>
      </w:r>
      <w:r>
        <w:rPr>
          <w:rFonts w:ascii="宋体" w:hAnsi="宋体" w:eastAsia="宋体" w:cs="宋体"/>
          <w:spacing w:val="19"/>
          <w:sz w:val="17"/>
          <w:szCs w:val="17"/>
        </w:rPr>
        <w:t>主考官或考生(2传)在3号位传球，考生在4号位上</w:t>
      </w:r>
      <w:r>
        <w:rPr>
          <w:rFonts w:ascii="宋体" w:hAnsi="宋体" w:eastAsia="宋体" w:cs="宋体"/>
          <w:spacing w:val="15"/>
          <w:sz w:val="17"/>
          <w:szCs w:val="17"/>
        </w:rPr>
        <w:t xml:space="preserve"> </w:t>
      </w:r>
      <w:r>
        <w:rPr>
          <w:rFonts w:ascii="宋体" w:hAnsi="宋体" w:eastAsia="宋体" w:cs="宋体"/>
          <w:spacing w:val="9"/>
          <w:sz w:val="17"/>
          <w:szCs w:val="17"/>
        </w:rPr>
        <w:t>手传球给2传后助跑起跳扣球。每个考生连续扣5次直</w:t>
      </w:r>
      <w:r>
        <w:rPr>
          <w:rFonts w:ascii="宋体" w:hAnsi="宋体" w:eastAsia="宋体" w:cs="宋体"/>
          <w:spacing w:val="1"/>
          <w:sz w:val="17"/>
          <w:szCs w:val="17"/>
        </w:rPr>
        <w:t xml:space="preserve"> </w:t>
      </w:r>
      <w:r>
        <w:rPr>
          <w:rFonts w:ascii="宋体" w:hAnsi="宋体" w:eastAsia="宋体" w:cs="宋体"/>
          <w:spacing w:val="9"/>
          <w:sz w:val="17"/>
          <w:szCs w:val="17"/>
        </w:rPr>
        <w:t>线(小直线为半场边线以内1.5米纵向区域，大直线是</w:t>
      </w:r>
      <w:r>
        <w:rPr>
          <w:rFonts w:ascii="宋体" w:hAnsi="宋体" w:eastAsia="宋体" w:cs="宋体"/>
          <w:spacing w:val="12"/>
          <w:sz w:val="17"/>
          <w:szCs w:val="17"/>
        </w:rPr>
        <w:t xml:space="preserve"> </w:t>
      </w:r>
      <w:r>
        <w:rPr>
          <w:rFonts w:ascii="宋体" w:hAnsi="宋体" w:eastAsia="宋体" w:cs="宋体"/>
          <w:spacing w:val="19"/>
          <w:sz w:val="17"/>
          <w:szCs w:val="17"/>
        </w:rPr>
        <w:t>小直线以内1.5米纵向区域),再连续扣5次斜</w:t>
      </w:r>
      <w:r>
        <w:rPr>
          <w:rFonts w:ascii="宋体" w:hAnsi="宋体" w:eastAsia="宋体" w:cs="宋体"/>
          <w:spacing w:val="18"/>
          <w:sz w:val="17"/>
          <w:szCs w:val="17"/>
        </w:rPr>
        <w:t>线(大</w:t>
      </w:r>
      <w:r>
        <w:rPr>
          <w:rFonts w:ascii="宋体" w:hAnsi="宋体" w:eastAsia="宋体" w:cs="宋体"/>
          <w:sz w:val="17"/>
          <w:szCs w:val="17"/>
        </w:rPr>
        <w:t xml:space="preserve"> </w:t>
      </w:r>
      <w:r>
        <w:rPr>
          <w:rFonts w:ascii="宋体" w:hAnsi="宋体" w:eastAsia="宋体" w:cs="宋体"/>
          <w:spacing w:val="6"/>
          <w:sz w:val="17"/>
          <w:szCs w:val="17"/>
        </w:rPr>
        <w:t>斜线为半场对角线到边线4.5米斜线区域，小斜线位于</w:t>
      </w:r>
      <w:r>
        <w:rPr>
          <w:rFonts w:ascii="宋体" w:hAnsi="宋体" w:eastAsia="宋体" w:cs="宋体"/>
          <w:spacing w:val="3"/>
          <w:sz w:val="17"/>
          <w:szCs w:val="17"/>
        </w:rPr>
        <w:t xml:space="preserve"> </w:t>
      </w:r>
      <w:r>
        <w:rPr>
          <w:rFonts w:ascii="宋体" w:hAnsi="宋体" w:eastAsia="宋体" w:cs="宋体"/>
          <w:spacing w:val="11"/>
          <w:sz w:val="17"/>
          <w:szCs w:val="17"/>
        </w:rPr>
        <w:t>边线4.5米斜线到球网区域),共扣球10次。网高为正</w:t>
      </w:r>
      <w:r>
        <w:rPr>
          <w:rFonts w:ascii="宋体" w:hAnsi="宋体" w:eastAsia="宋体" w:cs="宋体"/>
          <w:spacing w:val="18"/>
          <w:sz w:val="17"/>
          <w:szCs w:val="17"/>
        </w:rPr>
        <w:t xml:space="preserve"> </w:t>
      </w:r>
      <w:r>
        <w:rPr>
          <w:rFonts w:ascii="宋体" w:hAnsi="宋体" w:eastAsia="宋体" w:cs="宋体"/>
          <w:spacing w:val="-4"/>
          <w:sz w:val="17"/>
          <w:szCs w:val="17"/>
        </w:rPr>
        <w:t>式排球比赛标准网高。</w:t>
      </w:r>
    </w:p>
    <w:p w14:paraId="2E05ECB3">
      <w:pPr>
        <w:spacing w:before="14" w:line="220" w:lineRule="auto"/>
        <w:ind w:left="422"/>
        <w:rPr>
          <w:rFonts w:ascii="宋体" w:hAnsi="宋体" w:eastAsia="宋体" w:cs="宋体"/>
          <w:sz w:val="17"/>
          <w:szCs w:val="17"/>
        </w:rPr>
      </w:pPr>
      <w:r>
        <w:rPr>
          <w:rFonts w:ascii="宋体" w:hAnsi="宋体" w:eastAsia="宋体" w:cs="宋体"/>
          <w:b/>
          <w:bCs/>
          <w:spacing w:val="11"/>
          <w:sz w:val="17"/>
          <w:szCs w:val="17"/>
        </w:rPr>
        <w:t>(二)专项技能</w:t>
      </w:r>
    </w:p>
    <w:p w14:paraId="08310EBF">
      <w:pPr>
        <w:spacing w:before="96" w:line="251" w:lineRule="auto"/>
        <w:ind w:left="362" w:right="2714"/>
        <w:rPr>
          <w:rFonts w:ascii="宋体" w:hAnsi="宋体" w:eastAsia="宋体" w:cs="宋体"/>
          <w:sz w:val="17"/>
          <w:szCs w:val="17"/>
        </w:rPr>
      </w:pPr>
      <w:r>
        <w:rPr>
          <w:rFonts w:ascii="宋体" w:hAnsi="宋体" w:eastAsia="宋体" w:cs="宋体"/>
          <w:b/>
          <w:bCs/>
          <w:spacing w:val="-6"/>
          <w:sz w:val="17"/>
          <w:szCs w:val="17"/>
        </w:rPr>
        <w:t>1、测试内容及分值</w:t>
      </w:r>
      <w:r>
        <w:rPr>
          <w:rFonts w:ascii="宋体" w:hAnsi="宋体" w:eastAsia="宋体" w:cs="宋体"/>
          <w:spacing w:val="4"/>
          <w:sz w:val="17"/>
          <w:szCs w:val="17"/>
        </w:rPr>
        <w:t xml:space="preserve"> </w:t>
      </w:r>
      <w:r>
        <w:rPr>
          <w:rFonts w:ascii="宋体" w:hAnsi="宋体" w:eastAsia="宋体" w:cs="宋体"/>
          <w:b/>
          <w:bCs/>
          <w:spacing w:val="19"/>
          <w:sz w:val="17"/>
          <w:szCs w:val="17"/>
        </w:rPr>
        <w:t>实战(150分)</w:t>
      </w:r>
    </w:p>
    <w:p w14:paraId="1B59CD73">
      <w:pPr>
        <w:pStyle w:val="2"/>
        <w:spacing w:line="14" w:lineRule="auto"/>
        <w:rPr>
          <w:sz w:val="2"/>
        </w:rPr>
      </w:pPr>
      <w:r>
        <w:rPr>
          <w:sz w:val="2"/>
          <w:szCs w:val="2"/>
        </w:rPr>
        <w:br w:type="column"/>
      </w:r>
    </w:p>
    <w:p w14:paraId="1CFA03AD">
      <w:pPr>
        <w:spacing w:before="33" w:line="221" w:lineRule="auto"/>
        <w:ind w:left="352"/>
        <w:rPr>
          <w:rFonts w:ascii="宋体" w:hAnsi="宋体" w:eastAsia="宋体" w:cs="宋体"/>
          <w:sz w:val="17"/>
          <w:szCs w:val="17"/>
        </w:rPr>
      </w:pPr>
      <w:r>
        <w:rPr>
          <w:rFonts w:ascii="宋体" w:hAnsi="宋体" w:eastAsia="宋体" w:cs="宋体"/>
          <w:b/>
          <w:bCs/>
          <w:spacing w:val="-7"/>
          <w:sz w:val="17"/>
          <w:szCs w:val="17"/>
        </w:rPr>
        <w:t>2、测试方法</w:t>
      </w:r>
    </w:p>
    <w:p w14:paraId="0ED0F560">
      <w:pPr>
        <w:spacing w:before="95" w:line="219" w:lineRule="auto"/>
        <w:ind w:left="352"/>
        <w:rPr>
          <w:rFonts w:ascii="宋体" w:hAnsi="宋体" w:eastAsia="宋体" w:cs="宋体"/>
          <w:sz w:val="17"/>
          <w:szCs w:val="17"/>
        </w:rPr>
      </w:pPr>
      <w:r>
        <w:rPr>
          <w:rFonts w:ascii="宋体" w:hAnsi="宋体" w:eastAsia="宋体" w:cs="宋体"/>
          <w:b/>
          <w:bCs/>
          <w:spacing w:val="-4"/>
          <w:sz w:val="17"/>
          <w:szCs w:val="17"/>
        </w:rPr>
        <w:t>实战比赛：视考生人数分组进行比赛。</w:t>
      </w:r>
    </w:p>
    <w:p w14:paraId="5F02FF20">
      <w:pPr>
        <w:spacing w:before="81" w:line="221" w:lineRule="auto"/>
        <w:ind w:left="3"/>
        <w:rPr>
          <w:rFonts w:ascii="宋体" w:hAnsi="宋体" w:eastAsia="宋体" w:cs="宋体"/>
          <w:sz w:val="23"/>
          <w:szCs w:val="23"/>
        </w:rPr>
      </w:pPr>
      <w:r>
        <w:rPr>
          <w:rFonts w:ascii="宋体" w:hAnsi="宋体" w:eastAsia="宋体" w:cs="宋体"/>
          <w:b/>
          <w:bCs/>
          <w:spacing w:val="-10"/>
          <w:sz w:val="23"/>
          <w:szCs w:val="23"/>
        </w:rPr>
        <w:t>五、乒乓球</w:t>
      </w:r>
    </w:p>
    <w:p w14:paraId="5FAC6CC1">
      <w:pPr>
        <w:spacing w:before="84" w:line="219" w:lineRule="auto"/>
        <w:ind w:left="420"/>
        <w:rPr>
          <w:rFonts w:ascii="宋体" w:hAnsi="宋体" w:eastAsia="宋体" w:cs="宋体"/>
          <w:sz w:val="17"/>
          <w:szCs w:val="17"/>
        </w:rPr>
      </w:pPr>
      <w:r>
        <w:rPr>
          <w:rFonts w:ascii="宋体" w:hAnsi="宋体" w:eastAsia="宋体" w:cs="宋体"/>
          <w:spacing w:val="11"/>
          <w:sz w:val="17"/>
          <w:szCs w:val="17"/>
        </w:rPr>
        <w:t>(</w:t>
      </w:r>
      <w:r>
        <w:rPr>
          <w:rFonts w:ascii="宋体" w:hAnsi="宋体" w:eastAsia="宋体" w:cs="宋体"/>
          <w:spacing w:val="-44"/>
          <w:sz w:val="17"/>
          <w:szCs w:val="17"/>
        </w:rPr>
        <w:t xml:space="preserve"> </w:t>
      </w:r>
      <w:r>
        <w:rPr>
          <w:rFonts w:ascii="宋体" w:hAnsi="宋体" w:eastAsia="宋体" w:cs="宋体"/>
          <w:spacing w:val="11"/>
          <w:sz w:val="17"/>
          <w:szCs w:val="17"/>
        </w:rPr>
        <w:t>一)专项素质</w:t>
      </w:r>
    </w:p>
    <w:p w14:paraId="01D1B413">
      <w:pPr>
        <w:spacing w:before="98" w:line="219" w:lineRule="auto"/>
        <w:ind w:left="349"/>
        <w:rPr>
          <w:rFonts w:ascii="宋体" w:hAnsi="宋体" w:eastAsia="宋体" w:cs="宋体"/>
          <w:sz w:val="17"/>
          <w:szCs w:val="17"/>
        </w:rPr>
      </w:pPr>
      <w:r>
        <w:rPr>
          <w:rFonts w:ascii="宋体" w:hAnsi="宋体" w:eastAsia="宋体" w:cs="宋体"/>
          <w:sz w:val="17"/>
          <w:szCs w:val="17"/>
        </w:rPr>
        <w:t>1、测试内容及分值</w:t>
      </w:r>
    </w:p>
    <w:p w14:paraId="375E2A3E">
      <w:pPr>
        <w:spacing w:before="77" w:line="303" w:lineRule="auto"/>
        <w:ind w:right="67" w:firstLine="349"/>
        <w:rPr>
          <w:rFonts w:ascii="宋体" w:hAnsi="宋体" w:eastAsia="宋体" w:cs="宋体"/>
          <w:sz w:val="17"/>
          <w:szCs w:val="17"/>
        </w:rPr>
      </w:pPr>
      <w:r>
        <w:rPr>
          <w:rFonts w:ascii="宋体" w:hAnsi="宋体" w:eastAsia="宋体" w:cs="宋体"/>
          <w:spacing w:val="19"/>
          <w:sz w:val="17"/>
          <w:szCs w:val="17"/>
        </w:rPr>
        <w:t>4米平行往返摸台(90分);下旋转上旋1/2台走</w:t>
      </w:r>
      <w:r>
        <w:rPr>
          <w:rFonts w:ascii="宋体" w:hAnsi="宋体" w:eastAsia="宋体" w:cs="宋体"/>
          <w:spacing w:val="15"/>
          <w:sz w:val="17"/>
          <w:szCs w:val="17"/>
        </w:rPr>
        <w:t xml:space="preserve"> </w:t>
      </w:r>
      <w:r>
        <w:rPr>
          <w:rFonts w:ascii="宋体" w:hAnsi="宋体" w:eastAsia="宋体" w:cs="宋体"/>
          <w:spacing w:val="30"/>
          <w:sz w:val="17"/>
          <w:szCs w:val="17"/>
        </w:rPr>
        <w:t>动攻(拉)(150分);立定跳远(60分)。</w:t>
      </w:r>
    </w:p>
    <w:p w14:paraId="49237509">
      <w:pPr>
        <w:spacing w:before="33" w:line="221" w:lineRule="auto"/>
        <w:ind w:left="349"/>
        <w:rPr>
          <w:rFonts w:ascii="宋体" w:hAnsi="宋体" w:eastAsia="宋体" w:cs="宋体"/>
          <w:sz w:val="17"/>
          <w:szCs w:val="17"/>
        </w:rPr>
      </w:pPr>
      <w:r>
        <w:rPr>
          <w:rFonts w:ascii="宋体" w:hAnsi="宋体" w:eastAsia="宋体" w:cs="宋体"/>
          <w:spacing w:val="-4"/>
          <w:sz w:val="17"/>
          <w:szCs w:val="17"/>
        </w:rPr>
        <w:t>2、测试方法</w:t>
      </w:r>
    </w:p>
    <w:p w14:paraId="3D5B33D7">
      <w:pPr>
        <w:spacing w:before="75" w:line="304" w:lineRule="auto"/>
        <w:ind w:right="67" w:firstLine="349"/>
        <w:rPr>
          <w:rFonts w:ascii="宋体" w:hAnsi="宋体" w:eastAsia="宋体" w:cs="宋体"/>
          <w:sz w:val="17"/>
          <w:szCs w:val="17"/>
        </w:rPr>
      </w:pPr>
      <w:r>
        <w:rPr>
          <w:rFonts w:ascii="宋体" w:hAnsi="宋体" w:eastAsia="宋体" w:cs="宋体"/>
          <w:spacing w:val="9"/>
          <w:sz w:val="17"/>
          <w:szCs w:val="17"/>
        </w:rPr>
        <w:t>4米平行往返摸台测试方法：在4米距离用并步或</w:t>
      </w:r>
      <w:r>
        <w:rPr>
          <w:rFonts w:ascii="宋体" w:hAnsi="宋体" w:eastAsia="宋体" w:cs="宋体"/>
          <w:spacing w:val="18"/>
          <w:sz w:val="17"/>
          <w:szCs w:val="17"/>
        </w:rPr>
        <w:t xml:space="preserve"> </w:t>
      </w:r>
      <w:r>
        <w:rPr>
          <w:rFonts w:ascii="宋体" w:hAnsi="宋体" w:eastAsia="宋体" w:cs="宋体"/>
          <w:spacing w:val="8"/>
          <w:sz w:val="17"/>
          <w:szCs w:val="17"/>
        </w:rPr>
        <w:t>滑步(采用交叉步移动无效)左右移动，同时单手触摸</w:t>
      </w:r>
      <w:r>
        <w:rPr>
          <w:rFonts w:ascii="宋体" w:hAnsi="宋体" w:eastAsia="宋体" w:cs="宋体"/>
          <w:spacing w:val="13"/>
          <w:sz w:val="17"/>
          <w:szCs w:val="17"/>
        </w:rPr>
        <w:t xml:space="preserve"> </w:t>
      </w:r>
      <w:r>
        <w:rPr>
          <w:rFonts w:ascii="宋体" w:hAnsi="宋体" w:eastAsia="宋体" w:cs="宋体"/>
          <w:spacing w:val="14"/>
          <w:sz w:val="17"/>
          <w:szCs w:val="17"/>
        </w:rPr>
        <w:t>球台30次(手扶球台开始),记录所需的时间。</w:t>
      </w:r>
    </w:p>
    <w:p w14:paraId="79212EED">
      <w:pPr>
        <w:spacing w:before="32" w:line="308" w:lineRule="auto"/>
        <w:ind w:right="62" w:firstLine="349"/>
        <w:rPr>
          <w:rFonts w:ascii="宋体" w:hAnsi="宋体" w:eastAsia="宋体" w:cs="宋体"/>
          <w:sz w:val="17"/>
          <w:szCs w:val="17"/>
        </w:rPr>
      </w:pPr>
      <w:r>
        <w:rPr>
          <w:rFonts w:ascii="宋体" w:hAnsi="宋体" w:eastAsia="宋体" w:cs="宋体"/>
          <w:spacing w:val="13"/>
          <w:sz w:val="17"/>
          <w:szCs w:val="17"/>
        </w:rPr>
        <w:t>下旋转上旋1/2台走动攻(拉)测试方法：考生在</w:t>
      </w:r>
      <w:r>
        <w:rPr>
          <w:rFonts w:ascii="宋体" w:hAnsi="宋体" w:eastAsia="宋体" w:cs="宋体"/>
          <w:spacing w:val="4"/>
          <w:sz w:val="17"/>
          <w:szCs w:val="17"/>
        </w:rPr>
        <w:t xml:space="preserve"> </w:t>
      </w:r>
      <w:r>
        <w:rPr>
          <w:rFonts w:ascii="宋体" w:hAnsi="宋体" w:eastAsia="宋体" w:cs="宋体"/>
          <w:spacing w:val="6"/>
          <w:sz w:val="17"/>
          <w:szCs w:val="17"/>
        </w:rPr>
        <w:t>侧身位正手发下旋球后，将对方回搓到反手位1/</w:t>
      </w:r>
      <w:r>
        <w:rPr>
          <w:rFonts w:ascii="宋体" w:hAnsi="宋体" w:eastAsia="宋体" w:cs="宋体"/>
          <w:spacing w:val="5"/>
          <w:sz w:val="17"/>
          <w:szCs w:val="17"/>
        </w:rPr>
        <w:t>2台的</w:t>
      </w:r>
      <w:r>
        <w:rPr>
          <w:rFonts w:ascii="宋体" w:hAnsi="宋体" w:eastAsia="宋体" w:cs="宋体"/>
          <w:sz w:val="17"/>
          <w:szCs w:val="17"/>
        </w:rPr>
        <w:t xml:space="preserve"> </w:t>
      </w:r>
      <w:r>
        <w:rPr>
          <w:rFonts w:ascii="宋体" w:hAnsi="宋体" w:eastAsia="宋体" w:cs="宋体"/>
          <w:spacing w:val="10"/>
          <w:sz w:val="17"/>
          <w:szCs w:val="17"/>
        </w:rPr>
        <w:t>下旋球，侧身使用正手将球拉起，然后继续</w:t>
      </w:r>
      <w:r>
        <w:rPr>
          <w:rFonts w:ascii="宋体" w:hAnsi="宋体" w:eastAsia="宋体" w:cs="宋体"/>
          <w:spacing w:val="9"/>
          <w:sz w:val="17"/>
          <w:szCs w:val="17"/>
        </w:rPr>
        <w:t>使用正手</w:t>
      </w:r>
      <w:r>
        <w:rPr>
          <w:rFonts w:ascii="宋体" w:hAnsi="宋体" w:eastAsia="宋体" w:cs="宋体"/>
          <w:sz w:val="17"/>
          <w:szCs w:val="17"/>
        </w:rPr>
        <w:t xml:space="preserve"> </w:t>
      </w:r>
      <w:r>
        <w:rPr>
          <w:rFonts w:ascii="宋体" w:hAnsi="宋体" w:eastAsia="宋体" w:cs="宋体"/>
          <w:spacing w:val="5"/>
          <w:sz w:val="17"/>
          <w:szCs w:val="17"/>
        </w:rPr>
        <w:t>以中等力量在反手位1/2台区域内不定点的连续走位攻</w:t>
      </w:r>
      <w:r>
        <w:rPr>
          <w:rFonts w:ascii="宋体" w:hAnsi="宋体" w:eastAsia="宋体" w:cs="宋体"/>
          <w:spacing w:val="16"/>
          <w:sz w:val="17"/>
          <w:szCs w:val="17"/>
        </w:rPr>
        <w:t xml:space="preserve"> </w:t>
      </w:r>
      <w:r>
        <w:rPr>
          <w:rFonts w:ascii="宋体" w:hAnsi="宋体" w:eastAsia="宋体" w:cs="宋体"/>
          <w:spacing w:val="28"/>
          <w:sz w:val="17"/>
          <w:szCs w:val="17"/>
        </w:rPr>
        <w:t>(拉),不得轻打(拉),否则算失分。</w:t>
      </w:r>
    </w:p>
    <w:p w14:paraId="5CBAEE53">
      <w:pPr>
        <w:spacing w:before="32" w:line="308" w:lineRule="auto"/>
        <w:ind w:right="10" w:firstLine="349"/>
        <w:rPr>
          <w:rFonts w:ascii="宋体" w:hAnsi="宋体" w:eastAsia="宋体" w:cs="宋体"/>
          <w:sz w:val="17"/>
          <w:szCs w:val="17"/>
        </w:rPr>
      </w:pPr>
      <w:r>
        <w:rPr>
          <w:rFonts w:ascii="宋体" w:hAnsi="宋体" w:eastAsia="宋体" w:cs="宋体"/>
          <w:spacing w:val="2"/>
          <w:sz w:val="17"/>
          <w:szCs w:val="17"/>
        </w:rPr>
        <w:t>立定跳远测试方法：考生双脚站在起跳线外，起跳 时双脚不允许越过起跳线，不能有预跳或踩线，落地后</w:t>
      </w:r>
      <w:r>
        <w:rPr>
          <w:rFonts w:ascii="宋体" w:hAnsi="宋体" w:eastAsia="宋体" w:cs="宋体"/>
          <w:spacing w:val="13"/>
          <w:sz w:val="17"/>
          <w:szCs w:val="17"/>
        </w:rPr>
        <w:t xml:space="preserve"> </w:t>
      </w:r>
      <w:r>
        <w:rPr>
          <w:rFonts w:ascii="宋体" w:hAnsi="宋体" w:eastAsia="宋体" w:cs="宋体"/>
          <w:spacing w:val="1"/>
          <w:sz w:val="17"/>
          <w:szCs w:val="17"/>
        </w:rPr>
        <w:t>以身体与起跳线最近距离为测量距离。每人连续跳2次，</w:t>
      </w:r>
      <w:r>
        <w:rPr>
          <w:rFonts w:ascii="宋体" w:hAnsi="宋体" w:eastAsia="宋体" w:cs="宋体"/>
          <w:spacing w:val="3"/>
          <w:sz w:val="17"/>
          <w:szCs w:val="17"/>
        </w:rPr>
        <w:t xml:space="preserve"> </w:t>
      </w:r>
      <w:r>
        <w:rPr>
          <w:rFonts w:ascii="宋体" w:hAnsi="宋体" w:eastAsia="宋体" w:cs="宋体"/>
          <w:spacing w:val="7"/>
          <w:sz w:val="17"/>
          <w:szCs w:val="17"/>
        </w:rPr>
        <w:t>取其中1次最好成绩。</w:t>
      </w:r>
    </w:p>
    <w:p w14:paraId="200C9886">
      <w:pPr>
        <w:spacing w:before="25" w:line="220" w:lineRule="auto"/>
        <w:ind w:left="420"/>
        <w:rPr>
          <w:rFonts w:ascii="宋体" w:hAnsi="宋体" w:eastAsia="宋体" w:cs="宋体"/>
          <w:sz w:val="17"/>
          <w:szCs w:val="17"/>
        </w:rPr>
      </w:pPr>
      <w:r>
        <w:rPr>
          <w:rFonts w:ascii="宋体" w:hAnsi="宋体" w:eastAsia="宋体" w:cs="宋体"/>
          <w:spacing w:val="12"/>
          <w:sz w:val="17"/>
          <w:szCs w:val="17"/>
        </w:rPr>
        <w:t>(二)专项技能</w:t>
      </w:r>
    </w:p>
    <w:p w14:paraId="2BAC7320">
      <w:pPr>
        <w:spacing w:before="96" w:line="262" w:lineRule="auto"/>
        <w:ind w:left="349" w:right="2398"/>
        <w:rPr>
          <w:rFonts w:ascii="宋体" w:hAnsi="宋体" w:eastAsia="宋体" w:cs="宋体"/>
          <w:sz w:val="17"/>
          <w:szCs w:val="17"/>
        </w:rPr>
      </w:pPr>
      <w:r>
        <w:rPr>
          <w:rFonts w:ascii="宋体" w:hAnsi="宋体" w:eastAsia="宋体" w:cs="宋体"/>
          <w:sz w:val="17"/>
          <w:szCs w:val="17"/>
        </w:rPr>
        <w:t xml:space="preserve">1、测试内容及分值 </w:t>
      </w:r>
      <w:r>
        <w:rPr>
          <w:rFonts w:ascii="宋体" w:hAnsi="宋体" w:eastAsia="宋体" w:cs="宋体"/>
          <w:spacing w:val="18"/>
          <w:sz w:val="17"/>
          <w:szCs w:val="17"/>
        </w:rPr>
        <w:t>实战比赛(150分)</w:t>
      </w:r>
    </w:p>
    <w:p w14:paraId="32C58F38">
      <w:pPr>
        <w:spacing w:before="89" w:line="221" w:lineRule="auto"/>
        <w:ind w:left="349"/>
        <w:rPr>
          <w:rFonts w:ascii="宋体" w:hAnsi="宋体" w:eastAsia="宋体" w:cs="宋体"/>
          <w:sz w:val="17"/>
          <w:szCs w:val="17"/>
        </w:rPr>
      </w:pPr>
      <w:r>
        <w:rPr>
          <w:rFonts w:ascii="宋体" w:hAnsi="宋体" w:eastAsia="宋体" w:cs="宋体"/>
          <w:spacing w:val="-4"/>
          <w:sz w:val="17"/>
          <w:szCs w:val="17"/>
        </w:rPr>
        <w:t>2、测试方法</w:t>
      </w:r>
    </w:p>
    <w:p w14:paraId="41EE7D5E">
      <w:pPr>
        <w:spacing w:before="85" w:line="308" w:lineRule="auto"/>
        <w:ind w:firstLine="349"/>
        <w:jc w:val="both"/>
        <w:rPr>
          <w:rFonts w:ascii="宋体" w:hAnsi="宋体" w:eastAsia="宋体" w:cs="宋体"/>
          <w:sz w:val="17"/>
          <w:szCs w:val="17"/>
        </w:rPr>
      </w:pPr>
      <w:r>
        <w:rPr>
          <w:rFonts w:ascii="宋体" w:hAnsi="宋体" w:eastAsia="宋体" w:cs="宋体"/>
          <w:spacing w:val="6"/>
          <w:sz w:val="17"/>
          <w:szCs w:val="17"/>
        </w:rPr>
        <w:t>实战比赛：分别组织男女考生进行比赛，5人以下</w:t>
      </w:r>
      <w:r>
        <w:rPr>
          <w:rFonts w:ascii="宋体" w:hAnsi="宋体" w:eastAsia="宋体" w:cs="宋体"/>
          <w:spacing w:val="3"/>
          <w:sz w:val="17"/>
          <w:szCs w:val="17"/>
        </w:rPr>
        <w:t xml:space="preserve"> </w:t>
      </w:r>
      <w:r>
        <w:rPr>
          <w:rFonts w:ascii="宋体" w:hAnsi="宋体" w:eastAsia="宋体" w:cs="宋体"/>
          <w:spacing w:val="16"/>
          <w:sz w:val="17"/>
          <w:szCs w:val="17"/>
        </w:rPr>
        <w:t>(含5人)采用单循环决出名次；5人以上采用分组单</w:t>
      </w:r>
      <w:r>
        <w:rPr>
          <w:rFonts w:ascii="宋体" w:hAnsi="宋体" w:eastAsia="宋体" w:cs="宋体"/>
          <w:spacing w:val="6"/>
          <w:sz w:val="17"/>
          <w:szCs w:val="17"/>
        </w:rPr>
        <w:t xml:space="preserve">  </w:t>
      </w:r>
      <w:r>
        <w:rPr>
          <w:rFonts w:ascii="宋体" w:hAnsi="宋体" w:eastAsia="宋体" w:cs="宋体"/>
          <w:spacing w:val="-2"/>
          <w:sz w:val="17"/>
          <w:szCs w:val="17"/>
        </w:rPr>
        <w:t>循环再交叉淘汰的方法决出名次。比赛采用三局两胜制，</w:t>
      </w:r>
      <w:r>
        <w:rPr>
          <w:rFonts w:ascii="宋体" w:hAnsi="宋体" w:eastAsia="宋体" w:cs="宋体"/>
          <w:spacing w:val="4"/>
          <w:sz w:val="17"/>
          <w:szCs w:val="17"/>
        </w:rPr>
        <w:t xml:space="preserve"> </w:t>
      </w:r>
      <w:r>
        <w:rPr>
          <w:rFonts w:ascii="宋体" w:hAnsi="宋体" w:eastAsia="宋体" w:cs="宋体"/>
          <w:spacing w:val="3"/>
          <w:sz w:val="17"/>
          <w:szCs w:val="17"/>
        </w:rPr>
        <w:t>每局11分，决胜局采用关键球，9:9开始。</w:t>
      </w:r>
    </w:p>
    <w:p w14:paraId="658ECE90">
      <w:pPr>
        <w:spacing w:before="15" w:line="321" w:lineRule="auto"/>
        <w:ind w:right="68" w:firstLine="349"/>
        <w:jc w:val="both"/>
        <w:rPr>
          <w:rFonts w:ascii="宋体" w:hAnsi="宋体" w:eastAsia="宋体" w:cs="宋体"/>
          <w:sz w:val="17"/>
          <w:szCs w:val="17"/>
        </w:rPr>
      </w:pPr>
      <w:r>
        <w:rPr>
          <w:rFonts w:ascii="宋体" w:hAnsi="宋体" w:eastAsia="宋体" w:cs="宋体"/>
          <w:spacing w:val="6"/>
          <w:sz w:val="17"/>
          <w:szCs w:val="17"/>
        </w:rPr>
        <w:t>比赛成绩=</w:t>
      </w:r>
      <w:r>
        <w:rPr>
          <w:rFonts w:ascii="Times New Roman" w:hAnsi="Times New Roman" w:eastAsia="Times New Roman" w:cs="Times New Roman"/>
          <w:spacing w:val="6"/>
          <w:sz w:val="17"/>
          <w:szCs w:val="17"/>
        </w:rPr>
        <w:t xml:space="preserve">N-R+1/N×90+60,    </w:t>
      </w:r>
      <w:r>
        <w:rPr>
          <w:rFonts w:ascii="宋体" w:hAnsi="宋体" w:eastAsia="宋体" w:cs="宋体"/>
          <w:spacing w:val="6"/>
          <w:sz w:val="17"/>
          <w:szCs w:val="17"/>
        </w:rPr>
        <w:t>其 中</w:t>
      </w:r>
      <w:r>
        <w:rPr>
          <w:rFonts w:ascii="Times New Roman" w:hAnsi="Times New Roman" w:eastAsia="Times New Roman" w:cs="Times New Roman"/>
          <w:spacing w:val="6"/>
          <w:sz w:val="17"/>
          <w:szCs w:val="17"/>
        </w:rPr>
        <w:t>N</w:t>
      </w:r>
      <w:r>
        <w:rPr>
          <w:rFonts w:ascii="Times New Roman" w:hAnsi="Times New Roman" w:eastAsia="Times New Roman" w:cs="Times New Roman"/>
          <w:sz w:val="17"/>
          <w:szCs w:val="17"/>
        </w:rPr>
        <w:t xml:space="preserve"> </w:t>
      </w:r>
      <w:r>
        <w:rPr>
          <w:rFonts w:ascii="宋体" w:hAnsi="宋体" w:eastAsia="宋体" w:cs="宋体"/>
          <w:spacing w:val="6"/>
          <w:sz w:val="17"/>
          <w:szCs w:val="17"/>
        </w:rPr>
        <w:t>为该专项考</w:t>
      </w:r>
      <w:r>
        <w:rPr>
          <w:rFonts w:ascii="宋体" w:hAnsi="宋体" w:eastAsia="宋体" w:cs="宋体"/>
          <w:sz w:val="17"/>
          <w:szCs w:val="17"/>
        </w:rPr>
        <w:t xml:space="preserve"> </w:t>
      </w:r>
      <w:r>
        <w:rPr>
          <w:rFonts w:ascii="宋体" w:hAnsi="宋体" w:eastAsia="宋体" w:cs="宋体"/>
          <w:spacing w:val="-2"/>
          <w:sz w:val="17"/>
          <w:szCs w:val="17"/>
        </w:rPr>
        <w:t>试人数，</w:t>
      </w:r>
      <w:r>
        <w:rPr>
          <w:rFonts w:ascii="Times New Roman" w:hAnsi="Times New Roman" w:eastAsia="Times New Roman" w:cs="Times New Roman"/>
          <w:spacing w:val="-2"/>
          <w:sz w:val="17"/>
          <w:szCs w:val="17"/>
        </w:rPr>
        <w:t xml:space="preserve">R </w:t>
      </w:r>
      <w:r>
        <w:rPr>
          <w:rFonts w:ascii="宋体" w:hAnsi="宋体" w:eastAsia="宋体" w:cs="宋体"/>
          <w:spacing w:val="-2"/>
          <w:sz w:val="17"/>
          <w:szCs w:val="17"/>
        </w:rPr>
        <w:t>为比赛名次。</w:t>
      </w:r>
    </w:p>
    <w:p w14:paraId="0508E12B">
      <w:pPr>
        <w:spacing w:before="1" w:line="221" w:lineRule="auto"/>
        <w:ind w:left="3"/>
        <w:rPr>
          <w:rFonts w:ascii="宋体" w:hAnsi="宋体" w:eastAsia="宋体" w:cs="宋体"/>
          <w:sz w:val="23"/>
          <w:szCs w:val="23"/>
        </w:rPr>
      </w:pPr>
      <w:r>
        <w:rPr>
          <w:rFonts w:ascii="宋体" w:hAnsi="宋体" w:eastAsia="宋体" w:cs="宋体"/>
          <w:b/>
          <w:bCs/>
          <w:spacing w:val="-8"/>
          <w:sz w:val="23"/>
          <w:szCs w:val="23"/>
        </w:rPr>
        <w:t>六、羽毛球</w:t>
      </w:r>
    </w:p>
    <w:p w14:paraId="08CED5A5">
      <w:pPr>
        <w:spacing w:before="94" w:line="219" w:lineRule="auto"/>
        <w:ind w:left="420"/>
        <w:rPr>
          <w:rFonts w:ascii="宋体" w:hAnsi="宋体" w:eastAsia="宋体" w:cs="宋体"/>
          <w:sz w:val="17"/>
          <w:szCs w:val="17"/>
        </w:rPr>
      </w:pPr>
      <w:r>
        <w:rPr>
          <w:rFonts w:ascii="宋体" w:hAnsi="宋体" w:eastAsia="宋体" w:cs="宋体"/>
          <w:spacing w:val="14"/>
          <w:sz w:val="17"/>
          <w:szCs w:val="17"/>
        </w:rPr>
        <w:t>(一)专项素质</w:t>
      </w:r>
    </w:p>
    <w:p w14:paraId="011BF053">
      <w:pPr>
        <w:spacing w:before="88" w:line="219" w:lineRule="auto"/>
        <w:ind w:left="349"/>
        <w:rPr>
          <w:rFonts w:ascii="宋体" w:hAnsi="宋体" w:eastAsia="宋体" w:cs="宋体"/>
          <w:sz w:val="17"/>
          <w:szCs w:val="17"/>
        </w:rPr>
      </w:pPr>
      <w:r>
        <w:rPr>
          <w:rFonts w:ascii="宋体" w:hAnsi="宋体" w:eastAsia="宋体" w:cs="宋体"/>
          <w:sz w:val="17"/>
          <w:szCs w:val="17"/>
        </w:rPr>
        <w:t>1、测试内容及分值</w:t>
      </w:r>
    </w:p>
    <w:p w14:paraId="518904AC">
      <w:pPr>
        <w:spacing w:before="98" w:line="280" w:lineRule="auto"/>
        <w:ind w:right="149" w:firstLine="349"/>
        <w:rPr>
          <w:rFonts w:ascii="宋体" w:hAnsi="宋体" w:eastAsia="宋体" w:cs="宋体"/>
          <w:sz w:val="17"/>
          <w:szCs w:val="17"/>
        </w:rPr>
      </w:pPr>
      <w:r>
        <w:rPr>
          <w:rFonts w:ascii="宋体" w:hAnsi="宋体" w:eastAsia="宋体" w:cs="宋体"/>
          <w:spacing w:val="27"/>
          <w:sz w:val="17"/>
          <w:szCs w:val="17"/>
        </w:rPr>
        <w:t>前后左右移动(100分);前场技术(10</w:t>
      </w:r>
      <w:r>
        <w:rPr>
          <w:rFonts w:ascii="宋体" w:hAnsi="宋体" w:eastAsia="宋体" w:cs="宋体"/>
          <w:spacing w:val="26"/>
          <w:sz w:val="17"/>
          <w:szCs w:val="17"/>
        </w:rPr>
        <w:t>0分);</w:t>
      </w:r>
      <w:r>
        <w:rPr>
          <w:rFonts w:ascii="宋体" w:hAnsi="宋体" w:eastAsia="宋体" w:cs="宋体"/>
          <w:sz w:val="17"/>
          <w:szCs w:val="17"/>
        </w:rPr>
        <w:t xml:space="preserve"> </w:t>
      </w:r>
      <w:r>
        <w:rPr>
          <w:rFonts w:ascii="宋体" w:hAnsi="宋体" w:eastAsia="宋体" w:cs="宋体"/>
          <w:spacing w:val="19"/>
          <w:sz w:val="17"/>
          <w:szCs w:val="17"/>
        </w:rPr>
        <w:t>后场技术(100分)。</w:t>
      </w:r>
    </w:p>
    <w:p w14:paraId="490113B8">
      <w:pPr>
        <w:spacing w:before="56" w:line="221" w:lineRule="auto"/>
        <w:ind w:left="349"/>
        <w:rPr>
          <w:rFonts w:ascii="宋体" w:hAnsi="宋体" w:eastAsia="宋体" w:cs="宋体"/>
          <w:sz w:val="17"/>
          <w:szCs w:val="17"/>
        </w:rPr>
      </w:pPr>
      <w:r>
        <w:rPr>
          <w:rFonts w:ascii="宋体" w:hAnsi="宋体" w:eastAsia="宋体" w:cs="宋体"/>
          <w:spacing w:val="3"/>
          <w:sz w:val="17"/>
          <w:szCs w:val="17"/>
        </w:rPr>
        <w:t>2、测试方法</w:t>
      </w:r>
    </w:p>
    <w:p w14:paraId="2C78E8E6">
      <w:pPr>
        <w:spacing w:before="75" w:line="306" w:lineRule="auto"/>
        <w:ind w:right="65" w:firstLine="349"/>
        <w:rPr>
          <w:rFonts w:ascii="宋体" w:hAnsi="宋体" w:eastAsia="宋体" w:cs="宋体"/>
          <w:sz w:val="17"/>
          <w:szCs w:val="17"/>
        </w:rPr>
      </w:pPr>
      <w:r>
        <w:rPr>
          <w:rFonts w:ascii="宋体" w:hAnsi="宋体" w:eastAsia="宋体" w:cs="宋体"/>
          <w:spacing w:val="2"/>
          <w:sz w:val="17"/>
          <w:szCs w:val="17"/>
        </w:rPr>
        <w:t>前后左右移动测试方法：考生站在场地右侧单打底</w:t>
      </w:r>
      <w:r>
        <w:rPr>
          <w:rFonts w:ascii="宋体" w:hAnsi="宋体" w:eastAsia="宋体" w:cs="宋体"/>
          <w:spacing w:val="4"/>
          <w:sz w:val="17"/>
          <w:szCs w:val="17"/>
        </w:rPr>
        <w:t xml:space="preserve"> </w:t>
      </w:r>
      <w:r>
        <w:rPr>
          <w:rFonts w:ascii="宋体" w:hAnsi="宋体" w:eastAsia="宋体" w:cs="宋体"/>
          <w:spacing w:val="13"/>
          <w:sz w:val="17"/>
          <w:szCs w:val="17"/>
        </w:rPr>
        <w:t>线以外(右手持拍)先进行前后移动往返5次，并接着</w:t>
      </w:r>
      <w:r>
        <w:rPr>
          <w:rFonts w:ascii="宋体" w:hAnsi="宋体" w:eastAsia="宋体" w:cs="宋体"/>
          <w:spacing w:val="1"/>
          <w:sz w:val="17"/>
          <w:szCs w:val="17"/>
        </w:rPr>
        <w:t xml:space="preserve"> </w:t>
      </w:r>
      <w:r>
        <w:rPr>
          <w:rFonts w:ascii="宋体" w:hAnsi="宋体" w:eastAsia="宋体" w:cs="宋体"/>
          <w:spacing w:val="6"/>
          <w:sz w:val="17"/>
          <w:szCs w:val="17"/>
        </w:rPr>
        <w:t>进行左右移动往返5次。</w:t>
      </w:r>
    </w:p>
    <w:p w14:paraId="023C2722">
      <w:pPr>
        <w:spacing w:before="24" w:line="285" w:lineRule="auto"/>
        <w:ind w:right="10" w:firstLine="349"/>
        <w:jc w:val="both"/>
        <w:rPr>
          <w:rFonts w:ascii="宋体" w:hAnsi="宋体" w:eastAsia="宋体" w:cs="宋体"/>
          <w:sz w:val="17"/>
          <w:szCs w:val="17"/>
        </w:rPr>
      </w:pPr>
      <w:r>
        <w:rPr>
          <w:rFonts w:ascii="宋体" w:hAnsi="宋体" w:eastAsia="宋体" w:cs="宋体"/>
          <w:spacing w:val="4"/>
          <w:sz w:val="17"/>
          <w:szCs w:val="17"/>
        </w:rPr>
        <w:t>①前后移动：听到口令(同时开表)后，直线上网，</w:t>
      </w:r>
      <w:r>
        <w:rPr>
          <w:rFonts w:ascii="宋体" w:hAnsi="宋体" w:eastAsia="宋体" w:cs="宋体"/>
          <w:spacing w:val="12"/>
          <w:sz w:val="17"/>
          <w:szCs w:val="17"/>
        </w:rPr>
        <w:t xml:space="preserve"> </w:t>
      </w:r>
      <w:r>
        <w:rPr>
          <w:rFonts w:ascii="宋体" w:hAnsi="宋体" w:eastAsia="宋体" w:cs="宋体"/>
          <w:spacing w:val="6"/>
          <w:sz w:val="17"/>
          <w:szCs w:val="17"/>
        </w:rPr>
        <w:t>单手触网顶白线后，直线后退踩底线算1个来回</w:t>
      </w:r>
      <w:r>
        <w:rPr>
          <w:rFonts w:ascii="宋体" w:hAnsi="宋体" w:eastAsia="宋体" w:cs="宋体"/>
          <w:spacing w:val="5"/>
          <w:sz w:val="17"/>
          <w:szCs w:val="17"/>
        </w:rPr>
        <w:t>，反复</w:t>
      </w:r>
      <w:r>
        <w:rPr>
          <w:rFonts w:ascii="宋体" w:hAnsi="宋体" w:eastAsia="宋体" w:cs="宋体"/>
          <w:sz w:val="17"/>
          <w:szCs w:val="17"/>
        </w:rPr>
        <w:t xml:space="preserve"> </w:t>
      </w:r>
      <w:r>
        <w:rPr>
          <w:rFonts w:ascii="宋体" w:hAnsi="宋体" w:eastAsia="宋体" w:cs="宋体"/>
          <w:spacing w:val="9"/>
          <w:sz w:val="17"/>
          <w:szCs w:val="17"/>
        </w:rPr>
        <w:t>进行5次。当第5次上网触网退回底线后，后退踩底线</w:t>
      </w:r>
      <w:r>
        <w:rPr>
          <w:rFonts w:ascii="宋体" w:hAnsi="宋体" w:eastAsia="宋体" w:cs="宋体"/>
          <w:spacing w:val="15"/>
          <w:sz w:val="17"/>
          <w:szCs w:val="17"/>
        </w:rPr>
        <w:t xml:space="preserve"> </w:t>
      </w:r>
      <w:r>
        <w:rPr>
          <w:rFonts w:ascii="宋体" w:hAnsi="宋体" w:eastAsia="宋体" w:cs="宋体"/>
          <w:spacing w:val="2"/>
          <w:sz w:val="17"/>
          <w:szCs w:val="17"/>
        </w:rPr>
        <w:t>同时单脚踩单打边线，并接着做5次左右往返移动。</w:t>
      </w:r>
    </w:p>
    <w:p w14:paraId="329483BA">
      <w:pPr>
        <w:spacing w:line="285" w:lineRule="auto"/>
        <w:rPr>
          <w:rFonts w:ascii="宋体" w:hAnsi="宋体" w:eastAsia="宋体" w:cs="宋体"/>
          <w:sz w:val="17"/>
          <w:szCs w:val="17"/>
        </w:rPr>
        <w:sectPr>
          <w:type w:val="continuous"/>
          <w:pgSz w:w="10660" w:h="15080"/>
          <w:pgMar w:top="400" w:right="844" w:bottom="896" w:left="1019" w:header="0" w:footer="743" w:gutter="0"/>
          <w:cols w:equalWidth="0" w:num="2">
            <w:col w:w="4491" w:space="100"/>
            <w:col w:w="4206"/>
          </w:cols>
        </w:sectPr>
      </w:pPr>
    </w:p>
    <w:p w14:paraId="02E65485">
      <w:pPr>
        <w:spacing w:before="1"/>
      </w:pPr>
    </w:p>
    <w:p w14:paraId="0A6EEDFB">
      <w:pPr>
        <w:spacing w:before="1"/>
      </w:pPr>
    </w:p>
    <w:p w14:paraId="7AE9E82E">
      <w:pPr>
        <w:spacing w:before="1"/>
      </w:pPr>
    </w:p>
    <w:p w14:paraId="65F44E77">
      <w:pPr>
        <w:spacing w:before="1"/>
      </w:pPr>
    </w:p>
    <w:p w14:paraId="07A7CA76">
      <w:pPr>
        <w:sectPr>
          <w:footerReference r:id="rId152" w:type="default"/>
          <w:pgSz w:w="10660" w:h="15080"/>
          <w:pgMar w:top="400" w:right="975" w:bottom="896" w:left="809" w:header="0" w:footer="743" w:gutter="0"/>
          <w:cols w:equalWidth="0" w:num="1">
            <w:col w:w="8875"/>
          </w:cols>
        </w:sectPr>
      </w:pPr>
    </w:p>
    <w:p w14:paraId="2B79A394">
      <w:pPr>
        <w:spacing w:before="35" w:line="310" w:lineRule="auto"/>
        <w:ind w:left="60" w:right="284" w:firstLine="359"/>
        <w:jc w:val="both"/>
        <w:rPr>
          <w:rFonts w:ascii="宋体" w:hAnsi="宋体" w:eastAsia="宋体" w:cs="宋体"/>
          <w:sz w:val="17"/>
          <w:szCs w:val="17"/>
        </w:rPr>
      </w:pPr>
      <w:r>
        <w:rPr>
          <w:rFonts w:ascii="宋体" w:hAnsi="宋体" w:eastAsia="宋体" w:cs="宋体"/>
          <w:spacing w:val="1"/>
          <w:sz w:val="17"/>
          <w:szCs w:val="17"/>
        </w:rPr>
        <w:t>②左右移动：当完成前后移动后采用向左侧移动的</w:t>
      </w:r>
      <w:r>
        <w:rPr>
          <w:rFonts w:ascii="宋体" w:hAnsi="宋体" w:eastAsia="宋体" w:cs="宋体"/>
          <w:spacing w:val="5"/>
          <w:sz w:val="17"/>
          <w:szCs w:val="17"/>
        </w:rPr>
        <w:t xml:space="preserve">  </w:t>
      </w:r>
      <w:r>
        <w:rPr>
          <w:rFonts w:ascii="宋体" w:hAnsi="宋体" w:eastAsia="宋体" w:cs="宋体"/>
          <w:spacing w:val="2"/>
          <w:sz w:val="17"/>
          <w:szCs w:val="17"/>
        </w:rPr>
        <w:t>步法至场地左侧单打边线处，用持拍手触单打边线</w:t>
      </w:r>
      <w:r>
        <w:rPr>
          <w:rFonts w:ascii="宋体" w:hAnsi="宋体" w:eastAsia="宋体" w:cs="宋体"/>
          <w:spacing w:val="1"/>
          <w:sz w:val="17"/>
          <w:szCs w:val="17"/>
        </w:rPr>
        <w:t>，面</w:t>
      </w:r>
      <w:r>
        <w:rPr>
          <w:rFonts w:ascii="宋体" w:hAnsi="宋体" w:eastAsia="宋体" w:cs="宋体"/>
          <w:sz w:val="17"/>
          <w:szCs w:val="17"/>
        </w:rPr>
        <w:t xml:space="preserve">  </w:t>
      </w:r>
      <w:r>
        <w:rPr>
          <w:rFonts w:ascii="宋体" w:hAnsi="宋体" w:eastAsia="宋体" w:cs="宋体"/>
          <w:spacing w:val="9"/>
          <w:sz w:val="17"/>
          <w:szCs w:val="17"/>
        </w:rPr>
        <w:t>向球网转身，然后用向右侧移动的步法至场地右侧单</w:t>
      </w:r>
      <w:r>
        <w:rPr>
          <w:rFonts w:ascii="宋体" w:hAnsi="宋体" w:eastAsia="宋体" w:cs="宋体"/>
          <w:spacing w:val="4"/>
          <w:sz w:val="17"/>
          <w:szCs w:val="17"/>
        </w:rPr>
        <w:t xml:space="preserve">  </w:t>
      </w:r>
      <w:r>
        <w:rPr>
          <w:rFonts w:ascii="宋体" w:hAnsi="宋体" w:eastAsia="宋体" w:cs="宋体"/>
          <w:spacing w:val="1"/>
          <w:sz w:val="17"/>
          <w:szCs w:val="17"/>
        </w:rPr>
        <w:t>打边线处，用持拍手触单打边线，为完成1次左右移动。</w:t>
      </w:r>
      <w:r>
        <w:rPr>
          <w:rFonts w:ascii="宋体" w:hAnsi="宋体" w:eastAsia="宋体" w:cs="宋体"/>
          <w:spacing w:val="13"/>
          <w:sz w:val="17"/>
          <w:szCs w:val="17"/>
        </w:rPr>
        <w:t xml:space="preserve"> </w:t>
      </w:r>
      <w:r>
        <w:rPr>
          <w:rFonts w:ascii="宋体" w:hAnsi="宋体" w:eastAsia="宋体" w:cs="宋体"/>
          <w:spacing w:val="-2"/>
          <w:sz w:val="17"/>
          <w:szCs w:val="17"/>
        </w:rPr>
        <w:t>如此往返进行5次。当完成第5次触线时停表，计算时间。</w:t>
      </w:r>
    </w:p>
    <w:p w14:paraId="4B4BC6B7">
      <w:pPr>
        <w:spacing w:before="20" w:line="312" w:lineRule="auto"/>
        <w:ind w:left="60" w:right="348" w:firstLine="359"/>
        <w:jc w:val="both"/>
        <w:rPr>
          <w:rFonts w:ascii="宋体" w:hAnsi="宋体" w:eastAsia="宋体" w:cs="宋体"/>
          <w:sz w:val="17"/>
          <w:szCs w:val="17"/>
        </w:rPr>
      </w:pPr>
      <w:r>
        <w:rPr>
          <w:rFonts w:ascii="宋体" w:hAnsi="宋体" w:eastAsia="宋体" w:cs="宋体"/>
          <w:spacing w:val="5"/>
          <w:sz w:val="17"/>
          <w:szCs w:val="17"/>
        </w:rPr>
        <w:t>前场技术(正反手放、勾、推)测试方法：右侧(左</w:t>
      </w:r>
      <w:r>
        <w:rPr>
          <w:rFonts w:ascii="宋体" w:hAnsi="宋体" w:eastAsia="宋体" w:cs="宋体"/>
          <w:spacing w:val="2"/>
          <w:sz w:val="17"/>
          <w:szCs w:val="17"/>
        </w:rPr>
        <w:t xml:space="preserve"> </w:t>
      </w:r>
      <w:r>
        <w:rPr>
          <w:rFonts w:ascii="宋体" w:hAnsi="宋体" w:eastAsia="宋体" w:cs="宋体"/>
          <w:spacing w:val="19"/>
          <w:sz w:val="17"/>
          <w:szCs w:val="17"/>
        </w:rPr>
        <w:t>侧)场区击球(共10个球):由考评员向考生右侧(左</w:t>
      </w:r>
      <w:r>
        <w:rPr>
          <w:rFonts w:ascii="宋体" w:hAnsi="宋体" w:eastAsia="宋体" w:cs="宋体"/>
          <w:spacing w:val="2"/>
          <w:sz w:val="17"/>
          <w:szCs w:val="17"/>
        </w:rPr>
        <w:t xml:space="preserve"> </w:t>
      </w:r>
      <w:r>
        <w:rPr>
          <w:rFonts w:ascii="宋体" w:hAnsi="宋体" w:eastAsia="宋体" w:cs="宋体"/>
          <w:spacing w:val="5"/>
          <w:sz w:val="17"/>
          <w:szCs w:val="17"/>
        </w:rPr>
        <w:t>侧)网前抛球，考生站在前发球线外上网并按照固定的</w:t>
      </w:r>
      <w:r>
        <w:rPr>
          <w:rFonts w:ascii="宋体" w:hAnsi="宋体" w:eastAsia="宋体" w:cs="宋体"/>
          <w:spacing w:val="17"/>
          <w:sz w:val="17"/>
          <w:szCs w:val="17"/>
        </w:rPr>
        <w:t xml:space="preserve"> 顺序(共击8个球):放、勾、推技术把球分别击到指</w:t>
      </w:r>
      <w:r>
        <w:rPr>
          <w:rFonts w:ascii="宋体" w:hAnsi="宋体" w:eastAsia="宋体" w:cs="宋体"/>
          <w:spacing w:val="2"/>
          <w:sz w:val="17"/>
          <w:szCs w:val="17"/>
        </w:rPr>
        <w:t xml:space="preserve"> </w:t>
      </w:r>
      <w:r>
        <w:rPr>
          <w:rFonts w:ascii="宋体" w:hAnsi="宋体" w:eastAsia="宋体" w:cs="宋体"/>
          <w:spacing w:val="7"/>
          <w:sz w:val="17"/>
          <w:szCs w:val="17"/>
        </w:rPr>
        <w:t>定的区域内</w:t>
      </w:r>
      <w:r>
        <w:rPr>
          <w:rFonts w:ascii="Times New Roman" w:hAnsi="Times New Roman" w:eastAsia="Times New Roman" w:cs="Times New Roman"/>
          <w:spacing w:val="7"/>
          <w:sz w:val="17"/>
          <w:szCs w:val="17"/>
        </w:rPr>
        <w:t>(A</w:t>
      </w:r>
      <w:r>
        <w:rPr>
          <w:rFonts w:ascii="Times New Roman" w:hAnsi="Times New Roman" w:eastAsia="Times New Roman" w:cs="Times New Roman"/>
          <w:spacing w:val="-24"/>
          <w:sz w:val="17"/>
          <w:szCs w:val="17"/>
        </w:rPr>
        <w:t xml:space="preserve"> </w:t>
      </w:r>
      <w:r>
        <w:rPr>
          <w:rFonts w:ascii="宋体" w:hAnsi="宋体" w:eastAsia="宋体" w:cs="宋体"/>
          <w:spacing w:val="7"/>
          <w:sz w:val="17"/>
          <w:szCs w:val="17"/>
        </w:rPr>
        <w:t>、</w:t>
      </w:r>
      <w:r>
        <w:rPr>
          <w:rFonts w:ascii="Times New Roman" w:hAnsi="Times New Roman" w:eastAsia="Times New Roman" w:cs="Times New Roman"/>
          <w:spacing w:val="7"/>
          <w:sz w:val="17"/>
          <w:szCs w:val="17"/>
        </w:rPr>
        <w:t>B</w:t>
      </w:r>
      <w:r>
        <w:rPr>
          <w:rFonts w:ascii="Times New Roman" w:hAnsi="Times New Roman" w:eastAsia="Times New Roman" w:cs="Times New Roman"/>
          <w:spacing w:val="-24"/>
          <w:sz w:val="17"/>
          <w:szCs w:val="17"/>
        </w:rPr>
        <w:t xml:space="preserve"> </w:t>
      </w:r>
      <w:r>
        <w:rPr>
          <w:rFonts w:ascii="宋体" w:hAnsi="宋体" w:eastAsia="宋体" w:cs="宋体"/>
          <w:spacing w:val="7"/>
          <w:sz w:val="17"/>
          <w:szCs w:val="17"/>
        </w:rPr>
        <w:t>、</w:t>
      </w:r>
      <w:r>
        <w:rPr>
          <w:rFonts w:ascii="Times New Roman" w:hAnsi="Times New Roman" w:eastAsia="Times New Roman" w:cs="Times New Roman"/>
          <w:spacing w:val="7"/>
          <w:sz w:val="17"/>
          <w:szCs w:val="17"/>
        </w:rPr>
        <w:t>C</w:t>
      </w:r>
      <w:r>
        <w:rPr>
          <w:rFonts w:ascii="Times New Roman" w:hAnsi="Times New Roman" w:eastAsia="Times New Roman" w:cs="Times New Roman"/>
          <w:spacing w:val="-24"/>
          <w:sz w:val="17"/>
          <w:szCs w:val="17"/>
        </w:rPr>
        <w:t xml:space="preserve"> </w:t>
      </w:r>
      <w:r>
        <w:rPr>
          <w:rFonts w:ascii="宋体" w:hAnsi="宋体" w:eastAsia="宋体" w:cs="宋体"/>
          <w:spacing w:val="7"/>
          <w:sz w:val="17"/>
          <w:szCs w:val="17"/>
        </w:rPr>
        <w:t>、</w:t>
      </w:r>
      <w:r>
        <w:rPr>
          <w:rFonts w:ascii="Times New Roman" w:hAnsi="Times New Roman" w:eastAsia="Times New Roman" w:cs="Times New Roman"/>
          <w:spacing w:val="7"/>
          <w:sz w:val="17"/>
          <w:szCs w:val="17"/>
        </w:rPr>
        <w:t xml:space="preserve">D),      </w:t>
      </w:r>
      <w:r>
        <w:rPr>
          <w:rFonts w:ascii="宋体" w:hAnsi="宋体" w:eastAsia="宋体" w:cs="宋体"/>
          <w:spacing w:val="7"/>
          <w:sz w:val="17"/>
          <w:szCs w:val="17"/>
        </w:rPr>
        <w:t>并轮转2次，最后剩下</w:t>
      </w:r>
      <w:r>
        <w:rPr>
          <w:rFonts w:ascii="宋体" w:hAnsi="宋体" w:eastAsia="宋体" w:cs="宋体"/>
          <w:sz w:val="17"/>
          <w:szCs w:val="17"/>
        </w:rPr>
        <w:t xml:space="preserve"> </w:t>
      </w:r>
      <w:r>
        <w:rPr>
          <w:rFonts w:ascii="宋体" w:hAnsi="宋体" w:eastAsia="宋体" w:cs="宋体"/>
          <w:spacing w:val="9"/>
          <w:sz w:val="17"/>
          <w:szCs w:val="17"/>
        </w:rPr>
        <w:t>的两球由考生将球击到提前选择的2个区域内(分别从</w:t>
      </w:r>
      <w:r>
        <w:rPr>
          <w:rFonts w:ascii="宋体" w:hAnsi="宋体" w:eastAsia="宋体" w:cs="宋体"/>
          <w:sz w:val="17"/>
          <w:szCs w:val="17"/>
        </w:rPr>
        <w:t xml:space="preserve"> </w:t>
      </w:r>
      <w:r>
        <w:rPr>
          <w:rFonts w:ascii="Times New Roman" w:hAnsi="Times New Roman" w:eastAsia="Times New Roman" w:cs="Times New Roman"/>
          <w:spacing w:val="3"/>
          <w:sz w:val="17"/>
          <w:szCs w:val="17"/>
        </w:rPr>
        <w:t>A</w:t>
      </w:r>
      <w:r>
        <w:rPr>
          <w:rFonts w:ascii="宋体" w:hAnsi="宋体" w:eastAsia="宋体" w:cs="宋体"/>
          <w:spacing w:val="3"/>
          <w:sz w:val="17"/>
          <w:szCs w:val="17"/>
        </w:rPr>
        <w:t>、</w:t>
      </w:r>
      <w:r>
        <w:rPr>
          <w:rFonts w:ascii="Times New Roman" w:hAnsi="Times New Roman" w:eastAsia="Times New Roman" w:cs="Times New Roman"/>
          <w:spacing w:val="3"/>
          <w:sz w:val="17"/>
          <w:szCs w:val="17"/>
        </w:rPr>
        <w:t xml:space="preserve">B </w:t>
      </w:r>
      <w:r>
        <w:rPr>
          <w:rFonts w:ascii="宋体" w:hAnsi="宋体" w:eastAsia="宋体" w:cs="宋体"/>
          <w:spacing w:val="3"/>
          <w:sz w:val="17"/>
          <w:szCs w:val="17"/>
        </w:rPr>
        <w:t>区域和</w:t>
      </w:r>
      <w:r>
        <w:rPr>
          <w:rFonts w:ascii="Times New Roman" w:hAnsi="Times New Roman" w:eastAsia="Times New Roman" w:cs="Times New Roman"/>
          <w:spacing w:val="3"/>
          <w:sz w:val="17"/>
          <w:szCs w:val="17"/>
        </w:rPr>
        <w:t>C</w:t>
      </w:r>
      <w:r>
        <w:rPr>
          <w:rFonts w:ascii="Times New Roman" w:hAnsi="Times New Roman" w:eastAsia="Times New Roman" w:cs="Times New Roman"/>
          <w:spacing w:val="-8"/>
          <w:sz w:val="17"/>
          <w:szCs w:val="17"/>
        </w:rPr>
        <w:t xml:space="preserve"> </w:t>
      </w:r>
      <w:r>
        <w:rPr>
          <w:rFonts w:ascii="宋体" w:hAnsi="宋体" w:eastAsia="宋体" w:cs="宋体"/>
          <w:spacing w:val="3"/>
          <w:sz w:val="17"/>
          <w:szCs w:val="17"/>
        </w:rPr>
        <w:t>、</w:t>
      </w:r>
      <w:r>
        <w:rPr>
          <w:rFonts w:ascii="Times New Roman" w:hAnsi="Times New Roman" w:eastAsia="Times New Roman" w:cs="Times New Roman"/>
          <w:spacing w:val="3"/>
          <w:sz w:val="17"/>
          <w:szCs w:val="17"/>
        </w:rPr>
        <w:t xml:space="preserve">D </w:t>
      </w:r>
      <w:r>
        <w:rPr>
          <w:rFonts w:ascii="宋体" w:hAnsi="宋体" w:eastAsia="宋体" w:cs="宋体"/>
          <w:spacing w:val="3"/>
          <w:sz w:val="17"/>
          <w:szCs w:val="17"/>
        </w:rPr>
        <w:t>区域中各选1个)。</w:t>
      </w:r>
      <w:r>
        <w:rPr>
          <w:rFonts w:ascii="宋体" w:hAnsi="宋体" w:eastAsia="宋体" w:cs="宋体"/>
          <w:spacing w:val="25"/>
          <w:sz w:val="17"/>
          <w:szCs w:val="17"/>
        </w:rPr>
        <w:t xml:space="preserve"> </w:t>
      </w:r>
      <w:r>
        <w:rPr>
          <w:rFonts w:ascii="Times New Roman" w:hAnsi="Times New Roman" w:eastAsia="Times New Roman" w:cs="Times New Roman"/>
          <w:spacing w:val="3"/>
          <w:sz w:val="17"/>
          <w:szCs w:val="17"/>
        </w:rPr>
        <w:t>(A</w:t>
      </w:r>
      <w:r>
        <w:rPr>
          <w:rFonts w:ascii="Times New Roman" w:hAnsi="Times New Roman" w:eastAsia="Times New Roman" w:cs="Times New Roman"/>
          <w:spacing w:val="-24"/>
          <w:sz w:val="17"/>
          <w:szCs w:val="17"/>
        </w:rPr>
        <w:t xml:space="preserve"> </w:t>
      </w:r>
      <w:r>
        <w:rPr>
          <w:rFonts w:ascii="宋体" w:hAnsi="宋体" w:eastAsia="宋体" w:cs="宋体"/>
          <w:spacing w:val="3"/>
          <w:sz w:val="17"/>
          <w:szCs w:val="17"/>
        </w:rPr>
        <w:t>、</w:t>
      </w:r>
      <w:r>
        <w:rPr>
          <w:rFonts w:ascii="Times New Roman" w:hAnsi="Times New Roman" w:eastAsia="Times New Roman" w:cs="Times New Roman"/>
          <w:spacing w:val="3"/>
          <w:sz w:val="17"/>
          <w:szCs w:val="17"/>
        </w:rPr>
        <w:t>B</w:t>
      </w:r>
      <w:r>
        <w:rPr>
          <w:rFonts w:ascii="Times New Roman" w:hAnsi="Times New Roman" w:eastAsia="Times New Roman" w:cs="Times New Roman"/>
          <w:spacing w:val="-24"/>
          <w:sz w:val="17"/>
          <w:szCs w:val="17"/>
        </w:rPr>
        <w:t xml:space="preserve"> </w:t>
      </w:r>
      <w:r>
        <w:rPr>
          <w:rFonts w:ascii="宋体" w:hAnsi="宋体" w:eastAsia="宋体" w:cs="宋体"/>
          <w:spacing w:val="3"/>
          <w:sz w:val="17"/>
          <w:szCs w:val="17"/>
        </w:rPr>
        <w:t>、</w:t>
      </w:r>
      <w:r>
        <w:rPr>
          <w:rFonts w:ascii="Times New Roman" w:hAnsi="Times New Roman" w:eastAsia="Times New Roman" w:cs="Times New Roman"/>
          <w:spacing w:val="3"/>
          <w:sz w:val="17"/>
          <w:szCs w:val="17"/>
        </w:rPr>
        <w:t>C</w:t>
      </w:r>
      <w:r>
        <w:rPr>
          <w:rFonts w:ascii="Times New Roman" w:hAnsi="Times New Roman" w:eastAsia="Times New Roman" w:cs="Times New Roman"/>
          <w:spacing w:val="-24"/>
          <w:sz w:val="17"/>
          <w:szCs w:val="17"/>
        </w:rPr>
        <w:t xml:space="preserve"> </w:t>
      </w:r>
      <w:r>
        <w:rPr>
          <w:rFonts w:ascii="宋体" w:hAnsi="宋体" w:eastAsia="宋体" w:cs="宋体"/>
          <w:spacing w:val="3"/>
          <w:sz w:val="17"/>
          <w:szCs w:val="17"/>
        </w:rPr>
        <w:t>、</w:t>
      </w:r>
      <w:r>
        <w:rPr>
          <w:rFonts w:ascii="Times New Roman" w:hAnsi="Times New Roman" w:eastAsia="Times New Roman" w:cs="Times New Roman"/>
          <w:spacing w:val="3"/>
          <w:sz w:val="17"/>
          <w:szCs w:val="17"/>
        </w:rPr>
        <w:t>D</w:t>
      </w:r>
      <w:r>
        <w:rPr>
          <w:rFonts w:ascii="Times New Roman" w:hAnsi="Times New Roman" w:eastAsia="Times New Roman" w:cs="Times New Roman"/>
          <w:sz w:val="17"/>
          <w:szCs w:val="17"/>
        </w:rPr>
        <w:t xml:space="preserve">  </w:t>
      </w:r>
      <w:r>
        <w:rPr>
          <w:rFonts w:ascii="宋体" w:hAnsi="宋体" w:eastAsia="宋体" w:cs="宋体"/>
          <w:spacing w:val="12"/>
          <w:sz w:val="17"/>
          <w:szCs w:val="17"/>
        </w:rPr>
        <w:t xml:space="preserve">区域在单打区域内的4个角，面积都是1米×1米，从 </w:t>
      </w:r>
      <w:r>
        <w:rPr>
          <w:rFonts w:ascii="宋体" w:hAnsi="宋体" w:eastAsia="宋体" w:cs="宋体"/>
          <w:spacing w:val="7"/>
          <w:sz w:val="17"/>
          <w:szCs w:val="17"/>
        </w:rPr>
        <w:t>场地线的外沿测量)。</w:t>
      </w:r>
    </w:p>
    <w:p w14:paraId="55CDEA3F">
      <w:pPr>
        <w:spacing w:before="28" w:line="312" w:lineRule="auto"/>
        <w:ind w:left="60" w:right="372" w:firstLine="359"/>
        <w:rPr>
          <w:rFonts w:ascii="宋体" w:hAnsi="宋体" w:eastAsia="宋体" w:cs="宋体"/>
          <w:sz w:val="17"/>
          <w:szCs w:val="17"/>
        </w:rPr>
      </w:pPr>
      <w:r>
        <w:rPr>
          <w:rFonts w:ascii="宋体" w:hAnsi="宋体" w:eastAsia="宋体" w:cs="宋体"/>
          <w:spacing w:val="8"/>
          <w:sz w:val="17"/>
          <w:szCs w:val="17"/>
        </w:rPr>
        <w:t>后场技术(直线和斜线高远球、吊球)测试方</w:t>
      </w:r>
      <w:r>
        <w:rPr>
          <w:rFonts w:ascii="宋体" w:hAnsi="宋体" w:eastAsia="宋体" w:cs="宋体"/>
          <w:spacing w:val="7"/>
          <w:sz w:val="17"/>
          <w:szCs w:val="17"/>
        </w:rPr>
        <w:t>法：</w:t>
      </w:r>
      <w:r>
        <w:rPr>
          <w:rFonts w:ascii="宋体" w:hAnsi="宋体" w:eastAsia="宋体" w:cs="宋体"/>
          <w:sz w:val="17"/>
          <w:szCs w:val="17"/>
        </w:rPr>
        <w:t xml:space="preserve"> </w:t>
      </w:r>
      <w:r>
        <w:rPr>
          <w:rFonts w:ascii="宋体" w:hAnsi="宋体" w:eastAsia="宋体" w:cs="宋体"/>
          <w:spacing w:val="26"/>
          <w:sz w:val="17"/>
          <w:szCs w:val="17"/>
        </w:rPr>
        <w:t>右侧(左侧)场区击球(共10个球):由考评员发高</w:t>
      </w:r>
      <w:r>
        <w:rPr>
          <w:rFonts w:ascii="宋体" w:hAnsi="宋体" w:eastAsia="宋体" w:cs="宋体"/>
          <w:spacing w:val="17"/>
          <w:sz w:val="17"/>
          <w:szCs w:val="17"/>
        </w:rPr>
        <w:t xml:space="preserve"> </w:t>
      </w:r>
      <w:r>
        <w:rPr>
          <w:rFonts w:ascii="宋体" w:hAnsi="宋体" w:eastAsia="宋体" w:cs="宋体"/>
          <w:spacing w:val="9"/>
          <w:sz w:val="17"/>
          <w:szCs w:val="17"/>
        </w:rPr>
        <w:t>远球，考生在右侧(左侧)区双打后发球线外，分别应</w:t>
      </w:r>
      <w:r>
        <w:rPr>
          <w:rFonts w:ascii="宋体" w:hAnsi="宋体" w:eastAsia="宋体" w:cs="宋体"/>
          <w:sz w:val="17"/>
          <w:szCs w:val="17"/>
        </w:rPr>
        <w:t xml:space="preserve"> </w:t>
      </w:r>
      <w:r>
        <w:rPr>
          <w:rFonts w:ascii="宋体" w:hAnsi="宋体" w:eastAsia="宋体" w:cs="宋体"/>
          <w:spacing w:val="-2"/>
          <w:sz w:val="17"/>
          <w:szCs w:val="17"/>
        </w:rPr>
        <w:t>用高远球和吊球技术将球击到指定的区域内</w:t>
      </w:r>
      <w:r>
        <w:rPr>
          <w:rFonts w:ascii="Times New Roman" w:hAnsi="Times New Roman" w:eastAsia="Times New Roman" w:cs="Times New Roman"/>
          <w:spacing w:val="-2"/>
          <w:sz w:val="17"/>
          <w:szCs w:val="17"/>
        </w:rPr>
        <w:t>(E</w:t>
      </w:r>
      <w:r>
        <w:rPr>
          <w:rFonts w:ascii="Times New Roman" w:hAnsi="Times New Roman" w:eastAsia="Times New Roman" w:cs="Times New Roman"/>
          <w:spacing w:val="-19"/>
          <w:sz w:val="17"/>
          <w:szCs w:val="17"/>
        </w:rPr>
        <w:t xml:space="preserve"> </w:t>
      </w:r>
      <w:r>
        <w:rPr>
          <w:rFonts w:ascii="宋体" w:hAnsi="宋体" w:eastAsia="宋体" w:cs="宋体"/>
          <w:spacing w:val="-2"/>
          <w:sz w:val="17"/>
          <w:szCs w:val="17"/>
        </w:rPr>
        <w:t>、</w:t>
      </w:r>
      <w:r>
        <w:rPr>
          <w:rFonts w:ascii="Times New Roman" w:hAnsi="Times New Roman" w:eastAsia="Times New Roman" w:cs="Times New Roman"/>
          <w:spacing w:val="-2"/>
          <w:sz w:val="17"/>
          <w:szCs w:val="17"/>
        </w:rPr>
        <w:t>F</w:t>
      </w:r>
      <w:r>
        <w:rPr>
          <w:rFonts w:ascii="Times New Roman" w:hAnsi="Times New Roman" w:eastAsia="Times New Roman" w:cs="Times New Roman"/>
          <w:spacing w:val="-24"/>
          <w:sz w:val="17"/>
          <w:szCs w:val="17"/>
        </w:rPr>
        <w:t xml:space="preserve"> </w:t>
      </w:r>
      <w:r>
        <w:rPr>
          <w:rFonts w:ascii="宋体" w:hAnsi="宋体" w:eastAsia="宋体" w:cs="宋体"/>
          <w:spacing w:val="-2"/>
          <w:sz w:val="17"/>
          <w:szCs w:val="17"/>
        </w:rPr>
        <w:t>、</w:t>
      </w:r>
      <w:r>
        <w:rPr>
          <w:rFonts w:ascii="Times New Roman" w:hAnsi="Times New Roman" w:eastAsia="Times New Roman" w:cs="Times New Roman"/>
          <w:spacing w:val="-2"/>
          <w:sz w:val="17"/>
          <w:szCs w:val="17"/>
        </w:rPr>
        <w:t>G</w:t>
      </w:r>
      <w:r>
        <w:rPr>
          <w:rFonts w:ascii="Times New Roman" w:hAnsi="Times New Roman" w:eastAsia="Times New Roman" w:cs="Times New Roman"/>
          <w:spacing w:val="-24"/>
          <w:sz w:val="17"/>
          <w:szCs w:val="17"/>
        </w:rPr>
        <w:t xml:space="preserve"> </w:t>
      </w:r>
      <w:r>
        <w:rPr>
          <w:rFonts w:ascii="宋体" w:hAnsi="宋体" w:eastAsia="宋体" w:cs="宋体"/>
          <w:spacing w:val="-2"/>
          <w:sz w:val="17"/>
          <w:szCs w:val="17"/>
        </w:rPr>
        <w:t>、</w:t>
      </w:r>
      <w:r>
        <w:rPr>
          <w:rFonts w:ascii="宋体" w:hAnsi="宋体" w:eastAsia="宋体" w:cs="宋体"/>
          <w:sz w:val="17"/>
          <w:szCs w:val="17"/>
        </w:rPr>
        <w:t xml:space="preserve"> </w:t>
      </w:r>
      <w:r>
        <w:rPr>
          <w:rFonts w:ascii="Times New Roman" w:hAnsi="Times New Roman" w:eastAsia="Times New Roman" w:cs="Times New Roman"/>
          <w:spacing w:val="6"/>
          <w:sz w:val="17"/>
          <w:szCs w:val="17"/>
        </w:rPr>
        <w:t xml:space="preserve">H),    </w:t>
      </w:r>
      <w:r>
        <w:rPr>
          <w:rFonts w:ascii="宋体" w:hAnsi="宋体" w:eastAsia="宋体" w:cs="宋体"/>
          <w:spacing w:val="6"/>
          <w:sz w:val="17"/>
          <w:szCs w:val="17"/>
        </w:rPr>
        <w:t>并轮转2次。最后两球的落点由考生分别在</w:t>
      </w:r>
      <w:r>
        <w:rPr>
          <w:rFonts w:ascii="Times New Roman" w:hAnsi="Times New Roman" w:eastAsia="Times New Roman" w:cs="Times New Roman"/>
          <w:spacing w:val="6"/>
          <w:sz w:val="17"/>
          <w:szCs w:val="17"/>
        </w:rPr>
        <w:t>E</w:t>
      </w:r>
      <w:r>
        <w:rPr>
          <w:rFonts w:ascii="Times New Roman" w:hAnsi="Times New Roman" w:eastAsia="Times New Roman" w:cs="Times New Roman"/>
          <w:spacing w:val="-19"/>
          <w:sz w:val="17"/>
          <w:szCs w:val="17"/>
        </w:rPr>
        <w:t xml:space="preserve"> </w:t>
      </w:r>
      <w:r>
        <w:rPr>
          <w:rFonts w:ascii="宋体" w:hAnsi="宋体" w:eastAsia="宋体" w:cs="宋体"/>
          <w:spacing w:val="6"/>
          <w:sz w:val="17"/>
          <w:szCs w:val="17"/>
        </w:rPr>
        <w:t>、</w:t>
      </w:r>
      <w:r>
        <w:rPr>
          <w:rFonts w:ascii="Times New Roman" w:hAnsi="Times New Roman" w:eastAsia="Times New Roman" w:cs="Times New Roman"/>
          <w:spacing w:val="6"/>
          <w:sz w:val="17"/>
          <w:szCs w:val="17"/>
        </w:rPr>
        <w:t>F</w:t>
      </w:r>
      <w:r>
        <w:rPr>
          <w:rFonts w:ascii="Times New Roman" w:hAnsi="Times New Roman" w:eastAsia="Times New Roman" w:cs="Times New Roman"/>
          <w:sz w:val="17"/>
          <w:szCs w:val="17"/>
        </w:rPr>
        <w:t xml:space="preserve">  </w:t>
      </w:r>
      <w:r>
        <w:rPr>
          <w:rFonts w:ascii="宋体" w:hAnsi="宋体" w:eastAsia="宋体" w:cs="宋体"/>
          <w:spacing w:val="-2"/>
          <w:sz w:val="17"/>
          <w:szCs w:val="17"/>
        </w:rPr>
        <w:t>区域中选择一个和</w:t>
      </w:r>
      <w:r>
        <w:rPr>
          <w:rFonts w:ascii="Times New Roman" w:hAnsi="Times New Roman" w:eastAsia="Times New Roman" w:cs="Times New Roman"/>
          <w:spacing w:val="-2"/>
          <w:sz w:val="17"/>
          <w:szCs w:val="17"/>
        </w:rPr>
        <w:t>G</w:t>
      </w:r>
      <w:r>
        <w:rPr>
          <w:rFonts w:ascii="Times New Roman" w:hAnsi="Times New Roman" w:eastAsia="Times New Roman" w:cs="Times New Roman"/>
          <w:spacing w:val="-10"/>
          <w:sz w:val="17"/>
          <w:szCs w:val="17"/>
        </w:rPr>
        <w:t xml:space="preserve"> </w:t>
      </w:r>
      <w:r>
        <w:rPr>
          <w:rFonts w:ascii="宋体" w:hAnsi="宋体" w:eastAsia="宋体" w:cs="宋体"/>
          <w:spacing w:val="-2"/>
          <w:sz w:val="17"/>
          <w:szCs w:val="17"/>
        </w:rPr>
        <w:t>、</w:t>
      </w:r>
      <w:r>
        <w:rPr>
          <w:rFonts w:ascii="Times New Roman" w:hAnsi="Times New Roman" w:eastAsia="Times New Roman" w:cs="Times New Roman"/>
          <w:spacing w:val="-2"/>
          <w:sz w:val="17"/>
          <w:szCs w:val="17"/>
        </w:rPr>
        <w:t xml:space="preserve">H </w:t>
      </w:r>
      <w:r>
        <w:rPr>
          <w:rFonts w:ascii="宋体" w:hAnsi="宋体" w:eastAsia="宋体" w:cs="宋体"/>
          <w:spacing w:val="-2"/>
          <w:sz w:val="17"/>
          <w:szCs w:val="17"/>
        </w:rPr>
        <w:t xml:space="preserve">区域中选择1个。 </w:t>
      </w:r>
      <w:r>
        <w:rPr>
          <w:rFonts w:ascii="Times New Roman" w:hAnsi="Times New Roman" w:eastAsia="Times New Roman" w:cs="Times New Roman"/>
          <w:spacing w:val="-2"/>
          <w:sz w:val="17"/>
          <w:szCs w:val="17"/>
        </w:rPr>
        <w:t>(E</w:t>
      </w:r>
      <w:r>
        <w:rPr>
          <w:rFonts w:ascii="Times New Roman" w:hAnsi="Times New Roman" w:eastAsia="Times New Roman" w:cs="Times New Roman"/>
          <w:spacing w:val="-24"/>
          <w:sz w:val="17"/>
          <w:szCs w:val="17"/>
        </w:rPr>
        <w:t xml:space="preserve"> </w:t>
      </w:r>
      <w:r>
        <w:rPr>
          <w:rFonts w:ascii="宋体" w:hAnsi="宋体" w:eastAsia="宋体" w:cs="宋体"/>
          <w:spacing w:val="-2"/>
          <w:sz w:val="17"/>
          <w:szCs w:val="17"/>
        </w:rPr>
        <w:t>、</w:t>
      </w:r>
      <w:r>
        <w:rPr>
          <w:rFonts w:ascii="Times New Roman" w:hAnsi="Times New Roman" w:eastAsia="Times New Roman" w:cs="Times New Roman"/>
          <w:spacing w:val="-2"/>
          <w:sz w:val="17"/>
          <w:szCs w:val="17"/>
        </w:rPr>
        <w:t>F</w:t>
      </w:r>
      <w:r>
        <w:rPr>
          <w:rFonts w:ascii="Times New Roman" w:hAnsi="Times New Roman" w:eastAsia="Times New Roman" w:cs="Times New Roman"/>
          <w:spacing w:val="-24"/>
          <w:sz w:val="17"/>
          <w:szCs w:val="17"/>
        </w:rPr>
        <w:t xml:space="preserve"> </w:t>
      </w:r>
      <w:r>
        <w:rPr>
          <w:rFonts w:ascii="宋体" w:hAnsi="宋体" w:eastAsia="宋体" w:cs="宋体"/>
          <w:spacing w:val="-2"/>
          <w:sz w:val="17"/>
          <w:szCs w:val="17"/>
        </w:rPr>
        <w:t>、</w:t>
      </w:r>
      <w:r>
        <w:rPr>
          <w:rFonts w:ascii="Times New Roman" w:hAnsi="Times New Roman" w:eastAsia="Times New Roman" w:cs="Times New Roman"/>
          <w:spacing w:val="-2"/>
          <w:sz w:val="17"/>
          <w:szCs w:val="17"/>
        </w:rPr>
        <w:t>G</w:t>
      </w:r>
      <w:r>
        <w:rPr>
          <w:rFonts w:ascii="Times New Roman" w:hAnsi="Times New Roman" w:eastAsia="Times New Roman" w:cs="Times New Roman"/>
          <w:spacing w:val="-24"/>
          <w:sz w:val="17"/>
          <w:szCs w:val="17"/>
        </w:rPr>
        <w:t xml:space="preserve"> </w:t>
      </w:r>
      <w:r>
        <w:rPr>
          <w:rFonts w:ascii="宋体" w:hAnsi="宋体" w:eastAsia="宋体" w:cs="宋体"/>
          <w:spacing w:val="-2"/>
          <w:sz w:val="17"/>
          <w:szCs w:val="17"/>
        </w:rPr>
        <w:t>、</w:t>
      </w:r>
      <w:r>
        <w:rPr>
          <w:rFonts w:ascii="宋体" w:hAnsi="宋体" w:eastAsia="宋体" w:cs="宋体"/>
          <w:sz w:val="17"/>
          <w:szCs w:val="17"/>
        </w:rPr>
        <w:t xml:space="preserve"> </w:t>
      </w:r>
      <w:r>
        <w:rPr>
          <w:rFonts w:ascii="Times New Roman" w:hAnsi="Times New Roman" w:eastAsia="Times New Roman" w:cs="Times New Roman"/>
          <w:spacing w:val="7"/>
          <w:sz w:val="17"/>
          <w:szCs w:val="17"/>
        </w:rPr>
        <w:t>H</w:t>
      </w:r>
      <w:r>
        <w:rPr>
          <w:rFonts w:ascii="宋体" w:hAnsi="宋体" w:eastAsia="宋体" w:cs="宋体"/>
          <w:spacing w:val="7"/>
          <w:sz w:val="17"/>
          <w:szCs w:val="17"/>
        </w:rPr>
        <w:t>区域在单打区域内发球线前与后场端线的4个角，面</w:t>
      </w:r>
      <w:r>
        <w:rPr>
          <w:rFonts w:ascii="宋体" w:hAnsi="宋体" w:eastAsia="宋体" w:cs="宋体"/>
          <w:spacing w:val="10"/>
          <w:sz w:val="17"/>
          <w:szCs w:val="17"/>
        </w:rPr>
        <w:t xml:space="preserve"> </w:t>
      </w:r>
      <w:r>
        <w:rPr>
          <w:rFonts w:ascii="宋体" w:hAnsi="宋体" w:eastAsia="宋体" w:cs="宋体"/>
          <w:spacing w:val="5"/>
          <w:sz w:val="17"/>
          <w:szCs w:val="17"/>
        </w:rPr>
        <w:t>积都是1.5米×1.5米，从场地线的外沿测量)</w:t>
      </w:r>
    </w:p>
    <w:p w14:paraId="4F238594">
      <w:pPr>
        <w:spacing w:before="32" w:line="220" w:lineRule="auto"/>
        <w:ind w:left="490"/>
        <w:rPr>
          <w:rFonts w:ascii="宋体" w:hAnsi="宋体" w:eastAsia="宋体" w:cs="宋体"/>
          <w:sz w:val="17"/>
          <w:szCs w:val="17"/>
        </w:rPr>
      </w:pPr>
      <w:r>
        <w:rPr>
          <w:rFonts w:ascii="宋体" w:hAnsi="宋体" w:eastAsia="宋体" w:cs="宋体"/>
          <w:spacing w:val="14"/>
          <w:sz w:val="17"/>
          <w:szCs w:val="17"/>
        </w:rPr>
        <w:t>(二)专项技能</w:t>
      </w:r>
    </w:p>
    <w:p w14:paraId="70333BB0">
      <w:pPr>
        <w:spacing w:before="85" w:line="302" w:lineRule="auto"/>
        <w:ind w:left="420" w:right="2702"/>
        <w:rPr>
          <w:rFonts w:ascii="宋体" w:hAnsi="宋体" w:eastAsia="宋体" w:cs="宋体"/>
          <w:sz w:val="17"/>
          <w:szCs w:val="17"/>
        </w:rPr>
      </w:pPr>
      <w:r>
        <w:rPr>
          <w:rFonts w:ascii="宋体" w:hAnsi="宋体" w:eastAsia="宋体" w:cs="宋体"/>
          <w:spacing w:val="-1"/>
          <w:sz w:val="17"/>
          <w:szCs w:val="17"/>
        </w:rPr>
        <w:t>1、测试内容及分值</w:t>
      </w:r>
      <w:r>
        <w:rPr>
          <w:rFonts w:ascii="宋体" w:hAnsi="宋体" w:eastAsia="宋体" w:cs="宋体"/>
          <w:sz w:val="17"/>
          <w:szCs w:val="17"/>
        </w:rPr>
        <w:t xml:space="preserve"> </w:t>
      </w:r>
      <w:r>
        <w:rPr>
          <w:rFonts w:ascii="宋体" w:hAnsi="宋体" w:eastAsia="宋体" w:cs="宋体"/>
          <w:spacing w:val="16"/>
          <w:sz w:val="17"/>
          <w:szCs w:val="17"/>
        </w:rPr>
        <w:t>实战比赛(150分)</w:t>
      </w:r>
    </w:p>
    <w:p w14:paraId="25258573">
      <w:pPr>
        <w:spacing w:before="15" w:line="221" w:lineRule="auto"/>
        <w:ind w:left="420"/>
        <w:rPr>
          <w:rFonts w:ascii="宋体" w:hAnsi="宋体" w:eastAsia="宋体" w:cs="宋体"/>
          <w:sz w:val="17"/>
          <w:szCs w:val="17"/>
        </w:rPr>
      </w:pPr>
      <w:r>
        <w:rPr>
          <w:rFonts w:ascii="宋体" w:hAnsi="宋体" w:eastAsia="宋体" w:cs="宋体"/>
          <w:spacing w:val="1"/>
          <w:sz w:val="17"/>
          <w:szCs w:val="17"/>
        </w:rPr>
        <w:t>2、测试方法</w:t>
      </w:r>
    </w:p>
    <w:p w14:paraId="43293981">
      <w:pPr>
        <w:spacing w:before="82" w:line="314" w:lineRule="auto"/>
        <w:ind w:left="60" w:right="358" w:firstLine="359"/>
        <w:rPr>
          <w:rFonts w:ascii="宋体" w:hAnsi="宋体" w:eastAsia="宋体" w:cs="宋体"/>
          <w:sz w:val="17"/>
          <w:szCs w:val="17"/>
        </w:rPr>
      </w:pPr>
      <w:r>
        <w:rPr>
          <w:rFonts w:ascii="宋体" w:hAnsi="宋体" w:eastAsia="宋体" w:cs="宋体"/>
          <w:spacing w:val="5"/>
          <w:sz w:val="17"/>
          <w:szCs w:val="17"/>
        </w:rPr>
        <w:t>实战比赛：分别组织男女进行比赛。6人内进行循</w:t>
      </w:r>
      <w:r>
        <w:rPr>
          <w:rFonts w:ascii="宋体" w:hAnsi="宋体" w:eastAsia="宋体" w:cs="宋体"/>
          <w:spacing w:val="1"/>
          <w:sz w:val="17"/>
          <w:szCs w:val="17"/>
        </w:rPr>
        <w:t xml:space="preserve"> </w:t>
      </w:r>
      <w:r>
        <w:rPr>
          <w:rFonts w:ascii="宋体" w:hAnsi="宋体" w:eastAsia="宋体" w:cs="宋体"/>
          <w:spacing w:val="5"/>
          <w:sz w:val="17"/>
          <w:szCs w:val="17"/>
        </w:rPr>
        <w:t>环比赛决出全部名次。赛制1局，21分每球得分。7-12</w:t>
      </w:r>
      <w:r>
        <w:rPr>
          <w:rFonts w:ascii="宋体" w:hAnsi="宋体" w:eastAsia="宋体" w:cs="宋体"/>
          <w:sz w:val="17"/>
          <w:szCs w:val="17"/>
        </w:rPr>
        <w:t xml:space="preserve"> </w:t>
      </w:r>
      <w:r>
        <w:rPr>
          <w:rFonts w:ascii="宋体" w:hAnsi="宋体" w:eastAsia="宋体" w:cs="宋体"/>
          <w:spacing w:val="2"/>
          <w:sz w:val="17"/>
          <w:szCs w:val="17"/>
        </w:rPr>
        <w:t>人分两组进行循环赛，决出小组名次后进行淘汰决出全</w:t>
      </w:r>
      <w:r>
        <w:rPr>
          <w:rFonts w:ascii="宋体" w:hAnsi="宋体" w:eastAsia="宋体" w:cs="宋体"/>
          <w:sz w:val="17"/>
          <w:szCs w:val="17"/>
        </w:rPr>
        <w:t xml:space="preserve"> </w:t>
      </w:r>
      <w:r>
        <w:rPr>
          <w:rFonts w:ascii="宋体" w:hAnsi="宋体" w:eastAsia="宋体" w:cs="宋体"/>
          <w:spacing w:val="16"/>
          <w:sz w:val="17"/>
          <w:szCs w:val="17"/>
        </w:rPr>
        <w:t>部名次。赛制1局，21分每球得分。第1组第一对阵</w:t>
      </w:r>
      <w:r>
        <w:rPr>
          <w:rFonts w:ascii="宋体" w:hAnsi="宋体" w:eastAsia="宋体" w:cs="宋体"/>
          <w:spacing w:val="2"/>
          <w:sz w:val="17"/>
          <w:szCs w:val="17"/>
        </w:rPr>
        <w:t xml:space="preserve"> </w:t>
      </w:r>
      <w:r>
        <w:rPr>
          <w:rFonts w:ascii="宋体" w:hAnsi="宋体" w:eastAsia="宋体" w:cs="宋体"/>
          <w:spacing w:val="11"/>
          <w:sz w:val="17"/>
          <w:szCs w:val="17"/>
        </w:rPr>
        <w:t>第2组第二。第2组第一对阵第1组第二，以此类推。</w:t>
      </w:r>
      <w:r>
        <w:rPr>
          <w:rFonts w:ascii="宋体" w:hAnsi="宋体" w:eastAsia="宋体" w:cs="宋体"/>
          <w:spacing w:val="15"/>
          <w:sz w:val="17"/>
          <w:szCs w:val="17"/>
        </w:rPr>
        <w:t xml:space="preserve"> </w:t>
      </w:r>
      <w:r>
        <w:rPr>
          <w:rFonts w:ascii="宋体" w:hAnsi="宋体" w:eastAsia="宋体" w:cs="宋体"/>
          <w:spacing w:val="8"/>
          <w:sz w:val="17"/>
          <w:szCs w:val="17"/>
        </w:rPr>
        <w:t>13-24人分成4组进行循环赛，决出小组名次后进行同</w:t>
      </w:r>
      <w:r>
        <w:rPr>
          <w:rFonts w:ascii="宋体" w:hAnsi="宋体" w:eastAsia="宋体" w:cs="宋体"/>
          <w:spacing w:val="16"/>
          <w:sz w:val="17"/>
          <w:szCs w:val="17"/>
        </w:rPr>
        <w:t xml:space="preserve"> </w:t>
      </w:r>
      <w:r>
        <w:rPr>
          <w:rFonts w:ascii="宋体" w:hAnsi="宋体" w:eastAsia="宋体" w:cs="宋体"/>
          <w:spacing w:val="5"/>
          <w:sz w:val="17"/>
          <w:szCs w:val="17"/>
        </w:rPr>
        <w:t>名次淘汰决出全部名次。赛制1局，21分每球得分。第</w:t>
      </w:r>
      <w:r>
        <w:rPr>
          <w:rFonts w:ascii="宋体" w:hAnsi="宋体" w:eastAsia="宋体" w:cs="宋体"/>
          <w:spacing w:val="10"/>
          <w:sz w:val="17"/>
          <w:szCs w:val="17"/>
        </w:rPr>
        <w:t xml:space="preserve"> </w:t>
      </w:r>
      <w:r>
        <w:rPr>
          <w:rFonts w:ascii="宋体" w:hAnsi="宋体" w:eastAsia="宋体" w:cs="宋体"/>
          <w:spacing w:val="9"/>
          <w:sz w:val="17"/>
          <w:szCs w:val="17"/>
        </w:rPr>
        <w:t>1组第一对阵第3组第一。第2组第一对阵第4组第一。</w:t>
      </w:r>
      <w:r>
        <w:rPr>
          <w:rFonts w:ascii="宋体" w:hAnsi="宋体" w:eastAsia="宋体" w:cs="宋体"/>
          <w:spacing w:val="5"/>
          <w:sz w:val="17"/>
          <w:szCs w:val="17"/>
        </w:rPr>
        <w:t xml:space="preserve"> </w:t>
      </w:r>
      <w:r>
        <w:rPr>
          <w:rFonts w:ascii="宋体" w:hAnsi="宋体" w:eastAsia="宋体" w:cs="宋体"/>
          <w:spacing w:val="6"/>
          <w:sz w:val="17"/>
          <w:szCs w:val="17"/>
        </w:rPr>
        <w:t>以此类推。24人以上分成4组进行循环赛，</w:t>
      </w:r>
      <w:r>
        <w:rPr>
          <w:rFonts w:ascii="宋体" w:hAnsi="宋体" w:eastAsia="宋体" w:cs="宋体"/>
          <w:spacing w:val="5"/>
          <w:sz w:val="17"/>
          <w:szCs w:val="17"/>
        </w:rPr>
        <w:t>决出小组名</w:t>
      </w:r>
      <w:r>
        <w:rPr>
          <w:rFonts w:ascii="宋体" w:hAnsi="宋体" w:eastAsia="宋体" w:cs="宋体"/>
          <w:sz w:val="17"/>
          <w:szCs w:val="17"/>
        </w:rPr>
        <w:t xml:space="preserve"> </w:t>
      </w:r>
      <w:r>
        <w:rPr>
          <w:rFonts w:ascii="宋体" w:hAnsi="宋体" w:eastAsia="宋体" w:cs="宋体"/>
          <w:spacing w:val="5"/>
          <w:sz w:val="17"/>
          <w:szCs w:val="17"/>
        </w:rPr>
        <w:t>次后进行同名次淘汰决出全部名次。赛制1局，21分每</w:t>
      </w:r>
      <w:r>
        <w:rPr>
          <w:rFonts w:ascii="宋体" w:hAnsi="宋体" w:eastAsia="宋体" w:cs="宋体"/>
          <w:spacing w:val="6"/>
          <w:sz w:val="17"/>
          <w:szCs w:val="17"/>
        </w:rPr>
        <w:t xml:space="preserve"> </w:t>
      </w:r>
      <w:r>
        <w:rPr>
          <w:rFonts w:ascii="宋体" w:hAnsi="宋体" w:eastAsia="宋体" w:cs="宋体"/>
          <w:spacing w:val="12"/>
          <w:sz w:val="17"/>
          <w:szCs w:val="17"/>
        </w:rPr>
        <w:t>球得分。第1组第一对阵第3组第一。第2组第一对阵</w:t>
      </w:r>
      <w:r>
        <w:rPr>
          <w:rFonts w:ascii="宋体" w:hAnsi="宋体" w:eastAsia="宋体" w:cs="宋体"/>
          <w:spacing w:val="13"/>
          <w:sz w:val="17"/>
          <w:szCs w:val="17"/>
        </w:rPr>
        <w:t xml:space="preserve"> </w:t>
      </w:r>
      <w:r>
        <w:rPr>
          <w:rFonts w:ascii="宋体" w:hAnsi="宋体" w:eastAsia="宋体" w:cs="宋体"/>
          <w:spacing w:val="5"/>
          <w:sz w:val="17"/>
          <w:szCs w:val="17"/>
        </w:rPr>
        <w:t>第4组第一。以此类推。</w:t>
      </w:r>
    </w:p>
    <w:p w14:paraId="4E578C89">
      <w:pPr>
        <w:spacing w:before="3" w:line="310" w:lineRule="auto"/>
        <w:ind w:left="60" w:right="373" w:firstLine="359"/>
        <w:rPr>
          <w:rFonts w:ascii="宋体" w:hAnsi="宋体" w:eastAsia="宋体" w:cs="宋体"/>
          <w:sz w:val="17"/>
          <w:szCs w:val="17"/>
        </w:rPr>
      </w:pPr>
      <w:r>
        <w:rPr>
          <w:rFonts w:ascii="宋体" w:hAnsi="宋体" w:eastAsia="宋体" w:cs="宋体"/>
          <w:spacing w:val="5"/>
          <w:sz w:val="17"/>
          <w:szCs w:val="17"/>
        </w:rPr>
        <w:t>比赛成绩=</w:t>
      </w:r>
      <w:r>
        <w:rPr>
          <w:rFonts w:ascii="Times New Roman" w:hAnsi="Times New Roman" w:eastAsia="Times New Roman" w:cs="Times New Roman"/>
          <w:spacing w:val="5"/>
          <w:sz w:val="17"/>
          <w:szCs w:val="17"/>
        </w:rPr>
        <w:t xml:space="preserve">N-R+1/N×90+60,   </w:t>
      </w:r>
      <w:r>
        <w:rPr>
          <w:rFonts w:ascii="宋体" w:hAnsi="宋体" w:eastAsia="宋体" w:cs="宋体"/>
          <w:spacing w:val="5"/>
          <w:sz w:val="17"/>
          <w:szCs w:val="17"/>
        </w:rPr>
        <w:t>其</w:t>
      </w:r>
      <w:r>
        <w:rPr>
          <w:rFonts w:ascii="宋体" w:hAnsi="宋体" w:eastAsia="宋体" w:cs="宋体"/>
          <w:spacing w:val="60"/>
          <w:sz w:val="17"/>
          <w:szCs w:val="17"/>
        </w:rPr>
        <w:t xml:space="preserve"> </w:t>
      </w:r>
      <w:r>
        <w:rPr>
          <w:rFonts w:ascii="宋体" w:hAnsi="宋体" w:eastAsia="宋体" w:cs="宋体"/>
          <w:spacing w:val="5"/>
          <w:sz w:val="17"/>
          <w:szCs w:val="17"/>
        </w:rPr>
        <w:t>中</w:t>
      </w:r>
      <w:r>
        <w:rPr>
          <w:rFonts w:ascii="Times New Roman" w:hAnsi="Times New Roman" w:eastAsia="Times New Roman" w:cs="Times New Roman"/>
          <w:spacing w:val="5"/>
          <w:sz w:val="17"/>
          <w:szCs w:val="17"/>
        </w:rPr>
        <w:t xml:space="preserve">N </w:t>
      </w:r>
      <w:r>
        <w:rPr>
          <w:rFonts w:ascii="宋体" w:hAnsi="宋体" w:eastAsia="宋体" w:cs="宋体"/>
          <w:spacing w:val="5"/>
          <w:sz w:val="17"/>
          <w:szCs w:val="17"/>
        </w:rPr>
        <w:t>为该专项考</w:t>
      </w:r>
      <w:r>
        <w:rPr>
          <w:rFonts w:ascii="宋体" w:hAnsi="宋体" w:eastAsia="宋体" w:cs="宋体"/>
          <w:sz w:val="17"/>
          <w:szCs w:val="17"/>
        </w:rPr>
        <w:t xml:space="preserve"> </w:t>
      </w:r>
      <w:r>
        <w:rPr>
          <w:rFonts w:ascii="宋体" w:hAnsi="宋体" w:eastAsia="宋体" w:cs="宋体"/>
          <w:spacing w:val="-4"/>
          <w:sz w:val="17"/>
          <w:szCs w:val="17"/>
        </w:rPr>
        <w:t>试人数，</w:t>
      </w:r>
      <w:r>
        <w:rPr>
          <w:rFonts w:ascii="Times New Roman" w:hAnsi="Times New Roman" w:eastAsia="Times New Roman" w:cs="Times New Roman"/>
          <w:spacing w:val="-4"/>
          <w:sz w:val="17"/>
          <w:szCs w:val="17"/>
        </w:rPr>
        <w:t xml:space="preserve">R </w:t>
      </w:r>
      <w:r>
        <w:rPr>
          <w:rFonts w:ascii="宋体" w:hAnsi="宋体" w:eastAsia="宋体" w:cs="宋体"/>
          <w:spacing w:val="-4"/>
          <w:sz w:val="17"/>
          <w:szCs w:val="17"/>
        </w:rPr>
        <w:t>为比赛名次。</w:t>
      </w:r>
    </w:p>
    <w:p w14:paraId="0CCF0ED4">
      <w:pPr>
        <w:spacing w:before="20" w:line="220" w:lineRule="auto"/>
        <w:ind w:left="63"/>
        <w:rPr>
          <w:rFonts w:ascii="宋体" w:hAnsi="宋体" w:eastAsia="宋体" w:cs="宋体"/>
          <w:sz w:val="23"/>
          <w:szCs w:val="23"/>
        </w:rPr>
      </w:pPr>
      <w:r>
        <w:rPr>
          <w:rFonts w:ascii="宋体" w:hAnsi="宋体" w:eastAsia="宋体" w:cs="宋体"/>
          <w:b/>
          <w:bCs/>
          <w:spacing w:val="-4"/>
          <w:sz w:val="23"/>
          <w:szCs w:val="23"/>
        </w:rPr>
        <w:t>七、手球</w:t>
      </w:r>
    </w:p>
    <w:p w14:paraId="682611D3">
      <w:pPr>
        <w:spacing w:before="84" w:line="219" w:lineRule="auto"/>
        <w:ind w:left="492"/>
        <w:rPr>
          <w:rFonts w:ascii="宋体" w:hAnsi="宋体" w:eastAsia="宋体" w:cs="宋体"/>
          <w:sz w:val="17"/>
          <w:szCs w:val="17"/>
        </w:rPr>
      </w:pPr>
      <w:r>
        <w:rPr>
          <w:rFonts w:ascii="宋体" w:hAnsi="宋体" w:eastAsia="宋体" w:cs="宋体"/>
          <w:b/>
          <w:bCs/>
          <w:spacing w:val="13"/>
          <w:sz w:val="17"/>
          <w:szCs w:val="17"/>
        </w:rPr>
        <w:t>(一)专项素质</w:t>
      </w:r>
    </w:p>
    <w:p w14:paraId="409DD40A">
      <w:pPr>
        <w:spacing w:before="88" w:line="184" w:lineRule="auto"/>
        <w:ind w:left="422"/>
        <w:rPr>
          <w:rFonts w:ascii="宋体" w:hAnsi="宋体" w:eastAsia="宋体" w:cs="宋体"/>
          <w:sz w:val="17"/>
          <w:szCs w:val="17"/>
        </w:rPr>
      </w:pPr>
      <w:r>
        <w:rPr>
          <w:rFonts w:ascii="宋体" w:hAnsi="宋体" w:eastAsia="宋体" w:cs="宋体"/>
          <w:b/>
          <w:bCs/>
          <w:spacing w:val="-4"/>
          <w:sz w:val="17"/>
          <w:szCs w:val="17"/>
        </w:rPr>
        <w:t>1、测试内容及分值</w:t>
      </w:r>
    </w:p>
    <w:p w14:paraId="790BB677">
      <w:pPr>
        <w:pStyle w:val="2"/>
        <w:spacing w:line="14" w:lineRule="auto"/>
        <w:rPr>
          <w:sz w:val="2"/>
        </w:rPr>
      </w:pPr>
      <w:r>
        <w:rPr>
          <w:sz w:val="2"/>
          <w:szCs w:val="2"/>
        </w:rPr>
        <w:br w:type="column"/>
      </w:r>
    </w:p>
    <w:p w14:paraId="6D8ED452">
      <w:pPr>
        <w:spacing w:before="32" w:line="219" w:lineRule="auto"/>
        <w:ind w:left="352"/>
        <w:rPr>
          <w:rFonts w:ascii="宋体" w:hAnsi="宋体" w:eastAsia="宋体" w:cs="宋体"/>
          <w:sz w:val="17"/>
          <w:szCs w:val="17"/>
        </w:rPr>
      </w:pPr>
      <w:r>
        <w:rPr>
          <w:rFonts w:ascii="宋体" w:hAnsi="宋体" w:eastAsia="宋体" w:cs="宋体"/>
          <w:b/>
          <w:bCs/>
          <w:spacing w:val="22"/>
          <w:w w:val="107"/>
          <w:sz w:val="17"/>
          <w:szCs w:val="17"/>
        </w:rPr>
        <w:t>20米×6折返跑(100分);掷远(100分);全</w:t>
      </w:r>
    </w:p>
    <w:p w14:paraId="2CDED530">
      <w:pPr>
        <w:spacing w:before="99" w:line="219" w:lineRule="auto"/>
        <w:rPr>
          <w:rFonts w:ascii="宋体" w:hAnsi="宋体" w:eastAsia="宋体" w:cs="宋体"/>
          <w:sz w:val="17"/>
          <w:szCs w:val="17"/>
        </w:rPr>
      </w:pPr>
      <w:r>
        <w:rPr>
          <w:rFonts w:ascii="宋体" w:hAnsi="宋体" w:eastAsia="宋体" w:cs="宋体"/>
          <w:spacing w:val="12"/>
          <w:sz w:val="17"/>
          <w:szCs w:val="17"/>
        </w:rPr>
        <w:t>场跑动、传球、射门(100分)。</w:t>
      </w:r>
    </w:p>
    <w:p w14:paraId="7E61C520">
      <w:pPr>
        <w:spacing w:before="80" w:line="221" w:lineRule="auto"/>
        <w:ind w:left="350"/>
        <w:rPr>
          <w:rFonts w:ascii="宋体" w:hAnsi="宋体" w:eastAsia="宋体" w:cs="宋体"/>
          <w:sz w:val="17"/>
          <w:szCs w:val="17"/>
        </w:rPr>
      </w:pPr>
      <w:r>
        <w:rPr>
          <w:rFonts w:ascii="宋体" w:hAnsi="宋体" w:eastAsia="宋体" w:cs="宋体"/>
          <w:spacing w:val="-1"/>
          <w:sz w:val="17"/>
          <w:szCs w:val="17"/>
        </w:rPr>
        <w:t>2、测试方法</w:t>
      </w:r>
    </w:p>
    <w:p w14:paraId="3588AAC4">
      <w:pPr>
        <w:spacing w:before="82" w:line="311" w:lineRule="auto"/>
        <w:ind w:right="64" w:firstLine="350"/>
        <w:rPr>
          <w:rFonts w:ascii="宋体" w:hAnsi="宋体" w:eastAsia="宋体" w:cs="宋体"/>
          <w:sz w:val="17"/>
          <w:szCs w:val="17"/>
        </w:rPr>
      </w:pPr>
      <w:r>
        <w:rPr>
          <w:rFonts w:ascii="宋体" w:hAnsi="宋体" w:eastAsia="宋体" w:cs="宋体"/>
          <w:spacing w:val="5"/>
          <w:sz w:val="17"/>
          <w:szCs w:val="17"/>
        </w:rPr>
        <w:t>20米×6折返跑测试方法：在手球场地的中线处放</w:t>
      </w:r>
      <w:r>
        <w:rPr>
          <w:rFonts w:ascii="宋体" w:hAnsi="宋体" w:eastAsia="宋体" w:cs="宋体"/>
          <w:spacing w:val="15"/>
          <w:sz w:val="17"/>
          <w:szCs w:val="17"/>
        </w:rPr>
        <w:t xml:space="preserve"> </w:t>
      </w:r>
      <w:r>
        <w:rPr>
          <w:rFonts w:ascii="宋体" w:hAnsi="宋体" w:eastAsia="宋体" w:cs="宋体"/>
          <w:spacing w:val="9"/>
          <w:sz w:val="17"/>
          <w:szCs w:val="17"/>
        </w:rPr>
        <w:t xml:space="preserve">一高约30厘米的标志物，在该标志物直线距离的场地 </w:t>
      </w:r>
      <w:r>
        <w:rPr>
          <w:rFonts w:ascii="宋体" w:hAnsi="宋体" w:eastAsia="宋体" w:cs="宋体"/>
          <w:spacing w:val="3"/>
          <w:sz w:val="17"/>
          <w:szCs w:val="17"/>
        </w:rPr>
        <w:t>端线一侧放一同样的标志物。测试者从中线标志</w:t>
      </w:r>
      <w:r>
        <w:rPr>
          <w:rFonts w:ascii="宋体" w:hAnsi="宋体" w:eastAsia="宋体" w:cs="宋体"/>
          <w:spacing w:val="2"/>
          <w:sz w:val="17"/>
          <w:szCs w:val="17"/>
        </w:rPr>
        <w:t>物后出</w:t>
      </w:r>
      <w:r>
        <w:rPr>
          <w:rFonts w:ascii="宋体" w:hAnsi="宋体" w:eastAsia="宋体" w:cs="宋体"/>
          <w:sz w:val="17"/>
          <w:szCs w:val="17"/>
        </w:rPr>
        <w:t xml:space="preserve"> </w:t>
      </w:r>
      <w:r>
        <w:rPr>
          <w:rFonts w:ascii="宋体" w:hAnsi="宋体" w:eastAsia="宋体" w:cs="宋体"/>
          <w:spacing w:val="2"/>
          <w:sz w:val="17"/>
          <w:szCs w:val="17"/>
        </w:rPr>
        <w:t>发开始计时，跑至对面端线处将标志物推倒后返回，至</w:t>
      </w:r>
      <w:r>
        <w:rPr>
          <w:rFonts w:ascii="宋体" w:hAnsi="宋体" w:eastAsia="宋体" w:cs="宋体"/>
          <w:spacing w:val="9"/>
          <w:sz w:val="17"/>
          <w:szCs w:val="17"/>
        </w:rPr>
        <w:t xml:space="preserve"> </w:t>
      </w:r>
      <w:r>
        <w:rPr>
          <w:rFonts w:ascii="宋体" w:hAnsi="宋体" w:eastAsia="宋体" w:cs="宋体"/>
          <w:spacing w:val="6"/>
          <w:sz w:val="17"/>
          <w:szCs w:val="17"/>
        </w:rPr>
        <w:t>中线处将标志物推倒后再折返。往返3次，最后向中线</w:t>
      </w:r>
      <w:r>
        <w:rPr>
          <w:rFonts w:ascii="宋体" w:hAnsi="宋体" w:eastAsia="宋体" w:cs="宋体"/>
          <w:spacing w:val="2"/>
          <w:sz w:val="17"/>
          <w:szCs w:val="17"/>
        </w:rPr>
        <w:t xml:space="preserve"> </w:t>
      </w:r>
      <w:r>
        <w:rPr>
          <w:rFonts w:ascii="宋体" w:hAnsi="宋体" w:eastAsia="宋体" w:cs="宋体"/>
          <w:spacing w:val="-1"/>
          <w:sz w:val="17"/>
          <w:szCs w:val="17"/>
        </w:rPr>
        <w:t>方向冲刺。要求每次都必须将标志物推倒后方可折返。</w:t>
      </w:r>
    </w:p>
    <w:p w14:paraId="60F0BF66">
      <w:pPr>
        <w:spacing w:before="22" w:line="312" w:lineRule="auto"/>
        <w:ind w:firstLine="350"/>
        <w:rPr>
          <w:rFonts w:ascii="宋体" w:hAnsi="宋体" w:eastAsia="宋体" w:cs="宋体"/>
          <w:sz w:val="17"/>
          <w:szCs w:val="17"/>
        </w:rPr>
      </w:pPr>
      <w:r>
        <w:rPr>
          <w:rFonts w:ascii="宋体" w:hAnsi="宋体" w:eastAsia="宋体" w:cs="宋体"/>
          <w:spacing w:val="2"/>
          <w:sz w:val="17"/>
          <w:szCs w:val="17"/>
        </w:rPr>
        <w:t xml:space="preserve">掷远测试方法：在田径场跑道上进行，也可在适宜  </w:t>
      </w:r>
      <w:r>
        <w:rPr>
          <w:rFonts w:ascii="宋体" w:hAnsi="宋体" w:eastAsia="宋体" w:cs="宋体"/>
          <w:spacing w:val="13"/>
          <w:sz w:val="17"/>
          <w:szCs w:val="17"/>
        </w:rPr>
        <w:t>的空地上进行。掷远区域宽约8米—10米，长至少应</w:t>
      </w:r>
      <w:r>
        <w:rPr>
          <w:rFonts w:ascii="宋体" w:hAnsi="宋体" w:eastAsia="宋体" w:cs="宋体"/>
          <w:sz w:val="17"/>
          <w:szCs w:val="17"/>
        </w:rPr>
        <w:t xml:space="preserve">  </w:t>
      </w:r>
      <w:r>
        <w:rPr>
          <w:rFonts w:ascii="宋体" w:hAnsi="宋体" w:eastAsia="宋体" w:cs="宋体"/>
          <w:spacing w:val="9"/>
          <w:sz w:val="17"/>
          <w:szCs w:val="17"/>
        </w:rPr>
        <w:t>该有45米；在掷远区域长的一端设一条宽5厘米、长3</w:t>
      </w:r>
      <w:r>
        <w:rPr>
          <w:rFonts w:ascii="宋体" w:hAnsi="宋体" w:eastAsia="宋体" w:cs="宋体"/>
          <w:spacing w:val="2"/>
          <w:sz w:val="17"/>
          <w:szCs w:val="17"/>
        </w:rPr>
        <w:t xml:space="preserve">  米的投掷线。测试者掷远时球出手前踩踏或超越了投掷</w:t>
      </w:r>
      <w:r>
        <w:rPr>
          <w:rFonts w:ascii="宋体" w:hAnsi="宋体" w:eastAsia="宋体" w:cs="宋体"/>
          <w:spacing w:val="4"/>
          <w:sz w:val="17"/>
          <w:szCs w:val="17"/>
        </w:rPr>
        <w:t xml:space="preserve">  </w:t>
      </w:r>
      <w:r>
        <w:rPr>
          <w:rFonts w:ascii="宋体" w:hAnsi="宋体" w:eastAsia="宋体" w:cs="宋体"/>
          <w:spacing w:val="6"/>
          <w:sz w:val="17"/>
          <w:szCs w:val="17"/>
        </w:rPr>
        <w:t>线即被判该次掷球无效；掷远时将球掷出8米宽以外的</w:t>
      </w:r>
      <w:r>
        <w:rPr>
          <w:rFonts w:ascii="宋体" w:hAnsi="宋体" w:eastAsia="宋体" w:cs="宋体"/>
          <w:spacing w:val="1"/>
          <w:sz w:val="17"/>
          <w:szCs w:val="17"/>
        </w:rPr>
        <w:t xml:space="preserve">  </w:t>
      </w:r>
      <w:r>
        <w:rPr>
          <w:rFonts w:ascii="宋体" w:hAnsi="宋体" w:eastAsia="宋体" w:cs="宋体"/>
          <w:spacing w:val="2"/>
          <w:sz w:val="17"/>
          <w:szCs w:val="17"/>
        </w:rPr>
        <w:t>区域亦被判该次掷球无效；按照手球规则，掷远助跑不</w:t>
      </w:r>
      <w:r>
        <w:rPr>
          <w:rFonts w:ascii="宋体" w:hAnsi="宋体" w:eastAsia="宋体" w:cs="宋体"/>
          <w:spacing w:val="5"/>
          <w:sz w:val="17"/>
          <w:szCs w:val="17"/>
        </w:rPr>
        <w:t xml:space="preserve">  得超过三步(不得运球)。每名测试者有两次测试机会，</w:t>
      </w:r>
      <w:r>
        <w:rPr>
          <w:rFonts w:ascii="宋体" w:hAnsi="宋体" w:eastAsia="宋体" w:cs="宋体"/>
          <w:spacing w:val="8"/>
          <w:sz w:val="17"/>
          <w:szCs w:val="17"/>
        </w:rPr>
        <w:t xml:space="preserve"> </w:t>
      </w:r>
      <w:r>
        <w:rPr>
          <w:rFonts w:ascii="宋体" w:hAnsi="宋体" w:eastAsia="宋体" w:cs="宋体"/>
          <w:sz w:val="17"/>
          <w:szCs w:val="17"/>
        </w:rPr>
        <w:t>取最好一次的成绩。</w:t>
      </w:r>
    </w:p>
    <w:p w14:paraId="142F85B9">
      <w:pPr>
        <w:spacing w:before="20" w:line="313" w:lineRule="auto"/>
        <w:ind w:right="66" w:firstLine="350"/>
        <w:jc w:val="both"/>
        <w:rPr>
          <w:rFonts w:ascii="宋体" w:hAnsi="宋体" w:eastAsia="宋体" w:cs="宋体"/>
          <w:sz w:val="17"/>
          <w:szCs w:val="17"/>
        </w:rPr>
      </w:pPr>
      <w:r>
        <w:rPr>
          <w:rFonts w:ascii="宋体" w:hAnsi="宋体" w:eastAsia="宋体" w:cs="宋体"/>
          <w:spacing w:val="2"/>
          <w:sz w:val="17"/>
          <w:szCs w:val="17"/>
        </w:rPr>
        <w:t>全场跑动、传球、射门测试方法：考生从场地右侧</w:t>
      </w:r>
      <w:r>
        <w:rPr>
          <w:rFonts w:ascii="宋体" w:hAnsi="宋体" w:eastAsia="宋体" w:cs="宋体"/>
          <w:spacing w:val="6"/>
          <w:sz w:val="17"/>
          <w:szCs w:val="17"/>
        </w:rPr>
        <w:t xml:space="preserve"> </w:t>
      </w:r>
      <w:r>
        <w:rPr>
          <w:rFonts w:ascii="宋体" w:hAnsi="宋体" w:eastAsia="宋体" w:cs="宋体"/>
          <w:spacing w:val="11"/>
          <w:sz w:val="17"/>
          <w:szCs w:val="17"/>
        </w:rPr>
        <w:t>任意球和边线的交点处出发(自行出发，计时开始),</w:t>
      </w:r>
      <w:r>
        <w:rPr>
          <w:rFonts w:ascii="宋体" w:hAnsi="宋体" w:eastAsia="宋体" w:cs="宋体"/>
          <w:spacing w:val="2"/>
          <w:sz w:val="17"/>
          <w:szCs w:val="17"/>
        </w:rPr>
        <w:t xml:space="preserve"> </w:t>
      </w:r>
      <w:r>
        <w:rPr>
          <w:rFonts w:ascii="宋体" w:hAnsi="宋体" w:eastAsia="宋体" w:cs="宋体"/>
          <w:spacing w:val="6"/>
          <w:sz w:val="17"/>
          <w:szCs w:val="17"/>
        </w:rPr>
        <w:t>至7米球线处捡起地上的球向前场的左侧任意球线45°</w:t>
      </w:r>
      <w:r>
        <w:rPr>
          <w:rFonts w:ascii="宋体" w:hAnsi="宋体" w:eastAsia="宋体" w:cs="宋体"/>
          <w:spacing w:val="2"/>
          <w:sz w:val="17"/>
          <w:szCs w:val="17"/>
        </w:rPr>
        <w:t xml:space="preserve"> </w:t>
      </w:r>
      <w:r>
        <w:rPr>
          <w:rFonts w:ascii="宋体" w:hAnsi="宋体" w:eastAsia="宋体" w:cs="宋体"/>
          <w:spacing w:val="13"/>
          <w:sz w:val="17"/>
          <w:szCs w:val="17"/>
        </w:rPr>
        <w:t>角位置作跑动传球(传球到位，球不能落地),传球后</w:t>
      </w:r>
      <w:r>
        <w:rPr>
          <w:rFonts w:ascii="宋体" w:hAnsi="宋体" w:eastAsia="宋体" w:cs="宋体"/>
          <w:spacing w:val="4"/>
          <w:sz w:val="17"/>
          <w:szCs w:val="17"/>
        </w:rPr>
        <w:t xml:space="preserve"> </w:t>
      </w:r>
      <w:r>
        <w:rPr>
          <w:rFonts w:ascii="宋体" w:hAnsi="宋体" w:eastAsia="宋体" w:cs="宋体"/>
          <w:spacing w:val="12"/>
          <w:sz w:val="17"/>
          <w:szCs w:val="17"/>
        </w:rPr>
        <w:t>向前方左侧中线和边线的交点跑动(到位捡球),捡起</w:t>
      </w:r>
      <w:r>
        <w:rPr>
          <w:rFonts w:ascii="宋体" w:hAnsi="宋体" w:eastAsia="宋体" w:cs="宋体"/>
          <w:spacing w:val="3"/>
          <w:sz w:val="17"/>
          <w:szCs w:val="17"/>
        </w:rPr>
        <w:t xml:space="preserve"> </w:t>
      </w:r>
      <w:r>
        <w:rPr>
          <w:rFonts w:ascii="宋体" w:hAnsi="宋体" w:eastAsia="宋体" w:cs="宋体"/>
          <w:spacing w:val="6"/>
          <w:sz w:val="17"/>
          <w:szCs w:val="17"/>
        </w:rPr>
        <w:t>置于中线和边线交点地上的球后自行运球至前方</w:t>
      </w:r>
      <w:r>
        <w:rPr>
          <w:rFonts w:ascii="宋体" w:hAnsi="宋体" w:eastAsia="宋体" w:cs="宋体"/>
          <w:spacing w:val="5"/>
          <w:sz w:val="17"/>
          <w:szCs w:val="17"/>
        </w:rPr>
        <w:t>7米球</w:t>
      </w:r>
      <w:r>
        <w:rPr>
          <w:rFonts w:ascii="宋体" w:hAnsi="宋体" w:eastAsia="宋体" w:cs="宋体"/>
          <w:sz w:val="17"/>
          <w:szCs w:val="17"/>
        </w:rPr>
        <w:t xml:space="preserve"> </w:t>
      </w:r>
      <w:r>
        <w:rPr>
          <w:rFonts w:ascii="宋体" w:hAnsi="宋体" w:eastAsia="宋体" w:cs="宋体"/>
          <w:spacing w:val="2"/>
          <w:sz w:val="17"/>
          <w:szCs w:val="17"/>
        </w:rPr>
        <w:t>线处作跳起射门；射门后触球门柱返回向另一侧球门区</w:t>
      </w:r>
      <w:r>
        <w:rPr>
          <w:rFonts w:ascii="宋体" w:hAnsi="宋体" w:eastAsia="宋体" w:cs="宋体"/>
          <w:spacing w:val="15"/>
          <w:sz w:val="17"/>
          <w:szCs w:val="17"/>
        </w:rPr>
        <w:t xml:space="preserve"> </w:t>
      </w:r>
      <w:r>
        <w:rPr>
          <w:rFonts w:ascii="宋体" w:hAnsi="宋体" w:eastAsia="宋体" w:cs="宋体"/>
          <w:spacing w:val="2"/>
          <w:sz w:val="17"/>
          <w:szCs w:val="17"/>
        </w:rPr>
        <w:t>后右侧端线和边线的交界处冲刺，在端线和边线交点处</w:t>
      </w:r>
      <w:r>
        <w:rPr>
          <w:rFonts w:ascii="宋体" w:hAnsi="宋体" w:eastAsia="宋体" w:cs="宋体"/>
          <w:spacing w:val="8"/>
          <w:sz w:val="17"/>
          <w:szCs w:val="17"/>
        </w:rPr>
        <w:t xml:space="preserve"> </w:t>
      </w:r>
      <w:r>
        <w:rPr>
          <w:rFonts w:ascii="宋体" w:hAnsi="宋体" w:eastAsia="宋体" w:cs="宋体"/>
          <w:spacing w:val="6"/>
          <w:sz w:val="17"/>
          <w:szCs w:val="17"/>
        </w:rPr>
        <w:t>捡球向本场任意球线的中间作原地传球(传球到</w:t>
      </w:r>
      <w:r>
        <w:rPr>
          <w:rFonts w:ascii="宋体" w:hAnsi="宋体" w:eastAsia="宋体" w:cs="宋体"/>
          <w:spacing w:val="5"/>
          <w:sz w:val="17"/>
          <w:szCs w:val="17"/>
        </w:rPr>
        <w:t>位，球</w:t>
      </w:r>
      <w:r>
        <w:rPr>
          <w:rFonts w:ascii="宋体" w:hAnsi="宋体" w:eastAsia="宋体" w:cs="宋体"/>
          <w:sz w:val="17"/>
          <w:szCs w:val="17"/>
        </w:rPr>
        <w:t xml:space="preserve"> </w:t>
      </w:r>
      <w:r>
        <w:rPr>
          <w:rFonts w:ascii="宋体" w:hAnsi="宋体" w:eastAsia="宋体" w:cs="宋体"/>
          <w:spacing w:val="13"/>
          <w:sz w:val="17"/>
          <w:szCs w:val="17"/>
        </w:rPr>
        <w:t>不落地),传球后快速向7米球线处移动，捡起地上的</w:t>
      </w:r>
      <w:r>
        <w:rPr>
          <w:rFonts w:ascii="宋体" w:hAnsi="宋体" w:eastAsia="宋体" w:cs="宋体"/>
          <w:spacing w:val="5"/>
          <w:sz w:val="17"/>
          <w:szCs w:val="17"/>
        </w:rPr>
        <w:t xml:space="preserve"> </w:t>
      </w:r>
      <w:r>
        <w:rPr>
          <w:rFonts w:ascii="宋体" w:hAnsi="宋体" w:eastAsia="宋体" w:cs="宋体"/>
          <w:spacing w:val="9"/>
          <w:sz w:val="17"/>
          <w:szCs w:val="17"/>
        </w:rPr>
        <w:t>球作后转身倒地射门(计时停止)。</w:t>
      </w:r>
    </w:p>
    <w:p w14:paraId="4872FB30">
      <w:pPr>
        <w:spacing w:before="25" w:line="220" w:lineRule="auto"/>
        <w:ind w:left="350"/>
        <w:rPr>
          <w:rFonts w:ascii="宋体" w:hAnsi="宋体" w:eastAsia="宋体" w:cs="宋体"/>
          <w:sz w:val="17"/>
          <w:szCs w:val="17"/>
        </w:rPr>
      </w:pPr>
      <w:r>
        <w:rPr>
          <w:rFonts w:ascii="宋体" w:hAnsi="宋体" w:eastAsia="宋体" w:cs="宋体"/>
          <w:spacing w:val="12"/>
          <w:sz w:val="17"/>
          <w:szCs w:val="17"/>
        </w:rPr>
        <w:t>(二)专项技能</w:t>
      </w:r>
    </w:p>
    <w:p w14:paraId="25CCAAC3">
      <w:pPr>
        <w:spacing w:before="86" w:line="313" w:lineRule="auto"/>
        <w:ind w:left="350" w:right="2407"/>
        <w:rPr>
          <w:rFonts w:ascii="宋体" w:hAnsi="宋体" w:eastAsia="宋体" w:cs="宋体"/>
          <w:sz w:val="17"/>
          <w:szCs w:val="17"/>
        </w:rPr>
      </w:pPr>
      <w:r>
        <w:rPr>
          <w:rFonts w:ascii="宋体" w:hAnsi="宋体" w:eastAsia="宋体" w:cs="宋体"/>
          <w:spacing w:val="-4"/>
          <w:sz w:val="17"/>
          <w:szCs w:val="17"/>
        </w:rPr>
        <w:t>1、测试内容及分值</w:t>
      </w:r>
      <w:r>
        <w:rPr>
          <w:rFonts w:ascii="宋体" w:hAnsi="宋体" w:eastAsia="宋体" w:cs="宋体"/>
          <w:spacing w:val="2"/>
          <w:sz w:val="17"/>
          <w:szCs w:val="17"/>
        </w:rPr>
        <w:t xml:space="preserve"> </w:t>
      </w:r>
      <w:r>
        <w:rPr>
          <w:rFonts w:ascii="宋体" w:hAnsi="宋体" w:eastAsia="宋体" w:cs="宋体"/>
          <w:spacing w:val="18"/>
          <w:sz w:val="17"/>
          <w:szCs w:val="17"/>
        </w:rPr>
        <w:t>实战比赛(150分)</w:t>
      </w:r>
    </w:p>
    <w:p w14:paraId="77EAA279">
      <w:pPr>
        <w:spacing w:before="5" w:line="221" w:lineRule="auto"/>
        <w:ind w:left="350"/>
        <w:rPr>
          <w:rFonts w:ascii="宋体" w:hAnsi="宋体" w:eastAsia="宋体" w:cs="宋体"/>
          <w:sz w:val="17"/>
          <w:szCs w:val="17"/>
        </w:rPr>
      </w:pPr>
      <w:r>
        <w:rPr>
          <w:rFonts w:ascii="宋体" w:hAnsi="宋体" w:eastAsia="宋体" w:cs="宋体"/>
          <w:spacing w:val="-2"/>
          <w:sz w:val="17"/>
          <w:szCs w:val="17"/>
        </w:rPr>
        <w:t>2、测试方法</w:t>
      </w:r>
    </w:p>
    <w:p w14:paraId="550E444E">
      <w:pPr>
        <w:spacing w:before="86" w:line="322" w:lineRule="auto"/>
        <w:ind w:right="3" w:firstLine="350"/>
        <w:jc w:val="both"/>
        <w:rPr>
          <w:rFonts w:ascii="宋体" w:hAnsi="宋体" w:eastAsia="宋体" w:cs="宋体"/>
          <w:sz w:val="14"/>
          <w:szCs w:val="14"/>
        </w:rPr>
      </w:pPr>
      <w:r>
        <w:rPr>
          <w:rFonts w:ascii="宋体" w:hAnsi="宋体" w:eastAsia="宋体" w:cs="宋体"/>
          <w:spacing w:val="-2"/>
          <w:sz w:val="17"/>
          <w:szCs w:val="17"/>
        </w:rPr>
        <w:t>实战比赛：按指定顺序将考生分成若干个比</w:t>
      </w:r>
      <w:r>
        <w:rPr>
          <w:rFonts w:ascii="宋体" w:hAnsi="宋体" w:eastAsia="宋体" w:cs="宋体"/>
          <w:spacing w:val="-3"/>
          <w:sz w:val="17"/>
          <w:szCs w:val="17"/>
        </w:rPr>
        <w:t>赛阵容，</w:t>
      </w:r>
      <w:r>
        <w:rPr>
          <w:rFonts w:ascii="宋体" w:hAnsi="宋体" w:eastAsia="宋体" w:cs="宋体"/>
          <w:sz w:val="17"/>
          <w:szCs w:val="17"/>
        </w:rPr>
        <w:t xml:space="preserve"> </w:t>
      </w:r>
      <w:r>
        <w:rPr>
          <w:rFonts w:ascii="宋体" w:hAnsi="宋体" w:eastAsia="宋体" w:cs="宋体"/>
          <w:spacing w:val="9"/>
          <w:sz w:val="17"/>
          <w:szCs w:val="17"/>
        </w:rPr>
        <w:t>每个阵容各进行5-10分钟的分队比赛，通过比赛实践</w:t>
      </w:r>
      <w:r>
        <w:rPr>
          <w:rFonts w:ascii="宋体" w:hAnsi="宋体" w:eastAsia="宋体" w:cs="宋体"/>
          <w:spacing w:val="1"/>
          <w:sz w:val="17"/>
          <w:szCs w:val="17"/>
        </w:rPr>
        <w:t xml:space="preserve">  </w:t>
      </w:r>
      <w:r>
        <w:rPr>
          <w:rFonts w:ascii="宋体" w:hAnsi="宋体" w:eastAsia="宋体" w:cs="宋体"/>
          <w:spacing w:val="9"/>
          <w:sz w:val="17"/>
          <w:szCs w:val="17"/>
        </w:rPr>
        <w:t>观察测试运动员在比赛中运用技术的能力和战术配合</w:t>
      </w:r>
      <w:r>
        <w:rPr>
          <w:rFonts w:ascii="宋体" w:hAnsi="宋体" w:eastAsia="宋体" w:cs="宋体"/>
          <w:sz w:val="17"/>
          <w:szCs w:val="17"/>
        </w:rPr>
        <w:t xml:space="preserve">  </w:t>
      </w:r>
      <w:r>
        <w:rPr>
          <w:rFonts w:ascii="宋体" w:hAnsi="宋体" w:eastAsia="宋体" w:cs="宋体"/>
          <w:spacing w:val="-6"/>
          <w:sz w:val="14"/>
          <w:szCs w:val="14"/>
        </w:rPr>
        <w:t>意</w:t>
      </w:r>
      <w:r>
        <w:rPr>
          <w:rFonts w:ascii="宋体" w:hAnsi="宋体" w:eastAsia="宋体" w:cs="宋体"/>
          <w:spacing w:val="-13"/>
          <w:sz w:val="14"/>
          <w:szCs w:val="14"/>
        </w:rPr>
        <w:t xml:space="preserve"> </w:t>
      </w:r>
      <w:r>
        <w:rPr>
          <w:rFonts w:ascii="宋体" w:hAnsi="宋体" w:eastAsia="宋体" w:cs="宋体"/>
          <w:spacing w:val="-6"/>
          <w:sz w:val="14"/>
          <w:szCs w:val="14"/>
        </w:rPr>
        <w:t>识</w:t>
      </w:r>
      <w:r>
        <w:rPr>
          <w:rFonts w:ascii="宋体" w:hAnsi="宋体" w:eastAsia="宋体" w:cs="宋体"/>
          <w:spacing w:val="-20"/>
          <w:sz w:val="14"/>
          <w:szCs w:val="14"/>
        </w:rPr>
        <w:t xml:space="preserve"> </w:t>
      </w:r>
      <w:r>
        <w:rPr>
          <w:rFonts w:ascii="宋体" w:hAnsi="宋体" w:eastAsia="宋体" w:cs="宋体"/>
          <w:spacing w:val="-6"/>
          <w:sz w:val="14"/>
          <w:szCs w:val="14"/>
        </w:rPr>
        <w:t>。</w:t>
      </w:r>
    </w:p>
    <w:p w14:paraId="4D5D69C7">
      <w:pPr>
        <w:spacing w:before="26" w:line="220" w:lineRule="auto"/>
        <w:ind w:left="3"/>
        <w:rPr>
          <w:rFonts w:ascii="宋体" w:hAnsi="宋体" w:eastAsia="宋体" w:cs="宋体"/>
          <w:sz w:val="23"/>
          <w:szCs w:val="23"/>
        </w:rPr>
      </w:pPr>
      <w:r>
        <w:rPr>
          <w:rFonts w:ascii="宋体" w:hAnsi="宋体" w:eastAsia="宋体" w:cs="宋体"/>
          <w:b/>
          <w:bCs/>
          <w:spacing w:val="-4"/>
          <w:sz w:val="23"/>
          <w:szCs w:val="23"/>
        </w:rPr>
        <w:t>八、划船</w:t>
      </w:r>
    </w:p>
    <w:p w14:paraId="57916D4D">
      <w:pPr>
        <w:spacing w:before="96" w:line="219" w:lineRule="auto"/>
        <w:ind w:left="350"/>
        <w:rPr>
          <w:rFonts w:ascii="宋体" w:hAnsi="宋体" w:eastAsia="宋体" w:cs="宋体"/>
          <w:sz w:val="17"/>
          <w:szCs w:val="17"/>
        </w:rPr>
      </w:pPr>
      <w:r>
        <w:rPr>
          <w:rFonts w:ascii="宋体" w:hAnsi="宋体" w:eastAsia="宋体" w:cs="宋体"/>
          <w:spacing w:val="14"/>
          <w:sz w:val="17"/>
          <w:szCs w:val="17"/>
        </w:rPr>
        <w:t>(一)专项素质</w:t>
      </w:r>
    </w:p>
    <w:p w14:paraId="40E58A89">
      <w:pPr>
        <w:spacing w:before="88" w:line="219" w:lineRule="auto"/>
        <w:ind w:left="350"/>
        <w:rPr>
          <w:rFonts w:ascii="宋体" w:hAnsi="宋体" w:eastAsia="宋体" w:cs="宋体"/>
          <w:sz w:val="17"/>
          <w:szCs w:val="17"/>
        </w:rPr>
      </w:pPr>
      <w:r>
        <w:rPr>
          <w:rFonts w:ascii="宋体" w:hAnsi="宋体" w:eastAsia="宋体" w:cs="宋体"/>
          <w:spacing w:val="-3"/>
          <w:sz w:val="17"/>
          <w:szCs w:val="17"/>
        </w:rPr>
        <w:t>1、测试内容及分值</w:t>
      </w:r>
    </w:p>
    <w:p w14:paraId="50D01EA1">
      <w:pPr>
        <w:spacing w:before="79" w:line="219" w:lineRule="auto"/>
        <w:ind w:left="350"/>
        <w:rPr>
          <w:rFonts w:ascii="宋体" w:hAnsi="宋体" w:eastAsia="宋体" w:cs="宋体"/>
          <w:sz w:val="17"/>
          <w:szCs w:val="17"/>
        </w:rPr>
      </w:pPr>
      <w:r>
        <w:rPr>
          <w:rFonts w:ascii="宋体" w:hAnsi="宋体" w:eastAsia="宋体" w:cs="宋体"/>
          <w:spacing w:val="19"/>
          <w:w w:val="109"/>
          <w:sz w:val="17"/>
          <w:szCs w:val="17"/>
        </w:rPr>
        <w:t>1500米(男子)800米(女子)(150分);测功</w:t>
      </w:r>
    </w:p>
    <w:p w14:paraId="751B426D">
      <w:pPr>
        <w:spacing w:before="86" w:line="219" w:lineRule="auto"/>
        <w:ind w:left="2"/>
        <w:rPr>
          <w:rFonts w:ascii="宋体" w:hAnsi="宋体" w:eastAsia="宋体" w:cs="宋体"/>
          <w:sz w:val="17"/>
          <w:szCs w:val="17"/>
        </w:rPr>
      </w:pPr>
      <w:r>
        <w:rPr>
          <w:rFonts w:ascii="宋体" w:hAnsi="宋体" w:eastAsia="宋体" w:cs="宋体"/>
          <w:b/>
          <w:bCs/>
          <w:spacing w:val="8"/>
          <w:sz w:val="17"/>
          <w:szCs w:val="17"/>
        </w:rPr>
        <w:t>仪测试：赛艇2000米，皮艇、划艇1000米(150分)。</w:t>
      </w:r>
    </w:p>
    <w:p w14:paraId="5BDE715B">
      <w:pPr>
        <w:spacing w:before="89" w:line="221" w:lineRule="auto"/>
        <w:ind w:left="352"/>
        <w:rPr>
          <w:rFonts w:ascii="宋体" w:hAnsi="宋体" w:eastAsia="宋体" w:cs="宋体"/>
          <w:sz w:val="17"/>
          <w:szCs w:val="17"/>
        </w:rPr>
      </w:pPr>
      <w:r>
        <w:rPr>
          <w:rFonts w:ascii="宋体" w:hAnsi="宋体" w:eastAsia="宋体" w:cs="宋体"/>
          <w:b/>
          <w:bCs/>
          <w:spacing w:val="-4"/>
          <w:sz w:val="17"/>
          <w:szCs w:val="17"/>
        </w:rPr>
        <w:t>2、测试方法</w:t>
      </w:r>
    </w:p>
    <w:p w14:paraId="0928115A">
      <w:pPr>
        <w:spacing w:before="86" w:line="184" w:lineRule="auto"/>
        <w:ind w:left="352"/>
        <w:rPr>
          <w:rFonts w:ascii="宋体" w:hAnsi="宋体" w:eastAsia="宋体" w:cs="宋体"/>
          <w:sz w:val="17"/>
          <w:szCs w:val="17"/>
        </w:rPr>
      </w:pPr>
      <w:r>
        <w:rPr>
          <w:rFonts w:ascii="宋体" w:hAnsi="宋体" w:eastAsia="宋体" w:cs="宋体"/>
          <w:b/>
          <w:bCs/>
          <w:spacing w:val="2"/>
          <w:sz w:val="17"/>
          <w:szCs w:val="17"/>
        </w:rPr>
        <w:t>中长距离跑步测试方法：在标准的400米田径场地</w:t>
      </w:r>
    </w:p>
    <w:p w14:paraId="445C23E1">
      <w:pPr>
        <w:spacing w:line="184" w:lineRule="auto"/>
        <w:rPr>
          <w:rFonts w:ascii="宋体" w:hAnsi="宋体" w:eastAsia="宋体" w:cs="宋体"/>
          <w:sz w:val="17"/>
          <w:szCs w:val="17"/>
        </w:rPr>
        <w:sectPr>
          <w:type w:val="continuous"/>
          <w:pgSz w:w="10660" w:h="15080"/>
          <w:pgMar w:top="400" w:right="975" w:bottom="896" w:left="809" w:header="0" w:footer="743" w:gutter="0"/>
          <w:cols w:equalWidth="0" w:num="2">
            <w:col w:w="4561" w:space="100"/>
            <w:col w:w="4215"/>
          </w:cols>
        </w:sectPr>
      </w:pPr>
    </w:p>
    <w:p w14:paraId="54FD1E9E">
      <w:pPr>
        <w:spacing w:before="2"/>
      </w:pPr>
    </w:p>
    <w:p w14:paraId="047D876B">
      <w:pPr>
        <w:spacing w:before="1"/>
      </w:pPr>
    </w:p>
    <w:p w14:paraId="7F807B49">
      <w:pPr>
        <w:spacing w:before="1"/>
      </w:pPr>
    </w:p>
    <w:p w14:paraId="2F4348B6">
      <w:pPr>
        <w:spacing w:before="1"/>
      </w:pPr>
    </w:p>
    <w:p w14:paraId="2E1565A5">
      <w:pPr>
        <w:sectPr>
          <w:footerReference r:id="rId153" w:type="default"/>
          <w:pgSz w:w="10660" w:h="15080"/>
          <w:pgMar w:top="400" w:right="837" w:bottom="898" w:left="1019" w:header="0" w:footer="745" w:gutter="0"/>
          <w:cols w:equalWidth="0" w:num="1">
            <w:col w:w="8803"/>
          </w:cols>
        </w:sectPr>
      </w:pPr>
    </w:p>
    <w:p w14:paraId="600F2306">
      <w:pPr>
        <w:spacing w:before="36" w:line="311" w:lineRule="auto"/>
        <w:ind w:right="360"/>
        <w:rPr>
          <w:rFonts w:ascii="宋体" w:hAnsi="宋体" w:eastAsia="宋体" w:cs="宋体"/>
          <w:sz w:val="17"/>
          <w:szCs w:val="17"/>
        </w:rPr>
      </w:pPr>
      <w:r>
        <w:rPr>
          <w:rFonts w:ascii="宋体" w:hAnsi="宋体" w:eastAsia="宋体" w:cs="宋体"/>
          <w:spacing w:val="11"/>
          <w:sz w:val="17"/>
          <w:szCs w:val="17"/>
        </w:rPr>
        <w:t>上，男生测1500米跑成绩，女生测800米跑成绩。按</w:t>
      </w:r>
      <w:r>
        <w:rPr>
          <w:rFonts w:ascii="宋体" w:hAnsi="宋体" w:eastAsia="宋体" w:cs="宋体"/>
          <w:spacing w:val="17"/>
          <w:sz w:val="17"/>
          <w:szCs w:val="17"/>
        </w:rPr>
        <w:t xml:space="preserve"> </w:t>
      </w:r>
      <w:r>
        <w:rPr>
          <w:rFonts w:ascii="宋体" w:hAnsi="宋体" w:eastAsia="宋体" w:cs="宋体"/>
          <w:spacing w:val="1"/>
          <w:sz w:val="17"/>
          <w:szCs w:val="17"/>
        </w:rPr>
        <w:t>男子公开级赛艇、男子轻量级赛艇、女子公开级赛艇、</w:t>
      </w:r>
      <w:r>
        <w:rPr>
          <w:rFonts w:ascii="宋体" w:hAnsi="宋体" w:eastAsia="宋体" w:cs="宋体"/>
          <w:spacing w:val="10"/>
          <w:sz w:val="17"/>
          <w:szCs w:val="17"/>
        </w:rPr>
        <w:t xml:space="preserve"> </w:t>
      </w:r>
      <w:r>
        <w:rPr>
          <w:rFonts w:ascii="宋体" w:hAnsi="宋体" w:eastAsia="宋体" w:cs="宋体"/>
          <w:spacing w:val="1"/>
          <w:sz w:val="17"/>
          <w:szCs w:val="17"/>
        </w:rPr>
        <w:t>女子轻量级赛艇、男子皮艇、女子皮艇、女子划艇、男</w:t>
      </w:r>
      <w:r>
        <w:rPr>
          <w:rFonts w:ascii="宋体" w:hAnsi="宋体" w:eastAsia="宋体" w:cs="宋体"/>
          <w:spacing w:val="13"/>
          <w:sz w:val="17"/>
          <w:szCs w:val="17"/>
        </w:rPr>
        <w:t xml:space="preserve"> </w:t>
      </w:r>
      <w:r>
        <w:rPr>
          <w:rFonts w:ascii="宋体" w:hAnsi="宋体" w:eastAsia="宋体" w:cs="宋体"/>
          <w:spacing w:val="5"/>
          <w:sz w:val="17"/>
          <w:szCs w:val="17"/>
        </w:rPr>
        <w:t>子划艇等8个项目组测试和计算成绩，其中，轻量级考</w:t>
      </w:r>
      <w:r>
        <w:rPr>
          <w:rFonts w:ascii="宋体" w:hAnsi="宋体" w:eastAsia="宋体" w:cs="宋体"/>
          <w:spacing w:val="10"/>
          <w:sz w:val="17"/>
          <w:szCs w:val="17"/>
        </w:rPr>
        <w:t xml:space="preserve"> </w:t>
      </w:r>
      <w:r>
        <w:rPr>
          <w:rFonts w:ascii="宋体" w:hAnsi="宋体" w:eastAsia="宋体" w:cs="宋体"/>
          <w:spacing w:val="5"/>
          <w:sz w:val="17"/>
          <w:szCs w:val="17"/>
        </w:rPr>
        <w:t>生在考试前需要提前1小时称体重，女子轻量级考生体</w:t>
      </w:r>
      <w:r>
        <w:rPr>
          <w:rFonts w:ascii="宋体" w:hAnsi="宋体" w:eastAsia="宋体" w:cs="宋体"/>
          <w:spacing w:val="11"/>
          <w:sz w:val="17"/>
          <w:szCs w:val="17"/>
        </w:rPr>
        <w:t xml:space="preserve"> </w:t>
      </w:r>
      <w:r>
        <w:rPr>
          <w:rFonts w:ascii="宋体" w:hAnsi="宋体" w:eastAsia="宋体" w:cs="宋体"/>
          <w:spacing w:val="8"/>
          <w:sz w:val="17"/>
          <w:szCs w:val="17"/>
        </w:rPr>
        <w:t>重59公斤以内，男子轻量级考生体重控制在72.5公斤</w:t>
      </w:r>
      <w:r>
        <w:rPr>
          <w:rFonts w:ascii="宋体" w:hAnsi="宋体" w:eastAsia="宋体" w:cs="宋体"/>
          <w:spacing w:val="9"/>
          <w:sz w:val="17"/>
          <w:szCs w:val="17"/>
        </w:rPr>
        <w:t xml:space="preserve"> </w:t>
      </w:r>
      <w:r>
        <w:rPr>
          <w:rFonts w:ascii="宋体" w:hAnsi="宋体" w:eastAsia="宋体" w:cs="宋体"/>
          <w:spacing w:val="-4"/>
          <w:sz w:val="17"/>
          <w:szCs w:val="17"/>
        </w:rPr>
        <w:t>以内。</w:t>
      </w:r>
    </w:p>
    <w:p w14:paraId="68AE41D4">
      <w:pPr>
        <w:spacing w:before="21" w:line="312" w:lineRule="auto"/>
        <w:ind w:right="341" w:firstLine="350"/>
        <w:jc w:val="both"/>
        <w:rPr>
          <w:rFonts w:ascii="宋体" w:hAnsi="宋体" w:eastAsia="宋体" w:cs="宋体"/>
          <w:sz w:val="17"/>
          <w:szCs w:val="17"/>
        </w:rPr>
      </w:pPr>
      <w:r>
        <w:rPr>
          <w:rFonts w:ascii="宋体" w:hAnsi="宋体" w:eastAsia="宋体" w:cs="宋体"/>
          <w:spacing w:val="9"/>
          <w:sz w:val="17"/>
          <w:szCs w:val="17"/>
        </w:rPr>
        <w:t>测功仪测试方法：按男子公开级赛艇、男子轻量</w:t>
      </w:r>
      <w:r>
        <w:rPr>
          <w:rFonts w:ascii="宋体" w:hAnsi="宋体" w:eastAsia="宋体" w:cs="宋体"/>
          <w:spacing w:val="16"/>
          <w:sz w:val="17"/>
          <w:szCs w:val="17"/>
        </w:rPr>
        <w:t xml:space="preserve"> </w:t>
      </w:r>
      <w:r>
        <w:rPr>
          <w:rFonts w:ascii="宋体" w:hAnsi="宋体" w:eastAsia="宋体" w:cs="宋体"/>
          <w:spacing w:val="9"/>
          <w:sz w:val="17"/>
          <w:szCs w:val="17"/>
        </w:rPr>
        <w:t>级赛艇、女子公开级赛艇、女子轻量级赛艇、男子皮</w:t>
      </w:r>
      <w:r>
        <w:rPr>
          <w:rFonts w:ascii="宋体" w:hAnsi="宋体" w:eastAsia="宋体" w:cs="宋体"/>
          <w:spacing w:val="10"/>
          <w:sz w:val="17"/>
          <w:szCs w:val="17"/>
        </w:rPr>
        <w:t xml:space="preserve"> </w:t>
      </w:r>
      <w:r>
        <w:rPr>
          <w:rFonts w:ascii="宋体" w:hAnsi="宋体" w:eastAsia="宋体" w:cs="宋体"/>
          <w:spacing w:val="13"/>
          <w:sz w:val="17"/>
          <w:szCs w:val="17"/>
        </w:rPr>
        <w:t>艇、女子皮艇、女子划艇、男子划艇等8个项目组测</w:t>
      </w:r>
      <w:r>
        <w:rPr>
          <w:rFonts w:ascii="宋体" w:hAnsi="宋体" w:eastAsia="宋体" w:cs="宋体"/>
          <w:spacing w:val="9"/>
          <w:sz w:val="17"/>
          <w:szCs w:val="17"/>
        </w:rPr>
        <w:t xml:space="preserve"> </w:t>
      </w:r>
      <w:r>
        <w:rPr>
          <w:rFonts w:ascii="宋体" w:hAnsi="宋体" w:eastAsia="宋体" w:cs="宋体"/>
          <w:spacing w:val="6"/>
          <w:sz w:val="17"/>
          <w:szCs w:val="17"/>
        </w:rPr>
        <w:t>试和计算成绩，其中，轻量级考生在考试前需要</w:t>
      </w:r>
      <w:r>
        <w:rPr>
          <w:rFonts w:ascii="宋体" w:hAnsi="宋体" w:eastAsia="宋体" w:cs="宋体"/>
          <w:spacing w:val="5"/>
          <w:sz w:val="17"/>
          <w:szCs w:val="17"/>
        </w:rPr>
        <w:t>提前1</w:t>
      </w:r>
      <w:r>
        <w:rPr>
          <w:rFonts w:ascii="宋体" w:hAnsi="宋体" w:eastAsia="宋体" w:cs="宋体"/>
          <w:sz w:val="17"/>
          <w:szCs w:val="17"/>
        </w:rPr>
        <w:t xml:space="preserve"> </w:t>
      </w:r>
      <w:r>
        <w:rPr>
          <w:rFonts w:ascii="宋体" w:hAnsi="宋体" w:eastAsia="宋体" w:cs="宋体"/>
          <w:spacing w:val="10"/>
          <w:sz w:val="17"/>
          <w:szCs w:val="17"/>
        </w:rPr>
        <w:t>小时称体重，女子轻量级考生体重59公斤以内</w:t>
      </w:r>
      <w:r>
        <w:rPr>
          <w:rFonts w:ascii="宋体" w:hAnsi="宋体" w:eastAsia="宋体" w:cs="宋体"/>
          <w:spacing w:val="9"/>
          <w:sz w:val="17"/>
          <w:szCs w:val="17"/>
        </w:rPr>
        <w:t>，男子</w:t>
      </w:r>
      <w:r>
        <w:rPr>
          <w:rFonts w:ascii="宋体" w:hAnsi="宋体" w:eastAsia="宋体" w:cs="宋体"/>
          <w:sz w:val="17"/>
          <w:szCs w:val="17"/>
        </w:rPr>
        <w:t xml:space="preserve"> </w:t>
      </w:r>
      <w:r>
        <w:rPr>
          <w:rFonts w:ascii="宋体" w:hAnsi="宋体" w:eastAsia="宋体" w:cs="宋体"/>
          <w:spacing w:val="8"/>
          <w:sz w:val="17"/>
          <w:szCs w:val="17"/>
        </w:rPr>
        <w:t>轻量级考生体重控制在72.5公斤以内。按考试顺序在</w:t>
      </w:r>
      <w:r>
        <w:rPr>
          <w:rFonts w:ascii="宋体" w:hAnsi="宋体" w:eastAsia="宋体" w:cs="宋体"/>
          <w:spacing w:val="18"/>
          <w:sz w:val="17"/>
          <w:szCs w:val="17"/>
        </w:rPr>
        <w:t xml:space="preserve"> </w:t>
      </w:r>
      <w:r>
        <w:rPr>
          <w:rFonts w:ascii="Times New Roman" w:hAnsi="Times New Roman" w:eastAsia="Times New Roman" w:cs="Times New Roman"/>
          <w:sz w:val="17"/>
          <w:szCs w:val="17"/>
        </w:rPr>
        <w:t>CONCEPTII</w:t>
      </w:r>
      <w:r>
        <w:rPr>
          <w:rFonts w:ascii="宋体" w:hAnsi="宋体" w:eastAsia="宋体" w:cs="宋体"/>
          <w:spacing w:val="9"/>
          <w:sz w:val="17"/>
          <w:szCs w:val="17"/>
        </w:rPr>
        <w:t xml:space="preserve">型(美国)测功仪上测试，赛艇项目考生为 </w:t>
      </w:r>
      <w:r>
        <w:rPr>
          <w:rFonts w:ascii="宋体" w:hAnsi="宋体" w:eastAsia="宋体" w:cs="宋体"/>
          <w:spacing w:val="5"/>
          <w:sz w:val="17"/>
          <w:szCs w:val="17"/>
        </w:rPr>
        <w:t>2000米，皮划艇项目考生为1000米。</w:t>
      </w:r>
    </w:p>
    <w:p w14:paraId="24F816F6">
      <w:pPr>
        <w:spacing w:before="35" w:line="220" w:lineRule="auto"/>
        <w:ind w:left="430"/>
        <w:rPr>
          <w:rFonts w:ascii="宋体" w:hAnsi="宋体" w:eastAsia="宋体" w:cs="宋体"/>
          <w:sz w:val="17"/>
          <w:szCs w:val="17"/>
        </w:rPr>
      </w:pPr>
      <w:r>
        <w:rPr>
          <w:rFonts w:ascii="宋体" w:hAnsi="宋体" w:eastAsia="宋体" w:cs="宋体"/>
          <w:spacing w:val="11"/>
          <w:sz w:val="17"/>
          <w:szCs w:val="17"/>
        </w:rPr>
        <w:t>(二)专项技能</w:t>
      </w:r>
    </w:p>
    <w:p w14:paraId="28F61BCF">
      <w:pPr>
        <w:spacing w:before="75" w:line="273" w:lineRule="auto"/>
        <w:ind w:left="350" w:right="2494"/>
        <w:rPr>
          <w:rFonts w:ascii="宋体" w:hAnsi="宋体" w:eastAsia="宋体" w:cs="宋体"/>
          <w:sz w:val="17"/>
          <w:szCs w:val="17"/>
        </w:rPr>
      </w:pPr>
      <w:r>
        <w:rPr>
          <w:rFonts w:ascii="宋体" w:hAnsi="宋体" w:eastAsia="宋体" w:cs="宋体"/>
          <w:spacing w:val="-1"/>
          <w:sz w:val="17"/>
          <w:szCs w:val="17"/>
        </w:rPr>
        <w:t>1、测试内容及分值</w:t>
      </w:r>
      <w:r>
        <w:rPr>
          <w:rFonts w:ascii="宋体" w:hAnsi="宋体" w:eastAsia="宋体" w:cs="宋体"/>
          <w:sz w:val="17"/>
          <w:szCs w:val="17"/>
        </w:rPr>
        <w:t xml:space="preserve">   </w:t>
      </w:r>
      <w:r>
        <w:rPr>
          <w:rFonts w:ascii="宋体" w:hAnsi="宋体" w:eastAsia="宋体" w:cs="宋体"/>
          <w:spacing w:val="18"/>
          <w:sz w:val="17"/>
          <w:szCs w:val="17"/>
        </w:rPr>
        <w:t>水上测试(150分)。</w:t>
      </w:r>
    </w:p>
    <w:p w14:paraId="53768FD7">
      <w:pPr>
        <w:spacing w:before="79" w:line="221" w:lineRule="auto"/>
        <w:ind w:left="350"/>
        <w:rPr>
          <w:rFonts w:ascii="宋体" w:hAnsi="宋体" w:eastAsia="宋体" w:cs="宋体"/>
          <w:sz w:val="17"/>
          <w:szCs w:val="17"/>
        </w:rPr>
      </w:pPr>
      <w:r>
        <w:rPr>
          <w:rFonts w:ascii="宋体" w:hAnsi="宋体" w:eastAsia="宋体" w:cs="宋体"/>
          <w:spacing w:val="-4"/>
          <w:sz w:val="17"/>
          <w:szCs w:val="17"/>
        </w:rPr>
        <w:t>2、测试方法</w:t>
      </w:r>
    </w:p>
    <w:p w14:paraId="4B9378AA">
      <w:pPr>
        <w:spacing w:before="85" w:line="312" w:lineRule="auto"/>
        <w:ind w:right="285" w:firstLine="350"/>
        <w:jc w:val="both"/>
        <w:rPr>
          <w:rFonts w:ascii="宋体" w:hAnsi="宋体" w:eastAsia="宋体" w:cs="宋体"/>
          <w:sz w:val="17"/>
          <w:szCs w:val="17"/>
        </w:rPr>
      </w:pPr>
      <w:r>
        <w:rPr>
          <w:rFonts w:ascii="宋体" w:hAnsi="宋体" w:eastAsia="宋体" w:cs="宋体"/>
          <w:spacing w:val="2"/>
          <w:sz w:val="17"/>
          <w:szCs w:val="17"/>
        </w:rPr>
        <w:t>按男子公开级赛艇、男子轻量级赛艇、女子公开级</w:t>
      </w:r>
      <w:r>
        <w:rPr>
          <w:rFonts w:ascii="宋体" w:hAnsi="宋体" w:eastAsia="宋体" w:cs="宋体"/>
          <w:spacing w:val="15"/>
          <w:sz w:val="17"/>
          <w:szCs w:val="17"/>
        </w:rPr>
        <w:t xml:space="preserve"> </w:t>
      </w:r>
      <w:r>
        <w:rPr>
          <w:rFonts w:ascii="宋体" w:hAnsi="宋体" w:eastAsia="宋体" w:cs="宋体"/>
          <w:spacing w:val="-9"/>
          <w:sz w:val="17"/>
          <w:szCs w:val="17"/>
        </w:rPr>
        <w:t>赛艇、女子轻量级赛艇、男子皮艇、女子皮艇、女子划艇、</w:t>
      </w:r>
      <w:r>
        <w:rPr>
          <w:rFonts w:ascii="宋体" w:hAnsi="宋体" w:eastAsia="宋体" w:cs="宋体"/>
          <w:spacing w:val="18"/>
          <w:sz w:val="17"/>
          <w:szCs w:val="17"/>
        </w:rPr>
        <w:t xml:space="preserve"> </w:t>
      </w:r>
      <w:r>
        <w:rPr>
          <w:rFonts w:ascii="宋体" w:hAnsi="宋体" w:eastAsia="宋体" w:cs="宋体"/>
          <w:spacing w:val="5"/>
          <w:sz w:val="17"/>
          <w:szCs w:val="17"/>
        </w:rPr>
        <w:t xml:space="preserve">男子划艇等8个项目组，考生以各项目单人艇参加测试  </w:t>
      </w:r>
      <w:r>
        <w:rPr>
          <w:rFonts w:ascii="宋体" w:hAnsi="宋体" w:eastAsia="宋体" w:cs="宋体"/>
          <w:spacing w:val="9"/>
          <w:sz w:val="17"/>
          <w:szCs w:val="17"/>
        </w:rPr>
        <w:t>和计算成绩(其中轻量级考生在考试前需要提前1小时</w:t>
      </w:r>
      <w:r>
        <w:rPr>
          <w:rFonts w:ascii="宋体" w:hAnsi="宋体" w:eastAsia="宋体" w:cs="宋体"/>
          <w:spacing w:val="1"/>
          <w:sz w:val="17"/>
          <w:szCs w:val="17"/>
        </w:rPr>
        <w:t xml:space="preserve">  </w:t>
      </w:r>
      <w:r>
        <w:rPr>
          <w:rFonts w:ascii="宋体" w:hAnsi="宋体" w:eastAsia="宋体" w:cs="宋体"/>
          <w:spacing w:val="9"/>
          <w:sz w:val="17"/>
          <w:szCs w:val="17"/>
        </w:rPr>
        <w:t>称体重，女子轻量级考生体重59公斤以内，男子轻量</w:t>
      </w:r>
      <w:r>
        <w:rPr>
          <w:rFonts w:ascii="宋体" w:hAnsi="宋体" w:eastAsia="宋体" w:cs="宋体"/>
          <w:sz w:val="17"/>
          <w:szCs w:val="17"/>
        </w:rPr>
        <w:t xml:space="preserve">  </w:t>
      </w:r>
      <w:r>
        <w:rPr>
          <w:rFonts w:ascii="宋体" w:hAnsi="宋体" w:eastAsia="宋体" w:cs="宋体"/>
          <w:spacing w:val="6"/>
          <w:sz w:val="17"/>
          <w:szCs w:val="17"/>
        </w:rPr>
        <w:t>级考生体重控制在72.5公斤以内)。测试距离赛艇项目</w:t>
      </w:r>
      <w:r>
        <w:rPr>
          <w:rFonts w:ascii="宋体" w:hAnsi="宋体" w:eastAsia="宋体" w:cs="宋体"/>
          <w:sz w:val="17"/>
          <w:szCs w:val="17"/>
        </w:rPr>
        <w:t xml:space="preserve"> </w:t>
      </w:r>
      <w:r>
        <w:rPr>
          <w:rFonts w:ascii="宋体" w:hAnsi="宋体" w:eastAsia="宋体" w:cs="宋体"/>
          <w:spacing w:val="11"/>
          <w:sz w:val="17"/>
          <w:szCs w:val="17"/>
        </w:rPr>
        <w:t>为1000米，皮划艇项目为500米。龙舟项目按划艇项</w:t>
      </w:r>
      <w:r>
        <w:rPr>
          <w:rFonts w:ascii="宋体" w:hAnsi="宋体" w:eastAsia="宋体" w:cs="宋体"/>
          <w:spacing w:val="9"/>
          <w:sz w:val="17"/>
          <w:szCs w:val="17"/>
        </w:rPr>
        <w:t xml:space="preserve">  </w:t>
      </w:r>
      <w:r>
        <w:rPr>
          <w:rFonts w:ascii="宋体" w:hAnsi="宋体" w:eastAsia="宋体" w:cs="宋体"/>
          <w:spacing w:val="-5"/>
          <w:sz w:val="17"/>
          <w:szCs w:val="17"/>
        </w:rPr>
        <w:t>目测试。</w:t>
      </w:r>
    </w:p>
    <w:p w14:paraId="08C41532">
      <w:pPr>
        <w:spacing w:before="31" w:line="219" w:lineRule="auto"/>
        <w:ind w:left="3"/>
        <w:rPr>
          <w:rFonts w:ascii="宋体" w:hAnsi="宋体" w:eastAsia="宋体" w:cs="宋体"/>
          <w:sz w:val="22"/>
          <w:szCs w:val="22"/>
        </w:rPr>
      </w:pPr>
      <w:r>
        <w:rPr>
          <w:rFonts w:ascii="宋体" w:hAnsi="宋体" w:eastAsia="宋体" w:cs="宋体"/>
          <w:b/>
          <w:bCs/>
          <w:spacing w:val="-2"/>
          <w:sz w:val="22"/>
          <w:szCs w:val="22"/>
        </w:rPr>
        <w:t>九、跳水</w:t>
      </w:r>
    </w:p>
    <w:p w14:paraId="51BDF47D">
      <w:pPr>
        <w:spacing w:before="100" w:line="219" w:lineRule="auto"/>
        <w:ind w:left="430"/>
        <w:rPr>
          <w:rFonts w:ascii="宋体" w:hAnsi="宋体" w:eastAsia="宋体" w:cs="宋体"/>
          <w:sz w:val="17"/>
          <w:szCs w:val="17"/>
        </w:rPr>
      </w:pPr>
      <w:r>
        <w:rPr>
          <w:rFonts w:ascii="宋体" w:hAnsi="宋体" w:eastAsia="宋体" w:cs="宋体"/>
          <w:spacing w:val="12"/>
          <w:sz w:val="17"/>
          <w:szCs w:val="17"/>
        </w:rPr>
        <w:t>(一)专项素质</w:t>
      </w:r>
    </w:p>
    <w:p w14:paraId="21B6BEE8">
      <w:pPr>
        <w:spacing w:before="79" w:line="219" w:lineRule="auto"/>
        <w:ind w:left="350"/>
        <w:rPr>
          <w:rFonts w:ascii="宋体" w:hAnsi="宋体" w:eastAsia="宋体" w:cs="宋体"/>
          <w:sz w:val="17"/>
          <w:szCs w:val="17"/>
        </w:rPr>
      </w:pPr>
      <w:r>
        <w:rPr>
          <w:rFonts w:ascii="宋体" w:hAnsi="宋体" w:eastAsia="宋体" w:cs="宋体"/>
          <w:spacing w:val="-1"/>
          <w:sz w:val="17"/>
          <w:szCs w:val="17"/>
        </w:rPr>
        <w:t>1、测试内容及分值</w:t>
      </w:r>
    </w:p>
    <w:p w14:paraId="5AA62BC0">
      <w:pPr>
        <w:spacing w:before="87" w:line="219" w:lineRule="auto"/>
        <w:ind w:left="350"/>
        <w:rPr>
          <w:rFonts w:ascii="宋体" w:hAnsi="宋体" w:eastAsia="宋体" w:cs="宋体"/>
          <w:sz w:val="17"/>
          <w:szCs w:val="17"/>
        </w:rPr>
      </w:pPr>
      <w:r>
        <w:rPr>
          <w:rFonts w:ascii="宋体" w:hAnsi="宋体" w:eastAsia="宋体" w:cs="宋体"/>
          <w:spacing w:val="22"/>
          <w:sz w:val="17"/>
          <w:szCs w:val="17"/>
        </w:rPr>
        <w:t>纵跳摸高(150分);悬垂举腿(150分)。</w:t>
      </w:r>
    </w:p>
    <w:p w14:paraId="0D5CBEE9">
      <w:pPr>
        <w:spacing w:before="90" w:line="221" w:lineRule="auto"/>
        <w:ind w:left="350"/>
        <w:rPr>
          <w:rFonts w:ascii="宋体" w:hAnsi="宋体" w:eastAsia="宋体" w:cs="宋体"/>
          <w:sz w:val="17"/>
          <w:szCs w:val="17"/>
        </w:rPr>
      </w:pPr>
      <w:r>
        <w:rPr>
          <w:rFonts w:ascii="宋体" w:hAnsi="宋体" w:eastAsia="宋体" w:cs="宋体"/>
          <w:spacing w:val="-6"/>
          <w:sz w:val="17"/>
          <w:szCs w:val="17"/>
        </w:rPr>
        <w:t>2、测试方法</w:t>
      </w:r>
    </w:p>
    <w:p w14:paraId="0CC3A443">
      <w:pPr>
        <w:spacing w:before="87" w:line="308" w:lineRule="auto"/>
        <w:ind w:right="351" w:firstLine="350"/>
        <w:rPr>
          <w:rFonts w:ascii="宋体" w:hAnsi="宋体" w:eastAsia="宋体" w:cs="宋体"/>
          <w:sz w:val="17"/>
          <w:szCs w:val="17"/>
        </w:rPr>
      </w:pPr>
      <w:r>
        <w:rPr>
          <w:rFonts w:ascii="宋体" w:hAnsi="宋体" w:eastAsia="宋体" w:cs="宋体"/>
          <w:spacing w:val="1"/>
          <w:sz w:val="17"/>
          <w:szCs w:val="17"/>
        </w:rPr>
        <w:t>纵跳摸高测试方法：考生双脚起跳单手摸有固定标</w:t>
      </w:r>
      <w:r>
        <w:rPr>
          <w:rFonts w:ascii="宋体" w:hAnsi="宋体" w:eastAsia="宋体" w:cs="宋体"/>
          <w:spacing w:val="13"/>
          <w:sz w:val="17"/>
          <w:szCs w:val="17"/>
        </w:rPr>
        <w:t xml:space="preserve"> </w:t>
      </w:r>
      <w:r>
        <w:rPr>
          <w:rFonts w:ascii="宋体" w:hAnsi="宋体" w:eastAsia="宋体" w:cs="宋体"/>
          <w:spacing w:val="6"/>
          <w:sz w:val="17"/>
          <w:szCs w:val="17"/>
        </w:rPr>
        <w:t>尺的高物，记下相对高度。每人2次摸高机会，计</w:t>
      </w:r>
      <w:r>
        <w:rPr>
          <w:rFonts w:ascii="宋体" w:hAnsi="宋体" w:eastAsia="宋体" w:cs="宋体"/>
          <w:spacing w:val="5"/>
          <w:sz w:val="17"/>
          <w:szCs w:val="17"/>
        </w:rPr>
        <w:t>其中</w:t>
      </w:r>
      <w:r>
        <w:rPr>
          <w:rFonts w:ascii="宋体" w:hAnsi="宋体" w:eastAsia="宋体" w:cs="宋体"/>
          <w:sz w:val="17"/>
          <w:szCs w:val="17"/>
        </w:rPr>
        <w:t xml:space="preserve"> </w:t>
      </w:r>
      <w:r>
        <w:rPr>
          <w:rFonts w:ascii="宋体" w:hAnsi="宋体" w:eastAsia="宋体" w:cs="宋体"/>
          <w:spacing w:val="12"/>
          <w:sz w:val="17"/>
          <w:szCs w:val="17"/>
        </w:rPr>
        <w:t>1次最高成绩。实行减分制。(90厘米为满分，每少1</w:t>
      </w:r>
      <w:r>
        <w:rPr>
          <w:rFonts w:ascii="宋体" w:hAnsi="宋体" w:eastAsia="宋体" w:cs="宋体"/>
          <w:spacing w:val="11"/>
          <w:sz w:val="17"/>
          <w:szCs w:val="17"/>
        </w:rPr>
        <w:t xml:space="preserve"> </w:t>
      </w:r>
      <w:r>
        <w:rPr>
          <w:rFonts w:ascii="宋体" w:hAnsi="宋体" w:eastAsia="宋体" w:cs="宋体"/>
          <w:spacing w:val="10"/>
          <w:sz w:val="17"/>
          <w:szCs w:val="17"/>
        </w:rPr>
        <w:t>厘米减1.3分)</w:t>
      </w:r>
    </w:p>
    <w:p w14:paraId="5C25AE89">
      <w:pPr>
        <w:spacing w:before="25" w:line="308" w:lineRule="auto"/>
        <w:ind w:right="354" w:firstLine="350"/>
        <w:jc w:val="both"/>
        <w:rPr>
          <w:rFonts w:ascii="宋体" w:hAnsi="宋体" w:eastAsia="宋体" w:cs="宋体"/>
          <w:sz w:val="17"/>
          <w:szCs w:val="17"/>
        </w:rPr>
      </w:pPr>
      <w:r>
        <w:rPr>
          <w:rFonts w:ascii="宋体" w:hAnsi="宋体" w:eastAsia="宋体" w:cs="宋体"/>
          <w:spacing w:val="1"/>
          <w:sz w:val="17"/>
          <w:szCs w:val="17"/>
        </w:rPr>
        <w:t>悬垂举腿测试方法：悬垂于肋木或单杠上完成，收</w:t>
      </w:r>
      <w:r>
        <w:rPr>
          <w:rFonts w:ascii="宋体" w:hAnsi="宋体" w:eastAsia="宋体" w:cs="宋体"/>
          <w:spacing w:val="13"/>
          <w:sz w:val="17"/>
          <w:szCs w:val="17"/>
        </w:rPr>
        <w:t xml:space="preserve"> </w:t>
      </w:r>
      <w:r>
        <w:rPr>
          <w:rFonts w:ascii="宋体" w:hAnsi="宋体" w:eastAsia="宋体" w:cs="宋体"/>
          <w:spacing w:val="2"/>
          <w:sz w:val="17"/>
          <w:szCs w:val="17"/>
        </w:rPr>
        <w:t>腹举腿至脚背触肋木或杠面，落下成悬垂，连续完成。</w:t>
      </w:r>
      <w:r>
        <w:rPr>
          <w:rFonts w:ascii="宋体" w:hAnsi="宋体" w:eastAsia="宋体" w:cs="宋体"/>
          <w:spacing w:val="6"/>
          <w:sz w:val="17"/>
          <w:szCs w:val="17"/>
        </w:rPr>
        <w:t xml:space="preserve"> </w:t>
      </w:r>
      <w:r>
        <w:rPr>
          <w:rFonts w:ascii="宋体" w:hAnsi="宋体" w:eastAsia="宋体" w:cs="宋体"/>
          <w:spacing w:val="12"/>
          <w:sz w:val="17"/>
          <w:szCs w:val="17"/>
        </w:rPr>
        <w:t>实行减分制。(连续完成30次，按规格要求完成，每</w:t>
      </w:r>
      <w:r>
        <w:rPr>
          <w:rFonts w:ascii="宋体" w:hAnsi="宋体" w:eastAsia="宋体" w:cs="宋体"/>
          <w:spacing w:val="13"/>
          <w:sz w:val="17"/>
          <w:szCs w:val="17"/>
        </w:rPr>
        <w:t xml:space="preserve"> </w:t>
      </w:r>
      <w:r>
        <w:rPr>
          <w:rFonts w:ascii="宋体" w:hAnsi="宋体" w:eastAsia="宋体" w:cs="宋体"/>
          <w:spacing w:val="14"/>
          <w:sz w:val="17"/>
          <w:szCs w:val="17"/>
        </w:rPr>
        <w:t>少一</w:t>
      </w:r>
      <w:r>
        <w:rPr>
          <w:rFonts w:ascii="宋体" w:hAnsi="宋体" w:eastAsia="宋体" w:cs="宋体"/>
          <w:spacing w:val="-47"/>
          <w:sz w:val="17"/>
          <w:szCs w:val="17"/>
        </w:rPr>
        <w:t xml:space="preserve"> </w:t>
      </w:r>
      <w:r>
        <w:rPr>
          <w:rFonts w:ascii="宋体" w:hAnsi="宋体" w:eastAsia="宋体" w:cs="宋体"/>
          <w:spacing w:val="14"/>
          <w:sz w:val="17"/>
          <w:szCs w:val="17"/>
        </w:rPr>
        <w:t>次减5分)</w:t>
      </w:r>
    </w:p>
    <w:p w14:paraId="05F51943">
      <w:pPr>
        <w:spacing w:before="23" w:line="220" w:lineRule="auto"/>
        <w:ind w:left="432"/>
        <w:rPr>
          <w:rFonts w:ascii="宋体" w:hAnsi="宋体" w:eastAsia="宋体" w:cs="宋体"/>
          <w:sz w:val="17"/>
          <w:szCs w:val="17"/>
        </w:rPr>
      </w:pPr>
      <w:r>
        <w:rPr>
          <w:rFonts w:ascii="宋体" w:hAnsi="宋体" w:eastAsia="宋体" w:cs="宋体"/>
          <w:b/>
          <w:bCs/>
          <w:spacing w:val="8"/>
          <w:sz w:val="17"/>
          <w:szCs w:val="17"/>
        </w:rPr>
        <w:t>(二)专项技能</w:t>
      </w:r>
    </w:p>
    <w:p w14:paraId="3190C9C9">
      <w:pPr>
        <w:spacing w:before="87" w:line="289" w:lineRule="auto"/>
        <w:ind w:left="352" w:right="2724"/>
        <w:rPr>
          <w:rFonts w:ascii="宋体" w:hAnsi="宋体" w:eastAsia="宋体" w:cs="宋体"/>
          <w:sz w:val="17"/>
          <w:szCs w:val="17"/>
        </w:rPr>
      </w:pPr>
      <w:r>
        <w:rPr>
          <w:rFonts w:ascii="宋体" w:hAnsi="宋体" w:eastAsia="宋体" w:cs="宋体"/>
          <w:b/>
          <w:bCs/>
          <w:spacing w:val="-6"/>
          <w:sz w:val="17"/>
          <w:szCs w:val="17"/>
        </w:rPr>
        <w:t>1、测试内容及分值</w:t>
      </w:r>
      <w:r>
        <w:rPr>
          <w:rFonts w:ascii="宋体" w:hAnsi="宋体" w:eastAsia="宋体" w:cs="宋体"/>
          <w:spacing w:val="4"/>
          <w:sz w:val="17"/>
          <w:szCs w:val="17"/>
        </w:rPr>
        <w:t xml:space="preserve"> </w:t>
      </w:r>
      <w:r>
        <w:rPr>
          <w:rFonts w:ascii="宋体" w:hAnsi="宋体" w:eastAsia="宋体" w:cs="宋体"/>
          <w:b/>
          <w:bCs/>
          <w:spacing w:val="21"/>
          <w:sz w:val="17"/>
          <w:szCs w:val="17"/>
        </w:rPr>
        <w:t>实战(150分)。</w:t>
      </w:r>
    </w:p>
    <w:p w14:paraId="33C19397">
      <w:pPr>
        <w:pStyle w:val="2"/>
        <w:spacing w:line="14" w:lineRule="auto"/>
        <w:rPr>
          <w:sz w:val="2"/>
        </w:rPr>
      </w:pPr>
      <w:r>
        <w:rPr>
          <w:sz w:val="2"/>
          <w:szCs w:val="2"/>
        </w:rPr>
        <w:br w:type="column"/>
      </w:r>
    </w:p>
    <w:p w14:paraId="0C2692A7">
      <w:pPr>
        <w:spacing w:before="32" w:line="221" w:lineRule="auto"/>
        <w:ind w:left="352"/>
        <w:rPr>
          <w:rFonts w:ascii="宋体" w:hAnsi="宋体" w:eastAsia="宋体" w:cs="宋体"/>
          <w:sz w:val="17"/>
          <w:szCs w:val="17"/>
        </w:rPr>
      </w:pPr>
      <w:r>
        <w:rPr>
          <w:rFonts w:ascii="宋体" w:hAnsi="宋体" w:eastAsia="宋体" w:cs="宋体"/>
          <w:b/>
          <w:bCs/>
          <w:spacing w:val="-7"/>
          <w:sz w:val="17"/>
          <w:szCs w:val="17"/>
        </w:rPr>
        <w:t>2、测试方法</w:t>
      </w:r>
    </w:p>
    <w:p w14:paraId="2D0E0643">
      <w:pPr>
        <w:spacing w:before="86" w:line="219" w:lineRule="auto"/>
        <w:ind w:left="349"/>
        <w:rPr>
          <w:rFonts w:ascii="宋体" w:hAnsi="宋体" w:eastAsia="宋体" w:cs="宋体"/>
          <w:sz w:val="17"/>
          <w:szCs w:val="17"/>
        </w:rPr>
      </w:pPr>
      <w:r>
        <w:rPr>
          <w:rFonts w:ascii="宋体" w:hAnsi="宋体" w:eastAsia="宋体" w:cs="宋体"/>
          <w:spacing w:val="2"/>
          <w:sz w:val="17"/>
          <w:szCs w:val="17"/>
        </w:rPr>
        <w:t>实战：1米板跳水。</w:t>
      </w:r>
    </w:p>
    <w:p w14:paraId="69CEB066">
      <w:pPr>
        <w:spacing w:before="89" w:line="221" w:lineRule="auto"/>
        <w:ind w:left="3"/>
        <w:rPr>
          <w:rFonts w:ascii="宋体" w:hAnsi="宋体" w:eastAsia="宋体" w:cs="宋体"/>
          <w:sz w:val="22"/>
          <w:szCs w:val="22"/>
        </w:rPr>
      </w:pPr>
      <w:r>
        <w:rPr>
          <w:rFonts w:ascii="宋体" w:hAnsi="宋体" w:eastAsia="宋体" w:cs="宋体"/>
          <w:b/>
          <w:bCs/>
          <w:spacing w:val="2"/>
          <w:sz w:val="22"/>
          <w:szCs w:val="22"/>
        </w:rPr>
        <w:t>十、技巧</w:t>
      </w:r>
    </w:p>
    <w:p w14:paraId="27F2C5AD">
      <w:pPr>
        <w:spacing w:before="97" w:line="219" w:lineRule="auto"/>
        <w:ind w:left="409"/>
        <w:rPr>
          <w:rFonts w:ascii="宋体" w:hAnsi="宋体" w:eastAsia="宋体" w:cs="宋体"/>
          <w:sz w:val="17"/>
          <w:szCs w:val="17"/>
        </w:rPr>
      </w:pPr>
      <w:r>
        <w:rPr>
          <w:rFonts w:ascii="宋体" w:hAnsi="宋体" w:eastAsia="宋体" w:cs="宋体"/>
          <w:spacing w:val="11"/>
          <w:sz w:val="17"/>
          <w:szCs w:val="17"/>
        </w:rPr>
        <w:t>(</w:t>
      </w:r>
      <w:r>
        <w:rPr>
          <w:rFonts w:ascii="宋体" w:hAnsi="宋体" w:eastAsia="宋体" w:cs="宋体"/>
          <w:spacing w:val="-44"/>
          <w:sz w:val="17"/>
          <w:szCs w:val="17"/>
        </w:rPr>
        <w:t xml:space="preserve"> </w:t>
      </w:r>
      <w:r>
        <w:rPr>
          <w:rFonts w:ascii="宋体" w:hAnsi="宋体" w:eastAsia="宋体" w:cs="宋体"/>
          <w:spacing w:val="11"/>
          <w:sz w:val="17"/>
          <w:szCs w:val="17"/>
        </w:rPr>
        <w:t>一)专项素质</w:t>
      </w:r>
    </w:p>
    <w:p w14:paraId="755490A8">
      <w:pPr>
        <w:spacing w:before="98" w:line="219" w:lineRule="auto"/>
        <w:ind w:left="349"/>
        <w:rPr>
          <w:rFonts w:ascii="宋体" w:hAnsi="宋体" w:eastAsia="宋体" w:cs="宋体"/>
          <w:sz w:val="17"/>
          <w:szCs w:val="17"/>
        </w:rPr>
      </w:pPr>
      <w:r>
        <w:rPr>
          <w:rFonts w:ascii="宋体" w:hAnsi="宋体" w:eastAsia="宋体" w:cs="宋体"/>
          <w:sz w:val="17"/>
          <w:szCs w:val="17"/>
        </w:rPr>
        <w:t>1、测试内容及分值</w:t>
      </w:r>
    </w:p>
    <w:p w14:paraId="3273AFEC">
      <w:pPr>
        <w:spacing w:before="97" w:line="280" w:lineRule="auto"/>
        <w:ind w:right="97" w:firstLine="349"/>
        <w:rPr>
          <w:rFonts w:ascii="宋体" w:hAnsi="宋体" w:eastAsia="宋体" w:cs="宋体"/>
          <w:sz w:val="17"/>
          <w:szCs w:val="17"/>
        </w:rPr>
      </w:pPr>
      <w:r>
        <w:rPr>
          <w:rFonts w:ascii="宋体" w:hAnsi="宋体" w:eastAsia="宋体" w:cs="宋体"/>
          <w:spacing w:val="20"/>
          <w:sz w:val="17"/>
          <w:szCs w:val="17"/>
        </w:rPr>
        <w:t>劈叉(100分);两头起(100分);俯卧撑(女)、</w:t>
      </w:r>
      <w:r>
        <w:rPr>
          <w:rFonts w:ascii="宋体" w:hAnsi="宋体" w:eastAsia="宋体" w:cs="宋体"/>
          <w:spacing w:val="14"/>
          <w:sz w:val="17"/>
          <w:szCs w:val="17"/>
        </w:rPr>
        <w:t xml:space="preserve"> </w:t>
      </w:r>
      <w:r>
        <w:rPr>
          <w:rFonts w:ascii="宋体" w:hAnsi="宋体" w:eastAsia="宋体" w:cs="宋体"/>
          <w:spacing w:val="26"/>
          <w:sz w:val="17"/>
          <w:szCs w:val="17"/>
        </w:rPr>
        <w:t>双臂屈伸(男)(100分)。</w:t>
      </w:r>
    </w:p>
    <w:p w14:paraId="1177F28C">
      <w:pPr>
        <w:spacing w:before="57" w:line="221" w:lineRule="auto"/>
        <w:ind w:left="349"/>
        <w:rPr>
          <w:rFonts w:ascii="宋体" w:hAnsi="宋体" w:eastAsia="宋体" w:cs="宋体"/>
          <w:sz w:val="17"/>
          <w:szCs w:val="17"/>
        </w:rPr>
      </w:pPr>
      <w:r>
        <w:rPr>
          <w:rFonts w:ascii="宋体" w:hAnsi="宋体" w:eastAsia="宋体" w:cs="宋体"/>
          <w:spacing w:val="-4"/>
          <w:sz w:val="17"/>
          <w:szCs w:val="17"/>
        </w:rPr>
        <w:t>2、测试方法</w:t>
      </w:r>
    </w:p>
    <w:p w14:paraId="53703E4C">
      <w:pPr>
        <w:spacing w:before="76" w:line="308" w:lineRule="auto"/>
        <w:ind w:right="63" w:firstLine="349"/>
        <w:rPr>
          <w:rFonts w:ascii="宋体" w:hAnsi="宋体" w:eastAsia="宋体" w:cs="宋体"/>
          <w:sz w:val="17"/>
          <w:szCs w:val="17"/>
        </w:rPr>
      </w:pPr>
      <w:r>
        <w:rPr>
          <w:rFonts w:ascii="宋体" w:hAnsi="宋体" w:eastAsia="宋体" w:cs="宋体"/>
          <w:spacing w:val="1"/>
          <w:sz w:val="17"/>
          <w:szCs w:val="17"/>
        </w:rPr>
        <w:t>劈叉测试方法：在地板上或地毯上完成左劈叉、右</w:t>
      </w:r>
      <w:r>
        <w:rPr>
          <w:rFonts w:ascii="宋体" w:hAnsi="宋体" w:eastAsia="宋体" w:cs="宋体"/>
          <w:spacing w:val="17"/>
          <w:sz w:val="17"/>
          <w:szCs w:val="17"/>
        </w:rPr>
        <w:t xml:space="preserve"> </w:t>
      </w:r>
      <w:r>
        <w:rPr>
          <w:rFonts w:ascii="宋体" w:hAnsi="宋体" w:eastAsia="宋体" w:cs="宋体"/>
          <w:spacing w:val="3"/>
          <w:sz w:val="17"/>
          <w:szCs w:val="17"/>
        </w:rPr>
        <w:t>劈叉、横劈叉。要求劈叉时前后腿或左右腿伸</w:t>
      </w:r>
      <w:r>
        <w:rPr>
          <w:rFonts w:ascii="宋体" w:hAnsi="宋体" w:eastAsia="宋体" w:cs="宋体"/>
          <w:spacing w:val="2"/>
          <w:sz w:val="17"/>
          <w:szCs w:val="17"/>
        </w:rPr>
        <w:t>直，并在</w:t>
      </w:r>
      <w:r>
        <w:rPr>
          <w:rFonts w:ascii="宋体" w:hAnsi="宋体" w:eastAsia="宋体" w:cs="宋体"/>
          <w:sz w:val="17"/>
          <w:szCs w:val="17"/>
        </w:rPr>
        <w:t xml:space="preserve"> </w:t>
      </w:r>
      <w:r>
        <w:rPr>
          <w:rFonts w:ascii="宋体" w:hAnsi="宋体" w:eastAsia="宋体" w:cs="宋体"/>
          <w:spacing w:val="9"/>
          <w:sz w:val="17"/>
          <w:szCs w:val="17"/>
        </w:rPr>
        <w:t>一条直线上。要求上体直立，脚尖、膝盖伸直，姿态</w:t>
      </w:r>
      <w:r>
        <w:rPr>
          <w:rFonts w:ascii="宋体" w:hAnsi="宋体" w:eastAsia="宋体" w:cs="宋体"/>
          <w:spacing w:val="10"/>
          <w:sz w:val="17"/>
          <w:szCs w:val="17"/>
        </w:rPr>
        <w:t xml:space="preserve"> </w:t>
      </w:r>
      <w:r>
        <w:rPr>
          <w:rFonts w:ascii="宋体" w:hAnsi="宋体" w:eastAsia="宋体" w:cs="宋体"/>
          <w:spacing w:val="-1"/>
          <w:sz w:val="17"/>
          <w:szCs w:val="17"/>
        </w:rPr>
        <w:t>准确。测量胯部离地面的高度。</w:t>
      </w:r>
    </w:p>
    <w:p w14:paraId="01B57E97">
      <w:pPr>
        <w:spacing w:before="24" w:line="307" w:lineRule="auto"/>
        <w:ind w:right="82" w:firstLine="349"/>
        <w:rPr>
          <w:rFonts w:ascii="宋体" w:hAnsi="宋体" w:eastAsia="宋体" w:cs="宋体"/>
          <w:sz w:val="17"/>
          <w:szCs w:val="17"/>
        </w:rPr>
      </w:pPr>
      <w:r>
        <w:rPr>
          <w:rFonts w:ascii="宋体" w:hAnsi="宋体" w:eastAsia="宋体" w:cs="宋体"/>
          <w:spacing w:val="9"/>
          <w:sz w:val="17"/>
          <w:szCs w:val="17"/>
        </w:rPr>
        <w:t xml:space="preserve">两头起测试方法：在地毯上或地板上测30秒完成 </w:t>
      </w:r>
      <w:r>
        <w:rPr>
          <w:rFonts w:ascii="宋体" w:hAnsi="宋体" w:eastAsia="宋体" w:cs="宋体"/>
          <w:spacing w:val="2"/>
          <w:sz w:val="17"/>
          <w:szCs w:val="17"/>
        </w:rPr>
        <w:t>两头起的次数。要求两腿伸直并拢，两手碰脚背，两头</w:t>
      </w:r>
      <w:r>
        <w:rPr>
          <w:rFonts w:ascii="宋体" w:hAnsi="宋体" w:eastAsia="宋体" w:cs="宋体"/>
          <w:spacing w:val="1"/>
          <w:sz w:val="17"/>
          <w:szCs w:val="17"/>
        </w:rPr>
        <w:t xml:space="preserve"> </w:t>
      </w:r>
      <w:r>
        <w:rPr>
          <w:rFonts w:ascii="宋体" w:hAnsi="宋体" w:eastAsia="宋体" w:cs="宋体"/>
          <w:spacing w:val="-3"/>
          <w:sz w:val="17"/>
          <w:szCs w:val="17"/>
        </w:rPr>
        <w:t>同起同落。</w:t>
      </w:r>
    </w:p>
    <w:p w14:paraId="46BBDC35">
      <w:pPr>
        <w:spacing w:before="24" w:line="310" w:lineRule="auto"/>
        <w:ind w:right="75" w:firstLine="349"/>
        <w:rPr>
          <w:rFonts w:ascii="宋体" w:hAnsi="宋体" w:eastAsia="宋体" w:cs="宋体"/>
          <w:sz w:val="17"/>
          <w:szCs w:val="17"/>
        </w:rPr>
      </w:pPr>
      <w:r>
        <w:rPr>
          <w:rFonts w:ascii="宋体" w:hAnsi="宋体" w:eastAsia="宋体" w:cs="宋体"/>
          <w:spacing w:val="17"/>
          <w:sz w:val="17"/>
          <w:szCs w:val="17"/>
        </w:rPr>
        <w:t>俯卧撑(女)、双臂屈伸(男)测试方法：女子在</w:t>
      </w:r>
      <w:r>
        <w:rPr>
          <w:rFonts w:ascii="宋体" w:hAnsi="宋体" w:eastAsia="宋体" w:cs="宋体"/>
          <w:spacing w:val="4"/>
          <w:sz w:val="17"/>
          <w:szCs w:val="17"/>
        </w:rPr>
        <w:t xml:space="preserve"> </w:t>
      </w:r>
      <w:r>
        <w:rPr>
          <w:rFonts w:ascii="宋体" w:hAnsi="宋体" w:eastAsia="宋体" w:cs="宋体"/>
          <w:spacing w:val="9"/>
          <w:sz w:val="17"/>
          <w:szCs w:val="17"/>
        </w:rPr>
        <w:t>地板上或地毯上测15秒完成俯卧撑的次数，要求双手</w:t>
      </w:r>
      <w:r>
        <w:rPr>
          <w:rFonts w:ascii="宋体" w:hAnsi="宋体" w:eastAsia="宋体" w:cs="宋体"/>
          <w:sz w:val="17"/>
          <w:szCs w:val="17"/>
        </w:rPr>
        <w:t xml:space="preserve"> </w:t>
      </w:r>
      <w:r>
        <w:rPr>
          <w:rFonts w:ascii="宋体" w:hAnsi="宋体" w:eastAsia="宋体" w:cs="宋体"/>
          <w:spacing w:val="2"/>
          <w:sz w:val="17"/>
          <w:szCs w:val="17"/>
        </w:rPr>
        <w:t>支撑地面，身体伸直，两腿并拢，双臂屈伸时肘关节屈</w:t>
      </w:r>
      <w:r>
        <w:rPr>
          <w:rFonts w:ascii="宋体" w:hAnsi="宋体" w:eastAsia="宋体" w:cs="宋体"/>
          <w:spacing w:val="8"/>
          <w:sz w:val="17"/>
          <w:szCs w:val="17"/>
        </w:rPr>
        <w:t xml:space="preserve"> </w:t>
      </w:r>
      <w:r>
        <w:rPr>
          <w:rFonts w:ascii="宋体" w:hAnsi="宋体" w:eastAsia="宋体" w:cs="宋体"/>
          <w:spacing w:val="9"/>
          <w:sz w:val="17"/>
          <w:szCs w:val="17"/>
        </w:rPr>
        <w:t>肘达到90度，整个身体保持同起同落；男子在双杠上</w:t>
      </w:r>
      <w:r>
        <w:rPr>
          <w:rFonts w:ascii="宋体" w:hAnsi="宋体" w:eastAsia="宋体" w:cs="宋体"/>
          <w:sz w:val="17"/>
          <w:szCs w:val="17"/>
        </w:rPr>
        <w:t xml:space="preserve"> </w:t>
      </w:r>
      <w:r>
        <w:rPr>
          <w:rFonts w:ascii="宋体" w:hAnsi="宋体" w:eastAsia="宋体" w:cs="宋体"/>
          <w:spacing w:val="1"/>
          <w:sz w:val="17"/>
          <w:szCs w:val="17"/>
        </w:rPr>
        <w:t>测15秒完成双臂屈伸的次数，要求做动作时身体伸直，</w:t>
      </w:r>
      <w:r>
        <w:rPr>
          <w:rFonts w:ascii="宋体" w:hAnsi="宋体" w:eastAsia="宋体" w:cs="宋体"/>
          <w:spacing w:val="8"/>
          <w:sz w:val="17"/>
          <w:szCs w:val="17"/>
        </w:rPr>
        <w:t xml:space="preserve"> </w:t>
      </w:r>
      <w:r>
        <w:rPr>
          <w:rFonts w:ascii="宋体" w:hAnsi="宋体" w:eastAsia="宋体" w:cs="宋体"/>
          <w:spacing w:val="3"/>
          <w:sz w:val="17"/>
          <w:szCs w:val="17"/>
        </w:rPr>
        <w:t>两腿并拢，双臂屈伸时肘关节弯曲超过90度。</w:t>
      </w:r>
    </w:p>
    <w:p w14:paraId="60545ACB">
      <w:pPr>
        <w:spacing w:before="26" w:line="220" w:lineRule="auto"/>
        <w:ind w:left="409"/>
        <w:rPr>
          <w:rFonts w:ascii="宋体" w:hAnsi="宋体" w:eastAsia="宋体" w:cs="宋体"/>
          <w:sz w:val="17"/>
          <w:szCs w:val="17"/>
        </w:rPr>
      </w:pPr>
      <w:r>
        <w:rPr>
          <w:rFonts w:ascii="宋体" w:hAnsi="宋体" w:eastAsia="宋体" w:cs="宋体"/>
          <w:spacing w:val="12"/>
          <w:sz w:val="17"/>
          <w:szCs w:val="17"/>
        </w:rPr>
        <w:t>(二)专项技能</w:t>
      </w:r>
    </w:p>
    <w:p w14:paraId="1DDC579B">
      <w:pPr>
        <w:spacing w:before="87" w:line="303" w:lineRule="auto"/>
        <w:ind w:left="349" w:right="2416"/>
        <w:rPr>
          <w:rFonts w:ascii="宋体" w:hAnsi="宋体" w:eastAsia="宋体" w:cs="宋体"/>
          <w:sz w:val="17"/>
          <w:szCs w:val="17"/>
        </w:rPr>
      </w:pPr>
      <w:r>
        <w:rPr>
          <w:rFonts w:ascii="宋体" w:hAnsi="宋体" w:eastAsia="宋体" w:cs="宋体"/>
          <w:sz w:val="17"/>
          <w:szCs w:val="17"/>
        </w:rPr>
        <w:t xml:space="preserve">1、测试内容及分值 </w:t>
      </w:r>
      <w:r>
        <w:rPr>
          <w:rFonts w:ascii="宋体" w:hAnsi="宋体" w:eastAsia="宋体" w:cs="宋体"/>
          <w:spacing w:val="23"/>
          <w:sz w:val="17"/>
          <w:szCs w:val="17"/>
        </w:rPr>
        <w:t>实战(150分)。</w:t>
      </w:r>
    </w:p>
    <w:p w14:paraId="4CD2E2E5">
      <w:pPr>
        <w:spacing w:before="33" w:line="221" w:lineRule="auto"/>
        <w:ind w:left="349"/>
        <w:rPr>
          <w:rFonts w:ascii="宋体" w:hAnsi="宋体" w:eastAsia="宋体" w:cs="宋体"/>
          <w:sz w:val="17"/>
          <w:szCs w:val="17"/>
        </w:rPr>
      </w:pPr>
      <w:r>
        <w:rPr>
          <w:rFonts w:ascii="宋体" w:hAnsi="宋体" w:eastAsia="宋体" w:cs="宋体"/>
          <w:spacing w:val="-4"/>
          <w:sz w:val="17"/>
          <w:szCs w:val="17"/>
        </w:rPr>
        <w:t>2、测试方法</w:t>
      </w:r>
    </w:p>
    <w:p w14:paraId="25D5652D">
      <w:pPr>
        <w:spacing w:before="75" w:line="302" w:lineRule="auto"/>
        <w:ind w:firstLine="349"/>
        <w:rPr>
          <w:rFonts w:ascii="宋体" w:hAnsi="宋体" w:eastAsia="宋体" w:cs="宋体"/>
          <w:sz w:val="17"/>
          <w:szCs w:val="17"/>
        </w:rPr>
      </w:pPr>
      <w:r>
        <w:rPr>
          <w:rFonts w:ascii="宋体" w:hAnsi="宋体" w:eastAsia="宋体" w:cs="宋体"/>
          <w:spacing w:val="-2"/>
          <w:sz w:val="17"/>
          <w:szCs w:val="17"/>
        </w:rPr>
        <w:t>前手翻测试方法：在技巧单跳板或地毯上完成</w:t>
      </w:r>
      <w:r>
        <w:rPr>
          <w:rFonts w:ascii="宋体" w:hAnsi="宋体" w:eastAsia="宋体" w:cs="宋体"/>
          <w:spacing w:val="-3"/>
          <w:sz w:val="17"/>
          <w:szCs w:val="17"/>
        </w:rPr>
        <w:t>动作，</w:t>
      </w:r>
      <w:r>
        <w:rPr>
          <w:rFonts w:ascii="宋体" w:hAnsi="宋体" w:eastAsia="宋体" w:cs="宋体"/>
          <w:sz w:val="17"/>
          <w:szCs w:val="17"/>
        </w:rPr>
        <w:t xml:space="preserve"> </w:t>
      </w:r>
      <w:r>
        <w:rPr>
          <w:rFonts w:ascii="宋体" w:hAnsi="宋体" w:eastAsia="宋体" w:cs="宋体"/>
          <w:spacing w:val="-2"/>
          <w:sz w:val="17"/>
          <w:szCs w:val="17"/>
        </w:rPr>
        <w:t>要求完成的前手翻有推手、腾空和空中并腿动作。</w:t>
      </w:r>
    </w:p>
    <w:p w14:paraId="675D32E8">
      <w:pPr>
        <w:spacing w:before="25" w:line="306" w:lineRule="auto"/>
        <w:ind w:right="11" w:firstLine="349"/>
        <w:rPr>
          <w:rFonts w:ascii="宋体" w:hAnsi="宋体" w:eastAsia="宋体" w:cs="宋体"/>
          <w:sz w:val="17"/>
          <w:szCs w:val="17"/>
        </w:rPr>
      </w:pPr>
      <w:r>
        <w:rPr>
          <w:rFonts w:ascii="宋体" w:hAnsi="宋体" w:eastAsia="宋体" w:cs="宋体"/>
          <w:spacing w:val="-3"/>
          <w:sz w:val="17"/>
          <w:szCs w:val="17"/>
        </w:rPr>
        <w:t>自选套测试方法：在技巧单跳板或地毯上完成动作。</w:t>
      </w:r>
      <w:r>
        <w:rPr>
          <w:rFonts w:ascii="宋体" w:hAnsi="宋体" w:eastAsia="宋体" w:cs="宋体"/>
          <w:spacing w:val="8"/>
          <w:sz w:val="17"/>
          <w:szCs w:val="17"/>
        </w:rPr>
        <w:t xml:space="preserve"> </w:t>
      </w:r>
      <w:r>
        <w:rPr>
          <w:rFonts w:ascii="宋体" w:hAnsi="宋体" w:eastAsia="宋体" w:cs="宋体"/>
          <w:spacing w:val="2"/>
          <w:sz w:val="17"/>
          <w:szCs w:val="17"/>
        </w:rPr>
        <w:t>考生根据自己的能力和本人掌握的单人动作来选择一套</w:t>
      </w:r>
      <w:r>
        <w:rPr>
          <w:rFonts w:ascii="宋体" w:hAnsi="宋体" w:eastAsia="宋体" w:cs="宋体"/>
          <w:sz w:val="17"/>
          <w:szCs w:val="17"/>
        </w:rPr>
        <w:t xml:space="preserve">  </w:t>
      </w:r>
      <w:r>
        <w:rPr>
          <w:rFonts w:ascii="宋体" w:hAnsi="宋体" w:eastAsia="宋体" w:cs="宋体"/>
          <w:spacing w:val="-3"/>
          <w:sz w:val="17"/>
          <w:szCs w:val="17"/>
        </w:rPr>
        <w:t>不同分值起评的动作来完成。</w:t>
      </w:r>
    </w:p>
    <w:p w14:paraId="2FCF2EF0">
      <w:pPr>
        <w:spacing w:before="24" w:line="303" w:lineRule="auto"/>
        <w:ind w:right="84" w:firstLine="349"/>
        <w:rPr>
          <w:rFonts w:ascii="宋体" w:hAnsi="宋体" w:eastAsia="宋体" w:cs="宋体"/>
          <w:sz w:val="17"/>
          <w:szCs w:val="17"/>
        </w:rPr>
      </w:pPr>
      <w:r>
        <w:rPr>
          <w:rFonts w:ascii="宋体" w:hAnsi="宋体" w:eastAsia="宋体" w:cs="宋体"/>
          <w:spacing w:val="1"/>
          <w:sz w:val="17"/>
          <w:szCs w:val="17"/>
        </w:rPr>
        <w:t>大跨跳测试方法：在地毯上助跑完成连续两次的大</w:t>
      </w:r>
      <w:r>
        <w:rPr>
          <w:rFonts w:ascii="宋体" w:hAnsi="宋体" w:eastAsia="宋体" w:cs="宋体"/>
          <w:spacing w:val="14"/>
          <w:sz w:val="17"/>
          <w:szCs w:val="17"/>
        </w:rPr>
        <w:t xml:space="preserve"> </w:t>
      </w:r>
      <w:r>
        <w:rPr>
          <w:rFonts w:ascii="宋体" w:hAnsi="宋体" w:eastAsia="宋体" w:cs="宋体"/>
          <w:spacing w:val="-6"/>
          <w:sz w:val="17"/>
          <w:szCs w:val="17"/>
        </w:rPr>
        <w:t>跨跳动作。</w:t>
      </w:r>
    </w:p>
    <w:p w14:paraId="01B0B808">
      <w:pPr>
        <w:spacing w:before="32" w:line="220" w:lineRule="auto"/>
        <w:ind w:left="3"/>
        <w:rPr>
          <w:rFonts w:ascii="宋体" w:hAnsi="宋体" w:eastAsia="宋体" w:cs="宋体"/>
          <w:sz w:val="22"/>
          <w:szCs w:val="22"/>
        </w:rPr>
      </w:pPr>
      <w:r>
        <w:rPr>
          <w:rFonts w:ascii="宋体" w:hAnsi="宋体" w:eastAsia="宋体" w:cs="宋体"/>
          <w:b/>
          <w:bCs/>
          <w:spacing w:val="5"/>
          <w:sz w:val="22"/>
          <w:szCs w:val="22"/>
        </w:rPr>
        <w:t>十一、跆拳道</w:t>
      </w:r>
    </w:p>
    <w:p w14:paraId="464CECD5">
      <w:pPr>
        <w:spacing w:before="88" w:line="219" w:lineRule="auto"/>
        <w:ind w:left="409"/>
        <w:rPr>
          <w:rFonts w:ascii="宋体" w:hAnsi="宋体" w:eastAsia="宋体" w:cs="宋体"/>
          <w:sz w:val="17"/>
          <w:szCs w:val="17"/>
        </w:rPr>
      </w:pPr>
      <w:r>
        <w:rPr>
          <w:rFonts w:ascii="宋体" w:hAnsi="宋体" w:eastAsia="宋体" w:cs="宋体"/>
          <w:spacing w:val="11"/>
          <w:sz w:val="17"/>
          <w:szCs w:val="17"/>
        </w:rPr>
        <w:t>(</w:t>
      </w:r>
      <w:r>
        <w:rPr>
          <w:rFonts w:ascii="宋体" w:hAnsi="宋体" w:eastAsia="宋体" w:cs="宋体"/>
          <w:spacing w:val="-44"/>
          <w:sz w:val="17"/>
          <w:szCs w:val="17"/>
        </w:rPr>
        <w:t xml:space="preserve"> </w:t>
      </w:r>
      <w:r>
        <w:rPr>
          <w:rFonts w:ascii="宋体" w:hAnsi="宋体" w:eastAsia="宋体" w:cs="宋体"/>
          <w:spacing w:val="11"/>
          <w:sz w:val="17"/>
          <w:szCs w:val="17"/>
        </w:rPr>
        <w:t>一)专项素质</w:t>
      </w:r>
    </w:p>
    <w:p w14:paraId="736F9525">
      <w:pPr>
        <w:spacing w:before="88" w:line="219" w:lineRule="auto"/>
        <w:ind w:left="349"/>
        <w:rPr>
          <w:rFonts w:ascii="宋体" w:hAnsi="宋体" w:eastAsia="宋体" w:cs="宋体"/>
          <w:sz w:val="17"/>
          <w:szCs w:val="17"/>
        </w:rPr>
      </w:pPr>
      <w:r>
        <w:rPr>
          <w:rFonts w:ascii="宋体" w:hAnsi="宋体" w:eastAsia="宋体" w:cs="宋体"/>
          <w:sz w:val="17"/>
          <w:szCs w:val="17"/>
        </w:rPr>
        <w:t>1、测试内容及分值</w:t>
      </w:r>
    </w:p>
    <w:p w14:paraId="36F271A8">
      <w:pPr>
        <w:spacing w:before="88" w:line="314" w:lineRule="auto"/>
        <w:ind w:right="63" w:firstLine="349"/>
        <w:rPr>
          <w:rFonts w:ascii="宋体" w:hAnsi="宋体" w:eastAsia="宋体" w:cs="宋体"/>
          <w:sz w:val="17"/>
          <w:szCs w:val="17"/>
        </w:rPr>
      </w:pPr>
      <w:r>
        <w:rPr>
          <w:rFonts w:ascii="宋体" w:hAnsi="宋体" w:eastAsia="宋体" w:cs="宋体"/>
          <w:spacing w:val="21"/>
          <w:sz w:val="17"/>
          <w:szCs w:val="17"/>
        </w:rPr>
        <w:t>800米(90分);双飞(70分);左右高位横踢(70</w:t>
      </w:r>
      <w:r>
        <w:rPr>
          <w:rFonts w:ascii="宋体" w:hAnsi="宋体" w:eastAsia="宋体" w:cs="宋体"/>
          <w:sz w:val="17"/>
          <w:szCs w:val="17"/>
        </w:rPr>
        <w:t xml:space="preserve"> </w:t>
      </w:r>
      <w:r>
        <w:rPr>
          <w:rFonts w:ascii="宋体" w:hAnsi="宋体" w:eastAsia="宋体" w:cs="宋体"/>
          <w:spacing w:val="28"/>
          <w:sz w:val="17"/>
          <w:szCs w:val="17"/>
        </w:rPr>
        <w:t>分);组合动作(70分)。</w:t>
      </w:r>
    </w:p>
    <w:p w14:paraId="3125E713">
      <w:pPr>
        <w:spacing w:before="3" w:line="221" w:lineRule="auto"/>
        <w:ind w:left="349"/>
        <w:rPr>
          <w:rFonts w:ascii="宋体" w:hAnsi="宋体" w:eastAsia="宋体" w:cs="宋体"/>
          <w:sz w:val="17"/>
          <w:szCs w:val="17"/>
        </w:rPr>
      </w:pPr>
      <w:r>
        <w:rPr>
          <w:rFonts w:ascii="宋体" w:hAnsi="宋体" w:eastAsia="宋体" w:cs="宋体"/>
          <w:spacing w:val="-4"/>
          <w:sz w:val="17"/>
          <w:szCs w:val="17"/>
        </w:rPr>
        <w:t>2、测试方法</w:t>
      </w:r>
    </w:p>
    <w:p w14:paraId="1AB3D1F9">
      <w:pPr>
        <w:spacing w:before="85" w:line="289" w:lineRule="auto"/>
        <w:ind w:right="57" w:firstLine="349"/>
        <w:rPr>
          <w:rFonts w:ascii="宋体" w:hAnsi="宋体" w:eastAsia="宋体" w:cs="宋体"/>
          <w:sz w:val="17"/>
          <w:szCs w:val="17"/>
        </w:rPr>
      </w:pPr>
      <w:r>
        <w:rPr>
          <w:rFonts w:ascii="宋体" w:hAnsi="宋体" w:eastAsia="宋体" w:cs="宋体"/>
          <w:spacing w:val="2"/>
          <w:sz w:val="17"/>
          <w:szCs w:val="17"/>
        </w:rPr>
        <w:t>双飞测试方法：考生使用双飞踢技术连续击打大沙</w:t>
      </w:r>
      <w:r>
        <w:rPr>
          <w:rFonts w:ascii="宋体" w:hAnsi="宋体" w:eastAsia="宋体" w:cs="宋体"/>
          <w:spacing w:val="15"/>
          <w:sz w:val="17"/>
          <w:szCs w:val="17"/>
        </w:rPr>
        <w:t xml:space="preserve"> </w:t>
      </w:r>
      <w:r>
        <w:rPr>
          <w:rFonts w:ascii="宋体" w:hAnsi="宋体" w:eastAsia="宋体" w:cs="宋体"/>
          <w:spacing w:val="8"/>
          <w:sz w:val="17"/>
          <w:szCs w:val="17"/>
        </w:rPr>
        <w:t>包，两脚不可同时着地，时间为20秒。准确、有力、</w:t>
      </w:r>
      <w:r>
        <w:rPr>
          <w:rFonts w:ascii="宋体" w:hAnsi="宋体" w:eastAsia="宋体" w:cs="宋体"/>
          <w:spacing w:val="12"/>
          <w:sz w:val="17"/>
          <w:szCs w:val="17"/>
        </w:rPr>
        <w:t xml:space="preserve"> </w:t>
      </w:r>
      <w:r>
        <w:rPr>
          <w:rFonts w:ascii="宋体" w:hAnsi="宋体" w:eastAsia="宋体" w:cs="宋体"/>
          <w:spacing w:val="2"/>
          <w:sz w:val="17"/>
          <w:szCs w:val="17"/>
        </w:rPr>
        <w:t>符合双飞踢技术标准的击打为有效击打。对考生在规定 时间内完成有效击打的次数进行计数，无效击打不</w:t>
      </w:r>
      <w:r>
        <w:rPr>
          <w:rFonts w:ascii="宋体" w:hAnsi="宋体" w:eastAsia="宋体" w:cs="宋体"/>
          <w:spacing w:val="1"/>
          <w:sz w:val="17"/>
          <w:szCs w:val="17"/>
        </w:rPr>
        <w:t>予计</w:t>
      </w:r>
      <w:r>
        <w:rPr>
          <w:rFonts w:ascii="宋体" w:hAnsi="宋体" w:eastAsia="宋体" w:cs="宋体"/>
          <w:sz w:val="17"/>
          <w:szCs w:val="17"/>
        </w:rPr>
        <w:t xml:space="preserve"> </w:t>
      </w:r>
      <w:r>
        <w:rPr>
          <w:rFonts w:ascii="宋体" w:hAnsi="宋体" w:eastAsia="宋体" w:cs="宋体"/>
          <w:spacing w:val="-4"/>
          <w:sz w:val="17"/>
          <w:szCs w:val="17"/>
        </w:rPr>
        <w:t>数。要求考生击打的高度为：沙包底部距离地面：男生：</w:t>
      </w:r>
    </w:p>
    <w:p w14:paraId="0BE3E7B3">
      <w:pPr>
        <w:spacing w:line="289" w:lineRule="auto"/>
        <w:rPr>
          <w:rFonts w:ascii="宋体" w:hAnsi="宋体" w:eastAsia="宋体" w:cs="宋体"/>
          <w:sz w:val="17"/>
          <w:szCs w:val="17"/>
        </w:rPr>
        <w:sectPr>
          <w:type w:val="continuous"/>
          <w:pgSz w:w="10660" w:h="15080"/>
          <w:pgMar w:top="400" w:right="837" w:bottom="898" w:left="1019" w:header="0" w:footer="745" w:gutter="0"/>
          <w:cols w:equalWidth="0" w:num="2">
            <w:col w:w="4491" w:space="100"/>
            <w:col w:w="4213"/>
          </w:cols>
        </w:sectPr>
      </w:pPr>
    </w:p>
    <w:p w14:paraId="72BFECD2">
      <w:pPr>
        <w:spacing w:before="1"/>
      </w:pPr>
    </w:p>
    <w:p w14:paraId="24AC7372">
      <w:pPr>
        <w:spacing w:before="1"/>
      </w:pPr>
    </w:p>
    <w:p w14:paraId="3A27C0EF">
      <w:pPr>
        <w:spacing w:before="1"/>
      </w:pPr>
    </w:p>
    <w:p w14:paraId="53FDE780">
      <w:pPr>
        <w:spacing w:before="1"/>
      </w:pPr>
    </w:p>
    <w:p w14:paraId="49B4F65B">
      <w:pPr>
        <w:sectPr>
          <w:footerReference r:id="rId154" w:type="default"/>
          <w:pgSz w:w="10660" w:h="15080"/>
          <w:pgMar w:top="400" w:right="974" w:bottom="896" w:left="819" w:header="0" w:footer="743" w:gutter="0"/>
          <w:cols w:equalWidth="0" w:num="1">
            <w:col w:w="8866"/>
          </w:cols>
        </w:sectPr>
      </w:pPr>
    </w:p>
    <w:p w14:paraId="5E8CA8A9">
      <w:pPr>
        <w:spacing w:before="34" w:line="306" w:lineRule="auto"/>
        <w:ind w:left="52" w:right="372"/>
        <w:jc w:val="both"/>
        <w:rPr>
          <w:rFonts w:ascii="宋体" w:hAnsi="宋体" w:eastAsia="宋体" w:cs="宋体"/>
          <w:sz w:val="17"/>
          <w:szCs w:val="17"/>
        </w:rPr>
      </w:pPr>
      <w:r>
        <w:rPr>
          <w:rFonts w:ascii="宋体" w:hAnsi="宋体" w:eastAsia="宋体" w:cs="宋体"/>
          <w:b/>
          <w:bCs/>
          <w:spacing w:val="12"/>
          <w:sz w:val="17"/>
          <w:szCs w:val="17"/>
        </w:rPr>
        <w:t>身高170厘米以下为85厘米；身高170厘米以上为95</w:t>
      </w:r>
      <w:r>
        <w:rPr>
          <w:rFonts w:ascii="宋体" w:hAnsi="宋体" w:eastAsia="宋体" w:cs="宋体"/>
          <w:spacing w:val="12"/>
          <w:sz w:val="17"/>
          <w:szCs w:val="17"/>
        </w:rPr>
        <w:t xml:space="preserve"> </w:t>
      </w:r>
      <w:r>
        <w:rPr>
          <w:rFonts w:ascii="宋体" w:hAnsi="宋体" w:eastAsia="宋体" w:cs="宋体"/>
          <w:b/>
          <w:bCs/>
          <w:spacing w:val="13"/>
          <w:sz w:val="17"/>
          <w:szCs w:val="17"/>
        </w:rPr>
        <w:t>厘米；女生：身高160厘米以下为70厘米；身高1</w:t>
      </w:r>
      <w:r>
        <w:rPr>
          <w:rFonts w:ascii="宋体" w:hAnsi="宋体" w:eastAsia="宋体" w:cs="宋体"/>
          <w:b/>
          <w:bCs/>
          <w:spacing w:val="12"/>
          <w:sz w:val="17"/>
          <w:szCs w:val="17"/>
        </w:rPr>
        <w:t>60</w:t>
      </w:r>
      <w:r>
        <w:rPr>
          <w:rFonts w:ascii="宋体" w:hAnsi="宋体" w:eastAsia="宋体" w:cs="宋体"/>
          <w:sz w:val="17"/>
          <w:szCs w:val="17"/>
        </w:rPr>
        <w:t xml:space="preserve"> </w:t>
      </w:r>
      <w:r>
        <w:rPr>
          <w:rFonts w:ascii="宋体" w:hAnsi="宋体" w:eastAsia="宋体" w:cs="宋体"/>
          <w:b/>
          <w:bCs/>
          <w:spacing w:val="5"/>
          <w:sz w:val="17"/>
          <w:szCs w:val="17"/>
        </w:rPr>
        <w:t>厘米以上为75厘米。</w:t>
      </w:r>
    </w:p>
    <w:p w14:paraId="1F54D27C">
      <w:pPr>
        <w:spacing w:before="26" w:line="311" w:lineRule="auto"/>
        <w:ind w:left="49" w:right="281" w:firstLine="359"/>
        <w:rPr>
          <w:rFonts w:ascii="宋体" w:hAnsi="宋体" w:eastAsia="宋体" w:cs="宋体"/>
          <w:sz w:val="17"/>
          <w:szCs w:val="17"/>
        </w:rPr>
      </w:pPr>
      <w:r>
        <w:rPr>
          <w:rFonts w:ascii="宋体" w:hAnsi="宋体" w:eastAsia="宋体" w:cs="宋体"/>
          <w:spacing w:val="1"/>
          <w:sz w:val="17"/>
          <w:szCs w:val="17"/>
        </w:rPr>
        <w:t>左右高位横踢测试方法：考生使用高横踢技术连续</w:t>
      </w:r>
      <w:r>
        <w:rPr>
          <w:rFonts w:ascii="宋体" w:hAnsi="宋体" w:eastAsia="宋体" w:cs="宋体"/>
          <w:spacing w:val="2"/>
          <w:sz w:val="17"/>
          <w:szCs w:val="17"/>
        </w:rPr>
        <w:t xml:space="preserve">  </w:t>
      </w:r>
      <w:r>
        <w:rPr>
          <w:rFonts w:ascii="宋体" w:hAnsi="宋体" w:eastAsia="宋体" w:cs="宋体"/>
          <w:spacing w:val="19"/>
          <w:sz w:val="17"/>
          <w:szCs w:val="17"/>
        </w:rPr>
        <w:t>击打脚靶(左右腿交替进行),时间为20秒。每个技</w:t>
      </w:r>
      <w:r>
        <w:rPr>
          <w:rFonts w:ascii="宋体" w:hAnsi="宋体" w:eastAsia="宋体" w:cs="宋体"/>
          <w:spacing w:val="7"/>
          <w:sz w:val="17"/>
          <w:szCs w:val="17"/>
        </w:rPr>
        <w:t xml:space="preserve">  </w:t>
      </w:r>
      <w:r>
        <w:rPr>
          <w:rFonts w:ascii="宋体" w:hAnsi="宋体" w:eastAsia="宋体" w:cs="宋体"/>
          <w:spacing w:val="5"/>
          <w:sz w:val="17"/>
          <w:szCs w:val="17"/>
        </w:rPr>
        <w:t>术动作须达到技术规范，方被视为有效(技术规范是指</w:t>
      </w:r>
      <w:r>
        <w:rPr>
          <w:rFonts w:ascii="宋体" w:hAnsi="宋体" w:eastAsia="宋体" w:cs="宋体"/>
          <w:spacing w:val="7"/>
          <w:sz w:val="17"/>
          <w:szCs w:val="17"/>
        </w:rPr>
        <w:t xml:space="preserve">  </w:t>
      </w:r>
      <w:r>
        <w:rPr>
          <w:rFonts w:ascii="宋体" w:hAnsi="宋体" w:eastAsia="宋体" w:cs="宋体"/>
          <w:spacing w:val="-2"/>
          <w:sz w:val="17"/>
          <w:szCs w:val="17"/>
        </w:rPr>
        <w:t>动作路线正确、步法灵活、动作连贯、速度快、力量足、</w:t>
      </w:r>
      <w:r>
        <w:rPr>
          <w:rFonts w:ascii="宋体" w:hAnsi="宋体" w:eastAsia="宋体" w:cs="宋体"/>
          <w:spacing w:val="17"/>
          <w:sz w:val="17"/>
          <w:szCs w:val="17"/>
        </w:rPr>
        <w:t xml:space="preserve"> </w:t>
      </w:r>
      <w:r>
        <w:rPr>
          <w:rFonts w:ascii="宋体" w:hAnsi="宋体" w:eastAsia="宋体" w:cs="宋体"/>
          <w:spacing w:val="5"/>
          <w:sz w:val="17"/>
          <w:szCs w:val="17"/>
        </w:rPr>
        <w:t>有气势、击打准确及效果明显)。考评员对考生在规定</w:t>
      </w:r>
      <w:r>
        <w:rPr>
          <w:rFonts w:ascii="宋体" w:hAnsi="宋体" w:eastAsia="宋体" w:cs="宋体"/>
          <w:spacing w:val="7"/>
          <w:sz w:val="17"/>
          <w:szCs w:val="17"/>
        </w:rPr>
        <w:t xml:space="preserve">  </w:t>
      </w:r>
      <w:r>
        <w:rPr>
          <w:rFonts w:ascii="宋体" w:hAnsi="宋体" w:eastAsia="宋体" w:cs="宋体"/>
          <w:spacing w:val="2"/>
          <w:sz w:val="17"/>
          <w:szCs w:val="17"/>
        </w:rPr>
        <w:t>时间内完成有效技术的次数进行计数。靶位高度：</w:t>
      </w:r>
      <w:r>
        <w:rPr>
          <w:rFonts w:ascii="宋体" w:hAnsi="宋体" w:eastAsia="宋体" w:cs="宋体"/>
          <w:spacing w:val="1"/>
          <w:sz w:val="17"/>
          <w:szCs w:val="17"/>
        </w:rPr>
        <w:t>以受</w:t>
      </w:r>
      <w:r>
        <w:rPr>
          <w:rFonts w:ascii="宋体" w:hAnsi="宋体" w:eastAsia="宋体" w:cs="宋体"/>
          <w:sz w:val="17"/>
          <w:szCs w:val="17"/>
        </w:rPr>
        <w:t xml:space="preserve">  </w:t>
      </w:r>
      <w:r>
        <w:rPr>
          <w:rFonts w:ascii="宋体" w:hAnsi="宋体" w:eastAsia="宋体" w:cs="宋体"/>
          <w:spacing w:val="-1"/>
          <w:sz w:val="17"/>
          <w:szCs w:val="17"/>
        </w:rPr>
        <w:t>测者的腰腹部为最低靶位高度。</w:t>
      </w:r>
    </w:p>
    <w:p w14:paraId="605B584C">
      <w:pPr>
        <w:spacing w:before="28" w:line="311" w:lineRule="auto"/>
        <w:ind w:left="49" w:right="353" w:firstLine="359"/>
        <w:rPr>
          <w:rFonts w:ascii="宋体" w:hAnsi="宋体" w:eastAsia="宋体" w:cs="宋体"/>
          <w:sz w:val="17"/>
          <w:szCs w:val="17"/>
        </w:rPr>
      </w:pPr>
      <w:r>
        <w:rPr>
          <w:rFonts w:ascii="宋体" w:hAnsi="宋体" w:eastAsia="宋体" w:cs="宋体"/>
          <w:spacing w:val="4"/>
          <w:sz w:val="17"/>
          <w:szCs w:val="17"/>
        </w:rPr>
        <w:t>组合动作(护具靶技术)测试方法：1人穿戴护具，</w:t>
      </w:r>
      <w:r>
        <w:rPr>
          <w:rFonts w:ascii="宋体" w:hAnsi="宋体" w:eastAsia="宋体" w:cs="宋体"/>
          <w:spacing w:val="6"/>
          <w:sz w:val="17"/>
          <w:szCs w:val="17"/>
        </w:rPr>
        <w:t xml:space="preserve"> </w:t>
      </w:r>
      <w:r>
        <w:rPr>
          <w:rFonts w:ascii="宋体" w:hAnsi="宋体" w:eastAsia="宋体" w:cs="宋体"/>
          <w:spacing w:val="5"/>
          <w:sz w:val="17"/>
          <w:szCs w:val="17"/>
        </w:rPr>
        <w:t>考生依次完成(均以左势准备姿势开始):前腿跳下劈—</w:t>
      </w:r>
      <w:r>
        <w:rPr>
          <w:rFonts w:ascii="宋体" w:hAnsi="宋体" w:eastAsia="宋体" w:cs="宋体"/>
          <w:spacing w:val="3"/>
          <w:sz w:val="17"/>
          <w:szCs w:val="17"/>
        </w:rPr>
        <w:t xml:space="preserve"> </w:t>
      </w:r>
      <w:r>
        <w:rPr>
          <w:rFonts w:ascii="宋体" w:hAnsi="宋体" w:eastAsia="宋体" w:cs="宋体"/>
          <w:spacing w:val="-5"/>
          <w:sz w:val="17"/>
          <w:szCs w:val="17"/>
        </w:rPr>
        <w:t>后腿横踢——旋风踢、左右横踢——后踢、后腿横踢——</w:t>
      </w:r>
      <w:r>
        <w:rPr>
          <w:rFonts w:ascii="宋体" w:hAnsi="宋体" w:eastAsia="宋体" w:cs="宋体"/>
          <w:spacing w:val="18"/>
          <w:sz w:val="17"/>
          <w:szCs w:val="17"/>
        </w:rPr>
        <w:t xml:space="preserve"> </w:t>
      </w:r>
      <w:r>
        <w:rPr>
          <w:rFonts w:ascii="宋体" w:hAnsi="宋体" w:eastAsia="宋体" w:cs="宋体"/>
          <w:spacing w:val="10"/>
          <w:sz w:val="17"/>
          <w:szCs w:val="17"/>
        </w:rPr>
        <w:t>后撤——旋风踢、前腿横踢——下劈——后踢、后撤</w:t>
      </w:r>
      <w:r>
        <w:rPr>
          <w:rFonts w:ascii="宋体" w:hAnsi="宋体" w:eastAsia="宋体" w:cs="宋体"/>
          <w:spacing w:val="5"/>
          <w:sz w:val="17"/>
          <w:szCs w:val="17"/>
        </w:rPr>
        <w:t xml:space="preserve"> 步——后腿下劈击头——后旋踢击头5个组合动作，要</w:t>
      </w:r>
      <w:r>
        <w:rPr>
          <w:rFonts w:ascii="宋体" w:hAnsi="宋体" w:eastAsia="宋体" w:cs="宋体"/>
          <w:spacing w:val="12"/>
          <w:sz w:val="17"/>
          <w:szCs w:val="17"/>
        </w:rPr>
        <w:t xml:space="preserve"> </w:t>
      </w:r>
      <w:r>
        <w:rPr>
          <w:rFonts w:ascii="宋体" w:hAnsi="宋体" w:eastAsia="宋体" w:cs="宋体"/>
          <w:spacing w:val="2"/>
          <w:sz w:val="17"/>
          <w:szCs w:val="17"/>
        </w:rPr>
        <w:t>求考生技术动作规范、协调，有节奏感，每组动作完成</w:t>
      </w:r>
      <w:r>
        <w:rPr>
          <w:rFonts w:ascii="宋体" w:hAnsi="宋体" w:eastAsia="宋体" w:cs="宋体"/>
          <w:sz w:val="17"/>
          <w:szCs w:val="17"/>
        </w:rPr>
        <w:t xml:space="preserve"> </w:t>
      </w:r>
      <w:r>
        <w:rPr>
          <w:rFonts w:ascii="宋体" w:hAnsi="宋体" w:eastAsia="宋体" w:cs="宋体"/>
          <w:spacing w:val="7"/>
          <w:sz w:val="17"/>
          <w:szCs w:val="17"/>
        </w:rPr>
        <w:t>后再进行下1组的动作。</w:t>
      </w:r>
    </w:p>
    <w:p w14:paraId="12D5A8C0">
      <w:pPr>
        <w:spacing w:before="23" w:line="220" w:lineRule="auto"/>
        <w:ind w:left="480"/>
        <w:rPr>
          <w:rFonts w:ascii="宋体" w:hAnsi="宋体" w:eastAsia="宋体" w:cs="宋体"/>
          <w:sz w:val="17"/>
          <w:szCs w:val="17"/>
        </w:rPr>
      </w:pPr>
      <w:r>
        <w:rPr>
          <w:rFonts w:ascii="宋体" w:hAnsi="宋体" w:eastAsia="宋体" w:cs="宋体"/>
          <w:spacing w:val="14"/>
          <w:sz w:val="17"/>
          <w:szCs w:val="17"/>
        </w:rPr>
        <w:t>(二)专项技能</w:t>
      </w:r>
    </w:p>
    <w:p w14:paraId="4BC8C9F8">
      <w:pPr>
        <w:spacing w:before="96" w:line="292" w:lineRule="auto"/>
        <w:ind w:left="409" w:right="2713"/>
        <w:rPr>
          <w:rFonts w:ascii="宋体" w:hAnsi="宋体" w:eastAsia="宋体" w:cs="宋体"/>
          <w:sz w:val="17"/>
          <w:szCs w:val="17"/>
        </w:rPr>
      </w:pPr>
      <w:r>
        <w:rPr>
          <w:rFonts w:ascii="宋体" w:hAnsi="宋体" w:eastAsia="宋体" w:cs="宋体"/>
          <w:spacing w:val="-3"/>
          <w:sz w:val="17"/>
          <w:szCs w:val="17"/>
        </w:rPr>
        <w:t>1、测试内容及分值</w:t>
      </w:r>
      <w:r>
        <w:rPr>
          <w:rFonts w:ascii="宋体" w:hAnsi="宋体" w:eastAsia="宋体" w:cs="宋体"/>
          <w:spacing w:val="7"/>
          <w:sz w:val="17"/>
          <w:szCs w:val="17"/>
        </w:rPr>
        <w:t xml:space="preserve"> </w:t>
      </w:r>
      <w:r>
        <w:rPr>
          <w:rFonts w:ascii="宋体" w:hAnsi="宋体" w:eastAsia="宋体" w:cs="宋体"/>
          <w:spacing w:val="21"/>
          <w:sz w:val="17"/>
          <w:szCs w:val="17"/>
        </w:rPr>
        <w:t>实战(150分)。</w:t>
      </w:r>
    </w:p>
    <w:p w14:paraId="6A7414CB">
      <w:pPr>
        <w:spacing w:before="44" w:line="221" w:lineRule="auto"/>
        <w:ind w:left="409"/>
        <w:rPr>
          <w:rFonts w:ascii="宋体" w:hAnsi="宋体" w:eastAsia="宋体" w:cs="宋体"/>
          <w:sz w:val="17"/>
          <w:szCs w:val="17"/>
        </w:rPr>
      </w:pPr>
      <w:r>
        <w:rPr>
          <w:rFonts w:ascii="宋体" w:hAnsi="宋体" w:eastAsia="宋体" w:cs="宋体"/>
          <w:spacing w:val="1"/>
          <w:sz w:val="17"/>
          <w:szCs w:val="17"/>
        </w:rPr>
        <w:t>2、测试方法</w:t>
      </w:r>
    </w:p>
    <w:p w14:paraId="65E6731A">
      <w:pPr>
        <w:spacing w:before="74" w:line="309" w:lineRule="auto"/>
        <w:ind w:left="49" w:right="371" w:firstLine="359"/>
        <w:jc w:val="both"/>
        <w:rPr>
          <w:rFonts w:ascii="宋体" w:hAnsi="宋体" w:eastAsia="宋体" w:cs="宋体"/>
          <w:sz w:val="17"/>
          <w:szCs w:val="17"/>
        </w:rPr>
      </w:pPr>
      <w:r>
        <w:rPr>
          <w:rFonts w:ascii="宋体" w:hAnsi="宋体" w:eastAsia="宋体" w:cs="宋体"/>
          <w:spacing w:val="1"/>
          <w:sz w:val="17"/>
          <w:szCs w:val="17"/>
        </w:rPr>
        <w:t>实战比赛：同一级别内，随机配对进行实战，配对</w:t>
      </w:r>
      <w:r>
        <w:rPr>
          <w:rFonts w:ascii="宋体" w:hAnsi="宋体" w:eastAsia="宋体" w:cs="宋体"/>
          <w:spacing w:val="4"/>
          <w:sz w:val="17"/>
          <w:szCs w:val="17"/>
        </w:rPr>
        <w:t xml:space="preserve"> </w:t>
      </w:r>
      <w:r>
        <w:rPr>
          <w:rFonts w:ascii="宋体" w:hAnsi="宋体" w:eastAsia="宋体" w:cs="宋体"/>
          <w:spacing w:val="5"/>
          <w:sz w:val="17"/>
          <w:szCs w:val="17"/>
        </w:rPr>
        <w:t>的考生体重相差不得超过4</w:t>
      </w:r>
      <w:r>
        <w:rPr>
          <w:rFonts w:ascii="Times New Roman" w:hAnsi="Times New Roman" w:eastAsia="Times New Roman" w:cs="Times New Roman"/>
          <w:sz w:val="17"/>
          <w:szCs w:val="17"/>
        </w:rPr>
        <w:t>kg</w:t>
      </w:r>
      <w:r>
        <w:rPr>
          <w:rFonts w:ascii="宋体" w:hAnsi="宋体" w:eastAsia="宋体" w:cs="宋体"/>
          <w:spacing w:val="5"/>
          <w:sz w:val="17"/>
          <w:szCs w:val="17"/>
        </w:rPr>
        <w:t>。在跆拳道垫子上进行实</w:t>
      </w:r>
      <w:r>
        <w:rPr>
          <w:rFonts w:ascii="宋体" w:hAnsi="宋体" w:eastAsia="宋体" w:cs="宋体"/>
          <w:spacing w:val="17"/>
          <w:sz w:val="17"/>
          <w:szCs w:val="17"/>
        </w:rPr>
        <w:t xml:space="preserve"> </w:t>
      </w:r>
      <w:r>
        <w:rPr>
          <w:rFonts w:ascii="宋体" w:hAnsi="宋体" w:eastAsia="宋体" w:cs="宋体"/>
          <w:spacing w:val="12"/>
          <w:sz w:val="17"/>
          <w:szCs w:val="17"/>
        </w:rPr>
        <w:t>战，时间为1—2分钟一局，共1局。同时对两人进行</w:t>
      </w:r>
      <w:r>
        <w:rPr>
          <w:rFonts w:ascii="宋体" w:hAnsi="宋体" w:eastAsia="宋体" w:cs="宋体"/>
          <w:spacing w:val="14"/>
          <w:sz w:val="17"/>
          <w:szCs w:val="17"/>
        </w:rPr>
        <w:t xml:space="preserve"> </w:t>
      </w:r>
      <w:r>
        <w:rPr>
          <w:rFonts w:ascii="宋体" w:hAnsi="宋体" w:eastAsia="宋体" w:cs="宋体"/>
          <w:spacing w:val="2"/>
          <w:sz w:val="17"/>
          <w:szCs w:val="17"/>
        </w:rPr>
        <w:t>评分。若双方实力悬殊，为保护考生安全，主考评</w:t>
      </w:r>
      <w:r>
        <w:rPr>
          <w:rFonts w:ascii="宋体" w:hAnsi="宋体" w:eastAsia="宋体" w:cs="宋体"/>
          <w:spacing w:val="1"/>
          <w:sz w:val="17"/>
          <w:szCs w:val="17"/>
        </w:rPr>
        <w:t>员可</w:t>
      </w:r>
      <w:r>
        <w:rPr>
          <w:rFonts w:ascii="宋体" w:hAnsi="宋体" w:eastAsia="宋体" w:cs="宋体"/>
          <w:sz w:val="17"/>
          <w:szCs w:val="17"/>
        </w:rPr>
        <w:t xml:space="preserve"> </w:t>
      </w:r>
      <w:r>
        <w:rPr>
          <w:rFonts w:ascii="宋体" w:hAnsi="宋体" w:eastAsia="宋体" w:cs="宋体"/>
          <w:spacing w:val="-4"/>
          <w:sz w:val="17"/>
          <w:szCs w:val="17"/>
        </w:rPr>
        <w:t>提前终止实战。</w:t>
      </w:r>
    </w:p>
    <w:p w14:paraId="36670A04">
      <w:pPr>
        <w:spacing w:before="38" w:line="220" w:lineRule="auto"/>
        <w:ind w:left="53"/>
        <w:rPr>
          <w:rFonts w:ascii="宋体" w:hAnsi="宋体" w:eastAsia="宋体" w:cs="宋体"/>
          <w:sz w:val="22"/>
          <w:szCs w:val="22"/>
        </w:rPr>
      </w:pPr>
      <w:r>
        <w:rPr>
          <w:rFonts w:ascii="宋体" w:hAnsi="宋体" w:eastAsia="宋体" w:cs="宋体"/>
          <w:b/>
          <w:bCs/>
          <w:spacing w:val="-2"/>
          <w:sz w:val="22"/>
          <w:szCs w:val="22"/>
        </w:rPr>
        <w:t>十二、拳击</w:t>
      </w:r>
    </w:p>
    <w:p w14:paraId="630B1699">
      <w:pPr>
        <w:spacing w:before="98" w:line="219" w:lineRule="auto"/>
        <w:ind w:left="480"/>
        <w:rPr>
          <w:rFonts w:ascii="宋体" w:hAnsi="宋体" w:eastAsia="宋体" w:cs="宋体"/>
          <w:sz w:val="17"/>
          <w:szCs w:val="17"/>
        </w:rPr>
      </w:pPr>
      <w:r>
        <w:rPr>
          <w:rFonts w:ascii="宋体" w:hAnsi="宋体" w:eastAsia="宋体" w:cs="宋体"/>
          <w:spacing w:val="15"/>
          <w:sz w:val="17"/>
          <w:szCs w:val="17"/>
        </w:rPr>
        <w:t>(一)专项素质</w:t>
      </w:r>
    </w:p>
    <w:p w14:paraId="5B3722CD">
      <w:pPr>
        <w:spacing w:before="89" w:line="219" w:lineRule="auto"/>
        <w:ind w:left="409"/>
        <w:rPr>
          <w:rFonts w:ascii="宋体" w:hAnsi="宋体" w:eastAsia="宋体" w:cs="宋体"/>
          <w:sz w:val="17"/>
          <w:szCs w:val="17"/>
        </w:rPr>
      </w:pPr>
      <w:r>
        <w:rPr>
          <w:rFonts w:ascii="宋体" w:hAnsi="宋体" w:eastAsia="宋体" w:cs="宋体"/>
          <w:spacing w:val="-3"/>
          <w:sz w:val="17"/>
          <w:szCs w:val="17"/>
        </w:rPr>
        <w:t>1、测试内容及分值</w:t>
      </w:r>
    </w:p>
    <w:p w14:paraId="55832610">
      <w:pPr>
        <w:spacing w:before="88" w:line="219" w:lineRule="auto"/>
        <w:ind w:left="409"/>
        <w:rPr>
          <w:rFonts w:ascii="宋体" w:hAnsi="宋体" w:eastAsia="宋体" w:cs="宋体"/>
          <w:sz w:val="17"/>
          <w:szCs w:val="17"/>
        </w:rPr>
      </w:pPr>
      <w:r>
        <w:rPr>
          <w:rFonts w:ascii="宋体" w:hAnsi="宋体" w:eastAsia="宋体" w:cs="宋体"/>
          <w:spacing w:val="15"/>
          <w:sz w:val="17"/>
          <w:szCs w:val="17"/>
        </w:rPr>
        <w:t>800米(100分);跳绳(100分);组合拳(</w:t>
      </w:r>
      <w:r>
        <w:rPr>
          <w:rFonts w:ascii="宋体" w:hAnsi="宋体" w:eastAsia="宋体" w:cs="宋体"/>
          <w:spacing w:val="14"/>
          <w:sz w:val="17"/>
          <w:szCs w:val="17"/>
        </w:rPr>
        <w:t>100分)。</w:t>
      </w:r>
    </w:p>
    <w:p w14:paraId="60AE2B54">
      <w:pPr>
        <w:spacing w:before="79" w:line="221" w:lineRule="auto"/>
        <w:ind w:left="409"/>
        <w:rPr>
          <w:rFonts w:ascii="宋体" w:hAnsi="宋体" w:eastAsia="宋体" w:cs="宋体"/>
          <w:sz w:val="17"/>
          <w:szCs w:val="17"/>
        </w:rPr>
      </w:pPr>
      <w:r>
        <w:rPr>
          <w:rFonts w:ascii="宋体" w:hAnsi="宋体" w:eastAsia="宋体" w:cs="宋体"/>
          <w:spacing w:val="1"/>
          <w:sz w:val="17"/>
          <w:szCs w:val="17"/>
        </w:rPr>
        <w:t>2、测试方法</w:t>
      </w:r>
    </w:p>
    <w:p w14:paraId="7FD045ED">
      <w:pPr>
        <w:spacing w:before="86" w:line="306" w:lineRule="auto"/>
        <w:ind w:left="49" w:right="368" w:firstLine="359"/>
        <w:jc w:val="both"/>
        <w:rPr>
          <w:rFonts w:ascii="宋体" w:hAnsi="宋体" w:eastAsia="宋体" w:cs="宋体"/>
          <w:sz w:val="17"/>
          <w:szCs w:val="17"/>
        </w:rPr>
      </w:pPr>
      <w:r>
        <w:rPr>
          <w:rFonts w:ascii="宋体" w:hAnsi="宋体" w:eastAsia="宋体" w:cs="宋体"/>
          <w:spacing w:val="1"/>
          <w:sz w:val="17"/>
          <w:szCs w:val="17"/>
        </w:rPr>
        <w:t>跳绳测试方法：考生连续进行单摇跳绳，男子规定</w:t>
      </w:r>
      <w:r>
        <w:rPr>
          <w:rFonts w:ascii="宋体" w:hAnsi="宋体" w:eastAsia="宋体" w:cs="宋体"/>
          <w:spacing w:val="8"/>
          <w:sz w:val="17"/>
          <w:szCs w:val="17"/>
        </w:rPr>
        <w:t xml:space="preserve"> </w:t>
      </w:r>
      <w:r>
        <w:rPr>
          <w:rFonts w:ascii="宋体" w:hAnsi="宋体" w:eastAsia="宋体" w:cs="宋体"/>
          <w:spacing w:val="9"/>
          <w:sz w:val="17"/>
          <w:szCs w:val="17"/>
        </w:rPr>
        <w:t>时间为3分钟，女子规定时间为2分钟，对其在规定时</w:t>
      </w:r>
      <w:r>
        <w:rPr>
          <w:rFonts w:ascii="宋体" w:hAnsi="宋体" w:eastAsia="宋体" w:cs="宋体"/>
          <w:spacing w:val="2"/>
          <w:sz w:val="17"/>
          <w:szCs w:val="17"/>
        </w:rPr>
        <w:t xml:space="preserve"> </w:t>
      </w:r>
      <w:r>
        <w:rPr>
          <w:rFonts w:ascii="宋体" w:hAnsi="宋体" w:eastAsia="宋体" w:cs="宋体"/>
          <w:spacing w:val="-1"/>
          <w:sz w:val="17"/>
          <w:szCs w:val="17"/>
        </w:rPr>
        <w:t>间内完成的跳绳次数进行计数。</w:t>
      </w:r>
    </w:p>
    <w:p w14:paraId="4F57BCB2">
      <w:pPr>
        <w:spacing w:before="27" w:line="310" w:lineRule="auto"/>
        <w:ind w:left="49" w:right="367" w:firstLine="359"/>
        <w:jc w:val="both"/>
        <w:rPr>
          <w:rFonts w:ascii="宋体" w:hAnsi="宋体" w:eastAsia="宋体" w:cs="宋体"/>
          <w:sz w:val="17"/>
          <w:szCs w:val="17"/>
        </w:rPr>
      </w:pPr>
      <w:r>
        <w:rPr>
          <w:rFonts w:ascii="宋体" w:hAnsi="宋体" w:eastAsia="宋体" w:cs="宋体"/>
          <w:spacing w:val="8"/>
          <w:sz w:val="17"/>
          <w:szCs w:val="17"/>
        </w:rPr>
        <w:t>组合拳测试方法：考生从表12-4中备选的10组组</w:t>
      </w:r>
      <w:r>
        <w:rPr>
          <w:rFonts w:ascii="宋体" w:hAnsi="宋体" w:eastAsia="宋体" w:cs="宋体"/>
          <w:spacing w:val="3"/>
          <w:sz w:val="17"/>
          <w:szCs w:val="17"/>
        </w:rPr>
        <w:t xml:space="preserve"> </w:t>
      </w:r>
      <w:r>
        <w:rPr>
          <w:rFonts w:ascii="宋体" w:hAnsi="宋体" w:eastAsia="宋体" w:cs="宋体"/>
          <w:spacing w:val="5"/>
          <w:sz w:val="17"/>
          <w:szCs w:val="17"/>
        </w:rPr>
        <w:t>合拳中抽选2组进行考试。考生按照考评人员指定的沙</w:t>
      </w:r>
      <w:r>
        <w:rPr>
          <w:rFonts w:ascii="宋体" w:hAnsi="宋体" w:eastAsia="宋体" w:cs="宋体"/>
          <w:spacing w:val="15"/>
          <w:sz w:val="17"/>
          <w:szCs w:val="17"/>
        </w:rPr>
        <w:t xml:space="preserve"> </w:t>
      </w:r>
      <w:r>
        <w:rPr>
          <w:rFonts w:ascii="宋体" w:hAnsi="宋体" w:eastAsia="宋体" w:cs="宋体"/>
          <w:spacing w:val="5"/>
          <w:sz w:val="17"/>
          <w:szCs w:val="17"/>
        </w:rPr>
        <w:t>包击打，时间为1分钟。要求考生击打沙包时技术动作</w:t>
      </w:r>
      <w:r>
        <w:rPr>
          <w:rFonts w:ascii="宋体" w:hAnsi="宋体" w:eastAsia="宋体" w:cs="宋体"/>
          <w:spacing w:val="15"/>
          <w:sz w:val="17"/>
          <w:szCs w:val="17"/>
        </w:rPr>
        <w:t xml:space="preserve"> </w:t>
      </w:r>
      <w:r>
        <w:rPr>
          <w:rFonts w:ascii="宋体" w:hAnsi="宋体" w:eastAsia="宋体" w:cs="宋体"/>
          <w:spacing w:val="5"/>
          <w:sz w:val="17"/>
          <w:szCs w:val="17"/>
        </w:rPr>
        <w:t>规范、协调，节奏感强，出拳准确有力，每击打1组后</w:t>
      </w:r>
      <w:r>
        <w:rPr>
          <w:rFonts w:ascii="宋体" w:hAnsi="宋体" w:eastAsia="宋体" w:cs="宋体"/>
          <w:spacing w:val="16"/>
          <w:sz w:val="17"/>
          <w:szCs w:val="17"/>
        </w:rPr>
        <w:t xml:space="preserve"> </w:t>
      </w:r>
      <w:r>
        <w:rPr>
          <w:rFonts w:ascii="宋体" w:hAnsi="宋体" w:eastAsia="宋体" w:cs="宋体"/>
          <w:spacing w:val="9"/>
          <w:sz w:val="17"/>
          <w:szCs w:val="17"/>
        </w:rPr>
        <w:t>需后撤1步再进行下1组的击打，符合测试要求的</w:t>
      </w:r>
      <w:r>
        <w:rPr>
          <w:rFonts w:ascii="宋体" w:hAnsi="宋体" w:eastAsia="宋体" w:cs="宋体"/>
          <w:spacing w:val="8"/>
          <w:sz w:val="17"/>
          <w:szCs w:val="17"/>
        </w:rPr>
        <w:t>拳法</w:t>
      </w:r>
      <w:r>
        <w:rPr>
          <w:rFonts w:ascii="宋体" w:hAnsi="宋体" w:eastAsia="宋体" w:cs="宋体"/>
          <w:sz w:val="17"/>
          <w:szCs w:val="17"/>
        </w:rPr>
        <w:t xml:space="preserve"> 组合，方被视为有效。</w:t>
      </w:r>
    </w:p>
    <w:p w14:paraId="4414BF99">
      <w:pPr>
        <w:spacing w:before="23" w:line="220" w:lineRule="auto"/>
        <w:ind w:left="482"/>
        <w:rPr>
          <w:rFonts w:ascii="宋体" w:hAnsi="宋体" w:eastAsia="宋体" w:cs="宋体"/>
          <w:sz w:val="17"/>
          <w:szCs w:val="17"/>
        </w:rPr>
      </w:pPr>
      <w:r>
        <w:rPr>
          <w:rFonts w:ascii="宋体" w:hAnsi="宋体" w:eastAsia="宋体" w:cs="宋体"/>
          <w:b/>
          <w:bCs/>
          <w:spacing w:val="11"/>
          <w:sz w:val="17"/>
          <w:szCs w:val="17"/>
        </w:rPr>
        <w:t>(二)专项技能</w:t>
      </w:r>
    </w:p>
    <w:p w14:paraId="756427A4">
      <w:pPr>
        <w:spacing w:before="87" w:line="288" w:lineRule="auto"/>
        <w:ind w:left="412" w:right="2734"/>
        <w:rPr>
          <w:rFonts w:ascii="宋体" w:hAnsi="宋体" w:eastAsia="宋体" w:cs="宋体"/>
          <w:sz w:val="17"/>
          <w:szCs w:val="17"/>
        </w:rPr>
      </w:pPr>
      <w:r>
        <w:rPr>
          <w:rFonts w:ascii="宋体" w:hAnsi="宋体" w:eastAsia="宋体" w:cs="宋体"/>
          <w:b/>
          <w:bCs/>
          <w:spacing w:val="-7"/>
          <w:sz w:val="17"/>
          <w:szCs w:val="17"/>
        </w:rPr>
        <w:t>1、测试内容及分值</w:t>
      </w:r>
      <w:r>
        <w:rPr>
          <w:rFonts w:ascii="宋体" w:hAnsi="宋体" w:eastAsia="宋体" w:cs="宋体"/>
          <w:spacing w:val="3"/>
          <w:sz w:val="17"/>
          <w:szCs w:val="17"/>
        </w:rPr>
        <w:t xml:space="preserve"> </w:t>
      </w:r>
      <w:r>
        <w:rPr>
          <w:rFonts w:ascii="宋体" w:hAnsi="宋体" w:eastAsia="宋体" w:cs="宋体"/>
          <w:b/>
          <w:bCs/>
          <w:spacing w:val="18"/>
          <w:sz w:val="17"/>
          <w:szCs w:val="17"/>
        </w:rPr>
        <w:t>实战(150分)。</w:t>
      </w:r>
    </w:p>
    <w:p w14:paraId="3730C4F8">
      <w:pPr>
        <w:pStyle w:val="2"/>
        <w:spacing w:line="14" w:lineRule="auto"/>
        <w:rPr>
          <w:sz w:val="2"/>
        </w:rPr>
      </w:pPr>
      <w:r>
        <w:rPr>
          <w:sz w:val="2"/>
          <w:szCs w:val="2"/>
        </w:rPr>
        <w:br w:type="column"/>
      </w:r>
    </w:p>
    <w:p w14:paraId="44A67BFC">
      <w:pPr>
        <w:spacing w:before="33" w:line="221" w:lineRule="auto"/>
        <w:ind w:left="352"/>
        <w:rPr>
          <w:rFonts w:ascii="宋体" w:hAnsi="宋体" w:eastAsia="宋体" w:cs="宋体"/>
          <w:sz w:val="17"/>
          <w:szCs w:val="17"/>
        </w:rPr>
      </w:pPr>
      <w:r>
        <w:rPr>
          <w:rFonts w:ascii="宋体" w:hAnsi="宋体" w:eastAsia="宋体" w:cs="宋体"/>
          <w:b/>
          <w:bCs/>
          <w:spacing w:val="-4"/>
          <w:sz w:val="17"/>
          <w:szCs w:val="17"/>
        </w:rPr>
        <w:t>2、测试方法</w:t>
      </w:r>
    </w:p>
    <w:p w14:paraId="64332D3C">
      <w:pPr>
        <w:spacing w:before="85" w:line="309" w:lineRule="auto"/>
        <w:ind w:right="10" w:firstLine="350"/>
        <w:rPr>
          <w:rFonts w:ascii="宋体" w:hAnsi="宋体" w:eastAsia="宋体" w:cs="宋体"/>
          <w:sz w:val="17"/>
          <w:szCs w:val="17"/>
        </w:rPr>
      </w:pPr>
      <w:r>
        <w:rPr>
          <w:rFonts w:ascii="宋体" w:hAnsi="宋体" w:eastAsia="宋体" w:cs="宋体"/>
          <w:spacing w:val="1"/>
          <w:sz w:val="17"/>
          <w:szCs w:val="17"/>
        </w:rPr>
        <w:t>实战比赛：同一级别内，随机配对进行实战，配对</w:t>
      </w:r>
      <w:r>
        <w:rPr>
          <w:rFonts w:ascii="宋体" w:hAnsi="宋体" w:eastAsia="宋体" w:cs="宋体"/>
          <w:spacing w:val="7"/>
          <w:sz w:val="17"/>
          <w:szCs w:val="17"/>
        </w:rPr>
        <w:t xml:space="preserve">  </w:t>
      </w:r>
      <w:bookmarkStart w:id="70" w:name="bookmark51"/>
      <w:bookmarkEnd w:id="70"/>
      <w:r>
        <w:rPr>
          <w:rFonts w:ascii="宋体" w:hAnsi="宋体" w:eastAsia="宋体" w:cs="宋体"/>
          <w:spacing w:val="5"/>
          <w:sz w:val="17"/>
          <w:szCs w:val="17"/>
        </w:rPr>
        <w:t>的考生体重相差不得超过2</w:t>
      </w:r>
      <w:r>
        <w:rPr>
          <w:rFonts w:ascii="Times New Roman" w:hAnsi="Times New Roman" w:eastAsia="Times New Roman" w:cs="Times New Roman"/>
          <w:sz w:val="17"/>
          <w:szCs w:val="17"/>
        </w:rPr>
        <w:t>kg</w:t>
      </w:r>
      <w:r>
        <w:rPr>
          <w:rFonts w:ascii="宋体" w:hAnsi="宋体" w:eastAsia="宋体" w:cs="宋体"/>
          <w:spacing w:val="5"/>
          <w:sz w:val="17"/>
          <w:szCs w:val="17"/>
        </w:rPr>
        <w:t>。考试在拳击台上进行，</w:t>
      </w:r>
      <w:r>
        <w:rPr>
          <w:rFonts w:ascii="宋体" w:hAnsi="宋体" w:eastAsia="宋体" w:cs="宋体"/>
          <w:spacing w:val="7"/>
          <w:sz w:val="17"/>
          <w:szCs w:val="17"/>
        </w:rPr>
        <w:t xml:space="preserve">  </w:t>
      </w:r>
      <w:r>
        <w:rPr>
          <w:rFonts w:ascii="宋体" w:hAnsi="宋体" w:eastAsia="宋体" w:cs="宋体"/>
          <w:spacing w:val="12"/>
          <w:sz w:val="17"/>
          <w:szCs w:val="17"/>
        </w:rPr>
        <w:t>男子实战时间为3分钟，1个回合，女子实战时间为2</w:t>
      </w:r>
      <w:r>
        <w:rPr>
          <w:rFonts w:ascii="宋体" w:hAnsi="宋体" w:eastAsia="宋体" w:cs="宋体"/>
          <w:spacing w:val="8"/>
          <w:sz w:val="17"/>
          <w:szCs w:val="17"/>
        </w:rPr>
        <w:t xml:space="preserve">  </w:t>
      </w:r>
      <w:r>
        <w:rPr>
          <w:rFonts w:ascii="宋体" w:hAnsi="宋体" w:eastAsia="宋体" w:cs="宋体"/>
          <w:spacing w:val="-5"/>
          <w:sz w:val="17"/>
          <w:szCs w:val="17"/>
        </w:rPr>
        <w:t>分钟，1个回合。同时对两人进行评分。若双方实力悬</w:t>
      </w:r>
      <w:r>
        <w:rPr>
          <w:rFonts w:ascii="宋体" w:hAnsi="宋体" w:eastAsia="宋体" w:cs="宋体"/>
          <w:spacing w:val="-6"/>
          <w:sz w:val="17"/>
          <w:szCs w:val="17"/>
        </w:rPr>
        <w:t>殊，</w:t>
      </w:r>
      <w:r>
        <w:rPr>
          <w:rFonts w:ascii="宋体" w:hAnsi="宋体" w:eastAsia="宋体" w:cs="宋体"/>
          <w:sz w:val="17"/>
          <w:szCs w:val="17"/>
        </w:rPr>
        <w:t xml:space="preserve"> </w:t>
      </w:r>
      <w:r>
        <w:rPr>
          <w:rFonts w:ascii="宋体" w:hAnsi="宋体" w:eastAsia="宋体" w:cs="宋体"/>
          <w:spacing w:val="-2"/>
          <w:sz w:val="17"/>
          <w:szCs w:val="17"/>
        </w:rPr>
        <w:t>为保护考生安全，主考官可提前终止实战。</w:t>
      </w:r>
    </w:p>
    <w:p w14:paraId="62538D8F">
      <w:pPr>
        <w:spacing w:before="38" w:line="219" w:lineRule="auto"/>
        <w:ind w:left="3"/>
        <w:rPr>
          <w:rFonts w:ascii="宋体" w:hAnsi="宋体" w:eastAsia="宋体" w:cs="宋体"/>
          <w:sz w:val="22"/>
          <w:szCs w:val="22"/>
        </w:rPr>
      </w:pPr>
      <w:r>
        <w:rPr>
          <w:rFonts w:ascii="宋体" w:hAnsi="宋体" w:eastAsia="宋体" w:cs="宋体"/>
          <w:b/>
          <w:bCs/>
          <w:spacing w:val="3"/>
          <w:sz w:val="22"/>
          <w:szCs w:val="22"/>
        </w:rPr>
        <w:t>十三、自行车</w:t>
      </w:r>
    </w:p>
    <w:p w14:paraId="7D09C8F2">
      <w:pPr>
        <w:spacing w:before="100" w:line="219" w:lineRule="auto"/>
        <w:ind w:left="420"/>
        <w:rPr>
          <w:rFonts w:ascii="宋体" w:hAnsi="宋体" w:eastAsia="宋体" w:cs="宋体"/>
          <w:sz w:val="17"/>
          <w:szCs w:val="17"/>
        </w:rPr>
      </w:pPr>
      <w:r>
        <w:rPr>
          <w:rFonts w:ascii="宋体" w:hAnsi="宋体" w:eastAsia="宋体" w:cs="宋体"/>
          <w:spacing w:val="14"/>
          <w:sz w:val="17"/>
          <w:szCs w:val="17"/>
        </w:rPr>
        <w:t>(一)专项素质</w:t>
      </w:r>
    </w:p>
    <w:p w14:paraId="6ABB4F59">
      <w:pPr>
        <w:spacing w:before="88" w:line="219" w:lineRule="auto"/>
        <w:ind w:left="350"/>
        <w:rPr>
          <w:rFonts w:ascii="宋体" w:hAnsi="宋体" w:eastAsia="宋体" w:cs="宋体"/>
          <w:sz w:val="17"/>
          <w:szCs w:val="17"/>
        </w:rPr>
      </w:pPr>
      <w:r>
        <w:rPr>
          <w:rFonts w:ascii="宋体" w:hAnsi="宋体" w:eastAsia="宋体" w:cs="宋体"/>
          <w:spacing w:val="-1"/>
          <w:sz w:val="17"/>
          <w:szCs w:val="17"/>
        </w:rPr>
        <w:t>1、测试内容及分值</w:t>
      </w:r>
    </w:p>
    <w:p w14:paraId="7C7FBA86">
      <w:pPr>
        <w:spacing w:before="79" w:line="301" w:lineRule="auto"/>
        <w:ind w:right="87" w:firstLine="350"/>
        <w:rPr>
          <w:rFonts w:ascii="宋体" w:hAnsi="宋体" w:eastAsia="宋体" w:cs="宋体"/>
          <w:sz w:val="17"/>
          <w:szCs w:val="17"/>
        </w:rPr>
      </w:pPr>
      <w:r>
        <w:rPr>
          <w:rFonts w:ascii="宋体" w:hAnsi="宋体" w:eastAsia="宋体" w:cs="宋体"/>
          <w:spacing w:val="-13"/>
          <w:sz w:val="17"/>
          <w:szCs w:val="17"/>
        </w:rPr>
        <w:t>立</w:t>
      </w:r>
      <w:r>
        <w:rPr>
          <w:rFonts w:ascii="宋体" w:hAnsi="宋体" w:eastAsia="宋体" w:cs="宋体"/>
          <w:spacing w:val="-31"/>
          <w:sz w:val="17"/>
          <w:szCs w:val="17"/>
        </w:rPr>
        <w:t xml:space="preserve"> </w:t>
      </w:r>
      <w:r>
        <w:rPr>
          <w:rFonts w:ascii="宋体" w:hAnsi="宋体" w:eastAsia="宋体" w:cs="宋体"/>
          <w:spacing w:val="-13"/>
          <w:sz w:val="17"/>
          <w:szCs w:val="17"/>
        </w:rPr>
        <w:t>定</w:t>
      </w:r>
      <w:r>
        <w:rPr>
          <w:rFonts w:ascii="宋体" w:hAnsi="宋体" w:eastAsia="宋体" w:cs="宋体"/>
          <w:spacing w:val="-35"/>
          <w:sz w:val="17"/>
          <w:szCs w:val="17"/>
        </w:rPr>
        <w:t xml:space="preserve"> </w:t>
      </w:r>
      <w:r>
        <w:rPr>
          <w:rFonts w:ascii="宋体" w:hAnsi="宋体" w:eastAsia="宋体" w:cs="宋体"/>
          <w:spacing w:val="-13"/>
          <w:sz w:val="17"/>
          <w:szCs w:val="17"/>
        </w:rPr>
        <w:t>跳</w:t>
      </w:r>
      <w:r>
        <w:rPr>
          <w:rFonts w:ascii="宋体" w:hAnsi="宋体" w:eastAsia="宋体" w:cs="宋体"/>
          <w:spacing w:val="-36"/>
          <w:sz w:val="17"/>
          <w:szCs w:val="17"/>
        </w:rPr>
        <w:t xml:space="preserve"> </w:t>
      </w:r>
      <w:r>
        <w:rPr>
          <w:rFonts w:ascii="宋体" w:hAnsi="宋体" w:eastAsia="宋体" w:cs="宋体"/>
          <w:spacing w:val="-13"/>
          <w:sz w:val="17"/>
          <w:szCs w:val="17"/>
        </w:rPr>
        <w:t>远 (</w:t>
      </w:r>
      <w:r>
        <w:rPr>
          <w:rFonts w:ascii="宋体" w:hAnsi="宋体" w:eastAsia="宋体" w:cs="宋体"/>
          <w:spacing w:val="-35"/>
          <w:sz w:val="17"/>
          <w:szCs w:val="17"/>
        </w:rPr>
        <w:t xml:space="preserve"> </w:t>
      </w:r>
      <w:r>
        <w:rPr>
          <w:rFonts w:ascii="宋体" w:hAnsi="宋体" w:eastAsia="宋体" w:cs="宋体"/>
          <w:spacing w:val="-13"/>
          <w:sz w:val="17"/>
          <w:szCs w:val="17"/>
        </w:rPr>
        <w:t>6</w:t>
      </w:r>
      <w:r>
        <w:rPr>
          <w:rFonts w:ascii="宋体" w:hAnsi="宋体" w:eastAsia="宋体" w:cs="宋体"/>
          <w:spacing w:val="-34"/>
          <w:sz w:val="17"/>
          <w:szCs w:val="17"/>
        </w:rPr>
        <w:t xml:space="preserve"> </w:t>
      </w:r>
      <w:r>
        <w:rPr>
          <w:rFonts w:ascii="宋体" w:hAnsi="宋体" w:eastAsia="宋体" w:cs="宋体"/>
          <w:spacing w:val="-13"/>
          <w:sz w:val="17"/>
          <w:szCs w:val="17"/>
        </w:rPr>
        <w:t>0</w:t>
      </w:r>
      <w:r>
        <w:rPr>
          <w:rFonts w:ascii="宋体" w:hAnsi="宋体" w:eastAsia="宋体" w:cs="宋体"/>
          <w:spacing w:val="-34"/>
          <w:sz w:val="17"/>
          <w:szCs w:val="17"/>
        </w:rPr>
        <w:t xml:space="preserve"> </w:t>
      </w:r>
      <w:r>
        <w:rPr>
          <w:rFonts w:ascii="宋体" w:hAnsi="宋体" w:eastAsia="宋体" w:cs="宋体"/>
          <w:spacing w:val="-13"/>
          <w:sz w:val="17"/>
          <w:szCs w:val="17"/>
        </w:rPr>
        <w:t>分</w:t>
      </w:r>
      <w:r>
        <w:rPr>
          <w:rFonts w:ascii="宋体" w:hAnsi="宋体" w:eastAsia="宋体" w:cs="宋体"/>
          <w:spacing w:val="-35"/>
          <w:sz w:val="17"/>
          <w:szCs w:val="17"/>
        </w:rPr>
        <w:t xml:space="preserve"> </w:t>
      </w:r>
      <w:r>
        <w:rPr>
          <w:rFonts w:ascii="宋体" w:hAnsi="宋体" w:eastAsia="宋体" w:cs="宋体"/>
          <w:spacing w:val="-13"/>
          <w:sz w:val="17"/>
          <w:szCs w:val="17"/>
        </w:rPr>
        <w:t>) ;</w:t>
      </w:r>
      <w:r>
        <w:rPr>
          <w:rFonts w:ascii="宋体" w:hAnsi="宋体" w:eastAsia="宋体" w:cs="宋体"/>
          <w:spacing w:val="-23"/>
          <w:sz w:val="17"/>
          <w:szCs w:val="17"/>
        </w:rPr>
        <w:t xml:space="preserve"> </w:t>
      </w:r>
      <w:r>
        <w:rPr>
          <w:rFonts w:ascii="宋体" w:hAnsi="宋体" w:eastAsia="宋体" w:cs="宋体"/>
          <w:spacing w:val="-13"/>
          <w:sz w:val="17"/>
          <w:szCs w:val="17"/>
        </w:rPr>
        <w:t>引</w:t>
      </w:r>
      <w:r>
        <w:rPr>
          <w:rFonts w:ascii="宋体" w:hAnsi="宋体" w:eastAsia="宋体" w:cs="宋体"/>
          <w:spacing w:val="-36"/>
          <w:sz w:val="17"/>
          <w:szCs w:val="17"/>
        </w:rPr>
        <w:t xml:space="preserve"> </w:t>
      </w:r>
      <w:r>
        <w:rPr>
          <w:rFonts w:ascii="宋体" w:hAnsi="宋体" w:eastAsia="宋体" w:cs="宋体"/>
          <w:spacing w:val="-13"/>
          <w:sz w:val="17"/>
          <w:szCs w:val="17"/>
        </w:rPr>
        <w:t>体 向</w:t>
      </w:r>
      <w:r>
        <w:rPr>
          <w:rFonts w:ascii="宋体" w:hAnsi="宋体" w:eastAsia="宋体" w:cs="宋体"/>
          <w:spacing w:val="-34"/>
          <w:sz w:val="17"/>
          <w:szCs w:val="17"/>
        </w:rPr>
        <w:t xml:space="preserve"> </w:t>
      </w:r>
      <w:r>
        <w:rPr>
          <w:rFonts w:ascii="宋体" w:hAnsi="宋体" w:eastAsia="宋体" w:cs="宋体"/>
          <w:spacing w:val="-13"/>
          <w:sz w:val="17"/>
          <w:szCs w:val="17"/>
        </w:rPr>
        <w:t>上 (</w:t>
      </w:r>
      <w:r>
        <w:rPr>
          <w:rFonts w:ascii="宋体" w:hAnsi="宋体" w:eastAsia="宋体" w:cs="宋体"/>
          <w:spacing w:val="-35"/>
          <w:sz w:val="17"/>
          <w:szCs w:val="17"/>
        </w:rPr>
        <w:t xml:space="preserve"> </w:t>
      </w:r>
      <w:r>
        <w:rPr>
          <w:rFonts w:ascii="宋体" w:hAnsi="宋体" w:eastAsia="宋体" w:cs="宋体"/>
          <w:spacing w:val="-13"/>
          <w:sz w:val="17"/>
          <w:szCs w:val="17"/>
        </w:rPr>
        <w:t>8</w:t>
      </w:r>
      <w:r>
        <w:rPr>
          <w:rFonts w:ascii="宋体" w:hAnsi="宋体" w:eastAsia="宋体" w:cs="宋体"/>
          <w:spacing w:val="-35"/>
          <w:sz w:val="17"/>
          <w:szCs w:val="17"/>
        </w:rPr>
        <w:t xml:space="preserve"> </w:t>
      </w:r>
      <w:r>
        <w:rPr>
          <w:rFonts w:ascii="宋体" w:hAnsi="宋体" w:eastAsia="宋体" w:cs="宋体"/>
          <w:spacing w:val="-14"/>
          <w:sz w:val="17"/>
          <w:szCs w:val="17"/>
        </w:rPr>
        <w:t>0</w:t>
      </w:r>
      <w:r>
        <w:rPr>
          <w:rFonts w:ascii="宋体" w:hAnsi="宋体" w:eastAsia="宋体" w:cs="宋体"/>
          <w:spacing w:val="-33"/>
          <w:sz w:val="17"/>
          <w:szCs w:val="17"/>
        </w:rPr>
        <w:t xml:space="preserve"> </w:t>
      </w:r>
      <w:r>
        <w:rPr>
          <w:rFonts w:ascii="宋体" w:hAnsi="宋体" w:eastAsia="宋体" w:cs="宋体"/>
          <w:spacing w:val="-14"/>
          <w:sz w:val="17"/>
          <w:szCs w:val="17"/>
        </w:rPr>
        <w:t>分</w:t>
      </w:r>
      <w:r>
        <w:rPr>
          <w:rFonts w:ascii="宋体" w:hAnsi="宋体" w:eastAsia="宋体" w:cs="宋体"/>
          <w:spacing w:val="-35"/>
          <w:sz w:val="17"/>
          <w:szCs w:val="17"/>
        </w:rPr>
        <w:t xml:space="preserve"> </w:t>
      </w:r>
      <w:r>
        <w:rPr>
          <w:rFonts w:ascii="宋体" w:hAnsi="宋体" w:eastAsia="宋体" w:cs="宋体"/>
          <w:spacing w:val="-14"/>
          <w:sz w:val="17"/>
          <w:szCs w:val="17"/>
        </w:rPr>
        <w:t>) ;</w:t>
      </w:r>
      <w:r>
        <w:rPr>
          <w:rFonts w:ascii="宋体" w:hAnsi="宋体" w:eastAsia="宋体" w:cs="宋体"/>
          <w:spacing w:val="-36"/>
          <w:sz w:val="17"/>
          <w:szCs w:val="17"/>
        </w:rPr>
        <w:t xml:space="preserve"> </w:t>
      </w:r>
      <w:r>
        <w:rPr>
          <w:rFonts w:ascii="宋体" w:hAnsi="宋体" w:eastAsia="宋体" w:cs="宋体"/>
          <w:spacing w:val="-14"/>
          <w:sz w:val="17"/>
          <w:szCs w:val="17"/>
        </w:rPr>
        <w:t>骑</w:t>
      </w:r>
      <w:r>
        <w:rPr>
          <w:rFonts w:ascii="宋体" w:hAnsi="宋体" w:eastAsia="宋体" w:cs="宋体"/>
          <w:spacing w:val="-33"/>
          <w:sz w:val="17"/>
          <w:szCs w:val="17"/>
        </w:rPr>
        <w:t xml:space="preserve"> </w:t>
      </w:r>
      <w:r>
        <w:rPr>
          <w:rFonts w:ascii="宋体" w:hAnsi="宋体" w:eastAsia="宋体" w:cs="宋体"/>
          <w:spacing w:val="-14"/>
          <w:sz w:val="17"/>
          <w:szCs w:val="17"/>
        </w:rPr>
        <w:t>行</w:t>
      </w:r>
      <w:r>
        <w:rPr>
          <w:rFonts w:ascii="宋体" w:hAnsi="宋体" w:eastAsia="宋体" w:cs="宋体"/>
          <w:sz w:val="17"/>
          <w:szCs w:val="17"/>
        </w:rPr>
        <w:t xml:space="preserve"> </w:t>
      </w:r>
      <w:r>
        <w:rPr>
          <w:rFonts w:ascii="宋体" w:hAnsi="宋体" w:eastAsia="宋体" w:cs="宋体"/>
          <w:spacing w:val="29"/>
          <w:sz w:val="17"/>
          <w:szCs w:val="17"/>
        </w:rPr>
        <w:t>技术(80分);蹬踏技术(80分)。</w:t>
      </w:r>
    </w:p>
    <w:p w14:paraId="74F33082">
      <w:pPr>
        <w:spacing w:before="36" w:line="221" w:lineRule="auto"/>
        <w:ind w:left="350"/>
        <w:rPr>
          <w:rFonts w:ascii="宋体" w:hAnsi="宋体" w:eastAsia="宋体" w:cs="宋体"/>
          <w:sz w:val="17"/>
          <w:szCs w:val="17"/>
        </w:rPr>
      </w:pPr>
      <w:r>
        <w:rPr>
          <w:rFonts w:ascii="宋体" w:hAnsi="宋体" w:eastAsia="宋体" w:cs="宋体"/>
          <w:sz w:val="17"/>
          <w:szCs w:val="17"/>
        </w:rPr>
        <w:t>2、测试方法</w:t>
      </w:r>
    </w:p>
    <w:p w14:paraId="0D92A2B3">
      <w:pPr>
        <w:spacing w:before="94" w:line="298" w:lineRule="auto"/>
        <w:ind w:right="30" w:firstLine="350"/>
        <w:rPr>
          <w:rFonts w:ascii="宋体" w:hAnsi="宋体" w:eastAsia="宋体" w:cs="宋体"/>
          <w:sz w:val="17"/>
          <w:szCs w:val="17"/>
        </w:rPr>
      </w:pPr>
      <w:r>
        <w:rPr>
          <w:rFonts w:ascii="宋体" w:hAnsi="宋体" w:eastAsia="宋体" w:cs="宋体"/>
          <w:spacing w:val="1"/>
          <w:sz w:val="17"/>
          <w:szCs w:val="17"/>
        </w:rPr>
        <w:t>立定跳远测试方法：考生双脚站在起跳线外，起跳</w:t>
      </w:r>
      <w:r>
        <w:rPr>
          <w:rFonts w:ascii="宋体" w:hAnsi="宋体" w:eastAsia="宋体" w:cs="宋体"/>
          <w:spacing w:val="14"/>
          <w:sz w:val="17"/>
          <w:szCs w:val="17"/>
        </w:rPr>
        <w:t xml:space="preserve"> </w:t>
      </w:r>
      <w:r>
        <w:rPr>
          <w:rFonts w:ascii="宋体" w:hAnsi="宋体" w:eastAsia="宋体" w:cs="宋体"/>
          <w:spacing w:val="2"/>
          <w:sz w:val="17"/>
          <w:szCs w:val="17"/>
        </w:rPr>
        <w:t>时双脚不允许越过起跳线，不能有预跳或踩线，落地后</w:t>
      </w:r>
      <w:r>
        <w:rPr>
          <w:rFonts w:ascii="宋体" w:hAnsi="宋体" w:eastAsia="宋体" w:cs="宋体"/>
          <w:spacing w:val="3"/>
          <w:sz w:val="17"/>
          <w:szCs w:val="17"/>
        </w:rPr>
        <w:t xml:space="preserve"> </w:t>
      </w:r>
      <w:r>
        <w:rPr>
          <w:rFonts w:ascii="宋体" w:hAnsi="宋体" w:eastAsia="宋体" w:cs="宋体"/>
          <w:spacing w:val="1"/>
          <w:sz w:val="17"/>
          <w:szCs w:val="17"/>
        </w:rPr>
        <w:t>以身体与起跳线最近距离为测量距离。每人</w:t>
      </w:r>
      <w:r>
        <w:rPr>
          <w:rFonts w:ascii="宋体" w:hAnsi="宋体" w:eastAsia="宋体" w:cs="宋体"/>
          <w:sz w:val="17"/>
          <w:szCs w:val="17"/>
        </w:rPr>
        <w:t xml:space="preserve">连续跳2次， </w:t>
      </w:r>
      <w:r>
        <w:rPr>
          <w:rFonts w:ascii="宋体" w:hAnsi="宋体" w:eastAsia="宋体" w:cs="宋体"/>
          <w:spacing w:val="8"/>
          <w:sz w:val="17"/>
          <w:szCs w:val="17"/>
        </w:rPr>
        <w:t>取其中1次最好成绩。</w:t>
      </w:r>
    </w:p>
    <w:p w14:paraId="637A5F03">
      <w:pPr>
        <w:spacing w:before="43" w:line="309" w:lineRule="auto"/>
        <w:ind w:right="10" w:firstLine="350"/>
        <w:jc w:val="both"/>
        <w:rPr>
          <w:rFonts w:ascii="宋体" w:hAnsi="宋体" w:eastAsia="宋体" w:cs="宋体"/>
          <w:sz w:val="17"/>
          <w:szCs w:val="17"/>
        </w:rPr>
      </w:pPr>
      <w:r>
        <w:rPr>
          <w:rFonts w:ascii="宋体" w:hAnsi="宋体" w:eastAsia="宋体" w:cs="宋体"/>
          <w:spacing w:val="1"/>
          <w:sz w:val="17"/>
          <w:szCs w:val="17"/>
        </w:rPr>
        <w:t>引体向上测试方法：每人1次试拉，然后开始测试，</w:t>
      </w:r>
      <w:r>
        <w:rPr>
          <w:rFonts w:ascii="宋体" w:hAnsi="宋体" w:eastAsia="宋体" w:cs="宋体"/>
          <w:spacing w:val="5"/>
          <w:sz w:val="17"/>
          <w:szCs w:val="17"/>
        </w:rPr>
        <w:t xml:space="preserve"> </w:t>
      </w:r>
      <w:r>
        <w:rPr>
          <w:rFonts w:ascii="宋体" w:hAnsi="宋体" w:eastAsia="宋体" w:cs="宋体"/>
          <w:spacing w:val="4"/>
          <w:sz w:val="17"/>
          <w:szCs w:val="17"/>
        </w:rPr>
        <w:t>上拉时不许借力，正手握杠，上拉时以下颚过杆为1次</w:t>
      </w:r>
      <w:r>
        <w:rPr>
          <w:rFonts w:ascii="宋体" w:hAnsi="宋体" w:eastAsia="宋体" w:cs="宋体"/>
          <w:spacing w:val="7"/>
          <w:sz w:val="17"/>
          <w:szCs w:val="17"/>
        </w:rPr>
        <w:t xml:space="preserve">  </w:t>
      </w:r>
      <w:r>
        <w:rPr>
          <w:rFonts w:ascii="宋体" w:hAnsi="宋体" w:eastAsia="宋体" w:cs="宋体"/>
          <w:spacing w:val="9"/>
          <w:sz w:val="17"/>
          <w:szCs w:val="17"/>
        </w:rPr>
        <w:t>计数，放下时两臂伸直。每人测2次，取其中1次最佳</w:t>
      </w:r>
      <w:r>
        <w:rPr>
          <w:rFonts w:ascii="宋体" w:hAnsi="宋体" w:eastAsia="宋体" w:cs="宋体"/>
          <w:sz w:val="17"/>
          <w:szCs w:val="17"/>
        </w:rPr>
        <w:t xml:space="preserve">  </w:t>
      </w:r>
      <w:r>
        <w:rPr>
          <w:rFonts w:ascii="宋体" w:hAnsi="宋体" w:eastAsia="宋体" w:cs="宋体"/>
          <w:spacing w:val="-2"/>
          <w:sz w:val="17"/>
          <w:szCs w:val="17"/>
        </w:rPr>
        <w:t>成绩。</w:t>
      </w:r>
    </w:p>
    <w:p w14:paraId="6BA45480">
      <w:pPr>
        <w:spacing w:before="23" w:line="306" w:lineRule="auto"/>
        <w:ind w:firstLine="350"/>
        <w:jc w:val="both"/>
        <w:rPr>
          <w:rFonts w:ascii="宋体" w:hAnsi="宋体" w:eastAsia="宋体" w:cs="宋体"/>
          <w:sz w:val="17"/>
          <w:szCs w:val="17"/>
        </w:rPr>
      </w:pPr>
      <w:r>
        <w:rPr>
          <w:rFonts w:ascii="宋体" w:hAnsi="宋体" w:eastAsia="宋体" w:cs="宋体"/>
          <w:spacing w:val="-2"/>
          <w:sz w:val="17"/>
          <w:szCs w:val="17"/>
        </w:rPr>
        <w:t>骑行技术测试方法：运动员的腰部和背部微微弯曲，</w:t>
      </w:r>
      <w:r>
        <w:rPr>
          <w:rFonts w:ascii="宋体" w:hAnsi="宋体" w:eastAsia="宋体" w:cs="宋体"/>
          <w:sz w:val="17"/>
          <w:szCs w:val="17"/>
        </w:rPr>
        <w:t xml:space="preserve"> </w:t>
      </w:r>
      <w:r>
        <w:rPr>
          <w:rFonts w:ascii="宋体" w:hAnsi="宋体" w:eastAsia="宋体" w:cs="宋体"/>
          <w:spacing w:val="2"/>
          <w:sz w:val="17"/>
          <w:szCs w:val="17"/>
        </w:rPr>
        <w:t>形成弓形，头稍微抬起，眼向前望，肘关节微屈，双手</w:t>
      </w:r>
      <w:r>
        <w:rPr>
          <w:rFonts w:ascii="宋体" w:hAnsi="宋体" w:eastAsia="宋体" w:cs="宋体"/>
          <w:spacing w:val="9"/>
          <w:sz w:val="17"/>
          <w:szCs w:val="17"/>
        </w:rPr>
        <w:t xml:space="preserve">  </w:t>
      </w:r>
      <w:r>
        <w:rPr>
          <w:rFonts w:ascii="宋体" w:hAnsi="宋体" w:eastAsia="宋体" w:cs="宋体"/>
          <w:spacing w:val="-2"/>
          <w:sz w:val="17"/>
          <w:szCs w:val="17"/>
        </w:rPr>
        <w:t>握紧车把，保持身体姿势紧凑、协调、不松懈。</w:t>
      </w:r>
    </w:p>
    <w:p w14:paraId="3AAB9335">
      <w:pPr>
        <w:spacing w:before="23" w:line="312" w:lineRule="auto"/>
        <w:ind w:right="72" w:firstLine="350"/>
        <w:jc w:val="both"/>
        <w:rPr>
          <w:rFonts w:ascii="宋体" w:hAnsi="宋体" w:eastAsia="宋体" w:cs="宋体"/>
          <w:sz w:val="17"/>
          <w:szCs w:val="17"/>
        </w:rPr>
      </w:pPr>
      <w:r>
        <w:rPr>
          <w:rFonts w:ascii="宋体" w:hAnsi="宋体" w:eastAsia="宋体" w:cs="宋体"/>
          <w:spacing w:val="2"/>
          <w:sz w:val="17"/>
          <w:szCs w:val="17"/>
        </w:rPr>
        <w:t>蹋蹬踏技术测试方法：运动员以中轴为圆心，以曲</w:t>
      </w:r>
      <w:r>
        <w:rPr>
          <w:rFonts w:ascii="宋体" w:hAnsi="宋体" w:eastAsia="宋体" w:cs="宋体"/>
          <w:spacing w:val="4"/>
          <w:sz w:val="17"/>
          <w:szCs w:val="17"/>
        </w:rPr>
        <w:t xml:space="preserve"> </w:t>
      </w:r>
      <w:r>
        <w:rPr>
          <w:rFonts w:ascii="宋体" w:hAnsi="宋体" w:eastAsia="宋体" w:cs="宋体"/>
          <w:spacing w:val="2"/>
          <w:sz w:val="17"/>
          <w:szCs w:val="17"/>
        </w:rPr>
        <w:t>柄为半径，沿着圆周切线用力的运动形式，要求运动员</w:t>
      </w:r>
      <w:r>
        <w:rPr>
          <w:rFonts w:ascii="宋体" w:hAnsi="宋体" w:eastAsia="宋体" w:cs="宋体"/>
          <w:spacing w:val="14"/>
          <w:sz w:val="17"/>
          <w:szCs w:val="17"/>
        </w:rPr>
        <w:t xml:space="preserve"> </w:t>
      </w:r>
      <w:r>
        <w:rPr>
          <w:rFonts w:ascii="宋体" w:hAnsi="宋体" w:eastAsia="宋体" w:cs="宋体"/>
          <w:spacing w:val="2"/>
          <w:sz w:val="17"/>
          <w:szCs w:val="17"/>
        </w:rPr>
        <w:t xml:space="preserve">付出最低的消耗而得到最大的输出功率，在蹋蹬的周期 </w:t>
      </w:r>
      <w:r>
        <w:rPr>
          <w:rFonts w:ascii="宋体" w:hAnsi="宋体" w:eastAsia="宋体" w:cs="宋体"/>
          <w:spacing w:val="1"/>
          <w:sz w:val="17"/>
          <w:szCs w:val="17"/>
        </w:rPr>
        <w:t>运动中，运动员蹋蹬要圆滑，在以中心轴圆心为垂线的</w:t>
      </w:r>
      <w:r>
        <w:rPr>
          <w:rFonts w:ascii="宋体" w:hAnsi="宋体" w:eastAsia="宋体" w:cs="宋体"/>
          <w:spacing w:val="8"/>
          <w:sz w:val="17"/>
          <w:szCs w:val="17"/>
        </w:rPr>
        <w:t xml:space="preserve"> </w:t>
      </w:r>
      <w:r>
        <w:rPr>
          <w:rFonts w:ascii="宋体" w:hAnsi="宋体" w:eastAsia="宋体" w:cs="宋体"/>
          <w:spacing w:val="2"/>
          <w:sz w:val="17"/>
          <w:szCs w:val="17"/>
        </w:rPr>
        <w:t>论盘上，下切点位置，蹋蹬时不能出现死点，向前要用</w:t>
      </w:r>
      <w:r>
        <w:rPr>
          <w:rFonts w:ascii="宋体" w:hAnsi="宋体" w:eastAsia="宋体" w:cs="宋体"/>
          <w:spacing w:val="11"/>
          <w:sz w:val="17"/>
          <w:szCs w:val="17"/>
        </w:rPr>
        <w:t xml:space="preserve"> </w:t>
      </w:r>
      <w:r>
        <w:rPr>
          <w:rFonts w:ascii="宋体" w:hAnsi="宋体" w:eastAsia="宋体" w:cs="宋体"/>
          <w:spacing w:val="9"/>
          <w:sz w:val="17"/>
          <w:szCs w:val="17"/>
        </w:rPr>
        <w:t>力蹋蹬，向后要注意抬腿上拉。击打1组后需后撤1步</w:t>
      </w:r>
      <w:r>
        <w:rPr>
          <w:rFonts w:ascii="宋体" w:hAnsi="宋体" w:eastAsia="宋体" w:cs="宋体"/>
          <w:spacing w:val="1"/>
          <w:sz w:val="17"/>
          <w:szCs w:val="17"/>
        </w:rPr>
        <w:t xml:space="preserve"> </w:t>
      </w:r>
      <w:r>
        <w:rPr>
          <w:rFonts w:ascii="宋体" w:hAnsi="宋体" w:eastAsia="宋体" w:cs="宋体"/>
          <w:spacing w:val="5"/>
          <w:sz w:val="17"/>
          <w:szCs w:val="17"/>
        </w:rPr>
        <w:t>再进行下1组的击打，符合测试要求的拳法组合，方被</w:t>
      </w:r>
      <w:r>
        <w:rPr>
          <w:rFonts w:ascii="宋体" w:hAnsi="宋体" w:eastAsia="宋体" w:cs="宋体"/>
          <w:spacing w:val="11"/>
          <w:sz w:val="17"/>
          <w:szCs w:val="17"/>
        </w:rPr>
        <w:t xml:space="preserve"> </w:t>
      </w:r>
      <w:r>
        <w:rPr>
          <w:rFonts w:ascii="宋体" w:hAnsi="宋体" w:eastAsia="宋体" w:cs="宋体"/>
          <w:spacing w:val="-1"/>
          <w:sz w:val="17"/>
          <w:szCs w:val="17"/>
        </w:rPr>
        <w:t>视为有效。</w:t>
      </w:r>
    </w:p>
    <w:p w14:paraId="06E3E687">
      <w:pPr>
        <w:spacing w:before="24" w:line="220" w:lineRule="auto"/>
        <w:ind w:left="420"/>
        <w:rPr>
          <w:rFonts w:ascii="宋体" w:hAnsi="宋体" w:eastAsia="宋体" w:cs="宋体"/>
          <w:sz w:val="17"/>
          <w:szCs w:val="17"/>
        </w:rPr>
      </w:pPr>
      <w:r>
        <w:rPr>
          <w:rFonts w:ascii="宋体" w:hAnsi="宋体" w:eastAsia="宋体" w:cs="宋体"/>
          <w:spacing w:val="12"/>
          <w:sz w:val="17"/>
          <w:szCs w:val="17"/>
        </w:rPr>
        <w:t>(二)专项技能</w:t>
      </w:r>
    </w:p>
    <w:p w14:paraId="01E0C662">
      <w:pPr>
        <w:spacing w:before="86" w:line="303" w:lineRule="auto"/>
        <w:ind w:left="350" w:right="2428"/>
        <w:rPr>
          <w:rFonts w:ascii="宋体" w:hAnsi="宋体" w:eastAsia="宋体" w:cs="宋体"/>
          <w:sz w:val="17"/>
          <w:szCs w:val="17"/>
        </w:rPr>
      </w:pPr>
      <w:r>
        <w:rPr>
          <w:rFonts w:ascii="宋体" w:hAnsi="宋体" w:eastAsia="宋体" w:cs="宋体"/>
          <w:spacing w:val="-1"/>
          <w:sz w:val="17"/>
          <w:szCs w:val="17"/>
        </w:rPr>
        <w:t>1、测试内容及分值</w:t>
      </w:r>
      <w:r>
        <w:rPr>
          <w:rFonts w:ascii="宋体" w:hAnsi="宋体" w:eastAsia="宋体" w:cs="宋体"/>
          <w:sz w:val="17"/>
          <w:szCs w:val="17"/>
        </w:rPr>
        <w:t xml:space="preserve"> </w:t>
      </w:r>
      <w:r>
        <w:rPr>
          <w:rFonts w:ascii="宋体" w:hAnsi="宋体" w:eastAsia="宋体" w:cs="宋体"/>
          <w:spacing w:val="23"/>
          <w:sz w:val="17"/>
          <w:szCs w:val="17"/>
        </w:rPr>
        <w:t>实战(150分)。</w:t>
      </w:r>
    </w:p>
    <w:p w14:paraId="553041F4">
      <w:pPr>
        <w:spacing w:before="34" w:line="221" w:lineRule="auto"/>
        <w:ind w:left="350"/>
        <w:rPr>
          <w:rFonts w:ascii="宋体" w:hAnsi="宋体" w:eastAsia="宋体" w:cs="宋体"/>
          <w:sz w:val="17"/>
          <w:szCs w:val="17"/>
        </w:rPr>
      </w:pPr>
      <w:r>
        <w:rPr>
          <w:rFonts w:ascii="宋体" w:hAnsi="宋体" w:eastAsia="宋体" w:cs="宋体"/>
          <w:spacing w:val="-2"/>
          <w:sz w:val="17"/>
          <w:szCs w:val="17"/>
        </w:rPr>
        <w:t>2、测试方法</w:t>
      </w:r>
    </w:p>
    <w:p w14:paraId="17BDB744">
      <w:pPr>
        <w:spacing w:before="95" w:line="280" w:lineRule="auto"/>
        <w:ind w:right="90" w:firstLine="350"/>
        <w:rPr>
          <w:rFonts w:ascii="宋体" w:hAnsi="宋体" w:eastAsia="宋体" w:cs="宋体"/>
          <w:sz w:val="17"/>
          <w:szCs w:val="17"/>
        </w:rPr>
      </w:pPr>
      <w:r>
        <w:rPr>
          <w:rFonts w:ascii="宋体" w:hAnsi="宋体" w:eastAsia="宋体" w:cs="宋体"/>
          <w:spacing w:val="10"/>
          <w:sz w:val="17"/>
          <w:szCs w:val="17"/>
        </w:rPr>
        <w:t>实战比赛：男子(200米，4000米)女子(200米，</w:t>
      </w:r>
      <w:r>
        <w:rPr>
          <w:rFonts w:ascii="宋体" w:hAnsi="宋体" w:eastAsia="宋体" w:cs="宋体"/>
          <w:spacing w:val="18"/>
          <w:sz w:val="17"/>
          <w:szCs w:val="17"/>
        </w:rPr>
        <w:t xml:space="preserve"> 3000米)。</w:t>
      </w:r>
    </w:p>
    <w:p w14:paraId="4BE783BD">
      <w:pPr>
        <w:spacing w:before="54" w:line="219" w:lineRule="auto"/>
        <w:ind w:left="3"/>
        <w:rPr>
          <w:rFonts w:ascii="宋体" w:hAnsi="宋体" w:eastAsia="宋体" w:cs="宋体"/>
          <w:sz w:val="22"/>
          <w:szCs w:val="22"/>
        </w:rPr>
      </w:pPr>
      <w:r>
        <w:rPr>
          <w:rFonts w:ascii="宋体" w:hAnsi="宋体" w:eastAsia="宋体" w:cs="宋体"/>
          <w:b/>
          <w:bCs/>
          <w:spacing w:val="2"/>
          <w:sz w:val="22"/>
          <w:szCs w:val="22"/>
        </w:rPr>
        <w:t>十四、击剑</w:t>
      </w:r>
    </w:p>
    <w:p w14:paraId="6F28F8DD">
      <w:pPr>
        <w:spacing w:before="100" w:line="219" w:lineRule="auto"/>
        <w:ind w:left="420"/>
        <w:rPr>
          <w:rFonts w:ascii="宋体" w:hAnsi="宋体" w:eastAsia="宋体" w:cs="宋体"/>
          <w:sz w:val="17"/>
          <w:szCs w:val="17"/>
        </w:rPr>
      </w:pPr>
      <w:r>
        <w:rPr>
          <w:rFonts w:ascii="宋体" w:hAnsi="宋体" w:eastAsia="宋体" w:cs="宋体"/>
          <w:spacing w:val="14"/>
          <w:sz w:val="17"/>
          <w:szCs w:val="17"/>
        </w:rPr>
        <w:t>(一)专项素质</w:t>
      </w:r>
    </w:p>
    <w:p w14:paraId="1C75C1C4">
      <w:pPr>
        <w:spacing w:before="88" w:line="219" w:lineRule="auto"/>
        <w:ind w:left="350"/>
        <w:rPr>
          <w:rFonts w:ascii="宋体" w:hAnsi="宋体" w:eastAsia="宋体" w:cs="宋体"/>
          <w:sz w:val="17"/>
          <w:szCs w:val="17"/>
        </w:rPr>
      </w:pPr>
      <w:r>
        <w:rPr>
          <w:rFonts w:ascii="宋体" w:hAnsi="宋体" w:eastAsia="宋体" w:cs="宋体"/>
          <w:spacing w:val="-1"/>
          <w:sz w:val="17"/>
          <w:szCs w:val="17"/>
        </w:rPr>
        <w:t>1、测试内容及分值</w:t>
      </w:r>
    </w:p>
    <w:p w14:paraId="02CF9105">
      <w:pPr>
        <w:spacing w:before="79" w:line="312" w:lineRule="auto"/>
        <w:ind w:right="87" w:firstLine="350"/>
        <w:rPr>
          <w:rFonts w:ascii="宋体" w:hAnsi="宋体" w:eastAsia="宋体" w:cs="宋体"/>
          <w:sz w:val="17"/>
          <w:szCs w:val="17"/>
        </w:rPr>
      </w:pPr>
      <w:r>
        <w:rPr>
          <w:rFonts w:ascii="宋体" w:hAnsi="宋体" w:eastAsia="宋体" w:cs="宋体"/>
          <w:spacing w:val="-13"/>
          <w:sz w:val="17"/>
          <w:szCs w:val="17"/>
        </w:rPr>
        <w:t>立</w:t>
      </w:r>
      <w:r>
        <w:rPr>
          <w:rFonts w:ascii="宋体" w:hAnsi="宋体" w:eastAsia="宋体" w:cs="宋体"/>
          <w:spacing w:val="-24"/>
          <w:sz w:val="17"/>
          <w:szCs w:val="17"/>
        </w:rPr>
        <w:t xml:space="preserve"> </w:t>
      </w:r>
      <w:r>
        <w:rPr>
          <w:rFonts w:ascii="宋体" w:hAnsi="宋体" w:eastAsia="宋体" w:cs="宋体"/>
          <w:spacing w:val="-13"/>
          <w:sz w:val="17"/>
          <w:szCs w:val="17"/>
        </w:rPr>
        <w:t>定</w:t>
      </w:r>
      <w:r>
        <w:rPr>
          <w:rFonts w:ascii="宋体" w:hAnsi="宋体" w:eastAsia="宋体" w:cs="宋体"/>
          <w:spacing w:val="-36"/>
          <w:sz w:val="17"/>
          <w:szCs w:val="17"/>
        </w:rPr>
        <w:t xml:space="preserve"> </w:t>
      </w:r>
      <w:r>
        <w:rPr>
          <w:rFonts w:ascii="宋体" w:hAnsi="宋体" w:eastAsia="宋体" w:cs="宋体"/>
          <w:spacing w:val="-13"/>
          <w:sz w:val="17"/>
          <w:szCs w:val="17"/>
        </w:rPr>
        <w:t>跳</w:t>
      </w:r>
      <w:r>
        <w:rPr>
          <w:rFonts w:ascii="宋体" w:hAnsi="宋体" w:eastAsia="宋体" w:cs="宋体"/>
          <w:spacing w:val="-35"/>
          <w:sz w:val="17"/>
          <w:szCs w:val="17"/>
        </w:rPr>
        <w:t xml:space="preserve"> </w:t>
      </w:r>
      <w:r>
        <w:rPr>
          <w:rFonts w:ascii="宋体" w:hAnsi="宋体" w:eastAsia="宋体" w:cs="宋体"/>
          <w:spacing w:val="-13"/>
          <w:sz w:val="17"/>
          <w:szCs w:val="17"/>
        </w:rPr>
        <w:t>远 (</w:t>
      </w:r>
      <w:r>
        <w:rPr>
          <w:rFonts w:ascii="宋体" w:hAnsi="宋体" w:eastAsia="宋体" w:cs="宋体"/>
          <w:spacing w:val="-35"/>
          <w:sz w:val="17"/>
          <w:szCs w:val="17"/>
        </w:rPr>
        <w:t xml:space="preserve"> </w:t>
      </w:r>
      <w:r>
        <w:rPr>
          <w:rFonts w:ascii="宋体" w:hAnsi="宋体" w:eastAsia="宋体" w:cs="宋体"/>
          <w:spacing w:val="-13"/>
          <w:sz w:val="17"/>
          <w:szCs w:val="17"/>
        </w:rPr>
        <w:t>6</w:t>
      </w:r>
      <w:r>
        <w:rPr>
          <w:rFonts w:ascii="宋体" w:hAnsi="宋体" w:eastAsia="宋体" w:cs="宋体"/>
          <w:spacing w:val="-34"/>
          <w:sz w:val="17"/>
          <w:szCs w:val="17"/>
        </w:rPr>
        <w:t xml:space="preserve"> </w:t>
      </w:r>
      <w:r>
        <w:rPr>
          <w:rFonts w:ascii="宋体" w:hAnsi="宋体" w:eastAsia="宋体" w:cs="宋体"/>
          <w:spacing w:val="-13"/>
          <w:sz w:val="17"/>
          <w:szCs w:val="17"/>
        </w:rPr>
        <w:t>0</w:t>
      </w:r>
      <w:r>
        <w:rPr>
          <w:rFonts w:ascii="宋体" w:hAnsi="宋体" w:eastAsia="宋体" w:cs="宋体"/>
          <w:spacing w:val="-34"/>
          <w:sz w:val="17"/>
          <w:szCs w:val="17"/>
        </w:rPr>
        <w:t xml:space="preserve"> </w:t>
      </w:r>
      <w:r>
        <w:rPr>
          <w:rFonts w:ascii="宋体" w:hAnsi="宋体" w:eastAsia="宋体" w:cs="宋体"/>
          <w:spacing w:val="-13"/>
          <w:sz w:val="17"/>
          <w:szCs w:val="17"/>
        </w:rPr>
        <w:t>分</w:t>
      </w:r>
      <w:r>
        <w:rPr>
          <w:rFonts w:ascii="宋体" w:hAnsi="宋体" w:eastAsia="宋体" w:cs="宋体"/>
          <w:spacing w:val="-35"/>
          <w:sz w:val="17"/>
          <w:szCs w:val="17"/>
        </w:rPr>
        <w:t xml:space="preserve"> </w:t>
      </w:r>
      <w:r>
        <w:rPr>
          <w:rFonts w:ascii="宋体" w:hAnsi="宋体" w:eastAsia="宋体" w:cs="宋体"/>
          <w:spacing w:val="-13"/>
          <w:sz w:val="17"/>
          <w:szCs w:val="17"/>
        </w:rPr>
        <w:t>) ;</w:t>
      </w:r>
      <w:r>
        <w:rPr>
          <w:rFonts w:ascii="宋体" w:hAnsi="宋体" w:eastAsia="宋体" w:cs="宋体"/>
          <w:spacing w:val="-36"/>
          <w:sz w:val="17"/>
          <w:szCs w:val="17"/>
        </w:rPr>
        <w:t xml:space="preserve"> </w:t>
      </w:r>
      <w:r>
        <w:rPr>
          <w:rFonts w:ascii="宋体" w:hAnsi="宋体" w:eastAsia="宋体" w:cs="宋体"/>
          <w:spacing w:val="-13"/>
          <w:sz w:val="17"/>
          <w:szCs w:val="17"/>
        </w:rPr>
        <w:t>双</w:t>
      </w:r>
      <w:r>
        <w:rPr>
          <w:rFonts w:ascii="宋体" w:hAnsi="宋体" w:eastAsia="宋体" w:cs="宋体"/>
          <w:spacing w:val="-35"/>
          <w:sz w:val="17"/>
          <w:szCs w:val="17"/>
        </w:rPr>
        <w:t xml:space="preserve"> </w:t>
      </w:r>
      <w:r>
        <w:rPr>
          <w:rFonts w:ascii="宋体" w:hAnsi="宋体" w:eastAsia="宋体" w:cs="宋体"/>
          <w:spacing w:val="-13"/>
          <w:sz w:val="17"/>
          <w:szCs w:val="17"/>
        </w:rPr>
        <w:t>摇</w:t>
      </w:r>
      <w:r>
        <w:rPr>
          <w:rFonts w:ascii="宋体" w:hAnsi="宋体" w:eastAsia="宋体" w:cs="宋体"/>
          <w:spacing w:val="-35"/>
          <w:sz w:val="17"/>
          <w:szCs w:val="17"/>
        </w:rPr>
        <w:t xml:space="preserve"> </w:t>
      </w:r>
      <w:r>
        <w:rPr>
          <w:rFonts w:ascii="宋体" w:hAnsi="宋体" w:eastAsia="宋体" w:cs="宋体"/>
          <w:spacing w:val="-13"/>
          <w:sz w:val="17"/>
          <w:szCs w:val="17"/>
        </w:rPr>
        <w:t>跳</w:t>
      </w:r>
      <w:r>
        <w:rPr>
          <w:rFonts w:ascii="宋体" w:hAnsi="宋体" w:eastAsia="宋体" w:cs="宋体"/>
          <w:spacing w:val="-36"/>
          <w:sz w:val="17"/>
          <w:szCs w:val="17"/>
        </w:rPr>
        <w:t xml:space="preserve"> </w:t>
      </w:r>
      <w:r>
        <w:rPr>
          <w:rFonts w:ascii="宋体" w:hAnsi="宋体" w:eastAsia="宋体" w:cs="宋体"/>
          <w:spacing w:val="-13"/>
          <w:sz w:val="17"/>
          <w:szCs w:val="17"/>
        </w:rPr>
        <w:t>绳 (</w:t>
      </w:r>
      <w:r>
        <w:rPr>
          <w:rFonts w:ascii="宋体" w:hAnsi="宋体" w:eastAsia="宋体" w:cs="宋体"/>
          <w:spacing w:val="-35"/>
          <w:sz w:val="17"/>
          <w:szCs w:val="17"/>
        </w:rPr>
        <w:t xml:space="preserve"> </w:t>
      </w:r>
      <w:r>
        <w:rPr>
          <w:rFonts w:ascii="宋体" w:hAnsi="宋体" w:eastAsia="宋体" w:cs="宋体"/>
          <w:spacing w:val="-13"/>
          <w:sz w:val="17"/>
          <w:szCs w:val="17"/>
        </w:rPr>
        <w:t>9</w:t>
      </w:r>
      <w:r>
        <w:rPr>
          <w:rFonts w:ascii="宋体" w:hAnsi="宋体" w:eastAsia="宋体" w:cs="宋体"/>
          <w:spacing w:val="-35"/>
          <w:sz w:val="17"/>
          <w:szCs w:val="17"/>
        </w:rPr>
        <w:t xml:space="preserve"> </w:t>
      </w:r>
      <w:r>
        <w:rPr>
          <w:rFonts w:ascii="宋体" w:hAnsi="宋体" w:eastAsia="宋体" w:cs="宋体"/>
          <w:spacing w:val="-13"/>
          <w:sz w:val="17"/>
          <w:szCs w:val="17"/>
        </w:rPr>
        <w:t>0</w:t>
      </w:r>
      <w:r>
        <w:rPr>
          <w:rFonts w:ascii="宋体" w:hAnsi="宋体" w:eastAsia="宋体" w:cs="宋体"/>
          <w:spacing w:val="-33"/>
          <w:sz w:val="17"/>
          <w:szCs w:val="17"/>
        </w:rPr>
        <w:t xml:space="preserve"> </w:t>
      </w:r>
      <w:r>
        <w:rPr>
          <w:rFonts w:ascii="宋体" w:hAnsi="宋体" w:eastAsia="宋体" w:cs="宋体"/>
          <w:spacing w:val="-13"/>
          <w:sz w:val="17"/>
          <w:szCs w:val="17"/>
        </w:rPr>
        <w:t>分</w:t>
      </w:r>
      <w:r>
        <w:rPr>
          <w:rFonts w:ascii="宋体" w:hAnsi="宋体" w:eastAsia="宋体" w:cs="宋体"/>
          <w:spacing w:val="-35"/>
          <w:sz w:val="17"/>
          <w:szCs w:val="17"/>
        </w:rPr>
        <w:t xml:space="preserve"> </w:t>
      </w:r>
      <w:r>
        <w:rPr>
          <w:rFonts w:ascii="宋体" w:hAnsi="宋体" w:eastAsia="宋体" w:cs="宋体"/>
          <w:spacing w:val="-13"/>
          <w:sz w:val="17"/>
          <w:szCs w:val="17"/>
        </w:rPr>
        <w:t>) ; 弓</w:t>
      </w:r>
      <w:r>
        <w:rPr>
          <w:rFonts w:ascii="宋体" w:hAnsi="宋体" w:eastAsia="宋体" w:cs="宋体"/>
          <w:spacing w:val="-34"/>
          <w:sz w:val="17"/>
          <w:szCs w:val="17"/>
        </w:rPr>
        <w:t xml:space="preserve"> </w:t>
      </w:r>
      <w:r>
        <w:rPr>
          <w:rFonts w:ascii="宋体" w:hAnsi="宋体" w:eastAsia="宋体" w:cs="宋体"/>
          <w:spacing w:val="-13"/>
          <w:sz w:val="17"/>
          <w:szCs w:val="17"/>
        </w:rPr>
        <w:t>步</w:t>
      </w:r>
      <w:r>
        <w:rPr>
          <w:rFonts w:ascii="宋体" w:hAnsi="宋体" w:eastAsia="宋体" w:cs="宋体"/>
          <w:sz w:val="17"/>
          <w:szCs w:val="17"/>
        </w:rPr>
        <w:t xml:space="preserve"> </w:t>
      </w:r>
      <w:r>
        <w:rPr>
          <w:rFonts w:ascii="宋体" w:hAnsi="宋体" w:eastAsia="宋体" w:cs="宋体"/>
          <w:spacing w:val="18"/>
          <w:sz w:val="17"/>
          <w:szCs w:val="17"/>
        </w:rPr>
        <w:t>技术(70分);步法技术(40分);攻防技术(40分)。</w:t>
      </w:r>
    </w:p>
    <w:p w14:paraId="480F13C7">
      <w:pPr>
        <w:spacing w:before="4" w:line="184" w:lineRule="auto"/>
        <w:ind w:left="352"/>
        <w:rPr>
          <w:rFonts w:ascii="宋体" w:hAnsi="宋体" w:eastAsia="宋体" w:cs="宋体"/>
          <w:sz w:val="17"/>
          <w:szCs w:val="17"/>
        </w:rPr>
      </w:pPr>
      <w:r>
        <w:rPr>
          <w:rFonts w:ascii="宋体" w:hAnsi="宋体" w:eastAsia="宋体" w:cs="宋体"/>
          <w:b/>
          <w:bCs/>
          <w:spacing w:val="-4"/>
          <w:sz w:val="17"/>
          <w:szCs w:val="17"/>
        </w:rPr>
        <w:t>2、测试方法</w:t>
      </w:r>
    </w:p>
    <w:p w14:paraId="4569524E">
      <w:pPr>
        <w:spacing w:line="184" w:lineRule="auto"/>
        <w:rPr>
          <w:rFonts w:ascii="宋体" w:hAnsi="宋体" w:eastAsia="宋体" w:cs="宋体"/>
          <w:sz w:val="17"/>
          <w:szCs w:val="17"/>
        </w:rPr>
        <w:sectPr>
          <w:type w:val="continuous"/>
          <w:pgSz w:w="10660" w:h="15080"/>
          <w:pgMar w:top="400" w:right="974" w:bottom="896" w:left="819" w:header="0" w:footer="743" w:gutter="0"/>
          <w:cols w:equalWidth="0" w:num="2">
            <w:col w:w="4550" w:space="100"/>
            <w:col w:w="4216"/>
          </w:cols>
        </w:sectPr>
      </w:pPr>
    </w:p>
    <w:p w14:paraId="70D4158C">
      <w:pPr>
        <w:spacing w:before="1"/>
      </w:pPr>
    </w:p>
    <w:p w14:paraId="6A2176F4">
      <w:pPr>
        <w:spacing w:before="1"/>
      </w:pPr>
    </w:p>
    <w:p w14:paraId="0C964C8A">
      <w:pPr>
        <w:spacing w:before="1"/>
      </w:pPr>
    </w:p>
    <w:p w14:paraId="75C9E39F"/>
    <w:p w14:paraId="27A7CC7B">
      <w:pPr>
        <w:sectPr>
          <w:footerReference r:id="rId155" w:type="default"/>
          <w:pgSz w:w="10660" w:h="15080"/>
          <w:pgMar w:top="400" w:right="854" w:bottom="898" w:left="1019" w:header="0" w:footer="745" w:gutter="0"/>
          <w:cols w:equalWidth="0" w:num="1">
            <w:col w:w="8786"/>
          </w:cols>
        </w:sectPr>
      </w:pPr>
    </w:p>
    <w:p w14:paraId="2E82FF3C">
      <w:pPr>
        <w:spacing w:before="35" w:line="308" w:lineRule="auto"/>
        <w:ind w:left="2" w:right="287" w:firstLine="340"/>
        <w:jc w:val="both"/>
        <w:rPr>
          <w:rFonts w:ascii="宋体" w:hAnsi="宋体" w:eastAsia="宋体" w:cs="宋体"/>
          <w:sz w:val="17"/>
          <w:szCs w:val="17"/>
        </w:rPr>
      </w:pPr>
      <w:r>
        <w:rPr>
          <w:rFonts w:ascii="宋体" w:hAnsi="宋体" w:eastAsia="宋体" w:cs="宋体"/>
          <w:b/>
          <w:bCs/>
          <w:sz w:val="17"/>
          <w:szCs w:val="17"/>
        </w:rPr>
        <w:t>立定跳远测试方法：考生双脚站在起跳线外，起跳</w:t>
      </w:r>
      <w:r>
        <w:rPr>
          <w:rFonts w:ascii="宋体" w:hAnsi="宋体" w:eastAsia="宋体" w:cs="宋体"/>
          <w:spacing w:val="1"/>
          <w:sz w:val="17"/>
          <w:szCs w:val="17"/>
        </w:rPr>
        <w:t xml:space="preserve">  </w:t>
      </w:r>
      <w:r>
        <w:rPr>
          <w:rFonts w:ascii="宋体" w:hAnsi="宋体" w:eastAsia="宋体" w:cs="宋体"/>
          <w:b/>
          <w:bCs/>
          <w:sz w:val="17"/>
          <w:szCs w:val="17"/>
        </w:rPr>
        <w:t>时双脚不允许越过起跳线，不能有预跳或踩线，落地后</w:t>
      </w:r>
      <w:r>
        <w:rPr>
          <w:rFonts w:ascii="宋体" w:hAnsi="宋体" w:eastAsia="宋体" w:cs="宋体"/>
          <w:spacing w:val="2"/>
          <w:sz w:val="17"/>
          <w:szCs w:val="17"/>
        </w:rPr>
        <w:t xml:space="preserve">  </w:t>
      </w:r>
      <w:r>
        <w:rPr>
          <w:rFonts w:ascii="宋体" w:hAnsi="宋体" w:eastAsia="宋体" w:cs="宋体"/>
          <w:b/>
          <w:bCs/>
          <w:spacing w:val="-1"/>
          <w:sz w:val="17"/>
          <w:szCs w:val="17"/>
        </w:rPr>
        <w:t>以身体与起跳线最近距离为测量距离。每人连续跳2次，</w:t>
      </w:r>
      <w:r>
        <w:rPr>
          <w:rFonts w:ascii="宋体" w:hAnsi="宋体" w:eastAsia="宋体" w:cs="宋体"/>
          <w:spacing w:val="14"/>
          <w:sz w:val="17"/>
          <w:szCs w:val="17"/>
        </w:rPr>
        <w:t xml:space="preserve"> </w:t>
      </w:r>
      <w:r>
        <w:rPr>
          <w:rFonts w:ascii="宋体" w:hAnsi="宋体" w:eastAsia="宋体" w:cs="宋体"/>
          <w:b/>
          <w:bCs/>
          <w:spacing w:val="4"/>
          <w:sz w:val="17"/>
          <w:szCs w:val="17"/>
        </w:rPr>
        <w:t>取其中1次最好成绩。</w:t>
      </w:r>
    </w:p>
    <w:p w14:paraId="05B02AC8">
      <w:pPr>
        <w:spacing w:before="46" w:line="276" w:lineRule="auto"/>
        <w:ind w:right="363" w:firstLine="340"/>
        <w:rPr>
          <w:rFonts w:ascii="宋体" w:hAnsi="宋体" w:eastAsia="宋体" w:cs="宋体"/>
          <w:sz w:val="17"/>
          <w:szCs w:val="17"/>
        </w:rPr>
      </w:pPr>
      <w:r>
        <w:rPr>
          <w:rFonts w:ascii="宋体" w:hAnsi="宋体" w:eastAsia="宋体" w:cs="宋体"/>
          <w:spacing w:val="9"/>
          <w:sz w:val="17"/>
          <w:szCs w:val="17"/>
        </w:rPr>
        <w:t>双摇跳绳测试方法：每人试跳1次，以1次起跳连</w:t>
      </w:r>
      <w:r>
        <w:rPr>
          <w:rFonts w:ascii="宋体" w:hAnsi="宋体" w:eastAsia="宋体" w:cs="宋体"/>
          <w:spacing w:val="17"/>
          <w:sz w:val="17"/>
          <w:szCs w:val="17"/>
        </w:rPr>
        <w:t xml:space="preserve"> </w:t>
      </w:r>
      <w:r>
        <w:rPr>
          <w:rFonts w:ascii="宋体" w:hAnsi="宋体" w:eastAsia="宋体" w:cs="宋体"/>
          <w:spacing w:val="21"/>
          <w:sz w:val="17"/>
          <w:szCs w:val="17"/>
        </w:rPr>
        <w:t>续摇过2次绳为1个(双摇跳绳),时间为1分钟。</w:t>
      </w:r>
    </w:p>
    <w:p w14:paraId="5D9B1887">
      <w:pPr>
        <w:spacing w:before="54" w:line="310" w:lineRule="auto"/>
        <w:ind w:right="284" w:firstLine="340"/>
        <w:rPr>
          <w:rFonts w:ascii="宋体" w:hAnsi="宋体" w:eastAsia="宋体" w:cs="宋体"/>
          <w:sz w:val="17"/>
          <w:szCs w:val="17"/>
        </w:rPr>
      </w:pPr>
      <w:r>
        <w:rPr>
          <w:rFonts w:ascii="宋体" w:hAnsi="宋体" w:eastAsia="宋体" w:cs="宋体"/>
          <w:spacing w:val="5"/>
          <w:sz w:val="17"/>
          <w:szCs w:val="17"/>
        </w:rPr>
        <w:t>弓步技术测试方法：考生持剑连续完成向前1步接</w:t>
      </w:r>
      <w:r>
        <w:rPr>
          <w:rFonts w:ascii="宋体" w:hAnsi="宋体" w:eastAsia="宋体" w:cs="宋体"/>
          <w:sz w:val="17"/>
          <w:szCs w:val="17"/>
        </w:rPr>
        <w:t xml:space="preserve">  </w:t>
      </w:r>
      <w:r>
        <w:rPr>
          <w:rFonts w:ascii="宋体" w:hAnsi="宋体" w:eastAsia="宋体" w:cs="宋体"/>
          <w:spacing w:val="9"/>
          <w:sz w:val="17"/>
          <w:szCs w:val="17"/>
        </w:rPr>
        <w:t>弓步刺靶动作，以向前1步接弓步还原成实战姿势为1</w:t>
      </w:r>
      <w:r>
        <w:rPr>
          <w:rFonts w:ascii="宋体" w:hAnsi="宋体" w:eastAsia="宋体" w:cs="宋体"/>
          <w:spacing w:val="5"/>
          <w:sz w:val="17"/>
          <w:szCs w:val="17"/>
        </w:rPr>
        <w:t xml:space="preserve">  </w:t>
      </w:r>
      <w:r>
        <w:rPr>
          <w:rFonts w:ascii="宋体" w:hAnsi="宋体" w:eastAsia="宋体" w:cs="宋体"/>
          <w:spacing w:val="-2"/>
          <w:sz w:val="17"/>
          <w:szCs w:val="17"/>
        </w:rPr>
        <w:t>个完整动作，时间为30秒。要求前腿膝关节夹角成直角，</w:t>
      </w:r>
      <w:r>
        <w:rPr>
          <w:rFonts w:ascii="宋体" w:hAnsi="宋体" w:eastAsia="宋体" w:cs="宋体"/>
          <w:spacing w:val="6"/>
          <w:sz w:val="17"/>
          <w:szCs w:val="17"/>
        </w:rPr>
        <w:t xml:space="preserve"> </w:t>
      </w:r>
      <w:r>
        <w:rPr>
          <w:rFonts w:ascii="宋体" w:hAnsi="宋体" w:eastAsia="宋体" w:cs="宋体"/>
          <w:spacing w:val="2"/>
          <w:sz w:val="17"/>
          <w:szCs w:val="17"/>
        </w:rPr>
        <w:t>后腿充分伸展，双脚全脚掌着地；完成弓步时持剑手臂</w:t>
      </w:r>
      <w:r>
        <w:rPr>
          <w:rFonts w:ascii="宋体" w:hAnsi="宋体" w:eastAsia="宋体" w:cs="宋体"/>
          <w:spacing w:val="1"/>
          <w:sz w:val="17"/>
          <w:szCs w:val="17"/>
        </w:rPr>
        <w:t xml:space="preserve">  </w:t>
      </w:r>
      <w:r>
        <w:rPr>
          <w:rFonts w:ascii="宋体" w:hAnsi="宋体" w:eastAsia="宋体" w:cs="宋体"/>
          <w:spacing w:val="2"/>
          <w:sz w:val="17"/>
          <w:szCs w:val="17"/>
        </w:rPr>
        <w:t>须伸直。符合以上测试要求的技术动作，方被视为</w:t>
      </w:r>
      <w:r>
        <w:rPr>
          <w:rFonts w:ascii="宋体" w:hAnsi="宋体" w:eastAsia="宋体" w:cs="宋体"/>
          <w:spacing w:val="1"/>
          <w:sz w:val="17"/>
          <w:szCs w:val="17"/>
        </w:rPr>
        <w:t>有效</w:t>
      </w:r>
      <w:r>
        <w:rPr>
          <w:rFonts w:ascii="宋体" w:hAnsi="宋体" w:eastAsia="宋体" w:cs="宋体"/>
          <w:sz w:val="17"/>
          <w:szCs w:val="17"/>
        </w:rPr>
        <w:t xml:space="preserve">  </w:t>
      </w:r>
      <w:r>
        <w:rPr>
          <w:rFonts w:ascii="宋体" w:hAnsi="宋体" w:eastAsia="宋体" w:cs="宋体"/>
          <w:spacing w:val="-6"/>
          <w:sz w:val="17"/>
          <w:szCs w:val="17"/>
        </w:rPr>
        <w:t>技术动作。</w:t>
      </w:r>
    </w:p>
    <w:p w14:paraId="3B1458AC">
      <w:pPr>
        <w:spacing w:before="26" w:line="312" w:lineRule="auto"/>
        <w:ind w:right="361" w:firstLine="340"/>
        <w:rPr>
          <w:rFonts w:ascii="宋体" w:hAnsi="宋体" w:eastAsia="宋体" w:cs="宋体"/>
          <w:sz w:val="17"/>
          <w:szCs w:val="17"/>
        </w:rPr>
      </w:pPr>
      <w:r>
        <w:rPr>
          <w:rFonts w:ascii="宋体" w:hAnsi="宋体" w:eastAsia="宋体" w:cs="宋体"/>
          <w:spacing w:val="2"/>
          <w:sz w:val="17"/>
          <w:szCs w:val="17"/>
        </w:rPr>
        <w:t>对考生在规定时间内完成有效技术动作的数量进行</w:t>
      </w:r>
      <w:r>
        <w:rPr>
          <w:rFonts w:ascii="宋体" w:hAnsi="宋体" w:eastAsia="宋体" w:cs="宋体"/>
          <w:spacing w:val="3"/>
          <w:sz w:val="17"/>
          <w:szCs w:val="17"/>
        </w:rPr>
        <w:t xml:space="preserve"> </w:t>
      </w:r>
      <w:r>
        <w:rPr>
          <w:rFonts w:ascii="宋体" w:hAnsi="宋体" w:eastAsia="宋体" w:cs="宋体"/>
          <w:spacing w:val="-3"/>
          <w:sz w:val="17"/>
          <w:szCs w:val="17"/>
        </w:rPr>
        <w:t>计数，无效技术不予计数。</w:t>
      </w:r>
    </w:p>
    <w:p w14:paraId="4319CC70">
      <w:pPr>
        <w:spacing w:before="4" w:line="306" w:lineRule="auto"/>
        <w:ind w:right="335" w:firstLine="340"/>
        <w:jc w:val="both"/>
        <w:rPr>
          <w:rFonts w:ascii="宋体" w:hAnsi="宋体" w:eastAsia="宋体" w:cs="宋体"/>
          <w:sz w:val="17"/>
          <w:szCs w:val="17"/>
        </w:rPr>
      </w:pPr>
      <w:r>
        <w:rPr>
          <w:rFonts w:ascii="宋体" w:hAnsi="宋体" w:eastAsia="宋体" w:cs="宋体"/>
          <w:spacing w:val="6"/>
          <w:sz w:val="17"/>
          <w:szCs w:val="17"/>
        </w:rPr>
        <w:t>步法技术测试方法：每人做1套连贯的步法移动技</w:t>
      </w:r>
      <w:r>
        <w:rPr>
          <w:rFonts w:ascii="宋体" w:hAnsi="宋体" w:eastAsia="宋体" w:cs="宋体"/>
          <w:sz w:val="17"/>
          <w:szCs w:val="17"/>
        </w:rPr>
        <w:t xml:space="preserve"> </w:t>
      </w:r>
      <w:r>
        <w:rPr>
          <w:rFonts w:ascii="宋体" w:hAnsi="宋体" w:eastAsia="宋体" w:cs="宋体"/>
          <w:spacing w:val="13"/>
          <w:sz w:val="17"/>
          <w:szCs w:val="17"/>
        </w:rPr>
        <w:t>术，内容是向前3步、向后3步、向前3步接弓步还原</w:t>
      </w:r>
      <w:r>
        <w:rPr>
          <w:rFonts w:ascii="宋体" w:hAnsi="宋体" w:eastAsia="宋体" w:cs="宋体"/>
          <w:spacing w:val="16"/>
          <w:sz w:val="17"/>
          <w:szCs w:val="17"/>
        </w:rPr>
        <w:t xml:space="preserve"> </w:t>
      </w:r>
      <w:r>
        <w:rPr>
          <w:rFonts w:ascii="宋体" w:hAnsi="宋体" w:eastAsia="宋体" w:cs="宋体"/>
          <w:spacing w:val="5"/>
          <w:sz w:val="17"/>
          <w:szCs w:val="17"/>
        </w:rPr>
        <w:t>成实战姿势后再后退3步。</w:t>
      </w:r>
    </w:p>
    <w:p w14:paraId="1DB6025A">
      <w:pPr>
        <w:spacing w:before="24" w:line="312" w:lineRule="auto"/>
        <w:ind w:right="362" w:firstLine="340"/>
        <w:rPr>
          <w:rFonts w:ascii="宋体" w:hAnsi="宋体" w:eastAsia="宋体" w:cs="宋体"/>
          <w:sz w:val="17"/>
          <w:szCs w:val="17"/>
        </w:rPr>
      </w:pPr>
      <w:r>
        <w:rPr>
          <w:rFonts w:ascii="宋体" w:hAnsi="宋体" w:eastAsia="宋体" w:cs="宋体"/>
          <w:spacing w:val="2"/>
          <w:sz w:val="17"/>
          <w:szCs w:val="17"/>
        </w:rPr>
        <w:t xml:space="preserve">攻防技术测试方法：以个别课的形式进行，按照基 </w:t>
      </w:r>
      <w:r>
        <w:rPr>
          <w:rFonts w:ascii="宋体" w:hAnsi="宋体" w:eastAsia="宋体" w:cs="宋体"/>
          <w:spacing w:val="3"/>
          <w:sz w:val="17"/>
          <w:szCs w:val="17"/>
        </w:rPr>
        <w:t>本技术进行全面考核，时间为6-8分钟。</w:t>
      </w:r>
    </w:p>
    <w:p w14:paraId="3FE3AE65">
      <w:pPr>
        <w:spacing w:before="7" w:line="220" w:lineRule="auto"/>
        <w:ind w:left="420"/>
        <w:rPr>
          <w:rFonts w:ascii="宋体" w:hAnsi="宋体" w:eastAsia="宋体" w:cs="宋体"/>
          <w:sz w:val="17"/>
          <w:szCs w:val="17"/>
        </w:rPr>
      </w:pPr>
      <w:r>
        <w:rPr>
          <w:rFonts w:ascii="宋体" w:hAnsi="宋体" w:eastAsia="宋体" w:cs="宋体"/>
          <w:spacing w:val="15"/>
          <w:sz w:val="17"/>
          <w:szCs w:val="17"/>
        </w:rPr>
        <w:t>(二)专项技能</w:t>
      </w:r>
    </w:p>
    <w:p w14:paraId="6BC36159">
      <w:pPr>
        <w:spacing w:before="98" w:line="262" w:lineRule="auto"/>
        <w:ind w:left="340" w:right="2713"/>
        <w:rPr>
          <w:rFonts w:ascii="宋体" w:hAnsi="宋体" w:eastAsia="宋体" w:cs="宋体"/>
          <w:sz w:val="17"/>
          <w:szCs w:val="17"/>
        </w:rPr>
      </w:pPr>
      <w:r>
        <w:rPr>
          <w:rFonts w:ascii="宋体" w:hAnsi="宋体" w:eastAsia="宋体" w:cs="宋体"/>
          <w:spacing w:val="-1"/>
          <w:sz w:val="17"/>
          <w:szCs w:val="17"/>
        </w:rPr>
        <w:t>1、测试内容及分值</w:t>
      </w:r>
      <w:r>
        <w:rPr>
          <w:rFonts w:ascii="宋体" w:hAnsi="宋体" w:eastAsia="宋体" w:cs="宋体"/>
          <w:sz w:val="17"/>
          <w:szCs w:val="17"/>
        </w:rPr>
        <w:t xml:space="preserve"> </w:t>
      </w:r>
      <w:r>
        <w:rPr>
          <w:rFonts w:ascii="宋体" w:hAnsi="宋体" w:eastAsia="宋体" w:cs="宋体"/>
          <w:spacing w:val="19"/>
          <w:sz w:val="17"/>
          <w:szCs w:val="17"/>
        </w:rPr>
        <w:t>实战(150分)。</w:t>
      </w:r>
    </w:p>
    <w:p w14:paraId="1DB8FF74">
      <w:pPr>
        <w:spacing w:before="87" w:line="221" w:lineRule="auto"/>
        <w:ind w:left="340"/>
        <w:rPr>
          <w:rFonts w:ascii="宋体" w:hAnsi="宋体" w:eastAsia="宋体" w:cs="宋体"/>
          <w:sz w:val="17"/>
          <w:szCs w:val="17"/>
        </w:rPr>
      </w:pPr>
      <w:r>
        <w:rPr>
          <w:rFonts w:ascii="宋体" w:hAnsi="宋体" w:eastAsia="宋体" w:cs="宋体"/>
          <w:spacing w:val="1"/>
          <w:sz w:val="17"/>
          <w:szCs w:val="17"/>
        </w:rPr>
        <w:t>2、测试方法</w:t>
      </w:r>
    </w:p>
    <w:p w14:paraId="2F68F916">
      <w:pPr>
        <w:spacing w:before="87" w:line="307" w:lineRule="auto"/>
        <w:ind w:right="355" w:firstLine="340"/>
        <w:rPr>
          <w:rFonts w:ascii="宋体" w:hAnsi="宋体" w:eastAsia="宋体" w:cs="宋体"/>
          <w:sz w:val="17"/>
          <w:szCs w:val="17"/>
        </w:rPr>
      </w:pPr>
      <w:r>
        <w:rPr>
          <w:rFonts w:ascii="宋体" w:hAnsi="宋体" w:eastAsia="宋体" w:cs="宋体"/>
          <w:spacing w:val="4"/>
          <w:sz w:val="17"/>
          <w:szCs w:val="17"/>
        </w:rPr>
        <w:t>实战比赛：通过考生实战比赛来测试(因剑种多，</w:t>
      </w:r>
      <w:r>
        <w:rPr>
          <w:rFonts w:ascii="宋体" w:hAnsi="宋体" w:eastAsia="宋体" w:cs="宋体"/>
          <w:spacing w:val="11"/>
          <w:sz w:val="17"/>
          <w:szCs w:val="17"/>
        </w:rPr>
        <w:t xml:space="preserve"> </w:t>
      </w:r>
      <w:r>
        <w:rPr>
          <w:rFonts w:ascii="宋体" w:hAnsi="宋体" w:eastAsia="宋体" w:cs="宋体"/>
          <w:spacing w:val="17"/>
          <w:sz w:val="17"/>
          <w:szCs w:val="17"/>
        </w:rPr>
        <w:t>可请在校专项学生参加实战)。根据比赛规则打5剑</w:t>
      </w:r>
      <w:r>
        <w:rPr>
          <w:rFonts w:ascii="宋体" w:hAnsi="宋体" w:eastAsia="宋体" w:cs="宋体"/>
          <w:spacing w:val="2"/>
          <w:sz w:val="17"/>
          <w:szCs w:val="17"/>
        </w:rPr>
        <w:t xml:space="preserve"> </w:t>
      </w:r>
      <w:r>
        <w:rPr>
          <w:rFonts w:ascii="宋体" w:hAnsi="宋体" w:eastAsia="宋体" w:cs="宋体"/>
          <w:spacing w:val="10"/>
          <w:sz w:val="17"/>
          <w:szCs w:val="17"/>
        </w:rPr>
        <w:t>1局。</w:t>
      </w:r>
    </w:p>
    <w:p w14:paraId="4EA5E644">
      <w:pPr>
        <w:spacing w:before="21" w:line="220" w:lineRule="auto"/>
        <w:ind w:left="3"/>
        <w:rPr>
          <w:rFonts w:ascii="宋体" w:hAnsi="宋体" w:eastAsia="宋体" w:cs="宋体"/>
          <w:sz w:val="23"/>
          <w:szCs w:val="23"/>
        </w:rPr>
      </w:pPr>
      <w:r>
        <w:rPr>
          <w:rFonts w:ascii="宋体" w:hAnsi="宋体" w:eastAsia="宋体" w:cs="宋体"/>
          <w:b/>
          <w:bCs/>
          <w:spacing w:val="-10"/>
          <w:sz w:val="23"/>
          <w:szCs w:val="23"/>
        </w:rPr>
        <w:t>十五、射击</w:t>
      </w:r>
    </w:p>
    <w:p w14:paraId="18FDE4F4">
      <w:pPr>
        <w:spacing w:before="88" w:line="312" w:lineRule="auto"/>
        <w:ind w:right="285" w:firstLine="340"/>
        <w:rPr>
          <w:rFonts w:ascii="宋体" w:hAnsi="宋体" w:eastAsia="宋体" w:cs="宋体"/>
          <w:sz w:val="17"/>
          <w:szCs w:val="17"/>
        </w:rPr>
      </w:pPr>
      <w:r>
        <w:rPr>
          <w:rFonts w:ascii="宋体" w:hAnsi="宋体" w:eastAsia="宋体" w:cs="宋体"/>
          <w:spacing w:val="13"/>
          <w:sz w:val="17"/>
          <w:szCs w:val="17"/>
        </w:rPr>
        <w:t>实战(450分)。实战比赛测试方法：凡报考射击</w:t>
      </w:r>
      <w:r>
        <w:rPr>
          <w:rFonts w:ascii="宋体" w:hAnsi="宋体" w:eastAsia="宋体" w:cs="宋体"/>
          <w:sz w:val="17"/>
          <w:szCs w:val="17"/>
        </w:rPr>
        <w:t xml:space="preserve">  </w:t>
      </w:r>
      <w:r>
        <w:rPr>
          <w:rFonts w:ascii="宋体" w:hAnsi="宋体" w:eastAsia="宋体" w:cs="宋体"/>
          <w:spacing w:val="9"/>
          <w:sz w:val="17"/>
          <w:szCs w:val="17"/>
        </w:rPr>
        <w:t>专项的考生在男子气步枪、男子步枪60米卧射、男子</w:t>
      </w:r>
      <w:r>
        <w:rPr>
          <w:rFonts w:ascii="宋体" w:hAnsi="宋体" w:eastAsia="宋体" w:cs="宋体"/>
          <w:sz w:val="17"/>
          <w:szCs w:val="17"/>
        </w:rPr>
        <w:t xml:space="preserve">  </w:t>
      </w:r>
      <w:r>
        <w:rPr>
          <w:rFonts w:ascii="宋体" w:hAnsi="宋体" w:eastAsia="宋体" w:cs="宋体"/>
          <w:spacing w:val="8"/>
          <w:sz w:val="17"/>
          <w:szCs w:val="17"/>
        </w:rPr>
        <w:t>步枪3种姿势(立射)、男子手枪慢射、男子手枪速射、</w:t>
      </w:r>
      <w:r>
        <w:rPr>
          <w:rFonts w:ascii="宋体" w:hAnsi="宋体" w:eastAsia="宋体" w:cs="宋体"/>
          <w:spacing w:val="9"/>
          <w:sz w:val="17"/>
          <w:szCs w:val="17"/>
        </w:rPr>
        <w:t xml:space="preserve"> 男子气手枪、男子10米移动靶、男子飞碟多向、男子</w:t>
      </w:r>
      <w:r>
        <w:rPr>
          <w:rFonts w:ascii="宋体" w:hAnsi="宋体" w:eastAsia="宋体" w:cs="宋体"/>
          <w:sz w:val="17"/>
          <w:szCs w:val="17"/>
        </w:rPr>
        <w:t xml:space="preserve">  </w:t>
      </w:r>
      <w:r>
        <w:rPr>
          <w:rFonts w:ascii="宋体" w:hAnsi="宋体" w:eastAsia="宋体" w:cs="宋体"/>
          <w:spacing w:val="2"/>
          <w:sz w:val="17"/>
          <w:szCs w:val="17"/>
        </w:rPr>
        <w:t>飞碟双多向、男子飞碟双向等；女子气步枪、女子步枪</w:t>
      </w:r>
      <w:r>
        <w:rPr>
          <w:rFonts w:ascii="宋体" w:hAnsi="宋体" w:eastAsia="宋体" w:cs="宋体"/>
          <w:sz w:val="17"/>
          <w:szCs w:val="17"/>
        </w:rPr>
        <w:t xml:space="preserve">  </w:t>
      </w:r>
      <w:r>
        <w:rPr>
          <w:rFonts w:ascii="宋体" w:hAnsi="宋体" w:eastAsia="宋体" w:cs="宋体"/>
          <w:spacing w:val="13"/>
          <w:sz w:val="17"/>
          <w:szCs w:val="17"/>
        </w:rPr>
        <w:t>3种姿势(立射)、女子运动手枪、女子气手枪、女子</w:t>
      </w:r>
      <w:r>
        <w:rPr>
          <w:rFonts w:ascii="宋体" w:hAnsi="宋体" w:eastAsia="宋体" w:cs="宋体"/>
          <w:spacing w:val="10"/>
          <w:sz w:val="17"/>
          <w:szCs w:val="17"/>
        </w:rPr>
        <w:t xml:space="preserve"> </w:t>
      </w:r>
      <w:r>
        <w:rPr>
          <w:rFonts w:ascii="宋体" w:hAnsi="宋体" w:eastAsia="宋体" w:cs="宋体"/>
          <w:spacing w:val="2"/>
          <w:sz w:val="17"/>
          <w:szCs w:val="17"/>
        </w:rPr>
        <w:t>10米移动靶、女子飞碟多向、女子飞碟双向、</w:t>
      </w:r>
      <w:r>
        <w:rPr>
          <w:rFonts w:ascii="宋体" w:hAnsi="宋体" w:eastAsia="宋体" w:cs="宋体"/>
          <w:spacing w:val="1"/>
          <w:sz w:val="17"/>
          <w:szCs w:val="17"/>
        </w:rPr>
        <w:t>女子飞碟</w:t>
      </w:r>
      <w:r>
        <w:rPr>
          <w:rFonts w:ascii="宋体" w:hAnsi="宋体" w:eastAsia="宋体" w:cs="宋体"/>
          <w:sz w:val="17"/>
          <w:szCs w:val="17"/>
        </w:rPr>
        <w:t xml:space="preserve">  </w:t>
      </w:r>
      <w:r>
        <w:rPr>
          <w:rFonts w:ascii="宋体" w:hAnsi="宋体" w:eastAsia="宋体" w:cs="宋体"/>
          <w:spacing w:val="5"/>
          <w:sz w:val="17"/>
          <w:szCs w:val="17"/>
        </w:rPr>
        <w:t>双多向中选择1个项目参加该项目的测试。单项测试作</w:t>
      </w:r>
      <w:r>
        <w:rPr>
          <w:rFonts w:ascii="宋体" w:hAnsi="宋体" w:eastAsia="宋体" w:cs="宋体"/>
          <w:spacing w:val="7"/>
          <w:sz w:val="17"/>
          <w:szCs w:val="17"/>
        </w:rPr>
        <w:t xml:space="preserve">  </w:t>
      </w:r>
      <w:r>
        <w:rPr>
          <w:rFonts w:ascii="宋体" w:hAnsi="宋体" w:eastAsia="宋体" w:cs="宋体"/>
          <w:spacing w:val="4"/>
          <w:sz w:val="17"/>
          <w:szCs w:val="17"/>
        </w:rPr>
        <w:t>为专项素质和专项技能总成绩。(不做单项素质测试，</w:t>
      </w:r>
      <w:r>
        <w:rPr>
          <w:rFonts w:ascii="宋体" w:hAnsi="宋体" w:eastAsia="宋体" w:cs="宋体"/>
          <w:spacing w:val="1"/>
          <w:sz w:val="17"/>
          <w:szCs w:val="17"/>
        </w:rPr>
        <w:t xml:space="preserve">  </w:t>
      </w:r>
      <w:r>
        <w:rPr>
          <w:rFonts w:ascii="宋体" w:hAnsi="宋体" w:eastAsia="宋体" w:cs="宋体"/>
          <w:spacing w:val="3"/>
          <w:sz w:val="17"/>
          <w:szCs w:val="17"/>
        </w:rPr>
        <w:t>成绩在专项能力测试中体现)</w:t>
      </w:r>
    </w:p>
    <w:p w14:paraId="7B271C90">
      <w:pPr>
        <w:spacing w:before="24" w:line="219" w:lineRule="auto"/>
        <w:ind w:left="3"/>
        <w:rPr>
          <w:rFonts w:ascii="宋体" w:hAnsi="宋体" w:eastAsia="宋体" w:cs="宋体"/>
          <w:sz w:val="23"/>
          <w:szCs w:val="23"/>
        </w:rPr>
      </w:pPr>
      <w:r>
        <w:rPr>
          <w:rFonts w:ascii="宋体" w:hAnsi="宋体" w:eastAsia="宋体" w:cs="宋体"/>
          <w:b/>
          <w:bCs/>
          <w:spacing w:val="-7"/>
          <w:sz w:val="23"/>
          <w:szCs w:val="23"/>
        </w:rPr>
        <w:t>十六、武术套路</w:t>
      </w:r>
    </w:p>
    <w:p w14:paraId="63891395">
      <w:pPr>
        <w:spacing w:before="98" w:line="219" w:lineRule="auto"/>
        <w:ind w:left="430"/>
        <w:rPr>
          <w:rFonts w:ascii="宋体" w:hAnsi="宋体" w:eastAsia="宋体" w:cs="宋体"/>
          <w:sz w:val="17"/>
          <w:szCs w:val="17"/>
        </w:rPr>
      </w:pPr>
      <w:r>
        <w:rPr>
          <w:rFonts w:ascii="宋体" w:hAnsi="宋体" w:eastAsia="宋体" w:cs="宋体"/>
          <w:spacing w:val="15"/>
          <w:sz w:val="17"/>
          <w:szCs w:val="17"/>
        </w:rPr>
        <w:t>(一)专项素质</w:t>
      </w:r>
    </w:p>
    <w:p w14:paraId="256FC316">
      <w:pPr>
        <w:spacing w:before="78" w:line="219" w:lineRule="auto"/>
        <w:ind w:left="340"/>
        <w:rPr>
          <w:rFonts w:ascii="宋体" w:hAnsi="宋体" w:eastAsia="宋体" w:cs="宋体"/>
          <w:sz w:val="17"/>
          <w:szCs w:val="17"/>
        </w:rPr>
      </w:pPr>
      <w:r>
        <w:rPr>
          <w:rFonts w:ascii="宋体" w:hAnsi="宋体" w:eastAsia="宋体" w:cs="宋体"/>
          <w:spacing w:val="-1"/>
          <w:sz w:val="17"/>
          <w:szCs w:val="17"/>
        </w:rPr>
        <w:t>1、测试内容及分值</w:t>
      </w:r>
    </w:p>
    <w:p w14:paraId="128F3312">
      <w:pPr>
        <w:spacing w:before="85" w:line="219" w:lineRule="auto"/>
        <w:ind w:left="342"/>
        <w:rPr>
          <w:rFonts w:ascii="宋体" w:hAnsi="宋体" w:eastAsia="宋体" w:cs="宋体"/>
          <w:sz w:val="17"/>
          <w:szCs w:val="17"/>
        </w:rPr>
      </w:pPr>
      <w:r>
        <w:rPr>
          <w:rFonts w:ascii="宋体" w:hAnsi="宋体" w:eastAsia="宋体" w:cs="宋体"/>
          <w:b/>
          <w:bCs/>
          <w:spacing w:val="5"/>
          <w:sz w:val="17"/>
          <w:szCs w:val="17"/>
        </w:rPr>
        <w:t>立定跳远(100分);正踢腿(100分);腾空飞脚(100</w:t>
      </w:r>
    </w:p>
    <w:p w14:paraId="200CB553">
      <w:pPr>
        <w:spacing w:before="102" w:line="220" w:lineRule="auto"/>
        <w:rPr>
          <w:rFonts w:ascii="宋体" w:hAnsi="宋体" w:eastAsia="宋体" w:cs="宋体"/>
          <w:sz w:val="17"/>
          <w:szCs w:val="17"/>
        </w:rPr>
      </w:pPr>
      <w:r>
        <w:rPr>
          <w:rFonts w:ascii="宋体" w:hAnsi="宋体" w:eastAsia="宋体" w:cs="宋体"/>
          <w:spacing w:val="-6"/>
          <w:sz w:val="17"/>
          <w:szCs w:val="17"/>
        </w:rPr>
        <w:t>分</w:t>
      </w:r>
      <w:r>
        <w:rPr>
          <w:rFonts w:ascii="宋体" w:hAnsi="宋体" w:eastAsia="宋体" w:cs="宋体"/>
          <w:spacing w:val="-25"/>
          <w:sz w:val="17"/>
          <w:szCs w:val="17"/>
        </w:rPr>
        <w:t xml:space="preserve"> </w:t>
      </w:r>
      <w:r>
        <w:rPr>
          <w:rFonts w:ascii="宋体" w:hAnsi="宋体" w:eastAsia="宋体" w:cs="宋体"/>
          <w:spacing w:val="-6"/>
          <w:sz w:val="17"/>
          <w:szCs w:val="17"/>
        </w:rPr>
        <w:t>)</w:t>
      </w:r>
      <w:r>
        <w:rPr>
          <w:rFonts w:ascii="宋体" w:hAnsi="宋体" w:eastAsia="宋体" w:cs="宋体"/>
          <w:spacing w:val="-34"/>
          <w:sz w:val="17"/>
          <w:szCs w:val="17"/>
        </w:rPr>
        <w:t xml:space="preserve"> </w:t>
      </w:r>
      <w:r>
        <w:rPr>
          <w:rFonts w:ascii="宋体" w:hAnsi="宋体" w:eastAsia="宋体" w:cs="宋体"/>
          <w:spacing w:val="-6"/>
          <w:sz w:val="17"/>
          <w:szCs w:val="17"/>
        </w:rPr>
        <w:t>。</w:t>
      </w:r>
    </w:p>
    <w:p w14:paraId="044D64CB">
      <w:pPr>
        <w:spacing w:before="77" w:line="184" w:lineRule="auto"/>
        <w:ind w:left="342"/>
        <w:rPr>
          <w:rFonts w:ascii="宋体" w:hAnsi="宋体" w:eastAsia="宋体" w:cs="宋体"/>
          <w:sz w:val="17"/>
          <w:szCs w:val="17"/>
        </w:rPr>
      </w:pPr>
      <w:r>
        <w:rPr>
          <w:rFonts w:ascii="宋体" w:hAnsi="宋体" w:eastAsia="宋体" w:cs="宋体"/>
          <w:b/>
          <w:bCs/>
          <w:spacing w:val="-6"/>
          <w:sz w:val="17"/>
          <w:szCs w:val="17"/>
        </w:rPr>
        <w:t>2、测试方法</w:t>
      </w:r>
    </w:p>
    <w:p w14:paraId="7D41A4CA">
      <w:pPr>
        <w:pStyle w:val="2"/>
        <w:spacing w:line="14" w:lineRule="auto"/>
        <w:rPr>
          <w:sz w:val="2"/>
        </w:rPr>
      </w:pPr>
      <w:r>
        <w:rPr>
          <w:sz w:val="2"/>
          <w:szCs w:val="2"/>
        </w:rPr>
        <w:br w:type="column"/>
      </w:r>
    </w:p>
    <w:p w14:paraId="44DB1738">
      <w:pPr>
        <w:spacing w:before="53" w:line="298" w:lineRule="auto"/>
        <w:ind w:right="29" w:firstLine="339"/>
        <w:jc w:val="both"/>
        <w:rPr>
          <w:rFonts w:ascii="宋体" w:hAnsi="宋体" w:eastAsia="宋体" w:cs="宋体"/>
          <w:sz w:val="17"/>
          <w:szCs w:val="17"/>
        </w:rPr>
      </w:pPr>
      <w:r>
        <w:rPr>
          <w:rFonts w:ascii="宋体" w:hAnsi="宋体" w:eastAsia="宋体" w:cs="宋体"/>
          <w:spacing w:val="1"/>
          <w:sz w:val="17"/>
          <w:szCs w:val="17"/>
        </w:rPr>
        <w:t>立定跳远测试方法：考生双脚站在起跳线外，起跳</w:t>
      </w:r>
      <w:r>
        <w:rPr>
          <w:rFonts w:ascii="宋体" w:hAnsi="宋体" w:eastAsia="宋体" w:cs="宋体"/>
          <w:spacing w:val="14"/>
          <w:sz w:val="17"/>
          <w:szCs w:val="17"/>
        </w:rPr>
        <w:t xml:space="preserve"> </w:t>
      </w:r>
      <w:r>
        <w:rPr>
          <w:rFonts w:ascii="宋体" w:hAnsi="宋体" w:eastAsia="宋体" w:cs="宋体"/>
          <w:spacing w:val="1"/>
          <w:sz w:val="17"/>
          <w:szCs w:val="17"/>
        </w:rPr>
        <w:t>时双脚不允许越过起跳线，不能有预跳或踩线，落地后</w:t>
      </w:r>
      <w:r>
        <w:rPr>
          <w:rFonts w:ascii="宋体" w:hAnsi="宋体" w:eastAsia="宋体" w:cs="宋体"/>
          <w:spacing w:val="17"/>
          <w:sz w:val="17"/>
          <w:szCs w:val="17"/>
        </w:rPr>
        <w:t xml:space="preserve"> </w:t>
      </w:r>
      <w:r>
        <w:rPr>
          <w:rFonts w:ascii="宋体" w:hAnsi="宋体" w:eastAsia="宋体" w:cs="宋体"/>
          <w:sz w:val="17"/>
          <w:szCs w:val="17"/>
        </w:rPr>
        <w:t xml:space="preserve">以身体与起跳线最近距离为测量距离。每人连续跳2次， </w:t>
      </w:r>
      <w:r>
        <w:rPr>
          <w:rFonts w:ascii="宋体" w:hAnsi="宋体" w:eastAsia="宋体" w:cs="宋体"/>
          <w:spacing w:val="7"/>
          <w:sz w:val="17"/>
          <w:szCs w:val="17"/>
        </w:rPr>
        <w:t>取其中1次最好成绩。</w:t>
      </w:r>
    </w:p>
    <w:p w14:paraId="30A464D1">
      <w:pPr>
        <w:spacing w:before="43" w:line="306" w:lineRule="auto"/>
        <w:ind w:right="29" w:firstLine="339"/>
        <w:jc w:val="both"/>
        <w:rPr>
          <w:rFonts w:ascii="宋体" w:hAnsi="宋体" w:eastAsia="宋体" w:cs="宋体"/>
          <w:sz w:val="17"/>
          <w:szCs w:val="17"/>
        </w:rPr>
      </w:pPr>
      <w:r>
        <w:rPr>
          <w:rFonts w:ascii="宋体" w:hAnsi="宋体" w:eastAsia="宋体" w:cs="宋体"/>
          <w:spacing w:val="1"/>
          <w:sz w:val="17"/>
          <w:szCs w:val="17"/>
        </w:rPr>
        <w:t>正踢腿测试方法：身体正直，挺胸、收腹、立腰。</w:t>
      </w:r>
      <w:r>
        <w:rPr>
          <w:rFonts w:ascii="宋体" w:hAnsi="宋体" w:eastAsia="宋体" w:cs="宋体"/>
          <w:spacing w:val="12"/>
          <w:sz w:val="17"/>
          <w:szCs w:val="17"/>
        </w:rPr>
        <w:t xml:space="preserve"> </w:t>
      </w:r>
      <w:r>
        <w:rPr>
          <w:rFonts w:ascii="宋体" w:hAnsi="宋体" w:eastAsia="宋体" w:cs="宋体"/>
          <w:spacing w:val="-4"/>
          <w:sz w:val="17"/>
          <w:szCs w:val="17"/>
        </w:rPr>
        <w:t>踢腿时，摆动腿挺膝伸直，脚尖勾起绷落。收髋猛收腹，</w:t>
      </w:r>
      <w:r>
        <w:rPr>
          <w:rFonts w:ascii="宋体" w:hAnsi="宋体" w:eastAsia="宋体" w:cs="宋体"/>
          <w:spacing w:val="14"/>
          <w:sz w:val="17"/>
          <w:szCs w:val="17"/>
        </w:rPr>
        <w:t xml:space="preserve"> </w:t>
      </w:r>
      <w:r>
        <w:rPr>
          <w:rFonts w:ascii="宋体" w:hAnsi="宋体" w:eastAsia="宋体" w:cs="宋体"/>
          <w:spacing w:val="-2"/>
          <w:sz w:val="17"/>
          <w:szCs w:val="17"/>
        </w:rPr>
        <w:t>踢腿过腰后加速，脚尖过肩，要有寸劲。</w:t>
      </w:r>
    </w:p>
    <w:p w14:paraId="62D6348E">
      <w:pPr>
        <w:spacing w:before="46" w:line="297" w:lineRule="auto"/>
        <w:ind w:right="29" w:firstLine="339"/>
        <w:jc w:val="both"/>
        <w:rPr>
          <w:rFonts w:ascii="宋体" w:hAnsi="宋体" w:eastAsia="宋体" w:cs="宋体"/>
          <w:sz w:val="17"/>
          <w:szCs w:val="17"/>
        </w:rPr>
      </w:pPr>
      <w:r>
        <w:rPr>
          <w:rFonts w:ascii="宋体" w:hAnsi="宋体" w:eastAsia="宋体" w:cs="宋体"/>
          <w:spacing w:val="-4"/>
          <w:sz w:val="17"/>
          <w:szCs w:val="17"/>
        </w:rPr>
        <w:t>腾空飞脚测试方法：在空中，左腿屈膝收控于腹前；</w:t>
      </w:r>
      <w:r>
        <w:rPr>
          <w:rFonts w:ascii="宋体" w:hAnsi="宋体" w:eastAsia="宋体" w:cs="宋体"/>
          <w:spacing w:val="6"/>
          <w:sz w:val="17"/>
          <w:szCs w:val="17"/>
        </w:rPr>
        <w:t xml:space="preserve"> </w:t>
      </w:r>
      <w:r>
        <w:rPr>
          <w:rFonts w:ascii="宋体" w:hAnsi="宋体" w:eastAsia="宋体" w:cs="宋体"/>
          <w:spacing w:val="1"/>
          <w:sz w:val="17"/>
          <w:szCs w:val="17"/>
        </w:rPr>
        <w:t>右腿在空中踢摆时，击响腿脚尖过肩；击响时，击掌、</w:t>
      </w:r>
      <w:r>
        <w:rPr>
          <w:rFonts w:ascii="宋体" w:hAnsi="宋体" w:eastAsia="宋体" w:cs="宋体"/>
          <w:spacing w:val="9"/>
          <w:sz w:val="17"/>
          <w:szCs w:val="17"/>
        </w:rPr>
        <w:t xml:space="preserve"> </w:t>
      </w:r>
      <w:r>
        <w:rPr>
          <w:rFonts w:ascii="宋体" w:hAnsi="宋体" w:eastAsia="宋体" w:cs="宋体"/>
          <w:spacing w:val="-4"/>
          <w:sz w:val="17"/>
          <w:szCs w:val="17"/>
        </w:rPr>
        <w:t>拍脚连续、准确、响亮；上体正直或微向前倾；落地时，</w:t>
      </w:r>
      <w:r>
        <w:rPr>
          <w:rFonts w:ascii="宋体" w:hAnsi="宋体" w:eastAsia="宋体" w:cs="宋体"/>
          <w:spacing w:val="14"/>
          <w:sz w:val="17"/>
          <w:szCs w:val="17"/>
        </w:rPr>
        <w:t xml:space="preserve"> </w:t>
      </w:r>
      <w:r>
        <w:rPr>
          <w:rFonts w:ascii="宋体" w:hAnsi="宋体" w:eastAsia="宋体" w:cs="宋体"/>
          <w:spacing w:val="-4"/>
          <w:sz w:val="17"/>
          <w:szCs w:val="17"/>
        </w:rPr>
        <w:t>起跳脚先着地。</w:t>
      </w:r>
    </w:p>
    <w:p w14:paraId="0FC7BB9B">
      <w:pPr>
        <w:spacing w:before="46" w:line="220" w:lineRule="auto"/>
        <w:ind w:left="429"/>
        <w:rPr>
          <w:rFonts w:ascii="宋体" w:hAnsi="宋体" w:eastAsia="宋体" w:cs="宋体"/>
          <w:sz w:val="17"/>
          <w:szCs w:val="17"/>
        </w:rPr>
      </w:pPr>
      <w:r>
        <w:rPr>
          <w:rFonts w:ascii="宋体" w:hAnsi="宋体" w:eastAsia="宋体" w:cs="宋体"/>
          <w:spacing w:val="12"/>
          <w:sz w:val="17"/>
          <w:szCs w:val="17"/>
        </w:rPr>
        <w:t>(二)专项技能</w:t>
      </w:r>
    </w:p>
    <w:p w14:paraId="79649D1A">
      <w:pPr>
        <w:spacing w:before="87" w:line="312" w:lineRule="auto"/>
        <w:ind w:left="339" w:right="2387"/>
        <w:rPr>
          <w:rFonts w:ascii="宋体" w:hAnsi="宋体" w:eastAsia="宋体" w:cs="宋体"/>
          <w:sz w:val="17"/>
          <w:szCs w:val="17"/>
        </w:rPr>
      </w:pPr>
      <w:r>
        <w:rPr>
          <w:rFonts w:ascii="宋体" w:hAnsi="宋体" w:eastAsia="宋体" w:cs="宋体"/>
          <w:spacing w:val="-1"/>
          <w:sz w:val="17"/>
          <w:szCs w:val="17"/>
        </w:rPr>
        <w:t>1、测试内容及分值</w:t>
      </w:r>
      <w:r>
        <w:rPr>
          <w:rFonts w:ascii="宋体" w:hAnsi="宋体" w:eastAsia="宋体" w:cs="宋体"/>
          <w:sz w:val="17"/>
          <w:szCs w:val="17"/>
        </w:rPr>
        <w:t xml:space="preserve"> </w:t>
      </w:r>
      <w:r>
        <w:rPr>
          <w:rFonts w:ascii="宋体" w:hAnsi="宋体" w:eastAsia="宋体" w:cs="宋体"/>
          <w:spacing w:val="19"/>
          <w:sz w:val="17"/>
          <w:szCs w:val="17"/>
        </w:rPr>
        <w:t>套路展示(150分)</w:t>
      </w:r>
    </w:p>
    <w:p w14:paraId="64A2D644">
      <w:pPr>
        <w:spacing w:before="6" w:line="221" w:lineRule="auto"/>
        <w:ind w:left="339"/>
        <w:rPr>
          <w:rFonts w:ascii="宋体" w:hAnsi="宋体" w:eastAsia="宋体" w:cs="宋体"/>
          <w:sz w:val="17"/>
          <w:szCs w:val="17"/>
        </w:rPr>
      </w:pPr>
      <w:r>
        <w:rPr>
          <w:rFonts w:ascii="宋体" w:hAnsi="宋体" w:eastAsia="宋体" w:cs="宋体"/>
          <w:spacing w:val="-2"/>
          <w:sz w:val="17"/>
          <w:szCs w:val="17"/>
        </w:rPr>
        <w:t>2、测试方法</w:t>
      </w:r>
    </w:p>
    <w:p w14:paraId="3B41E98C">
      <w:pPr>
        <w:spacing w:before="84" w:line="311" w:lineRule="auto"/>
        <w:ind w:right="29" w:firstLine="339"/>
        <w:rPr>
          <w:rFonts w:ascii="宋体" w:hAnsi="宋体" w:eastAsia="宋体" w:cs="宋体"/>
          <w:sz w:val="17"/>
          <w:szCs w:val="17"/>
        </w:rPr>
      </w:pPr>
      <w:r>
        <w:rPr>
          <w:rFonts w:ascii="宋体" w:hAnsi="宋体" w:eastAsia="宋体" w:cs="宋体"/>
          <w:spacing w:val="1"/>
          <w:sz w:val="17"/>
          <w:szCs w:val="17"/>
        </w:rPr>
        <w:t>考生任选一种拳种的拳术或器械进行测试。要求按</w:t>
      </w:r>
      <w:r>
        <w:rPr>
          <w:rFonts w:ascii="宋体" w:hAnsi="宋体" w:eastAsia="宋体" w:cs="宋体"/>
          <w:spacing w:val="16"/>
          <w:sz w:val="17"/>
          <w:szCs w:val="17"/>
        </w:rPr>
        <w:t xml:space="preserve"> </w:t>
      </w:r>
      <w:r>
        <w:rPr>
          <w:rFonts w:ascii="宋体" w:hAnsi="宋体" w:eastAsia="宋体" w:cs="宋体"/>
          <w:sz w:val="17"/>
          <w:szCs w:val="17"/>
        </w:rPr>
        <w:t>照规定的时间在8×14米的场地上完成套路。拳种包</w:t>
      </w:r>
      <w:r>
        <w:rPr>
          <w:rFonts w:ascii="宋体" w:hAnsi="宋体" w:eastAsia="宋体" w:cs="宋体"/>
          <w:spacing w:val="-1"/>
          <w:sz w:val="17"/>
          <w:szCs w:val="17"/>
        </w:rPr>
        <w:t>括：</w:t>
      </w:r>
      <w:r>
        <w:rPr>
          <w:rFonts w:ascii="宋体" w:hAnsi="宋体" w:eastAsia="宋体" w:cs="宋体"/>
          <w:sz w:val="17"/>
          <w:szCs w:val="17"/>
        </w:rPr>
        <w:t xml:space="preserve"> </w:t>
      </w:r>
      <w:r>
        <w:rPr>
          <w:rFonts w:ascii="宋体" w:hAnsi="宋体" w:eastAsia="宋体" w:cs="宋体"/>
          <w:spacing w:val="1"/>
          <w:sz w:val="17"/>
          <w:szCs w:val="17"/>
        </w:rPr>
        <w:t>长拳、太极拳、南拳、传统拳术。器械包括：长器械、</w:t>
      </w:r>
      <w:r>
        <w:rPr>
          <w:rFonts w:ascii="宋体" w:hAnsi="宋体" w:eastAsia="宋体" w:cs="宋体"/>
          <w:spacing w:val="10"/>
          <w:sz w:val="17"/>
          <w:szCs w:val="17"/>
        </w:rPr>
        <w:t xml:space="preserve"> </w:t>
      </w:r>
      <w:r>
        <w:rPr>
          <w:rFonts w:ascii="宋体" w:hAnsi="宋体" w:eastAsia="宋体" w:cs="宋体"/>
          <w:spacing w:val="2"/>
          <w:sz w:val="17"/>
          <w:szCs w:val="17"/>
        </w:rPr>
        <w:t>短器械、双器械、软器械等。完成套路时间：太极拳及</w:t>
      </w:r>
      <w:r>
        <w:rPr>
          <w:rFonts w:ascii="宋体" w:hAnsi="宋体" w:eastAsia="宋体" w:cs="宋体"/>
          <w:spacing w:val="10"/>
          <w:sz w:val="17"/>
          <w:szCs w:val="17"/>
        </w:rPr>
        <w:t xml:space="preserve"> </w:t>
      </w:r>
      <w:r>
        <w:rPr>
          <w:rFonts w:ascii="宋体" w:hAnsi="宋体" w:eastAsia="宋体" w:cs="宋体"/>
          <w:spacing w:val="12"/>
          <w:sz w:val="17"/>
          <w:szCs w:val="17"/>
        </w:rPr>
        <w:t>太极器械为2分30秒-5分钟；其它拳术及器械不少于</w:t>
      </w:r>
      <w:r>
        <w:rPr>
          <w:rFonts w:ascii="宋体" w:hAnsi="宋体" w:eastAsia="宋体" w:cs="宋体"/>
          <w:spacing w:val="13"/>
          <w:sz w:val="17"/>
          <w:szCs w:val="17"/>
        </w:rPr>
        <w:t xml:space="preserve"> </w:t>
      </w:r>
      <w:r>
        <w:rPr>
          <w:rFonts w:ascii="宋体" w:hAnsi="宋体" w:eastAsia="宋体" w:cs="宋体"/>
          <w:sz w:val="17"/>
          <w:szCs w:val="17"/>
        </w:rPr>
        <w:t>1分钟。</w:t>
      </w:r>
    </w:p>
    <w:p w14:paraId="0EFE5173">
      <w:pPr>
        <w:spacing w:before="23" w:line="219" w:lineRule="auto"/>
        <w:ind w:left="3"/>
        <w:rPr>
          <w:rFonts w:ascii="宋体" w:hAnsi="宋体" w:eastAsia="宋体" w:cs="宋体"/>
          <w:sz w:val="23"/>
          <w:szCs w:val="23"/>
        </w:rPr>
      </w:pPr>
      <w:r>
        <w:rPr>
          <w:rFonts w:ascii="宋体" w:hAnsi="宋体" w:eastAsia="宋体" w:cs="宋体"/>
          <w:b/>
          <w:bCs/>
          <w:spacing w:val="-4"/>
          <w:sz w:val="23"/>
          <w:szCs w:val="23"/>
        </w:rPr>
        <w:t>十七、健美操</w:t>
      </w:r>
    </w:p>
    <w:p w14:paraId="51A22B8D">
      <w:pPr>
        <w:spacing w:before="98" w:line="219" w:lineRule="auto"/>
        <w:ind w:left="429"/>
        <w:rPr>
          <w:rFonts w:ascii="宋体" w:hAnsi="宋体" w:eastAsia="宋体" w:cs="宋体"/>
          <w:sz w:val="17"/>
          <w:szCs w:val="17"/>
        </w:rPr>
      </w:pPr>
      <w:r>
        <w:rPr>
          <w:rFonts w:ascii="宋体" w:hAnsi="宋体" w:eastAsia="宋体" w:cs="宋体"/>
          <w:spacing w:val="14"/>
          <w:sz w:val="17"/>
          <w:szCs w:val="17"/>
        </w:rPr>
        <w:t>(一)专项素质</w:t>
      </w:r>
    </w:p>
    <w:p w14:paraId="371BE9ED">
      <w:pPr>
        <w:spacing w:before="78" w:line="219" w:lineRule="auto"/>
        <w:ind w:left="339"/>
        <w:rPr>
          <w:rFonts w:ascii="宋体" w:hAnsi="宋体" w:eastAsia="宋体" w:cs="宋体"/>
          <w:sz w:val="17"/>
          <w:szCs w:val="17"/>
        </w:rPr>
      </w:pPr>
      <w:r>
        <w:rPr>
          <w:rFonts w:ascii="宋体" w:hAnsi="宋体" w:eastAsia="宋体" w:cs="宋体"/>
          <w:spacing w:val="-1"/>
          <w:sz w:val="17"/>
          <w:szCs w:val="17"/>
        </w:rPr>
        <w:t>1、测试内容及分值</w:t>
      </w:r>
    </w:p>
    <w:p w14:paraId="391CA475">
      <w:pPr>
        <w:spacing w:before="108" w:line="292" w:lineRule="auto"/>
        <w:ind w:right="76" w:firstLine="339"/>
        <w:rPr>
          <w:rFonts w:ascii="宋体" w:hAnsi="宋体" w:eastAsia="宋体" w:cs="宋体"/>
          <w:sz w:val="17"/>
          <w:szCs w:val="17"/>
        </w:rPr>
      </w:pPr>
      <w:r>
        <w:rPr>
          <w:rFonts w:ascii="宋体" w:hAnsi="宋体" w:eastAsia="宋体" w:cs="宋体"/>
          <w:spacing w:val="30"/>
          <w:sz w:val="17"/>
          <w:szCs w:val="17"/>
        </w:rPr>
        <w:t>仰卧起坐(70分);俯卧撑(男)、桥(女)</w:t>
      </w:r>
      <w:r>
        <w:rPr>
          <w:rFonts w:ascii="宋体" w:hAnsi="宋体" w:eastAsia="宋体" w:cs="宋体"/>
          <w:spacing w:val="29"/>
          <w:sz w:val="17"/>
          <w:szCs w:val="17"/>
        </w:rPr>
        <w:t>(70</w:t>
      </w:r>
      <w:r>
        <w:rPr>
          <w:rFonts w:ascii="宋体" w:hAnsi="宋体" w:eastAsia="宋体" w:cs="宋体"/>
          <w:sz w:val="17"/>
          <w:szCs w:val="17"/>
        </w:rPr>
        <w:t xml:space="preserve"> </w:t>
      </w:r>
      <w:r>
        <w:rPr>
          <w:rFonts w:ascii="宋体" w:hAnsi="宋体" w:eastAsia="宋体" w:cs="宋体"/>
          <w:spacing w:val="22"/>
          <w:w w:val="110"/>
          <w:sz w:val="17"/>
          <w:szCs w:val="17"/>
        </w:rPr>
        <w:t>分);平转(80分);竖叉(80分)。</w:t>
      </w:r>
    </w:p>
    <w:p w14:paraId="3DBD2886">
      <w:pPr>
        <w:spacing w:before="23" w:line="221" w:lineRule="auto"/>
        <w:ind w:left="339"/>
        <w:rPr>
          <w:rFonts w:ascii="宋体" w:hAnsi="宋体" w:eastAsia="宋体" w:cs="宋体"/>
          <w:sz w:val="17"/>
          <w:szCs w:val="17"/>
        </w:rPr>
      </w:pPr>
      <w:r>
        <w:rPr>
          <w:rFonts w:ascii="宋体" w:hAnsi="宋体" w:eastAsia="宋体" w:cs="宋体"/>
          <w:spacing w:val="-4"/>
          <w:sz w:val="17"/>
          <w:szCs w:val="17"/>
        </w:rPr>
        <w:t>2、测试方法</w:t>
      </w:r>
    </w:p>
    <w:p w14:paraId="4CE965DC">
      <w:pPr>
        <w:spacing w:before="103" w:line="300" w:lineRule="auto"/>
        <w:ind w:right="75" w:firstLine="339"/>
        <w:rPr>
          <w:rFonts w:ascii="宋体" w:hAnsi="宋体" w:eastAsia="宋体" w:cs="宋体"/>
          <w:sz w:val="17"/>
          <w:szCs w:val="17"/>
        </w:rPr>
      </w:pPr>
      <w:r>
        <w:rPr>
          <w:rFonts w:ascii="宋体" w:hAnsi="宋体" w:eastAsia="宋体" w:cs="宋体"/>
          <w:spacing w:val="1"/>
          <w:sz w:val="17"/>
          <w:szCs w:val="17"/>
        </w:rPr>
        <w:t>仰卧起坐测试方法：受测者全身仰卧于垫上，两腿</w:t>
      </w:r>
      <w:r>
        <w:rPr>
          <w:rFonts w:ascii="宋体" w:hAnsi="宋体" w:eastAsia="宋体" w:cs="宋体"/>
          <w:spacing w:val="14"/>
          <w:sz w:val="17"/>
          <w:szCs w:val="17"/>
        </w:rPr>
        <w:t xml:space="preserve"> </w:t>
      </w:r>
      <w:r>
        <w:rPr>
          <w:rFonts w:ascii="宋体" w:hAnsi="宋体" w:eastAsia="宋体" w:cs="宋体"/>
          <w:spacing w:val="8"/>
          <w:sz w:val="17"/>
          <w:szCs w:val="17"/>
        </w:rPr>
        <w:t>稍分开，屈膝呈90度角左右，两手指交叉贴于脑后。</w:t>
      </w:r>
      <w:r>
        <w:rPr>
          <w:rFonts w:ascii="宋体" w:hAnsi="宋体" w:eastAsia="宋体" w:cs="宋体"/>
          <w:spacing w:val="11"/>
          <w:sz w:val="17"/>
          <w:szCs w:val="17"/>
        </w:rPr>
        <w:t xml:space="preserve"> </w:t>
      </w:r>
      <w:r>
        <w:rPr>
          <w:rFonts w:ascii="宋体" w:hAnsi="宋体" w:eastAsia="宋体" w:cs="宋体"/>
          <w:spacing w:val="1"/>
          <w:sz w:val="17"/>
          <w:szCs w:val="17"/>
        </w:rPr>
        <w:t>另一同伴压住其踝关节，以便固定下肢。受试者起坐时</w:t>
      </w:r>
      <w:r>
        <w:rPr>
          <w:rFonts w:ascii="宋体" w:hAnsi="宋体" w:eastAsia="宋体" w:cs="宋体"/>
          <w:spacing w:val="14"/>
          <w:sz w:val="17"/>
          <w:szCs w:val="17"/>
        </w:rPr>
        <w:t xml:space="preserve"> </w:t>
      </w:r>
      <w:r>
        <w:rPr>
          <w:rFonts w:ascii="宋体" w:hAnsi="宋体" w:eastAsia="宋体" w:cs="宋体"/>
          <w:spacing w:val="9"/>
          <w:sz w:val="17"/>
          <w:szCs w:val="17"/>
        </w:rPr>
        <w:t>两肘触及或超过双膝为完成一次。仰卧时两肩胛必面</w:t>
      </w:r>
      <w:r>
        <w:rPr>
          <w:rFonts w:ascii="宋体" w:hAnsi="宋体" w:eastAsia="宋体" w:cs="宋体"/>
          <w:sz w:val="17"/>
          <w:szCs w:val="17"/>
        </w:rPr>
        <w:t xml:space="preserve"> </w:t>
      </w:r>
      <w:r>
        <w:rPr>
          <w:rFonts w:ascii="宋体" w:hAnsi="宋体" w:eastAsia="宋体" w:cs="宋体"/>
          <w:spacing w:val="-2"/>
          <w:sz w:val="17"/>
          <w:szCs w:val="17"/>
        </w:rPr>
        <w:t>触垫。</w:t>
      </w:r>
    </w:p>
    <w:p w14:paraId="43E307FD">
      <w:pPr>
        <w:spacing w:before="51" w:line="301" w:lineRule="auto"/>
        <w:ind w:firstLine="339"/>
        <w:rPr>
          <w:rFonts w:ascii="宋体" w:hAnsi="宋体" w:eastAsia="宋体" w:cs="宋体"/>
          <w:sz w:val="17"/>
          <w:szCs w:val="17"/>
        </w:rPr>
      </w:pPr>
      <w:r>
        <w:rPr>
          <w:rFonts w:ascii="宋体" w:hAnsi="宋体" w:eastAsia="宋体" w:cs="宋体"/>
          <w:spacing w:val="1"/>
          <w:sz w:val="17"/>
          <w:szCs w:val="17"/>
        </w:rPr>
        <w:t>俯卧撑测试方法：身体必须保持从肩膀到脚踝成一</w:t>
      </w:r>
      <w:r>
        <w:rPr>
          <w:rFonts w:ascii="宋体" w:hAnsi="宋体" w:eastAsia="宋体" w:cs="宋体"/>
          <w:spacing w:val="8"/>
          <w:sz w:val="17"/>
          <w:szCs w:val="17"/>
        </w:rPr>
        <w:t xml:space="preserve">  </w:t>
      </w:r>
      <w:r>
        <w:rPr>
          <w:rFonts w:ascii="宋体" w:hAnsi="宋体" w:eastAsia="宋体" w:cs="宋体"/>
          <w:spacing w:val="-3"/>
          <w:sz w:val="17"/>
          <w:szCs w:val="17"/>
        </w:rPr>
        <w:t>条直线，双臂应该放在胸部位置，两手相距略宽于肩膀。</w:t>
      </w:r>
    </w:p>
    <w:p w14:paraId="24CFAB87">
      <w:pPr>
        <w:spacing w:before="26" w:line="313" w:lineRule="auto"/>
        <w:ind w:right="77" w:firstLine="339"/>
        <w:rPr>
          <w:rFonts w:ascii="宋体" w:hAnsi="宋体" w:eastAsia="宋体" w:cs="宋体"/>
          <w:sz w:val="17"/>
          <w:szCs w:val="17"/>
        </w:rPr>
      </w:pPr>
      <w:r>
        <w:rPr>
          <w:rFonts w:ascii="宋体" w:hAnsi="宋体" w:eastAsia="宋体" w:cs="宋体"/>
          <w:spacing w:val="1"/>
          <w:sz w:val="17"/>
          <w:szCs w:val="17"/>
        </w:rPr>
        <w:t>劈叉测试方法：在地板上或地毯上进行，要求人体</w:t>
      </w:r>
      <w:r>
        <w:rPr>
          <w:rFonts w:ascii="宋体" w:hAnsi="宋体" w:eastAsia="宋体" w:cs="宋体"/>
          <w:spacing w:val="14"/>
          <w:sz w:val="17"/>
          <w:szCs w:val="17"/>
        </w:rPr>
        <w:t xml:space="preserve"> </w:t>
      </w:r>
      <w:r>
        <w:rPr>
          <w:rFonts w:ascii="宋体" w:hAnsi="宋体" w:eastAsia="宋体" w:cs="宋体"/>
          <w:spacing w:val="-2"/>
          <w:sz w:val="17"/>
          <w:szCs w:val="17"/>
        </w:rPr>
        <w:t>位置正，膝盖伸直，后胯正并触地。</w:t>
      </w:r>
    </w:p>
    <w:p w14:paraId="460D5014">
      <w:pPr>
        <w:spacing w:before="3" w:line="312" w:lineRule="auto"/>
        <w:ind w:right="29" w:firstLine="339"/>
        <w:rPr>
          <w:rFonts w:ascii="宋体" w:hAnsi="宋体" w:eastAsia="宋体" w:cs="宋体"/>
          <w:sz w:val="17"/>
          <w:szCs w:val="17"/>
        </w:rPr>
      </w:pPr>
      <w:r>
        <w:rPr>
          <w:rFonts w:ascii="宋体" w:hAnsi="宋体" w:eastAsia="宋体" w:cs="宋体"/>
          <w:spacing w:val="7"/>
          <w:sz w:val="17"/>
          <w:szCs w:val="17"/>
        </w:rPr>
        <w:t>下腰(桥):站立或仰卧开始下桥，两腿与肩同宽，</w:t>
      </w:r>
      <w:r>
        <w:rPr>
          <w:rFonts w:ascii="宋体" w:hAnsi="宋体" w:eastAsia="宋体" w:cs="宋体"/>
          <w:spacing w:val="8"/>
          <w:sz w:val="17"/>
          <w:szCs w:val="17"/>
        </w:rPr>
        <w:t xml:space="preserve"> </w:t>
      </w:r>
      <w:r>
        <w:rPr>
          <w:rFonts w:ascii="宋体" w:hAnsi="宋体" w:eastAsia="宋体" w:cs="宋体"/>
          <w:spacing w:val="-2"/>
          <w:sz w:val="17"/>
          <w:szCs w:val="17"/>
        </w:rPr>
        <w:t>两臂伸直，肩角充分顶开，髋充分顶起。</w:t>
      </w:r>
    </w:p>
    <w:p w14:paraId="6F457227">
      <w:pPr>
        <w:spacing w:before="16" w:line="219" w:lineRule="auto"/>
        <w:ind w:left="339"/>
        <w:rPr>
          <w:rFonts w:ascii="宋体" w:hAnsi="宋体" w:eastAsia="宋体" w:cs="宋体"/>
          <w:sz w:val="17"/>
          <w:szCs w:val="17"/>
        </w:rPr>
      </w:pPr>
      <w:r>
        <w:rPr>
          <w:rFonts w:ascii="宋体" w:hAnsi="宋体" w:eastAsia="宋体" w:cs="宋体"/>
          <w:spacing w:val="-2"/>
          <w:sz w:val="17"/>
          <w:szCs w:val="17"/>
        </w:rPr>
        <w:t>平转：方向正、平稳、速度快，注意连贯性。</w:t>
      </w:r>
    </w:p>
    <w:p w14:paraId="1D93B184">
      <w:pPr>
        <w:spacing w:before="89" w:line="220" w:lineRule="auto"/>
        <w:ind w:left="429"/>
        <w:rPr>
          <w:rFonts w:ascii="宋体" w:hAnsi="宋体" w:eastAsia="宋体" w:cs="宋体"/>
          <w:sz w:val="17"/>
          <w:szCs w:val="17"/>
        </w:rPr>
      </w:pPr>
      <w:r>
        <w:rPr>
          <w:rFonts w:ascii="宋体" w:hAnsi="宋体" w:eastAsia="宋体" w:cs="宋体"/>
          <w:spacing w:val="12"/>
          <w:sz w:val="17"/>
          <w:szCs w:val="17"/>
        </w:rPr>
        <w:t>(二)专项技能</w:t>
      </w:r>
    </w:p>
    <w:p w14:paraId="0AA62296">
      <w:pPr>
        <w:spacing w:before="75" w:line="219" w:lineRule="auto"/>
        <w:ind w:left="342"/>
        <w:rPr>
          <w:rFonts w:ascii="宋体" w:hAnsi="宋体" w:eastAsia="宋体" w:cs="宋体"/>
          <w:sz w:val="17"/>
          <w:szCs w:val="17"/>
        </w:rPr>
      </w:pPr>
      <w:r>
        <w:rPr>
          <w:rFonts w:ascii="宋体" w:hAnsi="宋体" w:eastAsia="宋体" w:cs="宋体"/>
          <w:b/>
          <w:bCs/>
          <w:spacing w:val="-6"/>
          <w:sz w:val="17"/>
          <w:szCs w:val="17"/>
        </w:rPr>
        <w:t>1、测试内容及分值</w:t>
      </w:r>
    </w:p>
    <w:p w14:paraId="2AFB56D1">
      <w:pPr>
        <w:spacing w:before="88" w:line="219" w:lineRule="auto"/>
        <w:ind w:left="342"/>
        <w:rPr>
          <w:rFonts w:ascii="宋体" w:hAnsi="宋体" w:eastAsia="宋体" w:cs="宋体"/>
          <w:sz w:val="17"/>
          <w:szCs w:val="17"/>
        </w:rPr>
      </w:pPr>
      <w:r>
        <w:rPr>
          <w:rFonts w:ascii="宋体" w:hAnsi="宋体" w:eastAsia="宋体" w:cs="宋体"/>
          <w:b/>
          <w:bCs/>
          <w:spacing w:val="11"/>
          <w:sz w:val="17"/>
          <w:szCs w:val="17"/>
        </w:rPr>
        <w:t>自编套路展示(150分)</w:t>
      </w:r>
    </w:p>
    <w:p w14:paraId="7046F16F">
      <w:pPr>
        <w:spacing w:before="89" w:line="221" w:lineRule="auto"/>
        <w:ind w:left="342"/>
        <w:rPr>
          <w:rFonts w:ascii="宋体" w:hAnsi="宋体" w:eastAsia="宋体" w:cs="宋体"/>
          <w:sz w:val="17"/>
          <w:szCs w:val="17"/>
        </w:rPr>
      </w:pPr>
      <w:r>
        <w:rPr>
          <w:rFonts w:ascii="宋体" w:hAnsi="宋体" w:eastAsia="宋体" w:cs="宋体"/>
          <w:b/>
          <w:bCs/>
          <w:spacing w:val="-4"/>
          <w:sz w:val="17"/>
          <w:szCs w:val="17"/>
        </w:rPr>
        <w:t>2、测试方法</w:t>
      </w:r>
    </w:p>
    <w:p w14:paraId="28B2BA50">
      <w:pPr>
        <w:spacing w:line="221" w:lineRule="auto"/>
        <w:rPr>
          <w:rFonts w:ascii="宋体" w:hAnsi="宋体" w:eastAsia="宋体" w:cs="宋体"/>
          <w:sz w:val="17"/>
          <w:szCs w:val="17"/>
        </w:rPr>
        <w:sectPr>
          <w:type w:val="continuous"/>
          <w:pgSz w:w="10660" w:h="15080"/>
          <w:pgMar w:top="400" w:right="854" w:bottom="898" w:left="1019" w:header="0" w:footer="745" w:gutter="0"/>
          <w:cols w:equalWidth="0" w:num="2">
            <w:col w:w="4491" w:space="100"/>
            <w:col w:w="4195"/>
          </w:cols>
        </w:sectPr>
      </w:pPr>
    </w:p>
    <w:p w14:paraId="66FE823E">
      <w:pPr>
        <w:spacing w:before="1"/>
      </w:pPr>
    </w:p>
    <w:p w14:paraId="134C5FC6">
      <w:pPr>
        <w:spacing w:before="1"/>
      </w:pPr>
    </w:p>
    <w:p w14:paraId="71C19BAE">
      <w:pPr>
        <w:spacing w:before="1"/>
      </w:pPr>
    </w:p>
    <w:p w14:paraId="79EBFBEA"/>
    <w:p w14:paraId="37FDCBE2">
      <w:pPr>
        <w:sectPr>
          <w:footerReference r:id="rId156" w:type="default"/>
          <w:pgSz w:w="10660" w:h="15080"/>
          <w:pgMar w:top="400" w:right="954" w:bottom="898" w:left="809" w:header="0" w:footer="745" w:gutter="0"/>
          <w:cols w:equalWidth="0" w:num="1">
            <w:col w:w="8896"/>
          </w:cols>
        </w:sectPr>
      </w:pPr>
    </w:p>
    <w:p w14:paraId="76EE8B33">
      <w:pPr>
        <w:spacing w:before="37" w:line="306" w:lineRule="auto"/>
        <w:ind w:left="30" w:right="296" w:firstLine="349"/>
        <w:jc w:val="both"/>
        <w:rPr>
          <w:rFonts w:ascii="宋体" w:hAnsi="宋体" w:eastAsia="宋体" w:cs="宋体"/>
          <w:sz w:val="17"/>
          <w:szCs w:val="17"/>
        </w:rPr>
      </w:pPr>
      <w:r>
        <w:rPr>
          <w:rFonts w:ascii="宋体" w:hAnsi="宋体" w:eastAsia="宋体" w:cs="宋体"/>
          <w:spacing w:val="9"/>
          <w:sz w:val="17"/>
          <w:szCs w:val="17"/>
        </w:rPr>
        <w:t>编成套动作1套，4类难度动作中，应包括体现柔</w:t>
      </w:r>
      <w:r>
        <w:rPr>
          <w:rFonts w:ascii="宋体" w:hAnsi="宋体" w:eastAsia="宋体" w:cs="宋体"/>
          <w:spacing w:val="8"/>
          <w:sz w:val="17"/>
          <w:szCs w:val="17"/>
        </w:rPr>
        <w:t xml:space="preserve"> </w:t>
      </w:r>
      <w:r>
        <w:rPr>
          <w:rFonts w:ascii="宋体" w:hAnsi="宋体" w:eastAsia="宋体" w:cs="宋体"/>
          <w:spacing w:val="5"/>
          <w:sz w:val="17"/>
          <w:szCs w:val="17"/>
        </w:rPr>
        <w:t>韧和力量2类难度动作。难度水平自选，难度动作不得</w:t>
      </w:r>
      <w:r>
        <w:rPr>
          <w:rFonts w:ascii="宋体" w:hAnsi="宋体" w:eastAsia="宋体" w:cs="宋体"/>
          <w:spacing w:val="10"/>
          <w:sz w:val="17"/>
          <w:szCs w:val="17"/>
        </w:rPr>
        <w:t xml:space="preserve"> </w:t>
      </w:r>
      <w:r>
        <w:rPr>
          <w:rFonts w:ascii="宋体" w:hAnsi="宋体" w:eastAsia="宋体" w:cs="宋体"/>
          <w:spacing w:val="4"/>
          <w:sz w:val="17"/>
          <w:szCs w:val="17"/>
        </w:rPr>
        <w:t>重复，完成时间不短于90秒。</w:t>
      </w:r>
    </w:p>
    <w:p w14:paraId="3C9A3D8E">
      <w:pPr>
        <w:spacing w:before="24" w:line="219" w:lineRule="auto"/>
        <w:ind w:left="33"/>
        <w:rPr>
          <w:rFonts w:ascii="宋体" w:hAnsi="宋体" w:eastAsia="宋体" w:cs="宋体"/>
          <w:sz w:val="23"/>
          <w:szCs w:val="23"/>
        </w:rPr>
      </w:pPr>
      <w:r>
        <w:rPr>
          <w:rFonts w:ascii="宋体" w:hAnsi="宋体" w:eastAsia="宋体" w:cs="宋体"/>
          <w:b/>
          <w:bCs/>
          <w:spacing w:val="-6"/>
          <w:sz w:val="23"/>
          <w:szCs w:val="23"/>
        </w:rPr>
        <w:t>十八、体育舞蹈</w:t>
      </w:r>
    </w:p>
    <w:p w14:paraId="019EA2B3">
      <w:pPr>
        <w:spacing w:before="95" w:line="225" w:lineRule="auto"/>
        <w:ind w:left="470"/>
        <w:rPr>
          <w:rFonts w:ascii="楷体" w:hAnsi="楷体" w:eastAsia="楷体" w:cs="楷体"/>
          <w:sz w:val="17"/>
          <w:szCs w:val="17"/>
        </w:rPr>
      </w:pPr>
      <w:r>
        <w:rPr>
          <w:rFonts w:ascii="楷体" w:hAnsi="楷体" w:eastAsia="楷体" w:cs="楷体"/>
          <w:spacing w:val="13"/>
          <w:sz w:val="17"/>
          <w:szCs w:val="17"/>
        </w:rPr>
        <w:t>(一)专项素质</w:t>
      </w:r>
    </w:p>
    <w:p w14:paraId="2EF0554E">
      <w:pPr>
        <w:spacing w:before="84" w:line="219" w:lineRule="auto"/>
        <w:ind w:left="380"/>
        <w:rPr>
          <w:rFonts w:ascii="宋体" w:hAnsi="宋体" w:eastAsia="宋体" w:cs="宋体"/>
          <w:sz w:val="17"/>
          <w:szCs w:val="17"/>
        </w:rPr>
      </w:pPr>
      <w:r>
        <w:rPr>
          <w:rFonts w:ascii="宋体" w:hAnsi="宋体" w:eastAsia="宋体" w:cs="宋体"/>
          <w:spacing w:val="-1"/>
          <w:sz w:val="17"/>
          <w:szCs w:val="17"/>
        </w:rPr>
        <w:t>1、测试内容及分值</w:t>
      </w:r>
    </w:p>
    <w:p w14:paraId="55930E5E">
      <w:pPr>
        <w:spacing w:before="78" w:line="314" w:lineRule="auto"/>
        <w:ind w:left="30" w:right="275" w:firstLine="349"/>
        <w:rPr>
          <w:rFonts w:ascii="宋体" w:hAnsi="宋体" w:eastAsia="宋体" w:cs="宋体"/>
          <w:sz w:val="17"/>
          <w:szCs w:val="17"/>
        </w:rPr>
      </w:pPr>
      <w:r>
        <w:rPr>
          <w:rFonts w:ascii="宋体" w:hAnsi="宋体" w:eastAsia="宋体" w:cs="宋体"/>
          <w:spacing w:val="30"/>
          <w:sz w:val="17"/>
          <w:szCs w:val="17"/>
        </w:rPr>
        <w:t>仰卧起坐(70分);俯卧撑(男)、桥(女)(70</w:t>
      </w:r>
      <w:r>
        <w:rPr>
          <w:rFonts w:ascii="宋体" w:hAnsi="宋体" w:eastAsia="宋体" w:cs="宋体"/>
          <w:spacing w:val="17"/>
          <w:sz w:val="17"/>
          <w:szCs w:val="17"/>
        </w:rPr>
        <w:t xml:space="preserve"> </w:t>
      </w:r>
      <w:r>
        <w:rPr>
          <w:rFonts w:ascii="宋体" w:hAnsi="宋体" w:eastAsia="宋体" w:cs="宋体"/>
          <w:spacing w:val="22"/>
          <w:w w:val="110"/>
          <w:sz w:val="17"/>
          <w:szCs w:val="17"/>
        </w:rPr>
        <w:t>分);平转(80分);竖叉(80分)。</w:t>
      </w:r>
    </w:p>
    <w:p w14:paraId="0702447D">
      <w:pPr>
        <w:spacing w:before="3" w:line="221" w:lineRule="auto"/>
        <w:ind w:left="380"/>
        <w:rPr>
          <w:rFonts w:ascii="宋体" w:hAnsi="宋体" w:eastAsia="宋体" w:cs="宋体"/>
          <w:sz w:val="17"/>
          <w:szCs w:val="17"/>
        </w:rPr>
      </w:pPr>
      <w:r>
        <w:rPr>
          <w:rFonts w:ascii="宋体" w:hAnsi="宋体" w:eastAsia="宋体" w:cs="宋体"/>
          <w:spacing w:val="-4"/>
          <w:sz w:val="17"/>
          <w:szCs w:val="17"/>
        </w:rPr>
        <w:t>2、测试方法</w:t>
      </w:r>
    </w:p>
    <w:p w14:paraId="1527A24A">
      <w:pPr>
        <w:spacing w:before="87" w:line="310" w:lineRule="auto"/>
        <w:ind w:left="30" w:right="276" w:firstLine="349"/>
        <w:rPr>
          <w:rFonts w:ascii="宋体" w:hAnsi="宋体" w:eastAsia="宋体" w:cs="宋体"/>
          <w:sz w:val="17"/>
          <w:szCs w:val="17"/>
        </w:rPr>
      </w:pPr>
      <w:r>
        <w:rPr>
          <w:rFonts w:ascii="宋体" w:hAnsi="宋体" w:eastAsia="宋体" w:cs="宋体"/>
          <w:spacing w:val="1"/>
          <w:sz w:val="17"/>
          <w:szCs w:val="17"/>
        </w:rPr>
        <w:t>仰卧起坐测试方法：受测者全身仰卧于垫上，两腿</w:t>
      </w:r>
      <w:r>
        <w:rPr>
          <w:rFonts w:ascii="宋体" w:hAnsi="宋体" w:eastAsia="宋体" w:cs="宋体"/>
          <w:spacing w:val="14"/>
          <w:sz w:val="17"/>
          <w:szCs w:val="17"/>
        </w:rPr>
        <w:t xml:space="preserve"> </w:t>
      </w:r>
      <w:r>
        <w:rPr>
          <w:rFonts w:ascii="宋体" w:hAnsi="宋体" w:eastAsia="宋体" w:cs="宋体"/>
          <w:spacing w:val="9"/>
          <w:sz w:val="17"/>
          <w:szCs w:val="17"/>
        </w:rPr>
        <w:t>稍分开，屈膝呈90度角左右，两手指交叉贴于脑</w:t>
      </w:r>
      <w:r>
        <w:rPr>
          <w:rFonts w:ascii="宋体" w:hAnsi="宋体" w:eastAsia="宋体" w:cs="宋体"/>
          <w:spacing w:val="8"/>
          <w:sz w:val="17"/>
          <w:szCs w:val="17"/>
        </w:rPr>
        <w:t>后。</w:t>
      </w:r>
      <w:r>
        <w:rPr>
          <w:rFonts w:ascii="宋体" w:hAnsi="宋体" w:eastAsia="宋体" w:cs="宋体"/>
          <w:sz w:val="17"/>
          <w:szCs w:val="17"/>
        </w:rPr>
        <w:t xml:space="preserve"> </w:t>
      </w:r>
      <w:r>
        <w:rPr>
          <w:rFonts w:ascii="宋体" w:hAnsi="宋体" w:eastAsia="宋体" w:cs="宋体"/>
          <w:spacing w:val="2"/>
          <w:sz w:val="17"/>
          <w:szCs w:val="17"/>
        </w:rPr>
        <w:t>另一同伴压住其踝关节，以便固定下肢。受试者起坐时</w:t>
      </w:r>
      <w:r>
        <w:rPr>
          <w:rFonts w:ascii="宋体" w:hAnsi="宋体" w:eastAsia="宋体" w:cs="宋体"/>
          <w:spacing w:val="1"/>
          <w:sz w:val="17"/>
          <w:szCs w:val="17"/>
        </w:rPr>
        <w:t xml:space="preserve"> </w:t>
      </w:r>
      <w:r>
        <w:rPr>
          <w:rFonts w:ascii="宋体" w:hAnsi="宋体" w:eastAsia="宋体" w:cs="宋体"/>
          <w:spacing w:val="17"/>
          <w:sz w:val="17"/>
          <w:szCs w:val="17"/>
        </w:rPr>
        <w:t>2肘触及或超过双膝为完成1次。仰卧时两肩胛背面</w:t>
      </w:r>
      <w:r>
        <w:rPr>
          <w:rFonts w:ascii="宋体" w:hAnsi="宋体" w:eastAsia="宋体" w:cs="宋体"/>
          <w:spacing w:val="15"/>
          <w:sz w:val="17"/>
          <w:szCs w:val="17"/>
        </w:rPr>
        <w:t xml:space="preserve"> </w:t>
      </w:r>
      <w:r>
        <w:rPr>
          <w:rFonts w:ascii="宋体" w:hAnsi="宋体" w:eastAsia="宋体" w:cs="宋体"/>
          <w:spacing w:val="1"/>
          <w:sz w:val="17"/>
          <w:szCs w:val="17"/>
        </w:rPr>
        <w:t>触垫。</w:t>
      </w:r>
    </w:p>
    <w:p w14:paraId="29FD0914">
      <w:pPr>
        <w:spacing w:before="21" w:line="312" w:lineRule="auto"/>
        <w:ind w:left="30" w:right="206" w:firstLine="349"/>
        <w:rPr>
          <w:rFonts w:ascii="宋体" w:hAnsi="宋体" w:eastAsia="宋体" w:cs="宋体"/>
          <w:sz w:val="17"/>
          <w:szCs w:val="17"/>
        </w:rPr>
      </w:pPr>
      <w:r>
        <w:rPr>
          <w:rFonts w:ascii="宋体" w:hAnsi="宋体" w:eastAsia="宋体" w:cs="宋体"/>
          <w:spacing w:val="6"/>
          <w:sz w:val="17"/>
          <w:szCs w:val="17"/>
        </w:rPr>
        <w:t>俯卧撑测试方法：身体必须保持从肩膀到脚踝成1</w:t>
      </w:r>
      <w:r>
        <w:rPr>
          <w:rFonts w:ascii="宋体" w:hAnsi="宋体" w:eastAsia="宋体" w:cs="宋体"/>
          <w:sz w:val="17"/>
          <w:szCs w:val="17"/>
        </w:rPr>
        <w:t xml:space="preserve">  </w:t>
      </w:r>
      <w:r>
        <w:rPr>
          <w:rFonts w:ascii="宋体" w:hAnsi="宋体" w:eastAsia="宋体" w:cs="宋体"/>
          <w:spacing w:val="-2"/>
          <w:sz w:val="17"/>
          <w:szCs w:val="17"/>
        </w:rPr>
        <w:t>条直线，双臂应该放在胸部位置，两手相距略宽于肩膀。</w:t>
      </w:r>
    </w:p>
    <w:p w14:paraId="2C531E52">
      <w:pPr>
        <w:spacing w:before="5" w:line="313" w:lineRule="auto"/>
        <w:ind w:left="30" w:right="296" w:firstLine="349"/>
        <w:rPr>
          <w:rFonts w:ascii="宋体" w:hAnsi="宋体" w:eastAsia="宋体" w:cs="宋体"/>
          <w:sz w:val="17"/>
          <w:szCs w:val="17"/>
        </w:rPr>
      </w:pPr>
      <w:r>
        <w:rPr>
          <w:rFonts w:ascii="宋体" w:hAnsi="宋体" w:eastAsia="宋体" w:cs="宋体"/>
          <w:spacing w:val="1"/>
          <w:sz w:val="17"/>
          <w:szCs w:val="17"/>
        </w:rPr>
        <w:t>劈叉测试方法：在地板上或地毯上进行，要求人体</w:t>
      </w:r>
      <w:r>
        <w:rPr>
          <w:rFonts w:ascii="宋体" w:hAnsi="宋体" w:eastAsia="宋体" w:cs="宋体"/>
          <w:spacing w:val="14"/>
          <w:sz w:val="17"/>
          <w:szCs w:val="17"/>
        </w:rPr>
        <w:t xml:space="preserve"> </w:t>
      </w:r>
      <w:r>
        <w:rPr>
          <w:rFonts w:ascii="宋体" w:hAnsi="宋体" w:eastAsia="宋体" w:cs="宋体"/>
          <w:spacing w:val="-2"/>
          <w:sz w:val="17"/>
          <w:szCs w:val="17"/>
        </w:rPr>
        <w:t>位置正，膝盖伸直，后胯正并触地。</w:t>
      </w:r>
    </w:p>
    <w:p w14:paraId="533FEB28">
      <w:pPr>
        <w:spacing w:before="25" w:line="290" w:lineRule="auto"/>
        <w:ind w:left="30" w:right="218" w:firstLine="349"/>
        <w:rPr>
          <w:rFonts w:ascii="宋体" w:hAnsi="宋体" w:eastAsia="宋体" w:cs="宋体"/>
          <w:sz w:val="17"/>
          <w:szCs w:val="17"/>
        </w:rPr>
      </w:pPr>
      <w:r>
        <w:rPr>
          <w:rFonts w:ascii="宋体" w:hAnsi="宋体" w:eastAsia="宋体" w:cs="宋体"/>
          <w:spacing w:val="8"/>
          <w:sz w:val="17"/>
          <w:szCs w:val="17"/>
        </w:rPr>
        <w:t>下腰(桥):站立或仰卧开始下桥，两腿与肩同宽，</w:t>
      </w:r>
      <w:r>
        <w:rPr>
          <w:rFonts w:ascii="宋体" w:hAnsi="宋体" w:eastAsia="宋体" w:cs="宋体"/>
          <w:spacing w:val="15"/>
          <w:sz w:val="17"/>
          <w:szCs w:val="17"/>
        </w:rPr>
        <w:t xml:space="preserve"> </w:t>
      </w:r>
      <w:r>
        <w:rPr>
          <w:rFonts w:ascii="宋体" w:hAnsi="宋体" w:eastAsia="宋体" w:cs="宋体"/>
          <w:spacing w:val="-2"/>
          <w:sz w:val="17"/>
          <w:szCs w:val="17"/>
        </w:rPr>
        <w:t>两臂伸直，肩角充分顶开，髋充分顶起。</w:t>
      </w:r>
    </w:p>
    <w:p w14:paraId="630DAAE9">
      <w:pPr>
        <w:spacing w:before="25" w:line="219" w:lineRule="auto"/>
        <w:ind w:left="380"/>
        <w:rPr>
          <w:rFonts w:ascii="宋体" w:hAnsi="宋体" w:eastAsia="宋体" w:cs="宋体"/>
          <w:sz w:val="17"/>
          <w:szCs w:val="17"/>
        </w:rPr>
      </w:pPr>
      <w:r>
        <w:rPr>
          <w:rFonts w:ascii="宋体" w:hAnsi="宋体" w:eastAsia="宋体" w:cs="宋体"/>
          <w:spacing w:val="-2"/>
          <w:sz w:val="17"/>
          <w:szCs w:val="17"/>
        </w:rPr>
        <w:t>平转：方向正、平稳、速度快，注意连贯性。</w:t>
      </w:r>
    </w:p>
    <w:p w14:paraId="78E4C143">
      <w:pPr>
        <w:spacing w:before="89" w:line="220" w:lineRule="auto"/>
        <w:ind w:left="470"/>
        <w:rPr>
          <w:rFonts w:ascii="宋体" w:hAnsi="宋体" w:eastAsia="宋体" w:cs="宋体"/>
          <w:sz w:val="17"/>
          <w:szCs w:val="17"/>
        </w:rPr>
      </w:pPr>
      <w:r>
        <w:rPr>
          <w:rFonts w:ascii="宋体" w:hAnsi="宋体" w:eastAsia="宋体" w:cs="宋体"/>
          <w:spacing w:val="11"/>
          <w:sz w:val="17"/>
          <w:szCs w:val="17"/>
        </w:rPr>
        <w:t>(二)专项技能</w:t>
      </w:r>
    </w:p>
    <w:p w14:paraId="5061D0F1">
      <w:pPr>
        <w:spacing w:before="86" w:line="303" w:lineRule="auto"/>
        <w:ind w:left="380" w:right="2626"/>
        <w:rPr>
          <w:rFonts w:ascii="宋体" w:hAnsi="宋体" w:eastAsia="宋体" w:cs="宋体"/>
          <w:sz w:val="17"/>
          <w:szCs w:val="17"/>
        </w:rPr>
      </w:pPr>
      <w:r>
        <w:rPr>
          <w:rFonts w:ascii="宋体" w:hAnsi="宋体" w:eastAsia="宋体" w:cs="宋体"/>
          <w:spacing w:val="-1"/>
          <w:sz w:val="17"/>
          <w:szCs w:val="17"/>
        </w:rPr>
        <w:t>1、测试内容及分值</w:t>
      </w:r>
      <w:r>
        <w:rPr>
          <w:rFonts w:ascii="宋体" w:hAnsi="宋体" w:eastAsia="宋体" w:cs="宋体"/>
          <w:sz w:val="17"/>
          <w:szCs w:val="17"/>
        </w:rPr>
        <w:t xml:space="preserve"> </w:t>
      </w:r>
      <w:r>
        <w:rPr>
          <w:rFonts w:ascii="宋体" w:hAnsi="宋体" w:eastAsia="宋体" w:cs="宋体"/>
          <w:spacing w:val="17"/>
          <w:sz w:val="17"/>
          <w:szCs w:val="17"/>
        </w:rPr>
        <w:t>动作展示(150分)</w:t>
      </w:r>
    </w:p>
    <w:p w14:paraId="2FB5142F">
      <w:pPr>
        <w:spacing w:before="34" w:line="221" w:lineRule="auto"/>
        <w:ind w:left="380"/>
        <w:rPr>
          <w:rFonts w:ascii="宋体" w:hAnsi="宋体" w:eastAsia="宋体" w:cs="宋体"/>
          <w:sz w:val="17"/>
          <w:szCs w:val="17"/>
        </w:rPr>
      </w:pPr>
      <w:r>
        <w:rPr>
          <w:rFonts w:ascii="宋体" w:hAnsi="宋体" w:eastAsia="宋体" w:cs="宋体"/>
          <w:spacing w:val="1"/>
          <w:sz w:val="17"/>
          <w:szCs w:val="17"/>
        </w:rPr>
        <w:t>2、测试方法</w:t>
      </w:r>
    </w:p>
    <w:p w14:paraId="3E62A252">
      <w:pPr>
        <w:spacing w:before="76" w:line="306" w:lineRule="auto"/>
        <w:ind w:left="30" w:right="275" w:firstLine="349"/>
        <w:jc w:val="both"/>
        <w:rPr>
          <w:rFonts w:ascii="宋体" w:hAnsi="宋体" w:eastAsia="宋体" w:cs="宋体"/>
          <w:sz w:val="17"/>
          <w:szCs w:val="17"/>
        </w:rPr>
      </w:pPr>
      <w:r>
        <w:rPr>
          <w:rFonts w:ascii="宋体" w:hAnsi="宋体" w:eastAsia="宋体" w:cs="宋体"/>
          <w:spacing w:val="5"/>
          <w:sz w:val="17"/>
          <w:szCs w:val="17"/>
        </w:rPr>
        <w:t>摩登舞和拉丁舞各自选1个舞种的舞蹈片段或组合</w:t>
      </w:r>
      <w:r>
        <w:rPr>
          <w:rFonts w:ascii="宋体" w:hAnsi="宋体" w:eastAsia="宋体" w:cs="宋体"/>
          <w:spacing w:val="11"/>
          <w:sz w:val="17"/>
          <w:szCs w:val="17"/>
        </w:rPr>
        <w:t xml:space="preserve"> </w:t>
      </w:r>
      <w:r>
        <w:rPr>
          <w:rFonts w:ascii="宋体" w:hAnsi="宋体" w:eastAsia="宋体" w:cs="宋体"/>
          <w:spacing w:val="2"/>
          <w:sz w:val="17"/>
          <w:szCs w:val="17"/>
        </w:rPr>
        <w:t>展示，每支舞种在2分钟之内完成，必须有音乐伴奏(自</w:t>
      </w:r>
      <w:r>
        <w:rPr>
          <w:rFonts w:ascii="宋体" w:hAnsi="宋体" w:eastAsia="宋体" w:cs="宋体"/>
          <w:spacing w:val="17"/>
          <w:sz w:val="17"/>
          <w:szCs w:val="17"/>
        </w:rPr>
        <w:t xml:space="preserve"> </w:t>
      </w:r>
      <w:r>
        <w:rPr>
          <w:rFonts w:ascii="宋体" w:hAnsi="宋体" w:eastAsia="宋体" w:cs="宋体"/>
          <w:spacing w:val="-5"/>
          <w:sz w:val="17"/>
          <w:szCs w:val="17"/>
        </w:rPr>
        <w:t>带</w:t>
      </w:r>
      <w:r>
        <w:rPr>
          <w:rFonts w:ascii="宋体" w:hAnsi="宋体" w:eastAsia="宋体" w:cs="宋体"/>
          <w:spacing w:val="-44"/>
          <w:sz w:val="17"/>
          <w:szCs w:val="17"/>
        </w:rPr>
        <w:t xml:space="preserve"> </w:t>
      </w:r>
      <w:r>
        <w:rPr>
          <w:rFonts w:ascii="Times New Roman" w:hAnsi="Times New Roman" w:eastAsia="Times New Roman" w:cs="Times New Roman"/>
          <w:spacing w:val="-5"/>
          <w:sz w:val="17"/>
          <w:szCs w:val="17"/>
        </w:rPr>
        <w:t xml:space="preserve">U </w:t>
      </w:r>
      <w:r>
        <w:rPr>
          <w:rFonts w:ascii="宋体" w:hAnsi="宋体" w:eastAsia="宋体" w:cs="宋体"/>
          <w:spacing w:val="-5"/>
          <w:sz w:val="17"/>
          <w:szCs w:val="17"/>
        </w:rPr>
        <w:t>盘 )</w:t>
      </w:r>
      <w:r>
        <w:rPr>
          <w:rFonts w:ascii="宋体" w:hAnsi="宋体" w:eastAsia="宋体" w:cs="宋体"/>
          <w:spacing w:val="-13"/>
          <w:sz w:val="17"/>
          <w:szCs w:val="17"/>
        </w:rPr>
        <w:t xml:space="preserve"> </w:t>
      </w:r>
      <w:r>
        <w:rPr>
          <w:rFonts w:ascii="宋体" w:hAnsi="宋体" w:eastAsia="宋体" w:cs="宋体"/>
          <w:spacing w:val="-5"/>
          <w:sz w:val="17"/>
          <w:szCs w:val="17"/>
        </w:rPr>
        <w:t>)</w:t>
      </w:r>
      <w:r>
        <w:rPr>
          <w:rFonts w:ascii="宋体" w:hAnsi="宋体" w:eastAsia="宋体" w:cs="宋体"/>
          <w:spacing w:val="-20"/>
          <w:sz w:val="17"/>
          <w:szCs w:val="17"/>
        </w:rPr>
        <w:t xml:space="preserve"> </w:t>
      </w:r>
      <w:r>
        <w:rPr>
          <w:rFonts w:ascii="宋体" w:hAnsi="宋体" w:eastAsia="宋体" w:cs="宋体"/>
          <w:spacing w:val="-5"/>
          <w:sz w:val="17"/>
          <w:szCs w:val="17"/>
        </w:rPr>
        <w:t>。</w:t>
      </w:r>
    </w:p>
    <w:p w14:paraId="646F7A7E">
      <w:pPr>
        <w:spacing w:before="311" w:line="221" w:lineRule="auto"/>
        <w:ind w:left="653"/>
        <w:rPr>
          <w:rFonts w:ascii="黑体" w:hAnsi="黑体" w:eastAsia="黑体" w:cs="黑体"/>
          <w:sz w:val="23"/>
          <w:szCs w:val="23"/>
        </w:rPr>
      </w:pPr>
      <w:r>
        <w:rPr>
          <w:rFonts w:ascii="黑体" w:hAnsi="黑体" w:eastAsia="黑体" w:cs="黑体"/>
          <w:b/>
          <w:bCs/>
          <w:spacing w:val="-5"/>
          <w:sz w:val="23"/>
          <w:szCs w:val="23"/>
        </w:rPr>
        <w:t>第二部分测试方法及免测条件</w:t>
      </w:r>
    </w:p>
    <w:p w14:paraId="0FB0FDAF">
      <w:pPr>
        <w:pStyle w:val="2"/>
        <w:spacing w:line="250" w:lineRule="auto"/>
      </w:pPr>
    </w:p>
    <w:p w14:paraId="0221D607">
      <w:pPr>
        <w:spacing w:before="56" w:line="303" w:lineRule="auto"/>
        <w:ind w:left="30" w:right="285" w:firstLine="349"/>
        <w:rPr>
          <w:rFonts w:ascii="宋体" w:hAnsi="宋体" w:eastAsia="宋体" w:cs="宋体"/>
          <w:sz w:val="17"/>
          <w:szCs w:val="17"/>
        </w:rPr>
      </w:pPr>
      <w:r>
        <w:rPr>
          <w:rFonts w:ascii="宋体" w:hAnsi="宋体" w:eastAsia="宋体" w:cs="宋体"/>
          <w:spacing w:val="3"/>
          <w:sz w:val="17"/>
          <w:szCs w:val="17"/>
        </w:rPr>
        <w:t>一</w:t>
      </w:r>
      <w:r>
        <w:rPr>
          <w:rFonts w:ascii="宋体" w:hAnsi="宋体" w:eastAsia="宋体" w:cs="宋体"/>
          <w:spacing w:val="-22"/>
          <w:sz w:val="17"/>
          <w:szCs w:val="17"/>
        </w:rPr>
        <w:t xml:space="preserve"> </w:t>
      </w:r>
      <w:r>
        <w:rPr>
          <w:rFonts w:ascii="宋体" w:hAnsi="宋体" w:eastAsia="宋体" w:cs="宋体"/>
          <w:spacing w:val="3"/>
          <w:sz w:val="17"/>
          <w:szCs w:val="17"/>
        </w:rPr>
        <w:t>、测试在室外标准400米训练田径场和各专项训</w:t>
      </w:r>
      <w:r>
        <w:rPr>
          <w:rFonts w:ascii="宋体" w:hAnsi="宋体" w:eastAsia="宋体" w:cs="宋体"/>
          <w:sz w:val="17"/>
          <w:szCs w:val="17"/>
        </w:rPr>
        <w:t xml:space="preserve"> </w:t>
      </w:r>
      <w:r>
        <w:rPr>
          <w:rFonts w:ascii="宋体" w:hAnsi="宋体" w:eastAsia="宋体" w:cs="宋体"/>
          <w:spacing w:val="-1"/>
          <w:sz w:val="17"/>
          <w:szCs w:val="17"/>
        </w:rPr>
        <w:t>练馆进行。</w:t>
      </w:r>
    </w:p>
    <w:p w14:paraId="2DE4135D">
      <w:pPr>
        <w:spacing w:before="32" w:line="290" w:lineRule="auto"/>
        <w:ind w:left="30" w:right="218" w:firstLine="349"/>
        <w:rPr>
          <w:rFonts w:ascii="宋体" w:hAnsi="宋体" w:eastAsia="宋体" w:cs="宋体"/>
          <w:sz w:val="17"/>
          <w:szCs w:val="17"/>
        </w:rPr>
      </w:pPr>
      <w:r>
        <w:rPr>
          <w:rFonts w:ascii="宋体" w:hAnsi="宋体" w:eastAsia="宋体" w:cs="宋体"/>
          <w:spacing w:val="-1"/>
          <w:sz w:val="17"/>
          <w:szCs w:val="17"/>
        </w:rPr>
        <w:t>二</w:t>
      </w:r>
      <w:r>
        <w:rPr>
          <w:rFonts w:ascii="宋体" w:hAnsi="宋体" w:eastAsia="宋体" w:cs="宋体"/>
          <w:spacing w:val="-34"/>
          <w:sz w:val="17"/>
          <w:szCs w:val="17"/>
        </w:rPr>
        <w:t xml:space="preserve"> </w:t>
      </w:r>
      <w:r>
        <w:rPr>
          <w:rFonts w:ascii="宋体" w:hAnsi="宋体" w:eastAsia="宋体" w:cs="宋体"/>
          <w:spacing w:val="-1"/>
          <w:sz w:val="17"/>
          <w:szCs w:val="17"/>
        </w:rPr>
        <w:t>、径赛项目每人每项1次测试机会，没有预决赛。</w:t>
      </w:r>
      <w:r>
        <w:rPr>
          <w:rFonts w:ascii="宋体" w:hAnsi="宋体" w:eastAsia="宋体" w:cs="宋体"/>
          <w:sz w:val="17"/>
          <w:szCs w:val="17"/>
        </w:rPr>
        <w:t xml:space="preserve"> </w:t>
      </w:r>
      <w:r>
        <w:rPr>
          <w:rFonts w:ascii="宋体" w:hAnsi="宋体" w:eastAsia="宋体" w:cs="宋体"/>
          <w:spacing w:val="2"/>
          <w:sz w:val="17"/>
          <w:szCs w:val="17"/>
        </w:rPr>
        <w:t>田赛项目每人每项3次测试机会，取最好成绩。</w:t>
      </w:r>
    </w:p>
    <w:p w14:paraId="7FFF7EF6">
      <w:pPr>
        <w:spacing w:before="35" w:line="302" w:lineRule="auto"/>
        <w:ind w:left="30" w:right="297" w:firstLine="349"/>
        <w:rPr>
          <w:rFonts w:ascii="宋体" w:hAnsi="宋体" w:eastAsia="宋体" w:cs="宋体"/>
          <w:sz w:val="17"/>
          <w:szCs w:val="17"/>
        </w:rPr>
      </w:pPr>
      <w:r>
        <w:rPr>
          <w:rFonts w:ascii="宋体" w:hAnsi="宋体" w:eastAsia="宋体" w:cs="宋体"/>
          <w:spacing w:val="3"/>
          <w:sz w:val="17"/>
          <w:szCs w:val="17"/>
        </w:rPr>
        <w:t>三</w:t>
      </w:r>
      <w:r>
        <w:rPr>
          <w:rFonts w:ascii="宋体" w:hAnsi="宋体" w:eastAsia="宋体" w:cs="宋体"/>
          <w:spacing w:val="-34"/>
          <w:sz w:val="17"/>
          <w:szCs w:val="17"/>
        </w:rPr>
        <w:t xml:space="preserve"> </w:t>
      </w:r>
      <w:r>
        <w:rPr>
          <w:rFonts w:ascii="宋体" w:hAnsi="宋体" w:eastAsia="宋体" w:cs="宋体"/>
          <w:spacing w:val="3"/>
          <w:sz w:val="17"/>
          <w:szCs w:val="17"/>
        </w:rPr>
        <w:t>、考试时间为1-2天，专项素质和专项技能测试</w:t>
      </w:r>
      <w:r>
        <w:rPr>
          <w:rFonts w:ascii="宋体" w:hAnsi="宋体" w:eastAsia="宋体" w:cs="宋体"/>
          <w:sz w:val="17"/>
          <w:szCs w:val="17"/>
        </w:rPr>
        <w:t xml:space="preserve"> </w:t>
      </w:r>
      <w:r>
        <w:rPr>
          <w:rFonts w:ascii="宋体" w:hAnsi="宋体" w:eastAsia="宋体" w:cs="宋体"/>
          <w:spacing w:val="-2"/>
          <w:sz w:val="17"/>
          <w:szCs w:val="17"/>
        </w:rPr>
        <w:t>根据考生报名情况安排具体时间日程。</w:t>
      </w:r>
    </w:p>
    <w:p w14:paraId="310399BA">
      <w:pPr>
        <w:spacing w:before="37" w:line="291" w:lineRule="auto"/>
        <w:ind w:left="30" w:right="205" w:firstLine="349"/>
        <w:rPr>
          <w:rFonts w:ascii="宋体" w:hAnsi="宋体" w:eastAsia="宋体" w:cs="宋体"/>
          <w:sz w:val="17"/>
          <w:szCs w:val="17"/>
        </w:rPr>
      </w:pPr>
      <w:r>
        <w:rPr>
          <w:rFonts w:ascii="宋体" w:hAnsi="宋体" w:eastAsia="宋体" w:cs="宋体"/>
          <w:spacing w:val="6"/>
          <w:sz w:val="17"/>
          <w:szCs w:val="17"/>
        </w:rPr>
        <w:t>四</w:t>
      </w:r>
      <w:r>
        <w:rPr>
          <w:rFonts w:ascii="宋体" w:hAnsi="宋体" w:eastAsia="宋体" w:cs="宋体"/>
          <w:spacing w:val="-12"/>
          <w:sz w:val="17"/>
          <w:szCs w:val="17"/>
        </w:rPr>
        <w:t xml:space="preserve"> </w:t>
      </w:r>
      <w:r>
        <w:rPr>
          <w:rFonts w:ascii="宋体" w:hAnsi="宋体" w:eastAsia="宋体" w:cs="宋体"/>
          <w:spacing w:val="6"/>
          <w:sz w:val="17"/>
          <w:szCs w:val="17"/>
        </w:rPr>
        <w:t>、凡近3年在省运会比赛中获得前3名或省锦标</w:t>
      </w:r>
      <w:r>
        <w:rPr>
          <w:rFonts w:ascii="宋体" w:hAnsi="宋体" w:eastAsia="宋体" w:cs="宋体"/>
          <w:sz w:val="17"/>
          <w:szCs w:val="17"/>
        </w:rPr>
        <w:t xml:space="preserve">  </w:t>
      </w:r>
      <w:r>
        <w:rPr>
          <w:rFonts w:ascii="宋体" w:hAnsi="宋体" w:eastAsia="宋体" w:cs="宋体"/>
          <w:spacing w:val="5"/>
          <w:sz w:val="17"/>
          <w:szCs w:val="17"/>
        </w:rPr>
        <w:t>赛获第1名或由国家体育总局或教育部主办或承办比赛  项目中获全国前8名的考生均可免相应专业素质、专项</w:t>
      </w:r>
      <w:r>
        <w:rPr>
          <w:rFonts w:ascii="宋体" w:hAnsi="宋体" w:eastAsia="宋体" w:cs="宋体"/>
          <w:spacing w:val="7"/>
          <w:sz w:val="17"/>
          <w:szCs w:val="17"/>
        </w:rPr>
        <w:t xml:space="preserve">  </w:t>
      </w:r>
      <w:r>
        <w:rPr>
          <w:rFonts w:ascii="宋体" w:hAnsi="宋体" w:eastAsia="宋体" w:cs="宋体"/>
          <w:spacing w:val="5"/>
          <w:sz w:val="17"/>
          <w:szCs w:val="17"/>
        </w:rPr>
        <w:t>技能考试，该项测试成绩视为满分(项目包括田径、拳</w:t>
      </w:r>
      <w:r>
        <w:rPr>
          <w:rFonts w:ascii="宋体" w:hAnsi="宋体" w:eastAsia="宋体" w:cs="宋体"/>
          <w:spacing w:val="6"/>
          <w:sz w:val="17"/>
          <w:szCs w:val="17"/>
        </w:rPr>
        <w:t xml:space="preserve">  </w:t>
      </w:r>
      <w:r>
        <w:rPr>
          <w:rFonts w:ascii="宋体" w:hAnsi="宋体" w:eastAsia="宋体" w:cs="宋体"/>
          <w:spacing w:val="-8"/>
          <w:sz w:val="17"/>
          <w:szCs w:val="17"/>
        </w:rPr>
        <w:t>击、散打、柔道、跆拳道、摔跤、击剑、乒乓球、羽毛球、</w:t>
      </w:r>
      <w:r>
        <w:rPr>
          <w:rFonts w:ascii="宋体" w:hAnsi="宋体" w:eastAsia="宋体" w:cs="宋体"/>
          <w:spacing w:val="5"/>
          <w:sz w:val="17"/>
          <w:szCs w:val="17"/>
        </w:rPr>
        <w:t xml:space="preserve"> </w:t>
      </w:r>
      <w:r>
        <w:rPr>
          <w:rFonts w:ascii="宋体" w:hAnsi="宋体" w:eastAsia="宋体" w:cs="宋体"/>
          <w:spacing w:val="-2"/>
          <w:sz w:val="17"/>
          <w:szCs w:val="17"/>
        </w:rPr>
        <w:t>射击、网球、体操、水上、游泳、武术、射箭、自行车、</w:t>
      </w:r>
    </w:p>
    <w:p w14:paraId="6CE69759">
      <w:pPr>
        <w:pStyle w:val="2"/>
        <w:spacing w:line="14" w:lineRule="auto"/>
        <w:rPr>
          <w:sz w:val="2"/>
        </w:rPr>
      </w:pPr>
      <w:r>
        <w:rPr>
          <w:sz w:val="2"/>
          <w:szCs w:val="2"/>
        </w:rPr>
        <w:br w:type="column"/>
      </w:r>
    </w:p>
    <w:p w14:paraId="5917C6D0">
      <w:pPr>
        <w:spacing w:before="32" w:line="219" w:lineRule="auto"/>
        <w:ind w:left="68"/>
        <w:rPr>
          <w:rFonts w:ascii="宋体" w:hAnsi="宋体" w:eastAsia="宋体" w:cs="宋体"/>
          <w:sz w:val="17"/>
          <w:szCs w:val="17"/>
        </w:rPr>
      </w:pPr>
      <w:r>
        <w:rPr>
          <w:rFonts w:ascii="宋体" w:hAnsi="宋体" w:eastAsia="宋体" w:cs="宋体"/>
          <w:b/>
          <w:bCs/>
          <w:sz w:val="17"/>
          <w:szCs w:val="17"/>
        </w:rPr>
        <w:t>跳水、花样游泳、艺术体操、蹦床、技巧、现代五项、</w:t>
      </w:r>
    </w:p>
    <w:p w14:paraId="6481E582">
      <w:pPr>
        <w:spacing w:before="102" w:line="220" w:lineRule="auto"/>
        <w:ind w:left="66"/>
        <w:rPr>
          <w:rFonts w:ascii="宋体" w:hAnsi="宋体" w:eastAsia="宋体" w:cs="宋体"/>
          <w:sz w:val="17"/>
          <w:szCs w:val="17"/>
        </w:rPr>
      </w:pPr>
      <w:r>
        <w:rPr>
          <w:rFonts w:ascii="宋体" w:hAnsi="宋体" w:eastAsia="宋体" w:cs="宋体"/>
          <w:spacing w:val="5"/>
          <w:sz w:val="17"/>
          <w:szCs w:val="17"/>
        </w:rPr>
        <w:t>铁人三项、沙滩排球项目)。</w:t>
      </w:r>
    </w:p>
    <w:p w14:paraId="1B3F6952">
      <w:pPr>
        <w:spacing w:before="75" w:line="315" w:lineRule="auto"/>
        <w:ind w:left="66" w:right="138" w:firstLine="349"/>
        <w:rPr>
          <w:rFonts w:ascii="宋体" w:hAnsi="宋体" w:eastAsia="宋体" w:cs="宋体"/>
          <w:sz w:val="17"/>
          <w:szCs w:val="17"/>
        </w:rPr>
      </w:pPr>
      <w:r>
        <w:rPr>
          <w:rFonts w:ascii="宋体" w:hAnsi="宋体" w:eastAsia="宋体" w:cs="宋体"/>
          <w:spacing w:val="-1"/>
          <w:sz w:val="17"/>
          <w:szCs w:val="17"/>
        </w:rPr>
        <w:t>五</w:t>
      </w:r>
      <w:r>
        <w:rPr>
          <w:rFonts w:ascii="宋体" w:hAnsi="宋体" w:eastAsia="宋体" w:cs="宋体"/>
          <w:spacing w:val="-18"/>
          <w:sz w:val="17"/>
          <w:szCs w:val="17"/>
        </w:rPr>
        <w:t xml:space="preserve"> </w:t>
      </w:r>
      <w:r>
        <w:rPr>
          <w:rFonts w:ascii="宋体" w:hAnsi="宋体" w:eastAsia="宋体" w:cs="宋体"/>
          <w:spacing w:val="-1"/>
          <w:sz w:val="17"/>
          <w:szCs w:val="17"/>
        </w:rPr>
        <w:t>、凡取获得奥运会、亚运会、全运会前八名的考</w:t>
      </w:r>
      <w:r>
        <w:rPr>
          <w:rFonts w:ascii="宋体" w:hAnsi="宋体" w:eastAsia="宋体" w:cs="宋体"/>
          <w:sz w:val="17"/>
          <w:szCs w:val="17"/>
        </w:rPr>
        <w:t xml:space="preserve"> </w:t>
      </w:r>
      <w:r>
        <w:rPr>
          <w:rFonts w:ascii="宋体" w:hAnsi="宋体" w:eastAsia="宋体" w:cs="宋体"/>
          <w:spacing w:val="-4"/>
          <w:sz w:val="17"/>
          <w:szCs w:val="17"/>
        </w:rPr>
        <w:t>生可直接免试录取。</w:t>
      </w:r>
    </w:p>
    <w:p w14:paraId="76F2C3A8">
      <w:pPr>
        <w:pStyle w:val="2"/>
        <w:spacing w:line="291" w:lineRule="auto"/>
      </w:pPr>
    </w:p>
    <w:p w14:paraId="258570D4">
      <w:pPr>
        <w:spacing w:before="56" w:line="219" w:lineRule="auto"/>
        <w:ind w:left="1268"/>
        <w:rPr>
          <w:rFonts w:ascii="宋体" w:hAnsi="宋体" w:eastAsia="宋体" w:cs="宋体"/>
          <w:sz w:val="17"/>
          <w:szCs w:val="17"/>
        </w:rPr>
      </w:pPr>
      <w:r>
        <w:rPr>
          <w:rFonts w:ascii="宋体" w:hAnsi="宋体" w:eastAsia="宋体" w:cs="宋体"/>
          <w:b/>
          <w:bCs/>
          <w:spacing w:val="-9"/>
          <w:sz w:val="17"/>
          <w:szCs w:val="17"/>
        </w:rPr>
        <w:t>第</w:t>
      </w:r>
      <w:r>
        <w:rPr>
          <w:rFonts w:ascii="宋体" w:hAnsi="宋体" w:eastAsia="宋体" w:cs="宋体"/>
          <w:spacing w:val="-13"/>
          <w:sz w:val="17"/>
          <w:szCs w:val="17"/>
        </w:rPr>
        <w:t xml:space="preserve"> </w:t>
      </w:r>
      <w:r>
        <w:rPr>
          <w:rFonts w:ascii="宋体" w:hAnsi="宋体" w:eastAsia="宋体" w:cs="宋体"/>
          <w:b/>
          <w:bCs/>
          <w:spacing w:val="-9"/>
          <w:sz w:val="17"/>
          <w:szCs w:val="17"/>
        </w:rPr>
        <w:t>三</w:t>
      </w:r>
      <w:r>
        <w:rPr>
          <w:rFonts w:ascii="宋体" w:hAnsi="宋体" w:eastAsia="宋体" w:cs="宋体"/>
          <w:spacing w:val="-9"/>
          <w:sz w:val="17"/>
          <w:szCs w:val="17"/>
        </w:rPr>
        <w:t xml:space="preserve"> </w:t>
      </w:r>
      <w:r>
        <w:rPr>
          <w:rFonts w:ascii="宋体" w:hAnsi="宋体" w:eastAsia="宋体" w:cs="宋体"/>
          <w:b/>
          <w:bCs/>
          <w:spacing w:val="-9"/>
          <w:sz w:val="17"/>
          <w:szCs w:val="17"/>
        </w:rPr>
        <w:t>部</w:t>
      </w:r>
      <w:r>
        <w:rPr>
          <w:rFonts w:ascii="宋体" w:hAnsi="宋体" w:eastAsia="宋体" w:cs="宋体"/>
          <w:spacing w:val="-12"/>
          <w:sz w:val="17"/>
          <w:szCs w:val="17"/>
        </w:rPr>
        <w:t xml:space="preserve"> </w:t>
      </w:r>
      <w:r>
        <w:rPr>
          <w:rFonts w:ascii="宋体" w:hAnsi="宋体" w:eastAsia="宋体" w:cs="宋体"/>
          <w:b/>
          <w:bCs/>
          <w:spacing w:val="-9"/>
          <w:sz w:val="17"/>
          <w:szCs w:val="17"/>
        </w:rPr>
        <w:t>分</w:t>
      </w:r>
      <w:r>
        <w:rPr>
          <w:rFonts w:ascii="宋体" w:hAnsi="宋体" w:eastAsia="宋体" w:cs="宋体"/>
          <w:spacing w:val="-13"/>
          <w:sz w:val="17"/>
          <w:szCs w:val="17"/>
        </w:rPr>
        <w:t xml:space="preserve"> </w:t>
      </w:r>
      <w:r>
        <w:rPr>
          <w:rFonts w:ascii="宋体" w:hAnsi="宋体" w:eastAsia="宋体" w:cs="宋体"/>
          <w:b/>
          <w:bCs/>
          <w:spacing w:val="-9"/>
          <w:sz w:val="17"/>
          <w:szCs w:val="17"/>
        </w:rPr>
        <w:t>测</w:t>
      </w:r>
      <w:r>
        <w:rPr>
          <w:rFonts w:ascii="宋体" w:hAnsi="宋体" w:eastAsia="宋体" w:cs="宋体"/>
          <w:spacing w:val="-14"/>
          <w:sz w:val="17"/>
          <w:szCs w:val="17"/>
        </w:rPr>
        <w:t xml:space="preserve"> </w:t>
      </w:r>
      <w:r>
        <w:rPr>
          <w:rFonts w:ascii="宋体" w:hAnsi="宋体" w:eastAsia="宋体" w:cs="宋体"/>
          <w:b/>
          <w:bCs/>
          <w:spacing w:val="-9"/>
          <w:sz w:val="17"/>
          <w:szCs w:val="17"/>
        </w:rPr>
        <w:t>试</w:t>
      </w:r>
      <w:r>
        <w:rPr>
          <w:rFonts w:ascii="宋体" w:hAnsi="宋体" w:eastAsia="宋体" w:cs="宋体"/>
          <w:spacing w:val="-14"/>
          <w:sz w:val="17"/>
          <w:szCs w:val="17"/>
        </w:rPr>
        <w:t xml:space="preserve"> </w:t>
      </w:r>
      <w:r>
        <w:rPr>
          <w:rFonts w:ascii="宋体" w:hAnsi="宋体" w:eastAsia="宋体" w:cs="宋体"/>
          <w:b/>
          <w:bCs/>
          <w:spacing w:val="-9"/>
          <w:sz w:val="17"/>
          <w:szCs w:val="17"/>
        </w:rPr>
        <w:t>要</w:t>
      </w:r>
      <w:r>
        <w:rPr>
          <w:rFonts w:ascii="宋体" w:hAnsi="宋体" w:eastAsia="宋体" w:cs="宋体"/>
          <w:spacing w:val="-13"/>
          <w:sz w:val="17"/>
          <w:szCs w:val="17"/>
        </w:rPr>
        <w:t xml:space="preserve"> </w:t>
      </w:r>
      <w:r>
        <w:rPr>
          <w:rFonts w:ascii="宋体" w:hAnsi="宋体" w:eastAsia="宋体" w:cs="宋体"/>
          <w:b/>
          <w:bCs/>
          <w:spacing w:val="-9"/>
          <w:sz w:val="17"/>
          <w:szCs w:val="17"/>
        </w:rPr>
        <w:t>求</w:t>
      </w:r>
    </w:p>
    <w:p w14:paraId="0A3A65DC">
      <w:pPr>
        <w:pStyle w:val="2"/>
        <w:spacing w:line="264" w:lineRule="auto"/>
      </w:pPr>
    </w:p>
    <w:p w14:paraId="66D87BFC">
      <w:pPr>
        <w:spacing w:before="55" w:line="312" w:lineRule="auto"/>
        <w:ind w:left="66" w:right="134" w:firstLine="349"/>
        <w:rPr>
          <w:rFonts w:ascii="宋体" w:hAnsi="宋体" w:eastAsia="宋体" w:cs="宋体"/>
          <w:sz w:val="17"/>
          <w:szCs w:val="17"/>
        </w:rPr>
      </w:pPr>
      <w:r>
        <w:rPr>
          <w:rFonts w:ascii="宋体" w:hAnsi="宋体" w:eastAsia="宋体" w:cs="宋体"/>
          <w:sz w:val="17"/>
          <w:szCs w:val="17"/>
        </w:rPr>
        <w:t>一</w:t>
      </w:r>
      <w:r>
        <w:rPr>
          <w:rFonts w:ascii="宋体" w:hAnsi="宋体" w:eastAsia="宋体" w:cs="宋体"/>
          <w:spacing w:val="-36"/>
          <w:sz w:val="17"/>
          <w:szCs w:val="17"/>
        </w:rPr>
        <w:t xml:space="preserve"> </w:t>
      </w:r>
      <w:r>
        <w:rPr>
          <w:rFonts w:ascii="宋体" w:hAnsi="宋体" w:eastAsia="宋体" w:cs="宋体"/>
          <w:sz w:val="17"/>
          <w:szCs w:val="17"/>
        </w:rPr>
        <w:t xml:space="preserve">、报考体育类考试时，按规定时间必须明确专项 </w:t>
      </w:r>
      <w:r>
        <w:rPr>
          <w:rFonts w:ascii="宋体" w:hAnsi="宋体" w:eastAsia="宋体" w:cs="宋体"/>
          <w:spacing w:val="-1"/>
          <w:sz w:val="17"/>
          <w:szCs w:val="17"/>
        </w:rPr>
        <w:t>测试项目，一旦确定，不得改动。</w:t>
      </w:r>
    </w:p>
    <w:p w14:paraId="7702C3AE">
      <w:pPr>
        <w:spacing w:before="15" w:line="291" w:lineRule="auto"/>
        <w:ind w:left="66" w:right="60" w:firstLine="349"/>
        <w:rPr>
          <w:rFonts w:ascii="宋体" w:hAnsi="宋体" w:eastAsia="宋体" w:cs="宋体"/>
          <w:sz w:val="17"/>
          <w:szCs w:val="17"/>
        </w:rPr>
      </w:pPr>
      <w:r>
        <w:rPr>
          <w:rFonts w:ascii="宋体" w:hAnsi="宋体" w:eastAsia="宋体" w:cs="宋体"/>
          <w:spacing w:val="-4"/>
          <w:sz w:val="17"/>
          <w:szCs w:val="17"/>
        </w:rPr>
        <w:t>二</w:t>
      </w:r>
      <w:r>
        <w:rPr>
          <w:rFonts w:ascii="宋体" w:hAnsi="宋体" w:eastAsia="宋体" w:cs="宋体"/>
          <w:spacing w:val="-36"/>
          <w:sz w:val="17"/>
          <w:szCs w:val="17"/>
        </w:rPr>
        <w:t xml:space="preserve"> </w:t>
      </w:r>
      <w:r>
        <w:rPr>
          <w:rFonts w:ascii="宋体" w:hAnsi="宋体" w:eastAsia="宋体" w:cs="宋体"/>
          <w:spacing w:val="-4"/>
          <w:sz w:val="17"/>
          <w:szCs w:val="17"/>
        </w:rPr>
        <w:t>、考生必须身穿号码背心，佩戴专业考试准</w:t>
      </w:r>
      <w:r>
        <w:rPr>
          <w:rFonts w:ascii="宋体" w:hAnsi="宋体" w:eastAsia="宋体" w:cs="宋体"/>
          <w:spacing w:val="-5"/>
          <w:sz w:val="17"/>
          <w:szCs w:val="17"/>
        </w:rPr>
        <w:t>考证，</w:t>
      </w:r>
      <w:r>
        <w:rPr>
          <w:rFonts w:ascii="宋体" w:hAnsi="宋体" w:eastAsia="宋体" w:cs="宋体"/>
          <w:sz w:val="17"/>
          <w:szCs w:val="17"/>
        </w:rPr>
        <w:t xml:space="preserve"> </w:t>
      </w:r>
      <w:r>
        <w:rPr>
          <w:rFonts w:ascii="宋体" w:hAnsi="宋体" w:eastAsia="宋体" w:cs="宋体"/>
          <w:spacing w:val="-1"/>
          <w:sz w:val="17"/>
          <w:szCs w:val="17"/>
        </w:rPr>
        <w:t>携带身份证。</w:t>
      </w:r>
    </w:p>
    <w:p w14:paraId="001C366E">
      <w:pPr>
        <w:spacing w:before="44" w:line="291" w:lineRule="auto"/>
        <w:ind w:left="416" w:right="59"/>
        <w:rPr>
          <w:rFonts w:ascii="宋体" w:hAnsi="宋体" w:eastAsia="宋体" w:cs="宋体"/>
          <w:sz w:val="17"/>
          <w:szCs w:val="17"/>
        </w:rPr>
      </w:pPr>
      <w:r>
        <w:rPr>
          <w:rFonts w:ascii="宋体" w:hAnsi="宋体" w:eastAsia="宋体" w:cs="宋体"/>
          <w:spacing w:val="-6"/>
          <w:sz w:val="17"/>
          <w:szCs w:val="17"/>
        </w:rPr>
        <w:t>三</w:t>
      </w:r>
      <w:r>
        <w:rPr>
          <w:rFonts w:ascii="宋体" w:hAnsi="宋体" w:eastAsia="宋体" w:cs="宋体"/>
          <w:spacing w:val="-37"/>
          <w:sz w:val="17"/>
          <w:szCs w:val="17"/>
        </w:rPr>
        <w:t xml:space="preserve"> </w:t>
      </w:r>
      <w:r>
        <w:rPr>
          <w:rFonts w:ascii="宋体" w:hAnsi="宋体" w:eastAsia="宋体" w:cs="宋体"/>
          <w:spacing w:val="-6"/>
          <w:sz w:val="17"/>
          <w:szCs w:val="17"/>
        </w:rPr>
        <w:t>、考试项目缺考者，</w:t>
      </w:r>
      <w:r>
        <w:rPr>
          <w:rFonts w:ascii="宋体" w:hAnsi="宋体" w:eastAsia="宋体" w:cs="宋体"/>
          <w:spacing w:val="-41"/>
          <w:sz w:val="17"/>
          <w:szCs w:val="17"/>
        </w:rPr>
        <w:t xml:space="preserve"> </w:t>
      </w:r>
      <w:r>
        <w:rPr>
          <w:rFonts w:ascii="宋体" w:hAnsi="宋体" w:eastAsia="宋体" w:cs="宋体"/>
          <w:spacing w:val="-6"/>
          <w:sz w:val="17"/>
          <w:szCs w:val="17"/>
        </w:rPr>
        <w:t>一律以零分计算，不得补考。</w:t>
      </w:r>
      <w:r>
        <w:rPr>
          <w:rFonts w:ascii="宋体" w:hAnsi="宋体" w:eastAsia="宋体" w:cs="宋体"/>
          <w:sz w:val="17"/>
          <w:szCs w:val="17"/>
        </w:rPr>
        <w:t xml:space="preserve"> </w:t>
      </w:r>
      <w:r>
        <w:rPr>
          <w:rFonts w:ascii="宋体" w:hAnsi="宋体" w:eastAsia="宋体" w:cs="宋体"/>
          <w:spacing w:val="-6"/>
          <w:sz w:val="17"/>
          <w:szCs w:val="17"/>
        </w:rPr>
        <w:t>四</w:t>
      </w:r>
      <w:r>
        <w:rPr>
          <w:rFonts w:ascii="宋体" w:hAnsi="宋体" w:eastAsia="宋体" w:cs="宋体"/>
          <w:spacing w:val="-23"/>
          <w:sz w:val="17"/>
          <w:szCs w:val="17"/>
        </w:rPr>
        <w:t xml:space="preserve"> </w:t>
      </w:r>
      <w:r>
        <w:rPr>
          <w:rFonts w:ascii="宋体" w:hAnsi="宋体" w:eastAsia="宋体" w:cs="宋体"/>
          <w:spacing w:val="-6"/>
          <w:sz w:val="17"/>
          <w:szCs w:val="17"/>
        </w:rPr>
        <w:t>、允许穿考试项目专用鞋。</w:t>
      </w:r>
    </w:p>
    <w:p w14:paraId="3713AC2F">
      <w:pPr>
        <w:spacing w:before="44" w:line="219" w:lineRule="auto"/>
        <w:ind w:left="416"/>
        <w:rPr>
          <w:rFonts w:ascii="宋体" w:hAnsi="宋体" w:eastAsia="宋体" w:cs="宋体"/>
          <w:sz w:val="17"/>
          <w:szCs w:val="17"/>
        </w:rPr>
      </w:pPr>
      <w:r>
        <w:rPr>
          <w:rFonts w:ascii="宋体" w:hAnsi="宋体" w:eastAsia="宋体" w:cs="宋体"/>
          <w:spacing w:val="-4"/>
          <w:sz w:val="17"/>
          <w:szCs w:val="17"/>
        </w:rPr>
        <w:t>五</w:t>
      </w:r>
      <w:r>
        <w:rPr>
          <w:rFonts w:ascii="宋体" w:hAnsi="宋体" w:eastAsia="宋体" w:cs="宋体"/>
          <w:spacing w:val="-22"/>
          <w:sz w:val="17"/>
          <w:szCs w:val="17"/>
        </w:rPr>
        <w:t xml:space="preserve"> </w:t>
      </w:r>
      <w:r>
        <w:rPr>
          <w:rFonts w:ascii="宋体" w:hAnsi="宋体" w:eastAsia="宋体" w:cs="宋体"/>
          <w:spacing w:val="-4"/>
          <w:sz w:val="17"/>
          <w:szCs w:val="17"/>
        </w:rPr>
        <w:t>、发现作弊行为者，取消该考生考试资格。</w:t>
      </w:r>
    </w:p>
    <w:p w14:paraId="3CC78312">
      <w:pPr>
        <w:pStyle w:val="2"/>
        <w:spacing w:line="418" w:lineRule="auto"/>
      </w:pPr>
    </w:p>
    <w:p w14:paraId="62762ACD">
      <w:pPr>
        <w:spacing w:before="89" w:line="219" w:lineRule="auto"/>
        <w:jc w:val="right"/>
        <w:rPr>
          <w:rFonts w:ascii="宋体" w:hAnsi="宋体" w:eastAsia="宋体" w:cs="宋体"/>
          <w:sz w:val="27"/>
          <w:szCs w:val="27"/>
        </w:rPr>
      </w:pPr>
      <w:r>
        <w:rPr>
          <w:rFonts w:ascii="宋体" w:hAnsi="宋体" w:eastAsia="宋体" w:cs="宋体"/>
          <w:b/>
          <w:bCs/>
          <w:spacing w:val="15"/>
          <w:sz w:val="27"/>
          <w:szCs w:val="27"/>
        </w:rPr>
        <w:t>交通运输类大类(城市轨道交通类)</w:t>
      </w:r>
    </w:p>
    <w:p w14:paraId="0DC9C91B">
      <w:pPr>
        <w:spacing w:before="80" w:line="220" w:lineRule="auto"/>
        <w:ind w:left="1050"/>
        <w:outlineLvl w:val="0"/>
        <w:rPr>
          <w:rFonts w:ascii="宋体" w:hAnsi="宋体" w:eastAsia="宋体" w:cs="宋体"/>
          <w:sz w:val="27"/>
          <w:szCs w:val="27"/>
        </w:rPr>
      </w:pPr>
      <w:bookmarkStart w:id="71" w:name="bookmark26"/>
      <w:bookmarkEnd w:id="71"/>
      <w:r>
        <w:rPr>
          <w:rFonts w:ascii="宋体" w:hAnsi="宋体" w:eastAsia="宋体" w:cs="宋体"/>
          <w:b/>
          <w:bCs/>
          <w:spacing w:val="1"/>
          <w:sz w:val="27"/>
          <w:szCs w:val="27"/>
        </w:rPr>
        <w:t>专业技能测试纲要</w:t>
      </w:r>
    </w:p>
    <w:p w14:paraId="64B4E6D6">
      <w:pPr>
        <w:pStyle w:val="2"/>
        <w:spacing w:line="397" w:lineRule="auto"/>
      </w:pPr>
    </w:p>
    <w:p w14:paraId="055EEC19">
      <w:pPr>
        <w:spacing w:before="56" w:line="310" w:lineRule="auto"/>
        <w:ind w:left="66" w:right="59" w:firstLine="349"/>
        <w:rPr>
          <w:rFonts w:ascii="宋体" w:hAnsi="宋体" w:eastAsia="宋体" w:cs="宋体"/>
          <w:sz w:val="17"/>
          <w:szCs w:val="17"/>
        </w:rPr>
      </w:pPr>
      <w:r>
        <w:rPr>
          <w:rFonts w:ascii="宋体" w:hAnsi="宋体" w:eastAsia="宋体" w:cs="宋体"/>
          <w:spacing w:val="2"/>
          <w:sz w:val="17"/>
          <w:szCs w:val="17"/>
        </w:rPr>
        <w:t xml:space="preserve">本测试考核纲要是依据教育部中等职业学校各类专  </w:t>
      </w:r>
      <w:r>
        <w:rPr>
          <w:rFonts w:ascii="宋体" w:hAnsi="宋体" w:eastAsia="宋体" w:cs="宋体"/>
          <w:spacing w:val="5"/>
          <w:sz w:val="17"/>
          <w:szCs w:val="17"/>
        </w:rPr>
        <w:t>业教学标准(试行)或中等职业学校专业教学指导方案，</w:t>
      </w:r>
      <w:r>
        <w:rPr>
          <w:rFonts w:ascii="宋体" w:hAnsi="宋体" w:eastAsia="宋体" w:cs="宋体"/>
          <w:spacing w:val="9"/>
          <w:sz w:val="17"/>
          <w:szCs w:val="17"/>
        </w:rPr>
        <w:t xml:space="preserve"> </w:t>
      </w:r>
      <w:r>
        <w:rPr>
          <w:rFonts w:ascii="宋体" w:hAnsi="宋体" w:eastAsia="宋体" w:cs="宋体"/>
          <w:spacing w:val="2"/>
          <w:sz w:val="17"/>
          <w:szCs w:val="17"/>
        </w:rPr>
        <w:t>以及进入高等院校继续学习所具备的专业基础技能。按</w:t>
      </w:r>
      <w:r>
        <w:rPr>
          <w:rFonts w:ascii="宋体" w:hAnsi="宋体" w:eastAsia="宋体" w:cs="宋体"/>
          <w:spacing w:val="5"/>
          <w:sz w:val="17"/>
          <w:szCs w:val="17"/>
        </w:rPr>
        <w:t xml:space="preserve">  </w:t>
      </w:r>
      <w:r>
        <w:rPr>
          <w:rFonts w:ascii="宋体" w:hAnsi="宋体" w:eastAsia="宋体" w:cs="宋体"/>
          <w:spacing w:val="2"/>
          <w:sz w:val="17"/>
          <w:szCs w:val="17"/>
        </w:rPr>
        <w:t>照国家初级工、中级工技术等级标准，要求考生运用所</w:t>
      </w:r>
      <w:r>
        <w:rPr>
          <w:rFonts w:ascii="宋体" w:hAnsi="宋体" w:eastAsia="宋体" w:cs="宋体"/>
          <w:spacing w:val="3"/>
          <w:sz w:val="17"/>
          <w:szCs w:val="17"/>
        </w:rPr>
        <w:t xml:space="preserve">  </w:t>
      </w:r>
      <w:r>
        <w:rPr>
          <w:rFonts w:ascii="宋体" w:hAnsi="宋体" w:eastAsia="宋体" w:cs="宋体"/>
          <w:spacing w:val="-3"/>
          <w:sz w:val="17"/>
          <w:szCs w:val="17"/>
        </w:rPr>
        <w:t>学的专业基础技能完成测试。</w:t>
      </w:r>
    </w:p>
    <w:p w14:paraId="1FECEF71">
      <w:pPr>
        <w:spacing w:before="24" w:line="317" w:lineRule="auto"/>
        <w:ind w:left="66" w:right="184" w:firstLine="349"/>
        <w:rPr>
          <w:rFonts w:ascii="宋体" w:hAnsi="宋体" w:eastAsia="宋体" w:cs="宋体"/>
          <w:sz w:val="17"/>
          <w:szCs w:val="17"/>
        </w:rPr>
      </w:pPr>
      <w:r>
        <w:rPr>
          <w:rFonts w:ascii="宋体" w:hAnsi="宋体" w:eastAsia="宋体" w:cs="宋体"/>
          <w:spacing w:val="7"/>
          <w:sz w:val="17"/>
          <w:szCs w:val="17"/>
        </w:rPr>
        <w:t>专业技能测试共6个项目，招生单位可选择其中2</w:t>
      </w:r>
      <w:r>
        <w:rPr>
          <w:rFonts w:ascii="宋体" w:hAnsi="宋体" w:eastAsia="宋体" w:cs="宋体"/>
          <w:spacing w:val="15"/>
          <w:sz w:val="17"/>
          <w:szCs w:val="17"/>
        </w:rPr>
        <w:t xml:space="preserve"> </w:t>
      </w:r>
      <w:r>
        <w:rPr>
          <w:rFonts w:ascii="宋体" w:hAnsi="宋体" w:eastAsia="宋体" w:cs="宋体"/>
          <w:spacing w:val="3"/>
          <w:sz w:val="17"/>
          <w:szCs w:val="17"/>
        </w:rPr>
        <w:t>个项目由考生选择其中之一组织测试。测试</w:t>
      </w:r>
      <w:r>
        <w:rPr>
          <w:rFonts w:ascii="宋体" w:hAnsi="宋体" w:eastAsia="宋体" w:cs="宋体"/>
          <w:spacing w:val="2"/>
          <w:sz w:val="17"/>
          <w:szCs w:val="17"/>
        </w:rPr>
        <w:t>时间为90</w:t>
      </w:r>
      <w:r>
        <w:rPr>
          <w:rFonts w:ascii="宋体" w:hAnsi="宋体" w:eastAsia="宋体" w:cs="宋体"/>
          <w:sz w:val="17"/>
          <w:szCs w:val="17"/>
        </w:rPr>
        <w:t xml:space="preserve">  </w:t>
      </w:r>
      <w:r>
        <w:rPr>
          <w:rFonts w:ascii="宋体" w:hAnsi="宋体" w:eastAsia="宋体" w:cs="宋体"/>
          <w:spacing w:val="-3"/>
          <w:sz w:val="17"/>
          <w:szCs w:val="17"/>
        </w:rPr>
        <w:t>分钟，测试分值为250分。</w:t>
      </w:r>
    </w:p>
    <w:p w14:paraId="306740ED">
      <w:pPr>
        <w:spacing w:before="42" w:line="219" w:lineRule="auto"/>
        <w:ind w:left="68"/>
        <w:rPr>
          <w:rFonts w:ascii="宋体" w:hAnsi="宋体" w:eastAsia="宋体" w:cs="宋体"/>
          <w:sz w:val="17"/>
          <w:szCs w:val="17"/>
        </w:rPr>
      </w:pPr>
      <w:r>
        <w:rPr>
          <w:rFonts w:ascii="宋体" w:hAnsi="宋体" w:eastAsia="宋体" w:cs="宋体"/>
          <w:b/>
          <w:bCs/>
          <w:spacing w:val="-15"/>
          <w:sz w:val="17"/>
          <w:szCs w:val="17"/>
        </w:rPr>
        <w:t>一</w:t>
      </w:r>
      <w:r>
        <w:rPr>
          <w:rFonts w:ascii="宋体" w:hAnsi="宋体" w:eastAsia="宋体" w:cs="宋体"/>
          <w:spacing w:val="60"/>
          <w:sz w:val="17"/>
          <w:szCs w:val="17"/>
        </w:rPr>
        <w:t xml:space="preserve"> </w:t>
      </w:r>
      <w:r>
        <w:rPr>
          <w:rFonts w:ascii="宋体" w:hAnsi="宋体" w:eastAsia="宋体" w:cs="宋体"/>
          <w:b/>
          <w:bCs/>
          <w:spacing w:val="-15"/>
          <w:sz w:val="17"/>
          <w:szCs w:val="17"/>
        </w:rPr>
        <w:t>、考</w:t>
      </w:r>
      <w:r>
        <w:rPr>
          <w:rFonts w:ascii="宋体" w:hAnsi="宋体" w:eastAsia="宋体" w:cs="宋体"/>
          <w:spacing w:val="11"/>
          <w:sz w:val="17"/>
          <w:szCs w:val="17"/>
        </w:rPr>
        <w:t xml:space="preserve"> </w:t>
      </w:r>
      <w:r>
        <w:rPr>
          <w:rFonts w:ascii="宋体" w:hAnsi="宋体" w:eastAsia="宋体" w:cs="宋体"/>
          <w:b/>
          <w:bCs/>
          <w:spacing w:val="-15"/>
          <w:sz w:val="17"/>
          <w:szCs w:val="17"/>
        </w:rPr>
        <w:t>核</w:t>
      </w:r>
      <w:r>
        <w:rPr>
          <w:rFonts w:ascii="宋体" w:hAnsi="宋体" w:eastAsia="宋体" w:cs="宋体"/>
          <w:spacing w:val="29"/>
          <w:sz w:val="17"/>
          <w:szCs w:val="17"/>
        </w:rPr>
        <w:t xml:space="preserve"> </w:t>
      </w:r>
      <w:r>
        <w:rPr>
          <w:rFonts w:ascii="宋体" w:hAnsi="宋体" w:eastAsia="宋体" w:cs="宋体"/>
          <w:b/>
          <w:bCs/>
          <w:spacing w:val="-15"/>
          <w:sz w:val="17"/>
          <w:szCs w:val="17"/>
        </w:rPr>
        <w:t>内</w:t>
      </w:r>
      <w:r>
        <w:rPr>
          <w:rFonts w:ascii="宋体" w:hAnsi="宋体" w:eastAsia="宋体" w:cs="宋体"/>
          <w:spacing w:val="10"/>
          <w:sz w:val="17"/>
          <w:szCs w:val="17"/>
        </w:rPr>
        <w:t xml:space="preserve"> </w:t>
      </w:r>
      <w:r>
        <w:rPr>
          <w:rFonts w:ascii="宋体" w:hAnsi="宋体" w:eastAsia="宋体" w:cs="宋体"/>
          <w:b/>
          <w:bCs/>
          <w:spacing w:val="-15"/>
          <w:sz w:val="17"/>
          <w:szCs w:val="17"/>
        </w:rPr>
        <w:t>容</w:t>
      </w:r>
    </w:p>
    <w:p w14:paraId="5D24950D">
      <w:pPr>
        <w:spacing w:line="109" w:lineRule="exact"/>
      </w:pPr>
    </w:p>
    <w:tbl>
      <w:tblPr>
        <w:tblStyle w:val="5"/>
        <w:tblW w:w="4139" w:type="dxa"/>
        <w:tblInd w:w="96"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73"/>
        <w:gridCol w:w="2065"/>
        <w:gridCol w:w="798"/>
        <w:gridCol w:w="603"/>
      </w:tblGrid>
      <w:tr w14:paraId="40B062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4" w:hRule="atLeast"/>
        </w:trPr>
        <w:tc>
          <w:tcPr>
            <w:tcW w:w="673" w:type="dxa"/>
            <w:vAlign w:val="top"/>
          </w:tcPr>
          <w:p w14:paraId="3508BFC4">
            <w:pPr>
              <w:pStyle w:val="6"/>
              <w:spacing w:before="40" w:line="217" w:lineRule="auto"/>
              <w:ind w:left="137"/>
              <w:rPr>
                <w:sz w:val="19"/>
                <w:szCs w:val="19"/>
              </w:rPr>
            </w:pPr>
            <w:r>
              <w:rPr>
                <w:b/>
                <w:bCs/>
                <w:spacing w:val="13"/>
                <w:sz w:val="19"/>
                <w:szCs w:val="19"/>
              </w:rPr>
              <w:t>项目</w:t>
            </w:r>
          </w:p>
        </w:tc>
        <w:tc>
          <w:tcPr>
            <w:tcW w:w="2065" w:type="dxa"/>
            <w:vAlign w:val="top"/>
          </w:tcPr>
          <w:p w14:paraId="0818C5A1">
            <w:pPr>
              <w:pStyle w:val="6"/>
              <w:spacing w:before="40" w:line="217" w:lineRule="auto"/>
              <w:ind w:left="704"/>
              <w:rPr>
                <w:sz w:val="19"/>
                <w:szCs w:val="19"/>
              </w:rPr>
            </w:pPr>
            <w:r>
              <w:rPr>
                <w:b/>
                <w:bCs/>
                <w:spacing w:val="-4"/>
                <w:sz w:val="19"/>
                <w:szCs w:val="19"/>
              </w:rPr>
              <w:t>项目名称</w:t>
            </w:r>
          </w:p>
        </w:tc>
        <w:tc>
          <w:tcPr>
            <w:tcW w:w="798" w:type="dxa"/>
            <w:vAlign w:val="top"/>
          </w:tcPr>
          <w:p w14:paraId="2E971FE0">
            <w:pPr>
              <w:pStyle w:val="6"/>
              <w:spacing w:before="39" w:line="218" w:lineRule="auto"/>
              <w:jc w:val="right"/>
              <w:rPr>
                <w:sz w:val="19"/>
                <w:szCs w:val="19"/>
              </w:rPr>
            </w:pPr>
            <w:r>
              <w:rPr>
                <w:b/>
                <w:bCs/>
                <w:sz w:val="19"/>
                <w:szCs w:val="19"/>
              </w:rPr>
              <w:t>考试时间</w:t>
            </w:r>
          </w:p>
        </w:tc>
        <w:tc>
          <w:tcPr>
            <w:tcW w:w="603" w:type="dxa"/>
            <w:vAlign w:val="top"/>
          </w:tcPr>
          <w:p w14:paraId="155FEE98">
            <w:pPr>
              <w:pStyle w:val="6"/>
              <w:spacing w:before="39" w:line="218" w:lineRule="auto"/>
              <w:ind w:left="111"/>
              <w:rPr>
                <w:sz w:val="19"/>
                <w:szCs w:val="19"/>
              </w:rPr>
            </w:pPr>
            <w:r>
              <w:rPr>
                <w:b/>
                <w:bCs/>
                <w:spacing w:val="-5"/>
                <w:sz w:val="19"/>
                <w:szCs w:val="19"/>
              </w:rPr>
              <w:t>分值</w:t>
            </w:r>
          </w:p>
        </w:tc>
      </w:tr>
      <w:tr w14:paraId="2DE105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8" w:hRule="atLeast"/>
        </w:trPr>
        <w:tc>
          <w:tcPr>
            <w:tcW w:w="673" w:type="dxa"/>
            <w:vAlign w:val="top"/>
          </w:tcPr>
          <w:p w14:paraId="43422557">
            <w:pPr>
              <w:pStyle w:val="6"/>
              <w:spacing w:before="49" w:line="212" w:lineRule="auto"/>
              <w:ind w:left="44"/>
              <w:rPr>
                <w:sz w:val="19"/>
                <w:szCs w:val="19"/>
              </w:rPr>
            </w:pPr>
            <w:r>
              <w:rPr>
                <w:spacing w:val="6"/>
                <w:sz w:val="19"/>
                <w:szCs w:val="19"/>
              </w:rPr>
              <w:t>项目一</w:t>
            </w:r>
          </w:p>
        </w:tc>
        <w:tc>
          <w:tcPr>
            <w:tcW w:w="2065" w:type="dxa"/>
            <w:vAlign w:val="top"/>
          </w:tcPr>
          <w:p w14:paraId="77E9B790">
            <w:pPr>
              <w:pStyle w:val="6"/>
              <w:spacing w:before="48" w:line="213" w:lineRule="auto"/>
              <w:ind w:left="1"/>
              <w:rPr>
                <w:sz w:val="19"/>
                <w:szCs w:val="19"/>
              </w:rPr>
            </w:pPr>
            <w:r>
              <w:rPr>
                <w:spacing w:val="-1"/>
                <w:sz w:val="19"/>
                <w:szCs w:val="19"/>
              </w:rPr>
              <w:t>双控照明电路的安装</w:t>
            </w:r>
          </w:p>
        </w:tc>
        <w:tc>
          <w:tcPr>
            <w:tcW w:w="798" w:type="dxa"/>
            <w:vAlign w:val="top"/>
          </w:tcPr>
          <w:p w14:paraId="1128CBCD">
            <w:pPr>
              <w:pStyle w:val="6"/>
              <w:spacing w:before="49" w:line="212" w:lineRule="auto"/>
              <w:ind w:left="106"/>
              <w:rPr>
                <w:sz w:val="19"/>
                <w:szCs w:val="19"/>
              </w:rPr>
            </w:pPr>
            <w:r>
              <w:rPr>
                <w:spacing w:val="3"/>
                <w:sz w:val="19"/>
                <w:szCs w:val="19"/>
              </w:rPr>
              <w:t>90分钟</w:t>
            </w:r>
          </w:p>
        </w:tc>
        <w:tc>
          <w:tcPr>
            <w:tcW w:w="603" w:type="dxa"/>
            <w:vAlign w:val="top"/>
          </w:tcPr>
          <w:p w14:paraId="631068EA">
            <w:pPr>
              <w:pStyle w:val="6"/>
              <w:spacing w:before="49" w:line="212" w:lineRule="auto"/>
              <w:ind w:left="58"/>
              <w:rPr>
                <w:sz w:val="19"/>
                <w:szCs w:val="19"/>
              </w:rPr>
            </w:pPr>
            <w:r>
              <w:rPr>
                <w:spacing w:val="-2"/>
                <w:sz w:val="19"/>
                <w:szCs w:val="19"/>
              </w:rPr>
              <w:t>250分</w:t>
            </w:r>
          </w:p>
        </w:tc>
      </w:tr>
      <w:tr w14:paraId="40BF26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673" w:type="dxa"/>
            <w:vAlign w:val="top"/>
          </w:tcPr>
          <w:p w14:paraId="7D286DC2">
            <w:pPr>
              <w:pStyle w:val="6"/>
              <w:spacing w:before="41" w:line="211" w:lineRule="auto"/>
              <w:ind w:left="44"/>
              <w:rPr>
                <w:sz w:val="19"/>
                <w:szCs w:val="19"/>
              </w:rPr>
            </w:pPr>
            <w:r>
              <w:rPr>
                <w:spacing w:val="3"/>
                <w:sz w:val="19"/>
                <w:szCs w:val="19"/>
              </w:rPr>
              <w:t>项目二</w:t>
            </w:r>
          </w:p>
        </w:tc>
        <w:tc>
          <w:tcPr>
            <w:tcW w:w="2065" w:type="dxa"/>
            <w:vAlign w:val="top"/>
          </w:tcPr>
          <w:p w14:paraId="01EB6629">
            <w:pPr>
              <w:pStyle w:val="6"/>
              <w:spacing w:before="40" w:line="212" w:lineRule="auto"/>
              <w:jc w:val="right"/>
              <w:rPr>
                <w:sz w:val="19"/>
                <w:szCs w:val="19"/>
              </w:rPr>
            </w:pPr>
            <w:r>
              <w:rPr>
                <w:spacing w:val="-4"/>
                <w:sz w:val="19"/>
                <w:szCs w:val="19"/>
              </w:rPr>
              <w:t>低压电器控制电路的安装</w:t>
            </w:r>
          </w:p>
        </w:tc>
        <w:tc>
          <w:tcPr>
            <w:tcW w:w="798" w:type="dxa"/>
            <w:vAlign w:val="top"/>
          </w:tcPr>
          <w:p w14:paraId="4798E35E">
            <w:pPr>
              <w:pStyle w:val="6"/>
              <w:spacing w:before="41" w:line="211" w:lineRule="auto"/>
              <w:ind w:left="106"/>
              <w:rPr>
                <w:sz w:val="19"/>
                <w:szCs w:val="19"/>
              </w:rPr>
            </w:pPr>
            <w:r>
              <w:rPr>
                <w:spacing w:val="3"/>
                <w:sz w:val="19"/>
                <w:szCs w:val="19"/>
              </w:rPr>
              <w:t>90分钟</w:t>
            </w:r>
          </w:p>
        </w:tc>
        <w:tc>
          <w:tcPr>
            <w:tcW w:w="603" w:type="dxa"/>
            <w:vAlign w:val="top"/>
          </w:tcPr>
          <w:p w14:paraId="30E15045">
            <w:pPr>
              <w:pStyle w:val="6"/>
              <w:spacing w:before="41" w:line="211" w:lineRule="auto"/>
              <w:ind w:left="58"/>
              <w:rPr>
                <w:sz w:val="19"/>
                <w:szCs w:val="19"/>
              </w:rPr>
            </w:pPr>
            <w:r>
              <w:rPr>
                <w:spacing w:val="-2"/>
                <w:sz w:val="19"/>
                <w:szCs w:val="19"/>
              </w:rPr>
              <w:t>250分</w:t>
            </w:r>
          </w:p>
        </w:tc>
      </w:tr>
      <w:tr w14:paraId="2CB0A0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trPr>
        <w:tc>
          <w:tcPr>
            <w:tcW w:w="673" w:type="dxa"/>
            <w:vAlign w:val="top"/>
          </w:tcPr>
          <w:p w14:paraId="680DCD41">
            <w:pPr>
              <w:pStyle w:val="6"/>
              <w:spacing w:before="42" w:line="210" w:lineRule="auto"/>
              <w:ind w:left="44"/>
              <w:rPr>
                <w:sz w:val="19"/>
                <w:szCs w:val="19"/>
              </w:rPr>
            </w:pPr>
            <w:r>
              <w:rPr>
                <w:spacing w:val="-3"/>
                <w:sz w:val="19"/>
                <w:szCs w:val="19"/>
              </w:rPr>
              <w:t>项目三</w:t>
            </w:r>
          </w:p>
        </w:tc>
        <w:tc>
          <w:tcPr>
            <w:tcW w:w="2065" w:type="dxa"/>
            <w:vAlign w:val="top"/>
          </w:tcPr>
          <w:p w14:paraId="249EE704">
            <w:pPr>
              <w:pStyle w:val="6"/>
              <w:spacing w:before="41" w:line="211" w:lineRule="auto"/>
              <w:ind w:left="1"/>
              <w:rPr>
                <w:sz w:val="19"/>
                <w:szCs w:val="19"/>
              </w:rPr>
            </w:pPr>
            <w:r>
              <w:rPr>
                <w:sz w:val="19"/>
                <w:szCs w:val="19"/>
              </w:rPr>
              <w:t>CAD</w:t>
            </w:r>
            <w:r>
              <w:rPr>
                <w:spacing w:val="3"/>
                <w:sz w:val="19"/>
                <w:szCs w:val="19"/>
              </w:rPr>
              <w:t>绘制线路站场图</w:t>
            </w:r>
          </w:p>
        </w:tc>
        <w:tc>
          <w:tcPr>
            <w:tcW w:w="798" w:type="dxa"/>
            <w:vAlign w:val="top"/>
          </w:tcPr>
          <w:p w14:paraId="08B91F10">
            <w:pPr>
              <w:pStyle w:val="6"/>
              <w:spacing w:before="42" w:line="210" w:lineRule="auto"/>
              <w:ind w:left="106"/>
              <w:rPr>
                <w:sz w:val="19"/>
                <w:szCs w:val="19"/>
              </w:rPr>
            </w:pPr>
            <w:r>
              <w:rPr>
                <w:spacing w:val="3"/>
                <w:sz w:val="19"/>
                <w:szCs w:val="19"/>
              </w:rPr>
              <w:t>90分钟</w:t>
            </w:r>
          </w:p>
        </w:tc>
        <w:tc>
          <w:tcPr>
            <w:tcW w:w="603" w:type="dxa"/>
            <w:vAlign w:val="top"/>
          </w:tcPr>
          <w:p w14:paraId="2E5B62D1">
            <w:pPr>
              <w:pStyle w:val="6"/>
              <w:spacing w:before="42" w:line="210" w:lineRule="auto"/>
              <w:ind w:left="58"/>
              <w:rPr>
                <w:sz w:val="19"/>
                <w:szCs w:val="19"/>
              </w:rPr>
            </w:pPr>
            <w:r>
              <w:rPr>
                <w:spacing w:val="-2"/>
                <w:sz w:val="19"/>
                <w:szCs w:val="19"/>
              </w:rPr>
              <w:t>250分</w:t>
            </w:r>
          </w:p>
        </w:tc>
      </w:tr>
      <w:tr w14:paraId="488D34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8" w:hRule="atLeast"/>
        </w:trPr>
        <w:tc>
          <w:tcPr>
            <w:tcW w:w="673" w:type="dxa"/>
            <w:vAlign w:val="top"/>
          </w:tcPr>
          <w:p w14:paraId="5C508C55">
            <w:pPr>
              <w:pStyle w:val="6"/>
              <w:spacing w:before="133" w:line="220" w:lineRule="auto"/>
              <w:ind w:left="44"/>
              <w:rPr>
                <w:sz w:val="19"/>
                <w:szCs w:val="19"/>
              </w:rPr>
            </w:pPr>
            <w:r>
              <w:rPr>
                <w:spacing w:val="6"/>
                <w:sz w:val="19"/>
                <w:szCs w:val="19"/>
              </w:rPr>
              <w:t>项目四</w:t>
            </w:r>
          </w:p>
        </w:tc>
        <w:tc>
          <w:tcPr>
            <w:tcW w:w="2065" w:type="dxa"/>
            <w:vAlign w:val="top"/>
          </w:tcPr>
          <w:p w14:paraId="5CDA7531">
            <w:pPr>
              <w:pStyle w:val="6"/>
              <w:spacing w:before="43" w:line="187" w:lineRule="auto"/>
              <w:ind w:left="1" w:right="246" w:firstLine="10"/>
              <w:rPr>
                <w:sz w:val="19"/>
                <w:szCs w:val="19"/>
              </w:rPr>
            </w:pPr>
            <w:r>
              <w:rPr>
                <w:spacing w:val="-1"/>
                <w:sz w:val="19"/>
                <w:szCs w:val="19"/>
              </w:rPr>
              <w:t>零部件测绘与CAD制图</w:t>
            </w:r>
            <w:r>
              <w:rPr>
                <w:spacing w:val="1"/>
                <w:sz w:val="19"/>
                <w:szCs w:val="19"/>
              </w:rPr>
              <w:t xml:space="preserve"> </w:t>
            </w:r>
            <w:r>
              <w:rPr>
                <w:spacing w:val="-2"/>
                <w:sz w:val="19"/>
                <w:szCs w:val="19"/>
              </w:rPr>
              <w:t>技术技能测试</w:t>
            </w:r>
          </w:p>
        </w:tc>
        <w:tc>
          <w:tcPr>
            <w:tcW w:w="798" w:type="dxa"/>
            <w:vAlign w:val="top"/>
          </w:tcPr>
          <w:p w14:paraId="71BF0729">
            <w:pPr>
              <w:pStyle w:val="6"/>
              <w:spacing w:before="133" w:line="220" w:lineRule="auto"/>
              <w:ind w:left="106"/>
              <w:rPr>
                <w:sz w:val="19"/>
                <w:szCs w:val="19"/>
              </w:rPr>
            </w:pPr>
            <w:r>
              <w:rPr>
                <w:spacing w:val="3"/>
                <w:sz w:val="19"/>
                <w:szCs w:val="19"/>
              </w:rPr>
              <w:t>90分钟</w:t>
            </w:r>
          </w:p>
        </w:tc>
        <w:tc>
          <w:tcPr>
            <w:tcW w:w="603" w:type="dxa"/>
            <w:vAlign w:val="top"/>
          </w:tcPr>
          <w:p w14:paraId="2F5297F8">
            <w:pPr>
              <w:pStyle w:val="6"/>
              <w:spacing w:before="133" w:line="220" w:lineRule="auto"/>
              <w:ind w:left="58"/>
              <w:rPr>
                <w:sz w:val="19"/>
                <w:szCs w:val="19"/>
              </w:rPr>
            </w:pPr>
            <w:r>
              <w:rPr>
                <w:spacing w:val="-2"/>
                <w:sz w:val="19"/>
                <w:szCs w:val="19"/>
              </w:rPr>
              <w:t>250分</w:t>
            </w:r>
          </w:p>
        </w:tc>
      </w:tr>
      <w:tr w14:paraId="4E0E92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8" w:hRule="atLeast"/>
        </w:trPr>
        <w:tc>
          <w:tcPr>
            <w:tcW w:w="673" w:type="dxa"/>
            <w:vAlign w:val="top"/>
          </w:tcPr>
          <w:p w14:paraId="39FA16F8">
            <w:pPr>
              <w:pStyle w:val="6"/>
              <w:spacing w:before="135" w:line="220" w:lineRule="auto"/>
              <w:ind w:left="44"/>
              <w:rPr>
                <w:sz w:val="19"/>
                <w:szCs w:val="19"/>
              </w:rPr>
            </w:pPr>
            <w:r>
              <w:rPr>
                <w:spacing w:val="-3"/>
                <w:sz w:val="19"/>
                <w:szCs w:val="19"/>
              </w:rPr>
              <w:t>项目五</w:t>
            </w:r>
          </w:p>
        </w:tc>
        <w:tc>
          <w:tcPr>
            <w:tcW w:w="2065" w:type="dxa"/>
            <w:vAlign w:val="top"/>
          </w:tcPr>
          <w:p w14:paraId="6249806A">
            <w:pPr>
              <w:pStyle w:val="6"/>
              <w:spacing w:before="43" w:line="187" w:lineRule="auto"/>
              <w:ind w:left="1" w:firstLine="29"/>
              <w:rPr>
                <w:sz w:val="19"/>
                <w:szCs w:val="19"/>
              </w:rPr>
            </w:pPr>
            <w:r>
              <w:rPr>
                <w:spacing w:val="-7"/>
                <w:sz w:val="19"/>
                <w:szCs w:val="19"/>
              </w:rPr>
              <w:t>透镜式色灯信号机电气测</w:t>
            </w:r>
            <w:r>
              <w:rPr>
                <w:spacing w:val="9"/>
                <w:sz w:val="19"/>
                <w:szCs w:val="19"/>
              </w:rPr>
              <w:t xml:space="preserve"> </w:t>
            </w:r>
            <w:r>
              <w:rPr>
                <w:spacing w:val="-2"/>
                <w:sz w:val="19"/>
                <w:szCs w:val="19"/>
              </w:rPr>
              <w:t>试与灯光调整</w:t>
            </w:r>
          </w:p>
        </w:tc>
        <w:tc>
          <w:tcPr>
            <w:tcW w:w="798" w:type="dxa"/>
            <w:vAlign w:val="top"/>
          </w:tcPr>
          <w:p w14:paraId="1D1AD908">
            <w:pPr>
              <w:pStyle w:val="6"/>
              <w:spacing w:before="135" w:line="220" w:lineRule="auto"/>
              <w:ind w:left="106"/>
              <w:rPr>
                <w:sz w:val="19"/>
                <w:szCs w:val="19"/>
              </w:rPr>
            </w:pPr>
            <w:r>
              <w:rPr>
                <w:spacing w:val="3"/>
                <w:sz w:val="19"/>
                <w:szCs w:val="19"/>
              </w:rPr>
              <w:t>90分钟</w:t>
            </w:r>
          </w:p>
        </w:tc>
        <w:tc>
          <w:tcPr>
            <w:tcW w:w="603" w:type="dxa"/>
            <w:vAlign w:val="top"/>
          </w:tcPr>
          <w:p w14:paraId="16C04C76">
            <w:pPr>
              <w:pStyle w:val="6"/>
              <w:spacing w:before="135" w:line="220" w:lineRule="auto"/>
              <w:ind w:left="58"/>
              <w:rPr>
                <w:sz w:val="19"/>
                <w:szCs w:val="19"/>
              </w:rPr>
            </w:pPr>
            <w:r>
              <w:rPr>
                <w:spacing w:val="-2"/>
                <w:sz w:val="19"/>
                <w:szCs w:val="19"/>
              </w:rPr>
              <w:t>250分</w:t>
            </w:r>
          </w:p>
        </w:tc>
      </w:tr>
      <w:tr w14:paraId="4D69EC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4" w:hRule="atLeast"/>
        </w:trPr>
        <w:tc>
          <w:tcPr>
            <w:tcW w:w="673" w:type="dxa"/>
            <w:vAlign w:val="top"/>
          </w:tcPr>
          <w:p w14:paraId="3D2AA689">
            <w:pPr>
              <w:pStyle w:val="6"/>
              <w:spacing w:before="47" w:line="210" w:lineRule="auto"/>
              <w:ind w:left="44"/>
              <w:rPr>
                <w:sz w:val="19"/>
                <w:szCs w:val="19"/>
              </w:rPr>
            </w:pPr>
            <w:r>
              <w:rPr>
                <w:spacing w:val="-3"/>
                <w:sz w:val="19"/>
                <w:szCs w:val="19"/>
              </w:rPr>
              <w:t>项目六</w:t>
            </w:r>
          </w:p>
        </w:tc>
        <w:tc>
          <w:tcPr>
            <w:tcW w:w="2065" w:type="dxa"/>
            <w:vAlign w:val="top"/>
          </w:tcPr>
          <w:p w14:paraId="1814ABED">
            <w:pPr>
              <w:pStyle w:val="6"/>
              <w:spacing w:before="46" w:line="211" w:lineRule="auto"/>
              <w:ind w:left="1"/>
              <w:rPr>
                <w:sz w:val="19"/>
                <w:szCs w:val="19"/>
              </w:rPr>
            </w:pPr>
            <w:r>
              <w:rPr>
                <w:spacing w:val="-2"/>
                <w:sz w:val="19"/>
                <w:szCs w:val="19"/>
              </w:rPr>
              <w:t>轨道电路测试</w:t>
            </w:r>
          </w:p>
        </w:tc>
        <w:tc>
          <w:tcPr>
            <w:tcW w:w="798" w:type="dxa"/>
            <w:vAlign w:val="top"/>
          </w:tcPr>
          <w:p w14:paraId="22907874">
            <w:pPr>
              <w:pStyle w:val="6"/>
              <w:spacing w:before="47" w:line="210" w:lineRule="auto"/>
              <w:ind w:left="106"/>
              <w:rPr>
                <w:sz w:val="19"/>
                <w:szCs w:val="19"/>
              </w:rPr>
            </w:pPr>
            <w:r>
              <w:rPr>
                <w:spacing w:val="3"/>
                <w:sz w:val="19"/>
                <w:szCs w:val="19"/>
              </w:rPr>
              <w:t>90分钟</w:t>
            </w:r>
          </w:p>
        </w:tc>
        <w:tc>
          <w:tcPr>
            <w:tcW w:w="603" w:type="dxa"/>
            <w:vAlign w:val="top"/>
          </w:tcPr>
          <w:p w14:paraId="4F9B32DD">
            <w:pPr>
              <w:pStyle w:val="6"/>
              <w:spacing w:before="47" w:line="210" w:lineRule="auto"/>
              <w:ind w:left="58"/>
              <w:rPr>
                <w:sz w:val="19"/>
                <w:szCs w:val="19"/>
              </w:rPr>
            </w:pPr>
            <w:r>
              <w:rPr>
                <w:spacing w:val="-2"/>
                <w:sz w:val="19"/>
                <w:szCs w:val="19"/>
              </w:rPr>
              <w:t>250分</w:t>
            </w:r>
          </w:p>
        </w:tc>
      </w:tr>
    </w:tbl>
    <w:p w14:paraId="6847EAA9">
      <w:pPr>
        <w:spacing w:before="180" w:line="220" w:lineRule="auto"/>
        <w:ind w:left="68"/>
        <w:rPr>
          <w:rFonts w:ascii="宋体" w:hAnsi="宋体" w:eastAsia="宋体" w:cs="宋体"/>
          <w:sz w:val="17"/>
          <w:szCs w:val="17"/>
        </w:rPr>
      </w:pPr>
      <w:r>
        <w:rPr>
          <w:rFonts w:ascii="宋体" w:hAnsi="宋体" w:eastAsia="宋体" w:cs="宋体"/>
          <w:b/>
          <w:bCs/>
          <w:spacing w:val="-12"/>
          <w:sz w:val="17"/>
          <w:szCs w:val="17"/>
        </w:rPr>
        <w:t>二</w:t>
      </w:r>
      <w:r>
        <w:rPr>
          <w:rFonts w:ascii="宋体" w:hAnsi="宋体" w:eastAsia="宋体" w:cs="宋体"/>
          <w:spacing w:val="42"/>
          <w:sz w:val="17"/>
          <w:szCs w:val="17"/>
        </w:rPr>
        <w:t xml:space="preserve"> </w:t>
      </w:r>
      <w:r>
        <w:rPr>
          <w:rFonts w:ascii="宋体" w:hAnsi="宋体" w:eastAsia="宋体" w:cs="宋体"/>
          <w:b/>
          <w:bCs/>
          <w:spacing w:val="-12"/>
          <w:sz w:val="17"/>
          <w:szCs w:val="17"/>
        </w:rPr>
        <w:t>、测</w:t>
      </w:r>
      <w:r>
        <w:rPr>
          <w:rFonts w:ascii="宋体" w:hAnsi="宋体" w:eastAsia="宋体" w:cs="宋体"/>
          <w:spacing w:val="6"/>
          <w:sz w:val="17"/>
          <w:szCs w:val="17"/>
        </w:rPr>
        <w:t xml:space="preserve"> </w:t>
      </w:r>
      <w:r>
        <w:rPr>
          <w:rFonts w:ascii="宋体" w:hAnsi="宋体" w:eastAsia="宋体" w:cs="宋体"/>
          <w:b/>
          <w:bCs/>
          <w:spacing w:val="-12"/>
          <w:sz w:val="17"/>
          <w:szCs w:val="17"/>
        </w:rPr>
        <w:t>试</w:t>
      </w:r>
      <w:r>
        <w:rPr>
          <w:rFonts w:ascii="宋体" w:hAnsi="宋体" w:eastAsia="宋体" w:cs="宋体"/>
          <w:spacing w:val="9"/>
          <w:sz w:val="17"/>
          <w:szCs w:val="17"/>
        </w:rPr>
        <w:t xml:space="preserve"> </w:t>
      </w:r>
      <w:r>
        <w:rPr>
          <w:rFonts w:ascii="宋体" w:hAnsi="宋体" w:eastAsia="宋体" w:cs="宋体"/>
          <w:b/>
          <w:bCs/>
          <w:spacing w:val="-12"/>
          <w:sz w:val="17"/>
          <w:szCs w:val="17"/>
        </w:rPr>
        <w:t>项</w:t>
      </w:r>
      <w:r>
        <w:rPr>
          <w:rFonts w:ascii="宋体" w:hAnsi="宋体" w:eastAsia="宋体" w:cs="宋体"/>
          <w:spacing w:val="40"/>
          <w:sz w:val="17"/>
          <w:szCs w:val="17"/>
        </w:rPr>
        <w:t xml:space="preserve"> </w:t>
      </w:r>
      <w:r>
        <w:rPr>
          <w:rFonts w:ascii="宋体" w:hAnsi="宋体" w:eastAsia="宋体" w:cs="宋体"/>
          <w:b/>
          <w:bCs/>
          <w:spacing w:val="-12"/>
          <w:sz w:val="17"/>
          <w:szCs w:val="17"/>
        </w:rPr>
        <w:t>目</w:t>
      </w:r>
    </w:p>
    <w:p w14:paraId="398DB26D">
      <w:pPr>
        <w:pStyle w:val="2"/>
        <w:spacing w:line="250" w:lineRule="auto"/>
      </w:pPr>
    </w:p>
    <w:p w14:paraId="087505B5">
      <w:pPr>
        <w:spacing w:before="55" w:line="219" w:lineRule="auto"/>
        <w:ind w:left="958"/>
        <w:rPr>
          <w:rFonts w:ascii="宋体" w:hAnsi="宋体" w:eastAsia="宋体" w:cs="宋体"/>
          <w:sz w:val="17"/>
          <w:szCs w:val="17"/>
        </w:rPr>
      </w:pPr>
      <w:r>
        <w:rPr>
          <w:rFonts w:ascii="宋体" w:hAnsi="宋体" w:eastAsia="宋体" w:cs="宋体"/>
          <w:b/>
          <w:bCs/>
          <w:spacing w:val="-13"/>
          <w:sz w:val="17"/>
          <w:szCs w:val="17"/>
        </w:rPr>
        <w:t>项</w:t>
      </w:r>
      <w:r>
        <w:rPr>
          <w:rFonts w:ascii="宋体" w:hAnsi="宋体" w:eastAsia="宋体" w:cs="宋体"/>
          <w:spacing w:val="-13"/>
          <w:sz w:val="17"/>
          <w:szCs w:val="17"/>
        </w:rPr>
        <w:t xml:space="preserve"> </w:t>
      </w:r>
      <w:r>
        <w:rPr>
          <w:rFonts w:ascii="宋体" w:hAnsi="宋体" w:eastAsia="宋体" w:cs="宋体"/>
          <w:b/>
          <w:bCs/>
          <w:spacing w:val="-13"/>
          <w:sz w:val="17"/>
          <w:szCs w:val="17"/>
        </w:rPr>
        <w:t>目</w:t>
      </w:r>
      <w:r>
        <w:rPr>
          <w:rFonts w:ascii="宋体" w:hAnsi="宋体" w:eastAsia="宋体" w:cs="宋体"/>
          <w:spacing w:val="-31"/>
          <w:sz w:val="17"/>
          <w:szCs w:val="17"/>
        </w:rPr>
        <w:t xml:space="preserve"> </w:t>
      </w:r>
      <w:r>
        <w:rPr>
          <w:rFonts w:ascii="宋体" w:hAnsi="宋体" w:eastAsia="宋体" w:cs="宋体"/>
          <w:b/>
          <w:bCs/>
          <w:spacing w:val="-13"/>
          <w:sz w:val="17"/>
          <w:szCs w:val="17"/>
        </w:rPr>
        <w:t>一</w:t>
      </w:r>
      <w:r>
        <w:rPr>
          <w:rFonts w:ascii="宋体" w:hAnsi="宋体" w:eastAsia="宋体" w:cs="宋体"/>
          <w:spacing w:val="-13"/>
          <w:sz w:val="17"/>
          <w:szCs w:val="17"/>
        </w:rPr>
        <w:t xml:space="preserve">  </w:t>
      </w:r>
      <w:r>
        <w:rPr>
          <w:rFonts w:ascii="宋体" w:hAnsi="宋体" w:eastAsia="宋体" w:cs="宋体"/>
          <w:b/>
          <w:bCs/>
          <w:spacing w:val="-13"/>
          <w:sz w:val="17"/>
          <w:szCs w:val="17"/>
        </w:rPr>
        <w:t>双</w:t>
      </w:r>
      <w:r>
        <w:rPr>
          <w:rFonts w:ascii="宋体" w:hAnsi="宋体" w:eastAsia="宋体" w:cs="宋体"/>
          <w:spacing w:val="-38"/>
          <w:sz w:val="17"/>
          <w:szCs w:val="17"/>
        </w:rPr>
        <w:t xml:space="preserve"> </w:t>
      </w:r>
      <w:r>
        <w:rPr>
          <w:rFonts w:ascii="宋体" w:hAnsi="宋体" w:eastAsia="宋体" w:cs="宋体"/>
          <w:b/>
          <w:bCs/>
          <w:spacing w:val="-13"/>
          <w:sz w:val="17"/>
          <w:szCs w:val="17"/>
        </w:rPr>
        <w:t>控</w:t>
      </w:r>
      <w:r>
        <w:rPr>
          <w:rFonts w:ascii="宋体" w:hAnsi="宋体" w:eastAsia="宋体" w:cs="宋体"/>
          <w:spacing w:val="-32"/>
          <w:sz w:val="17"/>
          <w:szCs w:val="17"/>
        </w:rPr>
        <w:t xml:space="preserve"> </w:t>
      </w:r>
      <w:r>
        <w:rPr>
          <w:rFonts w:ascii="宋体" w:hAnsi="宋体" w:eastAsia="宋体" w:cs="宋体"/>
          <w:b/>
          <w:bCs/>
          <w:spacing w:val="-13"/>
          <w:sz w:val="17"/>
          <w:szCs w:val="17"/>
        </w:rPr>
        <w:t>照</w:t>
      </w:r>
      <w:r>
        <w:rPr>
          <w:rFonts w:ascii="宋体" w:hAnsi="宋体" w:eastAsia="宋体" w:cs="宋体"/>
          <w:spacing w:val="-22"/>
          <w:sz w:val="17"/>
          <w:szCs w:val="17"/>
        </w:rPr>
        <w:t xml:space="preserve"> </w:t>
      </w:r>
      <w:r>
        <w:rPr>
          <w:rFonts w:ascii="宋体" w:hAnsi="宋体" w:eastAsia="宋体" w:cs="宋体"/>
          <w:b/>
          <w:bCs/>
          <w:spacing w:val="-13"/>
          <w:sz w:val="17"/>
          <w:szCs w:val="17"/>
        </w:rPr>
        <w:t>明</w:t>
      </w:r>
      <w:r>
        <w:rPr>
          <w:rFonts w:ascii="宋体" w:hAnsi="宋体" w:eastAsia="宋体" w:cs="宋体"/>
          <w:spacing w:val="-13"/>
          <w:sz w:val="17"/>
          <w:szCs w:val="17"/>
        </w:rPr>
        <w:t xml:space="preserve"> </w:t>
      </w:r>
      <w:r>
        <w:rPr>
          <w:rFonts w:ascii="宋体" w:hAnsi="宋体" w:eastAsia="宋体" w:cs="宋体"/>
          <w:b/>
          <w:bCs/>
          <w:spacing w:val="-13"/>
          <w:sz w:val="17"/>
          <w:szCs w:val="17"/>
        </w:rPr>
        <w:t>电</w:t>
      </w:r>
      <w:r>
        <w:rPr>
          <w:rFonts w:ascii="宋体" w:hAnsi="宋体" w:eastAsia="宋体" w:cs="宋体"/>
          <w:spacing w:val="-36"/>
          <w:sz w:val="17"/>
          <w:szCs w:val="17"/>
        </w:rPr>
        <w:t xml:space="preserve"> </w:t>
      </w:r>
      <w:r>
        <w:rPr>
          <w:rFonts w:ascii="宋体" w:hAnsi="宋体" w:eastAsia="宋体" w:cs="宋体"/>
          <w:b/>
          <w:bCs/>
          <w:spacing w:val="-13"/>
          <w:sz w:val="17"/>
          <w:szCs w:val="17"/>
        </w:rPr>
        <w:t>路</w:t>
      </w:r>
      <w:r>
        <w:rPr>
          <w:rFonts w:ascii="宋体" w:hAnsi="宋体" w:eastAsia="宋体" w:cs="宋体"/>
          <w:spacing w:val="-35"/>
          <w:sz w:val="17"/>
          <w:szCs w:val="17"/>
        </w:rPr>
        <w:t xml:space="preserve"> </w:t>
      </w:r>
      <w:r>
        <w:rPr>
          <w:rFonts w:ascii="宋体" w:hAnsi="宋体" w:eastAsia="宋体" w:cs="宋体"/>
          <w:b/>
          <w:bCs/>
          <w:spacing w:val="-13"/>
          <w:sz w:val="17"/>
          <w:szCs w:val="17"/>
        </w:rPr>
        <w:t>安</w:t>
      </w:r>
      <w:r>
        <w:rPr>
          <w:rFonts w:ascii="宋体" w:hAnsi="宋体" w:eastAsia="宋体" w:cs="宋体"/>
          <w:spacing w:val="-37"/>
          <w:sz w:val="17"/>
          <w:szCs w:val="17"/>
        </w:rPr>
        <w:t xml:space="preserve"> </w:t>
      </w:r>
      <w:r>
        <w:rPr>
          <w:rFonts w:ascii="宋体" w:hAnsi="宋体" w:eastAsia="宋体" w:cs="宋体"/>
          <w:b/>
          <w:bCs/>
          <w:spacing w:val="-13"/>
          <w:sz w:val="17"/>
          <w:szCs w:val="17"/>
        </w:rPr>
        <w:t>装</w:t>
      </w:r>
    </w:p>
    <w:p w14:paraId="63DE9232">
      <w:pPr>
        <w:spacing w:before="70" w:line="221" w:lineRule="auto"/>
        <w:ind w:left="233"/>
        <w:rPr>
          <w:rFonts w:ascii="宋体" w:hAnsi="宋体" w:eastAsia="宋体" w:cs="宋体"/>
          <w:sz w:val="17"/>
          <w:szCs w:val="17"/>
        </w:rPr>
      </w:pPr>
      <w:r>
        <w:rPr>
          <w:rFonts w:ascii="宋体" w:hAnsi="宋体" w:eastAsia="宋体" w:cs="宋体"/>
          <w:b/>
          <w:bCs/>
          <w:spacing w:val="4"/>
          <w:sz w:val="17"/>
          <w:szCs w:val="17"/>
        </w:rPr>
        <w:t>【测试用具】</w:t>
      </w:r>
    </w:p>
    <w:p w14:paraId="2D39EAE4">
      <w:pPr>
        <w:spacing w:before="64" w:line="284" w:lineRule="auto"/>
        <w:ind w:left="68" w:right="134" w:firstLine="349"/>
        <w:rPr>
          <w:rFonts w:ascii="宋体" w:hAnsi="宋体" w:eastAsia="宋体" w:cs="宋体"/>
          <w:sz w:val="17"/>
          <w:szCs w:val="17"/>
        </w:rPr>
      </w:pPr>
      <w:r>
        <w:rPr>
          <w:rFonts w:ascii="宋体" w:hAnsi="宋体" w:eastAsia="宋体" w:cs="宋体"/>
          <w:b/>
          <w:bCs/>
          <w:sz w:val="17"/>
          <w:szCs w:val="17"/>
        </w:rPr>
        <w:t>1.工具：测电笔、螺钉旋具、尖嘴钳、斜口钳、剥</w:t>
      </w:r>
      <w:r>
        <w:rPr>
          <w:rFonts w:ascii="宋体" w:hAnsi="宋体" w:eastAsia="宋体" w:cs="宋体"/>
          <w:spacing w:val="5"/>
          <w:sz w:val="17"/>
          <w:szCs w:val="17"/>
        </w:rPr>
        <w:t xml:space="preserve"> </w:t>
      </w:r>
      <w:r>
        <w:rPr>
          <w:rFonts w:ascii="宋体" w:hAnsi="宋体" w:eastAsia="宋体" w:cs="宋体"/>
          <w:b/>
          <w:bCs/>
          <w:spacing w:val="-4"/>
          <w:sz w:val="17"/>
          <w:szCs w:val="17"/>
        </w:rPr>
        <w:t>线钳、万用表等；</w:t>
      </w:r>
    </w:p>
    <w:p w14:paraId="4E118AD3">
      <w:pPr>
        <w:spacing w:line="284" w:lineRule="auto"/>
        <w:rPr>
          <w:rFonts w:ascii="宋体" w:hAnsi="宋体" w:eastAsia="宋体" w:cs="宋体"/>
          <w:sz w:val="17"/>
          <w:szCs w:val="17"/>
        </w:rPr>
        <w:sectPr>
          <w:type w:val="continuous"/>
          <w:pgSz w:w="10660" w:h="15080"/>
          <w:pgMar w:top="400" w:right="954" w:bottom="898" w:left="809" w:header="0" w:footer="745" w:gutter="0"/>
          <w:cols w:equalWidth="0" w:num="2">
            <w:col w:w="4454" w:space="100"/>
            <w:col w:w="4342"/>
          </w:cols>
        </w:sectPr>
      </w:pPr>
    </w:p>
    <w:p w14:paraId="7709EC15">
      <w:pPr>
        <w:spacing w:before="3"/>
      </w:pPr>
    </w:p>
    <w:p w14:paraId="513DA709">
      <w:pPr>
        <w:spacing w:before="3"/>
      </w:pPr>
    </w:p>
    <w:p w14:paraId="5CD37DB3">
      <w:pPr>
        <w:spacing w:before="3"/>
      </w:pPr>
    </w:p>
    <w:p w14:paraId="2FB5160F">
      <w:pPr>
        <w:spacing w:before="3"/>
      </w:pPr>
    </w:p>
    <w:p w14:paraId="4EF5BC57">
      <w:pPr>
        <w:sectPr>
          <w:footerReference r:id="rId157" w:type="default"/>
          <w:pgSz w:w="10660" w:h="15080"/>
          <w:pgMar w:top="400" w:right="849" w:bottom="891" w:left="990" w:header="0" w:footer="747" w:gutter="0"/>
          <w:cols w:equalWidth="0" w:num="1">
            <w:col w:w="8821"/>
          </w:cols>
        </w:sectPr>
      </w:pPr>
    </w:p>
    <w:p w14:paraId="03AFDCA2">
      <w:pPr>
        <w:spacing w:before="37" w:line="282" w:lineRule="auto"/>
        <w:ind w:left="9" w:right="263" w:firstLine="359"/>
        <w:rPr>
          <w:rFonts w:ascii="宋体" w:hAnsi="宋体" w:eastAsia="宋体" w:cs="宋体"/>
          <w:sz w:val="16"/>
          <w:szCs w:val="16"/>
        </w:rPr>
      </w:pPr>
      <w:r>
        <w:rPr>
          <w:rFonts w:ascii="宋体" w:hAnsi="宋体" w:eastAsia="宋体" w:cs="宋体"/>
          <w:spacing w:val="12"/>
          <w:sz w:val="16"/>
          <w:szCs w:val="16"/>
        </w:rPr>
        <w:t>2.器材：电气技术技能及工艺实训装置一台、网孔</w:t>
      </w:r>
      <w:r>
        <w:rPr>
          <w:rFonts w:ascii="宋体" w:hAnsi="宋体" w:eastAsia="宋体" w:cs="宋体"/>
          <w:sz w:val="16"/>
          <w:szCs w:val="16"/>
        </w:rPr>
        <w:t xml:space="preserve"> </w:t>
      </w:r>
      <w:r>
        <w:rPr>
          <w:rFonts w:ascii="宋体" w:hAnsi="宋体" w:eastAsia="宋体" w:cs="宋体"/>
          <w:spacing w:val="8"/>
          <w:sz w:val="16"/>
          <w:szCs w:val="16"/>
        </w:rPr>
        <w:t>板、双控开关一组、灯座、灯泡、接线端子、导轨；</w:t>
      </w:r>
    </w:p>
    <w:p w14:paraId="6D378BEA">
      <w:pPr>
        <w:spacing w:before="70" w:line="304" w:lineRule="auto"/>
        <w:ind w:left="9" w:right="281" w:firstLine="359"/>
        <w:rPr>
          <w:rFonts w:ascii="宋体" w:hAnsi="宋体" w:eastAsia="宋体" w:cs="宋体"/>
          <w:sz w:val="16"/>
          <w:szCs w:val="16"/>
        </w:rPr>
      </w:pPr>
      <w:r>
        <w:rPr>
          <w:rFonts w:ascii="Times New Roman" w:hAnsi="Times New Roman" w:eastAsia="Times New Roman" w:cs="Times New Roman"/>
          <w:spacing w:val="9"/>
          <w:sz w:val="16"/>
          <w:szCs w:val="16"/>
        </w:rPr>
        <w:t>3.</w:t>
      </w:r>
      <w:r>
        <w:rPr>
          <w:rFonts w:ascii="Times New Roman" w:hAnsi="Times New Roman" w:eastAsia="Times New Roman" w:cs="Times New Roman"/>
          <w:spacing w:val="30"/>
          <w:sz w:val="16"/>
          <w:szCs w:val="16"/>
        </w:rPr>
        <w:t xml:space="preserve"> </w:t>
      </w:r>
      <w:r>
        <w:rPr>
          <w:rFonts w:ascii="宋体" w:hAnsi="宋体" w:eastAsia="宋体" w:cs="宋体"/>
          <w:spacing w:val="9"/>
          <w:sz w:val="16"/>
          <w:szCs w:val="16"/>
        </w:rPr>
        <w:t>导线：采用2.5</w:t>
      </w:r>
      <w:r>
        <w:rPr>
          <w:rFonts w:ascii="Times New Roman" w:hAnsi="Times New Roman" w:eastAsia="Times New Roman" w:cs="Times New Roman"/>
          <w:sz w:val="16"/>
          <w:szCs w:val="16"/>
        </w:rPr>
        <w:t>mm</w:t>
      </w:r>
      <w:r>
        <w:rPr>
          <w:rFonts w:ascii="Times New Roman" w:hAnsi="Times New Roman" w:eastAsia="Times New Roman" w:cs="Times New Roman"/>
          <w:spacing w:val="9"/>
          <w:sz w:val="16"/>
          <w:szCs w:val="16"/>
        </w:rPr>
        <w:t>²</w:t>
      </w:r>
      <w:r>
        <w:rPr>
          <w:rFonts w:ascii="Times New Roman" w:hAnsi="Times New Roman" w:eastAsia="Times New Roman" w:cs="Times New Roman"/>
          <w:spacing w:val="25"/>
          <w:sz w:val="16"/>
          <w:szCs w:val="16"/>
        </w:rPr>
        <w:t xml:space="preserve"> </w:t>
      </w:r>
      <w:r>
        <w:rPr>
          <w:rFonts w:ascii="宋体" w:hAnsi="宋体" w:eastAsia="宋体" w:cs="宋体"/>
          <w:spacing w:val="9"/>
          <w:sz w:val="16"/>
          <w:szCs w:val="16"/>
        </w:rPr>
        <w:t>单股铝芯线或1</w:t>
      </w:r>
      <w:r>
        <w:rPr>
          <w:rFonts w:ascii="宋体" w:hAnsi="宋体" w:eastAsia="宋体" w:cs="宋体"/>
          <w:spacing w:val="-48"/>
          <w:sz w:val="16"/>
          <w:szCs w:val="16"/>
        </w:rPr>
        <w:t xml:space="preserve"> </w:t>
      </w:r>
      <w:r>
        <w:rPr>
          <w:rFonts w:ascii="宋体" w:hAnsi="宋体" w:eastAsia="宋体" w:cs="宋体"/>
          <w:spacing w:val="9"/>
          <w:sz w:val="16"/>
          <w:szCs w:val="16"/>
        </w:rPr>
        <w:t>.5</w:t>
      </w:r>
      <w:r>
        <w:rPr>
          <w:rFonts w:ascii="Times New Roman" w:hAnsi="Times New Roman" w:eastAsia="Times New Roman" w:cs="Times New Roman"/>
          <w:sz w:val="16"/>
          <w:szCs w:val="16"/>
        </w:rPr>
        <w:t>mm</w:t>
      </w:r>
      <w:r>
        <w:rPr>
          <w:rFonts w:ascii="Times New Roman" w:hAnsi="Times New Roman" w:eastAsia="Times New Roman" w:cs="Times New Roman"/>
          <w:spacing w:val="9"/>
          <w:sz w:val="16"/>
          <w:szCs w:val="16"/>
        </w:rPr>
        <w:t>²</w:t>
      </w:r>
      <w:r>
        <w:rPr>
          <w:rFonts w:ascii="Times New Roman" w:hAnsi="Times New Roman" w:eastAsia="Times New Roman" w:cs="Times New Roman"/>
          <w:spacing w:val="25"/>
          <w:w w:val="101"/>
          <w:sz w:val="16"/>
          <w:szCs w:val="16"/>
        </w:rPr>
        <w:t xml:space="preserve"> </w:t>
      </w:r>
      <w:r>
        <w:rPr>
          <w:rFonts w:ascii="宋体" w:hAnsi="宋体" w:eastAsia="宋体" w:cs="宋体"/>
          <w:spacing w:val="9"/>
          <w:sz w:val="16"/>
          <w:szCs w:val="16"/>
        </w:rPr>
        <w:t>铜</w:t>
      </w:r>
      <w:r>
        <w:rPr>
          <w:rFonts w:ascii="宋体" w:hAnsi="宋体" w:eastAsia="宋体" w:cs="宋体"/>
          <w:spacing w:val="-16"/>
          <w:sz w:val="16"/>
          <w:szCs w:val="16"/>
        </w:rPr>
        <w:t xml:space="preserve"> </w:t>
      </w:r>
      <w:r>
        <w:rPr>
          <w:rFonts w:ascii="宋体" w:hAnsi="宋体" w:eastAsia="宋体" w:cs="宋体"/>
          <w:spacing w:val="9"/>
          <w:sz w:val="16"/>
          <w:szCs w:val="16"/>
        </w:rPr>
        <w:t>芯</w:t>
      </w:r>
      <w:r>
        <w:rPr>
          <w:rFonts w:ascii="宋体" w:hAnsi="宋体" w:eastAsia="宋体" w:cs="宋体"/>
          <w:sz w:val="16"/>
          <w:szCs w:val="16"/>
        </w:rPr>
        <w:t xml:space="preserve"> </w:t>
      </w:r>
      <w:r>
        <w:rPr>
          <w:rFonts w:ascii="宋体" w:hAnsi="宋体" w:eastAsia="宋体" w:cs="宋体"/>
          <w:spacing w:val="11"/>
          <w:sz w:val="16"/>
          <w:szCs w:val="16"/>
        </w:rPr>
        <w:t>线；按钮线采用1</w:t>
      </w:r>
      <w:r>
        <w:rPr>
          <w:rFonts w:ascii="Times New Roman" w:hAnsi="Times New Roman" w:eastAsia="Times New Roman" w:cs="Times New Roman"/>
          <w:sz w:val="16"/>
          <w:szCs w:val="16"/>
        </w:rPr>
        <w:t>mm</w:t>
      </w:r>
      <w:r>
        <w:rPr>
          <w:rFonts w:ascii="Times New Roman" w:hAnsi="Times New Roman" w:eastAsia="Times New Roman" w:cs="Times New Roman"/>
          <w:spacing w:val="11"/>
          <w:sz w:val="16"/>
          <w:szCs w:val="16"/>
        </w:rPr>
        <w:t xml:space="preserve">² </w:t>
      </w:r>
      <w:r>
        <w:rPr>
          <w:rFonts w:ascii="宋体" w:hAnsi="宋体" w:eastAsia="宋体" w:cs="宋体"/>
          <w:spacing w:val="11"/>
          <w:sz w:val="16"/>
          <w:szCs w:val="16"/>
        </w:rPr>
        <w:t>多股铜芯软线，简单线路可不用</w:t>
      </w:r>
      <w:r>
        <w:rPr>
          <w:rFonts w:ascii="宋体" w:hAnsi="宋体" w:eastAsia="宋体" w:cs="宋体"/>
          <w:spacing w:val="8"/>
          <w:sz w:val="16"/>
          <w:szCs w:val="16"/>
        </w:rPr>
        <w:t xml:space="preserve">  </w:t>
      </w:r>
      <w:r>
        <w:rPr>
          <w:rFonts w:ascii="宋体" w:hAnsi="宋体" w:eastAsia="宋体" w:cs="宋体"/>
          <w:spacing w:val="6"/>
          <w:sz w:val="16"/>
          <w:szCs w:val="16"/>
        </w:rPr>
        <w:t>编码套管。</w:t>
      </w:r>
    </w:p>
    <w:p w14:paraId="4F686974">
      <w:pPr>
        <w:spacing w:before="100" w:line="219" w:lineRule="auto"/>
        <w:rPr>
          <w:rFonts w:ascii="宋体" w:hAnsi="宋体" w:eastAsia="宋体" w:cs="宋体"/>
          <w:sz w:val="16"/>
          <w:szCs w:val="16"/>
        </w:rPr>
      </w:pPr>
      <w:r>
        <w:rPr>
          <w:rFonts w:ascii="宋体" w:hAnsi="宋体" w:eastAsia="宋体" w:cs="宋体"/>
          <w:spacing w:val="16"/>
          <w:sz w:val="16"/>
          <w:szCs w:val="16"/>
        </w:rPr>
        <w:t>【测试内容】</w:t>
      </w:r>
    </w:p>
    <w:p w14:paraId="755E75F9">
      <w:pPr>
        <w:spacing w:before="100" w:line="333" w:lineRule="auto"/>
        <w:ind w:left="369" w:right="1540"/>
        <w:rPr>
          <w:rFonts w:ascii="宋体" w:hAnsi="宋体" w:eastAsia="宋体" w:cs="宋体"/>
          <w:sz w:val="16"/>
          <w:szCs w:val="16"/>
        </w:rPr>
      </w:pPr>
      <w:r>
        <w:rPr>
          <w:rFonts w:ascii="宋体" w:hAnsi="宋体" w:eastAsia="宋体" w:cs="宋体"/>
          <w:spacing w:val="7"/>
          <w:sz w:val="16"/>
          <w:szCs w:val="16"/>
        </w:rPr>
        <w:t>1.识读单相双控照明电路原理图；</w:t>
      </w:r>
      <w:r>
        <w:rPr>
          <w:rFonts w:ascii="宋体" w:hAnsi="宋体" w:eastAsia="宋体" w:cs="宋体"/>
          <w:spacing w:val="6"/>
          <w:sz w:val="16"/>
          <w:szCs w:val="16"/>
        </w:rPr>
        <w:t xml:space="preserve"> </w:t>
      </w:r>
      <w:r>
        <w:rPr>
          <w:rFonts w:ascii="宋体" w:hAnsi="宋体" w:eastAsia="宋体" w:cs="宋体"/>
          <w:spacing w:val="7"/>
          <w:sz w:val="16"/>
          <w:szCs w:val="16"/>
        </w:rPr>
        <w:t>2.并按图完成安装；</w:t>
      </w:r>
    </w:p>
    <w:p w14:paraId="1D097B16">
      <w:pPr>
        <w:spacing w:before="12" w:line="324" w:lineRule="auto"/>
        <w:ind w:right="2549" w:firstLine="369"/>
        <w:rPr>
          <w:rFonts w:ascii="宋体" w:hAnsi="宋体" w:eastAsia="宋体" w:cs="宋体"/>
          <w:sz w:val="16"/>
          <w:szCs w:val="16"/>
        </w:rPr>
      </w:pPr>
      <w:r>
        <w:rPr>
          <w:rFonts w:ascii="宋体" w:hAnsi="宋体" w:eastAsia="宋体" w:cs="宋体"/>
          <w:spacing w:val="7"/>
          <w:sz w:val="16"/>
          <w:szCs w:val="16"/>
        </w:rPr>
        <w:t>3.能合理布置器件。</w:t>
      </w:r>
      <w:r>
        <w:rPr>
          <w:rFonts w:ascii="宋体" w:hAnsi="宋体" w:eastAsia="宋体" w:cs="宋体"/>
          <w:sz w:val="16"/>
          <w:szCs w:val="16"/>
        </w:rPr>
        <w:t xml:space="preserve"> </w:t>
      </w:r>
      <w:r>
        <w:rPr>
          <w:rFonts w:ascii="宋体" w:hAnsi="宋体" w:eastAsia="宋体" w:cs="宋体"/>
          <w:spacing w:val="16"/>
          <w:sz w:val="16"/>
          <w:szCs w:val="16"/>
        </w:rPr>
        <w:t>【测试方法】</w:t>
      </w:r>
    </w:p>
    <w:p w14:paraId="430F18D3">
      <w:pPr>
        <w:spacing w:before="10" w:line="325" w:lineRule="auto"/>
        <w:ind w:left="9" w:right="209" w:firstLine="359"/>
        <w:jc w:val="both"/>
        <w:rPr>
          <w:rFonts w:ascii="宋体" w:hAnsi="宋体" w:eastAsia="宋体" w:cs="宋体"/>
          <w:sz w:val="16"/>
          <w:szCs w:val="16"/>
        </w:rPr>
      </w:pPr>
      <w:r>
        <w:rPr>
          <w:rFonts w:ascii="宋体" w:hAnsi="宋体" w:eastAsia="宋体" w:cs="宋体"/>
          <w:spacing w:val="10"/>
          <w:sz w:val="16"/>
          <w:szCs w:val="16"/>
        </w:rPr>
        <w:t>1.电器元件的技术数据(如型号、规格、额定电压、</w:t>
      </w:r>
      <w:r>
        <w:rPr>
          <w:rFonts w:ascii="宋体" w:hAnsi="宋体" w:eastAsia="宋体" w:cs="宋体"/>
          <w:spacing w:val="9"/>
          <w:sz w:val="16"/>
          <w:szCs w:val="16"/>
        </w:rPr>
        <w:t xml:space="preserve"> </w:t>
      </w:r>
      <w:r>
        <w:rPr>
          <w:rFonts w:ascii="宋体" w:hAnsi="宋体" w:eastAsia="宋体" w:cs="宋体"/>
          <w:spacing w:val="5"/>
          <w:sz w:val="16"/>
          <w:szCs w:val="16"/>
        </w:rPr>
        <w:t>额定电流等)应完整并符合要求，外观元件无损伤，备件、</w:t>
      </w:r>
      <w:r>
        <w:rPr>
          <w:rFonts w:ascii="宋体" w:hAnsi="宋体" w:eastAsia="宋体" w:cs="宋体"/>
          <w:sz w:val="16"/>
          <w:szCs w:val="16"/>
        </w:rPr>
        <w:t xml:space="preserve"> </w:t>
      </w:r>
      <w:r>
        <w:rPr>
          <w:rFonts w:ascii="宋体" w:hAnsi="宋体" w:eastAsia="宋体" w:cs="宋体"/>
          <w:spacing w:val="5"/>
          <w:sz w:val="16"/>
          <w:szCs w:val="16"/>
        </w:rPr>
        <w:t>附件齐全完好；</w:t>
      </w:r>
    </w:p>
    <w:p w14:paraId="15B9062D">
      <w:pPr>
        <w:spacing w:before="23" w:line="328" w:lineRule="auto"/>
        <w:ind w:left="9" w:right="280" w:firstLine="359"/>
        <w:jc w:val="both"/>
        <w:rPr>
          <w:rFonts w:ascii="宋体" w:hAnsi="宋体" w:eastAsia="宋体" w:cs="宋体"/>
          <w:sz w:val="16"/>
          <w:szCs w:val="16"/>
        </w:rPr>
      </w:pPr>
      <w:r>
        <w:rPr>
          <w:rFonts w:ascii="宋体" w:hAnsi="宋体" w:eastAsia="宋体" w:cs="宋体"/>
          <w:spacing w:val="11"/>
          <w:sz w:val="16"/>
          <w:szCs w:val="16"/>
        </w:rPr>
        <w:t>2.各元件的安装位置应整齐、匀称，间距合理，便</w:t>
      </w:r>
      <w:r>
        <w:rPr>
          <w:rFonts w:ascii="宋体" w:hAnsi="宋体" w:eastAsia="宋体" w:cs="宋体"/>
          <w:spacing w:val="3"/>
          <w:sz w:val="16"/>
          <w:szCs w:val="16"/>
        </w:rPr>
        <w:t xml:space="preserve"> </w:t>
      </w:r>
      <w:r>
        <w:rPr>
          <w:rFonts w:ascii="宋体" w:hAnsi="宋体" w:eastAsia="宋体" w:cs="宋体"/>
          <w:spacing w:val="20"/>
          <w:sz w:val="16"/>
          <w:szCs w:val="16"/>
        </w:rPr>
        <w:t>于元件的更换。紧固各元件时要用力均匀，紧固</w:t>
      </w:r>
      <w:r>
        <w:rPr>
          <w:rFonts w:ascii="宋体" w:hAnsi="宋体" w:eastAsia="宋体" w:cs="宋体"/>
          <w:spacing w:val="19"/>
          <w:sz w:val="16"/>
          <w:szCs w:val="16"/>
        </w:rPr>
        <w:t>程度</w:t>
      </w:r>
      <w:r>
        <w:rPr>
          <w:rFonts w:ascii="宋体" w:hAnsi="宋体" w:eastAsia="宋体" w:cs="宋体"/>
          <w:sz w:val="16"/>
          <w:szCs w:val="16"/>
        </w:rPr>
        <w:t xml:space="preserve"> </w:t>
      </w:r>
      <w:r>
        <w:rPr>
          <w:rFonts w:ascii="宋体" w:hAnsi="宋体" w:eastAsia="宋体" w:cs="宋体"/>
          <w:spacing w:val="3"/>
          <w:sz w:val="16"/>
          <w:szCs w:val="16"/>
        </w:rPr>
        <w:t>适当；</w:t>
      </w:r>
    </w:p>
    <w:p w14:paraId="296EB6EC">
      <w:pPr>
        <w:spacing w:before="17" w:line="333" w:lineRule="auto"/>
        <w:ind w:left="9" w:right="283" w:firstLine="359"/>
        <w:rPr>
          <w:rFonts w:ascii="宋体" w:hAnsi="宋体" w:eastAsia="宋体" w:cs="宋体"/>
          <w:sz w:val="16"/>
          <w:szCs w:val="16"/>
        </w:rPr>
      </w:pPr>
      <w:r>
        <w:rPr>
          <w:rFonts w:ascii="宋体" w:hAnsi="宋体" w:eastAsia="宋体" w:cs="宋体"/>
          <w:spacing w:val="11"/>
          <w:sz w:val="16"/>
          <w:szCs w:val="16"/>
        </w:rPr>
        <w:t>3.布线通道尽可能少，同路并行导线按主、控电路</w:t>
      </w:r>
      <w:r>
        <w:rPr>
          <w:rFonts w:ascii="宋体" w:hAnsi="宋体" w:eastAsia="宋体" w:cs="宋体"/>
          <w:spacing w:val="2"/>
          <w:sz w:val="16"/>
          <w:szCs w:val="16"/>
        </w:rPr>
        <w:t xml:space="preserve"> </w:t>
      </w:r>
      <w:r>
        <w:rPr>
          <w:rFonts w:ascii="宋体" w:hAnsi="宋体" w:eastAsia="宋体" w:cs="宋体"/>
          <w:spacing w:val="8"/>
          <w:sz w:val="16"/>
          <w:szCs w:val="16"/>
        </w:rPr>
        <w:t>分类集中，单层密排，紧贴安装面布线；</w:t>
      </w:r>
    </w:p>
    <w:p w14:paraId="5811BAF3">
      <w:pPr>
        <w:spacing w:before="4" w:line="326" w:lineRule="auto"/>
        <w:ind w:left="9" w:right="282" w:firstLine="359"/>
        <w:rPr>
          <w:rFonts w:ascii="宋体" w:hAnsi="宋体" w:eastAsia="宋体" w:cs="宋体"/>
          <w:sz w:val="16"/>
          <w:szCs w:val="16"/>
        </w:rPr>
      </w:pPr>
      <w:r>
        <w:rPr>
          <w:rFonts w:ascii="宋体" w:hAnsi="宋体" w:eastAsia="宋体" w:cs="宋体"/>
          <w:spacing w:val="11"/>
          <w:sz w:val="16"/>
          <w:szCs w:val="16"/>
        </w:rPr>
        <w:t>4.同一平面的导线应高低一致或前后一致，不能交</w:t>
      </w:r>
      <w:r>
        <w:rPr>
          <w:rFonts w:ascii="宋体" w:hAnsi="宋体" w:eastAsia="宋体" w:cs="宋体"/>
          <w:spacing w:val="2"/>
          <w:sz w:val="16"/>
          <w:szCs w:val="16"/>
        </w:rPr>
        <w:t xml:space="preserve"> </w:t>
      </w:r>
      <w:r>
        <w:rPr>
          <w:rFonts w:ascii="宋体" w:hAnsi="宋体" w:eastAsia="宋体" w:cs="宋体"/>
          <w:spacing w:val="12"/>
          <w:sz w:val="16"/>
          <w:szCs w:val="16"/>
        </w:rPr>
        <w:t>叉。非交叉不可时，该根导线应在接线端子引出时，就</w:t>
      </w:r>
      <w:r>
        <w:rPr>
          <w:rFonts w:ascii="宋体" w:hAnsi="宋体" w:eastAsia="宋体" w:cs="宋体"/>
          <w:spacing w:val="8"/>
          <w:sz w:val="16"/>
          <w:szCs w:val="16"/>
        </w:rPr>
        <w:t xml:space="preserve"> </w:t>
      </w:r>
      <w:r>
        <w:rPr>
          <w:rFonts w:ascii="宋体" w:hAnsi="宋体" w:eastAsia="宋体" w:cs="宋体"/>
          <w:spacing w:val="7"/>
          <w:sz w:val="16"/>
          <w:szCs w:val="16"/>
        </w:rPr>
        <w:t>水平架空跨越，但必须走线合理；</w:t>
      </w:r>
    </w:p>
    <w:p w14:paraId="335B1E00">
      <w:pPr>
        <w:spacing w:before="33" w:line="309" w:lineRule="auto"/>
        <w:ind w:left="369" w:right="269"/>
        <w:rPr>
          <w:rFonts w:ascii="宋体" w:hAnsi="宋体" w:eastAsia="宋体" w:cs="宋体"/>
          <w:sz w:val="16"/>
          <w:szCs w:val="16"/>
        </w:rPr>
      </w:pPr>
      <w:r>
        <w:rPr>
          <w:rFonts w:ascii="宋体" w:hAnsi="宋体" w:eastAsia="宋体" w:cs="宋体"/>
          <w:spacing w:val="4"/>
          <w:sz w:val="16"/>
          <w:szCs w:val="16"/>
        </w:rPr>
        <w:t>5.布线应横平竖直，分布均匀。变换走向时应垂直；</w:t>
      </w:r>
      <w:r>
        <w:rPr>
          <w:rFonts w:ascii="宋体" w:hAnsi="宋体" w:eastAsia="宋体" w:cs="宋体"/>
          <w:spacing w:val="13"/>
          <w:sz w:val="16"/>
          <w:szCs w:val="16"/>
        </w:rPr>
        <w:t xml:space="preserve"> </w:t>
      </w:r>
      <w:r>
        <w:rPr>
          <w:rFonts w:ascii="宋体" w:hAnsi="宋体" w:eastAsia="宋体" w:cs="宋体"/>
          <w:spacing w:val="7"/>
          <w:sz w:val="16"/>
          <w:szCs w:val="16"/>
        </w:rPr>
        <w:t>6.布线时严禁损伤线芯和导线绝缘；</w:t>
      </w:r>
    </w:p>
    <w:p w14:paraId="593E17B6">
      <w:pPr>
        <w:spacing w:before="35" w:line="321" w:lineRule="auto"/>
        <w:ind w:left="9" w:right="283" w:firstLine="359"/>
        <w:rPr>
          <w:rFonts w:ascii="宋体" w:hAnsi="宋体" w:eastAsia="宋体" w:cs="宋体"/>
          <w:sz w:val="16"/>
          <w:szCs w:val="16"/>
        </w:rPr>
      </w:pPr>
      <w:r>
        <w:rPr>
          <w:rFonts w:ascii="宋体" w:hAnsi="宋体" w:eastAsia="宋体" w:cs="宋体"/>
          <w:spacing w:val="11"/>
          <w:sz w:val="16"/>
          <w:szCs w:val="16"/>
        </w:rPr>
        <w:t>7.同一元件、同一回路的不同接点的导线间距离应</w:t>
      </w:r>
      <w:r>
        <w:rPr>
          <w:rFonts w:ascii="宋体" w:hAnsi="宋体" w:eastAsia="宋体" w:cs="宋体"/>
          <w:spacing w:val="2"/>
          <w:sz w:val="16"/>
          <w:szCs w:val="16"/>
        </w:rPr>
        <w:t xml:space="preserve"> </w:t>
      </w:r>
      <w:r>
        <w:rPr>
          <w:rFonts w:ascii="宋体" w:hAnsi="宋体" w:eastAsia="宋体" w:cs="宋体"/>
          <w:spacing w:val="8"/>
          <w:sz w:val="16"/>
          <w:szCs w:val="16"/>
        </w:rPr>
        <w:t>保持一致；</w:t>
      </w:r>
    </w:p>
    <w:p w14:paraId="3240E57F">
      <w:pPr>
        <w:spacing w:before="23" w:line="320" w:lineRule="auto"/>
        <w:ind w:left="9" w:right="270" w:firstLine="359"/>
        <w:rPr>
          <w:rFonts w:ascii="宋体" w:hAnsi="宋体" w:eastAsia="宋体" w:cs="宋体"/>
          <w:sz w:val="16"/>
          <w:szCs w:val="16"/>
        </w:rPr>
      </w:pPr>
      <w:r>
        <w:rPr>
          <w:rFonts w:ascii="宋体" w:hAnsi="宋体" w:eastAsia="宋体" w:cs="宋体"/>
          <w:spacing w:val="11"/>
          <w:sz w:val="16"/>
          <w:szCs w:val="16"/>
        </w:rPr>
        <w:t>8.一个电器元件接线端子上的连接导线不得多于两</w:t>
      </w:r>
      <w:r>
        <w:rPr>
          <w:rFonts w:ascii="宋体" w:hAnsi="宋体" w:eastAsia="宋体" w:cs="宋体"/>
          <w:spacing w:val="3"/>
          <w:sz w:val="16"/>
          <w:szCs w:val="16"/>
        </w:rPr>
        <w:t xml:space="preserve"> </w:t>
      </w:r>
      <w:r>
        <w:rPr>
          <w:rFonts w:ascii="宋体" w:hAnsi="宋体" w:eastAsia="宋体" w:cs="宋体"/>
          <w:spacing w:val="6"/>
          <w:sz w:val="16"/>
          <w:szCs w:val="16"/>
        </w:rPr>
        <w:t>根，每节接线端子板上的连接导线一般只允许连接一</w:t>
      </w:r>
      <w:r>
        <w:rPr>
          <w:rFonts w:ascii="宋体" w:hAnsi="宋体" w:eastAsia="宋体" w:cs="宋体"/>
          <w:spacing w:val="5"/>
          <w:sz w:val="16"/>
          <w:szCs w:val="16"/>
        </w:rPr>
        <w:t>根；</w:t>
      </w:r>
    </w:p>
    <w:p w14:paraId="4B543F01">
      <w:pPr>
        <w:spacing w:before="34" w:line="219" w:lineRule="auto"/>
        <w:ind w:left="369"/>
        <w:rPr>
          <w:rFonts w:ascii="宋体" w:hAnsi="宋体" w:eastAsia="宋体" w:cs="宋体"/>
          <w:sz w:val="16"/>
          <w:szCs w:val="16"/>
        </w:rPr>
      </w:pPr>
      <w:r>
        <w:rPr>
          <w:rFonts w:ascii="宋体" w:hAnsi="宋体" w:eastAsia="宋体" w:cs="宋体"/>
          <w:spacing w:val="7"/>
          <w:sz w:val="16"/>
          <w:szCs w:val="16"/>
        </w:rPr>
        <w:t>9.根据电路图检查控制板布线的正确性；</w:t>
      </w:r>
    </w:p>
    <w:p w14:paraId="6D4E9E4B">
      <w:pPr>
        <w:spacing w:before="91" w:line="326" w:lineRule="auto"/>
        <w:ind w:left="9" w:right="282" w:firstLine="359"/>
        <w:rPr>
          <w:rFonts w:ascii="宋体" w:hAnsi="宋体" w:eastAsia="宋体" w:cs="宋体"/>
          <w:sz w:val="16"/>
          <w:szCs w:val="16"/>
        </w:rPr>
      </w:pPr>
      <w:r>
        <w:rPr>
          <w:rFonts w:ascii="宋体" w:hAnsi="宋体" w:eastAsia="宋体" w:cs="宋体"/>
          <w:spacing w:val="14"/>
          <w:sz w:val="16"/>
          <w:szCs w:val="16"/>
        </w:rPr>
        <w:t>10.安装完毕的控制线路板，必须经过认真检查以</w:t>
      </w:r>
      <w:r>
        <w:rPr>
          <w:rFonts w:ascii="宋体" w:hAnsi="宋体" w:eastAsia="宋体" w:cs="宋体"/>
          <w:spacing w:val="1"/>
          <w:sz w:val="16"/>
          <w:szCs w:val="16"/>
        </w:rPr>
        <w:t xml:space="preserve"> </w:t>
      </w:r>
      <w:r>
        <w:rPr>
          <w:rFonts w:ascii="宋体" w:hAnsi="宋体" w:eastAsia="宋体" w:cs="宋体"/>
          <w:spacing w:val="12"/>
          <w:sz w:val="16"/>
          <w:szCs w:val="16"/>
        </w:rPr>
        <w:t>后才允许通电，以防止错接、漏接造成不能正常运转或</w:t>
      </w:r>
      <w:r>
        <w:rPr>
          <w:rFonts w:ascii="宋体" w:hAnsi="宋体" w:eastAsia="宋体" w:cs="宋体"/>
          <w:spacing w:val="8"/>
          <w:sz w:val="16"/>
          <w:szCs w:val="16"/>
        </w:rPr>
        <w:t xml:space="preserve"> </w:t>
      </w:r>
      <w:r>
        <w:rPr>
          <w:rFonts w:ascii="宋体" w:hAnsi="宋体" w:eastAsia="宋体" w:cs="宋体"/>
          <w:spacing w:val="5"/>
          <w:sz w:val="16"/>
          <w:szCs w:val="16"/>
        </w:rPr>
        <w:t>短路事故；</w:t>
      </w:r>
    </w:p>
    <w:p w14:paraId="715EB102">
      <w:pPr>
        <w:spacing w:before="22" w:line="326" w:lineRule="auto"/>
        <w:ind w:left="9" w:right="283" w:firstLine="359"/>
        <w:rPr>
          <w:rFonts w:ascii="宋体" w:hAnsi="宋体" w:eastAsia="宋体" w:cs="宋体"/>
          <w:sz w:val="16"/>
          <w:szCs w:val="16"/>
        </w:rPr>
      </w:pPr>
      <w:r>
        <w:rPr>
          <w:rFonts w:ascii="宋体" w:hAnsi="宋体" w:eastAsia="宋体" w:cs="宋体"/>
          <w:spacing w:val="14"/>
          <w:sz w:val="16"/>
          <w:szCs w:val="16"/>
        </w:rPr>
        <w:t>11.按电路图或接线图从电源端开始，逐段核对接</w:t>
      </w:r>
      <w:r>
        <w:rPr>
          <w:rFonts w:ascii="宋体" w:hAnsi="宋体" w:eastAsia="宋体" w:cs="宋体"/>
          <w:spacing w:val="13"/>
          <w:sz w:val="16"/>
          <w:szCs w:val="16"/>
        </w:rPr>
        <w:t xml:space="preserve"> </w:t>
      </w:r>
      <w:r>
        <w:rPr>
          <w:rFonts w:ascii="宋体" w:hAnsi="宋体" w:eastAsia="宋体" w:cs="宋体"/>
          <w:spacing w:val="11"/>
          <w:sz w:val="16"/>
          <w:szCs w:val="16"/>
        </w:rPr>
        <w:t>线及接线端子处线号是否正确，有无漏接、错接之处。</w:t>
      </w:r>
      <w:r>
        <w:rPr>
          <w:rFonts w:ascii="宋体" w:hAnsi="宋体" w:eastAsia="宋体" w:cs="宋体"/>
          <w:spacing w:val="15"/>
          <w:sz w:val="16"/>
          <w:szCs w:val="16"/>
        </w:rPr>
        <w:t xml:space="preserve"> </w:t>
      </w:r>
      <w:r>
        <w:rPr>
          <w:rFonts w:ascii="宋体" w:hAnsi="宋体" w:eastAsia="宋体" w:cs="宋体"/>
          <w:spacing w:val="8"/>
          <w:sz w:val="16"/>
          <w:szCs w:val="16"/>
        </w:rPr>
        <w:t>检查导线接点是否符合要求，压接是否牢固；</w:t>
      </w:r>
    </w:p>
    <w:p w14:paraId="364C4B76">
      <w:pPr>
        <w:spacing w:before="22" w:line="335" w:lineRule="auto"/>
        <w:ind w:right="2140" w:firstLine="369"/>
        <w:rPr>
          <w:rFonts w:ascii="宋体" w:hAnsi="宋体" w:eastAsia="宋体" w:cs="宋体"/>
          <w:sz w:val="16"/>
          <w:szCs w:val="16"/>
        </w:rPr>
      </w:pPr>
      <w:r>
        <w:rPr>
          <w:rFonts w:ascii="宋体" w:hAnsi="宋体" w:eastAsia="宋体" w:cs="宋体"/>
          <w:spacing w:val="6"/>
          <w:sz w:val="16"/>
          <w:szCs w:val="16"/>
        </w:rPr>
        <w:t>12.安全文明生产及其他。</w:t>
      </w:r>
      <w:r>
        <w:rPr>
          <w:rFonts w:ascii="宋体" w:hAnsi="宋体" w:eastAsia="宋体" w:cs="宋体"/>
          <w:sz w:val="16"/>
          <w:szCs w:val="16"/>
        </w:rPr>
        <w:t xml:space="preserve"> </w:t>
      </w:r>
      <w:r>
        <w:rPr>
          <w:rFonts w:ascii="宋体" w:hAnsi="宋体" w:eastAsia="宋体" w:cs="宋体"/>
          <w:spacing w:val="16"/>
          <w:sz w:val="16"/>
          <w:szCs w:val="16"/>
        </w:rPr>
        <w:t>【测试要求】</w:t>
      </w:r>
    </w:p>
    <w:p w14:paraId="34116489">
      <w:pPr>
        <w:spacing w:before="2" w:line="332" w:lineRule="auto"/>
        <w:ind w:left="9" w:right="283" w:firstLine="359"/>
        <w:rPr>
          <w:rFonts w:ascii="宋体" w:hAnsi="宋体" w:eastAsia="宋体" w:cs="宋体"/>
          <w:sz w:val="16"/>
          <w:szCs w:val="16"/>
        </w:rPr>
      </w:pPr>
      <w:r>
        <w:rPr>
          <w:rFonts w:ascii="宋体" w:hAnsi="宋体" w:eastAsia="宋体" w:cs="宋体"/>
          <w:spacing w:val="11"/>
          <w:sz w:val="16"/>
          <w:szCs w:val="16"/>
        </w:rPr>
        <w:t>1.识读双控电路的原理图，明确线路所用电器元件</w:t>
      </w:r>
      <w:r>
        <w:rPr>
          <w:rFonts w:ascii="宋体" w:hAnsi="宋体" w:eastAsia="宋体" w:cs="宋体"/>
          <w:spacing w:val="2"/>
          <w:sz w:val="16"/>
          <w:szCs w:val="16"/>
        </w:rPr>
        <w:t xml:space="preserve"> </w:t>
      </w:r>
      <w:r>
        <w:rPr>
          <w:rFonts w:ascii="宋体" w:hAnsi="宋体" w:eastAsia="宋体" w:cs="宋体"/>
          <w:spacing w:val="7"/>
          <w:sz w:val="16"/>
          <w:szCs w:val="16"/>
        </w:rPr>
        <w:t>及作用，熟悉线路的工作原理；</w:t>
      </w:r>
    </w:p>
    <w:p w14:paraId="6CD5AE5D">
      <w:pPr>
        <w:spacing w:before="3" w:line="321" w:lineRule="auto"/>
        <w:ind w:left="9" w:right="281" w:firstLine="359"/>
        <w:rPr>
          <w:rFonts w:ascii="宋体" w:hAnsi="宋体" w:eastAsia="宋体" w:cs="宋体"/>
          <w:sz w:val="16"/>
          <w:szCs w:val="16"/>
        </w:rPr>
      </w:pPr>
      <w:r>
        <w:rPr>
          <w:rFonts w:ascii="宋体" w:hAnsi="宋体" w:eastAsia="宋体" w:cs="宋体"/>
          <w:spacing w:val="19"/>
          <w:sz w:val="16"/>
          <w:szCs w:val="16"/>
        </w:rPr>
        <w:t>2.按要求配齐所用电器元件，安装调试，并进行</w:t>
      </w:r>
      <w:r>
        <w:rPr>
          <w:rFonts w:ascii="宋体" w:hAnsi="宋体" w:eastAsia="宋体" w:cs="宋体"/>
          <w:sz w:val="16"/>
          <w:szCs w:val="16"/>
        </w:rPr>
        <w:t xml:space="preserve"> </w:t>
      </w:r>
      <w:r>
        <w:rPr>
          <w:rFonts w:ascii="宋体" w:hAnsi="宋体" w:eastAsia="宋体" w:cs="宋体"/>
          <w:spacing w:val="3"/>
          <w:sz w:val="16"/>
          <w:szCs w:val="16"/>
        </w:rPr>
        <w:t>检验。</w:t>
      </w:r>
    </w:p>
    <w:p w14:paraId="3DAF6572">
      <w:pPr>
        <w:spacing w:before="42" w:line="220" w:lineRule="auto"/>
        <w:ind w:left="2"/>
        <w:rPr>
          <w:rFonts w:ascii="宋体" w:hAnsi="宋体" w:eastAsia="宋体" w:cs="宋体"/>
          <w:sz w:val="16"/>
          <w:szCs w:val="16"/>
        </w:rPr>
      </w:pPr>
      <w:r>
        <w:rPr>
          <w:rFonts w:ascii="宋体" w:hAnsi="宋体" w:eastAsia="宋体" w:cs="宋体"/>
          <w:b/>
          <w:bCs/>
          <w:spacing w:val="14"/>
          <w:sz w:val="16"/>
          <w:szCs w:val="16"/>
        </w:rPr>
        <w:t>【测试赋分】</w:t>
      </w:r>
    </w:p>
    <w:p w14:paraId="3DF44053">
      <w:pPr>
        <w:spacing w:before="50" w:line="220" w:lineRule="auto"/>
        <w:ind w:left="372"/>
        <w:rPr>
          <w:rFonts w:ascii="宋体" w:hAnsi="宋体" w:eastAsia="宋体" w:cs="宋体"/>
          <w:sz w:val="20"/>
          <w:szCs w:val="20"/>
        </w:rPr>
      </w:pPr>
      <w:r>
        <w:rPr>
          <w:rFonts w:ascii="宋体" w:hAnsi="宋体" w:eastAsia="宋体" w:cs="宋体"/>
          <w:b/>
          <w:bCs/>
          <w:spacing w:val="3"/>
          <w:sz w:val="16"/>
          <w:szCs w:val="16"/>
        </w:rPr>
        <w:t>1.识别器件</w:t>
      </w:r>
      <w:r>
        <w:rPr>
          <w:rFonts w:ascii="宋体" w:hAnsi="宋体" w:eastAsia="宋体" w:cs="宋体"/>
          <w:spacing w:val="2"/>
          <w:sz w:val="16"/>
          <w:szCs w:val="16"/>
        </w:rPr>
        <w:t xml:space="preserve">                     </w:t>
      </w:r>
      <w:r>
        <w:rPr>
          <w:rFonts w:ascii="宋体" w:hAnsi="宋体" w:eastAsia="宋体" w:cs="宋体"/>
          <w:spacing w:val="1"/>
          <w:sz w:val="16"/>
          <w:szCs w:val="16"/>
        </w:rPr>
        <w:t xml:space="preserve">       </w:t>
      </w:r>
      <w:r>
        <w:rPr>
          <w:rFonts w:ascii="宋体" w:hAnsi="宋体" w:eastAsia="宋体" w:cs="宋体"/>
          <w:b/>
          <w:bCs/>
          <w:spacing w:val="3"/>
          <w:sz w:val="20"/>
          <w:szCs w:val="20"/>
        </w:rPr>
        <w:t>30分</w:t>
      </w:r>
    </w:p>
    <w:p w14:paraId="27CF9285">
      <w:pPr>
        <w:spacing w:before="91" w:line="184" w:lineRule="auto"/>
        <w:ind w:left="372"/>
        <w:rPr>
          <w:rFonts w:ascii="宋体" w:hAnsi="宋体" w:eastAsia="宋体" w:cs="宋体"/>
          <w:sz w:val="16"/>
          <w:szCs w:val="16"/>
        </w:rPr>
      </w:pPr>
      <w:r>
        <w:rPr>
          <w:rFonts w:ascii="宋体" w:hAnsi="宋体" w:eastAsia="宋体" w:cs="宋体"/>
          <w:b/>
          <w:bCs/>
          <w:spacing w:val="2"/>
          <w:sz w:val="16"/>
          <w:szCs w:val="16"/>
        </w:rPr>
        <w:t>2.安装电路</w:t>
      </w:r>
      <w:r>
        <w:rPr>
          <w:rFonts w:ascii="宋体" w:hAnsi="宋体" w:eastAsia="宋体" w:cs="宋体"/>
          <w:spacing w:val="1"/>
          <w:sz w:val="16"/>
          <w:szCs w:val="16"/>
        </w:rPr>
        <w:t xml:space="preserve">                            </w:t>
      </w:r>
      <w:r>
        <w:rPr>
          <w:rFonts w:ascii="宋体" w:hAnsi="宋体" w:eastAsia="宋体" w:cs="宋体"/>
          <w:b/>
          <w:bCs/>
          <w:spacing w:val="2"/>
          <w:sz w:val="16"/>
          <w:szCs w:val="16"/>
        </w:rPr>
        <w:t>6</w:t>
      </w:r>
      <w:r>
        <w:rPr>
          <w:rFonts w:ascii="宋体" w:hAnsi="宋体" w:eastAsia="宋体" w:cs="宋体"/>
          <w:spacing w:val="-25"/>
          <w:sz w:val="16"/>
          <w:szCs w:val="16"/>
        </w:rPr>
        <w:t xml:space="preserve"> </w:t>
      </w:r>
      <w:r>
        <w:rPr>
          <w:rFonts w:ascii="宋体" w:hAnsi="宋体" w:eastAsia="宋体" w:cs="宋体"/>
          <w:b/>
          <w:bCs/>
          <w:spacing w:val="2"/>
          <w:sz w:val="16"/>
          <w:szCs w:val="16"/>
        </w:rPr>
        <w:t>0</w:t>
      </w:r>
      <w:r>
        <w:rPr>
          <w:rFonts w:ascii="宋体" w:hAnsi="宋体" w:eastAsia="宋体" w:cs="宋体"/>
          <w:spacing w:val="-27"/>
          <w:sz w:val="16"/>
          <w:szCs w:val="16"/>
        </w:rPr>
        <w:t xml:space="preserve"> </w:t>
      </w:r>
      <w:r>
        <w:rPr>
          <w:rFonts w:ascii="宋体" w:hAnsi="宋体" w:eastAsia="宋体" w:cs="宋体"/>
          <w:b/>
          <w:bCs/>
          <w:spacing w:val="2"/>
          <w:sz w:val="16"/>
          <w:szCs w:val="16"/>
        </w:rPr>
        <w:t>分</w:t>
      </w:r>
    </w:p>
    <w:p w14:paraId="76A204B3">
      <w:pPr>
        <w:pStyle w:val="2"/>
        <w:spacing w:line="14" w:lineRule="auto"/>
        <w:rPr>
          <w:sz w:val="2"/>
        </w:rPr>
      </w:pPr>
      <w:r>
        <w:rPr>
          <w:sz w:val="2"/>
          <w:szCs w:val="2"/>
        </w:rPr>
        <w:br w:type="column"/>
      </w:r>
    </w:p>
    <w:p w14:paraId="280B0F5B">
      <w:pPr>
        <w:spacing w:line="218" w:lineRule="auto"/>
        <w:ind w:left="429"/>
        <w:rPr>
          <w:rFonts w:ascii="宋体" w:hAnsi="宋体" w:eastAsia="宋体" w:cs="宋体"/>
          <w:sz w:val="20"/>
          <w:szCs w:val="20"/>
        </w:rPr>
      </w:pPr>
      <w:r>
        <w:rPr>
          <w:rFonts w:ascii="宋体" w:hAnsi="宋体" w:eastAsia="宋体" w:cs="宋体"/>
          <w:spacing w:val="2"/>
          <w:sz w:val="16"/>
          <w:szCs w:val="16"/>
        </w:rPr>
        <w:t>3.布</w:t>
      </w:r>
      <w:r>
        <w:rPr>
          <w:rFonts w:ascii="宋体" w:hAnsi="宋体" w:eastAsia="宋体" w:cs="宋体"/>
          <w:spacing w:val="-35"/>
          <w:sz w:val="16"/>
          <w:szCs w:val="16"/>
        </w:rPr>
        <w:t xml:space="preserve"> </w:t>
      </w:r>
      <w:r>
        <w:rPr>
          <w:rFonts w:ascii="宋体" w:hAnsi="宋体" w:eastAsia="宋体" w:cs="宋体"/>
          <w:spacing w:val="2"/>
          <w:sz w:val="16"/>
          <w:szCs w:val="16"/>
        </w:rPr>
        <w:t>线</w:t>
      </w:r>
      <w:r>
        <w:rPr>
          <w:rFonts w:ascii="宋体" w:hAnsi="宋体" w:eastAsia="宋体" w:cs="宋体"/>
          <w:spacing w:val="1"/>
          <w:sz w:val="16"/>
          <w:szCs w:val="16"/>
        </w:rPr>
        <w:t xml:space="preserve">                                </w:t>
      </w:r>
      <w:r>
        <w:rPr>
          <w:rFonts w:ascii="宋体" w:hAnsi="宋体" w:eastAsia="宋体" w:cs="宋体"/>
          <w:spacing w:val="2"/>
          <w:sz w:val="20"/>
          <w:szCs w:val="20"/>
        </w:rPr>
        <w:t>30分</w:t>
      </w:r>
    </w:p>
    <w:p w14:paraId="498D3626">
      <w:pPr>
        <w:spacing w:before="62" w:line="295" w:lineRule="auto"/>
        <w:ind w:left="429" w:right="321"/>
        <w:rPr>
          <w:rFonts w:ascii="宋体" w:hAnsi="宋体" w:eastAsia="宋体" w:cs="宋体"/>
          <w:sz w:val="16"/>
          <w:szCs w:val="16"/>
        </w:rPr>
      </w:pPr>
      <w:r>
        <w:rPr>
          <w:rFonts w:ascii="宋体" w:hAnsi="宋体" w:eastAsia="宋体" w:cs="宋体"/>
          <w:spacing w:val="8"/>
          <w:sz w:val="16"/>
          <w:szCs w:val="16"/>
        </w:rPr>
        <w:t>4.通电测试</w:t>
      </w:r>
      <w:r>
        <w:rPr>
          <w:rFonts w:ascii="宋体" w:hAnsi="宋体" w:eastAsia="宋体" w:cs="宋体"/>
          <w:spacing w:val="1"/>
          <w:sz w:val="16"/>
          <w:szCs w:val="16"/>
        </w:rPr>
        <w:t xml:space="preserve">                        </w:t>
      </w:r>
      <w:r>
        <w:rPr>
          <w:rFonts w:ascii="宋体" w:hAnsi="宋体" w:eastAsia="宋体" w:cs="宋体"/>
          <w:sz w:val="16"/>
          <w:szCs w:val="16"/>
        </w:rPr>
        <w:t xml:space="preserve">    </w:t>
      </w:r>
      <w:r>
        <w:rPr>
          <w:rFonts w:ascii="宋体" w:hAnsi="宋体" w:eastAsia="宋体" w:cs="宋体"/>
          <w:spacing w:val="8"/>
          <w:sz w:val="20"/>
          <w:szCs w:val="20"/>
        </w:rPr>
        <w:t>70分</w:t>
      </w:r>
      <w:r>
        <w:rPr>
          <w:rFonts w:ascii="宋体" w:hAnsi="宋体" w:eastAsia="宋体" w:cs="宋体"/>
          <w:spacing w:val="1"/>
          <w:sz w:val="20"/>
          <w:szCs w:val="20"/>
        </w:rPr>
        <w:t xml:space="preserve"> </w:t>
      </w:r>
      <w:r>
        <w:rPr>
          <w:rFonts w:ascii="宋体" w:hAnsi="宋体" w:eastAsia="宋体" w:cs="宋体"/>
          <w:spacing w:val="2"/>
          <w:sz w:val="16"/>
          <w:szCs w:val="16"/>
        </w:rPr>
        <w:t>5.时间无超时</w:t>
      </w:r>
      <w:r>
        <w:rPr>
          <w:rFonts w:ascii="宋体" w:hAnsi="宋体" w:eastAsia="宋体" w:cs="宋体"/>
          <w:spacing w:val="1"/>
          <w:sz w:val="16"/>
          <w:szCs w:val="16"/>
        </w:rPr>
        <w:t xml:space="preserve">                          </w:t>
      </w:r>
      <w:r>
        <w:rPr>
          <w:rFonts w:ascii="宋体" w:hAnsi="宋体" w:eastAsia="宋体" w:cs="宋体"/>
          <w:spacing w:val="2"/>
          <w:sz w:val="16"/>
          <w:szCs w:val="16"/>
        </w:rPr>
        <w:t>1</w:t>
      </w:r>
      <w:r>
        <w:rPr>
          <w:rFonts w:ascii="宋体" w:hAnsi="宋体" w:eastAsia="宋体" w:cs="宋体"/>
          <w:spacing w:val="-21"/>
          <w:sz w:val="16"/>
          <w:szCs w:val="16"/>
        </w:rPr>
        <w:t xml:space="preserve"> </w:t>
      </w:r>
      <w:r>
        <w:rPr>
          <w:rFonts w:ascii="宋体" w:hAnsi="宋体" w:eastAsia="宋体" w:cs="宋体"/>
          <w:spacing w:val="2"/>
          <w:sz w:val="16"/>
          <w:szCs w:val="16"/>
        </w:rPr>
        <w:t>5</w:t>
      </w:r>
      <w:r>
        <w:rPr>
          <w:rFonts w:ascii="宋体" w:hAnsi="宋体" w:eastAsia="宋体" w:cs="宋体"/>
          <w:spacing w:val="-30"/>
          <w:sz w:val="16"/>
          <w:szCs w:val="16"/>
        </w:rPr>
        <w:t xml:space="preserve"> </w:t>
      </w:r>
      <w:r>
        <w:rPr>
          <w:rFonts w:ascii="宋体" w:hAnsi="宋体" w:eastAsia="宋体" w:cs="宋体"/>
          <w:spacing w:val="2"/>
          <w:sz w:val="16"/>
          <w:szCs w:val="16"/>
        </w:rPr>
        <w:t>分</w:t>
      </w:r>
      <w:r>
        <w:rPr>
          <w:rFonts w:ascii="宋体" w:hAnsi="宋体" w:eastAsia="宋体" w:cs="宋体"/>
          <w:sz w:val="16"/>
          <w:szCs w:val="16"/>
        </w:rPr>
        <w:t xml:space="preserve"> </w:t>
      </w:r>
      <w:r>
        <w:rPr>
          <w:rFonts w:ascii="宋体" w:hAnsi="宋体" w:eastAsia="宋体" w:cs="宋体"/>
          <w:spacing w:val="3"/>
          <w:sz w:val="16"/>
          <w:szCs w:val="16"/>
        </w:rPr>
        <w:t>6.仪表使用</w:t>
      </w:r>
      <w:r>
        <w:rPr>
          <w:rFonts w:ascii="宋体" w:hAnsi="宋体" w:eastAsia="宋体" w:cs="宋体"/>
          <w:spacing w:val="1"/>
          <w:sz w:val="16"/>
          <w:szCs w:val="16"/>
        </w:rPr>
        <w:t xml:space="preserve">                            </w:t>
      </w:r>
      <w:r>
        <w:rPr>
          <w:rFonts w:ascii="宋体" w:hAnsi="宋体" w:eastAsia="宋体" w:cs="宋体"/>
          <w:spacing w:val="3"/>
          <w:sz w:val="16"/>
          <w:szCs w:val="16"/>
        </w:rPr>
        <w:t>2</w:t>
      </w:r>
      <w:r>
        <w:rPr>
          <w:rFonts w:ascii="宋体" w:hAnsi="宋体" w:eastAsia="宋体" w:cs="宋体"/>
          <w:spacing w:val="-25"/>
          <w:sz w:val="16"/>
          <w:szCs w:val="16"/>
        </w:rPr>
        <w:t xml:space="preserve"> </w:t>
      </w:r>
      <w:r>
        <w:rPr>
          <w:rFonts w:ascii="宋体" w:hAnsi="宋体" w:eastAsia="宋体" w:cs="宋体"/>
          <w:spacing w:val="3"/>
          <w:sz w:val="16"/>
          <w:szCs w:val="16"/>
        </w:rPr>
        <w:t>0</w:t>
      </w:r>
      <w:r>
        <w:rPr>
          <w:rFonts w:ascii="宋体" w:hAnsi="宋体" w:eastAsia="宋体" w:cs="宋体"/>
          <w:spacing w:val="-35"/>
          <w:sz w:val="16"/>
          <w:szCs w:val="16"/>
        </w:rPr>
        <w:t xml:space="preserve"> </w:t>
      </w:r>
      <w:r>
        <w:rPr>
          <w:rFonts w:ascii="宋体" w:hAnsi="宋体" w:eastAsia="宋体" w:cs="宋体"/>
          <w:spacing w:val="3"/>
          <w:sz w:val="16"/>
          <w:szCs w:val="16"/>
        </w:rPr>
        <w:t>分</w:t>
      </w:r>
      <w:r>
        <w:rPr>
          <w:rFonts w:ascii="宋体" w:hAnsi="宋体" w:eastAsia="宋体" w:cs="宋体"/>
          <w:sz w:val="16"/>
          <w:szCs w:val="16"/>
        </w:rPr>
        <w:t xml:space="preserve"> </w:t>
      </w:r>
      <w:r>
        <w:rPr>
          <w:rFonts w:ascii="宋体" w:hAnsi="宋体" w:eastAsia="宋体" w:cs="宋体"/>
          <w:spacing w:val="7"/>
          <w:sz w:val="16"/>
          <w:szCs w:val="16"/>
        </w:rPr>
        <w:t>7.根据职业素养评分要求，现场给分    2</w:t>
      </w:r>
      <w:r>
        <w:rPr>
          <w:rFonts w:ascii="宋体" w:hAnsi="宋体" w:eastAsia="宋体" w:cs="宋体"/>
          <w:spacing w:val="-10"/>
          <w:sz w:val="16"/>
          <w:szCs w:val="16"/>
        </w:rPr>
        <w:t xml:space="preserve"> </w:t>
      </w:r>
      <w:r>
        <w:rPr>
          <w:rFonts w:ascii="宋体" w:hAnsi="宋体" w:eastAsia="宋体" w:cs="宋体"/>
          <w:spacing w:val="7"/>
          <w:sz w:val="16"/>
          <w:szCs w:val="16"/>
        </w:rPr>
        <w:t>5</w:t>
      </w:r>
      <w:r>
        <w:rPr>
          <w:rFonts w:ascii="宋体" w:hAnsi="宋体" w:eastAsia="宋体" w:cs="宋体"/>
          <w:spacing w:val="-24"/>
          <w:sz w:val="16"/>
          <w:szCs w:val="16"/>
        </w:rPr>
        <w:t xml:space="preserve"> </w:t>
      </w:r>
      <w:r>
        <w:rPr>
          <w:rFonts w:ascii="宋体" w:hAnsi="宋体" w:eastAsia="宋体" w:cs="宋体"/>
          <w:spacing w:val="7"/>
          <w:sz w:val="16"/>
          <w:szCs w:val="16"/>
        </w:rPr>
        <w:t>分</w:t>
      </w:r>
    </w:p>
    <w:p w14:paraId="49BBAC14">
      <w:pPr>
        <w:pStyle w:val="2"/>
        <w:spacing w:line="322" w:lineRule="auto"/>
      </w:pPr>
    </w:p>
    <w:p w14:paraId="10C866A6">
      <w:pPr>
        <w:spacing w:before="65" w:line="219" w:lineRule="auto"/>
        <w:ind w:left="672"/>
        <w:rPr>
          <w:rFonts w:ascii="宋体" w:hAnsi="宋体" w:eastAsia="宋体" w:cs="宋体"/>
          <w:sz w:val="20"/>
          <w:szCs w:val="20"/>
        </w:rPr>
      </w:pPr>
      <w:r>
        <w:rPr>
          <w:rFonts w:ascii="宋体" w:hAnsi="宋体" w:eastAsia="宋体" w:cs="宋体"/>
          <w:b/>
          <w:bCs/>
          <w:spacing w:val="4"/>
          <w:sz w:val="20"/>
          <w:szCs w:val="20"/>
        </w:rPr>
        <w:t>项目二</w:t>
      </w:r>
      <w:r>
        <w:rPr>
          <w:rFonts w:ascii="宋体" w:hAnsi="宋体" w:eastAsia="宋体" w:cs="宋体"/>
          <w:spacing w:val="4"/>
          <w:sz w:val="20"/>
          <w:szCs w:val="20"/>
        </w:rPr>
        <w:t xml:space="preserve"> </w:t>
      </w:r>
      <w:r>
        <w:rPr>
          <w:rFonts w:ascii="宋体" w:hAnsi="宋体" w:eastAsia="宋体" w:cs="宋体"/>
          <w:b/>
          <w:bCs/>
          <w:spacing w:val="4"/>
          <w:sz w:val="20"/>
          <w:szCs w:val="20"/>
        </w:rPr>
        <w:t>低压电器控制电路的安装</w:t>
      </w:r>
    </w:p>
    <w:p w14:paraId="54D62C16">
      <w:pPr>
        <w:pStyle w:val="2"/>
        <w:spacing w:line="290" w:lineRule="auto"/>
      </w:pPr>
    </w:p>
    <w:p w14:paraId="66824B80">
      <w:pPr>
        <w:spacing w:before="53" w:line="221" w:lineRule="auto"/>
        <w:rPr>
          <w:rFonts w:ascii="宋体" w:hAnsi="宋体" w:eastAsia="宋体" w:cs="宋体"/>
          <w:sz w:val="16"/>
          <w:szCs w:val="16"/>
        </w:rPr>
      </w:pPr>
      <w:r>
        <w:rPr>
          <w:rFonts w:ascii="宋体" w:hAnsi="宋体" w:eastAsia="宋体" w:cs="宋体"/>
          <w:spacing w:val="16"/>
          <w:sz w:val="16"/>
          <w:szCs w:val="16"/>
        </w:rPr>
        <w:t>【测试用具】</w:t>
      </w:r>
    </w:p>
    <w:p w14:paraId="2CAD7F1C">
      <w:pPr>
        <w:spacing w:before="97" w:line="333" w:lineRule="auto"/>
        <w:ind w:left="80" w:right="68" w:firstLine="349"/>
        <w:rPr>
          <w:rFonts w:ascii="宋体" w:hAnsi="宋体" w:eastAsia="宋体" w:cs="宋体"/>
          <w:sz w:val="16"/>
          <w:szCs w:val="16"/>
        </w:rPr>
      </w:pPr>
      <w:r>
        <w:rPr>
          <w:rFonts w:ascii="宋体" w:hAnsi="宋体" w:eastAsia="宋体" w:cs="宋体"/>
          <w:spacing w:val="11"/>
          <w:sz w:val="16"/>
          <w:szCs w:val="16"/>
        </w:rPr>
        <w:t>1.工具：测电笔、螺钉旋具、尖嘴钳、斜口钳、剥</w:t>
      </w:r>
      <w:r>
        <w:rPr>
          <w:rFonts w:ascii="宋体" w:hAnsi="宋体" w:eastAsia="宋体" w:cs="宋体"/>
          <w:spacing w:val="17"/>
          <w:sz w:val="16"/>
          <w:szCs w:val="16"/>
        </w:rPr>
        <w:t xml:space="preserve"> </w:t>
      </w:r>
      <w:r>
        <w:rPr>
          <w:rFonts w:ascii="宋体" w:hAnsi="宋体" w:eastAsia="宋体" w:cs="宋体"/>
          <w:spacing w:val="7"/>
          <w:sz w:val="16"/>
          <w:szCs w:val="16"/>
        </w:rPr>
        <w:t>线钳、电工刀、万用表等；</w:t>
      </w:r>
    </w:p>
    <w:p w14:paraId="35994696">
      <w:pPr>
        <w:spacing w:before="2" w:line="328" w:lineRule="auto"/>
        <w:ind w:left="79" w:firstLine="349"/>
        <w:jc w:val="both"/>
        <w:rPr>
          <w:rFonts w:ascii="宋体" w:hAnsi="宋体" w:eastAsia="宋体" w:cs="宋体"/>
          <w:sz w:val="16"/>
          <w:szCs w:val="16"/>
        </w:rPr>
      </w:pPr>
      <w:r>
        <w:rPr>
          <w:rFonts w:ascii="宋体" w:hAnsi="宋体" w:eastAsia="宋体" w:cs="宋体"/>
          <w:spacing w:val="11"/>
          <w:sz w:val="16"/>
          <w:szCs w:val="16"/>
        </w:rPr>
        <w:t>2.器材：电气技术技能及工艺实训装置一台、网孔</w:t>
      </w:r>
      <w:r>
        <w:rPr>
          <w:rFonts w:ascii="宋体" w:hAnsi="宋体" w:eastAsia="宋体" w:cs="宋体"/>
          <w:spacing w:val="6"/>
          <w:sz w:val="16"/>
          <w:szCs w:val="16"/>
        </w:rPr>
        <w:t xml:space="preserve">  </w:t>
      </w:r>
      <w:r>
        <w:rPr>
          <w:rFonts w:ascii="宋体" w:hAnsi="宋体" w:eastAsia="宋体" w:cs="宋体"/>
          <w:spacing w:val="8"/>
          <w:sz w:val="16"/>
          <w:szCs w:val="16"/>
        </w:rPr>
        <w:t xml:space="preserve">板、接线端子、导轨、交流接触器、熔断器、按钮开关、 </w:t>
      </w:r>
      <w:r>
        <w:rPr>
          <w:rFonts w:ascii="宋体" w:hAnsi="宋体" w:eastAsia="宋体" w:cs="宋体"/>
          <w:spacing w:val="4"/>
          <w:sz w:val="16"/>
          <w:szCs w:val="16"/>
        </w:rPr>
        <w:t>热继电器；</w:t>
      </w:r>
    </w:p>
    <w:p w14:paraId="4796A70F">
      <w:pPr>
        <w:spacing w:before="17" w:line="327" w:lineRule="auto"/>
        <w:ind w:left="79" w:right="60" w:firstLine="349"/>
        <w:jc w:val="both"/>
        <w:rPr>
          <w:rFonts w:ascii="宋体" w:hAnsi="宋体" w:eastAsia="宋体" w:cs="宋体"/>
          <w:sz w:val="16"/>
          <w:szCs w:val="16"/>
        </w:rPr>
      </w:pPr>
      <w:r>
        <w:rPr>
          <w:rFonts w:ascii="宋体" w:hAnsi="宋体" w:eastAsia="宋体" w:cs="宋体"/>
          <w:spacing w:val="14"/>
          <w:sz w:val="16"/>
          <w:szCs w:val="16"/>
        </w:rPr>
        <w:t>3.导线：主电路采用2.5</w:t>
      </w:r>
      <w:r>
        <w:rPr>
          <w:rFonts w:ascii="宋体" w:hAnsi="宋体" w:eastAsia="宋体" w:cs="宋体"/>
          <w:sz w:val="16"/>
          <w:szCs w:val="16"/>
        </w:rPr>
        <w:t>mm</w:t>
      </w:r>
      <w:r>
        <w:rPr>
          <w:rFonts w:ascii="宋体" w:hAnsi="宋体" w:eastAsia="宋体" w:cs="宋体"/>
          <w:spacing w:val="14"/>
          <w:sz w:val="16"/>
          <w:szCs w:val="16"/>
        </w:rPr>
        <w:t>² 单股铝芯线；控制电</w:t>
      </w:r>
      <w:r>
        <w:rPr>
          <w:rFonts w:ascii="宋体" w:hAnsi="宋体" w:eastAsia="宋体" w:cs="宋体"/>
          <w:spacing w:val="12"/>
          <w:sz w:val="16"/>
          <w:szCs w:val="16"/>
        </w:rPr>
        <w:t xml:space="preserve"> </w:t>
      </w:r>
      <w:r>
        <w:rPr>
          <w:rFonts w:ascii="宋体" w:hAnsi="宋体" w:eastAsia="宋体" w:cs="宋体"/>
          <w:spacing w:val="14"/>
          <w:sz w:val="16"/>
          <w:szCs w:val="16"/>
        </w:rPr>
        <w:t>路采用1.5</w:t>
      </w:r>
      <w:r>
        <w:rPr>
          <w:rFonts w:ascii="Times New Roman" w:hAnsi="Times New Roman" w:eastAsia="Times New Roman" w:cs="Times New Roman"/>
          <w:sz w:val="16"/>
          <w:szCs w:val="16"/>
        </w:rPr>
        <w:t>mm</w:t>
      </w:r>
      <w:r>
        <w:rPr>
          <w:rFonts w:ascii="Times New Roman" w:hAnsi="Times New Roman" w:eastAsia="Times New Roman" w:cs="Times New Roman"/>
          <w:spacing w:val="14"/>
          <w:sz w:val="16"/>
          <w:szCs w:val="16"/>
        </w:rPr>
        <w:t>²</w:t>
      </w:r>
      <w:r>
        <w:rPr>
          <w:rFonts w:ascii="Times New Roman" w:hAnsi="Times New Roman" w:eastAsia="Times New Roman" w:cs="Times New Roman"/>
          <w:spacing w:val="3"/>
          <w:sz w:val="16"/>
          <w:szCs w:val="16"/>
        </w:rPr>
        <w:t xml:space="preserve"> </w:t>
      </w:r>
      <w:r>
        <w:rPr>
          <w:rFonts w:ascii="宋体" w:hAnsi="宋体" w:eastAsia="宋体" w:cs="宋体"/>
          <w:spacing w:val="14"/>
          <w:sz w:val="16"/>
          <w:szCs w:val="16"/>
        </w:rPr>
        <w:t>或 1</w:t>
      </w:r>
      <w:r>
        <w:rPr>
          <w:rFonts w:ascii="Times New Roman" w:hAnsi="Times New Roman" w:eastAsia="Times New Roman" w:cs="Times New Roman"/>
          <w:sz w:val="16"/>
          <w:szCs w:val="16"/>
        </w:rPr>
        <w:t>mm</w:t>
      </w:r>
      <w:r>
        <w:rPr>
          <w:rFonts w:ascii="Times New Roman" w:hAnsi="Times New Roman" w:eastAsia="Times New Roman" w:cs="Times New Roman"/>
          <w:spacing w:val="14"/>
          <w:sz w:val="16"/>
          <w:szCs w:val="16"/>
        </w:rPr>
        <w:t>²</w:t>
      </w:r>
      <w:r>
        <w:rPr>
          <w:rFonts w:ascii="Times New Roman" w:hAnsi="Times New Roman" w:eastAsia="Times New Roman" w:cs="Times New Roman"/>
          <w:spacing w:val="15"/>
          <w:w w:val="101"/>
          <w:sz w:val="16"/>
          <w:szCs w:val="16"/>
        </w:rPr>
        <w:t xml:space="preserve"> </w:t>
      </w:r>
      <w:r>
        <w:rPr>
          <w:rFonts w:ascii="宋体" w:hAnsi="宋体" w:eastAsia="宋体" w:cs="宋体"/>
          <w:spacing w:val="14"/>
          <w:sz w:val="16"/>
          <w:szCs w:val="16"/>
        </w:rPr>
        <w:t>铝芯线或铜芯线；按钮线采用</w:t>
      </w:r>
      <w:r>
        <w:rPr>
          <w:rFonts w:ascii="宋体" w:hAnsi="宋体" w:eastAsia="宋体" w:cs="宋体"/>
          <w:sz w:val="16"/>
          <w:szCs w:val="16"/>
        </w:rPr>
        <w:t xml:space="preserve"> </w:t>
      </w:r>
      <w:r>
        <w:rPr>
          <w:rFonts w:ascii="Times New Roman" w:hAnsi="Times New Roman" w:eastAsia="Times New Roman" w:cs="Times New Roman"/>
          <w:spacing w:val="4"/>
          <w:sz w:val="16"/>
          <w:szCs w:val="16"/>
        </w:rPr>
        <w:t>1</w:t>
      </w:r>
      <w:r>
        <w:rPr>
          <w:rFonts w:ascii="Times New Roman" w:hAnsi="Times New Roman" w:eastAsia="Times New Roman" w:cs="Times New Roman"/>
          <w:sz w:val="16"/>
          <w:szCs w:val="16"/>
        </w:rPr>
        <w:t>mm</w:t>
      </w:r>
      <w:r>
        <w:rPr>
          <w:rFonts w:ascii="Times New Roman" w:hAnsi="Times New Roman" w:eastAsia="Times New Roman" w:cs="Times New Roman"/>
          <w:spacing w:val="4"/>
          <w:sz w:val="16"/>
          <w:szCs w:val="16"/>
        </w:rPr>
        <w:t xml:space="preserve">² </w:t>
      </w:r>
      <w:r>
        <w:rPr>
          <w:rFonts w:ascii="宋体" w:hAnsi="宋体" w:eastAsia="宋体" w:cs="宋体"/>
          <w:spacing w:val="4"/>
          <w:sz w:val="16"/>
          <w:szCs w:val="16"/>
        </w:rPr>
        <w:t>多股铜芯软线。</w:t>
      </w:r>
    </w:p>
    <w:p w14:paraId="3962E918">
      <w:pPr>
        <w:spacing w:before="21" w:line="219" w:lineRule="auto"/>
        <w:rPr>
          <w:rFonts w:ascii="宋体" w:hAnsi="宋体" w:eastAsia="宋体" w:cs="宋体"/>
          <w:sz w:val="16"/>
          <w:szCs w:val="16"/>
        </w:rPr>
      </w:pPr>
      <w:r>
        <w:rPr>
          <w:rFonts w:ascii="宋体" w:hAnsi="宋体" w:eastAsia="宋体" w:cs="宋体"/>
          <w:spacing w:val="16"/>
          <w:sz w:val="16"/>
          <w:szCs w:val="16"/>
        </w:rPr>
        <w:t>【测试内容】</w:t>
      </w:r>
    </w:p>
    <w:p w14:paraId="19F0D626">
      <w:pPr>
        <w:spacing w:before="110" w:line="310" w:lineRule="auto"/>
        <w:ind w:left="429" w:right="859"/>
        <w:rPr>
          <w:rFonts w:ascii="宋体" w:hAnsi="宋体" w:eastAsia="宋体" w:cs="宋体"/>
          <w:sz w:val="16"/>
          <w:szCs w:val="16"/>
        </w:rPr>
      </w:pPr>
      <w:r>
        <w:rPr>
          <w:rFonts w:ascii="宋体" w:hAnsi="宋体" w:eastAsia="宋体" w:cs="宋体"/>
          <w:spacing w:val="6"/>
          <w:sz w:val="16"/>
          <w:szCs w:val="16"/>
        </w:rPr>
        <w:t>1.识读低压电器控制电路的安装原理图；</w:t>
      </w:r>
      <w:r>
        <w:rPr>
          <w:rFonts w:ascii="宋体" w:hAnsi="宋体" w:eastAsia="宋体" w:cs="宋体"/>
          <w:spacing w:val="5"/>
          <w:sz w:val="16"/>
          <w:szCs w:val="16"/>
        </w:rPr>
        <w:t xml:space="preserve"> </w:t>
      </w:r>
      <w:r>
        <w:rPr>
          <w:rFonts w:ascii="宋体" w:hAnsi="宋体" w:eastAsia="宋体" w:cs="宋体"/>
          <w:spacing w:val="6"/>
          <w:sz w:val="16"/>
          <w:szCs w:val="16"/>
        </w:rPr>
        <w:t>2.并按图完成安装；</w:t>
      </w:r>
    </w:p>
    <w:p w14:paraId="62E33CD0">
      <w:pPr>
        <w:spacing w:before="42" w:line="313" w:lineRule="auto"/>
        <w:ind w:right="2360" w:firstLine="429"/>
        <w:rPr>
          <w:rFonts w:ascii="宋体" w:hAnsi="宋体" w:eastAsia="宋体" w:cs="宋体"/>
          <w:sz w:val="16"/>
          <w:szCs w:val="16"/>
        </w:rPr>
      </w:pPr>
      <w:r>
        <w:rPr>
          <w:rFonts w:ascii="宋体" w:hAnsi="宋体" w:eastAsia="宋体" w:cs="宋体"/>
          <w:spacing w:val="6"/>
          <w:sz w:val="16"/>
          <w:szCs w:val="16"/>
        </w:rPr>
        <w:t>3.能合理布置器件。</w:t>
      </w:r>
      <w:r>
        <w:rPr>
          <w:rFonts w:ascii="宋体" w:hAnsi="宋体" w:eastAsia="宋体" w:cs="宋体"/>
          <w:sz w:val="16"/>
          <w:szCs w:val="16"/>
        </w:rPr>
        <w:t xml:space="preserve"> </w:t>
      </w:r>
      <w:r>
        <w:rPr>
          <w:rFonts w:ascii="宋体" w:hAnsi="宋体" w:eastAsia="宋体" w:cs="宋体"/>
          <w:spacing w:val="16"/>
          <w:sz w:val="16"/>
          <w:szCs w:val="16"/>
        </w:rPr>
        <w:t>【测试方法】</w:t>
      </w:r>
    </w:p>
    <w:p w14:paraId="4DE5590A">
      <w:pPr>
        <w:spacing w:before="29" w:line="325" w:lineRule="auto"/>
        <w:ind w:left="79" w:firstLine="349"/>
        <w:jc w:val="both"/>
        <w:rPr>
          <w:rFonts w:ascii="宋体" w:hAnsi="宋体" w:eastAsia="宋体" w:cs="宋体"/>
          <w:sz w:val="16"/>
          <w:szCs w:val="16"/>
        </w:rPr>
      </w:pPr>
      <w:r>
        <w:rPr>
          <w:rFonts w:ascii="宋体" w:hAnsi="宋体" w:eastAsia="宋体" w:cs="宋体"/>
          <w:spacing w:val="10"/>
          <w:sz w:val="16"/>
          <w:szCs w:val="16"/>
        </w:rPr>
        <w:t>1.电器元件的技术数据(如型号、规格、额定电压、</w:t>
      </w:r>
      <w:r>
        <w:rPr>
          <w:rFonts w:ascii="宋体" w:hAnsi="宋体" w:eastAsia="宋体" w:cs="宋体"/>
          <w:sz w:val="16"/>
          <w:szCs w:val="16"/>
        </w:rPr>
        <w:t xml:space="preserve"> </w:t>
      </w:r>
      <w:r>
        <w:rPr>
          <w:rFonts w:ascii="宋体" w:hAnsi="宋体" w:eastAsia="宋体" w:cs="宋体"/>
          <w:spacing w:val="5"/>
          <w:sz w:val="16"/>
          <w:szCs w:val="16"/>
        </w:rPr>
        <w:t>额定电流等)应完整并符合要求，外观元件无损伤，备件、</w:t>
      </w:r>
      <w:r>
        <w:rPr>
          <w:rFonts w:ascii="宋体" w:hAnsi="宋体" w:eastAsia="宋体" w:cs="宋体"/>
          <w:sz w:val="16"/>
          <w:szCs w:val="16"/>
        </w:rPr>
        <w:t xml:space="preserve"> </w:t>
      </w:r>
      <w:r>
        <w:rPr>
          <w:rFonts w:ascii="宋体" w:hAnsi="宋体" w:eastAsia="宋体" w:cs="宋体"/>
          <w:spacing w:val="4"/>
          <w:sz w:val="16"/>
          <w:szCs w:val="16"/>
        </w:rPr>
        <w:t>附件齐全完好；</w:t>
      </w:r>
    </w:p>
    <w:p w14:paraId="7AA3A891">
      <w:pPr>
        <w:spacing w:before="23" w:line="328" w:lineRule="auto"/>
        <w:ind w:left="79" w:right="70" w:firstLine="349"/>
        <w:jc w:val="both"/>
        <w:rPr>
          <w:rFonts w:ascii="宋体" w:hAnsi="宋体" w:eastAsia="宋体" w:cs="宋体"/>
          <w:sz w:val="16"/>
          <w:szCs w:val="16"/>
        </w:rPr>
      </w:pPr>
      <w:r>
        <w:rPr>
          <w:rFonts w:ascii="宋体" w:hAnsi="宋体" w:eastAsia="宋体" w:cs="宋体"/>
          <w:spacing w:val="11"/>
          <w:sz w:val="16"/>
          <w:szCs w:val="16"/>
        </w:rPr>
        <w:t>2.各元件的安装位置应整齐、匀称，间距合理，便</w:t>
      </w:r>
      <w:r>
        <w:rPr>
          <w:rFonts w:ascii="宋体" w:hAnsi="宋体" w:eastAsia="宋体" w:cs="宋体"/>
          <w:spacing w:val="13"/>
          <w:sz w:val="16"/>
          <w:szCs w:val="16"/>
        </w:rPr>
        <w:t xml:space="preserve"> </w:t>
      </w:r>
      <w:r>
        <w:rPr>
          <w:rFonts w:ascii="宋体" w:hAnsi="宋体" w:eastAsia="宋体" w:cs="宋体"/>
          <w:spacing w:val="20"/>
          <w:sz w:val="16"/>
          <w:szCs w:val="16"/>
        </w:rPr>
        <w:t>于元件的更换。紧固各元件时要用力均匀，紧固</w:t>
      </w:r>
      <w:r>
        <w:rPr>
          <w:rFonts w:ascii="宋体" w:hAnsi="宋体" w:eastAsia="宋体" w:cs="宋体"/>
          <w:spacing w:val="19"/>
          <w:sz w:val="16"/>
          <w:szCs w:val="16"/>
        </w:rPr>
        <w:t>程度</w:t>
      </w:r>
      <w:r>
        <w:rPr>
          <w:rFonts w:ascii="宋体" w:hAnsi="宋体" w:eastAsia="宋体" w:cs="宋体"/>
          <w:sz w:val="16"/>
          <w:szCs w:val="16"/>
        </w:rPr>
        <w:t xml:space="preserve"> </w:t>
      </w:r>
      <w:r>
        <w:rPr>
          <w:rFonts w:ascii="宋体" w:hAnsi="宋体" w:eastAsia="宋体" w:cs="宋体"/>
          <w:spacing w:val="3"/>
          <w:sz w:val="16"/>
          <w:szCs w:val="16"/>
        </w:rPr>
        <w:t>适当；</w:t>
      </w:r>
    </w:p>
    <w:p w14:paraId="77D35E28">
      <w:pPr>
        <w:spacing w:before="18" w:line="321" w:lineRule="auto"/>
        <w:ind w:left="80" w:right="73" w:firstLine="349"/>
        <w:rPr>
          <w:rFonts w:ascii="宋体" w:hAnsi="宋体" w:eastAsia="宋体" w:cs="宋体"/>
          <w:sz w:val="16"/>
          <w:szCs w:val="16"/>
        </w:rPr>
      </w:pPr>
      <w:r>
        <w:rPr>
          <w:rFonts w:ascii="宋体" w:hAnsi="宋体" w:eastAsia="宋体" w:cs="宋体"/>
          <w:spacing w:val="11"/>
          <w:sz w:val="16"/>
          <w:szCs w:val="16"/>
        </w:rPr>
        <w:t>3.布线通道尽可能少，同路并行导线按主、控电路</w:t>
      </w:r>
      <w:r>
        <w:rPr>
          <w:rFonts w:ascii="宋体" w:hAnsi="宋体" w:eastAsia="宋体" w:cs="宋体"/>
          <w:spacing w:val="12"/>
          <w:sz w:val="16"/>
          <w:szCs w:val="16"/>
        </w:rPr>
        <w:t xml:space="preserve"> </w:t>
      </w:r>
      <w:r>
        <w:rPr>
          <w:rFonts w:ascii="宋体" w:hAnsi="宋体" w:eastAsia="宋体" w:cs="宋体"/>
          <w:spacing w:val="8"/>
          <w:sz w:val="16"/>
          <w:szCs w:val="16"/>
        </w:rPr>
        <w:t>分类集中，单层密排，紧贴安装面布线；</w:t>
      </w:r>
    </w:p>
    <w:p w14:paraId="682E3FE0">
      <w:pPr>
        <w:spacing w:before="24" w:line="326" w:lineRule="auto"/>
        <w:ind w:left="79" w:right="72" w:firstLine="349"/>
        <w:rPr>
          <w:rFonts w:ascii="宋体" w:hAnsi="宋体" w:eastAsia="宋体" w:cs="宋体"/>
          <w:sz w:val="16"/>
          <w:szCs w:val="16"/>
        </w:rPr>
      </w:pPr>
      <w:r>
        <w:rPr>
          <w:rFonts w:ascii="宋体" w:hAnsi="宋体" w:eastAsia="宋体" w:cs="宋体"/>
          <w:spacing w:val="11"/>
          <w:sz w:val="16"/>
          <w:szCs w:val="16"/>
        </w:rPr>
        <w:t>4.同一平面的导线应高低一致或前后一致，不能交</w:t>
      </w:r>
      <w:r>
        <w:rPr>
          <w:rFonts w:ascii="宋体" w:hAnsi="宋体" w:eastAsia="宋体" w:cs="宋体"/>
          <w:spacing w:val="12"/>
          <w:sz w:val="16"/>
          <w:szCs w:val="16"/>
        </w:rPr>
        <w:t xml:space="preserve"> 叉。非交叉不可时，该根导线应在接线端子引出时，就</w:t>
      </w:r>
      <w:r>
        <w:rPr>
          <w:rFonts w:ascii="宋体" w:hAnsi="宋体" w:eastAsia="宋体" w:cs="宋体"/>
          <w:spacing w:val="8"/>
          <w:sz w:val="16"/>
          <w:szCs w:val="16"/>
        </w:rPr>
        <w:t xml:space="preserve"> </w:t>
      </w:r>
      <w:r>
        <w:rPr>
          <w:rFonts w:ascii="宋体" w:hAnsi="宋体" w:eastAsia="宋体" w:cs="宋体"/>
          <w:spacing w:val="7"/>
          <w:sz w:val="16"/>
          <w:szCs w:val="16"/>
        </w:rPr>
        <w:t>水平架空跨越，但必须走线合理；</w:t>
      </w:r>
    </w:p>
    <w:p w14:paraId="687C2159">
      <w:pPr>
        <w:spacing w:before="23" w:line="332" w:lineRule="auto"/>
        <w:ind w:left="79" w:firstLine="349"/>
        <w:rPr>
          <w:rFonts w:ascii="宋体" w:hAnsi="宋体" w:eastAsia="宋体" w:cs="宋体"/>
          <w:sz w:val="16"/>
          <w:szCs w:val="16"/>
        </w:rPr>
      </w:pPr>
      <w:r>
        <w:rPr>
          <w:rFonts w:ascii="宋体" w:hAnsi="宋体" w:eastAsia="宋体" w:cs="宋体"/>
          <w:spacing w:val="7"/>
          <w:sz w:val="16"/>
          <w:szCs w:val="16"/>
        </w:rPr>
        <w:t>5.布线应横平竖直，分布均匀。变换走向时应垂直。</w:t>
      </w:r>
      <w:r>
        <w:rPr>
          <w:rFonts w:ascii="宋体" w:hAnsi="宋体" w:eastAsia="宋体" w:cs="宋体"/>
          <w:spacing w:val="11"/>
          <w:sz w:val="16"/>
          <w:szCs w:val="16"/>
        </w:rPr>
        <w:t xml:space="preserve"> </w:t>
      </w:r>
      <w:r>
        <w:rPr>
          <w:rFonts w:ascii="宋体" w:hAnsi="宋体" w:eastAsia="宋体" w:cs="宋体"/>
          <w:spacing w:val="7"/>
          <w:sz w:val="16"/>
          <w:szCs w:val="16"/>
        </w:rPr>
        <w:t>布线时严禁损伤线芯和导线绝缘；</w:t>
      </w:r>
    </w:p>
    <w:p w14:paraId="68B47DF4">
      <w:pPr>
        <w:spacing w:before="5" w:line="321" w:lineRule="auto"/>
        <w:ind w:left="80" w:right="73" w:firstLine="349"/>
        <w:rPr>
          <w:rFonts w:ascii="宋体" w:hAnsi="宋体" w:eastAsia="宋体" w:cs="宋体"/>
          <w:sz w:val="16"/>
          <w:szCs w:val="16"/>
        </w:rPr>
      </w:pPr>
      <w:r>
        <w:rPr>
          <w:rFonts w:ascii="宋体" w:hAnsi="宋体" w:eastAsia="宋体" w:cs="宋体"/>
          <w:spacing w:val="11"/>
          <w:sz w:val="16"/>
          <w:szCs w:val="16"/>
        </w:rPr>
        <w:t>6.同一元件、同一回路的不同接点的导线间距离应</w:t>
      </w:r>
      <w:r>
        <w:rPr>
          <w:rFonts w:ascii="宋体" w:hAnsi="宋体" w:eastAsia="宋体" w:cs="宋体"/>
          <w:spacing w:val="12"/>
          <w:sz w:val="16"/>
          <w:szCs w:val="16"/>
        </w:rPr>
        <w:t xml:space="preserve"> </w:t>
      </w:r>
      <w:r>
        <w:rPr>
          <w:rFonts w:ascii="宋体" w:hAnsi="宋体" w:eastAsia="宋体" w:cs="宋体"/>
          <w:spacing w:val="6"/>
          <w:sz w:val="16"/>
          <w:szCs w:val="16"/>
        </w:rPr>
        <w:t>保持一致；</w:t>
      </w:r>
    </w:p>
    <w:p w14:paraId="5CE5C4AA">
      <w:pPr>
        <w:spacing w:before="23" w:line="320" w:lineRule="auto"/>
        <w:ind w:left="79" w:right="69" w:firstLine="349"/>
        <w:rPr>
          <w:rFonts w:ascii="宋体" w:hAnsi="宋体" w:eastAsia="宋体" w:cs="宋体"/>
          <w:sz w:val="16"/>
          <w:szCs w:val="16"/>
        </w:rPr>
      </w:pPr>
      <w:r>
        <w:rPr>
          <w:rFonts w:ascii="宋体" w:hAnsi="宋体" w:eastAsia="宋体" w:cs="宋体"/>
          <w:spacing w:val="11"/>
          <w:sz w:val="16"/>
          <w:szCs w:val="16"/>
        </w:rPr>
        <w:t>7.一个电器元件接线端子上的连接导线不得多于两</w:t>
      </w:r>
      <w:r>
        <w:rPr>
          <w:rFonts w:ascii="宋体" w:hAnsi="宋体" w:eastAsia="宋体" w:cs="宋体"/>
          <w:spacing w:val="13"/>
          <w:sz w:val="16"/>
          <w:szCs w:val="16"/>
        </w:rPr>
        <w:t xml:space="preserve"> </w:t>
      </w:r>
      <w:r>
        <w:rPr>
          <w:rFonts w:ascii="宋体" w:hAnsi="宋体" w:eastAsia="宋体" w:cs="宋体"/>
          <w:spacing w:val="5"/>
          <w:sz w:val="16"/>
          <w:szCs w:val="16"/>
        </w:rPr>
        <w:t>根，每节接线端子板上的连接导线一般只允许连接一根；</w:t>
      </w:r>
    </w:p>
    <w:p w14:paraId="2D4F552C">
      <w:pPr>
        <w:spacing w:before="24" w:line="219" w:lineRule="auto"/>
        <w:ind w:left="429"/>
        <w:rPr>
          <w:rFonts w:ascii="宋体" w:hAnsi="宋体" w:eastAsia="宋体" w:cs="宋体"/>
          <w:sz w:val="16"/>
          <w:szCs w:val="16"/>
        </w:rPr>
      </w:pPr>
      <w:r>
        <w:rPr>
          <w:rFonts w:ascii="宋体" w:hAnsi="宋体" w:eastAsia="宋体" w:cs="宋体"/>
          <w:spacing w:val="7"/>
          <w:sz w:val="16"/>
          <w:szCs w:val="16"/>
        </w:rPr>
        <w:t>8.根据电路图检查控制板布线的正确性；</w:t>
      </w:r>
    </w:p>
    <w:p w14:paraId="06837961">
      <w:pPr>
        <w:spacing w:before="100" w:line="288" w:lineRule="auto"/>
        <w:ind w:left="79" w:right="68" w:firstLine="349"/>
        <w:rPr>
          <w:rFonts w:ascii="宋体" w:hAnsi="宋体" w:eastAsia="宋体" w:cs="宋体"/>
          <w:sz w:val="16"/>
          <w:szCs w:val="16"/>
        </w:rPr>
      </w:pPr>
      <w:r>
        <w:rPr>
          <w:rFonts w:ascii="宋体" w:hAnsi="宋体" w:eastAsia="宋体" w:cs="宋体"/>
          <w:spacing w:val="11"/>
          <w:sz w:val="16"/>
          <w:szCs w:val="16"/>
        </w:rPr>
        <w:t>9.安装完毕的控制线路板，必须经过认真检查以后</w:t>
      </w:r>
      <w:r>
        <w:rPr>
          <w:rFonts w:ascii="宋体" w:hAnsi="宋体" w:eastAsia="宋体" w:cs="宋体"/>
          <w:spacing w:val="17"/>
          <w:sz w:val="16"/>
          <w:szCs w:val="16"/>
        </w:rPr>
        <w:t xml:space="preserve"> </w:t>
      </w:r>
      <w:r>
        <w:rPr>
          <w:rFonts w:ascii="宋体" w:hAnsi="宋体" w:eastAsia="宋体" w:cs="宋体"/>
          <w:spacing w:val="12"/>
          <w:sz w:val="16"/>
          <w:szCs w:val="16"/>
        </w:rPr>
        <w:t>才允许通电，以防止错接、漏接造成不能正常运转或短</w:t>
      </w:r>
      <w:r>
        <w:rPr>
          <w:rFonts w:ascii="宋体" w:hAnsi="宋体" w:eastAsia="宋体" w:cs="宋体"/>
          <w:spacing w:val="8"/>
          <w:sz w:val="16"/>
          <w:szCs w:val="16"/>
        </w:rPr>
        <w:t xml:space="preserve"> </w:t>
      </w:r>
      <w:r>
        <w:rPr>
          <w:rFonts w:ascii="宋体" w:hAnsi="宋体" w:eastAsia="宋体" w:cs="宋体"/>
          <w:spacing w:val="5"/>
          <w:sz w:val="16"/>
          <w:szCs w:val="16"/>
        </w:rPr>
        <w:t>路事故；</w:t>
      </w:r>
    </w:p>
    <w:p w14:paraId="6D5745A4">
      <w:pPr>
        <w:spacing w:line="288" w:lineRule="auto"/>
        <w:rPr>
          <w:rFonts w:ascii="宋体" w:hAnsi="宋体" w:eastAsia="宋体" w:cs="宋体"/>
          <w:sz w:val="16"/>
          <w:szCs w:val="16"/>
        </w:rPr>
        <w:sectPr>
          <w:type w:val="continuous"/>
          <w:pgSz w:w="10660" w:h="15080"/>
          <w:pgMar w:top="400" w:right="849" w:bottom="891" w:left="990" w:header="0" w:footer="747" w:gutter="0"/>
          <w:cols w:equalWidth="0" w:num="2">
            <w:col w:w="4430" w:space="100"/>
            <w:col w:w="4291"/>
          </w:cols>
        </w:sectPr>
      </w:pPr>
    </w:p>
    <w:p w14:paraId="0250C9B0">
      <w:pPr>
        <w:spacing w:before="10"/>
      </w:pPr>
    </w:p>
    <w:p w14:paraId="78403BDA">
      <w:pPr>
        <w:spacing w:before="10"/>
      </w:pPr>
    </w:p>
    <w:p w14:paraId="19C15B65">
      <w:pPr>
        <w:spacing w:before="9"/>
      </w:pPr>
    </w:p>
    <w:p w14:paraId="083CAC3C">
      <w:pPr>
        <w:spacing w:before="9"/>
      </w:pPr>
    </w:p>
    <w:p w14:paraId="4E72B255">
      <w:pPr>
        <w:sectPr>
          <w:footerReference r:id="rId158" w:type="default"/>
          <w:pgSz w:w="10660" w:h="15080"/>
          <w:pgMar w:top="400" w:right="1014" w:bottom="898" w:left="819" w:header="0" w:footer="745" w:gutter="0"/>
          <w:cols w:equalWidth="0" w:num="1">
            <w:col w:w="8826"/>
          </w:cols>
        </w:sectPr>
      </w:pPr>
    </w:p>
    <w:p w14:paraId="05FEEC2B">
      <w:pPr>
        <w:spacing w:line="306" w:lineRule="auto"/>
        <w:ind w:left="52" w:right="198" w:firstLine="350"/>
        <w:rPr>
          <w:rFonts w:ascii="宋体" w:hAnsi="宋体" w:eastAsia="宋体" w:cs="宋体"/>
          <w:sz w:val="17"/>
          <w:szCs w:val="17"/>
        </w:rPr>
      </w:pPr>
      <w:r>
        <w:rPr>
          <w:rFonts w:ascii="宋体" w:hAnsi="宋体" w:eastAsia="宋体" w:cs="宋体"/>
          <w:b/>
          <w:bCs/>
          <w:spacing w:val="2"/>
          <w:sz w:val="17"/>
          <w:szCs w:val="17"/>
        </w:rPr>
        <w:t>10.按电路图或接线图从电源端开始，逐段核对接</w:t>
      </w:r>
      <w:r>
        <w:rPr>
          <w:rFonts w:ascii="宋体" w:hAnsi="宋体" w:eastAsia="宋体" w:cs="宋体"/>
          <w:spacing w:val="18"/>
          <w:sz w:val="17"/>
          <w:szCs w:val="17"/>
        </w:rPr>
        <w:t xml:space="preserve"> </w:t>
      </w:r>
      <w:r>
        <w:rPr>
          <w:rFonts w:ascii="宋体" w:hAnsi="宋体" w:eastAsia="宋体" w:cs="宋体"/>
          <w:b/>
          <w:bCs/>
          <w:spacing w:val="-1"/>
          <w:sz w:val="17"/>
          <w:szCs w:val="17"/>
        </w:rPr>
        <w:t>线及接线端子处线号是否正确，有无漏接、错接之处。</w:t>
      </w:r>
      <w:r>
        <w:rPr>
          <w:rFonts w:ascii="宋体" w:hAnsi="宋体" w:eastAsia="宋体" w:cs="宋体"/>
          <w:sz w:val="17"/>
          <w:szCs w:val="17"/>
        </w:rPr>
        <w:t xml:space="preserve"> </w:t>
      </w:r>
      <w:r>
        <w:rPr>
          <w:rFonts w:ascii="宋体" w:hAnsi="宋体" w:eastAsia="宋体" w:cs="宋体"/>
          <w:b/>
          <w:bCs/>
          <w:spacing w:val="-4"/>
          <w:sz w:val="17"/>
          <w:szCs w:val="17"/>
        </w:rPr>
        <w:t>检查导线接点是否符合要求，压接是否牢固；</w:t>
      </w:r>
    </w:p>
    <w:p w14:paraId="0F24C037">
      <w:pPr>
        <w:spacing w:before="34" w:line="219" w:lineRule="auto"/>
        <w:ind w:left="402"/>
        <w:rPr>
          <w:rFonts w:ascii="宋体" w:hAnsi="宋体" w:eastAsia="宋体" w:cs="宋体"/>
          <w:sz w:val="17"/>
          <w:szCs w:val="17"/>
        </w:rPr>
      </w:pPr>
      <w:r>
        <w:rPr>
          <w:rFonts w:ascii="宋体" w:hAnsi="宋体" w:eastAsia="宋体" w:cs="宋体"/>
          <w:b/>
          <w:bCs/>
          <w:spacing w:val="-5"/>
          <w:sz w:val="17"/>
          <w:szCs w:val="17"/>
        </w:rPr>
        <w:t>11.安全文明生产及其他事项。</w:t>
      </w:r>
    </w:p>
    <w:p w14:paraId="68C85EA8">
      <w:pPr>
        <w:spacing w:before="81" w:line="221" w:lineRule="auto"/>
        <w:ind w:left="45"/>
        <w:rPr>
          <w:rFonts w:ascii="宋体" w:hAnsi="宋体" w:eastAsia="宋体" w:cs="宋体"/>
          <w:sz w:val="17"/>
          <w:szCs w:val="17"/>
        </w:rPr>
      </w:pPr>
      <w:r>
        <w:rPr>
          <w:rFonts w:ascii="宋体" w:hAnsi="宋体" w:eastAsia="宋体" w:cs="宋体"/>
          <w:spacing w:val="6"/>
          <w:sz w:val="17"/>
          <w:szCs w:val="17"/>
        </w:rPr>
        <w:t>【测试要求】</w:t>
      </w:r>
    </w:p>
    <w:p w14:paraId="6B160766">
      <w:pPr>
        <w:spacing w:before="84" w:line="302" w:lineRule="auto"/>
        <w:ind w:left="49" w:right="210" w:firstLine="350"/>
        <w:rPr>
          <w:rFonts w:ascii="宋体" w:hAnsi="宋体" w:eastAsia="宋体" w:cs="宋体"/>
          <w:sz w:val="17"/>
          <w:szCs w:val="17"/>
        </w:rPr>
      </w:pPr>
      <w:r>
        <w:rPr>
          <w:rFonts w:ascii="宋体" w:hAnsi="宋体" w:eastAsia="宋体" w:cs="宋体"/>
          <w:sz w:val="17"/>
          <w:szCs w:val="17"/>
        </w:rPr>
        <w:t>1.识读接触器自锁正转控制电路的原理图，明确线</w:t>
      </w:r>
      <w:r>
        <w:rPr>
          <w:rFonts w:ascii="宋体" w:hAnsi="宋体" w:eastAsia="宋体" w:cs="宋体"/>
          <w:spacing w:val="11"/>
          <w:sz w:val="17"/>
          <w:szCs w:val="17"/>
        </w:rPr>
        <w:t xml:space="preserve"> </w:t>
      </w:r>
      <w:r>
        <w:rPr>
          <w:rFonts w:ascii="宋体" w:hAnsi="宋体" w:eastAsia="宋体" w:cs="宋体"/>
          <w:spacing w:val="-1"/>
          <w:sz w:val="17"/>
          <w:szCs w:val="17"/>
        </w:rPr>
        <w:t>路所用电器元件及作用，熟悉线路的工作原理；</w:t>
      </w:r>
    </w:p>
    <w:p w14:paraId="0F2310D8">
      <w:pPr>
        <w:spacing w:before="26" w:line="312" w:lineRule="auto"/>
        <w:ind w:left="49" w:right="173" w:firstLine="350"/>
        <w:rPr>
          <w:rFonts w:ascii="宋体" w:hAnsi="宋体" w:eastAsia="宋体" w:cs="宋体"/>
          <w:sz w:val="17"/>
          <w:szCs w:val="17"/>
        </w:rPr>
      </w:pPr>
      <w:r>
        <w:rPr>
          <w:rFonts w:ascii="宋体" w:hAnsi="宋体" w:eastAsia="宋体" w:cs="宋体"/>
          <w:spacing w:val="10"/>
          <w:sz w:val="17"/>
          <w:szCs w:val="17"/>
        </w:rPr>
        <w:t>2.按要求配齐所用电器元件，安装调试，</w:t>
      </w:r>
      <w:r>
        <w:rPr>
          <w:rFonts w:ascii="宋体" w:hAnsi="宋体" w:eastAsia="宋体" w:cs="宋体"/>
          <w:spacing w:val="9"/>
          <w:sz w:val="17"/>
          <w:szCs w:val="17"/>
        </w:rPr>
        <w:t>并进行</w:t>
      </w:r>
      <w:r>
        <w:rPr>
          <w:rFonts w:ascii="宋体" w:hAnsi="宋体" w:eastAsia="宋体" w:cs="宋体"/>
          <w:sz w:val="17"/>
          <w:szCs w:val="17"/>
        </w:rPr>
        <w:t xml:space="preserve"> </w:t>
      </w:r>
      <w:r>
        <w:rPr>
          <w:rFonts w:ascii="宋体" w:hAnsi="宋体" w:eastAsia="宋体" w:cs="宋体"/>
          <w:spacing w:val="1"/>
          <w:sz w:val="17"/>
          <w:szCs w:val="17"/>
        </w:rPr>
        <w:t>检验。</w:t>
      </w:r>
    </w:p>
    <w:p w14:paraId="244D06C3">
      <w:pPr>
        <w:spacing w:before="15" w:line="220" w:lineRule="auto"/>
        <w:ind w:left="45"/>
        <w:rPr>
          <w:rFonts w:ascii="宋体" w:hAnsi="宋体" w:eastAsia="宋体" w:cs="宋体"/>
          <w:sz w:val="17"/>
          <w:szCs w:val="17"/>
        </w:rPr>
      </w:pPr>
      <w:r>
        <w:rPr>
          <w:rFonts w:ascii="宋体" w:hAnsi="宋体" w:eastAsia="宋体" w:cs="宋体"/>
          <w:spacing w:val="6"/>
          <w:sz w:val="17"/>
          <w:szCs w:val="17"/>
        </w:rPr>
        <w:t>【测试赋分】</w:t>
      </w:r>
    </w:p>
    <w:p w14:paraId="6431ED46">
      <w:pPr>
        <w:spacing w:before="78" w:line="229" w:lineRule="auto"/>
        <w:ind w:left="400"/>
        <w:rPr>
          <w:rFonts w:ascii="宋体" w:hAnsi="宋体" w:eastAsia="宋体" w:cs="宋体"/>
          <w:sz w:val="17"/>
          <w:szCs w:val="17"/>
        </w:rPr>
      </w:pPr>
      <w:r>
        <w:rPr>
          <w:rFonts w:ascii="宋体" w:hAnsi="宋体" w:eastAsia="宋体" w:cs="宋体"/>
          <w:spacing w:val="2"/>
          <w:sz w:val="17"/>
          <w:szCs w:val="17"/>
        </w:rPr>
        <w:t>1.识别器件</w:t>
      </w:r>
      <w:r>
        <w:rPr>
          <w:rFonts w:ascii="宋体" w:hAnsi="宋体" w:eastAsia="宋体" w:cs="宋体"/>
          <w:sz w:val="17"/>
          <w:szCs w:val="17"/>
        </w:rPr>
        <w:t xml:space="preserve">                           </w:t>
      </w:r>
      <w:r>
        <w:rPr>
          <w:rFonts w:ascii="宋体" w:hAnsi="宋体" w:eastAsia="宋体" w:cs="宋体"/>
          <w:spacing w:val="2"/>
          <w:sz w:val="17"/>
          <w:szCs w:val="17"/>
        </w:rPr>
        <w:t>30分</w:t>
      </w:r>
    </w:p>
    <w:p w14:paraId="10AF06B8">
      <w:pPr>
        <w:spacing w:before="78" w:line="231" w:lineRule="auto"/>
        <w:ind w:left="400"/>
        <w:rPr>
          <w:rFonts w:ascii="宋体" w:hAnsi="宋体" w:eastAsia="宋体" w:cs="宋体"/>
          <w:sz w:val="17"/>
          <w:szCs w:val="17"/>
        </w:rPr>
      </w:pPr>
      <w:r>
        <w:rPr>
          <w:rFonts w:ascii="宋体" w:hAnsi="宋体" w:eastAsia="宋体" w:cs="宋体"/>
          <w:spacing w:val="3"/>
          <w:sz w:val="17"/>
          <w:szCs w:val="17"/>
        </w:rPr>
        <w:t>2.安装电路</w:t>
      </w:r>
      <w:r>
        <w:rPr>
          <w:rFonts w:ascii="宋体" w:hAnsi="宋体" w:eastAsia="宋体" w:cs="宋体"/>
          <w:sz w:val="17"/>
          <w:szCs w:val="17"/>
        </w:rPr>
        <w:t xml:space="preserve">                           </w:t>
      </w:r>
      <w:r>
        <w:rPr>
          <w:rFonts w:ascii="宋体" w:hAnsi="宋体" w:eastAsia="宋体" w:cs="宋体"/>
          <w:spacing w:val="3"/>
          <w:sz w:val="17"/>
          <w:szCs w:val="17"/>
        </w:rPr>
        <w:t>60分</w:t>
      </w:r>
    </w:p>
    <w:p w14:paraId="5BC5B41F">
      <w:pPr>
        <w:spacing w:before="86" w:line="220" w:lineRule="auto"/>
        <w:ind w:left="400"/>
        <w:rPr>
          <w:rFonts w:ascii="宋体" w:hAnsi="宋体" w:eastAsia="宋体" w:cs="宋体"/>
          <w:sz w:val="17"/>
          <w:szCs w:val="17"/>
        </w:rPr>
      </w:pPr>
      <w:r>
        <w:rPr>
          <w:rFonts w:ascii="宋体" w:hAnsi="宋体" w:eastAsia="宋体" w:cs="宋体"/>
          <w:spacing w:val="4"/>
          <w:sz w:val="17"/>
          <w:szCs w:val="17"/>
        </w:rPr>
        <w:t>3.布线</w:t>
      </w:r>
      <w:r>
        <w:rPr>
          <w:rFonts w:ascii="宋体" w:hAnsi="宋体" w:eastAsia="宋体" w:cs="宋体"/>
          <w:sz w:val="17"/>
          <w:szCs w:val="17"/>
        </w:rPr>
        <w:t xml:space="preserve">                               </w:t>
      </w:r>
      <w:r>
        <w:rPr>
          <w:rFonts w:ascii="宋体" w:hAnsi="宋体" w:eastAsia="宋体" w:cs="宋体"/>
          <w:spacing w:val="4"/>
          <w:sz w:val="17"/>
          <w:szCs w:val="17"/>
        </w:rPr>
        <w:t>30分</w:t>
      </w:r>
    </w:p>
    <w:p w14:paraId="400FD722">
      <w:pPr>
        <w:spacing w:before="89" w:line="221" w:lineRule="auto"/>
        <w:ind w:left="400"/>
        <w:rPr>
          <w:rFonts w:ascii="宋体" w:hAnsi="宋体" w:eastAsia="宋体" w:cs="宋体"/>
          <w:sz w:val="17"/>
          <w:szCs w:val="17"/>
        </w:rPr>
      </w:pPr>
      <w:r>
        <w:rPr>
          <w:rFonts w:ascii="宋体" w:hAnsi="宋体" w:eastAsia="宋体" w:cs="宋体"/>
          <w:spacing w:val="3"/>
          <w:sz w:val="17"/>
          <w:szCs w:val="17"/>
        </w:rPr>
        <w:t>4.通电测试                          70分</w:t>
      </w:r>
    </w:p>
    <w:p w14:paraId="72E5D340">
      <w:pPr>
        <w:spacing w:before="77" w:line="231" w:lineRule="auto"/>
        <w:ind w:left="400"/>
        <w:rPr>
          <w:rFonts w:ascii="宋体" w:hAnsi="宋体" w:eastAsia="宋体" w:cs="宋体"/>
          <w:sz w:val="17"/>
          <w:szCs w:val="17"/>
        </w:rPr>
      </w:pPr>
      <w:r>
        <w:rPr>
          <w:rFonts w:ascii="宋体" w:hAnsi="宋体" w:eastAsia="宋体" w:cs="宋体"/>
          <w:spacing w:val="4"/>
          <w:sz w:val="17"/>
          <w:szCs w:val="17"/>
        </w:rPr>
        <w:t>5.时间无超时</w:t>
      </w:r>
      <w:r>
        <w:rPr>
          <w:rFonts w:ascii="宋体" w:hAnsi="宋体" w:eastAsia="宋体" w:cs="宋体"/>
          <w:spacing w:val="3"/>
          <w:sz w:val="17"/>
          <w:szCs w:val="17"/>
        </w:rPr>
        <w:t xml:space="preserve">                        </w:t>
      </w:r>
      <w:r>
        <w:rPr>
          <w:rFonts w:ascii="宋体" w:hAnsi="宋体" w:eastAsia="宋体" w:cs="宋体"/>
          <w:spacing w:val="4"/>
          <w:sz w:val="17"/>
          <w:szCs w:val="17"/>
        </w:rPr>
        <w:t>15分</w:t>
      </w:r>
    </w:p>
    <w:p w14:paraId="08EA62C3">
      <w:pPr>
        <w:spacing w:before="76" w:line="231" w:lineRule="auto"/>
        <w:ind w:left="400"/>
        <w:rPr>
          <w:rFonts w:ascii="宋体" w:hAnsi="宋体" w:eastAsia="宋体" w:cs="宋体"/>
          <w:sz w:val="17"/>
          <w:szCs w:val="17"/>
        </w:rPr>
      </w:pPr>
      <w:r>
        <w:rPr>
          <w:rFonts w:ascii="宋体" w:hAnsi="宋体" w:eastAsia="宋体" w:cs="宋体"/>
          <w:spacing w:val="6"/>
          <w:sz w:val="17"/>
          <w:szCs w:val="17"/>
        </w:rPr>
        <w:t>6.仪表使用</w:t>
      </w:r>
      <w:r>
        <w:rPr>
          <w:rFonts w:ascii="宋体" w:hAnsi="宋体" w:eastAsia="宋体" w:cs="宋体"/>
          <w:spacing w:val="2"/>
          <w:sz w:val="17"/>
          <w:szCs w:val="17"/>
        </w:rPr>
        <w:t xml:space="preserve">                          </w:t>
      </w:r>
      <w:r>
        <w:rPr>
          <w:rFonts w:ascii="宋体" w:hAnsi="宋体" w:eastAsia="宋体" w:cs="宋体"/>
          <w:spacing w:val="6"/>
          <w:sz w:val="17"/>
          <w:szCs w:val="17"/>
        </w:rPr>
        <w:t>20分</w:t>
      </w:r>
    </w:p>
    <w:p w14:paraId="5A4675A4">
      <w:pPr>
        <w:spacing w:before="78" w:line="219" w:lineRule="auto"/>
        <w:ind w:left="400"/>
        <w:rPr>
          <w:rFonts w:ascii="宋体" w:hAnsi="宋体" w:eastAsia="宋体" w:cs="宋体"/>
          <w:sz w:val="17"/>
          <w:szCs w:val="17"/>
        </w:rPr>
      </w:pPr>
      <w:r>
        <w:rPr>
          <w:rFonts w:ascii="宋体" w:hAnsi="宋体" w:eastAsia="宋体" w:cs="宋体"/>
          <w:spacing w:val="3"/>
          <w:sz w:val="17"/>
          <w:szCs w:val="17"/>
        </w:rPr>
        <w:t>7.根据职业素养评分要求，现场给分</w:t>
      </w:r>
      <w:r>
        <w:rPr>
          <w:rFonts w:ascii="宋体" w:hAnsi="宋体" w:eastAsia="宋体" w:cs="宋体"/>
          <w:spacing w:val="27"/>
          <w:sz w:val="17"/>
          <w:szCs w:val="17"/>
        </w:rPr>
        <w:t xml:space="preserve">   </w:t>
      </w:r>
      <w:r>
        <w:rPr>
          <w:rFonts w:ascii="宋体" w:hAnsi="宋体" w:eastAsia="宋体" w:cs="宋体"/>
          <w:spacing w:val="3"/>
          <w:sz w:val="17"/>
          <w:szCs w:val="17"/>
        </w:rPr>
        <w:t>25分</w:t>
      </w:r>
    </w:p>
    <w:p w14:paraId="02A1D5F9">
      <w:pPr>
        <w:pStyle w:val="2"/>
        <w:spacing w:line="290" w:lineRule="auto"/>
      </w:pPr>
    </w:p>
    <w:p w14:paraId="36E5D770">
      <w:pPr>
        <w:pStyle w:val="2"/>
        <w:spacing w:before="65" w:line="219" w:lineRule="auto"/>
        <w:ind w:left="582"/>
        <w:rPr>
          <w:rFonts w:ascii="宋体" w:hAnsi="宋体" w:eastAsia="宋体" w:cs="宋体"/>
          <w:sz w:val="20"/>
          <w:szCs w:val="20"/>
        </w:rPr>
      </w:pPr>
      <w:r>
        <w:rPr>
          <w:rFonts w:ascii="宋体" w:hAnsi="宋体" w:eastAsia="宋体" w:cs="宋体"/>
          <w:b/>
          <w:bCs/>
          <w:sz w:val="20"/>
          <w:szCs w:val="20"/>
        </w:rPr>
        <w:t>项目三</w:t>
      </w:r>
      <w:r>
        <w:rPr>
          <w:rFonts w:ascii="宋体" w:hAnsi="宋体" w:eastAsia="宋体" w:cs="宋体"/>
          <w:spacing w:val="3"/>
          <w:sz w:val="20"/>
          <w:szCs w:val="20"/>
        </w:rPr>
        <w:t xml:space="preserve">  </w:t>
      </w:r>
      <w:r>
        <w:rPr>
          <w:rFonts w:ascii="宋体" w:hAnsi="宋体" w:eastAsia="宋体" w:cs="宋体"/>
          <w:b/>
          <w:bCs/>
          <w:sz w:val="20"/>
          <w:szCs w:val="20"/>
        </w:rPr>
        <w:t>利用</w:t>
      </w:r>
      <w:r>
        <w:rPr>
          <w:b/>
          <w:bCs/>
          <w:sz w:val="20"/>
          <w:szCs w:val="20"/>
        </w:rPr>
        <w:t xml:space="preserve">CAD </w:t>
      </w:r>
      <w:r>
        <w:rPr>
          <w:rFonts w:ascii="宋体" w:hAnsi="宋体" w:eastAsia="宋体" w:cs="宋体"/>
          <w:b/>
          <w:bCs/>
          <w:sz w:val="20"/>
          <w:szCs w:val="20"/>
        </w:rPr>
        <w:t>绘制线路站场图</w:t>
      </w:r>
    </w:p>
    <w:p w14:paraId="53FB339D">
      <w:pPr>
        <w:spacing w:before="235" w:line="221" w:lineRule="auto"/>
        <w:ind w:left="45"/>
        <w:rPr>
          <w:rFonts w:ascii="宋体" w:hAnsi="宋体" w:eastAsia="宋体" w:cs="宋体"/>
          <w:sz w:val="17"/>
          <w:szCs w:val="17"/>
        </w:rPr>
      </w:pPr>
      <w:r>
        <w:rPr>
          <w:rFonts w:ascii="宋体" w:hAnsi="宋体" w:eastAsia="宋体" w:cs="宋体"/>
          <w:spacing w:val="6"/>
          <w:sz w:val="17"/>
          <w:szCs w:val="17"/>
        </w:rPr>
        <w:t>【测试用具】</w:t>
      </w:r>
    </w:p>
    <w:p w14:paraId="514EF77F">
      <w:pPr>
        <w:spacing w:before="84" w:line="219" w:lineRule="auto"/>
        <w:ind w:left="400"/>
        <w:rPr>
          <w:rFonts w:ascii="宋体" w:hAnsi="宋体" w:eastAsia="宋体" w:cs="宋体"/>
          <w:sz w:val="17"/>
          <w:szCs w:val="17"/>
        </w:rPr>
      </w:pPr>
      <w:r>
        <w:rPr>
          <w:rFonts w:ascii="宋体" w:hAnsi="宋体" w:eastAsia="宋体" w:cs="宋体"/>
          <w:spacing w:val="-3"/>
          <w:sz w:val="17"/>
          <w:szCs w:val="17"/>
        </w:rPr>
        <w:t>1.仪器设备：计算机、打印机；</w:t>
      </w:r>
    </w:p>
    <w:p w14:paraId="19E3B21A">
      <w:pPr>
        <w:spacing w:before="99" w:line="291" w:lineRule="auto"/>
        <w:ind w:left="400" w:right="2097"/>
        <w:rPr>
          <w:rFonts w:ascii="宋体" w:hAnsi="宋体" w:eastAsia="宋体" w:cs="宋体"/>
          <w:sz w:val="17"/>
          <w:szCs w:val="17"/>
        </w:rPr>
      </w:pPr>
      <w:r>
        <w:rPr>
          <w:rFonts w:ascii="Times New Roman" w:hAnsi="Times New Roman" w:eastAsia="Times New Roman" w:cs="Times New Roman"/>
          <w:spacing w:val="-3"/>
          <w:sz w:val="17"/>
          <w:szCs w:val="17"/>
        </w:rPr>
        <w:t>2.</w:t>
      </w:r>
      <w:r>
        <w:rPr>
          <w:rFonts w:ascii="Times New Roman" w:hAnsi="Times New Roman" w:eastAsia="Times New Roman" w:cs="Times New Roman"/>
          <w:spacing w:val="20"/>
          <w:sz w:val="17"/>
          <w:szCs w:val="17"/>
        </w:rPr>
        <w:t xml:space="preserve"> </w:t>
      </w:r>
      <w:r>
        <w:rPr>
          <w:rFonts w:ascii="宋体" w:hAnsi="宋体" w:eastAsia="宋体" w:cs="宋体"/>
          <w:spacing w:val="-3"/>
          <w:sz w:val="17"/>
          <w:szCs w:val="17"/>
        </w:rPr>
        <w:t>软件：</w:t>
      </w:r>
      <w:r>
        <w:rPr>
          <w:rFonts w:ascii="Times New Roman" w:hAnsi="Times New Roman" w:eastAsia="Times New Roman" w:cs="Times New Roman"/>
          <w:spacing w:val="-3"/>
          <w:sz w:val="17"/>
          <w:szCs w:val="17"/>
        </w:rPr>
        <w:t>AutoCAD</w:t>
      </w:r>
      <w:r>
        <w:rPr>
          <w:rFonts w:ascii="宋体" w:hAnsi="宋体" w:eastAsia="宋体" w:cs="宋体"/>
          <w:spacing w:val="-3"/>
          <w:sz w:val="17"/>
          <w:szCs w:val="17"/>
        </w:rPr>
        <w:t>软件；</w:t>
      </w:r>
      <w:r>
        <w:rPr>
          <w:rFonts w:ascii="宋体" w:hAnsi="宋体" w:eastAsia="宋体" w:cs="宋体"/>
          <w:sz w:val="17"/>
          <w:szCs w:val="17"/>
        </w:rPr>
        <w:t xml:space="preserve"> 3.一张线路站场图。</w:t>
      </w:r>
    </w:p>
    <w:p w14:paraId="0D862850">
      <w:pPr>
        <w:spacing w:before="45" w:line="219" w:lineRule="auto"/>
        <w:ind w:left="45"/>
        <w:rPr>
          <w:rFonts w:ascii="宋体" w:hAnsi="宋体" w:eastAsia="宋体" w:cs="宋体"/>
          <w:sz w:val="17"/>
          <w:szCs w:val="17"/>
        </w:rPr>
      </w:pPr>
      <w:r>
        <w:rPr>
          <w:rFonts w:ascii="宋体" w:hAnsi="宋体" w:eastAsia="宋体" w:cs="宋体"/>
          <w:spacing w:val="6"/>
          <w:sz w:val="17"/>
          <w:szCs w:val="17"/>
        </w:rPr>
        <w:t>【测试内容】</w:t>
      </w:r>
    </w:p>
    <w:p w14:paraId="6E7C8F51">
      <w:pPr>
        <w:spacing w:before="77" w:line="306" w:lineRule="auto"/>
        <w:ind w:left="49" w:right="117" w:firstLine="350"/>
        <w:jc w:val="both"/>
        <w:rPr>
          <w:rFonts w:ascii="宋体" w:hAnsi="宋体" w:eastAsia="宋体" w:cs="宋体"/>
          <w:sz w:val="17"/>
          <w:szCs w:val="17"/>
        </w:rPr>
      </w:pPr>
      <w:r>
        <w:rPr>
          <w:rFonts w:ascii="宋体" w:hAnsi="宋体" w:eastAsia="宋体" w:cs="宋体"/>
          <w:spacing w:val="-3"/>
          <w:sz w:val="17"/>
          <w:szCs w:val="17"/>
        </w:rPr>
        <w:t>主要考核选手作品图形的完整性，尺寸标注的正确、</w:t>
      </w:r>
      <w:r>
        <w:rPr>
          <w:rFonts w:ascii="宋体" w:hAnsi="宋体" w:eastAsia="宋体" w:cs="宋体"/>
          <w:spacing w:val="3"/>
          <w:sz w:val="17"/>
          <w:szCs w:val="17"/>
        </w:rPr>
        <w:t xml:space="preserve"> </w:t>
      </w:r>
      <w:r>
        <w:rPr>
          <w:rFonts w:ascii="宋体" w:hAnsi="宋体" w:eastAsia="宋体" w:cs="宋体"/>
          <w:spacing w:val="-9"/>
          <w:sz w:val="17"/>
          <w:szCs w:val="17"/>
        </w:rPr>
        <w:t>完整、清晰、合理等，图面信息的完整性、布局的合理性，</w:t>
      </w:r>
      <w:r>
        <w:rPr>
          <w:rFonts w:ascii="宋体" w:hAnsi="宋体" w:eastAsia="宋体" w:cs="宋体"/>
          <w:spacing w:val="8"/>
          <w:sz w:val="17"/>
          <w:szCs w:val="17"/>
        </w:rPr>
        <w:t xml:space="preserve"> </w:t>
      </w:r>
      <w:r>
        <w:rPr>
          <w:rFonts w:ascii="宋体" w:hAnsi="宋体" w:eastAsia="宋体" w:cs="宋体"/>
          <w:spacing w:val="-3"/>
          <w:sz w:val="17"/>
          <w:szCs w:val="17"/>
        </w:rPr>
        <w:t>与国标的相符度以及虚拟打印等。</w:t>
      </w:r>
    </w:p>
    <w:p w14:paraId="7F6B48F4">
      <w:pPr>
        <w:spacing w:before="37" w:line="221" w:lineRule="auto"/>
        <w:ind w:left="45"/>
        <w:rPr>
          <w:rFonts w:ascii="宋体" w:hAnsi="宋体" w:eastAsia="宋体" w:cs="宋体"/>
          <w:sz w:val="17"/>
          <w:szCs w:val="17"/>
        </w:rPr>
      </w:pPr>
      <w:r>
        <w:rPr>
          <w:rFonts w:ascii="宋体" w:hAnsi="宋体" w:eastAsia="宋体" w:cs="宋体"/>
          <w:spacing w:val="6"/>
          <w:sz w:val="17"/>
          <w:szCs w:val="17"/>
        </w:rPr>
        <w:t>【测试方法】</w:t>
      </w:r>
    </w:p>
    <w:p w14:paraId="52C232C1">
      <w:pPr>
        <w:spacing w:before="85" w:line="290" w:lineRule="auto"/>
        <w:ind w:left="400" w:right="1557"/>
        <w:rPr>
          <w:rFonts w:ascii="宋体" w:hAnsi="宋体" w:eastAsia="宋体" w:cs="宋体"/>
          <w:sz w:val="17"/>
          <w:szCs w:val="17"/>
        </w:rPr>
      </w:pPr>
      <w:r>
        <w:rPr>
          <w:rFonts w:ascii="Times New Roman" w:hAnsi="Times New Roman" w:eastAsia="Times New Roman" w:cs="Times New Roman"/>
          <w:spacing w:val="-2"/>
          <w:sz w:val="17"/>
          <w:szCs w:val="17"/>
        </w:rPr>
        <w:t xml:space="preserve">1. </w:t>
      </w:r>
      <w:r>
        <w:rPr>
          <w:rFonts w:ascii="宋体" w:hAnsi="宋体" w:eastAsia="宋体" w:cs="宋体"/>
          <w:spacing w:val="-2"/>
          <w:sz w:val="17"/>
          <w:szCs w:val="17"/>
        </w:rPr>
        <w:t>熟练掌握</w:t>
      </w:r>
      <w:r>
        <w:rPr>
          <w:rFonts w:ascii="Times New Roman" w:hAnsi="Times New Roman" w:eastAsia="Times New Roman" w:cs="Times New Roman"/>
          <w:spacing w:val="-2"/>
          <w:sz w:val="17"/>
          <w:szCs w:val="17"/>
        </w:rPr>
        <w:t>AutoCAD</w:t>
      </w:r>
      <w:r>
        <w:rPr>
          <w:rFonts w:ascii="Times New Roman" w:hAnsi="Times New Roman" w:eastAsia="Times New Roman" w:cs="Times New Roman"/>
          <w:sz w:val="17"/>
          <w:szCs w:val="17"/>
        </w:rPr>
        <w:t xml:space="preserve"> </w:t>
      </w:r>
      <w:r>
        <w:rPr>
          <w:rFonts w:ascii="宋体" w:hAnsi="宋体" w:eastAsia="宋体" w:cs="宋体"/>
          <w:spacing w:val="-2"/>
          <w:sz w:val="17"/>
          <w:szCs w:val="17"/>
        </w:rPr>
        <w:t>制图工具；</w:t>
      </w:r>
      <w:r>
        <w:rPr>
          <w:rFonts w:ascii="宋体" w:hAnsi="宋体" w:eastAsia="宋体" w:cs="宋体"/>
          <w:sz w:val="17"/>
          <w:szCs w:val="17"/>
        </w:rPr>
        <w:t xml:space="preserve"> </w:t>
      </w:r>
      <w:r>
        <w:rPr>
          <w:rFonts w:ascii="宋体" w:hAnsi="宋体" w:eastAsia="宋体" w:cs="宋体"/>
          <w:spacing w:val="-3"/>
          <w:sz w:val="17"/>
          <w:szCs w:val="17"/>
        </w:rPr>
        <w:t>2.绘制基本图形；</w:t>
      </w:r>
    </w:p>
    <w:p w14:paraId="01E4176F">
      <w:pPr>
        <w:spacing w:before="37" w:line="220" w:lineRule="auto"/>
        <w:ind w:left="400"/>
        <w:rPr>
          <w:rFonts w:ascii="宋体" w:hAnsi="宋体" w:eastAsia="宋体" w:cs="宋体"/>
          <w:sz w:val="17"/>
          <w:szCs w:val="17"/>
        </w:rPr>
      </w:pPr>
      <w:r>
        <w:rPr>
          <w:rFonts w:ascii="宋体" w:hAnsi="宋体" w:eastAsia="宋体" w:cs="宋体"/>
          <w:spacing w:val="-2"/>
          <w:sz w:val="17"/>
          <w:szCs w:val="17"/>
        </w:rPr>
        <w:t>3.绘制站场平面图；</w:t>
      </w:r>
    </w:p>
    <w:p w14:paraId="1FFEB6F2">
      <w:pPr>
        <w:spacing w:before="106" w:line="283" w:lineRule="auto"/>
        <w:ind w:left="45" w:right="907" w:firstLine="355"/>
        <w:rPr>
          <w:rFonts w:ascii="宋体" w:hAnsi="宋体" w:eastAsia="宋体" w:cs="宋体"/>
          <w:sz w:val="17"/>
          <w:szCs w:val="17"/>
        </w:rPr>
      </w:pPr>
      <w:r>
        <w:rPr>
          <w:rFonts w:ascii="宋体" w:hAnsi="宋体" w:eastAsia="宋体" w:cs="宋体"/>
          <w:spacing w:val="8"/>
          <w:sz w:val="17"/>
          <w:szCs w:val="17"/>
        </w:rPr>
        <w:t>4.图纸输出(所有图纸虚拟打印输出)。</w:t>
      </w:r>
      <w:r>
        <w:rPr>
          <w:rFonts w:ascii="宋体" w:hAnsi="宋体" w:eastAsia="宋体" w:cs="宋体"/>
          <w:spacing w:val="11"/>
          <w:sz w:val="17"/>
          <w:szCs w:val="17"/>
        </w:rPr>
        <w:t xml:space="preserve"> </w:t>
      </w:r>
      <w:r>
        <w:rPr>
          <w:rFonts w:ascii="宋体" w:hAnsi="宋体" w:eastAsia="宋体" w:cs="宋体"/>
          <w:spacing w:val="6"/>
          <w:sz w:val="17"/>
          <w:szCs w:val="17"/>
        </w:rPr>
        <w:t>【测试要求】</w:t>
      </w:r>
    </w:p>
    <w:p w14:paraId="6A470161">
      <w:pPr>
        <w:spacing w:before="39" w:line="314" w:lineRule="auto"/>
        <w:ind w:left="49" w:right="189" w:firstLine="350"/>
        <w:rPr>
          <w:rFonts w:ascii="宋体" w:hAnsi="宋体" w:eastAsia="宋体" w:cs="宋体"/>
          <w:sz w:val="17"/>
          <w:szCs w:val="17"/>
        </w:rPr>
      </w:pPr>
      <w:r>
        <w:rPr>
          <w:rFonts w:ascii="宋体" w:hAnsi="宋体" w:eastAsia="宋体" w:cs="宋体"/>
          <w:spacing w:val="1"/>
          <w:sz w:val="17"/>
          <w:szCs w:val="17"/>
        </w:rPr>
        <w:t>1.绘制的各元件图应具有合理的几何精度，良好的</w:t>
      </w:r>
      <w:r>
        <w:rPr>
          <w:rFonts w:ascii="宋体" w:hAnsi="宋体" w:eastAsia="宋体" w:cs="宋体"/>
          <w:spacing w:val="9"/>
          <w:sz w:val="17"/>
          <w:szCs w:val="17"/>
        </w:rPr>
        <w:t xml:space="preserve"> </w:t>
      </w:r>
      <w:r>
        <w:rPr>
          <w:rFonts w:ascii="宋体" w:hAnsi="宋体" w:eastAsia="宋体" w:cs="宋体"/>
          <w:spacing w:val="-2"/>
          <w:sz w:val="17"/>
          <w:szCs w:val="17"/>
        </w:rPr>
        <w:t>工艺性，正确的基准；</w:t>
      </w:r>
    </w:p>
    <w:p w14:paraId="79639390">
      <w:pPr>
        <w:spacing w:before="12" w:line="219" w:lineRule="auto"/>
        <w:ind w:left="400"/>
        <w:rPr>
          <w:rFonts w:ascii="宋体" w:hAnsi="宋体" w:eastAsia="宋体" w:cs="宋体"/>
          <w:sz w:val="17"/>
          <w:szCs w:val="17"/>
        </w:rPr>
      </w:pPr>
      <w:r>
        <w:rPr>
          <w:rFonts w:ascii="宋体" w:hAnsi="宋体" w:eastAsia="宋体" w:cs="宋体"/>
          <w:spacing w:val="-2"/>
          <w:sz w:val="17"/>
          <w:szCs w:val="17"/>
        </w:rPr>
        <w:t>2.绘制要求及参数：</w:t>
      </w:r>
    </w:p>
    <w:p w14:paraId="382FC8A9">
      <w:pPr>
        <w:spacing w:before="87" w:line="219" w:lineRule="auto"/>
        <w:ind w:left="469"/>
        <w:rPr>
          <w:rFonts w:ascii="宋体" w:hAnsi="宋体" w:eastAsia="宋体" w:cs="宋体"/>
          <w:sz w:val="17"/>
          <w:szCs w:val="17"/>
        </w:rPr>
      </w:pPr>
      <w:r>
        <w:rPr>
          <w:rFonts w:ascii="宋体" w:hAnsi="宋体" w:eastAsia="宋体" w:cs="宋体"/>
          <w:spacing w:val="15"/>
          <w:sz w:val="17"/>
          <w:szCs w:val="17"/>
        </w:rPr>
        <w:t>(1)道岔角度30°;</w:t>
      </w:r>
    </w:p>
    <w:p w14:paraId="260F8BE0">
      <w:pPr>
        <w:spacing w:before="90" w:line="219" w:lineRule="auto"/>
        <w:ind w:left="469"/>
        <w:rPr>
          <w:rFonts w:ascii="宋体" w:hAnsi="宋体" w:eastAsia="宋体" w:cs="宋体"/>
          <w:sz w:val="17"/>
          <w:szCs w:val="17"/>
        </w:rPr>
      </w:pPr>
      <w:r>
        <w:rPr>
          <w:rFonts w:ascii="宋体" w:hAnsi="宋体" w:eastAsia="宋体" w:cs="宋体"/>
          <w:spacing w:val="14"/>
          <w:sz w:val="17"/>
          <w:szCs w:val="17"/>
        </w:rPr>
        <w:t>(2)站场图内字号3;</w:t>
      </w:r>
    </w:p>
    <w:p w14:paraId="24E5B2BB">
      <w:pPr>
        <w:spacing w:before="77" w:line="212" w:lineRule="auto"/>
        <w:ind w:left="469"/>
        <w:rPr>
          <w:rFonts w:ascii="Times New Roman" w:hAnsi="Times New Roman" w:eastAsia="Times New Roman" w:cs="Times New Roman"/>
          <w:sz w:val="17"/>
          <w:szCs w:val="17"/>
        </w:rPr>
      </w:pPr>
      <w:r>
        <w:rPr>
          <w:rFonts w:ascii="宋体" w:hAnsi="宋体" w:eastAsia="宋体" w:cs="宋体"/>
          <w:spacing w:val="7"/>
          <w:sz w:val="17"/>
          <w:szCs w:val="17"/>
        </w:rPr>
        <w:t>(3)警冲标圆半径为1.5</w:t>
      </w:r>
      <w:r>
        <w:rPr>
          <w:rFonts w:ascii="Times New Roman" w:hAnsi="Times New Roman" w:eastAsia="Times New Roman" w:cs="Times New Roman"/>
          <w:sz w:val="17"/>
          <w:szCs w:val="17"/>
        </w:rPr>
        <w:t>mm</w:t>
      </w:r>
      <w:r>
        <w:rPr>
          <w:rFonts w:ascii="Times New Roman" w:hAnsi="Times New Roman" w:eastAsia="Times New Roman" w:cs="Times New Roman"/>
          <w:spacing w:val="7"/>
          <w:sz w:val="17"/>
          <w:szCs w:val="17"/>
        </w:rPr>
        <w:t>;</w:t>
      </w:r>
    </w:p>
    <w:p w14:paraId="3FBB6A06">
      <w:pPr>
        <w:spacing w:before="104" w:line="216" w:lineRule="auto"/>
        <w:ind w:left="469"/>
        <w:rPr>
          <w:rFonts w:ascii="宋体" w:hAnsi="宋体" w:eastAsia="宋体" w:cs="宋体"/>
          <w:sz w:val="17"/>
          <w:szCs w:val="17"/>
        </w:rPr>
      </w:pPr>
      <w:r>
        <w:rPr>
          <w:rFonts w:ascii="宋体" w:hAnsi="宋体" w:eastAsia="宋体" w:cs="宋体"/>
          <w:spacing w:val="6"/>
          <w:sz w:val="17"/>
          <w:szCs w:val="17"/>
        </w:rPr>
        <w:t>(4)信号机圆半径为3</w:t>
      </w:r>
      <w:r>
        <w:rPr>
          <w:rFonts w:ascii="宋体" w:hAnsi="宋体" w:eastAsia="宋体" w:cs="宋体"/>
          <w:sz w:val="17"/>
          <w:szCs w:val="17"/>
        </w:rPr>
        <w:t>mm</w:t>
      </w:r>
      <w:r>
        <w:rPr>
          <w:rFonts w:ascii="宋体" w:hAnsi="宋体" w:eastAsia="宋体" w:cs="宋体"/>
          <w:spacing w:val="6"/>
          <w:sz w:val="17"/>
          <w:szCs w:val="17"/>
        </w:rPr>
        <w:t>,</w:t>
      </w:r>
      <w:r>
        <w:rPr>
          <w:rFonts w:ascii="宋体" w:hAnsi="宋体" w:eastAsia="宋体" w:cs="宋体"/>
          <w:spacing w:val="86"/>
          <w:sz w:val="17"/>
          <w:szCs w:val="17"/>
        </w:rPr>
        <w:t xml:space="preserve"> </w:t>
      </w:r>
      <w:r>
        <w:rPr>
          <w:rFonts w:ascii="宋体" w:hAnsi="宋体" w:eastAsia="宋体" w:cs="宋体"/>
          <w:spacing w:val="6"/>
          <w:sz w:val="17"/>
          <w:szCs w:val="17"/>
        </w:rPr>
        <w:t>同心圆半径1.5</w:t>
      </w:r>
      <w:r>
        <w:rPr>
          <w:rFonts w:ascii="宋体" w:hAnsi="宋体" w:eastAsia="宋体" w:cs="宋体"/>
          <w:sz w:val="17"/>
          <w:szCs w:val="17"/>
        </w:rPr>
        <w:t>mm</w:t>
      </w:r>
      <w:r>
        <w:rPr>
          <w:rFonts w:ascii="宋体" w:hAnsi="宋体" w:eastAsia="宋体" w:cs="宋体"/>
          <w:spacing w:val="6"/>
          <w:sz w:val="17"/>
          <w:szCs w:val="17"/>
        </w:rPr>
        <w:t>;</w:t>
      </w:r>
    </w:p>
    <w:p w14:paraId="053338C7">
      <w:pPr>
        <w:spacing w:before="72" w:line="269" w:lineRule="auto"/>
        <w:ind w:left="49" w:right="173" w:firstLine="420"/>
        <w:rPr>
          <w:rFonts w:ascii="Times New Roman" w:hAnsi="Times New Roman" w:eastAsia="Times New Roman" w:cs="Times New Roman"/>
          <w:sz w:val="17"/>
          <w:szCs w:val="17"/>
        </w:rPr>
      </w:pPr>
      <w:r>
        <w:rPr>
          <w:rFonts w:ascii="宋体" w:hAnsi="宋体" w:eastAsia="宋体" w:cs="宋体"/>
          <w:spacing w:val="11"/>
          <w:sz w:val="17"/>
          <w:szCs w:val="17"/>
        </w:rPr>
        <w:t>(5)道岔岔心长为3.5</w:t>
      </w:r>
      <w:r>
        <w:rPr>
          <w:rFonts w:ascii="Times New Roman" w:hAnsi="Times New Roman" w:eastAsia="Times New Roman" w:cs="Times New Roman"/>
          <w:sz w:val="17"/>
          <w:szCs w:val="17"/>
        </w:rPr>
        <w:t>mm</w:t>
      </w:r>
      <w:r>
        <w:rPr>
          <w:rFonts w:ascii="Times New Roman" w:hAnsi="Times New Roman" w:eastAsia="Times New Roman" w:cs="Times New Roman"/>
          <w:spacing w:val="11"/>
          <w:sz w:val="17"/>
          <w:szCs w:val="17"/>
        </w:rPr>
        <w:t xml:space="preserve">,  </w:t>
      </w:r>
      <w:r>
        <w:rPr>
          <w:rFonts w:ascii="宋体" w:hAnsi="宋体" w:eastAsia="宋体" w:cs="宋体"/>
          <w:spacing w:val="11"/>
          <w:sz w:val="17"/>
          <w:szCs w:val="17"/>
        </w:rPr>
        <w:t>加粗0.4</w:t>
      </w:r>
      <w:r>
        <w:rPr>
          <w:rFonts w:ascii="Times New Roman" w:hAnsi="Times New Roman" w:eastAsia="Times New Roman" w:cs="Times New Roman"/>
          <w:sz w:val="17"/>
          <w:szCs w:val="17"/>
        </w:rPr>
        <w:t>mm</w:t>
      </w:r>
      <w:r>
        <w:rPr>
          <w:rFonts w:ascii="Times New Roman" w:hAnsi="Times New Roman" w:eastAsia="Times New Roman" w:cs="Times New Roman"/>
          <w:spacing w:val="11"/>
          <w:sz w:val="17"/>
          <w:szCs w:val="17"/>
        </w:rPr>
        <w:t xml:space="preserve">;  </w:t>
      </w:r>
      <w:r>
        <w:rPr>
          <w:rFonts w:ascii="宋体" w:hAnsi="宋体" w:eastAsia="宋体" w:cs="宋体"/>
          <w:spacing w:val="11"/>
          <w:sz w:val="17"/>
          <w:szCs w:val="17"/>
        </w:rPr>
        <w:t>道岔岔</w:t>
      </w:r>
      <w:r>
        <w:rPr>
          <w:rFonts w:ascii="宋体" w:hAnsi="宋体" w:eastAsia="宋体" w:cs="宋体"/>
          <w:spacing w:val="8"/>
          <w:sz w:val="17"/>
          <w:szCs w:val="17"/>
        </w:rPr>
        <w:t xml:space="preserve"> </w:t>
      </w:r>
      <w:r>
        <w:rPr>
          <w:rFonts w:ascii="宋体" w:hAnsi="宋体" w:eastAsia="宋体" w:cs="宋体"/>
          <w:spacing w:val="4"/>
          <w:sz w:val="17"/>
          <w:szCs w:val="17"/>
        </w:rPr>
        <w:t>心距近轨道间距1</w:t>
      </w:r>
      <w:r>
        <w:rPr>
          <w:rFonts w:ascii="Times New Roman" w:hAnsi="Times New Roman" w:eastAsia="Times New Roman" w:cs="Times New Roman"/>
          <w:sz w:val="17"/>
          <w:szCs w:val="17"/>
        </w:rPr>
        <w:t>mm</w:t>
      </w:r>
      <w:r>
        <w:rPr>
          <w:rFonts w:ascii="Times New Roman" w:hAnsi="Times New Roman" w:eastAsia="Times New Roman" w:cs="Times New Roman"/>
          <w:spacing w:val="4"/>
          <w:sz w:val="17"/>
          <w:szCs w:val="17"/>
        </w:rPr>
        <w:t>;</w:t>
      </w:r>
    </w:p>
    <w:p w14:paraId="30365865">
      <w:pPr>
        <w:spacing w:before="85" w:line="189" w:lineRule="auto"/>
        <w:ind w:left="469"/>
        <w:rPr>
          <w:rFonts w:ascii="Times New Roman" w:hAnsi="Times New Roman" w:eastAsia="Times New Roman" w:cs="Times New Roman"/>
          <w:sz w:val="17"/>
          <w:szCs w:val="17"/>
        </w:rPr>
      </w:pPr>
      <w:r>
        <w:rPr>
          <w:rFonts w:ascii="宋体" w:hAnsi="宋体" w:eastAsia="宋体" w:cs="宋体"/>
          <w:spacing w:val="14"/>
          <w:sz w:val="17"/>
          <w:szCs w:val="17"/>
        </w:rPr>
        <w:t>(6)轨道间距为40</w:t>
      </w:r>
      <w:r>
        <w:rPr>
          <w:rFonts w:ascii="Times New Roman" w:hAnsi="Times New Roman" w:eastAsia="Times New Roman" w:cs="Times New Roman"/>
          <w:sz w:val="17"/>
          <w:szCs w:val="17"/>
        </w:rPr>
        <w:t>mm</w:t>
      </w:r>
      <w:r>
        <w:rPr>
          <w:rFonts w:ascii="Times New Roman" w:hAnsi="Times New Roman" w:eastAsia="Times New Roman" w:cs="Times New Roman"/>
          <w:spacing w:val="14"/>
          <w:sz w:val="17"/>
          <w:szCs w:val="17"/>
        </w:rPr>
        <w:t>;</w:t>
      </w:r>
    </w:p>
    <w:p w14:paraId="49E3B18F">
      <w:pPr>
        <w:pStyle w:val="2"/>
        <w:spacing w:line="14" w:lineRule="auto"/>
        <w:rPr>
          <w:sz w:val="2"/>
        </w:rPr>
      </w:pPr>
      <w:r>
        <w:rPr>
          <w:sz w:val="2"/>
          <w:szCs w:val="2"/>
        </w:rPr>
        <w:br w:type="column"/>
      </w:r>
    </w:p>
    <w:p w14:paraId="002D6D5A">
      <w:pPr>
        <w:spacing w:before="12" w:line="261" w:lineRule="auto"/>
        <w:ind w:left="527" w:right="1846" w:firstLine="79"/>
        <w:rPr>
          <w:rFonts w:ascii="宋体" w:hAnsi="宋体" w:eastAsia="宋体" w:cs="宋体"/>
          <w:sz w:val="17"/>
          <w:szCs w:val="17"/>
        </w:rPr>
      </w:pPr>
      <w:r>
        <w:rPr>
          <w:rFonts w:ascii="宋体" w:hAnsi="宋体" w:eastAsia="宋体" w:cs="宋体"/>
          <w:spacing w:val="10"/>
          <w:sz w:val="17"/>
          <w:szCs w:val="17"/>
        </w:rPr>
        <w:t>(7)绝缘节长度为6</w:t>
      </w:r>
      <w:r>
        <w:rPr>
          <w:rFonts w:ascii="Times New Roman" w:hAnsi="Times New Roman" w:eastAsia="Times New Roman" w:cs="Times New Roman"/>
          <w:sz w:val="17"/>
          <w:szCs w:val="17"/>
        </w:rPr>
        <w:t>mm</w:t>
      </w:r>
      <w:r>
        <w:rPr>
          <w:rFonts w:ascii="宋体" w:hAnsi="宋体" w:eastAsia="宋体" w:cs="宋体"/>
          <w:spacing w:val="10"/>
          <w:sz w:val="17"/>
          <w:szCs w:val="17"/>
        </w:rPr>
        <w:t>。</w:t>
      </w:r>
      <w:r>
        <w:rPr>
          <w:rFonts w:ascii="宋体" w:hAnsi="宋体" w:eastAsia="宋体" w:cs="宋体"/>
          <w:spacing w:val="2"/>
          <w:sz w:val="17"/>
          <w:szCs w:val="17"/>
        </w:rPr>
        <w:t xml:space="preserve"> </w:t>
      </w:r>
      <w:r>
        <w:rPr>
          <w:rFonts w:ascii="宋体" w:hAnsi="宋体" w:eastAsia="宋体" w:cs="宋体"/>
          <w:spacing w:val="-2"/>
          <w:sz w:val="17"/>
          <w:szCs w:val="17"/>
        </w:rPr>
        <w:t>3.技术规范：</w:t>
      </w:r>
    </w:p>
    <w:p w14:paraId="52010190">
      <w:pPr>
        <w:spacing w:before="97" w:line="219" w:lineRule="auto"/>
        <w:ind w:left="607"/>
        <w:rPr>
          <w:rFonts w:ascii="宋体" w:hAnsi="宋体" w:eastAsia="宋体" w:cs="宋体"/>
          <w:sz w:val="17"/>
          <w:szCs w:val="17"/>
        </w:rPr>
      </w:pPr>
      <w:r>
        <w:rPr>
          <w:rFonts w:ascii="宋体" w:hAnsi="宋体" w:eastAsia="宋体" w:cs="宋体"/>
          <w:spacing w:val="3"/>
          <w:sz w:val="17"/>
          <w:szCs w:val="17"/>
        </w:rPr>
        <w:t>(1)《机械制图员》国家职业标准；</w:t>
      </w:r>
    </w:p>
    <w:p w14:paraId="17CD4FEF">
      <w:pPr>
        <w:spacing w:before="78" w:line="309" w:lineRule="auto"/>
        <w:ind w:left="177" w:right="60" w:firstLine="429"/>
        <w:rPr>
          <w:rFonts w:ascii="Times New Roman" w:hAnsi="Times New Roman" w:eastAsia="Times New Roman" w:cs="Times New Roman"/>
          <w:sz w:val="17"/>
          <w:szCs w:val="17"/>
        </w:rPr>
      </w:pPr>
      <w:r>
        <w:rPr>
          <w:rFonts w:ascii="宋体" w:hAnsi="宋体" w:eastAsia="宋体" w:cs="宋体"/>
          <w:spacing w:val="-9"/>
          <w:sz w:val="17"/>
          <w:szCs w:val="17"/>
        </w:rPr>
        <w:t>(</w:t>
      </w:r>
      <w:r>
        <w:rPr>
          <w:rFonts w:ascii="宋体" w:hAnsi="宋体" w:eastAsia="宋体" w:cs="宋体"/>
          <w:spacing w:val="-35"/>
          <w:sz w:val="17"/>
          <w:szCs w:val="17"/>
        </w:rPr>
        <w:t xml:space="preserve"> </w:t>
      </w:r>
      <w:r>
        <w:rPr>
          <w:rFonts w:ascii="宋体" w:hAnsi="宋体" w:eastAsia="宋体" w:cs="宋体"/>
          <w:spacing w:val="-9"/>
          <w:sz w:val="17"/>
          <w:szCs w:val="17"/>
        </w:rPr>
        <w:t>2</w:t>
      </w:r>
      <w:r>
        <w:rPr>
          <w:rFonts w:ascii="宋体" w:hAnsi="宋体" w:eastAsia="宋体" w:cs="宋体"/>
          <w:spacing w:val="-37"/>
          <w:sz w:val="17"/>
          <w:szCs w:val="17"/>
        </w:rPr>
        <w:t xml:space="preserve"> </w:t>
      </w:r>
      <w:r>
        <w:rPr>
          <w:rFonts w:ascii="宋体" w:hAnsi="宋体" w:eastAsia="宋体" w:cs="宋体"/>
          <w:spacing w:val="-9"/>
          <w:sz w:val="17"/>
          <w:szCs w:val="17"/>
        </w:rPr>
        <w:t>)</w:t>
      </w:r>
      <w:r>
        <w:rPr>
          <w:rFonts w:ascii="宋体" w:hAnsi="宋体" w:eastAsia="宋体" w:cs="宋体"/>
          <w:spacing w:val="-44"/>
          <w:sz w:val="17"/>
          <w:szCs w:val="17"/>
        </w:rPr>
        <w:t xml:space="preserve"> </w:t>
      </w:r>
      <w:r>
        <w:rPr>
          <w:rFonts w:ascii="宋体" w:hAnsi="宋体" w:eastAsia="宋体" w:cs="宋体"/>
          <w:spacing w:val="-9"/>
          <w:sz w:val="17"/>
          <w:szCs w:val="17"/>
        </w:rPr>
        <w:t>《</w:t>
      </w:r>
      <w:r>
        <w:rPr>
          <w:rFonts w:ascii="宋体" w:hAnsi="宋体" w:eastAsia="宋体" w:cs="宋体"/>
          <w:spacing w:val="-22"/>
          <w:sz w:val="17"/>
          <w:szCs w:val="17"/>
        </w:rPr>
        <w:t xml:space="preserve"> </w:t>
      </w:r>
      <w:r>
        <w:rPr>
          <w:rFonts w:ascii="宋体" w:hAnsi="宋体" w:eastAsia="宋体" w:cs="宋体"/>
          <w:spacing w:val="-9"/>
          <w:sz w:val="17"/>
          <w:szCs w:val="17"/>
        </w:rPr>
        <w:t>机</w:t>
      </w:r>
      <w:r>
        <w:rPr>
          <w:rFonts w:ascii="宋体" w:hAnsi="宋体" w:eastAsia="宋体" w:cs="宋体"/>
          <w:spacing w:val="-38"/>
          <w:sz w:val="17"/>
          <w:szCs w:val="17"/>
        </w:rPr>
        <w:t xml:space="preserve"> </w:t>
      </w:r>
      <w:r>
        <w:rPr>
          <w:rFonts w:ascii="宋体" w:hAnsi="宋体" w:eastAsia="宋体" w:cs="宋体"/>
          <w:spacing w:val="-9"/>
          <w:sz w:val="17"/>
          <w:szCs w:val="17"/>
        </w:rPr>
        <w:t>械</w:t>
      </w:r>
      <w:r>
        <w:rPr>
          <w:rFonts w:ascii="宋体" w:hAnsi="宋体" w:eastAsia="宋体" w:cs="宋体"/>
          <w:spacing w:val="-36"/>
          <w:sz w:val="17"/>
          <w:szCs w:val="17"/>
        </w:rPr>
        <w:t xml:space="preserve"> </w:t>
      </w:r>
      <w:r>
        <w:rPr>
          <w:rFonts w:ascii="宋体" w:hAnsi="宋体" w:eastAsia="宋体" w:cs="宋体"/>
          <w:spacing w:val="-9"/>
          <w:sz w:val="17"/>
          <w:szCs w:val="17"/>
        </w:rPr>
        <w:t>制</w:t>
      </w:r>
      <w:r>
        <w:rPr>
          <w:rFonts w:ascii="宋体" w:hAnsi="宋体" w:eastAsia="宋体" w:cs="宋体"/>
          <w:spacing w:val="-21"/>
          <w:sz w:val="17"/>
          <w:szCs w:val="17"/>
        </w:rPr>
        <w:t xml:space="preserve"> </w:t>
      </w:r>
      <w:r>
        <w:rPr>
          <w:rFonts w:ascii="宋体" w:hAnsi="宋体" w:eastAsia="宋体" w:cs="宋体"/>
          <w:spacing w:val="-9"/>
          <w:sz w:val="17"/>
          <w:szCs w:val="17"/>
        </w:rPr>
        <w:t>图</w:t>
      </w:r>
      <w:r>
        <w:rPr>
          <w:rFonts w:ascii="宋体" w:hAnsi="宋体" w:eastAsia="宋体" w:cs="宋体"/>
          <w:spacing w:val="-21"/>
          <w:sz w:val="17"/>
          <w:szCs w:val="17"/>
        </w:rPr>
        <w:t xml:space="preserve"> </w:t>
      </w:r>
      <w:r>
        <w:rPr>
          <w:rFonts w:ascii="宋体" w:hAnsi="宋体" w:eastAsia="宋体" w:cs="宋体"/>
          <w:spacing w:val="-9"/>
          <w:sz w:val="17"/>
          <w:szCs w:val="17"/>
        </w:rPr>
        <w:t>图</w:t>
      </w:r>
      <w:r>
        <w:rPr>
          <w:rFonts w:ascii="宋体" w:hAnsi="宋体" w:eastAsia="宋体" w:cs="宋体"/>
          <w:spacing w:val="-38"/>
          <w:sz w:val="17"/>
          <w:szCs w:val="17"/>
        </w:rPr>
        <w:t xml:space="preserve"> </w:t>
      </w:r>
      <w:r>
        <w:rPr>
          <w:rFonts w:ascii="宋体" w:hAnsi="宋体" w:eastAsia="宋体" w:cs="宋体"/>
          <w:spacing w:val="-9"/>
          <w:sz w:val="17"/>
          <w:szCs w:val="17"/>
        </w:rPr>
        <w:t>样</w:t>
      </w:r>
      <w:r>
        <w:rPr>
          <w:rFonts w:ascii="宋体" w:hAnsi="宋体" w:eastAsia="宋体" w:cs="宋体"/>
          <w:spacing w:val="-32"/>
          <w:sz w:val="17"/>
          <w:szCs w:val="17"/>
        </w:rPr>
        <w:t xml:space="preserve"> </w:t>
      </w:r>
      <w:r>
        <w:rPr>
          <w:rFonts w:ascii="宋体" w:hAnsi="宋体" w:eastAsia="宋体" w:cs="宋体"/>
          <w:spacing w:val="-9"/>
          <w:sz w:val="17"/>
          <w:szCs w:val="17"/>
        </w:rPr>
        <w:t>画</w:t>
      </w:r>
      <w:r>
        <w:rPr>
          <w:rFonts w:ascii="宋体" w:hAnsi="宋体" w:eastAsia="宋体" w:cs="宋体"/>
          <w:spacing w:val="-37"/>
          <w:sz w:val="17"/>
          <w:szCs w:val="17"/>
        </w:rPr>
        <w:t xml:space="preserve"> </w:t>
      </w:r>
      <w:r>
        <w:rPr>
          <w:rFonts w:ascii="宋体" w:hAnsi="宋体" w:eastAsia="宋体" w:cs="宋体"/>
          <w:spacing w:val="-9"/>
          <w:sz w:val="17"/>
          <w:szCs w:val="17"/>
        </w:rPr>
        <w:t>法</w:t>
      </w:r>
      <w:r>
        <w:rPr>
          <w:rFonts w:ascii="宋体" w:hAnsi="宋体" w:eastAsia="宋体" w:cs="宋体"/>
          <w:spacing w:val="-38"/>
          <w:sz w:val="17"/>
          <w:szCs w:val="17"/>
        </w:rPr>
        <w:t xml:space="preserve"> </w:t>
      </w:r>
      <w:r>
        <w:rPr>
          <w:rFonts w:ascii="宋体" w:hAnsi="宋体" w:eastAsia="宋体" w:cs="宋体"/>
          <w:spacing w:val="-9"/>
          <w:sz w:val="17"/>
          <w:szCs w:val="17"/>
        </w:rPr>
        <w:t>视</w:t>
      </w:r>
      <w:r>
        <w:rPr>
          <w:rFonts w:ascii="宋体" w:hAnsi="宋体" w:eastAsia="宋体" w:cs="宋体"/>
          <w:spacing w:val="-21"/>
          <w:sz w:val="17"/>
          <w:szCs w:val="17"/>
        </w:rPr>
        <w:t xml:space="preserve"> </w:t>
      </w:r>
      <w:r>
        <w:rPr>
          <w:rFonts w:ascii="宋体" w:hAnsi="宋体" w:eastAsia="宋体" w:cs="宋体"/>
          <w:spacing w:val="-9"/>
          <w:sz w:val="17"/>
          <w:szCs w:val="17"/>
        </w:rPr>
        <w:t>图</w:t>
      </w:r>
      <w:r>
        <w:rPr>
          <w:rFonts w:ascii="宋体" w:hAnsi="宋体" w:eastAsia="宋体" w:cs="宋体"/>
          <w:spacing w:val="-44"/>
          <w:sz w:val="17"/>
          <w:szCs w:val="17"/>
        </w:rPr>
        <w:t xml:space="preserve"> </w:t>
      </w:r>
      <w:r>
        <w:rPr>
          <w:rFonts w:ascii="宋体" w:hAnsi="宋体" w:eastAsia="宋体" w:cs="宋体"/>
          <w:spacing w:val="-9"/>
          <w:sz w:val="17"/>
          <w:szCs w:val="17"/>
        </w:rPr>
        <w:t>》</w:t>
      </w:r>
      <w:r>
        <w:rPr>
          <w:rFonts w:ascii="Times New Roman" w:hAnsi="Times New Roman" w:eastAsia="Times New Roman" w:cs="Times New Roman"/>
          <w:spacing w:val="-9"/>
          <w:sz w:val="17"/>
          <w:szCs w:val="17"/>
        </w:rPr>
        <w:t>GB/T44</w:t>
      </w:r>
      <w:r>
        <w:rPr>
          <w:rFonts w:ascii="Times New Roman" w:hAnsi="Times New Roman" w:eastAsia="Times New Roman" w:cs="Times New Roman"/>
          <w:spacing w:val="-10"/>
          <w:sz w:val="17"/>
          <w:szCs w:val="17"/>
        </w:rPr>
        <w:t>58.1-</w:t>
      </w:r>
      <w:r>
        <w:rPr>
          <w:rFonts w:ascii="Times New Roman" w:hAnsi="Times New Roman" w:eastAsia="Times New Roman" w:cs="Times New Roman"/>
          <w:sz w:val="17"/>
          <w:szCs w:val="17"/>
        </w:rPr>
        <w:t xml:space="preserve"> </w:t>
      </w:r>
      <w:r>
        <w:rPr>
          <w:rFonts w:ascii="Times New Roman" w:hAnsi="Times New Roman" w:eastAsia="Times New Roman" w:cs="Times New Roman"/>
          <w:spacing w:val="-1"/>
          <w:sz w:val="17"/>
          <w:szCs w:val="17"/>
        </w:rPr>
        <w:t>2002;</w:t>
      </w:r>
    </w:p>
    <w:p w14:paraId="56A3845F">
      <w:pPr>
        <w:spacing w:before="43" w:line="261" w:lineRule="auto"/>
        <w:ind w:left="177" w:right="47" w:firstLine="429"/>
        <w:rPr>
          <w:rFonts w:ascii="Times New Roman" w:hAnsi="Times New Roman" w:eastAsia="Times New Roman" w:cs="Times New Roman"/>
          <w:sz w:val="17"/>
          <w:szCs w:val="17"/>
        </w:rPr>
      </w:pPr>
      <w:r>
        <w:rPr>
          <w:rFonts w:ascii="宋体" w:hAnsi="宋体" w:eastAsia="宋体" w:cs="宋体"/>
          <w:spacing w:val="13"/>
          <w:sz w:val="17"/>
          <w:szCs w:val="17"/>
        </w:rPr>
        <w:t>(3)《机械制图图样画法剖视图和断面图》</w:t>
      </w:r>
      <w:r>
        <w:rPr>
          <w:rFonts w:ascii="Times New Roman" w:hAnsi="Times New Roman" w:eastAsia="Times New Roman" w:cs="Times New Roman"/>
          <w:sz w:val="17"/>
          <w:szCs w:val="17"/>
        </w:rPr>
        <w:t>GB</w:t>
      </w:r>
      <w:r>
        <w:rPr>
          <w:rFonts w:ascii="Times New Roman" w:hAnsi="Times New Roman" w:eastAsia="Times New Roman" w:cs="Times New Roman"/>
          <w:spacing w:val="13"/>
          <w:sz w:val="17"/>
          <w:szCs w:val="17"/>
        </w:rPr>
        <w:t>/</w:t>
      </w:r>
      <w:r>
        <w:rPr>
          <w:rFonts w:ascii="Times New Roman" w:hAnsi="Times New Roman" w:eastAsia="Times New Roman" w:cs="Times New Roman"/>
          <w:spacing w:val="5"/>
          <w:sz w:val="17"/>
          <w:szCs w:val="17"/>
        </w:rPr>
        <w:t xml:space="preserve"> </w:t>
      </w:r>
      <w:r>
        <w:rPr>
          <w:rFonts w:ascii="Times New Roman" w:hAnsi="Times New Roman" w:eastAsia="Times New Roman" w:cs="Times New Roman"/>
          <w:spacing w:val="-1"/>
          <w:sz w:val="17"/>
          <w:szCs w:val="17"/>
        </w:rPr>
        <w:t>T44586-2002;</w:t>
      </w:r>
    </w:p>
    <w:p w14:paraId="41CB11AB">
      <w:pPr>
        <w:spacing w:before="137" w:line="219" w:lineRule="auto"/>
        <w:ind w:left="607"/>
        <w:rPr>
          <w:rFonts w:ascii="宋体" w:hAnsi="宋体" w:eastAsia="宋体" w:cs="宋体"/>
          <w:sz w:val="17"/>
          <w:szCs w:val="17"/>
        </w:rPr>
      </w:pPr>
      <w:r>
        <w:rPr>
          <w:rFonts w:ascii="宋体" w:hAnsi="宋体" w:eastAsia="宋体" w:cs="宋体"/>
          <w:spacing w:val="3"/>
          <w:sz w:val="17"/>
          <w:szCs w:val="17"/>
        </w:rPr>
        <w:t>(4)《机械制图尺寸注法》</w:t>
      </w:r>
      <w:r>
        <w:rPr>
          <w:rFonts w:ascii="宋体" w:hAnsi="宋体" w:eastAsia="宋体" w:cs="宋体"/>
          <w:sz w:val="17"/>
          <w:szCs w:val="17"/>
        </w:rPr>
        <w:t>GB</w:t>
      </w:r>
      <w:r>
        <w:rPr>
          <w:rFonts w:ascii="宋体" w:hAnsi="宋体" w:eastAsia="宋体" w:cs="宋体"/>
          <w:spacing w:val="3"/>
          <w:sz w:val="17"/>
          <w:szCs w:val="17"/>
        </w:rPr>
        <w:t>/T4458.4-200</w:t>
      </w:r>
      <w:r>
        <w:rPr>
          <w:rFonts w:ascii="宋体" w:hAnsi="宋体" w:eastAsia="宋体" w:cs="宋体"/>
          <w:spacing w:val="2"/>
          <w:sz w:val="17"/>
          <w:szCs w:val="17"/>
        </w:rPr>
        <w:t>3;</w:t>
      </w:r>
    </w:p>
    <w:p w14:paraId="48DB2B10">
      <w:pPr>
        <w:spacing w:before="89" w:line="291" w:lineRule="auto"/>
        <w:ind w:left="177" w:right="37" w:firstLine="429"/>
        <w:rPr>
          <w:rFonts w:ascii="宋体" w:hAnsi="宋体" w:eastAsia="宋体" w:cs="宋体"/>
          <w:sz w:val="17"/>
          <w:szCs w:val="17"/>
        </w:rPr>
      </w:pPr>
      <w:r>
        <w:rPr>
          <w:rFonts w:ascii="宋体" w:hAnsi="宋体" w:eastAsia="宋体" w:cs="宋体"/>
          <w:spacing w:val="-12"/>
          <w:sz w:val="17"/>
          <w:szCs w:val="17"/>
        </w:rPr>
        <w:t>(</w:t>
      </w:r>
      <w:r>
        <w:rPr>
          <w:rFonts w:ascii="宋体" w:hAnsi="宋体" w:eastAsia="宋体" w:cs="宋体"/>
          <w:spacing w:val="-25"/>
          <w:sz w:val="17"/>
          <w:szCs w:val="17"/>
        </w:rPr>
        <w:t xml:space="preserve"> </w:t>
      </w:r>
      <w:r>
        <w:rPr>
          <w:rFonts w:ascii="宋体" w:hAnsi="宋体" w:eastAsia="宋体" w:cs="宋体"/>
          <w:spacing w:val="-12"/>
          <w:sz w:val="17"/>
          <w:szCs w:val="17"/>
        </w:rPr>
        <w:t>5</w:t>
      </w:r>
      <w:r>
        <w:rPr>
          <w:rFonts w:ascii="宋体" w:hAnsi="宋体" w:eastAsia="宋体" w:cs="宋体"/>
          <w:spacing w:val="-35"/>
          <w:sz w:val="17"/>
          <w:szCs w:val="17"/>
        </w:rPr>
        <w:t xml:space="preserve"> </w:t>
      </w:r>
      <w:r>
        <w:rPr>
          <w:rFonts w:ascii="宋体" w:hAnsi="宋体" w:eastAsia="宋体" w:cs="宋体"/>
          <w:spacing w:val="-12"/>
          <w:sz w:val="17"/>
          <w:szCs w:val="17"/>
        </w:rPr>
        <w:t>)</w:t>
      </w:r>
      <w:r>
        <w:rPr>
          <w:rFonts w:ascii="宋体" w:hAnsi="宋体" w:eastAsia="宋体" w:cs="宋体"/>
          <w:spacing w:val="-43"/>
          <w:sz w:val="17"/>
          <w:szCs w:val="17"/>
        </w:rPr>
        <w:t xml:space="preserve"> </w:t>
      </w:r>
      <w:r>
        <w:rPr>
          <w:rFonts w:ascii="宋体" w:hAnsi="宋体" w:eastAsia="宋体" w:cs="宋体"/>
          <w:spacing w:val="-12"/>
          <w:sz w:val="17"/>
          <w:szCs w:val="17"/>
        </w:rPr>
        <w:t>《</w:t>
      </w:r>
      <w:r>
        <w:rPr>
          <w:rFonts w:ascii="宋体" w:hAnsi="宋体" w:eastAsia="宋体" w:cs="宋体"/>
          <w:spacing w:val="-21"/>
          <w:sz w:val="17"/>
          <w:szCs w:val="17"/>
        </w:rPr>
        <w:t xml:space="preserve"> </w:t>
      </w:r>
      <w:r>
        <w:rPr>
          <w:rFonts w:ascii="宋体" w:hAnsi="宋体" w:eastAsia="宋体" w:cs="宋体"/>
          <w:spacing w:val="-12"/>
          <w:sz w:val="17"/>
          <w:szCs w:val="17"/>
        </w:rPr>
        <w:t>机</w:t>
      </w:r>
      <w:r>
        <w:rPr>
          <w:rFonts w:ascii="宋体" w:hAnsi="宋体" w:eastAsia="宋体" w:cs="宋体"/>
          <w:spacing w:val="-37"/>
          <w:sz w:val="17"/>
          <w:szCs w:val="17"/>
        </w:rPr>
        <w:t xml:space="preserve"> </w:t>
      </w:r>
      <w:r>
        <w:rPr>
          <w:rFonts w:ascii="宋体" w:hAnsi="宋体" w:eastAsia="宋体" w:cs="宋体"/>
          <w:spacing w:val="-12"/>
          <w:sz w:val="17"/>
          <w:szCs w:val="17"/>
        </w:rPr>
        <w:t>械</w:t>
      </w:r>
      <w:r>
        <w:rPr>
          <w:rFonts w:ascii="宋体" w:hAnsi="宋体" w:eastAsia="宋体" w:cs="宋体"/>
          <w:spacing w:val="-36"/>
          <w:sz w:val="17"/>
          <w:szCs w:val="17"/>
        </w:rPr>
        <w:t xml:space="preserve"> </w:t>
      </w:r>
      <w:r>
        <w:rPr>
          <w:rFonts w:ascii="宋体" w:hAnsi="宋体" w:eastAsia="宋体" w:cs="宋体"/>
          <w:spacing w:val="-12"/>
          <w:sz w:val="17"/>
          <w:szCs w:val="17"/>
        </w:rPr>
        <w:t>制 图</w:t>
      </w:r>
      <w:r>
        <w:rPr>
          <w:rFonts w:ascii="宋体" w:hAnsi="宋体" w:eastAsia="宋体" w:cs="宋体"/>
          <w:spacing w:val="-37"/>
          <w:sz w:val="17"/>
          <w:szCs w:val="17"/>
        </w:rPr>
        <w:t xml:space="preserve"> </w:t>
      </w:r>
      <w:r>
        <w:rPr>
          <w:rFonts w:ascii="宋体" w:hAnsi="宋体" w:eastAsia="宋体" w:cs="宋体"/>
          <w:spacing w:val="-12"/>
          <w:sz w:val="17"/>
          <w:szCs w:val="17"/>
        </w:rPr>
        <w:t>尺</w:t>
      </w:r>
      <w:r>
        <w:rPr>
          <w:rFonts w:ascii="宋体" w:hAnsi="宋体" w:eastAsia="宋体" w:cs="宋体"/>
          <w:spacing w:val="-33"/>
          <w:sz w:val="17"/>
          <w:szCs w:val="17"/>
        </w:rPr>
        <w:t xml:space="preserve"> </w:t>
      </w:r>
      <w:r>
        <w:rPr>
          <w:rFonts w:ascii="宋体" w:hAnsi="宋体" w:eastAsia="宋体" w:cs="宋体"/>
          <w:spacing w:val="-12"/>
          <w:sz w:val="17"/>
          <w:szCs w:val="17"/>
        </w:rPr>
        <w:t>寸</w:t>
      </w:r>
      <w:r>
        <w:rPr>
          <w:rFonts w:ascii="宋体" w:hAnsi="宋体" w:eastAsia="宋体" w:cs="宋体"/>
          <w:spacing w:val="-32"/>
          <w:sz w:val="17"/>
          <w:szCs w:val="17"/>
        </w:rPr>
        <w:t xml:space="preserve"> </w:t>
      </w:r>
      <w:r>
        <w:rPr>
          <w:rFonts w:ascii="宋体" w:hAnsi="宋体" w:eastAsia="宋体" w:cs="宋体"/>
          <w:spacing w:val="-12"/>
          <w:sz w:val="17"/>
          <w:szCs w:val="17"/>
        </w:rPr>
        <w:t>公</w:t>
      </w:r>
      <w:r>
        <w:rPr>
          <w:rFonts w:ascii="宋体" w:hAnsi="宋体" w:eastAsia="宋体" w:cs="宋体"/>
          <w:spacing w:val="-34"/>
          <w:sz w:val="17"/>
          <w:szCs w:val="17"/>
        </w:rPr>
        <w:t xml:space="preserve"> </w:t>
      </w:r>
      <w:r>
        <w:rPr>
          <w:rFonts w:ascii="宋体" w:hAnsi="宋体" w:eastAsia="宋体" w:cs="宋体"/>
          <w:spacing w:val="-12"/>
          <w:sz w:val="17"/>
          <w:szCs w:val="17"/>
        </w:rPr>
        <w:t>差</w:t>
      </w:r>
      <w:r>
        <w:rPr>
          <w:rFonts w:ascii="宋体" w:hAnsi="宋体" w:eastAsia="宋体" w:cs="宋体"/>
          <w:spacing w:val="-33"/>
          <w:sz w:val="17"/>
          <w:szCs w:val="17"/>
        </w:rPr>
        <w:t xml:space="preserve"> </w:t>
      </w:r>
      <w:r>
        <w:rPr>
          <w:rFonts w:ascii="宋体" w:hAnsi="宋体" w:eastAsia="宋体" w:cs="宋体"/>
          <w:spacing w:val="-12"/>
          <w:sz w:val="17"/>
          <w:szCs w:val="17"/>
        </w:rPr>
        <w:t>与</w:t>
      </w:r>
      <w:r>
        <w:rPr>
          <w:rFonts w:ascii="宋体" w:hAnsi="宋体" w:eastAsia="宋体" w:cs="宋体"/>
          <w:spacing w:val="-36"/>
          <w:sz w:val="17"/>
          <w:szCs w:val="17"/>
        </w:rPr>
        <w:t xml:space="preserve"> </w:t>
      </w:r>
      <w:r>
        <w:rPr>
          <w:rFonts w:ascii="宋体" w:hAnsi="宋体" w:eastAsia="宋体" w:cs="宋体"/>
          <w:spacing w:val="-12"/>
          <w:sz w:val="17"/>
          <w:szCs w:val="17"/>
        </w:rPr>
        <w:t>配</w:t>
      </w:r>
      <w:r>
        <w:rPr>
          <w:rFonts w:ascii="宋体" w:hAnsi="宋体" w:eastAsia="宋体" w:cs="宋体"/>
          <w:spacing w:val="-36"/>
          <w:sz w:val="17"/>
          <w:szCs w:val="17"/>
        </w:rPr>
        <w:t xml:space="preserve"> </w:t>
      </w:r>
      <w:r>
        <w:rPr>
          <w:rFonts w:ascii="宋体" w:hAnsi="宋体" w:eastAsia="宋体" w:cs="宋体"/>
          <w:spacing w:val="-12"/>
          <w:sz w:val="17"/>
          <w:szCs w:val="17"/>
        </w:rPr>
        <w:t>合</w:t>
      </w:r>
      <w:r>
        <w:rPr>
          <w:rFonts w:ascii="宋体" w:hAnsi="宋体" w:eastAsia="宋体" w:cs="宋体"/>
          <w:spacing w:val="-37"/>
          <w:sz w:val="17"/>
          <w:szCs w:val="17"/>
        </w:rPr>
        <w:t xml:space="preserve"> </w:t>
      </w:r>
      <w:r>
        <w:rPr>
          <w:rFonts w:ascii="宋体" w:hAnsi="宋体" w:eastAsia="宋体" w:cs="宋体"/>
          <w:spacing w:val="-12"/>
          <w:sz w:val="17"/>
          <w:szCs w:val="17"/>
        </w:rPr>
        <w:t>注</w:t>
      </w:r>
      <w:r>
        <w:rPr>
          <w:rFonts w:ascii="宋体" w:hAnsi="宋体" w:eastAsia="宋体" w:cs="宋体"/>
          <w:spacing w:val="-35"/>
          <w:sz w:val="17"/>
          <w:szCs w:val="17"/>
        </w:rPr>
        <w:t xml:space="preserve"> </w:t>
      </w:r>
      <w:r>
        <w:rPr>
          <w:rFonts w:ascii="宋体" w:hAnsi="宋体" w:eastAsia="宋体" w:cs="宋体"/>
          <w:spacing w:val="-12"/>
          <w:sz w:val="17"/>
          <w:szCs w:val="17"/>
        </w:rPr>
        <w:t>法</w:t>
      </w:r>
      <w:r>
        <w:rPr>
          <w:rFonts w:ascii="宋体" w:hAnsi="宋体" w:eastAsia="宋体" w:cs="宋体"/>
          <w:spacing w:val="-43"/>
          <w:sz w:val="17"/>
          <w:szCs w:val="17"/>
        </w:rPr>
        <w:t xml:space="preserve"> </w:t>
      </w:r>
      <w:r>
        <w:rPr>
          <w:rFonts w:ascii="宋体" w:hAnsi="宋体" w:eastAsia="宋体" w:cs="宋体"/>
          <w:spacing w:val="-12"/>
          <w:sz w:val="17"/>
          <w:szCs w:val="17"/>
        </w:rPr>
        <w:t>》</w:t>
      </w:r>
      <w:r>
        <w:rPr>
          <w:rFonts w:ascii="Times New Roman" w:hAnsi="Times New Roman" w:eastAsia="Times New Roman" w:cs="Times New Roman"/>
          <w:spacing w:val="-12"/>
          <w:sz w:val="17"/>
          <w:szCs w:val="17"/>
        </w:rPr>
        <w:t>GB/</w:t>
      </w:r>
      <w:r>
        <w:rPr>
          <w:rFonts w:ascii="Times New Roman" w:hAnsi="Times New Roman" w:eastAsia="Times New Roman" w:cs="Times New Roman"/>
          <w:sz w:val="17"/>
          <w:szCs w:val="17"/>
        </w:rPr>
        <w:t xml:space="preserve"> </w:t>
      </w:r>
      <w:r>
        <w:rPr>
          <w:rFonts w:ascii="Times New Roman" w:hAnsi="Times New Roman" w:eastAsia="Times New Roman" w:cs="Times New Roman"/>
          <w:spacing w:val="-2"/>
          <w:sz w:val="17"/>
          <w:szCs w:val="17"/>
        </w:rPr>
        <w:t>T4458.5-2003</w:t>
      </w:r>
      <w:r>
        <w:rPr>
          <w:rFonts w:ascii="Times New Roman" w:hAnsi="Times New Roman" w:eastAsia="Times New Roman" w:cs="Times New Roman"/>
          <w:spacing w:val="30"/>
          <w:sz w:val="17"/>
          <w:szCs w:val="17"/>
        </w:rPr>
        <w:t xml:space="preserve"> </w:t>
      </w:r>
      <w:r>
        <w:rPr>
          <w:rFonts w:ascii="宋体" w:hAnsi="宋体" w:eastAsia="宋体" w:cs="宋体"/>
          <w:spacing w:val="-2"/>
          <w:sz w:val="17"/>
          <w:szCs w:val="17"/>
        </w:rPr>
        <w:t>等。</w:t>
      </w:r>
    </w:p>
    <w:p w14:paraId="209F6B22">
      <w:pPr>
        <w:spacing w:before="35" w:line="220" w:lineRule="auto"/>
        <w:ind w:left="172"/>
        <w:rPr>
          <w:rFonts w:ascii="宋体" w:hAnsi="宋体" w:eastAsia="宋体" w:cs="宋体"/>
          <w:sz w:val="17"/>
          <w:szCs w:val="17"/>
        </w:rPr>
      </w:pPr>
      <w:r>
        <w:rPr>
          <w:rFonts w:ascii="宋体" w:hAnsi="宋体" w:eastAsia="宋体" w:cs="宋体"/>
          <w:spacing w:val="8"/>
          <w:sz w:val="17"/>
          <w:szCs w:val="17"/>
        </w:rPr>
        <w:t>【测试赋分】</w:t>
      </w:r>
    </w:p>
    <w:p w14:paraId="35250E97">
      <w:pPr>
        <w:spacing w:before="85" w:line="306" w:lineRule="auto"/>
        <w:ind w:left="177" w:firstLine="349"/>
        <w:jc w:val="both"/>
        <w:rPr>
          <w:rFonts w:ascii="宋体" w:hAnsi="宋体" w:eastAsia="宋体" w:cs="宋体"/>
          <w:sz w:val="17"/>
          <w:szCs w:val="17"/>
        </w:rPr>
      </w:pPr>
      <w:r>
        <w:rPr>
          <w:rFonts w:ascii="宋体" w:hAnsi="宋体" w:eastAsia="宋体" w:cs="宋体"/>
          <w:spacing w:val="-4"/>
          <w:sz w:val="17"/>
          <w:szCs w:val="17"/>
        </w:rPr>
        <w:t>主要评判图形的完整性，尺寸的正确、完整、清晰、</w:t>
      </w:r>
      <w:r>
        <w:rPr>
          <w:rFonts w:ascii="宋体" w:hAnsi="宋体" w:eastAsia="宋体" w:cs="宋体"/>
          <w:spacing w:val="15"/>
          <w:sz w:val="17"/>
          <w:szCs w:val="17"/>
        </w:rPr>
        <w:t xml:space="preserve"> </w:t>
      </w:r>
      <w:r>
        <w:rPr>
          <w:rFonts w:ascii="宋体" w:hAnsi="宋体" w:eastAsia="宋体" w:cs="宋体"/>
          <w:spacing w:val="1"/>
          <w:sz w:val="17"/>
          <w:szCs w:val="17"/>
        </w:rPr>
        <w:t>合理等，图面信息的完整性、布局的合理性，与国标的</w:t>
      </w:r>
      <w:r>
        <w:rPr>
          <w:rFonts w:ascii="宋体" w:hAnsi="宋体" w:eastAsia="宋体" w:cs="宋体"/>
          <w:spacing w:val="4"/>
          <w:sz w:val="17"/>
          <w:szCs w:val="17"/>
        </w:rPr>
        <w:t xml:space="preserve">  </w:t>
      </w:r>
      <w:r>
        <w:rPr>
          <w:rFonts w:ascii="宋体" w:hAnsi="宋体" w:eastAsia="宋体" w:cs="宋体"/>
          <w:spacing w:val="-3"/>
          <w:sz w:val="17"/>
          <w:szCs w:val="17"/>
        </w:rPr>
        <w:t>相符度以及虚拟打印等。</w:t>
      </w:r>
    </w:p>
    <w:p w14:paraId="648102D8">
      <w:pPr>
        <w:spacing w:line="134" w:lineRule="exact"/>
      </w:pPr>
    </w:p>
    <w:tbl>
      <w:tblPr>
        <w:tblStyle w:val="5"/>
        <w:tblW w:w="4130" w:type="dxa"/>
        <w:tblInd w:w="20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53"/>
        <w:gridCol w:w="3377"/>
      </w:tblGrid>
      <w:tr w14:paraId="26B5CF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3" w:hRule="atLeast"/>
        </w:trPr>
        <w:tc>
          <w:tcPr>
            <w:tcW w:w="753" w:type="dxa"/>
            <w:vMerge w:val="restart"/>
            <w:tcBorders>
              <w:bottom w:val="nil"/>
            </w:tcBorders>
            <w:vAlign w:val="top"/>
          </w:tcPr>
          <w:p w14:paraId="0F63E1A8">
            <w:pPr>
              <w:pStyle w:val="6"/>
              <w:spacing w:before="163" w:line="211" w:lineRule="auto"/>
              <w:ind w:left="5" w:right="24" w:firstLine="89"/>
              <w:rPr>
                <w:sz w:val="18"/>
                <w:szCs w:val="18"/>
              </w:rPr>
            </w:pPr>
            <w:r>
              <w:rPr>
                <w:spacing w:val="5"/>
                <w:sz w:val="18"/>
                <w:szCs w:val="18"/>
              </w:rPr>
              <w:t>站场图</w:t>
            </w:r>
            <w:r>
              <w:rPr>
                <w:sz w:val="18"/>
                <w:szCs w:val="18"/>
              </w:rPr>
              <w:t xml:space="preserve"> </w:t>
            </w:r>
            <w:r>
              <w:rPr>
                <w:spacing w:val="-2"/>
                <w:sz w:val="18"/>
                <w:szCs w:val="18"/>
              </w:rPr>
              <w:t>尺寸测绘</w:t>
            </w:r>
          </w:p>
        </w:tc>
        <w:tc>
          <w:tcPr>
            <w:tcW w:w="3377" w:type="dxa"/>
            <w:vAlign w:val="top"/>
          </w:tcPr>
          <w:p w14:paraId="0F9D1E29">
            <w:pPr>
              <w:pStyle w:val="6"/>
              <w:spacing w:before="82" w:line="238" w:lineRule="auto"/>
              <w:ind w:left="11"/>
              <w:rPr>
                <w:sz w:val="18"/>
                <w:szCs w:val="18"/>
              </w:rPr>
            </w:pPr>
            <w:r>
              <w:rPr>
                <w:spacing w:val="3"/>
                <w:sz w:val="18"/>
                <w:szCs w:val="18"/>
              </w:rPr>
              <w:t>尺寸准确性</w:t>
            </w:r>
            <w:r>
              <w:rPr>
                <w:spacing w:val="1"/>
                <w:sz w:val="18"/>
                <w:szCs w:val="18"/>
              </w:rPr>
              <w:t xml:space="preserve">                   </w:t>
            </w:r>
            <w:r>
              <w:rPr>
                <w:spacing w:val="3"/>
                <w:sz w:val="18"/>
                <w:szCs w:val="18"/>
              </w:rPr>
              <w:t>(55分)</w:t>
            </w:r>
          </w:p>
        </w:tc>
      </w:tr>
      <w:tr w14:paraId="4EAA06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9" w:hRule="atLeast"/>
        </w:trPr>
        <w:tc>
          <w:tcPr>
            <w:tcW w:w="753" w:type="dxa"/>
            <w:vMerge w:val="continue"/>
            <w:tcBorders>
              <w:top w:val="nil"/>
            </w:tcBorders>
            <w:vAlign w:val="top"/>
          </w:tcPr>
          <w:p w14:paraId="2994E301">
            <w:pPr>
              <w:rPr>
                <w:rFonts w:ascii="Arial"/>
                <w:sz w:val="21"/>
              </w:rPr>
            </w:pPr>
          </w:p>
        </w:tc>
        <w:tc>
          <w:tcPr>
            <w:tcW w:w="3377" w:type="dxa"/>
            <w:vAlign w:val="top"/>
          </w:tcPr>
          <w:p w14:paraId="06C53818">
            <w:pPr>
              <w:pStyle w:val="6"/>
              <w:spacing w:before="79" w:line="229" w:lineRule="auto"/>
              <w:ind w:left="11"/>
              <w:rPr>
                <w:sz w:val="18"/>
                <w:szCs w:val="18"/>
              </w:rPr>
            </w:pPr>
            <w:r>
              <w:rPr>
                <w:spacing w:val="2"/>
                <w:sz w:val="18"/>
                <w:szCs w:val="18"/>
              </w:rPr>
              <w:t xml:space="preserve">各图形完整性                 </w:t>
            </w:r>
            <w:r>
              <w:rPr>
                <w:spacing w:val="2"/>
                <w:position w:val="1"/>
                <w:sz w:val="18"/>
                <w:szCs w:val="18"/>
              </w:rPr>
              <w:t>(55分)</w:t>
            </w:r>
          </w:p>
        </w:tc>
      </w:tr>
      <w:tr w14:paraId="469642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9" w:hRule="atLeast"/>
        </w:trPr>
        <w:tc>
          <w:tcPr>
            <w:tcW w:w="753" w:type="dxa"/>
            <w:vMerge w:val="restart"/>
            <w:tcBorders>
              <w:bottom w:val="nil"/>
            </w:tcBorders>
            <w:vAlign w:val="top"/>
          </w:tcPr>
          <w:p w14:paraId="27C31910">
            <w:pPr>
              <w:spacing w:line="281" w:lineRule="auto"/>
              <w:rPr>
                <w:rFonts w:ascii="Arial"/>
                <w:sz w:val="21"/>
              </w:rPr>
            </w:pPr>
          </w:p>
          <w:p w14:paraId="201FD104">
            <w:pPr>
              <w:pStyle w:val="6"/>
              <w:spacing w:before="58" w:line="215" w:lineRule="auto"/>
              <w:ind w:left="94"/>
              <w:rPr>
                <w:sz w:val="18"/>
                <w:szCs w:val="18"/>
              </w:rPr>
            </w:pPr>
            <w:r>
              <w:rPr>
                <w:spacing w:val="5"/>
                <w:sz w:val="18"/>
                <w:szCs w:val="18"/>
              </w:rPr>
              <w:t>站场图</w:t>
            </w:r>
          </w:p>
          <w:p w14:paraId="36084371">
            <w:pPr>
              <w:pStyle w:val="6"/>
              <w:spacing w:line="220" w:lineRule="auto"/>
              <w:ind w:left="184"/>
              <w:rPr>
                <w:sz w:val="18"/>
                <w:szCs w:val="18"/>
              </w:rPr>
            </w:pPr>
            <w:r>
              <w:rPr>
                <w:spacing w:val="7"/>
                <w:sz w:val="18"/>
                <w:szCs w:val="18"/>
              </w:rPr>
              <w:t>绘制</w:t>
            </w:r>
          </w:p>
        </w:tc>
        <w:tc>
          <w:tcPr>
            <w:tcW w:w="3377" w:type="dxa"/>
            <w:vAlign w:val="top"/>
          </w:tcPr>
          <w:p w14:paraId="055299C5">
            <w:pPr>
              <w:pStyle w:val="6"/>
              <w:spacing w:before="90" w:line="229" w:lineRule="auto"/>
              <w:ind w:left="11"/>
              <w:rPr>
                <w:sz w:val="18"/>
                <w:szCs w:val="18"/>
              </w:rPr>
            </w:pPr>
            <w:r>
              <w:rPr>
                <w:spacing w:val="2"/>
                <w:sz w:val="18"/>
                <w:szCs w:val="18"/>
              </w:rPr>
              <w:t>视图表达、线型、图层等       (35分)</w:t>
            </w:r>
          </w:p>
        </w:tc>
      </w:tr>
      <w:tr w14:paraId="36F81D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8" w:hRule="atLeast"/>
        </w:trPr>
        <w:tc>
          <w:tcPr>
            <w:tcW w:w="753" w:type="dxa"/>
            <w:vMerge w:val="continue"/>
            <w:tcBorders>
              <w:top w:val="nil"/>
              <w:bottom w:val="nil"/>
            </w:tcBorders>
            <w:vAlign w:val="top"/>
          </w:tcPr>
          <w:p w14:paraId="5408A1AA">
            <w:pPr>
              <w:rPr>
                <w:rFonts w:ascii="Arial"/>
                <w:sz w:val="21"/>
              </w:rPr>
            </w:pPr>
          </w:p>
        </w:tc>
        <w:tc>
          <w:tcPr>
            <w:tcW w:w="3377" w:type="dxa"/>
            <w:vAlign w:val="top"/>
          </w:tcPr>
          <w:p w14:paraId="36EEA508">
            <w:pPr>
              <w:pStyle w:val="6"/>
              <w:spacing w:before="81" w:line="229" w:lineRule="auto"/>
              <w:ind w:left="11"/>
              <w:rPr>
                <w:sz w:val="18"/>
                <w:szCs w:val="18"/>
              </w:rPr>
            </w:pPr>
            <w:r>
              <w:rPr>
                <w:spacing w:val="2"/>
                <w:sz w:val="18"/>
                <w:szCs w:val="18"/>
              </w:rPr>
              <w:t xml:space="preserve">标注、文字、符号等           </w:t>
            </w:r>
            <w:r>
              <w:rPr>
                <w:spacing w:val="2"/>
                <w:position w:val="1"/>
                <w:sz w:val="18"/>
                <w:szCs w:val="18"/>
              </w:rPr>
              <w:t>(35</w:t>
            </w:r>
            <w:r>
              <w:rPr>
                <w:spacing w:val="1"/>
                <w:position w:val="1"/>
                <w:sz w:val="18"/>
                <w:szCs w:val="18"/>
              </w:rPr>
              <w:t>分)</w:t>
            </w:r>
          </w:p>
        </w:tc>
      </w:tr>
      <w:tr w14:paraId="6C1D38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8" w:hRule="atLeast"/>
        </w:trPr>
        <w:tc>
          <w:tcPr>
            <w:tcW w:w="753" w:type="dxa"/>
            <w:vMerge w:val="continue"/>
            <w:tcBorders>
              <w:top w:val="nil"/>
            </w:tcBorders>
            <w:vAlign w:val="top"/>
          </w:tcPr>
          <w:p w14:paraId="78E4D3D4">
            <w:pPr>
              <w:rPr>
                <w:rFonts w:ascii="Arial"/>
                <w:sz w:val="21"/>
              </w:rPr>
            </w:pPr>
          </w:p>
        </w:tc>
        <w:tc>
          <w:tcPr>
            <w:tcW w:w="3377" w:type="dxa"/>
            <w:vAlign w:val="top"/>
          </w:tcPr>
          <w:p w14:paraId="4AC46CC6">
            <w:pPr>
              <w:pStyle w:val="6"/>
              <w:spacing w:before="83" w:line="226" w:lineRule="auto"/>
              <w:ind w:left="11"/>
              <w:rPr>
                <w:sz w:val="18"/>
                <w:szCs w:val="18"/>
              </w:rPr>
            </w:pPr>
            <w:r>
              <w:rPr>
                <w:spacing w:val="2"/>
                <w:sz w:val="18"/>
                <w:szCs w:val="18"/>
              </w:rPr>
              <w:t xml:space="preserve">图幅、标题栏、技术要求等     </w:t>
            </w:r>
            <w:r>
              <w:rPr>
                <w:spacing w:val="2"/>
                <w:position w:val="1"/>
                <w:sz w:val="18"/>
                <w:szCs w:val="18"/>
              </w:rPr>
              <w:t>(35分)</w:t>
            </w:r>
          </w:p>
        </w:tc>
      </w:tr>
      <w:tr w14:paraId="373D53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9" w:hRule="atLeast"/>
        </w:trPr>
        <w:tc>
          <w:tcPr>
            <w:tcW w:w="753" w:type="dxa"/>
            <w:vAlign w:val="top"/>
          </w:tcPr>
          <w:p w14:paraId="7B2A2C6E">
            <w:pPr>
              <w:pStyle w:val="6"/>
              <w:spacing w:before="85" w:line="219" w:lineRule="auto"/>
              <w:jc w:val="right"/>
              <w:rPr>
                <w:sz w:val="18"/>
                <w:szCs w:val="18"/>
              </w:rPr>
            </w:pPr>
            <w:r>
              <w:rPr>
                <w:spacing w:val="4"/>
                <w:sz w:val="18"/>
                <w:szCs w:val="18"/>
              </w:rPr>
              <w:t>图纸输出</w:t>
            </w:r>
          </w:p>
        </w:tc>
        <w:tc>
          <w:tcPr>
            <w:tcW w:w="3377" w:type="dxa"/>
            <w:vAlign w:val="top"/>
          </w:tcPr>
          <w:p w14:paraId="749EA4C4">
            <w:pPr>
              <w:pStyle w:val="6"/>
              <w:spacing w:before="84" w:line="220" w:lineRule="auto"/>
              <w:ind w:left="11"/>
              <w:rPr>
                <w:sz w:val="18"/>
                <w:szCs w:val="18"/>
              </w:rPr>
            </w:pPr>
            <w:r>
              <w:rPr>
                <w:spacing w:val="4"/>
                <w:sz w:val="18"/>
                <w:szCs w:val="18"/>
              </w:rPr>
              <w:t>所有图纸虚拟打印输出</w:t>
            </w:r>
            <w:r>
              <w:rPr>
                <w:sz w:val="18"/>
                <w:szCs w:val="18"/>
              </w:rPr>
              <w:t xml:space="preserve">         </w:t>
            </w:r>
            <w:r>
              <w:rPr>
                <w:spacing w:val="4"/>
                <w:sz w:val="18"/>
                <w:szCs w:val="18"/>
              </w:rPr>
              <w:t>(10分)</w:t>
            </w:r>
          </w:p>
        </w:tc>
      </w:tr>
      <w:tr w14:paraId="581215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3" w:hRule="atLeast"/>
        </w:trPr>
        <w:tc>
          <w:tcPr>
            <w:tcW w:w="753" w:type="dxa"/>
            <w:vAlign w:val="top"/>
          </w:tcPr>
          <w:p w14:paraId="624E1B3B">
            <w:pPr>
              <w:pStyle w:val="6"/>
              <w:spacing w:before="126" w:line="219" w:lineRule="auto"/>
              <w:ind w:left="5"/>
              <w:rPr>
                <w:sz w:val="18"/>
                <w:szCs w:val="18"/>
              </w:rPr>
            </w:pPr>
            <w:r>
              <w:rPr>
                <w:spacing w:val="-2"/>
                <w:sz w:val="18"/>
                <w:szCs w:val="18"/>
              </w:rPr>
              <w:t>职业素养</w:t>
            </w:r>
          </w:p>
        </w:tc>
        <w:tc>
          <w:tcPr>
            <w:tcW w:w="3377" w:type="dxa"/>
            <w:vAlign w:val="top"/>
          </w:tcPr>
          <w:p w14:paraId="4B180E38">
            <w:pPr>
              <w:pStyle w:val="6"/>
              <w:spacing w:before="16" w:line="159" w:lineRule="auto"/>
              <w:ind w:left="11"/>
              <w:rPr>
                <w:sz w:val="18"/>
                <w:szCs w:val="18"/>
              </w:rPr>
            </w:pPr>
            <w:r>
              <w:rPr>
                <w:spacing w:val="-1"/>
                <w:sz w:val="18"/>
                <w:szCs w:val="18"/>
              </w:rPr>
              <w:t>操作规范、文明使用工量具及</w:t>
            </w:r>
          </w:p>
          <w:p w14:paraId="33703FB1">
            <w:pPr>
              <w:pStyle w:val="6"/>
              <w:spacing w:line="175" w:lineRule="auto"/>
              <w:ind w:left="11"/>
              <w:rPr>
                <w:sz w:val="18"/>
                <w:szCs w:val="18"/>
              </w:rPr>
            </w:pPr>
            <w:r>
              <w:rPr>
                <w:spacing w:val="4"/>
                <w:position w:val="-5"/>
                <w:sz w:val="18"/>
                <w:szCs w:val="18"/>
              </w:rPr>
              <w:t>设备</w:t>
            </w:r>
            <w:r>
              <w:rPr>
                <w:spacing w:val="1"/>
                <w:position w:val="-5"/>
                <w:sz w:val="18"/>
                <w:szCs w:val="18"/>
              </w:rPr>
              <w:t xml:space="preserve">                   </w:t>
            </w:r>
            <w:r>
              <w:rPr>
                <w:position w:val="-5"/>
                <w:sz w:val="18"/>
                <w:szCs w:val="18"/>
              </w:rPr>
              <w:t xml:space="preserve">      </w:t>
            </w:r>
            <w:r>
              <w:rPr>
                <w:spacing w:val="4"/>
                <w:position w:val="2"/>
                <w:sz w:val="18"/>
                <w:szCs w:val="18"/>
              </w:rPr>
              <w:t>(25分)</w:t>
            </w:r>
          </w:p>
        </w:tc>
      </w:tr>
    </w:tbl>
    <w:p w14:paraId="5A6BFD45">
      <w:pPr>
        <w:pStyle w:val="2"/>
        <w:spacing w:line="252" w:lineRule="auto"/>
      </w:pPr>
    </w:p>
    <w:p w14:paraId="6478BEF4">
      <w:pPr>
        <w:spacing w:before="56" w:line="219" w:lineRule="auto"/>
        <w:rPr>
          <w:rFonts w:ascii="宋体" w:hAnsi="宋体" w:eastAsia="宋体" w:cs="宋体"/>
          <w:sz w:val="17"/>
          <w:szCs w:val="17"/>
        </w:rPr>
      </w:pPr>
      <w:r>
        <w:rPr>
          <w:rFonts w:ascii="宋体" w:hAnsi="宋体" w:eastAsia="宋体" w:cs="宋体"/>
          <w:b/>
          <w:bCs/>
          <w:spacing w:val="13"/>
          <w:sz w:val="17"/>
          <w:szCs w:val="17"/>
        </w:rPr>
        <w:t>项目四</w:t>
      </w:r>
      <w:r>
        <w:rPr>
          <w:rFonts w:ascii="宋体" w:hAnsi="宋体" w:eastAsia="宋体" w:cs="宋体"/>
          <w:spacing w:val="13"/>
          <w:sz w:val="17"/>
          <w:szCs w:val="17"/>
        </w:rPr>
        <w:t xml:space="preserve">  </w:t>
      </w:r>
      <w:r>
        <w:rPr>
          <w:rFonts w:ascii="宋体" w:hAnsi="宋体" w:eastAsia="宋体" w:cs="宋体"/>
          <w:b/>
          <w:bCs/>
          <w:spacing w:val="13"/>
          <w:sz w:val="17"/>
          <w:szCs w:val="17"/>
        </w:rPr>
        <w:t>零</w:t>
      </w:r>
      <w:r>
        <w:rPr>
          <w:rFonts w:ascii="宋体" w:hAnsi="宋体" w:eastAsia="宋体" w:cs="宋体"/>
          <w:spacing w:val="-33"/>
          <w:sz w:val="17"/>
          <w:szCs w:val="17"/>
        </w:rPr>
        <w:t xml:space="preserve"> </w:t>
      </w:r>
      <w:r>
        <w:rPr>
          <w:rFonts w:ascii="宋体" w:hAnsi="宋体" w:eastAsia="宋体" w:cs="宋体"/>
          <w:b/>
          <w:bCs/>
          <w:spacing w:val="13"/>
          <w:sz w:val="17"/>
          <w:szCs w:val="17"/>
        </w:rPr>
        <w:t>部</w:t>
      </w:r>
      <w:r>
        <w:rPr>
          <w:rFonts w:ascii="宋体" w:hAnsi="宋体" w:eastAsia="宋体" w:cs="宋体"/>
          <w:spacing w:val="-39"/>
          <w:sz w:val="17"/>
          <w:szCs w:val="17"/>
        </w:rPr>
        <w:t xml:space="preserve"> </w:t>
      </w:r>
      <w:r>
        <w:rPr>
          <w:rFonts w:ascii="宋体" w:hAnsi="宋体" w:eastAsia="宋体" w:cs="宋体"/>
          <w:b/>
          <w:bCs/>
          <w:spacing w:val="13"/>
          <w:sz w:val="17"/>
          <w:szCs w:val="17"/>
        </w:rPr>
        <w:t>件</w:t>
      </w:r>
      <w:r>
        <w:rPr>
          <w:rFonts w:ascii="宋体" w:hAnsi="宋体" w:eastAsia="宋体" w:cs="宋体"/>
          <w:spacing w:val="-39"/>
          <w:sz w:val="17"/>
          <w:szCs w:val="17"/>
        </w:rPr>
        <w:t xml:space="preserve"> </w:t>
      </w:r>
      <w:r>
        <w:rPr>
          <w:rFonts w:ascii="宋体" w:hAnsi="宋体" w:eastAsia="宋体" w:cs="宋体"/>
          <w:b/>
          <w:bCs/>
          <w:spacing w:val="13"/>
          <w:sz w:val="17"/>
          <w:szCs w:val="17"/>
        </w:rPr>
        <w:t>测</w:t>
      </w:r>
      <w:r>
        <w:rPr>
          <w:rFonts w:ascii="宋体" w:hAnsi="宋体" w:eastAsia="宋体" w:cs="宋体"/>
          <w:spacing w:val="-37"/>
          <w:sz w:val="17"/>
          <w:szCs w:val="17"/>
        </w:rPr>
        <w:t xml:space="preserve"> </w:t>
      </w:r>
      <w:r>
        <w:rPr>
          <w:rFonts w:ascii="宋体" w:hAnsi="宋体" w:eastAsia="宋体" w:cs="宋体"/>
          <w:b/>
          <w:bCs/>
          <w:spacing w:val="13"/>
          <w:sz w:val="17"/>
          <w:szCs w:val="17"/>
        </w:rPr>
        <w:t>绘</w:t>
      </w:r>
      <w:r>
        <w:rPr>
          <w:rFonts w:ascii="宋体" w:hAnsi="宋体" w:eastAsia="宋体" w:cs="宋体"/>
          <w:spacing w:val="-36"/>
          <w:sz w:val="17"/>
          <w:szCs w:val="17"/>
        </w:rPr>
        <w:t xml:space="preserve"> </w:t>
      </w:r>
      <w:r>
        <w:rPr>
          <w:rFonts w:ascii="宋体" w:hAnsi="宋体" w:eastAsia="宋体" w:cs="宋体"/>
          <w:b/>
          <w:bCs/>
          <w:spacing w:val="13"/>
          <w:sz w:val="17"/>
          <w:szCs w:val="17"/>
        </w:rPr>
        <w:t>与</w:t>
      </w:r>
      <w:r>
        <w:rPr>
          <w:rFonts w:ascii="宋体" w:hAnsi="宋体" w:eastAsia="宋体" w:cs="宋体"/>
          <w:spacing w:val="-44"/>
          <w:sz w:val="17"/>
          <w:szCs w:val="17"/>
        </w:rPr>
        <w:t xml:space="preserve"> </w:t>
      </w:r>
      <w:r>
        <w:rPr>
          <w:rFonts w:ascii="宋体" w:hAnsi="宋体" w:eastAsia="宋体" w:cs="宋体"/>
          <w:b/>
          <w:bCs/>
          <w:sz w:val="17"/>
          <w:szCs w:val="17"/>
        </w:rPr>
        <w:t>CAD</w:t>
      </w:r>
      <w:r>
        <w:rPr>
          <w:rFonts w:ascii="宋体" w:hAnsi="宋体" w:eastAsia="宋体" w:cs="宋体"/>
          <w:spacing w:val="30"/>
          <w:sz w:val="17"/>
          <w:szCs w:val="17"/>
        </w:rPr>
        <w:t xml:space="preserve">  </w:t>
      </w:r>
      <w:r>
        <w:rPr>
          <w:rFonts w:ascii="宋体" w:hAnsi="宋体" w:eastAsia="宋体" w:cs="宋体"/>
          <w:b/>
          <w:bCs/>
          <w:spacing w:val="13"/>
          <w:sz w:val="17"/>
          <w:szCs w:val="17"/>
        </w:rPr>
        <w:t>制图技术技能测试</w:t>
      </w:r>
    </w:p>
    <w:p w14:paraId="0253B936">
      <w:pPr>
        <w:pStyle w:val="2"/>
        <w:spacing w:line="304" w:lineRule="auto"/>
      </w:pPr>
    </w:p>
    <w:p w14:paraId="1398B9EF">
      <w:pPr>
        <w:spacing w:before="56" w:line="221" w:lineRule="auto"/>
        <w:ind w:left="172"/>
        <w:rPr>
          <w:rFonts w:ascii="宋体" w:hAnsi="宋体" w:eastAsia="宋体" w:cs="宋体"/>
          <w:sz w:val="17"/>
          <w:szCs w:val="17"/>
        </w:rPr>
      </w:pPr>
      <w:r>
        <w:rPr>
          <w:rFonts w:ascii="宋体" w:hAnsi="宋体" w:eastAsia="宋体" w:cs="宋体"/>
          <w:spacing w:val="8"/>
          <w:sz w:val="17"/>
          <w:szCs w:val="17"/>
        </w:rPr>
        <w:t>【测试用具】</w:t>
      </w:r>
    </w:p>
    <w:p w14:paraId="65C39112">
      <w:pPr>
        <w:spacing w:before="95" w:line="302" w:lineRule="auto"/>
        <w:ind w:left="527" w:right="1489"/>
        <w:rPr>
          <w:rFonts w:ascii="宋体" w:hAnsi="宋体" w:eastAsia="宋体" w:cs="宋体"/>
          <w:sz w:val="17"/>
          <w:szCs w:val="17"/>
        </w:rPr>
      </w:pPr>
      <w:r>
        <w:rPr>
          <w:rFonts w:ascii="宋体" w:hAnsi="宋体" w:eastAsia="宋体" w:cs="宋体"/>
          <w:spacing w:val="-3"/>
          <w:sz w:val="17"/>
          <w:szCs w:val="17"/>
        </w:rPr>
        <w:t>1.仪器设备：计算机、打印机；</w:t>
      </w:r>
      <w:r>
        <w:rPr>
          <w:rFonts w:ascii="宋体" w:hAnsi="宋体" w:eastAsia="宋体" w:cs="宋体"/>
          <w:spacing w:val="9"/>
          <w:sz w:val="17"/>
          <w:szCs w:val="17"/>
        </w:rPr>
        <w:t xml:space="preserve"> </w:t>
      </w:r>
      <w:r>
        <w:rPr>
          <w:rFonts w:ascii="宋体" w:hAnsi="宋体" w:eastAsia="宋体" w:cs="宋体"/>
          <w:spacing w:val="-1"/>
          <w:sz w:val="17"/>
          <w:szCs w:val="17"/>
        </w:rPr>
        <w:t>2.软件：AutoCAD 软件；</w:t>
      </w:r>
    </w:p>
    <w:p w14:paraId="19503DED">
      <w:pPr>
        <w:spacing w:before="14" w:line="313" w:lineRule="auto"/>
        <w:ind w:left="177" w:right="37" w:firstLine="349"/>
        <w:rPr>
          <w:rFonts w:ascii="宋体" w:hAnsi="宋体" w:eastAsia="宋体" w:cs="宋体"/>
          <w:sz w:val="17"/>
          <w:szCs w:val="17"/>
        </w:rPr>
      </w:pPr>
      <w:r>
        <w:rPr>
          <w:rFonts w:ascii="宋体" w:hAnsi="宋体" w:eastAsia="宋体" w:cs="宋体"/>
          <w:spacing w:val="10"/>
          <w:sz w:val="17"/>
          <w:szCs w:val="17"/>
        </w:rPr>
        <w:t>3.实物零件以及常用的工量具，如游标卡尺、铅</w:t>
      </w:r>
      <w:r>
        <w:rPr>
          <w:rFonts w:ascii="宋体" w:hAnsi="宋体" w:eastAsia="宋体" w:cs="宋体"/>
          <w:spacing w:val="6"/>
          <w:sz w:val="17"/>
          <w:szCs w:val="17"/>
        </w:rPr>
        <w:t xml:space="preserve"> </w:t>
      </w:r>
      <w:r>
        <w:rPr>
          <w:rFonts w:ascii="宋体" w:hAnsi="宋体" w:eastAsia="宋体" w:cs="宋体"/>
          <w:spacing w:val="-4"/>
          <w:sz w:val="17"/>
          <w:szCs w:val="17"/>
        </w:rPr>
        <w:t>笔等；</w:t>
      </w:r>
    </w:p>
    <w:p w14:paraId="240CF4F9">
      <w:pPr>
        <w:spacing w:before="4" w:line="219" w:lineRule="auto"/>
        <w:ind w:left="172"/>
        <w:rPr>
          <w:rFonts w:ascii="宋体" w:hAnsi="宋体" w:eastAsia="宋体" w:cs="宋体"/>
          <w:sz w:val="17"/>
          <w:szCs w:val="17"/>
        </w:rPr>
      </w:pPr>
      <w:r>
        <w:rPr>
          <w:rFonts w:ascii="宋体" w:hAnsi="宋体" w:eastAsia="宋体" w:cs="宋体"/>
          <w:spacing w:val="8"/>
          <w:sz w:val="17"/>
          <w:szCs w:val="17"/>
        </w:rPr>
        <w:t>【测试内容】</w:t>
      </w:r>
    </w:p>
    <w:p w14:paraId="025ADA8F">
      <w:pPr>
        <w:spacing w:before="87" w:line="306" w:lineRule="auto"/>
        <w:ind w:left="177" w:firstLine="349"/>
        <w:jc w:val="both"/>
        <w:rPr>
          <w:rFonts w:ascii="宋体" w:hAnsi="宋体" w:eastAsia="宋体" w:cs="宋体"/>
          <w:sz w:val="17"/>
          <w:szCs w:val="17"/>
        </w:rPr>
      </w:pPr>
      <w:r>
        <w:rPr>
          <w:rFonts w:ascii="宋体" w:hAnsi="宋体" w:eastAsia="宋体" w:cs="宋体"/>
          <w:spacing w:val="-4"/>
          <w:sz w:val="17"/>
          <w:szCs w:val="17"/>
        </w:rPr>
        <w:t>主要考核选手作品图形的完整性，尺寸标注的正确、</w:t>
      </w:r>
      <w:r>
        <w:rPr>
          <w:rFonts w:ascii="宋体" w:hAnsi="宋体" w:eastAsia="宋体" w:cs="宋体"/>
          <w:spacing w:val="15"/>
          <w:sz w:val="17"/>
          <w:szCs w:val="17"/>
        </w:rPr>
        <w:t xml:space="preserve"> </w:t>
      </w:r>
      <w:r>
        <w:rPr>
          <w:rFonts w:ascii="宋体" w:hAnsi="宋体" w:eastAsia="宋体" w:cs="宋体"/>
          <w:spacing w:val="-9"/>
          <w:sz w:val="17"/>
          <w:szCs w:val="17"/>
        </w:rPr>
        <w:t>完整、清晰、合理等，图面信息的完整性、布局的合</w:t>
      </w:r>
      <w:r>
        <w:rPr>
          <w:rFonts w:ascii="宋体" w:hAnsi="宋体" w:eastAsia="宋体" w:cs="宋体"/>
          <w:spacing w:val="-10"/>
          <w:sz w:val="17"/>
          <w:szCs w:val="17"/>
        </w:rPr>
        <w:t>理性，</w:t>
      </w:r>
      <w:r>
        <w:rPr>
          <w:rFonts w:ascii="宋体" w:hAnsi="宋体" w:eastAsia="宋体" w:cs="宋体"/>
          <w:sz w:val="17"/>
          <w:szCs w:val="17"/>
        </w:rPr>
        <w:t xml:space="preserve"> </w:t>
      </w:r>
      <w:r>
        <w:rPr>
          <w:rFonts w:ascii="宋体" w:hAnsi="宋体" w:eastAsia="宋体" w:cs="宋体"/>
          <w:spacing w:val="-3"/>
          <w:sz w:val="17"/>
          <w:szCs w:val="17"/>
        </w:rPr>
        <w:t>与国标的相符度以及虚拟打印等。</w:t>
      </w:r>
    </w:p>
    <w:p w14:paraId="5256DDA2">
      <w:pPr>
        <w:spacing w:before="27" w:line="221" w:lineRule="auto"/>
        <w:ind w:left="172"/>
        <w:rPr>
          <w:rFonts w:ascii="宋体" w:hAnsi="宋体" w:eastAsia="宋体" w:cs="宋体"/>
          <w:sz w:val="17"/>
          <w:szCs w:val="17"/>
        </w:rPr>
      </w:pPr>
      <w:r>
        <w:rPr>
          <w:rFonts w:ascii="宋体" w:hAnsi="宋体" w:eastAsia="宋体" w:cs="宋体"/>
          <w:spacing w:val="8"/>
          <w:sz w:val="17"/>
          <w:szCs w:val="17"/>
        </w:rPr>
        <w:t>【测试方法】</w:t>
      </w:r>
    </w:p>
    <w:p w14:paraId="5426018F">
      <w:pPr>
        <w:spacing w:before="84" w:line="308" w:lineRule="auto"/>
        <w:ind w:left="177" w:right="37" w:firstLine="349"/>
        <w:jc w:val="both"/>
        <w:rPr>
          <w:rFonts w:ascii="宋体" w:hAnsi="宋体" w:eastAsia="宋体" w:cs="宋体"/>
          <w:sz w:val="17"/>
          <w:szCs w:val="17"/>
        </w:rPr>
      </w:pPr>
      <w:r>
        <w:rPr>
          <w:rFonts w:ascii="宋体" w:hAnsi="宋体" w:eastAsia="宋体" w:cs="宋体"/>
          <w:spacing w:val="8"/>
          <w:sz w:val="17"/>
          <w:szCs w:val="17"/>
        </w:rPr>
        <w:t>1.实物零件测绘2—4张图纸。学生根据提供的实</w:t>
      </w:r>
      <w:r>
        <w:rPr>
          <w:rFonts w:ascii="宋体" w:hAnsi="宋体" w:eastAsia="宋体" w:cs="宋体"/>
          <w:spacing w:val="3"/>
          <w:sz w:val="17"/>
          <w:szCs w:val="17"/>
        </w:rPr>
        <w:t xml:space="preserve"> </w:t>
      </w:r>
      <w:r>
        <w:rPr>
          <w:rFonts w:ascii="宋体" w:hAnsi="宋体" w:eastAsia="宋体" w:cs="宋体"/>
          <w:spacing w:val="2"/>
          <w:sz w:val="17"/>
          <w:szCs w:val="17"/>
        </w:rPr>
        <w:t>物零件，使用常用手工量具，完成零件的尺寸测量并尺</w:t>
      </w:r>
      <w:r>
        <w:rPr>
          <w:rFonts w:ascii="宋体" w:hAnsi="宋体" w:eastAsia="宋体" w:cs="宋体"/>
          <w:spacing w:val="18"/>
          <w:sz w:val="17"/>
          <w:szCs w:val="17"/>
        </w:rPr>
        <w:t xml:space="preserve"> </w:t>
      </w:r>
      <w:r>
        <w:rPr>
          <w:rFonts w:ascii="宋体" w:hAnsi="宋体" w:eastAsia="宋体" w:cs="宋体"/>
          <w:spacing w:val="-3"/>
          <w:sz w:val="17"/>
          <w:szCs w:val="17"/>
        </w:rPr>
        <w:t>规绘图；</w:t>
      </w:r>
    </w:p>
    <w:p w14:paraId="505088B7">
      <w:pPr>
        <w:spacing w:before="20" w:line="307" w:lineRule="auto"/>
        <w:ind w:left="177" w:right="35" w:firstLine="349"/>
        <w:jc w:val="both"/>
        <w:rPr>
          <w:rFonts w:ascii="宋体" w:hAnsi="宋体" w:eastAsia="宋体" w:cs="宋体"/>
          <w:sz w:val="17"/>
          <w:szCs w:val="17"/>
        </w:rPr>
      </w:pPr>
      <w:r>
        <w:rPr>
          <w:rFonts w:ascii="宋体" w:hAnsi="宋体" w:eastAsia="宋体" w:cs="宋体"/>
          <w:spacing w:val="2"/>
          <w:sz w:val="17"/>
          <w:szCs w:val="17"/>
        </w:rPr>
        <w:t>2.零件二维工程图绘制。学生运用考场提供的二维</w:t>
      </w:r>
      <w:r>
        <w:rPr>
          <w:rFonts w:ascii="宋体" w:hAnsi="宋体" w:eastAsia="宋体" w:cs="宋体"/>
          <w:spacing w:val="10"/>
          <w:sz w:val="17"/>
          <w:szCs w:val="17"/>
        </w:rPr>
        <w:t xml:space="preserve"> </w:t>
      </w:r>
      <w:r>
        <w:rPr>
          <w:rFonts w:ascii="宋体" w:hAnsi="宋体" w:eastAsia="宋体" w:cs="宋体"/>
          <w:spacing w:val="7"/>
          <w:sz w:val="17"/>
          <w:szCs w:val="17"/>
        </w:rPr>
        <w:t>机械</w:t>
      </w:r>
      <w:r>
        <w:rPr>
          <w:rFonts w:ascii="宋体" w:hAnsi="宋体" w:eastAsia="宋体" w:cs="宋体"/>
          <w:spacing w:val="-40"/>
          <w:sz w:val="17"/>
          <w:szCs w:val="17"/>
        </w:rPr>
        <w:t xml:space="preserve"> </w:t>
      </w:r>
      <w:r>
        <w:rPr>
          <w:rFonts w:ascii="Times New Roman" w:hAnsi="Times New Roman" w:eastAsia="Times New Roman" w:cs="Times New Roman"/>
          <w:sz w:val="17"/>
          <w:szCs w:val="17"/>
        </w:rPr>
        <w:t>CAD</w:t>
      </w:r>
      <w:r>
        <w:rPr>
          <w:rFonts w:ascii="Times New Roman" w:hAnsi="Times New Roman" w:eastAsia="Times New Roman" w:cs="Times New Roman"/>
          <w:spacing w:val="-16"/>
          <w:sz w:val="17"/>
          <w:szCs w:val="17"/>
        </w:rPr>
        <w:t xml:space="preserve"> </w:t>
      </w:r>
      <w:r>
        <w:rPr>
          <w:rFonts w:ascii="宋体" w:hAnsi="宋体" w:eastAsia="宋体" w:cs="宋体"/>
          <w:spacing w:val="7"/>
          <w:sz w:val="17"/>
          <w:szCs w:val="17"/>
        </w:rPr>
        <w:t>软件，根据尺规绘图，绘制出完整的零件二</w:t>
      </w:r>
      <w:r>
        <w:rPr>
          <w:rFonts w:ascii="宋体" w:hAnsi="宋体" w:eastAsia="宋体" w:cs="宋体"/>
          <w:sz w:val="17"/>
          <w:szCs w:val="17"/>
        </w:rPr>
        <w:t xml:space="preserve"> </w:t>
      </w:r>
      <w:r>
        <w:rPr>
          <w:rFonts w:ascii="宋体" w:hAnsi="宋体" w:eastAsia="宋体" w:cs="宋体"/>
          <w:spacing w:val="-5"/>
          <w:sz w:val="17"/>
          <w:szCs w:val="17"/>
        </w:rPr>
        <w:t>维工程图；</w:t>
      </w:r>
    </w:p>
    <w:p w14:paraId="28BFAF77">
      <w:pPr>
        <w:spacing w:before="23" w:line="220" w:lineRule="auto"/>
        <w:ind w:left="527"/>
        <w:rPr>
          <w:rFonts w:ascii="宋体" w:hAnsi="宋体" w:eastAsia="宋体" w:cs="宋体"/>
          <w:sz w:val="17"/>
          <w:szCs w:val="17"/>
        </w:rPr>
      </w:pPr>
      <w:r>
        <w:rPr>
          <w:rFonts w:ascii="宋体" w:hAnsi="宋体" w:eastAsia="宋体" w:cs="宋体"/>
          <w:sz w:val="17"/>
          <w:szCs w:val="17"/>
        </w:rPr>
        <w:t>3.二维装配图绘制；</w:t>
      </w:r>
    </w:p>
    <w:p w14:paraId="6B3204C0">
      <w:pPr>
        <w:spacing w:line="220" w:lineRule="auto"/>
        <w:rPr>
          <w:rFonts w:ascii="宋体" w:hAnsi="宋体" w:eastAsia="宋体" w:cs="宋体"/>
          <w:sz w:val="17"/>
          <w:szCs w:val="17"/>
        </w:rPr>
        <w:sectPr>
          <w:type w:val="continuous"/>
          <w:pgSz w:w="10660" w:h="15080"/>
          <w:pgMar w:top="400" w:right="1014" w:bottom="898" w:left="819" w:header="0" w:footer="745" w:gutter="0"/>
          <w:cols w:equalWidth="0" w:num="2">
            <w:col w:w="4363" w:space="100"/>
            <w:col w:w="4363"/>
          </w:cols>
        </w:sectPr>
      </w:pPr>
    </w:p>
    <w:p w14:paraId="5B42D6E4">
      <w:pPr>
        <w:spacing w:before="1"/>
      </w:pPr>
    </w:p>
    <w:p w14:paraId="59AB1754">
      <w:pPr>
        <w:spacing w:before="1"/>
      </w:pPr>
    </w:p>
    <w:p w14:paraId="62155D90">
      <w:pPr>
        <w:spacing w:before="1"/>
      </w:pPr>
    </w:p>
    <w:p w14:paraId="3DDC7782"/>
    <w:p w14:paraId="5A2BE104">
      <w:pPr>
        <w:sectPr>
          <w:footerReference r:id="rId159" w:type="default"/>
          <w:pgSz w:w="10660" w:h="15080"/>
          <w:pgMar w:top="400" w:right="898" w:bottom="898" w:left="1004" w:header="0" w:footer="745" w:gutter="0"/>
          <w:cols w:equalWidth="0" w:num="1">
            <w:col w:w="8757"/>
          </w:cols>
        </w:sectPr>
      </w:pPr>
    </w:p>
    <w:p w14:paraId="4211BA81">
      <w:pPr>
        <w:spacing w:before="34" w:line="316" w:lineRule="auto"/>
        <w:ind w:left="2" w:right="1092" w:firstLine="355"/>
        <w:rPr>
          <w:rFonts w:ascii="宋体" w:hAnsi="宋体" w:eastAsia="宋体" w:cs="宋体"/>
          <w:sz w:val="17"/>
          <w:szCs w:val="17"/>
        </w:rPr>
      </w:pPr>
      <w:r>
        <w:rPr>
          <w:rFonts w:ascii="宋体" w:hAnsi="宋体" w:eastAsia="宋体" w:cs="宋体"/>
          <w:b/>
          <w:bCs/>
          <w:spacing w:val="6"/>
          <w:sz w:val="17"/>
          <w:szCs w:val="17"/>
        </w:rPr>
        <w:t>4.图纸输出(所有图纸虚拟打印输出)。</w:t>
      </w:r>
      <w:r>
        <w:rPr>
          <w:rFonts w:ascii="宋体" w:hAnsi="宋体" w:eastAsia="宋体" w:cs="宋体"/>
          <w:spacing w:val="1"/>
          <w:sz w:val="17"/>
          <w:szCs w:val="17"/>
        </w:rPr>
        <w:t xml:space="preserve"> </w:t>
      </w:r>
      <w:r>
        <w:rPr>
          <w:rFonts w:ascii="宋体" w:hAnsi="宋体" w:eastAsia="宋体" w:cs="宋体"/>
          <w:b/>
          <w:bCs/>
          <w:spacing w:val="4"/>
          <w:sz w:val="17"/>
          <w:szCs w:val="17"/>
        </w:rPr>
        <w:t>【测试要求】</w:t>
      </w:r>
    </w:p>
    <w:p w14:paraId="35B73D1A">
      <w:pPr>
        <w:spacing w:line="314" w:lineRule="auto"/>
        <w:ind w:left="14" w:right="345" w:firstLine="340"/>
        <w:rPr>
          <w:rFonts w:ascii="宋体" w:hAnsi="宋体" w:eastAsia="宋体" w:cs="宋体"/>
          <w:sz w:val="17"/>
          <w:szCs w:val="17"/>
        </w:rPr>
      </w:pPr>
      <w:r>
        <w:rPr>
          <w:rFonts w:ascii="宋体" w:hAnsi="宋体" w:eastAsia="宋体" w:cs="宋体"/>
          <w:spacing w:val="2"/>
          <w:sz w:val="17"/>
          <w:szCs w:val="17"/>
        </w:rPr>
        <w:t xml:space="preserve">1.绘制的零件图应具有合理的几何精度，良好的工 </w:t>
      </w:r>
      <w:r>
        <w:rPr>
          <w:rFonts w:ascii="宋体" w:hAnsi="宋体" w:eastAsia="宋体" w:cs="宋体"/>
          <w:spacing w:val="-5"/>
          <w:sz w:val="17"/>
          <w:szCs w:val="17"/>
        </w:rPr>
        <w:t>艺性，正确的基准；</w:t>
      </w:r>
    </w:p>
    <w:p w14:paraId="3756E0FF">
      <w:pPr>
        <w:spacing w:line="302" w:lineRule="auto"/>
        <w:ind w:left="14" w:right="359" w:firstLine="340"/>
        <w:rPr>
          <w:rFonts w:ascii="宋体" w:hAnsi="宋体" w:eastAsia="宋体" w:cs="宋体"/>
          <w:sz w:val="17"/>
          <w:szCs w:val="17"/>
        </w:rPr>
      </w:pPr>
      <w:r>
        <w:rPr>
          <w:rFonts w:ascii="宋体" w:hAnsi="宋体" w:eastAsia="宋体" w:cs="宋体"/>
          <w:spacing w:val="1"/>
          <w:sz w:val="17"/>
          <w:szCs w:val="17"/>
        </w:rPr>
        <w:t>2.绘制的零件图要求有图幅、标题栏、标注样式、</w:t>
      </w:r>
      <w:r>
        <w:rPr>
          <w:rFonts w:ascii="宋体" w:hAnsi="宋体" w:eastAsia="宋体" w:cs="宋体"/>
          <w:spacing w:val="11"/>
          <w:sz w:val="17"/>
          <w:szCs w:val="17"/>
        </w:rPr>
        <w:t xml:space="preserve"> </w:t>
      </w:r>
      <w:r>
        <w:rPr>
          <w:rFonts w:ascii="宋体" w:hAnsi="宋体" w:eastAsia="宋体" w:cs="宋体"/>
          <w:spacing w:val="-2"/>
          <w:sz w:val="17"/>
          <w:szCs w:val="17"/>
        </w:rPr>
        <w:t>技术要求等符合机械制图国家标准；</w:t>
      </w:r>
    </w:p>
    <w:p w14:paraId="423D74BA">
      <w:pPr>
        <w:spacing w:before="25" w:line="312" w:lineRule="auto"/>
        <w:ind w:left="14" w:right="347" w:firstLine="340"/>
        <w:rPr>
          <w:rFonts w:ascii="宋体" w:hAnsi="宋体" w:eastAsia="宋体" w:cs="宋体"/>
          <w:sz w:val="17"/>
          <w:szCs w:val="17"/>
        </w:rPr>
      </w:pPr>
      <w:r>
        <w:rPr>
          <w:rFonts w:ascii="宋体" w:hAnsi="宋体" w:eastAsia="宋体" w:cs="宋体"/>
          <w:spacing w:val="2"/>
          <w:sz w:val="17"/>
          <w:szCs w:val="17"/>
        </w:rPr>
        <w:t>3.根据提供的装配关系绘制二维装配图，要求图面</w:t>
      </w:r>
      <w:r>
        <w:rPr>
          <w:rFonts w:ascii="宋体" w:hAnsi="宋体" w:eastAsia="宋体" w:cs="宋体"/>
          <w:sz w:val="17"/>
          <w:szCs w:val="17"/>
        </w:rPr>
        <w:t xml:space="preserve"> </w:t>
      </w:r>
      <w:r>
        <w:rPr>
          <w:rFonts w:ascii="宋体" w:hAnsi="宋体" w:eastAsia="宋体" w:cs="宋体"/>
          <w:spacing w:val="-2"/>
          <w:sz w:val="17"/>
          <w:szCs w:val="17"/>
        </w:rPr>
        <w:t>信息完整、布局合理，符合机械制图国家标准；</w:t>
      </w:r>
    </w:p>
    <w:p w14:paraId="4781A96C">
      <w:pPr>
        <w:spacing w:before="6" w:line="219" w:lineRule="auto"/>
        <w:ind w:left="355"/>
        <w:rPr>
          <w:rFonts w:ascii="宋体" w:hAnsi="宋体" w:eastAsia="宋体" w:cs="宋体"/>
          <w:sz w:val="17"/>
          <w:szCs w:val="17"/>
        </w:rPr>
      </w:pPr>
      <w:r>
        <w:rPr>
          <w:rFonts w:ascii="宋体" w:hAnsi="宋体" w:eastAsia="宋体" w:cs="宋体"/>
          <w:spacing w:val="-2"/>
          <w:sz w:val="17"/>
          <w:szCs w:val="17"/>
        </w:rPr>
        <w:t>4.技术规范：</w:t>
      </w:r>
    </w:p>
    <w:p w14:paraId="51A00C9A">
      <w:pPr>
        <w:spacing w:before="97" w:line="219" w:lineRule="auto"/>
        <w:ind w:left="444"/>
        <w:rPr>
          <w:rFonts w:ascii="宋体" w:hAnsi="宋体" w:eastAsia="宋体" w:cs="宋体"/>
          <w:sz w:val="17"/>
          <w:szCs w:val="17"/>
        </w:rPr>
      </w:pPr>
      <w:r>
        <w:rPr>
          <w:rFonts w:ascii="宋体" w:hAnsi="宋体" w:eastAsia="宋体" w:cs="宋体"/>
          <w:spacing w:val="3"/>
          <w:sz w:val="17"/>
          <w:szCs w:val="17"/>
        </w:rPr>
        <w:t>(1)《机械制图员》国家职业标准；</w:t>
      </w:r>
    </w:p>
    <w:p w14:paraId="44A3795F">
      <w:pPr>
        <w:spacing w:before="78" w:line="309" w:lineRule="auto"/>
        <w:ind w:left="14" w:right="344" w:firstLine="430"/>
        <w:rPr>
          <w:rFonts w:ascii="Times New Roman" w:hAnsi="Times New Roman" w:eastAsia="Times New Roman" w:cs="Times New Roman"/>
          <w:sz w:val="17"/>
          <w:szCs w:val="17"/>
        </w:rPr>
      </w:pPr>
      <w:r>
        <w:rPr>
          <w:rFonts w:ascii="宋体" w:hAnsi="宋体" w:eastAsia="宋体" w:cs="宋体"/>
          <w:spacing w:val="-10"/>
          <w:sz w:val="17"/>
          <w:szCs w:val="17"/>
        </w:rPr>
        <w:t>(</w:t>
      </w:r>
      <w:r>
        <w:rPr>
          <w:rFonts w:ascii="宋体" w:hAnsi="宋体" w:eastAsia="宋体" w:cs="宋体"/>
          <w:spacing w:val="-33"/>
          <w:sz w:val="17"/>
          <w:szCs w:val="17"/>
        </w:rPr>
        <w:t xml:space="preserve"> </w:t>
      </w:r>
      <w:r>
        <w:rPr>
          <w:rFonts w:ascii="宋体" w:hAnsi="宋体" w:eastAsia="宋体" w:cs="宋体"/>
          <w:spacing w:val="-10"/>
          <w:sz w:val="17"/>
          <w:szCs w:val="17"/>
        </w:rPr>
        <w:t>2</w:t>
      </w:r>
      <w:r>
        <w:rPr>
          <w:rFonts w:ascii="宋体" w:hAnsi="宋体" w:eastAsia="宋体" w:cs="宋体"/>
          <w:spacing w:val="-36"/>
          <w:sz w:val="17"/>
          <w:szCs w:val="17"/>
        </w:rPr>
        <w:t xml:space="preserve"> </w:t>
      </w:r>
      <w:r>
        <w:rPr>
          <w:rFonts w:ascii="宋体" w:hAnsi="宋体" w:eastAsia="宋体" w:cs="宋体"/>
          <w:spacing w:val="-10"/>
          <w:sz w:val="17"/>
          <w:szCs w:val="17"/>
        </w:rPr>
        <w:t>)</w:t>
      </w:r>
      <w:r>
        <w:rPr>
          <w:rFonts w:ascii="宋体" w:hAnsi="宋体" w:eastAsia="宋体" w:cs="宋体"/>
          <w:spacing w:val="-44"/>
          <w:sz w:val="17"/>
          <w:szCs w:val="17"/>
        </w:rPr>
        <w:t xml:space="preserve"> </w:t>
      </w:r>
      <w:r>
        <w:rPr>
          <w:rFonts w:ascii="宋体" w:hAnsi="宋体" w:eastAsia="宋体" w:cs="宋体"/>
          <w:spacing w:val="-10"/>
          <w:sz w:val="17"/>
          <w:szCs w:val="17"/>
        </w:rPr>
        <w:t>《</w:t>
      </w:r>
      <w:r>
        <w:rPr>
          <w:rFonts w:ascii="宋体" w:hAnsi="宋体" w:eastAsia="宋体" w:cs="宋体"/>
          <w:spacing w:val="-22"/>
          <w:sz w:val="17"/>
          <w:szCs w:val="17"/>
        </w:rPr>
        <w:t xml:space="preserve"> </w:t>
      </w:r>
      <w:r>
        <w:rPr>
          <w:rFonts w:ascii="宋体" w:hAnsi="宋体" w:eastAsia="宋体" w:cs="宋体"/>
          <w:spacing w:val="-10"/>
          <w:sz w:val="17"/>
          <w:szCs w:val="17"/>
        </w:rPr>
        <w:t>机</w:t>
      </w:r>
      <w:r>
        <w:rPr>
          <w:rFonts w:ascii="宋体" w:hAnsi="宋体" w:eastAsia="宋体" w:cs="宋体"/>
          <w:spacing w:val="-38"/>
          <w:sz w:val="17"/>
          <w:szCs w:val="17"/>
        </w:rPr>
        <w:t xml:space="preserve"> </w:t>
      </w:r>
      <w:r>
        <w:rPr>
          <w:rFonts w:ascii="宋体" w:hAnsi="宋体" w:eastAsia="宋体" w:cs="宋体"/>
          <w:spacing w:val="-10"/>
          <w:sz w:val="17"/>
          <w:szCs w:val="17"/>
        </w:rPr>
        <w:t>械</w:t>
      </w:r>
      <w:r>
        <w:rPr>
          <w:rFonts w:ascii="宋体" w:hAnsi="宋体" w:eastAsia="宋体" w:cs="宋体"/>
          <w:spacing w:val="-37"/>
          <w:sz w:val="17"/>
          <w:szCs w:val="17"/>
        </w:rPr>
        <w:t xml:space="preserve"> </w:t>
      </w:r>
      <w:r>
        <w:rPr>
          <w:rFonts w:ascii="宋体" w:hAnsi="宋体" w:eastAsia="宋体" w:cs="宋体"/>
          <w:spacing w:val="-10"/>
          <w:sz w:val="17"/>
          <w:szCs w:val="17"/>
        </w:rPr>
        <w:t>制</w:t>
      </w:r>
      <w:r>
        <w:rPr>
          <w:rFonts w:ascii="宋体" w:hAnsi="宋体" w:eastAsia="宋体" w:cs="宋体"/>
          <w:spacing w:val="-20"/>
          <w:sz w:val="17"/>
          <w:szCs w:val="17"/>
        </w:rPr>
        <w:t xml:space="preserve"> </w:t>
      </w:r>
      <w:r>
        <w:rPr>
          <w:rFonts w:ascii="宋体" w:hAnsi="宋体" w:eastAsia="宋体" w:cs="宋体"/>
          <w:spacing w:val="-10"/>
          <w:sz w:val="17"/>
          <w:szCs w:val="17"/>
        </w:rPr>
        <w:t>图</w:t>
      </w:r>
      <w:r>
        <w:rPr>
          <w:rFonts w:ascii="宋体" w:hAnsi="宋体" w:eastAsia="宋体" w:cs="宋体"/>
          <w:spacing w:val="-21"/>
          <w:sz w:val="17"/>
          <w:szCs w:val="17"/>
        </w:rPr>
        <w:t xml:space="preserve"> </w:t>
      </w:r>
      <w:r>
        <w:rPr>
          <w:rFonts w:ascii="宋体" w:hAnsi="宋体" w:eastAsia="宋体" w:cs="宋体"/>
          <w:spacing w:val="-10"/>
          <w:sz w:val="17"/>
          <w:szCs w:val="17"/>
        </w:rPr>
        <w:t>图</w:t>
      </w:r>
      <w:r>
        <w:rPr>
          <w:rFonts w:ascii="宋体" w:hAnsi="宋体" w:eastAsia="宋体" w:cs="宋体"/>
          <w:spacing w:val="-38"/>
          <w:sz w:val="17"/>
          <w:szCs w:val="17"/>
        </w:rPr>
        <w:t xml:space="preserve"> </w:t>
      </w:r>
      <w:r>
        <w:rPr>
          <w:rFonts w:ascii="宋体" w:hAnsi="宋体" w:eastAsia="宋体" w:cs="宋体"/>
          <w:spacing w:val="-10"/>
          <w:sz w:val="17"/>
          <w:szCs w:val="17"/>
        </w:rPr>
        <w:t>样</w:t>
      </w:r>
      <w:r>
        <w:rPr>
          <w:rFonts w:ascii="宋体" w:hAnsi="宋体" w:eastAsia="宋体" w:cs="宋体"/>
          <w:spacing w:val="-32"/>
          <w:sz w:val="17"/>
          <w:szCs w:val="17"/>
        </w:rPr>
        <w:t xml:space="preserve"> </w:t>
      </w:r>
      <w:r>
        <w:rPr>
          <w:rFonts w:ascii="宋体" w:hAnsi="宋体" w:eastAsia="宋体" w:cs="宋体"/>
          <w:spacing w:val="-10"/>
          <w:sz w:val="17"/>
          <w:szCs w:val="17"/>
        </w:rPr>
        <w:t>画</w:t>
      </w:r>
      <w:r>
        <w:rPr>
          <w:rFonts w:ascii="宋体" w:hAnsi="宋体" w:eastAsia="宋体" w:cs="宋体"/>
          <w:spacing w:val="-37"/>
          <w:sz w:val="17"/>
          <w:szCs w:val="17"/>
        </w:rPr>
        <w:t xml:space="preserve"> </w:t>
      </w:r>
      <w:r>
        <w:rPr>
          <w:rFonts w:ascii="宋体" w:hAnsi="宋体" w:eastAsia="宋体" w:cs="宋体"/>
          <w:spacing w:val="-10"/>
          <w:sz w:val="17"/>
          <w:szCs w:val="17"/>
        </w:rPr>
        <w:t>法</w:t>
      </w:r>
      <w:r>
        <w:rPr>
          <w:rFonts w:ascii="宋体" w:hAnsi="宋体" w:eastAsia="宋体" w:cs="宋体"/>
          <w:spacing w:val="-38"/>
          <w:sz w:val="17"/>
          <w:szCs w:val="17"/>
        </w:rPr>
        <w:t xml:space="preserve"> </w:t>
      </w:r>
      <w:r>
        <w:rPr>
          <w:rFonts w:ascii="宋体" w:hAnsi="宋体" w:eastAsia="宋体" w:cs="宋体"/>
          <w:spacing w:val="-10"/>
          <w:sz w:val="17"/>
          <w:szCs w:val="17"/>
        </w:rPr>
        <w:t>视</w:t>
      </w:r>
      <w:r>
        <w:rPr>
          <w:rFonts w:ascii="宋体" w:hAnsi="宋体" w:eastAsia="宋体" w:cs="宋体"/>
          <w:spacing w:val="-21"/>
          <w:sz w:val="17"/>
          <w:szCs w:val="17"/>
        </w:rPr>
        <w:t xml:space="preserve"> </w:t>
      </w:r>
      <w:r>
        <w:rPr>
          <w:rFonts w:ascii="宋体" w:hAnsi="宋体" w:eastAsia="宋体" w:cs="宋体"/>
          <w:spacing w:val="-10"/>
          <w:sz w:val="17"/>
          <w:szCs w:val="17"/>
        </w:rPr>
        <w:t>图</w:t>
      </w:r>
      <w:r>
        <w:rPr>
          <w:rFonts w:ascii="宋体" w:hAnsi="宋体" w:eastAsia="宋体" w:cs="宋体"/>
          <w:spacing w:val="-44"/>
          <w:sz w:val="17"/>
          <w:szCs w:val="17"/>
        </w:rPr>
        <w:t xml:space="preserve"> </w:t>
      </w:r>
      <w:r>
        <w:rPr>
          <w:rFonts w:ascii="宋体" w:hAnsi="宋体" w:eastAsia="宋体" w:cs="宋体"/>
          <w:spacing w:val="-10"/>
          <w:sz w:val="17"/>
          <w:szCs w:val="17"/>
        </w:rPr>
        <w:t>》GB/T4458.1-</w:t>
      </w:r>
      <w:r>
        <w:rPr>
          <w:rFonts w:ascii="宋体" w:hAnsi="宋体" w:eastAsia="宋体" w:cs="宋体"/>
          <w:sz w:val="17"/>
          <w:szCs w:val="17"/>
        </w:rPr>
        <w:t xml:space="preserve"> </w:t>
      </w:r>
      <w:r>
        <w:rPr>
          <w:rFonts w:ascii="Times New Roman" w:hAnsi="Times New Roman" w:eastAsia="Times New Roman" w:cs="Times New Roman"/>
          <w:spacing w:val="-1"/>
          <w:sz w:val="17"/>
          <w:szCs w:val="17"/>
        </w:rPr>
        <w:t>2002;</w:t>
      </w:r>
    </w:p>
    <w:p w14:paraId="6255BD19">
      <w:pPr>
        <w:spacing w:before="55" w:line="266" w:lineRule="auto"/>
        <w:ind w:left="14" w:right="374" w:firstLine="430"/>
        <w:rPr>
          <w:rFonts w:ascii="Times New Roman" w:hAnsi="Times New Roman" w:eastAsia="Times New Roman" w:cs="Times New Roman"/>
          <w:sz w:val="17"/>
          <w:szCs w:val="17"/>
        </w:rPr>
      </w:pPr>
      <w:r>
        <w:rPr>
          <w:rFonts w:ascii="宋体" w:hAnsi="宋体" w:eastAsia="宋体" w:cs="宋体"/>
          <w:spacing w:val="12"/>
          <w:sz w:val="17"/>
          <w:szCs w:val="17"/>
        </w:rPr>
        <w:t>(3)《机械制图图样画法剖视图和断面图》</w:t>
      </w:r>
      <w:r>
        <w:rPr>
          <w:rFonts w:ascii="宋体" w:hAnsi="宋体" w:eastAsia="宋体" w:cs="宋体"/>
          <w:sz w:val="17"/>
          <w:szCs w:val="17"/>
        </w:rPr>
        <w:t>GB</w:t>
      </w:r>
      <w:r>
        <w:rPr>
          <w:rFonts w:ascii="宋体" w:hAnsi="宋体" w:eastAsia="宋体" w:cs="宋体"/>
          <w:spacing w:val="12"/>
          <w:sz w:val="17"/>
          <w:szCs w:val="17"/>
        </w:rPr>
        <w:t>/</w:t>
      </w:r>
      <w:r>
        <w:rPr>
          <w:rFonts w:ascii="宋体" w:hAnsi="宋体" w:eastAsia="宋体" w:cs="宋体"/>
          <w:spacing w:val="17"/>
          <w:sz w:val="17"/>
          <w:szCs w:val="17"/>
        </w:rPr>
        <w:t xml:space="preserve"> </w:t>
      </w:r>
      <w:r>
        <w:rPr>
          <w:rFonts w:ascii="Times New Roman" w:hAnsi="Times New Roman" w:eastAsia="Times New Roman" w:cs="Times New Roman"/>
          <w:spacing w:val="-1"/>
          <w:sz w:val="17"/>
          <w:szCs w:val="17"/>
        </w:rPr>
        <w:t>T4458.6-2002;</w:t>
      </w:r>
    </w:p>
    <w:p w14:paraId="6A22C556">
      <w:pPr>
        <w:spacing w:before="117" w:line="219" w:lineRule="auto"/>
        <w:ind w:left="444"/>
        <w:rPr>
          <w:rFonts w:ascii="宋体" w:hAnsi="宋体" w:eastAsia="宋体" w:cs="宋体"/>
          <w:sz w:val="17"/>
          <w:szCs w:val="17"/>
        </w:rPr>
      </w:pPr>
      <w:r>
        <w:rPr>
          <w:rFonts w:ascii="宋体" w:hAnsi="宋体" w:eastAsia="宋体" w:cs="宋体"/>
          <w:spacing w:val="2"/>
          <w:sz w:val="17"/>
          <w:szCs w:val="17"/>
        </w:rPr>
        <w:t>(4)《机械制图尺寸注法》</w:t>
      </w:r>
      <w:r>
        <w:rPr>
          <w:rFonts w:ascii="宋体" w:hAnsi="宋体" w:eastAsia="宋体" w:cs="宋体"/>
          <w:sz w:val="17"/>
          <w:szCs w:val="17"/>
        </w:rPr>
        <w:t>GB</w:t>
      </w:r>
      <w:r>
        <w:rPr>
          <w:rFonts w:ascii="宋体" w:hAnsi="宋体" w:eastAsia="宋体" w:cs="宋体"/>
          <w:spacing w:val="2"/>
          <w:sz w:val="17"/>
          <w:szCs w:val="17"/>
        </w:rPr>
        <w:t>/T4458.4-2003;</w:t>
      </w:r>
    </w:p>
    <w:p w14:paraId="322A291A">
      <w:pPr>
        <w:spacing w:before="60" w:line="260" w:lineRule="auto"/>
        <w:ind w:left="14" w:right="330" w:firstLine="430"/>
        <w:rPr>
          <w:rFonts w:ascii="宋体" w:hAnsi="宋体" w:eastAsia="宋体" w:cs="宋体"/>
          <w:sz w:val="17"/>
          <w:szCs w:val="17"/>
        </w:rPr>
      </w:pPr>
      <w:r>
        <w:rPr>
          <w:rFonts w:ascii="宋体" w:hAnsi="宋体" w:eastAsia="宋体" w:cs="宋体"/>
          <w:spacing w:val="6"/>
          <w:sz w:val="20"/>
          <w:szCs w:val="20"/>
        </w:rPr>
        <w:t>(5)《机械制图尺寸公差与配合注法》</w:t>
      </w:r>
      <w:r>
        <w:rPr>
          <w:rFonts w:ascii="宋体" w:hAnsi="宋体" w:eastAsia="宋体" w:cs="宋体"/>
          <w:sz w:val="20"/>
          <w:szCs w:val="20"/>
        </w:rPr>
        <w:t>GB</w:t>
      </w:r>
      <w:r>
        <w:rPr>
          <w:rFonts w:ascii="宋体" w:hAnsi="宋体" w:eastAsia="宋体" w:cs="宋体"/>
          <w:spacing w:val="6"/>
          <w:sz w:val="20"/>
          <w:szCs w:val="20"/>
        </w:rPr>
        <w:t>/</w:t>
      </w:r>
      <w:r>
        <w:rPr>
          <w:rFonts w:ascii="宋体" w:hAnsi="宋体" w:eastAsia="宋体" w:cs="宋体"/>
          <w:sz w:val="20"/>
          <w:szCs w:val="20"/>
        </w:rPr>
        <w:t xml:space="preserve"> </w:t>
      </w:r>
      <w:r>
        <w:rPr>
          <w:rFonts w:ascii="Times New Roman" w:hAnsi="Times New Roman" w:eastAsia="Times New Roman" w:cs="Times New Roman"/>
          <w:spacing w:val="-2"/>
          <w:sz w:val="17"/>
          <w:szCs w:val="17"/>
        </w:rPr>
        <w:t>T4458.5-2003</w:t>
      </w:r>
      <w:r>
        <w:rPr>
          <w:rFonts w:ascii="Times New Roman" w:hAnsi="Times New Roman" w:eastAsia="Times New Roman" w:cs="Times New Roman"/>
          <w:spacing w:val="20"/>
          <w:sz w:val="17"/>
          <w:szCs w:val="17"/>
        </w:rPr>
        <w:t xml:space="preserve"> </w:t>
      </w:r>
      <w:r>
        <w:rPr>
          <w:rFonts w:ascii="宋体" w:hAnsi="宋体" w:eastAsia="宋体" w:cs="宋体"/>
          <w:spacing w:val="-2"/>
          <w:sz w:val="17"/>
          <w:szCs w:val="17"/>
        </w:rPr>
        <w:t>等。</w:t>
      </w:r>
    </w:p>
    <w:p w14:paraId="6B6E0BCE">
      <w:pPr>
        <w:spacing w:before="79" w:line="220" w:lineRule="auto"/>
        <w:rPr>
          <w:rFonts w:ascii="宋体" w:hAnsi="宋体" w:eastAsia="宋体" w:cs="宋体"/>
          <w:sz w:val="17"/>
          <w:szCs w:val="17"/>
        </w:rPr>
      </w:pPr>
      <w:r>
        <w:rPr>
          <w:rFonts w:ascii="宋体" w:hAnsi="宋体" w:eastAsia="宋体" w:cs="宋体"/>
          <w:spacing w:val="6"/>
          <w:sz w:val="17"/>
          <w:szCs w:val="17"/>
        </w:rPr>
        <w:t>【测试赋分】</w:t>
      </w:r>
    </w:p>
    <w:p w14:paraId="4550E5F3">
      <w:pPr>
        <w:spacing w:before="86" w:line="306" w:lineRule="auto"/>
        <w:ind w:left="14" w:right="257" w:firstLine="340"/>
        <w:jc w:val="both"/>
        <w:rPr>
          <w:rFonts w:ascii="宋体" w:hAnsi="宋体" w:eastAsia="宋体" w:cs="宋体"/>
          <w:sz w:val="17"/>
          <w:szCs w:val="17"/>
        </w:rPr>
      </w:pPr>
      <w:r>
        <w:rPr>
          <w:rFonts w:ascii="宋体" w:hAnsi="宋体" w:eastAsia="宋体" w:cs="宋体"/>
          <w:spacing w:val="-2"/>
          <w:sz w:val="17"/>
          <w:szCs w:val="17"/>
        </w:rPr>
        <w:t>主要评判图形的完整性，尺寸的正确、完整、清晰、</w:t>
      </w:r>
      <w:r>
        <w:rPr>
          <w:rFonts w:ascii="宋体" w:hAnsi="宋体" w:eastAsia="宋体" w:cs="宋体"/>
          <w:spacing w:val="12"/>
          <w:sz w:val="17"/>
          <w:szCs w:val="17"/>
        </w:rPr>
        <w:t xml:space="preserve"> </w:t>
      </w:r>
      <w:r>
        <w:rPr>
          <w:rFonts w:ascii="宋体" w:hAnsi="宋体" w:eastAsia="宋体" w:cs="宋体"/>
          <w:spacing w:val="2"/>
          <w:sz w:val="17"/>
          <w:szCs w:val="17"/>
        </w:rPr>
        <w:t xml:space="preserve">合理等，图面信息的完整性、布局的合理性，与国标的  </w:t>
      </w:r>
      <w:r>
        <w:rPr>
          <w:rFonts w:ascii="宋体" w:hAnsi="宋体" w:eastAsia="宋体" w:cs="宋体"/>
          <w:spacing w:val="-3"/>
          <w:sz w:val="17"/>
          <w:szCs w:val="17"/>
        </w:rPr>
        <w:t>相符度以及虚拟打印等。</w:t>
      </w:r>
    </w:p>
    <w:p w14:paraId="2294679B">
      <w:pPr>
        <w:spacing w:line="84" w:lineRule="exact"/>
      </w:pPr>
    </w:p>
    <w:tbl>
      <w:tblPr>
        <w:tblStyle w:val="5"/>
        <w:tblW w:w="4119" w:type="dxa"/>
        <w:tblInd w:w="3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12"/>
        <w:gridCol w:w="2394"/>
        <w:gridCol w:w="813"/>
      </w:tblGrid>
      <w:tr w14:paraId="141F83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4" w:hRule="atLeast"/>
        </w:trPr>
        <w:tc>
          <w:tcPr>
            <w:tcW w:w="912" w:type="dxa"/>
            <w:vMerge w:val="restart"/>
            <w:tcBorders>
              <w:bottom w:val="nil"/>
            </w:tcBorders>
            <w:vAlign w:val="top"/>
          </w:tcPr>
          <w:p w14:paraId="023E762D">
            <w:pPr>
              <w:pStyle w:val="6"/>
              <w:spacing w:before="131" w:line="246" w:lineRule="auto"/>
              <w:ind w:left="264" w:right="104" w:hanging="180"/>
              <w:rPr>
                <w:sz w:val="18"/>
                <w:szCs w:val="18"/>
              </w:rPr>
            </w:pPr>
            <w:r>
              <w:rPr>
                <w:spacing w:val="-2"/>
                <w:sz w:val="18"/>
                <w:szCs w:val="18"/>
              </w:rPr>
              <w:t>零件尺寸</w:t>
            </w:r>
            <w:r>
              <w:rPr>
                <w:sz w:val="18"/>
                <w:szCs w:val="18"/>
              </w:rPr>
              <w:t xml:space="preserve"> </w:t>
            </w:r>
            <w:r>
              <w:rPr>
                <w:spacing w:val="-2"/>
                <w:sz w:val="18"/>
                <w:szCs w:val="18"/>
              </w:rPr>
              <w:t>测绘</w:t>
            </w:r>
          </w:p>
        </w:tc>
        <w:tc>
          <w:tcPr>
            <w:tcW w:w="2394" w:type="dxa"/>
            <w:vAlign w:val="top"/>
          </w:tcPr>
          <w:p w14:paraId="6ED0F946">
            <w:pPr>
              <w:pStyle w:val="6"/>
              <w:spacing w:before="71" w:line="219" w:lineRule="auto"/>
              <w:ind w:left="12"/>
              <w:rPr>
                <w:sz w:val="18"/>
                <w:szCs w:val="18"/>
              </w:rPr>
            </w:pPr>
            <w:r>
              <w:rPr>
                <w:spacing w:val="-1"/>
                <w:sz w:val="18"/>
                <w:szCs w:val="18"/>
              </w:rPr>
              <w:t>零件实测尺寸准确性</w:t>
            </w:r>
          </w:p>
        </w:tc>
        <w:tc>
          <w:tcPr>
            <w:tcW w:w="813" w:type="dxa"/>
            <w:vAlign w:val="top"/>
          </w:tcPr>
          <w:p w14:paraId="19E06813">
            <w:pPr>
              <w:pStyle w:val="6"/>
              <w:spacing w:before="72" w:line="220" w:lineRule="auto"/>
              <w:ind w:left="128"/>
              <w:rPr>
                <w:sz w:val="18"/>
                <w:szCs w:val="18"/>
              </w:rPr>
            </w:pPr>
            <w:r>
              <w:rPr>
                <w:spacing w:val="7"/>
                <w:sz w:val="18"/>
                <w:szCs w:val="18"/>
              </w:rPr>
              <w:t>(30分)</w:t>
            </w:r>
          </w:p>
        </w:tc>
      </w:tr>
      <w:tr w14:paraId="34E1DC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9" w:hRule="atLeast"/>
        </w:trPr>
        <w:tc>
          <w:tcPr>
            <w:tcW w:w="912" w:type="dxa"/>
            <w:vMerge w:val="continue"/>
            <w:tcBorders>
              <w:top w:val="nil"/>
            </w:tcBorders>
            <w:vAlign w:val="top"/>
          </w:tcPr>
          <w:p w14:paraId="22A3A16C">
            <w:pPr>
              <w:rPr>
                <w:rFonts w:ascii="Arial"/>
                <w:sz w:val="21"/>
              </w:rPr>
            </w:pPr>
          </w:p>
        </w:tc>
        <w:tc>
          <w:tcPr>
            <w:tcW w:w="2394" w:type="dxa"/>
            <w:vAlign w:val="top"/>
          </w:tcPr>
          <w:p w14:paraId="4FA916F6">
            <w:pPr>
              <w:pStyle w:val="6"/>
              <w:spacing w:before="78" w:line="219" w:lineRule="auto"/>
              <w:ind w:left="12"/>
              <w:rPr>
                <w:sz w:val="18"/>
                <w:szCs w:val="18"/>
              </w:rPr>
            </w:pPr>
            <w:r>
              <w:rPr>
                <w:spacing w:val="-1"/>
                <w:sz w:val="18"/>
                <w:szCs w:val="18"/>
              </w:rPr>
              <w:t>零件实测特征完整性</w:t>
            </w:r>
          </w:p>
        </w:tc>
        <w:tc>
          <w:tcPr>
            <w:tcW w:w="813" w:type="dxa"/>
            <w:vAlign w:val="top"/>
          </w:tcPr>
          <w:p w14:paraId="2696884F">
            <w:pPr>
              <w:pStyle w:val="6"/>
              <w:spacing w:before="78" w:line="220" w:lineRule="auto"/>
              <w:ind w:left="128"/>
              <w:rPr>
                <w:sz w:val="18"/>
                <w:szCs w:val="18"/>
              </w:rPr>
            </w:pPr>
            <w:r>
              <w:rPr>
                <w:spacing w:val="7"/>
                <w:sz w:val="18"/>
                <w:szCs w:val="18"/>
              </w:rPr>
              <w:t>(35分)</w:t>
            </w:r>
          </w:p>
        </w:tc>
      </w:tr>
      <w:tr w14:paraId="232774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9" w:hRule="atLeast"/>
        </w:trPr>
        <w:tc>
          <w:tcPr>
            <w:tcW w:w="912" w:type="dxa"/>
            <w:vMerge w:val="restart"/>
            <w:tcBorders>
              <w:bottom w:val="nil"/>
            </w:tcBorders>
            <w:vAlign w:val="top"/>
          </w:tcPr>
          <w:p w14:paraId="05FF9F49">
            <w:pPr>
              <w:pStyle w:val="6"/>
              <w:spacing w:before="209" w:line="219" w:lineRule="auto"/>
              <w:ind w:left="84"/>
              <w:rPr>
                <w:sz w:val="18"/>
                <w:szCs w:val="18"/>
              </w:rPr>
            </w:pPr>
            <w:r>
              <w:rPr>
                <w:spacing w:val="-2"/>
                <w:sz w:val="18"/>
                <w:szCs w:val="18"/>
              </w:rPr>
              <w:t>零件二维</w:t>
            </w:r>
          </w:p>
          <w:p w14:paraId="3894F1CC">
            <w:pPr>
              <w:pStyle w:val="6"/>
              <w:spacing w:before="6" w:line="220" w:lineRule="auto"/>
              <w:ind w:left="175"/>
              <w:rPr>
                <w:sz w:val="18"/>
                <w:szCs w:val="18"/>
              </w:rPr>
            </w:pPr>
            <w:r>
              <w:rPr>
                <w:spacing w:val="5"/>
                <w:sz w:val="18"/>
                <w:szCs w:val="18"/>
              </w:rPr>
              <w:t>工程图</w:t>
            </w:r>
          </w:p>
          <w:p w14:paraId="4C6A1EFC">
            <w:pPr>
              <w:pStyle w:val="6"/>
              <w:spacing w:before="5" w:line="220" w:lineRule="auto"/>
              <w:ind w:left="265"/>
              <w:rPr>
                <w:sz w:val="18"/>
                <w:szCs w:val="18"/>
              </w:rPr>
            </w:pPr>
            <w:r>
              <w:rPr>
                <w:spacing w:val="7"/>
                <w:sz w:val="18"/>
                <w:szCs w:val="18"/>
              </w:rPr>
              <w:t>绘制</w:t>
            </w:r>
          </w:p>
        </w:tc>
        <w:tc>
          <w:tcPr>
            <w:tcW w:w="2394" w:type="dxa"/>
            <w:vAlign w:val="top"/>
          </w:tcPr>
          <w:p w14:paraId="77958625">
            <w:pPr>
              <w:pStyle w:val="6"/>
              <w:spacing w:before="79" w:line="219" w:lineRule="auto"/>
              <w:ind w:left="12"/>
              <w:rPr>
                <w:sz w:val="18"/>
                <w:szCs w:val="18"/>
              </w:rPr>
            </w:pPr>
            <w:r>
              <w:rPr>
                <w:spacing w:val="-1"/>
                <w:sz w:val="18"/>
                <w:szCs w:val="18"/>
              </w:rPr>
              <w:t>视图表达、线型、图层等</w:t>
            </w:r>
          </w:p>
        </w:tc>
        <w:tc>
          <w:tcPr>
            <w:tcW w:w="813" w:type="dxa"/>
            <w:vAlign w:val="top"/>
          </w:tcPr>
          <w:p w14:paraId="174D75C5">
            <w:pPr>
              <w:pStyle w:val="6"/>
              <w:spacing w:before="79" w:line="220" w:lineRule="auto"/>
              <w:ind w:left="128"/>
              <w:rPr>
                <w:sz w:val="18"/>
                <w:szCs w:val="18"/>
              </w:rPr>
            </w:pPr>
            <w:r>
              <w:rPr>
                <w:spacing w:val="7"/>
                <w:sz w:val="18"/>
                <w:szCs w:val="18"/>
              </w:rPr>
              <w:t>(25分)</w:t>
            </w:r>
          </w:p>
        </w:tc>
      </w:tr>
      <w:tr w14:paraId="3BBD8A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912" w:type="dxa"/>
            <w:vMerge w:val="continue"/>
            <w:tcBorders>
              <w:top w:val="nil"/>
              <w:bottom w:val="nil"/>
            </w:tcBorders>
            <w:vAlign w:val="top"/>
          </w:tcPr>
          <w:p w14:paraId="72713F5F">
            <w:pPr>
              <w:rPr>
                <w:rFonts w:ascii="Arial"/>
                <w:sz w:val="21"/>
              </w:rPr>
            </w:pPr>
          </w:p>
        </w:tc>
        <w:tc>
          <w:tcPr>
            <w:tcW w:w="2394" w:type="dxa"/>
            <w:vAlign w:val="top"/>
          </w:tcPr>
          <w:p w14:paraId="72E50AAA">
            <w:pPr>
              <w:pStyle w:val="6"/>
              <w:spacing w:before="70" w:line="219" w:lineRule="auto"/>
              <w:ind w:left="12"/>
              <w:rPr>
                <w:sz w:val="18"/>
                <w:szCs w:val="18"/>
              </w:rPr>
            </w:pPr>
            <w:r>
              <w:rPr>
                <w:spacing w:val="-1"/>
                <w:sz w:val="18"/>
                <w:szCs w:val="18"/>
              </w:rPr>
              <w:t>标注、文字、符号等</w:t>
            </w:r>
          </w:p>
        </w:tc>
        <w:tc>
          <w:tcPr>
            <w:tcW w:w="813" w:type="dxa"/>
            <w:vAlign w:val="top"/>
          </w:tcPr>
          <w:p w14:paraId="4AF9CFBB">
            <w:pPr>
              <w:pStyle w:val="6"/>
              <w:spacing w:before="70" w:line="220" w:lineRule="auto"/>
              <w:ind w:left="128"/>
              <w:rPr>
                <w:sz w:val="18"/>
                <w:szCs w:val="18"/>
              </w:rPr>
            </w:pPr>
            <w:r>
              <w:rPr>
                <w:spacing w:val="7"/>
                <w:sz w:val="18"/>
                <w:szCs w:val="18"/>
              </w:rPr>
              <w:t>(25分)</w:t>
            </w:r>
          </w:p>
        </w:tc>
      </w:tr>
      <w:tr w14:paraId="39FCD5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9" w:hRule="atLeast"/>
        </w:trPr>
        <w:tc>
          <w:tcPr>
            <w:tcW w:w="912" w:type="dxa"/>
            <w:vMerge w:val="continue"/>
            <w:tcBorders>
              <w:top w:val="nil"/>
            </w:tcBorders>
            <w:vAlign w:val="top"/>
          </w:tcPr>
          <w:p w14:paraId="77B4B449">
            <w:pPr>
              <w:rPr>
                <w:rFonts w:ascii="Arial"/>
                <w:sz w:val="21"/>
              </w:rPr>
            </w:pPr>
          </w:p>
        </w:tc>
        <w:tc>
          <w:tcPr>
            <w:tcW w:w="2394" w:type="dxa"/>
            <w:vAlign w:val="top"/>
          </w:tcPr>
          <w:p w14:paraId="3C6FCB12">
            <w:pPr>
              <w:pStyle w:val="6"/>
              <w:spacing w:before="79" w:line="218" w:lineRule="auto"/>
              <w:ind w:left="12"/>
              <w:rPr>
                <w:sz w:val="18"/>
                <w:szCs w:val="18"/>
              </w:rPr>
            </w:pPr>
            <w:r>
              <w:rPr>
                <w:sz w:val="18"/>
                <w:szCs w:val="18"/>
              </w:rPr>
              <w:t>图幅、标题栏、技术要求等</w:t>
            </w:r>
          </w:p>
        </w:tc>
        <w:tc>
          <w:tcPr>
            <w:tcW w:w="813" w:type="dxa"/>
            <w:vAlign w:val="top"/>
          </w:tcPr>
          <w:p w14:paraId="287DEE29">
            <w:pPr>
              <w:pStyle w:val="6"/>
              <w:spacing w:before="81" w:line="220" w:lineRule="auto"/>
              <w:ind w:left="128"/>
              <w:rPr>
                <w:sz w:val="18"/>
                <w:szCs w:val="18"/>
              </w:rPr>
            </w:pPr>
            <w:r>
              <w:rPr>
                <w:spacing w:val="7"/>
                <w:sz w:val="18"/>
                <w:szCs w:val="18"/>
              </w:rPr>
              <w:t>(25分)</w:t>
            </w:r>
          </w:p>
        </w:tc>
      </w:tr>
      <w:tr w14:paraId="3AC0B5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9" w:hRule="atLeast"/>
        </w:trPr>
        <w:tc>
          <w:tcPr>
            <w:tcW w:w="912" w:type="dxa"/>
            <w:vMerge w:val="restart"/>
            <w:tcBorders>
              <w:bottom w:val="nil"/>
            </w:tcBorders>
            <w:vAlign w:val="top"/>
          </w:tcPr>
          <w:p w14:paraId="0AA13384">
            <w:pPr>
              <w:spacing w:line="342" w:lineRule="auto"/>
              <w:rPr>
                <w:rFonts w:ascii="Arial"/>
                <w:sz w:val="21"/>
              </w:rPr>
            </w:pPr>
          </w:p>
          <w:p w14:paraId="1C908F18">
            <w:pPr>
              <w:pStyle w:val="6"/>
              <w:spacing w:before="58" w:line="223" w:lineRule="auto"/>
              <w:ind w:left="84" w:right="81"/>
              <w:rPr>
                <w:sz w:val="18"/>
                <w:szCs w:val="18"/>
              </w:rPr>
            </w:pPr>
            <w:r>
              <w:rPr>
                <w:spacing w:val="-3"/>
                <w:sz w:val="18"/>
                <w:szCs w:val="18"/>
              </w:rPr>
              <w:t>二维总装</w:t>
            </w:r>
            <w:r>
              <w:rPr>
                <w:spacing w:val="1"/>
                <w:sz w:val="18"/>
                <w:szCs w:val="18"/>
              </w:rPr>
              <w:t xml:space="preserve"> </w:t>
            </w:r>
            <w:r>
              <w:rPr>
                <w:spacing w:val="3"/>
                <w:sz w:val="18"/>
                <w:szCs w:val="18"/>
              </w:rPr>
              <w:t>配图绘制</w:t>
            </w:r>
          </w:p>
        </w:tc>
        <w:tc>
          <w:tcPr>
            <w:tcW w:w="2394" w:type="dxa"/>
            <w:vAlign w:val="top"/>
          </w:tcPr>
          <w:p w14:paraId="12D43148">
            <w:pPr>
              <w:pStyle w:val="6"/>
              <w:spacing w:before="82" w:line="219" w:lineRule="auto"/>
              <w:ind w:left="12"/>
              <w:rPr>
                <w:sz w:val="18"/>
                <w:szCs w:val="18"/>
              </w:rPr>
            </w:pPr>
            <w:r>
              <w:rPr>
                <w:spacing w:val="-1"/>
                <w:sz w:val="18"/>
                <w:szCs w:val="18"/>
              </w:rPr>
              <w:t>视图表达、线型、图层等</w:t>
            </w:r>
          </w:p>
        </w:tc>
        <w:tc>
          <w:tcPr>
            <w:tcW w:w="813" w:type="dxa"/>
            <w:vAlign w:val="top"/>
          </w:tcPr>
          <w:p w14:paraId="7C8975D0">
            <w:pPr>
              <w:pStyle w:val="6"/>
              <w:spacing w:before="82" w:line="220" w:lineRule="auto"/>
              <w:ind w:left="128"/>
              <w:rPr>
                <w:sz w:val="18"/>
                <w:szCs w:val="18"/>
              </w:rPr>
            </w:pPr>
            <w:r>
              <w:rPr>
                <w:spacing w:val="7"/>
                <w:sz w:val="18"/>
                <w:szCs w:val="18"/>
              </w:rPr>
              <w:t>(25分)</w:t>
            </w:r>
          </w:p>
        </w:tc>
      </w:tr>
      <w:tr w14:paraId="041034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9" w:hRule="atLeast"/>
        </w:trPr>
        <w:tc>
          <w:tcPr>
            <w:tcW w:w="912" w:type="dxa"/>
            <w:vMerge w:val="continue"/>
            <w:tcBorders>
              <w:top w:val="nil"/>
              <w:bottom w:val="nil"/>
            </w:tcBorders>
            <w:vAlign w:val="top"/>
          </w:tcPr>
          <w:p w14:paraId="4BCC7FB9">
            <w:pPr>
              <w:rPr>
                <w:rFonts w:ascii="Arial"/>
                <w:sz w:val="21"/>
              </w:rPr>
            </w:pPr>
          </w:p>
        </w:tc>
        <w:tc>
          <w:tcPr>
            <w:tcW w:w="2394" w:type="dxa"/>
            <w:vAlign w:val="top"/>
          </w:tcPr>
          <w:p w14:paraId="35B10666">
            <w:pPr>
              <w:pStyle w:val="6"/>
              <w:spacing w:before="82" w:line="219" w:lineRule="auto"/>
              <w:ind w:left="12"/>
              <w:rPr>
                <w:sz w:val="18"/>
                <w:szCs w:val="18"/>
              </w:rPr>
            </w:pPr>
            <w:r>
              <w:rPr>
                <w:spacing w:val="-1"/>
                <w:sz w:val="18"/>
                <w:szCs w:val="18"/>
              </w:rPr>
              <w:t>装配尺寸、装配要求、符号等</w:t>
            </w:r>
          </w:p>
        </w:tc>
        <w:tc>
          <w:tcPr>
            <w:tcW w:w="813" w:type="dxa"/>
            <w:vAlign w:val="top"/>
          </w:tcPr>
          <w:p w14:paraId="34A0C2FC">
            <w:pPr>
              <w:pStyle w:val="6"/>
              <w:spacing w:before="83" w:line="220" w:lineRule="auto"/>
              <w:ind w:left="128"/>
              <w:rPr>
                <w:sz w:val="18"/>
                <w:szCs w:val="18"/>
              </w:rPr>
            </w:pPr>
            <w:r>
              <w:rPr>
                <w:spacing w:val="7"/>
                <w:sz w:val="18"/>
                <w:szCs w:val="18"/>
              </w:rPr>
              <w:t>(25分)</w:t>
            </w:r>
          </w:p>
        </w:tc>
      </w:tr>
      <w:tr w14:paraId="11E28B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9" w:hRule="atLeast"/>
        </w:trPr>
        <w:tc>
          <w:tcPr>
            <w:tcW w:w="912" w:type="dxa"/>
            <w:vMerge w:val="continue"/>
            <w:tcBorders>
              <w:top w:val="nil"/>
            </w:tcBorders>
            <w:vAlign w:val="top"/>
          </w:tcPr>
          <w:p w14:paraId="7A089BFD">
            <w:pPr>
              <w:rPr>
                <w:rFonts w:ascii="Arial"/>
                <w:sz w:val="21"/>
              </w:rPr>
            </w:pPr>
          </w:p>
        </w:tc>
        <w:tc>
          <w:tcPr>
            <w:tcW w:w="2394" w:type="dxa"/>
            <w:vAlign w:val="top"/>
          </w:tcPr>
          <w:p w14:paraId="5C813776">
            <w:pPr>
              <w:pStyle w:val="6"/>
              <w:spacing w:before="62" w:line="218" w:lineRule="auto"/>
              <w:ind w:left="12" w:right="19"/>
              <w:rPr>
                <w:sz w:val="18"/>
                <w:szCs w:val="18"/>
              </w:rPr>
            </w:pPr>
            <w:r>
              <w:rPr>
                <w:sz w:val="18"/>
                <w:szCs w:val="18"/>
              </w:rPr>
              <w:t>图幅、标题栏、明细表、序号</w:t>
            </w:r>
            <w:r>
              <w:rPr>
                <w:spacing w:val="10"/>
                <w:sz w:val="18"/>
                <w:szCs w:val="18"/>
              </w:rPr>
              <w:t xml:space="preserve"> </w:t>
            </w:r>
            <w:r>
              <w:rPr>
                <w:sz w:val="18"/>
                <w:szCs w:val="18"/>
              </w:rPr>
              <w:t>等</w:t>
            </w:r>
          </w:p>
        </w:tc>
        <w:tc>
          <w:tcPr>
            <w:tcW w:w="813" w:type="dxa"/>
            <w:vAlign w:val="top"/>
          </w:tcPr>
          <w:p w14:paraId="67F9F9CF">
            <w:pPr>
              <w:pStyle w:val="6"/>
              <w:spacing w:before="164" w:line="220" w:lineRule="auto"/>
              <w:ind w:left="128"/>
              <w:rPr>
                <w:sz w:val="18"/>
                <w:szCs w:val="18"/>
              </w:rPr>
            </w:pPr>
            <w:r>
              <w:rPr>
                <w:spacing w:val="7"/>
                <w:sz w:val="18"/>
                <w:szCs w:val="18"/>
              </w:rPr>
              <w:t>(25分)</w:t>
            </w:r>
          </w:p>
        </w:tc>
      </w:tr>
      <w:tr w14:paraId="083D4D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9" w:hRule="atLeast"/>
        </w:trPr>
        <w:tc>
          <w:tcPr>
            <w:tcW w:w="912" w:type="dxa"/>
            <w:vAlign w:val="top"/>
          </w:tcPr>
          <w:p w14:paraId="6263813B">
            <w:pPr>
              <w:pStyle w:val="6"/>
              <w:spacing w:before="85" w:line="219" w:lineRule="auto"/>
              <w:ind w:left="84"/>
              <w:rPr>
                <w:sz w:val="18"/>
                <w:szCs w:val="18"/>
              </w:rPr>
            </w:pPr>
            <w:r>
              <w:rPr>
                <w:spacing w:val="5"/>
                <w:sz w:val="18"/>
                <w:szCs w:val="18"/>
              </w:rPr>
              <w:t>图纸输出</w:t>
            </w:r>
          </w:p>
        </w:tc>
        <w:tc>
          <w:tcPr>
            <w:tcW w:w="2394" w:type="dxa"/>
            <w:vAlign w:val="top"/>
          </w:tcPr>
          <w:p w14:paraId="6D8E7E14">
            <w:pPr>
              <w:pStyle w:val="6"/>
              <w:spacing w:before="84" w:line="219" w:lineRule="auto"/>
              <w:ind w:left="12"/>
              <w:rPr>
                <w:sz w:val="18"/>
                <w:szCs w:val="18"/>
              </w:rPr>
            </w:pPr>
            <w:r>
              <w:rPr>
                <w:spacing w:val="2"/>
                <w:sz w:val="18"/>
                <w:szCs w:val="18"/>
              </w:rPr>
              <w:t>所有图纸虚拟打印输出</w:t>
            </w:r>
          </w:p>
        </w:tc>
        <w:tc>
          <w:tcPr>
            <w:tcW w:w="813" w:type="dxa"/>
            <w:vAlign w:val="top"/>
          </w:tcPr>
          <w:p w14:paraId="7575FB31">
            <w:pPr>
              <w:pStyle w:val="6"/>
              <w:spacing w:before="85" w:line="220" w:lineRule="auto"/>
              <w:ind w:left="128"/>
              <w:rPr>
                <w:sz w:val="18"/>
                <w:szCs w:val="18"/>
              </w:rPr>
            </w:pPr>
            <w:r>
              <w:rPr>
                <w:spacing w:val="7"/>
                <w:sz w:val="18"/>
                <w:szCs w:val="18"/>
              </w:rPr>
              <w:t>(10分)</w:t>
            </w:r>
          </w:p>
        </w:tc>
      </w:tr>
      <w:tr w14:paraId="5C6FE3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3" w:hRule="atLeast"/>
        </w:trPr>
        <w:tc>
          <w:tcPr>
            <w:tcW w:w="912" w:type="dxa"/>
            <w:vAlign w:val="top"/>
          </w:tcPr>
          <w:p w14:paraId="0ADF763C">
            <w:pPr>
              <w:pStyle w:val="6"/>
              <w:spacing w:before="166" w:line="219" w:lineRule="auto"/>
              <w:ind w:left="84"/>
              <w:rPr>
                <w:sz w:val="18"/>
                <w:szCs w:val="18"/>
              </w:rPr>
            </w:pPr>
            <w:r>
              <w:rPr>
                <w:spacing w:val="-2"/>
                <w:sz w:val="18"/>
                <w:szCs w:val="18"/>
              </w:rPr>
              <w:t>职业素养</w:t>
            </w:r>
          </w:p>
        </w:tc>
        <w:tc>
          <w:tcPr>
            <w:tcW w:w="2394" w:type="dxa"/>
            <w:vAlign w:val="top"/>
          </w:tcPr>
          <w:p w14:paraId="752139C2">
            <w:pPr>
              <w:pStyle w:val="6"/>
              <w:spacing w:before="75" w:line="214" w:lineRule="auto"/>
              <w:ind w:left="12" w:right="37"/>
              <w:rPr>
                <w:sz w:val="18"/>
                <w:szCs w:val="18"/>
              </w:rPr>
            </w:pPr>
            <w:r>
              <w:rPr>
                <w:spacing w:val="-1"/>
                <w:sz w:val="18"/>
                <w:szCs w:val="18"/>
              </w:rPr>
              <w:t>操作规范、文明使用工量具及</w:t>
            </w:r>
            <w:r>
              <w:rPr>
                <w:spacing w:val="5"/>
                <w:sz w:val="18"/>
                <w:szCs w:val="18"/>
              </w:rPr>
              <w:t xml:space="preserve"> </w:t>
            </w:r>
            <w:r>
              <w:rPr>
                <w:spacing w:val="-3"/>
                <w:sz w:val="18"/>
                <w:szCs w:val="18"/>
              </w:rPr>
              <w:t>设备</w:t>
            </w:r>
          </w:p>
        </w:tc>
        <w:tc>
          <w:tcPr>
            <w:tcW w:w="813" w:type="dxa"/>
            <w:vAlign w:val="top"/>
          </w:tcPr>
          <w:p w14:paraId="586AA75E">
            <w:pPr>
              <w:pStyle w:val="6"/>
              <w:spacing w:before="166" w:line="220" w:lineRule="auto"/>
              <w:ind w:left="128"/>
              <w:rPr>
                <w:sz w:val="18"/>
                <w:szCs w:val="18"/>
              </w:rPr>
            </w:pPr>
            <w:r>
              <w:rPr>
                <w:spacing w:val="7"/>
                <w:sz w:val="18"/>
                <w:szCs w:val="18"/>
              </w:rPr>
              <w:t>(25分)</w:t>
            </w:r>
          </w:p>
        </w:tc>
      </w:tr>
    </w:tbl>
    <w:p w14:paraId="5B3E022F">
      <w:pPr>
        <w:spacing w:before="219" w:line="219" w:lineRule="auto"/>
        <w:ind w:left="87"/>
        <w:rPr>
          <w:rFonts w:ascii="宋体" w:hAnsi="宋体" w:eastAsia="宋体" w:cs="宋体"/>
          <w:sz w:val="20"/>
          <w:szCs w:val="20"/>
        </w:rPr>
      </w:pPr>
      <w:r>
        <w:rPr>
          <w:rFonts w:ascii="宋体" w:hAnsi="宋体" w:eastAsia="宋体" w:cs="宋体"/>
          <w:b/>
          <w:bCs/>
          <w:spacing w:val="6"/>
          <w:sz w:val="20"/>
          <w:szCs w:val="20"/>
        </w:rPr>
        <w:t>项目五</w:t>
      </w:r>
      <w:r>
        <w:rPr>
          <w:rFonts w:ascii="宋体" w:hAnsi="宋体" w:eastAsia="宋体" w:cs="宋体"/>
          <w:spacing w:val="6"/>
          <w:sz w:val="20"/>
          <w:szCs w:val="20"/>
        </w:rPr>
        <w:t xml:space="preserve">  </w:t>
      </w:r>
      <w:r>
        <w:rPr>
          <w:rFonts w:ascii="宋体" w:hAnsi="宋体" w:eastAsia="宋体" w:cs="宋体"/>
          <w:b/>
          <w:bCs/>
          <w:spacing w:val="6"/>
          <w:sz w:val="20"/>
          <w:szCs w:val="20"/>
        </w:rPr>
        <w:t>透镜式色灯信号机电气测试与灯光</w:t>
      </w:r>
    </w:p>
    <w:p w14:paraId="24310291">
      <w:pPr>
        <w:spacing w:before="97" w:line="221" w:lineRule="auto"/>
        <w:ind w:left="917"/>
        <w:rPr>
          <w:rFonts w:ascii="宋体" w:hAnsi="宋体" w:eastAsia="宋体" w:cs="宋体"/>
          <w:sz w:val="20"/>
          <w:szCs w:val="20"/>
        </w:rPr>
      </w:pPr>
      <w:r>
        <w:rPr>
          <w:rFonts w:ascii="宋体" w:hAnsi="宋体" w:eastAsia="宋体" w:cs="宋体"/>
          <w:b/>
          <w:bCs/>
          <w:spacing w:val="5"/>
          <w:sz w:val="20"/>
          <w:szCs w:val="20"/>
        </w:rPr>
        <w:t>调整</w:t>
      </w:r>
    </w:p>
    <w:p w14:paraId="265D010A">
      <w:pPr>
        <w:spacing w:before="210" w:line="221" w:lineRule="auto"/>
        <w:rPr>
          <w:rFonts w:ascii="宋体" w:hAnsi="宋体" w:eastAsia="宋体" w:cs="宋体"/>
          <w:sz w:val="17"/>
          <w:szCs w:val="17"/>
        </w:rPr>
      </w:pPr>
      <w:r>
        <w:rPr>
          <w:rFonts w:ascii="宋体" w:hAnsi="宋体" w:eastAsia="宋体" w:cs="宋体"/>
          <w:spacing w:val="6"/>
          <w:sz w:val="17"/>
          <w:szCs w:val="17"/>
        </w:rPr>
        <w:t>【测试用具】</w:t>
      </w:r>
    </w:p>
    <w:p w14:paraId="04FD9407">
      <w:pPr>
        <w:spacing w:before="75" w:line="303" w:lineRule="auto"/>
        <w:ind w:left="14" w:right="346" w:firstLine="340"/>
        <w:rPr>
          <w:rFonts w:ascii="宋体" w:hAnsi="宋体" w:eastAsia="宋体" w:cs="宋体"/>
          <w:sz w:val="17"/>
          <w:szCs w:val="17"/>
        </w:rPr>
      </w:pPr>
      <w:r>
        <w:rPr>
          <w:rFonts w:ascii="宋体" w:hAnsi="宋体" w:eastAsia="宋体" w:cs="宋体"/>
          <w:sz w:val="17"/>
          <w:szCs w:val="17"/>
        </w:rPr>
        <w:t>兆欧表、万用表、套筒、扳手、</w:t>
      </w:r>
      <w:r>
        <w:rPr>
          <w:rFonts w:ascii="宋体" w:hAnsi="宋体" w:eastAsia="宋体" w:cs="宋体"/>
          <w:spacing w:val="-38"/>
          <w:sz w:val="17"/>
          <w:szCs w:val="17"/>
        </w:rPr>
        <w:t xml:space="preserve"> </w:t>
      </w:r>
      <w:r>
        <w:rPr>
          <w:rFonts w:ascii="宋体" w:hAnsi="宋体" w:eastAsia="宋体" w:cs="宋体"/>
          <w:sz w:val="17"/>
          <w:szCs w:val="17"/>
        </w:rPr>
        <w:t xml:space="preserve">一字螺丝刀、带夹 </w:t>
      </w:r>
      <w:r>
        <w:rPr>
          <w:rFonts w:ascii="宋体" w:hAnsi="宋体" w:eastAsia="宋体" w:cs="宋体"/>
          <w:spacing w:val="-6"/>
          <w:sz w:val="17"/>
          <w:szCs w:val="17"/>
        </w:rPr>
        <w:t>子导线。</w:t>
      </w:r>
    </w:p>
    <w:p w14:paraId="6636C636">
      <w:pPr>
        <w:spacing w:before="30" w:line="219" w:lineRule="auto"/>
        <w:ind w:left="2"/>
        <w:rPr>
          <w:rFonts w:ascii="宋体" w:hAnsi="宋体" w:eastAsia="宋体" w:cs="宋体"/>
          <w:sz w:val="17"/>
          <w:szCs w:val="17"/>
        </w:rPr>
      </w:pPr>
      <w:r>
        <w:rPr>
          <w:rFonts w:ascii="宋体" w:hAnsi="宋体" w:eastAsia="宋体" w:cs="宋体"/>
          <w:b/>
          <w:bCs/>
          <w:spacing w:val="4"/>
          <w:sz w:val="17"/>
          <w:szCs w:val="17"/>
        </w:rPr>
        <w:t>【测试内容】</w:t>
      </w:r>
    </w:p>
    <w:p w14:paraId="58771D2E">
      <w:pPr>
        <w:spacing w:before="87" w:line="219" w:lineRule="auto"/>
        <w:ind w:left="357"/>
        <w:rPr>
          <w:rFonts w:ascii="宋体" w:hAnsi="宋体" w:eastAsia="宋体" w:cs="宋体"/>
          <w:sz w:val="17"/>
          <w:szCs w:val="17"/>
        </w:rPr>
      </w:pPr>
      <w:r>
        <w:rPr>
          <w:rFonts w:ascii="宋体" w:hAnsi="宋体" w:eastAsia="宋体" w:cs="宋体"/>
          <w:b/>
          <w:bCs/>
          <w:spacing w:val="-5"/>
          <w:sz w:val="17"/>
          <w:szCs w:val="17"/>
        </w:rPr>
        <w:t>1.色灯信号机的电气特性测试</w:t>
      </w:r>
    </w:p>
    <w:p w14:paraId="783B7308">
      <w:pPr>
        <w:spacing w:before="90" w:line="184" w:lineRule="auto"/>
        <w:ind w:left="357"/>
        <w:rPr>
          <w:rFonts w:ascii="宋体" w:hAnsi="宋体" w:eastAsia="宋体" w:cs="宋体"/>
          <w:sz w:val="17"/>
          <w:szCs w:val="17"/>
        </w:rPr>
      </w:pPr>
      <w:r>
        <w:rPr>
          <w:rFonts w:ascii="宋体" w:hAnsi="宋体" w:eastAsia="宋体" w:cs="宋体"/>
          <w:b/>
          <w:bCs/>
          <w:sz w:val="17"/>
          <w:szCs w:val="17"/>
        </w:rPr>
        <w:t>对铁路色灯信号机进行测试的时候，需要测量信号</w:t>
      </w:r>
    </w:p>
    <w:p w14:paraId="001739D9">
      <w:pPr>
        <w:pStyle w:val="2"/>
        <w:spacing w:line="14" w:lineRule="auto"/>
        <w:rPr>
          <w:sz w:val="2"/>
        </w:rPr>
      </w:pPr>
      <w:r>
        <w:rPr>
          <w:sz w:val="2"/>
          <w:szCs w:val="2"/>
        </w:rPr>
        <w:br w:type="column"/>
      </w:r>
    </w:p>
    <w:p w14:paraId="181B289B">
      <w:pPr>
        <w:spacing w:before="34" w:line="306" w:lineRule="auto"/>
        <w:ind w:left="15" w:right="17"/>
        <w:jc w:val="both"/>
        <w:rPr>
          <w:rFonts w:ascii="宋体" w:hAnsi="宋体" w:eastAsia="宋体" w:cs="宋体"/>
          <w:sz w:val="17"/>
          <w:szCs w:val="17"/>
        </w:rPr>
      </w:pPr>
      <w:r>
        <w:rPr>
          <w:rFonts w:ascii="宋体" w:hAnsi="宋体" w:eastAsia="宋体" w:cs="宋体"/>
          <w:spacing w:val="2"/>
          <w:sz w:val="17"/>
          <w:szCs w:val="17"/>
        </w:rPr>
        <w:t>变压器</w:t>
      </w:r>
      <w:r>
        <w:rPr>
          <w:rFonts w:ascii="宋体" w:hAnsi="宋体" w:eastAsia="宋体" w:cs="宋体"/>
          <w:spacing w:val="-49"/>
          <w:sz w:val="17"/>
          <w:szCs w:val="17"/>
        </w:rPr>
        <w:t xml:space="preserve"> </w:t>
      </w:r>
      <w:r>
        <w:rPr>
          <w:rFonts w:ascii="Times New Roman" w:hAnsi="Times New Roman" w:eastAsia="Times New Roman" w:cs="Times New Roman"/>
          <w:spacing w:val="2"/>
          <w:sz w:val="17"/>
          <w:szCs w:val="17"/>
        </w:rPr>
        <w:t>I</w:t>
      </w:r>
      <w:r>
        <w:rPr>
          <w:rFonts w:ascii="Times New Roman" w:hAnsi="Times New Roman" w:eastAsia="Times New Roman" w:cs="Times New Roman"/>
          <w:spacing w:val="35"/>
          <w:w w:val="101"/>
          <w:sz w:val="17"/>
          <w:szCs w:val="17"/>
        </w:rPr>
        <w:t xml:space="preserve"> </w:t>
      </w:r>
      <w:r>
        <w:rPr>
          <w:rFonts w:ascii="宋体" w:hAnsi="宋体" w:eastAsia="宋体" w:cs="宋体"/>
          <w:spacing w:val="2"/>
          <w:sz w:val="17"/>
          <w:szCs w:val="17"/>
        </w:rPr>
        <w:t>次侧电压、Ⅱ次侧电压、灯丝端电压、断</w:t>
      </w:r>
      <w:r>
        <w:rPr>
          <w:rFonts w:ascii="宋体" w:hAnsi="宋体" w:eastAsia="宋体" w:cs="宋体"/>
          <w:spacing w:val="1"/>
          <w:sz w:val="17"/>
          <w:szCs w:val="17"/>
        </w:rPr>
        <w:t>丝报</w:t>
      </w:r>
      <w:r>
        <w:rPr>
          <w:rFonts w:ascii="宋体" w:hAnsi="宋体" w:eastAsia="宋体" w:cs="宋体"/>
          <w:sz w:val="17"/>
          <w:szCs w:val="17"/>
        </w:rPr>
        <w:t xml:space="preserve"> </w:t>
      </w:r>
      <w:r>
        <w:rPr>
          <w:rFonts w:ascii="宋体" w:hAnsi="宋体" w:eastAsia="宋体" w:cs="宋体"/>
          <w:spacing w:val="2"/>
          <w:sz w:val="17"/>
          <w:szCs w:val="17"/>
        </w:rPr>
        <w:t>警实现、机构对地绝缘等电气参数，让它们处于正常的</w:t>
      </w:r>
      <w:r>
        <w:rPr>
          <w:rFonts w:ascii="宋体" w:hAnsi="宋体" w:eastAsia="宋体" w:cs="宋体"/>
          <w:spacing w:val="4"/>
          <w:sz w:val="17"/>
          <w:szCs w:val="17"/>
        </w:rPr>
        <w:t xml:space="preserve"> </w:t>
      </w:r>
      <w:r>
        <w:rPr>
          <w:rFonts w:ascii="宋体" w:hAnsi="宋体" w:eastAsia="宋体" w:cs="宋体"/>
          <w:spacing w:val="-2"/>
          <w:sz w:val="17"/>
          <w:szCs w:val="17"/>
        </w:rPr>
        <w:t>工作状态。本次实验对电气特性测试进行实际操作。</w:t>
      </w:r>
    </w:p>
    <w:p w14:paraId="2E13A9CC">
      <w:pPr>
        <w:spacing w:before="35" w:line="219" w:lineRule="auto"/>
        <w:ind w:left="365"/>
        <w:rPr>
          <w:rFonts w:ascii="宋体" w:hAnsi="宋体" w:eastAsia="宋体" w:cs="宋体"/>
          <w:sz w:val="17"/>
          <w:szCs w:val="17"/>
        </w:rPr>
      </w:pPr>
      <w:r>
        <w:rPr>
          <w:rFonts w:ascii="宋体" w:hAnsi="宋体" w:eastAsia="宋体" w:cs="宋体"/>
          <w:spacing w:val="-1"/>
          <w:sz w:val="17"/>
          <w:szCs w:val="17"/>
        </w:rPr>
        <w:t>2.色灯信号机的灯光调整方法</w:t>
      </w:r>
    </w:p>
    <w:p w14:paraId="37680DCA">
      <w:pPr>
        <w:spacing w:before="75" w:line="312" w:lineRule="auto"/>
        <w:ind w:left="15" w:firstLine="349"/>
        <w:rPr>
          <w:rFonts w:ascii="宋体" w:hAnsi="宋体" w:eastAsia="宋体" w:cs="宋体"/>
          <w:sz w:val="17"/>
          <w:szCs w:val="17"/>
        </w:rPr>
      </w:pPr>
      <w:r>
        <w:rPr>
          <w:rFonts w:ascii="宋体" w:hAnsi="宋体" w:eastAsia="宋体" w:cs="宋体"/>
          <w:spacing w:val="9"/>
          <w:sz w:val="17"/>
          <w:szCs w:val="17"/>
        </w:rPr>
        <w:t>调整色灯信号机灯光显示距离。常用信号机显示</w:t>
      </w:r>
      <w:r>
        <w:rPr>
          <w:rFonts w:ascii="宋体" w:hAnsi="宋体" w:eastAsia="宋体" w:cs="宋体"/>
          <w:spacing w:val="17"/>
          <w:sz w:val="17"/>
          <w:szCs w:val="17"/>
        </w:rPr>
        <w:t xml:space="preserve"> </w:t>
      </w:r>
      <w:r>
        <w:rPr>
          <w:rFonts w:ascii="宋体" w:hAnsi="宋体" w:eastAsia="宋体" w:cs="宋体"/>
          <w:spacing w:val="2"/>
          <w:sz w:val="17"/>
          <w:szCs w:val="17"/>
        </w:rPr>
        <w:t>距离为：进站、通过、遮断信号机的显示距离不得小于</w:t>
      </w:r>
      <w:r>
        <w:rPr>
          <w:rFonts w:ascii="宋体" w:hAnsi="宋体" w:eastAsia="宋体" w:cs="宋体"/>
          <w:spacing w:val="1"/>
          <w:sz w:val="17"/>
          <w:szCs w:val="17"/>
        </w:rPr>
        <w:t xml:space="preserve"> </w:t>
      </w:r>
      <w:r>
        <w:rPr>
          <w:rFonts w:ascii="Times New Roman" w:hAnsi="Times New Roman" w:eastAsia="Times New Roman" w:cs="Times New Roman"/>
          <w:spacing w:val="13"/>
          <w:sz w:val="17"/>
          <w:szCs w:val="17"/>
        </w:rPr>
        <w:t>1000m</w:t>
      </w:r>
      <w:r>
        <w:rPr>
          <w:rFonts w:ascii="宋体" w:hAnsi="宋体" w:eastAsia="宋体" w:cs="宋体"/>
          <w:spacing w:val="13"/>
          <w:sz w:val="17"/>
          <w:szCs w:val="17"/>
        </w:rPr>
        <w:t>。在特殊地段(弯道、隧道、曲线半径小),设</w:t>
      </w:r>
      <w:r>
        <w:rPr>
          <w:rFonts w:ascii="宋体" w:hAnsi="宋体" w:eastAsia="宋体" w:cs="宋体"/>
          <w:spacing w:val="1"/>
          <w:sz w:val="17"/>
          <w:szCs w:val="17"/>
        </w:rPr>
        <w:t xml:space="preserve"> </w:t>
      </w:r>
      <w:r>
        <w:rPr>
          <w:rFonts w:ascii="宋体" w:hAnsi="宋体" w:eastAsia="宋体" w:cs="宋体"/>
          <w:spacing w:val="5"/>
          <w:sz w:val="17"/>
          <w:szCs w:val="17"/>
        </w:rPr>
        <w:t>有预告信号机时，显示距离可降低的不小于200</w:t>
      </w:r>
      <w:r>
        <w:rPr>
          <w:rFonts w:ascii="Times New Roman" w:hAnsi="Times New Roman" w:eastAsia="Times New Roman" w:cs="Times New Roman"/>
          <w:spacing w:val="5"/>
          <w:sz w:val="17"/>
          <w:szCs w:val="17"/>
        </w:rPr>
        <w:t>m</w:t>
      </w:r>
      <w:r>
        <w:rPr>
          <w:rFonts w:ascii="宋体" w:hAnsi="宋体" w:eastAsia="宋体" w:cs="宋体"/>
          <w:spacing w:val="5"/>
          <w:sz w:val="17"/>
          <w:szCs w:val="17"/>
        </w:rPr>
        <w:t>。高</w:t>
      </w:r>
      <w:r>
        <w:rPr>
          <w:rFonts w:ascii="宋体" w:hAnsi="宋体" w:eastAsia="宋体" w:cs="宋体"/>
          <w:spacing w:val="15"/>
          <w:sz w:val="17"/>
          <w:szCs w:val="17"/>
        </w:rPr>
        <w:t xml:space="preserve"> </w:t>
      </w:r>
      <w:r>
        <w:rPr>
          <w:rFonts w:ascii="宋体" w:hAnsi="宋体" w:eastAsia="宋体" w:cs="宋体"/>
          <w:spacing w:val="7"/>
          <w:sz w:val="17"/>
          <w:szCs w:val="17"/>
        </w:rPr>
        <w:t>柱出站、进路信号机的显示距离不小于800</w:t>
      </w:r>
      <w:r>
        <w:rPr>
          <w:rFonts w:ascii="Times New Roman" w:hAnsi="Times New Roman" w:eastAsia="Times New Roman" w:cs="Times New Roman"/>
          <w:spacing w:val="7"/>
          <w:sz w:val="17"/>
          <w:szCs w:val="17"/>
        </w:rPr>
        <w:t>m;</w:t>
      </w:r>
      <w:r>
        <w:rPr>
          <w:rFonts w:ascii="Times New Roman" w:hAnsi="Times New Roman" w:eastAsia="Times New Roman" w:cs="Times New Roman"/>
          <w:spacing w:val="22"/>
          <w:w w:val="101"/>
          <w:sz w:val="17"/>
          <w:szCs w:val="17"/>
        </w:rPr>
        <w:t xml:space="preserve">  </w:t>
      </w:r>
      <w:r>
        <w:rPr>
          <w:rFonts w:ascii="宋体" w:hAnsi="宋体" w:eastAsia="宋体" w:cs="宋体"/>
          <w:spacing w:val="7"/>
          <w:sz w:val="17"/>
          <w:szCs w:val="17"/>
        </w:rPr>
        <w:t>矮型出</w:t>
      </w:r>
      <w:r>
        <w:rPr>
          <w:rFonts w:ascii="宋体" w:hAnsi="宋体" w:eastAsia="宋体" w:cs="宋体"/>
          <w:sz w:val="17"/>
          <w:szCs w:val="17"/>
        </w:rPr>
        <w:t xml:space="preserve"> </w:t>
      </w:r>
      <w:r>
        <w:rPr>
          <w:rFonts w:ascii="宋体" w:hAnsi="宋体" w:eastAsia="宋体" w:cs="宋体"/>
          <w:spacing w:val="1"/>
          <w:sz w:val="17"/>
          <w:szCs w:val="17"/>
        </w:rPr>
        <w:t>站、进路信号机的显示距离不小于200</w:t>
      </w:r>
      <w:r>
        <w:rPr>
          <w:rFonts w:ascii="Times New Roman" w:hAnsi="Times New Roman" w:eastAsia="Times New Roman" w:cs="Times New Roman"/>
          <w:spacing w:val="1"/>
          <w:sz w:val="17"/>
          <w:szCs w:val="17"/>
        </w:rPr>
        <w:t xml:space="preserve">m;  </w:t>
      </w:r>
      <w:r>
        <w:rPr>
          <w:rFonts w:ascii="宋体" w:hAnsi="宋体" w:eastAsia="宋体" w:cs="宋体"/>
          <w:spacing w:val="1"/>
          <w:sz w:val="17"/>
          <w:szCs w:val="17"/>
        </w:rPr>
        <w:t>预告、驼峰、</w:t>
      </w:r>
      <w:r>
        <w:rPr>
          <w:rFonts w:ascii="宋体" w:hAnsi="宋体" w:eastAsia="宋体" w:cs="宋体"/>
          <w:spacing w:val="11"/>
          <w:sz w:val="17"/>
          <w:szCs w:val="17"/>
        </w:rPr>
        <w:t xml:space="preserve"> </w:t>
      </w:r>
      <w:r>
        <w:rPr>
          <w:rFonts w:ascii="宋体" w:hAnsi="宋体" w:eastAsia="宋体" w:cs="宋体"/>
          <w:spacing w:val="8"/>
          <w:sz w:val="17"/>
          <w:szCs w:val="17"/>
        </w:rPr>
        <w:t>驼峰辅助信号机的显示距离不得小于400</w:t>
      </w:r>
      <w:r>
        <w:rPr>
          <w:rFonts w:ascii="Times New Roman" w:hAnsi="Times New Roman" w:eastAsia="Times New Roman" w:cs="Times New Roman"/>
          <w:spacing w:val="8"/>
          <w:sz w:val="17"/>
          <w:szCs w:val="17"/>
        </w:rPr>
        <w:t xml:space="preserve">m;  </w:t>
      </w:r>
      <w:r>
        <w:rPr>
          <w:rFonts w:ascii="宋体" w:hAnsi="宋体" w:eastAsia="宋体" w:cs="宋体"/>
          <w:spacing w:val="8"/>
          <w:sz w:val="17"/>
          <w:szCs w:val="17"/>
        </w:rPr>
        <w:t>预告信号</w:t>
      </w:r>
      <w:r>
        <w:rPr>
          <w:rFonts w:ascii="宋体" w:hAnsi="宋体" w:eastAsia="宋体" w:cs="宋体"/>
          <w:spacing w:val="13"/>
          <w:sz w:val="17"/>
          <w:szCs w:val="17"/>
        </w:rPr>
        <w:t xml:space="preserve"> </w:t>
      </w:r>
      <w:r>
        <w:rPr>
          <w:rFonts w:ascii="宋体" w:hAnsi="宋体" w:eastAsia="宋体" w:cs="宋体"/>
          <w:spacing w:val="6"/>
          <w:sz w:val="17"/>
          <w:szCs w:val="17"/>
        </w:rPr>
        <w:t>机在最坏情况下不得小于200</w:t>
      </w:r>
      <w:r>
        <w:rPr>
          <w:rFonts w:ascii="Times New Roman" w:hAnsi="Times New Roman" w:eastAsia="Times New Roman" w:cs="Times New Roman"/>
          <w:spacing w:val="6"/>
          <w:sz w:val="17"/>
          <w:szCs w:val="17"/>
        </w:rPr>
        <w:t>m;</w:t>
      </w:r>
      <w:r>
        <w:rPr>
          <w:rFonts w:ascii="Times New Roman" w:hAnsi="Times New Roman" w:eastAsia="Times New Roman" w:cs="Times New Roman"/>
          <w:spacing w:val="17"/>
          <w:sz w:val="17"/>
          <w:szCs w:val="17"/>
        </w:rPr>
        <w:t xml:space="preserve">  </w:t>
      </w:r>
      <w:r>
        <w:rPr>
          <w:rFonts w:ascii="宋体" w:hAnsi="宋体" w:eastAsia="宋体" w:cs="宋体"/>
          <w:spacing w:val="6"/>
          <w:sz w:val="17"/>
          <w:szCs w:val="17"/>
        </w:rPr>
        <w:t>调车、复示信号机、</w:t>
      </w:r>
      <w:r>
        <w:rPr>
          <w:rFonts w:ascii="宋体" w:hAnsi="宋体" w:eastAsia="宋体" w:cs="宋体"/>
          <w:sz w:val="17"/>
          <w:szCs w:val="17"/>
        </w:rPr>
        <w:t xml:space="preserve"> </w:t>
      </w:r>
      <w:r>
        <w:rPr>
          <w:rFonts w:ascii="宋体" w:hAnsi="宋体" w:eastAsia="宋体" w:cs="宋体"/>
          <w:spacing w:val="1"/>
          <w:sz w:val="17"/>
          <w:szCs w:val="17"/>
        </w:rPr>
        <w:t>容许、引导、各种表示器的显示距离不得小于200</w:t>
      </w:r>
      <w:r>
        <w:rPr>
          <w:rFonts w:ascii="Times New Roman" w:hAnsi="Times New Roman" w:eastAsia="Times New Roman" w:cs="Times New Roman"/>
          <w:spacing w:val="1"/>
          <w:sz w:val="17"/>
          <w:szCs w:val="17"/>
        </w:rPr>
        <w:t>m</w:t>
      </w:r>
      <w:r>
        <w:rPr>
          <w:rFonts w:ascii="宋体" w:hAnsi="宋体" w:eastAsia="宋体" w:cs="宋体"/>
          <w:spacing w:val="1"/>
          <w:sz w:val="17"/>
          <w:szCs w:val="17"/>
        </w:rPr>
        <w:t>。</w:t>
      </w:r>
    </w:p>
    <w:p w14:paraId="02748081">
      <w:pPr>
        <w:spacing w:before="39" w:line="221" w:lineRule="auto"/>
        <w:rPr>
          <w:rFonts w:ascii="宋体" w:hAnsi="宋体" w:eastAsia="宋体" w:cs="宋体"/>
          <w:sz w:val="17"/>
          <w:szCs w:val="17"/>
        </w:rPr>
      </w:pPr>
      <w:r>
        <w:rPr>
          <w:rFonts w:ascii="宋体" w:hAnsi="宋体" w:eastAsia="宋体" w:cs="宋体"/>
          <w:spacing w:val="6"/>
          <w:sz w:val="17"/>
          <w:szCs w:val="17"/>
        </w:rPr>
        <w:t>【测试方法】</w:t>
      </w:r>
    </w:p>
    <w:p w14:paraId="0C72D2A9">
      <w:pPr>
        <w:spacing w:before="84" w:line="219" w:lineRule="auto"/>
        <w:ind w:left="365"/>
        <w:rPr>
          <w:rFonts w:ascii="宋体" w:hAnsi="宋体" w:eastAsia="宋体" w:cs="宋体"/>
          <w:sz w:val="17"/>
          <w:szCs w:val="17"/>
        </w:rPr>
      </w:pPr>
      <w:r>
        <w:rPr>
          <w:rFonts w:ascii="宋体" w:hAnsi="宋体" w:eastAsia="宋体" w:cs="宋体"/>
          <w:spacing w:val="-2"/>
          <w:sz w:val="17"/>
          <w:szCs w:val="17"/>
        </w:rPr>
        <w:t>1.信号机电气参数测试</w:t>
      </w:r>
    </w:p>
    <w:p w14:paraId="287FC439">
      <w:pPr>
        <w:spacing w:before="100" w:line="256" w:lineRule="auto"/>
        <w:ind w:left="15" w:right="3" w:firstLine="420"/>
        <w:rPr>
          <w:rFonts w:ascii="宋体" w:hAnsi="宋体" w:eastAsia="宋体" w:cs="宋体"/>
          <w:sz w:val="17"/>
          <w:szCs w:val="17"/>
        </w:rPr>
      </w:pPr>
      <w:r>
        <w:rPr>
          <w:rFonts w:ascii="宋体" w:hAnsi="宋体" w:eastAsia="宋体" w:cs="宋体"/>
          <w:spacing w:val="12"/>
          <w:sz w:val="17"/>
          <w:szCs w:val="17"/>
        </w:rPr>
        <w:t>(1)点灯变压器</w:t>
      </w:r>
      <w:r>
        <w:rPr>
          <w:rFonts w:ascii="Times New Roman" w:hAnsi="Times New Roman" w:eastAsia="Times New Roman" w:cs="Times New Roman"/>
          <w:spacing w:val="12"/>
          <w:sz w:val="17"/>
          <w:szCs w:val="17"/>
        </w:rPr>
        <w:t>I</w:t>
      </w:r>
      <w:r>
        <w:rPr>
          <w:rFonts w:ascii="Times New Roman" w:hAnsi="Times New Roman" w:eastAsia="Times New Roman" w:cs="Times New Roman"/>
          <w:spacing w:val="2"/>
          <w:sz w:val="17"/>
          <w:szCs w:val="17"/>
        </w:rPr>
        <w:t xml:space="preserve">  </w:t>
      </w:r>
      <w:r>
        <w:rPr>
          <w:rFonts w:ascii="宋体" w:hAnsi="宋体" w:eastAsia="宋体" w:cs="宋体"/>
          <w:spacing w:val="12"/>
          <w:sz w:val="17"/>
          <w:szCs w:val="17"/>
        </w:rPr>
        <w:t>次侧电压测试，万用表置于交</w:t>
      </w:r>
      <w:r>
        <w:rPr>
          <w:rFonts w:ascii="宋体" w:hAnsi="宋体" w:eastAsia="宋体" w:cs="宋体"/>
          <w:spacing w:val="1"/>
          <w:sz w:val="17"/>
          <w:szCs w:val="17"/>
        </w:rPr>
        <w:t xml:space="preserve"> </w:t>
      </w:r>
      <w:r>
        <w:rPr>
          <w:rFonts w:ascii="宋体" w:hAnsi="宋体" w:eastAsia="宋体" w:cs="宋体"/>
          <w:spacing w:val="3"/>
          <w:sz w:val="17"/>
          <w:szCs w:val="17"/>
        </w:rPr>
        <w:t>流250</w:t>
      </w:r>
      <w:r>
        <w:rPr>
          <w:rFonts w:ascii="Times New Roman" w:hAnsi="Times New Roman" w:eastAsia="Times New Roman" w:cs="Times New Roman"/>
          <w:spacing w:val="3"/>
          <w:sz w:val="17"/>
          <w:szCs w:val="17"/>
        </w:rPr>
        <w:t>V</w:t>
      </w:r>
      <w:r>
        <w:rPr>
          <w:rFonts w:ascii="宋体" w:hAnsi="宋体" w:eastAsia="宋体" w:cs="宋体"/>
          <w:spacing w:val="3"/>
          <w:sz w:val="17"/>
          <w:szCs w:val="17"/>
        </w:rPr>
        <w:t>挡位测试；</w:t>
      </w:r>
    </w:p>
    <w:p w14:paraId="15362CB9">
      <w:pPr>
        <w:spacing w:before="108" w:line="256" w:lineRule="auto"/>
        <w:ind w:left="15" w:right="3" w:firstLine="420"/>
        <w:rPr>
          <w:rFonts w:ascii="宋体" w:hAnsi="宋体" w:eastAsia="宋体" w:cs="宋体"/>
          <w:sz w:val="17"/>
          <w:szCs w:val="17"/>
        </w:rPr>
      </w:pPr>
      <w:r>
        <w:rPr>
          <w:rFonts w:ascii="宋体" w:hAnsi="宋体" w:eastAsia="宋体" w:cs="宋体"/>
          <w:spacing w:val="11"/>
          <w:sz w:val="17"/>
          <w:szCs w:val="17"/>
        </w:rPr>
        <w:t>(2)点灯变压器Ⅱ次侧电压测试，万用表置于交</w:t>
      </w:r>
      <w:r>
        <w:rPr>
          <w:rFonts w:ascii="宋体" w:hAnsi="宋体" w:eastAsia="宋体" w:cs="宋体"/>
          <w:sz w:val="17"/>
          <w:szCs w:val="17"/>
        </w:rPr>
        <w:t xml:space="preserve"> </w:t>
      </w:r>
      <w:r>
        <w:rPr>
          <w:rFonts w:ascii="宋体" w:hAnsi="宋体" w:eastAsia="宋体" w:cs="宋体"/>
          <w:spacing w:val="5"/>
          <w:sz w:val="17"/>
          <w:szCs w:val="17"/>
        </w:rPr>
        <w:t>流50</w:t>
      </w:r>
      <w:r>
        <w:rPr>
          <w:rFonts w:ascii="Times New Roman" w:hAnsi="Times New Roman" w:eastAsia="Times New Roman" w:cs="Times New Roman"/>
          <w:spacing w:val="5"/>
          <w:sz w:val="17"/>
          <w:szCs w:val="17"/>
        </w:rPr>
        <w:t>V</w:t>
      </w:r>
      <w:r>
        <w:rPr>
          <w:rFonts w:ascii="宋体" w:hAnsi="宋体" w:eastAsia="宋体" w:cs="宋体"/>
          <w:spacing w:val="5"/>
          <w:sz w:val="17"/>
          <w:szCs w:val="17"/>
        </w:rPr>
        <w:t>挡位测试；</w:t>
      </w:r>
    </w:p>
    <w:p w14:paraId="5F555948">
      <w:pPr>
        <w:spacing w:before="88" w:line="274" w:lineRule="auto"/>
        <w:ind w:left="15" w:right="37" w:firstLine="420"/>
        <w:rPr>
          <w:rFonts w:ascii="宋体" w:hAnsi="宋体" w:eastAsia="宋体" w:cs="宋体"/>
          <w:sz w:val="17"/>
          <w:szCs w:val="17"/>
        </w:rPr>
      </w:pPr>
      <w:r>
        <w:rPr>
          <w:rFonts w:ascii="宋体" w:hAnsi="宋体" w:eastAsia="宋体" w:cs="宋体"/>
          <w:spacing w:val="11"/>
          <w:sz w:val="17"/>
          <w:szCs w:val="17"/>
        </w:rPr>
        <w:t>(3)灯丝端电压测试，万用表置于交流50</w:t>
      </w:r>
      <w:r>
        <w:rPr>
          <w:rFonts w:ascii="Times New Roman" w:hAnsi="Times New Roman" w:eastAsia="Times New Roman" w:cs="Times New Roman"/>
          <w:spacing w:val="11"/>
          <w:sz w:val="17"/>
          <w:szCs w:val="17"/>
        </w:rPr>
        <w:t>V</w:t>
      </w:r>
      <w:r>
        <w:rPr>
          <w:rFonts w:ascii="宋体" w:hAnsi="宋体" w:eastAsia="宋体" w:cs="宋体"/>
          <w:spacing w:val="11"/>
          <w:sz w:val="17"/>
          <w:szCs w:val="17"/>
        </w:rPr>
        <w:t>挡位</w:t>
      </w:r>
      <w:r>
        <w:rPr>
          <w:rFonts w:ascii="宋体" w:hAnsi="宋体" w:eastAsia="宋体" w:cs="宋体"/>
          <w:spacing w:val="1"/>
          <w:sz w:val="17"/>
          <w:szCs w:val="17"/>
        </w:rPr>
        <w:t xml:space="preserve"> </w:t>
      </w:r>
      <w:r>
        <w:rPr>
          <w:rFonts w:ascii="宋体" w:hAnsi="宋体" w:eastAsia="宋体" w:cs="宋体"/>
          <w:spacing w:val="-11"/>
          <w:sz w:val="17"/>
          <w:szCs w:val="17"/>
        </w:rPr>
        <w:t>测试；</w:t>
      </w:r>
    </w:p>
    <w:p w14:paraId="1EE7A270">
      <w:pPr>
        <w:spacing w:before="76" w:line="267" w:lineRule="auto"/>
        <w:ind w:left="15" w:right="46" w:firstLine="420"/>
        <w:rPr>
          <w:rFonts w:ascii="宋体" w:hAnsi="宋体" w:eastAsia="宋体" w:cs="宋体"/>
          <w:sz w:val="17"/>
          <w:szCs w:val="17"/>
        </w:rPr>
      </w:pPr>
      <w:r>
        <w:rPr>
          <w:rFonts w:ascii="宋体" w:hAnsi="宋体" w:eastAsia="宋体" w:cs="宋体"/>
          <w:spacing w:val="1"/>
          <w:sz w:val="17"/>
          <w:szCs w:val="17"/>
        </w:rPr>
        <w:t>(4)断丝报警实现，按下灯座上的灯丝转换按钮，</w:t>
      </w:r>
      <w:r>
        <w:rPr>
          <w:rFonts w:ascii="宋体" w:hAnsi="宋体" w:eastAsia="宋体" w:cs="宋体"/>
          <w:spacing w:val="5"/>
          <w:sz w:val="17"/>
          <w:szCs w:val="17"/>
        </w:rPr>
        <w:t xml:space="preserve"> </w:t>
      </w:r>
      <w:r>
        <w:rPr>
          <w:rFonts w:ascii="Times New Roman" w:hAnsi="Times New Roman" w:eastAsia="Times New Roman" w:cs="Times New Roman"/>
          <w:spacing w:val="-3"/>
          <w:sz w:val="17"/>
          <w:szCs w:val="17"/>
        </w:rPr>
        <w:t xml:space="preserve">13s </w:t>
      </w:r>
      <w:r>
        <w:rPr>
          <w:rFonts w:ascii="宋体" w:hAnsi="宋体" w:eastAsia="宋体" w:cs="宋体"/>
          <w:spacing w:val="-3"/>
          <w:sz w:val="17"/>
          <w:szCs w:val="17"/>
        </w:rPr>
        <w:t>后控制台出现声光报警；</w:t>
      </w:r>
    </w:p>
    <w:p w14:paraId="7E8D5E8B">
      <w:pPr>
        <w:spacing w:before="88" w:line="283" w:lineRule="auto"/>
        <w:ind w:left="15" w:right="21" w:firstLine="420"/>
        <w:rPr>
          <w:rFonts w:ascii="宋体" w:hAnsi="宋体" w:eastAsia="宋体" w:cs="宋体"/>
          <w:sz w:val="17"/>
          <w:szCs w:val="17"/>
        </w:rPr>
      </w:pPr>
      <w:r>
        <w:rPr>
          <w:rFonts w:ascii="宋体" w:hAnsi="宋体" w:eastAsia="宋体" w:cs="宋体"/>
          <w:spacing w:val="10"/>
          <w:sz w:val="17"/>
          <w:szCs w:val="17"/>
        </w:rPr>
        <w:t>(5)机构对地绝缘测试，兆欧表两夹子线分别接</w:t>
      </w:r>
      <w:r>
        <w:rPr>
          <w:rFonts w:ascii="宋体" w:hAnsi="宋体" w:eastAsia="宋体" w:cs="宋体"/>
          <w:sz w:val="17"/>
          <w:szCs w:val="17"/>
        </w:rPr>
        <w:t xml:space="preserve"> </w:t>
      </w:r>
      <w:r>
        <w:rPr>
          <w:rFonts w:ascii="宋体" w:hAnsi="宋体" w:eastAsia="宋体" w:cs="宋体"/>
          <w:spacing w:val="10"/>
          <w:sz w:val="17"/>
          <w:szCs w:val="17"/>
        </w:rPr>
        <w:t>至机构与地线，以大约60～100转/</w:t>
      </w:r>
      <w:r>
        <w:rPr>
          <w:rFonts w:ascii="Times New Roman" w:hAnsi="Times New Roman" w:eastAsia="Times New Roman" w:cs="Times New Roman"/>
          <w:sz w:val="17"/>
          <w:szCs w:val="17"/>
        </w:rPr>
        <w:t>min</w:t>
      </w:r>
      <w:r>
        <w:rPr>
          <w:rFonts w:ascii="Times New Roman" w:hAnsi="Times New Roman" w:eastAsia="Times New Roman" w:cs="Times New Roman"/>
          <w:spacing w:val="10"/>
          <w:sz w:val="17"/>
          <w:szCs w:val="17"/>
        </w:rPr>
        <w:t xml:space="preserve"> </w:t>
      </w:r>
      <w:r>
        <w:rPr>
          <w:rFonts w:ascii="宋体" w:hAnsi="宋体" w:eastAsia="宋体" w:cs="宋体"/>
          <w:spacing w:val="10"/>
          <w:sz w:val="17"/>
          <w:szCs w:val="17"/>
        </w:rPr>
        <w:t>的速度匀速摇</w:t>
      </w:r>
      <w:r>
        <w:rPr>
          <w:rFonts w:ascii="宋体" w:hAnsi="宋体" w:eastAsia="宋体" w:cs="宋体"/>
          <w:spacing w:val="2"/>
          <w:sz w:val="17"/>
          <w:szCs w:val="17"/>
        </w:rPr>
        <w:t xml:space="preserve"> </w:t>
      </w:r>
      <w:r>
        <w:rPr>
          <w:rFonts w:ascii="宋体" w:hAnsi="宋体" w:eastAsia="宋体" w:cs="宋体"/>
          <w:spacing w:val="-3"/>
          <w:sz w:val="17"/>
          <w:szCs w:val="17"/>
        </w:rPr>
        <w:t>动手柄，指针稳定后读数。</w:t>
      </w:r>
    </w:p>
    <w:p w14:paraId="0788A2E2">
      <w:pPr>
        <w:spacing w:before="95" w:line="222" w:lineRule="auto"/>
        <w:ind w:left="1707"/>
        <w:rPr>
          <w:rFonts w:ascii="黑体" w:hAnsi="黑体" w:eastAsia="黑体" w:cs="黑体"/>
          <w:sz w:val="20"/>
          <w:szCs w:val="20"/>
        </w:rPr>
      </w:pPr>
      <w:r>
        <w:rPr>
          <w:rFonts w:ascii="黑体" w:hAnsi="黑体" w:eastAsia="黑体" w:cs="黑体"/>
          <w:b/>
          <w:bCs/>
          <w:spacing w:val="-5"/>
          <w:sz w:val="20"/>
          <w:szCs w:val="20"/>
        </w:rPr>
        <w:t>注意事项</w:t>
      </w:r>
    </w:p>
    <w:p w14:paraId="74F61D9A">
      <w:pPr>
        <w:spacing w:before="42" w:line="302" w:lineRule="auto"/>
        <w:ind w:left="15" w:right="24" w:firstLine="349"/>
        <w:rPr>
          <w:rFonts w:ascii="宋体" w:hAnsi="宋体" w:eastAsia="宋体" w:cs="宋体"/>
          <w:sz w:val="17"/>
          <w:szCs w:val="17"/>
        </w:rPr>
      </w:pPr>
      <w:r>
        <w:rPr>
          <w:rFonts w:ascii="Times New Roman" w:hAnsi="Times New Roman" w:eastAsia="Times New Roman" w:cs="Times New Roman"/>
          <w:spacing w:val="6"/>
          <w:sz w:val="17"/>
          <w:szCs w:val="17"/>
        </w:rPr>
        <w:t xml:space="preserve">1. </w:t>
      </w:r>
      <w:r>
        <w:rPr>
          <w:rFonts w:ascii="宋体" w:hAnsi="宋体" w:eastAsia="宋体" w:cs="宋体"/>
          <w:spacing w:val="6"/>
          <w:sz w:val="17"/>
          <w:szCs w:val="17"/>
        </w:rPr>
        <w:t>信号机变压器一次侧为交流220</w:t>
      </w:r>
      <w:r>
        <w:rPr>
          <w:rFonts w:ascii="Times New Roman" w:hAnsi="Times New Roman" w:eastAsia="Times New Roman" w:cs="Times New Roman"/>
          <w:spacing w:val="6"/>
          <w:sz w:val="17"/>
          <w:szCs w:val="17"/>
        </w:rPr>
        <w:t>V</w:t>
      </w:r>
      <w:r>
        <w:rPr>
          <w:rFonts w:ascii="宋体" w:hAnsi="宋体" w:eastAsia="宋体" w:cs="宋体"/>
          <w:spacing w:val="6"/>
          <w:sz w:val="17"/>
          <w:szCs w:val="17"/>
        </w:rPr>
        <w:t>高压电，测试</w:t>
      </w:r>
      <w:r>
        <w:rPr>
          <w:rFonts w:ascii="宋体" w:hAnsi="宋体" w:eastAsia="宋体" w:cs="宋体"/>
          <w:spacing w:val="17"/>
          <w:sz w:val="17"/>
          <w:szCs w:val="17"/>
        </w:rPr>
        <w:t xml:space="preserve"> </w:t>
      </w:r>
      <w:r>
        <w:rPr>
          <w:rFonts w:ascii="宋体" w:hAnsi="宋体" w:eastAsia="宋体" w:cs="宋体"/>
          <w:spacing w:val="-3"/>
          <w:sz w:val="17"/>
          <w:szCs w:val="17"/>
        </w:rPr>
        <w:t>时注意人身安全；</w:t>
      </w:r>
    </w:p>
    <w:p w14:paraId="4C477768">
      <w:pPr>
        <w:spacing w:before="23" w:line="219" w:lineRule="auto"/>
        <w:ind w:left="365"/>
        <w:rPr>
          <w:rFonts w:ascii="宋体" w:hAnsi="宋体" w:eastAsia="宋体" w:cs="宋体"/>
          <w:sz w:val="17"/>
          <w:szCs w:val="17"/>
        </w:rPr>
      </w:pPr>
      <w:r>
        <w:rPr>
          <w:rFonts w:ascii="宋体" w:hAnsi="宋体" w:eastAsia="宋体" w:cs="宋体"/>
          <w:spacing w:val="-2"/>
          <w:sz w:val="17"/>
          <w:szCs w:val="17"/>
        </w:rPr>
        <w:t>2.信号机灯光调整；</w:t>
      </w:r>
    </w:p>
    <w:p w14:paraId="2442CBA1">
      <w:pPr>
        <w:spacing w:before="90" w:line="306" w:lineRule="auto"/>
        <w:ind w:left="15" w:right="23" w:firstLine="349"/>
        <w:rPr>
          <w:rFonts w:ascii="宋体" w:hAnsi="宋体" w:eastAsia="宋体" w:cs="宋体"/>
          <w:sz w:val="17"/>
          <w:szCs w:val="17"/>
        </w:rPr>
      </w:pPr>
      <w:r>
        <w:rPr>
          <w:rFonts w:ascii="宋体" w:hAnsi="宋体" w:eastAsia="宋体" w:cs="宋体"/>
          <w:spacing w:val="1"/>
          <w:sz w:val="17"/>
          <w:szCs w:val="17"/>
        </w:rPr>
        <w:t>两人配合完成。一名同学站在信号机最小规定显示</w:t>
      </w:r>
      <w:r>
        <w:rPr>
          <w:rFonts w:ascii="宋体" w:hAnsi="宋体" w:eastAsia="宋体" w:cs="宋体"/>
          <w:spacing w:val="14"/>
          <w:sz w:val="17"/>
          <w:szCs w:val="17"/>
        </w:rPr>
        <w:t xml:space="preserve"> </w:t>
      </w:r>
      <w:r>
        <w:rPr>
          <w:rFonts w:ascii="宋体" w:hAnsi="宋体" w:eastAsia="宋体" w:cs="宋体"/>
          <w:spacing w:val="1"/>
          <w:sz w:val="17"/>
          <w:szCs w:val="17"/>
        </w:rPr>
        <w:t>距离处，另一名同学调整灯座上下、左右、前后位置，</w:t>
      </w:r>
      <w:r>
        <w:rPr>
          <w:rFonts w:ascii="宋体" w:hAnsi="宋体" w:eastAsia="宋体" w:cs="宋体"/>
          <w:sz w:val="17"/>
          <w:szCs w:val="17"/>
        </w:rPr>
        <w:t xml:space="preserve"> </w:t>
      </w:r>
      <w:r>
        <w:rPr>
          <w:rFonts w:ascii="宋体" w:hAnsi="宋体" w:eastAsia="宋体" w:cs="宋体"/>
          <w:spacing w:val="-2"/>
          <w:sz w:val="17"/>
          <w:szCs w:val="17"/>
        </w:rPr>
        <w:t>使得灯光显示达到规定显示距离；</w:t>
      </w:r>
    </w:p>
    <w:p w14:paraId="015E0753">
      <w:pPr>
        <w:spacing w:before="45" w:line="282" w:lineRule="auto"/>
        <w:ind w:right="586" w:firstLine="365"/>
        <w:rPr>
          <w:rFonts w:ascii="宋体" w:hAnsi="宋体" w:eastAsia="宋体" w:cs="宋体"/>
          <w:sz w:val="17"/>
          <w:szCs w:val="17"/>
        </w:rPr>
      </w:pPr>
      <w:r>
        <w:rPr>
          <w:rFonts w:ascii="宋体" w:hAnsi="宋体" w:eastAsia="宋体" w:cs="宋体"/>
          <w:spacing w:val="-1"/>
          <w:sz w:val="17"/>
          <w:szCs w:val="17"/>
        </w:rPr>
        <w:t>3.灯光显示距离调整好后注意灯座的固定。</w:t>
      </w:r>
      <w:r>
        <w:rPr>
          <w:rFonts w:ascii="宋体" w:hAnsi="宋体" w:eastAsia="宋体" w:cs="宋体"/>
          <w:spacing w:val="3"/>
          <w:sz w:val="17"/>
          <w:szCs w:val="17"/>
        </w:rPr>
        <w:t xml:space="preserve"> </w:t>
      </w:r>
      <w:r>
        <w:rPr>
          <w:rFonts w:ascii="宋体" w:hAnsi="宋体" w:eastAsia="宋体" w:cs="宋体"/>
          <w:spacing w:val="6"/>
          <w:sz w:val="17"/>
          <w:szCs w:val="17"/>
        </w:rPr>
        <w:t>【测试要求】</w:t>
      </w:r>
    </w:p>
    <w:p w14:paraId="18607999">
      <w:pPr>
        <w:spacing w:before="40" w:line="219" w:lineRule="auto"/>
        <w:ind w:left="365"/>
        <w:rPr>
          <w:rFonts w:ascii="宋体" w:hAnsi="宋体" w:eastAsia="宋体" w:cs="宋体"/>
          <w:sz w:val="17"/>
          <w:szCs w:val="17"/>
        </w:rPr>
      </w:pPr>
      <w:r>
        <w:rPr>
          <w:rFonts w:ascii="宋体" w:hAnsi="宋体" w:eastAsia="宋体" w:cs="宋体"/>
          <w:spacing w:val="-2"/>
          <w:sz w:val="17"/>
          <w:szCs w:val="17"/>
        </w:rPr>
        <w:t>1.测试前一定要检查设备外观完好性；</w:t>
      </w:r>
    </w:p>
    <w:p w14:paraId="1D5488C2">
      <w:pPr>
        <w:spacing w:before="88" w:line="316" w:lineRule="auto"/>
        <w:ind w:left="15" w:firstLine="349"/>
        <w:rPr>
          <w:rFonts w:ascii="宋体" w:hAnsi="宋体" w:eastAsia="宋体" w:cs="宋体"/>
          <w:sz w:val="17"/>
          <w:szCs w:val="17"/>
        </w:rPr>
      </w:pPr>
      <w:r>
        <w:rPr>
          <w:rFonts w:ascii="宋体" w:hAnsi="宋体" w:eastAsia="宋体" w:cs="宋体"/>
          <w:spacing w:val="19"/>
          <w:sz w:val="17"/>
          <w:szCs w:val="17"/>
        </w:rPr>
        <w:t>2.熟悉所测线路所用电器元件作用及电路工作</w:t>
      </w:r>
      <w:r>
        <w:rPr>
          <w:rFonts w:ascii="宋体" w:hAnsi="宋体" w:eastAsia="宋体" w:cs="宋体"/>
          <w:spacing w:val="1"/>
          <w:sz w:val="17"/>
          <w:szCs w:val="17"/>
        </w:rPr>
        <w:t xml:space="preserve"> </w:t>
      </w:r>
      <w:r>
        <w:rPr>
          <w:rFonts w:ascii="宋体" w:hAnsi="宋体" w:eastAsia="宋体" w:cs="宋体"/>
          <w:spacing w:val="-2"/>
          <w:sz w:val="17"/>
          <w:szCs w:val="17"/>
        </w:rPr>
        <w:t>原理；</w:t>
      </w:r>
    </w:p>
    <w:p w14:paraId="60E7E11B">
      <w:pPr>
        <w:spacing w:before="9" w:line="298" w:lineRule="auto"/>
        <w:ind w:right="416" w:firstLine="365"/>
        <w:rPr>
          <w:rFonts w:ascii="宋体" w:hAnsi="宋体" w:eastAsia="宋体" w:cs="宋体"/>
          <w:sz w:val="17"/>
          <w:szCs w:val="17"/>
        </w:rPr>
      </w:pPr>
      <w:r>
        <w:rPr>
          <w:rFonts w:ascii="宋体" w:hAnsi="宋体" w:eastAsia="宋体" w:cs="宋体"/>
          <w:spacing w:val="-1"/>
          <w:sz w:val="17"/>
          <w:szCs w:val="17"/>
        </w:rPr>
        <w:t>3.注意兆欧表使用方法以及万用表量程选择。</w:t>
      </w:r>
      <w:r>
        <w:rPr>
          <w:rFonts w:ascii="宋体" w:hAnsi="宋体" w:eastAsia="宋体" w:cs="宋体"/>
          <w:spacing w:val="5"/>
          <w:sz w:val="17"/>
          <w:szCs w:val="17"/>
        </w:rPr>
        <w:t xml:space="preserve"> </w:t>
      </w:r>
      <w:r>
        <w:rPr>
          <w:rFonts w:ascii="宋体" w:hAnsi="宋体" w:eastAsia="宋体" w:cs="宋体"/>
          <w:spacing w:val="6"/>
          <w:sz w:val="17"/>
          <w:szCs w:val="17"/>
        </w:rPr>
        <w:t>【测试赋分】</w:t>
      </w:r>
    </w:p>
    <w:p w14:paraId="34DC4D08">
      <w:pPr>
        <w:spacing w:line="220" w:lineRule="auto"/>
        <w:ind w:left="367"/>
        <w:rPr>
          <w:rFonts w:ascii="宋体" w:hAnsi="宋体" w:eastAsia="宋体" w:cs="宋体"/>
          <w:sz w:val="20"/>
          <w:szCs w:val="20"/>
        </w:rPr>
      </w:pPr>
      <w:r>
        <w:rPr>
          <w:rFonts w:ascii="宋体" w:hAnsi="宋体" w:eastAsia="宋体" w:cs="宋体"/>
          <w:b/>
          <w:bCs/>
          <w:spacing w:val="-1"/>
          <w:sz w:val="17"/>
          <w:szCs w:val="17"/>
        </w:rPr>
        <w:t>仪表仪器使用</w:t>
      </w:r>
      <w:r>
        <w:rPr>
          <w:rFonts w:ascii="宋体" w:hAnsi="宋体" w:eastAsia="宋体" w:cs="宋体"/>
          <w:spacing w:val="-1"/>
          <w:sz w:val="17"/>
          <w:szCs w:val="17"/>
        </w:rPr>
        <w:t xml:space="preserve">             </w:t>
      </w:r>
      <w:r>
        <w:rPr>
          <w:rFonts w:ascii="宋体" w:hAnsi="宋体" w:eastAsia="宋体" w:cs="宋体"/>
          <w:spacing w:val="-2"/>
          <w:sz w:val="17"/>
          <w:szCs w:val="17"/>
        </w:rPr>
        <w:t xml:space="preserve">            </w:t>
      </w:r>
      <w:r>
        <w:rPr>
          <w:rFonts w:ascii="宋体" w:hAnsi="宋体" w:eastAsia="宋体" w:cs="宋体"/>
          <w:b/>
          <w:bCs/>
          <w:spacing w:val="-2"/>
          <w:sz w:val="20"/>
          <w:szCs w:val="20"/>
        </w:rPr>
        <w:t>30分</w:t>
      </w:r>
    </w:p>
    <w:p w14:paraId="40D4F621">
      <w:pPr>
        <w:spacing w:before="52" w:line="220" w:lineRule="auto"/>
        <w:ind w:left="367"/>
        <w:rPr>
          <w:rFonts w:ascii="宋体" w:hAnsi="宋体" w:eastAsia="宋体" w:cs="宋体"/>
          <w:sz w:val="20"/>
          <w:szCs w:val="20"/>
        </w:rPr>
      </w:pPr>
      <w:r>
        <w:rPr>
          <w:rFonts w:ascii="宋体" w:hAnsi="宋体" w:eastAsia="宋体" w:cs="宋体"/>
          <w:b/>
          <w:bCs/>
          <w:spacing w:val="-1"/>
          <w:sz w:val="17"/>
          <w:szCs w:val="17"/>
        </w:rPr>
        <w:t>设备安全</w:t>
      </w:r>
      <w:r>
        <w:rPr>
          <w:rFonts w:ascii="宋体" w:hAnsi="宋体" w:eastAsia="宋体" w:cs="宋体"/>
          <w:spacing w:val="-1"/>
          <w:sz w:val="17"/>
          <w:szCs w:val="17"/>
        </w:rPr>
        <w:t xml:space="preserve">                       </w:t>
      </w:r>
      <w:r>
        <w:rPr>
          <w:rFonts w:ascii="宋体" w:hAnsi="宋体" w:eastAsia="宋体" w:cs="宋体"/>
          <w:spacing w:val="-2"/>
          <w:sz w:val="17"/>
          <w:szCs w:val="17"/>
        </w:rPr>
        <w:t xml:space="preserve">      </w:t>
      </w:r>
      <w:r>
        <w:rPr>
          <w:rFonts w:ascii="宋体" w:hAnsi="宋体" w:eastAsia="宋体" w:cs="宋体"/>
          <w:b/>
          <w:bCs/>
          <w:spacing w:val="-2"/>
          <w:sz w:val="20"/>
          <w:szCs w:val="20"/>
        </w:rPr>
        <w:t>50分</w:t>
      </w:r>
    </w:p>
    <w:p w14:paraId="05FBED0C">
      <w:pPr>
        <w:spacing w:before="70" w:line="220" w:lineRule="auto"/>
        <w:ind w:left="367"/>
        <w:rPr>
          <w:rFonts w:ascii="宋体" w:hAnsi="宋体" w:eastAsia="宋体" w:cs="宋体"/>
          <w:sz w:val="17"/>
          <w:szCs w:val="17"/>
        </w:rPr>
      </w:pPr>
      <w:r>
        <w:rPr>
          <w:rFonts w:ascii="宋体" w:hAnsi="宋体" w:eastAsia="宋体" w:cs="宋体"/>
          <w:b/>
          <w:bCs/>
          <w:spacing w:val="2"/>
          <w:sz w:val="17"/>
          <w:szCs w:val="17"/>
        </w:rPr>
        <w:t>电气参数测试</w:t>
      </w:r>
      <w:r>
        <w:rPr>
          <w:rFonts w:ascii="宋体" w:hAnsi="宋体" w:eastAsia="宋体" w:cs="宋体"/>
          <w:sz w:val="17"/>
          <w:szCs w:val="17"/>
        </w:rPr>
        <w:t xml:space="preserve">                         </w:t>
      </w:r>
      <w:r>
        <w:rPr>
          <w:rFonts w:ascii="宋体" w:hAnsi="宋体" w:eastAsia="宋体" w:cs="宋体"/>
          <w:b/>
          <w:bCs/>
          <w:spacing w:val="2"/>
          <w:sz w:val="17"/>
          <w:szCs w:val="17"/>
        </w:rPr>
        <w:t>65分</w:t>
      </w:r>
    </w:p>
    <w:p w14:paraId="06564AB8">
      <w:pPr>
        <w:spacing w:line="220" w:lineRule="auto"/>
        <w:rPr>
          <w:rFonts w:ascii="宋体" w:hAnsi="宋体" w:eastAsia="宋体" w:cs="宋体"/>
          <w:sz w:val="17"/>
          <w:szCs w:val="17"/>
        </w:rPr>
        <w:sectPr>
          <w:type w:val="continuous"/>
          <w:pgSz w:w="10660" w:h="15080"/>
          <w:pgMar w:top="400" w:right="898" w:bottom="898" w:left="1004" w:header="0" w:footer="745" w:gutter="0"/>
          <w:cols w:equalWidth="0" w:num="2">
            <w:col w:w="4490" w:space="100"/>
            <w:col w:w="4167"/>
          </w:cols>
        </w:sectPr>
      </w:pPr>
    </w:p>
    <w:p w14:paraId="346C2CDB">
      <w:pPr>
        <w:spacing w:before="79"/>
      </w:pPr>
    </w:p>
    <w:p w14:paraId="35098BD1">
      <w:pPr>
        <w:spacing w:before="78"/>
      </w:pPr>
    </w:p>
    <w:p w14:paraId="342FF93D">
      <w:pPr>
        <w:spacing w:before="78"/>
      </w:pPr>
    </w:p>
    <w:p w14:paraId="4ADA7A4D">
      <w:pPr>
        <w:sectPr>
          <w:footerReference r:id="rId160" w:type="default"/>
          <w:pgSz w:w="10660" w:h="15080"/>
          <w:pgMar w:top="400" w:right="1056" w:bottom="898" w:left="819" w:header="0" w:footer="745" w:gutter="0"/>
          <w:cols w:equalWidth="0" w:num="1">
            <w:col w:w="8784"/>
          </w:cols>
        </w:sectPr>
      </w:pPr>
    </w:p>
    <w:p w14:paraId="5E2A435D">
      <w:pPr>
        <w:spacing w:before="53" w:line="292" w:lineRule="auto"/>
        <w:ind w:left="402" w:right="2759"/>
        <w:rPr>
          <w:rFonts w:ascii="宋体" w:hAnsi="宋体" w:eastAsia="宋体" w:cs="宋体"/>
          <w:sz w:val="17"/>
          <w:szCs w:val="17"/>
        </w:rPr>
      </w:pPr>
      <w:r>
        <w:pict>
          <v:shape id="_x0000_s1054" o:spid="_x0000_s1054" o:spt="202" type="#_x0000_t202" style="position:absolute;left:0pt;margin-left:176pt;margin-top:0.85pt;height:42.35pt;width:21.95pt;z-index:251706368;mso-width-relative:page;mso-height-relative:page;" filled="f" stroked="f" coordsize="21600,21600">
            <v:path/>
            <v:fill on="f" focussize="0,0"/>
            <v:stroke on="f"/>
            <v:imagedata o:title=""/>
            <o:lock v:ext="edit" aspectratio="f"/>
            <v:textbox inset="0mm,0mm,0mm,0mm">
              <w:txbxContent>
                <w:p w14:paraId="56799FED">
                  <w:pPr>
                    <w:spacing w:before="21" w:line="277" w:lineRule="auto"/>
                    <w:ind w:left="20" w:right="20"/>
                    <w:jc w:val="both"/>
                    <w:rPr>
                      <w:rFonts w:ascii="宋体" w:hAnsi="宋体" w:eastAsia="宋体" w:cs="宋体"/>
                      <w:sz w:val="19"/>
                      <w:szCs w:val="19"/>
                    </w:rPr>
                  </w:pPr>
                  <w:r>
                    <w:rPr>
                      <w:rFonts w:ascii="宋体" w:hAnsi="宋体" w:eastAsia="宋体" w:cs="宋体"/>
                      <w:spacing w:val="6"/>
                      <w:sz w:val="19"/>
                      <w:szCs w:val="19"/>
                    </w:rPr>
                    <w:t>65分</w:t>
                  </w:r>
                  <w:r>
                    <w:rPr>
                      <w:rFonts w:ascii="宋体" w:hAnsi="宋体" w:eastAsia="宋体" w:cs="宋体"/>
                      <w:sz w:val="19"/>
                      <w:szCs w:val="19"/>
                    </w:rPr>
                    <w:t xml:space="preserve"> </w:t>
                  </w:r>
                  <w:r>
                    <w:rPr>
                      <w:rFonts w:ascii="宋体" w:hAnsi="宋体" w:eastAsia="宋体" w:cs="宋体"/>
                      <w:spacing w:val="9"/>
                      <w:sz w:val="17"/>
                      <w:szCs w:val="17"/>
                    </w:rPr>
                    <w:t>15分</w:t>
                  </w:r>
                  <w:r>
                    <w:rPr>
                      <w:rFonts w:ascii="宋体" w:hAnsi="宋体" w:eastAsia="宋体" w:cs="宋体"/>
                      <w:sz w:val="17"/>
                      <w:szCs w:val="17"/>
                    </w:rPr>
                    <w:t xml:space="preserve"> </w:t>
                  </w:r>
                  <w:r>
                    <w:rPr>
                      <w:rFonts w:ascii="宋体" w:hAnsi="宋体" w:eastAsia="宋体" w:cs="宋体"/>
                      <w:spacing w:val="6"/>
                      <w:sz w:val="19"/>
                      <w:szCs w:val="19"/>
                    </w:rPr>
                    <w:t>25分</w:t>
                  </w:r>
                </w:p>
              </w:txbxContent>
            </v:textbox>
          </v:shape>
        </w:pict>
      </w:r>
      <w:r>
        <w:rPr>
          <w:rFonts w:ascii="宋体" w:hAnsi="宋体" w:eastAsia="宋体" w:cs="宋体"/>
          <w:b/>
          <w:bCs/>
          <w:spacing w:val="-3"/>
          <w:sz w:val="17"/>
          <w:szCs w:val="17"/>
        </w:rPr>
        <w:t>灯光调整方法步骤</w:t>
      </w:r>
      <w:r>
        <w:rPr>
          <w:rFonts w:ascii="宋体" w:hAnsi="宋体" w:eastAsia="宋体" w:cs="宋体"/>
          <w:spacing w:val="1"/>
          <w:sz w:val="17"/>
          <w:szCs w:val="17"/>
        </w:rPr>
        <w:t xml:space="preserve"> </w:t>
      </w:r>
      <w:r>
        <w:rPr>
          <w:rFonts w:ascii="宋体" w:hAnsi="宋体" w:eastAsia="宋体" w:cs="宋体"/>
          <w:b/>
          <w:bCs/>
          <w:spacing w:val="-5"/>
          <w:sz w:val="17"/>
          <w:szCs w:val="17"/>
        </w:rPr>
        <w:t>时间无超时</w:t>
      </w:r>
    </w:p>
    <w:p w14:paraId="49753184">
      <w:pPr>
        <w:spacing w:before="32" w:line="219" w:lineRule="auto"/>
        <w:ind w:left="402"/>
        <w:rPr>
          <w:rFonts w:ascii="宋体" w:hAnsi="宋体" w:eastAsia="宋体" w:cs="宋体"/>
          <w:sz w:val="17"/>
          <w:szCs w:val="17"/>
        </w:rPr>
      </w:pPr>
      <w:r>
        <w:rPr>
          <w:rFonts w:ascii="宋体" w:hAnsi="宋体" w:eastAsia="宋体" w:cs="宋体"/>
          <w:b/>
          <w:bCs/>
          <w:spacing w:val="-4"/>
          <w:sz w:val="17"/>
          <w:szCs w:val="17"/>
        </w:rPr>
        <w:t>职业素养</w:t>
      </w:r>
    </w:p>
    <w:p w14:paraId="6DAAB39B">
      <w:pPr>
        <w:pStyle w:val="2"/>
        <w:spacing w:line="325" w:lineRule="auto"/>
      </w:pPr>
    </w:p>
    <w:p w14:paraId="62DFCFD8">
      <w:pPr>
        <w:spacing w:before="62" w:line="219" w:lineRule="auto"/>
        <w:ind w:left="1242"/>
        <w:rPr>
          <w:rFonts w:ascii="宋体" w:hAnsi="宋体" w:eastAsia="宋体" w:cs="宋体"/>
          <w:sz w:val="19"/>
          <w:szCs w:val="19"/>
        </w:rPr>
      </w:pPr>
      <w:r>
        <w:rPr>
          <w:rFonts w:ascii="宋体" w:hAnsi="宋体" w:eastAsia="宋体" w:cs="宋体"/>
          <w:b/>
          <w:bCs/>
          <w:spacing w:val="6"/>
          <w:sz w:val="19"/>
          <w:szCs w:val="19"/>
        </w:rPr>
        <w:t>项目六</w:t>
      </w:r>
      <w:r>
        <w:rPr>
          <w:rFonts w:ascii="宋体" w:hAnsi="宋体" w:eastAsia="宋体" w:cs="宋体"/>
          <w:spacing w:val="6"/>
          <w:sz w:val="19"/>
          <w:szCs w:val="19"/>
        </w:rPr>
        <w:t xml:space="preserve">  </w:t>
      </w:r>
      <w:r>
        <w:rPr>
          <w:rFonts w:ascii="宋体" w:hAnsi="宋体" w:eastAsia="宋体" w:cs="宋体"/>
          <w:b/>
          <w:bCs/>
          <w:spacing w:val="6"/>
          <w:sz w:val="19"/>
          <w:szCs w:val="19"/>
        </w:rPr>
        <w:t>道电路测试</w:t>
      </w:r>
    </w:p>
    <w:p w14:paraId="0C123ECB">
      <w:pPr>
        <w:spacing w:before="217" w:line="221" w:lineRule="auto"/>
        <w:ind w:left="25"/>
        <w:rPr>
          <w:rFonts w:ascii="宋体" w:hAnsi="宋体" w:eastAsia="宋体" w:cs="宋体"/>
          <w:sz w:val="17"/>
          <w:szCs w:val="17"/>
        </w:rPr>
      </w:pPr>
      <w:r>
        <w:rPr>
          <w:rFonts w:ascii="宋体" w:hAnsi="宋体" w:eastAsia="宋体" w:cs="宋体"/>
          <w:spacing w:val="8"/>
          <w:sz w:val="17"/>
          <w:szCs w:val="17"/>
        </w:rPr>
        <w:t>【测试用具】</w:t>
      </w:r>
    </w:p>
    <w:p w14:paraId="02C9DECD">
      <w:pPr>
        <w:spacing w:before="96" w:line="219" w:lineRule="auto"/>
        <w:ind w:left="400"/>
        <w:rPr>
          <w:rFonts w:ascii="宋体" w:hAnsi="宋体" w:eastAsia="宋体" w:cs="宋体"/>
          <w:sz w:val="17"/>
          <w:szCs w:val="17"/>
        </w:rPr>
      </w:pPr>
      <w:r>
        <w:rPr>
          <w:rFonts w:ascii="宋体" w:hAnsi="宋体" w:eastAsia="宋体" w:cs="宋体"/>
          <w:spacing w:val="-2"/>
          <w:sz w:val="17"/>
          <w:szCs w:val="17"/>
        </w:rPr>
        <w:t>1.万用表、扳手、套筒、螺丝刀、铁锤各一套；</w:t>
      </w:r>
    </w:p>
    <w:p w14:paraId="64A30599">
      <w:pPr>
        <w:spacing w:before="87" w:line="302" w:lineRule="auto"/>
        <w:ind w:left="49" w:right="329" w:firstLine="350"/>
        <w:rPr>
          <w:rFonts w:ascii="宋体" w:hAnsi="宋体" w:eastAsia="宋体" w:cs="宋体"/>
          <w:sz w:val="17"/>
          <w:szCs w:val="17"/>
        </w:rPr>
      </w:pPr>
      <w:r>
        <w:rPr>
          <w:rFonts w:ascii="宋体" w:hAnsi="宋体" w:eastAsia="宋体" w:cs="宋体"/>
          <w:spacing w:val="2"/>
          <w:sz w:val="17"/>
          <w:szCs w:val="17"/>
        </w:rPr>
        <w:t>2.电烙铁、烙铁架、焊锡丝、松香、标准分路</w:t>
      </w:r>
      <w:r>
        <w:rPr>
          <w:rFonts w:ascii="宋体" w:hAnsi="宋体" w:eastAsia="宋体" w:cs="宋体"/>
          <w:spacing w:val="1"/>
          <w:sz w:val="17"/>
          <w:szCs w:val="17"/>
        </w:rPr>
        <w:t>电阻</w:t>
      </w:r>
      <w:r>
        <w:rPr>
          <w:rFonts w:ascii="宋体" w:hAnsi="宋体" w:eastAsia="宋体" w:cs="宋体"/>
          <w:sz w:val="17"/>
          <w:szCs w:val="17"/>
        </w:rPr>
        <w:t xml:space="preserve"> </w:t>
      </w:r>
      <w:r>
        <w:rPr>
          <w:rFonts w:ascii="宋体" w:hAnsi="宋体" w:eastAsia="宋体" w:cs="宋体"/>
          <w:spacing w:val="11"/>
          <w:sz w:val="17"/>
          <w:szCs w:val="17"/>
        </w:rPr>
        <w:t>线(0.06欧姆)、短路线。</w:t>
      </w:r>
    </w:p>
    <w:p w14:paraId="3D9C7689">
      <w:pPr>
        <w:spacing w:before="15" w:line="219" w:lineRule="auto"/>
        <w:ind w:left="25"/>
        <w:rPr>
          <w:rFonts w:ascii="宋体" w:hAnsi="宋体" w:eastAsia="宋体" w:cs="宋体"/>
          <w:sz w:val="17"/>
          <w:szCs w:val="17"/>
        </w:rPr>
      </w:pPr>
      <w:r>
        <w:rPr>
          <w:rFonts w:ascii="宋体" w:hAnsi="宋体" w:eastAsia="宋体" w:cs="宋体"/>
          <w:spacing w:val="8"/>
          <w:sz w:val="17"/>
          <w:szCs w:val="17"/>
        </w:rPr>
        <w:t>【测试内容】</w:t>
      </w:r>
    </w:p>
    <w:p w14:paraId="65705DB6">
      <w:pPr>
        <w:spacing w:before="91" w:line="310" w:lineRule="auto"/>
        <w:ind w:left="49" w:right="320" w:firstLine="350"/>
        <w:rPr>
          <w:rFonts w:ascii="宋体" w:hAnsi="宋体" w:eastAsia="宋体" w:cs="宋体"/>
          <w:sz w:val="17"/>
          <w:szCs w:val="17"/>
        </w:rPr>
      </w:pPr>
      <w:r>
        <w:rPr>
          <w:rFonts w:ascii="宋体" w:hAnsi="宋体" w:eastAsia="宋体" w:cs="宋体"/>
          <w:spacing w:val="1"/>
          <w:sz w:val="17"/>
          <w:szCs w:val="17"/>
        </w:rPr>
        <w:t>1.交流连续式轨道电路部件。根据实际的交流连续</w:t>
      </w:r>
      <w:r>
        <w:rPr>
          <w:rFonts w:ascii="宋体" w:hAnsi="宋体" w:eastAsia="宋体" w:cs="宋体"/>
          <w:spacing w:val="4"/>
          <w:sz w:val="17"/>
          <w:szCs w:val="17"/>
        </w:rPr>
        <w:t xml:space="preserve"> </w:t>
      </w:r>
      <w:r>
        <w:rPr>
          <w:rFonts w:ascii="宋体" w:hAnsi="宋体" w:eastAsia="宋体" w:cs="宋体"/>
          <w:spacing w:val="2"/>
          <w:sz w:val="17"/>
          <w:szCs w:val="17"/>
        </w:rPr>
        <w:t>式轨道电路设备，检查室内外各部件如钢轨、绝缘节、</w:t>
      </w:r>
      <w:r>
        <w:rPr>
          <w:rFonts w:ascii="宋体" w:hAnsi="宋体" w:eastAsia="宋体" w:cs="宋体"/>
          <w:spacing w:val="6"/>
          <w:sz w:val="17"/>
          <w:szCs w:val="17"/>
        </w:rPr>
        <w:t xml:space="preserve"> </w:t>
      </w:r>
      <w:r>
        <w:rPr>
          <w:rFonts w:ascii="宋体" w:hAnsi="宋体" w:eastAsia="宋体" w:cs="宋体"/>
          <w:spacing w:val="9"/>
          <w:sz w:val="17"/>
          <w:szCs w:val="17"/>
        </w:rPr>
        <w:t>轨端接续线、发送端、接收端(轨道继电器)等。各主</w:t>
      </w:r>
      <w:r>
        <w:rPr>
          <w:rFonts w:ascii="宋体" w:hAnsi="宋体" w:eastAsia="宋体" w:cs="宋体"/>
          <w:spacing w:val="12"/>
          <w:sz w:val="17"/>
          <w:szCs w:val="17"/>
        </w:rPr>
        <w:t xml:space="preserve"> </w:t>
      </w:r>
      <w:r>
        <w:rPr>
          <w:rFonts w:ascii="宋体" w:hAnsi="宋体" w:eastAsia="宋体" w:cs="宋体"/>
          <w:spacing w:val="2"/>
          <w:sz w:val="17"/>
          <w:szCs w:val="17"/>
        </w:rPr>
        <w:t>要部件作用为：钢轨传送电信息，绝缘节划分各轨道区</w:t>
      </w:r>
      <w:r>
        <w:rPr>
          <w:rFonts w:ascii="宋体" w:hAnsi="宋体" w:eastAsia="宋体" w:cs="宋体"/>
          <w:spacing w:val="15"/>
          <w:sz w:val="17"/>
          <w:szCs w:val="17"/>
        </w:rPr>
        <w:t xml:space="preserve"> </w:t>
      </w:r>
      <w:r>
        <w:rPr>
          <w:rFonts w:ascii="宋体" w:hAnsi="宋体" w:eastAsia="宋体" w:cs="宋体"/>
          <w:spacing w:val="2"/>
          <w:sz w:val="17"/>
          <w:szCs w:val="17"/>
        </w:rPr>
        <w:t>段，轨端接续线保持电信息延续，轨道继电器反映轨道</w:t>
      </w:r>
      <w:r>
        <w:rPr>
          <w:rFonts w:ascii="宋体" w:hAnsi="宋体" w:eastAsia="宋体" w:cs="宋体"/>
          <w:spacing w:val="9"/>
          <w:sz w:val="17"/>
          <w:szCs w:val="17"/>
        </w:rPr>
        <w:t xml:space="preserve"> </w:t>
      </w:r>
      <w:r>
        <w:rPr>
          <w:rFonts w:ascii="宋体" w:hAnsi="宋体" w:eastAsia="宋体" w:cs="宋体"/>
          <w:spacing w:val="-3"/>
          <w:sz w:val="17"/>
          <w:szCs w:val="17"/>
        </w:rPr>
        <w:t>的状况；</w:t>
      </w:r>
    </w:p>
    <w:p w14:paraId="1DC8873D">
      <w:pPr>
        <w:spacing w:before="25" w:line="306" w:lineRule="auto"/>
        <w:ind w:left="49" w:right="329" w:firstLine="350"/>
        <w:jc w:val="both"/>
        <w:rPr>
          <w:rFonts w:ascii="宋体" w:hAnsi="宋体" w:eastAsia="宋体" w:cs="宋体"/>
          <w:sz w:val="17"/>
          <w:szCs w:val="17"/>
        </w:rPr>
      </w:pPr>
      <w:r>
        <w:rPr>
          <w:rFonts w:ascii="宋体" w:hAnsi="宋体" w:eastAsia="宋体" w:cs="宋体"/>
          <w:spacing w:val="1"/>
          <w:sz w:val="17"/>
          <w:szCs w:val="17"/>
        </w:rPr>
        <w:t>2.交流连续式轨道电路的测试。根据实际的交流连</w:t>
      </w:r>
      <w:r>
        <w:rPr>
          <w:rFonts w:ascii="宋体" w:hAnsi="宋体" w:eastAsia="宋体" w:cs="宋体"/>
          <w:spacing w:val="2"/>
          <w:sz w:val="17"/>
          <w:szCs w:val="17"/>
        </w:rPr>
        <w:t xml:space="preserve"> 续式轨道电路设备，测量交流连续式轨道电路的电气特</w:t>
      </w:r>
      <w:r>
        <w:rPr>
          <w:rFonts w:ascii="宋体" w:hAnsi="宋体" w:eastAsia="宋体" w:cs="宋体"/>
          <w:spacing w:val="6"/>
          <w:sz w:val="17"/>
          <w:szCs w:val="17"/>
        </w:rPr>
        <w:t xml:space="preserve"> </w:t>
      </w:r>
      <w:r>
        <w:rPr>
          <w:rFonts w:ascii="宋体" w:hAnsi="宋体" w:eastAsia="宋体" w:cs="宋体"/>
          <w:spacing w:val="1"/>
          <w:sz w:val="17"/>
          <w:szCs w:val="17"/>
        </w:rPr>
        <w:t>性参数。</w:t>
      </w:r>
    </w:p>
    <w:p w14:paraId="322F9D11">
      <w:pPr>
        <w:spacing w:before="25" w:line="221" w:lineRule="auto"/>
        <w:ind w:left="25"/>
        <w:rPr>
          <w:rFonts w:ascii="宋体" w:hAnsi="宋体" w:eastAsia="宋体" w:cs="宋体"/>
          <w:sz w:val="17"/>
          <w:szCs w:val="17"/>
        </w:rPr>
      </w:pPr>
      <w:r>
        <w:rPr>
          <w:rFonts w:ascii="宋体" w:hAnsi="宋体" w:eastAsia="宋体" w:cs="宋体"/>
          <w:spacing w:val="8"/>
          <w:sz w:val="17"/>
          <w:szCs w:val="17"/>
        </w:rPr>
        <w:t>【测试方法】</w:t>
      </w:r>
    </w:p>
    <w:p w14:paraId="33A687EB">
      <w:pPr>
        <w:spacing w:before="86" w:line="312" w:lineRule="auto"/>
        <w:ind w:left="49" w:right="327" w:firstLine="350"/>
        <w:rPr>
          <w:rFonts w:ascii="宋体" w:hAnsi="宋体" w:eastAsia="宋体" w:cs="宋体"/>
          <w:sz w:val="17"/>
          <w:szCs w:val="17"/>
        </w:rPr>
      </w:pPr>
      <w:r>
        <w:rPr>
          <w:rFonts w:ascii="宋体" w:hAnsi="宋体" w:eastAsia="宋体" w:cs="宋体"/>
          <w:spacing w:val="2"/>
          <w:sz w:val="17"/>
          <w:szCs w:val="17"/>
        </w:rPr>
        <w:t>1.设备电气测试前必须进行外观检查。未经老师准</w:t>
      </w:r>
      <w:r>
        <w:rPr>
          <w:rFonts w:ascii="宋体" w:hAnsi="宋体" w:eastAsia="宋体" w:cs="宋体"/>
          <w:sz w:val="17"/>
          <w:szCs w:val="17"/>
        </w:rPr>
        <w:t xml:space="preserve"> </w:t>
      </w:r>
      <w:r>
        <w:rPr>
          <w:rFonts w:ascii="宋体" w:hAnsi="宋体" w:eastAsia="宋体" w:cs="宋体"/>
          <w:spacing w:val="-2"/>
          <w:sz w:val="17"/>
          <w:szCs w:val="17"/>
        </w:rPr>
        <w:t>许，不可随意乱动设备；</w:t>
      </w:r>
    </w:p>
    <w:p w14:paraId="56EE4DAF">
      <w:pPr>
        <w:spacing w:before="15" w:line="219" w:lineRule="auto"/>
        <w:ind w:left="400"/>
        <w:rPr>
          <w:rFonts w:ascii="宋体" w:hAnsi="宋体" w:eastAsia="宋体" w:cs="宋体"/>
          <w:sz w:val="17"/>
          <w:szCs w:val="17"/>
        </w:rPr>
      </w:pPr>
      <w:r>
        <w:rPr>
          <w:rFonts w:ascii="宋体" w:hAnsi="宋体" w:eastAsia="宋体" w:cs="宋体"/>
          <w:spacing w:val="-1"/>
          <w:sz w:val="17"/>
          <w:szCs w:val="17"/>
        </w:rPr>
        <w:t>2.交流连续式轨道电路的测试。</w:t>
      </w:r>
    </w:p>
    <w:p w14:paraId="20B21088">
      <w:pPr>
        <w:spacing w:before="79" w:line="219" w:lineRule="auto"/>
        <w:ind w:left="400"/>
        <w:rPr>
          <w:rFonts w:ascii="宋体" w:hAnsi="宋体" w:eastAsia="宋体" w:cs="宋体"/>
          <w:sz w:val="17"/>
          <w:szCs w:val="17"/>
        </w:rPr>
      </w:pPr>
      <w:r>
        <w:rPr>
          <w:rFonts w:ascii="宋体" w:hAnsi="宋体" w:eastAsia="宋体" w:cs="宋体"/>
          <w:spacing w:val="12"/>
          <w:sz w:val="17"/>
          <w:szCs w:val="17"/>
        </w:rPr>
        <w:t>(1)送电端的测试</w:t>
      </w:r>
    </w:p>
    <w:p w14:paraId="4D0D3122">
      <w:pPr>
        <w:spacing w:before="87" w:line="297" w:lineRule="auto"/>
        <w:ind w:left="49" w:right="317" w:firstLine="350"/>
        <w:rPr>
          <w:rFonts w:ascii="宋体" w:hAnsi="宋体" w:eastAsia="宋体" w:cs="宋体"/>
          <w:sz w:val="17"/>
          <w:szCs w:val="17"/>
        </w:rPr>
      </w:pPr>
      <w:r>
        <w:rPr>
          <w:rFonts w:ascii="宋体" w:hAnsi="宋体" w:eastAsia="宋体" w:cs="宋体"/>
          <w:spacing w:val="-2"/>
          <w:sz w:val="17"/>
          <w:szCs w:val="17"/>
        </w:rPr>
        <w:t>在送电端用交流电压表测量轨道变压器</w:t>
      </w:r>
      <w:r>
        <w:rPr>
          <w:rFonts w:ascii="宋体" w:hAnsi="宋体" w:eastAsia="宋体" w:cs="宋体"/>
          <w:spacing w:val="-30"/>
          <w:sz w:val="17"/>
          <w:szCs w:val="17"/>
        </w:rPr>
        <w:t xml:space="preserve"> </w:t>
      </w:r>
      <w:r>
        <w:rPr>
          <w:rFonts w:ascii="Times New Roman" w:hAnsi="Times New Roman" w:eastAsia="Times New Roman" w:cs="Times New Roman"/>
          <w:spacing w:val="-2"/>
          <w:sz w:val="17"/>
          <w:szCs w:val="17"/>
        </w:rPr>
        <w:t>BG1</w:t>
      </w:r>
      <w:r>
        <w:rPr>
          <w:rFonts w:ascii="宋体" w:hAnsi="宋体" w:eastAsia="宋体" w:cs="宋体"/>
          <w:spacing w:val="-2"/>
          <w:sz w:val="17"/>
          <w:szCs w:val="17"/>
        </w:rPr>
        <w:t xml:space="preserve">的 </w:t>
      </w:r>
      <w:r>
        <w:rPr>
          <w:rFonts w:ascii="Times New Roman" w:hAnsi="Times New Roman" w:eastAsia="Times New Roman" w:cs="Times New Roman"/>
          <w:spacing w:val="-2"/>
          <w:sz w:val="17"/>
          <w:szCs w:val="17"/>
        </w:rPr>
        <w:t>I</w:t>
      </w:r>
      <w:r>
        <w:rPr>
          <w:rFonts w:ascii="Times New Roman" w:hAnsi="Times New Roman" w:eastAsia="Times New Roman" w:cs="Times New Roman"/>
          <w:spacing w:val="25"/>
          <w:w w:val="101"/>
          <w:sz w:val="17"/>
          <w:szCs w:val="17"/>
        </w:rPr>
        <w:t xml:space="preserve"> </w:t>
      </w:r>
      <w:r>
        <w:rPr>
          <w:rFonts w:ascii="宋体" w:hAnsi="宋体" w:eastAsia="宋体" w:cs="宋体"/>
          <w:spacing w:val="-2"/>
          <w:sz w:val="17"/>
          <w:szCs w:val="17"/>
        </w:rPr>
        <w:t>次</w:t>
      </w:r>
      <w:r>
        <w:rPr>
          <w:rFonts w:ascii="宋体" w:hAnsi="宋体" w:eastAsia="宋体" w:cs="宋体"/>
          <w:sz w:val="17"/>
          <w:szCs w:val="17"/>
        </w:rPr>
        <w:t xml:space="preserve"> </w:t>
      </w:r>
      <w:r>
        <w:rPr>
          <w:rFonts w:ascii="宋体" w:hAnsi="宋体" w:eastAsia="宋体" w:cs="宋体"/>
          <w:spacing w:val="2"/>
          <w:sz w:val="17"/>
          <w:szCs w:val="17"/>
        </w:rPr>
        <w:t>电压和Ⅱ次电压，限流电阻电压和轨面电压；比较限流</w:t>
      </w:r>
      <w:r>
        <w:rPr>
          <w:rFonts w:ascii="宋体" w:hAnsi="宋体" w:eastAsia="宋体" w:cs="宋体"/>
          <w:spacing w:val="8"/>
          <w:sz w:val="17"/>
          <w:szCs w:val="17"/>
        </w:rPr>
        <w:t xml:space="preserve"> </w:t>
      </w:r>
      <w:r>
        <w:rPr>
          <w:rFonts w:ascii="宋体" w:hAnsi="宋体" w:eastAsia="宋体" w:cs="宋体"/>
          <w:spacing w:val="-2"/>
          <w:sz w:val="19"/>
          <w:szCs w:val="19"/>
        </w:rPr>
        <w:t>电阻电压、轨面电压之和与</w:t>
      </w:r>
      <w:r>
        <w:rPr>
          <w:rFonts w:ascii="Times New Roman" w:hAnsi="Times New Roman" w:eastAsia="Times New Roman" w:cs="Times New Roman"/>
          <w:spacing w:val="-2"/>
          <w:sz w:val="19"/>
          <w:szCs w:val="19"/>
        </w:rPr>
        <w:t>BG1Ⅱ</w:t>
      </w:r>
      <w:r>
        <w:rPr>
          <w:rFonts w:ascii="Times New Roman" w:hAnsi="Times New Roman" w:eastAsia="Times New Roman" w:cs="Times New Roman"/>
          <w:spacing w:val="53"/>
          <w:sz w:val="19"/>
          <w:szCs w:val="19"/>
        </w:rPr>
        <w:t xml:space="preserve"> </w:t>
      </w:r>
      <w:r>
        <w:rPr>
          <w:rFonts w:ascii="宋体" w:hAnsi="宋体" w:eastAsia="宋体" w:cs="宋体"/>
          <w:spacing w:val="-2"/>
          <w:sz w:val="19"/>
          <w:szCs w:val="19"/>
        </w:rPr>
        <w:t>次侧电压大小的</w:t>
      </w:r>
      <w:r>
        <w:rPr>
          <w:rFonts w:ascii="宋体" w:hAnsi="宋体" w:eastAsia="宋体" w:cs="宋体"/>
          <w:sz w:val="19"/>
          <w:szCs w:val="19"/>
        </w:rPr>
        <w:t xml:space="preserve"> </w:t>
      </w:r>
      <w:r>
        <w:rPr>
          <w:rFonts w:ascii="宋体" w:hAnsi="宋体" w:eastAsia="宋体" w:cs="宋体"/>
          <w:spacing w:val="10"/>
          <w:sz w:val="17"/>
          <w:szCs w:val="17"/>
        </w:rPr>
        <w:t>关系</w:t>
      </w:r>
      <w:r>
        <w:rPr>
          <w:rFonts w:ascii="宋体" w:hAnsi="宋体" w:eastAsia="宋体" w:cs="宋体"/>
          <w:spacing w:val="-46"/>
          <w:sz w:val="17"/>
          <w:szCs w:val="17"/>
        </w:rPr>
        <w:t xml:space="preserve"> </w:t>
      </w:r>
      <w:r>
        <w:rPr>
          <w:rFonts w:ascii="宋体" w:hAnsi="宋体" w:eastAsia="宋体" w:cs="宋体"/>
          <w:spacing w:val="10"/>
          <w:sz w:val="17"/>
          <w:szCs w:val="17"/>
        </w:rPr>
        <w:t>。</w:t>
      </w:r>
    </w:p>
    <w:p w14:paraId="4566BFA5">
      <w:pPr>
        <w:spacing w:before="45" w:line="219" w:lineRule="auto"/>
        <w:ind w:left="400"/>
        <w:rPr>
          <w:rFonts w:ascii="宋体" w:hAnsi="宋体" w:eastAsia="宋体" w:cs="宋体"/>
          <w:sz w:val="17"/>
          <w:szCs w:val="17"/>
        </w:rPr>
      </w:pPr>
      <w:r>
        <w:rPr>
          <w:rFonts w:ascii="宋体" w:hAnsi="宋体" w:eastAsia="宋体" w:cs="宋体"/>
          <w:spacing w:val="11"/>
          <w:sz w:val="17"/>
          <w:szCs w:val="17"/>
        </w:rPr>
        <w:t>(2)室外受电端的测试</w:t>
      </w:r>
    </w:p>
    <w:p w14:paraId="00F79701">
      <w:pPr>
        <w:spacing w:before="87" w:line="291" w:lineRule="auto"/>
        <w:ind w:left="49" w:right="335" w:firstLine="350"/>
        <w:rPr>
          <w:rFonts w:ascii="宋体" w:hAnsi="宋体" w:eastAsia="宋体" w:cs="宋体"/>
          <w:sz w:val="17"/>
          <w:szCs w:val="17"/>
        </w:rPr>
      </w:pPr>
      <w:r>
        <w:rPr>
          <w:rFonts w:ascii="宋体" w:hAnsi="宋体" w:eastAsia="宋体" w:cs="宋体"/>
          <w:spacing w:val="3"/>
          <w:sz w:val="17"/>
          <w:szCs w:val="17"/>
        </w:rPr>
        <w:t>在室外受电端，用交流电压表测试中继变压器</w:t>
      </w:r>
      <w:r>
        <w:rPr>
          <w:rFonts w:ascii="Times New Roman" w:hAnsi="Times New Roman" w:eastAsia="Times New Roman" w:cs="Times New Roman"/>
          <w:sz w:val="17"/>
          <w:szCs w:val="17"/>
        </w:rPr>
        <w:t>BZ</w:t>
      </w:r>
      <w:r>
        <w:rPr>
          <w:rFonts w:ascii="Times New Roman" w:hAnsi="Times New Roman" w:eastAsia="Times New Roman" w:cs="Times New Roman"/>
          <w:spacing w:val="3"/>
          <w:sz w:val="17"/>
          <w:szCs w:val="17"/>
        </w:rPr>
        <w:t>4</w:t>
      </w:r>
      <w:r>
        <w:rPr>
          <w:rFonts w:ascii="Times New Roman" w:hAnsi="Times New Roman" w:eastAsia="Times New Roman" w:cs="Times New Roman"/>
          <w:spacing w:val="12"/>
          <w:w w:val="101"/>
          <w:sz w:val="17"/>
          <w:szCs w:val="17"/>
        </w:rPr>
        <w:t xml:space="preserve"> </w:t>
      </w:r>
      <w:r>
        <w:rPr>
          <w:rFonts w:ascii="宋体" w:hAnsi="宋体" w:eastAsia="宋体" w:cs="宋体"/>
          <w:spacing w:val="-3"/>
          <w:sz w:val="17"/>
          <w:szCs w:val="17"/>
        </w:rPr>
        <w:t>的</w:t>
      </w:r>
      <w:r>
        <w:rPr>
          <w:rFonts w:ascii="宋体" w:hAnsi="宋体" w:eastAsia="宋体" w:cs="宋体"/>
          <w:spacing w:val="-16"/>
          <w:sz w:val="17"/>
          <w:szCs w:val="17"/>
        </w:rPr>
        <w:t xml:space="preserve"> </w:t>
      </w:r>
      <w:r>
        <w:rPr>
          <w:rFonts w:ascii="Times New Roman" w:hAnsi="Times New Roman" w:eastAsia="Times New Roman" w:cs="Times New Roman"/>
          <w:spacing w:val="-3"/>
          <w:sz w:val="17"/>
          <w:szCs w:val="17"/>
        </w:rPr>
        <w:t>I</w:t>
      </w:r>
      <w:r>
        <w:rPr>
          <w:rFonts w:ascii="Times New Roman" w:hAnsi="Times New Roman" w:eastAsia="Times New Roman" w:cs="Times New Roman"/>
          <w:spacing w:val="-24"/>
          <w:sz w:val="17"/>
          <w:szCs w:val="17"/>
        </w:rPr>
        <w:t xml:space="preserve"> </w:t>
      </w:r>
      <w:r>
        <w:rPr>
          <w:rFonts w:ascii="宋体" w:hAnsi="宋体" w:eastAsia="宋体" w:cs="宋体"/>
          <w:spacing w:val="-3"/>
          <w:sz w:val="17"/>
          <w:szCs w:val="17"/>
        </w:rPr>
        <w:t>、</w:t>
      </w:r>
      <w:r>
        <w:rPr>
          <w:rFonts w:ascii="Times New Roman" w:hAnsi="Times New Roman" w:eastAsia="Times New Roman" w:cs="Times New Roman"/>
          <w:spacing w:val="-3"/>
          <w:sz w:val="17"/>
          <w:szCs w:val="17"/>
        </w:rPr>
        <w:t xml:space="preserve">Ⅱ   </w:t>
      </w:r>
      <w:r>
        <w:rPr>
          <w:rFonts w:ascii="宋体" w:hAnsi="宋体" w:eastAsia="宋体" w:cs="宋体"/>
          <w:spacing w:val="-3"/>
          <w:sz w:val="17"/>
          <w:szCs w:val="17"/>
        </w:rPr>
        <w:t>次电压和轨面电压。</w:t>
      </w:r>
    </w:p>
    <w:p w14:paraId="7FD11DF2">
      <w:pPr>
        <w:spacing w:before="45" w:line="219" w:lineRule="auto"/>
        <w:ind w:left="480"/>
        <w:rPr>
          <w:rFonts w:ascii="宋体" w:hAnsi="宋体" w:eastAsia="宋体" w:cs="宋体"/>
          <w:sz w:val="17"/>
          <w:szCs w:val="17"/>
        </w:rPr>
      </w:pPr>
      <w:r>
        <w:rPr>
          <w:rFonts w:ascii="宋体" w:hAnsi="宋体" w:eastAsia="宋体" w:cs="宋体"/>
          <w:spacing w:val="10"/>
          <w:sz w:val="17"/>
          <w:szCs w:val="17"/>
        </w:rPr>
        <w:t>(3)室内受电端测试</w:t>
      </w:r>
    </w:p>
    <w:p w14:paraId="570CA80B">
      <w:pPr>
        <w:spacing w:before="78" w:line="302" w:lineRule="auto"/>
        <w:ind w:left="49" w:right="346" w:firstLine="350"/>
        <w:rPr>
          <w:rFonts w:ascii="宋体" w:hAnsi="宋体" w:eastAsia="宋体" w:cs="宋体"/>
          <w:sz w:val="17"/>
          <w:szCs w:val="17"/>
        </w:rPr>
      </w:pPr>
      <w:r>
        <w:rPr>
          <w:rFonts w:ascii="宋体" w:hAnsi="宋体" w:eastAsia="宋体" w:cs="宋体"/>
          <w:spacing w:val="1"/>
          <w:sz w:val="17"/>
          <w:szCs w:val="17"/>
        </w:rPr>
        <w:t>在室内测量空闲轨道电路的接收电压，并与送端轨</w:t>
      </w:r>
      <w:r>
        <w:rPr>
          <w:rFonts w:ascii="宋体" w:hAnsi="宋体" w:eastAsia="宋体" w:cs="宋体"/>
          <w:spacing w:val="5"/>
          <w:sz w:val="17"/>
          <w:szCs w:val="17"/>
        </w:rPr>
        <w:t xml:space="preserve"> </w:t>
      </w:r>
      <w:r>
        <w:rPr>
          <w:rFonts w:ascii="宋体" w:hAnsi="宋体" w:eastAsia="宋体" w:cs="宋体"/>
          <w:spacing w:val="-2"/>
          <w:sz w:val="17"/>
          <w:szCs w:val="17"/>
        </w:rPr>
        <w:t>面电压大小比较；分路状态轨道继电器残压测试。</w:t>
      </w:r>
    </w:p>
    <w:p w14:paraId="0F864E3B">
      <w:pPr>
        <w:spacing w:before="34" w:line="219" w:lineRule="auto"/>
        <w:ind w:left="400"/>
        <w:rPr>
          <w:rFonts w:ascii="宋体" w:hAnsi="宋体" w:eastAsia="宋体" w:cs="宋体"/>
          <w:sz w:val="17"/>
          <w:szCs w:val="17"/>
        </w:rPr>
      </w:pPr>
      <w:r>
        <w:rPr>
          <w:rFonts w:ascii="宋体" w:hAnsi="宋体" w:eastAsia="宋体" w:cs="宋体"/>
          <w:spacing w:val="12"/>
          <w:sz w:val="17"/>
          <w:szCs w:val="17"/>
        </w:rPr>
        <w:t>(4)钢轨绝缘检查</w:t>
      </w:r>
    </w:p>
    <w:p w14:paraId="055E4E86">
      <w:pPr>
        <w:spacing w:before="60" w:line="299" w:lineRule="auto"/>
        <w:ind w:left="49" w:right="323" w:firstLine="350"/>
        <w:rPr>
          <w:rFonts w:ascii="宋体" w:hAnsi="宋体" w:eastAsia="宋体" w:cs="宋体"/>
          <w:sz w:val="17"/>
          <w:szCs w:val="17"/>
        </w:rPr>
      </w:pPr>
      <w:r>
        <w:rPr>
          <w:rFonts w:ascii="宋体" w:hAnsi="宋体" w:eastAsia="宋体" w:cs="宋体"/>
          <w:spacing w:val="-4"/>
          <w:sz w:val="19"/>
          <w:szCs w:val="19"/>
        </w:rPr>
        <w:t>用短路线短路</w:t>
      </w:r>
      <w:r>
        <w:rPr>
          <w:rFonts w:ascii="Times New Roman" w:hAnsi="Times New Roman" w:eastAsia="Times New Roman" w:cs="Times New Roman"/>
          <w:spacing w:val="-4"/>
          <w:sz w:val="19"/>
          <w:szCs w:val="19"/>
        </w:rPr>
        <w:t>A</w:t>
      </w:r>
      <w:r>
        <w:rPr>
          <w:rFonts w:ascii="宋体" w:hAnsi="宋体" w:eastAsia="宋体" w:cs="宋体"/>
          <w:spacing w:val="-4"/>
          <w:sz w:val="19"/>
          <w:szCs w:val="19"/>
        </w:rPr>
        <w:t>绝缘，若</w:t>
      </w:r>
      <w:r>
        <w:rPr>
          <w:rFonts w:ascii="Times New Roman" w:hAnsi="Times New Roman" w:eastAsia="Times New Roman" w:cs="Times New Roman"/>
          <w:spacing w:val="-4"/>
          <w:sz w:val="19"/>
          <w:szCs w:val="19"/>
        </w:rPr>
        <w:t>V</w:t>
      </w:r>
      <w:r>
        <w:rPr>
          <w:rFonts w:ascii="宋体" w:hAnsi="宋体" w:eastAsia="宋体" w:cs="宋体"/>
          <w:spacing w:val="-4"/>
          <w:sz w:val="19"/>
          <w:szCs w:val="19"/>
        </w:rPr>
        <w:t>读数有变化，则</w:t>
      </w:r>
      <w:r>
        <w:rPr>
          <w:rFonts w:ascii="Times New Roman" w:hAnsi="Times New Roman" w:eastAsia="Times New Roman" w:cs="Times New Roman"/>
          <w:spacing w:val="-4"/>
          <w:sz w:val="19"/>
          <w:szCs w:val="19"/>
        </w:rPr>
        <w:t>B</w:t>
      </w:r>
      <w:r>
        <w:rPr>
          <w:rFonts w:ascii="Times New Roman" w:hAnsi="Times New Roman" w:eastAsia="Times New Roman" w:cs="Times New Roman"/>
          <w:spacing w:val="5"/>
          <w:sz w:val="19"/>
          <w:szCs w:val="19"/>
        </w:rPr>
        <w:t xml:space="preserve"> </w:t>
      </w:r>
      <w:r>
        <w:rPr>
          <w:rFonts w:ascii="宋体" w:hAnsi="宋体" w:eastAsia="宋体" w:cs="宋体"/>
          <w:spacing w:val="-4"/>
          <w:sz w:val="19"/>
          <w:szCs w:val="19"/>
        </w:rPr>
        <w:t>绝</w:t>
      </w:r>
      <w:r>
        <w:rPr>
          <w:rFonts w:ascii="宋体" w:hAnsi="宋体" w:eastAsia="宋体" w:cs="宋体"/>
          <w:sz w:val="19"/>
          <w:szCs w:val="19"/>
        </w:rPr>
        <w:t xml:space="preserve"> </w:t>
      </w:r>
      <w:r>
        <w:rPr>
          <w:rFonts w:ascii="宋体" w:hAnsi="宋体" w:eastAsia="宋体" w:cs="宋体"/>
          <w:sz w:val="17"/>
          <w:szCs w:val="17"/>
        </w:rPr>
        <w:t>缘已破损；反之短路</w:t>
      </w:r>
      <w:r>
        <w:rPr>
          <w:rFonts w:ascii="宋体" w:hAnsi="宋体" w:eastAsia="宋体" w:cs="宋体"/>
          <w:spacing w:val="-36"/>
          <w:sz w:val="17"/>
          <w:szCs w:val="17"/>
        </w:rPr>
        <w:t xml:space="preserve"> </w:t>
      </w:r>
      <w:r>
        <w:rPr>
          <w:rFonts w:ascii="Times New Roman" w:hAnsi="Times New Roman" w:eastAsia="Times New Roman" w:cs="Times New Roman"/>
          <w:sz w:val="17"/>
          <w:szCs w:val="17"/>
        </w:rPr>
        <w:t xml:space="preserve">B </w:t>
      </w:r>
      <w:r>
        <w:rPr>
          <w:rFonts w:ascii="宋体" w:hAnsi="宋体" w:eastAsia="宋体" w:cs="宋体"/>
          <w:sz w:val="17"/>
          <w:szCs w:val="17"/>
        </w:rPr>
        <w:t>绝缘，可判断</w:t>
      </w:r>
      <w:r>
        <w:rPr>
          <w:rFonts w:ascii="Times New Roman" w:hAnsi="Times New Roman" w:eastAsia="Times New Roman" w:cs="Times New Roman"/>
          <w:sz w:val="17"/>
          <w:szCs w:val="17"/>
        </w:rPr>
        <w:t xml:space="preserve">A </w:t>
      </w:r>
      <w:r>
        <w:rPr>
          <w:rFonts w:ascii="宋体" w:hAnsi="宋体" w:eastAsia="宋体" w:cs="宋体"/>
          <w:sz w:val="17"/>
          <w:szCs w:val="17"/>
        </w:rPr>
        <w:t xml:space="preserve">绝缘好坏；若同 </w:t>
      </w:r>
      <w:r>
        <w:rPr>
          <w:rFonts w:ascii="宋体" w:hAnsi="宋体" w:eastAsia="宋体" w:cs="宋体"/>
          <w:spacing w:val="2"/>
          <w:sz w:val="17"/>
          <w:szCs w:val="17"/>
        </w:rPr>
        <w:t>时将</w:t>
      </w:r>
      <w:r>
        <w:rPr>
          <w:rFonts w:ascii="Times New Roman" w:hAnsi="Times New Roman" w:eastAsia="Times New Roman" w:cs="Times New Roman"/>
          <w:sz w:val="17"/>
          <w:szCs w:val="17"/>
        </w:rPr>
        <w:t>AB</w:t>
      </w:r>
      <w:r>
        <w:rPr>
          <w:rFonts w:ascii="Times New Roman" w:hAnsi="Times New Roman" w:eastAsia="Times New Roman" w:cs="Times New Roman"/>
          <w:spacing w:val="9"/>
          <w:sz w:val="17"/>
          <w:szCs w:val="17"/>
        </w:rPr>
        <w:t xml:space="preserve"> </w:t>
      </w:r>
      <w:r>
        <w:rPr>
          <w:rFonts w:ascii="宋体" w:hAnsi="宋体" w:eastAsia="宋体" w:cs="宋体"/>
          <w:spacing w:val="2"/>
          <w:sz w:val="17"/>
          <w:szCs w:val="17"/>
        </w:rPr>
        <w:t>绝缘短路，</w:t>
      </w:r>
      <w:r>
        <w:rPr>
          <w:rFonts w:ascii="Times New Roman" w:hAnsi="Times New Roman" w:eastAsia="Times New Roman" w:cs="Times New Roman"/>
          <w:spacing w:val="2"/>
          <w:sz w:val="17"/>
          <w:szCs w:val="17"/>
        </w:rPr>
        <w:t xml:space="preserve">V </w:t>
      </w:r>
      <w:r>
        <w:rPr>
          <w:rFonts w:ascii="宋体" w:hAnsi="宋体" w:eastAsia="宋体" w:cs="宋体"/>
          <w:spacing w:val="2"/>
          <w:sz w:val="17"/>
          <w:szCs w:val="17"/>
        </w:rPr>
        <w:t>读数不变，说明</w:t>
      </w:r>
      <w:r>
        <w:rPr>
          <w:rFonts w:ascii="Times New Roman" w:hAnsi="Times New Roman" w:eastAsia="Times New Roman" w:cs="Times New Roman"/>
          <w:sz w:val="17"/>
          <w:szCs w:val="17"/>
        </w:rPr>
        <w:t>AB</w:t>
      </w:r>
      <w:r>
        <w:rPr>
          <w:rFonts w:ascii="宋体" w:hAnsi="宋体" w:eastAsia="宋体" w:cs="宋体"/>
          <w:spacing w:val="2"/>
          <w:sz w:val="17"/>
          <w:szCs w:val="17"/>
        </w:rPr>
        <w:t>绝缘都破损。</w:t>
      </w:r>
    </w:p>
    <w:p w14:paraId="2EBDF88D">
      <w:pPr>
        <w:spacing w:before="40" w:line="219" w:lineRule="auto"/>
        <w:ind w:left="400"/>
        <w:rPr>
          <w:rFonts w:ascii="宋体" w:hAnsi="宋体" w:eastAsia="宋体" w:cs="宋体"/>
          <w:sz w:val="17"/>
          <w:szCs w:val="17"/>
        </w:rPr>
      </w:pPr>
      <w:r>
        <w:rPr>
          <w:rFonts w:ascii="宋体" w:hAnsi="宋体" w:eastAsia="宋体" w:cs="宋体"/>
          <w:spacing w:val="12"/>
          <w:sz w:val="17"/>
          <w:szCs w:val="17"/>
        </w:rPr>
        <w:t>(5)极性交叉检查</w:t>
      </w:r>
    </w:p>
    <w:p w14:paraId="0E988921">
      <w:pPr>
        <w:spacing w:before="79" w:line="305" w:lineRule="auto"/>
        <w:ind w:left="49" w:right="327" w:firstLine="350"/>
        <w:rPr>
          <w:rFonts w:ascii="宋体" w:hAnsi="宋体" w:eastAsia="宋体" w:cs="宋体"/>
          <w:sz w:val="17"/>
          <w:szCs w:val="17"/>
        </w:rPr>
      </w:pPr>
      <w:r>
        <w:rPr>
          <w:rFonts w:ascii="宋体" w:hAnsi="宋体" w:eastAsia="宋体" w:cs="宋体"/>
          <w:spacing w:val="2"/>
          <w:sz w:val="17"/>
          <w:szCs w:val="17"/>
        </w:rPr>
        <w:t>用电压表交流挡位，正表笔固定于</w:t>
      </w:r>
      <w:r>
        <w:rPr>
          <w:rFonts w:ascii="Times New Roman" w:hAnsi="Times New Roman" w:eastAsia="Times New Roman" w:cs="Times New Roman"/>
          <w:spacing w:val="2"/>
          <w:sz w:val="17"/>
          <w:szCs w:val="17"/>
        </w:rPr>
        <w:t xml:space="preserve">A </w:t>
      </w:r>
      <w:r>
        <w:rPr>
          <w:rFonts w:ascii="宋体" w:hAnsi="宋体" w:eastAsia="宋体" w:cs="宋体"/>
          <w:spacing w:val="2"/>
          <w:sz w:val="17"/>
          <w:szCs w:val="17"/>
        </w:rPr>
        <w:t>点，负表笔分</w:t>
      </w:r>
      <w:r>
        <w:rPr>
          <w:rFonts w:ascii="宋体" w:hAnsi="宋体" w:eastAsia="宋体" w:cs="宋体"/>
          <w:spacing w:val="4"/>
          <w:sz w:val="17"/>
          <w:szCs w:val="17"/>
        </w:rPr>
        <w:t xml:space="preserve"> </w:t>
      </w:r>
      <w:r>
        <w:rPr>
          <w:rFonts w:ascii="宋体" w:hAnsi="宋体" w:eastAsia="宋体" w:cs="宋体"/>
          <w:spacing w:val="3"/>
          <w:sz w:val="17"/>
          <w:szCs w:val="17"/>
        </w:rPr>
        <w:t>别固定于</w:t>
      </w:r>
      <w:r>
        <w:rPr>
          <w:rFonts w:ascii="Times New Roman" w:hAnsi="Times New Roman" w:eastAsia="Times New Roman" w:cs="Times New Roman"/>
          <w:spacing w:val="3"/>
          <w:sz w:val="17"/>
          <w:szCs w:val="17"/>
        </w:rPr>
        <w:t>B</w:t>
      </w:r>
      <w:r>
        <w:rPr>
          <w:rFonts w:ascii="Times New Roman" w:hAnsi="Times New Roman" w:eastAsia="Times New Roman" w:cs="Times New Roman"/>
          <w:spacing w:val="-10"/>
          <w:sz w:val="17"/>
          <w:szCs w:val="17"/>
        </w:rPr>
        <w:t xml:space="preserve"> </w:t>
      </w:r>
      <w:r>
        <w:rPr>
          <w:rFonts w:ascii="宋体" w:hAnsi="宋体" w:eastAsia="宋体" w:cs="宋体"/>
          <w:spacing w:val="3"/>
          <w:sz w:val="17"/>
          <w:szCs w:val="17"/>
        </w:rPr>
        <w:t>、</w:t>
      </w:r>
      <w:r>
        <w:rPr>
          <w:rFonts w:ascii="Times New Roman" w:hAnsi="Times New Roman" w:eastAsia="Times New Roman" w:cs="Times New Roman"/>
          <w:spacing w:val="3"/>
          <w:sz w:val="17"/>
          <w:szCs w:val="17"/>
        </w:rPr>
        <w:t>C</w:t>
      </w:r>
      <w:r>
        <w:rPr>
          <w:rFonts w:ascii="宋体" w:hAnsi="宋体" w:eastAsia="宋体" w:cs="宋体"/>
          <w:spacing w:val="3"/>
          <w:sz w:val="17"/>
          <w:szCs w:val="17"/>
        </w:rPr>
        <w:t>点，若</w:t>
      </w:r>
      <w:r>
        <w:rPr>
          <w:rFonts w:ascii="Times New Roman" w:hAnsi="Times New Roman" w:eastAsia="Times New Roman" w:cs="Times New Roman"/>
          <w:sz w:val="17"/>
          <w:szCs w:val="17"/>
        </w:rPr>
        <w:t>VAB</w:t>
      </w:r>
      <w:r>
        <w:rPr>
          <w:rFonts w:ascii="宋体" w:hAnsi="宋体" w:eastAsia="宋体" w:cs="宋体"/>
          <w:spacing w:val="3"/>
          <w:sz w:val="17"/>
          <w:szCs w:val="17"/>
        </w:rPr>
        <w:t>大</w:t>
      </w:r>
      <w:r>
        <w:rPr>
          <w:rFonts w:ascii="宋体" w:hAnsi="宋体" w:eastAsia="宋体" w:cs="宋体"/>
          <w:spacing w:val="-27"/>
          <w:sz w:val="17"/>
          <w:szCs w:val="17"/>
        </w:rPr>
        <w:t xml:space="preserve"> </w:t>
      </w:r>
      <w:r>
        <w:rPr>
          <w:rFonts w:ascii="宋体" w:hAnsi="宋体" w:eastAsia="宋体" w:cs="宋体"/>
          <w:spacing w:val="3"/>
          <w:sz w:val="17"/>
          <w:szCs w:val="17"/>
        </w:rPr>
        <w:t>于</w:t>
      </w:r>
      <w:r>
        <w:rPr>
          <w:rFonts w:ascii="Times New Roman" w:hAnsi="Times New Roman" w:eastAsia="Times New Roman" w:cs="Times New Roman"/>
          <w:sz w:val="17"/>
          <w:szCs w:val="17"/>
        </w:rPr>
        <w:t>VAC</w:t>
      </w:r>
      <w:r>
        <w:rPr>
          <w:rFonts w:ascii="Times New Roman" w:hAnsi="Times New Roman" w:eastAsia="Times New Roman" w:cs="Times New Roman"/>
          <w:spacing w:val="3"/>
          <w:sz w:val="17"/>
          <w:szCs w:val="17"/>
        </w:rPr>
        <w:t xml:space="preserve">,  </w:t>
      </w:r>
      <w:r>
        <w:rPr>
          <w:rFonts w:ascii="宋体" w:hAnsi="宋体" w:eastAsia="宋体" w:cs="宋体"/>
          <w:spacing w:val="3"/>
          <w:sz w:val="17"/>
          <w:szCs w:val="17"/>
        </w:rPr>
        <w:t>则证明轨道电路</w:t>
      </w:r>
      <w:r>
        <w:rPr>
          <w:rFonts w:ascii="宋体" w:hAnsi="宋体" w:eastAsia="宋体" w:cs="宋体"/>
          <w:sz w:val="17"/>
          <w:szCs w:val="17"/>
        </w:rPr>
        <w:t xml:space="preserve"> </w:t>
      </w:r>
      <w:r>
        <w:rPr>
          <w:rFonts w:ascii="宋体" w:hAnsi="宋体" w:eastAsia="宋体" w:cs="宋体"/>
          <w:spacing w:val="-5"/>
          <w:sz w:val="17"/>
          <w:szCs w:val="17"/>
        </w:rPr>
        <w:t>实现极性交叉。</w:t>
      </w:r>
    </w:p>
    <w:p w14:paraId="1616DD1F">
      <w:pPr>
        <w:pStyle w:val="2"/>
        <w:spacing w:line="14" w:lineRule="auto"/>
        <w:rPr>
          <w:sz w:val="2"/>
        </w:rPr>
      </w:pPr>
      <w:r>
        <w:rPr>
          <w:sz w:val="2"/>
          <w:szCs w:val="2"/>
        </w:rPr>
        <w:br w:type="column"/>
      </w:r>
    </w:p>
    <w:p w14:paraId="4AB2B7DB">
      <w:pPr>
        <w:spacing w:before="53" w:line="220" w:lineRule="auto"/>
        <w:ind w:left="1717"/>
        <w:rPr>
          <w:rFonts w:ascii="宋体" w:hAnsi="宋体" w:eastAsia="宋体" w:cs="宋体"/>
          <w:sz w:val="19"/>
          <w:szCs w:val="19"/>
        </w:rPr>
      </w:pPr>
      <w:r>
        <w:rPr>
          <w:rFonts w:ascii="宋体" w:hAnsi="宋体" w:eastAsia="宋体" w:cs="宋体"/>
          <w:b/>
          <w:bCs/>
          <w:spacing w:val="9"/>
          <w:sz w:val="19"/>
          <w:szCs w:val="19"/>
        </w:rPr>
        <w:t>注意事项</w:t>
      </w:r>
    </w:p>
    <w:p w14:paraId="6287FE8E">
      <w:pPr>
        <w:spacing w:before="65" w:line="219" w:lineRule="auto"/>
        <w:ind w:left="444"/>
        <w:rPr>
          <w:rFonts w:ascii="宋体" w:hAnsi="宋体" w:eastAsia="宋体" w:cs="宋体"/>
          <w:sz w:val="17"/>
          <w:szCs w:val="17"/>
        </w:rPr>
      </w:pPr>
      <w:r>
        <w:rPr>
          <w:rFonts w:ascii="宋体" w:hAnsi="宋体" w:eastAsia="宋体" w:cs="宋体"/>
          <w:spacing w:val="5"/>
          <w:sz w:val="17"/>
          <w:szCs w:val="17"/>
        </w:rPr>
        <w:t>(1)注意电压表挡位量程的选择；</w:t>
      </w:r>
    </w:p>
    <w:p w14:paraId="3A671359">
      <w:pPr>
        <w:spacing w:before="66" w:line="279" w:lineRule="auto"/>
        <w:ind w:left="15" w:right="24" w:firstLine="429"/>
        <w:rPr>
          <w:rFonts w:ascii="宋体" w:hAnsi="宋体" w:eastAsia="宋体" w:cs="宋体"/>
          <w:sz w:val="17"/>
          <w:szCs w:val="17"/>
        </w:rPr>
      </w:pPr>
      <w:r>
        <w:rPr>
          <w:rFonts w:ascii="宋体" w:hAnsi="宋体" w:eastAsia="宋体" w:cs="宋体"/>
          <w:spacing w:val="7"/>
          <w:sz w:val="17"/>
          <w:szCs w:val="17"/>
        </w:rPr>
        <w:t>(2)送端电压为～220</w:t>
      </w:r>
      <w:r>
        <w:rPr>
          <w:rFonts w:ascii="Times New Roman" w:hAnsi="Times New Roman" w:eastAsia="Times New Roman" w:cs="Times New Roman"/>
          <w:spacing w:val="7"/>
          <w:sz w:val="17"/>
          <w:szCs w:val="17"/>
        </w:rPr>
        <w:t>V,</w:t>
      </w:r>
      <w:r>
        <w:rPr>
          <w:rFonts w:ascii="Times New Roman" w:hAnsi="Times New Roman" w:eastAsia="Times New Roman" w:cs="Times New Roman"/>
          <w:spacing w:val="24"/>
          <w:w w:val="101"/>
          <w:sz w:val="17"/>
          <w:szCs w:val="17"/>
        </w:rPr>
        <w:t xml:space="preserve">  </w:t>
      </w:r>
      <w:r>
        <w:rPr>
          <w:rFonts w:ascii="宋体" w:hAnsi="宋体" w:eastAsia="宋体" w:cs="宋体"/>
          <w:spacing w:val="7"/>
          <w:sz w:val="17"/>
          <w:szCs w:val="17"/>
        </w:rPr>
        <w:t>靠近裸露端子作业更要</w:t>
      </w:r>
      <w:r>
        <w:rPr>
          <w:rFonts w:ascii="宋体" w:hAnsi="宋体" w:eastAsia="宋体" w:cs="宋体"/>
          <w:sz w:val="17"/>
          <w:szCs w:val="17"/>
        </w:rPr>
        <w:t xml:space="preserve"> </w:t>
      </w:r>
      <w:r>
        <w:rPr>
          <w:rFonts w:ascii="宋体" w:hAnsi="宋体" w:eastAsia="宋体" w:cs="宋体"/>
          <w:spacing w:val="-1"/>
          <w:sz w:val="17"/>
          <w:szCs w:val="17"/>
        </w:rPr>
        <w:t>格外小心，要按标准化流程进行；</w:t>
      </w:r>
    </w:p>
    <w:p w14:paraId="032E801D">
      <w:pPr>
        <w:spacing w:before="59" w:line="267" w:lineRule="auto"/>
        <w:ind w:left="15" w:right="5" w:firstLine="429"/>
        <w:rPr>
          <w:rFonts w:ascii="宋体" w:hAnsi="宋体" w:eastAsia="宋体" w:cs="宋体"/>
          <w:sz w:val="17"/>
          <w:szCs w:val="17"/>
        </w:rPr>
      </w:pPr>
      <w:r>
        <w:rPr>
          <w:rFonts w:ascii="宋体" w:hAnsi="宋体" w:eastAsia="宋体" w:cs="宋体"/>
          <w:sz w:val="19"/>
          <w:szCs w:val="19"/>
        </w:rPr>
        <w:t>(3)注意在钢轨新点测量，若没有，可用铁锤</w:t>
      </w:r>
      <w:r>
        <w:rPr>
          <w:rFonts w:ascii="宋体" w:hAnsi="宋体" w:eastAsia="宋体" w:cs="宋体"/>
          <w:spacing w:val="12"/>
          <w:sz w:val="19"/>
          <w:szCs w:val="19"/>
        </w:rPr>
        <w:t xml:space="preserve"> </w:t>
      </w:r>
      <w:r>
        <w:rPr>
          <w:rFonts w:ascii="宋体" w:hAnsi="宋体" w:eastAsia="宋体" w:cs="宋体"/>
          <w:spacing w:val="-2"/>
          <w:sz w:val="17"/>
          <w:szCs w:val="17"/>
        </w:rPr>
        <w:t>敲出；</w:t>
      </w:r>
    </w:p>
    <w:p w14:paraId="7E96E194">
      <w:pPr>
        <w:spacing w:before="77" w:line="269" w:lineRule="auto"/>
        <w:ind w:right="1338" w:firstLine="444"/>
        <w:rPr>
          <w:rFonts w:ascii="宋体" w:hAnsi="宋体" w:eastAsia="宋体" w:cs="宋体"/>
          <w:sz w:val="17"/>
          <w:szCs w:val="17"/>
        </w:rPr>
      </w:pPr>
      <w:r>
        <w:rPr>
          <w:rFonts w:ascii="宋体" w:hAnsi="宋体" w:eastAsia="宋体" w:cs="宋体"/>
          <w:spacing w:val="5"/>
          <w:sz w:val="17"/>
          <w:szCs w:val="17"/>
        </w:rPr>
        <w:t>(4)测试完成后必须试验良好。</w:t>
      </w:r>
      <w:r>
        <w:rPr>
          <w:rFonts w:ascii="宋体" w:hAnsi="宋体" w:eastAsia="宋体" w:cs="宋体"/>
          <w:spacing w:val="13"/>
          <w:sz w:val="17"/>
          <w:szCs w:val="17"/>
        </w:rPr>
        <w:t xml:space="preserve"> </w:t>
      </w:r>
      <w:r>
        <w:rPr>
          <w:rFonts w:ascii="宋体" w:hAnsi="宋体" w:eastAsia="宋体" w:cs="宋体"/>
          <w:spacing w:val="8"/>
          <w:sz w:val="17"/>
          <w:szCs w:val="17"/>
        </w:rPr>
        <w:t>【测试要求】</w:t>
      </w:r>
    </w:p>
    <w:p w14:paraId="04A6669B">
      <w:pPr>
        <w:spacing w:before="96" w:line="219" w:lineRule="auto"/>
        <w:ind w:left="375"/>
        <w:rPr>
          <w:rFonts w:ascii="宋体" w:hAnsi="宋体" w:eastAsia="宋体" w:cs="宋体"/>
          <w:sz w:val="17"/>
          <w:szCs w:val="17"/>
        </w:rPr>
      </w:pPr>
      <w:r>
        <w:rPr>
          <w:rFonts w:ascii="宋体" w:hAnsi="宋体" w:eastAsia="宋体" w:cs="宋体"/>
          <w:spacing w:val="-2"/>
          <w:sz w:val="17"/>
          <w:szCs w:val="17"/>
        </w:rPr>
        <w:t>1.测试前一定要检查设备外观完好性；</w:t>
      </w:r>
    </w:p>
    <w:p w14:paraId="64793F36">
      <w:pPr>
        <w:spacing w:before="78" w:line="315" w:lineRule="auto"/>
        <w:ind w:left="15" w:firstLine="359"/>
        <w:rPr>
          <w:rFonts w:ascii="宋体" w:hAnsi="宋体" w:eastAsia="宋体" w:cs="宋体"/>
          <w:sz w:val="17"/>
          <w:szCs w:val="17"/>
        </w:rPr>
      </w:pPr>
      <w:r>
        <w:rPr>
          <w:rFonts w:ascii="宋体" w:hAnsi="宋体" w:eastAsia="宋体" w:cs="宋体"/>
          <w:spacing w:val="10"/>
          <w:sz w:val="17"/>
          <w:szCs w:val="17"/>
        </w:rPr>
        <w:t>2.熟悉所测线路所用电器元件作用及电路工作原</w:t>
      </w:r>
      <w:r>
        <w:rPr>
          <w:rFonts w:ascii="宋体" w:hAnsi="宋体" w:eastAsia="宋体" w:cs="宋体"/>
          <w:spacing w:val="2"/>
          <w:sz w:val="17"/>
          <w:szCs w:val="17"/>
        </w:rPr>
        <w:t xml:space="preserve"> </w:t>
      </w:r>
      <w:r>
        <w:rPr>
          <w:rFonts w:ascii="宋体" w:hAnsi="宋体" w:eastAsia="宋体" w:cs="宋体"/>
          <w:spacing w:val="-5"/>
          <w:sz w:val="17"/>
          <w:szCs w:val="17"/>
        </w:rPr>
        <w:t>理</w:t>
      </w:r>
      <w:r>
        <w:rPr>
          <w:rFonts w:ascii="宋体" w:hAnsi="宋体" w:eastAsia="宋体" w:cs="宋体"/>
          <w:spacing w:val="-32"/>
          <w:sz w:val="17"/>
          <w:szCs w:val="17"/>
        </w:rPr>
        <w:t xml:space="preserve"> </w:t>
      </w:r>
      <w:r>
        <w:rPr>
          <w:rFonts w:ascii="宋体" w:hAnsi="宋体" w:eastAsia="宋体" w:cs="宋体"/>
          <w:spacing w:val="-5"/>
          <w:sz w:val="17"/>
          <w:szCs w:val="17"/>
        </w:rPr>
        <w:t>；</w:t>
      </w:r>
    </w:p>
    <w:p w14:paraId="663EE7FF">
      <w:pPr>
        <w:spacing w:line="310" w:lineRule="auto"/>
        <w:ind w:right="398" w:firstLine="375"/>
        <w:rPr>
          <w:rFonts w:ascii="宋体" w:hAnsi="宋体" w:eastAsia="宋体" w:cs="宋体"/>
          <w:sz w:val="17"/>
          <w:szCs w:val="17"/>
        </w:rPr>
      </w:pPr>
      <w:r>
        <w:rPr>
          <w:rFonts w:ascii="宋体" w:hAnsi="宋体" w:eastAsia="宋体" w:cs="宋体"/>
          <w:spacing w:val="-1"/>
          <w:sz w:val="17"/>
          <w:szCs w:val="17"/>
        </w:rPr>
        <w:t>3.注意兆欧表使用方法以及万用表量程选择。</w:t>
      </w:r>
      <w:r>
        <w:rPr>
          <w:rFonts w:ascii="宋体" w:hAnsi="宋体" w:eastAsia="宋体" w:cs="宋体"/>
          <w:spacing w:val="15"/>
          <w:sz w:val="17"/>
          <w:szCs w:val="17"/>
        </w:rPr>
        <w:t xml:space="preserve"> </w:t>
      </w:r>
      <w:r>
        <w:rPr>
          <w:rFonts w:ascii="宋体" w:hAnsi="宋体" w:eastAsia="宋体" w:cs="宋体"/>
          <w:spacing w:val="8"/>
          <w:sz w:val="17"/>
          <w:szCs w:val="17"/>
        </w:rPr>
        <w:t>【测试赋分】</w:t>
      </w:r>
    </w:p>
    <w:p w14:paraId="303EC22B">
      <w:pPr>
        <w:spacing w:line="220" w:lineRule="auto"/>
        <w:ind w:left="375"/>
        <w:rPr>
          <w:rFonts w:ascii="宋体" w:hAnsi="宋体" w:eastAsia="宋体" w:cs="宋体"/>
          <w:sz w:val="19"/>
          <w:szCs w:val="19"/>
        </w:rPr>
      </w:pPr>
      <w:r>
        <w:rPr>
          <w:rFonts w:ascii="宋体" w:hAnsi="宋体" w:eastAsia="宋体" w:cs="宋体"/>
          <w:spacing w:val="2"/>
          <w:sz w:val="17"/>
          <w:szCs w:val="17"/>
        </w:rPr>
        <w:t xml:space="preserve">仪表仪器使用                        </w:t>
      </w:r>
      <w:r>
        <w:rPr>
          <w:rFonts w:ascii="宋体" w:hAnsi="宋体" w:eastAsia="宋体" w:cs="宋体"/>
          <w:spacing w:val="1"/>
          <w:sz w:val="19"/>
          <w:szCs w:val="19"/>
        </w:rPr>
        <w:t>30分</w:t>
      </w:r>
    </w:p>
    <w:p w14:paraId="3BC305C2">
      <w:pPr>
        <w:spacing w:before="64" w:line="220" w:lineRule="auto"/>
        <w:ind w:left="375"/>
        <w:rPr>
          <w:rFonts w:ascii="宋体" w:hAnsi="宋体" w:eastAsia="宋体" w:cs="宋体"/>
          <w:sz w:val="19"/>
          <w:szCs w:val="19"/>
        </w:rPr>
      </w:pPr>
      <w:r>
        <w:rPr>
          <w:rFonts w:ascii="宋体" w:hAnsi="宋体" w:eastAsia="宋体" w:cs="宋体"/>
          <w:spacing w:val="-1"/>
          <w:sz w:val="17"/>
          <w:szCs w:val="17"/>
        </w:rPr>
        <w:t xml:space="preserve">设备安全                             </w:t>
      </w:r>
      <w:r>
        <w:rPr>
          <w:rFonts w:ascii="宋体" w:hAnsi="宋体" w:eastAsia="宋体" w:cs="宋体"/>
          <w:spacing w:val="-1"/>
          <w:sz w:val="19"/>
          <w:szCs w:val="19"/>
        </w:rPr>
        <w:t>50分</w:t>
      </w:r>
    </w:p>
    <w:p w14:paraId="163304B8">
      <w:pPr>
        <w:spacing w:before="64" w:line="220" w:lineRule="auto"/>
        <w:ind w:left="375"/>
        <w:rPr>
          <w:rFonts w:ascii="宋体" w:hAnsi="宋体" w:eastAsia="宋体" w:cs="宋体"/>
          <w:sz w:val="19"/>
          <w:szCs w:val="19"/>
        </w:rPr>
      </w:pPr>
      <w:r>
        <w:rPr>
          <w:rFonts w:ascii="宋体" w:hAnsi="宋体" w:eastAsia="宋体" w:cs="宋体"/>
          <w:spacing w:val="-1"/>
          <w:sz w:val="17"/>
          <w:szCs w:val="17"/>
        </w:rPr>
        <w:t xml:space="preserve">电气参数测试                         </w:t>
      </w:r>
      <w:r>
        <w:rPr>
          <w:rFonts w:ascii="宋体" w:hAnsi="宋体" w:eastAsia="宋体" w:cs="宋体"/>
          <w:spacing w:val="-1"/>
          <w:sz w:val="19"/>
          <w:szCs w:val="19"/>
        </w:rPr>
        <w:t>65分</w:t>
      </w:r>
    </w:p>
    <w:p w14:paraId="52C65FD7">
      <w:pPr>
        <w:spacing w:before="53" w:line="220" w:lineRule="auto"/>
        <w:ind w:left="375"/>
        <w:rPr>
          <w:rFonts w:ascii="宋体" w:hAnsi="宋体" w:eastAsia="宋体" w:cs="宋体"/>
          <w:sz w:val="19"/>
          <w:szCs w:val="19"/>
        </w:rPr>
      </w:pPr>
      <w:r>
        <w:rPr>
          <w:rFonts w:ascii="宋体" w:hAnsi="宋体" w:eastAsia="宋体" w:cs="宋体"/>
          <w:spacing w:val="1"/>
          <w:sz w:val="17"/>
          <w:szCs w:val="17"/>
        </w:rPr>
        <w:t>灯光调整方法步骤</w:t>
      </w:r>
      <w:r>
        <w:rPr>
          <w:rFonts w:ascii="宋体" w:hAnsi="宋体" w:eastAsia="宋体" w:cs="宋体"/>
          <w:spacing w:val="4"/>
          <w:sz w:val="17"/>
          <w:szCs w:val="17"/>
        </w:rPr>
        <w:t xml:space="preserve">                    </w:t>
      </w:r>
      <w:r>
        <w:rPr>
          <w:rFonts w:ascii="宋体" w:hAnsi="宋体" w:eastAsia="宋体" w:cs="宋体"/>
          <w:spacing w:val="1"/>
          <w:sz w:val="19"/>
          <w:szCs w:val="19"/>
        </w:rPr>
        <w:t>65分</w:t>
      </w:r>
    </w:p>
    <w:p w14:paraId="04FFC08F">
      <w:pPr>
        <w:spacing w:before="83" w:line="220" w:lineRule="auto"/>
        <w:ind w:left="375"/>
        <w:rPr>
          <w:rFonts w:ascii="宋体" w:hAnsi="宋体" w:eastAsia="宋体" w:cs="宋体"/>
          <w:sz w:val="17"/>
          <w:szCs w:val="17"/>
        </w:rPr>
      </w:pPr>
      <w:r>
        <w:rPr>
          <w:rFonts w:ascii="宋体" w:hAnsi="宋体" w:eastAsia="宋体" w:cs="宋体"/>
          <w:spacing w:val="2"/>
          <w:sz w:val="17"/>
          <w:szCs w:val="17"/>
        </w:rPr>
        <w:t>时间无超时</w:t>
      </w:r>
      <w:r>
        <w:rPr>
          <w:rFonts w:ascii="宋体" w:hAnsi="宋体" w:eastAsia="宋体" w:cs="宋体"/>
          <w:spacing w:val="3"/>
          <w:sz w:val="17"/>
          <w:szCs w:val="17"/>
        </w:rPr>
        <w:t xml:space="preserve">                          </w:t>
      </w:r>
      <w:r>
        <w:rPr>
          <w:rFonts w:ascii="宋体" w:hAnsi="宋体" w:eastAsia="宋体" w:cs="宋体"/>
          <w:spacing w:val="2"/>
          <w:sz w:val="17"/>
          <w:szCs w:val="17"/>
        </w:rPr>
        <w:t>15分</w:t>
      </w:r>
    </w:p>
    <w:p w14:paraId="451A6B82">
      <w:pPr>
        <w:spacing w:before="78" w:line="220" w:lineRule="auto"/>
        <w:ind w:left="375"/>
        <w:rPr>
          <w:rFonts w:ascii="宋体" w:hAnsi="宋体" w:eastAsia="宋体" w:cs="宋体"/>
          <w:sz w:val="19"/>
          <w:szCs w:val="19"/>
        </w:rPr>
      </w:pPr>
      <w:r>
        <w:rPr>
          <w:rFonts w:ascii="宋体" w:hAnsi="宋体" w:eastAsia="宋体" w:cs="宋体"/>
          <w:spacing w:val="-1"/>
          <w:sz w:val="17"/>
          <w:szCs w:val="17"/>
        </w:rPr>
        <w:t xml:space="preserve">职业素养                             </w:t>
      </w:r>
      <w:r>
        <w:rPr>
          <w:rFonts w:ascii="宋体" w:hAnsi="宋体" w:eastAsia="宋体" w:cs="宋体"/>
          <w:spacing w:val="-1"/>
          <w:sz w:val="19"/>
          <w:szCs w:val="19"/>
        </w:rPr>
        <w:t>25分</w:t>
      </w:r>
    </w:p>
    <w:p w14:paraId="3DDD7C4E">
      <w:pPr>
        <w:pStyle w:val="2"/>
        <w:spacing w:line="298" w:lineRule="auto"/>
      </w:pPr>
    </w:p>
    <w:p w14:paraId="0C8CECC3">
      <w:pPr>
        <w:pStyle w:val="2"/>
        <w:spacing w:line="299" w:lineRule="auto"/>
      </w:pPr>
    </w:p>
    <w:p w14:paraId="0E667183">
      <w:pPr>
        <w:pStyle w:val="2"/>
        <w:spacing w:line="299" w:lineRule="auto"/>
      </w:pPr>
    </w:p>
    <w:p w14:paraId="37F9D20A">
      <w:pPr>
        <w:spacing w:before="89" w:line="221" w:lineRule="auto"/>
        <w:ind w:left="248"/>
        <w:rPr>
          <w:rFonts w:ascii="黑体" w:hAnsi="黑体" w:eastAsia="黑体" w:cs="黑体"/>
          <w:sz w:val="27"/>
          <w:szCs w:val="27"/>
        </w:rPr>
      </w:pPr>
      <w:r>
        <w:rPr>
          <w:rFonts w:ascii="黑体" w:hAnsi="黑体" w:eastAsia="黑体" w:cs="黑体"/>
          <w:b/>
          <w:bCs/>
          <w:spacing w:val="17"/>
          <w:sz w:val="27"/>
          <w:szCs w:val="27"/>
        </w:rPr>
        <w:t>生物与化工大类(化工技术类)</w:t>
      </w:r>
    </w:p>
    <w:p w14:paraId="39E579C9">
      <w:pPr>
        <w:spacing w:before="80" w:line="220" w:lineRule="auto"/>
        <w:ind w:left="1088"/>
        <w:outlineLvl w:val="0"/>
        <w:rPr>
          <w:rFonts w:ascii="宋体" w:hAnsi="宋体" w:eastAsia="宋体" w:cs="宋体"/>
          <w:sz w:val="27"/>
          <w:szCs w:val="27"/>
        </w:rPr>
      </w:pPr>
      <w:bookmarkStart w:id="72" w:name="bookmark27"/>
      <w:bookmarkEnd w:id="72"/>
      <w:r>
        <w:rPr>
          <w:rFonts w:ascii="宋体" w:hAnsi="宋体" w:eastAsia="宋体" w:cs="宋体"/>
          <w:b/>
          <w:bCs/>
          <w:spacing w:val="1"/>
          <w:sz w:val="27"/>
          <w:szCs w:val="27"/>
        </w:rPr>
        <w:t>专业技能测试纲要</w:t>
      </w:r>
    </w:p>
    <w:p w14:paraId="54E82DDE">
      <w:pPr>
        <w:pStyle w:val="2"/>
        <w:spacing w:line="263" w:lineRule="auto"/>
      </w:pPr>
    </w:p>
    <w:p w14:paraId="6B9A6C91">
      <w:pPr>
        <w:pStyle w:val="2"/>
        <w:spacing w:line="263" w:lineRule="auto"/>
      </w:pPr>
    </w:p>
    <w:p w14:paraId="06536B72">
      <w:pPr>
        <w:spacing w:before="56" w:line="310" w:lineRule="auto"/>
        <w:ind w:left="15" w:right="5" w:firstLine="359"/>
        <w:rPr>
          <w:rFonts w:ascii="宋体" w:hAnsi="宋体" w:eastAsia="宋体" w:cs="宋体"/>
          <w:sz w:val="17"/>
          <w:szCs w:val="17"/>
        </w:rPr>
      </w:pPr>
      <w:r>
        <w:rPr>
          <w:rFonts w:ascii="宋体" w:hAnsi="宋体" w:eastAsia="宋体" w:cs="宋体"/>
          <w:spacing w:val="10"/>
          <w:sz w:val="17"/>
          <w:szCs w:val="17"/>
        </w:rPr>
        <w:t>本纲要以教育部颁布的《中等职业学校化学课程</w:t>
      </w:r>
      <w:r>
        <w:rPr>
          <w:rFonts w:ascii="宋体" w:hAnsi="宋体" w:eastAsia="宋体" w:cs="宋体"/>
          <w:spacing w:val="4"/>
          <w:sz w:val="17"/>
          <w:szCs w:val="17"/>
        </w:rPr>
        <w:t xml:space="preserve"> </w:t>
      </w:r>
      <w:r>
        <w:rPr>
          <w:rFonts w:ascii="宋体" w:hAnsi="宋体" w:eastAsia="宋体" w:cs="宋体"/>
          <w:spacing w:val="2"/>
          <w:sz w:val="17"/>
          <w:szCs w:val="17"/>
        </w:rPr>
        <w:t>标准》《中等职业学校化工技术类专业简介》为依据，</w:t>
      </w:r>
      <w:r>
        <w:rPr>
          <w:rFonts w:ascii="宋体" w:hAnsi="宋体" w:eastAsia="宋体" w:cs="宋体"/>
          <w:spacing w:val="6"/>
          <w:sz w:val="17"/>
          <w:szCs w:val="17"/>
        </w:rPr>
        <w:t xml:space="preserve"> </w:t>
      </w:r>
      <w:r>
        <w:rPr>
          <w:rFonts w:ascii="宋体" w:hAnsi="宋体" w:eastAsia="宋体" w:cs="宋体"/>
          <w:spacing w:val="2"/>
          <w:sz w:val="17"/>
          <w:szCs w:val="17"/>
        </w:rPr>
        <w:t>国家相关职业技能考试规范为依据，结合学生进入高等</w:t>
      </w:r>
      <w:r>
        <w:rPr>
          <w:rFonts w:ascii="宋体" w:hAnsi="宋体" w:eastAsia="宋体" w:cs="宋体"/>
          <w:spacing w:val="18"/>
          <w:sz w:val="17"/>
          <w:szCs w:val="17"/>
        </w:rPr>
        <w:t xml:space="preserve"> </w:t>
      </w:r>
      <w:r>
        <w:rPr>
          <w:rFonts w:ascii="宋体" w:hAnsi="宋体" w:eastAsia="宋体" w:cs="宋体"/>
          <w:spacing w:val="2"/>
          <w:sz w:val="17"/>
          <w:szCs w:val="17"/>
        </w:rPr>
        <w:t>院校继续学习所必须具备的专业基础技能和安徽省中等</w:t>
      </w:r>
      <w:r>
        <w:rPr>
          <w:rFonts w:ascii="宋体" w:hAnsi="宋体" w:eastAsia="宋体" w:cs="宋体"/>
          <w:spacing w:val="18"/>
          <w:sz w:val="17"/>
          <w:szCs w:val="17"/>
        </w:rPr>
        <w:t xml:space="preserve"> </w:t>
      </w:r>
      <w:r>
        <w:rPr>
          <w:rFonts w:ascii="宋体" w:hAnsi="宋体" w:eastAsia="宋体" w:cs="宋体"/>
          <w:sz w:val="17"/>
          <w:szCs w:val="17"/>
        </w:rPr>
        <w:t>职业学校专业教学指导方案实施制定。</w:t>
      </w:r>
    </w:p>
    <w:p w14:paraId="2DB81D1D">
      <w:pPr>
        <w:spacing w:before="35" w:line="308" w:lineRule="auto"/>
        <w:ind w:left="15" w:right="3" w:firstLine="359"/>
        <w:rPr>
          <w:rFonts w:ascii="宋体" w:hAnsi="宋体" w:eastAsia="宋体" w:cs="宋体"/>
          <w:sz w:val="17"/>
          <w:szCs w:val="17"/>
        </w:rPr>
      </w:pPr>
      <w:r>
        <w:rPr>
          <w:rFonts w:ascii="宋体" w:hAnsi="宋体" w:eastAsia="宋体" w:cs="宋体"/>
          <w:spacing w:val="5"/>
          <w:sz w:val="17"/>
          <w:szCs w:val="17"/>
        </w:rPr>
        <w:t>测试共4项，其中第1项为必测内容，第2、3、4项</w:t>
      </w:r>
      <w:r>
        <w:rPr>
          <w:rFonts w:ascii="宋体" w:hAnsi="宋体" w:eastAsia="宋体" w:cs="宋体"/>
          <w:spacing w:val="14"/>
          <w:sz w:val="17"/>
          <w:szCs w:val="17"/>
        </w:rPr>
        <w:t xml:space="preserve"> </w:t>
      </w:r>
      <w:r>
        <w:rPr>
          <w:rFonts w:ascii="宋体" w:hAnsi="宋体" w:eastAsia="宋体" w:cs="宋体"/>
          <w:spacing w:val="2"/>
          <w:sz w:val="17"/>
          <w:szCs w:val="17"/>
        </w:rPr>
        <w:t>为选测项，学生可在其中随机抽选一项测试，也可由考</w:t>
      </w:r>
      <w:r>
        <w:rPr>
          <w:rFonts w:ascii="宋体" w:hAnsi="宋体" w:eastAsia="宋体" w:cs="宋体"/>
          <w:spacing w:val="17"/>
          <w:sz w:val="17"/>
          <w:szCs w:val="17"/>
        </w:rPr>
        <w:t xml:space="preserve"> </w:t>
      </w:r>
      <w:r>
        <w:rPr>
          <w:rFonts w:ascii="宋体" w:hAnsi="宋体" w:eastAsia="宋体" w:cs="宋体"/>
          <w:spacing w:val="6"/>
          <w:sz w:val="17"/>
          <w:szCs w:val="17"/>
        </w:rPr>
        <w:t>点根据实际情况自行确定。测试分值满分为250分，其</w:t>
      </w:r>
      <w:r>
        <w:rPr>
          <w:rFonts w:ascii="宋体" w:hAnsi="宋体" w:eastAsia="宋体" w:cs="宋体"/>
          <w:spacing w:val="1"/>
          <w:sz w:val="17"/>
          <w:szCs w:val="17"/>
        </w:rPr>
        <w:t xml:space="preserve"> </w:t>
      </w:r>
      <w:r>
        <w:rPr>
          <w:rFonts w:ascii="宋体" w:hAnsi="宋体" w:eastAsia="宋体" w:cs="宋体"/>
          <w:spacing w:val="3"/>
          <w:sz w:val="17"/>
          <w:szCs w:val="17"/>
        </w:rPr>
        <w:t>中必测项为150分，选测项分值均为10</w:t>
      </w:r>
      <w:r>
        <w:rPr>
          <w:rFonts w:ascii="宋体" w:hAnsi="宋体" w:eastAsia="宋体" w:cs="宋体"/>
          <w:spacing w:val="2"/>
          <w:sz w:val="17"/>
          <w:szCs w:val="17"/>
        </w:rPr>
        <w:t>0分。</w:t>
      </w:r>
    </w:p>
    <w:p w14:paraId="73419AE3">
      <w:pPr>
        <w:pStyle w:val="2"/>
        <w:spacing w:line="437" w:lineRule="auto"/>
      </w:pPr>
    </w:p>
    <w:p w14:paraId="1D5B8A5F">
      <w:pPr>
        <w:spacing w:before="75" w:line="220" w:lineRule="auto"/>
        <w:ind w:left="18"/>
        <w:rPr>
          <w:rFonts w:ascii="宋体" w:hAnsi="宋体" w:eastAsia="宋体" w:cs="宋体"/>
          <w:sz w:val="23"/>
          <w:szCs w:val="23"/>
        </w:rPr>
      </w:pPr>
      <w:r>
        <w:rPr>
          <w:rFonts w:ascii="宋体" w:hAnsi="宋体" w:eastAsia="宋体" w:cs="宋体"/>
          <w:b/>
          <w:bCs/>
          <w:spacing w:val="-4"/>
          <w:sz w:val="23"/>
          <w:szCs w:val="23"/>
        </w:rPr>
        <w:t>项目一</w:t>
      </w:r>
      <w:r>
        <w:rPr>
          <w:rFonts w:ascii="宋体" w:hAnsi="宋体" w:eastAsia="宋体" w:cs="宋体"/>
          <w:spacing w:val="-4"/>
          <w:sz w:val="23"/>
          <w:szCs w:val="23"/>
        </w:rPr>
        <w:t xml:space="preserve">  </w:t>
      </w:r>
      <w:r>
        <w:rPr>
          <w:rFonts w:ascii="Times New Roman" w:hAnsi="Times New Roman" w:eastAsia="Times New Roman" w:cs="Times New Roman"/>
          <w:b/>
          <w:bCs/>
          <w:spacing w:val="-4"/>
          <w:sz w:val="23"/>
          <w:szCs w:val="23"/>
        </w:rPr>
        <w:t>NaOH</w:t>
      </w:r>
      <w:r>
        <w:rPr>
          <w:rFonts w:ascii="宋体" w:hAnsi="宋体" w:eastAsia="宋体" w:cs="宋体"/>
          <w:b/>
          <w:bCs/>
          <w:spacing w:val="-4"/>
          <w:sz w:val="23"/>
          <w:szCs w:val="23"/>
        </w:rPr>
        <w:t>溶液的滴定</w:t>
      </w:r>
    </w:p>
    <w:p w14:paraId="3C7867DE">
      <w:pPr>
        <w:spacing w:before="253" w:line="219" w:lineRule="auto"/>
        <w:ind w:left="17"/>
        <w:rPr>
          <w:rFonts w:ascii="宋体" w:hAnsi="宋体" w:eastAsia="宋体" w:cs="宋体"/>
          <w:sz w:val="19"/>
          <w:szCs w:val="19"/>
        </w:rPr>
      </w:pPr>
      <w:r>
        <w:rPr>
          <w:rFonts w:ascii="宋体" w:hAnsi="宋体" w:eastAsia="宋体" w:cs="宋体"/>
          <w:b/>
          <w:bCs/>
          <w:spacing w:val="1"/>
          <w:sz w:val="19"/>
          <w:szCs w:val="19"/>
        </w:rPr>
        <w:t>一</w:t>
      </w:r>
      <w:r>
        <w:rPr>
          <w:rFonts w:ascii="宋体" w:hAnsi="宋体" w:eastAsia="宋体" w:cs="宋体"/>
          <w:spacing w:val="-48"/>
          <w:sz w:val="19"/>
          <w:szCs w:val="19"/>
        </w:rPr>
        <w:t xml:space="preserve"> </w:t>
      </w:r>
      <w:r>
        <w:rPr>
          <w:rFonts w:ascii="宋体" w:hAnsi="宋体" w:eastAsia="宋体" w:cs="宋体"/>
          <w:b/>
          <w:bCs/>
          <w:spacing w:val="1"/>
          <w:sz w:val="19"/>
          <w:szCs w:val="19"/>
        </w:rPr>
        <w:t>、测试用具或试剂</w:t>
      </w:r>
    </w:p>
    <w:p w14:paraId="6D527682">
      <w:pPr>
        <w:spacing w:before="97" w:line="275" w:lineRule="auto"/>
        <w:ind w:left="15" w:right="2" w:firstLine="359"/>
        <w:jc w:val="both"/>
        <w:rPr>
          <w:rFonts w:ascii="宋体" w:hAnsi="宋体" w:eastAsia="宋体" w:cs="宋体"/>
          <w:sz w:val="17"/>
          <w:szCs w:val="17"/>
        </w:rPr>
      </w:pPr>
      <w:r>
        <w:rPr>
          <w:rFonts w:ascii="宋体" w:hAnsi="宋体" w:eastAsia="宋体" w:cs="宋体"/>
          <w:spacing w:val="-10"/>
          <w:sz w:val="19"/>
          <w:szCs w:val="19"/>
        </w:rPr>
        <w:t xml:space="preserve">烧杯、锥形瓶、移液管(10 </w:t>
      </w:r>
      <w:r>
        <w:rPr>
          <w:rFonts w:ascii="Times New Roman" w:hAnsi="Times New Roman" w:eastAsia="Times New Roman" w:cs="Times New Roman"/>
          <w:spacing w:val="-10"/>
          <w:sz w:val="19"/>
          <w:szCs w:val="19"/>
        </w:rPr>
        <w:t>mL)</w:t>
      </w:r>
      <w:r>
        <w:rPr>
          <w:rFonts w:ascii="Times New Roman" w:hAnsi="Times New Roman" w:eastAsia="Times New Roman" w:cs="Times New Roman"/>
          <w:spacing w:val="-19"/>
          <w:sz w:val="19"/>
          <w:szCs w:val="19"/>
        </w:rPr>
        <w:t xml:space="preserve"> </w:t>
      </w:r>
      <w:r>
        <w:rPr>
          <w:rFonts w:ascii="宋体" w:hAnsi="宋体" w:eastAsia="宋体" w:cs="宋体"/>
          <w:spacing w:val="-10"/>
          <w:sz w:val="19"/>
          <w:szCs w:val="19"/>
        </w:rPr>
        <w:t>、</w:t>
      </w:r>
      <w:r>
        <w:rPr>
          <w:rFonts w:ascii="宋体" w:hAnsi="宋体" w:eastAsia="宋体" w:cs="宋体"/>
          <w:spacing w:val="-31"/>
          <w:sz w:val="19"/>
          <w:szCs w:val="19"/>
        </w:rPr>
        <w:t xml:space="preserve"> </w:t>
      </w:r>
      <w:r>
        <w:rPr>
          <w:rFonts w:ascii="宋体" w:hAnsi="宋体" w:eastAsia="宋体" w:cs="宋体"/>
          <w:spacing w:val="-10"/>
          <w:sz w:val="19"/>
          <w:szCs w:val="19"/>
        </w:rPr>
        <w:t>吸耳球、滴定</w:t>
      </w:r>
      <w:r>
        <w:rPr>
          <w:rFonts w:ascii="宋体" w:hAnsi="宋体" w:eastAsia="宋体" w:cs="宋体"/>
          <w:sz w:val="19"/>
          <w:szCs w:val="19"/>
        </w:rPr>
        <w:t xml:space="preserve"> </w:t>
      </w:r>
      <w:r>
        <w:rPr>
          <w:rFonts w:ascii="宋体" w:hAnsi="宋体" w:eastAsia="宋体" w:cs="宋体"/>
          <w:spacing w:val="-2"/>
          <w:sz w:val="17"/>
          <w:szCs w:val="17"/>
        </w:rPr>
        <w:t xml:space="preserve">台，滴定管；0.1000 </w:t>
      </w:r>
      <w:r>
        <w:rPr>
          <w:rFonts w:ascii="Times New Roman" w:hAnsi="Times New Roman" w:eastAsia="Times New Roman" w:cs="Times New Roman"/>
          <w:spacing w:val="-2"/>
          <w:sz w:val="17"/>
          <w:szCs w:val="17"/>
        </w:rPr>
        <w:t>mol/L</w:t>
      </w:r>
      <w:r>
        <w:rPr>
          <w:rFonts w:ascii="Times New Roman" w:hAnsi="Times New Roman" w:eastAsia="Times New Roman" w:cs="Times New Roman"/>
          <w:spacing w:val="-13"/>
          <w:sz w:val="17"/>
          <w:szCs w:val="17"/>
        </w:rPr>
        <w:t xml:space="preserve"> </w:t>
      </w:r>
      <w:r>
        <w:rPr>
          <w:rFonts w:ascii="宋体" w:hAnsi="宋体" w:eastAsia="宋体" w:cs="宋体"/>
          <w:spacing w:val="-2"/>
          <w:sz w:val="17"/>
          <w:szCs w:val="17"/>
        </w:rPr>
        <w:t>盐酸标准溶液、待测</w:t>
      </w:r>
      <w:r>
        <w:rPr>
          <w:rFonts w:ascii="Times New Roman" w:hAnsi="Times New Roman" w:eastAsia="Times New Roman" w:cs="Times New Roman"/>
          <w:spacing w:val="-2"/>
          <w:sz w:val="17"/>
          <w:szCs w:val="17"/>
        </w:rPr>
        <w:t>NaOH</w:t>
      </w:r>
      <w:r>
        <w:rPr>
          <w:rFonts w:ascii="宋体" w:hAnsi="宋体" w:eastAsia="宋体" w:cs="宋体"/>
          <w:spacing w:val="-2"/>
          <w:sz w:val="17"/>
          <w:szCs w:val="17"/>
        </w:rPr>
        <w:t>溶</w:t>
      </w:r>
      <w:r>
        <w:rPr>
          <w:rFonts w:ascii="宋体" w:hAnsi="宋体" w:eastAsia="宋体" w:cs="宋体"/>
          <w:sz w:val="17"/>
          <w:szCs w:val="17"/>
        </w:rPr>
        <w:t xml:space="preserve"> 液、甲基橙、蒸馏水。</w:t>
      </w:r>
    </w:p>
    <w:p w14:paraId="75B232FF">
      <w:pPr>
        <w:spacing w:line="275" w:lineRule="auto"/>
        <w:rPr>
          <w:rFonts w:ascii="宋体" w:hAnsi="宋体" w:eastAsia="宋体" w:cs="宋体"/>
          <w:sz w:val="17"/>
          <w:szCs w:val="17"/>
        </w:rPr>
        <w:sectPr>
          <w:type w:val="continuous"/>
          <w:pgSz w:w="10660" w:h="15080"/>
          <w:pgMar w:top="400" w:right="1056" w:bottom="898" w:left="819" w:header="0" w:footer="745" w:gutter="0"/>
          <w:cols w:equalWidth="0" w:num="2">
            <w:col w:w="4515" w:space="100"/>
            <w:col w:w="4169"/>
          </w:cols>
        </w:sectPr>
      </w:pPr>
    </w:p>
    <w:p w14:paraId="33BE81AC">
      <w:pPr>
        <w:spacing w:before="13"/>
      </w:pPr>
    </w:p>
    <w:p w14:paraId="18E8BAFF">
      <w:pPr>
        <w:spacing w:before="12"/>
      </w:pPr>
    </w:p>
    <w:p w14:paraId="055EFC5C">
      <w:pPr>
        <w:spacing w:before="12"/>
      </w:pPr>
    </w:p>
    <w:p w14:paraId="0950FFEE">
      <w:pPr>
        <w:spacing w:before="12"/>
      </w:pPr>
    </w:p>
    <w:p w14:paraId="41129219">
      <w:pPr>
        <w:sectPr>
          <w:footerReference r:id="rId161" w:type="default"/>
          <w:pgSz w:w="10660" w:h="15080"/>
          <w:pgMar w:top="400" w:right="934" w:bottom="905" w:left="960" w:header="0" w:footer="743" w:gutter="0"/>
          <w:cols w:equalWidth="0" w:num="1">
            <w:col w:w="8765"/>
          </w:cols>
        </w:sectPr>
      </w:pPr>
    </w:p>
    <w:p w14:paraId="746A873D">
      <w:pPr>
        <w:spacing w:before="9" w:line="222" w:lineRule="auto"/>
        <w:ind w:left="2"/>
        <w:rPr>
          <w:rFonts w:ascii="黑体" w:hAnsi="黑体" w:eastAsia="黑体" w:cs="黑体"/>
          <w:sz w:val="18"/>
          <w:szCs w:val="18"/>
        </w:rPr>
      </w:pPr>
      <w:r>
        <w:rPr>
          <w:rFonts w:ascii="黑体" w:hAnsi="黑体" w:eastAsia="黑体" w:cs="黑体"/>
          <w:b/>
          <w:bCs/>
          <w:spacing w:val="10"/>
          <w:sz w:val="18"/>
          <w:szCs w:val="18"/>
        </w:rPr>
        <w:t>二</w:t>
      </w:r>
      <w:r>
        <w:rPr>
          <w:rFonts w:ascii="黑体" w:hAnsi="黑体" w:eastAsia="黑体" w:cs="黑体"/>
          <w:spacing w:val="-38"/>
          <w:sz w:val="18"/>
          <w:szCs w:val="18"/>
        </w:rPr>
        <w:t xml:space="preserve"> </w:t>
      </w:r>
      <w:r>
        <w:rPr>
          <w:rFonts w:ascii="黑体" w:hAnsi="黑体" w:eastAsia="黑体" w:cs="黑体"/>
          <w:b/>
          <w:bCs/>
          <w:spacing w:val="10"/>
          <w:sz w:val="18"/>
          <w:szCs w:val="18"/>
        </w:rPr>
        <w:t>、技能要求</w:t>
      </w:r>
    </w:p>
    <w:p w14:paraId="1B0A20BE">
      <w:pPr>
        <w:spacing w:before="126" w:line="219" w:lineRule="auto"/>
        <w:ind w:left="379"/>
        <w:rPr>
          <w:rFonts w:ascii="宋体" w:hAnsi="宋体" w:eastAsia="宋体" w:cs="宋体"/>
          <w:sz w:val="18"/>
          <w:szCs w:val="18"/>
        </w:rPr>
      </w:pPr>
      <w:r>
        <w:rPr>
          <w:rFonts w:ascii="宋体" w:hAnsi="宋体" w:eastAsia="宋体" w:cs="宋体"/>
          <w:spacing w:val="-8"/>
          <w:sz w:val="18"/>
          <w:szCs w:val="18"/>
        </w:rPr>
        <w:t>1.熟练掌握滴定操作</w:t>
      </w:r>
    </w:p>
    <w:p w14:paraId="7EE4C688">
      <w:pPr>
        <w:spacing w:before="76" w:line="219" w:lineRule="auto"/>
        <w:ind w:left="379"/>
        <w:rPr>
          <w:rFonts w:ascii="宋体" w:hAnsi="宋体" w:eastAsia="宋体" w:cs="宋体"/>
          <w:sz w:val="18"/>
          <w:szCs w:val="18"/>
        </w:rPr>
      </w:pPr>
      <w:r>
        <w:rPr>
          <w:rFonts w:ascii="宋体" w:hAnsi="宋体" w:eastAsia="宋体" w:cs="宋体"/>
          <w:spacing w:val="-8"/>
          <w:sz w:val="18"/>
          <w:szCs w:val="18"/>
        </w:rPr>
        <w:t>2.正确判断滴定终点及数据处理</w:t>
      </w:r>
    </w:p>
    <w:p w14:paraId="023B7C6C">
      <w:pPr>
        <w:spacing w:before="222" w:line="221" w:lineRule="auto"/>
        <w:ind w:left="2"/>
        <w:rPr>
          <w:rFonts w:ascii="黑体" w:hAnsi="黑体" w:eastAsia="黑体" w:cs="黑体"/>
          <w:sz w:val="18"/>
          <w:szCs w:val="18"/>
        </w:rPr>
      </w:pPr>
      <w:r>
        <w:rPr>
          <w:rFonts w:ascii="黑体" w:hAnsi="黑体" w:eastAsia="黑体" w:cs="黑体"/>
          <w:b/>
          <w:bCs/>
          <w:spacing w:val="9"/>
          <w:sz w:val="18"/>
          <w:szCs w:val="18"/>
        </w:rPr>
        <w:t>三</w:t>
      </w:r>
      <w:r>
        <w:rPr>
          <w:rFonts w:ascii="黑体" w:hAnsi="黑体" w:eastAsia="黑体" w:cs="黑体"/>
          <w:spacing w:val="-38"/>
          <w:sz w:val="18"/>
          <w:szCs w:val="18"/>
        </w:rPr>
        <w:t xml:space="preserve"> </w:t>
      </w:r>
      <w:r>
        <w:rPr>
          <w:rFonts w:ascii="黑体" w:hAnsi="黑体" w:eastAsia="黑体" w:cs="黑体"/>
          <w:b/>
          <w:bCs/>
          <w:spacing w:val="9"/>
          <w:sz w:val="18"/>
          <w:szCs w:val="18"/>
        </w:rPr>
        <w:t>、分值与测试时间</w:t>
      </w:r>
    </w:p>
    <w:p w14:paraId="76AFE58C">
      <w:pPr>
        <w:spacing w:before="128" w:line="219" w:lineRule="auto"/>
        <w:ind w:left="379"/>
        <w:rPr>
          <w:rFonts w:ascii="宋体" w:hAnsi="宋体" w:eastAsia="宋体" w:cs="宋体"/>
          <w:sz w:val="18"/>
          <w:szCs w:val="18"/>
        </w:rPr>
      </w:pPr>
      <w:r>
        <w:rPr>
          <w:rFonts w:ascii="宋体" w:hAnsi="宋体" w:eastAsia="宋体" w:cs="宋体"/>
          <w:spacing w:val="1"/>
          <w:sz w:val="18"/>
          <w:szCs w:val="18"/>
        </w:rPr>
        <w:t>分值为150分；测试时间为30分钟。</w:t>
      </w:r>
    </w:p>
    <w:p w14:paraId="55C6D898">
      <w:pPr>
        <w:spacing w:before="212" w:line="221" w:lineRule="auto"/>
        <w:ind w:left="2"/>
        <w:rPr>
          <w:rFonts w:ascii="黑体" w:hAnsi="黑体" w:eastAsia="黑体" w:cs="黑体"/>
          <w:sz w:val="18"/>
          <w:szCs w:val="18"/>
        </w:rPr>
      </w:pPr>
      <w:r>
        <w:rPr>
          <w:rFonts w:ascii="黑体" w:hAnsi="黑体" w:eastAsia="黑体" w:cs="黑体"/>
          <w:b/>
          <w:bCs/>
          <w:spacing w:val="5"/>
          <w:sz w:val="18"/>
          <w:szCs w:val="18"/>
        </w:rPr>
        <w:t>四</w:t>
      </w:r>
      <w:r>
        <w:rPr>
          <w:rFonts w:ascii="黑体" w:hAnsi="黑体" w:eastAsia="黑体" w:cs="黑体"/>
          <w:spacing w:val="-32"/>
          <w:sz w:val="18"/>
          <w:szCs w:val="18"/>
        </w:rPr>
        <w:t xml:space="preserve"> </w:t>
      </w:r>
      <w:r>
        <w:rPr>
          <w:rFonts w:ascii="黑体" w:hAnsi="黑体" w:eastAsia="黑体" w:cs="黑体"/>
          <w:b/>
          <w:bCs/>
          <w:spacing w:val="5"/>
          <w:sz w:val="18"/>
          <w:szCs w:val="18"/>
        </w:rPr>
        <w:t>、操作步骤</w:t>
      </w:r>
    </w:p>
    <w:p w14:paraId="617BF169">
      <w:pPr>
        <w:spacing w:before="129" w:line="219" w:lineRule="auto"/>
        <w:ind w:left="379"/>
        <w:rPr>
          <w:rFonts w:ascii="宋体" w:hAnsi="宋体" w:eastAsia="宋体" w:cs="宋体"/>
          <w:sz w:val="18"/>
          <w:szCs w:val="18"/>
        </w:rPr>
      </w:pPr>
      <w:r>
        <w:rPr>
          <w:rFonts w:ascii="宋体" w:hAnsi="宋体" w:eastAsia="宋体" w:cs="宋体"/>
          <w:spacing w:val="-7"/>
          <w:sz w:val="18"/>
          <w:szCs w:val="18"/>
        </w:rPr>
        <w:t>1.锥形瓶的清洗、移液管的使用</w:t>
      </w:r>
    </w:p>
    <w:p w14:paraId="5DE23EB2">
      <w:pPr>
        <w:spacing w:before="87" w:line="284" w:lineRule="auto"/>
        <w:ind w:right="306" w:firstLine="379"/>
        <w:rPr>
          <w:rFonts w:ascii="宋体" w:hAnsi="宋体" w:eastAsia="宋体" w:cs="宋体"/>
          <w:sz w:val="18"/>
          <w:szCs w:val="18"/>
        </w:rPr>
      </w:pPr>
      <w:r>
        <w:rPr>
          <w:rFonts w:ascii="宋体" w:hAnsi="宋体" w:eastAsia="宋体" w:cs="宋体"/>
          <w:spacing w:val="-6"/>
          <w:sz w:val="18"/>
          <w:szCs w:val="18"/>
        </w:rPr>
        <w:t>锥形瓶、移液管的洗涤与润洗，向250</w:t>
      </w:r>
      <w:r>
        <w:rPr>
          <w:rFonts w:ascii="Times New Roman" w:hAnsi="Times New Roman" w:eastAsia="Times New Roman" w:cs="Times New Roman"/>
          <w:spacing w:val="-6"/>
          <w:sz w:val="18"/>
          <w:szCs w:val="18"/>
        </w:rPr>
        <w:t>mL</w:t>
      </w:r>
      <w:r>
        <w:rPr>
          <w:rFonts w:ascii="宋体" w:hAnsi="宋体" w:eastAsia="宋体" w:cs="宋体"/>
          <w:spacing w:val="-6"/>
          <w:sz w:val="18"/>
          <w:szCs w:val="18"/>
        </w:rPr>
        <w:t>的锥形瓶</w:t>
      </w:r>
      <w:r>
        <w:rPr>
          <w:rFonts w:ascii="宋体" w:hAnsi="宋体" w:eastAsia="宋体" w:cs="宋体"/>
          <w:spacing w:val="1"/>
          <w:sz w:val="18"/>
          <w:szCs w:val="18"/>
        </w:rPr>
        <w:t xml:space="preserve"> </w:t>
      </w:r>
      <w:r>
        <w:rPr>
          <w:rFonts w:ascii="宋体" w:hAnsi="宋体" w:eastAsia="宋体" w:cs="宋体"/>
          <w:spacing w:val="-8"/>
          <w:sz w:val="18"/>
          <w:szCs w:val="18"/>
        </w:rPr>
        <w:t>中转移10.00</w:t>
      </w:r>
      <w:r>
        <w:rPr>
          <w:rFonts w:ascii="Times New Roman" w:hAnsi="Times New Roman" w:eastAsia="Times New Roman" w:cs="Times New Roman"/>
          <w:spacing w:val="-8"/>
          <w:sz w:val="18"/>
          <w:szCs w:val="18"/>
        </w:rPr>
        <w:t>mL</w:t>
      </w:r>
      <w:r>
        <w:rPr>
          <w:rFonts w:ascii="宋体" w:hAnsi="宋体" w:eastAsia="宋体" w:cs="宋体"/>
          <w:spacing w:val="-8"/>
          <w:sz w:val="18"/>
          <w:szCs w:val="18"/>
        </w:rPr>
        <w:t>的待测碱溶液。</w:t>
      </w:r>
    </w:p>
    <w:p w14:paraId="67F42F8A">
      <w:pPr>
        <w:spacing w:before="16" w:line="219" w:lineRule="auto"/>
        <w:ind w:left="379"/>
        <w:rPr>
          <w:rFonts w:ascii="宋体" w:hAnsi="宋体" w:eastAsia="宋体" w:cs="宋体"/>
          <w:sz w:val="18"/>
          <w:szCs w:val="18"/>
        </w:rPr>
      </w:pPr>
      <w:r>
        <w:rPr>
          <w:rFonts w:ascii="宋体" w:hAnsi="宋体" w:eastAsia="宋体" w:cs="宋体"/>
          <w:spacing w:val="-4"/>
          <w:sz w:val="18"/>
          <w:szCs w:val="18"/>
        </w:rPr>
        <w:t>2.滴定管的使用</w:t>
      </w:r>
    </w:p>
    <w:p w14:paraId="7513B883">
      <w:pPr>
        <w:spacing w:before="96" w:line="219" w:lineRule="auto"/>
        <w:ind w:left="379"/>
        <w:rPr>
          <w:rFonts w:ascii="宋体" w:hAnsi="宋体" w:eastAsia="宋体" w:cs="宋体"/>
          <w:sz w:val="18"/>
          <w:szCs w:val="18"/>
        </w:rPr>
      </w:pPr>
      <w:r>
        <w:rPr>
          <w:rFonts w:ascii="宋体" w:hAnsi="宋体" w:eastAsia="宋体" w:cs="宋体"/>
          <w:spacing w:val="-7"/>
          <w:sz w:val="18"/>
          <w:szCs w:val="18"/>
        </w:rPr>
        <w:t>滴定管的润洗与安装，往滴定管装入配制好的</w:t>
      </w:r>
    </w:p>
    <w:p w14:paraId="5E337089">
      <w:pPr>
        <w:spacing w:before="76" w:line="274" w:lineRule="auto"/>
        <w:ind w:right="316"/>
        <w:rPr>
          <w:rFonts w:ascii="宋体" w:hAnsi="宋体" w:eastAsia="宋体" w:cs="宋体"/>
          <w:sz w:val="18"/>
          <w:szCs w:val="18"/>
        </w:rPr>
      </w:pPr>
      <w:r>
        <w:rPr>
          <w:rFonts w:ascii="Times New Roman" w:hAnsi="Times New Roman" w:eastAsia="Times New Roman" w:cs="Times New Roman"/>
          <w:spacing w:val="-8"/>
          <w:sz w:val="18"/>
          <w:szCs w:val="18"/>
        </w:rPr>
        <w:t>0.1000 mol/L</w:t>
      </w:r>
      <w:r>
        <w:rPr>
          <w:rFonts w:ascii="宋体" w:hAnsi="宋体" w:eastAsia="宋体" w:cs="宋体"/>
          <w:spacing w:val="-8"/>
          <w:sz w:val="18"/>
          <w:szCs w:val="18"/>
        </w:rPr>
        <w:t>的盐酸标准液，排除滴定管中的气泡，调整</w:t>
      </w:r>
      <w:r>
        <w:rPr>
          <w:rFonts w:ascii="宋体" w:hAnsi="宋体" w:eastAsia="宋体" w:cs="宋体"/>
          <w:spacing w:val="15"/>
          <w:sz w:val="18"/>
          <w:szCs w:val="18"/>
        </w:rPr>
        <w:t xml:space="preserve"> </w:t>
      </w:r>
      <w:r>
        <w:rPr>
          <w:rFonts w:ascii="宋体" w:hAnsi="宋体" w:eastAsia="宋体" w:cs="宋体"/>
          <w:spacing w:val="-8"/>
          <w:sz w:val="18"/>
          <w:szCs w:val="18"/>
        </w:rPr>
        <w:t>初始读数为0。</w:t>
      </w:r>
    </w:p>
    <w:p w14:paraId="254EC1E9">
      <w:pPr>
        <w:spacing w:before="37" w:line="220" w:lineRule="auto"/>
        <w:ind w:left="379"/>
        <w:rPr>
          <w:rFonts w:ascii="宋体" w:hAnsi="宋体" w:eastAsia="宋体" w:cs="宋体"/>
          <w:sz w:val="18"/>
          <w:szCs w:val="18"/>
        </w:rPr>
      </w:pPr>
      <w:r>
        <w:rPr>
          <w:rFonts w:ascii="宋体" w:hAnsi="宋体" w:eastAsia="宋体" w:cs="宋体"/>
          <w:spacing w:val="-4"/>
          <w:sz w:val="18"/>
          <w:szCs w:val="18"/>
        </w:rPr>
        <w:t>3.滴定过程</w:t>
      </w:r>
    </w:p>
    <w:p w14:paraId="20A7DA32">
      <w:pPr>
        <w:spacing w:before="104" w:line="254" w:lineRule="auto"/>
        <w:ind w:right="311" w:firstLine="379"/>
        <w:rPr>
          <w:rFonts w:ascii="宋体" w:hAnsi="宋体" w:eastAsia="宋体" w:cs="宋体"/>
          <w:sz w:val="18"/>
          <w:szCs w:val="18"/>
        </w:rPr>
      </w:pPr>
      <w:r>
        <w:rPr>
          <w:rFonts w:ascii="宋体" w:hAnsi="宋体" w:eastAsia="宋体" w:cs="宋体"/>
          <w:spacing w:val="-8"/>
          <w:sz w:val="18"/>
          <w:szCs w:val="18"/>
        </w:rPr>
        <w:t>指示剂的加入，滴定操作标准规范，控制好滴定加</w:t>
      </w:r>
      <w:r>
        <w:rPr>
          <w:rFonts w:ascii="宋体" w:hAnsi="宋体" w:eastAsia="宋体" w:cs="宋体"/>
          <w:spacing w:val="8"/>
          <w:sz w:val="18"/>
          <w:szCs w:val="18"/>
        </w:rPr>
        <w:t xml:space="preserve"> </w:t>
      </w:r>
      <w:r>
        <w:rPr>
          <w:rFonts w:ascii="宋体" w:hAnsi="宋体" w:eastAsia="宋体" w:cs="宋体"/>
          <w:spacing w:val="-8"/>
          <w:sz w:val="18"/>
          <w:szCs w:val="18"/>
        </w:rPr>
        <w:t>速度，准确把握滴定终点，正确读数。</w:t>
      </w:r>
    </w:p>
    <w:p w14:paraId="243A8CFE">
      <w:pPr>
        <w:spacing w:before="66" w:line="294" w:lineRule="auto"/>
        <w:ind w:left="379" w:right="2718"/>
        <w:rPr>
          <w:rFonts w:ascii="宋体" w:hAnsi="宋体" w:eastAsia="宋体" w:cs="宋体"/>
          <w:sz w:val="18"/>
          <w:szCs w:val="18"/>
        </w:rPr>
      </w:pPr>
      <w:r>
        <w:rPr>
          <w:rFonts w:ascii="宋体" w:hAnsi="宋体" w:eastAsia="宋体" w:cs="宋体"/>
          <w:spacing w:val="-6"/>
          <w:sz w:val="18"/>
          <w:szCs w:val="18"/>
        </w:rPr>
        <w:t>4.数据记录及处理</w:t>
      </w:r>
      <w:r>
        <w:rPr>
          <w:rFonts w:ascii="宋体" w:hAnsi="宋体" w:eastAsia="宋体" w:cs="宋体"/>
          <w:sz w:val="18"/>
          <w:szCs w:val="18"/>
        </w:rPr>
        <w:t xml:space="preserve"> </w:t>
      </w:r>
      <w:r>
        <w:rPr>
          <w:rFonts w:ascii="宋体" w:hAnsi="宋体" w:eastAsia="宋体" w:cs="宋体"/>
          <w:spacing w:val="-7"/>
          <w:sz w:val="18"/>
          <w:szCs w:val="18"/>
        </w:rPr>
        <w:t>5.安全文明操作</w:t>
      </w:r>
    </w:p>
    <w:p w14:paraId="64162CDE">
      <w:pPr>
        <w:spacing w:before="142" w:line="222" w:lineRule="auto"/>
        <w:ind w:left="2"/>
        <w:rPr>
          <w:rFonts w:ascii="黑体" w:hAnsi="黑体" w:eastAsia="黑体" w:cs="黑体"/>
          <w:sz w:val="18"/>
          <w:szCs w:val="18"/>
        </w:rPr>
      </w:pPr>
      <w:r>
        <w:rPr>
          <w:rFonts w:ascii="黑体" w:hAnsi="黑体" w:eastAsia="黑体" w:cs="黑体"/>
          <w:b/>
          <w:bCs/>
          <w:spacing w:val="6"/>
          <w:sz w:val="18"/>
          <w:szCs w:val="18"/>
        </w:rPr>
        <w:t>五</w:t>
      </w:r>
      <w:r>
        <w:rPr>
          <w:rFonts w:ascii="黑体" w:hAnsi="黑体" w:eastAsia="黑体" w:cs="黑体"/>
          <w:spacing w:val="-34"/>
          <w:sz w:val="18"/>
          <w:szCs w:val="18"/>
        </w:rPr>
        <w:t xml:space="preserve"> </w:t>
      </w:r>
      <w:r>
        <w:rPr>
          <w:rFonts w:ascii="黑体" w:hAnsi="黑体" w:eastAsia="黑体" w:cs="黑体"/>
          <w:b/>
          <w:bCs/>
          <w:spacing w:val="6"/>
          <w:sz w:val="18"/>
          <w:szCs w:val="18"/>
        </w:rPr>
        <w:t>、评分标准</w:t>
      </w:r>
    </w:p>
    <w:p w14:paraId="5BB2E0E9">
      <w:pPr>
        <w:spacing w:line="135" w:lineRule="exact"/>
      </w:pPr>
    </w:p>
    <w:tbl>
      <w:tblPr>
        <w:tblStyle w:val="5"/>
        <w:tblW w:w="4176" w:type="dxa"/>
        <w:tblInd w:w="2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84"/>
        <w:gridCol w:w="868"/>
        <w:gridCol w:w="269"/>
        <w:gridCol w:w="2455"/>
      </w:tblGrid>
      <w:tr w14:paraId="599027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0" w:hRule="atLeast"/>
        </w:trPr>
        <w:tc>
          <w:tcPr>
            <w:tcW w:w="584" w:type="dxa"/>
            <w:tcBorders>
              <w:top w:val="single" w:color="000000" w:sz="2" w:space="0"/>
              <w:bottom w:val="single" w:color="000000" w:sz="2" w:space="0"/>
            </w:tcBorders>
            <w:vAlign w:val="top"/>
          </w:tcPr>
          <w:p w14:paraId="6AFE17B8">
            <w:pPr>
              <w:pStyle w:val="6"/>
              <w:spacing w:before="55" w:line="230" w:lineRule="auto"/>
              <w:ind w:left="107" w:right="114"/>
              <w:rPr>
                <w:sz w:val="18"/>
                <w:szCs w:val="18"/>
              </w:rPr>
            </w:pPr>
            <w:r>
              <w:rPr>
                <w:b/>
                <w:bCs/>
                <w:spacing w:val="-6"/>
                <w:sz w:val="18"/>
                <w:szCs w:val="18"/>
              </w:rPr>
              <w:t>测试</w:t>
            </w:r>
            <w:r>
              <w:rPr>
                <w:sz w:val="18"/>
                <w:szCs w:val="18"/>
              </w:rPr>
              <w:t xml:space="preserve"> </w:t>
            </w:r>
            <w:r>
              <w:rPr>
                <w:b/>
                <w:bCs/>
                <w:spacing w:val="-6"/>
                <w:sz w:val="18"/>
                <w:szCs w:val="18"/>
              </w:rPr>
              <w:t>要点</w:t>
            </w:r>
          </w:p>
        </w:tc>
        <w:tc>
          <w:tcPr>
            <w:tcW w:w="868" w:type="dxa"/>
            <w:tcBorders>
              <w:top w:val="single" w:color="000000" w:sz="2" w:space="0"/>
              <w:bottom w:val="single" w:color="000000" w:sz="2" w:space="0"/>
            </w:tcBorders>
            <w:vAlign w:val="top"/>
          </w:tcPr>
          <w:p w14:paraId="08017A38">
            <w:pPr>
              <w:pStyle w:val="6"/>
              <w:spacing w:before="174" w:line="219" w:lineRule="auto"/>
              <w:ind w:left="63"/>
              <w:rPr>
                <w:sz w:val="18"/>
                <w:szCs w:val="18"/>
              </w:rPr>
            </w:pPr>
            <w:r>
              <w:rPr>
                <w:b/>
                <w:bCs/>
                <w:spacing w:val="-4"/>
                <w:sz w:val="18"/>
                <w:szCs w:val="18"/>
              </w:rPr>
              <w:t>测试内容</w:t>
            </w:r>
          </w:p>
        </w:tc>
        <w:tc>
          <w:tcPr>
            <w:tcW w:w="269" w:type="dxa"/>
            <w:tcBorders>
              <w:top w:val="single" w:color="000000" w:sz="2" w:space="0"/>
              <w:bottom w:val="single" w:color="000000" w:sz="2" w:space="0"/>
            </w:tcBorders>
            <w:textDirection w:val="tbRlV"/>
            <w:vAlign w:val="top"/>
          </w:tcPr>
          <w:p w14:paraId="2C676A2C">
            <w:pPr>
              <w:pStyle w:val="6"/>
              <w:spacing w:before="52" w:line="201" w:lineRule="auto"/>
              <w:ind w:left="66"/>
              <w:rPr>
                <w:sz w:val="18"/>
                <w:szCs w:val="18"/>
              </w:rPr>
            </w:pPr>
            <w:r>
              <w:rPr>
                <w:b/>
                <w:bCs/>
                <w:spacing w:val="-2"/>
                <w:sz w:val="18"/>
                <w:szCs w:val="18"/>
              </w:rPr>
              <w:t>分值</w:t>
            </w:r>
          </w:p>
        </w:tc>
        <w:tc>
          <w:tcPr>
            <w:tcW w:w="2455" w:type="dxa"/>
            <w:tcBorders>
              <w:top w:val="single" w:color="000000" w:sz="2" w:space="0"/>
              <w:bottom w:val="single" w:color="000000" w:sz="2" w:space="0"/>
            </w:tcBorders>
            <w:vAlign w:val="top"/>
          </w:tcPr>
          <w:p w14:paraId="211267FC">
            <w:pPr>
              <w:pStyle w:val="6"/>
              <w:spacing w:before="175" w:line="220" w:lineRule="auto"/>
              <w:ind w:left="896"/>
              <w:rPr>
                <w:sz w:val="18"/>
                <w:szCs w:val="18"/>
              </w:rPr>
            </w:pPr>
            <w:r>
              <w:rPr>
                <w:b/>
                <w:bCs/>
                <w:spacing w:val="-4"/>
                <w:sz w:val="18"/>
                <w:szCs w:val="18"/>
              </w:rPr>
              <w:t>评分标准</w:t>
            </w:r>
          </w:p>
        </w:tc>
      </w:tr>
      <w:tr w14:paraId="1EF7AF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54" w:hRule="atLeast"/>
        </w:trPr>
        <w:tc>
          <w:tcPr>
            <w:tcW w:w="584" w:type="dxa"/>
            <w:tcBorders>
              <w:top w:val="single" w:color="000000" w:sz="2" w:space="0"/>
              <w:bottom w:val="single" w:color="000000" w:sz="2" w:space="0"/>
            </w:tcBorders>
            <w:vAlign w:val="top"/>
          </w:tcPr>
          <w:p w14:paraId="710465BC">
            <w:pPr>
              <w:pStyle w:val="6"/>
              <w:spacing w:before="152" w:line="208" w:lineRule="auto"/>
              <w:ind w:left="105" w:right="117"/>
              <w:rPr>
                <w:sz w:val="18"/>
                <w:szCs w:val="18"/>
              </w:rPr>
            </w:pPr>
            <w:r>
              <w:rPr>
                <w:spacing w:val="-6"/>
                <w:sz w:val="18"/>
                <w:szCs w:val="18"/>
              </w:rPr>
              <w:t>实验</w:t>
            </w:r>
            <w:r>
              <w:rPr>
                <w:sz w:val="18"/>
                <w:szCs w:val="18"/>
              </w:rPr>
              <w:t xml:space="preserve"> </w:t>
            </w:r>
            <w:r>
              <w:rPr>
                <w:spacing w:val="-5"/>
                <w:sz w:val="18"/>
                <w:szCs w:val="18"/>
              </w:rPr>
              <w:t>准备</w:t>
            </w:r>
          </w:p>
        </w:tc>
        <w:tc>
          <w:tcPr>
            <w:tcW w:w="868" w:type="dxa"/>
            <w:tcBorders>
              <w:top w:val="single" w:color="000000" w:sz="2" w:space="0"/>
              <w:bottom w:val="single" w:color="000000" w:sz="2" w:space="0"/>
            </w:tcBorders>
            <w:vAlign w:val="top"/>
          </w:tcPr>
          <w:p w14:paraId="6F8FB7D9">
            <w:pPr>
              <w:pStyle w:val="6"/>
              <w:spacing w:before="61" w:line="199" w:lineRule="auto"/>
              <w:ind w:left="11"/>
              <w:jc w:val="both"/>
              <w:rPr>
                <w:sz w:val="18"/>
                <w:szCs w:val="18"/>
              </w:rPr>
            </w:pPr>
            <w:r>
              <w:rPr>
                <w:spacing w:val="-11"/>
                <w:sz w:val="18"/>
                <w:szCs w:val="18"/>
              </w:rPr>
              <w:t>写出所需用</w:t>
            </w:r>
            <w:r>
              <w:rPr>
                <w:sz w:val="18"/>
                <w:szCs w:val="18"/>
              </w:rPr>
              <w:t xml:space="preserve"> </w:t>
            </w:r>
            <w:r>
              <w:rPr>
                <w:spacing w:val="-13"/>
                <w:sz w:val="18"/>
                <w:szCs w:val="18"/>
              </w:rPr>
              <w:t>的仪器和指</w:t>
            </w:r>
            <w:r>
              <w:rPr>
                <w:spacing w:val="1"/>
                <w:sz w:val="18"/>
                <w:szCs w:val="18"/>
              </w:rPr>
              <w:t xml:space="preserve"> </w:t>
            </w:r>
            <w:r>
              <w:rPr>
                <w:spacing w:val="7"/>
                <w:sz w:val="18"/>
                <w:szCs w:val="18"/>
              </w:rPr>
              <w:t>示剂名称</w:t>
            </w:r>
          </w:p>
        </w:tc>
        <w:tc>
          <w:tcPr>
            <w:tcW w:w="269" w:type="dxa"/>
            <w:tcBorders>
              <w:top w:val="single" w:color="000000" w:sz="2" w:space="0"/>
              <w:bottom w:val="single" w:color="000000" w:sz="2" w:space="0"/>
            </w:tcBorders>
            <w:vAlign w:val="top"/>
          </w:tcPr>
          <w:p w14:paraId="35E508FD">
            <w:pPr>
              <w:pStyle w:val="6"/>
              <w:spacing w:before="287" w:line="184" w:lineRule="auto"/>
              <w:ind w:left="33"/>
              <w:rPr>
                <w:sz w:val="18"/>
                <w:szCs w:val="18"/>
              </w:rPr>
            </w:pPr>
            <w:r>
              <w:rPr>
                <w:spacing w:val="-6"/>
                <w:sz w:val="18"/>
                <w:szCs w:val="18"/>
              </w:rPr>
              <w:t>14</w:t>
            </w:r>
          </w:p>
        </w:tc>
        <w:tc>
          <w:tcPr>
            <w:tcW w:w="2455" w:type="dxa"/>
            <w:tcBorders>
              <w:top w:val="single" w:color="000000" w:sz="2" w:space="0"/>
              <w:bottom w:val="single" w:color="000000" w:sz="2" w:space="0"/>
            </w:tcBorders>
            <w:vAlign w:val="top"/>
          </w:tcPr>
          <w:p w14:paraId="77BBB58D">
            <w:pPr>
              <w:pStyle w:val="6"/>
              <w:spacing w:before="151" w:line="217" w:lineRule="auto"/>
              <w:ind w:left="14"/>
              <w:rPr>
                <w:sz w:val="18"/>
                <w:szCs w:val="18"/>
              </w:rPr>
            </w:pPr>
            <w:r>
              <w:rPr>
                <w:spacing w:val="-7"/>
                <w:sz w:val="18"/>
                <w:szCs w:val="18"/>
              </w:rPr>
              <w:t>共6种仪器，正确写出一种仪器</w:t>
            </w:r>
            <w:r>
              <w:rPr>
                <w:spacing w:val="2"/>
                <w:sz w:val="18"/>
                <w:szCs w:val="18"/>
              </w:rPr>
              <w:t xml:space="preserve">  </w:t>
            </w:r>
            <w:r>
              <w:rPr>
                <w:spacing w:val="-6"/>
                <w:sz w:val="18"/>
                <w:szCs w:val="18"/>
              </w:rPr>
              <w:t>名称得2分；指示剂正确得2分。</w:t>
            </w:r>
          </w:p>
        </w:tc>
      </w:tr>
      <w:tr w14:paraId="743F9A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14" w:hRule="atLeast"/>
        </w:trPr>
        <w:tc>
          <w:tcPr>
            <w:tcW w:w="584" w:type="dxa"/>
            <w:vMerge w:val="restart"/>
            <w:tcBorders>
              <w:top w:val="single" w:color="000000" w:sz="2" w:space="0"/>
              <w:bottom w:val="nil"/>
            </w:tcBorders>
            <w:vAlign w:val="top"/>
          </w:tcPr>
          <w:p w14:paraId="01185078">
            <w:pPr>
              <w:spacing w:line="350" w:lineRule="auto"/>
              <w:rPr>
                <w:rFonts w:ascii="Arial"/>
                <w:sz w:val="21"/>
              </w:rPr>
            </w:pPr>
          </w:p>
          <w:p w14:paraId="4C7AA4A3">
            <w:pPr>
              <w:spacing w:line="350" w:lineRule="auto"/>
              <w:rPr>
                <w:rFonts w:ascii="Arial"/>
                <w:sz w:val="21"/>
              </w:rPr>
            </w:pPr>
          </w:p>
          <w:p w14:paraId="35F03265">
            <w:pPr>
              <w:pStyle w:val="6"/>
              <w:spacing w:before="58" w:line="218" w:lineRule="auto"/>
              <w:ind w:left="105"/>
              <w:rPr>
                <w:sz w:val="18"/>
                <w:szCs w:val="18"/>
              </w:rPr>
            </w:pPr>
            <w:r>
              <w:rPr>
                <w:spacing w:val="-12"/>
                <w:w w:val="91"/>
                <w:sz w:val="18"/>
                <w:szCs w:val="18"/>
              </w:rPr>
              <w:t>锥形</w:t>
            </w:r>
            <w:r>
              <w:rPr>
                <w:sz w:val="18"/>
                <w:szCs w:val="18"/>
              </w:rPr>
              <w:t xml:space="preserve">   </w:t>
            </w:r>
            <w:r>
              <w:rPr>
                <w:spacing w:val="-20"/>
                <w:sz w:val="18"/>
                <w:szCs w:val="18"/>
              </w:rPr>
              <w:t>瓶的</w:t>
            </w:r>
            <w:r>
              <w:rPr>
                <w:sz w:val="18"/>
                <w:szCs w:val="18"/>
              </w:rPr>
              <w:t xml:space="preserve">  </w:t>
            </w:r>
            <w:r>
              <w:rPr>
                <w:spacing w:val="-14"/>
              </w:rPr>
              <w:t>清洗、</w:t>
            </w:r>
            <w:r>
              <w:t xml:space="preserve"> </w:t>
            </w:r>
            <w:r>
              <w:rPr>
                <w:spacing w:val="-13"/>
                <w:w w:val="91"/>
                <w:sz w:val="18"/>
                <w:szCs w:val="18"/>
              </w:rPr>
              <w:t>移液</w:t>
            </w:r>
            <w:r>
              <w:rPr>
                <w:sz w:val="18"/>
                <w:szCs w:val="18"/>
              </w:rPr>
              <w:t xml:space="preserve">   </w:t>
            </w:r>
            <w:r>
              <w:rPr>
                <w:spacing w:val="-20"/>
                <w:sz w:val="18"/>
                <w:szCs w:val="18"/>
              </w:rPr>
              <w:t>管的</w:t>
            </w:r>
            <w:r>
              <w:rPr>
                <w:sz w:val="18"/>
                <w:szCs w:val="18"/>
              </w:rPr>
              <w:t xml:space="preserve">  </w:t>
            </w:r>
            <w:r>
              <w:rPr>
                <w:spacing w:val="-8"/>
                <w:sz w:val="18"/>
                <w:szCs w:val="18"/>
              </w:rPr>
              <w:t>使用</w:t>
            </w:r>
          </w:p>
        </w:tc>
        <w:tc>
          <w:tcPr>
            <w:tcW w:w="868" w:type="dxa"/>
            <w:tcBorders>
              <w:top w:val="single" w:color="000000" w:sz="2" w:space="0"/>
              <w:bottom w:val="single" w:color="000000" w:sz="2" w:space="0"/>
            </w:tcBorders>
            <w:vAlign w:val="top"/>
          </w:tcPr>
          <w:p w14:paraId="044E2D85">
            <w:pPr>
              <w:pStyle w:val="6"/>
              <w:spacing w:before="193" w:line="215" w:lineRule="auto"/>
              <w:ind w:left="61"/>
              <w:rPr>
                <w:sz w:val="18"/>
                <w:szCs w:val="18"/>
              </w:rPr>
            </w:pPr>
            <w:r>
              <w:rPr>
                <w:spacing w:val="3"/>
                <w:sz w:val="18"/>
                <w:szCs w:val="18"/>
              </w:rPr>
              <w:t>锥形瓶的</w:t>
            </w:r>
          </w:p>
          <w:p w14:paraId="2986107F">
            <w:pPr>
              <w:pStyle w:val="6"/>
              <w:spacing w:line="220" w:lineRule="auto"/>
              <w:ind w:left="151"/>
              <w:rPr>
                <w:sz w:val="18"/>
                <w:szCs w:val="18"/>
              </w:rPr>
            </w:pPr>
            <w:r>
              <w:rPr>
                <w:spacing w:val="4"/>
                <w:sz w:val="18"/>
                <w:szCs w:val="18"/>
              </w:rPr>
              <w:t>洗涤与</w:t>
            </w:r>
          </w:p>
          <w:p w14:paraId="218B5AD5">
            <w:pPr>
              <w:pStyle w:val="6"/>
              <w:spacing w:before="5" w:line="220" w:lineRule="auto"/>
              <w:ind w:left="240"/>
              <w:rPr>
                <w:sz w:val="18"/>
                <w:szCs w:val="18"/>
              </w:rPr>
            </w:pPr>
            <w:r>
              <w:rPr>
                <w:spacing w:val="-3"/>
                <w:sz w:val="18"/>
                <w:szCs w:val="18"/>
              </w:rPr>
              <w:t>润洗</w:t>
            </w:r>
          </w:p>
        </w:tc>
        <w:tc>
          <w:tcPr>
            <w:tcW w:w="269" w:type="dxa"/>
            <w:tcBorders>
              <w:top w:val="single" w:color="000000" w:sz="2" w:space="0"/>
              <w:bottom w:val="single" w:color="000000" w:sz="2" w:space="0"/>
            </w:tcBorders>
            <w:vAlign w:val="top"/>
          </w:tcPr>
          <w:p w14:paraId="3B66E364">
            <w:pPr>
              <w:spacing w:line="357" w:lineRule="auto"/>
              <w:rPr>
                <w:rFonts w:ascii="Arial"/>
                <w:sz w:val="21"/>
              </w:rPr>
            </w:pPr>
          </w:p>
          <w:p w14:paraId="26D90E5B">
            <w:pPr>
              <w:pStyle w:val="6"/>
              <w:spacing w:before="59" w:line="184" w:lineRule="auto"/>
              <w:ind w:left="33"/>
              <w:rPr>
                <w:sz w:val="18"/>
                <w:szCs w:val="18"/>
              </w:rPr>
            </w:pPr>
            <w:r>
              <w:rPr>
                <w:spacing w:val="-6"/>
                <w:sz w:val="18"/>
                <w:szCs w:val="18"/>
              </w:rPr>
              <w:t>10</w:t>
            </w:r>
          </w:p>
        </w:tc>
        <w:tc>
          <w:tcPr>
            <w:tcW w:w="2455" w:type="dxa"/>
            <w:tcBorders>
              <w:top w:val="single" w:color="000000" w:sz="2" w:space="0"/>
              <w:bottom w:val="single" w:color="000000" w:sz="2" w:space="0"/>
            </w:tcBorders>
            <w:vAlign w:val="top"/>
          </w:tcPr>
          <w:p w14:paraId="125A1266">
            <w:pPr>
              <w:pStyle w:val="6"/>
              <w:spacing w:before="61" w:line="219" w:lineRule="auto"/>
              <w:ind w:right="6"/>
              <w:jc w:val="right"/>
              <w:rPr>
                <w:sz w:val="18"/>
                <w:szCs w:val="18"/>
              </w:rPr>
            </w:pPr>
            <w:r>
              <w:rPr>
                <w:spacing w:val="-1"/>
                <w:sz w:val="18"/>
                <w:szCs w:val="18"/>
              </w:rPr>
              <w:t>洗涤干净得5分，未洗涤得0</w:t>
            </w:r>
          </w:p>
          <w:p w14:paraId="519FA88B">
            <w:pPr>
              <w:pStyle w:val="6"/>
              <w:spacing w:before="8" w:line="212" w:lineRule="auto"/>
              <w:ind w:left="14" w:firstLine="268"/>
              <w:rPr>
                <w:sz w:val="18"/>
                <w:szCs w:val="18"/>
              </w:rPr>
            </w:pPr>
            <w:r>
              <w:rPr>
                <w:sz w:val="18"/>
                <w:szCs w:val="18"/>
              </w:rPr>
              <w:t>分；适量待测液润洗3次得5</w:t>
            </w:r>
            <w:r>
              <w:rPr>
                <w:spacing w:val="1"/>
                <w:sz w:val="18"/>
                <w:szCs w:val="18"/>
              </w:rPr>
              <w:t xml:space="preserve"> </w:t>
            </w:r>
            <w:r>
              <w:rPr>
                <w:spacing w:val="-2"/>
                <w:sz w:val="18"/>
                <w:szCs w:val="18"/>
              </w:rPr>
              <w:t>分，不全正确酌情扣2-3分，末</w:t>
            </w:r>
            <w:r>
              <w:rPr>
                <w:spacing w:val="9"/>
                <w:sz w:val="18"/>
                <w:szCs w:val="18"/>
              </w:rPr>
              <w:t xml:space="preserve"> </w:t>
            </w:r>
            <w:r>
              <w:rPr>
                <w:spacing w:val="6"/>
                <w:sz w:val="18"/>
                <w:szCs w:val="18"/>
              </w:rPr>
              <w:t>润洗得0分。</w:t>
            </w:r>
          </w:p>
        </w:tc>
      </w:tr>
      <w:tr w14:paraId="7F5E0A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74" w:hRule="atLeast"/>
        </w:trPr>
        <w:tc>
          <w:tcPr>
            <w:tcW w:w="584" w:type="dxa"/>
            <w:vMerge w:val="continue"/>
            <w:tcBorders>
              <w:top w:val="nil"/>
              <w:bottom w:val="nil"/>
            </w:tcBorders>
            <w:vAlign w:val="top"/>
          </w:tcPr>
          <w:p w14:paraId="5EA79DB5">
            <w:pPr>
              <w:rPr>
                <w:rFonts w:ascii="Arial"/>
                <w:sz w:val="21"/>
              </w:rPr>
            </w:pPr>
          </w:p>
        </w:tc>
        <w:tc>
          <w:tcPr>
            <w:tcW w:w="868" w:type="dxa"/>
            <w:tcBorders>
              <w:top w:val="single" w:color="000000" w:sz="2" w:space="0"/>
              <w:bottom w:val="single" w:color="000000" w:sz="2" w:space="0"/>
            </w:tcBorders>
            <w:vAlign w:val="top"/>
          </w:tcPr>
          <w:p w14:paraId="7F5F6FE4">
            <w:pPr>
              <w:pStyle w:val="6"/>
              <w:spacing w:before="153" w:line="219" w:lineRule="auto"/>
              <w:ind w:left="61"/>
              <w:rPr>
                <w:sz w:val="18"/>
                <w:szCs w:val="18"/>
              </w:rPr>
            </w:pPr>
            <w:r>
              <w:rPr>
                <w:spacing w:val="3"/>
                <w:sz w:val="18"/>
                <w:szCs w:val="18"/>
              </w:rPr>
              <w:t>移液管的</w:t>
            </w:r>
          </w:p>
          <w:p w14:paraId="6BEBD372">
            <w:pPr>
              <w:pStyle w:val="6"/>
              <w:spacing w:before="17" w:line="215" w:lineRule="auto"/>
              <w:ind w:left="151"/>
              <w:rPr>
                <w:sz w:val="18"/>
                <w:szCs w:val="18"/>
              </w:rPr>
            </w:pPr>
            <w:r>
              <w:rPr>
                <w:spacing w:val="4"/>
                <w:sz w:val="18"/>
                <w:szCs w:val="18"/>
              </w:rPr>
              <w:t>洗涤与</w:t>
            </w:r>
          </w:p>
          <w:p w14:paraId="0C12955E">
            <w:pPr>
              <w:pStyle w:val="6"/>
              <w:spacing w:line="220" w:lineRule="auto"/>
              <w:ind w:left="240"/>
              <w:rPr>
                <w:sz w:val="18"/>
                <w:szCs w:val="18"/>
              </w:rPr>
            </w:pPr>
            <w:r>
              <w:rPr>
                <w:spacing w:val="-3"/>
                <w:sz w:val="18"/>
                <w:szCs w:val="18"/>
              </w:rPr>
              <w:t>润洗</w:t>
            </w:r>
          </w:p>
        </w:tc>
        <w:tc>
          <w:tcPr>
            <w:tcW w:w="269" w:type="dxa"/>
            <w:tcBorders>
              <w:top w:val="single" w:color="000000" w:sz="2" w:space="0"/>
              <w:bottom w:val="single" w:color="000000" w:sz="2" w:space="0"/>
            </w:tcBorders>
            <w:vAlign w:val="top"/>
          </w:tcPr>
          <w:p w14:paraId="1CCA21B0">
            <w:pPr>
              <w:spacing w:line="338" w:lineRule="auto"/>
              <w:rPr>
                <w:rFonts w:ascii="Arial"/>
                <w:sz w:val="21"/>
              </w:rPr>
            </w:pPr>
          </w:p>
          <w:p w14:paraId="7D5433BC">
            <w:pPr>
              <w:pStyle w:val="6"/>
              <w:spacing w:before="59" w:line="184" w:lineRule="auto"/>
              <w:ind w:left="33"/>
              <w:rPr>
                <w:sz w:val="18"/>
                <w:szCs w:val="18"/>
              </w:rPr>
            </w:pPr>
            <w:r>
              <w:rPr>
                <w:spacing w:val="-6"/>
                <w:sz w:val="18"/>
                <w:szCs w:val="18"/>
              </w:rPr>
              <w:t>10</w:t>
            </w:r>
          </w:p>
        </w:tc>
        <w:tc>
          <w:tcPr>
            <w:tcW w:w="2455" w:type="dxa"/>
            <w:tcBorders>
              <w:top w:val="single" w:color="000000" w:sz="2" w:space="0"/>
              <w:bottom w:val="single" w:color="000000" w:sz="2" w:space="0"/>
            </w:tcBorders>
            <w:vAlign w:val="top"/>
          </w:tcPr>
          <w:p w14:paraId="54391BEB">
            <w:pPr>
              <w:pStyle w:val="6"/>
              <w:spacing w:before="53" w:line="216" w:lineRule="auto"/>
              <w:ind w:right="6"/>
              <w:jc w:val="right"/>
              <w:rPr>
                <w:sz w:val="18"/>
                <w:szCs w:val="18"/>
              </w:rPr>
            </w:pPr>
            <w:r>
              <w:rPr>
                <w:spacing w:val="-1"/>
                <w:sz w:val="18"/>
                <w:szCs w:val="18"/>
              </w:rPr>
              <w:t>洗涤干净得5分，未洗涤得0</w:t>
            </w:r>
          </w:p>
          <w:p w14:paraId="74FFA346">
            <w:pPr>
              <w:pStyle w:val="6"/>
              <w:spacing w:line="205" w:lineRule="auto"/>
              <w:ind w:left="54" w:firstLine="229"/>
              <w:rPr>
                <w:sz w:val="18"/>
                <w:szCs w:val="18"/>
              </w:rPr>
            </w:pPr>
            <w:r>
              <w:rPr>
                <w:sz w:val="18"/>
                <w:szCs w:val="18"/>
              </w:rPr>
              <w:t xml:space="preserve">分；适量待测液润洗3次得5 </w:t>
            </w:r>
            <w:r>
              <w:rPr>
                <w:spacing w:val="-4"/>
                <w:sz w:val="18"/>
                <w:szCs w:val="18"/>
              </w:rPr>
              <w:t>分，不全正确酌情扣2-3分，未</w:t>
            </w:r>
            <w:r>
              <w:rPr>
                <w:spacing w:val="8"/>
                <w:sz w:val="18"/>
                <w:szCs w:val="18"/>
              </w:rPr>
              <w:t xml:space="preserve"> </w:t>
            </w:r>
            <w:r>
              <w:rPr>
                <w:spacing w:val="-1"/>
                <w:sz w:val="18"/>
                <w:szCs w:val="18"/>
              </w:rPr>
              <w:t>润洗得0分。</w:t>
            </w:r>
          </w:p>
        </w:tc>
      </w:tr>
      <w:tr w14:paraId="278321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64" w:hRule="atLeast"/>
        </w:trPr>
        <w:tc>
          <w:tcPr>
            <w:tcW w:w="584" w:type="dxa"/>
            <w:vMerge w:val="continue"/>
            <w:tcBorders>
              <w:top w:val="nil"/>
              <w:bottom w:val="single" w:color="000000" w:sz="2" w:space="0"/>
            </w:tcBorders>
            <w:vAlign w:val="top"/>
          </w:tcPr>
          <w:p w14:paraId="351433CA">
            <w:pPr>
              <w:rPr>
                <w:rFonts w:ascii="Arial"/>
                <w:sz w:val="21"/>
              </w:rPr>
            </w:pPr>
          </w:p>
        </w:tc>
        <w:tc>
          <w:tcPr>
            <w:tcW w:w="868" w:type="dxa"/>
            <w:tcBorders>
              <w:top w:val="single" w:color="000000" w:sz="2" w:space="0"/>
              <w:bottom w:val="single" w:color="000000" w:sz="2" w:space="0"/>
            </w:tcBorders>
            <w:vAlign w:val="top"/>
          </w:tcPr>
          <w:p w14:paraId="02DC5499">
            <w:pPr>
              <w:pStyle w:val="6"/>
              <w:spacing w:before="54" w:line="205" w:lineRule="auto"/>
              <w:ind w:left="60" w:right="12" w:hanging="40"/>
              <w:jc w:val="both"/>
              <w:rPr>
                <w:sz w:val="18"/>
                <w:szCs w:val="18"/>
              </w:rPr>
            </w:pPr>
            <w:r>
              <w:rPr>
                <w:spacing w:val="2"/>
                <w:sz w:val="18"/>
                <w:szCs w:val="18"/>
              </w:rPr>
              <w:t>向250</w:t>
            </w:r>
            <w:r>
              <w:rPr>
                <w:sz w:val="18"/>
                <w:szCs w:val="18"/>
              </w:rPr>
              <w:t>mL</w:t>
            </w:r>
            <w:r>
              <w:rPr>
                <w:spacing w:val="2"/>
                <w:sz w:val="18"/>
                <w:szCs w:val="18"/>
              </w:rPr>
              <w:t>的</w:t>
            </w:r>
            <w:r>
              <w:rPr>
                <w:spacing w:val="3"/>
                <w:sz w:val="18"/>
                <w:szCs w:val="18"/>
              </w:rPr>
              <w:t xml:space="preserve"> </w:t>
            </w:r>
            <w:r>
              <w:rPr>
                <w:spacing w:val="4"/>
                <w:sz w:val="18"/>
                <w:szCs w:val="18"/>
              </w:rPr>
              <w:t>锥形瓶中</w:t>
            </w:r>
            <w:r>
              <w:rPr>
                <w:spacing w:val="2"/>
                <w:sz w:val="18"/>
                <w:szCs w:val="18"/>
              </w:rPr>
              <w:t xml:space="preserve"> </w:t>
            </w:r>
            <w:r>
              <w:rPr>
                <w:spacing w:val="-2"/>
                <w:sz w:val="18"/>
                <w:szCs w:val="18"/>
              </w:rPr>
              <w:t>转移10mL</w:t>
            </w:r>
            <w:r>
              <w:rPr>
                <w:spacing w:val="1"/>
                <w:sz w:val="18"/>
                <w:szCs w:val="18"/>
              </w:rPr>
              <w:t xml:space="preserve">  的待测液</w:t>
            </w:r>
          </w:p>
        </w:tc>
        <w:tc>
          <w:tcPr>
            <w:tcW w:w="269" w:type="dxa"/>
            <w:tcBorders>
              <w:top w:val="single" w:color="000000" w:sz="2" w:space="0"/>
              <w:bottom w:val="single" w:color="000000" w:sz="2" w:space="0"/>
            </w:tcBorders>
            <w:vAlign w:val="top"/>
          </w:tcPr>
          <w:p w14:paraId="15155274">
            <w:pPr>
              <w:spacing w:line="329" w:lineRule="auto"/>
              <w:rPr>
                <w:rFonts w:ascii="Arial"/>
                <w:sz w:val="21"/>
              </w:rPr>
            </w:pPr>
          </w:p>
          <w:p w14:paraId="573964A4">
            <w:pPr>
              <w:pStyle w:val="6"/>
              <w:spacing w:before="58" w:line="184" w:lineRule="auto"/>
              <w:ind w:left="33"/>
              <w:rPr>
                <w:sz w:val="18"/>
                <w:szCs w:val="18"/>
              </w:rPr>
            </w:pPr>
            <w:r>
              <w:rPr>
                <w:spacing w:val="-6"/>
                <w:sz w:val="18"/>
                <w:szCs w:val="18"/>
              </w:rPr>
              <w:t>10</w:t>
            </w:r>
          </w:p>
        </w:tc>
        <w:tc>
          <w:tcPr>
            <w:tcW w:w="2455" w:type="dxa"/>
            <w:tcBorders>
              <w:top w:val="single" w:color="000000" w:sz="2" w:space="0"/>
              <w:bottom w:val="single" w:color="000000" w:sz="2" w:space="0"/>
            </w:tcBorders>
            <w:vAlign w:val="top"/>
          </w:tcPr>
          <w:p w14:paraId="3A25BBBA">
            <w:pPr>
              <w:pStyle w:val="6"/>
              <w:spacing w:before="144" w:line="219" w:lineRule="auto"/>
              <w:ind w:left="54"/>
              <w:rPr>
                <w:sz w:val="18"/>
                <w:szCs w:val="18"/>
              </w:rPr>
            </w:pPr>
            <w:r>
              <w:rPr>
                <w:spacing w:val="-1"/>
                <w:sz w:val="18"/>
                <w:szCs w:val="18"/>
              </w:rPr>
              <w:t>移液管使用正确，得10分，不</w:t>
            </w:r>
          </w:p>
          <w:p w14:paraId="496958E1">
            <w:pPr>
              <w:pStyle w:val="6"/>
              <w:spacing w:before="16" w:line="212" w:lineRule="auto"/>
              <w:ind w:left="54" w:right="8" w:firstLine="139"/>
              <w:rPr>
                <w:sz w:val="18"/>
                <w:szCs w:val="18"/>
              </w:rPr>
            </w:pPr>
            <w:r>
              <w:rPr>
                <w:spacing w:val="-1"/>
                <w:sz w:val="18"/>
                <w:szCs w:val="18"/>
              </w:rPr>
              <w:t>全正确酌情扣5-8分，完全错</w:t>
            </w:r>
            <w:r>
              <w:rPr>
                <w:spacing w:val="5"/>
                <w:sz w:val="18"/>
                <w:szCs w:val="18"/>
              </w:rPr>
              <w:t xml:space="preserve"> </w:t>
            </w:r>
            <w:r>
              <w:rPr>
                <w:sz w:val="18"/>
                <w:szCs w:val="18"/>
              </w:rPr>
              <w:t>误得0分。</w:t>
            </w:r>
          </w:p>
        </w:tc>
      </w:tr>
      <w:tr w14:paraId="55E99D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34" w:hRule="atLeast"/>
        </w:trPr>
        <w:tc>
          <w:tcPr>
            <w:tcW w:w="584" w:type="dxa"/>
            <w:vMerge w:val="restart"/>
            <w:tcBorders>
              <w:top w:val="single" w:color="000000" w:sz="2" w:space="0"/>
              <w:bottom w:val="nil"/>
            </w:tcBorders>
            <w:vAlign w:val="top"/>
          </w:tcPr>
          <w:p w14:paraId="7A68196C">
            <w:pPr>
              <w:spacing w:line="242" w:lineRule="auto"/>
              <w:rPr>
                <w:rFonts w:ascii="Arial"/>
                <w:sz w:val="21"/>
              </w:rPr>
            </w:pPr>
          </w:p>
          <w:p w14:paraId="72DF8DFE">
            <w:pPr>
              <w:spacing w:line="242" w:lineRule="auto"/>
              <w:rPr>
                <w:rFonts w:ascii="Arial"/>
                <w:sz w:val="21"/>
              </w:rPr>
            </w:pPr>
          </w:p>
          <w:p w14:paraId="3990FC83">
            <w:pPr>
              <w:spacing w:line="242" w:lineRule="auto"/>
              <w:rPr>
                <w:rFonts w:ascii="Arial"/>
                <w:sz w:val="21"/>
              </w:rPr>
            </w:pPr>
          </w:p>
          <w:p w14:paraId="30045F52">
            <w:pPr>
              <w:spacing w:line="243" w:lineRule="auto"/>
              <w:rPr>
                <w:rFonts w:ascii="Arial"/>
                <w:sz w:val="21"/>
              </w:rPr>
            </w:pPr>
          </w:p>
          <w:p w14:paraId="5E307B23">
            <w:pPr>
              <w:pStyle w:val="6"/>
              <w:spacing w:before="59" w:line="228" w:lineRule="auto"/>
              <w:ind w:left="15"/>
              <w:rPr>
                <w:sz w:val="18"/>
                <w:szCs w:val="18"/>
              </w:rPr>
            </w:pPr>
            <w:r>
              <w:rPr>
                <w:spacing w:val="-4"/>
                <w:sz w:val="18"/>
                <w:szCs w:val="18"/>
              </w:rPr>
              <w:t>滴定管</w:t>
            </w:r>
            <w:r>
              <w:rPr>
                <w:sz w:val="18"/>
                <w:szCs w:val="18"/>
              </w:rPr>
              <w:t xml:space="preserve"> </w:t>
            </w:r>
            <w:r>
              <w:rPr>
                <w:spacing w:val="6"/>
                <w:sz w:val="18"/>
                <w:szCs w:val="18"/>
              </w:rPr>
              <w:t>的使用</w:t>
            </w:r>
          </w:p>
        </w:tc>
        <w:tc>
          <w:tcPr>
            <w:tcW w:w="868" w:type="dxa"/>
            <w:tcBorders>
              <w:top w:val="single" w:color="000000" w:sz="2" w:space="0"/>
              <w:bottom w:val="single" w:color="000000" w:sz="2" w:space="0"/>
            </w:tcBorders>
            <w:vAlign w:val="top"/>
          </w:tcPr>
          <w:p w14:paraId="0BD980AB">
            <w:pPr>
              <w:pStyle w:val="6"/>
              <w:spacing w:before="165" w:line="219" w:lineRule="auto"/>
              <w:ind w:left="61"/>
              <w:rPr>
                <w:sz w:val="18"/>
                <w:szCs w:val="18"/>
              </w:rPr>
            </w:pPr>
            <w:r>
              <w:rPr>
                <w:spacing w:val="3"/>
                <w:sz w:val="18"/>
                <w:szCs w:val="18"/>
              </w:rPr>
              <w:t>滴定管的</w:t>
            </w:r>
          </w:p>
          <w:p w14:paraId="12F0677B">
            <w:pPr>
              <w:pStyle w:val="6"/>
              <w:spacing w:before="27" w:line="215" w:lineRule="auto"/>
              <w:ind w:left="240"/>
              <w:rPr>
                <w:sz w:val="18"/>
                <w:szCs w:val="18"/>
              </w:rPr>
            </w:pPr>
            <w:r>
              <w:rPr>
                <w:spacing w:val="-2"/>
                <w:sz w:val="18"/>
                <w:szCs w:val="18"/>
              </w:rPr>
              <w:t>试漏</w:t>
            </w:r>
          </w:p>
          <w:p w14:paraId="644304E3">
            <w:pPr>
              <w:pStyle w:val="6"/>
              <w:spacing w:line="220" w:lineRule="auto"/>
              <w:ind w:left="151"/>
              <w:rPr>
                <w:sz w:val="18"/>
                <w:szCs w:val="18"/>
              </w:rPr>
            </w:pPr>
            <w:r>
              <w:rPr>
                <w:spacing w:val="-3"/>
                <w:sz w:val="18"/>
                <w:szCs w:val="18"/>
              </w:rPr>
              <w:t>与润洗</w:t>
            </w:r>
          </w:p>
        </w:tc>
        <w:tc>
          <w:tcPr>
            <w:tcW w:w="269" w:type="dxa"/>
            <w:tcBorders>
              <w:top w:val="single" w:color="000000" w:sz="2" w:space="0"/>
              <w:bottom w:val="single" w:color="000000" w:sz="2" w:space="0"/>
            </w:tcBorders>
            <w:vAlign w:val="top"/>
          </w:tcPr>
          <w:p w14:paraId="22833818">
            <w:pPr>
              <w:spacing w:line="370" w:lineRule="auto"/>
              <w:rPr>
                <w:rFonts w:ascii="Arial"/>
                <w:sz w:val="21"/>
              </w:rPr>
            </w:pPr>
          </w:p>
          <w:p w14:paraId="42D871D6">
            <w:pPr>
              <w:pStyle w:val="6"/>
              <w:spacing w:before="58" w:line="184" w:lineRule="auto"/>
              <w:ind w:left="33"/>
              <w:rPr>
                <w:sz w:val="18"/>
                <w:szCs w:val="18"/>
              </w:rPr>
            </w:pPr>
            <w:r>
              <w:rPr>
                <w:spacing w:val="-6"/>
                <w:sz w:val="18"/>
                <w:szCs w:val="18"/>
              </w:rPr>
              <w:t>10</w:t>
            </w:r>
          </w:p>
        </w:tc>
        <w:tc>
          <w:tcPr>
            <w:tcW w:w="2455" w:type="dxa"/>
            <w:tcBorders>
              <w:top w:val="single" w:color="000000" w:sz="2" w:space="0"/>
              <w:bottom w:val="single" w:color="000000" w:sz="2" w:space="0"/>
            </w:tcBorders>
            <w:vAlign w:val="top"/>
          </w:tcPr>
          <w:p w14:paraId="744E13F4">
            <w:pPr>
              <w:pStyle w:val="6"/>
              <w:spacing w:before="76" w:line="222" w:lineRule="auto"/>
              <w:ind w:left="104"/>
              <w:rPr>
                <w:sz w:val="18"/>
                <w:szCs w:val="18"/>
              </w:rPr>
            </w:pPr>
            <w:r>
              <w:rPr>
                <w:spacing w:val="-2"/>
                <w:sz w:val="18"/>
                <w:szCs w:val="18"/>
              </w:rPr>
              <w:t>试漏正确，得5分，未试漏得0</w:t>
            </w:r>
            <w:r>
              <w:rPr>
                <w:spacing w:val="9"/>
                <w:sz w:val="18"/>
                <w:szCs w:val="18"/>
              </w:rPr>
              <w:t xml:space="preserve"> </w:t>
            </w:r>
            <w:r>
              <w:rPr>
                <w:sz w:val="18"/>
                <w:szCs w:val="18"/>
              </w:rPr>
              <w:t>分；适量标准溶液润洗3次得5</w:t>
            </w:r>
          </w:p>
          <w:p w14:paraId="28BA294B">
            <w:pPr>
              <w:pStyle w:val="6"/>
              <w:spacing w:before="7" w:line="209" w:lineRule="auto"/>
              <w:ind w:left="74" w:firstLine="298"/>
              <w:rPr>
                <w:sz w:val="18"/>
                <w:szCs w:val="18"/>
              </w:rPr>
            </w:pPr>
            <w:r>
              <w:rPr>
                <w:sz w:val="18"/>
                <w:szCs w:val="18"/>
              </w:rPr>
              <w:t>分，不全正确酌情扣扣2-3</w:t>
            </w:r>
            <w:r>
              <w:rPr>
                <w:spacing w:val="1"/>
                <w:sz w:val="18"/>
                <w:szCs w:val="18"/>
              </w:rPr>
              <w:t xml:space="preserve"> </w:t>
            </w:r>
            <w:r>
              <w:rPr>
                <w:spacing w:val="-1"/>
                <w:sz w:val="18"/>
                <w:szCs w:val="18"/>
              </w:rPr>
              <w:t>分。未润洗得0分。</w:t>
            </w:r>
          </w:p>
        </w:tc>
      </w:tr>
      <w:tr w14:paraId="4B32AE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4" w:hRule="atLeast"/>
        </w:trPr>
        <w:tc>
          <w:tcPr>
            <w:tcW w:w="584" w:type="dxa"/>
            <w:vMerge w:val="continue"/>
            <w:tcBorders>
              <w:top w:val="nil"/>
              <w:bottom w:val="nil"/>
            </w:tcBorders>
            <w:vAlign w:val="top"/>
          </w:tcPr>
          <w:p w14:paraId="5EE6F41C">
            <w:pPr>
              <w:rPr>
                <w:rFonts w:ascii="Arial"/>
                <w:sz w:val="21"/>
              </w:rPr>
            </w:pPr>
          </w:p>
        </w:tc>
        <w:tc>
          <w:tcPr>
            <w:tcW w:w="868" w:type="dxa"/>
            <w:tcBorders>
              <w:top w:val="single" w:color="000000" w:sz="2" w:space="0"/>
              <w:bottom w:val="single" w:color="000000" w:sz="2" w:space="0"/>
            </w:tcBorders>
            <w:vAlign w:val="top"/>
          </w:tcPr>
          <w:p w14:paraId="52292BDD">
            <w:pPr>
              <w:pStyle w:val="6"/>
              <w:spacing w:before="176" w:line="220" w:lineRule="auto"/>
              <w:ind w:left="61"/>
              <w:rPr>
                <w:sz w:val="18"/>
                <w:szCs w:val="18"/>
              </w:rPr>
            </w:pPr>
            <w:r>
              <w:rPr>
                <w:spacing w:val="-2"/>
                <w:sz w:val="18"/>
                <w:szCs w:val="18"/>
              </w:rPr>
              <w:t>标准溶液</w:t>
            </w:r>
          </w:p>
          <w:p w14:paraId="49CA2973">
            <w:pPr>
              <w:pStyle w:val="6"/>
              <w:spacing w:before="25" w:line="220" w:lineRule="auto"/>
              <w:ind w:left="151"/>
              <w:rPr>
                <w:sz w:val="18"/>
                <w:szCs w:val="18"/>
              </w:rPr>
            </w:pPr>
            <w:r>
              <w:rPr>
                <w:spacing w:val="3"/>
                <w:sz w:val="18"/>
                <w:szCs w:val="18"/>
              </w:rPr>
              <w:t>的转移</w:t>
            </w:r>
          </w:p>
        </w:tc>
        <w:tc>
          <w:tcPr>
            <w:tcW w:w="269" w:type="dxa"/>
            <w:tcBorders>
              <w:top w:val="single" w:color="000000" w:sz="2" w:space="0"/>
              <w:bottom w:val="single" w:color="000000" w:sz="2" w:space="0"/>
            </w:tcBorders>
            <w:vAlign w:val="top"/>
          </w:tcPr>
          <w:p w14:paraId="163D4844">
            <w:pPr>
              <w:spacing w:line="271" w:lineRule="auto"/>
              <w:rPr>
                <w:rFonts w:ascii="Arial"/>
                <w:sz w:val="21"/>
              </w:rPr>
            </w:pPr>
          </w:p>
          <w:p w14:paraId="14A85943">
            <w:pPr>
              <w:pStyle w:val="6"/>
              <w:spacing w:before="59" w:line="184" w:lineRule="auto"/>
              <w:ind w:left="33"/>
              <w:rPr>
                <w:sz w:val="18"/>
                <w:szCs w:val="18"/>
              </w:rPr>
            </w:pPr>
            <w:r>
              <w:rPr>
                <w:spacing w:val="-6"/>
                <w:sz w:val="18"/>
                <w:szCs w:val="18"/>
              </w:rPr>
              <w:t>10</w:t>
            </w:r>
          </w:p>
        </w:tc>
        <w:tc>
          <w:tcPr>
            <w:tcW w:w="2455" w:type="dxa"/>
            <w:tcBorders>
              <w:top w:val="single" w:color="000000" w:sz="2" w:space="0"/>
              <w:bottom w:val="single" w:color="000000" w:sz="2" w:space="0"/>
            </w:tcBorders>
            <w:vAlign w:val="top"/>
          </w:tcPr>
          <w:p w14:paraId="3D15910B">
            <w:pPr>
              <w:pStyle w:val="6"/>
              <w:spacing w:before="86" w:line="220" w:lineRule="auto"/>
              <w:ind w:left="14" w:firstLine="259"/>
              <w:jc w:val="both"/>
              <w:rPr>
                <w:sz w:val="18"/>
                <w:szCs w:val="18"/>
              </w:rPr>
            </w:pPr>
            <w:r>
              <w:rPr>
                <w:spacing w:val="-8"/>
                <w:sz w:val="18"/>
                <w:szCs w:val="18"/>
              </w:rPr>
              <w:t>转移前摇匀溶液，标签对手</w:t>
            </w:r>
            <w:r>
              <w:rPr>
                <w:spacing w:val="3"/>
                <w:sz w:val="18"/>
                <w:szCs w:val="18"/>
              </w:rPr>
              <w:t xml:space="preserve">  </w:t>
            </w:r>
            <w:r>
              <w:rPr>
                <w:spacing w:val="-12"/>
                <w:sz w:val="18"/>
                <w:szCs w:val="18"/>
              </w:rPr>
              <w:t>心，完全正确得10分，不全正确</w:t>
            </w:r>
            <w:r>
              <w:rPr>
                <w:spacing w:val="1"/>
                <w:sz w:val="18"/>
                <w:szCs w:val="18"/>
              </w:rPr>
              <w:t xml:space="preserve">  </w:t>
            </w:r>
            <w:r>
              <w:rPr>
                <w:spacing w:val="-6"/>
                <w:sz w:val="18"/>
                <w:szCs w:val="18"/>
              </w:rPr>
              <w:t>酌情扣5-8分，完全错误得0分。</w:t>
            </w:r>
          </w:p>
        </w:tc>
      </w:tr>
      <w:tr w14:paraId="7BEB4E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39" w:hRule="atLeast"/>
        </w:trPr>
        <w:tc>
          <w:tcPr>
            <w:tcW w:w="584" w:type="dxa"/>
            <w:vMerge w:val="continue"/>
            <w:tcBorders>
              <w:top w:val="nil"/>
              <w:bottom w:val="single" w:color="000000" w:sz="2" w:space="0"/>
            </w:tcBorders>
            <w:vAlign w:val="top"/>
          </w:tcPr>
          <w:p w14:paraId="20A01108">
            <w:pPr>
              <w:rPr>
                <w:rFonts w:ascii="Arial"/>
                <w:sz w:val="21"/>
              </w:rPr>
            </w:pPr>
          </w:p>
        </w:tc>
        <w:tc>
          <w:tcPr>
            <w:tcW w:w="868" w:type="dxa"/>
            <w:tcBorders>
              <w:top w:val="single" w:color="000000" w:sz="2" w:space="0"/>
              <w:bottom w:val="single" w:color="000000" w:sz="2" w:space="0"/>
            </w:tcBorders>
            <w:vAlign w:val="top"/>
          </w:tcPr>
          <w:p w14:paraId="473795F9">
            <w:pPr>
              <w:pStyle w:val="6"/>
              <w:spacing w:before="177" w:line="222" w:lineRule="auto"/>
              <w:ind w:left="240" w:right="62" w:hanging="179"/>
              <w:rPr>
                <w:sz w:val="18"/>
                <w:szCs w:val="18"/>
              </w:rPr>
            </w:pPr>
            <w:r>
              <w:rPr>
                <w:spacing w:val="3"/>
                <w:sz w:val="18"/>
                <w:szCs w:val="18"/>
              </w:rPr>
              <w:t>滴定管的</w:t>
            </w:r>
            <w:r>
              <w:rPr>
                <w:spacing w:val="1"/>
                <w:sz w:val="18"/>
                <w:szCs w:val="18"/>
              </w:rPr>
              <w:t xml:space="preserve"> </w:t>
            </w:r>
            <w:r>
              <w:rPr>
                <w:spacing w:val="-3"/>
                <w:sz w:val="18"/>
                <w:szCs w:val="18"/>
              </w:rPr>
              <w:t>调零</w:t>
            </w:r>
          </w:p>
        </w:tc>
        <w:tc>
          <w:tcPr>
            <w:tcW w:w="269" w:type="dxa"/>
            <w:tcBorders>
              <w:top w:val="single" w:color="000000" w:sz="2" w:space="0"/>
              <w:bottom w:val="single" w:color="000000" w:sz="2" w:space="0"/>
            </w:tcBorders>
            <w:vAlign w:val="top"/>
          </w:tcPr>
          <w:p w14:paraId="0920D887">
            <w:pPr>
              <w:spacing w:line="272" w:lineRule="auto"/>
              <w:rPr>
                <w:rFonts w:ascii="Arial"/>
                <w:sz w:val="21"/>
              </w:rPr>
            </w:pPr>
          </w:p>
          <w:p w14:paraId="04619CBC">
            <w:pPr>
              <w:pStyle w:val="6"/>
              <w:spacing w:before="58" w:line="184" w:lineRule="auto"/>
              <w:ind w:left="33"/>
              <w:rPr>
                <w:sz w:val="18"/>
                <w:szCs w:val="18"/>
              </w:rPr>
            </w:pPr>
            <w:r>
              <w:rPr>
                <w:spacing w:val="-6"/>
                <w:sz w:val="18"/>
                <w:szCs w:val="18"/>
              </w:rPr>
              <w:t>10</w:t>
            </w:r>
          </w:p>
        </w:tc>
        <w:tc>
          <w:tcPr>
            <w:tcW w:w="2455" w:type="dxa"/>
            <w:tcBorders>
              <w:top w:val="single" w:color="000000" w:sz="2" w:space="0"/>
              <w:bottom w:val="single" w:color="000000" w:sz="2" w:space="0"/>
            </w:tcBorders>
            <w:vAlign w:val="top"/>
          </w:tcPr>
          <w:p w14:paraId="0EF20F95">
            <w:pPr>
              <w:pStyle w:val="6"/>
              <w:spacing w:before="107" w:line="192" w:lineRule="auto"/>
              <w:ind w:left="54"/>
              <w:rPr>
                <w:sz w:val="18"/>
                <w:szCs w:val="18"/>
              </w:rPr>
            </w:pPr>
            <w:r>
              <w:rPr>
                <w:spacing w:val="-1"/>
                <w:sz w:val="18"/>
                <w:szCs w:val="18"/>
              </w:rPr>
              <w:t>排除滴定管中的气泡，调整初</w:t>
            </w:r>
          </w:p>
          <w:p w14:paraId="26B9785F">
            <w:pPr>
              <w:pStyle w:val="6"/>
              <w:spacing w:before="1" w:line="222" w:lineRule="auto"/>
              <w:ind w:left="14" w:right="8" w:firstLine="89"/>
              <w:rPr>
                <w:sz w:val="18"/>
                <w:szCs w:val="18"/>
              </w:rPr>
            </w:pPr>
            <w:r>
              <w:rPr>
                <w:spacing w:val="-1"/>
                <w:sz w:val="18"/>
                <w:szCs w:val="18"/>
              </w:rPr>
              <w:t>始读数为0,不全正确酌情扣5-</w:t>
            </w:r>
            <w:r>
              <w:rPr>
                <w:spacing w:val="6"/>
                <w:sz w:val="18"/>
                <w:szCs w:val="18"/>
              </w:rPr>
              <w:t xml:space="preserve"> </w:t>
            </w:r>
            <w:r>
              <w:rPr>
                <w:spacing w:val="-1"/>
                <w:sz w:val="18"/>
                <w:szCs w:val="18"/>
              </w:rPr>
              <w:t>8分，完全错误得0分。</w:t>
            </w:r>
          </w:p>
        </w:tc>
      </w:tr>
    </w:tbl>
    <w:p w14:paraId="3227B0D8">
      <w:pPr>
        <w:pStyle w:val="2"/>
        <w:spacing w:line="14" w:lineRule="auto"/>
        <w:rPr>
          <w:sz w:val="2"/>
        </w:rPr>
      </w:pPr>
    </w:p>
    <w:p w14:paraId="0A654B66">
      <w:pPr>
        <w:pStyle w:val="2"/>
        <w:spacing w:line="14" w:lineRule="auto"/>
        <w:rPr>
          <w:sz w:val="2"/>
        </w:rPr>
      </w:pPr>
      <w:r>
        <w:rPr>
          <w:sz w:val="2"/>
          <w:szCs w:val="2"/>
        </w:rPr>
        <w:br w:type="column"/>
      </w:r>
    </w:p>
    <w:tbl>
      <w:tblPr>
        <w:tblStyle w:val="5"/>
        <w:tblW w:w="416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83"/>
        <w:gridCol w:w="878"/>
        <w:gridCol w:w="279"/>
        <w:gridCol w:w="2429"/>
      </w:tblGrid>
      <w:tr w14:paraId="159FBF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0" w:hRule="atLeast"/>
        </w:trPr>
        <w:tc>
          <w:tcPr>
            <w:tcW w:w="583" w:type="dxa"/>
            <w:tcBorders>
              <w:top w:val="single" w:color="000000" w:sz="2" w:space="0"/>
              <w:bottom w:val="single" w:color="000000" w:sz="2" w:space="0"/>
            </w:tcBorders>
            <w:vAlign w:val="top"/>
          </w:tcPr>
          <w:p w14:paraId="6CAC45D2">
            <w:pPr>
              <w:pStyle w:val="6"/>
              <w:spacing w:before="36" w:line="250" w:lineRule="auto"/>
              <w:ind w:left="117" w:right="122"/>
            </w:pPr>
            <w:r>
              <w:rPr>
                <w:b/>
                <w:bCs/>
                <w:spacing w:val="-6"/>
              </w:rPr>
              <w:t>测试</w:t>
            </w:r>
            <w:r>
              <w:t xml:space="preserve"> </w:t>
            </w:r>
            <w:r>
              <w:rPr>
                <w:b/>
                <w:bCs/>
                <w:spacing w:val="-6"/>
              </w:rPr>
              <w:t>要点</w:t>
            </w:r>
          </w:p>
        </w:tc>
        <w:tc>
          <w:tcPr>
            <w:tcW w:w="878" w:type="dxa"/>
            <w:tcBorders>
              <w:top w:val="single" w:color="000000" w:sz="2" w:space="0"/>
              <w:bottom w:val="single" w:color="000000" w:sz="2" w:space="0"/>
            </w:tcBorders>
            <w:vAlign w:val="top"/>
          </w:tcPr>
          <w:p w14:paraId="084ED645">
            <w:pPr>
              <w:pStyle w:val="6"/>
              <w:spacing w:before="174" w:line="219" w:lineRule="auto"/>
              <w:ind w:left="94"/>
            </w:pPr>
            <w:r>
              <w:rPr>
                <w:b/>
                <w:bCs/>
                <w:spacing w:val="-4"/>
              </w:rPr>
              <w:t>测试内容</w:t>
            </w:r>
          </w:p>
        </w:tc>
        <w:tc>
          <w:tcPr>
            <w:tcW w:w="279" w:type="dxa"/>
            <w:tcBorders>
              <w:top w:val="single" w:color="000000" w:sz="2" w:space="0"/>
              <w:bottom w:val="single" w:color="000000" w:sz="2" w:space="0"/>
            </w:tcBorders>
            <w:textDirection w:val="tbRlV"/>
            <w:vAlign w:val="top"/>
          </w:tcPr>
          <w:p w14:paraId="0B0E788A">
            <w:pPr>
              <w:pStyle w:val="6"/>
              <w:spacing w:before="61" w:line="201" w:lineRule="auto"/>
              <w:ind w:left="77"/>
            </w:pPr>
            <w:r>
              <w:rPr>
                <w:b/>
                <w:bCs/>
                <w:spacing w:val="-2"/>
              </w:rPr>
              <w:t>分值</w:t>
            </w:r>
          </w:p>
        </w:tc>
        <w:tc>
          <w:tcPr>
            <w:tcW w:w="2429" w:type="dxa"/>
            <w:tcBorders>
              <w:top w:val="single" w:color="000000" w:sz="2" w:space="0"/>
              <w:bottom w:val="single" w:color="000000" w:sz="2" w:space="0"/>
            </w:tcBorders>
            <w:vAlign w:val="top"/>
          </w:tcPr>
          <w:p w14:paraId="0CDA7CAF">
            <w:pPr>
              <w:pStyle w:val="6"/>
              <w:spacing w:before="175" w:line="220" w:lineRule="auto"/>
              <w:ind w:left="867"/>
            </w:pPr>
            <w:r>
              <w:rPr>
                <w:b/>
                <w:bCs/>
                <w:spacing w:val="-3"/>
              </w:rPr>
              <w:t>评分标准</w:t>
            </w:r>
          </w:p>
        </w:tc>
      </w:tr>
      <w:tr w14:paraId="0851E6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4" w:hRule="atLeast"/>
        </w:trPr>
        <w:tc>
          <w:tcPr>
            <w:tcW w:w="583" w:type="dxa"/>
            <w:vMerge w:val="restart"/>
            <w:tcBorders>
              <w:top w:val="single" w:color="000000" w:sz="2" w:space="0"/>
              <w:bottom w:val="nil"/>
            </w:tcBorders>
            <w:vAlign w:val="top"/>
          </w:tcPr>
          <w:p w14:paraId="1E6FEE1A">
            <w:pPr>
              <w:spacing w:line="249" w:lineRule="auto"/>
              <w:rPr>
                <w:rFonts w:ascii="Arial"/>
                <w:sz w:val="21"/>
              </w:rPr>
            </w:pPr>
          </w:p>
          <w:p w14:paraId="17C77799">
            <w:pPr>
              <w:spacing w:line="250" w:lineRule="auto"/>
              <w:rPr>
                <w:rFonts w:ascii="Arial"/>
                <w:sz w:val="21"/>
              </w:rPr>
            </w:pPr>
          </w:p>
          <w:p w14:paraId="5405F0C5">
            <w:pPr>
              <w:spacing w:line="250" w:lineRule="auto"/>
              <w:rPr>
                <w:rFonts w:ascii="Arial"/>
                <w:sz w:val="21"/>
              </w:rPr>
            </w:pPr>
          </w:p>
          <w:p w14:paraId="73368F53">
            <w:pPr>
              <w:spacing w:line="250" w:lineRule="auto"/>
              <w:rPr>
                <w:rFonts w:ascii="Arial"/>
                <w:sz w:val="21"/>
              </w:rPr>
            </w:pPr>
          </w:p>
          <w:p w14:paraId="6642EAFE">
            <w:pPr>
              <w:spacing w:line="250" w:lineRule="auto"/>
              <w:rPr>
                <w:rFonts w:ascii="Arial"/>
                <w:sz w:val="21"/>
              </w:rPr>
            </w:pPr>
          </w:p>
          <w:p w14:paraId="7AF85797">
            <w:pPr>
              <w:pStyle w:val="6"/>
              <w:spacing w:before="55" w:line="213" w:lineRule="auto"/>
              <w:ind w:left="114" w:right="125"/>
            </w:pPr>
            <w:r>
              <w:rPr>
                <w:spacing w:val="-4"/>
              </w:rPr>
              <w:t>滴定</w:t>
            </w:r>
            <w:r>
              <w:t xml:space="preserve"> </w:t>
            </w:r>
            <w:r>
              <w:rPr>
                <w:spacing w:val="-4"/>
              </w:rPr>
              <w:t>过程</w:t>
            </w:r>
          </w:p>
        </w:tc>
        <w:tc>
          <w:tcPr>
            <w:tcW w:w="878" w:type="dxa"/>
            <w:tcBorders>
              <w:top w:val="single" w:color="000000" w:sz="2" w:space="0"/>
              <w:bottom w:val="single" w:color="000000" w:sz="2" w:space="0"/>
            </w:tcBorders>
            <w:vAlign w:val="top"/>
          </w:tcPr>
          <w:p w14:paraId="2FC5AEA9">
            <w:pPr>
              <w:pStyle w:val="6"/>
              <w:spacing w:before="200" w:line="228" w:lineRule="auto"/>
              <w:ind w:left="262" w:right="82" w:hanging="170"/>
            </w:pPr>
            <w:r>
              <w:rPr>
                <w:spacing w:val="3"/>
              </w:rPr>
              <w:t>指示剂的</w:t>
            </w:r>
            <w:r>
              <w:t xml:space="preserve"> </w:t>
            </w:r>
            <w:r>
              <w:rPr>
                <w:spacing w:val="-2"/>
              </w:rPr>
              <w:t>加入</w:t>
            </w:r>
          </w:p>
        </w:tc>
        <w:tc>
          <w:tcPr>
            <w:tcW w:w="279" w:type="dxa"/>
            <w:tcBorders>
              <w:top w:val="single" w:color="000000" w:sz="2" w:space="0"/>
              <w:bottom w:val="single" w:color="000000" w:sz="2" w:space="0"/>
            </w:tcBorders>
            <w:vAlign w:val="top"/>
          </w:tcPr>
          <w:p w14:paraId="18B7EF83">
            <w:pPr>
              <w:spacing w:line="279" w:lineRule="auto"/>
              <w:rPr>
                <w:rFonts w:ascii="Arial"/>
                <w:sz w:val="21"/>
              </w:rPr>
            </w:pPr>
          </w:p>
          <w:p w14:paraId="62A6A6D6">
            <w:pPr>
              <w:pStyle w:val="6"/>
              <w:spacing w:before="55" w:line="182" w:lineRule="auto"/>
              <w:ind w:left="83"/>
            </w:pPr>
            <w:r>
              <w:t>5</w:t>
            </w:r>
          </w:p>
        </w:tc>
        <w:tc>
          <w:tcPr>
            <w:tcW w:w="2429" w:type="dxa"/>
            <w:tcBorders>
              <w:top w:val="single" w:color="000000" w:sz="2" w:space="0"/>
              <w:bottom w:val="single" w:color="000000" w:sz="2" w:space="0"/>
            </w:tcBorders>
            <w:vAlign w:val="top"/>
          </w:tcPr>
          <w:p w14:paraId="717BB737">
            <w:pPr>
              <w:pStyle w:val="6"/>
              <w:spacing w:before="101" w:line="222" w:lineRule="auto"/>
              <w:ind w:left="14" w:right="109"/>
              <w:jc w:val="both"/>
            </w:pPr>
            <w:r>
              <w:rPr>
                <w:spacing w:val="-1"/>
              </w:rPr>
              <w:t>指示剂加入正确，得5分，不全</w:t>
            </w:r>
            <w:r>
              <w:rPr>
                <w:spacing w:val="4"/>
              </w:rPr>
              <w:t xml:space="preserve"> </w:t>
            </w:r>
            <w:r>
              <w:rPr>
                <w:spacing w:val="-1"/>
              </w:rPr>
              <w:t>正确酌情扣2-3分，完全错误得</w:t>
            </w:r>
            <w:r>
              <w:rPr>
                <w:spacing w:val="13"/>
              </w:rPr>
              <w:t xml:space="preserve"> </w:t>
            </w:r>
            <w:r>
              <w:t>0分。</w:t>
            </w:r>
          </w:p>
        </w:tc>
      </w:tr>
      <w:tr w14:paraId="45460D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4" w:hRule="atLeast"/>
        </w:trPr>
        <w:tc>
          <w:tcPr>
            <w:tcW w:w="583" w:type="dxa"/>
            <w:vMerge w:val="continue"/>
            <w:tcBorders>
              <w:top w:val="nil"/>
              <w:bottom w:val="nil"/>
            </w:tcBorders>
            <w:vAlign w:val="top"/>
          </w:tcPr>
          <w:p w14:paraId="5DBBEA93">
            <w:pPr>
              <w:rPr>
                <w:rFonts w:ascii="Arial"/>
                <w:sz w:val="21"/>
              </w:rPr>
            </w:pPr>
          </w:p>
        </w:tc>
        <w:tc>
          <w:tcPr>
            <w:tcW w:w="878" w:type="dxa"/>
            <w:tcBorders>
              <w:top w:val="single" w:color="000000" w:sz="2" w:space="0"/>
              <w:bottom w:val="single" w:color="000000" w:sz="2" w:space="0"/>
            </w:tcBorders>
            <w:vAlign w:val="top"/>
          </w:tcPr>
          <w:p w14:paraId="7D91FA72">
            <w:pPr>
              <w:pStyle w:val="6"/>
              <w:spacing w:before="92" w:line="207" w:lineRule="auto"/>
              <w:ind w:left="1"/>
            </w:pPr>
            <w:r>
              <w:rPr>
                <w:spacing w:val="2"/>
              </w:rPr>
              <w:t>滴定操作与</w:t>
            </w:r>
          </w:p>
          <w:p w14:paraId="49AAEA6A">
            <w:pPr>
              <w:pStyle w:val="6"/>
              <w:spacing w:line="220" w:lineRule="auto"/>
              <w:ind w:left="1"/>
            </w:pPr>
            <w:r>
              <w:rPr>
                <w:spacing w:val="-2"/>
              </w:rPr>
              <w:t>滴定加速度</w:t>
            </w:r>
          </w:p>
          <w:p w14:paraId="2F58FACA">
            <w:pPr>
              <w:pStyle w:val="6"/>
              <w:spacing w:before="27" w:line="220" w:lineRule="auto"/>
              <w:ind w:left="171"/>
            </w:pPr>
            <w:r>
              <w:rPr>
                <w:spacing w:val="4"/>
              </w:rPr>
              <w:t>的控制</w:t>
            </w:r>
          </w:p>
        </w:tc>
        <w:tc>
          <w:tcPr>
            <w:tcW w:w="279" w:type="dxa"/>
            <w:tcBorders>
              <w:top w:val="single" w:color="000000" w:sz="2" w:space="0"/>
              <w:bottom w:val="single" w:color="000000" w:sz="2" w:space="0"/>
            </w:tcBorders>
            <w:vAlign w:val="top"/>
          </w:tcPr>
          <w:p w14:paraId="7A59D521">
            <w:pPr>
              <w:spacing w:line="278" w:lineRule="auto"/>
              <w:rPr>
                <w:rFonts w:ascii="Arial"/>
                <w:sz w:val="21"/>
              </w:rPr>
            </w:pPr>
          </w:p>
          <w:p w14:paraId="6F09C513">
            <w:pPr>
              <w:pStyle w:val="6"/>
              <w:spacing w:before="56" w:line="184" w:lineRule="auto"/>
              <w:ind w:left="33"/>
            </w:pPr>
            <w:r>
              <w:rPr>
                <w:spacing w:val="-5"/>
              </w:rPr>
              <w:t>15</w:t>
            </w:r>
          </w:p>
        </w:tc>
        <w:tc>
          <w:tcPr>
            <w:tcW w:w="2429" w:type="dxa"/>
            <w:tcBorders>
              <w:top w:val="single" w:color="000000" w:sz="2" w:space="0"/>
              <w:bottom w:val="single" w:color="000000" w:sz="2" w:space="0"/>
            </w:tcBorders>
            <w:vAlign w:val="top"/>
          </w:tcPr>
          <w:p w14:paraId="5FD11CF5">
            <w:pPr>
              <w:pStyle w:val="6"/>
              <w:spacing w:before="112" w:line="196" w:lineRule="auto"/>
              <w:ind w:left="14"/>
            </w:pPr>
            <w:r>
              <w:rPr>
                <w:spacing w:val="-1"/>
              </w:rPr>
              <w:t>滴定操作手法标准规范，得15</w:t>
            </w:r>
          </w:p>
          <w:p w14:paraId="62C27D23">
            <w:pPr>
              <w:pStyle w:val="6"/>
              <w:spacing w:line="223" w:lineRule="auto"/>
              <w:ind w:left="24" w:hanging="10"/>
            </w:pPr>
            <w:r>
              <w:rPr>
                <w:spacing w:val="-12"/>
              </w:rPr>
              <w:t>分</w:t>
            </w:r>
            <w:r>
              <w:rPr>
                <w:spacing w:val="-9"/>
              </w:rPr>
              <w:t xml:space="preserve"> </w:t>
            </w:r>
            <w:r>
              <w:rPr>
                <w:spacing w:val="-12"/>
              </w:rPr>
              <w:t>。</w:t>
            </w:r>
            <w:r>
              <w:rPr>
                <w:spacing w:val="-30"/>
              </w:rPr>
              <w:t xml:space="preserve"> </w:t>
            </w:r>
            <w:r>
              <w:rPr>
                <w:spacing w:val="-11"/>
              </w:rPr>
              <w:t>不</w:t>
            </w:r>
            <w:r>
              <w:rPr>
                <w:spacing w:val="-33"/>
              </w:rPr>
              <w:t xml:space="preserve"> </w:t>
            </w:r>
            <w:r>
              <w:rPr>
                <w:spacing w:val="-11"/>
              </w:rPr>
              <w:t>全</w:t>
            </w:r>
            <w:r>
              <w:rPr>
                <w:spacing w:val="-30"/>
              </w:rPr>
              <w:t xml:space="preserve"> </w:t>
            </w:r>
            <w:r>
              <w:rPr>
                <w:spacing w:val="-11"/>
              </w:rPr>
              <w:t>正</w:t>
            </w:r>
            <w:r>
              <w:rPr>
                <w:spacing w:val="-33"/>
              </w:rPr>
              <w:t xml:space="preserve"> </w:t>
            </w:r>
            <w:r>
              <w:rPr>
                <w:spacing w:val="-11"/>
              </w:rPr>
              <w:t>确</w:t>
            </w:r>
            <w:r>
              <w:rPr>
                <w:spacing w:val="-30"/>
              </w:rPr>
              <w:t xml:space="preserve"> </w:t>
            </w:r>
            <w:r>
              <w:rPr>
                <w:spacing w:val="-11"/>
              </w:rPr>
              <w:t>酌</w:t>
            </w:r>
            <w:r>
              <w:rPr>
                <w:spacing w:val="-33"/>
              </w:rPr>
              <w:t xml:space="preserve"> </w:t>
            </w:r>
            <w:r>
              <w:rPr>
                <w:spacing w:val="-11"/>
              </w:rPr>
              <w:t>情</w:t>
            </w:r>
            <w:r>
              <w:rPr>
                <w:spacing w:val="-30"/>
              </w:rPr>
              <w:t xml:space="preserve"> </w:t>
            </w:r>
            <w:r>
              <w:rPr>
                <w:spacing w:val="-11"/>
              </w:rPr>
              <w:t>扣</w:t>
            </w:r>
            <w:r>
              <w:rPr>
                <w:spacing w:val="-30"/>
              </w:rPr>
              <w:t xml:space="preserve"> </w:t>
            </w:r>
            <w:r>
              <w:rPr>
                <w:spacing w:val="-11"/>
              </w:rPr>
              <w:t>2</w:t>
            </w:r>
            <w:r>
              <w:rPr>
                <w:spacing w:val="-35"/>
              </w:rPr>
              <w:t xml:space="preserve"> </w:t>
            </w:r>
            <w:r>
              <w:rPr>
                <w:spacing w:val="-11"/>
              </w:rPr>
              <w:t>-</w:t>
            </w:r>
            <w:r>
              <w:rPr>
                <w:spacing w:val="-20"/>
              </w:rPr>
              <w:t xml:space="preserve"> </w:t>
            </w:r>
            <w:r>
              <w:rPr>
                <w:spacing w:val="-11"/>
              </w:rPr>
              <w:t>1</w:t>
            </w:r>
            <w:r>
              <w:rPr>
                <w:spacing w:val="-31"/>
              </w:rPr>
              <w:t xml:space="preserve"> </w:t>
            </w:r>
            <w:r>
              <w:rPr>
                <w:spacing w:val="-9"/>
              </w:rPr>
              <w:t>0</w:t>
            </w:r>
            <w:r>
              <w:t xml:space="preserve"> </w:t>
            </w:r>
            <w:r>
              <w:rPr>
                <w:spacing w:val="-1"/>
              </w:rPr>
              <w:t>分，完全错误得0分。</w:t>
            </w:r>
          </w:p>
        </w:tc>
      </w:tr>
      <w:tr w14:paraId="43FA0A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14" w:hRule="atLeast"/>
        </w:trPr>
        <w:tc>
          <w:tcPr>
            <w:tcW w:w="583" w:type="dxa"/>
            <w:vMerge w:val="continue"/>
            <w:tcBorders>
              <w:top w:val="nil"/>
              <w:bottom w:val="nil"/>
            </w:tcBorders>
            <w:vAlign w:val="top"/>
          </w:tcPr>
          <w:p w14:paraId="290A0D46">
            <w:pPr>
              <w:rPr>
                <w:rFonts w:ascii="Arial"/>
                <w:sz w:val="21"/>
              </w:rPr>
            </w:pPr>
          </w:p>
        </w:tc>
        <w:tc>
          <w:tcPr>
            <w:tcW w:w="878" w:type="dxa"/>
            <w:tcBorders>
              <w:top w:val="single" w:color="000000" w:sz="2" w:space="0"/>
              <w:bottom w:val="single" w:color="000000" w:sz="2" w:space="0"/>
            </w:tcBorders>
            <w:vAlign w:val="top"/>
          </w:tcPr>
          <w:p w14:paraId="4506B1AF">
            <w:pPr>
              <w:pStyle w:val="6"/>
              <w:spacing w:before="294" w:line="224" w:lineRule="auto"/>
              <w:ind w:left="171" w:right="80" w:hanging="79"/>
            </w:pPr>
            <w:r>
              <w:rPr>
                <w:spacing w:val="3"/>
              </w:rPr>
              <w:t>滴定终点</w:t>
            </w:r>
            <w:r>
              <w:rPr>
                <w:spacing w:val="2"/>
              </w:rPr>
              <w:t xml:space="preserve"> 的把握</w:t>
            </w:r>
          </w:p>
        </w:tc>
        <w:tc>
          <w:tcPr>
            <w:tcW w:w="279" w:type="dxa"/>
            <w:tcBorders>
              <w:top w:val="single" w:color="000000" w:sz="2" w:space="0"/>
              <w:bottom w:val="single" w:color="000000" w:sz="2" w:space="0"/>
            </w:tcBorders>
            <w:vAlign w:val="top"/>
          </w:tcPr>
          <w:p w14:paraId="5106481F">
            <w:pPr>
              <w:spacing w:line="359" w:lineRule="auto"/>
              <w:rPr>
                <w:rFonts w:ascii="Arial"/>
                <w:sz w:val="21"/>
              </w:rPr>
            </w:pPr>
          </w:p>
          <w:p w14:paraId="15FD8CD7">
            <w:pPr>
              <w:pStyle w:val="6"/>
              <w:spacing w:before="55" w:line="184" w:lineRule="auto"/>
              <w:ind w:left="43"/>
            </w:pPr>
            <w:r>
              <w:rPr>
                <w:spacing w:val="-5"/>
              </w:rPr>
              <w:t>16</w:t>
            </w:r>
          </w:p>
        </w:tc>
        <w:tc>
          <w:tcPr>
            <w:tcW w:w="2429" w:type="dxa"/>
            <w:tcBorders>
              <w:top w:val="single" w:color="000000" w:sz="2" w:space="0"/>
              <w:bottom w:val="single" w:color="000000" w:sz="2" w:space="0"/>
            </w:tcBorders>
            <w:vAlign w:val="top"/>
          </w:tcPr>
          <w:p w14:paraId="5799C3E9">
            <w:pPr>
              <w:pStyle w:val="6"/>
              <w:spacing w:before="72" w:line="219" w:lineRule="auto"/>
              <w:ind w:left="14"/>
            </w:pPr>
            <w:r>
              <w:rPr>
                <w:spacing w:val="-1"/>
              </w:rPr>
              <w:t>接近终点时，举手示意监考老</w:t>
            </w:r>
          </w:p>
          <w:p w14:paraId="0F1BF83A">
            <w:pPr>
              <w:pStyle w:val="6"/>
              <w:spacing w:before="19" w:line="219" w:lineRule="auto"/>
              <w:ind w:left="24"/>
            </w:pPr>
            <w:r>
              <w:rPr>
                <w:spacing w:val="1"/>
              </w:rPr>
              <w:t>师后，再完成半滴操作，准确</w:t>
            </w:r>
          </w:p>
          <w:p w14:paraId="2ED60487">
            <w:pPr>
              <w:pStyle w:val="6"/>
              <w:spacing w:before="18" w:line="212" w:lineRule="auto"/>
              <w:ind w:left="14" w:right="2" w:firstLine="10"/>
            </w:pPr>
            <w:r>
              <w:t>到达终点，得16分，不全正确酌</w:t>
            </w:r>
            <w:r>
              <w:rPr>
                <w:spacing w:val="10"/>
              </w:rPr>
              <w:t xml:space="preserve"> </w:t>
            </w:r>
            <w:r>
              <w:t>情扣6-10分，完全错误得0分。</w:t>
            </w:r>
          </w:p>
        </w:tc>
      </w:tr>
      <w:tr w14:paraId="355DFF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5" w:hRule="atLeast"/>
        </w:trPr>
        <w:tc>
          <w:tcPr>
            <w:tcW w:w="583" w:type="dxa"/>
            <w:vMerge w:val="continue"/>
            <w:tcBorders>
              <w:top w:val="nil"/>
              <w:bottom w:val="single" w:color="000000" w:sz="2" w:space="0"/>
            </w:tcBorders>
            <w:vAlign w:val="top"/>
          </w:tcPr>
          <w:p w14:paraId="47B95AC2">
            <w:pPr>
              <w:rPr>
                <w:rFonts w:ascii="Arial"/>
                <w:sz w:val="21"/>
              </w:rPr>
            </w:pPr>
          </w:p>
        </w:tc>
        <w:tc>
          <w:tcPr>
            <w:tcW w:w="878" w:type="dxa"/>
            <w:tcBorders>
              <w:top w:val="single" w:color="000000" w:sz="2" w:space="0"/>
              <w:bottom w:val="single" w:color="000000" w:sz="2" w:space="0"/>
            </w:tcBorders>
            <w:vAlign w:val="top"/>
          </w:tcPr>
          <w:p w14:paraId="16FA3B40">
            <w:pPr>
              <w:pStyle w:val="6"/>
              <w:spacing w:before="184" w:line="219" w:lineRule="auto"/>
              <w:ind w:left="262"/>
            </w:pPr>
            <w:r>
              <w:rPr>
                <w:spacing w:val="-2"/>
              </w:rPr>
              <w:t>读数</w:t>
            </w:r>
          </w:p>
        </w:tc>
        <w:tc>
          <w:tcPr>
            <w:tcW w:w="279" w:type="dxa"/>
            <w:tcBorders>
              <w:top w:val="single" w:color="000000" w:sz="2" w:space="0"/>
              <w:bottom w:val="single" w:color="000000" w:sz="2" w:space="0"/>
            </w:tcBorders>
            <w:vAlign w:val="top"/>
          </w:tcPr>
          <w:p w14:paraId="31FDD654">
            <w:pPr>
              <w:pStyle w:val="6"/>
              <w:spacing w:before="229" w:line="182" w:lineRule="auto"/>
              <w:ind w:left="83"/>
            </w:pPr>
            <w:r>
              <w:t>5</w:t>
            </w:r>
          </w:p>
        </w:tc>
        <w:tc>
          <w:tcPr>
            <w:tcW w:w="2429" w:type="dxa"/>
            <w:tcBorders>
              <w:top w:val="single" w:color="000000" w:sz="2" w:space="0"/>
              <w:bottom w:val="single" w:color="000000" w:sz="2" w:space="0"/>
            </w:tcBorders>
            <w:vAlign w:val="top"/>
          </w:tcPr>
          <w:p w14:paraId="15906C3C">
            <w:pPr>
              <w:pStyle w:val="6"/>
              <w:spacing w:before="93" w:line="224" w:lineRule="auto"/>
              <w:ind w:left="14"/>
            </w:pPr>
            <w:r>
              <w:rPr>
                <w:spacing w:val="-5"/>
              </w:rPr>
              <w:t>读数方式正确，得5分，不全正确</w:t>
            </w:r>
            <w:r>
              <w:rPr>
                <w:spacing w:val="13"/>
              </w:rPr>
              <w:t xml:space="preserve"> </w:t>
            </w:r>
            <w:r>
              <w:rPr>
                <w:spacing w:val="-1"/>
              </w:rPr>
              <w:t>酌情扣2-3分，完全错误得0分。</w:t>
            </w:r>
          </w:p>
        </w:tc>
      </w:tr>
      <w:tr w14:paraId="70729A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773" w:hRule="atLeast"/>
        </w:trPr>
        <w:tc>
          <w:tcPr>
            <w:tcW w:w="583" w:type="dxa"/>
            <w:tcBorders>
              <w:top w:val="single" w:color="000000" w:sz="2" w:space="0"/>
              <w:bottom w:val="single" w:color="000000" w:sz="2" w:space="0"/>
            </w:tcBorders>
            <w:vAlign w:val="top"/>
          </w:tcPr>
          <w:p w14:paraId="1997873A">
            <w:pPr>
              <w:spacing w:line="327" w:lineRule="auto"/>
              <w:rPr>
                <w:rFonts w:ascii="Arial"/>
                <w:sz w:val="21"/>
              </w:rPr>
            </w:pPr>
          </w:p>
          <w:p w14:paraId="729AF8F4">
            <w:pPr>
              <w:spacing w:line="327" w:lineRule="auto"/>
              <w:rPr>
                <w:rFonts w:ascii="Arial"/>
                <w:sz w:val="21"/>
              </w:rPr>
            </w:pPr>
          </w:p>
          <w:p w14:paraId="7FEF3E56">
            <w:pPr>
              <w:pStyle w:val="6"/>
              <w:spacing w:before="55" w:line="219" w:lineRule="auto"/>
              <w:ind w:left="114" w:right="107"/>
            </w:pPr>
            <w:r>
              <w:rPr>
                <w:spacing w:val="-6"/>
              </w:rPr>
              <w:t>实验</w:t>
            </w:r>
            <w:r>
              <w:t xml:space="preserve"> </w:t>
            </w:r>
            <w:r>
              <w:rPr>
                <w:spacing w:val="5"/>
              </w:rPr>
              <w:t>结果</w:t>
            </w:r>
          </w:p>
        </w:tc>
        <w:tc>
          <w:tcPr>
            <w:tcW w:w="878" w:type="dxa"/>
            <w:tcBorders>
              <w:top w:val="single" w:color="000000" w:sz="2" w:space="0"/>
              <w:bottom w:val="single" w:color="000000" w:sz="2" w:space="0"/>
            </w:tcBorders>
            <w:vAlign w:val="top"/>
          </w:tcPr>
          <w:p w14:paraId="2BB0A18B">
            <w:pPr>
              <w:spacing w:line="277" w:lineRule="auto"/>
              <w:rPr>
                <w:rFonts w:ascii="Arial"/>
                <w:sz w:val="21"/>
              </w:rPr>
            </w:pPr>
          </w:p>
          <w:p w14:paraId="048FE23A">
            <w:pPr>
              <w:spacing w:line="278" w:lineRule="auto"/>
              <w:rPr>
                <w:rFonts w:ascii="Arial"/>
                <w:sz w:val="21"/>
              </w:rPr>
            </w:pPr>
          </w:p>
          <w:p w14:paraId="6BDBF4C3">
            <w:pPr>
              <w:pStyle w:val="6"/>
              <w:spacing w:before="55" w:line="196" w:lineRule="auto"/>
              <w:jc w:val="right"/>
            </w:pPr>
            <w:r>
              <w:rPr>
                <w:spacing w:val="3"/>
              </w:rPr>
              <w:t>数据记录、</w:t>
            </w:r>
          </w:p>
          <w:p w14:paraId="18532F1F">
            <w:pPr>
              <w:pStyle w:val="6"/>
              <w:spacing w:line="220" w:lineRule="auto"/>
              <w:ind w:left="1"/>
            </w:pPr>
            <w:r>
              <w:rPr>
                <w:spacing w:val="2"/>
              </w:rPr>
              <w:t>处理及测定</w:t>
            </w:r>
          </w:p>
          <w:p w14:paraId="07F6B9E5">
            <w:pPr>
              <w:pStyle w:val="6"/>
              <w:spacing w:before="17" w:line="220" w:lineRule="auto"/>
              <w:ind w:left="262"/>
            </w:pPr>
            <w:r>
              <w:rPr>
                <w:spacing w:val="4"/>
              </w:rPr>
              <w:t>结果</w:t>
            </w:r>
          </w:p>
        </w:tc>
        <w:tc>
          <w:tcPr>
            <w:tcW w:w="279" w:type="dxa"/>
            <w:tcBorders>
              <w:top w:val="single" w:color="000000" w:sz="2" w:space="0"/>
              <w:bottom w:val="single" w:color="000000" w:sz="2" w:space="0"/>
            </w:tcBorders>
            <w:vAlign w:val="top"/>
          </w:tcPr>
          <w:p w14:paraId="3AFD1FD0">
            <w:pPr>
              <w:spacing w:line="262" w:lineRule="auto"/>
              <w:rPr>
                <w:rFonts w:ascii="Arial"/>
                <w:sz w:val="21"/>
              </w:rPr>
            </w:pPr>
          </w:p>
          <w:p w14:paraId="0C263FC9">
            <w:pPr>
              <w:spacing w:line="262" w:lineRule="auto"/>
              <w:rPr>
                <w:rFonts w:ascii="Arial"/>
                <w:sz w:val="21"/>
              </w:rPr>
            </w:pPr>
          </w:p>
          <w:p w14:paraId="35359447">
            <w:pPr>
              <w:spacing w:line="262" w:lineRule="auto"/>
              <w:rPr>
                <w:rFonts w:ascii="Arial"/>
                <w:sz w:val="21"/>
              </w:rPr>
            </w:pPr>
          </w:p>
          <w:p w14:paraId="51B5AD0D">
            <w:pPr>
              <w:pStyle w:val="6"/>
              <w:spacing w:before="56" w:line="184" w:lineRule="auto"/>
              <w:ind w:left="43"/>
            </w:pPr>
            <w:r>
              <w:rPr>
                <w:spacing w:val="-5"/>
              </w:rPr>
              <w:t>15</w:t>
            </w:r>
          </w:p>
        </w:tc>
        <w:tc>
          <w:tcPr>
            <w:tcW w:w="2429" w:type="dxa"/>
            <w:tcBorders>
              <w:top w:val="single" w:color="000000" w:sz="2" w:space="0"/>
              <w:bottom w:val="single" w:color="000000" w:sz="2" w:space="0"/>
            </w:tcBorders>
            <w:vAlign w:val="top"/>
          </w:tcPr>
          <w:p w14:paraId="14F6A927">
            <w:pPr>
              <w:pStyle w:val="6"/>
              <w:spacing w:before="95" w:line="226" w:lineRule="auto"/>
              <w:ind w:left="14"/>
            </w:pPr>
            <w:r>
              <w:rPr>
                <w:spacing w:val="-9"/>
              </w:rPr>
              <w:t>数据记录及时正确得5分，不全正</w:t>
            </w:r>
            <w:r>
              <w:t xml:space="preserve">  </w:t>
            </w:r>
            <w:r>
              <w:rPr>
                <w:spacing w:val="-9"/>
              </w:rPr>
              <w:t>确酌情扣2-3分，完全错误得0分；</w:t>
            </w:r>
            <w:r>
              <w:rPr>
                <w:spacing w:val="6"/>
              </w:rPr>
              <w:t xml:space="preserve"> </w:t>
            </w:r>
            <w:r>
              <w:rPr>
                <w:spacing w:val="-6"/>
              </w:rPr>
              <w:t>计算及有效数字位数正确，得5</w:t>
            </w:r>
            <w:r>
              <w:t xml:space="preserve">   </w:t>
            </w:r>
            <w:r>
              <w:rPr>
                <w:spacing w:val="-5"/>
              </w:rPr>
              <w:t>分，不全正确酌情扣2-3分，完</w:t>
            </w:r>
            <w:r>
              <w:t xml:space="preserve">   </w:t>
            </w:r>
            <w:r>
              <w:rPr>
                <w:spacing w:val="7"/>
              </w:rPr>
              <w:t>全错误得0分；</w:t>
            </w:r>
          </w:p>
          <w:p w14:paraId="71F51E24">
            <w:pPr>
              <w:pStyle w:val="6"/>
              <w:spacing w:before="19" w:line="220" w:lineRule="auto"/>
              <w:ind w:left="14"/>
              <w:jc w:val="both"/>
            </w:pPr>
            <w:r>
              <w:rPr>
                <w:spacing w:val="-2"/>
              </w:rPr>
              <w:t>测定结果的准确度根据相对误差</w:t>
            </w:r>
            <w:r>
              <w:rPr>
                <w:spacing w:val="10"/>
              </w:rPr>
              <w:t xml:space="preserve"> </w:t>
            </w:r>
            <w:r>
              <w:rPr>
                <w:spacing w:val="-5"/>
              </w:rPr>
              <w:t>计分，结果正确得5分，不全正确</w:t>
            </w:r>
            <w:r>
              <w:rPr>
                <w:spacing w:val="13"/>
              </w:rPr>
              <w:t xml:space="preserve"> </w:t>
            </w:r>
            <w:r>
              <w:rPr>
                <w:spacing w:val="-1"/>
              </w:rPr>
              <w:t>酌情扣2-3分，完全错误得0分。</w:t>
            </w:r>
          </w:p>
        </w:tc>
      </w:tr>
      <w:tr w14:paraId="25925C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24" w:hRule="atLeast"/>
        </w:trPr>
        <w:tc>
          <w:tcPr>
            <w:tcW w:w="583" w:type="dxa"/>
            <w:tcBorders>
              <w:top w:val="single" w:color="000000" w:sz="2" w:space="0"/>
              <w:bottom w:val="single" w:color="000000" w:sz="2" w:space="0"/>
            </w:tcBorders>
            <w:vAlign w:val="top"/>
          </w:tcPr>
          <w:p w14:paraId="459A187A">
            <w:pPr>
              <w:pStyle w:val="6"/>
              <w:spacing w:before="177" w:line="221" w:lineRule="auto"/>
              <w:ind w:left="114" w:right="99"/>
              <w:jc w:val="both"/>
            </w:pPr>
            <w:r>
              <w:rPr>
                <w:spacing w:val="-6"/>
              </w:rPr>
              <w:t>安全</w:t>
            </w:r>
            <w:r>
              <w:t xml:space="preserve"> </w:t>
            </w:r>
            <w:r>
              <w:rPr>
                <w:spacing w:val="9"/>
              </w:rPr>
              <w:t>文明</w:t>
            </w:r>
            <w:r>
              <w:t xml:space="preserve"> </w:t>
            </w:r>
            <w:r>
              <w:rPr>
                <w:spacing w:val="-2"/>
              </w:rPr>
              <w:t>操作</w:t>
            </w:r>
          </w:p>
        </w:tc>
        <w:tc>
          <w:tcPr>
            <w:tcW w:w="878" w:type="dxa"/>
            <w:tcBorders>
              <w:top w:val="single" w:color="000000" w:sz="2" w:space="0"/>
              <w:bottom w:val="single" w:color="000000" w:sz="2" w:space="0"/>
            </w:tcBorders>
            <w:vAlign w:val="top"/>
          </w:tcPr>
          <w:p w14:paraId="6B6B5B33">
            <w:pPr>
              <w:pStyle w:val="6"/>
              <w:spacing w:before="277" w:line="223" w:lineRule="auto"/>
              <w:ind w:left="171" w:right="8" w:hanging="170"/>
            </w:pPr>
            <w:r>
              <w:rPr>
                <w:spacing w:val="1"/>
              </w:rPr>
              <w:t xml:space="preserve">台面及实验 </w:t>
            </w:r>
            <w:r>
              <w:rPr>
                <w:spacing w:val="-2"/>
              </w:rPr>
              <w:t>条理性</w:t>
            </w:r>
          </w:p>
        </w:tc>
        <w:tc>
          <w:tcPr>
            <w:tcW w:w="279" w:type="dxa"/>
            <w:tcBorders>
              <w:top w:val="single" w:color="000000" w:sz="2" w:space="0"/>
              <w:bottom w:val="single" w:color="000000" w:sz="2" w:space="0"/>
            </w:tcBorders>
            <w:vAlign w:val="top"/>
          </w:tcPr>
          <w:p w14:paraId="14F3C79F">
            <w:pPr>
              <w:spacing w:line="371" w:lineRule="auto"/>
              <w:rPr>
                <w:rFonts w:ascii="Arial"/>
                <w:sz w:val="21"/>
              </w:rPr>
            </w:pPr>
          </w:p>
          <w:p w14:paraId="23F95A3E">
            <w:pPr>
              <w:pStyle w:val="6"/>
              <w:spacing w:before="55" w:line="184" w:lineRule="auto"/>
              <w:ind w:left="23"/>
            </w:pPr>
            <w:r>
              <w:rPr>
                <w:spacing w:val="-5"/>
              </w:rPr>
              <w:t>10</w:t>
            </w:r>
          </w:p>
        </w:tc>
        <w:tc>
          <w:tcPr>
            <w:tcW w:w="2429" w:type="dxa"/>
            <w:tcBorders>
              <w:top w:val="single" w:color="000000" w:sz="2" w:space="0"/>
              <w:bottom w:val="single" w:color="000000" w:sz="2" w:space="0"/>
            </w:tcBorders>
            <w:vAlign w:val="top"/>
          </w:tcPr>
          <w:p w14:paraId="178C4A36">
            <w:pPr>
              <w:pStyle w:val="6"/>
              <w:spacing w:before="96" w:line="222" w:lineRule="auto"/>
              <w:ind w:left="14" w:right="66" w:firstLine="30"/>
              <w:jc w:val="both"/>
            </w:pPr>
            <w:r>
              <w:t>实验台面不整洁，扣2分；物品</w:t>
            </w:r>
            <w:r>
              <w:rPr>
                <w:spacing w:val="11"/>
              </w:rPr>
              <w:t xml:space="preserve"> </w:t>
            </w:r>
            <w:r>
              <w:rPr>
                <w:spacing w:val="-1"/>
              </w:rPr>
              <w:t>摆放不规范，扣2分；仪器维护</w:t>
            </w:r>
            <w:r>
              <w:rPr>
                <w:spacing w:val="6"/>
              </w:rPr>
              <w:t xml:space="preserve"> </w:t>
            </w:r>
            <w:r>
              <w:t>不当，扣4分；安全操作情况不</w:t>
            </w:r>
            <w:r>
              <w:rPr>
                <w:spacing w:val="9"/>
              </w:rPr>
              <w:t xml:space="preserve"> </w:t>
            </w:r>
            <w:r>
              <w:t>规范，出现事故，扣2分。</w:t>
            </w:r>
          </w:p>
        </w:tc>
      </w:tr>
      <w:tr w14:paraId="372141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4" w:hRule="atLeast"/>
        </w:trPr>
        <w:tc>
          <w:tcPr>
            <w:tcW w:w="583" w:type="dxa"/>
            <w:tcBorders>
              <w:top w:val="single" w:color="000000" w:sz="2" w:space="0"/>
              <w:bottom w:val="single" w:color="000000" w:sz="2" w:space="0"/>
            </w:tcBorders>
            <w:vAlign w:val="top"/>
          </w:tcPr>
          <w:p w14:paraId="6450D3B4">
            <w:pPr>
              <w:pStyle w:val="6"/>
              <w:spacing w:before="186" w:line="219" w:lineRule="auto"/>
              <w:ind w:left="114" w:right="124"/>
            </w:pPr>
            <w:r>
              <w:rPr>
                <w:spacing w:val="-3"/>
              </w:rPr>
              <w:t>操作</w:t>
            </w:r>
            <w:r>
              <w:t xml:space="preserve"> </w:t>
            </w:r>
            <w:r>
              <w:rPr>
                <w:spacing w:val="-3"/>
              </w:rPr>
              <w:t>速度</w:t>
            </w:r>
          </w:p>
        </w:tc>
        <w:tc>
          <w:tcPr>
            <w:tcW w:w="878" w:type="dxa"/>
            <w:tcBorders>
              <w:top w:val="single" w:color="000000" w:sz="2" w:space="0"/>
              <w:bottom w:val="single" w:color="000000" w:sz="2" w:space="0"/>
            </w:tcBorders>
            <w:vAlign w:val="top"/>
          </w:tcPr>
          <w:p w14:paraId="447728F0">
            <w:pPr>
              <w:pStyle w:val="6"/>
              <w:spacing w:before="186" w:line="230" w:lineRule="auto"/>
              <w:ind w:left="262" w:right="101" w:hanging="170"/>
            </w:pPr>
            <w:r>
              <w:rPr>
                <w:spacing w:val="-2"/>
              </w:rPr>
              <w:t>操作熟练</w:t>
            </w:r>
            <w:r>
              <w:rPr>
                <w:spacing w:val="1"/>
              </w:rPr>
              <w:t xml:space="preserve"> </w:t>
            </w:r>
            <w:r>
              <w:rPr>
                <w:spacing w:val="-2"/>
              </w:rPr>
              <w:t>程度</w:t>
            </w:r>
          </w:p>
        </w:tc>
        <w:tc>
          <w:tcPr>
            <w:tcW w:w="279" w:type="dxa"/>
            <w:tcBorders>
              <w:top w:val="single" w:color="000000" w:sz="2" w:space="0"/>
              <w:bottom w:val="single" w:color="000000" w:sz="2" w:space="0"/>
            </w:tcBorders>
            <w:vAlign w:val="top"/>
          </w:tcPr>
          <w:p w14:paraId="19344CC0">
            <w:pPr>
              <w:spacing w:line="272" w:lineRule="auto"/>
              <w:rPr>
                <w:rFonts w:ascii="Arial"/>
                <w:sz w:val="21"/>
              </w:rPr>
            </w:pPr>
          </w:p>
          <w:p w14:paraId="55C36C8C">
            <w:pPr>
              <w:pStyle w:val="6"/>
              <w:spacing w:before="56" w:line="184" w:lineRule="auto"/>
              <w:ind w:left="43"/>
            </w:pPr>
            <w:r>
              <w:rPr>
                <w:spacing w:val="-5"/>
              </w:rPr>
              <w:t>10</w:t>
            </w:r>
          </w:p>
        </w:tc>
        <w:tc>
          <w:tcPr>
            <w:tcW w:w="2429" w:type="dxa"/>
            <w:tcBorders>
              <w:top w:val="single" w:color="000000" w:sz="2" w:space="0"/>
              <w:bottom w:val="single" w:color="000000" w:sz="2" w:space="0"/>
            </w:tcBorders>
            <w:vAlign w:val="top"/>
          </w:tcPr>
          <w:p w14:paraId="24378589">
            <w:pPr>
              <w:pStyle w:val="6"/>
              <w:spacing w:before="85" w:line="226" w:lineRule="auto"/>
              <w:ind w:left="14" w:right="181" w:firstLine="10"/>
              <w:jc w:val="both"/>
            </w:pPr>
            <w:r>
              <w:rPr>
                <w:spacing w:val="-1"/>
              </w:rPr>
              <w:t>在20分钟内完成得10分，每延</w:t>
            </w:r>
            <w:r>
              <w:rPr>
                <w:spacing w:val="8"/>
              </w:rPr>
              <w:t xml:space="preserve"> </w:t>
            </w:r>
            <w:r>
              <w:t>长1分钟，扣1分，直到扣完10</w:t>
            </w:r>
            <w:r>
              <w:rPr>
                <w:spacing w:val="11"/>
              </w:rPr>
              <w:t xml:space="preserve"> </w:t>
            </w:r>
            <w:r>
              <w:rPr>
                <w:spacing w:val="-1"/>
              </w:rPr>
              <w:t>分为止。</w:t>
            </w:r>
          </w:p>
        </w:tc>
      </w:tr>
      <w:tr w14:paraId="300E04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1461" w:type="dxa"/>
            <w:gridSpan w:val="2"/>
            <w:tcBorders>
              <w:top w:val="single" w:color="000000" w:sz="2" w:space="0"/>
              <w:bottom w:val="single" w:color="000000" w:sz="2" w:space="0"/>
            </w:tcBorders>
            <w:vAlign w:val="top"/>
          </w:tcPr>
          <w:p w14:paraId="1A25B537">
            <w:pPr>
              <w:pStyle w:val="6"/>
              <w:spacing w:before="68" w:line="220" w:lineRule="auto"/>
              <w:ind w:left="554"/>
            </w:pPr>
            <w:r>
              <w:rPr>
                <w:spacing w:val="-3"/>
              </w:rPr>
              <w:t>总分</w:t>
            </w:r>
          </w:p>
        </w:tc>
        <w:tc>
          <w:tcPr>
            <w:tcW w:w="279" w:type="dxa"/>
            <w:tcBorders>
              <w:top w:val="single" w:color="000000" w:sz="2" w:space="0"/>
              <w:bottom w:val="single" w:color="000000" w:sz="2" w:space="0"/>
            </w:tcBorders>
            <w:vAlign w:val="top"/>
          </w:tcPr>
          <w:p w14:paraId="51FCB5FD">
            <w:pPr>
              <w:pStyle w:val="6"/>
              <w:spacing w:before="110" w:line="184" w:lineRule="auto"/>
              <w:ind w:left="4"/>
            </w:pPr>
            <w:r>
              <w:rPr>
                <w:spacing w:val="-5"/>
              </w:rPr>
              <w:t>150</w:t>
            </w:r>
          </w:p>
        </w:tc>
        <w:tc>
          <w:tcPr>
            <w:tcW w:w="2429" w:type="dxa"/>
            <w:tcBorders>
              <w:top w:val="single" w:color="000000" w:sz="2" w:space="0"/>
              <w:bottom w:val="single" w:color="000000" w:sz="2" w:space="0"/>
            </w:tcBorders>
            <w:vAlign w:val="top"/>
          </w:tcPr>
          <w:p w14:paraId="6AC9FD52">
            <w:pPr>
              <w:rPr>
                <w:rFonts w:ascii="Arial"/>
                <w:sz w:val="21"/>
              </w:rPr>
            </w:pPr>
          </w:p>
        </w:tc>
      </w:tr>
    </w:tbl>
    <w:p w14:paraId="5883A2A7">
      <w:pPr>
        <w:pStyle w:val="2"/>
        <w:spacing w:line="285" w:lineRule="auto"/>
      </w:pPr>
    </w:p>
    <w:p w14:paraId="0EA122CD">
      <w:pPr>
        <w:pStyle w:val="2"/>
        <w:spacing w:line="285" w:lineRule="auto"/>
      </w:pPr>
    </w:p>
    <w:p w14:paraId="517D4956">
      <w:pPr>
        <w:spacing w:before="75" w:line="221" w:lineRule="auto"/>
        <w:ind w:left="8"/>
        <w:rPr>
          <w:rFonts w:ascii="黑体" w:hAnsi="黑体" w:eastAsia="黑体" w:cs="黑体"/>
          <w:sz w:val="23"/>
          <w:szCs w:val="23"/>
        </w:rPr>
      </w:pPr>
      <w:r>
        <w:rPr>
          <w:rFonts w:ascii="黑体" w:hAnsi="黑体" w:eastAsia="黑体" w:cs="黑体"/>
          <w:b/>
          <w:bCs/>
          <w:spacing w:val="-5"/>
          <w:sz w:val="23"/>
          <w:szCs w:val="23"/>
        </w:rPr>
        <w:t>项目二配制一定物质的量浓度的</w:t>
      </w:r>
      <w:r>
        <w:rPr>
          <w:rFonts w:ascii="Times New Roman" w:hAnsi="Times New Roman" w:eastAsia="Times New Roman" w:cs="Times New Roman"/>
          <w:b/>
          <w:bCs/>
          <w:spacing w:val="-5"/>
          <w:sz w:val="23"/>
          <w:szCs w:val="23"/>
        </w:rPr>
        <w:t>NaCl</w:t>
      </w:r>
      <w:r>
        <w:rPr>
          <w:rFonts w:ascii="黑体" w:hAnsi="黑体" w:eastAsia="黑体" w:cs="黑体"/>
          <w:b/>
          <w:bCs/>
          <w:spacing w:val="-5"/>
          <w:sz w:val="23"/>
          <w:szCs w:val="23"/>
        </w:rPr>
        <w:t>溶液</w:t>
      </w:r>
    </w:p>
    <w:p w14:paraId="359FA7A1">
      <w:pPr>
        <w:spacing w:before="243" w:line="221" w:lineRule="auto"/>
        <w:ind w:left="7"/>
        <w:rPr>
          <w:rFonts w:ascii="黑体" w:hAnsi="黑体" w:eastAsia="黑体" w:cs="黑体"/>
          <w:sz w:val="18"/>
          <w:szCs w:val="18"/>
        </w:rPr>
      </w:pPr>
      <w:r>
        <w:rPr>
          <w:rFonts w:ascii="黑体" w:hAnsi="黑体" w:eastAsia="黑体" w:cs="黑体"/>
          <w:b/>
          <w:bCs/>
          <w:spacing w:val="9"/>
          <w:sz w:val="18"/>
          <w:szCs w:val="18"/>
        </w:rPr>
        <w:t>一</w:t>
      </w:r>
      <w:r>
        <w:rPr>
          <w:rFonts w:ascii="黑体" w:hAnsi="黑体" w:eastAsia="黑体" w:cs="黑体"/>
          <w:spacing w:val="-8"/>
          <w:sz w:val="18"/>
          <w:szCs w:val="18"/>
        </w:rPr>
        <w:t xml:space="preserve"> </w:t>
      </w:r>
      <w:r>
        <w:rPr>
          <w:rFonts w:ascii="黑体" w:hAnsi="黑体" w:eastAsia="黑体" w:cs="黑体"/>
          <w:b/>
          <w:bCs/>
          <w:spacing w:val="9"/>
          <w:sz w:val="18"/>
          <w:szCs w:val="18"/>
        </w:rPr>
        <w:t>、测试用具或材料</w:t>
      </w:r>
    </w:p>
    <w:p w14:paraId="6D166CFD">
      <w:pPr>
        <w:spacing w:before="147" w:line="250" w:lineRule="auto"/>
        <w:ind w:left="5" w:right="4" w:firstLine="380"/>
        <w:rPr>
          <w:rFonts w:ascii="Times New Roman" w:hAnsi="Times New Roman" w:eastAsia="Times New Roman" w:cs="Times New Roman"/>
          <w:sz w:val="18"/>
          <w:szCs w:val="18"/>
        </w:rPr>
      </w:pPr>
      <w:r>
        <w:rPr>
          <w:rFonts w:ascii="宋体" w:hAnsi="宋体" w:eastAsia="宋体" w:cs="宋体"/>
          <w:spacing w:val="-4"/>
          <w:sz w:val="18"/>
          <w:szCs w:val="18"/>
        </w:rPr>
        <w:t xml:space="preserve">电子天平、称量纸、烧杯(100 </w:t>
      </w:r>
      <w:r>
        <w:rPr>
          <w:rFonts w:ascii="Times New Roman" w:hAnsi="Times New Roman" w:eastAsia="Times New Roman" w:cs="Times New Roman"/>
          <w:spacing w:val="-4"/>
          <w:sz w:val="18"/>
          <w:szCs w:val="18"/>
        </w:rPr>
        <w:t>mL</w:t>
      </w:r>
      <w:r>
        <w:rPr>
          <w:rFonts w:ascii="宋体" w:hAnsi="宋体" w:eastAsia="宋体" w:cs="宋体"/>
          <w:spacing w:val="-4"/>
          <w:sz w:val="18"/>
          <w:szCs w:val="18"/>
        </w:rPr>
        <w:t>和250</w:t>
      </w:r>
      <w:r>
        <w:rPr>
          <w:rFonts w:ascii="宋体" w:hAnsi="宋体" w:eastAsia="宋体" w:cs="宋体"/>
          <w:spacing w:val="-23"/>
          <w:sz w:val="18"/>
          <w:szCs w:val="18"/>
        </w:rPr>
        <w:t xml:space="preserve"> </w:t>
      </w:r>
      <w:r>
        <w:rPr>
          <w:rFonts w:ascii="Times New Roman" w:hAnsi="Times New Roman" w:eastAsia="Times New Roman" w:cs="Times New Roman"/>
          <w:spacing w:val="-4"/>
          <w:sz w:val="18"/>
          <w:szCs w:val="18"/>
        </w:rPr>
        <w:t>mL</w:t>
      </w:r>
      <w:r>
        <w:rPr>
          <w:rFonts w:ascii="Times New Roman" w:hAnsi="Times New Roman" w:eastAsia="Times New Roman" w:cs="Times New Roman"/>
          <w:spacing w:val="41"/>
          <w:w w:val="101"/>
          <w:sz w:val="18"/>
          <w:szCs w:val="18"/>
        </w:rPr>
        <w:t xml:space="preserve"> </w:t>
      </w:r>
      <w:r>
        <w:rPr>
          <w:rFonts w:ascii="宋体" w:hAnsi="宋体" w:eastAsia="宋体" w:cs="宋体"/>
          <w:spacing w:val="-4"/>
          <w:sz w:val="18"/>
          <w:szCs w:val="18"/>
        </w:rPr>
        <w:t>各一</w:t>
      </w:r>
      <w:r>
        <w:rPr>
          <w:rFonts w:ascii="宋体" w:hAnsi="宋体" w:eastAsia="宋体" w:cs="宋体"/>
          <w:sz w:val="18"/>
          <w:szCs w:val="18"/>
        </w:rPr>
        <w:t xml:space="preserve"> </w:t>
      </w:r>
      <w:r>
        <w:rPr>
          <w:rFonts w:ascii="宋体" w:hAnsi="宋体" w:eastAsia="宋体" w:cs="宋体"/>
          <w:spacing w:val="-1"/>
          <w:sz w:val="18"/>
          <w:szCs w:val="18"/>
        </w:rPr>
        <w:t xml:space="preserve">个)、玻璃棒、药匙、胶头滴管、容量瓶(250 </w:t>
      </w:r>
      <w:r>
        <w:rPr>
          <w:rFonts w:ascii="Times New Roman" w:hAnsi="Times New Roman" w:eastAsia="Times New Roman" w:cs="Times New Roman"/>
          <w:spacing w:val="-1"/>
          <w:sz w:val="18"/>
          <w:szCs w:val="18"/>
        </w:rPr>
        <w:t>mL);</w:t>
      </w:r>
    </w:p>
    <w:p w14:paraId="4CF41E7F">
      <w:pPr>
        <w:spacing w:before="74" w:line="219" w:lineRule="auto"/>
        <w:ind w:left="5"/>
        <w:rPr>
          <w:rFonts w:ascii="宋体" w:hAnsi="宋体" w:eastAsia="宋体" w:cs="宋体"/>
          <w:sz w:val="18"/>
          <w:szCs w:val="18"/>
        </w:rPr>
      </w:pPr>
      <w:r>
        <w:rPr>
          <w:rFonts w:ascii="宋体" w:hAnsi="宋体" w:eastAsia="宋体" w:cs="宋体"/>
          <w:spacing w:val="-8"/>
          <w:sz w:val="18"/>
          <w:szCs w:val="18"/>
        </w:rPr>
        <w:t>固体</w:t>
      </w:r>
      <w:r>
        <w:rPr>
          <w:rFonts w:ascii="Times New Roman" w:hAnsi="Times New Roman" w:eastAsia="Times New Roman" w:cs="Times New Roman"/>
          <w:spacing w:val="-8"/>
          <w:sz w:val="18"/>
          <w:szCs w:val="18"/>
        </w:rPr>
        <w:t>NaCl</w:t>
      </w:r>
      <w:r>
        <w:rPr>
          <w:rFonts w:ascii="宋体" w:hAnsi="宋体" w:eastAsia="宋体" w:cs="宋体"/>
          <w:spacing w:val="-8"/>
          <w:sz w:val="18"/>
          <w:szCs w:val="18"/>
        </w:rPr>
        <w:t>、蒸馏水。</w:t>
      </w:r>
    </w:p>
    <w:p w14:paraId="1D27A4CE">
      <w:pPr>
        <w:spacing w:before="223" w:line="222" w:lineRule="auto"/>
        <w:ind w:left="7"/>
        <w:rPr>
          <w:rFonts w:ascii="黑体" w:hAnsi="黑体" w:eastAsia="黑体" w:cs="黑体"/>
          <w:sz w:val="18"/>
          <w:szCs w:val="18"/>
        </w:rPr>
      </w:pPr>
      <w:r>
        <w:rPr>
          <w:rFonts w:ascii="黑体" w:hAnsi="黑体" w:eastAsia="黑体" w:cs="黑体"/>
          <w:b/>
          <w:bCs/>
          <w:spacing w:val="5"/>
          <w:sz w:val="18"/>
          <w:szCs w:val="18"/>
        </w:rPr>
        <w:t>二</w:t>
      </w:r>
      <w:r>
        <w:rPr>
          <w:rFonts w:ascii="黑体" w:hAnsi="黑体" w:eastAsia="黑体" w:cs="黑体"/>
          <w:spacing w:val="-38"/>
          <w:sz w:val="18"/>
          <w:szCs w:val="18"/>
        </w:rPr>
        <w:t xml:space="preserve"> </w:t>
      </w:r>
      <w:r>
        <w:rPr>
          <w:rFonts w:ascii="黑体" w:hAnsi="黑体" w:eastAsia="黑体" w:cs="黑体"/>
          <w:b/>
          <w:bCs/>
          <w:spacing w:val="5"/>
          <w:sz w:val="18"/>
          <w:szCs w:val="18"/>
        </w:rPr>
        <w:t>、技能要求</w:t>
      </w:r>
    </w:p>
    <w:p w14:paraId="15CB75D5">
      <w:pPr>
        <w:spacing w:before="136" w:line="219" w:lineRule="auto"/>
        <w:ind w:left="385"/>
        <w:rPr>
          <w:rFonts w:ascii="宋体" w:hAnsi="宋体" w:eastAsia="宋体" w:cs="宋体"/>
          <w:sz w:val="18"/>
          <w:szCs w:val="18"/>
        </w:rPr>
      </w:pPr>
      <w:r>
        <w:rPr>
          <w:rFonts w:ascii="宋体" w:hAnsi="宋体" w:eastAsia="宋体" w:cs="宋体"/>
          <w:spacing w:val="-9"/>
          <w:sz w:val="18"/>
          <w:szCs w:val="18"/>
        </w:rPr>
        <w:t>1.正确使用电子天平。</w:t>
      </w:r>
    </w:p>
    <w:p w14:paraId="48DC0EF6">
      <w:pPr>
        <w:spacing w:before="87" w:line="220" w:lineRule="auto"/>
        <w:ind w:left="385"/>
        <w:rPr>
          <w:rFonts w:ascii="宋体" w:hAnsi="宋体" w:eastAsia="宋体" w:cs="宋体"/>
          <w:sz w:val="18"/>
          <w:szCs w:val="18"/>
        </w:rPr>
      </w:pPr>
      <w:r>
        <w:rPr>
          <w:rFonts w:ascii="宋体" w:hAnsi="宋体" w:eastAsia="宋体" w:cs="宋体"/>
          <w:spacing w:val="-8"/>
          <w:sz w:val="18"/>
          <w:szCs w:val="18"/>
        </w:rPr>
        <w:t>2.熟练配制一定浓度的溶液。</w:t>
      </w:r>
    </w:p>
    <w:p w14:paraId="1600BC4F">
      <w:pPr>
        <w:spacing w:before="201" w:line="221" w:lineRule="auto"/>
        <w:ind w:left="7"/>
        <w:rPr>
          <w:rFonts w:ascii="黑体" w:hAnsi="黑体" w:eastAsia="黑体" w:cs="黑体"/>
          <w:sz w:val="18"/>
          <w:szCs w:val="18"/>
        </w:rPr>
      </w:pPr>
      <w:r>
        <w:rPr>
          <w:rFonts w:ascii="黑体" w:hAnsi="黑体" w:eastAsia="黑体" w:cs="黑体"/>
          <w:b/>
          <w:bCs/>
          <w:spacing w:val="11"/>
          <w:sz w:val="18"/>
          <w:szCs w:val="18"/>
        </w:rPr>
        <w:t>三</w:t>
      </w:r>
      <w:r>
        <w:rPr>
          <w:rFonts w:ascii="黑体" w:hAnsi="黑体" w:eastAsia="黑体" w:cs="黑体"/>
          <w:spacing w:val="-36"/>
          <w:sz w:val="18"/>
          <w:szCs w:val="18"/>
        </w:rPr>
        <w:t xml:space="preserve"> </w:t>
      </w:r>
      <w:r>
        <w:rPr>
          <w:rFonts w:ascii="黑体" w:hAnsi="黑体" w:eastAsia="黑体" w:cs="黑体"/>
          <w:b/>
          <w:bCs/>
          <w:spacing w:val="11"/>
          <w:sz w:val="18"/>
          <w:szCs w:val="18"/>
        </w:rPr>
        <w:t>、分值与测试时间</w:t>
      </w:r>
    </w:p>
    <w:p w14:paraId="3A4853DB">
      <w:pPr>
        <w:spacing w:before="129" w:line="219" w:lineRule="auto"/>
        <w:ind w:left="385"/>
        <w:rPr>
          <w:rFonts w:ascii="宋体" w:hAnsi="宋体" w:eastAsia="宋体" w:cs="宋体"/>
          <w:sz w:val="18"/>
          <w:szCs w:val="18"/>
        </w:rPr>
      </w:pPr>
      <w:r>
        <w:rPr>
          <w:rFonts w:ascii="宋体" w:hAnsi="宋体" w:eastAsia="宋体" w:cs="宋体"/>
          <w:spacing w:val="1"/>
          <w:sz w:val="18"/>
          <w:szCs w:val="18"/>
        </w:rPr>
        <w:t>分值为100分；测试时间为30分钟。</w:t>
      </w:r>
    </w:p>
    <w:p w14:paraId="5B100D50">
      <w:pPr>
        <w:spacing w:before="222" w:line="221" w:lineRule="auto"/>
        <w:ind w:left="7"/>
        <w:rPr>
          <w:rFonts w:ascii="黑体" w:hAnsi="黑体" w:eastAsia="黑体" w:cs="黑体"/>
          <w:sz w:val="18"/>
          <w:szCs w:val="18"/>
        </w:rPr>
      </w:pPr>
      <w:r>
        <w:rPr>
          <w:rFonts w:ascii="黑体" w:hAnsi="黑体" w:eastAsia="黑体" w:cs="黑体"/>
          <w:b/>
          <w:bCs/>
          <w:spacing w:val="3"/>
          <w:sz w:val="18"/>
          <w:szCs w:val="18"/>
        </w:rPr>
        <w:t>四</w:t>
      </w:r>
      <w:r>
        <w:rPr>
          <w:rFonts w:ascii="黑体" w:hAnsi="黑体" w:eastAsia="黑体" w:cs="黑体"/>
          <w:spacing w:val="-30"/>
          <w:sz w:val="18"/>
          <w:szCs w:val="18"/>
        </w:rPr>
        <w:t xml:space="preserve"> </w:t>
      </w:r>
      <w:r>
        <w:rPr>
          <w:rFonts w:ascii="黑体" w:hAnsi="黑体" w:eastAsia="黑体" w:cs="黑体"/>
          <w:b/>
          <w:bCs/>
          <w:spacing w:val="3"/>
          <w:sz w:val="18"/>
          <w:szCs w:val="18"/>
        </w:rPr>
        <w:t>、操作步骤</w:t>
      </w:r>
    </w:p>
    <w:p w14:paraId="038D502C">
      <w:pPr>
        <w:spacing w:before="139" w:line="265" w:lineRule="auto"/>
        <w:ind w:left="5" w:right="38" w:firstLine="380"/>
        <w:rPr>
          <w:rFonts w:ascii="宋体" w:hAnsi="宋体" w:eastAsia="宋体" w:cs="宋体"/>
          <w:sz w:val="18"/>
          <w:szCs w:val="18"/>
        </w:rPr>
      </w:pPr>
      <w:r>
        <w:rPr>
          <w:rFonts w:ascii="宋体" w:hAnsi="宋体" w:eastAsia="宋体" w:cs="宋体"/>
          <w:spacing w:val="-9"/>
          <w:sz w:val="18"/>
          <w:szCs w:val="18"/>
        </w:rPr>
        <w:t>1.计算溶质的质量：计算出配制一定浓度的溶液所</w:t>
      </w:r>
      <w:r>
        <w:rPr>
          <w:rFonts w:ascii="宋体" w:hAnsi="宋体" w:eastAsia="宋体" w:cs="宋体"/>
          <w:spacing w:val="1"/>
          <w:sz w:val="18"/>
          <w:szCs w:val="18"/>
        </w:rPr>
        <w:t xml:space="preserve"> </w:t>
      </w:r>
      <w:r>
        <w:rPr>
          <w:rFonts w:ascii="宋体" w:hAnsi="宋体" w:eastAsia="宋体" w:cs="宋体"/>
          <w:spacing w:val="-3"/>
          <w:sz w:val="18"/>
          <w:szCs w:val="18"/>
        </w:rPr>
        <w:t>需固体</w:t>
      </w:r>
      <w:r>
        <w:rPr>
          <w:rFonts w:ascii="Times New Roman" w:hAnsi="Times New Roman" w:eastAsia="Times New Roman" w:cs="Times New Roman"/>
          <w:spacing w:val="-3"/>
          <w:sz w:val="18"/>
          <w:szCs w:val="18"/>
        </w:rPr>
        <w:t>NaCl</w:t>
      </w:r>
      <w:r>
        <w:rPr>
          <w:rFonts w:ascii="宋体" w:hAnsi="宋体" w:eastAsia="宋体" w:cs="宋体"/>
          <w:spacing w:val="-3"/>
          <w:sz w:val="18"/>
          <w:szCs w:val="18"/>
        </w:rPr>
        <w:t>的质量。</w:t>
      </w:r>
    </w:p>
    <w:p w14:paraId="5C7F4630">
      <w:pPr>
        <w:spacing w:line="265" w:lineRule="auto"/>
        <w:rPr>
          <w:rFonts w:ascii="宋体" w:hAnsi="宋体" w:eastAsia="宋体" w:cs="宋体"/>
          <w:sz w:val="18"/>
          <w:szCs w:val="18"/>
        </w:rPr>
        <w:sectPr>
          <w:type w:val="continuous"/>
          <w:pgSz w:w="10660" w:h="15080"/>
          <w:pgMar w:top="400" w:right="934" w:bottom="905" w:left="960" w:header="0" w:footer="743" w:gutter="0"/>
          <w:cols w:equalWidth="0" w:num="2">
            <w:col w:w="4485" w:space="100"/>
            <w:col w:w="4180"/>
          </w:cols>
        </w:sectPr>
      </w:pPr>
    </w:p>
    <w:p w14:paraId="1A304F1A">
      <w:pPr>
        <w:spacing w:before="10"/>
      </w:pPr>
    </w:p>
    <w:p w14:paraId="22635421">
      <w:pPr>
        <w:spacing w:before="10"/>
      </w:pPr>
    </w:p>
    <w:p w14:paraId="63825E7C">
      <w:pPr>
        <w:spacing w:before="10"/>
      </w:pPr>
    </w:p>
    <w:p w14:paraId="0A59327F">
      <w:pPr>
        <w:spacing w:before="9"/>
      </w:pPr>
    </w:p>
    <w:p w14:paraId="69E0932F">
      <w:pPr>
        <w:sectPr>
          <w:footerReference r:id="rId162" w:type="default"/>
          <w:pgSz w:w="10660" w:h="15080"/>
          <w:pgMar w:top="400" w:right="1043" w:bottom="898" w:left="809" w:header="0" w:footer="745" w:gutter="0"/>
          <w:cols w:equalWidth="0" w:num="1">
            <w:col w:w="8807"/>
          </w:cols>
        </w:sectPr>
      </w:pPr>
    </w:p>
    <w:p w14:paraId="325D62A4">
      <w:pPr>
        <w:spacing w:before="1" w:line="272" w:lineRule="auto"/>
        <w:ind w:left="30" w:right="262" w:firstLine="370"/>
        <w:rPr>
          <w:rFonts w:ascii="宋体" w:hAnsi="宋体" w:eastAsia="宋体" w:cs="宋体"/>
          <w:sz w:val="17"/>
          <w:szCs w:val="17"/>
        </w:rPr>
      </w:pPr>
      <w:r>
        <w:rPr>
          <w:rFonts w:ascii="Times New Roman" w:hAnsi="Times New Roman" w:eastAsia="Times New Roman" w:cs="Times New Roman"/>
          <w:spacing w:val="4"/>
          <w:sz w:val="17"/>
          <w:szCs w:val="17"/>
        </w:rPr>
        <w:t xml:space="preserve">2. </w:t>
      </w:r>
      <w:r>
        <w:rPr>
          <w:rFonts w:ascii="宋体" w:hAnsi="宋体" w:eastAsia="宋体" w:cs="宋体"/>
          <w:spacing w:val="4"/>
          <w:sz w:val="17"/>
          <w:szCs w:val="17"/>
        </w:rPr>
        <w:t>称量：用电子天平准确称取固体</w:t>
      </w:r>
      <w:r>
        <w:rPr>
          <w:rFonts w:ascii="Times New Roman" w:hAnsi="Times New Roman" w:eastAsia="Times New Roman" w:cs="Times New Roman"/>
          <w:sz w:val="17"/>
          <w:szCs w:val="17"/>
        </w:rPr>
        <w:t>NaCl</w:t>
      </w:r>
      <w:r>
        <w:rPr>
          <w:rFonts w:ascii="Times New Roman" w:hAnsi="Times New Roman" w:eastAsia="Times New Roman" w:cs="Times New Roman"/>
          <w:spacing w:val="4"/>
          <w:sz w:val="17"/>
          <w:szCs w:val="17"/>
        </w:rPr>
        <w:t>,</w:t>
      </w:r>
      <w:r>
        <w:rPr>
          <w:rFonts w:ascii="Times New Roman" w:hAnsi="Times New Roman" w:eastAsia="Times New Roman" w:cs="Times New Roman"/>
          <w:spacing w:val="21"/>
          <w:sz w:val="17"/>
          <w:szCs w:val="17"/>
        </w:rPr>
        <w:t xml:space="preserve">  </w:t>
      </w:r>
      <w:r>
        <w:rPr>
          <w:rFonts w:ascii="宋体" w:hAnsi="宋体" w:eastAsia="宋体" w:cs="宋体"/>
          <w:spacing w:val="4"/>
          <w:sz w:val="17"/>
          <w:szCs w:val="17"/>
        </w:rPr>
        <w:t>注意天平</w:t>
      </w:r>
      <w:r>
        <w:rPr>
          <w:rFonts w:ascii="宋体" w:hAnsi="宋体" w:eastAsia="宋体" w:cs="宋体"/>
          <w:sz w:val="17"/>
          <w:szCs w:val="17"/>
        </w:rPr>
        <w:t xml:space="preserve"> 的精确程度。</w:t>
      </w:r>
    </w:p>
    <w:p w14:paraId="1AECF635">
      <w:pPr>
        <w:spacing w:before="89" w:line="302" w:lineRule="auto"/>
        <w:ind w:left="30" w:right="391" w:firstLine="370"/>
        <w:rPr>
          <w:rFonts w:ascii="宋体" w:hAnsi="宋体" w:eastAsia="宋体" w:cs="宋体"/>
          <w:sz w:val="17"/>
          <w:szCs w:val="17"/>
        </w:rPr>
      </w:pPr>
      <w:r>
        <w:rPr>
          <w:rFonts w:ascii="Times New Roman" w:hAnsi="Times New Roman" w:eastAsia="Times New Roman" w:cs="Times New Roman"/>
          <w:spacing w:val="6"/>
          <w:sz w:val="17"/>
          <w:szCs w:val="17"/>
        </w:rPr>
        <w:t xml:space="preserve">3. </w:t>
      </w:r>
      <w:r>
        <w:rPr>
          <w:rFonts w:ascii="宋体" w:hAnsi="宋体" w:eastAsia="宋体" w:cs="宋体"/>
          <w:spacing w:val="6"/>
          <w:sz w:val="17"/>
          <w:szCs w:val="17"/>
        </w:rPr>
        <w:t>溶解：将称取的固体</w:t>
      </w:r>
      <w:r>
        <w:rPr>
          <w:rFonts w:ascii="Times New Roman" w:hAnsi="Times New Roman" w:eastAsia="Times New Roman" w:cs="Times New Roman"/>
          <w:sz w:val="17"/>
          <w:szCs w:val="17"/>
        </w:rPr>
        <w:t>NaCl</w:t>
      </w:r>
      <w:r>
        <w:rPr>
          <w:rFonts w:ascii="宋体" w:hAnsi="宋体" w:eastAsia="宋体" w:cs="宋体"/>
          <w:spacing w:val="6"/>
          <w:sz w:val="17"/>
          <w:szCs w:val="17"/>
        </w:rPr>
        <w:t>放入烧杯中，用蒸馏</w:t>
      </w:r>
      <w:r>
        <w:rPr>
          <w:rFonts w:ascii="宋体" w:hAnsi="宋体" w:eastAsia="宋体" w:cs="宋体"/>
          <w:spacing w:val="2"/>
          <w:sz w:val="17"/>
          <w:szCs w:val="17"/>
        </w:rPr>
        <w:t xml:space="preserve"> </w:t>
      </w:r>
      <w:r>
        <w:rPr>
          <w:rFonts w:ascii="宋体" w:hAnsi="宋体" w:eastAsia="宋体" w:cs="宋体"/>
          <w:spacing w:val="1"/>
          <w:sz w:val="17"/>
          <w:szCs w:val="17"/>
        </w:rPr>
        <w:t>水溶解。</w:t>
      </w:r>
    </w:p>
    <w:p w14:paraId="661C830C">
      <w:pPr>
        <w:spacing w:before="23" w:line="219" w:lineRule="auto"/>
        <w:ind w:left="400"/>
        <w:rPr>
          <w:rFonts w:ascii="宋体" w:hAnsi="宋体" w:eastAsia="宋体" w:cs="宋体"/>
          <w:sz w:val="17"/>
          <w:szCs w:val="17"/>
        </w:rPr>
      </w:pPr>
      <w:r>
        <w:rPr>
          <w:rFonts w:ascii="宋体" w:hAnsi="宋体" w:eastAsia="宋体" w:cs="宋体"/>
          <w:spacing w:val="2"/>
          <w:sz w:val="17"/>
          <w:szCs w:val="17"/>
        </w:rPr>
        <w:t>4.移液：将烧杯中液体转移到容量瓶中。</w:t>
      </w:r>
    </w:p>
    <w:p w14:paraId="3440AC89">
      <w:pPr>
        <w:spacing w:before="98" w:line="302" w:lineRule="auto"/>
        <w:ind w:left="30" w:right="350" w:firstLine="370"/>
        <w:rPr>
          <w:rFonts w:ascii="宋体" w:hAnsi="宋体" w:eastAsia="宋体" w:cs="宋体"/>
          <w:sz w:val="17"/>
          <w:szCs w:val="17"/>
        </w:rPr>
      </w:pPr>
      <w:r>
        <w:rPr>
          <w:rFonts w:ascii="宋体" w:hAnsi="宋体" w:eastAsia="宋体" w:cs="宋体"/>
          <w:spacing w:val="4"/>
          <w:sz w:val="17"/>
          <w:szCs w:val="17"/>
        </w:rPr>
        <w:t>5.洗涤：用蒸馏水洗涤烧杯2~3次，并将洗液全部</w:t>
      </w:r>
      <w:r>
        <w:rPr>
          <w:rFonts w:ascii="宋体" w:hAnsi="宋体" w:eastAsia="宋体" w:cs="宋体"/>
          <w:spacing w:val="7"/>
          <w:sz w:val="17"/>
          <w:szCs w:val="17"/>
        </w:rPr>
        <w:t xml:space="preserve"> </w:t>
      </w:r>
      <w:r>
        <w:rPr>
          <w:rFonts w:ascii="宋体" w:hAnsi="宋体" w:eastAsia="宋体" w:cs="宋体"/>
          <w:spacing w:val="-2"/>
          <w:sz w:val="17"/>
          <w:szCs w:val="17"/>
        </w:rPr>
        <w:t>转移到容量瓶中。轻轻摇动容量瓶，使溶液混合均匀。</w:t>
      </w:r>
    </w:p>
    <w:p w14:paraId="2BBB4E3A">
      <w:pPr>
        <w:spacing w:before="23" w:line="313" w:lineRule="auto"/>
        <w:ind w:left="30" w:right="470" w:firstLine="370"/>
        <w:rPr>
          <w:rFonts w:ascii="宋体" w:hAnsi="宋体" w:eastAsia="宋体" w:cs="宋体"/>
          <w:sz w:val="17"/>
          <w:szCs w:val="17"/>
        </w:rPr>
      </w:pPr>
      <w:r>
        <w:rPr>
          <w:rFonts w:ascii="Times New Roman" w:hAnsi="Times New Roman" w:eastAsia="Times New Roman" w:cs="Times New Roman"/>
          <w:spacing w:val="4"/>
          <w:sz w:val="17"/>
          <w:szCs w:val="17"/>
        </w:rPr>
        <w:t xml:space="preserve">6. </w:t>
      </w:r>
      <w:r>
        <w:rPr>
          <w:rFonts w:ascii="宋体" w:hAnsi="宋体" w:eastAsia="宋体" w:cs="宋体"/>
          <w:spacing w:val="4"/>
          <w:sz w:val="17"/>
          <w:szCs w:val="17"/>
        </w:rPr>
        <w:t>定容：向容量瓶中加水至刻度线1</w:t>
      </w:r>
      <w:r>
        <w:rPr>
          <w:rFonts w:ascii="Times New Roman" w:hAnsi="Times New Roman" w:eastAsia="Times New Roman" w:cs="Times New Roman"/>
          <w:sz w:val="17"/>
          <w:szCs w:val="17"/>
        </w:rPr>
        <w:t>cm</w:t>
      </w:r>
      <w:r>
        <w:rPr>
          <w:rFonts w:ascii="Times New Roman" w:hAnsi="Times New Roman" w:eastAsia="Times New Roman" w:cs="Times New Roman"/>
          <w:spacing w:val="4"/>
          <w:sz w:val="17"/>
          <w:szCs w:val="17"/>
        </w:rPr>
        <w:t>~2</w:t>
      </w:r>
      <w:r>
        <w:rPr>
          <w:rFonts w:ascii="Times New Roman" w:hAnsi="Times New Roman" w:eastAsia="Times New Roman" w:cs="Times New Roman"/>
          <w:sz w:val="17"/>
          <w:szCs w:val="17"/>
        </w:rPr>
        <w:t>cm</w:t>
      </w:r>
      <w:r>
        <w:rPr>
          <w:rFonts w:ascii="Times New Roman" w:hAnsi="Times New Roman" w:eastAsia="Times New Roman" w:cs="Times New Roman"/>
          <w:spacing w:val="4"/>
          <w:sz w:val="17"/>
          <w:szCs w:val="17"/>
        </w:rPr>
        <w:t xml:space="preserve">   </w:t>
      </w:r>
      <w:r>
        <w:rPr>
          <w:rFonts w:ascii="宋体" w:hAnsi="宋体" w:eastAsia="宋体" w:cs="宋体"/>
          <w:spacing w:val="4"/>
          <w:sz w:val="17"/>
          <w:szCs w:val="17"/>
        </w:rPr>
        <w:t>处</w:t>
      </w:r>
      <w:r>
        <w:rPr>
          <w:rFonts w:ascii="宋体" w:hAnsi="宋体" w:eastAsia="宋体" w:cs="宋体"/>
          <w:spacing w:val="18"/>
          <w:sz w:val="17"/>
          <w:szCs w:val="17"/>
        </w:rPr>
        <w:t xml:space="preserve"> </w:t>
      </w:r>
      <w:r>
        <w:rPr>
          <w:rFonts w:ascii="宋体" w:hAnsi="宋体" w:eastAsia="宋体" w:cs="宋体"/>
          <w:spacing w:val="1"/>
          <w:sz w:val="17"/>
          <w:szCs w:val="17"/>
        </w:rPr>
        <w:t>时，再改用胶头滴管至刻度线处。</w:t>
      </w:r>
    </w:p>
    <w:p w14:paraId="3EA33426">
      <w:pPr>
        <w:spacing w:before="25" w:line="295" w:lineRule="auto"/>
        <w:ind w:left="30" w:right="306" w:firstLine="370"/>
        <w:rPr>
          <w:rFonts w:ascii="宋体" w:hAnsi="宋体" w:eastAsia="宋体" w:cs="宋体"/>
          <w:sz w:val="17"/>
          <w:szCs w:val="17"/>
        </w:rPr>
      </w:pPr>
      <w:r>
        <w:rPr>
          <w:rFonts w:ascii="宋体" w:hAnsi="宋体" w:eastAsia="宋体" w:cs="宋体"/>
          <w:spacing w:val="2"/>
          <w:sz w:val="17"/>
          <w:szCs w:val="17"/>
        </w:rPr>
        <w:t>7.摇匀：把定容好的容量瓶瓶塞塞紧，用一只手的</w:t>
      </w:r>
      <w:r>
        <w:rPr>
          <w:rFonts w:ascii="宋体" w:hAnsi="宋体" w:eastAsia="宋体" w:cs="宋体"/>
          <w:spacing w:val="16"/>
          <w:sz w:val="17"/>
          <w:szCs w:val="17"/>
        </w:rPr>
        <w:t xml:space="preserve"> </w:t>
      </w:r>
      <w:r>
        <w:rPr>
          <w:rFonts w:ascii="宋体" w:hAnsi="宋体" w:eastAsia="宋体" w:cs="宋体"/>
          <w:spacing w:val="2"/>
          <w:sz w:val="17"/>
          <w:szCs w:val="17"/>
        </w:rPr>
        <w:t>食指顶住瓶塞，另一只手托住瓶底，反复颠倒摇匀</w:t>
      </w:r>
      <w:r>
        <w:rPr>
          <w:rFonts w:ascii="宋体" w:hAnsi="宋体" w:eastAsia="宋体" w:cs="宋体"/>
          <w:spacing w:val="1"/>
          <w:sz w:val="17"/>
          <w:szCs w:val="17"/>
        </w:rPr>
        <w:t>。这</w:t>
      </w:r>
      <w:r>
        <w:rPr>
          <w:rFonts w:ascii="宋体" w:hAnsi="宋体" w:eastAsia="宋体" w:cs="宋体"/>
          <w:sz w:val="17"/>
          <w:szCs w:val="17"/>
        </w:rPr>
        <w:t xml:space="preserve"> </w:t>
      </w:r>
      <w:r>
        <w:rPr>
          <w:rFonts w:ascii="宋体" w:hAnsi="宋体" w:eastAsia="宋体" w:cs="宋体"/>
          <w:spacing w:val="3"/>
          <w:sz w:val="17"/>
          <w:szCs w:val="17"/>
        </w:rPr>
        <w:t>时如果液面低于刻度线，不要再加水。</w:t>
      </w:r>
    </w:p>
    <w:p w14:paraId="3182FA80">
      <w:pPr>
        <w:spacing w:before="44" w:line="313" w:lineRule="auto"/>
        <w:ind w:left="30" w:right="314" w:firstLine="370"/>
        <w:rPr>
          <w:rFonts w:ascii="宋体" w:hAnsi="宋体" w:eastAsia="宋体" w:cs="宋体"/>
          <w:sz w:val="17"/>
          <w:szCs w:val="17"/>
        </w:rPr>
      </w:pPr>
      <w:r>
        <w:rPr>
          <w:rFonts w:ascii="宋体" w:hAnsi="宋体" w:eastAsia="宋体" w:cs="宋体"/>
          <w:spacing w:val="2"/>
          <w:sz w:val="17"/>
          <w:szCs w:val="17"/>
        </w:rPr>
        <w:t>8.装瓶：将容量瓶中的液体倒入指定的试剂瓶中，</w:t>
      </w:r>
      <w:r>
        <w:rPr>
          <w:rFonts w:ascii="宋体" w:hAnsi="宋体" w:eastAsia="宋体" w:cs="宋体"/>
          <w:spacing w:val="8"/>
          <w:sz w:val="17"/>
          <w:szCs w:val="17"/>
        </w:rPr>
        <w:t xml:space="preserve"> </w:t>
      </w:r>
      <w:r>
        <w:rPr>
          <w:rFonts w:ascii="宋体" w:hAnsi="宋体" w:eastAsia="宋体" w:cs="宋体"/>
          <w:sz w:val="17"/>
          <w:szCs w:val="17"/>
        </w:rPr>
        <w:t>并贴好标签。</w:t>
      </w:r>
    </w:p>
    <w:p w14:paraId="64D7DC1E">
      <w:pPr>
        <w:spacing w:before="140" w:line="222" w:lineRule="auto"/>
        <w:ind w:left="32"/>
        <w:rPr>
          <w:rFonts w:ascii="黑体" w:hAnsi="黑体" w:eastAsia="黑体" w:cs="黑体"/>
          <w:sz w:val="17"/>
          <w:szCs w:val="17"/>
        </w:rPr>
      </w:pPr>
      <w:r>
        <w:rPr>
          <w:rFonts w:ascii="黑体" w:hAnsi="黑体" w:eastAsia="黑体" w:cs="黑体"/>
          <w:b/>
          <w:bCs/>
          <w:spacing w:val="16"/>
          <w:sz w:val="17"/>
          <w:szCs w:val="17"/>
        </w:rPr>
        <w:t>五</w:t>
      </w:r>
      <w:r>
        <w:rPr>
          <w:rFonts w:ascii="黑体" w:hAnsi="黑体" w:eastAsia="黑体" w:cs="黑体"/>
          <w:spacing w:val="-11"/>
          <w:sz w:val="17"/>
          <w:szCs w:val="17"/>
        </w:rPr>
        <w:t xml:space="preserve"> </w:t>
      </w:r>
      <w:r>
        <w:rPr>
          <w:rFonts w:ascii="黑体" w:hAnsi="黑体" w:eastAsia="黑体" w:cs="黑体"/>
          <w:b/>
          <w:bCs/>
          <w:spacing w:val="16"/>
          <w:sz w:val="17"/>
          <w:szCs w:val="17"/>
        </w:rPr>
        <w:t>、评分标准</w:t>
      </w:r>
    </w:p>
    <w:p w14:paraId="60B4E534">
      <w:pPr>
        <w:spacing w:line="127" w:lineRule="exact"/>
      </w:pPr>
    </w:p>
    <w:tbl>
      <w:tblPr>
        <w:tblStyle w:val="5"/>
        <w:tblW w:w="4187" w:type="dxa"/>
        <w:tblInd w:w="4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93"/>
        <w:gridCol w:w="868"/>
        <w:gridCol w:w="279"/>
        <w:gridCol w:w="2447"/>
      </w:tblGrid>
      <w:tr w14:paraId="729718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4" w:hRule="atLeast"/>
        </w:trPr>
        <w:tc>
          <w:tcPr>
            <w:tcW w:w="593" w:type="dxa"/>
            <w:vAlign w:val="top"/>
          </w:tcPr>
          <w:p w14:paraId="6F9CC481">
            <w:pPr>
              <w:pStyle w:val="6"/>
              <w:spacing w:before="61" w:line="214" w:lineRule="auto"/>
              <w:ind w:left="107" w:right="123"/>
              <w:rPr>
                <w:sz w:val="18"/>
                <w:szCs w:val="18"/>
              </w:rPr>
            </w:pPr>
            <w:r>
              <w:rPr>
                <w:b/>
                <w:bCs/>
                <w:spacing w:val="-6"/>
                <w:sz w:val="18"/>
                <w:szCs w:val="18"/>
              </w:rPr>
              <w:t>测试</w:t>
            </w:r>
            <w:r>
              <w:rPr>
                <w:sz w:val="18"/>
                <w:szCs w:val="18"/>
              </w:rPr>
              <w:t xml:space="preserve"> </w:t>
            </w:r>
            <w:r>
              <w:rPr>
                <w:b/>
                <w:bCs/>
                <w:spacing w:val="-6"/>
                <w:sz w:val="18"/>
                <w:szCs w:val="18"/>
              </w:rPr>
              <w:t>要点</w:t>
            </w:r>
          </w:p>
        </w:tc>
        <w:tc>
          <w:tcPr>
            <w:tcW w:w="868" w:type="dxa"/>
            <w:vAlign w:val="top"/>
          </w:tcPr>
          <w:p w14:paraId="25872C65">
            <w:pPr>
              <w:pStyle w:val="6"/>
              <w:spacing w:before="169" w:line="219" w:lineRule="auto"/>
              <w:ind w:left="64"/>
              <w:rPr>
                <w:sz w:val="18"/>
                <w:szCs w:val="18"/>
              </w:rPr>
            </w:pPr>
            <w:r>
              <w:rPr>
                <w:b/>
                <w:bCs/>
                <w:spacing w:val="-4"/>
                <w:sz w:val="18"/>
                <w:szCs w:val="18"/>
              </w:rPr>
              <w:t>测试内容</w:t>
            </w:r>
          </w:p>
        </w:tc>
        <w:tc>
          <w:tcPr>
            <w:tcW w:w="279" w:type="dxa"/>
            <w:vAlign w:val="top"/>
          </w:tcPr>
          <w:p w14:paraId="2D08FB9F">
            <w:pPr>
              <w:pStyle w:val="6"/>
              <w:spacing w:before="112" w:line="219" w:lineRule="auto"/>
              <w:jc w:val="right"/>
              <w:rPr>
                <w:sz w:val="26"/>
                <w:szCs w:val="26"/>
              </w:rPr>
            </w:pPr>
            <w:r>
              <w:rPr>
                <w:b/>
                <w:bCs/>
                <w:spacing w:val="-22"/>
                <w:w w:val="92"/>
                <w:sz w:val="26"/>
                <w:szCs w:val="26"/>
              </w:rPr>
              <w:t>宿</w:t>
            </w:r>
          </w:p>
        </w:tc>
        <w:tc>
          <w:tcPr>
            <w:tcW w:w="2447" w:type="dxa"/>
            <w:vAlign w:val="top"/>
          </w:tcPr>
          <w:p w14:paraId="0429E3C5">
            <w:pPr>
              <w:pStyle w:val="6"/>
              <w:spacing w:before="170" w:line="220" w:lineRule="auto"/>
              <w:ind w:left="887"/>
              <w:rPr>
                <w:sz w:val="18"/>
                <w:szCs w:val="18"/>
              </w:rPr>
            </w:pPr>
            <w:r>
              <w:rPr>
                <w:b/>
                <w:bCs/>
                <w:spacing w:val="-4"/>
                <w:sz w:val="18"/>
                <w:szCs w:val="18"/>
              </w:rPr>
              <w:t>评分标准</w:t>
            </w:r>
          </w:p>
        </w:tc>
      </w:tr>
      <w:tr w14:paraId="6B52FC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9" w:hRule="atLeast"/>
        </w:trPr>
        <w:tc>
          <w:tcPr>
            <w:tcW w:w="593" w:type="dxa"/>
            <w:vMerge w:val="restart"/>
            <w:tcBorders>
              <w:bottom w:val="nil"/>
            </w:tcBorders>
            <w:vAlign w:val="top"/>
          </w:tcPr>
          <w:p w14:paraId="1CE1BBA4">
            <w:pPr>
              <w:spacing w:line="298" w:lineRule="auto"/>
              <w:rPr>
                <w:rFonts w:ascii="Arial"/>
                <w:sz w:val="21"/>
              </w:rPr>
            </w:pPr>
          </w:p>
          <w:p w14:paraId="640B5AC7">
            <w:pPr>
              <w:spacing w:line="299" w:lineRule="auto"/>
              <w:rPr>
                <w:rFonts w:ascii="Arial"/>
                <w:sz w:val="21"/>
              </w:rPr>
            </w:pPr>
          </w:p>
          <w:p w14:paraId="0EBCAFB4">
            <w:pPr>
              <w:pStyle w:val="6"/>
              <w:spacing w:before="58" w:line="208" w:lineRule="auto"/>
              <w:ind w:left="105" w:right="126"/>
              <w:rPr>
                <w:sz w:val="18"/>
                <w:szCs w:val="18"/>
              </w:rPr>
            </w:pPr>
            <w:r>
              <w:rPr>
                <w:spacing w:val="-6"/>
                <w:sz w:val="18"/>
                <w:szCs w:val="18"/>
              </w:rPr>
              <w:t>实验</w:t>
            </w:r>
            <w:r>
              <w:rPr>
                <w:sz w:val="18"/>
                <w:szCs w:val="18"/>
              </w:rPr>
              <w:t xml:space="preserve"> </w:t>
            </w:r>
            <w:r>
              <w:rPr>
                <w:spacing w:val="-5"/>
                <w:sz w:val="18"/>
                <w:szCs w:val="18"/>
              </w:rPr>
              <w:t>准备</w:t>
            </w:r>
          </w:p>
        </w:tc>
        <w:tc>
          <w:tcPr>
            <w:tcW w:w="868" w:type="dxa"/>
            <w:vAlign w:val="top"/>
          </w:tcPr>
          <w:p w14:paraId="5AA36525">
            <w:pPr>
              <w:pStyle w:val="6"/>
              <w:spacing w:before="69" w:line="222" w:lineRule="auto"/>
              <w:ind w:left="11"/>
              <w:jc w:val="both"/>
              <w:rPr>
                <w:sz w:val="18"/>
                <w:szCs w:val="18"/>
              </w:rPr>
            </w:pPr>
            <w:r>
              <w:rPr>
                <w:spacing w:val="-12"/>
                <w:sz w:val="18"/>
                <w:szCs w:val="18"/>
              </w:rPr>
              <w:t>写出配制溶</w:t>
            </w:r>
            <w:r>
              <w:rPr>
                <w:sz w:val="18"/>
                <w:szCs w:val="18"/>
              </w:rPr>
              <w:t xml:space="preserve"> </w:t>
            </w:r>
            <w:r>
              <w:rPr>
                <w:spacing w:val="-11"/>
                <w:sz w:val="18"/>
                <w:szCs w:val="18"/>
              </w:rPr>
              <w:t>液所需用的</w:t>
            </w:r>
            <w:r>
              <w:rPr>
                <w:sz w:val="18"/>
                <w:szCs w:val="18"/>
              </w:rPr>
              <w:t xml:space="preserve"> </w:t>
            </w:r>
            <w:r>
              <w:rPr>
                <w:spacing w:val="8"/>
                <w:sz w:val="18"/>
                <w:szCs w:val="18"/>
              </w:rPr>
              <w:t>仪器名称</w:t>
            </w:r>
          </w:p>
        </w:tc>
        <w:tc>
          <w:tcPr>
            <w:tcW w:w="279" w:type="dxa"/>
            <w:vAlign w:val="top"/>
          </w:tcPr>
          <w:p w14:paraId="42339E6F">
            <w:pPr>
              <w:spacing w:line="263" w:lineRule="auto"/>
              <w:rPr>
                <w:rFonts w:ascii="Arial"/>
                <w:sz w:val="21"/>
              </w:rPr>
            </w:pPr>
          </w:p>
          <w:p w14:paraId="64803D60">
            <w:pPr>
              <w:pStyle w:val="6"/>
              <w:spacing w:before="59" w:line="184" w:lineRule="auto"/>
              <w:ind w:left="43"/>
              <w:rPr>
                <w:sz w:val="18"/>
                <w:szCs w:val="18"/>
              </w:rPr>
            </w:pPr>
            <w:r>
              <w:rPr>
                <w:spacing w:val="-6"/>
                <w:sz w:val="18"/>
                <w:szCs w:val="18"/>
              </w:rPr>
              <w:t>14</w:t>
            </w:r>
          </w:p>
        </w:tc>
        <w:tc>
          <w:tcPr>
            <w:tcW w:w="2447" w:type="dxa"/>
            <w:vAlign w:val="top"/>
          </w:tcPr>
          <w:p w14:paraId="601284B5">
            <w:pPr>
              <w:pStyle w:val="6"/>
              <w:spacing w:before="168" w:line="233" w:lineRule="auto"/>
              <w:ind w:left="64" w:right="4"/>
              <w:rPr>
                <w:sz w:val="18"/>
                <w:szCs w:val="18"/>
              </w:rPr>
            </w:pPr>
            <w:r>
              <w:rPr>
                <w:spacing w:val="-5"/>
                <w:sz w:val="18"/>
                <w:szCs w:val="18"/>
              </w:rPr>
              <w:t>共7种仪器，正确写出一种仪器</w:t>
            </w:r>
            <w:r>
              <w:rPr>
                <w:spacing w:val="6"/>
                <w:sz w:val="18"/>
                <w:szCs w:val="18"/>
              </w:rPr>
              <w:t xml:space="preserve"> </w:t>
            </w:r>
            <w:r>
              <w:rPr>
                <w:sz w:val="18"/>
                <w:szCs w:val="18"/>
              </w:rPr>
              <w:t>名称得2分。</w:t>
            </w:r>
          </w:p>
        </w:tc>
      </w:tr>
      <w:tr w14:paraId="21C99A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19" w:hRule="atLeast"/>
        </w:trPr>
        <w:tc>
          <w:tcPr>
            <w:tcW w:w="593" w:type="dxa"/>
            <w:vMerge w:val="continue"/>
            <w:tcBorders>
              <w:top w:val="nil"/>
            </w:tcBorders>
            <w:vAlign w:val="top"/>
          </w:tcPr>
          <w:p w14:paraId="7BAC6AFE">
            <w:pPr>
              <w:rPr>
                <w:rFonts w:ascii="Arial"/>
                <w:sz w:val="21"/>
              </w:rPr>
            </w:pPr>
          </w:p>
        </w:tc>
        <w:tc>
          <w:tcPr>
            <w:tcW w:w="868" w:type="dxa"/>
            <w:vAlign w:val="top"/>
          </w:tcPr>
          <w:p w14:paraId="54B82554">
            <w:pPr>
              <w:spacing w:line="309" w:lineRule="auto"/>
              <w:rPr>
                <w:rFonts w:ascii="Arial"/>
                <w:sz w:val="21"/>
              </w:rPr>
            </w:pPr>
          </w:p>
          <w:p w14:paraId="38030D19">
            <w:pPr>
              <w:pStyle w:val="6"/>
              <w:spacing w:before="58" w:line="219" w:lineRule="auto"/>
              <w:ind w:left="242"/>
              <w:rPr>
                <w:sz w:val="18"/>
                <w:szCs w:val="18"/>
              </w:rPr>
            </w:pPr>
            <w:r>
              <w:rPr>
                <w:spacing w:val="-2"/>
                <w:sz w:val="18"/>
                <w:szCs w:val="18"/>
              </w:rPr>
              <w:t>计算</w:t>
            </w:r>
          </w:p>
        </w:tc>
        <w:tc>
          <w:tcPr>
            <w:tcW w:w="279" w:type="dxa"/>
            <w:vAlign w:val="top"/>
          </w:tcPr>
          <w:p w14:paraId="622B0DBB">
            <w:pPr>
              <w:spacing w:line="354" w:lineRule="auto"/>
              <w:rPr>
                <w:rFonts w:ascii="Arial"/>
                <w:sz w:val="21"/>
              </w:rPr>
            </w:pPr>
          </w:p>
          <w:p w14:paraId="6648DEC6">
            <w:pPr>
              <w:pStyle w:val="6"/>
              <w:spacing w:before="58" w:line="184" w:lineRule="auto"/>
              <w:ind w:right="5"/>
              <w:jc w:val="right"/>
              <w:rPr>
                <w:sz w:val="18"/>
                <w:szCs w:val="18"/>
              </w:rPr>
            </w:pPr>
            <w:r>
              <w:rPr>
                <w:spacing w:val="-6"/>
                <w:sz w:val="18"/>
                <w:szCs w:val="18"/>
              </w:rPr>
              <w:t>10</w:t>
            </w:r>
          </w:p>
        </w:tc>
        <w:tc>
          <w:tcPr>
            <w:tcW w:w="2447" w:type="dxa"/>
            <w:vAlign w:val="top"/>
          </w:tcPr>
          <w:p w14:paraId="03C16D82">
            <w:pPr>
              <w:pStyle w:val="6"/>
              <w:spacing w:before="78" w:line="213" w:lineRule="auto"/>
              <w:ind w:left="53" w:hanging="29"/>
              <w:jc w:val="both"/>
              <w:rPr>
                <w:sz w:val="18"/>
                <w:szCs w:val="18"/>
              </w:rPr>
            </w:pPr>
            <w:r>
              <w:rPr>
                <w:spacing w:val="-8"/>
                <w:sz w:val="18"/>
                <w:szCs w:val="18"/>
              </w:rPr>
              <w:t>计算步骤和结果都正确得10分，</w:t>
            </w:r>
            <w:r>
              <w:rPr>
                <w:spacing w:val="11"/>
                <w:sz w:val="18"/>
                <w:szCs w:val="18"/>
              </w:rPr>
              <w:t xml:space="preserve"> </w:t>
            </w:r>
            <w:r>
              <w:rPr>
                <w:spacing w:val="-8"/>
                <w:sz w:val="18"/>
                <w:szCs w:val="18"/>
              </w:rPr>
              <w:t>步骤正确但结果错误得6分，无</w:t>
            </w:r>
            <w:r>
              <w:rPr>
                <w:sz w:val="18"/>
                <w:szCs w:val="18"/>
              </w:rPr>
              <w:t xml:space="preserve"> </w:t>
            </w:r>
            <w:r>
              <w:rPr>
                <w:spacing w:val="-8"/>
                <w:sz w:val="18"/>
                <w:szCs w:val="18"/>
              </w:rPr>
              <w:t>步骤但结果正确扣6分，步骤和</w:t>
            </w:r>
            <w:r>
              <w:rPr>
                <w:spacing w:val="6"/>
                <w:sz w:val="18"/>
                <w:szCs w:val="18"/>
              </w:rPr>
              <w:t xml:space="preserve"> </w:t>
            </w:r>
            <w:r>
              <w:rPr>
                <w:spacing w:val="-3"/>
                <w:sz w:val="18"/>
                <w:szCs w:val="18"/>
              </w:rPr>
              <w:t>结果都错得0分。</w:t>
            </w:r>
          </w:p>
        </w:tc>
      </w:tr>
      <w:tr w14:paraId="254527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18" w:hRule="atLeast"/>
        </w:trPr>
        <w:tc>
          <w:tcPr>
            <w:tcW w:w="593" w:type="dxa"/>
            <w:vMerge w:val="restart"/>
            <w:tcBorders>
              <w:bottom w:val="nil"/>
            </w:tcBorders>
            <w:vAlign w:val="top"/>
          </w:tcPr>
          <w:p w14:paraId="45F1DA09">
            <w:pPr>
              <w:spacing w:line="259" w:lineRule="auto"/>
              <w:rPr>
                <w:rFonts w:ascii="Arial"/>
                <w:sz w:val="21"/>
              </w:rPr>
            </w:pPr>
          </w:p>
          <w:p w14:paraId="1231687C">
            <w:pPr>
              <w:spacing w:line="260" w:lineRule="auto"/>
              <w:rPr>
                <w:rFonts w:ascii="Arial"/>
                <w:sz w:val="21"/>
              </w:rPr>
            </w:pPr>
          </w:p>
          <w:p w14:paraId="3AF59A4D">
            <w:pPr>
              <w:spacing w:line="260" w:lineRule="auto"/>
              <w:rPr>
                <w:rFonts w:ascii="Arial"/>
                <w:sz w:val="21"/>
              </w:rPr>
            </w:pPr>
          </w:p>
          <w:p w14:paraId="6F2A7E84">
            <w:pPr>
              <w:spacing w:line="260" w:lineRule="auto"/>
              <w:rPr>
                <w:rFonts w:ascii="Arial"/>
                <w:sz w:val="21"/>
              </w:rPr>
            </w:pPr>
          </w:p>
          <w:p w14:paraId="716B7BE2">
            <w:pPr>
              <w:spacing w:line="260" w:lineRule="auto"/>
              <w:rPr>
                <w:rFonts w:ascii="Arial"/>
                <w:sz w:val="21"/>
              </w:rPr>
            </w:pPr>
          </w:p>
          <w:p w14:paraId="50AE5459">
            <w:pPr>
              <w:spacing w:line="260" w:lineRule="auto"/>
              <w:rPr>
                <w:rFonts w:ascii="Arial"/>
                <w:sz w:val="21"/>
              </w:rPr>
            </w:pPr>
          </w:p>
          <w:p w14:paraId="4C1B6372">
            <w:pPr>
              <w:spacing w:line="260" w:lineRule="auto"/>
              <w:rPr>
                <w:rFonts w:ascii="Arial"/>
                <w:sz w:val="21"/>
              </w:rPr>
            </w:pPr>
          </w:p>
          <w:p w14:paraId="5A70003F">
            <w:pPr>
              <w:spacing w:line="260" w:lineRule="auto"/>
              <w:rPr>
                <w:rFonts w:ascii="Arial"/>
                <w:sz w:val="21"/>
              </w:rPr>
            </w:pPr>
          </w:p>
          <w:p w14:paraId="4BFC59AE">
            <w:pPr>
              <w:pStyle w:val="6"/>
              <w:spacing w:before="58" w:line="212" w:lineRule="auto"/>
              <w:ind w:left="105" w:right="124"/>
              <w:rPr>
                <w:sz w:val="18"/>
                <w:szCs w:val="18"/>
              </w:rPr>
            </w:pPr>
            <w:r>
              <w:rPr>
                <w:spacing w:val="-6"/>
                <w:sz w:val="18"/>
                <w:szCs w:val="18"/>
              </w:rPr>
              <w:t>实验</w:t>
            </w:r>
            <w:r>
              <w:rPr>
                <w:sz w:val="18"/>
                <w:szCs w:val="18"/>
              </w:rPr>
              <w:t xml:space="preserve"> </w:t>
            </w:r>
            <w:r>
              <w:rPr>
                <w:spacing w:val="-4"/>
                <w:sz w:val="18"/>
                <w:szCs w:val="18"/>
              </w:rPr>
              <w:t>操作</w:t>
            </w:r>
          </w:p>
        </w:tc>
        <w:tc>
          <w:tcPr>
            <w:tcW w:w="868" w:type="dxa"/>
            <w:vAlign w:val="top"/>
          </w:tcPr>
          <w:p w14:paraId="3B4A7A20">
            <w:pPr>
              <w:spacing w:line="312" w:lineRule="auto"/>
              <w:rPr>
                <w:rFonts w:ascii="Arial"/>
                <w:sz w:val="21"/>
              </w:rPr>
            </w:pPr>
          </w:p>
          <w:p w14:paraId="6B60060C">
            <w:pPr>
              <w:pStyle w:val="6"/>
              <w:spacing w:before="58" w:line="221" w:lineRule="auto"/>
              <w:ind w:left="242"/>
              <w:rPr>
                <w:sz w:val="18"/>
                <w:szCs w:val="18"/>
              </w:rPr>
            </w:pPr>
            <w:r>
              <w:rPr>
                <w:spacing w:val="-2"/>
                <w:sz w:val="18"/>
                <w:szCs w:val="18"/>
              </w:rPr>
              <w:t>称量</w:t>
            </w:r>
          </w:p>
        </w:tc>
        <w:tc>
          <w:tcPr>
            <w:tcW w:w="279" w:type="dxa"/>
            <w:vAlign w:val="top"/>
          </w:tcPr>
          <w:p w14:paraId="71F98543">
            <w:pPr>
              <w:spacing w:line="355" w:lineRule="auto"/>
              <w:rPr>
                <w:rFonts w:ascii="Arial"/>
                <w:sz w:val="21"/>
              </w:rPr>
            </w:pPr>
          </w:p>
          <w:p w14:paraId="52CECC1B">
            <w:pPr>
              <w:pStyle w:val="6"/>
              <w:spacing w:before="58" w:line="184" w:lineRule="auto"/>
              <w:ind w:right="5"/>
              <w:jc w:val="right"/>
              <w:rPr>
                <w:sz w:val="18"/>
                <w:szCs w:val="18"/>
              </w:rPr>
            </w:pPr>
            <w:r>
              <w:rPr>
                <w:spacing w:val="-6"/>
                <w:sz w:val="18"/>
                <w:szCs w:val="18"/>
              </w:rPr>
              <w:t>10</w:t>
            </w:r>
          </w:p>
        </w:tc>
        <w:tc>
          <w:tcPr>
            <w:tcW w:w="2447" w:type="dxa"/>
            <w:vAlign w:val="top"/>
          </w:tcPr>
          <w:p w14:paraId="6134940C">
            <w:pPr>
              <w:pStyle w:val="6"/>
              <w:spacing w:before="100" w:line="207" w:lineRule="auto"/>
              <w:ind w:left="24" w:right="31" w:firstLine="39"/>
              <w:rPr>
                <w:sz w:val="18"/>
                <w:szCs w:val="18"/>
              </w:rPr>
            </w:pPr>
            <w:r>
              <w:rPr>
                <w:sz w:val="18"/>
                <w:szCs w:val="18"/>
              </w:rPr>
              <w:t xml:space="preserve">在电子天平上放一张称量纸， </w:t>
            </w:r>
            <w:r>
              <w:rPr>
                <w:spacing w:val="1"/>
                <w:sz w:val="18"/>
                <w:szCs w:val="18"/>
              </w:rPr>
              <w:t>准确称取所需</w:t>
            </w:r>
            <w:r>
              <w:rPr>
                <w:sz w:val="18"/>
                <w:szCs w:val="18"/>
              </w:rPr>
              <w:t>NaCl</w:t>
            </w:r>
            <w:r>
              <w:rPr>
                <w:spacing w:val="1"/>
                <w:sz w:val="18"/>
                <w:szCs w:val="18"/>
              </w:rPr>
              <w:t xml:space="preserve">。完全正确 </w:t>
            </w:r>
            <w:r>
              <w:rPr>
                <w:sz w:val="18"/>
                <w:szCs w:val="18"/>
              </w:rPr>
              <w:t>得10分，不全正确酌情扣4-6</w:t>
            </w:r>
            <w:r>
              <w:rPr>
                <w:spacing w:val="5"/>
                <w:sz w:val="18"/>
                <w:szCs w:val="18"/>
              </w:rPr>
              <w:t xml:space="preserve">  </w:t>
            </w:r>
            <w:r>
              <w:rPr>
                <w:spacing w:val="3"/>
                <w:sz w:val="18"/>
                <w:szCs w:val="18"/>
              </w:rPr>
              <w:t>分，完全错误得0分。</w:t>
            </w:r>
          </w:p>
        </w:tc>
      </w:tr>
      <w:tr w14:paraId="27F83E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19" w:hRule="atLeast"/>
        </w:trPr>
        <w:tc>
          <w:tcPr>
            <w:tcW w:w="593" w:type="dxa"/>
            <w:vMerge w:val="continue"/>
            <w:tcBorders>
              <w:top w:val="nil"/>
              <w:bottom w:val="nil"/>
            </w:tcBorders>
            <w:vAlign w:val="top"/>
          </w:tcPr>
          <w:p w14:paraId="1F390ED9">
            <w:pPr>
              <w:rPr>
                <w:rFonts w:ascii="Arial"/>
                <w:sz w:val="21"/>
              </w:rPr>
            </w:pPr>
          </w:p>
        </w:tc>
        <w:tc>
          <w:tcPr>
            <w:tcW w:w="868" w:type="dxa"/>
            <w:vAlign w:val="top"/>
          </w:tcPr>
          <w:p w14:paraId="0E85F6F4">
            <w:pPr>
              <w:spacing w:line="312" w:lineRule="auto"/>
              <w:rPr>
                <w:rFonts w:ascii="Arial"/>
                <w:sz w:val="21"/>
              </w:rPr>
            </w:pPr>
          </w:p>
          <w:p w14:paraId="1AA17273">
            <w:pPr>
              <w:pStyle w:val="6"/>
              <w:spacing w:before="59" w:line="220" w:lineRule="auto"/>
              <w:ind w:left="242"/>
              <w:rPr>
                <w:sz w:val="18"/>
                <w:szCs w:val="18"/>
              </w:rPr>
            </w:pPr>
            <w:r>
              <w:rPr>
                <w:spacing w:val="-3"/>
                <w:sz w:val="18"/>
                <w:szCs w:val="18"/>
              </w:rPr>
              <w:t>溶解</w:t>
            </w:r>
          </w:p>
        </w:tc>
        <w:tc>
          <w:tcPr>
            <w:tcW w:w="279" w:type="dxa"/>
            <w:vAlign w:val="top"/>
          </w:tcPr>
          <w:p w14:paraId="079DD625">
            <w:pPr>
              <w:spacing w:line="358" w:lineRule="auto"/>
              <w:rPr>
                <w:rFonts w:ascii="Arial"/>
                <w:sz w:val="21"/>
              </w:rPr>
            </w:pPr>
          </w:p>
          <w:p w14:paraId="1B5C3982">
            <w:pPr>
              <w:pStyle w:val="6"/>
              <w:spacing w:before="58" w:line="183" w:lineRule="auto"/>
              <w:ind w:left="83"/>
              <w:rPr>
                <w:sz w:val="18"/>
                <w:szCs w:val="18"/>
              </w:rPr>
            </w:pPr>
            <w:r>
              <w:rPr>
                <w:sz w:val="18"/>
                <w:szCs w:val="18"/>
              </w:rPr>
              <w:t>6</w:t>
            </w:r>
          </w:p>
        </w:tc>
        <w:tc>
          <w:tcPr>
            <w:tcW w:w="2447" w:type="dxa"/>
            <w:vAlign w:val="top"/>
          </w:tcPr>
          <w:p w14:paraId="1B4DDADB">
            <w:pPr>
              <w:pStyle w:val="6"/>
              <w:spacing w:before="93" w:line="209" w:lineRule="auto"/>
              <w:ind w:left="44" w:firstLine="19"/>
              <w:jc w:val="both"/>
              <w:rPr>
                <w:sz w:val="18"/>
                <w:szCs w:val="18"/>
              </w:rPr>
            </w:pPr>
            <w:r>
              <w:rPr>
                <w:spacing w:val="-7"/>
                <w:sz w:val="18"/>
                <w:szCs w:val="18"/>
              </w:rPr>
              <w:t>用少量蒸馏水溶解，溶解时玻</w:t>
            </w:r>
            <w:r>
              <w:rPr>
                <w:spacing w:val="3"/>
                <w:sz w:val="18"/>
                <w:szCs w:val="18"/>
              </w:rPr>
              <w:t xml:space="preserve">  </w:t>
            </w:r>
            <w:r>
              <w:rPr>
                <w:spacing w:val="-10"/>
                <w:sz w:val="18"/>
                <w:szCs w:val="18"/>
              </w:rPr>
              <w:t>璃棒不要碰到烧杯壁发出响声。</w:t>
            </w:r>
            <w:r>
              <w:rPr>
                <w:spacing w:val="11"/>
                <w:sz w:val="18"/>
                <w:szCs w:val="18"/>
              </w:rPr>
              <w:t xml:space="preserve"> </w:t>
            </w:r>
            <w:r>
              <w:rPr>
                <w:spacing w:val="-9"/>
                <w:sz w:val="18"/>
                <w:szCs w:val="18"/>
              </w:rPr>
              <w:t>完全正确得6分，不全正确酌情</w:t>
            </w:r>
            <w:r>
              <w:rPr>
                <w:spacing w:val="4"/>
                <w:sz w:val="18"/>
                <w:szCs w:val="18"/>
              </w:rPr>
              <w:t xml:space="preserve">  </w:t>
            </w:r>
            <w:r>
              <w:rPr>
                <w:spacing w:val="-5"/>
                <w:sz w:val="18"/>
                <w:szCs w:val="18"/>
              </w:rPr>
              <w:t>扣2-3分，完全错误得0分。</w:t>
            </w:r>
          </w:p>
        </w:tc>
      </w:tr>
      <w:tr w14:paraId="0E1673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18" w:hRule="atLeast"/>
        </w:trPr>
        <w:tc>
          <w:tcPr>
            <w:tcW w:w="593" w:type="dxa"/>
            <w:vMerge w:val="continue"/>
            <w:tcBorders>
              <w:top w:val="nil"/>
              <w:bottom w:val="nil"/>
            </w:tcBorders>
            <w:vAlign w:val="top"/>
          </w:tcPr>
          <w:p w14:paraId="4BC88D67">
            <w:pPr>
              <w:rPr>
                <w:rFonts w:ascii="Arial"/>
                <w:sz w:val="21"/>
              </w:rPr>
            </w:pPr>
          </w:p>
        </w:tc>
        <w:tc>
          <w:tcPr>
            <w:tcW w:w="868" w:type="dxa"/>
            <w:vAlign w:val="top"/>
          </w:tcPr>
          <w:p w14:paraId="4A7B7038">
            <w:pPr>
              <w:spacing w:line="412" w:lineRule="auto"/>
              <w:rPr>
                <w:rFonts w:ascii="Arial"/>
                <w:sz w:val="21"/>
              </w:rPr>
            </w:pPr>
          </w:p>
          <w:p w14:paraId="72617B69">
            <w:pPr>
              <w:pStyle w:val="6"/>
              <w:spacing w:before="59" w:line="220" w:lineRule="auto"/>
              <w:ind w:left="242"/>
              <w:rPr>
                <w:sz w:val="18"/>
                <w:szCs w:val="18"/>
              </w:rPr>
            </w:pPr>
            <w:r>
              <w:rPr>
                <w:spacing w:val="-2"/>
                <w:sz w:val="18"/>
                <w:szCs w:val="18"/>
              </w:rPr>
              <w:t>移液</w:t>
            </w:r>
          </w:p>
        </w:tc>
        <w:tc>
          <w:tcPr>
            <w:tcW w:w="279" w:type="dxa"/>
            <w:vAlign w:val="top"/>
          </w:tcPr>
          <w:p w14:paraId="728E2359">
            <w:pPr>
              <w:spacing w:line="457" w:lineRule="auto"/>
              <w:rPr>
                <w:rFonts w:ascii="Arial"/>
                <w:sz w:val="21"/>
              </w:rPr>
            </w:pPr>
          </w:p>
          <w:p w14:paraId="4BB00734">
            <w:pPr>
              <w:pStyle w:val="6"/>
              <w:spacing w:before="58" w:line="184" w:lineRule="auto"/>
              <w:ind w:right="5"/>
              <w:jc w:val="right"/>
              <w:rPr>
                <w:sz w:val="18"/>
                <w:szCs w:val="18"/>
              </w:rPr>
            </w:pPr>
            <w:r>
              <w:rPr>
                <w:spacing w:val="-6"/>
                <w:sz w:val="18"/>
                <w:szCs w:val="18"/>
              </w:rPr>
              <w:t>10</w:t>
            </w:r>
          </w:p>
        </w:tc>
        <w:tc>
          <w:tcPr>
            <w:tcW w:w="2447" w:type="dxa"/>
            <w:vAlign w:val="top"/>
          </w:tcPr>
          <w:p w14:paraId="57DAFD99">
            <w:pPr>
              <w:pStyle w:val="6"/>
              <w:spacing w:before="84" w:line="210" w:lineRule="auto"/>
              <w:ind w:left="44" w:right="3"/>
              <w:rPr>
                <w:sz w:val="18"/>
                <w:szCs w:val="18"/>
              </w:rPr>
            </w:pPr>
            <w:r>
              <w:rPr>
                <w:spacing w:val="-1"/>
                <w:sz w:val="18"/>
                <w:szCs w:val="18"/>
              </w:rPr>
              <w:t>移液时用玻璃棒引流，且其下</w:t>
            </w:r>
            <w:r>
              <w:rPr>
                <w:spacing w:val="4"/>
                <w:sz w:val="18"/>
                <w:szCs w:val="18"/>
              </w:rPr>
              <w:t xml:space="preserve"> </w:t>
            </w:r>
            <w:r>
              <w:rPr>
                <w:sz w:val="18"/>
                <w:szCs w:val="18"/>
              </w:rPr>
              <w:t>端应靠在容量瓶内壁的刻度线</w:t>
            </w:r>
            <w:r>
              <w:rPr>
                <w:spacing w:val="11"/>
                <w:sz w:val="18"/>
                <w:szCs w:val="18"/>
              </w:rPr>
              <w:t xml:space="preserve"> </w:t>
            </w:r>
            <w:r>
              <w:rPr>
                <w:spacing w:val="1"/>
                <w:sz w:val="18"/>
                <w:szCs w:val="18"/>
              </w:rPr>
              <w:t>以下部位。完全正确得10分，</w:t>
            </w:r>
            <w:r>
              <w:rPr>
                <w:spacing w:val="5"/>
                <w:sz w:val="18"/>
                <w:szCs w:val="18"/>
              </w:rPr>
              <w:t xml:space="preserve"> </w:t>
            </w:r>
            <w:r>
              <w:rPr>
                <w:spacing w:val="-3"/>
                <w:sz w:val="18"/>
                <w:szCs w:val="18"/>
              </w:rPr>
              <w:t>不全正确酌情扣3-5分，溶液洒</w:t>
            </w:r>
            <w:r>
              <w:rPr>
                <w:spacing w:val="3"/>
                <w:sz w:val="18"/>
                <w:szCs w:val="18"/>
              </w:rPr>
              <w:t xml:space="preserve"> </w:t>
            </w:r>
            <w:r>
              <w:rPr>
                <w:sz w:val="18"/>
                <w:szCs w:val="18"/>
              </w:rPr>
              <w:t>泼在容量瓶外得0分。</w:t>
            </w:r>
          </w:p>
        </w:tc>
      </w:tr>
      <w:tr w14:paraId="07FCDC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9" w:hRule="atLeast"/>
        </w:trPr>
        <w:tc>
          <w:tcPr>
            <w:tcW w:w="593" w:type="dxa"/>
            <w:vMerge w:val="continue"/>
            <w:tcBorders>
              <w:top w:val="nil"/>
              <w:bottom w:val="nil"/>
            </w:tcBorders>
            <w:vAlign w:val="top"/>
          </w:tcPr>
          <w:p w14:paraId="1CFD3DE4">
            <w:pPr>
              <w:rPr>
                <w:rFonts w:ascii="Arial"/>
                <w:sz w:val="21"/>
              </w:rPr>
            </w:pPr>
          </w:p>
        </w:tc>
        <w:tc>
          <w:tcPr>
            <w:tcW w:w="868" w:type="dxa"/>
            <w:vAlign w:val="top"/>
          </w:tcPr>
          <w:p w14:paraId="26953938">
            <w:pPr>
              <w:pStyle w:val="6"/>
              <w:spacing w:before="285" w:line="220" w:lineRule="auto"/>
              <w:ind w:left="242"/>
              <w:rPr>
                <w:sz w:val="18"/>
                <w:szCs w:val="18"/>
              </w:rPr>
            </w:pPr>
            <w:r>
              <w:rPr>
                <w:spacing w:val="-2"/>
                <w:sz w:val="18"/>
                <w:szCs w:val="18"/>
              </w:rPr>
              <w:t>洗涤</w:t>
            </w:r>
          </w:p>
        </w:tc>
        <w:tc>
          <w:tcPr>
            <w:tcW w:w="279" w:type="dxa"/>
            <w:vAlign w:val="top"/>
          </w:tcPr>
          <w:p w14:paraId="4FA4FEFC">
            <w:pPr>
              <w:spacing w:line="270" w:lineRule="auto"/>
              <w:rPr>
                <w:rFonts w:ascii="Arial"/>
                <w:sz w:val="21"/>
              </w:rPr>
            </w:pPr>
          </w:p>
          <w:p w14:paraId="27A0A15B">
            <w:pPr>
              <w:pStyle w:val="6"/>
              <w:spacing w:before="59" w:line="184" w:lineRule="auto"/>
              <w:ind w:left="63"/>
              <w:rPr>
                <w:sz w:val="18"/>
                <w:szCs w:val="18"/>
              </w:rPr>
            </w:pPr>
            <w:r>
              <w:rPr>
                <w:spacing w:val="-6"/>
                <w:sz w:val="18"/>
                <w:szCs w:val="18"/>
              </w:rPr>
              <w:t>10</w:t>
            </w:r>
          </w:p>
        </w:tc>
        <w:tc>
          <w:tcPr>
            <w:tcW w:w="2447" w:type="dxa"/>
            <w:vAlign w:val="top"/>
          </w:tcPr>
          <w:p w14:paraId="204A9C2C">
            <w:pPr>
              <w:pStyle w:val="6"/>
              <w:spacing w:before="95" w:line="213" w:lineRule="auto"/>
              <w:ind w:left="24"/>
              <w:jc w:val="both"/>
              <w:rPr>
                <w:sz w:val="18"/>
                <w:szCs w:val="18"/>
              </w:rPr>
            </w:pPr>
            <w:r>
              <w:rPr>
                <w:spacing w:val="-2"/>
                <w:sz w:val="18"/>
                <w:szCs w:val="18"/>
              </w:rPr>
              <w:t>操作完全正确得10分，不全正</w:t>
            </w:r>
            <w:r>
              <w:rPr>
                <w:spacing w:val="5"/>
                <w:sz w:val="18"/>
                <w:szCs w:val="18"/>
              </w:rPr>
              <w:t xml:space="preserve">  </w:t>
            </w:r>
            <w:r>
              <w:rPr>
                <w:spacing w:val="-2"/>
                <w:sz w:val="18"/>
                <w:szCs w:val="18"/>
              </w:rPr>
              <w:t>确酌情扣3-5分，洗液洒泼在容</w:t>
            </w:r>
            <w:r>
              <w:rPr>
                <w:spacing w:val="11"/>
                <w:sz w:val="18"/>
                <w:szCs w:val="18"/>
              </w:rPr>
              <w:t xml:space="preserve"> </w:t>
            </w:r>
            <w:r>
              <w:rPr>
                <w:spacing w:val="4"/>
                <w:sz w:val="18"/>
                <w:szCs w:val="18"/>
              </w:rPr>
              <w:t>量瓶外得0分。</w:t>
            </w:r>
          </w:p>
        </w:tc>
      </w:tr>
      <w:tr w14:paraId="7A5B26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24" w:hRule="atLeast"/>
        </w:trPr>
        <w:tc>
          <w:tcPr>
            <w:tcW w:w="593" w:type="dxa"/>
            <w:vMerge w:val="continue"/>
            <w:tcBorders>
              <w:top w:val="nil"/>
            </w:tcBorders>
            <w:vAlign w:val="top"/>
          </w:tcPr>
          <w:p w14:paraId="31E89B2C">
            <w:pPr>
              <w:rPr>
                <w:rFonts w:ascii="Arial"/>
                <w:sz w:val="21"/>
              </w:rPr>
            </w:pPr>
          </w:p>
        </w:tc>
        <w:tc>
          <w:tcPr>
            <w:tcW w:w="868" w:type="dxa"/>
            <w:vAlign w:val="top"/>
          </w:tcPr>
          <w:p w14:paraId="6557FB48">
            <w:pPr>
              <w:spacing w:line="316" w:lineRule="auto"/>
              <w:rPr>
                <w:rFonts w:ascii="Arial"/>
                <w:sz w:val="21"/>
              </w:rPr>
            </w:pPr>
          </w:p>
          <w:p w14:paraId="24CECFF6">
            <w:pPr>
              <w:pStyle w:val="6"/>
              <w:spacing w:before="59" w:line="220" w:lineRule="auto"/>
              <w:ind w:left="242"/>
              <w:rPr>
                <w:sz w:val="18"/>
                <w:szCs w:val="18"/>
              </w:rPr>
            </w:pPr>
            <w:r>
              <w:rPr>
                <w:spacing w:val="4"/>
                <w:sz w:val="18"/>
                <w:szCs w:val="18"/>
              </w:rPr>
              <w:t>定容</w:t>
            </w:r>
          </w:p>
        </w:tc>
        <w:tc>
          <w:tcPr>
            <w:tcW w:w="279" w:type="dxa"/>
            <w:vAlign w:val="top"/>
          </w:tcPr>
          <w:p w14:paraId="08590E19">
            <w:pPr>
              <w:spacing w:line="361" w:lineRule="auto"/>
              <w:rPr>
                <w:rFonts w:ascii="Arial"/>
                <w:sz w:val="21"/>
              </w:rPr>
            </w:pPr>
          </w:p>
          <w:p w14:paraId="6D833758">
            <w:pPr>
              <w:pStyle w:val="6"/>
              <w:spacing w:before="58" w:line="184" w:lineRule="auto"/>
              <w:ind w:right="5"/>
              <w:jc w:val="right"/>
              <w:rPr>
                <w:sz w:val="18"/>
                <w:szCs w:val="18"/>
              </w:rPr>
            </w:pPr>
            <w:r>
              <w:rPr>
                <w:spacing w:val="-6"/>
                <w:sz w:val="18"/>
                <w:szCs w:val="18"/>
              </w:rPr>
              <w:t>10</w:t>
            </w:r>
          </w:p>
        </w:tc>
        <w:tc>
          <w:tcPr>
            <w:tcW w:w="2447" w:type="dxa"/>
            <w:vAlign w:val="top"/>
          </w:tcPr>
          <w:p w14:paraId="6F6C45BB">
            <w:pPr>
              <w:pStyle w:val="6"/>
              <w:spacing w:before="106" w:line="207" w:lineRule="auto"/>
              <w:ind w:left="54" w:right="1" w:firstLine="10"/>
              <w:jc w:val="both"/>
              <w:rPr>
                <w:sz w:val="18"/>
                <w:szCs w:val="18"/>
              </w:rPr>
            </w:pPr>
            <w:r>
              <w:rPr>
                <w:spacing w:val="1"/>
                <w:sz w:val="18"/>
                <w:szCs w:val="18"/>
              </w:rPr>
              <w:t>定容时要平视刻度线，视线与</w:t>
            </w:r>
            <w:r>
              <w:rPr>
                <w:sz w:val="18"/>
                <w:szCs w:val="18"/>
              </w:rPr>
              <w:t xml:space="preserve"> </w:t>
            </w:r>
            <w:r>
              <w:rPr>
                <w:spacing w:val="-1"/>
                <w:sz w:val="18"/>
                <w:szCs w:val="18"/>
              </w:rPr>
              <w:t>溶液凹面最低处相切。完全正</w:t>
            </w:r>
            <w:r>
              <w:rPr>
                <w:spacing w:val="2"/>
                <w:sz w:val="18"/>
                <w:szCs w:val="18"/>
              </w:rPr>
              <w:t xml:space="preserve"> </w:t>
            </w:r>
            <w:r>
              <w:rPr>
                <w:spacing w:val="-4"/>
                <w:sz w:val="18"/>
                <w:szCs w:val="18"/>
              </w:rPr>
              <w:t>确得10分，不全正确酌情扣3-5</w:t>
            </w:r>
            <w:r>
              <w:rPr>
                <w:spacing w:val="14"/>
                <w:sz w:val="18"/>
                <w:szCs w:val="18"/>
              </w:rPr>
              <w:t xml:space="preserve"> </w:t>
            </w:r>
            <w:r>
              <w:rPr>
                <w:sz w:val="18"/>
                <w:szCs w:val="18"/>
              </w:rPr>
              <w:t>分，完全错误得0分。</w:t>
            </w:r>
          </w:p>
        </w:tc>
      </w:tr>
    </w:tbl>
    <w:p w14:paraId="494FA2F6">
      <w:pPr>
        <w:pStyle w:val="2"/>
      </w:pPr>
    </w:p>
    <w:p w14:paraId="2BCF0C41">
      <w:pPr>
        <w:pStyle w:val="2"/>
        <w:spacing w:line="14" w:lineRule="auto"/>
        <w:rPr>
          <w:sz w:val="2"/>
        </w:rPr>
      </w:pPr>
      <w:r>
        <w:rPr>
          <w:sz w:val="2"/>
          <w:szCs w:val="2"/>
        </w:rPr>
        <w:br w:type="column"/>
      </w:r>
    </w:p>
    <w:p w14:paraId="1BE20F23">
      <w:pPr>
        <w:spacing w:line="82" w:lineRule="auto"/>
        <w:rPr>
          <w:rFonts w:ascii="Arial"/>
          <w:sz w:val="2"/>
        </w:rPr>
      </w:pPr>
    </w:p>
    <w:tbl>
      <w:tblPr>
        <w:tblStyle w:val="5"/>
        <w:tblW w:w="4169" w:type="dxa"/>
        <w:tblInd w:w="2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83"/>
        <w:gridCol w:w="868"/>
        <w:gridCol w:w="279"/>
        <w:gridCol w:w="2439"/>
      </w:tblGrid>
      <w:tr w14:paraId="0831FA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4" w:hRule="atLeast"/>
        </w:trPr>
        <w:tc>
          <w:tcPr>
            <w:tcW w:w="583" w:type="dxa"/>
            <w:vAlign w:val="top"/>
          </w:tcPr>
          <w:p w14:paraId="6508B7F3">
            <w:pPr>
              <w:pStyle w:val="6"/>
              <w:spacing w:before="41" w:line="250" w:lineRule="auto"/>
              <w:ind w:left="117" w:right="122"/>
            </w:pPr>
            <w:r>
              <w:rPr>
                <w:b/>
                <w:bCs/>
                <w:spacing w:val="-6"/>
              </w:rPr>
              <w:t>测试</w:t>
            </w:r>
            <w:r>
              <w:t xml:space="preserve"> </w:t>
            </w:r>
            <w:r>
              <w:rPr>
                <w:b/>
                <w:bCs/>
                <w:spacing w:val="-6"/>
              </w:rPr>
              <w:t>要点</w:t>
            </w:r>
          </w:p>
        </w:tc>
        <w:tc>
          <w:tcPr>
            <w:tcW w:w="868" w:type="dxa"/>
            <w:vAlign w:val="top"/>
          </w:tcPr>
          <w:p w14:paraId="3CFC2B4A">
            <w:pPr>
              <w:pStyle w:val="6"/>
              <w:spacing w:before="169" w:line="219" w:lineRule="auto"/>
              <w:ind w:left="84"/>
            </w:pPr>
            <w:r>
              <w:rPr>
                <w:b/>
                <w:bCs/>
                <w:spacing w:val="-4"/>
              </w:rPr>
              <w:t>测试内容</w:t>
            </w:r>
          </w:p>
        </w:tc>
        <w:tc>
          <w:tcPr>
            <w:tcW w:w="279" w:type="dxa"/>
            <w:textDirection w:val="tbRlV"/>
            <w:vAlign w:val="top"/>
          </w:tcPr>
          <w:p w14:paraId="67549276">
            <w:pPr>
              <w:pStyle w:val="6"/>
              <w:spacing w:before="61" w:line="201" w:lineRule="auto"/>
              <w:ind w:left="42"/>
            </w:pPr>
            <w:r>
              <w:rPr>
                <w:b/>
                <w:bCs/>
                <w:spacing w:val="-2"/>
              </w:rPr>
              <w:t>分</w:t>
            </w:r>
            <w:r>
              <w:rPr>
                <w:spacing w:val="-12"/>
              </w:rPr>
              <w:t xml:space="preserve"> </w:t>
            </w:r>
            <w:r>
              <w:rPr>
                <w:b/>
                <w:bCs/>
                <w:spacing w:val="-2"/>
              </w:rPr>
              <w:t>值</w:t>
            </w:r>
          </w:p>
        </w:tc>
        <w:tc>
          <w:tcPr>
            <w:tcW w:w="2439" w:type="dxa"/>
            <w:vAlign w:val="top"/>
          </w:tcPr>
          <w:p w14:paraId="7F80FAF9">
            <w:pPr>
              <w:pStyle w:val="6"/>
              <w:spacing w:before="170" w:line="220" w:lineRule="auto"/>
              <w:ind w:left="877"/>
            </w:pPr>
            <w:r>
              <w:rPr>
                <w:b/>
                <w:bCs/>
                <w:spacing w:val="-3"/>
              </w:rPr>
              <w:t>评分标准</w:t>
            </w:r>
          </w:p>
        </w:tc>
      </w:tr>
      <w:tr w14:paraId="6F0019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17" w:hRule="atLeast"/>
        </w:trPr>
        <w:tc>
          <w:tcPr>
            <w:tcW w:w="583" w:type="dxa"/>
            <w:vMerge w:val="restart"/>
            <w:tcBorders>
              <w:bottom w:val="nil"/>
            </w:tcBorders>
            <w:vAlign w:val="top"/>
          </w:tcPr>
          <w:p w14:paraId="7EC4A657">
            <w:pPr>
              <w:spacing w:line="339" w:lineRule="auto"/>
              <w:rPr>
                <w:rFonts w:ascii="Arial"/>
                <w:sz w:val="21"/>
              </w:rPr>
            </w:pPr>
          </w:p>
          <w:p w14:paraId="6C5363E0">
            <w:pPr>
              <w:spacing w:line="340" w:lineRule="auto"/>
              <w:rPr>
                <w:rFonts w:ascii="Arial"/>
                <w:sz w:val="21"/>
              </w:rPr>
            </w:pPr>
          </w:p>
          <w:p w14:paraId="5C9C413E">
            <w:pPr>
              <w:pStyle w:val="6"/>
              <w:spacing w:before="55" w:line="223" w:lineRule="auto"/>
              <w:ind w:left="115" w:right="123"/>
            </w:pPr>
            <w:r>
              <w:rPr>
                <w:spacing w:val="-6"/>
              </w:rPr>
              <w:t>实验</w:t>
            </w:r>
            <w:r>
              <w:t xml:space="preserve"> </w:t>
            </w:r>
            <w:r>
              <w:rPr>
                <w:spacing w:val="-3"/>
              </w:rPr>
              <w:t>操作</w:t>
            </w:r>
          </w:p>
        </w:tc>
        <w:tc>
          <w:tcPr>
            <w:tcW w:w="868" w:type="dxa"/>
            <w:vAlign w:val="top"/>
          </w:tcPr>
          <w:p w14:paraId="242BFF8D">
            <w:pPr>
              <w:spacing w:line="261" w:lineRule="auto"/>
              <w:rPr>
                <w:rFonts w:ascii="Arial"/>
                <w:sz w:val="21"/>
              </w:rPr>
            </w:pPr>
          </w:p>
          <w:p w14:paraId="28207060">
            <w:pPr>
              <w:spacing w:line="261" w:lineRule="auto"/>
              <w:rPr>
                <w:rFonts w:ascii="Arial"/>
                <w:sz w:val="21"/>
              </w:rPr>
            </w:pPr>
          </w:p>
          <w:p w14:paraId="2E68A2D5">
            <w:pPr>
              <w:pStyle w:val="6"/>
              <w:spacing w:before="55" w:line="222" w:lineRule="auto"/>
              <w:ind w:left="252"/>
            </w:pPr>
            <w:r>
              <w:rPr>
                <w:spacing w:val="8"/>
              </w:rPr>
              <w:t>摇匀</w:t>
            </w:r>
          </w:p>
        </w:tc>
        <w:tc>
          <w:tcPr>
            <w:tcW w:w="279" w:type="dxa"/>
            <w:vAlign w:val="top"/>
          </w:tcPr>
          <w:p w14:paraId="3AB49074">
            <w:pPr>
              <w:spacing w:line="282" w:lineRule="auto"/>
              <w:rPr>
                <w:rFonts w:ascii="Arial"/>
                <w:sz w:val="21"/>
              </w:rPr>
            </w:pPr>
          </w:p>
          <w:p w14:paraId="1E6E9B4A">
            <w:pPr>
              <w:spacing w:line="282" w:lineRule="auto"/>
              <w:rPr>
                <w:rFonts w:ascii="Arial"/>
                <w:sz w:val="21"/>
              </w:rPr>
            </w:pPr>
          </w:p>
          <w:p w14:paraId="680EACF2">
            <w:pPr>
              <w:pStyle w:val="6"/>
              <w:spacing w:before="55" w:line="182" w:lineRule="auto"/>
              <w:ind w:left="83"/>
            </w:pPr>
            <w:r>
              <w:t>7</w:t>
            </w:r>
          </w:p>
        </w:tc>
        <w:tc>
          <w:tcPr>
            <w:tcW w:w="2439" w:type="dxa"/>
            <w:vAlign w:val="top"/>
          </w:tcPr>
          <w:p w14:paraId="60D38AF5">
            <w:pPr>
              <w:pStyle w:val="6"/>
              <w:spacing w:before="78" w:line="217" w:lineRule="auto"/>
              <w:ind w:left="34"/>
            </w:pPr>
            <w:r>
              <w:rPr>
                <w:spacing w:val="-1"/>
              </w:rPr>
              <w:t>把定容好的容量瓶瓶塞塞紧，</w:t>
            </w:r>
          </w:p>
          <w:p w14:paraId="0C27102C">
            <w:pPr>
              <w:pStyle w:val="6"/>
              <w:spacing w:before="2" w:line="223" w:lineRule="auto"/>
              <w:ind w:left="55" w:right="69"/>
            </w:pPr>
            <w:r>
              <w:rPr>
                <w:spacing w:val="1"/>
              </w:rPr>
              <w:t>用一只手的食指顶住瓶塞，另</w:t>
            </w:r>
            <w:r>
              <w:rPr>
                <w:spacing w:val="3"/>
              </w:rPr>
              <w:t xml:space="preserve">  </w:t>
            </w:r>
            <w:r>
              <w:rPr>
                <w:spacing w:val="-1"/>
              </w:rPr>
              <w:t>一只手托住瓶底，反复颠倒摇</w:t>
            </w:r>
            <w:r>
              <w:rPr>
                <w:spacing w:val="1"/>
              </w:rPr>
              <w:t xml:space="preserve">  </w:t>
            </w:r>
            <w:r>
              <w:t>匀，不能再加水。完全正确得7</w:t>
            </w:r>
            <w:r>
              <w:rPr>
                <w:spacing w:val="8"/>
              </w:rPr>
              <w:t xml:space="preserve"> </w:t>
            </w:r>
            <w:r>
              <w:rPr>
                <w:spacing w:val="-1"/>
              </w:rPr>
              <w:t>分，不全正确酌情扣2-3分，摇</w:t>
            </w:r>
            <w:r>
              <w:rPr>
                <w:spacing w:val="5"/>
              </w:rPr>
              <w:t xml:space="preserve"> </w:t>
            </w:r>
            <w:r>
              <w:t>匀后再加水得0分。</w:t>
            </w:r>
          </w:p>
        </w:tc>
      </w:tr>
      <w:tr w14:paraId="151911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9" w:hRule="atLeast"/>
        </w:trPr>
        <w:tc>
          <w:tcPr>
            <w:tcW w:w="583" w:type="dxa"/>
            <w:vMerge w:val="continue"/>
            <w:tcBorders>
              <w:top w:val="nil"/>
            </w:tcBorders>
            <w:vAlign w:val="top"/>
          </w:tcPr>
          <w:p w14:paraId="00E9D5F1">
            <w:pPr>
              <w:rPr>
                <w:rFonts w:ascii="Arial"/>
                <w:sz w:val="21"/>
              </w:rPr>
            </w:pPr>
          </w:p>
        </w:tc>
        <w:tc>
          <w:tcPr>
            <w:tcW w:w="868" w:type="dxa"/>
            <w:vAlign w:val="top"/>
          </w:tcPr>
          <w:p w14:paraId="4FDB3797">
            <w:pPr>
              <w:pStyle w:val="6"/>
              <w:spacing w:before="171" w:line="220" w:lineRule="auto"/>
              <w:ind w:left="252"/>
            </w:pPr>
            <w:r>
              <w:rPr>
                <w:spacing w:val="-2"/>
              </w:rPr>
              <w:t>装瓶</w:t>
            </w:r>
          </w:p>
        </w:tc>
        <w:tc>
          <w:tcPr>
            <w:tcW w:w="279" w:type="dxa"/>
            <w:vAlign w:val="top"/>
          </w:tcPr>
          <w:p w14:paraId="6DD88D61">
            <w:pPr>
              <w:pStyle w:val="6"/>
              <w:spacing w:before="214" w:line="183" w:lineRule="auto"/>
              <w:ind w:left="83"/>
            </w:pPr>
            <w:r>
              <w:t>8</w:t>
            </w:r>
          </w:p>
        </w:tc>
        <w:tc>
          <w:tcPr>
            <w:tcW w:w="2439" w:type="dxa"/>
            <w:vAlign w:val="top"/>
          </w:tcPr>
          <w:p w14:paraId="70F886C3">
            <w:pPr>
              <w:pStyle w:val="6"/>
              <w:spacing w:before="71" w:line="232" w:lineRule="auto"/>
              <w:ind w:left="64" w:right="63" w:hanging="9"/>
            </w:pPr>
            <w:r>
              <w:rPr>
                <w:spacing w:val="1"/>
              </w:rPr>
              <w:t>完全正确得8分，有液体洒泼出</w:t>
            </w:r>
            <w:r>
              <w:t xml:space="preserve"> </w:t>
            </w:r>
            <w:r>
              <w:rPr>
                <w:spacing w:val="-1"/>
              </w:rPr>
              <w:t>来扣4分，忘贴标签扣2分。</w:t>
            </w:r>
          </w:p>
        </w:tc>
      </w:tr>
      <w:tr w14:paraId="7B9D3D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0" w:hRule="atLeast"/>
        </w:trPr>
        <w:tc>
          <w:tcPr>
            <w:tcW w:w="583" w:type="dxa"/>
            <w:tcBorders>
              <w:bottom w:val="nil"/>
            </w:tcBorders>
            <w:vAlign w:val="top"/>
          </w:tcPr>
          <w:p w14:paraId="17980D01">
            <w:pPr>
              <w:pStyle w:val="6"/>
              <w:spacing w:before="71" w:line="172" w:lineRule="auto"/>
              <w:ind w:left="24"/>
            </w:pPr>
            <w:r>
              <w:rPr>
                <w:spacing w:val="-2"/>
              </w:rPr>
              <w:t>整理仪</w:t>
            </w:r>
          </w:p>
        </w:tc>
        <w:tc>
          <w:tcPr>
            <w:tcW w:w="868" w:type="dxa"/>
            <w:tcBorders>
              <w:bottom w:val="nil"/>
            </w:tcBorders>
            <w:vAlign w:val="top"/>
          </w:tcPr>
          <w:p w14:paraId="78CDDE72">
            <w:pPr>
              <w:spacing w:line="230" w:lineRule="exact"/>
              <w:rPr>
                <w:rFonts w:ascii="Arial"/>
                <w:sz w:val="20"/>
              </w:rPr>
            </w:pPr>
          </w:p>
        </w:tc>
        <w:tc>
          <w:tcPr>
            <w:tcW w:w="279" w:type="dxa"/>
            <w:tcBorders>
              <w:bottom w:val="nil"/>
            </w:tcBorders>
            <w:vAlign w:val="top"/>
          </w:tcPr>
          <w:p w14:paraId="5B38175B">
            <w:pPr>
              <w:spacing w:line="230" w:lineRule="exact"/>
              <w:rPr>
                <w:rFonts w:ascii="Arial"/>
                <w:sz w:val="20"/>
              </w:rPr>
            </w:pPr>
          </w:p>
        </w:tc>
        <w:tc>
          <w:tcPr>
            <w:tcW w:w="2439" w:type="dxa"/>
            <w:tcBorders>
              <w:bottom w:val="nil"/>
            </w:tcBorders>
            <w:vAlign w:val="top"/>
          </w:tcPr>
          <w:p w14:paraId="7247F975">
            <w:pPr>
              <w:pStyle w:val="6"/>
              <w:spacing w:before="51" w:line="194" w:lineRule="auto"/>
              <w:ind w:left="55"/>
            </w:pPr>
            <w:r>
              <w:rPr>
                <w:spacing w:val="-1"/>
              </w:rPr>
              <w:t>整理实验器材，清洁实验台。</w:t>
            </w:r>
          </w:p>
        </w:tc>
      </w:tr>
      <w:tr w14:paraId="59E56A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9" w:hRule="atLeast"/>
        </w:trPr>
        <w:tc>
          <w:tcPr>
            <w:tcW w:w="583" w:type="dxa"/>
            <w:tcBorders>
              <w:top w:val="nil"/>
              <w:bottom w:val="nil"/>
            </w:tcBorders>
            <w:vAlign w:val="top"/>
          </w:tcPr>
          <w:p w14:paraId="7823EF6E">
            <w:pPr>
              <w:pStyle w:val="6"/>
              <w:spacing w:before="32" w:line="181" w:lineRule="auto"/>
              <w:ind w:left="24"/>
            </w:pPr>
            <w:r>
              <w:rPr>
                <w:spacing w:val="-2"/>
              </w:rPr>
              <w:t>器和实</w:t>
            </w:r>
          </w:p>
        </w:tc>
        <w:tc>
          <w:tcPr>
            <w:tcW w:w="868" w:type="dxa"/>
            <w:tcBorders>
              <w:top w:val="nil"/>
              <w:bottom w:val="nil"/>
            </w:tcBorders>
            <w:vAlign w:val="top"/>
          </w:tcPr>
          <w:p w14:paraId="70CAA073">
            <w:pPr>
              <w:pStyle w:val="6"/>
              <w:spacing w:before="12" w:line="202" w:lineRule="auto"/>
              <w:jc w:val="right"/>
            </w:pPr>
            <w:r>
              <w:rPr>
                <w:spacing w:val="-1"/>
              </w:rPr>
              <w:t>清洁实验台</w:t>
            </w:r>
          </w:p>
        </w:tc>
        <w:tc>
          <w:tcPr>
            <w:tcW w:w="279" w:type="dxa"/>
            <w:tcBorders>
              <w:top w:val="nil"/>
              <w:bottom w:val="nil"/>
            </w:tcBorders>
            <w:vAlign w:val="top"/>
          </w:tcPr>
          <w:p w14:paraId="278939B0">
            <w:pPr>
              <w:pStyle w:val="6"/>
              <w:spacing w:before="57" w:line="142" w:lineRule="exact"/>
              <w:ind w:left="83"/>
            </w:pPr>
            <w:r>
              <w:rPr>
                <w:position w:val="-2"/>
              </w:rPr>
              <w:t>5</w:t>
            </w:r>
          </w:p>
        </w:tc>
        <w:tc>
          <w:tcPr>
            <w:tcW w:w="2439" w:type="dxa"/>
            <w:tcBorders>
              <w:top w:val="nil"/>
              <w:bottom w:val="nil"/>
            </w:tcBorders>
            <w:vAlign w:val="top"/>
          </w:tcPr>
          <w:p w14:paraId="11268D10">
            <w:pPr>
              <w:pStyle w:val="6"/>
              <w:spacing w:before="21" w:line="193" w:lineRule="auto"/>
              <w:ind w:left="55"/>
            </w:pPr>
            <w:r>
              <w:rPr>
                <w:spacing w:val="-1"/>
              </w:rPr>
              <w:t>正确得5分；整理不干净，清洁</w:t>
            </w:r>
          </w:p>
        </w:tc>
      </w:tr>
      <w:tr w14:paraId="0B20E9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9" w:hRule="atLeast"/>
        </w:trPr>
        <w:tc>
          <w:tcPr>
            <w:tcW w:w="583" w:type="dxa"/>
            <w:tcBorders>
              <w:top w:val="nil"/>
            </w:tcBorders>
            <w:vAlign w:val="top"/>
          </w:tcPr>
          <w:p w14:paraId="343F86BE">
            <w:pPr>
              <w:pStyle w:val="6"/>
              <w:spacing w:before="34" w:line="189" w:lineRule="auto"/>
              <w:ind w:left="115"/>
            </w:pPr>
            <w:r>
              <w:rPr>
                <w:spacing w:val="9"/>
              </w:rPr>
              <w:t>验台</w:t>
            </w:r>
          </w:p>
        </w:tc>
        <w:tc>
          <w:tcPr>
            <w:tcW w:w="868" w:type="dxa"/>
            <w:tcBorders>
              <w:top w:val="nil"/>
            </w:tcBorders>
            <w:vAlign w:val="top"/>
          </w:tcPr>
          <w:p w14:paraId="7EDED39E">
            <w:pPr>
              <w:spacing w:line="209" w:lineRule="exact"/>
              <w:rPr>
                <w:rFonts w:ascii="Arial"/>
                <w:sz w:val="18"/>
              </w:rPr>
            </w:pPr>
          </w:p>
        </w:tc>
        <w:tc>
          <w:tcPr>
            <w:tcW w:w="279" w:type="dxa"/>
            <w:tcBorders>
              <w:top w:val="nil"/>
            </w:tcBorders>
            <w:vAlign w:val="top"/>
          </w:tcPr>
          <w:p w14:paraId="35237902">
            <w:pPr>
              <w:spacing w:line="209" w:lineRule="exact"/>
              <w:rPr>
                <w:rFonts w:ascii="Arial"/>
                <w:sz w:val="18"/>
              </w:rPr>
            </w:pPr>
          </w:p>
        </w:tc>
        <w:tc>
          <w:tcPr>
            <w:tcW w:w="2439" w:type="dxa"/>
            <w:tcBorders>
              <w:top w:val="nil"/>
            </w:tcBorders>
            <w:vAlign w:val="top"/>
          </w:tcPr>
          <w:p w14:paraId="72669232">
            <w:pPr>
              <w:pStyle w:val="6"/>
              <w:spacing w:before="22" w:line="202" w:lineRule="auto"/>
              <w:ind w:left="55"/>
            </w:pPr>
            <w:r>
              <w:t>不彻底者酌情扣1-2分。</w:t>
            </w:r>
          </w:p>
        </w:tc>
      </w:tr>
      <w:tr w14:paraId="2DD107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68" w:hRule="atLeast"/>
        </w:trPr>
        <w:tc>
          <w:tcPr>
            <w:tcW w:w="583" w:type="dxa"/>
            <w:vAlign w:val="top"/>
          </w:tcPr>
          <w:p w14:paraId="0ACBDAC8">
            <w:pPr>
              <w:pStyle w:val="6"/>
              <w:spacing w:before="163" w:line="219" w:lineRule="auto"/>
              <w:ind w:left="115" w:right="123"/>
            </w:pPr>
            <w:r>
              <w:rPr>
                <w:spacing w:val="-3"/>
              </w:rPr>
              <w:t>操作</w:t>
            </w:r>
            <w:r>
              <w:t xml:space="preserve"> </w:t>
            </w:r>
            <w:r>
              <w:rPr>
                <w:spacing w:val="-3"/>
              </w:rPr>
              <w:t>速度</w:t>
            </w:r>
          </w:p>
        </w:tc>
        <w:tc>
          <w:tcPr>
            <w:tcW w:w="868" w:type="dxa"/>
            <w:vAlign w:val="top"/>
          </w:tcPr>
          <w:p w14:paraId="201388C2">
            <w:pPr>
              <w:pStyle w:val="6"/>
              <w:spacing w:before="163" w:line="219" w:lineRule="auto"/>
              <w:ind w:left="251" w:right="101" w:hanging="170"/>
            </w:pPr>
            <w:r>
              <w:rPr>
                <w:spacing w:val="-2"/>
              </w:rPr>
              <w:t>操作熟练</w:t>
            </w:r>
            <w:r>
              <w:rPr>
                <w:spacing w:val="1"/>
              </w:rPr>
              <w:t xml:space="preserve"> </w:t>
            </w:r>
            <w:r>
              <w:rPr>
                <w:spacing w:val="-2"/>
              </w:rPr>
              <w:t>程度</w:t>
            </w:r>
          </w:p>
        </w:tc>
        <w:tc>
          <w:tcPr>
            <w:tcW w:w="279" w:type="dxa"/>
            <w:vAlign w:val="top"/>
          </w:tcPr>
          <w:p w14:paraId="3964EFEF">
            <w:pPr>
              <w:rPr>
                <w:rFonts w:ascii="Arial"/>
                <w:sz w:val="21"/>
              </w:rPr>
            </w:pPr>
          </w:p>
          <w:p w14:paraId="631FD8AC">
            <w:pPr>
              <w:pStyle w:val="6"/>
              <w:spacing w:before="55" w:line="184" w:lineRule="auto"/>
              <w:ind w:left="43"/>
            </w:pPr>
            <w:r>
              <w:rPr>
                <w:spacing w:val="-5"/>
              </w:rPr>
              <w:t>10</w:t>
            </w:r>
          </w:p>
        </w:tc>
        <w:tc>
          <w:tcPr>
            <w:tcW w:w="2439" w:type="dxa"/>
            <w:vAlign w:val="top"/>
          </w:tcPr>
          <w:p w14:paraId="0E11F4CF">
            <w:pPr>
              <w:pStyle w:val="6"/>
              <w:spacing w:before="75" w:line="211" w:lineRule="auto"/>
              <w:ind w:left="24" w:firstLine="30"/>
              <w:jc w:val="both"/>
            </w:pPr>
            <w:r>
              <w:rPr>
                <w:spacing w:val="-1"/>
              </w:rPr>
              <w:t>在20分钟内完成得10分，每延长</w:t>
            </w:r>
            <w:r>
              <w:rPr>
                <w:spacing w:val="8"/>
              </w:rPr>
              <w:t xml:space="preserve"> </w:t>
            </w:r>
            <w:r>
              <w:t>1分钟，扣1分，直到扣完10分为</w:t>
            </w:r>
            <w:r>
              <w:rPr>
                <w:spacing w:val="7"/>
              </w:rPr>
              <w:t xml:space="preserve"> </w:t>
            </w:r>
            <w:r>
              <w:rPr>
                <w:spacing w:val="2"/>
              </w:rPr>
              <w:t>止。</w:t>
            </w:r>
          </w:p>
        </w:tc>
      </w:tr>
      <w:tr w14:paraId="440C61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4" w:hRule="atLeast"/>
        </w:trPr>
        <w:tc>
          <w:tcPr>
            <w:tcW w:w="1451" w:type="dxa"/>
            <w:gridSpan w:val="2"/>
            <w:vAlign w:val="top"/>
          </w:tcPr>
          <w:p w14:paraId="586AB013">
            <w:pPr>
              <w:pStyle w:val="6"/>
              <w:spacing w:before="66" w:line="220" w:lineRule="auto"/>
              <w:ind w:left="535"/>
            </w:pPr>
            <w:r>
              <w:rPr>
                <w:spacing w:val="-3"/>
              </w:rPr>
              <w:t>总分</w:t>
            </w:r>
          </w:p>
        </w:tc>
        <w:tc>
          <w:tcPr>
            <w:tcW w:w="279" w:type="dxa"/>
            <w:vAlign w:val="top"/>
          </w:tcPr>
          <w:p w14:paraId="616F1600">
            <w:pPr>
              <w:pStyle w:val="6"/>
              <w:spacing w:before="108" w:line="184" w:lineRule="auto"/>
              <w:ind w:left="3"/>
            </w:pPr>
            <w:r>
              <w:rPr>
                <w:spacing w:val="-5"/>
              </w:rPr>
              <w:t>100</w:t>
            </w:r>
          </w:p>
        </w:tc>
        <w:tc>
          <w:tcPr>
            <w:tcW w:w="2439" w:type="dxa"/>
            <w:vAlign w:val="top"/>
          </w:tcPr>
          <w:p w14:paraId="17562750">
            <w:pPr>
              <w:rPr>
                <w:rFonts w:ascii="Arial"/>
                <w:sz w:val="21"/>
              </w:rPr>
            </w:pPr>
          </w:p>
        </w:tc>
      </w:tr>
    </w:tbl>
    <w:p w14:paraId="61241625">
      <w:pPr>
        <w:pStyle w:val="2"/>
        <w:spacing w:line="285" w:lineRule="auto"/>
      </w:pPr>
    </w:p>
    <w:p w14:paraId="5C42EAF6">
      <w:pPr>
        <w:pStyle w:val="2"/>
        <w:spacing w:line="285" w:lineRule="auto"/>
      </w:pPr>
    </w:p>
    <w:p w14:paraId="5762284F">
      <w:pPr>
        <w:spacing w:before="75" w:line="221" w:lineRule="auto"/>
        <w:ind w:left="3"/>
        <w:rPr>
          <w:rFonts w:ascii="黑体" w:hAnsi="黑体" w:eastAsia="黑体" w:cs="黑体"/>
          <w:sz w:val="23"/>
          <w:szCs w:val="23"/>
        </w:rPr>
      </w:pPr>
      <w:r>
        <w:rPr>
          <w:rFonts w:ascii="黑体" w:hAnsi="黑体" w:eastAsia="黑体" w:cs="黑体"/>
          <w:b/>
          <w:bCs/>
          <w:spacing w:val="-4"/>
          <w:sz w:val="23"/>
          <w:szCs w:val="23"/>
        </w:rPr>
        <w:t>项目三配制一定物质的量浓度的</w:t>
      </w:r>
      <w:r>
        <w:rPr>
          <w:rFonts w:ascii="宋体" w:hAnsi="宋体" w:eastAsia="宋体" w:cs="宋体"/>
          <w:b/>
          <w:bCs/>
          <w:spacing w:val="-4"/>
          <w:sz w:val="23"/>
          <w:szCs w:val="23"/>
        </w:rPr>
        <w:t>HCl</w:t>
      </w:r>
      <w:r>
        <w:rPr>
          <w:rFonts w:ascii="宋体" w:hAnsi="宋体" w:eastAsia="宋体" w:cs="宋体"/>
          <w:spacing w:val="-66"/>
          <w:sz w:val="23"/>
          <w:szCs w:val="23"/>
        </w:rPr>
        <w:t xml:space="preserve"> </w:t>
      </w:r>
      <w:r>
        <w:rPr>
          <w:rFonts w:ascii="黑体" w:hAnsi="黑体" w:eastAsia="黑体" w:cs="黑体"/>
          <w:b/>
          <w:bCs/>
          <w:spacing w:val="-4"/>
          <w:sz w:val="23"/>
          <w:szCs w:val="23"/>
        </w:rPr>
        <w:t>溶液</w:t>
      </w:r>
    </w:p>
    <w:p w14:paraId="38DBD740">
      <w:pPr>
        <w:spacing w:before="253" w:line="221" w:lineRule="auto"/>
        <w:ind w:left="2"/>
        <w:rPr>
          <w:rFonts w:ascii="黑体" w:hAnsi="黑体" w:eastAsia="黑体" w:cs="黑体"/>
          <w:sz w:val="17"/>
          <w:szCs w:val="17"/>
        </w:rPr>
      </w:pPr>
      <w:r>
        <w:rPr>
          <w:rFonts w:ascii="黑体" w:hAnsi="黑体" w:eastAsia="黑体" w:cs="黑体"/>
          <w:b/>
          <w:bCs/>
          <w:spacing w:val="16"/>
          <w:sz w:val="17"/>
          <w:szCs w:val="17"/>
        </w:rPr>
        <w:t>一</w:t>
      </w:r>
      <w:r>
        <w:rPr>
          <w:rFonts w:ascii="黑体" w:hAnsi="黑体" w:eastAsia="黑体" w:cs="黑体"/>
          <w:spacing w:val="16"/>
          <w:sz w:val="17"/>
          <w:szCs w:val="17"/>
        </w:rPr>
        <w:t xml:space="preserve"> </w:t>
      </w:r>
      <w:r>
        <w:rPr>
          <w:rFonts w:ascii="黑体" w:hAnsi="黑体" w:eastAsia="黑体" w:cs="黑体"/>
          <w:b/>
          <w:bCs/>
          <w:spacing w:val="16"/>
          <w:sz w:val="17"/>
          <w:szCs w:val="17"/>
        </w:rPr>
        <w:t>、测试用具或材料</w:t>
      </w:r>
    </w:p>
    <w:p w14:paraId="13D0C8E6">
      <w:pPr>
        <w:spacing w:before="148" w:line="303" w:lineRule="auto"/>
        <w:ind w:right="31" w:firstLine="380"/>
        <w:jc w:val="both"/>
        <w:rPr>
          <w:rFonts w:ascii="宋体" w:hAnsi="宋体" w:eastAsia="宋体" w:cs="宋体"/>
          <w:sz w:val="17"/>
          <w:szCs w:val="17"/>
        </w:rPr>
      </w:pPr>
      <w:r>
        <w:rPr>
          <w:rFonts w:ascii="宋体" w:hAnsi="宋体" w:eastAsia="宋体" w:cs="宋体"/>
          <w:spacing w:val="8"/>
          <w:sz w:val="17"/>
          <w:szCs w:val="17"/>
        </w:rPr>
        <w:t xml:space="preserve">量筒、移液管、吸耳球、烧杯(100 </w:t>
      </w:r>
      <w:r>
        <w:rPr>
          <w:rFonts w:ascii="Times New Roman" w:hAnsi="Times New Roman" w:eastAsia="Times New Roman" w:cs="Times New Roman"/>
          <w:sz w:val="17"/>
          <w:szCs w:val="17"/>
        </w:rPr>
        <w:t>mL</w:t>
      </w:r>
      <w:r>
        <w:rPr>
          <w:rFonts w:ascii="宋体" w:hAnsi="宋体" w:eastAsia="宋体" w:cs="宋体"/>
          <w:spacing w:val="8"/>
          <w:sz w:val="17"/>
          <w:szCs w:val="17"/>
        </w:rPr>
        <w:t>和250</w:t>
      </w:r>
      <w:r>
        <w:rPr>
          <w:rFonts w:ascii="宋体" w:hAnsi="宋体" w:eastAsia="宋体" w:cs="宋体"/>
          <w:spacing w:val="-10"/>
          <w:sz w:val="17"/>
          <w:szCs w:val="17"/>
        </w:rPr>
        <w:t xml:space="preserve"> </w:t>
      </w:r>
      <w:r>
        <w:rPr>
          <w:rFonts w:ascii="Times New Roman" w:hAnsi="Times New Roman" w:eastAsia="Times New Roman" w:cs="Times New Roman"/>
          <w:sz w:val="17"/>
          <w:szCs w:val="17"/>
        </w:rPr>
        <w:t xml:space="preserve">mL </w:t>
      </w:r>
      <w:r>
        <w:rPr>
          <w:rFonts w:ascii="宋体" w:hAnsi="宋体" w:eastAsia="宋体" w:cs="宋体"/>
          <w:spacing w:val="9"/>
          <w:sz w:val="17"/>
          <w:szCs w:val="17"/>
        </w:rPr>
        <w:t>各一个)、玻璃棒、胶头滴管、容量瓶(250</w:t>
      </w:r>
      <w:r>
        <w:rPr>
          <w:rFonts w:ascii="Times New Roman" w:hAnsi="Times New Roman" w:eastAsia="Times New Roman" w:cs="Times New Roman"/>
          <w:sz w:val="17"/>
          <w:szCs w:val="17"/>
        </w:rPr>
        <w:t>mL</w:t>
      </w:r>
      <w:r>
        <w:rPr>
          <w:rFonts w:ascii="Times New Roman" w:hAnsi="Times New Roman" w:eastAsia="Times New Roman" w:cs="Times New Roman"/>
          <w:spacing w:val="9"/>
          <w:sz w:val="17"/>
          <w:szCs w:val="17"/>
        </w:rPr>
        <w:t xml:space="preserve">);     </w:t>
      </w:r>
      <w:r>
        <w:rPr>
          <w:rFonts w:ascii="宋体" w:hAnsi="宋体" w:eastAsia="宋体" w:cs="宋体"/>
          <w:spacing w:val="9"/>
          <w:sz w:val="17"/>
          <w:szCs w:val="17"/>
        </w:rPr>
        <w:t>一</w:t>
      </w:r>
      <w:r>
        <w:rPr>
          <w:rFonts w:ascii="宋体" w:hAnsi="宋体" w:eastAsia="宋体" w:cs="宋体"/>
          <w:spacing w:val="11"/>
          <w:sz w:val="17"/>
          <w:szCs w:val="17"/>
        </w:rPr>
        <w:t xml:space="preserve"> </w:t>
      </w:r>
      <w:r>
        <w:rPr>
          <w:rFonts w:ascii="宋体" w:hAnsi="宋体" w:eastAsia="宋体" w:cs="宋体"/>
          <w:spacing w:val="-1"/>
          <w:sz w:val="17"/>
          <w:szCs w:val="17"/>
        </w:rPr>
        <w:t>定浓度的</w:t>
      </w:r>
      <w:r>
        <w:rPr>
          <w:rFonts w:ascii="Times New Roman" w:hAnsi="Times New Roman" w:eastAsia="Times New Roman" w:cs="Times New Roman"/>
          <w:spacing w:val="-1"/>
          <w:sz w:val="17"/>
          <w:szCs w:val="17"/>
        </w:rPr>
        <w:t>HCl</w:t>
      </w:r>
      <w:r>
        <w:rPr>
          <w:rFonts w:ascii="宋体" w:hAnsi="宋体" w:eastAsia="宋体" w:cs="宋体"/>
          <w:spacing w:val="-1"/>
          <w:sz w:val="17"/>
          <w:szCs w:val="17"/>
        </w:rPr>
        <w:t>溶液、蒸馏水。</w:t>
      </w:r>
    </w:p>
    <w:p w14:paraId="3E7321CB">
      <w:pPr>
        <w:spacing w:before="172" w:line="222" w:lineRule="auto"/>
        <w:ind w:left="2"/>
        <w:rPr>
          <w:rFonts w:ascii="黑体" w:hAnsi="黑体" w:eastAsia="黑体" w:cs="黑体"/>
          <w:sz w:val="17"/>
          <w:szCs w:val="17"/>
        </w:rPr>
      </w:pPr>
      <w:r>
        <w:rPr>
          <w:rFonts w:ascii="黑体" w:hAnsi="黑体" w:eastAsia="黑体" w:cs="黑体"/>
          <w:b/>
          <w:bCs/>
          <w:spacing w:val="19"/>
          <w:sz w:val="17"/>
          <w:szCs w:val="17"/>
        </w:rPr>
        <w:t>二</w:t>
      </w:r>
      <w:r>
        <w:rPr>
          <w:rFonts w:ascii="黑体" w:hAnsi="黑体" w:eastAsia="黑体" w:cs="黑体"/>
          <w:spacing w:val="-19"/>
          <w:sz w:val="17"/>
          <w:szCs w:val="17"/>
        </w:rPr>
        <w:t xml:space="preserve"> </w:t>
      </w:r>
      <w:r>
        <w:rPr>
          <w:rFonts w:ascii="黑体" w:hAnsi="黑体" w:eastAsia="黑体" w:cs="黑体"/>
          <w:b/>
          <w:bCs/>
          <w:spacing w:val="19"/>
          <w:sz w:val="17"/>
          <w:szCs w:val="17"/>
        </w:rPr>
        <w:t>、技能要求</w:t>
      </w:r>
    </w:p>
    <w:p w14:paraId="455CCFCB">
      <w:pPr>
        <w:spacing w:before="159" w:line="219" w:lineRule="auto"/>
        <w:ind w:left="380"/>
        <w:rPr>
          <w:rFonts w:ascii="宋体" w:hAnsi="宋体" w:eastAsia="宋体" w:cs="宋体"/>
          <w:sz w:val="17"/>
          <w:szCs w:val="17"/>
        </w:rPr>
      </w:pPr>
      <w:r>
        <w:rPr>
          <w:rFonts w:ascii="宋体" w:hAnsi="宋体" w:eastAsia="宋体" w:cs="宋体"/>
          <w:spacing w:val="-1"/>
          <w:sz w:val="17"/>
          <w:szCs w:val="17"/>
        </w:rPr>
        <w:t>1.正确使用移液管。</w:t>
      </w:r>
    </w:p>
    <w:p w14:paraId="5EA8343A">
      <w:pPr>
        <w:spacing w:before="88" w:line="220" w:lineRule="auto"/>
        <w:ind w:left="380"/>
        <w:rPr>
          <w:rFonts w:ascii="宋体" w:hAnsi="宋体" w:eastAsia="宋体" w:cs="宋体"/>
          <w:sz w:val="17"/>
          <w:szCs w:val="17"/>
        </w:rPr>
      </w:pPr>
      <w:r>
        <w:rPr>
          <w:rFonts w:ascii="宋体" w:hAnsi="宋体" w:eastAsia="宋体" w:cs="宋体"/>
          <w:spacing w:val="-2"/>
          <w:sz w:val="17"/>
          <w:szCs w:val="17"/>
        </w:rPr>
        <w:t>2.熟练配制一定浓度的溶液。</w:t>
      </w:r>
    </w:p>
    <w:p w14:paraId="02801158">
      <w:pPr>
        <w:spacing w:before="223" w:line="221" w:lineRule="auto"/>
        <w:ind w:left="2"/>
        <w:rPr>
          <w:rFonts w:ascii="黑体" w:hAnsi="黑体" w:eastAsia="黑体" w:cs="黑体"/>
          <w:sz w:val="17"/>
          <w:szCs w:val="17"/>
        </w:rPr>
      </w:pPr>
      <w:r>
        <w:rPr>
          <w:rFonts w:ascii="黑体" w:hAnsi="黑体" w:eastAsia="黑体" w:cs="黑体"/>
          <w:b/>
          <w:bCs/>
          <w:spacing w:val="22"/>
          <w:sz w:val="17"/>
          <w:szCs w:val="17"/>
        </w:rPr>
        <w:t>三</w:t>
      </w:r>
      <w:r>
        <w:rPr>
          <w:rFonts w:ascii="黑体" w:hAnsi="黑体" w:eastAsia="黑体" w:cs="黑体"/>
          <w:spacing w:val="-15"/>
          <w:sz w:val="17"/>
          <w:szCs w:val="17"/>
        </w:rPr>
        <w:t xml:space="preserve"> </w:t>
      </w:r>
      <w:r>
        <w:rPr>
          <w:rFonts w:ascii="黑体" w:hAnsi="黑体" w:eastAsia="黑体" w:cs="黑体"/>
          <w:b/>
          <w:bCs/>
          <w:spacing w:val="22"/>
          <w:sz w:val="17"/>
          <w:szCs w:val="17"/>
        </w:rPr>
        <w:t>、分值与测试时间</w:t>
      </w:r>
    </w:p>
    <w:p w14:paraId="57D1DB9C">
      <w:pPr>
        <w:spacing w:before="141" w:line="219" w:lineRule="auto"/>
        <w:ind w:left="380"/>
        <w:rPr>
          <w:rFonts w:ascii="宋体" w:hAnsi="宋体" w:eastAsia="宋体" w:cs="宋体"/>
          <w:sz w:val="17"/>
          <w:szCs w:val="17"/>
        </w:rPr>
      </w:pPr>
      <w:r>
        <w:rPr>
          <w:rFonts w:ascii="宋体" w:hAnsi="宋体" w:eastAsia="宋体" w:cs="宋体"/>
          <w:spacing w:val="9"/>
          <w:sz w:val="17"/>
          <w:szCs w:val="17"/>
        </w:rPr>
        <w:t>分值为100分；测试时间为30分钟。</w:t>
      </w:r>
    </w:p>
    <w:p w14:paraId="65E759E2">
      <w:pPr>
        <w:spacing w:before="224" w:line="221" w:lineRule="auto"/>
        <w:ind w:left="2"/>
        <w:rPr>
          <w:rFonts w:ascii="黑体" w:hAnsi="黑体" w:eastAsia="黑体" w:cs="黑体"/>
          <w:sz w:val="17"/>
          <w:szCs w:val="17"/>
        </w:rPr>
      </w:pPr>
      <w:r>
        <w:rPr>
          <w:rFonts w:ascii="黑体" w:hAnsi="黑体" w:eastAsia="黑体" w:cs="黑体"/>
          <w:b/>
          <w:bCs/>
          <w:spacing w:val="10"/>
          <w:sz w:val="17"/>
          <w:szCs w:val="17"/>
        </w:rPr>
        <w:t>四</w:t>
      </w:r>
      <w:r>
        <w:rPr>
          <w:rFonts w:ascii="黑体" w:hAnsi="黑体" w:eastAsia="黑体" w:cs="黑体"/>
          <w:spacing w:val="-11"/>
          <w:sz w:val="17"/>
          <w:szCs w:val="17"/>
        </w:rPr>
        <w:t xml:space="preserve"> </w:t>
      </w:r>
      <w:r>
        <w:rPr>
          <w:rFonts w:ascii="黑体" w:hAnsi="黑体" w:eastAsia="黑体" w:cs="黑体"/>
          <w:b/>
          <w:bCs/>
          <w:spacing w:val="10"/>
          <w:sz w:val="17"/>
          <w:szCs w:val="17"/>
        </w:rPr>
        <w:t>、操作步骤</w:t>
      </w:r>
    </w:p>
    <w:p w14:paraId="25FB8B23">
      <w:pPr>
        <w:spacing w:before="139" w:line="314" w:lineRule="auto"/>
        <w:ind w:right="39" w:firstLine="380"/>
        <w:rPr>
          <w:rFonts w:ascii="宋体" w:hAnsi="宋体" w:eastAsia="宋体" w:cs="宋体"/>
          <w:sz w:val="17"/>
          <w:szCs w:val="17"/>
        </w:rPr>
      </w:pPr>
      <w:r>
        <w:rPr>
          <w:rFonts w:ascii="宋体" w:hAnsi="宋体" w:eastAsia="宋体" w:cs="宋体"/>
          <w:spacing w:val="1"/>
          <w:sz w:val="17"/>
          <w:szCs w:val="17"/>
        </w:rPr>
        <w:t>1.计算溶质的体积：计算出配制一定浓度的溶液所</w:t>
      </w:r>
      <w:r>
        <w:rPr>
          <w:rFonts w:ascii="宋体" w:hAnsi="宋体" w:eastAsia="宋体" w:cs="宋体"/>
          <w:spacing w:val="12"/>
          <w:sz w:val="17"/>
          <w:szCs w:val="17"/>
        </w:rPr>
        <w:t xml:space="preserve"> </w:t>
      </w:r>
      <w:r>
        <w:rPr>
          <w:rFonts w:ascii="宋体" w:hAnsi="宋体" w:eastAsia="宋体" w:cs="宋体"/>
          <w:sz w:val="17"/>
          <w:szCs w:val="17"/>
        </w:rPr>
        <w:t>需指定浓度盐酸的体积。</w:t>
      </w:r>
    </w:p>
    <w:p w14:paraId="35034C19">
      <w:pPr>
        <w:spacing w:before="3" w:line="320" w:lineRule="auto"/>
        <w:ind w:right="38" w:firstLine="380"/>
        <w:rPr>
          <w:rFonts w:ascii="宋体" w:hAnsi="宋体" w:eastAsia="宋体" w:cs="宋体"/>
          <w:sz w:val="17"/>
          <w:szCs w:val="17"/>
        </w:rPr>
      </w:pPr>
      <w:r>
        <w:rPr>
          <w:rFonts w:ascii="宋体" w:hAnsi="宋体" w:eastAsia="宋体" w:cs="宋体"/>
          <w:spacing w:val="1"/>
          <w:sz w:val="17"/>
          <w:szCs w:val="17"/>
        </w:rPr>
        <w:t>2.取液：用移液管准确量取液体的体积，注意移液</w:t>
      </w:r>
      <w:r>
        <w:rPr>
          <w:rFonts w:ascii="宋体" w:hAnsi="宋体" w:eastAsia="宋体" w:cs="宋体"/>
          <w:spacing w:val="13"/>
          <w:sz w:val="17"/>
          <w:szCs w:val="17"/>
        </w:rPr>
        <w:t xml:space="preserve"> </w:t>
      </w:r>
      <w:r>
        <w:rPr>
          <w:rFonts w:ascii="宋体" w:hAnsi="宋体" w:eastAsia="宋体" w:cs="宋体"/>
          <w:spacing w:val="-5"/>
          <w:sz w:val="17"/>
          <w:szCs w:val="17"/>
        </w:rPr>
        <w:t>管的精确程度。</w:t>
      </w:r>
    </w:p>
    <w:p w14:paraId="2E7C21BF">
      <w:pPr>
        <w:spacing w:line="312" w:lineRule="auto"/>
        <w:ind w:firstLine="380"/>
        <w:rPr>
          <w:rFonts w:ascii="宋体" w:hAnsi="宋体" w:eastAsia="宋体" w:cs="宋体"/>
          <w:sz w:val="17"/>
          <w:szCs w:val="17"/>
        </w:rPr>
      </w:pPr>
      <w:r>
        <w:rPr>
          <w:rFonts w:ascii="宋体" w:hAnsi="宋体" w:eastAsia="宋体" w:cs="宋体"/>
          <w:spacing w:val="3"/>
          <w:sz w:val="17"/>
          <w:szCs w:val="17"/>
        </w:rPr>
        <w:t>3.稀释：将量取的液体放入烧杯中，用蒸馏水溶解</w:t>
      </w:r>
      <w:r>
        <w:rPr>
          <w:rFonts w:ascii="宋体" w:hAnsi="宋体" w:eastAsia="宋体" w:cs="宋体"/>
          <w:spacing w:val="6"/>
          <w:sz w:val="17"/>
          <w:szCs w:val="17"/>
        </w:rPr>
        <w:t xml:space="preserve"> </w:t>
      </w:r>
      <w:r>
        <w:rPr>
          <w:rFonts w:ascii="宋体" w:hAnsi="宋体" w:eastAsia="宋体" w:cs="宋体"/>
          <w:sz w:val="17"/>
          <w:szCs w:val="17"/>
        </w:rPr>
        <w:t>稀释，并用玻璃杯搅拌。</w:t>
      </w:r>
    </w:p>
    <w:p w14:paraId="2E1A2597">
      <w:pPr>
        <w:spacing w:before="15" w:line="219" w:lineRule="auto"/>
        <w:ind w:left="380"/>
        <w:rPr>
          <w:rFonts w:ascii="宋体" w:hAnsi="宋体" w:eastAsia="宋体" w:cs="宋体"/>
          <w:sz w:val="17"/>
          <w:szCs w:val="17"/>
        </w:rPr>
      </w:pPr>
      <w:r>
        <w:rPr>
          <w:rFonts w:ascii="宋体" w:hAnsi="宋体" w:eastAsia="宋体" w:cs="宋体"/>
          <w:sz w:val="17"/>
          <w:szCs w:val="17"/>
        </w:rPr>
        <w:t>4.转移：将烧杯中液体转移到容量瓶中。</w:t>
      </w:r>
    </w:p>
    <w:p w14:paraId="1E6EB275">
      <w:pPr>
        <w:spacing w:before="79" w:line="313" w:lineRule="auto"/>
        <w:ind w:right="36" w:firstLine="380"/>
        <w:rPr>
          <w:rFonts w:ascii="宋体" w:hAnsi="宋体" w:eastAsia="宋体" w:cs="宋体"/>
          <w:sz w:val="17"/>
          <w:szCs w:val="17"/>
        </w:rPr>
      </w:pPr>
      <w:r>
        <w:rPr>
          <w:rFonts w:ascii="宋体" w:hAnsi="宋体" w:eastAsia="宋体" w:cs="宋体"/>
          <w:spacing w:val="5"/>
          <w:sz w:val="17"/>
          <w:szCs w:val="17"/>
        </w:rPr>
        <w:t>5.洗涤：用蒸馏水洗涤烧杯2~3次，并将洗液全部</w:t>
      </w:r>
      <w:r>
        <w:rPr>
          <w:rFonts w:ascii="宋体" w:hAnsi="宋体" w:eastAsia="宋体" w:cs="宋体"/>
          <w:spacing w:val="3"/>
          <w:sz w:val="17"/>
          <w:szCs w:val="17"/>
        </w:rPr>
        <w:t xml:space="preserve"> </w:t>
      </w:r>
      <w:r>
        <w:rPr>
          <w:rFonts w:ascii="宋体" w:hAnsi="宋体" w:eastAsia="宋体" w:cs="宋体"/>
          <w:spacing w:val="-2"/>
          <w:sz w:val="17"/>
          <w:szCs w:val="17"/>
        </w:rPr>
        <w:t>转移到容量瓶中。轻轻摇动容量瓶，使溶液混合均匀。</w:t>
      </w:r>
    </w:p>
    <w:p w14:paraId="0F198D9A">
      <w:pPr>
        <w:spacing w:before="23" w:line="291" w:lineRule="auto"/>
        <w:ind w:right="186" w:firstLine="380"/>
        <w:rPr>
          <w:rFonts w:ascii="宋体" w:hAnsi="宋体" w:eastAsia="宋体" w:cs="宋体"/>
          <w:sz w:val="17"/>
          <w:szCs w:val="17"/>
        </w:rPr>
      </w:pPr>
      <w:r>
        <w:rPr>
          <w:rFonts w:ascii="宋体" w:hAnsi="宋体" w:eastAsia="宋体" w:cs="宋体"/>
          <w:spacing w:val="4"/>
          <w:sz w:val="17"/>
          <w:szCs w:val="17"/>
        </w:rPr>
        <w:t>6.定容：向容量瓶中加水至刻度线1</w:t>
      </w:r>
      <w:r>
        <w:rPr>
          <w:rFonts w:ascii="宋体" w:hAnsi="宋体" w:eastAsia="宋体" w:cs="宋体"/>
          <w:sz w:val="17"/>
          <w:szCs w:val="17"/>
        </w:rPr>
        <w:t>cm</w:t>
      </w:r>
      <w:r>
        <w:rPr>
          <w:rFonts w:ascii="宋体" w:hAnsi="宋体" w:eastAsia="宋体" w:cs="宋体"/>
          <w:spacing w:val="4"/>
          <w:sz w:val="17"/>
          <w:szCs w:val="17"/>
        </w:rPr>
        <w:t>~2</w:t>
      </w:r>
      <w:r>
        <w:rPr>
          <w:rFonts w:ascii="宋体" w:hAnsi="宋体" w:eastAsia="宋体" w:cs="宋体"/>
          <w:sz w:val="17"/>
          <w:szCs w:val="17"/>
        </w:rPr>
        <w:t>cm</w:t>
      </w:r>
      <w:r>
        <w:rPr>
          <w:rFonts w:ascii="宋体" w:hAnsi="宋体" w:eastAsia="宋体" w:cs="宋体"/>
          <w:spacing w:val="32"/>
          <w:sz w:val="17"/>
          <w:szCs w:val="17"/>
        </w:rPr>
        <w:t xml:space="preserve">  </w:t>
      </w:r>
      <w:r>
        <w:rPr>
          <w:rFonts w:ascii="宋体" w:hAnsi="宋体" w:eastAsia="宋体" w:cs="宋体"/>
          <w:spacing w:val="4"/>
          <w:sz w:val="17"/>
          <w:szCs w:val="17"/>
        </w:rPr>
        <w:t>处</w:t>
      </w:r>
      <w:r>
        <w:rPr>
          <w:rFonts w:ascii="宋体" w:hAnsi="宋体" w:eastAsia="宋体" w:cs="宋体"/>
          <w:sz w:val="17"/>
          <w:szCs w:val="17"/>
        </w:rPr>
        <w:t xml:space="preserve"> </w:t>
      </w:r>
      <w:r>
        <w:rPr>
          <w:rFonts w:ascii="宋体" w:hAnsi="宋体" w:eastAsia="宋体" w:cs="宋体"/>
          <w:spacing w:val="1"/>
          <w:sz w:val="17"/>
          <w:szCs w:val="17"/>
        </w:rPr>
        <w:t>时，再改用胶头滴管至刻度线处。</w:t>
      </w:r>
    </w:p>
    <w:p w14:paraId="2F9B2D21">
      <w:pPr>
        <w:spacing w:before="36" w:line="249" w:lineRule="auto"/>
        <w:ind w:right="32" w:firstLine="380"/>
        <w:rPr>
          <w:rFonts w:ascii="宋体" w:hAnsi="宋体" w:eastAsia="宋体" w:cs="宋体"/>
          <w:sz w:val="17"/>
          <w:szCs w:val="17"/>
        </w:rPr>
      </w:pPr>
      <w:r>
        <w:rPr>
          <w:rFonts w:ascii="宋体" w:hAnsi="宋体" w:eastAsia="宋体" w:cs="宋体"/>
          <w:spacing w:val="2"/>
          <w:sz w:val="17"/>
          <w:szCs w:val="17"/>
        </w:rPr>
        <w:t>7.摇匀：把定容好的容量瓶瓶塞塞紧，用</w:t>
      </w:r>
      <w:r>
        <w:rPr>
          <w:rFonts w:ascii="宋体" w:hAnsi="宋体" w:eastAsia="宋体" w:cs="宋体"/>
          <w:spacing w:val="1"/>
          <w:sz w:val="17"/>
          <w:szCs w:val="17"/>
        </w:rPr>
        <w:t>一只手的</w:t>
      </w:r>
      <w:r>
        <w:rPr>
          <w:rFonts w:ascii="宋体" w:hAnsi="宋体" w:eastAsia="宋体" w:cs="宋体"/>
          <w:sz w:val="17"/>
          <w:szCs w:val="17"/>
        </w:rPr>
        <w:t xml:space="preserve"> </w:t>
      </w:r>
      <w:r>
        <w:rPr>
          <w:rFonts w:ascii="宋体" w:hAnsi="宋体" w:eastAsia="宋体" w:cs="宋体"/>
          <w:spacing w:val="2"/>
          <w:sz w:val="17"/>
          <w:szCs w:val="17"/>
        </w:rPr>
        <w:t>食指顶住瓶塞，另一只手托住瓶底，反复颠倒摇匀。这</w:t>
      </w:r>
    </w:p>
    <w:p w14:paraId="646BD4E2">
      <w:pPr>
        <w:spacing w:line="249" w:lineRule="auto"/>
        <w:rPr>
          <w:rFonts w:ascii="宋体" w:hAnsi="宋体" w:eastAsia="宋体" w:cs="宋体"/>
          <w:sz w:val="17"/>
          <w:szCs w:val="17"/>
        </w:rPr>
        <w:sectPr>
          <w:type w:val="continuous"/>
          <w:pgSz w:w="10660" w:h="15080"/>
          <w:pgMar w:top="400" w:right="1043" w:bottom="898" w:left="809" w:header="0" w:footer="745" w:gutter="0"/>
          <w:cols w:equalWidth="0" w:num="2">
            <w:col w:w="4511" w:space="100"/>
            <w:col w:w="4197"/>
          </w:cols>
        </w:sectPr>
      </w:pPr>
    </w:p>
    <w:p w14:paraId="695FE8CC">
      <w:pPr>
        <w:spacing w:before="2"/>
      </w:pPr>
    </w:p>
    <w:p w14:paraId="30C0C3C5">
      <w:pPr>
        <w:spacing w:before="1"/>
      </w:pPr>
    </w:p>
    <w:p w14:paraId="1888F845">
      <w:pPr>
        <w:spacing w:before="1"/>
      </w:pPr>
    </w:p>
    <w:p w14:paraId="22074B59">
      <w:pPr>
        <w:spacing w:before="1"/>
      </w:pPr>
    </w:p>
    <w:p w14:paraId="090AA8F0">
      <w:pPr>
        <w:sectPr>
          <w:footerReference r:id="rId163" w:type="default"/>
          <w:pgSz w:w="10660" w:h="15080"/>
          <w:pgMar w:top="400" w:right="895" w:bottom="905" w:left="989" w:header="0" w:footer="743" w:gutter="0"/>
          <w:cols w:equalWidth="0" w:num="1">
            <w:col w:w="8775"/>
          </w:cols>
        </w:sectPr>
      </w:pPr>
    </w:p>
    <w:p w14:paraId="793B180F">
      <w:pPr>
        <w:spacing w:before="36" w:line="219" w:lineRule="auto"/>
        <w:rPr>
          <w:rFonts w:ascii="宋体" w:hAnsi="宋体" w:eastAsia="宋体" w:cs="宋体"/>
          <w:sz w:val="18"/>
          <w:szCs w:val="18"/>
        </w:rPr>
      </w:pPr>
      <w:r>
        <w:rPr>
          <w:rFonts w:ascii="宋体" w:hAnsi="宋体" w:eastAsia="宋体" w:cs="宋体"/>
          <w:spacing w:val="-5"/>
          <w:sz w:val="18"/>
          <w:szCs w:val="18"/>
        </w:rPr>
        <w:t>时如果液面低于刻度线，不要再加水。</w:t>
      </w:r>
    </w:p>
    <w:p w14:paraId="1BEFDF94">
      <w:pPr>
        <w:spacing w:before="75" w:line="285" w:lineRule="auto"/>
        <w:ind w:right="299" w:firstLine="380"/>
        <w:rPr>
          <w:rFonts w:ascii="宋体" w:hAnsi="宋体" w:eastAsia="宋体" w:cs="宋体"/>
          <w:sz w:val="18"/>
          <w:szCs w:val="18"/>
        </w:rPr>
      </w:pPr>
      <w:r>
        <w:rPr>
          <w:rFonts w:ascii="宋体" w:hAnsi="宋体" w:eastAsia="宋体" w:cs="宋体"/>
          <w:spacing w:val="-7"/>
          <w:sz w:val="18"/>
          <w:szCs w:val="18"/>
        </w:rPr>
        <w:t>8.装瓶：将容量瓶中的液体倒入指定的试剂瓶中，</w:t>
      </w:r>
      <w:r>
        <w:rPr>
          <w:rFonts w:ascii="宋体" w:hAnsi="宋体" w:eastAsia="宋体" w:cs="宋体"/>
          <w:sz w:val="18"/>
          <w:szCs w:val="18"/>
        </w:rPr>
        <w:t xml:space="preserve"> </w:t>
      </w:r>
      <w:r>
        <w:rPr>
          <w:rFonts w:ascii="宋体" w:hAnsi="宋体" w:eastAsia="宋体" w:cs="宋体"/>
          <w:spacing w:val="-6"/>
          <w:sz w:val="18"/>
          <w:szCs w:val="18"/>
        </w:rPr>
        <w:t>并贴好标签。</w:t>
      </w:r>
    </w:p>
    <w:p w14:paraId="6E39DFA5">
      <w:pPr>
        <w:spacing w:before="161" w:line="222" w:lineRule="auto"/>
        <w:ind w:left="2"/>
        <w:rPr>
          <w:rFonts w:ascii="黑体" w:hAnsi="黑体" w:eastAsia="黑体" w:cs="黑体"/>
          <w:sz w:val="18"/>
          <w:szCs w:val="18"/>
        </w:rPr>
      </w:pPr>
      <w:r>
        <w:rPr>
          <w:rFonts w:ascii="黑体" w:hAnsi="黑体" w:eastAsia="黑体" w:cs="黑体"/>
          <w:b/>
          <w:bCs/>
          <w:spacing w:val="6"/>
          <w:sz w:val="18"/>
          <w:szCs w:val="18"/>
        </w:rPr>
        <w:t>五</w:t>
      </w:r>
      <w:r>
        <w:rPr>
          <w:rFonts w:ascii="黑体" w:hAnsi="黑体" w:eastAsia="黑体" w:cs="黑体"/>
          <w:spacing w:val="-34"/>
          <w:sz w:val="18"/>
          <w:szCs w:val="18"/>
        </w:rPr>
        <w:t xml:space="preserve"> </w:t>
      </w:r>
      <w:r>
        <w:rPr>
          <w:rFonts w:ascii="黑体" w:hAnsi="黑体" w:eastAsia="黑体" w:cs="黑体"/>
          <w:b/>
          <w:bCs/>
          <w:spacing w:val="6"/>
          <w:sz w:val="18"/>
          <w:szCs w:val="18"/>
        </w:rPr>
        <w:t>、评分标准</w:t>
      </w:r>
    </w:p>
    <w:p w14:paraId="2DC2EB90">
      <w:pPr>
        <w:spacing w:line="144" w:lineRule="exact"/>
      </w:pPr>
    </w:p>
    <w:tbl>
      <w:tblPr>
        <w:tblStyle w:val="5"/>
        <w:tblW w:w="4159" w:type="dxa"/>
        <w:tblInd w:w="1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73"/>
        <w:gridCol w:w="868"/>
        <w:gridCol w:w="279"/>
        <w:gridCol w:w="2439"/>
      </w:tblGrid>
      <w:tr w14:paraId="2658FA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5" w:hRule="atLeast"/>
        </w:trPr>
        <w:tc>
          <w:tcPr>
            <w:tcW w:w="573" w:type="dxa"/>
            <w:vAlign w:val="top"/>
          </w:tcPr>
          <w:p w14:paraId="7F82BCF9">
            <w:pPr>
              <w:pStyle w:val="6"/>
              <w:spacing w:before="51" w:line="220" w:lineRule="auto"/>
              <w:ind w:left="107" w:right="122"/>
            </w:pPr>
            <w:r>
              <w:rPr>
                <w:b/>
                <w:bCs/>
                <w:spacing w:val="-6"/>
              </w:rPr>
              <w:t>测试</w:t>
            </w:r>
            <w:r>
              <w:t xml:space="preserve"> </w:t>
            </w:r>
            <w:r>
              <w:rPr>
                <w:b/>
                <w:bCs/>
                <w:spacing w:val="-6"/>
              </w:rPr>
              <w:t>要点</w:t>
            </w:r>
          </w:p>
        </w:tc>
        <w:tc>
          <w:tcPr>
            <w:tcW w:w="868" w:type="dxa"/>
            <w:vAlign w:val="top"/>
          </w:tcPr>
          <w:p w14:paraId="0C72ACD3">
            <w:pPr>
              <w:pStyle w:val="6"/>
              <w:spacing w:before="159" w:line="219" w:lineRule="auto"/>
              <w:ind w:left="84"/>
            </w:pPr>
            <w:r>
              <w:rPr>
                <w:b/>
                <w:bCs/>
                <w:spacing w:val="-4"/>
              </w:rPr>
              <w:t>测试内容</w:t>
            </w:r>
          </w:p>
        </w:tc>
        <w:tc>
          <w:tcPr>
            <w:tcW w:w="279" w:type="dxa"/>
            <w:textDirection w:val="tbRlV"/>
            <w:vAlign w:val="top"/>
          </w:tcPr>
          <w:p w14:paraId="46256FD3">
            <w:pPr>
              <w:pStyle w:val="6"/>
              <w:spacing w:before="61" w:line="201" w:lineRule="auto"/>
              <w:ind w:left="22"/>
            </w:pPr>
            <w:r>
              <w:rPr>
                <w:b/>
                <w:bCs/>
                <w:spacing w:val="-2"/>
              </w:rPr>
              <w:t>分</w:t>
            </w:r>
            <w:r>
              <w:rPr>
                <w:spacing w:val="8"/>
              </w:rPr>
              <w:t xml:space="preserve"> </w:t>
            </w:r>
            <w:r>
              <w:rPr>
                <w:b/>
                <w:bCs/>
                <w:spacing w:val="-2"/>
              </w:rPr>
              <w:t>值</w:t>
            </w:r>
          </w:p>
        </w:tc>
        <w:tc>
          <w:tcPr>
            <w:tcW w:w="2439" w:type="dxa"/>
            <w:vAlign w:val="top"/>
          </w:tcPr>
          <w:p w14:paraId="66E2B65D">
            <w:pPr>
              <w:pStyle w:val="6"/>
              <w:spacing w:before="160" w:line="220" w:lineRule="auto"/>
              <w:ind w:left="897"/>
            </w:pPr>
            <w:r>
              <w:rPr>
                <w:b/>
                <w:bCs/>
                <w:spacing w:val="-3"/>
              </w:rPr>
              <w:t>评分标准</w:t>
            </w:r>
          </w:p>
        </w:tc>
      </w:tr>
      <w:tr w14:paraId="520E9F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9" w:hRule="atLeast"/>
        </w:trPr>
        <w:tc>
          <w:tcPr>
            <w:tcW w:w="573" w:type="dxa"/>
            <w:vMerge w:val="restart"/>
            <w:tcBorders>
              <w:bottom w:val="nil"/>
            </w:tcBorders>
            <w:vAlign w:val="top"/>
          </w:tcPr>
          <w:p w14:paraId="0FB20C56">
            <w:pPr>
              <w:spacing w:line="294" w:lineRule="auto"/>
              <w:rPr>
                <w:rFonts w:ascii="Arial"/>
                <w:sz w:val="21"/>
              </w:rPr>
            </w:pPr>
          </w:p>
          <w:p w14:paraId="70CA3EEF">
            <w:pPr>
              <w:spacing w:line="294" w:lineRule="auto"/>
              <w:rPr>
                <w:rFonts w:ascii="Arial"/>
                <w:sz w:val="21"/>
              </w:rPr>
            </w:pPr>
          </w:p>
          <w:p w14:paraId="0AA30F47">
            <w:pPr>
              <w:pStyle w:val="6"/>
              <w:spacing w:before="55" w:line="225" w:lineRule="auto"/>
              <w:ind w:left="105" w:right="125"/>
            </w:pPr>
            <w:r>
              <w:rPr>
                <w:spacing w:val="-6"/>
              </w:rPr>
              <w:t>实验</w:t>
            </w:r>
            <w:r>
              <w:t xml:space="preserve"> </w:t>
            </w:r>
            <w:r>
              <w:rPr>
                <w:spacing w:val="-4"/>
              </w:rPr>
              <w:t>准备</w:t>
            </w:r>
          </w:p>
        </w:tc>
        <w:tc>
          <w:tcPr>
            <w:tcW w:w="868" w:type="dxa"/>
            <w:vAlign w:val="top"/>
          </w:tcPr>
          <w:p w14:paraId="3D0D9B30">
            <w:pPr>
              <w:pStyle w:val="6"/>
              <w:spacing w:before="96" w:line="229" w:lineRule="auto"/>
              <w:ind w:left="12"/>
              <w:jc w:val="both"/>
            </w:pPr>
            <w:r>
              <w:rPr>
                <w:spacing w:val="-6"/>
              </w:rPr>
              <w:t>写出配制溶</w:t>
            </w:r>
            <w:r>
              <w:rPr>
                <w:spacing w:val="1"/>
              </w:rPr>
              <w:t xml:space="preserve"> </w:t>
            </w:r>
            <w:r>
              <w:rPr>
                <w:spacing w:val="-1"/>
              </w:rPr>
              <w:t>液所需用的</w:t>
            </w:r>
            <w:r>
              <w:t xml:space="preserve"> </w:t>
            </w:r>
            <w:r>
              <w:rPr>
                <w:spacing w:val="11"/>
              </w:rPr>
              <w:t>仪器名称</w:t>
            </w:r>
          </w:p>
        </w:tc>
        <w:tc>
          <w:tcPr>
            <w:tcW w:w="279" w:type="dxa"/>
            <w:vAlign w:val="top"/>
          </w:tcPr>
          <w:p w14:paraId="70C02E55">
            <w:pPr>
              <w:spacing w:line="272" w:lineRule="auto"/>
              <w:rPr>
                <w:rFonts w:ascii="Arial"/>
                <w:sz w:val="21"/>
              </w:rPr>
            </w:pPr>
          </w:p>
          <w:p w14:paraId="76BA12AF">
            <w:pPr>
              <w:pStyle w:val="6"/>
              <w:spacing w:before="56" w:line="184" w:lineRule="auto"/>
              <w:ind w:left="43"/>
            </w:pPr>
            <w:r>
              <w:rPr>
                <w:spacing w:val="-5"/>
              </w:rPr>
              <w:t>14</w:t>
            </w:r>
          </w:p>
        </w:tc>
        <w:tc>
          <w:tcPr>
            <w:tcW w:w="2439" w:type="dxa"/>
            <w:vAlign w:val="top"/>
          </w:tcPr>
          <w:p w14:paraId="4FF5FA3B">
            <w:pPr>
              <w:pStyle w:val="6"/>
              <w:spacing w:before="187" w:line="247" w:lineRule="auto"/>
              <w:ind w:left="54" w:right="94" w:hanging="10"/>
            </w:pPr>
            <w:r>
              <w:rPr>
                <w:spacing w:val="-1"/>
              </w:rPr>
              <w:t>共7种仪器，正确写出一种仪器</w:t>
            </w:r>
            <w:r>
              <w:rPr>
                <w:spacing w:val="7"/>
              </w:rPr>
              <w:t xml:space="preserve"> </w:t>
            </w:r>
            <w:r>
              <w:rPr>
                <w:spacing w:val="-1"/>
              </w:rPr>
              <w:t>名称得2分。</w:t>
            </w:r>
          </w:p>
        </w:tc>
      </w:tr>
      <w:tr w14:paraId="798536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19" w:hRule="atLeast"/>
        </w:trPr>
        <w:tc>
          <w:tcPr>
            <w:tcW w:w="573" w:type="dxa"/>
            <w:vMerge w:val="continue"/>
            <w:tcBorders>
              <w:top w:val="nil"/>
            </w:tcBorders>
            <w:vAlign w:val="top"/>
          </w:tcPr>
          <w:p w14:paraId="43DAAFF1">
            <w:pPr>
              <w:rPr>
                <w:rFonts w:ascii="Arial"/>
                <w:sz w:val="21"/>
              </w:rPr>
            </w:pPr>
          </w:p>
        </w:tc>
        <w:tc>
          <w:tcPr>
            <w:tcW w:w="868" w:type="dxa"/>
            <w:vAlign w:val="top"/>
          </w:tcPr>
          <w:p w14:paraId="1162D080">
            <w:pPr>
              <w:spacing w:line="320" w:lineRule="auto"/>
              <w:rPr>
                <w:rFonts w:ascii="Arial"/>
                <w:sz w:val="21"/>
              </w:rPr>
            </w:pPr>
          </w:p>
          <w:p w14:paraId="3D9C4169">
            <w:pPr>
              <w:pStyle w:val="6"/>
              <w:spacing w:before="56" w:line="219" w:lineRule="auto"/>
              <w:ind w:left="251"/>
            </w:pPr>
            <w:r>
              <w:rPr>
                <w:spacing w:val="-2"/>
              </w:rPr>
              <w:t>计算</w:t>
            </w:r>
          </w:p>
        </w:tc>
        <w:tc>
          <w:tcPr>
            <w:tcW w:w="279" w:type="dxa"/>
            <w:vAlign w:val="top"/>
          </w:tcPr>
          <w:p w14:paraId="69342F1E">
            <w:pPr>
              <w:spacing w:line="364" w:lineRule="auto"/>
              <w:rPr>
                <w:rFonts w:ascii="Arial"/>
                <w:sz w:val="21"/>
              </w:rPr>
            </w:pPr>
          </w:p>
          <w:p w14:paraId="06F4C576">
            <w:pPr>
              <w:pStyle w:val="6"/>
              <w:spacing w:before="55" w:line="183" w:lineRule="auto"/>
              <w:ind w:left="84"/>
            </w:pPr>
            <w:r>
              <w:t>8</w:t>
            </w:r>
          </w:p>
        </w:tc>
        <w:tc>
          <w:tcPr>
            <w:tcW w:w="2439" w:type="dxa"/>
            <w:vAlign w:val="top"/>
          </w:tcPr>
          <w:p w14:paraId="4B1BF055">
            <w:pPr>
              <w:pStyle w:val="6"/>
              <w:spacing w:before="69" w:line="228" w:lineRule="auto"/>
              <w:ind w:left="44" w:right="77"/>
            </w:pPr>
            <w:r>
              <w:rPr>
                <w:spacing w:val="-1"/>
              </w:rPr>
              <w:t>计算步骤和结果都正确得8分，</w:t>
            </w:r>
            <w:r>
              <w:rPr>
                <w:spacing w:val="12"/>
              </w:rPr>
              <w:t xml:space="preserve"> </w:t>
            </w:r>
            <w:r>
              <w:t>步骤正确但结果错误得6分，无</w:t>
            </w:r>
            <w:r>
              <w:rPr>
                <w:spacing w:val="10"/>
              </w:rPr>
              <w:t xml:space="preserve"> </w:t>
            </w:r>
            <w:r>
              <w:t xml:space="preserve">步骤但结果正确扣6分，步骤和 </w:t>
            </w:r>
            <w:r>
              <w:rPr>
                <w:spacing w:val="-1"/>
              </w:rPr>
              <w:t>结果都错得0分。</w:t>
            </w:r>
          </w:p>
        </w:tc>
      </w:tr>
      <w:tr w14:paraId="458CD4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99" w:hRule="atLeast"/>
        </w:trPr>
        <w:tc>
          <w:tcPr>
            <w:tcW w:w="573" w:type="dxa"/>
            <w:vAlign w:val="top"/>
          </w:tcPr>
          <w:p w14:paraId="50D6E02A">
            <w:pPr>
              <w:pStyle w:val="6"/>
              <w:spacing w:before="280" w:line="223" w:lineRule="auto"/>
              <w:ind w:left="105" w:right="123"/>
            </w:pPr>
            <w:r>
              <w:rPr>
                <w:spacing w:val="-6"/>
              </w:rPr>
              <w:t>实验</w:t>
            </w:r>
            <w:r>
              <w:t xml:space="preserve"> </w:t>
            </w:r>
            <w:r>
              <w:rPr>
                <w:spacing w:val="-3"/>
              </w:rPr>
              <w:t>操作</w:t>
            </w:r>
          </w:p>
        </w:tc>
        <w:tc>
          <w:tcPr>
            <w:tcW w:w="868" w:type="dxa"/>
            <w:vAlign w:val="top"/>
          </w:tcPr>
          <w:p w14:paraId="3DD25EE8">
            <w:pPr>
              <w:pStyle w:val="6"/>
              <w:spacing w:before="179" w:line="229" w:lineRule="auto"/>
              <w:ind w:left="172" w:right="183"/>
            </w:pPr>
            <w:r>
              <w:rPr>
                <w:spacing w:val="-3"/>
              </w:rPr>
              <w:t>移液管</w:t>
            </w:r>
            <w:r>
              <w:t xml:space="preserve"> </w:t>
            </w:r>
            <w:r>
              <w:rPr>
                <w:spacing w:val="36"/>
              </w:rPr>
              <w:t>选择</w:t>
            </w:r>
            <w:r>
              <w:t xml:space="preserve">  </w:t>
            </w:r>
            <w:r>
              <w:rPr>
                <w:spacing w:val="-4"/>
              </w:rPr>
              <w:t>与润洗</w:t>
            </w:r>
          </w:p>
        </w:tc>
        <w:tc>
          <w:tcPr>
            <w:tcW w:w="279" w:type="dxa"/>
            <w:vAlign w:val="top"/>
          </w:tcPr>
          <w:p w14:paraId="131A3A5A">
            <w:pPr>
              <w:spacing w:line="355" w:lineRule="auto"/>
              <w:rPr>
                <w:rFonts w:ascii="Arial"/>
                <w:sz w:val="21"/>
              </w:rPr>
            </w:pPr>
          </w:p>
          <w:p w14:paraId="123512FD">
            <w:pPr>
              <w:pStyle w:val="6"/>
              <w:spacing w:before="55" w:line="183" w:lineRule="auto"/>
              <w:ind w:left="84"/>
            </w:pPr>
            <w:r>
              <w:t>6</w:t>
            </w:r>
          </w:p>
        </w:tc>
        <w:tc>
          <w:tcPr>
            <w:tcW w:w="2439" w:type="dxa"/>
            <w:vAlign w:val="top"/>
          </w:tcPr>
          <w:p w14:paraId="2F66B5D8">
            <w:pPr>
              <w:pStyle w:val="6"/>
              <w:spacing w:before="89" w:line="217" w:lineRule="auto"/>
              <w:ind w:left="24" w:firstLine="19"/>
            </w:pPr>
            <w:r>
              <w:rPr>
                <w:spacing w:val="-1"/>
              </w:rPr>
              <w:t>选择合适的移液管，蒸馏水清洗</w:t>
            </w:r>
            <w:r>
              <w:t xml:space="preserve"> </w:t>
            </w:r>
            <w:r>
              <w:rPr>
                <w:spacing w:val="27"/>
              </w:rPr>
              <w:t>后，用适量所取液润洗2</w:t>
            </w:r>
            <w:r>
              <w:rPr>
                <w:spacing w:val="-34"/>
              </w:rPr>
              <w:t xml:space="preserve"> </w:t>
            </w:r>
            <w:r>
              <w:rPr>
                <w:spacing w:val="27"/>
              </w:rPr>
              <w:t>-</w:t>
            </w:r>
            <w:r>
              <w:rPr>
                <w:spacing w:val="-39"/>
              </w:rPr>
              <w:t xml:space="preserve"> </w:t>
            </w:r>
            <w:r>
              <w:rPr>
                <w:spacing w:val="27"/>
              </w:rPr>
              <w:t>3</w:t>
            </w:r>
            <w:r>
              <w:t xml:space="preserve"> </w:t>
            </w:r>
            <w:r>
              <w:rPr>
                <w:spacing w:val="-2"/>
              </w:rPr>
              <w:t>次，完全正确得6分，不全正确</w:t>
            </w:r>
            <w:r>
              <w:rPr>
                <w:spacing w:val="4"/>
              </w:rPr>
              <w:t xml:space="preserve">  </w:t>
            </w:r>
            <w:r>
              <w:t>酌情扣2-4分，完全错误得0分。</w:t>
            </w:r>
          </w:p>
        </w:tc>
      </w:tr>
      <w:tr w14:paraId="3AAD35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99" w:hRule="atLeast"/>
        </w:trPr>
        <w:tc>
          <w:tcPr>
            <w:tcW w:w="573" w:type="dxa"/>
            <w:vMerge w:val="restart"/>
            <w:tcBorders>
              <w:bottom w:val="nil"/>
            </w:tcBorders>
            <w:vAlign w:val="top"/>
          </w:tcPr>
          <w:p w14:paraId="0029F25D">
            <w:pPr>
              <w:spacing w:line="241" w:lineRule="auto"/>
              <w:rPr>
                <w:rFonts w:ascii="Arial"/>
                <w:sz w:val="21"/>
              </w:rPr>
            </w:pPr>
          </w:p>
          <w:p w14:paraId="274A0342">
            <w:pPr>
              <w:spacing w:line="241" w:lineRule="auto"/>
              <w:rPr>
                <w:rFonts w:ascii="Arial"/>
                <w:sz w:val="21"/>
              </w:rPr>
            </w:pPr>
          </w:p>
          <w:p w14:paraId="508E2E59">
            <w:pPr>
              <w:spacing w:line="241" w:lineRule="auto"/>
              <w:rPr>
                <w:rFonts w:ascii="Arial"/>
                <w:sz w:val="21"/>
              </w:rPr>
            </w:pPr>
          </w:p>
          <w:p w14:paraId="51EC9E91">
            <w:pPr>
              <w:spacing w:line="241" w:lineRule="auto"/>
              <w:rPr>
                <w:rFonts w:ascii="Arial"/>
                <w:sz w:val="21"/>
              </w:rPr>
            </w:pPr>
          </w:p>
          <w:p w14:paraId="5EAC90CB">
            <w:pPr>
              <w:spacing w:line="241" w:lineRule="auto"/>
              <w:rPr>
                <w:rFonts w:ascii="Arial"/>
                <w:sz w:val="21"/>
              </w:rPr>
            </w:pPr>
          </w:p>
          <w:p w14:paraId="35B5D6C6">
            <w:pPr>
              <w:spacing w:line="241" w:lineRule="auto"/>
              <w:rPr>
                <w:rFonts w:ascii="Arial"/>
                <w:sz w:val="21"/>
              </w:rPr>
            </w:pPr>
          </w:p>
          <w:p w14:paraId="4541B620">
            <w:pPr>
              <w:spacing w:line="241" w:lineRule="auto"/>
              <w:rPr>
                <w:rFonts w:ascii="Arial"/>
                <w:sz w:val="21"/>
              </w:rPr>
            </w:pPr>
          </w:p>
          <w:p w14:paraId="4412E265">
            <w:pPr>
              <w:spacing w:line="242" w:lineRule="auto"/>
              <w:rPr>
                <w:rFonts w:ascii="Arial"/>
                <w:sz w:val="21"/>
              </w:rPr>
            </w:pPr>
          </w:p>
          <w:p w14:paraId="54866B8C">
            <w:pPr>
              <w:spacing w:line="242" w:lineRule="auto"/>
              <w:rPr>
                <w:rFonts w:ascii="Arial"/>
                <w:sz w:val="21"/>
              </w:rPr>
            </w:pPr>
          </w:p>
          <w:p w14:paraId="44E634B3">
            <w:pPr>
              <w:spacing w:line="242" w:lineRule="auto"/>
              <w:rPr>
                <w:rFonts w:ascii="Arial"/>
                <w:sz w:val="21"/>
              </w:rPr>
            </w:pPr>
          </w:p>
          <w:p w14:paraId="5FC71070">
            <w:pPr>
              <w:spacing w:line="242" w:lineRule="auto"/>
              <w:rPr>
                <w:rFonts w:ascii="Arial"/>
                <w:sz w:val="21"/>
              </w:rPr>
            </w:pPr>
          </w:p>
          <w:p w14:paraId="00B2D2C4">
            <w:pPr>
              <w:spacing w:line="242" w:lineRule="auto"/>
              <w:rPr>
                <w:rFonts w:ascii="Arial"/>
                <w:sz w:val="21"/>
              </w:rPr>
            </w:pPr>
          </w:p>
          <w:p w14:paraId="1B000D14">
            <w:pPr>
              <w:pStyle w:val="6"/>
              <w:spacing w:before="55" w:line="218" w:lineRule="auto"/>
              <w:ind w:left="105" w:right="123"/>
            </w:pPr>
            <w:r>
              <w:rPr>
                <w:spacing w:val="-6"/>
              </w:rPr>
              <w:t>实验</w:t>
            </w:r>
            <w:r>
              <w:t xml:space="preserve"> </w:t>
            </w:r>
            <w:r>
              <w:rPr>
                <w:spacing w:val="-3"/>
              </w:rPr>
              <w:t>操作</w:t>
            </w:r>
          </w:p>
        </w:tc>
        <w:tc>
          <w:tcPr>
            <w:tcW w:w="868" w:type="dxa"/>
            <w:vAlign w:val="top"/>
          </w:tcPr>
          <w:p w14:paraId="114E6602">
            <w:pPr>
              <w:pStyle w:val="6"/>
              <w:spacing w:before="272" w:line="221" w:lineRule="auto"/>
              <w:ind w:left="251"/>
            </w:pPr>
            <w:r>
              <w:rPr>
                <w:spacing w:val="-2"/>
              </w:rPr>
              <w:t>量取</w:t>
            </w:r>
          </w:p>
        </w:tc>
        <w:tc>
          <w:tcPr>
            <w:tcW w:w="279" w:type="dxa"/>
            <w:vAlign w:val="top"/>
          </w:tcPr>
          <w:p w14:paraId="442A65D3">
            <w:pPr>
              <w:spacing w:line="257" w:lineRule="auto"/>
              <w:rPr>
                <w:rFonts w:ascii="Arial"/>
                <w:sz w:val="21"/>
              </w:rPr>
            </w:pPr>
          </w:p>
          <w:p w14:paraId="49BBC2F5">
            <w:pPr>
              <w:pStyle w:val="6"/>
              <w:spacing w:before="55" w:line="183" w:lineRule="auto"/>
              <w:ind w:left="84"/>
            </w:pPr>
            <w:r>
              <w:t>6</w:t>
            </w:r>
          </w:p>
        </w:tc>
        <w:tc>
          <w:tcPr>
            <w:tcW w:w="2439" w:type="dxa"/>
            <w:vAlign w:val="top"/>
          </w:tcPr>
          <w:p w14:paraId="1520A216">
            <w:pPr>
              <w:pStyle w:val="6"/>
              <w:spacing w:before="100" w:line="218" w:lineRule="auto"/>
              <w:ind w:left="54" w:right="180" w:hanging="30"/>
            </w:pPr>
            <w:r>
              <w:rPr>
                <w:spacing w:val="1"/>
              </w:rPr>
              <w:t>移液管的正确使用。完全正确</w:t>
            </w:r>
            <w:r>
              <w:t xml:space="preserve"> </w:t>
            </w:r>
            <w:r>
              <w:rPr>
                <w:spacing w:val="-1"/>
              </w:rPr>
              <w:t>得6分，不全正确酌情扣2-4</w:t>
            </w:r>
          </w:p>
          <w:p w14:paraId="2E1495AE">
            <w:pPr>
              <w:pStyle w:val="6"/>
              <w:spacing w:before="7" w:line="195" w:lineRule="auto"/>
              <w:ind w:left="55"/>
            </w:pPr>
            <w:r>
              <w:rPr>
                <w:spacing w:val="-1"/>
              </w:rPr>
              <w:t>分，完全错误得0分。</w:t>
            </w:r>
          </w:p>
        </w:tc>
      </w:tr>
      <w:tr w14:paraId="03DBC1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29" w:hRule="atLeast"/>
        </w:trPr>
        <w:tc>
          <w:tcPr>
            <w:tcW w:w="573" w:type="dxa"/>
            <w:vMerge w:val="continue"/>
            <w:tcBorders>
              <w:top w:val="nil"/>
              <w:bottom w:val="nil"/>
            </w:tcBorders>
            <w:vAlign w:val="top"/>
          </w:tcPr>
          <w:p w14:paraId="18EB995D">
            <w:pPr>
              <w:rPr>
                <w:rFonts w:ascii="Arial"/>
                <w:sz w:val="21"/>
              </w:rPr>
            </w:pPr>
          </w:p>
        </w:tc>
        <w:tc>
          <w:tcPr>
            <w:tcW w:w="868" w:type="dxa"/>
            <w:vAlign w:val="top"/>
          </w:tcPr>
          <w:p w14:paraId="5E27A3A0">
            <w:pPr>
              <w:spacing w:line="324" w:lineRule="auto"/>
              <w:rPr>
                <w:rFonts w:ascii="Arial"/>
                <w:sz w:val="21"/>
              </w:rPr>
            </w:pPr>
          </w:p>
          <w:p w14:paraId="4794F8FF">
            <w:pPr>
              <w:pStyle w:val="6"/>
              <w:spacing w:before="55" w:line="220" w:lineRule="auto"/>
              <w:ind w:left="251"/>
            </w:pPr>
            <w:r>
              <w:rPr>
                <w:spacing w:val="-3"/>
              </w:rPr>
              <w:t>溶解</w:t>
            </w:r>
          </w:p>
        </w:tc>
        <w:tc>
          <w:tcPr>
            <w:tcW w:w="279" w:type="dxa"/>
            <w:vAlign w:val="top"/>
          </w:tcPr>
          <w:p w14:paraId="4B28DB59">
            <w:pPr>
              <w:spacing w:line="367" w:lineRule="auto"/>
              <w:rPr>
                <w:rFonts w:ascii="Arial"/>
                <w:sz w:val="21"/>
              </w:rPr>
            </w:pPr>
          </w:p>
          <w:p w14:paraId="137A8D2B">
            <w:pPr>
              <w:pStyle w:val="6"/>
              <w:spacing w:before="55" w:line="183" w:lineRule="auto"/>
              <w:ind w:left="84"/>
            </w:pPr>
            <w:r>
              <w:t>6</w:t>
            </w:r>
          </w:p>
        </w:tc>
        <w:tc>
          <w:tcPr>
            <w:tcW w:w="2439" w:type="dxa"/>
            <w:vAlign w:val="top"/>
          </w:tcPr>
          <w:p w14:paraId="2885DC95">
            <w:pPr>
              <w:pStyle w:val="6"/>
              <w:spacing w:before="79" w:line="228" w:lineRule="auto"/>
              <w:ind w:left="34" w:firstLine="29"/>
            </w:pPr>
            <w:r>
              <w:rPr>
                <w:spacing w:val="-2"/>
              </w:rPr>
              <w:t>用少量蒸馏水溶解，溶解时玻璃</w:t>
            </w:r>
            <w:r>
              <w:rPr>
                <w:spacing w:val="11"/>
              </w:rPr>
              <w:t xml:space="preserve"> </w:t>
            </w:r>
            <w:r>
              <w:rPr>
                <w:spacing w:val="-1"/>
              </w:rPr>
              <w:t>棒不要碰到烧杯壁发出响声。完</w:t>
            </w:r>
            <w:r>
              <w:rPr>
                <w:spacing w:val="8"/>
              </w:rPr>
              <w:t xml:space="preserve"> </w:t>
            </w:r>
            <w:r>
              <w:rPr>
                <w:spacing w:val="-1"/>
              </w:rPr>
              <w:t>全正确得6分，不全正确酌情扣</w:t>
            </w:r>
            <w:r>
              <w:rPr>
                <w:spacing w:val="4"/>
              </w:rPr>
              <w:t xml:space="preserve">  </w:t>
            </w:r>
            <w:r>
              <w:rPr>
                <w:spacing w:val="-1"/>
              </w:rPr>
              <w:t>2-3分，完全错误得0分。</w:t>
            </w:r>
          </w:p>
        </w:tc>
      </w:tr>
      <w:tr w14:paraId="240FE4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19" w:hRule="atLeast"/>
        </w:trPr>
        <w:tc>
          <w:tcPr>
            <w:tcW w:w="573" w:type="dxa"/>
            <w:vMerge w:val="continue"/>
            <w:tcBorders>
              <w:top w:val="nil"/>
              <w:bottom w:val="nil"/>
            </w:tcBorders>
            <w:vAlign w:val="top"/>
          </w:tcPr>
          <w:p w14:paraId="616A6968">
            <w:pPr>
              <w:rPr>
                <w:rFonts w:ascii="Arial"/>
                <w:sz w:val="21"/>
              </w:rPr>
            </w:pPr>
          </w:p>
        </w:tc>
        <w:tc>
          <w:tcPr>
            <w:tcW w:w="868" w:type="dxa"/>
            <w:vAlign w:val="top"/>
          </w:tcPr>
          <w:p w14:paraId="34EABF4B">
            <w:pPr>
              <w:spacing w:line="424" w:lineRule="auto"/>
              <w:rPr>
                <w:rFonts w:ascii="Arial"/>
                <w:sz w:val="21"/>
              </w:rPr>
            </w:pPr>
          </w:p>
          <w:p w14:paraId="7DDE9F0B">
            <w:pPr>
              <w:pStyle w:val="6"/>
              <w:spacing w:before="55" w:line="220" w:lineRule="auto"/>
              <w:ind w:left="251"/>
            </w:pPr>
            <w:r>
              <w:rPr>
                <w:spacing w:val="-2"/>
              </w:rPr>
              <w:t>移液</w:t>
            </w:r>
          </w:p>
        </w:tc>
        <w:tc>
          <w:tcPr>
            <w:tcW w:w="279" w:type="dxa"/>
            <w:vAlign w:val="top"/>
          </w:tcPr>
          <w:p w14:paraId="326FB692">
            <w:pPr>
              <w:spacing w:line="466" w:lineRule="auto"/>
              <w:rPr>
                <w:rFonts w:ascii="Arial"/>
                <w:sz w:val="21"/>
              </w:rPr>
            </w:pPr>
          </w:p>
          <w:p w14:paraId="2FF6A75F">
            <w:pPr>
              <w:pStyle w:val="6"/>
              <w:spacing w:before="56" w:line="184" w:lineRule="auto"/>
              <w:ind w:left="43"/>
            </w:pPr>
            <w:r>
              <w:rPr>
                <w:spacing w:val="-5"/>
              </w:rPr>
              <w:t>10</w:t>
            </w:r>
          </w:p>
        </w:tc>
        <w:tc>
          <w:tcPr>
            <w:tcW w:w="2439" w:type="dxa"/>
            <w:vAlign w:val="top"/>
          </w:tcPr>
          <w:p w14:paraId="572F30C9">
            <w:pPr>
              <w:pStyle w:val="6"/>
              <w:spacing w:before="82" w:line="218" w:lineRule="auto"/>
              <w:ind w:left="54" w:right="11" w:hanging="10"/>
            </w:pPr>
            <w:r>
              <w:rPr>
                <w:spacing w:val="-1"/>
              </w:rPr>
              <w:t>移液时用玻璃棒引流，  且其下</w:t>
            </w:r>
            <w:r>
              <w:rPr>
                <w:spacing w:val="6"/>
              </w:rPr>
              <w:t xml:space="preserve"> </w:t>
            </w:r>
            <w:r>
              <w:rPr>
                <w:spacing w:val="-1"/>
              </w:rPr>
              <w:t>端应靠在容量瓶内壁的刻度线</w:t>
            </w:r>
          </w:p>
          <w:p w14:paraId="4570E691">
            <w:pPr>
              <w:pStyle w:val="6"/>
              <w:spacing w:before="18" w:line="219" w:lineRule="auto"/>
              <w:ind w:left="24"/>
            </w:pPr>
            <w:r>
              <w:rPr>
                <w:spacing w:val="-1"/>
              </w:rPr>
              <w:t>以下部位。完全正确得10分，</w:t>
            </w:r>
          </w:p>
          <w:p w14:paraId="30989527">
            <w:pPr>
              <w:pStyle w:val="6"/>
              <w:spacing w:before="18" w:line="210" w:lineRule="auto"/>
              <w:ind w:left="34" w:right="88" w:firstLine="20"/>
            </w:pPr>
            <w:r>
              <w:rPr>
                <w:spacing w:val="-1"/>
              </w:rPr>
              <w:t>不全正确酌情扣3-5分，溶液酒</w:t>
            </w:r>
            <w:r>
              <w:rPr>
                <w:spacing w:val="4"/>
              </w:rPr>
              <w:t xml:space="preserve"> </w:t>
            </w:r>
            <w:r>
              <w:t>泼在容量瓶外得0分。</w:t>
            </w:r>
          </w:p>
        </w:tc>
      </w:tr>
      <w:tr w14:paraId="33E678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19" w:hRule="atLeast"/>
        </w:trPr>
        <w:tc>
          <w:tcPr>
            <w:tcW w:w="573" w:type="dxa"/>
            <w:vMerge w:val="continue"/>
            <w:tcBorders>
              <w:top w:val="nil"/>
              <w:bottom w:val="nil"/>
            </w:tcBorders>
            <w:vAlign w:val="top"/>
          </w:tcPr>
          <w:p w14:paraId="26C5E3E4">
            <w:pPr>
              <w:rPr>
                <w:rFonts w:ascii="Arial"/>
                <w:sz w:val="21"/>
              </w:rPr>
            </w:pPr>
          </w:p>
        </w:tc>
        <w:tc>
          <w:tcPr>
            <w:tcW w:w="868" w:type="dxa"/>
            <w:vAlign w:val="top"/>
          </w:tcPr>
          <w:p w14:paraId="1973E32D">
            <w:pPr>
              <w:pStyle w:val="6"/>
              <w:spacing w:before="283" w:line="220" w:lineRule="auto"/>
              <w:ind w:left="251"/>
            </w:pPr>
            <w:r>
              <w:rPr>
                <w:spacing w:val="-2"/>
              </w:rPr>
              <w:t>洗涤</w:t>
            </w:r>
          </w:p>
        </w:tc>
        <w:tc>
          <w:tcPr>
            <w:tcW w:w="279" w:type="dxa"/>
            <w:vAlign w:val="top"/>
          </w:tcPr>
          <w:p w14:paraId="6D2A938E">
            <w:pPr>
              <w:spacing w:line="269" w:lineRule="auto"/>
              <w:rPr>
                <w:rFonts w:ascii="Arial"/>
                <w:sz w:val="21"/>
              </w:rPr>
            </w:pPr>
          </w:p>
          <w:p w14:paraId="113CFC6D">
            <w:pPr>
              <w:pStyle w:val="6"/>
              <w:spacing w:before="55" w:line="184" w:lineRule="auto"/>
              <w:ind w:left="43"/>
            </w:pPr>
            <w:r>
              <w:rPr>
                <w:spacing w:val="-5"/>
              </w:rPr>
              <w:t>10</w:t>
            </w:r>
          </w:p>
        </w:tc>
        <w:tc>
          <w:tcPr>
            <w:tcW w:w="2439" w:type="dxa"/>
            <w:vAlign w:val="top"/>
          </w:tcPr>
          <w:p w14:paraId="5324C913">
            <w:pPr>
              <w:pStyle w:val="6"/>
              <w:spacing w:before="92" w:line="223" w:lineRule="auto"/>
              <w:ind w:left="44" w:right="75" w:firstLine="10"/>
            </w:pPr>
            <w:r>
              <w:rPr>
                <w:spacing w:val="-1"/>
              </w:rPr>
              <w:t>洗涤操作完全正确得10分，不</w:t>
            </w:r>
            <w:r>
              <w:rPr>
                <w:spacing w:val="3"/>
              </w:rPr>
              <w:t xml:space="preserve">  </w:t>
            </w:r>
            <w:r>
              <w:t>全正确酌情扣3-5分，无此操作</w:t>
            </w:r>
            <w:r>
              <w:rPr>
                <w:spacing w:val="12"/>
              </w:rPr>
              <w:t xml:space="preserve"> </w:t>
            </w:r>
            <w:r>
              <w:rPr>
                <w:spacing w:val="-1"/>
              </w:rPr>
              <w:t>步骤得0分。</w:t>
            </w:r>
          </w:p>
        </w:tc>
      </w:tr>
      <w:tr w14:paraId="2280D0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19" w:hRule="atLeast"/>
        </w:trPr>
        <w:tc>
          <w:tcPr>
            <w:tcW w:w="573" w:type="dxa"/>
            <w:vMerge w:val="continue"/>
            <w:tcBorders>
              <w:top w:val="nil"/>
              <w:bottom w:val="nil"/>
            </w:tcBorders>
            <w:vAlign w:val="top"/>
          </w:tcPr>
          <w:p w14:paraId="3CC2FF72">
            <w:pPr>
              <w:rPr>
                <w:rFonts w:ascii="Arial"/>
                <w:sz w:val="21"/>
              </w:rPr>
            </w:pPr>
          </w:p>
        </w:tc>
        <w:tc>
          <w:tcPr>
            <w:tcW w:w="868" w:type="dxa"/>
            <w:vAlign w:val="top"/>
          </w:tcPr>
          <w:p w14:paraId="1F7B20EC">
            <w:pPr>
              <w:spacing w:line="327" w:lineRule="auto"/>
              <w:rPr>
                <w:rFonts w:ascii="Arial"/>
                <w:sz w:val="21"/>
              </w:rPr>
            </w:pPr>
          </w:p>
          <w:p w14:paraId="3C47D66B">
            <w:pPr>
              <w:pStyle w:val="6"/>
              <w:spacing w:before="55" w:line="220" w:lineRule="auto"/>
              <w:ind w:left="251"/>
            </w:pPr>
            <w:r>
              <w:rPr>
                <w:spacing w:val="-3"/>
              </w:rPr>
              <w:t>定容</w:t>
            </w:r>
          </w:p>
        </w:tc>
        <w:tc>
          <w:tcPr>
            <w:tcW w:w="279" w:type="dxa"/>
            <w:vAlign w:val="top"/>
          </w:tcPr>
          <w:p w14:paraId="66B6DB68">
            <w:pPr>
              <w:spacing w:line="369" w:lineRule="auto"/>
              <w:rPr>
                <w:rFonts w:ascii="Arial"/>
                <w:sz w:val="21"/>
              </w:rPr>
            </w:pPr>
          </w:p>
          <w:p w14:paraId="5CA2717F">
            <w:pPr>
              <w:pStyle w:val="6"/>
              <w:spacing w:before="55" w:line="184" w:lineRule="auto"/>
              <w:ind w:left="43"/>
            </w:pPr>
            <w:r>
              <w:rPr>
                <w:spacing w:val="-5"/>
              </w:rPr>
              <w:t>10</w:t>
            </w:r>
          </w:p>
        </w:tc>
        <w:tc>
          <w:tcPr>
            <w:tcW w:w="2439" w:type="dxa"/>
            <w:vAlign w:val="top"/>
          </w:tcPr>
          <w:p w14:paraId="02FCD6FD">
            <w:pPr>
              <w:pStyle w:val="6"/>
              <w:spacing w:before="113" w:line="216" w:lineRule="auto"/>
              <w:ind w:left="44" w:right="95" w:firstLine="10"/>
            </w:pPr>
            <w:r>
              <w:rPr>
                <w:spacing w:val="1"/>
              </w:rPr>
              <w:t>定容时要平视刻度线，视线与</w:t>
            </w:r>
            <w:r>
              <w:t xml:space="preserve"> </w:t>
            </w:r>
            <w:r>
              <w:rPr>
                <w:spacing w:val="-1"/>
              </w:rPr>
              <w:t>溶液凹面最低处相切。完全正</w:t>
            </w:r>
            <w:r>
              <w:rPr>
                <w:spacing w:val="1"/>
              </w:rPr>
              <w:t xml:space="preserve">  </w:t>
            </w:r>
            <w:r>
              <w:rPr>
                <w:spacing w:val="-1"/>
              </w:rPr>
              <w:t>确得10分，不全正确酌情扣3-5</w:t>
            </w:r>
            <w:r>
              <w:rPr>
                <w:spacing w:val="8"/>
              </w:rPr>
              <w:t xml:space="preserve"> </w:t>
            </w:r>
            <w:r>
              <w:rPr>
                <w:spacing w:val="1"/>
              </w:rPr>
              <w:t>分，完全错误得0分。</w:t>
            </w:r>
          </w:p>
        </w:tc>
      </w:tr>
      <w:tr w14:paraId="0EBF94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19" w:hRule="atLeast"/>
        </w:trPr>
        <w:tc>
          <w:tcPr>
            <w:tcW w:w="573" w:type="dxa"/>
            <w:vMerge w:val="continue"/>
            <w:tcBorders>
              <w:top w:val="nil"/>
              <w:bottom w:val="nil"/>
            </w:tcBorders>
            <w:vAlign w:val="top"/>
          </w:tcPr>
          <w:p w14:paraId="5C2047F6">
            <w:pPr>
              <w:rPr>
                <w:rFonts w:ascii="Arial"/>
                <w:sz w:val="21"/>
              </w:rPr>
            </w:pPr>
          </w:p>
        </w:tc>
        <w:tc>
          <w:tcPr>
            <w:tcW w:w="868" w:type="dxa"/>
            <w:vAlign w:val="top"/>
          </w:tcPr>
          <w:p w14:paraId="65D77956">
            <w:pPr>
              <w:spacing w:line="264" w:lineRule="auto"/>
              <w:rPr>
                <w:rFonts w:ascii="Arial"/>
                <w:sz w:val="21"/>
              </w:rPr>
            </w:pPr>
          </w:p>
          <w:p w14:paraId="068C2518">
            <w:pPr>
              <w:spacing w:line="265" w:lineRule="auto"/>
              <w:rPr>
                <w:rFonts w:ascii="Arial"/>
                <w:sz w:val="21"/>
              </w:rPr>
            </w:pPr>
          </w:p>
          <w:p w14:paraId="2EC6A1C1">
            <w:pPr>
              <w:pStyle w:val="6"/>
              <w:spacing w:before="55" w:line="222" w:lineRule="auto"/>
              <w:ind w:left="251"/>
            </w:pPr>
            <w:r>
              <w:rPr>
                <w:spacing w:val="8"/>
              </w:rPr>
              <w:t>摇匀</w:t>
            </w:r>
          </w:p>
        </w:tc>
        <w:tc>
          <w:tcPr>
            <w:tcW w:w="279" w:type="dxa"/>
            <w:vAlign w:val="top"/>
          </w:tcPr>
          <w:p w14:paraId="0F9D2877">
            <w:pPr>
              <w:spacing w:line="285" w:lineRule="auto"/>
              <w:rPr>
                <w:rFonts w:ascii="Arial"/>
                <w:sz w:val="21"/>
              </w:rPr>
            </w:pPr>
          </w:p>
          <w:p w14:paraId="41F57797">
            <w:pPr>
              <w:spacing w:line="285" w:lineRule="auto"/>
              <w:rPr>
                <w:rFonts w:ascii="Arial"/>
                <w:sz w:val="21"/>
              </w:rPr>
            </w:pPr>
          </w:p>
          <w:p w14:paraId="5F96CB1A">
            <w:pPr>
              <w:pStyle w:val="6"/>
              <w:spacing w:before="56" w:line="182" w:lineRule="auto"/>
              <w:ind w:left="84"/>
            </w:pPr>
            <w:r>
              <w:t>7</w:t>
            </w:r>
          </w:p>
        </w:tc>
        <w:tc>
          <w:tcPr>
            <w:tcW w:w="2439" w:type="dxa"/>
            <w:vAlign w:val="top"/>
          </w:tcPr>
          <w:p w14:paraId="6DE1989C">
            <w:pPr>
              <w:pStyle w:val="6"/>
              <w:spacing w:before="65" w:line="219" w:lineRule="auto"/>
              <w:ind w:left="24"/>
            </w:pPr>
            <w:r>
              <w:rPr>
                <w:spacing w:val="-1"/>
              </w:rPr>
              <w:t>把定容好的容量瓶瓶塞塞紧，</w:t>
            </w:r>
          </w:p>
          <w:p w14:paraId="3BD7120D">
            <w:pPr>
              <w:pStyle w:val="6"/>
              <w:spacing w:before="6" w:line="225" w:lineRule="auto"/>
              <w:ind w:left="54" w:right="79" w:hanging="20"/>
            </w:pPr>
            <w:r>
              <w:rPr>
                <w:spacing w:val="1"/>
              </w:rPr>
              <w:t>用一只手的食指顶住瓶塞，另</w:t>
            </w:r>
            <w:r>
              <w:rPr>
                <w:spacing w:val="3"/>
              </w:rPr>
              <w:t xml:space="preserve">  </w:t>
            </w:r>
            <w:r>
              <w:rPr>
                <w:spacing w:val="-1"/>
              </w:rPr>
              <w:t>一只手托住瓶底，反复颠倒摇</w:t>
            </w:r>
            <w:r>
              <w:rPr>
                <w:spacing w:val="1"/>
              </w:rPr>
              <w:t xml:space="preserve">  </w:t>
            </w:r>
            <w:r>
              <w:rPr>
                <w:spacing w:val="-1"/>
              </w:rPr>
              <w:t>匀，不能再加水。完全正确得7</w:t>
            </w:r>
            <w:r>
              <w:rPr>
                <w:spacing w:val="12"/>
              </w:rPr>
              <w:t xml:space="preserve"> </w:t>
            </w:r>
            <w:r>
              <w:rPr>
                <w:spacing w:val="-1"/>
              </w:rPr>
              <w:t>分，不全正确酌情扣2-3分，摇</w:t>
            </w:r>
            <w:r>
              <w:rPr>
                <w:spacing w:val="5"/>
              </w:rPr>
              <w:t xml:space="preserve"> </w:t>
            </w:r>
            <w:r>
              <w:rPr>
                <w:spacing w:val="2"/>
              </w:rPr>
              <w:t>匀后再加水得0分。</w:t>
            </w:r>
          </w:p>
        </w:tc>
      </w:tr>
      <w:tr w14:paraId="6B3653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atLeast"/>
        </w:trPr>
        <w:tc>
          <w:tcPr>
            <w:tcW w:w="573" w:type="dxa"/>
            <w:vMerge w:val="continue"/>
            <w:tcBorders>
              <w:top w:val="nil"/>
            </w:tcBorders>
            <w:vAlign w:val="top"/>
          </w:tcPr>
          <w:p w14:paraId="0FB83269">
            <w:pPr>
              <w:rPr>
                <w:rFonts w:ascii="Arial"/>
                <w:sz w:val="21"/>
              </w:rPr>
            </w:pPr>
          </w:p>
        </w:tc>
        <w:tc>
          <w:tcPr>
            <w:tcW w:w="868" w:type="dxa"/>
            <w:vAlign w:val="top"/>
          </w:tcPr>
          <w:p w14:paraId="12FA9A70">
            <w:pPr>
              <w:pStyle w:val="6"/>
              <w:spacing w:before="176" w:line="220" w:lineRule="auto"/>
              <w:ind w:left="251"/>
            </w:pPr>
            <w:r>
              <w:rPr>
                <w:spacing w:val="-2"/>
              </w:rPr>
              <w:t>装瓶</w:t>
            </w:r>
          </w:p>
        </w:tc>
        <w:tc>
          <w:tcPr>
            <w:tcW w:w="279" w:type="dxa"/>
            <w:vAlign w:val="top"/>
          </w:tcPr>
          <w:p w14:paraId="6C16CD19">
            <w:pPr>
              <w:pStyle w:val="6"/>
              <w:spacing w:before="219" w:line="183" w:lineRule="auto"/>
              <w:ind w:left="84"/>
            </w:pPr>
            <w:r>
              <w:t>8</w:t>
            </w:r>
          </w:p>
        </w:tc>
        <w:tc>
          <w:tcPr>
            <w:tcW w:w="2439" w:type="dxa"/>
            <w:vAlign w:val="top"/>
          </w:tcPr>
          <w:p w14:paraId="3C49FB86">
            <w:pPr>
              <w:pStyle w:val="6"/>
              <w:spacing w:before="66" w:line="229" w:lineRule="auto"/>
              <w:ind w:left="65" w:right="53"/>
            </w:pPr>
            <w:r>
              <w:rPr>
                <w:spacing w:val="1"/>
              </w:rPr>
              <w:t>完全正确得8分，有液体洒泼出</w:t>
            </w:r>
            <w:r>
              <w:t xml:space="preserve"> </w:t>
            </w:r>
            <w:r>
              <w:rPr>
                <w:spacing w:val="-1"/>
              </w:rPr>
              <w:t>来扣4分，忘贴标签扣2分。</w:t>
            </w:r>
          </w:p>
        </w:tc>
      </w:tr>
      <w:tr w14:paraId="6B2BAD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1" w:hRule="atLeast"/>
        </w:trPr>
        <w:tc>
          <w:tcPr>
            <w:tcW w:w="573" w:type="dxa"/>
            <w:tcBorders>
              <w:bottom w:val="nil"/>
            </w:tcBorders>
            <w:vAlign w:val="top"/>
          </w:tcPr>
          <w:p w14:paraId="7127A97F">
            <w:pPr>
              <w:pStyle w:val="6"/>
              <w:spacing w:before="75" w:line="169" w:lineRule="auto"/>
              <w:ind w:left="24"/>
            </w:pPr>
            <w:r>
              <w:rPr>
                <w:spacing w:val="-2"/>
              </w:rPr>
              <w:t>整理仪</w:t>
            </w:r>
          </w:p>
        </w:tc>
        <w:tc>
          <w:tcPr>
            <w:tcW w:w="868" w:type="dxa"/>
            <w:tcBorders>
              <w:bottom w:val="nil"/>
            </w:tcBorders>
            <w:vAlign w:val="top"/>
          </w:tcPr>
          <w:p w14:paraId="49D30D0D">
            <w:pPr>
              <w:spacing w:line="231" w:lineRule="exact"/>
              <w:rPr>
                <w:rFonts w:ascii="Arial"/>
                <w:sz w:val="20"/>
              </w:rPr>
            </w:pPr>
          </w:p>
        </w:tc>
        <w:tc>
          <w:tcPr>
            <w:tcW w:w="279" w:type="dxa"/>
            <w:tcBorders>
              <w:bottom w:val="nil"/>
            </w:tcBorders>
            <w:vAlign w:val="top"/>
          </w:tcPr>
          <w:p w14:paraId="74E1E8FA">
            <w:pPr>
              <w:spacing w:line="231" w:lineRule="exact"/>
              <w:rPr>
                <w:rFonts w:ascii="Arial"/>
                <w:sz w:val="20"/>
              </w:rPr>
            </w:pPr>
          </w:p>
        </w:tc>
        <w:tc>
          <w:tcPr>
            <w:tcW w:w="2439" w:type="dxa"/>
            <w:tcBorders>
              <w:bottom w:val="nil"/>
            </w:tcBorders>
            <w:vAlign w:val="top"/>
          </w:tcPr>
          <w:p w14:paraId="61234A4D">
            <w:pPr>
              <w:pStyle w:val="6"/>
              <w:spacing w:before="75" w:line="169" w:lineRule="auto"/>
              <w:ind w:left="74"/>
            </w:pPr>
            <w:r>
              <w:rPr>
                <w:spacing w:val="-1"/>
              </w:rPr>
              <w:t>整理实验器材，清洁实验台。</w:t>
            </w:r>
          </w:p>
        </w:tc>
      </w:tr>
      <w:tr w14:paraId="295591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5" w:hRule="atLeast"/>
        </w:trPr>
        <w:tc>
          <w:tcPr>
            <w:tcW w:w="573" w:type="dxa"/>
            <w:tcBorders>
              <w:top w:val="nil"/>
              <w:bottom w:val="nil"/>
            </w:tcBorders>
            <w:vAlign w:val="top"/>
          </w:tcPr>
          <w:p w14:paraId="137C9B91">
            <w:pPr>
              <w:pStyle w:val="6"/>
              <w:spacing w:before="15" w:line="195" w:lineRule="auto"/>
              <w:ind w:left="24"/>
            </w:pPr>
            <w:r>
              <w:rPr>
                <w:spacing w:val="-2"/>
              </w:rPr>
              <w:t>器和实</w:t>
            </w:r>
          </w:p>
        </w:tc>
        <w:tc>
          <w:tcPr>
            <w:tcW w:w="868" w:type="dxa"/>
            <w:tcBorders>
              <w:top w:val="nil"/>
              <w:bottom w:val="nil"/>
            </w:tcBorders>
            <w:vAlign w:val="top"/>
          </w:tcPr>
          <w:p w14:paraId="327A9709">
            <w:pPr>
              <w:pStyle w:val="6"/>
              <w:spacing w:before="15" w:line="195" w:lineRule="auto"/>
              <w:jc w:val="right"/>
            </w:pPr>
            <w:r>
              <w:rPr>
                <w:spacing w:val="-1"/>
              </w:rPr>
              <w:t>清洁实验台</w:t>
            </w:r>
          </w:p>
        </w:tc>
        <w:tc>
          <w:tcPr>
            <w:tcW w:w="279" w:type="dxa"/>
            <w:tcBorders>
              <w:top w:val="nil"/>
              <w:bottom w:val="nil"/>
            </w:tcBorders>
            <w:vAlign w:val="top"/>
          </w:tcPr>
          <w:p w14:paraId="79D46BD1">
            <w:pPr>
              <w:pStyle w:val="6"/>
              <w:spacing w:before="60" w:line="135" w:lineRule="exact"/>
              <w:ind w:left="84"/>
            </w:pPr>
            <w:r>
              <w:rPr>
                <w:position w:val="-2"/>
              </w:rPr>
              <w:t>5</w:t>
            </w:r>
          </w:p>
        </w:tc>
        <w:tc>
          <w:tcPr>
            <w:tcW w:w="2439" w:type="dxa"/>
            <w:tcBorders>
              <w:top w:val="nil"/>
              <w:bottom w:val="nil"/>
            </w:tcBorders>
            <w:vAlign w:val="top"/>
          </w:tcPr>
          <w:p w14:paraId="475796C7">
            <w:pPr>
              <w:pStyle w:val="6"/>
              <w:spacing w:before="34" w:line="174" w:lineRule="auto"/>
              <w:ind w:left="84"/>
            </w:pPr>
            <w:r>
              <w:rPr>
                <w:spacing w:val="-1"/>
              </w:rPr>
              <w:t>正确得5分；整理不干净，清洁</w:t>
            </w:r>
          </w:p>
        </w:tc>
      </w:tr>
      <w:tr w14:paraId="789AE6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4" w:hRule="atLeast"/>
        </w:trPr>
        <w:tc>
          <w:tcPr>
            <w:tcW w:w="573" w:type="dxa"/>
            <w:tcBorders>
              <w:top w:val="nil"/>
            </w:tcBorders>
            <w:vAlign w:val="top"/>
          </w:tcPr>
          <w:p w14:paraId="7F7C8151">
            <w:pPr>
              <w:pStyle w:val="6"/>
              <w:spacing w:before="21" w:line="209" w:lineRule="auto"/>
              <w:ind w:left="105"/>
            </w:pPr>
            <w:r>
              <w:rPr>
                <w:spacing w:val="9"/>
              </w:rPr>
              <w:t>验台</w:t>
            </w:r>
          </w:p>
        </w:tc>
        <w:tc>
          <w:tcPr>
            <w:tcW w:w="868" w:type="dxa"/>
            <w:tcBorders>
              <w:top w:val="nil"/>
            </w:tcBorders>
            <w:vAlign w:val="top"/>
          </w:tcPr>
          <w:p w14:paraId="302AB001">
            <w:pPr>
              <w:spacing w:line="213" w:lineRule="exact"/>
              <w:rPr>
                <w:rFonts w:ascii="Arial"/>
                <w:sz w:val="18"/>
              </w:rPr>
            </w:pPr>
          </w:p>
        </w:tc>
        <w:tc>
          <w:tcPr>
            <w:tcW w:w="279" w:type="dxa"/>
            <w:tcBorders>
              <w:top w:val="nil"/>
            </w:tcBorders>
            <w:vAlign w:val="top"/>
          </w:tcPr>
          <w:p w14:paraId="3A2FB187">
            <w:pPr>
              <w:spacing w:line="213" w:lineRule="exact"/>
              <w:rPr>
                <w:rFonts w:ascii="Arial"/>
                <w:sz w:val="18"/>
              </w:rPr>
            </w:pPr>
          </w:p>
        </w:tc>
        <w:tc>
          <w:tcPr>
            <w:tcW w:w="2439" w:type="dxa"/>
            <w:tcBorders>
              <w:top w:val="nil"/>
            </w:tcBorders>
            <w:vAlign w:val="top"/>
          </w:tcPr>
          <w:p w14:paraId="00A34B8F">
            <w:pPr>
              <w:pStyle w:val="6"/>
              <w:spacing w:before="19" w:line="211" w:lineRule="auto"/>
              <w:ind w:left="44"/>
            </w:pPr>
            <w:r>
              <w:t>不彻底者酌情扣1-2分。</w:t>
            </w:r>
          </w:p>
        </w:tc>
      </w:tr>
      <w:tr w14:paraId="40D488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59" w:hRule="atLeast"/>
        </w:trPr>
        <w:tc>
          <w:tcPr>
            <w:tcW w:w="573" w:type="dxa"/>
            <w:vAlign w:val="top"/>
          </w:tcPr>
          <w:p w14:paraId="6DDB9BC8">
            <w:pPr>
              <w:pStyle w:val="6"/>
              <w:spacing w:before="166" w:line="224" w:lineRule="auto"/>
              <w:ind w:left="105" w:right="123"/>
            </w:pPr>
            <w:r>
              <w:rPr>
                <w:spacing w:val="-3"/>
              </w:rPr>
              <w:t>操作</w:t>
            </w:r>
            <w:r>
              <w:t xml:space="preserve"> </w:t>
            </w:r>
            <w:r>
              <w:rPr>
                <w:spacing w:val="-3"/>
              </w:rPr>
              <w:t>速度</w:t>
            </w:r>
          </w:p>
        </w:tc>
        <w:tc>
          <w:tcPr>
            <w:tcW w:w="868" w:type="dxa"/>
            <w:vAlign w:val="top"/>
          </w:tcPr>
          <w:p w14:paraId="542E7D4C">
            <w:pPr>
              <w:pStyle w:val="6"/>
              <w:spacing w:before="176" w:line="224" w:lineRule="auto"/>
              <w:ind w:left="251" w:right="101" w:hanging="170"/>
            </w:pPr>
            <w:r>
              <w:rPr>
                <w:spacing w:val="-2"/>
              </w:rPr>
              <w:t>操作熟练</w:t>
            </w:r>
            <w:r>
              <w:rPr>
                <w:spacing w:val="1"/>
              </w:rPr>
              <w:t xml:space="preserve"> </w:t>
            </w:r>
            <w:r>
              <w:rPr>
                <w:spacing w:val="-2"/>
              </w:rPr>
              <w:t>程度</w:t>
            </w:r>
          </w:p>
        </w:tc>
        <w:tc>
          <w:tcPr>
            <w:tcW w:w="279" w:type="dxa"/>
            <w:vAlign w:val="top"/>
          </w:tcPr>
          <w:p w14:paraId="1A71B3FC">
            <w:pPr>
              <w:spacing w:line="242" w:lineRule="auto"/>
              <w:rPr>
                <w:rFonts w:ascii="Arial"/>
                <w:sz w:val="21"/>
              </w:rPr>
            </w:pPr>
          </w:p>
          <w:p w14:paraId="48B5467D">
            <w:pPr>
              <w:pStyle w:val="6"/>
              <w:spacing w:before="55" w:line="184" w:lineRule="auto"/>
              <w:ind w:left="34"/>
            </w:pPr>
            <w:r>
              <w:rPr>
                <w:spacing w:val="-5"/>
              </w:rPr>
              <w:t>10</w:t>
            </w:r>
          </w:p>
        </w:tc>
        <w:tc>
          <w:tcPr>
            <w:tcW w:w="2439" w:type="dxa"/>
            <w:vAlign w:val="top"/>
          </w:tcPr>
          <w:p w14:paraId="2650256B">
            <w:pPr>
              <w:pStyle w:val="6"/>
              <w:spacing w:before="77" w:line="207" w:lineRule="auto"/>
              <w:ind w:left="15" w:right="15" w:firstLine="9"/>
              <w:jc w:val="both"/>
            </w:pPr>
            <w:r>
              <w:rPr>
                <w:spacing w:val="-1"/>
              </w:rPr>
              <w:t>在20分钟内完成得10分，每延长</w:t>
            </w:r>
            <w:r>
              <w:rPr>
                <w:spacing w:val="9"/>
              </w:rPr>
              <w:t xml:space="preserve"> </w:t>
            </w:r>
            <w:r>
              <w:rPr>
                <w:spacing w:val="1"/>
              </w:rPr>
              <w:t xml:space="preserve">1分钟，扣1分，直到扣完10分为 </w:t>
            </w:r>
            <w:r>
              <w:rPr>
                <w:spacing w:val="-2"/>
              </w:rPr>
              <w:t>止。</w:t>
            </w:r>
          </w:p>
        </w:tc>
      </w:tr>
      <w:tr w14:paraId="5145DE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5" w:hRule="atLeast"/>
        </w:trPr>
        <w:tc>
          <w:tcPr>
            <w:tcW w:w="1441" w:type="dxa"/>
            <w:gridSpan w:val="2"/>
            <w:vAlign w:val="top"/>
          </w:tcPr>
          <w:p w14:paraId="267A1AA9">
            <w:pPr>
              <w:pStyle w:val="6"/>
              <w:spacing w:before="77" w:line="220" w:lineRule="auto"/>
              <w:ind w:left="544"/>
            </w:pPr>
            <w:r>
              <w:rPr>
                <w:spacing w:val="-3"/>
              </w:rPr>
              <w:t>总分</w:t>
            </w:r>
          </w:p>
        </w:tc>
        <w:tc>
          <w:tcPr>
            <w:tcW w:w="279" w:type="dxa"/>
            <w:vAlign w:val="top"/>
          </w:tcPr>
          <w:p w14:paraId="257CF449">
            <w:pPr>
              <w:pStyle w:val="6"/>
              <w:spacing w:before="119" w:line="184" w:lineRule="auto"/>
              <w:ind w:left="3"/>
            </w:pPr>
            <w:r>
              <w:rPr>
                <w:spacing w:val="-5"/>
              </w:rPr>
              <w:t>100</w:t>
            </w:r>
          </w:p>
        </w:tc>
        <w:tc>
          <w:tcPr>
            <w:tcW w:w="2439" w:type="dxa"/>
            <w:vAlign w:val="top"/>
          </w:tcPr>
          <w:p w14:paraId="03DB2151">
            <w:pPr>
              <w:rPr>
                <w:rFonts w:ascii="Arial"/>
                <w:sz w:val="21"/>
              </w:rPr>
            </w:pPr>
          </w:p>
        </w:tc>
      </w:tr>
    </w:tbl>
    <w:p w14:paraId="14B2A97F">
      <w:pPr>
        <w:pStyle w:val="2"/>
        <w:spacing w:line="80" w:lineRule="exact"/>
        <w:rPr>
          <w:sz w:val="6"/>
        </w:rPr>
      </w:pPr>
    </w:p>
    <w:p w14:paraId="28CCDB1B">
      <w:pPr>
        <w:pStyle w:val="2"/>
        <w:spacing w:line="14" w:lineRule="auto"/>
        <w:rPr>
          <w:sz w:val="2"/>
        </w:rPr>
      </w:pPr>
      <w:r>
        <w:rPr>
          <w:sz w:val="2"/>
          <w:szCs w:val="2"/>
        </w:rPr>
        <w:br w:type="column"/>
      </w:r>
    </w:p>
    <w:p w14:paraId="4138C1C8">
      <w:pPr>
        <w:spacing w:before="82" w:line="220" w:lineRule="auto"/>
        <w:ind w:left="2"/>
        <w:rPr>
          <w:rFonts w:ascii="宋体" w:hAnsi="宋体" w:eastAsia="宋体" w:cs="宋体"/>
          <w:sz w:val="18"/>
          <w:szCs w:val="18"/>
        </w:rPr>
      </w:pPr>
      <w:r>
        <w:rPr>
          <w:rFonts w:ascii="宋体" w:hAnsi="宋体" w:eastAsia="宋体" w:cs="宋体"/>
          <w:b/>
          <w:bCs/>
          <w:spacing w:val="-15"/>
          <w:sz w:val="18"/>
          <w:szCs w:val="18"/>
        </w:rPr>
        <w:t>项</w:t>
      </w:r>
      <w:r>
        <w:rPr>
          <w:rFonts w:ascii="宋体" w:hAnsi="宋体" w:eastAsia="宋体" w:cs="宋体"/>
          <w:spacing w:val="20"/>
          <w:sz w:val="18"/>
          <w:szCs w:val="18"/>
        </w:rPr>
        <w:t xml:space="preserve"> </w:t>
      </w:r>
      <w:r>
        <w:rPr>
          <w:rFonts w:ascii="宋体" w:hAnsi="宋体" w:eastAsia="宋体" w:cs="宋体"/>
          <w:b/>
          <w:bCs/>
          <w:spacing w:val="-15"/>
          <w:sz w:val="18"/>
          <w:szCs w:val="18"/>
        </w:rPr>
        <w:t>目</w:t>
      </w:r>
      <w:r>
        <w:rPr>
          <w:rFonts w:ascii="宋体" w:hAnsi="宋体" w:eastAsia="宋体" w:cs="宋体"/>
          <w:spacing w:val="-15"/>
          <w:sz w:val="18"/>
          <w:szCs w:val="18"/>
        </w:rPr>
        <w:t xml:space="preserve"> </w:t>
      </w:r>
      <w:r>
        <w:rPr>
          <w:rFonts w:ascii="宋体" w:hAnsi="宋体" w:eastAsia="宋体" w:cs="宋体"/>
          <w:b/>
          <w:bCs/>
          <w:spacing w:val="-15"/>
          <w:sz w:val="18"/>
          <w:szCs w:val="18"/>
        </w:rPr>
        <w:t>四</w:t>
      </w:r>
      <w:r>
        <w:rPr>
          <w:rFonts w:ascii="宋体" w:hAnsi="宋体" w:eastAsia="宋体" w:cs="宋体"/>
          <w:spacing w:val="-15"/>
          <w:sz w:val="18"/>
          <w:szCs w:val="18"/>
        </w:rPr>
        <w:t xml:space="preserve"> </w:t>
      </w:r>
      <w:r>
        <w:rPr>
          <w:rFonts w:ascii="宋体" w:hAnsi="宋体" w:eastAsia="宋体" w:cs="宋体"/>
          <w:b/>
          <w:bCs/>
          <w:spacing w:val="-15"/>
          <w:sz w:val="18"/>
          <w:szCs w:val="18"/>
        </w:rPr>
        <w:t>混</w:t>
      </w:r>
      <w:r>
        <w:rPr>
          <w:rFonts w:ascii="宋体" w:hAnsi="宋体" w:eastAsia="宋体" w:cs="宋体"/>
          <w:spacing w:val="-18"/>
          <w:sz w:val="18"/>
          <w:szCs w:val="18"/>
        </w:rPr>
        <w:t xml:space="preserve"> </w:t>
      </w:r>
      <w:r>
        <w:rPr>
          <w:rFonts w:ascii="宋体" w:hAnsi="宋体" w:eastAsia="宋体" w:cs="宋体"/>
          <w:b/>
          <w:bCs/>
          <w:spacing w:val="-15"/>
          <w:sz w:val="18"/>
          <w:szCs w:val="18"/>
        </w:rPr>
        <w:t>合</w:t>
      </w:r>
      <w:r>
        <w:rPr>
          <w:rFonts w:ascii="宋体" w:hAnsi="宋体" w:eastAsia="宋体" w:cs="宋体"/>
          <w:spacing w:val="-20"/>
          <w:sz w:val="18"/>
          <w:szCs w:val="18"/>
        </w:rPr>
        <w:t xml:space="preserve"> </w:t>
      </w:r>
      <w:r>
        <w:rPr>
          <w:rFonts w:ascii="宋体" w:hAnsi="宋体" w:eastAsia="宋体" w:cs="宋体"/>
          <w:b/>
          <w:bCs/>
          <w:spacing w:val="-15"/>
          <w:sz w:val="18"/>
          <w:szCs w:val="18"/>
        </w:rPr>
        <w:t>物</w:t>
      </w:r>
      <w:r>
        <w:rPr>
          <w:rFonts w:ascii="宋体" w:hAnsi="宋体" w:eastAsia="宋体" w:cs="宋体"/>
          <w:spacing w:val="-17"/>
          <w:sz w:val="18"/>
          <w:szCs w:val="18"/>
        </w:rPr>
        <w:t xml:space="preserve"> </w:t>
      </w:r>
      <w:r>
        <w:rPr>
          <w:rFonts w:ascii="宋体" w:hAnsi="宋体" w:eastAsia="宋体" w:cs="宋体"/>
          <w:b/>
          <w:bCs/>
          <w:spacing w:val="-15"/>
          <w:sz w:val="18"/>
          <w:szCs w:val="18"/>
        </w:rPr>
        <w:t>分</w:t>
      </w:r>
      <w:r>
        <w:rPr>
          <w:rFonts w:ascii="宋体" w:hAnsi="宋体" w:eastAsia="宋体" w:cs="宋体"/>
          <w:spacing w:val="-16"/>
          <w:sz w:val="18"/>
          <w:szCs w:val="18"/>
        </w:rPr>
        <w:t xml:space="preserve"> </w:t>
      </w:r>
      <w:r>
        <w:rPr>
          <w:rFonts w:ascii="宋体" w:hAnsi="宋体" w:eastAsia="宋体" w:cs="宋体"/>
          <w:b/>
          <w:bCs/>
          <w:spacing w:val="-15"/>
          <w:sz w:val="18"/>
          <w:szCs w:val="18"/>
        </w:rPr>
        <w:t>离</w:t>
      </w:r>
    </w:p>
    <w:p w14:paraId="41BA11A0">
      <w:pPr>
        <w:spacing w:before="253" w:line="221" w:lineRule="auto"/>
        <w:ind w:left="2"/>
        <w:rPr>
          <w:rFonts w:ascii="黑体" w:hAnsi="黑体" w:eastAsia="黑体" w:cs="黑体"/>
          <w:sz w:val="18"/>
          <w:szCs w:val="18"/>
        </w:rPr>
      </w:pPr>
      <w:r>
        <w:rPr>
          <w:rFonts w:ascii="黑体" w:hAnsi="黑体" w:eastAsia="黑体" w:cs="黑体"/>
          <w:b/>
          <w:bCs/>
          <w:spacing w:val="9"/>
          <w:sz w:val="18"/>
          <w:szCs w:val="18"/>
        </w:rPr>
        <w:t>一</w:t>
      </w:r>
      <w:r>
        <w:rPr>
          <w:rFonts w:ascii="黑体" w:hAnsi="黑体" w:eastAsia="黑体" w:cs="黑体"/>
          <w:spacing w:val="-8"/>
          <w:sz w:val="18"/>
          <w:szCs w:val="18"/>
        </w:rPr>
        <w:t xml:space="preserve"> </w:t>
      </w:r>
      <w:r>
        <w:rPr>
          <w:rFonts w:ascii="黑体" w:hAnsi="黑体" w:eastAsia="黑体" w:cs="黑体"/>
          <w:b/>
          <w:bCs/>
          <w:spacing w:val="9"/>
          <w:sz w:val="18"/>
          <w:szCs w:val="18"/>
        </w:rPr>
        <w:t>、测试用具或材料</w:t>
      </w:r>
    </w:p>
    <w:p w14:paraId="2CF86270">
      <w:pPr>
        <w:spacing w:before="137" w:line="291" w:lineRule="auto"/>
        <w:ind w:right="12" w:firstLine="380"/>
        <w:jc w:val="both"/>
        <w:rPr>
          <w:rFonts w:ascii="宋体" w:hAnsi="宋体" w:eastAsia="宋体" w:cs="宋体"/>
          <w:sz w:val="18"/>
          <w:szCs w:val="18"/>
        </w:rPr>
      </w:pPr>
      <w:r>
        <w:rPr>
          <w:rFonts w:ascii="宋体" w:hAnsi="宋体" w:eastAsia="宋体" w:cs="宋体"/>
          <w:spacing w:val="-7"/>
          <w:sz w:val="18"/>
          <w:szCs w:val="18"/>
        </w:rPr>
        <w:t>电子天平、称量纸、药匙、60</w:t>
      </w:r>
      <w:r>
        <w:rPr>
          <w:rFonts w:ascii="宋体" w:hAnsi="宋体" w:eastAsia="宋体" w:cs="宋体"/>
          <w:spacing w:val="-19"/>
          <w:sz w:val="18"/>
          <w:szCs w:val="18"/>
        </w:rPr>
        <w:t xml:space="preserve"> </w:t>
      </w:r>
      <w:r>
        <w:rPr>
          <w:rFonts w:ascii="Times New Roman" w:hAnsi="Times New Roman" w:eastAsia="Times New Roman" w:cs="Times New Roman"/>
          <w:spacing w:val="-7"/>
          <w:sz w:val="18"/>
          <w:szCs w:val="18"/>
        </w:rPr>
        <w:t>mm</w:t>
      </w:r>
      <w:r>
        <w:rPr>
          <w:rFonts w:ascii="宋体" w:hAnsi="宋体" w:eastAsia="宋体" w:cs="宋体"/>
          <w:spacing w:val="-7"/>
          <w:sz w:val="18"/>
          <w:szCs w:val="18"/>
        </w:rPr>
        <w:t>漏斗一个、</w:t>
      </w:r>
      <w:r>
        <w:rPr>
          <w:rFonts w:ascii="宋体" w:hAnsi="宋体" w:eastAsia="宋体" w:cs="宋体"/>
          <w:spacing w:val="-8"/>
          <w:sz w:val="18"/>
          <w:szCs w:val="18"/>
        </w:rPr>
        <w:t>铁架</w:t>
      </w:r>
      <w:r>
        <w:rPr>
          <w:rFonts w:ascii="宋体" w:hAnsi="宋体" w:eastAsia="宋体" w:cs="宋体"/>
          <w:sz w:val="18"/>
          <w:szCs w:val="18"/>
        </w:rPr>
        <w:t xml:space="preserve"> </w:t>
      </w:r>
      <w:r>
        <w:rPr>
          <w:rFonts w:ascii="宋体" w:hAnsi="宋体" w:eastAsia="宋体" w:cs="宋体"/>
          <w:spacing w:val="1"/>
          <w:sz w:val="18"/>
          <w:szCs w:val="18"/>
        </w:rPr>
        <w:t xml:space="preserve">台1个(附铁圈)、玻璃棒1根、滴管1支、250 </w:t>
      </w:r>
      <w:r>
        <w:rPr>
          <w:rFonts w:ascii="Times New Roman" w:hAnsi="Times New Roman" w:eastAsia="Times New Roman" w:cs="Times New Roman"/>
          <w:sz w:val="18"/>
          <w:szCs w:val="18"/>
        </w:rPr>
        <w:t>mL</w:t>
      </w:r>
      <w:r>
        <w:rPr>
          <w:rFonts w:ascii="宋体" w:hAnsi="宋体" w:eastAsia="宋体" w:cs="宋体"/>
          <w:spacing w:val="1"/>
          <w:sz w:val="18"/>
          <w:szCs w:val="18"/>
        </w:rPr>
        <w:t>烧杯</w:t>
      </w:r>
      <w:r>
        <w:rPr>
          <w:rFonts w:ascii="宋体" w:hAnsi="宋体" w:eastAsia="宋体" w:cs="宋体"/>
          <w:spacing w:val="16"/>
          <w:sz w:val="18"/>
          <w:szCs w:val="18"/>
        </w:rPr>
        <w:t xml:space="preserve"> </w:t>
      </w:r>
      <w:r>
        <w:rPr>
          <w:rFonts w:ascii="宋体" w:hAnsi="宋体" w:eastAsia="宋体" w:cs="宋体"/>
          <w:spacing w:val="-4"/>
          <w:sz w:val="18"/>
          <w:szCs w:val="18"/>
        </w:rPr>
        <w:t xml:space="preserve">3个、剪刀1把、定性滤纸1盒、50 </w:t>
      </w:r>
      <w:r>
        <w:rPr>
          <w:rFonts w:ascii="Times New Roman" w:hAnsi="Times New Roman" w:eastAsia="Times New Roman" w:cs="Times New Roman"/>
          <w:spacing w:val="-4"/>
          <w:sz w:val="18"/>
          <w:szCs w:val="18"/>
        </w:rPr>
        <w:t>mL</w:t>
      </w:r>
      <w:r>
        <w:rPr>
          <w:rFonts w:ascii="宋体" w:hAnsi="宋体" w:eastAsia="宋体" w:cs="宋体"/>
          <w:spacing w:val="-4"/>
          <w:sz w:val="18"/>
          <w:szCs w:val="18"/>
        </w:rPr>
        <w:t>量筒</w:t>
      </w:r>
      <w:r>
        <w:rPr>
          <w:rFonts w:ascii="宋体" w:hAnsi="宋体" w:eastAsia="宋体" w:cs="宋体"/>
          <w:spacing w:val="-5"/>
          <w:sz w:val="18"/>
          <w:szCs w:val="18"/>
        </w:rPr>
        <w:t>1支；固体混</w:t>
      </w:r>
      <w:r>
        <w:rPr>
          <w:rFonts w:ascii="宋体" w:hAnsi="宋体" w:eastAsia="宋体" w:cs="宋体"/>
          <w:sz w:val="18"/>
          <w:szCs w:val="18"/>
        </w:rPr>
        <w:t xml:space="preserve"> </w:t>
      </w:r>
      <w:r>
        <w:rPr>
          <w:rFonts w:ascii="宋体" w:hAnsi="宋体" w:eastAsia="宋体" w:cs="宋体"/>
          <w:spacing w:val="-9"/>
          <w:sz w:val="18"/>
          <w:szCs w:val="18"/>
        </w:rPr>
        <w:t>合物、蒸馏水。</w:t>
      </w:r>
    </w:p>
    <w:p w14:paraId="5BF93F7E">
      <w:pPr>
        <w:spacing w:before="163" w:line="222" w:lineRule="auto"/>
        <w:ind w:left="2"/>
        <w:rPr>
          <w:rFonts w:ascii="黑体" w:hAnsi="黑体" w:eastAsia="黑体" w:cs="黑体"/>
          <w:sz w:val="18"/>
          <w:szCs w:val="18"/>
        </w:rPr>
      </w:pPr>
      <w:r>
        <w:rPr>
          <w:rFonts w:ascii="黑体" w:hAnsi="黑体" w:eastAsia="黑体" w:cs="黑体"/>
          <w:b/>
          <w:bCs/>
          <w:spacing w:val="5"/>
          <w:sz w:val="18"/>
          <w:szCs w:val="18"/>
        </w:rPr>
        <w:t>二</w:t>
      </w:r>
      <w:r>
        <w:rPr>
          <w:rFonts w:ascii="黑体" w:hAnsi="黑体" w:eastAsia="黑体" w:cs="黑体"/>
          <w:spacing w:val="-38"/>
          <w:sz w:val="18"/>
          <w:szCs w:val="18"/>
        </w:rPr>
        <w:t xml:space="preserve"> </w:t>
      </w:r>
      <w:r>
        <w:rPr>
          <w:rFonts w:ascii="黑体" w:hAnsi="黑体" w:eastAsia="黑体" w:cs="黑体"/>
          <w:b/>
          <w:bCs/>
          <w:spacing w:val="5"/>
          <w:sz w:val="18"/>
          <w:szCs w:val="18"/>
        </w:rPr>
        <w:t>、技能要求</w:t>
      </w:r>
    </w:p>
    <w:p w14:paraId="3BF09AF4">
      <w:pPr>
        <w:spacing w:before="126" w:line="294" w:lineRule="auto"/>
        <w:ind w:left="380" w:right="1924"/>
        <w:rPr>
          <w:rFonts w:ascii="宋体" w:hAnsi="宋体" w:eastAsia="宋体" w:cs="宋体"/>
          <w:sz w:val="18"/>
          <w:szCs w:val="18"/>
        </w:rPr>
      </w:pPr>
      <w:r>
        <w:rPr>
          <w:rFonts w:ascii="宋体" w:hAnsi="宋体" w:eastAsia="宋体" w:cs="宋体"/>
          <w:spacing w:val="-9"/>
          <w:sz w:val="18"/>
          <w:szCs w:val="18"/>
        </w:rPr>
        <w:t>1.溶解实验的基本操作</w:t>
      </w:r>
      <w:r>
        <w:rPr>
          <w:rFonts w:ascii="宋体" w:hAnsi="宋体" w:eastAsia="宋体" w:cs="宋体"/>
          <w:spacing w:val="3"/>
          <w:sz w:val="18"/>
          <w:szCs w:val="18"/>
        </w:rPr>
        <w:t xml:space="preserve">   </w:t>
      </w:r>
      <w:r>
        <w:rPr>
          <w:rFonts w:ascii="宋体" w:hAnsi="宋体" w:eastAsia="宋体" w:cs="宋体"/>
          <w:spacing w:val="-8"/>
          <w:sz w:val="18"/>
          <w:szCs w:val="18"/>
        </w:rPr>
        <w:t>2.过滤实验的基本操作。</w:t>
      </w:r>
    </w:p>
    <w:p w14:paraId="15E725A3">
      <w:pPr>
        <w:spacing w:before="153" w:line="221" w:lineRule="auto"/>
        <w:ind w:left="2"/>
        <w:rPr>
          <w:rFonts w:ascii="黑体" w:hAnsi="黑体" w:eastAsia="黑体" w:cs="黑体"/>
          <w:sz w:val="18"/>
          <w:szCs w:val="18"/>
        </w:rPr>
      </w:pPr>
      <w:r>
        <w:rPr>
          <w:rFonts w:ascii="黑体" w:hAnsi="黑体" w:eastAsia="黑体" w:cs="黑体"/>
          <w:b/>
          <w:bCs/>
          <w:spacing w:val="10"/>
          <w:sz w:val="18"/>
          <w:szCs w:val="18"/>
        </w:rPr>
        <w:t>三</w:t>
      </w:r>
      <w:r>
        <w:rPr>
          <w:rFonts w:ascii="黑体" w:hAnsi="黑体" w:eastAsia="黑体" w:cs="黑体"/>
          <w:spacing w:val="-37"/>
          <w:sz w:val="18"/>
          <w:szCs w:val="18"/>
        </w:rPr>
        <w:t xml:space="preserve"> </w:t>
      </w:r>
      <w:r>
        <w:rPr>
          <w:rFonts w:ascii="黑体" w:hAnsi="黑体" w:eastAsia="黑体" w:cs="黑体"/>
          <w:b/>
          <w:bCs/>
          <w:spacing w:val="10"/>
          <w:sz w:val="18"/>
          <w:szCs w:val="18"/>
        </w:rPr>
        <w:t>、分值与测试时间</w:t>
      </w:r>
    </w:p>
    <w:p w14:paraId="74C0E223">
      <w:pPr>
        <w:spacing w:before="119" w:line="219" w:lineRule="auto"/>
        <w:ind w:left="380"/>
        <w:rPr>
          <w:rFonts w:ascii="宋体" w:hAnsi="宋体" w:eastAsia="宋体" w:cs="宋体"/>
          <w:sz w:val="18"/>
          <w:szCs w:val="18"/>
        </w:rPr>
      </w:pPr>
      <w:r>
        <w:rPr>
          <w:rFonts w:ascii="宋体" w:hAnsi="宋体" w:eastAsia="宋体" w:cs="宋体"/>
          <w:spacing w:val="1"/>
          <w:sz w:val="18"/>
          <w:szCs w:val="18"/>
        </w:rPr>
        <w:t>分值为100分；测试时间为30分钟。</w:t>
      </w:r>
    </w:p>
    <w:p w14:paraId="0DC59447">
      <w:pPr>
        <w:spacing w:before="222" w:line="221" w:lineRule="auto"/>
        <w:ind w:left="2"/>
        <w:rPr>
          <w:rFonts w:ascii="黑体" w:hAnsi="黑体" w:eastAsia="黑体" w:cs="黑体"/>
          <w:sz w:val="18"/>
          <w:szCs w:val="18"/>
        </w:rPr>
      </w:pPr>
      <w:r>
        <w:rPr>
          <w:rFonts w:ascii="黑体" w:hAnsi="黑体" w:eastAsia="黑体" w:cs="黑体"/>
          <w:b/>
          <w:bCs/>
          <w:spacing w:val="3"/>
          <w:sz w:val="18"/>
          <w:szCs w:val="18"/>
        </w:rPr>
        <w:t>四</w:t>
      </w:r>
      <w:r>
        <w:rPr>
          <w:rFonts w:ascii="黑体" w:hAnsi="黑体" w:eastAsia="黑体" w:cs="黑体"/>
          <w:spacing w:val="-30"/>
          <w:sz w:val="18"/>
          <w:szCs w:val="18"/>
        </w:rPr>
        <w:t xml:space="preserve"> </w:t>
      </w:r>
      <w:r>
        <w:rPr>
          <w:rFonts w:ascii="黑体" w:hAnsi="黑体" w:eastAsia="黑体" w:cs="黑体"/>
          <w:b/>
          <w:bCs/>
          <w:spacing w:val="3"/>
          <w:sz w:val="18"/>
          <w:szCs w:val="18"/>
        </w:rPr>
        <w:t>、操作步骤</w:t>
      </w:r>
    </w:p>
    <w:p w14:paraId="3E525CB1">
      <w:pPr>
        <w:spacing w:before="129" w:line="219" w:lineRule="auto"/>
        <w:ind w:left="380"/>
        <w:rPr>
          <w:rFonts w:ascii="宋体" w:hAnsi="宋体" w:eastAsia="宋体" w:cs="宋体"/>
          <w:sz w:val="18"/>
          <w:szCs w:val="18"/>
        </w:rPr>
      </w:pPr>
      <w:r>
        <w:rPr>
          <w:rFonts w:ascii="宋体" w:hAnsi="宋体" w:eastAsia="宋体" w:cs="宋体"/>
          <w:spacing w:val="-9"/>
          <w:sz w:val="18"/>
          <w:szCs w:val="18"/>
        </w:rPr>
        <w:t>1.清点仪器、正确取用。</w:t>
      </w:r>
    </w:p>
    <w:p w14:paraId="2B16DF50">
      <w:pPr>
        <w:spacing w:before="87" w:line="220" w:lineRule="auto"/>
        <w:ind w:left="380"/>
        <w:rPr>
          <w:rFonts w:ascii="宋体" w:hAnsi="宋体" w:eastAsia="宋体" w:cs="宋体"/>
          <w:sz w:val="18"/>
          <w:szCs w:val="18"/>
        </w:rPr>
      </w:pPr>
      <w:r>
        <w:rPr>
          <w:rFonts w:ascii="宋体" w:hAnsi="宋体" w:eastAsia="宋体" w:cs="宋体"/>
          <w:spacing w:val="-6"/>
          <w:sz w:val="18"/>
          <w:szCs w:val="18"/>
        </w:rPr>
        <w:t>2.称量：取用称量一定量的混合物固体。</w:t>
      </w:r>
    </w:p>
    <w:p w14:paraId="59D84984">
      <w:pPr>
        <w:spacing w:before="84" w:line="264" w:lineRule="auto"/>
        <w:ind w:right="28" w:firstLine="380"/>
        <w:rPr>
          <w:rFonts w:ascii="宋体" w:hAnsi="宋体" w:eastAsia="宋体" w:cs="宋体"/>
          <w:sz w:val="18"/>
          <w:szCs w:val="18"/>
        </w:rPr>
      </w:pPr>
      <w:r>
        <w:rPr>
          <w:rFonts w:ascii="宋体" w:hAnsi="宋体" w:eastAsia="宋体" w:cs="宋体"/>
          <w:spacing w:val="-8"/>
          <w:sz w:val="18"/>
          <w:szCs w:val="18"/>
        </w:rPr>
        <w:t>3.溶解：将称取的固体混合物放入烧杯中，用适量</w:t>
      </w:r>
      <w:r>
        <w:rPr>
          <w:rFonts w:ascii="宋体" w:hAnsi="宋体" w:eastAsia="宋体" w:cs="宋体"/>
          <w:spacing w:val="9"/>
          <w:sz w:val="18"/>
          <w:szCs w:val="18"/>
        </w:rPr>
        <w:t xml:space="preserve"> </w:t>
      </w:r>
      <w:r>
        <w:rPr>
          <w:rFonts w:ascii="宋体" w:hAnsi="宋体" w:eastAsia="宋体" w:cs="宋体"/>
          <w:spacing w:val="-12"/>
          <w:sz w:val="18"/>
          <w:szCs w:val="18"/>
        </w:rPr>
        <w:t>蒸馏水溶解。</w:t>
      </w:r>
    </w:p>
    <w:p w14:paraId="55B8B504">
      <w:pPr>
        <w:spacing w:before="66" w:line="275" w:lineRule="auto"/>
        <w:ind w:left="380" w:right="1394"/>
        <w:rPr>
          <w:rFonts w:ascii="宋体" w:hAnsi="宋体" w:eastAsia="宋体" w:cs="宋体"/>
          <w:sz w:val="18"/>
          <w:szCs w:val="18"/>
        </w:rPr>
      </w:pPr>
      <w:r>
        <w:rPr>
          <w:rFonts w:ascii="宋体" w:hAnsi="宋体" w:eastAsia="宋体" w:cs="宋体"/>
          <w:spacing w:val="-7"/>
          <w:sz w:val="18"/>
          <w:szCs w:val="18"/>
        </w:rPr>
        <w:t>4.过滤：将烧杯中混合液过滤。</w:t>
      </w:r>
      <w:r>
        <w:rPr>
          <w:rFonts w:ascii="宋体" w:hAnsi="宋体" w:eastAsia="宋体" w:cs="宋体"/>
          <w:spacing w:val="4"/>
          <w:sz w:val="18"/>
          <w:szCs w:val="18"/>
        </w:rPr>
        <w:t xml:space="preserve"> </w:t>
      </w:r>
      <w:r>
        <w:rPr>
          <w:rFonts w:ascii="宋体" w:hAnsi="宋体" w:eastAsia="宋体" w:cs="宋体"/>
          <w:spacing w:val="-6"/>
          <w:sz w:val="18"/>
          <w:szCs w:val="18"/>
        </w:rPr>
        <w:t>5.清洗整理</w:t>
      </w:r>
    </w:p>
    <w:p w14:paraId="3567E974">
      <w:pPr>
        <w:spacing w:before="180" w:line="222" w:lineRule="auto"/>
        <w:ind w:left="2"/>
        <w:rPr>
          <w:rFonts w:ascii="黑体" w:hAnsi="黑体" w:eastAsia="黑体" w:cs="黑体"/>
          <w:sz w:val="18"/>
          <w:szCs w:val="18"/>
        </w:rPr>
      </w:pPr>
      <w:r>
        <w:rPr>
          <w:rFonts w:ascii="黑体" w:hAnsi="黑体" w:eastAsia="黑体" w:cs="黑体"/>
          <w:b/>
          <w:bCs/>
          <w:spacing w:val="5"/>
          <w:sz w:val="18"/>
          <w:szCs w:val="18"/>
        </w:rPr>
        <w:t>五</w:t>
      </w:r>
      <w:r>
        <w:rPr>
          <w:rFonts w:ascii="黑体" w:hAnsi="黑体" w:eastAsia="黑体" w:cs="黑体"/>
          <w:spacing w:val="-38"/>
          <w:sz w:val="18"/>
          <w:szCs w:val="18"/>
        </w:rPr>
        <w:t xml:space="preserve"> </w:t>
      </w:r>
      <w:r>
        <w:rPr>
          <w:rFonts w:ascii="黑体" w:hAnsi="黑体" w:eastAsia="黑体" w:cs="黑体"/>
          <w:b/>
          <w:bCs/>
          <w:spacing w:val="5"/>
          <w:sz w:val="18"/>
          <w:szCs w:val="18"/>
        </w:rPr>
        <w:t>、评分标准</w:t>
      </w:r>
    </w:p>
    <w:p w14:paraId="3CFA616D">
      <w:pPr>
        <w:spacing w:line="125" w:lineRule="exact"/>
      </w:pPr>
    </w:p>
    <w:tbl>
      <w:tblPr>
        <w:tblStyle w:val="5"/>
        <w:tblW w:w="4180" w:type="dxa"/>
        <w:tblInd w:w="1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94"/>
        <w:gridCol w:w="878"/>
        <w:gridCol w:w="269"/>
        <w:gridCol w:w="2439"/>
      </w:tblGrid>
      <w:tr w14:paraId="4C1552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9" w:hRule="atLeast"/>
        </w:trPr>
        <w:tc>
          <w:tcPr>
            <w:tcW w:w="594" w:type="dxa"/>
            <w:tcBorders>
              <w:top w:val="single" w:color="000000" w:sz="2" w:space="0"/>
              <w:bottom w:val="single" w:color="000000" w:sz="2" w:space="0"/>
            </w:tcBorders>
            <w:vAlign w:val="top"/>
          </w:tcPr>
          <w:p w14:paraId="0B078FBC">
            <w:pPr>
              <w:pStyle w:val="6"/>
              <w:spacing w:before="66" w:line="231" w:lineRule="auto"/>
              <w:ind w:left="117" w:right="133"/>
            </w:pPr>
            <w:r>
              <w:rPr>
                <w:b/>
                <w:bCs/>
                <w:spacing w:val="-6"/>
              </w:rPr>
              <w:t>测试</w:t>
            </w:r>
            <w:r>
              <w:t xml:space="preserve"> </w:t>
            </w:r>
            <w:r>
              <w:rPr>
                <w:b/>
                <w:bCs/>
                <w:spacing w:val="-6"/>
              </w:rPr>
              <w:t>要点</w:t>
            </w:r>
          </w:p>
        </w:tc>
        <w:tc>
          <w:tcPr>
            <w:tcW w:w="878" w:type="dxa"/>
            <w:tcBorders>
              <w:top w:val="single" w:color="000000" w:sz="2" w:space="0"/>
              <w:bottom w:val="single" w:color="000000" w:sz="2" w:space="0"/>
            </w:tcBorders>
            <w:vAlign w:val="top"/>
          </w:tcPr>
          <w:p w14:paraId="2B4F8C24">
            <w:pPr>
              <w:pStyle w:val="6"/>
              <w:spacing w:before="184" w:line="219" w:lineRule="auto"/>
              <w:ind w:left="93"/>
            </w:pPr>
            <w:r>
              <w:rPr>
                <w:b/>
                <w:bCs/>
                <w:spacing w:val="-4"/>
              </w:rPr>
              <w:t>测试内容</w:t>
            </w:r>
          </w:p>
        </w:tc>
        <w:tc>
          <w:tcPr>
            <w:tcW w:w="269" w:type="dxa"/>
            <w:tcBorders>
              <w:top w:val="single" w:color="000000" w:sz="2" w:space="0"/>
              <w:bottom w:val="single" w:color="000000" w:sz="2" w:space="0"/>
            </w:tcBorders>
            <w:textDirection w:val="tbRlV"/>
            <w:vAlign w:val="top"/>
          </w:tcPr>
          <w:p w14:paraId="1272BD89">
            <w:pPr>
              <w:pStyle w:val="6"/>
              <w:spacing w:before="52" w:line="201" w:lineRule="auto"/>
              <w:ind w:left="37"/>
            </w:pPr>
            <w:r>
              <w:rPr>
                <w:b/>
                <w:bCs/>
                <w:spacing w:val="-2"/>
              </w:rPr>
              <w:t>分</w:t>
            </w:r>
            <w:r>
              <w:rPr>
                <w:spacing w:val="8"/>
              </w:rPr>
              <w:t xml:space="preserve"> </w:t>
            </w:r>
            <w:r>
              <w:rPr>
                <w:b/>
                <w:bCs/>
                <w:spacing w:val="-2"/>
              </w:rPr>
              <w:t>值</w:t>
            </w:r>
          </w:p>
        </w:tc>
        <w:tc>
          <w:tcPr>
            <w:tcW w:w="2439" w:type="dxa"/>
            <w:tcBorders>
              <w:top w:val="single" w:color="000000" w:sz="2" w:space="0"/>
              <w:bottom w:val="single" w:color="000000" w:sz="2" w:space="0"/>
            </w:tcBorders>
            <w:vAlign w:val="top"/>
          </w:tcPr>
          <w:p w14:paraId="32E50557">
            <w:pPr>
              <w:pStyle w:val="6"/>
              <w:spacing w:before="185" w:line="220" w:lineRule="auto"/>
              <w:ind w:left="876"/>
            </w:pPr>
            <w:r>
              <w:rPr>
                <w:b/>
                <w:bCs/>
                <w:spacing w:val="-3"/>
              </w:rPr>
              <w:t>评分标准</w:t>
            </w:r>
          </w:p>
        </w:tc>
      </w:tr>
      <w:tr w14:paraId="62D9A3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74" w:hRule="atLeast"/>
        </w:trPr>
        <w:tc>
          <w:tcPr>
            <w:tcW w:w="594" w:type="dxa"/>
            <w:tcBorders>
              <w:top w:val="single" w:color="000000" w:sz="2" w:space="0"/>
              <w:bottom w:val="single" w:color="000000" w:sz="2" w:space="0"/>
            </w:tcBorders>
            <w:vAlign w:val="top"/>
          </w:tcPr>
          <w:p w14:paraId="53D0EE89">
            <w:pPr>
              <w:pStyle w:val="6"/>
              <w:spacing w:before="152" w:line="225" w:lineRule="auto"/>
              <w:ind w:left="115" w:right="136"/>
            </w:pPr>
            <w:r>
              <w:rPr>
                <w:spacing w:val="-6"/>
              </w:rPr>
              <w:t>实验</w:t>
            </w:r>
            <w:r>
              <w:t xml:space="preserve"> </w:t>
            </w:r>
            <w:r>
              <w:rPr>
                <w:spacing w:val="-4"/>
              </w:rPr>
              <w:t>准备</w:t>
            </w:r>
          </w:p>
        </w:tc>
        <w:tc>
          <w:tcPr>
            <w:tcW w:w="878" w:type="dxa"/>
            <w:tcBorders>
              <w:top w:val="single" w:color="000000" w:sz="2" w:space="0"/>
              <w:bottom w:val="single" w:color="000000" w:sz="2" w:space="0"/>
            </w:tcBorders>
            <w:vAlign w:val="top"/>
          </w:tcPr>
          <w:p w14:paraId="1C1F6F66">
            <w:pPr>
              <w:pStyle w:val="6"/>
              <w:spacing w:before="64" w:line="217" w:lineRule="auto"/>
              <w:ind w:left="91" w:right="103"/>
              <w:jc w:val="both"/>
            </w:pPr>
            <w:r>
              <w:rPr>
                <w:spacing w:val="-3"/>
              </w:rPr>
              <w:t>写出实验</w:t>
            </w:r>
            <w:r>
              <w:t xml:space="preserve"> </w:t>
            </w:r>
            <w:r>
              <w:rPr>
                <w:spacing w:val="-2"/>
              </w:rPr>
              <w:t>所需用的</w:t>
            </w:r>
            <w:r>
              <w:t xml:space="preserve"> </w:t>
            </w:r>
            <w:r>
              <w:rPr>
                <w:spacing w:val="-2"/>
              </w:rPr>
              <w:t>仪器名称</w:t>
            </w:r>
          </w:p>
        </w:tc>
        <w:tc>
          <w:tcPr>
            <w:tcW w:w="269" w:type="dxa"/>
            <w:tcBorders>
              <w:top w:val="single" w:color="000000" w:sz="2" w:space="0"/>
              <w:bottom w:val="single" w:color="000000" w:sz="2" w:space="0"/>
            </w:tcBorders>
            <w:vAlign w:val="top"/>
          </w:tcPr>
          <w:p w14:paraId="3D97F3BE">
            <w:pPr>
              <w:pStyle w:val="6"/>
              <w:spacing w:before="296" w:line="183" w:lineRule="auto"/>
              <w:ind w:left="43"/>
            </w:pPr>
            <w:r>
              <w:rPr>
                <w:spacing w:val="-3"/>
              </w:rPr>
              <w:t>22</w:t>
            </w:r>
          </w:p>
        </w:tc>
        <w:tc>
          <w:tcPr>
            <w:tcW w:w="2439" w:type="dxa"/>
            <w:tcBorders>
              <w:top w:val="single" w:color="000000" w:sz="2" w:space="0"/>
              <w:bottom w:val="single" w:color="000000" w:sz="2" w:space="0"/>
            </w:tcBorders>
            <w:vAlign w:val="top"/>
          </w:tcPr>
          <w:p w14:paraId="3AD8D7F5">
            <w:pPr>
              <w:pStyle w:val="6"/>
              <w:spacing w:before="152" w:line="229" w:lineRule="auto"/>
              <w:ind w:left="43" w:right="30" w:hanging="20"/>
            </w:pPr>
            <w:r>
              <w:rPr>
                <w:spacing w:val="-1"/>
              </w:rPr>
              <w:t>共11种仪器，正确写出一种仪器</w:t>
            </w:r>
            <w:r>
              <w:rPr>
                <w:spacing w:val="8"/>
              </w:rPr>
              <w:t xml:space="preserve"> </w:t>
            </w:r>
            <w:r>
              <w:rPr>
                <w:spacing w:val="-1"/>
              </w:rPr>
              <w:t>名称得2分。</w:t>
            </w:r>
          </w:p>
        </w:tc>
      </w:tr>
      <w:tr w14:paraId="2948F0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24" w:hRule="atLeast"/>
        </w:trPr>
        <w:tc>
          <w:tcPr>
            <w:tcW w:w="594" w:type="dxa"/>
            <w:vMerge w:val="restart"/>
            <w:tcBorders>
              <w:top w:val="single" w:color="000000" w:sz="2" w:space="0"/>
              <w:bottom w:val="nil"/>
            </w:tcBorders>
            <w:vAlign w:val="top"/>
          </w:tcPr>
          <w:p w14:paraId="2945D0AE">
            <w:pPr>
              <w:spacing w:line="264" w:lineRule="auto"/>
              <w:rPr>
                <w:rFonts w:ascii="Arial"/>
                <w:sz w:val="21"/>
              </w:rPr>
            </w:pPr>
          </w:p>
          <w:p w14:paraId="4917DC6A">
            <w:pPr>
              <w:spacing w:line="264" w:lineRule="auto"/>
              <w:rPr>
                <w:rFonts w:ascii="Arial"/>
                <w:sz w:val="21"/>
              </w:rPr>
            </w:pPr>
          </w:p>
          <w:p w14:paraId="260CF70D">
            <w:pPr>
              <w:spacing w:line="264" w:lineRule="auto"/>
              <w:rPr>
                <w:rFonts w:ascii="Arial"/>
                <w:sz w:val="21"/>
              </w:rPr>
            </w:pPr>
          </w:p>
          <w:p w14:paraId="038C03D7">
            <w:pPr>
              <w:spacing w:line="264" w:lineRule="auto"/>
              <w:rPr>
                <w:rFonts w:ascii="Arial"/>
                <w:sz w:val="21"/>
              </w:rPr>
            </w:pPr>
          </w:p>
          <w:p w14:paraId="2CCD0C80">
            <w:pPr>
              <w:spacing w:line="265" w:lineRule="auto"/>
              <w:rPr>
                <w:rFonts w:ascii="Arial"/>
                <w:sz w:val="21"/>
              </w:rPr>
            </w:pPr>
          </w:p>
          <w:p w14:paraId="46E537ED">
            <w:pPr>
              <w:spacing w:line="265" w:lineRule="auto"/>
              <w:rPr>
                <w:rFonts w:ascii="Arial"/>
                <w:sz w:val="21"/>
              </w:rPr>
            </w:pPr>
          </w:p>
          <w:p w14:paraId="3CFA33C4">
            <w:pPr>
              <w:spacing w:line="265" w:lineRule="auto"/>
              <w:rPr>
                <w:rFonts w:ascii="Arial"/>
                <w:sz w:val="21"/>
              </w:rPr>
            </w:pPr>
          </w:p>
          <w:p w14:paraId="476AEF26">
            <w:pPr>
              <w:spacing w:line="265" w:lineRule="auto"/>
              <w:rPr>
                <w:rFonts w:ascii="Arial"/>
                <w:sz w:val="21"/>
              </w:rPr>
            </w:pPr>
          </w:p>
          <w:p w14:paraId="33289E8C">
            <w:pPr>
              <w:pStyle w:val="6"/>
              <w:spacing w:before="55" w:line="212" w:lineRule="auto"/>
              <w:ind w:left="115" w:right="134"/>
            </w:pPr>
            <w:r>
              <w:rPr>
                <w:spacing w:val="-6"/>
              </w:rPr>
              <w:t>实验</w:t>
            </w:r>
            <w:r>
              <w:t xml:space="preserve"> </w:t>
            </w:r>
            <w:r>
              <w:rPr>
                <w:spacing w:val="-3"/>
              </w:rPr>
              <w:t>操作</w:t>
            </w:r>
          </w:p>
        </w:tc>
        <w:tc>
          <w:tcPr>
            <w:tcW w:w="878" w:type="dxa"/>
            <w:tcBorders>
              <w:top w:val="single" w:color="000000" w:sz="2" w:space="0"/>
              <w:bottom w:val="single" w:color="000000" w:sz="2" w:space="0"/>
            </w:tcBorders>
            <w:vAlign w:val="top"/>
          </w:tcPr>
          <w:p w14:paraId="43719938">
            <w:pPr>
              <w:spacing w:line="328" w:lineRule="auto"/>
              <w:rPr>
                <w:rFonts w:ascii="Arial"/>
                <w:sz w:val="21"/>
              </w:rPr>
            </w:pPr>
          </w:p>
          <w:p w14:paraId="6E47B653">
            <w:pPr>
              <w:pStyle w:val="6"/>
              <w:spacing w:before="55" w:line="221" w:lineRule="auto"/>
              <w:ind w:left="261"/>
            </w:pPr>
            <w:r>
              <w:rPr>
                <w:spacing w:val="-2"/>
              </w:rPr>
              <w:t>称量</w:t>
            </w:r>
          </w:p>
        </w:tc>
        <w:tc>
          <w:tcPr>
            <w:tcW w:w="269" w:type="dxa"/>
            <w:tcBorders>
              <w:top w:val="single" w:color="000000" w:sz="2" w:space="0"/>
              <w:bottom w:val="single" w:color="000000" w:sz="2" w:space="0"/>
            </w:tcBorders>
            <w:vAlign w:val="top"/>
          </w:tcPr>
          <w:p w14:paraId="2DC72302">
            <w:pPr>
              <w:spacing w:line="369" w:lineRule="auto"/>
              <w:rPr>
                <w:rFonts w:ascii="Arial"/>
                <w:sz w:val="21"/>
              </w:rPr>
            </w:pPr>
          </w:p>
          <w:p w14:paraId="02EDDFC7">
            <w:pPr>
              <w:pStyle w:val="6"/>
              <w:spacing w:before="56" w:line="183" w:lineRule="auto"/>
              <w:ind w:left="82"/>
            </w:pPr>
            <w:r>
              <w:t>8</w:t>
            </w:r>
          </w:p>
        </w:tc>
        <w:tc>
          <w:tcPr>
            <w:tcW w:w="2439" w:type="dxa"/>
            <w:tcBorders>
              <w:top w:val="single" w:color="000000" w:sz="2" w:space="0"/>
              <w:bottom w:val="single" w:color="000000" w:sz="2" w:space="0"/>
            </w:tcBorders>
            <w:vAlign w:val="top"/>
          </w:tcPr>
          <w:p w14:paraId="1457D46A">
            <w:pPr>
              <w:pStyle w:val="6"/>
              <w:spacing w:before="84" w:line="223" w:lineRule="auto"/>
              <w:ind w:left="34" w:right="70" w:firstLine="110"/>
              <w:jc w:val="both"/>
            </w:pPr>
            <w:r>
              <w:t>在电子天平上放一张称量纸，</w:t>
            </w:r>
            <w:r>
              <w:rPr>
                <w:spacing w:val="3"/>
              </w:rPr>
              <w:t xml:space="preserve"> </w:t>
            </w:r>
            <w:r>
              <w:rPr>
                <w:spacing w:val="4"/>
              </w:rPr>
              <w:t>准确称取所需混合物。完全正</w:t>
            </w:r>
            <w:r>
              <w:rPr>
                <w:spacing w:val="9"/>
              </w:rPr>
              <w:t xml:space="preserve"> </w:t>
            </w:r>
            <w:r>
              <w:rPr>
                <w:spacing w:val="4"/>
              </w:rPr>
              <w:t>确得8分，不全正确酌情扣4-6</w:t>
            </w:r>
            <w:r>
              <w:rPr>
                <w:spacing w:val="2"/>
              </w:rPr>
              <w:t xml:space="preserve"> </w:t>
            </w:r>
            <w:r>
              <w:rPr>
                <w:spacing w:val="-1"/>
              </w:rPr>
              <w:t>分，完全错误得0分。</w:t>
            </w:r>
          </w:p>
        </w:tc>
      </w:tr>
      <w:tr w14:paraId="6F2964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24" w:hRule="atLeast"/>
        </w:trPr>
        <w:tc>
          <w:tcPr>
            <w:tcW w:w="594" w:type="dxa"/>
            <w:vMerge w:val="continue"/>
            <w:tcBorders>
              <w:top w:val="nil"/>
              <w:bottom w:val="nil"/>
            </w:tcBorders>
            <w:vAlign w:val="top"/>
          </w:tcPr>
          <w:p w14:paraId="6DC1040D">
            <w:pPr>
              <w:rPr>
                <w:rFonts w:ascii="Arial"/>
                <w:sz w:val="21"/>
              </w:rPr>
            </w:pPr>
          </w:p>
        </w:tc>
        <w:tc>
          <w:tcPr>
            <w:tcW w:w="878" w:type="dxa"/>
            <w:tcBorders>
              <w:top w:val="single" w:color="000000" w:sz="2" w:space="0"/>
              <w:bottom w:val="single" w:color="000000" w:sz="2" w:space="0"/>
            </w:tcBorders>
            <w:vAlign w:val="top"/>
          </w:tcPr>
          <w:p w14:paraId="1F274A78">
            <w:pPr>
              <w:spacing w:line="327" w:lineRule="auto"/>
              <w:rPr>
                <w:rFonts w:ascii="Arial"/>
                <w:sz w:val="21"/>
              </w:rPr>
            </w:pPr>
          </w:p>
          <w:p w14:paraId="7F5A1AA5">
            <w:pPr>
              <w:pStyle w:val="6"/>
              <w:spacing w:before="56" w:line="220" w:lineRule="auto"/>
              <w:ind w:left="261"/>
            </w:pPr>
            <w:r>
              <w:rPr>
                <w:spacing w:val="-3"/>
              </w:rPr>
              <w:t>溶解</w:t>
            </w:r>
          </w:p>
        </w:tc>
        <w:tc>
          <w:tcPr>
            <w:tcW w:w="269" w:type="dxa"/>
            <w:tcBorders>
              <w:top w:val="single" w:color="000000" w:sz="2" w:space="0"/>
              <w:bottom w:val="single" w:color="000000" w:sz="2" w:space="0"/>
            </w:tcBorders>
            <w:vAlign w:val="top"/>
          </w:tcPr>
          <w:p w14:paraId="34E7F408">
            <w:pPr>
              <w:spacing w:line="369" w:lineRule="auto"/>
              <w:rPr>
                <w:rFonts w:ascii="Arial"/>
                <w:sz w:val="21"/>
              </w:rPr>
            </w:pPr>
          </w:p>
          <w:p w14:paraId="071001D4">
            <w:pPr>
              <w:pStyle w:val="6"/>
              <w:spacing w:before="56" w:line="184" w:lineRule="auto"/>
              <w:ind w:left="43"/>
            </w:pPr>
            <w:r>
              <w:rPr>
                <w:spacing w:val="-5"/>
              </w:rPr>
              <w:t>10</w:t>
            </w:r>
          </w:p>
        </w:tc>
        <w:tc>
          <w:tcPr>
            <w:tcW w:w="2439" w:type="dxa"/>
            <w:tcBorders>
              <w:top w:val="single" w:color="000000" w:sz="2" w:space="0"/>
              <w:bottom w:val="single" w:color="000000" w:sz="2" w:space="0"/>
            </w:tcBorders>
            <w:vAlign w:val="top"/>
          </w:tcPr>
          <w:p w14:paraId="716B31C3">
            <w:pPr>
              <w:pStyle w:val="6"/>
              <w:spacing w:before="85" w:line="225" w:lineRule="auto"/>
              <w:ind w:left="14" w:right="10" w:firstLine="9"/>
              <w:jc w:val="both"/>
            </w:pPr>
            <w:r>
              <w:rPr>
                <w:spacing w:val="-1"/>
              </w:rPr>
              <w:t>用适量蒸馏水溶解，溶解时玻璃</w:t>
            </w:r>
            <w:r>
              <w:rPr>
                <w:spacing w:val="5"/>
              </w:rPr>
              <w:t xml:space="preserve"> </w:t>
            </w:r>
            <w:r>
              <w:t>棒不要碰到烧杯壁发出响声。完</w:t>
            </w:r>
            <w:r>
              <w:rPr>
                <w:spacing w:val="2"/>
              </w:rPr>
              <w:t xml:space="preserve"> </w:t>
            </w:r>
            <w:r>
              <w:rPr>
                <w:spacing w:val="1"/>
              </w:rPr>
              <w:t>全正确得10分，不全正确酌情扣</w:t>
            </w:r>
            <w:r>
              <w:rPr>
                <w:spacing w:val="8"/>
              </w:rPr>
              <w:t xml:space="preserve"> </w:t>
            </w:r>
            <w:r>
              <w:rPr>
                <w:spacing w:val="-1"/>
              </w:rPr>
              <w:t>4-6分，完全错误得0分。</w:t>
            </w:r>
          </w:p>
        </w:tc>
      </w:tr>
      <w:tr w14:paraId="5260BC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24" w:hRule="atLeast"/>
        </w:trPr>
        <w:tc>
          <w:tcPr>
            <w:tcW w:w="594" w:type="dxa"/>
            <w:vMerge w:val="continue"/>
            <w:tcBorders>
              <w:top w:val="nil"/>
              <w:bottom w:val="nil"/>
            </w:tcBorders>
            <w:vAlign w:val="top"/>
          </w:tcPr>
          <w:p w14:paraId="60ECCE83">
            <w:pPr>
              <w:rPr>
                <w:rFonts w:ascii="Arial"/>
                <w:sz w:val="21"/>
              </w:rPr>
            </w:pPr>
          </w:p>
        </w:tc>
        <w:tc>
          <w:tcPr>
            <w:tcW w:w="878" w:type="dxa"/>
            <w:tcBorders>
              <w:top w:val="single" w:color="000000" w:sz="2" w:space="0"/>
              <w:bottom w:val="single" w:color="000000" w:sz="2" w:space="0"/>
            </w:tcBorders>
            <w:vAlign w:val="top"/>
          </w:tcPr>
          <w:p w14:paraId="50AB2728">
            <w:pPr>
              <w:spacing w:line="410" w:lineRule="auto"/>
              <w:rPr>
                <w:rFonts w:ascii="Arial"/>
                <w:sz w:val="21"/>
              </w:rPr>
            </w:pPr>
          </w:p>
          <w:p w14:paraId="5BBFEEB1">
            <w:pPr>
              <w:pStyle w:val="6"/>
              <w:spacing w:before="55" w:line="229" w:lineRule="auto"/>
              <w:ind w:left="261" w:right="83" w:hanging="170"/>
            </w:pPr>
            <w:r>
              <w:rPr>
                <w:spacing w:val="3"/>
              </w:rPr>
              <w:t>过滤器的</w:t>
            </w:r>
            <w:r>
              <w:t xml:space="preserve"> </w:t>
            </w:r>
            <w:r>
              <w:rPr>
                <w:spacing w:val="-2"/>
              </w:rPr>
              <w:t>准备</w:t>
            </w:r>
          </w:p>
        </w:tc>
        <w:tc>
          <w:tcPr>
            <w:tcW w:w="269" w:type="dxa"/>
            <w:tcBorders>
              <w:top w:val="single" w:color="000000" w:sz="2" w:space="0"/>
              <w:bottom w:val="single" w:color="000000" w:sz="2" w:space="0"/>
            </w:tcBorders>
            <w:vAlign w:val="top"/>
          </w:tcPr>
          <w:p w14:paraId="7294E3BD">
            <w:pPr>
              <w:spacing w:line="284" w:lineRule="auto"/>
              <w:rPr>
                <w:rFonts w:ascii="Arial"/>
                <w:sz w:val="21"/>
              </w:rPr>
            </w:pPr>
          </w:p>
          <w:p w14:paraId="56EA7793">
            <w:pPr>
              <w:spacing w:line="285" w:lineRule="auto"/>
              <w:rPr>
                <w:rFonts w:ascii="Arial"/>
                <w:sz w:val="21"/>
              </w:rPr>
            </w:pPr>
          </w:p>
          <w:p w14:paraId="4BD894B8">
            <w:pPr>
              <w:pStyle w:val="6"/>
              <w:spacing w:before="55" w:line="184" w:lineRule="auto"/>
              <w:ind w:left="43"/>
            </w:pPr>
            <w:r>
              <w:rPr>
                <w:spacing w:val="-5"/>
              </w:rPr>
              <w:t>15</w:t>
            </w:r>
          </w:p>
        </w:tc>
        <w:tc>
          <w:tcPr>
            <w:tcW w:w="2439" w:type="dxa"/>
            <w:tcBorders>
              <w:top w:val="single" w:color="000000" w:sz="2" w:space="0"/>
              <w:bottom w:val="single" w:color="000000" w:sz="2" w:space="0"/>
            </w:tcBorders>
            <w:vAlign w:val="top"/>
          </w:tcPr>
          <w:p w14:paraId="79373CBC">
            <w:pPr>
              <w:pStyle w:val="6"/>
              <w:spacing w:before="75" w:line="229" w:lineRule="auto"/>
              <w:ind w:left="34" w:right="122" w:firstLine="70"/>
            </w:pPr>
            <w:r>
              <w:rPr>
                <w:spacing w:val="-1"/>
              </w:rPr>
              <w:t>折叠滤纸后示意监考老师，正</w:t>
            </w:r>
            <w:r>
              <w:rPr>
                <w:spacing w:val="4"/>
              </w:rPr>
              <w:t xml:space="preserve"> </w:t>
            </w:r>
            <w:r>
              <w:rPr>
                <w:spacing w:val="-1"/>
              </w:rPr>
              <w:t>确得10分，不正确酌情扣4-6</w:t>
            </w:r>
          </w:p>
          <w:p w14:paraId="28E61686">
            <w:pPr>
              <w:pStyle w:val="6"/>
              <w:spacing w:before="17" w:line="217" w:lineRule="auto"/>
              <w:ind w:left="64"/>
            </w:pPr>
            <w:r>
              <w:rPr>
                <w:spacing w:val="-1"/>
              </w:rPr>
              <w:t>分，完全错误得0分；正确调整</w:t>
            </w:r>
          </w:p>
          <w:p w14:paraId="6A96B30B">
            <w:pPr>
              <w:pStyle w:val="6"/>
              <w:spacing w:line="217" w:lineRule="auto"/>
              <w:ind w:left="14" w:right="60" w:firstLine="89"/>
            </w:pPr>
            <w:r>
              <w:rPr>
                <w:spacing w:val="-1"/>
              </w:rPr>
              <w:t>并固定铁圈高度、漏斗、烧杯</w:t>
            </w:r>
            <w:r>
              <w:t xml:space="preserve">  </w:t>
            </w:r>
            <w:r>
              <w:rPr>
                <w:spacing w:val="4"/>
              </w:rPr>
              <w:t>的位置得5分，不全正确酌情扣</w:t>
            </w:r>
            <w:r>
              <w:rPr>
                <w:spacing w:val="2"/>
              </w:rPr>
              <w:t xml:space="preserve"> </w:t>
            </w:r>
            <w:r>
              <w:rPr>
                <w:spacing w:val="-1"/>
              </w:rPr>
              <w:t>2-4分。</w:t>
            </w:r>
          </w:p>
        </w:tc>
      </w:tr>
      <w:tr w14:paraId="0863B9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08" w:hRule="atLeast"/>
        </w:trPr>
        <w:tc>
          <w:tcPr>
            <w:tcW w:w="594" w:type="dxa"/>
            <w:vMerge w:val="continue"/>
            <w:tcBorders>
              <w:top w:val="nil"/>
              <w:bottom w:val="single" w:color="000000" w:sz="2" w:space="0"/>
            </w:tcBorders>
            <w:vAlign w:val="top"/>
          </w:tcPr>
          <w:p w14:paraId="154347CC">
            <w:pPr>
              <w:rPr>
                <w:rFonts w:ascii="Arial"/>
                <w:sz w:val="21"/>
              </w:rPr>
            </w:pPr>
          </w:p>
        </w:tc>
        <w:tc>
          <w:tcPr>
            <w:tcW w:w="878" w:type="dxa"/>
            <w:tcBorders>
              <w:top w:val="single" w:color="000000" w:sz="2" w:space="0"/>
              <w:bottom w:val="single" w:color="000000" w:sz="2" w:space="0"/>
            </w:tcBorders>
            <w:vAlign w:val="top"/>
          </w:tcPr>
          <w:p w14:paraId="16A8649E">
            <w:pPr>
              <w:spacing w:line="249" w:lineRule="auto"/>
              <w:rPr>
                <w:rFonts w:ascii="Arial"/>
                <w:sz w:val="21"/>
              </w:rPr>
            </w:pPr>
          </w:p>
          <w:p w14:paraId="38AF5EC6">
            <w:pPr>
              <w:spacing w:line="249" w:lineRule="auto"/>
              <w:rPr>
                <w:rFonts w:ascii="Arial"/>
                <w:sz w:val="21"/>
              </w:rPr>
            </w:pPr>
          </w:p>
          <w:p w14:paraId="031CD901">
            <w:pPr>
              <w:spacing w:line="250" w:lineRule="auto"/>
              <w:rPr>
                <w:rFonts w:ascii="Arial"/>
                <w:sz w:val="21"/>
              </w:rPr>
            </w:pPr>
          </w:p>
          <w:p w14:paraId="0F4FBEC9">
            <w:pPr>
              <w:pStyle w:val="6"/>
              <w:spacing w:before="55" w:line="221" w:lineRule="auto"/>
              <w:ind w:left="261"/>
            </w:pPr>
            <w:r>
              <w:rPr>
                <w:spacing w:val="-2"/>
              </w:rPr>
              <w:t>过滤</w:t>
            </w:r>
          </w:p>
        </w:tc>
        <w:tc>
          <w:tcPr>
            <w:tcW w:w="269" w:type="dxa"/>
            <w:tcBorders>
              <w:top w:val="single" w:color="000000" w:sz="2" w:space="0"/>
              <w:bottom w:val="single" w:color="000000" w:sz="2" w:space="0"/>
            </w:tcBorders>
            <w:vAlign w:val="top"/>
          </w:tcPr>
          <w:p w14:paraId="344775B0">
            <w:pPr>
              <w:spacing w:line="262" w:lineRule="auto"/>
              <w:rPr>
                <w:rFonts w:ascii="Arial"/>
                <w:sz w:val="21"/>
              </w:rPr>
            </w:pPr>
          </w:p>
          <w:p w14:paraId="11FF8ADF">
            <w:pPr>
              <w:spacing w:line="263" w:lineRule="auto"/>
              <w:rPr>
                <w:rFonts w:ascii="Arial"/>
                <w:sz w:val="21"/>
              </w:rPr>
            </w:pPr>
          </w:p>
          <w:p w14:paraId="31CF6830">
            <w:pPr>
              <w:spacing w:line="263" w:lineRule="auto"/>
              <w:rPr>
                <w:rFonts w:ascii="Arial"/>
                <w:sz w:val="21"/>
              </w:rPr>
            </w:pPr>
          </w:p>
          <w:p w14:paraId="03627D2A">
            <w:pPr>
              <w:pStyle w:val="6"/>
              <w:spacing w:before="55" w:line="184" w:lineRule="auto"/>
              <w:ind w:left="43"/>
            </w:pPr>
            <w:r>
              <w:rPr>
                <w:spacing w:val="-5"/>
              </w:rPr>
              <w:t>15</w:t>
            </w:r>
          </w:p>
        </w:tc>
        <w:tc>
          <w:tcPr>
            <w:tcW w:w="2439" w:type="dxa"/>
            <w:tcBorders>
              <w:top w:val="single" w:color="000000" w:sz="2" w:space="0"/>
              <w:bottom w:val="single" w:color="000000" w:sz="2" w:space="0"/>
            </w:tcBorders>
            <w:vAlign w:val="top"/>
          </w:tcPr>
          <w:p w14:paraId="6CF5F9C3">
            <w:pPr>
              <w:pStyle w:val="6"/>
              <w:spacing w:before="65" w:line="228" w:lineRule="auto"/>
              <w:ind w:left="23" w:right="30"/>
            </w:pPr>
            <w:r>
              <w:rPr>
                <w:spacing w:val="-1"/>
              </w:rPr>
              <w:t>润湿滤纸紧贴漏斗内壁；滤纸应</w:t>
            </w:r>
            <w:r>
              <w:rPr>
                <w:spacing w:val="5"/>
              </w:rPr>
              <w:t xml:space="preserve"> </w:t>
            </w:r>
            <w:r>
              <w:rPr>
                <w:spacing w:val="-1"/>
              </w:rPr>
              <w:t>低于漏斗边缘；烧杯口应紧靠玻</w:t>
            </w:r>
            <w:r>
              <w:rPr>
                <w:spacing w:val="7"/>
              </w:rPr>
              <w:t xml:space="preserve"> </w:t>
            </w:r>
            <w:r>
              <w:rPr>
                <w:spacing w:val="-1"/>
              </w:rPr>
              <w:t>璃棒，导入液体；玻璃棒应轻靠</w:t>
            </w:r>
            <w:r>
              <w:rPr>
                <w:spacing w:val="6"/>
              </w:rPr>
              <w:t xml:space="preserve"> </w:t>
            </w:r>
            <w:r>
              <w:rPr>
                <w:spacing w:val="-1"/>
              </w:rPr>
              <w:t>在三层滤纸的一边；漏斗内液面</w:t>
            </w:r>
            <w:r>
              <w:rPr>
                <w:spacing w:val="7"/>
              </w:rPr>
              <w:t xml:space="preserve"> </w:t>
            </w:r>
            <w:r>
              <w:rPr>
                <w:spacing w:val="-1"/>
              </w:rPr>
              <w:t>应低于滤纸边缘；漏斗下端应紧</w:t>
            </w:r>
            <w:r>
              <w:rPr>
                <w:spacing w:val="6"/>
              </w:rPr>
              <w:t xml:space="preserve"> </w:t>
            </w:r>
            <w:r>
              <w:t>靠烧杯内壁。完全正确得15</w:t>
            </w:r>
          </w:p>
          <w:p w14:paraId="55C65655">
            <w:pPr>
              <w:pStyle w:val="6"/>
              <w:spacing w:line="187" w:lineRule="auto"/>
              <w:jc w:val="right"/>
            </w:pPr>
            <w:r>
              <w:rPr>
                <w:spacing w:val="-1"/>
              </w:rPr>
              <w:t>分，不完全正确酌情扣3-12分。</w:t>
            </w:r>
          </w:p>
        </w:tc>
      </w:tr>
    </w:tbl>
    <w:p w14:paraId="49FD4CC8">
      <w:pPr>
        <w:pStyle w:val="2"/>
        <w:spacing w:line="14" w:lineRule="auto"/>
        <w:rPr>
          <w:sz w:val="2"/>
        </w:rPr>
      </w:pPr>
    </w:p>
    <w:p w14:paraId="1A6A62A9">
      <w:pPr>
        <w:spacing w:line="14" w:lineRule="auto"/>
        <w:rPr>
          <w:sz w:val="2"/>
          <w:szCs w:val="2"/>
        </w:rPr>
        <w:sectPr>
          <w:type w:val="continuous"/>
          <w:pgSz w:w="10660" w:h="15080"/>
          <w:pgMar w:top="400" w:right="895" w:bottom="905" w:left="989" w:header="0" w:footer="743" w:gutter="0"/>
          <w:cols w:equalWidth="0" w:num="2">
            <w:col w:w="4480" w:space="100"/>
            <w:col w:w="4196"/>
          </w:cols>
        </w:sectPr>
      </w:pPr>
    </w:p>
    <w:p w14:paraId="04A7D6C8">
      <w:pPr>
        <w:spacing w:before="13"/>
      </w:pPr>
    </w:p>
    <w:p w14:paraId="3BD7882E">
      <w:pPr>
        <w:spacing w:before="12"/>
      </w:pPr>
    </w:p>
    <w:p w14:paraId="216F1DBA">
      <w:pPr>
        <w:spacing w:before="12"/>
      </w:pPr>
    </w:p>
    <w:p w14:paraId="68E84F44">
      <w:pPr>
        <w:spacing w:before="12"/>
      </w:pPr>
    </w:p>
    <w:tbl>
      <w:tblPr>
        <w:tblStyle w:val="5"/>
        <w:tblW w:w="4169" w:type="dxa"/>
        <w:tblInd w:w="6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83"/>
        <w:gridCol w:w="868"/>
        <w:gridCol w:w="279"/>
        <w:gridCol w:w="2439"/>
      </w:tblGrid>
      <w:tr w14:paraId="44382F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3" w:hRule="atLeast"/>
        </w:trPr>
        <w:tc>
          <w:tcPr>
            <w:tcW w:w="583" w:type="dxa"/>
            <w:vAlign w:val="top"/>
          </w:tcPr>
          <w:p w14:paraId="48517901">
            <w:pPr>
              <w:pStyle w:val="6"/>
              <w:spacing w:before="61" w:line="239" w:lineRule="auto"/>
              <w:ind w:left="117" w:right="122"/>
            </w:pPr>
            <w:r>
              <w:rPr>
                <w:b/>
                <w:bCs/>
                <w:spacing w:val="-6"/>
              </w:rPr>
              <w:t>测试</w:t>
            </w:r>
            <w:r>
              <w:t xml:space="preserve"> </w:t>
            </w:r>
            <w:r>
              <w:rPr>
                <w:b/>
                <w:bCs/>
                <w:spacing w:val="-6"/>
              </w:rPr>
              <w:t>要点</w:t>
            </w:r>
          </w:p>
        </w:tc>
        <w:tc>
          <w:tcPr>
            <w:tcW w:w="868" w:type="dxa"/>
            <w:vAlign w:val="top"/>
          </w:tcPr>
          <w:p w14:paraId="33E4A3D0">
            <w:pPr>
              <w:pStyle w:val="6"/>
              <w:spacing w:before="169" w:line="219" w:lineRule="auto"/>
              <w:ind w:left="84"/>
            </w:pPr>
            <w:r>
              <w:rPr>
                <w:b/>
                <w:bCs/>
                <w:spacing w:val="-4"/>
              </w:rPr>
              <w:t>测试内容</w:t>
            </w:r>
          </w:p>
        </w:tc>
        <w:tc>
          <w:tcPr>
            <w:tcW w:w="279" w:type="dxa"/>
            <w:textDirection w:val="tbRlV"/>
            <w:vAlign w:val="top"/>
          </w:tcPr>
          <w:p w14:paraId="67F1E2BD">
            <w:pPr>
              <w:pStyle w:val="6"/>
              <w:spacing w:before="61" w:line="201" w:lineRule="auto"/>
              <w:ind w:left="72"/>
            </w:pPr>
            <w:r>
              <w:rPr>
                <w:b/>
                <w:bCs/>
                <w:spacing w:val="-2"/>
              </w:rPr>
              <w:t>分值</w:t>
            </w:r>
          </w:p>
        </w:tc>
        <w:tc>
          <w:tcPr>
            <w:tcW w:w="2439" w:type="dxa"/>
            <w:vAlign w:val="top"/>
          </w:tcPr>
          <w:p w14:paraId="75D29F41">
            <w:pPr>
              <w:pStyle w:val="6"/>
              <w:spacing w:before="170" w:line="220" w:lineRule="auto"/>
              <w:ind w:left="887"/>
            </w:pPr>
            <w:r>
              <w:rPr>
                <w:b/>
                <w:bCs/>
                <w:spacing w:val="-3"/>
              </w:rPr>
              <w:t>评分标准</w:t>
            </w:r>
          </w:p>
        </w:tc>
      </w:tr>
      <w:tr w14:paraId="5AEF29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8" w:hRule="atLeast"/>
        </w:trPr>
        <w:tc>
          <w:tcPr>
            <w:tcW w:w="583" w:type="dxa"/>
            <w:vAlign w:val="top"/>
          </w:tcPr>
          <w:p w14:paraId="1738336B">
            <w:pPr>
              <w:pStyle w:val="6"/>
              <w:spacing w:before="170" w:line="223" w:lineRule="auto"/>
              <w:ind w:left="115" w:right="123"/>
            </w:pPr>
            <w:r>
              <w:rPr>
                <w:spacing w:val="-6"/>
              </w:rPr>
              <w:t>实验</w:t>
            </w:r>
            <w:r>
              <w:t xml:space="preserve"> </w:t>
            </w:r>
            <w:r>
              <w:rPr>
                <w:spacing w:val="-3"/>
              </w:rPr>
              <w:t>操作</w:t>
            </w:r>
          </w:p>
        </w:tc>
        <w:tc>
          <w:tcPr>
            <w:tcW w:w="868" w:type="dxa"/>
            <w:vAlign w:val="top"/>
          </w:tcPr>
          <w:p w14:paraId="22FC6731">
            <w:pPr>
              <w:pStyle w:val="6"/>
              <w:spacing w:before="259" w:line="220" w:lineRule="auto"/>
              <w:ind w:left="81"/>
            </w:pPr>
            <w:r>
              <w:rPr>
                <w:spacing w:val="-2"/>
              </w:rPr>
              <w:t>过滤效果</w:t>
            </w:r>
          </w:p>
        </w:tc>
        <w:tc>
          <w:tcPr>
            <w:tcW w:w="279" w:type="dxa"/>
            <w:vAlign w:val="top"/>
          </w:tcPr>
          <w:p w14:paraId="4618CB20">
            <w:pPr>
              <w:spacing w:line="245" w:lineRule="auto"/>
              <w:rPr>
                <w:rFonts w:ascii="Arial"/>
                <w:sz w:val="21"/>
              </w:rPr>
            </w:pPr>
          </w:p>
          <w:p w14:paraId="4B743E98">
            <w:pPr>
              <w:pStyle w:val="6"/>
              <w:spacing w:before="55" w:line="184" w:lineRule="auto"/>
              <w:ind w:left="43"/>
            </w:pPr>
            <w:r>
              <w:rPr>
                <w:spacing w:val="-5"/>
              </w:rPr>
              <w:t>10</w:t>
            </w:r>
          </w:p>
        </w:tc>
        <w:tc>
          <w:tcPr>
            <w:tcW w:w="2439" w:type="dxa"/>
            <w:vAlign w:val="top"/>
          </w:tcPr>
          <w:p w14:paraId="35A68C41">
            <w:pPr>
              <w:pStyle w:val="6"/>
              <w:spacing w:before="89" w:line="213" w:lineRule="auto"/>
              <w:ind w:left="45" w:right="161" w:firstLine="20"/>
              <w:jc w:val="both"/>
            </w:pPr>
            <w:r>
              <w:rPr>
                <w:spacing w:val="-1"/>
              </w:rPr>
              <w:t>滤液澄清无杂质，得10分；若</w:t>
            </w:r>
            <w:r>
              <w:rPr>
                <w:spacing w:val="5"/>
              </w:rPr>
              <w:t xml:space="preserve"> </w:t>
            </w:r>
            <w:r>
              <w:rPr>
                <w:spacing w:val="-1"/>
              </w:rPr>
              <w:t>有杂质，根据量的多少，酌情</w:t>
            </w:r>
            <w:r>
              <w:rPr>
                <w:spacing w:val="4"/>
              </w:rPr>
              <w:t xml:space="preserve"> </w:t>
            </w:r>
            <w:r>
              <w:t>扣2-6分；若得浊液，得0分。</w:t>
            </w:r>
          </w:p>
        </w:tc>
      </w:tr>
      <w:tr w14:paraId="0D04EB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77" w:hRule="atLeast"/>
        </w:trPr>
        <w:tc>
          <w:tcPr>
            <w:tcW w:w="583" w:type="dxa"/>
            <w:vAlign w:val="top"/>
          </w:tcPr>
          <w:p w14:paraId="47C4AC01">
            <w:pPr>
              <w:pStyle w:val="6"/>
              <w:spacing w:before="171" w:line="219" w:lineRule="auto"/>
              <w:ind w:left="25"/>
            </w:pPr>
            <w:r>
              <w:rPr>
                <w:spacing w:val="-2"/>
              </w:rPr>
              <w:t>整理仪</w:t>
            </w:r>
          </w:p>
          <w:p w14:paraId="23508033">
            <w:pPr>
              <w:pStyle w:val="6"/>
              <w:spacing w:before="8" w:line="220" w:lineRule="auto"/>
              <w:ind w:left="25"/>
            </w:pPr>
            <w:r>
              <w:rPr>
                <w:spacing w:val="-2"/>
              </w:rPr>
              <w:t>器和实</w:t>
            </w:r>
          </w:p>
          <w:p w14:paraId="57DAAC85">
            <w:pPr>
              <w:pStyle w:val="6"/>
              <w:spacing w:before="9" w:line="221" w:lineRule="auto"/>
              <w:ind w:left="115"/>
            </w:pPr>
            <w:r>
              <w:rPr>
                <w:spacing w:val="9"/>
              </w:rPr>
              <w:t>验台</w:t>
            </w:r>
          </w:p>
        </w:tc>
        <w:tc>
          <w:tcPr>
            <w:tcW w:w="868" w:type="dxa"/>
            <w:vAlign w:val="top"/>
          </w:tcPr>
          <w:p w14:paraId="06843BCC">
            <w:pPr>
              <w:spacing w:line="304" w:lineRule="auto"/>
              <w:rPr>
                <w:rFonts w:ascii="Arial"/>
                <w:sz w:val="21"/>
              </w:rPr>
            </w:pPr>
          </w:p>
          <w:p w14:paraId="2EBA1223">
            <w:pPr>
              <w:pStyle w:val="6"/>
              <w:spacing w:before="55" w:line="220" w:lineRule="auto"/>
              <w:jc w:val="right"/>
            </w:pPr>
            <w:r>
              <w:rPr>
                <w:spacing w:val="-1"/>
              </w:rPr>
              <w:t>清洁实验台</w:t>
            </w:r>
          </w:p>
        </w:tc>
        <w:tc>
          <w:tcPr>
            <w:tcW w:w="279" w:type="dxa"/>
            <w:vAlign w:val="top"/>
          </w:tcPr>
          <w:p w14:paraId="091B5877">
            <w:pPr>
              <w:spacing w:line="346" w:lineRule="auto"/>
              <w:rPr>
                <w:rFonts w:ascii="Arial"/>
                <w:sz w:val="21"/>
              </w:rPr>
            </w:pPr>
          </w:p>
          <w:p w14:paraId="16794F81">
            <w:pPr>
              <w:pStyle w:val="6"/>
              <w:spacing w:before="55" w:line="184" w:lineRule="auto"/>
              <w:ind w:left="43"/>
            </w:pPr>
            <w:r>
              <w:rPr>
                <w:spacing w:val="-5"/>
              </w:rPr>
              <w:t>10</w:t>
            </w:r>
          </w:p>
        </w:tc>
        <w:tc>
          <w:tcPr>
            <w:tcW w:w="2439" w:type="dxa"/>
            <w:vAlign w:val="top"/>
          </w:tcPr>
          <w:p w14:paraId="78A2B2AC">
            <w:pPr>
              <w:pStyle w:val="6"/>
              <w:spacing w:before="51" w:line="219" w:lineRule="auto"/>
              <w:ind w:left="65"/>
            </w:pPr>
            <w:r>
              <w:rPr>
                <w:spacing w:val="-1"/>
              </w:rPr>
              <w:t>实验结束后，正确处理废弃</w:t>
            </w:r>
          </w:p>
          <w:p w14:paraId="1F645AB9">
            <w:pPr>
              <w:pStyle w:val="6"/>
              <w:spacing w:before="17" w:line="216" w:lineRule="auto"/>
              <w:ind w:left="55" w:right="160" w:firstLine="10"/>
            </w:pPr>
            <w:r>
              <w:rPr>
                <w:spacing w:val="-1"/>
              </w:rPr>
              <w:t>物；正确拆装置、清洗整理仪</w:t>
            </w:r>
            <w:r>
              <w:rPr>
                <w:spacing w:val="5"/>
              </w:rPr>
              <w:t xml:space="preserve"> </w:t>
            </w:r>
            <w:r>
              <w:rPr>
                <w:spacing w:val="-1"/>
              </w:rPr>
              <w:t>器及台面；整理不干净，清洁</w:t>
            </w:r>
            <w:r>
              <w:rPr>
                <w:spacing w:val="5"/>
              </w:rPr>
              <w:t xml:space="preserve"> </w:t>
            </w:r>
            <w:r>
              <w:rPr>
                <w:spacing w:val="2"/>
              </w:rPr>
              <w:t>不彻底者酌情扣4-5分。</w:t>
            </w:r>
          </w:p>
        </w:tc>
      </w:tr>
      <w:tr w14:paraId="68DB53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68" w:hRule="atLeast"/>
        </w:trPr>
        <w:tc>
          <w:tcPr>
            <w:tcW w:w="583" w:type="dxa"/>
            <w:vAlign w:val="top"/>
          </w:tcPr>
          <w:p w14:paraId="5FCFFDD4">
            <w:pPr>
              <w:pStyle w:val="6"/>
              <w:spacing w:before="163" w:line="230" w:lineRule="auto"/>
              <w:ind w:left="115" w:right="123"/>
            </w:pPr>
            <w:r>
              <w:rPr>
                <w:spacing w:val="-3"/>
              </w:rPr>
              <w:t>操作</w:t>
            </w:r>
            <w:r>
              <w:t xml:space="preserve"> </w:t>
            </w:r>
            <w:r>
              <w:rPr>
                <w:spacing w:val="-3"/>
              </w:rPr>
              <w:t>速度</w:t>
            </w:r>
          </w:p>
        </w:tc>
        <w:tc>
          <w:tcPr>
            <w:tcW w:w="868" w:type="dxa"/>
            <w:vAlign w:val="top"/>
          </w:tcPr>
          <w:p w14:paraId="17654D84">
            <w:pPr>
              <w:pStyle w:val="6"/>
              <w:spacing w:before="174" w:line="224" w:lineRule="auto"/>
              <w:ind w:left="251" w:right="101" w:hanging="170"/>
            </w:pPr>
            <w:r>
              <w:rPr>
                <w:spacing w:val="-2"/>
              </w:rPr>
              <w:t>操作熟练</w:t>
            </w:r>
            <w:r>
              <w:rPr>
                <w:spacing w:val="1"/>
              </w:rPr>
              <w:t xml:space="preserve"> </w:t>
            </w:r>
            <w:r>
              <w:rPr>
                <w:spacing w:val="-2"/>
              </w:rPr>
              <w:t>程度</w:t>
            </w:r>
          </w:p>
        </w:tc>
        <w:tc>
          <w:tcPr>
            <w:tcW w:w="279" w:type="dxa"/>
            <w:vAlign w:val="top"/>
          </w:tcPr>
          <w:p w14:paraId="5FEB3B83">
            <w:pPr>
              <w:rPr>
                <w:rFonts w:ascii="Arial"/>
                <w:sz w:val="21"/>
              </w:rPr>
            </w:pPr>
          </w:p>
          <w:p w14:paraId="0469E5B7">
            <w:pPr>
              <w:pStyle w:val="6"/>
              <w:spacing w:before="55" w:line="184" w:lineRule="auto"/>
              <w:ind w:left="43"/>
            </w:pPr>
            <w:r>
              <w:rPr>
                <w:spacing w:val="-5"/>
              </w:rPr>
              <w:t>10</w:t>
            </w:r>
          </w:p>
        </w:tc>
        <w:tc>
          <w:tcPr>
            <w:tcW w:w="2439" w:type="dxa"/>
            <w:vAlign w:val="top"/>
          </w:tcPr>
          <w:p w14:paraId="36F8F25A">
            <w:pPr>
              <w:pStyle w:val="6"/>
              <w:spacing w:before="83" w:line="208" w:lineRule="auto"/>
              <w:ind w:left="24" w:firstLine="39"/>
              <w:jc w:val="both"/>
            </w:pPr>
            <w:r>
              <w:rPr>
                <w:spacing w:val="-1"/>
              </w:rPr>
              <w:t>在20分钟内完成得10分，每延长</w:t>
            </w:r>
            <w:r>
              <w:t xml:space="preserve"> </w:t>
            </w:r>
            <w:r>
              <w:rPr>
                <w:spacing w:val="1"/>
              </w:rPr>
              <w:t xml:space="preserve">1分钟，扣1分，直到扣完10分为 </w:t>
            </w:r>
            <w:r>
              <w:rPr>
                <w:spacing w:val="-2"/>
              </w:rPr>
              <w:t>止。</w:t>
            </w:r>
          </w:p>
        </w:tc>
      </w:tr>
      <w:tr w14:paraId="10B985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4" w:hRule="atLeast"/>
        </w:trPr>
        <w:tc>
          <w:tcPr>
            <w:tcW w:w="1451" w:type="dxa"/>
            <w:gridSpan w:val="2"/>
            <w:vAlign w:val="top"/>
          </w:tcPr>
          <w:p w14:paraId="76D1DCBE">
            <w:pPr>
              <w:pStyle w:val="6"/>
              <w:spacing w:before="66" w:line="220" w:lineRule="auto"/>
              <w:ind w:left="545"/>
            </w:pPr>
            <w:r>
              <w:rPr>
                <w:spacing w:val="-3"/>
              </w:rPr>
              <w:t>总分</w:t>
            </w:r>
          </w:p>
        </w:tc>
        <w:tc>
          <w:tcPr>
            <w:tcW w:w="279" w:type="dxa"/>
            <w:vAlign w:val="top"/>
          </w:tcPr>
          <w:p w14:paraId="0FF1A6BD">
            <w:pPr>
              <w:pStyle w:val="6"/>
              <w:spacing w:before="109" w:line="184" w:lineRule="auto"/>
              <w:ind w:left="3"/>
            </w:pPr>
            <w:r>
              <w:rPr>
                <w:spacing w:val="-5"/>
              </w:rPr>
              <w:t>100</w:t>
            </w:r>
          </w:p>
        </w:tc>
        <w:tc>
          <w:tcPr>
            <w:tcW w:w="2439" w:type="dxa"/>
            <w:vAlign w:val="top"/>
          </w:tcPr>
          <w:p w14:paraId="6885BBF5">
            <w:pPr>
              <w:rPr>
                <w:rFonts w:ascii="Arial"/>
                <w:sz w:val="21"/>
              </w:rPr>
            </w:pPr>
          </w:p>
        </w:tc>
      </w:tr>
    </w:tbl>
    <w:p w14:paraId="2B651863">
      <w:pPr>
        <w:pStyle w:val="2"/>
      </w:pPr>
    </w:p>
    <w:sectPr>
      <w:footerReference r:id="rId164" w:type="default"/>
      <w:pgSz w:w="10660" w:h="15080"/>
      <w:pgMar w:top="400" w:right="1599" w:bottom="922" w:left="819" w:header="0" w:footer="751" w:gutter="0"/>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华文仿宋">
    <w:panose1 w:val="02010600040101010101"/>
    <w:charset w:val="86"/>
    <w:family w:val="auto"/>
    <w:pitch w:val="default"/>
    <w:sig w:usb0="00000287" w:usb1="080F0000" w:usb2="00000000" w:usb3="00000000" w:csb0="0004009F" w:csb1="DFD7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AD4141">
    <w:pPr>
      <w:pStyle w:val="2"/>
      <w:spacing w:line="14" w:lineRule="auto"/>
      <w:rPr>
        <w:sz w:val="2"/>
      </w:rP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C3B15A">
    <w:pPr>
      <w:spacing w:line="227" w:lineRule="auto"/>
      <w:jc w:val="right"/>
      <w:rPr>
        <w:rFonts w:ascii="宋体" w:hAnsi="宋体" w:eastAsia="宋体" w:cs="宋体"/>
        <w:sz w:val="16"/>
        <w:szCs w:val="16"/>
      </w:rPr>
    </w:pPr>
    <w:r>
      <w:rPr>
        <w:rFonts w:ascii="宋体" w:hAnsi="宋体" w:eastAsia="宋体" w:cs="宋体"/>
        <w:spacing w:val="-41"/>
        <w:sz w:val="16"/>
        <w:szCs w:val="16"/>
      </w:rPr>
      <w:t>·5</w:t>
    </w:r>
    <w:r>
      <w:rPr>
        <w:rFonts w:ascii="宋体" w:hAnsi="宋体" w:eastAsia="宋体" w:cs="宋体"/>
        <w:spacing w:val="-19"/>
        <w:sz w:val="16"/>
        <w:szCs w:val="16"/>
      </w:rPr>
      <w:t xml:space="preserve"> </w:t>
    </w:r>
    <w:r>
      <w:rPr>
        <w:rFonts w:ascii="宋体" w:hAnsi="宋体" w:eastAsia="宋体" w:cs="宋体"/>
        <w:spacing w:val="-41"/>
        <w:sz w:val="16"/>
        <w:szCs w:val="16"/>
      </w:rPr>
      <w:t>·</w:t>
    </w:r>
  </w:p>
</w:ftr>
</file>

<file path=word/footer10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06BB4C">
    <w:pPr>
      <w:spacing w:line="227" w:lineRule="auto"/>
      <w:jc w:val="right"/>
      <w:rPr>
        <w:rFonts w:ascii="宋体" w:hAnsi="宋体" w:eastAsia="宋体" w:cs="宋体"/>
        <w:sz w:val="16"/>
        <w:szCs w:val="16"/>
      </w:rPr>
    </w:pPr>
    <w:r>
      <w:rPr>
        <w:rFonts w:ascii="宋体" w:hAnsi="宋体" w:eastAsia="宋体" w:cs="宋体"/>
        <w:spacing w:val="-16"/>
        <w:sz w:val="16"/>
        <w:szCs w:val="16"/>
      </w:rPr>
      <w:t>·95</w:t>
    </w:r>
    <w:r>
      <w:rPr>
        <w:rFonts w:ascii="宋体" w:hAnsi="宋体" w:eastAsia="宋体" w:cs="宋体"/>
        <w:spacing w:val="-17"/>
        <w:sz w:val="16"/>
        <w:szCs w:val="16"/>
      </w:rPr>
      <w:t xml:space="preserve"> </w:t>
    </w:r>
    <w:r>
      <w:rPr>
        <w:rFonts w:ascii="宋体" w:hAnsi="宋体" w:eastAsia="宋体" w:cs="宋体"/>
        <w:spacing w:val="-16"/>
        <w:sz w:val="16"/>
        <w:szCs w:val="16"/>
      </w:rPr>
      <w:t>·</w:t>
    </w:r>
  </w:p>
</w:ftr>
</file>

<file path=word/footer10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BBED8E">
    <w:pPr>
      <w:spacing w:line="227" w:lineRule="auto"/>
      <w:rPr>
        <w:rFonts w:ascii="宋体" w:hAnsi="宋体" w:eastAsia="宋体" w:cs="宋体"/>
        <w:sz w:val="16"/>
        <w:szCs w:val="16"/>
      </w:rPr>
    </w:pPr>
    <w:r>
      <w:rPr>
        <w:rFonts w:ascii="宋体" w:hAnsi="宋体" w:eastAsia="宋体" w:cs="宋体"/>
        <w:spacing w:val="-16"/>
        <w:sz w:val="16"/>
        <w:szCs w:val="16"/>
      </w:rPr>
      <w:t>·96</w:t>
    </w:r>
    <w:r>
      <w:rPr>
        <w:rFonts w:ascii="宋体" w:hAnsi="宋体" w:eastAsia="宋体" w:cs="宋体"/>
        <w:spacing w:val="-17"/>
        <w:sz w:val="16"/>
        <w:szCs w:val="16"/>
      </w:rPr>
      <w:t xml:space="preserve"> </w:t>
    </w:r>
    <w:r>
      <w:rPr>
        <w:rFonts w:ascii="宋体" w:hAnsi="宋体" w:eastAsia="宋体" w:cs="宋体"/>
        <w:spacing w:val="-16"/>
        <w:sz w:val="16"/>
        <w:szCs w:val="16"/>
      </w:rPr>
      <w:t>·</w:t>
    </w:r>
  </w:p>
</w:ftr>
</file>

<file path=word/footer10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07CB88">
    <w:pPr>
      <w:spacing w:line="227" w:lineRule="auto"/>
      <w:jc w:val="right"/>
      <w:rPr>
        <w:rFonts w:ascii="宋体" w:hAnsi="宋体" w:eastAsia="宋体" w:cs="宋体"/>
        <w:sz w:val="16"/>
        <w:szCs w:val="16"/>
      </w:rPr>
    </w:pPr>
    <w:r>
      <w:rPr>
        <w:rFonts w:ascii="宋体" w:hAnsi="宋体" w:eastAsia="宋体" w:cs="宋体"/>
        <w:spacing w:val="-29"/>
        <w:sz w:val="16"/>
        <w:szCs w:val="16"/>
      </w:rPr>
      <w:t>·97 ·</w:t>
    </w:r>
  </w:p>
</w:ftr>
</file>

<file path=word/footer10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E135E9">
    <w:pPr>
      <w:spacing w:line="228" w:lineRule="auto"/>
      <w:rPr>
        <w:rFonts w:ascii="宋体" w:hAnsi="宋体" w:eastAsia="宋体" w:cs="宋体"/>
        <w:sz w:val="17"/>
        <w:szCs w:val="17"/>
      </w:rPr>
    </w:pPr>
    <w:r>
      <w:rPr>
        <w:rFonts w:ascii="宋体" w:hAnsi="宋体" w:eastAsia="宋体" w:cs="宋体"/>
        <w:spacing w:val="-17"/>
        <w:sz w:val="17"/>
        <w:szCs w:val="17"/>
      </w:rPr>
      <w:t>·98</w:t>
    </w:r>
    <w:r>
      <w:rPr>
        <w:rFonts w:ascii="宋体" w:hAnsi="宋体" w:eastAsia="宋体" w:cs="宋体"/>
        <w:spacing w:val="-19"/>
        <w:sz w:val="17"/>
        <w:szCs w:val="17"/>
      </w:rPr>
      <w:t xml:space="preserve"> </w:t>
    </w:r>
    <w:r>
      <w:rPr>
        <w:rFonts w:ascii="宋体" w:hAnsi="宋体" w:eastAsia="宋体" w:cs="宋体"/>
        <w:spacing w:val="-17"/>
        <w:sz w:val="17"/>
        <w:szCs w:val="17"/>
      </w:rPr>
      <w:t>·</w:t>
    </w:r>
  </w:p>
</w:ftr>
</file>

<file path=word/footer10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1B4994">
    <w:pPr>
      <w:spacing w:line="227" w:lineRule="auto"/>
      <w:jc w:val="right"/>
      <w:rPr>
        <w:rFonts w:ascii="宋体" w:hAnsi="宋体" w:eastAsia="宋体" w:cs="宋体"/>
        <w:sz w:val="16"/>
        <w:szCs w:val="16"/>
      </w:rPr>
    </w:pPr>
    <w:r>
      <w:rPr>
        <w:rFonts w:ascii="宋体" w:hAnsi="宋体" w:eastAsia="宋体" w:cs="宋体"/>
        <w:spacing w:val="-16"/>
        <w:sz w:val="16"/>
        <w:szCs w:val="16"/>
      </w:rPr>
      <w:t>·99</w:t>
    </w:r>
    <w:r>
      <w:rPr>
        <w:rFonts w:ascii="宋体" w:hAnsi="宋体" w:eastAsia="宋体" w:cs="宋体"/>
        <w:spacing w:val="-17"/>
        <w:sz w:val="16"/>
        <w:szCs w:val="16"/>
      </w:rPr>
      <w:t xml:space="preserve"> </w:t>
    </w:r>
    <w:r>
      <w:rPr>
        <w:rFonts w:ascii="宋体" w:hAnsi="宋体" w:eastAsia="宋体" w:cs="宋体"/>
        <w:spacing w:val="-16"/>
        <w:sz w:val="16"/>
        <w:szCs w:val="16"/>
      </w:rPr>
      <w:t>·</w:t>
    </w:r>
  </w:p>
</w:ftr>
</file>

<file path=word/footer10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6E0A01">
    <w:pPr>
      <w:spacing w:line="175" w:lineRule="auto"/>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·100·</w:t>
    </w:r>
  </w:p>
</w:ftr>
</file>

<file path=word/footer10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1BF051">
    <w:pPr>
      <w:spacing w:line="175" w:lineRule="auto"/>
      <w:ind w:left="8150"/>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·101·</w:t>
    </w:r>
  </w:p>
</w:ftr>
</file>

<file path=word/footer10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0C0FF9">
    <w:pPr>
      <w:spacing w:line="175" w:lineRule="auto"/>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·102·</w:t>
    </w:r>
  </w:p>
</w:ftr>
</file>

<file path=word/footer10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D8FEDA">
    <w:pPr>
      <w:spacing w:line="175" w:lineRule="auto"/>
      <w:ind w:left="8150"/>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·103·</w:t>
    </w:r>
  </w:p>
</w:ftr>
</file>

<file path=word/footer10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45AB1A">
    <w:pPr>
      <w:spacing w:line="175" w:lineRule="auto"/>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·104·</w: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97BDFE">
    <w:pPr>
      <w:spacing w:line="227" w:lineRule="auto"/>
      <w:rPr>
        <w:rFonts w:ascii="宋体" w:hAnsi="宋体" w:eastAsia="宋体" w:cs="宋体"/>
        <w:sz w:val="15"/>
        <w:szCs w:val="15"/>
      </w:rPr>
    </w:pPr>
    <w:r>
      <w:rPr>
        <w:rFonts w:ascii="宋体" w:hAnsi="宋体" w:eastAsia="宋体" w:cs="宋体"/>
        <w:spacing w:val="-20"/>
        <w:sz w:val="15"/>
        <w:szCs w:val="15"/>
      </w:rPr>
      <w:t>·6</w:t>
    </w:r>
    <w:r>
      <w:rPr>
        <w:rFonts w:ascii="宋体" w:hAnsi="宋体" w:eastAsia="宋体" w:cs="宋体"/>
        <w:spacing w:val="-16"/>
        <w:sz w:val="15"/>
        <w:szCs w:val="15"/>
      </w:rPr>
      <w:t xml:space="preserve"> </w:t>
    </w:r>
    <w:r>
      <w:rPr>
        <w:rFonts w:ascii="宋体" w:hAnsi="宋体" w:eastAsia="宋体" w:cs="宋体"/>
        <w:spacing w:val="-20"/>
        <w:sz w:val="15"/>
        <w:szCs w:val="15"/>
      </w:rPr>
      <w:t>·</w:t>
    </w:r>
  </w:p>
</w:ftr>
</file>

<file path=word/footer1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D44B6B">
    <w:pPr>
      <w:spacing w:line="175" w:lineRule="auto"/>
      <w:ind w:left="8160"/>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·105·</w:t>
    </w:r>
  </w:p>
</w:ftr>
</file>

<file path=word/footer1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ACA80A">
    <w:pPr>
      <w:spacing w:line="175" w:lineRule="auto"/>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·106·</w:t>
    </w:r>
  </w:p>
</w:ftr>
</file>

<file path=word/footer1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04FCC1">
    <w:pPr>
      <w:spacing w:line="175" w:lineRule="auto"/>
      <w:ind w:left="8150"/>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·107·</w:t>
    </w:r>
  </w:p>
</w:ftr>
</file>

<file path=word/footer1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224067">
    <w:pPr>
      <w:spacing w:line="175" w:lineRule="auto"/>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·108·</w:t>
    </w:r>
  </w:p>
</w:ftr>
</file>

<file path=word/footer1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2047F5">
    <w:pPr>
      <w:spacing w:line="175" w:lineRule="auto"/>
      <w:ind w:left="8160"/>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·109·</w:t>
    </w:r>
  </w:p>
</w:ftr>
</file>

<file path=word/footer1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7415FB">
    <w:pPr>
      <w:spacing w:line="177" w:lineRule="auto"/>
      <w:rPr>
        <w:rFonts w:ascii="Times New Roman" w:hAnsi="Times New Roman" w:eastAsia="Times New Roman" w:cs="Times New Roman"/>
        <w:sz w:val="19"/>
        <w:szCs w:val="19"/>
      </w:rPr>
    </w:pPr>
    <w:r>
      <w:rPr>
        <w:rFonts w:ascii="Times New Roman" w:hAnsi="Times New Roman" w:eastAsia="Times New Roman" w:cs="Times New Roman"/>
        <w:spacing w:val="-5"/>
        <w:sz w:val="19"/>
        <w:szCs w:val="19"/>
      </w:rPr>
      <w:t>·110·</w:t>
    </w:r>
  </w:p>
</w:ftr>
</file>

<file path=word/footer1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2A6D70">
    <w:pPr>
      <w:spacing w:line="177" w:lineRule="auto"/>
      <w:ind w:left="8155"/>
      <w:rPr>
        <w:rFonts w:ascii="Times New Roman" w:hAnsi="Times New Roman" w:eastAsia="Times New Roman" w:cs="Times New Roman"/>
        <w:sz w:val="19"/>
        <w:szCs w:val="19"/>
      </w:rPr>
    </w:pPr>
    <w:r>
      <w:rPr>
        <w:rFonts w:ascii="Times New Roman" w:hAnsi="Times New Roman" w:eastAsia="Times New Roman" w:cs="Times New Roman"/>
        <w:spacing w:val="-5"/>
        <w:sz w:val="19"/>
        <w:szCs w:val="19"/>
      </w:rPr>
      <w:t>·111·</w:t>
    </w:r>
  </w:p>
</w:ftr>
</file>

<file path=word/footer1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14CCE1">
    <w:pPr>
      <w:spacing w:line="177" w:lineRule="auto"/>
      <w:rPr>
        <w:rFonts w:ascii="Times New Roman" w:hAnsi="Times New Roman" w:eastAsia="Times New Roman" w:cs="Times New Roman"/>
        <w:sz w:val="19"/>
        <w:szCs w:val="19"/>
      </w:rPr>
    </w:pPr>
    <w:r>
      <w:rPr>
        <w:rFonts w:ascii="Times New Roman" w:hAnsi="Times New Roman" w:eastAsia="Times New Roman" w:cs="Times New Roman"/>
        <w:spacing w:val="-5"/>
        <w:sz w:val="19"/>
        <w:szCs w:val="19"/>
      </w:rPr>
      <w:t>·112·</w:t>
    </w:r>
  </w:p>
</w:ftr>
</file>

<file path=word/footer1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28E3DD">
    <w:pPr>
      <w:spacing w:line="175" w:lineRule="auto"/>
      <w:ind w:left="8194"/>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·113·</w:t>
    </w:r>
  </w:p>
</w:ftr>
</file>

<file path=word/footer1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B02B31">
    <w:pPr>
      <w:spacing w:line="177" w:lineRule="auto"/>
      <w:rPr>
        <w:rFonts w:ascii="Times New Roman" w:hAnsi="Times New Roman" w:eastAsia="Times New Roman" w:cs="Times New Roman"/>
        <w:sz w:val="19"/>
        <w:szCs w:val="19"/>
      </w:rPr>
    </w:pPr>
    <w:r>
      <w:rPr>
        <w:rFonts w:ascii="Times New Roman" w:hAnsi="Times New Roman" w:eastAsia="Times New Roman" w:cs="Times New Roman"/>
        <w:spacing w:val="-5"/>
        <w:sz w:val="19"/>
        <w:szCs w:val="19"/>
      </w:rPr>
      <w:t>·114·</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71F1D5">
    <w:pPr>
      <w:spacing w:line="227" w:lineRule="auto"/>
      <w:jc w:val="right"/>
      <w:rPr>
        <w:rFonts w:ascii="宋体" w:hAnsi="宋体" w:eastAsia="宋体" w:cs="宋体"/>
        <w:sz w:val="16"/>
        <w:szCs w:val="16"/>
      </w:rPr>
    </w:pPr>
    <w:r>
      <w:rPr>
        <w:rFonts w:ascii="宋体" w:hAnsi="宋体" w:eastAsia="宋体" w:cs="宋体"/>
        <w:spacing w:val="-41"/>
        <w:sz w:val="16"/>
        <w:szCs w:val="16"/>
      </w:rPr>
      <w:t>·7</w:t>
    </w:r>
    <w:r>
      <w:rPr>
        <w:rFonts w:ascii="宋体" w:hAnsi="宋体" w:eastAsia="宋体" w:cs="宋体"/>
        <w:spacing w:val="-19"/>
        <w:sz w:val="16"/>
        <w:szCs w:val="16"/>
      </w:rPr>
      <w:t xml:space="preserve"> </w:t>
    </w:r>
    <w:r>
      <w:rPr>
        <w:rFonts w:ascii="宋体" w:hAnsi="宋体" w:eastAsia="宋体" w:cs="宋体"/>
        <w:spacing w:val="-41"/>
        <w:sz w:val="16"/>
        <w:szCs w:val="16"/>
      </w:rPr>
      <w:t>·</w:t>
    </w:r>
  </w:p>
</w:ftr>
</file>

<file path=word/footer1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CE2E17">
    <w:pPr>
      <w:spacing w:line="176" w:lineRule="auto"/>
      <w:ind w:left="8155"/>
      <w:rPr>
        <w:rFonts w:ascii="Times New Roman" w:hAnsi="Times New Roman" w:eastAsia="Times New Roman" w:cs="Times New Roman"/>
        <w:sz w:val="18"/>
        <w:szCs w:val="18"/>
      </w:rPr>
    </w:pPr>
    <w:r>
      <w:rPr>
        <w:rFonts w:ascii="Times New Roman" w:hAnsi="Times New Roman" w:eastAsia="Times New Roman" w:cs="Times New Roman"/>
        <w:spacing w:val="-5"/>
        <w:sz w:val="18"/>
        <w:szCs w:val="18"/>
      </w:rPr>
      <w:t>·115·</w:t>
    </w:r>
  </w:p>
</w:ftr>
</file>

<file path=word/footer1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61F32F">
    <w:pPr>
      <w:spacing w:line="176" w:lineRule="auto"/>
      <w:rPr>
        <w:rFonts w:ascii="Times New Roman" w:hAnsi="Times New Roman" w:eastAsia="Times New Roman" w:cs="Times New Roman"/>
        <w:sz w:val="18"/>
        <w:szCs w:val="18"/>
      </w:rPr>
    </w:pPr>
    <w:r>
      <w:rPr>
        <w:rFonts w:ascii="Times New Roman" w:hAnsi="Times New Roman" w:eastAsia="Times New Roman" w:cs="Times New Roman"/>
        <w:spacing w:val="-5"/>
        <w:sz w:val="18"/>
        <w:szCs w:val="18"/>
      </w:rPr>
      <w:t>·116·</w:t>
    </w:r>
  </w:p>
</w:ftr>
</file>

<file path=word/footer1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29F7D3">
    <w:pPr>
      <w:spacing w:line="177" w:lineRule="auto"/>
      <w:ind w:left="8145"/>
      <w:rPr>
        <w:rFonts w:ascii="Times New Roman" w:hAnsi="Times New Roman" w:eastAsia="Times New Roman" w:cs="Times New Roman"/>
        <w:sz w:val="19"/>
        <w:szCs w:val="19"/>
      </w:rPr>
    </w:pPr>
    <w:r>
      <w:rPr>
        <w:rFonts w:ascii="Times New Roman" w:hAnsi="Times New Roman" w:eastAsia="Times New Roman" w:cs="Times New Roman"/>
        <w:spacing w:val="-5"/>
        <w:sz w:val="19"/>
        <w:szCs w:val="19"/>
      </w:rPr>
      <w:t>·117·</w:t>
    </w:r>
  </w:p>
</w:ftr>
</file>

<file path=word/footer1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C46FB5">
    <w:pPr>
      <w:spacing w:line="177" w:lineRule="auto"/>
      <w:rPr>
        <w:rFonts w:ascii="Times New Roman" w:hAnsi="Times New Roman" w:eastAsia="Times New Roman" w:cs="Times New Roman"/>
        <w:sz w:val="19"/>
        <w:szCs w:val="19"/>
      </w:rPr>
    </w:pPr>
    <w:bookmarkStart w:id="73" w:name="bookmark47"/>
    <w:bookmarkEnd w:id="73"/>
    <w:r>
      <w:rPr>
        <w:rFonts w:ascii="Times New Roman" w:hAnsi="Times New Roman" w:eastAsia="Times New Roman" w:cs="Times New Roman"/>
        <w:spacing w:val="-5"/>
        <w:sz w:val="19"/>
        <w:szCs w:val="19"/>
      </w:rPr>
      <w:t>·118·</w:t>
    </w:r>
  </w:p>
</w:ftr>
</file>

<file path=word/footer1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A63771">
    <w:pPr>
      <w:spacing w:line="177" w:lineRule="auto"/>
      <w:ind w:left="8155"/>
      <w:rPr>
        <w:rFonts w:ascii="Times New Roman" w:hAnsi="Times New Roman" w:eastAsia="Times New Roman" w:cs="Times New Roman"/>
        <w:sz w:val="19"/>
        <w:szCs w:val="19"/>
      </w:rPr>
    </w:pPr>
    <w:r>
      <w:rPr>
        <w:rFonts w:ascii="Times New Roman" w:hAnsi="Times New Roman" w:eastAsia="Times New Roman" w:cs="Times New Roman"/>
        <w:spacing w:val="-5"/>
        <w:sz w:val="19"/>
        <w:szCs w:val="19"/>
      </w:rPr>
      <w:t>·119·</w:t>
    </w:r>
  </w:p>
</w:ftr>
</file>

<file path=word/footer1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B3D6D9">
    <w:pPr>
      <w:spacing w:line="177" w:lineRule="auto"/>
      <w:rPr>
        <w:rFonts w:ascii="Times New Roman" w:hAnsi="Times New Roman" w:eastAsia="Times New Roman" w:cs="Times New Roman"/>
        <w:sz w:val="19"/>
        <w:szCs w:val="19"/>
      </w:rPr>
    </w:pPr>
    <w:r>
      <w:rPr>
        <w:rFonts w:ascii="Times New Roman" w:hAnsi="Times New Roman" w:eastAsia="Times New Roman" w:cs="Times New Roman"/>
        <w:spacing w:val="-5"/>
        <w:sz w:val="19"/>
        <w:szCs w:val="19"/>
      </w:rPr>
      <w:t>·120·</w:t>
    </w:r>
  </w:p>
</w:ftr>
</file>

<file path=word/footer1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1E9BF5">
    <w:pPr>
      <w:spacing w:line="176" w:lineRule="auto"/>
      <w:ind w:left="8155"/>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·121·</w:t>
    </w:r>
  </w:p>
</w:ftr>
</file>

<file path=word/footer1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E33FE4">
    <w:pPr>
      <w:spacing w:line="177" w:lineRule="auto"/>
      <w:rPr>
        <w:rFonts w:ascii="Times New Roman" w:hAnsi="Times New Roman" w:eastAsia="Times New Roman" w:cs="Times New Roman"/>
        <w:sz w:val="19"/>
        <w:szCs w:val="19"/>
      </w:rPr>
    </w:pPr>
    <w:r>
      <w:rPr>
        <w:rFonts w:ascii="Times New Roman" w:hAnsi="Times New Roman" w:eastAsia="Times New Roman" w:cs="Times New Roman"/>
        <w:spacing w:val="-5"/>
        <w:sz w:val="19"/>
        <w:szCs w:val="19"/>
      </w:rPr>
      <w:t>·122·</w:t>
    </w:r>
  </w:p>
</w:ftr>
</file>

<file path=word/footer1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87F90D">
    <w:pPr>
      <w:spacing w:line="177" w:lineRule="auto"/>
      <w:ind w:left="8155"/>
      <w:rPr>
        <w:rFonts w:ascii="Times New Roman" w:hAnsi="Times New Roman" w:eastAsia="Times New Roman" w:cs="Times New Roman"/>
        <w:sz w:val="19"/>
        <w:szCs w:val="19"/>
      </w:rPr>
    </w:pPr>
    <w:r>
      <w:rPr>
        <w:rFonts w:ascii="Times New Roman" w:hAnsi="Times New Roman" w:eastAsia="Times New Roman" w:cs="Times New Roman"/>
        <w:spacing w:val="-5"/>
        <w:sz w:val="19"/>
        <w:szCs w:val="19"/>
      </w:rPr>
      <w:t>·123·</w:t>
    </w:r>
  </w:p>
</w:ftr>
</file>

<file path=word/footer1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5FD334">
    <w:pPr>
      <w:spacing w:line="177" w:lineRule="auto"/>
      <w:rPr>
        <w:rFonts w:ascii="Times New Roman" w:hAnsi="Times New Roman" w:eastAsia="Times New Roman" w:cs="Times New Roman"/>
        <w:sz w:val="19"/>
        <w:szCs w:val="19"/>
      </w:rPr>
    </w:pPr>
    <w:r>
      <w:rPr>
        <w:rFonts w:ascii="Times New Roman" w:hAnsi="Times New Roman" w:eastAsia="Times New Roman" w:cs="Times New Roman"/>
        <w:spacing w:val="-5"/>
        <w:sz w:val="19"/>
        <w:szCs w:val="19"/>
      </w:rPr>
      <w:t>·124·</w: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32B279">
    <w:pPr>
      <w:spacing w:line="227" w:lineRule="auto"/>
      <w:rPr>
        <w:rFonts w:ascii="宋体" w:hAnsi="宋体" w:eastAsia="宋体" w:cs="宋体"/>
        <w:sz w:val="15"/>
        <w:szCs w:val="15"/>
      </w:rPr>
    </w:pPr>
    <w:r>
      <w:rPr>
        <w:rFonts w:ascii="宋体" w:hAnsi="宋体" w:eastAsia="宋体" w:cs="宋体"/>
        <w:spacing w:val="-20"/>
        <w:sz w:val="15"/>
        <w:szCs w:val="15"/>
      </w:rPr>
      <w:t>·8</w:t>
    </w:r>
    <w:r>
      <w:rPr>
        <w:rFonts w:ascii="宋体" w:hAnsi="宋体" w:eastAsia="宋体" w:cs="宋体"/>
        <w:spacing w:val="-16"/>
        <w:sz w:val="15"/>
        <w:szCs w:val="15"/>
      </w:rPr>
      <w:t xml:space="preserve"> </w:t>
    </w:r>
    <w:r>
      <w:rPr>
        <w:rFonts w:ascii="宋体" w:hAnsi="宋体" w:eastAsia="宋体" w:cs="宋体"/>
        <w:spacing w:val="-20"/>
        <w:sz w:val="15"/>
        <w:szCs w:val="15"/>
      </w:rPr>
      <w:t>·</w:t>
    </w:r>
  </w:p>
</w:ftr>
</file>

<file path=word/footer1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55CAEC">
    <w:pPr>
      <w:spacing w:line="177" w:lineRule="auto"/>
      <w:ind w:left="8145"/>
      <w:rPr>
        <w:rFonts w:ascii="Times New Roman" w:hAnsi="Times New Roman" w:eastAsia="Times New Roman" w:cs="Times New Roman"/>
        <w:sz w:val="19"/>
        <w:szCs w:val="19"/>
      </w:rPr>
    </w:pPr>
    <w:r>
      <w:rPr>
        <w:rFonts w:ascii="Times New Roman" w:hAnsi="Times New Roman" w:eastAsia="Times New Roman" w:cs="Times New Roman"/>
        <w:spacing w:val="-5"/>
        <w:sz w:val="19"/>
        <w:szCs w:val="19"/>
      </w:rPr>
      <w:t>·125·</w:t>
    </w:r>
  </w:p>
</w:ftr>
</file>

<file path=word/footer1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652FD5">
    <w:pPr>
      <w:spacing w:line="177" w:lineRule="auto"/>
      <w:rPr>
        <w:rFonts w:ascii="Times New Roman" w:hAnsi="Times New Roman" w:eastAsia="Times New Roman" w:cs="Times New Roman"/>
        <w:sz w:val="19"/>
        <w:szCs w:val="19"/>
      </w:rPr>
    </w:pPr>
    <w:r>
      <w:rPr>
        <w:rFonts w:ascii="Times New Roman" w:hAnsi="Times New Roman" w:eastAsia="Times New Roman" w:cs="Times New Roman"/>
        <w:spacing w:val="-5"/>
        <w:sz w:val="19"/>
        <w:szCs w:val="19"/>
      </w:rPr>
      <w:t>·126·</w:t>
    </w:r>
  </w:p>
</w:ftr>
</file>

<file path=word/footer1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1A1074">
    <w:pPr>
      <w:spacing w:line="177" w:lineRule="auto"/>
      <w:ind w:left="8155"/>
      <w:rPr>
        <w:rFonts w:ascii="Times New Roman" w:hAnsi="Times New Roman" w:eastAsia="Times New Roman" w:cs="Times New Roman"/>
        <w:sz w:val="19"/>
        <w:szCs w:val="19"/>
      </w:rPr>
    </w:pPr>
    <w:r>
      <w:rPr>
        <w:rFonts w:ascii="Times New Roman" w:hAnsi="Times New Roman" w:eastAsia="Times New Roman" w:cs="Times New Roman"/>
        <w:spacing w:val="-5"/>
        <w:sz w:val="19"/>
        <w:szCs w:val="19"/>
      </w:rPr>
      <w:t>·127·</w:t>
    </w:r>
  </w:p>
</w:ftr>
</file>

<file path=word/footer1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0F883B">
    <w:pPr>
      <w:spacing w:line="177" w:lineRule="auto"/>
      <w:rPr>
        <w:rFonts w:ascii="Times New Roman" w:hAnsi="Times New Roman" w:eastAsia="Times New Roman" w:cs="Times New Roman"/>
        <w:sz w:val="19"/>
        <w:szCs w:val="19"/>
      </w:rPr>
    </w:pPr>
    <w:r>
      <w:rPr>
        <w:rFonts w:ascii="Times New Roman" w:hAnsi="Times New Roman" w:eastAsia="Times New Roman" w:cs="Times New Roman"/>
        <w:spacing w:val="-5"/>
        <w:sz w:val="19"/>
        <w:szCs w:val="19"/>
      </w:rPr>
      <w:t>·128·</w:t>
    </w:r>
  </w:p>
</w:ftr>
</file>

<file path=word/footer1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1FCCA1">
    <w:pPr>
      <w:spacing w:line="177" w:lineRule="auto"/>
      <w:ind w:left="8145"/>
      <w:rPr>
        <w:rFonts w:ascii="Times New Roman" w:hAnsi="Times New Roman" w:eastAsia="Times New Roman" w:cs="Times New Roman"/>
        <w:sz w:val="19"/>
        <w:szCs w:val="19"/>
      </w:rPr>
    </w:pPr>
    <w:r>
      <w:rPr>
        <w:rFonts w:ascii="Times New Roman" w:hAnsi="Times New Roman" w:eastAsia="Times New Roman" w:cs="Times New Roman"/>
        <w:spacing w:val="-5"/>
        <w:sz w:val="19"/>
        <w:szCs w:val="19"/>
      </w:rPr>
      <w:t>·129·</w:t>
    </w:r>
  </w:p>
</w:ftr>
</file>

<file path=word/footer1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EB8FF6">
    <w:pPr>
      <w:spacing w:line="177" w:lineRule="auto"/>
      <w:rPr>
        <w:rFonts w:ascii="Times New Roman" w:hAnsi="Times New Roman" w:eastAsia="Times New Roman" w:cs="Times New Roman"/>
        <w:sz w:val="19"/>
        <w:szCs w:val="19"/>
      </w:rPr>
    </w:pPr>
    <w:r>
      <w:rPr>
        <w:rFonts w:ascii="Times New Roman" w:hAnsi="Times New Roman" w:eastAsia="Times New Roman" w:cs="Times New Roman"/>
        <w:spacing w:val="-5"/>
        <w:sz w:val="19"/>
        <w:szCs w:val="19"/>
      </w:rPr>
      <w:t>·130·</w:t>
    </w:r>
  </w:p>
</w:ftr>
</file>

<file path=word/footer1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DB88A0">
    <w:pPr>
      <w:spacing w:line="177" w:lineRule="auto"/>
      <w:ind w:left="8145"/>
      <w:rPr>
        <w:rFonts w:ascii="Times New Roman" w:hAnsi="Times New Roman" w:eastAsia="Times New Roman" w:cs="Times New Roman"/>
        <w:sz w:val="19"/>
        <w:szCs w:val="19"/>
      </w:rPr>
    </w:pPr>
    <w:r>
      <w:rPr>
        <w:rFonts w:ascii="Times New Roman" w:hAnsi="Times New Roman" w:eastAsia="Times New Roman" w:cs="Times New Roman"/>
        <w:spacing w:val="-5"/>
        <w:sz w:val="19"/>
        <w:szCs w:val="19"/>
      </w:rPr>
      <w:t>·131·</w:t>
    </w:r>
  </w:p>
</w:ftr>
</file>

<file path=word/footer1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F72E9A">
    <w:pPr>
      <w:spacing w:line="177" w:lineRule="auto"/>
      <w:rPr>
        <w:rFonts w:ascii="Times New Roman" w:hAnsi="Times New Roman" w:eastAsia="Times New Roman" w:cs="Times New Roman"/>
        <w:sz w:val="19"/>
        <w:szCs w:val="19"/>
      </w:rPr>
    </w:pPr>
    <w:r>
      <w:rPr>
        <w:rFonts w:ascii="Times New Roman" w:hAnsi="Times New Roman" w:eastAsia="Times New Roman" w:cs="Times New Roman"/>
        <w:spacing w:val="-5"/>
        <w:sz w:val="19"/>
        <w:szCs w:val="19"/>
      </w:rPr>
      <w:t>·132·</w:t>
    </w:r>
  </w:p>
</w:ftr>
</file>

<file path=word/footer1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44C132">
    <w:pPr>
      <w:spacing w:line="177" w:lineRule="auto"/>
      <w:ind w:left="8145"/>
      <w:rPr>
        <w:rFonts w:ascii="Times New Roman" w:hAnsi="Times New Roman" w:eastAsia="Times New Roman" w:cs="Times New Roman"/>
        <w:sz w:val="19"/>
        <w:szCs w:val="19"/>
      </w:rPr>
    </w:pPr>
    <w:r>
      <w:rPr>
        <w:rFonts w:ascii="Times New Roman" w:hAnsi="Times New Roman" w:eastAsia="Times New Roman" w:cs="Times New Roman"/>
        <w:spacing w:val="-5"/>
        <w:sz w:val="19"/>
        <w:szCs w:val="19"/>
      </w:rPr>
      <w:t>·133·</w:t>
    </w:r>
  </w:p>
</w:ftr>
</file>

<file path=word/footer1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C1AB04">
    <w:pPr>
      <w:spacing w:line="175" w:lineRule="auto"/>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·134·</w: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9518EB">
    <w:pPr>
      <w:spacing w:line="227" w:lineRule="auto"/>
      <w:jc w:val="right"/>
      <w:rPr>
        <w:rFonts w:ascii="宋体" w:hAnsi="宋体" w:eastAsia="宋体" w:cs="宋体"/>
        <w:sz w:val="16"/>
        <w:szCs w:val="16"/>
      </w:rPr>
    </w:pPr>
    <w:r>
      <w:rPr>
        <w:rFonts w:ascii="宋体" w:hAnsi="宋体" w:eastAsia="宋体" w:cs="宋体"/>
        <w:spacing w:val="-41"/>
        <w:sz w:val="16"/>
        <w:szCs w:val="16"/>
      </w:rPr>
      <w:t>·9</w:t>
    </w:r>
    <w:r>
      <w:rPr>
        <w:rFonts w:ascii="宋体" w:hAnsi="宋体" w:eastAsia="宋体" w:cs="宋体"/>
        <w:spacing w:val="-19"/>
        <w:sz w:val="16"/>
        <w:szCs w:val="16"/>
      </w:rPr>
      <w:t xml:space="preserve"> </w:t>
    </w:r>
    <w:r>
      <w:rPr>
        <w:rFonts w:ascii="宋体" w:hAnsi="宋体" w:eastAsia="宋体" w:cs="宋体"/>
        <w:spacing w:val="-41"/>
        <w:sz w:val="16"/>
        <w:szCs w:val="16"/>
      </w:rPr>
      <w:t>·</w:t>
    </w:r>
  </w:p>
</w:ftr>
</file>

<file path=word/footer1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F05977">
    <w:pPr>
      <w:spacing w:line="177" w:lineRule="auto"/>
      <w:ind w:left="8160"/>
      <w:rPr>
        <w:rFonts w:ascii="Times New Roman" w:hAnsi="Times New Roman" w:eastAsia="Times New Roman" w:cs="Times New Roman"/>
        <w:sz w:val="19"/>
        <w:szCs w:val="19"/>
      </w:rPr>
    </w:pPr>
    <w:r>
      <w:rPr>
        <w:rFonts w:ascii="Times New Roman" w:hAnsi="Times New Roman" w:eastAsia="Times New Roman" w:cs="Times New Roman"/>
        <w:spacing w:val="-5"/>
        <w:sz w:val="19"/>
        <w:szCs w:val="19"/>
      </w:rPr>
      <w:t>·135·</w:t>
    </w:r>
  </w:p>
</w:ftr>
</file>

<file path=word/footer1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F86084">
    <w:pPr>
      <w:spacing w:line="177" w:lineRule="auto"/>
      <w:rPr>
        <w:rFonts w:ascii="Times New Roman" w:hAnsi="Times New Roman" w:eastAsia="Times New Roman" w:cs="Times New Roman"/>
        <w:sz w:val="19"/>
        <w:szCs w:val="19"/>
      </w:rPr>
    </w:pPr>
    <w:r>
      <w:rPr>
        <w:rFonts w:ascii="Times New Roman" w:hAnsi="Times New Roman" w:eastAsia="Times New Roman" w:cs="Times New Roman"/>
        <w:spacing w:val="-5"/>
        <w:sz w:val="19"/>
        <w:szCs w:val="19"/>
      </w:rPr>
      <w:t>·136·</w:t>
    </w:r>
  </w:p>
</w:ftr>
</file>

<file path=word/footer1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FDA045">
    <w:pPr>
      <w:spacing w:line="177" w:lineRule="auto"/>
      <w:ind w:left="8200"/>
      <w:rPr>
        <w:rFonts w:ascii="Times New Roman" w:hAnsi="Times New Roman" w:eastAsia="Times New Roman" w:cs="Times New Roman"/>
        <w:sz w:val="19"/>
        <w:szCs w:val="19"/>
      </w:rPr>
    </w:pPr>
    <w:r>
      <w:rPr>
        <w:rFonts w:ascii="Times New Roman" w:hAnsi="Times New Roman" w:eastAsia="Times New Roman" w:cs="Times New Roman"/>
        <w:spacing w:val="-5"/>
        <w:sz w:val="19"/>
        <w:szCs w:val="19"/>
      </w:rPr>
      <w:t>·137·</w:t>
    </w:r>
  </w:p>
</w:ftr>
</file>

<file path=word/footer1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40FB65">
    <w:pPr>
      <w:spacing w:line="175" w:lineRule="auto"/>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·138·</w:t>
    </w:r>
  </w:p>
</w:ftr>
</file>

<file path=word/footer1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EDD244">
    <w:pPr>
      <w:spacing w:line="177" w:lineRule="auto"/>
      <w:ind w:left="8155"/>
      <w:rPr>
        <w:rFonts w:ascii="Times New Roman" w:hAnsi="Times New Roman" w:eastAsia="Times New Roman" w:cs="Times New Roman"/>
        <w:sz w:val="19"/>
        <w:szCs w:val="19"/>
      </w:rPr>
    </w:pPr>
    <w:r>
      <w:rPr>
        <w:rFonts w:ascii="Times New Roman" w:hAnsi="Times New Roman" w:eastAsia="Times New Roman" w:cs="Times New Roman"/>
        <w:spacing w:val="-5"/>
        <w:sz w:val="19"/>
        <w:szCs w:val="19"/>
      </w:rPr>
      <w:t>·139·</w:t>
    </w:r>
  </w:p>
</w:ftr>
</file>

<file path=word/footer1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6592C4">
    <w:pPr>
      <w:spacing w:line="175" w:lineRule="auto"/>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·140·</w:t>
    </w:r>
  </w:p>
</w:ftr>
</file>

<file path=word/footer1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798854">
    <w:pPr>
      <w:spacing w:line="176" w:lineRule="auto"/>
      <w:ind w:left="8160"/>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·141·</w:t>
    </w:r>
  </w:p>
</w:ftr>
</file>

<file path=word/footer1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B9FA6D">
    <w:pPr>
      <w:spacing w:line="176" w:lineRule="auto"/>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·142·</w:t>
    </w:r>
  </w:p>
</w:ftr>
</file>

<file path=word/footer1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964C96">
    <w:pPr>
      <w:spacing w:line="175" w:lineRule="auto"/>
      <w:ind w:left="8150"/>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·143·</w:t>
    </w:r>
  </w:p>
</w:ftr>
</file>

<file path=word/footer1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FD6E3E">
    <w:pPr>
      <w:spacing w:line="176" w:lineRule="auto"/>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·144·</w: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5D426B">
    <w:pPr>
      <w:spacing w:line="228" w:lineRule="auto"/>
      <w:rPr>
        <w:rFonts w:ascii="宋体" w:hAnsi="宋体" w:eastAsia="宋体" w:cs="宋体"/>
        <w:sz w:val="17"/>
        <w:szCs w:val="17"/>
      </w:rPr>
    </w:pPr>
    <w:r>
      <w:rPr>
        <w:rFonts w:ascii="宋体" w:hAnsi="宋体" w:eastAsia="宋体" w:cs="宋体"/>
        <w:spacing w:val="-17"/>
        <w:sz w:val="17"/>
        <w:szCs w:val="17"/>
      </w:rPr>
      <w:t>·10</w:t>
    </w:r>
    <w:r>
      <w:rPr>
        <w:rFonts w:ascii="宋体" w:hAnsi="宋体" w:eastAsia="宋体" w:cs="宋体"/>
        <w:spacing w:val="-19"/>
        <w:sz w:val="17"/>
        <w:szCs w:val="17"/>
      </w:rPr>
      <w:t xml:space="preserve"> </w:t>
    </w:r>
    <w:r>
      <w:rPr>
        <w:rFonts w:ascii="宋体" w:hAnsi="宋体" w:eastAsia="宋体" w:cs="宋体"/>
        <w:spacing w:val="-17"/>
        <w:sz w:val="17"/>
        <w:szCs w:val="17"/>
      </w:rPr>
      <w:t>·</w:t>
    </w:r>
  </w:p>
</w:ftr>
</file>

<file path=word/footer1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3A3E6D">
    <w:pPr>
      <w:spacing w:line="175" w:lineRule="auto"/>
      <w:ind w:left="8150"/>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·145·</w:t>
    </w:r>
  </w:p>
</w:ftr>
</file>

<file path=word/footer15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C9D162">
    <w:pPr>
      <w:spacing w:line="175" w:lineRule="auto"/>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·146·</w:t>
    </w:r>
  </w:p>
</w:ftr>
</file>

<file path=word/footer15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99059E">
    <w:pPr>
      <w:spacing w:line="175" w:lineRule="auto"/>
      <w:ind w:left="8180"/>
      <w:rPr>
        <w:rFonts w:ascii="Times New Roman" w:hAnsi="Times New Roman" w:eastAsia="Times New Roman" w:cs="Times New Roman"/>
        <w:sz w:val="16"/>
        <w:szCs w:val="16"/>
      </w:rPr>
    </w:pPr>
    <w:r>
      <w:rPr>
        <w:rFonts w:ascii="Times New Roman" w:hAnsi="Times New Roman" w:eastAsia="Times New Roman" w:cs="Times New Roman"/>
        <w:spacing w:val="-4"/>
        <w:sz w:val="16"/>
        <w:szCs w:val="16"/>
      </w:rPr>
      <w:t>·147·</w:t>
    </w:r>
  </w:p>
</w:ftr>
</file>

<file path=word/footer15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D6E19E">
    <w:pPr>
      <w:spacing w:line="175" w:lineRule="auto"/>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·148·</w:t>
    </w:r>
  </w:p>
</w:ftr>
</file>

<file path=word/footer15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075CD0">
    <w:pPr>
      <w:spacing w:line="175" w:lineRule="auto"/>
      <w:ind w:left="8174"/>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·149·</w:t>
    </w:r>
  </w:p>
</w:ftr>
</file>

<file path=word/footer15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FB8437">
    <w:pPr>
      <w:spacing w:line="175" w:lineRule="auto"/>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·150·</w:t>
    </w:r>
  </w:p>
</w:ftr>
</file>

<file path=word/footer15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CBD483">
    <w:pPr>
      <w:spacing w:line="176" w:lineRule="auto"/>
      <w:ind w:left="8210"/>
      <w:rPr>
        <w:rFonts w:ascii="Times New Roman" w:hAnsi="Times New Roman" w:eastAsia="Times New Roman" w:cs="Times New Roman"/>
        <w:sz w:val="18"/>
        <w:szCs w:val="18"/>
      </w:rPr>
    </w:pPr>
    <w:r>
      <w:rPr>
        <w:rFonts w:ascii="Times New Roman" w:hAnsi="Times New Roman" w:eastAsia="Times New Roman" w:cs="Times New Roman"/>
        <w:spacing w:val="-5"/>
        <w:sz w:val="18"/>
        <w:szCs w:val="18"/>
      </w:rPr>
      <w:t>·151·</w:t>
    </w:r>
  </w:p>
</w:ftr>
</file>

<file path=word/footer15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20237D">
    <w:pPr>
      <w:spacing w:line="175" w:lineRule="auto"/>
      <w:rPr>
        <w:rFonts w:ascii="Times New Roman" w:hAnsi="Times New Roman" w:eastAsia="Times New Roman" w:cs="Times New Roman"/>
        <w:sz w:val="17"/>
        <w:szCs w:val="17"/>
      </w:rPr>
    </w:pPr>
    <w:r>
      <w:rPr>
        <w:rFonts w:ascii="Times New Roman" w:hAnsi="Times New Roman" w:eastAsia="Times New Roman" w:cs="Times New Roman"/>
        <w:spacing w:val="-4"/>
        <w:sz w:val="17"/>
        <w:szCs w:val="17"/>
      </w:rPr>
      <w:t>·152·</w:t>
    </w:r>
  </w:p>
</w:ftr>
</file>

<file path=word/footer15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80CD01">
    <w:pPr>
      <w:spacing w:line="176" w:lineRule="auto"/>
      <w:ind w:left="8180"/>
      <w:rPr>
        <w:rFonts w:ascii="Times New Roman" w:hAnsi="Times New Roman" w:eastAsia="Times New Roman" w:cs="Times New Roman"/>
        <w:sz w:val="18"/>
        <w:szCs w:val="18"/>
      </w:rPr>
    </w:pPr>
    <w:r>
      <w:rPr>
        <w:rFonts w:ascii="Times New Roman" w:hAnsi="Times New Roman" w:eastAsia="Times New Roman" w:cs="Times New Roman"/>
        <w:spacing w:val="-5"/>
        <w:sz w:val="18"/>
        <w:szCs w:val="18"/>
      </w:rPr>
      <w:t>·153·</w:t>
    </w:r>
  </w:p>
</w:ftr>
</file>

<file path=word/footer15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7ACDC6">
    <w:pPr>
      <w:spacing w:line="177" w:lineRule="auto"/>
      <w:rPr>
        <w:rFonts w:ascii="Times New Roman" w:hAnsi="Times New Roman" w:eastAsia="Times New Roman" w:cs="Times New Roman"/>
        <w:sz w:val="19"/>
        <w:szCs w:val="19"/>
      </w:rPr>
    </w:pPr>
    <w:r>
      <w:rPr>
        <w:rFonts w:ascii="Times New Roman" w:hAnsi="Times New Roman" w:eastAsia="Times New Roman" w:cs="Times New Roman"/>
        <w:spacing w:val="-5"/>
        <w:sz w:val="19"/>
        <w:szCs w:val="19"/>
      </w:rPr>
      <w:t>·154·</w: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A99BA0">
    <w:pPr>
      <w:spacing w:line="230" w:lineRule="auto"/>
      <w:ind w:left="8310"/>
      <w:rPr>
        <w:rFonts w:ascii="宋体" w:hAnsi="宋体" w:eastAsia="宋体" w:cs="宋体"/>
        <w:sz w:val="17"/>
        <w:szCs w:val="17"/>
      </w:rPr>
    </w:pPr>
    <w:r>
      <w:rPr>
        <w:rFonts w:ascii="宋体" w:hAnsi="宋体" w:eastAsia="宋体" w:cs="宋体"/>
        <w:spacing w:val="-17"/>
        <w:sz w:val="17"/>
        <w:szCs w:val="17"/>
      </w:rPr>
      <w:t>·11</w:t>
    </w:r>
    <w:r>
      <w:rPr>
        <w:rFonts w:ascii="宋体" w:hAnsi="宋体" w:eastAsia="宋体" w:cs="宋体"/>
        <w:spacing w:val="-19"/>
        <w:sz w:val="17"/>
        <w:szCs w:val="17"/>
      </w:rPr>
      <w:t xml:space="preserve"> </w:t>
    </w:r>
    <w:r>
      <w:rPr>
        <w:rFonts w:ascii="宋体" w:hAnsi="宋体" w:eastAsia="宋体" w:cs="宋体"/>
        <w:spacing w:val="-17"/>
        <w:sz w:val="17"/>
        <w:szCs w:val="17"/>
      </w:rPr>
      <w:t>·</w: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71ABE3">
    <w:pPr>
      <w:spacing w:line="230" w:lineRule="auto"/>
      <w:rPr>
        <w:rFonts w:ascii="宋体" w:hAnsi="宋体" w:eastAsia="宋体" w:cs="宋体"/>
        <w:sz w:val="17"/>
        <w:szCs w:val="17"/>
      </w:rPr>
    </w:pPr>
    <w:r>
      <w:rPr>
        <w:rFonts w:ascii="宋体" w:hAnsi="宋体" w:eastAsia="宋体" w:cs="宋体"/>
        <w:spacing w:val="-17"/>
        <w:sz w:val="17"/>
        <w:szCs w:val="17"/>
      </w:rPr>
      <w:t>·12</w:t>
    </w:r>
    <w:r>
      <w:rPr>
        <w:rFonts w:ascii="宋体" w:hAnsi="宋体" w:eastAsia="宋体" w:cs="宋体"/>
        <w:spacing w:val="-19"/>
        <w:sz w:val="17"/>
        <w:szCs w:val="17"/>
      </w:rPr>
      <w:t xml:space="preserve"> </w:t>
    </w:r>
    <w:r>
      <w:rPr>
        <w:rFonts w:ascii="宋体" w:hAnsi="宋体" w:eastAsia="宋体" w:cs="宋体"/>
        <w:spacing w:val="-17"/>
        <w:sz w:val="17"/>
        <w:szCs w:val="17"/>
      </w:rPr>
      <w:t>·</w: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A47F9E">
    <w:pPr>
      <w:spacing w:line="228" w:lineRule="auto"/>
      <w:jc w:val="right"/>
      <w:rPr>
        <w:rFonts w:ascii="宋体" w:hAnsi="宋体" w:eastAsia="宋体" w:cs="宋体"/>
        <w:sz w:val="17"/>
        <w:szCs w:val="17"/>
      </w:rPr>
    </w:pPr>
    <w:r>
      <w:rPr>
        <w:rFonts w:ascii="宋体" w:hAnsi="宋体" w:eastAsia="宋体" w:cs="宋体"/>
        <w:spacing w:val="-31"/>
        <w:sz w:val="17"/>
        <w:szCs w:val="17"/>
      </w:rPr>
      <w:t>·13 ·</w: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96BEC2">
    <w:pPr>
      <w:spacing w:line="229" w:lineRule="auto"/>
      <w:rPr>
        <w:rFonts w:ascii="宋体" w:hAnsi="宋体" w:eastAsia="宋体" w:cs="宋体"/>
        <w:sz w:val="16"/>
        <w:szCs w:val="16"/>
      </w:rPr>
    </w:pPr>
    <w:r>
      <w:rPr>
        <w:rFonts w:ascii="宋体" w:hAnsi="宋体" w:eastAsia="宋体" w:cs="宋体"/>
        <w:spacing w:val="-16"/>
        <w:sz w:val="16"/>
        <w:szCs w:val="16"/>
      </w:rPr>
      <w:t>·14</w:t>
    </w:r>
    <w:r>
      <w:rPr>
        <w:rFonts w:ascii="宋体" w:hAnsi="宋体" w:eastAsia="宋体" w:cs="宋体"/>
        <w:spacing w:val="-17"/>
        <w:sz w:val="16"/>
        <w:szCs w:val="16"/>
      </w:rPr>
      <w:t xml:space="preserve"> </w:t>
    </w:r>
    <w:r>
      <w:rPr>
        <w:rFonts w:ascii="宋体" w:hAnsi="宋体" w:eastAsia="宋体" w:cs="宋体"/>
        <w:spacing w:val="-16"/>
        <w:sz w:val="16"/>
        <w:szCs w:val="16"/>
      </w:rPr>
      <w:t>·</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91D398">
    <w:pPr>
      <w:spacing w:line="229" w:lineRule="auto"/>
      <w:jc w:val="right"/>
      <w:rPr>
        <w:rFonts w:ascii="宋体" w:hAnsi="宋体" w:eastAsia="宋体" w:cs="宋体"/>
        <w:sz w:val="16"/>
        <w:szCs w:val="16"/>
      </w:rPr>
    </w:pPr>
    <w:r>
      <w:rPr>
        <w:rFonts w:ascii="宋体" w:hAnsi="宋体" w:eastAsia="宋体" w:cs="宋体"/>
        <w:spacing w:val="-41"/>
        <w:sz w:val="16"/>
        <w:szCs w:val="16"/>
      </w:rPr>
      <w:t>·1</w:t>
    </w:r>
    <w:r>
      <w:rPr>
        <w:rFonts w:ascii="宋体" w:hAnsi="宋体" w:eastAsia="宋体" w:cs="宋体"/>
        <w:spacing w:val="-19"/>
        <w:sz w:val="16"/>
        <w:szCs w:val="16"/>
      </w:rPr>
      <w:t xml:space="preserve"> </w:t>
    </w:r>
    <w:r>
      <w:rPr>
        <w:rFonts w:ascii="宋体" w:hAnsi="宋体" w:eastAsia="宋体" w:cs="宋体"/>
        <w:spacing w:val="-41"/>
        <w:sz w:val="16"/>
        <w:szCs w:val="16"/>
      </w:rPr>
      <w:t>·</w: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93C2BE">
    <w:pPr>
      <w:spacing w:line="228" w:lineRule="auto"/>
      <w:jc w:val="right"/>
      <w:rPr>
        <w:rFonts w:ascii="宋体" w:hAnsi="宋体" w:eastAsia="宋体" w:cs="宋体"/>
        <w:sz w:val="17"/>
        <w:szCs w:val="17"/>
      </w:rPr>
    </w:pPr>
    <w:r>
      <w:rPr>
        <w:rFonts w:ascii="宋体" w:hAnsi="宋体" w:eastAsia="宋体" w:cs="宋体"/>
        <w:spacing w:val="-31"/>
        <w:sz w:val="17"/>
        <w:szCs w:val="17"/>
      </w:rPr>
      <w:t>·15 ·</w: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88E09F">
    <w:pPr>
      <w:spacing w:line="228" w:lineRule="auto"/>
      <w:rPr>
        <w:rFonts w:ascii="宋体" w:hAnsi="宋体" w:eastAsia="宋体" w:cs="宋体"/>
        <w:sz w:val="17"/>
        <w:szCs w:val="17"/>
      </w:rPr>
    </w:pPr>
    <w:r>
      <w:rPr>
        <w:rFonts w:ascii="宋体" w:hAnsi="宋体" w:eastAsia="宋体" w:cs="宋体"/>
        <w:spacing w:val="-17"/>
        <w:sz w:val="17"/>
        <w:szCs w:val="17"/>
      </w:rPr>
      <w:t>·16</w:t>
    </w:r>
    <w:r>
      <w:rPr>
        <w:rFonts w:ascii="宋体" w:hAnsi="宋体" w:eastAsia="宋体" w:cs="宋体"/>
        <w:spacing w:val="-19"/>
        <w:sz w:val="17"/>
        <w:szCs w:val="17"/>
      </w:rPr>
      <w:t xml:space="preserve"> </w:t>
    </w:r>
    <w:r>
      <w:rPr>
        <w:rFonts w:ascii="宋体" w:hAnsi="宋体" w:eastAsia="宋体" w:cs="宋体"/>
        <w:spacing w:val="-17"/>
        <w:sz w:val="17"/>
        <w:szCs w:val="17"/>
      </w:rPr>
      <w:t>·</w: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90707E">
    <w:pPr>
      <w:spacing w:line="228" w:lineRule="auto"/>
      <w:jc w:val="right"/>
      <w:rPr>
        <w:rFonts w:ascii="宋体" w:hAnsi="宋体" w:eastAsia="宋体" w:cs="宋体"/>
        <w:sz w:val="17"/>
        <w:szCs w:val="17"/>
      </w:rPr>
    </w:pPr>
    <w:r>
      <w:rPr>
        <w:rFonts w:ascii="宋体" w:hAnsi="宋体" w:eastAsia="宋体" w:cs="宋体"/>
        <w:spacing w:val="-31"/>
        <w:sz w:val="17"/>
        <w:szCs w:val="17"/>
      </w:rPr>
      <w:t>·17 ·</w: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12B592">
    <w:pPr>
      <w:spacing w:line="228" w:lineRule="auto"/>
      <w:rPr>
        <w:rFonts w:ascii="宋体" w:hAnsi="宋体" w:eastAsia="宋体" w:cs="宋体"/>
        <w:sz w:val="17"/>
        <w:szCs w:val="17"/>
      </w:rPr>
    </w:pPr>
    <w:r>
      <w:rPr>
        <w:rFonts w:ascii="宋体" w:hAnsi="宋体" w:eastAsia="宋体" w:cs="宋体"/>
        <w:spacing w:val="-17"/>
        <w:sz w:val="17"/>
        <w:szCs w:val="17"/>
      </w:rPr>
      <w:t>·18</w:t>
    </w:r>
    <w:r>
      <w:rPr>
        <w:rFonts w:ascii="宋体" w:hAnsi="宋体" w:eastAsia="宋体" w:cs="宋体"/>
        <w:spacing w:val="-19"/>
        <w:sz w:val="17"/>
        <w:szCs w:val="17"/>
      </w:rPr>
      <w:t xml:space="preserve"> </w:t>
    </w:r>
    <w:r>
      <w:rPr>
        <w:rFonts w:ascii="宋体" w:hAnsi="宋体" w:eastAsia="宋体" w:cs="宋体"/>
        <w:spacing w:val="-17"/>
        <w:sz w:val="17"/>
        <w:szCs w:val="17"/>
      </w:rPr>
      <w:t>·</w: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5EA714">
    <w:pPr>
      <w:spacing w:line="228" w:lineRule="auto"/>
      <w:jc w:val="right"/>
      <w:rPr>
        <w:rFonts w:ascii="宋体" w:hAnsi="宋体" w:eastAsia="宋体" w:cs="宋体"/>
        <w:sz w:val="17"/>
        <w:szCs w:val="17"/>
      </w:rPr>
    </w:pPr>
    <w:r>
      <w:rPr>
        <w:rFonts w:ascii="宋体" w:hAnsi="宋体" w:eastAsia="宋体" w:cs="宋体"/>
        <w:spacing w:val="-31"/>
        <w:sz w:val="17"/>
        <w:szCs w:val="17"/>
      </w:rPr>
      <w:t>·19 ·</w:t>
    </w: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38578A">
    <w:pPr>
      <w:spacing w:line="227" w:lineRule="auto"/>
      <w:rPr>
        <w:rFonts w:ascii="宋体" w:hAnsi="宋体" w:eastAsia="宋体" w:cs="宋体"/>
        <w:sz w:val="16"/>
        <w:szCs w:val="16"/>
      </w:rPr>
    </w:pPr>
    <w:r>
      <w:rPr>
        <w:rFonts w:ascii="宋体" w:hAnsi="宋体" w:eastAsia="宋体" w:cs="宋体"/>
        <w:spacing w:val="-16"/>
        <w:sz w:val="16"/>
        <w:szCs w:val="16"/>
      </w:rPr>
      <w:t>·20</w:t>
    </w:r>
    <w:r>
      <w:rPr>
        <w:rFonts w:ascii="宋体" w:hAnsi="宋体" w:eastAsia="宋体" w:cs="宋体"/>
        <w:spacing w:val="-17"/>
        <w:sz w:val="16"/>
        <w:szCs w:val="16"/>
      </w:rPr>
      <w:t xml:space="preserve"> </w:t>
    </w:r>
    <w:r>
      <w:rPr>
        <w:rFonts w:ascii="宋体" w:hAnsi="宋体" w:eastAsia="宋体" w:cs="宋体"/>
        <w:spacing w:val="-16"/>
        <w:sz w:val="16"/>
        <w:szCs w:val="16"/>
      </w:rPr>
      <w:t>·</w:t>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5C4E32">
    <w:pPr>
      <w:spacing w:line="230" w:lineRule="auto"/>
      <w:jc w:val="right"/>
      <w:rPr>
        <w:rFonts w:ascii="宋体" w:hAnsi="宋体" w:eastAsia="宋体" w:cs="宋体"/>
        <w:sz w:val="17"/>
        <w:szCs w:val="17"/>
      </w:rPr>
    </w:pPr>
    <w:r>
      <w:rPr>
        <w:rFonts w:ascii="宋体" w:hAnsi="宋体" w:eastAsia="宋体" w:cs="宋体"/>
        <w:spacing w:val="-31"/>
        <w:sz w:val="17"/>
        <w:szCs w:val="17"/>
      </w:rPr>
      <w:t>·21 ·</w:t>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A3AE0C">
    <w:pPr>
      <w:spacing w:line="230" w:lineRule="auto"/>
      <w:rPr>
        <w:rFonts w:ascii="宋体" w:hAnsi="宋体" w:eastAsia="宋体" w:cs="宋体"/>
        <w:sz w:val="17"/>
        <w:szCs w:val="17"/>
      </w:rPr>
    </w:pPr>
    <w:r>
      <w:rPr>
        <w:rFonts w:ascii="宋体" w:hAnsi="宋体" w:eastAsia="宋体" w:cs="宋体"/>
        <w:spacing w:val="-17"/>
        <w:sz w:val="17"/>
        <w:szCs w:val="17"/>
      </w:rPr>
      <w:t>·22</w:t>
    </w:r>
    <w:r>
      <w:rPr>
        <w:rFonts w:ascii="宋体" w:hAnsi="宋体" w:eastAsia="宋体" w:cs="宋体"/>
        <w:spacing w:val="-19"/>
        <w:sz w:val="17"/>
        <w:szCs w:val="17"/>
      </w:rPr>
      <w:t xml:space="preserve"> </w:t>
    </w:r>
    <w:r>
      <w:rPr>
        <w:rFonts w:ascii="宋体" w:hAnsi="宋体" w:eastAsia="宋体" w:cs="宋体"/>
        <w:spacing w:val="-17"/>
        <w:sz w:val="17"/>
        <w:szCs w:val="17"/>
      </w:rPr>
      <w:t>·</w:t>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03DC51">
    <w:pPr>
      <w:spacing w:line="228" w:lineRule="auto"/>
      <w:jc w:val="right"/>
      <w:rPr>
        <w:rFonts w:ascii="宋体" w:hAnsi="宋体" w:eastAsia="宋体" w:cs="宋体"/>
        <w:sz w:val="17"/>
        <w:szCs w:val="17"/>
      </w:rPr>
    </w:pPr>
    <w:r>
      <w:rPr>
        <w:rFonts w:ascii="宋体" w:hAnsi="宋体" w:eastAsia="宋体" w:cs="宋体"/>
        <w:spacing w:val="-31"/>
        <w:sz w:val="17"/>
        <w:szCs w:val="17"/>
      </w:rPr>
      <w:t>·23 ·</w:t>
    </w: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F04942">
    <w:pPr>
      <w:spacing w:line="230" w:lineRule="auto"/>
      <w:rPr>
        <w:rFonts w:ascii="宋体" w:hAnsi="宋体" w:eastAsia="宋体" w:cs="宋体"/>
        <w:sz w:val="17"/>
        <w:szCs w:val="17"/>
      </w:rPr>
    </w:pPr>
    <w:r>
      <w:rPr>
        <w:rFonts w:ascii="宋体" w:hAnsi="宋体" w:eastAsia="宋体" w:cs="宋体"/>
        <w:spacing w:val="-17"/>
        <w:sz w:val="17"/>
        <w:szCs w:val="17"/>
      </w:rPr>
      <w:t>·24</w:t>
    </w:r>
    <w:r>
      <w:rPr>
        <w:rFonts w:ascii="宋体" w:hAnsi="宋体" w:eastAsia="宋体" w:cs="宋体"/>
        <w:spacing w:val="-19"/>
        <w:sz w:val="17"/>
        <w:szCs w:val="17"/>
      </w:rPr>
      <w:t xml:space="preserve"> </w:t>
    </w:r>
    <w:r>
      <w:rPr>
        <w:rFonts w:ascii="宋体" w:hAnsi="宋体" w:eastAsia="宋体" w:cs="宋体"/>
        <w:spacing w:val="-17"/>
        <w:sz w:val="17"/>
        <w:szCs w:val="17"/>
      </w:rPr>
      <w:t>·</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0D8A67">
    <w:pPr>
      <w:pStyle w:val="2"/>
      <w:spacing w:line="14" w:lineRule="auto"/>
      <w:rPr>
        <w:sz w:val="2"/>
      </w:rPr>
    </w:pP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00E1D8">
    <w:pPr>
      <w:spacing w:line="228" w:lineRule="auto"/>
      <w:jc w:val="right"/>
      <w:rPr>
        <w:rFonts w:ascii="宋体" w:hAnsi="宋体" w:eastAsia="宋体" w:cs="宋体"/>
        <w:sz w:val="17"/>
        <w:szCs w:val="17"/>
      </w:rPr>
    </w:pPr>
    <w:r>
      <w:rPr>
        <w:rFonts w:ascii="宋体" w:hAnsi="宋体" w:eastAsia="宋体" w:cs="宋体"/>
        <w:spacing w:val="-31"/>
        <w:sz w:val="17"/>
        <w:szCs w:val="17"/>
      </w:rPr>
      <w:t>·25 ·</w:t>
    </w: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E44C18">
    <w:pPr>
      <w:spacing w:line="228" w:lineRule="auto"/>
      <w:rPr>
        <w:rFonts w:ascii="宋体" w:hAnsi="宋体" w:eastAsia="宋体" w:cs="宋体"/>
        <w:sz w:val="17"/>
        <w:szCs w:val="17"/>
      </w:rPr>
    </w:pPr>
    <w:r>
      <w:rPr>
        <w:rFonts w:ascii="宋体" w:hAnsi="宋体" w:eastAsia="宋体" w:cs="宋体"/>
        <w:spacing w:val="-17"/>
        <w:sz w:val="17"/>
        <w:szCs w:val="17"/>
      </w:rPr>
      <w:t>·26</w:t>
    </w:r>
    <w:r>
      <w:rPr>
        <w:rFonts w:ascii="宋体" w:hAnsi="宋体" w:eastAsia="宋体" w:cs="宋体"/>
        <w:spacing w:val="-19"/>
        <w:sz w:val="17"/>
        <w:szCs w:val="17"/>
      </w:rPr>
      <w:t xml:space="preserve"> </w:t>
    </w:r>
    <w:r>
      <w:rPr>
        <w:rFonts w:ascii="宋体" w:hAnsi="宋体" w:eastAsia="宋体" w:cs="宋体"/>
        <w:spacing w:val="-17"/>
        <w:sz w:val="17"/>
        <w:szCs w:val="17"/>
      </w:rPr>
      <w:t>·</w:t>
    </w: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F07808">
    <w:pPr>
      <w:spacing w:line="227" w:lineRule="auto"/>
      <w:jc w:val="right"/>
      <w:rPr>
        <w:rFonts w:ascii="宋体" w:hAnsi="宋体" w:eastAsia="宋体" w:cs="宋体"/>
        <w:sz w:val="16"/>
        <w:szCs w:val="16"/>
      </w:rPr>
    </w:pPr>
    <w:r>
      <w:rPr>
        <w:rFonts w:ascii="宋体" w:hAnsi="宋体" w:eastAsia="宋体" w:cs="宋体"/>
        <w:spacing w:val="-29"/>
        <w:sz w:val="16"/>
        <w:szCs w:val="16"/>
      </w:rPr>
      <w:t>·27 ·</w:t>
    </w: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57375A">
    <w:pPr>
      <w:spacing w:line="228" w:lineRule="auto"/>
      <w:rPr>
        <w:rFonts w:ascii="宋体" w:hAnsi="宋体" w:eastAsia="宋体" w:cs="宋体"/>
        <w:sz w:val="17"/>
        <w:szCs w:val="17"/>
      </w:rPr>
    </w:pPr>
    <w:r>
      <w:rPr>
        <w:rFonts w:ascii="宋体" w:hAnsi="宋体" w:eastAsia="宋体" w:cs="宋体"/>
        <w:spacing w:val="-17"/>
        <w:sz w:val="17"/>
        <w:szCs w:val="17"/>
      </w:rPr>
      <w:t>·28</w:t>
    </w:r>
    <w:r>
      <w:rPr>
        <w:rFonts w:ascii="宋体" w:hAnsi="宋体" w:eastAsia="宋体" w:cs="宋体"/>
        <w:spacing w:val="-19"/>
        <w:sz w:val="17"/>
        <w:szCs w:val="17"/>
      </w:rPr>
      <w:t xml:space="preserve"> </w:t>
    </w:r>
    <w:r>
      <w:rPr>
        <w:rFonts w:ascii="宋体" w:hAnsi="宋体" w:eastAsia="宋体" w:cs="宋体"/>
        <w:spacing w:val="-17"/>
        <w:sz w:val="17"/>
        <w:szCs w:val="17"/>
      </w:rPr>
      <w:t>·</w:t>
    </w: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987256">
    <w:pPr>
      <w:spacing w:line="228" w:lineRule="auto"/>
      <w:jc w:val="right"/>
      <w:rPr>
        <w:rFonts w:ascii="宋体" w:hAnsi="宋体" w:eastAsia="宋体" w:cs="宋体"/>
        <w:sz w:val="17"/>
        <w:szCs w:val="17"/>
      </w:rPr>
    </w:pPr>
    <w:r>
      <w:rPr>
        <w:rFonts w:ascii="宋体" w:hAnsi="宋体" w:eastAsia="宋体" w:cs="宋体"/>
        <w:spacing w:val="-31"/>
        <w:sz w:val="17"/>
        <w:szCs w:val="17"/>
      </w:rPr>
      <w:t>·29 ·</w:t>
    </w: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1318E2">
    <w:pPr>
      <w:spacing w:line="228" w:lineRule="auto"/>
      <w:rPr>
        <w:rFonts w:ascii="宋体" w:hAnsi="宋体" w:eastAsia="宋体" w:cs="宋体"/>
        <w:sz w:val="17"/>
        <w:szCs w:val="17"/>
      </w:rPr>
    </w:pPr>
    <w:r>
      <w:rPr>
        <w:rFonts w:ascii="宋体" w:hAnsi="宋体" w:eastAsia="宋体" w:cs="宋体"/>
        <w:spacing w:val="-17"/>
        <w:sz w:val="17"/>
        <w:szCs w:val="17"/>
      </w:rPr>
      <w:t>·30</w:t>
    </w:r>
    <w:r>
      <w:rPr>
        <w:rFonts w:ascii="宋体" w:hAnsi="宋体" w:eastAsia="宋体" w:cs="宋体"/>
        <w:spacing w:val="-19"/>
        <w:sz w:val="17"/>
        <w:szCs w:val="17"/>
      </w:rPr>
      <w:t xml:space="preserve"> </w:t>
    </w:r>
    <w:r>
      <w:rPr>
        <w:rFonts w:ascii="宋体" w:hAnsi="宋体" w:eastAsia="宋体" w:cs="宋体"/>
        <w:spacing w:val="-17"/>
        <w:sz w:val="17"/>
        <w:szCs w:val="17"/>
      </w:rPr>
      <w:t>·</w:t>
    </w: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58081B">
    <w:pPr>
      <w:spacing w:line="228" w:lineRule="auto"/>
      <w:jc w:val="right"/>
      <w:rPr>
        <w:rFonts w:ascii="宋体" w:hAnsi="宋体" w:eastAsia="宋体" w:cs="宋体"/>
        <w:sz w:val="17"/>
        <w:szCs w:val="17"/>
      </w:rPr>
    </w:pPr>
    <w:r>
      <w:rPr>
        <w:rFonts w:ascii="宋体" w:hAnsi="宋体" w:eastAsia="宋体" w:cs="宋体"/>
        <w:spacing w:val="-31"/>
        <w:sz w:val="17"/>
        <w:szCs w:val="17"/>
      </w:rPr>
      <w:t>·31 ·</w:t>
    </w: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69D29E">
    <w:pPr>
      <w:spacing w:line="228" w:lineRule="auto"/>
      <w:rPr>
        <w:rFonts w:ascii="宋体" w:hAnsi="宋体" w:eastAsia="宋体" w:cs="宋体"/>
        <w:sz w:val="17"/>
        <w:szCs w:val="17"/>
      </w:rPr>
    </w:pPr>
    <w:r>
      <w:rPr>
        <w:rFonts w:ascii="宋体" w:hAnsi="宋体" w:eastAsia="宋体" w:cs="宋体"/>
        <w:spacing w:val="-17"/>
        <w:sz w:val="17"/>
        <w:szCs w:val="17"/>
      </w:rPr>
      <w:t>·32</w:t>
    </w:r>
    <w:r>
      <w:rPr>
        <w:rFonts w:ascii="宋体" w:hAnsi="宋体" w:eastAsia="宋体" w:cs="宋体"/>
        <w:spacing w:val="-19"/>
        <w:sz w:val="17"/>
        <w:szCs w:val="17"/>
      </w:rPr>
      <w:t xml:space="preserve"> </w:t>
    </w:r>
    <w:r>
      <w:rPr>
        <w:rFonts w:ascii="宋体" w:hAnsi="宋体" w:eastAsia="宋体" w:cs="宋体"/>
        <w:spacing w:val="-17"/>
        <w:sz w:val="17"/>
        <w:szCs w:val="17"/>
      </w:rPr>
      <w:t>·</w:t>
    </w: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B76D14">
    <w:pPr>
      <w:spacing w:line="228" w:lineRule="auto"/>
      <w:jc w:val="right"/>
      <w:rPr>
        <w:rFonts w:ascii="宋体" w:hAnsi="宋体" w:eastAsia="宋体" w:cs="宋体"/>
        <w:sz w:val="17"/>
        <w:szCs w:val="17"/>
      </w:rPr>
    </w:pPr>
    <w:r>
      <w:rPr>
        <w:rFonts w:ascii="宋体" w:hAnsi="宋体" w:eastAsia="宋体" w:cs="宋体"/>
        <w:spacing w:val="-31"/>
        <w:sz w:val="17"/>
        <w:szCs w:val="17"/>
      </w:rPr>
      <w:t>·33 ·</w:t>
    </w: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429AB4">
    <w:pPr>
      <w:spacing w:line="228" w:lineRule="auto"/>
      <w:rPr>
        <w:rFonts w:ascii="宋体" w:hAnsi="宋体" w:eastAsia="宋体" w:cs="宋体"/>
        <w:sz w:val="17"/>
        <w:szCs w:val="17"/>
      </w:rPr>
    </w:pPr>
    <w:r>
      <w:rPr>
        <w:rFonts w:ascii="宋体" w:hAnsi="宋体" w:eastAsia="宋体" w:cs="宋体"/>
        <w:spacing w:val="-17"/>
        <w:sz w:val="17"/>
        <w:szCs w:val="17"/>
      </w:rPr>
      <w:t>·34</w:t>
    </w:r>
    <w:r>
      <w:rPr>
        <w:rFonts w:ascii="宋体" w:hAnsi="宋体" w:eastAsia="宋体" w:cs="宋体"/>
        <w:spacing w:val="-19"/>
        <w:sz w:val="17"/>
        <w:szCs w:val="17"/>
      </w:rPr>
      <w:t xml:space="preserve"> </w:t>
    </w:r>
    <w:r>
      <w:rPr>
        <w:rFonts w:ascii="宋体" w:hAnsi="宋体" w:eastAsia="宋体" w:cs="宋体"/>
        <w:spacing w:val="-17"/>
        <w:sz w:val="17"/>
        <w:szCs w:val="17"/>
      </w:rPr>
      <w:t>·</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D92178">
    <w:pPr>
      <w:spacing w:line="179" w:lineRule="auto"/>
      <w:ind w:right="12"/>
      <w:jc w:val="right"/>
      <w:rPr>
        <w:rFonts w:ascii="Times New Roman" w:hAnsi="Times New Roman" w:eastAsia="Times New Roman" w:cs="Times New Roman"/>
        <w:sz w:val="24"/>
        <w:szCs w:val="24"/>
      </w:rPr>
    </w:pPr>
    <w:r>
      <w:rPr>
        <w:rFonts w:ascii="Times New Roman" w:hAnsi="Times New Roman" w:eastAsia="Times New Roman" w:cs="Times New Roman"/>
        <w:spacing w:val="-10"/>
        <w:sz w:val="24"/>
        <w:szCs w:val="24"/>
      </w:rPr>
      <w:t>·1</w:t>
    </w:r>
    <w:r>
      <w:rPr>
        <w:rFonts w:ascii="Times New Roman" w:hAnsi="Times New Roman" w:eastAsia="Times New Roman" w:cs="Times New Roman"/>
        <w:spacing w:val="-32"/>
        <w:sz w:val="24"/>
        <w:szCs w:val="24"/>
      </w:rPr>
      <w:t xml:space="preserve"> </w:t>
    </w:r>
    <w:r>
      <w:rPr>
        <w:rFonts w:ascii="Times New Roman" w:hAnsi="Times New Roman" w:eastAsia="Times New Roman" w:cs="Times New Roman"/>
        <w:spacing w:val="-10"/>
        <w:sz w:val="24"/>
        <w:szCs w:val="24"/>
      </w:rPr>
      <w:t>·</w:t>
    </w:r>
  </w:p>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38BEEE">
    <w:pPr>
      <w:spacing w:line="228" w:lineRule="auto"/>
      <w:jc w:val="right"/>
      <w:rPr>
        <w:rFonts w:ascii="宋体" w:hAnsi="宋体" w:eastAsia="宋体" w:cs="宋体"/>
        <w:sz w:val="17"/>
        <w:szCs w:val="17"/>
      </w:rPr>
    </w:pPr>
    <w:r>
      <w:rPr>
        <w:rFonts w:ascii="宋体" w:hAnsi="宋体" w:eastAsia="宋体" w:cs="宋体"/>
        <w:spacing w:val="-31"/>
        <w:sz w:val="17"/>
        <w:szCs w:val="17"/>
      </w:rPr>
      <w:t>·35 ·</w:t>
    </w:r>
  </w:p>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AEE857">
    <w:pPr>
      <w:spacing w:line="227" w:lineRule="auto"/>
      <w:rPr>
        <w:rFonts w:ascii="宋体" w:hAnsi="宋体" w:eastAsia="宋体" w:cs="宋体"/>
        <w:sz w:val="16"/>
        <w:szCs w:val="16"/>
      </w:rPr>
    </w:pPr>
    <w:r>
      <w:rPr>
        <w:rFonts w:ascii="宋体" w:hAnsi="宋体" w:eastAsia="宋体" w:cs="宋体"/>
        <w:spacing w:val="-16"/>
        <w:sz w:val="16"/>
        <w:szCs w:val="16"/>
      </w:rPr>
      <w:t>·36</w:t>
    </w:r>
    <w:r>
      <w:rPr>
        <w:rFonts w:ascii="宋体" w:hAnsi="宋体" w:eastAsia="宋体" w:cs="宋体"/>
        <w:spacing w:val="-17"/>
        <w:sz w:val="16"/>
        <w:szCs w:val="16"/>
      </w:rPr>
      <w:t xml:space="preserve"> </w:t>
    </w:r>
    <w:r>
      <w:rPr>
        <w:rFonts w:ascii="宋体" w:hAnsi="宋体" w:eastAsia="宋体" w:cs="宋体"/>
        <w:spacing w:val="-16"/>
        <w:sz w:val="16"/>
        <w:szCs w:val="16"/>
      </w:rPr>
      <w:t>·</w:t>
    </w:r>
  </w:p>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75AF6C">
    <w:pPr>
      <w:spacing w:line="228" w:lineRule="auto"/>
      <w:jc w:val="right"/>
      <w:rPr>
        <w:rFonts w:ascii="宋体" w:hAnsi="宋体" w:eastAsia="宋体" w:cs="宋体"/>
        <w:sz w:val="17"/>
        <w:szCs w:val="17"/>
      </w:rPr>
    </w:pPr>
    <w:r>
      <w:rPr>
        <w:rFonts w:ascii="宋体" w:hAnsi="宋体" w:eastAsia="宋体" w:cs="宋体"/>
        <w:spacing w:val="-31"/>
        <w:sz w:val="17"/>
        <w:szCs w:val="17"/>
      </w:rPr>
      <w:t>·37 ·</w:t>
    </w:r>
  </w:p>
</w:ftr>
</file>

<file path=word/footer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3206A9">
    <w:pPr>
      <w:spacing w:line="228" w:lineRule="auto"/>
      <w:rPr>
        <w:rFonts w:ascii="宋体" w:hAnsi="宋体" w:eastAsia="宋体" w:cs="宋体"/>
        <w:sz w:val="17"/>
        <w:szCs w:val="17"/>
      </w:rPr>
    </w:pPr>
    <w:r>
      <w:rPr>
        <w:rFonts w:ascii="宋体" w:hAnsi="宋体" w:eastAsia="宋体" w:cs="宋体"/>
        <w:spacing w:val="-17"/>
        <w:sz w:val="17"/>
        <w:szCs w:val="17"/>
      </w:rPr>
      <w:t>·38</w:t>
    </w:r>
    <w:r>
      <w:rPr>
        <w:rFonts w:ascii="宋体" w:hAnsi="宋体" w:eastAsia="宋体" w:cs="宋体"/>
        <w:spacing w:val="-19"/>
        <w:sz w:val="17"/>
        <w:szCs w:val="17"/>
      </w:rPr>
      <w:t xml:space="preserve"> </w:t>
    </w:r>
    <w:r>
      <w:rPr>
        <w:rFonts w:ascii="宋体" w:hAnsi="宋体" w:eastAsia="宋体" w:cs="宋体"/>
        <w:spacing w:val="-17"/>
        <w:sz w:val="17"/>
        <w:szCs w:val="17"/>
      </w:rPr>
      <w:t>·</w:t>
    </w:r>
  </w:p>
</w:ftr>
</file>

<file path=word/footer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B51863">
    <w:pPr>
      <w:spacing w:line="228" w:lineRule="auto"/>
      <w:jc w:val="right"/>
      <w:rPr>
        <w:rFonts w:ascii="宋体" w:hAnsi="宋体" w:eastAsia="宋体" w:cs="宋体"/>
        <w:sz w:val="17"/>
        <w:szCs w:val="17"/>
      </w:rPr>
    </w:pPr>
    <w:r>
      <w:rPr>
        <w:rFonts w:ascii="宋体" w:hAnsi="宋体" w:eastAsia="宋体" w:cs="宋体"/>
        <w:spacing w:val="-31"/>
        <w:sz w:val="17"/>
        <w:szCs w:val="17"/>
      </w:rPr>
      <w:t>·39 ·</w:t>
    </w:r>
  </w:p>
</w:ftr>
</file>

<file path=word/footer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AEC448">
    <w:pPr>
      <w:spacing w:line="228" w:lineRule="auto"/>
      <w:rPr>
        <w:rFonts w:ascii="宋体" w:hAnsi="宋体" w:eastAsia="宋体" w:cs="宋体"/>
        <w:sz w:val="17"/>
        <w:szCs w:val="17"/>
      </w:rPr>
    </w:pPr>
    <w:r>
      <w:rPr>
        <w:rFonts w:ascii="宋体" w:hAnsi="宋体" w:eastAsia="宋体" w:cs="宋体"/>
        <w:spacing w:val="-17"/>
        <w:sz w:val="17"/>
        <w:szCs w:val="17"/>
      </w:rPr>
      <w:t>·40</w:t>
    </w:r>
    <w:r>
      <w:rPr>
        <w:rFonts w:ascii="宋体" w:hAnsi="宋体" w:eastAsia="宋体" w:cs="宋体"/>
        <w:spacing w:val="-19"/>
        <w:sz w:val="17"/>
        <w:szCs w:val="17"/>
      </w:rPr>
      <w:t xml:space="preserve"> </w:t>
    </w:r>
    <w:r>
      <w:rPr>
        <w:rFonts w:ascii="宋体" w:hAnsi="宋体" w:eastAsia="宋体" w:cs="宋体"/>
        <w:spacing w:val="-17"/>
        <w:sz w:val="17"/>
        <w:szCs w:val="17"/>
      </w:rPr>
      <w:t>·</w:t>
    </w:r>
  </w:p>
</w:ftr>
</file>

<file path=word/footer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B410C6">
    <w:pPr>
      <w:spacing w:line="230" w:lineRule="auto"/>
      <w:jc w:val="right"/>
      <w:rPr>
        <w:rFonts w:ascii="宋体" w:hAnsi="宋体" w:eastAsia="宋体" w:cs="宋体"/>
        <w:sz w:val="17"/>
        <w:szCs w:val="17"/>
      </w:rPr>
    </w:pPr>
    <w:r>
      <w:rPr>
        <w:rFonts w:ascii="宋体" w:hAnsi="宋体" w:eastAsia="宋体" w:cs="宋体"/>
        <w:spacing w:val="-31"/>
        <w:sz w:val="17"/>
        <w:szCs w:val="17"/>
      </w:rPr>
      <w:t>·41 ·</w:t>
    </w:r>
  </w:p>
</w:ftr>
</file>

<file path=word/footer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56C47A">
    <w:pPr>
      <w:spacing w:line="229" w:lineRule="auto"/>
      <w:rPr>
        <w:rFonts w:ascii="宋体" w:hAnsi="宋体" w:eastAsia="宋体" w:cs="宋体"/>
        <w:sz w:val="16"/>
        <w:szCs w:val="16"/>
      </w:rPr>
    </w:pPr>
    <w:r>
      <w:rPr>
        <w:rFonts w:ascii="宋体" w:hAnsi="宋体" w:eastAsia="宋体" w:cs="宋体"/>
        <w:spacing w:val="-16"/>
        <w:sz w:val="16"/>
        <w:szCs w:val="16"/>
      </w:rPr>
      <w:t>·42</w:t>
    </w:r>
    <w:r>
      <w:rPr>
        <w:rFonts w:ascii="宋体" w:hAnsi="宋体" w:eastAsia="宋体" w:cs="宋体"/>
        <w:spacing w:val="-17"/>
        <w:sz w:val="16"/>
        <w:szCs w:val="16"/>
      </w:rPr>
      <w:t xml:space="preserve"> </w:t>
    </w:r>
    <w:r>
      <w:rPr>
        <w:rFonts w:ascii="宋体" w:hAnsi="宋体" w:eastAsia="宋体" w:cs="宋体"/>
        <w:spacing w:val="-16"/>
        <w:sz w:val="16"/>
        <w:szCs w:val="16"/>
      </w:rPr>
      <w:t>·</w:t>
    </w:r>
  </w:p>
</w:ftr>
</file>

<file path=word/footer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26775D">
    <w:pPr>
      <w:spacing w:line="228" w:lineRule="auto"/>
      <w:jc w:val="right"/>
      <w:rPr>
        <w:rFonts w:ascii="宋体" w:hAnsi="宋体" w:eastAsia="宋体" w:cs="宋体"/>
        <w:sz w:val="17"/>
        <w:szCs w:val="17"/>
      </w:rPr>
    </w:pPr>
    <w:r>
      <w:rPr>
        <w:rFonts w:ascii="宋体" w:hAnsi="宋体" w:eastAsia="宋体" w:cs="宋体"/>
        <w:spacing w:val="-31"/>
        <w:sz w:val="17"/>
        <w:szCs w:val="17"/>
      </w:rPr>
      <w:t>·43 ·</w:t>
    </w:r>
  </w:p>
</w:ftr>
</file>

<file path=word/footer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6EE190">
    <w:pPr>
      <w:spacing w:line="229" w:lineRule="auto"/>
      <w:rPr>
        <w:rFonts w:ascii="宋体" w:hAnsi="宋体" w:eastAsia="宋体" w:cs="宋体"/>
        <w:sz w:val="16"/>
        <w:szCs w:val="16"/>
      </w:rPr>
    </w:pPr>
    <w:r>
      <w:rPr>
        <w:rFonts w:ascii="宋体" w:hAnsi="宋体" w:eastAsia="宋体" w:cs="宋体"/>
        <w:spacing w:val="-16"/>
        <w:sz w:val="16"/>
        <w:szCs w:val="16"/>
      </w:rPr>
      <w:t>·44</w:t>
    </w:r>
    <w:r>
      <w:rPr>
        <w:rFonts w:ascii="宋体" w:hAnsi="宋体" w:eastAsia="宋体" w:cs="宋体"/>
        <w:spacing w:val="-17"/>
        <w:sz w:val="16"/>
        <w:szCs w:val="16"/>
      </w:rPr>
      <w:t xml:space="preserve"> </w:t>
    </w:r>
    <w:r>
      <w:rPr>
        <w:rFonts w:ascii="宋体" w:hAnsi="宋体" w:eastAsia="宋体" w:cs="宋体"/>
        <w:spacing w:val="-16"/>
        <w:sz w:val="16"/>
        <w:szCs w:val="16"/>
      </w:rPr>
      <w:t>·</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82C6C7">
    <w:pPr>
      <w:spacing w:line="179" w:lineRule="auto"/>
      <w:rPr>
        <w:rFonts w:ascii="Times New Roman" w:hAnsi="Times New Roman" w:eastAsia="Times New Roman" w:cs="Times New Roman"/>
        <w:sz w:val="24"/>
        <w:szCs w:val="24"/>
      </w:rPr>
    </w:pPr>
    <w:r>
      <w:rPr>
        <w:rFonts w:ascii="Times New Roman" w:hAnsi="Times New Roman" w:eastAsia="Times New Roman" w:cs="Times New Roman"/>
        <w:spacing w:val="-10"/>
        <w:sz w:val="24"/>
        <w:szCs w:val="24"/>
      </w:rPr>
      <w:t>·2·</w:t>
    </w:r>
  </w:p>
</w:ftr>
</file>

<file path=word/footer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56842C">
    <w:pPr>
      <w:spacing w:line="228" w:lineRule="auto"/>
      <w:jc w:val="right"/>
      <w:rPr>
        <w:rFonts w:ascii="宋体" w:hAnsi="宋体" w:eastAsia="宋体" w:cs="宋体"/>
        <w:sz w:val="17"/>
        <w:szCs w:val="17"/>
      </w:rPr>
    </w:pPr>
    <w:r>
      <w:rPr>
        <w:rFonts w:ascii="宋体" w:hAnsi="宋体" w:eastAsia="宋体" w:cs="宋体"/>
        <w:spacing w:val="-31"/>
        <w:sz w:val="17"/>
        <w:szCs w:val="17"/>
      </w:rPr>
      <w:t>·45 ·</w:t>
    </w:r>
  </w:p>
</w:ftr>
</file>

<file path=word/footer5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8C63C6">
    <w:pPr>
      <w:spacing w:line="227" w:lineRule="auto"/>
      <w:rPr>
        <w:rFonts w:ascii="宋体" w:hAnsi="宋体" w:eastAsia="宋体" w:cs="宋体"/>
        <w:sz w:val="16"/>
        <w:szCs w:val="16"/>
      </w:rPr>
    </w:pPr>
    <w:r>
      <w:rPr>
        <w:rFonts w:ascii="宋体" w:hAnsi="宋体" w:eastAsia="宋体" w:cs="宋体"/>
        <w:spacing w:val="-16"/>
        <w:sz w:val="16"/>
        <w:szCs w:val="16"/>
      </w:rPr>
      <w:t>·46</w:t>
    </w:r>
    <w:r>
      <w:rPr>
        <w:rFonts w:ascii="宋体" w:hAnsi="宋体" w:eastAsia="宋体" w:cs="宋体"/>
        <w:spacing w:val="-17"/>
        <w:sz w:val="16"/>
        <w:szCs w:val="16"/>
      </w:rPr>
      <w:t xml:space="preserve"> </w:t>
    </w:r>
    <w:r>
      <w:rPr>
        <w:rFonts w:ascii="宋体" w:hAnsi="宋体" w:eastAsia="宋体" w:cs="宋体"/>
        <w:spacing w:val="-16"/>
        <w:sz w:val="16"/>
        <w:szCs w:val="16"/>
      </w:rPr>
      <w:t>·</w:t>
    </w:r>
  </w:p>
</w:ftr>
</file>

<file path=word/footer5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B350CF">
    <w:pPr>
      <w:spacing w:line="228" w:lineRule="auto"/>
      <w:ind w:left="8294"/>
      <w:rPr>
        <w:rFonts w:ascii="宋体" w:hAnsi="宋体" w:eastAsia="宋体" w:cs="宋体"/>
        <w:sz w:val="17"/>
        <w:szCs w:val="17"/>
      </w:rPr>
    </w:pPr>
    <w:r>
      <w:rPr>
        <w:rFonts w:ascii="宋体" w:hAnsi="宋体" w:eastAsia="宋体" w:cs="宋体"/>
        <w:spacing w:val="-17"/>
        <w:sz w:val="17"/>
        <w:szCs w:val="17"/>
      </w:rPr>
      <w:t>·47</w:t>
    </w:r>
    <w:r>
      <w:rPr>
        <w:rFonts w:ascii="宋体" w:hAnsi="宋体" w:eastAsia="宋体" w:cs="宋体"/>
        <w:spacing w:val="-19"/>
        <w:sz w:val="17"/>
        <w:szCs w:val="17"/>
      </w:rPr>
      <w:t xml:space="preserve"> </w:t>
    </w:r>
    <w:r>
      <w:rPr>
        <w:rFonts w:ascii="宋体" w:hAnsi="宋体" w:eastAsia="宋体" w:cs="宋体"/>
        <w:spacing w:val="-17"/>
        <w:sz w:val="17"/>
        <w:szCs w:val="17"/>
      </w:rPr>
      <w:t>·</w:t>
    </w:r>
  </w:p>
</w:ftr>
</file>

<file path=word/footer5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77F6C7">
    <w:pPr>
      <w:spacing w:line="228" w:lineRule="auto"/>
      <w:rPr>
        <w:rFonts w:ascii="宋体" w:hAnsi="宋体" w:eastAsia="宋体" w:cs="宋体"/>
        <w:sz w:val="17"/>
        <w:szCs w:val="17"/>
      </w:rPr>
    </w:pPr>
    <w:r>
      <w:rPr>
        <w:rFonts w:ascii="宋体" w:hAnsi="宋体" w:eastAsia="宋体" w:cs="宋体"/>
        <w:spacing w:val="-17"/>
        <w:sz w:val="17"/>
        <w:szCs w:val="17"/>
      </w:rPr>
      <w:t>·48</w:t>
    </w:r>
    <w:r>
      <w:rPr>
        <w:rFonts w:ascii="宋体" w:hAnsi="宋体" w:eastAsia="宋体" w:cs="宋体"/>
        <w:spacing w:val="-19"/>
        <w:sz w:val="17"/>
        <w:szCs w:val="17"/>
      </w:rPr>
      <w:t xml:space="preserve"> </w:t>
    </w:r>
    <w:r>
      <w:rPr>
        <w:rFonts w:ascii="宋体" w:hAnsi="宋体" w:eastAsia="宋体" w:cs="宋体"/>
        <w:spacing w:val="-17"/>
        <w:sz w:val="17"/>
        <w:szCs w:val="17"/>
      </w:rPr>
      <w:t>·</w:t>
    </w:r>
  </w:p>
</w:ftr>
</file>

<file path=word/footer5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804573">
    <w:pPr>
      <w:spacing w:line="228" w:lineRule="auto"/>
      <w:jc w:val="right"/>
      <w:rPr>
        <w:rFonts w:ascii="宋体" w:hAnsi="宋体" w:eastAsia="宋体" w:cs="宋体"/>
        <w:sz w:val="17"/>
        <w:szCs w:val="17"/>
      </w:rPr>
    </w:pPr>
    <w:r>
      <w:rPr>
        <w:rFonts w:ascii="宋体" w:hAnsi="宋体" w:eastAsia="宋体" w:cs="宋体"/>
        <w:spacing w:val="-31"/>
        <w:sz w:val="17"/>
        <w:szCs w:val="17"/>
      </w:rPr>
      <w:t>·49 ·</w:t>
    </w:r>
  </w:p>
</w:ftr>
</file>

<file path=word/footer5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564AEC">
    <w:pPr>
      <w:spacing w:line="229" w:lineRule="auto"/>
      <w:rPr>
        <w:rFonts w:ascii="黑体" w:hAnsi="黑体" w:eastAsia="黑体" w:cs="黑体"/>
        <w:sz w:val="17"/>
        <w:szCs w:val="17"/>
      </w:rPr>
    </w:pPr>
    <w:r>
      <w:rPr>
        <w:rFonts w:ascii="黑体" w:hAnsi="黑体" w:eastAsia="黑体" w:cs="黑体"/>
        <w:spacing w:val="-18"/>
        <w:sz w:val="17"/>
        <w:szCs w:val="17"/>
      </w:rPr>
      <w:t>·50</w:t>
    </w:r>
    <w:r>
      <w:rPr>
        <w:rFonts w:ascii="黑体" w:hAnsi="黑体" w:eastAsia="黑体" w:cs="黑体"/>
        <w:spacing w:val="-14"/>
        <w:sz w:val="17"/>
        <w:szCs w:val="17"/>
      </w:rPr>
      <w:t xml:space="preserve"> </w:t>
    </w:r>
    <w:r>
      <w:rPr>
        <w:rFonts w:ascii="黑体" w:hAnsi="黑体" w:eastAsia="黑体" w:cs="黑体"/>
        <w:spacing w:val="-18"/>
        <w:sz w:val="17"/>
        <w:szCs w:val="17"/>
      </w:rPr>
      <w:t>·</w:t>
    </w:r>
  </w:p>
</w:ftr>
</file>

<file path=word/footer5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090791">
    <w:pPr>
      <w:spacing w:line="228" w:lineRule="auto"/>
      <w:jc w:val="right"/>
      <w:rPr>
        <w:rFonts w:ascii="宋体" w:hAnsi="宋体" w:eastAsia="宋体" w:cs="宋体"/>
        <w:sz w:val="17"/>
        <w:szCs w:val="17"/>
      </w:rPr>
    </w:pPr>
    <w:r>
      <w:rPr>
        <w:rFonts w:ascii="宋体" w:hAnsi="宋体" w:eastAsia="宋体" w:cs="宋体"/>
        <w:spacing w:val="-31"/>
        <w:sz w:val="17"/>
        <w:szCs w:val="17"/>
      </w:rPr>
      <w:t>·51 ·</w:t>
    </w:r>
  </w:p>
</w:ftr>
</file>

<file path=word/footer5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EC196E">
    <w:pPr>
      <w:spacing w:line="227" w:lineRule="auto"/>
      <w:rPr>
        <w:rFonts w:ascii="宋体" w:hAnsi="宋体" w:eastAsia="宋体" w:cs="宋体"/>
        <w:sz w:val="16"/>
        <w:szCs w:val="16"/>
      </w:rPr>
    </w:pPr>
    <w:r>
      <w:rPr>
        <w:rFonts w:ascii="宋体" w:hAnsi="宋体" w:eastAsia="宋体" w:cs="宋体"/>
        <w:spacing w:val="-16"/>
        <w:sz w:val="16"/>
        <w:szCs w:val="16"/>
      </w:rPr>
      <w:t>·52</w:t>
    </w:r>
    <w:r>
      <w:rPr>
        <w:rFonts w:ascii="宋体" w:hAnsi="宋体" w:eastAsia="宋体" w:cs="宋体"/>
        <w:spacing w:val="-17"/>
        <w:sz w:val="16"/>
        <w:szCs w:val="16"/>
      </w:rPr>
      <w:t xml:space="preserve"> </w:t>
    </w:r>
    <w:r>
      <w:rPr>
        <w:rFonts w:ascii="宋体" w:hAnsi="宋体" w:eastAsia="宋体" w:cs="宋体"/>
        <w:spacing w:val="-16"/>
        <w:sz w:val="16"/>
        <w:szCs w:val="16"/>
      </w:rPr>
      <w:t>·</w:t>
    </w:r>
  </w:p>
</w:ftr>
</file>

<file path=word/footer5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DEC3C9">
    <w:pPr>
      <w:spacing w:line="228" w:lineRule="auto"/>
      <w:jc w:val="right"/>
      <w:rPr>
        <w:rFonts w:ascii="宋体" w:hAnsi="宋体" w:eastAsia="宋体" w:cs="宋体"/>
        <w:sz w:val="17"/>
        <w:szCs w:val="17"/>
      </w:rPr>
    </w:pPr>
    <w:r>
      <w:rPr>
        <w:rFonts w:ascii="宋体" w:hAnsi="宋体" w:eastAsia="宋体" w:cs="宋体"/>
        <w:spacing w:val="-31"/>
        <w:sz w:val="17"/>
        <w:szCs w:val="17"/>
      </w:rPr>
      <w:t>·53 ·</w:t>
    </w:r>
  </w:p>
</w:ftr>
</file>

<file path=word/footer5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21C22D">
    <w:pPr>
      <w:spacing w:line="227" w:lineRule="auto"/>
      <w:rPr>
        <w:rFonts w:ascii="宋体" w:hAnsi="宋体" w:eastAsia="宋体" w:cs="宋体"/>
        <w:sz w:val="16"/>
        <w:szCs w:val="16"/>
      </w:rPr>
    </w:pPr>
    <w:r>
      <w:rPr>
        <w:rFonts w:ascii="宋体" w:hAnsi="宋体" w:eastAsia="宋体" w:cs="宋体"/>
        <w:spacing w:val="-16"/>
        <w:sz w:val="16"/>
        <w:szCs w:val="16"/>
      </w:rPr>
      <w:t>·54</w:t>
    </w:r>
    <w:r>
      <w:rPr>
        <w:rFonts w:ascii="宋体" w:hAnsi="宋体" w:eastAsia="宋体" w:cs="宋体"/>
        <w:spacing w:val="-17"/>
        <w:sz w:val="16"/>
        <w:szCs w:val="16"/>
      </w:rPr>
      <w:t xml:space="preserve"> </w:t>
    </w:r>
    <w:r>
      <w:rPr>
        <w:rFonts w:ascii="宋体" w:hAnsi="宋体" w:eastAsia="宋体" w:cs="宋体"/>
        <w:spacing w:val="-16"/>
        <w:sz w:val="16"/>
        <w:szCs w:val="16"/>
      </w:rPr>
      <w:t>·</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C05EC5">
    <w:pPr>
      <w:spacing w:line="230" w:lineRule="auto"/>
      <w:jc w:val="right"/>
      <w:rPr>
        <w:rFonts w:ascii="宋体" w:hAnsi="宋体" w:eastAsia="宋体" w:cs="宋体"/>
        <w:sz w:val="17"/>
        <w:szCs w:val="17"/>
      </w:rPr>
    </w:pPr>
    <w:r>
      <w:rPr>
        <w:rFonts w:ascii="宋体" w:hAnsi="宋体" w:eastAsia="宋体" w:cs="宋体"/>
        <w:spacing w:val="-44"/>
        <w:sz w:val="17"/>
        <w:szCs w:val="17"/>
      </w:rPr>
      <w:t>·1</w:t>
    </w:r>
    <w:r>
      <w:rPr>
        <w:rFonts w:ascii="宋体" w:hAnsi="宋体" w:eastAsia="宋体" w:cs="宋体"/>
        <w:spacing w:val="-20"/>
        <w:sz w:val="17"/>
        <w:szCs w:val="17"/>
      </w:rPr>
      <w:t xml:space="preserve"> </w:t>
    </w:r>
    <w:r>
      <w:rPr>
        <w:rFonts w:ascii="宋体" w:hAnsi="宋体" w:eastAsia="宋体" w:cs="宋体"/>
        <w:spacing w:val="-44"/>
        <w:sz w:val="17"/>
        <w:szCs w:val="17"/>
      </w:rPr>
      <w:t>·</w:t>
    </w:r>
  </w:p>
</w:ftr>
</file>

<file path=word/footer6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E7A4B0">
    <w:pPr>
      <w:spacing w:line="228" w:lineRule="auto"/>
      <w:jc w:val="right"/>
      <w:rPr>
        <w:rFonts w:ascii="宋体" w:hAnsi="宋体" w:eastAsia="宋体" w:cs="宋体"/>
        <w:sz w:val="17"/>
        <w:szCs w:val="17"/>
      </w:rPr>
    </w:pPr>
    <w:r>
      <w:rPr>
        <w:rFonts w:ascii="宋体" w:hAnsi="宋体" w:eastAsia="宋体" w:cs="宋体"/>
        <w:spacing w:val="-31"/>
        <w:sz w:val="17"/>
        <w:szCs w:val="17"/>
      </w:rPr>
      <w:t>·55 ·</w:t>
    </w:r>
  </w:p>
</w:ftr>
</file>

<file path=word/footer6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A1176D">
    <w:pPr>
      <w:spacing w:line="228" w:lineRule="auto"/>
      <w:rPr>
        <w:rFonts w:ascii="宋体" w:hAnsi="宋体" w:eastAsia="宋体" w:cs="宋体"/>
        <w:sz w:val="17"/>
        <w:szCs w:val="17"/>
      </w:rPr>
    </w:pPr>
    <w:r>
      <w:rPr>
        <w:rFonts w:ascii="宋体" w:hAnsi="宋体" w:eastAsia="宋体" w:cs="宋体"/>
        <w:spacing w:val="-17"/>
        <w:sz w:val="17"/>
        <w:szCs w:val="17"/>
      </w:rPr>
      <w:t>·56</w:t>
    </w:r>
    <w:r>
      <w:rPr>
        <w:rFonts w:ascii="宋体" w:hAnsi="宋体" w:eastAsia="宋体" w:cs="宋体"/>
        <w:spacing w:val="-19"/>
        <w:sz w:val="17"/>
        <w:szCs w:val="17"/>
      </w:rPr>
      <w:t xml:space="preserve"> </w:t>
    </w:r>
    <w:r>
      <w:rPr>
        <w:rFonts w:ascii="宋体" w:hAnsi="宋体" w:eastAsia="宋体" w:cs="宋体"/>
        <w:spacing w:val="-17"/>
        <w:sz w:val="17"/>
        <w:szCs w:val="17"/>
      </w:rPr>
      <w:t>·</w:t>
    </w:r>
  </w:p>
</w:ftr>
</file>

<file path=word/footer6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11E7D4">
    <w:pPr>
      <w:spacing w:line="228" w:lineRule="auto"/>
      <w:jc w:val="right"/>
      <w:rPr>
        <w:rFonts w:ascii="宋体" w:hAnsi="宋体" w:eastAsia="宋体" w:cs="宋体"/>
        <w:sz w:val="17"/>
        <w:szCs w:val="17"/>
      </w:rPr>
    </w:pPr>
    <w:r>
      <w:rPr>
        <w:rFonts w:ascii="宋体" w:hAnsi="宋体" w:eastAsia="宋体" w:cs="宋体"/>
        <w:spacing w:val="-31"/>
        <w:sz w:val="17"/>
        <w:szCs w:val="17"/>
      </w:rPr>
      <w:t>·57 ·</w:t>
    </w:r>
  </w:p>
</w:ftr>
</file>

<file path=word/footer6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74893E">
    <w:pPr>
      <w:spacing w:line="227" w:lineRule="auto"/>
      <w:rPr>
        <w:rFonts w:ascii="宋体" w:hAnsi="宋体" w:eastAsia="宋体" w:cs="宋体"/>
        <w:sz w:val="16"/>
        <w:szCs w:val="16"/>
      </w:rPr>
    </w:pPr>
    <w:r>
      <w:rPr>
        <w:rFonts w:ascii="宋体" w:hAnsi="宋体" w:eastAsia="宋体" w:cs="宋体"/>
        <w:spacing w:val="-16"/>
        <w:sz w:val="16"/>
        <w:szCs w:val="16"/>
      </w:rPr>
      <w:t>·58</w:t>
    </w:r>
    <w:r>
      <w:rPr>
        <w:rFonts w:ascii="宋体" w:hAnsi="宋体" w:eastAsia="宋体" w:cs="宋体"/>
        <w:spacing w:val="-17"/>
        <w:sz w:val="16"/>
        <w:szCs w:val="16"/>
      </w:rPr>
      <w:t xml:space="preserve"> </w:t>
    </w:r>
    <w:r>
      <w:rPr>
        <w:rFonts w:ascii="宋体" w:hAnsi="宋体" w:eastAsia="宋体" w:cs="宋体"/>
        <w:spacing w:val="-16"/>
        <w:sz w:val="16"/>
        <w:szCs w:val="16"/>
      </w:rPr>
      <w:t>·</w:t>
    </w:r>
  </w:p>
</w:ftr>
</file>

<file path=word/footer6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D4EA87">
    <w:pPr>
      <w:spacing w:line="228" w:lineRule="auto"/>
      <w:jc w:val="right"/>
      <w:rPr>
        <w:rFonts w:ascii="宋体" w:hAnsi="宋体" w:eastAsia="宋体" w:cs="宋体"/>
        <w:sz w:val="17"/>
        <w:szCs w:val="17"/>
      </w:rPr>
    </w:pPr>
    <w:r>
      <w:rPr>
        <w:rFonts w:ascii="宋体" w:hAnsi="宋体" w:eastAsia="宋体" w:cs="宋体"/>
        <w:spacing w:val="-31"/>
        <w:sz w:val="17"/>
        <w:szCs w:val="17"/>
      </w:rPr>
      <w:t>·59 ·</w:t>
    </w:r>
  </w:p>
</w:ftr>
</file>

<file path=word/footer6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359BCF">
    <w:pPr>
      <w:spacing w:line="228" w:lineRule="auto"/>
      <w:rPr>
        <w:rFonts w:ascii="宋体" w:hAnsi="宋体" w:eastAsia="宋体" w:cs="宋体"/>
        <w:sz w:val="17"/>
        <w:szCs w:val="17"/>
      </w:rPr>
    </w:pPr>
    <w:r>
      <w:rPr>
        <w:rFonts w:ascii="宋体" w:hAnsi="宋体" w:eastAsia="宋体" w:cs="宋体"/>
        <w:spacing w:val="-17"/>
        <w:sz w:val="17"/>
        <w:szCs w:val="17"/>
      </w:rPr>
      <w:t>·60</w:t>
    </w:r>
    <w:r>
      <w:rPr>
        <w:rFonts w:ascii="宋体" w:hAnsi="宋体" w:eastAsia="宋体" w:cs="宋体"/>
        <w:spacing w:val="-19"/>
        <w:sz w:val="17"/>
        <w:szCs w:val="17"/>
      </w:rPr>
      <w:t xml:space="preserve"> </w:t>
    </w:r>
    <w:r>
      <w:rPr>
        <w:rFonts w:ascii="宋体" w:hAnsi="宋体" w:eastAsia="宋体" w:cs="宋体"/>
        <w:spacing w:val="-17"/>
        <w:sz w:val="17"/>
        <w:szCs w:val="17"/>
      </w:rPr>
      <w:t>·</w:t>
    </w:r>
  </w:p>
</w:ftr>
</file>

<file path=word/footer6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97213A">
    <w:pPr>
      <w:spacing w:line="228" w:lineRule="auto"/>
      <w:jc w:val="right"/>
      <w:rPr>
        <w:rFonts w:ascii="宋体" w:hAnsi="宋体" w:eastAsia="宋体" w:cs="宋体"/>
        <w:sz w:val="17"/>
        <w:szCs w:val="17"/>
      </w:rPr>
    </w:pPr>
    <w:r>
      <w:rPr>
        <w:rFonts w:ascii="宋体" w:hAnsi="宋体" w:eastAsia="宋体" w:cs="宋体"/>
        <w:spacing w:val="-31"/>
        <w:sz w:val="17"/>
        <w:szCs w:val="17"/>
      </w:rPr>
      <w:t>·61 ·</w:t>
    </w:r>
  </w:p>
</w:ftr>
</file>

<file path=word/footer6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81252E">
    <w:pPr>
      <w:spacing w:line="227" w:lineRule="auto"/>
      <w:rPr>
        <w:rFonts w:ascii="宋体" w:hAnsi="宋体" w:eastAsia="宋体" w:cs="宋体"/>
        <w:sz w:val="16"/>
        <w:szCs w:val="16"/>
      </w:rPr>
    </w:pPr>
    <w:r>
      <w:rPr>
        <w:rFonts w:ascii="宋体" w:hAnsi="宋体" w:eastAsia="宋体" w:cs="宋体"/>
        <w:spacing w:val="-16"/>
        <w:sz w:val="16"/>
        <w:szCs w:val="16"/>
      </w:rPr>
      <w:t>·62</w:t>
    </w:r>
    <w:r>
      <w:rPr>
        <w:rFonts w:ascii="宋体" w:hAnsi="宋体" w:eastAsia="宋体" w:cs="宋体"/>
        <w:spacing w:val="-17"/>
        <w:sz w:val="16"/>
        <w:szCs w:val="16"/>
      </w:rPr>
      <w:t xml:space="preserve"> </w:t>
    </w:r>
    <w:r>
      <w:rPr>
        <w:rFonts w:ascii="宋体" w:hAnsi="宋体" w:eastAsia="宋体" w:cs="宋体"/>
        <w:spacing w:val="-16"/>
        <w:sz w:val="16"/>
        <w:szCs w:val="16"/>
      </w:rPr>
      <w:t>·</w:t>
    </w:r>
  </w:p>
</w:ftr>
</file>

<file path=word/footer6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AED88A">
    <w:pPr>
      <w:spacing w:line="228" w:lineRule="auto"/>
      <w:jc w:val="right"/>
      <w:rPr>
        <w:rFonts w:ascii="宋体" w:hAnsi="宋体" w:eastAsia="宋体" w:cs="宋体"/>
        <w:sz w:val="17"/>
        <w:szCs w:val="17"/>
      </w:rPr>
    </w:pPr>
    <w:r>
      <w:rPr>
        <w:rFonts w:ascii="宋体" w:hAnsi="宋体" w:eastAsia="宋体" w:cs="宋体"/>
        <w:spacing w:val="-31"/>
        <w:sz w:val="17"/>
        <w:szCs w:val="17"/>
      </w:rPr>
      <w:t>·63 ·</w:t>
    </w:r>
  </w:p>
</w:ftr>
</file>

<file path=word/footer6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FFD399">
    <w:pPr>
      <w:spacing w:line="227" w:lineRule="auto"/>
      <w:rPr>
        <w:rFonts w:ascii="宋体" w:hAnsi="宋体" w:eastAsia="宋体" w:cs="宋体"/>
        <w:sz w:val="16"/>
        <w:szCs w:val="16"/>
      </w:rPr>
    </w:pPr>
    <w:r>
      <w:rPr>
        <w:rFonts w:ascii="宋体" w:hAnsi="宋体" w:eastAsia="宋体" w:cs="宋体"/>
        <w:spacing w:val="-16"/>
        <w:sz w:val="16"/>
        <w:szCs w:val="16"/>
      </w:rPr>
      <w:t>·64</w:t>
    </w:r>
    <w:r>
      <w:rPr>
        <w:rFonts w:ascii="宋体" w:hAnsi="宋体" w:eastAsia="宋体" w:cs="宋体"/>
        <w:spacing w:val="-17"/>
        <w:sz w:val="16"/>
        <w:szCs w:val="16"/>
      </w:rPr>
      <w:t xml:space="preserve"> </w:t>
    </w:r>
    <w:r>
      <w:rPr>
        <w:rFonts w:ascii="宋体" w:hAnsi="宋体" w:eastAsia="宋体" w:cs="宋体"/>
        <w:spacing w:val="-16"/>
        <w:sz w:val="16"/>
        <w:szCs w:val="16"/>
      </w:rPr>
      <w:t>·</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16B61B">
    <w:pPr>
      <w:spacing w:line="228" w:lineRule="auto"/>
      <w:rPr>
        <w:rFonts w:ascii="宋体" w:hAnsi="宋体" w:eastAsia="宋体" w:cs="宋体"/>
        <w:sz w:val="15"/>
        <w:szCs w:val="15"/>
      </w:rPr>
    </w:pPr>
    <w:r>
      <w:rPr>
        <w:rFonts w:ascii="宋体" w:hAnsi="宋体" w:eastAsia="宋体" w:cs="宋体"/>
        <w:spacing w:val="-20"/>
        <w:sz w:val="15"/>
        <w:szCs w:val="15"/>
      </w:rPr>
      <w:t>·2</w:t>
    </w:r>
    <w:r>
      <w:rPr>
        <w:rFonts w:ascii="宋体" w:hAnsi="宋体" w:eastAsia="宋体" w:cs="宋体"/>
        <w:spacing w:val="-16"/>
        <w:sz w:val="15"/>
        <w:szCs w:val="15"/>
      </w:rPr>
      <w:t xml:space="preserve"> </w:t>
    </w:r>
    <w:r>
      <w:rPr>
        <w:rFonts w:ascii="宋体" w:hAnsi="宋体" w:eastAsia="宋体" w:cs="宋体"/>
        <w:spacing w:val="-20"/>
        <w:sz w:val="15"/>
        <w:szCs w:val="15"/>
      </w:rPr>
      <w:t>·</w:t>
    </w:r>
  </w:p>
</w:ftr>
</file>

<file path=word/footer7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3D1415">
    <w:pPr>
      <w:spacing w:line="228" w:lineRule="auto"/>
      <w:jc w:val="right"/>
      <w:rPr>
        <w:rFonts w:ascii="宋体" w:hAnsi="宋体" w:eastAsia="宋体" w:cs="宋体"/>
        <w:sz w:val="17"/>
        <w:szCs w:val="17"/>
      </w:rPr>
    </w:pPr>
    <w:r>
      <w:rPr>
        <w:rFonts w:ascii="宋体" w:hAnsi="宋体" w:eastAsia="宋体" w:cs="宋体"/>
        <w:spacing w:val="-31"/>
        <w:sz w:val="17"/>
        <w:szCs w:val="17"/>
      </w:rPr>
      <w:t>·65 ·</w:t>
    </w:r>
  </w:p>
</w:ftr>
</file>

<file path=word/footer7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F18DC8">
    <w:pPr>
      <w:spacing w:line="228" w:lineRule="auto"/>
      <w:rPr>
        <w:rFonts w:ascii="宋体" w:hAnsi="宋体" w:eastAsia="宋体" w:cs="宋体"/>
        <w:sz w:val="17"/>
        <w:szCs w:val="17"/>
      </w:rPr>
    </w:pPr>
    <w:r>
      <w:rPr>
        <w:rFonts w:ascii="宋体" w:hAnsi="宋体" w:eastAsia="宋体" w:cs="宋体"/>
        <w:spacing w:val="-17"/>
        <w:sz w:val="17"/>
        <w:szCs w:val="17"/>
      </w:rPr>
      <w:t>·66</w:t>
    </w:r>
    <w:r>
      <w:rPr>
        <w:rFonts w:ascii="宋体" w:hAnsi="宋体" w:eastAsia="宋体" w:cs="宋体"/>
        <w:spacing w:val="-19"/>
        <w:sz w:val="17"/>
        <w:szCs w:val="17"/>
      </w:rPr>
      <w:t xml:space="preserve"> </w:t>
    </w:r>
    <w:r>
      <w:rPr>
        <w:rFonts w:ascii="宋体" w:hAnsi="宋体" w:eastAsia="宋体" w:cs="宋体"/>
        <w:spacing w:val="-17"/>
        <w:sz w:val="17"/>
        <w:szCs w:val="17"/>
      </w:rPr>
      <w:t>·</w:t>
    </w:r>
  </w:p>
</w:ftr>
</file>

<file path=word/footer7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299EC5">
    <w:pPr>
      <w:spacing w:line="228" w:lineRule="auto"/>
      <w:jc w:val="right"/>
      <w:rPr>
        <w:rFonts w:ascii="宋体" w:hAnsi="宋体" w:eastAsia="宋体" w:cs="宋体"/>
        <w:sz w:val="17"/>
        <w:szCs w:val="17"/>
      </w:rPr>
    </w:pPr>
    <w:r>
      <w:rPr>
        <w:rFonts w:ascii="宋体" w:hAnsi="宋体" w:eastAsia="宋体" w:cs="宋体"/>
        <w:spacing w:val="-31"/>
        <w:sz w:val="17"/>
        <w:szCs w:val="17"/>
      </w:rPr>
      <w:t>·67 ·</w:t>
    </w:r>
  </w:p>
</w:ftr>
</file>

<file path=word/footer7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13457D">
    <w:pPr>
      <w:spacing w:line="228" w:lineRule="auto"/>
      <w:rPr>
        <w:rFonts w:ascii="宋体" w:hAnsi="宋体" w:eastAsia="宋体" w:cs="宋体"/>
        <w:sz w:val="17"/>
        <w:szCs w:val="17"/>
      </w:rPr>
    </w:pPr>
    <w:r>
      <w:rPr>
        <w:rFonts w:ascii="宋体" w:hAnsi="宋体" w:eastAsia="宋体" w:cs="宋体"/>
        <w:spacing w:val="-17"/>
        <w:sz w:val="17"/>
        <w:szCs w:val="17"/>
      </w:rPr>
      <w:t>·68</w:t>
    </w:r>
    <w:r>
      <w:rPr>
        <w:rFonts w:ascii="宋体" w:hAnsi="宋体" w:eastAsia="宋体" w:cs="宋体"/>
        <w:spacing w:val="-19"/>
        <w:sz w:val="17"/>
        <w:szCs w:val="17"/>
      </w:rPr>
      <w:t xml:space="preserve"> </w:t>
    </w:r>
    <w:r>
      <w:rPr>
        <w:rFonts w:ascii="宋体" w:hAnsi="宋体" w:eastAsia="宋体" w:cs="宋体"/>
        <w:spacing w:val="-17"/>
        <w:sz w:val="17"/>
        <w:szCs w:val="17"/>
      </w:rPr>
      <w:t>·</w:t>
    </w:r>
  </w:p>
</w:ftr>
</file>

<file path=word/footer7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DCD073">
    <w:pPr>
      <w:spacing w:line="228" w:lineRule="auto"/>
      <w:jc w:val="right"/>
      <w:rPr>
        <w:rFonts w:ascii="宋体" w:hAnsi="宋体" w:eastAsia="宋体" w:cs="宋体"/>
        <w:sz w:val="17"/>
        <w:szCs w:val="17"/>
      </w:rPr>
    </w:pPr>
    <w:r>
      <w:rPr>
        <w:rFonts w:ascii="宋体" w:hAnsi="宋体" w:eastAsia="宋体" w:cs="宋体"/>
        <w:spacing w:val="-31"/>
        <w:sz w:val="17"/>
        <w:szCs w:val="17"/>
      </w:rPr>
      <w:t>·69 ·</w:t>
    </w:r>
  </w:p>
</w:ftr>
</file>

<file path=word/footer7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678A85">
    <w:pPr>
      <w:spacing w:line="228" w:lineRule="auto"/>
      <w:rPr>
        <w:rFonts w:ascii="宋体" w:hAnsi="宋体" w:eastAsia="宋体" w:cs="宋体"/>
        <w:sz w:val="17"/>
        <w:szCs w:val="17"/>
      </w:rPr>
    </w:pPr>
    <w:r>
      <w:rPr>
        <w:rFonts w:ascii="宋体" w:hAnsi="宋体" w:eastAsia="宋体" w:cs="宋体"/>
        <w:spacing w:val="-17"/>
        <w:sz w:val="17"/>
        <w:szCs w:val="17"/>
      </w:rPr>
      <w:t>·70</w:t>
    </w:r>
    <w:r>
      <w:rPr>
        <w:rFonts w:ascii="宋体" w:hAnsi="宋体" w:eastAsia="宋体" w:cs="宋体"/>
        <w:spacing w:val="-19"/>
        <w:sz w:val="17"/>
        <w:szCs w:val="17"/>
      </w:rPr>
      <w:t xml:space="preserve"> </w:t>
    </w:r>
    <w:r>
      <w:rPr>
        <w:rFonts w:ascii="宋体" w:hAnsi="宋体" w:eastAsia="宋体" w:cs="宋体"/>
        <w:spacing w:val="-17"/>
        <w:sz w:val="17"/>
        <w:szCs w:val="17"/>
      </w:rPr>
      <w:t>·</w:t>
    </w:r>
  </w:p>
</w:ftr>
</file>

<file path=word/footer7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9DE9C0">
    <w:pPr>
      <w:spacing w:line="228" w:lineRule="auto"/>
      <w:jc w:val="right"/>
      <w:rPr>
        <w:rFonts w:ascii="宋体" w:hAnsi="宋体" w:eastAsia="宋体" w:cs="宋体"/>
        <w:sz w:val="17"/>
        <w:szCs w:val="17"/>
      </w:rPr>
    </w:pPr>
    <w:r>
      <w:rPr>
        <w:rFonts w:ascii="宋体" w:hAnsi="宋体" w:eastAsia="宋体" w:cs="宋体"/>
        <w:spacing w:val="-31"/>
        <w:sz w:val="17"/>
        <w:szCs w:val="17"/>
      </w:rPr>
      <w:t>·71 ·</w:t>
    </w:r>
  </w:p>
</w:ftr>
</file>

<file path=word/footer7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2C2E7D">
    <w:pPr>
      <w:spacing w:line="228" w:lineRule="auto"/>
      <w:rPr>
        <w:rFonts w:ascii="宋体" w:hAnsi="宋体" w:eastAsia="宋体" w:cs="宋体"/>
        <w:sz w:val="17"/>
        <w:szCs w:val="17"/>
      </w:rPr>
    </w:pPr>
    <w:r>
      <w:rPr>
        <w:rFonts w:ascii="宋体" w:hAnsi="宋体" w:eastAsia="宋体" w:cs="宋体"/>
        <w:spacing w:val="-17"/>
        <w:sz w:val="17"/>
        <w:szCs w:val="17"/>
      </w:rPr>
      <w:t>·72</w:t>
    </w:r>
    <w:r>
      <w:rPr>
        <w:rFonts w:ascii="宋体" w:hAnsi="宋体" w:eastAsia="宋体" w:cs="宋体"/>
        <w:spacing w:val="-19"/>
        <w:sz w:val="17"/>
        <w:szCs w:val="17"/>
      </w:rPr>
      <w:t xml:space="preserve"> </w:t>
    </w:r>
    <w:r>
      <w:rPr>
        <w:rFonts w:ascii="宋体" w:hAnsi="宋体" w:eastAsia="宋体" w:cs="宋体"/>
        <w:spacing w:val="-17"/>
        <w:sz w:val="17"/>
        <w:szCs w:val="17"/>
      </w:rPr>
      <w:t>·</w:t>
    </w:r>
  </w:p>
</w:ftr>
</file>

<file path=word/footer7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A3BD9B">
    <w:pPr>
      <w:spacing w:line="228" w:lineRule="auto"/>
      <w:jc w:val="right"/>
      <w:rPr>
        <w:rFonts w:ascii="宋体" w:hAnsi="宋体" w:eastAsia="宋体" w:cs="宋体"/>
        <w:sz w:val="17"/>
        <w:szCs w:val="17"/>
      </w:rPr>
    </w:pPr>
    <w:r>
      <w:rPr>
        <w:rFonts w:ascii="宋体" w:hAnsi="宋体" w:eastAsia="宋体" w:cs="宋体"/>
        <w:spacing w:val="-31"/>
        <w:sz w:val="17"/>
        <w:szCs w:val="17"/>
      </w:rPr>
      <w:t>·73 ·</w:t>
    </w:r>
  </w:p>
</w:ftr>
</file>

<file path=word/footer7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EB68C4">
    <w:pPr>
      <w:spacing w:line="227" w:lineRule="auto"/>
      <w:rPr>
        <w:rFonts w:ascii="宋体" w:hAnsi="宋体" w:eastAsia="宋体" w:cs="宋体"/>
        <w:sz w:val="16"/>
        <w:szCs w:val="16"/>
      </w:rPr>
    </w:pPr>
    <w:r>
      <w:rPr>
        <w:rFonts w:ascii="宋体" w:hAnsi="宋体" w:eastAsia="宋体" w:cs="宋体"/>
        <w:spacing w:val="-16"/>
        <w:sz w:val="16"/>
        <w:szCs w:val="16"/>
      </w:rPr>
      <w:t>·74</w:t>
    </w:r>
    <w:r>
      <w:rPr>
        <w:rFonts w:ascii="宋体" w:hAnsi="宋体" w:eastAsia="宋体" w:cs="宋体"/>
        <w:spacing w:val="-17"/>
        <w:sz w:val="16"/>
        <w:szCs w:val="16"/>
      </w:rPr>
      <w:t xml:space="preserve"> </w:t>
    </w:r>
    <w:r>
      <w:rPr>
        <w:rFonts w:ascii="宋体" w:hAnsi="宋体" w:eastAsia="宋体" w:cs="宋体"/>
        <w:spacing w:val="-16"/>
        <w:sz w:val="16"/>
        <w:szCs w:val="16"/>
      </w:rPr>
      <w:t>·</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EDFAFE">
    <w:pPr>
      <w:spacing w:line="227" w:lineRule="auto"/>
      <w:jc w:val="right"/>
      <w:rPr>
        <w:rFonts w:ascii="宋体" w:hAnsi="宋体" w:eastAsia="宋体" w:cs="宋体"/>
        <w:sz w:val="16"/>
        <w:szCs w:val="16"/>
      </w:rPr>
    </w:pPr>
    <w:r>
      <w:rPr>
        <w:rFonts w:ascii="宋体" w:hAnsi="宋体" w:eastAsia="宋体" w:cs="宋体"/>
        <w:spacing w:val="-41"/>
        <w:sz w:val="16"/>
        <w:szCs w:val="16"/>
      </w:rPr>
      <w:t>·3</w:t>
    </w:r>
    <w:r>
      <w:rPr>
        <w:rFonts w:ascii="宋体" w:hAnsi="宋体" w:eastAsia="宋体" w:cs="宋体"/>
        <w:spacing w:val="-19"/>
        <w:sz w:val="16"/>
        <w:szCs w:val="16"/>
      </w:rPr>
      <w:t xml:space="preserve"> </w:t>
    </w:r>
    <w:r>
      <w:rPr>
        <w:rFonts w:ascii="宋体" w:hAnsi="宋体" w:eastAsia="宋体" w:cs="宋体"/>
        <w:spacing w:val="-41"/>
        <w:sz w:val="16"/>
        <w:szCs w:val="16"/>
      </w:rPr>
      <w:t>·</w:t>
    </w:r>
  </w:p>
</w:ftr>
</file>

<file path=word/footer8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99A3E9">
    <w:pPr>
      <w:spacing w:line="228" w:lineRule="auto"/>
      <w:jc w:val="right"/>
      <w:rPr>
        <w:rFonts w:ascii="宋体" w:hAnsi="宋体" w:eastAsia="宋体" w:cs="宋体"/>
        <w:sz w:val="17"/>
        <w:szCs w:val="17"/>
      </w:rPr>
    </w:pPr>
    <w:r>
      <w:rPr>
        <w:rFonts w:ascii="宋体" w:hAnsi="宋体" w:eastAsia="宋体" w:cs="宋体"/>
        <w:spacing w:val="-31"/>
        <w:sz w:val="17"/>
        <w:szCs w:val="17"/>
      </w:rPr>
      <w:t>·75 ·</w:t>
    </w:r>
  </w:p>
</w:ftr>
</file>

<file path=word/footer8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EE83A3">
    <w:pPr>
      <w:spacing w:line="228" w:lineRule="auto"/>
      <w:rPr>
        <w:rFonts w:ascii="宋体" w:hAnsi="宋体" w:eastAsia="宋体" w:cs="宋体"/>
        <w:sz w:val="17"/>
        <w:szCs w:val="17"/>
      </w:rPr>
    </w:pPr>
    <w:r>
      <w:rPr>
        <w:rFonts w:ascii="宋体" w:hAnsi="宋体" w:eastAsia="宋体" w:cs="宋体"/>
        <w:spacing w:val="-17"/>
        <w:sz w:val="17"/>
        <w:szCs w:val="17"/>
      </w:rPr>
      <w:t>·76</w:t>
    </w:r>
    <w:r>
      <w:rPr>
        <w:rFonts w:ascii="宋体" w:hAnsi="宋体" w:eastAsia="宋体" w:cs="宋体"/>
        <w:spacing w:val="-19"/>
        <w:sz w:val="17"/>
        <w:szCs w:val="17"/>
      </w:rPr>
      <w:t xml:space="preserve"> </w:t>
    </w:r>
    <w:r>
      <w:rPr>
        <w:rFonts w:ascii="宋体" w:hAnsi="宋体" w:eastAsia="宋体" w:cs="宋体"/>
        <w:spacing w:val="-17"/>
        <w:sz w:val="17"/>
        <w:szCs w:val="17"/>
      </w:rPr>
      <w:t>·</w:t>
    </w:r>
  </w:p>
</w:ftr>
</file>

<file path=word/footer8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F4B570">
    <w:pPr>
      <w:spacing w:line="228" w:lineRule="auto"/>
      <w:jc w:val="right"/>
      <w:rPr>
        <w:rFonts w:ascii="宋体" w:hAnsi="宋体" w:eastAsia="宋体" w:cs="宋体"/>
        <w:sz w:val="17"/>
        <w:szCs w:val="17"/>
      </w:rPr>
    </w:pPr>
    <w:r>
      <w:rPr>
        <w:rFonts w:ascii="宋体" w:hAnsi="宋体" w:eastAsia="宋体" w:cs="宋体"/>
        <w:spacing w:val="-31"/>
        <w:sz w:val="17"/>
        <w:szCs w:val="17"/>
      </w:rPr>
      <w:t>·77 ·</w:t>
    </w:r>
  </w:p>
</w:ftr>
</file>

<file path=word/footer8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422843">
    <w:pPr>
      <w:spacing w:line="228" w:lineRule="auto"/>
      <w:rPr>
        <w:rFonts w:ascii="宋体" w:hAnsi="宋体" w:eastAsia="宋体" w:cs="宋体"/>
        <w:sz w:val="17"/>
        <w:szCs w:val="17"/>
      </w:rPr>
    </w:pPr>
    <w:r>
      <w:rPr>
        <w:rFonts w:ascii="宋体" w:hAnsi="宋体" w:eastAsia="宋体" w:cs="宋体"/>
        <w:spacing w:val="-17"/>
        <w:sz w:val="17"/>
        <w:szCs w:val="17"/>
      </w:rPr>
      <w:t>·78</w:t>
    </w:r>
    <w:r>
      <w:rPr>
        <w:rFonts w:ascii="宋体" w:hAnsi="宋体" w:eastAsia="宋体" w:cs="宋体"/>
        <w:spacing w:val="-19"/>
        <w:sz w:val="17"/>
        <w:szCs w:val="17"/>
      </w:rPr>
      <w:t xml:space="preserve"> </w:t>
    </w:r>
    <w:r>
      <w:rPr>
        <w:rFonts w:ascii="宋体" w:hAnsi="宋体" w:eastAsia="宋体" w:cs="宋体"/>
        <w:spacing w:val="-17"/>
        <w:sz w:val="17"/>
        <w:szCs w:val="17"/>
      </w:rPr>
      <w:t>·</w:t>
    </w:r>
  </w:p>
</w:ftr>
</file>

<file path=word/footer8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932BE8">
    <w:pPr>
      <w:spacing w:line="228" w:lineRule="auto"/>
      <w:jc w:val="right"/>
      <w:rPr>
        <w:rFonts w:ascii="宋体" w:hAnsi="宋体" w:eastAsia="宋体" w:cs="宋体"/>
        <w:sz w:val="17"/>
        <w:szCs w:val="17"/>
      </w:rPr>
    </w:pPr>
    <w:r>
      <w:rPr>
        <w:rFonts w:ascii="宋体" w:hAnsi="宋体" w:eastAsia="宋体" w:cs="宋体"/>
        <w:spacing w:val="-31"/>
        <w:sz w:val="17"/>
        <w:szCs w:val="17"/>
      </w:rPr>
      <w:t>·79 ·</w:t>
    </w:r>
  </w:p>
</w:ftr>
</file>

<file path=word/footer8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45DC39">
    <w:pPr>
      <w:spacing w:line="228" w:lineRule="auto"/>
      <w:rPr>
        <w:rFonts w:ascii="宋体" w:hAnsi="宋体" w:eastAsia="宋体" w:cs="宋体"/>
        <w:sz w:val="17"/>
        <w:szCs w:val="17"/>
      </w:rPr>
    </w:pPr>
    <w:r>
      <w:rPr>
        <w:rFonts w:ascii="宋体" w:hAnsi="宋体" w:eastAsia="宋体" w:cs="宋体"/>
        <w:spacing w:val="-17"/>
        <w:sz w:val="17"/>
        <w:szCs w:val="17"/>
      </w:rPr>
      <w:t>·80</w:t>
    </w:r>
    <w:r>
      <w:rPr>
        <w:rFonts w:ascii="宋体" w:hAnsi="宋体" w:eastAsia="宋体" w:cs="宋体"/>
        <w:spacing w:val="-19"/>
        <w:sz w:val="17"/>
        <w:szCs w:val="17"/>
      </w:rPr>
      <w:t xml:space="preserve"> </w:t>
    </w:r>
    <w:r>
      <w:rPr>
        <w:rFonts w:ascii="宋体" w:hAnsi="宋体" w:eastAsia="宋体" w:cs="宋体"/>
        <w:spacing w:val="-17"/>
        <w:sz w:val="17"/>
        <w:szCs w:val="17"/>
      </w:rPr>
      <w:t>·</w:t>
    </w:r>
  </w:p>
</w:ftr>
</file>

<file path=word/footer8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BE1468">
    <w:pPr>
      <w:spacing w:line="228" w:lineRule="auto"/>
      <w:jc w:val="right"/>
      <w:rPr>
        <w:rFonts w:ascii="宋体" w:hAnsi="宋体" w:eastAsia="宋体" w:cs="宋体"/>
        <w:sz w:val="17"/>
        <w:szCs w:val="17"/>
      </w:rPr>
    </w:pPr>
    <w:r>
      <w:rPr>
        <w:rFonts w:ascii="宋体" w:hAnsi="宋体" w:eastAsia="宋体" w:cs="宋体"/>
        <w:spacing w:val="-31"/>
        <w:sz w:val="17"/>
        <w:szCs w:val="17"/>
      </w:rPr>
      <w:t>·81 ·</w:t>
    </w:r>
  </w:p>
</w:ftr>
</file>

<file path=word/footer8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2944F6">
    <w:pPr>
      <w:spacing w:line="228" w:lineRule="auto"/>
      <w:rPr>
        <w:rFonts w:ascii="宋体" w:hAnsi="宋体" w:eastAsia="宋体" w:cs="宋体"/>
        <w:sz w:val="17"/>
        <w:szCs w:val="17"/>
      </w:rPr>
    </w:pPr>
    <w:r>
      <w:rPr>
        <w:rFonts w:ascii="宋体" w:hAnsi="宋体" w:eastAsia="宋体" w:cs="宋体"/>
        <w:spacing w:val="-17"/>
        <w:sz w:val="17"/>
        <w:szCs w:val="17"/>
      </w:rPr>
      <w:t>·82</w:t>
    </w:r>
    <w:r>
      <w:rPr>
        <w:rFonts w:ascii="宋体" w:hAnsi="宋体" w:eastAsia="宋体" w:cs="宋体"/>
        <w:spacing w:val="-19"/>
        <w:sz w:val="17"/>
        <w:szCs w:val="17"/>
      </w:rPr>
      <w:t xml:space="preserve"> </w:t>
    </w:r>
    <w:r>
      <w:rPr>
        <w:rFonts w:ascii="宋体" w:hAnsi="宋体" w:eastAsia="宋体" w:cs="宋体"/>
        <w:spacing w:val="-17"/>
        <w:sz w:val="17"/>
        <w:szCs w:val="17"/>
      </w:rPr>
      <w:t>·</w:t>
    </w:r>
  </w:p>
</w:ftr>
</file>

<file path=word/footer8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97AB91">
    <w:pPr>
      <w:spacing w:line="228" w:lineRule="auto"/>
      <w:jc w:val="right"/>
      <w:rPr>
        <w:rFonts w:ascii="宋体" w:hAnsi="宋体" w:eastAsia="宋体" w:cs="宋体"/>
        <w:sz w:val="17"/>
        <w:szCs w:val="17"/>
      </w:rPr>
    </w:pPr>
    <w:r>
      <w:rPr>
        <w:rFonts w:ascii="宋体" w:hAnsi="宋体" w:eastAsia="宋体" w:cs="宋体"/>
        <w:spacing w:val="-31"/>
        <w:sz w:val="17"/>
        <w:szCs w:val="17"/>
      </w:rPr>
      <w:t>·83 ·</w:t>
    </w:r>
  </w:p>
</w:ftr>
</file>

<file path=word/footer8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A07FC9">
    <w:pPr>
      <w:spacing w:line="227" w:lineRule="auto"/>
      <w:rPr>
        <w:rFonts w:ascii="宋体" w:hAnsi="宋体" w:eastAsia="宋体" w:cs="宋体"/>
        <w:sz w:val="16"/>
        <w:szCs w:val="16"/>
      </w:rPr>
    </w:pPr>
    <w:r>
      <w:rPr>
        <w:rFonts w:ascii="宋体" w:hAnsi="宋体" w:eastAsia="宋体" w:cs="宋体"/>
        <w:spacing w:val="-16"/>
        <w:sz w:val="16"/>
        <w:szCs w:val="16"/>
      </w:rPr>
      <w:t>·84</w:t>
    </w:r>
    <w:r>
      <w:rPr>
        <w:rFonts w:ascii="宋体" w:hAnsi="宋体" w:eastAsia="宋体" w:cs="宋体"/>
        <w:spacing w:val="-17"/>
        <w:sz w:val="16"/>
        <w:szCs w:val="16"/>
      </w:rPr>
      <w:t xml:space="preserve"> </w:t>
    </w:r>
    <w:r>
      <w:rPr>
        <w:rFonts w:ascii="宋体" w:hAnsi="宋体" w:eastAsia="宋体" w:cs="宋体"/>
        <w:spacing w:val="-16"/>
        <w:sz w:val="16"/>
        <w:szCs w:val="16"/>
      </w:rPr>
      <w:t>·</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A31F6F">
    <w:pPr>
      <w:spacing w:line="228" w:lineRule="auto"/>
      <w:rPr>
        <w:rFonts w:ascii="宋体" w:hAnsi="宋体" w:eastAsia="宋体" w:cs="宋体"/>
        <w:sz w:val="15"/>
        <w:szCs w:val="15"/>
      </w:rPr>
    </w:pPr>
    <w:r>
      <w:rPr>
        <w:rFonts w:ascii="宋体" w:hAnsi="宋体" w:eastAsia="宋体" w:cs="宋体"/>
        <w:spacing w:val="-20"/>
        <w:sz w:val="15"/>
        <w:szCs w:val="15"/>
      </w:rPr>
      <w:t>·4</w:t>
    </w:r>
    <w:r>
      <w:rPr>
        <w:rFonts w:ascii="宋体" w:hAnsi="宋体" w:eastAsia="宋体" w:cs="宋体"/>
        <w:spacing w:val="-16"/>
        <w:sz w:val="15"/>
        <w:szCs w:val="15"/>
      </w:rPr>
      <w:t xml:space="preserve"> </w:t>
    </w:r>
    <w:r>
      <w:rPr>
        <w:rFonts w:ascii="宋体" w:hAnsi="宋体" w:eastAsia="宋体" w:cs="宋体"/>
        <w:spacing w:val="-20"/>
        <w:sz w:val="15"/>
        <w:szCs w:val="15"/>
      </w:rPr>
      <w:t>·</w:t>
    </w:r>
  </w:p>
</w:ftr>
</file>

<file path=word/footer9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680AA4">
    <w:pPr>
      <w:spacing w:line="228" w:lineRule="auto"/>
      <w:jc w:val="right"/>
      <w:rPr>
        <w:rFonts w:ascii="宋体" w:hAnsi="宋体" w:eastAsia="宋体" w:cs="宋体"/>
        <w:sz w:val="17"/>
        <w:szCs w:val="17"/>
      </w:rPr>
    </w:pPr>
    <w:r>
      <w:rPr>
        <w:rFonts w:ascii="宋体" w:hAnsi="宋体" w:eastAsia="宋体" w:cs="宋体"/>
        <w:spacing w:val="-31"/>
        <w:sz w:val="17"/>
        <w:szCs w:val="17"/>
      </w:rPr>
      <w:t>·85 ·</w:t>
    </w:r>
  </w:p>
</w:ftr>
</file>

<file path=word/footer9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8EEBF3">
    <w:pPr>
      <w:spacing w:line="228" w:lineRule="auto"/>
      <w:rPr>
        <w:rFonts w:ascii="宋体" w:hAnsi="宋体" w:eastAsia="宋体" w:cs="宋体"/>
        <w:sz w:val="17"/>
        <w:szCs w:val="17"/>
      </w:rPr>
    </w:pPr>
    <w:r>
      <w:rPr>
        <w:rFonts w:ascii="宋体" w:hAnsi="宋体" w:eastAsia="宋体" w:cs="宋体"/>
        <w:spacing w:val="-17"/>
        <w:sz w:val="17"/>
        <w:szCs w:val="17"/>
      </w:rPr>
      <w:t>·86</w:t>
    </w:r>
    <w:r>
      <w:rPr>
        <w:rFonts w:ascii="宋体" w:hAnsi="宋体" w:eastAsia="宋体" w:cs="宋体"/>
        <w:spacing w:val="-19"/>
        <w:sz w:val="17"/>
        <w:szCs w:val="17"/>
      </w:rPr>
      <w:t xml:space="preserve"> </w:t>
    </w:r>
    <w:r>
      <w:rPr>
        <w:rFonts w:ascii="宋体" w:hAnsi="宋体" w:eastAsia="宋体" w:cs="宋体"/>
        <w:spacing w:val="-17"/>
        <w:sz w:val="17"/>
        <w:szCs w:val="17"/>
      </w:rPr>
      <w:t>·</w:t>
    </w:r>
  </w:p>
</w:ftr>
</file>

<file path=word/footer9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909FF1">
    <w:pPr>
      <w:spacing w:line="228" w:lineRule="auto"/>
      <w:jc w:val="right"/>
      <w:rPr>
        <w:rFonts w:ascii="宋体" w:hAnsi="宋体" w:eastAsia="宋体" w:cs="宋体"/>
        <w:sz w:val="17"/>
        <w:szCs w:val="17"/>
      </w:rPr>
    </w:pPr>
    <w:r>
      <w:rPr>
        <w:rFonts w:ascii="宋体" w:hAnsi="宋体" w:eastAsia="宋体" w:cs="宋体"/>
        <w:spacing w:val="-31"/>
        <w:sz w:val="17"/>
        <w:szCs w:val="17"/>
      </w:rPr>
      <w:t>·87 ·</w:t>
    </w:r>
  </w:p>
</w:ftr>
</file>

<file path=word/footer9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8DC1A9">
    <w:pPr>
      <w:spacing w:line="228" w:lineRule="auto"/>
      <w:rPr>
        <w:rFonts w:ascii="宋体" w:hAnsi="宋体" w:eastAsia="宋体" w:cs="宋体"/>
        <w:sz w:val="17"/>
        <w:szCs w:val="17"/>
      </w:rPr>
    </w:pPr>
    <w:r>
      <w:rPr>
        <w:rFonts w:ascii="宋体" w:hAnsi="宋体" w:eastAsia="宋体" w:cs="宋体"/>
        <w:spacing w:val="-17"/>
        <w:sz w:val="17"/>
        <w:szCs w:val="17"/>
      </w:rPr>
      <w:t>·88</w:t>
    </w:r>
    <w:r>
      <w:rPr>
        <w:rFonts w:ascii="宋体" w:hAnsi="宋体" w:eastAsia="宋体" w:cs="宋体"/>
        <w:spacing w:val="-19"/>
        <w:sz w:val="17"/>
        <w:szCs w:val="17"/>
      </w:rPr>
      <w:t xml:space="preserve"> </w:t>
    </w:r>
    <w:r>
      <w:rPr>
        <w:rFonts w:ascii="宋体" w:hAnsi="宋体" w:eastAsia="宋体" w:cs="宋体"/>
        <w:spacing w:val="-17"/>
        <w:sz w:val="17"/>
        <w:szCs w:val="17"/>
      </w:rPr>
      <w:t>·</w:t>
    </w:r>
  </w:p>
</w:ftr>
</file>

<file path=word/footer9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2ACED8">
    <w:pPr>
      <w:spacing w:line="228" w:lineRule="auto"/>
      <w:jc w:val="right"/>
      <w:rPr>
        <w:rFonts w:ascii="宋体" w:hAnsi="宋体" w:eastAsia="宋体" w:cs="宋体"/>
        <w:sz w:val="17"/>
        <w:szCs w:val="17"/>
      </w:rPr>
    </w:pPr>
    <w:r>
      <w:rPr>
        <w:rFonts w:ascii="宋体" w:hAnsi="宋体" w:eastAsia="宋体" w:cs="宋体"/>
        <w:spacing w:val="-31"/>
        <w:sz w:val="17"/>
        <w:szCs w:val="17"/>
      </w:rPr>
      <w:t>·89 ·</w:t>
    </w:r>
  </w:p>
</w:ftr>
</file>

<file path=word/footer9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FCD744">
    <w:pPr>
      <w:spacing w:line="228" w:lineRule="auto"/>
      <w:rPr>
        <w:rFonts w:ascii="宋体" w:hAnsi="宋体" w:eastAsia="宋体" w:cs="宋体"/>
        <w:sz w:val="17"/>
        <w:szCs w:val="17"/>
      </w:rPr>
    </w:pPr>
    <w:r>
      <w:rPr>
        <w:rFonts w:ascii="宋体" w:hAnsi="宋体" w:eastAsia="宋体" w:cs="宋体"/>
        <w:spacing w:val="-17"/>
        <w:sz w:val="17"/>
        <w:szCs w:val="17"/>
      </w:rPr>
      <w:t>·90</w:t>
    </w:r>
    <w:r>
      <w:rPr>
        <w:rFonts w:ascii="宋体" w:hAnsi="宋体" w:eastAsia="宋体" w:cs="宋体"/>
        <w:spacing w:val="-19"/>
        <w:sz w:val="17"/>
        <w:szCs w:val="17"/>
      </w:rPr>
      <w:t xml:space="preserve"> </w:t>
    </w:r>
    <w:r>
      <w:rPr>
        <w:rFonts w:ascii="宋体" w:hAnsi="宋体" w:eastAsia="宋体" w:cs="宋体"/>
        <w:spacing w:val="-17"/>
        <w:sz w:val="17"/>
        <w:szCs w:val="17"/>
      </w:rPr>
      <w:t>·</w:t>
    </w:r>
  </w:p>
</w:ftr>
</file>

<file path=word/footer9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8F5424">
    <w:pPr>
      <w:spacing w:line="228" w:lineRule="auto"/>
      <w:jc w:val="right"/>
      <w:rPr>
        <w:rFonts w:ascii="宋体" w:hAnsi="宋体" w:eastAsia="宋体" w:cs="宋体"/>
        <w:sz w:val="17"/>
        <w:szCs w:val="17"/>
      </w:rPr>
    </w:pPr>
    <w:r>
      <w:rPr>
        <w:rFonts w:ascii="宋体" w:hAnsi="宋体" w:eastAsia="宋体" w:cs="宋体"/>
        <w:spacing w:val="-31"/>
        <w:sz w:val="17"/>
        <w:szCs w:val="17"/>
      </w:rPr>
      <w:t>·91 ·</w:t>
    </w:r>
  </w:p>
</w:ftr>
</file>

<file path=word/footer9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18E255">
    <w:pPr>
      <w:spacing w:line="227" w:lineRule="auto"/>
      <w:rPr>
        <w:rFonts w:ascii="宋体" w:hAnsi="宋体" w:eastAsia="宋体" w:cs="宋体"/>
        <w:sz w:val="16"/>
        <w:szCs w:val="16"/>
      </w:rPr>
    </w:pPr>
    <w:r>
      <w:rPr>
        <w:rFonts w:ascii="宋体" w:hAnsi="宋体" w:eastAsia="宋体" w:cs="宋体"/>
        <w:spacing w:val="-16"/>
        <w:sz w:val="16"/>
        <w:szCs w:val="16"/>
      </w:rPr>
      <w:t>·92</w:t>
    </w:r>
    <w:r>
      <w:rPr>
        <w:rFonts w:ascii="宋体" w:hAnsi="宋体" w:eastAsia="宋体" w:cs="宋体"/>
        <w:spacing w:val="-17"/>
        <w:sz w:val="16"/>
        <w:szCs w:val="16"/>
      </w:rPr>
      <w:t xml:space="preserve"> </w:t>
    </w:r>
    <w:r>
      <w:rPr>
        <w:rFonts w:ascii="宋体" w:hAnsi="宋体" w:eastAsia="宋体" w:cs="宋体"/>
        <w:spacing w:val="-16"/>
        <w:sz w:val="16"/>
        <w:szCs w:val="16"/>
      </w:rPr>
      <w:t>·</w:t>
    </w:r>
  </w:p>
</w:ftr>
</file>

<file path=word/footer9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DE5F51">
    <w:pPr>
      <w:spacing w:line="228" w:lineRule="auto"/>
      <w:jc w:val="right"/>
      <w:rPr>
        <w:rFonts w:ascii="宋体" w:hAnsi="宋体" w:eastAsia="宋体" w:cs="宋体"/>
        <w:sz w:val="17"/>
        <w:szCs w:val="17"/>
      </w:rPr>
    </w:pPr>
    <w:r>
      <w:rPr>
        <w:rFonts w:ascii="宋体" w:hAnsi="宋体" w:eastAsia="宋体" w:cs="宋体"/>
        <w:spacing w:val="-31"/>
        <w:sz w:val="17"/>
        <w:szCs w:val="17"/>
      </w:rPr>
      <w:t>·93 ·</w:t>
    </w:r>
  </w:p>
</w:ftr>
</file>

<file path=word/footer9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DDCD81">
    <w:pPr>
      <w:spacing w:line="228" w:lineRule="auto"/>
      <w:rPr>
        <w:rFonts w:ascii="宋体" w:hAnsi="宋体" w:eastAsia="宋体" w:cs="宋体"/>
        <w:sz w:val="17"/>
        <w:szCs w:val="17"/>
      </w:rPr>
    </w:pPr>
    <w:r>
      <w:rPr>
        <w:rFonts w:ascii="宋体" w:hAnsi="宋体" w:eastAsia="宋体" w:cs="宋体"/>
        <w:spacing w:val="-17"/>
        <w:sz w:val="17"/>
        <w:szCs w:val="17"/>
      </w:rPr>
      <w:t>·94</w:t>
    </w:r>
    <w:r>
      <w:rPr>
        <w:rFonts w:ascii="宋体" w:hAnsi="宋体" w:eastAsia="宋体" w:cs="宋体"/>
        <w:spacing w:val="-19"/>
        <w:sz w:val="17"/>
        <w:szCs w:val="17"/>
      </w:rPr>
      <w:t xml:space="preserve"> </w:t>
    </w:r>
    <w:r>
      <w:rPr>
        <w:rFonts w:ascii="宋体" w:hAnsi="宋体" w:eastAsia="宋体" w:cs="宋体"/>
        <w:spacing w:val="-17"/>
        <w:sz w:val="17"/>
        <w:szCs w:val="17"/>
      </w:rPr>
      <w:t>·</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4587C5">
    <w:pPr>
      <w:pStyle w:val="2"/>
      <w:spacing w:line="14" w:lineRule="auto"/>
      <w:rPr>
        <w:sz w:val="2"/>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isplayBackgroundShape w:val="1"/>
  <w:documentProtection w:enforcement="0"/>
  <w:characterSpacingControl w:val="doNotCompress"/>
  <w:footnotePr>
    <w:footnote w:id="0"/>
    <w:footnote w:id="1"/>
  </w:footnotePr>
  <w:endnotePr>
    <w:endnote w:id="0"/>
    <w:endnote w:id="1"/>
  </w:endnotePr>
  <w:compat>
    <w:spaceForUL/>
    <w:ulTrailSpace/>
    <w:useFELayout/>
    <w:compatSetting w:name="compatibilityMode" w:uri="http://schemas.microsoft.com/office/word" w:val="14"/>
  </w:compat>
  <w:rsids>
    <w:rsidRoot w:val="00000000"/>
    <w:rsid w:val="057F349F"/>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Arial" w:hAnsi="Arial" w:eastAsia="Arial" w:cs="Arial"/>
      </w:rPr>
    </w:rPrDefault>
    <w:pPrDefault/>
  </w:docDefaults>
  <w:latentStyles w:count="260" w:defQFormat="0" w:defUnhideWhenUsed="1" w:defSemiHidden="1" w:defUIPriority="99" w:defLockedState="0">
    <w:lsdException w:qFormat="1" w:unhideWhenUsed="0" w:uiPriority="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semiHidden/>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lang w:val="en-US" w:eastAsia="en-US" w:bidi="ar-SA"/>
    </w:rPr>
  </w:style>
  <w:style w:type="character" w:default="1" w:styleId="4">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type="paragraph" w:styleId="2">
    <w:name w:val="Body Text"/>
    <w:basedOn w:val="1"/>
    <w:semiHidden/>
    <w:qFormat/>
    <w:uiPriority w:val="0"/>
    <w:rPr>
      <w:rFonts w:ascii="Arial" w:hAnsi="Arial" w:eastAsia="Arial" w:cs="Arial"/>
      <w:sz w:val="21"/>
      <w:szCs w:val="21"/>
      <w:lang w:val="en-US" w:eastAsia="en-US" w:bidi="ar-SA"/>
    </w:rPr>
  </w:style>
  <w:style w:type="table" w:customStyle="1" w:styleId="5">
    <w:name w:val="Table Normal"/>
    <w:semiHidden/>
    <w:unhideWhenUsed/>
    <w:qFormat/>
    <w:uiPriority w:val="0"/>
    <w:tblPr>
      <w:tblCellMar>
        <w:top w:w="0" w:type="dxa"/>
        <w:left w:w="0" w:type="dxa"/>
        <w:bottom w:w="0" w:type="dxa"/>
        <w:right w:w="0" w:type="dxa"/>
      </w:tblCellMar>
    </w:tblPr>
  </w:style>
  <w:style w:type="paragraph" w:customStyle="1" w:styleId="6">
    <w:name w:val="Table Text"/>
    <w:basedOn w:val="1"/>
    <w:semiHidden/>
    <w:qFormat/>
    <w:uiPriority w:val="0"/>
    <w:rPr>
      <w:rFonts w:ascii="宋体" w:hAnsi="宋体" w:eastAsia="宋体" w:cs="宋体"/>
      <w:sz w:val="17"/>
      <w:szCs w:val="17"/>
      <w:lang w:val="en-US" w:eastAsia="en-US" w:bidi="ar-SA"/>
    </w:rPr>
  </w:style>
</w:styles>
</file>

<file path=word/_rels/document.xml.rels><?xml version="1.0" encoding="UTF-8" standalone="yes"?>
<Relationships xmlns="http://schemas.openxmlformats.org/package/2006/relationships"><Relationship Id="rId99" Type="http://schemas.openxmlformats.org/officeDocument/2006/relationships/footer" Target="footer94.xml"/><Relationship Id="rId98" Type="http://schemas.openxmlformats.org/officeDocument/2006/relationships/footer" Target="footer93.xml"/><Relationship Id="rId97" Type="http://schemas.openxmlformats.org/officeDocument/2006/relationships/footer" Target="footer92.xml"/><Relationship Id="rId96" Type="http://schemas.openxmlformats.org/officeDocument/2006/relationships/footer" Target="footer91.xml"/><Relationship Id="rId95" Type="http://schemas.openxmlformats.org/officeDocument/2006/relationships/footer" Target="footer90.xml"/><Relationship Id="rId94" Type="http://schemas.openxmlformats.org/officeDocument/2006/relationships/footer" Target="footer89.xml"/><Relationship Id="rId93" Type="http://schemas.openxmlformats.org/officeDocument/2006/relationships/footer" Target="footer88.xml"/><Relationship Id="rId92" Type="http://schemas.openxmlformats.org/officeDocument/2006/relationships/footer" Target="footer87.xml"/><Relationship Id="rId91" Type="http://schemas.openxmlformats.org/officeDocument/2006/relationships/footer" Target="footer86.xml"/><Relationship Id="rId90" Type="http://schemas.openxmlformats.org/officeDocument/2006/relationships/footer" Target="footer85.xml"/><Relationship Id="rId9" Type="http://schemas.openxmlformats.org/officeDocument/2006/relationships/footer" Target="footer4.xml"/><Relationship Id="rId89" Type="http://schemas.openxmlformats.org/officeDocument/2006/relationships/footer" Target="footer84.xml"/><Relationship Id="rId88" Type="http://schemas.openxmlformats.org/officeDocument/2006/relationships/footer" Target="footer83.xml"/><Relationship Id="rId87" Type="http://schemas.openxmlformats.org/officeDocument/2006/relationships/footer" Target="footer82.xml"/><Relationship Id="rId86" Type="http://schemas.openxmlformats.org/officeDocument/2006/relationships/footer" Target="footer81.xml"/><Relationship Id="rId85" Type="http://schemas.openxmlformats.org/officeDocument/2006/relationships/footer" Target="footer80.xml"/><Relationship Id="rId84" Type="http://schemas.openxmlformats.org/officeDocument/2006/relationships/footer" Target="footer79.xml"/><Relationship Id="rId83" Type="http://schemas.openxmlformats.org/officeDocument/2006/relationships/footer" Target="footer78.xml"/><Relationship Id="rId82" Type="http://schemas.openxmlformats.org/officeDocument/2006/relationships/footer" Target="footer77.xml"/><Relationship Id="rId81" Type="http://schemas.openxmlformats.org/officeDocument/2006/relationships/footer" Target="footer76.xml"/><Relationship Id="rId80" Type="http://schemas.openxmlformats.org/officeDocument/2006/relationships/footer" Target="footer75.xml"/><Relationship Id="rId8" Type="http://schemas.openxmlformats.org/officeDocument/2006/relationships/footer" Target="footer3.xml"/><Relationship Id="rId79" Type="http://schemas.openxmlformats.org/officeDocument/2006/relationships/footer" Target="footer74.xml"/><Relationship Id="rId78" Type="http://schemas.openxmlformats.org/officeDocument/2006/relationships/footer" Target="footer73.xml"/><Relationship Id="rId77" Type="http://schemas.openxmlformats.org/officeDocument/2006/relationships/footer" Target="footer72.xml"/><Relationship Id="rId76" Type="http://schemas.openxmlformats.org/officeDocument/2006/relationships/footer" Target="footer71.xml"/><Relationship Id="rId75" Type="http://schemas.openxmlformats.org/officeDocument/2006/relationships/footer" Target="footer70.xml"/><Relationship Id="rId74" Type="http://schemas.openxmlformats.org/officeDocument/2006/relationships/footer" Target="footer69.xml"/><Relationship Id="rId73" Type="http://schemas.openxmlformats.org/officeDocument/2006/relationships/footer" Target="footer68.xml"/><Relationship Id="rId72" Type="http://schemas.openxmlformats.org/officeDocument/2006/relationships/footer" Target="footer67.xml"/><Relationship Id="rId71" Type="http://schemas.openxmlformats.org/officeDocument/2006/relationships/footer" Target="footer66.xml"/><Relationship Id="rId70" Type="http://schemas.openxmlformats.org/officeDocument/2006/relationships/footer" Target="footer65.xml"/><Relationship Id="rId7" Type="http://schemas.openxmlformats.org/officeDocument/2006/relationships/footer" Target="footer2.xml"/><Relationship Id="rId69" Type="http://schemas.openxmlformats.org/officeDocument/2006/relationships/footer" Target="footer64.xml"/><Relationship Id="rId68" Type="http://schemas.openxmlformats.org/officeDocument/2006/relationships/footer" Target="footer63.xml"/><Relationship Id="rId67" Type="http://schemas.openxmlformats.org/officeDocument/2006/relationships/footer" Target="footer62.xml"/><Relationship Id="rId66" Type="http://schemas.openxmlformats.org/officeDocument/2006/relationships/footer" Target="footer61.xml"/><Relationship Id="rId65" Type="http://schemas.openxmlformats.org/officeDocument/2006/relationships/footer" Target="footer60.xml"/><Relationship Id="rId64" Type="http://schemas.openxmlformats.org/officeDocument/2006/relationships/footer" Target="footer59.xml"/><Relationship Id="rId63" Type="http://schemas.openxmlformats.org/officeDocument/2006/relationships/footer" Target="footer58.xml"/><Relationship Id="rId62" Type="http://schemas.openxmlformats.org/officeDocument/2006/relationships/footer" Target="footer57.xml"/><Relationship Id="rId61" Type="http://schemas.openxmlformats.org/officeDocument/2006/relationships/footer" Target="footer56.xml"/><Relationship Id="rId60" Type="http://schemas.openxmlformats.org/officeDocument/2006/relationships/footer" Target="footer55.xml"/><Relationship Id="rId6" Type="http://schemas.openxmlformats.org/officeDocument/2006/relationships/footer" Target="footer1.xml"/><Relationship Id="rId59" Type="http://schemas.openxmlformats.org/officeDocument/2006/relationships/footer" Target="footer54.xml"/><Relationship Id="rId58" Type="http://schemas.openxmlformats.org/officeDocument/2006/relationships/footer" Target="footer53.xml"/><Relationship Id="rId57" Type="http://schemas.openxmlformats.org/officeDocument/2006/relationships/footer" Target="footer52.xml"/><Relationship Id="rId56" Type="http://schemas.openxmlformats.org/officeDocument/2006/relationships/footer" Target="footer51.xml"/><Relationship Id="rId55" Type="http://schemas.openxmlformats.org/officeDocument/2006/relationships/footer" Target="footer50.xml"/><Relationship Id="rId54" Type="http://schemas.openxmlformats.org/officeDocument/2006/relationships/footer" Target="footer49.xml"/><Relationship Id="rId53" Type="http://schemas.openxmlformats.org/officeDocument/2006/relationships/footer" Target="footer48.xml"/><Relationship Id="rId52" Type="http://schemas.openxmlformats.org/officeDocument/2006/relationships/footer" Target="footer47.xml"/><Relationship Id="rId51" Type="http://schemas.openxmlformats.org/officeDocument/2006/relationships/footer" Target="footer46.xml"/><Relationship Id="rId50" Type="http://schemas.openxmlformats.org/officeDocument/2006/relationships/footer" Target="footer45.xml"/><Relationship Id="rId5" Type="http://schemas.openxmlformats.org/officeDocument/2006/relationships/header" Target="header1.xml"/><Relationship Id="rId49" Type="http://schemas.openxmlformats.org/officeDocument/2006/relationships/footer" Target="footer44.xml"/><Relationship Id="rId48" Type="http://schemas.openxmlformats.org/officeDocument/2006/relationships/footer" Target="footer43.xml"/><Relationship Id="rId47" Type="http://schemas.openxmlformats.org/officeDocument/2006/relationships/footer" Target="footer42.xml"/><Relationship Id="rId46" Type="http://schemas.openxmlformats.org/officeDocument/2006/relationships/footer" Target="footer41.xml"/><Relationship Id="rId45" Type="http://schemas.openxmlformats.org/officeDocument/2006/relationships/footer" Target="footer40.xml"/><Relationship Id="rId44" Type="http://schemas.openxmlformats.org/officeDocument/2006/relationships/footer" Target="footer39.xml"/><Relationship Id="rId43" Type="http://schemas.openxmlformats.org/officeDocument/2006/relationships/footer" Target="footer38.xml"/><Relationship Id="rId42" Type="http://schemas.openxmlformats.org/officeDocument/2006/relationships/footer" Target="footer37.xml"/><Relationship Id="rId416" Type="http://schemas.openxmlformats.org/officeDocument/2006/relationships/fontTable" Target="fontTable.xml"/><Relationship Id="rId415" Type="http://schemas.openxmlformats.org/officeDocument/2006/relationships/customXml" Target="../customXml/item1.xml"/><Relationship Id="rId414" Type="http://schemas.openxmlformats.org/officeDocument/2006/relationships/image" Target="media/image249.png"/><Relationship Id="rId413" Type="http://schemas.openxmlformats.org/officeDocument/2006/relationships/image" Target="media/image248.png"/><Relationship Id="rId412" Type="http://schemas.openxmlformats.org/officeDocument/2006/relationships/image" Target="media/image247.png"/><Relationship Id="rId411" Type="http://schemas.openxmlformats.org/officeDocument/2006/relationships/image" Target="media/image246.png"/><Relationship Id="rId410" Type="http://schemas.openxmlformats.org/officeDocument/2006/relationships/image" Target="media/image245.png"/><Relationship Id="rId41" Type="http://schemas.openxmlformats.org/officeDocument/2006/relationships/footer" Target="footer36.xml"/><Relationship Id="rId409" Type="http://schemas.openxmlformats.org/officeDocument/2006/relationships/image" Target="media/image244.png"/><Relationship Id="rId408" Type="http://schemas.openxmlformats.org/officeDocument/2006/relationships/image" Target="media/image243.png"/><Relationship Id="rId407" Type="http://schemas.openxmlformats.org/officeDocument/2006/relationships/image" Target="media/image242.png"/><Relationship Id="rId406" Type="http://schemas.openxmlformats.org/officeDocument/2006/relationships/image" Target="media/image241.png"/><Relationship Id="rId405" Type="http://schemas.openxmlformats.org/officeDocument/2006/relationships/image" Target="media/image240.png"/><Relationship Id="rId404" Type="http://schemas.openxmlformats.org/officeDocument/2006/relationships/image" Target="media/image239.png"/><Relationship Id="rId403" Type="http://schemas.openxmlformats.org/officeDocument/2006/relationships/image" Target="media/image238.png"/><Relationship Id="rId402" Type="http://schemas.openxmlformats.org/officeDocument/2006/relationships/image" Target="media/image237.png"/><Relationship Id="rId401" Type="http://schemas.openxmlformats.org/officeDocument/2006/relationships/image" Target="media/image236.png"/><Relationship Id="rId400" Type="http://schemas.openxmlformats.org/officeDocument/2006/relationships/image" Target="media/image235.png"/><Relationship Id="rId40" Type="http://schemas.openxmlformats.org/officeDocument/2006/relationships/footer" Target="footer35.xml"/><Relationship Id="rId4" Type="http://schemas.openxmlformats.org/officeDocument/2006/relationships/endnotes" Target="endnotes.xml"/><Relationship Id="rId399" Type="http://schemas.openxmlformats.org/officeDocument/2006/relationships/image" Target="media/image234.png"/><Relationship Id="rId398" Type="http://schemas.openxmlformats.org/officeDocument/2006/relationships/image" Target="media/image233.png"/><Relationship Id="rId397" Type="http://schemas.openxmlformats.org/officeDocument/2006/relationships/image" Target="media/image232.png"/><Relationship Id="rId396" Type="http://schemas.openxmlformats.org/officeDocument/2006/relationships/image" Target="media/image231.png"/><Relationship Id="rId395" Type="http://schemas.openxmlformats.org/officeDocument/2006/relationships/image" Target="media/image230.png"/><Relationship Id="rId394" Type="http://schemas.openxmlformats.org/officeDocument/2006/relationships/image" Target="media/image229.png"/><Relationship Id="rId393" Type="http://schemas.openxmlformats.org/officeDocument/2006/relationships/image" Target="media/image228.png"/><Relationship Id="rId392" Type="http://schemas.openxmlformats.org/officeDocument/2006/relationships/image" Target="media/image227.png"/><Relationship Id="rId391" Type="http://schemas.openxmlformats.org/officeDocument/2006/relationships/image" Target="media/image226.png"/><Relationship Id="rId390" Type="http://schemas.openxmlformats.org/officeDocument/2006/relationships/image" Target="media/image225.png"/><Relationship Id="rId39" Type="http://schemas.openxmlformats.org/officeDocument/2006/relationships/footer" Target="footer34.xml"/><Relationship Id="rId389" Type="http://schemas.openxmlformats.org/officeDocument/2006/relationships/image" Target="media/image224.png"/><Relationship Id="rId388" Type="http://schemas.openxmlformats.org/officeDocument/2006/relationships/image" Target="media/image223.png"/><Relationship Id="rId387" Type="http://schemas.openxmlformats.org/officeDocument/2006/relationships/image" Target="media/image222.png"/><Relationship Id="rId386" Type="http://schemas.openxmlformats.org/officeDocument/2006/relationships/image" Target="media/image221.png"/><Relationship Id="rId385" Type="http://schemas.openxmlformats.org/officeDocument/2006/relationships/image" Target="media/image220.png"/><Relationship Id="rId384" Type="http://schemas.openxmlformats.org/officeDocument/2006/relationships/image" Target="media/image219.png"/><Relationship Id="rId383" Type="http://schemas.openxmlformats.org/officeDocument/2006/relationships/image" Target="media/image218.png"/><Relationship Id="rId382" Type="http://schemas.openxmlformats.org/officeDocument/2006/relationships/image" Target="media/image217.png"/><Relationship Id="rId381" Type="http://schemas.openxmlformats.org/officeDocument/2006/relationships/image" Target="media/image216.png"/><Relationship Id="rId380" Type="http://schemas.openxmlformats.org/officeDocument/2006/relationships/image" Target="media/image215.png"/><Relationship Id="rId38" Type="http://schemas.openxmlformats.org/officeDocument/2006/relationships/footer" Target="footer33.xml"/><Relationship Id="rId379" Type="http://schemas.openxmlformats.org/officeDocument/2006/relationships/image" Target="media/image214.png"/><Relationship Id="rId378" Type="http://schemas.openxmlformats.org/officeDocument/2006/relationships/image" Target="media/image213.png"/><Relationship Id="rId377" Type="http://schemas.openxmlformats.org/officeDocument/2006/relationships/image" Target="media/image212.png"/><Relationship Id="rId376" Type="http://schemas.openxmlformats.org/officeDocument/2006/relationships/image" Target="media/image211.png"/><Relationship Id="rId375" Type="http://schemas.openxmlformats.org/officeDocument/2006/relationships/image" Target="media/image210.png"/><Relationship Id="rId374" Type="http://schemas.openxmlformats.org/officeDocument/2006/relationships/image" Target="media/image209.png"/><Relationship Id="rId373" Type="http://schemas.openxmlformats.org/officeDocument/2006/relationships/image" Target="media/image208.png"/><Relationship Id="rId372" Type="http://schemas.openxmlformats.org/officeDocument/2006/relationships/image" Target="media/image207.png"/><Relationship Id="rId371" Type="http://schemas.openxmlformats.org/officeDocument/2006/relationships/image" Target="media/image206.png"/><Relationship Id="rId370" Type="http://schemas.openxmlformats.org/officeDocument/2006/relationships/image" Target="media/image205.png"/><Relationship Id="rId37" Type="http://schemas.openxmlformats.org/officeDocument/2006/relationships/footer" Target="footer32.xml"/><Relationship Id="rId369" Type="http://schemas.openxmlformats.org/officeDocument/2006/relationships/image" Target="media/image204.png"/><Relationship Id="rId368" Type="http://schemas.openxmlformats.org/officeDocument/2006/relationships/image" Target="media/image203.png"/><Relationship Id="rId367" Type="http://schemas.openxmlformats.org/officeDocument/2006/relationships/image" Target="media/image202.png"/><Relationship Id="rId366" Type="http://schemas.openxmlformats.org/officeDocument/2006/relationships/image" Target="media/image201.png"/><Relationship Id="rId365" Type="http://schemas.openxmlformats.org/officeDocument/2006/relationships/image" Target="media/image200.png"/><Relationship Id="rId364" Type="http://schemas.openxmlformats.org/officeDocument/2006/relationships/image" Target="media/image199.png"/><Relationship Id="rId363" Type="http://schemas.openxmlformats.org/officeDocument/2006/relationships/image" Target="media/image198.png"/><Relationship Id="rId362" Type="http://schemas.openxmlformats.org/officeDocument/2006/relationships/image" Target="media/image197.png"/><Relationship Id="rId361" Type="http://schemas.openxmlformats.org/officeDocument/2006/relationships/image" Target="media/image196.png"/><Relationship Id="rId360" Type="http://schemas.openxmlformats.org/officeDocument/2006/relationships/image" Target="media/image195.png"/><Relationship Id="rId36" Type="http://schemas.openxmlformats.org/officeDocument/2006/relationships/footer" Target="footer31.xml"/><Relationship Id="rId359" Type="http://schemas.openxmlformats.org/officeDocument/2006/relationships/image" Target="media/image194.png"/><Relationship Id="rId358" Type="http://schemas.openxmlformats.org/officeDocument/2006/relationships/image" Target="media/image193.png"/><Relationship Id="rId357" Type="http://schemas.openxmlformats.org/officeDocument/2006/relationships/image" Target="media/image192.png"/><Relationship Id="rId356" Type="http://schemas.openxmlformats.org/officeDocument/2006/relationships/image" Target="media/image191.png"/><Relationship Id="rId355" Type="http://schemas.openxmlformats.org/officeDocument/2006/relationships/image" Target="media/image190.png"/><Relationship Id="rId354" Type="http://schemas.openxmlformats.org/officeDocument/2006/relationships/image" Target="media/image189.png"/><Relationship Id="rId353" Type="http://schemas.openxmlformats.org/officeDocument/2006/relationships/image" Target="media/image188.png"/><Relationship Id="rId352" Type="http://schemas.openxmlformats.org/officeDocument/2006/relationships/image" Target="media/image187.png"/><Relationship Id="rId351" Type="http://schemas.openxmlformats.org/officeDocument/2006/relationships/image" Target="media/image186.png"/><Relationship Id="rId350" Type="http://schemas.openxmlformats.org/officeDocument/2006/relationships/image" Target="media/image185.png"/><Relationship Id="rId35" Type="http://schemas.openxmlformats.org/officeDocument/2006/relationships/footer" Target="footer30.xml"/><Relationship Id="rId349" Type="http://schemas.openxmlformats.org/officeDocument/2006/relationships/image" Target="media/image184.png"/><Relationship Id="rId348" Type="http://schemas.openxmlformats.org/officeDocument/2006/relationships/image" Target="media/image183.png"/><Relationship Id="rId347" Type="http://schemas.openxmlformats.org/officeDocument/2006/relationships/image" Target="media/image182.png"/><Relationship Id="rId346" Type="http://schemas.openxmlformats.org/officeDocument/2006/relationships/image" Target="media/image181.png"/><Relationship Id="rId345" Type="http://schemas.openxmlformats.org/officeDocument/2006/relationships/image" Target="media/image180.png"/><Relationship Id="rId344" Type="http://schemas.openxmlformats.org/officeDocument/2006/relationships/image" Target="media/image179.png"/><Relationship Id="rId343" Type="http://schemas.openxmlformats.org/officeDocument/2006/relationships/image" Target="media/image178.png"/><Relationship Id="rId342" Type="http://schemas.openxmlformats.org/officeDocument/2006/relationships/image" Target="media/image177.png"/><Relationship Id="rId341" Type="http://schemas.openxmlformats.org/officeDocument/2006/relationships/image" Target="media/image176.png"/><Relationship Id="rId340" Type="http://schemas.openxmlformats.org/officeDocument/2006/relationships/image" Target="media/image175.png"/><Relationship Id="rId34" Type="http://schemas.openxmlformats.org/officeDocument/2006/relationships/footer" Target="footer29.xml"/><Relationship Id="rId339" Type="http://schemas.openxmlformats.org/officeDocument/2006/relationships/image" Target="media/image174.png"/><Relationship Id="rId338" Type="http://schemas.openxmlformats.org/officeDocument/2006/relationships/image" Target="media/image173.png"/><Relationship Id="rId337" Type="http://schemas.openxmlformats.org/officeDocument/2006/relationships/image" Target="media/image172.jpeg"/><Relationship Id="rId336" Type="http://schemas.openxmlformats.org/officeDocument/2006/relationships/image" Target="media/image171.jpeg"/><Relationship Id="rId335" Type="http://schemas.openxmlformats.org/officeDocument/2006/relationships/image" Target="media/image170.png"/><Relationship Id="rId334" Type="http://schemas.openxmlformats.org/officeDocument/2006/relationships/image" Target="media/image169.png"/><Relationship Id="rId333" Type="http://schemas.openxmlformats.org/officeDocument/2006/relationships/image" Target="media/image168.png"/><Relationship Id="rId332" Type="http://schemas.openxmlformats.org/officeDocument/2006/relationships/image" Target="media/image167.png"/><Relationship Id="rId331" Type="http://schemas.openxmlformats.org/officeDocument/2006/relationships/image" Target="media/image166.png"/><Relationship Id="rId330" Type="http://schemas.openxmlformats.org/officeDocument/2006/relationships/image" Target="media/image165.png"/><Relationship Id="rId33" Type="http://schemas.openxmlformats.org/officeDocument/2006/relationships/footer" Target="footer28.xml"/><Relationship Id="rId329" Type="http://schemas.openxmlformats.org/officeDocument/2006/relationships/image" Target="media/image164.png"/><Relationship Id="rId328" Type="http://schemas.openxmlformats.org/officeDocument/2006/relationships/image" Target="media/image163.png"/><Relationship Id="rId327" Type="http://schemas.openxmlformats.org/officeDocument/2006/relationships/image" Target="media/image162.png"/><Relationship Id="rId326" Type="http://schemas.openxmlformats.org/officeDocument/2006/relationships/image" Target="media/image161.png"/><Relationship Id="rId325" Type="http://schemas.openxmlformats.org/officeDocument/2006/relationships/image" Target="media/image160.png"/><Relationship Id="rId324" Type="http://schemas.openxmlformats.org/officeDocument/2006/relationships/image" Target="media/image159.png"/><Relationship Id="rId323" Type="http://schemas.openxmlformats.org/officeDocument/2006/relationships/image" Target="media/image158.png"/><Relationship Id="rId322" Type="http://schemas.openxmlformats.org/officeDocument/2006/relationships/image" Target="media/image157.png"/><Relationship Id="rId321" Type="http://schemas.openxmlformats.org/officeDocument/2006/relationships/image" Target="media/image156.png"/><Relationship Id="rId320" Type="http://schemas.openxmlformats.org/officeDocument/2006/relationships/image" Target="media/image155.png"/><Relationship Id="rId32" Type="http://schemas.openxmlformats.org/officeDocument/2006/relationships/footer" Target="footer27.xml"/><Relationship Id="rId319" Type="http://schemas.openxmlformats.org/officeDocument/2006/relationships/image" Target="media/image154.png"/><Relationship Id="rId318" Type="http://schemas.openxmlformats.org/officeDocument/2006/relationships/image" Target="media/image153.png"/><Relationship Id="rId317" Type="http://schemas.openxmlformats.org/officeDocument/2006/relationships/image" Target="media/image152.png"/><Relationship Id="rId316" Type="http://schemas.openxmlformats.org/officeDocument/2006/relationships/image" Target="media/image151.png"/><Relationship Id="rId315" Type="http://schemas.openxmlformats.org/officeDocument/2006/relationships/image" Target="media/image150.png"/><Relationship Id="rId314" Type="http://schemas.openxmlformats.org/officeDocument/2006/relationships/image" Target="media/image149.png"/><Relationship Id="rId313" Type="http://schemas.openxmlformats.org/officeDocument/2006/relationships/image" Target="media/image148.png"/><Relationship Id="rId312" Type="http://schemas.openxmlformats.org/officeDocument/2006/relationships/image" Target="media/image147.png"/><Relationship Id="rId311" Type="http://schemas.openxmlformats.org/officeDocument/2006/relationships/image" Target="media/image146.png"/><Relationship Id="rId310" Type="http://schemas.openxmlformats.org/officeDocument/2006/relationships/image" Target="media/image145.png"/><Relationship Id="rId31" Type="http://schemas.openxmlformats.org/officeDocument/2006/relationships/footer" Target="footer26.xml"/><Relationship Id="rId309" Type="http://schemas.openxmlformats.org/officeDocument/2006/relationships/image" Target="media/image144.png"/><Relationship Id="rId308" Type="http://schemas.openxmlformats.org/officeDocument/2006/relationships/image" Target="media/image143.png"/><Relationship Id="rId307" Type="http://schemas.openxmlformats.org/officeDocument/2006/relationships/image" Target="media/image142.png"/><Relationship Id="rId306" Type="http://schemas.openxmlformats.org/officeDocument/2006/relationships/image" Target="media/image141.png"/><Relationship Id="rId305" Type="http://schemas.openxmlformats.org/officeDocument/2006/relationships/image" Target="media/image140.png"/><Relationship Id="rId304" Type="http://schemas.openxmlformats.org/officeDocument/2006/relationships/image" Target="media/image139.png"/><Relationship Id="rId303" Type="http://schemas.openxmlformats.org/officeDocument/2006/relationships/image" Target="media/image138.jpeg"/><Relationship Id="rId302" Type="http://schemas.openxmlformats.org/officeDocument/2006/relationships/image" Target="media/image137.jpeg"/><Relationship Id="rId301" Type="http://schemas.openxmlformats.org/officeDocument/2006/relationships/image" Target="media/image136.jpeg"/><Relationship Id="rId300" Type="http://schemas.openxmlformats.org/officeDocument/2006/relationships/image" Target="media/image135.png"/><Relationship Id="rId30" Type="http://schemas.openxmlformats.org/officeDocument/2006/relationships/footer" Target="footer25.xml"/><Relationship Id="rId3" Type="http://schemas.openxmlformats.org/officeDocument/2006/relationships/footnotes" Target="footnotes.xml"/><Relationship Id="rId299" Type="http://schemas.openxmlformats.org/officeDocument/2006/relationships/image" Target="media/image134.png"/><Relationship Id="rId298" Type="http://schemas.openxmlformats.org/officeDocument/2006/relationships/image" Target="media/image133.png"/><Relationship Id="rId297" Type="http://schemas.openxmlformats.org/officeDocument/2006/relationships/image" Target="media/image132.png"/><Relationship Id="rId296" Type="http://schemas.openxmlformats.org/officeDocument/2006/relationships/image" Target="media/image131.png"/><Relationship Id="rId295" Type="http://schemas.openxmlformats.org/officeDocument/2006/relationships/image" Target="media/image130.png"/><Relationship Id="rId294" Type="http://schemas.openxmlformats.org/officeDocument/2006/relationships/image" Target="media/image129.png"/><Relationship Id="rId293" Type="http://schemas.openxmlformats.org/officeDocument/2006/relationships/image" Target="media/image128.png"/><Relationship Id="rId292" Type="http://schemas.openxmlformats.org/officeDocument/2006/relationships/image" Target="media/image127.png"/><Relationship Id="rId291" Type="http://schemas.openxmlformats.org/officeDocument/2006/relationships/image" Target="media/image126.png"/><Relationship Id="rId290" Type="http://schemas.openxmlformats.org/officeDocument/2006/relationships/image" Target="media/image125.png"/><Relationship Id="rId29" Type="http://schemas.openxmlformats.org/officeDocument/2006/relationships/footer" Target="footer24.xml"/><Relationship Id="rId289" Type="http://schemas.openxmlformats.org/officeDocument/2006/relationships/image" Target="media/image124.png"/><Relationship Id="rId288" Type="http://schemas.openxmlformats.org/officeDocument/2006/relationships/image" Target="media/image123.png"/><Relationship Id="rId287" Type="http://schemas.openxmlformats.org/officeDocument/2006/relationships/image" Target="media/image122.png"/><Relationship Id="rId286" Type="http://schemas.openxmlformats.org/officeDocument/2006/relationships/image" Target="media/image121.png"/><Relationship Id="rId285" Type="http://schemas.openxmlformats.org/officeDocument/2006/relationships/image" Target="media/image120.png"/><Relationship Id="rId284" Type="http://schemas.openxmlformats.org/officeDocument/2006/relationships/image" Target="media/image119.png"/><Relationship Id="rId283" Type="http://schemas.openxmlformats.org/officeDocument/2006/relationships/image" Target="media/image118.png"/><Relationship Id="rId282" Type="http://schemas.openxmlformats.org/officeDocument/2006/relationships/image" Target="media/image117.png"/><Relationship Id="rId281" Type="http://schemas.openxmlformats.org/officeDocument/2006/relationships/image" Target="media/image116.png"/><Relationship Id="rId280" Type="http://schemas.openxmlformats.org/officeDocument/2006/relationships/image" Target="media/image115.png"/><Relationship Id="rId28" Type="http://schemas.openxmlformats.org/officeDocument/2006/relationships/footer" Target="footer23.xml"/><Relationship Id="rId279" Type="http://schemas.openxmlformats.org/officeDocument/2006/relationships/image" Target="media/image114.png"/><Relationship Id="rId278" Type="http://schemas.openxmlformats.org/officeDocument/2006/relationships/image" Target="media/image113.png"/><Relationship Id="rId277" Type="http://schemas.openxmlformats.org/officeDocument/2006/relationships/image" Target="media/image112.png"/><Relationship Id="rId276" Type="http://schemas.openxmlformats.org/officeDocument/2006/relationships/image" Target="media/image111.png"/><Relationship Id="rId275" Type="http://schemas.openxmlformats.org/officeDocument/2006/relationships/image" Target="media/image110.png"/><Relationship Id="rId274" Type="http://schemas.openxmlformats.org/officeDocument/2006/relationships/image" Target="media/image109.png"/><Relationship Id="rId273" Type="http://schemas.openxmlformats.org/officeDocument/2006/relationships/image" Target="media/image108.png"/><Relationship Id="rId272" Type="http://schemas.openxmlformats.org/officeDocument/2006/relationships/image" Target="media/image107.png"/><Relationship Id="rId271" Type="http://schemas.openxmlformats.org/officeDocument/2006/relationships/image" Target="media/image106.png"/><Relationship Id="rId270" Type="http://schemas.openxmlformats.org/officeDocument/2006/relationships/image" Target="media/image105.png"/><Relationship Id="rId27" Type="http://schemas.openxmlformats.org/officeDocument/2006/relationships/footer" Target="footer22.xml"/><Relationship Id="rId269" Type="http://schemas.openxmlformats.org/officeDocument/2006/relationships/image" Target="media/image104.png"/><Relationship Id="rId268" Type="http://schemas.openxmlformats.org/officeDocument/2006/relationships/image" Target="media/image103.png"/><Relationship Id="rId267" Type="http://schemas.openxmlformats.org/officeDocument/2006/relationships/image" Target="media/image102.png"/><Relationship Id="rId266" Type="http://schemas.openxmlformats.org/officeDocument/2006/relationships/image" Target="media/image101.png"/><Relationship Id="rId265" Type="http://schemas.openxmlformats.org/officeDocument/2006/relationships/image" Target="media/image100.png"/><Relationship Id="rId264" Type="http://schemas.openxmlformats.org/officeDocument/2006/relationships/image" Target="media/image99.png"/><Relationship Id="rId263" Type="http://schemas.openxmlformats.org/officeDocument/2006/relationships/image" Target="media/image98.png"/><Relationship Id="rId262" Type="http://schemas.openxmlformats.org/officeDocument/2006/relationships/image" Target="media/image97.png"/><Relationship Id="rId261" Type="http://schemas.openxmlformats.org/officeDocument/2006/relationships/image" Target="media/image96.png"/><Relationship Id="rId260" Type="http://schemas.openxmlformats.org/officeDocument/2006/relationships/image" Target="media/image95.png"/><Relationship Id="rId26" Type="http://schemas.openxmlformats.org/officeDocument/2006/relationships/footer" Target="footer21.xml"/><Relationship Id="rId259" Type="http://schemas.openxmlformats.org/officeDocument/2006/relationships/image" Target="media/image94.png"/><Relationship Id="rId258" Type="http://schemas.openxmlformats.org/officeDocument/2006/relationships/image" Target="media/image93.png"/><Relationship Id="rId257" Type="http://schemas.openxmlformats.org/officeDocument/2006/relationships/image" Target="media/image92.png"/><Relationship Id="rId256" Type="http://schemas.openxmlformats.org/officeDocument/2006/relationships/image" Target="media/image91.png"/><Relationship Id="rId255" Type="http://schemas.openxmlformats.org/officeDocument/2006/relationships/image" Target="media/image90.png"/><Relationship Id="rId254" Type="http://schemas.openxmlformats.org/officeDocument/2006/relationships/image" Target="media/image89.png"/><Relationship Id="rId253" Type="http://schemas.openxmlformats.org/officeDocument/2006/relationships/image" Target="media/image88.png"/><Relationship Id="rId252" Type="http://schemas.openxmlformats.org/officeDocument/2006/relationships/image" Target="media/image87.png"/><Relationship Id="rId251" Type="http://schemas.openxmlformats.org/officeDocument/2006/relationships/image" Target="media/image86.png"/><Relationship Id="rId250" Type="http://schemas.openxmlformats.org/officeDocument/2006/relationships/image" Target="media/image85.png"/><Relationship Id="rId25" Type="http://schemas.openxmlformats.org/officeDocument/2006/relationships/footer" Target="footer20.xml"/><Relationship Id="rId249" Type="http://schemas.openxmlformats.org/officeDocument/2006/relationships/image" Target="media/image84.png"/><Relationship Id="rId248" Type="http://schemas.openxmlformats.org/officeDocument/2006/relationships/image" Target="media/image83.png"/><Relationship Id="rId247" Type="http://schemas.openxmlformats.org/officeDocument/2006/relationships/image" Target="media/image82.png"/><Relationship Id="rId246" Type="http://schemas.openxmlformats.org/officeDocument/2006/relationships/image" Target="media/image81.png"/><Relationship Id="rId245" Type="http://schemas.openxmlformats.org/officeDocument/2006/relationships/image" Target="media/image80.png"/><Relationship Id="rId244" Type="http://schemas.openxmlformats.org/officeDocument/2006/relationships/image" Target="media/image79.png"/><Relationship Id="rId243" Type="http://schemas.openxmlformats.org/officeDocument/2006/relationships/image" Target="media/image78.png"/><Relationship Id="rId242" Type="http://schemas.openxmlformats.org/officeDocument/2006/relationships/image" Target="media/image77.png"/><Relationship Id="rId241" Type="http://schemas.openxmlformats.org/officeDocument/2006/relationships/image" Target="media/image76.png"/><Relationship Id="rId240" Type="http://schemas.openxmlformats.org/officeDocument/2006/relationships/image" Target="media/image75.png"/><Relationship Id="rId24" Type="http://schemas.openxmlformats.org/officeDocument/2006/relationships/footer" Target="footer19.xml"/><Relationship Id="rId239" Type="http://schemas.openxmlformats.org/officeDocument/2006/relationships/image" Target="media/image74.png"/><Relationship Id="rId238" Type="http://schemas.openxmlformats.org/officeDocument/2006/relationships/image" Target="media/image73.png"/><Relationship Id="rId237" Type="http://schemas.openxmlformats.org/officeDocument/2006/relationships/image" Target="media/image72.png"/><Relationship Id="rId236" Type="http://schemas.openxmlformats.org/officeDocument/2006/relationships/image" Target="media/image71.png"/><Relationship Id="rId235" Type="http://schemas.openxmlformats.org/officeDocument/2006/relationships/image" Target="media/image70.png"/><Relationship Id="rId234" Type="http://schemas.openxmlformats.org/officeDocument/2006/relationships/image" Target="media/image69.png"/><Relationship Id="rId233" Type="http://schemas.openxmlformats.org/officeDocument/2006/relationships/image" Target="media/image68.png"/><Relationship Id="rId232" Type="http://schemas.openxmlformats.org/officeDocument/2006/relationships/image" Target="media/image67.png"/><Relationship Id="rId231" Type="http://schemas.openxmlformats.org/officeDocument/2006/relationships/image" Target="media/image66.png"/><Relationship Id="rId230" Type="http://schemas.openxmlformats.org/officeDocument/2006/relationships/image" Target="media/image65.png"/><Relationship Id="rId23" Type="http://schemas.openxmlformats.org/officeDocument/2006/relationships/footer" Target="footer18.xml"/><Relationship Id="rId229" Type="http://schemas.openxmlformats.org/officeDocument/2006/relationships/image" Target="media/image64.png"/><Relationship Id="rId228" Type="http://schemas.openxmlformats.org/officeDocument/2006/relationships/image" Target="media/image63.png"/><Relationship Id="rId227" Type="http://schemas.openxmlformats.org/officeDocument/2006/relationships/image" Target="media/image62.png"/><Relationship Id="rId226" Type="http://schemas.openxmlformats.org/officeDocument/2006/relationships/image" Target="media/image61.png"/><Relationship Id="rId225" Type="http://schemas.openxmlformats.org/officeDocument/2006/relationships/image" Target="media/image60.png"/><Relationship Id="rId224" Type="http://schemas.openxmlformats.org/officeDocument/2006/relationships/image" Target="media/image59.png"/><Relationship Id="rId223" Type="http://schemas.openxmlformats.org/officeDocument/2006/relationships/image" Target="media/image58.png"/><Relationship Id="rId222" Type="http://schemas.openxmlformats.org/officeDocument/2006/relationships/image" Target="media/image57.png"/><Relationship Id="rId221" Type="http://schemas.openxmlformats.org/officeDocument/2006/relationships/image" Target="media/image56.png"/><Relationship Id="rId220" Type="http://schemas.openxmlformats.org/officeDocument/2006/relationships/image" Target="media/image55.png"/><Relationship Id="rId22" Type="http://schemas.openxmlformats.org/officeDocument/2006/relationships/footer" Target="footer17.xml"/><Relationship Id="rId219" Type="http://schemas.openxmlformats.org/officeDocument/2006/relationships/image" Target="media/image54.png"/><Relationship Id="rId218" Type="http://schemas.openxmlformats.org/officeDocument/2006/relationships/image" Target="media/image53.png"/><Relationship Id="rId217" Type="http://schemas.openxmlformats.org/officeDocument/2006/relationships/image" Target="media/image52.png"/><Relationship Id="rId216" Type="http://schemas.openxmlformats.org/officeDocument/2006/relationships/image" Target="media/image51.png"/><Relationship Id="rId215" Type="http://schemas.openxmlformats.org/officeDocument/2006/relationships/image" Target="media/image50.png"/><Relationship Id="rId214" Type="http://schemas.openxmlformats.org/officeDocument/2006/relationships/image" Target="media/image49.png"/><Relationship Id="rId213" Type="http://schemas.openxmlformats.org/officeDocument/2006/relationships/image" Target="media/image48.png"/><Relationship Id="rId212" Type="http://schemas.openxmlformats.org/officeDocument/2006/relationships/image" Target="media/image47.png"/><Relationship Id="rId211" Type="http://schemas.openxmlformats.org/officeDocument/2006/relationships/image" Target="media/image46.png"/><Relationship Id="rId210" Type="http://schemas.openxmlformats.org/officeDocument/2006/relationships/image" Target="media/image45.png"/><Relationship Id="rId21" Type="http://schemas.openxmlformats.org/officeDocument/2006/relationships/footer" Target="footer16.xml"/><Relationship Id="rId209" Type="http://schemas.openxmlformats.org/officeDocument/2006/relationships/image" Target="media/image44.png"/><Relationship Id="rId208" Type="http://schemas.openxmlformats.org/officeDocument/2006/relationships/image" Target="media/image43.png"/><Relationship Id="rId207" Type="http://schemas.openxmlformats.org/officeDocument/2006/relationships/image" Target="media/image42.png"/><Relationship Id="rId206" Type="http://schemas.openxmlformats.org/officeDocument/2006/relationships/image" Target="media/image41.png"/><Relationship Id="rId205" Type="http://schemas.openxmlformats.org/officeDocument/2006/relationships/image" Target="media/image40.png"/><Relationship Id="rId204" Type="http://schemas.openxmlformats.org/officeDocument/2006/relationships/image" Target="media/image39.png"/><Relationship Id="rId203" Type="http://schemas.openxmlformats.org/officeDocument/2006/relationships/image" Target="media/image38.png"/><Relationship Id="rId202" Type="http://schemas.openxmlformats.org/officeDocument/2006/relationships/image" Target="media/image37.png"/><Relationship Id="rId201" Type="http://schemas.openxmlformats.org/officeDocument/2006/relationships/image" Target="media/image36.png"/><Relationship Id="rId200" Type="http://schemas.openxmlformats.org/officeDocument/2006/relationships/image" Target="media/image35.png"/><Relationship Id="rId20" Type="http://schemas.openxmlformats.org/officeDocument/2006/relationships/footer" Target="footer15.xml"/><Relationship Id="rId2" Type="http://schemas.openxmlformats.org/officeDocument/2006/relationships/settings" Target="settings.xml"/><Relationship Id="rId199" Type="http://schemas.openxmlformats.org/officeDocument/2006/relationships/image" Target="media/image34.png"/><Relationship Id="rId198" Type="http://schemas.openxmlformats.org/officeDocument/2006/relationships/image" Target="media/image33.png"/><Relationship Id="rId197" Type="http://schemas.openxmlformats.org/officeDocument/2006/relationships/image" Target="media/image32.png"/><Relationship Id="rId196" Type="http://schemas.openxmlformats.org/officeDocument/2006/relationships/image" Target="media/image31.png"/><Relationship Id="rId195" Type="http://schemas.openxmlformats.org/officeDocument/2006/relationships/image" Target="media/image30.png"/><Relationship Id="rId194" Type="http://schemas.openxmlformats.org/officeDocument/2006/relationships/image" Target="media/image29.png"/><Relationship Id="rId193" Type="http://schemas.openxmlformats.org/officeDocument/2006/relationships/image" Target="media/image28.png"/><Relationship Id="rId192" Type="http://schemas.openxmlformats.org/officeDocument/2006/relationships/image" Target="media/image27.png"/><Relationship Id="rId191" Type="http://schemas.openxmlformats.org/officeDocument/2006/relationships/image" Target="media/image26.png"/><Relationship Id="rId190" Type="http://schemas.openxmlformats.org/officeDocument/2006/relationships/image" Target="media/image25.png"/><Relationship Id="rId19" Type="http://schemas.openxmlformats.org/officeDocument/2006/relationships/footer" Target="footer14.xml"/><Relationship Id="rId189" Type="http://schemas.openxmlformats.org/officeDocument/2006/relationships/image" Target="media/image24.png"/><Relationship Id="rId188" Type="http://schemas.openxmlformats.org/officeDocument/2006/relationships/image" Target="media/image23.png"/><Relationship Id="rId187" Type="http://schemas.openxmlformats.org/officeDocument/2006/relationships/image" Target="media/image22.png"/><Relationship Id="rId186" Type="http://schemas.openxmlformats.org/officeDocument/2006/relationships/image" Target="media/image21.png"/><Relationship Id="rId185" Type="http://schemas.openxmlformats.org/officeDocument/2006/relationships/image" Target="media/image20.png"/><Relationship Id="rId184" Type="http://schemas.openxmlformats.org/officeDocument/2006/relationships/image" Target="media/image19.png"/><Relationship Id="rId183" Type="http://schemas.openxmlformats.org/officeDocument/2006/relationships/image" Target="media/image18.png"/><Relationship Id="rId182" Type="http://schemas.openxmlformats.org/officeDocument/2006/relationships/image" Target="media/image17.png"/><Relationship Id="rId181" Type="http://schemas.openxmlformats.org/officeDocument/2006/relationships/image" Target="media/image16.png"/><Relationship Id="rId180" Type="http://schemas.openxmlformats.org/officeDocument/2006/relationships/image" Target="media/image15.png"/><Relationship Id="rId18" Type="http://schemas.openxmlformats.org/officeDocument/2006/relationships/footer" Target="footer13.xml"/><Relationship Id="rId179" Type="http://schemas.openxmlformats.org/officeDocument/2006/relationships/image" Target="media/image14.png"/><Relationship Id="rId178" Type="http://schemas.openxmlformats.org/officeDocument/2006/relationships/image" Target="media/image13.png"/><Relationship Id="rId177" Type="http://schemas.openxmlformats.org/officeDocument/2006/relationships/image" Target="media/image12.png"/><Relationship Id="rId176" Type="http://schemas.openxmlformats.org/officeDocument/2006/relationships/image" Target="media/image11.png"/><Relationship Id="rId175" Type="http://schemas.openxmlformats.org/officeDocument/2006/relationships/image" Target="media/image10.png"/><Relationship Id="rId174" Type="http://schemas.openxmlformats.org/officeDocument/2006/relationships/image" Target="media/image9.png"/><Relationship Id="rId173" Type="http://schemas.openxmlformats.org/officeDocument/2006/relationships/image" Target="media/image8.png"/><Relationship Id="rId172" Type="http://schemas.openxmlformats.org/officeDocument/2006/relationships/image" Target="media/image7.png"/><Relationship Id="rId171" Type="http://schemas.openxmlformats.org/officeDocument/2006/relationships/image" Target="media/image6.png"/><Relationship Id="rId170" Type="http://schemas.openxmlformats.org/officeDocument/2006/relationships/image" Target="media/image5.png"/><Relationship Id="rId17" Type="http://schemas.openxmlformats.org/officeDocument/2006/relationships/footer" Target="footer12.xml"/><Relationship Id="rId169" Type="http://schemas.openxmlformats.org/officeDocument/2006/relationships/image" Target="media/image4.jpeg"/><Relationship Id="rId168" Type="http://schemas.openxmlformats.org/officeDocument/2006/relationships/image" Target="media/image3.jpeg"/><Relationship Id="rId167" Type="http://schemas.openxmlformats.org/officeDocument/2006/relationships/image" Target="media/image2.png"/><Relationship Id="rId166" Type="http://schemas.openxmlformats.org/officeDocument/2006/relationships/image" Target="media/image1.png"/><Relationship Id="rId165" Type="http://schemas.openxmlformats.org/officeDocument/2006/relationships/theme" Target="theme/theme1.xml"/><Relationship Id="rId164" Type="http://schemas.openxmlformats.org/officeDocument/2006/relationships/footer" Target="footer159.xml"/><Relationship Id="rId163" Type="http://schemas.openxmlformats.org/officeDocument/2006/relationships/footer" Target="footer158.xml"/><Relationship Id="rId162" Type="http://schemas.openxmlformats.org/officeDocument/2006/relationships/footer" Target="footer157.xml"/><Relationship Id="rId161" Type="http://schemas.openxmlformats.org/officeDocument/2006/relationships/footer" Target="footer156.xml"/><Relationship Id="rId160" Type="http://schemas.openxmlformats.org/officeDocument/2006/relationships/footer" Target="footer155.xml"/><Relationship Id="rId16" Type="http://schemas.openxmlformats.org/officeDocument/2006/relationships/footer" Target="footer11.xml"/><Relationship Id="rId159" Type="http://schemas.openxmlformats.org/officeDocument/2006/relationships/footer" Target="footer154.xml"/><Relationship Id="rId158" Type="http://schemas.openxmlformats.org/officeDocument/2006/relationships/footer" Target="footer153.xml"/><Relationship Id="rId157" Type="http://schemas.openxmlformats.org/officeDocument/2006/relationships/footer" Target="footer152.xml"/><Relationship Id="rId156" Type="http://schemas.openxmlformats.org/officeDocument/2006/relationships/footer" Target="footer151.xml"/><Relationship Id="rId155" Type="http://schemas.openxmlformats.org/officeDocument/2006/relationships/footer" Target="footer150.xml"/><Relationship Id="rId154" Type="http://schemas.openxmlformats.org/officeDocument/2006/relationships/footer" Target="footer149.xml"/><Relationship Id="rId153" Type="http://schemas.openxmlformats.org/officeDocument/2006/relationships/footer" Target="footer148.xml"/><Relationship Id="rId152" Type="http://schemas.openxmlformats.org/officeDocument/2006/relationships/footer" Target="footer147.xml"/><Relationship Id="rId151" Type="http://schemas.openxmlformats.org/officeDocument/2006/relationships/footer" Target="footer146.xml"/><Relationship Id="rId150" Type="http://schemas.openxmlformats.org/officeDocument/2006/relationships/footer" Target="footer145.xml"/><Relationship Id="rId15" Type="http://schemas.openxmlformats.org/officeDocument/2006/relationships/footer" Target="footer10.xml"/><Relationship Id="rId149" Type="http://schemas.openxmlformats.org/officeDocument/2006/relationships/footer" Target="footer144.xml"/><Relationship Id="rId148" Type="http://schemas.openxmlformats.org/officeDocument/2006/relationships/footer" Target="footer143.xml"/><Relationship Id="rId147" Type="http://schemas.openxmlformats.org/officeDocument/2006/relationships/footer" Target="footer142.xml"/><Relationship Id="rId146" Type="http://schemas.openxmlformats.org/officeDocument/2006/relationships/footer" Target="footer141.xml"/><Relationship Id="rId145" Type="http://schemas.openxmlformats.org/officeDocument/2006/relationships/footer" Target="footer140.xml"/><Relationship Id="rId144" Type="http://schemas.openxmlformats.org/officeDocument/2006/relationships/footer" Target="footer139.xml"/><Relationship Id="rId143" Type="http://schemas.openxmlformats.org/officeDocument/2006/relationships/footer" Target="footer138.xml"/><Relationship Id="rId142" Type="http://schemas.openxmlformats.org/officeDocument/2006/relationships/footer" Target="footer137.xml"/><Relationship Id="rId141" Type="http://schemas.openxmlformats.org/officeDocument/2006/relationships/footer" Target="footer136.xml"/><Relationship Id="rId140" Type="http://schemas.openxmlformats.org/officeDocument/2006/relationships/footer" Target="footer135.xml"/><Relationship Id="rId14" Type="http://schemas.openxmlformats.org/officeDocument/2006/relationships/footer" Target="footer9.xml"/><Relationship Id="rId139" Type="http://schemas.openxmlformats.org/officeDocument/2006/relationships/footer" Target="footer134.xml"/><Relationship Id="rId138" Type="http://schemas.openxmlformats.org/officeDocument/2006/relationships/footer" Target="footer133.xml"/><Relationship Id="rId137" Type="http://schemas.openxmlformats.org/officeDocument/2006/relationships/footer" Target="footer132.xml"/><Relationship Id="rId136" Type="http://schemas.openxmlformats.org/officeDocument/2006/relationships/footer" Target="footer131.xml"/><Relationship Id="rId135" Type="http://schemas.openxmlformats.org/officeDocument/2006/relationships/footer" Target="footer130.xml"/><Relationship Id="rId134" Type="http://schemas.openxmlformats.org/officeDocument/2006/relationships/footer" Target="footer129.xml"/><Relationship Id="rId133" Type="http://schemas.openxmlformats.org/officeDocument/2006/relationships/footer" Target="footer128.xml"/><Relationship Id="rId132" Type="http://schemas.openxmlformats.org/officeDocument/2006/relationships/footer" Target="footer127.xml"/><Relationship Id="rId131" Type="http://schemas.openxmlformats.org/officeDocument/2006/relationships/footer" Target="footer126.xml"/><Relationship Id="rId130" Type="http://schemas.openxmlformats.org/officeDocument/2006/relationships/footer" Target="footer125.xml"/><Relationship Id="rId13" Type="http://schemas.openxmlformats.org/officeDocument/2006/relationships/footer" Target="footer8.xml"/><Relationship Id="rId129" Type="http://schemas.openxmlformats.org/officeDocument/2006/relationships/footer" Target="footer124.xml"/><Relationship Id="rId128" Type="http://schemas.openxmlformats.org/officeDocument/2006/relationships/footer" Target="footer123.xml"/><Relationship Id="rId127" Type="http://schemas.openxmlformats.org/officeDocument/2006/relationships/footer" Target="footer122.xml"/><Relationship Id="rId126" Type="http://schemas.openxmlformats.org/officeDocument/2006/relationships/footer" Target="footer121.xml"/><Relationship Id="rId125" Type="http://schemas.openxmlformats.org/officeDocument/2006/relationships/footer" Target="footer120.xml"/><Relationship Id="rId124" Type="http://schemas.openxmlformats.org/officeDocument/2006/relationships/footer" Target="footer119.xml"/><Relationship Id="rId123" Type="http://schemas.openxmlformats.org/officeDocument/2006/relationships/footer" Target="footer118.xml"/><Relationship Id="rId122" Type="http://schemas.openxmlformats.org/officeDocument/2006/relationships/footer" Target="footer117.xml"/><Relationship Id="rId121" Type="http://schemas.openxmlformats.org/officeDocument/2006/relationships/footer" Target="footer116.xml"/><Relationship Id="rId120" Type="http://schemas.openxmlformats.org/officeDocument/2006/relationships/footer" Target="footer115.xml"/><Relationship Id="rId12" Type="http://schemas.openxmlformats.org/officeDocument/2006/relationships/footer" Target="footer7.xml"/><Relationship Id="rId119" Type="http://schemas.openxmlformats.org/officeDocument/2006/relationships/footer" Target="footer114.xml"/><Relationship Id="rId118" Type="http://schemas.openxmlformats.org/officeDocument/2006/relationships/footer" Target="footer113.xml"/><Relationship Id="rId117" Type="http://schemas.openxmlformats.org/officeDocument/2006/relationships/footer" Target="footer112.xml"/><Relationship Id="rId116" Type="http://schemas.openxmlformats.org/officeDocument/2006/relationships/footer" Target="footer111.xml"/><Relationship Id="rId115" Type="http://schemas.openxmlformats.org/officeDocument/2006/relationships/footer" Target="footer110.xml"/><Relationship Id="rId114" Type="http://schemas.openxmlformats.org/officeDocument/2006/relationships/footer" Target="footer109.xml"/><Relationship Id="rId113" Type="http://schemas.openxmlformats.org/officeDocument/2006/relationships/footer" Target="footer108.xml"/><Relationship Id="rId112" Type="http://schemas.openxmlformats.org/officeDocument/2006/relationships/footer" Target="footer107.xml"/><Relationship Id="rId111" Type="http://schemas.openxmlformats.org/officeDocument/2006/relationships/footer" Target="footer106.xml"/><Relationship Id="rId110" Type="http://schemas.openxmlformats.org/officeDocument/2006/relationships/footer" Target="footer105.xml"/><Relationship Id="rId11" Type="http://schemas.openxmlformats.org/officeDocument/2006/relationships/footer" Target="footer6.xml"/><Relationship Id="rId109" Type="http://schemas.openxmlformats.org/officeDocument/2006/relationships/footer" Target="footer104.xml"/><Relationship Id="rId108" Type="http://schemas.openxmlformats.org/officeDocument/2006/relationships/footer" Target="footer103.xml"/><Relationship Id="rId107" Type="http://schemas.openxmlformats.org/officeDocument/2006/relationships/footer" Target="footer102.xml"/><Relationship Id="rId106" Type="http://schemas.openxmlformats.org/officeDocument/2006/relationships/footer" Target="footer101.xml"/><Relationship Id="rId105" Type="http://schemas.openxmlformats.org/officeDocument/2006/relationships/footer" Target="footer100.xml"/><Relationship Id="rId104" Type="http://schemas.openxmlformats.org/officeDocument/2006/relationships/footer" Target="footer99.xml"/><Relationship Id="rId103" Type="http://schemas.openxmlformats.org/officeDocument/2006/relationships/footer" Target="footer98.xml"/><Relationship Id="rId102" Type="http://schemas.openxmlformats.org/officeDocument/2006/relationships/footer" Target="footer97.xml"/><Relationship Id="rId101" Type="http://schemas.openxmlformats.org/officeDocument/2006/relationships/footer" Target="footer96.xml"/><Relationship Id="rId100" Type="http://schemas.openxmlformats.org/officeDocument/2006/relationships/footer" Target="footer95.xml"/><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Info spid="_x0000_s1027"/>
    <customShpInfo spid="_x0000_s1028"/>
    <customShpInfo spid="_x0000_s1029"/>
    <customShpInfo spid="_x0000_s1030"/>
    <customShpInfo spid="_x0000_s1031"/>
    <customShpInfo spid="_x0000_s1032"/>
    <customShpInfo spid="_x0000_s1033"/>
    <customShpInfo spid="_x0000_s1034"/>
    <customShpInfo spid="_x0000_s1035"/>
    <customShpInfo spid="_x0000_s1036"/>
    <customShpInfo spid="_x0000_s1037"/>
    <customShpInfo spid="_x0000_s1038"/>
    <customShpInfo spid="_x0000_s1039"/>
    <customShpInfo spid="_x0000_s1040"/>
    <customShpInfo spid="_x0000_s1041"/>
    <customShpInfo spid="_x0000_s1042"/>
    <customShpInfo spid="_x0000_s1043"/>
    <customShpInfo spid="_x0000_s1044"/>
    <customShpInfo spid="_x0000_s1045"/>
    <customShpInfo spid="_x0000_s1046"/>
    <customShpInfo spid="_x0000_s1047"/>
    <customShpInfo spid="_x0000_s1048"/>
    <customShpInfo spid="_x0000_s1049"/>
    <customShpInfo spid="_x0000_s1050"/>
    <customShpInfo spid="_x0000_s1051"/>
    <customShpInfo spid="_x0000_s1052"/>
    <customShpInfo spid="_x0000_s1053"/>
    <customShpInfo spid="_x0000_s1054"/>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160</Pages>
  <Words>5802</Words>
  <Characters>6224</Characters>
  <TotalTime>0</TotalTime>
  <ScaleCrop>false</ScaleCrop>
  <LinksUpToDate>false</LinksUpToDate>
  <CharactersWithSpaces>6705</CharactersWithSpaces>
  <Application>WPS Office_12.1.0.18543_F1E327BC-269C-435d-A152-05C5408002CA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2025-03-14T17:31:00Z</dcterms:created>
  <dc:creator>Kingsoft-PDF</dc:creator>
  <cp:lastModifiedBy>王娟</cp:lastModifiedBy>
  <dcterms:modified xsi:type="dcterms:W3CDTF">2025-03-14T09:33:44Z</dcterms:modified>
  <dc:subject>pdfbuilder</dc:subject>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wqlLaW5nc29mdCBQREYgdG8gV1BTIDEwMA</vt:lpwstr>
  </property>
  <property fmtid="{D5CDD505-2E9C-101B-9397-08002B2CF9AE}" pid="3" name="Created">
    <vt:filetime>2025-03-14T17:32:14Z</vt:filetime>
  </property>
  <property fmtid="{D5CDD505-2E9C-101B-9397-08002B2CF9AE}" pid="4" name="UsrData">
    <vt:lpwstr>67d3f72f1087f5001f6de5e6wl</vt:lpwstr>
  </property>
  <property fmtid="{D5CDD505-2E9C-101B-9397-08002B2CF9AE}" pid="5" name="KSOProductBuildVer">
    <vt:lpwstr>2052-12.1.0.18543</vt:lpwstr>
  </property>
  <property fmtid="{D5CDD505-2E9C-101B-9397-08002B2CF9AE}" pid="6" name="ICV">
    <vt:lpwstr>6DE4F64D5F13427A922BAF7DB401149A_13</vt:lpwstr>
  </property>
</Properties>
</file>